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footer1.xml" ContentType="application/vnd.openxmlformats-officedocument.wordprocessingml.foot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A07F09" w14:textId="77777777" w:rsidR="00DF2D66" w:rsidRDefault="00DF2D66" w:rsidP="00DF2D66">
      <w:pPr>
        <w:jc w:val="center"/>
        <w:rPr>
          <w:b/>
          <w:bCs/>
          <w:color w:val="4F81BD" w:themeColor="accent1"/>
          <w:sz w:val="94"/>
          <w:szCs w:val="94"/>
          <w:rtl/>
        </w:rPr>
      </w:pPr>
      <w:bookmarkStart w:id="0" w:name="_Toc24883508"/>
      <w:bookmarkStart w:id="1" w:name="_Toc24883510"/>
      <w:bookmarkStart w:id="2" w:name="_Hlk523642107"/>
      <w:r w:rsidRPr="001663E3">
        <w:rPr>
          <w:rFonts w:hint="cs"/>
          <w:b/>
          <w:bCs/>
          <w:color w:val="4F81BD" w:themeColor="accent1"/>
          <w:sz w:val="94"/>
          <w:szCs w:val="94"/>
          <w:rtl/>
        </w:rPr>
        <w:t>שלחן ערוך מהמקורות</w:t>
      </w:r>
    </w:p>
    <w:p w14:paraId="4036792D" w14:textId="77777777" w:rsidR="00DF2D66" w:rsidRPr="001663E3" w:rsidRDefault="00DF2D66" w:rsidP="00DF2D66">
      <w:pPr>
        <w:jc w:val="center"/>
        <w:rPr>
          <w:b/>
          <w:bCs/>
          <w:color w:val="4F81BD" w:themeColor="accent1"/>
          <w:sz w:val="94"/>
          <w:szCs w:val="94"/>
          <w:rtl/>
        </w:rPr>
      </w:pPr>
    </w:p>
    <w:p w14:paraId="04D38566" w14:textId="61AFCBF7" w:rsidR="00DF2D66" w:rsidRPr="001663E3" w:rsidRDefault="00DF2D66" w:rsidP="00DF2D66">
      <w:pPr>
        <w:jc w:val="center"/>
        <w:rPr>
          <w:b/>
          <w:bCs/>
          <w:color w:val="4F81BD" w:themeColor="accent1"/>
          <w:sz w:val="62"/>
          <w:szCs w:val="62"/>
          <w:rtl/>
        </w:rPr>
      </w:pPr>
      <w:r>
        <w:rPr>
          <w:rFonts w:hint="cs"/>
          <w:b/>
          <w:bCs/>
          <w:color w:val="4F81BD" w:themeColor="accent1"/>
          <w:sz w:val="62"/>
          <w:szCs w:val="62"/>
          <w:rtl/>
        </w:rPr>
        <w:t>חושן משפט</w:t>
      </w:r>
      <w:r w:rsidRPr="001663E3">
        <w:rPr>
          <w:rFonts w:hint="cs"/>
          <w:b/>
          <w:bCs/>
          <w:color w:val="4F81BD" w:themeColor="accent1"/>
          <w:sz w:val="62"/>
          <w:szCs w:val="62"/>
          <w:rtl/>
        </w:rPr>
        <w:t xml:space="preserve">: </w:t>
      </w:r>
      <w:r>
        <w:rPr>
          <w:rFonts w:hint="cs"/>
          <w:b/>
          <w:bCs/>
          <w:color w:val="4F81BD" w:themeColor="accent1"/>
          <w:sz w:val="62"/>
          <w:szCs w:val="62"/>
          <w:rtl/>
        </w:rPr>
        <w:t>א</w:t>
      </w:r>
      <w:r w:rsidRPr="001663E3">
        <w:rPr>
          <w:rFonts w:hint="cs"/>
          <w:b/>
          <w:bCs/>
          <w:color w:val="4F81BD" w:themeColor="accent1"/>
          <w:sz w:val="62"/>
          <w:szCs w:val="62"/>
          <w:rtl/>
        </w:rPr>
        <w:t xml:space="preserve"> - </w:t>
      </w:r>
      <w:r>
        <w:rPr>
          <w:rFonts w:hint="cs"/>
          <w:b/>
          <w:bCs/>
          <w:color w:val="4F81BD" w:themeColor="accent1"/>
          <w:sz w:val="62"/>
          <w:szCs w:val="62"/>
          <w:rtl/>
        </w:rPr>
        <w:t>עד</w:t>
      </w:r>
      <w:r w:rsidRPr="001663E3">
        <w:rPr>
          <w:rFonts w:hint="cs"/>
          <w:b/>
          <w:bCs/>
          <w:color w:val="4F81BD" w:themeColor="accent1"/>
          <w:sz w:val="62"/>
          <w:szCs w:val="62"/>
          <w:rtl/>
        </w:rPr>
        <w:t xml:space="preserve"> </w:t>
      </w:r>
    </w:p>
    <w:p w14:paraId="41B1498F" w14:textId="1E12A990" w:rsidR="00DF2D66" w:rsidRPr="00B70D2D" w:rsidRDefault="00DF2D66" w:rsidP="00DF2D66">
      <w:pPr>
        <w:jc w:val="center"/>
        <w:rPr>
          <w:color w:val="FF0000"/>
          <w:rtl/>
        </w:rPr>
        <w:sectPr w:rsidR="00DF2D66" w:rsidRPr="00B70D2D" w:rsidSect="00B12B82">
          <w:footnotePr>
            <w:numRestart w:val="eachSect"/>
          </w:footnotePr>
          <w:pgSz w:w="11906" w:h="16838"/>
          <w:pgMar w:top="1440" w:right="1800" w:bottom="1440" w:left="1800" w:header="720" w:footer="720" w:gutter="0"/>
          <w:cols w:space="720"/>
          <w:bidi/>
          <w:rtlGutter/>
          <w:docGrid w:linePitch="360"/>
        </w:sectPr>
      </w:pPr>
      <w:r w:rsidRPr="001663E3">
        <w:rPr>
          <w:rFonts w:hint="cs"/>
          <w:b/>
          <w:bCs/>
          <w:color w:val="4F81BD" w:themeColor="accent1"/>
          <w:sz w:val="62"/>
          <w:szCs w:val="62"/>
          <w:rtl/>
        </w:rPr>
        <w:t xml:space="preserve">הלכות </w:t>
      </w:r>
      <w:r>
        <w:rPr>
          <w:rFonts w:hint="cs"/>
          <w:b/>
          <w:bCs/>
          <w:color w:val="4F81BD" w:themeColor="accent1"/>
          <w:sz w:val="62"/>
          <w:szCs w:val="62"/>
          <w:rtl/>
        </w:rPr>
        <w:t>דיינים, עדות, והלוואה</w:t>
      </w:r>
      <w:bookmarkStart w:id="3" w:name="_Toc24883509"/>
      <w:bookmarkEnd w:id="0"/>
      <w:r>
        <w:rPr>
          <w:rFonts w:hint="cs"/>
          <w:b/>
          <w:bCs/>
          <w:color w:val="4F81BD" w:themeColor="accent1"/>
          <w:sz w:val="62"/>
          <w:szCs w:val="62"/>
          <w:rtl/>
        </w:rPr>
        <w:t>.</w:t>
      </w:r>
      <w:r w:rsidRPr="001663E3">
        <w:rPr>
          <w:rFonts w:hint="cs"/>
          <w:b/>
          <w:bCs/>
          <w:color w:val="4F81BD" w:themeColor="accent1"/>
          <w:sz w:val="62"/>
          <w:szCs w:val="62"/>
          <w:rtl/>
        </w:rPr>
        <w:t xml:space="preserve"> </w:t>
      </w:r>
      <w:r>
        <w:rPr>
          <w:b/>
          <w:bCs/>
          <w:color w:val="4F81BD" w:themeColor="accent1"/>
          <w:sz w:val="68"/>
          <w:szCs w:val="68"/>
          <w:rtl/>
        </w:rPr>
        <w:br/>
      </w:r>
      <w:bookmarkEnd w:id="3"/>
    </w:p>
    <w:p w14:paraId="495FD2EF" w14:textId="77777777" w:rsidR="00DF2D66" w:rsidRPr="0014675A" w:rsidRDefault="00DF2D66" w:rsidP="00DF2D66">
      <w:pPr>
        <w:pStyle w:val="2"/>
        <w:rPr>
          <w:rtl/>
        </w:rPr>
      </w:pPr>
      <w:r w:rsidRPr="0014675A">
        <w:rPr>
          <w:rFonts w:hint="cs"/>
          <w:rtl/>
        </w:rPr>
        <w:lastRenderedPageBreak/>
        <w:t>מטר</w:t>
      </w:r>
      <w:r>
        <w:rPr>
          <w:rFonts w:hint="cs"/>
          <w:rtl/>
        </w:rPr>
        <w:t>ו</w:t>
      </w:r>
      <w:r w:rsidRPr="0014675A">
        <w:rPr>
          <w:rFonts w:hint="cs"/>
          <w:rtl/>
        </w:rPr>
        <w:t xml:space="preserve">ת </w:t>
      </w:r>
      <w:r w:rsidRPr="00E9422A">
        <w:rPr>
          <w:rFonts w:hint="cs"/>
          <w:rtl/>
        </w:rPr>
        <w:t>הספר</w:t>
      </w:r>
    </w:p>
    <w:p w14:paraId="7C2BE872" w14:textId="77777777" w:rsidR="00DF2D66" w:rsidRDefault="00DF2D66" w:rsidP="00DF2D66">
      <w:pPr>
        <w:pStyle w:val="ac"/>
        <w:numPr>
          <w:ilvl w:val="0"/>
          <w:numId w:val="379"/>
        </w:numPr>
        <w:spacing w:after="160" w:line="259" w:lineRule="auto"/>
      </w:pPr>
      <w:r>
        <w:rPr>
          <w:rFonts w:hint="cs"/>
          <w:rtl/>
        </w:rPr>
        <w:t>לימוד ההלכה מהמקורות, על פי סדר השלחן ערוך, בצורה מלאה</w:t>
      </w:r>
      <w:r>
        <w:rPr>
          <w:rStyle w:val="ab"/>
          <w:rtl/>
        </w:rPr>
        <w:footnoteReference w:id="1"/>
      </w:r>
      <w:r>
        <w:rPr>
          <w:rFonts w:hint="cs"/>
          <w:rtl/>
        </w:rPr>
        <w:t xml:space="preserve"> ללא דילוג קיצור או סיכום. וזאת על מנת שתיהיה תורתנו כללים כללים, ועל מנת שנוכל להבין את הסברא מאחורי שמאחורי ההלכה הפסוקה, ובכך התורה פחות תשתכח ממנו בע"ה, וכן כדי שנוכל לדעת כיצד לפסוק במקרים שלא מובאים במפורש בהלכה הפסוקה.</w:t>
      </w:r>
    </w:p>
    <w:p w14:paraId="3B816483" w14:textId="77777777" w:rsidR="00DF2D66" w:rsidRDefault="00DF2D66" w:rsidP="00DF2D66">
      <w:pPr>
        <w:pStyle w:val="ac"/>
        <w:numPr>
          <w:ilvl w:val="0"/>
          <w:numId w:val="379"/>
        </w:numPr>
        <w:spacing w:after="160" w:line="259" w:lineRule="auto"/>
      </w:pPr>
      <w:r>
        <w:rPr>
          <w:rFonts w:hint="cs"/>
          <w:rtl/>
        </w:rPr>
        <w:t>לימוד מספר אחד שיאגד בתוכו את כל השכבות הנצרכות ללימוד ההלכה.</w:t>
      </w:r>
    </w:p>
    <w:p w14:paraId="6DF9BC3F" w14:textId="77777777" w:rsidR="00DF2D66" w:rsidRDefault="00DF2D66" w:rsidP="00DF2D66">
      <w:pPr>
        <w:pStyle w:val="ac"/>
        <w:numPr>
          <w:ilvl w:val="0"/>
          <w:numId w:val="379"/>
        </w:numPr>
        <w:spacing w:after="160" w:line="259" w:lineRule="auto"/>
      </w:pPr>
      <w:r>
        <w:rPr>
          <w:rFonts w:hint="cs"/>
          <w:rtl/>
        </w:rPr>
        <w:t xml:space="preserve">ספר שיתאים: </w:t>
      </w:r>
      <w:r>
        <w:rPr>
          <w:rtl/>
        </w:rPr>
        <w:br/>
      </w:r>
      <w:r>
        <w:rPr>
          <w:rFonts w:hint="cs"/>
          <w:rtl/>
        </w:rPr>
        <w:t>לתלמידי חכמים - שרוצים להעמיק/להזכר בסוגיא</w:t>
      </w:r>
      <w:r>
        <w:rPr>
          <w:rStyle w:val="ab"/>
          <w:rtl/>
        </w:rPr>
        <w:footnoteReference w:id="2"/>
      </w:r>
      <w:r>
        <w:rPr>
          <w:rFonts w:hint="cs"/>
          <w:rtl/>
        </w:rPr>
        <w:t xml:space="preserve"> </w:t>
      </w:r>
      <w:r>
        <w:rPr>
          <w:rtl/>
        </w:rPr>
        <w:br/>
      </w:r>
      <w:r>
        <w:rPr>
          <w:rFonts w:hint="cs"/>
          <w:rtl/>
        </w:rPr>
        <w:t xml:space="preserve">לבעלי בתים - שרוצים ללמוד בצורה יותר קלה תוך הבנת עומק הסברא. </w:t>
      </w:r>
      <w:r>
        <w:rPr>
          <w:rtl/>
        </w:rPr>
        <w:br/>
      </w:r>
      <w:r>
        <w:rPr>
          <w:rFonts w:hint="cs"/>
          <w:rtl/>
        </w:rPr>
        <w:t>וכן לכל אלו שרוצים לעשות חזרות על מה שלמדו בצורה מהירה</w:t>
      </w:r>
      <w:r>
        <w:rPr>
          <w:rStyle w:val="ab"/>
          <w:rtl/>
        </w:rPr>
        <w:footnoteReference w:id="3"/>
      </w:r>
      <w:r>
        <w:rPr>
          <w:rFonts w:hint="cs"/>
          <w:rtl/>
        </w:rPr>
        <w:t>.</w:t>
      </w:r>
    </w:p>
    <w:p w14:paraId="20B7A1BE" w14:textId="77777777" w:rsidR="00DF2D66" w:rsidRDefault="00DF2D66" w:rsidP="00DF2D66">
      <w:pPr>
        <w:pStyle w:val="ac"/>
        <w:numPr>
          <w:ilvl w:val="0"/>
          <w:numId w:val="379"/>
        </w:numPr>
        <w:spacing w:after="160" w:line="259" w:lineRule="auto"/>
        <w:rPr>
          <w:rtl/>
        </w:rPr>
      </w:pPr>
      <w:r>
        <w:rPr>
          <w:rFonts w:hint="cs"/>
          <w:rtl/>
        </w:rPr>
        <w:t xml:space="preserve">ספר הניתן לעריכה (ב- </w:t>
      </w:r>
      <w:r>
        <w:t>word</w:t>
      </w:r>
      <w:r>
        <w:rPr>
          <w:rFonts w:hint="cs"/>
          <w:rtl/>
        </w:rPr>
        <w:t xml:space="preserve"> וכדו'), כדי שכל לומד יוכל לשנות להוסיף לשנות להרחיב או לקצר. וכך יוכל הלומד לחפש את שאלתו בצורה מהירה, להסיף את מסקנותיו עם השנים. להשוות בין סוגיות בקלות ובמהירות, ועוד מעלות רבות הידועות ללומדים מתוך מחשב.</w:t>
      </w:r>
    </w:p>
    <w:p w14:paraId="3FC4BC62" w14:textId="77777777" w:rsidR="00DF2D66" w:rsidRPr="0014675A" w:rsidRDefault="00DF2D66" w:rsidP="00DF2D66">
      <w:pPr>
        <w:pStyle w:val="2"/>
        <w:rPr>
          <w:rtl/>
        </w:rPr>
      </w:pPr>
      <w:r w:rsidRPr="0014675A">
        <w:rPr>
          <w:rFonts w:hint="cs"/>
          <w:rtl/>
        </w:rPr>
        <w:t>מעלות הספר</w:t>
      </w:r>
    </w:p>
    <w:p w14:paraId="797BC494" w14:textId="77777777" w:rsidR="00DF2D66" w:rsidRDefault="00DF2D66" w:rsidP="00DF2D66">
      <w:pPr>
        <w:rPr>
          <w:u w:val="single"/>
          <w:rtl/>
        </w:rPr>
      </w:pPr>
      <w:r w:rsidRPr="00FB4C82">
        <w:rPr>
          <w:rFonts w:hint="cs"/>
          <w:u w:val="single"/>
          <w:rtl/>
        </w:rPr>
        <w:t>מקורות</w:t>
      </w:r>
      <w:r>
        <w:rPr>
          <w:rFonts w:hint="cs"/>
          <w:u w:val="single"/>
          <w:rtl/>
        </w:rPr>
        <w:t>:</w:t>
      </w:r>
    </w:p>
    <w:p w14:paraId="1C315ED3" w14:textId="77777777" w:rsidR="00DF2D66" w:rsidRDefault="00DF2D66" w:rsidP="00DF2D66">
      <w:pPr>
        <w:pStyle w:val="ac"/>
        <w:numPr>
          <w:ilvl w:val="0"/>
          <w:numId w:val="377"/>
        </w:numPr>
        <w:spacing w:after="160" w:line="259" w:lineRule="auto"/>
      </w:pPr>
      <w:r>
        <w:rPr>
          <w:rFonts w:hint="cs"/>
          <w:rtl/>
        </w:rPr>
        <w:t>המקורות (משנה, תלמוד ירושלמי, תלמוד בבלי, מדרשי הלכה) הועתקו וסודרו בצורה שלמה ורציפה, תוך השמטת הקטעים שלא נוגעים לעניין המדובר.</w:t>
      </w:r>
    </w:p>
    <w:p w14:paraId="2D0F7E46" w14:textId="77777777" w:rsidR="00DF2D66" w:rsidRDefault="00DF2D66" w:rsidP="00DF2D66">
      <w:pPr>
        <w:pStyle w:val="ac"/>
        <w:numPr>
          <w:ilvl w:val="0"/>
          <w:numId w:val="377"/>
        </w:numPr>
        <w:spacing w:after="160" w:line="259" w:lineRule="auto"/>
      </w:pPr>
      <w:r>
        <w:rPr>
          <w:rFonts w:hint="cs"/>
          <w:rtl/>
        </w:rPr>
        <w:t xml:space="preserve">ציון מדוייק של מקור הדברים. וכן ציון של מעבר בין דפי/עמודי הגמרא. </w:t>
      </w:r>
    </w:p>
    <w:p w14:paraId="466C110E" w14:textId="77777777" w:rsidR="00DF2D66" w:rsidRDefault="00DF2D66" w:rsidP="00DF2D66">
      <w:pPr>
        <w:pStyle w:val="ac"/>
        <w:numPr>
          <w:ilvl w:val="0"/>
          <w:numId w:val="377"/>
        </w:numPr>
        <w:spacing w:after="160" w:line="259" w:lineRule="auto"/>
      </w:pPr>
      <w:r>
        <w:rPr>
          <w:rFonts w:hint="cs"/>
          <w:rtl/>
        </w:rPr>
        <w:t xml:space="preserve">גרסאות מתוקנות על פי הראשונים והאחרונים הדנים בסוגייא. </w:t>
      </w:r>
    </w:p>
    <w:p w14:paraId="3AD726D2" w14:textId="77777777" w:rsidR="00DF2D66" w:rsidRDefault="00DF2D66" w:rsidP="00DF2D66">
      <w:pPr>
        <w:pStyle w:val="ac"/>
        <w:numPr>
          <w:ilvl w:val="0"/>
          <w:numId w:val="377"/>
        </w:numPr>
        <w:spacing w:after="160" w:line="259" w:lineRule="auto"/>
      </w:pPr>
      <w:r>
        <w:rPr>
          <w:rFonts w:hint="cs"/>
          <w:rtl/>
        </w:rPr>
        <w:t xml:space="preserve">נוספו מקורות שהובאו בראשונים או באחרונים </w:t>
      </w:r>
      <w:r w:rsidRPr="00FF2D21">
        <w:rPr>
          <w:rFonts w:hint="cs"/>
          <w:sz w:val="16"/>
          <w:szCs w:val="16"/>
          <w:rtl/>
        </w:rPr>
        <w:t>(ציוני הגר"א באר הגולה ושאר אחרונים</w:t>
      </w:r>
      <w:r>
        <w:rPr>
          <w:rFonts w:hint="cs"/>
          <w:sz w:val="16"/>
          <w:szCs w:val="16"/>
          <w:rtl/>
        </w:rPr>
        <w:t>)</w:t>
      </w:r>
      <w:r>
        <w:rPr>
          <w:rFonts w:hint="cs"/>
          <w:rtl/>
        </w:rPr>
        <w:t xml:space="preserve"> אע"פ שלא הובאו בב"י, מכיון שהן נצרכות להבנת/הרחבת הסוגיא. </w:t>
      </w:r>
    </w:p>
    <w:p w14:paraId="6AF90CDF" w14:textId="77777777" w:rsidR="00DF2D66" w:rsidRDefault="00DF2D66" w:rsidP="00DF2D66">
      <w:pPr>
        <w:pStyle w:val="ac"/>
        <w:numPr>
          <w:ilvl w:val="0"/>
          <w:numId w:val="377"/>
        </w:numPr>
        <w:spacing w:after="160" w:line="259" w:lineRule="auto"/>
        <w:rPr>
          <w:rtl/>
        </w:rPr>
      </w:pPr>
      <w:r>
        <w:rPr>
          <w:rFonts w:hint="cs"/>
          <w:rtl/>
        </w:rPr>
        <w:t>כל מה שכתבו הטור הב"י והדרכ"מ - העותקו לספר זה. למעט דברים שנכפלו בחינם, או אריכות של קושיות ופירוקים, או שהפוסקים הנ"ל העתיקו את לשון הגמרא או הראשונים שאז העתקי את המקור ומחקתי את מה שהם העתיקו</w:t>
      </w:r>
      <w:r>
        <w:rPr>
          <w:rStyle w:val="ab"/>
          <w:rtl/>
        </w:rPr>
        <w:footnoteReference w:id="4"/>
      </w:r>
      <w:r>
        <w:rPr>
          <w:rFonts w:hint="cs"/>
          <w:rtl/>
        </w:rPr>
        <w:t xml:space="preserve">.  </w:t>
      </w:r>
    </w:p>
    <w:p w14:paraId="6F6FA4E5" w14:textId="77777777" w:rsidR="00DF2D66" w:rsidRPr="00FB4C82" w:rsidRDefault="00DF2D66" w:rsidP="00DF2D66">
      <w:pPr>
        <w:rPr>
          <w:u w:val="single"/>
          <w:rtl/>
        </w:rPr>
      </w:pPr>
      <w:r w:rsidRPr="00FB4C82">
        <w:rPr>
          <w:rFonts w:hint="cs"/>
          <w:u w:val="single"/>
          <w:rtl/>
        </w:rPr>
        <w:t xml:space="preserve">פוסקים: </w:t>
      </w:r>
    </w:p>
    <w:p w14:paraId="2915D5F6" w14:textId="77777777" w:rsidR="00DF2D66" w:rsidRDefault="00DF2D66" w:rsidP="00DF2D66">
      <w:pPr>
        <w:pStyle w:val="ac"/>
        <w:numPr>
          <w:ilvl w:val="0"/>
          <w:numId w:val="378"/>
        </w:numPr>
        <w:spacing w:after="160" w:line="259" w:lineRule="auto"/>
      </w:pPr>
      <w:r>
        <w:rPr>
          <w:rFonts w:hint="cs"/>
          <w:rtl/>
        </w:rPr>
        <w:t>דברי הראשונים ואחרונים מובאים בלשונם אחת לאחת! כדי שכל אחד יוכל לעמוד על כוונתם ללא הטיית העורך. לפעמים הבאנו מספר לשונות</w:t>
      </w:r>
      <w:r>
        <w:rPr>
          <w:rStyle w:val="ab"/>
          <w:rtl/>
        </w:rPr>
        <w:footnoteReference w:id="5"/>
      </w:r>
      <w:r>
        <w:rPr>
          <w:rFonts w:hint="cs"/>
          <w:rtl/>
        </w:rPr>
        <w:t xml:space="preserve"> אע"פ שמסכימים לדעה אחת, וזאת כיון שאפשר לדייק מהם פרטי דינים נוספים. </w:t>
      </w:r>
    </w:p>
    <w:p w14:paraId="45BE0014" w14:textId="77777777" w:rsidR="00DF2D66" w:rsidRDefault="00DF2D66" w:rsidP="00DF2D66">
      <w:pPr>
        <w:pStyle w:val="ac"/>
        <w:numPr>
          <w:ilvl w:val="0"/>
          <w:numId w:val="378"/>
        </w:numPr>
        <w:spacing w:after="160" w:line="259" w:lineRule="auto"/>
      </w:pPr>
      <w:r>
        <w:rPr>
          <w:rFonts w:hint="cs"/>
          <w:rtl/>
        </w:rPr>
        <w:t>דברי הראשונים הועתקו בצורה מלאה, אע"פ שהב"י העתיק רק חלק מדבריהם. וזאת על מנת שנוכל לעמוד על דבריהם בצורה הטובה ביותר.</w:t>
      </w:r>
    </w:p>
    <w:p w14:paraId="2515E492" w14:textId="77777777" w:rsidR="00DF2D66" w:rsidRDefault="00DF2D66" w:rsidP="00DF2D66">
      <w:pPr>
        <w:pStyle w:val="ac"/>
        <w:numPr>
          <w:ilvl w:val="0"/>
          <w:numId w:val="378"/>
        </w:numPr>
        <w:spacing w:after="160" w:line="259" w:lineRule="auto"/>
      </w:pPr>
      <w:r>
        <w:rPr>
          <w:rFonts w:hint="cs"/>
          <w:rtl/>
        </w:rPr>
        <w:t>הובאו ראשונים שלא הובאו בבית יוסף, הן כאלו שלא היו לפניו, והן כאלו שהאחרונים הוציאו מהם דינים נוספים או שונים.</w:t>
      </w:r>
    </w:p>
    <w:p w14:paraId="53EE7EB1" w14:textId="77777777" w:rsidR="00DF2D66" w:rsidRDefault="00DF2D66" w:rsidP="00DF2D66">
      <w:pPr>
        <w:pStyle w:val="ac"/>
        <w:numPr>
          <w:ilvl w:val="0"/>
          <w:numId w:val="378"/>
        </w:numPr>
        <w:spacing w:after="160" w:line="259" w:lineRule="auto"/>
        <w:rPr>
          <w:rtl/>
        </w:rPr>
      </w:pPr>
      <w:r>
        <w:rPr>
          <w:rFonts w:hint="cs"/>
          <w:rtl/>
        </w:rPr>
        <w:t>ציון מקורות מדוייקים לדברי הראשונים והאחרונים. וכן שינוי הציונים שצויינו בטעות על דברי הרמ"א.</w:t>
      </w:r>
    </w:p>
    <w:p w14:paraId="7F7F3B57" w14:textId="77777777" w:rsidR="00DF2D66" w:rsidRPr="00A56589" w:rsidRDefault="00DF2D66" w:rsidP="00DF2D66">
      <w:pPr>
        <w:rPr>
          <w:u w:val="single"/>
          <w:rtl/>
        </w:rPr>
      </w:pPr>
      <w:r w:rsidRPr="00A56589">
        <w:rPr>
          <w:rFonts w:hint="cs"/>
          <w:u w:val="single"/>
          <w:rtl/>
        </w:rPr>
        <w:t>סדר, ליקוט, השוואה</w:t>
      </w:r>
      <w:r>
        <w:rPr>
          <w:rFonts w:hint="cs"/>
          <w:u w:val="single"/>
          <w:rtl/>
        </w:rPr>
        <w:t>,</w:t>
      </w:r>
      <w:r w:rsidRPr="00A56589">
        <w:rPr>
          <w:rFonts w:hint="cs"/>
          <w:u w:val="single"/>
          <w:rtl/>
        </w:rPr>
        <w:t xml:space="preserve"> חיבור</w:t>
      </w:r>
      <w:r>
        <w:rPr>
          <w:rFonts w:hint="cs"/>
          <w:u w:val="single"/>
          <w:rtl/>
        </w:rPr>
        <w:t xml:space="preserve"> והרחבה</w:t>
      </w:r>
      <w:r w:rsidRPr="00A56589">
        <w:rPr>
          <w:rFonts w:hint="cs"/>
          <w:u w:val="single"/>
          <w:rtl/>
        </w:rPr>
        <w:t xml:space="preserve">: </w:t>
      </w:r>
    </w:p>
    <w:p w14:paraId="4F148026" w14:textId="77777777" w:rsidR="00DF2D66" w:rsidRDefault="00DF2D66" w:rsidP="00DF2D66">
      <w:pPr>
        <w:pStyle w:val="ac"/>
        <w:numPr>
          <w:ilvl w:val="0"/>
          <w:numId w:val="380"/>
        </w:numPr>
        <w:spacing w:after="160" w:line="259" w:lineRule="auto"/>
      </w:pPr>
      <w:r>
        <w:rPr>
          <w:rFonts w:hint="cs"/>
          <w:rtl/>
        </w:rPr>
        <w:t xml:space="preserve">הספר ערוך על סדר השלחן ערוך, כשבכל סעיף הבאנו את דברי הגמרא והראשונים השייכים לאותו סעיף. </w:t>
      </w:r>
    </w:p>
    <w:p w14:paraId="60852245" w14:textId="77777777" w:rsidR="00DF2D66" w:rsidRDefault="00DF2D66" w:rsidP="00DF2D66">
      <w:pPr>
        <w:pStyle w:val="ac"/>
        <w:numPr>
          <w:ilvl w:val="0"/>
          <w:numId w:val="380"/>
        </w:numPr>
        <w:spacing w:after="160" w:line="259" w:lineRule="auto"/>
      </w:pPr>
      <w:r>
        <w:rPr>
          <w:rFonts w:hint="cs"/>
          <w:rtl/>
        </w:rPr>
        <w:t>בכל סעיף יש חלוקה לכותרות לפי הנושא המדובר, ותתי כותרות כדי לפתוח תת נושא היוצא מהכותרת הראשית.</w:t>
      </w:r>
    </w:p>
    <w:p w14:paraId="6E80A38E" w14:textId="77777777" w:rsidR="00DF2D66" w:rsidRDefault="00DF2D66" w:rsidP="00DF2D66">
      <w:pPr>
        <w:pStyle w:val="ac"/>
        <w:numPr>
          <w:ilvl w:val="0"/>
          <w:numId w:val="380"/>
        </w:numPr>
        <w:spacing w:after="160" w:line="259" w:lineRule="auto"/>
      </w:pPr>
      <w:r>
        <w:rPr>
          <w:rFonts w:hint="cs"/>
          <w:rtl/>
        </w:rPr>
        <w:t>המקורות מפוסקים על מנת שיוכל הלומד לרוץ בהבנת הדברים.</w:t>
      </w:r>
    </w:p>
    <w:p w14:paraId="580F6D67" w14:textId="77777777" w:rsidR="00DF2D66" w:rsidRDefault="00DF2D66" w:rsidP="00DF2D66">
      <w:pPr>
        <w:pStyle w:val="ac"/>
        <w:numPr>
          <w:ilvl w:val="0"/>
          <w:numId w:val="380"/>
        </w:numPr>
        <w:spacing w:after="160" w:line="259" w:lineRule="auto"/>
      </w:pPr>
      <w:r>
        <w:rPr>
          <w:rFonts w:hint="cs"/>
          <w:rtl/>
        </w:rPr>
        <w:t>השוונו בין סימנים וסעיפים שמשלימים זה את זה, תוך ציון מהיכן נלקחו הדברים.</w:t>
      </w:r>
    </w:p>
    <w:p w14:paraId="62E4FB22" w14:textId="77777777" w:rsidR="00DF2D66" w:rsidRDefault="00DF2D66" w:rsidP="00DF2D66">
      <w:pPr>
        <w:pStyle w:val="ac"/>
        <w:numPr>
          <w:ilvl w:val="0"/>
          <w:numId w:val="380"/>
        </w:numPr>
        <w:spacing w:after="160" w:line="259" w:lineRule="auto"/>
      </w:pPr>
      <w:r>
        <w:rPr>
          <w:rFonts w:hint="cs"/>
          <w:rtl/>
        </w:rPr>
        <w:t>דברי הב"י שמפוזרים בכל מיני מקומות - לוקטו לסעיף המיועד.</w:t>
      </w:r>
    </w:p>
    <w:p w14:paraId="058324B7" w14:textId="77777777" w:rsidR="00DF2D66" w:rsidRDefault="00DF2D66" w:rsidP="00DF2D66">
      <w:pPr>
        <w:pStyle w:val="ac"/>
        <w:numPr>
          <w:ilvl w:val="0"/>
          <w:numId w:val="380"/>
        </w:numPr>
        <w:spacing w:after="160" w:line="259" w:lineRule="auto"/>
      </w:pPr>
      <w:r>
        <w:rPr>
          <w:rFonts w:hint="cs"/>
          <w:rtl/>
        </w:rPr>
        <w:t>פתחתי ראשי תיבות מסובכים.</w:t>
      </w:r>
    </w:p>
    <w:p w14:paraId="13244066" w14:textId="77777777" w:rsidR="00DF2D66" w:rsidRDefault="00DF2D66" w:rsidP="00DF2D66">
      <w:pPr>
        <w:pStyle w:val="ac"/>
        <w:numPr>
          <w:ilvl w:val="0"/>
          <w:numId w:val="380"/>
        </w:numPr>
        <w:spacing w:after="160" w:line="259" w:lineRule="auto"/>
      </w:pPr>
      <w:r>
        <w:rPr>
          <w:rFonts w:hint="cs"/>
          <w:rtl/>
        </w:rPr>
        <w:t>מושגים קשים שאינם מהסוגייא - הרחבתי/הפשטתי על מנת שיוכל הלומד לרוץ בלימוד.</w:t>
      </w:r>
    </w:p>
    <w:p w14:paraId="70C73A34" w14:textId="77777777" w:rsidR="00DF2D66" w:rsidRPr="00A56589" w:rsidRDefault="00DF2D66" w:rsidP="00DF2D66">
      <w:pPr>
        <w:rPr>
          <w:u w:val="single"/>
          <w:rtl/>
        </w:rPr>
      </w:pPr>
      <w:r w:rsidRPr="00A56589">
        <w:rPr>
          <w:rFonts w:hint="cs"/>
          <w:u w:val="single"/>
          <w:rtl/>
        </w:rPr>
        <w:lastRenderedPageBreak/>
        <w:t>אחרונים:</w:t>
      </w:r>
    </w:p>
    <w:p w14:paraId="2610E317" w14:textId="77777777" w:rsidR="00DF2D66" w:rsidRDefault="00DF2D66" w:rsidP="00DF2D66">
      <w:pPr>
        <w:pStyle w:val="ac"/>
        <w:numPr>
          <w:ilvl w:val="0"/>
          <w:numId w:val="381"/>
        </w:numPr>
        <w:spacing w:after="160" w:line="259" w:lineRule="auto"/>
      </w:pPr>
      <w:r>
        <w:rPr>
          <w:rFonts w:hint="cs"/>
          <w:rtl/>
        </w:rPr>
        <w:t xml:space="preserve">כמעט ולא הבאתי מדברי האחרונים בני דורנו בספר זה, וזאת משום שמטרת הספר היא ללמוד את מקורות ההלכה וסברתה. </w:t>
      </w:r>
    </w:p>
    <w:p w14:paraId="70E4A91E" w14:textId="77777777" w:rsidR="00DF2D66" w:rsidRPr="0002122C" w:rsidRDefault="00DF2D66" w:rsidP="00DF2D66">
      <w:pPr>
        <w:rPr>
          <w:u w:val="single"/>
          <w:rtl/>
        </w:rPr>
      </w:pPr>
      <w:r w:rsidRPr="0002122C">
        <w:rPr>
          <w:rFonts w:hint="cs"/>
          <w:u w:val="single"/>
          <w:rtl/>
        </w:rPr>
        <w:t>סימנים:</w:t>
      </w:r>
    </w:p>
    <w:p w14:paraId="0F38D3D8" w14:textId="77777777" w:rsidR="00DF2D66" w:rsidRDefault="00DF2D66" w:rsidP="00DF2D66">
      <w:pPr>
        <w:pStyle w:val="ac"/>
        <w:numPr>
          <w:ilvl w:val="0"/>
          <w:numId w:val="382"/>
        </w:numPr>
        <w:spacing w:after="160" w:line="259" w:lineRule="auto"/>
        <w:rPr>
          <w:rtl/>
        </w:rPr>
      </w:pPr>
      <w:r>
        <w:rPr>
          <w:rFonts w:hint="cs"/>
          <w:rtl/>
        </w:rPr>
        <w:t xml:space="preserve">השתדלתי להביא על כל דף גמרא סימן, על מנת לזכור שהסוגיא הנלמדת נמצאת בדף המסוים הזה. למשל, במסכת בבא קמא דף צ"ז מובאת סוגיא בעניין </w:t>
      </w:r>
      <w:r w:rsidRPr="0049674D">
        <w:rPr>
          <w:rFonts w:cs="Arial"/>
          <w:rtl/>
        </w:rPr>
        <w:t>המלוה את חבירו על המטבע ונפסל המטבע</w:t>
      </w:r>
      <w:r>
        <w:rPr>
          <w:rFonts w:cs="Arial" w:hint="cs"/>
          <w:rtl/>
        </w:rPr>
        <w:t xml:space="preserve"> באותו מקום, באיזו מטבע צריך להחזיר לו. והסימן לסוגיא הוא - </w:t>
      </w:r>
      <w:r w:rsidRPr="0002122C">
        <w:rPr>
          <w:rFonts w:cs="Arial" w:hint="cs"/>
          <w:b/>
          <w:bCs/>
          <w:rtl/>
        </w:rPr>
        <w:t>צ</w:t>
      </w:r>
      <w:r>
        <w:rPr>
          <w:rFonts w:cs="Arial" w:hint="cs"/>
          <w:rtl/>
        </w:rPr>
        <w:t xml:space="preserve">נחו </w:t>
      </w:r>
      <w:r w:rsidRPr="0002122C">
        <w:rPr>
          <w:rFonts w:cs="Arial" w:hint="cs"/>
          <w:b/>
          <w:bCs/>
          <w:rtl/>
        </w:rPr>
        <w:t>ז</w:t>
      </w:r>
      <w:r>
        <w:rPr>
          <w:rFonts w:cs="Arial" w:hint="cs"/>
          <w:rtl/>
        </w:rPr>
        <w:t>וזים.</w:t>
      </w:r>
    </w:p>
    <w:p w14:paraId="1223C755" w14:textId="77777777" w:rsidR="00DF2D66" w:rsidRDefault="00DF2D66" w:rsidP="00DF2D66">
      <w:pPr>
        <w:pStyle w:val="2"/>
        <w:rPr>
          <w:rtl/>
        </w:rPr>
      </w:pPr>
      <w:r>
        <w:rPr>
          <w:rFonts w:hint="cs"/>
          <w:rtl/>
        </w:rPr>
        <w:t>דברים אחדים</w:t>
      </w:r>
    </w:p>
    <w:p w14:paraId="01A2D4C2" w14:textId="77777777" w:rsidR="00DF2D66" w:rsidRDefault="00DF2D66" w:rsidP="00DF2D66">
      <w:pPr>
        <w:rPr>
          <w:rtl/>
        </w:rPr>
      </w:pPr>
      <w:r>
        <w:rPr>
          <w:rFonts w:hint="cs"/>
          <w:rtl/>
        </w:rPr>
        <w:t>הספר אינו גמור, צריך בחלק מהמקומות עוד הגהה סידור השלמות וכו'. ה' יהיה בעזרי ואעשה זאת בלנ"ד בהמשך.</w:t>
      </w:r>
    </w:p>
    <w:p w14:paraId="5EC8D7E3" w14:textId="77777777" w:rsidR="00DF2D66" w:rsidRDefault="00DF2D66" w:rsidP="00DF2D66">
      <w:pPr>
        <w:rPr>
          <w:rtl/>
        </w:rPr>
      </w:pPr>
      <w:r>
        <w:rPr>
          <w:rFonts w:hint="cs"/>
          <w:rtl/>
        </w:rPr>
        <w:t xml:space="preserve">נשארו מספר מקומות שנשארתי בצריך עיון, חלקם סימנתי באדום. </w:t>
      </w:r>
    </w:p>
    <w:p w14:paraId="5A0F0F42" w14:textId="77777777" w:rsidR="00DF2D66" w:rsidRDefault="00DF2D66" w:rsidP="00DF2D66">
      <w:pPr>
        <w:rPr>
          <w:rtl/>
        </w:rPr>
      </w:pPr>
      <w:r>
        <w:rPr>
          <w:rFonts w:hint="cs"/>
          <w:rtl/>
        </w:rPr>
        <w:t>השם הטוב יהיה בעזרי ויזכני לסיים את החיבור על כל חלקי השלחן ערוך.</w:t>
      </w:r>
    </w:p>
    <w:p w14:paraId="0EC93C95" w14:textId="77777777" w:rsidR="00DF2D66" w:rsidRDefault="00DF2D66" w:rsidP="00DF2D66">
      <w:pPr>
        <w:rPr>
          <w:rtl/>
        </w:rPr>
      </w:pPr>
      <w:r>
        <w:rPr>
          <w:rFonts w:hint="cs"/>
          <w:rtl/>
        </w:rPr>
        <w:t xml:space="preserve">השארתי את הספר בקובץ וורד על מנת שכל אחד יוכל לתקן לשנות ולהוסיף כראות עיניו. </w:t>
      </w:r>
      <w:r w:rsidRPr="00374629">
        <w:rPr>
          <w:rFonts w:hint="cs"/>
          <w:b/>
          <w:bCs/>
          <w:rtl/>
        </w:rPr>
        <w:t xml:space="preserve">עם זאת אבקש אם אפשר למי שמצא טעות שישלח לי על מנת שאוכל </w:t>
      </w:r>
      <w:r>
        <w:rPr>
          <w:rFonts w:hint="cs"/>
          <w:b/>
          <w:bCs/>
          <w:rtl/>
        </w:rPr>
        <w:t>לבדוק, ואם אכן טעיתי - א</w:t>
      </w:r>
      <w:r w:rsidRPr="00374629">
        <w:rPr>
          <w:rFonts w:hint="cs"/>
          <w:b/>
          <w:bCs/>
          <w:rtl/>
        </w:rPr>
        <w:t>תקן אצלי</w:t>
      </w:r>
      <w:r>
        <w:rPr>
          <w:rFonts w:hint="cs"/>
          <w:rtl/>
        </w:rPr>
        <w:t xml:space="preserve">. </w:t>
      </w:r>
    </w:p>
    <w:p w14:paraId="5925DF4B" w14:textId="77777777" w:rsidR="00DF2D66" w:rsidRDefault="00DF2D66" w:rsidP="00DF2D66">
      <w:pPr>
        <w:rPr>
          <w:rtl/>
        </w:rPr>
      </w:pPr>
      <w:r>
        <w:rPr>
          <w:rFonts w:hint="cs"/>
          <w:rtl/>
        </w:rPr>
        <w:t>למי שלומד מהמחשב מומלץ לחלק את הסיכום לכמה חלקים על מנת שהמחשב ירוץ ולא יתקע על כל שינוי בסיכום. או לחילופין לעבוד על מצב טיוטה (נמצא בתפריט תצוגה, מצד ימין). והאפשרות האחרונה עדיפה.</w:t>
      </w:r>
    </w:p>
    <w:p w14:paraId="1CF41ECF" w14:textId="77777777" w:rsidR="00DF2D66" w:rsidRDefault="00DF2D66" w:rsidP="00DF2D66">
      <w:pPr>
        <w:rPr>
          <w:rtl/>
        </w:rPr>
      </w:pPr>
      <w:r>
        <w:rPr>
          <w:rFonts w:hint="cs"/>
          <w:rtl/>
        </w:rPr>
        <w:t xml:space="preserve">אין להעתיק/להדפיס/לעשות מספר זה שום דבר שהוא לצורך מכירה/מסחר. </w:t>
      </w:r>
    </w:p>
    <w:p w14:paraId="5C4EA784" w14:textId="77777777" w:rsidR="00DF2D66" w:rsidRDefault="00DF2D66" w:rsidP="00DF2D66">
      <w:pPr>
        <w:rPr>
          <w:rtl/>
        </w:rPr>
      </w:pPr>
      <w:r>
        <w:rPr>
          <w:rFonts w:hint="cs"/>
          <w:rtl/>
        </w:rPr>
        <w:t>יצחק ממן</w:t>
      </w:r>
    </w:p>
    <w:p w14:paraId="507D5542" w14:textId="77777777" w:rsidR="00DF2D66" w:rsidRDefault="00DF2D66" w:rsidP="00DF2D66">
      <w:pPr>
        <w:rPr>
          <w:rtl/>
        </w:rPr>
      </w:pPr>
      <w:r>
        <w:rPr>
          <w:rFonts w:hint="cs"/>
          <w:rtl/>
        </w:rPr>
        <w:t xml:space="preserve">מייל </w:t>
      </w:r>
      <w:r>
        <w:rPr>
          <w:rtl/>
        </w:rPr>
        <w:t>–</w:t>
      </w:r>
      <w:r>
        <w:rPr>
          <w:rFonts w:hint="cs"/>
          <w:rtl/>
        </w:rPr>
        <w:t xml:space="preserve"> </w:t>
      </w:r>
      <w:hyperlink r:id="rId8" w:history="1">
        <w:r w:rsidRPr="0066196F">
          <w:rPr>
            <w:rStyle w:val="Hyperlink"/>
          </w:rPr>
          <w:t>itzakmaman@gmail.com</w:t>
        </w:r>
      </w:hyperlink>
      <w:r>
        <w:rPr>
          <w:rFonts w:hint="cs"/>
          <w:rtl/>
        </w:rPr>
        <w:t xml:space="preserve">         </w:t>
      </w:r>
    </w:p>
    <w:p w14:paraId="733CAACD" w14:textId="77777777" w:rsidR="00DF2D66" w:rsidRDefault="00DF2D66" w:rsidP="00DF2D66">
      <w:pPr>
        <w:rPr>
          <w:rtl/>
        </w:rPr>
      </w:pPr>
      <w:r>
        <w:rPr>
          <w:rFonts w:hint="cs"/>
          <w:rtl/>
        </w:rPr>
        <w:t xml:space="preserve">טלפון </w:t>
      </w:r>
      <w:r>
        <w:rPr>
          <w:rtl/>
        </w:rPr>
        <w:t>–</w:t>
      </w:r>
      <w:r>
        <w:rPr>
          <w:rFonts w:hint="cs"/>
          <w:rtl/>
        </w:rPr>
        <w:t xml:space="preserve"> 0545662712 </w:t>
      </w:r>
    </w:p>
    <w:p w14:paraId="797174E7" w14:textId="77777777" w:rsidR="00DF2D66" w:rsidRDefault="00DF2D66" w:rsidP="00DF2D66">
      <w:pPr>
        <w:rPr>
          <w:rtl/>
        </w:rPr>
      </w:pPr>
      <w:r>
        <w:rPr>
          <w:rFonts w:hint="cs"/>
          <w:rtl/>
        </w:rPr>
        <w:t>בנוסף, אפשר להכנס לאתר 'ברית יצחק' (</w:t>
      </w:r>
      <w:r>
        <w:t>brit-itzak.com</w:t>
      </w:r>
      <w:r>
        <w:rPr>
          <w:rFonts w:hint="cs"/>
          <w:rtl/>
        </w:rPr>
        <w:t xml:space="preserve">), שם אני מעדכן מדי פעם את הקבצים לפי ההתקדמות שלי. וכן יש שם טבלאות של סימנים לזכירת דפי הגמרא. </w:t>
      </w:r>
    </w:p>
    <w:p w14:paraId="109EBAA1" w14:textId="77777777" w:rsidR="00DF2D66" w:rsidRDefault="00372E23" w:rsidP="00DF2D66">
      <w:hyperlink r:id="rId9" w:history="1">
        <w:r w:rsidR="00DF2D66" w:rsidRPr="009F570C">
          <w:rPr>
            <w:rStyle w:val="Hyperlink"/>
            <w:rFonts w:hint="cs"/>
            <w:rtl/>
          </w:rPr>
          <w:t>לסכומי דיינות לחץ כאן</w:t>
        </w:r>
      </w:hyperlink>
      <w:r w:rsidR="00DF2D66">
        <w:rPr>
          <w:rFonts w:hint="cs"/>
          <w:rtl/>
        </w:rPr>
        <w:t xml:space="preserve"> </w:t>
      </w:r>
    </w:p>
    <w:p w14:paraId="346A7DF1" w14:textId="77777777" w:rsidR="00DF2D66" w:rsidRPr="00845316" w:rsidRDefault="00372E23" w:rsidP="00DF2D66">
      <w:pPr>
        <w:rPr>
          <w:rFonts w:asciiTheme="minorBidi" w:hAnsiTheme="minorBidi"/>
          <w:rtl/>
        </w:rPr>
      </w:pPr>
      <w:hyperlink r:id="rId10" w:history="1">
        <w:r w:rsidR="00DF2D66" w:rsidRPr="009F570C">
          <w:rPr>
            <w:rStyle w:val="Hyperlink"/>
            <w:rFonts w:hint="cs"/>
            <w:rtl/>
          </w:rPr>
          <w:t>לסכומי רבנות לחץ כאן</w:t>
        </w:r>
      </w:hyperlink>
      <w:r w:rsidR="00DF2D66">
        <w:rPr>
          <w:rFonts w:hint="cs"/>
          <w:rtl/>
        </w:rPr>
        <w:t xml:space="preserve"> </w:t>
      </w:r>
    </w:p>
    <w:p w14:paraId="4E6C918D" w14:textId="77777777" w:rsidR="00DF2D66" w:rsidRDefault="00DF2D66" w:rsidP="004A326E">
      <w:pPr>
        <w:pStyle w:val="1"/>
        <w:rPr>
          <w:rtl/>
        </w:rPr>
        <w:sectPr w:rsidR="00DF2D66" w:rsidSect="00AF3AF9">
          <w:headerReference w:type="default" r:id="rId11"/>
          <w:footnotePr>
            <w:numRestart w:val="eachPage"/>
          </w:footnotePr>
          <w:pgSz w:w="11906" w:h="16838"/>
          <w:pgMar w:top="720" w:right="1134" w:bottom="720" w:left="1134" w:header="0" w:footer="0" w:gutter="0"/>
          <w:cols w:space="720"/>
          <w:bidi/>
          <w:rtlGutter/>
          <w:docGrid w:linePitch="360"/>
        </w:sectPr>
      </w:pPr>
    </w:p>
    <w:p w14:paraId="253256B5" w14:textId="77777777" w:rsidR="004A326E" w:rsidRDefault="004A326E" w:rsidP="004A326E">
      <w:pPr>
        <w:pStyle w:val="1"/>
        <w:rPr>
          <w:rtl/>
        </w:rPr>
      </w:pPr>
      <w:r>
        <w:rPr>
          <w:rFonts w:hint="cs"/>
          <w:rtl/>
        </w:rPr>
        <w:lastRenderedPageBreak/>
        <w:t xml:space="preserve">סימן א: </w:t>
      </w:r>
      <w:r>
        <w:rPr>
          <w:rtl/>
        </w:rPr>
        <w:t>מנוי השופטים בארץ ובחוצה לארץ, ובו ו' סעיפים.</w:t>
      </w:r>
      <w:bookmarkEnd w:id="1"/>
      <w:r>
        <w:rPr>
          <w:rtl/>
        </w:rPr>
        <w:t xml:space="preserve"> </w:t>
      </w:r>
    </w:p>
    <w:p w14:paraId="1735235D" w14:textId="77777777" w:rsidR="004A326E" w:rsidRDefault="004A326E" w:rsidP="004A326E">
      <w:pPr>
        <w:pStyle w:val="2"/>
        <w:rPr>
          <w:rtl/>
        </w:rPr>
      </w:pPr>
      <w:bookmarkStart w:id="4" w:name="_Toc24883511"/>
      <w:r>
        <w:rPr>
          <w:rtl/>
        </w:rPr>
        <w:t>סעיף א</w:t>
      </w:r>
      <w:r>
        <w:rPr>
          <w:rFonts w:hint="cs"/>
          <w:rtl/>
        </w:rPr>
        <w:t>: במה דנים הדיינים בזמה"ז.</w:t>
      </w:r>
      <w:bookmarkEnd w:id="4"/>
    </w:p>
    <w:p w14:paraId="6C9A76CE" w14:textId="77777777" w:rsidR="004A326E" w:rsidRPr="00FB7FB1" w:rsidRDefault="004A326E" w:rsidP="004A326E">
      <w:pPr>
        <w:rPr>
          <w:rFonts w:cs="Arial"/>
          <w:rtl/>
        </w:rPr>
      </w:pPr>
      <w:r w:rsidRPr="00FB7FB1">
        <w:rPr>
          <w:rFonts w:cs="Arial" w:hint="cs"/>
          <w:b/>
          <w:bCs/>
          <w:rtl/>
        </w:rPr>
        <w:t xml:space="preserve">סנהדרין </w:t>
      </w:r>
      <w:r w:rsidRPr="00FB7FB1">
        <w:rPr>
          <w:rFonts w:cs="Arial" w:hint="cs"/>
          <w:b/>
          <w:bCs/>
          <w:sz w:val="16"/>
          <w:szCs w:val="16"/>
          <w:rtl/>
        </w:rPr>
        <w:t>(פ"ק)</w:t>
      </w:r>
      <w:r>
        <w:rPr>
          <w:rFonts w:cs="Arial" w:hint="cs"/>
          <w:b/>
          <w:bCs/>
          <w:sz w:val="16"/>
          <w:szCs w:val="16"/>
          <w:rtl/>
        </w:rPr>
        <w:t xml:space="preserve"> </w:t>
      </w:r>
      <w:r w:rsidRPr="00FB7FB1">
        <w:rPr>
          <w:rFonts w:cs="Arial" w:hint="cs"/>
          <w:b/>
          <w:bCs/>
          <w:rtl/>
        </w:rPr>
        <w:t>ז</w:t>
      </w:r>
      <w:r w:rsidR="00C83002">
        <w:rPr>
          <w:rStyle w:val="ab"/>
          <w:rFonts w:cs="Arial"/>
          <w:b/>
          <w:bCs/>
          <w:rtl/>
        </w:rPr>
        <w:footnoteReference w:id="6"/>
      </w:r>
      <w:r w:rsidRPr="00FB7FB1">
        <w:rPr>
          <w:rFonts w:cs="Arial" w:hint="cs"/>
          <w:b/>
          <w:bCs/>
          <w:rtl/>
        </w:rPr>
        <w:t xml:space="preserve"> ע"ב: </w:t>
      </w:r>
      <w:r w:rsidRPr="00FB7FB1">
        <w:rPr>
          <w:rFonts w:cs="Arial"/>
          <w:rtl/>
        </w:rPr>
        <w:t xml:space="preserve">אשר תשים? אשר תלמדם מיבעי ליה! </w:t>
      </w:r>
      <w:r w:rsidRPr="00FB7FB1">
        <w:rPr>
          <w:rFonts w:cs="Arial"/>
          <w:u w:val="single"/>
          <w:rtl/>
        </w:rPr>
        <w:t>אמר רבי ירמיה ואיתימא רבי חייא בר אבא</w:t>
      </w:r>
      <w:r>
        <w:rPr>
          <w:rFonts w:cs="Arial" w:hint="cs"/>
          <w:rtl/>
        </w:rPr>
        <w:t xml:space="preserve">: </w:t>
      </w:r>
      <w:r w:rsidRPr="00FB7FB1">
        <w:rPr>
          <w:rFonts w:cs="Arial"/>
          <w:rtl/>
        </w:rPr>
        <w:t>אלו כלי הדיינין</w:t>
      </w:r>
      <w:r>
        <w:rPr>
          <w:rStyle w:val="ab"/>
          <w:rFonts w:cs="Arial"/>
          <w:rtl/>
        </w:rPr>
        <w:footnoteReference w:id="7"/>
      </w:r>
      <w:r w:rsidRPr="00FB7FB1">
        <w:rPr>
          <w:rFonts w:cs="Arial"/>
          <w:rtl/>
        </w:rPr>
        <w:t xml:space="preserve">. </w:t>
      </w:r>
      <w:r w:rsidRPr="00FB7FB1">
        <w:rPr>
          <w:rFonts w:cs="Arial"/>
          <w:u w:val="single"/>
          <w:rtl/>
        </w:rPr>
        <w:t>רב הונא כי הוה נפק לדינא אמר הכי</w:t>
      </w:r>
      <w:r w:rsidRPr="00FB7FB1">
        <w:rPr>
          <w:rFonts w:cs="Arial"/>
          <w:rtl/>
        </w:rPr>
        <w:t>: אפיקו לי מאני חנותאי: מקל</w:t>
      </w:r>
      <w:r>
        <w:rPr>
          <w:rStyle w:val="ab"/>
          <w:rFonts w:cs="Arial"/>
          <w:rtl/>
        </w:rPr>
        <w:footnoteReference w:id="8"/>
      </w:r>
      <w:r w:rsidRPr="00FB7FB1">
        <w:rPr>
          <w:rFonts w:cs="Arial"/>
          <w:rtl/>
        </w:rPr>
        <w:t xml:space="preserve"> ורצועה</w:t>
      </w:r>
      <w:r>
        <w:rPr>
          <w:rStyle w:val="ab"/>
          <w:rFonts w:cs="Arial"/>
          <w:rtl/>
        </w:rPr>
        <w:footnoteReference w:id="9"/>
      </w:r>
      <w:r w:rsidRPr="00FB7FB1">
        <w:rPr>
          <w:rFonts w:cs="Arial"/>
          <w:rtl/>
        </w:rPr>
        <w:t>, ושופרא</w:t>
      </w:r>
      <w:r>
        <w:rPr>
          <w:rStyle w:val="ab"/>
          <w:rFonts w:cs="Arial"/>
          <w:rtl/>
        </w:rPr>
        <w:footnoteReference w:id="10"/>
      </w:r>
      <w:r w:rsidRPr="00FB7FB1">
        <w:rPr>
          <w:rFonts w:cs="Arial"/>
          <w:rtl/>
        </w:rPr>
        <w:t xml:space="preserve"> וסנדלא</w:t>
      </w:r>
      <w:r>
        <w:rPr>
          <w:rStyle w:val="ab"/>
          <w:rFonts w:cs="Arial"/>
          <w:rtl/>
        </w:rPr>
        <w:footnoteReference w:id="11"/>
      </w:r>
      <w:r>
        <w:rPr>
          <w:rFonts w:cs="Arial" w:hint="cs"/>
          <w:rtl/>
        </w:rPr>
        <w:t xml:space="preserve">. </w:t>
      </w:r>
      <w:r w:rsidRPr="00FB7FB1">
        <w:rPr>
          <w:rFonts w:cs="Arial" w:hint="cs"/>
          <w:sz w:val="16"/>
          <w:szCs w:val="16"/>
          <w:rtl/>
        </w:rPr>
        <w:t>(</w:t>
      </w:r>
      <w:r>
        <w:rPr>
          <w:rFonts w:cs="Arial" w:hint="cs"/>
          <w:sz w:val="16"/>
          <w:szCs w:val="16"/>
          <w:rtl/>
        </w:rPr>
        <w:t>וכ"כ הטור</w:t>
      </w:r>
      <w:r>
        <w:rPr>
          <w:rStyle w:val="ab"/>
          <w:rFonts w:cs="Arial"/>
          <w:sz w:val="16"/>
          <w:szCs w:val="16"/>
          <w:rtl/>
        </w:rPr>
        <w:footnoteReference w:id="12"/>
      </w:r>
      <w:r>
        <w:rPr>
          <w:rFonts w:cs="Arial" w:hint="cs"/>
          <w:sz w:val="16"/>
          <w:szCs w:val="16"/>
          <w:rtl/>
        </w:rPr>
        <w:t xml:space="preserve">. </w:t>
      </w:r>
      <w:r w:rsidRPr="00FB7FB1">
        <w:rPr>
          <w:rFonts w:cs="Arial" w:hint="cs"/>
          <w:sz w:val="16"/>
          <w:szCs w:val="16"/>
          <w:rtl/>
        </w:rPr>
        <w:t xml:space="preserve">וכתב </w:t>
      </w:r>
      <w:r w:rsidR="0020770A">
        <w:rPr>
          <w:rFonts w:cs="Arial" w:hint="cs"/>
          <w:sz w:val="16"/>
          <w:szCs w:val="16"/>
          <w:rtl/>
        </w:rPr>
        <w:t xml:space="preserve">הטור </w:t>
      </w:r>
      <w:r>
        <w:rPr>
          <w:rFonts w:cs="Arial" w:hint="cs"/>
          <w:sz w:val="16"/>
          <w:szCs w:val="16"/>
          <w:rtl/>
        </w:rPr>
        <w:t>עוד</w:t>
      </w:r>
      <w:r w:rsidRPr="00FB7FB1">
        <w:rPr>
          <w:rFonts w:cs="Arial" w:hint="cs"/>
          <w:sz w:val="16"/>
          <w:szCs w:val="16"/>
          <w:rtl/>
        </w:rPr>
        <w:t xml:space="preserve"> ד</w:t>
      </w:r>
      <w:r w:rsidRPr="00FB7FB1">
        <w:rPr>
          <w:rFonts w:cs="Arial"/>
          <w:sz w:val="16"/>
          <w:szCs w:val="16"/>
          <w:rtl/>
        </w:rPr>
        <w:t>ספר תורה נמי צריך שתהא מזומן בב"ד</w:t>
      </w:r>
      <w:r w:rsidR="0020770A">
        <w:rPr>
          <w:rFonts w:cs="Arial" w:hint="cs"/>
          <w:sz w:val="16"/>
          <w:szCs w:val="16"/>
          <w:rtl/>
        </w:rPr>
        <w:t>,</w:t>
      </w:r>
      <w:r w:rsidRPr="00FB7FB1">
        <w:rPr>
          <w:rFonts w:cs="Arial"/>
          <w:sz w:val="16"/>
          <w:szCs w:val="16"/>
          <w:rtl/>
        </w:rPr>
        <w:t xml:space="preserve"> כדאמרינן בתקנת עזרא שיהו בתי דינין קבועים בב' ובה' ואמרינן מ"ט משום דשכיחי בהו רבים איבעית אימא משום טירחא לאפוקי ספר תורה</w:t>
      </w:r>
      <w:r w:rsidRPr="00FB7FB1">
        <w:rPr>
          <w:rFonts w:cs="Arial" w:hint="cs"/>
          <w:sz w:val="16"/>
          <w:szCs w:val="16"/>
          <w:rtl/>
        </w:rPr>
        <w:t>. עכ"ל. וכ' הב"י ד</w:t>
      </w:r>
      <w:r w:rsidRPr="00FB7FB1">
        <w:rPr>
          <w:rFonts w:cs="Arial"/>
          <w:sz w:val="16"/>
          <w:szCs w:val="16"/>
          <w:rtl/>
        </w:rPr>
        <w:t>תקנת עזרא היא בסוף פרק מרובה (ב"ק פב.) אבל אין כתוב בנוסחאות שלנו כמו שכתב רבינו אלא הכי איתא</w:t>
      </w:r>
      <w:r w:rsidR="0020770A">
        <w:rPr>
          <w:rFonts w:cs="Arial" w:hint="cs"/>
          <w:sz w:val="16"/>
          <w:szCs w:val="16"/>
          <w:rtl/>
        </w:rPr>
        <w:t xml:space="preserve"> </w:t>
      </w:r>
      <w:r w:rsidR="0020770A">
        <w:rPr>
          <w:rFonts w:cs="Arial"/>
          <w:sz w:val="16"/>
          <w:szCs w:val="16"/>
          <w:rtl/>
        </w:rPr>
        <w:t>–</w:t>
      </w:r>
      <w:r w:rsidRPr="00FB7FB1">
        <w:rPr>
          <w:rFonts w:cs="Arial"/>
          <w:sz w:val="16"/>
          <w:szCs w:val="16"/>
          <w:rtl/>
        </w:rPr>
        <w:t xml:space="preserve"> </w:t>
      </w:r>
      <w:r w:rsidR="0020770A">
        <w:rPr>
          <w:rFonts w:cs="Arial" w:hint="cs"/>
          <w:sz w:val="16"/>
          <w:szCs w:val="16"/>
          <w:rtl/>
        </w:rPr>
        <w:t>'</w:t>
      </w:r>
      <w:r w:rsidRPr="00FB7FB1">
        <w:rPr>
          <w:rFonts w:cs="Arial"/>
          <w:sz w:val="16"/>
          <w:szCs w:val="16"/>
          <w:rtl/>
        </w:rPr>
        <w:t>ודנין בשני ובחמישי דשכיחי דאתו למקרי בספרא</w:t>
      </w:r>
      <w:r w:rsidR="0020770A">
        <w:rPr>
          <w:rFonts w:cs="Arial" w:hint="cs"/>
          <w:sz w:val="16"/>
          <w:szCs w:val="16"/>
          <w:rtl/>
        </w:rPr>
        <w:t>'</w:t>
      </w:r>
      <w:r>
        <w:rPr>
          <w:rFonts w:cs="Arial" w:hint="cs"/>
          <w:sz w:val="16"/>
          <w:szCs w:val="16"/>
          <w:rtl/>
        </w:rPr>
        <w:t>,</w:t>
      </w:r>
      <w:r w:rsidRPr="00FB7FB1">
        <w:rPr>
          <w:rFonts w:cs="Arial"/>
          <w:sz w:val="16"/>
          <w:szCs w:val="16"/>
          <w:rtl/>
        </w:rPr>
        <w:t xml:space="preserve"> ולפי נוסחא זו אין משם ראיה שצריך שיהא ספר תורה מצוי בבית די</w:t>
      </w:r>
      <w:r w:rsidRPr="00FB7FB1">
        <w:rPr>
          <w:rFonts w:cs="Arial" w:hint="cs"/>
          <w:sz w:val="16"/>
          <w:szCs w:val="16"/>
          <w:rtl/>
        </w:rPr>
        <w:t>ן)</w:t>
      </w:r>
    </w:p>
    <w:p w14:paraId="7CCCBCBC" w14:textId="77777777" w:rsidR="004A326E" w:rsidRDefault="004A326E" w:rsidP="004A326E">
      <w:pPr>
        <w:rPr>
          <w:rFonts w:cs="Arial"/>
          <w:rtl/>
        </w:rPr>
      </w:pPr>
      <w:r w:rsidRPr="002545BA">
        <w:rPr>
          <w:rFonts w:cs="Arial" w:hint="cs"/>
          <w:b/>
          <w:bCs/>
          <w:rtl/>
        </w:rPr>
        <w:t xml:space="preserve">מכות </w:t>
      </w:r>
      <w:r w:rsidRPr="00FB7FB1">
        <w:rPr>
          <w:rFonts w:cs="Arial" w:hint="cs"/>
          <w:b/>
          <w:bCs/>
          <w:sz w:val="16"/>
          <w:szCs w:val="16"/>
          <w:rtl/>
        </w:rPr>
        <w:t>(</w:t>
      </w:r>
      <w:r w:rsidR="0020770A">
        <w:rPr>
          <w:rFonts w:cs="Arial" w:hint="cs"/>
          <w:b/>
          <w:bCs/>
          <w:sz w:val="16"/>
          <w:szCs w:val="16"/>
          <w:rtl/>
        </w:rPr>
        <w:t>ס</w:t>
      </w:r>
      <w:r w:rsidRPr="00FB7FB1">
        <w:rPr>
          <w:rFonts w:cs="Arial" w:hint="cs"/>
          <w:b/>
          <w:bCs/>
          <w:sz w:val="16"/>
          <w:szCs w:val="16"/>
          <w:rtl/>
        </w:rPr>
        <w:t>פ"ק)</w:t>
      </w:r>
      <w:r>
        <w:rPr>
          <w:rFonts w:cs="Arial" w:hint="cs"/>
          <w:b/>
          <w:bCs/>
          <w:sz w:val="16"/>
          <w:szCs w:val="16"/>
          <w:rtl/>
        </w:rPr>
        <w:t xml:space="preserve"> </w:t>
      </w:r>
      <w:r w:rsidRPr="002545BA">
        <w:rPr>
          <w:rFonts w:cs="Arial" w:hint="cs"/>
          <w:b/>
          <w:bCs/>
          <w:rtl/>
        </w:rPr>
        <w:t>ז ע"א:</w:t>
      </w:r>
      <w:r>
        <w:rPr>
          <w:rFonts w:cs="Arial" w:hint="cs"/>
          <w:rtl/>
        </w:rPr>
        <w:t xml:space="preserve"> </w:t>
      </w:r>
      <w:r w:rsidRPr="002545BA">
        <w:rPr>
          <w:rFonts w:cs="Arial" w:hint="cs"/>
          <w:u w:val="double"/>
          <w:rtl/>
        </w:rPr>
        <w:t>מתני'</w:t>
      </w:r>
      <w:r>
        <w:rPr>
          <w:rFonts w:cs="Arial" w:hint="cs"/>
          <w:rtl/>
        </w:rPr>
        <w:t xml:space="preserve">: </w:t>
      </w:r>
      <w:r w:rsidRPr="002545BA">
        <w:rPr>
          <w:rFonts w:cs="Arial"/>
          <w:rtl/>
        </w:rPr>
        <w:t>סנהדרין נוהגת בארץ ובחוצה לארץ.</w:t>
      </w:r>
      <w:r>
        <w:rPr>
          <w:rFonts w:cs="Arial" w:hint="cs"/>
          <w:rtl/>
        </w:rPr>
        <w:t>..</w:t>
      </w:r>
      <w:r w:rsidR="0020770A">
        <w:rPr>
          <w:rFonts w:cs="Arial" w:hint="cs"/>
          <w:rtl/>
        </w:rPr>
        <w:t xml:space="preserve">  </w:t>
      </w:r>
      <w:r>
        <w:rPr>
          <w:rFonts w:cs="Arial" w:hint="cs"/>
          <w:rtl/>
        </w:rPr>
        <w:t xml:space="preserve"> </w:t>
      </w:r>
      <w:r w:rsidRPr="002545BA">
        <w:rPr>
          <w:rFonts w:cs="Arial" w:hint="cs"/>
          <w:u w:val="double"/>
          <w:rtl/>
        </w:rPr>
        <w:t>גמ'</w:t>
      </w:r>
      <w:r>
        <w:rPr>
          <w:rFonts w:cs="Arial" w:hint="cs"/>
          <w:rtl/>
        </w:rPr>
        <w:t>:</w:t>
      </w:r>
      <w:r w:rsidRPr="002545BA">
        <w:rPr>
          <w:rtl/>
        </w:rPr>
        <w:t xml:space="preserve"> </w:t>
      </w:r>
      <w:r w:rsidRPr="002545BA">
        <w:rPr>
          <w:rFonts w:cs="Arial"/>
          <w:rtl/>
        </w:rPr>
        <w:t>סנהדרין נוהגת כו'. מנא ה"מ? דתנו רבנן: והיו אלה לכם לחוקת משפט לדורותיכם - למדנו לסנהדרין שנוהגת בארץ ובחוצה לארץ</w:t>
      </w:r>
      <w:r>
        <w:rPr>
          <w:rFonts w:cs="Arial" w:hint="cs"/>
          <w:rtl/>
        </w:rPr>
        <w:t>.</w:t>
      </w:r>
      <w:r w:rsidRPr="002545BA">
        <w:rPr>
          <w:rFonts w:cs="Arial"/>
          <w:rtl/>
        </w:rPr>
        <w:t xml:space="preserve"> א"כ, מה תלמוד לומר בשעריך? בשעריך אתה מושיב בתי דינים בכל פלך ופלך ובכל עיר ועיר, ובחו"ל אתה מושיב בכל פלך ופלך ואי אתה מושיב בכל עיר ועיר.</w:t>
      </w:r>
      <w:r w:rsidRPr="009701FA">
        <w:rPr>
          <w:rFonts w:cs="Arial"/>
          <w:sz w:val="16"/>
          <w:szCs w:val="16"/>
          <w:rtl/>
        </w:rPr>
        <w:t xml:space="preserve"> </w:t>
      </w:r>
      <w:r w:rsidRPr="009701FA">
        <w:rPr>
          <w:rFonts w:cs="Arial" w:hint="cs"/>
          <w:sz w:val="16"/>
          <w:szCs w:val="16"/>
          <w:rtl/>
        </w:rPr>
        <w:t>(</w:t>
      </w:r>
      <w:r w:rsidRPr="009701FA">
        <w:rPr>
          <w:rFonts w:cs="Arial"/>
          <w:sz w:val="16"/>
          <w:szCs w:val="16"/>
          <w:rtl/>
        </w:rPr>
        <w:t>ודוקא בזמן שיש סמיכה</w:t>
      </w:r>
      <w:r w:rsidR="001D7103">
        <w:rPr>
          <w:rFonts w:cs="Arial" w:hint="cs"/>
          <w:sz w:val="16"/>
          <w:szCs w:val="16"/>
          <w:rtl/>
        </w:rPr>
        <w:t>,</w:t>
      </w:r>
      <w:r w:rsidRPr="009701FA">
        <w:rPr>
          <w:rFonts w:cs="Arial"/>
          <w:sz w:val="16"/>
          <w:szCs w:val="16"/>
          <w:rtl/>
        </w:rPr>
        <w:t xml:space="preserve"> אבל האידנא דליכא סמיכה כל הדיינים בטלים מן התורה</w:t>
      </w:r>
      <w:r w:rsidR="001D7103">
        <w:rPr>
          <w:rFonts w:cs="Arial" w:hint="cs"/>
          <w:sz w:val="16"/>
          <w:szCs w:val="16"/>
          <w:rtl/>
        </w:rPr>
        <w:t>,</w:t>
      </w:r>
      <w:r w:rsidRPr="009701FA">
        <w:rPr>
          <w:rFonts w:cs="Arial"/>
          <w:sz w:val="16"/>
          <w:szCs w:val="16"/>
          <w:rtl/>
        </w:rPr>
        <w:t xml:space="preserve"> כדכתיב </w:t>
      </w:r>
      <w:r w:rsidR="0020770A">
        <w:rPr>
          <w:rFonts w:cs="Arial" w:hint="cs"/>
          <w:sz w:val="16"/>
          <w:szCs w:val="16"/>
          <w:rtl/>
        </w:rPr>
        <w:t>'</w:t>
      </w:r>
      <w:r w:rsidRPr="009701FA">
        <w:rPr>
          <w:rFonts w:cs="Arial"/>
          <w:sz w:val="16"/>
          <w:szCs w:val="16"/>
          <w:rtl/>
        </w:rPr>
        <w:t>לפניהם</w:t>
      </w:r>
      <w:r w:rsidR="0020770A">
        <w:rPr>
          <w:rFonts w:cs="Arial" w:hint="cs"/>
          <w:sz w:val="16"/>
          <w:szCs w:val="16"/>
          <w:rtl/>
        </w:rPr>
        <w:t>' -</w:t>
      </w:r>
      <w:r w:rsidRPr="009701FA">
        <w:rPr>
          <w:rFonts w:cs="Arial"/>
          <w:sz w:val="16"/>
          <w:szCs w:val="16"/>
          <w:rtl/>
        </w:rPr>
        <w:t xml:space="preserve"> לפני אלהים הכתובים בפרשה</w:t>
      </w:r>
      <w:r w:rsidR="0020770A">
        <w:rPr>
          <w:rFonts w:cs="Arial" w:hint="cs"/>
          <w:sz w:val="16"/>
          <w:szCs w:val="16"/>
          <w:rtl/>
        </w:rPr>
        <w:t>,</w:t>
      </w:r>
      <w:r w:rsidRPr="009701FA">
        <w:rPr>
          <w:rFonts w:cs="Arial"/>
          <w:sz w:val="16"/>
          <w:szCs w:val="16"/>
          <w:rtl/>
        </w:rPr>
        <w:t xml:space="preserve"> דהיינו סמוכים</w:t>
      </w:r>
      <w:r w:rsidR="0020770A">
        <w:rPr>
          <w:rFonts w:cs="Arial" w:hint="cs"/>
          <w:sz w:val="16"/>
          <w:szCs w:val="16"/>
          <w:rtl/>
        </w:rPr>
        <w:t>,</w:t>
      </w:r>
      <w:r w:rsidRPr="009701FA">
        <w:rPr>
          <w:rFonts w:cs="Arial"/>
          <w:sz w:val="16"/>
          <w:szCs w:val="16"/>
          <w:rtl/>
        </w:rPr>
        <w:t xml:space="preserve"> ודרשינן לפניהם ולא לפני הדיוטות ואנו הדיוטות אנו לפיכך אין הדיינין מן התורה אלא דשליחותייהו דקמאי עבדינן</w:t>
      </w:r>
      <w:r w:rsidRPr="009701FA">
        <w:rPr>
          <w:rFonts w:cs="Arial" w:hint="cs"/>
          <w:sz w:val="16"/>
          <w:szCs w:val="16"/>
          <w:rtl/>
        </w:rPr>
        <w:t>, טור)</w:t>
      </w:r>
    </w:p>
    <w:p w14:paraId="55717AE5" w14:textId="77777777" w:rsidR="004A326E" w:rsidRPr="00D341BB" w:rsidRDefault="004A326E" w:rsidP="0057204B">
      <w:pPr>
        <w:rPr>
          <w:rFonts w:cs="Arial"/>
        </w:rPr>
      </w:pPr>
      <w:r w:rsidRPr="00B30AD4">
        <w:rPr>
          <w:rFonts w:cs="Arial" w:hint="cs"/>
          <w:b/>
          <w:bCs/>
          <w:rtl/>
        </w:rPr>
        <w:t>בבא קמא</w:t>
      </w:r>
      <w:r w:rsidRPr="00B30AD4">
        <w:rPr>
          <w:rFonts w:cs="Arial" w:hint="cs"/>
          <w:b/>
          <w:bCs/>
          <w:sz w:val="16"/>
          <w:szCs w:val="16"/>
          <w:rtl/>
        </w:rPr>
        <w:t xml:space="preserve"> (</w:t>
      </w:r>
      <w:r>
        <w:rPr>
          <w:rFonts w:cs="Arial" w:hint="cs"/>
          <w:b/>
          <w:bCs/>
          <w:sz w:val="16"/>
          <w:szCs w:val="16"/>
          <w:rtl/>
        </w:rPr>
        <w:t>ר"</w:t>
      </w:r>
      <w:r w:rsidRPr="00B30AD4">
        <w:rPr>
          <w:rFonts w:cs="Arial" w:hint="cs"/>
          <w:b/>
          <w:bCs/>
          <w:sz w:val="16"/>
          <w:szCs w:val="16"/>
          <w:rtl/>
        </w:rPr>
        <w:t>פ החובל)</w:t>
      </w:r>
      <w:r w:rsidRPr="00B30AD4">
        <w:rPr>
          <w:rFonts w:cs="Arial" w:hint="cs"/>
          <w:b/>
          <w:bCs/>
          <w:rtl/>
        </w:rPr>
        <w:t xml:space="preserve"> פד</w:t>
      </w:r>
      <w:r w:rsidR="001D7103">
        <w:rPr>
          <w:rStyle w:val="ab"/>
          <w:rFonts w:cs="Arial"/>
          <w:b/>
          <w:bCs/>
          <w:rtl/>
        </w:rPr>
        <w:footnoteReference w:id="13"/>
      </w:r>
      <w:r w:rsidRPr="00B30AD4">
        <w:rPr>
          <w:rFonts w:cs="Arial" w:hint="cs"/>
          <w:b/>
          <w:bCs/>
          <w:rtl/>
        </w:rPr>
        <w:t xml:space="preserve"> ע"</w:t>
      </w:r>
      <w:r w:rsidR="0057204B">
        <w:rPr>
          <w:rFonts w:cs="Arial" w:hint="cs"/>
          <w:b/>
          <w:bCs/>
          <w:rtl/>
        </w:rPr>
        <w:t>ב</w:t>
      </w:r>
      <w:r w:rsidRPr="00B30AD4">
        <w:rPr>
          <w:rFonts w:cs="Arial" w:hint="cs"/>
          <w:b/>
          <w:bCs/>
          <w:rtl/>
        </w:rPr>
        <w:t>:</w:t>
      </w:r>
      <w:r>
        <w:rPr>
          <w:rFonts w:cs="Arial" w:hint="cs"/>
          <w:rtl/>
        </w:rPr>
        <w:t xml:space="preserve"> </w:t>
      </w:r>
      <w:r w:rsidRPr="00E74744">
        <w:rPr>
          <w:rFonts w:cs="Arial"/>
          <w:rtl/>
        </w:rPr>
        <w:t>תשלום כפל ותשלום ארבעה וחמשה דקיצי, נעבד שליחותייהו! אמרי: כי קא עבדינן שליחותייהו - בממונא, בקנסא לא עבדינן שליחותייהו</w:t>
      </w:r>
      <w:r>
        <w:rPr>
          <w:rFonts w:cs="Arial" w:hint="cs"/>
          <w:rtl/>
        </w:rPr>
        <w:t>.</w:t>
      </w:r>
      <w:r w:rsidR="0057204B" w:rsidRPr="0057204B">
        <w:rPr>
          <w:rtl/>
        </w:rPr>
        <w:t xml:space="preserve"> </w:t>
      </w:r>
      <w:r w:rsidR="0057204B" w:rsidRPr="0057204B">
        <w:rPr>
          <w:rFonts w:cs="Arial"/>
          <w:rtl/>
        </w:rPr>
        <w:t>אדם באדם דממונא הוא, נעבד שליחותייהו! כי קא עבדינן שליחותייהו - במילתא דשכיחא, אדם באדם דלא שכיחא - לא עבדינן שליחותייהו. הרי בושת ופגם דשכיח, נעביד שליחותייהו! אמרי: הכי נמי, דהא רב פפא אגבי ארבע מאה זוזי לבושת. והא ליתיה לדרב פפא! דשלח ליה רב חסדא לרב נחמן, ושלח ליה: חסדא, חסדא, קנסא קא מגבית בבבל</w:t>
      </w:r>
      <w:r w:rsidR="0057204B" w:rsidRPr="0057204B">
        <w:rPr>
          <w:rStyle w:val="ab"/>
          <w:rFonts w:cs="Arial"/>
          <w:rtl/>
        </w:rPr>
        <w:footnoteReference w:id="14"/>
      </w:r>
      <w:r w:rsidR="0057204B" w:rsidRPr="0057204B">
        <w:rPr>
          <w:rFonts w:cs="Arial"/>
          <w:rtl/>
        </w:rPr>
        <w:t>?</w:t>
      </w:r>
      <w:r w:rsidRPr="00516466">
        <w:rPr>
          <w:rFonts w:cs="Arial"/>
          <w:rtl/>
        </w:rPr>
        <w:t xml:space="preserve"> אלא, כי עבדינן שליחותייהו - במילתא דשכיחא ואית ביה חסרון כיס, אבל מילתא דשכיחא ולית ביה חסרון כיס, אי נמי מילתא דלא שכיחא ואית ביה חסרון כיס - לא עבדינן שליחותייהו</w:t>
      </w:r>
      <w:r>
        <w:rPr>
          <w:rFonts w:cs="Arial" w:hint="cs"/>
          <w:rtl/>
        </w:rPr>
        <w:t>.</w:t>
      </w:r>
      <w:r w:rsidRPr="00516466">
        <w:rPr>
          <w:rFonts w:cs="Arial"/>
          <w:rtl/>
        </w:rPr>
        <w:t xml:space="preserve"> </w:t>
      </w:r>
    </w:p>
    <w:p w14:paraId="7D84941B" w14:textId="77777777" w:rsidR="004A326E" w:rsidRPr="00AF3AD9" w:rsidRDefault="004A326E" w:rsidP="004A326E">
      <w:pPr>
        <w:rPr>
          <w:rFonts w:cs="Arial"/>
          <w:rtl/>
        </w:rPr>
      </w:pPr>
      <w:r w:rsidRPr="00B30AD4">
        <w:rPr>
          <w:rFonts w:cs="Arial" w:hint="cs"/>
          <w:b/>
          <w:bCs/>
          <w:rtl/>
        </w:rPr>
        <w:t>בבא קמא</w:t>
      </w:r>
      <w:r w:rsidRPr="00B30AD4">
        <w:rPr>
          <w:rFonts w:cs="Arial" w:hint="cs"/>
          <w:b/>
          <w:bCs/>
          <w:sz w:val="16"/>
          <w:szCs w:val="16"/>
          <w:rtl/>
        </w:rPr>
        <w:t xml:space="preserve"> (</w:t>
      </w:r>
      <w:r>
        <w:rPr>
          <w:rFonts w:cs="Arial" w:hint="cs"/>
          <w:b/>
          <w:bCs/>
          <w:sz w:val="16"/>
          <w:szCs w:val="16"/>
          <w:rtl/>
        </w:rPr>
        <w:t>פ"ק</w:t>
      </w:r>
      <w:r w:rsidRPr="00B30AD4">
        <w:rPr>
          <w:rFonts w:cs="Arial" w:hint="cs"/>
          <w:b/>
          <w:bCs/>
          <w:sz w:val="16"/>
          <w:szCs w:val="16"/>
          <w:rtl/>
        </w:rPr>
        <w:t>)</w:t>
      </w:r>
      <w:r w:rsidRPr="00B30AD4">
        <w:rPr>
          <w:rFonts w:cs="Arial" w:hint="cs"/>
          <w:b/>
          <w:bCs/>
          <w:rtl/>
        </w:rPr>
        <w:t xml:space="preserve"> </w:t>
      </w:r>
      <w:r>
        <w:rPr>
          <w:rFonts w:cs="Arial" w:hint="cs"/>
          <w:b/>
          <w:bCs/>
          <w:rtl/>
        </w:rPr>
        <w:t>טו</w:t>
      </w:r>
      <w:r w:rsidR="009C338A">
        <w:rPr>
          <w:rStyle w:val="ab"/>
          <w:rFonts w:cs="Arial"/>
          <w:b/>
          <w:bCs/>
          <w:rtl/>
        </w:rPr>
        <w:footnoteReference w:id="15"/>
      </w:r>
      <w:r w:rsidRPr="00B30AD4">
        <w:rPr>
          <w:rFonts w:cs="Arial" w:hint="cs"/>
          <w:b/>
          <w:bCs/>
          <w:rtl/>
        </w:rPr>
        <w:t xml:space="preserve"> ע"</w:t>
      </w:r>
      <w:r w:rsidR="00BE0177">
        <w:rPr>
          <w:rFonts w:cs="Arial" w:hint="cs"/>
          <w:b/>
          <w:bCs/>
          <w:rtl/>
        </w:rPr>
        <w:t>א</w:t>
      </w:r>
      <w:r>
        <w:rPr>
          <w:rFonts w:cs="Arial" w:hint="cs"/>
          <w:b/>
          <w:bCs/>
          <w:rtl/>
        </w:rPr>
        <w:t>:</w:t>
      </w:r>
      <w:r w:rsidRPr="00AF3AD9">
        <w:rPr>
          <w:rFonts w:cs="Arial"/>
          <w:rtl/>
        </w:rPr>
        <w:t xml:space="preserve"> הניזק והמזיק בתשלומין. אתמר: פלגא נזקא</w:t>
      </w:r>
      <w:r w:rsidR="00BE0177">
        <w:rPr>
          <w:rFonts w:cs="Arial" w:hint="cs"/>
          <w:rtl/>
        </w:rPr>
        <w:t>,</w:t>
      </w:r>
      <w:r w:rsidRPr="00AF3AD9">
        <w:rPr>
          <w:rFonts w:cs="Arial"/>
          <w:rtl/>
        </w:rPr>
        <w:t xml:space="preserve"> </w:t>
      </w:r>
      <w:r w:rsidRPr="00AF3AD9">
        <w:rPr>
          <w:rFonts w:cs="Arial"/>
          <w:u w:val="single"/>
          <w:rtl/>
        </w:rPr>
        <w:t>רב פפא אמר</w:t>
      </w:r>
      <w:r w:rsidRPr="00AF3AD9">
        <w:rPr>
          <w:rFonts w:cs="Arial"/>
          <w:rtl/>
        </w:rPr>
        <w:t xml:space="preserve">: ממונא, </w:t>
      </w:r>
      <w:r w:rsidRPr="00AF3AD9">
        <w:rPr>
          <w:rFonts w:cs="Arial"/>
          <w:u w:val="single"/>
          <w:rtl/>
        </w:rPr>
        <w:t>רב הונא בריה דרב</w:t>
      </w:r>
      <w:r w:rsidRPr="00AF3AD9">
        <w:rPr>
          <w:rFonts w:cs="Arial"/>
          <w:rtl/>
        </w:rPr>
        <w:t xml:space="preserve"> </w:t>
      </w:r>
      <w:r w:rsidRPr="00AF3AD9">
        <w:rPr>
          <w:rFonts w:cs="Arial"/>
          <w:u w:val="single"/>
          <w:rtl/>
        </w:rPr>
        <w:t>יהושע אמר</w:t>
      </w:r>
      <w:r w:rsidRPr="00AF3AD9">
        <w:rPr>
          <w:rFonts w:cs="Arial"/>
          <w:rtl/>
        </w:rPr>
        <w:t>: קנסא. רב פפא אמר ממונא, קסבר: סתם שוורים לאו בחזקת שימור קיימן, ובדין הוא דבעי לשלומי כוליה, ורחמנא הוא דחס עליה דאכתי לא אייעד תוריה</w:t>
      </w:r>
      <w:r w:rsidR="00BE0177">
        <w:rPr>
          <w:rFonts w:cs="Arial" w:hint="cs"/>
          <w:rtl/>
        </w:rPr>
        <w:t>.</w:t>
      </w:r>
      <w:r w:rsidRPr="00AF3AD9">
        <w:rPr>
          <w:rFonts w:cs="Arial"/>
          <w:rtl/>
        </w:rPr>
        <w:t xml:space="preserve"> רב הונא בריה דרב יהושע אמר קנסא, קסבר: סתם שוורים בחזקת שימור קיימי, ובדין הוא דלא לשלם כלל, ורחמנא הוא דקנסיה כי היכי דלנטריה לתוריה.</w:t>
      </w:r>
      <w:r>
        <w:rPr>
          <w:rFonts w:cs="Arial" w:hint="cs"/>
          <w:rtl/>
        </w:rPr>
        <w:t>..</w:t>
      </w:r>
      <w:r w:rsidRPr="00AF3AD9">
        <w:rPr>
          <w:rtl/>
        </w:rPr>
        <w:t xml:space="preserve"> </w:t>
      </w:r>
      <w:r w:rsidR="00BE0177">
        <w:rPr>
          <w:rFonts w:hint="cs"/>
          <w:sz w:val="14"/>
          <w:szCs w:val="14"/>
          <w:rtl/>
        </w:rPr>
        <w:t xml:space="preserve">(טו:) </w:t>
      </w:r>
      <w:r w:rsidRPr="00AF3AD9">
        <w:rPr>
          <w:rFonts w:cs="Arial"/>
          <w:rtl/>
        </w:rPr>
        <w:t>תא שמע: זה הכלל, כל המשלם יותר על מה שהזיק - אינו משלם על פי עצמו</w:t>
      </w:r>
      <w:r w:rsidR="00BE0177">
        <w:rPr>
          <w:rFonts w:cs="Arial" w:hint="cs"/>
          <w:rtl/>
        </w:rPr>
        <w:t>.</w:t>
      </w:r>
      <w:r w:rsidRPr="00AF3AD9">
        <w:rPr>
          <w:rFonts w:cs="Arial"/>
          <w:rtl/>
        </w:rPr>
        <w:t xml:space="preserve"> מאי לאו הא פחות ממה שהזיק משלם! לא, הא כמה שהזיק משלם. אבל פחות, מאי? הכי נמי דלא משלם, אי הכי, אדתני: זה הכלל, כל המשלם יותר על מה שהזיק - אינו משלם על פי עצמו, ליתני: זה הכלל, כל שאינו משלם כמה שהזיק, דמשמע פחות ומשמע יותר! תיובתא.</w:t>
      </w:r>
      <w:r>
        <w:rPr>
          <w:rFonts w:cs="Arial" w:hint="cs"/>
          <w:rtl/>
        </w:rPr>
        <w:t xml:space="preserve"> </w:t>
      </w:r>
      <w:r w:rsidRPr="00AF3AD9">
        <w:rPr>
          <w:rFonts w:cs="Arial"/>
          <w:rtl/>
        </w:rPr>
        <w:t>והלכתא: פלגא נזקא - קנסא.</w:t>
      </w:r>
      <w:r>
        <w:rPr>
          <w:rFonts w:cs="Arial" w:hint="cs"/>
          <w:rtl/>
        </w:rPr>
        <w:t xml:space="preserve"> </w:t>
      </w:r>
      <w:r w:rsidR="00646184" w:rsidRPr="00646184">
        <w:rPr>
          <w:rFonts w:cs="Arial"/>
          <w:rtl/>
        </w:rPr>
        <w:t>תיובתא והלכתא? אין, טעמא מאי הויא תיובתא? משום דלא קתני כמו שהזיק, לא פסיקא ליה, כיון דאיכא חצי נזק צרורות, דהלכתא גמירא לה דממונא הוא, משום הכי לא קתני.</w:t>
      </w:r>
    </w:p>
    <w:p w14:paraId="6232C5BE" w14:textId="77777777" w:rsidR="004A326E" w:rsidRPr="00D341BB" w:rsidRDefault="00BE0177" w:rsidP="004A326E">
      <w:pPr>
        <w:rPr>
          <w:rFonts w:cs="Arial"/>
          <w:rtl/>
        </w:rPr>
      </w:pPr>
      <w:r>
        <w:rPr>
          <w:rFonts w:cs="Arial" w:hint="cs"/>
          <w:u w:val="single"/>
          <w:rtl/>
        </w:rPr>
        <w:t xml:space="preserve">דיני </w:t>
      </w:r>
      <w:r w:rsidR="004A326E">
        <w:rPr>
          <w:rFonts w:cs="Arial" w:hint="cs"/>
          <w:u w:val="single"/>
          <w:rtl/>
        </w:rPr>
        <w:t>קנסות</w:t>
      </w:r>
      <w:r w:rsidR="004A326E" w:rsidRPr="00D341BB">
        <w:rPr>
          <w:rFonts w:cs="Arial"/>
          <w:u w:val="single"/>
          <w:rtl/>
        </w:rPr>
        <w:t xml:space="preserve"> –</w:t>
      </w:r>
      <w:r w:rsidR="004A326E" w:rsidRPr="00D341BB">
        <w:rPr>
          <w:rFonts w:cs="Arial" w:hint="cs"/>
          <w:u w:val="single"/>
          <w:rtl/>
        </w:rPr>
        <w:t xml:space="preserve"> בזמה"ז:</w:t>
      </w:r>
    </w:p>
    <w:p w14:paraId="50D906A1" w14:textId="77777777" w:rsidR="004A326E" w:rsidRDefault="004A326E" w:rsidP="004B0475">
      <w:pPr>
        <w:pStyle w:val="ac"/>
        <w:numPr>
          <w:ilvl w:val="0"/>
          <w:numId w:val="41"/>
        </w:numPr>
        <w:rPr>
          <w:rFonts w:cs="Arial"/>
        </w:rPr>
      </w:pPr>
      <w:r w:rsidRPr="00D341BB">
        <w:rPr>
          <w:rFonts w:cs="Arial"/>
          <w:rtl/>
        </w:rPr>
        <w:t xml:space="preserve">רמב"ם </w:t>
      </w:r>
      <w:r w:rsidRPr="00D341BB">
        <w:rPr>
          <w:rFonts w:cs="Arial" w:hint="cs"/>
          <w:sz w:val="16"/>
          <w:szCs w:val="16"/>
          <w:rtl/>
        </w:rPr>
        <w:t>(</w:t>
      </w:r>
      <w:r w:rsidRPr="00D341BB">
        <w:rPr>
          <w:rFonts w:cs="Arial"/>
          <w:sz w:val="16"/>
          <w:szCs w:val="16"/>
          <w:rtl/>
        </w:rPr>
        <w:t xml:space="preserve">סנהדרין </w:t>
      </w:r>
      <w:r w:rsidRPr="00D341BB">
        <w:rPr>
          <w:rFonts w:cs="Arial" w:hint="cs"/>
          <w:sz w:val="16"/>
          <w:szCs w:val="16"/>
          <w:rtl/>
        </w:rPr>
        <w:t xml:space="preserve">פ"ה </w:t>
      </w:r>
      <w:r w:rsidRPr="00D341BB">
        <w:rPr>
          <w:rFonts w:cs="Arial"/>
          <w:sz w:val="16"/>
          <w:szCs w:val="16"/>
          <w:rtl/>
        </w:rPr>
        <w:t>ה"ט יג-טז)</w:t>
      </w:r>
      <w:r w:rsidRPr="00D341BB">
        <w:rPr>
          <w:rFonts w:cs="Arial" w:hint="cs"/>
          <w:sz w:val="16"/>
          <w:szCs w:val="16"/>
          <w:rtl/>
        </w:rPr>
        <w:t xml:space="preserve"> </w:t>
      </w:r>
      <w:r>
        <w:rPr>
          <w:rFonts w:cs="Arial" w:hint="cs"/>
          <w:rtl/>
        </w:rPr>
        <w:t xml:space="preserve">וטור- </w:t>
      </w:r>
      <w:r w:rsidRPr="00D341BB">
        <w:rPr>
          <w:rFonts w:cs="Arial"/>
          <w:rtl/>
        </w:rPr>
        <w:t>כל הקנסות שקנסו חכמים בתוקע לחבירו וסוטר לחבירו וכיוצא בהן</w:t>
      </w:r>
      <w:r w:rsidR="00646184">
        <w:rPr>
          <w:rFonts w:cs="Arial" w:hint="cs"/>
          <w:rtl/>
        </w:rPr>
        <w:t xml:space="preserve"> -</w:t>
      </w:r>
      <w:r w:rsidRPr="00D341BB">
        <w:rPr>
          <w:rFonts w:cs="Arial"/>
          <w:rtl/>
        </w:rPr>
        <w:t xml:space="preserve"> אין גובין אותם</w:t>
      </w:r>
      <w:r w:rsidR="00646184">
        <w:rPr>
          <w:rFonts w:cs="Arial" w:hint="cs"/>
          <w:rtl/>
        </w:rPr>
        <w:t>.</w:t>
      </w:r>
      <w:r w:rsidRPr="00D341BB">
        <w:rPr>
          <w:rFonts w:cs="Arial"/>
          <w:rtl/>
        </w:rPr>
        <w:t xml:space="preserve"> וכל המשלם חצי נזק או יותר ממה שהזיק </w:t>
      </w:r>
      <w:r w:rsidR="00646184">
        <w:rPr>
          <w:rFonts w:cs="Arial" w:hint="cs"/>
          <w:rtl/>
        </w:rPr>
        <w:t xml:space="preserve">- </w:t>
      </w:r>
      <w:r w:rsidRPr="00D341BB">
        <w:rPr>
          <w:rFonts w:cs="Arial"/>
          <w:rtl/>
        </w:rPr>
        <w:t>אין גובין אותו חוץ</w:t>
      </w:r>
      <w:r w:rsidR="00646184">
        <w:rPr>
          <w:rFonts w:cs="Arial" w:hint="cs"/>
          <w:rtl/>
        </w:rPr>
        <w:t>,</w:t>
      </w:r>
      <w:r w:rsidRPr="00D341BB">
        <w:rPr>
          <w:rFonts w:cs="Arial"/>
          <w:rtl/>
        </w:rPr>
        <w:t xml:space="preserve"> מחצי נזק צרורות שהוא ממון</w:t>
      </w:r>
      <w:r>
        <w:rPr>
          <w:rStyle w:val="ab"/>
          <w:rFonts w:cs="Arial"/>
          <w:rtl/>
        </w:rPr>
        <w:footnoteReference w:id="16"/>
      </w:r>
      <w:r w:rsidRPr="00D341BB">
        <w:rPr>
          <w:rFonts w:cs="Arial"/>
          <w:rtl/>
        </w:rPr>
        <w:t xml:space="preserve"> ואינו קנס</w:t>
      </w:r>
      <w:r>
        <w:rPr>
          <w:rFonts w:cs="Arial" w:hint="cs"/>
          <w:sz w:val="16"/>
          <w:szCs w:val="16"/>
          <w:rtl/>
        </w:rPr>
        <w:t xml:space="preserve"> (ל' הטור בשם הרמב"ם)</w:t>
      </w:r>
      <w:r w:rsidRPr="00D341BB">
        <w:rPr>
          <w:rFonts w:cs="Arial" w:hint="cs"/>
          <w:rtl/>
        </w:rPr>
        <w:t>.</w:t>
      </w:r>
      <w:r w:rsidRPr="006B560A">
        <w:rPr>
          <w:rFonts w:cs="Arial" w:hint="cs"/>
          <w:color w:val="E36C0A" w:themeColor="accent6" w:themeShade="BF"/>
          <w:rtl/>
        </w:rPr>
        <w:t xml:space="preserve"> (וכ"פ בשו"ע)</w:t>
      </w:r>
    </w:p>
    <w:p w14:paraId="30E02AF3" w14:textId="77777777" w:rsidR="009E627F" w:rsidRPr="00DA24B5" w:rsidRDefault="009E627F" w:rsidP="009E627F">
      <w:pPr>
        <w:ind w:left="360"/>
        <w:rPr>
          <w:rFonts w:cs="Arial"/>
          <w:rtl/>
        </w:rPr>
      </w:pPr>
      <w:r w:rsidRPr="009E627F">
        <w:rPr>
          <w:rFonts w:cs="Arial" w:hint="cs"/>
          <w:u w:val="dotted"/>
          <w:rtl/>
        </w:rPr>
        <w:t>האם לכוף לזון בניו ובנותיו הקטנים מקרי דיני קנסות:</w:t>
      </w:r>
      <w:r w:rsidRPr="00DA24B5">
        <w:rPr>
          <w:rFonts w:cs="Arial" w:hint="cs"/>
          <w:sz w:val="16"/>
          <w:szCs w:val="16"/>
          <w:rtl/>
        </w:rPr>
        <w:t xml:space="preserve"> </w:t>
      </w:r>
      <w:r w:rsidRPr="00DA24B5">
        <w:rPr>
          <w:rFonts w:cs="Arial"/>
          <w:sz w:val="16"/>
          <w:szCs w:val="16"/>
          <w:rtl/>
        </w:rPr>
        <w:t>(</w:t>
      </w:r>
      <w:r w:rsidRPr="00DA24B5">
        <w:rPr>
          <w:rFonts w:cs="Arial" w:hint="cs"/>
          <w:sz w:val="16"/>
          <w:szCs w:val="16"/>
          <w:rtl/>
        </w:rPr>
        <w:t xml:space="preserve">דרכ"מ אות </w:t>
      </w:r>
      <w:r w:rsidRPr="00DA24B5">
        <w:rPr>
          <w:rFonts w:cs="Arial"/>
          <w:sz w:val="16"/>
          <w:szCs w:val="16"/>
          <w:rtl/>
        </w:rPr>
        <w:t>ד)</w:t>
      </w:r>
    </w:p>
    <w:p w14:paraId="22DC8BAA" w14:textId="77777777" w:rsidR="009E627F" w:rsidRDefault="009E627F" w:rsidP="004B0475">
      <w:pPr>
        <w:pStyle w:val="ac"/>
        <w:numPr>
          <w:ilvl w:val="0"/>
          <w:numId w:val="41"/>
        </w:numPr>
        <w:rPr>
          <w:rFonts w:cs="Arial"/>
        </w:rPr>
      </w:pPr>
      <w:r>
        <w:rPr>
          <w:rFonts w:cs="Arial" w:hint="cs"/>
          <w:rtl/>
        </w:rPr>
        <w:lastRenderedPageBreak/>
        <w:t xml:space="preserve">הגמ"ר </w:t>
      </w:r>
      <w:r w:rsidRPr="00DA24B5">
        <w:rPr>
          <w:rFonts w:cs="Arial" w:hint="cs"/>
          <w:sz w:val="16"/>
          <w:szCs w:val="16"/>
          <w:rtl/>
        </w:rPr>
        <w:t>(</w:t>
      </w:r>
      <w:r w:rsidRPr="00DA24B5">
        <w:rPr>
          <w:rFonts w:cs="Arial"/>
          <w:sz w:val="16"/>
          <w:szCs w:val="16"/>
          <w:rtl/>
        </w:rPr>
        <w:t>קידושין</w:t>
      </w:r>
      <w:r w:rsidRPr="00DA24B5">
        <w:rPr>
          <w:rFonts w:cs="Arial" w:hint="cs"/>
          <w:sz w:val="16"/>
          <w:szCs w:val="16"/>
          <w:rtl/>
        </w:rPr>
        <w:t xml:space="preserve"> </w:t>
      </w:r>
      <w:r w:rsidRPr="00DA24B5">
        <w:rPr>
          <w:rFonts w:cs="Arial"/>
          <w:sz w:val="16"/>
          <w:szCs w:val="16"/>
          <w:rtl/>
        </w:rPr>
        <w:t>סי' תקנז)</w:t>
      </w:r>
      <w:r>
        <w:rPr>
          <w:rFonts w:cs="Arial" w:hint="cs"/>
          <w:rtl/>
        </w:rPr>
        <w:t xml:space="preserve">- </w:t>
      </w:r>
      <w:r w:rsidRPr="00DA24B5">
        <w:rPr>
          <w:rFonts w:cs="Arial"/>
          <w:rtl/>
        </w:rPr>
        <w:t>לכוף לזון בניו ובנותיו הקטנים</w:t>
      </w:r>
      <w:r w:rsidR="00646184">
        <w:rPr>
          <w:rFonts w:cs="Arial" w:hint="cs"/>
          <w:rtl/>
        </w:rPr>
        <w:t xml:space="preserve"> -</w:t>
      </w:r>
      <w:r w:rsidRPr="00DA24B5">
        <w:rPr>
          <w:rFonts w:cs="Arial"/>
          <w:rtl/>
        </w:rPr>
        <w:t xml:space="preserve"> לא מיקרי דיני קנסות.</w:t>
      </w:r>
    </w:p>
    <w:p w14:paraId="01E6B501" w14:textId="77777777" w:rsidR="004A326E" w:rsidRPr="007C231F" w:rsidRDefault="004A326E" w:rsidP="004A326E">
      <w:pPr>
        <w:rPr>
          <w:rFonts w:cs="Arial"/>
          <w:u w:val="single"/>
          <w:rtl/>
        </w:rPr>
      </w:pPr>
      <w:r w:rsidRPr="007C231F">
        <w:rPr>
          <w:rFonts w:cs="Arial"/>
          <w:u w:val="single"/>
          <w:rtl/>
        </w:rPr>
        <w:t>כתובת אשה ירושות ומתנות –</w:t>
      </w:r>
      <w:r w:rsidRPr="007C231F">
        <w:rPr>
          <w:rFonts w:cs="Arial" w:hint="cs"/>
          <w:u w:val="single"/>
          <w:rtl/>
        </w:rPr>
        <w:t xml:space="preserve"> בזמה"ז:</w:t>
      </w:r>
    </w:p>
    <w:p w14:paraId="0ABA9C57" w14:textId="77777777" w:rsidR="004A326E" w:rsidRPr="007C231F" w:rsidRDefault="004A326E" w:rsidP="004B0475">
      <w:pPr>
        <w:pStyle w:val="ac"/>
        <w:numPr>
          <w:ilvl w:val="0"/>
          <w:numId w:val="41"/>
        </w:numPr>
        <w:rPr>
          <w:rFonts w:cs="Arial"/>
          <w:rtl/>
        </w:rPr>
      </w:pPr>
      <w:r w:rsidRPr="007C231F">
        <w:rPr>
          <w:rFonts w:cs="Arial"/>
          <w:rtl/>
        </w:rPr>
        <w:t>תוס</w:t>
      </w:r>
      <w:r w:rsidRPr="007C231F">
        <w:rPr>
          <w:rFonts w:cs="Arial" w:hint="cs"/>
          <w:rtl/>
        </w:rPr>
        <w:t>'</w:t>
      </w:r>
      <w:r w:rsidRPr="007C231F">
        <w:rPr>
          <w:rFonts w:cs="Arial"/>
          <w:rtl/>
        </w:rPr>
        <w:t xml:space="preserve"> </w:t>
      </w:r>
      <w:r w:rsidRPr="007C231F">
        <w:rPr>
          <w:rFonts w:cs="Arial"/>
          <w:sz w:val="16"/>
          <w:szCs w:val="16"/>
          <w:rtl/>
        </w:rPr>
        <w:t>(</w:t>
      </w:r>
      <w:r w:rsidRPr="007C231F">
        <w:rPr>
          <w:rFonts w:cs="Arial" w:hint="cs"/>
          <w:sz w:val="16"/>
          <w:szCs w:val="16"/>
          <w:rtl/>
        </w:rPr>
        <w:t xml:space="preserve">סנהדרין </w:t>
      </w:r>
      <w:r w:rsidRPr="007C231F">
        <w:rPr>
          <w:rFonts w:cs="Arial"/>
          <w:sz w:val="16"/>
          <w:szCs w:val="16"/>
          <w:rtl/>
        </w:rPr>
        <w:t xml:space="preserve">ג. ד"ה שלא) </w:t>
      </w:r>
      <w:r w:rsidRPr="007C231F">
        <w:rPr>
          <w:rFonts w:cs="Arial"/>
          <w:rtl/>
        </w:rPr>
        <w:t xml:space="preserve">רא"ש </w:t>
      </w:r>
      <w:r w:rsidRPr="007C231F">
        <w:rPr>
          <w:rFonts w:cs="Arial"/>
          <w:sz w:val="16"/>
          <w:szCs w:val="16"/>
          <w:rtl/>
        </w:rPr>
        <w:t>(</w:t>
      </w:r>
      <w:r>
        <w:rPr>
          <w:rFonts w:cs="Arial" w:hint="cs"/>
          <w:sz w:val="16"/>
          <w:szCs w:val="16"/>
          <w:rtl/>
        </w:rPr>
        <w:t>פ"ק</w:t>
      </w:r>
      <w:r w:rsidRPr="007C231F">
        <w:rPr>
          <w:rFonts w:cs="Arial" w:hint="cs"/>
          <w:sz w:val="16"/>
          <w:szCs w:val="16"/>
          <w:rtl/>
        </w:rPr>
        <w:t xml:space="preserve"> </w:t>
      </w:r>
      <w:r>
        <w:rPr>
          <w:rFonts w:cs="Arial" w:hint="cs"/>
          <w:sz w:val="16"/>
          <w:szCs w:val="16"/>
          <w:rtl/>
        </w:rPr>
        <w:t>ד</w:t>
      </w:r>
      <w:r w:rsidRPr="007C231F">
        <w:rPr>
          <w:rFonts w:cs="Arial" w:hint="cs"/>
          <w:sz w:val="16"/>
          <w:szCs w:val="16"/>
          <w:rtl/>
        </w:rPr>
        <w:t xml:space="preserve">סנהדרין </w:t>
      </w:r>
      <w:r w:rsidRPr="007C231F">
        <w:rPr>
          <w:rFonts w:cs="Arial"/>
          <w:sz w:val="16"/>
          <w:szCs w:val="16"/>
          <w:rtl/>
        </w:rPr>
        <w:t>סי' א)</w:t>
      </w:r>
      <w:r w:rsidRPr="007C231F">
        <w:rPr>
          <w:rFonts w:cs="Arial" w:hint="cs"/>
          <w:sz w:val="16"/>
          <w:szCs w:val="16"/>
          <w:rtl/>
        </w:rPr>
        <w:t xml:space="preserve"> </w:t>
      </w:r>
      <w:r>
        <w:rPr>
          <w:rFonts w:cs="Arial" w:hint="cs"/>
          <w:rtl/>
        </w:rPr>
        <w:t>ו</w:t>
      </w:r>
      <w:r w:rsidRPr="007C231F">
        <w:rPr>
          <w:rFonts w:cs="Arial" w:hint="cs"/>
          <w:rtl/>
        </w:rPr>
        <w:t>טור-</w:t>
      </w:r>
      <w:r w:rsidRPr="007C231F">
        <w:rPr>
          <w:rFonts w:cs="Arial"/>
          <w:rtl/>
        </w:rPr>
        <w:t xml:space="preserve"> כתובת אשה וירושות ומתנות </w:t>
      </w:r>
      <w:r w:rsidR="00646184">
        <w:rPr>
          <w:rFonts w:cs="Arial" w:hint="cs"/>
          <w:rtl/>
        </w:rPr>
        <w:t xml:space="preserve">- </w:t>
      </w:r>
      <w:r w:rsidRPr="007C231F">
        <w:rPr>
          <w:rFonts w:cs="Arial"/>
          <w:rtl/>
        </w:rPr>
        <w:t>דינן כהלואות</w:t>
      </w:r>
      <w:r w:rsidR="00646184">
        <w:rPr>
          <w:rFonts w:cs="Arial" w:hint="cs"/>
          <w:rtl/>
        </w:rPr>
        <w:t>,</w:t>
      </w:r>
      <w:r w:rsidRPr="007C231F">
        <w:rPr>
          <w:rFonts w:cs="Arial"/>
          <w:rtl/>
        </w:rPr>
        <w:t xml:space="preserve"> ודנין אותו כדי לנעול דלת בפני עושה עולה</w:t>
      </w:r>
      <w:r w:rsidR="009E627F">
        <w:rPr>
          <w:rFonts w:cs="Arial" w:hint="cs"/>
          <w:rtl/>
        </w:rPr>
        <w:t>,</w:t>
      </w:r>
      <w:r w:rsidRPr="007C231F">
        <w:rPr>
          <w:rFonts w:cs="Arial"/>
          <w:rtl/>
        </w:rPr>
        <w:t xml:space="preserve"> שלא יסמוך לומר שכנגדו </w:t>
      </w:r>
      <w:r w:rsidR="009E627F">
        <w:rPr>
          <w:rFonts w:cs="Arial" w:hint="cs"/>
          <w:rtl/>
        </w:rPr>
        <w:t>'</w:t>
      </w:r>
      <w:r w:rsidRPr="007C231F">
        <w:rPr>
          <w:rFonts w:cs="Arial"/>
          <w:rtl/>
        </w:rPr>
        <w:t>לא ימצא מומחים שידונו אותו</w:t>
      </w:r>
      <w:r w:rsidR="009E627F">
        <w:rPr>
          <w:rFonts w:cs="Arial" w:hint="cs"/>
          <w:rtl/>
        </w:rPr>
        <w:t>'</w:t>
      </w:r>
      <w:r w:rsidRPr="007C231F">
        <w:rPr>
          <w:rFonts w:cs="Arial" w:hint="cs"/>
          <w:sz w:val="16"/>
          <w:szCs w:val="16"/>
          <w:rtl/>
        </w:rPr>
        <w:t xml:space="preserve"> (ל' הטור)</w:t>
      </w:r>
      <w:r w:rsidRPr="007C231F">
        <w:rPr>
          <w:rFonts w:cs="Arial" w:hint="cs"/>
          <w:rtl/>
        </w:rPr>
        <w:t>.</w:t>
      </w:r>
      <w:r w:rsidRPr="006B560A">
        <w:rPr>
          <w:rFonts w:cs="Arial" w:hint="cs"/>
          <w:color w:val="E36C0A" w:themeColor="accent6" w:themeShade="BF"/>
          <w:rtl/>
        </w:rPr>
        <w:t xml:space="preserve"> (וכ"פ בשו"ע)</w:t>
      </w:r>
    </w:p>
    <w:p w14:paraId="340C7932" w14:textId="77777777" w:rsidR="004A326E" w:rsidRPr="00DA24B5" w:rsidRDefault="004A326E" w:rsidP="004A326E">
      <w:pPr>
        <w:rPr>
          <w:rFonts w:cs="Arial"/>
          <w:rtl/>
        </w:rPr>
      </w:pPr>
      <w:r w:rsidRPr="00DA24B5">
        <w:rPr>
          <w:rFonts w:cs="Arial" w:hint="cs"/>
          <w:b/>
          <w:bCs/>
          <w:rtl/>
        </w:rPr>
        <w:t xml:space="preserve">כתובות </w:t>
      </w:r>
      <w:r w:rsidRPr="00DA24B5">
        <w:rPr>
          <w:rFonts w:cs="Arial" w:hint="cs"/>
          <w:b/>
          <w:bCs/>
          <w:sz w:val="16"/>
          <w:szCs w:val="16"/>
          <w:rtl/>
        </w:rPr>
        <w:t xml:space="preserve">(פ' אלו נערות) </w:t>
      </w:r>
      <w:r w:rsidRPr="00DA24B5">
        <w:rPr>
          <w:rFonts w:cs="Arial" w:hint="cs"/>
          <w:b/>
          <w:bCs/>
          <w:rtl/>
        </w:rPr>
        <w:t>מא</w:t>
      </w:r>
      <w:r w:rsidR="009C338A">
        <w:rPr>
          <w:rStyle w:val="ab"/>
          <w:rFonts w:cs="Arial"/>
          <w:b/>
          <w:bCs/>
          <w:rtl/>
        </w:rPr>
        <w:footnoteReference w:id="17"/>
      </w:r>
      <w:r w:rsidRPr="00DA24B5">
        <w:rPr>
          <w:rFonts w:cs="Arial" w:hint="cs"/>
          <w:b/>
          <w:bCs/>
          <w:rtl/>
        </w:rPr>
        <w:t xml:space="preserve"> ע"א</w:t>
      </w:r>
      <w:r>
        <w:rPr>
          <w:rStyle w:val="ab"/>
          <w:rFonts w:cs="Arial"/>
          <w:b/>
          <w:bCs/>
          <w:rtl/>
        </w:rPr>
        <w:footnoteReference w:id="18"/>
      </w:r>
      <w:r w:rsidRPr="00DA24B5">
        <w:rPr>
          <w:rFonts w:cs="Arial" w:hint="cs"/>
          <w:b/>
          <w:bCs/>
          <w:rtl/>
        </w:rPr>
        <w:t>:</w:t>
      </w:r>
      <w:r>
        <w:rPr>
          <w:rFonts w:cs="Arial" w:hint="cs"/>
          <w:rtl/>
        </w:rPr>
        <w:t xml:space="preserve"> </w:t>
      </w:r>
      <w:r w:rsidRPr="00DA24B5">
        <w:rPr>
          <w:rFonts w:cs="Arial"/>
          <w:u w:val="double"/>
          <w:rtl/>
        </w:rPr>
        <w:t>מתני'</w:t>
      </w:r>
      <w:r w:rsidRPr="00DA24B5">
        <w:rPr>
          <w:rFonts w:cs="Arial" w:hint="cs"/>
          <w:u w:val="double"/>
          <w:rtl/>
        </w:rPr>
        <w:t>:</w:t>
      </w:r>
      <w:r w:rsidRPr="00DA24B5">
        <w:rPr>
          <w:rFonts w:cs="Arial"/>
          <w:rtl/>
        </w:rPr>
        <w:t xml:space="preserve"> האומר פתיתי את בתו של פלוני - משלם בושת ופגם על פי עצמו, ואין משלם קנס. האומר גנבתי - משלם את הקרן על פי עצמו, ואין משלם תשלומי כפל ותשלומי ארבעה וחמשה. המית שורי את פלוני או שורו של פלוני - הרי זה משלם על פי עצמו</w:t>
      </w:r>
      <w:r w:rsidR="009E627F">
        <w:rPr>
          <w:rFonts w:cs="Arial" w:hint="cs"/>
          <w:rtl/>
        </w:rPr>
        <w:t>.</w:t>
      </w:r>
      <w:r w:rsidRPr="00DA24B5">
        <w:rPr>
          <w:rFonts w:cs="Arial"/>
          <w:rtl/>
        </w:rPr>
        <w:t xml:space="preserve"> המית שורי עבדו של פלוני - אין משלם ע"פ עצמו. זה הכלל: כל המשלם יתר על מה שהזיק - אינו משלם ע"פ עצמו.</w:t>
      </w:r>
    </w:p>
    <w:p w14:paraId="5D92377D" w14:textId="77777777" w:rsidR="004A326E" w:rsidRDefault="004A326E" w:rsidP="004A326E">
      <w:pPr>
        <w:rPr>
          <w:rFonts w:cs="Arial"/>
          <w:rtl/>
        </w:rPr>
      </w:pPr>
      <w:r w:rsidRPr="00DA24B5">
        <w:rPr>
          <w:rFonts w:cs="Arial" w:hint="cs"/>
          <w:u w:val="single"/>
          <w:rtl/>
        </w:rPr>
        <w:t>המשלם על פי עצמו</w:t>
      </w:r>
      <w:r w:rsidR="009E627F">
        <w:rPr>
          <w:rFonts w:cs="Arial" w:hint="cs"/>
          <w:sz w:val="16"/>
          <w:szCs w:val="16"/>
          <w:u w:val="single"/>
          <w:rtl/>
        </w:rPr>
        <w:t xml:space="preserve"> (היינו שמודה במה שעשה)</w:t>
      </w:r>
      <w:r w:rsidRPr="00DA24B5">
        <w:rPr>
          <w:rFonts w:cs="Arial" w:hint="cs"/>
          <w:u w:val="single"/>
          <w:rtl/>
        </w:rPr>
        <w:t xml:space="preserve"> </w:t>
      </w:r>
      <w:r w:rsidRPr="00DA24B5">
        <w:rPr>
          <w:rFonts w:cs="Arial"/>
          <w:u w:val="single"/>
          <w:rtl/>
        </w:rPr>
        <w:t>–</w:t>
      </w:r>
      <w:r w:rsidRPr="00DA24B5">
        <w:rPr>
          <w:rFonts w:cs="Arial" w:hint="cs"/>
          <w:u w:val="single"/>
          <w:rtl/>
        </w:rPr>
        <w:t xml:space="preserve"> האם גובין אותו בזמה"ז:</w:t>
      </w:r>
      <w:r>
        <w:rPr>
          <w:rFonts w:cs="Arial" w:hint="cs"/>
          <w:rtl/>
        </w:rPr>
        <w:t xml:space="preserve"> </w:t>
      </w:r>
    </w:p>
    <w:p w14:paraId="4D679A2D" w14:textId="77777777" w:rsidR="004A326E" w:rsidRPr="00DA24B5" w:rsidRDefault="004A326E" w:rsidP="004B0475">
      <w:pPr>
        <w:pStyle w:val="ac"/>
        <w:numPr>
          <w:ilvl w:val="0"/>
          <w:numId w:val="41"/>
        </w:numPr>
        <w:rPr>
          <w:rFonts w:cs="Arial"/>
          <w:rtl/>
        </w:rPr>
      </w:pPr>
      <w:r>
        <w:rPr>
          <w:rFonts w:cs="Arial" w:hint="cs"/>
          <w:rtl/>
        </w:rPr>
        <w:t>רמב"ם</w:t>
      </w:r>
      <w:r w:rsidRPr="00DA24A7">
        <w:rPr>
          <w:rFonts w:cs="Arial" w:hint="cs"/>
          <w:sz w:val="16"/>
          <w:szCs w:val="16"/>
          <w:rtl/>
        </w:rPr>
        <w:t xml:space="preserve"> (סנהדרין פ"ה הי"ד)</w:t>
      </w:r>
      <w:r>
        <w:rPr>
          <w:rFonts w:cs="Arial" w:hint="cs"/>
          <w:rtl/>
        </w:rPr>
        <w:t xml:space="preserve"> ו</w:t>
      </w:r>
      <w:r w:rsidRPr="00DA24B5">
        <w:rPr>
          <w:rFonts w:cs="Arial" w:hint="cs"/>
          <w:rtl/>
        </w:rPr>
        <w:t xml:space="preserve">טור- </w:t>
      </w:r>
      <w:r w:rsidRPr="00DA24B5">
        <w:rPr>
          <w:rFonts w:cs="Arial"/>
          <w:rtl/>
        </w:rPr>
        <w:t>לא כל המשלם על פי עצמו גובין אותו בח</w:t>
      </w:r>
      <w:r w:rsidR="009E627F">
        <w:rPr>
          <w:rFonts w:cs="Arial" w:hint="cs"/>
          <w:rtl/>
        </w:rPr>
        <w:t>ו</w:t>
      </w:r>
      <w:r w:rsidRPr="00DA24B5">
        <w:rPr>
          <w:rFonts w:cs="Arial"/>
          <w:rtl/>
        </w:rPr>
        <w:t>"ל</w:t>
      </w:r>
      <w:r w:rsidR="009E627F">
        <w:rPr>
          <w:rFonts w:cs="Arial" w:hint="cs"/>
          <w:rtl/>
        </w:rPr>
        <w:t>,</w:t>
      </w:r>
      <w:r w:rsidRPr="00DA24B5">
        <w:rPr>
          <w:rFonts w:cs="Arial"/>
          <w:rtl/>
        </w:rPr>
        <w:t xml:space="preserve"> שהרי הפגם והבשת והכופר משלם אדם ע"פ עצמו כגון פיתיתי בתו של פלוני המית שורי את פלוני ואין גובין אותו בדייני חו</w:t>
      </w:r>
      <w:r w:rsidR="009E627F">
        <w:rPr>
          <w:rFonts w:cs="Arial" w:hint="cs"/>
          <w:rtl/>
        </w:rPr>
        <w:t>"ל</w:t>
      </w:r>
      <w:r>
        <w:rPr>
          <w:rFonts w:cs="Arial" w:hint="cs"/>
          <w:sz w:val="16"/>
          <w:szCs w:val="16"/>
          <w:rtl/>
        </w:rPr>
        <w:t xml:space="preserve"> (ל' הרמב"ם)</w:t>
      </w:r>
      <w:r>
        <w:rPr>
          <w:rStyle w:val="ab"/>
          <w:rFonts w:cs="Arial"/>
          <w:rtl/>
        </w:rPr>
        <w:footnoteReference w:id="19"/>
      </w:r>
      <w:r w:rsidRPr="00DA24B5">
        <w:rPr>
          <w:rFonts w:cs="Arial" w:hint="cs"/>
          <w:rtl/>
        </w:rPr>
        <w:t>.</w:t>
      </w:r>
    </w:p>
    <w:p w14:paraId="1A9297C0" w14:textId="77777777" w:rsidR="004A326E" w:rsidRPr="003024E5" w:rsidRDefault="004A326E" w:rsidP="004A326E">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04D46DB5" w14:textId="77777777" w:rsidR="004A326E" w:rsidRDefault="004A326E" w:rsidP="004A326E">
      <w:pPr>
        <w:rPr>
          <w:rtl/>
        </w:rPr>
      </w:pPr>
      <w:r>
        <w:rPr>
          <w:rFonts w:cs="Arial"/>
          <w:rtl/>
        </w:rPr>
        <w:t>בזמן הזה דנים הדיינים דיני הודאות והלוואות</w:t>
      </w:r>
      <w:r>
        <w:rPr>
          <w:rStyle w:val="ab"/>
          <w:rFonts w:cs="Arial"/>
          <w:rtl/>
        </w:rPr>
        <w:footnoteReference w:id="20"/>
      </w:r>
      <w:r>
        <w:rPr>
          <w:rFonts w:cs="Arial"/>
          <w:rtl/>
        </w:rPr>
        <w:t xml:space="preserve"> וכתובות אשה וירושות ומתנות ומזיק ממון חבירו, שהם הדברים המצויים תמיד ויש בהם חסרון כיס</w:t>
      </w:r>
      <w:r>
        <w:rPr>
          <w:rStyle w:val="ab"/>
          <w:rFonts w:cs="Arial"/>
          <w:rtl/>
        </w:rPr>
        <w:footnoteReference w:id="21"/>
      </w:r>
      <w:r>
        <w:rPr>
          <w:rFonts w:cs="Arial" w:hint="cs"/>
          <w:rtl/>
        </w:rPr>
        <w:t>.</w:t>
      </w:r>
      <w:r>
        <w:rPr>
          <w:rFonts w:cs="Arial"/>
          <w:rtl/>
        </w:rPr>
        <w:t xml:space="preserve"> אבל דברים שאינם מצויים אף על פי שיש בהם חסרון כיס, כגון בהמה שחבלה בחברתה</w:t>
      </w:r>
      <w:r>
        <w:rPr>
          <w:rStyle w:val="ab"/>
          <w:rFonts w:cs="Arial"/>
          <w:rtl/>
        </w:rPr>
        <w:footnoteReference w:id="22"/>
      </w:r>
      <w:r>
        <w:rPr>
          <w:rFonts w:cs="Arial"/>
          <w:rtl/>
        </w:rPr>
        <w:t>, או דברים שאין בהם חסרון כיס אף על פי שהם מצויים, כגון תשלומי כפל</w:t>
      </w:r>
      <w:r>
        <w:rPr>
          <w:rStyle w:val="ab"/>
          <w:rFonts w:cs="Arial"/>
          <w:rtl/>
        </w:rPr>
        <w:footnoteReference w:id="23"/>
      </w:r>
      <w:r>
        <w:rPr>
          <w:rFonts w:cs="Arial"/>
          <w:rtl/>
        </w:rPr>
        <w:t xml:space="preserve">, וכן כל הקנסות שקנסו חכמים, כתוקע לחבירו </w:t>
      </w:r>
      <w:r w:rsidRPr="00107335">
        <w:rPr>
          <w:rFonts w:cs="Arial"/>
          <w:sz w:val="16"/>
          <w:szCs w:val="16"/>
          <w:rtl/>
        </w:rPr>
        <w:t>(פי' שתוקע בקול באזנו ומבעיתו)</w:t>
      </w:r>
      <w:r>
        <w:rPr>
          <w:rFonts w:cs="Arial"/>
          <w:rtl/>
        </w:rPr>
        <w:t xml:space="preserve"> וכסוטר את חבירו </w:t>
      </w:r>
      <w:r w:rsidRPr="00107335">
        <w:rPr>
          <w:rFonts w:cs="Arial"/>
          <w:sz w:val="16"/>
          <w:szCs w:val="16"/>
          <w:rtl/>
        </w:rPr>
        <w:t>(פי' מכה בידו על הלחי)</w:t>
      </w:r>
      <w:r>
        <w:rPr>
          <w:rFonts w:cs="Arial"/>
          <w:rtl/>
        </w:rPr>
        <w:t>, וכן כל המשלם יותר ממה שהזיק</w:t>
      </w:r>
      <w:r>
        <w:rPr>
          <w:rStyle w:val="ab"/>
          <w:rFonts w:cs="Arial"/>
          <w:rtl/>
        </w:rPr>
        <w:footnoteReference w:id="24"/>
      </w:r>
      <w:r>
        <w:rPr>
          <w:rFonts w:cs="Arial"/>
          <w:rtl/>
        </w:rPr>
        <w:t xml:space="preserve">, או </w:t>
      </w:r>
      <w:r>
        <w:rPr>
          <w:rFonts w:cs="Arial"/>
          <w:rtl/>
        </w:rPr>
        <w:lastRenderedPageBreak/>
        <w:t>שמשלם חצי נזק, אין דנין אותו אלא מומחים</w:t>
      </w:r>
      <w:r>
        <w:rPr>
          <w:rStyle w:val="ab"/>
          <w:rFonts w:cs="Arial"/>
          <w:rtl/>
        </w:rPr>
        <w:footnoteReference w:id="25"/>
      </w:r>
      <w:r>
        <w:rPr>
          <w:rFonts w:cs="Arial"/>
          <w:rtl/>
        </w:rPr>
        <w:t xml:space="preserve"> הסמוכים</w:t>
      </w:r>
      <w:r>
        <w:rPr>
          <w:rStyle w:val="ab"/>
          <w:rFonts w:cs="Arial"/>
          <w:rtl/>
        </w:rPr>
        <w:footnoteReference w:id="26"/>
      </w:r>
      <w:r>
        <w:rPr>
          <w:rFonts w:cs="Arial"/>
          <w:rtl/>
        </w:rPr>
        <w:t xml:space="preserve"> בארץ ישראל, חוץ מחצי נזק צרורות</w:t>
      </w:r>
      <w:r>
        <w:rPr>
          <w:rStyle w:val="ab"/>
          <w:rFonts w:cs="Arial"/>
          <w:rtl/>
        </w:rPr>
        <w:footnoteReference w:id="27"/>
      </w:r>
      <w:r>
        <w:rPr>
          <w:rFonts w:cs="Arial"/>
          <w:rtl/>
        </w:rPr>
        <w:t xml:space="preserve"> מפני שהוא ממון ואינו קנס.</w:t>
      </w:r>
    </w:p>
    <w:p w14:paraId="64815AC5" w14:textId="77777777" w:rsidR="004A326E" w:rsidRDefault="004A326E" w:rsidP="004A326E">
      <w:pPr>
        <w:rPr>
          <w:rtl/>
        </w:rPr>
      </w:pPr>
    </w:p>
    <w:p w14:paraId="5184233D" w14:textId="77777777" w:rsidR="004A326E" w:rsidRDefault="004A326E" w:rsidP="004A326E">
      <w:pPr>
        <w:pStyle w:val="2"/>
        <w:rPr>
          <w:rtl/>
        </w:rPr>
      </w:pPr>
      <w:bookmarkStart w:id="5" w:name="_Toc24883512"/>
      <w:r>
        <w:rPr>
          <w:rtl/>
        </w:rPr>
        <w:t>סעיף ב</w:t>
      </w:r>
      <w:r>
        <w:rPr>
          <w:rFonts w:hint="cs"/>
          <w:rtl/>
        </w:rPr>
        <w:t>: אדם שחבל באדם.</w:t>
      </w:r>
      <w:bookmarkEnd w:id="5"/>
    </w:p>
    <w:p w14:paraId="5548B5AC" w14:textId="77777777" w:rsidR="004A326E" w:rsidRPr="009701FA" w:rsidRDefault="004A326E" w:rsidP="004A326E">
      <w:pPr>
        <w:rPr>
          <w:rFonts w:cs="Arial"/>
          <w:rtl/>
        </w:rPr>
      </w:pPr>
      <w:r w:rsidRPr="002545BA">
        <w:rPr>
          <w:rFonts w:cs="Arial" w:hint="cs"/>
          <w:b/>
          <w:bCs/>
          <w:rtl/>
        </w:rPr>
        <w:t xml:space="preserve">גיטין </w:t>
      </w:r>
      <w:r w:rsidRPr="002545BA">
        <w:rPr>
          <w:rFonts w:cs="Arial" w:hint="cs"/>
          <w:b/>
          <w:bCs/>
          <w:sz w:val="16"/>
          <w:szCs w:val="16"/>
          <w:rtl/>
        </w:rPr>
        <w:t>(</w:t>
      </w:r>
      <w:r>
        <w:rPr>
          <w:rFonts w:cs="Arial" w:hint="cs"/>
          <w:b/>
          <w:bCs/>
          <w:sz w:val="16"/>
          <w:szCs w:val="16"/>
          <w:rtl/>
        </w:rPr>
        <w:t>פ' המגרש</w:t>
      </w:r>
      <w:r w:rsidRPr="002545BA">
        <w:rPr>
          <w:rFonts w:cs="Arial" w:hint="cs"/>
          <w:b/>
          <w:bCs/>
          <w:sz w:val="16"/>
          <w:szCs w:val="16"/>
          <w:rtl/>
        </w:rPr>
        <w:t>)</w:t>
      </w:r>
      <w:r>
        <w:rPr>
          <w:rFonts w:cs="Arial" w:hint="cs"/>
          <w:b/>
          <w:bCs/>
          <w:rtl/>
        </w:rPr>
        <w:t xml:space="preserve"> פח</w:t>
      </w:r>
      <w:r w:rsidR="005A7CE3">
        <w:rPr>
          <w:rStyle w:val="ab"/>
          <w:rFonts w:cs="Arial"/>
          <w:b/>
          <w:bCs/>
          <w:rtl/>
        </w:rPr>
        <w:footnoteReference w:id="28"/>
      </w:r>
      <w:r>
        <w:rPr>
          <w:rFonts w:cs="Arial" w:hint="cs"/>
          <w:b/>
          <w:bCs/>
          <w:rtl/>
        </w:rPr>
        <w:t xml:space="preserve"> ע"ב</w:t>
      </w:r>
      <w:r w:rsidRPr="002545BA">
        <w:rPr>
          <w:rFonts w:cs="Arial" w:hint="cs"/>
          <w:b/>
          <w:bCs/>
          <w:rtl/>
        </w:rPr>
        <w:t>:</w:t>
      </w:r>
      <w:r>
        <w:rPr>
          <w:rFonts w:cs="Arial" w:hint="cs"/>
          <w:rtl/>
        </w:rPr>
        <w:t xml:space="preserve"> </w:t>
      </w:r>
      <w:r w:rsidRPr="002545BA">
        <w:rPr>
          <w:rFonts w:cs="Arial"/>
          <w:rtl/>
        </w:rPr>
        <w:t xml:space="preserve">אביי אשכחיה לרב יוסף דיתיב וקא מעשה אגיטי, </w:t>
      </w:r>
      <w:r w:rsidRPr="005C6DCE">
        <w:rPr>
          <w:rFonts w:cs="Arial"/>
          <w:u w:val="single"/>
          <w:rtl/>
        </w:rPr>
        <w:t>א"ל</w:t>
      </w:r>
      <w:r w:rsidRPr="002545BA">
        <w:rPr>
          <w:rFonts w:cs="Arial"/>
          <w:rtl/>
        </w:rPr>
        <w:t xml:space="preserve">: והא אנן הדיוטות אנן, ותניא, היה ר"ט אומר: כל מקום שאתה מוצא אגוריאות של עובדי כוכבים, אף על פי שדיניהם כדיני ישראל, אי אתה רשאי להיזקק להם, שנאמר: ואלה המשפטים אשר תשים לפניהם, לפניהם ולא לפני עובדי כוכבים, דבר אחר: לפניהם - ולא לפני הדיוטות! </w:t>
      </w:r>
      <w:r w:rsidRPr="005C6DCE">
        <w:rPr>
          <w:rFonts w:cs="Arial"/>
          <w:u w:val="single"/>
          <w:rtl/>
        </w:rPr>
        <w:t>א"ל</w:t>
      </w:r>
      <w:r w:rsidRPr="002545BA">
        <w:rPr>
          <w:rFonts w:cs="Arial"/>
          <w:rtl/>
        </w:rPr>
        <w:t>: אנן שליחותייהו</w:t>
      </w:r>
      <w:r>
        <w:rPr>
          <w:rStyle w:val="ab"/>
          <w:rFonts w:cs="Arial"/>
          <w:rtl/>
        </w:rPr>
        <w:footnoteReference w:id="29"/>
      </w:r>
      <w:r w:rsidRPr="002545BA">
        <w:rPr>
          <w:rFonts w:cs="Arial"/>
          <w:rtl/>
        </w:rPr>
        <w:t xml:space="preserve"> קא עבדינן</w:t>
      </w:r>
      <w:r>
        <w:rPr>
          <w:rStyle w:val="ab"/>
          <w:rFonts w:cs="Arial"/>
          <w:rtl/>
        </w:rPr>
        <w:footnoteReference w:id="30"/>
      </w:r>
      <w:r w:rsidRPr="002545BA">
        <w:rPr>
          <w:rFonts w:cs="Arial"/>
          <w:rtl/>
        </w:rPr>
        <w:t>, מידי דהוה</w:t>
      </w:r>
      <w:r>
        <w:rPr>
          <w:rStyle w:val="ab"/>
          <w:rFonts w:cs="Arial"/>
          <w:rtl/>
        </w:rPr>
        <w:footnoteReference w:id="31"/>
      </w:r>
      <w:r w:rsidRPr="002545BA">
        <w:rPr>
          <w:rFonts w:cs="Arial"/>
          <w:rtl/>
        </w:rPr>
        <w:t xml:space="preserve"> אהודאות והלואות. אי הכי, גזילות וחבלות נמי! כי עבדינן שליחותייהו - במילתא דשכיחא, במילתא דלא שכיחא - לא עבדינן שליחותייהו. </w:t>
      </w:r>
      <w:r w:rsidRPr="009701FA">
        <w:rPr>
          <w:rFonts w:cs="Arial" w:hint="cs"/>
          <w:sz w:val="16"/>
          <w:szCs w:val="16"/>
          <w:rtl/>
        </w:rPr>
        <w:t>(</w:t>
      </w:r>
      <w:r w:rsidRPr="009701FA">
        <w:rPr>
          <w:rFonts w:cs="Arial"/>
          <w:sz w:val="16"/>
          <w:szCs w:val="16"/>
          <w:rtl/>
        </w:rPr>
        <w:t>וכתבו התוס</w:t>
      </w:r>
      <w:r w:rsidRPr="009701FA">
        <w:rPr>
          <w:rFonts w:cs="Arial" w:hint="cs"/>
          <w:sz w:val="16"/>
          <w:szCs w:val="16"/>
          <w:rtl/>
        </w:rPr>
        <w:t>'</w:t>
      </w:r>
      <w:r w:rsidRPr="009701FA">
        <w:rPr>
          <w:rFonts w:cs="Arial"/>
          <w:sz w:val="16"/>
          <w:szCs w:val="16"/>
          <w:rtl/>
        </w:rPr>
        <w:t xml:space="preserve"> (גיטין שם ד"ה במילתא) וא"ת היכי עבדינן שליחותייהו והא עכשיו אין מומחין בארץ ישראל ומי יתן לנו רשות</w:t>
      </w:r>
      <w:r>
        <w:rPr>
          <w:rFonts w:cs="Arial" w:hint="cs"/>
          <w:sz w:val="16"/>
          <w:szCs w:val="16"/>
          <w:rtl/>
        </w:rPr>
        <w:t>,</w:t>
      </w:r>
      <w:r w:rsidRPr="009701FA">
        <w:rPr>
          <w:rFonts w:cs="Arial"/>
          <w:sz w:val="16"/>
          <w:szCs w:val="16"/>
          <w:rtl/>
        </w:rPr>
        <w:t xml:space="preserve"> ויש לומר דשליחותא דקמאי עבדינן</w:t>
      </w:r>
      <w:r>
        <w:rPr>
          <w:rFonts w:cs="Arial" w:hint="cs"/>
          <w:sz w:val="16"/>
          <w:szCs w:val="16"/>
          <w:rtl/>
        </w:rPr>
        <w:t xml:space="preserve">) </w:t>
      </w:r>
    </w:p>
    <w:p w14:paraId="616E7182" w14:textId="77777777" w:rsidR="004A326E" w:rsidRPr="00B30AD4" w:rsidRDefault="004A326E" w:rsidP="004A326E">
      <w:pPr>
        <w:rPr>
          <w:rFonts w:cs="Arial"/>
          <w:rtl/>
        </w:rPr>
      </w:pPr>
      <w:r w:rsidRPr="00B30AD4">
        <w:rPr>
          <w:rFonts w:cs="Arial" w:hint="cs"/>
          <w:b/>
          <w:bCs/>
          <w:rtl/>
        </w:rPr>
        <w:t>בבא קמא</w:t>
      </w:r>
      <w:r w:rsidRPr="00B30AD4">
        <w:rPr>
          <w:rFonts w:cs="Arial" w:hint="cs"/>
          <w:b/>
          <w:bCs/>
          <w:sz w:val="16"/>
          <w:szCs w:val="16"/>
          <w:rtl/>
        </w:rPr>
        <w:t xml:space="preserve"> (</w:t>
      </w:r>
      <w:r>
        <w:rPr>
          <w:rFonts w:cs="Arial" w:hint="cs"/>
          <w:b/>
          <w:bCs/>
          <w:sz w:val="16"/>
          <w:szCs w:val="16"/>
          <w:rtl/>
        </w:rPr>
        <w:t>ר"</w:t>
      </w:r>
      <w:r w:rsidRPr="00B30AD4">
        <w:rPr>
          <w:rFonts w:cs="Arial" w:hint="cs"/>
          <w:b/>
          <w:bCs/>
          <w:sz w:val="16"/>
          <w:szCs w:val="16"/>
          <w:rtl/>
        </w:rPr>
        <w:t>פ החובל)</w:t>
      </w:r>
      <w:r w:rsidRPr="00B30AD4">
        <w:rPr>
          <w:rFonts w:cs="Arial" w:hint="cs"/>
          <w:b/>
          <w:bCs/>
          <w:rtl/>
        </w:rPr>
        <w:t xml:space="preserve"> פד</w:t>
      </w:r>
      <w:r w:rsidR="005A7CE3">
        <w:rPr>
          <w:rStyle w:val="ab"/>
          <w:rFonts w:cs="Arial"/>
          <w:b/>
          <w:bCs/>
          <w:rtl/>
        </w:rPr>
        <w:footnoteReference w:id="32"/>
      </w:r>
      <w:r w:rsidRPr="00B30AD4">
        <w:rPr>
          <w:rFonts w:cs="Arial" w:hint="cs"/>
          <w:b/>
          <w:bCs/>
          <w:rtl/>
        </w:rPr>
        <w:t xml:space="preserve"> ע"ב:</w:t>
      </w:r>
      <w:r>
        <w:rPr>
          <w:rFonts w:cs="Arial" w:hint="cs"/>
          <w:rtl/>
        </w:rPr>
        <w:t xml:space="preserve"> </w:t>
      </w:r>
      <w:r w:rsidRPr="00B30AD4">
        <w:rPr>
          <w:rFonts w:cs="Arial"/>
          <w:rtl/>
        </w:rPr>
        <w:t>כי עבדינן שליחותייהו - במילתא דשכיחא ואית ביה חסרון כיס</w:t>
      </w:r>
      <w:r>
        <w:rPr>
          <w:rStyle w:val="ab"/>
          <w:rFonts w:cs="Arial"/>
          <w:rtl/>
        </w:rPr>
        <w:footnoteReference w:id="33"/>
      </w:r>
      <w:r w:rsidRPr="00B30AD4">
        <w:rPr>
          <w:rFonts w:cs="Arial"/>
          <w:rtl/>
        </w:rPr>
        <w:t>, אבל מילתא דשכיחא ולית ביה חסרון כיס, אי נמי מילתא דלא שכיחא ואית ביה חסרון כיס - לא עבדינן שליחותייהו</w:t>
      </w:r>
      <w:r>
        <w:rPr>
          <w:rFonts w:cs="Arial" w:hint="cs"/>
          <w:rtl/>
        </w:rPr>
        <w:t>.</w:t>
      </w:r>
      <w:r w:rsidRPr="002A6C1E">
        <w:rPr>
          <w:rFonts w:cs="Arial"/>
          <w:rtl/>
        </w:rPr>
        <w:t xml:space="preserve"> הלכך אדם באדם, אף על גב דאית ביה חסרון כיס, כיון דלא שכיחא - לא עבדינן שליחותייהו, בושת אף על גב דשכיחא, כיון דלית ביה חסרון כיס - לא עבדינן שליחותייהו.</w:t>
      </w:r>
      <w:r w:rsidRPr="00B30AD4">
        <w:rPr>
          <w:rFonts w:cs="Arial"/>
          <w:rtl/>
        </w:rPr>
        <w:t xml:space="preserve"> </w:t>
      </w:r>
      <w:r>
        <w:rPr>
          <w:rFonts w:cs="Arial" w:hint="cs"/>
          <w:sz w:val="16"/>
          <w:szCs w:val="16"/>
          <w:rtl/>
        </w:rPr>
        <w:t>(</w:t>
      </w:r>
      <w:r w:rsidRPr="00B30AD4">
        <w:rPr>
          <w:rFonts w:cs="Arial"/>
          <w:sz w:val="16"/>
          <w:szCs w:val="16"/>
          <w:rtl/>
        </w:rPr>
        <w:t>ואע</w:t>
      </w:r>
      <w:r>
        <w:rPr>
          <w:rFonts w:cs="Arial" w:hint="cs"/>
          <w:sz w:val="16"/>
          <w:szCs w:val="16"/>
          <w:rtl/>
        </w:rPr>
        <w:t>"</w:t>
      </w:r>
      <w:r w:rsidRPr="00B30AD4">
        <w:rPr>
          <w:rFonts w:cs="Arial"/>
          <w:sz w:val="16"/>
          <w:szCs w:val="16"/>
          <w:rtl/>
        </w:rPr>
        <w:t>ג דבההוא עובדא דסוף גיטין דאשכחיה אביי לרב יוסף דהוה מעשה אגיטי אמרינן דכי עבדינן שליחותייהו במידי דשכיח</w:t>
      </w:r>
      <w:r>
        <w:rPr>
          <w:rFonts w:cs="Arial" w:hint="cs"/>
          <w:sz w:val="16"/>
          <w:szCs w:val="16"/>
          <w:rtl/>
        </w:rPr>
        <w:t>,</w:t>
      </w:r>
      <w:r w:rsidRPr="00B30AD4">
        <w:rPr>
          <w:rFonts w:cs="Arial"/>
          <w:sz w:val="16"/>
          <w:szCs w:val="16"/>
          <w:rtl/>
        </w:rPr>
        <w:t xml:space="preserve"> ולא מדכר התם חסרון כיס</w:t>
      </w:r>
      <w:r>
        <w:rPr>
          <w:rFonts w:cs="Arial" w:hint="cs"/>
          <w:sz w:val="16"/>
          <w:szCs w:val="16"/>
          <w:rtl/>
        </w:rPr>
        <w:t>,</w:t>
      </w:r>
      <w:r w:rsidRPr="00B30AD4">
        <w:rPr>
          <w:rFonts w:cs="Arial"/>
          <w:sz w:val="16"/>
          <w:szCs w:val="16"/>
          <w:rtl/>
        </w:rPr>
        <w:t xml:space="preserve"> י"ל דדיני גיטין משום עגונא עדיפי מהיכא דאיכא חסרון כיס. והכי נמי תירץ הר"ן ז"ל (גיטין מט: ד"ה כי) דהיינו טעמא דמקבלים גרים בזמן הזה אע</w:t>
      </w:r>
      <w:r>
        <w:rPr>
          <w:rFonts w:cs="Arial" w:hint="cs"/>
          <w:sz w:val="16"/>
          <w:szCs w:val="16"/>
          <w:rtl/>
        </w:rPr>
        <w:t>"</w:t>
      </w:r>
      <w:r w:rsidRPr="00B30AD4">
        <w:rPr>
          <w:rFonts w:cs="Arial"/>
          <w:sz w:val="16"/>
          <w:szCs w:val="16"/>
          <w:rtl/>
        </w:rPr>
        <w:t>ג דלא שכיח דלהכניס אדם תחת כנפי השכינה עדיף מממונא דשכיח. ורב יוסף לפום מאי דאקשי ליה אביי שני ליה כי עבדינן שליחותייהו במלתא דשכיח כו' אבל אה</w:t>
      </w:r>
      <w:r>
        <w:rPr>
          <w:rFonts w:cs="Arial" w:hint="cs"/>
          <w:sz w:val="16"/>
          <w:szCs w:val="16"/>
          <w:rtl/>
        </w:rPr>
        <w:t>"</w:t>
      </w:r>
      <w:r w:rsidRPr="00B30AD4">
        <w:rPr>
          <w:rFonts w:cs="Arial"/>
          <w:sz w:val="16"/>
          <w:szCs w:val="16"/>
          <w:rtl/>
        </w:rPr>
        <w:t>נ דבעינן אית בה חסרון כיס וכדאיתא בר</w:t>
      </w:r>
      <w:r>
        <w:rPr>
          <w:rFonts w:cs="Arial" w:hint="cs"/>
          <w:sz w:val="16"/>
          <w:szCs w:val="16"/>
          <w:rtl/>
        </w:rPr>
        <w:t>"</w:t>
      </w:r>
      <w:r w:rsidRPr="00B30AD4">
        <w:rPr>
          <w:rFonts w:cs="Arial"/>
          <w:sz w:val="16"/>
          <w:szCs w:val="16"/>
          <w:rtl/>
        </w:rPr>
        <w:t>פ החובל דהוא דוכתא דהאי דינא</w:t>
      </w:r>
      <w:r>
        <w:rPr>
          <w:rFonts w:cs="Arial" w:hint="cs"/>
          <w:sz w:val="16"/>
          <w:szCs w:val="16"/>
          <w:rtl/>
        </w:rPr>
        <w:t>, ב"י)</w:t>
      </w:r>
    </w:p>
    <w:p w14:paraId="650562E3" w14:textId="77777777" w:rsidR="004A326E" w:rsidRDefault="001353AC" w:rsidP="004A326E">
      <w:pPr>
        <w:rPr>
          <w:rFonts w:cs="Arial"/>
          <w:rtl/>
        </w:rPr>
      </w:pPr>
      <w:r>
        <w:rPr>
          <w:rFonts w:cs="Arial" w:hint="cs"/>
          <w:u w:val="single"/>
          <w:rtl/>
        </w:rPr>
        <w:t>דיני חבלות</w:t>
      </w:r>
      <w:r w:rsidR="004A326E" w:rsidRPr="00B30AD4">
        <w:rPr>
          <w:rFonts w:cs="Arial" w:hint="cs"/>
          <w:u w:val="single"/>
          <w:rtl/>
        </w:rPr>
        <w:t xml:space="preserve"> </w:t>
      </w:r>
      <w:r w:rsidR="004A326E" w:rsidRPr="00B30AD4">
        <w:rPr>
          <w:rFonts w:cs="Arial"/>
          <w:u w:val="single"/>
          <w:rtl/>
        </w:rPr>
        <w:t>–</w:t>
      </w:r>
      <w:r w:rsidR="004A326E" w:rsidRPr="00B30AD4">
        <w:rPr>
          <w:rFonts w:cs="Arial" w:hint="cs"/>
          <w:u w:val="single"/>
          <w:rtl/>
        </w:rPr>
        <w:t xml:space="preserve"> בזמה"ז:</w:t>
      </w:r>
      <w:r w:rsidR="004A326E">
        <w:rPr>
          <w:rFonts w:cs="Arial" w:hint="cs"/>
          <w:rtl/>
        </w:rPr>
        <w:t xml:space="preserve"> </w:t>
      </w:r>
    </w:p>
    <w:p w14:paraId="1AAF966D" w14:textId="77777777" w:rsidR="004A326E" w:rsidRDefault="004A326E" w:rsidP="004B0475">
      <w:pPr>
        <w:pStyle w:val="ac"/>
        <w:numPr>
          <w:ilvl w:val="0"/>
          <w:numId w:val="40"/>
        </w:numPr>
        <w:rPr>
          <w:rFonts w:cs="Arial"/>
        </w:rPr>
      </w:pPr>
      <w:r w:rsidRPr="00B30AD4">
        <w:rPr>
          <w:rFonts w:cs="Arial"/>
          <w:rtl/>
        </w:rPr>
        <w:t xml:space="preserve">רמב"ם </w:t>
      </w:r>
      <w:r w:rsidRPr="00B30AD4">
        <w:rPr>
          <w:rFonts w:cs="Arial" w:hint="cs"/>
          <w:sz w:val="16"/>
          <w:szCs w:val="16"/>
          <w:rtl/>
        </w:rPr>
        <w:t>(סנהדרין פ"ה ה"י)</w:t>
      </w:r>
      <w:r w:rsidRPr="00B30AD4">
        <w:rPr>
          <w:rFonts w:cs="Arial" w:hint="cs"/>
          <w:rtl/>
        </w:rPr>
        <w:t>-</w:t>
      </w:r>
      <w:r w:rsidRPr="00B30AD4">
        <w:rPr>
          <w:rFonts w:cs="Arial"/>
          <w:rtl/>
        </w:rPr>
        <w:t xml:space="preserve"> כל הנישום כעבד אין דנין אותו דייני חוצה לארץ</w:t>
      </w:r>
      <w:r w:rsidR="00AF248D">
        <w:rPr>
          <w:rFonts w:cs="Arial" w:hint="cs"/>
          <w:rtl/>
        </w:rPr>
        <w:t>.</w:t>
      </w:r>
      <w:r w:rsidRPr="00B30AD4">
        <w:rPr>
          <w:rFonts w:cs="Arial"/>
          <w:rtl/>
        </w:rPr>
        <w:t xml:space="preserve"> לפיכך</w:t>
      </w:r>
      <w:r w:rsidR="001353AC">
        <w:rPr>
          <w:rFonts w:cs="Arial" w:hint="cs"/>
          <w:rtl/>
        </w:rPr>
        <w:t>,</w:t>
      </w:r>
      <w:r w:rsidRPr="00B30AD4">
        <w:rPr>
          <w:rFonts w:cs="Arial"/>
          <w:rtl/>
        </w:rPr>
        <w:t xml:space="preserve"> אדם שחבל בחבירו </w:t>
      </w:r>
      <w:r w:rsidR="00AF248D">
        <w:rPr>
          <w:rFonts w:cs="Arial" w:hint="cs"/>
          <w:rtl/>
        </w:rPr>
        <w:t xml:space="preserve">- </w:t>
      </w:r>
      <w:r w:rsidRPr="00B30AD4">
        <w:rPr>
          <w:rFonts w:cs="Arial"/>
          <w:rtl/>
        </w:rPr>
        <w:t>אין גובין הנזק והצער והבושת שהוא חייב בהם דייני חוצה לארץ</w:t>
      </w:r>
      <w:r>
        <w:rPr>
          <w:rFonts w:cs="Arial" w:hint="cs"/>
          <w:rtl/>
        </w:rPr>
        <w:t>,</w:t>
      </w:r>
      <w:r w:rsidRPr="00B30AD4">
        <w:rPr>
          <w:rFonts w:cs="Arial"/>
          <w:rtl/>
        </w:rPr>
        <w:t xml:space="preserve"> אבל שבת ורפוי גובין מפני שיש בהם חסרון כיס</w:t>
      </w:r>
      <w:r>
        <w:rPr>
          <w:rFonts w:cs="Arial" w:hint="cs"/>
          <w:rtl/>
        </w:rPr>
        <w:t>,</w:t>
      </w:r>
      <w:r w:rsidRPr="00B30AD4">
        <w:rPr>
          <w:rFonts w:cs="Arial"/>
          <w:rtl/>
        </w:rPr>
        <w:t xml:space="preserve"> וכן הורו הגאונים ואמרו שמעשים בכל יום לגבות שבת ורפוי בבבל</w:t>
      </w:r>
      <w:r>
        <w:rPr>
          <w:rStyle w:val="ab"/>
          <w:rFonts w:cs="Arial"/>
          <w:rtl/>
        </w:rPr>
        <w:footnoteReference w:id="34"/>
      </w:r>
      <w:r w:rsidRPr="00B30AD4">
        <w:rPr>
          <w:rFonts w:cs="Arial"/>
          <w:rtl/>
        </w:rPr>
        <w:t>.</w:t>
      </w:r>
      <w:r>
        <w:rPr>
          <w:rFonts w:cs="Arial" w:hint="cs"/>
          <w:color w:val="E36C0A" w:themeColor="accent6" w:themeShade="BF"/>
          <w:rtl/>
        </w:rPr>
        <w:t xml:space="preserve"> </w:t>
      </w:r>
      <w:r w:rsidRPr="006B560A">
        <w:rPr>
          <w:rFonts w:cs="Arial" w:hint="cs"/>
          <w:color w:val="E36C0A" w:themeColor="accent6" w:themeShade="BF"/>
          <w:rtl/>
        </w:rPr>
        <w:t>(וכ"פ בשו"ע)</w:t>
      </w:r>
    </w:p>
    <w:p w14:paraId="5D2AA604" w14:textId="77777777" w:rsidR="004A326E" w:rsidRDefault="004A326E" w:rsidP="004B0475">
      <w:pPr>
        <w:pStyle w:val="ac"/>
        <w:numPr>
          <w:ilvl w:val="0"/>
          <w:numId w:val="40"/>
        </w:numPr>
        <w:rPr>
          <w:rFonts w:cs="Arial"/>
        </w:rPr>
      </w:pPr>
      <w:r>
        <w:rPr>
          <w:rFonts w:cs="Arial" w:hint="cs"/>
          <w:rtl/>
        </w:rPr>
        <w:t xml:space="preserve">רי"ף </w:t>
      </w:r>
      <w:r w:rsidRPr="002A6C1E">
        <w:rPr>
          <w:rFonts w:cs="Arial" w:hint="cs"/>
          <w:sz w:val="16"/>
          <w:szCs w:val="16"/>
          <w:rtl/>
        </w:rPr>
        <w:t>(ל:, כן הבין הב"י מדבריו)</w:t>
      </w:r>
      <w:r w:rsidRPr="002A6C1E">
        <w:rPr>
          <w:rFonts w:cs="Arial" w:hint="cs"/>
          <w:sz w:val="16"/>
          <w:szCs w:val="16"/>
        </w:rPr>
        <w:t xml:space="preserve"> </w:t>
      </w:r>
      <w:r>
        <w:rPr>
          <w:rFonts w:cs="Arial" w:hint="cs"/>
          <w:rtl/>
        </w:rPr>
        <w:t>ורא"ש</w:t>
      </w:r>
      <w:r>
        <w:rPr>
          <w:rStyle w:val="ab"/>
          <w:rFonts w:cs="Arial"/>
          <w:rtl/>
        </w:rPr>
        <w:footnoteReference w:id="35"/>
      </w:r>
      <w:r>
        <w:rPr>
          <w:rFonts w:cs="Arial" w:hint="cs"/>
          <w:sz w:val="16"/>
          <w:szCs w:val="16"/>
          <w:rtl/>
        </w:rPr>
        <w:t xml:space="preserve"> (שם סי' ב, כן הבין הטור מדבריו)</w:t>
      </w:r>
      <w:r>
        <w:rPr>
          <w:rFonts w:cs="Arial" w:hint="cs"/>
          <w:rtl/>
        </w:rPr>
        <w:t>- אין דנין אותו</w:t>
      </w:r>
      <w:r w:rsidR="00E00D0D">
        <w:rPr>
          <w:rFonts w:cs="Arial" w:hint="cs"/>
          <w:rtl/>
        </w:rPr>
        <w:t xml:space="preserve"> אף בשבת וריפוי</w:t>
      </w:r>
      <w:r>
        <w:rPr>
          <w:rFonts w:cs="Arial" w:hint="cs"/>
          <w:rtl/>
        </w:rPr>
        <w:t>.</w:t>
      </w:r>
    </w:p>
    <w:p w14:paraId="482FE02A" w14:textId="77777777" w:rsidR="004A326E" w:rsidRPr="002A6C1E" w:rsidRDefault="004A326E" w:rsidP="004B0475">
      <w:pPr>
        <w:pStyle w:val="ac"/>
        <w:numPr>
          <w:ilvl w:val="1"/>
          <w:numId w:val="40"/>
        </w:numPr>
        <w:rPr>
          <w:rFonts w:cs="Arial"/>
          <w:rtl/>
        </w:rPr>
      </w:pPr>
      <w:r w:rsidRPr="002A6C1E">
        <w:rPr>
          <w:rFonts w:cs="Arial" w:hint="cs"/>
          <w:rtl/>
        </w:rPr>
        <w:t>ב"י-</w:t>
      </w:r>
      <w:r w:rsidRPr="002A6C1E">
        <w:rPr>
          <w:rFonts w:cs="Arial"/>
          <w:rtl/>
        </w:rPr>
        <w:t xml:space="preserve"> לענין הלכה כיון שהרי"ף והרא"ש לא ביארו דעתם והרמב"ם ביאר דבריו וכתב שכן הורו הגאונים ואמרו שמעשים בכל יום לגבות שבת ורפוי בבבל הכי נקטינן</w:t>
      </w:r>
      <w:r>
        <w:rPr>
          <w:rStyle w:val="ab"/>
          <w:rFonts w:cs="Arial"/>
          <w:rtl/>
        </w:rPr>
        <w:footnoteReference w:id="36"/>
      </w:r>
      <w:r w:rsidRPr="002A6C1E">
        <w:rPr>
          <w:rFonts w:cs="Arial" w:hint="cs"/>
          <w:rtl/>
        </w:rPr>
        <w:t>.</w:t>
      </w:r>
    </w:p>
    <w:p w14:paraId="6FB776A2" w14:textId="77777777" w:rsidR="004A326E" w:rsidRPr="003024E5" w:rsidRDefault="004A326E" w:rsidP="004A326E">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lastRenderedPageBreak/>
        <w:t>שו"ע:</w:t>
      </w:r>
    </w:p>
    <w:p w14:paraId="6C4F1AB6" w14:textId="77777777" w:rsidR="004A326E" w:rsidRDefault="004A326E" w:rsidP="004A326E">
      <w:pPr>
        <w:rPr>
          <w:rtl/>
        </w:rPr>
      </w:pPr>
      <w:r>
        <w:rPr>
          <w:rFonts w:cs="Arial"/>
          <w:rtl/>
        </w:rPr>
        <w:t>אדם שחבל בחבירו, אין מגבי</w:t>
      </w:r>
      <w:r>
        <w:rPr>
          <w:rFonts w:cs="Arial" w:hint="cs"/>
          <w:rtl/>
        </w:rPr>
        <w:t>ן</w:t>
      </w:r>
      <w:r>
        <w:rPr>
          <w:rFonts w:cs="Arial"/>
          <w:rtl/>
        </w:rPr>
        <w:t xml:space="preserve"> דיינים שאינם סמוכים בארץ ישראל נזק צער ופגם</w:t>
      </w:r>
      <w:r>
        <w:rPr>
          <w:rStyle w:val="ab"/>
          <w:rFonts w:cs="Arial"/>
          <w:rtl/>
        </w:rPr>
        <w:footnoteReference w:id="37"/>
      </w:r>
      <w:r>
        <w:rPr>
          <w:rFonts w:cs="Arial"/>
          <w:rtl/>
        </w:rPr>
        <w:t xml:space="preserve"> ובושת וכופר</w:t>
      </w:r>
      <w:r w:rsidR="005F5035">
        <w:rPr>
          <w:rFonts w:cs="Arial" w:hint="cs"/>
          <w:rtl/>
        </w:rPr>
        <w:t>.</w:t>
      </w:r>
      <w:r>
        <w:rPr>
          <w:rFonts w:cs="Arial"/>
          <w:rtl/>
        </w:rPr>
        <w:t xml:space="preserve"> אבל שבת וריפוי מגבי</w:t>
      </w:r>
      <w:r>
        <w:rPr>
          <w:rFonts w:cs="Arial" w:hint="cs"/>
          <w:rtl/>
        </w:rPr>
        <w:t>ן</w:t>
      </w:r>
      <w:r>
        <w:rPr>
          <w:rStyle w:val="ab"/>
          <w:rFonts w:cs="Arial"/>
          <w:rtl/>
        </w:rPr>
        <w:footnoteReference w:id="38"/>
      </w:r>
      <w:r>
        <w:rPr>
          <w:rFonts w:cs="Arial"/>
          <w:rtl/>
        </w:rPr>
        <w:t xml:space="preserve">. </w:t>
      </w:r>
      <w:r w:rsidRPr="007B2FB1">
        <w:rPr>
          <w:rFonts w:cs="Arial"/>
          <w:sz w:val="18"/>
          <w:szCs w:val="18"/>
          <w:rtl/>
        </w:rPr>
        <w:t>הגה: וי"א שאף ריפוי ושבת אין דנין (טור בשם רא"ש), ולא ראיתי נוהגין לדקדק בזה</w:t>
      </w:r>
      <w:r>
        <w:rPr>
          <w:rStyle w:val="ab"/>
          <w:rFonts w:cs="Arial"/>
          <w:sz w:val="18"/>
          <w:szCs w:val="18"/>
          <w:rtl/>
        </w:rPr>
        <w:footnoteReference w:id="39"/>
      </w:r>
      <w:r w:rsidRPr="007B2FB1">
        <w:rPr>
          <w:rFonts w:cs="Arial"/>
          <w:sz w:val="18"/>
          <w:szCs w:val="18"/>
          <w:rtl/>
        </w:rPr>
        <w:t>, רק כופין החובל לפייס הנחבל ולקנסו כפי הנראה להם (ד</w:t>
      </w:r>
      <w:r w:rsidR="00E00D0D">
        <w:rPr>
          <w:rFonts w:cs="Arial" w:hint="cs"/>
          <w:sz w:val="18"/>
          <w:szCs w:val="18"/>
          <w:rtl/>
        </w:rPr>
        <w:t>רכ</w:t>
      </w:r>
      <w:r w:rsidRPr="007B2FB1">
        <w:rPr>
          <w:rFonts w:cs="Arial"/>
          <w:sz w:val="18"/>
          <w:szCs w:val="18"/>
          <w:rtl/>
        </w:rPr>
        <w:t>"מ לדעת מהר</w:t>
      </w:r>
      <w:r w:rsidR="00E00D0D">
        <w:rPr>
          <w:rFonts w:cs="Arial" w:hint="cs"/>
          <w:sz w:val="18"/>
          <w:szCs w:val="18"/>
          <w:rtl/>
        </w:rPr>
        <w:t>א"י</w:t>
      </w:r>
      <w:r w:rsidRPr="007B2FB1">
        <w:rPr>
          <w:rFonts w:cs="Arial"/>
          <w:sz w:val="18"/>
          <w:szCs w:val="18"/>
          <w:rtl/>
        </w:rPr>
        <w:t xml:space="preserve"> בפסקיו סי</w:t>
      </w:r>
      <w:r>
        <w:rPr>
          <w:rFonts w:cs="Arial" w:hint="cs"/>
          <w:sz w:val="18"/>
          <w:szCs w:val="18"/>
          <w:rtl/>
        </w:rPr>
        <w:t>'</w:t>
      </w:r>
      <w:r w:rsidRPr="007B2FB1">
        <w:rPr>
          <w:rFonts w:cs="Arial"/>
          <w:sz w:val="18"/>
          <w:szCs w:val="18"/>
          <w:rtl/>
        </w:rPr>
        <w:t xml:space="preserve"> רח), וכמו שיתבאר בסמוך סעיף ה'.</w:t>
      </w:r>
      <w:r>
        <w:rPr>
          <w:rFonts w:cs="Arial"/>
          <w:rtl/>
        </w:rPr>
        <w:t xml:space="preserve"> </w:t>
      </w:r>
    </w:p>
    <w:p w14:paraId="31C0ADAE" w14:textId="77777777" w:rsidR="004A326E" w:rsidRDefault="004A326E" w:rsidP="004A326E">
      <w:pPr>
        <w:rPr>
          <w:rtl/>
        </w:rPr>
      </w:pPr>
    </w:p>
    <w:p w14:paraId="47D3C5E6" w14:textId="77777777" w:rsidR="004A326E" w:rsidRDefault="004A326E" w:rsidP="004A326E">
      <w:pPr>
        <w:pStyle w:val="2"/>
        <w:rPr>
          <w:rtl/>
        </w:rPr>
      </w:pPr>
      <w:bookmarkStart w:id="6" w:name="_Toc24883513"/>
      <w:r>
        <w:rPr>
          <w:rtl/>
        </w:rPr>
        <w:t>סעיף ג</w:t>
      </w:r>
      <w:r>
        <w:rPr>
          <w:rFonts w:hint="cs"/>
          <w:rtl/>
        </w:rPr>
        <w:t>: בהמה שהזיקה, וכן אדם שהזיק/גנב/גזל.</w:t>
      </w:r>
      <w:bookmarkEnd w:id="6"/>
    </w:p>
    <w:p w14:paraId="225BF2A8" w14:textId="77777777" w:rsidR="004A326E" w:rsidRDefault="004A326E" w:rsidP="004A326E">
      <w:pPr>
        <w:rPr>
          <w:rFonts w:cs="Arial"/>
          <w:sz w:val="16"/>
          <w:szCs w:val="16"/>
          <w:rtl/>
        </w:rPr>
      </w:pPr>
      <w:r w:rsidRPr="00B30AD4">
        <w:rPr>
          <w:rFonts w:cs="Arial" w:hint="cs"/>
          <w:b/>
          <w:bCs/>
          <w:rtl/>
        </w:rPr>
        <w:t>בבא קמא</w:t>
      </w:r>
      <w:r w:rsidRPr="00B30AD4">
        <w:rPr>
          <w:rFonts w:cs="Arial" w:hint="cs"/>
          <w:b/>
          <w:bCs/>
          <w:sz w:val="16"/>
          <w:szCs w:val="16"/>
          <w:rtl/>
        </w:rPr>
        <w:t xml:space="preserve"> (</w:t>
      </w:r>
      <w:r>
        <w:rPr>
          <w:rFonts w:cs="Arial" w:hint="cs"/>
          <w:b/>
          <w:bCs/>
          <w:sz w:val="16"/>
          <w:szCs w:val="16"/>
          <w:rtl/>
        </w:rPr>
        <w:t>ר"</w:t>
      </w:r>
      <w:r w:rsidRPr="00B30AD4">
        <w:rPr>
          <w:rFonts w:cs="Arial" w:hint="cs"/>
          <w:b/>
          <w:bCs/>
          <w:sz w:val="16"/>
          <w:szCs w:val="16"/>
          <w:rtl/>
        </w:rPr>
        <w:t>פ החובל)</w:t>
      </w:r>
      <w:r w:rsidRPr="00B30AD4">
        <w:rPr>
          <w:rFonts w:cs="Arial" w:hint="cs"/>
          <w:b/>
          <w:bCs/>
          <w:rtl/>
        </w:rPr>
        <w:t xml:space="preserve"> פד</w:t>
      </w:r>
      <w:r w:rsidR="000009A7">
        <w:rPr>
          <w:rStyle w:val="ab"/>
          <w:rFonts w:cs="Arial"/>
          <w:b/>
          <w:bCs/>
          <w:rtl/>
        </w:rPr>
        <w:footnoteReference w:id="40"/>
      </w:r>
      <w:r w:rsidRPr="00B30AD4">
        <w:rPr>
          <w:rFonts w:cs="Arial" w:hint="cs"/>
          <w:b/>
          <w:bCs/>
          <w:rtl/>
        </w:rPr>
        <w:t xml:space="preserve"> ע"</w:t>
      </w:r>
      <w:r>
        <w:rPr>
          <w:rFonts w:cs="Arial" w:hint="cs"/>
          <w:b/>
          <w:bCs/>
          <w:rtl/>
        </w:rPr>
        <w:t>א</w:t>
      </w:r>
      <w:r w:rsidRPr="00B30AD4">
        <w:rPr>
          <w:rFonts w:cs="Arial" w:hint="cs"/>
          <w:b/>
          <w:bCs/>
          <w:rtl/>
        </w:rPr>
        <w:t>:</w:t>
      </w:r>
      <w:r>
        <w:rPr>
          <w:rFonts w:cs="Arial" w:hint="cs"/>
          <w:rtl/>
        </w:rPr>
        <w:t xml:space="preserve"> </w:t>
      </w:r>
      <w:r w:rsidRPr="00516466">
        <w:rPr>
          <w:rFonts w:cs="Arial"/>
          <w:rtl/>
        </w:rPr>
        <w:t xml:space="preserve">ההוא תורא דאלס ידיה דינוקא, אתא לקמיה דרבא, </w:t>
      </w:r>
      <w:r w:rsidRPr="005C6DCE">
        <w:rPr>
          <w:rFonts w:cs="Arial"/>
          <w:u w:val="single"/>
          <w:rtl/>
        </w:rPr>
        <w:t>אמר להו</w:t>
      </w:r>
      <w:r w:rsidRPr="00516466">
        <w:rPr>
          <w:rFonts w:cs="Arial"/>
          <w:rtl/>
        </w:rPr>
        <w:t xml:space="preserve">: זילו שיימוהו כעבדא. </w:t>
      </w:r>
      <w:r w:rsidRPr="005C6DCE">
        <w:rPr>
          <w:rFonts w:cs="Arial"/>
          <w:u w:val="single"/>
          <w:rtl/>
        </w:rPr>
        <w:t>אמרו ליה</w:t>
      </w:r>
      <w:r w:rsidRPr="00516466">
        <w:rPr>
          <w:rFonts w:cs="Arial"/>
          <w:rtl/>
        </w:rPr>
        <w:t xml:space="preserve">, והא מר הוא דאמר: כל הנישום כעבד - אין גובין אותו בבבל! </w:t>
      </w:r>
      <w:r w:rsidRPr="005C6DCE">
        <w:rPr>
          <w:rFonts w:cs="Arial"/>
          <w:u w:val="single"/>
          <w:rtl/>
        </w:rPr>
        <w:t>אמר להו</w:t>
      </w:r>
      <w:r w:rsidRPr="00516466">
        <w:rPr>
          <w:rFonts w:cs="Arial"/>
          <w:rtl/>
        </w:rPr>
        <w:t>: לא צריכא דאי תפס. רבא לטעמיה, דאמר רבא: נזקי שור בשור</w:t>
      </w:r>
      <w:r>
        <w:rPr>
          <w:rStyle w:val="ab"/>
          <w:rFonts w:cs="Arial"/>
          <w:rtl/>
        </w:rPr>
        <w:footnoteReference w:id="41"/>
      </w:r>
      <w:r w:rsidRPr="00516466">
        <w:rPr>
          <w:rFonts w:cs="Arial"/>
          <w:rtl/>
        </w:rPr>
        <w:t xml:space="preserve"> ונזקי שור באדם</w:t>
      </w:r>
      <w:r>
        <w:rPr>
          <w:rStyle w:val="ab"/>
          <w:rFonts w:cs="Arial"/>
          <w:rtl/>
        </w:rPr>
        <w:footnoteReference w:id="42"/>
      </w:r>
      <w:r w:rsidRPr="00516466">
        <w:rPr>
          <w:rFonts w:cs="Arial"/>
          <w:rtl/>
        </w:rPr>
        <w:t xml:space="preserve"> - גובין אותו בבבל, נזקי אדם באדם ונזקי אדם בשור</w:t>
      </w:r>
      <w:r>
        <w:rPr>
          <w:rStyle w:val="ab"/>
          <w:rFonts w:cs="Arial"/>
          <w:rtl/>
        </w:rPr>
        <w:footnoteReference w:id="43"/>
      </w:r>
      <w:r w:rsidRPr="00516466">
        <w:rPr>
          <w:rFonts w:cs="Arial"/>
          <w:rtl/>
        </w:rPr>
        <w:t xml:space="preserve"> - אין גובין אותו בבבל. מ"ש נזקי אדם באדם ונזקי אדם בשור דלא?</w:t>
      </w:r>
      <w:r>
        <w:rPr>
          <w:rFonts w:cs="Arial" w:hint="cs"/>
          <w:rtl/>
        </w:rPr>
        <w:t>...</w:t>
      </w:r>
      <w:r w:rsidRPr="00516466">
        <w:rPr>
          <w:rFonts w:cs="Arial"/>
          <w:rtl/>
        </w:rPr>
        <w:t xml:space="preserve"> אלא, כי עבדינן שליחותייהו - במילתא דשכיחא ואית ביה חסרון כיס, אבל מילתא דשכיחא ולית ביה חסרון כיס, אי נמי מילתא דלא שכיחא ואית ביה חסרון כיס - לא עבדינן שליחותייהו</w:t>
      </w:r>
      <w:r>
        <w:rPr>
          <w:rFonts w:cs="Arial" w:hint="cs"/>
          <w:rtl/>
        </w:rPr>
        <w:t xml:space="preserve">... </w:t>
      </w:r>
      <w:r w:rsidRPr="00516466">
        <w:rPr>
          <w:rFonts w:cs="Arial"/>
          <w:rtl/>
        </w:rPr>
        <w:t>ושור בשור גובין בבבל? והאמר רבא: שור שהזיק - אין גובין אותו בבבל; דאזיק מאן? אילימא דאזיק אדם, מאי איריא שור דאזיק אדם? אפילו אדם דאזיק אדם נמי אין גובין אותו בבבל! אלא פשיטא דאזיק שור, וקתני: אין גובין אותו בבבל! אמרי: התם בתם</w:t>
      </w:r>
      <w:r>
        <w:rPr>
          <w:rStyle w:val="ab"/>
          <w:rFonts w:cs="Arial"/>
          <w:rtl/>
        </w:rPr>
        <w:footnoteReference w:id="44"/>
      </w:r>
      <w:r w:rsidRPr="00516466">
        <w:rPr>
          <w:rFonts w:cs="Arial"/>
          <w:rtl/>
        </w:rPr>
        <w:t>, הכא במועד. והאמר רבא: אין מועד בבבל</w:t>
      </w:r>
      <w:r>
        <w:rPr>
          <w:rStyle w:val="ab"/>
          <w:rFonts w:cs="Arial"/>
          <w:rtl/>
        </w:rPr>
        <w:footnoteReference w:id="45"/>
      </w:r>
      <w:r w:rsidRPr="00516466">
        <w:rPr>
          <w:rFonts w:cs="Arial"/>
          <w:rtl/>
        </w:rPr>
        <w:t>! אמרי: דאייעד התם ואייתוה להכא. והא מילתא דלא שכיחא היא</w:t>
      </w:r>
      <w:r>
        <w:rPr>
          <w:rStyle w:val="ab"/>
          <w:rFonts w:cs="Arial"/>
          <w:rtl/>
        </w:rPr>
        <w:footnoteReference w:id="46"/>
      </w:r>
      <w:r w:rsidRPr="00516466">
        <w:rPr>
          <w:rFonts w:cs="Arial"/>
          <w:rtl/>
        </w:rPr>
        <w:t>, ומילתא דלא שכיחא הא אמרת דלא עבדינן שליחותייהו! דאתו רבנן דהתם וייעדוה הכא. סוף סוף מילתא דלא שכיחא היא, ואת אמרת: מילתא דלא שכיחא לא קא עבדינן שליחותייהו! אלא, כי קאמר רבא</w:t>
      </w:r>
      <w:r>
        <w:rPr>
          <w:rStyle w:val="ab"/>
          <w:rFonts w:cs="Arial"/>
          <w:rtl/>
        </w:rPr>
        <w:footnoteReference w:id="47"/>
      </w:r>
      <w:r w:rsidRPr="00516466">
        <w:rPr>
          <w:rFonts w:cs="Arial"/>
          <w:rtl/>
        </w:rPr>
        <w:t xml:space="preserve"> - בשן ורגל</w:t>
      </w:r>
      <w:r>
        <w:rPr>
          <w:rStyle w:val="ab"/>
          <w:rFonts w:cs="Arial"/>
          <w:rtl/>
        </w:rPr>
        <w:footnoteReference w:id="48"/>
      </w:r>
      <w:r w:rsidRPr="00516466">
        <w:rPr>
          <w:rFonts w:cs="Arial"/>
          <w:rtl/>
        </w:rPr>
        <w:t xml:space="preserve">, דמועדין מתחילתן נינהו. </w:t>
      </w:r>
    </w:p>
    <w:p w14:paraId="3C78D24D" w14:textId="77777777" w:rsidR="004A326E" w:rsidRPr="005C6DCE" w:rsidRDefault="004A326E" w:rsidP="004A326E">
      <w:pPr>
        <w:rPr>
          <w:rFonts w:cs="Arial"/>
          <w:rtl/>
        </w:rPr>
      </w:pPr>
      <w:r w:rsidRPr="005C6DCE">
        <w:rPr>
          <w:rFonts w:cs="Arial" w:hint="cs"/>
          <w:u w:val="single"/>
          <w:rtl/>
        </w:rPr>
        <w:t>שור שהזיק</w:t>
      </w:r>
      <w:r>
        <w:rPr>
          <w:rFonts w:cs="Arial" w:hint="cs"/>
          <w:u w:val="single"/>
          <w:rtl/>
        </w:rPr>
        <w:t xml:space="preserve"> </w:t>
      </w:r>
      <w:r w:rsidRPr="00ED3D1F">
        <w:rPr>
          <w:rFonts w:cs="Arial" w:hint="cs"/>
          <w:u w:val="single"/>
          <w:rtl/>
        </w:rPr>
        <w:t>אדם או שור</w:t>
      </w:r>
      <w:r w:rsidR="00ED3D1F">
        <w:rPr>
          <w:rFonts w:cs="Arial" w:hint="cs"/>
          <w:u w:val="single"/>
          <w:rtl/>
        </w:rPr>
        <w:t>.</w:t>
      </w:r>
      <w:r w:rsidRPr="005C6DCE">
        <w:rPr>
          <w:rFonts w:cs="Arial" w:hint="cs"/>
          <w:u w:val="single"/>
          <w:rtl/>
        </w:rPr>
        <w:t xml:space="preserve"> ו</w:t>
      </w:r>
      <w:r>
        <w:rPr>
          <w:rFonts w:cs="Arial" w:hint="cs"/>
          <w:u w:val="single"/>
          <w:rtl/>
        </w:rPr>
        <w:t xml:space="preserve">כן </w:t>
      </w:r>
      <w:r w:rsidRPr="005C6DCE">
        <w:rPr>
          <w:rFonts w:cs="Arial" w:hint="cs"/>
          <w:u w:val="single"/>
          <w:rtl/>
        </w:rPr>
        <w:t>אדם שהזיק שור:</w:t>
      </w:r>
    </w:p>
    <w:p w14:paraId="0228A174" w14:textId="77777777" w:rsidR="004A326E" w:rsidRPr="005C6DCE" w:rsidRDefault="004A326E" w:rsidP="004B0475">
      <w:pPr>
        <w:pStyle w:val="ac"/>
        <w:numPr>
          <w:ilvl w:val="0"/>
          <w:numId w:val="42"/>
        </w:numPr>
        <w:rPr>
          <w:rFonts w:cs="Arial"/>
          <w:rtl/>
        </w:rPr>
      </w:pPr>
      <w:r w:rsidRPr="005C6DCE">
        <w:rPr>
          <w:rFonts w:cs="Arial" w:hint="cs"/>
          <w:rtl/>
        </w:rPr>
        <w:t xml:space="preserve">טור- </w:t>
      </w:r>
      <w:r w:rsidRPr="005C6DCE">
        <w:rPr>
          <w:rFonts w:cs="Arial"/>
          <w:rtl/>
        </w:rPr>
        <w:t xml:space="preserve">שור שהזיק אדם </w:t>
      </w:r>
      <w:r w:rsidR="00ED3D1F">
        <w:rPr>
          <w:rFonts w:cs="Arial" w:hint="cs"/>
          <w:rtl/>
        </w:rPr>
        <w:t xml:space="preserve">- </w:t>
      </w:r>
      <w:r w:rsidRPr="005C6DCE">
        <w:rPr>
          <w:rFonts w:cs="Arial"/>
          <w:rtl/>
        </w:rPr>
        <w:t>אינו מצוי ואין דנין אותו</w:t>
      </w:r>
      <w:r w:rsidR="00ED3D1F">
        <w:rPr>
          <w:rFonts w:cs="Arial" w:hint="cs"/>
          <w:rtl/>
        </w:rPr>
        <w:t>.</w:t>
      </w:r>
      <w:r w:rsidRPr="005C6DCE">
        <w:rPr>
          <w:rFonts w:cs="Arial"/>
          <w:rtl/>
        </w:rPr>
        <w:t xml:space="preserve"> אבל אדם שהזיק שור ושור שהזיק שור </w:t>
      </w:r>
      <w:r w:rsidR="00ED3D1F">
        <w:rPr>
          <w:rFonts w:cs="Arial" w:hint="cs"/>
          <w:rtl/>
        </w:rPr>
        <w:t xml:space="preserve">- </w:t>
      </w:r>
      <w:r w:rsidRPr="005C6DCE">
        <w:rPr>
          <w:rFonts w:cs="Arial"/>
          <w:rtl/>
        </w:rPr>
        <w:t>מצוי הוא ודנין אותו</w:t>
      </w:r>
      <w:r w:rsidRPr="005C6DCE">
        <w:rPr>
          <w:rFonts w:cs="Arial" w:hint="cs"/>
          <w:rtl/>
        </w:rPr>
        <w:t>,</w:t>
      </w:r>
      <w:r w:rsidRPr="005C6DCE">
        <w:rPr>
          <w:rFonts w:cs="Arial"/>
          <w:rtl/>
        </w:rPr>
        <w:t xml:space="preserve"> ודוקא שהזיק בשן ורגל</w:t>
      </w:r>
      <w:r w:rsidRPr="005C6DCE">
        <w:rPr>
          <w:rFonts w:cs="Arial" w:hint="cs"/>
          <w:rtl/>
        </w:rPr>
        <w:t>,</w:t>
      </w:r>
      <w:r w:rsidRPr="005C6DCE">
        <w:rPr>
          <w:rFonts w:cs="Arial"/>
          <w:rtl/>
        </w:rPr>
        <w:t xml:space="preserve"> בין שהזיק לבהמה כגון שנתחככה בו או אכלה פירות שדרכה לאכול וכיוצא באלו</w:t>
      </w:r>
      <w:r w:rsidRPr="005C6DCE">
        <w:rPr>
          <w:rFonts w:cs="Arial" w:hint="cs"/>
          <w:rtl/>
        </w:rPr>
        <w:t>,</w:t>
      </w:r>
      <w:r w:rsidRPr="005C6DCE">
        <w:rPr>
          <w:rFonts w:cs="Arial"/>
          <w:rtl/>
        </w:rPr>
        <w:t xml:space="preserve"> ובין שהזיקה אוכלין שחייבת עליהם נזק שלם </w:t>
      </w:r>
      <w:r w:rsidR="00ED3D1F">
        <w:rPr>
          <w:rFonts w:cs="Arial" w:hint="cs"/>
          <w:rtl/>
        </w:rPr>
        <w:t xml:space="preserve">- </w:t>
      </w:r>
      <w:r w:rsidRPr="005C6DCE">
        <w:rPr>
          <w:rFonts w:cs="Arial"/>
          <w:rtl/>
        </w:rPr>
        <w:t>דנין אותו</w:t>
      </w:r>
      <w:r w:rsidR="00ED3D1F">
        <w:rPr>
          <w:rFonts w:cs="Arial" w:hint="cs"/>
          <w:rtl/>
        </w:rPr>
        <w:t>.</w:t>
      </w:r>
      <w:r w:rsidRPr="005C6DCE">
        <w:rPr>
          <w:rFonts w:cs="Arial"/>
          <w:rtl/>
        </w:rPr>
        <w:t xml:space="preserve"> אבל אם הזיקה בקרן או בתולדותיו </w:t>
      </w:r>
      <w:r w:rsidR="00ED3D1F">
        <w:rPr>
          <w:rFonts w:cs="Arial" w:hint="cs"/>
          <w:rtl/>
        </w:rPr>
        <w:t xml:space="preserve">- </w:t>
      </w:r>
      <w:r w:rsidRPr="005C6DCE">
        <w:rPr>
          <w:rFonts w:cs="Arial"/>
          <w:rtl/>
        </w:rPr>
        <w:t>אין דנין אותו</w:t>
      </w:r>
      <w:r w:rsidR="00ED3D1F">
        <w:rPr>
          <w:rFonts w:cs="Arial" w:hint="cs"/>
          <w:rtl/>
        </w:rPr>
        <w:t>.</w:t>
      </w:r>
      <w:r w:rsidRPr="005C6DCE">
        <w:rPr>
          <w:rFonts w:cs="Arial"/>
          <w:rtl/>
        </w:rPr>
        <w:t xml:space="preserve"> שאם תם הוא קי"ל פלגא נזקא קנסא</w:t>
      </w:r>
      <w:r w:rsidR="00DB7114">
        <w:rPr>
          <w:rFonts w:cs="Arial" w:hint="cs"/>
          <w:rtl/>
        </w:rPr>
        <w:t xml:space="preserve"> </w:t>
      </w:r>
      <w:r w:rsidRPr="005C6DCE">
        <w:rPr>
          <w:rFonts w:cs="Arial" w:hint="cs"/>
          <w:rtl/>
        </w:rPr>
        <w:t>-</w:t>
      </w:r>
      <w:r w:rsidRPr="005C6DCE">
        <w:rPr>
          <w:rFonts w:cs="Arial"/>
          <w:rtl/>
        </w:rPr>
        <w:t xml:space="preserve"> ואין דנין אותו</w:t>
      </w:r>
      <w:r w:rsidRPr="005C6DCE">
        <w:rPr>
          <w:rFonts w:cs="Arial" w:hint="cs"/>
          <w:rtl/>
        </w:rPr>
        <w:t>,</w:t>
      </w:r>
      <w:r w:rsidRPr="005C6DCE">
        <w:rPr>
          <w:rFonts w:cs="Arial"/>
          <w:rtl/>
        </w:rPr>
        <w:t xml:space="preserve"> ואם במועד </w:t>
      </w:r>
      <w:r w:rsidR="00E0713C">
        <w:rPr>
          <w:rFonts w:cs="Arial" w:hint="cs"/>
          <w:rtl/>
        </w:rPr>
        <w:t xml:space="preserve">- </w:t>
      </w:r>
      <w:r w:rsidRPr="005C6DCE">
        <w:rPr>
          <w:rFonts w:cs="Arial"/>
          <w:rtl/>
        </w:rPr>
        <w:t>אין מועד בבבל</w:t>
      </w:r>
      <w:r w:rsidRPr="005C6DCE">
        <w:rPr>
          <w:rFonts w:cs="Arial" w:hint="cs"/>
          <w:rtl/>
        </w:rPr>
        <w:t>,</w:t>
      </w:r>
      <w:r w:rsidRPr="005C6DCE">
        <w:rPr>
          <w:rFonts w:cs="Arial"/>
          <w:rtl/>
        </w:rPr>
        <w:t xml:space="preserve"> ואפילו הועד בא"י ובא לבבל </w:t>
      </w:r>
      <w:r w:rsidR="00E0713C">
        <w:rPr>
          <w:rFonts w:cs="Arial" w:hint="cs"/>
          <w:rtl/>
        </w:rPr>
        <w:t xml:space="preserve">- </w:t>
      </w:r>
      <w:r w:rsidRPr="005C6DCE">
        <w:rPr>
          <w:rFonts w:cs="Arial"/>
          <w:rtl/>
        </w:rPr>
        <w:t>אין דנין אותו דמילתא דלא שכיחא הוא</w:t>
      </w:r>
      <w:r w:rsidRPr="005C6DCE">
        <w:rPr>
          <w:rFonts w:cs="Arial" w:hint="cs"/>
          <w:rtl/>
        </w:rPr>
        <w:t>.</w:t>
      </w:r>
      <w:r w:rsidRPr="005C6DCE">
        <w:rPr>
          <w:rFonts w:cs="Arial" w:hint="cs"/>
          <w:color w:val="E36C0A" w:themeColor="accent6" w:themeShade="BF"/>
          <w:rtl/>
        </w:rPr>
        <w:t xml:space="preserve"> (וכ"פ בשו"ע)</w:t>
      </w:r>
    </w:p>
    <w:p w14:paraId="6BC68B92" w14:textId="77777777" w:rsidR="004A326E" w:rsidRPr="00D341BB" w:rsidRDefault="00E0713C" w:rsidP="004A326E">
      <w:pPr>
        <w:rPr>
          <w:rFonts w:cs="Arial"/>
          <w:u w:val="single"/>
          <w:rtl/>
        </w:rPr>
      </w:pPr>
      <w:r>
        <w:rPr>
          <w:rFonts w:cs="Arial" w:hint="cs"/>
          <w:u w:val="single"/>
          <w:rtl/>
        </w:rPr>
        <w:t xml:space="preserve">דיני </w:t>
      </w:r>
      <w:r w:rsidR="004A326E">
        <w:rPr>
          <w:rFonts w:cs="Arial" w:hint="cs"/>
          <w:u w:val="single"/>
          <w:rtl/>
        </w:rPr>
        <w:t xml:space="preserve">גזלות </w:t>
      </w:r>
      <w:r w:rsidR="004A326E" w:rsidRPr="00884D66">
        <w:rPr>
          <w:rFonts w:cs="Arial" w:hint="cs"/>
          <w:color w:val="000000" w:themeColor="text1"/>
          <w:u w:val="single"/>
          <w:rtl/>
        </w:rPr>
        <w:t>וגנבות</w:t>
      </w:r>
      <w:r w:rsidR="004A326E" w:rsidRPr="00D341BB">
        <w:rPr>
          <w:rFonts w:cs="Arial"/>
          <w:u w:val="single"/>
          <w:rtl/>
        </w:rPr>
        <w:t xml:space="preserve"> –</w:t>
      </w:r>
      <w:r w:rsidR="004A326E" w:rsidRPr="00D341BB">
        <w:rPr>
          <w:rFonts w:cs="Arial" w:hint="cs"/>
          <w:u w:val="single"/>
          <w:rtl/>
        </w:rPr>
        <w:t xml:space="preserve"> בזמה"ז:</w:t>
      </w:r>
    </w:p>
    <w:p w14:paraId="3AE5553B" w14:textId="77777777" w:rsidR="004A326E" w:rsidRDefault="004A326E" w:rsidP="004B0475">
      <w:pPr>
        <w:pStyle w:val="ac"/>
        <w:numPr>
          <w:ilvl w:val="0"/>
          <w:numId w:val="41"/>
        </w:numPr>
        <w:rPr>
          <w:rFonts w:cs="Arial"/>
        </w:rPr>
      </w:pPr>
      <w:r>
        <w:rPr>
          <w:rFonts w:cs="Arial" w:hint="cs"/>
          <w:rtl/>
        </w:rPr>
        <w:lastRenderedPageBreak/>
        <w:t>תוס' רמב"ם רא"ש וטור</w:t>
      </w:r>
      <w:r>
        <w:rPr>
          <w:rStyle w:val="ab"/>
          <w:rFonts w:cs="Arial"/>
          <w:rtl/>
        </w:rPr>
        <w:footnoteReference w:id="49"/>
      </w:r>
      <w:r>
        <w:rPr>
          <w:rFonts w:cs="Arial" w:hint="cs"/>
          <w:rtl/>
        </w:rPr>
        <w:t>- גזלות</w:t>
      </w:r>
      <w:r w:rsidR="00ED3D1F">
        <w:rPr>
          <w:rFonts w:cs="Arial" w:hint="cs"/>
          <w:rtl/>
        </w:rPr>
        <w:t xml:space="preserve"> </w:t>
      </w:r>
      <w:r>
        <w:rPr>
          <w:rFonts w:cs="Arial" w:hint="cs"/>
          <w:rtl/>
        </w:rPr>
        <w:t>דנין אותן, דשכיח, וכן מעשים בכל יום</w:t>
      </w:r>
      <w:r>
        <w:rPr>
          <w:rFonts w:cs="Arial" w:hint="cs"/>
          <w:sz w:val="16"/>
          <w:szCs w:val="16"/>
          <w:rtl/>
        </w:rPr>
        <w:t xml:space="preserve"> (תוס')</w:t>
      </w:r>
      <w:r>
        <w:rPr>
          <w:rFonts w:cs="Arial" w:hint="cs"/>
          <w:rtl/>
        </w:rPr>
        <w:t>.</w:t>
      </w:r>
      <w:r w:rsidRPr="00AD3B77">
        <w:rPr>
          <w:rFonts w:cs="Arial"/>
          <w:rtl/>
        </w:rPr>
        <w:t xml:space="preserve"> </w:t>
      </w:r>
      <w:r>
        <w:rPr>
          <w:rFonts w:cs="Arial" w:hint="cs"/>
          <w:rtl/>
        </w:rPr>
        <w:t xml:space="preserve">ומ"מ </w:t>
      </w:r>
      <w:r w:rsidRPr="00D341BB">
        <w:rPr>
          <w:rFonts w:cs="Arial"/>
          <w:rtl/>
        </w:rPr>
        <w:t>מי שגנב או גזל גובין ממנו הקרן בחוץ לארץ ולא התוספת</w:t>
      </w:r>
      <w:r>
        <w:rPr>
          <w:rStyle w:val="ab"/>
          <w:rFonts w:cs="Arial"/>
          <w:rtl/>
        </w:rPr>
        <w:footnoteReference w:id="50"/>
      </w:r>
      <w:r>
        <w:rPr>
          <w:rFonts w:cs="Arial" w:hint="cs"/>
          <w:sz w:val="16"/>
          <w:szCs w:val="16"/>
          <w:rtl/>
        </w:rPr>
        <w:t xml:space="preserve"> (ל' הטור ע"פ הרמב"ם)</w:t>
      </w:r>
      <w:r>
        <w:rPr>
          <w:rFonts w:cs="Arial" w:hint="cs"/>
          <w:rtl/>
        </w:rPr>
        <w:t xml:space="preserve">. </w:t>
      </w:r>
      <w:r w:rsidRPr="006B560A">
        <w:rPr>
          <w:rFonts w:cs="Arial" w:hint="cs"/>
          <w:color w:val="E36C0A" w:themeColor="accent6" w:themeShade="BF"/>
          <w:rtl/>
        </w:rPr>
        <w:t>(וכ"פ בשו"ע)</w:t>
      </w:r>
    </w:p>
    <w:p w14:paraId="0B03864A" w14:textId="77777777" w:rsidR="004A326E" w:rsidRDefault="004A326E" w:rsidP="004B0475">
      <w:pPr>
        <w:pStyle w:val="ac"/>
        <w:numPr>
          <w:ilvl w:val="0"/>
          <w:numId w:val="41"/>
        </w:numPr>
        <w:rPr>
          <w:rFonts w:cs="Arial"/>
        </w:rPr>
      </w:pPr>
      <w:r w:rsidRPr="009701FA">
        <w:rPr>
          <w:rFonts w:cs="Arial"/>
          <w:rtl/>
        </w:rPr>
        <w:t>נמוק</w:t>
      </w:r>
      <w:r>
        <w:rPr>
          <w:rFonts w:cs="Arial" w:hint="cs"/>
          <w:rtl/>
        </w:rPr>
        <w:t>"</w:t>
      </w:r>
      <w:r w:rsidRPr="009701FA">
        <w:rPr>
          <w:rFonts w:cs="Arial"/>
          <w:rtl/>
        </w:rPr>
        <w:t xml:space="preserve">י </w:t>
      </w:r>
      <w:r w:rsidRPr="00F36FDA">
        <w:rPr>
          <w:rFonts w:cs="Arial" w:hint="cs"/>
          <w:sz w:val="16"/>
          <w:szCs w:val="16"/>
          <w:rtl/>
        </w:rPr>
        <w:t>(</w:t>
      </w:r>
      <w:r w:rsidRPr="00F36FDA">
        <w:rPr>
          <w:rFonts w:cs="Arial"/>
          <w:sz w:val="16"/>
          <w:szCs w:val="16"/>
          <w:rtl/>
        </w:rPr>
        <w:t>ר</w:t>
      </w:r>
      <w:r w:rsidRPr="00F36FDA">
        <w:rPr>
          <w:rFonts w:cs="Arial" w:hint="cs"/>
          <w:sz w:val="16"/>
          <w:szCs w:val="16"/>
          <w:rtl/>
        </w:rPr>
        <w:t>"פ</w:t>
      </w:r>
      <w:r w:rsidRPr="00F36FDA">
        <w:rPr>
          <w:rFonts w:cs="Arial"/>
          <w:sz w:val="16"/>
          <w:szCs w:val="16"/>
          <w:rtl/>
        </w:rPr>
        <w:t xml:space="preserve"> החובל</w:t>
      </w:r>
      <w:r w:rsidRPr="00F36FDA">
        <w:rPr>
          <w:rFonts w:cs="Arial" w:hint="cs"/>
          <w:sz w:val="16"/>
          <w:szCs w:val="16"/>
          <w:rtl/>
        </w:rPr>
        <w:t>,</w:t>
      </w:r>
      <w:r w:rsidRPr="00F36FDA">
        <w:rPr>
          <w:rFonts w:cs="Arial"/>
          <w:sz w:val="16"/>
          <w:szCs w:val="16"/>
          <w:rtl/>
        </w:rPr>
        <w:t xml:space="preserve"> ל</w:t>
      </w:r>
      <w:r w:rsidRPr="00F36FDA">
        <w:rPr>
          <w:rFonts w:cs="Arial" w:hint="cs"/>
          <w:sz w:val="16"/>
          <w:szCs w:val="16"/>
          <w:rtl/>
        </w:rPr>
        <w:t>:</w:t>
      </w:r>
      <w:r>
        <w:rPr>
          <w:rFonts w:cs="Arial" w:hint="cs"/>
          <w:sz w:val="16"/>
          <w:szCs w:val="16"/>
          <w:rtl/>
        </w:rPr>
        <w:t>,</w:t>
      </w:r>
      <w:r w:rsidRPr="00A82C82">
        <w:rPr>
          <w:rFonts w:cs="Arial" w:hint="cs"/>
          <w:sz w:val="16"/>
          <w:szCs w:val="16"/>
          <w:rtl/>
        </w:rPr>
        <w:t xml:space="preserve"> </w:t>
      </w:r>
      <w:r>
        <w:rPr>
          <w:rFonts w:cs="Arial" w:hint="cs"/>
          <w:sz w:val="16"/>
          <w:szCs w:val="16"/>
          <w:rtl/>
        </w:rPr>
        <w:t>הביאו הדרכ"מ [אות ג]</w:t>
      </w:r>
      <w:r w:rsidRPr="00F36FDA">
        <w:rPr>
          <w:rFonts w:cs="Arial"/>
          <w:sz w:val="16"/>
          <w:szCs w:val="16"/>
          <w:rtl/>
        </w:rPr>
        <w:t xml:space="preserve">) </w:t>
      </w:r>
      <w:r w:rsidRPr="009701FA">
        <w:rPr>
          <w:rFonts w:cs="Arial"/>
          <w:rtl/>
        </w:rPr>
        <w:t>בשם הרא"ה</w:t>
      </w:r>
      <w:r>
        <w:rPr>
          <w:rFonts w:cs="Arial" w:hint="cs"/>
          <w:rtl/>
        </w:rPr>
        <w:t>-</w:t>
      </w:r>
      <w:r w:rsidRPr="009701FA">
        <w:rPr>
          <w:rFonts w:cs="Arial"/>
          <w:rtl/>
        </w:rPr>
        <w:t xml:space="preserve"> </w:t>
      </w:r>
      <w:r>
        <w:rPr>
          <w:rFonts w:cs="Arial" w:hint="cs"/>
          <w:rtl/>
        </w:rPr>
        <w:t xml:space="preserve">הא דדנין הוא </w:t>
      </w:r>
      <w:r w:rsidRPr="009701FA">
        <w:rPr>
          <w:rFonts w:cs="Arial"/>
          <w:rtl/>
        </w:rPr>
        <w:t>דוקא גזילות דשכיחי</w:t>
      </w:r>
      <w:r w:rsidR="00ED3D1F">
        <w:rPr>
          <w:rFonts w:cs="Arial" w:hint="cs"/>
          <w:rtl/>
        </w:rPr>
        <w:t>,</w:t>
      </w:r>
      <w:r w:rsidRPr="009701FA">
        <w:rPr>
          <w:rFonts w:cs="Arial"/>
          <w:rtl/>
        </w:rPr>
        <w:t xml:space="preserve"> כגון שומר ששלח יד בפקדון או כפרו לגמרי</w:t>
      </w:r>
      <w:r w:rsidR="00ED3D1F">
        <w:rPr>
          <w:rStyle w:val="ab"/>
          <w:rFonts w:cs="Arial"/>
          <w:rtl/>
        </w:rPr>
        <w:footnoteReference w:id="51"/>
      </w:r>
      <w:r w:rsidR="00ED3D1F">
        <w:rPr>
          <w:rFonts w:cs="Arial" w:hint="cs"/>
          <w:rtl/>
        </w:rPr>
        <w:t>.</w:t>
      </w:r>
      <w:r w:rsidRPr="009701FA">
        <w:rPr>
          <w:rFonts w:cs="Arial"/>
          <w:rtl/>
        </w:rPr>
        <w:t xml:space="preserve"> אבל גזילה ממש כעין ויגזול את החנית </w:t>
      </w:r>
      <w:r w:rsidRPr="00F36FDA">
        <w:rPr>
          <w:rFonts w:cs="Arial"/>
          <w:sz w:val="16"/>
          <w:szCs w:val="16"/>
          <w:rtl/>
        </w:rPr>
        <w:t xml:space="preserve">(ש"ב כג כא) </w:t>
      </w:r>
      <w:r w:rsidRPr="009701FA">
        <w:rPr>
          <w:rFonts w:cs="Arial"/>
          <w:rtl/>
        </w:rPr>
        <w:t>לא שכיחא ואין דנין אותו</w:t>
      </w:r>
      <w:r>
        <w:rPr>
          <w:rFonts w:cs="Arial" w:hint="cs"/>
          <w:rtl/>
        </w:rPr>
        <w:t>,</w:t>
      </w:r>
      <w:r w:rsidRPr="009701FA">
        <w:rPr>
          <w:rFonts w:cs="Arial"/>
          <w:rtl/>
        </w:rPr>
        <w:t xml:space="preserve"> ומיהו כל זמן שהגזילה קיימת מחייבין להחזירה</w:t>
      </w:r>
      <w:r>
        <w:rPr>
          <w:rFonts w:cs="Arial" w:hint="cs"/>
          <w:sz w:val="16"/>
          <w:szCs w:val="16"/>
          <w:rtl/>
        </w:rPr>
        <w:t xml:space="preserve"> (ל' הנמוק"י)</w:t>
      </w:r>
      <w:r>
        <w:rPr>
          <w:rFonts w:cs="Arial" w:hint="cs"/>
          <w:rtl/>
        </w:rPr>
        <w:t>.</w:t>
      </w:r>
      <w:r w:rsidRPr="003163D3">
        <w:rPr>
          <w:rFonts w:cs="Arial" w:hint="cs"/>
          <w:color w:val="00B0F0"/>
          <w:rtl/>
        </w:rPr>
        <w:t xml:space="preserve"> (וכ"פ הרמ"א)</w:t>
      </w:r>
    </w:p>
    <w:p w14:paraId="21436DCC" w14:textId="77777777" w:rsidR="004A326E" w:rsidRPr="003024E5" w:rsidRDefault="004A326E" w:rsidP="004A326E">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32D7E554" w14:textId="77777777" w:rsidR="004A326E" w:rsidRDefault="004A326E" w:rsidP="004A326E">
      <w:pPr>
        <w:rPr>
          <w:rtl/>
        </w:rPr>
      </w:pPr>
      <w:r>
        <w:rPr>
          <w:rFonts w:cs="Arial"/>
          <w:rtl/>
        </w:rPr>
        <w:t>בהמה שהזיקה את האדם אין גובין נזקו דיינים שאינן סמוכין ב</w:t>
      </w:r>
      <w:r>
        <w:rPr>
          <w:rFonts w:cs="Arial" w:hint="cs"/>
          <w:rtl/>
        </w:rPr>
        <w:t xml:space="preserve">ארץ </w:t>
      </w:r>
      <w:r>
        <w:rPr>
          <w:rFonts w:cs="Arial"/>
          <w:rtl/>
        </w:rPr>
        <w:t>י</w:t>
      </w:r>
      <w:r>
        <w:rPr>
          <w:rFonts w:cs="Arial" w:hint="cs"/>
          <w:rtl/>
        </w:rPr>
        <w:t>שראל,</w:t>
      </w:r>
      <w:r>
        <w:rPr>
          <w:rFonts w:cs="Arial"/>
          <w:rtl/>
        </w:rPr>
        <w:t xml:space="preserve"> מפני שהוא דבר שאינו מצו</w:t>
      </w:r>
      <w:r>
        <w:rPr>
          <w:rFonts w:cs="Arial" w:hint="cs"/>
          <w:rtl/>
        </w:rPr>
        <w:t>י</w:t>
      </w:r>
      <w:r>
        <w:rPr>
          <w:rStyle w:val="ab"/>
          <w:rFonts w:cs="Arial"/>
          <w:rtl/>
        </w:rPr>
        <w:footnoteReference w:id="52"/>
      </w:r>
      <w:r w:rsidR="000009A7">
        <w:rPr>
          <w:rFonts w:cs="Arial" w:hint="cs"/>
          <w:rtl/>
        </w:rPr>
        <w:t>.</w:t>
      </w:r>
      <w:r>
        <w:rPr>
          <w:rFonts w:cs="Arial"/>
          <w:rtl/>
        </w:rPr>
        <w:t xml:space="preserve"> אבל אדם שהזיק בהמת חבירו, משלם נזק שלם בכל מקום. וכן בהמה שהזיקה בשן ורגל, הואיל והיא מועדת </w:t>
      </w:r>
      <w:r w:rsidRPr="001F5CCC">
        <w:rPr>
          <w:rFonts w:cs="Arial"/>
          <w:sz w:val="18"/>
          <w:szCs w:val="18"/>
          <w:rtl/>
        </w:rPr>
        <w:t>(להן</w:t>
      </w:r>
      <w:r>
        <w:rPr>
          <w:rStyle w:val="ab"/>
          <w:rFonts w:cs="Arial"/>
          <w:sz w:val="18"/>
          <w:szCs w:val="18"/>
          <w:rtl/>
        </w:rPr>
        <w:footnoteReference w:id="53"/>
      </w:r>
      <w:r w:rsidRPr="001F5CCC">
        <w:rPr>
          <w:rFonts w:cs="Arial"/>
          <w:sz w:val="18"/>
          <w:szCs w:val="18"/>
          <w:rtl/>
        </w:rPr>
        <w:t xml:space="preserve">) </w:t>
      </w:r>
      <w:r>
        <w:rPr>
          <w:rFonts w:cs="Arial"/>
          <w:rtl/>
        </w:rPr>
        <w:t>מתחלתה הרי זה דבר מצוי ומגבין אותו דיינים שאינם סמוכין בארץ ישראל</w:t>
      </w:r>
      <w:r>
        <w:rPr>
          <w:rFonts w:cs="Arial" w:hint="cs"/>
          <w:rtl/>
        </w:rPr>
        <w:t>.</w:t>
      </w:r>
      <w:r>
        <w:rPr>
          <w:rFonts w:cs="Arial"/>
          <w:rtl/>
        </w:rPr>
        <w:t xml:space="preserve"> וכן מי שגנב או גזל, מגבין ממנו הקרן בלבד. </w:t>
      </w:r>
      <w:r w:rsidRPr="007B2FB1">
        <w:rPr>
          <w:rFonts w:cs="Arial"/>
          <w:sz w:val="18"/>
          <w:szCs w:val="18"/>
          <w:rtl/>
        </w:rPr>
        <w:t>הגה: וי</w:t>
      </w:r>
      <w:r>
        <w:rPr>
          <w:rFonts w:cs="Arial" w:hint="cs"/>
          <w:sz w:val="18"/>
          <w:szCs w:val="18"/>
          <w:rtl/>
        </w:rPr>
        <w:t>"</w:t>
      </w:r>
      <w:r w:rsidRPr="007B2FB1">
        <w:rPr>
          <w:rFonts w:cs="Arial"/>
          <w:sz w:val="18"/>
          <w:szCs w:val="18"/>
          <w:rtl/>
        </w:rPr>
        <w:t>א דוקא גזילות דשכיחי</w:t>
      </w:r>
      <w:r>
        <w:rPr>
          <w:rFonts w:cs="Arial" w:hint="cs"/>
          <w:sz w:val="18"/>
          <w:szCs w:val="18"/>
          <w:rtl/>
        </w:rPr>
        <w:t>,</w:t>
      </w:r>
      <w:r w:rsidRPr="007B2FB1">
        <w:rPr>
          <w:rFonts w:cs="Arial"/>
          <w:sz w:val="18"/>
          <w:szCs w:val="18"/>
          <w:rtl/>
        </w:rPr>
        <w:t xml:space="preserve"> כגון כפר בפקדון וכדו</w:t>
      </w:r>
      <w:r>
        <w:rPr>
          <w:rFonts w:cs="Arial" w:hint="cs"/>
          <w:sz w:val="18"/>
          <w:szCs w:val="18"/>
          <w:rtl/>
        </w:rPr>
        <w:t>'</w:t>
      </w:r>
      <w:r w:rsidRPr="007B2FB1">
        <w:rPr>
          <w:rFonts w:cs="Arial"/>
          <w:sz w:val="18"/>
          <w:szCs w:val="18"/>
          <w:rtl/>
        </w:rPr>
        <w:t>, אבל גזילה ממש לא שכיחא ואין דנין</w:t>
      </w:r>
      <w:r>
        <w:rPr>
          <w:rStyle w:val="ab"/>
          <w:rFonts w:cs="Arial"/>
          <w:sz w:val="18"/>
          <w:szCs w:val="18"/>
          <w:rtl/>
        </w:rPr>
        <w:footnoteReference w:id="54"/>
      </w:r>
      <w:r>
        <w:rPr>
          <w:rFonts w:cs="Arial" w:hint="cs"/>
          <w:sz w:val="18"/>
          <w:szCs w:val="18"/>
          <w:rtl/>
        </w:rPr>
        <w:t>,</w:t>
      </w:r>
      <w:r w:rsidRPr="007B2FB1">
        <w:rPr>
          <w:rFonts w:cs="Arial"/>
          <w:sz w:val="18"/>
          <w:szCs w:val="18"/>
          <w:rtl/>
        </w:rPr>
        <w:t xml:space="preserve"> אא"כ הגזילה קיימת מחייבין להחזירה </w:t>
      </w:r>
      <w:r w:rsidRPr="007B2FB1">
        <w:rPr>
          <w:rFonts w:cs="Arial"/>
          <w:sz w:val="16"/>
          <w:szCs w:val="16"/>
          <w:rtl/>
        </w:rPr>
        <w:t>(נמוק</w:t>
      </w:r>
      <w:r w:rsidRPr="007B2FB1">
        <w:rPr>
          <w:rFonts w:cs="Arial" w:hint="cs"/>
          <w:sz w:val="16"/>
          <w:szCs w:val="16"/>
          <w:rtl/>
        </w:rPr>
        <w:t>"</w:t>
      </w:r>
      <w:r w:rsidRPr="007B2FB1">
        <w:rPr>
          <w:rFonts w:cs="Arial"/>
          <w:sz w:val="16"/>
          <w:szCs w:val="16"/>
          <w:rtl/>
        </w:rPr>
        <w:t>י פ</w:t>
      </w:r>
      <w:r>
        <w:rPr>
          <w:rFonts w:cs="Arial" w:hint="cs"/>
          <w:sz w:val="16"/>
          <w:szCs w:val="16"/>
          <w:rtl/>
        </w:rPr>
        <w:t>'</w:t>
      </w:r>
      <w:r w:rsidRPr="007B2FB1">
        <w:rPr>
          <w:rFonts w:cs="Arial"/>
          <w:sz w:val="16"/>
          <w:szCs w:val="16"/>
          <w:rtl/>
        </w:rPr>
        <w:t xml:space="preserve"> החובל)</w:t>
      </w:r>
      <w:r w:rsidRPr="007B2FB1">
        <w:rPr>
          <w:rFonts w:cs="Arial"/>
          <w:sz w:val="18"/>
          <w:szCs w:val="18"/>
          <w:rtl/>
        </w:rPr>
        <w:t>.</w:t>
      </w:r>
      <w:r>
        <w:rPr>
          <w:rFonts w:cs="Arial"/>
          <w:rtl/>
        </w:rPr>
        <w:t xml:space="preserve"> </w:t>
      </w:r>
    </w:p>
    <w:p w14:paraId="1F85A687" w14:textId="77777777" w:rsidR="004A326E" w:rsidRDefault="004A326E" w:rsidP="004A326E">
      <w:pPr>
        <w:rPr>
          <w:rtl/>
        </w:rPr>
      </w:pPr>
    </w:p>
    <w:p w14:paraId="655248CE" w14:textId="77777777" w:rsidR="004A326E" w:rsidRDefault="004A326E" w:rsidP="004A326E">
      <w:pPr>
        <w:pStyle w:val="2"/>
        <w:rPr>
          <w:rtl/>
        </w:rPr>
      </w:pPr>
      <w:bookmarkStart w:id="7" w:name="_Toc24883514"/>
      <w:r>
        <w:rPr>
          <w:rtl/>
        </w:rPr>
        <w:t>סעיף ד</w:t>
      </w:r>
      <w:r>
        <w:rPr>
          <w:rFonts w:hint="cs"/>
          <w:rtl/>
        </w:rPr>
        <w:t>: דיני דגרמי ודין המסור.</w:t>
      </w:r>
      <w:bookmarkEnd w:id="7"/>
    </w:p>
    <w:p w14:paraId="20BFF6C8" w14:textId="77777777" w:rsidR="004A326E" w:rsidRDefault="004A326E" w:rsidP="004A326E">
      <w:pPr>
        <w:rPr>
          <w:rFonts w:cs="Arial"/>
          <w:rtl/>
        </w:rPr>
      </w:pPr>
      <w:r w:rsidRPr="00A82C82">
        <w:rPr>
          <w:rFonts w:cs="Arial" w:hint="cs"/>
          <w:b/>
          <w:bCs/>
          <w:rtl/>
        </w:rPr>
        <w:t xml:space="preserve">בבא קמא </w:t>
      </w:r>
      <w:r w:rsidRPr="00A82C82">
        <w:rPr>
          <w:rFonts w:cs="Arial" w:hint="cs"/>
          <w:b/>
          <w:bCs/>
          <w:sz w:val="16"/>
          <w:szCs w:val="16"/>
          <w:rtl/>
        </w:rPr>
        <w:t>(</w:t>
      </w:r>
      <w:r>
        <w:rPr>
          <w:rFonts w:cs="Arial" w:hint="cs"/>
          <w:b/>
          <w:bCs/>
          <w:sz w:val="16"/>
          <w:szCs w:val="16"/>
          <w:rtl/>
        </w:rPr>
        <w:t xml:space="preserve">פ' </w:t>
      </w:r>
      <w:r w:rsidRPr="00A82C82">
        <w:rPr>
          <w:rFonts w:cs="Arial" w:hint="cs"/>
          <w:b/>
          <w:bCs/>
          <w:sz w:val="16"/>
          <w:szCs w:val="16"/>
          <w:rtl/>
        </w:rPr>
        <w:t>הגוזל עצים)</w:t>
      </w:r>
      <w:r w:rsidRPr="00A82C82">
        <w:rPr>
          <w:rFonts w:cs="Arial" w:hint="cs"/>
          <w:b/>
          <w:bCs/>
          <w:rtl/>
        </w:rPr>
        <w:t xml:space="preserve"> צח</w:t>
      </w:r>
      <w:r w:rsidR="00672ADE">
        <w:rPr>
          <w:rStyle w:val="ab"/>
          <w:rFonts w:cs="Arial"/>
          <w:b/>
          <w:bCs/>
          <w:rtl/>
        </w:rPr>
        <w:footnoteReference w:id="55"/>
      </w:r>
      <w:r w:rsidRPr="00A82C82">
        <w:rPr>
          <w:rFonts w:cs="Arial" w:hint="cs"/>
          <w:b/>
          <w:bCs/>
          <w:rtl/>
        </w:rPr>
        <w:t xml:space="preserve"> ע"א:</w:t>
      </w:r>
      <w:r>
        <w:rPr>
          <w:rFonts w:cs="Arial" w:hint="cs"/>
          <w:rtl/>
        </w:rPr>
        <w:t xml:space="preserve"> </w:t>
      </w:r>
      <w:r w:rsidRPr="00A82C82">
        <w:rPr>
          <w:rFonts w:cs="Arial"/>
          <w:u w:val="single"/>
          <w:rtl/>
        </w:rPr>
        <w:t>ואמר רבה</w:t>
      </w:r>
      <w:r w:rsidRPr="00A82C82">
        <w:rPr>
          <w:rFonts w:cs="Arial"/>
          <w:rtl/>
        </w:rPr>
        <w:t xml:space="preserve">: השורף שטרו של חבירו - פטור, דאמר ליה: ניירא קלאי מינך. </w:t>
      </w:r>
      <w:r w:rsidRPr="00583C35">
        <w:rPr>
          <w:rFonts w:cs="Arial"/>
          <w:u w:val="single"/>
          <w:rtl/>
        </w:rPr>
        <w:t>מתקיף לה רמי בר חמא:</w:t>
      </w:r>
      <w:r w:rsidRPr="00A82C82">
        <w:rPr>
          <w:rFonts w:cs="Arial"/>
          <w:rtl/>
        </w:rPr>
        <w:t xml:space="preserve"> היכי דמי? </w:t>
      </w:r>
      <w:r w:rsidR="00005161">
        <w:rPr>
          <w:rFonts w:cs="Arial" w:hint="cs"/>
          <w:sz w:val="14"/>
          <w:szCs w:val="14"/>
          <w:rtl/>
        </w:rPr>
        <w:t xml:space="preserve">(צח:) </w:t>
      </w:r>
      <w:r w:rsidRPr="00A82C82">
        <w:rPr>
          <w:rFonts w:cs="Arial"/>
          <w:rtl/>
        </w:rPr>
        <w:t>אי דאיכא סהדי דידעי מאי הוה בשטרא, ליכתבו ליה שטרא מעליא! ואי דליכא סהדי, אנן מנא ידעינן</w:t>
      </w:r>
      <w:r w:rsidR="00005161">
        <w:rPr>
          <w:rStyle w:val="ab"/>
          <w:rFonts w:cs="Arial"/>
          <w:rtl/>
        </w:rPr>
        <w:footnoteReference w:id="56"/>
      </w:r>
      <w:r w:rsidRPr="00A82C82">
        <w:rPr>
          <w:rFonts w:cs="Arial"/>
          <w:rtl/>
        </w:rPr>
        <w:t xml:space="preserve">? </w:t>
      </w:r>
      <w:r w:rsidRPr="00583C35">
        <w:rPr>
          <w:rFonts w:cs="Arial"/>
          <w:u w:val="single"/>
          <w:rtl/>
        </w:rPr>
        <w:t>אמר רבא</w:t>
      </w:r>
      <w:r w:rsidRPr="00A82C82">
        <w:rPr>
          <w:rFonts w:cs="Arial"/>
          <w:rtl/>
        </w:rPr>
        <w:t xml:space="preserve">: תהא במאמינו. </w:t>
      </w:r>
      <w:r w:rsidRPr="00583C35">
        <w:rPr>
          <w:rFonts w:cs="Arial"/>
          <w:u w:val="single"/>
          <w:rtl/>
        </w:rPr>
        <w:t>אמר רב דימי בר חנינא</w:t>
      </w:r>
      <w:r w:rsidRPr="00A82C82">
        <w:rPr>
          <w:rFonts w:cs="Arial"/>
          <w:rtl/>
        </w:rPr>
        <w:t xml:space="preserve">: הא דרבה - מחלוקת ר"ש ורבנן היא, לר"ש דאמר: דבר הגורם לממון כממון דמי - מחייב, לרבנן דאמרי: דבר הגורם לממון לאו כממון דמי - לא מחייב. </w:t>
      </w:r>
      <w:r w:rsidRPr="00583C35">
        <w:rPr>
          <w:rFonts w:cs="Arial"/>
          <w:u w:val="single"/>
          <w:rtl/>
        </w:rPr>
        <w:t xml:space="preserve">מתקיף לה </w:t>
      </w:r>
      <w:r w:rsidRPr="00672ADE">
        <w:rPr>
          <w:rFonts w:cs="Arial"/>
          <w:u w:val="single"/>
          <w:rtl/>
        </w:rPr>
        <w:t>רב הונא</w:t>
      </w:r>
      <w:r w:rsidRPr="00583C35">
        <w:rPr>
          <w:rFonts w:cs="Arial"/>
          <w:u w:val="single"/>
          <w:rtl/>
        </w:rPr>
        <w:t xml:space="preserve"> בריה דרב יהושע</w:t>
      </w:r>
      <w:r w:rsidRPr="00A82C82">
        <w:rPr>
          <w:rFonts w:cs="Arial"/>
          <w:rtl/>
        </w:rPr>
        <w:t xml:space="preserve">: אימר דשמעת ליה לרבי שמעון דבר הגורם לממון כממון דמי - בדבר שעיקרו ממון, כדרבה, דאמר רבה: גזל חמץ לפני הפסח, ובא אחר ושרפו במועד - פטור, שהכל מצווים עליו לבערו, לאחר הפסח - מחלוקת ר' שמעון ורבנן, לרבי שמעון דאמר: דבר הגורם לממון כממון דמי - חייב, לרבנן דאמרי: דבר הגורם לממון לאו כממון דמי - פטור, בדבר שאין עיקרו ממון מי אמרינן? </w:t>
      </w:r>
      <w:r w:rsidRPr="00583C35">
        <w:rPr>
          <w:rFonts w:cs="Arial"/>
          <w:u w:val="single"/>
          <w:rtl/>
        </w:rPr>
        <w:t>אמר אמימר</w:t>
      </w:r>
      <w:r w:rsidRPr="00A82C82">
        <w:rPr>
          <w:rFonts w:cs="Arial"/>
          <w:rtl/>
        </w:rPr>
        <w:t>: מאן דדאין דינא דגרמי - מגבי ביה דמי שטרא מעליא, ומאן דלא דאין דינא דגרמי - מגבי ביה דמי ניירא בעלמא. הוה עובדא, וכפייה רפרם לרב אשי</w:t>
      </w:r>
      <w:r>
        <w:rPr>
          <w:rStyle w:val="ab"/>
          <w:rFonts w:cs="Arial"/>
          <w:rtl/>
        </w:rPr>
        <w:footnoteReference w:id="57"/>
      </w:r>
      <w:r w:rsidRPr="00A82C82">
        <w:rPr>
          <w:rFonts w:cs="Arial"/>
          <w:rtl/>
        </w:rPr>
        <w:t>, ואגבי ביה</w:t>
      </w:r>
      <w:r>
        <w:rPr>
          <w:rStyle w:val="ab"/>
          <w:rFonts w:cs="Arial"/>
          <w:rtl/>
        </w:rPr>
        <w:footnoteReference w:id="58"/>
      </w:r>
      <w:r w:rsidRPr="00A82C82">
        <w:rPr>
          <w:rFonts w:cs="Arial"/>
          <w:rtl/>
        </w:rPr>
        <w:t xml:space="preserve"> כי כשורא לצלמא</w:t>
      </w:r>
      <w:r>
        <w:rPr>
          <w:rStyle w:val="ab"/>
          <w:rFonts w:cs="Arial"/>
          <w:rtl/>
        </w:rPr>
        <w:footnoteReference w:id="59"/>
      </w:r>
      <w:r w:rsidRPr="00A82C82">
        <w:rPr>
          <w:rFonts w:cs="Arial"/>
          <w:rtl/>
        </w:rPr>
        <w:t>.</w:t>
      </w:r>
    </w:p>
    <w:p w14:paraId="7F6B185D" w14:textId="77777777" w:rsidR="004A326E" w:rsidRDefault="004A326E" w:rsidP="004A326E">
      <w:pPr>
        <w:rPr>
          <w:rFonts w:cs="Arial"/>
          <w:rtl/>
        </w:rPr>
      </w:pPr>
      <w:r w:rsidRPr="00A82C82">
        <w:rPr>
          <w:rFonts w:cs="Arial" w:hint="cs"/>
          <w:b/>
          <w:bCs/>
          <w:rtl/>
        </w:rPr>
        <w:t xml:space="preserve">בבא קמא </w:t>
      </w:r>
      <w:r w:rsidRPr="00A82C82">
        <w:rPr>
          <w:rFonts w:cs="Arial" w:hint="cs"/>
          <w:b/>
          <w:bCs/>
          <w:sz w:val="16"/>
          <w:szCs w:val="16"/>
          <w:rtl/>
        </w:rPr>
        <w:t>(</w:t>
      </w:r>
      <w:r>
        <w:rPr>
          <w:rFonts w:cs="Arial" w:hint="cs"/>
          <w:b/>
          <w:bCs/>
          <w:sz w:val="16"/>
          <w:szCs w:val="16"/>
          <w:rtl/>
        </w:rPr>
        <w:t xml:space="preserve">פ' </w:t>
      </w:r>
      <w:r w:rsidRPr="00A82C82">
        <w:rPr>
          <w:rFonts w:cs="Arial" w:hint="cs"/>
          <w:b/>
          <w:bCs/>
          <w:sz w:val="16"/>
          <w:szCs w:val="16"/>
          <w:rtl/>
        </w:rPr>
        <w:t xml:space="preserve">הגוזל </w:t>
      </w:r>
      <w:r>
        <w:rPr>
          <w:rFonts w:cs="Arial" w:hint="cs"/>
          <w:b/>
          <w:bCs/>
          <w:sz w:val="16"/>
          <w:szCs w:val="16"/>
          <w:rtl/>
        </w:rPr>
        <w:t>ומאכיל</w:t>
      </w:r>
      <w:r>
        <w:rPr>
          <w:rFonts w:cs="Arial" w:hint="cs"/>
          <w:b/>
          <w:bCs/>
          <w:sz w:val="14"/>
          <w:szCs w:val="14"/>
          <w:rtl/>
        </w:rPr>
        <w:t xml:space="preserve"> [פ' בתרא]</w:t>
      </w:r>
      <w:r w:rsidRPr="00A82C82">
        <w:rPr>
          <w:rFonts w:cs="Arial" w:hint="cs"/>
          <w:b/>
          <w:bCs/>
          <w:sz w:val="16"/>
          <w:szCs w:val="16"/>
          <w:rtl/>
        </w:rPr>
        <w:t>)</w:t>
      </w:r>
      <w:r w:rsidRPr="00A82C82">
        <w:rPr>
          <w:rFonts w:cs="Arial" w:hint="cs"/>
          <w:b/>
          <w:bCs/>
          <w:rtl/>
        </w:rPr>
        <w:t xml:space="preserve"> </w:t>
      </w:r>
      <w:r>
        <w:rPr>
          <w:rFonts w:cs="Arial" w:hint="cs"/>
          <w:b/>
          <w:bCs/>
          <w:rtl/>
        </w:rPr>
        <w:t>קטז</w:t>
      </w:r>
      <w:r w:rsidR="00672ADE">
        <w:rPr>
          <w:rStyle w:val="ab"/>
          <w:rFonts w:cs="Arial"/>
          <w:b/>
          <w:bCs/>
          <w:rtl/>
        </w:rPr>
        <w:footnoteReference w:id="60"/>
      </w:r>
      <w:r w:rsidRPr="00A82C82">
        <w:rPr>
          <w:rFonts w:cs="Arial" w:hint="cs"/>
          <w:b/>
          <w:bCs/>
          <w:rtl/>
        </w:rPr>
        <w:t xml:space="preserve"> ע"</w:t>
      </w:r>
      <w:r>
        <w:rPr>
          <w:rFonts w:cs="Arial" w:hint="cs"/>
          <w:b/>
          <w:bCs/>
          <w:rtl/>
        </w:rPr>
        <w:t>ב</w:t>
      </w:r>
      <w:r w:rsidRPr="00A82C82">
        <w:rPr>
          <w:rFonts w:cs="Arial" w:hint="cs"/>
          <w:b/>
          <w:bCs/>
          <w:rtl/>
        </w:rPr>
        <w:t>:</w:t>
      </w:r>
      <w:r>
        <w:rPr>
          <w:rFonts w:cs="Arial" w:hint="cs"/>
          <w:rtl/>
        </w:rPr>
        <w:t xml:space="preserve"> </w:t>
      </w:r>
      <w:r w:rsidRPr="006038B1">
        <w:rPr>
          <w:rFonts w:cs="Arial"/>
          <w:u w:val="double"/>
          <w:rtl/>
        </w:rPr>
        <w:t>מתני'</w:t>
      </w:r>
      <w:r w:rsidRPr="006038B1">
        <w:rPr>
          <w:rFonts w:cs="Arial" w:hint="cs"/>
          <w:u w:val="double"/>
          <w:rtl/>
        </w:rPr>
        <w:t>:</w:t>
      </w:r>
      <w:r w:rsidRPr="006038B1">
        <w:rPr>
          <w:rFonts w:cs="Arial"/>
          <w:rtl/>
        </w:rPr>
        <w:t xml:space="preserve"> הגוזל שדה מחבירו ונטלוה מסיקין</w:t>
      </w:r>
      <w:r>
        <w:rPr>
          <w:rStyle w:val="ab"/>
          <w:rFonts w:cs="Arial"/>
          <w:rtl/>
        </w:rPr>
        <w:footnoteReference w:id="61"/>
      </w:r>
      <w:r w:rsidRPr="006038B1">
        <w:rPr>
          <w:rFonts w:cs="Arial"/>
          <w:rtl/>
        </w:rPr>
        <w:t>, אם מכת מדינה היא - אומר לו הרי שלך לפניך, אם מחמת הגזלן - חייב להעמיד לו שדה אחר.</w:t>
      </w:r>
      <w:r>
        <w:rPr>
          <w:rFonts w:cs="Arial" w:hint="cs"/>
          <w:rtl/>
        </w:rPr>
        <w:t xml:space="preserve">    </w:t>
      </w:r>
      <w:r w:rsidRPr="006038B1">
        <w:rPr>
          <w:rFonts w:cs="Arial"/>
          <w:rtl/>
        </w:rPr>
        <w:t xml:space="preserve"> </w:t>
      </w:r>
      <w:r w:rsidRPr="006038B1">
        <w:rPr>
          <w:rFonts w:cs="Arial"/>
          <w:u w:val="double"/>
          <w:rtl/>
        </w:rPr>
        <w:t>גמ'</w:t>
      </w:r>
      <w:r w:rsidRPr="006038B1">
        <w:rPr>
          <w:rFonts w:cs="Arial" w:hint="cs"/>
          <w:u w:val="double"/>
          <w:rtl/>
        </w:rPr>
        <w:t>:</w:t>
      </w:r>
      <w:r>
        <w:rPr>
          <w:rFonts w:cs="Arial" w:hint="cs"/>
          <w:rtl/>
        </w:rPr>
        <w:t xml:space="preserve"> </w:t>
      </w:r>
      <w:r w:rsidRPr="006038B1">
        <w:rPr>
          <w:rFonts w:cs="Arial"/>
          <w:rtl/>
        </w:rPr>
        <w:t>אם מחמת הגזלן חייב. היכי דמי? אילימא דאנסוה לארעא דידיה ולא אנסוה כולי ארעתא, הא מרישא שמעת מינה: אם מכת מדינה היא כו', אי לא - לא! לא צריכא, דאחוי אחוויי</w:t>
      </w:r>
      <w:r>
        <w:rPr>
          <w:rStyle w:val="ab"/>
          <w:rFonts w:cs="Arial"/>
          <w:rtl/>
        </w:rPr>
        <w:footnoteReference w:id="62"/>
      </w:r>
      <w:r w:rsidRPr="006038B1">
        <w:rPr>
          <w:rFonts w:cs="Arial"/>
          <w:rtl/>
        </w:rPr>
        <w:t xml:space="preserve">. לישנא אחרינא: הב"ע - כגון דאנסוה </w:t>
      </w:r>
      <w:r w:rsidR="00005161">
        <w:rPr>
          <w:rFonts w:cs="Arial" w:hint="cs"/>
          <w:rtl/>
        </w:rPr>
        <w:t>גוים</w:t>
      </w:r>
      <w:r w:rsidRPr="006038B1">
        <w:rPr>
          <w:rFonts w:cs="Arial"/>
          <w:rtl/>
        </w:rPr>
        <w:t xml:space="preserve"> ואמרי ליה אחויי ארעתיה, ואחוי ההוא בהדייהו. ההוא גברא דאחוי אכריא דחטי דבי ריש גלותא, אתא לקמיה דרב נחמן, חייביה רב נחמן לשלומי. יתיב רב יוסף </w:t>
      </w:r>
      <w:r w:rsidRPr="006038B1">
        <w:rPr>
          <w:rFonts w:cs="Arial"/>
          <w:rtl/>
        </w:rPr>
        <w:lastRenderedPageBreak/>
        <w:t xml:space="preserve">אחוריה דרב הונא בר חייא, ויתיב רב הונא בר חייא קמיה דרב נחמן, </w:t>
      </w:r>
      <w:r w:rsidRPr="006038B1">
        <w:rPr>
          <w:rFonts w:cs="Arial"/>
          <w:u w:val="single"/>
          <w:rtl/>
        </w:rPr>
        <w:t>א"ל רב הונא בר חייא לרב נחמן</w:t>
      </w:r>
      <w:r w:rsidRPr="006038B1">
        <w:rPr>
          <w:rFonts w:cs="Arial"/>
          <w:rtl/>
        </w:rPr>
        <w:t xml:space="preserve">: דינא או קנסא? </w:t>
      </w:r>
      <w:r w:rsidRPr="006038B1">
        <w:rPr>
          <w:rFonts w:cs="Arial"/>
          <w:u w:val="single"/>
          <w:rtl/>
        </w:rPr>
        <w:t>א"ל</w:t>
      </w:r>
      <w:r w:rsidRPr="006038B1">
        <w:rPr>
          <w:rFonts w:cs="Arial"/>
          <w:rtl/>
        </w:rPr>
        <w:t>: מתניתין היא, דתנן: אם מחמת הגזלן - חייב להעמיד לו שדה, ואוקימנא דאחוי אחוויי.</w:t>
      </w:r>
      <w:r>
        <w:rPr>
          <w:rFonts w:cs="Arial" w:hint="cs"/>
          <w:rtl/>
        </w:rPr>
        <w:t>.</w:t>
      </w:r>
      <w:r w:rsidRPr="006038B1">
        <w:rPr>
          <w:rFonts w:cs="Arial"/>
          <w:rtl/>
        </w:rPr>
        <w:t xml:space="preserve">. </w:t>
      </w:r>
      <w:r w:rsidR="00946B71">
        <w:rPr>
          <w:rFonts w:cs="Arial" w:hint="cs"/>
          <w:sz w:val="12"/>
          <w:szCs w:val="12"/>
          <w:rtl/>
        </w:rPr>
        <w:t xml:space="preserve">(קיז.) </w:t>
      </w:r>
      <w:r w:rsidRPr="00DE3A23">
        <w:rPr>
          <w:rFonts w:cs="Arial"/>
          <w:u w:val="single"/>
          <w:rtl/>
        </w:rPr>
        <w:t>רב הונא בר יהודה איקלע לבי אביוני</w:t>
      </w:r>
      <w:r w:rsidRPr="00DE3A23">
        <w:rPr>
          <w:rStyle w:val="ab"/>
          <w:rFonts w:cs="Arial"/>
          <w:u w:val="single"/>
          <w:rtl/>
        </w:rPr>
        <w:footnoteReference w:id="63"/>
      </w:r>
      <w:r w:rsidRPr="00DE3A23">
        <w:rPr>
          <w:rFonts w:cs="Arial"/>
          <w:u w:val="single"/>
          <w:rtl/>
        </w:rPr>
        <w:t>, אתא לקמיה דרבא, א"ל:</w:t>
      </w:r>
      <w:r w:rsidRPr="006038B1">
        <w:rPr>
          <w:rFonts w:cs="Arial"/>
          <w:rtl/>
        </w:rPr>
        <w:t xml:space="preserve"> כלום מעשה בא לידך? א"ל: ישראל שאנסוהו עובדי כוכבים והראה ממון חבירו בא לידי וחייבתיו, </w:t>
      </w:r>
      <w:r w:rsidRPr="00DE3A23">
        <w:rPr>
          <w:rFonts w:cs="Arial"/>
          <w:u w:val="single"/>
          <w:rtl/>
        </w:rPr>
        <w:t>א"ל</w:t>
      </w:r>
      <w:r w:rsidRPr="006038B1">
        <w:rPr>
          <w:rFonts w:cs="Arial"/>
          <w:rtl/>
        </w:rPr>
        <w:t>: אהדר עובדא למריה, דתניא: ישראל שאנסוהו עובדי כוכבים והראה ממון חבירו - פטור, ואם נטל ונתן ביד</w:t>
      </w:r>
      <w:r>
        <w:rPr>
          <w:rStyle w:val="ab"/>
          <w:rFonts w:cs="Arial"/>
          <w:rtl/>
        </w:rPr>
        <w:footnoteReference w:id="64"/>
      </w:r>
      <w:r w:rsidRPr="006038B1">
        <w:rPr>
          <w:rFonts w:cs="Arial"/>
          <w:rtl/>
        </w:rPr>
        <w:t xml:space="preserve"> - חייב. </w:t>
      </w:r>
      <w:r w:rsidRPr="00DE3A23">
        <w:rPr>
          <w:rFonts w:cs="Arial"/>
          <w:u w:val="single"/>
          <w:rtl/>
        </w:rPr>
        <w:t>אמר רבה</w:t>
      </w:r>
      <w:r w:rsidRPr="006038B1">
        <w:rPr>
          <w:rFonts w:cs="Arial"/>
          <w:rtl/>
        </w:rPr>
        <w:t>: אם הראה מעצמו</w:t>
      </w:r>
      <w:r>
        <w:rPr>
          <w:rStyle w:val="ab"/>
          <w:rFonts w:cs="Arial"/>
          <w:rtl/>
        </w:rPr>
        <w:footnoteReference w:id="65"/>
      </w:r>
      <w:r w:rsidRPr="006038B1">
        <w:rPr>
          <w:rFonts w:cs="Arial"/>
          <w:rtl/>
        </w:rPr>
        <w:t xml:space="preserve">, כנשא ונתן ביד דמי. ההוא גברא דאנסוהו עובדי כוכבים, ואחוי אחמרא דרב מרי בריה דרב פנחס בריה דרב חסדא, </w:t>
      </w:r>
      <w:r w:rsidRPr="00DE3A23">
        <w:rPr>
          <w:rFonts w:cs="Arial"/>
          <w:u w:val="single"/>
          <w:rtl/>
        </w:rPr>
        <w:t>א"ל:</w:t>
      </w:r>
      <w:r w:rsidRPr="006038B1">
        <w:rPr>
          <w:rFonts w:cs="Arial"/>
          <w:rtl/>
        </w:rPr>
        <w:t xml:space="preserve"> דרי ואמטי</w:t>
      </w:r>
      <w:r>
        <w:rPr>
          <w:rStyle w:val="ab"/>
          <w:rFonts w:cs="Arial"/>
          <w:rtl/>
        </w:rPr>
        <w:footnoteReference w:id="66"/>
      </w:r>
      <w:r w:rsidRPr="006038B1">
        <w:rPr>
          <w:rFonts w:cs="Arial"/>
          <w:rtl/>
        </w:rPr>
        <w:t xml:space="preserve"> בהדן, דרא ואמטי בהדייהו</w:t>
      </w:r>
      <w:r w:rsidR="00D51991">
        <w:rPr>
          <w:rFonts w:cs="Arial" w:hint="cs"/>
          <w:rtl/>
        </w:rPr>
        <w:t>.</w:t>
      </w:r>
      <w:r w:rsidRPr="006038B1">
        <w:rPr>
          <w:rFonts w:cs="Arial"/>
          <w:rtl/>
        </w:rPr>
        <w:t xml:space="preserve"> אתא לקמיה דרב אשי, פטריניה. </w:t>
      </w:r>
      <w:r w:rsidRPr="00DE3A23">
        <w:rPr>
          <w:rFonts w:cs="Arial"/>
          <w:u w:val="single"/>
          <w:rtl/>
        </w:rPr>
        <w:t>א"ל רבנן לרב אשי</w:t>
      </w:r>
      <w:r w:rsidRPr="006038B1">
        <w:rPr>
          <w:rFonts w:cs="Arial"/>
          <w:rtl/>
        </w:rPr>
        <w:t xml:space="preserve">, והתניא: אם נשא ונתן ביד - חייב! </w:t>
      </w:r>
      <w:r w:rsidRPr="00DE3A23">
        <w:rPr>
          <w:rFonts w:cs="Arial"/>
          <w:u w:val="single"/>
          <w:rtl/>
        </w:rPr>
        <w:t>א"ל</w:t>
      </w:r>
      <w:r w:rsidRPr="006038B1">
        <w:rPr>
          <w:rFonts w:cs="Arial"/>
          <w:rtl/>
        </w:rPr>
        <w:t>: הני מילי היכא דלא אוקמיה</w:t>
      </w:r>
      <w:r>
        <w:rPr>
          <w:rStyle w:val="ab"/>
          <w:rFonts w:cs="Arial"/>
          <w:rtl/>
        </w:rPr>
        <w:footnoteReference w:id="67"/>
      </w:r>
      <w:r w:rsidRPr="006038B1">
        <w:rPr>
          <w:rFonts w:cs="Arial"/>
          <w:rtl/>
        </w:rPr>
        <w:t xml:space="preserve"> עילויה מעיקרא, אבל היכא דאוקמיה עילויה מעיקרא - מיקלי קלייה. </w:t>
      </w:r>
      <w:r w:rsidRPr="00DE3A23">
        <w:rPr>
          <w:rFonts w:cs="Arial"/>
          <w:u w:val="single"/>
          <w:rtl/>
        </w:rPr>
        <w:t>איתיביה רבי אבהו לרב אשי</w:t>
      </w:r>
      <w:r w:rsidRPr="006038B1">
        <w:rPr>
          <w:rFonts w:cs="Arial"/>
          <w:rtl/>
        </w:rPr>
        <w:t>: אמר לו אנס הושיט לי פקיע עמיר זה או אשכול ענבים זה, והושיט לו - חייב! הכא במאי עסקינן - כגון דקאי בתרי עברי נהרא</w:t>
      </w:r>
      <w:r>
        <w:rPr>
          <w:rStyle w:val="ab"/>
          <w:rFonts w:cs="Arial"/>
          <w:rtl/>
        </w:rPr>
        <w:footnoteReference w:id="68"/>
      </w:r>
      <w:r w:rsidRPr="006038B1">
        <w:rPr>
          <w:rFonts w:cs="Arial"/>
          <w:rtl/>
        </w:rPr>
        <w:t xml:space="preserve">. דיקא נמי, דקתני הושיט ולא תני תן, ש"מ. ההוא שותא דהוו מנצו עלה בי תרי, האי אמר דידי הוא והאי אמר דידי הוא, אזל חד מנייהו ומסרה לפרהגנא דמלכא, </w:t>
      </w:r>
      <w:r w:rsidRPr="00DE3A23">
        <w:rPr>
          <w:rFonts w:cs="Arial"/>
          <w:u w:val="single"/>
          <w:rtl/>
        </w:rPr>
        <w:t>אמר אביי</w:t>
      </w:r>
      <w:r w:rsidRPr="006038B1">
        <w:rPr>
          <w:rFonts w:cs="Arial"/>
          <w:rtl/>
        </w:rPr>
        <w:t xml:space="preserve">: יכול לומר אנא כי מסרי דידי מסרי. </w:t>
      </w:r>
      <w:r w:rsidRPr="00DE3A23">
        <w:rPr>
          <w:rFonts w:cs="Arial"/>
          <w:u w:val="single"/>
          <w:rtl/>
        </w:rPr>
        <w:t>א"ל רבא</w:t>
      </w:r>
      <w:r w:rsidRPr="006038B1">
        <w:rPr>
          <w:rFonts w:cs="Arial"/>
          <w:rtl/>
        </w:rPr>
        <w:t xml:space="preserve">: וכל כמיניה? </w:t>
      </w:r>
      <w:r w:rsidRPr="00DE3A23">
        <w:rPr>
          <w:rFonts w:cs="Arial"/>
          <w:u w:val="single"/>
          <w:rtl/>
        </w:rPr>
        <w:t>אלא אמר רבא:</w:t>
      </w:r>
      <w:r w:rsidRPr="006038B1">
        <w:rPr>
          <w:rFonts w:cs="Arial"/>
          <w:rtl/>
        </w:rPr>
        <w:t xml:space="preserve"> משמתינן ליה, עד דמייתי ליה וקאי בדינא. ההוא גברא דהוה בעי אחוויי אתיבנא דחבריה, אתא לקמיה דרב, </w:t>
      </w:r>
      <w:r w:rsidRPr="00DE3A23">
        <w:rPr>
          <w:rFonts w:cs="Arial"/>
          <w:u w:val="single"/>
          <w:rtl/>
        </w:rPr>
        <w:t>א"ל</w:t>
      </w:r>
      <w:r w:rsidRPr="006038B1">
        <w:rPr>
          <w:rFonts w:cs="Arial"/>
          <w:rtl/>
        </w:rPr>
        <w:t xml:space="preserve">: לא תחוי ולא תחוי, </w:t>
      </w:r>
      <w:r w:rsidRPr="00DE3A23">
        <w:rPr>
          <w:rFonts w:cs="Arial"/>
          <w:u w:val="single"/>
          <w:rtl/>
        </w:rPr>
        <w:t>א"ל:</w:t>
      </w:r>
      <w:r w:rsidRPr="006038B1">
        <w:rPr>
          <w:rFonts w:cs="Arial"/>
          <w:rtl/>
        </w:rPr>
        <w:t xml:space="preserve"> מחוינא ומחוינא. יתיב רב כהנא קמיה דרב, שמטיה לקועיה מיניה. קרי רב עילויה: בניך עולפו שכבו בראש כל חוצות כתוא מכמר, מה תוא זה כיון שנפל במכמר אין מרחמין עליו, אף ממון של ישראל כיון שנפל ביד עובדי כוכבים אין מרחמין עליו</w:t>
      </w:r>
      <w:r>
        <w:rPr>
          <w:rStyle w:val="ab"/>
          <w:rFonts w:cs="Arial"/>
          <w:rtl/>
        </w:rPr>
        <w:footnoteReference w:id="69"/>
      </w:r>
      <w:r w:rsidRPr="006038B1">
        <w:rPr>
          <w:rFonts w:cs="Arial"/>
          <w:rtl/>
        </w:rPr>
        <w:t>.</w:t>
      </w:r>
    </w:p>
    <w:p w14:paraId="4A92B373" w14:textId="77777777" w:rsidR="004A326E" w:rsidRDefault="004A326E" w:rsidP="004A326E">
      <w:pPr>
        <w:rPr>
          <w:rFonts w:cs="Arial"/>
          <w:rtl/>
        </w:rPr>
      </w:pPr>
      <w:r w:rsidRPr="00583C35">
        <w:rPr>
          <w:rFonts w:cs="Arial" w:hint="cs"/>
          <w:u w:val="single"/>
          <w:rtl/>
        </w:rPr>
        <w:t xml:space="preserve">דיני </w:t>
      </w:r>
      <w:r w:rsidR="00CE052E">
        <w:rPr>
          <w:rFonts w:cs="Arial" w:hint="cs"/>
          <w:u w:val="single"/>
          <w:rtl/>
        </w:rPr>
        <w:t>ד</w:t>
      </w:r>
      <w:r w:rsidRPr="00583C35">
        <w:rPr>
          <w:rFonts w:cs="Arial" w:hint="cs"/>
          <w:u w:val="single"/>
          <w:rtl/>
        </w:rPr>
        <w:t>גרמ</w:t>
      </w:r>
      <w:r w:rsidR="00CE052E">
        <w:rPr>
          <w:rFonts w:cs="Arial" w:hint="cs"/>
          <w:u w:val="single"/>
          <w:rtl/>
        </w:rPr>
        <w:t>י</w:t>
      </w:r>
      <w:r>
        <w:rPr>
          <w:rFonts w:cs="Arial" w:hint="cs"/>
          <w:u w:val="single"/>
          <w:rtl/>
        </w:rPr>
        <w:t xml:space="preserve"> ודין המסור</w:t>
      </w:r>
      <w:r w:rsidRPr="00583C35">
        <w:rPr>
          <w:rFonts w:cs="Arial" w:hint="cs"/>
          <w:u w:val="single"/>
          <w:rtl/>
        </w:rPr>
        <w:t>:</w:t>
      </w:r>
    </w:p>
    <w:p w14:paraId="78FB32CB" w14:textId="77777777" w:rsidR="004A326E" w:rsidRDefault="004A326E" w:rsidP="004B0475">
      <w:pPr>
        <w:pStyle w:val="ac"/>
        <w:numPr>
          <w:ilvl w:val="0"/>
          <w:numId w:val="41"/>
        </w:numPr>
        <w:rPr>
          <w:rFonts w:cs="Arial"/>
        </w:rPr>
      </w:pPr>
      <w:r w:rsidRPr="00583C35">
        <w:rPr>
          <w:rFonts w:cs="Arial" w:hint="cs"/>
          <w:rtl/>
        </w:rPr>
        <w:t xml:space="preserve">טור- </w:t>
      </w:r>
      <w:r w:rsidRPr="00583C35">
        <w:rPr>
          <w:rFonts w:cs="Arial"/>
          <w:rtl/>
        </w:rPr>
        <w:t xml:space="preserve">דיני גרמות אינם כקנסות </w:t>
      </w:r>
      <w:r w:rsidR="00672ADE">
        <w:rPr>
          <w:rFonts w:cs="Arial" w:hint="cs"/>
          <w:rtl/>
        </w:rPr>
        <w:t xml:space="preserve">- </w:t>
      </w:r>
      <w:r w:rsidRPr="00583C35">
        <w:rPr>
          <w:rFonts w:cs="Arial"/>
          <w:rtl/>
        </w:rPr>
        <w:t>וגובין אותן בחו</w:t>
      </w:r>
      <w:r>
        <w:rPr>
          <w:rFonts w:cs="Arial" w:hint="cs"/>
          <w:rtl/>
        </w:rPr>
        <w:t>"</w:t>
      </w:r>
      <w:r w:rsidRPr="00583C35">
        <w:rPr>
          <w:rFonts w:cs="Arial"/>
          <w:rtl/>
        </w:rPr>
        <w:t>ל</w:t>
      </w:r>
      <w:r w:rsidR="00672ADE">
        <w:rPr>
          <w:rFonts w:cs="Arial" w:hint="cs"/>
          <w:rtl/>
        </w:rPr>
        <w:t>.</w:t>
      </w:r>
      <w:r>
        <w:rPr>
          <w:rFonts w:cs="Arial" w:hint="cs"/>
          <w:rtl/>
        </w:rPr>
        <w:t xml:space="preserve"> וכן </w:t>
      </w:r>
      <w:r w:rsidRPr="006038B1">
        <w:rPr>
          <w:rFonts w:cs="Arial"/>
          <w:rtl/>
        </w:rPr>
        <w:t>דין המסור אע</w:t>
      </w:r>
      <w:r w:rsidRPr="006038B1">
        <w:rPr>
          <w:rFonts w:cs="Arial" w:hint="cs"/>
          <w:rtl/>
        </w:rPr>
        <w:t>"</w:t>
      </w:r>
      <w:r w:rsidRPr="006038B1">
        <w:rPr>
          <w:rFonts w:cs="Arial"/>
          <w:rtl/>
        </w:rPr>
        <w:t>פ שלא עשה מעשה</w:t>
      </w:r>
      <w:r>
        <w:rPr>
          <w:rStyle w:val="ab"/>
          <w:rFonts w:cs="Arial"/>
          <w:rtl/>
        </w:rPr>
        <w:footnoteReference w:id="70"/>
      </w:r>
      <w:r w:rsidR="00672ADE">
        <w:rPr>
          <w:rFonts w:cs="Arial" w:hint="cs"/>
          <w:rtl/>
        </w:rPr>
        <w:t xml:space="preserve"> -</w:t>
      </w:r>
      <w:r w:rsidRPr="006038B1">
        <w:rPr>
          <w:rFonts w:cs="Arial"/>
          <w:rtl/>
        </w:rPr>
        <w:t xml:space="preserve"> גובין אותו</w:t>
      </w:r>
      <w:r w:rsidRPr="006038B1">
        <w:rPr>
          <w:rFonts w:cs="Arial" w:hint="cs"/>
          <w:rtl/>
        </w:rPr>
        <w:t>.</w:t>
      </w:r>
      <w:r w:rsidR="00465EA5" w:rsidRPr="00465EA5">
        <w:rPr>
          <w:rFonts w:cs="Arial" w:hint="cs"/>
          <w:color w:val="E36C0A" w:themeColor="accent6" w:themeShade="BF"/>
          <w:rtl/>
        </w:rPr>
        <w:t xml:space="preserve"> </w:t>
      </w:r>
      <w:r w:rsidR="00465EA5" w:rsidRPr="006B560A">
        <w:rPr>
          <w:rFonts w:cs="Arial" w:hint="cs"/>
          <w:color w:val="E36C0A" w:themeColor="accent6" w:themeShade="BF"/>
          <w:rtl/>
        </w:rPr>
        <w:t>(וכ"פ בשו"ע)</w:t>
      </w:r>
    </w:p>
    <w:p w14:paraId="57D884CA" w14:textId="77777777" w:rsidR="005B2466" w:rsidRPr="005B2466" w:rsidRDefault="005B2466" w:rsidP="005B2466">
      <w:pPr>
        <w:rPr>
          <w:rFonts w:cs="Arial"/>
          <w:u w:val="single"/>
        </w:rPr>
      </w:pPr>
      <w:r w:rsidRPr="005B2466">
        <w:rPr>
          <w:rFonts w:cs="Arial" w:hint="cs"/>
          <w:u w:val="single"/>
          <w:rtl/>
        </w:rPr>
        <w:t>עדים שהוציאו ממון על פיהם והוזמו:</w:t>
      </w:r>
      <w:r w:rsidRPr="005B2466">
        <w:rPr>
          <w:rFonts w:hint="cs"/>
          <w:sz w:val="16"/>
          <w:szCs w:val="16"/>
          <w:rtl/>
        </w:rPr>
        <w:t xml:space="preserve"> </w:t>
      </w:r>
      <w:r>
        <w:rPr>
          <w:rFonts w:hint="cs"/>
          <w:sz w:val="16"/>
          <w:szCs w:val="16"/>
          <w:rtl/>
        </w:rPr>
        <w:t xml:space="preserve">  </w:t>
      </w:r>
      <w:r w:rsidRPr="005B2466">
        <w:rPr>
          <w:rFonts w:hint="cs"/>
          <w:sz w:val="16"/>
          <w:szCs w:val="16"/>
          <w:rtl/>
        </w:rPr>
        <w:t>(דרכ"מ אות ד)</w:t>
      </w:r>
    </w:p>
    <w:p w14:paraId="286B1AB7" w14:textId="77777777" w:rsidR="005B2466" w:rsidRPr="00C73D8D" w:rsidRDefault="005B2466" w:rsidP="004B0475">
      <w:pPr>
        <w:pStyle w:val="ac"/>
        <w:numPr>
          <w:ilvl w:val="0"/>
          <w:numId w:val="41"/>
        </w:numPr>
        <w:rPr>
          <w:rFonts w:cs="Arial"/>
          <w:rtl/>
        </w:rPr>
      </w:pPr>
      <w:r w:rsidRPr="00DA24B5">
        <w:rPr>
          <w:rFonts w:cs="Arial"/>
          <w:rtl/>
        </w:rPr>
        <w:t xml:space="preserve">מרדכי </w:t>
      </w:r>
      <w:r w:rsidRPr="005B2466">
        <w:rPr>
          <w:rFonts w:cs="Arial" w:hint="cs"/>
          <w:sz w:val="16"/>
          <w:szCs w:val="16"/>
          <w:rtl/>
        </w:rPr>
        <w:t>(</w:t>
      </w:r>
      <w:r w:rsidRPr="005B2466">
        <w:rPr>
          <w:rFonts w:cs="Arial"/>
          <w:sz w:val="16"/>
          <w:szCs w:val="16"/>
          <w:rtl/>
        </w:rPr>
        <w:t>ר</w:t>
      </w:r>
      <w:r w:rsidRPr="005B2466">
        <w:rPr>
          <w:rFonts w:cs="Arial" w:hint="cs"/>
          <w:sz w:val="16"/>
          <w:szCs w:val="16"/>
          <w:rtl/>
        </w:rPr>
        <w:t xml:space="preserve">"פ </w:t>
      </w:r>
      <w:r w:rsidRPr="005B2466">
        <w:rPr>
          <w:rFonts w:cs="Arial"/>
          <w:sz w:val="16"/>
          <w:szCs w:val="16"/>
          <w:rtl/>
        </w:rPr>
        <w:t>החובל סי' פ)</w:t>
      </w:r>
      <w:r>
        <w:rPr>
          <w:rFonts w:cs="Arial" w:hint="cs"/>
          <w:rtl/>
        </w:rPr>
        <w:t xml:space="preserve">- </w:t>
      </w:r>
      <w:r w:rsidRPr="00DA24B5">
        <w:rPr>
          <w:rFonts w:cs="Arial"/>
          <w:rtl/>
        </w:rPr>
        <w:t>כל נזקי ממון דנין בזמן הזה</w:t>
      </w:r>
      <w:r w:rsidR="003F252C">
        <w:rPr>
          <w:rFonts w:cs="Arial" w:hint="cs"/>
          <w:rtl/>
        </w:rPr>
        <w:t>.</w:t>
      </w:r>
      <w:r w:rsidRPr="00DA24B5">
        <w:rPr>
          <w:rFonts w:cs="Arial"/>
          <w:rtl/>
        </w:rPr>
        <w:t xml:space="preserve"> אפילו עדים שהוציאו ממון על פיהן ואי אפשר למהדר והוזמו </w:t>
      </w:r>
      <w:r w:rsidR="003F252C">
        <w:rPr>
          <w:rFonts w:cs="Arial" w:hint="cs"/>
          <w:rtl/>
        </w:rPr>
        <w:t xml:space="preserve">- </w:t>
      </w:r>
      <w:r w:rsidRPr="00DA24B5">
        <w:rPr>
          <w:rFonts w:cs="Arial"/>
          <w:rtl/>
        </w:rPr>
        <w:t xml:space="preserve">חייבין לשלם </w:t>
      </w:r>
      <w:r>
        <w:rPr>
          <w:rFonts w:cs="Arial" w:hint="cs"/>
          <w:sz w:val="16"/>
          <w:szCs w:val="16"/>
          <w:rtl/>
        </w:rPr>
        <w:t>{ועיי"ש ש</w:t>
      </w:r>
      <w:r w:rsidRPr="005B2466">
        <w:rPr>
          <w:rFonts w:cs="Arial"/>
          <w:sz w:val="16"/>
          <w:szCs w:val="16"/>
          <w:rtl/>
        </w:rPr>
        <w:t>האריך בדינים אלו</w:t>
      </w:r>
      <w:r>
        <w:rPr>
          <w:rFonts w:cs="Arial" w:hint="cs"/>
          <w:sz w:val="16"/>
          <w:szCs w:val="16"/>
          <w:rtl/>
        </w:rPr>
        <w:t>}</w:t>
      </w:r>
      <w:r>
        <w:rPr>
          <w:rFonts w:hint="cs"/>
          <w:rtl/>
        </w:rPr>
        <w:t>.</w:t>
      </w:r>
      <w:r w:rsidR="00465EA5">
        <w:rPr>
          <w:rFonts w:cs="Arial" w:hint="cs"/>
          <w:color w:val="00B0F0"/>
          <w:rtl/>
        </w:rPr>
        <w:t xml:space="preserve"> </w:t>
      </w:r>
      <w:r w:rsidR="00465EA5" w:rsidRPr="00DB2EB2">
        <w:rPr>
          <w:rFonts w:cs="Arial" w:hint="cs"/>
          <w:color w:val="00B0F0"/>
          <w:rtl/>
        </w:rPr>
        <w:t>(וכ"</w:t>
      </w:r>
      <w:r w:rsidR="00465EA5">
        <w:rPr>
          <w:rFonts w:cs="Arial" w:hint="cs"/>
          <w:color w:val="00B0F0"/>
          <w:rtl/>
        </w:rPr>
        <w:t>פ</w:t>
      </w:r>
      <w:r w:rsidR="00465EA5" w:rsidRPr="00DB2EB2">
        <w:rPr>
          <w:rFonts w:cs="Arial" w:hint="cs"/>
          <w:color w:val="00B0F0"/>
          <w:rtl/>
        </w:rPr>
        <w:t xml:space="preserve"> הרמ"א</w:t>
      </w:r>
      <w:r w:rsidR="00465EA5">
        <w:rPr>
          <w:rFonts w:cs="Arial" w:hint="cs"/>
          <w:color w:val="00B0F0"/>
          <w:rtl/>
        </w:rPr>
        <w:t>)</w:t>
      </w:r>
    </w:p>
    <w:p w14:paraId="2FECB673" w14:textId="77777777" w:rsidR="004A326E" w:rsidRPr="003024E5" w:rsidRDefault="004A326E" w:rsidP="004A326E">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272016B2" w14:textId="77777777" w:rsidR="004A326E" w:rsidRDefault="004A326E" w:rsidP="004A326E">
      <w:pPr>
        <w:rPr>
          <w:rtl/>
        </w:rPr>
      </w:pPr>
      <w:r>
        <w:rPr>
          <w:rFonts w:cs="Arial"/>
          <w:rtl/>
        </w:rPr>
        <w:t>דיני דגרמי, וכן דין המוסר לאנסין, דנין אותו דיינים שאינם סמוכים בא</w:t>
      </w:r>
      <w:r>
        <w:rPr>
          <w:rFonts w:cs="Arial" w:hint="cs"/>
          <w:rtl/>
        </w:rPr>
        <w:t xml:space="preserve">רץ </w:t>
      </w:r>
      <w:r>
        <w:rPr>
          <w:rFonts w:cs="Arial"/>
          <w:rtl/>
        </w:rPr>
        <w:t>י</w:t>
      </w:r>
      <w:r>
        <w:rPr>
          <w:rFonts w:cs="Arial" w:hint="cs"/>
          <w:rtl/>
        </w:rPr>
        <w:t>שראל</w:t>
      </w:r>
      <w:r>
        <w:rPr>
          <w:rFonts w:cs="Arial"/>
          <w:rtl/>
        </w:rPr>
        <w:t xml:space="preserve">. </w:t>
      </w:r>
      <w:r w:rsidRPr="00FB7FB1">
        <w:rPr>
          <w:rFonts w:cs="Arial"/>
          <w:sz w:val="18"/>
          <w:szCs w:val="18"/>
          <w:rtl/>
        </w:rPr>
        <w:t>הגה: עדים שהעידו עדות שקר והוזמו, והוציאו</w:t>
      </w:r>
      <w:r>
        <w:rPr>
          <w:rStyle w:val="ab"/>
          <w:rFonts w:cs="Arial"/>
          <w:sz w:val="18"/>
          <w:szCs w:val="18"/>
          <w:rtl/>
        </w:rPr>
        <w:footnoteReference w:id="71"/>
      </w:r>
      <w:r w:rsidRPr="00FB7FB1">
        <w:rPr>
          <w:rFonts w:cs="Arial"/>
          <w:sz w:val="18"/>
          <w:szCs w:val="18"/>
          <w:rtl/>
        </w:rPr>
        <w:t xml:space="preserve"> ממון על פיהם ואי אפשר למיהדר, דנין אותם ומחייבין אותם לשלם</w:t>
      </w:r>
      <w:r>
        <w:rPr>
          <w:rStyle w:val="ab"/>
          <w:rFonts w:cs="Arial"/>
          <w:sz w:val="18"/>
          <w:szCs w:val="18"/>
          <w:rtl/>
        </w:rPr>
        <w:footnoteReference w:id="72"/>
      </w:r>
      <w:r w:rsidRPr="00FB7FB1">
        <w:rPr>
          <w:rFonts w:cs="Arial"/>
          <w:sz w:val="18"/>
          <w:szCs w:val="18"/>
          <w:rtl/>
        </w:rPr>
        <w:t xml:space="preserve"> (מרדכי ר</w:t>
      </w:r>
      <w:r>
        <w:rPr>
          <w:rFonts w:cs="Arial" w:hint="cs"/>
          <w:sz w:val="18"/>
          <w:szCs w:val="18"/>
          <w:rtl/>
        </w:rPr>
        <w:t>"</w:t>
      </w:r>
      <w:r w:rsidRPr="00FB7FB1">
        <w:rPr>
          <w:rFonts w:cs="Arial"/>
          <w:sz w:val="18"/>
          <w:szCs w:val="18"/>
          <w:rtl/>
        </w:rPr>
        <w:t>פ החובל).</w:t>
      </w:r>
      <w:r>
        <w:rPr>
          <w:rFonts w:cs="Arial"/>
          <w:rtl/>
        </w:rPr>
        <w:t xml:space="preserve"> </w:t>
      </w:r>
    </w:p>
    <w:p w14:paraId="151377FE" w14:textId="77777777" w:rsidR="004A326E" w:rsidRDefault="004A326E" w:rsidP="004A326E">
      <w:pPr>
        <w:rPr>
          <w:rtl/>
        </w:rPr>
      </w:pPr>
    </w:p>
    <w:p w14:paraId="26EF1022" w14:textId="77777777" w:rsidR="004A326E" w:rsidRDefault="004A326E" w:rsidP="004A326E">
      <w:pPr>
        <w:pStyle w:val="2"/>
        <w:rPr>
          <w:rtl/>
        </w:rPr>
      </w:pPr>
      <w:bookmarkStart w:id="8" w:name="_Toc24883515"/>
      <w:r>
        <w:rPr>
          <w:rtl/>
        </w:rPr>
        <w:t>סעיף ה</w:t>
      </w:r>
      <w:r>
        <w:rPr>
          <w:rFonts w:hint="cs"/>
          <w:rtl/>
        </w:rPr>
        <w:t>: נידוי המזיק, תפיסת הניזק, וקנסות חכמים.</w:t>
      </w:r>
      <w:bookmarkEnd w:id="8"/>
    </w:p>
    <w:p w14:paraId="3C4ABF6B" w14:textId="77777777" w:rsidR="004A326E" w:rsidRDefault="004A326E" w:rsidP="004A326E">
      <w:pPr>
        <w:rPr>
          <w:rFonts w:cs="Arial"/>
          <w:rtl/>
        </w:rPr>
      </w:pPr>
      <w:r>
        <w:rPr>
          <w:rFonts w:cs="Arial" w:hint="cs"/>
          <w:b/>
          <w:bCs/>
          <w:rtl/>
        </w:rPr>
        <w:t xml:space="preserve">בבא קמא </w:t>
      </w:r>
      <w:r>
        <w:rPr>
          <w:rFonts w:cs="Arial" w:hint="cs"/>
          <w:b/>
          <w:bCs/>
          <w:sz w:val="16"/>
          <w:szCs w:val="16"/>
          <w:rtl/>
        </w:rPr>
        <w:t>(פ"ק)</w:t>
      </w:r>
      <w:r>
        <w:rPr>
          <w:rFonts w:cs="Arial" w:hint="cs"/>
          <w:b/>
          <w:bCs/>
          <w:rtl/>
        </w:rPr>
        <w:t xml:space="preserve"> טו</w:t>
      </w:r>
      <w:r w:rsidR="009C338A">
        <w:rPr>
          <w:rStyle w:val="ab"/>
          <w:rFonts w:cs="Arial"/>
          <w:b/>
          <w:bCs/>
          <w:rtl/>
        </w:rPr>
        <w:footnoteReference w:id="73"/>
      </w:r>
      <w:r>
        <w:rPr>
          <w:rFonts w:cs="Arial" w:hint="cs"/>
          <w:b/>
          <w:bCs/>
          <w:rtl/>
        </w:rPr>
        <w:t xml:space="preserve"> ע"ב</w:t>
      </w:r>
      <w:r w:rsidRPr="00FC4A4E">
        <w:rPr>
          <w:rFonts w:cs="Arial" w:hint="cs"/>
          <w:b/>
          <w:bCs/>
          <w:rtl/>
        </w:rPr>
        <w:t xml:space="preserve">: </w:t>
      </w:r>
      <w:r w:rsidRPr="00B71234">
        <w:rPr>
          <w:rFonts w:cs="Arial"/>
          <w:rtl/>
        </w:rPr>
        <w:t>והשתא דאמרת פלגא נזקא קנסא, האי כלבא דאכל אימרי</w:t>
      </w:r>
      <w:r w:rsidR="00465EA5">
        <w:rPr>
          <w:rStyle w:val="ab"/>
          <w:rFonts w:cs="Arial"/>
          <w:rtl/>
        </w:rPr>
        <w:footnoteReference w:id="74"/>
      </w:r>
      <w:r w:rsidRPr="00B71234">
        <w:rPr>
          <w:rFonts w:cs="Arial"/>
          <w:rtl/>
        </w:rPr>
        <w:t>, ושונרא דאכלה תרנגולא - משונה הוא, ולא מגבינן בבבל. והני מילי ברברבי, אבל בזוטרי אורחיה הוא. ואי תפס לא מפקינן מיניה.</w:t>
      </w:r>
      <w:r w:rsidRPr="00B71234">
        <w:rPr>
          <w:rFonts w:cs="Arial" w:hint="cs"/>
          <w:sz w:val="16"/>
          <w:szCs w:val="16"/>
          <w:rtl/>
        </w:rPr>
        <w:t xml:space="preserve"> (וכ"פ הטור</w:t>
      </w:r>
      <w:r>
        <w:rPr>
          <w:rFonts w:cs="Arial" w:hint="cs"/>
          <w:sz w:val="16"/>
          <w:szCs w:val="16"/>
          <w:rtl/>
        </w:rPr>
        <w:t xml:space="preserve"> וז"ל</w:t>
      </w:r>
      <w:r w:rsidRPr="00B71234">
        <w:rPr>
          <w:rFonts w:cs="Arial" w:hint="cs"/>
          <w:sz w:val="16"/>
          <w:szCs w:val="16"/>
          <w:rtl/>
        </w:rPr>
        <w:t xml:space="preserve">- </w:t>
      </w:r>
      <w:r w:rsidRPr="00B71234">
        <w:rPr>
          <w:rFonts w:cs="Arial"/>
          <w:sz w:val="16"/>
          <w:szCs w:val="16"/>
          <w:rtl/>
        </w:rPr>
        <w:t>וכל אלו שאין דנין אותן</w:t>
      </w:r>
      <w:r w:rsidRPr="00B71234">
        <w:rPr>
          <w:rFonts w:cs="Arial" w:hint="cs"/>
          <w:sz w:val="16"/>
          <w:szCs w:val="16"/>
          <w:rtl/>
        </w:rPr>
        <w:t>,</w:t>
      </w:r>
      <w:r w:rsidRPr="00B71234">
        <w:rPr>
          <w:rFonts w:cs="Arial"/>
          <w:sz w:val="16"/>
          <w:szCs w:val="16"/>
          <w:rtl/>
        </w:rPr>
        <w:t xml:space="preserve"> אם תפש הניזק שיעור מה שראוי לו ליטול אין מוציאין מיד</w:t>
      </w:r>
      <w:r w:rsidRPr="00B71234">
        <w:rPr>
          <w:rFonts w:cs="Arial" w:hint="cs"/>
          <w:sz w:val="16"/>
          <w:szCs w:val="16"/>
          <w:rtl/>
        </w:rPr>
        <w:t>ו)</w:t>
      </w:r>
    </w:p>
    <w:p w14:paraId="1A9E4843" w14:textId="77777777" w:rsidR="004A326E" w:rsidRPr="00B71234" w:rsidRDefault="004A326E" w:rsidP="004A326E">
      <w:pPr>
        <w:rPr>
          <w:rFonts w:cs="Arial"/>
          <w:rtl/>
        </w:rPr>
      </w:pPr>
      <w:r>
        <w:rPr>
          <w:rFonts w:cs="Arial" w:hint="cs"/>
          <w:u w:val="single"/>
          <w:rtl/>
        </w:rPr>
        <w:t>מתי תפיסת הניזק מועילה</w:t>
      </w:r>
      <w:r w:rsidRPr="00B71234">
        <w:rPr>
          <w:rFonts w:cs="Arial" w:hint="cs"/>
          <w:u w:val="single"/>
          <w:rtl/>
        </w:rPr>
        <w:t>:</w:t>
      </w:r>
    </w:p>
    <w:p w14:paraId="4546E464" w14:textId="77777777" w:rsidR="004A326E" w:rsidRPr="00595668" w:rsidRDefault="004A326E" w:rsidP="004B0475">
      <w:pPr>
        <w:pStyle w:val="ac"/>
        <w:numPr>
          <w:ilvl w:val="0"/>
          <w:numId w:val="41"/>
        </w:numPr>
        <w:rPr>
          <w:rFonts w:cs="Arial"/>
        </w:rPr>
      </w:pPr>
      <w:r w:rsidRPr="00FC4A4E">
        <w:rPr>
          <w:rFonts w:cs="Arial"/>
          <w:rtl/>
        </w:rPr>
        <w:lastRenderedPageBreak/>
        <w:t>ר"ת</w:t>
      </w:r>
      <w:r>
        <w:rPr>
          <w:rFonts w:cs="Arial" w:hint="cs"/>
          <w:rtl/>
        </w:rPr>
        <w:t xml:space="preserve"> </w:t>
      </w:r>
      <w:r w:rsidRPr="003C5241">
        <w:rPr>
          <w:rFonts w:cs="Arial" w:hint="cs"/>
          <w:sz w:val="16"/>
          <w:szCs w:val="16"/>
          <w:rtl/>
        </w:rPr>
        <w:t xml:space="preserve">(כ"כ בשמו התוס' </w:t>
      </w:r>
      <w:r w:rsidRPr="00465EA5">
        <w:rPr>
          <w:rFonts w:cs="Arial" w:hint="cs"/>
          <w:sz w:val="14"/>
          <w:szCs w:val="14"/>
          <w:rtl/>
        </w:rPr>
        <w:t>[</w:t>
      </w:r>
      <w:r w:rsidRPr="00465EA5">
        <w:rPr>
          <w:rFonts w:cs="Arial"/>
          <w:sz w:val="14"/>
          <w:szCs w:val="14"/>
          <w:rtl/>
        </w:rPr>
        <w:t xml:space="preserve">ב"ק שם ד"ה ואי, כתובות </w:t>
      </w:r>
      <w:r w:rsidR="00465EA5">
        <w:rPr>
          <w:rFonts w:cs="Arial" w:hint="cs"/>
          <w:sz w:val="14"/>
          <w:szCs w:val="14"/>
          <w:rtl/>
        </w:rPr>
        <w:t>מא:</w:t>
      </w:r>
      <w:r w:rsidRPr="00465EA5">
        <w:rPr>
          <w:rFonts w:cs="Arial"/>
          <w:sz w:val="14"/>
          <w:szCs w:val="14"/>
          <w:rtl/>
        </w:rPr>
        <w:t xml:space="preserve"> ד"ה ואי</w:t>
      </w:r>
      <w:r w:rsidRPr="00465EA5">
        <w:rPr>
          <w:rFonts w:cs="Arial" w:hint="cs"/>
          <w:sz w:val="14"/>
          <w:szCs w:val="14"/>
          <w:rtl/>
        </w:rPr>
        <w:t>]</w:t>
      </w:r>
      <w:r w:rsidRPr="003C5241">
        <w:rPr>
          <w:rFonts w:cs="Arial"/>
          <w:sz w:val="16"/>
          <w:szCs w:val="16"/>
          <w:rtl/>
        </w:rPr>
        <w:t>)</w:t>
      </w:r>
      <w:r w:rsidRPr="00FC4A4E">
        <w:rPr>
          <w:rFonts w:cs="Arial" w:hint="cs"/>
          <w:rtl/>
        </w:rPr>
        <w:t>-</w:t>
      </w:r>
      <w:r w:rsidRPr="00FC4A4E">
        <w:rPr>
          <w:rFonts w:cs="Arial"/>
          <w:rtl/>
        </w:rPr>
        <w:t xml:space="preserve"> </w:t>
      </w:r>
      <w:r w:rsidRPr="00A122D6">
        <w:rPr>
          <w:rFonts w:cs="Arial"/>
          <w:rtl/>
        </w:rPr>
        <w:t>דוקא תפס דבר המזיק עצמו</w:t>
      </w:r>
      <w:r w:rsidR="00910C16">
        <w:rPr>
          <w:rFonts w:cs="Arial" w:hint="cs"/>
          <w:rtl/>
        </w:rPr>
        <w:t>,</w:t>
      </w:r>
      <w:r w:rsidRPr="00A122D6">
        <w:rPr>
          <w:rFonts w:cs="Arial"/>
          <w:rtl/>
        </w:rPr>
        <w:t xml:space="preserve"> דבו הקילו חכמים אי תפס בשעת ההיזק</w:t>
      </w:r>
      <w:r>
        <w:rPr>
          <w:rStyle w:val="ab"/>
          <w:rFonts w:cs="Arial"/>
          <w:rtl/>
        </w:rPr>
        <w:footnoteReference w:id="75"/>
      </w:r>
      <w:r w:rsidR="00910C16">
        <w:rPr>
          <w:rFonts w:cs="Arial" w:hint="cs"/>
          <w:rtl/>
        </w:rPr>
        <w:t>,</w:t>
      </w:r>
      <w:r w:rsidRPr="00A122D6">
        <w:rPr>
          <w:rFonts w:cs="Arial"/>
          <w:rtl/>
        </w:rPr>
        <w:t xml:space="preserve"> אבל מידי אחרינא לא</w:t>
      </w:r>
      <w:r w:rsidR="00910C16">
        <w:rPr>
          <w:rFonts w:cs="Arial" w:hint="cs"/>
          <w:rtl/>
        </w:rPr>
        <w:t>.</w:t>
      </w:r>
      <w:r w:rsidRPr="00A122D6">
        <w:rPr>
          <w:rFonts w:cs="Arial"/>
          <w:rtl/>
        </w:rPr>
        <w:t xml:space="preserve"> דאי אמרת דבכל מידי דתפיס מדידיה קאמר דלא מפקינן מיניה</w:t>
      </w:r>
      <w:r w:rsidR="00465EA5">
        <w:rPr>
          <w:rFonts w:cs="Arial" w:hint="cs"/>
          <w:rtl/>
        </w:rPr>
        <w:t xml:space="preserve"> -</w:t>
      </w:r>
      <w:r w:rsidRPr="00A122D6">
        <w:rPr>
          <w:rFonts w:cs="Arial"/>
          <w:rtl/>
        </w:rPr>
        <w:t xml:space="preserve"> אתי לידי תקלה</w:t>
      </w:r>
      <w:r w:rsidR="00465EA5">
        <w:rPr>
          <w:rFonts w:cs="Arial" w:hint="cs"/>
          <w:rtl/>
        </w:rPr>
        <w:t>,</w:t>
      </w:r>
      <w:r w:rsidRPr="00A122D6">
        <w:rPr>
          <w:rFonts w:cs="Arial"/>
          <w:rtl/>
        </w:rPr>
        <w:t xml:space="preserve"> דהיום או למחר יגזול כל אשר יש לו ולא מפקינן משום דאין דנין דיני קנסות</w:t>
      </w:r>
      <w:r w:rsidR="00465EA5">
        <w:rPr>
          <w:rFonts w:cs="Arial" w:hint="cs"/>
          <w:rtl/>
        </w:rPr>
        <w:t>,</w:t>
      </w:r>
      <w:r w:rsidRPr="00A122D6">
        <w:rPr>
          <w:rFonts w:cs="Arial"/>
          <w:rtl/>
        </w:rPr>
        <w:t xml:space="preserve"> וזה יפסיד יותר על מה שהזיק</w:t>
      </w:r>
      <w:r>
        <w:rPr>
          <w:rFonts w:cs="Arial" w:hint="cs"/>
          <w:sz w:val="16"/>
          <w:szCs w:val="16"/>
          <w:rtl/>
        </w:rPr>
        <w:t xml:space="preserve"> (ל' הרא"</w:t>
      </w:r>
      <w:r w:rsidRPr="00595668">
        <w:rPr>
          <w:rFonts w:cs="Arial" w:hint="cs"/>
          <w:sz w:val="16"/>
          <w:szCs w:val="16"/>
          <w:rtl/>
        </w:rPr>
        <w:t>ש בשם ר"ת)</w:t>
      </w:r>
      <w:r w:rsidRPr="00595668">
        <w:rPr>
          <w:rFonts w:cs="Arial" w:hint="cs"/>
          <w:rtl/>
        </w:rPr>
        <w:t>.</w:t>
      </w:r>
    </w:p>
    <w:p w14:paraId="4BB4B70E" w14:textId="77777777" w:rsidR="004A326E" w:rsidRPr="00595668" w:rsidRDefault="004A326E" w:rsidP="004B0475">
      <w:pPr>
        <w:pStyle w:val="ac"/>
        <w:numPr>
          <w:ilvl w:val="0"/>
          <w:numId w:val="41"/>
        </w:numPr>
        <w:rPr>
          <w:rFonts w:cs="Arial"/>
        </w:rPr>
      </w:pPr>
      <w:r w:rsidRPr="00FC4A4E">
        <w:rPr>
          <w:rFonts w:cs="Arial"/>
          <w:rtl/>
        </w:rPr>
        <w:t>רא"ש</w:t>
      </w:r>
      <w:r>
        <w:rPr>
          <w:rFonts w:cs="Arial" w:hint="cs"/>
          <w:rtl/>
        </w:rPr>
        <w:t xml:space="preserve"> </w:t>
      </w:r>
      <w:r w:rsidRPr="00C12516">
        <w:rPr>
          <w:rFonts w:cs="Arial"/>
          <w:sz w:val="16"/>
          <w:szCs w:val="16"/>
          <w:rtl/>
        </w:rPr>
        <w:t>(</w:t>
      </w:r>
      <w:r>
        <w:rPr>
          <w:rFonts w:cs="Arial" w:hint="cs"/>
          <w:sz w:val="16"/>
          <w:szCs w:val="16"/>
          <w:rtl/>
        </w:rPr>
        <w:t>פ"ק דב"ק</w:t>
      </w:r>
      <w:r w:rsidRPr="00C12516">
        <w:rPr>
          <w:rFonts w:cs="Arial" w:hint="cs"/>
          <w:sz w:val="16"/>
          <w:szCs w:val="16"/>
          <w:rtl/>
        </w:rPr>
        <w:t xml:space="preserve"> </w:t>
      </w:r>
      <w:r w:rsidRPr="00C12516">
        <w:rPr>
          <w:rFonts w:cs="Arial"/>
          <w:sz w:val="16"/>
          <w:szCs w:val="16"/>
          <w:rtl/>
        </w:rPr>
        <w:t>סי' כ)</w:t>
      </w:r>
      <w:r w:rsidRPr="00FC4A4E">
        <w:rPr>
          <w:rFonts w:cs="Arial" w:hint="cs"/>
          <w:rtl/>
        </w:rPr>
        <w:t>-</w:t>
      </w:r>
      <w:r w:rsidRPr="00FC4A4E">
        <w:rPr>
          <w:rFonts w:cs="Arial"/>
          <w:rtl/>
        </w:rPr>
        <w:t xml:space="preserve"> </w:t>
      </w:r>
      <w:r>
        <w:rPr>
          <w:rStyle w:val="ab"/>
          <w:rFonts w:cs="Arial"/>
          <w:rtl/>
        </w:rPr>
        <w:footnoteReference w:id="76"/>
      </w:r>
      <w:r w:rsidRPr="00A122D6">
        <w:rPr>
          <w:rFonts w:cs="Arial"/>
          <w:rtl/>
        </w:rPr>
        <w:t>בכל מידי דתפס לא מפקינן מיניה</w:t>
      </w:r>
      <w:r w:rsidR="00465EA5">
        <w:rPr>
          <w:rFonts w:cs="Arial" w:hint="cs"/>
          <w:rtl/>
        </w:rPr>
        <w:t>,</w:t>
      </w:r>
      <w:r w:rsidRPr="00A122D6">
        <w:rPr>
          <w:rFonts w:cs="Arial"/>
          <w:rtl/>
        </w:rPr>
        <w:t xml:space="preserve"> ואי תפס יותר מכדי נזקו שמין לו ב"ד דמי נזקו ומוציאין מידו המותר</w:t>
      </w:r>
      <w:r w:rsidRPr="00595668">
        <w:rPr>
          <w:rFonts w:cs="Arial" w:hint="cs"/>
          <w:sz w:val="16"/>
          <w:szCs w:val="16"/>
          <w:rtl/>
        </w:rPr>
        <w:t xml:space="preserve"> (ל' הרא"ש)</w:t>
      </w:r>
      <w:r w:rsidRPr="00595668">
        <w:rPr>
          <w:rFonts w:cs="Arial" w:hint="cs"/>
          <w:rtl/>
        </w:rPr>
        <w:t>.</w:t>
      </w:r>
      <w:r w:rsidRPr="005306ED">
        <w:rPr>
          <w:rFonts w:cs="Arial" w:hint="cs"/>
          <w:color w:val="E36C0A" w:themeColor="accent6" w:themeShade="BF"/>
          <w:rtl/>
        </w:rPr>
        <w:t xml:space="preserve"> (וכ"פ בשו"ע)</w:t>
      </w:r>
      <w:r>
        <w:rPr>
          <w:rFonts w:cs="Arial" w:hint="cs"/>
          <w:rtl/>
        </w:rPr>
        <w:t xml:space="preserve"> </w:t>
      </w:r>
      <w:r w:rsidRPr="00DB2EB2">
        <w:rPr>
          <w:rFonts w:cs="Arial" w:hint="cs"/>
          <w:color w:val="00B0F0"/>
          <w:rtl/>
        </w:rPr>
        <w:t>(וכ"ס הרמ"א</w:t>
      </w:r>
      <w:r w:rsidRPr="00DB2EB2">
        <w:rPr>
          <w:rFonts w:cs="Arial" w:hint="cs"/>
          <w:color w:val="00B0F0"/>
          <w:sz w:val="16"/>
          <w:szCs w:val="16"/>
          <w:rtl/>
        </w:rPr>
        <w:t xml:space="preserve"> </w:t>
      </w:r>
      <w:r>
        <w:rPr>
          <w:rFonts w:cs="Arial" w:hint="cs"/>
          <w:sz w:val="16"/>
          <w:szCs w:val="16"/>
          <w:rtl/>
        </w:rPr>
        <w:t>[עי' סמ"ע ססקי"ח]</w:t>
      </w:r>
      <w:r w:rsidRPr="00DB2EB2">
        <w:rPr>
          <w:rFonts w:cs="Arial" w:hint="cs"/>
          <w:color w:val="00B0F0"/>
          <w:rtl/>
        </w:rPr>
        <w:t>)</w:t>
      </w:r>
    </w:p>
    <w:p w14:paraId="6EDF6F0C" w14:textId="77777777" w:rsidR="004A326E" w:rsidRDefault="004A326E" w:rsidP="004B0475">
      <w:pPr>
        <w:pStyle w:val="ac"/>
        <w:numPr>
          <w:ilvl w:val="0"/>
          <w:numId w:val="41"/>
        </w:numPr>
        <w:rPr>
          <w:rFonts w:cs="Arial"/>
        </w:rPr>
      </w:pPr>
      <w:r w:rsidRPr="00FC4A4E">
        <w:rPr>
          <w:rFonts w:cs="Arial"/>
          <w:rtl/>
        </w:rPr>
        <w:t xml:space="preserve">רבינו ברוך </w:t>
      </w:r>
      <w:r w:rsidRPr="003C5241">
        <w:rPr>
          <w:rFonts w:cs="Arial" w:hint="cs"/>
          <w:sz w:val="16"/>
          <w:szCs w:val="16"/>
          <w:rtl/>
        </w:rPr>
        <w:t xml:space="preserve">(הביאו המרדכי ס"פ המניח </w:t>
      </w:r>
      <w:r w:rsidRPr="003C5241">
        <w:rPr>
          <w:rFonts w:cs="Arial" w:hint="cs"/>
          <w:sz w:val="14"/>
          <w:szCs w:val="14"/>
          <w:rtl/>
        </w:rPr>
        <w:t xml:space="preserve">[ב"ק פ"ג] </w:t>
      </w:r>
      <w:r w:rsidRPr="003C5241">
        <w:rPr>
          <w:rFonts w:cs="Arial" w:hint="cs"/>
          <w:sz w:val="16"/>
          <w:szCs w:val="16"/>
          <w:rtl/>
        </w:rPr>
        <w:t>סי' מ, הביאו הדרכ"מ אות ה)</w:t>
      </w:r>
      <w:r>
        <w:rPr>
          <w:rFonts w:cs="Arial" w:hint="cs"/>
          <w:rtl/>
        </w:rPr>
        <w:t xml:space="preserve">- </w:t>
      </w:r>
      <w:r w:rsidRPr="00FC4A4E">
        <w:rPr>
          <w:rFonts w:cs="Arial"/>
          <w:rtl/>
        </w:rPr>
        <w:t>בנזקי קרן עבדינן כר</w:t>
      </w:r>
      <w:r>
        <w:rPr>
          <w:rFonts w:cs="Arial" w:hint="cs"/>
          <w:rtl/>
        </w:rPr>
        <w:t>"ת</w:t>
      </w:r>
      <w:r w:rsidRPr="00FC4A4E">
        <w:rPr>
          <w:rFonts w:cs="Arial"/>
          <w:rtl/>
        </w:rPr>
        <w:t xml:space="preserve"> ובשאר קנסות עבדינן כדעת החולקין ויכול לתפוס כל דבר</w:t>
      </w:r>
      <w:r>
        <w:rPr>
          <w:rFonts w:cs="Arial" w:hint="cs"/>
          <w:rtl/>
        </w:rPr>
        <w:t>.</w:t>
      </w:r>
    </w:p>
    <w:p w14:paraId="0CB40CD5" w14:textId="77777777" w:rsidR="004A326E" w:rsidRPr="00B71234" w:rsidRDefault="004A326E" w:rsidP="004B0475">
      <w:pPr>
        <w:pStyle w:val="ac"/>
        <w:numPr>
          <w:ilvl w:val="0"/>
          <w:numId w:val="41"/>
        </w:numPr>
        <w:rPr>
          <w:rFonts w:cs="Arial"/>
          <w:rtl/>
        </w:rPr>
      </w:pPr>
      <w:r>
        <w:rPr>
          <w:rFonts w:cs="Arial" w:hint="cs"/>
          <w:rtl/>
        </w:rPr>
        <w:t>מהרי"ו</w:t>
      </w:r>
      <w:r w:rsidRPr="00FC4A4E">
        <w:rPr>
          <w:rFonts w:cs="Arial"/>
          <w:rtl/>
        </w:rPr>
        <w:t xml:space="preserve"> </w:t>
      </w:r>
      <w:r w:rsidRPr="003C5241">
        <w:rPr>
          <w:rFonts w:cs="Arial" w:hint="cs"/>
          <w:sz w:val="16"/>
          <w:szCs w:val="16"/>
          <w:rtl/>
        </w:rPr>
        <w:t>(</w:t>
      </w:r>
      <w:r w:rsidRPr="003C5241">
        <w:rPr>
          <w:rFonts w:cs="Arial"/>
          <w:sz w:val="16"/>
          <w:szCs w:val="16"/>
          <w:rtl/>
        </w:rPr>
        <w:t>בתשובותיו סי</w:t>
      </w:r>
      <w:r w:rsidRPr="003C5241">
        <w:rPr>
          <w:rFonts w:cs="Arial" w:hint="cs"/>
          <w:sz w:val="16"/>
          <w:szCs w:val="16"/>
          <w:rtl/>
        </w:rPr>
        <w:t>'</w:t>
      </w:r>
      <w:r w:rsidRPr="003C5241">
        <w:rPr>
          <w:rFonts w:cs="Arial"/>
          <w:sz w:val="16"/>
          <w:szCs w:val="16"/>
          <w:rtl/>
        </w:rPr>
        <w:t xml:space="preserve"> כח</w:t>
      </w:r>
      <w:r w:rsidRPr="003C5241">
        <w:rPr>
          <w:rFonts w:cs="Arial" w:hint="cs"/>
          <w:sz w:val="16"/>
          <w:szCs w:val="16"/>
          <w:rtl/>
        </w:rPr>
        <w:t>)</w:t>
      </w:r>
      <w:r>
        <w:rPr>
          <w:rFonts w:cs="Arial" w:hint="cs"/>
          <w:rtl/>
        </w:rPr>
        <w:t xml:space="preserve">- </w:t>
      </w:r>
      <w:r>
        <w:rPr>
          <w:rStyle w:val="ab"/>
          <w:rFonts w:cs="Arial"/>
          <w:rtl/>
        </w:rPr>
        <w:footnoteReference w:id="77"/>
      </w:r>
      <w:r w:rsidRPr="00FC4A4E">
        <w:rPr>
          <w:rFonts w:cs="Arial"/>
          <w:rtl/>
        </w:rPr>
        <w:t xml:space="preserve">מאחר דאין אנו בקיאין בשומא </w:t>
      </w:r>
      <w:r w:rsidR="009C14BA">
        <w:rPr>
          <w:rFonts w:cs="Arial" w:hint="cs"/>
          <w:rtl/>
        </w:rPr>
        <w:t xml:space="preserve">- </w:t>
      </w:r>
      <w:r w:rsidRPr="00FC4A4E">
        <w:rPr>
          <w:rFonts w:cs="Arial"/>
          <w:rtl/>
        </w:rPr>
        <w:t>יכול להחזיק כל מה שתפס</w:t>
      </w:r>
      <w:r>
        <w:rPr>
          <w:rStyle w:val="ab"/>
          <w:rFonts w:cs="Arial"/>
          <w:rtl/>
        </w:rPr>
        <w:footnoteReference w:id="78"/>
      </w:r>
      <w:r>
        <w:rPr>
          <w:rFonts w:cs="Arial" w:hint="cs"/>
          <w:rtl/>
        </w:rPr>
        <w:t>.</w:t>
      </w:r>
    </w:p>
    <w:p w14:paraId="725D0963" w14:textId="77777777" w:rsidR="00335685" w:rsidRPr="00DB2EB2" w:rsidRDefault="00335685" w:rsidP="00335685">
      <w:pPr>
        <w:rPr>
          <w:rFonts w:cs="Arial"/>
          <w:u w:val="single"/>
          <w:rtl/>
        </w:rPr>
      </w:pPr>
      <w:r>
        <w:rPr>
          <w:rFonts w:cs="Arial" w:hint="cs"/>
          <w:u w:val="single"/>
          <w:rtl/>
        </w:rPr>
        <w:t>ניזק שת</w:t>
      </w:r>
      <w:r w:rsidRPr="00DB2EB2">
        <w:rPr>
          <w:rFonts w:cs="Arial" w:hint="cs"/>
          <w:u w:val="single"/>
          <w:rtl/>
        </w:rPr>
        <w:t xml:space="preserve">פס יותר מהקרן </w:t>
      </w:r>
      <w:r w:rsidRPr="00847ACE">
        <w:rPr>
          <w:rFonts w:cs="Arial" w:hint="cs"/>
          <w:sz w:val="16"/>
          <w:szCs w:val="16"/>
          <w:u w:val="single"/>
          <w:rtl/>
        </w:rPr>
        <w:t>(</w:t>
      </w:r>
      <w:r>
        <w:rPr>
          <w:rFonts w:cs="Arial" w:hint="cs"/>
          <w:sz w:val="16"/>
          <w:szCs w:val="16"/>
          <w:u w:val="single"/>
          <w:rtl/>
        </w:rPr>
        <w:t xml:space="preserve">כגון </w:t>
      </w:r>
      <w:r w:rsidRPr="00847ACE">
        <w:rPr>
          <w:rFonts w:cs="Arial" w:hint="cs"/>
          <w:sz w:val="16"/>
          <w:szCs w:val="16"/>
          <w:u w:val="single"/>
          <w:rtl/>
        </w:rPr>
        <w:t>כפל/ד' וה'</w:t>
      </w:r>
      <w:r>
        <w:rPr>
          <w:rFonts w:cs="Arial" w:hint="cs"/>
          <w:sz w:val="16"/>
          <w:szCs w:val="16"/>
          <w:u w:val="single"/>
          <w:rtl/>
        </w:rPr>
        <w:t>)</w:t>
      </w:r>
      <w:r w:rsidRPr="00DB2EB2">
        <w:rPr>
          <w:rFonts w:cs="Arial" w:hint="cs"/>
          <w:u w:val="single"/>
          <w:rtl/>
        </w:rPr>
        <w:t>:</w:t>
      </w:r>
    </w:p>
    <w:p w14:paraId="763E1C23" w14:textId="77777777" w:rsidR="00335685" w:rsidRPr="00DB2EB2" w:rsidRDefault="00335685" w:rsidP="004B0475">
      <w:pPr>
        <w:pStyle w:val="ac"/>
        <w:numPr>
          <w:ilvl w:val="0"/>
          <w:numId w:val="45"/>
        </w:numPr>
        <w:rPr>
          <w:rFonts w:cs="Arial"/>
          <w:rtl/>
        </w:rPr>
      </w:pPr>
      <w:r w:rsidRPr="00594D99">
        <w:rPr>
          <w:rFonts w:cs="Arial"/>
          <w:rtl/>
        </w:rPr>
        <w:t>רמ"ה</w:t>
      </w:r>
      <w:r>
        <w:rPr>
          <w:rFonts w:cs="Arial" w:hint="cs"/>
          <w:sz w:val="16"/>
          <w:szCs w:val="16"/>
          <w:rtl/>
        </w:rPr>
        <w:t xml:space="preserve"> (הביאו </w:t>
      </w:r>
      <w:r w:rsidR="00AD2B42">
        <w:rPr>
          <w:rFonts w:cs="Arial" w:hint="cs"/>
          <w:sz w:val="16"/>
          <w:szCs w:val="16"/>
          <w:rtl/>
        </w:rPr>
        <w:t>הרא"ש [שם] ו</w:t>
      </w:r>
      <w:r>
        <w:rPr>
          <w:rFonts w:cs="Arial" w:hint="cs"/>
          <w:sz w:val="16"/>
          <w:szCs w:val="16"/>
          <w:rtl/>
        </w:rPr>
        <w:t>הטור</w:t>
      </w:r>
      <w:r w:rsidRPr="00594D99">
        <w:rPr>
          <w:rFonts w:cs="Arial" w:hint="cs"/>
          <w:sz w:val="14"/>
          <w:szCs w:val="14"/>
          <w:rtl/>
        </w:rPr>
        <w:t xml:space="preserve"> [בסי' שמט]</w:t>
      </w:r>
      <w:r>
        <w:rPr>
          <w:rFonts w:cs="Arial" w:hint="cs"/>
          <w:sz w:val="16"/>
          <w:szCs w:val="16"/>
          <w:rtl/>
        </w:rPr>
        <w:t>)</w:t>
      </w:r>
      <w:r>
        <w:rPr>
          <w:rFonts w:cs="Arial" w:hint="cs"/>
          <w:rtl/>
        </w:rPr>
        <w:t>-</w:t>
      </w:r>
      <w:r w:rsidRPr="00594D99">
        <w:rPr>
          <w:rFonts w:cs="Arial"/>
          <w:rtl/>
        </w:rPr>
        <w:t xml:space="preserve"> הא דאמרינן בקנסא אי תפס לא מפקינן מיניה </w:t>
      </w:r>
      <w:r w:rsidR="009C14BA">
        <w:rPr>
          <w:rFonts w:cs="Arial" w:hint="cs"/>
          <w:rtl/>
        </w:rPr>
        <w:t xml:space="preserve">- </w:t>
      </w:r>
      <w:r w:rsidRPr="00594D99">
        <w:rPr>
          <w:rFonts w:cs="Arial"/>
          <w:rtl/>
        </w:rPr>
        <w:t>היינו דוקא כדי נזקיה</w:t>
      </w:r>
      <w:r w:rsidR="009C14BA">
        <w:rPr>
          <w:rFonts w:cs="Arial" w:hint="cs"/>
          <w:rtl/>
        </w:rPr>
        <w:t>,</w:t>
      </w:r>
      <w:r w:rsidRPr="00594D99">
        <w:rPr>
          <w:rFonts w:cs="Arial"/>
          <w:rtl/>
        </w:rPr>
        <w:t xml:space="preserve"> אבל טפי מכדי נזקיה כגון כפל וד' וה' </w:t>
      </w:r>
      <w:r w:rsidR="009C14BA">
        <w:rPr>
          <w:rFonts w:cs="Arial" w:hint="cs"/>
          <w:rtl/>
        </w:rPr>
        <w:t xml:space="preserve">- </w:t>
      </w:r>
      <w:r w:rsidRPr="00594D99">
        <w:rPr>
          <w:rFonts w:cs="Arial"/>
          <w:rtl/>
        </w:rPr>
        <w:t>מפקינן מיניה</w:t>
      </w:r>
      <w:r w:rsidR="009C14BA">
        <w:rPr>
          <w:rFonts w:cs="Arial" w:hint="cs"/>
          <w:rtl/>
        </w:rPr>
        <w:t>.</w:t>
      </w:r>
      <w:r w:rsidRPr="00594D99">
        <w:rPr>
          <w:rFonts w:cs="Arial"/>
          <w:rtl/>
        </w:rPr>
        <w:t xml:space="preserve"> דתקנתא עבדו ליה רבנן לניזק</w:t>
      </w:r>
      <w:r w:rsidR="009C14BA">
        <w:rPr>
          <w:rFonts w:cs="Arial" w:hint="cs"/>
          <w:rtl/>
        </w:rPr>
        <w:t>,</w:t>
      </w:r>
      <w:r w:rsidRPr="00594D99">
        <w:rPr>
          <w:rFonts w:cs="Arial"/>
          <w:rtl/>
        </w:rPr>
        <w:t xml:space="preserve"> וכי עבדי ליה תקנתא </w:t>
      </w:r>
      <w:r w:rsidR="009C14BA">
        <w:rPr>
          <w:rFonts w:cs="Arial" w:hint="cs"/>
          <w:rtl/>
        </w:rPr>
        <w:t xml:space="preserve">- </w:t>
      </w:r>
      <w:r w:rsidRPr="00594D99">
        <w:rPr>
          <w:rFonts w:cs="Arial"/>
          <w:rtl/>
        </w:rPr>
        <w:t>דלא ליפסוד ממוניה</w:t>
      </w:r>
      <w:r w:rsidR="009C14BA">
        <w:rPr>
          <w:rFonts w:cs="Arial" w:hint="cs"/>
          <w:rtl/>
        </w:rPr>
        <w:t>,</w:t>
      </w:r>
      <w:r w:rsidRPr="00594D99">
        <w:rPr>
          <w:rFonts w:cs="Arial"/>
          <w:rtl/>
        </w:rPr>
        <w:t xml:space="preserve"> אבל לארווחיה ממוניה דחבריה </w:t>
      </w:r>
      <w:r w:rsidR="009C14BA">
        <w:rPr>
          <w:rFonts w:cs="Arial" w:hint="cs"/>
          <w:rtl/>
        </w:rPr>
        <w:t xml:space="preserve">- </w:t>
      </w:r>
      <w:r w:rsidRPr="00594D99">
        <w:rPr>
          <w:rFonts w:cs="Arial"/>
          <w:rtl/>
        </w:rPr>
        <w:t>לא תקינו ליה רבנן</w:t>
      </w:r>
      <w:r>
        <w:rPr>
          <w:rStyle w:val="ab"/>
          <w:rFonts w:cs="Arial"/>
          <w:rtl/>
        </w:rPr>
        <w:footnoteReference w:id="79"/>
      </w:r>
      <w:r>
        <w:rPr>
          <w:rFonts w:cs="Arial" w:hint="cs"/>
          <w:rtl/>
        </w:rPr>
        <w:t>.</w:t>
      </w:r>
    </w:p>
    <w:p w14:paraId="47CA709D" w14:textId="77777777" w:rsidR="00335685" w:rsidRDefault="00335685" w:rsidP="004B0475">
      <w:pPr>
        <w:pStyle w:val="ac"/>
        <w:numPr>
          <w:ilvl w:val="0"/>
          <w:numId w:val="45"/>
        </w:numPr>
        <w:rPr>
          <w:rFonts w:cs="Arial"/>
        </w:rPr>
      </w:pPr>
      <w:r>
        <w:rPr>
          <w:rFonts w:cs="Arial" w:hint="cs"/>
          <w:rtl/>
        </w:rPr>
        <w:t xml:space="preserve">רא"ש </w:t>
      </w:r>
      <w:r>
        <w:rPr>
          <w:rFonts w:cs="Arial" w:hint="cs"/>
          <w:sz w:val="16"/>
          <w:szCs w:val="16"/>
          <w:rtl/>
        </w:rPr>
        <w:t xml:space="preserve">(ספ"ק דב"ק סי' כ) </w:t>
      </w:r>
      <w:r>
        <w:rPr>
          <w:rFonts w:cs="Arial" w:hint="cs"/>
          <w:rtl/>
        </w:rPr>
        <w:t xml:space="preserve">וטור </w:t>
      </w:r>
      <w:r>
        <w:rPr>
          <w:rFonts w:cs="Arial" w:hint="cs"/>
          <w:sz w:val="16"/>
          <w:szCs w:val="16"/>
          <w:rtl/>
        </w:rPr>
        <w:t>(סי' שמט ס"ד)</w:t>
      </w:r>
      <w:r>
        <w:rPr>
          <w:rFonts w:cs="Arial" w:hint="cs"/>
          <w:rtl/>
        </w:rPr>
        <w:t>-</w:t>
      </w:r>
      <w:r w:rsidRPr="00DB2EB2">
        <w:rPr>
          <w:rFonts w:cs="Arial" w:hint="cs"/>
          <w:rtl/>
        </w:rPr>
        <w:t xml:space="preserve"> </w:t>
      </w:r>
      <w:r w:rsidRPr="007D3D65">
        <w:rPr>
          <w:rFonts w:cs="Arial"/>
          <w:rtl/>
        </w:rPr>
        <w:t>אפילו תפס יותר מכדי היזקו, אם נתחייב לו כ"כ אם היו דנין אותו, כגון כפל ד' וה'</w:t>
      </w:r>
      <w:r w:rsidR="009C14BA">
        <w:rPr>
          <w:rFonts w:cs="Arial" w:hint="cs"/>
          <w:rtl/>
        </w:rPr>
        <w:t xml:space="preserve"> -</w:t>
      </w:r>
      <w:r w:rsidRPr="007D3D65">
        <w:rPr>
          <w:rFonts w:cs="Arial"/>
          <w:rtl/>
        </w:rPr>
        <w:t xml:space="preserve"> תפיסתו תפיסה</w:t>
      </w:r>
      <w:r w:rsidRPr="00DB2EB2">
        <w:rPr>
          <w:rFonts w:cs="Arial" w:hint="cs"/>
          <w:rtl/>
        </w:rPr>
        <w:t>.</w:t>
      </w:r>
      <w:r w:rsidRPr="00C50DF0">
        <w:rPr>
          <w:rFonts w:cs="Arial" w:hint="cs"/>
          <w:color w:val="00B0F0"/>
          <w:rtl/>
        </w:rPr>
        <w:t xml:space="preserve"> (וכ"ס הרמ"א </w:t>
      </w:r>
      <w:r>
        <w:rPr>
          <w:rFonts w:cs="Arial" w:hint="cs"/>
          <w:sz w:val="16"/>
          <w:szCs w:val="16"/>
          <w:rtl/>
        </w:rPr>
        <w:t>[סי' שמח ס"ד]</w:t>
      </w:r>
      <w:r w:rsidRPr="00C50DF0">
        <w:rPr>
          <w:rFonts w:cs="Arial" w:hint="cs"/>
          <w:color w:val="00B0F0"/>
          <w:rtl/>
        </w:rPr>
        <w:t>)</w:t>
      </w:r>
      <w:r>
        <w:rPr>
          <w:rFonts w:cs="Arial" w:hint="cs"/>
          <w:rtl/>
        </w:rPr>
        <w:t>(וכ"פ ה</w:t>
      </w:r>
      <w:r w:rsidRPr="00DB2EB2">
        <w:rPr>
          <w:rFonts w:cs="Arial" w:hint="cs"/>
          <w:rtl/>
        </w:rPr>
        <w:t>סמ"ע</w:t>
      </w:r>
      <w:r w:rsidRPr="00DB2EB2">
        <w:rPr>
          <w:rFonts w:cs="Arial" w:hint="cs"/>
          <w:sz w:val="16"/>
          <w:szCs w:val="16"/>
          <w:rtl/>
        </w:rPr>
        <w:t xml:space="preserve"> </w:t>
      </w:r>
      <w:r>
        <w:rPr>
          <w:rFonts w:cs="Arial" w:hint="cs"/>
          <w:sz w:val="16"/>
          <w:szCs w:val="16"/>
          <w:rtl/>
        </w:rPr>
        <w:t>[</w:t>
      </w:r>
      <w:r w:rsidRPr="00DB2EB2">
        <w:rPr>
          <w:rFonts w:cs="Arial" w:hint="cs"/>
          <w:sz w:val="16"/>
          <w:szCs w:val="16"/>
          <w:rtl/>
        </w:rPr>
        <w:t>סקי"ח</w:t>
      </w:r>
      <w:r>
        <w:rPr>
          <w:rFonts w:cs="Arial" w:hint="cs"/>
          <w:sz w:val="16"/>
          <w:szCs w:val="16"/>
          <w:rtl/>
        </w:rPr>
        <w:t>]</w:t>
      </w:r>
      <w:r>
        <w:rPr>
          <w:rFonts w:cs="Arial" w:hint="cs"/>
          <w:rtl/>
        </w:rPr>
        <w:t>)</w:t>
      </w:r>
    </w:p>
    <w:p w14:paraId="3C4F014A" w14:textId="77777777" w:rsidR="004A326E" w:rsidRDefault="004A326E" w:rsidP="004A326E">
      <w:pPr>
        <w:rPr>
          <w:rFonts w:cs="Arial"/>
          <w:u w:val="single"/>
          <w:rtl/>
        </w:rPr>
      </w:pPr>
      <w:r w:rsidRPr="00B30AD4">
        <w:rPr>
          <w:rFonts w:cs="Arial" w:hint="cs"/>
          <w:b/>
          <w:bCs/>
          <w:rtl/>
        </w:rPr>
        <w:t>בבא קמא</w:t>
      </w:r>
      <w:r w:rsidRPr="00B30AD4">
        <w:rPr>
          <w:rFonts w:cs="Arial" w:hint="cs"/>
          <w:b/>
          <w:bCs/>
          <w:sz w:val="16"/>
          <w:szCs w:val="16"/>
          <w:rtl/>
        </w:rPr>
        <w:t xml:space="preserve"> (</w:t>
      </w:r>
      <w:r>
        <w:rPr>
          <w:rFonts w:cs="Arial" w:hint="cs"/>
          <w:b/>
          <w:bCs/>
          <w:sz w:val="16"/>
          <w:szCs w:val="16"/>
          <w:rtl/>
        </w:rPr>
        <w:t>ר"</w:t>
      </w:r>
      <w:r w:rsidRPr="00B30AD4">
        <w:rPr>
          <w:rFonts w:cs="Arial" w:hint="cs"/>
          <w:b/>
          <w:bCs/>
          <w:sz w:val="16"/>
          <w:szCs w:val="16"/>
          <w:rtl/>
        </w:rPr>
        <w:t>פ החובל)</w:t>
      </w:r>
      <w:r w:rsidRPr="00B30AD4">
        <w:rPr>
          <w:rFonts w:cs="Arial" w:hint="cs"/>
          <w:b/>
          <w:bCs/>
          <w:rtl/>
        </w:rPr>
        <w:t xml:space="preserve"> פד</w:t>
      </w:r>
      <w:r w:rsidR="00AD2B42">
        <w:rPr>
          <w:rStyle w:val="ab"/>
          <w:rFonts w:cs="Arial"/>
          <w:b/>
          <w:bCs/>
          <w:rtl/>
        </w:rPr>
        <w:footnoteReference w:id="80"/>
      </w:r>
      <w:r w:rsidRPr="00B30AD4">
        <w:rPr>
          <w:rFonts w:cs="Arial" w:hint="cs"/>
          <w:b/>
          <w:bCs/>
          <w:rtl/>
        </w:rPr>
        <w:t xml:space="preserve"> ע"</w:t>
      </w:r>
      <w:r>
        <w:rPr>
          <w:rFonts w:cs="Arial" w:hint="cs"/>
          <w:b/>
          <w:bCs/>
          <w:rtl/>
        </w:rPr>
        <w:t>א</w:t>
      </w:r>
      <w:r w:rsidRPr="00B30AD4">
        <w:rPr>
          <w:rFonts w:cs="Arial" w:hint="cs"/>
          <w:b/>
          <w:bCs/>
          <w:rtl/>
        </w:rPr>
        <w:t>:</w:t>
      </w:r>
      <w:r>
        <w:rPr>
          <w:rFonts w:cs="Arial" w:hint="cs"/>
          <w:rtl/>
        </w:rPr>
        <w:t xml:space="preserve"> </w:t>
      </w:r>
      <w:r w:rsidRPr="00516466">
        <w:rPr>
          <w:rFonts w:cs="Arial"/>
          <w:rtl/>
        </w:rPr>
        <w:t xml:space="preserve">ההוא תורא דאלס ידיה דינוקא, אתא לקמיה דרבא, </w:t>
      </w:r>
      <w:r w:rsidRPr="005C6DCE">
        <w:rPr>
          <w:rFonts w:cs="Arial"/>
          <w:u w:val="single"/>
          <w:rtl/>
        </w:rPr>
        <w:t>אמר להו</w:t>
      </w:r>
      <w:r w:rsidRPr="00516466">
        <w:rPr>
          <w:rFonts w:cs="Arial"/>
          <w:rtl/>
        </w:rPr>
        <w:t xml:space="preserve">: זילו שיימוהו כעבדא. </w:t>
      </w:r>
      <w:r w:rsidRPr="005C6DCE">
        <w:rPr>
          <w:rFonts w:cs="Arial"/>
          <w:u w:val="single"/>
          <w:rtl/>
        </w:rPr>
        <w:t>אמרו ליה</w:t>
      </w:r>
      <w:r w:rsidRPr="00516466">
        <w:rPr>
          <w:rFonts w:cs="Arial"/>
          <w:rtl/>
        </w:rPr>
        <w:t xml:space="preserve">, והא מר הוא דאמר: כל הנישום כעבד - אין גובין אותו בבבל! </w:t>
      </w:r>
      <w:r w:rsidRPr="005C6DCE">
        <w:rPr>
          <w:rFonts w:cs="Arial"/>
          <w:u w:val="single"/>
          <w:rtl/>
        </w:rPr>
        <w:t>אמר להו</w:t>
      </w:r>
      <w:r w:rsidRPr="00516466">
        <w:rPr>
          <w:rFonts w:cs="Arial"/>
          <w:rtl/>
        </w:rPr>
        <w:t>: לא צריכא דאי תפס.</w:t>
      </w:r>
    </w:p>
    <w:p w14:paraId="3DF14DF2" w14:textId="77777777" w:rsidR="004A326E" w:rsidRDefault="004A326E" w:rsidP="004A326E">
      <w:pPr>
        <w:rPr>
          <w:rFonts w:cs="Arial"/>
          <w:rtl/>
        </w:rPr>
      </w:pPr>
      <w:r w:rsidRPr="00C12516">
        <w:rPr>
          <w:rFonts w:cs="Arial" w:hint="cs"/>
          <w:u w:val="single"/>
          <w:rtl/>
        </w:rPr>
        <w:t xml:space="preserve">ניזק שאמר לבית הדין </w:t>
      </w:r>
      <w:r>
        <w:rPr>
          <w:rFonts w:cs="Arial" w:hint="cs"/>
          <w:u w:val="single"/>
          <w:rtl/>
        </w:rPr>
        <w:t>'</w:t>
      </w:r>
      <w:r w:rsidRPr="00C12516">
        <w:rPr>
          <w:rFonts w:cs="Arial" w:hint="cs"/>
          <w:u w:val="single"/>
          <w:rtl/>
        </w:rPr>
        <w:t>שומו לי</w:t>
      </w:r>
      <w:r>
        <w:rPr>
          <w:rFonts w:cs="Arial" w:hint="cs"/>
          <w:u w:val="single"/>
          <w:rtl/>
        </w:rPr>
        <w:t xml:space="preserve"> </w:t>
      </w:r>
      <w:r w:rsidRPr="00C12516">
        <w:rPr>
          <w:rFonts w:cs="Arial" w:hint="cs"/>
          <w:u w:val="single"/>
          <w:rtl/>
        </w:rPr>
        <w:t xml:space="preserve">כמה </w:t>
      </w:r>
      <w:r>
        <w:rPr>
          <w:rFonts w:cs="Arial" w:hint="cs"/>
          <w:u w:val="single"/>
          <w:rtl/>
        </w:rPr>
        <w:t>הנזק</w:t>
      </w:r>
      <w:r w:rsidRPr="00C12516">
        <w:rPr>
          <w:rFonts w:cs="Arial" w:hint="cs"/>
          <w:u w:val="single"/>
          <w:rtl/>
        </w:rPr>
        <w:t xml:space="preserve"> </w:t>
      </w:r>
      <w:r>
        <w:rPr>
          <w:rFonts w:cs="Arial" w:hint="cs"/>
          <w:u w:val="single"/>
          <w:rtl/>
        </w:rPr>
        <w:t xml:space="preserve">כדי </w:t>
      </w:r>
      <w:r w:rsidRPr="00C12516">
        <w:rPr>
          <w:rFonts w:cs="Arial" w:hint="cs"/>
          <w:u w:val="single"/>
          <w:rtl/>
        </w:rPr>
        <w:t>שאדע כמה לתפוש</w:t>
      </w:r>
      <w:r>
        <w:rPr>
          <w:rFonts w:cs="Arial" w:hint="cs"/>
          <w:u w:val="single"/>
          <w:rtl/>
        </w:rPr>
        <w:t>'</w:t>
      </w:r>
      <w:r w:rsidRPr="00C12516">
        <w:rPr>
          <w:rFonts w:cs="Arial" w:hint="cs"/>
          <w:u w:val="single"/>
          <w:rtl/>
        </w:rPr>
        <w:t xml:space="preserve"> </w:t>
      </w:r>
      <w:r w:rsidRPr="00C12516">
        <w:rPr>
          <w:rFonts w:cs="Arial"/>
          <w:u w:val="single"/>
          <w:rtl/>
        </w:rPr>
        <w:t>–</w:t>
      </w:r>
      <w:r w:rsidRPr="00C12516">
        <w:rPr>
          <w:rFonts w:cs="Arial" w:hint="cs"/>
          <w:u w:val="single"/>
          <w:rtl/>
        </w:rPr>
        <w:t xml:space="preserve"> האם שומעין לו:</w:t>
      </w:r>
    </w:p>
    <w:p w14:paraId="6D48237D" w14:textId="77777777" w:rsidR="004A326E" w:rsidRPr="007739C2" w:rsidRDefault="004A326E" w:rsidP="004B0475">
      <w:pPr>
        <w:pStyle w:val="ac"/>
        <w:numPr>
          <w:ilvl w:val="0"/>
          <w:numId w:val="43"/>
        </w:numPr>
        <w:rPr>
          <w:rtl/>
        </w:rPr>
      </w:pPr>
      <w:r w:rsidRPr="00C12516">
        <w:rPr>
          <w:rFonts w:cs="Arial" w:hint="cs"/>
          <w:rtl/>
        </w:rPr>
        <w:t>רא"ש</w:t>
      </w:r>
      <w:r>
        <w:rPr>
          <w:rFonts w:cs="Arial" w:hint="cs"/>
          <w:rtl/>
        </w:rPr>
        <w:t xml:space="preserve"> </w:t>
      </w:r>
      <w:r w:rsidRPr="007739C2">
        <w:rPr>
          <w:rFonts w:cs="Arial" w:hint="cs"/>
          <w:sz w:val="16"/>
          <w:szCs w:val="16"/>
          <w:rtl/>
        </w:rPr>
        <w:t xml:space="preserve">(החובל </w:t>
      </w:r>
      <w:r w:rsidRPr="00E73D2B">
        <w:rPr>
          <w:rFonts w:cs="Arial" w:hint="cs"/>
          <w:sz w:val="14"/>
          <w:szCs w:val="14"/>
          <w:rtl/>
        </w:rPr>
        <w:t>[פ"ח]</w:t>
      </w:r>
      <w:r w:rsidRPr="007739C2">
        <w:rPr>
          <w:rFonts w:cs="Arial" w:hint="cs"/>
          <w:sz w:val="16"/>
          <w:szCs w:val="16"/>
          <w:rtl/>
        </w:rPr>
        <w:t xml:space="preserve"> סי' ב)</w:t>
      </w:r>
      <w:r>
        <w:rPr>
          <w:rFonts w:cs="Arial" w:hint="cs"/>
          <w:rtl/>
        </w:rPr>
        <w:t xml:space="preserve"> וטור</w:t>
      </w:r>
      <w:r w:rsidRPr="00C12516">
        <w:rPr>
          <w:rFonts w:cs="Arial" w:hint="cs"/>
          <w:rtl/>
        </w:rPr>
        <w:t>-</w:t>
      </w:r>
      <w:r>
        <w:rPr>
          <w:rFonts w:cs="Arial" w:hint="cs"/>
          <w:rtl/>
        </w:rPr>
        <w:t xml:space="preserve"> </w:t>
      </w:r>
      <w:r w:rsidR="00E73D2B">
        <w:rPr>
          <w:rFonts w:cs="Arial" w:hint="cs"/>
          <w:rtl/>
        </w:rPr>
        <w:t>'</w:t>
      </w:r>
      <w:r w:rsidRPr="007739C2">
        <w:rPr>
          <w:rFonts w:cs="Arial"/>
          <w:rtl/>
        </w:rPr>
        <w:t xml:space="preserve">ההוא תורא דאלס ידיה דינוקא אתא לקמיה דרבא אמר להו זילו שיימוהו כעבדא. אמרו ליה רבנן האמר מר כל הנשום כעבד אין גובין אותו בבבל. אמר להו נפקא מינה </w:t>
      </w:r>
      <w:r w:rsidRPr="007739C2">
        <w:rPr>
          <w:rFonts w:cs="Arial"/>
          <w:b/>
          <w:bCs/>
          <w:rtl/>
        </w:rPr>
        <w:t>דאי</w:t>
      </w:r>
      <w:r w:rsidRPr="007739C2">
        <w:rPr>
          <w:rFonts w:cs="Arial"/>
          <w:rtl/>
        </w:rPr>
        <w:t xml:space="preserve"> תפס</w:t>
      </w:r>
      <w:r w:rsidR="00E73D2B">
        <w:rPr>
          <w:rFonts w:cs="Arial" w:hint="cs"/>
          <w:rtl/>
        </w:rPr>
        <w:t>'</w:t>
      </w:r>
      <w:r w:rsidRPr="007739C2">
        <w:rPr>
          <w:rFonts w:cs="Arial"/>
          <w:rtl/>
        </w:rPr>
        <w:t>. הכי גריס רב אלפס ז"ל</w:t>
      </w:r>
      <w:r>
        <w:rPr>
          <w:rFonts w:cs="Arial" w:hint="cs"/>
          <w:rtl/>
        </w:rPr>
        <w:t xml:space="preserve"> </w:t>
      </w:r>
      <w:r w:rsidRPr="007739C2">
        <w:rPr>
          <w:rFonts w:cs="Arial" w:hint="cs"/>
          <w:sz w:val="16"/>
          <w:szCs w:val="16"/>
          <w:rtl/>
        </w:rPr>
        <w:t>{וכן הג</w:t>
      </w:r>
      <w:r>
        <w:rPr>
          <w:rFonts w:cs="Arial" w:hint="cs"/>
          <w:sz w:val="16"/>
          <w:szCs w:val="16"/>
          <w:rtl/>
        </w:rPr>
        <w:t>י</w:t>
      </w:r>
      <w:r w:rsidRPr="007739C2">
        <w:rPr>
          <w:rFonts w:cs="Arial" w:hint="cs"/>
          <w:sz w:val="16"/>
          <w:szCs w:val="16"/>
          <w:rtl/>
        </w:rPr>
        <w:t>ר</w:t>
      </w:r>
      <w:r>
        <w:rPr>
          <w:rFonts w:cs="Arial" w:hint="cs"/>
          <w:sz w:val="16"/>
          <w:szCs w:val="16"/>
          <w:rtl/>
        </w:rPr>
        <w:t>'</w:t>
      </w:r>
      <w:r w:rsidRPr="007739C2">
        <w:rPr>
          <w:rFonts w:cs="Arial" w:hint="cs"/>
          <w:sz w:val="16"/>
          <w:szCs w:val="16"/>
          <w:rtl/>
        </w:rPr>
        <w:t xml:space="preserve"> לפנינו}</w:t>
      </w:r>
      <w:r w:rsidRPr="007739C2">
        <w:rPr>
          <w:rFonts w:cs="Arial"/>
          <w:rtl/>
        </w:rPr>
        <w:t xml:space="preserve"> והלשון משמע שצוה לשום מיד ונ"מ שאם יתפוס שידע כמה יש לו לתפוס. ולא נהירא דאין שמין כלל לגבות הנזק אלא אם תפס הניזק שמין ואומרים לניזק כך וכך תחזיר לו. וראיתי בספרים </w:t>
      </w:r>
      <w:r w:rsidR="00E73D2B">
        <w:rPr>
          <w:rFonts w:cs="Arial" w:hint="cs"/>
          <w:rtl/>
        </w:rPr>
        <w:t>'</w:t>
      </w:r>
      <w:r w:rsidRPr="007739C2">
        <w:rPr>
          <w:rFonts w:cs="Arial"/>
          <w:rtl/>
        </w:rPr>
        <w:t xml:space="preserve">אמר להו לא </w:t>
      </w:r>
      <w:r w:rsidRPr="007739C2">
        <w:rPr>
          <w:rFonts w:cs="Arial"/>
          <w:b/>
          <w:bCs/>
          <w:rtl/>
        </w:rPr>
        <w:t>אם</w:t>
      </w:r>
      <w:r w:rsidRPr="007739C2">
        <w:rPr>
          <w:rFonts w:cs="Arial"/>
          <w:rtl/>
        </w:rPr>
        <w:t xml:space="preserve"> תפס</w:t>
      </w:r>
      <w:r w:rsidR="00E73D2B">
        <w:rPr>
          <w:rFonts w:cs="Arial" w:hint="cs"/>
          <w:rtl/>
        </w:rPr>
        <w:t>'</w:t>
      </w:r>
      <w:r w:rsidRPr="007739C2">
        <w:rPr>
          <w:rFonts w:cs="Arial"/>
          <w:rtl/>
        </w:rPr>
        <w:t>. כלומר מה שאמרתי לשום היינו אי תפס לידע כמה יחזיר</w:t>
      </w:r>
      <w:r>
        <w:rPr>
          <w:rFonts w:cs="Arial" w:hint="cs"/>
          <w:sz w:val="16"/>
          <w:szCs w:val="16"/>
          <w:rtl/>
        </w:rPr>
        <w:t xml:space="preserve"> (ל' הרא"ש)</w:t>
      </w:r>
      <w:r w:rsidRPr="007739C2">
        <w:rPr>
          <w:rFonts w:cs="Arial"/>
          <w:rtl/>
        </w:rPr>
        <w:t>.</w:t>
      </w:r>
      <w:r w:rsidRPr="005306ED">
        <w:rPr>
          <w:rFonts w:hint="cs"/>
          <w:color w:val="00B0F0"/>
          <w:rtl/>
        </w:rPr>
        <w:t xml:space="preserve"> </w:t>
      </w:r>
      <w:r w:rsidRPr="00B403F4">
        <w:rPr>
          <w:rFonts w:hint="cs"/>
          <w:color w:val="00B0F0"/>
          <w:rtl/>
        </w:rPr>
        <w:t>(וכ"</w:t>
      </w:r>
      <w:r>
        <w:rPr>
          <w:rFonts w:hint="cs"/>
          <w:color w:val="00B0F0"/>
          <w:rtl/>
        </w:rPr>
        <w:t>פ</w:t>
      </w:r>
      <w:r w:rsidRPr="00B403F4">
        <w:rPr>
          <w:rFonts w:hint="cs"/>
          <w:color w:val="00B0F0"/>
          <w:rtl/>
        </w:rPr>
        <w:t xml:space="preserve"> הרמ"א)</w:t>
      </w:r>
    </w:p>
    <w:p w14:paraId="038665CE" w14:textId="77777777" w:rsidR="004A326E" w:rsidRPr="00140F66" w:rsidRDefault="00895371" w:rsidP="004A326E">
      <w:pPr>
        <w:rPr>
          <w:rFonts w:cs="Arial"/>
          <w:u w:val="single"/>
          <w:rtl/>
        </w:rPr>
      </w:pPr>
      <w:r>
        <w:rPr>
          <w:rFonts w:cs="Arial" w:hint="cs"/>
          <w:u w:val="single"/>
          <w:rtl/>
        </w:rPr>
        <w:t xml:space="preserve">האם בית דין נזקקים לקבל עדות על דברי שאינם יכולים לדון בו </w:t>
      </w:r>
      <w:r>
        <w:rPr>
          <w:rFonts w:cs="Arial" w:hint="cs"/>
          <w:sz w:val="16"/>
          <w:szCs w:val="16"/>
          <w:u w:val="single"/>
          <w:rtl/>
        </w:rPr>
        <w:t>(כגון דיני קנסות)</w:t>
      </w:r>
      <w:r w:rsidR="004A326E" w:rsidRPr="00140F66">
        <w:rPr>
          <w:rFonts w:cs="Arial" w:hint="cs"/>
          <w:u w:val="single"/>
          <w:rtl/>
        </w:rPr>
        <w:t>:</w:t>
      </w:r>
    </w:p>
    <w:p w14:paraId="55FC38D2" w14:textId="77777777" w:rsidR="004A326E" w:rsidRPr="00895371" w:rsidRDefault="004A326E" w:rsidP="004B0475">
      <w:pPr>
        <w:pStyle w:val="ac"/>
        <w:numPr>
          <w:ilvl w:val="0"/>
          <w:numId w:val="43"/>
        </w:numPr>
        <w:rPr>
          <w:rFonts w:cs="Arial"/>
          <w:rtl/>
        </w:rPr>
      </w:pPr>
      <w:r w:rsidRPr="00140F66">
        <w:rPr>
          <w:rFonts w:cs="Arial" w:hint="cs"/>
          <w:rtl/>
        </w:rPr>
        <w:t xml:space="preserve">רא"ש </w:t>
      </w:r>
      <w:r w:rsidRPr="00140F66">
        <w:rPr>
          <w:rFonts w:cs="Arial" w:hint="cs"/>
          <w:sz w:val="16"/>
          <w:szCs w:val="16"/>
          <w:rtl/>
        </w:rPr>
        <w:t>(ס</w:t>
      </w:r>
      <w:r w:rsidRPr="00140F66">
        <w:rPr>
          <w:rFonts w:cs="Arial"/>
          <w:sz w:val="16"/>
          <w:szCs w:val="16"/>
          <w:rtl/>
        </w:rPr>
        <w:t>פ</w:t>
      </w:r>
      <w:r w:rsidRPr="00140F66">
        <w:rPr>
          <w:rFonts w:cs="Arial" w:hint="cs"/>
          <w:sz w:val="16"/>
          <w:szCs w:val="16"/>
          <w:rtl/>
        </w:rPr>
        <w:t>"</w:t>
      </w:r>
      <w:r w:rsidRPr="00140F66">
        <w:rPr>
          <w:rFonts w:cs="Arial"/>
          <w:sz w:val="16"/>
          <w:szCs w:val="16"/>
          <w:rtl/>
        </w:rPr>
        <w:t>ק</w:t>
      </w:r>
      <w:r w:rsidRPr="00140F66">
        <w:rPr>
          <w:rFonts w:cs="Arial" w:hint="cs"/>
          <w:sz w:val="16"/>
          <w:szCs w:val="16"/>
          <w:rtl/>
        </w:rPr>
        <w:t xml:space="preserve"> </w:t>
      </w:r>
      <w:r>
        <w:rPr>
          <w:rFonts w:cs="Arial" w:hint="cs"/>
          <w:sz w:val="16"/>
          <w:szCs w:val="16"/>
          <w:rtl/>
        </w:rPr>
        <w:t>דב"ק</w:t>
      </w:r>
      <w:r w:rsidRPr="00140F66">
        <w:rPr>
          <w:rFonts w:cs="Arial"/>
          <w:sz w:val="16"/>
          <w:szCs w:val="16"/>
          <w:rtl/>
        </w:rPr>
        <w:t xml:space="preserve"> סי' כ)</w:t>
      </w:r>
      <w:r>
        <w:rPr>
          <w:rFonts w:cs="Arial" w:hint="cs"/>
          <w:rtl/>
        </w:rPr>
        <w:t xml:space="preserve"> וטור</w:t>
      </w:r>
      <w:r w:rsidRPr="00140F66">
        <w:rPr>
          <w:rFonts w:cs="Arial" w:hint="cs"/>
          <w:rtl/>
        </w:rPr>
        <w:t>-</w:t>
      </w:r>
      <w:r w:rsidRPr="00140F66">
        <w:rPr>
          <w:rFonts w:cs="Arial"/>
          <w:rtl/>
        </w:rPr>
        <w:t xml:space="preserve"> יראה לי שאם בא הניזק לפני בית דין ואמר</w:t>
      </w:r>
      <w:r w:rsidRPr="00140F66">
        <w:rPr>
          <w:rFonts w:cs="Arial" w:hint="cs"/>
          <w:rtl/>
        </w:rPr>
        <w:t xml:space="preserve"> '</w:t>
      </w:r>
      <w:r w:rsidRPr="00140F66">
        <w:rPr>
          <w:rFonts w:cs="Arial"/>
          <w:rtl/>
        </w:rPr>
        <w:t>קבלו עדותי שאם אתפוס ממונו היום או מחר שלא יוציאנו מידי</w:t>
      </w:r>
      <w:r w:rsidRPr="00140F66">
        <w:rPr>
          <w:rFonts w:cs="Arial" w:hint="cs"/>
          <w:rtl/>
        </w:rPr>
        <w:t>'</w:t>
      </w:r>
      <w:r w:rsidR="008F6FCF">
        <w:rPr>
          <w:rFonts w:cs="Arial" w:hint="cs"/>
          <w:rtl/>
        </w:rPr>
        <w:t xml:space="preserve"> -</w:t>
      </w:r>
      <w:r w:rsidRPr="00140F66">
        <w:rPr>
          <w:rFonts w:cs="Arial"/>
          <w:rtl/>
        </w:rPr>
        <w:t xml:space="preserve"> שאין בית דין נזקקין לקבל עדותו</w:t>
      </w:r>
      <w:r w:rsidR="008F6FCF">
        <w:rPr>
          <w:rFonts w:cs="Arial" w:hint="cs"/>
          <w:rtl/>
        </w:rPr>
        <w:t>,</w:t>
      </w:r>
      <w:r w:rsidRPr="00140F66">
        <w:rPr>
          <w:rFonts w:cs="Arial"/>
          <w:rtl/>
        </w:rPr>
        <w:t xml:space="preserve"> דכיון דאין דנין דיני קנסות בבבל גם אין נזקקין לקבל עדותו לזכותו אם יתפוס</w:t>
      </w:r>
      <w:r w:rsidRPr="00140F66">
        <w:rPr>
          <w:rFonts w:cs="Arial" w:hint="cs"/>
          <w:rtl/>
        </w:rPr>
        <w:t>,</w:t>
      </w:r>
      <w:r w:rsidRPr="00140F66">
        <w:rPr>
          <w:rFonts w:cs="Arial"/>
          <w:rtl/>
        </w:rPr>
        <w:t xml:space="preserve"> כדאמרינן דאין מועד בבבל דאין בית דין נזקקין לקבל העדאה אע</w:t>
      </w:r>
      <w:r w:rsidRPr="00140F66">
        <w:rPr>
          <w:rFonts w:cs="Arial" w:hint="cs"/>
          <w:rtl/>
        </w:rPr>
        <w:t>"</w:t>
      </w:r>
      <w:r w:rsidRPr="00140F66">
        <w:rPr>
          <w:rFonts w:cs="Arial"/>
          <w:rtl/>
        </w:rPr>
        <w:t>פ שאין בו עתה הוצאת ממון</w:t>
      </w:r>
      <w:r>
        <w:rPr>
          <w:rFonts w:cs="Arial" w:hint="cs"/>
          <w:rtl/>
        </w:rPr>
        <w:t>.</w:t>
      </w:r>
      <w:r w:rsidR="00E73D2B">
        <w:rPr>
          <w:rFonts w:cs="Arial" w:hint="cs"/>
          <w:rtl/>
        </w:rPr>
        <w:t xml:space="preserve"> </w:t>
      </w:r>
      <w:r w:rsidR="00E73D2B" w:rsidRPr="00895371">
        <w:rPr>
          <w:rFonts w:cs="Arial"/>
          <w:rtl/>
        </w:rPr>
        <w:t>אבל אם תפס הניזק ותבעו המזיק לדין</w:t>
      </w:r>
      <w:r w:rsidR="00E73D2B" w:rsidRPr="00895371">
        <w:rPr>
          <w:rFonts w:cs="Arial" w:hint="cs"/>
          <w:rtl/>
        </w:rPr>
        <w:t>,</w:t>
      </w:r>
      <w:r w:rsidR="00E73D2B" w:rsidRPr="00895371">
        <w:rPr>
          <w:rFonts w:cs="Arial"/>
          <w:rtl/>
        </w:rPr>
        <w:t xml:space="preserve"> </w:t>
      </w:r>
      <w:r w:rsidRPr="00895371">
        <w:rPr>
          <w:rFonts w:cs="Arial"/>
          <w:rtl/>
        </w:rPr>
        <w:t>אמרינן לניזק שיביא עדים</w:t>
      </w:r>
      <w:r w:rsidR="00E73D2B" w:rsidRPr="00895371">
        <w:rPr>
          <w:rFonts w:cs="Arial" w:hint="cs"/>
          <w:rtl/>
        </w:rPr>
        <w:t>,</w:t>
      </w:r>
      <w:r w:rsidRPr="00895371">
        <w:rPr>
          <w:rFonts w:cs="Arial"/>
          <w:rtl/>
        </w:rPr>
        <w:t xml:space="preserve"> ואם יראה לדיינים שבדין תפס</w:t>
      </w:r>
      <w:r w:rsidR="00E73D2B" w:rsidRPr="00895371">
        <w:rPr>
          <w:rFonts w:cs="Arial" w:hint="cs"/>
          <w:rtl/>
        </w:rPr>
        <w:t xml:space="preserve"> -</w:t>
      </w:r>
      <w:r w:rsidRPr="00895371">
        <w:rPr>
          <w:rFonts w:cs="Arial"/>
          <w:rtl/>
        </w:rPr>
        <w:t xml:space="preserve"> אומרים למזיק </w:t>
      </w:r>
      <w:r w:rsidR="00E73D2B" w:rsidRPr="00895371">
        <w:rPr>
          <w:rFonts w:cs="Arial" w:hint="cs"/>
          <w:rtl/>
        </w:rPr>
        <w:t>'</w:t>
      </w:r>
      <w:r w:rsidRPr="00895371">
        <w:rPr>
          <w:rFonts w:cs="Arial"/>
          <w:rtl/>
        </w:rPr>
        <w:t>אין אנו אומרים ודנים לחייבך קנס אבל אם תרצה לפדות מה שתפש ממך תן לו כך וכך ממון</w:t>
      </w:r>
      <w:r w:rsidR="00E73D2B" w:rsidRPr="00895371">
        <w:rPr>
          <w:rFonts w:cs="Arial" w:hint="cs"/>
          <w:rtl/>
        </w:rPr>
        <w:t>'</w:t>
      </w:r>
      <w:r w:rsidRPr="00895371">
        <w:rPr>
          <w:rFonts w:cs="Arial"/>
          <w:rtl/>
        </w:rPr>
        <w:t xml:space="preserve"> דהכי אמור רבנן </w:t>
      </w:r>
      <w:r w:rsidRPr="00895371">
        <w:rPr>
          <w:rFonts w:cs="Arial"/>
          <w:sz w:val="16"/>
          <w:szCs w:val="16"/>
          <w:rtl/>
        </w:rPr>
        <w:t xml:space="preserve">(ב"ק טו:, כתובות מא:) </w:t>
      </w:r>
      <w:r w:rsidRPr="00895371">
        <w:rPr>
          <w:rFonts w:cs="Arial"/>
          <w:rtl/>
        </w:rPr>
        <w:t>אי תפיס לא מפקינן מיניה</w:t>
      </w:r>
      <w:r w:rsidR="00E73D2B" w:rsidRPr="00895371">
        <w:rPr>
          <w:rFonts w:cs="Arial" w:hint="cs"/>
          <w:rtl/>
        </w:rPr>
        <w:t>.</w:t>
      </w:r>
      <w:r w:rsidRPr="00895371">
        <w:rPr>
          <w:rFonts w:cs="Arial"/>
          <w:rtl/>
        </w:rPr>
        <w:t xml:space="preserve"> ואם תפס יותר אמרינן לו להחזיר המותר</w:t>
      </w:r>
      <w:r w:rsidR="00E73D2B" w:rsidRPr="00895371">
        <w:rPr>
          <w:rFonts w:cs="Arial" w:hint="cs"/>
          <w:rtl/>
        </w:rPr>
        <w:t>.</w:t>
      </w:r>
      <w:r w:rsidRPr="00895371">
        <w:rPr>
          <w:rFonts w:cs="Arial"/>
          <w:rtl/>
        </w:rPr>
        <w:t xml:space="preserve"> ואם לא הביא עדים שראוי לזכות בהם אומרים לו שיחזיר מה שתפס</w:t>
      </w:r>
      <w:r w:rsidRPr="00895371">
        <w:rPr>
          <w:rFonts w:cs="Arial" w:hint="cs"/>
          <w:sz w:val="16"/>
          <w:szCs w:val="16"/>
          <w:rtl/>
        </w:rPr>
        <w:t xml:space="preserve"> (ל' הרא"ש)</w:t>
      </w:r>
      <w:r w:rsidRPr="00895371">
        <w:rPr>
          <w:rFonts w:cs="Arial" w:hint="cs"/>
          <w:rtl/>
        </w:rPr>
        <w:t>.</w:t>
      </w:r>
    </w:p>
    <w:p w14:paraId="481CB7D7" w14:textId="77777777" w:rsidR="004A326E" w:rsidRPr="008D6CC7" w:rsidRDefault="00895371" w:rsidP="004A326E">
      <w:pPr>
        <w:rPr>
          <w:rFonts w:cs="Arial"/>
          <w:u w:val="single"/>
          <w:rtl/>
        </w:rPr>
      </w:pPr>
      <w:r>
        <w:rPr>
          <w:rFonts w:cs="Arial" w:hint="cs"/>
          <w:u w:val="single"/>
          <w:rtl/>
        </w:rPr>
        <w:t>מזיק שהודה בהיזקו קודם/לאחר שהניזק תפס</w:t>
      </w:r>
      <w:r w:rsidR="004A326E" w:rsidRPr="008D6CC7">
        <w:rPr>
          <w:rFonts w:cs="Arial" w:hint="cs"/>
          <w:u w:val="single"/>
          <w:rtl/>
        </w:rPr>
        <w:t>:</w:t>
      </w:r>
    </w:p>
    <w:p w14:paraId="10C58DFF" w14:textId="77777777" w:rsidR="004A326E" w:rsidRPr="008D6CC7" w:rsidRDefault="004A326E" w:rsidP="004B0475">
      <w:pPr>
        <w:pStyle w:val="ac"/>
        <w:numPr>
          <w:ilvl w:val="0"/>
          <w:numId w:val="43"/>
        </w:numPr>
        <w:rPr>
          <w:rFonts w:cs="Arial"/>
          <w:rtl/>
        </w:rPr>
      </w:pPr>
      <w:r w:rsidRPr="008D6CC7">
        <w:rPr>
          <w:rFonts w:cs="Arial" w:hint="cs"/>
          <w:rtl/>
        </w:rPr>
        <w:t xml:space="preserve">ראב"ד </w:t>
      </w:r>
      <w:r w:rsidRPr="008D6CC7">
        <w:rPr>
          <w:rFonts w:cs="Arial"/>
          <w:sz w:val="16"/>
          <w:szCs w:val="16"/>
          <w:rtl/>
        </w:rPr>
        <w:t>(כתובות יד:</w:t>
      </w:r>
      <w:r w:rsidRPr="008D6CC7">
        <w:rPr>
          <w:rFonts w:cs="Arial" w:hint="cs"/>
          <w:sz w:val="16"/>
          <w:szCs w:val="16"/>
          <w:rtl/>
        </w:rPr>
        <w:t xml:space="preserve">, הביאו דבריו הרא"ש [פ"ק </w:t>
      </w:r>
      <w:r>
        <w:rPr>
          <w:rFonts w:cs="Arial" w:hint="cs"/>
          <w:sz w:val="16"/>
          <w:szCs w:val="16"/>
          <w:rtl/>
        </w:rPr>
        <w:t>דב"ק</w:t>
      </w:r>
      <w:r w:rsidRPr="008D6CC7">
        <w:rPr>
          <w:rFonts w:cs="Arial" w:hint="cs"/>
          <w:sz w:val="16"/>
          <w:szCs w:val="16"/>
          <w:rtl/>
        </w:rPr>
        <w:t xml:space="preserve"> סי' כ] והטור</w:t>
      </w:r>
      <w:r w:rsidRPr="008D6CC7">
        <w:rPr>
          <w:rFonts w:cs="Arial"/>
          <w:sz w:val="16"/>
          <w:szCs w:val="16"/>
          <w:rtl/>
        </w:rPr>
        <w:t>)</w:t>
      </w:r>
      <w:r w:rsidRPr="008D6CC7">
        <w:rPr>
          <w:rFonts w:cs="Arial" w:hint="cs"/>
          <w:rtl/>
        </w:rPr>
        <w:t xml:space="preserve">- </w:t>
      </w:r>
      <w:r w:rsidRPr="008D6CC7">
        <w:rPr>
          <w:rFonts w:cs="Arial"/>
          <w:rtl/>
        </w:rPr>
        <w:t>אם הודה ואח"כ באו עדי</w:t>
      </w:r>
      <w:r>
        <w:rPr>
          <w:rFonts w:cs="Arial" w:hint="cs"/>
          <w:rtl/>
        </w:rPr>
        <w:t>ם</w:t>
      </w:r>
      <w:r w:rsidRPr="008D6CC7">
        <w:rPr>
          <w:rFonts w:cs="Arial"/>
          <w:rtl/>
        </w:rPr>
        <w:t xml:space="preserve"> קי"ל כרב דאמר מודה בקנס ואח"כ באו עדים </w:t>
      </w:r>
      <w:r w:rsidR="008F6FCF">
        <w:rPr>
          <w:rFonts w:cs="Arial" w:hint="cs"/>
          <w:rtl/>
        </w:rPr>
        <w:t xml:space="preserve">- </w:t>
      </w:r>
      <w:r w:rsidRPr="008D6CC7">
        <w:rPr>
          <w:rFonts w:cs="Arial"/>
          <w:rtl/>
        </w:rPr>
        <w:t>פטור ואי תפש מפקינן מיניה</w:t>
      </w:r>
      <w:r w:rsidR="008F6FCF">
        <w:rPr>
          <w:rFonts w:cs="Arial" w:hint="cs"/>
          <w:rtl/>
        </w:rPr>
        <w:t>.</w:t>
      </w:r>
      <w:r w:rsidRPr="008D6CC7">
        <w:rPr>
          <w:rFonts w:cs="Arial"/>
          <w:rtl/>
        </w:rPr>
        <w:t xml:space="preserve"> ואי תפיש קמי הודאה ואח"כ הודה </w:t>
      </w:r>
      <w:r w:rsidR="008F6FCF">
        <w:rPr>
          <w:rFonts w:cs="Arial" w:hint="cs"/>
          <w:rtl/>
        </w:rPr>
        <w:t xml:space="preserve">- </w:t>
      </w:r>
      <w:r w:rsidRPr="008D6CC7">
        <w:rPr>
          <w:rFonts w:cs="Arial"/>
          <w:rtl/>
        </w:rPr>
        <w:t>מפקינן מיניה ולא אמרינן דתפישה דקמי הודאה כעדים דמיא</w:t>
      </w:r>
      <w:r w:rsidRPr="008D6CC7">
        <w:rPr>
          <w:rFonts w:cs="Arial" w:hint="cs"/>
          <w:rtl/>
        </w:rPr>
        <w:t>.</w:t>
      </w:r>
    </w:p>
    <w:p w14:paraId="05E52FC7" w14:textId="77777777" w:rsidR="004A326E" w:rsidRDefault="004A326E" w:rsidP="004B0475">
      <w:pPr>
        <w:pStyle w:val="ac"/>
        <w:numPr>
          <w:ilvl w:val="0"/>
          <w:numId w:val="43"/>
        </w:numPr>
        <w:rPr>
          <w:rtl/>
        </w:rPr>
      </w:pPr>
      <w:r w:rsidRPr="008D6CC7">
        <w:rPr>
          <w:rFonts w:cs="Arial"/>
          <w:rtl/>
        </w:rPr>
        <w:lastRenderedPageBreak/>
        <w:t xml:space="preserve">רמב"ן </w:t>
      </w:r>
      <w:r w:rsidR="008F6FCF">
        <w:rPr>
          <w:rFonts w:cs="Arial" w:hint="cs"/>
          <w:rtl/>
        </w:rPr>
        <w:t xml:space="preserve">רא"ש </w:t>
      </w:r>
      <w:r w:rsidR="00335685">
        <w:rPr>
          <w:rFonts w:cs="Arial" w:hint="cs"/>
          <w:rtl/>
        </w:rPr>
        <w:t xml:space="preserve">טור </w:t>
      </w:r>
      <w:r>
        <w:rPr>
          <w:rFonts w:cs="Arial" w:hint="cs"/>
          <w:rtl/>
        </w:rPr>
        <w:t>ונמוק"י</w:t>
      </w:r>
      <w:r w:rsidR="00335685">
        <w:rPr>
          <w:rStyle w:val="ab"/>
          <w:rFonts w:cs="Arial"/>
          <w:rtl/>
        </w:rPr>
        <w:footnoteReference w:id="81"/>
      </w:r>
      <w:r w:rsidRPr="008D6CC7">
        <w:rPr>
          <w:rFonts w:cs="Arial" w:hint="cs"/>
          <w:rtl/>
        </w:rPr>
        <w:t xml:space="preserve">- </w:t>
      </w:r>
      <w:r>
        <w:rPr>
          <w:rStyle w:val="ab"/>
          <w:rFonts w:cs="Arial"/>
          <w:rtl/>
        </w:rPr>
        <w:footnoteReference w:id="82"/>
      </w:r>
      <w:r w:rsidRPr="008D6CC7">
        <w:rPr>
          <w:rFonts w:cs="Arial"/>
          <w:rtl/>
        </w:rPr>
        <w:t>אי תפש לא מפקינן מיניה בין תפש מקמי הודאה או אחר הודאה</w:t>
      </w:r>
      <w:r>
        <w:rPr>
          <w:rFonts w:cs="Arial" w:hint="cs"/>
          <w:sz w:val="16"/>
          <w:szCs w:val="16"/>
          <w:rtl/>
        </w:rPr>
        <w:t xml:space="preserve"> (ל' הטור בשם הרמב"ן)</w:t>
      </w:r>
      <w:r w:rsidRPr="008D6CC7">
        <w:rPr>
          <w:rFonts w:cs="Arial" w:hint="cs"/>
          <w:rtl/>
        </w:rPr>
        <w:t>.</w:t>
      </w:r>
      <w:r>
        <w:rPr>
          <w:rFonts w:hint="cs"/>
          <w:rtl/>
        </w:rPr>
        <w:t xml:space="preserve"> </w:t>
      </w:r>
      <w:r w:rsidR="00C50DF0">
        <w:rPr>
          <w:rFonts w:cs="Arial" w:hint="cs"/>
          <w:rtl/>
        </w:rPr>
        <w:t xml:space="preserve">(וכ"פ </w:t>
      </w:r>
      <w:r w:rsidR="00C50DF0" w:rsidRPr="00DB2EB2">
        <w:rPr>
          <w:rFonts w:cs="Arial" w:hint="cs"/>
          <w:rtl/>
        </w:rPr>
        <w:t>סמ"ע</w:t>
      </w:r>
      <w:r w:rsidR="00335685">
        <w:rPr>
          <w:rStyle w:val="ab"/>
          <w:rFonts w:cs="Arial"/>
          <w:rtl/>
        </w:rPr>
        <w:footnoteReference w:id="83"/>
      </w:r>
      <w:r w:rsidR="00C50DF0" w:rsidRPr="00DB2EB2">
        <w:rPr>
          <w:rFonts w:cs="Arial" w:hint="cs"/>
          <w:sz w:val="16"/>
          <w:szCs w:val="16"/>
          <w:rtl/>
        </w:rPr>
        <w:t xml:space="preserve"> </w:t>
      </w:r>
      <w:r w:rsidR="00C50DF0">
        <w:rPr>
          <w:rFonts w:cs="Arial" w:hint="cs"/>
          <w:sz w:val="16"/>
          <w:szCs w:val="16"/>
          <w:rtl/>
        </w:rPr>
        <w:t>[</w:t>
      </w:r>
      <w:r w:rsidR="00C50DF0" w:rsidRPr="00DB2EB2">
        <w:rPr>
          <w:rFonts w:cs="Arial" w:hint="cs"/>
          <w:sz w:val="16"/>
          <w:szCs w:val="16"/>
          <w:rtl/>
        </w:rPr>
        <w:t>סקי"ח</w:t>
      </w:r>
      <w:r w:rsidR="00C50DF0">
        <w:rPr>
          <w:rFonts w:cs="Arial" w:hint="cs"/>
          <w:sz w:val="16"/>
          <w:szCs w:val="16"/>
          <w:rtl/>
        </w:rPr>
        <w:t>]</w:t>
      </w:r>
      <w:r w:rsidR="00335685">
        <w:rPr>
          <w:rFonts w:cs="Arial" w:hint="cs"/>
          <w:rtl/>
        </w:rPr>
        <w:t xml:space="preserve"> וש"ך</w:t>
      </w:r>
      <w:r w:rsidR="00B14269">
        <w:rPr>
          <w:rStyle w:val="ab"/>
          <w:rFonts w:cs="Arial"/>
          <w:rtl/>
        </w:rPr>
        <w:footnoteReference w:id="84"/>
      </w:r>
      <w:r w:rsidR="00335685">
        <w:rPr>
          <w:rFonts w:cs="Arial" w:hint="cs"/>
          <w:rtl/>
        </w:rPr>
        <w:t xml:space="preserve"> </w:t>
      </w:r>
      <w:r w:rsidR="00335685">
        <w:rPr>
          <w:rFonts w:cs="Arial" w:hint="cs"/>
          <w:sz w:val="16"/>
          <w:szCs w:val="16"/>
          <w:rtl/>
        </w:rPr>
        <w:t>[</w:t>
      </w:r>
      <w:r w:rsidR="00335685" w:rsidRPr="00DB2EB2">
        <w:rPr>
          <w:rFonts w:cs="Arial" w:hint="cs"/>
          <w:sz w:val="16"/>
          <w:szCs w:val="16"/>
          <w:rtl/>
        </w:rPr>
        <w:t>סק</w:t>
      </w:r>
      <w:r w:rsidR="00335685">
        <w:rPr>
          <w:rFonts w:cs="Arial" w:hint="cs"/>
          <w:sz w:val="16"/>
          <w:szCs w:val="16"/>
          <w:rtl/>
        </w:rPr>
        <w:t>ט"ז]</w:t>
      </w:r>
      <w:r w:rsidR="00C50DF0">
        <w:rPr>
          <w:rFonts w:cs="Arial" w:hint="cs"/>
          <w:rtl/>
        </w:rPr>
        <w:t>)</w:t>
      </w:r>
    </w:p>
    <w:p w14:paraId="4466AB5A" w14:textId="77777777" w:rsidR="004A326E" w:rsidRDefault="004A326E" w:rsidP="004A326E">
      <w:pPr>
        <w:rPr>
          <w:rFonts w:cs="Arial"/>
          <w:rtl/>
        </w:rPr>
      </w:pPr>
      <w:r w:rsidRPr="007B1B89">
        <w:rPr>
          <w:rFonts w:cs="Arial" w:hint="cs"/>
          <w:u w:val="single"/>
          <w:rtl/>
        </w:rPr>
        <w:t>נידוי המזיק עד שישלם לניזק:</w:t>
      </w:r>
    </w:p>
    <w:p w14:paraId="31C86F2B" w14:textId="77777777" w:rsidR="004A326E" w:rsidRPr="00F370C0" w:rsidRDefault="004A326E" w:rsidP="004B0475">
      <w:pPr>
        <w:pStyle w:val="ac"/>
        <w:numPr>
          <w:ilvl w:val="0"/>
          <w:numId w:val="44"/>
        </w:numPr>
        <w:rPr>
          <w:rFonts w:cs="Arial"/>
          <w:rtl/>
        </w:rPr>
      </w:pPr>
      <w:r w:rsidRPr="00F370C0">
        <w:rPr>
          <w:rFonts w:cs="Arial" w:hint="cs"/>
          <w:rtl/>
        </w:rPr>
        <w:t xml:space="preserve">רי"ף </w:t>
      </w:r>
      <w:r w:rsidRPr="00F370C0">
        <w:rPr>
          <w:rFonts w:cs="Arial"/>
          <w:sz w:val="16"/>
          <w:szCs w:val="16"/>
          <w:rtl/>
        </w:rPr>
        <w:t>(ל:</w:t>
      </w:r>
      <w:r>
        <w:rPr>
          <w:rFonts w:cs="Arial" w:hint="cs"/>
          <w:sz w:val="16"/>
          <w:szCs w:val="16"/>
          <w:rtl/>
        </w:rPr>
        <w:t xml:space="preserve">, הביאו הרא"ש </w:t>
      </w:r>
      <w:r w:rsidR="00292D36">
        <w:rPr>
          <w:rFonts w:cs="Arial" w:hint="cs"/>
          <w:sz w:val="16"/>
          <w:szCs w:val="16"/>
          <w:rtl/>
        </w:rPr>
        <w:t xml:space="preserve">[פ"ח סי' ב] </w:t>
      </w:r>
      <w:r>
        <w:rPr>
          <w:rFonts w:cs="Arial" w:hint="cs"/>
          <w:sz w:val="16"/>
          <w:szCs w:val="16"/>
          <w:rtl/>
        </w:rPr>
        <w:t>והטור דבריו</w:t>
      </w:r>
      <w:r w:rsidRPr="00F370C0">
        <w:rPr>
          <w:rFonts w:cs="Arial"/>
          <w:sz w:val="16"/>
          <w:szCs w:val="16"/>
          <w:rtl/>
        </w:rPr>
        <w:t>)</w:t>
      </w:r>
      <w:r w:rsidRPr="00F370C0">
        <w:rPr>
          <w:rFonts w:cs="Arial" w:hint="cs"/>
          <w:sz w:val="16"/>
          <w:szCs w:val="16"/>
          <w:rtl/>
        </w:rPr>
        <w:t xml:space="preserve"> </w:t>
      </w:r>
      <w:r w:rsidRPr="00F370C0">
        <w:rPr>
          <w:rFonts w:cs="Arial" w:hint="cs"/>
          <w:rtl/>
        </w:rPr>
        <w:t xml:space="preserve">ראב"ד </w:t>
      </w:r>
      <w:r w:rsidR="00292D36">
        <w:rPr>
          <w:rFonts w:cs="Arial" w:hint="cs"/>
          <w:sz w:val="16"/>
          <w:szCs w:val="16"/>
          <w:rtl/>
        </w:rPr>
        <w:t>(הביאו הרא"ש [פ"ק סי' כ])</w:t>
      </w:r>
      <w:r w:rsidR="00292D36" w:rsidRPr="00F370C0">
        <w:rPr>
          <w:rFonts w:cs="Arial" w:hint="cs"/>
          <w:rtl/>
        </w:rPr>
        <w:t xml:space="preserve"> </w:t>
      </w:r>
      <w:r w:rsidRPr="00F370C0">
        <w:rPr>
          <w:rFonts w:cs="Arial" w:hint="cs"/>
          <w:rtl/>
        </w:rPr>
        <w:t>ורמב"ם</w:t>
      </w:r>
      <w:r w:rsidRPr="00F370C0">
        <w:rPr>
          <w:rFonts w:cs="Arial" w:hint="cs"/>
          <w:sz w:val="16"/>
          <w:szCs w:val="16"/>
          <w:rtl/>
        </w:rPr>
        <w:t xml:space="preserve"> (</w:t>
      </w:r>
      <w:r w:rsidRPr="00F370C0">
        <w:rPr>
          <w:rFonts w:cs="Arial"/>
          <w:sz w:val="16"/>
          <w:szCs w:val="16"/>
          <w:rtl/>
        </w:rPr>
        <w:t>פ"ה מהל</w:t>
      </w:r>
      <w:r w:rsidRPr="00F370C0">
        <w:rPr>
          <w:rFonts w:cs="Arial" w:hint="cs"/>
          <w:sz w:val="16"/>
          <w:szCs w:val="16"/>
          <w:rtl/>
        </w:rPr>
        <w:t>'</w:t>
      </w:r>
      <w:r w:rsidRPr="00F370C0">
        <w:rPr>
          <w:rFonts w:cs="Arial"/>
          <w:sz w:val="16"/>
          <w:szCs w:val="16"/>
          <w:rtl/>
        </w:rPr>
        <w:t xml:space="preserve"> סנהדרין הי"ז)</w:t>
      </w:r>
      <w:r w:rsidRPr="00F370C0">
        <w:rPr>
          <w:rFonts w:cs="Arial" w:hint="cs"/>
          <w:rtl/>
        </w:rPr>
        <w:t xml:space="preserve">- </w:t>
      </w:r>
      <w:r w:rsidRPr="00F370C0">
        <w:rPr>
          <w:rFonts w:cs="Arial"/>
          <w:rtl/>
        </w:rPr>
        <w:t>מנהג ב' ישיבות אע</w:t>
      </w:r>
      <w:r w:rsidRPr="00F370C0">
        <w:rPr>
          <w:rFonts w:cs="Arial" w:hint="cs"/>
          <w:rtl/>
        </w:rPr>
        <w:t>"</w:t>
      </w:r>
      <w:r w:rsidRPr="00F370C0">
        <w:rPr>
          <w:rFonts w:cs="Arial"/>
          <w:rtl/>
        </w:rPr>
        <w:t>פ שאין גובין קנס מנדינן ליה עד שיפייס לחבריה</w:t>
      </w:r>
      <w:r w:rsidR="007F1E5D">
        <w:rPr>
          <w:rFonts w:cs="Arial" w:hint="cs"/>
          <w:rtl/>
        </w:rPr>
        <w:t>,</w:t>
      </w:r>
      <w:r w:rsidRPr="00F370C0">
        <w:rPr>
          <w:rFonts w:cs="Arial"/>
          <w:rtl/>
        </w:rPr>
        <w:t xml:space="preserve"> וכדיהיב שיעור מה דחזי למיתב ליה שרינן ליה לאלתר בין איפייס מרי דיניה או לא איפייס</w:t>
      </w:r>
      <w:r>
        <w:rPr>
          <w:rStyle w:val="ab"/>
          <w:rFonts w:cs="Arial"/>
          <w:rtl/>
        </w:rPr>
        <w:footnoteReference w:id="85"/>
      </w:r>
      <w:r w:rsidRPr="00F370C0">
        <w:rPr>
          <w:rFonts w:cs="Arial" w:hint="cs"/>
          <w:sz w:val="16"/>
          <w:szCs w:val="16"/>
          <w:rtl/>
        </w:rPr>
        <w:t xml:space="preserve"> (ל' הטור בשם הרי"ף)</w:t>
      </w:r>
      <w:r w:rsidRPr="00F370C0">
        <w:rPr>
          <w:rFonts w:cs="Arial" w:hint="cs"/>
          <w:rtl/>
        </w:rPr>
        <w:t>.</w:t>
      </w:r>
      <w:r w:rsidRPr="00F370C0">
        <w:rPr>
          <w:rFonts w:cs="Arial"/>
          <w:rtl/>
        </w:rPr>
        <w:t xml:space="preserve"> </w:t>
      </w:r>
      <w:r w:rsidRPr="005306ED">
        <w:rPr>
          <w:rFonts w:cs="Arial" w:hint="cs"/>
          <w:color w:val="E36C0A" w:themeColor="accent6" w:themeShade="BF"/>
          <w:rtl/>
        </w:rPr>
        <w:t>(וכ"פ בשו"ע)</w:t>
      </w:r>
      <w:r w:rsidR="007F1E5D">
        <w:rPr>
          <w:rFonts w:cs="Arial" w:hint="cs"/>
          <w:rtl/>
        </w:rPr>
        <w:t xml:space="preserve"> (וכ"פ בדרכ"מ</w:t>
      </w:r>
      <w:r w:rsidR="007F1E5D">
        <w:rPr>
          <w:rStyle w:val="ab"/>
          <w:rFonts w:cs="Arial"/>
          <w:rtl/>
        </w:rPr>
        <w:footnoteReference w:id="86"/>
      </w:r>
      <w:r w:rsidR="007F1E5D">
        <w:rPr>
          <w:rFonts w:cs="Arial" w:hint="cs"/>
          <w:sz w:val="16"/>
          <w:szCs w:val="16"/>
          <w:rtl/>
        </w:rPr>
        <w:t xml:space="preserve"> [אות ז]</w:t>
      </w:r>
      <w:r w:rsidR="007F1E5D">
        <w:rPr>
          <w:rFonts w:cs="Arial" w:hint="cs"/>
          <w:rtl/>
        </w:rPr>
        <w:t>)</w:t>
      </w:r>
    </w:p>
    <w:p w14:paraId="715D856E" w14:textId="77777777" w:rsidR="004A326E" w:rsidRDefault="004A326E" w:rsidP="004B0475">
      <w:pPr>
        <w:pStyle w:val="ac"/>
        <w:numPr>
          <w:ilvl w:val="0"/>
          <w:numId w:val="44"/>
        </w:numPr>
        <w:rPr>
          <w:rtl/>
        </w:rPr>
      </w:pPr>
      <w:r w:rsidRPr="00F370C0">
        <w:rPr>
          <w:rFonts w:cs="Arial" w:hint="cs"/>
          <w:rtl/>
        </w:rPr>
        <w:t xml:space="preserve">רא"ש </w:t>
      </w:r>
      <w:r w:rsidRPr="00F370C0">
        <w:rPr>
          <w:rFonts w:cs="Arial"/>
          <w:sz w:val="16"/>
          <w:szCs w:val="16"/>
          <w:rtl/>
        </w:rPr>
        <w:t>(</w:t>
      </w:r>
      <w:r w:rsidRPr="00F370C0">
        <w:rPr>
          <w:rFonts w:cs="Arial" w:hint="cs"/>
          <w:sz w:val="16"/>
          <w:szCs w:val="16"/>
          <w:rtl/>
        </w:rPr>
        <w:t xml:space="preserve">פ"ק דב"ק </w:t>
      </w:r>
      <w:r w:rsidRPr="00F370C0">
        <w:rPr>
          <w:rFonts w:cs="Arial"/>
          <w:sz w:val="16"/>
          <w:szCs w:val="16"/>
          <w:rtl/>
        </w:rPr>
        <w:t>סי' כ)</w:t>
      </w:r>
      <w:r w:rsidRPr="00F370C0">
        <w:rPr>
          <w:rFonts w:cs="Arial" w:hint="cs"/>
          <w:rtl/>
        </w:rPr>
        <w:t xml:space="preserve">- </w:t>
      </w:r>
      <w:r w:rsidRPr="00F370C0">
        <w:rPr>
          <w:rFonts w:cs="Arial"/>
          <w:rtl/>
        </w:rPr>
        <w:t>אין לך גוביינא גדולה מזו דמשמתינן ליה</w:t>
      </w:r>
      <w:r>
        <w:rPr>
          <w:rStyle w:val="ab"/>
          <w:rFonts w:cs="Arial"/>
          <w:rtl/>
        </w:rPr>
        <w:footnoteReference w:id="87"/>
      </w:r>
      <w:r w:rsidRPr="00F370C0">
        <w:rPr>
          <w:rFonts w:cs="Arial"/>
          <w:rtl/>
        </w:rPr>
        <w:t xml:space="preserve"> דלנקטיה בכובסיה עד דשבק לגלימיה</w:t>
      </w:r>
      <w:r w:rsidRPr="00F370C0">
        <w:rPr>
          <w:rFonts w:cs="Arial" w:hint="cs"/>
          <w:rtl/>
        </w:rPr>
        <w:t>.</w:t>
      </w:r>
    </w:p>
    <w:p w14:paraId="2BD4D1BC" w14:textId="77777777" w:rsidR="004A326E" w:rsidRPr="007F1E5D" w:rsidRDefault="007F1E5D" w:rsidP="007F1E5D">
      <w:pPr>
        <w:ind w:left="360"/>
        <w:rPr>
          <w:rFonts w:cs="Arial"/>
          <w:u w:val="dotted"/>
          <w:rtl/>
        </w:rPr>
      </w:pPr>
      <w:r w:rsidRPr="007F1E5D">
        <w:rPr>
          <w:rFonts w:cs="Arial" w:hint="cs"/>
          <w:u w:val="dotted"/>
          <w:rtl/>
        </w:rPr>
        <w:t xml:space="preserve">לרי"ף וסיעתו </w:t>
      </w:r>
      <w:r w:rsidRPr="007F1E5D">
        <w:rPr>
          <w:rFonts w:cs="Arial"/>
          <w:u w:val="dotted"/>
          <w:rtl/>
        </w:rPr>
        <w:t>–</w:t>
      </w:r>
      <w:r w:rsidRPr="007F1E5D">
        <w:rPr>
          <w:rFonts w:cs="Arial" w:hint="cs"/>
          <w:u w:val="dotted"/>
          <w:rtl/>
        </w:rPr>
        <w:t xml:space="preserve"> איך פוסקים כמה ממון צריך לתת כדי שית</w:t>
      </w:r>
      <w:r>
        <w:rPr>
          <w:rFonts w:cs="Arial" w:hint="cs"/>
          <w:u w:val="dotted"/>
          <w:rtl/>
        </w:rPr>
        <w:t>י</w:t>
      </w:r>
      <w:r w:rsidRPr="007F1E5D">
        <w:rPr>
          <w:rFonts w:cs="Arial" w:hint="cs"/>
          <w:u w:val="dotted"/>
          <w:rtl/>
        </w:rPr>
        <w:t>רו לו נידויו</w:t>
      </w:r>
      <w:r w:rsidR="004A326E" w:rsidRPr="007F1E5D">
        <w:rPr>
          <w:rFonts w:cs="Arial" w:hint="cs"/>
          <w:sz w:val="16"/>
          <w:szCs w:val="16"/>
          <w:u w:val="dotted"/>
          <w:rtl/>
        </w:rPr>
        <w:t xml:space="preserve"> (שהרי רק סמוכים יכולים לפסוק כמה צריך לשלם)</w:t>
      </w:r>
      <w:r w:rsidR="004A326E" w:rsidRPr="007F1E5D">
        <w:rPr>
          <w:rFonts w:cs="Arial" w:hint="cs"/>
          <w:u w:val="dotted"/>
          <w:rtl/>
        </w:rPr>
        <w:t>:</w:t>
      </w:r>
    </w:p>
    <w:p w14:paraId="1E7EEE0B" w14:textId="77777777" w:rsidR="004A326E" w:rsidRDefault="004A326E" w:rsidP="004B0475">
      <w:pPr>
        <w:pStyle w:val="ac"/>
        <w:numPr>
          <w:ilvl w:val="0"/>
          <w:numId w:val="45"/>
        </w:numPr>
      </w:pPr>
      <w:r w:rsidRPr="009F6F53">
        <w:rPr>
          <w:rFonts w:cs="Arial"/>
          <w:rtl/>
        </w:rPr>
        <w:t>רב שרירא גאון</w:t>
      </w:r>
      <w:r w:rsidRPr="009F6F53">
        <w:rPr>
          <w:rFonts w:cs="Arial"/>
          <w:sz w:val="16"/>
          <w:szCs w:val="16"/>
          <w:rtl/>
        </w:rPr>
        <w:t xml:space="preserve"> </w:t>
      </w:r>
      <w:r w:rsidRPr="009F6F53">
        <w:rPr>
          <w:rFonts w:cs="Arial" w:hint="cs"/>
          <w:sz w:val="16"/>
          <w:szCs w:val="16"/>
          <w:rtl/>
        </w:rPr>
        <w:t>(הביאו דבריו ה</w:t>
      </w:r>
      <w:r w:rsidRPr="009F6F53">
        <w:rPr>
          <w:rFonts w:cs="Arial"/>
          <w:sz w:val="16"/>
          <w:szCs w:val="16"/>
          <w:rtl/>
        </w:rPr>
        <w:t xml:space="preserve">רא"ש </w:t>
      </w:r>
      <w:r w:rsidRPr="009F6F53">
        <w:rPr>
          <w:rFonts w:cs="Arial" w:hint="cs"/>
          <w:sz w:val="16"/>
          <w:szCs w:val="16"/>
          <w:rtl/>
        </w:rPr>
        <w:t>[</w:t>
      </w:r>
      <w:r w:rsidRPr="009F6F53">
        <w:rPr>
          <w:rFonts w:cs="Arial"/>
          <w:sz w:val="16"/>
          <w:szCs w:val="16"/>
          <w:rtl/>
        </w:rPr>
        <w:t>פ</w:t>
      </w:r>
      <w:r w:rsidRPr="009F6F53">
        <w:rPr>
          <w:rFonts w:cs="Arial" w:hint="cs"/>
          <w:sz w:val="16"/>
          <w:szCs w:val="16"/>
          <w:rtl/>
        </w:rPr>
        <w:t>'</w:t>
      </w:r>
      <w:r w:rsidRPr="009F6F53">
        <w:rPr>
          <w:rFonts w:cs="Arial"/>
          <w:sz w:val="16"/>
          <w:szCs w:val="16"/>
          <w:rtl/>
        </w:rPr>
        <w:t xml:space="preserve"> החובל סי' ג</w:t>
      </w:r>
      <w:r w:rsidRPr="009F6F53">
        <w:rPr>
          <w:rFonts w:cs="Arial" w:hint="cs"/>
          <w:sz w:val="16"/>
          <w:szCs w:val="16"/>
          <w:rtl/>
        </w:rPr>
        <w:t>] והטור</w:t>
      </w:r>
      <w:r w:rsidRPr="009F6F53">
        <w:rPr>
          <w:rFonts w:cs="Arial"/>
          <w:sz w:val="16"/>
          <w:szCs w:val="16"/>
          <w:rtl/>
        </w:rPr>
        <w:t>)</w:t>
      </w:r>
      <w:r w:rsidRPr="009F6F53">
        <w:rPr>
          <w:rFonts w:cs="Arial" w:hint="cs"/>
          <w:rtl/>
        </w:rPr>
        <w:t>-</w:t>
      </w:r>
      <w:r w:rsidRPr="009F6F53">
        <w:rPr>
          <w:rFonts w:cs="Arial"/>
          <w:rtl/>
        </w:rPr>
        <w:t xml:space="preserve"> לא מצינו בתלמוד לנדותו אלא עד דמסלק הזיקו</w:t>
      </w:r>
      <w:r w:rsidR="007F1E5D">
        <w:rPr>
          <w:rFonts w:cs="Arial" w:hint="cs"/>
          <w:rtl/>
        </w:rPr>
        <w:t>,</w:t>
      </w:r>
      <w:r w:rsidRPr="009F6F53">
        <w:rPr>
          <w:rFonts w:cs="Arial"/>
          <w:rtl/>
        </w:rPr>
        <w:t xml:space="preserve"> וסמכו חכמים האחרונים וראשי ישיבות כי ראו נזק גדול משום שאין דנין דיני קנסות ועשו תקנה לנדות החובל עד שיפייס הנחבל בקרוב</w:t>
      </w:r>
      <w:r w:rsidR="007F1E5D">
        <w:rPr>
          <w:rFonts w:cs="Arial" w:hint="cs"/>
          <w:rtl/>
        </w:rPr>
        <w:t>,</w:t>
      </w:r>
      <w:r w:rsidRPr="009F6F53">
        <w:rPr>
          <w:rFonts w:cs="Arial"/>
          <w:rtl/>
        </w:rPr>
        <w:t xml:space="preserve"> כי אין דרך לדקדק ולומר </w:t>
      </w:r>
      <w:r w:rsidR="007F1E5D">
        <w:rPr>
          <w:rFonts w:cs="Arial" w:hint="cs"/>
          <w:rtl/>
        </w:rPr>
        <w:t>'</w:t>
      </w:r>
      <w:r w:rsidRPr="009F6F53">
        <w:rPr>
          <w:rFonts w:cs="Arial"/>
          <w:rtl/>
        </w:rPr>
        <w:t>כך וכך קצבנו עליך לתת כך וכך וגם לזה קצבנו ליטול כך וכך</w:t>
      </w:r>
      <w:r w:rsidR="007F1E5D">
        <w:rPr>
          <w:rFonts w:cs="Arial" w:hint="cs"/>
          <w:rtl/>
        </w:rPr>
        <w:t>'</w:t>
      </w:r>
      <w:r w:rsidRPr="009F6F53">
        <w:rPr>
          <w:rFonts w:cs="Arial"/>
          <w:rtl/>
        </w:rPr>
        <w:t xml:space="preserve"> כי זה היה דיני קנסות</w:t>
      </w:r>
      <w:r w:rsidRPr="009F6F53">
        <w:rPr>
          <w:rFonts w:cs="Arial" w:hint="cs"/>
          <w:rtl/>
        </w:rPr>
        <w:t>,</w:t>
      </w:r>
      <w:r w:rsidRPr="009F6F53">
        <w:rPr>
          <w:rFonts w:cs="Arial"/>
          <w:rtl/>
        </w:rPr>
        <w:t xml:space="preserve"> אלא משערים בלבם שיעור קרוב ואין מגלין אותו</w:t>
      </w:r>
      <w:r w:rsidR="007F1E5D">
        <w:rPr>
          <w:rFonts w:cs="Arial" w:hint="cs"/>
          <w:rtl/>
        </w:rPr>
        <w:t>,</w:t>
      </w:r>
      <w:r w:rsidRPr="009F6F53">
        <w:rPr>
          <w:rFonts w:cs="Arial"/>
          <w:rtl/>
        </w:rPr>
        <w:t xml:space="preserve"> ומנדין לחובל עד שיפייס לנחבל ורואין עד כמה מגיע לתת לו</w:t>
      </w:r>
      <w:r w:rsidR="007F1E5D">
        <w:rPr>
          <w:rFonts w:cs="Arial" w:hint="cs"/>
          <w:rtl/>
        </w:rPr>
        <w:t>,</w:t>
      </w:r>
      <w:r w:rsidRPr="009F6F53">
        <w:rPr>
          <w:rFonts w:cs="Arial"/>
          <w:rtl/>
        </w:rPr>
        <w:t xml:space="preserve"> אם קרוב לאשר בלבם והנחבל אינו רוצה לקבל</w:t>
      </w:r>
      <w:r w:rsidR="007F1E5D">
        <w:rPr>
          <w:rFonts w:cs="Arial" w:hint="cs"/>
          <w:rtl/>
        </w:rPr>
        <w:t xml:space="preserve"> -</w:t>
      </w:r>
      <w:r w:rsidRPr="009F6F53">
        <w:rPr>
          <w:rFonts w:cs="Arial"/>
          <w:rtl/>
        </w:rPr>
        <w:t xml:space="preserve"> אומרין לו </w:t>
      </w:r>
      <w:r w:rsidR="007F1E5D">
        <w:rPr>
          <w:rFonts w:cs="Arial" w:hint="cs"/>
          <w:rtl/>
        </w:rPr>
        <w:t>'</w:t>
      </w:r>
      <w:r w:rsidRPr="009F6F53">
        <w:rPr>
          <w:rFonts w:cs="Arial"/>
          <w:rtl/>
        </w:rPr>
        <w:t>אין בנו כח</w:t>
      </w:r>
      <w:r w:rsidRPr="00760975">
        <w:rPr>
          <w:rtl/>
        </w:rPr>
        <w:t xml:space="preserve"> </w:t>
      </w:r>
      <w:r w:rsidRPr="009F6F53">
        <w:rPr>
          <w:rFonts w:cs="Arial"/>
          <w:rtl/>
        </w:rPr>
        <w:t>לנדותו יותר מכאן</w:t>
      </w:r>
      <w:r w:rsidR="007F1E5D">
        <w:rPr>
          <w:rFonts w:cs="Arial" w:hint="cs"/>
          <w:rtl/>
        </w:rPr>
        <w:t>'</w:t>
      </w:r>
      <w:r w:rsidRPr="009F6F53">
        <w:rPr>
          <w:rFonts w:cs="Arial"/>
          <w:rtl/>
        </w:rPr>
        <w:t xml:space="preserve"> ומתירין אותו</w:t>
      </w:r>
      <w:r w:rsidRPr="009F6F53">
        <w:rPr>
          <w:rFonts w:cs="Arial" w:hint="cs"/>
          <w:rtl/>
        </w:rPr>
        <w:t>,</w:t>
      </w:r>
      <w:r w:rsidRPr="009F6F53">
        <w:rPr>
          <w:rFonts w:cs="Arial"/>
          <w:rtl/>
        </w:rPr>
        <w:t xml:space="preserve"> ואם רחוק ממה שהיה בלבבם </w:t>
      </w:r>
      <w:r w:rsidR="007F1E5D">
        <w:rPr>
          <w:rFonts w:cs="Arial" w:hint="cs"/>
          <w:rtl/>
        </w:rPr>
        <w:t xml:space="preserve">- </w:t>
      </w:r>
      <w:r w:rsidRPr="009F6F53">
        <w:rPr>
          <w:rFonts w:cs="Arial"/>
          <w:rtl/>
        </w:rPr>
        <w:t>אין מתירין אותו עד שיקרבו לאותו שיעור</w:t>
      </w:r>
      <w:r>
        <w:rPr>
          <w:rStyle w:val="ab"/>
          <w:rFonts w:cs="Arial"/>
          <w:rtl/>
        </w:rPr>
        <w:footnoteReference w:id="88"/>
      </w:r>
      <w:r w:rsidRPr="009F6F53">
        <w:rPr>
          <w:rFonts w:cs="Arial" w:hint="cs"/>
          <w:rtl/>
        </w:rPr>
        <w:t>.</w:t>
      </w:r>
    </w:p>
    <w:p w14:paraId="067EE02F" w14:textId="77777777" w:rsidR="004A326E" w:rsidRPr="00B403F4" w:rsidRDefault="004A326E" w:rsidP="004A326E">
      <w:pPr>
        <w:rPr>
          <w:u w:val="single"/>
        </w:rPr>
      </w:pPr>
      <w:r w:rsidRPr="00B403F4">
        <w:rPr>
          <w:rFonts w:hint="cs"/>
          <w:u w:val="single"/>
          <w:rtl/>
        </w:rPr>
        <w:t>קנסות שתקנו חכמים:</w:t>
      </w:r>
      <w:r w:rsidRPr="00B403F4">
        <w:rPr>
          <w:rFonts w:cs="Arial" w:hint="cs"/>
          <w:sz w:val="16"/>
          <w:szCs w:val="16"/>
          <w:rtl/>
        </w:rPr>
        <w:t xml:space="preserve"> </w:t>
      </w:r>
      <w:r>
        <w:rPr>
          <w:rFonts w:cs="Arial" w:hint="cs"/>
          <w:sz w:val="16"/>
          <w:szCs w:val="16"/>
          <w:rtl/>
        </w:rPr>
        <w:t xml:space="preserve"> (דרכ"מ [אות ז]</w:t>
      </w:r>
      <w:r w:rsidRPr="00B403F4">
        <w:rPr>
          <w:rFonts w:cs="Arial"/>
          <w:sz w:val="16"/>
          <w:szCs w:val="16"/>
          <w:rtl/>
        </w:rPr>
        <w:t>)</w:t>
      </w:r>
    </w:p>
    <w:p w14:paraId="4C6B29CA" w14:textId="77777777" w:rsidR="004A326E" w:rsidRDefault="00550BD4" w:rsidP="004B0475">
      <w:pPr>
        <w:pStyle w:val="ac"/>
        <w:numPr>
          <w:ilvl w:val="0"/>
          <w:numId w:val="45"/>
        </w:numPr>
      </w:pPr>
      <w:r>
        <w:rPr>
          <w:rFonts w:cs="Arial" w:hint="cs"/>
          <w:rtl/>
        </w:rPr>
        <w:t xml:space="preserve">רא"ש </w:t>
      </w:r>
      <w:r>
        <w:rPr>
          <w:rFonts w:cs="Arial" w:hint="cs"/>
          <w:sz w:val="16"/>
          <w:szCs w:val="16"/>
          <w:rtl/>
        </w:rPr>
        <w:t xml:space="preserve">(גיטין פ"ד סי מא) </w:t>
      </w:r>
      <w:r>
        <w:rPr>
          <w:rFonts w:cs="Arial" w:hint="cs"/>
          <w:rtl/>
        </w:rPr>
        <w:t>ו</w:t>
      </w:r>
      <w:r w:rsidR="004A326E" w:rsidRPr="009F6F53">
        <w:rPr>
          <w:rFonts w:cs="Arial"/>
          <w:rtl/>
        </w:rPr>
        <w:t xml:space="preserve">מרדכי </w:t>
      </w:r>
      <w:r w:rsidR="004A326E" w:rsidRPr="00B403F4">
        <w:rPr>
          <w:rFonts w:cs="Arial" w:hint="cs"/>
          <w:sz w:val="16"/>
          <w:szCs w:val="16"/>
          <w:rtl/>
        </w:rPr>
        <w:t xml:space="preserve">(גיטין </w:t>
      </w:r>
      <w:r w:rsidR="004A326E" w:rsidRPr="00B403F4">
        <w:rPr>
          <w:rFonts w:cs="Arial"/>
          <w:sz w:val="16"/>
          <w:szCs w:val="16"/>
          <w:rtl/>
        </w:rPr>
        <w:t>ס</w:t>
      </w:r>
      <w:r w:rsidR="004A326E" w:rsidRPr="00B403F4">
        <w:rPr>
          <w:rFonts w:cs="Arial" w:hint="cs"/>
          <w:sz w:val="16"/>
          <w:szCs w:val="16"/>
          <w:rtl/>
        </w:rPr>
        <w:t>"פ</w:t>
      </w:r>
      <w:r w:rsidR="004A326E" w:rsidRPr="00B403F4">
        <w:rPr>
          <w:rFonts w:cs="Arial"/>
          <w:sz w:val="16"/>
          <w:szCs w:val="16"/>
          <w:rtl/>
        </w:rPr>
        <w:t xml:space="preserve"> השולח </w:t>
      </w:r>
      <w:r w:rsidR="004A326E" w:rsidRPr="00B403F4">
        <w:rPr>
          <w:rFonts w:cs="Arial" w:hint="cs"/>
          <w:sz w:val="16"/>
          <w:szCs w:val="16"/>
          <w:rtl/>
        </w:rPr>
        <w:t xml:space="preserve">[פ"ד] </w:t>
      </w:r>
      <w:r w:rsidR="004A326E" w:rsidRPr="00B403F4">
        <w:rPr>
          <w:rFonts w:cs="Arial"/>
          <w:sz w:val="16"/>
          <w:szCs w:val="16"/>
          <w:rtl/>
        </w:rPr>
        <w:t>סי' שפד)</w:t>
      </w:r>
      <w:r w:rsidR="004A326E">
        <w:rPr>
          <w:rFonts w:cs="Arial" w:hint="cs"/>
          <w:rtl/>
        </w:rPr>
        <w:t>-</w:t>
      </w:r>
      <w:r w:rsidR="004A326E" w:rsidRPr="009F6F53">
        <w:rPr>
          <w:rFonts w:cs="Arial"/>
          <w:rtl/>
        </w:rPr>
        <w:t xml:space="preserve"> ור"ב אמר דהא דאין דנין דיני קנסות בבבל היינו דיני הקנסות הכתוב</w:t>
      </w:r>
      <w:r w:rsidR="004A326E">
        <w:rPr>
          <w:rFonts w:cs="Arial" w:hint="cs"/>
          <w:rtl/>
        </w:rPr>
        <w:t xml:space="preserve">ות בתורה </w:t>
      </w:r>
      <w:r w:rsidR="004A326E" w:rsidRPr="00B403F4">
        <w:rPr>
          <w:rFonts w:cs="Arial" w:hint="cs"/>
          <w:sz w:val="16"/>
          <w:szCs w:val="16"/>
          <w:rtl/>
        </w:rPr>
        <w:t>(</w:t>
      </w:r>
      <w:r w:rsidR="004A326E" w:rsidRPr="00B403F4">
        <w:rPr>
          <w:rFonts w:cs="Arial"/>
          <w:sz w:val="16"/>
          <w:szCs w:val="16"/>
          <w:rtl/>
        </w:rPr>
        <w:t>כגון אונס ומפתה ומוציא שם רע ול' שקלים של עבד ותשלומי כפל ד' וה' וחצי נזק</w:t>
      </w:r>
      <w:r w:rsidR="004A326E" w:rsidRPr="00B403F4">
        <w:rPr>
          <w:rFonts w:cs="Arial" w:hint="cs"/>
          <w:sz w:val="16"/>
          <w:szCs w:val="16"/>
          <w:rtl/>
        </w:rPr>
        <w:t>)</w:t>
      </w:r>
      <w:r w:rsidR="004A326E" w:rsidRPr="00B403F4">
        <w:rPr>
          <w:rFonts w:cs="Arial"/>
          <w:sz w:val="16"/>
          <w:szCs w:val="16"/>
          <w:rtl/>
        </w:rPr>
        <w:t xml:space="preserve"> </w:t>
      </w:r>
      <w:r w:rsidR="004A326E" w:rsidRPr="00B403F4">
        <w:rPr>
          <w:rFonts w:cs="Arial"/>
          <w:rtl/>
        </w:rPr>
        <w:t xml:space="preserve">אבל דברים שבאו חכמים לקנוס מעצמן כגון על ידי תקנתן </w:t>
      </w:r>
      <w:r w:rsidR="00292D36">
        <w:rPr>
          <w:rFonts w:cs="Arial" w:hint="cs"/>
          <w:rtl/>
        </w:rPr>
        <w:t xml:space="preserve">- </w:t>
      </w:r>
      <w:r w:rsidR="004A326E" w:rsidRPr="00B403F4">
        <w:rPr>
          <w:rFonts w:cs="Arial"/>
          <w:rtl/>
        </w:rPr>
        <w:t>קונסין בכ</w:t>
      </w:r>
      <w:r w:rsidR="004A326E">
        <w:rPr>
          <w:rFonts w:cs="Arial" w:hint="cs"/>
          <w:rtl/>
        </w:rPr>
        <w:t>ל מקום</w:t>
      </w:r>
      <w:r w:rsidR="004A326E" w:rsidRPr="00B403F4">
        <w:rPr>
          <w:rFonts w:cs="Arial"/>
          <w:rtl/>
        </w:rPr>
        <w:t xml:space="preserve"> </w:t>
      </w:r>
      <w:r w:rsidR="004A326E">
        <w:rPr>
          <w:rFonts w:cs="Arial" w:hint="cs"/>
          <w:sz w:val="16"/>
          <w:szCs w:val="16"/>
          <w:rtl/>
        </w:rPr>
        <w:t>(</w:t>
      </w:r>
      <w:r w:rsidR="004A326E" w:rsidRPr="00B403F4">
        <w:rPr>
          <w:rFonts w:cs="Arial"/>
          <w:sz w:val="16"/>
          <w:szCs w:val="16"/>
          <w:rtl/>
        </w:rPr>
        <w:t>כדאיתא פרק האשה רבה ב"ד מכין ועונשין שלא מן הדין</w:t>
      </w:r>
      <w:r w:rsidR="00A1214B">
        <w:rPr>
          <w:rFonts w:cs="Arial" w:hint="cs"/>
          <w:sz w:val="16"/>
          <w:szCs w:val="16"/>
          <w:rtl/>
        </w:rPr>
        <w:t>,</w:t>
      </w:r>
      <w:r w:rsidR="004A326E" w:rsidRPr="00B403F4">
        <w:rPr>
          <w:rFonts w:cs="Arial"/>
          <w:sz w:val="16"/>
          <w:szCs w:val="16"/>
          <w:rtl/>
        </w:rPr>
        <w:t xml:space="preserve"> ובפרק הגוזל קמא אמר רב נחמן האי גזלנא עתיקא הוא ובעי למקנסיה</w:t>
      </w:r>
      <w:r w:rsidR="00A1214B">
        <w:rPr>
          <w:rFonts w:cs="Arial" w:hint="cs"/>
          <w:sz w:val="16"/>
          <w:szCs w:val="16"/>
          <w:rtl/>
        </w:rPr>
        <w:t>,</w:t>
      </w:r>
      <w:r w:rsidR="004A326E" w:rsidRPr="00B403F4">
        <w:rPr>
          <w:rFonts w:cs="Arial"/>
          <w:sz w:val="16"/>
          <w:szCs w:val="16"/>
          <w:rtl/>
        </w:rPr>
        <w:t xml:space="preserve"> ופרק זה בורר אמר ריש גלותא ליכהויי לעיניה</w:t>
      </w:r>
      <w:r w:rsidR="00A1214B">
        <w:rPr>
          <w:rFonts w:cs="Arial" w:hint="cs"/>
          <w:sz w:val="16"/>
          <w:szCs w:val="16"/>
          <w:rtl/>
        </w:rPr>
        <w:t>,</w:t>
      </w:r>
      <w:r w:rsidR="004A326E" w:rsidRPr="00B403F4">
        <w:rPr>
          <w:rFonts w:cs="Arial"/>
          <w:sz w:val="16"/>
          <w:szCs w:val="16"/>
          <w:rtl/>
        </w:rPr>
        <w:t xml:space="preserve"> ער"פ החובל</w:t>
      </w:r>
      <w:r w:rsidR="004A326E">
        <w:rPr>
          <w:rFonts w:cs="Arial" w:hint="cs"/>
          <w:sz w:val="16"/>
          <w:szCs w:val="16"/>
          <w:rtl/>
        </w:rPr>
        <w:t>)</w:t>
      </w:r>
      <w:r w:rsidR="004A326E" w:rsidRPr="009F6F53">
        <w:rPr>
          <w:rFonts w:cs="Arial"/>
          <w:rtl/>
        </w:rPr>
        <w:t>.</w:t>
      </w:r>
      <w:r w:rsidR="004A326E">
        <w:rPr>
          <w:rFonts w:hint="cs"/>
          <w:rtl/>
        </w:rPr>
        <w:t xml:space="preserve"> </w:t>
      </w:r>
      <w:r w:rsidR="004A326E" w:rsidRPr="00B403F4">
        <w:rPr>
          <w:rFonts w:hint="cs"/>
          <w:color w:val="00B0F0"/>
          <w:rtl/>
        </w:rPr>
        <w:t>(וכ"</w:t>
      </w:r>
      <w:r w:rsidR="004A326E">
        <w:rPr>
          <w:rFonts w:hint="cs"/>
          <w:color w:val="00B0F0"/>
          <w:rtl/>
        </w:rPr>
        <w:t>פ</w:t>
      </w:r>
      <w:r w:rsidR="004A326E" w:rsidRPr="00B403F4">
        <w:rPr>
          <w:rFonts w:hint="cs"/>
          <w:color w:val="00B0F0"/>
          <w:rtl/>
        </w:rPr>
        <w:t xml:space="preserve"> הרמ"א)</w:t>
      </w:r>
    </w:p>
    <w:p w14:paraId="462F057F" w14:textId="77777777" w:rsidR="004A326E" w:rsidRPr="00B403F4" w:rsidRDefault="004A326E" w:rsidP="004A326E">
      <w:pPr>
        <w:rPr>
          <w:u w:val="single"/>
        </w:rPr>
      </w:pPr>
      <w:r w:rsidRPr="00B403F4">
        <w:rPr>
          <w:rFonts w:hint="cs"/>
          <w:u w:val="single"/>
          <w:rtl/>
        </w:rPr>
        <w:t xml:space="preserve">דיני קנסות </w:t>
      </w:r>
      <w:r w:rsidR="00292D36">
        <w:rPr>
          <w:rFonts w:hint="cs"/>
          <w:u w:val="single"/>
          <w:rtl/>
        </w:rPr>
        <w:t xml:space="preserve">של התורה </w:t>
      </w:r>
      <w:r w:rsidRPr="00B403F4">
        <w:rPr>
          <w:rFonts w:hint="cs"/>
          <w:u w:val="single"/>
          <w:rtl/>
        </w:rPr>
        <w:t>ע"י שבעה טובי העיר:</w:t>
      </w:r>
      <w:r w:rsidRPr="00B403F4">
        <w:rPr>
          <w:rFonts w:cs="Arial" w:hint="cs"/>
          <w:sz w:val="16"/>
          <w:szCs w:val="16"/>
          <w:rtl/>
        </w:rPr>
        <w:t xml:space="preserve"> </w:t>
      </w:r>
      <w:r>
        <w:rPr>
          <w:rFonts w:cs="Arial" w:hint="cs"/>
          <w:sz w:val="16"/>
          <w:szCs w:val="16"/>
          <w:rtl/>
        </w:rPr>
        <w:t xml:space="preserve"> (דרכ"מ [אות ז]</w:t>
      </w:r>
      <w:r w:rsidRPr="00B403F4">
        <w:rPr>
          <w:rFonts w:cs="Arial"/>
          <w:sz w:val="16"/>
          <w:szCs w:val="16"/>
          <w:rtl/>
        </w:rPr>
        <w:t>)</w:t>
      </w:r>
    </w:p>
    <w:p w14:paraId="14F2AE2F" w14:textId="77777777" w:rsidR="004A326E" w:rsidRPr="00760975" w:rsidRDefault="004A326E" w:rsidP="004B0475">
      <w:pPr>
        <w:pStyle w:val="ac"/>
        <w:numPr>
          <w:ilvl w:val="0"/>
          <w:numId w:val="45"/>
        </w:numPr>
        <w:rPr>
          <w:rtl/>
        </w:rPr>
      </w:pPr>
      <w:r w:rsidRPr="009F6F53">
        <w:rPr>
          <w:rFonts w:cs="Arial"/>
          <w:rtl/>
        </w:rPr>
        <w:t xml:space="preserve">מרדכי </w:t>
      </w:r>
      <w:r w:rsidRPr="00B403F4">
        <w:rPr>
          <w:rFonts w:cs="Arial" w:hint="cs"/>
          <w:sz w:val="16"/>
          <w:szCs w:val="16"/>
          <w:rtl/>
        </w:rPr>
        <w:t>(</w:t>
      </w:r>
      <w:r>
        <w:rPr>
          <w:rFonts w:cs="Arial" w:hint="cs"/>
          <w:sz w:val="16"/>
          <w:szCs w:val="16"/>
          <w:rtl/>
        </w:rPr>
        <w:t>שם)</w:t>
      </w:r>
      <w:r>
        <w:rPr>
          <w:rFonts w:cs="Arial" w:hint="cs"/>
          <w:rtl/>
        </w:rPr>
        <w:t>-</w:t>
      </w:r>
      <w:r w:rsidRPr="009F6F53">
        <w:rPr>
          <w:rFonts w:cs="Arial"/>
          <w:rtl/>
        </w:rPr>
        <w:t xml:space="preserve"> דיני קנסות שאין גובין בזמן הזה שמעתי בשם </w:t>
      </w:r>
      <w:r>
        <w:rPr>
          <w:rFonts w:cs="Arial" w:hint="cs"/>
          <w:rtl/>
        </w:rPr>
        <w:t>ה</w:t>
      </w:r>
      <w:r w:rsidRPr="009F6F53">
        <w:rPr>
          <w:rFonts w:cs="Arial"/>
          <w:rtl/>
        </w:rPr>
        <w:t xml:space="preserve">ר"י מאברייא שיש לדונם על פי שבעה טובי העיר וכן הוא </w:t>
      </w:r>
      <w:r>
        <w:rPr>
          <w:rFonts w:cs="Arial" w:hint="cs"/>
          <w:rtl/>
        </w:rPr>
        <w:t>מ</w:t>
      </w:r>
      <w:r w:rsidRPr="009F6F53">
        <w:rPr>
          <w:rFonts w:cs="Arial"/>
          <w:rtl/>
        </w:rPr>
        <w:t>ק</w:t>
      </w:r>
      <w:r>
        <w:rPr>
          <w:rFonts w:cs="Arial" w:hint="cs"/>
          <w:rtl/>
        </w:rPr>
        <w:t>ו</w:t>
      </w:r>
      <w:r w:rsidRPr="009F6F53">
        <w:rPr>
          <w:rFonts w:cs="Arial"/>
          <w:rtl/>
        </w:rPr>
        <w:t>בל מרבותיו</w:t>
      </w:r>
      <w:r>
        <w:rPr>
          <w:rStyle w:val="ab"/>
          <w:rFonts w:cs="Arial"/>
          <w:rtl/>
        </w:rPr>
        <w:footnoteReference w:id="89"/>
      </w:r>
      <w:r w:rsidRPr="009F6F53">
        <w:rPr>
          <w:rFonts w:cs="Arial"/>
          <w:rtl/>
        </w:rPr>
        <w:t>.</w:t>
      </w:r>
      <w:r>
        <w:rPr>
          <w:rFonts w:hint="cs"/>
          <w:rtl/>
        </w:rPr>
        <w:t xml:space="preserve"> (וכ"כ הסמ"ע</w:t>
      </w:r>
      <w:r>
        <w:rPr>
          <w:rFonts w:hint="cs"/>
          <w:sz w:val="16"/>
          <w:szCs w:val="16"/>
          <w:rtl/>
        </w:rPr>
        <w:t xml:space="preserve"> [סק"כ]</w:t>
      </w:r>
      <w:r>
        <w:rPr>
          <w:rFonts w:hint="cs"/>
          <w:rtl/>
        </w:rPr>
        <w:t>)</w:t>
      </w:r>
    </w:p>
    <w:p w14:paraId="3D10FAC5" w14:textId="77777777" w:rsidR="004A326E" w:rsidRPr="003024E5" w:rsidRDefault="004A326E" w:rsidP="004A326E">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4F712C29" w14:textId="77777777" w:rsidR="004A326E" w:rsidRDefault="004A326E" w:rsidP="004A326E">
      <w:pPr>
        <w:rPr>
          <w:rtl/>
        </w:rPr>
      </w:pPr>
      <w:r>
        <w:rPr>
          <w:rFonts w:cs="Arial"/>
          <w:rtl/>
        </w:rPr>
        <w:lastRenderedPageBreak/>
        <w:t>א</w:t>
      </w:r>
      <w:r>
        <w:rPr>
          <w:rFonts w:cs="Arial" w:hint="cs"/>
          <w:rtl/>
        </w:rPr>
        <w:t>ף על פי</w:t>
      </w:r>
      <w:r>
        <w:rPr>
          <w:rFonts w:cs="Arial"/>
          <w:rtl/>
        </w:rPr>
        <w:t xml:space="preserve"> שדיינים שאינם סמוכים בא</w:t>
      </w:r>
      <w:r>
        <w:rPr>
          <w:rFonts w:cs="Arial" w:hint="cs"/>
          <w:rtl/>
        </w:rPr>
        <w:t xml:space="preserve">רץ </w:t>
      </w:r>
      <w:r>
        <w:rPr>
          <w:rFonts w:cs="Arial"/>
          <w:rtl/>
        </w:rPr>
        <w:t>י</w:t>
      </w:r>
      <w:r>
        <w:rPr>
          <w:rFonts w:cs="Arial" w:hint="cs"/>
          <w:rtl/>
        </w:rPr>
        <w:t>שראל</w:t>
      </w:r>
      <w:r>
        <w:rPr>
          <w:rFonts w:cs="Arial"/>
          <w:rtl/>
        </w:rPr>
        <w:t xml:space="preserve"> אינן מגבין קנסות, מנדין אותו</w:t>
      </w:r>
      <w:r>
        <w:rPr>
          <w:rStyle w:val="ab"/>
          <w:rFonts w:cs="Arial"/>
          <w:rtl/>
        </w:rPr>
        <w:footnoteReference w:id="90"/>
      </w:r>
      <w:r>
        <w:rPr>
          <w:rFonts w:cs="Arial"/>
          <w:rtl/>
        </w:rPr>
        <w:t xml:space="preserve"> עד שיפייס לבעל דינו</w:t>
      </w:r>
      <w:r>
        <w:rPr>
          <w:rFonts w:cs="Arial" w:hint="cs"/>
          <w:rtl/>
        </w:rPr>
        <w:t>,</w:t>
      </w:r>
      <w:r>
        <w:rPr>
          <w:rFonts w:cs="Arial"/>
          <w:rtl/>
        </w:rPr>
        <w:t xml:space="preserve"> וכיון שיתן לו שיעור הראוי לו מתירין לו</w:t>
      </w:r>
      <w:r>
        <w:rPr>
          <w:rStyle w:val="ab"/>
          <w:rFonts w:cs="Arial"/>
          <w:rtl/>
        </w:rPr>
        <w:footnoteReference w:id="91"/>
      </w:r>
      <w:r>
        <w:rPr>
          <w:rFonts w:cs="Arial"/>
          <w:rtl/>
        </w:rPr>
        <w:t>. וכן אם תפס הניזק</w:t>
      </w:r>
      <w:r>
        <w:rPr>
          <w:rStyle w:val="ab"/>
          <w:rFonts w:cs="Arial"/>
          <w:rtl/>
        </w:rPr>
        <w:footnoteReference w:id="92"/>
      </w:r>
      <w:r>
        <w:rPr>
          <w:rFonts w:cs="Arial"/>
          <w:rtl/>
        </w:rPr>
        <w:t xml:space="preserve"> שיעור מה שראוי</w:t>
      </w:r>
      <w:r>
        <w:rPr>
          <w:rStyle w:val="ab"/>
          <w:rFonts w:cs="Arial"/>
          <w:rtl/>
        </w:rPr>
        <w:footnoteReference w:id="93"/>
      </w:r>
      <w:r>
        <w:rPr>
          <w:rFonts w:cs="Arial"/>
          <w:rtl/>
        </w:rPr>
        <w:t xml:space="preserve"> לו ליטול, אין מוציאין מידו</w:t>
      </w:r>
      <w:r>
        <w:rPr>
          <w:rStyle w:val="ab"/>
          <w:rFonts w:cs="Arial"/>
          <w:rtl/>
        </w:rPr>
        <w:footnoteReference w:id="94"/>
      </w:r>
      <w:r>
        <w:rPr>
          <w:rFonts w:cs="Arial"/>
          <w:rtl/>
        </w:rPr>
        <w:t xml:space="preserve">. </w:t>
      </w:r>
      <w:r w:rsidRPr="00FC4A4E">
        <w:rPr>
          <w:rFonts w:cs="Arial"/>
          <w:sz w:val="18"/>
          <w:szCs w:val="18"/>
          <w:rtl/>
        </w:rPr>
        <w:t xml:space="preserve">הגה: ואם יאמר הניזק </w:t>
      </w:r>
      <w:r w:rsidR="00A1214B">
        <w:rPr>
          <w:rFonts w:cs="Arial" w:hint="cs"/>
          <w:sz w:val="18"/>
          <w:szCs w:val="18"/>
          <w:rtl/>
        </w:rPr>
        <w:t>'</w:t>
      </w:r>
      <w:r w:rsidRPr="00FC4A4E">
        <w:rPr>
          <w:rFonts w:cs="Arial"/>
          <w:sz w:val="18"/>
          <w:szCs w:val="18"/>
          <w:rtl/>
        </w:rPr>
        <w:t>שומו לי נזקי שאדע עד כמה אתפוס</w:t>
      </w:r>
      <w:r w:rsidR="00A1214B">
        <w:rPr>
          <w:rFonts w:cs="Arial" w:hint="cs"/>
          <w:sz w:val="18"/>
          <w:szCs w:val="18"/>
          <w:rtl/>
        </w:rPr>
        <w:t>'</w:t>
      </w:r>
      <w:r w:rsidRPr="00FC4A4E">
        <w:rPr>
          <w:rFonts w:cs="Arial"/>
          <w:sz w:val="18"/>
          <w:szCs w:val="18"/>
          <w:rtl/>
        </w:rPr>
        <w:t>, אין שומעין לו</w:t>
      </w:r>
      <w:r>
        <w:rPr>
          <w:rStyle w:val="ab"/>
          <w:rFonts w:cs="Arial"/>
          <w:sz w:val="18"/>
          <w:szCs w:val="18"/>
          <w:rtl/>
        </w:rPr>
        <w:footnoteReference w:id="95"/>
      </w:r>
      <w:r w:rsidRPr="00FC4A4E">
        <w:rPr>
          <w:rFonts w:cs="Arial"/>
          <w:sz w:val="18"/>
          <w:szCs w:val="18"/>
          <w:rtl/>
        </w:rPr>
        <w:t xml:space="preserve">, אלא אם כבר תפס שמין לו ואומרים לו </w:t>
      </w:r>
      <w:r w:rsidR="00A1214B">
        <w:rPr>
          <w:rFonts w:cs="Arial" w:hint="cs"/>
          <w:sz w:val="18"/>
          <w:szCs w:val="18"/>
          <w:rtl/>
        </w:rPr>
        <w:t>'</w:t>
      </w:r>
      <w:r w:rsidRPr="00FC4A4E">
        <w:rPr>
          <w:rFonts w:cs="Arial"/>
          <w:sz w:val="18"/>
          <w:szCs w:val="18"/>
          <w:rtl/>
        </w:rPr>
        <w:t>כך וכך תחזיק וכך וכך תחזיר</w:t>
      </w:r>
      <w:r w:rsidR="00A1214B">
        <w:rPr>
          <w:rFonts w:cs="Arial" w:hint="cs"/>
          <w:sz w:val="18"/>
          <w:szCs w:val="18"/>
          <w:rtl/>
        </w:rPr>
        <w:t>'</w:t>
      </w:r>
      <w:r>
        <w:rPr>
          <w:rStyle w:val="ab"/>
          <w:rFonts w:cs="Arial"/>
          <w:sz w:val="18"/>
          <w:szCs w:val="18"/>
          <w:rtl/>
        </w:rPr>
        <w:footnoteReference w:id="96"/>
      </w:r>
      <w:r w:rsidRPr="00FC4A4E">
        <w:rPr>
          <w:rFonts w:cs="Arial"/>
          <w:sz w:val="18"/>
          <w:szCs w:val="18"/>
          <w:rtl/>
        </w:rPr>
        <w:t xml:space="preserve"> (טור בשם הרא"ש). וכל זה דוקא בקנסות הכתובים, אבל קנסות שבאים חכמים לקנוס מעצמן על תקנתן גובין בכל מקום</w:t>
      </w:r>
      <w:r>
        <w:rPr>
          <w:rStyle w:val="ab"/>
          <w:rFonts w:cs="Arial"/>
          <w:sz w:val="18"/>
          <w:szCs w:val="18"/>
          <w:rtl/>
        </w:rPr>
        <w:footnoteReference w:id="97"/>
      </w:r>
      <w:r>
        <w:rPr>
          <w:rFonts w:cs="Arial" w:hint="cs"/>
          <w:sz w:val="18"/>
          <w:szCs w:val="18"/>
          <w:rtl/>
        </w:rPr>
        <w:t xml:space="preserve"> </w:t>
      </w:r>
      <w:r w:rsidRPr="00FC4A4E">
        <w:rPr>
          <w:rFonts w:cs="Arial"/>
          <w:sz w:val="18"/>
          <w:szCs w:val="18"/>
          <w:rtl/>
        </w:rPr>
        <w:t>(מרדכי), וכמו שיתבאר בסימן ב'.</w:t>
      </w:r>
      <w:r>
        <w:rPr>
          <w:rFonts w:cs="Arial"/>
          <w:rtl/>
        </w:rPr>
        <w:t xml:space="preserve"> </w:t>
      </w:r>
    </w:p>
    <w:p w14:paraId="43B7FD82" w14:textId="77777777" w:rsidR="00242F70" w:rsidRPr="00335685" w:rsidRDefault="00335685" w:rsidP="00335685">
      <w:pPr>
        <w:rPr>
          <w:rFonts w:cs="Arial"/>
          <w:u w:val="single"/>
          <w:rtl/>
        </w:rPr>
      </w:pPr>
      <w:r>
        <w:rPr>
          <w:rFonts w:cs="Arial" w:hint="cs"/>
          <w:u w:val="single"/>
          <w:rtl/>
        </w:rPr>
        <w:t xml:space="preserve">מזיק שהיה צריך לשלם יותר מהקרן </w:t>
      </w:r>
      <w:r>
        <w:rPr>
          <w:rFonts w:cs="Arial" w:hint="cs"/>
          <w:sz w:val="16"/>
          <w:szCs w:val="16"/>
          <w:u w:val="single"/>
          <w:rtl/>
        </w:rPr>
        <w:t>(</w:t>
      </w:r>
      <w:r w:rsidRPr="00335685">
        <w:rPr>
          <w:rFonts w:cs="Arial" w:hint="cs"/>
          <w:sz w:val="16"/>
          <w:szCs w:val="16"/>
          <w:u w:val="single"/>
          <w:rtl/>
        </w:rPr>
        <w:t>אם היה לנו ב"ד סמוכים)</w:t>
      </w:r>
      <w:r>
        <w:rPr>
          <w:rFonts w:cs="Arial" w:hint="cs"/>
          <w:u w:val="single"/>
          <w:rtl/>
        </w:rPr>
        <w:t xml:space="preserve"> </w:t>
      </w:r>
      <w:r w:rsidR="00242F70" w:rsidRPr="00335685">
        <w:rPr>
          <w:rFonts w:cs="Arial"/>
          <w:u w:val="single"/>
          <w:rtl/>
        </w:rPr>
        <w:t>–</w:t>
      </w:r>
      <w:r w:rsidR="00242F70" w:rsidRPr="00335685">
        <w:rPr>
          <w:rFonts w:cs="Arial" w:hint="cs"/>
          <w:u w:val="single"/>
          <w:rtl/>
        </w:rPr>
        <w:t xml:space="preserve"> האם אפשר לנדות את המזיק עד שישלם יותר מהקרן:</w:t>
      </w:r>
    </w:p>
    <w:p w14:paraId="04852B30" w14:textId="77777777" w:rsidR="00594D99" w:rsidRDefault="00594D99" w:rsidP="004B0475">
      <w:pPr>
        <w:pStyle w:val="ac"/>
        <w:numPr>
          <w:ilvl w:val="0"/>
          <w:numId w:val="45"/>
        </w:numPr>
        <w:rPr>
          <w:rFonts w:cs="Arial"/>
        </w:rPr>
      </w:pPr>
      <w:r w:rsidRPr="00DB2EB2">
        <w:rPr>
          <w:rFonts w:cs="Arial"/>
          <w:rtl/>
        </w:rPr>
        <w:t xml:space="preserve">עיר שושן </w:t>
      </w:r>
      <w:r w:rsidRPr="00DB2EB2">
        <w:rPr>
          <w:rFonts w:cs="Arial" w:hint="cs"/>
          <w:sz w:val="16"/>
          <w:szCs w:val="16"/>
          <w:rtl/>
        </w:rPr>
        <w:t>(</w:t>
      </w:r>
      <w:r w:rsidRPr="00DB2EB2">
        <w:rPr>
          <w:rFonts w:cs="Arial"/>
          <w:sz w:val="16"/>
          <w:szCs w:val="16"/>
          <w:rtl/>
        </w:rPr>
        <w:t>סע</w:t>
      </w:r>
      <w:r w:rsidRPr="00DB2EB2">
        <w:rPr>
          <w:rFonts w:cs="Arial" w:hint="cs"/>
          <w:sz w:val="16"/>
          <w:szCs w:val="16"/>
          <w:rtl/>
        </w:rPr>
        <w:t>'</w:t>
      </w:r>
      <w:r w:rsidRPr="00DB2EB2">
        <w:rPr>
          <w:rFonts w:cs="Arial"/>
          <w:sz w:val="16"/>
          <w:szCs w:val="16"/>
          <w:rtl/>
        </w:rPr>
        <w:t xml:space="preserve"> ו</w:t>
      </w:r>
      <w:r w:rsidRPr="00DB2EB2">
        <w:rPr>
          <w:rFonts w:cs="Arial" w:hint="cs"/>
          <w:sz w:val="16"/>
          <w:szCs w:val="16"/>
          <w:rtl/>
        </w:rPr>
        <w:t>)</w:t>
      </w:r>
      <w:r w:rsidRPr="00DB2EB2">
        <w:rPr>
          <w:rFonts w:cs="Arial" w:hint="cs"/>
          <w:rtl/>
        </w:rPr>
        <w:t xml:space="preserve">- </w:t>
      </w:r>
      <w:r w:rsidRPr="00DB2EB2">
        <w:rPr>
          <w:rFonts w:cs="Arial"/>
          <w:rtl/>
        </w:rPr>
        <w:t xml:space="preserve">אפילו בלא תפיסה, כשמנדין אותו עד שיפייס הניזק, אין מתירין אותו מהנידוי עד שיתן קרוב לכפל וד' וה' </w:t>
      </w:r>
      <w:r w:rsidRPr="00DB2EB2">
        <w:rPr>
          <w:rFonts w:cs="Arial" w:hint="cs"/>
          <w:rtl/>
        </w:rPr>
        <w:t>וכו'.</w:t>
      </w:r>
    </w:p>
    <w:p w14:paraId="03D68471" w14:textId="77777777" w:rsidR="00242F70" w:rsidRDefault="00242F70" w:rsidP="004B0475">
      <w:pPr>
        <w:pStyle w:val="ac"/>
        <w:numPr>
          <w:ilvl w:val="0"/>
          <w:numId w:val="45"/>
        </w:numPr>
        <w:rPr>
          <w:rFonts w:cs="Arial"/>
        </w:rPr>
      </w:pPr>
      <w:r w:rsidRPr="00DB2EB2">
        <w:rPr>
          <w:rFonts w:cs="Arial" w:hint="cs"/>
          <w:rtl/>
        </w:rPr>
        <w:t>סמ"ע</w:t>
      </w:r>
      <w:r w:rsidRPr="00DB2EB2">
        <w:rPr>
          <w:rFonts w:cs="Arial" w:hint="cs"/>
          <w:sz w:val="16"/>
          <w:szCs w:val="16"/>
          <w:rtl/>
        </w:rPr>
        <w:t xml:space="preserve"> </w:t>
      </w:r>
      <w:r>
        <w:rPr>
          <w:rFonts w:cs="Arial" w:hint="cs"/>
          <w:sz w:val="16"/>
          <w:szCs w:val="16"/>
          <w:rtl/>
        </w:rPr>
        <w:t>(</w:t>
      </w:r>
      <w:r w:rsidRPr="00DB2EB2">
        <w:rPr>
          <w:rFonts w:cs="Arial" w:hint="cs"/>
          <w:sz w:val="16"/>
          <w:szCs w:val="16"/>
          <w:rtl/>
        </w:rPr>
        <w:t>סקי"ח</w:t>
      </w:r>
      <w:r>
        <w:rPr>
          <w:rFonts w:cs="Arial" w:hint="cs"/>
          <w:sz w:val="16"/>
          <w:szCs w:val="16"/>
          <w:rtl/>
        </w:rPr>
        <w:t>)</w:t>
      </w:r>
      <w:r w:rsidR="00335685">
        <w:rPr>
          <w:rFonts w:cs="Arial" w:hint="cs"/>
          <w:rtl/>
        </w:rPr>
        <w:t xml:space="preserve"> וש"ך </w:t>
      </w:r>
      <w:r w:rsidR="00335685">
        <w:rPr>
          <w:rFonts w:cs="Arial" w:hint="cs"/>
          <w:sz w:val="16"/>
          <w:szCs w:val="16"/>
          <w:rtl/>
        </w:rPr>
        <w:t>(סקי"ד)</w:t>
      </w:r>
      <w:r>
        <w:rPr>
          <w:rFonts w:cs="Arial" w:hint="cs"/>
          <w:rtl/>
        </w:rPr>
        <w:t>-</w:t>
      </w:r>
      <w:r w:rsidRPr="00242F70">
        <w:rPr>
          <w:rFonts w:cs="Arial"/>
          <w:rtl/>
        </w:rPr>
        <w:t xml:space="preserve"> </w:t>
      </w:r>
      <w:r w:rsidRPr="00DB2EB2">
        <w:rPr>
          <w:rFonts w:cs="Arial"/>
          <w:rtl/>
        </w:rPr>
        <w:t>כל היכא דלא תפס ליכא למ"ד שיהא בנידוי עד שיתן יתר מכדי נזקו</w:t>
      </w:r>
      <w:r>
        <w:rPr>
          <w:rFonts w:cs="Arial" w:hint="cs"/>
          <w:rtl/>
        </w:rPr>
        <w:t>, ד</w:t>
      </w:r>
      <w:r w:rsidRPr="00DB2EB2">
        <w:rPr>
          <w:rFonts w:cs="Arial"/>
          <w:rtl/>
        </w:rPr>
        <w:t>דוקא על קנס חבלה והדומה לו מנדינן שאין בו שום ממון יתר, ומשום דאל"כ כל אחד יחבול ויזיק לחבירו, ולא משום כפל ד' וה', דאף אם לא יגבוהו אין לומר שכ"א יגנוב ויגזול בהיות שיודע שיצטרך לפרוע גניבתו וגזילתו</w:t>
      </w:r>
      <w:r w:rsidR="00335685">
        <w:rPr>
          <w:rFonts w:cs="Arial" w:hint="cs"/>
          <w:sz w:val="16"/>
          <w:szCs w:val="16"/>
          <w:rtl/>
        </w:rPr>
        <w:t xml:space="preserve"> (ל' הסמ"ע)</w:t>
      </w:r>
      <w:r>
        <w:rPr>
          <w:rFonts w:cs="Arial" w:hint="cs"/>
          <w:rtl/>
        </w:rPr>
        <w:t>.</w:t>
      </w:r>
    </w:p>
    <w:p w14:paraId="57A398C6" w14:textId="77777777" w:rsidR="004D36A3" w:rsidRPr="00335685" w:rsidRDefault="00335685" w:rsidP="004D36A3">
      <w:pPr>
        <w:rPr>
          <w:rFonts w:cs="Arial"/>
          <w:u w:val="single"/>
        </w:rPr>
      </w:pPr>
      <w:r w:rsidRPr="00335685">
        <w:rPr>
          <w:rFonts w:cs="Arial" w:hint="cs"/>
          <w:u w:val="single"/>
          <w:rtl/>
        </w:rPr>
        <w:t>ה</w:t>
      </w:r>
      <w:r w:rsidRPr="00335685">
        <w:rPr>
          <w:rFonts w:cs="Arial"/>
          <w:u w:val="single"/>
          <w:rtl/>
        </w:rPr>
        <w:t xml:space="preserve">טוען טענת גנב והוא עצמו גנב </w:t>
      </w:r>
      <w:r w:rsidRPr="00335685">
        <w:rPr>
          <w:rFonts w:cs="Arial" w:hint="cs"/>
          <w:sz w:val="16"/>
          <w:szCs w:val="16"/>
          <w:u w:val="single"/>
          <w:rtl/>
        </w:rPr>
        <w:t>(ד</w:t>
      </w:r>
      <w:r w:rsidRPr="00335685">
        <w:rPr>
          <w:rFonts w:cs="Arial"/>
          <w:sz w:val="16"/>
          <w:szCs w:val="16"/>
          <w:u w:val="single"/>
          <w:rtl/>
        </w:rPr>
        <w:t xml:space="preserve">משלם כפל </w:t>
      </w:r>
      <w:r w:rsidRPr="00335685">
        <w:rPr>
          <w:rFonts w:cs="Arial" w:hint="cs"/>
          <w:sz w:val="16"/>
          <w:szCs w:val="16"/>
          <w:u w:val="single"/>
          <w:rtl/>
        </w:rPr>
        <w:t>רק אם ש</w:t>
      </w:r>
      <w:r w:rsidRPr="00335685">
        <w:rPr>
          <w:rFonts w:cs="Arial"/>
          <w:sz w:val="16"/>
          <w:szCs w:val="16"/>
          <w:u w:val="single"/>
          <w:rtl/>
        </w:rPr>
        <w:t>נשבע לפני ב"ד</w:t>
      </w:r>
      <w:r w:rsidRPr="00335685">
        <w:rPr>
          <w:rFonts w:cs="Arial" w:hint="cs"/>
          <w:sz w:val="16"/>
          <w:szCs w:val="16"/>
          <w:u w:val="single"/>
          <w:rtl/>
        </w:rPr>
        <w:t>)</w:t>
      </w:r>
      <w:r w:rsidRPr="00335685">
        <w:rPr>
          <w:rFonts w:cs="Arial" w:hint="cs"/>
          <w:u w:val="single"/>
          <w:rtl/>
        </w:rPr>
        <w:t xml:space="preserve"> </w:t>
      </w:r>
      <w:r w:rsidRPr="00335685">
        <w:rPr>
          <w:rFonts w:cs="Arial"/>
          <w:u w:val="single"/>
          <w:rtl/>
        </w:rPr>
        <w:t>–</w:t>
      </w:r>
      <w:r w:rsidRPr="00335685">
        <w:rPr>
          <w:rFonts w:cs="Arial" w:hint="cs"/>
          <w:u w:val="single"/>
          <w:rtl/>
        </w:rPr>
        <w:t xml:space="preserve"> </w:t>
      </w:r>
      <w:r>
        <w:rPr>
          <w:rFonts w:cs="Arial" w:hint="cs"/>
          <w:u w:val="single"/>
          <w:rtl/>
        </w:rPr>
        <w:t>ו</w:t>
      </w:r>
      <w:r w:rsidRPr="00335685">
        <w:rPr>
          <w:rFonts w:cs="Arial" w:hint="cs"/>
          <w:u w:val="single"/>
          <w:rtl/>
        </w:rPr>
        <w:t xml:space="preserve">זה שגנב לו תפס כפל: </w:t>
      </w:r>
    </w:p>
    <w:p w14:paraId="3A28C6D6" w14:textId="77777777" w:rsidR="004A326E" w:rsidRDefault="004A326E" w:rsidP="004B0475">
      <w:pPr>
        <w:pStyle w:val="ac"/>
        <w:numPr>
          <w:ilvl w:val="0"/>
          <w:numId w:val="45"/>
        </w:numPr>
      </w:pPr>
      <w:r w:rsidRPr="00DB2EB2">
        <w:rPr>
          <w:rFonts w:cs="Arial" w:hint="cs"/>
          <w:rtl/>
        </w:rPr>
        <w:t xml:space="preserve">ש"ך </w:t>
      </w:r>
      <w:r w:rsidRPr="00DB2EB2">
        <w:rPr>
          <w:rFonts w:cs="Arial" w:hint="cs"/>
          <w:sz w:val="16"/>
          <w:szCs w:val="16"/>
          <w:rtl/>
        </w:rPr>
        <w:t>(סקט"ז</w:t>
      </w:r>
      <w:r>
        <w:rPr>
          <w:rFonts w:cs="Arial" w:hint="cs"/>
          <w:sz w:val="16"/>
          <w:szCs w:val="16"/>
          <w:rtl/>
        </w:rPr>
        <w:t>, וכ' שכן דעת הרמב"ן, הביאו הב"ח</w:t>
      </w:r>
      <w:r w:rsidRPr="00DB2EB2">
        <w:rPr>
          <w:rFonts w:cs="Arial" w:hint="cs"/>
          <w:sz w:val="16"/>
          <w:szCs w:val="16"/>
          <w:rtl/>
        </w:rPr>
        <w:t>)</w:t>
      </w:r>
      <w:r w:rsidRPr="00DB2EB2">
        <w:rPr>
          <w:rFonts w:cs="Arial" w:hint="cs"/>
          <w:rtl/>
        </w:rPr>
        <w:t xml:space="preserve">- </w:t>
      </w:r>
      <w:r w:rsidRPr="00DB2EB2">
        <w:rPr>
          <w:rFonts w:cs="Arial"/>
          <w:rtl/>
        </w:rPr>
        <w:t>שומר שטוען טענת גנב והוא עצמו גנב, כיון דלא משלם כפל אלא בנשבע לפני ב"ד, ואנן לית לן ב"ד מומחה, א</w:t>
      </w:r>
      <w:r w:rsidRPr="00DB2EB2">
        <w:rPr>
          <w:rFonts w:cs="Arial" w:hint="cs"/>
          <w:rtl/>
        </w:rPr>
        <w:t>"</w:t>
      </w:r>
      <w:r w:rsidRPr="00DB2EB2">
        <w:rPr>
          <w:rFonts w:cs="Arial"/>
          <w:rtl/>
        </w:rPr>
        <w:t>כ לא נתחייב בכפל ואפילו תפס מפקינן מיניה</w:t>
      </w:r>
      <w:r w:rsidRPr="00DB2EB2">
        <w:rPr>
          <w:rFonts w:cs="Arial" w:hint="cs"/>
          <w:rtl/>
        </w:rPr>
        <w:t>.</w:t>
      </w:r>
    </w:p>
    <w:p w14:paraId="4960D097" w14:textId="77777777" w:rsidR="004A326E" w:rsidRDefault="004A326E" w:rsidP="004A326E">
      <w:pPr>
        <w:rPr>
          <w:rtl/>
        </w:rPr>
      </w:pPr>
    </w:p>
    <w:p w14:paraId="222F0A52" w14:textId="77777777" w:rsidR="004A326E" w:rsidRDefault="004A326E" w:rsidP="004A326E">
      <w:pPr>
        <w:pStyle w:val="2"/>
        <w:rPr>
          <w:rtl/>
        </w:rPr>
      </w:pPr>
      <w:bookmarkStart w:id="9" w:name="_Toc24883516"/>
      <w:r>
        <w:rPr>
          <w:rtl/>
        </w:rPr>
        <w:t>סעיף ו</w:t>
      </w:r>
      <w:r>
        <w:rPr>
          <w:rFonts w:hint="cs"/>
          <w:rtl/>
        </w:rPr>
        <w:t>: נידוי של המבייש בדברים.</w:t>
      </w:r>
      <w:bookmarkEnd w:id="9"/>
    </w:p>
    <w:p w14:paraId="01ABC0FD" w14:textId="77777777" w:rsidR="00D62231" w:rsidRDefault="00D62231" w:rsidP="00D62231">
      <w:pPr>
        <w:rPr>
          <w:rFonts w:cs="Arial"/>
          <w:rtl/>
        </w:rPr>
      </w:pPr>
      <w:r w:rsidRPr="00FF7541">
        <w:rPr>
          <w:rFonts w:cs="Arial" w:hint="cs"/>
          <w:b/>
          <w:bCs/>
          <w:rtl/>
        </w:rPr>
        <w:t xml:space="preserve">בבא קמא </w:t>
      </w:r>
      <w:r>
        <w:rPr>
          <w:rFonts w:cs="Arial" w:hint="cs"/>
          <w:b/>
          <w:bCs/>
          <w:sz w:val="16"/>
          <w:szCs w:val="16"/>
          <w:rtl/>
        </w:rPr>
        <w:t xml:space="preserve">(פ' החובל) </w:t>
      </w:r>
      <w:r w:rsidRPr="00FF7541">
        <w:rPr>
          <w:rFonts w:cs="Arial" w:hint="cs"/>
          <w:b/>
          <w:bCs/>
          <w:rtl/>
        </w:rPr>
        <w:t>צ</w:t>
      </w:r>
      <w:r>
        <w:rPr>
          <w:rStyle w:val="ab"/>
          <w:rFonts w:cs="Arial"/>
          <w:b/>
          <w:bCs/>
          <w:rtl/>
        </w:rPr>
        <w:footnoteReference w:id="98"/>
      </w:r>
      <w:r w:rsidRPr="00FF7541">
        <w:rPr>
          <w:rFonts w:cs="Arial" w:hint="cs"/>
          <w:b/>
          <w:bCs/>
          <w:rtl/>
        </w:rPr>
        <w:t xml:space="preserve"> ע"א: </w:t>
      </w:r>
      <w:r w:rsidRPr="000970B8">
        <w:rPr>
          <w:rFonts w:cs="Arial"/>
          <w:u w:val="double"/>
          <w:rtl/>
        </w:rPr>
        <w:t>מתני'</w:t>
      </w:r>
      <w:r>
        <w:rPr>
          <w:rFonts w:cs="Arial" w:hint="cs"/>
          <w:rtl/>
        </w:rPr>
        <w:t>:</w:t>
      </w:r>
      <w:r w:rsidRPr="000970B8">
        <w:rPr>
          <w:rFonts w:cs="Arial"/>
          <w:rtl/>
        </w:rPr>
        <w:t xml:space="preserve"> רקק והגיע בו רוקו</w:t>
      </w:r>
      <w:r>
        <w:rPr>
          <w:rFonts w:cs="Arial" w:hint="cs"/>
          <w:rtl/>
        </w:rPr>
        <w:t>...</w:t>
      </w:r>
      <w:r w:rsidRPr="000970B8">
        <w:rPr>
          <w:rFonts w:cs="Arial"/>
          <w:rtl/>
        </w:rPr>
        <w:t xml:space="preserve"> - נותן לו ארבע מאות זוז</w:t>
      </w:r>
      <w:r>
        <w:rPr>
          <w:rFonts w:cs="Arial" w:hint="cs"/>
          <w:rtl/>
        </w:rPr>
        <w:t xml:space="preserve">...   </w:t>
      </w:r>
      <w:r w:rsidRPr="000970B8">
        <w:rPr>
          <w:rFonts w:cs="Arial"/>
          <w:rtl/>
        </w:rPr>
        <w:t xml:space="preserve"> </w:t>
      </w:r>
      <w:r w:rsidRPr="000970B8">
        <w:rPr>
          <w:rFonts w:cs="Arial" w:hint="cs"/>
          <w:u w:val="double"/>
          <w:rtl/>
        </w:rPr>
        <w:t>גמ'</w:t>
      </w:r>
      <w:r w:rsidRPr="000970B8">
        <w:rPr>
          <w:rFonts w:cs="Arial" w:hint="cs"/>
          <w:sz w:val="14"/>
          <w:szCs w:val="14"/>
          <w:u w:val="double"/>
          <w:rtl/>
        </w:rPr>
        <w:t xml:space="preserve"> (צא.)</w:t>
      </w:r>
      <w:r w:rsidRPr="000970B8">
        <w:rPr>
          <w:rFonts w:cs="Arial" w:hint="cs"/>
          <w:u w:val="double"/>
          <w:rtl/>
        </w:rPr>
        <w:t>:</w:t>
      </w:r>
      <w:r>
        <w:rPr>
          <w:rFonts w:cs="Arial" w:hint="cs"/>
          <w:rtl/>
        </w:rPr>
        <w:t xml:space="preserve"> </w:t>
      </w:r>
      <w:r w:rsidRPr="00FF7541">
        <w:rPr>
          <w:rFonts w:cs="Arial"/>
          <w:rtl/>
        </w:rPr>
        <w:t xml:space="preserve">רקק והגיע בו הרוק, והעביר כו'. </w:t>
      </w:r>
      <w:r w:rsidRPr="000970B8">
        <w:rPr>
          <w:rFonts w:cs="Arial"/>
          <w:u w:val="single"/>
          <w:rtl/>
        </w:rPr>
        <w:t>אמר רב פפא</w:t>
      </w:r>
      <w:r w:rsidRPr="00FF7541">
        <w:rPr>
          <w:rFonts w:cs="Arial"/>
          <w:rtl/>
        </w:rPr>
        <w:t>: לא שנו אלא בו, אבל בבגדו - לא. וניהוי כי בייש בדברים! אמרי במערבא משמיה דרבי יוסי בר אבין, זאת אומרת: ביישו בדברים פטור מכלום</w:t>
      </w:r>
      <w:r>
        <w:rPr>
          <w:rFonts w:cs="Arial" w:hint="cs"/>
          <w:rtl/>
        </w:rPr>
        <w:t>.</w:t>
      </w:r>
    </w:p>
    <w:p w14:paraId="35174B2E" w14:textId="77777777" w:rsidR="00D62231" w:rsidRPr="00B3262B" w:rsidRDefault="00D62231" w:rsidP="00D62231">
      <w:pPr>
        <w:rPr>
          <w:rFonts w:cs="Arial"/>
          <w:sz w:val="16"/>
          <w:szCs w:val="16"/>
          <w:u w:val="single"/>
          <w:rtl/>
        </w:rPr>
      </w:pPr>
      <w:r w:rsidRPr="00B3262B">
        <w:rPr>
          <w:rFonts w:cs="Arial" w:hint="cs"/>
          <w:u w:val="single"/>
          <w:rtl/>
        </w:rPr>
        <w:t xml:space="preserve">המבייש </w:t>
      </w:r>
      <w:r w:rsidRPr="00B3262B">
        <w:rPr>
          <w:rFonts w:cs="Arial" w:hint="cs"/>
          <w:b/>
          <w:bCs/>
          <w:u w:val="single"/>
          <w:rtl/>
        </w:rPr>
        <w:t>אדם</w:t>
      </w:r>
      <w:r w:rsidRPr="00B3262B">
        <w:rPr>
          <w:rFonts w:cs="Arial" w:hint="cs"/>
          <w:u w:val="single"/>
          <w:rtl/>
        </w:rPr>
        <w:t xml:space="preserve"> בדברים:</w:t>
      </w:r>
    </w:p>
    <w:p w14:paraId="59ABF010" w14:textId="77777777" w:rsidR="00D62231" w:rsidRPr="00B3262B" w:rsidRDefault="00D62231" w:rsidP="004B0475">
      <w:pPr>
        <w:pStyle w:val="ac"/>
        <w:numPr>
          <w:ilvl w:val="0"/>
          <w:numId w:val="47"/>
        </w:numPr>
        <w:rPr>
          <w:rFonts w:cs="Arial"/>
          <w:rtl/>
        </w:rPr>
      </w:pPr>
      <w:r w:rsidRPr="00B3262B">
        <w:rPr>
          <w:rFonts w:cs="Arial"/>
          <w:rtl/>
        </w:rPr>
        <w:t xml:space="preserve">רא"ש </w:t>
      </w:r>
      <w:r w:rsidRPr="00B3262B">
        <w:rPr>
          <w:rFonts w:cs="Arial" w:hint="cs"/>
          <w:sz w:val="16"/>
          <w:szCs w:val="16"/>
          <w:rtl/>
        </w:rPr>
        <w:t>(</w:t>
      </w:r>
      <w:r>
        <w:rPr>
          <w:rFonts w:cs="Arial" w:hint="cs"/>
          <w:sz w:val="16"/>
          <w:szCs w:val="16"/>
          <w:rtl/>
        </w:rPr>
        <w:t xml:space="preserve">פ"ח </w:t>
      </w:r>
      <w:r w:rsidRPr="00B3262B">
        <w:rPr>
          <w:rFonts w:cs="Arial"/>
          <w:sz w:val="16"/>
          <w:szCs w:val="16"/>
          <w:rtl/>
        </w:rPr>
        <w:t>סי' טו)</w:t>
      </w:r>
      <w:r w:rsidRPr="00B3262B">
        <w:rPr>
          <w:rFonts w:cs="Arial" w:hint="cs"/>
          <w:rtl/>
        </w:rPr>
        <w:t xml:space="preserve">- </w:t>
      </w:r>
      <w:r>
        <w:rPr>
          <w:rStyle w:val="ab"/>
          <w:rFonts w:cs="Arial"/>
          <w:rtl/>
        </w:rPr>
        <w:footnoteReference w:id="99"/>
      </w:r>
      <w:r w:rsidRPr="00B3262B">
        <w:rPr>
          <w:rFonts w:cs="Arial"/>
          <w:rtl/>
        </w:rPr>
        <w:t>לא חייבה תורה אלא על בשת גופו</w:t>
      </w:r>
      <w:r>
        <w:rPr>
          <w:rFonts w:cs="Arial" w:hint="cs"/>
          <w:rtl/>
        </w:rPr>
        <w:t>,</w:t>
      </w:r>
      <w:r w:rsidRPr="00B3262B">
        <w:rPr>
          <w:rFonts w:cs="Arial"/>
          <w:rtl/>
        </w:rPr>
        <w:t xml:space="preserve"> אבל בשת דברים או רקק על בגדו </w:t>
      </w:r>
      <w:r>
        <w:rPr>
          <w:rFonts w:cs="Arial"/>
          <w:rtl/>
        </w:rPr>
        <w:t>–</w:t>
      </w:r>
      <w:r>
        <w:rPr>
          <w:rFonts w:cs="Arial" w:hint="cs"/>
          <w:rtl/>
        </w:rPr>
        <w:t xml:space="preserve"> </w:t>
      </w:r>
      <w:r w:rsidRPr="00B3262B">
        <w:rPr>
          <w:rFonts w:cs="Arial"/>
          <w:rtl/>
        </w:rPr>
        <w:t>פטור</w:t>
      </w:r>
      <w:r>
        <w:rPr>
          <w:rFonts w:cs="Arial" w:hint="cs"/>
          <w:rtl/>
        </w:rPr>
        <w:t>.</w:t>
      </w:r>
      <w:r w:rsidRPr="00B3262B">
        <w:rPr>
          <w:rFonts w:cs="Arial"/>
          <w:rtl/>
        </w:rPr>
        <w:t xml:space="preserve"> ורב שרירא ז"ל כתב דאף על בשת דברים מנדים אותו עד שיפייסנו כראוי לפי כבודו</w:t>
      </w:r>
      <w:r w:rsidRPr="00B3262B">
        <w:rPr>
          <w:rFonts w:cs="Arial" w:hint="cs"/>
          <w:rtl/>
        </w:rPr>
        <w:t>,</w:t>
      </w:r>
      <w:r w:rsidRPr="00B3262B">
        <w:rPr>
          <w:rFonts w:cs="Arial"/>
          <w:rtl/>
        </w:rPr>
        <w:t xml:space="preserve"> ומסתברא</w:t>
      </w:r>
      <w:r w:rsidRPr="00B3262B">
        <w:rPr>
          <w:rFonts w:cs="Arial" w:hint="cs"/>
          <w:rtl/>
        </w:rPr>
        <w:t>,</w:t>
      </w:r>
      <w:r w:rsidRPr="00B3262B">
        <w:rPr>
          <w:rFonts w:cs="Arial"/>
          <w:rtl/>
        </w:rPr>
        <w:t xml:space="preserve"> דיותר בשת בדברים מבשת של חבלה</w:t>
      </w:r>
      <w:r w:rsidRPr="00B3262B">
        <w:rPr>
          <w:rFonts w:cs="Arial" w:hint="cs"/>
          <w:rtl/>
        </w:rPr>
        <w:t>,</w:t>
      </w:r>
      <w:r w:rsidRPr="00B3262B">
        <w:rPr>
          <w:rFonts w:cs="Arial"/>
          <w:rtl/>
        </w:rPr>
        <w:t xml:space="preserve"> דאין דבר גדול כלשון הרע ודבה שאדם מוציא על חבירו</w:t>
      </w:r>
      <w:r w:rsidRPr="00B3262B">
        <w:rPr>
          <w:rFonts w:cs="Arial" w:hint="cs"/>
          <w:rtl/>
        </w:rPr>
        <w:t>.</w:t>
      </w:r>
      <w:r w:rsidRPr="00B3262B">
        <w:rPr>
          <w:rFonts w:cs="Arial" w:hint="cs"/>
          <w:color w:val="E36C0A" w:themeColor="accent6" w:themeShade="BF"/>
          <w:rtl/>
        </w:rPr>
        <w:t xml:space="preserve"> </w:t>
      </w:r>
      <w:r w:rsidRPr="005306ED">
        <w:rPr>
          <w:rFonts w:cs="Arial" w:hint="cs"/>
          <w:color w:val="E36C0A" w:themeColor="accent6" w:themeShade="BF"/>
          <w:rtl/>
        </w:rPr>
        <w:t>(וכ"פ בשו"ע)</w:t>
      </w:r>
    </w:p>
    <w:p w14:paraId="34258A2D" w14:textId="77777777" w:rsidR="004A326E" w:rsidRDefault="004A326E" w:rsidP="004A326E">
      <w:pPr>
        <w:rPr>
          <w:rFonts w:cs="Arial"/>
          <w:rtl/>
        </w:rPr>
      </w:pPr>
      <w:r w:rsidRPr="00D82EAA">
        <w:rPr>
          <w:rFonts w:cs="Arial" w:hint="cs"/>
          <w:b/>
          <w:bCs/>
          <w:rtl/>
        </w:rPr>
        <w:t>ירושלמי</w:t>
      </w:r>
      <w:r>
        <w:rPr>
          <w:rFonts w:cs="Arial" w:hint="cs"/>
          <w:b/>
          <w:bCs/>
          <w:sz w:val="16"/>
          <w:szCs w:val="16"/>
          <w:rtl/>
        </w:rPr>
        <w:t xml:space="preserve"> (וילנא)</w:t>
      </w:r>
      <w:r w:rsidRPr="00D82EAA">
        <w:rPr>
          <w:rFonts w:cs="Arial" w:hint="cs"/>
          <w:b/>
          <w:bCs/>
          <w:rtl/>
        </w:rPr>
        <w:t xml:space="preserve"> בבא קמא פ"ח ה"ו: </w:t>
      </w:r>
      <w:r w:rsidRPr="00D77BE8">
        <w:rPr>
          <w:rFonts w:cs="Arial"/>
          <w:u w:val="single"/>
          <w:rtl/>
        </w:rPr>
        <w:t>חד אמר בשם ריש לקיש</w:t>
      </w:r>
      <w:r w:rsidR="00D77BE8">
        <w:rPr>
          <w:rFonts w:cs="Arial" w:hint="cs"/>
          <w:rtl/>
        </w:rPr>
        <w:t>:</w:t>
      </w:r>
      <w:r w:rsidRPr="00D82EAA">
        <w:rPr>
          <w:rFonts w:cs="Arial"/>
          <w:rtl/>
        </w:rPr>
        <w:t xml:space="preserve"> המבייש את הזקן נותן לו דמי בושתו משלם. חד בר נש איקפד לרבי יודה בר חנינה</w:t>
      </w:r>
      <w:r w:rsidR="00D77BE8">
        <w:rPr>
          <w:rFonts w:cs="Arial" w:hint="cs"/>
          <w:rtl/>
        </w:rPr>
        <w:t>,</w:t>
      </w:r>
      <w:r w:rsidRPr="00D82EAA">
        <w:rPr>
          <w:rFonts w:cs="Arial"/>
          <w:rtl/>
        </w:rPr>
        <w:t xml:space="preserve"> אתא עובדא קומי ריש לקיש וקנסיה ליטרא דדהב.</w:t>
      </w:r>
      <w:r w:rsidRPr="00FF7541">
        <w:rPr>
          <w:rtl/>
        </w:rPr>
        <w:t xml:space="preserve"> </w:t>
      </w:r>
      <w:r w:rsidRPr="00FF7541">
        <w:rPr>
          <w:rFonts w:cs="Arial"/>
          <w:rtl/>
        </w:rPr>
        <w:t>רקק והגיע בו הרוק</w:t>
      </w:r>
      <w:r w:rsidR="00D77BE8">
        <w:rPr>
          <w:rFonts w:cs="Arial" w:hint="cs"/>
          <w:rtl/>
        </w:rPr>
        <w:t>.</w:t>
      </w:r>
      <w:r w:rsidRPr="00FF7541">
        <w:rPr>
          <w:rFonts w:cs="Arial"/>
          <w:rtl/>
        </w:rPr>
        <w:t xml:space="preserve"> עד היכן הגיע בו הרוק</w:t>
      </w:r>
      <w:r w:rsidR="00D77BE8">
        <w:rPr>
          <w:rFonts w:cs="Arial" w:hint="cs"/>
          <w:rtl/>
        </w:rPr>
        <w:t>?</w:t>
      </w:r>
      <w:r w:rsidRPr="00FF7541">
        <w:rPr>
          <w:rFonts w:cs="Arial"/>
          <w:rtl/>
        </w:rPr>
        <w:t xml:space="preserve"> עד גופו עד כליו. אלא רקק ולא הגיע בו הרוק מהו</w:t>
      </w:r>
      <w:r w:rsidR="00D77BE8">
        <w:rPr>
          <w:rFonts w:cs="Arial" w:hint="cs"/>
          <w:rtl/>
        </w:rPr>
        <w:t>?</w:t>
      </w:r>
      <w:r w:rsidRPr="00FF7541">
        <w:rPr>
          <w:rFonts w:cs="Arial"/>
          <w:rtl/>
        </w:rPr>
        <w:t xml:space="preserve"> </w:t>
      </w:r>
      <w:r w:rsidRPr="00D77BE8">
        <w:rPr>
          <w:rFonts w:cs="Arial"/>
          <w:u w:val="single"/>
          <w:rtl/>
        </w:rPr>
        <w:t>א"ר יוסי</w:t>
      </w:r>
      <w:r w:rsidR="00D77BE8">
        <w:rPr>
          <w:rFonts w:cs="Arial" w:hint="cs"/>
          <w:rtl/>
        </w:rPr>
        <w:t>:</w:t>
      </w:r>
      <w:r w:rsidRPr="00FF7541">
        <w:rPr>
          <w:rFonts w:cs="Arial"/>
          <w:rtl/>
        </w:rPr>
        <w:t xml:space="preserve"> הדא אמרה המבייש את חבירו בדברים פטור. </w:t>
      </w:r>
      <w:r>
        <w:rPr>
          <w:rFonts w:cs="Arial" w:hint="cs"/>
          <w:sz w:val="16"/>
          <w:szCs w:val="16"/>
          <w:rtl/>
        </w:rPr>
        <w:t>(</w:t>
      </w:r>
      <w:r w:rsidRPr="00FF7541">
        <w:rPr>
          <w:rFonts w:cs="Arial"/>
          <w:sz w:val="16"/>
          <w:szCs w:val="16"/>
          <w:rtl/>
        </w:rPr>
        <w:t>כתבוהו הרי"ף (לב:) והרא"ש (סי' טו) בפרק החובל וכ</w:t>
      </w:r>
      <w:r>
        <w:rPr>
          <w:rFonts w:cs="Arial" w:hint="cs"/>
          <w:sz w:val="16"/>
          <w:szCs w:val="16"/>
          <w:rtl/>
        </w:rPr>
        <w:t>"</w:t>
      </w:r>
      <w:r w:rsidRPr="00FF7541">
        <w:rPr>
          <w:rFonts w:cs="Arial"/>
          <w:sz w:val="16"/>
          <w:szCs w:val="16"/>
          <w:rtl/>
        </w:rPr>
        <w:t>פ הרמב"ם ז"ל בפ</w:t>
      </w:r>
      <w:r>
        <w:rPr>
          <w:rFonts w:cs="Arial" w:hint="cs"/>
          <w:sz w:val="16"/>
          <w:szCs w:val="16"/>
          <w:rtl/>
        </w:rPr>
        <w:t>"ו</w:t>
      </w:r>
      <w:r w:rsidRPr="00FF7541">
        <w:rPr>
          <w:rFonts w:cs="Arial"/>
          <w:sz w:val="16"/>
          <w:szCs w:val="16"/>
          <w:rtl/>
        </w:rPr>
        <w:t xml:space="preserve"> מהל</w:t>
      </w:r>
      <w:r>
        <w:rPr>
          <w:rFonts w:cs="Arial" w:hint="cs"/>
          <w:sz w:val="16"/>
          <w:szCs w:val="16"/>
          <w:rtl/>
        </w:rPr>
        <w:t>'</w:t>
      </w:r>
      <w:r w:rsidRPr="00FF7541">
        <w:rPr>
          <w:rFonts w:cs="Arial"/>
          <w:sz w:val="16"/>
          <w:szCs w:val="16"/>
          <w:rtl/>
        </w:rPr>
        <w:t xml:space="preserve"> ת</w:t>
      </w:r>
      <w:r>
        <w:rPr>
          <w:rFonts w:cs="Arial" w:hint="cs"/>
          <w:sz w:val="16"/>
          <w:szCs w:val="16"/>
          <w:rtl/>
        </w:rPr>
        <w:t>"</w:t>
      </w:r>
      <w:r w:rsidRPr="00FF7541">
        <w:rPr>
          <w:rFonts w:cs="Arial"/>
          <w:sz w:val="16"/>
          <w:szCs w:val="16"/>
          <w:rtl/>
        </w:rPr>
        <w:t>ת (הי"ב)</w:t>
      </w:r>
      <w:r>
        <w:rPr>
          <w:rFonts w:cs="Arial" w:hint="cs"/>
          <w:sz w:val="16"/>
          <w:szCs w:val="16"/>
          <w:rtl/>
        </w:rPr>
        <w:t>,</w:t>
      </w:r>
      <w:r w:rsidRPr="00FF7541">
        <w:rPr>
          <w:rFonts w:cs="Arial"/>
          <w:sz w:val="16"/>
          <w:szCs w:val="16"/>
          <w:rtl/>
        </w:rPr>
        <w:t xml:space="preserve"> וכבר נתבאר בטור י</w:t>
      </w:r>
      <w:r>
        <w:rPr>
          <w:rFonts w:cs="Arial" w:hint="cs"/>
          <w:sz w:val="16"/>
          <w:szCs w:val="16"/>
          <w:rtl/>
        </w:rPr>
        <w:t>ו</w:t>
      </w:r>
      <w:r w:rsidRPr="00FF7541">
        <w:rPr>
          <w:rFonts w:cs="Arial"/>
          <w:sz w:val="16"/>
          <w:szCs w:val="16"/>
          <w:rtl/>
        </w:rPr>
        <w:t>"ד סי</w:t>
      </w:r>
      <w:r>
        <w:rPr>
          <w:rFonts w:cs="Arial" w:hint="cs"/>
          <w:sz w:val="16"/>
          <w:szCs w:val="16"/>
          <w:rtl/>
        </w:rPr>
        <w:t>'</w:t>
      </w:r>
      <w:r w:rsidRPr="00FF7541">
        <w:rPr>
          <w:rFonts w:cs="Arial"/>
          <w:sz w:val="16"/>
          <w:szCs w:val="16"/>
          <w:rtl/>
        </w:rPr>
        <w:t xml:space="preserve"> רמג</w:t>
      </w:r>
      <w:r>
        <w:rPr>
          <w:rFonts w:cs="Arial" w:hint="cs"/>
          <w:sz w:val="16"/>
          <w:szCs w:val="16"/>
          <w:rtl/>
        </w:rPr>
        <w:t>, ב"י</w:t>
      </w:r>
      <w:r w:rsidRPr="00FF7541">
        <w:rPr>
          <w:rFonts w:cs="Arial" w:hint="cs"/>
          <w:sz w:val="16"/>
          <w:szCs w:val="16"/>
          <w:rtl/>
        </w:rPr>
        <w:t>)</w:t>
      </w:r>
    </w:p>
    <w:p w14:paraId="1F32BD90" w14:textId="77777777" w:rsidR="004A326E" w:rsidRPr="00B51186" w:rsidRDefault="004A326E" w:rsidP="004A326E">
      <w:pPr>
        <w:rPr>
          <w:rFonts w:cs="Arial"/>
          <w:u w:val="single"/>
          <w:rtl/>
        </w:rPr>
      </w:pPr>
      <w:r w:rsidRPr="00B51186">
        <w:rPr>
          <w:rFonts w:cs="Arial" w:hint="cs"/>
          <w:u w:val="single"/>
          <w:rtl/>
        </w:rPr>
        <w:t xml:space="preserve">המבייש </w:t>
      </w:r>
      <w:r w:rsidRPr="00B3262B">
        <w:rPr>
          <w:rFonts w:cs="Arial" w:hint="cs"/>
          <w:b/>
          <w:bCs/>
          <w:u w:val="single"/>
          <w:rtl/>
        </w:rPr>
        <w:t>זקן</w:t>
      </w:r>
      <w:r>
        <w:rPr>
          <w:rFonts w:cs="Arial" w:hint="cs"/>
          <w:sz w:val="16"/>
          <w:szCs w:val="16"/>
          <w:u w:val="single"/>
          <w:rtl/>
        </w:rPr>
        <w:t xml:space="preserve"> (היינו ת"ח)</w:t>
      </w:r>
      <w:r w:rsidRPr="00B51186">
        <w:rPr>
          <w:rFonts w:cs="Arial" w:hint="cs"/>
          <w:u w:val="single"/>
          <w:rtl/>
        </w:rPr>
        <w:t xml:space="preserve"> בדברים:</w:t>
      </w:r>
    </w:p>
    <w:p w14:paraId="789EEF49" w14:textId="77777777" w:rsidR="004A326E" w:rsidRPr="00B51186" w:rsidRDefault="004A326E" w:rsidP="004B0475">
      <w:pPr>
        <w:pStyle w:val="ac"/>
        <w:numPr>
          <w:ilvl w:val="0"/>
          <w:numId w:val="47"/>
        </w:numPr>
        <w:rPr>
          <w:rFonts w:cs="Arial"/>
          <w:rtl/>
        </w:rPr>
      </w:pPr>
      <w:r w:rsidRPr="00B51186">
        <w:rPr>
          <w:rFonts w:cs="Arial" w:hint="cs"/>
          <w:rtl/>
        </w:rPr>
        <w:t>רמב"ם</w:t>
      </w:r>
      <w:r w:rsidRPr="00B51186">
        <w:rPr>
          <w:rFonts w:cs="Arial" w:hint="cs"/>
          <w:sz w:val="16"/>
          <w:szCs w:val="16"/>
          <w:rtl/>
        </w:rPr>
        <w:t xml:space="preserve"> (הל' ת"ת פ"ו הי"ב)</w:t>
      </w:r>
      <w:r w:rsidRPr="00B51186">
        <w:rPr>
          <w:rFonts w:cs="Arial" w:hint="cs"/>
          <w:rtl/>
        </w:rPr>
        <w:t xml:space="preserve">- </w:t>
      </w:r>
      <w:r w:rsidRPr="00B51186">
        <w:rPr>
          <w:rFonts w:cs="Arial"/>
          <w:rtl/>
        </w:rPr>
        <w:t>אע</w:t>
      </w:r>
      <w:r w:rsidR="000970B8">
        <w:rPr>
          <w:rFonts w:cs="Arial" w:hint="cs"/>
          <w:rtl/>
        </w:rPr>
        <w:t>"</w:t>
      </w:r>
      <w:r w:rsidRPr="00B51186">
        <w:rPr>
          <w:rFonts w:cs="Arial"/>
          <w:rtl/>
        </w:rPr>
        <w:t>פ שהמבזה את החכמים אין לו חלק לעוה"ב</w:t>
      </w:r>
      <w:r w:rsidR="000970B8">
        <w:rPr>
          <w:rFonts w:cs="Arial" w:hint="cs"/>
          <w:rtl/>
        </w:rPr>
        <w:t>,</w:t>
      </w:r>
      <w:r w:rsidRPr="00B51186">
        <w:rPr>
          <w:rFonts w:cs="Arial"/>
          <w:rtl/>
        </w:rPr>
        <w:t xml:space="preserve"> אם באו עדים שבזהו</w:t>
      </w:r>
      <w:r w:rsidR="000970B8">
        <w:rPr>
          <w:rFonts w:cs="Arial" w:hint="cs"/>
          <w:rtl/>
        </w:rPr>
        <w:t>,</w:t>
      </w:r>
      <w:r w:rsidRPr="00B51186">
        <w:rPr>
          <w:rFonts w:cs="Arial"/>
          <w:rtl/>
        </w:rPr>
        <w:t xml:space="preserve"> אפילו בדברים</w:t>
      </w:r>
      <w:r w:rsidR="000970B8">
        <w:rPr>
          <w:rFonts w:cs="Arial" w:hint="cs"/>
          <w:rtl/>
        </w:rPr>
        <w:t xml:space="preserve"> -</w:t>
      </w:r>
      <w:r w:rsidRPr="00B51186">
        <w:rPr>
          <w:rFonts w:cs="Arial"/>
          <w:rtl/>
        </w:rPr>
        <w:t xml:space="preserve"> חייב נידוי</w:t>
      </w:r>
      <w:r>
        <w:rPr>
          <w:rFonts w:cs="Arial" w:hint="cs"/>
          <w:rtl/>
        </w:rPr>
        <w:t>,</w:t>
      </w:r>
      <w:r w:rsidRPr="00B51186">
        <w:rPr>
          <w:rFonts w:cs="Arial"/>
          <w:rtl/>
        </w:rPr>
        <w:t xml:space="preserve"> ומנדין אותו בית דין ברבים</w:t>
      </w:r>
      <w:r>
        <w:rPr>
          <w:rFonts w:cs="Arial" w:hint="cs"/>
          <w:rtl/>
        </w:rPr>
        <w:t>,</w:t>
      </w:r>
      <w:r w:rsidRPr="00B51186">
        <w:rPr>
          <w:rFonts w:cs="Arial"/>
          <w:rtl/>
        </w:rPr>
        <w:t xml:space="preserve"> וקונסין אותו ליטרא זהב בכל מקום ונותנין אותה לחכם</w:t>
      </w:r>
      <w:r w:rsidR="00D62231">
        <w:rPr>
          <w:rFonts w:cs="Arial" w:hint="cs"/>
          <w:rtl/>
        </w:rPr>
        <w:t>.</w:t>
      </w:r>
      <w:r w:rsidRPr="00B51186">
        <w:rPr>
          <w:rFonts w:cs="Arial"/>
          <w:rtl/>
        </w:rPr>
        <w:t xml:space="preserve"> והמבזה את החכם בדברים אפילו לאחר מיתה </w:t>
      </w:r>
      <w:r w:rsidR="00D62231">
        <w:rPr>
          <w:rFonts w:cs="Arial" w:hint="cs"/>
          <w:rtl/>
        </w:rPr>
        <w:t xml:space="preserve">- </w:t>
      </w:r>
      <w:r w:rsidRPr="00B51186">
        <w:rPr>
          <w:rFonts w:cs="Arial"/>
          <w:rtl/>
        </w:rPr>
        <w:t>מנדין אותו בית דין</w:t>
      </w:r>
      <w:r w:rsidR="00D62231">
        <w:rPr>
          <w:rFonts w:cs="Arial" w:hint="cs"/>
          <w:rtl/>
        </w:rPr>
        <w:t>,</w:t>
      </w:r>
      <w:r w:rsidRPr="00B51186">
        <w:rPr>
          <w:rFonts w:cs="Arial"/>
          <w:rtl/>
        </w:rPr>
        <w:t xml:space="preserve"> והם מתירים אותו כשיחזור בתשובה, </w:t>
      </w:r>
      <w:r w:rsidRPr="00B51186">
        <w:rPr>
          <w:rFonts w:cs="Arial"/>
          <w:rtl/>
        </w:rPr>
        <w:lastRenderedPageBreak/>
        <w:t>אבל אם היה החכם חי אין מתירין אותו עד שירצה זה שנדוהו בשבילו</w:t>
      </w:r>
      <w:r w:rsidR="00D62231">
        <w:rPr>
          <w:rFonts w:cs="Arial" w:hint="cs"/>
          <w:rtl/>
        </w:rPr>
        <w:t>.</w:t>
      </w:r>
      <w:r w:rsidRPr="00B51186">
        <w:rPr>
          <w:rFonts w:cs="Arial"/>
          <w:rtl/>
        </w:rPr>
        <w:t xml:space="preserve"> וכן החכם עצמו מנדה לכבודו לעם הארץ שהפקיר בו</w:t>
      </w:r>
      <w:r>
        <w:rPr>
          <w:rFonts w:cs="Arial" w:hint="cs"/>
          <w:rtl/>
        </w:rPr>
        <w:t>,</w:t>
      </w:r>
      <w:r w:rsidRPr="00B51186">
        <w:rPr>
          <w:rFonts w:cs="Arial"/>
          <w:rtl/>
        </w:rPr>
        <w:t xml:space="preserve"> ואין צריך לא עדים ולא התראה</w:t>
      </w:r>
      <w:r w:rsidR="00D62231">
        <w:rPr>
          <w:rFonts w:cs="Arial" w:hint="cs"/>
          <w:rtl/>
        </w:rPr>
        <w:t>.</w:t>
      </w:r>
      <w:r w:rsidRPr="00B51186">
        <w:rPr>
          <w:rFonts w:cs="Arial"/>
          <w:rtl/>
        </w:rPr>
        <w:t xml:space="preserve"> ואין מתירין לו עד שירצה את החכם</w:t>
      </w:r>
      <w:r w:rsidR="00D62231">
        <w:rPr>
          <w:rFonts w:cs="Arial" w:hint="cs"/>
          <w:rtl/>
        </w:rPr>
        <w:t>.</w:t>
      </w:r>
      <w:r w:rsidRPr="00B51186">
        <w:rPr>
          <w:rFonts w:cs="Arial"/>
          <w:rtl/>
        </w:rPr>
        <w:t xml:space="preserve"> ואם מת החכם </w:t>
      </w:r>
      <w:r w:rsidR="000970B8">
        <w:rPr>
          <w:rFonts w:cs="Arial" w:hint="cs"/>
          <w:rtl/>
        </w:rPr>
        <w:t xml:space="preserve">- </w:t>
      </w:r>
      <w:r w:rsidRPr="00B51186">
        <w:rPr>
          <w:rFonts w:cs="Arial"/>
          <w:rtl/>
        </w:rPr>
        <w:t>באין שלשה ומתירין לו</w:t>
      </w:r>
      <w:r w:rsidR="00D62231">
        <w:rPr>
          <w:rFonts w:cs="Arial" w:hint="cs"/>
          <w:rtl/>
        </w:rPr>
        <w:t>.</w:t>
      </w:r>
      <w:r w:rsidRPr="00B51186">
        <w:rPr>
          <w:rFonts w:cs="Arial"/>
          <w:rtl/>
        </w:rPr>
        <w:t xml:space="preserve"> ואם רצה החכם למחול לו ולא נדהו </w:t>
      </w:r>
      <w:r w:rsidR="000970B8">
        <w:rPr>
          <w:rFonts w:cs="Arial" w:hint="cs"/>
          <w:rtl/>
        </w:rPr>
        <w:t xml:space="preserve">- </w:t>
      </w:r>
      <w:r w:rsidRPr="00B51186">
        <w:rPr>
          <w:rFonts w:cs="Arial"/>
          <w:rtl/>
        </w:rPr>
        <w:t>הרשות בידו.</w:t>
      </w:r>
    </w:p>
    <w:p w14:paraId="044EC9A5" w14:textId="77777777" w:rsidR="004A326E" w:rsidRDefault="004A326E" w:rsidP="004A326E">
      <w:pPr>
        <w:rPr>
          <w:rFonts w:cs="Arial"/>
          <w:u w:val="single"/>
          <w:rtl/>
        </w:rPr>
      </w:pPr>
      <w:r w:rsidRPr="00FF7541">
        <w:rPr>
          <w:rFonts w:cs="Arial" w:hint="cs"/>
          <w:u w:val="single"/>
          <w:rtl/>
        </w:rPr>
        <w:t>המאנה את חברו</w:t>
      </w:r>
      <w:r>
        <w:rPr>
          <w:rFonts w:cs="Arial" w:hint="cs"/>
          <w:u w:val="single"/>
          <w:rtl/>
        </w:rPr>
        <w:t xml:space="preserve"> בדברים</w:t>
      </w:r>
      <w:r w:rsidRPr="00FF7541">
        <w:rPr>
          <w:rFonts w:cs="Arial" w:hint="cs"/>
          <w:u w:val="single"/>
          <w:rtl/>
        </w:rPr>
        <w:t>:</w:t>
      </w:r>
    </w:p>
    <w:p w14:paraId="5D9A77CF" w14:textId="77777777" w:rsidR="004A326E" w:rsidRDefault="004A326E" w:rsidP="004B0475">
      <w:pPr>
        <w:pStyle w:val="ac"/>
        <w:numPr>
          <w:ilvl w:val="0"/>
          <w:numId w:val="46"/>
        </w:numPr>
        <w:rPr>
          <w:rtl/>
        </w:rPr>
      </w:pPr>
      <w:r w:rsidRPr="00FF7541">
        <w:rPr>
          <w:rFonts w:cs="Arial"/>
          <w:rtl/>
        </w:rPr>
        <w:t xml:space="preserve">מרדכי </w:t>
      </w:r>
      <w:r w:rsidRPr="00FF7541">
        <w:rPr>
          <w:rFonts w:cs="Arial" w:hint="cs"/>
          <w:sz w:val="16"/>
          <w:szCs w:val="16"/>
          <w:rtl/>
        </w:rPr>
        <w:t xml:space="preserve">(ב"מ </w:t>
      </w:r>
      <w:r w:rsidRPr="00FF7541">
        <w:rPr>
          <w:rFonts w:cs="Arial"/>
          <w:sz w:val="16"/>
          <w:szCs w:val="16"/>
          <w:rtl/>
        </w:rPr>
        <w:t>פ</w:t>
      </w:r>
      <w:r w:rsidRPr="00FF7541">
        <w:rPr>
          <w:rFonts w:cs="Arial" w:hint="cs"/>
          <w:sz w:val="16"/>
          <w:szCs w:val="16"/>
          <w:rtl/>
        </w:rPr>
        <w:t>'</w:t>
      </w:r>
      <w:r w:rsidRPr="00FF7541">
        <w:rPr>
          <w:rFonts w:cs="Arial"/>
          <w:sz w:val="16"/>
          <w:szCs w:val="16"/>
          <w:rtl/>
        </w:rPr>
        <w:t xml:space="preserve"> הזהב</w:t>
      </w:r>
      <w:r w:rsidRPr="00FF7541">
        <w:rPr>
          <w:rFonts w:cs="Arial" w:hint="cs"/>
          <w:sz w:val="16"/>
          <w:szCs w:val="16"/>
          <w:rtl/>
        </w:rPr>
        <w:t xml:space="preserve"> </w:t>
      </w:r>
      <w:r w:rsidRPr="00FF7541">
        <w:rPr>
          <w:rFonts w:cs="Arial"/>
          <w:sz w:val="16"/>
          <w:szCs w:val="16"/>
          <w:rtl/>
        </w:rPr>
        <w:t>סי' שו)</w:t>
      </w:r>
      <w:r w:rsidRPr="00FF7541">
        <w:rPr>
          <w:rFonts w:cs="Arial" w:hint="cs"/>
          <w:rtl/>
        </w:rPr>
        <w:t xml:space="preserve">- </w:t>
      </w:r>
      <w:r w:rsidRPr="00FF7541">
        <w:rPr>
          <w:rFonts w:cs="Arial"/>
          <w:rtl/>
        </w:rPr>
        <w:t xml:space="preserve">המאנה את חבירו בדברים </w:t>
      </w:r>
      <w:r w:rsidR="00D62231">
        <w:rPr>
          <w:rFonts w:cs="Arial" w:hint="cs"/>
          <w:rtl/>
        </w:rPr>
        <w:t xml:space="preserve">- </w:t>
      </w:r>
      <w:r w:rsidRPr="00FF7541">
        <w:rPr>
          <w:rFonts w:cs="Arial"/>
          <w:rtl/>
        </w:rPr>
        <w:t>מלקין אותו</w:t>
      </w:r>
      <w:r w:rsidR="00D62231">
        <w:rPr>
          <w:rFonts w:cs="Arial" w:hint="cs"/>
          <w:rtl/>
        </w:rPr>
        <w:t>,</w:t>
      </w:r>
      <w:r w:rsidRPr="00FF7541">
        <w:rPr>
          <w:rFonts w:cs="Arial"/>
          <w:rtl/>
        </w:rPr>
        <w:t xml:space="preserve"> מפני שעבר על לאו דלא תונו איש את עמיתו</w:t>
      </w:r>
      <w:r w:rsidR="00B3262B">
        <w:rPr>
          <w:rStyle w:val="ab"/>
          <w:rFonts w:cs="Arial"/>
          <w:rtl/>
        </w:rPr>
        <w:footnoteReference w:id="100"/>
      </w:r>
      <w:r w:rsidRPr="00FF7541">
        <w:rPr>
          <w:rFonts w:cs="Arial"/>
          <w:rtl/>
        </w:rPr>
        <w:t xml:space="preserve"> </w:t>
      </w:r>
      <w:r w:rsidRPr="00FF7541">
        <w:rPr>
          <w:rFonts w:cs="Arial"/>
          <w:sz w:val="16"/>
          <w:szCs w:val="16"/>
          <w:rtl/>
        </w:rPr>
        <w:t>(ויקרא כה יז)</w:t>
      </w:r>
      <w:r w:rsidRPr="00FF7541">
        <w:rPr>
          <w:rFonts w:cs="Arial" w:hint="cs"/>
          <w:rtl/>
        </w:rPr>
        <w:t>.</w:t>
      </w:r>
    </w:p>
    <w:p w14:paraId="09F33B3C" w14:textId="77777777" w:rsidR="004A326E" w:rsidRPr="003024E5" w:rsidRDefault="004A326E" w:rsidP="004A326E">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53342A03" w14:textId="77777777" w:rsidR="004A326E" w:rsidRDefault="004A326E" w:rsidP="004A326E">
      <w:pPr>
        <w:rPr>
          <w:rtl/>
        </w:rPr>
      </w:pPr>
      <w:r>
        <w:rPr>
          <w:rFonts w:cs="Arial"/>
          <w:rtl/>
        </w:rPr>
        <w:t>המבייש בדברים, מנדין אותו עד שיפייסנו</w:t>
      </w:r>
      <w:r>
        <w:rPr>
          <w:rStyle w:val="ab"/>
          <w:rFonts w:cs="Arial"/>
          <w:rtl/>
        </w:rPr>
        <w:footnoteReference w:id="101"/>
      </w:r>
      <w:r>
        <w:rPr>
          <w:rFonts w:cs="Arial"/>
          <w:rtl/>
        </w:rPr>
        <w:t xml:space="preserve"> כראוי לפי כבודו</w:t>
      </w:r>
      <w:r>
        <w:rPr>
          <w:rStyle w:val="ab"/>
          <w:rFonts w:cs="Arial"/>
          <w:rtl/>
        </w:rPr>
        <w:footnoteReference w:id="102"/>
      </w:r>
      <w:r>
        <w:rPr>
          <w:rFonts w:cs="Arial"/>
          <w:rtl/>
        </w:rPr>
        <w:t xml:space="preserve">. </w:t>
      </w:r>
      <w:r w:rsidRPr="00583C35">
        <w:rPr>
          <w:rFonts w:cs="Arial"/>
          <w:sz w:val="18"/>
          <w:szCs w:val="18"/>
          <w:rtl/>
        </w:rPr>
        <w:t>הגה: ועיין לקמן סימן תכ סעיף לח. ועיין לקמן סימן ב אם נתחייב לו מלקות, אם יכול לפדות עצמו בממון.</w:t>
      </w:r>
    </w:p>
    <w:p w14:paraId="133C9E4B" w14:textId="77777777" w:rsidR="004A326E" w:rsidRDefault="004A326E" w:rsidP="004A326E">
      <w:pPr>
        <w:rPr>
          <w:rFonts w:cs="Arial"/>
          <w:rtl/>
        </w:rPr>
      </w:pPr>
    </w:p>
    <w:p w14:paraId="179157A0" w14:textId="77777777" w:rsidR="004A326E" w:rsidRDefault="004A326E" w:rsidP="004A326E">
      <w:pPr>
        <w:rPr>
          <w:rFonts w:cs="Arial"/>
          <w:rtl/>
        </w:rPr>
        <w:sectPr w:rsidR="004A326E" w:rsidSect="00AF3AF9">
          <w:footnotePr>
            <w:numRestart w:val="eachPage"/>
          </w:footnotePr>
          <w:pgSz w:w="11906" w:h="16838"/>
          <w:pgMar w:top="720" w:right="1134" w:bottom="720" w:left="1134" w:header="0" w:footer="0" w:gutter="0"/>
          <w:cols w:space="720"/>
          <w:bidi/>
          <w:rtlGutter/>
          <w:docGrid w:linePitch="360"/>
        </w:sectPr>
      </w:pPr>
    </w:p>
    <w:p w14:paraId="3DDB4754" w14:textId="77777777" w:rsidR="004A326E" w:rsidRDefault="004A326E" w:rsidP="004A326E">
      <w:pPr>
        <w:pStyle w:val="1"/>
        <w:rPr>
          <w:rtl/>
        </w:rPr>
      </w:pPr>
      <w:bookmarkStart w:id="10" w:name="_Toc24883517"/>
      <w:r>
        <w:rPr>
          <w:rFonts w:hint="cs"/>
          <w:rtl/>
        </w:rPr>
        <w:lastRenderedPageBreak/>
        <w:t xml:space="preserve">סימן ב: </w:t>
      </w:r>
      <w:r>
        <w:rPr>
          <w:rtl/>
        </w:rPr>
        <w:t>בית דין מכין ועונשין לצורך שעה, ובו סעיף אחד.</w:t>
      </w:r>
      <w:bookmarkEnd w:id="10"/>
      <w:r>
        <w:rPr>
          <w:rtl/>
        </w:rPr>
        <w:t xml:space="preserve"> </w:t>
      </w:r>
    </w:p>
    <w:p w14:paraId="204C2FD1" w14:textId="77777777" w:rsidR="004A326E" w:rsidRDefault="004A326E" w:rsidP="004A326E">
      <w:pPr>
        <w:pStyle w:val="2"/>
        <w:rPr>
          <w:rtl/>
        </w:rPr>
      </w:pPr>
      <w:bookmarkStart w:id="11" w:name="_Toc24883518"/>
      <w:r>
        <w:rPr>
          <w:rtl/>
        </w:rPr>
        <w:t>סעיף א</w:t>
      </w:r>
      <w:bookmarkEnd w:id="11"/>
    </w:p>
    <w:p w14:paraId="25D337A6" w14:textId="77777777" w:rsidR="004A326E" w:rsidRDefault="004A326E" w:rsidP="004A326E">
      <w:pPr>
        <w:rPr>
          <w:rtl/>
        </w:rPr>
      </w:pPr>
      <w:r w:rsidRPr="001771C6">
        <w:rPr>
          <w:rFonts w:cs="Arial" w:hint="cs"/>
          <w:b/>
          <w:bCs/>
          <w:rtl/>
        </w:rPr>
        <w:t xml:space="preserve">סנהדרין </w:t>
      </w:r>
      <w:r w:rsidRPr="001771C6">
        <w:rPr>
          <w:rFonts w:cs="Arial" w:hint="cs"/>
          <w:b/>
          <w:bCs/>
          <w:sz w:val="16"/>
          <w:szCs w:val="16"/>
          <w:rtl/>
        </w:rPr>
        <w:t xml:space="preserve">(פ' נגמר הדין) </w:t>
      </w:r>
      <w:r w:rsidRPr="001771C6">
        <w:rPr>
          <w:rFonts w:cs="Arial" w:hint="cs"/>
          <w:b/>
          <w:bCs/>
          <w:rtl/>
        </w:rPr>
        <w:t>מו</w:t>
      </w:r>
      <w:r w:rsidR="00E44251">
        <w:rPr>
          <w:rStyle w:val="ab"/>
          <w:rFonts w:cs="Arial"/>
          <w:b/>
          <w:bCs/>
          <w:rtl/>
        </w:rPr>
        <w:footnoteReference w:id="103"/>
      </w:r>
      <w:r w:rsidRPr="001771C6">
        <w:rPr>
          <w:rFonts w:cs="Arial" w:hint="cs"/>
          <w:b/>
          <w:bCs/>
          <w:rtl/>
        </w:rPr>
        <w:t xml:space="preserve"> ע"א:</w:t>
      </w:r>
      <w:r>
        <w:rPr>
          <w:rFonts w:cs="Arial" w:hint="cs"/>
          <w:rtl/>
        </w:rPr>
        <w:t xml:space="preserve"> </w:t>
      </w:r>
      <w:r w:rsidRPr="001771C6">
        <w:rPr>
          <w:rFonts w:cs="Arial"/>
          <w:rtl/>
        </w:rPr>
        <w:t>תניא</w:t>
      </w:r>
      <w:r w:rsidR="00C07123">
        <w:rPr>
          <w:rFonts w:cs="Arial" w:hint="cs"/>
          <w:rtl/>
        </w:rPr>
        <w:t>,</w:t>
      </w:r>
      <w:r w:rsidRPr="001771C6">
        <w:rPr>
          <w:rFonts w:cs="Arial"/>
          <w:rtl/>
        </w:rPr>
        <w:t xml:space="preserve"> </w:t>
      </w:r>
      <w:r w:rsidRPr="00271B1D">
        <w:rPr>
          <w:rFonts w:cs="Arial"/>
          <w:u w:val="single"/>
          <w:rtl/>
        </w:rPr>
        <w:t>רבי אליעזר בן יעקב אומר</w:t>
      </w:r>
      <w:r w:rsidRPr="001771C6">
        <w:rPr>
          <w:rFonts w:cs="Arial"/>
          <w:rtl/>
        </w:rPr>
        <w:t>: שמעתי</w:t>
      </w:r>
      <w:r>
        <w:rPr>
          <w:rStyle w:val="ab"/>
          <w:rFonts w:cs="Arial"/>
          <w:rtl/>
        </w:rPr>
        <w:footnoteReference w:id="104"/>
      </w:r>
      <w:r w:rsidRPr="001771C6">
        <w:rPr>
          <w:rFonts w:cs="Arial"/>
          <w:rtl/>
        </w:rPr>
        <w:t xml:space="preserve"> שבית דין</w:t>
      </w:r>
      <w:r>
        <w:rPr>
          <w:rStyle w:val="ab"/>
          <w:rFonts w:cs="Arial"/>
          <w:rtl/>
        </w:rPr>
        <w:footnoteReference w:id="105"/>
      </w:r>
      <w:r w:rsidRPr="001771C6">
        <w:rPr>
          <w:rFonts w:cs="Arial"/>
          <w:rtl/>
        </w:rPr>
        <w:t xml:space="preserve"> מכין ועונשין שלא מן התורה, ולא</w:t>
      </w:r>
      <w:r>
        <w:rPr>
          <w:rStyle w:val="ab"/>
          <w:rFonts w:cs="Arial"/>
          <w:rtl/>
        </w:rPr>
        <w:footnoteReference w:id="106"/>
      </w:r>
      <w:r w:rsidRPr="001771C6">
        <w:rPr>
          <w:rFonts w:cs="Arial"/>
          <w:rtl/>
        </w:rPr>
        <w:t xml:space="preserve"> לעבור על דברי תורה, אלא כדי לעשות סייג</w:t>
      </w:r>
      <w:r>
        <w:rPr>
          <w:rStyle w:val="ab"/>
          <w:rFonts w:cs="Arial"/>
          <w:rtl/>
        </w:rPr>
        <w:footnoteReference w:id="107"/>
      </w:r>
      <w:r w:rsidRPr="001771C6">
        <w:rPr>
          <w:rFonts w:cs="Arial"/>
          <w:rtl/>
        </w:rPr>
        <w:t xml:space="preserve"> לתורה. ומעשה באחד שרכב על סוס בשבת בימי יונים</w:t>
      </w:r>
      <w:r>
        <w:rPr>
          <w:rFonts w:cs="Arial" w:hint="cs"/>
          <w:rtl/>
        </w:rPr>
        <w:t>,</w:t>
      </w:r>
      <w:r w:rsidRPr="001771C6">
        <w:rPr>
          <w:rFonts w:cs="Arial"/>
          <w:rtl/>
        </w:rPr>
        <w:t xml:space="preserve"> והביאוהו לבית דין וסקלוהו. לא מפני שראוי לכך</w:t>
      </w:r>
      <w:r>
        <w:rPr>
          <w:rStyle w:val="ab"/>
          <w:rFonts w:cs="Arial"/>
          <w:rtl/>
        </w:rPr>
        <w:footnoteReference w:id="108"/>
      </w:r>
      <w:r w:rsidRPr="001771C6">
        <w:rPr>
          <w:rFonts w:cs="Arial"/>
          <w:rtl/>
        </w:rPr>
        <w:t>, אלא שהשעה צריכה לכך</w:t>
      </w:r>
      <w:r>
        <w:rPr>
          <w:rStyle w:val="ab"/>
          <w:rFonts w:cs="Arial"/>
          <w:rtl/>
        </w:rPr>
        <w:footnoteReference w:id="109"/>
      </w:r>
      <w:r w:rsidRPr="001771C6">
        <w:rPr>
          <w:rFonts w:cs="Arial"/>
          <w:rtl/>
        </w:rPr>
        <w:t>. שוב מעשה באדם אחד שהטיח</w:t>
      </w:r>
      <w:r>
        <w:rPr>
          <w:rStyle w:val="ab"/>
          <w:rFonts w:cs="Arial"/>
          <w:rtl/>
        </w:rPr>
        <w:footnoteReference w:id="110"/>
      </w:r>
      <w:r w:rsidRPr="001771C6">
        <w:rPr>
          <w:rFonts w:cs="Arial"/>
          <w:rtl/>
        </w:rPr>
        <w:t xml:space="preserve"> את אשתו תחת התאנה</w:t>
      </w:r>
      <w:r>
        <w:rPr>
          <w:rStyle w:val="ab"/>
          <w:rFonts w:cs="Arial"/>
          <w:rtl/>
        </w:rPr>
        <w:footnoteReference w:id="111"/>
      </w:r>
      <w:r w:rsidRPr="001771C6">
        <w:rPr>
          <w:rFonts w:cs="Arial"/>
          <w:rtl/>
        </w:rPr>
        <w:t>, והביאוהו לבית דין והלקוהו, לא מפני שראוי לכך אלא שהשעה צריכה לכך.</w:t>
      </w:r>
    </w:p>
    <w:p w14:paraId="330AA329" w14:textId="77777777" w:rsidR="00EA33E5" w:rsidRPr="00EA33E5" w:rsidRDefault="00EA33E5" w:rsidP="00EA33E5">
      <w:pPr>
        <w:rPr>
          <w:rFonts w:cs="Arial"/>
          <w:rtl/>
        </w:rPr>
      </w:pPr>
      <w:r w:rsidRPr="00EA33E5">
        <w:rPr>
          <w:rFonts w:cs="Arial" w:hint="cs"/>
          <w:b/>
          <w:bCs/>
          <w:rtl/>
        </w:rPr>
        <w:t xml:space="preserve">קדושין </w:t>
      </w:r>
      <w:r w:rsidRPr="00EA33E5">
        <w:rPr>
          <w:rFonts w:cs="Arial" w:hint="cs"/>
          <w:b/>
          <w:bCs/>
          <w:sz w:val="16"/>
          <w:szCs w:val="16"/>
          <w:rtl/>
        </w:rPr>
        <w:t xml:space="preserve"> (פ' עשרה יוחסין) </w:t>
      </w:r>
      <w:r w:rsidRPr="00EA33E5">
        <w:rPr>
          <w:rFonts w:cs="Arial" w:hint="cs"/>
          <w:b/>
          <w:bCs/>
          <w:rtl/>
        </w:rPr>
        <w:t xml:space="preserve">פא ע"א: </w:t>
      </w:r>
      <w:r w:rsidRPr="00EA33E5">
        <w:rPr>
          <w:rFonts w:cs="Arial"/>
          <w:u w:val="single"/>
          <w:rtl/>
        </w:rPr>
        <w:t>אמר רב</w:t>
      </w:r>
      <w:r w:rsidRPr="00EA33E5">
        <w:rPr>
          <w:rFonts w:cs="Arial"/>
          <w:rtl/>
        </w:rPr>
        <w:t>: מלקין על לא טובה השמועה</w:t>
      </w:r>
      <w:r>
        <w:rPr>
          <w:rStyle w:val="ab"/>
          <w:rFonts w:cs="Arial"/>
          <w:rtl/>
        </w:rPr>
        <w:footnoteReference w:id="112"/>
      </w:r>
      <w:r w:rsidRPr="00EA33E5">
        <w:rPr>
          <w:rFonts w:cs="Arial"/>
          <w:rtl/>
        </w:rPr>
        <w:t xml:space="preserve">, שנאמר: אל בני כי לא טובה השמועה. </w:t>
      </w:r>
    </w:p>
    <w:p w14:paraId="3A223D27" w14:textId="77777777" w:rsidR="00EA33E5" w:rsidRPr="00EA33E5" w:rsidRDefault="00EA33E5" w:rsidP="00EA33E5">
      <w:pPr>
        <w:rPr>
          <w:rFonts w:cs="Arial"/>
          <w:rtl/>
        </w:rPr>
      </w:pPr>
      <w:r w:rsidRPr="00EA33E5">
        <w:rPr>
          <w:rFonts w:cs="Arial" w:hint="cs"/>
          <w:b/>
          <w:bCs/>
          <w:rtl/>
        </w:rPr>
        <w:t>מגילה</w:t>
      </w:r>
      <w:r w:rsidRPr="00EA33E5">
        <w:rPr>
          <w:rFonts w:cs="Arial" w:hint="cs"/>
          <w:b/>
          <w:bCs/>
          <w:sz w:val="16"/>
          <w:szCs w:val="16"/>
          <w:rtl/>
        </w:rPr>
        <w:t xml:space="preserve"> (פ' הקורא עומד) </w:t>
      </w:r>
      <w:r w:rsidRPr="00EA33E5">
        <w:rPr>
          <w:rFonts w:cs="Arial" w:hint="cs"/>
          <w:b/>
          <w:bCs/>
          <w:rtl/>
        </w:rPr>
        <w:t xml:space="preserve">כה ע"ב: </w:t>
      </w:r>
      <w:r w:rsidRPr="00EA33E5">
        <w:rPr>
          <w:rFonts w:cs="Arial"/>
          <w:u w:val="single"/>
          <w:rtl/>
        </w:rPr>
        <w:t>אמר רב אשי</w:t>
      </w:r>
      <w:r w:rsidRPr="00EA33E5">
        <w:rPr>
          <w:rFonts w:cs="Arial"/>
          <w:rtl/>
        </w:rPr>
        <w:t>: האי מאן דסנאי שומעניה שרי ליה לבזוייה בגימ"ל ושי"ן</w:t>
      </w:r>
      <w:r>
        <w:rPr>
          <w:rStyle w:val="ab"/>
          <w:rFonts w:cs="Arial"/>
          <w:rtl/>
        </w:rPr>
        <w:footnoteReference w:id="113"/>
      </w:r>
      <w:r w:rsidRPr="00EA33E5">
        <w:rPr>
          <w:rFonts w:cs="Arial"/>
          <w:rtl/>
        </w:rPr>
        <w:t xml:space="preserve">. </w:t>
      </w:r>
    </w:p>
    <w:p w14:paraId="4E90D22A" w14:textId="77777777" w:rsidR="00EA33E5" w:rsidRPr="00EA33E5" w:rsidRDefault="00EA33E5" w:rsidP="00EA33E5">
      <w:pPr>
        <w:rPr>
          <w:rFonts w:cs="Arial"/>
          <w:rtl/>
        </w:rPr>
      </w:pPr>
      <w:r w:rsidRPr="00EA33E5">
        <w:rPr>
          <w:rFonts w:cs="Arial" w:hint="cs"/>
          <w:b/>
          <w:bCs/>
          <w:rtl/>
        </w:rPr>
        <w:t xml:space="preserve">יבמות </w:t>
      </w:r>
      <w:r w:rsidRPr="00EA33E5">
        <w:rPr>
          <w:rFonts w:cs="Arial" w:hint="cs"/>
          <w:b/>
          <w:bCs/>
          <w:sz w:val="16"/>
          <w:szCs w:val="16"/>
          <w:rtl/>
        </w:rPr>
        <w:t>(פ' כיצ</w:t>
      </w:r>
      <w:r w:rsidR="00E44251">
        <w:rPr>
          <w:rFonts w:cs="Arial" w:hint="cs"/>
          <w:b/>
          <w:bCs/>
          <w:sz w:val="16"/>
          <w:szCs w:val="16"/>
          <w:rtl/>
        </w:rPr>
        <w:t>ד</w:t>
      </w:r>
      <w:r w:rsidRPr="00EA33E5">
        <w:rPr>
          <w:rFonts w:cs="Arial" w:hint="cs"/>
          <w:b/>
          <w:bCs/>
          <w:sz w:val="16"/>
          <w:szCs w:val="16"/>
          <w:rtl/>
        </w:rPr>
        <w:t xml:space="preserve">) </w:t>
      </w:r>
      <w:r w:rsidRPr="00EA33E5">
        <w:rPr>
          <w:rFonts w:cs="Arial" w:hint="cs"/>
          <w:b/>
          <w:bCs/>
          <w:rtl/>
        </w:rPr>
        <w:t>כה</w:t>
      </w:r>
      <w:r w:rsidR="003250F1">
        <w:rPr>
          <w:rStyle w:val="ab"/>
          <w:rFonts w:cs="Arial"/>
          <w:b/>
          <w:bCs/>
          <w:rtl/>
        </w:rPr>
        <w:footnoteReference w:id="114"/>
      </w:r>
      <w:r w:rsidRPr="00EA33E5">
        <w:rPr>
          <w:rFonts w:cs="Arial" w:hint="cs"/>
          <w:b/>
          <w:bCs/>
          <w:rtl/>
        </w:rPr>
        <w:t xml:space="preserve"> ע"א: </w:t>
      </w:r>
      <w:r w:rsidRPr="00EA33E5">
        <w:rPr>
          <w:rFonts w:cs="Arial"/>
          <w:rtl/>
        </w:rPr>
        <w:t xml:space="preserve">וקלא דלא פסיק עד כמה? </w:t>
      </w:r>
      <w:r w:rsidRPr="00EA33E5">
        <w:rPr>
          <w:rFonts w:cs="Arial"/>
          <w:u w:val="single"/>
          <w:rtl/>
        </w:rPr>
        <w:t>אמר אביי</w:t>
      </w:r>
      <w:r w:rsidRPr="00EA33E5">
        <w:rPr>
          <w:rFonts w:cs="Arial"/>
          <w:rtl/>
        </w:rPr>
        <w:t>, אמרה לי אם: דומי דמתא</w:t>
      </w:r>
      <w:r>
        <w:rPr>
          <w:rStyle w:val="ab"/>
          <w:rFonts w:cs="Arial"/>
          <w:rtl/>
        </w:rPr>
        <w:footnoteReference w:id="115"/>
      </w:r>
      <w:r w:rsidRPr="00EA33E5">
        <w:rPr>
          <w:rFonts w:cs="Arial"/>
          <w:rtl/>
        </w:rPr>
        <w:t xml:space="preserve"> - יומא ופלגא. ולא אמרן - אלא דלא פסק ביני וביני, אבל פסק ביני וביני - הא פסק</w:t>
      </w:r>
      <w:r w:rsidRPr="00EA33E5">
        <w:rPr>
          <w:rFonts w:cs="Arial" w:hint="cs"/>
          <w:rtl/>
        </w:rPr>
        <w:t>.</w:t>
      </w:r>
      <w:r w:rsidRPr="00EA33E5">
        <w:rPr>
          <w:rFonts w:cs="Arial"/>
          <w:rtl/>
        </w:rPr>
        <w:t xml:space="preserve"> ולא אמרן - אלא דלא פסק מחמת יראה, אבל פסק מחמת יראה - מחמת יראה הוא</w:t>
      </w:r>
      <w:r w:rsidRPr="00EA33E5">
        <w:rPr>
          <w:rFonts w:cs="Arial" w:hint="cs"/>
          <w:rtl/>
        </w:rPr>
        <w:t>.</w:t>
      </w:r>
      <w:r w:rsidRPr="00EA33E5">
        <w:rPr>
          <w:rFonts w:cs="Arial"/>
          <w:rtl/>
        </w:rPr>
        <w:t xml:space="preserve"> ולא אמרן - אלא דליכא אויבים, אבל איכא אויבים - אויבים הוא דאפקו ליה לקלא.</w:t>
      </w:r>
      <w:r w:rsidRPr="00EA33E5">
        <w:rPr>
          <w:rFonts w:cs="Arial"/>
          <w:sz w:val="16"/>
          <w:szCs w:val="16"/>
          <w:rtl/>
        </w:rPr>
        <w:t xml:space="preserve"> </w:t>
      </w:r>
      <w:r w:rsidRPr="00EA33E5">
        <w:rPr>
          <w:rFonts w:cs="Arial" w:hint="cs"/>
          <w:sz w:val="16"/>
          <w:szCs w:val="16"/>
          <w:rtl/>
        </w:rPr>
        <w:t xml:space="preserve">(וכ"פ הרמב"ם (הל' סוטה פב הי"ד). </w:t>
      </w:r>
      <w:r w:rsidRPr="00EA33E5">
        <w:rPr>
          <w:rFonts w:cs="Arial" w:hint="cs"/>
          <w:color w:val="E36C0A" w:themeColor="accent6" w:themeShade="BF"/>
          <w:sz w:val="16"/>
          <w:szCs w:val="16"/>
          <w:rtl/>
        </w:rPr>
        <w:t xml:space="preserve">וכ"פ בשו"ע </w:t>
      </w:r>
      <w:r w:rsidRPr="00EA33E5">
        <w:rPr>
          <w:rFonts w:cs="Arial" w:hint="cs"/>
          <w:sz w:val="16"/>
          <w:szCs w:val="16"/>
          <w:rtl/>
        </w:rPr>
        <w:t>(אהע"ז סי' יא סע' א))</w:t>
      </w:r>
    </w:p>
    <w:p w14:paraId="24DB7CA9" w14:textId="77777777" w:rsidR="00EA33E5" w:rsidRDefault="00EA33E5" w:rsidP="00EA33E5">
      <w:pPr>
        <w:rPr>
          <w:rtl/>
        </w:rPr>
      </w:pPr>
      <w:r w:rsidRPr="00EA33E5">
        <w:rPr>
          <w:rFonts w:cs="Arial" w:hint="cs"/>
          <w:b/>
          <w:bCs/>
          <w:rtl/>
        </w:rPr>
        <w:t xml:space="preserve">מועד קטן </w:t>
      </w:r>
      <w:r w:rsidRPr="00EA33E5">
        <w:rPr>
          <w:rFonts w:cs="Arial" w:hint="cs"/>
          <w:b/>
          <w:bCs/>
          <w:sz w:val="16"/>
          <w:szCs w:val="16"/>
          <w:rtl/>
        </w:rPr>
        <w:t>(ר"פ אלו מגלחין)</w:t>
      </w:r>
      <w:r w:rsidRPr="00EA33E5">
        <w:rPr>
          <w:rFonts w:cs="Arial" w:hint="cs"/>
          <w:b/>
          <w:bCs/>
          <w:rtl/>
        </w:rPr>
        <w:t xml:space="preserve"> טז</w:t>
      </w:r>
      <w:r w:rsidR="003250F1">
        <w:rPr>
          <w:rStyle w:val="ab"/>
          <w:rFonts w:cs="Arial"/>
          <w:b/>
          <w:bCs/>
          <w:rtl/>
        </w:rPr>
        <w:footnoteReference w:id="116"/>
      </w:r>
      <w:r w:rsidRPr="00EA33E5">
        <w:rPr>
          <w:rFonts w:cs="Arial" w:hint="cs"/>
          <w:b/>
          <w:bCs/>
          <w:rtl/>
        </w:rPr>
        <w:t xml:space="preserve"> ע"א: </w:t>
      </w:r>
      <w:r w:rsidRPr="00EA33E5">
        <w:rPr>
          <w:rFonts w:cs="Arial"/>
          <w:rtl/>
        </w:rPr>
        <w:t>ומנלן דנצינן ולייטינן ומחינן ותלשינן שיער ומשבעינן - דכתיב ואריב עמם ואקללם ואכה מהם אנשים ואמרטם ואשביעם. ומנלן דכפתינן ואסרינן ועבדינן הרדפה</w:t>
      </w:r>
      <w:r>
        <w:rPr>
          <w:rStyle w:val="ab"/>
          <w:rFonts w:cs="Arial"/>
          <w:rtl/>
        </w:rPr>
        <w:footnoteReference w:id="117"/>
      </w:r>
      <w:r w:rsidRPr="00EA33E5">
        <w:rPr>
          <w:rFonts w:cs="Arial"/>
          <w:rtl/>
        </w:rPr>
        <w:t xml:space="preserve"> - דכתיב הן למות הן לשרושי הן לענש נכסין ולאסורין.</w:t>
      </w:r>
    </w:p>
    <w:p w14:paraId="134A2C59" w14:textId="77777777" w:rsidR="004A326E" w:rsidRPr="005D09C2" w:rsidRDefault="00FE46F3" w:rsidP="004A326E">
      <w:pPr>
        <w:rPr>
          <w:rFonts w:cs="Arial"/>
          <w:u w:val="single"/>
          <w:rtl/>
        </w:rPr>
      </w:pPr>
      <w:r>
        <w:rPr>
          <w:rFonts w:cs="Arial" w:hint="cs"/>
          <w:u w:val="single"/>
          <w:rtl/>
        </w:rPr>
        <w:t>דברי הראשונים</w:t>
      </w:r>
      <w:r w:rsidR="004A326E" w:rsidRPr="005D09C2">
        <w:rPr>
          <w:rFonts w:cs="Arial" w:hint="cs"/>
          <w:u w:val="single"/>
          <w:rtl/>
        </w:rPr>
        <w:t xml:space="preserve"> בעניין "עונשין שלא מן התורה":</w:t>
      </w:r>
    </w:p>
    <w:p w14:paraId="1F941AB7" w14:textId="77777777" w:rsidR="004A326E" w:rsidRPr="003F154F" w:rsidRDefault="004A326E" w:rsidP="004B0475">
      <w:pPr>
        <w:pStyle w:val="ac"/>
        <w:numPr>
          <w:ilvl w:val="0"/>
          <w:numId w:val="46"/>
        </w:numPr>
        <w:rPr>
          <w:rFonts w:cs="Arial"/>
          <w:rtl/>
        </w:rPr>
      </w:pPr>
      <w:r w:rsidRPr="003F154F">
        <w:rPr>
          <w:rFonts w:cs="Arial"/>
          <w:rtl/>
        </w:rPr>
        <w:t xml:space="preserve">רשב"א </w:t>
      </w:r>
      <w:r w:rsidRPr="003F154F">
        <w:rPr>
          <w:rFonts w:cs="Arial"/>
          <w:sz w:val="16"/>
          <w:szCs w:val="16"/>
          <w:rtl/>
        </w:rPr>
        <w:t>(ח"ג סי' שצג)</w:t>
      </w:r>
      <w:r>
        <w:rPr>
          <w:rFonts w:cs="Arial" w:hint="cs"/>
          <w:rtl/>
        </w:rPr>
        <w:t>-</w:t>
      </w:r>
      <w:r w:rsidRPr="003F154F">
        <w:rPr>
          <w:rFonts w:cs="Arial"/>
          <w:rtl/>
        </w:rPr>
        <w:t xml:space="preserve"> רואה אני שאם העדים נאמנים אצל הברורים רשאים הם לקנוס ממון או לענוש עונש הגוף כפי אשר יראה להם וזה מקיום העולם</w:t>
      </w:r>
      <w:r>
        <w:rPr>
          <w:rFonts w:cs="Arial" w:hint="cs"/>
          <w:rtl/>
        </w:rPr>
        <w:t>,</w:t>
      </w:r>
      <w:r w:rsidRPr="003F154F">
        <w:rPr>
          <w:rFonts w:cs="Arial"/>
          <w:rtl/>
        </w:rPr>
        <w:t xml:space="preserve"> שאם אתם מעמידים הכל על הדינים הקצובים בתורה ושלא לעשות אלא במה שענשה תורה בחבלות וכיוצא בהם נמצא העולם חרב שהיינו צריכים עדים והתראה</w:t>
      </w:r>
      <w:r>
        <w:rPr>
          <w:rFonts w:cs="Arial" w:hint="cs"/>
          <w:rtl/>
        </w:rPr>
        <w:t>,</w:t>
      </w:r>
      <w:r w:rsidRPr="003F154F">
        <w:rPr>
          <w:rFonts w:cs="Arial"/>
          <w:rtl/>
        </w:rPr>
        <w:t xml:space="preserve"> וכמו שאמרו ז"ל </w:t>
      </w:r>
      <w:r w:rsidRPr="003F154F">
        <w:rPr>
          <w:rFonts w:cs="Arial"/>
          <w:sz w:val="16"/>
          <w:szCs w:val="16"/>
          <w:rtl/>
        </w:rPr>
        <w:t xml:space="preserve">(ב"מ ל:) </w:t>
      </w:r>
      <w:r w:rsidRPr="003F154F">
        <w:rPr>
          <w:rFonts w:cs="Arial"/>
          <w:rtl/>
        </w:rPr>
        <w:t>לא חרבה ירושלים אלא על שהעמידו דיניהם על דין תורה</w:t>
      </w:r>
      <w:r>
        <w:rPr>
          <w:rFonts w:cs="Arial" w:hint="cs"/>
          <w:rtl/>
        </w:rPr>
        <w:t>,</w:t>
      </w:r>
      <w:r w:rsidRPr="003F154F">
        <w:rPr>
          <w:rFonts w:cs="Arial"/>
          <w:rtl/>
        </w:rPr>
        <w:t xml:space="preserve"> וכל שכן בחוצה לארץ שאין דנין דיני קנסות ונמצאו קלי דעת פורצין גדרו של עולם ונמצא העולם שמם</w:t>
      </w:r>
      <w:r>
        <w:rPr>
          <w:rFonts w:cs="Arial" w:hint="cs"/>
          <w:rtl/>
        </w:rPr>
        <w:t>,</w:t>
      </w:r>
      <w:r w:rsidRPr="003F154F">
        <w:rPr>
          <w:rFonts w:cs="Arial"/>
          <w:rtl/>
        </w:rPr>
        <w:t xml:space="preserve"> וכבר קנסו ז"ל קנסות במכה את חבירו ביד או בארכובא כדאיתא ר</w:t>
      </w:r>
      <w:r>
        <w:rPr>
          <w:rFonts w:cs="Arial" w:hint="cs"/>
          <w:rtl/>
        </w:rPr>
        <w:t>"</w:t>
      </w:r>
      <w:r w:rsidRPr="003F154F">
        <w:rPr>
          <w:rFonts w:cs="Arial"/>
          <w:rtl/>
        </w:rPr>
        <w:t xml:space="preserve">פ המניח </w:t>
      </w:r>
      <w:r w:rsidRPr="003F154F">
        <w:rPr>
          <w:rFonts w:cs="Arial"/>
          <w:sz w:val="16"/>
          <w:szCs w:val="16"/>
          <w:rtl/>
        </w:rPr>
        <w:t>(ב"ק כז:)</w:t>
      </w:r>
      <w:r>
        <w:rPr>
          <w:rFonts w:cs="Arial" w:hint="cs"/>
          <w:rtl/>
        </w:rPr>
        <w:t xml:space="preserve">, </w:t>
      </w:r>
      <w:r w:rsidRPr="003F154F">
        <w:rPr>
          <w:rFonts w:cs="Arial"/>
          <w:rtl/>
        </w:rPr>
        <w:t>ואע</w:t>
      </w:r>
      <w:r>
        <w:rPr>
          <w:rFonts w:cs="Arial" w:hint="cs"/>
          <w:rtl/>
        </w:rPr>
        <w:t>"</w:t>
      </w:r>
      <w:r w:rsidRPr="003F154F">
        <w:rPr>
          <w:rFonts w:cs="Arial"/>
          <w:rtl/>
        </w:rPr>
        <w:t>פ שאלו דיני קנסות ואין דנין אותן בבבל מ</w:t>
      </w:r>
      <w:r>
        <w:rPr>
          <w:rFonts w:cs="Arial" w:hint="cs"/>
          <w:rtl/>
        </w:rPr>
        <w:t>"מ</w:t>
      </w:r>
      <w:r w:rsidRPr="003F154F">
        <w:rPr>
          <w:rFonts w:cs="Arial"/>
          <w:rtl/>
        </w:rPr>
        <w:t xml:space="preserve"> בכל מקום ומקום דנין לעתים לכיוצא בהן לגדור את הדור. וגדולה מזו אמרו בפרק נגמר הדין </w:t>
      </w:r>
      <w:r w:rsidRPr="003F154F">
        <w:rPr>
          <w:rFonts w:cs="Arial"/>
          <w:sz w:val="16"/>
          <w:szCs w:val="16"/>
          <w:rtl/>
        </w:rPr>
        <w:t xml:space="preserve">(סנהדרין מה:) </w:t>
      </w:r>
      <w:r w:rsidRPr="003F154F">
        <w:rPr>
          <w:rFonts w:cs="Arial"/>
          <w:rtl/>
        </w:rPr>
        <w:t>ששמעון בן שטח תלה שמונים נשים באשקלון ביום אחד ואע</w:t>
      </w:r>
      <w:r>
        <w:rPr>
          <w:rFonts w:cs="Arial" w:hint="cs"/>
          <w:rtl/>
        </w:rPr>
        <w:t>"</w:t>
      </w:r>
      <w:r w:rsidRPr="003F154F">
        <w:rPr>
          <w:rFonts w:cs="Arial"/>
          <w:rtl/>
        </w:rPr>
        <w:t xml:space="preserve">פ שאין תולין אשה ואין דנין שנים ביום אחד ושם </w:t>
      </w:r>
      <w:r w:rsidRPr="003F154F">
        <w:rPr>
          <w:rFonts w:cs="Arial"/>
          <w:sz w:val="16"/>
          <w:szCs w:val="16"/>
          <w:rtl/>
        </w:rPr>
        <w:t xml:space="preserve">(מו.) </w:t>
      </w:r>
      <w:r w:rsidRPr="003F154F">
        <w:rPr>
          <w:rFonts w:cs="Arial"/>
          <w:rtl/>
        </w:rPr>
        <w:t xml:space="preserve">אמרו טעמא שלא לעבור על דברי תורה אלא לעשות סייג לתורה. וכן אמרו בפרק האשה רבה </w:t>
      </w:r>
      <w:r w:rsidRPr="003F154F">
        <w:rPr>
          <w:rFonts w:cs="Arial"/>
          <w:sz w:val="16"/>
          <w:szCs w:val="16"/>
          <w:rtl/>
        </w:rPr>
        <w:t xml:space="preserve">(יבמות צ:) </w:t>
      </w:r>
      <w:r w:rsidRPr="003F154F">
        <w:rPr>
          <w:rFonts w:cs="Arial"/>
          <w:rtl/>
        </w:rPr>
        <w:t xml:space="preserve">באחד שרכב על הסוס בשבת וסקלוהו. ובאחד שהטיח את אשתו תחת התאנה והלקוהו וכל זה שהשעה היתה צריכה לכך וכן עושין בכל דור ודור ובכל מקום ומקום שרואין שהשעה צריכה לכך וליסר השוטים והנערים המטים עקלקלותם. והנה אמרו </w:t>
      </w:r>
      <w:r w:rsidRPr="003F154F">
        <w:rPr>
          <w:rFonts w:cs="Arial"/>
          <w:sz w:val="16"/>
          <w:szCs w:val="16"/>
          <w:rtl/>
        </w:rPr>
        <w:t xml:space="preserve">(שם נח:, נדה יג:) </w:t>
      </w:r>
      <w:r w:rsidRPr="003F154F">
        <w:rPr>
          <w:rFonts w:cs="Arial"/>
          <w:rtl/>
        </w:rPr>
        <w:t xml:space="preserve">דרב הונא שהיה מבבל קץ ידא. ובפרק זה בורר </w:t>
      </w:r>
      <w:r w:rsidRPr="003F154F">
        <w:rPr>
          <w:rFonts w:cs="Arial"/>
          <w:sz w:val="16"/>
          <w:szCs w:val="16"/>
          <w:rtl/>
        </w:rPr>
        <w:t xml:space="preserve">(סנהדרין כז.) </w:t>
      </w:r>
      <w:r w:rsidRPr="003F154F">
        <w:rPr>
          <w:rFonts w:cs="Arial"/>
          <w:rtl/>
        </w:rPr>
        <w:t>דאמר ריש גלותא אי ודאי קטל נפשא לכהיוה לעיניה</w:t>
      </w:r>
      <w:r>
        <w:rPr>
          <w:rFonts w:cs="Arial" w:hint="cs"/>
          <w:rtl/>
        </w:rPr>
        <w:t>,</w:t>
      </w:r>
      <w:r w:rsidRPr="003F154F">
        <w:rPr>
          <w:rFonts w:cs="Arial"/>
          <w:rtl/>
        </w:rPr>
        <w:t xml:space="preserve"> ואע</w:t>
      </w:r>
      <w:r>
        <w:rPr>
          <w:rFonts w:cs="Arial" w:hint="cs"/>
          <w:rtl/>
        </w:rPr>
        <w:t>"</w:t>
      </w:r>
      <w:r w:rsidRPr="003F154F">
        <w:rPr>
          <w:rFonts w:cs="Arial"/>
          <w:rtl/>
        </w:rPr>
        <w:t>פ שאין קציצת אבר בדיני התורה אלא הכל לגדר ולצורך השעה</w:t>
      </w:r>
      <w:r w:rsidR="00F55486">
        <w:rPr>
          <w:rFonts w:cs="Arial" w:hint="cs"/>
          <w:rtl/>
        </w:rPr>
        <w:t>,</w:t>
      </w:r>
      <w:r w:rsidRPr="003F154F">
        <w:rPr>
          <w:rFonts w:cs="Arial"/>
          <w:rtl/>
        </w:rPr>
        <w:t xml:space="preserve"> ולפיכך ברורים אלו אם עשו וראו שצורך שעה הוא לענוש גוף ולקנוס ממון לתיקון המדינה ולצורך השעה </w:t>
      </w:r>
      <w:r w:rsidR="00F55486">
        <w:rPr>
          <w:rFonts w:cs="Arial" w:hint="cs"/>
          <w:rtl/>
        </w:rPr>
        <w:t xml:space="preserve">- </w:t>
      </w:r>
      <w:r w:rsidRPr="003F154F">
        <w:rPr>
          <w:rFonts w:cs="Arial"/>
          <w:rtl/>
        </w:rPr>
        <w:t>כדין עשו</w:t>
      </w:r>
      <w:r w:rsidR="00F55486">
        <w:rPr>
          <w:rFonts w:cs="Arial" w:hint="cs"/>
          <w:rtl/>
        </w:rPr>
        <w:t>,</w:t>
      </w:r>
      <w:r w:rsidRPr="003F154F">
        <w:rPr>
          <w:rFonts w:cs="Arial"/>
          <w:rtl/>
        </w:rPr>
        <w:t xml:space="preserve"> </w:t>
      </w:r>
      <w:r w:rsidRPr="003F154F">
        <w:rPr>
          <w:rFonts w:cs="Arial"/>
          <w:rtl/>
        </w:rPr>
        <w:lastRenderedPageBreak/>
        <w:t>וכל שכן בדאיכא הרמנא דמלכא וכענין רבי אלעזר ברבי שמעון בר</w:t>
      </w:r>
      <w:r>
        <w:rPr>
          <w:rFonts w:cs="Arial" w:hint="cs"/>
          <w:rtl/>
        </w:rPr>
        <w:t>"</w:t>
      </w:r>
      <w:r w:rsidRPr="003F154F">
        <w:rPr>
          <w:rFonts w:cs="Arial"/>
          <w:rtl/>
        </w:rPr>
        <w:t xml:space="preserve">פ הפועלים </w:t>
      </w:r>
      <w:r w:rsidRPr="003F154F">
        <w:rPr>
          <w:rFonts w:cs="Arial"/>
          <w:sz w:val="16"/>
          <w:szCs w:val="16"/>
          <w:rtl/>
        </w:rPr>
        <w:t>(ב"מ פג:)</w:t>
      </w:r>
      <w:r>
        <w:rPr>
          <w:rFonts w:cs="Arial" w:hint="cs"/>
          <w:rtl/>
        </w:rPr>
        <w:t>,</w:t>
      </w:r>
      <w:r w:rsidRPr="003F154F">
        <w:rPr>
          <w:rFonts w:cs="Arial"/>
          <w:rtl/>
        </w:rPr>
        <w:t xml:space="preserve"> ומ</w:t>
      </w:r>
      <w:r>
        <w:rPr>
          <w:rFonts w:cs="Arial" w:hint="cs"/>
          <w:rtl/>
        </w:rPr>
        <w:t>"מ</w:t>
      </w:r>
      <w:r w:rsidRPr="003F154F">
        <w:rPr>
          <w:rFonts w:cs="Arial"/>
          <w:rtl/>
        </w:rPr>
        <w:t xml:space="preserve"> הברורים צריכים להתיישב בדברים ולעשות מעשיהם אחר המלכה ולהיות כוונתם בכל עת לשמים. </w:t>
      </w:r>
    </w:p>
    <w:p w14:paraId="0FD1A3CB" w14:textId="77777777" w:rsidR="004A326E" w:rsidRDefault="004A326E" w:rsidP="004B0475">
      <w:pPr>
        <w:pStyle w:val="ac"/>
        <w:numPr>
          <w:ilvl w:val="0"/>
          <w:numId w:val="46"/>
        </w:numPr>
        <w:rPr>
          <w:rFonts w:cs="Arial"/>
        </w:rPr>
      </w:pPr>
      <w:r>
        <w:rPr>
          <w:rFonts w:cs="Arial" w:hint="cs"/>
          <w:rtl/>
        </w:rPr>
        <w:t>רשב"א</w:t>
      </w:r>
      <w:r w:rsidRPr="003F154F">
        <w:rPr>
          <w:rFonts w:cs="Arial"/>
          <w:rtl/>
        </w:rPr>
        <w:t xml:space="preserve"> </w:t>
      </w:r>
      <w:r w:rsidRPr="005D09C2">
        <w:rPr>
          <w:rFonts w:cs="Arial"/>
          <w:sz w:val="16"/>
          <w:szCs w:val="16"/>
          <w:rtl/>
        </w:rPr>
        <w:t>(ח"ב סי' רצ)</w:t>
      </w:r>
      <w:r>
        <w:rPr>
          <w:rFonts w:cs="Arial" w:hint="cs"/>
          <w:rtl/>
        </w:rPr>
        <w:t>-</w:t>
      </w:r>
      <w:r w:rsidRPr="003F154F">
        <w:rPr>
          <w:rFonts w:cs="Arial"/>
          <w:rtl/>
        </w:rPr>
        <w:t xml:space="preserve"> לדיני נפשות צריך שיהו מוזהרים לעשות בהסכמת זקני עירכם כדי שיעשו אחר הצורך הגדול ובמיתון. </w:t>
      </w:r>
    </w:p>
    <w:p w14:paraId="788556E5" w14:textId="77777777" w:rsidR="004A326E" w:rsidRPr="003F154F" w:rsidRDefault="004A326E" w:rsidP="004B0475">
      <w:pPr>
        <w:pStyle w:val="ac"/>
        <w:numPr>
          <w:ilvl w:val="0"/>
          <w:numId w:val="46"/>
        </w:numPr>
        <w:rPr>
          <w:rFonts w:cs="Arial"/>
          <w:rtl/>
        </w:rPr>
      </w:pPr>
      <w:r>
        <w:rPr>
          <w:rFonts w:cs="Arial" w:hint="cs"/>
          <w:rtl/>
        </w:rPr>
        <w:t xml:space="preserve">רשב"א </w:t>
      </w:r>
      <w:r w:rsidRPr="005D09C2">
        <w:rPr>
          <w:rFonts w:cs="Arial" w:hint="cs"/>
          <w:sz w:val="16"/>
          <w:szCs w:val="16"/>
          <w:rtl/>
        </w:rPr>
        <w:t xml:space="preserve">(במיוחסות </w:t>
      </w:r>
      <w:r w:rsidRPr="005D09C2">
        <w:rPr>
          <w:rFonts w:cs="Arial"/>
          <w:sz w:val="16"/>
          <w:szCs w:val="16"/>
          <w:rtl/>
        </w:rPr>
        <w:t>סי</w:t>
      </w:r>
      <w:r w:rsidRPr="005D09C2">
        <w:rPr>
          <w:rFonts w:cs="Arial" w:hint="cs"/>
          <w:sz w:val="16"/>
          <w:szCs w:val="16"/>
          <w:rtl/>
        </w:rPr>
        <w:t>'</w:t>
      </w:r>
      <w:r w:rsidRPr="005D09C2">
        <w:rPr>
          <w:rFonts w:cs="Arial"/>
          <w:sz w:val="16"/>
          <w:szCs w:val="16"/>
          <w:rtl/>
        </w:rPr>
        <w:t xml:space="preserve"> רעט</w:t>
      </w:r>
      <w:r w:rsidRPr="005D09C2">
        <w:rPr>
          <w:rFonts w:cs="Arial" w:hint="cs"/>
          <w:sz w:val="16"/>
          <w:szCs w:val="16"/>
          <w:rtl/>
        </w:rPr>
        <w:t>)</w:t>
      </w:r>
      <w:r>
        <w:rPr>
          <w:rFonts w:cs="Arial" w:hint="cs"/>
          <w:rtl/>
        </w:rPr>
        <w:t>-</w:t>
      </w:r>
      <w:r w:rsidRPr="003F154F">
        <w:rPr>
          <w:rFonts w:cs="Arial"/>
          <w:rtl/>
        </w:rPr>
        <w:t xml:space="preserve"> קהל שמינו ברורים לבער העבירות וכתוב בתקוני ההסכמה שיוכלו ליסר ולענוש ממון לפי ראות עיניהם ויש להם עדים קרובים או עד מפי עד וכיוצא בהם שנראה להם שהענין אמת </w:t>
      </w:r>
      <w:r w:rsidR="00B80339">
        <w:rPr>
          <w:rFonts w:cs="Arial" w:hint="cs"/>
          <w:rtl/>
        </w:rPr>
        <w:t xml:space="preserve">- </w:t>
      </w:r>
      <w:r w:rsidRPr="003F154F">
        <w:rPr>
          <w:rFonts w:cs="Arial"/>
          <w:rtl/>
        </w:rPr>
        <w:t>יכולים לדון ולקנוס</w:t>
      </w:r>
      <w:r w:rsidR="00B80339">
        <w:rPr>
          <w:rFonts w:cs="Arial" w:hint="cs"/>
          <w:rtl/>
        </w:rPr>
        <w:t>,</w:t>
      </w:r>
      <w:r w:rsidRPr="003F154F">
        <w:rPr>
          <w:rFonts w:cs="Arial"/>
          <w:rtl/>
        </w:rPr>
        <w:t xml:space="preserve"> שלא הצריכו עדים גמורים אלא בדיני תורה אבל מי שעובר על תיקוני המדינה צריך לעשות כפי צורך השעה שאם אין אתה אומר כן אף הם לא יקנסו דיני קנסות ולא בדברים שאינם מצויים שאין אנו עושים שליחותייהו כגון גזילות וחבלות וכן יצטרך התראה והרי אמרו מכין ועונשין לא לעבור על דברי תורה אלא לעשות סייג</w:t>
      </w:r>
      <w:r>
        <w:rPr>
          <w:rFonts w:cs="Arial" w:hint="cs"/>
          <w:rtl/>
        </w:rPr>
        <w:t>.</w:t>
      </w:r>
    </w:p>
    <w:p w14:paraId="2E637937" w14:textId="77777777" w:rsidR="004A326E" w:rsidRPr="003F154F" w:rsidRDefault="004A326E" w:rsidP="004B0475">
      <w:pPr>
        <w:pStyle w:val="ac"/>
        <w:numPr>
          <w:ilvl w:val="0"/>
          <w:numId w:val="46"/>
        </w:numPr>
        <w:rPr>
          <w:rFonts w:cs="Arial"/>
          <w:rtl/>
        </w:rPr>
      </w:pPr>
      <w:r w:rsidRPr="003F154F">
        <w:rPr>
          <w:rFonts w:cs="Arial"/>
          <w:rtl/>
        </w:rPr>
        <w:t>רא"ש</w:t>
      </w:r>
      <w:r w:rsidRPr="003F154F">
        <w:rPr>
          <w:rFonts w:cs="Arial" w:hint="cs"/>
          <w:rtl/>
        </w:rPr>
        <w:t xml:space="preserve"> </w:t>
      </w:r>
      <w:r w:rsidRPr="003F154F">
        <w:rPr>
          <w:rFonts w:cs="Arial" w:hint="cs"/>
          <w:sz w:val="16"/>
          <w:szCs w:val="16"/>
          <w:rtl/>
        </w:rPr>
        <w:t>(</w:t>
      </w:r>
      <w:r w:rsidRPr="003F154F">
        <w:rPr>
          <w:rFonts w:cs="Arial"/>
          <w:sz w:val="16"/>
          <w:szCs w:val="16"/>
          <w:rtl/>
        </w:rPr>
        <w:t>כלל יח סי' יג)</w:t>
      </w:r>
      <w:r w:rsidRPr="003F154F">
        <w:rPr>
          <w:rFonts w:cs="Arial" w:hint="cs"/>
          <w:rtl/>
        </w:rPr>
        <w:t xml:space="preserve">- </w:t>
      </w:r>
      <w:r>
        <w:rPr>
          <w:rStyle w:val="ab"/>
          <w:rFonts w:cs="Arial"/>
          <w:rtl/>
        </w:rPr>
        <w:footnoteReference w:id="118"/>
      </w:r>
      <w:r w:rsidRPr="003F154F">
        <w:rPr>
          <w:rFonts w:cs="Arial"/>
          <w:rtl/>
        </w:rPr>
        <w:t>יפה דנת יחתכו חוטמה כדי לשחת תואר פניה כדי שתתגנה על מנאפיה</w:t>
      </w:r>
      <w:r w:rsidRPr="003F154F">
        <w:rPr>
          <w:rFonts w:cs="Arial" w:hint="cs"/>
          <w:rtl/>
        </w:rPr>
        <w:t>,</w:t>
      </w:r>
      <w:r w:rsidRPr="003F154F">
        <w:rPr>
          <w:rFonts w:cs="Arial"/>
          <w:rtl/>
        </w:rPr>
        <w:t xml:space="preserve"> ודבר זה יעשוהו פתאום כדי שלא תצא לתרבות רעה</w:t>
      </w:r>
      <w:r>
        <w:rPr>
          <w:rFonts w:cs="Arial" w:hint="cs"/>
          <w:rtl/>
        </w:rPr>
        <w:t>,</w:t>
      </w:r>
      <w:r w:rsidRPr="003F154F">
        <w:rPr>
          <w:rFonts w:cs="Arial"/>
          <w:rtl/>
        </w:rPr>
        <w:t xml:space="preserve"> ולפי עושרה טוב לקונסה בממונה</w:t>
      </w:r>
      <w:r w:rsidRPr="003F154F">
        <w:rPr>
          <w:rFonts w:cs="Arial" w:hint="cs"/>
          <w:rtl/>
        </w:rPr>
        <w:t>.</w:t>
      </w:r>
    </w:p>
    <w:p w14:paraId="392E0DB8" w14:textId="77777777" w:rsidR="004A326E" w:rsidRDefault="004A326E" w:rsidP="004B0475">
      <w:pPr>
        <w:pStyle w:val="ac"/>
        <w:numPr>
          <w:ilvl w:val="0"/>
          <w:numId w:val="46"/>
        </w:numPr>
      </w:pPr>
      <w:r w:rsidRPr="003F154F">
        <w:rPr>
          <w:rFonts w:cs="Arial" w:hint="cs"/>
          <w:rtl/>
        </w:rPr>
        <w:t>מ</w:t>
      </w:r>
      <w:r w:rsidRPr="003F154F">
        <w:rPr>
          <w:rFonts w:cs="Arial"/>
          <w:rtl/>
        </w:rPr>
        <w:t xml:space="preserve">הר"מ מרקנ"ט </w:t>
      </w:r>
      <w:r w:rsidRPr="003F154F">
        <w:rPr>
          <w:rFonts w:cs="Arial" w:hint="cs"/>
          <w:sz w:val="16"/>
          <w:szCs w:val="16"/>
          <w:rtl/>
        </w:rPr>
        <w:t>(ר</w:t>
      </w:r>
      <w:r w:rsidR="00F55486">
        <w:rPr>
          <w:rFonts w:cs="Arial" w:hint="cs"/>
          <w:sz w:val="16"/>
          <w:szCs w:val="16"/>
          <w:rtl/>
        </w:rPr>
        <w:t>י</w:t>
      </w:r>
      <w:r w:rsidRPr="003F154F">
        <w:rPr>
          <w:rFonts w:cs="Arial" w:hint="cs"/>
          <w:sz w:val="16"/>
          <w:szCs w:val="16"/>
          <w:rtl/>
        </w:rPr>
        <w:t xml:space="preserve">ש </w:t>
      </w:r>
      <w:r w:rsidRPr="003F154F">
        <w:rPr>
          <w:rFonts w:cs="Arial"/>
          <w:sz w:val="16"/>
          <w:szCs w:val="16"/>
          <w:rtl/>
        </w:rPr>
        <w:t>פ</w:t>
      </w:r>
      <w:r w:rsidRPr="003F154F">
        <w:rPr>
          <w:rFonts w:cs="Arial" w:hint="cs"/>
          <w:sz w:val="16"/>
          <w:szCs w:val="16"/>
          <w:rtl/>
        </w:rPr>
        <w:t xml:space="preserve">ר' </w:t>
      </w:r>
      <w:r w:rsidRPr="003F154F">
        <w:rPr>
          <w:rFonts w:cs="Arial"/>
          <w:sz w:val="16"/>
          <w:szCs w:val="16"/>
          <w:rtl/>
        </w:rPr>
        <w:t>משפטים ד"ה אשר תשים</w:t>
      </w:r>
      <w:r w:rsidRPr="003F154F">
        <w:rPr>
          <w:rFonts w:cs="Arial" w:hint="cs"/>
          <w:sz w:val="16"/>
          <w:szCs w:val="16"/>
          <w:rtl/>
        </w:rPr>
        <w:t>, הביאו הב"י [בבדה"ב]</w:t>
      </w:r>
      <w:r w:rsidRPr="003F154F">
        <w:rPr>
          <w:rFonts w:cs="Arial"/>
          <w:sz w:val="16"/>
          <w:szCs w:val="16"/>
          <w:rtl/>
        </w:rPr>
        <w:t>)</w:t>
      </w:r>
      <w:r w:rsidRPr="003F154F">
        <w:rPr>
          <w:rFonts w:cs="Arial" w:hint="cs"/>
          <w:rtl/>
        </w:rPr>
        <w:t>-</w:t>
      </w:r>
      <w:r w:rsidRPr="003F154F">
        <w:rPr>
          <w:rFonts w:cs="Arial"/>
          <w:rtl/>
        </w:rPr>
        <w:t xml:space="preserve"> </w:t>
      </w:r>
      <w:r w:rsidRPr="003F154F">
        <w:rPr>
          <w:rFonts w:cs="Arial" w:hint="cs"/>
          <w:rtl/>
        </w:rPr>
        <w:t>כתוב</w:t>
      </w:r>
      <w:r w:rsidRPr="003F154F">
        <w:rPr>
          <w:rFonts w:cs="Arial"/>
          <w:rtl/>
        </w:rPr>
        <w:t xml:space="preserve"> </w:t>
      </w:r>
      <w:r w:rsidRPr="003F154F">
        <w:rPr>
          <w:rFonts w:cs="Arial" w:hint="cs"/>
          <w:rtl/>
        </w:rPr>
        <w:t>ב</w:t>
      </w:r>
      <w:r w:rsidRPr="003F154F">
        <w:rPr>
          <w:rFonts w:cs="Arial"/>
          <w:rtl/>
        </w:rPr>
        <w:t>מדרש רות הנעלם</w:t>
      </w:r>
      <w:r w:rsidRPr="003F154F">
        <w:rPr>
          <w:rFonts w:cs="Arial" w:hint="cs"/>
          <w:rtl/>
        </w:rPr>
        <w:t>,</w:t>
      </w:r>
      <w:r w:rsidRPr="003F154F">
        <w:rPr>
          <w:rFonts w:cs="Arial"/>
          <w:rtl/>
        </w:rPr>
        <w:t xml:space="preserve"> אמר ר' יודן כל דיין שלא מחמיר את הדין אין מחמיצין את דינו מלמעלה ומסתלק מן העולם קודם זמנו הדא הוא דכתיב </w:t>
      </w:r>
      <w:r w:rsidRPr="003F154F">
        <w:rPr>
          <w:rFonts w:cs="Arial"/>
          <w:sz w:val="16"/>
          <w:szCs w:val="16"/>
          <w:rtl/>
        </w:rPr>
        <w:t xml:space="preserve">(משלי יג כג) </w:t>
      </w:r>
      <w:r w:rsidRPr="003F154F">
        <w:rPr>
          <w:rFonts w:cs="Arial"/>
          <w:rtl/>
        </w:rPr>
        <w:t>ויש נספה בלא משפט. יש מי שדן דין אמת לאמתו ומקבל עליו שכר מהקדוש ברוך הוא. דן דין אמת לאמתו ונתפס</w:t>
      </w:r>
      <w:r w:rsidR="0062035B">
        <w:rPr>
          <w:rFonts w:cs="Arial" w:hint="cs"/>
          <w:rtl/>
        </w:rPr>
        <w:t>,</w:t>
      </w:r>
      <w:r w:rsidRPr="003F154F">
        <w:rPr>
          <w:rFonts w:cs="Arial"/>
          <w:rtl/>
        </w:rPr>
        <w:t xml:space="preserve"> כגון דיין שדן ומדקדק דקדוקין לזכות לרשע</w:t>
      </w:r>
      <w:r w:rsidRPr="003F154F">
        <w:rPr>
          <w:rFonts w:cs="Arial" w:hint="cs"/>
          <w:rtl/>
        </w:rPr>
        <w:t>,</w:t>
      </w:r>
      <w:r w:rsidRPr="003F154F">
        <w:rPr>
          <w:rFonts w:cs="Arial"/>
          <w:rtl/>
        </w:rPr>
        <w:t xml:space="preserve"> דתנן בית דין מכין ועונשין שלא מן התורה כדי לעשות סייג לתורה או מפני שהזמן גורם</w:t>
      </w:r>
      <w:r w:rsidRPr="003F154F">
        <w:rPr>
          <w:rFonts w:cs="Arial" w:hint="cs"/>
          <w:rtl/>
        </w:rPr>
        <w:t>,</w:t>
      </w:r>
      <w:r w:rsidRPr="003F154F">
        <w:rPr>
          <w:rFonts w:cs="Arial"/>
          <w:rtl/>
        </w:rPr>
        <w:t xml:space="preserve"> והדיין מסתלק עצמו מלהענישו ומדקדק בענין הדין למצוא פתח לזכות אותו מן הדין ממש</w:t>
      </w:r>
      <w:r w:rsidRPr="003F154F">
        <w:rPr>
          <w:rFonts w:cs="Arial" w:hint="cs"/>
          <w:rtl/>
        </w:rPr>
        <w:t>,</w:t>
      </w:r>
      <w:r w:rsidRPr="003F154F">
        <w:rPr>
          <w:rFonts w:cs="Arial"/>
          <w:rtl/>
        </w:rPr>
        <w:t xml:space="preserve"> והוא הדין כשהקדוש ברוך הוא דן את העולם אותו דיין נתפש עליו ומסלקו עליו קודם זמנו ואם לאו עליו כתוב </w:t>
      </w:r>
      <w:r w:rsidRPr="003F154F">
        <w:rPr>
          <w:rFonts w:cs="Arial"/>
          <w:sz w:val="16"/>
          <w:szCs w:val="16"/>
          <w:rtl/>
        </w:rPr>
        <w:t xml:space="preserve">(איוב יח יט) </w:t>
      </w:r>
      <w:r w:rsidRPr="003F154F">
        <w:rPr>
          <w:rFonts w:cs="Arial"/>
          <w:rtl/>
        </w:rPr>
        <w:t>לא נין לו ולא נכד בעמו כשעצמו אינו נתפש</w:t>
      </w:r>
      <w:r w:rsidRPr="003F154F">
        <w:rPr>
          <w:rFonts w:cs="Arial" w:hint="cs"/>
          <w:rtl/>
        </w:rPr>
        <w:t xml:space="preserve"> -</w:t>
      </w:r>
      <w:r w:rsidRPr="003F154F">
        <w:rPr>
          <w:rFonts w:cs="Arial"/>
          <w:rtl/>
        </w:rPr>
        <w:t xml:space="preserve"> נתפש זרעו. יש מי שאין דן את הדין לאמתו ומקבל עליו שכר</w:t>
      </w:r>
      <w:r w:rsidRPr="003F154F">
        <w:rPr>
          <w:rFonts w:cs="Arial" w:hint="cs"/>
          <w:rtl/>
        </w:rPr>
        <w:t>,</w:t>
      </w:r>
      <w:r w:rsidRPr="003F154F">
        <w:rPr>
          <w:rFonts w:cs="Arial"/>
          <w:rtl/>
        </w:rPr>
        <w:t xml:space="preserve"> כגון אבא שראה אחד מחבק לאשת איש ומנשק אפיק לון לקונפיה וקטיל לון</w:t>
      </w:r>
      <w:r w:rsidRPr="003F154F">
        <w:rPr>
          <w:rFonts w:cs="Arial" w:hint="cs"/>
          <w:rtl/>
        </w:rPr>
        <w:t>,</w:t>
      </w:r>
      <w:r w:rsidRPr="003F154F">
        <w:rPr>
          <w:rFonts w:cs="Arial"/>
          <w:rtl/>
        </w:rPr>
        <w:t xml:space="preserve"> לאו דבני הריגה נינהו אלא לעשות סייג לתורה</w:t>
      </w:r>
      <w:r w:rsidRPr="003F154F">
        <w:rPr>
          <w:rFonts w:cs="Arial" w:hint="cs"/>
          <w:rtl/>
        </w:rPr>
        <w:t>,</w:t>
      </w:r>
      <w:r w:rsidRPr="003F154F">
        <w:rPr>
          <w:rFonts w:cs="Arial"/>
          <w:rtl/>
        </w:rPr>
        <w:t xml:space="preserve"> דלא תימא דיינא אפיק ליה בדין תורה וסגי ליה</w:t>
      </w:r>
      <w:r w:rsidRPr="003F154F">
        <w:rPr>
          <w:rFonts w:cs="Arial" w:hint="cs"/>
          <w:rtl/>
        </w:rPr>
        <w:t>,</w:t>
      </w:r>
      <w:r w:rsidRPr="003F154F">
        <w:rPr>
          <w:rFonts w:cs="Arial"/>
          <w:rtl/>
        </w:rPr>
        <w:t xml:space="preserve"> אלא דיינא דלא עבד סייג לתורה אין לו סייג לא בעולם הזה ולא בעולם הבא</w:t>
      </w:r>
      <w:r w:rsidRPr="003F154F">
        <w:rPr>
          <w:rFonts w:cs="Arial" w:hint="cs"/>
          <w:rtl/>
        </w:rPr>
        <w:t>,</w:t>
      </w:r>
      <w:r w:rsidRPr="003F154F">
        <w:rPr>
          <w:rFonts w:cs="Arial"/>
          <w:rtl/>
        </w:rPr>
        <w:t xml:space="preserve"> סייג שלא נין ונכד</w:t>
      </w:r>
      <w:r w:rsidRPr="003F154F">
        <w:rPr>
          <w:rFonts w:cs="Arial" w:hint="cs"/>
          <w:rtl/>
        </w:rPr>
        <w:t>,</w:t>
      </w:r>
      <w:r w:rsidRPr="003F154F">
        <w:rPr>
          <w:rFonts w:cs="Arial"/>
          <w:rtl/>
        </w:rPr>
        <w:t xml:space="preserve"> עצור ועזוב הוא בעולם הזה</w:t>
      </w:r>
      <w:r w:rsidRPr="003F154F">
        <w:rPr>
          <w:rFonts w:cs="Arial" w:hint="cs"/>
          <w:rtl/>
        </w:rPr>
        <w:t>,</w:t>
      </w:r>
      <w:r w:rsidRPr="003F154F">
        <w:rPr>
          <w:rFonts w:cs="Arial"/>
          <w:rtl/>
        </w:rPr>
        <w:t xml:space="preserve"> בעולם הבא מעבירים ממנו אותם מעשים טובים שהם סייג לעולם הבא לאדם</w:t>
      </w:r>
      <w:r w:rsidRPr="003F154F">
        <w:rPr>
          <w:rFonts w:cs="Arial" w:hint="cs"/>
          <w:rtl/>
        </w:rPr>
        <w:t>,</w:t>
      </w:r>
      <w:r w:rsidRPr="003F154F">
        <w:rPr>
          <w:rFonts w:cs="Arial"/>
          <w:rtl/>
        </w:rPr>
        <w:t xml:space="preserve"> כי הא דאמר עשו סייג לתורה בדיל דתירתון חיים בהאי עלמא ובעלמא דאתי</w:t>
      </w:r>
      <w:r w:rsidRPr="003F154F">
        <w:rPr>
          <w:rFonts w:cs="Arial" w:hint="cs"/>
          <w:rtl/>
        </w:rPr>
        <w:t>.</w:t>
      </w:r>
    </w:p>
    <w:p w14:paraId="36D12469" w14:textId="77777777" w:rsidR="00EA33E5" w:rsidRPr="00EA33E5" w:rsidRDefault="00EA33E5" w:rsidP="004B0475">
      <w:pPr>
        <w:pStyle w:val="ac"/>
        <w:numPr>
          <w:ilvl w:val="0"/>
          <w:numId w:val="46"/>
        </w:numPr>
      </w:pPr>
      <w:r w:rsidRPr="0014444F">
        <w:rPr>
          <w:rFonts w:cs="Arial"/>
          <w:rtl/>
        </w:rPr>
        <w:t xml:space="preserve">רמב"ם </w:t>
      </w:r>
      <w:r w:rsidRPr="0014444F">
        <w:rPr>
          <w:rFonts w:cs="Arial" w:hint="cs"/>
          <w:sz w:val="16"/>
          <w:szCs w:val="16"/>
          <w:rtl/>
        </w:rPr>
        <w:t xml:space="preserve">(פכ"ד </w:t>
      </w:r>
      <w:r w:rsidRPr="0014444F">
        <w:rPr>
          <w:rFonts w:cs="Arial"/>
          <w:sz w:val="16"/>
          <w:szCs w:val="16"/>
          <w:rtl/>
        </w:rPr>
        <w:t>מהל</w:t>
      </w:r>
      <w:r w:rsidRPr="0014444F">
        <w:rPr>
          <w:rFonts w:cs="Arial" w:hint="cs"/>
          <w:sz w:val="16"/>
          <w:szCs w:val="16"/>
          <w:rtl/>
        </w:rPr>
        <w:t>'</w:t>
      </w:r>
      <w:r w:rsidRPr="0014444F">
        <w:rPr>
          <w:rFonts w:cs="Arial"/>
          <w:sz w:val="16"/>
          <w:szCs w:val="16"/>
          <w:rtl/>
        </w:rPr>
        <w:t xml:space="preserve"> סנהדרין ה"ד</w:t>
      </w:r>
      <w:r>
        <w:rPr>
          <w:rFonts w:cs="Arial" w:hint="cs"/>
          <w:sz w:val="16"/>
          <w:szCs w:val="16"/>
          <w:rtl/>
        </w:rPr>
        <w:t>-י</w:t>
      </w:r>
      <w:r w:rsidRPr="0014444F">
        <w:rPr>
          <w:rFonts w:cs="Arial" w:hint="cs"/>
          <w:sz w:val="16"/>
          <w:szCs w:val="16"/>
          <w:rtl/>
        </w:rPr>
        <w:t>, העתיק הטור דבריו</w:t>
      </w:r>
      <w:r w:rsidRPr="0014444F">
        <w:rPr>
          <w:rFonts w:cs="Arial"/>
          <w:sz w:val="16"/>
          <w:szCs w:val="16"/>
          <w:rtl/>
        </w:rPr>
        <w:t>)</w:t>
      </w:r>
      <w:r w:rsidRPr="0014444F">
        <w:rPr>
          <w:rFonts w:cs="Arial" w:hint="cs"/>
          <w:rtl/>
        </w:rPr>
        <w:t xml:space="preserve">- </w:t>
      </w:r>
      <w:r w:rsidRPr="00EA33E5">
        <w:rPr>
          <w:rFonts w:cs="Arial"/>
          <w:rtl/>
        </w:rPr>
        <w:t>יש לבית דין להלקות מי שאינו מחוייב מלקות ולהרוג מי שאינו מחוייב מיתה ולא לעבור על דברי תורה אלא לעשות סייג לתורה, וכיון שרואים בית דין שפרצו העם בדבר יש להן לגדור ולחזק הדבר כפי מה שיראה להם הכל הוראת שעה לא שיקבע הלכה לדורות</w:t>
      </w:r>
      <w:r>
        <w:rPr>
          <w:rStyle w:val="ab"/>
          <w:rFonts w:cs="Arial"/>
          <w:rtl/>
        </w:rPr>
        <w:footnoteReference w:id="119"/>
      </w:r>
      <w:r w:rsidRPr="00EA33E5">
        <w:rPr>
          <w:rFonts w:cs="Arial"/>
          <w:rtl/>
        </w:rPr>
        <w:t>, מעשה והלקו אדם שבעל אשתו תחת אילן, ומעשה באחד שרכב על סוס בשבת בימי יוונים והביאוהו לבית דין וסקלוהו, ומעשה ותלה שמעון בן שטח שמונים נשים ביום אחד באשקלון ולא היו שם כל דרכי הדרישה וחקירה וההתראה ולא בעדות ברורה אלא הוראת שעה כפי מה שראה. וכן יש לבית דין בכל מקום ובכל זמן להלקות אדם ששמועתו רעה והעם מרננים עליו שהוא עובר על העריות והוא שיהיה קול שאינו פוסק כמו שביארנו ולא יהיו אלו אויבים ידועים שמוציאין עליו שמועה רעה, וכן מבזין את זה ששמועתו רעה ומחרפין את יולדתו בפניו. וכן יש לדיין תמיד להפקיר ממון שיש לו בעלים ומאבד ונותן כפי מה שיראה לגדור פרצות הדת ולחזק הבדק או לקנוס אלם זה והרי הוא אומר בעזרא וכל אשר לא יבוא לשלשת הימים כעצת השרים והזקנים יחרם כל רכושו מכאן שהפקר בית דין הפקר. וכן יש לדיין לנדות ולהחרים מי שאינו בן נידוי כדי לגדור פרץ כפי מה שיראה לו והשעה צריכה לכך ויאמר שנידהו והחרימהו על דעתו ויפרסם חטאו ברבים שנאמר אורו מרוז אמר מלאך ה' אורו ארור יושביה כי לא באו לעזרת ה'. וכן יש לדיין לעשות מריבה עם הראוי לריב עמו ולקללו ולהכותו ולתלוש שערו ולהשביע באלהים בעל כרחו שלא יעשה או שלא עשה, שנאמר ואריב עמם ואקללם ואכה מהם אנשים ואמרטם ואשביעם באלהים. וכן יש לו לכפות ידים ורגלים ולאסור בבית האסורים ולדחוף ולסחוב על הארץ שנאמר הן למות הן לשרושי הן לענש נכסין ולאסורין. כל אלו הדברים לפי מה שיראה הדיין שזה ראוי לכך ושהשעה צריכה, ובכל יהיו מעשיו לשם שמים ואל יהיה כבוד הבריות קל בעיניו שהרי הוא דוחה את לא תעשה של דבריהם וכל שכן כבוד בני אברהם יצחק ויעקב המחזיקין בתורת האמת שיהיה זהיר שלא יהרס כבודם אלא להוסיף בכבוד המקום בלבד שכל המבזה את התורה גופו מחולל על הבריות והמכבד את התורה גופו מכובד על הבריות, ואין כבוד התורה אלא לעשות על פי חוקיה ומשפטיה.</w:t>
      </w:r>
    </w:p>
    <w:p w14:paraId="106E9E73" w14:textId="77777777" w:rsidR="00EA33E5" w:rsidRPr="00EA33E5" w:rsidRDefault="00EA33E5" w:rsidP="00EA33E5">
      <w:pPr>
        <w:ind w:left="360"/>
        <w:rPr>
          <w:u w:val="dotted"/>
        </w:rPr>
      </w:pPr>
      <w:r w:rsidRPr="00EA33E5">
        <w:rPr>
          <w:rFonts w:hint="cs"/>
          <w:u w:val="dotted"/>
          <w:rtl/>
        </w:rPr>
        <w:t>לס</w:t>
      </w:r>
      <w:r w:rsidR="0091148F">
        <w:rPr>
          <w:rFonts w:hint="cs"/>
          <w:u w:val="dotted"/>
          <w:rtl/>
        </w:rPr>
        <w:t>יכום</w:t>
      </w:r>
      <w:r w:rsidRPr="00EA33E5">
        <w:rPr>
          <w:rFonts w:hint="cs"/>
          <w:u w:val="dotted"/>
          <w:rtl/>
        </w:rPr>
        <w:t>:</w:t>
      </w:r>
    </w:p>
    <w:p w14:paraId="7EC14E22" w14:textId="77777777" w:rsidR="00EA33E5" w:rsidRDefault="004A326E" w:rsidP="004B0475">
      <w:pPr>
        <w:pStyle w:val="ac"/>
        <w:numPr>
          <w:ilvl w:val="0"/>
          <w:numId w:val="46"/>
        </w:numPr>
      </w:pPr>
      <w:r>
        <w:rPr>
          <w:rFonts w:hint="cs"/>
          <w:rtl/>
        </w:rPr>
        <w:lastRenderedPageBreak/>
        <w:t xml:space="preserve">טור- </w:t>
      </w:r>
      <w:r>
        <w:rPr>
          <w:rFonts w:cs="Arial"/>
          <w:rtl/>
        </w:rPr>
        <w:t>אע"פ שאין דנין בחוצה לארץ דיני נפשות ודיני מכות ולא קנסות אם ראו בית דין שצורך שעה הוא שהעם פרוצים בעבירות דנין בין מיתה בין ממון בין כל מיני עונש.</w:t>
      </w:r>
      <w:r w:rsidRPr="00090BAA">
        <w:rPr>
          <w:rFonts w:cs="Arial"/>
          <w:rtl/>
        </w:rPr>
        <w:t xml:space="preserve"> </w:t>
      </w:r>
      <w:r w:rsidRPr="003E3B20">
        <w:rPr>
          <w:rFonts w:cs="Arial" w:hint="cs"/>
          <w:color w:val="E36C0A" w:themeColor="accent6" w:themeShade="BF"/>
          <w:rtl/>
        </w:rPr>
        <w:t>(וכ"</w:t>
      </w:r>
      <w:r w:rsidR="00EA33E5">
        <w:rPr>
          <w:rFonts w:cs="Arial" w:hint="cs"/>
          <w:color w:val="E36C0A" w:themeColor="accent6" w:themeShade="BF"/>
          <w:rtl/>
        </w:rPr>
        <w:t>פ</w:t>
      </w:r>
      <w:r w:rsidRPr="003E3B20">
        <w:rPr>
          <w:rFonts w:cs="Arial" w:hint="cs"/>
          <w:color w:val="E36C0A" w:themeColor="accent6" w:themeShade="BF"/>
          <w:rtl/>
        </w:rPr>
        <w:t xml:space="preserve"> בשו"ע)</w:t>
      </w:r>
    </w:p>
    <w:p w14:paraId="58DF5C92" w14:textId="77777777" w:rsidR="004A326E" w:rsidRDefault="004A326E" w:rsidP="004A326E">
      <w:r w:rsidRPr="003E3B20">
        <w:rPr>
          <w:rFonts w:cs="Arial" w:hint="cs"/>
          <w:b/>
          <w:bCs/>
          <w:rtl/>
        </w:rPr>
        <w:t xml:space="preserve">בבא בתרא </w:t>
      </w:r>
      <w:r>
        <w:rPr>
          <w:rFonts w:cs="Arial" w:hint="cs"/>
          <w:b/>
          <w:bCs/>
          <w:sz w:val="16"/>
          <w:szCs w:val="16"/>
          <w:rtl/>
        </w:rPr>
        <w:t xml:space="preserve">(פ' השותפין </w:t>
      </w:r>
      <w:r>
        <w:rPr>
          <w:rFonts w:cs="Arial" w:hint="cs"/>
          <w:b/>
          <w:bCs/>
          <w:sz w:val="14"/>
          <w:szCs w:val="14"/>
          <w:rtl/>
        </w:rPr>
        <w:t>[פ"ק]</w:t>
      </w:r>
      <w:r>
        <w:rPr>
          <w:rFonts w:cs="Arial" w:hint="cs"/>
          <w:b/>
          <w:bCs/>
          <w:sz w:val="16"/>
          <w:szCs w:val="16"/>
          <w:rtl/>
        </w:rPr>
        <w:t xml:space="preserve">) </w:t>
      </w:r>
      <w:r w:rsidRPr="003E3B20">
        <w:rPr>
          <w:rFonts w:cs="Arial" w:hint="cs"/>
          <w:b/>
          <w:bCs/>
          <w:rtl/>
        </w:rPr>
        <w:t>ח</w:t>
      </w:r>
      <w:r w:rsidR="0091148F">
        <w:rPr>
          <w:rStyle w:val="ab"/>
          <w:rFonts w:cs="Arial"/>
          <w:b/>
          <w:bCs/>
          <w:rtl/>
        </w:rPr>
        <w:footnoteReference w:id="120"/>
      </w:r>
      <w:r w:rsidRPr="003E3B20">
        <w:rPr>
          <w:rFonts w:cs="Arial" w:hint="cs"/>
          <w:b/>
          <w:bCs/>
          <w:rtl/>
        </w:rPr>
        <w:t xml:space="preserve"> ע"ב:</w:t>
      </w:r>
      <w:r>
        <w:rPr>
          <w:rFonts w:cs="Arial" w:hint="cs"/>
          <w:rtl/>
        </w:rPr>
        <w:t xml:space="preserve"> </w:t>
      </w:r>
      <w:r w:rsidRPr="006B40B6">
        <w:rPr>
          <w:rFonts w:cs="Arial"/>
          <w:rtl/>
        </w:rPr>
        <w:t>ורשאין בני העיר להתנות על המדות ועל השערים, ועל שכר פועלים, ולהסיע על קיצתן</w:t>
      </w:r>
      <w:r>
        <w:rPr>
          <w:rStyle w:val="ab"/>
          <w:rFonts w:cs="Arial"/>
          <w:rtl/>
        </w:rPr>
        <w:footnoteReference w:id="121"/>
      </w:r>
      <w:r w:rsidRPr="006B40B6">
        <w:rPr>
          <w:rFonts w:cs="Arial"/>
          <w:rtl/>
        </w:rPr>
        <w:t>.</w:t>
      </w:r>
    </w:p>
    <w:p w14:paraId="0BEF2E60" w14:textId="77777777" w:rsidR="00B73EF8" w:rsidRDefault="00B73EF8" w:rsidP="00B73EF8">
      <w:pPr>
        <w:rPr>
          <w:rFonts w:cs="Arial"/>
          <w:rtl/>
        </w:rPr>
      </w:pPr>
      <w:r w:rsidRPr="00B20F07">
        <w:rPr>
          <w:rFonts w:cs="Arial" w:hint="cs"/>
          <w:b/>
          <w:bCs/>
          <w:rtl/>
        </w:rPr>
        <w:t xml:space="preserve">גיטין </w:t>
      </w:r>
      <w:r w:rsidRPr="00B20F07">
        <w:rPr>
          <w:rFonts w:cs="Arial" w:hint="cs"/>
          <w:b/>
          <w:bCs/>
          <w:sz w:val="16"/>
          <w:szCs w:val="16"/>
          <w:rtl/>
        </w:rPr>
        <w:t xml:space="preserve">(פ' בתרא) </w:t>
      </w:r>
      <w:r w:rsidRPr="00B20F07">
        <w:rPr>
          <w:rFonts w:cs="Arial" w:hint="cs"/>
          <w:b/>
          <w:bCs/>
          <w:rtl/>
        </w:rPr>
        <w:t>פח</w:t>
      </w:r>
      <w:r w:rsidR="0091148F">
        <w:rPr>
          <w:rStyle w:val="ab"/>
          <w:rFonts w:cs="Arial"/>
          <w:b/>
          <w:bCs/>
          <w:rtl/>
        </w:rPr>
        <w:footnoteReference w:id="122"/>
      </w:r>
      <w:r w:rsidRPr="00B20F07">
        <w:rPr>
          <w:rFonts w:cs="Arial" w:hint="cs"/>
          <w:b/>
          <w:bCs/>
          <w:rtl/>
        </w:rPr>
        <w:t xml:space="preserve"> ע"ב:</w:t>
      </w:r>
      <w:r>
        <w:rPr>
          <w:rFonts w:cs="Arial" w:hint="cs"/>
          <w:rtl/>
        </w:rPr>
        <w:t xml:space="preserve"> </w:t>
      </w:r>
      <w:r w:rsidRPr="00B20F07">
        <w:rPr>
          <w:rFonts w:cs="Arial"/>
          <w:u w:val="double"/>
          <w:rtl/>
        </w:rPr>
        <w:t>מתני'</w:t>
      </w:r>
      <w:r>
        <w:rPr>
          <w:rFonts w:cs="Arial" w:hint="cs"/>
          <w:rtl/>
        </w:rPr>
        <w:t>:</w:t>
      </w:r>
      <w:r w:rsidRPr="00B20F07">
        <w:rPr>
          <w:rFonts w:cs="Arial"/>
          <w:rtl/>
        </w:rPr>
        <w:t xml:space="preserve"> גט מעושה, בישראל - כשר, </w:t>
      </w:r>
      <w:r>
        <w:rPr>
          <w:rFonts w:cs="Arial" w:hint="cs"/>
          <w:rtl/>
        </w:rPr>
        <w:t>ובגוים</w:t>
      </w:r>
      <w:r w:rsidRPr="00B20F07">
        <w:rPr>
          <w:rFonts w:cs="Arial"/>
          <w:rtl/>
        </w:rPr>
        <w:t xml:space="preserve"> </w:t>
      </w:r>
      <w:r>
        <w:rPr>
          <w:rFonts w:cs="Arial" w:hint="cs"/>
          <w:rtl/>
        </w:rPr>
        <w:t>-</w:t>
      </w:r>
      <w:r w:rsidRPr="00B20F07">
        <w:rPr>
          <w:rFonts w:cs="Arial"/>
          <w:rtl/>
        </w:rPr>
        <w:t xml:space="preserve"> פסול</w:t>
      </w:r>
      <w:r>
        <w:rPr>
          <w:rFonts w:cs="Arial" w:hint="cs"/>
          <w:rtl/>
        </w:rPr>
        <w:t>.</w:t>
      </w:r>
      <w:r w:rsidRPr="00B20F07">
        <w:rPr>
          <w:rFonts w:cs="Arial"/>
          <w:rtl/>
        </w:rPr>
        <w:t xml:space="preserve"> </w:t>
      </w:r>
      <w:r>
        <w:rPr>
          <w:rFonts w:cs="Arial" w:hint="cs"/>
          <w:rtl/>
        </w:rPr>
        <w:t>ובגוים</w:t>
      </w:r>
      <w:r w:rsidRPr="00B20F07">
        <w:rPr>
          <w:rFonts w:cs="Arial"/>
          <w:rtl/>
        </w:rPr>
        <w:t xml:space="preserve"> חובטין אותו ואומרים לו עשה מה שישראל אומרים לך</w:t>
      </w:r>
      <w:r>
        <w:rPr>
          <w:rFonts w:cs="Arial" w:hint="cs"/>
          <w:rtl/>
        </w:rPr>
        <w:t>.</w:t>
      </w:r>
      <w:r w:rsidRPr="00B20F07">
        <w:rPr>
          <w:rFonts w:cs="Arial"/>
          <w:rtl/>
        </w:rPr>
        <w:t xml:space="preserve"> </w:t>
      </w:r>
      <w:r w:rsidRPr="00B20F07">
        <w:rPr>
          <w:rFonts w:cs="Arial" w:hint="cs"/>
          <w:sz w:val="16"/>
          <w:szCs w:val="16"/>
          <w:rtl/>
        </w:rPr>
        <w:t xml:space="preserve">(וכ' הב"י דמכאן </w:t>
      </w:r>
      <w:r w:rsidRPr="00B20F07">
        <w:rPr>
          <w:rFonts w:cs="Arial"/>
          <w:sz w:val="16"/>
          <w:szCs w:val="16"/>
          <w:rtl/>
        </w:rPr>
        <w:t>יש ללמוד לכל מה שבית דין רוצים לעשות שאם הוא אלם כופין אותו ע</w:t>
      </w:r>
      <w:r>
        <w:rPr>
          <w:rFonts w:cs="Arial" w:hint="cs"/>
          <w:sz w:val="16"/>
          <w:szCs w:val="16"/>
          <w:rtl/>
        </w:rPr>
        <w:t>"</w:t>
      </w:r>
      <w:r w:rsidRPr="00B20F07">
        <w:rPr>
          <w:rFonts w:cs="Arial"/>
          <w:sz w:val="16"/>
          <w:szCs w:val="16"/>
          <w:rtl/>
        </w:rPr>
        <w:t>י גוים</w:t>
      </w:r>
      <w:r>
        <w:rPr>
          <w:rFonts w:cs="Arial" w:hint="cs"/>
          <w:sz w:val="16"/>
          <w:szCs w:val="16"/>
          <w:rtl/>
        </w:rPr>
        <w:t xml:space="preserve">. עכ"ל. וכ"כ הרא"ש </w:t>
      </w:r>
      <w:r w:rsidRPr="0001115B">
        <w:rPr>
          <w:rFonts w:cs="Arial" w:hint="cs"/>
          <w:sz w:val="14"/>
          <w:szCs w:val="14"/>
          <w:rtl/>
        </w:rPr>
        <w:t>(כלל ו סי' כז וסי' לב)</w:t>
      </w:r>
      <w:r>
        <w:rPr>
          <w:rFonts w:cs="Arial" w:hint="cs"/>
          <w:sz w:val="16"/>
          <w:szCs w:val="16"/>
          <w:rtl/>
        </w:rPr>
        <w:t xml:space="preserve"> והטור)</w:t>
      </w:r>
    </w:p>
    <w:p w14:paraId="71D2CA7A" w14:textId="77777777" w:rsidR="004A326E" w:rsidRDefault="0001115B" w:rsidP="004A326E">
      <w:pPr>
        <w:rPr>
          <w:rFonts w:cs="Arial"/>
          <w:rtl/>
        </w:rPr>
      </w:pPr>
      <w:r>
        <w:rPr>
          <w:rFonts w:cs="Arial" w:hint="cs"/>
          <w:u w:val="single"/>
          <w:rtl/>
        </w:rPr>
        <w:t>תקנות בני העיר למגדר מילתא</w:t>
      </w:r>
      <w:r w:rsidR="004A326E" w:rsidRPr="003F154F">
        <w:rPr>
          <w:rFonts w:cs="Arial" w:hint="cs"/>
          <w:u w:val="single"/>
          <w:rtl/>
        </w:rPr>
        <w:t>:</w:t>
      </w:r>
    </w:p>
    <w:p w14:paraId="3EAE8D9A" w14:textId="77777777" w:rsidR="004A326E" w:rsidRDefault="004A326E" w:rsidP="004B0475">
      <w:pPr>
        <w:pStyle w:val="ac"/>
        <w:numPr>
          <w:ilvl w:val="0"/>
          <w:numId w:val="46"/>
        </w:numPr>
        <w:rPr>
          <w:rFonts w:cs="Arial"/>
        </w:rPr>
      </w:pPr>
      <w:r w:rsidRPr="003F154F">
        <w:rPr>
          <w:rFonts w:cs="Arial"/>
          <w:rtl/>
        </w:rPr>
        <w:t xml:space="preserve">רא"ש </w:t>
      </w:r>
      <w:r w:rsidRPr="003F154F">
        <w:rPr>
          <w:rFonts w:cs="Arial" w:hint="cs"/>
          <w:sz w:val="16"/>
          <w:szCs w:val="16"/>
          <w:rtl/>
        </w:rPr>
        <w:t>(</w:t>
      </w:r>
      <w:r w:rsidRPr="003F154F">
        <w:rPr>
          <w:rFonts w:cs="Arial"/>
          <w:sz w:val="16"/>
          <w:szCs w:val="16"/>
          <w:rtl/>
        </w:rPr>
        <w:t>כלל ו סי</w:t>
      </w:r>
      <w:r w:rsidRPr="003F154F">
        <w:rPr>
          <w:rFonts w:cs="Arial" w:hint="cs"/>
          <w:sz w:val="16"/>
          <w:szCs w:val="16"/>
          <w:rtl/>
        </w:rPr>
        <w:t>'</w:t>
      </w:r>
      <w:r w:rsidRPr="003F154F">
        <w:rPr>
          <w:rFonts w:cs="Arial"/>
          <w:sz w:val="16"/>
          <w:szCs w:val="16"/>
          <w:rtl/>
        </w:rPr>
        <w:t xml:space="preserve"> לב</w:t>
      </w:r>
      <w:r w:rsidR="0001115B">
        <w:rPr>
          <w:rFonts w:cs="Arial" w:hint="cs"/>
          <w:sz w:val="16"/>
          <w:szCs w:val="16"/>
          <w:rtl/>
        </w:rPr>
        <w:t>, וכן בסי' כז</w:t>
      </w:r>
      <w:r w:rsidRPr="003F154F">
        <w:rPr>
          <w:rFonts w:cs="Arial" w:hint="cs"/>
          <w:sz w:val="16"/>
          <w:szCs w:val="16"/>
          <w:rtl/>
        </w:rPr>
        <w:t>)</w:t>
      </w:r>
      <w:r w:rsidRPr="003F154F">
        <w:rPr>
          <w:rFonts w:cs="Arial" w:hint="cs"/>
          <w:rtl/>
        </w:rPr>
        <w:t>-</w:t>
      </w:r>
      <w:r w:rsidRPr="003F154F">
        <w:rPr>
          <w:rFonts w:cs="Arial"/>
          <w:rtl/>
        </w:rPr>
        <w:t xml:space="preserve"> רשאין בני העיר להסיע על קצתן לפי צורך השעה למיגדר מלתא</w:t>
      </w:r>
      <w:r w:rsidR="004E37EF">
        <w:rPr>
          <w:rFonts w:cs="Arial" w:hint="cs"/>
          <w:rtl/>
        </w:rPr>
        <w:t>.</w:t>
      </w:r>
      <w:r w:rsidRPr="003F154F">
        <w:rPr>
          <w:rFonts w:cs="Arial"/>
          <w:rtl/>
        </w:rPr>
        <w:t xml:space="preserve"> ואם הוא עני ואין יכולין לעונשו בממון </w:t>
      </w:r>
      <w:r w:rsidR="004E37EF">
        <w:rPr>
          <w:rFonts w:cs="Arial" w:hint="cs"/>
          <w:rtl/>
        </w:rPr>
        <w:t xml:space="preserve">- </w:t>
      </w:r>
      <w:r w:rsidRPr="003F154F">
        <w:rPr>
          <w:rFonts w:cs="Arial"/>
          <w:rtl/>
        </w:rPr>
        <w:t>רשאין לעונשו ולקנסו במלקות ובכל מיני הרדפות עד שיהא ציית לדינא ולעשות כשאר הקהלות</w:t>
      </w:r>
      <w:r w:rsidRPr="003F154F">
        <w:rPr>
          <w:rFonts w:cs="Arial" w:hint="cs"/>
          <w:rtl/>
        </w:rPr>
        <w:t>,</w:t>
      </w:r>
      <w:r w:rsidRPr="003F154F">
        <w:rPr>
          <w:rFonts w:cs="Arial"/>
          <w:rtl/>
        </w:rPr>
        <w:t xml:space="preserve"> כדאיתא בפרק אלו מגלחין </w:t>
      </w:r>
      <w:r w:rsidRPr="003F154F">
        <w:rPr>
          <w:rFonts w:cs="Arial"/>
          <w:sz w:val="16"/>
          <w:szCs w:val="16"/>
          <w:rtl/>
        </w:rPr>
        <w:t xml:space="preserve">(מו"ק טז.) </w:t>
      </w:r>
      <w:r w:rsidRPr="003F154F">
        <w:rPr>
          <w:rFonts w:cs="Arial"/>
          <w:rtl/>
        </w:rPr>
        <w:t>מנא לן דנצינן ולייטינן וכו'</w:t>
      </w:r>
      <w:r w:rsidRPr="003F154F">
        <w:rPr>
          <w:rFonts w:cs="Arial" w:hint="cs"/>
          <w:rtl/>
        </w:rPr>
        <w:t>,</w:t>
      </w:r>
      <w:r w:rsidRPr="003F154F">
        <w:rPr>
          <w:rFonts w:cs="Arial"/>
          <w:rtl/>
        </w:rPr>
        <w:t xml:space="preserve"> אלמא רשאין בית דין בכל עיר ועיר לרדות ולייסר בכל מיני רדויין ונדויין המסרב על תקנתם</w:t>
      </w:r>
      <w:r w:rsidR="004E37EF">
        <w:rPr>
          <w:rFonts w:cs="Arial" w:hint="cs"/>
          <w:rtl/>
        </w:rPr>
        <w:t>.</w:t>
      </w:r>
      <w:r w:rsidRPr="003F154F">
        <w:rPr>
          <w:rFonts w:cs="Arial"/>
          <w:rtl/>
        </w:rPr>
        <w:t xml:space="preserve"> ואם הוא אלם ופריץ </w:t>
      </w:r>
      <w:r w:rsidR="004E37EF">
        <w:rPr>
          <w:rFonts w:cs="Arial" w:hint="cs"/>
          <w:rtl/>
        </w:rPr>
        <w:t xml:space="preserve">- </w:t>
      </w:r>
      <w:r w:rsidRPr="003F154F">
        <w:rPr>
          <w:rFonts w:cs="Arial"/>
          <w:rtl/>
        </w:rPr>
        <w:t>חובטין אותו על ידי גוים ואומרים לו עשה מה שישראל אומרים לך</w:t>
      </w:r>
      <w:r w:rsidRPr="003F154F">
        <w:rPr>
          <w:rFonts w:cs="Arial" w:hint="cs"/>
          <w:rtl/>
        </w:rPr>
        <w:t>.</w:t>
      </w:r>
      <w:r w:rsidRPr="003E3B20">
        <w:rPr>
          <w:rFonts w:cs="Arial" w:hint="cs"/>
          <w:color w:val="E36C0A" w:themeColor="accent6" w:themeShade="BF"/>
          <w:rtl/>
        </w:rPr>
        <w:t xml:space="preserve"> (וכ"פ בשו"ע)</w:t>
      </w:r>
    </w:p>
    <w:p w14:paraId="497B1A59" w14:textId="77777777" w:rsidR="00F85A79" w:rsidRDefault="00F85A79" w:rsidP="00F85A79">
      <w:pPr>
        <w:rPr>
          <w:rFonts w:cs="Arial"/>
          <w:u w:val="single"/>
          <w:rtl/>
        </w:rPr>
      </w:pPr>
      <w:r>
        <w:rPr>
          <w:rFonts w:cs="Arial" w:hint="cs"/>
          <w:u w:val="single"/>
          <w:rtl/>
        </w:rPr>
        <w:t xml:space="preserve">כח </w:t>
      </w:r>
      <w:r w:rsidRPr="0014444F">
        <w:rPr>
          <w:rFonts w:cs="Arial" w:hint="cs"/>
          <w:u w:val="single"/>
          <w:rtl/>
        </w:rPr>
        <w:t>תקנו</w:t>
      </w:r>
      <w:r>
        <w:rPr>
          <w:rFonts w:cs="Arial" w:hint="cs"/>
          <w:u w:val="single"/>
          <w:rtl/>
        </w:rPr>
        <w:t>ת</w:t>
      </w:r>
      <w:r w:rsidRPr="0014444F">
        <w:rPr>
          <w:rFonts w:cs="Arial" w:hint="cs"/>
          <w:u w:val="single"/>
          <w:rtl/>
        </w:rPr>
        <w:t xml:space="preserve"> הקהל:</w:t>
      </w:r>
    </w:p>
    <w:p w14:paraId="12AE942A" w14:textId="77777777" w:rsidR="00F85A79" w:rsidRDefault="00F85A79" w:rsidP="004B0475">
      <w:pPr>
        <w:pStyle w:val="ac"/>
        <w:numPr>
          <w:ilvl w:val="0"/>
          <w:numId w:val="46"/>
        </w:numPr>
        <w:rPr>
          <w:rFonts w:cs="Arial"/>
        </w:rPr>
      </w:pPr>
      <w:r w:rsidRPr="0014444F">
        <w:rPr>
          <w:rFonts w:cs="Arial"/>
          <w:rtl/>
        </w:rPr>
        <w:t xml:space="preserve">רשב"א </w:t>
      </w:r>
      <w:r w:rsidRPr="0014444F">
        <w:rPr>
          <w:rFonts w:cs="Arial" w:hint="cs"/>
          <w:sz w:val="16"/>
          <w:szCs w:val="16"/>
          <w:rtl/>
        </w:rPr>
        <w:t>(</w:t>
      </w:r>
      <w:r w:rsidRPr="0014444F">
        <w:rPr>
          <w:rFonts w:cs="Arial"/>
          <w:sz w:val="16"/>
          <w:szCs w:val="16"/>
          <w:rtl/>
        </w:rPr>
        <w:t>סי</w:t>
      </w:r>
      <w:r w:rsidRPr="0014444F">
        <w:rPr>
          <w:rFonts w:cs="Arial" w:hint="cs"/>
          <w:sz w:val="16"/>
          <w:szCs w:val="16"/>
          <w:rtl/>
        </w:rPr>
        <w:t>'</w:t>
      </w:r>
      <w:r w:rsidRPr="0014444F">
        <w:rPr>
          <w:rFonts w:cs="Arial"/>
          <w:sz w:val="16"/>
          <w:szCs w:val="16"/>
          <w:rtl/>
        </w:rPr>
        <w:t xml:space="preserve"> תשכט</w:t>
      </w:r>
      <w:r w:rsidRPr="0014444F">
        <w:rPr>
          <w:rFonts w:cs="Arial" w:hint="cs"/>
          <w:sz w:val="16"/>
          <w:szCs w:val="16"/>
          <w:rtl/>
        </w:rPr>
        <w:t>)</w:t>
      </w:r>
      <w:r w:rsidRPr="0014444F">
        <w:rPr>
          <w:rFonts w:cs="Arial" w:hint="cs"/>
          <w:rtl/>
        </w:rPr>
        <w:t xml:space="preserve">- </w:t>
      </w:r>
      <w:r w:rsidRPr="0014444F">
        <w:rPr>
          <w:rFonts w:cs="Arial"/>
          <w:rtl/>
        </w:rPr>
        <w:t>כל צבור וצבור במקומם כגאונים לכל ישראל שתקנו כמה תקנות וקיימות לכל ישראל</w:t>
      </w:r>
      <w:r>
        <w:rPr>
          <w:rStyle w:val="ab"/>
          <w:rFonts w:cs="Arial"/>
          <w:rtl/>
        </w:rPr>
        <w:footnoteReference w:id="123"/>
      </w:r>
      <w:r w:rsidRPr="0014444F">
        <w:rPr>
          <w:rFonts w:cs="Arial" w:hint="cs"/>
          <w:rtl/>
        </w:rPr>
        <w:t>.</w:t>
      </w:r>
      <w:r w:rsidRPr="0014444F">
        <w:rPr>
          <w:rFonts w:cs="Arial"/>
          <w:rtl/>
        </w:rPr>
        <w:t xml:space="preserve"> </w:t>
      </w:r>
    </w:p>
    <w:p w14:paraId="4E76BBD7" w14:textId="77777777" w:rsidR="00F85A79" w:rsidRPr="00F85A79" w:rsidRDefault="00F85A79" w:rsidP="004B0475">
      <w:pPr>
        <w:pStyle w:val="ac"/>
        <w:numPr>
          <w:ilvl w:val="0"/>
          <w:numId w:val="46"/>
        </w:numPr>
        <w:rPr>
          <w:rFonts w:cs="Arial"/>
          <w:rtl/>
        </w:rPr>
      </w:pPr>
      <w:r w:rsidRPr="006C704B">
        <w:rPr>
          <w:rFonts w:cs="Arial"/>
          <w:rtl/>
        </w:rPr>
        <w:t xml:space="preserve">מרדכי </w:t>
      </w:r>
      <w:r w:rsidRPr="006C704B">
        <w:rPr>
          <w:rFonts w:cs="Arial" w:hint="cs"/>
          <w:sz w:val="16"/>
          <w:szCs w:val="16"/>
          <w:rtl/>
        </w:rPr>
        <w:t>(</w:t>
      </w:r>
      <w:r w:rsidRPr="006C704B">
        <w:rPr>
          <w:rFonts w:cs="Arial"/>
          <w:sz w:val="16"/>
          <w:szCs w:val="16"/>
          <w:rtl/>
        </w:rPr>
        <w:t>ר</w:t>
      </w:r>
      <w:r w:rsidRPr="006C704B">
        <w:rPr>
          <w:rFonts w:cs="Arial" w:hint="cs"/>
          <w:sz w:val="16"/>
          <w:szCs w:val="16"/>
          <w:rtl/>
        </w:rPr>
        <w:t xml:space="preserve">יש </w:t>
      </w:r>
      <w:r w:rsidRPr="006C704B">
        <w:rPr>
          <w:rFonts w:cs="Arial"/>
          <w:sz w:val="16"/>
          <w:szCs w:val="16"/>
          <w:rtl/>
        </w:rPr>
        <w:t xml:space="preserve">פ"ב </w:t>
      </w:r>
      <w:r w:rsidRPr="006C704B">
        <w:rPr>
          <w:rFonts w:cs="Arial" w:hint="cs"/>
          <w:sz w:val="16"/>
          <w:szCs w:val="16"/>
          <w:rtl/>
        </w:rPr>
        <w:t>ד</w:t>
      </w:r>
      <w:r w:rsidRPr="006C704B">
        <w:rPr>
          <w:rFonts w:cs="Arial"/>
          <w:sz w:val="16"/>
          <w:szCs w:val="16"/>
          <w:rtl/>
        </w:rPr>
        <w:t>ב"מ סי</w:t>
      </w:r>
      <w:r w:rsidRPr="006C704B">
        <w:rPr>
          <w:rFonts w:cs="Arial" w:hint="cs"/>
          <w:sz w:val="16"/>
          <w:szCs w:val="16"/>
          <w:rtl/>
        </w:rPr>
        <w:t>'</w:t>
      </w:r>
      <w:r w:rsidRPr="006C704B">
        <w:rPr>
          <w:rFonts w:cs="Arial"/>
          <w:sz w:val="16"/>
          <w:szCs w:val="16"/>
          <w:rtl/>
        </w:rPr>
        <w:t xml:space="preserve"> רנז</w:t>
      </w:r>
      <w:r>
        <w:rPr>
          <w:rFonts w:cs="Arial" w:hint="cs"/>
          <w:sz w:val="16"/>
          <w:szCs w:val="16"/>
          <w:rtl/>
        </w:rPr>
        <w:t>, הביאו הסמ"ע [סק"י]</w:t>
      </w:r>
      <w:r w:rsidRPr="006C704B">
        <w:rPr>
          <w:rFonts w:cs="Arial" w:hint="cs"/>
          <w:sz w:val="16"/>
          <w:szCs w:val="16"/>
          <w:rtl/>
        </w:rPr>
        <w:t>)</w:t>
      </w:r>
      <w:r w:rsidRPr="006C704B">
        <w:rPr>
          <w:rFonts w:cs="Arial"/>
          <w:sz w:val="16"/>
          <w:szCs w:val="16"/>
          <w:rtl/>
        </w:rPr>
        <w:t xml:space="preserve"> </w:t>
      </w:r>
      <w:r w:rsidRPr="006C704B">
        <w:rPr>
          <w:rFonts w:cs="Arial"/>
          <w:rtl/>
        </w:rPr>
        <w:t>בשם תשובת רבינו גרשון</w:t>
      </w:r>
      <w:r>
        <w:rPr>
          <w:rFonts w:cs="Arial" w:hint="cs"/>
          <w:rtl/>
        </w:rPr>
        <w:t>-</w:t>
      </w:r>
      <w:r w:rsidRPr="006C704B">
        <w:rPr>
          <w:rFonts w:cs="Arial"/>
          <w:rtl/>
        </w:rPr>
        <w:t xml:space="preserve"> כל מי שנתמנה על הציבור הוא כאביר האבירים ויפתח בדורו כשמואל בדורו, וכל מה שעשה עשוי.</w:t>
      </w:r>
    </w:p>
    <w:p w14:paraId="3C1103DE" w14:textId="77777777" w:rsidR="004A326E" w:rsidRDefault="004A326E" w:rsidP="004A326E">
      <w:pPr>
        <w:rPr>
          <w:rFonts w:cs="Arial"/>
          <w:rtl/>
        </w:rPr>
      </w:pPr>
      <w:r w:rsidRPr="00FF7541">
        <w:rPr>
          <w:rFonts w:cs="Arial" w:hint="cs"/>
          <w:b/>
          <w:bCs/>
          <w:rtl/>
        </w:rPr>
        <w:t xml:space="preserve">בבא קמא </w:t>
      </w:r>
      <w:r>
        <w:rPr>
          <w:rFonts w:cs="Arial" w:hint="cs"/>
          <w:b/>
          <w:bCs/>
          <w:sz w:val="16"/>
          <w:szCs w:val="16"/>
          <w:rtl/>
        </w:rPr>
        <w:t xml:space="preserve">(פ' הגוזל עצים) </w:t>
      </w:r>
      <w:r w:rsidRPr="00FF7541">
        <w:rPr>
          <w:rFonts w:cs="Arial" w:hint="cs"/>
          <w:b/>
          <w:bCs/>
          <w:rtl/>
        </w:rPr>
        <w:t>צ</w:t>
      </w:r>
      <w:r>
        <w:rPr>
          <w:rFonts w:cs="Arial" w:hint="cs"/>
          <w:b/>
          <w:bCs/>
          <w:rtl/>
        </w:rPr>
        <w:t>ו</w:t>
      </w:r>
      <w:r w:rsidR="00882891">
        <w:rPr>
          <w:rStyle w:val="ab"/>
          <w:rFonts w:cs="Arial"/>
          <w:b/>
          <w:bCs/>
          <w:rtl/>
        </w:rPr>
        <w:footnoteReference w:id="124"/>
      </w:r>
      <w:r w:rsidRPr="00FF7541">
        <w:rPr>
          <w:rFonts w:cs="Arial" w:hint="cs"/>
          <w:b/>
          <w:bCs/>
          <w:rtl/>
        </w:rPr>
        <w:t xml:space="preserve"> ע"</w:t>
      </w:r>
      <w:r>
        <w:rPr>
          <w:rFonts w:cs="Arial" w:hint="cs"/>
          <w:b/>
          <w:bCs/>
          <w:rtl/>
        </w:rPr>
        <w:t>ב</w:t>
      </w:r>
      <w:r w:rsidRPr="00FF7541">
        <w:rPr>
          <w:rFonts w:cs="Arial" w:hint="cs"/>
          <w:b/>
          <w:bCs/>
          <w:rtl/>
        </w:rPr>
        <w:t xml:space="preserve">: </w:t>
      </w:r>
      <w:r w:rsidRPr="00B20F07">
        <w:rPr>
          <w:rFonts w:cs="Arial"/>
          <w:rtl/>
        </w:rPr>
        <w:t>ההוא גברא דגזל פדנא דתורי מחבריה, אזל כרב בהו כרבא, זרע בהו זרעא, לסוף אהדרינהו למריה</w:t>
      </w:r>
      <w:r w:rsidR="00B73EF8">
        <w:rPr>
          <w:rFonts w:cs="Arial" w:hint="cs"/>
          <w:rtl/>
        </w:rPr>
        <w:t>,</w:t>
      </w:r>
      <w:r w:rsidRPr="00B20F07">
        <w:rPr>
          <w:rFonts w:cs="Arial"/>
          <w:rtl/>
        </w:rPr>
        <w:t xml:space="preserve"> אתא לקמיה דרב נחמן, </w:t>
      </w:r>
      <w:r w:rsidRPr="003E3B20">
        <w:rPr>
          <w:rFonts w:cs="Arial"/>
          <w:u w:val="single"/>
          <w:rtl/>
        </w:rPr>
        <w:t>אמר להו</w:t>
      </w:r>
      <w:r w:rsidRPr="00B20F07">
        <w:rPr>
          <w:rFonts w:cs="Arial"/>
          <w:rtl/>
        </w:rPr>
        <w:t xml:space="preserve">: זילו שומו שבחא דאשבח. </w:t>
      </w:r>
      <w:r w:rsidRPr="003E3B20">
        <w:rPr>
          <w:rFonts w:cs="Arial"/>
          <w:u w:val="single"/>
          <w:rtl/>
        </w:rPr>
        <w:t>אמר ליה רבא</w:t>
      </w:r>
      <w:r w:rsidRPr="00B20F07">
        <w:rPr>
          <w:rFonts w:cs="Arial"/>
          <w:rtl/>
        </w:rPr>
        <w:t xml:space="preserve">: תורי אשבח, ארעא לא אשבח? </w:t>
      </w:r>
      <w:r w:rsidRPr="003E3B20">
        <w:rPr>
          <w:rFonts w:cs="Arial"/>
          <w:u w:val="single"/>
          <w:rtl/>
        </w:rPr>
        <w:t>אמר</w:t>
      </w:r>
      <w:r w:rsidRPr="00B20F07">
        <w:rPr>
          <w:rFonts w:cs="Arial"/>
          <w:rtl/>
        </w:rPr>
        <w:t xml:space="preserve">: מי קאמינא נשיימו כוליה? פלגא קאמינא. </w:t>
      </w:r>
      <w:r w:rsidRPr="003E3B20">
        <w:rPr>
          <w:rFonts w:cs="Arial"/>
          <w:u w:val="single"/>
          <w:rtl/>
        </w:rPr>
        <w:t>א"ל</w:t>
      </w:r>
      <w:r w:rsidRPr="00B20F07">
        <w:rPr>
          <w:rFonts w:cs="Arial"/>
          <w:rtl/>
        </w:rPr>
        <w:t xml:space="preserve">: סוף סוף גזילה הוא, וקא הדרה בעינא, דתנן: כל הגזלנין משלמין כשעת הגזלה! </w:t>
      </w:r>
      <w:r w:rsidRPr="003E3B20">
        <w:rPr>
          <w:rFonts w:cs="Arial"/>
          <w:u w:val="single"/>
          <w:rtl/>
        </w:rPr>
        <w:t>אמר ליה</w:t>
      </w:r>
      <w:r w:rsidRPr="00B20F07">
        <w:rPr>
          <w:rFonts w:cs="Arial"/>
          <w:rtl/>
        </w:rPr>
        <w:t xml:space="preserve">, לא אמינא לך: כי יתיבנא בדינא לא תימא לי מידי? דאמר הונא חברין עלאי: אנא ושבור מלכא אחי בדינא, האי אינש גזלנא עתיקא הוא ובעינא דאיקנסיה. </w:t>
      </w:r>
      <w:r w:rsidRPr="00623B98">
        <w:rPr>
          <w:rFonts w:cs="Arial" w:hint="cs"/>
          <w:sz w:val="16"/>
          <w:szCs w:val="16"/>
          <w:rtl/>
        </w:rPr>
        <w:t>(</w:t>
      </w:r>
      <w:r w:rsidRPr="00623B98">
        <w:rPr>
          <w:rFonts w:cs="Arial"/>
          <w:sz w:val="16"/>
          <w:szCs w:val="16"/>
          <w:rtl/>
        </w:rPr>
        <w:t xml:space="preserve">וכתב רב אלפס (לד.) על זה </w:t>
      </w:r>
      <w:r w:rsidR="00B73EF8">
        <w:rPr>
          <w:rFonts w:cs="Arial" w:hint="cs"/>
          <w:sz w:val="16"/>
          <w:szCs w:val="16"/>
          <w:rtl/>
        </w:rPr>
        <w:t xml:space="preserve">- </w:t>
      </w:r>
      <w:r w:rsidRPr="00623B98">
        <w:rPr>
          <w:rFonts w:cs="Arial"/>
          <w:sz w:val="16"/>
          <w:szCs w:val="16"/>
          <w:rtl/>
        </w:rPr>
        <w:t>מהא שמעינן דקנסינן בכה</w:t>
      </w:r>
      <w:r w:rsidRPr="00623B98">
        <w:rPr>
          <w:rFonts w:cs="Arial" w:hint="cs"/>
          <w:sz w:val="16"/>
          <w:szCs w:val="16"/>
          <w:rtl/>
        </w:rPr>
        <w:t>"</w:t>
      </w:r>
      <w:r w:rsidRPr="00623B98">
        <w:rPr>
          <w:rFonts w:cs="Arial"/>
          <w:sz w:val="16"/>
          <w:szCs w:val="16"/>
          <w:rtl/>
        </w:rPr>
        <w:t>ג ואפילו בחו</w:t>
      </w:r>
      <w:r>
        <w:rPr>
          <w:rFonts w:cs="Arial" w:hint="cs"/>
          <w:sz w:val="16"/>
          <w:szCs w:val="16"/>
          <w:rtl/>
        </w:rPr>
        <w:t>"</w:t>
      </w:r>
      <w:r w:rsidRPr="00623B98">
        <w:rPr>
          <w:rFonts w:cs="Arial"/>
          <w:sz w:val="16"/>
          <w:szCs w:val="16"/>
          <w:rtl/>
        </w:rPr>
        <w:t>ל דהא רב נחמן בבבל הוה וקא קניס</w:t>
      </w:r>
      <w:r w:rsidRPr="00623B98">
        <w:rPr>
          <w:rFonts w:cs="Arial" w:hint="cs"/>
          <w:sz w:val="16"/>
          <w:szCs w:val="16"/>
          <w:rtl/>
        </w:rPr>
        <w:t>,</w:t>
      </w:r>
      <w:r w:rsidRPr="00623B98">
        <w:rPr>
          <w:rFonts w:cs="Arial"/>
          <w:sz w:val="16"/>
          <w:szCs w:val="16"/>
          <w:rtl/>
        </w:rPr>
        <w:t xml:space="preserve"> ועוד דגרסינן בפרק נגמר הדין אמר רבי אליעזר בן יעקב שמעתי שבית דין מכין ועונשין שלא מן התורה כו'</w:t>
      </w:r>
      <w:r>
        <w:rPr>
          <w:rFonts w:cs="Arial" w:hint="cs"/>
          <w:sz w:val="16"/>
          <w:szCs w:val="16"/>
          <w:rtl/>
        </w:rPr>
        <w:t>, ב"י)</w:t>
      </w:r>
      <w:r>
        <w:rPr>
          <w:rFonts w:cs="Arial"/>
          <w:rtl/>
        </w:rPr>
        <w:t xml:space="preserve"> </w:t>
      </w:r>
    </w:p>
    <w:p w14:paraId="73CE308A" w14:textId="77777777" w:rsidR="004A326E" w:rsidRDefault="004A326E" w:rsidP="004A326E">
      <w:pPr>
        <w:rPr>
          <w:rtl/>
        </w:rPr>
      </w:pPr>
      <w:r w:rsidRPr="005D09C2">
        <w:rPr>
          <w:rFonts w:cs="Arial" w:hint="cs"/>
          <w:b/>
          <w:bCs/>
          <w:rtl/>
        </w:rPr>
        <w:t xml:space="preserve">סנהדרין </w:t>
      </w:r>
      <w:r>
        <w:rPr>
          <w:rFonts w:cs="Arial" w:hint="cs"/>
          <w:b/>
          <w:bCs/>
          <w:sz w:val="16"/>
          <w:szCs w:val="16"/>
          <w:rtl/>
        </w:rPr>
        <w:t>(</w:t>
      </w:r>
      <w:r w:rsidRPr="005D09C2">
        <w:rPr>
          <w:rFonts w:cs="Arial"/>
          <w:b/>
          <w:bCs/>
          <w:sz w:val="16"/>
          <w:szCs w:val="16"/>
          <w:rtl/>
        </w:rPr>
        <w:t>פ</w:t>
      </w:r>
      <w:r w:rsidRPr="005D09C2">
        <w:rPr>
          <w:rFonts w:cs="Arial" w:hint="cs"/>
          <w:b/>
          <w:bCs/>
          <w:sz w:val="16"/>
          <w:szCs w:val="16"/>
          <w:rtl/>
        </w:rPr>
        <w:t>'</w:t>
      </w:r>
      <w:r w:rsidRPr="005D09C2">
        <w:rPr>
          <w:rFonts w:cs="Arial"/>
          <w:b/>
          <w:bCs/>
          <w:sz w:val="16"/>
          <w:szCs w:val="16"/>
          <w:rtl/>
        </w:rPr>
        <w:t xml:space="preserve"> ארבע מיתות</w:t>
      </w:r>
      <w:r>
        <w:rPr>
          <w:rFonts w:cs="Arial" w:hint="cs"/>
          <w:b/>
          <w:bCs/>
          <w:sz w:val="16"/>
          <w:szCs w:val="16"/>
          <w:rtl/>
        </w:rPr>
        <w:t>)</w:t>
      </w:r>
      <w:r w:rsidRPr="005D09C2">
        <w:rPr>
          <w:rFonts w:cs="Arial"/>
          <w:b/>
          <w:bCs/>
          <w:sz w:val="16"/>
          <w:szCs w:val="16"/>
          <w:rtl/>
        </w:rPr>
        <w:t xml:space="preserve"> </w:t>
      </w:r>
      <w:r>
        <w:rPr>
          <w:rFonts w:cs="Arial" w:hint="cs"/>
          <w:b/>
          <w:bCs/>
          <w:rtl/>
        </w:rPr>
        <w:t>נב</w:t>
      </w:r>
      <w:r w:rsidR="00EC197C">
        <w:rPr>
          <w:rStyle w:val="ab"/>
          <w:rFonts w:cs="Arial"/>
          <w:b/>
          <w:bCs/>
          <w:rtl/>
        </w:rPr>
        <w:footnoteReference w:id="125"/>
      </w:r>
      <w:r>
        <w:rPr>
          <w:rFonts w:cs="Arial" w:hint="cs"/>
          <w:b/>
          <w:bCs/>
          <w:rtl/>
        </w:rPr>
        <w:t xml:space="preserve"> ע"ב:</w:t>
      </w:r>
      <w:r w:rsidRPr="005D09C2">
        <w:rPr>
          <w:rFonts w:cs="Arial"/>
          <w:b/>
          <w:bCs/>
          <w:rtl/>
        </w:rPr>
        <w:t xml:space="preserve"> </w:t>
      </w:r>
      <w:r w:rsidRPr="005D09C2">
        <w:rPr>
          <w:rFonts w:cs="Arial"/>
          <w:rtl/>
        </w:rPr>
        <w:t xml:space="preserve">אימרתא בת טלי בת כהן שזינתה הואי, אקפה רב חמא בר טוביה חבילי זמורות ושרפה. </w:t>
      </w:r>
      <w:r w:rsidRPr="005D09C2">
        <w:rPr>
          <w:rFonts w:cs="Arial"/>
          <w:u w:val="single"/>
          <w:rtl/>
        </w:rPr>
        <w:t>אמר רב יוסף</w:t>
      </w:r>
      <w:r w:rsidRPr="005D09C2">
        <w:rPr>
          <w:rFonts w:cs="Arial"/>
          <w:rtl/>
        </w:rPr>
        <w:t>: טעה בתרתי, טעה בדרב מתנה</w:t>
      </w:r>
      <w:r>
        <w:rPr>
          <w:rStyle w:val="ab"/>
          <w:rFonts w:cs="Arial"/>
          <w:rtl/>
        </w:rPr>
        <w:footnoteReference w:id="126"/>
      </w:r>
      <w:r w:rsidRPr="005D09C2">
        <w:rPr>
          <w:rFonts w:cs="Arial"/>
          <w:rtl/>
        </w:rPr>
        <w:t>, וטעה בדתניא</w:t>
      </w:r>
      <w:r>
        <w:rPr>
          <w:rStyle w:val="ab"/>
          <w:rFonts w:cs="Arial"/>
          <w:rtl/>
        </w:rPr>
        <w:footnoteReference w:id="127"/>
      </w:r>
      <w:r w:rsidRPr="005D09C2">
        <w:rPr>
          <w:rFonts w:cs="Arial"/>
          <w:rtl/>
        </w:rPr>
        <w:t>: ובאת אל הכהנים הלוים ואל השפט אשר יהיה בימים ההם, בזמן שיש כהן - יש משפט, בזמן שאין כהן - אין משפט.</w:t>
      </w:r>
    </w:p>
    <w:p w14:paraId="4829169E" w14:textId="77777777" w:rsidR="004A326E" w:rsidRDefault="004A326E" w:rsidP="004A326E">
      <w:pPr>
        <w:rPr>
          <w:rFonts w:cs="Arial"/>
          <w:rtl/>
        </w:rPr>
      </w:pPr>
      <w:r w:rsidRPr="00623B98">
        <w:rPr>
          <w:rFonts w:cs="Arial" w:hint="cs"/>
          <w:u w:val="single"/>
          <w:rtl/>
        </w:rPr>
        <w:t xml:space="preserve">האם כל בית דין יכול לקנוס </w:t>
      </w:r>
      <w:r w:rsidR="00707631">
        <w:rPr>
          <w:rFonts w:cs="Arial" w:hint="cs"/>
          <w:u w:val="single"/>
          <w:rtl/>
        </w:rPr>
        <w:t xml:space="preserve">להכות ולענוש </w:t>
      </w:r>
      <w:r w:rsidR="00B73EF8">
        <w:rPr>
          <w:rFonts w:cs="Arial" w:hint="cs"/>
          <w:sz w:val="16"/>
          <w:szCs w:val="16"/>
          <w:u w:val="single"/>
          <w:rtl/>
        </w:rPr>
        <w:t>(</w:t>
      </w:r>
      <w:r w:rsidR="00707631" w:rsidRPr="00B73EF8">
        <w:rPr>
          <w:rFonts w:cs="Arial" w:hint="cs"/>
          <w:sz w:val="16"/>
          <w:szCs w:val="16"/>
          <w:u w:val="single"/>
          <w:rtl/>
        </w:rPr>
        <w:t>כדלעיל</w:t>
      </w:r>
      <w:r w:rsidR="00B73EF8">
        <w:rPr>
          <w:rFonts w:cs="Arial" w:hint="cs"/>
          <w:sz w:val="16"/>
          <w:szCs w:val="16"/>
          <w:u w:val="single"/>
          <w:rtl/>
        </w:rPr>
        <w:t>)</w:t>
      </w:r>
      <w:r w:rsidRPr="00623B98">
        <w:rPr>
          <w:rFonts w:cs="Arial" w:hint="cs"/>
          <w:u w:val="single"/>
          <w:rtl/>
        </w:rPr>
        <w:t xml:space="preserve"> או שצריך דוקא בית דין הממונים לכך:</w:t>
      </w:r>
      <w:r>
        <w:rPr>
          <w:rFonts w:cs="Arial" w:hint="cs"/>
          <w:rtl/>
        </w:rPr>
        <w:t xml:space="preserve"> </w:t>
      </w:r>
    </w:p>
    <w:p w14:paraId="6B55883B" w14:textId="77777777" w:rsidR="004A326E" w:rsidRDefault="004A326E" w:rsidP="004B0475">
      <w:pPr>
        <w:pStyle w:val="ac"/>
        <w:numPr>
          <w:ilvl w:val="0"/>
          <w:numId w:val="46"/>
        </w:numPr>
        <w:rPr>
          <w:rFonts w:cs="Arial"/>
        </w:rPr>
      </w:pPr>
      <w:r w:rsidRPr="00623B98">
        <w:rPr>
          <w:rFonts w:cs="Arial"/>
          <w:rtl/>
        </w:rPr>
        <w:t xml:space="preserve">רא"ש </w:t>
      </w:r>
      <w:r w:rsidRPr="004833C8">
        <w:rPr>
          <w:rFonts w:cs="Arial"/>
          <w:sz w:val="16"/>
          <w:szCs w:val="16"/>
          <w:rtl/>
        </w:rPr>
        <w:t>(סי' ה)</w:t>
      </w:r>
      <w:r>
        <w:rPr>
          <w:rFonts w:cs="Arial" w:hint="cs"/>
          <w:rtl/>
        </w:rPr>
        <w:t xml:space="preserve"> טור</w:t>
      </w:r>
      <w:r w:rsidR="00707631" w:rsidRPr="00707631">
        <w:rPr>
          <w:rFonts w:hint="cs"/>
          <w:rtl/>
        </w:rPr>
        <w:t xml:space="preserve"> </w:t>
      </w:r>
      <w:r w:rsidR="00707631">
        <w:rPr>
          <w:rFonts w:hint="cs"/>
          <w:rtl/>
        </w:rPr>
        <w:t>ורי"ו</w:t>
      </w:r>
      <w:r w:rsidR="00707631">
        <w:rPr>
          <w:rFonts w:cs="Arial" w:hint="cs"/>
          <w:rtl/>
        </w:rPr>
        <w:t xml:space="preserve"> </w:t>
      </w:r>
      <w:r w:rsidR="00707631" w:rsidRPr="00707631">
        <w:rPr>
          <w:rFonts w:cs="Arial"/>
          <w:sz w:val="16"/>
          <w:szCs w:val="16"/>
          <w:rtl/>
        </w:rPr>
        <w:t>(נ"א ח"ב ח ע"ג)</w:t>
      </w:r>
      <w:r>
        <w:rPr>
          <w:rFonts w:cs="Arial" w:hint="cs"/>
          <w:rtl/>
        </w:rPr>
        <w:t>-</w:t>
      </w:r>
      <w:r w:rsidRPr="00623B98">
        <w:rPr>
          <w:rFonts w:cs="Arial"/>
          <w:rtl/>
        </w:rPr>
        <w:t xml:space="preserve"> </w:t>
      </w:r>
      <w:r w:rsidR="00F20364" w:rsidRPr="00F20364">
        <w:rPr>
          <w:rFonts w:cs="Arial"/>
          <w:rtl/>
        </w:rPr>
        <w:t>דוקא גדול הדור כגון רב נחמן דחתנא דבי נשיאה הוה וממונה לדון על פי הנשיא</w:t>
      </w:r>
      <w:r w:rsidR="00F20364">
        <w:rPr>
          <w:rFonts w:cs="Arial" w:hint="cs"/>
          <w:rtl/>
        </w:rPr>
        <w:t>,</w:t>
      </w:r>
      <w:r w:rsidR="00F20364" w:rsidRPr="00F20364">
        <w:rPr>
          <w:rFonts w:cs="Arial"/>
          <w:rtl/>
        </w:rPr>
        <w:t xml:space="preserve"> או טובי העיר שהמחום רבים עליהם</w:t>
      </w:r>
      <w:r w:rsidR="00F20364">
        <w:rPr>
          <w:rFonts w:cs="Arial" w:hint="cs"/>
          <w:rtl/>
        </w:rPr>
        <w:t>,</w:t>
      </w:r>
      <w:r w:rsidR="00F20364" w:rsidRPr="00F20364">
        <w:rPr>
          <w:rFonts w:cs="Arial"/>
          <w:rtl/>
        </w:rPr>
        <w:t xml:space="preserve"> אבל דייני דעלמא לא </w:t>
      </w:r>
      <w:r w:rsidR="00707631">
        <w:rPr>
          <w:rFonts w:cs="Arial" w:hint="cs"/>
          <w:sz w:val="16"/>
          <w:szCs w:val="16"/>
          <w:rtl/>
        </w:rPr>
        <w:t>(ל' הרא"ש)</w:t>
      </w:r>
      <w:r w:rsidRPr="00623B98">
        <w:rPr>
          <w:rFonts w:cs="Arial" w:hint="cs"/>
          <w:rtl/>
        </w:rPr>
        <w:t>.</w:t>
      </w:r>
      <w:r w:rsidRPr="00623B98">
        <w:rPr>
          <w:rFonts w:cs="Arial"/>
          <w:rtl/>
        </w:rPr>
        <w:t xml:space="preserve"> </w:t>
      </w:r>
      <w:r w:rsidRPr="003E3B20">
        <w:rPr>
          <w:rFonts w:cs="Arial" w:hint="cs"/>
          <w:color w:val="E36C0A" w:themeColor="accent6" w:themeShade="BF"/>
          <w:rtl/>
        </w:rPr>
        <w:t>(וכ"פ בשו"ע)</w:t>
      </w:r>
    </w:p>
    <w:p w14:paraId="4B5841A9" w14:textId="77777777" w:rsidR="004A326E" w:rsidRDefault="004A326E" w:rsidP="004B0475">
      <w:pPr>
        <w:pStyle w:val="ac"/>
        <w:numPr>
          <w:ilvl w:val="0"/>
          <w:numId w:val="46"/>
        </w:numPr>
        <w:rPr>
          <w:rFonts w:cs="Arial"/>
        </w:rPr>
      </w:pPr>
      <w:r w:rsidRPr="00090BAA">
        <w:rPr>
          <w:rFonts w:cs="Arial"/>
          <w:rtl/>
        </w:rPr>
        <w:t xml:space="preserve">מהרי"ק </w:t>
      </w:r>
      <w:r w:rsidRPr="00090BAA">
        <w:rPr>
          <w:rFonts w:cs="Arial" w:hint="cs"/>
          <w:sz w:val="16"/>
          <w:szCs w:val="16"/>
          <w:rtl/>
        </w:rPr>
        <w:t>(</w:t>
      </w:r>
      <w:r w:rsidRPr="00090BAA">
        <w:rPr>
          <w:rFonts w:cs="Arial"/>
          <w:sz w:val="16"/>
          <w:szCs w:val="16"/>
          <w:rtl/>
        </w:rPr>
        <w:t>שורש קפט</w:t>
      </w:r>
      <w:r w:rsidRPr="00090BAA">
        <w:rPr>
          <w:rFonts w:cs="Arial" w:hint="cs"/>
          <w:sz w:val="16"/>
          <w:szCs w:val="16"/>
          <w:rtl/>
        </w:rPr>
        <w:t>)</w:t>
      </w:r>
      <w:r w:rsidRPr="00090BAA">
        <w:rPr>
          <w:rFonts w:cs="Arial" w:hint="cs"/>
          <w:rtl/>
        </w:rPr>
        <w:t xml:space="preserve">- </w:t>
      </w:r>
      <w:r w:rsidRPr="00090BAA">
        <w:rPr>
          <w:rFonts w:cs="Arial"/>
          <w:rtl/>
        </w:rPr>
        <w:t>הוא הדין לבית דין של שלשה הדיוטות</w:t>
      </w:r>
      <w:r>
        <w:rPr>
          <w:rStyle w:val="ab"/>
          <w:rFonts w:cs="Arial"/>
          <w:rtl/>
        </w:rPr>
        <w:footnoteReference w:id="128"/>
      </w:r>
      <w:r w:rsidRPr="00090BAA">
        <w:rPr>
          <w:rFonts w:cs="Arial" w:hint="cs"/>
          <w:rtl/>
        </w:rPr>
        <w:t>.</w:t>
      </w:r>
      <w:r w:rsidRPr="00090BAA">
        <w:rPr>
          <w:rFonts w:cs="Arial"/>
          <w:rtl/>
        </w:rPr>
        <w:t xml:space="preserve"> </w:t>
      </w:r>
    </w:p>
    <w:p w14:paraId="13DBBE8C" w14:textId="77777777" w:rsidR="00882891" w:rsidRPr="00882891" w:rsidRDefault="00882891" w:rsidP="00882891">
      <w:pPr>
        <w:ind w:left="360"/>
        <w:rPr>
          <w:rFonts w:cs="Arial"/>
          <w:u w:val="dotted"/>
        </w:rPr>
      </w:pPr>
      <w:r w:rsidRPr="00882891">
        <w:rPr>
          <w:rFonts w:cs="Arial" w:hint="cs"/>
          <w:u w:val="dotted"/>
          <w:rtl/>
        </w:rPr>
        <w:lastRenderedPageBreak/>
        <w:t xml:space="preserve">ומה הדין בעונש שהוא מקצת מה שהתורה חייבתו: </w:t>
      </w:r>
    </w:p>
    <w:p w14:paraId="7029C5A4" w14:textId="77777777" w:rsidR="004A326E" w:rsidRPr="00090BAA" w:rsidRDefault="004A326E" w:rsidP="004B0475">
      <w:pPr>
        <w:pStyle w:val="ac"/>
        <w:numPr>
          <w:ilvl w:val="0"/>
          <w:numId w:val="46"/>
        </w:numPr>
        <w:rPr>
          <w:rFonts w:cs="Arial"/>
        </w:rPr>
      </w:pPr>
      <w:r w:rsidRPr="00090BAA">
        <w:rPr>
          <w:rFonts w:cs="Arial" w:hint="cs"/>
          <w:rtl/>
        </w:rPr>
        <w:t xml:space="preserve">נמוק"י </w:t>
      </w:r>
      <w:r w:rsidRPr="00090BAA">
        <w:rPr>
          <w:rFonts w:cs="Arial" w:hint="cs"/>
          <w:sz w:val="16"/>
          <w:szCs w:val="16"/>
          <w:rtl/>
        </w:rPr>
        <w:t xml:space="preserve">(סנהדרין </w:t>
      </w:r>
      <w:r w:rsidRPr="00090BAA">
        <w:rPr>
          <w:rFonts w:cs="Arial"/>
          <w:sz w:val="16"/>
          <w:szCs w:val="16"/>
          <w:rtl/>
        </w:rPr>
        <w:t>פ</w:t>
      </w:r>
      <w:r w:rsidRPr="00090BAA">
        <w:rPr>
          <w:rFonts w:cs="Arial" w:hint="cs"/>
          <w:sz w:val="16"/>
          <w:szCs w:val="16"/>
          <w:rtl/>
        </w:rPr>
        <w:t>'</w:t>
      </w:r>
      <w:r w:rsidRPr="00090BAA">
        <w:rPr>
          <w:rFonts w:cs="Arial"/>
          <w:sz w:val="16"/>
          <w:szCs w:val="16"/>
          <w:rtl/>
        </w:rPr>
        <w:t xml:space="preserve"> ארבע מיתות </w:t>
      </w:r>
      <w:r w:rsidRPr="00090BAA">
        <w:rPr>
          <w:rFonts w:cs="Arial" w:hint="cs"/>
          <w:sz w:val="16"/>
          <w:szCs w:val="16"/>
          <w:rtl/>
        </w:rPr>
        <w:t xml:space="preserve">[פ"ז] </w:t>
      </w:r>
      <w:r w:rsidRPr="00090BAA">
        <w:rPr>
          <w:rFonts w:cs="Arial"/>
          <w:sz w:val="16"/>
          <w:szCs w:val="16"/>
          <w:rtl/>
        </w:rPr>
        <w:t>טז. ד"ה גרסינן)</w:t>
      </w:r>
      <w:r w:rsidRPr="00090BAA">
        <w:rPr>
          <w:rFonts w:cs="Arial" w:hint="cs"/>
          <w:rtl/>
        </w:rPr>
        <w:t>-</w:t>
      </w:r>
      <w:r w:rsidRPr="00090BAA">
        <w:rPr>
          <w:rFonts w:cs="Arial"/>
          <w:rtl/>
        </w:rPr>
        <w:t xml:space="preserve"> כתבו המפרשים </w:t>
      </w:r>
      <w:r>
        <w:rPr>
          <w:rFonts w:cs="Arial" w:hint="cs"/>
          <w:sz w:val="16"/>
          <w:szCs w:val="16"/>
          <w:rtl/>
        </w:rPr>
        <w:t>{אהא דאימרתא בת טלי</w:t>
      </w:r>
      <w:r w:rsidR="00F20364">
        <w:rPr>
          <w:rFonts w:cs="Arial" w:hint="cs"/>
          <w:sz w:val="16"/>
          <w:szCs w:val="16"/>
          <w:rtl/>
        </w:rPr>
        <w:t xml:space="preserve"> ד-</w:t>
      </w:r>
      <w:r>
        <w:rPr>
          <w:rFonts w:cs="Arial" w:hint="cs"/>
          <w:sz w:val="16"/>
          <w:szCs w:val="16"/>
          <w:rtl/>
        </w:rPr>
        <w:t xml:space="preserve">} </w:t>
      </w:r>
      <w:r w:rsidRPr="00090BAA">
        <w:rPr>
          <w:rFonts w:cs="Arial"/>
          <w:rtl/>
        </w:rPr>
        <w:t>הוא הדין דהוה מצי למימר דטעה באחריתי דסמוך בעינן ואיהו לא סמיך</w:t>
      </w:r>
      <w:r w:rsidRPr="00090BAA">
        <w:rPr>
          <w:rFonts w:cs="Arial" w:hint="cs"/>
          <w:rtl/>
        </w:rPr>
        <w:t>.</w:t>
      </w:r>
      <w:r w:rsidRPr="00090BAA">
        <w:rPr>
          <w:rFonts w:cs="Arial"/>
          <w:rtl/>
        </w:rPr>
        <w:t xml:space="preserve"> ואי קשיא והא קי</w:t>
      </w:r>
      <w:r w:rsidRPr="00090BAA">
        <w:rPr>
          <w:rFonts w:cs="Arial" w:hint="cs"/>
          <w:rtl/>
        </w:rPr>
        <w:t>י"</w:t>
      </w:r>
      <w:r w:rsidRPr="00090BAA">
        <w:rPr>
          <w:rFonts w:cs="Arial"/>
          <w:rtl/>
        </w:rPr>
        <w:t xml:space="preserve">ל </w:t>
      </w:r>
      <w:r w:rsidRPr="00090BAA">
        <w:rPr>
          <w:rFonts w:cs="Arial"/>
          <w:sz w:val="16"/>
          <w:szCs w:val="16"/>
          <w:rtl/>
        </w:rPr>
        <w:t xml:space="preserve">(שם מו.) </w:t>
      </w:r>
      <w:r w:rsidRPr="00090BAA">
        <w:rPr>
          <w:rFonts w:cs="Arial"/>
          <w:rtl/>
        </w:rPr>
        <w:t>דבית דין מכין ועונשין שלא מן הדין כו'</w:t>
      </w:r>
      <w:r w:rsidRPr="00090BAA">
        <w:rPr>
          <w:rFonts w:cs="Arial" w:hint="cs"/>
          <w:rtl/>
        </w:rPr>
        <w:t>,</w:t>
      </w:r>
      <w:r w:rsidRPr="00090BAA">
        <w:rPr>
          <w:rFonts w:cs="Arial"/>
          <w:rtl/>
        </w:rPr>
        <w:t xml:space="preserve"> יש לומר דהתם סנהדרי גדולה הוו ורב גוברייהו אבל בית דין דעלמא לא</w:t>
      </w:r>
      <w:r w:rsidRPr="00090BAA">
        <w:rPr>
          <w:rFonts w:cs="Arial" w:hint="cs"/>
          <w:rtl/>
        </w:rPr>
        <w:t>,</w:t>
      </w:r>
      <w:r w:rsidRPr="00090BAA">
        <w:rPr>
          <w:rFonts w:cs="Arial"/>
          <w:rtl/>
        </w:rPr>
        <w:t xml:space="preserve"> ואע</w:t>
      </w:r>
      <w:r w:rsidRPr="00090BAA">
        <w:rPr>
          <w:rFonts w:cs="Arial" w:hint="cs"/>
          <w:rtl/>
        </w:rPr>
        <w:t>"</w:t>
      </w:r>
      <w:r w:rsidRPr="00090BAA">
        <w:rPr>
          <w:rFonts w:cs="Arial"/>
          <w:rtl/>
        </w:rPr>
        <w:t>ג דאמרינן בר</w:t>
      </w:r>
      <w:r w:rsidRPr="00090BAA">
        <w:rPr>
          <w:rFonts w:cs="Arial" w:hint="cs"/>
          <w:rtl/>
        </w:rPr>
        <w:t>"</w:t>
      </w:r>
      <w:r w:rsidRPr="00090BAA">
        <w:rPr>
          <w:rFonts w:cs="Arial"/>
          <w:rtl/>
        </w:rPr>
        <w:t xml:space="preserve">פ שני דנדה </w:t>
      </w:r>
      <w:r w:rsidRPr="00090BAA">
        <w:rPr>
          <w:rFonts w:cs="Arial"/>
          <w:sz w:val="16"/>
          <w:szCs w:val="16"/>
          <w:rtl/>
        </w:rPr>
        <w:t xml:space="preserve">(יג:) </w:t>
      </w:r>
      <w:r w:rsidRPr="00090BAA">
        <w:rPr>
          <w:rFonts w:cs="Arial"/>
          <w:rtl/>
        </w:rPr>
        <w:t>רב הונא קץ ידא מאדם אחד שהיה רגיל להכות את חבירו ואמרינן בפ</w:t>
      </w:r>
      <w:r w:rsidRPr="00090BAA">
        <w:rPr>
          <w:rFonts w:cs="Arial" w:hint="cs"/>
          <w:rtl/>
        </w:rPr>
        <w:t>'</w:t>
      </w:r>
      <w:r w:rsidRPr="00090BAA">
        <w:rPr>
          <w:rFonts w:cs="Arial"/>
          <w:rtl/>
        </w:rPr>
        <w:t xml:space="preserve"> זה בורר </w:t>
      </w:r>
      <w:r w:rsidRPr="00090BAA">
        <w:rPr>
          <w:rFonts w:cs="Arial"/>
          <w:sz w:val="16"/>
          <w:szCs w:val="16"/>
          <w:rtl/>
        </w:rPr>
        <w:t xml:space="preserve">(סנהדרין כז.) </w:t>
      </w:r>
      <w:r w:rsidRPr="00090BAA">
        <w:rPr>
          <w:rFonts w:cs="Arial"/>
          <w:rtl/>
        </w:rPr>
        <w:t>אי קטל נפשא ליכהיוה לעיניה</w:t>
      </w:r>
      <w:r w:rsidRPr="00090BAA">
        <w:rPr>
          <w:rFonts w:cs="Arial" w:hint="cs"/>
          <w:rtl/>
        </w:rPr>
        <w:t>,</w:t>
      </w:r>
      <w:r w:rsidRPr="00090BAA">
        <w:rPr>
          <w:rFonts w:cs="Arial"/>
          <w:rtl/>
        </w:rPr>
        <w:t xml:space="preserve"> היינו לעונשו בקצת מה שחייבה עליו תורה כגון שיכהו עיני ההורג שנתחייב מיתה וכיוצא בזו אבל לחייבו לגמרי כדין תורה לא</w:t>
      </w:r>
      <w:r w:rsidRPr="00090BAA">
        <w:rPr>
          <w:rFonts w:cs="Arial" w:hint="cs"/>
          <w:rtl/>
        </w:rPr>
        <w:t>.</w:t>
      </w:r>
    </w:p>
    <w:p w14:paraId="0D901B0B" w14:textId="77777777" w:rsidR="004A326E" w:rsidRPr="004833C8" w:rsidRDefault="004A326E" w:rsidP="004A326E">
      <w:pPr>
        <w:ind w:left="360"/>
        <w:rPr>
          <w:rFonts w:cs="Arial"/>
          <w:u w:val="dotted"/>
        </w:rPr>
      </w:pPr>
      <w:r w:rsidRPr="004833C8">
        <w:rPr>
          <w:rFonts w:cs="Arial" w:hint="cs"/>
          <w:u w:val="dotted"/>
          <w:rtl/>
        </w:rPr>
        <w:t>האם אפשר לקנוס כה"ג רק כשיש עדות גמורה או דסגי בקלא דלא פסיק:</w:t>
      </w:r>
    </w:p>
    <w:p w14:paraId="6C6A2F37" w14:textId="77777777" w:rsidR="004A326E" w:rsidRPr="004833C8" w:rsidRDefault="004A326E" w:rsidP="004B0475">
      <w:pPr>
        <w:pStyle w:val="ac"/>
        <w:numPr>
          <w:ilvl w:val="0"/>
          <w:numId w:val="46"/>
        </w:numPr>
        <w:rPr>
          <w:rFonts w:cs="Arial"/>
          <w:rtl/>
        </w:rPr>
      </w:pPr>
      <w:r>
        <w:rPr>
          <w:rFonts w:cs="Arial" w:hint="cs"/>
          <w:rtl/>
        </w:rPr>
        <w:t xml:space="preserve">רשב"א </w:t>
      </w:r>
      <w:r w:rsidRPr="004833C8">
        <w:rPr>
          <w:rFonts w:cs="Arial"/>
          <w:sz w:val="16"/>
          <w:szCs w:val="16"/>
          <w:rtl/>
        </w:rPr>
        <w:t xml:space="preserve">(ח"ב סי' רצ) </w:t>
      </w:r>
      <w:r>
        <w:rPr>
          <w:rFonts w:cs="Arial" w:hint="cs"/>
          <w:rtl/>
        </w:rPr>
        <w:t xml:space="preserve">רא"ש </w:t>
      </w:r>
      <w:r>
        <w:rPr>
          <w:rFonts w:cs="Arial" w:hint="cs"/>
          <w:sz w:val="16"/>
          <w:szCs w:val="16"/>
          <w:rtl/>
        </w:rPr>
        <w:t xml:space="preserve">(כ"כ הב"י בשמו, לא מצאתי את המקור) </w:t>
      </w:r>
      <w:r w:rsidRPr="004833C8">
        <w:rPr>
          <w:rFonts w:cs="Arial" w:hint="cs"/>
          <w:rtl/>
        </w:rPr>
        <w:t>טור</w:t>
      </w:r>
      <w:r>
        <w:rPr>
          <w:rFonts w:cs="Arial" w:hint="cs"/>
          <w:rtl/>
        </w:rPr>
        <w:t xml:space="preserve"> ורי"ו</w:t>
      </w:r>
      <w:r>
        <w:rPr>
          <w:rFonts w:cs="Arial" w:hint="cs"/>
          <w:sz w:val="16"/>
          <w:szCs w:val="16"/>
          <w:rtl/>
        </w:rPr>
        <w:t xml:space="preserve"> </w:t>
      </w:r>
      <w:r w:rsidRPr="00BA541C">
        <w:rPr>
          <w:rFonts w:cs="Arial"/>
          <w:sz w:val="16"/>
          <w:szCs w:val="16"/>
          <w:rtl/>
        </w:rPr>
        <w:t>(נ"א ח"ב ח ע"ג)</w:t>
      </w:r>
      <w:r w:rsidRPr="004833C8">
        <w:rPr>
          <w:rFonts w:cs="Arial" w:hint="cs"/>
          <w:rtl/>
        </w:rPr>
        <w:t xml:space="preserve">- </w:t>
      </w:r>
      <w:r>
        <w:rPr>
          <w:rFonts w:cs="Arial" w:hint="cs"/>
          <w:rtl/>
        </w:rPr>
        <w:t>נ</w:t>
      </w:r>
      <w:r w:rsidRPr="004833C8">
        <w:rPr>
          <w:rFonts w:cs="Arial"/>
          <w:rtl/>
        </w:rPr>
        <w:t xml:space="preserve">ראה שאפילו אין בדבר עדות גמורה שהיה מתחייב על פיהם בדין בשעה שהיו דנין דיני נפשות אלא שיש רגלים לדבר וקלא דלא פסיק אם נראה לדיין שיש צורך השעה לדונו בכך </w:t>
      </w:r>
      <w:r w:rsidR="00882891">
        <w:rPr>
          <w:rFonts w:cs="Arial" w:hint="cs"/>
          <w:rtl/>
        </w:rPr>
        <w:t xml:space="preserve">- </w:t>
      </w:r>
      <w:r w:rsidRPr="004833C8">
        <w:rPr>
          <w:rFonts w:cs="Arial"/>
          <w:rtl/>
        </w:rPr>
        <w:t>הרשות בידו</w:t>
      </w:r>
      <w:r>
        <w:rPr>
          <w:rFonts w:cs="Arial" w:hint="cs"/>
          <w:sz w:val="16"/>
          <w:szCs w:val="16"/>
          <w:rtl/>
        </w:rPr>
        <w:t xml:space="preserve"> (ל' הטור)</w:t>
      </w:r>
      <w:r w:rsidRPr="004833C8">
        <w:rPr>
          <w:rFonts w:cs="Arial"/>
          <w:rtl/>
        </w:rPr>
        <w:t xml:space="preserve">. </w:t>
      </w:r>
      <w:r w:rsidRPr="003E3B20">
        <w:rPr>
          <w:rFonts w:cs="Arial" w:hint="cs"/>
          <w:color w:val="E36C0A" w:themeColor="accent6" w:themeShade="BF"/>
          <w:rtl/>
        </w:rPr>
        <w:t>(וכ"פ בשו"ע)</w:t>
      </w:r>
    </w:p>
    <w:p w14:paraId="40A22FFD" w14:textId="77777777" w:rsidR="004A326E" w:rsidRDefault="004A326E" w:rsidP="004A326E">
      <w:pPr>
        <w:rPr>
          <w:rFonts w:cs="Arial"/>
          <w:rtl/>
        </w:rPr>
      </w:pPr>
      <w:r w:rsidRPr="00BA541C">
        <w:rPr>
          <w:rFonts w:cs="Arial" w:hint="cs"/>
          <w:u w:val="single"/>
          <w:rtl/>
        </w:rPr>
        <w:t>אדם שהרג</w:t>
      </w:r>
      <w:r>
        <w:rPr>
          <w:rFonts w:cs="Arial" w:hint="cs"/>
          <w:u w:val="single"/>
          <w:rtl/>
        </w:rPr>
        <w:t>:</w:t>
      </w:r>
    </w:p>
    <w:p w14:paraId="2917E30A" w14:textId="77777777" w:rsidR="004A326E" w:rsidRPr="00BA541C" w:rsidRDefault="004A326E" w:rsidP="004B0475">
      <w:pPr>
        <w:pStyle w:val="ac"/>
        <w:numPr>
          <w:ilvl w:val="0"/>
          <w:numId w:val="46"/>
        </w:numPr>
        <w:rPr>
          <w:rFonts w:cs="Arial"/>
          <w:rtl/>
        </w:rPr>
      </w:pPr>
      <w:r w:rsidRPr="00BA541C">
        <w:rPr>
          <w:rFonts w:cs="Arial" w:hint="cs"/>
          <w:rtl/>
        </w:rPr>
        <w:t>רי"ו</w:t>
      </w:r>
      <w:r w:rsidRPr="00BA541C">
        <w:rPr>
          <w:rFonts w:cs="Arial"/>
          <w:rtl/>
        </w:rPr>
        <w:t xml:space="preserve"> </w:t>
      </w:r>
      <w:r w:rsidRPr="00BA541C">
        <w:rPr>
          <w:rFonts w:cs="Arial"/>
          <w:sz w:val="16"/>
          <w:szCs w:val="16"/>
          <w:rtl/>
        </w:rPr>
        <w:t>(נ"א ח"ב ח ע"ג)</w:t>
      </w:r>
      <w:r w:rsidRPr="00BA541C">
        <w:rPr>
          <w:rFonts w:cs="Arial" w:hint="cs"/>
          <w:rtl/>
        </w:rPr>
        <w:t xml:space="preserve">- </w:t>
      </w:r>
      <w:r w:rsidRPr="00BA541C">
        <w:rPr>
          <w:rFonts w:cs="Arial"/>
          <w:rtl/>
        </w:rPr>
        <w:t>מי שהרג</w:t>
      </w:r>
      <w:r>
        <w:rPr>
          <w:rFonts w:cs="Arial" w:hint="cs"/>
          <w:rtl/>
        </w:rPr>
        <w:t>,</w:t>
      </w:r>
      <w:r w:rsidRPr="00BA541C">
        <w:rPr>
          <w:rFonts w:cs="Arial"/>
          <w:rtl/>
        </w:rPr>
        <w:t xml:space="preserve"> דייני חוצה לארץ יכולים לקטוע לו אבר או לסמות עיניו אפילו בלא התראה או דאתכחוש בבדיקות</w:t>
      </w:r>
      <w:r w:rsidR="00F20364">
        <w:rPr>
          <w:rFonts w:cs="Arial" w:hint="cs"/>
          <w:rtl/>
        </w:rPr>
        <w:t>.</w:t>
      </w:r>
      <w:r w:rsidRPr="00BA541C">
        <w:rPr>
          <w:rFonts w:cs="Arial"/>
          <w:rtl/>
        </w:rPr>
        <w:t xml:space="preserve"> בפרק זה בורר </w:t>
      </w:r>
      <w:r w:rsidRPr="00BA541C">
        <w:rPr>
          <w:rFonts w:cs="Arial"/>
          <w:sz w:val="16"/>
          <w:szCs w:val="16"/>
          <w:rtl/>
        </w:rPr>
        <w:t>(כט.)</w:t>
      </w:r>
      <w:r w:rsidRPr="00BA541C">
        <w:rPr>
          <w:rFonts w:cs="Arial" w:hint="cs"/>
          <w:rtl/>
        </w:rPr>
        <w:t>.</w:t>
      </w:r>
    </w:p>
    <w:p w14:paraId="146DC037" w14:textId="77777777" w:rsidR="004A326E" w:rsidRDefault="004A326E" w:rsidP="004A326E">
      <w:pPr>
        <w:rPr>
          <w:rFonts w:cs="Arial"/>
          <w:rtl/>
        </w:rPr>
      </w:pPr>
      <w:r w:rsidRPr="005D09C2">
        <w:rPr>
          <w:rFonts w:cs="Arial" w:hint="cs"/>
          <w:u w:val="single"/>
          <w:rtl/>
        </w:rPr>
        <w:t xml:space="preserve">מסירת </w:t>
      </w:r>
      <w:r>
        <w:rPr>
          <w:rFonts w:cs="Arial" w:hint="cs"/>
          <w:u w:val="single"/>
          <w:rtl/>
        </w:rPr>
        <w:t>יהודי</w:t>
      </w:r>
      <w:r w:rsidRPr="005D09C2">
        <w:rPr>
          <w:rFonts w:cs="Arial" w:hint="cs"/>
          <w:u w:val="single"/>
          <w:rtl/>
        </w:rPr>
        <w:t xml:space="preserve"> </w:t>
      </w:r>
      <w:r>
        <w:rPr>
          <w:rFonts w:cs="Arial" w:hint="cs"/>
          <w:sz w:val="16"/>
          <w:szCs w:val="16"/>
          <w:u w:val="single"/>
          <w:rtl/>
        </w:rPr>
        <w:t>(</w:t>
      </w:r>
      <w:r w:rsidRPr="005D09C2">
        <w:rPr>
          <w:rFonts w:cs="Arial" w:hint="cs"/>
          <w:sz w:val="16"/>
          <w:szCs w:val="16"/>
          <w:u w:val="single"/>
          <w:rtl/>
        </w:rPr>
        <w:t>שלא מציית לדין ישראל)</w:t>
      </w:r>
      <w:r>
        <w:rPr>
          <w:rFonts w:cs="Arial" w:hint="cs"/>
          <w:u w:val="single"/>
          <w:rtl/>
        </w:rPr>
        <w:t xml:space="preserve"> למשפט הגוים</w:t>
      </w:r>
      <w:r w:rsidRPr="005D09C2">
        <w:rPr>
          <w:rFonts w:cs="Arial" w:hint="cs"/>
          <w:u w:val="single"/>
          <w:rtl/>
        </w:rPr>
        <w:t>:</w:t>
      </w:r>
      <w:r>
        <w:rPr>
          <w:rFonts w:cs="Arial" w:hint="cs"/>
          <w:rtl/>
        </w:rPr>
        <w:t xml:space="preserve"> </w:t>
      </w:r>
    </w:p>
    <w:p w14:paraId="5173BFB1" w14:textId="77777777" w:rsidR="004A326E" w:rsidRPr="005D09C2" w:rsidRDefault="004A326E" w:rsidP="004B0475">
      <w:pPr>
        <w:pStyle w:val="ac"/>
        <w:numPr>
          <w:ilvl w:val="0"/>
          <w:numId w:val="46"/>
        </w:numPr>
        <w:rPr>
          <w:rFonts w:cs="Arial"/>
          <w:rtl/>
        </w:rPr>
      </w:pPr>
      <w:r w:rsidRPr="005D09C2">
        <w:rPr>
          <w:rFonts w:cs="Arial"/>
          <w:rtl/>
        </w:rPr>
        <w:t xml:space="preserve">ריב"ש </w:t>
      </w:r>
      <w:r w:rsidRPr="005D09C2">
        <w:rPr>
          <w:rFonts w:cs="Arial" w:hint="cs"/>
          <w:sz w:val="16"/>
          <w:szCs w:val="16"/>
          <w:rtl/>
        </w:rPr>
        <w:t>(</w:t>
      </w:r>
      <w:r w:rsidRPr="005D09C2">
        <w:rPr>
          <w:rFonts w:cs="Arial"/>
          <w:sz w:val="16"/>
          <w:szCs w:val="16"/>
          <w:rtl/>
        </w:rPr>
        <w:t>ס</w:t>
      </w:r>
      <w:r w:rsidRPr="005D09C2">
        <w:rPr>
          <w:rFonts w:cs="Arial" w:hint="cs"/>
          <w:sz w:val="16"/>
          <w:szCs w:val="16"/>
          <w:rtl/>
        </w:rPr>
        <w:t>"ס</w:t>
      </w:r>
      <w:r w:rsidRPr="005D09C2">
        <w:rPr>
          <w:rFonts w:cs="Arial"/>
          <w:sz w:val="16"/>
          <w:szCs w:val="16"/>
          <w:rtl/>
        </w:rPr>
        <w:t xml:space="preserve"> שפז)</w:t>
      </w:r>
      <w:r w:rsidRPr="005D09C2">
        <w:rPr>
          <w:rFonts w:cs="Arial" w:hint="cs"/>
          <w:rtl/>
        </w:rPr>
        <w:t xml:space="preserve">- </w:t>
      </w:r>
      <w:r w:rsidRPr="005D09C2">
        <w:rPr>
          <w:rFonts w:cs="Arial" w:hint="cs"/>
          <w:sz w:val="16"/>
          <w:szCs w:val="16"/>
          <w:rtl/>
        </w:rPr>
        <w:t xml:space="preserve">{מדובר שם </w:t>
      </w:r>
      <w:r w:rsidRPr="005D09C2">
        <w:rPr>
          <w:rFonts w:cs="Arial"/>
          <w:sz w:val="16"/>
          <w:szCs w:val="16"/>
          <w:rtl/>
        </w:rPr>
        <w:t>על אדם שיסרוהו על שעבר עבירה</w:t>
      </w:r>
      <w:r w:rsidRPr="005D09C2">
        <w:rPr>
          <w:rFonts w:cs="Arial" w:hint="cs"/>
          <w:sz w:val="16"/>
          <w:szCs w:val="16"/>
          <w:rtl/>
        </w:rPr>
        <w:t xml:space="preserve"> </w:t>
      </w:r>
      <w:r w:rsidR="00782D92">
        <w:rPr>
          <w:rFonts w:cs="Arial" w:hint="cs"/>
          <w:sz w:val="16"/>
          <w:szCs w:val="16"/>
          <w:rtl/>
        </w:rPr>
        <w:t xml:space="preserve">ומסרוהו למשפט הגוים, </w:t>
      </w:r>
      <w:r w:rsidRPr="005D09C2">
        <w:rPr>
          <w:rFonts w:cs="Arial" w:hint="cs"/>
          <w:sz w:val="16"/>
          <w:szCs w:val="16"/>
          <w:rtl/>
        </w:rPr>
        <w:t>וכתב על זה הריב"ש-}</w:t>
      </w:r>
      <w:r w:rsidRPr="005D09C2">
        <w:rPr>
          <w:rFonts w:cs="Arial"/>
          <w:sz w:val="16"/>
          <w:szCs w:val="16"/>
          <w:rtl/>
        </w:rPr>
        <w:t xml:space="preserve"> </w:t>
      </w:r>
      <w:r w:rsidRPr="005D09C2">
        <w:rPr>
          <w:rFonts w:cs="Arial"/>
          <w:rtl/>
        </w:rPr>
        <w:t>האמת יותר טוב היה לעונשו בדייני ישראל אי הוה ציית דינא</w:t>
      </w:r>
      <w:r w:rsidR="00882891">
        <w:rPr>
          <w:rFonts w:cs="Arial" w:hint="cs"/>
          <w:rtl/>
        </w:rPr>
        <w:t>,</w:t>
      </w:r>
      <w:r w:rsidRPr="005D09C2">
        <w:rPr>
          <w:rFonts w:cs="Arial"/>
          <w:rtl/>
        </w:rPr>
        <w:t xml:space="preserve"> כי יש לחוש ולפחד מני שים אדם מישראל ביד שופטי האומות</w:t>
      </w:r>
      <w:r w:rsidRPr="005D09C2">
        <w:rPr>
          <w:rFonts w:cs="Arial" w:hint="cs"/>
          <w:rtl/>
        </w:rPr>
        <w:t>,</w:t>
      </w:r>
      <w:r w:rsidRPr="005D09C2">
        <w:rPr>
          <w:rFonts w:cs="Arial"/>
          <w:rtl/>
        </w:rPr>
        <w:t xml:space="preserve"> וכל שכן על מצות תורתנו</w:t>
      </w:r>
      <w:r w:rsidRPr="005D09C2">
        <w:rPr>
          <w:rFonts w:cs="Arial" w:hint="cs"/>
          <w:rtl/>
        </w:rPr>
        <w:t>,</w:t>
      </w:r>
      <w:r w:rsidRPr="005D09C2">
        <w:rPr>
          <w:rFonts w:cs="Arial"/>
          <w:rtl/>
        </w:rPr>
        <w:t xml:space="preserve"> כי ידוע יש מהם רבים חומדי ממון ישראל</w:t>
      </w:r>
      <w:r w:rsidRPr="005D09C2">
        <w:rPr>
          <w:rFonts w:cs="Arial" w:hint="cs"/>
          <w:rtl/>
        </w:rPr>
        <w:t>,</w:t>
      </w:r>
      <w:r w:rsidRPr="005D09C2">
        <w:rPr>
          <w:rFonts w:cs="Arial"/>
          <w:rtl/>
        </w:rPr>
        <w:t xml:space="preserve"> ולא טוב לפתוח להם פתח לפשפש במעשינו</w:t>
      </w:r>
      <w:r w:rsidRPr="005D09C2">
        <w:rPr>
          <w:rFonts w:cs="Arial" w:hint="cs"/>
          <w:rtl/>
        </w:rPr>
        <w:t>,</w:t>
      </w:r>
      <w:r w:rsidRPr="005D09C2">
        <w:rPr>
          <w:rFonts w:cs="Arial"/>
          <w:rtl/>
        </w:rPr>
        <w:t xml:space="preserve"> כי יש מצות שאדם דש בעקביו </w:t>
      </w:r>
      <w:r w:rsidRPr="005D09C2">
        <w:rPr>
          <w:rFonts w:cs="Arial"/>
          <w:sz w:val="16"/>
          <w:szCs w:val="16"/>
          <w:rtl/>
        </w:rPr>
        <w:t xml:space="preserve">(רש"י דברים ז יב) </w:t>
      </w:r>
      <w:r w:rsidRPr="005D09C2">
        <w:rPr>
          <w:rFonts w:cs="Arial"/>
          <w:rtl/>
        </w:rPr>
        <w:t>וענשם גדול</w:t>
      </w:r>
      <w:r w:rsidR="00061175">
        <w:rPr>
          <w:rFonts w:cs="Arial" w:hint="cs"/>
          <w:rtl/>
        </w:rPr>
        <w:t>,</w:t>
      </w:r>
      <w:r w:rsidRPr="005D09C2">
        <w:rPr>
          <w:rFonts w:cs="Arial"/>
          <w:rtl/>
        </w:rPr>
        <w:t xml:space="preserve"> אמנם אחר אשר האלהים אנה לידו </w:t>
      </w:r>
      <w:r w:rsidRPr="005D09C2">
        <w:rPr>
          <w:rFonts w:cs="Arial"/>
          <w:sz w:val="16"/>
          <w:szCs w:val="16"/>
          <w:rtl/>
        </w:rPr>
        <w:t xml:space="preserve">(שמות כא יג) </w:t>
      </w:r>
      <w:r w:rsidRPr="005D09C2">
        <w:rPr>
          <w:rFonts w:cs="Arial"/>
          <w:rtl/>
        </w:rPr>
        <w:t xml:space="preserve">ומעשיו קרבוהו והגישוהו אל המשפט לפני גוים ותעט כמעיל </w:t>
      </w:r>
      <w:r w:rsidRPr="005D09C2">
        <w:rPr>
          <w:rFonts w:cs="Arial"/>
          <w:sz w:val="16"/>
          <w:szCs w:val="16"/>
          <w:rtl/>
        </w:rPr>
        <w:t xml:space="preserve">(ישעי' נט יז) </w:t>
      </w:r>
      <w:r w:rsidRPr="005D09C2">
        <w:rPr>
          <w:rFonts w:cs="Arial"/>
          <w:rtl/>
        </w:rPr>
        <w:t>קנאת השם צבאות לבלתי הנקותו אחרי נפלו</w:t>
      </w:r>
      <w:r w:rsidRPr="005D09C2">
        <w:rPr>
          <w:rFonts w:cs="Arial" w:hint="cs"/>
          <w:rtl/>
        </w:rPr>
        <w:t>,</w:t>
      </w:r>
      <w:r w:rsidRPr="005D09C2">
        <w:rPr>
          <w:rFonts w:cs="Arial"/>
          <w:rtl/>
        </w:rPr>
        <w:t xml:space="preserve"> וקיימת בו מאמרם ז"ל </w:t>
      </w:r>
      <w:r w:rsidRPr="005D09C2">
        <w:rPr>
          <w:rFonts w:cs="Arial"/>
          <w:sz w:val="16"/>
          <w:szCs w:val="16"/>
          <w:rtl/>
        </w:rPr>
        <w:t xml:space="preserve">(יבמות קי.) </w:t>
      </w:r>
      <w:r w:rsidRPr="005D09C2">
        <w:rPr>
          <w:rFonts w:cs="Arial"/>
          <w:rtl/>
        </w:rPr>
        <w:t>הוא עשה שלא כהוגן</w:t>
      </w:r>
      <w:r w:rsidR="00EC197C">
        <w:rPr>
          <w:rFonts w:cs="Arial" w:hint="cs"/>
          <w:rtl/>
        </w:rPr>
        <w:t>,</w:t>
      </w:r>
      <w:r w:rsidRPr="005D09C2">
        <w:rPr>
          <w:rFonts w:cs="Arial"/>
          <w:rtl/>
        </w:rPr>
        <w:t xml:space="preserve"> הנה על זה נאוו לך תהלות</w:t>
      </w:r>
      <w:r w:rsidRPr="005D09C2">
        <w:rPr>
          <w:rFonts w:cs="Arial" w:hint="cs"/>
          <w:rtl/>
        </w:rPr>
        <w:t>.</w:t>
      </w:r>
    </w:p>
    <w:p w14:paraId="608DCE9A" w14:textId="77777777" w:rsidR="004A326E" w:rsidRPr="003024E5" w:rsidRDefault="004A326E" w:rsidP="004A326E">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3B3BD9F7" w14:textId="77777777" w:rsidR="004A326E" w:rsidRPr="006C704B" w:rsidRDefault="004A326E" w:rsidP="004A326E">
      <w:pPr>
        <w:rPr>
          <w:rFonts w:cs="Arial"/>
          <w:sz w:val="18"/>
          <w:szCs w:val="18"/>
          <w:rtl/>
        </w:rPr>
      </w:pPr>
      <w:r>
        <w:rPr>
          <w:rFonts w:cs="Arial"/>
          <w:rtl/>
        </w:rPr>
        <w:t>כל בית דין, אפילו אינם סמוכים בא</w:t>
      </w:r>
      <w:r>
        <w:rPr>
          <w:rFonts w:cs="Arial" w:hint="cs"/>
          <w:rtl/>
        </w:rPr>
        <w:t xml:space="preserve">רץ </w:t>
      </w:r>
      <w:r>
        <w:rPr>
          <w:rFonts w:cs="Arial"/>
          <w:rtl/>
        </w:rPr>
        <w:t>י</w:t>
      </w:r>
      <w:r>
        <w:rPr>
          <w:rFonts w:cs="Arial" w:hint="cs"/>
          <w:rtl/>
        </w:rPr>
        <w:t>שראל</w:t>
      </w:r>
      <w:r>
        <w:rPr>
          <w:rFonts w:cs="Arial"/>
          <w:rtl/>
        </w:rPr>
        <w:t>, אם רואים שהעם</w:t>
      </w:r>
      <w:r>
        <w:rPr>
          <w:rStyle w:val="ab"/>
          <w:rFonts w:cs="Arial"/>
          <w:rtl/>
        </w:rPr>
        <w:footnoteReference w:id="129"/>
      </w:r>
      <w:r>
        <w:rPr>
          <w:rFonts w:cs="Arial"/>
          <w:rtl/>
        </w:rPr>
        <w:t xml:space="preserve"> פרוצים בעבירות</w:t>
      </w:r>
      <w:r>
        <w:rPr>
          <w:rFonts w:cs="Arial" w:hint="cs"/>
          <w:rtl/>
        </w:rPr>
        <w:t>,</w:t>
      </w:r>
      <w:r>
        <w:rPr>
          <w:rFonts w:cs="Arial"/>
          <w:rtl/>
        </w:rPr>
        <w:t xml:space="preserve"> </w:t>
      </w:r>
      <w:r>
        <w:rPr>
          <w:rFonts w:cs="Arial" w:hint="cs"/>
          <w:sz w:val="18"/>
          <w:szCs w:val="18"/>
          <w:rtl/>
        </w:rPr>
        <w:t xml:space="preserve">[הגה] </w:t>
      </w:r>
      <w:r w:rsidRPr="00F357C4">
        <w:rPr>
          <w:rFonts w:cs="Arial"/>
          <w:sz w:val="18"/>
          <w:szCs w:val="18"/>
          <w:rtl/>
        </w:rPr>
        <w:t>ושהוא צורך שעה</w:t>
      </w:r>
      <w:r>
        <w:rPr>
          <w:rFonts w:cs="Arial" w:hint="cs"/>
          <w:sz w:val="18"/>
          <w:szCs w:val="18"/>
          <w:rtl/>
        </w:rPr>
        <w:t xml:space="preserve"> (</w:t>
      </w:r>
      <w:r w:rsidRPr="00F357C4">
        <w:rPr>
          <w:rFonts w:cs="Arial"/>
          <w:sz w:val="18"/>
          <w:szCs w:val="18"/>
          <w:rtl/>
        </w:rPr>
        <w:t>טור)</w:t>
      </w:r>
      <w:r>
        <w:rPr>
          <w:rFonts w:cs="Arial"/>
          <w:rtl/>
        </w:rPr>
        <w:t>, היו דנין בין מיתה</w:t>
      </w:r>
      <w:r>
        <w:rPr>
          <w:rStyle w:val="ab"/>
          <w:rFonts w:cs="Arial"/>
          <w:rtl/>
        </w:rPr>
        <w:footnoteReference w:id="130"/>
      </w:r>
      <w:r>
        <w:rPr>
          <w:rFonts w:cs="Arial"/>
          <w:rtl/>
        </w:rPr>
        <w:t xml:space="preserve"> בין ממון בין כל דיני עונש, ואפילו אין בדבר עדות גמורה</w:t>
      </w:r>
      <w:r>
        <w:rPr>
          <w:rStyle w:val="ab"/>
          <w:rFonts w:cs="Arial"/>
          <w:rtl/>
        </w:rPr>
        <w:footnoteReference w:id="131"/>
      </w:r>
      <w:r>
        <w:rPr>
          <w:rFonts w:cs="Arial"/>
          <w:rtl/>
        </w:rPr>
        <w:t xml:space="preserve">. ואם הוא אלם, חובטים אותו על ידי </w:t>
      </w:r>
      <w:r>
        <w:rPr>
          <w:rFonts w:cs="Arial" w:hint="cs"/>
          <w:rtl/>
        </w:rPr>
        <w:t>גוים</w:t>
      </w:r>
      <w:r>
        <w:rPr>
          <w:rStyle w:val="ab"/>
          <w:rFonts w:cs="Arial"/>
          <w:rtl/>
        </w:rPr>
        <w:footnoteReference w:id="132"/>
      </w:r>
      <w:r>
        <w:rPr>
          <w:rFonts w:cs="Arial"/>
          <w:rtl/>
        </w:rPr>
        <w:t xml:space="preserve">. </w:t>
      </w:r>
      <w:r>
        <w:rPr>
          <w:rFonts w:cs="Arial" w:hint="cs"/>
          <w:sz w:val="18"/>
          <w:szCs w:val="18"/>
          <w:rtl/>
        </w:rPr>
        <w:t xml:space="preserve">[הגה] </w:t>
      </w:r>
      <w:r w:rsidRPr="002F48CC">
        <w:rPr>
          <w:rFonts w:cs="Arial"/>
          <w:sz w:val="18"/>
          <w:szCs w:val="18"/>
          <w:rtl/>
        </w:rPr>
        <w:t xml:space="preserve">ויש להם כח להפקיר ממונו ולאבדו כפי מה שרואים לגדור פרצת הדור (טור בשם הרמב"ם). </w:t>
      </w:r>
      <w:r>
        <w:rPr>
          <w:rFonts w:cs="Arial"/>
          <w:rtl/>
        </w:rPr>
        <w:t>וכל מעשיהם יהיו לשם שמים</w:t>
      </w:r>
      <w:r>
        <w:rPr>
          <w:rFonts w:cs="Arial" w:hint="cs"/>
          <w:rtl/>
        </w:rPr>
        <w:t>.</w:t>
      </w:r>
      <w:r>
        <w:rPr>
          <w:rFonts w:cs="Arial"/>
          <w:rtl/>
        </w:rPr>
        <w:t xml:space="preserve"> ודוקא גדול הדור או טובי העיר שהמחום ב</w:t>
      </w:r>
      <w:r>
        <w:rPr>
          <w:rFonts w:cs="Arial" w:hint="cs"/>
          <w:rtl/>
        </w:rPr>
        <w:t xml:space="preserve">ית </w:t>
      </w:r>
      <w:r>
        <w:rPr>
          <w:rFonts w:cs="Arial"/>
          <w:rtl/>
        </w:rPr>
        <w:t>ד</w:t>
      </w:r>
      <w:r>
        <w:rPr>
          <w:rFonts w:cs="Arial" w:hint="cs"/>
          <w:rtl/>
        </w:rPr>
        <w:t>ין</w:t>
      </w:r>
      <w:r>
        <w:rPr>
          <w:rFonts w:cs="Arial"/>
          <w:rtl/>
        </w:rPr>
        <w:t xml:space="preserve"> עליהם</w:t>
      </w:r>
      <w:r>
        <w:rPr>
          <w:rStyle w:val="ab"/>
          <w:rFonts w:cs="Arial"/>
          <w:rtl/>
        </w:rPr>
        <w:footnoteReference w:id="133"/>
      </w:r>
      <w:r>
        <w:rPr>
          <w:rFonts w:cs="Arial"/>
          <w:rtl/>
        </w:rPr>
        <w:t xml:space="preserve">. </w:t>
      </w:r>
      <w:r w:rsidRPr="002F48CC">
        <w:rPr>
          <w:rFonts w:cs="Arial"/>
          <w:sz w:val="18"/>
          <w:szCs w:val="18"/>
          <w:rtl/>
        </w:rPr>
        <w:t>הגה: וכן נוהגין בכל מקום שטובי העיר בעירן כב</w:t>
      </w:r>
      <w:r>
        <w:rPr>
          <w:rFonts w:cs="Arial" w:hint="cs"/>
          <w:sz w:val="18"/>
          <w:szCs w:val="18"/>
          <w:rtl/>
        </w:rPr>
        <w:t xml:space="preserve">ית </w:t>
      </w:r>
      <w:r w:rsidRPr="002F48CC">
        <w:rPr>
          <w:rFonts w:cs="Arial"/>
          <w:sz w:val="18"/>
          <w:szCs w:val="18"/>
          <w:rtl/>
        </w:rPr>
        <w:t>ד</w:t>
      </w:r>
      <w:r>
        <w:rPr>
          <w:rFonts w:cs="Arial" w:hint="cs"/>
          <w:sz w:val="18"/>
          <w:szCs w:val="18"/>
          <w:rtl/>
        </w:rPr>
        <w:t>ין</w:t>
      </w:r>
      <w:r w:rsidRPr="002F48CC">
        <w:rPr>
          <w:rFonts w:cs="Arial"/>
          <w:sz w:val="18"/>
          <w:szCs w:val="18"/>
          <w:rtl/>
        </w:rPr>
        <w:t xml:space="preserve"> הגדול מכין ועונשין והפקרן הפקר כפי המנהג</w:t>
      </w:r>
      <w:r>
        <w:rPr>
          <w:rFonts w:cs="Arial" w:hint="cs"/>
          <w:sz w:val="18"/>
          <w:szCs w:val="18"/>
          <w:rtl/>
        </w:rPr>
        <w:t>,</w:t>
      </w:r>
      <w:r w:rsidRPr="002F48CC">
        <w:rPr>
          <w:rFonts w:cs="Arial"/>
          <w:sz w:val="18"/>
          <w:szCs w:val="18"/>
          <w:rtl/>
        </w:rPr>
        <w:t xml:space="preserve"> אע</w:t>
      </w:r>
      <w:r>
        <w:rPr>
          <w:rFonts w:cs="Arial" w:hint="cs"/>
          <w:sz w:val="18"/>
          <w:szCs w:val="18"/>
          <w:rtl/>
        </w:rPr>
        <w:t>"</w:t>
      </w:r>
      <w:r w:rsidRPr="002F48CC">
        <w:rPr>
          <w:rFonts w:cs="Arial"/>
          <w:sz w:val="18"/>
          <w:szCs w:val="18"/>
          <w:rtl/>
        </w:rPr>
        <w:t>פ שיש חולקין וס"ל דאין כח ביד טובי העיר באלה רק להכריח הצבור במה שהיה מנהג מקדם או שקבלו עליהם מדעת כולם</w:t>
      </w:r>
      <w:r>
        <w:rPr>
          <w:rStyle w:val="ab"/>
          <w:rFonts w:cs="Arial"/>
          <w:sz w:val="18"/>
          <w:szCs w:val="18"/>
          <w:rtl/>
        </w:rPr>
        <w:footnoteReference w:id="134"/>
      </w:r>
      <w:r w:rsidRPr="002F48CC">
        <w:rPr>
          <w:rFonts w:cs="Arial"/>
          <w:sz w:val="18"/>
          <w:szCs w:val="18"/>
          <w:rtl/>
        </w:rPr>
        <w:t xml:space="preserve"> אבל אינן רשאים לשנות דבר במידי דאיכא רווחא להאי ופסידא להאי</w:t>
      </w:r>
      <w:r>
        <w:rPr>
          <w:rStyle w:val="ab"/>
          <w:rFonts w:cs="Arial"/>
          <w:sz w:val="18"/>
          <w:szCs w:val="18"/>
          <w:rtl/>
        </w:rPr>
        <w:footnoteReference w:id="135"/>
      </w:r>
      <w:r w:rsidRPr="002F48CC">
        <w:rPr>
          <w:rFonts w:cs="Arial"/>
          <w:sz w:val="18"/>
          <w:szCs w:val="18"/>
          <w:rtl/>
        </w:rPr>
        <w:t xml:space="preserve"> או להפקיע ממון שלא מדעת כולם</w:t>
      </w:r>
      <w:r>
        <w:rPr>
          <w:rStyle w:val="ab"/>
          <w:rFonts w:cs="Arial"/>
          <w:sz w:val="18"/>
          <w:szCs w:val="18"/>
          <w:rtl/>
        </w:rPr>
        <w:footnoteReference w:id="136"/>
      </w:r>
      <w:r w:rsidRPr="002F48CC">
        <w:rPr>
          <w:rFonts w:cs="Arial"/>
          <w:sz w:val="18"/>
          <w:szCs w:val="18"/>
          <w:rtl/>
        </w:rPr>
        <w:t xml:space="preserve"> (מרדכי פ' הגוזל בתרא), מ</w:t>
      </w:r>
      <w:r>
        <w:rPr>
          <w:rFonts w:cs="Arial" w:hint="cs"/>
          <w:sz w:val="18"/>
          <w:szCs w:val="18"/>
          <w:rtl/>
        </w:rPr>
        <w:t>"</w:t>
      </w:r>
      <w:r w:rsidRPr="002F48CC">
        <w:rPr>
          <w:rFonts w:cs="Arial"/>
          <w:sz w:val="18"/>
          <w:szCs w:val="18"/>
          <w:rtl/>
        </w:rPr>
        <w:t>מ הולכין אחר מנהג העיר</w:t>
      </w:r>
      <w:r>
        <w:rPr>
          <w:rFonts w:cs="Arial" w:hint="cs"/>
          <w:sz w:val="18"/>
          <w:szCs w:val="18"/>
          <w:rtl/>
        </w:rPr>
        <w:t>.</w:t>
      </w:r>
      <w:r w:rsidRPr="002F48CC">
        <w:rPr>
          <w:rFonts w:cs="Arial"/>
          <w:sz w:val="18"/>
          <w:szCs w:val="18"/>
          <w:rtl/>
        </w:rPr>
        <w:t xml:space="preserve"> וכל שכן אם קבלום עליהם לכל דבר</w:t>
      </w:r>
      <w:r>
        <w:rPr>
          <w:rStyle w:val="ab"/>
          <w:rFonts w:cs="Arial"/>
          <w:sz w:val="18"/>
          <w:szCs w:val="18"/>
          <w:rtl/>
        </w:rPr>
        <w:footnoteReference w:id="137"/>
      </w:r>
      <w:r>
        <w:rPr>
          <w:rFonts w:cs="Arial" w:hint="cs"/>
          <w:sz w:val="18"/>
          <w:szCs w:val="18"/>
          <w:rtl/>
        </w:rPr>
        <w:t>,</w:t>
      </w:r>
      <w:r w:rsidRPr="002F48CC">
        <w:rPr>
          <w:rFonts w:cs="Arial"/>
          <w:sz w:val="18"/>
          <w:szCs w:val="18"/>
          <w:rtl/>
        </w:rPr>
        <w:t xml:space="preserve"> כן נ"ל</w:t>
      </w:r>
      <w:r>
        <w:rPr>
          <w:rFonts w:cs="Arial" w:hint="cs"/>
          <w:sz w:val="18"/>
          <w:szCs w:val="18"/>
          <w:rtl/>
        </w:rPr>
        <w:t>.</w:t>
      </w:r>
      <w:r w:rsidRPr="006C704B">
        <w:rPr>
          <w:rFonts w:cs="Arial"/>
          <w:sz w:val="18"/>
          <w:szCs w:val="18"/>
          <w:rtl/>
        </w:rPr>
        <w:t xml:space="preserve"> ועיין בי</w:t>
      </w:r>
      <w:r w:rsidRPr="006C704B">
        <w:rPr>
          <w:rFonts w:cs="Arial" w:hint="cs"/>
          <w:sz w:val="18"/>
          <w:szCs w:val="18"/>
          <w:rtl/>
        </w:rPr>
        <w:t>ו</w:t>
      </w:r>
      <w:r w:rsidRPr="006C704B">
        <w:rPr>
          <w:rFonts w:cs="Arial"/>
          <w:sz w:val="18"/>
          <w:szCs w:val="18"/>
          <w:rtl/>
        </w:rPr>
        <w:t>"ד סי</w:t>
      </w:r>
      <w:r w:rsidRPr="006C704B">
        <w:rPr>
          <w:rFonts w:cs="Arial" w:hint="cs"/>
          <w:sz w:val="18"/>
          <w:szCs w:val="18"/>
          <w:rtl/>
        </w:rPr>
        <w:t>'</w:t>
      </w:r>
      <w:r w:rsidRPr="006C704B">
        <w:rPr>
          <w:rFonts w:cs="Arial"/>
          <w:sz w:val="18"/>
          <w:szCs w:val="18"/>
          <w:rtl/>
        </w:rPr>
        <w:t xml:space="preserve"> רכח דיני תקנות וחרמי צבור</w:t>
      </w:r>
      <w:r w:rsidRPr="002F48CC">
        <w:rPr>
          <w:rFonts w:cs="Arial"/>
          <w:sz w:val="18"/>
          <w:szCs w:val="18"/>
          <w:rtl/>
        </w:rPr>
        <w:t xml:space="preserve">. כתבו האחרונים בתשובותיהם </w:t>
      </w:r>
      <w:r w:rsidRPr="002F48CC">
        <w:rPr>
          <w:rFonts w:cs="Arial"/>
          <w:sz w:val="18"/>
          <w:szCs w:val="18"/>
          <w:rtl/>
        </w:rPr>
        <w:lastRenderedPageBreak/>
        <w:t>דמי שנתחייב מלקות יתן ארבעים זהובים</w:t>
      </w:r>
      <w:r>
        <w:rPr>
          <w:rStyle w:val="ab"/>
          <w:rFonts w:cs="Arial"/>
          <w:sz w:val="18"/>
          <w:szCs w:val="18"/>
          <w:rtl/>
        </w:rPr>
        <w:footnoteReference w:id="138"/>
      </w:r>
      <w:r w:rsidRPr="002F48CC">
        <w:rPr>
          <w:rFonts w:cs="Arial"/>
          <w:sz w:val="18"/>
          <w:szCs w:val="18"/>
          <w:rtl/>
        </w:rPr>
        <w:t xml:space="preserve"> במקום מלקות (מהרי"ו סי</w:t>
      </w:r>
      <w:r>
        <w:rPr>
          <w:rFonts w:cs="Arial" w:hint="cs"/>
          <w:sz w:val="18"/>
          <w:szCs w:val="18"/>
          <w:rtl/>
        </w:rPr>
        <w:t>'</w:t>
      </w:r>
      <w:r w:rsidRPr="002F48CC">
        <w:rPr>
          <w:rFonts w:cs="Arial"/>
          <w:sz w:val="18"/>
          <w:szCs w:val="18"/>
          <w:rtl/>
        </w:rPr>
        <w:t xml:space="preserve"> קמז ומהר"ם מריזבורק)</w:t>
      </w:r>
      <w:r>
        <w:rPr>
          <w:rFonts w:cs="Arial" w:hint="cs"/>
          <w:sz w:val="18"/>
          <w:szCs w:val="18"/>
          <w:rtl/>
        </w:rPr>
        <w:t>,</w:t>
      </w:r>
      <w:r w:rsidRPr="002F48CC">
        <w:rPr>
          <w:rFonts w:cs="Arial"/>
          <w:sz w:val="18"/>
          <w:szCs w:val="18"/>
          <w:rtl/>
        </w:rPr>
        <w:t xml:space="preserve"> ולאו דינא קאמר, אלא שהם פסקו כך לפי שעה, אבל ביד הב"ד להלקותו</w:t>
      </w:r>
      <w:r>
        <w:rPr>
          <w:rStyle w:val="ab"/>
          <w:rFonts w:cs="Arial"/>
          <w:sz w:val="18"/>
          <w:szCs w:val="18"/>
          <w:rtl/>
        </w:rPr>
        <w:footnoteReference w:id="139"/>
      </w:r>
      <w:r w:rsidRPr="002F48CC">
        <w:rPr>
          <w:rFonts w:cs="Arial"/>
          <w:sz w:val="18"/>
          <w:szCs w:val="18"/>
          <w:rtl/>
        </w:rPr>
        <w:t xml:space="preserve"> או ליטול ממון כפי ראות </w:t>
      </w:r>
      <w:r w:rsidRPr="006C704B">
        <w:rPr>
          <w:rFonts w:cs="Arial"/>
          <w:sz w:val="18"/>
          <w:szCs w:val="18"/>
          <w:rtl/>
        </w:rPr>
        <w:t>עיניהם לפי הענין למגדר מלתא</w:t>
      </w:r>
      <w:r>
        <w:rPr>
          <w:rFonts w:cs="Arial" w:hint="cs"/>
          <w:sz w:val="18"/>
          <w:szCs w:val="18"/>
          <w:rtl/>
        </w:rPr>
        <w:t>,</w:t>
      </w:r>
      <w:r w:rsidRPr="006C704B">
        <w:rPr>
          <w:rFonts w:cs="Arial"/>
          <w:sz w:val="18"/>
          <w:szCs w:val="18"/>
          <w:rtl/>
        </w:rPr>
        <w:t xml:space="preserve"> וע"ל</w:t>
      </w:r>
      <w:r>
        <w:rPr>
          <w:rFonts w:cs="Arial" w:hint="cs"/>
          <w:sz w:val="18"/>
          <w:szCs w:val="18"/>
          <w:rtl/>
        </w:rPr>
        <w:t xml:space="preserve"> סי'</w:t>
      </w:r>
      <w:r w:rsidRPr="006C704B">
        <w:rPr>
          <w:rFonts w:cs="Arial"/>
          <w:sz w:val="18"/>
          <w:szCs w:val="18"/>
          <w:rtl/>
        </w:rPr>
        <w:t xml:space="preserve"> תכה</w:t>
      </w:r>
      <w:r w:rsidRPr="006C704B">
        <w:rPr>
          <w:rStyle w:val="ab"/>
          <w:rFonts w:cs="Arial"/>
          <w:sz w:val="18"/>
          <w:szCs w:val="18"/>
          <w:rtl/>
        </w:rPr>
        <w:footnoteReference w:id="140"/>
      </w:r>
      <w:r w:rsidRPr="006C704B">
        <w:rPr>
          <w:rFonts w:cs="Arial"/>
          <w:sz w:val="18"/>
          <w:szCs w:val="18"/>
          <w:rtl/>
        </w:rPr>
        <w:t>.</w:t>
      </w:r>
      <w:r>
        <w:rPr>
          <w:rFonts w:hint="cs"/>
          <w:sz w:val="18"/>
          <w:szCs w:val="18"/>
          <w:rtl/>
        </w:rPr>
        <w:t xml:space="preserve"> </w:t>
      </w:r>
    </w:p>
    <w:p w14:paraId="0225A16A" w14:textId="77777777" w:rsidR="004A326E" w:rsidRDefault="004A326E" w:rsidP="004A326E">
      <w:pPr>
        <w:rPr>
          <w:rFonts w:cs="Arial"/>
          <w:rtl/>
        </w:rPr>
        <w:sectPr w:rsidR="004A326E" w:rsidSect="00AF3AF9">
          <w:headerReference w:type="default" r:id="rId12"/>
          <w:footnotePr>
            <w:numRestart w:val="eachPage"/>
          </w:footnotePr>
          <w:pgSz w:w="11906" w:h="16838"/>
          <w:pgMar w:top="720" w:right="1134" w:bottom="720" w:left="1134" w:header="0" w:footer="0" w:gutter="0"/>
          <w:cols w:space="720"/>
          <w:bidi/>
          <w:rtlGutter/>
          <w:docGrid w:linePitch="360"/>
        </w:sectPr>
      </w:pPr>
    </w:p>
    <w:p w14:paraId="78AE1A53" w14:textId="77777777" w:rsidR="004A326E" w:rsidRDefault="004A326E" w:rsidP="004A326E">
      <w:pPr>
        <w:pStyle w:val="1"/>
        <w:rPr>
          <w:rtl/>
        </w:rPr>
      </w:pPr>
      <w:bookmarkStart w:id="12" w:name="_Toc24883519"/>
      <w:r>
        <w:rPr>
          <w:rFonts w:hint="cs"/>
          <w:rtl/>
        </w:rPr>
        <w:lastRenderedPageBreak/>
        <w:t xml:space="preserve">סימן ג: </w:t>
      </w:r>
      <w:r>
        <w:rPr>
          <w:rtl/>
        </w:rPr>
        <w:t>בכמה דיינים דנין, ובו ד' סעיפים.</w:t>
      </w:r>
      <w:bookmarkEnd w:id="12"/>
      <w:r>
        <w:rPr>
          <w:rtl/>
        </w:rPr>
        <w:t xml:space="preserve"> </w:t>
      </w:r>
    </w:p>
    <w:p w14:paraId="4A34D28C" w14:textId="77777777" w:rsidR="004A326E" w:rsidRDefault="004A326E" w:rsidP="004A326E">
      <w:pPr>
        <w:pStyle w:val="2"/>
        <w:rPr>
          <w:rtl/>
        </w:rPr>
      </w:pPr>
      <w:bookmarkStart w:id="13" w:name="_Toc24883520"/>
      <w:r>
        <w:rPr>
          <w:rtl/>
        </w:rPr>
        <w:t>סעיף א</w:t>
      </w:r>
      <w:r>
        <w:rPr>
          <w:rFonts w:hint="cs"/>
          <w:rtl/>
        </w:rPr>
        <w:t>: שלשה הדיוטות.</w:t>
      </w:r>
      <w:bookmarkEnd w:id="13"/>
    </w:p>
    <w:p w14:paraId="677E2118" w14:textId="77777777" w:rsidR="004A326E" w:rsidRDefault="004A326E" w:rsidP="00EA2D76">
      <w:pPr>
        <w:rPr>
          <w:rFonts w:cs="Arial"/>
          <w:rtl/>
        </w:rPr>
      </w:pPr>
      <w:r w:rsidRPr="007E7D9A">
        <w:rPr>
          <w:rFonts w:cs="Arial" w:hint="cs"/>
          <w:b/>
          <w:bCs/>
          <w:rtl/>
        </w:rPr>
        <w:t xml:space="preserve">סנהדרין </w:t>
      </w:r>
      <w:r>
        <w:rPr>
          <w:rFonts w:cs="Arial" w:hint="cs"/>
          <w:b/>
          <w:bCs/>
          <w:sz w:val="16"/>
          <w:szCs w:val="16"/>
          <w:rtl/>
        </w:rPr>
        <w:t xml:space="preserve">(פ"ק) </w:t>
      </w:r>
      <w:r w:rsidRPr="007E7D9A">
        <w:rPr>
          <w:rFonts w:cs="Arial" w:hint="cs"/>
          <w:b/>
          <w:bCs/>
          <w:rtl/>
        </w:rPr>
        <w:t xml:space="preserve">ב ע"א: </w:t>
      </w:r>
      <w:r w:rsidRPr="007E7D9A">
        <w:rPr>
          <w:rFonts w:cs="Arial"/>
          <w:u w:val="double"/>
          <w:rtl/>
        </w:rPr>
        <w:t>משנה</w:t>
      </w:r>
      <w:r>
        <w:rPr>
          <w:rFonts w:cs="Arial" w:hint="cs"/>
          <w:rtl/>
        </w:rPr>
        <w:t>:</w:t>
      </w:r>
      <w:r w:rsidRPr="007E7D9A">
        <w:rPr>
          <w:rFonts w:cs="Arial"/>
          <w:rtl/>
        </w:rPr>
        <w:t xml:space="preserve"> דיני ממונות - בשלשה, גזילות וחבלות </w:t>
      </w:r>
      <w:r>
        <w:rPr>
          <w:rFonts w:cs="Arial" w:hint="cs"/>
          <w:rtl/>
        </w:rPr>
        <w:t>-</w:t>
      </w:r>
      <w:r w:rsidRPr="007E7D9A">
        <w:rPr>
          <w:rFonts w:cs="Arial"/>
          <w:rtl/>
        </w:rPr>
        <w:t xml:space="preserve"> בשלשה</w:t>
      </w:r>
      <w:r>
        <w:rPr>
          <w:rFonts w:cs="Arial" w:hint="cs"/>
          <w:rtl/>
        </w:rPr>
        <w:t>...</w:t>
      </w:r>
      <w:r w:rsidRPr="007E7D9A">
        <w:rPr>
          <w:rtl/>
        </w:rPr>
        <w:t xml:space="preserve"> </w:t>
      </w:r>
      <w:r w:rsidRPr="007E7D9A">
        <w:rPr>
          <w:rFonts w:cs="Arial"/>
          <w:u w:val="double"/>
          <w:rtl/>
        </w:rPr>
        <w:t>גמרא</w:t>
      </w:r>
      <w:r w:rsidR="00517D37" w:rsidRPr="00517D37">
        <w:rPr>
          <w:rFonts w:cs="Arial" w:hint="cs"/>
          <w:sz w:val="14"/>
          <w:szCs w:val="14"/>
          <w:u w:val="double"/>
          <w:rtl/>
        </w:rPr>
        <w:t xml:space="preserve"> (ב:)</w:t>
      </w:r>
      <w:r w:rsidRPr="00517D37">
        <w:rPr>
          <w:rFonts w:cs="Arial" w:hint="cs"/>
          <w:u w:val="double"/>
          <w:rtl/>
        </w:rPr>
        <w:t>:</w:t>
      </w:r>
      <w:r w:rsidRPr="007E7D9A">
        <w:rPr>
          <w:rFonts w:cs="Arial"/>
          <w:rtl/>
        </w:rPr>
        <w:t xml:space="preserve"> אטו גזילות וחבלות לאו דיני ממונות נינהו? </w:t>
      </w:r>
      <w:r w:rsidRPr="00AA5FD5">
        <w:rPr>
          <w:rFonts w:cs="Arial"/>
          <w:u w:val="single"/>
          <w:rtl/>
        </w:rPr>
        <w:t>אמר רבי אבהו</w:t>
      </w:r>
      <w:r w:rsidRPr="007E7D9A">
        <w:rPr>
          <w:rFonts w:cs="Arial"/>
          <w:rtl/>
        </w:rPr>
        <w:t>: מה הן קתני</w:t>
      </w:r>
      <w:r w:rsidR="008179E1">
        <w:rPr>
          <w:rFonts w:cs="Arial" w:hint="cs"/>
          <w:rtl/>
        </w:rPr>
        <w:t xml:space="preserve">, </w:t>
      </w:r>
      <w:r w:rsidRPr="007E7D9A">
        <w:rPr>
          <w:rFonts w:cs="Arial"/>
          <w:rtl/>
        </w:rPr>
        <w:t>מה הן דיני ממונות - גזילות וחבלות, אבל הודאות והלואות - לא.</w:t>
      </w:r>
      <w:r>
        <w:rPr>
          <w:rFonts w:cs="Arial" w:hint="cs"/>
          <w:rtl/>
        </w:rPr>
        <w:t xml:space="preserve">.. </w:t>
      </w:r>
      <w:r w:rsidRPr="007E7D9A">
        <w:rPr>
          <w:rFonts w:cs="Arial"/>
          <w:rtl/>
        </w:rPr>
        <w:t>ולמאי</w:t>
      </w:r>
      <w:r>
        <w:rPr>
          <w:rStyle w:val="ab"/>
          <w:rFonts w:cs="Arial"/>
          <w:rtl/>
        </w:rPr>
        <w:footnoteReference w:id="141"/>
      </w:r>
      <w:r w:rsidRPr="007E7D9A">
        <w:rPr>
          <w:rFonts w:cs="Arial"/>
          <w:rtl/>
        </w:rPr>
        <w:t>? אילימא דלא בעינן שלשה - והאמר רבי אבהו</w:t>
      </w:r>
      <w:r>
        <w:rPr>
          <w:rFonts w:cs="Arial" w:hint="cs"/>
          <w:rtl/>
        </w:rPr>
        <w:t>:</w:t>
      </w:r>
      <w:r w:rsidRPr="007E7D9A">
        <w:rPr>
          <w:rFonts w:cs="Arial"/>
          <w:rtl/>
        </w:rPr>
        <w:t xml:space="preserve"> שנים שדנו דיני ממונות - לדברי הכל אין דיניהם דין</w:t>
      </w:r>
      <w:r>
        <w:rPr>
          <w:rFonts w:cs="Arial" w:hint="cs"/>
          <w:rtl/>
        </w:rPr>
        <w:t>.</w:t>
      </w:r>
      <w:r w:rsidRPr="007E7D9A">
        <w:rPr>
          <w:rFonts w:cs="Arial"/>
          <w:rtl/>
        </w:rPr>
        <w:t xml:space="preserve"> אלא דלא בעינן מומחין.</w:t>
      </w:r>
      <w:r>
        <w:rPr>
          <w:rFonts w:cs="Arial" w:hint="cs"/>
          <w:rtl/>
        </w:rPr>
        <w:t xml:space="preserve">.. </w:t>
      </w:r>
      <w:r w:rsidRPr="007E7D9A">
        <w:rPr>
          <w:rFonts w:cs="Arial"/>
          <w:rtl/>
        </w:rPr>
        <w:t>ובדין הוא דליבעי נמי מומחין, והאי דלא בעינן מומחין - משום דרבי חנינא. דאמר רבי חנינא: דבר תורה, אחד דיני ממונות ואחד דיני נפשות בדרישה ובחקירה, שנאמר משפט אחד יהיה לכם. ומה טעם אמרו דיני ממונות לא בעינן דרישה וחקירה - כדי שלא תנעול דלת בפני לווין.</w:t>
      </w:r>
    </w:p>
    <w:p w14:paraId="6CC8868F" w14:textId="77777777" w:rsidR="004A326E" w:rsidRDefault="004A326E" w:rsidP="004A326E">
      <w:pPr>
        <w:rPr>
          <w:rFonts w:cs="Arial"/>
          <w:rtl/>
        </w:rPr>
      </w:pPr>
      <w:r w:rsidRPr="007E7D9A">
        <w:rPr>
          <w:rFonts w:cs="Arial" w:hint="cs"/>
          <w:b/>
          <w:bCs/>
          <w:rtl/>
        </w:rPr>
        <w:t xml:space="preserve">סנהדרין </w:t>
      </w:r>
      <w:r>
        <w:rPr>
          <w:rFonts w:cs="Arial" w:hint="cs"/>
          <w:b/>
          <w:bCs/>
          <w:sz w:val="16"/>
          <w:szCs w:val="16"/>
          <w:rtl/>
        </w:rPr>
        <w:t xml:space="preserve">(פ' זה בורר) </w:t>
      </w:r>
      <w:r>
        <w:rPr>
          <w:rFonts w:cs="Arial" w:hint="cs"/>
          <w:b/>
          <w:bCs/>
          <w:rtl/>
        </w:rPr>
        <w:t>כג</w:t>
      </w:r>
      <w:r w:rsidRPr="007E7D9A">
        <w:rPr>
          <w:rFonts w:cs="Arial" w:hint="cs"/>
          <w:b/>
          <w:bCs/>
          <w:rtl/>
        </w:rPr>
        <w:t xml:space="preserve"> ע"א: </w:t>
      </w:r>
      <w:r w:rsidRPr="007E7D9A">
        <w:rPr>
          <w:rFonts w:cs="Arial"/>
          <w:u w:val="double"/>
          <w:rtl/>
        </w:rPr>
        <w:t>משנה</w:t>
      </w:r>
      <w:r>
        <w:rPr>
          <w:rFonts w:cs="Arial" w:hint="cs"/>
          <w:rtl/>
        </w:rPr>
        <w:t>:</w:t>
      </w:r>
      <w:r w:rsidRPr="007E7D9A">
        <w:rPr>
          <w:rFonts w:cs="Arial"/>
          <w:rtl/>
        </w:rPr>
        <w:t xml:space="preserve"> </w:t>
      </w:r>
      <w:r w:rsidRPr="00BB5D98">
        <w:rPr>
          <w:rFonts w:cs="Arial"/>
          <w:rtl/>
        </w:rPr>
        <w:t xml:space="preserve">דיני ממונות בשלשה. זה בורר לו אחד, וזה בורר לו אחד, ושניהן בוררין להן עוד אחד, </w:t>
      </w:r>
      <w:r w:rsidRPr="00D12A5B">
        <w:rPr>
          <w:rFonts w:cs="Arial"/>
          <w:u w:val="single"/>
          <w:rtl/>
        </w:rPr>
        <w:t>דברי רבי מאיר</w:t>
      </w:r>
      <w:r w:rsidRPr="00BB5D98">
        <w:rPr>
          <w:rFonts w:cs="Arial"/>
          <w:rtl/>
        </w:rPr>
        <w:t xml:space="preserve">. </w:t>
      </w:r>
      <w:r w:rsidRPr="00D12A5B">
        <w:rPr>
          <w:rFonts w:cs="Arial"/>
          <w:u w:val="single"/>
          <w:rtl/>
        </w:rPr>
        <w:t>וחכמים אומרים</w:t>
      </w:r>
      <w:r w:rsidRPr="00BB5D98">
        <w:rPr>
          <w:rFonts w:cs="Arial"/>
          <w:rtl/>
        </w:rPr>
        <w:t xml:space="preserve">: שני דיינין בוררין להן עוד אחד. זה פוסל דיינו של זה וזה פוסל דיינו של זה, </w:t>
      </w:r>
      <w:r w:rsidRPr="00D12A5B">
        <w:rPr>
          <w:rFonts w:cs="Arial"/>
          <w:u w:val="single"/>
          <w:rtl/>
        </w:rPr>
        <w:t>דברי רבי מאיר</w:t>
      </w:r>
      <w:r w:rsidRPr="00BB5D98">
        <w:rPr>
          <w:rFonts w:cs="Arial"/>
          <w:rtl/>
        </w:rPr>
        <w:t xml:space="preserve">. </w:t>
      </w:r>
      <w:r w:rsidRPr="00D12A5B">
        <w:rPr>
          <w:rFonts w:cs="Arial"/>
          <w:u w:val="single"/>
          <w:rtl/>
        </w:rPr>
        <w:t>וחכמים אומרים</w:t>
      </w:r>
      <w:r w:rsidRPr="00BB5D98">
        <w:rPr>
          <w:rFonts w:cs="Arial"/>
          <w:rtl/>
        </w:rPr>
        <w:t>: אימתי - בזמן שמביא עליהן ראיה שהן קרובין או פסולין, אבל אם היו כשרין או מומחין מפי בית דין - אינו יכול לפוסלן.</w:t>
      </w:r>
      <w:r>
        <w:rPr>
          <w:rFonts w:cs="Arial" w:hint="cs"/>
          <w:rtl/>
        </w:rPr>
        <w:t xml:space="preserve">   </w:t>
      </w:r>
      <w:r>
        <w:rPr>
          <w:rFonts w:cs="Arial" w:hint="cs"/>
          <w:u w:val="double"/>
          <w:rtl/>
        </w:rPr>
        <w:t>גמרא</w:t>
      </w:r>
      <w:r>
        <w:rPr>
          <w:rFonts w:cs="Arial" w:hint="cs"/>
          <w:rtl/>
        </w:rPr>
        <w:t>:</w:t>
      </w:r>
      <w:r w:rsidRPr="007E7D9A">
        <w:rPr>
          <w:rFonts w:cs="Arial"/>
          <w:rtl/>
        </w:rPr>
        <w:t xml:space="preserve"> </w:t>
      </w:r>
      <w:r w:rsidRPr="00D12A5B">
        <w:rPr>
          <w:rFonts w:cs="Arial"/>
          <w:rtl/>
        </w:rPr>
        <w:t xml:space="preserve">זה פוסל דיינו כו'. כל כמיניה דפסיל דייני? </w:t>
      </w:r>
      <w:r w:rsidRPr="00D12A5B">
        <w:rPr>
          <w:rFonts w:cs="Arial"/>
          <w:u w:val="single"/>
          <w:rtl/>
        </w:rPr>
        <w:t>אמר רבי יוחנן</w:t>
      </w:r>
      <w:r w:rsidRPr="00D12A5B">
        <w:rPr>
          <w:rFonts w:cs="Arial"/>
          <w:rtl/>
        </w:rPr>
        <w:t>: בערכאות שבסוריא</w:t>
      </w:r>
      <w:r w:rsidR="005C02AD">
        <w:rPr>
          <w:rStyle w:val="ab"/>
          <w:rFonts w:cs="Arial"/>
          <w:rtl/>
        </w:rPr>
        <w:footnoteReference w:id="142"/>
      </w:r>
      <w:r w:rsidRPr="00D12A5B">
        <w:rPr>
          <w:rFonts w:cs="Arial"/>
          <w:rtl/>
        </w:rPr>
        <w:t xml:space="preserve"> שנו, אבל מומחים - לא.</w:t>
      </w:r>
    </w:p>
    <w:p w14:paraId="63DF0AEB" w14:textId="77777777" w:rsidR="004A326E" w:rsidRPr="00531F2A" w:rsidRDefault="004A326E" w:rsidP="004A326E">
      <w:pPr>
        <w:rPr>
          <w:rFonts w:cs="Arial"/>
          <w:u w:val="single"/>
          <w:rtl/>
        </w:rPr>
      </w:pPr>
      <w:r w:rsidRPr="00531F2A">
        <w:rPr>
          <w:rFonts w:cs="Arial" w:hint="cs"/>
          <w:u w:val="single"/>
          <w:rtl/>
        </w:rPr>
        <w:t xml:space="preserve">הא דכל </w:t>
      </w:r>
      <w:r w:rsidR="005C02AD">
        <w:rPr>
          <w:rFonts w:cs="Arial" w:hint="cs"/>
          <w:u w:val="single"/>
          <w:rtl/>
        </w:rPr>
        <w:t>שלשה</w:t>
      </w:r>
      <w:r w:rsidRPr="00531F2A">
        <w:rPr>
          <w:rFonts w:cs="Arial" w:hint="cs"/>
          <w:u w:val="single"/>
          <w:rtl/>
        </w:rPr>
        <w:t xml:space="preserve"> נקראים בית דין הוא דוקא בדגמירי או אף </w:t>
      </w:r>
      <w:r w:rsidR="005C02AD">
        <w:rPr>
          <w:rFonts w:cs="Arial" w:hint="cs"/>
          <w:u w:val="single"/>
          <w:rtl/>
        </w:rPr>
        <w:t>ב</w:t>
      </w:r>
      <w:r w:rsidRPr="00531F2A">
        <w:rPr>
          <w:rFonts w:cs="Arial" w:hint="cs"/>
          <w:u w:val="single"/>
          <w:rtl/>
        </w:rPr>
        <w:t>דלא גמירי:</w:t>
      </w:r>
    </w:p>
    <w:p w14:paraId="7EB2B3A8" w14:textId="77777777" w:rsidR="004A326E" w:rsidRDefault="004A326E" w:rsidP="004B0475">
      <w:pPr>
        <w:pStyle w:val="ac"/>
        <w:numPr>
          <w:ilvl w:val="0"/>
          <w:numId w:val="48"/>
        </w:numPr>
        <w:rPr>
          <w:rtl/>
        </w:rPr>
      </w:pPr>
      <w:r w:rsidRPr="00531F2A">
        <w:rPr>
          <w:rFonts w:cs="Arial"/>
          <w:rtl/>
        </w:rPr>
        <w:t xml:space="preserve">רמ"ה </w:t>
      </w:r>
      <w:r w:rsidRPr="00531F2A">
        <w:rPr>
          <w:rFonts w:cs="Arial"/>
          <w:sz w:val="16"/>
          <w:szCs w:val="16"/>
          <w:rtl/>
        </w:rPr>
        <w:t>(יד רמ"ה סנהדרין ה. ד"ה אמר רב)</w:t>
      </w:r>
      <w:r w:rsidRPr="00531F2A">
        <w:rPr>
          <w:rFonts w:cs="Arial" w:hint="cs"/>
          <w:rtl/>
        </w:rPr>
        <w:t>-</w:t>
      </w:r>
      <w:r w:rsidRPr="00531F2A">
        <w:rPr>
          <w:rFonts w:cs="Arial"/>
          <w:rtl/>
        </w:rPr>
        <w:t xml:space="preserve"> דוקא דגמירי דיני אע</w:t>
      </w:r>
      <w:r w:rsidRPr="00531F2A">
        <w:rPr>
          <w:rFonts w:cs="Arial" w:hint="cs"/>
          <w:rtl/>
        </w:rPr>
        <w:t>"</w:t>
      </w:r>
      <w:r w:rsidRPr="00531F2A">
        <w:rPr>
          <w:rFonts w:cs="Arial"/>
          <w:rtl/>
        </w:rPr>
        <w:t>פ דלא סמיכי</w:t>
      </w:r>
      <w:r w:rsidR="00323081">
        <w:rPr>
          <w:rStyle w:val="ab"/>
          <w:rFonts w:cs="Arial"/>
          <w:rtl/>
        </w:rPr>
        <w:footnoteReference w:id="143"/>
      </w:r>
      <w:r w:rsidRPr="00531F2A">
        <w:rPr>
          <w:rFonts w:cs="Arial" w:hint="cs"/>
          <w:rtl/>
        </w:rPr>
        <w:t>.</w:t>
      </w:r>
    </w:p>
    <w:p w14:paraId="28A32F84" w14:textId="77777777" w:rsidR="004A326E" w:rsidRPr="003324D1" w:rsidRDefault="004A326E" w:rsidP="004B0475">
      <w:pPr>
        <w:pStyle w:val="ac"/>
        <w:numPr>
          <w:ilvl w:val="0"/>
          <w:numId w:val="48"/>
        </w:numPr>
        <w:rPr>
          <w:rFonts w:cs="Arial"/>
          <w:rtl/>
        </w:rPr>
      </w:pPr>
      <w:r w:rsidRPr="00531F2A">
        <w:rPr>
          <w:rFonts w:cs="Arial"/>
          <w:rtl/>
        </w:rPr>
        <w:t xml:space="preserve">רא"ש </w:t>
      </w:r>
      <w:r w:rsidRPr="00531F2A">
        <w:rPr>
          <w:rFonts w:cs="Arial" w:hint="cs"/>
          <w:sz w:val="16"/>
          <w:szCs w:val="16"/>
          <w:rtl/>
        </w:rPr>
        <w:t>(ריש סנהדרין סי' א)</w:t>
      </w:r>
      <w:r w:rsidR="00323081">
        <w:rPr>
          <w:rFonts w:cs="Arial" w:hint="cs"/>
          <w:rtl/>
        </w:rPr>
        <w:t xml:space="preserve"> וטור</w:t>
      </w:r>
      <w:r w:rsidRPr="00531F2A">
        <w:rPr>
          <w:rFonts w:cs="Arial" w:hint="cs"/>
          <w:rtl/>
        </w:rPr>
        <w:t>-</w:t>
      </w:r>
      <w:r w:rsidRPr="00531F2A">
        <w:rPr>
          <w:rFonts w:cs="Arial"/>
          <w:rtl/>
        </w:rPr>
        <w:t xml:space="preserve"> בשלשה אי אפשר דלית בהו חד דגמיר</w:t>
      </w:r>
      <w:r>
        <w:rPr>
          <w:rStyle w:val="ab"/>
          <w:rFonts w:cs="Arial"/>
          <w:rtl/>
        </w:rPr>
        <w:footnoteReference w:id="144"/>
      </w:r>
      <w:r w:rsidRPr="00531F2A">
        <w:rPr>
          <w:rFonts w:cs="Arial"/>
          <w:rtl/>
        </w:rPr>
        <w:t xml:space="preserve"> ששמע או קרא בספרים ויודע סברות בדינין</w:t>
      </w:r>
      <w:r w:rsidR="007269A9">
        <w:rPr>
          <w:rFonts w:cs="Arial" w:hint="cs"/>
          <w:rtl/>
        </w:rPr>
        <w:t>.</w:t>
      </w:r>
      <w:r w:rsidRPr="00531F2A">
        <w:rPr>
          <w:rFonts w:cs="Arial"/>
          <w:rtl/>
        </w:rPr>
        <w:t xml:space="preserve"> אבל אם לית בהו חד דגמיר </w:t>
      </w:r>
      <w:r w:rsidR="007269A9">
        <w:rPr>
          <w:rFonts w:cs="Arial" w:hint="cs"/>
          <w:rtl/>
        </w:rPr>
        <w:t xml:space="preserve">- </w:t>
      </w:r>
      <w:r w:rsidRPr="00531F2A">
        <w:rPr>
          <w:rFonts w:cs="Arial"/>
          <w:rtl/>
        </w:rPr>
        <w:t>פסילי</w:t>
      </w:r>
      <w:r w:rsidR="00FE4C31">
        <w:rPr>
          <w:rStyle w:val="ab"/>
          <w:rFonts w:cs="Arial"/>
          <w:rtl/>
        </w:rPr>
        <w:footnoteReference w:id="145"/>
      </w:r>
      <w:r w:rsidRPr="00531F2A">
        <w:rPr>
          <w:rFonts w:cs="Arial"/>
          <w:rtl/>
        </w:rPr>
        <w:t xml:space="preserve"> לדינא</w:t>
      </w:r>
      <w:r w:rsidR="00323081">
        <w:rPr>
          <w:rFonts w:cs="Arial" w:hint="cs"/>
          <w:sz w:val="16"/>
          <w:szCs w:val="16"/>
          <w:rtl/>
        </w:rPr>
        <w:t xml:space="preserve"> (ל' הטור בשם הרא"ש)</w:t>
      </w:r>
      <w:r w:rsidRPr="00531F2A">
        <w:rPr>
          <w:rFonts w:cs="Arial"/>
          <w:rtl/>
        </w:rPr>
        <w:t>.</w:t>
      </w:r>
      <w:r w:rsidRPr="00FD7E5E">
        <w:rPr>
          <w:rFonts w:cs="Arial"/>
          <w:color w:val="00B0F0"/>
          <w:rtl/>
        </w:rPr>
        <w:t xml:space="preserve"> </w:t>
      </w:r>
      <w:r w:rsidRPr="00FD7E5E">
        <w:rPr>
          <w:rFonts w:cs="Arial" w:hint="cs"/>
          <w:color w:val="00B0F0"/>
          <w:rtl/>
        </w:rPr>
        <w:t>(וכ"פ הרמ"א)</w:t>
      </w:r>
      <w:r>
        <w:rPr>
          <w:rFonts w:cs="Arial" w:hint="cs"/>
          <w:rtl/>
        </w:rPr>
        <w:t xml:space="preserve"> (וכ"פ הש"ך</w:t>
      </w:r>
      <w:r>
        <w:rPr>
          <w:rFonts w:cs="Arial" w:hint="cs"/>
          <w:sz w:val="16"/>
          <w:szCs w:val="16"/>
          <w:rtl/>
        </w:rPr>
        <w:t xml:space="preserve"> [סק"ב]</w:t>
      </w:r>
      <w:r>
        <w:rPr>
          <w:rFonts w:cs="Arial" w:hint="cs"/>
          <w:rtl/>
        </w:rPr>
        <w:t>)</w:t>
      </w:r>
    </w:p>
    <w:p w14:paraId="17629B9E" w14:textId="77777777" w:rsidR="004A326E" w:rsidRDefault="004A326E" w:rsidP="004A326E">
      <w:pPr>
        <w:rPr>
          <w:rFonts w:cs="Arial"/>
          <w:rtl/>
        </w:rPr>
      </w:pPr>
      <w:r w:rsidRPr="007E7D9A">
        <w:rPr>
          <w:rFonts w:cs="Arial" w:hint="cs"/>
          <w:b/>
          <w:bCs/>
          <w:rtl/>
        </w:rPr>
        <w:t xml:space="preserve">סנהדרין </w:t>
      </w:r>
      <w:r>
        <w:rPr>
          <w:rFonts w:cs="Arial" w:hint="cs"/>
          <w:b/>
          <w:bCs/>
          <w:sz w:val="16"/>
          <w:szCs w:val="16"/>
          <w:rtl/>
        </w:rPr>
        <w:t xml:space="preserve">(פ"ק) </w:t>
      </w:r>
      <w:r>
        <w:rPr>
          <w:rFonts w:cs="Arial" w:hint="cs"/>
          <w:b/>
          <w:bCs/>
          <w:rtl/>
        </w:rPr>
        <w:t>ד</w:t>
      </w:r>
      <w:r w:rsidR="00EF169F">
        <w:rPr>
          <w:rStyle w:val="ab"/>
          <w:rFonts w:cs="Arial"/>
          <w:b/>
          <w:bCs/>
          <w:rtl/>
        </w:rPr>
        <w:footnoteReference w:id="146"/>
      </w:r>
      <w:r w:rsidRPr="007E7D9A">
        <w:rPr>
          <w:rFonts w:cs="Arial" w:hint="cs"/>
          <w:b/>
          <w:bCs/>
          <w:rtl/>
        </w:rPr>
        <w:t xml:space="preserve"> </w:t>
      </w:r>
      <w:r>
        <w:rPr>
          <w:rFonts w:cs="Arial" w:hint="cs"/>
          <w:b/>
          <w:bCs/>
          <w:rtl/>
        </w:rPr>
        <w:t>סו</w:t>
      </w:r>
      <w:r w:rsidRPr="007E7D9A">
        <w:rPr>
          <w:rFonts w:cs="Arial" w:hint="cs"/>
          <w:b/>
          <w:bCs/>
          <w:rtl/>
        </w:rPr>
        <w:t>ע"</w:t>
      </w:r>
      <w:r>
        <w:rPr>
          <w:rFonts w:cs="Arial" w:hint="cs"/>
          <w:b/>
          <w:bCs/>
          <w:rtl/>
        </w:rPr>
        <w:t>ב</w:t>
      </w:r>
      <w:r w:rsidRPr="007E7D9A">
        <w:rPr>
          <w:rFonts w:cs="Arial" w:hint="cs"/>
          <w:b/>
          <w:bCs/>
          <w:rtl/>
        </w:rPr>
        <w:t xml:space="preserve">: </w:t>
      </w:r>
      <w:r w:rsidRPr="00531F2A">
        <w:rPr>
          <w:rFonts w:cs="Arial"/>
          <w:rtl/>
        </w:rPr>
        <w:t>תנו רבנן: דיני ממונות בשלשה</w:t>
      </w:r>
      <w:r w:rsidR="00D57A08">
        <w:rPr>
          <w:rFonts w:cs="Arial" w:hint="cs"/>
          <w:rtl/>
        </w:rPr>
        <w:t>,</w:t>
      </w:r>
      <w:r w:rsidR="00D57A08">
        <w:rPr>
          <w:rFonts w:cs="Arial" w:hint="cs"/>
          <w:sz w:val="14"/>
          <w:szCs w:val="14"/>
          <w:rtl/>
        </w:rPr>
        <w:t xml:space="preserve"> (ה.)</w:t>
      </w:r>
      <w:r w:rsidRPr="00531F2A">
        <w:rPr>
          <w:rFonts w:cs="Arial"/>
          <w:rtl/>
        </w:rPr>
        <w:t xml:space="preserve"> </w:t>
      </w:r>
      <w:r w:rsidRPr="0036392D">
        <w:rPr>
          <w:rFonts w:cs="Arial"/>
          <w:rtl/>
        </w:rPr>
        <w:t>ואם היה מומחה לרבים - דן אפילו יחידי.</w:t>
      </w:r>
      <w:r>
        <w:rPr>
          <w:rFonts w:cs="Arial" w:hint="cs"/>
          <w:rtl/>
        </w:rPr>
        <w:t xml:space="preserve"> </w:t>
      </w:r>
      <w:r w:rsidR="00323081" w:rsidRPr="00323081">
        <w:rPr>
          <w:rFonts w:cs="Arial"/>
          <w:u w:val="single"/>
          <w:rtl/>
        </w:rPr>
        <w:t>אמר רב נחמן</w:t>
      </w:r>
      <w:r w:rsidR="00323081" w:rsidRPr="00323081">
        <w:rPr>
          <w:rFonts w:cs="Arial"/>
          <w:rtl/>
        </w:rPr>
        <w:t xml:space="preserve">: כגון אנא דן דיני ממונות ביחידי. </w:t>
      </w:r>
      <w:r w:rsidR="00323081" w:rsidRPr="00323081">
        <w:rPr>
          <w:rFonts w:cs="Arial"/>
          <w:u w:val="single"/>
          <w:rtl/>
        </w:rPr>
        <w:t>וכן אמר רבי חייא</w:t>
      </w:r>
      <w:r w:rsidR="00323081" w:rsidRPr="00323081">
        <w:rPr>
          <w:rFonts w:cs="Arial"/>
          <w:rtl/>
        </w:rPr>
        <w:t>: כגון אנא דן דיני ממונות ביחידי.</w:t>
      </w:r>
      <w:r w:rsidR="00FE4C31">
        <w:rPr>
          <w:rFonts w:cs="Arial" w:hint="cs"/>
          <w:rtl/>
        </w:rPr>
        <w:t xml:space="preserve"> </w:t>
      </w:r>
    </w:p>
    <w:p w14:paraId="3CF8CCDF" w14:textId="77777777" w:rsidR="004A326E" w:rsidRDefault="004A326E" w:rsidP="004A326E">
      <w:pPr>
        <w:rPr>
          <w:rFonts w:cs="Arial"/>
          <w:rtl/>
        </w:rPr>
      </w:pPr>
      <w:r w:rsidRPr="0036392D">
        <w:rPr>
          <w:rFonts w:cs="Arial" w:hint="cs"/>
          <w:u w:val="single"/>
          <w:rtl/>
        </w:rPr>
        <w:t xml:space="preserve">האם </w:t>
      </w:r>
      <w:r w:rsidR="000D72E4" w:rsidRPr="0036392D">
        <w:rPr>
          <w:rFonts w:cs="Arial" w:hint="cs"/>
          <w:u w:val="single"/>
          <w:rtl/>
        </w:rPr>
        <w:t xml:space="preserve">יחיד </w:t>
      </w:r>
      <w:r w:rsidRPr="0036392D">
        <w:rPr>
          <w:rFonts w:cs="Arial" w:hint="cs"/>
          <w:u w:val="single"/>
          <w:rtl/>
        </w:rPr>
        <w:t xml:space="preserve">מומחה יכול לכפות בעל דין </w:t>
      </w:r>
      <w:r>
        <w:rPr>
          <w:rFonts w:cs="Arial" w:hint="cs"/>
          <w:sz w:val="16"/>
          <w:szCs w:val="16"/>
          <w:u w:val="single"/>
          <w:rtl/>
        </w:rPr>
        <w:t>(שאינו רוצה לבוא לדין)</w:t>
      </w:r>
      <w:r>
        <w:rPr>
          <w:rFonts w:cs="Arial" w:hint="cs"/>
          <w:u w:val="single"/>
          <w:rtl/>
        </w:rPr>
        <w:t xml:space="preserve"> </w:t>
      </w:r>
      <w:r w:rsidRPr="0036392D">
        <w:rPr>
          <w:rFonts w:cs="Arial" w:hint="cs"/>
          <w:u w:val="single"/>
          <w:rtl/>
        </w:rPr>
        <w:t>לדון אצלו:</w:t>
      </w:r>
    </w:p>
    <w:p w14:paraId="2FD86400" w14:textId="77777777" w:rsidR="004A326E" w:rsidRPr="003324D1" w:rsidRDefault="004A326E" w:rsidP="004B0475">
      <w:pPr>
        <w:pStyle w:val="ac"/>
        <w:numPr>
          <w:ilvl w:val="0"/>
          <w:numId w:val="49"/>
        </w:numPr>
        <w:rPr>
          <w:rFonts w:cs="Arial"/>
          <w:rtl/>
        </w:rPr>
      </w:pPr>
      <w:r w:rsidRPr="0036392D">
        <w:rPr>
          <w:rFonts w:cs="Arial"/>
          <w:rtl/>
        </w:rPr>
        <w:t>תוס</w:t>
      </w:r>
      <w:r w:rsidRPr="0036392D">
        <w:rPr>
          <w:rFonts w:cs="Arial" w:hint="cs"/>
          <w:rtl/>
        </w:rPr>
        <w:t>'</w:t>
      </w:r>
      <w:r w:rsidRPr="0036392D">
        <w:rPr>
          <w:rFonts w:cs="Arial"/>
          <w:rtl/>
        </w:rPr>
        <w:t xml:space="preserve"> </w:t>
      </w:r>
      <w:r w:rsidRPr="0036392D">
        <w:rPr>
          <w:rFonts w:cs="Arial"/>
          <w:sz w:val="16"/>
          <w:szCs w:val="16"/>
          <w:rtl/>
        </w:rPr>
        <w:t xml:space="preserve">(ה. ד"ה דן) </w:t>
      </w:r>
      <w:r w:rsidRPr="003324D1">
        <w:rPr>
          <w:rFonts w:cs="Arial"/>
          <w:rtl/>
        </w:rPr>
        <w:t>ספר התרומות</w:t>
      </w:r>
      <w:r>
        <w:rPr>
          <w:rStyle w:val="ab"/>
          <w:rFonts w:cs="Arial"/>
          <w:rtl/>
        </w:rPr>
        <w:footnoteReference w:id="147"/>
      </w:r>
      <w:r w:rsidRPr="003324D1">
        <w:rPr>
          <w:rFonts w:cs="Arial"/>
          <w:rtl/>
        </w:rPr>
        <w:t xml:space="preserve"> </w:t>
      </w:r>
      <w:r w:rsidRPr="003324D1">
        <w:rPr>
          <w:rFonts w:cs="Arial" w:hint="cs"/>
          <w:sz w:val="16"/>
          <w:szCs w:val="16"/>
          <w:rtl/>
        </w:rPr>
        <w:t>(</w:t>
      </w:r>
      <w:r w:rsidRPr="003324D1">
        <w:rPr>
          <w:rFonts w:cs="Arial"/>
          <w:sz w:val="16"/>
          <w:szCs w:val="16"/>
          <w:rtl/>
        </w:rPr>
        <w:t>ש</w:t>
      </w:r>
      <w:r w:rsidRPr="003324D1">
        <w:rPr>
          <w:rFonts w:cs="Arial" w:hint="cs"/>
          <w:sz w:val="16"/>
          <w:szCs w:val="16"/>
          <w:rtl/>
        </w:rPr>
        <w:t>"</w:t>
      </w:r>
      <w:r w:rsidRPr="003324D1">
        <w:rPr>
          <w:rFonts w:cs="Arial"/>
          <w:sz w:val="16"/>
          <w:szCs w:val="16"/>
          <w:rtl/>
        </w:rPr>
        <w:t>ג ח"ח סי</w:t>
      </w:r>
      <w:r w:rsidRPr="003324D1">
        <w:rPr>
          <w:rFonts w:cs="Arial" w:hint="cs"/>
          <w:sz w:val="16"/>
          <w:szCs w:val="16"/>
          <w:rtl/>
        </w:rPr>
        <w:t>'</w:t>
      </w:r>
      <w:r w:rsidRPr="003324D1">
        <w:rPr>
          <w:rFonts w:cs="Arial"/>
          <w:sz w:val="16"/>
          <w:szCs w:val="16"/>
          <w:rtl/>
        </w:rPr>
        <w:t xml:space="preserve"> ו)</w:t>
      </w:r>
      <w:r>
        <w:rPr>
          <w:rFonts w:cs="Arial" w:hint="cs"/>
          <w:rtl/>
        </w:rPr>
        <w:t xml:space="preserve"> </w:t>
      </w:r>
      <w:r w:rsidRPr="0036392D">
        <w:rPr>
          <w:rFonts w:cs="Arial"/>
          <w:rtl/>
        </w:rPr>
        <w:t>ורא"ש</w:t>
      </w:r>
      <w:r w:rsidRPr="0036392D">
        <w:rPr>
          <w:rFonts w:cs="Arial"/>
          <w:sz w:val="16"/>
          <w:szCs w:val="16"/>
          <w:rtl/>
        </w:rPr>
        <w:t xml:space="preserve"> (סי' ב)</w:t>
      </w:r>
      <w:r w:rsidR="00FE4C31">
        <w:rPr>
          <w:rFonts w:cs="Arial" w:hint="cs"/>
          <w:rtl/>
        </w:rPr>
        <w:t xml:space="preserve">- </w:t>
      </w:r>
      <w:r w:rsidRPr="0036392D">
        <w:rPr>
          <w:rFonts w:cs="Arial"/>
          <w:rtl/>
        </w:rPr>
        <w:t xml:space="preserve">יכול </w:t>
      </w:r>
      <w:r w:rsidR="00FE4C31">
        <w:rPr>
          <w:rFonts w:cs="Arial" w:hint="cs"/>
          <w:sz w:val="16"/>
          <w:szCs w:val="16"/>
          <w:rtl/>
        </w:rPr>
        <w:t xml:space="preserve">{זה שדן יחידי} </w:t>
      </w:r>
      <w:r w:rsidRPr="0036392D">
        <w:rPr>
          <w:rFonts w:cs="Arial"/>
          <w:rtl/>
        </w:rPr>
        <w:t>לכוף את האדם בעל כרחו</w:t>
      </w:r>
      <w:r>
        <w:rPr>
          <w:rFonts w:cs="Arial" w:hint="cs"/>
          <w:rtl/>
        </w:rPr>
        <w:t>,</w:t>
      </w:r>
      <w:r w:rsidRPr="0036392D">
        <w:rPr>
          <w:rFonts w:cs="Arial"/>
          <w:rtl/>
        </w:rPr>
        <w:t xml:space="preserve"> דאי בדקבליה עילויה אפי' שאינו מומחה נמי</w:t>
      </w:r>
      <w:r>
        <w:rPr>
          <w:rFonts w:cs="Arial" w:hint="cs"/>
          <w:rtl/>
        </w:rPr>
        <w:t>,</w:t>
      </w:r>
      <w:r w:rsidRPr="0036392D">
        <w:rPr>
          <w:rFonts w:cs="Arial"/>
          <w:rtl/>
        </w:rPr>
        <w:t xml:space="preserve"> ומכאן דסתם ג' יכולין לדון את האדם בעל כרחו כשאינו רוצה לבא לב"ד</w:t>
      </w:r>
      <w:r>
        <w:rPr>
          <w:rFonts w:cs="Arial" w:hint="cs"/>
          <w:rtl/>
        </w:rPr>
        <w:t>,</w:t>
      </w:r>
      <w:r w:rsidRPr="0036392D">
        <w:rPr>
          <w:rFonts w:cs="Arial"/>
          <w:rtl/>
        </w:rPr>
        <w:t xml:space="preserve"> דהא ג' במקום יחיד מומחה קיימי </w:t>
      </w:r>
      <w:r>
        <w:rPr>
          <w:rFonts w:cs="Arial" w:hint="cs"/>
          <w:sz w:val="16"/>
          <w:szCs w:val="16"/>
          <w:rtl/>
        </w:rPr>
        <w:t>(</w:t>
      </w:r>
      <w:r w:rsidRPr="0036392D">
        <w:rPr>
          <w:rFonts w:cs="Arial"/>
          <w:sz w:val="16"/>
          <w:szCs w:val="16"/>
          <w:rtl/>
        </w:rPr>
        <w:t>ואפי' שנים נמי דנין את האדם בעל כרחו אלא דאיקרו בית דין חצוף דאי בדקבלו עלייהו מיירי שמואל אמאי הוי ב"ד חצוף</w:t>
      </w:r>
      <w:r w:rsidRPr="0036392D">
        <w:rPr>
          <w:rFonts w:cs="Arial" w:hint="cs"/>
          <w:sz w:val="16"/>
          <w:szCs w:val="16"/>
          <w:rtl/>
        </w:rPr>
        <w:t>)</w:t>
      </w:r>
      <w:r w:rsidR="00FE4C31">
        <w:rPr>
          <w:rFonts w:cs="Arial" w:hint="cs"/>
          <w:rtl/>
        </w:rPr>
        <w:t>,</w:t>
      </w:r>
      <w:r w:rsidRPr="0036392D">
        <w:rPr>
          <w:rFonts w:cs="Arial"/>
          <w:rtl/>
        </w:rPr>
        <w:t xml:space="preserve"> והא דתנן </w:t>
      </w:r>
      <w:r w:rsidRPr="0036392D">
        <w:rPr>
          <w:rFonts w:cs="Arial"/>
          <w:sz w:val="16"/>
          <w:szCs w:val="16"/>
          <w:rtl/>
        </w:rPr>
        <w:t xml:space="preserve">(כג.) </w:t>
      </w:r>
      <w:r w:rsidRPr="0036392D">
        <w:rPr>
          <w:rFonts w:cs="Arial"/>
          <w:rtl/>
        </w:rPr>
        <w:t>זה בורר לו אחד וזה בורר לו אחד משמע דמדעתו אין בעל כרחו לא</w:t>
      </w:r>
      <w:r>
        <w:rPr>
          <w:rFonts w:cs="Arial" w:hint="cs"/>
          <w:rtl/>
        </w:rPr>
        <w:t xml:space="preserve"> -</w:t>
      </w:r>
      <w:r w:rsidRPr="0036392D">
        <w:rPr>
          <w:rFonts w:cs="Arial"/>
          <w:rtl/>
        </w:rPr>
        <w:t xml:space="preserve"> הני מילי כשאומר לא אדון לפני זה אלא לפני זה</w:t>
      </w:r>
      <w:r>
        <w:rPr>
          <w:rFonts w:cs="Arial" w:hint="cs"/>
          <w:rtl/>
        </w:rPr>
        <w:t>,</w:t>
      </w:r>
      <w:r w:rsidRPr="0036392D">
        <w:rPr>
          <w:rFonts w:cs="Arial"/>
          <w:rtl/>
        </w:rPr>
        <w:t xml:space="preserve"> אבל אם אמר שלא יבא כלל לב"ד או אם הוה לווה ואינו רוצה לדון כלל בעירו כופין אותו ודנין אותו בעל כרחו</w:t>
      </w:r>
      <w:r>
        <w:rPr>
          <w:rFonts w:cs="Arial" w:hint="cs"/>
          <w:sz w:val="16"/>
          <w:szCs w:val="16"/>
          <w:rtl/>
        </w:rPr>
        <w:t xml:space="preserve"> (ל' התוס')</w:t>
      </w:r>
      <w:r w:rsidRPr="0036392D">
        <w:rPr>
          <w:rFonts w:cs="Arial"/>
          <w:rtl/>
        </w:rPr>
        <w:t>.</w:t>
      </w:r>
      <w:r w:rsidRPr="0036392D">
        <w:rPr>
          <w:rFonts w:cs="Arial" w:hint="cs"/>
          <w:rtl/>
        </w:rPr>
        <w:t xml:space="preserve"> </w:t>
      </w:r>
      <w:r w:rsidR="00EF44D4" w:rsidRPr="005D6379">
        <w:rPr>
          <w:rFonts w:cs="Arial" w:hint="cs"/>
          <w:color w:val="E36C0A" w:themeColor="accent6" w:themeShade="BF"/>
          <w:rtl/>
        </w:rPr>
        <w:t>(וכ"פ בשו"ע)</w:t>
      </w:r>
    </w:p>
    <w:p w14:paraId="1B811770" w14:textId="77777777" w:rsidR="004A326E" w:rsidRPr="003024E5" w:rsidRDefault="004A326E" w:rsidP="004A326E">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426CE972" w14:textId="77777777" w:rsidR="004A326E" w:rsidRDefault="004A326E" w:rsidP="004A326E">
      <w:pPr>
        <w:rPr>
          <w:rtl/>
        </w:rPr>
      </w:pPr>
      <w:r>
        <w:rPr>
          <w:rFonts w:cs="Arial"/>
          <w:rtl/>
        </w:rPr>
        <w:t>אין בית דין פחות משלשה</w:t>
      </w:r>
      <w:r>
        <w:rPr>
          <w:rStyle w:val="ab"/>
          <w:rFonts w:cs="Arial"/>
          <w:rtl/>
        </w:rPr>
        <w:footnoteReference w:id="148"/>
      </w:r>
      <w:r>
        <w:rPr>
          <w:rFonts w:cs="Arial" w:hint="cs"/>
          <w:rtl/>
        </w:rPr>
        <w:t>,</w:t>
      </w:r>
      <w:r>
        <w:rPr>
          <w:rFonts w:cs="Arial"/>
          <w:rtl/>
        </w:rPr>
        <w:t xml:space="preserve"> וכל שלשה נקראים בית דין</w:t>
      </w:r>
      <w:r>
        <w:rPr>
          <w:rFonts w:cs="Arial" w:hint="cs"/>
          <w:rtl/>
        </w:rPr>
        <w:t>,</w:t>
      </w:r>
      <w:r>
        <w:rPr>
          <w:rFonts w:cs="Arial"/>
          <w:rtl/>
        </w:rPr>
        <w:t xml:space="preserve"> אפילו הדיוטות</w:t>
      </w:r>
      <w:r>
        <w:rPr>
          <w:rFonts w:cs="Arial" w:hint="cs"/>
          <w:rtl/>
        </w:rPr>
        <w:t>,</w:t>
      </w:r>
      <w:r>
        <w:rPr>
          <w:rFonts w:cs="Arial"/>
          <w:rtl/>
        </w:rPr>
        <w:t xml:space="preserve"> </w:t>
      </w:r>
      <w:r>
        <w:rPr>
          <w:rFonts w:cs="Arial" w:hint="cs"/>
          <w:sz w:val="18"/>
          <w:szCs w:val="18"/>
          <w:rtl/>
        </w:rPr>
        <w:t xml:space="preserve">[הגה] </w:t>
      </w:r>
      <w:r w:rsidRPr="003324D1">
        <w:rPr>
          <w:rFonts w:cs="Arial"/>
          <w:sz w:val="18"/>
          <w:szCs w:val="18"/>
          <w:rtl/>
        </w:rPr>
        <w:t>דא</w:t>
      </w:r>
      <w:r>
        <w:rPr>
          <w:rFonts w:cs="Arial" w:hint="cs"/>
          <w:sz w:val="18"/>
          <w:szCs w:val="18"/>
          <w:rtl/>
        </w:rPr>
        <w:t>"</w:t>
      </w:r>
      <w:r w:rsidRPr="003324D1">
        <w:rPr>
          <w:rFonts w:cs="Arial"/>
          <w:sz w:val="18"/>
          <w:szCs w:val="18"/>
          <w:rtl/>
        </w:rPr>
        <w:t>א דלית בהו חד דיודע סברות בדינים</w:t>
      </w:r>
      <w:r>
        <w:rPr>
          <w:rStyle w:val="ab"/>
          <w:rFonts w:cs="Arial"/>
          <w:sz w:val="18"/>
          <w:szCs w:val="18"/>
          <w:rtl/>
        </w:rPr>
        <w:footnoteReference w:id="149"/>
      </w:r>
      <w:r w:rsidRPr="003324D1">
        <w:rPr>
          <w:rFonts w:cs="Arial"/>
          <w:sz w:val="18"/>
          <w:szCs w:val="18"/>
          <w:rtl/>
        </w:rPr>
        <w:t>, אבל אי לית בהו חד דידע פסילי לדון</w:t>
      </w:r>
      <w:r>
        <w:rPr>
          <w:rStyle w:val="ab"/>
          <w:rFonts w:cs="Arial"/>
          <w:sz w:val="18"/>
          <w:szCs w:val="18"/>
          <w:rtl/>
        </w:rPr>
        <w:footnoteReference w:id="150"/>
      </w:r>
      <w:r w:rsidRPr="003324D1">
        <w:rPr>
          <w:rFonts w:cs="Arial"/>
          <w:sz w:val="18"/>
          <w:szCs w:val="18"/>
          <w:rtl/>
        </w:rPr>
        <w:t xml:space="preserve"> (טור בשם הרא"ש)</w:t>
      </w:r>
      <w:r>
        <w:rPr>
          <w:rFonts w:cs="Arial" w:hint="cs"/>
          <w:sz w:val="18"/>
          <w:szCs w:val="18"/>
          <w:rtl/>
        </w:rPr>
        <w:t xml:space="preserve">. </w:t>
      </w:r>
      <w:r w:rsidRPr="003324D1">
        <w:rPr>
          <w:rFonts w:cs="Arial"/>
          <w:sz w:val="18"/>
          <w:szCs w:val="18"/>
          <w:rtl/>
        </w:rPr>
        <w:t>ומ</w:t>
      </w:r>
      <w:r>
        <w:rPr>
          <w:rFonts w:cs="Arial" w:hint="cs"/>
          <w:sz w:val="18"/>
          <w:szCs w:val="18"/>
          <w:rtl/>
        </w:rPr>
        <w:t>"מ</w:t>
      </w:r>
      <w:r w:rsidRPr="003324D1">
        <w:rPr>
          <w:rFonts w:cs="Arial"/>
          <w:sz w:val="18"/>
          <w:szCs w:val="18"/>
          <w:rtl/>
        </w:rPr>
        <w:t xml:space="preserve"> יכולין לקבל הטענות ולשלחם לפני מורה (מהר"ם פדווא"ה סי</w:t>
      </w:r>
      <w:r>
        <w:rPr>
          <w:rFonts w:cs="Arial" w:hint="cs"/>
          <w:sz w:val="18"/>
          <w:szCs w:val="18"/>
          <w:rtl/>
        </w:rPr>
        <w:t>'</w:t>
      </w:r>
      <w:r w:rsidRPr="003324D1">
        <w:rPr>
          <w:rFonts w:cs="Arial"/>
          <w:sz w:val="18"/>
          <w:szCs w:val="18"/>
          <w:rtl/>
        </w:rPr>
        <w:t xml:space="preserve"> מג)</w:t>
      </w:r>
      <w:r>
        <w:rPr>
          <w:rFonts w:cs="Arial"/>
          <w:rtl/>
        </w:rPr>
        <w:t xml:space="preserve">, והם דנים </w:t>
      </w:r>
      <w:r>
        <w:rPr>
          <w:rFonts w:cs="Arial"/>
          <w:rtl/>
        </w:rPr>
        <w:lastRenderedPageBreak/>
        <w:t>את האדם בעל כרחו אם הנתבע מסרב לירד לדין או שאינו רוצה לדון עם התובע בעירו</w:t>
      </w:r>
      <w:r>
        <w:rPr>
          <w:rFonts w:cs="Arial" w:hint="cs"/>
          <w:rtl/>
        </w:rPr>
        <w:t>.</w:t>
      </w:r>
      <w:r>
        <w:rPr>
          <w:rFonts w:cs="Arial"/>
          <w:rtl/>
        </w:rPr>
        <w:t xml:space="preserve"> אבל אם רוצה לדון עמו בעירו אלא שאינו חפץ בשלשה שבירר התובע, אז זה בורר לו אחד וזה בורר לו אחד. </w:t>
      </w:r>
      <w:r w:rsidRPr="003324D1">
        <w:rPr>
          <w:rFonts w:cs="Arial"/>
          <w:sz w:val="18"/>
          <w:szCs w:val="18"/>
          <w:rtl/>
        </w:rPr>
        <w:t>הגה: כדלקמן סי</w:t>
      </w:r>
      <w:r>
        <w:rPr>
          <w:rFonts w:cs="Arial" w:hint="cs"/>
          <w:sz w:val="18"/>
          <w:szCs w:val="18"/>
          <w:rtl/>
        </w:rPr>
        <w:t>'</w:t>
      </w:r>
      <w:r w:rsidRPr="003324D1">
        <w:rPr>
          <w:rFonts w:cs="Arial"/>
          <w:sz w:val="18"/>
          <w:szCs w:val="18"/>
          <w:rtl/>
        </w:rPr>
        <w:t xml:space="preserve"> יג</w:t>
      </w:r>
      <w:r>
        <w:rPr>
          <w:rFonts w:cs="Arial" w:hint="cs"/>
          <w:sz w:val="18"/>
          <w:szCs w:val="18"/>
          <w:rtl/>
        </w:rPr>
        <w:t>,</w:t>
      </w:r>
      <w:r w:rsidRPr="003324D1">
        <w:rPr>
          <w:rFonts w:cs="Arial"/>
          <w:sz w:val="18"/>
          <w:szCs w:val="18"/>
          <w:rtl/>
        </w:rPr>
        <w:t xml:space="preserve"> ונ"ל דווקא בדיינים שאינם קבועים, אבל אם דיינים קבועים בעיר לא יוכל לומר לא אדון לפניהם אלא בזה בורר, וכן נוהגין בעירנו, וע"ל סי</w:t>
      </w:r>
      <w:r>
        <w:rPr>
          <w:rFonts w:cs="Arial" w:hint="cs"/>
          <w:sz w:val="18"/>
          <w:szCs w:val="18"/>
          <w:rtl/>
        </w:rPr>
        <w:t>'</w:t>
      </w:r>
      <w:r w:rsidRPr="003324D1">
        <w:rPr>
          <w:rFonts w:cs="Arial"/>
          <w:sz w:val="18"/>
          <w:szCs w:val="18"/>
          <w:rtl/>
        </w:rPr>
        <w:t xml:space="preserve"> כב סע</w:t>
      </w:r>
      <w:r>
        <w:rPr>
          <w:rFonts w:cs="Arial" w:hint="cs"/>
          <w:sz w:val="18"/>
          <w:szCs w:val="18"/>
          <w:rtl/>
        </w:rPr>
        <w:t>'</w:t>
      </w:r>
      <w:r w:rsidRPr="003324D1">
        <w:rPr>
          <w:rFonts w:cs="Arial"/>
          <w:sz w:val="18"/>
          <w:szCs w:val="18"/>
          <w:rtl/>
        </w:rPr>
        <w:t xml:space="preserve"> א.</w:t>
      </w:r>
      <w:r>
        <w:rPr>
          <w:rFonts w:cs="Arial"/>
          <w:rtl/>
        </w:rPr>
        <w:t xml:space="preserve"> </w:t>
      </w:r>
    </w:p>
    <w:p w14:paraId="6744985F" w14:textId="77777777" w:rsidR="004A326E" w:rsidRDefault="004A326E" w:rsidP="004A326E">
      <w:pPr>
        <w:rPr>
          <w:rtl/>
        </w:rPr>
      </w:pPr>
    </w:p>
    <w:p w14:paraId="4D966C2C" w14:textId="77777777" w:rsidR="004A326E" w:rsidRDefault="004A326E" w:rsidP="004A326E">
      <w:pPr>
        <w:pStyle w:val="2"/>
        <w:rPr>
          <w:rtl/>
        </w:rPr>
      </w:pPr>
      <w:bookmarkStart w:id="14" w:name="_Toc24883521"/>
      <w:r>
        <w:rPr>
          <w:rtl/>
        </w:rPr>
        <w:t>סעיף ב</w:t>
      </w:r>
      <w:r>
        <w:rPr>
          <w:rFonts w:hint="cs"/>
          <w:rtl/>
        </w:rPr>
        <w:t>: דין שלא בפני שלשה.</w:t>
      </w:r>
      <w:bookmarkEnd w:id="14"/>
    </w:p>
    <w:p w14:paraId="1EC0B0E6" w14:textId="77777777" w:rsidR="004A326E" w:rsidRPr="00546B2C" w:rsidRDefault="00546B2C" w:rsidP="00546B2C">
      <w:pPr>
        <w:rPr>
          <w:rFonts w:cs="Arial"/>
          <w:b/>
          <w:bCs/>
          <w:rtl/>
        </w:rPr>
      </w:pPr>
      <w:r w:rsidRPr="007E7D9A">
        <w:rPr>
          <w:rFonts w:cs="Arial" w:hint="cs"/>
          <w:b/>
          <w:bCs/>
          <w:rtl/>
        </w:rPr>
        <w:t xml:space="preserve">סנהדרין </w:t>
      </w:r>
      <w:r>
        <w:rPr>
          <w:rFonts w:cs="Arial" w:hint="cs"/>
          <w:b/>
          <w:bCs/>
          <w:sz w:val="16"/>
          <w:szCs w:val="16"/>
          <w:rtl/>
        </w:rPr>
        <w:t xml:space="preserve">(פ"ק) </w:t>
      </w:r>
      <w:r w:rsidRPr="007E7D9A">
        <w:rPr>
          <w:rFonts w:cs="Arial" w:hint="cs"/>
          <w:b/>
          <w:bCs/>
          <w:rtl/>
        </w:rPr>
        <w:t>ב</w:t>
      </w:r>
      <w:r>
        <w:rPr>
          <w:rStyle w:val="ab"/>
          <w:rFonts w:cs="Arial"/>
          <w:b/>
          <w:bCs/>
          <w:rtl/>
        </w:rPr>
        <w:footnoteReference w:id="151"/>
      </w:r>
      <w:r w:rsidRPr="007E7D9A">
        <w:rPr>
          <w:rFonts w:cs="Arial" w:hint="cs"/>
          <w:b/>
          <w:bCs/>
          <w:rtl/>
        </w:rPr>
        <w:t xml:space="preserve"> ע"</w:t>
      </w:r>
      <w:r>
        <w:rPr>
          <w:rFonts w:cs="Arial" w:hint="cs"/>
          <w:b/>
          <w:bCs/>
          <w:rtl/>
        </w:rPr>
        <w:t>ב</w:t>
      </w:r>
      <w:r w:rsidRPr="007E7D9A">
        <w:rPr>
          <w:rFonts w:cs="Arial" w:hint="cs"/>
          <w:b/>
          <w:bCs/>
          <w:rtl/>
        </w:rPr>
        <w:t xml:space="preserve">: </w:t>
      </w:r>
      <w:r w:rsidRPr="007E7D9A">
        <w:rPr>
          <w:rFonts w:cs="Arial"/>
          <w:rtl/>
        </w:rPr>
        <w:t>והאמר רבי אבהו</w:t>
      </w:r>
      <w:r>
        <w:rPr>
          <w:rFonts w:cs="Arial" w:hint="cs"/>
          <w:rtl/>
        </w:rPr>
        <w:t>:</w:t>
      </w:r>
      <w:r w:rsidRPr="007E7D9A">
        <w:rPr>
          <w:rFonts w:cs="Arial"/>
          <w:rtl/>
        </w:rPr>
        <w:t xml:space="preserve"> שנים שדנו דיני ממונות - לדברי הכל אין דיניהם דין</w:t>
      </w:r>
      <w:r>
        <w:rPr>
          <w:rFonts w:cs="Arial" w:hint="cs"/>
          <w:rtl/>
        </w:rPr>
        <w:t xml:space="preserve">... </w:t>
      </w:r>
      <w:r>
        <w:rPr>
          <w:rFonts w:cs="Arial" w:hint="cs"/>
          <w:sz w:val="14"/>
          <w:szCs w:val="14"/>
          <w:rtl/>
        </w:rPr>
        <w:t xml:space="preserve">(ג.) </w:t>
      </w:r>
      <w:r w:rsidRPr="00F87E46">
        <w:rPr>
          <w:rFonts w:cs="Arial"/>
          <w:rtl/>
        </w:rPr>
        <w:t>מאי איכא בין רבא לרב אחא בריה דרב איקא? איכא בינייהו דאמר שמואל: שנים שדנו - דיניהן דין, אלא שנקראו בית דין חצוף. לרבא - לית ליה דשמואל, לרב אחא בריה דרב איקא - אית ליה דשמואל.</w:t>
      </w:r>
      <w:r>
        <w:rPr>
          <w:rFonts w:cs="Arial" w:hint="cs"/>
          <w:rtl/>
        </w:rPr>
        <w:t xml:space="preserve">.. </w:t>
      </w:r>
      <w:r>
        <w:rPr>
          <w:rFonts w:cs="Arial" w:hint="cs"/>
          <w:sz w:val="14"/>
          <w:szCs w:val="14"/>
          <w:rtl/>
        </w:rPr>
        <w:t>(ה:)</w:t>
      </w:r>
      <w:r>
        <w:rPr>
          <w:rFonts w:cs="Arial" w:hint="cs"/>
          <w:rtl/>
        </w:rPr>
        <w:t xml:space="preserve"> </w:t>
      </w:r>
      <w:r w:rsidR="004A326E" w:rsidRPr="004C4F86">
        <w:rPr>
          <w:rFonts w:cs="Arial"/>
          <w:rtl/>
        </w:rPr>
        <w:t xml:space="preserve">גופא, </w:t>
      </w:r>
      <w:r w:rsidR="004A326E" w:rsidRPr="004C4F86">
        <w:rPr>
          <w:rFonts w:cs="Arial"/>
          <w:u w:val="single"/>
          <w:rtl/>
        </w:rPr>
        <w:t>אמר שמואל</w:t>
      </w:r>
      <w:r w:rsidR="004A326E" w:rsidRPr="004C4F86">
        <w:rPr>
          <w:rFonts w:cs="Arial"/>
          <w:rtl/>
        </w:rPr>
        <w:t>: שנים שדנו - דיניהם דין</w:t>
      </w:r>
      <w:r w:rsidR="004A326E">
        <w:rPr>
          <w:rStyle w:val="ab"/>
          <w:rFonts w:cs="Arial"/>
          <w:rtl/>
        </w:rPr>
        <w:footnoteReference w:id="152"/>
      </w:r>
      <w:r w:rsidR="004A326E" w:rsidRPr="004C4F86">
        <w:rPr>
          <w:rFonts w:cs="Arial"/>
          <w:rtl/>
        </w:rPr>
        <w:t>, אלא שנקרא בית דין חצוף</w:t>
      </w:r>
      <w:r w:rsidR="004A326E">
        <w:rPr>
          <w:rFonts w:cs="Arial" w:hint="cs"/>
          <w:rtl/>
        </w:rPr>
        <w:t>.</w:t>
      </w:r>
      <w:r w:rsidR="00204525" w:rsidRPr="00204525">
        <w:rPr>
          <w:rtl/>
        </w:rPr>
        <w:t xml:space="preserve"> </w:t>
      </w:r>
      <w:r w:rsidR="00204525" w:rsidRPr="00204525">
        <w:rPr>
          <w:rFonts w:cs="Arial"/>
          <w:rtl/>
        </w:rPr>
        <w:t xml:space="preserve">יתיב רב נחמן וקאמר להא שמעתא. </w:t>
      </w:r>
      <w:r w:rsidR="00204525" w:rsidRPr="009F09F8">
        <w:rPr>
          <w:rFonts w:cs="Arial"/>
          <w:u w:val="single"/>
          <w:rtl/>
        </w:rPr>
        <w:t>איתיביה רבא לרב נחמן</w:t>
      </w:r>
      <w:r w:rsidR="00204525" w:rsidRPr="00204525">
        <w:rPr>
          <w:rFonts w:cs="Arial"/>
          <w:rtl/>
        </w:rPr>
        <w:t xml:space="preserve">: אפילו שנים מזכין או שנים מחייבין ואחד אומר איני יודע - יוסיפו הדיינין. ואי איתא - להוו כשנים שדנו! שאני התם דמעיקרא אדעתא דתלתא יתיבי, הכא - לאו אדעתא דתלתא יתיבי. </w:t>
      </w:r>
      <w:r w:rsidR="00204525" w:rsidRPr="009F09F8">
        <w:rPr>
          <w:rFonts w:cs="Arial"/>
          <w:u w:val="single"/>
          <w:rtl/>
        </w:rPr>
        <w:t>איתיביה</w:t>
      </w:r>
      <w:r w:rsidR="00204525" w:rsidRPr="00204525">
        <w:rPr>
          <w:rFonts w:cs="Arial"/>
          <w:rtl/>
        </w:rPr>
        <w:t>: רבן שמעון בן גמליאל אומר: הדין - בשלשה, ופשרה - בשנים. ויפה כח פשרה מכח הדין. ששנים שדנו - בעלי דינין יכולין לחזור בהן</w:t>
      </w:r>
      <w:r w:rsidR="009F09F8">
        <w:rPr>
          <w:rStyle w:val="ab"/>
          <w:rFonts w:cs="Arial"/>
          <w:rtl/>
        </w:rPr>
        <w:footnoteReference w:id="153"/>
      </w:r>
      <w:r w:rsidR="00204525" w:rsidRPr="00204525">
        <w:rPr>
          <w:rFonts w:cs="Arial"/>
          <w:rtl/>
        </w:rPr>
        <w:t>, ושנים שעשו פשרה - אין בעלי דינין יכולין לחזור בהן.</w:t>
      </w:r>
      <w:r w:rsidR="00204525">
        <w:rPr>
          <w:rFonts w:cs="Arial" w:hint="cs"/>
          <w:sz w:val="14"/>
          <w:szCs w:val="14"/>
          <w:rtl/>
        </w:rPr>
        <w:t xml:space="preserve"> (</w:t>
      </w:r>
      <w:r w:rsidR="009F09F8">
        <w:rPr>
          <w:rFonts w:cs="Arial" w:hint="cs"/>
          <w:sz w:val="14"/>
          <w:szCs w:val="14"/>
          <w:rtl/>
        </w:rPr>
        <w:t>ו.)</w:t>
      </w:r>
      <w:r w:rsidR="004A326E" w:rsidRPr="002622A5">
        <w:rPr>
          <w:rFonts w:cs="Arial"/>
          <w:rtl/>
        </w:rPr>
        <w:t xml:space="preserve"> </w:t>
      </w:r>
      <w:r w:rsidR="009F09F8" w:rsidRPr="009F09F8">
        <w:rPr>
          <w:rFonts w:cs="Arial"/>
          <w:rtl/>
        </w:rPr>
        <w:t xml:space="preserve">וכי תימא פליגי רבנן עליה דרבן שמעון בן גמליאל - </w:t>
      </w:r>
      <w:r w:rsidR="004A326E" w:rsidRPr="00A90990">
        <w:rPr>
          <w:rFonts w:cs="Arial"/>
          <w:u w:val="single"/>
          <w:rtl/>
        </w:rPr>
        <w:t>והאמר רבי אבהו</w:t>
      </w:r>
      <w:r w:rsidR="004A326E" w:rsidRPr="002622A5">
        <w:rPr>
          <w:rFonts w:cs="Arial"/>
          <w:rtl/>
        </w:rPr>
        <w:t>: שנים שדנו - לדברי הכל אין דיניהם דין! גברא אגברא קא רמית</w:t>
      </w:r>
      <w:r w:rsidR="009F09F8">
        <w:rPr>
          <w:rStyle w:val="ab"/>
          <w:rFonts w:cs="Arial"/>
          <w:rtl/>
        </w:rPr>
        <w:footnoteReference w:id="154"/>
      </w:r>
      <w:r w:rsidR="004A326E" w:rsidRPr="002622A5">
        <w:rPr>
          <w:rFonts w:cs="Arial"/>
          <w:rtl/>
        </w:rPr>
        <w:t xml:space="preserve">? גופא, </w:t>
      </w:r>
      <w:r w:rsidR="004A326E" w:rsidRPr="002622A5">
        <w:rPr>
          <w:rFonts w:cs="Arial"/>
          <w:u w:val="single"/>
          <w:rtl/>
        </w:rPr>
        <w:t>אמר רבי אבהו</w:t>
      </w:r>
      <w:r w:rsidR="004A326E" w:rsidRPr="002622A5">
        <w:rPr>
          <w:rFonts w:cs="Arial"/>
          <w:rtl/>
        </w:rPr>
        <w:t xml:space="preserve">: שנים שדנו דיני ממונות - לדברי הכל אין דיניהם דין. </w:t>
      </w:r>
      <w:r w:rsidR="004A326E" w:rsidRPr="004D1C9D">
        <w:rPr>
          <w:rFonts w:cs="Arial"/>
          <w:u w:val="single"/>
          <w:rtl/>
        </w:rPr>
        <w:t>איתיביה רבי אבא לרבי אבהו</w:t>
      </w:r>
      <w:r w:rsidR="004A326E" w:rsidRPr="002622A5">
        <w:rPr>
          <w:rFonts w:cs="Arial"/>
          <w:rtl/>
        </w:rPr>
        <w:t xml:space="preserve">: דן את הדין, וזיכה את החייב וחייב את הזכאי, טימא את הטהור טיהר את הטמא - מה שעשה עשוי, ומשלם מביתו. הכא במאי עסקינן - דקיבלוהו עלייהו. אי הכי אמאי משלם מביתו? דאמרו ליה: דיינת לן דין תורה. </w:t>
      </w:r>
      <w:r w:rsidR="009F09F8">
        <w:rPr>
          <w:rFonts w:cs="Arial" w:hint="cs"/>
          <w:rtl/>
        </w:rPr>
        <w:t xml:space="preserve"> </w:t>
      </w:r>
    </w:p>
    <w:p w14:paraId="614F2405" w14:textId="77777777" w:rsidR="00B067C8" w:rsidRDefault="00B067C8" w:rsidP="004A326E">
      <w:pPr>
        <w:rPr>
          <w:rFonts w:cs="Arial"/>
          <w:rtl/>
        </w:rPr>
      </w:pPr>
      <w:r w:rsidRPr="00B067C8">
        <w:rPr>
          <w:rFonts w:cs="Arial" w:hint="cs"/>
          <w:b/>
          <w:bCs/>
          <w:rtl/>
        </w:rPr>
        <w:t>גיטין לב</w:t>
      </w:r>
      <w:r w:rsidR="00A90990">
        <w:rPr>
          <w:rStyle w:val="ab"/>
          <w:rFonts w:cs="Arial"/>
          <w:b/>
          <w:bCs/>
          <w:rtl/>
        </w:rPr>
        <w:footnoteReference w:id="155"/>
      </w:r>
      <w:r w:rsidRPr="00B067C8">
        <w:rPr>
          <w:rFonts w:cs="Arial" w:hint="cs"/>
          <w:b/>
          <w:bCs/>
          <w:rtl/>
        </w:rPr>
        <w:t xml:space="preserve"> </w:t>
      </w:r>
      <w:r>
        <w:rPr>
          <w:rFonts w:cs="Arial" w:hint="cs"/>
          <w:b/>
          <w:bCs/>
          <w:sz w:val="16"/>
          <w:szCs w:val="16"/>
          <w:rtl/>
        </w:rPr>
        <w:t xml:space="preserve">(פ' כל הגט) </w:t>
      </w:r>
      <w:r w:rsidRPr="00B067C8">
        <w:rPr>
          <w:rFonts w:cs="Arial" w:hint="cs"/>
          <w:b/>
          <w:bCs/>
          <w:rtl/>
        </w:rPr>
        <w:t>ע"א:</w:t>
      </w:r>
      <w:r w:rsidRPr="00B067C8">
        <w:rPr>
          <w:rFonts w:cs="Arial"/>
          <w:rtl/>
        </w:rPr>
        <w:t xml:space="preserve"> </w:t>
      </w:r>
      <w:r w:rsidRPr="00B067C8">
        <w:rPr>
          <w:rFonts w:cs="Arial"/>
          <w:u w:val="double"/>
          <w:rtl/>
        </w:rPr>
        <w:t>מתני'</w:t>
      </w:r>
      <w:r>
        <w:rPr>
          <w:rFonts w:cs="Arial" w:hint="cs"/>
          <w:rtl/>
        </w:rPr>
        <w:t>:</w:t>
      </w:r>
      <w:r w:rsidRPr="00B067C8">
        <w:rPr>
          <w:rFonts w:cs="Arial"/>
          <w:rtl/>
        </w:rPr>
        <w:t xml:space="preserve"> השולח גט לאשתו, והגיע בשליח או ששלח אחריו שליח, ואמר לו גט שנתתי לך בטל הוא - הרי זה בטל</w:t>
      </w:r>
      <w:r>
        <w:rPr>
          <w:rFonts w:cs="Arial" w:hint="cs"/>
          <w:rtl/>
        </w:rPr>
        <w:t>.</w:t>
      </w:r>
      <w:r w:rsidRPr="00B067C8">
        <w:rPr>
          <w:rFonts w:cs="Arial"/>
          <w:rtl/>
        </w:rPr>
        <w:t xml:space="preserve"> קידם אצל אשתו או ששלח אצלה שליח, ואמר לה גט ששלחתי לך בטל הוא - הרי זה בטל</w:t>
      </w:r>
      <w:r>
        <w:rPr>
          <w:rFonts w:cs="Arial" w:hint="cs"/>
          <w:rtl/>
        </w:rPr>
        <w:t>.</w:t>
      </w:r>
      <w:r w:rsidRPr="00B067C8">
        <w:rPr>
          <w:rFonts w:cs="Arial"/>
          <w:rtl/>
        </w:rPr>
        <w:t xml:space="preserve"> אם משהגיע גט לידה, שוב אינו יכול לבטלו. בראשונה היה עושה ב"ד ממקום אחר ומבטלו, התקין רבן גמליאל הזקן שלא יהו עושין כן, מפני תיקון העולם.</w:t>
      </w:r>
      <w:r>
        <w:rPr>
          <w:rFonts w:cs="Arial" w:hint="cs"/>
          <w:rtl/>
        </w:rPr>
        <w:t xml:space="preserve">.. </w:t>
      </w:r>
      <w:r>
        <w:rPr>
          <w:rFonts w:cs="Arial" w:hint="cs"/>
          <w:sz w:val="14"/>
          <w:szCs w:val="14"/>
          <w:rtl/>
        </w:rPr>
        <w:t xml:space="preserve">(לב:) </w:t>
      </w:r>
      <w:r w:rsidRPr="00B067C8">
        <w:rPr>
          <w:rFonts w:cs="Arial"/>
          <w:rtl/>
        </w:rPr>
        <w:t xml:space="preserve">בראשונה היה עושה. איתמר: בפני כמה הוא מבטלו? </w:t>
      </w:r>
      <w:r w:rsidRPr="00B067C8">
        <w:rPr>
          <w:rFonts w:cs="Arial"/>
          <w:u w:val="single"/>
          <w:rtl/>
        </w:rPr>
        <w:t>רב נחמן אמר</w:t>
      </w:r>
      <w:r w:rsidRPr="00B067C8">
        <w:rPr>
          <w:rFonts w:cs="Arial"/>
          <w:rtl/>
        </w:rPr>
        <w:t xml:space="preserve">: בפני ב', </w:t>
      </w:r>
      <w:r w:rsidRPr="00B067C8">
        <w:rPr>
          <w:rFonts w:cs="Arial"/>
          <w:u w:val="single"/>
          <w:rtl/>
        </w:rPr>
        <w:t>רב ששת אמר</w:t>
      </w:r>
      <w:r w:rsidRPr="00B067C8">
        <w:rPr>
          <w:rFonts w:cs="Arial"/>
          <w:rtl/>
        </w:rPr>
        <w:t xml:space="preserve">: בפני ג'. </w:t>
      </w:r>
      <w:r w:rsidRPr="00B067C8">
        <w:rPr>
          <w:rFonts w:cs="Arial"/>
          <w:u w:val="single"/>
          <w:rtl/>
        </w:rPr>
        <w:t>רב ששת אמר</w:t>
      </w:r>
      <w:r w:rsidRPr="00B067C8">
        <w:rPr>
          <w:rFonts w:cs="Arial"/>
          <w:rtl/>
        </w:rPr>
        <w:t>: בפני ג', ב"ד קתני</w:t>
      </w:r>
      <w:r w:rsidR="00C43288">
        <w:rPr>
          <w:rFonts w:cs="Arial" w:hint="cs"/>
          <w:rtl/>
        </w:rPr>
        <w:t>.</w:t>
      </w:r>
      <w:r w:rsidRPr="00B067C8">
        <w:rPr>
          <w:rFonts w:cs="Arial"/>
          <w:rtl/>
        </w:rPr>
        <w:t xml:space="preserve"> </w:t>
      </w:r>
      <w:r w:rsidRPr="00B067C8">
        <w:rPr>
          <w:rFonts w:cs="Arial"/>
          <w:u w:val="single"/>
          <w:rtl/>
        </w:rPr>
        <w:t>ורב נחמן אמר</w:t>
      </w:r>
      <w:r w:rsidRPr="00B067C8">
        <w:rPr>
          <w:rFonts w:cs="Arial"/>
          <w:rtl/>
        </w:rPr>
        <w:t xml:space="preserve">: בפני ב', לבי תרי נמי ב"ד קרי להו. </w:t>
      </w:r>
      <w:r w:rsidRPr="00B067C8">
        <w:rPr>
          <w:rFonts w:cs="Arial"/>
          <w:u w:val="single"/>
          <w:rtl/>
        </w:rPr>
        <w:t>אמר רב נחמן</w:t>
      </w:r>
      <w:r w:rsidRPr="00B067C8">
        <w:rPr>
          <w:rFonts w:cs="Arial"/>
          <w:rtl/>
        </w:rPr>
        <w:t>: מנא אמינא לה? דתנן: מוסרני לפניכם</w:t>
      </w:r>
      <w:r w:rsidRPr="00B067C8">
        <w:rPr>
          <w:rtl/>
        </w:rPr>
        <w:t xml:space="preserve"> </w:t>
      </w:r>
      <w:r>
        <w:rPr>
          <w:rFonts w:cs="Arial" w:hint="cs"/>
          <w:sz w:val="14"/>
          <w:szCs w:val="14"/>
          <w:rtl/>
        </w:rPr>
        <w:t xml:space="preserve">(לג.) </w:t>
      </w:r>
      <w:r w:rsidRPr="00B067C8">
        <w:rPr>
          <w:rFonts w:cs="Arial"/>
          <w:rtl/>
        </w:rPr>
        <w:t xml:space="preserve">פלוני ופלוני הדיינין שבמקום פלוני. ורב ששת? אטו תנא כי רוכלא ליחשיב וליזיל? </w:t>
      </w:r>
      <w:r w:rsidRPr="00B067C8">
        <w:rPr>
          <w:rFonts w:cs="Arial"/>
          <w:u w:val="single"/>
          <w:rtl/>
        </w:rPr>
        <w:t>אמר רב נחמן</w:t>
      </w:r>
      <w:r w:rsidRPr="00B067C8">
        <w:rPr>
          <w:rFonts w:cs="Arial"/>
          <w:rtl/>
        </w:rPr>
        <w:t>: מנא אמינא לה? דתנן: הדיינים חותמין למטה</w:t>
      </w:r>
      <w:r>
        <w:rPr>
          <w:rStyle w:val="ab"/>
          <w:rFonts w:cs="Arial"/>
          <w:rtl/>
        </w:rPr>
        <w:footnoteReference w:id="156"/>
      </w:r>
      <w:r w:rsidRPr="00B067C8">
        <w:rPr>
          <w:rFonts w:cs="Arial"/>
          <w:rtl/>
        </w:rPr>
        <w:t xml:space="preserve"> או העדים</w:t>
      </w:r>
      <w:r>
        <w:rPr>
          <w:rFonts w:cs="Arial" w:hint="cs"/>
          <w:rtl/>
        </w:rPr>
        <w:t>.</w:t>
      </w:r>
      <w:r w:rsidRPr="00B067C8">
        <w:rPr>
          <w:rFonts w:cs="Arial"/>
          <w:rtl/>
        </w:rPr>
        <w:t xml:space="preserve"> מאי לאו דיינים דומיא דעדים, מה עדים שנים, אף דיינים נמי שנים. ורב ששת? מידי איריא? הא כדאיתא, והא כדאיתא. </w:t>
      </w:r>
    </w:p>
    <w:p w14:paraId="3425C40F" w14:textId="77777777" w:rsidR="004A326E" w:rsidRDefault="004A326E" w:rsidP="004A326E">
      <w:pPr>
        <w:rPr>
          <w:rFonts w:cs="Arial"/>
          <w:rtl/>
        </w:rPr>
      </w:pPr>
      <w:r w:rsidRPr="002622A5">
        <w:rPr>
          <w:rFonts w:cs="Arial" w:hint="cs"/>
          <w:u w:val="single"/>
          <w:rtl/>
        </w:rPr>
        <w:t xml:space="preserve">שניים </w:t>
      </w:r>
      <w:r>
        <w:rPr>
          <w:rFonts w:cs="Arial" w:hint="cs"/>
          <w:sz w:val="16"/>
          <w:szCs w:val="16"/>
          <w:u w:val="single"/>
          <w:rtl/>
        </w:rPr>
        <w:t xml:space="preserve">(שאינם מומחים) </w:t>
      </w:r>
      <w:r w:rsidRPr="002622A5">
        <w:rPr>
          <w:rFonts w:cs="Arial" w:hint="cs"/>
          <w:u w:val="single"/>
          <w:rtl/>
        </w:rPr>
        <w:t>שדנו</w:t>
      </w:r>
      <w:r>
        <w:rPr>
          <w:rFonts w:cs="Arial" w:hint="cs"/>
          <w:u w:val="single"/>
          <w:rtl/>
        </w:rPr>
        <w:t xml:space="preserve"> דין תורה</w:t>
      </w:r>
      <w:r w:rsidRPr="002622A5">
        <w:rPr>
          <w:rFonts w:cs="Arial" w:hint="cs"/>
          <w:u w:val="single"/>
          <w:rtl/>
        </w:rPr>
        <w:t>:</w:t>
      </w:r>
    </w:p>
    <w:p w14:paraId="27DF5109" w14:textId="77777777" w:rsidR="004A326E" w:rsidRPr="002622A5" w:rsidRDefault="00DF6058" w:rsidP="004B0475">
      <w:pPr>
        <w:pStyle w:val="ac"/>
        <w:numPr>
          <w:ilvl w:val="0"/>
          <w:numId w:val="49"/>
        </w:numPr>
        <w:rPr>
          <w:rFonts w:cs="Arial"/>
          <w:rtl/>
        </w:rPr>
      </w:pPr>
      <w:r>
        <w:rPr>
          <w:rFonts w:cs="Arial" w:hint="cs"/>
          <w:rtl/>
        </w:rPr>
        <w:t>שאילתות</w:t>
      </w:r>
      <w:r w:rsidRPr="00DF6058">
        <w:rPr>
          <w:rFonts w:cs="Arial" w:hint="cs"/>
          <w:sz w:val="16"/>
          <w:szCs w:val="16"/>
          <w:rtl/>
        </w:rPr>
        <w:t xml:space="preserve"> (משפטים סי' נח ד"ה ברם צריך)</w:t>
      </w:r>
      <w:r>
        <w:rPr>
          <w:rFonts w:cs="Arial" w:hint="cs"/>
          <w:rtl/>
        </w:rPr>
        <w:t xml:space="preserve"> ו</w:t>
      </w:r>
      <w:r w:rsidR="004A326E" w:rsidRPr="002622A5">
        <w:rPr>
          <w:rFonts w:cs="Arial"/>
          <w:rtl/>
        </w:rPr>
        <w:t xml:space="preserve">בה"ג </w:t>
      </w:r>
      <w:r w:rsidR="004A326E" w:rsidRPr="002622A5">
        <w:rPr>
          <w:rFonts w:cs="Arial"/>
          <w:sz w:val="16"/>
          <w:szCs w:val="16"/>
          <w:rtl/>
        </w:rPr>
        <w:t>(סי' נ קיג ע"ג</w:t>
      </w:r>
      <w:r w:rsidR="00546B2C">
        <w:rPr>
          <w:rFonts w:cs="Arial" w:hint="cs"/>
          <w:sz w:val="16"/>
          <w:szCs w:val="16"/>
          <w:rtl/>
        </w:rPr>
        <w:t>, הביאוהו התוס' ג. ד"ה לרבא</w:t>
      </w:r>
      <w:r w:rsidR="004A326E" w:rsidRPr="002622A5">
        <w:rPr>
          <w:rFonts w:cs="Arial"/>
          <w:sz w:val="16"/>
          <w:szCs w:val="16"/>
          <w:rtl/>
        </w:rPr>
        <w:t>)</w:t>
      </w:r>
      <w:r w:rsidR="004A326E" w:rsidRPr="002622A5">
        <w:rPr>
          <w:rFonts w:cs="Arial" w:hint="cs"/>
          <w:rtl/>
        </w:rPr>
        <w:t>-</w:t>
      </w:r>
      <w:r w:rsidR="004A326E" w:rsidRPr="002622A5">
        <w:rPr>
          <w:rFonts w:cs="Arial"/>
          <w:rtl/>
        </w:rPr>
        <w:t xml:space="preserve"> </w:t>
      </w:r>
      <w:r w:rsidR="00B067C8" w:rsidRPr="00B067C8">
        <w:rPr>
          <w:rFonts w:cs="Arial"/>
          <w:rtl/>
        </w:rPr>
        <w:t>קי</w:t>
      </w:r>
      <w:r>
        <w:rPr>
          <w:rFonts w:cs="Arial" w:hint="cs"/>
          <w:rtl/>
        </w:rPr>
        <w:t>י"</w:t>
      </w:r>
      <w:r w:rsidR="00B067C8" w:rsidRPr="00B067C8">
        <w:rPr>
          <w:rFonts w:cs="Arial"/>
          <w:rtl/>
        </w:rPr>
        <w:t>ל הילכתא כרב נחמן</w:t>
      </w:r>
      <w:r w:rsidR="00B067C8">
        <w:rPr>
          <w:rFonts w:cs="Arial" w:hint="cs"/>
          <w:sz w:val="16"/>
          <w:szCs w:val="16"/>
          <w:rtl/>
        </w:rPr>
        <w:t xml:space="preserve"> (גיטין לב</w:t>
      </w:r>
      <w:r>
        <w:rPr>
          <w:rFonts w:cs="Arial" w:hint="cs"/>
          <w:sz w:val="16"/>
          <w:szCs w:val="16"/>
          <w:rtl/>
        </w:rPr>
        <w:t>.)</w:t>
      </w:r>
      <w:r w:rsidR="00B067C8" w:rsidRPr="00B067C8">
        <w:rPr>
          <w:rFonts w:cs="Arial"/>
          <w:rtl/>
        </w:rPr>
        <w:t>, אלמא תרין נמי ב</w:t>
      </w:r>
      <w:r>
        <w:rPr>
          <w:rFonts w:cs="Arial" w:hint="cs"/>
          <w:rtl/>
        </w:rPr>
        <w:t xml:space="preserve">ית </w:t>
      </w:r>
      <w:r w:rsidR="00B067C8" w:rsidRPr="00B067C8">
        <w:rPr>
          <w:rFonts w:cs="Arial"/>
          <w:rtl/>
        </w:rPr>
        <w:t>ד</w:t>
      </w:r>
      <w:r>
        <w:rPr>
          <w:rFonts w:cs="Arial" w:hint="cs"/>
          <w:rtl/>
        </w:rPr>
        <w:t>ין</w:t>
      </w:r>
      <w:r w:rsidR="00B067C8" w:rsidRPr="00B067C8">
        <w:rPr>
          <w:rFonts w:cs="Arial"/>
          <w:rtl/>
        </w:rPr>
        <w:t xml:space="preserve"> מיקרו, למימר כשמואל</w:t>
      </w:r>
      <w:r w:rsidR="00505311">
        <w:rPr>
          <w:rFonts w:cs="Arial" w:hint="cs"/>
          <w:sz w:val="16"/>
          <w:szCs w:val="16"/>
          <w:rtl/>
        </w:rPr>
        <w:t xml:space="preserve"> (ל' בה"ג)</w:t>
      </w:r>
      <w:r w:rsidR="00505311">
        <w:rPr>
          <w:rStyle w:val="ab"/>
          <w:rFonts w:cs="Arial"/>
          <w:rtl/>
        </w:rPr>
        <w:footnoteReference w:id="157"/>
      </w:r>
      <w:r w:rsidR="004A326E" w:rsidRPr="002622A5">
        <w:rPr>
          <w:rFonts w:cs="Arial" w:hint="cs"/>
          <w:rtl/>
        </w:rPr>
        <w:t>.</w:t>
      </w:r>
      <w:r w:rsidR="004A326E" w:rsidRPr="007B2C48">
        <w:rPr>
          <w:rStyle w:val="ab"/>
          <w:rFonts w:cs="Arial"/>
          <w:rtl/>
        </w:rPr>
        <w:t xml:space="preserve"> </w:t>
      </w:r>
    </w:p>
    <w:p w14:paraId="3D349B17" w14:textId="77777777" w:rsidR="004A326E" w:rsidRPr="002622A5" w:rsidRDefault="004A326E" w:rsidP="004B0475">
      <w:pPr>
        <w:pStyle w:val="ac"/>
        <w:numPr>
          <w:ilvl w:val="0"/>
          <w:numId w:val="49"/>
        </w:numPr>
        <w:rPr>
          <w:rFonts w:cs="Arial"/>
          <w:rtl/>
        </w:rPr>
      </w:pPr>
      <w:r w:rsidRPr="002622A5">
        <w:rPr>
          <w:rFonts w:cs="Arial" w:hint="cs"/>
          <w:rtl/>
        </w:rPr>
        <w:t xml:space="preserve">רי"ף </w:t>
      </w:r>
      <w:r w:rsidRPr="002622A5">
        <w:rPr>
          <w:rFonts w:cs="Arial" w:hint="cs"/>
          <w:sz w:val="16"/>
          <w:szCs w:val="16"/>
          <w:rtl/>
        </w:rPr>
        <w:t>(</w:t>
      </w:r>
      <w:r w:rsidRPr="002622A5">
        <w:rPr>
          <w:rFonts w:cs="Arial"/>
          <w:sz w:val="16"/>
          <w:szCs w:val="16"/>
          <w:rtl/>
        </w:rPr>
        <w:t>פ</w:t>
      </w:r>
      <w:r w:rsidRPr="002622A5">
        <w:rPr>
          <w:rFonts w:cs="Arial" w:hint="cs"/>
          <w:sz w:val="16"/>
          <w:szCs w:val="16"/>
          <w:rtl/>
        </w:rPr>
        <w:t>'</w:t>
      </w:r>
      <w:r w:rsidRPr="002622A5">
        <w:rPr>
          <w:rFonts w:cs="Arial"/>
          <w:sz w:val="16"/>
          <w:szCs w:val="16"/>
          <w:rtl/>
        </w:rPr>
        <w:t xml:space="preserve"> אחד דיני ממונות יב:)</w:t>
      </w:r>
      <w:r w:rsidRPr="002622A5">
        <w:rPr>
          <w:rFonts w:cs="Arial" w:hint="cs"/>
          <w:rtl/>
        </w:rPr>
        <w:t xml:space="preserve"> </w:t>
      </w:r>
      <w:r w:rsidRPr="004D1C9D">
        <w:rPr>
          <w:rFonts w:cs="Arial"/>
          <w:rtl/>
        </w:rPr>
        <w:t xml:space="preserve">רמב"ם </w:t>
      </w:r>
      <w:r w:rsidRPr="007B2C48">
        <w:rPr>
          <w:rFonts w:cs="Arial" w:hint="cs"/>
          <w:sz w:val="16"/>
          <w:szCs w:val="16"/>
          <w:rtl/>
        </w:rPr>
        <w:t>(</w:t>
      </w:r>
      <w:r w:rsidRPr="007B2C48">
        <w:rPr>
          <w:rFonts w:cs="Arial"/>
          <w:sz w:val="16"/>
          <w:szCs w:val="16"/>
          <w:rtl/>
        </w:rPr>
        <w:t xml:space="preserve">סנהדרין פ"ב ה"י) </w:t>
      </w:r>
      <w:r w:rsidRPr="002622A5">
        <w:rPr>
          <w:rFonts w:cs="Arial" w:hint="cs"/>
          <w:rtl/>
        </w:rPr>
        <w:t>רא"ש</w:t>
      </w:r>
      <w:r>
        <w:rPr>
          <w:rFonts w:cs="Arial" w:hint="cs"/>
          <w:sz w:val="16"/>
          <w:szCs w:val="16"/>
          <w:rtl/>
        </w:rPr>
        <w:t xml:space="preserve"> </w:t>
      </w:r>
      <w:r w:rsidRPr="004D1C9D">
        <w:rPr>
          <w:rFonts w:cs="Arial"/>
          <w:sz w:val="16"/>
          <w:szCs w:val="16"/>
          <w:rtl/>
        </w:rPr>
        <w:t>(סי' ג)</w:t>
      </w:r>
      <w:r>
        <w:rPr>
          <w:rFonts w:cs="Arial" w:hint="cs"/>
          <w:rtl/>
        </w:rPr>
        <w:t xml:space="preserve"> וטור</w:t>
      </w:r>
      <w:r w:rsidRPr="002622A5">
        <w:rPr>
          <w:rFonts w:cs="Arial" w:hint="cs"/>
          <w:rtl/>
        </w:rPr>
        <w:t>-</w:t>
      </w:r>
      <w:r w:rsidRPr="002622A5">
        <w:rPr>
          <w:rFonts w:cs="Arial"/>
          <w:rtl/>
        </w:rPr>
        <w:t xml:space="preserve"> שנים שדנו היכא דלא קבלו עלייהו </w:t>
      </w:r>
      <w:r w:rsidR="00546B2C">
        <w:rPr>
          <w:rFonts w:cs="Arial" w:hint="cs"/>
          <w:rtl/>
        </w:rPr>
        <w:t xml:space="preserve">- </w:t>
      </w:r>
      <w:r w:rsidRPr="002622A5">
        <w:rPr>
          <w:rFonts w:cs="Arial"/>
          <w:rtl/>
        </w:rPr>
        <w:t>אין דיניהם דין</w:t>
      </w:r>
      <w:r>
        <w:rPr>
          <w:rStyle w:val="ab"/>
          <w:rFonts w:cs="Arial"/>
          <w:rtl/>
        </w:rPr>
        <w:footnoteReference w:id="158"/>
      </w:r>
      <w:r>
        <w:rPr>
          <w:rFonts w:cs="Arial" w:hint="cs"/>
          <w:rtl/>
        </w:rPr>
        <w:t>,</w:t>
      </w:r>
      <w:r w:rsidRPr="002622A5">
        <w:rPr>
          <w:rFonts w:cs="Arial"/>
          <w:rtl/>
        </w:rPr>
        <w:t xml:space="preserve"> ואפילו לא טעו</w:t>
      </w:r>
      <w:r w:rsidR="00546B2C">
        <w:rPr>
          <w:rFonts w:cs="Arial" w:hint="cs"/>
          <w:rtl/>
        </w:rPr>
        <w:t>.</w:t>
      </w:r>
      <w:r w:rsidRPr="002622A5">
        <w:rPr>
          <w:rFonts w:cs="Arial"/>
          <w:rtl/>
        </w:rPr>
        <w:t xml:space="preserve"> ואי מודי קמייהו </w:t>
      </w:r>
      <w:r w:rsidR="00546B2C">
        <w:rPr>
          <w:rFonts w:cs="Arial" w:hint="cs"/>
          <w:rtl/>
        </w:rPr>
        <w:t xml:space="preserve">- </w:t>
      </w:r>
      <w:r w:rsidRPr="002622A5">
        <w:rPr>
          <w:rFonts w:cs="Arial"/>
          <w:rtl/>
        </w:rPr>
        <w:t>כמאן דמודי חוץ לבית דין</w:t>
      </w:r>
      <w:r w:rsidR="00546B2C">
        <w:rPr>
          <w:rFonts w:cs="Arial" w:hint="cs"/>
          <w:rtl/>
        </w:rPr>
        <w:t>.</w:t>
      </w:r>
      <w:r w:rsidRPr="002622A5">
        <w:rPr>
          <w:rFonts w:cs="Arial"/>
          <w:rtl/>
        </w:rPr>
        <w:t xml:space="preserve"> ואי לא אמר אתם עדי </w:t>
      </w:r>
      <w:r w:rsidR="00546B2C">
        <w:rPr>
          <w:rFonts w:cs="Arial" w:hint="cs"/>
          <w:rtl/>
        </w:rPr>
        <w:t xml:space="preserve">- </w:t>
      </w:r>
      <w:r w:rsidRPr="002622A5">
        <w:rPr>
          <w:rFonts w:cs="Arial"/>
          <w:rtl/>
        </w:rPr>
        <w:t>לאו הודאה היא</w:t>
      </w:r>
      <w:r w:rsidR="00546B2C">
        <w:rPr>
          <w:rFonts w:cs="Arial" w:hint="cs"/>
          <w:rtl/>
        </w:rPr>
        <w:t>.</w:t>
      </w:r>
      <w:r w:rsidRPr="002622A5">
        <w:rPr>
          <w:rFonts w:cs="Arial"/>
          <w:rtl/>
        </w:rPr>
        <w:t xml:space="preserve"> וגם מצו לחלופינהו לטענתייהו לטעון טענות אחרות</w:t>
      </w:r>
      <w:r w:rsidRPr="002622A5">
        <w:rPr>
          <w:rFonts w:cs="Arial" w:hint="cs"/>
          <w:sz w:val="16"/>
          <w:szCs w:val="16"/>
          <w:rtl/>
        </w:rPr>
        <w:t xml:space="preserve"> (ל' הרא"ש)</w:t>
      </w:r>
      <w:r w:rsidRPr="002622A5">
        <w:rPr>
          <w:rFonts w:cs="Arial" w:hint="cs"/>
          <w:rtl/>
        </w:rPr>
        <w:t>.</w:t>
      </w:r>
      <w:r w:rsidRPr="002622A5">
        <w:rPr>
          <w:rFonts w:cs="Arial"/>
          <w:rtl/>
        </w:rPr>
        <w:t xml:space="preserve"> </w:t>
      </w:r>
      <w:r w:rsidRPr="005D6379">
        <w:rPr>
          <w:rFonts w:cs="Arial" w:hint="cs"/>
          <w:color w:val="E36C0A" w:themeColor="accent6" w:themeShade="BF"/>
          <w:rtl/>
        </w:rPr>
        <w:t>(וכ"פ בשו"ע)</w:t>
      </w:r>
      <w:r w:rsidRPr="005D6379">
        <w:rPr>
          <w:rFonts w:hint="cs"/>
          <w:color w:val="00B0F0"/>
          <w:rtl/>
        </w:rPr>
        <w:t xml:space="preserve"> </w:t>
      </w:r>
      <w:r w:rsidRPr="00890D25">
        <w:rPr>
          <w:rFonts w:hint="cs"/>
          <w:color w:val="00B0F0"/>
          <w:rtl/>
        </w:rPr>
        <w:t>(וכ"</w:t>
      </w:r>
      <w:r>
        <w:rPr>
          <w:rFonts w:hint="cs"/>
          <w:color w:val="00B0F0"/>
          <w:rtl/>
        </w:rPr>
        <w:t>ס</w:t>
      </w:r>
      <w:r w:rsidRPr="00890D25">
        <w:rPr>
          <w:rFonts w:hint="cs"/>
          <w:color w:val="00B0F0"/>
          <w:rtl/>
        </w:rPr>
        <w:t xml:space="preserve"> הרמ"א)</w:t>
      </w:r>
    </w:p>
    <w:p w14:paraId="262E8C83" w14:textId="77777777" w:rsidR="004A326E" w:rsidRDefault="004A326E" w:rsidP="004A326E">
      <w:pPr>
        <w:rPr>
          <w:rtl/>
        </w:rPr>
      </w:pPr>
      <w:r w:rsidRPr="004D1C9D">
        <w:rPr>
          <w:rFonts w:cs="Arial" w:hint="cs"/>
          <w:b/>
          <w:bCs/>
          <w:rtl/>
        </w:rPr>
        <w:t xml:space="preserve">סנהדרין </w:t>
      </w:r>
      <w:r w:rsidRPr="004D1C9D">
        <w:rPr>
          <w:rFonts w:cs="Arial" w:hint="cs"/>
          <w:b/>
          <w:bCs/>
          <w:sz w:val="16"/>
          <w:szCs w:val="16"/>
          <w:rtl/>
        </w:rPr>
        <w:t xml:space="preserve">(פ"ק) </w:t>
      </w:r>
      <w:r w:rsidRPr="004D1C9D">
        <w:rPr>
          <w:rFonts w:cs="Arial" w:hint="cs"/>
          <w:b/>
          <w:bCs/>
          <w:rtl/>
        </w:rPr>
        <w:t xml:space="preserve">ד סוע"ב: </w:t>
      </w:r>
      <w:r w:rsidRPr="004D1C9D">
        <w:rPr>
          <w:rFonts w:cs="Arial"/>
          <w:rtl/>
        </w:rPr>
        <w:t xml:space="preserve">תנו רבנן: דיני ממונות בשלשה, </w:t>
      </w:r>
      <w:r w:rsidR="000C2E76">
        <w:rPr>
          <w:rFonts w:cs="Arial" w:hint="cs"/>
          <w:sz w:val="14"/>
          <w:szCs w:val="14"/>
          <w:rtl/>
        </w:rPr>
        <w:t xml:space="preserve">(ה.) </w:t>
      </w:r>
      <w:r w:rsidRPr="004D1C9D">
        <w:rPr>
          <w:rFonts w:cs="Arial"/>
          <w:rtl/>
        </w:rPr>
        <w:t>ואם היה מומחה לרבים - דן אפילו יחידי</w:t>
      </w:r>
      <w:r>
        <w:rPr>
          <w:rStyle w:val="ab"/>
          <w:rFonts w:cs="Arial"/>
          <w:rtl/>
        </w:rPr>
        <w:footnoteReference w:id="159"/>
      </w:r>
      <w:r w:rsidRPr="004D1C9D">
        <w:rPr>
          <w:rFonts w:cs="Arial"/>
          <w:rtl/>
        </w:rPr>
        <w:t xml:space="preserve">. </w:t>
      </w:r>
      <w:r w:rsidRPr="004D1C9D">
        <w:rPr>
          <w:rFonts w:cs="Arial"/>
          <w:u w:val="single"/>
          <w:rtl/>
        </w:rPr>
        <w:t>אמר רב נחמן</w:t>
      </w:r>
      <w:r w:rsidRPr="004D1C9D">
        <w:rPr>
          <w:rFonts w:cs="Arial"/>
          <w:rtl/>
        </w:rPr>
        <w:t xml:space="preserve">: כגון אנא דן דיני ממונות ביחידי. </w:t>
      </w:r>
      <w:r w:rsidRPr="004D1C9D">
        <w:rPr>
          <w:rFonts w:cs="Arial"/>
          <w:u w:val="single"/>
          <w:rtl/>
        </w:rPr>
        <w:t>וכן אמר רבי חייא</w:t>
      </w:r>
      <w:r w:rsidRPr="004D1C9D">
        <w:rPr>
          <w:rFonts w:cs="Arial"/>
          <w:rtl/>
        </w:rPr>
        <w:t xml:space="preserve">: כגון אנא דן דיני ממונות ביחידי. איבעיא להו: כגון אנא - דגמירנא וסבירנא, ונקיטנא רשותא. אבל לא נקיט רשותא - דיניה לא דינא. או דילמא: אף על גב דלא נקיט רשותא דיניה דינא? </w:t>
      </w:r>
      <w:r w:rsidRPr="004D1C9D">
        <w:rPr>
          <w:rFonts w:cs="Arial"/>
          <w:rtl/>
        </w:rPr>
        <w:lastRenderedPageBreak/>
        <w:t>תא שמע: דמר זוטרא בריה דרב נחמן דן דינא</w:t>
      </w:r>
      <w:r w:rsidR="00F76843">
        <w:rPr>
          <w:rStyle w:val="ab"/>
          <w:rFonts w:cs="Arial"/>
          <w:rtl/>
        </w:rPr>
        <w:footnoteReference w:id="160"/>
      </w:r>
      <w:r w:rsidRPr="004D1C9D">
        <w:rPr>
          <w:rFonts w:cs="Arial"/>
          <w:rtl/>
        </w:rPr>
        <w:t xml:space="preserve"> וטעה, אתא לקמיה דרב יוסף, אמר לו: אם קיבלוך עלייהו</w:t>
      </w:r>
      <w:r w:rsidR="00A20AB8">
        <w:rPr>
          <w:rStyle w:val="ab"/>
          <w:rFonts w:cs="Arial"/>
          <w:rtl/>
        </w:rPr>
        <w:footnoteReference w:id="161"/>
      </w:r>
      <w:r w:rsidRPr="004D1C9D">
        <w:rPr>
          <w:rFonts w:cs="Arial"/>
          <w:rtl/>
        </w:rPr>
        <w:t xml:space="preserve"> - לא תשלם, ואי לא</w:t>
      </w:r>
      <w:r w:rsidR="00A20AB8">
        <w:rPr>
          <w:rStyle w:val="ab"/>
          <w:rFonts w:cs="Arial"/>
          <w:rtl/>
        </w:rPr>
        <w:footnoteReference w:id="162"/>
      </w:r>
      <w:r w:rsidRPr="004D1C9D">
        <w:rPr>
          <w:rFonts w:cs="Arial"/>
          <w:rtl/>
        </w:rPr>
        <w:t xml:space="preserve"> - זיל שלים. שמע מינה: כי לא נקיט רשותא - דיניה דינא, שמע מינה.</w:t>
      </w:r>
    </w:p>
    <w:p w14:paraId="62D1382F" w14:textId="77777777" w:rsidR="004A326E" w:rsidRPr="00B605C2" w:rsidRDefault="00A20AB8" w:rsidP="004A326E">
      <w:pPr>
        <w:rPr>
          <w:u w:val="single"/>
          <w:rtl/>
        </w:rPr>
      </w:pPr>
      <w:r>
        <w:rPr>
          <w:rFonts w:hint="cs"/>
          <w:u w:val="single"/>
          <w:rtl/>
        </w:rPr>
        <w:t>דיין מומחה</w:t>
      </w:r>
      <w:r w:rsidR="00FB05D9">
        <w:rPr>
          <w:rFonts w:hint="cs"/>
          <w:u w:val="single"/>
          <w:rtl/>
        </w:rPr>
        <w:t xml:space="preserve"> </w:t>
      </w:r>
      <w:r>
        <w:rPr>
          <w:rFonts w:hint="cs"/>
          <w:u w:val="single"/>
          <w:rtl/>
        </w:rPr>
        <w:t xml:space="preserve">שדן יחידי, או שאינו מומחה אבל </w:t>
      </w:r>
      <w:r w:rsidR="004A326E" w:rsidRPr="00B605C2">
        <w:rPr>
          <w:rFonts w:hint="cs"/>
          <w:u w:val="single"/>
          <w:rtl/>
        </w:rPr>
        <w:t>קיבלוהו עלי</w:t>
      </w:r>
      <w:r>
        <w:rPr>
          <w:rFonts w:hint="cs"/>
          <w:u w:val="single"/>
          <w:rtl/>
        </w:rPr>
        <w:t>י</w:t>
      </w:r>
      <w:r w:rsidR="004A326E" w:rsidRPr="00B605C2">
        <w:rPr>
          <w:rFonts w:hint="cs"/>
          <w:u w:val="single"/>
          <w:rtl/>
        </w:rPr>
        <w:t>ה</w:t>
      </w:r>
      <w:r>
        <w:rPr>
          <w:rFonts w:hint="cs"/>
          <w:u w:val="single"/>
          <w:rtl/>
        </w:rPr>
        <w:t>ו</w:t>
      </w:r>
      <w:r w:rsidR="004A326E" w:rsidRPr="00B605C2">
        <w:rPr>
          <w:rFonts w:hint="cs"/>
          <w:u w:val="single"/>
          <w:rtl/>
        </w:rPr>
        <w:t>:</w:t>
      </w:r>
    </w:p>
    <w:p w14:paraId="0F653E91" w14:textId="77777777" w:rsidR="004A326E" w:rsidRPr="00E66E3B" w:rsidRDefault="001F338A" w:rsidP="004B0475">
      <w:pPr>
        <w:pStyle w:val="ac"/>
        <w:numPr>
          <w:ilvl w:val="0"/>
          <w:numId w:val="50"/>
        </w:numPr>
      </w:pPr>
      <w:r>
        <w:rPr>
          <w:rFonts w:cs="Arial" w:hint="cs"/>
          <w:rtl/>
        </w:rPr>
        <w:t xml:space="preserve">רשב"א </w:t>
      </w:r>
      <w:r>
        <w:rPr>
          <w:rFonts w:cs="Arial" w:hint="cs"/>
          <w:sz w:val="16"/>
          <w:szCs w:val="16"/>
          <w:rtl/>
        </w:rPr>
        <w:t xml:space="preserve">(ח"ב סי' שעב ד"ה תשובה כבר) </w:t>
      </w:r>
      <w:r w:rsidR="004A326E">
        <w:rPr>
          <w:rFonts w:cs="Arial" w:hint="cs"/>
          <w:rtl/>
        </w:rPr>
        <w:t xml:space="preserve">רא"ש </w:t>
      </w:r>
      <w:r w:rsidR="00FB05D9">
        <w:rPr>
          <w:rFonts w:cs="Arial" w:hint="cs"/>
          <w:sz w:val="16"/>
          <w:szCs w:val="16"/>
          <w:rtl/>
        </w:rPr>
        <w:t>(פ"א סי' ב)</w:t>
      </w:r>
      <w:r w:rsidR="00FB05D9">
        <w:rPr>
          <w:rFonts w:cs="Arial" w:hint="cs"/>
          <w:rtl/>
        </w:rPr>
        <w:t xml:space="preserve"> </w:t>
      </w:r>
      <w:r w:rsidR="004A326E">
        <w:rPr>
          <w:rFonts w:cs="Arial" w:hint="cs"/>
          <w:rtl/>
        </w:rPr>
        <w:t>וטור</w:t>
      </w:r>
      <w:r w:rsidR="004A326E" w:rsidRPr="00B605C2">
        <w:rPr>
          <w:rFonts w:cs="Arial" w:hint="cs"/>
          <w:rtl/>
        </w:rPr>
        <w:t>-</w:t>
      </w:r>
      <w:r w:rsidR="004A326E">
        <w:rPr>
          <w:rFonts w:cs="Arial" w:hint="cs"/>
          <w:rtl/>
        </w:rPr>
        <w:t xml:space="preserve"> </w:t>
      </w:r>
      <w:r w:rsidR="004A326E" w:rsidRPr="008F480F">
        <w:rPr>
          <w:rFonts w:cs="Arial"/>
          <w:rtl/>
        </w:rPr>
        <w:t xml:space="preserve">בד"א </w:t>
      </w:r>
      <w:r w:rsidR="00A20AB8">
        <w:rPr>
          <w:rFonts w:cs="Arial" w:hint="cs"/>
          <w:sz w:val="16"/>
          <w:szCs w:val="16"/>
          <w:rtl/>
        </w:rPr>
        <w:t xml:space="preserve">{שפחות מג' אין דיניהם דין} </w:t>
      </w:r>
      <w:r w:rsidR="004A326E" w:rsidRPr="008F480F">
        <w:rPr>
          <w:rFonts w:cs="Arial"/>
          <w:rtl/>
        </w:rPr>
        <w:t>כשאינם מומחין ולא קבלום עליהם</w:t>
      </w:r>
      <w:r w:rsidR="00FB05D9">
        <w:rPr>
          <w:rFonts w:cs="Arial" w:hint="cs"/>
          <w:rtl/>
        </w:rPr>
        <w:t>,</w:t>
      </w:r>
      <w:r w:rsidR="004A326E" w:rsidRPr="008F480F">
        <w:rPr>
          <w:rFonts w:cs="Arial"/>
          <w:rtl/>
        </w:rPr>
        <w:t xml:space="preserve"> אבל אם קבלום עליהם או אפילו לא קבלום עליהם והם מומחין אפילו יחיד ולא נקיט רשותא מריש גלותא </w:t>
      </w:r>
      <w:r w:rsidR="00C00880">
        <w:rPr>
          <w:rFonts w:cs="Arial" w:hint="cs"/>
          <w:rtl/>
        </w:rPr>
        <w:t xml:space="preserve">- </w:t>
      </w:r>
      <w:r w:rsidR="004A326E" w:rsidRPr="008F480F">
        <w:rPr>
          <w:rFonts w:cs="Arial"/>
          <w:rtl/>
        </w:rPr>
        <w:t>דיניו דין ויכול לכוף האדם לדון לפניו בע</w:t>
      </w:r>
      <w:r w:rsidR="004A326E" w:rsidRPr="008F480F">
        <w:rPr>
          <w:rFonts w:cs="Arial" w:hint="cs"/>
          <w:rtl/>
        </w:rPr>
        <w:t xml:space="preserve">ל </w:t>
      </w:r>
      <w:r w:rsidR="004A326E" w:rsidRPr="008F480F">
        <w:rPr>
          <w:rFonts w:cs="Arial"/>
          <w:rtl/>
        </w:rPr>
        <w:t>כ</w:t>
      </w:r>
      <w:r w:rsidR="004A326E" w:rsidRPr="008F480F">
        <w:rPr>
          <w:rFonts w:cs="Arial" w:hint="cs"/>
          <w:rtl/>
        </w:rPr>
        <w:t>ורחו</w:t>
      </w:r>
      <w:r w:rsidR="0032386E">
        <w:rPr>
          <w:rStyle w:val="ab"/>
          <w:rFonts w:cs="Arial"/>
          <w:rtl/>
        </w:rPr>
        <w:footnoteReference w:id="163"/>
      </w:r>
      <w:r w:rsidR="004A326E">
        <w:rPr>
          <w:rFonts w:hint="cs"/>
          <w:sz w:val="16"/>
          <w:szCs w:val="16"/>
          <w:rtl/>
        </w:rPr>
        <w:t xml:space="preserve"> (ל' הטור</w:t>
      </w:r>
      <w:r w:rsidR="008F7130">
        <w:rPr>
          <w:rFonts w:hint="cs"/>
          <w:sz w:val="16"/>
          <w:szCs w:val="16"/>
          <w:rtl/>
        </w:rPr>
        <w:t>)</w:t>
      </w:r>
      <w:r w:rsidR="0032386E">
        <w:rPr>
          <w:rStyle w:val="ab"/>
          <w:rFonts w:cs="Arial"/>
          <w:rtl/>
        </w:rPr>
        <w:footnoteReference w:id="164"/>
      </w:r>
      <w:r w:rsidR="004A326E">
        <w:rPr>
          <w:rFonts w:hint="cs"/>
          <w:rtl/>
        </w:rPr>
        <w:t>.</w:t>
      </w:r>
      <w:r w:rsidR="0032386E" w:rsidRPr="0032386E">
        <w:rPr>
          <w:rStyle w:val="ab"/>
          <w:rFonts w:cs="Arial"/>
          <w:rtl/>
        </w:rPr>
        <w:t xml:space="preserve"> </w:t>
      </w:r>
      <w:r w:rsidR="00D24E5D" w:rsidRPr="005D6379">
        <w:rPr>
          <w:rFonts w:cs="Arial" w:hint="cs"/>
          <w:color w:val="E36C0A" w:themeColor="accent6" w:themeShade="BF"/>
          <w:rtl/>
        </w:rPr>
        <w:t>(וכ"</w:t>
      </w:r>
      <w:r w:rsidR="00D24E5D">
        <w:rPr>
          <w:rFonts w:cs="Arial" w:hint="cs"/>
          <w:color w:val="E36C0A" w:themeColor="accent6" w:themeShade="BF"/>
          <w:rtl/>
        </w:rPr>
        <w:t>ס</w:t>
      </w:r>
      <w:r w:rsidR="00D24E5D" w:rsidRPr="005D6379">
        <w:rPr>
          <w:rFonts w:cs="Arial" w:hint="cs"/>
          <w:color w:val="E36C0A" w:themeColor="accent6" w:themeShade="BF"/>
          <w:rtl/>
        </w:rPr>
        <w:t xml:space="preserve"> בשו"ע)</w:t>
      </w:r>
    </w:p>
    <w:p w14:paraId="3A1DEBD6" w14:textId="77777777" w:rsidR="004A326E" w:rsidRPr="008F480F" w:rsidRDefault="004A326E" w:rsidP="004A326E">
      <w:pPr>
        <w:rPr>
          <w:u w:val="single"/>
        </w:rPr>
      </w:pPr>
      <w:r>
        <w:rPr>
          <w:rFonts w:hint="cs"/>
          <w:u w:val="single"/>
          <w:rtl/>
        </w:rPr>
        <w:t xml:space="preserve">מי נחשב </w:t>
      </w:r>
      <w:r w:rsidRPr="008F480F">
        <w:rPr>
          <w:rFonts w:hint="cs"/>
          <w:u w:val="single"/>
          <w:rtl/>
        </w:rPr>
        <w:t>מומחה:</w:t>
      </w:r>
    </w:p>
    <w:p w14:paraId="28ED3C32" w14:textId="77777777" w:rsidR="004A326E" w:rsidRDefault="004A326E" w:rsidP="004B0475">
      <w:pPr>
        <w:pStyle w:val="ac"/>
        <w:numPr>
          <w:ilvl w:val="0"/>
          <w:numId w:val="50"/>
        </w:numPr>
      </w:pPr>
      <w:r>
        <w:rPr>
          <w:rFonts w:hint="cs"/>
          <w:rtl/>
        </w:rPr>
        <w:t xml:space="preserve">רא"ש </w:t>
      </w:r>
      <w:r>
        <w:rPr>
          <w:rFonts w:hint="cs"/>
          <w:sz w:val="16"/>
          <w:szCs w:val="16"/>
          <w:rtl/>
        </w:rPr>
        <w:t xml:space="preserve">(ריש סנהדרין סי' ב) </w:t>
      </w:r>
      <w:r>
        <w:rPr>
          <w:rFonts w:hint="cs"/>
          <w:rtl/>
        </w:rPr>
        <w:t xml:space="preserve">וטור- </w:t>
      </w:r>
      <w:r w:rsidRPr="004C0B27">
        <w:rPr>
          <w:rFonts w:cs="Arial"/>
          <w:rtl/>
        </w:rPr>
        <w:t>הכי שדר רב שרירא גאון ז"ל יחיד מומחה דחשיב כרב נחמן בדורו דפקיע</w:t>
      </w:r>
      <w:r>
        <w:rPr>
          <w:rStyle w:val="ab"/>
          <w:rFonts w:cs="Arial"/>
          <w:rtl/>
        </w:rPr>
        <w:footnoteReference w:id="165"/>
      </w:r>
      <w:r w:rsidRPr="004C0B27">
        <w:rPr>
          <w:rFonts w:cs="Arial"/>
          <w:rtl/>
        </w:rPr>
        <w:t xml:space="preserve"> במשנה ובגמרא ופקיע נמי בשיקול הדעת ומעיין בדיני כמה שני ומנסו ליה זמנין סגיאין ולא חזו ליה טעותא </w:t>
      </w:r>
      <w:r w:rsidR="00EC1138">
        <w:rPr>
          <w:rFonts w:cs="Arial" w:hint="cs"/>
          <w:rtl/>
        </w:rPr>
        <w:t xml:space="preserve">- </w:t>
      </w:r>
      <w:r w:rsidRPr="004C0B27">
        <w:rPr>
          <w:rFonts w:cs="Arial"/>
          <w:rtl/>
        </w:rPr>
        <w:t xml:space="preserve">כגון האי הוי מומחה לרבים. ועיקר לשון מומחה </w:t>
      </w:r>
      <w:r w:rsidR="0032386E">
        <w:rPr>
          <w:rFonts w:cs="Arial" w:hint="cs"/>
          <w:rtl/>
        </w:rPr>
        <w:t xml:space="preserve">- </w:t>
      </w:r>
      <w:r w:rsidRPr="004C0B27">
        <w:rPr>
          <w:rFonts w:cs="Arial"/>
          <w:rtl/>
        </w:rPr>
        <w:t>מנוסה</w:t>
      </w:r>
      <w:r>
        <w:rPr>
          <w:rFonts w:cs="Arial" w:hint="cs"/>
          <w:rtl/>
        </w:rPr>
        <w:t>,</w:t>
      </w:r>
      <w:r w:rsidRPr="004C0B27">
        <w:rPr>
          <w:rFonts w:cs="Arial"/>
          <w:rtl/>
        </w:rPr>
        <w:t xml:space="preserve"> כדתניא </w:t>
      </w:r>
      <w:r w:rsidRPr="004C0B27">
        <w:rPr>
          <w:rFonts w:cs="Arial"/>
          <w:sz w:val="16"/>
          <w:szCs w:val="16"/>
          <w:rtl/>
        </w:rPr>
        <w:t>(שבת</w:t>
      </w:r>
      <w:r>
        <w:rPr>
          <w:rFonts w:cs="Arial" w:hint="cs"/>
          <w:sz w:val="16"/>
          <w:szCs w:val="16"/>
          <w:rtl/>
        </w:rPr>
        <w:t xml:space="preserve"> </w:t>
      </w:r>
      <w:r w:rsidRPr="004C0B27">
        <w:rPr>
          <w:rFonts w:cs="Arial"/>
          <w:sz w:val="16"/>
          <w:szCs w:val="16"/>
          <w:rtl/>
        </w:rPr>
        <w:t>ס</w:t>
      </w:r>
      <w:r>
        <w:rPr>
          <w:rFonts w:cs="Arial" w:hint="cs"/>
          <w:sz w:val="16"/>
          <w:szCs w:val="16"/>
          <w:rtl/>
        </w:rPr>
        <w:t>.</w:t>
      </w:r>
      <w:r w:rsidRPr="004C0B27">
        <w:rPr>
          <w:rFonts w:cs="Arial"/>
          <w:sz w:val="16"/>
          <w:szCs w:val="16"/>
          <w:rtl/>
        </w:rPr>
        <w:t xml:space="preserve">) </w:t>
      </w:r>
      <w:r w:rsidRPr="004C0B27">
        <w:rPr>
          <w:rFonts w:cs="Arial"/>
          <w:rtl/>
        </w:rPr>
        <w:t>יוצאין בקמיע מומחה</w:t>
      </w:r>
      <w:r w:rsidR="0032386E">
        <w:rPr>
          <w:rFonts w:cs="Arial" w:hint="cs"/>
          <w:rtl/>
        </w:rPr>
        <w:t>,</w:t>
      </w:r>
      <w:r w:rsidRPr="004C0B27">
        <w:rPr>
          <w:rFonts w:cs="Arial"/>
          <w:rtl/>
        </w:rPr>
        <w:t xml:space="preserve"> ומפרש בגמרא היינו דאיתמחי קמיע. לכך בעינן דיין מומחה שמנוסה לרבים.</w:t>
      </w:r>
    </w:p>
    <w:p w14:paraId="302B20A2" w14:textId="77777777" w:rsidR="004A326E" w:rsidRPr="00890D25" w:rsidRDefault="004A326E" w:rsidP="004A326E">
      <w:pPr>
        <w:ind w:left="360"/>
        <w:rPr>
          <w:u w:val="dotted"/>
        </w:rPr>
      </w:pPr>
      <w:r w:rsidRPr="00890D25">
        <w:rPr>
          <w:rFonts w:hint="cs"/>
          <w:u w:val="dotted"/>
          <w:rtl/>
        </w:rPr>
        <w:t>האם יש מומחה לעניין זה בזמנינו:</w:t>
      </w:r>
    </w:p>
    <w:p w14:paraId="018FB1DC" w14:textId="77777777" w:rsidR="004A326E" w:rsidRDefault="004A326E" w:rsidP="004B0475">
      <w:pPr>
        <w:pStyle w:val="ac"/>
        <w:numPr>
          <w:ilvl w:val="0"/>
          <w:numId w:val="50"/>
        </w:numPr>
        <w:rPr>
          <w:rtl/>
        </w:rPr>
      </w:pPr>
      <w:r w:rsidRPr="00607E27">
        <w:rPr>
          <w:rFonts w:cs="Arial"/>
          <w:rtl/>
        </w:rPr>
        <w:t>מהר</w:t>
      </w:r>
      <w:r>
        <w:rPr>
          <w:rFonts w:cs="Arial" w:hint="cs"/>
          <w:rtl/>
        </w:rPr>
        <w:t>י"ו</w:t>
      </w:r>
      <w:r w:rsidRPr="00607E27">
        <w:rPr>
          <w:rFonts w:cs="Arial"/>
          <w:rtl/>
        </w:rPr>
        <w:t xml:space="preserve"> </w:t>
      </w:r>
      <w:r w:rsidRPr="00890D25">
        <w:rPr>
          <w:rFonts w:cs="Arial" w:hint="cs"/>
          <w:sz w:val="16"/>
          <w:szCs w:val="16"/>
          <w:rtl/>
        </w:rPr>
        <w:t>(סי'</w:t>
      </w:r>
      <w:r w:rsidRPr="00890D25">
        <w:rPr>
          <w:rFonts w:cs="Arial"/>
          <w:sz w:val="16"/>
          <w:szCs w:val="16"/>
          <w:rtl/>
        </w:rPr>
        <w:t xml:space="preserve"> קמו</w:t>
      </w:r>
      <w:r w:rsidRPr="00890D25">
        <w:rPr>
          <w:rFonts w:cs="Arial" w:hint="cs"/>
          <w:sz w:val="16"/>
          <w:szCs w:val="16"/>
          <w:rtl/>
        </w:rPr>
        <w:t xml:space="preserve">, הביאו הדרכ"מ </w:t>
      </w:r>
      <w:r>
        <w:rPr>
          <w:rFonts w:cs="Arial" w:hint="cs"/>
          <w:sz w:val="16"/>
          <w:szCs w:val="16"/>
          <w:rtl/>
        </w:rPr>
        <w:t>[</w:t>
      </w:r>
      <w:r w:rsidRPr="00890D25">
        <w:rPr>
          <w:rFonts w:cs="Arial" w:hint="cs"/>
          <w:sz w:val="16"/>
          <w:szCs w:val="16"/>
          <w:rtl/>
        </w:rPr>
        <w:t>אות ג</w:t>
      </w:r>
      <w:r>
        <w:rPr>
          <w:rFonts w:cs="Arial" w:hint="cs"/>
          <w:sz w:val="16"/>
          <w:szCs w:val="16"/>
          <w:rtl/>
        </w:rPr>
        <w:t>]</w:t>
      </w:r>
      <w:r w:rsidRPr="00890D25">
        <w:rPr>
          <w:rFonts w:cs="Arial" w:hint="cs"/>
          <w:sz w:val="16"/>
          <w:szCs w:val="16"/>
          <w:rtl/>
        </w:rPr>
        <w:t>)</w:t>
      </w:r>
      <w:r>
        <w:rPr>
          <w:rFonts w:cs="Arial" w:hint="cs"/>
          <w:rtl/>
        </w:rPr>
        <w:t>-</w:t>
      </w:r>
      <w:r w:rsidRPr="00607E27">
        <w:rPr>
          <w:rFonts w:cs="Arial"/>
          <w:rtl/>
        </w:rPr>
        <w:t xml:space="preserve"> לא אשכחן שום למדן בזמן הזה מומחה לרבים שידון האדם בעל כרחו</w:t>
      </w:r>
      <w:r w:rsidR="0032386E">
        <w:rPr>
          <w:rFonts w:cs="Arial" w:hint="cs"/>
          <w:rtl/>
        </w:rPr>
        <w:t>,</w:t>
      </w:r>
      <w:r w:rsidRPr="00607E27">
        <w:rPr>
          <w:rFonts w:cs="Arial"/>
          <w:rtl/>
        </w:rPr>
        <w:t xml:space="preserve"> כי כבר נתבטלו דיני תלמיד חכם כו</w:t>
      </w:r>
      <w:r>
        <w:rPr>
          <w:rFonts w:cs="Arial" w:hint="cs"/>
          <w:rtl/>
        </w:rPr>
        <w:t>'.</w:t>
      </w:r>
      <w:r>
        <w:rPr>
          <w:rFonts w:hint="cs"/>
          <w:rtl/>
        </w:rPr>
        <w:t xml:space="preserve"> </w:t>
      </w:r>
      <w:r w:rsidRPr="00890D25">
        <w:rPr>
          <w:rFonts w:hint="cs"/>
          <w:color w:val="00B0F0"/>
          <w:rtl/>
        </w:rPr>
        <w:t>(וכ"פ הרמ"א)</w:t>
      </w:r>
    </w:p>
    <w:p w14:paraId="00A6F195" w14:textId="77777777" w:rsidR="004A326E" w:rsidRPr="00334619" w:rsidRDefault="004A326E" w:rsidP="004A326E">
      <w:pPr>
        <w:rPr>
          <w:rFonts w:cs="Arial"/>
          <w:u w:val="single"/>
          <w:rtl/>
        </w:rPr>
      </w:pPr>
      <w:r w:rsidRPr="00334619">
        <w:rPr>
          <w:rFonts w:cs="Arial" w:hint="cs"/>
          <w:u w:val="single"/>
          <w:rtl/>
        </w:rPr>
        <w:t>הודאה/כפירה בפני יחיד מומחה</w:t>
      </w:r>
      <w:r w:rsidR="00776BA3">
        <w:rPr>
          <w:rFonts w:cs="Arial" w:hint="cs"/>
          <w:u w:val="single"/>
          <w:rtl/>
        </w:rPr>
        <w:t xml:space="preserve"> או </w:t>
      </w:r>
      <w:r w:rsidRPr="00334619">
        <w:rPr>
          <w:rFonts w:cs="Arial" w:hint="cs"/>
          <w:u w:val="single"/>
          <w:rtl/>
        </w:rPr>
        <w:t>שאינו מומחה אבל נטל רשות מב"ד גדול:</w:t>
      </w:r>
    </w:p>
    <w:p w14:paraId="1F8E9E80" w14:textId="77777777" w:rsidR="004A326E" w:rsidRPr="00334619" w:rsidRDefault="004A326E" w:rsidP="004B0475">
      <w:pPr>
        <w:pStyle w:val="ac"/>
        <w:numPr>
          <w:ilvl w:val="0"/>
          <w:numId w:val="50"/>
        </w:numPr>
        <w:rPr>
          <w:rFonts w:cs="Arial"/>
          <w:rtl/>
        </w:rPr>
      </w:pPr>
      <w:r w:rsidRPr="00334619">
        <w:rPr>
          <w:rFonts w:cs="Arial"/>
          <w:rtl/>
        </w:rPr>
        <w:t>רמב"ם</w:t>
      </w:r>
      <w:r>
        <w:rPr>
          <w:rFonts w:cs="Arial" w:hint="cs"/>
          <w:rtl/>
        </w:rPr>
        <w:t xml:space="preserve"> </w:t>
      </w:r>
      <w:r w:rsidRPr="00334619">
        <w:rPr>
          <w:rFonts w:cs="Arial" w:hint="cs"/>
          <w:sz w:val="16"/>
          <w:szCs w:val="16"/>
          <w:rtl/>
        </w:rPr>
        <w:t>(פ"ה</w:t>
      </w:r>
      <w:r w:rsidR="00CE71AC">
        <w:rPr>
          <w:rStyle w:val="ab"/>
          <w:rFonts w:cs="Arial"/>
          <w:sz w:val="16"/>
          <w:szCs w:val="16"/>
          <w:rtl/>
        </w:rPr>
        <w:footnoteReference w:id="166"/>
      </w:r>
      <w:r w:rsidRPr="00334619">
        <w:rPr>
          <w:rFonts w:cs="Arial" w:hint="cs"/>
          <w:sz w:val="16"/>
          <w:szCs w:val="16"/>
          <w:rtl/>
        </w:rPr>
        <w:t xml:space="preserve"> הי"ח)</w:t>
      </w:r>
      <w:r w:rsidRPr="00334619">
        <w:rPr>
          <w:rFonts w:cs="Arial" w:hint="cs"/>
          <w:rtl/>
        </w:rPr>
        <w:t>-</w:t>
      </w:r>
      <w:r w:rsidRPr="00334619">
        <w:rPr>
          <w:rFonts w:cs="Arial"/>
          <w:rtl/>
        </w:rPr>
        <w:t xml:space="preserve"> </w:t>
      </w:r>
      <w:r>
        <w:rPr>
          <w:rFonts w:cs="Arial"/>
          <w:rtl/>
        </w:rPr>
        <w:t>יחיד שהוא מומחה לרבים אע</w:t>
      </w:r>
      <w:r w:rsidR="00776BA3">
        <w:rPr>
          <w:rFonts w:cs="Arial" w:hint="cs"/>
          <w:rtl/>
        </w:rPr>
        <w:t>"</w:t>
      </w:r>
      <w:r>
        <w:rPr>
          <w:rFonts w:cs="Arial"/>
          <w:rtl/>
        </w:rPr>
        <w:t xml:space="preserve">פ שהוא דן דיני ממונות יחידי </w:t>
      </w:r>
      <w:r w:rsidR="00A43322">
        <w:rPr>
          <w:rFonts w:cs="Arial" w:hint="cs"/>
          <w:rtl/>
        </w:rPr>
        <w:t xml:space="preserve">- </w:t>
      </w:r>
      <w:r>
        <w:rPr>
          <w:rFonts w:cs="Arial"/>
          <w:rtl/>
        </w:rPr>
        <w:t>אין ההודאה בפניו הודאה בבית דין</w:t>
      </w:r>
      <w:r>
        <w:rPr>
          <w:rFonts w:cs="Arial" w:hint="cs"/>
          <w:rtl/>
        </w:rPr>
        <w:t>,</w:t>
      </w:r>
      <w:r>
        <w:rPr>
          <w:rFonts w:cs="Arial"/>
          <w:rtl/>
        </w:rPr>
        <w:t xml:space="preserve"> ואפילו היה סמוך</w:t>
      </w:r>
      <w:r w:rsidR="00A43322">
        <w:rPr>
          <w:rFonts w:cs="Arial" w:hint="cs"/>
          <w:rtl/>
        </w:rPr>
        <w:t>.</w:t>
      </w:r>
      <w:r>
        <w:rPr>
          <w:rFonts w:cs="Arial"/>
          <w:rtl/>
        </w:rPr>
        <w:t xml:space="preserve"> אבל השלשה אע</w:t>
      </w:r>
      <w:r w:rsidR="00776BA3">
        <w:rPr>
          <w:rFonts w:cs="Arial" w:hint="cs"/>
          <w:rtl/>
        </w:rPr>
        <w:t>"</w:t>
      </w:r>
      <w:r>
        <w:rPr>
          <w:rFonts w:cs="Arial"/>
          <w:rtl/>
        </w:rPr>
        <w:t xml:space="preserve">פ שאינם סמוכים והרי הן הדיוטות ואין אני קורא בהם אלהים </w:t>
      </w:r>
      <w:r w:rsidR="00A43322">
        <w:rPr>
          <w:rFonts w:cs="Arial" w:hint="cs"/>
          <w:rtl/>
        </w:rPr>
        <w:t xml:space="preserve">- </w:t>
      </w:r>
      <w:r>
        <w:rPr>
          <w:rFonts w:cs="Arial"/>
          <w:rtl/>
        </w:rPr>
        <w:t>הרי ההודאה בפניהם הודאה בבית דין</w:t>
      </w:r>
      <w:r w:rsidR="00A43322">
        <w:rPr>
          <w:rFonts w:cs="Arial" w:hint="cs"/>
          <w:rtl/>
        </w:rPr>
        <w:t>.</w:t>
      </w:r>
      <w:r>
        <w:rPr>
          <w:rFonts w:cs="Arial"/>
          <w:rtl/>
        </w:rPr>
        <w:t xml:space="preserve"> וכן הכופר בפניהם ואח"כ באו עדים </w:t>
      </w:r>
      <w:r w:rsidR="00A43322">
        <w:rPr>
          <w:rFonts w:cs="Arial" w:hint="cs"/>
          <w:rtl/>
        </w:rPr>
        <w:t xml:space="preserve">- </w:t>
      </w:r>
      <w:r>
        <w:rPr>
          <w:rFonts w:cs="Arial"/>
          <w:rtl/>
        </w:rPr>
        <w:t xml:space="preserve">הוחזק כפרן ואינו יכול לחזור ולטעון כמו שביארנו </w:t>
      </w:r>
      <w:r w:rsidRPr="00334619">
        <w:rPr>
          <w:rFonts w:cs="Arial"/>
          <w:sz w:val="16"/>
          <w:szCs w:val="16"/>
          <w:rtl/>
        </w:rPr>
        <w:t>(טוען ונטען פ"ו ה"א)</w:t>
      </w:r>
      <w:r w:rsidR="00A43322">
        <w:rPr>
          <w:rFonts w:cs="Arial" w:hint="cs"/>
          <w:rtl/>
        </w:rPr>
        <w:t>.</w:t>
      </w:r>
      <w:r>
        <w:rPr>
          <w:rFonts w:cs="Arial"/>
          <w:rtl/>
        </w:rPr>
        <w:t xml:space="preserve"> כללו של דבר הרי הן לענין הודאות והלואות וכיוצא בהן כבית דין הסמוך לכל הדברים</w:t>
      </w:r>
      <w:r>
        <w:rPr>
          <w:rFonts w:cs="Arial" w:hint="cs"/>
          <w:rtl/>
        </w:rPr>
        <w:t>.</w:t>
      </w:r>
      <w:r w:rsidRPr="002622A5">
        <w:rPr>
          <w:rFonts w:cs="Arial"/>
          <w:rtl/>
        </w:rPr>
        <w:t xml:space="preserve"> </w:t>
      </w:r>
      <w:r w:rsidRPr="005D6379">
        <w:rPr>
          <w:rFonts w:cs="Arial" w:hint="cs"/>
          <w:color w:val="E36C0A" w:themeColor="accent6" w:themeShade="BF"/>
          <w:rtl/>
        </w:rPr>
        <w:t>(וכ"פ בשו"ע)</w:t>
      </w:r>
      <w:r>
        <w:rPr>
          <w:rFonts w:cs="Arial" w:hint="cs"/>
          <w:rtl/>
        </w:rPr>
        <w:t xml:space="preserve"> (וכ"פ הש"ך</w:t>
      </w:r>
      <w:r w:rsidR="00776BA3">
        <w:rPr>
          <w:rStyle w:val="ab"/>
          <w:rFonts w:cs="Arial"/>
          <w:rtl/>
        </w:rPr>
        <w:footnoteReference w:id="167"/>
      </w:r>
      <w:r w:rsidR="00776BA3">
        <w:rPr>
          <w:rFonts w:cs="Arial" w:hint="cs"/>
          <w:sz w:val="16"/>
          <w:szCs w:val="16"/>
          <w:rtl/>
        </w:rPr>
        <w:t xml:space="preserve"> [סק"ח]</w:t>
      </w:r>
      <w:r>
        <w:rPr>
          <w:rFonts w:cs="Arial" w:hint="cs"/>
          <w:rtl/>
        </w:rPr>
        <w:t>)</w:t>
      </w:r>
    </w:p>
    <w:p w14:paraId="3D634A69" w14:textId="77777777" w:rsidR="004A326E" w:rsidRDefault="004A326E" w:rsidP="004B0475">
      <w:pPr>
        <w:pStyle w:val="ac"/>
        <w:numPr>
          <w:ilvl w:val="0"/>
          <w:numId w:val="50"/>
        </w:numPr>
        <w:rPr>
          <w:rtl/>
        </w:rPr>
      </w:pPr>
      <w:r w:rsidRPr="00334619">
        <w:rPr>
          <w:rFonts w:cs="Arial" w:hint="cs"/>
          <w:rtl/>
        </w:rPr>
        <w:t xml:space="preserve">רא"ש </w:t>
      </w:r>
      <w:r w:rsidRPr="00334619">
        <w:rPr>
          <w:rFonts w:cs="Arial" w:hint="cs"/>
          <w:sz w:val="16"/>
          <w:szCs w:val="16"/>
          <w:rtl/>
        </w:rPr>
        <w:t>(</w:t>
      </w:r>
      <w:r>
        <w:rPr>
          <w:rFonts w:cs="Arial" w:hint="cs"/>
          <w:sz w:val="16"/>
          <w:szCs w:val="16"/>
          <w:rtl/>
        </w:rPr>
        <w:t xml:space="preserve">ריש סנהדרין סי' ב, </w:t>
      </w:r>
      <w:r w:rsidRPr="00334619">
        <w:rPr>
          <w:rFonts w:cs="Arial" w:hint="cs"/>
          <w:sz w:val="16"/>
          <w:szCs w:val="16"/>
          <w:rtl/>
        </w:rPr>
        <w:t>כ</w:t>
      </w:r>
      <w:r w:rsidR="00776BA3">
        <w:rPr>
          <w:rFonts w:cs="Arial" w:hint="cs"/>
          <w:sz w:val="16"/>
          <w:szCs w:val="16"/>
          <w:rtl/>
        </w:rPr>
        <w:t xml:space="preserve">ך </w:t>
      </w:r>
      <w:r w:rsidRPr="00334619">
        <w:rPr>
          <w:rFonts w:cs="Arial" w:hint="cs"/>
          <w:sz w:val="16"/>
          <w:szCs w:val="16"/>
          <w:rtl/>
        </w:rPr>
        <w:t>כ</w:t>
      </w:r>
      <w:r w:rsidR="00776BA3">
        <w:rPr>
          <w:rFonts w:cs="Arial" w:hint="cs"/>
          <w:sz w:val="16"/>
          <w:szCs w:val="16"/>
          <w:rtl/>
        </w:rPr>
        <w:t>תבו</w:t>
      </w:r>
      <w:r w:rsidRPr="00334619">
        <w:rPr>
          <w:rFonts w:cs="Arial" w:hint="cs"/>
          <w:sz w:val="16"/>
          <w:szCs w:val="16"/>
          <w:rtl/>
        </w:rPr>
        <w:t xml:space="preserve"> הטור</w:t>
      </w:r>
      <w:r>
        <w:rPr>
          <w:rFonts w:cs="Arial" w:hint="cs"/>
          <w:sz w:val="16"/>
          <w:szCs w:val="16"/>
          <w:rtl/>
        </w:rPr>
        <w:t xml:space="preserve"> והב"י</w:t>
      </w:r>
      <w:r w:rsidRPr="00334619">
        <w:rPr>
          <w:rFonts w:cs="Arial" w:hint="cs"/>
          <w:sz w:val="16"/>
          <w:szCs w:val="16"/>
          <w:rtl/>
        </w:rPr>
        <w:t xml:space="preserve"> שנראה מדבריו)</w:t>
      </w:r>
      <w:r w:rsidRPr="00334619">
        <w:rPr>
          <w:rFonts w:cs="Arial" w:hint="cs"/>
          <w:rtl/>
        </w:rPr>
        <w:t xml:space="preserve">- </w:t>
      </w:r>
      <w:r w:rsidRPr="00334619">
        <w:rPr>
          <w:rFonts w:cs="Arial"/>
          <w:rtl/>
        </w:rPr>
        <w:t>אין חילוק בין יחיד מומחה לג' הדיוטות לכל דבר</w:t>
      </w:r>
      <w:r w:rsidRPr="00334619">
        <w:rPr>
          <w:rFonts w:cs="Arial" w:hint="cs"/>
          <w:rtl/>
        </w:rPr>
        <w:t>.</w:t>
      </w:r>
      <w:r>
        <w:rPr>
          <w:rFonts w:hint="cs"/>
          <w:rtl/>
        </w:rPr>
        <w:t xml:space="preserve"> </w:t>
      </w:r>
      <w:r w:rsidRPr="00371292">
        <w:rPr>
          <w:rFonts w:hint="cs"/>
          <w:color w:val="00B0F0"/>
          <w:rtl/>
        </w:rPr>
        <w:t>(וכ"פ הרמ"א</w:t>
      </w:r>
      <w:r w:rsidRPr="00371292">
        <w:rPr>
          <w:rFonts w:hint="cs"/>
          <w:color w:val="00B0F0"/>
          <w:sz w:val="16"/>
          <w:szCs w:val="16"/>
          <w:rtl/>
        </w:rPr>
        <w:t xml:space="preserve"> </w:t>
      </w:r>
      <w:r>
        <w:rPr>
          <w:rFonts w:hint="cs"/>
          <w:sz w:val="16"/>
          <w:szCs w:val="16"/>
          <w:rtl/>
        </w:rPr>
        <w:t>[להב' הש"ך סק"ח]</w:t>
      </w:r>
      <w:r w:rsidRPr="00371292">
        <w:rPr>
          <w:rFonts w:hint="cs"/>
          <w:color w:val="00B0F0"/>
          <w:rtl/>
        </w:rPr>
        <w:t>)</w:t>
      </w:r>
      <w:r w:rsidR="00776BA3">
        <w:rPr>
          <w:rFonts w:hint="cs"/>
          <w:rtl/>
        </w:rPr>
        <w:t xml:space="preserve"> </w:t>
      </w:r>
    </w:p>
    <w:p w14:paraId="252A684A" w14:textId="77777777" w:rsidR="004A326E" w:rsidRPr="003024E5" w:rsidRDefault="004A326E" w:rsidP="004A326E">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66EF9B46" w14:textId="77777777" w:rsidR="004A326E" w:rsidRDefault="004A326E" w:rsidP="004A326E">
      <w:pPr>
        <w:rPr>
          <w:rtl/>
        </w:rPr>
      </w:pPr>
      <w:r>
        <w:rPr>
          <w:rFonts w:cs="Arial"/>
          <w:rtl/>
        </w:rPr>
        <w:lastRenderedPageBreak/>
        <w:t>פחות משלשה אין דיניהם דין</w:t>
      </w:r>
      <w:r>
        <w:rPr>
          <w:rStyle w:val="ab"/>
          <w:rFonts w:cs="Arial"/>
          <w:rtl/>
        </w:rPr>
        <w:footnoteReference w:id="168"/>
      </w:r>
      <w:r>
        <w:rPr>
          <w:rFonts w:cs="Arial"/>
          <w:rtl/>
        </w:rPr>
        <w:t>, אפילו לא טעו, אלא א</w:t>
      </w:r>
      <w:r>
        <w:rPr>
          <w:rFonts w:cs="Arial" w:hint="cs"/>
          <w:rtl/>
        </w:rPr>
        <w:t xml:space="preserve">ם </w:t>
      </w:r>
      <w:r>
        <w:rPr>
          <w:rFonts w:cs="Arial"/>
          <w:rtl/>
        </w:rPr>
        <w:t>כ</w:t>
      </w:r>
      <w:r>
        <w:rPr>
          <w:rFonts w:cs="Arial" w:hint="cs"/>
          <w:rtl/>
        </w:rPr>
        <w:t>ן</w:t>
      </w:r>
      <w:r>
        <w:rPr>
          <w:rFonts w:cs="Arial"/>
          <w:rtl/>
        </w:rPr>
        <w:t xml:space="preserve"> קבלום בעלי דינים או שהוא מומחה לרבים. </w:t>
      </w:r>
      <w:r w:rsidRPr="00890D25">
        <w:rPr>
          <w:rFonts w:cs="Arial" w:hint="cs"/>
          <w:sz w:val="18"/>
          <w:szCs w:val="18"/>
          <w:rtl/>
        </w:rPr>
        <w:t xml:space="preserve">[הגה] </w:t>
      </w:r>
      <w:r w:rsidRPr="00890D25">
        <w:rPr>
          <w:rFonts w:cs="Arial"/>
          <w:sz w:val="18"/>
          <w:szCs w:val="18"/>
          <w:rtl/>
        </w:rPr>
        <w:t>ובזמן הזה אין דנין דין מומחה לרבים שידון ביחידי בעל כרחו של אדם</w:t>
      </w:r>
      <w:r>
        <w:rPr>
          <w:rStyle w:val="ab"/>
          <w:rFonts w:cs="Arial"/>
          <w:sz w:val="18"/>
          <w:szCs w:val="18"/>
          <w:rtl/>
        </w:rPr>
        <w:footnoteReference w:id="169"/>
      </w:r>
      <w:r w:rsidRPr="00890D25">
        <w:rPr>
          <w:rFonts w:cs="Arial"/>
          <w:sz w:val="18"/>
          <w:szCs w:val="18"/>
          <w:rtl/>
        </w:rPr>
        <w:t xml:space="preserve"> (מהרי"ו).</w:t>
      </w:r>
      <w:r>
        <w:rPr>
          <w:rFonts w:cs="Arial"/>
          <w:rtl/>
        </w:rPr>
        <w:t xml:space="preserve"> כל שאינם שלשה </w:t>
      </w:r>
      <w:r w:rsidRPr="00890D25">
        <w:rPr>
          <w:rFonts w:cs="Arial" w:hint="cs"/>
          <w:sz w:val="18"/>
          <w:szCs w:val="18"/>
          <w:rtl/>
        </w:rPr>
        <w:t xml:space="preserve">[הגה] </w:t>
      </w:r>
      <w:r w:rsidRPr="00890D25">
        <w:rPr>
          <w:rFonts w:cs="Arial"/>
          <w:sz w:val="18"/>
          <w:szCs w:val="18"/>
          <w:rtl/>
        </w:rPr>
        <w:t>ולא קבלום עליהם ואינם מומחים לרבים</w:t>
      </w:r>
      <w:r>
        <w:rPr>
          <w:rStyle w:val="ab"/>
          <w:rFonts w:cs="Arial"/>
          <w:sz w:val="18"/>
          <w:szCs w:val="18"/>
          <w:rtl/>
        </w:rPr>
        <w:footnoteReference w:id="170"/>
      </w:r>
      <w:r w:rsidRPr="00890D25">
        <w:rPr>
          <w:rFonts w:cs="Arial"/>
          <w:sz w:val="18"/>
          <w:szCs w:val="18"/>
          <w:rtl/>
        </w:rPr>
        <w:t xml:space="preserve"> (טור)</w:t>
      </w:r>
      <w:r>
        <w:rPr>
          <w:rFonts w:cs="Arial"/>
          <w:rtl/>
        </w:rPr>
        <w:t>, אפילו הם סמוכים בא</w:t>
      </w:r>
      <w:r>
        <w:rPr>
          <w:rFonts w:cs="Arial" w:hint="cs"/>
          <w:rtl/>
        </w:rPr>
        <w:t>רץ ישראל</w:t>
      </w:r>
      <w:r>
        <w:rPr>
          <w:rFonts w:cs="Arial"/>
          <w:rtl/>
        </w:rPr>
        <w:t xml:space="preserve"> הודאה שמודים בפניהם כמי שמודה חוץ לבית דין, ויכולים להחליף טענותיהם שטענו בפניהם</w:t>
      </w:r>
      <w:r>
        <w:rPr>
          <w:rFonts w:cs="Arial" w:hint="cs"/>
          <w:rtl/>
        </w:rPr>
        <w:t>,</w:t>
      </w:r>
      <w:r>
        <w:rPr>
          <w:rFonts w:cs="Arial"/>
          <w:rtl/>
        </w:rPr>
        <w:t xml:space="preserve"> והכופר בפניהם ואחר כך באו עדים</w:t>
      </w:r>
      <w:r>
        <w:rPr>
          <w:rFonts w:cs="Arial" w:hint="cs"/>
          <w:rtl/>
        </w:rPr>
        <w:t>,</w:t>
      </w:r>
      <w:r>
        <w:rPr>
          <w:rFonts w:cs="Arial"/>
          <w:rtl/>
        </w:rPr>
        <w:t xml:space="preserve"> לא הוחזק כפרן</w:t>
      </w:r>
      <w:r>
        <w:rPr>
          <w:rStyle w:val="ab"/>
          <w:rFonts w:cs="Arial"/>
          <w:rtl/>
        </w:rPr>
        <w:footnoteReference w:id="171"/>
      </w:r>
      <w:r>
        <w:rPr>
          <w:rFonts w:cs="Arial"/>
          <w:rtl/>
        </w:rPr>
        <w:t>. אבל השלשה, א</w:t>
      </w:r>
      <w:r>
        <w:rPr>
          <w:rFonts w:cs="Arial" w:hint="cs"/>
          <w:rtl/>
        </w:rPr>
        <w:t>ף על פי</w:t>
      </w:r>
      <w:r>
        <w:rPr>
          <w:rFonts w:cs="Arial"/>
          <w:rtl/>
        </w:rPr>
        <w:t xml:space="preserve"> שאינם סמוכים, ההודאה בפניהם כהודאה בב</w:t>
      </w:r>
      <w:r>
        <w:rPr>
          <w:rFonts w:cs="Arial" w:hint="cs"/>
          <w:rtl/>
        </w:rPr>
        <w:t>ית דין,</w:t>
      </w:r>
      <w:r>
        <w:rPr>
          <w:rFonts w:cs="Arial"/>
          <w:rtl/>
        </w:rPr>
        <w:t xml:space="preserve"> וכן בכופר ואחר כך באו עדים</w:t>
      </w:r>
      <w:r>
        <w:rPr>
          <w:rFonts w:cs="Arial" w:hint="cs"/>
          <w:rtl/>
        </w:rPr>
        <w:t>,</w:t>
      </w:r>
      <w:r>
        <w:rPr>
          <w:rFonts w:cs="Arial"/>
          <w:rtl/>
        </w:rPr>
        <w:t xml:space="preserve"> הוחזק כפרן ואינו יכול לחזור ולטעון. </w:t>
      </w:r>
    </w:p>
    <w:p w14:paraId="1124B5B5" w14:textId="77777777" w:rsidR="004A326E" w:rsidRDefault="004A326E" w:rsidP="004A326E">
      <w:pPr>
        <w:rPr>
          <w:rFonts w:cs="Arial"/>
          <w:rtl/>
        </w:rPr>
      </w:pPr>
      <w:r w:rsidRPr="00BE5AAA">
        <w:rPr>
          <w:rFonts w:cs="Arial" w:hint="cs"/>
          <w:u w:val="single"/>
          <w:rtl/>
        </w:rPr>
        <w:t>פחות משלשה</w:t>
      </w:r>
      <w:r>
        <w:rPr>
          <w:rFonts w:cs="Arial" w:hint="cs"/>
          <w:u w:val="single"/>
          <w:rtl/>
        </w:rPr>
        <w:t xml:space="preserve"> שדנו </w:t>
      </w:r>
      <w:r>
        <w:rPr>
          <w:rFonts w:cs="Arial"/>
          <w:u w:val="single"/>
          <w:rtl/>
        </w:rPr>
        <w:t>–</w:t>
      </w:r>
      <w:r w:rsidRPr="00BE5AAA">
        <w:rPr>
          <w:rFonts w:cs="Arial" w:hint="cs"/>
          <w:u w:val="single"/>
          <w:rtl/>
        </w:rPr>
        <w:t xml:space="preserve"> </w:t>
      </w:r>
      <w:r>
        <w:rPr>
          <w:rFonts w:cs="Arial" w:hint="cs"/>
          <w:u w:val="single"/>
          <w:rtl/>
        </w:rPr>
        <w:t xml:space="preserve">ויש נפ"מ מהדין שדנו לדיני </w:t>
      </w:r>
      <w:r w:rsidRPr="00BE5AAA">
        <w:rPr>
          <w:rFonts w:cs="Arial" w:hint="cs"/>
          <w:u w:val="single"/>
          <w:rtl/>
        </w:rPr>
        <w:t>קידושין</w:t>
      </w:r>
      <w:r>
        <w:rPr>
          <w:rStyle w:val="ab"/>
          <w:rFonts w:cs="Arial"/>
          <w:u w:val="single"/>
          <w:rtl/>
        </w:rPr>
        <w:footnoteReference w:id="172"/>
      </w:r>
      <w:r w:rsidRPr="00BE5AAA">
        <w:rPr>
          <w:rFonts w:cs="Arial" w:hint="cs"/>
          <w:u w:val="single"/>
          <w:rtl/>
        </w:rPr>
        <w:t>:</w:t>
      </w:r>
    </w:p>
    <w:p w14:paraId="485B9C19" w14:textId="77777777" w:rsidR="004A326E" w:rsidRPr="00BE5AAA" w:rsidRDefault="004A326E" w:rsidP="004B0475">
      <w:pPr>
        <w:pStyle w:val="ac"/>
        <w:numPr>
          <w:ilvl w:val="0"/>
          <w:numId w:val="51"/>
        </w:numPr>
        <w:rPr>
          <w:rFonts w:cs="Arial"/>
          <w:rtl/>
        </w:rPr>
      </w:pPr>
      <w:r w:rsidRPr="00BE5AAA">
        <w:rPr>
          <w:rFonts w:cs="Arial"/>
          <w:rtl/>
        </w:rPr>
        <w:t>ב"ח</w:t>
      </w:r>
      <w:r w:rsidRPr="00BE5AAA">
        <w:rPr>
          <w:rFonts w:cs="Arial"/>
          <w:sz w:val="16"/>
          <w:szCs w:val="16"/>
          <w:rtl/>
        </w:rPr>
        <w:t xml:space="preserve"> (סעיף א</w:t>
      </w:r>
      <w:r w:rsidRPr="00BE5AAA">
        <w:rPr>
          <w:rFonts w:cs="Arial" w:hint="cs"/>
          <w:sz w:val="16"/>
          <w:szCs w:val="16"/>
          <w:rtl/>
        </w:rPr>
        <w:t xml:space="preserve"> ד"ה אין</w:t>
      </w:r>
      <w:r w:rsidRPr="00BE5AAA">
        <w:rPr>
          <w:rFonts w:cs="Arial"/>
          <w:sz w:val="16"/>
          <w:szCs w:val="16"/>
          <w:rtl/>
        </w:rPr>
        <w:t>)</w:t>
      </w:r>
      <w:r>
        <w:rPr>
          <w:rFonts w:cs="Arial" w:hint="cs"/>
          <w:rtl/>
        </w:rPr>
        <w:t xml:space="preserve">- </w:t>
      </w:r>
      <w:r w:rsidRPr="00BE5AAA">
        <w:rPr>
          <w:rFonts w:cs="Arial"/>
          <w:rtl/>
        </w:rPr>
        <w:t>לענין קידושין יש להחמיר ולחוש לדעת הפוסקים כשמואל</w:t>
      </w:r>
      <w:r>
        <w:rPr>
          <w:rStyle w:val="ab"/>
          <w:rFonts w:cs="Arial"/>
          <w:rtl/>
        </w:rPr>
        <w:footnoteReference w:id="173"/>
      </w:r>
      <w:r>
        <w:rPr>
          <w:rFonts w:cs="Arial" w:hint="cs"/>
          <w:rtl/>
        </w:rPr>
        <w:t>.</w:t>
      </w:r>
      <w:r w:rsidRPr="00BE5AAA">
        <w:rPr>
          <w:rFonts w:cs="Arial"/>
          <w:rtl/>
        </w:rPr>
        <w:t xml:space="preserve"> </w:t>
      </w:r>
    </w:p>
    <w:p w14:paraId="7D803F86" w14:textId="77777777" w:rsidR="004A326E" w:rsidRPr="00BE5AAA" w:rsidRDefault="004A326E" w:rsidP="004B0475">
      <w:pPr>
        <w:pStyle w:val="ac"/>
        <w:numPr>
          <w:ilvl w:val="0"/>
          <w:numId w:val="51"/>
        </w:numPr>
        <w:rPr>
          <w:rFonts w:cs="Arial"/>
        </w:rPr>
      </w:pPr>
      <w:r w:rsidRPr="00BE5AAA">
        <w:rPr>
          <w:rFonts w:cs="Arial"/>
          <w:rtl/>
        </w:rPr>
        <w:t xml:space="preserve">ש"ך </w:t>
      </w:r>
      <w:r w:rsidRPr="00BE5AAA">
        <w:rPr>
          <w:rFonts w:cs="Arial"/>
          <w:sz w:val="16"/>
          <w:szCs w:val="16"/>
          <w:rtl/>
        </w:rPr>
        <w:t>(סק"ה)</w:t>
      </w:r>
      <w:r w:rsidRPr="00BE5AAA">
        <w:rPr>
          <w:rFonts w:cs="Arial" w:hint="cs"/>
          <w:rtl/>
        </w:rPr>
        <w:t>- אין דיניהם דין.</w:t>
      </w:r>
    </w:p>
    <w:p w14:paraId="3C11ECB8" w14:textId="77777777" w:rsidR="004A326E" w:rsidRDefault="004A326E" w:rsidP="004A326E">
      <w:pPr>
        <w:rPr>
          <w:rtl/>
        </w:rPr>
      </w:pPr>
    </w:p>
    <w:p w14:paraId="16B31E32" w14:textId="77777777" w:rsidR="004A326E" w:rsidRDefault="004A326E" w:rsidP="004A326E">
      <w:pPr>
        <w:pStyle w:val="2"/>
        <w:rPr>
          <w:rtl/>
        </w:rPr>
      </w:pPr>
      <w:bookmarkStart w:id="15" w:name="_Toc24883522"/>
      <w:r>
        <w:rPr>
          <w:rtl/>
        </w:rPr>
        <w:t>סעיף ג</w:t>
      </w:r>
      <w:r>
        <w:rPr>
          <w:rFonts w:hint="cs"/>
          <w:rtl/>
        </w:rPr>
        <w:t>: מצוה למומחה שיושיב עמו אחרים בדין.</w:t>
      </w:r>
      <w:bookmarkEnd w:id="15"/>
    </w:p>
    <w:p w14:paraId="709A2559" w14:textId="77777777" w:rsidR="00CE71AC" w:rsidRDefault="004A326E" w:rsidP="004A326E">
      <w:pPr>
        <w:rPr>
          <w:rFonts w:cs="Arial"/>
          <w:sz w:val="16"/>
          <w:szCs w:val="16"/>
          <w:rtl/>
        </w:rPr>
      </w:pPr>
      <w:r w:rsidRPr="003C67D1">
        <w:rPr>
          <w:rFonts w:cs="Arial" w:hint="cs"/>
          <w:b/>
          <w:bCs/>
          <w:rtl/>
        </w:rPr>
        <w:t>אבות פ"ד מ"ח:</w:t>
      </w:r>
      <w:r>
        <w:rPr>
          <w:rFonts w:cs="Arial" w:hint="cs"/>
          <w:rtl/>
        </w:rPr>
        <w:t xml:space="preserve"> </w:t>
      </w:r>
      <w:r w:rsidRPr="003C67D1">
        <w:rPr>
          <w:rFonts w:cs="Arial"/>
          <w:rtl/>
        </w:rPr>
        <w:t>הוא היה אומר אל תהי דן יחידי שאין דן יחידי אלא אחד</w:t>
      </w:r>
      <w:r>
        <w:rPr>
          <w:rFonts w:cs="Arial" w:hint="cs"/>
          <w:rtl/>
        </w:rPr>
        <w:t xml:space="preserve">... </w:t>
      </w:r>
    </w:p>
    <w:p w14:paraId="6497C895" w14:textId="77777777" w:rsidR="004A326E" w:rsidRPr="00412587" w:rsidRDefault="004A326E" w:rsidP="004A326E">
      <w:pPr>
        <w:rPr>
          <w:sz w:val="16"/>
          <w:szCs w:val="16"/>
          <w:rtl/>
        </w:rPr>
      </w:pPr>
      <w:r w:rsidRPr="00412587">
        <w:rPr>
          <w:rFonts w:cs="Arial" w:hint="cs"/>
          <w:b/>
          <w:bCs/>
          <w:rtl/>
        </w:rPr>
        <w:t xml:space="preserve">ירושלמי סנהדרין </w:t>
      </w:r>
      <w:r>
        <w:rPr>
          <w:rFonts w:cs="Arial" w:hint="cs"/>
          <w:b/>
          <w:bCs/>
          <w:rtl/>
        </w:rPr>
        <w:t xml:space="preserve">פ"א </w:t>
      </w:r>
      <w:r w:rsidRPr="00412587">
        <w:rPr>
          <w:rFonts w:cs="Arial" w:hint="cs"/>
          <w:b/>
          <w:bCs/>
          <w:rtl/>
        </w:rPr>
        <w:t>ה"א:</w:t>
      </w:r>
      <w:r>
        <w:rPr>
          <w:rFonts w:cs="Arial" w:hint="cs"/>
          <w:rtl/>
        </w:rPr>
        <w:t xml:space="preserve"> </w:t>
      </w:r>
      <w:r w:rsidRPr="00412587">
        <w:rPr>
          <w:rFonts w:cs="Arial"/>
          <w:rtl/>
        </w:rPr>
        <w:t>רבי אבהו הוה יתיב דיין בכנישתא מדרתא דקיסרין לגרמיה</w:t>
      </w:r>
      <w:r w:rsidR="00CE71AC">
        <w:rPr>
          <w:rFonts w:cs="Arial" w:hint="cs"/>
          <w:rtl/>
        </w:rPr>
        <w:t>.</w:t>
      </w:r>
      <w:r w:rsidRPr="00412587">
        <w:rPr>
          <w:rFonts w:cs="Arial"/>
          <w:rtl/>
        </w:rPr>
        <w:t xml:space="preserve"> </w:t>
      </w:r>
      <w:r w:rsidRPr="00CE71AC">
        <w:rPr>
          <w:rFonts w:cs="Arial"/>
          <w:u w:val="single"/>
          <w:rtl/>
        </w:rPr>
        <w:t>אמרין ליה תלמידיו</w:t>
      </w:r>
      <w:r w:rsidR="00CE71AC">
        <w:rPr>
          <w:rFonts w:cs="Arial" w:hint="cs"/>
          <w:rtl/>
        </w:rPr>
        <w:t>:</w:t>
      </w:r>
      <w:r w:rsidRPr="00412587">
        <w:rPr>
          <w:rFonts w:cs="Arial"/>
          <w:rtl/>
        </w:rPr>
        <w:t xml:space="preserve"> ולא כן אלפן ר' אל תהא דן יחידי</w:t>
      </w:r>
      <w:r w:rsidR="00CE71AC">
        <w:rPr>
          <w:rFonts w:cs="Arial" w:hint="cs"/>
          <w:rtl/>
        </w:rPr>
        <w:t>?</w:t>
      </w:r>
      <w:r w:rsidRPr="00412587">
        <w:rPr>
          <w:rFonts w:cs="Arial"/>
          <w:rtl/>
        </w:rPr>
        <w:t xml:space="preserve"> </w:t>
      </w:r>
      <w:r w:rsidRPr="00CE71AC">
        <w:rPr>
          <w:rFonts w:cs="Arial"/>
          <w:u w:val="single"/>
          <w:rtl/>
        </w:rPr>
        <w:t>אמר לון</w:t>
      </w:r>
      <w:r w:rsidR="00CE71AC">
        <w:rPr>
          <w:rFonts w:cs="Arial" w:hint="cs"/>
          <w:rtl/>
        </w:rPr>
        <w:t xml:space="preserve">: </w:t>
      </w:r>
      <w:r w:rsidRPr="00412587">
        <w:rPr>
          <w:rFonts w:cs="Arial"/>
          <w:rtl/>
        </w:rPr>
        <w:t xml:space="preserve">כיון דאנן חמי לי יתיב דיין לגרמי ואתון לגביי </w:t>
      </w:r>
      <w:r w:rsidR="00CE71AC">
        <w:rPr>
          <w:rFonts w:cs="Arial" w:hint="cs"/>
          <w:rtl/>
        </w:rPr>
        <w:t xml:space="preserve">- </w:t>
      </w:r>
      <w:r w:rsidRPr="00412587">
        <w:rPr>
          <w:rFonts w:cs="Arial"/>
          <w:rtl/>
        </w:rPr>
        <w:t>כמי שקיבלו עליהן</w:t>
      </w:r>
      <w:r w:rsidR="00CE71AC">
        <w:rPr>
          <w:rFonts w:cs="Arial" w:hint="cs"/>
          <w:rtl/>
        </w:rPr>
        <w:t>,</w:t>
      </w:r>
      <w:r w:rsidRPr="00412587">
        <w:rPr>
          <w:rFonts w:cs="Arial"/>
          <w:rtl/>
        </w:rPr>
        <w:t xml:space="preserve"> ותני כן</w:t>
      </w:r>
      <w:r w:rsidR="00CE71AC">
        <w:rPr>
          <w:rFonts w:cs="Arial" w:hint="cs"/>
          <w:rtl/>
        </w:rPr>
        <w:t xml:space="preserve">: </w:t>
      </w:r>
      <w:r w:rsidRPr="00412587">
        <w:rPr>
          <w:rFonts w:cs="Arial"/>
          <w:rtl/>
        </w:rPr>
        <w:t>במה דברים אמורים שלא קיבלו עליהן אבל אם קיבלו עליהן דן אפילו יחידי</w:t>
      </w:r>
      <w:r>
        <w:rPr>
          <w:rStyle w:val="ab"/>
          <w:rFonts w:cs="Arial"/>
          <w:rtl/>
        </w:rPr>
        <w:footnoteReference w:id="174"/>
      </w:r>
      <w:r w:rsidRPr="00412587">
        <w:rPr>
          <w:rFonts w:cs="Arial"/>
          <w:rtl/>
        </w:rPr>
        <w:t>.</w:t>
      </w:r>
    </w:p>
    <w:p w14:paraId="2DF6E2B5" w14:textId="77777777" w:rsidR="00CE71AC" w:rsidRPr="00CE71AC" w:rsidRDefault="00CE71AC" w:rsidP="00CE71AC">
      <w:pPr>
        <w:rPr>
          <w:rFonts w:cs="Arial"/>
          <w:u w:val="single"/>
          <w:rtl/>
        </w:rPr>
      </w:pPr>
      <w:r w:rsidRPr="00CE71AC">
        <w:rPr>
          <w:rFonts w:cs="Arial" w:hint="cs"/>
          <w:u w:val="single"/>
          <w:rtl/>
        </w:rPr>
        <w:t xml:space="preserve">מצוה למומחה </w:t>
      </w:r>
      <w:r w:rsidRPr="00CE71AC">
        <w:rPr>
          <w:rFonts w:hint="cs"/>
          <w:u w:val="single"/>
          <w:rtl/>
        </w:rPr>
        <w:t>שיושיב עמו אחרים בדין</w:t>
      </w:r>
      <w:r w:rsidRPr="00CE71AC">
        <w:rPr>
          <w:rFonts w:cs="Arial" w:hint="cs"/>
          <w:u w:val="single"/>
          <w:rtl/>
        </w:rPr>
        <w:t>:</w:t>
      </w:r>
    </w:p>
    <w:p w14:paraId="736406C7" w14:textId="77777777" w:rsidR="00CE71AC" w:rsidRPr="00CE71AC" w:rsidRDefault="00CE71AC" w:rsidP="004B0475">
      <w:pPr>
        <w:pStyle w:val="ac"/>
        <w:numPr>
          <w:ilvl w:val="0"/>
          <w:numId w:val="61"/>
        </w:numPr>
        <w:rPr>
          <w:rFonts w:cs="Arial"/>
          <w:rtl/>
        </w:rPr>
      </w:pPr>
      <w:r w:rsidRPr="00CE71AC">
        <w:rPr>
          <w:rFonts w:cs="Arial"/>
          <w:rtl/>
        </w:rPr>
        <w:t>רמב"ם</w:t>
      </w:r>
      <w:r w:rsidRPr="00CE71AC">
        <w:rPr>
          <w:rFonts w:cs="Arial" w:hint="cs"/>
          <w:rtl/>
        </w:rPr>
        <w:t xml:space="preserve"> </w:t>
      </w:r>
      <w:r w:rsidRPr="00CE71AC">
        <w:rPr>
          <w:rFonts w:cs="Arial" w:hint="cs"/>
          <w:sz w:val="16"/>
          <w:szCs w:val="16"/>
          <w:rtl/>
        </w:rPr>
        <w:t>(פ"ב הי"א)</w:t>
      </w:r>
      <w:r>
        <w:rPr>
          <w:rFonts w:cs="Arial" w:hint="cs"/>
          <w:rtl/>
        </w:rPr>
        <w:t xml:space="preserve"> וטור</w:t>
      </w:r>
      <w:r w:rsidRPr="00CE71AC">
        <w:rPr>
          <w:rFonts w:cs="Arial" w:hint="cs"/>
          <w:rtl/>
        </w:rPr>
        <w:t xml:space="preserve">- </w:t>
      </w:r>
      <w:r w:rsidRPr="00CE71AC">
        <w:rPr>
          <w:rFonts w:cs="Arial"/>
          <w:rtl/>
        </w:rPr>
        <w:t>אחד שהיה מומחה לרבים או שנטל רשות מבית דין הרי זה מותר לו לדון יחידי</w:t>
      </w:r>
      <w:r>
        <w:rPr>
          <w:rFonts w:cs="Arial" w:hint="cs"/>
          <w:rtl/>
        </w:rPr>
        <w:t>...</w:t>
      </w:r>
      <w:r w:rsidRPr="00CE71AC">
        <w:rPr>
          <w:rFonts w:cs="Arial"/>
          <w:rtl/>
        </w:rPr>
        <w:t xml:space="preserve"> וא</w:t>
      </w:r>
      <w:r w:rsidRPr="00CE71AC">
        <w:rPr>
          <w:rFonts w:cs="Arial" w:hint="cs"/>
          <w:rtl/>
        </w:rPr>
        <w:t>ע"</w:t>
      </w:r>
      <w:r w:rsidRPr="00CE71AC">
        <w:rPr>
          <w:rFonts w:cs="Arial"/>
          <w:rtl/>
        </w:rPr>
        <w:t>פ שהוא מותר מצות חכמים הוא שמושיב עמו אחרים שהרי אמרו אל תהי דן יחידי שאין דן יחידי אלא אחד</w:t>
      </w:r>
      <w:r>
        <w:rPr>
          <w:rFonts w:cs="Arial" w:hint="cs"/>
          <w:sz w:val="16"/>
          <w:szCs w:val="16"/>
          <w:rtl/>
        </w:rPr>
        <w:t xml:space="preserve"> (ל' הרמב"ם)</w:t>
      </w:r>
      <w:r w:rsidRPr="00CE71AC">
        <w:rPr>
          <w:rFonts w:cs="Arial" w:hint="cs"/>
          <w:rtl/>
        </w:rPr>
        <w:t xml:space="preserve">. </w:t>
      </w:r>
      <w:r w:rsidRPr="00CE71AC">
        <w:rPr>
          <w:rFonts w:cs="Arial" w:hint="cs"/>
          <w:color w:val="E36C0A" w:themeColor="accent6" w:themeShade="BF"/>
          <w:rtl/>
        </w:rPr>
        <w:t>(וכ"פ בשו"ע)</w:t>
      </w:r>
    </w:p>
    <w:p w14:paraId="5F64F601" w14:textId="77777777" w:rsidR="004A326E" w:rsidRPr="003024E5" w:rsidRDefault="004A326E" w:rsidP="004A326E">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3F3E6BFD" w14:textId="77777777" w:rsidR="004A326E" w:rsidRDefault="004A326E" w:rsidP="004A326E">
      <w:pPr>
        <w:rPr>
          <w:rFonts w:cs="Arial"/>
          <w:rtl/>
        </w:rPr>
      </w:pPr>
      <w:r>
        <w:rPr>
          <w:rFonts w:cs="Arial"/>
          <w:rtl/>
        </w:rPr>
        <w:t>א</w:t>
      </w:r>
      <w:r>
        <w:rPr>
          <w:rFonts w:cs="Arial" w:hint="cs"/>
          <w:rtl/>
        </w:rPr>
        <w:t>ף על פי</w:t>
      </w:r>
      <w:r>
        <w:rPr>
          <w:rFonts w:cs="Arial"/>
          <w:rtl/>
        </w:rPr>
        <w:t xml:space="preserve"> שיחיד מומחה לרבים מותר לו לדון יחידי, מצות חכמים שיושיב עמו אחרים</w:t>
      </w:r>
      <w:r>
        <w:rPr>
          <w:rStyle w:val="ab"/>
          <w:rFonts w:cs="Arial"/>
          <w:rtl/>
        </w:rPr>
        <w:footnoteReference w:id="175"/>
      </w:r>
      <w:r>
        <w:rPr>
          <w:rFonts w:cs="Arial"/>
          <w:rtl/>
        </w:rPr>
        <w:t xml:space="preserve">. </w:t>
      </w:r>
    </w:p>
    <w:p w14:paraId="58C1AAC4" w14:textId="77777777" w:rsidR="004A326E" w:rsidRDefault="004A326E" w:rsidP="004A326E">
      <w:pPr>
        <w:rPr>
          <w:rtl/>
        </w:rPr>
      </w:pPr>
    </w:p>
    <w:p w14:paraId="18C10396" w14:textId="77777777" w:rsidR="004A326E" w:rsidRDefault="004A326E" w:rsidP="004A326E">
      <w:pPr>
        <w:pStyle w:val="2"/>
        <w:rPr>
          <w:rtl/>
        </w:rPr>
      </w:pPr>
      <w:bookmarkStart w:id="16" w:name="_Toc24883523"/>
      <w:r>
        <w:rPr>
          <w:rtl/>
        </w:rPr>
        <w:t>סעיף ד</w:t>
      </w:r>
      <w:r>
        <w:rPr>
          <w:rFonts w:hint="cs"/>
          <w:rtl/>
        </w:rPr>
        <w:t>: דין עם הרבה דיינים, ישיבה בדין עם אדם לא ראוי, ודיין שאינו מומחה שנטל רשות.</w:t>
      </w:r>
      <w:bookmarkEnd w:id="16"/>
    </w:p>
    <w:p w14:paraId="3FB357ED" w14:textId="77777777" w:rsidR="000610CB" w:rsidRDefault="004A326E" w:rsidP="000610CB">
      <w:pPr>
        <w:rPr>
          <w:rFonts w:cs="Arial"/>
          <w:rtl/>
        </w:rPr>
      </w:pPr>
      <w:r w:rsidRPr="004D1C9D">
        <w:rPr>
          <w:rFonts w:cs="Arial" w:hint="cs"/>
          <w:b/>
          <w:bCs/>
          <w:rtl/>
        </w:rPr>
        <w:t xml:space="preserve">סנהדרין </w:t>
      </w:r>
      <w:r w:rsidRPr="004D1C9D">
        <w:rPr>
          <w:rFonts w:cs="Arial" w:hint="cs"/>
          <w:b/>
          <w:bCs/>
          <w:sz w:val="16"/>
          <w:szCs w:val="16"/>
          <w:rtl/>
        </w:rPr>
        <w:t xml:space="preserve">(פ"ק) </w:t>
      </w:r>
      <w:r w:rsidR="000610CB">
        <w:rPr>
          <w:rFonts w:cs="Arial" w:hint="cs"/>
          <w:b/>
          <w:bCs/>
          <w:rtl/>
        </w:rPr>
        <w:t>ז</w:t>
      </w:r>
      <w:r w:rsidR="00126BC5">
        <w:rPr>
          <w:rStyle w:val="ab"/>
          <w:rFonts w:cs="Arial"/>
          <w:b/>
          <w:bCs/>
          <w:rtl/>
        </w:rPr>
        <w:footnoteReference w:id="176"/>
      </w:r>
      <w:r>
        <w:rPr>
          <w:rFonts w:cs="Arial" w:hint="cs"/>
          <w:b/>
          <w:bCs/>
          <w:rtl/>
        </w:rPr>
        <w:t xml:space="preserve"> </w:t>
      </w:r>
      <w:r w:rsidRPr="004D1C9D">
        <w:rPr>
          <w:rFonts w:cs="Arial" w:hint="cs"/>
          <w:b/>
          <w:bCs/>
          <w:rtl/>
        </w:rPr>
        <w:t>ע"</w:t>
      </w:r>
      <w:r w:rsidR="000610CB">
        <w:rPr>
          <w:rFonts w:cs="Arial" w:hint="cs"/>
          <w:b/>
          <w:bCs/>
          <w:rtl/>
        </w:rPr>
        <w:t>ב</w:t>
      </w:r>
      <w:r w:rsidRPr="004D1C9D">
        <w:rPr>
          <w:rFonts w:cs="Arial" w:hint="cs"/>
          <w:b/>
          <w:bCs/>
          <w:rtl/>
        </w:rPr>
        <w:t xml:space="preserve">: </w:t>
      </w:r>
      <w:r w:rsidRPr="00A43322">
        <w:rPr>
          <w:rFonts w:cs="Arial"/>
          <w:u w:val="single"/>
          <w:rtl/>
        </w:rPr>
        <w:t>רב הונא</w:t>
      </w:r>
      <w:r w:rsidRPr="00F81A73">
        <w:rPr>
          <w:rFonts w:cs="Arial"/>
          <w:rtl/>
        </w:rPr>
        <w:t xml:space="preserve"> כי הוה אתי דינא לקמיה, מיכניף ומייתי עשרה רבנן מבי רב. אמר: כי היכי דלימטיין שיבא מכשורא</w:t>
      </w:r>
      <w:r>
        <w:rPr>
          <w:rStyle w:val="ab"/>
          <w:rFonts w:cs="Arial"/>
          <w:rtl/>
        </w:rPr>
        <w:footnoteReference w:id="177"/>
      </w:r>
      <w:r w:rsidRPr="00F81A73">
        <w:rPr>
          <w:rFonts w:cs="Arial"/>
          <w:rtl/>
        </w:rPr>
        <w:t>.</w:t>
      </w:r>
      <w:r w:rsidR="000610CB">
        <w:rPr>
          <w:rFonts w:cs="Arial" w:hint="cs"/>
          <w:rtl/>
        </w:rPr>
        <w:t xml:space="preserve"> </w:t>
      </w:r>
      <w:r w:rsidR="000610CB" w:rsidRPr="00A43322">
        <w:rPr>
          <w:rFonts w:cs="Arial"/>
          <w:u w:val="single"/>
          <w:rtl/>
        </w:rPr>
        <w:t>רב אשי</w:t>
      </w:r>
      <w:r w:rsidR="000610CB" w:rsidRPr="000610CB">
        <w:rPr>
          <w:rFonts w:cs="Arial"/>
          <w:rtl/>
        </w:rPr>
        <w:t>, כי הוה אתי טריפתא לקמיה מכניף ומייתי להו לכולהו טבחי דמתא מחסיא, אמר: כי היכי דלימטיין שיבא מכשורא.</w:t>
      </w:r>
    </w:p>
    <w:p w14:paraId="5E40EF0B" w14:textId="77777777" w:rsidR="004A326E" w:rsidRDefault="004A326E" w:rsidP="004A326E">
      <w:pPr>
        <w:rPr>
          <w:rFonts w:cs="Arial"/>
          <w:rtl/>
        </w:rPr>
      </w:pPr>
      <w:r w:rsidRPr="00457D5D">
        <w:rPr>
          <w:rFonts w:cs="Arial"/>
          <w:b/>
          <w:bCs/>
          <w:rtl/>
        </w:rPr>
        <w:t xml:space="preserve">שבועות </w:t>
      </w:r>
      <w:r w:rsidRPr="00457D5D">
        <w:rPr>
          <w:rFonts w:cs="Arial" w:hint="cs"/>
          <w:b/>
          <w:bCs/>
          <w:sz w:val="16"/>
          <w:szCs w:val="16"/>
          <w:rtl/>
        </w:rPr>
        <w:t>(</w:t>
      </w:r>
      <w:r w:rsidRPr="00457D5D">
        <w:rPr>
          <w:rFonts w:cs="Arial"/>
          <w:b/>
          <w:bCs/>
          <w:sz w:val="16"/>
          <w:szCs w:val="16"/>
          <w:rtl/>
        </w:rPr>
        <w:t>פ</w:t>
      </w:r>
      <w:r w:rsidRPr="00457D5D">
        <w:rPr>
          <w:rFonts w:cs="Arial" w:hint="cs"/>
          <w:b/>
          <w:bCs/>
          <w:sz w:val="16"/>
          <w:szCs w:val="16"/>
          <w:rtl/>
        </w:rPr>
        <w:t>'</w:t>
      </w:r>
      <w:r w:rsidRPr="00457D5D">
        <w:rPr>
          <w:rFonts w:cs="Arial"/>
          <w:b/>
          <w:bCs/>
          <w:sz w:val="16"/>
          <w:szCs w:val="16"/>
          <w:rtl/>
        </w:rPr>
        <w:t xml:space="preserve"> שבועת העדות)</w:t>
      </w:r>
      <w:r w:rsidRPr="00457D5D">
        <w:rPr>
          <w:rFonts w:cs="Arial" w:hint="cs"/>
          <w:b/>
          <w:bCs/>
          <w:sz w:val="16"/>
          <w:szCs w:val="16"/>
          <w:rtl/>
        </w:rPr>
        <w:t xml:space="preserve"> </w:t>
      </w:r>
      <w:r w:rsidRPr="00457D5D">
        <w:rPr>
          <w:rFonts w:cs="Arial" w:hint="cs"/>
          <w:b/>
          <w:bCs/>
          <w:rtl/>
        </w:rPr>
        <w:t>ל</w:t>
      </w:r>
      <w:r w:rsidR="00126BC5">
        <w:rPr>
          <w:rStyle w:val="ab"/>
          <w:rFonts w:cs="Arial"/>
          <w:b/>
          <w:bCs/>
          <w:rtl/>
        </w:rPr>
        <w:footnoteReference w:id="178"/>
      </w:r>
      <w:r w:rsidRPr="00457D5D">
        <w:rPr>
          <w:rFonts w:cs="Arial" w:hint="cs"/>
          <w:b/>
          <w:bCs/>
          <w:rtl/>
        </w:rPr>
        <w:t xml:space="preserve"> ע"ב:</w:t>
      </w:r>
      <w:r>
        <w:rPr>
          <w:rFonts w:cs="Arial" w:hint="cs"/>
          <w:rtl/>
        </w:rPr>
        <w:t xml:space="preserve"> ת"ר... </w:t>
      </w:r>
      <w:r w:rsidRPr="00457D5D">
        <w:rPr>
          <w:rFonts w:cs="Arial"/>
          <w:rtl/>
        </w:rPr>
        <w:t>ומנין לדיין שלא ישב תלמיד בור לפניו</w:t>
      </w:r>
      <w:r>
        <w:rPr>
          <w:rStyle w:val="ab"/>
          <w:rFonts w:cs="Arial"/>
          <w:rtl/>
        </w:rPr>
        <w:footnoteReference w:id="179"/>
      </w:r>
      <w:r w:rsidRPr="00457D5D">
        <w:rPr>
          <w:rFonts w:cs="Arial"/>
          <w:rtl/>
        </w:rPr>
        <w:t xml:space="preserve">? ת"ל: מדבר שקר תרחק. </w:t>
      </w:r>
    </w:p>
    <w:p w14:paraId="7C1F71ED" w14:textId="77777777" w:rsidR="000505B9" w:rsidRDefault="004A326E" w:rsidP="000505B9">
      <w:pPr>
        <w:rPr>
          <w:rFonts w:cs="Arial"/>
          <w:rtl/>
        </w:rPr>
      </w:pPr>
      <w:r w:rsidRPr="004D1C9D">
        <w:rPr>
          <w:rFonts w:cs="Arial" w:hint="cs"/>
          <w:b/>
          <w:bCs/>
          <w:rtl/>
        </w:rPr>
        <w:t xml:space="preserve">סנהדרין </w:t>
      </w:r>
      <w:r w:rsidRPr="004D1C9D">
        <w:rPr>
          <w:rFonts w:cs="Arial" w:hint="cs"/>
          <w:b/>
          <w:bCs/>
          <w:sz w:val="16"/>
          <w:szCs w:val="16"/>
          <w:rtl/>
        </w:rPr>
        <w:t>(פ</w:t>
      </w:r>
      <w:r>
        <w:rPr>
          <w:rFonts w:cs="Arial" w:hint="cs"/>
          <w:b/>
          <w:bCs/>
          <w:sz w:val="16"/>
          <w:szCs w:val="16"/>
          <w:rtl/>
        </w:rPr>
        <w:t>' זה בורר</w:t>
      </w:r>
      <w:r w:rsidRPr="004D1C9D">
        <w:rPr>
          <w:rFonts w:cs="Arial" w:hint="cs"/>
          <w:b/>
          <w:bCs/>
          <w:sz w:val="16"/>
          <w:szCs w:val="16"/>
          <w:rtl/>
        </w:rPr>
        <w:t xml:space="preserve">) </w:t>
      </w:r>
      <w:r>
        <w:rPr>
          <w:rFonts w:cs="Arial" w:hint="cs"/>
          <w:b/>
          <w:bCs/>
          <w:rtl/>
        </w:rPr>
        <w:t>כג</w:t>
      </w:r>
      <w:r w:rsidR="00126BC5">
        <w:rPr>
          <w:rStyle w:val="ab"/>
          <w:rFonts w:cs="Arial"/>
          <w:b/>
          <w:bCs/>
          <w:rtl/>
        </w:rPr>
        <w:footnoteReference w:id="180"/>
      </w:r>
      <w:r>
        <w:rPr>
          <w:rFonts w:cs="Arial" w:hint="cs"/>
          <w:b/>
          <w:bCs/>
          <w:rtl/>
        </w:rPr>
        <w:t xml:space="preserve"> </w:t>
      </w:r>
      <w:r w:rsidRPr="004D1C9D">
        <w:rPr>
          <w:rFonts w:cs="Arial" w:hint="cs"/>
          <w:b/>
          <w:bCs/>
          <w:rtl/>
        </w:rPr>
        <w:t>ע"</w:t>
      </w:r>
      <w:r>
        <w:rPr>
          <w:rFonts w:cs="Arial" w:hint="cs"/>
          <w:b/>
          <w:bCs/>
          <w:rtl/>
        </w:rPr>
        <w:t>א</w:t>
      </w:r>
      <w:r w:rsidRPr="004D1C9D">
        <w:rPr>
          <w:rFonts w:cs="Arial" w:hint="cs"/>
          <w:b/>
          <w:bCs/>
          <w:rtl/>
        </w:rPr>
        <w:t xml:space="preserve">: </w:t>
      </w:r>
      <w:r w:rsidRPr="00457D5D">
        <w:rPr>
          <w:rFonts w:cs="Arial"/>
          <w:rtl/>
        </w:rPr>
        <w:t>תניא נמי הכי: כך היו נקיי הדעת שבירושלים עושין: לא היו חותמין על השטר אלא אם כן יודעין מי חותם עמהן. ולא היו יושבין בדין אלא אם כן יודעין מי יושב עמהן, ולא היו נכנסין בסעודה אלא אם כן יודעין מי מסב עמהן</w:t>
      </w:r>
      <w:r w:rsidR="000505B9">
        <w:rPr>
          <w:rFonts w:cs="Arial" w:hint="cs"/>
          <w:rtl/>
        </w:rPr>
        <w:t>.</w:t>
      </w:r>
    </w:p>
    <w:p w14:paraId="5D6297BE" w14:textId="77777777" w:rsidR="000505B9" w:rsidRPr="000505B9" w:rsidRDefault="000505B9" w:rsidP="000505B9">
      <w:pPr>
        <w:rPr>
          <w:rFonts w:cs="Arial"/>
          <w:u w:val="single"/>
          <w:rtl/>
        </w:rPr>
      </w:pPr>
      <w:r w:rsidRPr="000505B9">
        <w:rPr>
          <w:rFonts w:cs="Arial" w:hint="cs"/>
          <w:u w:val="single"/>
          <w:rtl/>
        </w:rPr>
        <w:t>הוספת דיינים יתר על שלשה, וישיבה בדין עם אדם שאינו הגון:</w:t>
      </w:r>
    </w:p>
    <w:p w14:paraId="2A643D99" w14:textId="77777777" w:rsidR="004A326E" w:rsidRPr="000505B9" w:rsidRDefault="004A326E" w:rsidP="004B0475">
      <w:pPr>
        <w:pStyle w:val="ac"/>
        <w:numPr>
          <w:ilvl w:val="0"/>
          <w:numId w:val="61"/>
        </w:numPr>
        <w:rPr>
          <w:rFonts w:cs="Arial"/>
          <w:rtl/>
        </w:rPr>
      </w:pPr>
      <w:r w:rsidRPr="000505B9">
        <w:rPr>
          <w:rFonts w:cs="Arial" w:hint="cs"/>
          <w:rtl/>
        </w:rPr>
        <w:t xml:space="preserve">רמב"ם </w:t>
      </w:r>
      <w:r w:rsidRPr="000505B9">
        <w:rPr>
          <w:rFonts w:cs="Arial" w:hint="cs"/>
          <w:sz w:val="16"/>
          <w:szCs w:val="16"/>
          <w:rtl/>
        </w:rPr>
        <w:t>(פ"ב הי"ג-יד)</w:t>
      </w:r>
      <w:r w:rsidR="000505B9" w:rsidRPr="000505B9">
        <w:rPr>
          <w:rFonts w:cs="Arial" w:hint="cs"/>
          <w:rtl/>
        </w:rPr>
        <w:t xml:space="preserve"> וטור</w:t>
      </w:r>
      <w:r w:rsidRPr="000505B9">
        <w:rPr>
          <w:rFonts w:cs="Arial" w:hint="cs"/>
          <w:rtl/>
        </w:rPr>
        <w:t xml:space="preserve">- </w:t>
      </w:r>
      <w:r w:rsidRPr="000505B9">
        <w:rPr>
          <w:rFonts w:cs="Arial"/>
          <w:rtl/>
        </w:rPr>
        <w:t>אף על פי שבית דין של שלשה בית דין שלם הוא כל זמן שהן רבים הרי זה משובח, ומוטב שיחתך הדין באחד עשר יותר מעשרה</w:t>
      </w:r>
      <w:r w:rsidR="000505B9">
        <w:rPr>
          <w:rFonts w:cs="Arial" w:hint="cs"/>
          <w:rtl/>
        </w:rPr>
        <w:t>.</w:t>
      </w:r>
      <w:r w:rsidRPr="000505B9">
        <w:rPr>
          <w:rFonts w:cs="Arial"/>
          <w:rtl/>
        </w:rPr>
        <w:t xml:space="preserve"> וצריכין שיהיו היושבים כולם שם בבית דין תלמידי חכמים וראויין. ואסור לאדם חכם שישב בדין עד שידע עם מי ישב שמא יצטרף עם אנשים שאינן הגונים ונמצא בכלל קשר בוגדים לא בכלל בית דין</w:t>
      </w:r>
      <w:r w:rsidR="000505B9" w:rsidRPr="000505B9">
        <w:rPr>
          <w:rFonts w:cs="Arial" w:hint="cs"/>
          <w:sz w:val="16"/>
          <w:szCs w:val="16"/>
          <w:rtl/>
        </w:rPr>
        <w:t xml:space="preserve"> (ל' הרמב"ם)</w:t>
      </w:r>
      <w:r w:rsidRPr="000505B9">
        <w:rPr>
          <w:rFonts w:cs="Arial" w:hint="cs"/>
          <w:rtl/>
        </w:rPr>
        <w:t>.</w:t>
      </w:r>
      <w:r w:rsidR="000505B9" w:rsidRPr="000505B9">
        <w:rPr>
          <w:rFonts w:cs="Arial" w:hint="cs"/>
          <w:rtl/>
        </w:rPr>
        <w:t xml:space="preserve"> </w:t>
      </w:r>
      <w:r w:rsidR="000505B9" w:rsidRPr="000505B9">
        <w:rPr>
          <w:rFonts w:cs="Arial" w:hint="cs"/>
          <w:color w:val="E36C0A" w:themeColor="accent6" w:themeShade="BF"/>
          <w:rtl/>
        </w:rPr>
        <w:t>(</w:t>
      </w:r>
      <w:r w:rsidRPr="000505B9">
        <w:rPr>
          <w:rFonts w:cs="Arial" w:hint="cs"/>
          <w:color w:val="E36C0A" w:themeColor="accent6" w:themeShade="BF"/>
          <w:rtl/>
        </w:rPr>
        <w:t>וכ"פ בשו"ע</w:t>
      </w:r>
      <w:r w:rsidR="000505B9" w:rsidRPr="000505B9">
        <w:rPr>
          <w:rFonts w:cs="Arial" w:hint="cs"/>
          <w:color w:val="E36C0A" w:themeColor="accent6" w:themeShade="BF"/>
          <w:rtl/>
        </w:rPr>
        <w:t>)</w:t>
      </w:r>
      <w:r w:rsidRPr="000505B9">
        <w:rPr>
          <w:rFonts w:cs="Arial"/>
          <w:rtl/>
        </w:rPr>
        <w:t xml:space="preserve"> </w:t>
      </w:r>
    </w:p>
    <w:p w14:paraId="629BEDCC" w14:textId="77777777" w:rsidR="004A326E" w:rsidRDefault="004A326E" w:rsidP="004A326E">
      <w:pPr>
        <w:rPr>
          <w:rFonts w:cs="Arial"/>
          <w:rtl/>
        </w:rPr>
      </w:pPr>
      <w:r w:rsidRPr="004D1C9D">
        <w:rPr>
          <w:rFonts w:cs="Arial" w:hint="cs"/>
          <w:b/>
          <w:bCs/>
          <w:rtl/>
        </w:rPr>
        <w:t xml:space="preserve">סנהדרין </w:t>
      </w:r>
      <w:r w:rsidRPr="004D1C9D">
        <w:rPr>
          <w:rFonts w:cs="Arial" w:hint="cs"/>
          <w:b/>
          <w:bCs/>
          <w:sz w:val="16"/>
          <w:szCs w:val="16"/>
          <w:rtl/>
        </w:rPr>
        <w:t xml:space="preserve">(פ"ק) </w:t>
      </w:r>
      <w:r>
        <w:rPr>
          <w:rFonts w:cs="Arial" w:hint="cs"/>
          <w:b/>
          <w:bCs/>
          <w:rtl/>
        </w:rPr>
        <w:t>ה</w:t>
      </w:r>
      <w:r w:rsidR="00126BC5">
        <w:rPr>
          <w:rStyle w:val="ab"/>
          <w:rFonts w:cs="Arial"/>
          <w:b/>
          <w:bCs/>
          <w:rtl/>
        </w:rPr>
        <w:footnoteReference w:id="181"/>
      </w:r>
      <w:r>
        <w:rPr>
          <w:rFonts w:cs="Arial" w:hint="cs"/>
          <w:b/>
          <w:bCs/>
          <w:rtl/>
        </w:rPr>
        <w:t xml:space="preserve"> </w:t>
      </w:r>
      <w:r w:rsidRPr="004D1C9D">
        <w:rPr>
          <w:rFonts w:cs="Arial" w:hint="cs"/>
          <w:b/>
          <w:bCs/>
          <w:rtl/>
        </w:rPr>
        <w:t>ע"</w:t>
      </w:r>
      <w:r>
        <w:rPr>
          <w:rFonts w:cs="Arial" w:hint="cs"/>
          <w:b/>
          <w:bCs/>
          <w:rtl/>
        </w:rPr>
        <w:t>א</w:t>
      </w:r>
      <w:r w:rsidRPr="004D1C9D">
        <w:rPr>
          <w:rFonts w:cs="Arial" w:hint="cs"/>
          <w:b/>
          <w:bCs/>
          <w:rtl/>
        </w:rPr>
        <w:t xml:space="preserve">: </w:t>
      </w:r>
      <w:r w:rsidRPr="00FD3199">
        <w:rPr>
          <w:rFonts w:cs="Arial"/>
          <w:u w:val="single"/>
          <w:rtl/>
        </w:rPr>
        <w:t>אמר רב</w:t>
      </w:r>
      <w:r w:rsidRPr="00FD3199">
        <w:rPr>
          <w:rFonts w:cs="Arial"/>
          <w:rtl/>
        </w:rPr>
        <w:t>: האי מאן דבעי למידן דינא, ואי טעה מיבעי למיפטרא - לישקול רשותא</w:t>
      </w:r>
      <w:r>
        <w:rPr>
          <w:rStyle w:val="ab"/>
          <w:rFonts w:cs="Arial"/>
          <w:rtl/>
        </w:rPr>
        <w:footnoteReference w:id="182"/>
      </w:r>
      <w:r w:rsidRPr="00FD3199">
        <w:rPr>
          <w:rFonts w:cs="Arial"/>
          <w:rtl/>
        </w:rPr>
        <w:t xml:space="preserve"> מבי ריש גלותא. </w:t>
      </w:r>
      <w:r w:rsidRPr="00FD3199">
        <w:rPr>
          <w:rFonts w:cs="Arial"/>
          <w:u w:val="single"/>
          <w:rtl/>
        </w:rPr>
        <w:t>וכן אמר שמואל</w:t>
      </w:r>
      <w:r w:rsidRPr="00FD3199">
        <w:rPr>
          <w:rFonts w:cs="Arial"/>
          <w:rtl/>
        </w:rPr>
        <w:t>: לשקול רשותא מבי ריש גלותא. פשיטא, מהכא להכא</w:t>
      </w:r>
      <w:r>
        <w:rPr>
          <w:rStyle w:val="ab"/>
          <w:rFonts w:cs="Arial"/>
          <w:rtl/>
        </w:rPr>
        <w:footnoteReference w:id="183"/>
      </w:r>
      <w:r w:rsidRPr="00FD3199">
        <w:rPr>
          <w:rFonts w:cs="Arial"/>
          <w:rtl/>
        </w:rPr>
        <w:t xml:space="preserve"> ומהתם להתם</w:t>
      </w:r>
      <w:r>
        <w:rPr>
          <w:rStyle w:val="ab"/>
          <w:rFonts w:cs="Arial"/>
          <w:rtl/>
        </w:rPr>
        <w:footnoteReference w:id="184"/>
      </w:r>
      <w:r w:rsidRPr="00FD3199">
        <w:rPr>
          <w:rFonts w:cs="Arial"/>
          <w:rtl/>
        </w:rPr>
        <w:t xml:space="preserve"> - מהני, ומהכא להתם - נמי מהני</w:t>
      </w:r>
      <w:r w:rsidR="00AD739D">
        <w:rPr>
          <w:rFonts w:cs="Arial" w:hint="cs"/>
          <w:rtl/>
        </w:rPr>
        <w:t>,</w:t>
      </w:r>
      <w:r w:rsidRPr="00FD3199">
        <w:rPr>
          <w:rFonts w:cs="Arial"/>
          <w:rtl/>
        </w:rPr>
        <w:t xml:space="preserve"> דהכא שבט</w:t>
      </w:r>
      <w:r>
        <w:rPr>
          <w:rStyle w:val="ab"/>
          <w:rFonts w:cs="Arial"/>
          <w:rtl/>
        </w:rPr>
        <w:footnoteReference w:id="185"/>
      </w:r>
      <w:r w:rsidRPr="00FD3199">
        <w:rPr>
          <w:rFonts w:cs="Arial"/>
          <w:rtl/>
        </w:rPr>
        <w:t xml:space="preserve"> והתם מחוקק</w:t>
      </w:r>
      <w:r>
        <w:rPr>
          <w:rStyle w:val="ab"/>
          <w:rFonts w:cs="Arial"/>
          <w:rtl/>
        </w:rPr>
        <w:footnoteReference w:id="186"/>
      </w:r>
      <w:r w:rsidRPr="00FD3199">
        <w:rPr>
          <w:rFonts w:cs="Arial"/>
          <w:rtl/>
        </w:rPr>
        <w:t>. כדתניא: לא יסור שבט מיהודה - אלו ראשי גליות שבבבל, שרודין את ישראל</w:t>
      </w:r>
      <w:r>
        <w:rPr>
          <w:rStyle w:val="ab"/>
          <w:rFonts w:cs="Arial"/>
          <w:rtl/>
        </w:rPr>
        <w:footnoteReference w:id="187"/>
      </w:r>
      <w:r w:rsidRPr="00FD3199">
        <w:rPr>
          <w:rFonts w:cs="Arial"/>
          <w:rtl/>
        </w:rPr>
        <w:t xml:space="preserve"> בשבט. ומחקק מבין רגליו - אלו בני בניו של הלל</w:t>
      </w:r>
      <w:r w:rsidR="00AD739D">
        <w:rPr>
          <w:rStyle w:val="ab"/>
          <w:rFonts w:cs="Arial"/>
          <w:rtl/>
        </w:rPr>
        <w:footnoteReference w:id="188"/>
      </w:r>
      <w:r w:rsidRPr="00FD3199">
        <w:rPr>
          <w:rFonts w:cs="Arial"/>
          <w:rtl/>
        </w:rPr>
        <w:t>, שמלמדין תורה ברבים. מהתם להכא מאי? תא שמע: דרבה בר חנה דן דינא וטעה, אתא לקמיה דרבי חייא. אמר ליה: אי קיבלוך עלייהו - לא תשלם, ואי לא - זיל שלים. והא רבה בר חנה רשותא הוה נקיט! שמע מינה: מהתם להכא - לא מהני, שמע מינה.</w:t>
      </w:r>
    </w:p>
    <w:p w14:paraId="12FE9570" w14:textId="77777777" w:rsidR="00863467" w:rsidRPr="00EE5A40" w:rsidRDefault="00863467" w:rsidP="00863467">
      <w:pPr>
        <w:rPr>
          <w:rFonts w:cs="Arial"/>
          <w:u w:val="single"/>
          <w:rtl/>
        </w:rPr>
      </w:pPr>
      <w:r w:rsidRPr="00EE5A40">
        <w:rPr>
          <w:rFonts w:cs="Arial" w:hint="cs"/>
          <w:u w:val="single"/>
          <w:rtl/>
        </w:rPr>
        <w:t>די</w:t>
      </w:r>
      <w:r>
        <w:rPr>
          <w:rFonts w:cs="Arial" w:hint="cs"/>
          <w:u w:val="single"/>
          <w:rtl/>
        </w:rPr>
        <w:t>ן נטילת רשות</w:t>
      </w:r>
      <w:r w:rsidRPr="00EE5A40">
        <w:rPr>
          <w:rFonts w:cs="Arial" w:hint="cs"/>
          <w:u w:val="single"/>
          <w:rtl/>
        </w:rPr>
        <w:t>:</w:t>
      </w:r>
    </w:p>
    <w:p w14:paraId="4BB7937F" w14:textId="77777777" w:rsidR="00A662E1" w:rsidRDefault="00A662E1" w:rsidP="004B0475">
      <w:pPr>
        <w:pStyle w:val="ac"/>
        <w:numPr>
          <w:ilvl w:val="0"/>
          <w:numId w:val="50"/>
        </w:numPr>
        <w:rPr>
          <w:rtl/>
        </w:rPr>
      </w:pPr>
      <w:r>
        <w:rPr>
          <w:rFonts w:cs="Arial" w:hint="cs"/>
          <w:rtl/>
        </w:rPr>
        <w:t xml:space="preserve">רא"ש </w:t>
      </w:r>
      <w:r>
        <w:rPr>
          <w:rFonts w:cs="Arial" w:hint="cs"/>
          <w:sz w:val="16"/>
          <w:szCs w:val="16"/>
          <w:rtl/>
        </w:rPr>
        <w:t>(סנהדרין פ' אחד דיני ממונות סי' ה ד"ה רב ששת אמר, וכן בפ"א סי' ב)</w:t>
      </w:r>
      <w:r w:rsidR="0061588B">
        <w:rPr>
          <w:rFonts w:cs="Arial" w:hint="cs"/>
          <w:rtl/>
        </w:rPr>
        <w:t xml:space="preserve"> וטור</w:t>
      </w:r>
      <w:r w:rsidR="00863467">
        <w:rPr>
          <w:rFonts w:cs="Arial" w:hint="cs"/>
          <w:rtl/>
        </w:rPr>
        <w:t xml:space="preserve">- </w:t>
      </w:r>
      <w:r w:rsidRPr="00EC1138">
        <w:rPr>
          <w:rFonts w:cs="Arial"/>
          <w:rtl/>
        </w:rPr>
        <w:t>יחיד הדיוט או שנים הדיוטות ונקיטי רשותא מבי ריש גלותא אע</w:t>
      </w:r>
      <w:r>
        <w:rPr>
          <w:rFonts w:cs="Arial" w:hint="cs"/>
          <w:rtl/>
        </w:rPr>
        <w:t>"</w:t>
      </w:r>
      <w:r w:rsidRPr="00EC1138">
        <w:rPr>
          <w:rFonts w:cs="Arial"/>
          <w:rtl/>
        </w:rPr>
        <w:t xml:space="preserve">פ דלא קבלום עלייהו אם טעה בשקול הדעת </w:t>
      </w:r>
      <w:r w:rsidR="008B3CE8">
        <w:rPr>
          <w:rFonts w:cs="Arial" w:hint="cs"/>
          <w:rtl/>
        </w:rPr>
        <w:t xml:space="preserve">- </w:t>
      </w:r>
      <w:r w:rsidRPr="00EC1138">
        <w:rPr>
          <w:rFonts w:cs="Arial"/>
          <w:rtl/>
        </w:rPr>
        <w:t>פטור ואפילו נשא ונתן ביד</w:t>
      </w:r>
      <w:r w:rsidR="008B3CE8">
        <w:rPr>
          <w:rFonts w:cs="Arial" w:hint="cs"/>
          <w:rtl/>
        </w:rPr>
        <w:t>,</w:t>
      </w:r>
      <w:r w:rsidRPr="00EC1138">
        <w:rPr>
          <w:rFonts w:cs="Arial"/>
          <w:rtl/>
        </w:rPr>
        <w:t xml:space="preserve"> כדאמר לעיל בפ"ק </w:t>
      </w:r>
      <w:r w:rsidRPr="00EC1138">
        <w:rPr>
          <w:rFonts w:cs="Arial"/>
          <w:sz w:val="16"/>
          <w:szCs w:val="16"/>
          <w:rtl/>
        </w:rPr>
        <w:t>(ה</w:t>
      </w:r>
      <w:r w:rsidRPr="00EC1138">
        <w:rPr>
          <w:rFonts w:cs="Arial" w:hint="cs"/>
          <w:sz w:val="16"/>
          <w:szCs w:val="16"/>
          <w:rtl/>
        </w:rPr>
        <w:t>.</w:t>
      </w:r>
      <w:r w:rsidRPr="00EC1138">
        <w:rPr>
          <w:rFonts w:cs="Arial"/>
          <w:sz w:val="16"/>
          <w:szCs w:val="16"/>
          <w:rtl/>
        </w:rPr>
        <w:t xml:space="preserve">) </w:t>
      </w:r>
      <w:r w:rsidRPr="00EC1138">
        <w:rPr>
          <w:rFonts w:cs="Arial"/>
          <w:rtl/>
        </w:rPr>
        <w:t>אמר שמואל האי מאן דבעי למידן דינא ואי טעי ליפטר לינקוט רשותא מבי ריש גלותא. ומשמע לא שנא מומחה ולא שנא אינו מומחה דכיון דיהיבי ליה רשותא כמומחה הוי</w:t>
      </w:r>
      <w:r w:rsidR="0061588B">
        <w:rPr>
          <w:rStyle w:val="ab"/>
          <w:rFonts w:cs="Arial"/>
          <w:rtl/>
        </w:rPr>
        <w:footnoteReference w:id="189"/>
      </w:r>
      <w:r w:rsidRPr="00EC1138">
        <w:rPr>
          <w:rFonts w:cs="Arial"/>
          <w:rtl/>
        </w:rPr>
        <w:t>. ודוקא דגמיר ולא סביר</w:t>
      </w:r>
      <w:r w:rsidR="0061588B">
        <w:rPr>
          <w:rFonts w:cs="Arial" w:hint="cs"/>
          <w:rtl/>
        </w:rPr>
        <w:t>,</w:t>
      </w:r>
      <w:r w:rsidRPr="00EC1138">
        <w:rPr>
          <w:rFonts w:cs="Arial"/>
          <w:rtl/>
        </w:rPr>
        <w:t xml:space="preserve"> אבל לא גמיר ולא סביר </w:t>
      </w:r>
      <w:r w:rsidR="0061588B">
        <w:rPr>
          <w:rFonts w:cs="Arial" w:hint="cs"/>
          <w:rtl/>
        </w:rPr>
        <w:t xml:space="preserve">- </w:t>
      </w:r>
      <w:r w:rsidRPr="00EC1138">
        <w:rPr>
          <w:rFonts w:cs="Arial"/>
          <w:rtl/>
        </w:rPr>
        <w:t>פסול לדינא</w:t>
      </w:r>
      <w:r w:rsidR="008B3CE8">
        <w:rPr>
          <w:rStyle w:val="ab"/>
          <w:rFonts w:cs="Arial"/>
          <w:rtl/>
        </w:rPr>
        <w:footnoteReference w:id="190"/>
      </w:r>
      <w:r w:rsidR="008B3CE8">
        <w:rPr>
          <w:rFonts w:cs="Arial" w:hint="cs"/>
          <w:rtl/>
        </w:rPr>
        <w:t xml:space="preserve"> </w:t>
      </w:r>
      <w:r w:rsidR="0061588B">
        <w:rPr>
          <w:rFonts w:cs="Arial" w:hint="cs"/>
          <w:sz w:val="16"/>
          <w:szCs w:val="16"/>
          <w:rtl/>
        </w:rPr>
        <w:t>(ל' הרא"ש)</w:t>
      </w:r>
      <w:r w:rsidRPr="001A4D5C">
        <w:rPr>
          <w:rFonts w:cs="Arial" w:hint="cs"/>
          <w:rtl/>
        </w:rPr>
        <w:t>.</w:t>
      </w:r>
    </w:p>
    <w:p w14:paraId="5CA2569C" w14:textId="77777777" w:rsidR="00863467" w:rsidRDefault="00863467" w:rsidP="004B0475">
      <w:pPr>
        <w:pStyle w:val="ac"/>
        <w:numPr>
          <w:ilvl w:val="0"/>
          <w:numId w:val="50"/>
        </w:numPr>
        <w:rPr>
          <w:rFonts w:cs="Arial"/>
        </w:rPr>
      </w:pPr>
      <w:r w:rsidRPr="00EE5A40">
        <w:rPr>
          <w:rFonts w:cs="Arial" w:hint="cs"/>
          <w:rtl/>
        </w:rPr>
        <w:t xml:space="preserve">רמב"ם </w:t>
      </w:r>
      <w:r w:rsidRPr="00EE5A40">
        <w:rPr>
          <w:rFonts w:cs="Arial" w:hint="cs"/>
          <w:sz w:val="16"/>
          <w:szCs w:val="16"/>
          <w:rtl/>
        </w:rPr>
        <w:t xml:space="preserve">(פ"ו </w:t>
      </w:r>
      <w:r>
        <w:rPr>
          <w:rFonts w:cs="Arial" w:hint="cs"/>
          <w:sz w:val="16"/>
          <w:szCs w:val="16"/>
          <w:rtl/>
        </w:rPr>
        <w:t xml:space="preserve">מסנהדרין </w:t>
      </w:r>
      <w:r w:rsidRPr="00EE5A40">
        <w:rPr>
          <w:rFonts w:cs="Arial" w:hint="cs"/>
          <w:sz w:val="16"/>
          <w:szCs w:val="16"/>
          <w:rtl/>
        </w:rPr>
        <w:t>ה"ד)</w:t>
      </w:r>
      <w:r w:rsidRPr="00EE5A40">
        <w:rPr>
          <w:rFonts w:cs="Arial" w:hint="cs"/>
          <w:rtl/>
        </w:rPr>
        <w:t>-</w:t>
      </w:r>
      <w:r>
        <w:rPr>
          <w:rFonts w:cs="Arial" w:hint="cs"/>
          <w:rtl/>
        </w:rPr>
        <w:t xml:space="preserve"> </w:t>
      </w:r>
      <w:r w:rsidRPr="00EE5A40">
        <w:rPr>
          <w:rFonts w:cs="Arial"/>
          <w:rtl/>
        </w:rPr>
        <w:t>מי שאינו מומחה ולא קבלו אותו בעלי דינין אע</w:t>
      </w:r>
      <w:r>
        <w:rPr>
          <w:rFonts w:cs="Arial" w:hint="cs"/>
          <w:rtl/>
        </w:rPr>
        <w:t>"</w:t>
      </w:r>
      <w:r w:rsidRPr="00EE5A40">
        <w:rPr>
          <w:rFonts w:cs="Arial"/>
          <w:rtl/>
        </w:rPr>
        <w:t xml:space="preserve">פ שנטל רשות </w:t>
      </w:r>
      <w:r w:rsidR="008B3CE8">
        <w:rPr>
          <w:rFonts w:cs="Arial" w:hint="cs"/>
          <w:rtl/>
        </w:rPr>
        <w:t xml:space="preserve">- </w:t>
      </w:r>
      <w:r w:rsidRPr="00EE5A40">
        <w:rPr>
          <w:rFonts w:cs="Arial"/>
          <w:rtl/>
        </w:rPr>
        <w:t>הרי זה בכלל בעלי זרוע ואינו בכלל הדיינין</w:t>
      </w:r>
      <w:r w:rsidR="008B3CE8">
        <w:rPr>
          <w:rFonts w:cs="Arial" w:hint="cs"/>
          <w:rtl/>
        </w:rPr>
        <w:t>.</w:t>
      </w:r>
      <w:r w:rsidRPr="00EE5A40">
        <w:rPr>
          <w:rFonts w:cs="Arial"/>
          <w:rtl/>
        </w:rPr>
        <w:t xml:space="preserve"> לפיכך </w:t>
      </w:r>
      <w:r w:rsidR="008B3CE8">
        <w:rPr>
          <w:rFonts w:cs="Arial" w:hint="cs"/>
          <w:rtl/>
        </w:rPr>
        <w:t xml:space="preserve">- </w:t>
      </w:r>
      <w:r w:rsidRPr="00EE5A40">
        <w:rPr>
          <w:rFonts w:cs="Arial"/>
          <w:rtl/>
        </w:rPr>
        <w:t>אין דיניו דין בין טעה בין לא טעה</w:t>
      </w:r>
      <w:r w:rsidR="008B3CE8">
        <w:rPr>
          <w:rFonts w:cs="Arial" w:hint="cs"/>
          <w:rtl/>
        </w:rPr>
        <w:t>.</w:t>
      </w:r>
      <w:r w:rsidRPr="00EE5A40">
        <w:rPr>
          <w:rFonts w:cs="Arial"/>
          <w:rtl/>
        </w:rPr>
        <w:t xml:space="preserve"> וכל אחד מבעלי דינין אם רצה </w:t>
      </w:r>
      <w:r w:rsidR="008B3CE8">
        <w:rPr>
          <w:rFonts w:cs="Arial" w:hint="cs"/>
          <w:rtl/>
        </w:rPr>
        <w:t xml:space="preserve">- </w:t>
      </w:r>
      <w:r w:rsidRPr="00EE5A40">
        <w:rPr>
          <w:rFonts w:cs="Arial"/>
          <w:rtl/>
        </w:rPr>
        <w:t xml:space="preserve">חוזר ודן </w:t>
      </w:r>
      <w:r w:rsidRPr="00EE5A40">
        <w:rPr>
          <w:rFonts w:cs="Arial"/>
          <w:rtl/>
        </w:rPr>
        <w:lastRenderedPageBreak/>
        <w:t>בפני בית דין</w:t>
      </w:r>
      <w:r w:rsidR="008B3CE8">
        <w:rPr>
          <w:rFonts w:cs="Arial" w:hint="cs"/>
          <w:rtl/>
        </w:rPr>
        <w:t>.</w:t>
      </w:r>
      <w:r w:rsidRPr="00EE5A40">
        <w:rPr>
          <w:rFonts w:cs="Arial"/>
          <w:rtl/>
        </w:rPr>
        <w:t xml:space="preserve"> ואם טעה ונשא ונתן ביד </w:t>
      </w:r>
      <w:r w:rsidR="008B3CE8">
        <w:rPr>
          <w:rFonts w:cs="Arial" w:hint="cs"/>
          <w:rtl/>
        </w:rPr>
        <w:t xml:space="preserve">- </w:t>
      </w:r>
      <w:r w:rsidRPr="00EE5A40">
        <w:rPr>
          <w:rFonts w:cs="Arial"/>
          <w:rtl/>
        </w:rPr>
        <w:t>חייב לשלם מביתו</w:t>
      </w:r>
      <w:r w:rsidR="008B3CE8">
        <w:rPr>
          <w:rFonts w:cs="Arial" w:hint="cs"/>
          <w:rtl/>
        </w:rPr>
        <w:t>,</w:t>
      </w:r>
      <w:r w:rsidRPr="00EE5A40">
        <w:rPr>
          <w:rFonts w:cs="Arial"/>
          <w:rtl/>
        </w:rPr>
        <w:t xml:space="preserve"> וחוזר ולוקח מבעל דין זה שנתן לו שלא כהלכה</w:t>
      </w:r>
      <w:r w:rsidR="008B3CE8">
        <w:rPr>
          <w:rFonts w:cs="Arial" w:hint="cs"/>
          <w:rtl/>
        </w:rPr>
        <w:t>.</w:t>
      </w:r>
      <w:r w:rsidRPr="00EE5A40">
        <w:rPr>
          <w:rFonts w:cs="Arial"/>
          <w:rtl/>
        </w:rPr>
        <w:t xml:space="preserve"> ואם אין לו להחזיר או שטמא או שהאכיל דבר המותר לכלבים</w:t>
      </w:r>
      <w:r w:rsidR="008B3CE8">
        <w:rPr>
          <w:rFonts w:cs="Arial" w:hint="cs"/>
          <w:rtl/>
        </w:rPr>
        <w:t xml:space="preserve"> -</w:t>
      </w:r>
      <w:r w:rsidRPr="00EE5A40">
        <w:rPr>
          <w:rFonts w:cs="Arial"/>
          <w:rtl/>
        </w:rPr>
        <w:t xml:space="preserve"> ישלם כדין כל גורם להזיק</w:t>
      </w:r>
      <w:r>
        <w:rPr>
          <w:rFonts w:cs="Arial" w:hint="cs"/>
          <w:rtl/>
        </w:rPr>
        <w:t>,</w:t>
      </w:r>
      <w:r w:rsidRPr="00EE5A40">
        <w:rPr>
          <w:rFonts w:cs="Arial"/>
          <w:rtl/>
        </w:rPr>
        <w:t xml:space="preserve"> שזה מתכוין להזיק הוא</w:t>
      </w:r>
      <w:r w:rsidRPr="00EE5A40">
        <w:rPr>
          <w:rFonts w:cs="Arial" w:hint="cs"/>
          <w:rtl/>
        </w:rPr>
        <w:t>.</w:t>
      </w:r>
      <w:r>
        <w:rPr>
          <w:rFonts w:cs="Arial" w:hint="cs"/>
          <w:rtl/>
        </w:rPr>
        <w:t xml:space="preserve"> </w:t>
      </w:r>
      <w:r w:rsidRPr="00EE584E">
        <w:rPr>
          <w:rFonts w:cs="Arial" w:hint="cs"/>
          <w:color w:val="E36C0A" w:themeColor="accent6" w:themeShade="BF"/>
          <w:rtl/>
        </w:rPr>
        <w:t>(וכ"פ בשו"ע)</w:t>
      </w:r>
    </w:p>
    <w:p w14:paraId="5AE198F4" w14:textId="77777777" w:rsidR="00863467" w:rsidRPr="00863467" w:rsidRDefault="00863467" w:rsidP="00863467">
      <w:pPr>
        <w:ind w:left="360"/>
        <w:rPr>
          <w:rFonts w:cs="Arial"/>
        </w:rPr>
      </w:pPr>
      <w:r>
        <w:rPr>
          <w:rFonts w:cs="Arial" w:hint="cs"/>
          <w:u w:val="dotted"/>
          <w:rtl/>
        </w:rPr>
        <w:t>האם שייך דין 'נטילת רשות'</w:t>
      </w:r>
      <w:r w:rsidRPr="00863467">
        <w:rPr>
          <w:rFonts w:cs="Arial" w:hint="cs"/>
          <w:u w:val="dotted"/>
          <w:rtl/>
        </w:rPr>
        <w:t xml:space="preserve"> </w:t>
      </w:r>
      <w:r w:rsidRPr="00863467">
        <w:rPr>
          <w:rFonts w:cs="Arial" w:hint="cs"/>
          <w:b/>
          <w:bCs/>
          <w:u w:val="dotted"/>
          <w:rtl/>
        </w:rPr>
        <w:t>בזמה"ז</w:t>
      </w:r>
      <w:r>
        <w:rPr>
          <w:rFonts w:cs="Arial" w:hint="cs"/>
          <w:u w:val="dotted"/>
          <w:rtl/>
        </w:rPr>
        <w:t>:</w:t>
      </w:r>
    </w:p>
    <w:p w14:paraId="1BB5B344" w14:textId="77777777" w:rsidR="005339AC" w:rsidRPr="005339AC" w:rsidRDefault="00863467" w:rsidP="004B0475">
      <w:pPr>
        <w:pStyle w:val="ac"/>
        <w:numPr>
          <w:ilvl w:val="0"/>
          <w:numId w:val="52"/>
        </w:numPr>
        <w:rPr>
          <w:rFonts w:cs="Arial"/>
        </w:rPr>
      </w:pPr>
      <w:r>
        <w:rPr>
          <w:rFonts w:cs="Arial" w:hint="cs"/>
          <w:rtl/>
        </w:rPr>
        <w:t>טור- ו</w:t>
      </w:r>
      <w:r w:rsidR="005339AC" w:rsidRPr="005339AC">
        <w:rPr>
          <w:rFonts w:cs="Arial"/>
          <w:rtl/>
        </w:rPr>
        <w:t>האידנא שאין לנו נטילת רשות</w:t>
      </w:r>
      <w:r>
        <w:rPr>
          <w:rFonts w:cs="Arial" w:hint="cs"/>
          <w:rtl/>
        </w:rPr>
        <w:t>,</w:t>
      </w:r>
      <w:r w:rsidR="005339AC" w:rsidRPr="005339AC">
        <w:rPr>
          <w:rFonts w:cs="Arial"/>
          <w:rtl/>
        </w:rPr>
        <w:t xml:space="preserve"> שאין נטילת רשות אלא מב"ד סמוך בא"י או מריש גלותא בבבל ואין לנו לא זה ולא זה</w:t>
      </w:r>
      <w:r>
        <w:rPr>
          <w:rFonts w:cs="Arial" w:hint="cs"/>
          <w:rtl/>
        </w:rPr>
        <w:t>,</w:t>
      </w:r>
      <w:r w:rsidR="005339AC" w:rsidRPr="005339AC">
        <w:rPr>
          <w:rFonts w:cs="Arial"/>
          <w:rtl/>
        </w:rPr>
        <w:t xml:space="preserve"> לפיכך יראה דרשות שנותן המלך </w:t>
      </w:r>
      <w:r>
        <w:rPr>
          <w:rFonts w:cs="Arial" w:hint="cs"/>
          <w:rtl/>
        </w:rPr>
        <w:t xml:space="preserve">- </w:t>
      </w:r>
      <w:r w:rsidR="005339AC" w:rsidRPr="005339AC">
        <w:rPr>
          <w:rFonts w:cs="Arial"/>
          <w:rtl/>
        </w:rPr>
        <w:t>אינו כלום</w:t>
      </w:r>
      <w:r>
        <w:rPr>
          <w:rFonts w:cs="Arial" w:hint="cs"/>
          <w:rtl/>
        </w:rPr>
        <w:t>,</w:t>
      </w:r>
      <w:r w:rsidR="005339AC" w:rsidRPr="005339AC">
        <w:rPr>
          <w:rFonts w:cs="Arial"/>
          <w:rtl/>
        </w:rPr>
        <w:t xml:space="preserve"> דהא דמהני נטילת רשות ילפינן מקרא דלא יסור שבט מיהודה אלו ראשי גליות שבבבל אבל רשות שנותן המלך אינו כלום</w:t>
      </w:r>
      <w:r>
        <w:rPr>
          <w:rStyle w:val="ab"/>
          <w:rFonts w:cs="Arial"/>
          <w:rtl/>
        </w:rPr>
        <w:footnoteReference w:id="191"/>
      </w:r>
      <w:r w:rsidR="005339AC">
        <w:rPr>
          <w:rFonts w:cs="Arial" w:hint="cs"/>
          <w:rtl/>
        </w:rPr>
        <w:t>.</w:t>
      </w:r>
      <w:r w:rsidR="005339AC" w:rsidRPr="005339AC">
        <w:rPr>
          <w:rFonts w:cs="Arial"/>
          <w:rtl/>
        </w:rPr>
        <w:t xml:space="preserve"> וגדולה מזאת כתב הרמב"ם</w:t>
      </w:r>
      <w:r w:rsidR="005339AC">
        <w:rPr>
          <w:rFonts w:cs="Arial" w:hint="cs"/>
          <w:sz w:val="16"/>
          <w:szCs w:val="16"/>
          <w:rtl/>
        </w:rPr>
        <w:t xml:space="preserve"> </w:t>
      </w:r>
      <w:r w:rsidR="005339AC" w:rsidRPr="00EE5A40">
        <w:rPr>
          <w:rFonts w:cs="Arial" w:hint="cs"/>
          <w:sz w:val="16"/>
          <w:szCs w:val="16"/>
          <w:rtl/>
        </w:rPr>
        <w:t>(פ"ו ה"ד)</w:t>
      </w:r>
      <w:r w:rsidR="005339AC" w:rsidRPr="005339AC">
        <w:rPr>
          <w:rFonts w:cs="Arial"/>
          <w:rtl/>
        </w:rPr>
        <w:t xml:space="preserve"> שאפילו רשות מריש גלותא אינו מועיל למי שאינו מומחה</w:t>
      </w:r>
      <w:r w:rsidR="005339AC">
        <w:rPr>
          <w:rFonts w:cs="Arial" w:hint="cs"/>
          <w:rtl/>
        </w:rPr>
        <w:t>,</w:t>
      </w:r>
      <w:r w:rsidR="005339AC" w:rsidRPr="005339AC">
        <w:rPr>
          <w:rFonts w:cs="Arial"/>
          <w:rtl/>
        </w:rPr>
        <w:t xml:space="preserve"> שכתב</w:t>
      </w:r>
      <w:r w:rsidR="005339AC">
        <w:rPr>
          <w:rFonts w:cs="Arial" w:hint="cs"/>
          <w:rtl/>
        </w:rPr>
        <w:t>-</w:t>
      </w:r>
      <w:r w:rsidR="005339AC" w:rsidRPr="005339AC">
        <w:rPr>
          <w:rFonts w:cs="Arial"/>
          <w:rtl/>
        </w:rPr>
        <w:t xml:space="preserve"> מי שאינו מומחה ולא קבלו אותו בעלי דינן עליהם אע</w:t>
      </w:r>
      <w:r w:rsidR="005339AC">
        <w:rPr>
          <w:rFonts w:cs="Arial" w:hint="cs"/>
          <w:rtl/>
        </w:rPr>
        <w:t>"</w:t>
      </w:r>
      <w:r w:rsidR="005339AC" w:rsidRPr="005339AC">
        <w:rPr>
          <w:rFonts w:cs="Arial"/>
          <w:rtl/>
        </w:rPr>
        <w:t>פ שנטל רשות ה"ז בכלל בעלי זרוע ואינו בכלל דיינים</w:t>
      </w:r>
      <w:r w:rsidR="005339AC">
        <w:rPr>
          <w:rStyle w:val="ab"/>
          <w:rFonts w:cs="Arial"/>
          <w:rtl/>
        </w:rPr>
        <w:footnoteReference w:id="192"/>
      </w:r>
      <w:r w:rsidR="005339AC">
        <w:rPr>
          <w:rFonts w:cs="Arial" w:hint="cs"/>
          <w:rtl/>
        </w:rPr>
        <w:t>,</w:t>
      </w:r>
      <w:r w:rsidR="005339AC" w:rsidRPr="005339AC">
        <w:rPr>
          <w:rFonts w:cs="Arial"/>
          <w:rtl/>
        </w:rPr>
        <w:t xml:space="preserve"> לפיכך אין דינו דין בין טעה בין לא טעה וכל אחד מבעלי דינין אם רצה חוזר ודן בפני ב"ד אחר ואם טעה ונשא ונתן ביד חייב לשלם וחוזר ולוקח מבעלי דין מה שנתן לו שלא כדין ואם אין לו להחזיר או שטמא או שהאכיל לכלבים דבר המותר ישלם כדין כל אדם המזיק</w:t>
      </w:r>
      <w:r w:rsidR="0061588B">
        <w:rPr>
          <w:rFonts w:cs="Arial" w:hint="cs"/>
          <w:rtl/>
        </w:rPr>
        <w:t>,</w:t>
      </w:r>
      <w:r w:rsidR="005339AC" w:rsidRPr="005339AC">
        <w:rPr>
          <w:rFonts w:cs="Arial"/>
          <w:rtl/>
        </w:rPr>
        <w:t xml:space="preserve"> ע</w:t>
      </w:r>
      <w:r w:rsidR="0061588B">
        <w:rPr>
          <w:rFonts w:cs="Arial" w:hint="cs"/>
          <w:rtl/>
        </w:rPr>
        <w:t xml:space="preserve">ד </w:t>
      </w:r>
      <w:r w:rsidR="005339AC" w:rsidRPr="005339AC">
        <w:rPr>
          <w:rFonts w:cs="Arial"/>
          <w:rtl/>
        </w:rPr>
        <w:t>כ</w:t>
      </w:r>
      <w:r w:rsidR="0061588B">
        <w:rPr>
          <w:rFonts w:cs="Arial" w:hint="cs"/>
          <w:rtl/>
        </w:rPr>
        <w:t>אן</w:t>
      </w:r>
      <w:r w:rsidR="005339AC">
        <w:rPr>
          <w:rFonts w:cs="Arial" w:hint="cs"/>
          <w:rtl/>
        </w:rPr>
        <w:t>.</w:t>
      </w:r>
      <w:r w:rsidR="005339AC" w:rsidRPr="005339AC">
        <w:rPr>
          <w:rFonts w:cs="Arial"/>
          <w:rtl/>
        </w:rPr>
        <w:t xml:space="preserve"> </w:t>
      </w:r>
      <w:r w:rsidR="00D9235C">
        <w:rPr>
          <w:rFonts w:cs="Arial" w:hint="cs"/>
          <w:rtl/>
        </w:rPr>
        <w:t xml:space="preserve"> </w:t>
      </w:r>
    </w:p>
    <w:p w14:paraId="24AAFD63" w14:textId="77777777" w:rsidR="004A326E" w:rsidRPr="00CF0FD4" w:rsidRDefault="004A326E" w:rsidP="004A326E">
      <w:pPr>
        <w:ind w:left="360"/>
        <w:rPr>
          <w:rFonts w:cs="Arial"/>
          <w:u w:val="dotted"/>
        </w:rPr>
      </w:pPr>
      <w:r w:rsidRPr="00CF0FD4">
        <w:rPr>
          <w:rFonts w:cs="Arial" w:hint="cs"/>
          <w:u w:val="dotted"/>
          <w:rtl/>
        </w:rPr>
        <w:t xml:space="preserve">ומה הדין </w:t>
      </w:r>
      <w:r w:rsidR="009B7889">
        <w:rPr>
          <w:rFonts w:cs="Arial" w:hint="cs"/>
          <w:sz w:val="16"/>
          <w:szCs w:val="16"/>
          <w:u w:val="dotted"/>
          <w:rtl/>
        </w:rPr>
        <w:t>(</w:t>
      </w:r>
      <w:r w:rsidR="00863467" w:rsidRPr="009B7889">
        <w:rPr>
          <w:rFonts w:cs="Arial" w:hint="cs"/>
          <w:sz w:val="16"/>
          <w:szCs w:val="16"/>
          <w:u w:val="dotted"/>
          <w:rtl/>
        </w:rPr>
        <w:t>בזמה"ז</w:t>
      </w:r>
      <w:r w:rsidR="009B7889">
        <w:rPr>
          <w:rFonts w:cs="Arial" w:hint="cs"/>
          <w:sz w:val="16"/>
          <w:szCs w:val="16"/>
          <w:u w:val="dotted"/>
          <w:rtl/>
        </w:rPr>
        <w:t>)</w:t>
      </w:r>
      <w:r w:rsidR="00863467">
        <w:rPr>
          <w:rFonts w:cs="Arial" w:hint="cs"/>
          <w:u w:val="dotted"/>
          <w:rtl/>
        </w:rPr>
        <w:t xml:space="preserve"> </w:t>
      </w:r>
      <w:r w:rsidRPr="00CF0FD4">
        <w:rPr>
          <w:rFonts w:cs="Arial" w:hint="cs"/>
          <w:u w:val="dotted"/>
          <w:rtl/>
        </w:rPr>
        <w:t xml:space="preserve">אם </w:t>
      </w:r>
      <w:r w:rsidRPr="009B7889">
        <w:rPr>
          <w:rFonts w:cs="Arial" w:hint="cs"/>
          <w:b/>
          <w:bCs/>
          <w:u w:val="dotted"/>
          <w:rtl/>
        </w:rPr>
        <w:t xml:space="preserve">קיבלו </w:t>
      </w:r>
      <w:r w:rsidRPr="00CF0FD4">
        <w:rPr>
          <w:rFonts w:cs="Arial" w:hint="cs"/>
          <w:u w:val="dotted"/>
          <w:rtl/>
        </w:rPr>
        <w:t>אותם הקהל ע"פ כתב המלך:</w:t>
      </w:r>
    </w:p>
    <w:p w14:paraId="4EC795F5" w14:textId="77777777" w:rsidR="004A326E" w:rsidRPr="00EE584E" w:rsidRDefault="004A326E" w:rsidP="004B0475">
      <w:pPr>
        <w:pStyle w:val="ac"/>
        <w:numPr>
          <w:ilvl w:val="0"/>
          <w:numId w:val="52"/>
        </w:numPr>
        <w:rPr>
          <w:rFonts w:cs="Arial"/>
          <w:rtl/>
        </w:rPr>
      </w:pPr>
      <w:r>
        <w:rPr>
          <w:rFonts w:cs="Arial" w:hint="cs"/>
          <w:rtl/>
        </w:rPr>
        <w:t>טור-</w:t>
      </w:r>
      <w:r>
        <w:rPr>
          <w:rFonts w:cs="Arial"/>
          <w:rtl/>
        </w:rPr>
        <w:t xml:space="preserve"> </w:t>
      </w:r>
      <w:r w:rsidR="00863467">
        <w:rPr>
          <w:rFonts w:cs="Arial" w:hint="cs"/>
          <w:rtl/>
        </w:rPr>
        <w:t xml:space="preserve">ומיהו </w:t>
      </w:r>
      <w:r>
        <w:rPr>
          <w:rFonts w:cs="Arial"/>
          <w:rtl/>
        </w:rPr>
        <w:t>אע</w:t>
      </w:r>
      <w:r>
        <w:rPr>
          <w:rFonts w:cs="Arial" w:hint="cs"/>
          <w:rtl/>
        </w:rPr>
        <w:t>"</w:t>
      </w:r>
      <w:r>
        <w:rPr>
          <w:rFonts w:cs="Arial"/>
          <w:rtl/>
        </w:rPr>
        <w:t>פ שאין מועיל רשות המלך כיון שמקבלין אותם הקהל ע"פ כתב המלך</w:t>
      </w:r>
      <w:r w:rsidR="00FD408C">
        <w:rPr>
          <w:rFonts w:cs="Arial" w:hint="cs"/>
          <w:rtl/>
        </w:rPr>
        <w:t xml:space="preserve"> -</w:t>
      </w:r>
      <w:r>
        <w:rPr>
          <w:rFonts w:cs="Arial"/>
          <w:rtl/>
        </w:rPr>
        <w:t xml:space="preserve"> יכולין לדון</w:t>
      </w:r>
      <w:r>
        <w:rPr>
          <w:rStyle w:val="ab"/>
          <w:rFonts w:cs="Arial"/>
          <w:rtl/>
        </w:rPr>
        <w:footnoteReference w:id="193"/>
      </w:r>
      <w:r>
        <w:rPr>
          <w:rFonts w:cs="Arial" w:hint="cs"/>
          <w:rtl/>
        </w:rPr>
        <w:t xml:space="preserve">. </w:t>
      </w:r>
      <w:r w:rsidRPr="00CF0FD4">
        <w:rPr>
          <w:rFonts w:cs="Arial" w:hint="cs"/>
          <w:color w:val="00B0F0"/>
          <w:rtl/>
        </w:rPr>
        <w:t>(וכ"פ הרמ"א)</w:t>
      </w:r>
    </w:p>
    <w:p w14:paraId="59D0AD6C" w14:textId="77777777" w:rsidR="00863467" w:rsidRPr="00863467" w:rsidRDefault="00863467" w:rsidP="00863467">
      <w:pPr>
        <w:ind w:left="360"/>
      </w:pPr>
      <w:r w:rsidRPr="00CF0FD4">
        <w:rPr>
          <w:rFonts w:cs="Arial" w:hint="cs"/>
          <w:u w:val="dotted"/>
          <w:rtl/>
        </w:rPr>
        <w:t xml:space="preserve">ומה הדין </w:t>
      </w:r>
      <w:r w:rsidR="009B7889">
        <w:rPr>
          <w:rFonts w:cs="Arial" w:hint="cs"/>
          <w:sz w:val="16"/>
          <w:szCs w:val="16"/>
          <w:u w:val="dotted"/>
          <w:rtl/>
        </w:rPr>
        <w:t>(</w:t>
      </w:r>
      <w:r w:rsidRPr="009B7889">
        <w:rPr>
          <w:rFonts w:cs="Arial" w:hint="cs"/>
          <w:sz w:val="16"/>
          <w:szCs w:val="16"/>
          <w:u w:val="dotted"/>
          <w:rtl/>
        </w:rPr>
        <w:t>בזמה"ז</w:t>
      </w:r>
      <w:r w:rsidR="009B7889">
        <w:rPr>
          <w:rFonts w:cs="Arial" w:hint="cs"/>
          <w:sz w:val="16"/>
          <w:szCs w:val="16"/>
          <w:u w:val="dotted"/>
          <w:rtl/>
        </w:rPr>
        <w:t>)</w:t>
      </w:r>
      <w:r w:rsidRPr="009B7889">
        <w:rPr>
          <w:rFonts w:cs="Arial" w:hint="cs"/>
          <w:sz w:val="16"/>
          <w:szCs w:val="16"/>
          <w:u w:val="dotted"/>
          <w:rtl/>
        </w:rPr>
        <w:t xml:space="preserve"> </w:t>
      </w:r>
      <w:r w:rsidRPr="00CF0FD4">
        <w:rPr>
          <w:rFonts w:cs="Arial" w:hint="cs"/>
          <w:u w:val="dotted"/>
          <w:rtl/>
        </w:rPr>
        <w:t xml:space="preserve">אם </w:t>
      </w:r>
      <w:r w:rsidR="009B7889">
        <w:rPr>
          <w:rFonts w:cs="Arial" w:hint="cs"/>
          <w:u w:val="dotted"/>
          <w:rtl/>
        </w:rPr>
        <w:t>הדיין קיבל רשות והוא גמיר וסביר</w:t>
      </w:r>
      <w:r>
        <w:rPr>
          <w:rFonts w:cs="Arial" w:hint="cs"/>
          <w:u w:val="dotted"/>
          <w:rtl/>
        </w:rPr>
        <w:t>:</w:t>
      </w:r>
    </w:p>
    <w:p w14:paraId="3599E4C6" w14:textId="77777777" w:rsidR="00360DE7" w:rsidRPr="00454DB0" w:rsidRDefault="00360DE7" w:rsidP="004B0475">
      <w:pPr>
        <w:pStyle w:val="ac"/>
        <w:numPr>
          <w:ilvl w:val="0"/>
          <w:numId w:val="52"/>
        </w:numPr>
        <w:rPr>
          <w:rtl/>
        </w:rPr>
      </w:pPr>
      <w:r w:rsidRPr="00EE584E">
        <w:rPr>
          <w:rFonts w:cs="Arial"/>
          <w:rtl/>
        </w:rPr>
        <w:t xml:space="preserve">ריב"ש </w:t>
      </w:r>
      <w:r w:rsidRPr="00EE584E">
        <w:rPr>
          <w:rFonts w:cs="Arial" w:hint="cs"/>
          <w:sz w:val="16"/>
          <w:szCs w:val="16"/>
          <w:rtl/>
        </w:rPr>
        <w:t>(</w:t>
      </w:r>
      <w:r w:rsidRPr="00EE584E">
        <w:rPr>
          <w:rFonts w:cs="Arial"/>
          <w:sz w:val="16"/>
          <w:szCs w:val="16"/>
          <w:rtl/>
        </w:rPr>
        <w:t>סי</w:t>
      </w:r>
      <w:r w:rsidRPr="00EE584E">
        <w:rPr>
          <w:rFonts w:cs="Arial" w:hint="cs"/>
          <w:sz w:val="16"/>
          <w:szCs w:val="16"/>
          <w:rtl/>
        </w:rPr>
        <w:t>'</w:t>
      </w:r>
      <w:r w:rsidRPr="00EE584E">
        <w:rPr>
          <w:rFonts w:cs="Arial"/>
          <w:sz w:val="16"/>
          <w:szCs w:val="16"/>
          <w:rtl/>
        </w:rPr>
        <w:t xml:space="preserve"> רעא</w:t>
      </w:r>
      <w:r w:rsidR="0061588B">
        <w:rPr>
          <w:rFonts w:cs="Arial" w:hint="cs"/>
          <w:sz w:val="16"/>
          <w:szCs w:val="16"/>
          <w:rtl/>
        </w:rPr>
        <w:t>, הביאו הב"י</w:t>
      </w:r>
      <w:r w:rsidRPr="00EE584E">
        <w:rPr>
          <w:rFonts w:cs="Arial" w:hint="cs"/>
          <w:sz w:val="16"/>
          <w:szCs w:val="16"/>
          <w:rtl/>
        </w:rPr>
        <w:t>)</w:t>
      </w:r>
      <w:r>
        <w:rPr>
          <w:rFonts w:cs="Arial" w:hint="cs"/>
          <w:rtl/>
        </w:rPr>
        <w:t>-</w:t>
      </w:r>
      <w:r w:rsidRPr="00EE584E">
        <w:rPr>
          <w:rFonts w:cs="Arial"/>
          <w:rtl/>
        </w:rPr>
        <w:t xml:space="preserve"> </w:t>
      </w:r>
      <w:r>
        <w:rPr>
          <w:rStyle w:val="ab"/>
          <w:rFonts w:cs="Arial"/>
          <w:rtl/>
        </w:rPr>
        <w:footnoteReference w:id="194"/>
      </w:r>
      <w:r w:rsidRPr="00EE584E">
        <w:rPr>
          <w:rFonts w:cs="Arial"/>
          <w:rtl/>
        </w:rPr>
        <w:t>מה שכתוב בטור ח</w:t>
      </w:r>
      <w:r>
        <w:rPr>
          <w:rFonts w:cs="Arial" w:hint="cs"/>
          <w:rtl/>
        </w:rPr>
        <w:t>ו"</w:t>
      </w:r>
      <w:r w:rsidRPr="00EE584E">
        <w:rPr>
          <w:rFonts w:cs="Arial"/>
          <w:rtl/>
        </w:rPr>
        <w:t>מ שעתה בזמן הזה שאין לנו ריש גלותא ולא נשיא אין נטילת רשות מן המלך מועיל דדוקא הנהו דנפקי לן מקרא דלא יסור שבט</w:t>
      </w:r>
      <w:r>
        <w:rPr>
          <w:rFonts w:cs="Arial" w:hint="cs"/>
          <w:rtl/>
        </w:rPr>
        <w:t>,</w:t>
      </w:r>
      <w:r w:rsidRPr="00EE584E">
        <w:rPr>
          <w:rFonts w:cs="Arial"/>
          <w:rtl/>
        </w:rPr>
        <w:t xml:space="preserve"> אפשר דהיינו למי שאינו מומחה דהיינו דגמיר ולא סביר</w:t>
      </w:r>
      <w:r>
        <w:rPr>
          <w:rFonts w:cs="Arial" w:hint="cs"/>
          <w:rtl/>
        </w:rPr>
        <w:t>,</w:t>
      </w:r>
      <w:r w:rsidRPr="00EE584E">
        <w:rPr>
          <w:rFonts w:cs="Arial"/>
          <w:rtl/>
        </w:rPr>
        <w:t xml:space="preserve"> דריש גלותא או הנשיא יכולין לתת לו רשות כיון דגמיר כמו שכתוב שם ולא המלך כיון דלא סביר</w:t>
      </w:r>
      <w:r w:rsidRPr="00EE584E">
        <w:rPr>
          <w:rFonts w:cs="Arial" w:hint="cs"/>
          <w:rtl/>
        </w:rPr>
        <w:t>,</w:t>
      </w:r>
      <w:r w:rsidRPr="00EE584E">
        <w:rPr>
          <w:rFonts w:cs="Arial"/>
          <w:rtl/>
        </w:rPr>
        <w:t xml:space="preserve"> אבל במומחה דגמיר וסביר שמן הדין יכול לדון ביחידי בלא רשות כדאסיקנא בריש מכילתין </w:t>
      </w:r>
      <w:r w:rsidRPr="00EE584E">
        <w:rPr>
          <w:rFonts w:cs="Arial"/>
          <w:sz w:val="16"/>
          <w:szCs w:val="16"/>
          <w:rtl/>
        </w:rPr>
        <w:t xml:space="preserve">(ה.) </w:t>
      </w:r>
      <w:r w:rsidRPr="00EE584E">
        <w:rPr>
          <w:rFonts w:cs="Arial"/>
          <w:rtl/>
        </w:rPr>
        <w:t>רשות המלך מועיל לו להפטר מן הטעות דלא גרע מריש גלותא דאתא מחמתיה</w:t>
      </w:r>
      <w:r>
        <w:rPr>
          <w:rStyle w:val="ab"/>
          <w:rFonts w:cs="Arial"/>
          <w:rtl/>
        </w:rPr>
        <w:footnoteReference w:id="195"/>
      </w:r>
      <w:r w:rsidRPr="00EE584E">
        <w:rPr>
          <w:rFonts w:cs="Arial"/>
          <w:rtl/>
        </w:rPr>
        <w:t>. ואין לאדם ליטול רשות מהמלך שלא ברצון הקהלות</w:t>
      </w:r>
      <w:r>
        <w:rPr>
          <w:rFonts w:cs="Arial" w:hint="cs"/>
          <w:rtl/>
        </w:rPr>
        <w:t>,</w:t>
      </w:r>
      <w:r w:rsidRPr="00EE584E">
        <w:rPr>
          <w:rFonts w:cs="Arial"/>
          <w:rtl/>
        </w:rPr>
        <w:t xml:space="preserve"> ומי שעושה כן הוא מצער את הצבור ועתיד ליתן את הדין</w:t>
      </w:r>
      <w:r w:rsidRPr="00EE584E">
        <w:rPr>
          <w:rFonts w:cs="Arial" w:hint="cs"/>
          <w:rtl/>
        </w:rPr>
        <w:t>.</w:t>
      </w:r>
      <w:r w:rsidRPr="00CF0FD4">
        <w:rPr>
          <w:rFonts w:cs="Arial" w:hint="cs"/>
          <w:color w:val="00B0F0"/>
          <w:rtl/>
        </w:rPr>
        <w:t xml:space="preserve"> (וכ"</w:t>
      </w:r>
      <w:r w:rsidR="0061588B">
        <w:rPr>
          <w:rFonts w:cs="Arial" w:hint="cs"/>
          <w:color w:val="00B0F0"/>
          <w:rtl/>
        </w:rPr>
        <w:t>פ</w:t>
      </w:r>
      <w:r w:rsidRPr="00CF0FD4">
        <w:rPr>
          <w:rFonts w:cs="Arial" w:hint="cs"/>
          <w:color w:val="00B0F0"/>
          <w:rtl/>
        </w:rPr>
        <w:t xml:space="preserve"> הרמ"א)</w:t>
      </w:r>
      <w:r w:rsidR="004B47C0">
        <w:rPr>
          <w:rFonts w:hint="cs"/>
          <w:rtl/>
        </w:rPr>
        <w:t xml:space="preserve"> (וכ"פ הש"ך</w:t>
      </w:r>
      <w:r w:rsidR="004B47C0">
        <w:rPr>
          <w:rFonts w:hint="cs"/>
          <w:sz w:val="16"/>
          <w:szCs w:val="16"/>
          <w:rtl/>
        </w:rPr>
        <w:t xml:space="preserve"> [סקט"ו]</w:t>
      </w:r>
      <w:r w:rsidR="004B47C0">
        <w:rPr>
          <w:rFonts w:hint="cs"/>
          <w:rtl/>
        </w:rPr>
        <w:t>)</w:t>
      </w:r>
    </w:p>
    <w:p w14:paraId="6BEA3FEB" w14:textId="77777777" w:rsidR="004A326E" w:rsidRPr="003024E5" w:rsidRDefault="004A326E" w:rsidP="004A326E">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14A2F8DC" w14:textId="77777777" w:rsidR="004A326E" w:rsidRDefault="004A326E" w:rsidP="004A326E">
      <w:pPr>
        <w:rPr>
          <w:rtl/>
        </w:rPr>
      </w:pPr>
      <w:r>
        <w:rPr>
          <w:rFonts w:cs="Arial"/>
          <w:rtl/>
        </w:rPr>
        <w:t>אף על פי שבית דין של שלשה בית דין שלם הוא, כל זמן שהם רבים הרי זה משובח</w:t>
      </w:r>
      <w:r>
        <w:rPr>
          <w:rStyle w:val="ab"/>
          <w:rFonts w:cs="Arial"/>
          <w:rtl/>
        </w:rPr>
        <w:footnoteReference w:id="196"/>
      </w:r>
      <w:r>
        <w:rPr>
          <w:rFonts w:cs="Arial"/>
          <w:rtl/>
        </w:rPr>
        <w:t>, ומוטב שיחתוך הדין בי"א מבעשרה. וצריך שיהיו כל היושבים בבית דין ת</w:t>
      </w:r>
      <w:r>
        <w:rPr>
          <w:rFonts w:cs="Arial" w:hint="cs"/>
          <w:rtl/>
        </w:rPr>
        <w:t xml:space="preserve">למידי </w:t>
      </w:r>
      <w:r>
        <w:rPr>
          <w:rFonts w:cs="Arial"/>
          <w:rtl/>
        </w:rPr>
        <w:t>ח</w:t>
      </w:r>
      <w:r>
        <w:rPr>
          <w:rFonts w:cs="Arial" w:hint="cs"/>
          <w:rtl/>
        </w:rPr>
        <w:t>כמים</w:t>
      </w:r>
      <w:r>
        <w:rPr>
          <w:rFonts w:cs="Arial"/>
          <w:rtl/>
        </w:rPr>
        <w:t xml:space="preserve"> וראויים</w:t>
      </w:r>
      <w:r>
        <w:rPr>
          <w:rStyle w:val="ab"/>
          <w:rFonts w:cs="Arial"/>
          <w:rtl/>
        </w:rPr>
        <w:footnoteReference w:id="197"/>
      </w:r>
      <w:r>
        <w:rPr>
          <w:rFonts w:cs="Arial"/>
          <w:rtl/>
        </w:rPr>
        <w:t>, ואסור לאדם חכם שישב בדין עד שידע עם מי יושב</w:t>
      </w:r>
      <w:r>
        <w:rPr>
          <w:rStyle w:val="ab"/>
          <w:rFonts w:cs="Arial"/>
          <w:rtl/>
        </w:rPr>
        <w:footnoteReference w:id="198"/>
      </w:r>
      <w:r>
        <w:rPr>
          <w:rFonts w:cs="Arial"/>
          <w:rtl/>
        </w:rPr>
        <w:t>, שמא ישב עם אנשים שאינם הגונים, ונמצא בכלל קשר בוגדים, לא בכלל ב</w:t>
      </w:r>
      <w:r>
        <w:rPr>
          <w:rFonts w:cs="Arial" w:hint="cs"/>
          <w:rtl/>
        </w:rPr>
        <w:t xml:space="preserve">ית </w:t>
      </w:r>
      <w:r>
        <w:rPr>
          <w:rFonts w:cs="Arial"/>
          <w:rtl/>
        </w:rPr>
        <w:t>ד</w:t>
      </w:r>
      <w:r>
        <w:rPr>
          <w:rFonts w:cs="Arial" w:hint="cs"/>
          <w:rtl/>
        </w:rPr>
        <w:t>ין</w:t>
      </w:r>
      <w:r>
        <w:rPr>
          <w:rFonts w:cs="Arial"/>
          <w:rtl/>
        </w:rPr>
        <w:t>. מי שאינו מומחה</w:t>
      </w:r>
      <w:r>
        <w:rPr>
          <w:rStyle w:val="ab"/>
          <w:rFonts w:cs="Arial"/>
          <w:rtl/>
        </w:rPr>
        <w:footnoteReference w:id="199"/>
      </w:r>
      <w:r>
        <w:rPr>
          <w:rFonts w:cs="Arial"/>
          <w:rtl/>
        </w:rPr>
        <w:t xml:space="preserve"> ולא </w:t>
      </w:r>
      <w:r>
        <w:rPr>
          <w:rFonts w:cs="Arial"/>
          <w:rtl/>
        </w:rPr>
        <w:lastRenderedPageBreak/>
        <w:t xml:space="preserve">קבלוהו עליו בעלי דינים, אף על פי שנטל רשות מראש הגולה אין דינו דין, אפילו לא טעה, וכל אחד מבעלי דינים אם רצה חוזר ודן בפני בית דין. </w:t>
      </w:r>
      <w:r w:rsidRPr="00EE5A40">
        <w:rPr>
          <w:rFonts w:cs="Arial"/>
          <w:sz w:val="18"/>
          <w:szCs w:val="18"/>
          <w:rtl/>
        </w:rPr>
        <w:t xml:space="preserve">הגה: רשות שנותן המלך </w:t>
      </w:r>
      <w:r>
        <w:rPr>
          <w:rFonts w:cs="Arial" w:hint="cs"/>
          <w:sz w:val="18"/>
          <w:szCs w:val="18"/>
          <w:rtl/>
        </w:rPr>
        <w:t>גוי</w:t>
      </w:r>
      <w:r w:rsidRPr="00EE5A40">
        <w:rPr>
          <w:rFonts w:cs="Arial"/>
          <w:sz w:val="18"/>
          <w:szCs w:val="18"/>
          <w:rtl/>
        </w:rPr>
        <w:t xml:space="preserve"> בזמן הזה אינו כלום</w:t>
      </w:r>
      <w:r>
        <w:rPr>
          <w:rFonts w:cs="Arial" w:hint="cs"/>
          <w:sz w:val="18"/>
          <w:szCs w:val="18"/>
          <w:rtl/>
        </w:rPr>
        <w:t>,</w:t>
      </w:r>
      <w:r w:rsidRPr="00EE5A40">
        <w:rPr>
          <w:rFonts w:cs="Arial"/>
          <w:sz w:val="18"/>
          <w:szCs w:val="18"/>
          <w:rtl/>
        </w:rPr>
        <w:t xml:space="preserve"> ומיהו אם קבלוהו הקהל על פי כתב המלך יכול לדון (טור). וי"א דאם גמיר</w:t>
      </w:r>
      <w:r>
        <w:rPr>
          <w:rStyle w:val="ab"/>
          <w:rFonts w:cs="Arial"/>
          <w:sz w:val="18"/>
          <w:szCs w:val="18"/>
          <w:rtl/>
        </w:rPr>
        <w:footnoteReference w:id="200"/>
      </w:r>
      <w:r w:rsidRPr="00EE5A40">
        <w:rPr>
          <w:rFonts w:cs="Arial"/>
          <w:sz w:val="18"/>
          <w:szCs w:val="18"/>
          <w:rtl/>
        </w:rPr>
        <w:t xml:space="preserve"> וסביר מהני ליה רשות המלך</w:t>
      </w:r>
      <w:r>
        <w:rPr>
          <w:rStyle w:val="ab"/>
          <w:rFonts w:cs="Arial"/>
          <w:sz w:val="18"/>
          <w:szCs w:val="18"/>
          <w:rtl/>
        </w:rPr>
        <w:footnoteReference w:id="201"/>
      </w:r>
      <w:r w:rsidRPr="00EE5A40">
        <w:rPr>
          <w:rFonts w:cs="Arial"/>
          <w:sz w:val="18"/>
          <w:szCs w:val="18"/>
          <w:rtl/>
        </w:rPr>
        <w:t xml:space="preserve"> (ריב"ש)</w:t>
      </w:r>
      <w:r>
        <w:rPr>
          <w:rFonts w:cs="Arial" w:hint="cs"/>
          <w:sz w:val="18"/>
          <w:szCs w:val="18"/>
          <w:rtl/>
        </w:rPr>
        <w:t>,</w:t>
      </w:r>
      <w:r w:rsidRPr="00EE5A40">
        <w:rPr>
          <w:rFonts w:cs="Arial"/>
          <w:sz w:val="18"/>
          <w:szCs w:val="18"/>
          <w:rtl/>
        </w:rPr>
        <w:t xml:space="preserve"> או השר הממונה בעירו, דזהו בכלל דינא דמלכותא להושיב דיינים ושופטים מי שירצה</w:t>
      </w:r>
      <w:r>
        <w:rPr>
          <w:rStyle w:val="ab"/>
          <w:rFonts w:cs="Arial"/>
          <w:sz w:val="18"/>
          <w:szCs w:val="18"/>
          <w:rtl/>
        </w:rPr>
        <w:footnoteReference w:id="202"/>
      </w:r>
      <w:r>
        <w:rPr>
          <w:rFonts w:cs="Arial" w:hint="cs"/>
          <w:sz w:val="18"/>
          <w:szCs w:val="18"/>
          <w:rtl/>
        </w:rPr>
        <w:t xml:space="preserve"> </w:t>
      </w:r>
      <w:r w:rsidRPr="00EE5A40">
        <w:rPr>
          <w:rFonts w:cs="Arial"/>
          <w:sz w:val="18"/>
          <w:szCs w:val="18"/>
          <w:rtl/>
        </w:rPr>
        <w:t>(רשב"א)</w:t>
      </w:r>
      <w:r>
        <w:rPr>
          <w:rFonts w:cs="Arial" w:hint="cs"/>
          <w:sz w:val="18"/>
          <w:szCs w:val="18"/>
          <w:rtl/>
        </w:rPr>
        <w:t>.</w:t>
      </w:r>
      <w:r w:rsidRPr="00EE5A40">
        <w:rPr>
          <w:rFonts w:cs="Arial"/>
          <w:sz w:val="18"/>
          <w:szCs w:val="18"/>
          <w:rtl/>
        </w:rPr>
        <w:t xml:space="preserve"> ומ</w:t>
      </w:r>
      <w:r>
        <w:rPr>
          <w:rFonts w:cs="Arial" w:hint="cs"/>
          <w:sz w:val="18"/>
          <w:szCs w:val="18"/>
          <w:rtl/>
        </w:rPr>
        <w:t>"</w:t>
      </w:r>
      <w:r w:rsidRPr="00EE5A40">
        <w:rPr>
          <w:rFonts w:cs="Arial"/>
          <w:sz w:val="18"/>
          <w:szCs w:val="18"/>
          <w:rtl/>
        </w:rPr>
        <w:t>מ מי שעושה זה בלא רשות הקהל מצער הצבור ועתיד ליתן את הדין</w:t>
      </w:r>
      <w:r>
        <w:rPr>
          <w:rFonts w:cs="Arial" w:hint="cs"/>
          <w:sz w:val="18"/>
          <w:szCs w:val="18"/>
          <w:rtl/>
        </w:rPr>
        <w:t xml:space="preserve"> </w:t>
      </w:r>
      <w:r w:rsidRPr="00EE5A40">
        <w:rPr>
          <w:rFonts w:cs="Arial"/>
          <w:sz w:val="18"/>
          <w:szCs w:val="18"/>
          <w:rtl/>
        </w:rPr>
        <w:t>(ריב"ש).</w:t>
      </w:r>
    </w:p>
    <w:p w14:paraId="4B31C558" w14:textId="77777777" w:rsidR="004A326E" w:rsidRDefault="004A326E" w:rsidP="004A326E">
      <w:pPr>
        <w:rPr>
          <w:rFonts w:cs="Arial"/>
          <w:rtl/>
        </w:rPr>
        <w:sectPr w:rsidR="004A326E" w:rsidSect="00AF3AF9">
          <w:headerReference w:type="default" r:id="rId13"/>
          <w:footnotePr>
            <w:numRestart w:val="eachPage"/>
          </w:footnotePr>
          <w:pgSz w:w="11906" w:h="16838"/>
          <w:pgMar w:top="720" w:right="1134" w:bottom="720" w:left="1134" w:header="0" w:footer="0" w:gutter="0"/>
          <w:cols w:space="720"/>
          <w:bidi/>
          <w:rtlGutter/>
          <w:docGrid w:linePitch="360"/>
        </w:sectPr>
      </w:pPr>
    </w:p>
    <w:p w14:paraId="4F6CAE5D" w14:textId="77777777" w:rsidR="004A326E" w:rsidRDefault="004A326E" w:rsidP="004A326E">
      <w:pPr>
        <w:pStyle w:val="1"/>
        <w:rPr>
          <w:rtl/>
        </w:rPr>
      </w:pPr>
      <w:bookmarkStart w:id="17" w:name="_Toc24883524"/>
      <w:r>
        <w:rPr>
          <w:rFonts w:hint="cs"/>
          <w:rtl/>
        </w:rPr>
        <w:lastRenderedPageBreak/>
        <w:t xml:space="preserve">סימן ד: </w:t>
      </w:r>
      <w:r>
        <w:rPr>
          <w:rtl/>
        </w:rPr>
        <w:t>כיצד אדם עושה דין לעצמו, ובו סעיף אחד.</w:t>
      </w:r>
      <w:bookmarkEnd w:id="17"/>
      <w:r>
        <w:rPr>
          <w:rtl/>
        </w:rPr>
        <w:t xml:space="preserve"> </w:t>
      </w:r>
    </w:p>
    <w:p w14:paraId="176A071F" w14:textId="77777777" w:rsidR="004A326E" w:rsidRPr="00315F01" w:rsidRDefault="004A326E" w:rsidP="004A326E">
      <w:pPr>
        <w:pStyle w:val="2"/>
        <w:rPr>
          <w:rtl/>
        </w:rPr>
      </w:pPr>
      <w:bookmarkStart w:id="18" w:name="_Toc24883525"/>
      <w:r>
        <w:rPr>
          <w:rtl/>
        </w:rPr>
        <w:t>סעיף א</w:t>
      </w:r>
      <w:bookmarkEnd w:id="18"/>
    </w:p>
    <w:p w14:paraId="599FE1DD" w14:textId="77777777" w:rsidR="004A326E" w:rsidRDefault="004A326E" w:rsidP="00B90C4C">
      <w:pPr>
        <w:rPr>
          <w:rFonts w:cs="Arial"/>
          <w:rtl/>
        </w:rPr>
      </w:pPr>
      <w:r w:rsidRPr="006A3DD5">
        <w:rPr>
          <w:rFonts w:cs="Arial" w:hint="cs"/>
          <w:b/>
          <w:bCs/>
          <w:rtl/>
        </w:rPr>
        <w:t xml:space="preserve">בבא קמא </w:t>
      </w:r>
      <w:r w:rsidRPr="006A3DD5">
        <w:rPr>
          <w:rFonts w:cs="Arial" w:hint="cs"/>
          <w:b/>
          <w:bCs/>
          <w:sz w:val="16"/>
          <w:szCs w:val="16"/>
          <w:rtl/>
        </w:rPr>
        <w:t>(</w:t>
      </w:r>
      <w:r w:rsidRPr="006A3DD5">
        <w:rPr>
          <w:rFonts w:cs="Arial"/>
          <w:b/>
          <w:bCs/>
          <w:sz w:val="16"/>
          <w:szCs w:val="16"/>
          <w:rtl/>
        </w:rPr>
        <w:t>ר</w:t>
      </w:r>
      <w:r w:rsidRPr="006A3DD5">
        <w:rPr>
          <w:rFonts w:cs="Arial" w:hint="cs"/>
          <w:b/>
          <w:bCs/>
          <w:sz w:val="16"/>
          <w:szCs w:val="16"/>
          <w:rtl/>
        </w:rPr>
        <w:t>"</w:t>
      </w:r>
      <w:r w:rsidRPr="006A3DD5">
        <w:rPr>
          <w:rFonts w:cs="Arial"/>
          <w:b/>
          <w:bCs/>
          <w:sz w:val="16"/>
          <w:szCs w:val="16"/>
          <w:rtl/>
        </w:rPr>
        <w:t>פ המניח)</w:t>
      </w:r>
      <w:r w:rsidRPr="006A3DD5">
        <w:rPr>
          <w:rFonts w:cs="Arial" w:hint="cs"/>
          <w:b/>
          <w:bCs/>
          <w:sz w:val="16"/>
          <w:szCs w:val="16"/>
          <w:rtl/>
        </w:rPr>
        <w:t xml:space="preserve"> </w:t>
      </w:r>
      <w:r w:rsidRPr="006A3DD5">
        <w:rPr>
          <w:rFonts w:cs="Arial" w:hint="cs"/>
          <w:b/>
          <w:bCs/>
          <w:rtl/>
        </w:rPr>
        <w:t>כז</w:t>
      </w:r>
      <w:r w:rsidR="002F7604">
        <w:rPr>
          <w:rStyle w:val="ab"/>
          <w:rFonts w:cs="Arial"/>
          <w:b/>
          <w:bCs/>
          <w:rtl/>
        </w:rPr>
        <w:footnoteReference w:id="203"/>
      </w:r>
      <w:r w:rsidRPr="006A3DD5">
        <w:rPr>
          <w:rFonts w:cs="Arial" w:hint="cs"/>
          <w:b/>
          <w:bCs/>
          <w:rtl/>
        </w:rPr>
        <w:t xml:space="preserve"> ע"ב:</w:t>
      </w:r>
      <w:r w:rsidRPr="00CD0E97">
        <w:rPr>
          <w:rFonts w:cs="Arial"/>
          <w:rtl/>
        </w:rPr>
        <w:t xml:space="preserve"> </w:t>
      </w:r>
      <w:r w:rsidR="004F59A4" w:rsidRPr="004F59A4">
        <w:rPr>
          <w:rFonts w:cs="Arial"/>
          <w:rtl/>
        </w:rPr>
        <w:t xml:space="preserve">שלח ליה רב חסדא לר"נ, הרי אמרו: לרכובה - שלש, ולבעיטה - חמש, ולסנוקרת - שלש עשרה, לפנדא דמרא ולקופינא דמרא מאי? שלח ליה: חסדא, חסדא, קנסא קא מגבית בבבל? אימא לי גופא דעובדא היכי הוה? שלח ליה, דההוא גרגותא דבי תרי דכל יומא הוה דלי חד מנייהו, אתא חד קא דלי ביומא דלא דיליה, א"ל: יומא דידי הוא! לא אשגח ביה, שקל פנדא דמרא מחייה. א"ל: מאה פנדי בפנדא למחייה, אפילו למ"ד לא עביד איניש דינא לנפשיה, במקום פסידא עביד איניש דינא לנפשיה. </w:t>
      </w:r>
      <w:r w:rsidR="004F59A4">
        <w:rPr>
          <w:rFonts w:cs="Arial" w:hint="cs"/>
          <w:rtl/>
        </w:rPr>
        <w:t>ד</w:t>
      </w:r>
      <w:r w:rsidRPr="006A3DD5">
        <w:rPr>
          <w:rFonts w:cs="Arial"/>
          <w:rtl/>
        </w:rPr>
        <w:t xml:space="preserve">אתמר, </w:t>
      </w:r>
      <w:r w:rsidRPr="006A3DD5">
        <w:rPr>
          <w:rFonts w:cs="Arial"/>
          <w:u w:val="single"/>
          <w:rtl/>
        </w:rPr>
        <w:t>רב יהודה אמר</w:t>
      </w:r>
      <w:r w:rsidRPr="006A3DD5">
        <w:rPr>
          <w:rFonts w:cs="Arial"/>
          <w:rtl/>
        </w:rPr>
        <w:t xml:space="preserve">: לא עביד איניש דינא לנפשיה, </w:t>
      </w:r>
      <w:r w:rsidRPr="006A3DD5">
        <w:rPr>
          <w:rFonts w:cs="Arial"/>
          <w:u w:val="single"/>
          <w:rtl/>
        </w:rPr>
        <w:t>רב נחמן אמר</w:t>
      </w:r>
      <w:r w:rsidRPr="006A3DD5">
        <w:rPr>
          <w:rFonts w:cs="Arial"/>
          <w:rtl/>
        </w:rPr>
        <w:t>: עביד איניש דינא לנפשיה</w:t>
      </w:r>
      <w:r w:rsidR="004F59A4">
        <w:rPr>
          <w:rFonts w:cs="Arial" w:hint="cs"/>
          <w:rtl/>
        </w:rPr>
        <w:t>.</w:t>
      </w:r>
      <w:r w:rsidRPr="006A3DD5">
        <w:rPr>
          <w:rFonts w:cs="Arial"/>
          <w:rtl/>
        </w:rPr>
        <w:t xml:space="preserve"> היכא דאיכא פסידא</w:t>
      </w:r>
      <w:r>
        <w:rPr>
          <w:rStyle w:val="ab"/>
          <w:rFonts w:cs="Arial"/>
          <w:rtl/>
        </w:rPr>
        <w:footnoteReference w:id="204"/>
      </w:r>
      <w:r w:rsidRPr="006A3DD5">
        <w:rPr>
          <w:rFonts w:cs="Arial"/>
          <w:rtl/>
        </w:rPr>
        <w:t xml:space="preserve"> - כ"ע לא פליגי דעביד איניש דינא לנפשיה, כי פליגי - היכא דליכא פסידא, </w:t>
      </w:r>
      <w:r w:rsidRPr="006A3DD5">
        <w:rPr>
          <w:rFonts w:cs="Arial"/>
          <w:u w:val="single"/>
          <w:rtl/>
        </w:rPr>
        <w:t>רב יהודה אמר</w:t>
      </w:r>
      <w:r w:rsidRPr="006A3DD5">
        <w:rPr>
          <w:rFonts w:cs="Arial"/>
          <w:rtl/>
        </w:rPr>
        <w:t>: לא עביד איניש דינא לנפשיה, דכיון דליכא פסידא ליזיל קמיה דיינא</w:t>
      </w:r>
      <w:r w:rsidR="004F59A4">
        <w:rPr>
          <w:rFonts w:cs="Arial" w:hint="cs"/>
          <w:rtl/>
        </w:rPr>
        <w:t>.</w:t>
      </w:r>
      <w:r w:rsidRPr="006A3DD5">
        <w:rPr>
          <w:rFonts w:cs="Arial"/>
          <w:rtl/>
        </w:rPr>
        <w:t xml:space="preserve"> </w:t>
      </w:r>
      <w:r w:rsidRPr="006A3DD5">
        <w:rPr>
          <w:rFonts w:cs="Arial"/>
          <w:u w:val="single"/>
          <w:rtl/>
        </w:rPr>
        <w:t>ר"נ אמר</w:t>
      </w:r>
      <w:r w:rsidRPr="006A3DD5">
        <w:rPr>
          <w:rFonts w:cs="Arial"/>
          <w:rtl/>
        </w:rPr>
        <w:t xml:space="preserve">: עביד איניש דינא לנפשיה, דכיון דבדין עביד לא טרח. </w:t>
      </w:r>
      <w:r>
        <w:rPr>
          <w:rFonts w:cs="Arial" w:hint="cs"/>
          <w:sz w:val="16"/>
          <w:szCs w:val="16"/>
          <w:rtl/>
        </w:rPr>
        <w:t>(</w:t>
      </w:r>
      <w:r w:rsidRPr="007944F3">
        <w:rPr>
          <w:rFonts w:cs="Arial"/>
          <w:sz w:val="16"/>
          <w:szCs w:val="16"/>
          <w:rtl/>
        </w:rPr>
        <w:t xml:space="preserve">וכתב הרא"ש ז"ל (סי' ג) </w:t>
      </w:r>
      <w:r w:rsidR="0012144A">
        <w:rPr>
          <w:rFonts w:cs="Arial" w:hint="cs"/>
          <w:sz w:val="16"/>
          <w:szCs w:val="16"/>
          <w:rtl/>
        </w:rPr>
        <w:t>ד</w:t>
      </w:r>
      <w:r w:rsidRPr="007944F3">
        <w:rPr>
          <w:rFonts w:cs="Arial"/>
          <w:sz w:val="16"/>
          <w:szCs w:val="16"/>
          <w:rtl/>
        </w:rPr>
        <w:t>הלכתא כרב נחמן בדיני (כתובות יג.)</w:t>
      </w:r>
      <w:r>
        <w:rPr>
          <w:rFonts w:cs="Arial" w:hint="cs"/>
          <w:sz w:val="16"/>
          <w:szCs w:val="16"/>
          <w:rtl/>
        </w:rPr>
        <w:t>,</w:t>
      </w:r>
      <w:r w:rsidRPr="007944F3">
        <w:rPr>
          <w:rFonts w:cs="Arial"/>
          <w:sz w:val="16"/>
          <w:szCs w:val="16"/>
          <w:rtl/>
        </w:rPr>
        <w:t xml:space="preserve"> ועוד דטובא פרכות פריך לרב יהודה ושנינהו בדוחק</w:t>
      </w:r>
      <w:r w:rsidR="0012144A">
        <w:rPr>
          <w:rFonts w:cs="Arial" w:hint="cs"/>
          <w:sz w:val="16"/>
          <w:szCs w:val="16"/>
          <w:rtl/>
        </w:rPr>
        <w:t>)</w:t>
      </w:r>
      <w:r w:rsidRPr="007944F3">
        <w:rPr>
          <w:rFonts w:cs="Arial"/>
          <w:sz w:val="16"/>
          <w:szCs w:val="16"/>
          <w:rtl/>
        </w:rPr>
        <w:t xml:space="preserve"> </w:t>
      </w:r>
    </w:p>
    <w:p w14:paraId="65A8BE90" w14:textId="77777777" w:rsidR="004A326E" w:rsidRDefault="004A326E" w:rsidP="004A326E">
      <w:pPr>
        <w:rPr>
          <w:rFonts w:cs="Arial"/>
          <w:rtl/>
        </w:rPr>
      </w:pPr>
      <w:r>
        <w:rPr>
          <w:rFonts w:cs="Arial" w:hint="cs"/>
          <w:u w:val="single"/>
          <w:rtl/>
        </w:rPr>
        <w:t>'</w:t>
      </w:r>
      <w:r w:rsidRPr="00A95B5A">
        <w:rPr>
          <w:rFonts w:cs="Arial" w:hint="cs"/>
          <w:u w:val="single"/>
          <w:rtl/>
        </w:rPr>
        <w:t>עביד איניש דינא לנפשיה</w:t>
      </w:r>
      <w:r>
        <w:rPr>
          <w:rFonts w:cs="Arial" w:hint="cs"/>
          <w:u w:val="single"/>
          <w:rtl/>
        </w:rPr>
        <w:t>'</w:t>
      </w:r>
      <w:r w:rsidRPr="00A95B5A">
        <w:rPr>
          <w:rFonts w:cs="Arial" w:hint="cs"/>
          <w:u w:val="single"/>
          <w:rtl/>
        </w:rPr>
        <w:t xml:space="preserve"> </w:t>
      </w:r>
      <w:r>
        <w:rPr>
          <w:rFonts w:cs="Arial"/>
          <w:u w:val="single"/>
          <w:rtl/>
        </w:rPr>
        <w:t>–</w:t>
      </w:r>
      <w:r>
        <w:rPr>
          <w:rFonts w:cs="Arial" w:hint="cs"/>
          <w:u w:val="single"/>
          <w:rtl/>
        </w:rPr>
        <w:t xml:space="preserve"> כיצד:</w:t>
      </w:r>
    </w:p>
    <w:p w14:paraId="15A38E01" w14:textId="77777777" w:rsidR="004A326E" w:rsidRPr="00315F01" w:rsidRDefault="0012144A" w:rsidP="004B0475">
      <w:pPr>
        <w:pStyle w:val="ac"/>
        <w:numPr>
          <w:ilvl w:val="0"/>
          <w:numId w:val="52"/>
        </w:numPr>
        <w:rPr>
          <w:rFonts w:cs="Arial"/>
          <w:rtl/>
        </w:rPr>
      </w:pPr>
      <w:r>
        <w:rPr>
          <w:rFonts w:cs="Arial" w:hint="cs"/>
          <w:rtl/>
        </w:rPr>
        <w:t xml:space="preserve">רי"ף </w:t>
      </w:r>
      <w:r w:rsidRPr="007944F3">
        <w:rPr>
          <w:rFonts w:cs="Arial"/>
          <w:sz w:val="16"/>
          <w:szCs w:val="16"/>
          <w:rtl/>
        </w:rPr>
        <w:t xml:space="preserve">(יב:) </w:t>
      </w:r>
      <w:r>
        <w:rPr>
          <w:rFonts w:cs="Arial" w:hint="cs"/>
          <w:rtl/>
        </w:rPr>
        <w:t xml:space="preserve">רמב"ם </w:t>
      </w:r>
      <w:r w:rsidRPr="007944F3">
        <w:rPr>
          <w:rFonts w:cs="Arial" w:hint="cs"/>
          <w:sz w:val="16"/>
          <w:szCs w:val="16"/>
          <w:rtl/>
        </w:rPr>
        <w:t>(</w:t>
      </w:r>
      <w:r w:rsidRPr="007944F3">
        <w:rPr>
          <w:rFonts w:cs="Arial"/>
          <w:sz w:val="16"/>
          <w:szCs w:val="16"/>
          <w:rtl/>
        </w:rPr>
        <w:t>פ"ב מהל</w:t>
      </w:r>
      <w:r w:rsidRPr="007944F3">
        <w:rPr>
          <w:rFonts w:cs="Arial" w:hint="cs"/>
          <w:sz w:val="16"/>
          <w:szCs w:val="16"/>
          <w:rtl/>
        </w:rPr>
        <w:t>'</w:t>
      </w:r>
      <w:r w:rsidRPr="007944F3">
        <w:rPr>
          <w:rFonts w:cs="Arial"/>
          <w:sz w:val="16"/>
          <w:szCs w:val="16"/>
          <w:rtl/>
        </w:rPr>
        <w:t xml:space="preserve"> סנהדרין הי"ב)</w:t>
      </w:r>
      <w:r w:rsidRPr="007944F3">
        <w:rPr>
          <w:rFonts w:cs="Arial" w:hint="cs"/>
          <w:sz w:val="16"/>
          <w:szCs w:val="16"/>
          <w:rtl/>
        </w:rPr>
        <w:t xml:space="preserve"> </w:t>
      </w:r>
      <w:r>
        <w:rPr>
          <w:rFonts w:cs="Arial" w:hint="cs"/>
          <w:rtl/>
        </w:rPr>
        <w:t xml:space="preserve">מרדכי </w:t>
      </w:r>
      <w:r w:rsidRPr="007944F3">
        <w:rPr>
          <w:rFonts w:cs="Arial"/>
          <w:sz w:val="16"/>
          <w:szCs w:val="16"/>
          <w:rtl/>
        </w:rPr>
        <w:t>(ב"ק סי' ל)</w:t>
      </w:r>
      <w:r>
        <w:rPr>
          <w:rFonts w:cs="Arial" w:hint="cs"/>
          <w:sz w:val="16"/>
          <w:szCs w:val="16"/>
          <w:rtl/>
        </w:rPr>
        <w:t xml:space="preserve"> </w:t>
      </w:r>
      <w:r>
        <w:rPr>
          <w:rFonts w:cs="Arial" w:hint="cs"/>
          <w:rtl/>
        </w:rPr>
        <w:t xml:space="preserve">רא"ש </w:t>
      </w:r>
      <w:r w:rsidRPr="007944F3">
        <w:rPr>
          <w:rFonts w:cs="Arial"/>
          <w:sz w:val="16"/>
          <w:szCs w:val="16"/>
          <w:rtl/>
        </w:rPr>
        <w:t>(סי' ג)</w:t>
      </w:r>
      <w:r>
        <w:rPr>
          <w:rFonts w:cs="Arial" w:hint="cs"/>
          <w:rtl/>
        </w:rPr>
        <w:t xml:space="preserve"> ו</w:t>
      </w:r>
      <w:r w:rsidR="004A326E" w:rsidRPr="00315F01">
        <w:rPr>
          <w:rFonts w:cs="Arial" w:hint="cs"/>
          <w:rtl/>
        </w:rPr>
        <w:t>טור-</w:t>
      </w:r>
      <w:r w:rsidR="004A326E" w:rsidRPr="00315F01">
        <w:rPr>
          <w:rFonts w:cs="Arial"/>
          <w:rtl/>
        </w:rPr>
        <w:t xml:space="preserve"> אע</w:t>
      </w:r>
      <w:r w:rsidR="004A326E">
        <w:rPr>
          <w:rFonts w:cs="Arial" w:hint="cs"/>
          <w:rtl/>
        </w:rPr>
        <w:t>"</w:t>
      </w:r>
      <w:r w:rsidR="004A326E" w:rsidRPr="00315F01">
        <w:rPr>
          <w:rFonts w:cs="Arial"/>
          <w:rtl/>
        </w:rPr>
        <w:t xml:space="preserve">פ שיחיד אינו יכול לדון </w:t>
      </w:r>
      <w:r w:rsidR="00B90C4C">
        <w:rPr>
          <w:rFonts w:cs="Arial" w:hint="cs"/>
          <w:rtl/>
        </w:rPr>
        <w:t xml:space="preserve">- </w:t>
      </w:r>
      <w:r w:rsidR="004A326E" w:rsidRPr="00315F01">
        <w:rPr>
          <w:rFonts w:cs="Arial"/>
          <w:rtl/>
        </w:rPr>
        <w:t>עושה דין לעצמו</w:t>
      </w:r>
      <w:r w:rsidR="00B90C4C">
        <w:rPr>
          <w:rFonts w:cs="Arial" w:hint="cs"/>
          <w:rtl/>
        </w:rPr>
        <w:t>.</w:t>
      </w:r>
      <w:r w:rsidR="004A326E" w:rsidRPr="00315F01">
        <w:rPr>
          <w:rFonts w:cs="Arial"/>
          <w:rtl/>
        </w:rPr>
        <w:t xml:space="preserve"> פי</w:t>
      </w:r>
      <w:r w:rsidR="004A326E">
        <w:rPr>
          <w:rFonts w:cs="Arial" w:hint="cs"/>
          <w:rtl/>
        </w:rPr>
        <w:t>רוש,</w:t>
      </w:r>
      <w:r w:rsidR="004A326E" w:rsidRPr="00315F01">
        <w:rPr>
          <w:rFonts w:cs="Arial"/>
          <w:rtl/>
        </w:rPr>
        <w:t xml:space="preserve"> אם רואה את שלו ביד אחר שגזלו </w:t>
      </w:r>
      <w:r w:rsidR="00B90C4C">
        <w:rPr>
          <w:rFonts w:cs="Arial" w:hint="cs"/>
          <w:rtl/>
        </w:rPr>
        <w:t xml:space="preserve">- </w:t>
      </w:r>
      <w:r w:rsidR="004A326E" w:rsidRPr="00315F01">
        <w:rPr>
          <w:rFonts w:cs="Arial"/>
          <w:rtl/>
        </w:rPr>
        <w:t>יכול לקחת מידו מה שגזל לו</w:t>
      </w:r>
      <w:r w:rsidR="004A326E">
        <w:rPr>
          <w:rFonts w:cs="Arial" w:hint="cs"/>
          <w:rtl/>
        </w:rPr>
        <w:t>,</w:t>
      </w:r>
      <w:r w:rsidR="004A326E" w:rsidRPr="00315F01">
        <w:rPr>
          <w:rFonts w:cs="Arial"/>
          <w:rtl/>
        </w:rPr>
        <w:t xml:space="preserve"> ואם האחר עומד כנגדו למחות בו </w:t>
      </w:r>
      <w:r w:rsidR="00B90C4C">
        <w:rPr>
          <w:rFonts w:cs="Arial" w:hint="cs"/>
          <w:rtl/>
        </w:rPr>
        <w:t xml:space="preserve">- </w:t>
      </w:r>
      <w:r w:rsidR="004A326E" w:rsidRPr="00315F01">
        <w:rPr>
          <w:rFonts w:cs="Arial"/>
          <w:rtl/>
        </w:rPr>
        <w:t>יכול להכותו עד שיניחנו ליקח שלו</w:t>
      </w:r>
      <w:r w:rsidR="00810E9D">
        <w:rPr>
          <w:rFonts w:cs="Arial" w:hint="cs"/>
          <w:rtl/>
        </w:rPr>
        <w:t>.</w:t>
      </w:r>
      <w:r w:rsidR="004A326E" w:rsidRPr="00315F01">
        <w:rPr>
          <w:rFonts w:cs="Arial"/>
          <w:rtl/>
        </w:rPr>
        <w:t xml:space="preserve"> לא מיבעיא אם הוא דבר שאם לא יקחנו עתה מידו שיהיה לו הפסד כגון שהאחר יוציאנו ושוב לא יוכל להוציאה מידו דפשיטא שעושה דין לעצמו ופטור על מה שמכהו אם הוא בענין שאינו יכול להציל את שלו מידו אם לא ע"י הכאה</w:t>
      </w:r>
      <w:r w:rsidR="004A326E">
        <w:rPr>
          <w:rFonts w:cs="Arial" w:hint="cs"/>
          <w:rtl/>
        </w:rPr>
        <w:t>,</w:t>
      </w:r>
      <w:r w:rsidR="004A326E" w:rsidRPr="00315F01">
        <w:rPr>
          <w:rFonts w:cs="Arial"/>
          <w:rtl/>
        </w:rPr>
        <w:t xml:space="preserve"> אלא אפילו אם הוא דבר שלא יפסיד אם ימתין עד שיעמידנו בדין אלא שאינו רוצה לטרוח להעמידנו בדין אפ"ה כיון שברור לו שהדין עמו ויכול להוציא בדין מידו יש לו רשות להציל את שלו ואפילו ע"י הכאה אם אינו יכול להצילו בענין אחר</w:t>
      </w:r>
      <w:r w:rsidR="004A326E">
        <w:rPr>
          <w:rStyle w:val="ab"/>
          <w:rFonts w:cs="Arial"/>
          <w:rtl/>
        </w:rPr>
        <w:footnoteReference w:id="205"/>
      </w:r>
      <w:r>
        <w:rPr>
          <w:rFonts w:cs="Arial" w:hint="cs"/>
          <w:sz w:val="16"/>
          <w:szCs w:val="16"/>
          <w:rtl/>
        </w:rPr>
        <w:t xml:space="preserve"> (ל' הטור)</w:t>
      </w:r>
      <w:r w:rsidR="004A326E">
        <w:rPr>
          <w:rFonts w:cs="Arial" w:hint="cs"/>
          <w:rtl/>
        </w:rPr>
        <w:t>.</w:t>
      </w:r>
      <w:r w:rsidR="004A326E" w:rsidRPr="00640E92">
        <w:rPr>
          <w:rFonts w:cs="Arial" w:hint="cs"/>
          <w:color w:val="E36C0A" w:themeColor="accent6" w:themeShade="BF"/>
          <w:rtl/>
        </w:rPr>
        <w:t xml:space="preserve"> (וכ"פ בשו"ע)</w:t>
      </w:r>
    </w:p>
    <w:p w14:paraId="3E8B8139" w14:textId="77777777" w:rsidR="004A326E" w:rsidRDefault="004A326E" w:rsidP="004A326E">
      <w:pPr>
        <w:rPr>
          <w:rFonts w:cs="Arial"/>
          <w:u w:val="single"/>
          <w:rtl/>
        </w:rPr>
      </w:pPr>
      <w:r>
        <w:rPr>
          <w:rFonts w:cs="Arial" w:hint="cs"/>
          <w:u w:val="single"/>
          <w:rtl/>
        </w:rPr>
        <w:t>האם אומרים '</w:t>
      </w:r>
      <w:r w:rsidRPr="00A95B5A">
        <w:rPr>
          <w:rFonts w:cs="Arial" w:hint="cs"/>
          <w:u w:val="single"/>
          <w:rtl/>
        </w:rPr>
        <w:t>עביד איניש דינא לנפשיה</w:t>
      </w:r>
      <w:r>
        <w:rPr>
          <w:rFonts w:cs="Arial" w:hint="cs"/>
          <w:u w:val="single"/>
          <w:rtl/>
        </w:rPr>
        <w:t>'</w:t>
      </w:r>
      <w:r w:rsidRPr="00A95B5A">
        <w:rPr>
          <w:rFonts w:cs="Arial" w:hint="cs"/>
          <w:u w:val="single"/>
          <w:rtl/>
        </w:rPr>
        <w:t xml:space="preserve"> </w:t>
      </w:r>
      <w:r>
        <w:rPr>
          <w:rFonts w:cs="Arial" w:hint="cs"/>
          <w:u w:val="single"/>
          <w:rtl/>
        </w:rPr>
        <w:t>במצבים הבאים:</w:t>
      </w:r>
    </w:p>
    <w:p w14:paraId="08E93EC7" w14:textId="77777777" w:rsidR="004A326E" w:rsidRPr="00E73F6B" w:rsidRDefault="004A326E" w:rsidP="004A326E">
      <w:pPr>
        <w:ind w:left="360"/>
        <w:rPr>
          <w:rFonts w:cs="Arial"/>
          <w:u w:val="dotted"/>
          <w:rtl/>
        </w:rPr>
      </w:pPr>
      <w:r w:rsidRPr="00E73F6B">
        <w:rPr>
          <w:rFonts w:cs="Arial" w:hint="cs"/>
          <w:u w:val="dotted"/>
          <w:rtl/>
        </w:rPr>
        <w:t>כשאינו יכול לברר שבדין יכול להוציאו:</w:t>
      </w:r>
    </w:p>
    <w:p w14:paraId="771A0E50" w14:textId="77777777" w:rsidR="004A326E" w:rsidRPr="00A95B5A" w:rsidRDefault="004A326E" w:rsidP="004B0475">
      <w:pPr>
        <w:pStyle w:val="ac"/>
        <w:numPr>
          <w:ilvl w:val="0"/>
          <w:numId w:val="52"/>
        </w:numPr>
        <w:rPr>
          <w:rFonts w:cs="Arial"/>
          <w:rtl/>
        </w:rPr>
      </w:pPr>
      <w:r w:rsidRPr="00A95B5A">
        <w:rPr>
          <w:rFonts w:cs="Arial"/>
          <w:rtl/>
        </w:rPr>
        <w:t xml:space="preserve">רא"ש </w:t>
      </w:r>
      <w:r w:rsidRPr="00A95B5A">
        <w:rPr>
          <w:rFonts w:cs="Arial"/>
          <w:sz w:val="16"/>
          <w:szCs w:val="16"/>
          <w:rtl/>
        </w:rPr>
        <w:t>(סי' ג)</w:t>
      </w:r>
      <w:r w:rsidRPr="00A95B5A">
        <w:rPr>
          <w:rFonts w:cs="Arial" w:hint="cs"/>
          <w:rtl/>
        </w:rPr>
        <w:t xml:space="preserve"> וטור- </w:t>
      </w:r>
      <w:r w:rsidRPr="00A95B5A">
        <w:rPr>
          <w:rFonts w:cs="Arial"/>
          <w:rtl/>
        </w:rPr>
        <w:t xml:space="preserve">אם אין יכול לברר שבדין יכול להוציאו ממנו </w:t>
      </w:r>
      <w:r w:rsidR="00810E9D">
        <w:rPr>
          <w:rFonts w:cs="Arial" w:hint="cs"/>
          <w:rtl/>
        </w:rPr>
        <w:t xml:space="preserve">- </w:t>
      </w:r>
      <w:r w:rsidRPr="00A95B5A">
        <w:rPr>
          <w:rFonts w:cs="Arial"/>
          <w:rtl/>
        </w:rPr>
        <w:t>לאו כל כמיניה לומר שלי הוא ולהציל ממוני עשיתי</w:t>
      </w:r>
      <w:r>
        <w:rPr>
          <w:rStyle w:val="ab"/>
          <w:rFonts w:cs="Arial"/>
          <w:rtl/>
        </w:rPr>
        <w:footnoteReference w:id="206"/>
      </w:r>
      <w:r>
        <w:rPr>
          <w:rFonts w:cs="Arial" w:hint="cs"/>
          <w:sz w:val="16"/>
          <w:szCs w:val="16"/>
          <w:rtl/>
        </w:rPr>
        <w:t xml:space="preserve"> (ל' הרא"ש)</w:t>
      </w:r>
      <w:r w:rsidRPr="00A95B5A">
        <w:rPr>
          <w:rFonts w:cs="Arial"/>
          <w:rtl/>
        </w:rPr>
        <w:t xml:space="preserve">. </w:t>
      </w:r>
      <w:r w:rsidRPr="00640E92">
        <w:rPr>
          <w:rFonts w:cs="Arial" w:hint="cs"/>
          <w:color w:val="E36C0A" w:themeColor="accent6" w:themeShade="BF"/>
          <w:rtl/>
        </w:rPr>
        <w:t>(וכ"פ בשו"ע)</w:t>
      </w:r>
    </w:p>
    <w:p w14:paraId="3DA411D7" w14:textId="77777777" w:rsidR="004A326E" w:rsidRPr="00E73F6B" w:rsidRDefault="004A326E" w:rsidP="004A326E">
      <w:pPr>
        <w:ind w:left="360"/>
        <w:rPr>
          <w:rFonts w:cs="Arial"/>
          <w:u w:val="dotted"/>
          <w:rtl/>
        </w:rPr>
      </w:pPr>
      <w:r w:rsidRPr="00E73F6B">
        <w:rPr>
          <w:rFonts w:cs="Arial" w:hint="cs"/>
          <w:u w:val="dotted"/>
          <w:rtl/>
        </w:rPr>
        <w:t>כשרוצה למשכנו</w:t>
      </w:r>
      <w:r w:rsidR="008B74D3">
        <w:rPr>
          <w:rFonts w:cs="Arial" w:hint="cs"/>
          <w:u w:val="dotted"/>
          <w:rtl/>
        </w:rPr>
        <w:t xml:space="preserve"> בחובו</w:t>
      </w:r>
      <w:r w:rsidRPr="00E73F6B">
        <w:rPr>
          <w:rFonts w:cs="Arial" w:hint="cs"/>
          <w:u w:val="dotted"/>
          <w:rtl/>
        </w:rPr>
        <w:t>:</w:t>
      </w:r>
    </w:p>
    <w:p w14:paraId="5A4D4BD5" w14:textId="77777777" w:rsidR="004A326E" w:rsidRPr="00AF3843" w:rsidRDefault="004A326E" w:rsidP="004B0475">
      <w:pPr>
        <w:pStyle w:val="ac"/>
        <w:numPr>
          <w:ilvl w:val="0"/>
          <w:numId w:val="52"/>
        </w:numPr>
        <w:rPr>
          <w:rFonts w:cs="Arial"/>
        </w:rPr>
      </w:pPr>
      <w:r w:rsidRPr="00A95B5A">
        <w:rPr>
          <w:rFonts w:cs="Arial"/>
          <w:rtl/>
        </w:rPr>
        <w:t xml:space="preserve">רא"ש </w:t>
      </w:r>
      <w:r w:rsidRPr="00A95B5A">
        <w:rPr>
          <w:rFonts w:cs="Arial"/>
          <w:sz w:val="16"/>
          <w:szCs w:val="16"/>
          <w:rtl/>
        </w:rPr>
        <w:t>(סי' ג)</w:t>
      </w:r>
      <w:r>
        <w:rPr>
          <w:rFonts w:cs="Arial" w:hint="cs"/>
          <w:rtl/>
        </w:rPr>
        <w:t xml:space="preserve"> וטור</w:t>
      </w:r>
      <w:r w:rsidRPr="00A95B5A">
        <w:rPr>
          <w:rFonts w:cs="Arial" w:hint="cs"/>
          <w:rtl/>
        </w:rPr>
        <w:t xml:space="preserve">- </w:t>
      </w:r>
      <w:r w:rsidRPr="00A95B5A">
        <w:rPr>
          <w:rFonts w:cs="Arial"/>
          <w:rtl/>
        </w:rPr>
        <w:t>ודוקא אם בא לגזול ממנו או שראה חפץ שלו בידו הוא דאמרינן הכי</w:t>
      </w:r>
      <w:r w:rsidRPr="00A95B5A">
        <w:rPr>
          <w:rFonts w:cs="Arial" w:hint="cs"/>
          <w:rtl/>
        </w:rPr>
        <w:t>,</w:t>
      </w:r>
      <w:r w:rsidRPr="00A95B5A">
        <w:rPr>
          <w:rFonts w:cs="Arial"/>
          <w:rtl/>
        </w:rPr>
        <w:t xml:space="preserve"> אבל למשכנו בשביל חוב שחייב לו </w:t>
      </w:r>
      <w:r w:rsidR="00810E9D">
        <w:rPr>
          <w:rFonts w:cs="Arial" w:hint="cs"/>
          <w:rtl/>
        </w:rPr>
        <w:t xml:space="preserve">- </w:t>
      </w:r>
      <w:r w:rsidRPr="00A95B5A">
        <w:rPr>
          <w:rFonts w:cs="Arial"/>
          <w:rtl/>
        </w:rPr>
        <w:t>לית ליה רשותא</w:t>
      </w:r>
      <w:r w:rsidR="00810E9D">
        <w:rPr>
          <w:rFonts w:cs="Arial" w:hint="cs"/>
          <w:rtl/>
        </w:rPr>
        <w:t>.</w:t>
      </w:r>
      <w:r w:rsidRPr="00A95B5A">
        <w:rPr>
          <w:rFonts w:cs="Arial"/>
          <w:rtl/>
        </w:rPr>
        <w:t xml:space="preserve"> דתנן בפרק המקבל </w:t>
      </w:r>
      <w:r w:rsidRPr="00315F01">
        <w:rPr>
          <w:rFonts w:cs="Arial"/>
          <w:sz w:val="16"/>
          <w:szCs w:val="16"/>
          <w:rtl/>
        </w:rPr>
        <w:t xml:space="preserve">(ב"מ קיג.) </w:t>
      </w:r>
      <w:r w:rsidRPr="00A95B5A">
        <w:rPr>
          <w:rFonts w:cs="Arial"/>
          <w:rtl/>
        </w:rPr>
        <w:t>המלוה את חבירו לא ימשכננו אלא בבית דין</w:t>
      </w:r>
      <w:r w:rsidRPr="00A95B5A">
        <w:rPr>
          <w:rFonts w:cs="Arial" w:hint="cs"/>
          <w:rtl/>
        </w:rPr>
        <w:t>,</w:t>
      </w:r>
      <w:r w:rsidRPr="00A95B5A">
        <w:rPr>
          <w:rFonts w:cs="Arial"/>
          <w:rtl/>
        </w:rPr>
        <w:t xml:space="preserve"> ואמר שמואל התם דאפילו שליח בית דין מנתח נתוחי</w:t>
      </w:r>
      <w:r w:rsidR="0012144A">
        <w:rPr>
          <w:rFonts w:cs="Arial" w:hint="cs"/>
          <w:rtl/>
        </w:rPr>
        <w:t xml:space="preserve"> </w:t>
      </w:r>
      <w:r w:rsidRPr="00A95B5A">
        <w:rPr>
          <w:rFonts w:cs="Arial"/>
          <w:rtl/>
        </w:rPr>
        <w:t>בשוק דוקא</w:t>
      </w:r>
      <w:r w:rsidR="00810E9D">
        <w:rPr>
          <w:rFonts w:cs="Arial" w:hint="cs"/>
          <w:rtl/>
        </w:rPr>
        <w:t>,</w:t>
      </w:r>
      <w:r w:rsidRPr="00A95B5A">
        <w:rPr>
          <w:rFonts w:cs="Arial"/>
          <w:rtl/>
        </w:rPr>
        <w:t xml:space="preserve"> אבל לא יכנס בביתו</w:t>
      </w:r>
      <w:r w:rsidRPr="00A95B5A">
        <w:rPr>
          <w:rFonts w:cs="Arial" w:hint="cs"/>
          <w:rtl/>
        </w:rPr>
        <w:t>,</w:t>
      </w:r>
      <w:r w:rsidRPr="00A95B5A">
        <w:rPr>
          <w:rFonts w:cs="Arial"/>
          <w:rtl/>
        </w:rPr>
        <w:t xml:space="preserve"> והמלוה עצמו אפילו בשוק לא</w:t>
      </w:r>
      <w:r w:rsidR="00810E9D">
        <w:rPr>
          <w:rFonts w:cs="Arial" w:hint="cs"/>
          <w:rtl/>
        </w:rPr>
        <w:t>.</w:t>
      </w:r>
      <w:r w:rsidRPr="00A95B5A">
        <w:rPr>
          <w:rFonts w:cs="Arial"/>
          <w:rtl/>
        </w:rPr>
        <w:t xml:space="preserve"> וכיון דאין לו רשות</w:t>
      </w:r>
      <w:r w:rsidRPr="00A95B5A">
        <w:rPr>
          <w:rFonts w:cs="Arial" w:hint="cs"/>
          <w:rtl/>
        </w:rPr>
        <w:t>,</w:t>
      </w:r>
      <w:r w:rsidRPr="00A95B5A">
        <w:rPr>
          <w:rFonts w:cs="Arial"/>
          <w:rtl/>
        </w:rPr>
        <w:t xml:space="preserve"> אם חבל בו או אם הזיק ממונו</w:t>
      </w:r>
      <w:r w:rsidRPr="00A95B5A">
        <w:rPr>
          <w:rFonts w:cs="Arial" w:hint="cs"/>
          <w:rtl/>
        </w:rPr>
        <w:t xml:space="preserve"> -</w:t>
      </w:r>
      <w:r w:rsidRPr="00A95B5A">
        <w:rPr>
          <w:rFonts w:cs="Arial"/>
          <w:rtl/>
        </w:rPr>
        <w:t xml:space="preserve"> חייב כמו על אחר</w:t>
      </w:r>
      <w:r>
        <w:rPr>
          <w:rFonts w:cs="Arial" w:hint="cs"/>
          <w:sz w:val="16"/>
          <w:szCs w:val="16"/>
          <w:rtl/>
        </w:rPr>
        <w:t xml:space="preserve"> (ל' הרא"ש)</w:t>
      </w:r>
      <w:r w:rsidR="00AF3843">
        <w:rPr>
          <w:rStyle w:val="ab"/>
          <w:rFonts w:cs="Arial"/>
          <w:rtl/>
        </w:rPr>
        <w:footnoteReference w:id="207"/>
      </w:r>
      <w:r w:rsidRPr="00A95B5A">
        <w:rPr>
          <w:rFonts w:cs="Arial" w:hint="cs"/>
          <w:rtl/>
        </w:rPr>
        <w:t>.</w:t>
      </w:r>
      <w:r>
        <w:rPr>
          <w:rFonts w:cs="Arial" w:hint="cs"/>
          <w:rtl/>
        </w:rPr>
        <w:t xml:space="preserve"> </w:t>
      </w:r>
      <w:r w:rsidRPr="00640E92">
        <w:rPr>
          <w:rFonts w:cs="Arial" w:hint="cs"/>
          <w:color w:val="E36C0A" w:themeColor="accent6" w:themeShade="BF"/>
          <w:rtl/>
        </w:rPr>
        <w:t>(וכ"פ בשו"ע)</w:t>
      </w:r>
    </w:p>
    <w:p w14:paraId="62630557" w14:textId="77777777" w:rsidR="004A326E" w:rsidRPr="00E73F6B" w:rsidRDefault="004A326E" w:rsidP="004A326E">
      <w:pPr>
        <w:ind w:left="360"/>
        <w:rPr>
          <w:rFonts w:cs="Arial"/>
          <w:u w:val="dotted"/>
          <w:rtl/>
        </w:rPr>
      </w:pPr>
      <w:r w:rsidRPr="00E73F6B">
        <w:rPr>
          <w:rFonts w:cs="Arial" w:hint="cs"/>
          <w:u w:val="dotted"/>
          <w:rtl/>
        </w:rPr>
        <w:t xml:space="preserve">בחפץ שלא מבורר </w:t>
      </w:r>
      <w:r w:rsidR="007E797F">
        <w:rPr>
          <w:rFonts w:cs="Arial" w:hint="cs"/>
          <w:u w:val="dotted"/>
          <w:rtl/>
        </w:rPr>
        <w:t xml:space="preserve">לו </w:t>
      </w:r>
      <w:r w:rsidRPr="00E73F6B">
        <w:rPr>
          <w:rFonts w:cs="Arial" w:hint="cs"/>
          <w:u w:val="dotted"/>
          <w:rtl/>
        </w:rPr>
        <w:t>שהוא שלו:</w:t>
      </w:r>
    </w:p>
    <w:p w14:paraId="0BD0C814" w14:textId="77777777" w:rsidR="004A326E" w:rsidRPr="002A795A" w:rsidRDefault="004A326E" w:rsidP="004B0475">
      <w:pPr>
        <w:pStyle w:val="ac"/>
        <w:numPr>
          <w:ilvl w:val="0"/>
          <w:numId w:val="52"/>
        </w:numPr>
        <w:rPr>
          <w:rFonts w:cs="Arial"/>
          <w:rtl/>
        </w:rPr>
      </w:pPr>
      <w:r w:rsidRPr="00E73F6B">
        <w:rPr>
          <w:rFonts w:cs="Arial" w:hint="cs"/>
          <w:rtl/>
        </w:rPr>
        <w:t xml:space="preserve">מהר"ם </w:t>
      </w:r>
      <w:r w:rsidRPr="00E73F6B">
        <w:rPr>
          <w:rFonts w:cs="Arial"/>
          <w:sz w:val="16"/>
          <w:szCs w:val="16"/>
          <w:rtl/>
        </w:rPr>
        <w:t>(שו"ת ד"פ סי' תתקנ</w:t>
      </w:r>
      <w:r w:rsidRPr="00E73F6B">
        <w:rPr>
          <w:rFonts w:cs="Arial" w:hint="cs"/>
          <w:sz w:val="16"/>
          <w:szCs w:val="16"/>
          <w:rtl/>
        </w:rPr>
        <w:t>, הביאו המרדכי [</w:t>
      </w:r>
      <w:r w:rsidRPr="00E73F6B">
        <w:rPr>
          <w:rFonts w:cs="Arial"/>
          <w:sz w:val="16"/>
          <w:szCs w:val="16"/>
          <w:rtl/>
        </w:rPr>
        <w:t>ב"ק סי' ל</w:t>
      </w:r>
      <w:r w:rsidRPr="00E73F6B">
        <w:rPr>
          <w:rFonts w:cs="Arial" w:hint="cs"/>
          <w:sz w:val="16"/>
          <w:szCs w:val="16"/>
          <w:rtl/>
        </w:rPr>
        <w:t>]</w:t>
      </w:r>
      <w:r w:rsidRPr="00E73F6B">
        <w:rPr>
          <w:rFonts w:cs="Arial"/>
          <w:sz w:val="16"/>
          <w:szCs w:val="16"/>
          <w:rtl/>
        </w:rPr>
        <w:t>)</w:t>
      </w:r>
      <w:r w:rsidRPr="00E73F6B">
        <w:rPr>
          <w:rFonts w:cs="Arial" w:hint="cs"/>
          <w:rtl/>
        </w:rPr>
        <w:t xml:space="preserve">- עביד איניש דינא לנפשיה </w:t>
      </w:r>
      <w:r w:rsidRPr="00E73F6B">
        <w:rPr>
          <w:rFonts w:cs="Arial"/>
          <w:rtl/>
        </w:rPr>
        <w:t>הני מילי בחפץ המבורר שהוא שלו ומחזיק בו ומסרב להחזיר לו</w:t>
      </w:r>
      <w:r w:rsidR="00810E9D">
        <w:rPr>
          <w:rFonts w:cs="Arial" w:hint="cs"/>
          <w:rtl/>
        </w:rPr>
        <w:t>,</w:t>
      </w:r>
      <w:r w:rsidRPr="00E73F6B">
        <w:rPr>
          <w:rFonts w:cs="Arial"/>
          <w:rtl/>
        </w:rPr>
        <w:t xml:space="preserve"> אבל בשאר מילי שאין ידוע אם זה שלו אם לא</w:t>
      </w:r>
      <w:r w:rsidRPr="00E73F6B">
        <w:rPr>
          <w:rFonts w:cs="Arial" w:hint="cs"/>
          <w:rtl/>
        </w:rPr>
        <w:t xml:space="preserve"> -</w:t>
      </w:r>
      <w:r w:rsidRPr="00E73F6B">
        <w:rPr>
          <w:rFonts w:cs="Arial"/>
          <w:rtl/>
        </w:rPr>
        <w:t xml:space="preserve"> לית ליה רשות</w:t>
      </w:r>
      <w:r>
        <w:rPr>
          <w:rStyle w:val="ab"/>
          <w:rFonts w:cs="Arial"/>
          <w:rtl/>
        </w:rPr>
        <w:footnoteReference w:id="208"/>
      </w:r>
      <w:r w:rsidRPr="00E73F6B">
        <w:rPr>
          <w:rFonts w:cs="Arial"/>
          <w:rtl/>
        </w:rPr>
        <w:t xml:space="preserve"> אפילו הוה ליה פסידא לפי דברו</w:t>
      </w:r>
      <w:r w:rsidRPr="00E73F6B">
        <w:rPr>
          <w:rFonts w:cs="Arial" w:hint="cs"/>
          <w:rtl/>
        </w:rPr>
        <w:t>,</w:t>
      </w:r>
      <w:r w:rsidRPr="00E73F6B">
        <w:rPr>
          <w:rFonts w:cs="Arial"/>
          <w:rtl/>
        </w:rPr>
        <w:t xml:space="preserve"> דא</w:t>
      </w:r>
      <w:r w:rsidRPr="00E73F6B">
        <w:rPr>
          <w:rFonts w:cs="Arial" w:hint="cs"/>
          <w:rtl/>
        </w:rPr>
        <w:t>"כ</w:t>
      </w:r>
      <w:r w:rsidRPr="00E73F6B">
        <w:rPr>
          <w:rFonts w:cs="Arial"/>
          <w:rtl/>
        </w:rPr>
        <w:t xml:space="preserve"> לא שבקת חיי לכל בריה דכל אחד יאמר לחבירו ודאי דידי מגזל קגזלת לי ויכה אותו ויחטוף אותו ויאמר עבידנא דינא לנפשאי</w:t>
      </w:r>
      <w:r w:rsidRPr="00E73F6B">
        <w:rPr>
          <w:rFonts w:cs="Arial" w:hint="cs"/>
          <w:rtl/>
        </w:rPr>
        <w:t>,</w:t>
      </w:r>
      <w:r w:rsidRPr="00E73F6B">
        <w:rPr>
          <w:rFonts w:cs="Arial"/>
          <w:rtl/>
        </w:rPr>
        <w:t xml:space="preserve"> דודאי רב נחמן לא פליג אמתני' דפ' המקבל המלוה את חבירו אינו </w:t>
      </w:r>
      <w:r w:rsidRPr="00E73F6B">
        <w:rPr>
          <w:rFonts w:cs="Arial"/>
          <w:rtl/>
        </w:rPr>
        <w:lastRenderedPageBreak/>
        <w:t>רשאי למשכנו</w:t>
      </w:r>
      <w:r w:rsidRPr="00E73F6B">
        <w:rPr>
          <w:rFonts w:cs="Arial" w:hint="cs"/>
          <w:rtl/>
        </w:rPr>
        <w:t>,</w:t>
      </w:r>
      <w:r w:rsidRPr="00E73F6B">
        <w:rPr>
          <w:rFonts w:cs="Arial"/>
          <w:rtl/>
        </w:rPr>
        <w:t xml:space="preserve"> ועוד והא קרא כתיב </w:t>
      </w:r>
      <w:r w:rsidRPr="00E73F6B">
        <w:rPr>
          <w:rFonts w:cs="Arial" w:hint="cs"/>
          <w:rtl/>
        </w:rPr>
        <w:t>'</w:t>
      </w:r>
      <w:r w:rsidRPr="00E73F6B">
        <w:rPr>
          <w:rFonts w:cs="Arial"/>
          <w:rtl/>
        </w:rPr>
        <w:t>בחוץ תעמוד והאיש אשר אתה נושה בו יוציא אליך את העבוט</w:t>
      </w:r>
      <w:r w:rsidRPr="00E73F6B">
        <w:rPr>
          <w:rFonts w:cs="Arial" w:hint="cs"/>
          <w:rtl/>
        </w:rPr>
        <w:t>'</w:t>
      </w:r>
      <w:r>
        <w:rPr>
          <w:rStyle w:val="ab"/>
          <w:rFonts w:cs="Arial"/>
          <w:rtl/>
        </w:rPr>
        <w:footnoteReference w:id="209"/>
      </w:r>
      <w:r w:rsidRPr="00E73F6B">
        <w:rPr>
          <w:rFonts w:cs="Arial" w:hint="cs"/>
          <w:rtl/>
        </w:rPr>
        <w:t xml:space="preserve">... </w:t>
      </w:r>
      <w:r w:rsidRPr="00E73F6B">
        <w:rPr>
          <w:rFonts w:cs="Arial"/>
          <w:rtl/>
        </w:rPr>
        <w:t xml:space="preserve">וראיה מפ"ק דברכות </w:t>
      </w:r>
      <w:r w:rsidRPr="00315F01">
        <w:rPr>
          <w:rFonts w:cs="Arial"/>
          <w:sz w:val="16"/>
          <w:szCs w:val="16"/>
          <w:rtl/>
        </w:rPr>
        <w:t>(ה:)</w:t>
      </w:r>
      <w:r w:rsidRPr="00E73F6B">
        <w:rPr>
          <w:rFonts w:cs="Arial" w:hint="cs"/>
          <w:rtl/>
        </w:rPr>
        <w:t xml:space="preserve"> </w:t>
      </w:r>
      <w:r w:rsidRPr="00E73F6B">
        <w:rPr>
          <w:rFonts w:cs="Arial"/>
          <w:rtl/>
        </w:rPr>
        <w:t>דאמר בתר גנבא גנוב וטעמא טעים</w:t>
      </w:r>
      <w:r>
        <w:rPr>
          <w:rStyle w:val="ab"/>
          <w:rFonts w:cs="Arial"/>
          <w:rtl/>
        </w:rPr>
        <w:footnoteReference w:id="210"/>
      </w:r>
      <w:r>
        <w:rPr>
          <w:rFonts w:cs="Arial" w:hint="cs"/>
          <w:sz w:val="16"/>
          <w:szCs w:val="16"/>
          <w:rtl/>
        </w:rPr>
        <w:t xml:space="preserve"> (ל' המרדכי בשם מהר"ם)</w:t>
      </w:r>
      <w:r w:rsidRPr="00E73F6B">
        <w:rPr>
          <w:rFonts w:cs="Arial"/>
          <w:rtl/>
        </w:rPr>
        <w:t xml:space="preserve">. </w:t>
      </w:r>
      <w:r w:rsidR="00AF3843" w:rsidRPr="00640E92">
        <w:rPr>
          <w:rFonts w:cs="Arial" w:hint="cs"/>
          <w:color w:val="00B0F0"/>
          <w:rtl/>
        </w:rPr>
        <w:t>(וכ"</w:t>
      </w:r>
      <w:r w:rsidR="00AF3843">
        <w:rPr>
          <w:rFonts w:cs="Arial" w:hint="cs"/>
          <w:color w:val="00B0F0"/>
          <w:rtl/>
        </w:rPr>
        <w:t>כ</w:t>
      </w:r>
      <w:r w:rsidR="00AF3843" w:rsidRPr="00640E92">
        <w:rPr>
          <w:rFonts w:cs="Arial" w:hint="cs"/>
          <w:color w:val="00B0F0"/>
          <w:rtl/>
        </w:rPr>
        <w:t xml:space="preserve"> הרמ"א)</w:t>
      </w:r>
      <w:r w:rsidRPr="00E73F6B">
        <w:rPr>
          <w:rFonts w:cs="Arial"/>
          <w:rtl/>
        </w:rPr>
        <w:t xml:space="preserve"> </w:t>
      </w:r>
    </w:p>
    <w:p w14:paraId="63986933" w14:textId="77777777" w:rsidR="004A326E" w:rsidRPr="00463F28" w:rsidRDefault="004A326E" w:rsidP="004A326E">
      <w:pPr>
        <w:ind w:left="360"/>
        <w:rPr>
          <w:rFonts w:cs="Arial"/>
          <w:sz w:val="16"/>
          <w:szCs w:val="16"/>
          <w:rtl/>
        </w:rPr>
      </w:pPr>
      <w:r w:rsidRPr="00463F28">
        <w:rPr>
          <w:rFonts w:cs="Arial" w:hint="cs"/>
          <w:u w:val="dotted"/>
          <w:rtl/>
        </w:rPr>
        <w:t xml:space="preserve">כשרוצה </w:t>
      </w:r>
      <w:r w:rsidR="0012144A">
        <w:rPr>
          <w:rFonts w:cs="Arial" w:hint="cs"/>
          <w:u w:val="dotted"/>
          <w:rtl/>
        </w:rPr>
        <w:t xml:space="preserve">זה שכנגדו </w:t>
      </w:r>
      <w:r w:rsidRPr="00463F28">
        <w:rPr>
          <w:rFonts w:cs="Arial" w:hint="cs"/>
          <w:u w:val="dotted"/>
          <w:rtl/>
        </w:rPr>
        <w:t>להזיקו:</w:t>
      </w:r>
      <w:r>
        <w:rPr>
          <w:rFonts w:cs="Arial" w:hint="cs"/>
          <w:sz w:val="16"/>
          <w:szCs w:val="16"/>
          <w:rtl/>
        </w:rPr>
        <w:t xml:space="preserve"> (דרכ"מ אות א)</w:t>
      </w:r>
    </w:p>
    <w:p w14:paraId="6908C3BC" w14:textId="77777777" w:rsidR="004A326E" w:rsidRPr="00463F28" w:rsidRDefault="004A326E" w:rsidP="004B0475">
      <w:pPr>
        <w:pStyle w:val="ac"/>
        <w:numPr>
          <w:ilvl w:val="0"/>
          <w:numId w:val="52"/>
        </w:numPr>
        <w:rPr>
          <w:rFonts w:cs="Arial"/>
          <w:rtl/>
        </w:rPr>
      </w:pPr>
      <w:r w:rsidRPr="00E73F6B">
        <w:rPr>
          <w:rFonts w:cs="Arial"/>
          <w:rtl/>
        </w:rPr>
        <w:t xml:space="preserve">רא"ש </w:t>
      </w:r>
      <w:r w:rsidRPr="00463F28">
        <w:rPr>
          <w:rFonts w:cs="Arial" w:hint="cs"/>
          <w:sz w:val="16"/>
          <w:szCs w:val="16"/>
          <w:rtl/>
        </w:rPr>
        <w:t>(</w:t>
      </w:r>
      <w:r w:rsidRPr="00463F28">
        <w:rPr>
          <w:rFonts w:cs="Arial"/>
          <w:sz w:val="16"/>
          <w:szCs w:val="16"/>
          <w:rtl/>
        </w:rPr>
        <w:t>שם סי' ג)</w:t>
      </w:r>
      <w:r>
        <w:rPr>
          <w:rFonts w:cs="Arial" w:hint="cs"/>
          <w:rtl/>
        </w:rPr>
        <w:t xml:space="preserve"> ו</w:t>
      </w:r>
      <w:r w:rsidRPr="00463F28">
        <w:rPr>
          <w:rFonts w:cs="Arial"/>
          <w:rtl/>
        </w:rPr>
        <w:t>נמוק</w:t>
      </w:r>
      <w:r w:rsidRPr="00463F28">
        <w:rPr>
          <w:rFonts w:cs="Arial" w:hint="cs"/>
          <w:rtl/>
        </w:rPr>
        <w:t>"י</w:t>
      </w:r>
      <w:r w:rsidRPr="00463F28">
        <w:rPr>
          <w:rFonts w:cs="Arial"/>
          <w:rtl/>
        </w:rPr>
        <w:t xml:space="preserve"> </w:t>
      </w:r>
      <w:r w:rsidRPr="00463F28">
        <w:rPr>
          <w:rFonts w:cs="Arial" w:hint="cs"/>
          <w:sz w:val="16"/>
          <w:szCs w:val="16"/>
          <w:rtl/>
        </w:rPr>
        <w:t>(</w:t>
      </w:r>
      <w:r w:rsidRPr="00463F28">
        <w:rPr>
          <w:rFonts w:cs="Arial"/>
          <w:sz w:val="16"/>
          <w:szCs w:val="16"/>
          <w:rtl/>
        </w:rPr>
        <w:t>שם יב: ד"ה והא</w:t>
      </w:r>
      <w:r w:rsidR="0043248C">
        <w:rPr>
          <w:rFonts w:cs="Arial" w:hint="cs"/>
          <w:sz w:val="16"/>
          <w:szCs w:val="16"/>
          <w:rtl/>
        </w:rPr>
        <w:t xml:space="preserve"> </w:t>
      </w:r>
      <w:r w:rsidR="0043248C" w:rsidRPr="0043248C">
        <w:rPr>
          <w:rFonts w:cs="Arial" w:hint="cs"/>
          <w:color w:val="FF0000"/>
          <w:sz w:val="16"/>
          <w:szCs w:val="16"/>
          <w:rtl/>
        </w:rPr>
        <w:t>[לא מצאתי שם</w:t>
      </w:r>
      <w:r w:rsidR="0043248C">
        <w:rPr>
          <w:rFonts w:cs="Arial" w:hint="cs"/>
          <w:color w:val="FF0000"/>
          <w:sz w:val="16"/>
          <w:szCs w:val="16"/>
          <w:rtl/>
        </w:rPr>
        <w:t>]</w:t>
      </w:r>
      <w:r w:rsidRPr="00463F28">
        <w:rPr>
          <w:rFonts w:cs="Arial"/>
          <w:sz w:val="16"/>
          <w:szCs w:val="16"/>
          <w:rtl/>
        </w:rPr>
        <w:t>)</w:t>
      </w:r>
      <w:r w:rsidRPr="00463F28">
        <w:rPr>
          <w:rFonts w:cs="Arial" w:hint="cs"/>
          <w:rtl/>
        </w:rPr>
        <w:t xml:space="preserve">- </w:t>
      </w:r>
      <w:r w:rsidRPr="00463F28">
        <w:rPr>
          <w:rFonts w:cs="Arial"/>
          <w:rtl/>
        </w:rPr>
        <w:t>כל דבעי לאזוקי יכול למעבד דינא לנפשיה</w:t>
      </w:r>
      <w:r w:rsidR="0043248C">
        <w:rPr>
          <w:rFonts w:cs="Arial" w:hint="cs"/>
          <w:rtl/>
        </w:rPr>
        <w:t>...</w:t>
      </w:r>
      <w:r w:rsidRPr="00463F28">
        <w:rPr>
          <w:rFonts w:cs="Arial"/>
          <w:rtl/>
        </w:rPr>
        <w:t xml:space="preserve"> דהאשה מצלת בעלה מיד מכהו כו'</w:t>
      </w:r>
      <w:r w:rsidR="00AF3843">
        <w:rPr>
          <w:rFonts w:cs="Arial" w:hint="cs"/>
          <w:sz w:val="16"/>
          <w:szCs w:val="16"/>
          <w:rtl/>
        </w:rPr>
        <w:t xml:space="preserve"> (ל' הדרכ"מ בשם הנמוק"י</w:t>
      </w:r>
      <w:r w:rsidR="0043248C">
        <w:rPr>
          <w:rFonts w:cs="Arial" w:hint="cs"/>
          <w:sz w:val="16"/>
          <w:szCs w:val="16"/>
          <w:rtl/>
        </w:rPr>
        <w:t xml:space="preserve"> והרא"ש</w:t>
      </w:r>
      <w:r w:rsidR="00AF3843">
        <w:rPr>
          <w:rFonts w:cs="Arial" w:hint="cs"/>
          <w:sz w:val="16"/>
          <w:szCs w:val="16"/>
          <w:rtl/>
        </w:rPr>
        <w:t>)</w:t>
      </w:r>
      <w:r>
        <w:rPr>
          <w:rFonts w:cs="Arial" w:hint="cs"/>
          <w:rtl/>
        </w:rPr>
        <w:t>.</w:t>
      </w:r>
    </w:p>
    <w:p w14:paraId="1049E6F4" w14:textId="77777777" w:rsidR="004A326E" w:rsidRDefault="004A326E" w:rsidP="004A326E">
      <w:pPr>
        <w:ind w:left="360"/>
        <w:rPr>
          <w:rFonts w:cs="Arial"/>
          <w:rtl/>
        </w:rPr>
      </w:pPr>
      <w:r w:rsidRPr="00463F28">
        <w:rPr>
          <w:rFonts w:cs="Arial" w:hint="cs"/>
          <w:u w:val="dotted"/>
          <w:rtl/>
        </w:rPr>
        <w:t>על ידי גוי:</w:t>
      </w:r>
    </w:p>
    <w:p w14:paraId="7E2DE871" w14:textId="77777777" w:rsidR="004A326E" w:rsidRDefault="004A326E" w:rsidP="004B0475">
      <w:pPr>
        <w:pStyle w:val="ac"/>
        <w:numPr>
          <w:ilvl w:val="0"/>
          <w:numId w:val="52"/>
        </w:numPr>
        <w:rPr>
          <w:rFonts w:cs="Arial"/>
          <w:u w:val="single"/>
        </w:rPr>
      </w:pPr>
      <w:r w:rsidRPr="00463F28">
        <w:rPr>
          <w:rFonts w:cs="Arial" w:hint="cs"/>
          <w:rtl/>
        </w:rPr>
        <w:t xml:space="preserve">תרוה"ד </w:t>
      </w:r>
      <w:r w:rsidRPr="00315F01">
        <w:rPr>
          <w:rFonts w:cs="Arial" w:hint="cs"/>
          <w:sz w:val="16"/>
          <w:szCs w:val="16"/>
          <w:rtl/>
        </w:rPr>
        <w:t>(</w:t>
      </w:r>
      <w:r w:rsidRPr="00315F01">
        <w:rPr>
          <w:rFonts w:cs="Arial"/>
          <w:sz w:val="16"/>
          <w:szCs w:val="16"/>
          <w:rtl/>
        </w:rPr>
        <w:t>סי</w:t>
      </w:r>
      <w:r w:rsidRPr="00315F01">
        <w:rPr>
          <w:rFonts w:cs="Arial" w:hint="cs"/>
          <w:sz w:val="16"/>
          <w:szCs w:val="16"/>
          <w:rtl/>
        </w:rPr>
        <w:t>'</w:t>
      </w:r>
      <w:r w:rsidRPr="00315F01">
        <w:rPr>
          <w:rFonts w:cs="Arial"/>
          <w:sz w:val="16"/>
          <w:szCs w:val="16"/>
          <w:rtl/>
        </w:rPr>
        <w:t xml:space="preserve"> דש</w:t>
      </w:r>
      <w:r w:rsidRPr="00315F01">
        <w:rPr>
          <w:rFonts w:cs="Arial" w:hint="cs"/>
          <w:sz w:val="16"/>
          <w:szCs w:val="16"/>
          <w:rtl/>
        </w:rPr>
        <w:t>)</w:t>
      </w:r>
      <w:r w:rsidRPr="00463F28">
        <w:rPr>
          <w:rFonts w:cs="Arial" w:hint="cs"/>
          <w:rtl/>
        </w:rPr>
        <w:t>-</w:t>
      </w:r>
      <w:r w:rsidRPr="00463F28">
        <w:rPr>
          <w:rFonts w:cs="Arial"/>
          <w:rtl/>
        </w:rPr>
        <w:t xml:space="preserve"> א</w:t>
      </w:r>
      <w:r w:rsidRPr="00463F28">
        <w:rPr>
          <w:rFonts w:cs="Arial" w:hint="cs"/>
          <w:rtl/>
        </w:rPr>
        <w:t>ע"ג</w:t>
      </w:r>
      <w:r w:rsidRPr="00463F28">
        <w:rPr>
          <w:rFonts w:cs="Arial"/>
          <w:rtl/>
        </w:rPr>
        <w:t xml:space="preserve"> דעביד דינא לנפשיה מ</w:t>
      </w:r>
      <w:r w:rsidRPr="00463F28">
        <w:rPr>
          <w:rFonts w:cs="Arial" w:hint="cs"/>
          <w:rtl/>
        </w:rPr>
        <w:t>"</w:t>
      </w:r>
      <w:r w:rsidRPr="00463F28">
        <w:rPr>
          <w:rFonts w:cs="Arial"/>
          <w:rtl/>
        </w:rPr>
        <w:t>מ אסור לעשותן ע</w:t>
      </w:r>
      <w:r w:rsidRPr="00463F28">
        <w:rPr>
          <w:rFonts w:cs="Arial" w:hint="cs"/>
          <w:rtl/>
        </w:rPr>
        <w:t>"</w:t>
      </w:r>
      <w:r w:rsidRPr="00463F28">
        <w:rPr>
          <w:rFonts w:cs="Arial"/>
          <w:rtl/>
        </w:rPr>
        <w:t>י גוי</w:t>
      </w:r>
      <w:r>
        <w:rPr>
          <w:rStyle w:val="ab"/>
          <w:rFonts w:cs="Arial"/>
          <w:rtl/>
        </w:rPr>
        <w:footnoteReference w:id="211"/>
      </w:r>
      <w:r w:rsidRPr="00463F28">
        <w:rPr>
          <w:rFonts w:cs="Arial" w:hint="cs"/>
          <w:rtl/>
        </w:rPr>
        <w:t>.</w:t>
      </w:r>
      <w:r w:rsidRPr="00640E92">
        <w:rPr>
          <w:rFonts w:cs="Arial" w:hint="cs"/>
          <w:color w:val="00B0F0"/>
          <w:rtl/>
        </w:rPr>
        <w:t xml:space="preserve"> (וכ"</w:t>
      </w:r>
      <w:r w:rsidR="00AF3843">
        <w:rPr>
          <w:rFonts w:cs="Arial" w:hint="cs"/>
          <w:color w:val="00B0F0"/>
          <w:rtl/>
        </w:rPr>
        <w:t>פ</w:t>
      </w:r>
      <w:r w:rsidRPr="00640E92">
        <w:rPr>
          <w:rFonts w:cs="Arial" w:hint="cs"/>
          <w:color w:val="00B0F0"/>
          <w:rtl/>
        </w:rPr>
        <w:t xml:space="preserve"> הרמ"א)</w:t>
      </w:r>
    </w:p>
    <w:p w14:paraId="423B3408" w14:textId="77777777" w:rsidR="004A326E" w:rsidRPr="00DE7160" w:rsidRDefault="004A326E" w:rsidP="004B0475">
      <w:pPr>
        <w:pStyle w:val="ac"/>
        <w:numPr>
          <w:ilvl w:val="0"/>
          <w:numId w:val="52"/>
        </w:numPr>
        <w:rPr>
          <w:rFonts w:cs="Arial"/>
        </w:rPr>
      </w:pPr>
      <w:r>
        <w:rPr>
          <w:rFonts w:cs="Arial" w:hint="cs"/>
          <w:rtl/>
        </w:rPr>
        <w:t xml:space="preserve">מהרי"ק </w:t>
      </w:r>
      <w:r w:rsidRPr="00DE7160">
        <w:rPr>
          <w:rFonts w:cs="Arial" w:hint="cs"/>
          <w:sz w:val="16"/>
          <w:szCs w:val="16"/>
          <w:rtl/>
        </w:rPr>
        <w:t>(שורש קסא)</w:t>
      </w:r>
      <w:r>
        <w:rPr>
          <w:rFonts w:cs="Arial" w:hint="cs"/>
          <w:rtl/>
        </w:rPr>
        <w:t xml:space="preserve">- </w:t>
      </w:r>
      <w:r w:rsidRPr="00DE7160">
        <w:rPr>
          <w:rFonts w:cs="Arial"/>
          <w:rtl/>
        </w:rPr>
        <w:t>למוסרו בידי עע"ז העשוין להעליל ולהתנפל ולהתגולל ודאי אין לו למעבד דינא לנפשיה אם לא יהיה דבר ידוע שהוא שלו</w:t>
      </w:r>
      <w:r w:rsidRPr="00DE7160">
        <w:rPr>
          <w:rFonts w:cs="Arial" w:hint="cs"/>
          <w:rtl/>
        </w:rPr>
        <w:t>.</w:t>
      </w:r>
    </w:p>
    <w:p w14:paraId="7447EFD8" w14:textId="77777777" w:rsidR="004A326E" w:rsidRPr="007944F3" w:rsidRDefault="004A326E" w:rsidP="004A326E">
      <w:pPr>
        <w:rPr>
          <w:rFonts w:cs="Arial"/>
          <w:u w:val="single"/>
          <w:rtl/>
        </w:rPr>
      </w:pPr>
      <w:r w:rsidRPr="007944F3">
        <w:rPr>
          <w:rFonts w:cs="Arial"/>
          <w:u w:val="single"/>
          <w:rtl/>
        </w:rPr>
        <w:t>תפיסה קודם שנולד הספק</w:t>
      </w:r>
      <w:r w:rsidRPr="007944F3">
        <w:rPr>
          <w:rFonts w:cs="Arial" w:hint="cs"/>
          <w:u w:val="single"/>
          <w:rtl/>
        </w:rPr>
        <w:t>:</w:t>
      </w:r>
    </w:p>
    <w:p w14:paraId="06C9229D" w14:textId="77777777" w:rsidR="004A326E" w:rsidRPr="007944F3" w:rsidRDefault="004A326E" w:rsidP="004B0475">
      <w:pPr>
        <w:pStyle w:val="ac"/>
        <w:numPr>
          <w:ilvl w:val="0"/>
          <w:numId w:val="52"/>
        </w:numPr>
        <w:rPr>
          <w:rFonts w:cs="Arial"/>
          <w:rtl/>
        </w:rPr>
      </w:pPr>
      <w:r w:rsidRPr="007944F3">
        <w:rPr>
          <w:rFonts w:cs="Arial"/>
          <w:rtl/>
        </w:rPr>
        <w:t xml:space="preserve">מהרי"ק </w:t>
      </w:r>
      <w:r w:rsidRPr="007944F3">
        <w:rPr>
          <w:rFonts w:cs="Arial" w:hint="cs"/>
          <w:sz w:val="16"/>
          <w:szCs w:val="16"/>
          <w:rtl/>
        </w:rPr>
        <w:t>(</w:t>
      </w:r>
      <w:r w:rsidRPr="007944F3">
        <w:rPr>
          <w:rFonts w:cs="Arial"/>
          <w:sz w:val="16"/>
          <w:szCs w:val="16"/>
          <w:rtl/>
        </w:rPr>
        <w:t>שורש קסא ענף ב)</w:t>
      </w:r>
      <w:r>
        <w:rPr>
          <w:rFonts w:cs="Arial" w:hint="cs"/>
          <w:rtl/>
        </w:rPr>
        <w:t xml:space="preserve">- </w:t>
      </w:r>
      <w:r w:rsidRPr="007944F3">
        <w:rPr>
          <w:rFonts w:cs="Arial"/>
          <w:rtl/>
        </w:rPr>
        <w:t>תפיסה קודם</w:t>
      </w:r>
      <w:r w:rsidR="005B2E28">
        <w:rPr>
          <w:rStyle w:val="ab"/>
          <w:rFonts w:cs="Arial"/>
          <w:rtl/>
        </w:rPr>
        <w:footnoteReference w:id="212"/>
      </w:r>
      <w:r w:rsidRPr="007944F3">
        <w:rPr>
          <w:rFonts w:cs="Arial"/>
          <w:rtl/>
        </w:rPr>
        <w:t xml:space="preserve"> שנולד הספק </w:t>
      </w:r>
      <w:r w:rsidR="00810E9D">
        <w:rPr>
          <w:rFonts w:cs="Arial" w:hint="cs"/>
          <w:rtl/>
        </w:rPr>
        <w:t xml:space="preserve">- </w:t>
      </w:r>
      <w:r w:rsidRPr="007944F3">
        <w:rPr>
          <w:rFonts w:cs="Arial"/>
          <w:rtl/>
        </w:rPr>
        <w:t xml:space="preserve">מהני אפילו אין לו טענה ברורה </w:t>
      </w:r>
      <w:r w:rsidR="007E797F" w:rsidRPr="007E797F">
        <w:rPr>
          <w:rFonts w:cs="Arial" w:hint="cs"/>
          <w:sz w:val="16"/>
          <w:szCs w:val="16"/>
          <w:rtl/>
        </w:rPr>
        <w:t>(</w:t>
      </w:r>
      <w:r w:rsidRPr="007E797F">
        <w:rPr>
          <w:rFonts w:cs="Arial"/>
          <w:sz w:val="16"/>
          <w:szCs w:val="16"/>
          <w:rtl/>
        </w:rPr>
        <w:t>אלא שאומר קים לי כרש"י</w:t>
      </w:r>
      <w:r w:rsidR="005B2E28">
        <w:rPr>
          <w:rStyle w:val="ab"/>
          <w:rFonts w:cs="Arial"/>
          <w:sz w:val="16"/>
          <w:szCs w:val="16"/>
          <w:rtl/>
        </w:rPr>
        <w:footnoteReference w:id="213"/>
      </w:r>
      <w:r w:rsidRPr="007E797F">
        <w:rPr>
          <w:rFonts w:cs="Arial"/>
          <w:sz w:val="16"/>
          <w:szCs w:val="16"/>
          <w:rtl/>
        </w:rPr>
        <w:t xml:space="preserve"> וכיוצא בזה</w:t>
      </w:r>
      <w:r w:rsidR="007E797F">
        <w:rPr>
          <w:rFonts w:cs="Arial" w:hint="cs"/>
          <w:sz w:val="16"/>
          <w:szCs w:val="16"/>
          <w:rtl/>
        </w:rPr>
        <w:t>)</w:t>
      </w:r>
      <w:r>
        <w:rPr>
          <w:rFonts w:cs="Arial" w:hint="cs"/>
          <w:rtl/>
        </w:rPr>
        <w:t>,</w:t>
      </w:r>
      <w:r w:rsidRPr="007944F3">
        <w:rPr>
          <w:rFonts w:cs="Arial"/>
          <w:rtl/>
        </w:rPr>
        <w:t xml:space="preserve"> ולא דמי לתקפו כהן </w:t>
      </w:r>
      <w:r w:rsidRPr="007944F3">
        <w:rPr>
          <w:rFonts w:cs="Arial"/>
          <w:sz w:val="16"/>
          <w:szCs w:val="16"/>
          <w:rtl/>
        </w:rPr>
        <w:t>(ב"מ ו:)</w:t>
      </w:r>
      <w:r w:rsidRPr="007944F3">
        <w:rPr>
          <w:rFonts w:cs="Arial"/>
          <w:rtl/>
        </w:rPr>
        <w:t>.</w:t>
      </w:r>
    </w:p>
    <w:p w14:paraId="6D419F4C" w14:textId="77777777" w:rsidR="004A326E" w:rsidRPr="006B1720" w:rsidRDefault="004A326E" w:rsidP="004A326E">
      <w:pPr>
        <w:rPr>
          <w:rFonts w:cs="Arial"/>
          <w:u w:val="dotted"/>
        </w:rPr>
      </w:pPr>
      <w:r>
        <w:rPr>
          <w:rFonts w:cs="Arial" w:hint="cs"/>
          <w:u w:val="single"/>
          <w:rtl/>
        </w:rPr>
        <w:t xml:space="preserve">קהל </w:t>
      </w:r>
      <w:r w:rsidRPr="00640E92">
        <w:rPr>
          <w:rFonts w:cs="Arial" w:hint="cs"/>
          <w:sz w:val="16"/>
          <w:szCs w:val="16"/>
          <w:u w:val="single"/>
          <w:rtl/>
        </w:rPr>
        <w:t>(הרבה אנשים)</w:t>
      </w:r>
      <w:r w:rsidRPr="00640E92">
        <w:rPr>
          <w:rFonts w:cs="Arial" w:hint="cs"/>
          <w:u w:val="single"/>
          <w:rtl/>
        </w:rPr>
        <w:t xml:space="preserve"> </w:t>
      </w:r>
      <w:r>
        <w:rPr>
          <w:rFonts w:cs="Arial" w:hint="cs"/>
          <w:u w:val="single"/>
          <w:rtl/>
        </w:rPr>
        <w:t>ש</w:t>
      </w:r>
      <w:r w:rsidRPr="00640E92">
        <w:rPr>
          <w:rFonts w:cs="Arial" w:hint="cs"/>
          <w:u w:val="single"/>
          <w:rtl/>
        </w:rPr>
        <w:t>רוצים לעשות דין ביחיד:</w:t>
      </w:r>
      <w:r>
        <w:rPr>
          <w:rFonts w:cs="Arial" w:hint="cs"/>
          <w:sz w:val="16"/>
          <w:szCs w:val="16"/>
          <w:rtl/>
        </w:rPr>
        <w:t xml:space="preserve">  (דרכ"מ אות ג</w:t>
      </w:r>
      <w:r w:rsidRPr="006B1720">
        <w:rPr>
          <w:rFonts w:cs="Arial" w:hint="cs"/>
          <w:sz w:val="16"/>
          <w:szCs w:val="16"/>
          <w:rtl/>
        </w:rPr>
        <w:t>)</w:t>
      </w:r>
    </w:p>
    <w:p w14:paraId="098924A4" w14:textId="77777777" w:rsidR="004A326E" w:rsidRPr="00315F01" w:rsidRDefault="004A326E" w:rsidP="004B0475">
      <w:pPr>
        <w:pStyle w:val="ac"/>
        <w:numPr>
          <w:ilvl w:val="0"/>
          <w:numId w:val="52"/>
        </w:numPr>
        <w:rPr>
          <w:rFonts w:cs="Arial"/>
          <w:rtl/>
        </w:rPr>
      </w:pPr>
      <w:r w:rsidRPr="00315F01">
        <w:rPr>
          <w:rFonts w:cs="Arial"/>
          <w:rtl/>
        </w:rPr>
        <w:t xml:space="preserve">רא"ש </w:t>
      </w:r>
      <w:r w:rsidRPr="006B1720">
        <w:rPr>
          <w:rFonts w:cs="Arial" w:hint="cs"/>
          <w:sz w:val="16"/>
          <w:szCs w:val="16"/>
          <w:rtl/>
        </w:rPr>
        <w:t>(</w:t>
      </w:r>
      <w:r w:rsidRPr="006B1720">
        <w:rPr>
          <w:rFonts w:cs="Arial"/>
          <w:sz w:val="16"/>
          <w:szCs w:val="16"/>
          <w:rtl/>
        </w:rPr>
        <w:t>כלל ו סי</w:t>
      </w:r>
      <w:r w:rsidRPr="006B1720">
        <w:rPr>
          <w:rFonts w:cs="Arial" w:hint="cs"/>
          <w:sz w:val="16"/>
          <w:szCs w:val="16"/>
          <w:rtl/>
        </w:rPr>
        <w:t>'</w:t>
      </w:r>
      <w:r w:rsidRPr="006B1720">
        <w:rPr>
          <w:rFonts w:cs="Arial"/>
          <w:sz w:val="16"/>
          <w:szCs w:val="16"/>
          <w:rtl/>
        </w:rPr>
        <w:t xml:space="preserve"> כו</w:t>
      </w:r>
      <w:r w:rsidRPr="006B1720">
        <w:rPr>
          <w:rFonts w:cs="Arial" w:hint="cs"/>
          <w:sz w:val="16"/>
          <w:szCs w:val="16"/>
          <w:rtl/>
        </w:rPr>
        <w:t>)</w:t>
      </w:r>
      <w:r>
        <w:rPr>
          <w:rFonts w:cs="Arial" w:hint="cs"/>
          <w:rtl/>
        </w:rPr>
        <w:t>-</w:t>
      </w:r>
      <w:r w:rsidRPr="00315F01">
        <w:rPr>
          <w:rFonts w:cs="Arial"/>
          <w:rtl/>
        </w:rPr>
        <w:t xml:space="preserve"> כל דבר שידוע לטובי העיר או לרוב העיר שאחד מחזיק בשלהם אע</w:t>
      </w:r>
      <w:r>
        <w:rPr>
          <w:rFonts w:cs="Arial" w:hint="cs"/>
          <w:rtl/>
        </w:rPr>
        <w:t>"</w:t>
      </w:r>
      <w:r w:rsidRPr="00315F01">
        <w:rPr>
          <w:rFonts w:cs="Arial"/>
          <w:rtl/>
        </w:rPr>
        <w:t xml:space="preserve">פ שאין אחד מהן יכול להעיד </w:t>
      </w:r>
      <w:r>
        <w:rPr>
          <w:rFonts w:cs="Arial" w:hint="cs"/>
          <w:rtl/>
        </w:rPr>
        <w:t>מ"מ</w:t>
      </w:r>
      <w:r w:rsidRPr="00315F01">
        <w:rPr>
          <w:rFonts w:cs="Arial"/>
          <w:rtl/>
        </w:rPr>
        <w:t xml:space="preserve"> הם בעצמן מוציאים ממנו ועבדי דינא לנפשייהו</w:t>
      </w:r>
      <w:r>
        <w:rPr>
          <w:rFonts w:cs="Arial" w:hint="cs"/>
          <w:rtl/>
        </w:rPr>
        <w:t>.</w:t>
      </w:r>
      <w:r w:rsidRPr="00EC4924">
        <w:rPr>
          <w:rFonts w:cs="Arial" w:hint="cs"/>
          <w:color w:val="00B0F0"/>
          <w:rtl/>
        </w:rPr>
        <w:t xml:space="preserve"> </w:t>
      </w:r>
      <w:r w:rsidRPr="00640E92">
        <w:rPr>
          <w:rFonts w:cs="Arial" w:hint="cs"/>
          <w:color w:val="00B0F0"/>
          <w:rtl/>
        </w:rPr>
        <w:t>(וכ"פ הרמ"א)</w:t>
      </w:r>
    </w:p>
    <w:p w14:paraId="6D4F6F22" w14:textId="77777777" w:rsidR="004A326E" w:rsidRPr="00CD0E97" w:rsidRDefault="004A326E" w:rsidP="004B0475">
      <w:pPr>
        <w:pStyle w:val="ac"/>
        <w:numPr>
          <w:ilvl w:val="0"/>
          <w:numId w:val="52"/>
        </w:numPr>
        <w:rPr>
          <w:rtl/>
        </w:rPr>
      </w:pPr>
      <w:r w:rsidRPr="007944F3">
        <w:rPr>
          <w:rFonts w:cs="Arial"/>
          <w:rtl/>
        </w:rPr>
        <w:t xml:space="preserve">מהרי"ק </w:t>
      </w:r>
      <w:r w:rsidRPr="007944F3">
        <w:rPr>
          <w:rFonts w:cs="Arial" w:hint="cs"/>
          <w:sz w:val="16"/>
          <w:szCs w:val="16"/>
          <w:rtl/>
        </w:rPr>
        <w:t>(</w:t>
      </w:r>
      <w:r w:rsidRPr="007944F3">
        <w:rPr>
          <w:rFonts w:cs="Arial"/>
          <w:sz w:val="16"/>
          <w:szCs w:val="16"/>
          <w:rtl/>
        </w:rPr>
        <w:t>שו</w:t>
      </w:r>
      <w:r>
        <w:rPr>
          <w:rFonts w:cs="Arial" w:hint="cs"/>
          <w:sz w:val="16"/>
          <w:szCs w:val="16"/>
          <w:rtl/>
        </w:rPr>
        <w:t xml:space="preserve">רש </w:t>
      </w:r>
      <w:r w:rsidRPr="007944F3">
        <w:rPr>
          <w:rFonts w:cs="Arial"/>
          <w:sz w:val="16"/>
          <w:szCs w:val="16"/>
          <w:rtl/>
        </w:rPr>
        <w:t>ב</w:t>
      </w:r>
      <w:r>
        <w:rPr>
          <w:rFonts w:cs="Arial" w:hint="cs"/>
          <w:sz w:val="16"/>
          <w:szCs w:val="16"/>
          <w:rtl/>
        </w:rPr>
        <w:t>, הביאו הב"י</w:t>
      </w:r>
      <w:r w:rsidRPr="007944F3">
        <w:rPr>
          <w:rFonts w:cs="Arial"/>
          <w:sz w:val="16"/>
          <w:szCs w:val="16"/>
          <w:rtl/>
        </w:rPr>
        <w:t>)</w:t>
      </w:r>
      <w:r w:rsidRPr="007944F3">
        <w:rPr>
          <w:rFonts w:cs="Arial" w:hint="cs"/>
          <w:rtl/>
        </w:rPr>
        <w:t>-</w:t>
      </w:r>
      <w:r w:rsidRPr="007944F3">
        <w:rPr>
          <w:rFonts w:cs="Arial"/>
          <w:rtl/>
        </w:rPr>
        <w:t xml:space="preserve"> יחיד המדיין עם הרבים דינם להיות מוחזקים</w:t>
      </w:r>
      <w:r w:rsidR="00254547">
        <w:rPr>
          <w:rFonts w:cs="Arial" w:hint="cs"/>
          <w:rtl/>
        </w:rPr>
        <w:t>,</w:t>
      </w:r>
      <w:r w:rsidRPr="007944F3">
        <w:rPr>
          <w:rFonts w:cs="Arial"/>
          <w:rtl/>
        </w:rPr>
        <w:t xml:space="preserve"> ותופסים</w:t>
      </w:r>
      <w:r w:rsidR="004B2CF3">
        <w:rPr>
          <w:rFonts w:cs="Arial" w:hint="cs"/>
          <w:rtl/>
        </w:rPr>
        <w:t>,</w:t>
      </w:r>
      <w:r w:rsidRPr="007944F3">
        <w:rPr>
          <w:rFonts w:cs="Arial"/>
          <w:rtl/>
        </w:rPr>
        <w:t xml:space="preserve"> </w:t>
      </w:r>
      <w:r w:rsidR="004B2CF3" w:rsidRPr="007944F3">
        <w:rPr>
          <w:rFonts w:cs="Arial"/>
          <w:rtl/>
        </w:rPr>
        <w:t xml:space="preserve">נתבעים </w:t>
      </w:r>
      <w:r w:rsidRPr="007944F3">
        <w:rPr>
          <w:rFonts w:cs="Arial"/>
          <w:rtl/>
        </w:rPr>
        <w:t>ולא</w:t>
      </w:r>
      <w:r w:rsidR="004B2CF3" w:rsidRPr="004B2CF3">
        <w:rPr>
          <w:rFonts w:cs="Arial"/>
          <w:rtl/>
        </w:rPr>
        <w:t xml:space="preserve"> </w:t>
      </w:r>
      <w:r w:rsidR="004B2CF3" w:rsidRPr="007944F3">
        <w:rPr>
          <w:rFonts w:cs="Arial"/>
          <w:rtl/>
        </w:rPr>
        <w:t>תובעים</w:t>
      </w:r>
      <w:r w:rsidRPr="007944F3">
        <w:rPr>
          <w:rFonts w:cs="Arial" w:hint="cs"/>
          <w:rtl/>
        </w:rPr>
        <w:t>.</w:t>
      </w:r>
      <w:r w:rsidR="004B2CF3" w:rsidRPr="004B2CF3">
        <w:rPr>
          <w:rFonts w:cs="Arial"/>
          <w:rtl/>
        </w:rPr>
        <w:t xml:space="preserve"> </w:t>
      </w:r>
    </w:p>
    <w:p w14:paraId="1B67571A" w14:textId="77777777" w:rsidR="004A326E" w:rsidRDefault="004A326E" w:rsidP="004B0475">
      <w:pPr>
        <w:pStyle w:val="ac"/>
        <w:numPr>
          <w:ilvl w:val="0"/>
          <w:numId w:val="52"/>
        </w:numPr>
        <w:rPr>
          <w:rFonts w:cs="Arial"/>
        </w:rPr>
      </w:pPr>
      <w:r>
        <w:rPr>
          <w:rFonts w:cs="Arial" w:hint="cs"/>
          <w:rtl/>
        </w:rPr>
        <w:t xml:space="preserve">מהר"ם </w:t>
      </w:r>
      <w:r w:rsidRPr="0072080E">
        <w:rPr>
          <w:rFonts w:cs="Arial" w:hint="cs"/>
          <w:sz w:val="16"/>
          <w:szCs w:val="16"/>
          <w:rtl/>
        </w:rPr>
        <w:t xml:space="preserve">(ד"פ סי' קו) </w:t>
      </w:r>
      <w:r>
        <w:rPr>
          <w:rFonts w:cs="Arial" w:hint="cs"/>
          <w:rtl/>
        </w:rPr>
        <w:t>ו</w:t>
      </w:r>
      <w:r w:rsidRPr="00315F01">
        <w:rPr>
          <w:rFonts w:cs="Arial"/>
          <w:rtl/>
        </w:rPr>
        <w:t xml:space="preserve">מרדכי </w:t>
      </w:r>
      <w:r w:rsidRPr="0072080E">
        <w:rPr>
          <w:rFonts w:cs="Arial" w:hint="cs"/>
          <w:sz w:val="16"/>
          <w:szCs w:val="16"/>
          <w:rtl/>
        </w:rPr>
        <w:t>(</w:t>
      </w:r>
      <w:r w:rsidRPr="0072080E">
        <w:rPr>
          <w:rFonts w:cs="Arial"/>
          <w:sz w:val="16"/>
          <w:szCs w:val="16"/>
          <w:rtl/>
        </w:rPr>
        <w:t>ב"ב פ</w:t>
      </w:r>
      <w:r w:rsidRPr="0072080E">
        <w:rPr>
          <w:rFonts w:cs="Arial" w:hint="cs"/>
          <w:sz w:val="16"/>
          <w:szCs w:val="16"/>
          <w:rtl/>
        </w:rPr>
        <w:t>'</w:t>
      </w:r>
      <w:r w:rsidRPr="0072080E">
        <w:rPr>
          <w:rFonts w:cs="Arial"/>
          <w:sz w:val="16"/>
          <w:szCs w:val="16"/>
          <w:rtl/>
        </w:rPr>
        <w:t xml:space="preserve"> המוכר פירות סי' תקסט</w:t>
      </w:r>
      <w:r w:rsidRPr="0072080E">
        <w:rPr>
          <w:rFonts w:cs="Arial" w:hint="cs"/>
          <w:sz w:val="16"/>
          <w:szCs w:val="16"/>
          <w:rtl/>
        </w:rPr>
        <w:t xml:space="preserve"> ובסי' תקכב</w:t>
      </w:r>
      <w:r w:rsidRPr="0072080E">
        <w:rPr>
          <w:rFonts w:cs="Arial"/>
          <w:sz w:val="16"/>
          <w:szCs w:val="16"/>
          <w:rtl/>
        </w:rPr>
        <w:t xml:space="preserve">) </w:t>
      </w:r>
      <w:r w:rsidRPr="00315F01">
        <w:rPr>
          <w:rFonts w:cs="Arial"/>
          <w:rtl/>
        </w:rPr>
        <w:t>בשם הר</w:t>
      </w:r>
      <w:r>
        <w:rPr>
          <w:rFonts w:cs="Arial" w:hint="cs"/>
          <w:rtl/>
        </w:rPr>
        <w:t xml:space="preserve">א"ם- </w:t>
      </w:r>
      <w:r w:rsidRPr="00315F01">
        <w:rPr>
          <w:rFonts w:cs="Arial"/>
          <w:rtl/>
        </w:rPr>
        <w:t>יש כח לקהל למשכן קודם שירדו לדין כיון דרבים נינהו ואח"כ ירדו לדין</w:t>
      </w:r>
      <w:r>
        <w:rPr>
          <w:rFonts w:cs="Arial" w:hint="cs"/>
          <w:rtl/>
        </w:rPr>
        <w:t xml:space="preserve"> </w:t>
      </w:r>
      <w:r>
        <w:rPr>
          <w:rFonts w:cs="Arial" w:hint="cs"/>
          <w:sz w:val="16"/>
          <w:szCs w:val="16"/>
          <w:rtl/>
        </w:rPr>
        <w:t>(ל' המרדכי [סי' תקסט])</w:t>
      </w:r>
      <w:r>
        <w:rPr>
          <w:rFonts w:cs="Arial" w:hint="cs"/>
          <w:rtl/>
        </w:rPr>
        <w:t>.</w:t>
      </w:r>
      <w:r w:rsidRPr="00315F01">
        <w:rPr>
          <w:rFonts w:cs="Arial"/>
          <w:rtl/>
        </w:rPr>
        <w:t xml:space="preserve"> </w:t>
      </w:r>
      <w:r>
        <w:rPr>
          <w:rFonts w:cs="Arial" w:hint="cs"/>
          <w:rtl/>
        </w:rPr>
        <w:t xml:space="preserve">הילכך </w:t>
      </w:r>
      <w:r w:rsidRPr="00315F01">
        <w:rPr>
          <w:rFonts w:cs="Arial"/>
          <w:rtl/>
        </w:rPr>
        <w:t>קהל שיש להם דין עם יחיד עבור מסים נוהגים בכל הקהלות שהקהל גובים ממנו המס תחילה ואח"כ ידונו עמו ואם לקחו שלא כדין יחזירו לו</w:t>
      </w:r>
      <w:r>
        <w:rPr>
          <w:rFonts w:cs="Arial" w:hint="cs"/>
          <w:rtl/>
        </w:rPr>
        <w:t>,</w:t>
      </w:r>
      <w:r w:rsidRPr="00315F01">
        <w:rPr>
          <w:rFonts w:cs="Arial"/>
          <w:rtl/>
        </w:rPr>
        <w:t xml:space="preserve"> וכתב רבינו מאיר שהוא דין תורה </w:t>
      </w:r>
      <w:r w:rsidRPr="0072080E">
        <w:rPr>
          <w:rFonts w:cs="Arial" w:hint="cs"/>
          <w:sz w:val="16"/>
          <w:szCs w:val="16"/>
          <w:rtl/>
        </w:rPr>
        <w:t xml:space="preserve">(פ' איזהו נשך עג:) </w:t>
      </w:r>
      <w:r>
        <w:rPr>
          <w:rFonts w:cs="Arial" w:hint="cs"/>
          <w:rtl/>
        </w:rPr>
        <w:t xml:space="preserve">דאמר </w:t>
      </w:r>
      <w:r w:rsidRPr="0072080E">
        <w:rPr>
          <w:rFonts w:cs="Arial"/>
          <w:rtl/>
        </w:rPr>
        <w:t xml:space="preserve">רב ששת מוהרקייהו דהני בטפסא דמלכא מנח </w:t>
      </w:r>
      <w:r>
        <w:rPr>
          <w:rFonts w:cs="Arial" w:hint="cs"/>
          <w:rtl/>
        </w:rPr>
        <w:t>ו</w:t>
      </w:r>
      <w:r w:rsidRPr="00315F01">
        <w:rPr>
          <w:rFonts w:cs="Arial"/>
          <w:rtl/>
        </w:rPr>
        <w:t xml:space="preserve">כו', </w:t>
      </w:r>
      <w:r>
        <w:rPr>
          <w:rFonts w:cs="Arial" w:hint="cs"/>
          <w:rtl/>
        </w:rPr>
        <w:t xml:space="preserve">אלמא חשוב </w:t>
      </w:r>
      <w:r w:rsidRPr="00315F01">
        <w:rPr>
          <w:rFonts w:cs="Arial"/>
          <w:rtl/>
        </w:rPr>
        <w:t xml:space="preserve">המלך </w:t>
      </w:r>
      <w:r>
        <w:rPr>
          <w:rFonts w:cs="Arial" w:hint="cs"/>
          <w:rtl/>
        </w:rPr>
        <w:t>כ</w:t>
      </w:r>
      <w:r w:rsidRPr="00315F01">
        <w:rPr>
          <w:rFonts w:cs="Arial"/>
          <w:rtl/>
        </w:rPr>
        <w:t>מוחזק במס של כל אחד ואחד, וכל היכא דאיכא שום ספיקא ושום טענה שאינה ברורה ליחיד לפטור מן המס</w:t>
      </w:r>
      <w:r w:rsidR="004B2CF3">
        <w:rPr>
          <w:rFonts w:cs="Arial" w:hint="cs"/>
          <w:rtl/>
        </w:rPr>
        <w:t xml:space="preserve"> -</w:t>
      </w:r>
      <w:r w:rsidRPr="00315F01">
        <w:rPr>
          <w:rFonts w:cs="Arial"/>
          <w:rtl/>
        </w:rPr>
        <w:t xml:space="preserve"> חשוב המלך כמוחזק עד שיברר הדבר שהוא פטור. ואם יש מנהג בעיר ילך אחר המנהג. ואם יש עסק שבועה ביניהם </w:t>
      </w:r>
      <w:r w:rsidR="004B2CF3">
        <w:rPr>
          <w:rFonts w:cs="Arial" w:hint="cs"/>
          <w:rtl/>
        </w:rPr>
        <w:t xml:space="preserve">- </w:t>
      </w:r>
      <w:r w:rsidRPr="00315F01">
        <w:rPr>
          <w:rFonts w:cs="Arial"/>
          <w:rtl/>
        </w:rPr>
        <w:t>הרשות ביד הקהל לישבע או להפכה עליו דכל שעה יד הקהל על העליונה</w:t>
      </w:r>
      <w:r>
        <w:rPr>
          <w:rFonts w:cs="Arial" w:hint="cs"/>
          <w:rtl/>
        </w:rPr>
        <w:t>,</w:t>
      </w:r>
      <w:r w:rsidRPr="00315F01">
        <w:rPr>
          <w:rFonts w:cs="Arial"/>
          <w:rtl/>
        </w:rPr>
        <w:t xml:space="preserve"> ומ</w:t>
      </w:r>
      <w:r>
        <w:rPr>
          <w:rFonts w:cs="Arial" w:hint="cs"/>
          <w:rtl/>
        </w:rPr>
        <w:t>"</w:t>
      </w:r>
      <w:r w:rsidRPr="00315F01">
        <w:rPr>
          <w:rFonts w:cs="Arial"/>
          <w:rtl/>
        </w:rPr>
        <w:t>מ חייבים לעשות לו דין דאטו משום דרבים נינהו יגזלו ליחיד</w:t>
      </w:r>
      <w:r>
        <w:rPr>
          <w:rFonts w:cs="Arial" w:hint="cs"/>
          <w:sz w:val="16"/>
          <w:szCs w:val="16"/>
          <w:rtl/>
        </w:rPr>
        <w:t xml:space="preserve"> (ל' המרדכי [סי' תקכב])</w:t>
      </w:r>
      <w:r>
        <w:rPr>
          <w:rFonts w:cs="Arial" w:hint="cs"/>
          <w:rtl/>
        </w:rPr>
        <w:t>.</w:t>
      </w:r>
      <w:r w:rsidRPr="00EC4924">
        <w:rPr>
          <w:rFonts w:cs="Arial" w:hint="cs"/>
          <w:color w:val="00B0F0"/>
          <w:rtl/>
        </w:rPr>
        <w:t xml:space="preserve"> </w:t>
      </w:r>
      <w:r w:rsidRPr="00640E92">
        <w:rPr>
          <w:rFonts w:cs="Arial" w:hint="cs"/>
          <w:color w:val="00B0F0"/>
          <w:rtl/>
        </w:rPr>
        <w:t>(וכ"פ הרמ"א)</w:t>
      </w:r>
    </w:p>
    <w:p w14:paraId="66853BB6" w14:textId="77777777" w:rsidR="004A326E" w:rsidRPr="00640E92" w:rsidRDefault="004A326E" w:rsidP="004A326E">
      <w:pPr>
        <w:ind w:left="360"/>
        <w:rPr>
          <w:rFonts w:cs="Arial"/>
          <w:u w:val="dotted"/>
          <w:rtl/>
        </w:rPr>
      </w:pPr>
      <w:r w:rsidRPr="00640E92">
        <w:rPr>
          <w:rFonts w:cs="Arial" w:hint="cs"/>
          <w:u w:val="dotted"/>
          <w:rtl/>
        </w:rPr>
        <w:t>מתי הרבים מקרי מוחזקים:</w:t>
      </w:r>
      <w:r w:rsidRPr="00640E92">
        <w:rPr>
          <w:rFonts w:cs="Arial" w:hint="cs"/>
          <w:sz w:val="16"/>
          <w:szCs w:val="16"/>
          <w:rtl/>
        </w:rPr>
        <w:t xml:space="preserve"> </w:t>
      </w:r>
      <w:r>
        <w:rPr>
          <w:rFonts w:cs="Arial" w:hint="cs"/>
          <w:sz w:val="16"/>
          <w:szCs w:val="16"/>
          <w:rtl/>
        </w:rPr>
        <w:t xml:space="preserve">  (דרכ"מ אות ג</w:t>
      </w:r>
      <w:r w:rsidRPr="006B1720">
        <w:rPr>
          <w:rFonts w:cs="Arial" w:hint="cs"/>
          <w:sz w:val="16"/>
          <w:szCs w:val="16"/>
          <w:rtl/>
        </w:rPr>
        <w:t>)</w:t>
      </w:r>
    </w:p>
    <w:p w14:paraId="2050A8F5" w14:textId="77777777" w:rsidR="004A326E" w:rsidRDefault="004A326E" w:rsidP="004B0475">
      <w:pPr>
        <w:pStyle w:val="ac"/>
        <w:numPr>
          <w:ilvl w:val="0"/>
          <w:numId w:val="52"/>
        </w:numPr>
        <w:rPr>
          <w:rFonts w:cs="Arial"/>
        </w:rPr>
      </w:pPr>
      <w:r>
        <w:rPr>
          <w:rFonts w:cs="Arial" w:hint="cs"/>
          <w:rtl/>
        </w:rPr>
        <w:t xml:space="preserve">תרוה"ד </w:t>
      </w:r>
      <w:r w:rsidRPr="0072080E">
        <w:rPr>
          <w:rFonts w:cs="Arial" w:hint="cs"/>
          <w:sz w:val="16"/>
          <w:szCs w:val="16"/>
          <w:rtl/>
        </w:rPr>
        <w:t>(</w:t>
      </w:r>
      <w:r w:rsidRPr="0072080E">
        <w:rPr>
          <w:rFonts w:cs="Arial"/>
          <w:sz w:val="16"/>
          <w:szCs w:val="16"/>
          <w:rtl/>
        </w:rPr>
        <w:t>סי</w:t>
      </w:r>
      <w:r w:rsidRPr="0072080E">
        <w:rPr>
          <w:rFonts w:cs="Arial" w:hint="cs"/>
          <w:sz w:val="16"/>
          <w:szCs w:val="16"/>
          <w:rtl/>
        </w:rPr>
        <w:t>'</w:t>
      </w:r>
      <w:r w:rsidRPr="0072080E">
        <w:rPr>
          <w:rFonts w:cs="Arial"/>
          <w:sz w:val="16"/>
          <w:szCs w:val="16"/>
          <w:rtl/>
        </w:rPr>
        <w:t xml:space="preserve"> שמא</w:t>
      </w:r>
      <w:r w:rsidRPr="0072080E">
        <w:rPr>
          <w:rFonts w:cs="Arial" w:hint="cs"/>
          <w:sz w:val="16"/>
          <w:szCs w:val="16"/>
          <w:rtl/>
        </w:rPr>
        <w:t>)</w:t>
      </w:r>
      <w:r>
        <w:rPr>
          <w:rFonts w:cs="Arial" w:hint="cs"/>
          <w:rtl/>
        </w:rPr>
        <w:t>-</w:t>
      </w:r>
      <w:r w:rsidRPr="00315F01">
        <w:rPr>
          <w:rFonts w:cs="Arial"/>
          <w:rtl/>
        </w:rPr>
        <w:t xml:space="preserve"> הא דרבים הוי מוחזקים לעולם נגד היחיד וידם על העליונה בכל דבר </w:t>
      </w:r>
      <w:r w:rsidR="0036774E">
        <w:rPr>
          <w:rFonts w:cs="Arial" w:hint="cs"/>
          <w:rtl/>
        </w:rPr>
        <w:t xml:space="preserve">- </w:t>
      </w:r>
      <w:r w:rsidRPr="00315F01">
        <w:rPr>
          <w:rFonts w:cs="Arial"/>
          <w:rtl/>
        </w:rPr>
        <w:t>היינו דוקא בעסקי מסים אבל בשאר דברים לא</w:t>
      </w:r>
      <w:r>
        <w:rPr>
          <w:rStyle w:val="ab"/>
          <w:rFonts w:cs="Arial"/>
          <w:rtl/>
        </w:rPr>
        <w:footnoteReference w:id="214"/>
      </w:r>
      <w:r w:rsidR="0036774E">
        <w:rPr>
          <w:rFonts w:cs="Arial" w:hint="cs"/>
          <w:rtl/>
        </w:rPr>
        <w:t>,</w:t>
      </w:r>
      <w:r w:rsidRPr="00315F01">
        <w:rPr>
          <w:rFonts w:cs="Arial"/>
          <w:rtl/>
        </w:rPr>
        <w:t xml:space="preserve"> ומיהו מוציאין המשכון מיד היחיד ואח</w:t>
      </w:r>
      <w:r>
        <w:rPr>
          <w:rFonts w:cs="Arial" w:hint="cs"/>
          <w:rtl/>
        </w:rPr>
        <w:t>"</w:t>
      </w:r>
      <w:r w:rsidRPr="00315F01">
        <w:rPr>
          <w:rFonts w:cs="Arial"/>
          <w:rtl/>
        </w:rPr>
        <w:t>כ ידונו עמו</w:t>
      </w:r>
      <w:r w:rsidR="0036774E">
        <w:rPr>
          <w:rFonts w:cs="Arial" w:hint="cs"/>
          <w:rtl/>
        </w:rPr>
        <w:t>.</w:t>
      </w:r>
      <w:r w:rsidRPr="00315F01">
        <w:rPr>
          <w:rFonts w:cs="Arial"/>
          <w:rtl/>
        </w:rPr>
        <w:t xml:space="preserve"> </w:t>
      </w:r>
      <w:r w:rsidR="005B2E28">
        <w:rPr>
          <w:rStyle w:val="ab"/>
          <w:rFonts w:cs="Arial"/>
          <w:rtl/>
        </w:rPr>
        <w:footnoteReference w:id="215"/>
      </w:r>
      <w:r w:rsidRPr="00315F01">
        <w:rPr>
          <w:rFonts w:cs="Arial"/>
          <w:rtl/>
        </w:rPr>
        <w:t xml:space="preserve">ואפילו בענייני מסים אם יש פנאי לדון עמו קודם גביית המס והיחיד רוצה לדון קודם </w:t>
      </w:r>
      <w:r>
        <w:rPr>
          <w:rFonts w:cs="Arial" w:hint="cs"/>
          <w:rtl/>
        </w:rPr>
        <w:t xml:space="preserve">- </w:t>
      </w:r>
      <w:r w:rsidRPr="00315F01">
        <w:rPr>
          <w:rFonts w:cs="Arial"/>
          <w:rtl/>
        </w:rPr>
        <w:t>ידונו תחילה</w:t>
      </w:r>
      <w:r>
        <w:rPr>
          <w:rFonts w:cs="Arial" w:hint="cs"/>
          <w:rtl/>
        </w:rPr>
        <w:t>.</w:t>
      </w:r>
      <w:r w:rsidRPr="00315F01">
        <w:rPr>
          <w:rFonts w:cs="Arial"/>
          <w:rtl/>
        </w:rPr>
        <w:t xml:space="preserve"> </w:t>
      </w:r>
      <w:r w:rsidRPr="00640E92">
        <w:rPr>
          <w:rFonts w:cs="Arial" w:hint="cs"/>
          <w:color w:val="00B0F0"/>
          <w:rtl/>
        </w:rPr>
        <w:t>(וכ"פ הרמ"א)</w:t>
      </w:r>
    </w:p>
    <w:p w14:paraId="516E91CD" w14:textId="77777777" w:rsidR="004A326E" w:rsidRDefault="004A326E" w:rsidP="004B0475">
      <w:pPr>
        <w:pStyle w:val="ac"/>
        <w:numPr>
          <w:ilvl w:val="0"/>
          <w:numId w:val="52"/>
        </w:numPr>
        <w:rPr>
          <w:rFonts w:cs="Arial"/>
        </w:rPr>
      </w:pPr>
      <w:r w:rsidRPr="00315F01">
        <w:rPr>
          <w:rFonts w:cs="Arial"/>
          <w:rtl/>
        </w:rPr>
        <w:lastRenderedPageBreak/>
        <w:t xml:space="preserve">מהר"ם מריזבר"ק </w:t>
      </w:r>
      <w:r w:rsidRPr="0072080E">
        <w:rPr>
          <w:rFonts w:cs="Arial"/>
          <w:sz w:val="16"/>
          <w:szCs w:val="16"/>
          <w:rtl/>
        </w:rPr>
        <w:t>(סוף שו"ת מהר"י וויל עמ' קעא)</w:t>
      </w:r>
      <w:r>
        <w:rPr>
          <w:rFonts w:cs="Arial" w:hint="cs"/>
          <w:rtl/>
        </w:rPr>
        <w:t>-</w:t>
      </w:r>
      <w:r w:rsidRPr="00315F01">
        <w:rPr>
          <w:rFonts w:cs="Arial"/>
          <w:rtl/>
        </w:rPr>
        <w:t xml:space="preserve"> לא הוי רבים מוחזקים נגד יחיד אלא בענין מס וקודם שנתפשרו עם המלך</w:t>
      </w:r>
      <w:r>
        <w:rPr>
          <w:rFonts w:cs="Arial" w:hint="cs"/>
          <w:rtl/>
        </w:rPr>
        <w:t>,</w:t>
      </w:r>
      <w:r w:rsidRPr="00315F01">
        <w:rPr>
          <w:rFonts w:cs="Arial"/>
          <w:rtl/>
        </w:rPr>
        <w:t xml:space="preserve"> אבל אם כבר נתפשרו לא</w:t>
      </w:r>
      <w:r>
        <w:rPr>
          <w:rStyle w:val="ab"/>
          <w:rFonts w:cs="Arial"/>
          <w:rtl/>
        </w:rPr>
        <w:footnoteReference w:id="216"/>
      </w:r>
      <w:r w:rsidRPr="00315F01">
        <w:rPr>
          <w:rFonts w:cs="Arial"/>
          <w:rtl/>
        </w:rPr>
        <w:t xml:space="preserve">. </w:t>
      </w:r>
    </w:p>
    <w:p w14:paraId="19DC344D" w14:textId="77777777" w:rsidR="004A326E" w:rsidRPr="00315F01" w:rsidRDefault="004A326E" w:rsidP="004B0475">
      <w:pPr>
        <w:pStyle w:val="ac"/>
        <w:numPr>
          <w:ilvl w:val="0"/>
          <w:numId w:val="52"/>
        </w:numPr>
        <w:rPr>
          <w:rFonts w:cs="Arial"/>
          <w:rtl/>
        </w:rPr>
      </w:pPr>
      <w:r w:rsidRPr="00315F01">
        <w:rPr>
          <w:rFonts w:cs="Arial"/>
          <w:rtl/>
        </w:rPr>
        <w:t xml:space="preserve">מהר"ם מריזבר"ק </w:t>
      </w:r>
      <w:r w:rsidRPr="0072080E">
        <w:rPr>
          <w:rFonts w:cs="Arial"/>
          <w:sz w:val="16"/>
          <w:szCs w:val="16"/>
          <w:rtl/>
        </w:rPr>
        <w:t>(</w:t>
      </w:r>
      <w:r>
        <w:rPr>
          <w:rFonts w:cs="Arial" w:hint="cs"/>
          <w:sz w:val="16"/>
          <w:szCs w:val="16"/>
          <w:rtl/>
        </w:rPr>
        <w:t>שם</w:t>
      </w:r>
      <w:r w:rsidRPr="0072080E">
        <w:rPr>
          <w:rFonts w:cs="Arial"/>
          <w:sz w:val="16"/>
          <w:szCs w:val="16"/>
          <w:rtl/>
        </w:rPr>
        <w:t>)</w:t>
      </w:r>
      <w:r>
        <w:rPr>
          <w:rFonts w:cs="Arial" w:hint="cs"/>
          <w:rtl/>
        </w:rPr>
        <w:t>-</w:t>
      </w:r>
      <w:r w:rsidRPr="00315F01">
        <w:rPr>
          <w:rFonts w:cs="Arial"/>
          <w:rtl/>
        </w:rPr>
        <w:t xml:space="preserve"> תלמיד חכם הבא ליפטר מן המס משום דתורתו אומנותו ויש לו דין עם הקהל</w:t>
      </w:r>
      <w:r w:rsidR="0036774E">
        <w:rPr>
          <w:rFonts w:cs="Arial" w:hint="cs"/>
          <w:rtl/>
        </w:rPr>
        <w:t xml:space="preserve"> -</w:t>
      </w:r>
      <w:r w:rsidRPr="00315F01">
        <w:rPr>
          <w:rFonts w:cs="Arial"/>
          <w:rtl/>
        </w:rPr>
        <w:t xml:space="preserve"> לא נקראו מוחזקים נגד תלמיד חכם</w:t>
      </w:r>
      <w:r w:rsidR="0036774E">
        <w:rPr>
          <w:rFonts w:cs="Arial" w:hint="cs"/>
          <w:rtl/>
        </w:rPr>
        <w:t>,</w:t>
      </w:r>
      <w:r w:rsidRPr="00315F01">
        <w:rPr>
          <w:rFonts w:cs="Arial"/>
          <w:rtl/>
        </w:rPr>
        <w:t xml:space="preserve"> ואפילו משכון אינו צריך ליתן</w:t>
      </w:r>
      <w:r>
        <w:rPr>
          <w:rFonts w:cs="Arial" w:hint="cs"/>
          <w:rtl/>
        </w:rPr>
        <w:t>.</w:t>
      </w:r>
      <w:r w:rsidRPr="00AE06AA">
        <w:rPr>
          <w:rFonts w:cs="Arial" w:hint="cs"/>
          <w:color w:val="00B0F0"/>
          <w:rtl/>
        </w:rPr>
        <w:t xml:space="preserve"> </w:t>
      </w:r>
      <w:r w:rsidRPr="00640E92">
        <w:rPr>
          <w:rFonts w:cs="Arial" w:hint="cs"/>
          <w:color w:val="00B0F0"/>
          <w:rtl/>
        </w:rPr>
        <w:t>(וכ"פ הרמ"א)</w:t>
      </w:r>
    </w:p>
    <w:p w14:paraId="2FCF24BF" w14:textId="77777777" w:rsidR="004A326E" w:rsidRPr="00640E92" w:rsidRDefault="004A326E" w:rsidP="004A326E">
      <w:pPr>
        <w:ind w:left="360"/>
        <w:rPr>
          <w:rFonts w:cs="Arial"/>
          <w:u w:val="dotted"/>
          <w:rtl/>
        </w:rPr>
      </w:pPr>
      <w:r w:rsidRPr="00640E92">
        <w:rPr>
          <w:rFonts w:cs="Arial" w:hint="cs"/>
          <w:u w:val="dotted"/>
          <w:rtl/>
        </w:rPr>
        <w:t xml:space="preserve">האם מותר לקהל לכוף ע"י גוי: </w:t>
      </w:r>
    </w:p>
    <w:p w14:paraId="38C184C2" w14:textId="77777777" w:rsidR="004A326E" w:rsidRPr="00A95B5A" w:rsidRDefault="004A326E" w:rsidP="004B0475">
      <w:pPr>
        <w:pStyle w:val="ac"/>
        <w:numPr>
          <w:ilvl w:val="0"/>
          <w:numId w:val="52"/>
        </w:numPr>
        <w:rPr>
          <w:rFonts w:cs="Arial"/>
          <w:rtl/>
        </w:rPr>
      </w:pPr>
      <w:r w:rsidRPr="00315F01">
        <w:rPr>
          <w:rFonts w:cs="Arial"/>
          <w:rtl/>
        </w:rPr>
        <w:t xml:space="preserve">מהרי"ק </w:t>
      </w:r>
      <w:r>
        <w:rPr>
          <w:rFonts w:cs="Arial" w:hint="cs"/>
          <w:sz w:val="16"/>
          <w:szCs w:val="16"/>
          <w:rtl/>
        </w:rPr>
        <w:t>(</w:t>
      </w:r>
      <w:r w:rsidRPr="0072080E">
        <w:rPr>
          <w:rFonts w:cs="Arial"/>
          <w:sz w:val="16"/>
          <w:szCs w:val="16"/>
          <w:rtl/>
        </w:rPr>
        <w:t>שורש יז ענף ה)</w:t>
      </w:r>
      <w:r>
        <w:rPr>
          <w:rFonts w:cs="Arial" w:hint="cs"/>
          <w:rtl/>
        </w:rPr>
        <w:t xml:space="preserve">- </w:t>
      </w:r>
      <w:r w:rsidRPr="00315F01">
        <w:rPr>
          <w:rFonts w:cs="Arial"/>
          <w:rtl/>
        </w:rPr>
        <w:t>תקנת רבינו גרשום שמותר לכוף ע</w:t>
      </w:r>
      <w:r>
        <w:rPr>
          <w:rFonts w:cs="Arial" w:hint="cs"/>
          <w:rtl/>
        </w:rPr>
        <w:t>"</w:t>
      </w:r>
      <w:r w:rsidRPr="00315F01">
        <w:rPr>
          <w:rFonts w:cs="Arial"/>
          <w:rtl/>
        </w:rPr>
        <w:t>י גוים בענייני המס שמחוייב ליתן</w:t>
      </w:r>
      <w:r>
        <w:rPr>
          <w:rStyle w:val="ab"/>
          <w:rFonts w:cs="Arial"/>
          <w:rtl/>
        </w:rPr>
        <w:footnoteReference w:id="217"/>
      </w:r>
      <w:r>
        <w:rPr>
          <w:rFonts w:cs="Arial" w:hint="cs"/>
          <w:rtl/>
        </w:rPr>
        <w:t>,</w:t>
      </w:r>
      <w:r w:rsidRPr="00315F01">
        <w:rPr>
          <w:rFonts w:cs="Arial"/>
          <w:rtl/>
        </w:rPr>
        <w:t xml:space="preserve"> ומ</w:t>
      </w:r>
      <w:r>
        <w:rPr>
          <w:rFonts w:cs="Arial" w:hint="cs"/>
          <w:rtl/>
        </w:rPr>
        <w:t>"מ</w:t>
      </w:r>
      <w:r w:rsidRPr="00315F01">
        <w:rPr>
          <w:rFonts w:cs="Arial"/>
          <w:rtl/>
        </w:rPr>
        <w:t xml:space="preserve"> אסורים לגרום לו שום שאר הפסד אם אפשר להם להוציא המס בענין אחר</w:t>
      </w:r>
      <w:r>
        <w:rPr>
          <w:rFonts w:cs="Arial" w:hint="cs"/>
          <w:rtl/>
        </w:rPr>
        <w:t>.</w:t>
      </w:r>
      <w:r w:rsidRPr="00AE06AA">
        <w:rPr>
          <w:rFonts w:cs="Arial" w:hint="cs"/>
          <w:color w:val="00B0F0"/>
          <w:rtl/>
        </w:rPr>
        <w:t xml:space="preserve"> </w:t>
      </w:r>
      <w:r w:rsidRPr="00640E92">
        <w:rPr>
          <w:rFonts w:cs="Arial" w:hint="cs"/>
          <w:color w:val="00B0F0"/>
          <w:rtl/>
        </w:rPr>
        <w:t>(וכ"פ הרמ"א)</w:t>
      </w:r>
    </w:p>
    <w:p w14:paraId="730EEA5A" w14:textId="77777777" w:rsidR="004A326E" w:rsidRPr="003024E5" w:rsidRDefault="004A326E" w:rsidP="004A326E">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1E4183C5" w14:textId="77777777" w:rsidR="004A326E" w:rsidRDefault="004A326E" w:rsidP="004A326E">
      <w:pPr>
        <w:rPr>
          <w:rtl/>
        </w:rPr>
      </w:pPr>
      <w:r>
        <w:rPr>
          <w:rFonts w:cs="Arial"/>
          <w:rtl/>
        </w:rPr>
        <w:t>יכול אדם לעשות דין לעצמו</w:t>
      </w:r>
      <w:r>
        <w:rPr>
          <w:rFonts w:cs="Arial" w:hint="cs"/>
          <w:rtl/>
        </w:rPr>
        <w:t>.</w:t>
      </w:r>
      <w:r>
        <w:rPr>
          <w:rFonts w:cs="Arial"/>
          <w:rtl/>
        </w:rPr>
        <w:t xml:space="preserve"> אם רואה שלו ביד אחר שגזלו</w:t>
      </w:r>
      <w:r>
        <w:rPr>
          <w:rFonts w:cs="Arial" w:hint="cs"/>
          <w:rtl/>
        </w:rPr>
        <w:t>,</w:t>
      </w:r>
      <w:r>
        <w:rPr>
          <w:rFonts w:cs="Arial"/>
          <w:rtl/>
        </w:rPr>
        <w:t xml:space="preserve"> יכול לקחתו מידו</w:t>
      </w:r>
      <w:r>
        <w:rPr>
          <w:rFonts w:cs="Arial" w:hint="cs"/>
          <w:rtl/>
        </w:rPr>
        <w:t>.</w:t>
      </w:r>
      <w:r>
        <w:rPr>
          <w:rFonts w:cs="Arial"/>
          <w:rtl/>
        </w:rPr>
        <w:t xml:space="preserve"> ואם האחר עומד כנגדו, יכול להכותו עד שיניחנו, </w:t>
      </w:r>
      <w:r w:rsidRPr="003C67D1">
        <w:rPr>
          <w:rFonts w:cs="Arial" w:hint="cs"/>
          <w:sz w:val="18"/>
          <w:szCs w:val="18"/>
          <w:rtl/>
        </w:rPr>
        <w:t>[הגה]</w:t>
      </w:r>
      <w:r w:rsidRPr="003C67D1">
        <w:rPr>
          <w:rFonts w:cs="Arial"/>
          <w:sz w:val="18"/>
          <w:szCs w:val="18"/>
          <w:rtl/>
        </w:rPr>
        <w:t xml:space="preserve"> אם לא יוכל להציל בענין אחר (טור)</w:t>
      </w:r>
      <w:r>
        <w:rPr>
          <w:rFonts w:cs="Arial"/>
          <w:rtl/>
        </w:rPr>
        <w:t>, אפילו הוא דבר שאין בו הפסד אם ימתין עד שיעמידנו בדין</w:t>
      </w:r>
      <w:r w:rsidR="00BC235E">
        <w:rPr>
          <w:rFonts w:cs="Arial" w:hint="cs"/>
          <w:rtl/>
        </w:rPr>
        <w:t>.</w:t>
      </w:r>
      <w:r>
        <w:rPr>
          <w:rFonts w:cs="Arial"/>
          <w:rtl/>
        </w:rPr>
        <w:t xml:space="preserve"> והוא שיוכל לברר ששלו הוא נוטל בדין</w:t>
      </w:r>
      <w:r>
        <w:rPr>
          <w:rStyle w:val="ab"/>
          <w:rFonts w:cs="Arial"/>
          <w:rtl/>
        </w:rPr>
        <w:footnoteReference w:id="218"/>
      </w:r>
      <w:r>
        <w:rPr>
          <w:rFonts w:cs="Arial" w:hint="cs"/>
          <w:rtl/>
        </w:rPr>
        <w:t>.</w:t>
      </w:r>
      <w:r>
        <w:rPr>
          <w:rFonts w:cs="Arial"/>
          <w:rtl/>
        </w:rPr>
        <w:t xml:space="preserve"> מ</w:t>
      </w:r>
      <w:r>
        <w:rPr>
          <w:rFonts w:cs="Arial" w:hint="cs"/>
          <w:rtl/>
        </w:rPr>
        <w:t>כל מקום</w:t>
      </w:r>
      <w:r>
        <w:rPr>
          <w:rFonts w:cs="Arial"/>
          <w:rtl/>
        </w:rPr>
        <w:t xml:space="preserve"> אין לו רשות למשכנו בחובו. </w:t>
      </w:r>
      <w:r w:rsidRPr="003C67D1">
        <w:rPr>
          <w:rFonts w:cs="Arial"/>
          <w:sz w:val="18"/>
          <w:szCs w:val="18"/>
          <w:rtl/>
        </w:rPr>
        <w:t>הגה: מטעם שיתבאר לקמן סי</w:t>
      </w:r>
      <w:r>
        <w:rPr>
          <w:rFonts w:cs="Arial" w:hint="cs"/>
          <w:sz w:val="18"/>
          <w:szCs w:val="18"/>
          <w:rtl/>
        </w:rPr>
        <w:t>'</w:t>
      </w:r>
      <w:r w:rsidRPr="003C67D1">
        <w:rPr>
          <w:rFonts w:cs="Arial"/>
          <w:sz w:val="18"/>
          <w:szCs w:val="18"/>
          <w:rtl/>
        </w:rPr>
        <w:t xml:space="preserve"> צז סע</w:t>
      </w:r>
      <w:r>
        <w:rPr>
          <w:rFonts w:cs="Arial" w:hint="cs"/>
          <w:sz w:val="18"/>
          <w:szCs w:val="18"/>
          <w:rtl/>
        </w:rPr>
        <w:t>'</w:t>
      </w:r>
      <w:r w:rsidRPr="003C67D1">
        <w:rPr>
          <w:rFonts w:cs="Arial"/>
          <w:sz w:val="18"/>
          <w:szCs w:val="18"/>
          <w:rtl/>
        </w:rPr>
        <w:t xml:space="preserve"> ו</w:t>
      </w:r>
      <w:r>
        <w:rPr>
          <w:rStyle w:val="ab"/>
          <w:rFonts w:cs="Arial"/>
          <w:sz w:val="18"/>
          <w:szCs w:val="18"/>
          <w:rtl/>
        </w:rPr>
        <w:footnoteReference w:id="219"/>
      </w:r>
      <w:r w:rsidRPr="003C67D1">
        <w:rPr>
          <w:rFonts w:cs="Arial"/>
          <w:sz w:val="18"/>
          <w:szCs w:val="18"/>
          <w:rtl/>
        </w:rPr>
        <w:t>. וי"א דווקא בחובו ממש, אבל אם חייב לו בלא הלוואה</w:t>
      </w:r>
      <w:r w:rsidR="00FA3450">
        <w:rPr>
          <w:rFonts w:cs="Arial" w:hint="cs"/>
          <w:sz w:val="18"/>
          <w:szCs w:val="18"/>
          <w:rtl/>
        </w:rPr>
        <w:t>,</w:t>
      </w:r>
      <w:r w:rsidRPr="003C67D1">
        <w:rPr>
          <w:rFonts w:cs="Arial"/>
          <w:sz w:val="18"/>
          <w:szCs w:val="18"/>
          <w:rtl/>
        </w:rPr>
        <w:t xml:space="preserve"> או שאין צריך למשכנו כי הוא כבר אצלו בפקדון או מצאו ביד אחר</w:t>
      </w:r>
      <w:r w:rsidR="00FA3450">
        <w:rPr>
          <w:rFonts w:cs="Arial" w:hint="cs"/>
          <w:sz w:val="18"/>
          <w:szCs w:val="18"/>
          <w:rtl/>
        </w:rPr>
        <w:t>,</w:t>
      </w:r>
      <w:r w:rsidRPr="003C67D1">
        <w:rPr>
          <w:rFonts w:cs="Arial"/>
          <w:sz w:val="18"/>
          <w:szCs w:val="18"/>
          <w:rtl/>
        </w:rPr>
        <w:t xml:space="preserve"> מותר לתפסו (ריב"ש סי' שצו). וי"א דלא אמרינן עביד אינש דינא לנפשיה רק בחפץ המבורר לו שהוא שלו, כגון שגזלו או רוצה לגוזלו</w:t>
      </w:r>
      <w:r>
        <w:rPr>
          <w:rFonts w:cs="Arial" w:hint="cs"/>
          <w:sz w:val="18"/>
          <w:szCs w:val="18"/>
          <w:rtl/>
        </w:rPr>
        <w:t xml:space="preserve"> (מרדכי ב"ק סי' ל),</w:t>
      </w:r>
      <w:r w:rsidRPr="003C67D1">
        <w:rPr>
          <w:rFonts w:cs="Arial"/>
          <w:sz w:val="18"/>
          <w:szCs w:val="18"/>
          <w:rtl/>
        </w:rPr>
        <w:t xml:space="preserve"> או רוצה להזיקו, יכול להציל שלו</w:t>
      </w:r>
      <w:r>
        <w:rPr>
          <w:rFonts w:cs="Arial" w:hint="cs"/>
          <w:sz w:val="18"/>
          <w:szCs w:val="18"/>
          <w:rtl/>
        </w:rPr>
        <w:t>,</w:t>
      </w:r>
      <w:r w:rsidRPr="003C67D1">
        <w:rPr>
          <w:rFonts w:cs="Arial"/>
          <w:sz w:val="18"/>
          <w:szCs w:val="18"/>
          <w:rtl/>
        </w:rPr>
        <w:t xml:space="preserve"> אבל אם כבר נתחייב לו מכח גזילה או ממקום אחר לא (נ</w:t>
      </w:r>
      <w:r>
        <w:rPr>
          <w:rFonts w:cs="Arial" w:hint="cs"/>
          <w:sz w:val="18"/>
          <w:szCs w:val="18"/>
          <w:rtl/>
        </w:rPr>
        <w:t>מוק</w:t>
      </w:r>
      <w:r w:rsidRPr="003C67D1">
        <w:rPr>
          <w:rFonts w:cs="Arial"/>
          <w:sz w:val="18"/>
          <w:szCs w:val="18"/>
          <w:rtl/>
        </w:rPr>
        <w:t>"י פ</w:t>
      </w:r>
      <w:r>
        <w:rPr>
          <w:rFonts w:cs="Arial" w:hint="cs"/>
          <w:sz w:val="18"/>
          <w:szCs w:val="18"/>
          <w:rtl/>
        </w:rPr>
        <w:t>'</w:t>
      </w:r>
      <w:r w:rsidRPr="003C67D1">
        <w:rPr>
          <w:rFonts w:cs="Arial"/>
          <w:sz w:val="18"/>
          <w:szCs w:val="18"/>
          <w:rtl/>
        </w:rPr>
        <w:t xml:space="preserve"> המניח</w:t>
      </w:r>
      <w:r>
        <w:rPr>
          <w:rFonts w:cs="Arial" w:hint="cs"/>
          <w:sz w:val="18"/>
          <w:szCs w:val="18"/>
          <w:rtl/>
        </w:rPr>
        <w:t xml:space="preserve"> יב: מדפה"ר</w:t>
      </w:r>
      <w:r w:rsidRPr="003C67D1">
        <w:rPr>
          <w:rFonts w:cs="Arial"/>
          <w:sz w:val="18"/>
          <w:szCs w:val="18"/>
          <w:rtl/>
        </w:rPr>
        <w:t>). ודווקא הוא בעצמו יכול למעבד דינא לנפשיה אבל אסור לעשות ע</w:t>
      </w:r>
      <w:r>
        <w:rPr>
          <w:rFonts w:cs="Arial" w:hint="cs"/>
          <w:sz w:val="18"/>
          <w:szCs w:val="18"/>
          <w:rtl/>
        </w:rPr>
        <w:t>"</w:t>
      </w:r>
      <w:r w:rsidRPr="003C67D1">
        <w:rPr>
          <w:rFonts w:cs="Arial"/>
          <w:sz w:val="18"/>
          <w:szCs w:val="18"/>
          <w:rtl/>
        </w:rPr>
        <w:t xml:space="preserve">י </w:t>
      </w:r>
      <w:r>
        <w:rPr>
          <w:rFonts w:cs="Arial" w:hint="cs"/>
          <w:sz w:val="18"/>
          <w:szCs w:val="18"/>
          <w:rtl/>
        </w:rPr>
        <w:t>גוים</w:t>
      </w:r>
      <w:r w:rsidRPr="003C67D1">
        <w:rPr>
          <w:rFonts w:cs="Arial"/>
          <w:sz w:val="18"/>
          <w:szCs w:val="18"/>
          <w:rtl/>
        </w:rPr>
        <w:t xml:space="preserve"> (ת</w:t>
      </w:r>
      <w:r>
        <w:rPr>
          <w:rFonts w:cs="Arial" w:hint="cs"/>
          <w:sz w:val="18"/>
          <w:szCs w:val="18"/>
          <w:rtl/>
        </w:rPr>
        <w:t>רו</w:t>
      </w:r>
      <w:r w:rsidRPr="003C67D1">
        <w:rPr>
          <w:rFonts w:cs="Arial"/>
          <w:sz w:val="18"/>
          <w:szCs w:val="18"/>
          <w:rtl/>
        </w:rPr>
        <w:t>ה</w:t>
      </w:r>
      <w:r>
        <w:rPr>
          <w:rFonts w:cs="Arial" w:hint="cs"/>
          <w:sz w:val="18"/>
          <w:szCs w:val="18"/>
          <w:rtl/>
        </w:rPr>
        <w:t>"ד</w:t>
      </w:r>
      <w:r w:rsidRPr="003C67D1">
        <w:rPr>
          <w:rFonts w:cs="Arial"/>
          <w:sz w:val="18"/>
          <w:szCs w:val="18"/>
          <w:rtl/>
        </w:rPr>
        <w:t xml:space="preserve"> סי' שד), מיהו אם עבר ועשה ע</w:t>
      </w:r>
      <w:r>
        <w:rPr>
          <w:rFonts w:cs="Arial" w:hint="cs"/>
          <w:sz w:val="18"/>
          <w:szCs w:val="18"/>
          <w:rtl/>
        </w:rPr>
        <w:t>"</w:t>
      </w:r>
      <w:r w:rsidRPr="003C67D1">
        <w:rPr>
          <w:rFonts w:cs="Arial"/>
          <w:sz w:val="18"/>
          <w:szCs w:val="18"/>
          <w:rtl/>
        </w:rPr>
        <w:t>י ה</w:t>
      </w:r>
      <w:r>
        <w:rPr>
          <w:rFonts w:cs="Arial" w:hint="cs"/>
          <w:sz w:val="18"/>
          <w:szCs w:val="18"/>
          <w:rtl/>
        </w:rPr>
        <w:t>גוים</w:t>
      </w:r>
      <w:r w:rsidRPr="003C67D1">
        <w:rPr>
          <w:rFonts w:cs="Arial"/>
          <w:sz w:val="18"/>
          <w:szCs w:val="18"/>
          <w:rtl/>
        </w:rPr>
        <w:t>, אם לא היה יכול להציל שלו בענין אחר</w:t>
      </w:r>
      <w:r>
        <w:rPr>
          <w:rStyle w:val="ab"/>
          <w:rFonts w:cs="Arial"/>
          <w:sz w:val="18"/>
          <w:szCs w:val="18"/>
          <w:rtl/>
        </w:rPr>
        <w:footnoteReference w:id="220"/>
      </w:r>
      <w:r w:rsidRPr="003C67D1">
        <w:rPr>
          <w:rFonts w:cs="Arial"/>
          <w:sz w:val="18"/>
          <w:szCs w:val="18"/>
          <w:rtl/>
        </w:rPr>
        <w:t>, מה שעשה עשוי (</w:t>
      </w:r>
      <w:r w:rsidR="0036774E">
        <w:rPr>
          <w:rFonts w:cs="Arial" w:hint="cs"/>
          <w:sz w:val="18"/>
          <w:szCs w:val="18"/>
          <w:rtl/>
        </w:rPr>
        <w:t>הג"א ב"ק פ"ג סי' ג)</w:t>
      </w:r>
      <w:r w:rsidRPr="003C67D1">
        <w:rPr>
          <w:rFonts w:cs="Arial"/>
          <w:sz w:val="18"/>
          <w:szCs w:val="18"/>
          <w:rtl/>
        </w:rPr>
        <w:t>. י"א דלא מיקרי עביד דינא לנפשיה אלא כשמזיק לחבירו, כגון שמכהו ולכן לא יוכל לעשות אא</w:t>
      </w:r>
      <w:r>
        <w:rPr>
          <w:rFonts w:cs="Arial" w:hint="cs"/>
          <w:sz w:val="18"/>
          <w:szCs w:val="18"/>
          <w:rtl/>
        </w:rPr>
        <w:t>"</w:t>
      </w:r>
      <w:r w:rsidRPr="003C67D1">
        <w:rPr>
          <w:rFonts w:cs="Arial"/>
          <w:sz w:val="18"/>
          <w:szCs w:val="18"/>
          <w:rtl/>
        </w:rPr>
        <w:t>כ יוכל לברר שהוא שלו, אבל תפיסה בעלמא</w:t>
      </w:r>
      <w:r w:rsidR="007E797F">
        <w:rPr>
          <w:rFonts w:cs="Arial" w:hint="cs"/>
          <w:sz w:val="18"/>
          <w:szCs w:val="18"/>
          <w:rtl/>
        </w:rPr>
        <w:t>,</w:t>
      </w:r>
      <w:r w:rsidRPr="003C67D1">
        <w:rPr>
          <w:rFonts w:cs="Arial"/>
          <w:sz w:val="18"/>
          <w:szCs w:val="18"/>
          <w:rtl/>
        </w:rPr>
        <w:t xml:space="preserve"> שתפסו למשכון, יכול לעשות בכל ענין ויורד אח"כ עמו לדין</w:t>
      </w:r>
      <w:r>
        <w:rPr>
          <w:rStyle w:val="ab"/>
          <w:rFonts w:cs="Arial"/>
          <w:sz w:val="18"/>
          <w:szCs w:val="18"/>
          <w:rtl/>
        </w:rPr>
        <w:footnoteReference w:id="221"/>
      </w:r>
      <w:r w:rsidRPr="003C67D1">
        <w:rPr>
          <w:rFonts w:cs="Arial"/>
          <w:sz w:val="18"/>
          <w:szCs w:val="18"/>
          <w:rtl/>
        </w:rPr>
        <w:t xml:space="preserve"> (מהרי"ק שורש סי' קסא). וכל זה מיירי ביחיד נגד יחיד, אבל יחיד נגד רבים, והוא מבני העיר</w:t>
      </w:r>
      <w:r>
        <w:rPr>
          <w:rStyle w:val="ab"/>
          <w:rFonts w:cs="Arial"/>
          <w:sz w:val="18"/>
          <w:szCs w:val="18"/>
          <w:rtl/>
        </w:rPr>
        <w:footnoteReference w:id="222"/>
      </w:r>
      <w:r w:rsidRPr="003C67D1">
        <w:rPr>
          <w:rFonts w:cs="Arial"/>
          <w:sz w:val="18"/>
          <w:szCs w:val="18"/>
          <w:rtl/>
        </w:rPr>
        <w:t>, עבדי דינא לנפשייהו אם יודעים שהדין עמהם אע</w:t>
      </w:r>
      <w:r>
        <w:rPr>
          <w:rFonts w:cs="Arial" w:hint="cs"/>
          <w:sz w:val="18"/>
          <w:szCs w:val="18"/>
          <w:rtl/>
        </w:rPr>
        <w:t>"</w:t>
      </w:r>
      <w:r w:rsidRPr="003C67D1">
        <w:rPr>
          <w:rFonts w:cs="Arial"/>
          <w:sz w:val="18"/>
          <w:szCs w:val="18"/>
          <w:rtl/>
        </w:rPr>
        <w:t>פ שאין יכולים לברר לפני בית דין, כי אינם יכולים להעיד, שכולן נוגעין בדבר (</w:t>
      </w:r>
      <w:r>
        <w:rPr>
          <w:rFonts w:cs="Arial" w:hint="cs"/>
          <w:sz w:val="18"/>
          <w:szCs w:val="18"/>
          <w:rtl/>
        </w:rPr>
        <w:t>רא"ש כלל ו סי' כו</w:t>
      </w:r>
      <w:r w:rsidRPr="003C67D1">
        <w:rPr>
          <w:rFonts w:cs="Arial"/>
          <w:sz w:val="18"/>
          <w:szCs w:val="18"/>
          <w:rtl/>
        </w:rPr>
        <w:t>). ואם יש חלוקים וטענות ביניהם, הקהל נקראים מוחזקים</w:t>
      </w:r>
      <w:r>
        <w:rPr>
          <w:rStyle w:val="ab"/>
          <w:rFonts w:cs="Arial"/>
          <w:sz w:val="18"/>
          <w:szCs w:val="18"/>
          <w:rtl/>
        </w:rPr>
        <w:footnoteReference w:id="223"/>
      </w:r>
      <w:r w:rsidRPr="003C67D1">
        <w:rPr>
          <w:rFonts w:cs="Arial"/>
          <w:sz w:val="18"/>
          <w:szCs w:val="18"/>
          <w:rtl/>
        </w:rPr>
        <w:t xml:space="preserve"> לגבי היחיד, וצריך לתת להם משכון קודם שירדו עמו לדין (מרדכי פרק המוכר פירות וס"פ לא יחפור). והא דנקראים מוחזקים לגבי יחיד, דווקא בענייני מסים, אבל לא בשאר דברים</w:t>
      </w:r>
      <w:r>
        <w:rPr>
          <w:rFonts w:cs="Arial" w:hint="cs"/>
          <w:sz w:val="18"/>
          <w:szCs w:val="18"/>
          <w:rtl/>
        </w:rPr>
        <w:t>.</w:t>
      </w:r>
      <w:r w:rsidRPr="003C67D1">
        <w:rPr>
          <w:rFonts w:cs="Arial"/>
          <w:sz w:val="18"/>
          <w:szCs w:val="18"/>
          <w:rtl/>
        </w:rPr>
        <w:t xml:space="preserve"> ומ</w:t>
      </w:r>
      <w:r>
        <w:rPr>
          <w:rFonts w:cs="Arial" w:hint="cs"/>
          <w:sz w:val="18"/>
          <w:szCs w:val="18"/>
          <w:rtl/>
        </w:rPr>
        <w:t>"מ</w:t>
      </w:r>
      <w:r w:rsidRPr="003C67D1">
        <w:rPr>
          <w:rFonts w:cs="Arial"/>
          <w:sz w:val="18"/>
          <w:szCs w:val="18"/>
          <w:rtl/>
        </w:rPr>
        <w:t xml:space="preserve"> צריך לתת משכון קודם שירדו לדין עמו</w:t>
      </w:r>
      <w:r>
        <w:rPr>
          <w:rStyle w:val="ab"/>
          <w:rFonts w:cs="Arial"/>
          <w:sz w:val="18"/>
          <w:szCs w:val="18"/>
          <w:rtl/>
        </w:rPr>
        <w:footnoteReference w:id="224"/>
      </w:r>
      <w:r w:rsidRPr="003C67D1">
        <w:rPr>
          <w:rFonts w:cs="Arial"/>
          <w:sz w:val="18"/>
          <w:szCs w:val="18"/>
          <w:rtl/>
        </w:rPr>
        <w:t xml:space="preserve"> (ת</w:t>
      </w:r>
      <w:r>
        <w:rPr>
          <w:rFonts w:cs="Arial" w:hint="cs"/>
          <w:sz w:val="18"/>
          <w:szCs w:val="18"/>
          <w:rtl/>
        </w:rPr>
        <w:t>רו</w:t>
      </w:r>
      <w:r w:rsidRPr="003C67D1">
        <w:rPr>
          <w:rFonts w:cs="Arial"/>
          <w:sz w:val="18"/>
          <w:szCs w:val="18"/>
          <w:rtl/>
        </w:rPr>
        <w:t>ה</w:t>
      </w:r>
      <w:r>
        <w:rPr>
          <w:rFonts w:cs="Arial" w:hint="cs"/>
          <w:sz w:val="18"/>
          <w:szCs w:val="18"/>
          <w:rtl/>
        </w:rPr>
        <w:t>"ד</w:t>
      </w:r>
      <w:r w:rsidRPr="003C67D1">
        <w:rPr>
          <w:rFonts w:cs="Arial"/>
          <w:sz w:val="18"/>
          <w:szCs w:val="18"/>
          <w:rtl/>
        </w:rPr>
        <w:t xml:space="preserve"> סי</w:t>
      </w:r>
      <w:r>
        <w:rPr>
          <w:rFonts w:cs="Arial" w:hint="cs"/>
          <w:sz w:val="18"/>
          <w:szCs w:val="18"/>
          <w:rtl/>
        </w:rPr>
        <w:t>'</w:t>
      </w:r>
      <w:r w:rsidRPr="003C67D1">
        <w:rPr>
          <w:rFonts w:cs="Arial"/>
          <w:sz w:val="18"/>
          <w:szCs w:val="18"/>
          <w:rtl/>
        </w:rPr>
        <w:t xml:space="preserve"> שמא). וכל זה כשאין היחיד תלמיד חכם, אבל אם הוא תלמיד חכם שתורתו אומנתו, ויש לו דין בזה </w:t>
      </w:r>
      <w:r w:rsidRPr="003C67D1">
        <w:rPr>
          <w:rFonts w:cs="Arial"/>
          <w:sz w:val="18"/>
          <w:szCs w:val="18"/>
          <w:rtl/>
        </w:rPr>
        <w:lastRenderedPageBreak/>
        <w:t>מחמת מסים, אין צריך לתת להם משכון, גם אינם נקראים מוחזקים נגדו (מוהר</w:t>
      </w:r>
      <w:r>
        <w:rPr>
          <w:rFonts w:cs="Arial" w:hint="cs"/>
          <w:sz w:val="18"/>
          <w:szCs w:val="18"/>
          <w:rtl/>
        </w:rPr>
        <w:t>"</w:t>
      </w:r>
      <w:r w:rsidRPr="003C67D1">
        <w:rPr>
          <w:rFonts w:cs="Arial"/>
          <w:sz w:val="18"/>
          <w:szCs w:val="18"/>
          <w:rtl/>
        </w:rPr>
        <w:t xml:space="preserve">ם מריזבורג), ומותר לכוף בענייני מסים ע"י </w:t>
      </w:r>
      <w:r>
        <w:rPr>
          <w:rFonts w:cs="Arial" w:hint="cs"/>
          <w:sz w:val="18"/>
          <w:szCs w:val="18"/>
          <w:rtl/>
        </w:rPr>
        <w:t>גו</w:t>
      </w:r>
      <w:r w:rsidRPr="003C67D1">
        <w:rPr>
          <w:rFonts w:cs="Arial"/>
          <w:sz w:val="18"/>
          <w:szCs w:val="18"/>
          <w:rtl/>
        </w:rPr>
        <w:t xml:space="preserve">ים ולהפסידו אם אינם יכולים להוציא ממנו המס בענין אחר (מהרי"ק שורש יז, </w:t>
      </w:r>
      <w:r>
        <w:rPr>
          <w:rFonts w:cs="Arial" w:hint="cs"/>
          <w:sz w:val="18"/>
          <w:szCs w:val="18"/>
          <w:rtl/>
        </w:rPr>
        <w:t xml:space="preserve">ושורש </w:t>
      </w:r>
      <w:r w:rsidRPr="003C67D1">
        <w:rPr>
          <w:rFonts w:cs="Arial"/>
          <w:sz w:val="18"/>
          <w:szCs w:val="18"/>
          <w:rtl/>
        </w:rPr>
        <w:t>א).</w:t>
      </w:r>
    </w:p>
    <w:p w14:paraId="5268E6D2" w14:textId="77777777" w:rsidR="004A326E" w:rsidRDefault="004A326E" w:rsidP="004A326E">
      <w:pPr>
        <w:rPr>
          <w:rFonts w:cs="Arial"/>
          <w:rtl/>
        </w:rPr>
        <w:sectPr w:rsidR="004A326E" w:rsidSect="00AF3AF9">
          <w:headerReference w:type="default" r:id="rId14"/>
          <w:footnotePr>
            <w:numRestart w:val="eachPage"/>
          </w:footnotePr>
          <w:pgSz w:w="11906" w:h="16838"/>
          <w:pgMar w:top="720" w:right="1134" w:bottom="720" w:left="1134" w:header="0" w:footer="0" w:gutter="0"/>
          <w:cols w:space="720"/>
          <w:bidi/>
          <w:rtlGutter/>
          <w:docGrid w:linePitch="360"/>
        </w:sectPr>
      </w:pPr>
    </w:p>
    <w:p w14:paraId="1D6BE05B" w14:textId="77777777" w:rsidR="004A326E" w:rsidRDefault="004A326E" w:rsidP="004A326E">
      <w:pPr>
        <w:pStyle w:val="1"/>
        <w:rPr>
          <w:rtl/>
        </w:rPr>
      </w:pPr>
      <w:bookmarkStart w:id="19" w:name="_Toc24883526"/>
      <w:r>
        <w:rPr>
          <w:rFonts w:hint="cs"/>
          <w:rtl/>
        </w:rPr>
        <w:lastRenderedPageBreak/>
        <w:t xml:space="preserve">סימן ה: </w:t>
      </w:r>
      <w:r>
        <w:rPr>
          <w:rtl/>
        </w:rPr>
        <w:t>באיזה יום דנין ובאיזה זמן ביום, ובו ה' סעיפים.</w:t>
      </w:r>
      <w:bookmarkEnd w:id="19"/>
      <w:r>
        <w:rPr>
          <w:rtl/>
        </w:rPr>
        <w:t xml:space="preserve"> </w:t>
      </w:r>
    </w:p>
    <w:p w14:paraId="4E8AC346" w14:textId="77777777" w:rsidR="004A326E" w:rsidRDefault="004A326E" w:rsidP="004A326E">
      <w:pPr>
        <w:pStyle w:val="2"/>
        <w:rPr>
          <w:rtl/>
        </w:rPr>
      </w:pPr>
      <w:bookmarkStart w:id="20" w:name="_Toc24883527"/>
      <w:r>
        <w:rPr>
          <w:rtl/>
        </w:rPr>
        <w:t>סעיף א</w:t>
      </w:r>
      <w:r>
        <w:rPr>
          <w:rFonts w:hint="cs"/>
          <w:rtl/>
        </w:rPr>
        <w:t>: באלו ימים דנים.</w:t>
      </w:r>
      <w:bookmarkEnd w:id="20"/>
    </w:p>
    <w:p w14:paraId="3C722175" w14:textId="77777777" w:rsidR="004A326E" w:rsidRDefault="004A326E" w:rsidP="004A326E">
      <w:pPr>
        <w:rPr>
          <w:rFonts w:cs="Arial"/>
          <w:rtl/>
        </w:rPr>
      </w:pPr>
      <w:r>
        <w:rPr>
          <w:rFonts w:cs="Arial" w:hint="cs"/>
          <w:b/>
          <w:bCs/>
          <w:rtl/>
        </w:rPr>
        <w:t xml:space="preserve">בבא קמא </w:t>
      </w:r>
      <w:r w:rsidRPr="00127CD0">
        <w:rPr>
          <w:rFonts w:cs="Arial" w:hint="cs"/>
          <w:b/>
          <w:bCs/>
          <w:sz w:val="16"/>
          <w:szCs w:val="16"/>
          <w:rtl/>
        </w:rPr>
        <w:t xml:space="preserve">(ס"פ מרובה) </w:t>
      </w:r>
      <w:r>
        <w:rPr>
          <w:rFonts w:cs="Arial" w:hint="cs"/>
          <w:b/>
          <w:bCs/>
          <w:rtl/>
        </w:rPr>
        <w:t>פב</w:t>
      </w:r>
      <w:r w:rsidR="0036774E">
        <w:rPr>
          <w:rStyle w:val="ab"/>
          <w:rFonts w:cs="Arial"/>
          <w:b/>
          <w:bCs/>
          <w:rtl/>
        </w:rPr>
        <w:footnoteReference w:id="225"/>
      </w:r>
      <w:r>
        <w:rPr>
          <w:rFonts w:cs="Arial" w:hint="cs"/>
          <w:b/>
          <w:bCs/>
          <w:rtl/>
        </w:rPr>
        <w:t xml:space="preserve"> ע"א: </w:t>
      </w:r>
      <w:r w:rsidRPr="00127CD0">
        <w:rPr>
          <w:rFonts w:cs="Arial"/>
          <w:rtl/>
        </w:rPr>
        <w:t>עשרה תקנות תיקן עזרא: שקורין במנחה בשבת, וקורין בשני ובחמישי, ודנין בשני ובחמישי</w:t>
      </w:r>
      <w:r>
        <w:rPr>
          <w:rFonts w:cs="Arial" w:hint="cs"/>
          <w:rtl/>
        </w:rPr>
        <w:t xml:space="preserve">... </w:t>
      </w:r>
      <w:r w:rsidRPr="00127CD0">
        <w:rPr>
          <w:rFonts w:cs="Arial"/>
          <w:rtl/>
        </w:rPr>
        <w:t xml:space="preserve">ודנין בשני ובחמישי - דשכיחי, דאתו למקרא בסיפרא. </w:t>
      </w:r>
    </w:p>
    <w:p w14:paraId="017A54DB" w14:textId="77777777" w:rsidR="004A326E" w:rsidRDefault="0006698E" w:rsidP="0006698E">
      <w:pPr>
        <w:rPr>
          <w:rFonts w:cs="Arial"/>
          <w:rtl/>
        </w:rPr>
      </w:pPr>
      <w:r>
        <w:rPr>
          <w:rFonts w:cs="Arial" w:hint="cs"/>
          <w:b/>
          <w:bCs/>
          <w:rtl/>
        </w:rPr>
        <w:t xml:space="preserve">כתובות </w:t>
      </w:r>
      <w:r w:rsidRPr="00A364B1">
        <w:rPr>
          <w:rFonts w:cs="Arial" w:hint="cs"/>
          <w:b/>
          <w:bCs/>
          <w:sz w:val="16"/>
          <w:szCs w:val="16"/>
          <w:rtl/>
        </w:rPr>
        <w:t>(</w:t>
      </w:r>
      <w:r>
        <w:rPr>
          <w:rFonts w:cs="Arial" w:hint="cs"/>
          <w:b/>
          <w:bCs/>
          <w:sz w:val="16"/>
          <w:szCs w:val="16"/>
          <w:rtl/>
        </w:rPr>
        <w:t>ר</w:t>
      </w:r>
      <w:r w:rsidRPr="00A364B1">
        <w:rPr>
          <w:rFonts w:cs="Arial" w:hint="cs"/>
          <w:b/>
          <w:bCs/>
          <w:sz w:val="16"/>
          <w:szCs w:val="16"/>
          <w:rtl/>
        </w:rPr>
        <w:t xml:space="preserve">פ"ק) </w:t>
      </w:r>
      <w:r>
        <w:rPr>
          <w:rFonts w:cs="Arial" w:hint="cs"/>
          <w:b/>
          <w:bCs/>
          <w:rtl/>
        </w:rPr>
        <w:t xml:space="preserve">ב ע"א: </w:t>
      </w:r>
      <w:r w:rsidR="006E3358" w:rsidRPr="0006698E">
        <w:rPr>
          <w:rFonts w:cs="Arial"/>
          <w:u w:val="double"/>
          <w:rtl/>
        </w:rPr>
        <w:t>מתני'</w:t>
      </w:r>
      <w:r>
        <w:rPr>
          <w:rFonts w:cs="Arial" w:hint="cs"/>
          <w:rtl/>
        </w:rPr>
        <w:t>:</w:t>
      </w:r>
      <w:r w:rsidR="006E3358" w:rsidRPr="006E3358">
        <w:rPr>
          <w:rFonts w:cs="Arial"/>
          <w:rtl/>
        </w:rPr>
        <w:t xml:space="preserve"> בתולה נשאת ליום הרביעי, ואלמנה - ליום החמישי; שפעמים בשבת בתי דינין יושבין בעיירות, ביום השני וביום החמישי, שאם היה לו טענת בתולים היה משכים לבית דין.</w:t>
      </w:r>
      <w:r>
        <w:rPr>
          <w:rFonts w:cs="Arial" w:hint="cs"/>
          <w:rtl/>
        </w:rPr>
        <w:t xml:space="preserve">     </w:t>
      </w:r>
      <w:r w:rsidRPr="0006698E">
        <w:rPr>
          <w:rFonts w:cs="Arial" w:hint="cs"/>
          <w:u w:val="double"/>
          <w:rtl/>
        </w:rPr>
        <w:t>גמ'</w:t>
      </w:r>
      <w:r>
        <w:rPr>
          <w:rFonts w:cs="Arial" w:hint="cs"/>
          <w:rtl/>
        </w:rPr>
        <w:t xml:space="preserve">: </w:t>
      </w:r>
      <w:r w:rsidR="006E3358" w:rsidRPr="0006698E">
        <w:rPr>
          <w:rFonts w:cs="Arial"/>
          <w:u w:val="single"/>
          <w:rtl/>
        </w:rPr>
        <w:t>אמר רב יהודה אמר שמואל</w:t>
      </w:r>
      <w:r w:rsidR="006E3358" w:rsidRPr="006E3358">
        <w:rPr>
          <w:rFonts w:cs="Arial"/>
          <w:rtl/>
        </w:rPr>
        <w:t>: מפני מה אמרו בתולה נשאת ליום הרביעי? שאם היה לו טענת בתולים היה משכים לב"ד</w:t>
      </w:r>
      <w:r>
        <w:rPr>
          <w:rFonts w:cs="Arial" w:hint="cs"/>
          <w:rtl/>
        </w:rPr>
        <w:t>.</w:t>
      </w:r>
      <w:r w:rsidR="006E3358" w:rsidRPr="006E3358">
        <w:rPr>
          <w:rFonts w:cs="Arial"/>
          <w:rtl/>
        </w:rPr>
        <w:t xml:space="preserve"> ותינשא באחד בשבת, שאם היה לו טענת בתולים היה משכים לבית דין! שקדו חכמים על תקנת בנות ישראל שיהא טורח בסעודה שלשה ימים, אחד בשבת ושני בשבת ושלישי בשבת, וברביעי כונסה.</w:t>
      </w:r>
      <w:r>
        <w:rPr>
          <w:rFonts w:cs="Arial" w:hint="cs"/>
          <w:rtl/>
        </w:rPr>
        <w:t>..</w:t>
      </w:r>
      <w:r>
        <w:rPr>
          <w:rFonts w:cs="Arial" w:hint="cs"/>
          <w:sz w:val="14"/>
          <w:szCs w:val="14"/>
          <w:rtl/>
        </w:rPr>
        <w:t xml:space="preserve"> (ג.)</w:t>
      </w:r>
      <w:r>
        <w:rPr>
          <w:rFonts w:cs="Arial" w:hint="cs"/>
          <w:rtl/>
        </w:rPr>
        <w:t xml:space="preserve"> </w:t>
      </w:r>
      <w:r w:rsidR="004A326E" w:rsidRPr="00A364B1">
        <w:rPr>
          <w:rFonts w:cs="Arial"/>
          <w:u w:val="single"/>
          <w:rtl/>
        </w:rPr>
        <w:t>אמר רב שמואל בר יצחק</w:t>
      </w:r>
      <w:r w:rsidR="004A326E" w:rsidRPr="00A364B1">
        <w:rPr>
          <w:rFonts w:cs="Arial"/>
          <w:rtl/>
        </w:rPr>
        <w:t>: לא שנו אלא מתקנת עזרא ואילך, שאין בתי דינין קבועין אלא בשני ובחמישי, אבל קודם תקנת עזרא שבתי דינין קבועין בכל יום</w:t>
      </w:r>
      <w:r w:rsidR="004A326E">
        <w:rPr>
          <w:rStyle w:val="ab"/>
          <w:rFonts w:cs="Arial"/>
          <w:rtl/>
        </w:rPr>
        <w:footnoteReference w:id="226"/>
      </w:r>
      <w:r w:rsidR="004A326E" w:rsidRPr="00A364B1">
        <w:rPr>
          <w:rFonts w:cs="Arial"/>
          <w:rtl/>
        </w:rPr>
        <w:t>, אשה נשאת בכל יום. קודם תקנת עזרא מאי דהוה הוה! הכי קאמר: אי איכא בתי דינין דקבועין האידנא כקודם תקנת עזרא, אשה נשאת בכל יום.</w:t>
      </w:r>
    </w:p>
    <w:p w14:paraId="4D1616BF" w14:textId="77777777" w:rsidR="004A326E" w:rsidRDefault="004A326E" w:rsidP="004A326E">
      <w:pPr>
        <w:rPr>
          <w:rFonts w:cs="Arial"/>
          <w:rtl/>
        </w:rPr>
      </w:pPr>
      <w:r w:rsidRPr="00A364B1">
        <w:rPr>
          <w:rFonts w:cs="Arial" w:hint="cs"/>
          <w:u w:val="single"/>
          <w:rtl/>
        </w:rPr>
        <w:t>באלו ימים דנים:</w:t>
      </w:r>
    </w:p>
    <w:p w14:paraId="63737846" w14:textId="77777777" w:rsidR="004A326E" w:rsidRDefault="004A326E" w:rsidP="004B0475">
      <w:pPr>
        <w:pStyle w:val="ac"/>
        <w:numPr>
          <w:ilvl w:val="0"/>
          <w:numId w:val="52"/>
        </w:numPr>
        <w:rPr>
          <w:rtl/>
        </w:rPr>
      </w:pPr>
      <w:r w:rsidRPr="00A364B1">
        <w:rPr>
          <w:rFonts w:cs="Arial" w:hint="cs"/>
          <w:rtl/>
        </w:rPr>
        <w:t>טור-</w:t>
      </w:r>
      <w:r w:rsidRPr="00A364B1">
        <w:rPr>
          <w:rFonts w:cs="Arial"/>
          <w:rtl/>
        </w:rPr>
        <w:t xml:space="preserve"> מעשר תקנות שתקן עזרא שיהו ב"ד יושבין בשני ובה'</w:t>
      </w:r>
      <w:r w:rsidR="00E635FC">
        <w:rPr>
          <w:rFonts w:cs="Arial" w:hint="cs"/>
          <w:rtl/>
        </w:rPr>
        <w:t>.</w:t>
      </w:r>
      <w:r w:rsidRPr="00A364B1">
        <w:rPr>
          <w:rFonts w:cs="Arial"/>
          <w:rtl/>
        </w:rPr>
        <w:t xml:space="preserve"> והאידנא קביעות כל הימים שוין</w:t>
      </w:r>
      <w:r w:rsidR="00E635FC">
        <w:rPr>
          <w:rFonts w:cs="Arial" w:hint="cs"/>
          <w:rtl/>
        </w:rPr>
        <w:t>.</w:t>
      </w:r>
      <w:r w:rsidRPr="00A364B1">
        <w:rPr>
          <w:rFonts w:cs="Arial"/>
          <w:rtl/>
        </w:rPr>
        <w:t xml:space="preserve"> וכ"כ ה"ר יהודה ברצלוני אע</w:t>
      </w:r>
      <w:r>
        <w:rPr>
          <w:rFonts w:cs="Arial" w:hint="cs"/>
          <w:rtl/>
        </w:rPr>
        <w:t>"</w:t>
      </w:r>
      <w:r w:rsidRPr="00A364B1">
        <w:rPr>
          <w:rFonts w:cs="Arial"/>
          <w:rtl/>
        </w:rPr>
        <w:t xml:space="preserve">פ שעיקר קביעות של בתי דינין בב' וה' אם יש שום עיר שצורך לישב בה ב"ד בכל יום </w:t>
      </w:r>
      <w:r w:rsidR="00E635FC">
        <w:rPr>
          <w:rFonts w:cs="Arial" w:hint="cs"/>
          <w:rtl/>
        </w:rPr>
        <w:t xml:space="preserve">- </w:t>
      </w:r>
      <w:r w:rsidRPr="00A364B1">
        <w:rPr>
          <w:rFonts w:cs="Arial"/>
          <w:rtl/>
        </w:rPr>
        <w:t>מושיבין בה בתי דינין בכל יום</w:t>
      </w:r>
      <w:r w:rsidR="00E635FC">
        <w:rPr>
          <w:rFonts w:cs="Arial" w:hint="cs"/>
          <w:rtl/>
        </w:rPr>
        <w:t>,</w:t>
      </w:r>
      <w:r w:rsidRPr="00A364B1">
        <w:rPr>
          <w:rFonts w:cs="Arial"/>
          <w:rtl/>
        </w:rPr>
        <w:t xml:space="preserve"> הכל לפי צורך השעה</w:t>
      </w:r>
      <w:r>
        <w:rPr>
          <w:rStyle w:val="ab"/>
          <w:rFonts w:cs="Arial"/>
          <w:rtl/>
        </w:rPr>
        <w:footnoteReference w:id="227"/>
      </w:r>
      <w:r w:rsidRPr="00A364B1">
        <w:rPr>
          <w:rFonts w:cs="Arial" w:hint="cs"/>
          <w:rtl/>
        </w:rPr>
        <w:t>.</w:t>
      </w:r>
    </w:p>
    <w:p w14:paraId="5FDA0765" w14:textId="77777777" w:rsidR="004A326E" w:rsidRDefault="004A326E" w:rsidP="004A326E">
      <w:pPr>
        <w:rPr>
          <w:rFonts w:cs="Arial"/>
          <w:rtl/>
        </w:rPr>
      </w:pPr>
      <w:bookmarkStart w:id="21" w:name="_Hlk18321148"/>
      <w:r>
        <w:rPr>
          <w:rFonts w:cs="Arial" w:hint="cs"/>
          <w:b/>
          <w:bCs/>
          <w:rtl/>
        </w:rPr>
        <w:t xml:space="preserve">ביצה </w:t>
      </w:r>
      <w:r w:rsidRPr="00D3544C">
        <w:rPr>
          <w:rFonts w:cs="Arial" w:hint="cs"/>
          <w:b/>
          <w:bCs/>
          <w:sz w:val="16"/>
          <w:szCs w:val="16"/>
          <w:rtl/>
        </w:rPr>
        <w:t>(פ' משילין)</w:t>
      </w:r>
      <w:r>
        <w:rPr>
          <w:rFonts w:cs="Arial" w:hint="cs"/>
          <w:b/>
          <w:bCs/>
          <w:rtl/>
        </w:rPr>
        <w:t xml:space="preserve"> לו</w:t>
      </w:r>
      <w:r w:rsidR="00C06469">
        <w:rPr>
          <w:rStyle w:val="ab"/>
          <w:rFonts w:cs="Arial"/>
          <w:b/>
          <w:bCs/>
          <w:rtl/>
        </w:rPr>
        <w:footnoteReference w:id="228"/>
      </w:r>
      <w:r>
        <w:rPr>
          <w:rFonts w:cs="Arial" w:hint="cs"/>
          <w:b/>
          <w:bCs/>
          <w:rtl/>
        </w:rPr>
        <w:t xml:space="preserve"> ע"ב: </w:t>
      </w:r>
      <w:r w:rsidRPr="00D3544C">
        <w:rPr>
          <w:rFonts w:cs="Arial"/>
          <w:u w:val="double"/>
          <w:rtl/>
        </w:rPr>
        <w:t>משנה</w:t>
      </w:r>
      <w:r>
        <w:rPr>
          <w:rFonts w:cs="Arial" w:hint="cs"/>
          <w:rtl/>
        </w:rPr>
        <w:t>:</w:t>
      </w:r>
      <w:r w:rsidRPr="00D3544C">
        <w:rPr>
          <w:rFonts w:cs="Arial"/>
          <w:rtl/>
        </w:rPr>
        <w:t xml:space="preserve"> כל שחייבין עליו משום שבות משום רשות משום מצוה בשבת - חייבין עליו ביום טוב.</w:t>
      </w:r>
      <w:r w:rsidR="00E635FC">
        <w:rPr>
          <w:rFonts w:cs="Arial" w:hint="cs"/>
          <w:rtl/>
        </w:rPr>
        <w:t>..</w:t>
      </w:r>
      <w:r w:rsidRPr="00D3544C">
        <w:rPr>
          <w:rFonts w:cs="Arial"/>
          <w:rtl/>
        </w:rPr>
        <w:t xml:space="preserve"> ואלו הן משום רשות: לא דנין</w:t>
      </w:r>
      <w:r w:rsidR="00E635FC">
        <w:rPr>
          <w:rStyle w:val="ab"/>
          <w:rFonts w:cs="Arial"/>
          <w:rtl/>
        </w:rPr>
        <w:footnoteReference w:id="229"/>
      </w:r>
      <w:r>
        <w:rPr>
          <w:rFonts w:cs="Arial" w:hint="cs"/>
          <w:rtl/>
        </w:rPr>
        <w:t>..</w:t>
      </w:r>
      <w:r w:rsidRPr="00D3544C">
        <w:rPr>
          <w:rFonts w:cs="Arial"/>
          <w:rtl/>
        </w:rPr>
        <w:t>. כל אלו ביום טוב אמרו, קל וחומר בשבת.</w:t>
      </w:r>
      <w:r w:rsidR="00E635FC">
        <w:rPr>
          <w:rFonts w:cs="Arial" w:hint="cs"/>
          <w:rtl/>
        </w:rPr>
        <w:t>.</w:t>
      </w:r>
      <w:r w:rsidRPr="00D3544C">
        <w:rPr>
          <w:rFonts w:cs="Arial"/>
          <w:rtl/>
        </w:rPr>
        <w:t xml:space="preserve">. </w:t>
      </w:r>
      <w:r>
        <w:rPr>
          <w:rFonts w:cs="Arial" w:hint="cs"/>
          <w:rtl/>
        </w:rPr>
        <w:t xml:space="preserve">   </w:t>
      </w:r>
      <w:r w:rsidRPr="00D3544C">
        <w:rPr>
          <w:rFonts w:cs="Arial"/>
          <w:u w:val="double"/>
          <w:rtl/>
        </w:rPr>
        <w:t>גמרא</w:t>
      </w:r>
      <w:r w:rsidR="00E635FC">
        <w:rPr>
          <w:rFonts w:cs="Arial" w:hint="cs"/>
          <w:u w:val="double"/>
          <w:rtl/>
        </w:rPr>
        <w:t xml:space="preserve"> </w:t>
      </w:r>
      <w:r w:rsidRPr="00E635FC">
        <w:rPr>
          <w:rFonts w:cs="Arial" w:hint="cs"/>
          <w:sz w:val="14"/>
          <w:szCs w:val="14"/>
          <w:u w:val="double"/>
          <w:rtl/>
        </w:rPr>
        <w:t>(לז.)</w:t>
      </w:r>
      <w:r w:rsidR="00E635FC">
        <w:rPr>
          <w:rFonts w:cs="Arial" w:hint="cs"/>
          <w:rtl/>
        </w:rPr>
        <w:t>:</w:t>
      </w:r>
      <w:r w:rsidRPr="00D3544C">
        <w:rPr>
          <w:rFonts w:cs="Arial"/>
          <w:rtl/>
        </w:rPr>
        <w:t xml:space="preserve"> וכלהו טעמא מאי? גזירה שמא יכתוב.</w:t>
      </w:r>
    </w:p>
    <w:p w14:paraId="4A5A9218" w14:textId="77777777" w:rsidR="004A326E" w:rsidRDefault="004A326E" w:rsidP="004A326E">
      <w:pPr>
        <w:rPr>
          <w:rFonts w:cs="Arial"/>
          <w:rtl/>
        </w:rPr>
      </w:pPr>
      <w:r>
        <w:rPr>
          <w:rFonts w:cs="Arial" w:hint="cs"/>
          <w:b/>
          <w:bCs/>
          <w:rtl/>
        </w:rPr>
        <w:t xml:space="preserve">תוספתא </w:t>
      </w:r>
      <w:r>
        <w:rPr>
          <w:rFonts w:cs="Arial" w:hint="cs"/>
          <w:b/>
          <w:bCs/>
          <w:sz w:val="16"/>
          <w:szCs w:val="16"/>
          <w:rtl/>
        </w:rPr>
        <w:t xml:space="preserve">(ליברמן) </w:t>
      </w:r>
      <w:r>
        <w:rPr>
          <w:rFonts w:cs="Arial" w:hint="cs"/>
          <w:b/>
          <w:bCs/>
          <w:rtl/>
        </w:rPr>
        <w:t xml:space="preserve">ביצה פ"ד ה"ד: </w:t>
      </w:r>
      <w:r w:rsidRPr="00D40A59">
        <w:rPr>
          <w:rFonts w:cs="Arial"/>
          <w:rtl/>
        </w:rPr>
        <w:t>אילו הן משם שבות</w:t>
      </w:r>
      <w:r>
        <w:rPr>
          <w:rFonts w:cs="Arial" w:hint="cs"/>
          <w:rtl/>
        </w:rPr>
        <w:t>:</w:t>
      </w:r>
      <w:r w:rsidRPr="00D40A59">
        <w:rPr>
          <w:rtl/>
        </w:rPr>
        <w:t xml:space="preserve"> </w:t>
      </w:r>
      <w:r w:rsidRPr="00D40A59">
        <w:rPr>
          <w:rFonts w:cs="Arial"/>
          <w:rtl/>
        </w:rPr>
        <w:t>לא עולין באילן</w:t>
      </w:r>
      <w:r>
        <w:rPr>
          <w:rFonts w:cs="Arial" w:hint="cs"/>
          <w:rtl/>
        </w:rPr>
        <w:t>...</w:t>
      </w:r>
      <w:r w:rsidRPr="00D40A59">
        <w:rPr>
          <w:rFonts w:cs="Arial"/>
          <w:rtl/>
        </w:rPr>
        <w:t xml:space="preserve"> ואילו הן משום רשות</w:t>
      </w:r>
      <w:r>
        <w:rPr>
          <w:rFonts w:cs="Arial" w:hint="cs"/>
          <w:rtl/>
        </w:rPr>
        <w:t>:</w:t>
      </w:r>
      <w:r w:rsidRPr="00D40A59">
        <w:rPr>
          <w:rFonts w:cs="Arial"/>
          <w:rtl/>
        </w:rPr>
        <w:t xml:space="preserve"> לא דנין</w:t>
      </w:r>
      <w:r>
        <w:rPr>
          <w:rFonts w:cs="Arial" w:hint="cs"/>
          <w:rtl/>
        </w:rPr>
        <w:t>...</w:t>
      </w:r>
      <w:r w:rsidRPr="00D40A59">
        <w:rPr>
          <w:rFonts w:cs="Arial"/>
          <w:rtl/>
        </w:rPr>
        <w:t xml:space="preserve"> ואילו הן משום מצוה</w:t>
      </w:r>
      <w:r>
        <w:rPr>
          <w:rFonts w:cs="Arial" w:hint="cs"/>
          <w:rtl/>
        </w:rPr>
        <w:t>:</w:t>
      </w:r>
      <w:r w:rsidRPr="00D40A59">
        <w:rPr>
          <w:rtl/>
        </w:rPr>
        <w:t xml:space="preserve"> </w:t>
      </w:r>
      <w:r w:rsidRPr="00D40A59">
        <w:rPr>
          <w:rFonts w:cs="Arial"/>
          <w:rtl/>
        </w:rPr>
        <w:t>לא מקדישין</w:t>
      </w:r>
      <w:r>
        <w:rPr>
          <w:rFonts w:cs="Arial" w:hint="cs"/>
          <w:rtl/>
        </w:rPr>
        <w:t>...</w:t>
      </w:r>
      <w:r w:rsidRPr="00D40A59">
        <w:rPr>
          <w:rFonts w:cs="Arial"/>
          <w:rtl/>
        </w:rPr>
        <w:t xml:space="preserve"> כולם שעשאום ישראל בין אנוסין בין שוגגין בין מזידין בין מוטעין מה שעשה עשוי בשבת ואין צריך לומר ביום טוב</w:t>
      </w:r>
      <w:r>
        <w:rPr>
          <w:rFonts w:cs="Arial" w:hint="cs"/>
          <w:rtl/>
        </w:rPr>
        <w:t>.</w:t>
      </w:r>
      <w:r>
        <w:rPr>
          <w:rFonts w:cs="Arial" w:hint="cs"/>
          <w:sz w:val="16"/>
          <w:szCs w:val="16"/>
          <w:rtl/>
        </w:rPr>
        <w:t xml:space="preserve"> (וכתבו </w:t>
      </w:r>
      <w:r w:rsidRPr="00D40A59">
        <w:rPr>
          <w:rFonts w:cs="Arial"/>
          <w:sz w:val="16"/>
          <w:szCs w:val="16"/>
          <w:rtl/>
        </w:rPr>
        <w:t xml:space="preserve">הרי"ף (כ:) והרא"ש (סי' ב) </w:t>
      </w:r>
      <w:r>
        <w:rPr>
          <w:rFonts w:cs="Arial" w:hint="cs"/>
          <w:sz w:val="16"/>
          <w:szCs w:val="16"/>
          <w:rtl/>
        </w:rPr>
        <w:t xml:space="preserve">דבר זה בשם הירושלמי, אך לפנינו ליתא בירושלמי, וז"ל הרא"ש- ירושלמי </w:t>
      </w:r>
      <w:r w:rsidRPr="00D40A59">
        <w:rPr>
          <w:rFonts w:cs="Arial"/>
          <w:sz w:val="16"/>
          <w:szCs w:val="16"/>
          <w:rtl/>
        </w:rPr>
        <w:t>וכולן שעשו בין שוגגין בין אנוסין בין מוטעין מה שעשו עשוי בשבת ואין צריך לומר ביום טוב</w:t>
      </w:r>
      <w:r>
        <w:rPr>
          <w:rFonts w:cs="Arial" w:hint="cs"/>
          <w:sz w:val="16"/>
          <w:szCs w:val="16"/>
          <w:rtl/>
        </w:rPr>
        <w:t>)</w:t>
      </w:r>
    </w:p>
    <w:bookmarkEnd w:id="21"/>
    <w:p w14:paraId="0FA38BD9" w14:textId="77777777" w:rsidR="004A326E" w:rsidRDefault="004A326E" w:rsidP="004A326E">
      <w:pPr>
        <w:rPr>
          <w:rFonts w:cs="Arial"/>
          <w:rtl/>
        </w:rPr>
      </w:pPr>
      <w:r w:rsidRPr="00D40A59">
        <w:rPr>
          <w:rFonts w:cs="Arial" w:hint="cs"/>
          <w:u w:val="single"/>
          <w:rtl/>
        </w:rPr>
        <w:t>דין בשבת ויו"ט:</w:t>
      </w:r>
    </w:p>
    <w:p w14:paraId="1038B13E" w14:textId="77777777" w:rsidR="004A326E" w:rsidRPr="00D40A59" w:rsidRDefault="004A326E" w:rsidP="004B0475">
      <w:pPr>
        <w:pStyle w:val="ac"/>
        <w:numPr>
          <w:ilvl w:val="0"/>
          <w:numId w:val="52"/>
        </w:numPr>
        <w:rPr>
          <w:rFonts w:cs="Arial"/>
          <w:rtl/>
        </w:rPr>
      </w:pPr>
      <w:r>
        <w:rPr>
          <w:rFonts w:cs="Arial" w:hint="cs"/>
          <w:rtl/>
        </w:rPr>
        <w:t xml:space="preserve">טור- </w:t>
      </w:r>
      <w:r w:rsidRPr="00D40A59">
        <w:rPr>
          <w:rFonts w:cs="Arial"/>
          <w:rtl/>
        </w:rPr>
        <w:t>דבר תורה כל הימים ראוים לדין</w:t>
      </w:r>
      <w:r w:rsidR="00C06469">
        <w:rPr>
          <w:rFonts w:cs="Arial" w:hint="cs"/>
          <w:rtl/>
        </w:rPr>
        <w:t>,</w:t>
      </w:r>
      <w:r w:rsidRPr="00D40A59">
        <w:rPr>
          <w:rFonts w:cs="Arial"/>
          <w:rtl/>
        </w:rPr>
        <w:t xml:space="preserve"> אבל חכמים אסרו לדון בשבת ויו"ט</w:t>
      </w:r>
      <w:r w:rsidR="00C06469">
        <w:rPr>
          <w:rFonts w:cs="Arial" w:hint="cs"/>
          <w:rtl/>
        </w:rPr>
        <w:t>,</w:t>
      </w:r>
      <w:r w:rsidRPr="00D40A59">
        <w:rPr>
          <w:rFonts w:cs="Arial"/>
          <w:rtl/>
        </w:rPr>
        <w:t xml:space="preserve"> משום גזירה שמא יכתוב</w:t>
      </w:r>
      <w:r w:rsidR="0080565B">
        <w:rPr>
          <w:rFonts w:cs="Arial" w:hint="cs"/>
          <w:rtl/>
        </w:rPr>
        <w:t>.</w:t>
      </w:r>
      <w:r w:rsidRPr="00D40A59">
        <w:rPr>
          <w:rFonts w:cs="Arial"/>
          <w:rtl/>
        </w:rPr>
        <w:t xml:space="preserve"> ואם עבר ודן בהם בין שוגג בין מזיד </w:t>
      </w:r>
      <w:r w:rsidR="00C06469">
        <w:rPr>
          <w:rFonts w:cs="Arial" w:hint="cs"/>
          <w:rtl/>
        </w:rPr>
        <w:t xml:space="preserve">- </w:t>
      </w:r>
      <w:r w:rsidRPr="00D40A59">
        <w:rPr>
          <w:rFonts w:cs="Arial"/>
          <w:rtl/>
        </w:rPr>
        <w:t>דיניו דין</w:t>
      </w:r>
      <w:r w:rsidRPr="00D40A59">
        <w:rPr>
          <w:rFonts w:cs="Arial" w:hint="cs"/>
          <w:rtl/>
        </w:rPr>
        <w:t>.</w:t>
      </w:r>
      <w:r w:rsidRPr="00C34587">
        <w:rPr>
          <w:rFonts w:cs="Arial" w:hint="cs"/>
          <w:color w:val="E36C0A" w:themeColor="accent6" w:themeShade="BF"/>
          <w:rtl/>
        </w:rPr>
        <w:t xml:space="preserve"> (</w:t>
      </w:r>
      <w:r>
        <w:rPr>
          <w:rFonts w:cs="Arial" w:hint="cs"/>
          <w:color w:val="E36C0A" w:themeColor="accent6" w:themeShade="BF"/>
          <w:rtl/>
        </w:rPr>
        <w:t>ו</w:t>
      </w:r>
      <w:r w:rsidRPr="00C34587">
        <w:rPr>
          <w:rFonts w:cs="Arial" w:hint="cs"/>
          <w:color w:val="E36C0A" w:themeColor="accent6" w:themeShade="BF"/>
          <w:rtl/>
        </w:rPr>
        <w:t>כ"פ בשו"ע)</w:t>
      </w:r>
    </w:p>
    <w:p w14:paraId="69F44DD8" w14:textId="77777777" w:rsidR="004A326E" w:rsidRPr="003024E5" w:rsidRDefault="004A326E" w:rsidP="004A326E">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5C5B4BC2" w14:textId="77777777" w:rsidR="004A326E" w:rsidRDefault="004A326E" w:rsidP="004A326E">
      <w:pPr>
        <w:rPr>
          <w:rtl/>
        </w:rPr>
      </w:pPr>
      <w:r>
        <w:rPr>
          <w:rFonts w:cs="Arial"/>
          <w:rtl/>
        </w:rPr>
        <w:t>אסור לדון בשבת וי</w:t>
      </w:r>
      <w:r>
        <w:rPr>
          <w:rFonts w:cs="Arial" w:hint="cs"/>
          <w:rtl/>
        </w:rPr>
        <w:t xml:space="preserve">ום </w:t>
      </w:r>
      <w:r>
        <w:rPr>
          <w:rFonts w:cs="Arial"/>
          <w:rtl/>
        </w:rPr>
        <w:t>ט</w:t>
      </w:r>
      <w:r>
        <w:rPr>
          <w:rFonts w:cs="Arial" w:hint="cs"/>
          <w:rtl/>
        </w:rPr>
        <w:t>וב,</w:t>
      </w:r>
      <w:r>
        <w:rPr>
          <w:rFonts w:cs="Arial"/>
          <w:rtl/>
        </w:rPr>
        <w:t xml:space="preserve"> ואם עבר ודן דינו דין. </w:t>
      </w:r>
    </w:p>
    <w:p w14:paraId="357627B8" w14:textId="77777777" w:rsidR="004A326E" w:rsidRDefault="004A326E" w:rsidP="004A326E">
      <w:pPr>
        <w:rPr>
          <w:rtl/>
        </w:rPr>
      </w:pPr>
    </w:p>
    <w:p w14:paraId="10DE9A4F" w14:textId="77777777" w:rsidR="004A326E" w:rsidRDefault="004A326E" w:rsidP="004A326E">
      <w:pPr>
        <w:pStyle w:val="2"/>
        <w:rPr>
          <w:rtl/>
        </w:rPr>
      </w:pPr>
      <w:bookmarkStart w:id="22" w:name="_Toc24883528"/>
      <w:r>
        <w:rPr>
          <w:rtl/>
        </w:rPr>
        <w:t>סעיף ב</w:t>
      </w:r>
      <w:r>
        <w:rPr>
          <w:rFonts w:hint="cs"/>
          <w:rtl/>
        </w:rPr>
        <w:t>: דין בערב שבת ובערב יום טוב.</w:t>
      </w:r>
      <w:bookmarkEnd w:id="22"/>
    </w:p>
    <w:p w14:paraId="46D281B8" w14:textId="77777777" w:rsidR="004A326E" w:rsidRDefault="004A326E" w:rsidP="004A326E">
      <w:pPr>
        <w:rPr>
          <w:rtl/>
        </w:rPr>
      </w:pPr>
      <w:r>
        <w:rPr>
          <w:rFonts w:cs="Arial" w:hint="cs"/>
          <w:b/>
          <w:bCs/>
          <w:rtl/>
        </w:rPr>
        <w:t xml:space="preserve">סנהדרין </w:t>
      </w:r>
      <w:r w:rsidRPr="00053A4B">
        <w:rPr>
          <w:rFonts w:cs="Arial" w:hint="cs"/>
          <w:b/>
          <w:bCs/>
          <w:sz w:val="16"/>
          <w:szCs w:val="16"/>
          <w:rtl/>
        </w:rPr>
        <w:t>(</w:t>
      </w:r>
      <w:r>
        <w:rPr>
          <w:rFonts w:cs="Arial" w:hint="cs"/>
          <w:b/>
          <w:bCs/>
          <w:sz w:val="16"/>
          <w:szCs w:val="16"/>
          <w:rtl/>
        </w:rPr>
        <w:t>ר"</w:t>
      </w:r>
      <w:r w:rsidRPr="00053A4B">
        <w:rPr>
          <w:rFonts w:cs="Arial" w:hint="cs"/>
          <w:b/>
          <w:bCs/>
          <w:sz w:val="16"/>
          <w:szCs w:val="16"/>
          <w:rtl/>
        </w:rPr>
        <w:t xml:space="preserve">פ אחד דיני ממונות) </w:t>
      </w:r>
      <w:r>
        <w:rPr>
          <w:rFonts w:cs="Arial" w:hint="cs"/>
          <w:b/>
          <w:bCs/>
          <w:rtl/>
        </w:rPr>
        <w:t>לב</w:t>
      </w:r>
      <w:r w:rsidR="00C06469">
        <w:rPr>
          <w:rStyle w:val="ab"/>
          <w:rFonts w:cs="Arial"/>
          <w:b/>
          <w:bCs/>
          <w:rtl/>
        </w:rPr>
        <w:footnoteReference w:id="230"/>
      </w:r>
      <w:r>
        <w:rPr>
          <w:rFonts w:cs="Arial" w:hint="cs"/>
          <w:b/>
          <w:bCs/>
          <w:rtl/>
        </w:rPr>
        <w:t xml:space="preserve"> ע"א: </w:t>
      </w:r>
      <w:r w:rsidRPr="00053A4B">
        <w:rPr>
          <w:rFonts w:cs="Arial"/>
          <w:u w:val="double"/>
          <w:rtl/>
        </w:rPr>
        <w:t>משנה</w:t>
      </w:r>
      <w:r>
        <w:rPr>
          <w:rFonts w:cs="Arial" w:hint="cs"/>
          <w:rtl/>
        </w:rPr>
        <w:t>:</w:t>
      </w:r>
      <w:r w:rsidRPr="00053A4B">
        <w:rPr>
          <w:rFonts w:cs="Arial"/>
          <w:rtl/>
        </w:rPr>
        <w:t xml:space="preserve"> אחד דיני ממונות ואחד דיני נפשות בדרישה ובחקירה, שנאמר משפט אחד יהיה לכם. מה בין דיני ממונות לדיני נפשות?</w:t>
      </w:r>
      <w:r>
        <w:rPr>
          <w:rFonts w:cs="Arial" w:hint="cs"/>
          <w:rtl/>
        </w:rPr>
        <w:t>..</w:t>
      </w:r>
      <w:r w:rsidRPr="00053A4B">
        <w:rPr>
          <w:rFonts w:cs="Arial"/>
          <w:rtl/>
        </w:rPr>
        <w:t>. דיני ממונות דנין ביום וגומרין בלילה, דיני נפשות - דנין ביום וגומרין ביום. דיני ממונות - גומרין בו ביום, בין לזכות בין לחובה. דיני נפשות - גומרין בו ביום לזכות, וביום שלאחריו לחובה. לפיכך אין דנין לא בערב שבת</w:t>
      </w:r>
      <w:r w:rsidR="00717989">
        <w:rPr>
          <w:rStyle w:val="ab"/>
          <w:rFonts w:cs="Arial"/>
          <w:rtl/>
        </w:rPr>
        <w:footnoteReference w:id="231"/>
      </w:r>
      <w:r w:rsidRPr="00053A4B">
        <w:rPr>
          <w:rFonts w:cs="Arial"/>
          <w:rtl/>
        </w:rPr>
        <w:t xml:space="preserve"> ולא בערב יום טוב.</w:t>
      </w:r>
      <w:r>
        <w:rPr>
          <w:rFonts w:cs="Arial" w:hint="cs"/>
          <w:rtl/>
        </w:rPr>
        <w:t>..</w:t>
      </w:r>
      <w:r w:rsidR="00102078" w:rsidRPr="00102078">
        <w:rPr>
          <w:rtl/>
        </w:rPr>
        <w:t xml:space="preserve"> </w:t>
      </w:r>
    </w:p>
    <w:p w14:paraId="14C75274" w14:textId="77777777" w:rsidR="004A326E" w:rsidRDefault="004A326E" w:rsidP="004A326E">
      <w:pPr>
        <w:rPr>
          <w:rFonts w:cs="Arial"/>
          <w:rtl/>
        </w:rPr>
      </w:pPr>
      <w:r>
        <w:rPr>
          <w:rFonts w:cs="Arial" w:hint="cs"/>
          <w:b/>
          <w:bCs/>
          <w:rtl/>
        </w:rPr>
        <w:lastRenderedPageBreak/>
        <w:t xml:space="preserve">ירושלמי </w:t>
      </w:r>
      <w:r>
        <w:rPr>
          <w:rFonts w:cs="Arial" w:hint="cs"/>
          <w:b/>
          <w:bCs/>
          <w:sz w:val="16"/>
          <w:szCs w:val="16"/>
          <w:rtl/>
        </w:rPr>
        <w:t xml:space="preserve">(וילנא) </w:t>
      </w:r>
      <w:r>
        <w:rPr>
          <w:rFonts w:cs="Arial" w:hint="cs"/>
          <w:b/>
          <w:bCs/>
          <w:rtl/>
        </w:rPr>
        <w:t>סנהדרין פ"ד ה"ו</w:t>
      </w:r>
      <w:r>
        <w:rPr>
          <w:rStyle w:val="ab"/>
          <w:rFonts w:cs="Arial"/>
          <w:b/>
          <w:bCs/>
          <w:rtl/>
        </w:rPr>
        <w:footnoteReference w:id="232"/>
      </w:r>
      <w:r>
        <w:rPr>
          <w:rFonts w:cs="Arial" w:hint="cs"/>
          <w:b/>
          <w:bCs/>
          <w:rtl/>
        </w:rPr>
        <w:t xml:space="preserve">: </w:t>
      </w:r>
      <w:r w:rsidR="00102078" w:rsidRPr="00102078">
        <w:rPr>
          <w:rFonts w:cs="Arial"/>
          <w:u w:val="double"/>
          <w:rtl/>
        </w:rPr>
        <w:t>מתני'</w:t>
      </w:r>
      <w:r w:rsidR="00102078">
        <w:rPr>
          <w:rFonts w:cs="Arial" w:hint="cs"/>
          <w:rtl/>
        </w:rPr>
        <w:t>:</w:t>
      </w:r>
      <w:r w:rsidR="00102078" w:rsidRPr="00102078">
        <w:rPr>
          <w:rFonts w:cs="Arial"/>
          <w:rtl/>
        </w:rPr>
        <w:t xml:space="preserve"> דיני ממונות גומרין בו ביום בין לזכות בין לחובה</w:t>
      </w:r>
      <w:r w:rsidR="00102078">
        <w:rPr>
          <w:rFonts w:cs="Arial" w:hint="cs"/>
          <w:rtl/>
        </w:rPr>
        <w:t>,</w:t>
      </w:r>
      <w:r w:rsidR="00102078" w:rsidRPr="00102078">
        <w:rPr>
          <w:rFonts w:cs="Arial"/>
          <w:rtl/>
        </w:rPr>
        <w:t xml:space="preserve"> ודיני נפשות גומרין בו ביום לזכות וביום של אחריו לחובה</w:t>
      </w:r>
      <w:r w:rsidR="00102078">
        <w:rPr>
          <w:rFonts w:cs="Arial" w:hint="cs"/>
          <w:rtl/>
        </w:rPr>
        <w:t>.</w:t>
      </w:r>
      <w:r w:rsidR="00102078" w:rsidRPr="00102078">
        <w:rPr>
          <w:rFonts w:cs="Arial"/>
          <w:rtl/>
        </w:rPr>
        <w:t xml:space="preserve"> לפיכך אין דנין לא בערב שבת ולא בערב יום טוב</w:t>
      </w:r>
      <w:r w:rsidR="00102078">
        <w:rPr>
          <w:rFonts w:cs="Arial" w:hint="cs"/>
          <w:rtl/>
        </w:rPr>
        <w:t>.</w:t>
      </w:r>
      <w:r w:rsidR="00102078" w:rsidRPr="00102078">
        <w:rPr>
          <w:rFonts w:cs="Arial"/>
          <w:rtl/>
        </w:rPr>
        <w:t xml:space="preserve"> </w:t>
      </w:r>
      <w:r w:rsidR="00102078" w:rsidRPr="00102078">
        <w:rPr>
          <w:rFonts w:cs="Arial"/>
          <w:u w:val="double"/>
          <w:rtl/>
        </w:rPr>
        <w:t>גמ'</w:t>
      </w:r>
      <w:r w:rsidR="00102078">
        <w:rPr>
          <w:rFonts w:cs="Arial" w:hint="cs"/>
          <w:rtl/>
        </w:rPr>
        <w:t>:</w:t>
      </w:r>
      <w:r w:rsidR="008211AE">
        <w:rPr>
          <w:rFonts w:cs="Arial" w:hint="cs"/>
          <w:rtl/>
        </w:rPr>
        <w:t>...</w:t>
      </w:r>
      <w:r w:rsidR="00102078">
        <w:rPr>
          <w:rFonts w:cs="Arial" w:hint="cs"/>
          <w:rtl/>
        </w:rPr>
        <w:t xml:space="preserve"> </w:t>
      </w:r>
      <w:r w:rsidRPr="0080565B">
        <w:rPr>
          <w:rFonts w:cs="Arial"/>
          <w:u w:val="single"/>
          <w:rtl/>
        </w:rPr>
        <w:t>ר' חזקיה ר' אחי בשם ר' אבהו</w:t>
      </w:r>
      <w:r>
        <w:rPr>
          <w:rFonts w:cs="Arial" w:hint="cs"/>
          <w:rtl/>
        </w:rPr>
        <w:t>:</w:t>
      </w:r>
      <w:r w:rsidRPr="00C34587">
        <w:rPr>
          <w:rFonts w:cs="Arial"/>
          <w:rtl/>
        </w:rPr>
        <w:t xml:space="preserve"> אסור לדון דיני ממונות בערב שבת</w:t>
      </w:r>
      <w:r w:rsidR="00102078">
        <w:rPr>
          <w:rFonts w:cs="Arial" w:hint="cs"/>
          <w:rtl/>
        </w:rPr>
        <w:t>.</w:t>
      </w:r>
      <w:r w:rsidRPr="00C34587">
        <w:rPr>
          <w:rFonts w:cs="Arial"/>
          <w:rtl/>
        </w:rPr>
        <w:t xml:space="preserve"> והדא מתני' פליגא </w:t>
      </w:r>
      <w:r w:rsidR="00102078">
        <w:rPr>
          <w:rFonts w:cs="Arial" w:hint="cs"/>
          <w:rtl/>
        </w:rPr>
        <w:t>'</w:t>
      </w:r>
      <w:r w:rsidRPr="00C34587">
        <w:rPr>
          <w:rFonts w:cs="Arial"/>
          <w:rtl/>
        </w:rPr>
        <w:t>לפיכך אין דנין לא בערב שבת ולא בערב יום טוב</w:t>
      </w:r>
      <w:r w:rsidR="00102078">
        <w:rPr>
          <w:rFonts w:cs="Arial" w:hint="cs"/>
          <w:rtl/>
        </w:rPr>
        <w:t>' -</w:t>
      </w:r>
      <w:r w:rsidRPr="00C34587">
        <w:rPr>
          <w:rFonts w:cs="Arial"/>
          <w:rtl/>
        </w:rPr>
        <w:t xml:space="preserve"> דיני נפשות</w:t>
      </w:r>
      <w:r w:rsidR="00102078">
        <w:rPr>
          <w:rFonts w:cs="Arial" w:hint="cs"/>
          <w:rtl/>
        </w:rPr>
        <w:t>,</w:t>
      </w:r>
      <w:r w:rsidRPr="00C34587">
        <w:rPr>
          <w:rFonts w:cs="Arial"/>
          <w:rtl/>
        </w:rPr>
        <w:t xml:space="preserve"> הא דיני ממונות דנין. </w:t>
      </w:r>
      <w:r w:rsidRPr="0080565B">
        <w:rPr>
          <w:rFonts w:cs="Arial"/>
          <w:u w:val="single"/>
          <w:rtl/>
        </w:rPr>
        <w:t>ותני ר' חייה כן</w:t>
      </w:r>
      <w:r>
        <w:rPr>
          <w:rFonts w:cs="Arial" w:hint="cs"/>
          <w:rtl/>
        </w:rPr>
        <w:t>:</w:t>
      </w:r>
      <w:r w:rsidRPr="00C34587">
        <w:rPr>
          <w:rFonts w:cs="Arial"/>
          <w:rtl/>
        </w:rPr>
        <w:t xml:space="preserve"> דנין דיני ממונות בערב שבת ואין דנין דיני נפשות בערב שבת. </w:t>
      </w:r>
      <w:r w:rsidR="008211AE">
        <w:rPr>
          <w:rStyle w:val="ab"/>
          <w:rFonts w:cs="Arial"/>
          <w:rtl/>
        </w:rPr>
        <w:footnoteReference w:id="233"/>
      </w:r>
      <w:r w:rsidRPr="00C34587">
        <w:rPr>
          <w:rFonts w:cs="Arial"/>
          <w:rtl/>
        </w:rPr>
        <w:t>אמר כאן להלכה</w:t>
      </w:r>
      <w:r w:rsidR="00102078">
        <w:rPr>
          <w:rStyle w:val="ab"/>
          <w:rFonts w:cs="Arial"/>
          <w:rtl/>
        </w:rPr>
        <w:footnoteReference w:id="234"/>
      </w:r>
      <w:r w:rsidRPr="00C34587">
        <w:rPr>
          <w:rFonts w:cs="Arial"/>
          <w:rtl/>
        </w:rPr>
        <w:t xml:space="preserve"> כאן למעשה</w:t>
      </w:r>
      <w:r>
        <w:rPr>
          <w:rStyle w:val="ab"/>
          <w:rtl/>
        </w:rPr>
        <w:footnoteReference w:id="235"/>
      </w:r>
      <w:r>
        <w:rPr>
          <w:rFonts w:hint="cs"/>
          <w:rtl/>
        </w:rPr>
        <w:t>.</w:t>
      </w:r>
      <w:r w:rsidRPr="00053A4B">
        <w:rPr>
          <w:rFonts w:cs="Arial"/>
          <w:rtl/>
        </w:rPr>
        <w:t xml:space="preserve"> </w:t>
      </w:r>
      <w:r w:rsidRPr="00053A4B">
        <w:rPr>
          <w:rFonts w:cs="Arial" w:hint="cs"/>
          <w:sz w:val="16"/>
          <w:szCs w:val="16"/>
          <w:rtl/>
        </w:rPr>
        <w:t>(</w:t>
      </w:r>
      <w:r w:rsidRPr="00053A4B">
        <w:rPr>
          <w:rFonts w:cs="Arial"/>
          <w:sz w:val="16"/>
          <w:szCs w:val="16"/>
          <w:rtl/>
        </w:rPr>
        <w:t xml:space="preserve">וכתבוהו הרי"ף (יג.) והרא"ש (סי' ט) ז"ל בפרק אחד דיני ממונות. וכתב סמ"ג (עשין צח קפח.) פירוש שבמשנתינו </w:t>
      </w:r>
      <w:r w:rsidR="00717989">
        <w:rPr>
          <w:rFonts w:cs="Arial" w:hint="cs"/>
          <w:sz w:val="14"/>
          <w:szCs w:val="14"/>
          <w:rtl/>
        </w:rPr>
        <w:t xml:space="preserve">{בבבלי} </w:t>
      </w:r>
      <w:r w:rsidRPr="00053A4B">
        <w:rPr>
          <w:rFonts w:cs="Arial"/>
          <w:sz w:val="16"/>
          <w:szCs w:val="16"/>
          <w:rtl/>
        </w:rPr>
        <w:t>מדבר מדברי תורה שדנין</w:t>
      </w:r>
      <w:r w:rsidR="00717989">
        <w:rPr>
          <w:rFonts w:cs="Arial" w:hint="cs"/>
          <w:sz w:val="16"/>
          <w:szCs w:val="16"/>
          <w:rtl/>
        </w:rPr>
        <w:t>,</w:t>
      </w:r>
      <w:r w:rsidRPr="00053A4B">
        <w:rPr>
          <w:rFonts w:cs="Arial"/>
          <w:sz w:val="16"/>
          <w:szCs w:val="16"/>
          <w:rtl/>
        </w:rPr>
        <w:t xml:space="preserve"> אבל מדברי סופרים אין דנין</w:t>
      </w:r>
      <w:r>
        <w:rPr>
          <w:rFonts w:cs="Arial" w:hint="cs"/>
          <w:sz w:val="16"/>
          <w:szCs w:val="16"/>
          <w:rtl/>
        </w:rPr>
        <w:t>)</w:t>
      </w:r>
    </w:p>
    <w:p w14:paraId="3DB2E11E" w14:textId="77777777" w:rsidR="004A326E" w:rsidRDefault="004A326E" w:rsidP="004A326E">
      <w:pPr>
        <w:rPr>
          <w:rFonts w:cs="Arial"/>
          <w:rtl/>
        </w:rPr>
      </w:pPr>
      <w:r w:rsidRPr="007007AD">
        <w:rPr>
          <w:rFonts w:cs="Arial" w:hint="cs"/>
          <w:b/>
          <w:bCs/>
          <w:rtl/>
        </w:rPr>
        <w:t xml:space="preserve">בבא קמא </w:t>
      </w:r>
      <w:r w:rsidRPr="007007AD">
        <w:rPr>
          <w:rFonts w:cs="Arial" w:hint="cs"/>
          <w:b/>
          <w:bCs/>
          <w:sz w:val="16"/>
          <w:szCs w:val="16"/>
          <w:rtl/>
        </w:rPr>
        <w:t>(פ'</w:t>
      </w:r>
      <w:r w:rsidRPr="007007AD">
        <w:rPr>
          <w:rFonts w:cs="Arial"/>
          <w:b/>
          <w:bCs/>
          <w:sz w:val="16"/>
          <w:szCs w:val="16"/>
          <w:rtl/>
        </w:rPr>
        <w:t xml:space="preserve"> הגוזל בתרא</w:t>
      </w:r>
      <w:r w:rsidRPr="007007AD">
        <w:rPr>
          <w:rFonts w:cs="Arial" w:hint="cs"/>
          <w:b/>
          <w:bCs/>
          <w:sz w:val="16"/>
          <w:szCs w:val="16"/>
          <w:rtl/>
        </w:rPr>
        <w:t>)</w:t>
      </w:r>
      <w:r w:rsidRPr="007007AD">
        <w:rPr>
          <w:rFonts w:cs="Arial"/>
          <w:b/>
          <w:bCs/>
          <w:sz w:val="16"/>
          <w:szCs w:val="16"/>
          <w:rtl/>
        </w:rPr>
        <w:t xml:space="preserve"> </w:t>
      </w:r>
      <w:r w:rsidRPr="007007AD">
        <w:rPr>
          <w:rFonts w:cs="Arial"/>
          <w:b/>
          <w:bCs/>
          <w:rtl/>
        </w:rPr>
        <w:t>קיג</w:t>
      </w:r>
      <w:r w:rsidR="00363584">
        <w:rPr>
          <w:rStyle w:val="ab"/>
          <w:rFonts w:cs="Arial"/>
          <w:b/>
          <w:bCs/>
          <w:rtl/>
        </w:rPr>
        <w:footnoteReference w:id="236"/>
      </w:r>
      <w:r w:rsidRPr="007007AD">
        <w:rPr>
          <w:rFonts w:cs="Arial" w:hint="cs"/>
          <w:b/>
          <w:bCs/>
          <w:rtl/>
        </w:rPr>
        <w:t xml:space="preserve"> ע"א:</w:t>
      </w:r>
      <w:r w:rsidRPr="00127CD0">
        <w:rPr>
          <w:rFonts w:cs="Arial"/>
          <w:rtl/>
        </w:rPr>
        <w:t xml:space="preserve"> </w:t>
      </w:r>
      <w:r w:rsidRPr="007007AD">
        <w:rPr>
          <w:rFonts w:cs="Arial"/>
          <w:u w:val="single"/>
          <w:rtl/>
        </w:rPr>
        <w:t>אמר רב יהודה</w:t>
      </w:r>
      <w:r w:rsidRPr="007007AD">
        <w:rPr>
          <w:rFonts w:cs="Arial"/>
          <w:rtl/>
        </w:rPr>
        <w:t>:</w:t>
      </w:r>
      <w:r w:rsidR="003E3522" w:rsidRPr="003E3522">
        <w:rPr>
          <w:rtl/>
        </w:rPr>
        <w:t xml:space="preserve"> </w:t>
      </w:r>
      <w:r w:rsidR="003E3522" w:rsidRPr="003E3522">
        <w:rPr>
          <w:rFonts w:cs="Arial"/>
          <w:rtl/>
        </w:rPr>
        <w:t>לא יהבינא זמנא לא ביומי ניסן ולא ביומי תשרי</w:t>
      </w:r>
      <w:r w:rsidR="00173A46">
        <w:rPr>
          <w:rStyle w:val="ab"/>
          <w:rFonts w:cs="Arial"/>
          <w:rtl/>
        </w:rPr>
        <w:footnoteReference w:id="237"/>
      </w:r>
      <w:r w:rsidR="003E3522" w:rsidRPr="003E3522">
        <w:rPr>
          <w:rFonts w:cs="Arial"/>
          <w:rtl/>
        </w:rPr>
        <w:t>, לא במעלי יומא טבא ולא במעלי שבתא</w:t>
      </w:r>
      <w:r w:rsidR="00173A46">
        <w:rPr>
          <w:rFonts w:cs="Arial" w:hint="cs"/>
          <w:rtl/>
        </w:rPr>
        <w:t>.</w:t>
      </w:r>
      <w:r w:rsidR="003E3522" w:rsidRPr="003E3522">
        <w:rPr>
          <w:rFonts w:cs="Arial"/>
          <w:rtl/>
        </w:rPr>
        <w:t xml:space="preserve"> אבל מניסן לבתר יומי ניסן</w:t>
      </w:r>
      <w:r w:rsidR="00173A46">
        <w:rPr>
          <w:rStyle w:val="ab"/>
          <w:rFonts w:cs="Arial"/>
          <w:rtl/>
        </w:rPr>
        <w:footnoteReference w:id="238"/>
      </w:r>
      <w:r w:rsidR="003E3522" w:rsidRPr="003E3522">
        <w:rPr>
          <w:rFonts w:cs="Arial"/>
          <w:rtl/>
        </w:rPr>
        <w:t xml:space="preserve">, וביומי תשרי לבתר תשרי </w:t>
      </w:r>
      <w:r w:rsidR="009F2C65">
        <w:rPr>
          <w:rFonts w:cs="Arial" w:hint="cs"/>
          <w:rtl/>
        </w:rPr>
        <w:t>-</w:t>
      </w:r>
      <w:r w:rsidR="003E3522" w:rsidRPr="003E3522">
        <w:rPr>
          <w:rFonts w:cs="Arial"/>
          <w:rtl/>
        </w:rPr>
        <w:t xml:space="preserve"> קבעינן</w:t>
      </w:r>
      <w:r w:rsidR="00173A46">
        <w:rPr>
          <w:rFonts w:cs="Arial" w:hint="cs"/>
          <w:rtl/>
        </w:rPr>
        <w:t>.</w:t>
      </w:r>
      <w:r w:rsidR="003E3522" w:rsidRPr="003E3522">
        <w:rPr>
          <w:rFonts w:cs="Arial"/>
          <w:rtl/>
        </w:rPr>
        <w:t xml:space="preserve"> ממעלי שבתא לבתר מעלי שבתא לא קבעינן, מאי טעמא? בעבידתיה דשבתא טריד</w:t>
      </w:r>
      <w:r>
        <w:rPr>
          <w:rStyle w:val="ab"/>
          <w:rFonts w:cs="Arial"/>
          <w:rtl/>
        </w:rPr>
        <w:footnoteReference w:id="239"/>
      </w:r>
      <w:r w:rsidRPr="007007AD">
        <w:rPr>
          <w:rFonts w:cs="Arial"/>
          <w:rtl/>
        </w:rPr>
        <w:t>.</w:t>
      </w:r>
    </w:p>
    <w:p w14:paraId="1272FF7D" w14:textId="77777777" w:rsidR="004A326E" w:rsidRDefault="004A326E" w:rsidP="004A326E">
      <w:pPr>
        <w:rPr>
          <w:rFonts w:cs="Arial"/>
          <w:rtl/>
        </w:rPr>
      </w:pPr>
      <w:r w:rsidRPr="00EE1B1B">
        <w:rPr>
          <w:rFonts w:cs="Arial" w:hint="cs"/>
          <w:u w:val="single"/>
          <w:rtl/>
        </w:rPr>
        <w:t>דין בערב שבת ו</w:t>
      </w:r>
      <w:r w:rsidR="00173A46">
        <w:rPr>
          <w:rFonts w:cs="Arial" w:hint="cs"/>
          <w:u w:val="single"/>
          <w:rtl/>
        </w:rPr>
        <w:t>ב</w:t>
      </w:r>
      <w:r w:rsidRPr="00EE1B1B">
        <w:rPr>
          <w:rFonts w:cs="Arial" w:hint="cs"/>
          <w:u w:val="single"/>
          <w:rtl/>
        </w:rPr>
        <w:t>ערב יו"ט:</w:t>
      </w:r>
    </w:p>
    <w:p w14:paraId="60C00BBD" w14:textId="77777777" w:rsidR="004A326E" w:rsidRDefault="004A326E" w:rsidP="004B0475">
      <w:pPr>
        <w:pStyle w:val="ac"/>
        <w:numPr>
          <w:ilvl w:val="0"/>
          <w:numId w:val="52"/>
        </w:numPr>
      </w:pPr>
      <w:r w:rsidRPr="00EE1B1B">
        <w:rPr>
          <w:rFonts w:cs="Arial" w:hint="cs"/>
          <w:rtl/>
        </w:rPr>
        <w:t xml:space="preserve">טור- </w:t>
      </w:r>
      <w:r w:rsidRPr="00EE1B1B">
        <w:rPr>
          <w:rFonts w:cs="Arial"/>
          <w:rtl/>
        </w:rPr>
        <w:t>וכן בע</w:t>
      </w:r>
      <w:r w:rsidRPr="00EE1B1B">
        <w:rPr>
          <w:rFonts w:cs="Arial" w:hint="cs"/>
          <w:rtl/>
        </w:rPr>
        <w:t>ר</w:t>
      </w:r>
      <w:r w:rsidRPr="00EE1B1B">
        <w:rPr>
          <w:rFonts w:cs="Arial"/>
          <w:rtl/>
        </w:rPr>
        <w:t>"ש וי</w:t>
      </w:r>
      <w:r>
        <w:rPr>
          <w:rFonts w:cs="Arial" w:hint="cs"/>
          <w:rtl/>
        </w:rPr>
        <w:t>ו</w:t>
      </w:r>
      <w:r w:rsidRPr="00EE1B1B">
        <w:rPr>
          <w:rFonts w:cs="Arial"/>
          <w:rtl/>
        </w:rPr>
        <w:t>"ט אין דנין שטרודין להכין לצורך שבת וי</w:t>
      </w:r>
      <w:r w:rsidRPr="00EE1B1B">
        <w:rPr>
          <w:rFonts w:cs="Arial" w:hint="cs"/>
          <w:rtl/>
        </w:rPr>
        <w:t>ו</w:t>
      </w:r>
      <w:r w:rsidRPr="00EE1B1B">
        <w:rPr>
          <w:rFonts w:cs="Arial"/>
          <w:rtl/>
        </w:rPr>
        <w:t>"ט</w:t>
      </w:r>
      <w:r w:rsidR="00CE21C1">
        <w:rPr>
          <w:rFonts w:cs="Arial" w:hint="cs"/>
          <w:rtl/>
        </w:rPr>
        <w:t>.</w:t>
      </w:r>
      <w:r w:rsidRPr="00EE1B1B">
        <w:rPr>
          <w:rFonts w:cs="Arial"/>
          <w:rtl/>
        </w:rPr>
        <w:t xml:space="preserve"> ואם הזמינו לבעל דין לבא לב"ד </w:t>
      </w:r>
      <w:r w:rsidR="00CE21C1">
        <w:rPr>
          <w:rFonts w:cs="Arial" w:hint="cs"/>
          <w:rtl/>
        </w:rPr>
        <w:t xml:space="preserve">- </w:t>
      </w:r>
      <w:r w:rsidRPr="00EE1B1B">
        <w:rPr>
          <w:rFonts w:cs="Arial"/>
          <w:rtl/>
        </w:rPr>
        <w:t>א"צ לבא</w:t>
      </w:r>
      <w:r w:rsidR="00173A46">
        <w:rPr>
          <w:rFonts w:cs="Arial" w:hint="cs"/>
          <w:rtl/>
        </w:rPr>
        <w:t>.</w:t>
      </w:r>
      <w:r w:rsidRPr="00EE1B1B">
        <w:rPr>
          <w:rFonts w:cs="Arial"/>
          <w:rtl/>
        </w:rPr>
        <w:t xml:space="preserve"> ואפילו אם הזמינו בע</w:t>
      </w:r>
      <w:r>
        <w:rPr>
          <w:rFonts w:cs="Arial" w:hint="cs"/>
          <w:rtl/>
        </w:rPr>
        <w:t>ר</w:t>
      </w:r>
      <w:r w:rsidRPr="00EE1B1B">
        <w:rPr>
          <w:rFonts w:cs="Arial"/>
          <w:rtl/>
        </w:rPr>
        <w:t>"ש וי</w:t>
      </w:r>
      <w:r>
        <w:rPr>
          <w:rFonts w:cs="Arial" w:hint="cs"/>
          <w:rtl/>
        </w:rPr>
        <w:t>ו</w:t>
      </w:r>
      <w:r w:rsidRPr="00EE1B1B">
        <w:rPr>
          <w:rFonts w:cs="Arial"/>
          <w:rtl/>
        </w:rPr>
        <w:t xml:space="preserve">"ט לבוא אחרי כן ולא בא </w:t>
      </w:r>
      <w:r w:rsidR="00173A46">
        <w:rPr>
          <w:rFonts w:cs="Arial" w:hint="cs"/>
          <w:rtl/>
        </w:rPr>
        <w:t xml:space="preserve">- </w:t>
      </w:r>
      <w:r w:rsidRPr="00EE1B1B">
        <w:rPr>
          <w:rFonts w:cs="Arial"/>
          <w:rtl/>
        </w:rPr>
        <w:t>אין קונסין אותו</w:t>
      </w:r>
      <w:r w:rsidRPr="00EE1B1B">
        <w:rPr>
          <w:rFonts w:cs="Arial" w:hint="cs"/>
          <w:rtl/>
        </w:rPr>
        <w:t>.</w:t>
      </w:r>
      <w:r w:rsidRPr="006D0982">
        <w:rPr>
          <w:rFonts w:cs="Arial" w:hint="cs"/>
          <w:color w:val="E36C0A" w:themeColor="accent6" w:themeShade="BF"/>
          <w:rtl/>
        </w:rPr>
        <w:t xml:space="preserve"> </w:t>
      </w:r>
      <w:r w:rsidRPr="00C34587">
        <w:rPr>
          <w:rFonts w:cs="Arial" w:hint="cs"/>
          <w:color w:val="E36C0A" w:themeColor="accent6" w:themeShade="BF"/>
          <w:rtl/>
        </w:rPr>
        <w:t>(</w:t>
      </w:r>
      <w:r>
        <w:rPr>
          <w:rFonts w:cs="Arial" w:hint="cs"/>
          <w:color w:val="E36C0A" w:themeColor="accent6" w:themeShade="BF"/>
          <w:rtl/>
        </w:rPr>
        <w:t>ו</w:t>
      </w:r>
      <w:r w:rsidRPr="00C34587">
        <w:rPr>
          <w:rFonts w:cs="Arial" w:hint="cs"/>
          <w:color w:val="E36C0A" w:themeColor="accent6" w:themeShade="BF"/>
          <w:rtl/>
        </w:rPr>
        <w:t>כ"פ בשו"ע)</w:t>
      </w:r>
    </w:p>
    <w:p w14:paraId="428F4DBE" w14:textId="77777777" w:rsidR="004A326E" w:rsidRDefault="004A326E" w:rsidP="004B0475">
      <w:pPr>
        <w:pStyle w:val="ac"/>
        <w:numPr>
          <w:ilvl w:val="0"/>
          <w:numId w:val="52"/>
        </w:numPr>
        <w:rPr>
          <w:rtl/>
        </w:rPr>
      </w:pPr>
      <w:r w:rsidRPr="00C1768C">
        <w:rPr>
          <w:rFonts w:cs="Arial"/>
          <w:rtl/>
        </w:rPr>
        <w:t xml:space="preserve">סמ"ק </w:t>
      </w:r>
      <w:r w:rsidRPr="00C1768C">
        <w:rPr>
          <w:rFonts w:cs="Arial"/>
          <w:sz w:val="16"/>
          <w:szCs w:val="16"/>
          <w:rtl/>
        </w:rPr>
        <w:t>(סי' רכו)</w:t>
      </w:r>
      <w:r>
        <w:rPr>
          <w:rFonts w:cs="Arial" w:hint="cs"/>
          <w:rtl/>
        </w:rPr>
        <w:t xml:space="preserve">- </w:t>
      </w:r>
      <w:r w:rsidRPr="00C1768C">
        <w:rPr>
          <w:rFonts w:cs="Arial"/>
          <w:rtl/>
        </w:rPr>
        <w:t>במגילת סתרים דרבינו נסים אמר דאין דנין דיני ממונות בערב שבת</w:t>
      </w:r>
      <w:r w:rsidR="00CE21C1">
        <w:rPr>
          <w:rFonts w:cs="Arial" w:hint="cs"/>
          <w:rtl/>
        </w:rPr>
        <w:t xml:space="preserve"> -</w:t>
      </w:r>
      <w:r w:rsidRPr="00C1768C">
        <w:rPr>
          <w:rFonts w:cs="Arial"/>
          <w:rtl/>
        </w:rPr>
        <w:t xml:space="preserve"> מדרבנן</w:t>
      </w:r>
      <w:r w:rsidR="00717989">
        <w:rPr>
          <w:rFonts w:cs="Arial" w:hint="cs"/>
          <w:rtl/>
        </w:rPr>
        <w:t>,</w:t>
      </w:r>
      <w:r w:rsidRPr="00C1768C">
        <w:rPr>
          <w:rFonts w:cs="Arial"/>
          <w:rtl/>
        </w:rPr>
        <w:t xml:space="preserve"> מיהו עתה נהגו לדון מפני ביטול תורה של מלמדין</w:t>
      </w:r>
      <w:r>
        <w:rPr>
          <w:rStyle w:val="ab"/>
          <w:rFonts w:cs="Arial"/>
          <w:rtl/>
        </w:rPr>
        <w:footnoteReference w:id="240"/>
      </w:r>
      <w:r>
        <w:rPr>
          <w:rFonts w:cs="Arial" w:hint="cs"/>
          <w:rtl/>
        </w:rPr>
        <w:t>.</w:t>
      </w:r>
      <w:r w:rsidRPr="00C1768C">
        <w:rPr>
          <w:rFonts w:cs="Arial"/>
          <w:rtl/>
        </w:rPr>
        <w:t xml:space="preserve"> </w:t>
      </w:r>
      <w:r w:rsidR="00173A46" w:rsidRPr="00C1768C">
        <w:rPr>
          <w:rFonts w:cs="Arial" w:hint="cs"/>
          <w:color w:val="00B0F0"/>
          <w:rtl/>
        </w:rPr>
        <w:t>(וכ"</w:t>
      </w:r>
      <w:r w:rsidR="00173A46">
        <w:rPr>
          <w:rFonts w:cs="Arial" w:hint="cs"/>
          <w:color w:val="00B0F0"/>
          <w:rtl/>
        </w:rPr>
        <w:t>כ</w:t>
      </w:r>
      <w:r w:rsidR="00173A46" w:rsidRPr="00C1768C">
        <w:rPr>
          <w:rFonts w:cs="Arial" w:hint="cs"/>
          <w:color w:val="00B0F0"/>
          <w:rtl/>
        </w:rPr>
        <w:t xml:space="preserve"> הרמ"א)</w:t>
      </w:r>
    </w:p>
    <w:p w14:paraId="0EA64413" w14:textId="77777777" w:rsidR="004A326E" w:rsidRPr="00DA06AC" w:rsidRDefault="00DA06AC" w:rsidP="00DA06AC">
      <w:pPr>
        <w:rPr>
          <w:rFonts w:cs="Arial"/>
          <w:u w:val="single"/>
          <w:rtl/>
        </w:rPr>
      </w:pPr>
      <w:r>
        <w:rPr>
          <w:rFonts w:cs="Arial" w:hint="cs"/>
          <w:u w:val="single"/>
          <w:rtl/>
        </w:rPr>
        <w:t xml:space="preserve">קבלת טענות </w:t>
      </w:r>
      <w:r w:rsidRPr="00EE1B1B">
        <w:rPr>
          <w:rFonts w:cs="Arial" w:hint="cs"/>
          <w:u w:val="single"/>
          <w:rtl/>
        </w:rPr>
        <w:t>בערב שבת ו</w:t>
      </w:r>
      <w:r>
        <w:rPr>
          <w:rFonts w:cs="Arial" w:hint="cs"/>
          <w:u w:val="single"/>
          <w:rtl/>
        </w:rPr>
        <w:t>ב</w:t>
      </w:r>
      <w:r w:rsidRPr="00EE1B1B">
        <w:rPr>
          <w:rFonts w:cs="Arial" w:hint="cs"/>
          <w:u w:val="single"/>
          <w:rtl/>
        </w:rPr>
        <w:t>ערב יו"ט:</w:t>
      </w:r>
    </w:p>
    <w:p w14:paraId="1B8E3C69" w14:textId="77777777" w:rsidR="004A326E" w:rsidRPr="00EE1B1B" w:rsidRDefault="004A326E" w:rsidP="004B0475">
      <w:pPr>
        <w:pStyle w:val="ac"/>
        <w:numPr>
          <w:ilvl w:val="0"/>
          <w:numId w:val="52"/>
        </w:numPr>
        <w:rPr>
          <w:rFonts w:cs="Arial"/>
          <w:rtl/>
        </w:rPr>
      </w:pPr>
      <w:r w:rsidRPr="00EE1B1B">
        <w:rPr>
          <w:rFonts w:cs="Arial"/>
          <w:rtl/>
        </w:rPr>
        <w:t xml:space="preserve">ר"ן </w:t>
      </w:r>
      <w:r w:rsidRPr="00EE1B1B">
        <w:rPr>
          <w:rFonts w:cs="Arial" w:hint="cs"/>
          <w:sz w:val="16"/>
          <w:szCs w:val="16"/>
          <w:rtl/>
        </w:rPr>
        <w:t>(</w:t>
      </w:r>
      <w:r w:rsidRPr="00EE1B1B">
        <w:rPr>
          <w:rFonts w:cs="Arial"/>
          <w:sz w:val="16"/>
          <w:szCs w:val="16"/>
          <w:rtl/>
        </w:rPr>
        <w:t>ריש כתובות א: דיבור ראשון)</w:t>
      </w:r>
      <w:r>
        <w:rPr>
          <w:rFonts w:cs="Arial" w:hint="cs"/>
          <w:rtl/>
        </w:rPr>
        <w:t xml:space="preserve">- </w:t>
      </w:r>
      <w:r w:rsidRPr="00EE1B1B">
        <w:rPr>
          <w:rFonts w:cs="Arial"/>
          <w:rtl/>
        </w:rPr>
        <w:t>לישא בחמישי איכא למימר דשרי</w:t>
      </w:r>
      <w:r w:rsidR="00CE21C1">
        <w:rPr>
          <w:rFonts w:cs="Arial" w:hint="cs"/>
          <w:rtl/>
        </w:rPr>
        <w:t>,</w:t>
      </w:r>
      <w:r w:rsidRPr="00EE1B1B">
        <w:rPr>
          <w:rFonts w:cs="Arial"/>
          <w:rtl/>
        </w:rPr>
        <w:t xml:space="preserve"> אע</w:t>
      </w:r>
      <w:r>
        <w:rPr>
          <w:rFonts w:cs="Arial" w:hint="cs"/>
          <w:rtl/>
        </w:rPr>
        <w:t>"</w:t>
      </w:r>
      <w:r w:rsidRPr="00EE1B1B">
        <w:rPr>
          <w:rFonts w:cs="Arial"/>
          <w:rtl/>
        </w:rPr>
        <w:t xml:space="preserve">ג דאמרינן בירושלמי בפרקין </w:t>
      </w:r>
      <w:r w:rsidRPr="00EE1B1B">
        <w:rPr>
          <w:rFonts w:cs="Arial"/>
          <w:sz w:val="16"/>
          <w:szCs w:val="16"/>
          <w:rtl/>
        </w:rPr>
        <w:t xml:space="preserve">(ה"א) </w:t>
      </w:r>
      <w:r w:rsidRPr="00EE1B1B">
        <w:rPr>
          <w:rFonts w:cs="Arial"/>
          <w:rtl/>
        </w:rPr>
        <w:t>אסור לדון דיני ממונות בערב שבת</w:t>
      </w:r>
      <w:r>
        <w:rPr>
          <w:rFonts w:cs="Arial" w:hint="cs"/>
          <w:rtl/>
        </w:rPr>
        <w:t>,</w:t>
      </w:r>
      <w:r w:rsidRPr="00EE1B1B">
        <w:rPr>
          <w:rFonts w:cs="Arial"/>
          <w:rtl/>
        </w:rPr>
        <w:t xml:space="preserve"> איכא למימר שלא אסרו אלא למיקבע זימנא</w:t>
      </w:r>
      <w:r>
        <w:rPr>
          <w:rFonts w:cs="Arial" w:hint="cs"/>
          <w:rtl/>
        </w:rPr>
        <w:t>,</w:t>
      </w:r>
      <w:r w:rsidRPr="00EE1B1B">
        <w:rPr>
          <w:rFonts w:cs="Arial"/>
          <w:rtl/>
        </w:rPr>
        <w:t xml:space="preserve"> וכדאמרינן בפ</w:t>
      </w:r>
      <w:r>
        <w:rPr>
          <w:rFonts w:cs="Arial" w:hint="cs"/>
          <w:rtl/>
        </w:rPr>
        <w:t>'</w:t>
      </w:r>
      <w:r w:rsidRPr="00EE1B1B">
        <w:rPr>
          <w:rFonts w:cs="Arial"/>
          <w:rtl/>
        </w:rPr>
        <w:t xml:space="preserve"> הגוזל </w:t>
      </w:r>
      <w:r w:rsidRPr="00EE1B1B">
        <w:rPr>
          <w:rFonts w:cs="Arial"/>
          <w:sz w:val="16"/>
          <w:szCs w:val="16"/>
          <w:rtl/>
        </w:rPr>
        <w:t xml:space="preserve">(ב"ק קיג.) </w:t>
      </w:r>
      <w:r w:rsidRPr="00EE1B1B">
        <w:rPr>
          <w:rFonts w:cs="Arial"/>
          <w:rtl/>
        </w:rPr>
        <w:t>לא קבעינן זימנא לא במעלי שבתא ולא במעלי יומא טבא</w:t>
      </w:r>
      <w:r>
        <w:rPr>
          <w:rFonts w:cs="Arial" w:hint="cs"/>
          <w:rtl/>
        </w:rPr>
        <w:t>,</w:t>
      </w:r>
      <w:r w:rsidRPr="00EE1B1B">
        <w:rPr>
          <w:rFonts w:cs="Arial"/>
          <w:rtl/>
        </w:rPr>
        <w:t xml:space="preserve"> אבל אי אתו מנפשייהו</w:t>
      </w:r>
      <w:r w:rsidR="00DA06AC">
        <w:rPr>
          <w:rStyle w:val="ab"/>
          <w:rFonts w:cs="Arial"/>
          <w:rtl/>
        </w:rPr>
        <w:footnoteReference w:id="241"/>
      </w:r>
      <w:r w:rsidRPr="00EE1B1B">
        <w:rPr>
          <w:rFonts w:cs="Arial"/>
          <w:rtl/>
        </w:rPr>
        <w:t xml:space="preserve"> </w:t>
      </w:r>
      <w:r w:rsidR="00CE21C1">
        <w:rPr>
          <w:rFonts w:cs="Arial" w:hint="cs"/>
          <w:rtl/>
        </w:rPr>
        <w:t xml:space="preserve">- </w:t>
      </w:r>
      <w:r w:rsidRPr="00EE1B1B">
        <w:rPr>
          <w:rFonts w:cs="Arial"/>
          <w:rtl/>
        </w:rPr>
        <w:t>צייתינן להו ומקבלים טענותיהם</w:t>
      </w:r>
      <w:r w:rsidR="00CE21C1">
        <w:rPr>
          <w:rFonts w:cs="Arial" w:hint="cs"/>
          <w:rtl/>
        </w:rPr>
        <w:t>.</w:t>
      </w:r>
      <w:r w:rsidRPr="00EE1B1B">
        <w:rPr>
          <w:rFonts w:cs="Arial"/>
          <w:rtl/>
        </w:rPr>
        <w:t xml:space="preserve"> וטעמא דמלתא משום דלמקבע זימנא ולדון בלחוד אסרו לפי שהדין צריך מתון ועיון ואתי לאמנועי מצורכי שבת ויום טוב</w:t>
      </w:r>
      <w:r w:rsidR="00CE21C1">
        <w:rPr>
          <w:rFonts w:cs="Arial" w:hint="cs"/>
          <w:rtl/>
        </w:rPr>
        <w:t>,</w:t>
      </w:r>
      <w:r w:rsidRPr="00EE1B1B">
        <w:rPr>
          <w:rFonts w:cs="Arial"/>
          <w:rtl/>
        </w:rPr>
        <w:t xml:space="preserve"> אבל לקבל טענותיהם אי אתו מנפשייהו שרי</w:t>
      </w:r>
      <w:r w:rsidR="00CE21C1">
        <w:rPr>
          <w:rFonts w:cs="Arial" w:hint="cs"/>
          <w:rtl/>
        </w:rPr>
        <w:t>.</w:t>
      </w:r>
      <w:r w:rsidRPr="00EE1B1B">
        <w:rPr>
          <w:rFonts w:cs="Arial"/>
          <w:rtl/>
        </w:rPr>
        <w:t xml:space="preserve"> הילכך אפילו בששי מכנפי בית דין ויתבי לקבל טענותם</w:t>
      </w:r>
      <w:r w:rsidRPr="00EE1B1B">
        <w:rPr>
          <w:rFonts w:cs="Arial" w:hint="cs"/>
          <w:rtl/>
        </w:rPr>
        <w:t>.</w:t>
      </w:r>
      <w:r>
        <w:rPr>
          <w:rFonts w:cs="Arial" w:hint="cs"/>
          <w:rtl/>
        </w:rPr>
        <w:t xml:space="preserve"> (וכ"פ סמ"ע </w:t>
      </w:r>
      <w:r w:rsidRPr="00134C16">
        <w:rPr>
          <w:rFonts w:cs="Arial" w:hint="cs"/>
          <w:sz w:val="16"/>
          <w:szCs w:val="16"/>
          <w:rtl/>
        </w:rPr>
        <w:t>[סק"ג]</w:t>
      </w:r>
      <w:r>
        <w:rPr>
          <w:rFonts w:cs="Arial" w:hint="cs"/>
          <w:rtl/>
        </w:rPr>
        <w:t xml:space="preserve"> ש"ך</w:t>
      </w:r>
      <w:r>
        <w:rPr>
          <w:rFonts w:cs="Arial" w:hint="cs"/>
          <w:sz w:val="16"/>
          <w:szCs w:val="16"/>
          <w:rtl/>
        </w:rPr>
        <w:t xml:space="preserve"> </w:t>
      </w:r>
      <w:r w:rsidRPr="00134C16">
        <w:rPr>
          <w:rFonts w:cs="Arial" w:hint="cs"/>
          <w:sz w:val="16"/>
          <w:szCs w:val="16"/>
          <w:rtl/>
        </w:rPr>
        <w:t>[סק"</w:t>
      </w:r>
      <w:r>
        <w:rPr>
          <w:rFonts w:cs="Arial" w:hint="cs"/>
          <w:sz w:val="16"/>
          <w:szCs w:val="16"/>
          <w:rtl/>
        </w:rPr>
        <w:t>א</w:t>
      </w:r>
      <w:r w:rsidRPr="00134C16">
        <w:rPr>
          <w:rFonts w:cs="Arial" w:hint="cs"/>
          <w:sz w:val="16"/>
          <w:szCs w:val="16"/>
          <w:rtl/>
        </w:rPr>
        <w:t>]</w:t>
      </w:r>
      <w:r>
        <w:rPr>
          <w:rFonts w:cs="Arial" w:hint="cs"/>
          <w:rtl/>
        </w:rPr>
        <w:t xml:space="preserve"> ואו"ת </w:t>
      </w:r>
      <w:r w:rsidRPr="00134C16">
        <w:rPr>
          <w:rFonts w:cs="Arial" w:hint="cs"/>
          <w:sz w:val="16"/>
          <w:szCs w:val="16"/>
          <w:rtl/>
        </w:rPr>
        <w:t>[סק"</w:t>
      </w:r>
      <w:r>
        <w:rPr>
          <w:rFonts w:cs="Arial" w:hint="cs"/>
          <w:sz w:val="16"/>
          <w:szCs w:val="16"/>
          <w:rtl/>
        </w:rPr>
        <w:t>ב</w:t>
      </w:r>
      <w:r w:rsidRPr="00134C16">
        <w:rPr>
          <w:rFonts w:cs="Arial" w:hint="cs"/>
          <w:sz w:val="16"/>
          <w:szCs w:val="16"/>
          <w:rtl/>
        </w:rPr>
        <w:t>]</w:t>
      </w:r>
      <w:r>
        <w:rPr>
          <w:rFonts w:cs="Arial" w:hint="cs"/>
          <w:rtl/>
        </w:rPr>
        <w:t>)</w:t>
      </w:r>
    </w:p>
    <w:p w14:paraId="3AB041C4" w14:textId="77777777" w:rsidR="004A326E" w:rsidRDefault="004A326E" w:rsidP="004A326E">
      <w:pPr>
        <w:rPr>
          <w:rFonts w:cs="Arial"/>
          <w:rtl/>
        </w:rPr>
      </w:pPr>
      <w:r w:rsidRPr="007007AD">
        <w:rPr>
          <w:rFonts w:cs="Arial" w:hint="cs"/>
          <w:b/>
          <w:bCs/>
          <w:rtl/>
        </w:rPr>
        <w:t xml:space="preserve">בבא קמא </w:t>
      </w:r>
      <w:r w:rsidRPr="007007AD">
        <w:rPr>
          <w:rFonts w:cs="Arial" w:hint="cs"/>
          <w:b/>
          <w:bCs/>
          <w:sz w:val="16"/>
          <w:szCs w:val="16"/>
          <w:rtl/>
        </w:rPr>
        <w:t>(פ'</w:t>
      </w:r>
      <w:r w:rsidRPr="007007AD">
        <w:rPr>
          <w:rFonts w:cs="Arial"/>
          <w:b/>
          <w:bCs/>
          <w:sz w:val="16"/>
          <w:szCs w:val="16"/>
          <w:rtl/>
        </w:rPr>
        <w:t xml:space="preserve"> הגוזל בתרא</w:t>
      </w:r>
      <w:r w:rsidRPr="007007AD">
        <w:rPr>
          <w:rFonts w:cs="Arial" w:hint="cs"/>
          <w:b/>
          <w:bCs/>
          <w:sz w:val="16"/>
          <w:szCs w:val="16"/>
          <w:rtl/>
        </w:rPr>
        <w:t>)</w:t>
      </w:r>
      <w:r w:rsidRPr="007007AD">
        <w:rPr>
          <w:rFonts w:cs="Arial"/>
          <w:b/>
          <w:bCs/>
          <w:sz w:val="16"/>
          <w:szCs w:val="16"/>
          <w:rtl/>
        </w:rPr>
        <w:t xml:space="preserve"> </w:t>
      </w:r>
      <w:r w:rsidRPr="007007AD">
        <w:rPr>
          <w:rFonts w:cs="Arial"/>
          <w:b/>
          <w:bCs/>
          <w:rtl/>
        </w:rPr>
        <w:t>קיג</w:t>
      </w:r>
      <w:r w:rsidRPr="007007AD">
        <w:rPr>
          <w:rFonts w:cs="Arial" w:hint="cs"/>
          <w:b/>
          <w:bCs/>
          <w:rtl/>
        </w:rPr>
        <w:t xml:space="preserve"> ע"א:</w:t>
      </w:r>
      <w:r w:rsidRPr="00127CD0">
        <w:rPr>
          <w:rFonts w:cs="Arial"/>
          <w:rtl/>
        </w:rPr>
        <w:t xml:space="preserve"> </w:t>
      </w:r>
      <w:r w:rsidRPr="007007AD">
        <w:rPr>
          <w:rFonts w:cs="Arial"/>
          <w:u w:val="single"/>
          <w:rtl/>
        </w:rPr>
        <w:t>אמר רב יהודה</w:t>
      </w:r>
      <w:r w:rsidRPr="007007AD">
        <w:rPr>
          <w:rFonts w:cs="Arial"/>
          <w:rtl/>
        </w:rPr>
        <w:t>: לא יהבינא זמנא לא ביומי ניסן ולא ביומי תשרי</w:t>
      </w:r>
      <w:r w:rsidR="00173A46">
        <w:rPr>
          <w:rStyle w:val="ab"/>
          <w:rFonts w:cs="Arial"/>
          <w:rtl/>
        </w:rPr>
        <w:footnoteReference w:id="242"/>
      </w:r>
      <w:r w:rsidRPr="007007AD">
        <w:rPr>
          <w:rFonts w:cs="Arial"/>
          <w:rtl/>
        </w:rPr>
        <w:t>, לא במעלי יומא טבא ולא במעלי שבתא</w:t>
      </w:r>
      <w:r w:rsidR="00173A46">
        <w:rPr>
          <w:rFonts w:cs="Arial" w:hint="cs"/>
          <w:rtl/>
        </w:rPr>
        <w:t>.</w:t>
      </w:r>
      <w:r w:rsidRPr="007007AD">
        <w:rPr>
          <w:rFonts w:cs="Arial"/>
          <w:rtl/>
        </w:rPr>
        <w:t xml:space="preserve"> אבל מניסן לבתר יומי ניסן</w:t>
      </w:r>
      <w:r>
        <w:rPr>
          <w:rStyle w:val="ab"/>
          <w:rFonts w:cs="Arial"/>
          <w:rtl/>
        </w:rPr>
        <w:footnoteReference w:id="243"/>
      </w:r>
      <w:r w:rsidRPr="007007AD">
        <w:rPr>
          <w:rFonts w:cs="Arial"/>
          <w:rtl/>
        </w:rPr>
        <w:t xml:space="preserve">, וביומי תשרי לבתר תשרי </w:t>
      </w:r>
      <w:r w:rsidR="009F2C65">
        <w:rPr>
          <w:rFonts w:cs="Arial" w:hint="cs"/>
          <w:rtl/>
        </w:rPr>
        <w:t>-</w:t>
      </w:r>
      <w:r w:rsidRPr="007007AD">
        <w:rPr>
          <w:rFonts w:cs="Arial"/>
          <w:rtl/>
        </w:rPr>
        <w:t xml:space="preserve"> קבעינן</w:t>
      </w:r>
      <w:r w:rsidR="009F2C65">
        <w:rPr>
          <w:rFonts w:cs="Arial" w:hint="cs"/>
          <w:rtl/>
        </w:rPr>
        <w:t>.</w:t>
      </w:r>
      <w:r w:rsidRPr="007007AD">
        <w:rPr>
          <w:rFonts w:cs="Arial"/>
          <w:rtl/>
        </w:rPr>
        <w:t xml:space="preserve"> ממעלי שבתא לבתר מעלי שבתא לא קבעינן, מאי טעמא? בעבידתיה דשבתא טריד. </w:t>
      </w:r>
      <w:r w:rsidRPr="007007AD">
        <w:rPr>
          <w:rFonts w:cs="Arial"/>
          <w:u w:val="single"/>
          <w:rtl/>
        </w:rPr>
        <w:t>אמר רב נחמן</w:t>
      </w:r>
      <w:r w:rsidRPr="007007AD">
        <w:rPr>
          <w:rFonts w:cs="Arial"/>
          <w:rtl/>
        </w:rPr>
        <w:t>: לא יהבינן זמנא לא לבני כלה בכלה</w:t>
      </w:r>
      <w:r>
        <w:rPr>
          <w:rStyle w:val="ab"/>
          <w:rFonts w:cs="Arial"/>
          <w:rtl/>
        </w:rPr>
        <w:footnoteReference w:id="244"/>
      </w:r>
      <w:r w:rsidRPr="007007AD">
        <w:rPr>
          <w:rFonts w:cs="Arial"/>
          <w:rtl/>
        </w:rPr>
        <w:t>, ולא לבני ריגלא בריגלא</w:t>
      </w:r>
      <w:r>
        <w:rPr>
          <w:rStyle w:val="ab"/>
          <w:rFonts w:cs="Arial"/>
          <w:rtl/>
        </w:rPr>
        <w:footnoteReference w:id="245"/>
      </w:r>
      <w:r w:rsidRPr="007007AD">
        <w:rPr>
          <w:rFonts w:cs="Arial"/>
          <w:rtl/>
        </w:rPr>
        <w:t>. כי הוו אתו</w:t>
      </w:r>
      <w:r>
        <w:rPr>
          <w:rStyle w:val="ab"/>
          <w:rFonts w:cs="Arial"/>
          <w:rtl/>
        </w:rPr>
        <w:footnoteReference w:id="246"/>
      </w:r>
      <w:r w:rsidRPr="007007AD">
        <w:rPr>
          <w:rFonts w:cs="Arial"/>
          <w:rtl/>
        </w:rPr>
        <w:t xml:space="preserve"> לקמיה דרב נחמן, אמר להו: וכי לדידכו כנופייכו</w:t>
      </w:r>
      <w:r>
        <w:rPr>
          <w:rStyle w:val="ab"/>
          <w:rFonts w:cs="Arial"/>
          <w:rtl/>
        </w:rPr>
        <w:footnoteReference w:id="247"/>
      </w:r>
      <w:r w:rsidRPr="007007AD">
        <w:rPr>
          <w:rFonts w:cs="Arial"/>
          <w:rtl/>
        </w:rPr>
        <w:t xml:space="preserve">? </w:t>
      </w:r>
      <w:r w:rsidR="00A105D5">
        <w:rPr>
          <w:rStyle w:val="ab"/>
          <w:rFonts w:cs="Arial"/>
          <w:rtl/>
        </w:rPr>
        <w:footnoteReference w:id="248"/>
      </w:r>
      <w:r w:rsidRPr="007007AD">
        <w:rPr>
          <w:rFonts w:cs="Arial"/>
          <w:rtl/>
        </w:rPr>
        <w:t>והאידנא דאיכא רמאי - חיישינן.</w:t>
      </w:r>
    </w:p>
    <w:p w14:paraId="16D7C9D5" w14:textId="77777777" w:rsidR="004A326E" w:rsidRDefault="004A326E" w:rsidP="004A326E">
      <w:pPr>
        <w:rPr>
          <w:rFonts w:cs="Arial"/>
          <w:rtl/>
        </w:rPr>
      </w:pPr>
      <w:r w:rsidRPr="00EE1B1B">
        <w:rPr>
          <w:rFonts w:cs="Arial" w:hint="cs"/>
          <w:u w:val="single"/>
          <w:rtl/>
        </w:rPr>
        <w:lastRenderedPageBreak/>
        <w:t>דין בניסן ו</w:t>
      </w:r>
      <w:r w:rsidR="009F2C65">
        <w:rPr>
          <w:rFonts w:cs="Arial" w:hint="cs"/>
          <w:u w:val="single"/>
          <w:rtl/>
        </w:rPr>
        <w:t>ב</w:t>
      </w:r>
      <w:r w:rsidRPr="00EE1B1B">
        <w:rPr>
          <w:rFonts w:cs="Arial" w:hint="cs"/>
          <w:u w:val="single"/>
          <w:rtl/>
        </w:rPr>
        <w:t>תשרי:</w:t>
      </w:r>
    </w:p>
    <w:p w14:paraId="6F66AABF" w14:textId="77777777" w:rsidR="004A326E" w:rsidRDefault="004A326E" w:rsidP="004B0475">
      <w:pPr>
        <w:pStyle w:val="ac"/>
        <w:numPr>
          <w:ilvl w:val="0"/>
          <w:numId w:val="52"/>
        </w:numPr>
      </w:pPr>
      <w:r w:rsidRPr="00EE1B1B">
        <w:rPr>
          <w:rFonts w:cs="Arial" w:hint="cs"/>
          <w:rtl/>
        </w:rPr>
        <w:t>טור-</w:t>
      </w:r>
      <w:r w:rsidRPr="00EE1B1B">
        <w:rPr>
          <w:rFonts w:cs="Arial"/>
          <w:rtl/>
        </w:rPr>
        <w:t xml:space="preserve"> וכן אין קובעין זמן לבא לדין בניסן ותשרי מפני טרדת המועדות</w:t>
      </w:r>
      <w:r w:rsidR="00CE21C1">
        <w:rPr>
          <w:rFonts w:cs="Arial" w:hint="cs"/>
          <w:rtl/>
        </w:rPr>
        <w:t>.</w:t>
      </w:r>
      <w:r>
        <w:rPr>
          <w:rFonts w:cs="Arial" w:hint="cs"/>
          <w:rtl/>
        </w:rPr>
        <w:t xml:space="preserve"> </w:t>
      </w:r>
      <w:r w:rsidRPr="00EE1B1B">
        <w:rPr>
          <w:rFonts w:cs="Arial"/>
          <w:rtl/>
        </w:rPr>
        <w:t xml:space="preserve">אבל אם הזמינו בניסן ותשרי לבא אחרי כן ולא בא </w:t>
      </w:r>
      <w:r w:rsidR="00CE21C1">
        <w:rPr>
          <w:rFonts w:cs="Arial" w:hint="cs"/>
          <w:rtl/>
        </w:rPr>
        <w:t xml:space="preserve">- </w:t>
      </w:r>
      <w:r w:rsidRPr="00EE1B1B">
        <w:rPr>
          <w:rFonts w:cs="Arial"/>
          <w:rtl/>
        </w:rPr>
        <w:t>קונסין אותו</w:t>
      </w:r>
      <w:r>
        <w:rPr>
          <w:rFonts w:cs="Arial" w:hint="cs"/>
          <w:rtl/>
        </w:rPr>
        <w:t>.</w:t>
      </w:r>
      <w:r w:rsidRPr="00EE1B1B">
        <w:rPr>
          <w:rFonts w:cs="Arial"/>
          <w:rtl/>
        </w:rPr>
        <w:t xml:space="preserve"> </w:t>
      </w:r>
      <w:r w:rsidRPr="00C34587">
        <w:rPr>
          <w:rFonts w:cs="Arial" w:hint="cs"/>
          <w:color w:val="E36C0A" w:themeColor="accent6" w:themeShade="BF"/>
          <w:rtl/>
        </w:rPr>
        <w:t>(כ"פ בשו"ע)</w:t>
      </w:r>
    </w:p>
    <w:p w14:paraId="50B14E55" w14:textId="77777777" w:rsidR="00E335E9" w:rsidRPr="00E335E9" w:rsidRDefault="00E335E9" w:rsidP="00E335E9">
      <w:pPr>
        <w:ind w:left="360"/>
        <w:rPr>
          <w:u w:val="dotted"/>
          <w:rtl/>
        </w:rPr>
      </w:pPr>
      <w:r w:rsidRPr="00E335E9">
        <w:rPr>
          <w:rFonts w:hint="cs"/>
          <w:u w:val="dotted"/>
          <w:rtl/>
        </w:rPr>
        <w:t xml:space="preserve">ומה הדין אם התחילו </w:t>
      </w:r>
      <w:r>
        <w:rPr>
          <w:rFonts w:hint="cs"/>
          <w:u w:val="dotted"/>
          <w:rtl/>
        </w:rPr>
        <w:t xml:space="preserve">לדון </w:t>
      </w:r>
      <w:r w:rsidRPr="00E335E9">
        <w:rPr>
          <w:rFonts w:hint="cs"/>
          <w:u w:val="dotted"/>
          <w:rtl/>
        </w:rPr>
        <w:t>ב</w:t>
      </w:r>
      <w:r>
        <w:rPr>
          <w:rFonts w:hint="cs"/>
          <w:u w:val="dotted"/>
          <w:rtl/>
        </w:rPr>
        <w:t xml:space="preserve">אותו </w:t>
      </w:r>
      <w:r w:rsidRPr="00E335E9">
        <w:rPr>
          <w:rFonts w:hint="cs"/>
          <w:u w:val="dotted"/>
          <w:rtl/>
        </w:rPr>
        <w:t>דין קודם ניסן/תשרי:</w:t>
      </w:r>
    </w:p>
    <w:p w14:paraId="3D16F0EA" w14:textId="77777777" w:rsidR="004A326E" w:rsidRPr="006776DF" w:rsidRDefault="004A326E" w:rsidP="004B0475">
      <w:pPr>
        <w:pStyle w:val="ac"/>
        <w:numPr>
          <w:ilvl w:val="0"/>
          <w:numId w:val="52"/>
        </w:numPr>
      </w:pPr>
      <w:r>
        <w:rPr>
          <w:rFonts w:cs="Arial"/>
          <w:rtl/>
        </w:rPr>
        <w:t xml:space="preserve">מהרא"י </w:t>
      </w:r>
      <w:r w:rsidRPr="00C1768C">
        <w:rPr>
          <w:rFonts w:cs="Arial" w:hint="cs"/>
          <w:sz w:val="16"/>
          <w:szCs w:val="16"/>
          <w:rtl/>
        </w:rPr>
        <w:t>(</w:t>
      </w:r>
      <w:r w:rsidRPr="00C1768C">
        <w:rPr>
          <w:rFonts w:cs="Arial"/>
          <w:sz w:val="16"/>
          <w:szCs w:val="16"/>
          <w:rtl/>
        </w:rPr>
        <w:t>בכתבים סי</w:t>
      </w:r>
      <w:r w:rsidRPr="00C1768C">
        <w:rPr>
          <w:rFonts w:cs="Arial" w:hint="cs"/>
          <w:sz w:val="16"/>
          <w:szCs w:val="16"/>
          <w:rtl/>
        </w:rPr>
        <w:t>'</w:t>
      </w:r>
      <w:r w:rsidRPr="00C1768C">
        <w:rPr>
          <w:rFonts w:cs="Arial"/>
          <w:sz w:val="16"/>
          <w:szCs w:val="16"/>
          <w:rtl/>
        </w:rPr>
        <w:t xml:space="preserve"> רז</w:t>
      </w:r>
      <w:r w:rsidRPr="00C1768C">
        <w:rPr>
          <w:rFonts w:cs="Arial" w:hint="cs"/>
          <w:sz w:val="16"/>
          <w:szCs w:val="16"/>
          <w:rtl/>
        </w:rPr>
        <w:t>, הביאו הדרכ"מ אות ב)</w:t>
      </w:r>
      <w:r>
        <w:rPr>
          <w:rFonts w:cs="Arial" w:hint="cs"/>
          <w:rtl/>
        </w:rPr>
        <w:t>-</w:t>
      </w:r>
      <w:r>
        <w:rPr>
          <w:rFonts w:cs="Arial"/>
          <w:rtl/>
        </w:rPr>
        <w:t xml:space="preserve"> יש נוהגים דאם התחילו לדון קודם ניסן ותשרי </w:t>
      </w:r>
      <w:r w:rsidR="00CE21C1">
        <w:rPr>
          <w:rFonts w:cs="Arial" w:hint="cs"/>
          <w:rtl/>
        </w:rPr>
        <w:t xml:space="preserve">- </w:t>
      </w:r>
      <w:r>
        <w:rPr>
          <w:rFonts w:cs="Arial"/>
          <w:rtl/>
        </w:rPr>
        <w:t>קבעינן זימנא אף בניסן ותשרי</w:t>
      </w:r>
      <w:r w:rsidR="00CE21C1">
        <w:rPr>
          <w:rFonts w:cs="Arial" w:hint="cs"/>
          <w:rtl/>
        </w:rPr>
        <w:t>.</w:t>
      </w:r>
      <w:r>
        <w:rPr>
          <w:rFonts w:cs="Arial"/>
          <w:rtl/>
        </w:rPr>
        <w:t xml:space="preserve"> ובמקום דנהוג נהוג</w:t>
      </w:r>
      <w:r>
        <w:rPr>
          <w:rFonts w:cs="Arial" w:hint="cs"/>
          <w:rtl/>
        </w:rPr>
        <w:t>.</w:t>
      </w:r>
      <w:r w:rsidRPr="00C1768C">
        <w:rPr>
          <w:rFonts w:cs="Arial" w:hint="cs"/>
          <w:color w:val="00B0F0"/>
          <w:rtl/>
        </w:rPr>
        <w:t xml:space="preserve"> (וכ"</w:t>
      </w:r>
      <w:r w:rsidR="009B2E6E">
        <w:rPr>
          <w:rFonts w:cs="Arial" w:hint="cs"/>
          <w:color w:val="00B0F0"/>
          <w:rtl/>
        </w:rPr>
        <w:t>כ</w:t>
      </w:r>
      <w:r w:rsidRPr="00C1768C">
        <w:rPr>
          <w:rFonts w:cs="Arial" w:hint="cs"/>
          <w:color w:val="00B0F0"/>
          <w:rtl/>
        </w:rPr>
        <w:t xml:space="preserve"> הרמ"א)</w:t>
      </w:r>
    </w:p>
    <w:p w14:paraId="34251946" w14:textId="77777777" w:rsidR="004A326E" w:rsidRPr="006776DF" w:rsidRDefault="004A326E" w:rsidP="004A326E">
      <w:pPr>
        <w:ind w:left="360"/>
        <w:rPr>
          <w:u w:val="dotted"/>
        </w:rPr>
      </w:pPr>
      <w:r>
        <w:rPr>
          <w:rFonts w:hint="cs"/>
          <w:u w:val="dotted"/>
          <w:rtl/>
        </w:rPr>
        <w:t>ו</w:t>
      </w:r>
      <w:r w:rsidRPr="006776DF">
        <w:rPr>
          <w:rFonts w:hint="cs"/>
          <w:u w:val="dotted"/>
          <w:rtl/>
        </w:rPr>
        <w:t>מה הדין אם בעלי הדין נמצאים בעיר שב</w:t>
      </w:r>
      <w:r>
        <w:rPr>
          <w:rFonts w:hint="cs"/>
          <w:u w:val="dotted"/>
          <w:rtl/>
        </w:rPr>
        <w:t>ה</w:t>
      </w:r>
      <w:r w:rsidRPr="006776DF">
        <w:rPr>
          <w:rFonts w:hint="cs"/>
          <w:u w:val="dotted"/>
          <w:rtl/>
        </w:rPr>
        <w:t xml:space="preserve"> </w:t>
      </w:r>
      <w:r>
        <w:rPr>
          <w:rFonts w:hint="cs"/>
          <w:u w:val="dotted"/>
          <w:rtl/>
        </w:rPr>
        <w:t>נמצא</w:t>
      </w:r>
      <w:r w:rsidRPr="006776DF">
        <w:rPr>
          <w:rFonts w:hint="cs"/>
          <w:u w:val="dotted"/>
          <w:rtl/>
        </w:rPr>
        <w:t xml:space="preserve"> בית הדין:</w:t>
      </w:r>
    </w:p>
    <w:p w14:paraId="0E476B39" w14:textId="77777777" w:rsidR="004A326E" w:rsidRDefault="004A326E" w:rsidP="004B0475">
      <w:pPr>
        <w:pStyle w:val="ac"/>
        <w:numPr>
          <w:ilvl w:val="0"/>
          <w:numId w:val="52"/>
        </w:numPr>
      </w:pPr>
      <w:r w:rsidRPr="00EE1B1B">
        <w:rPr>
          <w:rFonts w:cs="Arial"/>
          <w:rtl/>
        </w:rPr>
        <w:t>רמ"ה</w:t>
      </w:r>
      <w:r>
        <w:rPr>
          <w:rFonts w:cs="Arial" w:hint="cs"/>
          <w:rtl/>
        </w:rPr>
        <w:t xml:space="preserve"> </w:t>
      </w:r>
      <w:r>
        <w:rPr>
          <w:rFonts w:cs="Arial" w:hint="cs"/>
          <w:sz w:val="16"/>
          <w:szCs w:val="16"/>
          <w:rtl/>
        </w:rPr>
        <w:t>(</w:t>
      </w:r>
      <w:r w:rsidRPr="006776DF">
        <w:rPr>
          <w:rFonts w:cs="Arial"/>
          <w:sz w:val="16"/>
          <w:szCs w:val="16"/>
          <w:rtl/>
        </w:rPr>
        <w:t xml:space="preserve">כ"כ </w:t>
      </w:r>
      <w:r>
        <w:rPr>
          <w:rFonts w:cs="Arial" w:hint="cs"/>
          <w:sz w:val="16"/>
          <w:szCs w:val="16"/>
          <w:rtl/>
        </w:rPr>
        <w:t xml:space="preserve">בשמו </w:t>
      </w:r>
      <w:r w:rsidRPr="006776DF">
        <w:rPr>
          <w:rFonts w:cs="Arial"/>
          <w:sz w:val="16"/>
          <w:szCs w:val="16"/>
          <w:rtl/>
        </w:rPr>
        <w:t>ר</w:t>
      </w:r>
      <w:r w:rsidRPr="006776DF">
        <w:rPr>
          <w:rFonts w:cs="Arial" w:hint="cs"/>
          <w:sz w:val="16"/>
          <w:szCs w:val="16"/>
          <w:rtl/>
        </w:rPr>
        <w:t>י"ו</w:t>
      </w:r>
      <w:r w:rsidRPr="006776DF">
        <w:rPr>
          <w:rFonts w:cs="Arial"/>
          <w:sz w:val="16"/>
          <w:szCs w:val="16"/>
          <w:rtl/>
        </w:rPr>
        <w:t xml:space="preserve"> </w:t>
      </w:r>
      <w:r>
        <w:rPr>
          <w:rFonts w:cs="Arial" w:hint="cs"/>
          <w:sz w:val="16"/>
          <w:szCs w:val="16"/>
          <w:rtl/>
        </w:rPr>
        <w:t>[</w:t>
      </w:r>
      <w:r w:rsidRPr="006776DF">
        <w:rPr>
          <w:rFonts w:cs="Arial"/>
          <w:sz w:val="16"/>
          <w:szCs w:val="16"/>
          <w:rtl/>
        </w:rPr>
        <w:t>נ"א חי"ב י ע"ד</w:t>
      </w:r>
      <w:r>
        <w:rPr>
          <w:rFonts w:cs="Arial" w:hint="cs"/>
          <w:sz w:val="16"/>
          <w:szCs w:val="16"/>
          <w:rtl/>
        </w:rPr>
        <w:t>])</w:t>
      </w:r>
      <w:r>
        <w:rPr>
          <w:rFonts w:cs="Arial" w:hint="cs"/>
          <w:rtl/>
        </w:rPr>
        <w:t xml:space="preserve"> וטור-</w:t>
      </w:r>
      <w:r w:rsidRPr="00EE1B1B">
        <w:rPr>
          <w:rFonts w:cs="Arial"/>
          <w:rtl/>
        </w:rPr>
        <w:t xml:space="preserve"> הא דאין קובעין זמן בניסן ותשרי </w:t>
      </w:r>
      <w:r w:rsidR="00CA5073">
        <w:rPr>
          <w:rFonts w:cs="Arial" w:hint="cs"/>
          <w:rtl/>
        </w:rPr>
        <w:t xml:space="preserve">- </w:t>
      </w:r>
      <w:r w:rsidRPr="00EE1B1B">
        <w:rPr>
          <w:rFonts w:cs="Arial"/>
          <w:rtl/>
        </w:rPr>
        <w:t>ה"מ לבא מעיר לעיר</w:t>
      </w:r>
      <w:r w:rsidR="00CE21C1">
        <w:rPr>
          <w:rFonts w:cs="Arial" w:hint="cs"/>
          <w:rtl/>
        </w:rPr>
        <w:t>,</w:t>
      </w:r>
      <w:r w:rsidRPr="00EE1B1B">
        <w:rPr>
          <w:rFonts w:cs="Arial"/>
          <w:rtl/>
        </w:rPr>
        <w:t xml:space="preserve"> אבל מי שהוא בעיר</w:t>
      </w:r>
      <w:r w:rsidR="00CE21C1">
        <w:rPr>
          <w:rFonts w:cs="Arial" w:hint="cs"/>
          <w:rtl/>
        </w:rPr>
        <w:t xml:space="preserve"> -</w:t>
      </w:r>
      <w:r w:rsidRPr="00EE1B1B">
        <w:rPr>
          <w:rFonts w:cs="Arial"/>
          <w:rtl/>
        </w:rPr>
        <w:t xml:space="preserve"> קובעין לו זמן ודנין אותו</w:t>
      </w:r>
      <w:r>
        <w:rPr>
          <w:rStyle w:val="ab"/>
          <w:rFonts w:cs="Arial"/>
          <w:rtl/>
        </w:rPr>
        <w:footnoteReference w:id="249"/>
      </w:r>
      <w:r>
        <w:rPr>
          <w:rFonts w:cs="Arial" w:hint="cs"/>
          <w:sz w:val="16"/>
          <w:szCs w:val="16"/>
          <w:rtl/>
        </w:rPr>
        <w:t xml:space="preserve"> (ל' הטור בשם הרמ"ה)</w:t>
      </w:r>
      <w:r>
        <w:rPr>
          <w:rFonts w:cs="Arial" w:hint="cs"/>
          <w:rtl/>
        </w:rPr>
        <w:t>.</w:t>
      </w:r>
      <w:r w:rsidRPr="006D0982">
        <w:rPr>
          <w:rFonts w:cs="Arial" w:hint="cs"/>
          <w:color w:val="E36C0A" w:themeColor="accent6" w:themeShade="BF"/>
          <w:rtl/>
        </w:rPr>
        <w:t xml:space="preserve"> </w:t>
      </w:r>
      <w:r w:rsidRPr="00C34587">
        <w:rPr>
          <w:rFonts w:cs="Arial" w:hint="cs"/>
          <w:color w:val="E36C0A" w:themeColor="accent6" w:themeShade="BF"/>
          <w:rtl/>
        </w:rPr>
        <w:t>(</w:t>
      </w:r>
      <w:r>
        <w:rPr>
          <w:rFonts w:cs="Arial" w:hint="cs"/>
          <w:color w:val="E36C0A" w:themeColor="accent6" w:themeShade="BF"/>
          <w:rtl/>
        </w:rPr>
        <w:t>ו</w:t>
      </w:r>
      <w:r w:rsidRPr="00C34587">
        <w:rPr>
          <w:rFonts w:cs="Arial" w:hint="cs"/>
          <w:color w:val="E36C0A" w:themeColor="accent6" w:themeShade="BF"/>
          <w:rtl/>
        </w:rPr>
        <w:t>כ"פ בשו"ע)</w:t>
      </w:r>
    </w:p>
    <w:p w14:paraId="64E9268C" w14:textId="77777777" w:rsidR="00833F4F" w:rsidRPr="00833F4F" w:rsidRDefault="00833F4F" w:rsidP="00833F4F">
      <w:pPr>
        <w:ind w:left="360"/>
        <w:rPr>
          <w:u w:val="dotted"/>
        </w:rPr>
      </w:pPr>
      <w:r w:rsidRPr="00833F4F">
        <w:rPr>
          <w:rFonts w:hint="cs"/>
          <w:u w:val="dotted"/>
          <w:rtl/>
        </w:rPr>
        <w:t>ומה הדין היכא דיש חשש לרמאות:</w:t>
      </w:r>
    </w:p>
    <w:p w14:paraId="5F78B594" w14:textId="77777777" w:rsidR="00833F4F" w:rsidRPr="00495806" w:rsidRDefault="00A20C1B" w:rsidP="004B0475">
      <w:pPr>
        <w:pStyle w:val="ac"/>
        <w:numPr>
          <w:ilvl w:val="0"/>
          <w:numId w:val="52"/>
        </w:numPr>
      </w:pPr>
      <w:r>
        <w:rPr>
          <w:rFonts w:cs="Arial" w:hint="cs"/>
          <w:rtl/>
        </w:rPr>
        <w:t xml:space="preserve">רמ"ה </w:t>
      </w:r>
      <w:r w:rsidRPr="00A20C1B">
        <w:rPr>
          <w:rFonts w:cs="Arial" w:hint="cs"/>
          <w:sz w:val="16"/>
          <w:szCs w:val="16"/>
          <w:rtl/>
        </w:rPr>
        <w:t xml:space="preserve">(הביאו </w:t>
      </w:r>
      <w:r w:rsidRPr="00A20C1B">
        <w:rPr>
          <w:rFonts w:cs="Arial"/>
          <w:sz w:val="16"/>
          <w:szCs w:val="16"/>
          <w:rtl/>
        </w:rPr>
        <w:t xml:space="preserve">השטמ"ק </w:t>
      </w:r>
      <w:r w:rsidRPr="00A20C1B">
        <w:rPr>
          <w:rFonts w:cs="Arial" w:hint="cs"/>
          <w:sz w:val="16"/>
          <w:szCs w:val="16"/>
          <w:rtl/>
        </w:rPr>
        <w:t>[</w:t>
      </w:r>
      <w:r w:rsidRPr="00A20C1B">
        <w:rPr>
          <w:rFonts w:cs="Arial"/>
          <w:sz w:val="16"/>
          <w:szCs w:val="16"/>
          <w:rtl/>
        </w:rPr>
        <w:t>ב"ק שם ד"ה אמר רבא</w:t>
      </w:r>
      <w:r w:rsidRPr="00A20C1B">
        <w:rPr>
          <w:rFonts w:cs="Arial" w:hint="cs"/>
          <w:sz w:val="16"/>
          <w:szCs w:val="16"/>
          <w:rtl/>
        </w:rPr>
        <w:t>]</w:t>
      </w:r>
      <w:r w:rsidRPr="00A20C1B">
        <w:rPr>
          <w:rFonts w:cs="Arial"/>
          <w:sz w:val="16"/>
          <w:szCs w:val="16"/>
          <w:rtl/>
        </w:rPr>
        <w:t>)</w:t>
      </w:r>
      <w:r>
        <w:rPr>
          <w:rFonts w:cs="Arial" w:hint="cs"/>
          <w:rtl/>
        </w:rPr>
        <w:t xml:space="preserve"> ו</w:t>
      </w:r>
      <w:r>
        <w:rPr>
          <w:rFonts w:cs="Arial"/>
          <w:rtl/>
        </w:rPr>
        <w:t>מאירי</w:t>
      </w:r>
      <w:r>
        <w:rPr>
          <w:rStyle w:val="ab"/>
          <w:rFonts w:cs="Arial"/>
          <w:rtl/>
        </w:rPr>
        <w:footnoteReference w:id="250"/>
      </w:r>
      <w:r>
        <w:rPr>
          <w:rFonts w:cs="Arial"/>
          <w:rtl/>
        </w:rPr>
        <w:t xml:space="preserve"> </w:t>
      </w:r>
      <w:r w:rsidRPr="00A20C1B">
        <w:rPr>
          <w:rFonts w:cs="Arial" w:hint="cs"/>
          <w:sz w:val="16"/>
          <w:szCs w:val="16"/>
          <w:rtl/>
        </w:rPr>
        <w:t>(הביאו בשטמ"ק שם)</w:t>
      </w:r>
      <w:r>
        <w:rPr>
          <w:rFonts w:cs="Arial" w:hint="cs"/>
          <w:rtl/>
        </w:rPr>
        <w:t xml:space="preserve">- </w:t>
      </w:r>
      <w:r w:rsidRPr="00A20C1B">
        <w:rPr>
          <w:rFonts w:cs="Arial"/>
          <w:rtl/>
        </w:rPr>
        <w:t>האידנא דאיכא רמאי חיישינן</w:t>
      </w:r>
      <w:r>
        <w:rPr>
          <w:rFonts w:cs="Arial" w:hint="cs"/>
          <w:rtl/>
        </w:rPr>
        <w:t>,</w:t>
      </w:r>
      <w:r w:rsidRPr="00A20C1B">
        <w:rPr>
          <w:rFonts w:cs="Arial"/>
          <w:rtl/>
        </w:rPr>
        <w:t xml:space="preserve"> והן רמאים שבאין מעירם בעבור עסקן ולא לשמוע תורה ונכנסין לבית המדרש כדי להבריח עצמן מן הדין</w:t>
      </w:r>
      <w:r w:rsidR="00CA5073">
        <w:rPr>
          <w:rFonts w:cs="Arial" w:hint="cs"/>
          <w:rtl/>
        </w:rPr>
        <w:t xml:space="preserve"> -</w:t>
      </w:r>
      <w:r w:rsidRPr="00A20C1B">
        <w:rPr>
          <w:rFonts w:cs="Arial"/>
          <w:rtl/>
        </w:rPr>
        <w:t xml:space="preserve"> צריך הדיין לחוש ולחקור על הדבר</w:t>
      </w:r>
      <w:r w:rsidR="00CA5073">
        <w:rPr>
          <w:rFonts w:cs="Arial" w:hint="cs"/>
          <w:rtl/>
        </w:rPr>
        <w:t>.</w:t>
      </w:r>
      <w:r w:rsidRPr="00A20C1B">
        <w:rPr>
          <w:rFonts w:cs="Arial"/>
          <w:rtl/>
        </w:rPr>
        <w:t xml:space="preserve"> ואין נמנעין מלקבוע זמן אלא לאדם שידוע שאין עיקר ביאתו אלא לשמוע תורה</w:t>
      </w:r>
      <w:r>
        <w:rPr>
          <w:rFonts w:cs="Arial" w:hint="cs"/>
          <w:sz w:val="16"/>
          <w:szCs w:val="16"/>
          <w:rtl/>
        </w:rPr>
        <w:t xml:space="preserve"> (ל' השטמ"ק בשם הרמ"ה)</w:t>
      </w:r>
      <w:r>
        <w:rPr>
          <w:rFonts w:cs="Arial"/>
          <w:rtl/>
        </w:rPr>
        <w:t>.</w:t>
      </w:r>
    </w:p>
    <w:p w14:paraId="34DADE1C" w14:textId="77777777" w:rsidR="004A326E" w:rsidRPr="00495806" w:rsidRDefault="004A326E" w:rsidP="004A326E">
      <w:pPr>
        <w:rPr>
          <w:u w:val="single"/>
        </w:rPr>
      </w:pPr>
      <w:r w:rsidRPr="00495806">
        <w:rPr>
          <w:rFonts w:hint="cs"/>
          <w:u w:val="single"/>
          <w:rtl/>
        </w:rPr>
        <w:t xml:space="preserve">קבילה </w:t>
      </w:r>
      <w:r>
        <w:rPr>
          <w:rFonts w:hint="cs"/>
          <w:u w:val="single"/>
          <w:rtl/>
        </w:rPr>
        <w:t>בב</w:t>
      </w:r>
      <w:r w:rsidRPr="00495806">
        <w:rPr>
          <w:rFonts w:hint="cs"/>
          <w:u w:val="single"/>
          <w:rtl/>
        </w:rPr>
        <w:t>ית הכנסת בניסן ובימים נוראים:</w:t>
      </w:r>
    </w:p>
    <w:p w14:paraId="4B87AEDD" w14:textId="77777777" w:rsidR="004A326E" w:rsidRPr="00495806" w:rsidRDefault="00E335E9" w:rsidP="004B0475">
      <w:pPr>
        <w:pStyle w:val="ac"/>
        <w:numPr>
          <w:ilvl w:val="0"/>
          <w:numId w:val="52"/>
        </w:numPr>
        <w:rPr>
          <w:rtl/>
        </w:rPr>
      </w:pPr>
      <w:r>
        <w:rPr>
          <w:rFonts w:cs="Arial" w:hint="cs"/>
          <w:rtl/>
        </w:rPr>
        <w:t xml:space="preserve">ראבי"ה </w:t>
      </w:r>
      <w:r>
        <w:rPr>
          <w:rFonts w:cs="Arial" w:hint="cs"/>
          <w:sz w:val="16"/>
          <w:szCs w:val="16"/>
          <w:rtl/>
        </w:rPr>
        <w:t xml:space="preserve">(כ"כ הגה"מ בשמו) </w:t>
      </w:r>
      <w:r w:rsidR="004A326E" w:rsidRPr="00495806">
        <w:rPr>
          <w:rFonts w:cs="Arial" w:hint="cs"/>
          <w:rtl/>
        </w:rPr>
        <w:t>הגה"מ</w:t>
      </w:r>
      <w:r w:rsidR="004A326E" w:rsidRPr="00495806">
        <w:rPr>
          <w:rFonts w:cs="Arial"/>
          <w:rtl/>
        </w:rPr>
        <w:t xml:space="preserve"> </w:t>
      </w:r>
      <w:r w:rsidR="004A326E" w:rsidRPr="00495806">
        <w:rPr>
          <w:rFonts w:cs="Arial"/>
          <w:sz w:val="16"/>
          <w:szCs w:val="16"/>
          <w:rtl/>
        </w:rPr>
        <w:t xml:space="preserve">(פכ"ה </w:t>
      </w:r>
      <w:r>
        <w:rPr>
          <w:rFonts w:cs="Arial" w:hint="cs"/>
          <w:sz w:val="16"/>
          <w:szCs w:val="16"/>
          <w:rtl/>
        </w:rPr>
        <w:t>מ</w:t>
      </w:r>
      <w:r w:rsidRPr="00495806">
        <w:rPr>
          <w:rFonts w:cs="Arial"/>
          <w:sz w:val="16"/>
          <w:szCs w:val="16"/>
          <w:rtl/>
        </w:rPr>
        <w:t xml:space="preserve">סנהדרין </w:t>
      </w:r>
      <w:r w:rsidR="004A326E" w:rsidRPr="00495806">
        <w:rPr>
          <w:rFonts w:cs="Arial"/>
          <w:sz w:val="16"/>
          <w:szCs w:val="16"/>
          <w:rtl/>
        </w:rPr>
        <w:t xml:space="preserve">אות ה) </w:t>
      </w:r>
      <w:r w:rsidR="004A326E" w:rsidRPr="00495806">
        <w:rPr>
          <w:rFonts w:cs="Arial"/>
          <w:rtl/>
        </w:rPr>
        <w:t xml:space="preserve">ומרדכי </w:t>
      </w:r>
      <w:r w:rsidR="004A326E" w:rsidRPr="00495806">
        <w:rPr>
          <w:rFonts w:cs="Arial" w:hint="cs"/>
          <w:sz w:val="16"/>
          <w:szCs w:val="16"/>
          <w:rtl/>
        </w:rPr>
        <w:t>(</w:t>
      </w:r>
      <w:r w:rsidR="004A326E" w:rsidRPr="00495806">
        <w:rPr>
          <w:rFonts w:cs="Arial"/>
          <w:sz w:val="16"/>
          <w:szCs w:val="16"/>
          <w:rtl/>
        </w:rPr>
        <w:t>פ</w:t>
      </w:r>
      <w:r w:rsidR="004A326E" w:rsidRPr="00495806">
        <w:rPr>
          <w:rFonts w:cs="Arial" w:hint="cs"/>
          <w:sz w:val="16"/>
          <w:szCs w:val="16"/>
          <w:rtl/>
        </w:rPr>
        <w:t>'</w:t>
      </w:r>
      <w:r w:rsidR="004A326E" w:rsidRPr="00495806">
        <w:rPr>
          <w:rFonts w:cs="Arial"/>
          <w:sz w:val="16"/>
          <w:szCs w:val="16"/>
          <w:rtl/>
        </w:rPr>
        <w:t xml:space="preserve"> הגוזל ומאכיל ב"ק סי' קמט)</w:t>
      </w:r>
      <w:r w:rsidR="004A326E" w:rsidRPr="00495806">
        <w:rPr>
          <w:rFonts w:cs="Arial" w:hint="cs"/>
          <w:rtl/>
        </w:rPr>
        <w:t>-</w:t>
      </w:r>
      <w:r w:rsidR="004A326E" w:rsidRPr="00495806">
        <w:rPr>
          <w:rFonts w:cs="Arial"/>
          <w:rtl/>
        </w:rPr>
        <w:t xml:space="preserve"> נהגו קדמונים שאין קובלין בבית הכנסת בניסן ובימים הנוראים</w:t>
      </w:r>
      <w:r w:rsidR="00CA5073">
        <w:rPr>
          <w:rFonts w:cs="Arial" w:hint="cs"/>
          <w:rtl/>
        </w:rPr>
        <w:t>.</w:t>
      </w:r>
      <w:r w:rsidR="004A326E" w:rsidRPr="00495806">
        <w:rPr>
          <w:rFonts w:cs="Arial"/>
          <w:rtl/>
        </w:rPr>
        <w:t xml:space="preserve"> ואם הם בני הכפרים הבאים למנין </w:t>
      </w:r>
      <w:r w:rsidR="00CA5073">
        <w:rPr>
          <w:rFonts w:cs="Arial" w:hint="cs"/>
          <w:rtl/>
        </w:rPr>
        <w:t xml:space="preserve">- </w:t>
      </w:r>
      <w:r w:rsidR="004A326E" w:rsidRPr="00495806">
        <w:rPr>
          <w:rFonts w:cs="Arial"/>
          <w:rtl/>
        </w:rPr>
        <w:t>קובעין להם זמן לאחר הרגל לדון</w:t>
      </w:r>
      <w:r w:rsidR="004A326E" w:rsidRPr="00495806">
        <w:rPr>
          <w:rFonts w:cs="Arial" w:hint="cs"/>
          <w:rtl/>
        </w:rPr>
        <w:t>,</w:t>
      </w:r>
      <w:r w:rsidR="004A326E" w:rsidRPr="00495806">
        <w:rPr>
          <w:rFonts w:cs="Arial"/>
          <w:rtl/>
        </w:rPr>
        <w:t xml:space="preserve"> ואם יש בו חשש דחיה ורמאות דנין לאלתר</w:t>
      </w:r>
      <w:r>
        <w:rPr>
          <w:rFonts w:cs="Arial" w:hint="cs"/>
          <w:sz w:val="16"/>
          <w:szCs w:val="16"/>
          <w:rtl/>
        </w:rPr>
        <w:t xml:space="preserve"> (ל' המרדכי)</w:t>
      </w:r>
      <w:r w:rsidR="004A326E" w:rsidRPr="00495806">
        <w:rPr>
          <w:rFonts w:cs="Arial" w:hint="cs"/>
          <w:rtl/>
        </w:rPr>
        <w:t>.</w:t>
      </w:r>
      <w:r w:rsidR="004A326E" w:rsidRPr="00C1768C">
        <w:rPr>
          <w:rFonts w:cs="Arial" w:hint="cs"/>
          <w:color w:val="00B0F0"/>
          <w:rtl/>
        </w:rPr>
        <w:t xml:space="preserve"> (וכ"פ הרמ"א)</w:t>
      </w:r>
    </w:p>
    <w:p w14:paraId="2F4C3432" w14:textId="77777777" w:rsidR="004A326E" w:rsidRDefault="004A326E" w:rsidP="004A326E">
      <w:pPr>
        <w:rPr>
          <w:rFonts w:cs="Arial"/>
          <w:rtl/>
        </w:rPr>
      </w:pPr>
      <w:r w:rsidRPr="00120317">
        <w:rPr>
          <w:rFonts w:cs="Arial" w:hint="cs"/>
          <w:b/>
          <w:bCs/>
          <w:rtl/>
        </w:rPr>
        <w:t xml:space="preserve">סנהדרין </w:t>
      </w:r>
      <w:r w:rsidRPr="00120317">
        <w:rPr>
          <w:rFonts w:cs="Arial" w:hint="cs"/>
          <w:b/>
          <w:bCs/>
          <w:sz w:val="16"/>
          <w:szCs w:val="16"/>
          <w:rtl/>
        </w:rPr>
        <w:t xml:space="preserve">(ר"פ אחד דיני ממונות) </w:t>
      </w:r>
      <w:r w:rsidRPr="00120317">
        <w:rPr>
          <w:rFonts w:cs="Arial" w:hint="cs"/>
          <w:b/>
          <w:bCs/>
          <w:rtl/>
        </w:rPr>
        <w:t>לב</w:t>
      </w:r>
      <w:r w:rsidR="0028644A">
        <w:rPr>
          <w:rStyle w:val="ab"/>
          <w:rFonts w:cs="Arial"/>
          <w:b/>
          <w:bCs/>
          <w:rtl/>
        </w:rPr>
        <w:footnoteReference w:id="251"/>
      </w:r>
      <w:r w:rsidRPr="00120317">
        <w:rPr>
          <w:rFonts w:cs="Arial" w:hint="cs"/>
          <w:b/>
          <w:bCs/>
          <w:rtl/>
        </w:rPr>
        <w:t xml:space="preserve"> ע"א: </w:t>
      </w:r>
      <w:r w:rsidRPr="00120317">
        <w:rPr>
          <w:rFonts w:cs="Arial"/>
          <w:u w:val="double"/>
          <w:rtl/>
        </w:rPr>
        <w:t>משנה</w:t>
      </w:r>
      <w:r w:rsidRPr="00120317">
        <w:rPr>
          <w:rFonts w:cs="Arial" w:hint="cs"/>
          <w:rtl/>
        </w:rPr>
        <w:t>:</w:t>
      </w:r>
      <w:r w:rsidRPr="00120317">
        <w:rPr>
          <w:rFonts w:cs="Arial"/>
          <w:rtl/>
        </w:rPr>
        <w:t xml:space="preserve"> אחד דיני ממונות ואחד דיני נפשות בדרישה ובחקירה, שנאמר משפט אחד יהיה לכם. מה בין דיני ממונות לדיני נפשות?</w:t>
      </w:r>
      <w:r w:rsidRPr="00120317">
        <w:rPr>
          <w:rFonts w:cs="Arial" w:hint="cs"/>
          <w:rtl/>
        </w:rPr>
        <w:t>..</w:t>
      </w:r>
      <w:r w:rsidRPr="00120317">
        <w:rPr>
          <w:rFonts w:cs="Arial"/>
          <w:rtl/>
        </w:rPr>
        <w:t>. דיני ממונות דנין ביום וגומרין בלילה, דיני נפשות - דנין ביום וגומרין ביום. דיני ממונות - גומרין בו ביום, בין לזכות בין לחובה. דיני נפשות - גומרין בו ביום לזכות, וביום שלאחריו לחובה.</w:t>
      </w:r>
      <w:r w:rsidRPr="00120317">
        <w:rPr>
          <w:rFonts w:cs="Arial" w:hint="cs"/>
          <w:rtl/>
        </w:rPr>
        <w:t>..</w:t>
      </w:r>
      <w:r>
        <w:rPr>
          <w:rFonts w:hint="cs"/>
          <w:rtl/>
        </w:rPr>
        <w:t xml:space="preserve">    </w:t>
      </w:r>
      <w:r w:rsidRPr="00120317">
        <w:rPr>
          <w:rFonts w:hint="cs"/>
          <w:u w:val="double"/>
          <w:rtl/>
        </w:rPr>
        <w:t>גמרא</w:t>
      </w:r>
      <w:r w:rsidRPr="00120317">
        <w:rPr>
          <w:rFonts w:hint="cs"/>
          <w:sz w:val="16"/>
          <w:szCs w:val="16"/>
          <w:u w:val="double"/>
          <w:rtl/>
        </w:rPr>
        <w:t xml:space="preserve"> </w:t>
      </w:r>
      <w:r w:rsidRPr="00063652">
        <w:rPr>
          <w:rFonts w:hint="cs"/>
          <w:sz w:val="14"/>
          <w:szCs w:val="14"/>
          <w:u w:val="double"/>
          <w:rtl/>
        </w:rPr>
        <w:t>(לד:)</w:t>
      </w:r>
      <w:r w:rsidRPr="00120317">
        <w:rPr>
          <w:rFonts w:hint="cs"/>
          <w:u w:val="double"/>
          <w:rtl/>
        </w:rPr>
        <w:t>:</w:t>
      </w:r>
      <w:r w:rsidRPr="00120317">
        <w:rPr>
          <w:rtl/>
        </w:rPr>
        <w:t xml:space="preserve"> </w:t>
      </w:r>
      <w:r w:rsidRPr="00134C16">
        <w:rPr>
          <w:rFonts w:cs="Arial"/>
          <w:rtl/>
        </w:rPr>
        <w:t xml:space="preserve">דיני ממונות דנין ביום וכו'. מנהני מילי? </w:t>
      </w:r>
      <w:r w:rsidRPr="00134C16">
        <w:rPr>
          <w:rFonts w:cs="Arial"/>
          <w:u w:val="single"/>
          <w:rtl/>
        </w:rPr>
        <w:t>אמר רבי חייא בר פפא</w:t>
      </w:r>
      <w:r w:rsidRPr="00134C16">
        <w:rPr>
          <w:rFonts w:cs="Arial" w:hint="cs"/>
          <w:u w:val="single"/>
          <w:rtl/>
        </w:rPr>
        <w:t>:</w:t>
      </w:r>
      <w:r w:rsidRPr="00134C16">
        <w:rPr>
          <w:rFonts w:cs="Arial"/>
          <w:rtl/>
        </w:rPr>
        <w:t xml:space="preserve"> דאמר קרא ושפטו את העם בכל עת. אי הכי, תחלת דין נמי! כדרבא, דרבא רמי: כתיב ושפטו את העם בכל עת וכתיב והיה ביום הנחילו</w:t>
      </w:r>
      <w:r>
        <w:rPr>
          <w:rStyle w:val="ab"/>
          <w:rFonts w:cs="Arial"/>
          <w:rtl/>
        </w:rPr>
        <w:footnoteReference w:id="252"/>
      </w:r>
      <w:r w:rsidRPr="00134C16">
        <w:rPr>
          <w:rFonts w:cs="Arial"/>
          <w:rtl/>
        </w:rPr>
        <w:t xml:space="preserve"> את בניו, הא כיצד? יום - לתחלת דין, לילה - לגמר דין</w:t>
      </w:r>
      <w:r>
        <w:rPr>
          <w:rStyle w:val="ab"/>
          <w:rFonts w:cs="Arial"/>
          <w:rtl/>
        </w:rPr>
        <w:footnoteReference w:id="253"/>
      </w:r>
      <w:r w:rsidRPr="00134C16">
        <w:rPr>
          <w:rFonts w:cs="Arial"/>
          <w:rtl/>
        </w:rPr>
        <w:t>.</w:t>
      </w:r>
      <w:r>
        <w:rPr>
          <w:rFonts w:cs="Arial" w:hint="cs"/>
          <w:rtl/>
        </w:rPr>
        <w:t>..</w:t>
      </w:r>
    </w:p>
    <w:p w14:paraId="197B28D3" w14:textId="77777777" w:rsidR="004A326E" w:rsidRPr="00EE1B1B" w:rsidRDefault="004A326E" w:rsidP="004A326E">
      <w:pPr>
        <w:rPr>
          <w:rFonts w:cs="Arial"/>
          <w:u w:val="single"/>
          <w:rtl/>
        </w:rPr>
      </w:pPr>
      <w:r w:rsidRPr="00EE1B1B">
        <w:rPr>
          <w:rFonts w:cs="Arial" w:hint="cs"/>
          <w:u w:val="single"/>
          <w:rtl/>
        </w:rPr>
        <w:t>דין בלילה:</w:t>
      </w:r>
    </w:p>
    <w:p w14:paraId="24D9E525" w14:textId="77777777" w:rsidR="004A326E" w:rsidRDefault="004A326E" w:rsidP="004B0475">
      <w:pPr>
        <w:pStyle w:val="ac"/>
        <w:numPr>
          <w:ilvl w:val="0"/>
          <w:numId w:val="52"/>
        </w:numPr>
      </w:pPr>
      <w:r w:rsidRPr="00EE1B1B">
        <w:rPr>
          <w:rFonts w:cs="Arial" w:hint="cs"/>
          <w:rtl/>
        </w:rPr>
        <w:t xml:space="preserve">טור- </w:t>
      </w:r>
      <w:r w:rsidRPr="00EE1B1B">
        <w:rPr>
          <w:rFonts w:cs="Arial"/>
          <w:rtl/>
        </w:rPr>
        <w:t>אין דנין בלילה</w:t>
      </w:r>
      <w:r w:rsidR="0028644A">
        <w:rPr>
          <w:rFonts w:cs="Arial" w:hint="cs"/>
          <w:rtl/>
        </w:rPr>
        <w:t>.</w:t>
      </w:r>
      <w:r w:rsidRPr="00EE1B1B">
        <w:rPr>
          <w:rFonts w:cs="Arial"/>
          <w:rtl/>
        </w:rPr>
        <w:t xml:space="preserve"> בד"א בתחילת דין</w:t>
      </w:r>
      <w:r w:rsidR="0028644A">
        <w:rPr>
          <w:rFonts w:cs="Arial" w:hint="cs"/>
          <w:rtl/>
        </w:rPr>
        <w:t>,</w:t>
      </w:r>
      <w:r w:rsidRPr="00EE1B1B">
        <w:rPr>
          <w:rFonts w:cs="Arial"/>
          <w:rtl/>
        </w:rPr>
        <w:t xml:space="preserve"> אבל אם התחילו לדון ביום </w:t>
      </w:r>
      <w:r w:rsidR="0028644A">
        <w:rPr>
          <w:rFonts w:cs="Arial" w:hint="cs"/>
          <w:rtl/>
        </w:rPr>
        <w:t xml:space="preserve">- </w:t>
      </w:r>
      <w:r w:rsidRPr="00EE1B1B">
        <w:rPr>
          <w:rFonts w:cs="Arial"/>
          <w:rtl/>
        </w:rPr>
        <w:t>גומרין בלילה</w:t>
      </w:r>
      <w:r>
        <w:rPr>
          <w:rStyle w:val="ab"/>
          <w:rFonts w:cs="Arial"/>
          <w:rtl/>
        </w:rPr>
        <w:footnoteReference w:id="254"/>
      </w:r>
      <w:r>
        <w:rPr>
          <w:rFonts w:cs="Arial" w:hint="cs"/>
          <w:rtl/>
        </w:rPr>
        <w:t xml:space="preserve">. </w:t>
      </w:r>
      <w:r w:rsidRPr="00C34587">
        <w:rPr>
          <w:rFonts w:cs="Arial" w:hint="cs"/>
          <w:color w:val="E36C0A" w:themeColor="accent6" w:themeShade="BF"/>
          <w:rtl/>
        </w:rPr>
        <w:t>(</w:t>
      </w:r>
      <w:r>
        <w:rPr>
          <w:rFonts w:cs="Arial" w:hint="cs"/>
          <w:color w:val="E36C0A" w:themeColor="accent6" w:themeShade="BF"/>
          <w:rtl/>
        </w:rPr>
        <w:t>ו</w:t>
      </w:r>
      <w:r w:rsidRPr="00C34587">
        <w:rPr>
          <w:rFonts w:cs="Arial" w:hint="cs"/>
          <w:color w:val="E36C0A" w:themeColor="accent6" w:themeShade="BF"/>
          <w:rtl/>
        </w:rPr>
        <w:t>כ"פ בשו"ע)</w:t>
      </w:r>
    </w:p>
    <w:p w14:paraId="563882A6" w14:textId="77777777" w:rsidR="004A326E" w:rsidRPr="00C60289" w:rsidRDefault="004A326E" w:rsidP="004A326E">
      <w:pPr>
        <w:ind w:left="360"/>
        <w:rPr>
          <w:sz w:val="16"/>
          <w:szCs w:val="16"/>
        </w:rPr>
      </w:pPr>
      <w:r w:rsidRPr="00C60289">
        <w:rPr>
          <w:rFonts w:hint="cs"/>
          <w:u w:val="dotted"/>
          <w:rtl/>
        </w:rPr>
        <w:t>ומה הדין אם נתרצו הצדדים</w:t>
      </w:r>
      <w:r>
        <w:rPr>
          <w:rFonts w:hint="cs"/>
          <w:u w:val="dotted"/>
          <w:rtl/>
        </w:rPr>
        <w:t xml:space="preserve"> </w:t>
      </w:r>
      <w:r w:rsidRPr="0044087C">
        <w:rPr>
          <w:rFonts w:hint="cs"/>
          <w:u w:val="dotted"/>
          <w:rtl/>
        </w:rPr>
        <w:t>ל</w:t>
      </w:r>
      <w:r w:rsidR="0044087C" w:rsidRPr="0044087C">
        <w:rPr>
          <w:rFonts w:hint="cs"/>
          <w:u w:val="dotted"/>
          <w:rtl/>
        </w:rPr>
        <w:t>התחיל</w:t>
      </w:r>
      <w:r w:rsidR="0044087C">
        <w:rPr>
          <w:rFonts w:hint="cs"/>
          <w:u w:val="dotted"/>
          <w:rtl/>
        </w:rPr>
        <w:t xml:space="preserve"> ל</w:t>
      </w:r>
      <w:r>
        <w:rPr>
          <w:rFonts w:hint="cs"/>
          <w:u w:val="dotted"/>
          <w:rtl/>
        </w:rPr>
        <w:t>דון בלילה</w:t>
      </w:r>
      <w:r w:rsidRPr="00C60289">
        <w:rPr>
          <w:rFonts w:hint="cs"/>
          <w:u w:val="dotted"/>
          <w:rtl/>
        </w:rPr>
        <w:t>:</w:t>
      </w:r>
      <w:r>
        <w:rPr>
          <w:rFonts w:hint="cs"/>
          <w:sz w:val="16"/>
          <w:szCs w:val="16"/>
          <w:rtl/>
        </w:rPr>
        <w:t xml:space="preserve">  (סמ"ע סק"ז)</w:t>
      </w:r>
    </w:p>
    <w:p w14:paraId="50F8FBB6" w14:textId="77777777" w:rsidR="004A326E" w:rsidRPr="004619D3" w:rsidRDefault="004A326E" w:rsidP="004B0475">
      <w:pPr>
        <w:pStyle w:val="ac"/>
        <w:numPr>
          <w:ilvl w:val="0"/>
          <w:numId w:val="52"/>
        </w:numPr>
      </w:pPr>
      <w:r w:rsidRPr="008B24FB">
        <w:rPr>
          <w:rFonts w:cs="Arial"/>
          <w:rtl/>
        </w:rPr>
        <w:t xml:space="preserve">מהר"ם </w:t>
      </w:r>
      <w:r w:rsidRPr="008B24FB">
        <w:rPr>
          <w:rFonts w:cs="Arial" w:hint="cs"/>
          <w:sz w:val="16"/>
          <w:szCs w:val="16"/>
          <w:rtl/>
        </w:rPr>
        <w:t xml:space="preserve">(ד"פ סי' </w:t>
      </w:r>
      <w:r w:rsidRPr="008B24FB">
        <w:rPr>
          <w:rFonts w:cs="Arial"/>
          <w:sz w:val="16"/>
          <w:szCs w:val="16"/>
          <w:rtl/>
        </w:rPr>
        <w:t>כט</w:t>
      </w:r>
      <w:r w:rsidRPr="008B24FB">
        <w:rPr>
          <w:rFonts w:cs="Arial" w:hint="cs"/>
          <w:sz w:val="16"/>
          <w:szCs w:val="16"/>
          <w:rtl/>
        </w:rPr>
        <w:t>)</w:t>
      </w:r>
      <w:r>
        <w:rPr>
          <w:rFonts w:cs="Arial" w:hint="cs"/>
          <w:rtl/>
        </w:rPr>
        <w:t>-</w:t>
      </w:r>
      <w:r w:rsidRPr="008B24FB">
        <w:rPr>
          <w:rFonts w:cs="Arial"/>
          <w:rtl/>
        </w:rPr>
        <w:t xml:space="preserve"> אם נתרצו שני הצדדים לדונם בלילה מותר לדונם, דלא גרע מקיבלו עליהם קרוב או פסול</w:t>
      </w:r>
      <w:r>
        <w:rPr>
          <w:rStyle w:val="ab"/>
          <w:rFonts w:cs="Arial"/>
          <w:rtl/>
        </w:rPr>
        <w:footnoteReference w:id="255"/>
      </w:r>
      <w:r>
        <w:rPr>
          <w:rFonts w:cs="Arial" w:hint="cs"/>
          <w:rtl/>
        </w:rPr>
        <w:t>.</w:t>
      </w:r>
      <w:r w:rsidRPr="008B24FB">
        <w:rPr>
          <w:rFonts w:cs="Arial"/>
          <w:rtl/>
        </w:rPr>
        <w:t xml:space="preserve"> </w:t>
      </w:r>
      <w:r>
        <w:rPr>
          <w:rFonts w:hint="cs"/>
          <w:rtl/>
        </w:rPr>
        <w:t xml:space="preserve">(וכ"כ סמ"ע </w:t>
      </w:r>
      <w:r>
        <w:rPr>
          <w:rFonts w:hint="cs"/>
          <w:sz w:val="16"/>
          <w:szCs w:val="16"/>
          <w:rtl/>
        </w:rPr>
        <w:t xml:space="preserve">[סק"ז] </w:t>
      </w:r>
      <w:r>
        <w:rPr>
          <w:rFonts w:hint="cs"/>
          <w:rtl/>
        </w:rPr>
        <w:t xml:space="preserve">ש"ך </w:t>
      </w:r>
      <w:r>
        <w:rPr>
          <w:rFonts w:hint="cs"/>
          <w:sz w:val="16"/>
          <w:szCs w:val="16"/>
          <w:rtl/>
        </w:rPr>
        <w:t xml:space="preserve">[סק"ד] </w:t>
      </w:r>
      <w:r>
        <w:rPr>
          <w:rFonts w:hint="cs"/>
          <w:rtl/>
        </w:rPr>
        <w:t xml:space="preserve">ואורים </w:t>
      </w:r>
      <w:r>
        <w:rPr>
          <w:rFonts w:hint="cs"/>
          <w:sz w:val="16"/>
          <w:szCs w:val="16"/>
          <w:rtl/>
        </w:rPr>
        <w:t>[סק"ח]</w:t>
      </w:r>
      <w:r>
        <w:rPr>
          <w:rFonts w:hint="cs"/>
          <w:rtl/>
        </w:rPr>
        <w:t>)</w:t>
      </w:r>
    </w:p>
    <w:p w14:paraId="7ADD540C" w14:textId="77777777" w:rsidR="004A326E" w:rsidRPr="00E67EFF" w:rsidRDefault="004A326E" w:rsidP="004A326E">
      <w:pPr>
        <w:rPr>
          <w:rFonts w:cs="Arial"/>
          <w:rtl/>
        </w:rPr>
      </w:pPr>
      <w:r w:rsidRPr="00E67EFF">
        <w:rPr>
          <w:rFonts w:cs="Arial" w:hint="cs"/>
          <w:b/>
          <w:bCs/>
          <w:rtl/>
        </w:rPr>
        <w:lastRenderedPageBreak/>
        <w:t xml:space="preserve">ירושלמי </w:t>
      </w:r>
      <w:r w:rsidRPr="00E67EFF">
        <w:rPr>
          <w:rFonts w:cs="Arial" w:hint="cs"/>
          <w:b/>
          <w:bCs/>
          <w:sz w:val="16"/>
          <w:szCs w:val="16"/>
          <w:rtl/>
        </w:rPr>
        <w:t xml:space="preserve">(וילנא) </w:t>
      </w:r>
      <w:r w:rsidRPr="00E67EFF">
        <w:rPr>
          <w:rFonts w:cs="Arial" w:hint="cs"/>
          <w:b/>
          <w:bCs/>
          <w:rtl/>
        </w:rPr>
        <w:t xml:space="preserve">סנהדרין פ"ד ה"ה: </w:t>
      </w:r>
      <w:r w:rsidRPr="00E67EFF">
        <w:rPr>
          <w:rFonts w:cs="Arial"/>
          <w:u w:val="double"/>
          <w:rtl/>
        </w:rPr>
        <w:t>מתני'</w:t>
      </w:r>
      <w:r w:rsidRPr="00E67EFF">
        <w:rPr>
          <w:rFonts w:cs="Arial" w:hint="cs"/>
          <w:u w:val="double"/>
          <w:rtl/>
        </w:rPr>
        <w:t>:</w:t>
      </w:r>
      <w:r w:rsidRPr="00E67EFF">
        <w:rPr>
          <w:rFonts w:cs="Arial"/>
          <w:rtl/>
        </w:rPr>
        <w:t xml:space="preserve"> דיני ממונות דנין ביום וגומרין בלילה ודיני נפשו</w:t>
      </w:r>
      <w:r w:rsidRPr="00E67EFF">
        <w:rPr>
          <w:rFonts w:cs="Arial" w:hint="cs"/>
          <w:rtl/>
        </w:rPr>
        <w:t>ת</w:t>
      </w:r>
      <w:r w:rsidRPr="00E67EFF">
        <w:rPr>
          <w:rFonts w:cs="Arial"/>
          <w:rtl/>
        </w:rPr>
        <w:t xml:space="preserve"> דנין ביום וגומרין ביום</w:t>
      </w:r>
      <w:r w:rsidRPr="00E67EFF">
        <w:rPr>
          <w:rFonts w:cs="Arial" w:hint="cs"/>
          <w:rtl/>
        </w:rPr>
        <w:t xml:space="preserve">.  </w:t>
      </w:r>
      <w:r w:rsidRPr="00E67EFF">
        <w:rPr>
          <w:rFonts w:cs="Arial"/>
          <w:u w:val="double"/>
          <w:rtl/>
        </w:rPr>
        <w:t>גמ'</w:t>
      </w:r>
      <w:r w:rsidRPr="00E67EFF">
        <w:rPr>
          <w:rFonts w:cs="Arial" w:hint="cs"/>
          <w:rtl/>
        </w:rPr>
        <w:t>:</w:t>
      </w:r>
      <w:r w:rsidRPr="00E67EFF">
        <w:rPr>
          <w:rFonts w:cs="Arial"/>
          <w:rtl/>
        </w:rPr>
        <w:t xml:space="preserve"> מנלן</w:t>
      </w:r>
      <w:r w:rsidRPr="00E67EFF">
        <w:rPr>
          <w:rFonts w:cs="Arial" w:hint="cs"/>
          <w:rtl/>
        </w:rPr>
        <w:t>,</w:t>
      </w:r>
      <w:r w:rsidRPr="00E67EFF">
        <w:rPr>
          <w:rFonts w:cs="Arial"/>
          <w:rtl/>
        </w:rPr>
        <w:t xml:space="preserve"> </w:t>
      </w:r>
      <w:r w:rsidRPr="00E67EFF">
        <w:rPr>
          <w:rFonts w:cs="Arial" w:hint="cs"/>
          <w:sz w:val="16"/>
          <w:szCs w:val="16"/>
          <w:rtl/>
        </w:rPr>
        <w:t>(</w:t>
      </w:r>
      <w:r w:rsidRPr="00E67EFF">
        <w:rPr>
          <w:rFonts w:cs="Arial"/>
          <w:sz w:val="16"/>
          <w:szCs w:val="16"/>
          <w:rtl/>
        </w:rPr>
        <w:t>שם יח כב</w:t>
      </w:r>
      <w:r w:rsidRPr="00E67EFF">
        <w:rPr>
          <w:rFonts w:cs="Arial" w:hint="cs"/>
          <w:sz w:val="16"/>
          <w:szCs w:val="16"/>
          <w:rtl/>
        </w:rPr>
        <w:t>)</w:t>
      </w:r>
      <w:r w:rsidRPr="00E67EFF">
        <w:rPr>
          <w:rFonts w:cs="Arial"/>
          <w:rtl/>
        </w:rPr>
        <w:t xml:space="preserve"> ושפטו את העם בכל עת. ואית קרי לשעבר</w:t>
      </w:r>
      <w:r w:rsidR="0044087C">
        <w:rPr>
          <w:rStyle w:val="ab"/>
          <w:rFonts w:cs="Arial"/>
          <w:rtl/>
        </w:rPr>
        <w:footnoteReference w:id="256"/>
      </w:r>
      <w:r w:rsidR="0044087C">
        <w:rPr>
          <w:rFonts w:cs="Arial" w:hint="cs"/>
          <w:rtl/>
        </w:rPr>
        <w:t>?</w:t>
      </w:r>
      <w:r w:rsidRPr="00E67EFF">
        <w:rPr>
          <w:rFonts w:cs="Arial"/>
          <w:rtl/>
        </w:rPr>
        <w:t xml:space="preserve"> </w:t>
      </w:r>
      <w:r w:rsidRPr="00E67EFF">
        <w:rPr>
          <w:rFonts w:cs="Arial"/>
          <w:u w:val="single"/>
          <w:rtl/>
        </w:rPr>
        <w:t>אמר רב שמואל בר רב יצחק</w:t>
      </w:r>
      <w:r w:rsidRPr="00E67EFF">
        <w:rPr>
          <w:rFonts w:cs="Arial"/>
          <w:rtl/>
        </w:rPr>
        <w:t xml:space="preserve"> כיני מתניתא</w:t>
      </w:r>
      <w:r>
        <w:rPr>
          <w:rStyle w:val="ab"/>
          <w:rFonts w:cs="Arial"/>
          <w:rtl/>
        </w:rPr>
        <w:footnoteReference w:id="257"/>
      </w:r>
      <w:r w:rsidRPr="00E67EFF">
        <w:rPr>
          <w:rFonts w:cs="Arial"/>
          <w:rtl/>
        </w:rPr>
        <w:t xml:space="preserve"> שאם טעו ודנו בלילה שדינם דין ת"ל ושפטו את העם בכל עת. אמר</w:t>
      </w:r>
      <w:r w:rsidRPr="00E67EFF">
        <w:rPr>
          <w:rFonts w:cs="Arial" w:hint="cs"/>
          <w:rtl/>
        </w:rPr>
        <w:t>:</w:t>
      </w:r>
      <w:r w:rsidRPr="00E67EFF">
        <w:rPr>
          <w:rFonts w:cs="Arial"/>
          <w:rtl/>
        </w:rPr>
        <w:t xml:space="preserve"> הא אמירה</w:t>
      </w:r>
      <w:r>
        <w:rPr>
          <w:rStyle w:val="ab"/>
          <w:rFonts w:cs="Arial"/>
          <w:rtl/>
        </w:rPr>
        <w:footnoteReference w:id="258"/>
      </w:r>
      <w:r w:rsidRPr="00E67EFF">
        <w:rPr>
          <w:rFonts w:cs="Arial" w:hint="cs"/>
          <w:rtl/>
        </w:rPr>
        <w:t>.</w:t>
      </w:r>
    </w:p>
    <w:p w14:paraId="17EE55E2" w14:textId="77777777" w:rsidR="004A326E" w:rsidRPr="00E67EFF" w:rsidRDefault="004A326E" w:rsidP="004A326E">
      <w:pPr>
        <w:rPr>
          <w:rFonts w:cs="Arial"/>
          <w:rtl/>
        </w:rPr>
      </w:pPr>
      <w:r w:rsidRPr="00E67EFF">
        <w:rPr>
          <w:rFonts w:cs="Arial" w:hint="cs"/>
          <w:b/>
          <w:bCs/>
          <w:rtl/>
        </w:rPr>
        <w:t xml:space="preserve">סנהדרין </w:t>
      </w:r>
      <w:r w:rsidRPr="00E67EFF">
        <w:rPr>
          <w:rFonts w:cs="Arial" w:hint="cs"/>
          <w:b/>
          <w:bCs/>
          <w:sz w:val="16"/>
          <w:szCs w:val="16"/>
          <w:rtl/>
        </w:rPr>
        <w:t xml:space="preserve">(פ"ק) </w:t>
      </w:r>
      <w:r w:rsidRPr="00E67EFF">
        <w:rPr>
          <w:rFonts w:cs="Arial" w:hint="cs"/>
          <w:b/>
          <w:bCs/>
          <w:rtl/>
        </w:rPr>
        <w:t xml:space="preserve">יא ע"ב: </w:t>
      </w:r>
      <w:r w:rsidRPr="00E67EFF">
        <w:rPr>
          <w:rFonts w:cs="Arial" w:hint="cs"/>
          <w:rtl/>
        </w:rPr>
        <w:t>תנו רבנן:</w:t>
      </w:r>
      <w:r w:rsidR="0044087C" w:rsidRPr="0044087C">
        <w:rPr>
          <w:rtl/>
        </w:rPr>
        <w:t xml:space="preserve"> </w:t>
      </w:r>
      <w:r w:rsidR="0044087C" w:rsidRPr="0044087C">
        <w:rPr>
          <w:rFonts w:cs="Arial"/>
          <w:rtl/>
        </w:rPr>
        <w:t>אין מעברין את השנה אלא ביום, ואם עיברוה בלילה - אינה מעוברת.</w:t>
      </w:r>
      <w:r w:rsidRPr="00E67EFF">
        <w:rPr>
          <w:rFonts w:cs="Arial" w:hint="cs"/>
          <w:rtl/>
        </w:rPr>
        <w:t xml:space="preserve"> </w:t>
      </w:r>
      <w:r w:rsidRPr="00E67EFF">
        <w:rPr>
          <w:rFonts w:cs="Arial"/>
          <w:rtl/>
        </w:rPr>
        <w:t>ואין מקדשין את החדש אלא ביום, ואם קידשוהו בלילה - אינו מקודש.</w:t>
      </w:r>
      <w:r w:rsidRPr="00E67EFF">
        <w:rPr>
          <w:rtl/>
        </w:rPr>
        <w:t xml:space="preserve"> </w:t>
      </w:r>
      <w:r w:rsidRPr="00E67EFF">
        <w:rPr>
          <w:rFonts w:cs="Arial"/>
          <w:u w:val="single"/>
          <w:rtl/>
        </w:rPr>
        <w:t>אמר רב אבא:</w:t>
      </w:r>
      <w:r w:rsidRPr="00E67EFF">
        <w:rPr>
          <w:rFonts w:cs="Arial"/>
          <w:rtl/>
        </w:rPr>
        <w:t xml:space="preserve"> מאי קרא - תקעו בחדש שופר בכסה ליום חגנו, איזהו חג שהחדש מתכסה בו - הוי אומר זה ראש השנה, וכתיב כי חק לישראל הוא משפט לאלהי יעקב, מה משפט ביום - אף קידוש החדש ביום.</w:t>
      </w:r>
    </w:p>
    <w:p w14:paraId="2D618CF4" w14:textId="77777777" w:rsidR="004A326E" w:rsidRPr="00E67EFF" w:rsidRDefault="001D614B" w:rsidP="004A326E">
      <w:pPr>
        <w:rPr>
          <w:u w:val="single"/>
        </w:rPr>
      </w:pPr>
      <w:r>
        <w:rPr>
          <w:rFonts w:hint="cs"/>
          <w:u w:val="single"/>
          <w:rtl/>
        </w:rPr>
        <w:t>דיינים</w:t>
      </w:r>
      <w:r w:rsidR="004A326E" w:rsidRPr="00E67EFF">
        <w:rPr>
          <w:rFonts w:hint="cs"/>
          <w:u w:val="single"/>
          <w:rtl/>
        </w:rPr>
        <w:t xml:space="preserve"> </w:t>
      </w:r>
      <w:r>
        <w:rPr>
          <w:rFonts w:hint="cs"/>
          <w:u w:val="single"/>
          <w:rtl/>
        </w:rPr>
        <w:t>ש</w:t>
      </w:r>
      <w:r w:rsidR="004A326E" w:rsidRPr="00E67EFF">
        <w:rPr>
          <w:rFonts w:hint="cs"/>
          <w:u w:val="single"/>
          <w:rtl/>
        </w:rPr>
        <w:t xml:space="preserve">דנו </w:t>
      </w:r>
      <w:r w:rsidR="004A326E">
        <w:rPr>
          <w:rFonts w:hint="cs"/>
          <w:sz w:val="16"/>
          <w:szCs w:val="16"/>
          <w:u w:val="single"/>
          <w:rtl/>
        </w:rPr>
        <w:t xml:space="preserve">(או קבלו עדות) </w:t>
      </w:r>
      <w:r w:rsidR="004A326E" w:rsidRPr="00E67EFF">
        <w:rPr>
          <w:rFonts w:hint="cs"/>
          <w:u w:val="single"/>
          <w:rtl/>
        </w:rPr>
        <w:t>בלילה:</w:t>
      </w:r>
    </w:p>
    <w:p w14:paraId="12693BEB" w14:textId="77777777" w:rsidR="004A326E" w:rsidRPr="004619D3" w:rsidRDefault="004A326E" w:rsidP="004B0475">
      <w:pPr>
        <w:pStyle w:val="ac"/>
        <w:numPr>
          <w:ilvl w:val="0"/>
          <w:numId w:val="52"/>
        </w:numPr>
      </w:pPr>
      <w:r w:rsidRPr="004619D3">
        <w:rPr>
          <w:rFonts w:cs="Arial"/>
          <w:rtl/>
        </w:rPr>
        <w:t xml:space="preserve">רשב"ם </w:t>
      </w:r>
      <w:r w:rsidRPr="00E67EFF">
        <w:rPr>
          <w:rFonts w:cs="Arial"/>
          <w:sz w:val="16"/>
          <w:szCs w:val="16"/>
          <w:rtl/>
        </w:rPr>
        <w:t>(קיד. ד"ה אפילו)</w:t>
      </w:r>
      <w:r w:rsidR="001D614B">
        <w:rPr>
          <w:rFonts w:cs="Arial" w:hint="cs"/>
          <w:rtl/>
        </w:rPr>
        <w:t xml:space="preserve">- </w:t>
      </w:r>
      <w:r w:rsidRPr="004619D3">
        <w:rPr>
          <w:rFonts w:cs="Arial"/>
          <w:rtl/>
        </w:rPr>
        <w:t xml:space="preserve">אם קבלו עדות בלילה </w:t>
      </w:r>
      <w:r w:rsidR="001D614B">
        <w:rPr>
          <w:rFonts w:cs="Arial" w:hint="cs"/>
          <w:rtl/>
        </w:rPr>
        <w:t xml:space="preserve">- </w:t>
      </w:r>
      <w:r w:rsidRPr="004619D3">
        <w:rPr>
          <w:rFonts w:cs="Arial"/>
          <w:rtl/>
        </w:rPr>
        <w:t>יש לדון אותו על פי אותה הקבלה</w:t>
      </w:r>
      <w:r w:rsidR="001D614B">
        <w:rPr>
          <w:rFonts w:cs="Arial" w:hint="cs"/>
          <w:rtl/>
        </w:rPr>
        <w:t>.</w:t>
      </w:r>
      <w:r w:rsidRPr="004619D3">
        <w:rPr>
          <w:rFonts w:cs="Arial"/>
          <w:rtl/>
        </w:rPr>
        <w:t xml:space="preserve"> והכי נמי איתא בירושלמי </w:t>
      </w:r>
      <w:r w:rsidRPr="00E67EFF">
        <w:rPr>
          <w:rFonts w:cs="Arial"/>
          <w:sz w:val="16"/>
          <w:szCs w:val="16"/>
          <w:rtl/>
        </w:rPr>
        <w:t xml:space="preserve">(סנהדרין פ"ד ה"ה) </w:t>
      </w:r>
      <w:r w:rsidRPr="004619D3">
        <w:rPr>
          <w:rFonts w:cs="Arial"/>
          <w:rtl/>
        </w:rPr>
        <w:t>אם טעו ודנו בלילה דיניהם דין</w:t>
      </w:r>
      <w:r w:rsidR="001D614B">
        <w:rPr>
          <w:rFonts w:cs="Arial" w:hint="cs"/>
          <w:sz w:val="16"/>
          <w:szCs w:val="16"/>
          <w:rtl/>
        </w:rPr>
        <w:t xml:space="preserve"> (ל' הרא"ש בשם הרשב"ם)</w:t>
      </w:r>
      <w:r w:rsidRPr="004619D3">
        <w:rPr>
          <w:rFonts w:cs="Arial"/>
          <w:rtl/>
        </w:rPr>
        <w:t xml:space="preserve">. </w:t>
      </w:r>
      <w:r w:rsidRPr="00C1768C">
        <w:rPr>
          <w:rFonts w:cs="Arial" w:hint="cs"/>
          <w:color w:val="00B0F0"/>
          <w:rtl/>
        </w:rPr>
        <w:t>(וכ"</w:t>
      </w:r>
      <w:r w:rsidR="00F32A46">
        <w:rPr>
          <w:rFonts w:cs="Arial" w:hint="cs"/>
          <w:color w:val="00B0F0"/>
          <w:rtl/>
        </w:rPr>
        <w:t>כ</w:t>
      </w:r>
      <w:r w:rsidRPr="00C1768C">
        <w:rPr>
          <w:rFonts w:cs="Arial" w:hint="cs"/>
          <w:color w:val="00B0F0"/>
          <w:rtl/>
        </w:rPr>
        <w:t xml:space="preserve"> הרמ"א)</w:t>
      </w:r>
      <w:r>
        <w:rPr>
          <w:rFonts w:hint="cs"/>
          <w:rtl/>
        </w:rPr>
        <w:t xml:space="preserve"> (וכ"פ הב"ח)</w:t>
      </w:r>
    </w:p>
    <w:p w14:paraId="6A2C6097" w14:textId="77777777" w:rsidR="004A326E" w:rsidRPr="004619D3" w:rsidRDefault="004A326E" w:rsidP="004B0475">
      <w:pPr>
        <w:pStyle w:val="ac"/>
        <w:numPr>
          <w:ilvl w:val="0"/>
          <w:numId w:val="52"/>
        </w:numPr>
        <w:rPr>
          <w:rtl/>
        </w:rPr>
      </w:pPr>
      <w:r w:rsidRPr="004619D3">
        <w:rPr>
          <w:rFonts w:cs="Arial"/>
          <w:rtl/>
        </w:rPr>
        <w:t xml:space="preserve">רמב"ן </w:t>
      </w:r>
      <w:r w:rsidRPr="00E67EFF">
        <w:rPr>
          <w:rFonts w:cs="Arial"/>
          <w:sz w:val="16"/>
          <w:szCs w:val="16"/>
          <w:rtl/>
        </w:rPr>
        <w:t>(קיג: ד"ה רצו וד"ה ואימא)</w:t>
      </w:r>
      <w:r>
        <w:rPr>
          <w:rFonts w:cs="Arial" w:hint="cs"/>
          <w:rtl/>
        </w:rPr>
        <w:t xml:space="preserve"> טור</w:t>
      </w:r>
      <w:r>
        <w:rPr>
          <w:rFonts w:cs="Arial" w:hint="cs"/>
          <w:sz w:val="16"/>
          <w:szCs w:val="16"/>
          <w:rtl/>
        </w:rPr>
        <w:t xml:space="preserve"> (סי' רנג סע' א)</w:t>
      </w:r>
      <w:r w:rsidRPr="00981A45">
        <w:rPr>
          <w:rFonts w:cs="Arial"/>
          <w:rtl/>
        </w:rPr>
        <w:t xml:space="preserve"> </w:t>
      </w:r>
      <w:r>
        <w:rPr>
          <w:rFonts w:cs="Arial" w:hint="cs"/>
          <w:rtl/>
        </w:rPr>
        <w:t>ו</w:t>
      </w:r>
      <w:r w:rsidRPr="004619D3">
        <w:rPr>
          <w:rFonts w:cs="Arial"/>
          <w:rtl/>
        </w:rPr>
        <w:t xml:space="preserve">ר"ן </w:t>
      </w:r>
      <w:r w:rsidRPr="00981A45">
        <w:rPr>
          <w:rFonts w:cs="Arial"/>
          <w:sz w:val="16"/>
          <w:szCs w:val="16"/>
          <w:rtl/>
        </w:rPr>
        <w:t>(חי' קיד. ד"ה אבל)</w:t>
      </w:r>
      <w:r>
        <w:rPr>
          <w:rFonts w:cs="Arial" w:hint="cs"/>
          <w:rtl/>
        </w:rPr>
        <w:t>- אינו כלום</w:t>
      </w:r>
      <w:r>
        <w:rPr>
          <w:rStyle w:val="ab"/>
          <w:rFonts w:cs="Arial"/>
          <w:rtl/>
        </w:rPr>
        <w:footnoteReference w:id="259"/>
      </w:r>
      <w:r>
        <w:rPr>
          <w:rFonts w:cs="Arial" w:hint="cs"/>
          <w:rtl/>
        </w:rPr>
        <w:t>.</w:t>
      </w:r>
      <w:r w:rsidRPr="00C1768C">
        <w:rPr>
          <w:rFonts w:cs="Arial"/>
          <w:rtl/>
        </w:rPr>
        <w:t xml:space="preserve"> </w:t>
      </w:r>
      <w:r>
        <w:rPr>
          <w:rFonts w:cs="Arial" w:hint="cs"/>
          <w:rtl/>
        </w:rPr>
        <w:t>(וכ"פ הש"ך</w:t>
      </w:r>
      <w:r>
        <w:rPr>
          <w:rFonts w:cs="Arial" w:hint="cs"/>
          <w:sz w:val="16"/>
          <w:szCs w:val="16"/>
          <w:rtl/>
        </w:rPr>
        <w:t xml:space="preserve"> [סק"ה]</w:t>
      </w:r>
      <w:r>
        <w:rPr>
          <w:rFonts w:cs="Arial" w:hint="cs"/>
          <w:rtl/>
        </w:rPr>
        <w:t>)</w:t>
      </w:r>
    </w:p>
    <w:p w14:paraId="43825FDD" w14:textId="77777777" w:rsidR="004A326E" w:rsidRPr="003024E5" w:rsidRDefault="004A326E" w:rsidP="004A326E">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7BA48769" w14:textId="77777777" w:rsidR="004A326E" w:rsidRDefault="004A326E" w:rsidP="004A326E">
      <w:pPr>
        <w:rPr>
          <w:rtl/>
        </w:rPr>
      </w:pPr>
      <w:r>
        <w:rPr>
          <w:rFonts w:cs="Arial"/>
          <w:rtl/>
        </w:rPr>
        <w:t>אין דנין</w:t>
      </w:r>
      <w:r w:rsidR="00DA06AC">
        <w:rPr>
          <w:rStyle w:val="ab"/>
          <w:rFonts w:cs="Arial"/>
          <w:rtl/>
        </w:rPr>
        <w:footnoteReference w:id="260"/>
      </w:r>
      <w:r>
        <w:rPr>
          <w:rFonts w:cs="Arial"/>
          <w:rtl/>
        </w:rPr>
        <w:t xml:space="preserve"> בע</w:t>
      </w:r>
      <w:r>
        <w:rPr>
          <w:rFonts w:cs="Arial" w:hint="cs"/>
          <w:rtl/>
        </w:rPr>
        <w:t>רב שבת</w:t>
      </w:r>
      <w:r>
        <w:rPr>
          <w:rFonts w:cs="Arial"/>
          <w:rtl/>
        </w:rPr>
        <w:t xml:space="preserve"> ובע</w:t>
      </w:r>
      <w:r>
        <w:rPr>
          <w:rFonts w:cs="Arial" w:hint="cs"/>
          <w:rtl/>
        </w:rPr>
        <w:t xml:space="preserve">רב </w:t>
      </w:r>
      <w:r>
        <w:rPr>
          <w:rFonts w:cs="Arial"/>
          <w:rtl/>
        </w:rPr>
        <w:t>י</w:t>
      </w:r>
      <w:r>
        <w:rPr>
          <w:rFonts w:cs="Arial" w:hint="cs"/>
          <w:rtl/>
        </w:rPr>
        <w:t xml:space="preserve">ום </w:t>
      </w:r>
      <w:r>
        <w:rPr>
          <w:rFonts w:cs="Arial"/>
          <w:rtl/>
        </w:rPr>
        <w:t>ט</w:t>
      </w:r>
      <w:r>
        <w:rPr>
          <w:rFonts w:cs="Arial" w:hint="cs"/>
          <w:rtl/>
        </w:rPr>
        <w:t>וב</w:t>
      </w:r>
      <w:r>
        <w:rPr>
          <w:rStyle w:val="ab"/>
          <w:rFonts w:cs="Arial"/>
          <w:rtl/>
        </w:rPr>
        <w:footnoteReference w:id="261"/>
      </w:r>
      <w:r w:rsidR="00717989">
        <w:rPr>
          <w:rFonts w:cs="Arial" w:hint="cs"/>
          <w:rtl/>
        </w:rPr>
        <w:t>.</w:t>
      </w:r>
      <w:r>
        <w:rPr>
          <w:rFonts w:cs="Arial"/>
          <w:rtl/>
        </w:rPr>
        <w:t xml:space="preserve"> ואם הזמינו לבעל דין לבא לב</w:t>
      </w:r>
      <w:r>
        <w:rPr>
          <w:rFonts w:cs="Arial" w:hint="cs"/>
          <w:rtl/>
        </w:rPr>
        <w:t xml:space="preserve">ית </w:t>
      </w:r>
      <w:r>
        <w:rPr>
          <w:rFonts w:cs="Arial"/>
          <w:rtl/>
        </w:rPr>
        <w:t>ד</w:t>
      </w:r>
      <w:r>
        <w:rPr>
          <w:rFonts w:cs="Arial" w:hint="cs"/>
          <w:rtl/>
        </w:rPr>
        <w:t>ין,</w:t>
      </w:r>
      <w:r>
        <w:rPr>
          <w:rFonts w:cs="Arial"/>
          <w:rtl/>
        </w:rPr>
        <w:t xml:space="preserve"> א</w:t>
      </w:r>
      <w:r>
        <w:rPr>
          <w:rFonts w:cs="Arial" w:hint="cs"/>
          <w:rtl/>
        </w:rPr>
        <w:t xml:space="preserve">ין </w:t>
      </w:r>
      <w:r>
        <w:rPr>
          <w:rFonts w:cs="Arial"/>
          <w:rtl/>
        </w:rPr>
        <w:t>צ</w:t>
      </w:r>
      <w:r>
        <w:rPr>
          <w:rFonts w:cs="Arial" w:hint="cs"/>
          <w:rtl/>
        </w:rPr>
        <w:t>ריך</w:t>
      </w:r>
      <w:r>
        <w:rPr>
          <w:rFonts w:cs="Arial"/>
          <w:rtl/>
        </w:rPr>
        <w:t xml:space="preserve"> לבא. ואפילו הזמינו לבא אחר שבת וי</w:t>
      </w:r>
      <w:r>
        <w:rPr>
          <w:rFonts w:cs="Arial" w:hint="cs"/>
          <w:rtl/>
        </w:rPr>
        <w:t xml:space="preserve">ום </w:t>
      </w:r>
      <w:r>
        <w:rPr>
          <w:rFonts w:cs="Arial"/>
          <w:rtl/>
        </w:rPr>
        <w:t>ט</w:t>
      </w:r>
      <w:r>
        <w:rPr>
          <w:rFonts w:cs="Arial" w:hint="cs"/>
          <w:rtl/>
        </w:rPr>
        <w:t>וב</w:t>
      </w:r>
      <w:r>
        <w:rPr>
          <w:rFonts w:cs="Arial"/>
          <w:rtl/>
        </w:rPr>
        <w:t xml:space="preserve"> ולא בא, אין קונסין אותו</w:t>
      </w:r>
      <w:r>
        <w:rPr>
          <w:rStyle w:val="ab"/>
          <w:rFonts w:cs="Arial"/>
          <w:rtl/>
        </w:rPr>
        <w:footnoteReference w:id="262"/>
      </w:r>
      <w:r>
        <w:rPr>
          <w:rFonts w:cs="Arial"/>
          <w:rtl/>
        </w:rPr>
        <w:t xml:space="preserve">. </w:t>
      </w:r>
      <w:r w:rsidRPr="00AE06AA">
        <w:rPr>
          <w:rFonts w:cs="Arial"/>
          <w:sz w:val="18"/>
          <w:szCs w:val="18"/>
          <w:rtl/>
        </w:rPr>
        <w:t>הגה: ויש מי שכתב דעכשיו בזמן הזה דנין בע</w:t>
      </w:r>
      <w:r>
        <w:rPr>
          <w:rFonts w:cs="Arial" w:hint="cs"/>
          <w:sz w:val="18"/>
          <w:szCs w:val="18"/>
          <w:rtl/>
        </w:rPr>
        <w:t>ר</w:t>
      </w:r>
      <w:r w:rsidRPr="00AE06AA">
        <w:rPr>
          <w:rFonts w:cs="Arial"/>
          <w:sz w:val="18"/>
          <w:szCs w:val="18"/>
          <w:rtl/>
        </w:rPr>
        <w:t>"ש ובעי</w:t>
      </w:r>
      <w:r>
        <w:rPr>
          <w:rFonts w:cs="Arial" w:hint="cs"/>
          <w:sz w:val="18"/>
          <w:szCs w:val="18"/>
          <w:rtl/>
        </w:rPr>
        <w:t>ו</w:t>
      </w:r>
      <w:r w:rsidRPr="00AE06AA">
        <w:rPr>
          <w:rFonts w:cs="Arial"/>
          <w:sz w:val="18"/>
          <w:szCs w:val="18"/>
          <w:rtl/>
        </w:rPr>
        <w:t>"ט משום בטול מלמדים</w:t>
      </w:r>
      <w:r w:rsidR="00173A46">
        <w:rPr>
          <w:rFonts w:cs="Arial" w:hint="cs"/>
          <w:sz w:val="18"/>
          <w:szCs w:val="18"/>
          <w:rtl/>
        </w:rPr>
        <w:t xml:space="preserve"> </w:t>
      </w:r>
      <w:r w:rsidR="00173A46" w:rsidRPr="00AE06AA">
        <w:rPr>
          <w:rFonts w:cs="Arial"/>
          <w:sz w:val="18"/>
          <w:szCs w:val="18"/>
          <w:rtl/>
        </w:rPr>
        <w:t>(סמ"ק</w:t>
      </w:r>
      <w:r w:rsidR="00173A46">
        <w:rPr>
          <w:rFonts w:cs="Arial" w:hint="cs"/>
          <w:sz w:val="18"/>
          <w:szCs w:val="18"/>
          <w:rtl/>
        </w:rPr>
        <w:t>)</w:t>
      </w:r>
      <w:r w:rsidR="00E80101">
        <w:rPr>
          <w:rFonts w:cs="Arial" w:hint="cs"/>
          <w:sz w:val="18"/>
          <w:szCs w:val="18"/>
          <w:rtl/>
        </w:rPr>
        <w:t>.</w:t>
      </w:r>
      <w:r w:rsidRPr="00AE06AA">
        <w:rPr>
          <w:rFonts w:cs="Arial"/>
          <w:sz w:val="18"/>
          <w:szCs w:val="18"/>
          <w:rtl/>
        </w:rPr>
        <w:t xml:space="preserve"> ודוקא לענין ממון יש להקל, דהפקר בית דין הפקר</w:t>
      </w:r>
      <w:r>
        <w:rPr>
          <w:rFonts w:cs="Arial" w:hint="cs"/>
          <w:sz w:val="18"/>
          <w:szCs w:val="18"/>
          <w:rtl/>
        </w:rPr>
        <w:t>,</w:t>
      </w:r>
      <w:r w:rsidRPr="00AE06AA">
        <w:rPr>
          <w:rFonts w:cs="Arial"/>
          <w:sz w:val="18"/>
          <w:szCs w:val="18"/>
          <w:rtl/>
        </w:rPr>
        <w:t xml:space="preserve"> אבל בדבר איסור אין להקל </w:t>
      </w:r>
      <w:r w:rsidR="00173A46">
        <w:rPr>
          <w:rFonts w:cs="Arial" w:hint="cs"/>
          <w:sz w:val="18"/>
          <w:szCs w:val="18"/>
          <w:rtl/>
        </w:rPr>
        <w:t>(</w:t>
      </w:r>
      <w:r w:rsidRPr="00AE06AA">
        <w:rPr>
          <w:rFonts w:cs="Arial"/>
          <w:sz w:val="18"/>
          <w:szCs w:val="18"/>
          <w:rtl/>
        </w:rPr>
        <w:t>ת</w:t>
      </w:r>
      <w:r>
        <w:rPr>
          <w:rFonts w:cs="Arial" w:hint="cs"/>
          <w:sz w:val="18"/>
          <w:szCs w:val="18"/>
          <w:rtl/>
        </w:rPr>
        <w:t>רו</w:t>
      </w:r>
      <w:r w:rsidRPr="00AE06AA">
        <w:rPr>
          <w:rFonts w:cs="Arial"/>
          <w:sz w:val="18"/>
          <w:szCs w:val="18"/>
          <w:rtl/>
        </w:rPr>
        <w:t>ה</w:t>
      </w:r>
      <w:r>
        <w:rPr>
          <w:rFonts w:cs="Arial" w:hint="cs"/>
          <w:sz w:val="18"/>
          <w:szCs w:val="18"/>
          <w:rtl/>
        </w:rPr>
        <w:t>"ד</w:t>
      </w:r>
      <w:r w:rsidRPr="00AE06AA">
        <w:rPr>
          <w:rFonts w:cs="Arial"/>
          <w:sz w:val="18"/>
          <w:szCs w:val="18"/>
          <w:rtl/>
        </w:rPr>
        <w:t>). ונ"ל דווקא דרך אקראי לפעמים, אבל אין קובעים בית דין בע</w:t>
      </w:r>
      <w:r>
        <w:rPr>
          <w:rFonts w:cs="Arial" w:hint="cs"/>
          <w:sz w:val="18"/>
          <w:szCs w:val="18"/>
          <w:rtl/>
        </w:rPr>
        <w:t>ר</w:t>
      </w:r>
      <w:r w:rsidRPr="00AE06AA">
        <w:rPr>
          <w:rFonts w:cs="Arial"/>
          <w:sz w:val="18"/>
          <w:szCs w:val="18"/>
          <w:rtl/>
        </w:rPr>
        <w:t>"ש ועי</w:t>
      </w:r>
      <w:r>
        <w:rPr>
          <w:rFonts w:cs="Arial" w:hint="cs"/>
          <w:sz w:val="18"/>
          <w:szCs w:val="18"/>
          <w:rtl/>
        </w:rPr>
        <w:t>ו</w:t>
      </w:r>
      <w:r w:rsidRPr="00AE06AA">
        <w:rPr>
          <w:rFonts w:cs="Arial"/>
          <w:sz w:val="18"/>
          <w:szCs w:val="18"/>
          <w:rtl/>
        </w:rPr>
        <w:t>"ט</w:t>
      </w:r>
      <w:r w:rsidR="00E80101">
        <w:rPr>
          <w:rFonts w:cs="Arial" w:hint="cs"/>
          <w:sz w:val="18"/>
          <w:szCs w:val="18"/>
          <w:rtl/>
        </w:rPr>
        <w:t>.</w:t>
      </w:r>
      <w:r w:rsidRPr="00AE06AA">
        <w:rPr>
          <w:rFonts w:cs="Arial"/>
          <w:sz w:val="18"/>
          <w:szCs w:val="18"/>
          <w:rtl/>
        </w:rPr>
        <w:t xml:space="preserve"> וכן נוהגין.</w:t>
      </w:r>
      <w:r>
        <w:rPr>
          <w:rFonts w:cs="Arial"/>
          <w:rtl/>
        </w:rPr>
        <w:t xml:space="preserve"> אין קובעין זמן בניסן ותשרי</w:t>
      </w:r>
      <w:r>
        <w:rPr>
          <w:rStyle w:val="ab"/>
          <w:rFonts w:cs="Arial"/>
          <w:rtl/>
        </w:rPr>
        <w:footnoteReference w:id="263"/>
      </w:r>
      <w:r>
        <w:rPr>
          <w:rFonts w:cs="Arial"/>
          <w:rtl/>
        </w:rPr>
        <w:t>, למי שאינו בעיר</w:t>
      </w:r>
      <w:r>
        <w:rPr>
          <w:rStyle w:val="ab"/>
          <w:rFonts w:cs="Arial"/>
          <w:rtl/>
        </w:rPr>
        <w:footnoteReference w:id="264"/>
      </w:r>
      <w:r>
        <w:rPr>
          <w:rFonts w:cs="Arial"/>
          <w:rtl/>
        </w:rPr>
        <w:t xml:space="preserve">, לבא לדין. אבל אם הזמינו בניסן ותשרי לבא אחר כך, קונסין אותו אם לא בא. </w:t>
      </w:r>
      <w:r w:rsidRPr="00AE06AA">
        <w:rPr>
          <w:rFonts w:cs="Arial"/>
          <w:sz w:val="18"/>
          <w:szCs w:val="18"/>
          <w:rtl/>
        </w:rPr>
        <w:t>הגה: וי"א דאין לקבול בבית הכנסת בניסן, ולא בימים נוראים, אפילו על בני כפרים שבאו למנין, אלא קבעינן להו זמנא אחר הרגל</w:t>
      </w:r>
      <w:r>
        <w:rPr>
          <w:rStyle w:val="ab"/>
          <w:rFonts w:cs="Arial"/>
          <w:sz w:val="18"/>
          <w:szCs w:val="18"/>
          <w:rtl/>
        </w:rPr>
        <w:footnoteReference w:id="265"/>
      </w:r>
      <w:r w:rsidR="00E80101">
        <w:rPr>
          <w:rFonts w:cs="Arial" w:hint="cs"/>
          <w:sz w:val="18"/>
          <w:szCs w:val="18"/>
          <w:rtl/>
        </w:rPr>
        <w:t>.</w:t>
      </w:r>
      <w:r w:rsidRPr="00AE06AA">
        <w:rPr>
          <w:rFonts w:cs="Arial"/>
          <w:sz w:val="18"/>
          <w:szCs w:val="18"/>
          <w:rtl/>
        </w:rPr>
        <w:t xml:space="preserve"> ואם יש דחייה ורמאות, דנין לאלתר (מרדכי והגה</w:t>
      </w:r>
      <w:r>
        <w:rPr>
          <w:rFonts w:cs="Arial" w:hint="cs"/>
          <w:sz w:val="18"/>
          <w:szCs w:val="18"/>
          <w:rtl/>
        </w:rPr>
        <w:t>"מ</w:t>
      </w:r>
      <w:r w:rsidRPr="00AE06AA">
        <w:rPr>
          <w:rFonts w:cs="Arial"/>
          <w:sz w:val="18"/>
          <w:szCs w:val="18"/>
          <w:rtl/>
        </w:rPr>
        <w:t>). ויש מקומות שנהגו שאם התחילו לדון קודם ניסן ותשרי, קבעינן זמנא אף בהם</w:t>
      </w:r>
      <w:r w:rsidR="00E80101">
        <w:rPr>
          <w:rFonts w:cs="Arial" w:hint="cs"/>
          <w:sz w:val="18"/>
          <w:szCs w:val="18"/>
          <w:rtl/>
        </w:rPr>
        <w:t>.</w:t>
      </w:r>
      <w:r w:rsidRPr="00AE06AA">
        <w:rPr>
          <w:rFonts w:cs="Arial"/>
          <w:sz w:val="18"/>
          <w:szCs w:val="18"/>
          <w:rtl/>
        </w:rPr>
        <w:t xml:space="preserve"> והיכא דנהוג נהוג (פסקי מהרא"י סי</w:t>
      </w:r>
      <w:r>
        <w:rPr>
          <w:rFonts w:cs="Arial" w:hint="cs"/>
          <w:sz w:val="18"/>
          <w:szCs w:val="18"/>
          <w:rtl/>
        </w:rPr>
        <w:t>'</w:t>
      </w:r>
      <w:r w:rsidRPr="00AE06AA">
        <w:rPr>
          <w:rFonts w:cs="Arial"/>
          <w:sz w:val="18"/>
          <w:szCs w:val="18"/>
          <w:rtl/>
        </w:rPr>
        <w:t xml:space="preserve"> רז).</w:t>
      </w:r>
      <w:r>
        <w:rPr>
          <w:rFonts w:cs="Arial"/>
          <w:rtl/>
        </w:rPr>
        <w:t xml:space="preserve"> אין דנין בלילה בתחלת דין, אבל אם התחילו לדון דיני ממונות ביום, גומרין בלילה.</w:t>
      </w:r>
      <w:r w:rsidRPr="00AE06AA">
        <w:rPr>
          <w:rFonts w:cs="Arial"/>
          <w:sz w:val="18"/>
          <w:szCs w:val="18"/>
          <w:rtl/>
        </w:rPr>
        <w:t xml:space="preserve"> </w:t>
      </w:r>
      <w:r w:rsidRPr="00AE06AA">
        <w:rPr>
          <w:rFonts w:cs="Arial" w:hint="cs"/>
          <w:sz w:val="18"/>
          <w:szCs w:val="18"/>
          <w:rtl/>
        </w:rPr>
        <w:t xml:space="preserve">[הגה] </w:t>
      </w:r>
      <w:r w:rsidRPr="00AE06AA">
        <w:rPr>
          <w:rFonts w:cs="Arial"/>
          <w:sz w:val="18"/>
          <w:szCs w:val="18"/>
          <w:rtl/>
        </w:rPr>
        <w:t>וי"א דאם עברו ודנו בלילה דיניהם דין (רשב"ם).</w:t>
      </w:r>
      <w:r>
        <w:rPr>
          <w:rFonts w:cs="Arial"/>
          <w:rtl/>
        </w:rPr>
        <w:t xml:space="preserve"> </w:t>
      </w:r>
    </w:p>
    <w:p w14:paraId="71EBB716" w14:textId="77777777" w:rsidR="004A326E" w:rsidRDefault="004A326E" w:rsidP="004A326E">
      <w:pPr>
        <w:rPr>
          <w:rtl/>
        </w:rPr>
      </w:pPr>
      <w:r w:rsidRPr="008B24FB">
        <w:rPr>
          <w:rFonts w:hint="cs"/>
          <w:u w:val="single"/>
          <w:rtl/>
        </w:rPr>
        <w:t>האם יש צד כל שהוא ל</w:t>
      </w:r>
      <w:r>
        <w:rPr>
          <w:rFonts w:hint="cs"/>
          <w:u w:val="single"/>
          <w:rtl/>
        </w:rPr>
        <w:t>התיר ל</w:t>
      </w:r>
      <w:r w:rsidRPr="008B24FB">
        <w:rPr>
          <w:rFonts w:hint="cs"/>
          <w:u w:val="single"/>
          <w:rtl/>
        </w:rPr>
        <w:t>דון בלילה</w:t>
      </w:r>
      <w:r w:rsidRPr="008B24FB">
        <w:rPr>
          <w:rFonts w:hint="cs"/>
          <w:sz w:val="16"/>
          <w:szCs w:val="16"/>
          <w:u w:val="single"/>
          <w:rtl/>
        </w:rPr>
        <w:t xml:space="preserve"> </w:t>
      </w:r>
      <w:r>
        <w:rPr>
          <w:rFonts w:hint="cs"/>
          <w:sz w:val="16"/>
          <w:szCs w:val="16"/>
          <w:u w:val="single"/>
          <w:rtl/>
        </w:rPr>
        <w:t>(</w:t>
      </w:r>
      <w:r w:rsidRPr="008B24FB">
        <w:rPr>
          <w:rFonts w:hint="cs"/>
          <w:sz w:val="16"/>
          <w:szCs w:val="16"/>
          <w:u w:val="single"/>
          <w:rtl/>
        </w:rPr>
        <w:t>אף שלא נתרצו הצדדים לדון בלילה)</w:t>
      </w:r>
      <w:r w:rsidRPr="008B24FB">
        <w:rPr>
          <w:rFonts w:hint="cs"/>
          <w:u w:val="single"/>
          <w:rtl/>
        </w:rPr>
        <w:t>:</w:t>
      </w:r>
    </w:p>
    <w:p w14:paraId="7ADBAF37" w14:textId="77777777" w:rsidR="004A326E" w:rsidRDefault="004A326E" w:rsidP="004B0475">
      <w:pPr>
        <w:pStyle w:val="ac"/>
        <w:numPr>
          <w:ilvl w:val="0"/>
          <w:numId w:val="53"/>
        </w:numPr>
      </w:pPr>
      <w:r>
        <w:rPr>
          <w:rFonts w:cs="Arial" w:hint="cs"/>
          <w:rtl/>
        </w:rPr>
        <w:t xml:space="preserve">סמ"ע </w:t>
      </w:r>
      <w:r>
        <w:rPr>
          <w:rFonts w:cs="Arial" w:hint="cs"/>
          <w:sz w:val="16"/>
          <w:szCs w:val="16"/>
          <w:rtl/>
        </w:rPr>
        <w:t>(סק"ז)</w:t>
      </w:r>
      <w:r>
        <w:rPr>
          <w:rFonts w:cs="Arial" w:hint="cs"/>
          <w:rtl/>
        </w:rPr>
        <w:t xml:space="preserve">- </w:t>
      </w:r>
      <w:r w:rsidRPr="008B24FB">
        <w:rPr>
          <w:rFonts w:cs="Arial"/>
          <w:rtl/>
        </w:rPr>
        <w:t>נוהגין לעת עתה להקל לדון תחילת דין בלילה, דמאחר שבא לדין כששולחין אחריו הוה ליה כקיבלוהו</w:t>
      </w:r>
      <w:r>
        <w:rPr>
          <w:rFonts w:cs="Arial" w:hint="cs"/>
          <w:rtl/>
        </w:rPr>
        <w:t>...</w:t>
      </w:r>
      <w:r w:rsidRPr="008B24FB">
        <w:rPr>
          <w:rtl/>
        </w:rPr>
        <w:t xml:space="preserve"> </w:t>
      </w:r>
      <w:r>
        <w:rPr>
          <w:rFonts w:cs="Arial" w:hint="cs"/>
          <w:rtl/>
        </w:rPr>
        <w:t>ו</w:t>
      </w:r>
      <w:r w:rsidRPr="008B24FB">
        <w:rPr>
          <w:rFonts w:cs="Arial"/>
          <w:rtl/>
        </w:rPr>
        <w:t>נראה לי להלכה ולא למעשה לכפותו לדון בלילה אף שהנרות דולקות, כי לא מצאתי חילוק זה בשום אחד מהפוסקים</w:t>
      </w:r>
      <w:r w:rsidR="00E80101">
        <w:rPr>
          <w:rStyle w:val="ab"/>
          <w:rFonts w:cs="Arial"/>
          <w:rtl/>
        </w:rPr>
        <w:footnoteReference w:id="266"/>
      </w:r>
      <w:r>
        <w:rPr>
          <w:rFonts w:hint="cs"/>
          <w:rtl/>
        </w:rPr>
        <w:t>.</w:t>
      </w:r>
    </w:p>
    <w:p w14:paraId="58DDC44B" w14:textId="77777777" w:rsidR="004A326E" w:rsidRDefault="004A326E" w:rsidP="004B0475">
      <w:pPr>
        <w:pStyle w:val="ac"/>
        <w:numPr>
          <w:ilvl w:val="0"/>
          <w:numId w:val="53"/>
        </w:numPr>
        <w:rPr>
          <w:rtl/>
        </w:rPr>
      </w:pPr>
      <w:r>
        <w:rPr>
          <w:rFonts w:hint="cs"/>
          <w:rtl/>
        </w:rPr>
        <w:lastRenderedPageBreak/>
        <w:t xml:space="preserve">ש"ך </w:t>
      </w:r>
      <w:r>
        <w:rPr>
          <w:rFonts w:hint="cs"/>
          <w:sz w:val="16"/>
          <w:szCs w:val="16"/>
          <w:rtl/>
        </w:rPr>
        <w:t xml:space="preserve">(סק"ד) </w:t>
      </w:r>
      <w:r>
        <w:rPr>
          <w:rFonts w:hint="cs"/>
          <w:rtl/>
        </w:rPr>
        <w:t xml:space="preserve">ואורים </w:t>
      </w:r>
      <w:r>
        <w:rPr>
          <w:rFonts w:hint="cs"/>
          <w:sz w:val="16"/>
          <w:szCs w:val="16"/>
          <w:rtl/>
        </w:rPr>
        <w:t>(סק"ח)</w:t>
      </w:r>
      <w:r>
        <w:rPr>
          <w:rFonts w:hint="cs"/>
          <w:rtl/>
        </w:rPr>
        <w:t>- אין היתר לדון בכה"ג בלילה לכתחילה.</w:t>
      </w:r>
    </w:p>
    <w:p w14:paraId="4EC06011" w14:textId="77777777" w:rsidR="004A326E" w:rsidRDefault="004A326E" w:rsidP="004A326E">
      <w:pPr>
        <w:rPr>
          <w:rtl/>
        </w:rPr>
      </w:pPr>
    </w:p>
    <w:p w14:paraId="45323874" w14:textId="77777777" w:rsidR="004A326E" w:rsidRDefault="004A326E" w:rsidP="004A326E">
      <w:pPr>
        <w:pStyle w:val="2"/>
        <w:rPr>
          <w:rtl/>
        </w:rPr>
      </w:pPr>
      <w:bookmarkStart w:id="23" w:name="_Toc24883529"/>
      <w:r>
        <w:rPr>
          <w:rtl/>
        </w:rPr>
        <w:t>סעיף ג</w:t>
      </w:r>
      <w:r>
        <w:rPr>
          <w:rFonts w:hint="cs"/>
          <w:rtl/>
        </w:rPr>
        <w:t>: עד מתי יושבים בדין.</w:t>
      </w:r>
      <w:bookmarkEnd w:id="23"/>
    </w:p>
    <w:p w14:paraId="32AC9089" w14:textId="77777777" w:rsidR="004A326E" w:rsidRDefault="004A326E" w:rsidP="004A326E">
      <w:pPr>
        <w:rPr>
          <w:rFonts w:cs="Arial"/>
          <w:rtl/>
        </w:rPr>
      </w:pPr>
      <w:bookmarkStart w:id="24" w:name="_Hlk18337739"/>
      <w:r>
        <w:rPr>
          <w:rFonts w:cs="Arial" w:hint="cs"/>
          <w:b/>
          <w:bCs/>
          <w:rtl/>
        </w:rPr>
        <w:t xml:space="preserve">שבת </w:t>
      </w:r>
      <w:r w:rsidRPr="009453B3">
        <w:rPr>
          <w:rFonts w:cs="Arial" w:hint="cs"/>
          <w:b/>
          <w:bCs/>
          <w:sz w:val="16"/>
          <w:szCs w:val="16"/>
          <w:rtl/>
        </w:rPr>
        <w:t xml:space="preserve">(פ"ק) </w:t>
      </w:r>
      <w:r>
        <w:rPr>
          <w:rFonts w:cs="Arial" w:hint="cs"/>
          <w:b/>
          <w:bCs/>
          <w:rtl/>
        </w:rPr>
        <w:t>י</w:t>
      </w:r>
      <w:r w:rsidR="008731E3">
        <w:rPr>
          <w:rStyle w:val="ab"/>
          <w:rFonts w:cs="Arial"/>
          <w:b/>
          <w:bCs/>
          <w:rtl/>
        </w:rPr>
        <w:footnoteReference w:id="267"/>
      </w:r>
      <w:r>
        <w:rPr>
          <w:rFonts w:cs="Arial" w:hint="cs"/>
          <w:b/>
          <w:bCs/>
          <w:rtl/>
        </w:rPr>
        <w:t xml:space="preserve"> ע"א: </w:t>
      </w:r>
      <w:r w:rsidRPr="009453B3">
        <w:rPr>
          <w:rFonts w:cs="Arial"/>
          <w:rtl/>
        </w:rPr>
        <w:t xml:space="preserve">עד מתי יושבין בדין? </w:t>
      </w:r>
      <w:r w:rsidRPr="009453B3">
        <w:rPr>
          <w:rFonts w:cs="Arial"/>
          <w:u w:val="single"/>
          <w:rtl/>
        </w:rPr>
        <w:t>אמר רב ששת</w:t>
      </w:r>
      <w:r w:rsidRPr="009453B3">
        <w:rPr>
          <w:rFonts w:cs="Arial"/>
          <w:rtl/>
        </w:rPr>
        <w:t>: עד זמן סעודה.</w:t>
      </w:r>
      <w:r>
        <w:rPr>
          <w:rFonts w:cs="Arial" w:hint="cs"/>
          <w:rtl/>
        </w:rPr>
        <w:t>..</w:t>
      </w:r>
      <w:r w:rsidRPr="009453B3">
        <w:rPr>
          <w:rtl/>
        </w:rPr>
        <w:t xml:space="preserve"> </w:t>
      </w:r>
      <w:r w:rsidRPr="009453B3">
        <w:rPr>
          <w:rFonts w:cs="Arial"/>
          <w:rtl/>
        </w:rPr>
        <w:t>תנו רבנן: שעה ראשונה - מאכל לודים, שניה - מאכל לסטים</w:t>
      </w:r>
      <w:r w:rsidR="00E80101">
        <w:rPr>
          <w:rFonts w:cs="Arial" w:hint="cs"/>
          <w:rtl/>
        </w:rPr>
        <w:t>...</w:t>
      </w:r>
      <w:r w:rsidRPr="009453B3">
        <w:rPr>
          <w:rFonts w:cs="Arial"/>
          <w:rtl/>
        </w:rPr>
        <w:t xml:space="preserve"> ששית - מאכל תלמידי חכמים</w:t>
      </w:r>
      <w:r w:rsidR="00E80101">
        <w:rPr>
          <w:rFonts w:cs="Arial" w:hint="cs"/>
          <w:rtl/>
        </w:rPr>
        <w:t>.</w:t>
      </w:r>
      <w:r w:rsidR="008731E3" w:rsidRPr="008731E3">
        <w:rPr>
          <w:rtl/>
        </w:rPr>
        <w:t xml:space="preserve"> </w:t>
      </w:r>
      <w:r w:rsidR="008731E3" w:rsidRPr="008731E3">
        <w:rPr>
          <w:rFonts w:cs="Arial"/>
          <w:rtl/>
        </w:rPr>
        <w:t>מכאן ואילך - כזורק אבן לחמת.</w:t>
      </w:r>
      <w:r w:rsidR="00E80101">
        <w:rPr>
          <w:rFonts w:cs="Arial" w:hint="cs"/>
          <w:rtl/>
        </w:rPr>
        <w:t>.</w:t>
      </w:r>
      <w:r w:rsidRPr="008125FC">
        <w:rPr>
          <w:rFonts w:cs="Arial"/>
          <w:rtl/>
        </w:rPr>
        <w:t>.</w:t>
      </w:r>
    </w:p>
    <w:p w14:paraId="21319BCE" w14:textId="77777777" w:rsidR="004A326E" w:rsidRPr="009453B3" w:rsidRDefault="004A326E" w:rsidP="004A326E">
      <w:pPr>
        <w:rPr>
          <w:rFonts w:cs="Arial"/>
          <w:u w:val="single"/>
          <w:rtl/>
        </w:rPr>
      </w:pPr>
      <w:r w:rsidRPr="009453B3">
        <w:rPr>
          <w:rFonts w:cs="Arial" w:hint="cs"/>
          <w:u w:val="single"/>
          <w:rtl/>
        </w:rPr>
        <w:t>עד איזו שעה יושבים בדין:</w:t>
      </w:r>
    </w:p>
    <w:p w14:paraId="073304FB" w14:textId="77777777" w:rsidR="004A326E" w:rsidRPr="009453B3" w:rsidRDefault="004A326E" w:rsidP="004B0475">
      <w:pPr>
        <w:pStyle w:val="ac"/>
        <w:numPr>
          <w:ilvl w:val="0"/>
          <w:numId w:val="54"/>
        </w:numPr>
        <w:rPr>
          <w:rFonts w:cs="Arial"/>
          <w:rtl/>
        </w:rPr>
      </w:pPr>
      <w:r w:rsidRPr="009453B3">
        <w:rPr>
          <w:rFonts w:cs="Arial"/>
          <w:rtl/>
        </w:rPr>
        <w:t xml:space="preserve">רי"ף </w:t>
      </w:r>
      <w:r w:rsidRPr="009453B3">
        <w:rPr>
          <w:rFonts w:cs="Arial"/>
          <w:sz w:val="16"/>
          <w:szCs w:val="16"/>
          <w:rtl/>
        </w:rPr>
        <w:t>(</w:t>
      </w:r>
      <w:r w:rsidRPr="009453B3">
        <w:rPr>
          <w:rFonts w:cs="Arial" w:hint="cs"/>
          <w:sz w:val="16"/>
          <w:szCs w:val="16"/>
          <w:rtl/>
        </w:rPr>
        <w:t xml:space="preserve">סנהדרין </w:t>
      </w:r>
      <w:r w:rsidRPr="009453B3">
        <w:rPr>
          <w:rFonts w:cs="Arial"/>
          <w:sz w:val="16"/>
          <w:szCs w:val="16"/>
          <w:rtl/>
        </w:rPr>
        <w:t xml:space="preserve">ב.) </w:t>
      </w:r>
      <w:r w:rsidRPr="009453B3">
        <w:rPr>
          <w:rFonts w:cs="Arial"/>
          <w:rtl/>
        </w:rPr>
        <w:t xml:space="preserve">ורא"ש </w:t>
      </w:r>
      <w:r w:rsidRPr="009453B3">
        <w:rPr>
          <w:rFonts w:cs="Arial"/>
          <w:sz w:val="16"/>
          <w:szCs w:val="16"/>
          <w:rtl/>
        </w:rPr>
        <w:t>(</w:t>
      </w:r>
      <w:r w:rsidRPr="009453B3">
        <w:rPr>
          <w:rFonts w:cs="Arial" w:hint="cs"/>
          <w:sz w:val="16"/>
          <w:szCs w:val="16"/>
          <w:rtl/>
        </w:rPr>
        <w:t xml:space="preserve">פ"ק דסנהדרין </w:t>
      </w:r>
      <w:r w:rsidRPr="009453B3">
        <w:rPr>
          <w:rFonts w:cs="Arial"/>
          <w:sz w:val="16"/>
          <w:szCs w:val="16"/>
          <w:rtl/>
        </w:rPr>
        <w:t>סי' ח)</w:t>
      </w:r>
      <w:r w:rsidRPr="009453B3">
        <w:rPr>
          <w:rFonts w:cs="Arial" w:hint="cs"/>
          <w:rtl/>
        </w:rPr>
        <w:t xml:space="preserve">- </w:t>
      </w:r>
      <w:r w:rsidRPr="009453B3">
        <w:rPr>
          <w:rFonts w:cs="Arial"/>
          <w:rtl/>
        </w:rPr>
        <w:t>עד מתי יושבין בדין אמר רב ששת עד זמן סעודה והיא שעה ששית שהיא זמן סעודת תלמידי חכמים</w:t>
      </w:r>
      <w:r w:rsidR="002D6AC3">
        <w:rPr>
          <w:rFonts w:cs="Arial" w:hint="cs"/>
          <w:sz w:val="16"/>
          <w:szCs w:val="16"/>
          <w:rtl/>
        </w:rPr>
        <w:t xml:space="preserve"> (ל' הרי"ף)</w:t>
      </w:r>
      <w:r w:rsidRPr="009453B3">
        <w:rPr>
          <w:rFonts w:cs="Arial"/>
          <w:rtl/>
        </w:rPr>
        <w:t>.</w:t>
      </w:r>
      <w:r>
        <w:rPr>
          <w:rFonts w:cs="Arial" w:hint="cs"/>
          <w:rtl/>
        </w:rPr>
        <w:t xml:space="preserve"> </w:t>
      </w:r>
      <w:r w:rsidRPr="008125FC">
        <w:rPr>
          <w:rFonts w:cs="Arial" w:hint="cs"/>
          <w:color w:val="E36C0A" w:themeColor="accent6" w:themeShade="BF"/>
          <w:rtl/>
        </w:rPr>
        <w:t>(וכ"פ בשו"ע)</w:t>
      </w:r>
    </w:p>
    <w:p w14:paraId="4B52CE2D" w14:textId="77777777" w:rsidR="004A326E" w:rsidRDefault="004A326E" w:rsidP="004B0475">
      <w:pPr>
        <w:pStyle w:val="ac"/>
        <w:numPr>
          <w:ilvl w:val="0"/>
          <w:numId w:val="54"/>
        </w:numPr>
        <w:rPr>
          <w:rtl/>
        </w:rPr>
      </w:pPr>
      <w:r w:rsidRPr="009453B3">
        <w:rPr>
          <w:rFonts w:cs="Arial"/>
          <w:rtl/>
        </w:rPr>
        <w:t xml:space="preserve">רמב"ם </w:t>
      </w:r>
      <w:r w:rsidRPr="009453B3">
        <w:rPr>
          <w:rFonts w:cs="Arial" w:hint="cs"/>
          <w:sz w:val="16"/>
          <w:szCs w:val="16"/>
          <w:rtl/>
        </w:rPr>
        <w:t>(</w:t>
      </w:r>
      <w:r w:rsidRPr="009453B3">
        <w:rPr>
          <w:rFonts w:cs="Arial"/>
          <w:sz w:val="16"/>
          <w:szCs w:val="16"/>
          <w:rtl/>
        </w:rPr>
        <w:t>פ"ג מהל</w:t>
      </w:r>
      <w:r w:rsidRPr="009453B3">
        <w:rPr>
          <w:rFonts w:cs="Arial" w:hint="cs"/>
          <w:sz w:val="16"/>
          <w:szCs w:val="16"/>
          <w:rtl/>
        </w:rPr>
        <w:t>'</w:t>
      </w:r>
      <w:r w:rsidRPr="009453B3">
        <w:rPr>
          <w:rFonts w:cs="Arial"/>
          <w:sz w:val="16"/>
          <w:szCs w:val="16"/>
          <w:rtl/>
        </w:rPr>
        <w:t xml:space="preserve"> סנהדרין ה"א)</w:t>
      </w:r>
      <w:r w:rsidRPr="009453B3">
        <w:rPr>
          <w:rFonts w:cs="Arial" w:hint="cs"/>
          <w:rtl/>
        </w:rPr>
        <w:t xml:space="preserve">- </w:t>
      </w:r>
      <w:r w:rsidRPr="009453B3">
        <w:rPr>
          <w:rFonts w:cs="Arial"/>
          <w:rtl/>
        </w:rPr>
        <w:t>עד אימתי יושבין הדיינים בדין</w:t>
      </w:r>
      <w:r w:rsidR="008731E3">
        <w:rPr>
          <w:rFonts w:cs="Arial" w:hint="cs"/>
          <w:rtl/>
        </w:rPr>
        <w:t>,</w:t>
      </w:r>
      <w:r w:rsidRPr="009453B3">
        <w:rPr>
          <w:rFonts w:cs="Arial"/>
          <w:rtl/>
        </w:rPr>
        <w:t xml:space="preserve"> סנהדרי קטנה ובית דין של שלשה </w:t>
      </w:r>
      <w:r w:rsidR="008731E3">
        <w:rPr>
          <w:rFonts w:cs="Arial" w:hint="cs"/>
          <w:rtl/>
        </w:rPr>
        <w:t xml:space="preserve">- </w:t>
      </w:r>
      <w:r w:rsidRPr="009453B3">
        <w:rPr>
          <w:rFonts w:cs="Arial"/>
          <w:rtl/>
        </w:rPr>
        <w:t>יושבין מאחר תפלת השחר עד סוף שש שעות ביום</w:t>
      </w:r>
      <w:r>
        <w:rPr>
          <w:rStyle w:val="ab"/>
          <w:rFonts w:cs="Arial"/>
          <w:rtl/>
        </w:rPr>
        <w:footnoteReference w:id="268"/>
      </w:r>
      <w:r>
        <w:rPr>
          <w:rFonts w:hint="cs"/>
          <w:rtl/>
        </w:rPr>
        <w:t>.</w:t>
      </w:r>
    </w:p>
    <w:p w14:paraId="42BC68A4" w14:textId="77777777" w:rsidR="004A326E" w:rsidRPr="00127CD0" w:rsidRDefault="004A326E" w:rsidP="004B0475">
      <w:pPr>
        <w:pStyle w:val="ac"/>
        <w:numPr>
          <w:ilvl w:val="0"/>
          <w:numId w:val="54"/>
        </w:numPr>
        <w:rPr>
          <w:rtl/>
        </w:rPr>
      </w:pPr>
      <w:r w:rsidRPr="009453B3">
        <w:rPr>
          <w:rFonts w:cs="Arial" w:hint="cs"/>
          <w:rtl/>
        </w:rPr>
        <w:t>טור-</w:t>
      </w:r>
      <w:r w:rsidRPr="009453B3">
        <w:rPr>
          <w:rFonts w:cs="Arial"/>
          <w:rtl/>
        </w:rPr>
        <w:t xml:space="preserve"> זמן ישיבת הדיינין מהבקר עד חצי היום</w:t>
      </w:r>
      <w:r>
        <w:rPr>
          <w:rStyle w:val="ab"/>
          <w:rFonts w:cs="Arial"/>
          <w:rtl/>
        </w:rPr>
        <w:footnoteReference w:id="269"/>
      </w:r>
      <w:r>
        <w:rPr>
          <w:rFonts w:cs="Arial" w:hint="cs"/>
          <w:rtl/>
        </w:rPr>
        <w:t>,</w:t>
      </w:r>
      <w:r w:rsidRPr="009453B3">
        <w:rPr>
          <w:rFonts w:cs="Arial"/>
          <w:rtl/>
        </w:rPr>
        <w:t xml:space="preserve"> מכאן ואילך אין צריכין לישב</w:t>
      </w:r>
      <w:r w:rsidRPr="009453B3">
        <w:rPr>
          <w:rFonts w:cs="Arial" w:hint="cs"/>
          <w:rtl/>
        </w:rPr>
        <w:t>.</w:t>
      </w:r>
    </w:p>
    <w:bookmarkEnd w:id="24"/>
    <w:p w14:paraId="510742AE" w14:textId="77777777" w:rsidR="004A326E" w:rsidRPr="003024E5" w:rsidRDefault="004A326E" w:rsidP="004A326E">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1E95E4A8" w14:textId="77777777" w:rsidR="004A326E" w:rsidRDefault="004A326E" w:rsidP="004A326E">
      <w:pPr>
        <w:rPr>
          <w:rFonts w:cs="Arial"/>
          <w:rtl/>
        </w:rPr>
      </w:pPr>
      <w:r>
        <w:rPr>
          <w:rFonts w:cs="Arial"/>
          <w:rtl/>
        </w:rPr>
        <w:t>זמן ישיבת הדיינים מהבקר עד סוף שעה חמישית</w:t>
      </w:r>
      <w:r>
        <w:rPr>
          <w:rStyle w:val="ab"/>
          <w:rFonts w:cs="Arial"/>
          <w:rtl/>
        </w:rPr>
        <w:footnoteReference w:id="270"/>
      </w:r>
      <w:r>
        <w:rPr>
          <w:rFonts w:cs="Arial" w:hint="cs"/>
          <w:rtl/>
        </w:rPr>
        <w:t>.</w:t>
      </w:r>
      <w:r>
        <w:rPr>
          <w:rFonts w:cs="Arial"/>
          <w:rtl/>
        </w:rPr>
        <w:t xml:space="preserve"> </w:t>
      </w:r>
      <w:r w:rsidRPr="00AE06AA">
        <w:rPr>
          <w:rFonts w:cs="Arial" w:hint="cs"/>
          <w:sz w:val="18"/>
          <w:szCs w:val="18"/>
          <w:rtl/>
        </w:rPr>
        <w:t xml:space="preserve">[הגה] </w:t>
      </w:r>
      <w:r w:rsidRPr="00AE06AA">
        <w:rPr>
          <w:rFonts w:cs="Arial"/>
          <w:sz w:val="18"/>
          <w:szCs w:val="18"/>
          <w:rtl/>
        </w:rPr>
        <w:t>מכאן ואילך אין צריכים לישב (טור).</w:t>
      </w:r>
      <w:r>
        <w:rPr>
          <w:rFonts w:cs="Arial"/>
          <w:rtl/>
        </w:rPr>
        <w:t xml:space="preserve"> </w:t>
      </w:r>
    </w:p>
    <w:p w14:paraId="7771B388" w14:textId="77777777" w:rsidR="004A326E" w:rsidRDefault="004A326E" w:rsidP="004A326E">
      <w:pPr>
        <w:rPr>
          <w:rtl/>
        </w:rPr>
      </w:pPr>
    </w:p>
    <w:p w14:paraId="60015294" w14:textId="77777777" w:rsidR="004A326E" w:rsidRDefault="004A326E" w:rsidP="004A326E">
      <w:pPr>
        <w:pStyle w:val="2"/>
        <w:rPr>
          <w:rtl/>
        </w:rPr>
      </w:pPr>
      <w:bookmarkStart w:id="25" w:name="_Toc24883530"/>
      <w:r>
        <w:rPr>
          <w:rtl/>
        </w:rPr>
        <w:t>סעיף ד</w:t>
      </w:r>
      <w:r>
        <w:rPr>
          <w:rFonts w:hint="cs"/>
          <w:rtl/>
        </w:rPr>
        <w:t>: ישיבה בדין סמוך למנחה.</w:t>
      </w:r>
      <w:bookmarkEnd w:id="25"/>
    </w:p>
    <w:p w14:paraId="2DC9E071" w14:textId="77777777" w:rsidR="004A326E" w:rsidRDefault="004A326E" w:rsidP="004A326E">
      <w:pPr>
        <w:rPr>
          <w:rFonts w:cs="Arial"/>
          <w:rtl/>
        </w:rPr>
      </w:pPr>
      <w:bookmarkStart w:id="26" w:name="_Hlk18337969"/>
      <w:r>
        <w:rPr>
          <w:rFonts w:cs="Arial" w:hint="cs"/>
          <w:b/>
          <w:bCs/>
          <w:rtl/>
        </w:rPr>
        <w:t xml:space="preserve">שבת </w:t>
      </w:r>
      <w:r w:rsidRPr="009453B3">
        <w:rPr>
          <w:rFonts w:cs="Arial" w:hint="cs"/>
          <w:b/>
          <w:bCs/>
          <w:sz w:val="16"/>
          <w:szCs w:val="16"/>
          <w:rtl/>
        </w:rPr>
        <w:t xml:space="preserve">(פ"ק) </w:t>
      </w:r>
      <w:r>
        <w:rPr>
          <w:rFonts w:cs="Arial" w:hint="cs"/>
          <w:b/>
          <w:bCs/>
          <w:rtl/>
        </w:rPr>
        <w:t>ט</w:t>
      </w:r>
      <w:r w:rsidR="002439DB">
        <w:rPr>
          <w:rStyle w:val="ab"/>
          <w:rFonts w:cs="Arial"/>
          <w:b/>
          <w:bCs/>
          <w:rtl/>
        </w:rPr>
        <w:footnoteReference w:id="271"/>
      </w:r>
      <w:r>
        <w:rPr>
          <w:rFonts w:cs="Arial" w:hint="cs"/>
          <w:b/>
          <w:bCs/>
          <w:rtl/>
        </w:rPr>
        <w:t xml:space="preserve"> ע"ב: </w:t>
      </w:r>
      <w:r w:rsidRPr="000957C8">
        <w:rPr>
          <w:rFonts w:cs="Arial"/>
          <w:u w:val="double"/>
          <w:rtl/>
        </w:rPr>
        <w:t>משנה</w:t>
      </w:r>
      <w:r w:rsidRPr="000957C8">
        <w:rPr>
          <w:rFonts w:cs="Arial" w:hint="cs"/>
          <w:u w:val="double"/>
          <w:rtl/>
        </w:rPr>
        <w:t>:</w:t>
      </w:r>
      <w:r w:rsidRPr="000957C8">
        <w:rPr>
          <w:rFonts w:cs="Arial"/>
          <w:rtl/>
        </w:rPr>
        <w:t xml:space="preserve"> לא ישב אדם לפני הספר סמוך למנחה עד שיתפלל, לא יכנס אדם למרחץ ולא לבורסקי ולא לאכול ולא לדין</w:t>
      </w:r>
      <w:r>
        <w:rPr>
          <w:rStyle w:val="ab"/>
          <w:rFonts w:cs="Arial"/>
          <w:rtl/>
        </w:rPr>
        <w:footnoteReference w:id="272"/>
      </w:r>
      <w:r w:rsidRPr="000957C8">
        <w:rPr>
          <w:rFonts w:cs="Arial"/>
          <w:rtl/>
        </w:rPr>
        <w:t>. ואם התחילו - אין מפסיקין.</w:t>
      </w:r>
      <w:r>
        <w:rPr>
          <w:rFonts w:cs="Arial" w:hint="cs"/>
          <w:rtl/>
        </w:rPr>
        <w:t>..</w:t>
      </w:r>
      <w:r w:rsidRPr="000957C8">
        <w:rPr>
          <w:rtl/>
        </w:rPr>
        <w:t xml:space="preserve"> </w:t>
      </w:r>
      <w:r>
        <w:rPr>
          <w:rFonts w:hint="cs"/>
          <w:rtl/>
        </w:rPr>
        <w:t xml:space="preserve">   </w:t>
      </w:r>
      <w:r w:rsidRPr="000957C8">
        <w:rPr>
          <w:rFonts w:cs="Arial"/>
          <w:u w:val="double"/>
          <w:rtl/>
        </w:rPr>
        <w:t>גמרא</w:t>
      </w:r>
      <w:r w:rsidRPr="000957C8">
        <w:rPr>
          <w:rFonts w:cs="Arial" w:hint="cs"/>
          <w:u w:val="double"/>
          <w:rtl/>
        </w:rPr>
        <w:t>:</w:t>
      </w:r>
      <w:r w:rsidRPr="000957C8">
        <w:rPr>
          <w:rFonts w:cs="Arial"/>
          <w:rtl/>
        </w:rPr>
        <w:t xml:space="preserve"> הי סמוך למנחה? אילימא למנחה גדולה - אמאי לא? האיכא שהות ביום טובא! אלא סמוך למנחה קטנה. אם התחילו אין מפסיקין</w:t>
      </w:r>
      <w:r>
        <w:rPr>
          <w:rFonts w:cs="Arial" w:hint="cs"/>
          <w:rtl/>
        </w:rPr>
        <w:t>?</w:t>
      </w:r>
      <w:r w:rsidRPr="000957C8">
        <w:rPr>
          <w:rFonts w:cs="Arial"/>
          <w:rtl/>
        </w:rPr>
        <w:t xml:space="preserve"> נימא תיהוי תיובתא דרבי יהושע בן לוי, דאמר רבי יהושע בן לוי: כיון שהגיע זמן תפלת המנחה - אסור לאדם שיטעום כלום קודם שיתפלל תפלת המנחה! לא, לעולם סמוך למנחה גדולה, ובתספורת בן אלעשה</w:t>
      </w:r>
      <w:r>
        <w:rPr>
          <w:rStyle w:val="ab"/>
          <w:rFonts w:cs="Arial"/>
          <w:rtl/>
        </w:rPr>
        <w:footnoteReference w:id="273"/>
      </w:r>
      <w:r w:rsidRPr="000957C8">
        <w:rPr>
          <w:rFonts w:cs="Arial"/>
          <w:rtl/>
        </w:rPr>
        <w:t>. ולא למרחץ - לכולא מילתא דמרחץ</w:t>
      </w:r>
      <w:r>
        <w:rPr>
          <w:rStyle w:val="ab"/>
          <w:rFonts w:cs="Arial"/>
          <w:rtl/>
        </w:rPr>
        <w:footnoteReference w:id="274"/>
      </w:r>
      <w:r w:rsidRPr="000957C8">
        <w:rPr>
          <w:rFonts w:cs="Arial"/>
          <w:rtl/>
        </w:rPr>
        <w:t>. ולא לבורסקי - לבורסקי גדולה</w:t>
      </w:r>
      <w:r>
        <w:rPr>
          <w:rStyle w:val="ab"/>
          <w:rFonts w:cs="Arial"/>
          <w:rtl/>
        </w:rPr>
        <w:footnoteReference w:id="275"/>
      </w:r>
      <w:r w:rsidRPr="000957C8">
        <w:rPr>
          <w:rFonts w:cs="Arial"/>
          <w:rtl/>
        </w:rPr>
        <w:t xml:space="preserve">. ולא לאכול - בסעודה גדולה. ולא לדין - בתחילת דין. </w:t>
      </w:r>
      <w:r w:rsidRPr="00BA0BE4">
        <w:rPr>
          <w:rFonts w:cs="Arial"/>
          <w:u w:val="single"/>
          <w:rtl/>
        </w:rPr>
        <w:t>רב אחא בר יעקב אמר</w:t>
      </w:r>
      <w:r w:rsidRPr="000957C8">
        <w:rPr>
          <w:rFonts w:cs="Arial"/>
          <w:rtl/>
        </w:rPr>
        <w:t>: לעולם בתספורת דידן, לכתחילה אמאי לא ישב - גזירה שמא ישבר הזוג</w:t>
      </w:r>
      <w:r>
        <w:rPr>
          <w:rStyle w:val="ab"/>
          <w:rFonts w:cs="Arial"/>
          <w:rtl/>
        </w:rPr>
        <w:footnoteReference w:id="276"/>
      </w:r>
      <w:r w:rsidRPr="000957C8">
        <w:rPr>
          <w:rFonts w:cs="Arial"/>
          <w:rtl/>
        </w:rPr>
        <w:t>. ולא למרחץ - להזיע בעלמא, לכתחלה אמאי לא - גזירה שמא יתעלפה. ולא לבורסקי - לעיוני בעלמא</w:t>
      </w:r>
      <w:r>
        <w:rPr>
          <w:rStyle w:val="ab"/>
          <w:rFonts w:cs="Arial"/>
          <w:rtl/>
        </w:rPr>
        <w:footnoteReference w:id="277"/>
      </w:r>
      <w:r w:rsidRPr="000957C8">
        <w:rPr>
          <w:rFonts w:cs="Arial"/>
          <w:rtl/>
        </w:rPr>
        <w:t>. לכתחלה אמאי לא - דילמא חזי פסידא בזביניה ומטריד. ולא לאכול - בסעודה קטנה. לכתחלה אמאי לא - דילמא אתי לאמשוכי. ולא לדין - בגמר הדין, לכתחלה אמאי לא - דילמא חזי טעמא וסתר דינא</w:t>
      </w:r>
      <w:r>
        <w:rPr>
          <w:rStyle w:val="ab"/>
          <w:rFonts w:cs="Arial"/>
          <w:rtl/>
        </w:rPr>
        <w:footnoteReference w:id="278"/>
      </w:r>
      <w:r w:rsidRPr="000957C8">
        <w:rPr>
          <w:rFonts w:cs="Arial"/>
          <w:rtl/>
        </w:rPr>
        <w:t>.</w:t>
      </w:r>
    </w:p>
    <w:p w14:paraId="34B41F60" w14:textId="77777777" w:rsidR="004A326E" w:rsidRDefault="004A326E" w:rsidP="004A326E">
      <w:pPr>
        <w:rPr>
          <w:rFonts w:cs="Arial"/>
          <w:rtl/>
        </w:rPr>
      </w:pPr>
      <w:r w:rsidRPr="00AD6F09">
        <w:rPr>
          <w:rFonts w:cs="Arial" w:hint="cs"/>
          <w:u w:val="single"/>
          <w:rtl/>
        </w:rPr>
        <w:t>ישיבה בדין סמוך למנחה:</w:t>
      </w:r>
    </w:p>
    <w:p w14:paraId="7D2474EC" w14:textId="77777777" w:rsidR="000739D7" w:rsidRPr="0044256C" w:rsidRDefault="004A326E" w:rsidP="004B0475">
      <w:pPr>
        <w:pStyle w:val="ac"/>
        <w:numPr>
          <w:ilvl w:val="0"/>
          <w:numId w:val="56"/>
        </w:numPr>
        <w:rPr>
          <w:rFonts w:cs="Arial"/>
        </w:rPr>
      </w:pPr>
      <w:r w:rsidRPr="00AD6F09">
        <w:rPr>
          <w:rFonts w:cs="Arial" w:hint="cs"/>
          <w:rtl/>
        </w:rPr>
        <w:lastRenderedPageBreak/>
        <w:t xml:space="preserve">טור- </w:t>
      </w:r>
      <w:r w:rsidRPr="00AD6F09">
        <w:rPr>
          <w:rFonts w:cs="Arial"/>
          <w:rtl/>
        </w:rPr>
        <w:t>אין יושבין בדין סמוך למנחה גדולה דהיינו מתחלת שעה ז' עד שיתפלל</w:t>
      </w:r>
      <w:r w:rsidRPr="00AD6F09">
        <w:rPr>
          <w:rFonts w:cs="Arial" w:hint="cs"/>
          <w:rtl/>
        </w:rPr>
        <w:t>.</w:t>
      </w:r>
      <w:r w:rsidR="0044256C">
        <w:rPr>
          <w:rFonts w:cs="Arial" w:hint="cs"/>
          <w:rtl/>
        </w:rPr>
        <w:t>..</w:t>
      </w:r>
      <w:r w:rsidRPr="00AD6F09">
        <w:rPr>
          <w:rFonts w:cs="Arial"/>
          <w:rtl/>
        </w:rPr>
        <w:t xml:space="preserve"> </w:t>
      </w:r>
      <w:r w:rsidR="0044256C" w:rsidRPr="0044256C">
        <w:rPr>
          <w:rFonts w:cs="Arial" w:hint="cs"/>
          <w:rtl/>
        </w:rPr>
        <w:t>ו</w:t>
      </w:r>
      <w:r w:rsidR="000739D7" w:rsidRPr="0044256C">
        <w:rPr>
          <w:rFonts w:cs="Arial"/>
          <w:rtl/>
        </w:rPr>
        <w:t>אם התחילו אפילו תחילת דין סמוך למנחה גדולה</w:t>
      </w:r>
      <w:r w:rsidR="0044256C">
        <w:rPr>
          <w:rStyle w:val="ab"/>
          <w:rFonts w:cs="Arial"/>
          <w:rtl/>
        </w:rPr>
        <w:footnoteReference w:id="279"/>
      </w:r>
      <w:r w:rsidR="000739D7" w:rsidRPr="0044256C">
        <w:rPr>
          <w:rFonts w:cs="Arial"/>
          <w:rtl/>
        </w:rPr>
        <w:t xml:space="preserve"> כגון שהתחילו בעלי הדינין לטעון או שנתעטפו הדיינין </w:t>
      </w:r>
      <w:r w:rsidR="002439DB">
        <w:rPr>
          <w:rFonts w:cs="Arial" w:hint="cs"/>
          <w:rtl/>
        </w:rPr>
        <w:t xml:space="preserve">- </w:t>
      </w:r>
      <w:r w:rsidR="000739D7" w:rsidRPr="0044256C">
        <w:rPr>
          <w:rFonts w:cs="Arial"/>
          <w:rtl/>
        </w:rPr>
        <w:t>אין מפסיקין אפי' לכשיגיע מנחה קטנה</w:t>
      </w:r>
      <w:r w:rsidR="000739D7" w:rsidRPr="0044256C">
        <w:rPr>
          <w:rFonts w:cs="Arial" w:hint="cs"/>
          <w:rtl/>
        </w:rPr>
        <w:t>,</w:t>
      </w:r>
      <w:r w:rsidR="000739D7" w:rsidRPr="0044256C">
        <w:rPr>
          <w:rFonts w:cs="Arial"/>
          <w:rtl/>
        </w:rPr>
        <w:t xml:space="preserve"> ובלבד שיהא להם שהות</w:t>
      </w:r>
      <w:r w:rsidR="0044256C">
        <w:rPr>
          <w:rStyle w:val="ab"/>
          <w:rFonts w:cs="Arial"/>
          <w:rtl/>
        </w:rPr>
        <w:footnoteReference w:id="280"/>
      </w:r>
      <w:r w:rsidR="000739D7" w:rsidRPr="0044256C">
        <w:rPr>
          <w:rFonts w:cs="Arial"/>
          <w:rtl/>
        </w:rPr>
        <w:t xml:space="preserve"> להתפלל אחר שיגמרו הדין</w:t>
      </w:r>
      <w:r w:rsidR="000739D7" w:rsidRPr="0044256C">
        <w:rPr>
          <w:rFonts w:cs="Arial" w:hint="cs"/>
          <w:rtl/>
        </w:rPr>
        <w:t>.</w:t>
      </w:r>
      <w:r w:rsidR="000739D7" w:rsidRPr="0044256C">
        <w:rPr>
          <w:rFonts w:cs="Arial"/>
          <w:rtl/>
        </w:rPr>
        <w:t xml:space="preserve"> </w:t>
      </w:r>
      <w:r w:rsidR="000739D7" w:rsidRPr="0044256C">
        <w:rPr>
          <w:rFonts w:cs="Arial" w:hint="cs"/>
          <w:color w:val="E36C0A" w:themeColor="accent6" w:themeShade="BF"/>
          <w:rtl/>
        </w:rPr>
        <w:t>(וכ"פ בשו"ע)</w:t>
      </w:r>
    </w:p>
    <w:p w14:paraId="7AA673C6" w14:textId="77777777" w:rsidR="0044256C" w:rsidRPr="00AD6F09" w:rsidRDefault="0044256C" w:rsidP="0044256C">
      <w:pPr>
        <w:ind w:left="360"/>
      </w:pPr>
      <w:r>
        <w:rPr>
          <w:rFonts w:cs="Arial" w:hint="cs"/>
          <w:u w:val="dotted"/>
          <w:rtl/>
        </w:rPr>
        <w:t>ו</w:t>
      </w:r>
      <w:r w:rsidRPr="00AD6F09">
        <w:rPr>
          <w:rFonts w:cs="Arial" w:hint="cs"/>
          <w:u w:val="dotted"/>
          <w:rtl/>
        </w:rPr>
        <w:t>מה הדין אם התחילו</w:t>
      </w:r>
      <w:r>
        <w:rPr>
          <w:rFonts w:cs="Arial" w:hint="cs"/>
          <w:u w:val="dotted"/>
          <w:rtl/>
        </w:rPr>
        <w:t xml:space="preserve"> סמוך למנחה </w:t>
      </w:r>
      <w:r w:rsidRPr="002439DB">
        <w:rPr>
          <w:rFonts w:cs="Arial" w:hint="cs"/>
          <w:b/>
          <w:bCs/>
          <w:u w:val="dotted"/>
          <w:rtl/>
        </w:rPr>
        <w:t>קטנה</w:t>
      </w:r>
      <w:r w:rsidRPr="00AD6F09">
        <w:rPr>
          <w:rFonts w:cs="Arial" w:hint="cs"/>
          <w:u w:val="dotted"/>
          <w:rtl/>
        </w:rPr>
        <w:t>:</w:t>
      </w:r>
    </w:p>
    <w:p w14:paraId="5EB45E73" w14:textId="77777777" w:rsidR="0044256C" w:rsidRDefault="0044256C" w:rsidP="004B0475">
      <w:pPr>
        <w:pStyle w:val="ac"/>
        <w:numPr>
          <w:ilvl w:val="0"/>
          <w:numId w:val="55"/>
        </w:numPr>
        <w:rPr>
          <w:rtl/>
        </w:rPr>
      </w:pPr>
      <w:r>
        <w:rPr>
          <w:rFonts w:cs="Arial" w:hint="cs"/>
          <w:rtl/>
        </w:rPr>
        <w:t xml:space="preserve">טור- </w:t>
      </w:r>
      <w:r w:rsidRPr="00AD6F09">
        <w:rPr>
          <w:rFonts w:cs="Arial"/>
          <w:rtl/>
        </w:rPr>
        <w:t>אבל אם התחילו סמוך למנחה קטנה דהיינו מתחילת שעה עשירית</w:t>
      </w:r>
      <w:r w:rsidR="002439DB">
        <w:rPr>
          <w:rFonts w:cs="Arial" w:hint="cs"/>
          <w:rtl/>
        </w:rPr>
        <w:t xml:space="preserve"> -</w:t>
      </w:r>
      <w:r w:rsidRPr="00AD6F09">
        <w:rPr>
          <w:rFonts w:cs="Arial"/>
          <w:rtl/>
        </w:rPr>
        <w:t xml:space="preserve"> מפסיקין</w:t>
      </w:r>
      <w:r>
        <w:rPr>
          <w:rStyle w:val="ab"/>
          <w:rFonts w:cs="Arial"/>
          <w:rtl/>
        </w:rPr>
        <w:footnoteReference w:id="281"/>
      </w:r>
      <w:r>
        <w:rPr>
          <w:rFonts w:cs="Arial" w:hint="cs"/>
          <w:rtl/>
        </w:rPr>
        <w:t>.</w:t>
      </w:r>
      <w:r>
        <w:rPr>
          <w:rFonts w:hint="cs"/>
          <w:rtl/>
        </w:rPr>
        <w:t xml:space="preserve"> </w:t>
      </w:r>
      <w:r w:rsidRPr="00AD6F09">
        <w:rPr>
          <w:rFonts w:hint="cs"/>
          <w:color w:val="00B0F0"/>
          <w:rtl/>
        </w:rPr>
        <w:t>(וכ"פ הרמ"א)</w:t>
      </w:r>
    </w:p>
    <w:p w14:paraId="489854CB" w14:textId="77777777" w:rsidR="004A326E" w:rsidRPr="00AD6F09" w:rsidRDefault="004A326E" w:rsidP="004A326E">
      <w:pPr>
        <w:ind w:left="360"/>
        <w:rPr>
          <w:rFonts w:cs="Arial"/>
          <w:u w:val="dotted"/>
        </w:rPr>
      </w:pPr>
      <w:r w:rsidRPr="00AD6F09">
        <w:rPr>
          <w:rFonts w:cs="Arial" w:hint="cs"/>
          <w:u w:val="dotted"/>
          <w:rtl/>
        </w:rPr>
        <w:t>ה</w:t>
      </w:r>
      <w:r w:rsidR="0044256C">
        <w:rPr>
          <w:rFonts w:cs="Arial" w:hint="cs"/>
          <w:u w:val="dotted"/>
          <w:rtl/>
        </w:rPr>
        <w:t xml:space="preserve">א דאסור לישב בדין סמוך למנחה גדולה </w:t>
      </w:r>
      <w:r w:rsidR="0044256C">
        <w:rPr>
          <w:rFonts w:cs="Arial"/>
          <w:u w:val="dotted"/>
          <w:rtl/>
        </w:rPr>
        <w:t>–</w:t>
      </w:r>
      <w:r w:rsidR="0044256C">
        <w:rPr>
          <w:rFonts w:cs="Arial" w:hint="cs"/>
          <w:u w:val="dotted"/>
          <w:rtl/>
        </w:rPr>
        <w:t xml:space="preserve"> האם ה</w:t>
      </w:r>
      <w:r w:rsidRPr="00AD6F09">
        <w:rPr>
          <w:rFonts w:cs="Arial" w:hint="cs"/>
          <w:u w:val="dotted"/>
          <w:rtl/>
        </w:rPr>
        <w:t>א</w:t>
      </w:r>
      <w:r w:rsidR="0044256C">
        <w:rPr>
          <w:rFonts w:cs="Arial" w:hint="cs"/>
          <w:u w:val="dotted"/>
          <w:rtl/>
        </w:rPr>
        <w:t>י</w:t>
      </w:r>
      <w:r w:rsidRPr="00AD6F09">
        <w:rPr>
          <w:rFonts w:cs="Arial" w:hint="cs"/>
          <w:u w:val="dotted"/>
          <w:rtl/>
        </w:rPr>
        <w:t xml:space="preserve">סור </w:t>
      </w:r>
      <w:r w:rsidR="0044256C">
        <w:rPr>
          <w:rFonts w:cs="Arial" w:hint="cs"/>
          <w:u w:val="dotted"/>
          <w:rtl/>
        </w:rPr>
        <w:t xml:space="preserve">על תחילת דין או </w:t>
      </w:r>
      <w:r w:rsidRPr="00AD6F09">
        <w:rPr>
          <w:rFonts w:cs="Arial" w:hint="cs"/>
          <w:u w:val="dotted"/>
          <w:rtl/>
        </w:rPr>
        <w:t xml:space="preserve">אף </w:t>
      </w:r>
      <w:r w:rsidR="0044256C">
        <w:rPr>
          <w:rFonts w:cs="Arial" w:hint="cs"/>
          <w:u w:val="dotted"/>
          <w:rtl/>
        </w:rPr>
        <w:t xml:space="preserve">על </w:t>
      </w:r>
      <w:r w:rsidRPr="00AD6F09">
        <w:rPr>
          <w:rFonts w:cs="Arial" w:hint="cs"/>
          <w:u w:val="dotted"/>
          <w:rtl/>
        </w:rPr>
        <w:t>גמר דין:</w:t>
      </w:r>
    </w:p>
    <w:p w14:paraId="16F9C29F" w14:textId="77777777" w:rsidR="004A326E" w:rsidRDefault="004A326E" w:rsidP="004B0475">
      <w:pPr>
        <w:pStyle w:val="ac"/>
        <w:numPr>
          <w:ilvl w:val="0"/>
          <w:numId w:val="56"/>
        </w:numPr>
        <w:rPr>
          <w:rFonts w:cs="Arial"/>
        </w:rPr>
      </w:pPr>
      <w:r>
        <w:rPr>
          <w:rFonts w:cs="Arial"/>
          <w:rtl/>
        </w:rPr>
        <w:t>ר</w:t>
      </w:r>
      <w:r>
        <w:rPr>
          <w:rFonts w:cs="Arial" w:hint="cs"/>
          <w:rtl/>
        </w:rPr>
        <w:t>"</w:t>
      </w:r>
      <w:r>
        <w:rPr>
          <w:rFonts w:cs="Arial"/>
          <w:rtl/>
        </w:rPr>
        <w:t xml:space="preserve">ת </w:t>
      </w:r>
      <w:r w:rsidRPr="00EF4948">
        <w:rPr>
          <w:rFonts w:cs="Arial"/>
          <w:sz w:val="16"/>
          <w:szCs w:val="16"/>
          <w:rtl/>
        </w:rPr>
        <w:t xml:space="preserve">(ספר הישר חי' סי' קצג) </w:t>
      </w:r>
      <w:r>
        <w:rPr>
          <w:rFonts w:cs="Arial"/>
          <w:rtl/>
        </w:rPr>
        <w:t>ר"י</w:t>
      </w:r>
      <w:r>
        <w:rPr>
          <w:rFonts w:cs="Arial" w:hint="cs"/>
          <w:sz w:val="16"/>
          <w:szCs w:val="16"/>
          <w:rtl/>
        </w:rPr>
        <w:t xml:space="preserve"> (כ"כ הרא"ש בשמו)</w:t>
      </w:r>
      <w:r>
        <w:rPr>
          <w:rFonts w:cs="Arial"/>
          <w:rtl/>
        </w:rPr>
        <w:t xml:space="preserve"> </w:t>
      </w:r>
      <w:r w:rsidR="000739D7">
        <w:rPr>
          <w:rFonts w:cs="Arial" w:hint="cs"/>
          <w:rtl/>
        </w:rPr>
        <w:t>ו</w:t>
      </w:r>
      <w:r>
        <w:rPr>
          <w:rFonts w:cs="Arial"/>
          <w:rtl/>
        </w:rPr>
        <w:t>תוס</w:t>
      </w:r>
      <w:r>
        <w:rPr>
          <w:rFonts w:cs="Arial" w:hint="cs"/>
          <w:rtl/>
        </w:rPr>
        <w:t>'</w:t>
      </w:r>
      <w:r>
        <w:rPr>
          <w:rFonts w:cs="Arial"/>
          <w:rtl/>
        </w:rPr>
        <w:t xml:space="preserve"> </w:t>
      </w:r>
      <w:r w:rsidRPr="00EF4948">
        <w:rPr>
          <w:rFonts w:cs="Arial"/>
          <w:sz w:val="16"/>
          <w:szCs w:val="16"/>
          <w:rtl/>
        </w:rPr>
        <w:t>(ד"ה בתספורת)</w:t>
      </w:r>
      <w:r>
        <w:rPr>
          <w:rFonts w:cs="Arial" w:hint="cs"/>
          <w:rtl/>
        </w:rPr>
        <w:t xml:space="preserve">- </w:t>
      </w:r>
      <w:r w:rsidRPr="00AD6F09">
        <w:rPr>
          <w:rFonts w:cs="Arial"/>
          <w:rtl/>
        </w:rPr>
        <w:t>דוקא בתחלת דין</w:t>
      </w:r>
      <w:r w:rsidR="002439DB">
        <w:rPr>
          <w:rFonts w:cs="Arial" w:hint="cs"/>
          <w:rtl/>
        </w:rPr>
        <w:t>,</w:t>
      </w:r>
      <w:r w:rsidRPr="00AD6F09">
        <w:rPr>
          <w:rFonts w:cs="Arial"/>
          <w:rtl/>
        </w:rPr>
        <w:t xml:space="preserve"> אבל בגמר דין </w:t>
      </w:r>
      <w:r w:rsidR="002439DB">
        <w:rPr>
          <w:rFonts w:cs="Arial" w:hint="cs"/>
          <w:rtl/>
        </w:rPr>
        <w:t xml:space="preserve">- </w:t>
      </w:r>
      <w:r w:rsidRPr="00AD6F09">
        <w:rPr>
          <w:rFonts w:cs="Arial"/>
          <w:rtl/>
        </w:rPr>
        <w:t>יכול להתחיל סמוך למנחה גדולה</w:t>
      </w:r>
      <w:r>
        <w:rPr>
          <w:rFonts w:cs="Arial" w:hint="cs"/>
          <w:rtl/>
        </w:rPr>
        <w:t>,</w:t>
      </w:r>
      <w:r w:rsidRPr="00AD6F09">
        <w:rPr>
          <w:rFonts w:cs="Arial"/>
          <w:rtl/>
        </w:rPr>
        <w:t xml:space="preserve"> </w:t>
      </w:r>
      <w:r>
        <w:rPr>
          <w:rFonts w:cs="Arial"/>
          <w:rtl/>
        </w:rPr>
        <w:t>כלישנא קמא</w:t>
      </w:r>
      <w:r>
        <w:rPr>
          <w:rFonts w:cs="Arial" w:hint="cs"/>
          <w:rtl/>
        </w:rPr>
        <w:t>.</w:t>
      </w:r>
    </w:p>
    <w:p w14:paraId="06ABFD32" w14:textId="77777777" w:rsidR="004A326E" w:rsidRDefault="004A326E" w:rsidP="004B0475">
      <w:pPr>
        <w:pStyle w:val="ac"/>
        <w:numPr>
          <w:ilvl w:val="0"/>
          <w:numId w:val="56"/>
        </w:numPr>
        <w:rPr>
          <w:rFonts w:cs="Arial"/>
        </w:rPr>
      </w:pPr>
      <w:r>
        <w:rPr>
          <w:rFonts w:cs="Arial" w:hint="cs"/>
          <w:rtl/>
        </w:rPr>
        <w:t>רי"ף</w:t>
      </w:r>
      <w:r>
        <w:rPr>
          <w:rFonts w:cs="Arial"/>
          <w:rtl/>
        </w:rPr>
        <w:t xml:space="preserve"> </w:t>
      </w:r>
      <w:r w:rsidRPr="00EF4948">
        <w:rPr>
          <w:rFonts w:cs="Arial"/>
          <w:sz w:val="16"/>
          <w:szCs w:val="16"/>
          <w:rtl/>
        </w:rPr>
        <w:t>(ד.)</w:t>
      </w:r>
      <w:r w:rsidRPr="00EF4948">
        <w:rPr>
          <w:rFonts w:cs="Arial" w:hint="cs"/>
          <w:sz w:val="16"/>
          <w:szCs w:val="16"/>
          <w:rtl/>
        </w:rPr>
        <w:t xml:space="preserve"> </w:t>
      </w:r>
      <w:r>
        <w:rPr>
          <w:rFonts w:cs="Arial"/>
          <w:rtl/>
        </w:rPr>
        <w:t xml:space="preserve">רמב"ם </w:t>
      </w:r>
      <w:r w:rsidRPr="00EF4948">
        <w:rPr>
          <w:rFonts w:cs="Arial" w:hint="cs"/>
          <w:sz w:val="16"/>
          <w:szCs w:val="16"/>
          <w:rtl/>
        </w:rPr>
        <w:t>(</w:t>
      </w:r>
      <w:r w:rsidRPr="00EF4948">
        <w:rPr>
          <w:rFonts w:cs="Arial"/>
          <w:sz w:val="16"/>
          <w:szCs w:val="16"/>
          <w:rtl/>
        </w:rPr>
        <w:t>פ"ו מהל</w:t>
      </w:r>
      <w:r w:rsidRPr="00EF4948">
        <w:rPr>
          <w:rFonts w:cs="Arial" w:hint="cs"/>
          <w:sz w:val="16"/>
          <w:szCs w:val="16"/>
          <w:rtl/>
        </w:rPr>
        <w:t>'</w:t>
      </w:r>
      <w:r w:rsidRPr="00EF4948">
        <w:rPr>
          <w:rFonts w:cs="Arial"/>
          <w:sz w:val="16"/>
          <w:szCs w:val="16"/>
          <w:rtl/>
        </w:rPr>
        <w:t xml:space="preserve"> תפלה</w:t>
      </w:r>
      <w:r w:rsidRPr="00EF4948">
        <w:rPr>
          <w:rFonts w:cs="Arial" w:hint="cs"/>
          <w:sz w:val="16"/>
          <w:szCs w:val="16"/>
          <w:rtl/>
        </w:rPr>
        <w:t xml:space="preserve"> </w:t>
      </w:r>
      <w:r w:rsidRPr="00EF4948">
        <w:rPr>
          <w:rFonts w:cs="Arial"/>
          <w:sz w:val="16"/>
          <w:szCs w:val="16"/>
          <w:rtl/>
        </w:rPr>
        <w:t>ה"ה)</w:t>
      </w:r>
      <w:r w:rsidRPr="00EF4948">
        <w:rPr>
          <w:rFonts w:cs="Arial" w:hint="cs"/>
          <w:sz w:val="16"/>
          <w:szCs w:val="16"/>
          <w:rtl/>
        </w:rPr>
        <w:t xml:space="preserve"> </w:t>
      </w:r>
      <w:r>
        <w:rPr>
          <w:rFonts w:cs="Arial"/>
          <w:rtl/>
        </w:rPr>
        <w:t>רא"ש</w:t>
      </w:r>
      <w:r>
        <w:rPr>
          <w:rStyle w:val="ab"/>
          <w:rFonts w:cs="Arial"/>
          <w:rtl/>
        </w:rPr>
        <w:footnoteReference w:id="282"/>
      </w:r>
      <w:r>
        <w:rPr>
          <w:rFonts w:cs="Arial"/>
          <w:rtl/>
        </w:rPr>
        <w:t xml:space="preserve"> </w:t>
      </w:r>
      <w:r w:rsidRPr="00EF4948">
        <w:rPr>
          <w:rFonts w:cs="Arial"/>
          <w:sz w:val="16"/>
          <w:szCs w:val="16"/>
          <w:rtl/>
        </w:rPr>
        <w:t>(סי' יח)</w:t>
      </w:r>
      <w:r w:rsidR="0044256C">
        <w:rPr>
          <w:rFonts w:cs="Arial" w:hint="cs"/>
          <w:rtl/>
        </w:rPr>
        <w:t xml:space="preserve"> וטור</w:t>
      </w:r>
      <w:r>
        <w:rPr>
          <w:rFonts w:cs="Arial" w:hint="cs"/>
          <w:rtl/>
        </w:rPr>
        <w:t xml:space="preserve">- </w:t>
      </w:r>
      <w:r w:rsidRPr="00AD6F09">
        <w:rPr>
          <w:rFonts w:cs="Arial"/>
          <w:rtl/>
        </w:rPr>
        <w:t>אפי' לגמר דין אין להתחיל אפי' סמוך למנחה גדול</w:t>
      </w:r>
      <w:r>
        <w:rPr>
          <w:rFonts w:cs="Arial" w:hint="cs"/>
          <w:rtl/>
        </w:rPr>
        <w:t>ה,</w:t>
      </w:r>
      <w:r>
        <w:rPr>
          <w:rFonts w:cs="Arial"/>
          <w:rtl/>
        </w:rPr>
        <w:t xml:space="preserve"> כרב אחא בר יעקב</w:t>
      </w:r>
      <w:r>
        <w:rPr>
          <w:rFonts w:cs="Arial" w:hint="cs"/>
          <w:rtl/>
        </w:rPr>
        <w:t>.</w:t>
      </w:r>
      <w:r w:rsidRPr="00AD6F09">
        <w:rPr>
          <w:rFonts w:cs="Arial" w:hint="cs"/>
          <w:color w:val="E36C0A" w:themeColor="accent6" w:themeShade="BF"/>
          <w:rtl/>
        </w:rPr>
        <w:t xml:space="preserve"> (וכ"פ בשו"ע)</w:t>
      </w:r>
    </w:p>
    <w:bookmarkEnd w:id="26"/>
    <w:p w14:paraId="0F1D19D2" w14:textId="77777777" w:rsidR="004A326E" w:rsidRPr="003024E5" w:rsidRDefault="004A326E" w:rsidP="004A326E">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6A7438AC" w14:textId="77777777" w:rsidR="004A326E" w:rsidRDefault="004A326E" w:rsidP="004A326E">
      <w:pPr>
        <w:rPr>
          <w:rFonts w:cs="Arial"/>
          <w:sz w:val="18"/>
          <w:szCs w:val="18"/>
          <w:rtl/>
        </w:rPr>
      </w:pPr>
      <w:r>
        <w:rPr>
          <w:rFonts w:cs="Arial"/>
          <w:rtl/>
        </w:rPr>
        <w:t>אין יושבין בדין מתחלת שעה שביעית</w:t>
      </w:r>
      <w:r>
        <w:rPr>
          <w:rStyle w:val="ab"/>
          <w:rFonts w:cs="Arial"/>
          <w:rtl/>
        </w:rPr>
        <w:footnoteReference w:id="283"/>
      </w:r>
      <w:r>
        <w:rPr>
          <w:rFonts w:cs="Arial"/>
          <w:rtl/>
        </w:rPr>
        <w:t>, אפילו לגמור דין, עד שיתפללו תפלת המנחה. ואם התחילו, אפילו תחלת דין, אין מפסיקין אפילו לכשיגיע זמן מנחה קטנה, ובלבד שיהיה להם שהות להתפלל אחר שיגמרו הדין</w:t>
      </w:r>
      <w:r>
        <w:rPr>
          <w:rStyle w:val="ab"/>
          <w:rFonts w:cs="Arial"/>
          <w:rtl/>
        </w:rPr>
        <w:footnoteReference w:id="284"/>
      </w:r>
      <w:r>
        <w:rPr>
          <w:rFonts w:cs="Arial"/>
          <w:rtl/>
        </w:rPr>
        <w:t xml:space="preserve">. </w:t>
      </w:r>
      <w:r w:rsidRPr="00AE06AA">
        <w:rPr>
          <w:rFonts w:cs="Arial" w:hint="cs"/>
          <w:sz w:val="18"/>
          <w:szCs w:val="18"/>
          <w:rtl/>
        </w:rPr>
        <w:t xml:space="preserve">[הגה] </w:t>
      </w:r>
      <w:r w:rsidRPr="00AE06AA">
        <w:rPr>
          <w:rFonts w:cs="Arial"/>
          <w:sz w:val="18"/>
          <w:szCs w:val="18"/>
          <w:rtl/>
        </w:rPr>
        <w:t>ואם ישבו סמוך למנחה קטנה, מפסיקין</w:t>
      </w:r>
      <w:r>
        <w:rPr>
          <w:rStyle w:val="ab"/>
          <w:rFonts w:cs="Arial"/>
          <w:sz w:val="18"/>
          <w:szCs w:val="18"/>
          <w:rtl/>
        </w:rPr>
        <w:footnoteReference w:id="285"/>
      </w:r>
      <w:r w:rsidRPr="00AE06AA">
        <w:rPr>
          <w:rFonts w:cs="Arial"/>
          <w:sz w:val="18"/>
          <w:szCs w:val="18"/>
          <w:rtl/>
        </w:rPr>
        <w:t xml:space="preserve"> (טור). </w:t>
      </w:r>
    </w:p>
    <w:p w14:paraId="07AEFED9" w14:textId="77777777" w:rsidR="004A326E" w:rsidRDefault="004A326E" w:rsidP="004A326E">
      <w:pPr>
        <w:rPr>
          <w:rtl/>
        </w:rPr>
      </w:pPr>
    </w:p>
    <w:p w14:paraId="5F736E92" w14:textId="77777777" w:rsidR="004A326E" w:rsidRDefault="004A326E" w:rsidP="004A326E">
      <w:pPr>
        <w:pStyle w:val="2"/>
        <w:rPr>
          <w:rtl/>
        </w:rPr>
      </w:pPr>
      <w:bookmarkStart w:id="27" w:name="_Toc24883531"/>
      <w:r>
        <w:rPr>
          <w:rtl/>
        </w:rPr>
        <w:t>סעיף ה</w:t>
      </w:r>
      <w:r>
        <w:rPr>
          <w:rFonts w:hint="cs"/>
          <w:rtl/>
        </w:rPr>
        <w:t>: מאימתי הוי התחלת דין.</w:t>
      </w:r>
      <w:bookmarkEnd w:id="27"/>
    </w:p>
    <w:p w14:paraId="6A65C987" w14:textId="77777777" w:rsidR="004A326E" w:rsidRDefault="004A326E" w:rsidP="004A326E">
      <w:pPr>
        <w:rPr>
          <w:rFonts w:cs="Arial"/>
          <w:rtl/>
        </w:rPr>
      </w:pPr>
      <w:r>
        <w:rPr>
          <w:rFonts w:cs="Arial" w:hint="cs"/>
          <w:b/>
          <w:bCs/>
          <w:rtl/>
        </w:rPr>
        <w:t xml:space="preserve">שבת </w:t>
      </w:r>
      <w:r w:rsidRPr="009453B3">
        <w:rPr>
          <w:rFonts w:cs="Arial" w:hint="cs"/>
          <w:b/>
          <w:bCs/>
          <w:sz w:val="16"/>
          <w:szCs w:val="16"/>
          <w:rtl/>
        </w:rPr>
        <w:t xml:space="preserve">(פ"ק) </w:t>
      </w:r>
      <w:r>
        <w:rPr>
          <w:rFonts w:cs="Arial" w:hint="cs"/>
          <w:b/>
          <w:bCs/>
          <w:rtl/>
        </w:rPr>
        <w:t xml:space="preserve">י ע"א: </w:t>
      </w:r>
      <w:r w:rsidRPr="00462464">
        <w:rPr>
          <w:rFonts w:cs="Arial"/>
          <w:rtl/>
        </w:rPr>
        <w:t xml:space="preserve">מאימתי התחלת דין? </w:t>
      </w:r>
      <w:r w:rsidRPr="005B22D5">
        <w:rPr>
          <w:rFonts w:cs="Arial"/>
          <w:rtl/>
        </w:rPr>
        <w:t>רבי ירמיה ורבי יונה</w:t>
      </w:r>
      <w:r w:rsidRPr="00462464">
        <w:rPr>
          <w:rFonts w:cs="Arial"/>
          <w:rtl/>
        </w:rPr>
        <w:t xml:space="preserve">, </w:t>
      </w:r>
      <w:r w:rsidRPr="005B22D5">
        <w:rPr>
          <w:rFonts w:cs="Arial"/>
          <w:u w:val="single"/>
          <w:rtl/>
        </w:rPr>
        <w:t>חד אמר</w:t>
      </w:r>
      <w:r w:rsidRPr="00462464">
        <w:rPr>
          <w:rFonts w:cs="Arial"/>
          <w:rtl/>
        </w:rPr>
        <w:t>: משיתעטפו הדיינין</w:t>
      </w:r>
      <w:r>
        <w:rPr>
          <w:rStyle w:val="ab"/>
          <w:rFonts w:cs="Arial"/>
          <w:rtl/>
        </w:rPr>
        <w:footnoteReference w:id="286"/>
      </w:r>
      <w:r w:rsidRPr="00462464">
        <w:rPr>
          <w:rFonts w:cs="Arial"/>
          <w:rtl/>
        </w:rPr>
        <w:t xml:space="preserve">, </w:t>
      </w:r>
      <w:r w:rsidRPr="005B22D5">
        <w:rPr>
          <w:rFonts w:cs="Arial"/>
          <w:u w:val="single"/>
          <w:rtl/>
        </w:rPr>
        <w:t>וחד אמר</w:t>
      </w:r>
      <w:r w:rsidRPr="00462464">
        <w:rPr>
          <w:rFonts w:cs="Arial"/>
          <w:rtl/>
        </w:rPr>
        <w:t>: משיפתחו בעלי דינים. ולא פליגי, הא - דעסקי ואתו</w:t>
      </w:r>
      <w:r>
        <w:rPr>
          <w:rStyle w:val="ab"/>
          <w:rFonts w:cs="Arial"/>
          <w:rtl/>
        </w:rPr>
        <w:footnoteReference w:id="287"/>
      </w:r>
      <w:r w:rsidRPr="00462464">
        <w:rPr>
          <w:rFonts w:cs="Arial"/>
          <w:rtl/>
        </w:rPr>
        <w:t xml:space="preserve"> בדינא, הא - דלא עסקי ואתו בדינא. </w:t>
      </w:r>
    </w:p>
    <w:p w14:paraId="5DF12EDC" w14:textId="77777777" w:rsidR="004A326E" w:rsidRPr="003024E5" w:rsidRDefault="004A326E" w:rsidP="004A326E">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089FA091" w14:textId="77777777" w:rsidR="004A326E" w:rsidRDefault="004A326E" w:rsidP="004A326E">
      <w:pPr>
        <w:rPr>
          <w:rtl/>
        </w:rPr>
      </w:pPr>
      <w:r>
        <w:rPr>
          <w:rFonts w:cs="Arial"/>
          <w:rtl/>
        </w:rPr>
        <w:t>מאימתי הוי התחלת הדין, משיתחילו בעלי דינים לטעון או שנתעטפו הדיינים</w:t>
      </w:r>
      <w:r>
        <w:rPr>
          <w:rStyle w:val="ab"/>
          <w:rFonts w:cs="Arial"/>
          <w:rtl/>
        </w:rPr>
        <w:footnoteReference w:id="288"/>
      </w:r>
      <w:r>
        <w:rPr>
          <w:rFonts w:cs="Arial"/>
          <w:rtl/>
        </w:rPr>
        <w:t xml:space="preserve">. </w:t>
      </w:r>
      <w:r w:rsidRPr="005B22D5">
        <w:rPr>
          <w:rFonts w:cs="Arial" w:hint="cs"/>
          <w:sz w:val="18"/>
          <w:szCs w:val="18"/>
          <w:rtl/>
        </w:rPr>
        <w:t xml:space="preserve">[הגה] </w:t>
      </w:r>
      <w:r w:rsidRPr="005B22D5">
        <w:rPr>
          <w:rFonts w:cs="Arial"/>
          <w:sz w:val="18"/>
          <w:szCs w:val="18"/>
          <w:rtl/>
        </w:rPr>
        <w:t>ועיין בא</w:t>
      </w:r>
      <w:r>
        <w:rPr>
          <w:rFonts w:cs="Arial" w:hint="cs"/>
          <w:sz w:val="18"/>
          <w:szCs w:val="18"/>
          <w:rtl/>
        </w:rPr>
        <w:t>ו</w:t>
      </w:r>
      <w:r w:rsidRPr="005B22D5">
        <w:rPr>
          <w:rFonts w:cs="Arial"/>
          <w:sz w:val="18"/>
          <w:szCs w:val="18"/>
          <w:rtl/>
        </w:rPr>
        <w:t>"ח סימן רלב.</w:t>
      </w:r>
    </w:p>
    <w:p w14:paraId="6EDF8AB4" w14:textId="77777777" w:rsidR="004A326E" w:rsidRDefault="004A326E" w:rsidP="004A326E">
      <w:pPr>
        <w:rPr>
          <w:rFonts w:cs="Arial"/>
          <w:rtl/>
        </w:rPr>
        <w:sectPr w:rsidR="004A326E" w:rsidSect="00AF3AF9">
          <w:headerReference w:type="default" r:id="rId15"/>
          <w:footnotePr>
            <w:numRestart w:val="eachPage"/>
          </w:footnotePr>
          <w:pgSz w:w="11906" w:h="16838"/>
          <w:pgMar w:top="720" w:right="1134" w:bottom="720" w:left="1134" w:header="0" w:footer="0" w:gutter="0"/>
          <w:cols w:space="720"/>
          <w:bidi/>
          <w:rtlGutter/>
          <w:docGrid w:linePitch="360"/>
        </w:sectPr>
      </w:pPr>
    </w:p>
    <w:p w14:paraId="10D905CB" w14:textId="77777777" w:rsidR="004A326E" w:rsidRDefault="004A326E" w:rsidP="004A326E">
      <w:pPr>
        <w:pStyle w:val="1"/>
        <w:rPr>
          <w:rtl/>
        </w:rPr>
      </w:pPr>
      <w:bookmarkStart w:id="28" w:name="_Toc24883532"/>
      <w:r>
        <w:rPr>
          <w:rFonts w:hint="cs"/>
          <w:rtl/>
        </w:rPr>
        <w:lastRenderedPageBreak/>
        <w:t xml:space="preserve">סימן ו: </w:t>
      </w:r>
      <w:r>
        <w:rPr>
          <w:rtl/>
        </w:rPr>
        <w:t>על כמה דנין, ובו סעיף אחד.</w:t>
      </w:r>
      <w:bookmarkEnd w:id="28"/>
      <w:r>
        <w:rPr>
          <w:rtl/>
        </w:rPr>
        <w:t xml:space="preserve"> </w:t>
      </w:r>
    </w:p>
    <w:p w14:paraId="70BFED86" w14:textId="77777777" w:rsidR="004A326E" w:rsidRDefault="004A326E" w:rsidP="004A326E">
      <w:pPr>
        <w:pStyle w:val="2"/>
        <w:rPr>
          <w:rtl/>
        </w:rPr>
      </w:pPr>
      <w:bookmarkStart w:id="29" w:name="_Toc24883533"/>
      <w:r>
        <w:rPr>
          <w:rtl/>
        </w:rPr>
        <w:t>סעיף א</w:t>
      </w:r>
      <w:bookmarkEnd w:id="29"/>
    </w:p>
    <w:p w14:paraId="0E08110A" w14:textId="77777777" w:rsidR="004A326E" w:rsidRDefault="004A326E" w:rsidP="004A326E">
      <w:pPr>
        <w:rPr>
          <w:rFonts w:cs="Arial"/>
          <w:rtl/>
        </w:rPr>
      </w:pPr>
      <w:bookmarkStart w:id="30" w:name="_Hlk18352943"/>
      <w:r w:rsidRPr="00257F86">
        <w:rPr>
          <w:rFonts w:cs="Arial" w:hint="cs"/>
          <w:b/>
          <w:bCs/>
          <w:rtl/>
        </w:rPr>
        <w:t xml:space="preserve">בבא מציעא </w:t>
      </w:r>
      <w:r w:rsidRPr="00257F86">
        <w:rPr>
          <w:rFonts w:cs="Arial" w:hint="cs"/>
          <w:b/>
          <w:bCs/>
          <w:sz w:val="16"/>
          <w:szCs w:val="16"/>
          <w:rtl/>
        </w:rPr>
        <w:t>(פ'</w:t>
      </w:r>
      <w:r w:rsidRPr="00257F86">
        <w:rPr>
          <w:rFonts w:cs="Arial"/>
          <w:b/>
          <w:bCs/>
          <w:sz w:val="16"/>
          <w:szCs w:val="16"/>
          <w:rtl/>
        </w:rPr>
        <w:t xml:space="preserve"> הזהב</w:t>
      </w:r>
      <w:r w:rsidRPr="00257F86">
        <w:rPr>
          <w:rFonts w:cs="Arial" w:hint="cs"/>
          <w:b/>
          <w:bCs/>
          <w:sz w:val="16"/>
          <w:szCs w:val="16"/>
          <w:rtl/>
        </w:rPr>
        <w:t>)</w:t>
      </w:r>
      <w:r w:rsidRPr="00257F86">
        <w:rPr>
          <w:rFonts w:cs="Arial"/>
          <w:b/>
          <w:bCs/>
          <w:sz w:val="16"/>
          <w:szCs w:val="16"/>
          <w:rtl/>
        </w:rPr>
        <w:t xml:space="preserve"> </w:t>
      </w:r>
      <w:r w:rsidRPr="00257F86">
        <w:rPr>
          <w:rFonts w:cs="Arial"/>
          <w:b/>
          <w:bCs/>
          <w:rtl/>
        </w:rPr>
        <w:t>נה</w:t>
      </w:r>
      <w:r w:rsidR="00C84EC7">
        <w:rPr>
          <w:rStyle w:val="ab"/>
          <w:rFonts w:cs="Arial"/>
          <w:b/>
          <w:bCs/>
          <w:rtl/>
        </w:rPr>
        <w:footnoteReference w:id="289"/>
      </w:r>
      <w:r w:rsidRPr="00257F86">
        <w:rPr>
          <w:rFonts w:cs="Arial" w:hint="cs"/>
          <w:b/>
          <w:bCs/>
          <w:rtl/>
        </w:rPr>
        <w:t xml:space="preserve"> ע"א:</w:t>
      </w:r>
      <w:r w:rsidRPr="00257F86">
        <w:rPr>
          <w:rtl/>
        </w:rPr>
        <w:t xml:space="preserve"> </w:t>
      </w:r>
      <w:r w:rsidRPr="00257F86">
        <w:rPr>
          <w:rFonts w:cs="Arial"/>
          <w:u w:val="double"/>
          <w:rtl/>
        </w:rPr>
        <w:t>משנה</w:t>
      </w:r>
      <w:r>
        <w:rPr>
          <w:rFonts w:cs="Arial" w:hint="cs"/>
          <w:rtl/>
        </w:rPr>
        <w:t>:..</w:t>
      </w:r>
      <w:r w:rsidRPr="00257F86">
        <w:rPr>
          <w:rFonts w:cs="Arial"/>
          <w:rtl/>
        </w:rPr>
        <w:t xml:space="preserve">. חמש פרוטות הן: ההודאה </w:t>
      </w:r>
      <w:r w:rsidR="00905D8B">
        <w:rPr>
          <w:rFonts w:cs="Arial" w:hint="cs"/>
          <w:rtl/>
        </w:rPr>
        <w:t xml:space="preserve">- </w:t>
      </w:r>
      <w:r w:rsidRPr="00257F86">
        <w:rPr>
          <w:rFonts w:cs="Arial"/>
          <w:rtl/>
        </w:rPr>
        <w:t>שוה פרוטה</w:t>
      </w:r>
      <w:r w:rsidR="00905D8B">
        <w:rPr>
          <w:rFonts w:cs="Arial" w:hint="cs"/>
          <w:rtl/>
        </w:rPr>
        <w:t>.</w:t>
      </w:r>
      <w:r w:rsidRPr="00257F86">
        <w:rPr>
          <w:rFonts w:cs="Arial"/>
          <w:rtl/>
        </w:rPr>
        <w:t xml:space="preserve"> והאשה </w:t>
      </w:r>
      <w:r w:rsidR="00905D8B">
        <w:rPr>
          <w:rFonts w:cs="Arial" w:hint="cs"/>
          <w:rtl/>
        </w:rPr>
        <w:t xml:space="preserve">- </w:t>
      </w:r>
      <w:r w:rsidRPr="00257F86">
        <w:rPr>
          <w:rFonts w:cs="Arial"/>
          <w:rtl/>
        </w:rPr>
        <w:t>מתקדשת בשוה פרוטה</w:t>
      </w:r>
      <w:r w:rsidR="00905D8B">
        <w:rPr>
          <w:rFonts w:cs="Arial" w:hint="cs"/>
          <w:rtl/>
        </w:rPr>
        <w:t>.</w:t>
      </w:r>
      <w:r w:rsidRPr="00257F86">
        <w:rPr>
          <w:rFonts w:cs="Arial"/>
          <w:rtl/>
        </w:rPr>
        <w:t xml:space="preserve"> והנהנה בשוה פרוטה מן ההקדש </w:t>
      </w:r>
      <w:r w:rsidR="00905D8B">
        <w:rPr>
          <w:rFonts w:cs="Arial"/>
          <w:rtl/>
        </w:rPr>
        <w:t>–</w:t>
      </w:r>
      <w:r w:rsidR="00905D8B">
        <w:rPr>
          <w:rFonts w:cs="Arial" w:hint="cs"/>
          <w:rtl/>
        </w:rPr>
        <w:t xml:space="preserve"> </w:t>
      </w:r>
      <w:r w:rsidRPr="00257F86">
        <w:rPr>
          <w:rFonts w:cs="Arial"/>
          <w:rtl/>
        </w:rPr>
        <w:t>מעל</w:t>
      </w:r>
      <w:r w:rsidR="00905D8B">
        <w:rPr>
          <w:rFonts w:cs="Arial" w:hint="cs"/>
          <w:rtl/>
        </w:rPr>
        <w:t>.</w:t>
      </w:r>
      <w:r w:rsidRPr="00257F86">
        <w:rPr>
          <w:rFonts w:cs="Arial"/>
          <w:rtl/>
        </w:rPr>
        <w:t xml:space="preserve"> והמוצא שוה פרוטה </w:t>
      </w:r>
      <w:r w:rsidR="00905D8B">
        <w:rPr>
          <w:rFonts w:cs="Arial" w:hint="cs"/>
          <w:rtl/>
        </w:rPr>
        <w:t xml:space="preserve">- </w:t>
      </w:r>
      <w:r w:rsidRPr="00257F86">
        <w:rPr>
          <w:rFonts w:cs="Arial"/>
          <w:rtl/>
        </w:rPr>
        <w:t>חייב להכריז</w:t>
      </w:r>
      <w:r w:rsidR="00905D8B">
        <w:rPr>
          <w:rFonts w:cs="Arial" w:hint="cs"/>
          <w:rtl/>
        </w:rPr>
        <w:t>.</w:t>
      </w:r>
      <w:r w:rsidRPr="00257F86">
        <w:rPr>
          <w:rFonts w:cs="Arial"/>
          <w:rtl/>
        </w:rPr>
        <w:t xml:space="preserve"> והגוזל את חבירו שוה פרוטה ונשבע לו - יוליכנו אחריו אפילו למדי.</w:t>
      </w:r>
      <w:r>
        <w:rPr>
          <w:rFonts w:cs="Arial" w:hint="cs"/>
          <w:rtl/>
        </w:rPr>
        <w:t xml:space="preserve">    </w:t>
      </w:r>
      <w:r w:rsidRPr="00257F86">
        <w:rPr>
          <w:rFonts w:cs="Arial"/>
          <w:rtl/>
        </w:rPr>
        <w:t xml:space="preserve"> </w:t>
      </w:r>
      <w:r w:rsidRPr="00257F86">
        <w:rPr>
          <w:rFonts w:cs="Arial" w:hint="cs"/>
          <w:u w:val="double"/>
          <w:rtl/>
        </w:rPr>
        <w:t>גמרא:</w:t>
      </w:r>
      <w:r>
        <w:rPr>
          <w:rFonts w:cs="Arial" w:hint="cs"/>
          <w:rtl/>
        </w:rPr>
        <w:t xml:space="preserve"> </w:t>
      </w:r>
      <w:r w:rsidRPr="00257F86">
        <w:rPr>
          <w:rFonts w:cs="Arial"/>
          <w:rtl/>
        </w:rPr>
        <w:t xml:space="preserve">חמש פרוטות הן כו', וליתני נמי האונאה פרוטה! </w:t>
      </w:r>
      <w:r w:rsidRPr="00257F86">
        <w:rPr>
          <w:rFonts w:cs="Arial"/>
          <w:u w:val="single"/>
          <w:rtl/>
        </w:rPr>
        <w:t>אמר רב כהנא</w:t>
      </w:r>
      <w:r w:rsidRPr="00257F86">
        <w:rPr>
          <w:rFonts w:cs="Arial"/>
          <w:rtl/>
        </w:rPr>
        <w:t xml:space="preserve">: זאת אומרת אין אונאה לפרוטות. </w:t>
      </w:r>
      <w:r w:rsidRPr="00257F86">
        <w:rPr>
          <w:rFonts w:cs="Arial"/>
          <w:u w:val="single"/>
          <w:rtl/>
        </w:rPr>
        <w:t>ולוי אמר</w:t>
      </w:r>
      <w:r w:rsidRPr="00257F86">
        <w:rPr>
          <w:rFonts w:cs="Arial"/>
          <w:rtl/>
        </w:rPr>
        <w:t>: יש אונאה לפרוטות. וכן תני לוי במתניתיה; חמש פרוטות הן: האונאה פרוטה, וההודאה פרוטה, וקדושי אשה בפרוטה, וגזל בפרוטה, וישיבת הדיינין בפרוטה. ותנא דידן מאי טעמא לא קתני ישיבת הדיינין? תנא ליה גזל.</w:t>
      </w:r>
      <w:r>
        <w:rPr>
          <w:rFonts w:cs="Arial" w:hint="cs"/>
          <w:rtl/>
        </w:rPr>
        <w:t xml:space="preserve">.. </w:t>
      </w:r>
      <w:r w:rsidRPr="00257F86">
        <w:rPr>
          <w:rFonts w:cs="Arial"/>
          <w:rtl/>
        </w:rPr>
        <w:t>ולוי, מאי טעמא לא תני אבידה בפרוטה? תנא ליה גזל. ומי לא קתני גזל וקתני ישיבת הדיינין</w:t>
      </w:r>
      <w:r>
        <w:rPr>
          <w:rStyle w:val="ab"/>
          <w:rFonts w:cs="Arial"/>
          <w:rtl/>
        </w:rPr>
        <w:footnoteReference w:id="290"/>
      </w:r>
      <w:r w:rsidRPr="00257F86">
        <w:rPr>
          <w:rFonts w:cs="Arial"/>
          <w:rtl/>
        </w:rPr>
        <w:t xml:space="preserve">? ישיבת הדיינין אצטריכא ליה לאפוקי מדרב קטינא. </w:t>
      </w:r>
      <w:r w:rsidRPr="00792EB0">
        <w:rPr>
          <w:rFonts w:cs="Arial"/>
          <w:u w:val="single"/>
          <w:rtl/>
        </w:rPr>
        <w:t>דאמר רב קטינא:</w:t>
      </w:r>
      <w:r w:rsidRPr="00257F86">
        <w:rPr>
          <w:rFonts w:cs="Arial"/>
          <w:rtl/>
        </w:rPr>
        <w:t xml:space="preserve"> בית דין נזקקין אפילו לפחות משוה פרוטה.</w:t>
      </w:r>
      <w:r>
        <w:rPr>
          <w:rFonts w:cs="Arial" w:hint="cs"/>
          <w:rtl/>
        </w:rPr>
        <w:t xml:space="preserve">.. </w:t>
      </w:r>
      <w:r w:rsidRPr="00257F86">
        <w:rPr>
          <w:rFonts w:cs="Arial"/>
          <w:rtl/>
        </w:rPr>
        <w:t xml:space="preserve">גופא, </w:t>
      </w:r>
      <w:r w:rsidRPr="007E04F8">
        <w:rPr>
          <w:rFonts w:cs="Arial"/>
          <w:u w:val="single"/>
          <w:rtl/>
        </w:rPr>
        <w:t>אמר רב קטינא</w:t>
      </w:r>
      <w:r w:rsidRPr="00257F86">
        <w:rPr>
          <w:rFonts w:cs="Arial"/>
          <w:rtl/>
        </w:rPr>
        <w:t xml:space="preserve">: בית דין נזקקין אפילו לפחות משוה פרוטה. </w:t>
      </w:r>
      <w:r w:rsidRPr="007E04F8">
        <w:rPr>
          <w:rFonts w:cs="Arial"/>
          <w:u w:val="single"/>
          <w:rtl/>
        </w:rPr>
        <w:t>מתיב רבא</w:t>
      </w:r>
      <w:r w:rsidRPr="00257F86">
        <w:rPr>
          <w:rFonts w:cs="Arial"/>
          <w:rtl/>
        </w:rPr>
        <w:t xml:space="preserve">: ואת אשר חטא מן הקדש ישלם </w:t>
      </w:r>
      <w:r>
        <w:rPr>
          <w:rFonts w:cs="Arial" w:hint="cs"/>
          <w:rtl/>
        </w:rPr>
        <w:t xml:space="preserve">- </w:t>
      </w:r>
      <w:r w:rsidRPr="00257F86">
        <w:rPr>
          <w:rFonts w:cs="Arial" w:hint="cs"/>
          <w:sz w:val="14"/>
          <w:szCs w:val="14"/>
          <w:rtl/>
        </w:rPr>
        <w:t>(נה:)</w:t>
      </w:r>
      <w:r w:rsidRPr="00257F86">
        <w:rPr>
          <w:sz w:val="14"/>
          <w:szCs w:val="14"/>
          <w:rtl/>
        </w:rPr>
        <w:t xml:space="preserve"> </w:t>
      </w:r>
      <w:r w:rsidRPr="00257F86">
        <w:rPr>
          <w:rFonts w:cs="Arial"/>
          <w:rtl/>
        </w:rPr>
        <w:t xml:space="preserve">לרבות פחות משוה פרוטה להישבון. לקדש - אין, אבל להדיוט - לא! </w:t>
      </w:r>
      <w:r w:rsidRPr="007E04F8">
        <w:rPr>
          <w:rFonts w:cs="Arial"/>
          <w:u w:val="single"/>
          <w:rtl/>
        </w:rPr>
        <w:t>אלא אי אתמר הכי אתמר, אמר רב קטינא</w:t>
      </w:r>
      <w:r w:rsidRPr="00257F86">
        <w:rPr>
          <w:rFonts w:cs="Arial"/>
          <w:rtl/>
        </w:rPr>
        <w:t>: אם הוזקקו בית דין לשוה פרוטה</w:t>
      </w:r>
      <w:r>
        <w:rPr>
          <w:rStyle w:val="ab"/>
          <w:rFonts w:cs="Arial"/>
          <w:rtl/>
        </w:rPr>
        <w:footnoteReference w:id="291"/>
      </w:r>
      <w:r w:rsidRPr="00257F86">
        <w:rPr>
          <w:rFonts w:cs="Arial"/>
          <w:rtl/>
        </w:rPr>
        <w:t xml:space="preserve"> - גומרין אפילו לפחות</w:t>
      </w:r>
      <w:r>
        <w:rPr>
          <w:rStyle w:val="ab"/>
          <w:rFonts w:cs="Arial"/>
          <w:rtl/>
        </w:rPr>
        <w:footnoteReference w:id="292"/>
      </w:r>
      <w:r w:rsidRPr="00257F86">
        <w:rPr>
          <w:rFonts w:cs="Arial"/>
          <w:rtl/>
        </w:rPr>
        <w:t xml:space="preserve"> משוה פרוטה. תחילת הדין - בעינן פרוטה, גמר הדין - לא בעינן פרוטה.</w:t>
      </w:r>
    </w:p>
    <w:p w14:paraId="66825AB6" w14:textId="77777777" w:rsidR="004A326E" w:rsidRPr="00FC319C" w:rsidRDefault="004A326E" w:rsidP="004A326E">
      <w:pPr>
        <w:rPr>
          <w:rFonts w:cs="Arial"/>
          <w:u w:val="single"/>
          <w:rtl/>
        </w:rPr>
      </w:pPr>
      <w:r w:rsidRPr="00FC319C">
        <w:rPr>
          <w:rFonts w:cs="Arial" w:hint="cs"/>
          <w:u w:val="single"/>
          <w:rtl/>
        </w:rPr>
        <w:t>מאיזה סכום</w:t>
      </w:r>
      <w:r>
        <w:rPr>
          <w:rFonts w:cs="Arial" w:hint="cs"/>
          <w:u w:val="single"/>
          <w:rtl/>
        </w:rPr>
        <w:t xml:space="preserve"> כסף</w:t>
      </w:r>
      <w:r w:rsidRPr="00FC319C">
        <w:rPr>
          <w:rFonts w:cs="Arial" w:hint="cs"/>
          <w:u w:val="single"/>
          <w:rtl/>
        </w:rPr>
        <w:t xml:space="preserve"> יושבים הדיינים לדון:</w:t>
      </w:r>
    </w:p>
    <w:p w14:paraId="31DEED28" w14:textId="77777777" w:rsidR="004A326E" w:rsidRDefault="004A326E" w:rsidP="004B0475">
      <w:pPr>
        <w:pStyle w:val="ac"/>
        <w:numPr>
          <w:ilvl w:val="0"/>
          <w:numId w:val="55"/>
        </w:numPr>
        <w:rPr>
          <w:rFonts w:cs="Arial"/>
        </w:rPr>
      </w:pPr>
      <w:r w:rsidRPr="00FC319C">
        <w:rPr>
          <w:rFonts w:cs="Arial" w:hint="cs"/>
          <w:rtl/>
        </w:rPr>
        <w:t xml:space="preserve">טור- </w:t>
      </w:r>
      <w:r w:rsidRPr="00FC319C">
        <w:rPr>
          <w:rFonts w:cs="Arial"/>
          <w:rtl/>
        </w:rPr>
        <w:t>אין הדיינין יושבין לדון על פחות משוה פרוטה</w:t>
      </w:r>
      <w:r w:rsidRPr="00FC319C">
        <w:rPr>
          <w:rFonts w:cs="Arial" w:hint="cs"/>
          <w:rtl/>
        </w:rPr>
        <w:t>.</w:t>
      </w:r>
    </w:p>
    <w:p w14:paraId="503CE6BB" w14:textId="77777777" w:rsidR="004A326E" w:rsidRPr="00FC319C" w:rsidRDefault="004A326E" w:rsidP="004A326E">
      <w:pPr>
        <w:ind w:left="360"/>
        <w:rPr>
          <w:rFonts w:cs="Arial"/>
          <w:u w:val="dotted"/>
        </w:rPr>
      </w:pPr>
      <w:r w:rsidRPr="00FC319C">
        <w:rPr>
          <w:rFonts w:cs="Arial" w:hint="cs"/>
          <w:u w:val="dotted"/>
          <w:rtl/>
        </w:rPr>
        <w:t>ומה הדין אם הוזקקו כבר לשוה פרוטה:</w:t>
      </w:r>
    </w:p>
    <w:p w14:paraId="4B6C6D8C" w14:textId="77777777" w:rsidR="004A326E" w:rsidRDefault="004A326E" w:rsidP="004B0475">
      <w:pPr>
        <w:pStyle w:val="ac"/>
        <w:numPr>
          <w:ilvl w:val="0"/>
          <w:numId w:val="55"/>
        </w:numPr>
        <w:rPr>
          <w:rFonts w:cs="Arial"/>
        </w:rPr>
      </w:pPr>
      <w:r w:rsidRPr="00FC319C">
        <w:rPr>
          <w:rFonts w:cs="Arial"/>
          <w:rtl/>
        </w:rPr>
        <w:t>רא"ש</w:t>
      </w:r>
      <w:r>
        <w:rPr>
          <w:rStyle w:val="ab"/>
          <w:rFonts w:cs="Arial"/>
          <w:rtl/>
        </w:rPr>
        <w:footnoteReference w:id="293"/>
      </w:r>
      <w:r w:rsidRPr="00FC319C">
        <w:rPr>
          <w:rFonts w:cs="Arial"/>
          <w:rtl/>
        </w:rPr>
        <w:t xml:space="preserve"> </w:t>
      </w:r>
      <w:r w:rsidRPr="00FC319C">
        <w:rPr>
          <w:rFonts w:cs="Arial"/>
          <w:sz w:val="16"/>
          <w:szCs w:val="16"/>
          <w:rtl/>
        </w:rPr>
        <w:t>(סי' כ)</w:t>
      </w:r>
      <w:r w:rsidRPr="00FC319C">
        <w:rPr>
          <w:rFonts w:cs="Arial" w:hint="cs"/>
          <w:rtl/>
        </w:rPr>
        <w:t>-</w:t>
      </w:r>
      <w:r w:rsidRPr="00FC319C">
        <w:rPr>
          <w:rFonts w:cs="Arial"/>
          <w:rtl/>
        </w:rPr>
        <w:t xml:space="preserve"> אפי</w:t>
      </w:r>
      <w:r>
        <w:rPr>
          <w:rFonts w:cs="Arial" w:hint="cs"/>
          <w:rtl/>
        </w:rPr>
        <w:t>לו</w:t>
      </w:r>
      <w:r w:rsidRPr="00FC319C">
        <w:rPr>
          <w:rFonts w:cs="Arial"/>
          <w:rtl/>
        </w:rPr>
        <w:t xml:space="preserve"> אם הוזקקו כבר לשוה פרוטה </w:t>
      </w:r>
      <w:r w:rsidR="00234305">
        <w:rPr>
          <w:rFonts w:cs="Arial" w:hint="cs"/>
          <w:rtl/>
        </w:rPr>
        <w:t xml:space="preserve">- </w:t>
      </w:r>
      <w:r w:rsidRPr="00FC319C">
        <w:rPr>
          <w:rFonts w:cs="Arial"/>
          <w:rtl/>
        </w:rPr>
        <w:t>אין גומרין אותו בפחות משוה פרוטה</w:t>
      </w:r>
      <w:r>
        <w:rPr>
          <w:rFonts w:cs="Arial" w:hint="cs"/>
          <w:rtl/>
        </w:rPr>
        <w:t xml:space="preserve"> </w:t>
      </w:r>
      <w:r w:rsidRPr="00FC319C">
        <w:rPr>
          <w:rFonts w:cs="Arial" w:hint="cs"/>
          <w:sz w:val="16"/>
          <w:szCs w:val="16"/>
          <w:rtl/>
        </w:rPr>
        <w:t>(ל' הטור בשם הר</w:t>
      </w:r>
      <w:r>
        <w:rPr>
          <w:rFonts w:cs="Arial" w:hint="cs"/>
          <w:sz w:val="16"/>
          <w:szCs w:val="16"/>
          <w:rtl/>
        </w:rPr>
        <w:t>א</w:t>
      </w:r>
      <w:r w:rsidRPr="00FC319C">
        <w:rPr>
          <w:rFonts w:cs="Arial" w:hint="cs"/>
          <w:sz w:val="16"/>
          <w:szCs w:val="16"/>
          <w:rtl/>
        </w:rPr>
        <w:t>"</w:t>
      </w:r>
      <w:r>
        <w:rPr>
          <w:rFonts w:cs="Arial" w:hint="cs"/>
          <w:sz w:val="16"/>
          <w:szCs w:val="16"/>
          <w:rtl/>
        </w:rPr>
        <w:t>ש</w:t>
      </w:r>
      <w:r w:rsidRPr="00FC319C">
        <w:rPr>
          <w:rFonts w:cs="Arial" w:hint="cs"/>
          <w:sz w:val="16"/>
          <w:szCs w:val="16"/>
          <w:rtl/>
        </w:rPr>
        <w:t>)</w:t>
      </w:r>
      <w:r w:rsidRPr="00FC319C">
        <w:rPr>
          <w:rFonts w:cs="Arial" w:hint="cs"/>
          <w:rtl/>
        </w:rPr>
        <w:t xml:space="preserve">, </w:t>
      </w:r>
      <w:r>
        <w:rPr>
          <w:rFonts w:cs="Arial" w:hint="cs"/>
          <w:rtl/>
        </w:rPr>
        <w:t>כלוי</w:t>
      </w:r>
      <w:r>
        <w:rPr>
          <w:rStyle w:val="ab"/>
          <w:rFonts w:cs="Arial"/>
          <w:rtl/>
        </w:rPr>
        <w:footnoteReference w:id="294"/>
      </w:r>
      <w:r w:rsidRPr="00FC319C">
        <w:rPr>
          <w:rFonts w:cs="Arial" w:hint="cs"/>
          <w:rtl/>
        </w:rPr>
        <w:t xml:space="preserve">. </w:t>
      </w:r>
      <w:r>
        <w:rPr>
          <w:rFonts w:cs="Arial" w:hint="cs"/>
          <w:rtl/>
        </w:rPr>
        <w:t>(וכ"פ הסמ"ע</w:t>
      </w:r>
      <w:r>
        <w:rPr>
          <w:rFonts w:cs="Arial" w:hint="cs"/>
          <w:sz w:val="16"/>
          <w:szCs w:val="16"/>
          <w:rtl/>
        </w:rPr>
        <w:t xml:space="preserve"> [סק"ג]</w:t>
      </w:r>
      <w:r>
        <w:rPr>
          <w:rFonts w:cs="Arial" w:hint="cs"/>
          <w:rtl/>
        </w:rPr>
        <w:t>)</w:t>
      </w:r>
    </w:p>
    <w:p w14:paraId="19B376FE" w14:textId="77777777" w:rsidR="004A326E" w:rsidRPr="00FC319C" w:rsidRDefault="004A326E" w:rsidP="004B0475">
      <w:pPr>
        <w:pStyle w:val="ac"/>
        <w:numPr>
          <w:ilvl w:val="0"/>
          <w:numId w:val="55"/>
        </w:numPr>
        <w:rPr>
          <w:rFonts w:cs="Arial"/>
          <w:rtl/>
        </w:rPr>
      </w:pPr>
      <w:r w:rsidRPr="00FC319C">
        <w:rPr>
          <w:rFonts w:cs="Arial"/>
          <w:rtl/>
        </w:rPr>
        <w:t>רמב"ם</w:t>
      </w:r>
      <w:r>
        <w:rPr>
          <w:rStyle w:val="ab"/>
          <w:rFonts w:cs="Arial"/>
          <w:rtl/>
        </w:rPr>
        <w:footnoteReference w:id="295"/>
      </w:r>
      <w:r w:rsidRPr="00FC319C">
        <w:rPr>
          <w:rFonts w:cs="Arial"/>
          <w:rtl/>
        </w:rPr>
        <w:t xml:space="preserve"> </w:t>
      </w:r>
      <w:r w:rsidRPr="00FC319C">
        <w:rPr>
          <w:rFonts w:cs="Arial" w:hint="cs"/>
          <w:sz w:val="16"/>
          <w:szCs w:val="16"/>
          <w:rtl/>
        </w:rPr>
        <w:t>(פ"כ</w:t>
      </w:r>
      <w:r w:rsidRPr="00FC319C">
        <w:rPr>
          <w:rFonts w:cs="Arial"/>
          <w:sz w:val="16"/>
          <w:szCs w:val="16"/>
          <w:rtl/>
        </w:rPr>
        <w:t xml:space="preserve"> מהל</w:t>
      </w:r>
      <w:r w:rsidRPr="00FC319C">
        <w:rPr>
          <w:rFonts w:cs="Arial" w:hint="cs"/>
          <w:sz w:val="16"/>
          <w:szCs w:val="16"/>
          <w:rtl/>
        </w:rPr>
        <w:t>'</w:t>
      </w:r>
      <w:r w:rsidRPr="00FC319C">
        <w:rPr>
          <w:rFonts w:cs="Arial"/>
          <w:sz w:val="16"/>
          <w:szCs w:val="16"/>
          <w:rtl/>
        </w:rPr>
        <w:t xml:space="preserve"> סנהדרין הי"א)</w:t>
      </w:r>
      <w:r w:rsidRPr="00FC319C">
        <w:rPr>
          <w:rFonts w:cs="Arial" w:hint="cs"/>
          <w:rtl/>
        </w:rPr>
        <w:t>-</w:t>
      </w:r>
      <w:r w:rsidRPr="00FC319C">
        <w:rPr>
          <w:rFonts w:cs="Arial"/>
          <w:rtl/>
        </w:rPr>
        <w:t xml:space="preserve"> אם הוזקקו לדון על שוה פרוטה גומרין אותו אפילו בפחות משוה פרוטה</w:t>
      </w:r>
      <w:r w:rsidRPr="00FC319C">
        <w:rPr>
          <w:rFonts w:cs="Arial" w:hint="cs"/>
          <w:sz w:val="16"/>
          <w:szCs w:val="16"/>
          <w:rtl/>
        </w:rPr>
        <w:t xml:space="preserve"> (ל' הטור בשם הרמב"ם)</w:t>
      </w:r>
      <w:r w:rsidRPr="00FC319C">
        <w:rPr>
          <w:rFonts w:cs="Arial" w:hint="cs"/>
          <w:rtl/>
        </w:rPr>
        <w:t>,</w:t>
      </w:r>
      <w:r w:rsidRPr="00FC319C">
        <w:rPr>
          <w:rFonts w:cs="Arial"/>
          <w:rtl/>
        </w:rPr>
        <w:t xml:space="preserve"> כרב קטינא</w:t>
      </w:r>
      <w:r>
        <w:rPr>
          <w:rStyle w:val="ab"/>
          <w:rFonts w:cs="Arial"/>
          <w:rtl/>
        </w:rPr>
        <w:footnoteReference w:id="296"/>
      </w:r>
      <w:r>
        <w:rPr>
          <w:rFonts w:cs="Arial" w:hint="cs"/>
          <w:rtl/>
        </w:rPr>
        <w:t xml:space="preserve">. </w:t>
      </w:r>
      <w:r w:rsidRPr="00FC319C">
        <w:rPr>
          <w:rFonts w:cs="Arial" w:hint="cs"/>
          <w:color w:val="E36C0A" w:themeColor="accent6" w:themeShade="BF"/>
          <w:rtl/>
        </w:rPr>
        <w:t>(וכ"פ בשו"ע)</w:t>
      </w:r>
    </w:p>
    <w:bookmarkEnd w:id="30"/>
    <w:p w14:paraId="14E8ADAA" w14:textId="77777777" w:rsidR="004A326E" w:rsidRPr="003024E5" w:rsidRDefault="004A326E" w:rsidP="004A326E">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3D5B1FDC" w14:textId="77777777" w:rsidR="004A326E" w:rsidRDefault="004A326E" w:rsidP="004A326E">
      <w:pPr>
        <w:rPr>
          <w:rtl/>
        </w:rPr>
      </w:pPr>
      <w:r>
        <w:rPr>
          <w:rFonts w:cs="Arial"/>
          <w:rtl/>
        </w:rPr>
        <w:t>אין הדיינים יושבים לדון בדין פחות משוה פרוטה</w:t>
      </w:r>
      <w:r>
        <w:rPr>
          <w:rStyle w:val="ab"/>
          <w:rFonts w:cs="Arial"/>
          <w:rtl/>
        </w:rPr>
        <w:footnoteReference w:id="297"/>
      </w:r>
      <w:r>
        <w:rPr>
          <w:rFonts w:cs="Arial"/>
          <w:rtl/>
        </w:rPr>
        <w:t>, ואם הוזקקו לשוה פרוטה, גומרים דינם אפילו לפחות משוה פרוטה</w:t>
      </w:r>
      <w:r>
        <w:rPr>
          <w:rStyle w:val="ab"/>
          <w:rFonts w:cs="Arial"/>
          <w:rtl/>
        </w:rPr>
        <w:footnoteReference w:id="298"/>
      </w:r>
      <w:r>
        <w:rPr>
          <w:rFonts w:cs="Arial"/>
          <w:rtl/>
        </w:rPr>
        <w:t>.</w:t>
      </w:r>
    </w:p>
    <w:p w14:paraId="6BE2113D" w14:textId="77777777" w:rsidR="004A326E" w:rsidRDefault="004A326E" w:rsidP="004A326E">
      <w:pPr>
        <w:rPr>
          <w:rtl/>
        </w:rPr>
        <w:sectPr w:rsidR="004A326E" w:rsidSect="00AF3AF9">
          <w:headerReference w:type="default" r:id="rId16"/>
          <w:footnotePr>
            <w:numRestart w:val="eachPage"/>
          </w:footnotePr>
          <w:pgSz w:w="11906" w:h="16838"/>
          <w:pgMar w:top="720" w:right="1134" w:bottom="720" w:left="1134" w:header="0" w:footer="0" w:gutter="0"/>
          <w:cols w:space="720"/>
          <w:bidi/>
          <w:rtlGutter/>
          <w:docGrid w:linePitch="360"/>
        </w:sectPr>
      </w:pPr>
    </w:p>
    <w:p w14:paraId="5ABC3497" w14:textId="77777777" w:rsidR="004A326E" w:rsidRDefault="004A326E" w:rsidP="004A326E">
      <w:pPr>
        <w:pStyle w:val="1"/>
        <w:rPr>
          <w:rtl/>
        </w:rPr>
      </w:pPr>
      <w:bookmarkStart w:id="31" w:name="_Toc24883534"/>
      <w:r>
        <w:rPr>
          <w:rFonts w:hint="cs"/>
          <w:rtl/>
        </w:rPr>
        <w:lastRenderedPageBreak/>
        <w:t xml:space="preserve">סימן ז: </w:t>
      </w:r>
      <w:r>
        <w:rPr>
          <w:rtl/>
        </w:rPr>
        <w:t>מי ראוי לדון, והפסולים מחמת שנאה וקורבה, ובו י"ב סעיפים.</w:t>
      </w:r>
      <w:bookmarkEnd w:id="31"/>
      <w:r>
        <w:rPr>
          <w:rtl/>
        </w:rPr>
        <w:t xml:space="preserve"> </w:t>
      </w:r>
    </w:p>
    <w:p w14:paraId="013A6032" w14:textId="77777777" w:rsidR="004A326E" w:rsidRDefault="004A326E" w:rsidP="004A326E">
      <w:pPr>
        <w:pStyle w:val="2"/>
        <w:rPr>
          <w:rtl/>
        </w:rPr>
      </w:pPr>
      <w:bookmarkStart w:id="32" w:name="_Toc24883535"/>
      <w:r>
        <w:rPr>
          <w:rtl/>
        </w:rPr>
        <w:t>סעיף א</w:t>
      </w:r>
      <w:r>
        <w:rPr>
          <w:rFonts w:hint="cs"/>
          <w:rtl/>
        </w:rPr>
        <w:t>: גר.</w:t>
      </w:r>
      <w:bookmarkEnd w:id="32"/>
    </w:p>
    <w:p w14:paraId="378921C0" w14:textId="77777777" w:rsidR="002F64EB" w:rsidRDefault="002F64EB" w:rsidP="002F64EB">
      <w:pPr>
        <w:rPr>
          <w:rFonts w:cs="Arial"/>
          <w:rtl/>
        </w:rPr>
      </w:pPr>
      <w:r>
        <w:rPr>
          <w:rFonts w:cs="Arial" w:hint="cs"/>
          <w:b/>
          <w:bCs/>
          <w:rtl/>
        </w:rPr>
        <w:t xml:space="preserve">יבמות </w:t>
      </w:r>
      <w:r>
        <w:rPr>
          <w:rFonts w:cs="Arial" w:hint="cs"/>
          <w:b/>
          <w:bCs/>
          <w:sz w:val="16"/>
          <w:szCs w:val="16"/>
          <w:rtl/>
        </w:rPr>
        <w:t xml:space="preserve">(פ' מצות חליצה) </w:t>
      </w:r>
      <w:r>
        <w:rPr>
          <w:rFonts w:cs="Arial" w:hint="cs"/>
          <w:b/>
          <w:bCs/>
          <w:rtl/>
        </w:rPr>
        <w:t>ק</w:t>
      </w:r>
      <w:r w:rsidR="00234305">
        <w:rPr>
          <w:rFonts w:cs="Arial" w:hint="cs"/>
          <w:b/>
          <w:bCs/>
          <w:rtl/>
        </w:rPr>
        <w:t>א</w:t>
      </w:r>
      <w:r w:rsidR="00234305">
        <w:rPr>
          <w:rStyle w:val="ab"/>
          <w:rFonts w:cs="Arial"/>
          <w:b/>
          <w:bCs/>
          <w:rtl/>
        </w:rPr>
        <w:footnoteReference w:id="299"/>
      </w:r>
      <w:r>
        <w:rPr>
          <w:rFonts w:cs="Arial" w:hint="cs"/>
          <w:b/>
          <w:bCs/>
          <w:rtl/>
        </w:rPr>
        <w:t xml:space="preserve"> ע"</w:t>
      </w:r>
      <w:r w:rsidR="00234305">
        <w:rPr>
          <w:rFonts w:cs="Arial" w:hint="cs"/>
          <w:b/>
          <w:bCs/>
          <w:rtl/>
        </w:rPr>
        <w:t>ב</w:t>
      </w:r>
      <w:r>
        <w:rPr>
          <w:rFonts w:cs="Arial" w:hint="cs"/>
          <w:b/>
          <w:bCs/>
          <w:rtl/>
        </w:rPr>
        <w:t xml:space="preserve">: </w:t>
      </w:r>
      <w:r w:rsidR="00234305" w:rsidRPr="00234305">
        <w:rPr>
          <w:rFonts w:cs="Arial" w:hint="cs"/>
          <w:u w:val="single"/>
          <w:rtl/>
        </w:rPr>
        <w:t>אמר רבא</w:t>
      </w:r>
      <w:r w:rsidR="00234305">
        <w:rPr>
          <w:rFonts w:cs="Arial" w:hint="cs"/>
          <w:rtl/>
        </w:rPr>
        <w:t xml:space="preserve">: </w:t>
      </w:r>
      <w:r w:rsidR="00234305">
        <w:rPr>
          <w:rFonts w:cs="Arial" w:hint="cs"/>
          <w:sz w:val="14"/>
          <w:szCs w:val="14"/>
          <w:rtl/>
        </w:rPr>
        <w:t xml:space="preserve">(קב.) </w:t>
      </w:r>
      <w:r w:rsidRPr="000446BF">
        <w:rPr>
          <w:rFonts w:cs="Arial"/>
          <w:rtl/>
        </w:rPr>
        <w:t>גר דן את חבירו</w:t>
      </w:r>
      <w:r w:rsidR="00790E00">
        <w:rPr>
          <w:rStyle w:val="ab"/>
          <w:rFonts w:cs="Arial"/>
          <w:rtl/>
        </w:rPr>
        <w:footnoteReference w:id="300"/>
      </w:r>
      <w:r w:rsidRPr="000446BF">
        <w:rPr>
          <w:rFonts w:cs="Arial"/>
          <w:rtl/>
        </w:rPr>
        <w:t xml:space="preserve"> דבר תורה, שנאמר: שום תשים עליך מלך אשר יבחר ה' אלהיך בו מקרב אחיך תשים עליך מלך, עליך הוא דבעינן מקרב אחיך, אבל גר דן את חבירו גר</w:t>
      </w:r>
      <w:r w:rsidR="00234305">
        <w:rPr>
          <w:rFonts w:cs="Arial" w:hint="cs"/>
          <w:rtl/>
        </w:rPr>
        <w:t>.</w:t>
      </w:r>
      <w:r w:rsidRPr="000446BF">
        <w:rPr>
          <w:rFonts w:cs="Arial"/>
          <w:rtl/>
        </w:rPr>
        <w:t xml:space="preserve"> ואם היתה אמו מישראל - דן אפי' ישראל</w:t>
      </w:r>
      <w:r>
        <w:rPr>
          <w:rFonts w:cs="Arial" w:hint="cs"/>
          <w:rtl/>
        </w:rPr>
        <w:t>.</w:t>
      </w:r>
      <w:r w:rsidRPr="000446BF">
        <w:rPr>
          <w:rFonts w:cs="Arial"/>
          <w:rtl/>
        </w:rPr>
        <w:t xml:space="preserve"> ולענין חליצה - עד שיהא אביו ואמו מישראל, שנאמר: ונקרא שמו בישראל. </w:t>
      </w:r>
    </w:p>
    <w:p w14:paraId="22E09673" w14:textId="77777777" w:rsidR="002F64EB" w:rsidRDefault="002F64EB" w:rsidP="002F64EB">
      <w:pPr>
        <w:rPr>
          <w:rFonts w:cs="Arial"/>
          <w:rtl/>
        </w:rPr>
      </w:pPr>
      <w:r>
        <w:rPr>
          <w:rFonts w:cs="Arial" w:hint="cs"/>
          <w:b/>
          <w:bCs/>
          <w:rtl/>
        </w:rPr>
        <w:t xml:space="preserve">יבמות </w:t>
      </w:r>
      <w:r>
        <w:rPr>
          <w:rFonts w:cs="Arial" w:hint="cs"/>
          <w:b/>
          <w:bCs/>
          <w:sz w:val="16"/>
          <w:szCs w:val="16"/>
          <w:rtl/>
        </w:rPr>
        <w:t xml:space="preserve">(פ' החולץ) </w:t>
      </w:r>
      <w:r>
        <w:rPr>
          <w:rFonts w:cs="Arial" w:hint="cs"/>
          <w:b/>
          <w:bCs/>
          <w:rtl/>
        </w:rPr>
        <w:t>מה</w:t>
      </w:r>
      <w:r w:rsidR="00296375">
        <w:rPr>
          <w:rStyle w:val="ab"/>
          <w:rFonts w:cs="Arial"/>
          <w:b/>
          <w:bCs/>
          <w:rtl/>
        </w:rPr>
        <w:footnoteReference w:id="301"/>
      </w:r>
      <w:r>
        <w:rPr>
          <w:rFonts w:cs="Arial" w:hint="cs"/>
          <w:b/>
          <w:bCs/>
          <w:rtl/>
        </w:rPr>
        <w:t xml:space="preserve"> ע"ב: </w:t>
      </w:r>
      <w:r w:rsidRPr="005F1C06">
        <w:rPr>
          <w:rFonts w:cs="Arial"/>
          <w:rtl/>
        </w:rPr>
        <w:t>רבא אכשריה לרב מרי בר רחל</w:t>
      </w:r>
      <w:r>
        <w:rPr>
          <w:rStyle w:val="ab"/>
          <w:rFonts w:cs="Arial"/>
          <w:rtl/>
        </w:rPr>
        <w:footnoteReference w:id="302"/>
      </w:r>
      <w:r w:rsidRPr="005F1C06">
        <w:rPr>
          <w:rFonts w:cs="Arial"/>
          <w:rtl/>
        </w:rPr>
        <w:t xml:space="preserve"> ומנייה בפורסי דבבל</w:t>
      </w:r>
      <w:r>
        <w:rPr>
          <w:rStyle w:val="ab"/>
          <w:rFonts w:cs="Arial"/>
          <w:rtl/>
        </w:rPr>
        <w:footnoteReference w:id="303"/>
      </w:r>
      <w:r w:rsidRPr="005F1C06">
        <w:rPr>
          <w:rFonts w:cs="Arial"/>
          <w:rtl/>
        </w:rPr>
        <w:t>, ואף על גב דאמר מר: שום תשים עליך מלך, כל משימות שאתה משים - אל יהו אלא מקרב אחיך! האי כיון דאמו מישראל, מקרב אחיך קרינן ביה.</w:t>
      </w:r>
    </w:p>
    <w:p w14:paraId="1CF87499" w14:textId="77777777" w:rsidR="002F64EB" w:rsidRDefault="002F64EB" w:rsidP="002F64EB">
      <w:pPr>
        <w:rPr>
          <w:rFonts w:cs="Arial"/>
          <w:rtl/>
        </w:rPr>
      </w:pPr>
      <w:r>
        <w:rPr>
          <w:rFonts w:cs="Arial" w:hint="cs"/>
          <w:b/>
          <w:bCs/>
          <w:rtl/>
        </w:rPr>
        <w:t xml:space="preserve">קדושין </w:t>
      </w:r>
      <w:r>
        <w:rPr>
          <w:rFonts w:cs="Arial" w:hint="cs"/>
          <w:b/>
          <w:bCs/>
          <w:sz w:val="16"/>
          <w:szCs w:val="16"/>
          <w:rtl/>
        </w:rPr>
        <w:t>(פ' עשרה יוחסין)</w:t>
      </w:r>
      <w:r>
        <w:rPr>
          <w:rFonts w:cs="Arial" w:hint="cs"/>
          <w:b/>
          <w:bCs/>
          <w:rtl/>
        </w:rPr>
        <w:t xml:space="preserve"> עו ע"ב: </w:t>
      </w:r>
      <w:r w:rsidRPr="005F1C06">
        <w:rPr>
          <w:rFonts w:cs="Arial"/>
          <w:rtl/>
        </w:rPr>
        <w:t xml:space="preserve">אושפזיכניה דרב אדא בר אהבה גיורא הוה, והוה קא מנצי איהו ורב ביבי, מר אמר: אנא עבידנא סררותא דמתא, ומר אמר: אנא עבידנא סררותא דמתא; אתו לקמיה דרב יוסף, </w:t>
      </w:r>
      <w:r w:rsidRPr="005A1056">
        <w:rPr>
          <w:rFonts w:cs="Arial"/>
          <w:u w:val="single"/>
          <w:rtl/>
        </w:rPr>
        <w:t>אמר להו</w:t>
      </w:r>
      <w:r>
        <w:rPr>
          <w:rFonts w:cs="Arial" w:hint="cs"/>
          <w:rtl/>
        </w:rPr>
        <w:t>:</w:t>
      </w:r>
      <w:r w:rsidRPr="005F1C06">
        <w:rPr>
          <w:rFonts w:cs="Arial"/>
          <w:rtl/>
        </w:rPr>
        <w:t xml:space="preserve"> תנינא</w:t>
      </w:r>
      <w:r>
        <w:rPr>
          <w:rFonts w:cs="Arial" w:hint="cs"/>
          <w:rtl/>
        </w:rPr>
        <w:t>,</w:t>
      </w:r>
      <w:r w:rsidRPr="005F1C06">
        <w:rPr>
          <w:rFonts w:cs="Arial"/>
          <w:rtl/>
        </w:rPr>
        <w:t xml:space="preserve"> שום תשים עליך מלך... מקרב אחיך - כל משימות שאתה משים לא יהיה אלא מקרב אחיך. </w:t>
      </w:r>
      <w:r w:rsidRPr="005A1056">
        <w:rPr>
          <w:rFonts w:cs="Arial"/>
          <w:u w:val="single"/>
          <w:rtl/>
        </w:rPr>
        <w:t>אמר ליה רב אדא בר אהבה</w:t>
      </w:r>
      <w:r w:rsidRPr="005F1C06">
        <w:rPr>
          <w:rFonts w:cs="Arial"/>
          <w:rtl/>
        </w:rPr>
        <w:t>: ואפילו אמו מישראל? אמר ליה: אמו מישראל - מקרב אחיך קרינא ביה.</w:t>
      </w:r>
      <w:r w:rsidRPr="005A1056">
        <w:rPr>
          <w:rFonts w:cs="Arial" w:hint="cs"/>
          <w:rtl/>
        </w:rPr>
        <w:t xml:space="preserve"> </w:t>
      </w:r>
    </w:p>
    <w:p w14:paraId="029DDB9E" w14:textId="77777777" w:rsidR="00F00944" w:rsidRPr="005A3385" w:rsidRDefault="00F00944" w:rsidP="00F00944">
      <w:pPr>
        <w:rPr>
          <w:rFonts w:cs="Arial"/>
          <w:sz w:val="16"/>
          <w:szCs w:val="16"/>
          <w:rtl/>
        </w:rPr>
      </w:pPr>
      <w:r w:rsidRPr="005A7FB3">
        <w:rPr>
          <w:rFonts w:cs="Arial" w:hint="cs"/>
          <w:b/>
          <w:bCs/>
          <w:rtl/>
        </w:rPr>
        <w:t xml:space="preserve">סנהדרין </w:t>
      </w:r>
      <w:r w:rsidRPr="005A7FB3">
        <w:rPr>
          <w:rFonts w:cs="Arial" w:hint="cs"/>
          <w:b/>
          <w:bCs/>
          <w:sz w:val="16"/>
          <w:szCs w:val="16"/>
          <w:rtl/>
        </w:rPr>
        <w:t xml:space="preserve">(פ' אחד דיני ממונות) </w:t>
      </w:r>
      <w:r w:rsidRPr="005A7FB3">
        <w:rPr>
          <w:rFonts w:cs="Arial" w:hint="cs"/>
          <w:b/>
          <w:bCs/>
          <w:rtl/>
        </w:rPr>
        <w:t>לב</w:t>
      </w:r>
      <w:r w:rsidR="00021D1A">
        <w:rPr>
          <w:rStyle w:val="ab"/>
          <w:rFonts w:cs="Arial"/>
          <w:b/>
          <w:bCs/>
          <w:rtl/>
        </w:rPr>
        <w:footnoteReference w:id="304"/>
      </w:r>
      <w:r w:rsidRPr="005A7FB3">
        <w:rPr>
          <w:rFonts w:cs="Arial" w:hint="cs"/>
          <w:b/>
          <w:bCs/>
          <w:rtl/>
        </w:rPr>
        <w:t xml:space="preserve"> ע"א:</w:t>
      </w:r>
      <w:r>
        <w:rPr>
          <w:rFonts w:cs="Arial" w:hint="cs"/>
          <w:rtl/>
        </w:rPr>
        <w:t xml:space="preserve"> </w:t>
      </w:r>
      <w:r w:rsidRPr="005A7FB3">
        <w:rPr>
          <w:rFonts w:cs="Arial" w:hint="cs"/>
          <w:u w:val="double"/>
          <w:rtl/>
        </w:rPr>
        <w:t>משנה:</w:t>
      </w:r>
      <w:r>
        <w:rPr>
          <w:rFonts w:cs="Arial" w:hint="cs"/>
          <w:rtl/>
        </w:rPr>
        <w:t xml:space="preserve">... </w:t>
      </w:r>
      <w:r w:rsidRPr="005A7FB3">
        <w:rPr>
          <w:rFonts w:cs="Arial"/>
          <w:rtl/>
        </w:rPr>
        <w:t xml:space="preserve">הכל כשרין לדון דיני ממונות, ואין הכל כשרין לדון דיני נפשות אלא כהנים לוים וישראלים המשיאין לכהונה. </w:t>
      </w:r>
      <w:r>
        <w:rPr>
          <w:rFonts w:cs="Arial" w:hint="cs"/>
          <w:rtl/>
        </w:rPr>
        <w:t xml:space="preserve">   </w:t>
      </w:r>
      <w:r w:rsidRPr="002A1350">
        <w:rPr>
          <w:rFonts w:cs="Arial" w:hint="cs"/>
          <w:u w:val="double"/>
          <w:rtl/>
        </w:rPr>
        <w:t>גמרא</w:t>
      </w:r>
      <w:r w:rsidRPr="002A1350">
        <w:rPr>
          <w:rFonts w:cs="Arial" w:hint="cs"/>
          <w:sz w:val="14"/>
          <w:szCs w:val="14"/>
          <w:u w:val="double"/>
          <w:rtl/>
        </w:rPr>
        <w:t xml:space="preserve"> (לו:)</w:t>
      </w:r>
      <w:r w:rsidRPr="002A1350">
        <w:rPr>
          <w:rFonts w:cs="Arial" w:hint="cs"/>
          <w:u w:val="double"/>
          <w:rtl/>
        </w:rPr>
        <w:t>:</w:t>
      </w:r>
      <w:r>
        <w:rPr>
          <w:rFonts w:cs="Arial" w:hint="cs"/>
          <w:rtl/>
        </w:rPr>
        <w:t xml:space="preserve"> </w:t>
      </w:r>
      <w:r w:rsidRPr="002A1350">
        <w:rPr>
          <w:rFonts w:cs="Arial"/>
          <w:rtl/>
        </w:rPr>
        <w:t xml:space="preserve">הכל כשרין לדון דיני ממונות. הכל לאתויי מאי? </w:t>
      </w:r>
      <w:r w:rsidRPr="005A1056">
        <w:rPr>
          <w:rFonts w:cs="Arial"/>
          <w:u w:val="single"/>
          <w:rtl/>
        </w:rPr>
        <w:t>אמר רב יהודה</w:t>
      </w:r>
      <w:r w:rsidRPr="002A1350">
        <w:rPr>
          <w:rFonts w:cs="Arial"/>
          <w:rtl/>
        </w:rPr>
        <w:t>: לאתויי ממזר. הא תנינא חדא זימנא</w:t>
      </w:r>
      <w:r>
        <w:rPr>
          <w:rStyle w:val="ab"/>
          <w:rFonts w:cs="Arial"/>
          <w:rtl/>
        </w:rPr>
        <w:footnoteReference w:id="305"/>
      </w:r>
      <w:r w:rsidRPr="002A1350">
        <w:rPr>
          <w:rFonts w:cs="Arial"/>
          <w:rtl/>
        </w:rPr>
        <w:t xml:space="preserve">: כל הראוי לדון דיני נפשות - ראוי לדון דיני ממונות, ויש ראוי לדון דיני ממונות ואין ראוי לדון דיני נפשות. והוינן בה: לאתויי מאי? </w:t>
      </w:r>
      <w:r w:rsidRPr="00031718">
        <w:rPr>
          <w:rFonts w:cs="Arial"/>
          <w:u w:val="single"/>
          <w:rtl/>
        </w:rPr>
        <w:t>ואמר רב יהודה</w:t>
      </w:r>
      <w:r w:rsidRPr="002A1350">
        <w:rPr>
          <w:rFonts w:cs="Arial"/>
          <w:rtl/>
        </w:rPr>
        <w:t>: לאתויי ממזר! חדא לאתויי גר, וחדא לאתויי ממזר. וצריכא: דאי אשמעינן גר - דראוי לבא בקהל, אבל ממזר - אימא לא. ואי אשמעינן ממזר - דבא מטיפה כשרה, אבל גר דלא בא מטיפה כשרה - אימא לא, צריכא.</w:t>
      </w:r>
      <w:r>
        <w:rPr>
          <w:rFonts w:cs="Arial" w:hint="cs"/>
          <w:sz w:val="16"/>
          <w:szCs w:val="16"/>
          <w:rtl/>
        </w:rPr>
        <w:t xml:space="preserve"> (וכתב רש"י (יבמות קב. ד"ה גר דן את חברו) דמגמרא זו (סנהדרין לב.-לו:) משמע ב</w:t>
      </w:r>
      <w:r w:rsidRPr="00F00944">
        <w:rPr>
          <w:rFonts w:cs="Arial"/>
          <w:sz w:val="16"/>
          <w:szCs w:val="16"/>
          <w:rtl/>
        </w:rPr>
        <w:t xml:space="preserve">דיני ממונות </w:t>
      </w:r>
      <w:r>
        <w:rPr>
          <w:rFonts w:cs="Arial" w:hint="cs"/>
          <w:sz w:val="16"/>
          <w:szCs w:val="16"/>
          <w:rtl/>
        </w:rPr>
        <w:t>גר דן</w:t>
      </w:r>
      <w:r w:rsidRPr="00F00944">
        <w:rPr>
          <w:rFonts w:cs="Arial"/>
          <w:sz w:val="16"/>
          <w:szCs w:val="16"/>
          <w:rtl/>
        </w:rPr>
        <w:t xml:space="preserve"> לכל ישראל </w:t>
      </w:r>
      <w:r>
        <w:rPr>
          <w:rFonts w:cs="Arial" w:hint="cs"/>
          <w:sz w:val="16"/>
          <w:szCs w:val="16"/>
          <w:rtl/>
        </w:rPr>
        <w:t xml:space="preserve">אפילו אין אמו </w:t>
      </w:r>
      <w:r w:rsidR="00FA2558">
        <w:rPr>
          <w:rFonts w:cs="Arial" w:hint="cs"/>
          <w:sz w:val="16"/>
          <w:szCs w:val="16"/>
          <w:rtl/>
        </w:rPr>
        <w:t xml:space="preserve">של הגר </w:t>
      </w:r>
      <w:r>
        <w:rPr>
          <w:rFonts w:cs="Arial" w:hint="cs"/>
          <w:sz w:val="16"/>
          <w:szCs w:val="16"/>
          <w:rtl/>
        </w:rPr>
        <w:t xml:space="preserve">מישראל. </w:t>
      </w:r>
      <w:r w:rsidRPr="00F00944">
        <w:rPr>
          <w:rFonts w:cs="Arial" w:hint="cs"/>
          <w:sz w:val="16"/>
          <w:szCs w:val="16"/>
          <w:rtl/>
        </w:rPr>
        <w:t>וחלקו עליו ה</w:t>
      </w:r>
      <w:r w:rsidRPr="00F00944">
        <w:rPr>
          <w:rFonts w:cs="Arial"/>
          <w:sz w:val="16"/>
          <w:szCs w:val="16"/>
          <w:rtl/>
        </w:rPr>
        <w:t>תוס</w:t>
      </w:r>
      <w:r w:rsidRPr="00F00944">
        <w:rPr>
          <w:rFonts w:cs="Arial" w:hint="cs"/>
          <w:sz w:val="16"/>
          <w:szCs w:val="16"/>
          <w:rtl/>
        </w:rPr>
        <w:t>'</w:t>
      </w:r>
      <w:r w:rsidRPr="00F00944">
        <w:rPr>
          <w:rFonts w:cs="Arial"/>
          <w:sz w:val="16"/>
          <w:szCs w:val="16"/>
          <w:rtl/>
        </w:rPr>
        <w:t xml:space="preserve"> </w:t>
      </w:r>
      <w:r w:rsidRPr="00F00944">
        <w:rPr>
          <w:rFonts w:cs="Arial" w:hint="cs"/>
          <w:sz w:val="16"/>
          <w:szCs w:val="16"/>
          <w:rtl/>
        </w:rPr>
        <w:t>(סנהדרין לו: ד"ה חדא לאתויי גר</w:t>
      </w:r>
      <w:r w:rsidRPr="00F00944">
        <w:rPr>
          <w:rFonts w:cs="Arial"/>
          <w:sz w:val="16"/>
          <w:szCs w:val="16"/>
          <w:rtl/>
        </w:rPr>
        <w:t>)</w:t>
      </w:r>
      <w:r w:rsidRPr="00F00944">
        <w:rPr>
          <w:rFonts w:cs="Arial" w:hint="cs"/>
          <w:sz w:val="16"/>
          <w:szCs w:val="16"/>
          <w:rtl/>
        </w:rPr>
        <w:t xml:space="preserve"> וכתבו ד</w:t>
      </w:r>
      <w:r>
        <w:rPr>
          <w:rFonts w:cs="Arial" w:hint="cs"/>
          <w:sz w:val="16"/>
          <w:szCs w:val="16"/>
          <w:rtl/>
        </w:rPr>
        <w:t xml:space="preserve">אע"ג דמשמע </w:t>
      </w:r>
      <w:r w:rsidRPr="00F00944">
        <w:rPr>
          <w:rFonts w:cs="Arial" w:hint="cs"/>
          <w:sz w:val="16"/>
          <w:szCs w:val="16"/>
          <w:rtl/>
        </w:rPr>
        <w:t>מ</w:t>
      </w:r>
      <w:r>
        <w:rPr>
          <w:rFonts w:cs="Arial" w:hint="cs"/>
          <w:sz w:val="16"/>
          <w:szCs w:val="16"/>
          <w:rtl/>
        </w:rPr>
        <w:t>גמרא זו (</w:t>
      </w:r>
      <w:r w:rsidRPr="00F00944">
        <w:rPr>
          <w:rFonts w:cs="Arial" w:hint="cs"/>
          <w:sz w:val="16"/>
          <w:szCs w:val="16"/>
          <w:rtl/>
        </w:rPr>
        <w:t>סנהדרין לו:)</w:t>
      </w:r>
      <w:r w:rsidRPr="00F00944">
        <w:rPr>
          <w:rFonts w:cs="Arial"/>
          <w:sz w:val="16"/>
          <w:szCs w:val="16"/>
          <w:rtl/>
        </w:rPr>
        <w:t xml:space="preserve"> דסתם גר כשר לדיני ממונות</w:t>
      </w:r>
      <w:r w:rsidRPr="00F00944">
        <w:rPr>
          <w:rFonts w:cs="Arial" w:hint="cs"/>
          <w:sz w:val="16"/>
          <w:szCs w:val="16"/>
          <w:rtl/>
        </w:rPr>
        <w:t>,</w:t>
      </w:r>
      <w:r w:rsidRPr="00F00944">
        <w:rPr>
          <w:rFonts w:cs="Arial"/>
          <w:sz w:val="16"/>
          <w:szCs w:val="16"/>
          <w:rtl/>
        </w:rPr>
        <w:t xml:space="preserve"> </w:t>
      </w:r>
      <w:r>
        <w:rPr>
          <w:rFonts w:cs="Arial" w:hint="cs"/>
          <w:sz w:val="16"/>
          <w:szCs w:val="16"/>
          <w:rtl/>
        </w:rPr>
        <w:t>מכל מקום</w:t>
      </w:r>
      <w:r w:rsidRPr="00F00944">
        <w:rPr>
          <w:rFonts w:cs="Arial" w:hint="cs"/>
          <w:sz w:val="16"/>
          <w:szCs w:val="16"/>
          <w:rtl/>
        </w:rPr>
        <w:t xml:space="preserve"> </w:t>
      </w:r>
      <w:r w:rsidRPr="00F00944">
        <w:rPr>
          <w:rFonts w:cs="Arial"/>
          <w:sz w:val="16"/>
          <w:szCs w:val="16"/>
          <w:rtl/>
        </w:rPr>
        <w:t>ק</w:t>
      </w:r>
      <w:r w:rsidRPr="00F00944">
        <w:rPr>
          <w:rFonts w:cs="Arial" w:hint="cs"/>
          <w:sz w:val="16"/>
          <w:szCs w:val="16"/>
          <w:rtl/>
        </w:rPr>
        <w:t>שה,</w:t>
      </w:r>
      <w:r w:rsidRPr="00F00944">
        <w:rPr>
          <w:rFonts w:cs="Arial"/>
          <w:sz w:val="16"/>
          <w:szCs w:val="16"/>
          <w:rtl/>
        </w:rPr>
        <w:t xml:space="preserve"> דבפרק החולץ (יבמות מה: ושם) אכשריה רבא לרב מרי בר רחל ומני' אפורסי דבבל דכיון דאמו מישראל מקרב אחיך קרינא ביה</w:t>
      </w:r>
      <w:r w:rsidRPr="00F00944">
        <w:rPr>
          <w:rFonts w:cs="Arial" w:hint="cs"/>
          <w:sz w:val="16"/>
          <w:szCs w:val="16"/>
          <w:rtl/>
        </w:rPr>
        <w:t>.</w:t>
      </w:r>
      <w:r w:rsidRPr="00F00944">
        <w:rPr>
          <w:rFonts w:cs="Arial"/>
          <w:sz w:val="16"/>
          <w:szCs w:val="16"/>
          <w:rtl/>
        </w:rPr>
        <w:t xml:space="preserve"> אלמא בעיא אמו מישראל</w:t>
      </w:r>
      <w:r w:rsidRPr="00F00944">
        <w:rPr>
          <w:rFonts w:cs="Arial" w:hint="cs"/>
          <w:sz w:val="16"/>
          <w:szCs w:val="16"/>
          <w:rtl/>
        </w:rPr>
        <w:t>.</w:t>
      </w:r>
      <w:r w:rsidRPr="00F00944">
        <w:rPr>
          <w:rFonts w:cs="Arial"/>
          <w:sz w:val="16"/>
          <w:szCs w:val="16"/>
          <w:rtl/>
        </w:rPr>
        <w:t xml:space="preserve"> </w:t>
      </w:r>
      <w:r>
        <w:rPr>
          <w:rFonts w:cs="Arial" w:hint="cs"/>
          <w:sz w:val="16"/>
          <w:szCs w:val="16"/>
          <w:rtl/>
        </w:rPr>
        <w:t xml:space="preserve">אלא </w:t>
      </w:r>
      <w:r w:rsidRPr="00F00944">
        <w:rPr>
          <w:rFonts w:cs="Arial"/>
          <w:sz w:val="16"/>
          <w:szCs w:val="16"/>
          <w:rtl/>
        </w:rPr>
        <w:t>י"ל ד</w:t>
      </w:r>
      <w:r>
        <w:rPr>
          <w:rFonts w:cs="Arial" w:hint="cs"/>
          <w:sz w:val="16"/>
          <w:szCs w:val="16"/>
          <w:rtl/>
        </w:rPr>
        <w:t>הכא (</w:t>
      </w:r>
      <w:r w:rsidRPr="00F00944">
        <w:rPr>
          <w:rFonts w:cs="Arial" w:hint="cs"/>
          <w:sz w:val="16"/>
          <w:szCs w:val="16"/>
          <w:rtl/>
        </w:rPr>
        <w:t>בסנהדרין</w:t>
      </w:r>
      <w:r w:rsidRPr="00F00944">
        <w:rPr>
          <w:rFonts w:cs="Arial"/>
          <w:sz w:val="16"/>
          <w:szCs w:val="16"/>
          <w:rtl/>
        </w:rPr>
        <w:t xml:space="preserve"> </w:t>
      </w:r>
      <w:r w:rsidRPr="00F00944">
        <w:rPr>
          <w:rFonts w:cs="Arial" w:hint="cs"/>
          <w:sz w:val="16"/>
          <w:szCs w:val="16"/>
          <w:rtl/>
        </w:rPr>
        <w:t xml:space="preserve">לו:) </w:t>
      </w:r>
      <w:r w:rsidRPr="00F00944">
        <w:rPr>
          <w:rFonts w:cs="Arial"/>
          <w:sz w:val="16"/>
          <w:szCs w:val="16"/>
          <w:rtl/>
        </w:rPr>
        <w:t>מיירי לדון גר חבירו</w:t>
      </w:r>
      <w:r>
        <w:rPr>
          <w:rFonts w:cs="Arial" w:hint="cs"/>
          <w:sz w:val="16"/>
          <w:szCs w:val="16"/>
          <w:rtl/>
        </w:rPr>
        <w:t>,</w:t>
      </w:r>
      <w:r w:rsidRPr="00F00944">
        <w:rPr>
          <w:rFonts w:cs="Arial"/>
          <w:sz w:val="16"/>
          <w:szCs w:val="16"/>
          <w:rtl/>
        </w:rPr>
        <w:t xml:space="preserve"> כדאמרי' בפ' מצות חליצה (שם</w:t>
      </w:r>
      <w:r w:rsidRPr="00F00944">
        <w:rPr>
          <w:rFonts w:cs="Arial" w:hint="cs"/>
          <w:sz w:val="16"/>
          <w:szCs w:val="16"/>
          <w:rtl/>
        </w:rPr>
        <w:t xml:space="preserve"> </w:t>
      </w:r>
      <w:r w:rsidRPr="00F00944">
        <w:rPr>
          <w:rFonts w:cs="Arial"/>
          <w:sz w:val="16"/>
          <w:szCs w:val="16"/>
          <w:rtl/>
        </w:rPr>
        <w:t>קב. ושם) גר דן חבירו דבר תורה ואם היתה אמו מישראל דן אפילו ישראל ולא כמו שפ</w:t>
      </w:r>
      <w:r w:rsidRPr="00F00944">
        <w:rPr>
          <w:rFonts w:cs="Arial" w:hint="cs"/>
          <w:sz w:val="16"/>
          <w:szCs w:val="16"/>
          <w:rtl/>
        </w:rPr>
        <w:t xml:space="preserve">ירש </w:t>
      </w:r>
      <w:r w:rsidRPr="00F00944">
        <w:rPr>
          <w:rFonts w:cs="Arial"/>
          <w:sz w:val="16"/>
          <w:szCs w:val="16"/>
          <w:rtl/>
        </w:rPr>
        <w:t>ה</w:t>
      </w:r>
      <w:r w:rsidRPr="00F00944">
        <w:rPr>
          <w:rFonts w:cs="Arial" w:hint="cs"/>
          <w:sz w:val="16"/>
          <w:szCs w:val="16"/>
          <w:rtl/>
        </w:rPr>
        <w:t>קונטרס</w:t>
      </w:r>
      <w:r w:rsidRPr="00F00944">
        <w:rPr>
          <w:rFonts w:cs="Arial"/>
          <w:sz w:val="16"/>
          <w:szCs w:val="16"/>
          <w:rtl/>
        </w:rPr>
        <w:t xml:space="preserve"> דלענין דיני נפשות איירי דדן חבירו ולא ישראל אבל לדיני ממונות כשר</w:t>
      </w:r>
      <w:r w:rsidRPr="00F00944">
        <w:rPr>
          <w:rFonts w:cs="Arial" w:hint="cs"/>
          <w:sz w:val="16"/>
          <w:szCs w:val="16"/>
          <w:rtl/>
        </w:rPr>
        <w:t>,</w:t>
      </w:r>
      <w:r w:rsidRPr="00F00944">
        <w:rPr>
          <w:rFonts w:cs="Arial"/>
          <w:sz w:val="16"/>
          <w:szCs w:val="16"/>
          <w:rtl/>
        </w:rPr>
        <w:t xml:space="preserve"> ועוד דהתם מייתי קרא דמקרב אחיך ואילו דיני נפשות מימעטי בסמוך מונשאו אתך</w:t>
      </w:r>
      <w:r>
        <w:rPr>
          <w:rFonts w:cs="Arial" w:hint="cs"/>
          <w:sz w:val="16"/>
          <w:szCs w:val="16"/>
          <w:rtl/>
        </w:rPr>
        <w:t xml:space="preserve">. עכ"ד. </w:t>
      </w:r>
      <w:r w:rsidR="005A3385" w:rsidRPr="005A3385">
        <w:rPr>
          <w:rFonts w:cs="Arial" w:hint="cs"/>
          <w:sz w:val="16"/>
          <w:szCs w:val="16"/>
          <w:rtl/>
        </w:rPr>
        <w:t xml:space="preserve">וכן </w:t>
      </w:r>
      <w:r w:rsidR="005A3385" w:rsidRPr="005A3385">
        <w:rPr>
          <w:rFonts w:cs="Arial"/>
          <w:sz w:val="16"/>
          <w:szCs w:val="16"/>
          <w:rtl/>
        </w:rPr>
        <w:t>כתבו הרי"ף (יג:) והרא"ש (סי' י) דהאי גר דקאמר</w:t>
      </w:r>
      <w:r w:rsidR="005A3385" w:rsidRPr="005A3385">
        <w:rPr>
          <w:rFonts w:cs="Arial" w:hint="cs"/>
          <w:sz w:val="16"/>
          <w:szCs w:val="16"/>
          <w:rtl/>
        </w:rPr>
        <w:t xml:space="preserve"> (בסנהדרין לו:)</w:t>
      </w:r>
      <w:r w:rsidR="005A3385" w:rsidRPr="005A3385">
        <w:rPr>
          <w:rFonts w:cs="Arial"/>
          <w:sz w:val="16"/>
          <w:szCs w:val="16"/>
          <w:rtl/>
        </w:rPr>
        <w:t xml:space="preserve"> </w:t>
      </w:r>
      <w:r w:rsidR="005A3385" w:rsidRPr="005A3385">
        <w:rPr>
          <w:rFonts w:cs="Arial" w:hint="cs"/>
          <w:sz w:val="16"/>
          <w:szCs w:val="16"/>
          <w:rtl/>
        </w:rPr>
        <w:t>'</w:t>
      </w:r>
      <w:r w:rsidR="005A3385" w:rsidRPr="005A3385">
        <w:rPr>
          <w:rFonts w:cs="Arial"/>
          <w:sz w:val="16"/>
          <w:szCs w:val="16"/>
          <w:rtl/>
        </w:rPr>
        <w:t>כשר לדון דיני ממונות</w:t>
      </w:r>
      <w:r w:rsidR="005A3385" w:rsidRPr="005A3385">
        <w:rPr>
          <w:rFonts w:cs="Arial" w:hint="cs"/>
          <w:sz w:val="16"/>
          <w:szCs w:val="16"/>
          <w:rtl/>
        </w:rPr>
        <w:t>'</w:t>
      </w:r>
      <w:r w:rsidR="005A3385" w:rsidRPr="005A3385">
        <w:rPr>
          <w:rFonts w:cs="Arial"/>
          <w:sz w:val="16"/>
          <w:szCs w:val="16"/>
          <w:rtl/>
        </w:rPr>
        <w:t xml:space="preserve"> דוקא דאמו מישראל</w:t>
      </w:r>
      <w:r w:rsidR="005A3385" w:rsidRPr="005A3385">
        <w:rPr>
          <w:rFonts w:cs="Arial" w:hint="cs"/>
          <w:sz w:val="16"/>
          <w:szCs w:val="16"/>
          <w:rtl/>
        </w:rPr>
        <w:t xml:space="preserve">. וכ"כ הטור. וכ"כ הרמב"ם (פי"א מסנהדרין הי"א). </w:t>
      </w:r>
      <w:r w:rsidR="005A3385" w:rsidRPr="005A3385">
        <w:rPr>
          <w:rFonts w:cs="Arial" w:hint="cs"/>
          <w:color w:val="E36C0A" w:themeColor="accent6" w:themeShade="BF"/>
          <w:sz w:val="16"/>
          <w:szCs w:val="16"/>
          <w:rtl/>
        </w:rPr>
        <w:t>וכ"פ בשו"ע</w:t>
      </w:r>
      <w:r w:rsidRPr="005A3385">
        <w:rPr>
          <w:rFonts w:cs="Arial" w:hint="cs"/>
          <w:sz w:val="16"/>
          <w:szCs w:val="16"/>
          <w:rtl/>
        </w:rPr>
        <w:t xml:space="preserve">). </w:t>
      </w:r>
    </w:p>
    <w:p w14:paraId="7CFEDB31" w14:textId="77777777" w:rsidR="004E7999" w:rsidRPr="00607B27" w:rsidRDefault="004E7999" w:rsidP="004E7999">
      <w:pPr>
        <w:rPr>
          <w:rFonts w:cs="Arial"/>
          <w:rtl/>
        </w:rPr>
      </w:pPr>
      <w:r w:rsidRPr="00607B27">
        <w:rPr>
          <w:rFonts w:cs="Arial" w:hint="cs"/>
          <w:u w:val="single"/>
          <w:rtl/>
        </w:rPr>
        <w:t>גר</w:t>
      </w:r>
      <w:r>
        <w:rPr>
          <w:rFonts w:cs="Arial" w:hint="cs"/>
          <w:u w:val="single"/>
          <w:rtl/>
        </w:rPr>
        <w:t xml:space="preserve"> </w:t>
      </w:r>
      <w:r>
        <w:rPr>
          <w:rFonts w:cs="Arial"/>
          <w:u w:val="single"/>
          <w:rtl/>
        </w:rPr>
        <w:t>–</w:t>
      </w:r>
      <w:r>
        <w:rPr>
          <w:rFonts w:cs="Arial" w:hint="cs"/>
          <w:u w:val="single"/>
          <w:rtl/>
        </w:rPr>
        <w:t xml:space="preserve"> מהו שידון</w:t>
      </w:r>
      <w:r w:rsidRPr="00607B27">
        <w:rPr>
          <w:rFonts w:cs="Arial" w:hint="cs"/>
          <w:u w:val="single"/>
          <w:rtl/>
        </w:rPr>
        <w:t>:</w:t>
      </w:r>
      <w:r w:rsidRPr="00607B27">
        <w:rPr>
          <w:rFonts w:cs="Arial" w:hint="cs"/>
          <w:rtl/>
        </w:rPr>
        <w:t xml:space="preserve"> </w:t>
      </w:r>
    </w:p>
    <w:p w14:paraId="582BD9BE" w14:textId="77777777" w:rsidR="004E7999" w:rsidRDefault="00FA2558" w:rsidP="004B0475">
      <w:pPr>
        <w:pStyle w:val="ac"/>
        <w:numPr>
          <w:ilvl w:val="0"/>
          <w:numId w:val="62"/>
        </w:numPr>
        <w:rPr>
          <w:rFonts w:cs="Arial"/>
          <w:u w:val="double"/>
        </w:rPr>
      </w:pPr>
      <w:r>
        <w:rPr>
          <w:rFonts w:cs="Arial" w:hint="cs"/>
          <w:rtl/>
        </w:rPr>
        <w:t xml:space="preserve">רי"ף </w:t>
      </w:r>
      <w:r w:rsidRPr="00FA2558">
        <w:rPr>
          <w:rFonts w:cs="Arial"/>
          <w:sz w:val="16"/>
          <w:szCs w:val="16"/>
          <w:rtl/>
        </w:rPr>
        <w:t>(יג:)</w:t>
      </w:r>
      <w:r>
        <w:rPr>
          <w:rFonts w:cs="Arial" w:hint="cs"/>
          <w:sz w:val="16"/>
          <w:szCs w:val="16"/>
          <w:rtl/>
        </w:rPr>
        <w:t xml:space="preserve"> </w:t>
      </w:r>
      <w:r w:rsidRPr="00F84EAC">
        <w:rPr>
          <w:rFonts w:cs="Arial" w:hint="cs"/>
          <w:rtl/>
        </w:rPr>
        <w:t xml:space="preserve">רמב"ם </w:t>
      </w:r>
      <w:r w:rsidRPr="00FA2558">
        <w:rPr>
          <w:rFonts w:cs="Arial" w:hint="cs"/>
          <w:sz w:val="16"/>
          <w:szCs w:val="16"/>
          <w:rtl/>
        </w:rPr>
        <w:t>(</w:t>
      </w:r>
      <w:r>
        <w:rPr>
          <w:rFonts w:cs="Arial" w:hint="cs"/>
          <w:sz w:val="16"/>
          <w:szCs w:val="16"/>
          <w:rtl/>
        </w:rPr>
        <w:t>פ</w:t>
      </w:r>
      <w:r w:rsidR="005A3385">
        <w:rPr>
          <w:rFonts w:cs="Arial" w:hint="cs"/>
          <w:sz w:val="16"/>
          <w:szCs w:val="16"/>
          <w:rtl/>
        </w:rPr>
        <w:t>י"א</w:t>
      </w:r>
      <w:r>
        <w:rPr>
          <w:rFonts w:cs="Arial" w:hint="cs"/>
          <w:sz w:val="16"/>
          <w:szCs w:val="16"/>
          <w:rtl/>
        </w:rPr>
        <w:t xml:space="preserve"> מהל' סנהדרין</w:t>
      </w:r>
      <w:r w:rsidR="005A3385">
        <w:rPr>
          <w:rFonts w:cs="Arial" w:hint="cs"/>
          <w:sz w:val="16"/>
          <w:szCs w:val="16"/>
          <w:rtl/>
        </w:rPr>
        <w:t xml:space="preserve"> </w:t>
      </w:r>
      <w:r w:rsidRPr="00FA2558">
        <w:rPr>
          <w:rFonts w:cs="Arial" w:hint="cs"/>
          <w:sz w:val="16"/>
          <w:szCs w:val="16"/>
          <w:rtl/>
        </w:rPr>
        <w:t>הי"א)</w:t>
      </w:r>
      <w:r>
        <w:rPr>
          <w:rFonts w:cs="Arial" w:hint="cs"/>
          <w:rtl/>
        </w:rPr>
        <w:t xml:space="preserve"> רא"ש </w:t>
      </w:r>
      <w:r w:rsidRPr="00FA2558">
        <w:rPr>
          <w:rFonts w:cs="Arial"/>
          <w:sz w:val="16"/>
          <w:szCs w:val="16"/>
          <w:rtl/>
        </w:rPr>
        <w:t>(סי' י)</w:t>
      </w:r>
      <w:r>
        <w:rPr>
          <w:rFonts w:cs="Arial" w:hint="cs"/>
          <w:rtl/>
        </w:rPr>
        <w:t xml:space="preserve"> וטור- </w:t>
      </w:r>
      <w:r w:rsidRPr="00FA2558">
        <w:rPr>
          <w:rFonts w:cs="Arial"/>
          <w:rtl/>
        </w:rPr>
        <w:t>הכל כשרים לדון דיני ממונות אפילו גר</w:t>
      </w:r>
      <w:r w:rsidR="00031718">
        <w:rPr>
          <w:rFonts w:cs="Arial" w:hint="cs"/>
          <w:rtl/>
        </w:rPr>
        <w:t>,</w:t>
      </w:r>
      <w:r w:rsidRPr="00FA2558">
        <w:rPr>
          <w:rFonts w:cs="Arial"/>
          <w:rtl/>
        </w:rPr>
        <w:t xml:space="preserve"> והוא שתהיה אמו מישראל</w:t>
      </w:r>
      <w:r w:rsidR="00031718">
        <w:rPr>
          <w:rFonts w:cs="Arial" w:hint="cs"/>
          <w:rtl/>
        </w:rPr>
        <w:t>.</w:t>
      </w:r>
      <w:r w:rsidRPr="00FA2558">
        <w:rPr>
          <w:rFonts w:cs="Arial"/>
          <w:rtl/>
        </w:rPr>
        <w:t xml:space="preserve"> וגר דן את חבירו הגר</w:t>
      </w:r>
      <w:r w:rsidR="009F70C3" w:rsidRPr="00F84EAC">
        <w:rPr>
          <w:rStyle w:val="ab"/>
          <w:rFonts w:cs="Arial"/>
          <w:rtl/>
        </w:rPr>
        <w:footnoteReference w:id="306"/>
      </w:r>
      <w:r w:rsidRPr="00FA2558">
        <w:rPr>
          <w:rFonts w:cs="Arial"/>
          <w:rtl/>
        </w:rPr>
        <w:t xml:space="preserve"> אע</w:t>
      </w:r>
      <w:r>
        <w:rPr>
          <w:rFonts w:cs="Arial" w:hint="cs"/>
          <w:rtl/>
        </w:rPr>
        <w:t>"</w:t>
      </w:r>
      <w:r w:rsidRPr="00FA2558">
        <w:rPr>
          <w:rFonts w:cs="Arial"/>
          <w:rtl/>
        </w:rPr>
        <w:t>פ שאין אמו מישראל</w:t>
      </w:r>
      <w:r>
        <w:rPr>
          <w:rFonts w:cs="Arial" w:hint="cs"/>
          <w:sz w:val="16"/>
          <w:szCs w:val="16"/>
          <w:rtl/>
        </w:rPr>
        <w:t xml:space="preserve"> (ל' הרמב"ם)</w:t>
      </w:r>
      <w:r>
        <w:rPr>
          <w:rFonts w:cs="Arial" w:hint="cs"/>
          <w:rtl/>
        </w:rPr>
        <w:t>.</w:t>
      </w:r>
      <w:r w:rsidR="004E7999" w:rsidRPr="00FA2558">
        <w:rPr>
          <w:rFonts w:cs="Arial" w:hint="cs"/>
          <w:color w:val="E36C0A" w:themeColor="accent6" w:themeShade="BF"/>
          <w:rtl/>
        </w:rPr>
        <w:t xml:space="preserve"> (וכ"פ בשו"ע)</w:t>
      </w:r>
    </w:p>
    <w:p w14:paraId="254D3101" w14:textId="77777777" w:rsidR="005A3385" w:rsidRPr="005A3385" w:rsidRDefault="005A3385" w:rsidP="005A3385">
      <w:pPr>
        <w:ind w:left="360"/>
        <w:rPr>
          <w:rFonts w:cs="Arial"/>
          <w:u w:val="dotted"/>
        </w:rPr>
      </w:pPr>
      <w:r w:rsidRPr="005A3385">
        <w:rPr>
          <w:rFonts w:cs="Arial" w:hint="cs"/>
          <w:u w:val="dotted"/>
          <w:rtl/>
        </w:rPr>
        <w:t>האם הדין כן אף לשלשה גרים שאמם מישראל</w:t>
      </w:r>
      <w:r>
        <w:rPr>
          <w:rFonts w:cs="Arial" w:hint="cs"/>
          <w:sz w:val="16"/>
          <w:szCs w:val="16"/>
          <w:u w:val="dotted"/>
          <w:rtl/>
        </w:rPr>
        <w:t xml:space="preserve"> (היינו שכל בית הדין גרים)</w:t>
      </w:r>
      <w:r w:rsidRPr="005A3385">
        <w:rPr>
          <w:rFonts w:cs="Arial" w:hint="cs"/>
          <w:u w:val="dotted"/>
          <w:rtl/>
        </w:rPr>
        <w:t>:</w:t>
      </w:r>
    </w:p>
    <w:p w14:paraId="1D5DCB2F" w14:textId="77777777" w:rsidR="004A326E" w:rsidRPr="005A3385" w:rsidRDefault="004E7999" w:rsidP="004B0475">
      <w:pPr>
        <w:pStyle w:val="ac"/>
        <w:numPr>
          <w:ilvl w:val="0"/>
          <w:numId w:val="62"/>
        </w:numPr>
        <w:rPr>
          <w:rFonts w:cs="Arial"/>
          <w:u w:val="double"/>
          <w:rtl/>
        </w:rPr>
      </w:pPr>
      <w:r w:rsidRPr="00607B27">
        <w:rPr>
          <w:rFonts w:cs="Arial"/>
          <w:rtl/>
        </w:rPr>
        <w:t xml:space="preserve">רמב"ם </w:t>
      </w:r>
      <w:r w:rsidRPr="00607B27">
        <w:rPr>
          <w:rFonts w:cs="Arial" w:hint="cs"/>
          <w:sz w:val="16"/>
          <w:szCs w:val="16"/>
          <w:rtl/>
        </w:rPr>
        <w:t>(</w:t>
      </w:r>
      <w:r w:rsidRPr="00607B27">
        <w:rPr>
          <w:rFonts w:cs="Arial"/>
          <w:sz w:val="16"/>
          <w:szCs w:val="16"/>
          <w:rtl/>
        </w:rPr>
        <w:t>פ"ב מהל</w:t>
      </w:r>
      <w:r w:rsidRPr="00607B27">
        <w:rPr>
          <w:rFonts w:cs="Arial" w:hint="cs"/>
          <w:sz w:val="16"/>
          <w:szCs w:val="16"/>
          <w:rtl/>
        </w:rPr>
        <w:t>'</w:t>
      </w:r>
      <w:r w:rsidRPr="00607B27">
        <w:rPr>
          <w:rFonts w:cs="Arial"/>
          <w:sz w:val="16"/>
          <w:szCs w:val="16"/>
          <w:rtl/>
        </w:rPr>
        <w:t xml:space="preserve"> סנהדרין ה"ט)</w:t>
      </w:r>
      <w:r w:rsidRPr="00607B27">
        <w:rPr>
          <w:rFonts w:cs="Arial" w:hint="cs"/>
          <w:rtl/>
        </w:rPr>
        <w:t>-</w:t>
      </w:r>
      <w:r w:rsidR="005A3385" w:rsidRPr="005A3385">
        <w:rPr>
          <w:rFonts w:cs="Arial"/>
          <w:rtl/>
        </w:rPr>
        <w:t xml:space="preserve"> </w:t>
      </w:r>
      <w:r w:rsidR="005A3385" w:rsidRPr="00607B27">
        <w:rPr>
          <w:rFonts w:cs="Arial"/>
          <w:rtl/>
        </w:rPr>
        <w:t>בית דין של שלשה שהיה אחד מהם גר הרי זה פסול עד שתהיה אמו מישראל</w:t>
      </w:r>
      <w:r w:rsidR="005A3385">
        <w:rPr>
          <w:rStyle w:val="ab"/>
          <w:rFonts w:cs="Arial"/>
          <w:rtl/>
        </w:rPr>
        <w:footnoteReference w:id="307"/>
      </w:r>
      <w:r w:rsidRPr="00607B27">
        <w:rPr>
          <w:rFonts w:cs="Arial"/>
          <w:rtl/>
        </w:rPr>
        <w:t xml:space="preserve">. </w:t>
      </w:r>
      <w:r>
        <w:rPr>
          <w:rFonts w:cs="Arial" w:hint="cs"/>
          <w:color w:val="E36C0A" w:themeColor="accent6" w:themeShade="BF"/>
          <w:rtl/>
        </w:rPr>
        <w:t>(</w:t>
      </w:r>
      <w:r w:rsidRPr="00607B27">
        <w:rPr>
          <w:rFonts w:cs="Arial" w:hint="cs"/>
          <w:color w:val="E36C0A" w:themeColor="accent6" w:themeShade="BF"/>
          <w:rtl/>
        </w:rPr>
        <w:t>וכ"פ בשו"ע</w:t>
      </w:r>
      <w:r>
        <w:rPr>
          <w:rFonts w:cs="Arial" w:hint="cs"/>
          <w:color w:val="E36C0A" w:themeColor="accent6" w:themeShade="BF"/>
          <w:rtl/>
        </w:rPr>
        <w:t>)</w:t>
      </w:r>
    </w:p>
    <w:p w14:paraId="3248790E" w14:textId="77777777" w:rsidR="004A326E" w:rsidRPr="005A3385" w:rsidRDefault="005A3385" w:rsidP="005A3385">
      <w:pPr>
        <w:ind w:left="360"/>
        <w:rPr>
          <w:rFonts w:cs="Arial"/>
          <w:u w:val="dotted"/>
          <w:rtl/>
        </w:rPr>
      </w:pPr>
      <w:r>
        <w:rPr>
          <w:rFonts w:cs="Arial" w:hint="cs"/>
          <w:u w:val="dotted"/>
          <w:rtl/>
        </w:rPr>
        <w:t>גר</w:t>
      </w:r>
      <w:r w:rsidR="004A326E" w:rsidRPr="005A3385">
        <w:rPr>
          <w:rFonts w:cs="Arial" w:hint="cs"/>
          <w:u w:val="dotted"/>
          <w:rtl/>
        </w:rPr>
        <w:t xml:space="preserve"> </w:t>
      </w:r>
      <w:r w:rsidR="004A326E" w:rsidRPr="009F70C3">
        <w:rPr>
          <w:rFonts w:cs="Arial" w:hint="cs"/>
          <w:b/>
          <w:bCs/>
          <w:u w:val="dotted"/>
          <w:rtl/>
        </w:rPr>
        <w:t>שאביו</w:t>
      </w:r>
      <w:r w:rsidR="004A326E" w:rsidRPr="005A3385">
        <w:rPr>
          <w:rFonts w:cs="Arial" w:hint="cs"/>
          <w:u w:val="dotted"/>
          <w:rtl/>
        </w:rPr>
        <w:t xml:space="preserve"> </w:t>
      </w:r>
      <w:r>
        <w:rPr>
          <w:rFonts w:cs="Arial" w:hint="cs"/>
          <w:u w:val="dotted"/>
          <w:rtl/>
        </w:rPr>
        <w:t>מ</w:t>
      </w:r>
      <w:r w:rsidR="004A326E" w:rsidRPr="005A3385">
        <w:rPr>
          <w:rFonts w:cs="Arial" w:hint="cs"/>
          <w:u w:val="dotted"/>
          <w:rtl/>
        </w:rPr>
        <w:t xml:space="preserve">ישראל </w:t>
      </w:r>
      <w:r w:rsidR="004A326E" w:rsidRPr="005A3385">
        <w:rPr>
          <w:rFonts w:cs="Arial"/>
          <w:u w:val="dotted"/>
          <w:rtl/>
        </w:rPr>
        <w:t>–</w:t>
      </w:r>
      <w:r w:rsidR="004A326E" w:rsidRPr="005A3385">
        <w:rPr>
          <w:rFonts w:cs="Arial" w:hint="cs"/>
          <w:u w:val="dotted"/>
          <w:rtl/>
        </w:rPr>
        <w:t xml:space="preserve"> מהו שידון לישראל:</w:t>
      </w:r>
    </w:p>
    <w:p w14:paraId="2158E3A8" w14:textId="77777777" w:rsidR="004A326E" w:rsidRPr="00556372" w:rsidRDefault="004A326E" w:rsidP="004B0475">
      <w:pPr>
        <w:pStyle w:val="ac"/>
        <w:numPr>
          <w:ilvl w:val="0"/>
          <w:numId w:val="57"/>
        </w:numPr>
        <w:rPr>
          <w:rtl/>
        </w:rPr>
      </w:pPr>
      <w:r w:rsidRPr="005A1056">
        <w:rPr>
          <w:rFonts w:cs="Arial"/>
          <w:rtl/>
        </w:rPr>
        <w:lastRenderedPageBreak/>
        <w:t>תוס</w:t>
      </w:r>
      <w:r w:rsidRPr="005A1056">
        <w:rPr>
          <w:rFonts w:cs="Arial" w:hint="cs"/>
          <w:rtl/>
        </w:rPr>
        <w:t>'</w:t>
      </w:r>
      <w:r w:rsidRPr="005A1056">
        <w:rPr>
          <w:rFonts w:cs="Arial"/>
          <w:rtl/>
        </w:rPr>
        <w:t xml:space="preserve"> </w:t>
      </w:r>
      <w:r w:rsidRPr="005A1056">
        <w:rPr>
          <w:rFonts w:cs="Arial" w:hint="cs"/>
          <w:sz w:val="16"/>
          <w:szCs w:val="16"/>
          <w:rtl/>
        </w:rPr>
        <w:t>(</w:t>
      </w:r>
      <w:r w:rsidRPr="005A1056">
        <w:rPr>
          <w:rFonts w:cs="Arial"/>
          <w:sz w:val="16"/>
          <w:szCs w:val="16"/>
          <w:rtl/>
        </w:rPr>
        <w:t>פ</w:t>
      </w:r>
      <w:r w:rsidRPr="005A1056">
        <w:rPr>
          <w:rFonts w:cs="Arial" w:hint="cs"/>
          <w:sz w:val="16"/>
          <w:szCs w:val="16"/>
          <w:rtl/>
        </w:rPr>
        <w:t>'</w:t>
      </w:r>
      <w:r w:rsidRPr="005A1056">
        <w:rPr>
          <w:rFonts w:cs="Arial"/>
          <w:sz w:val="16"/>
          <w:szCs w:val="16"/>
          <w:rtl/>
        </w:rPr>
        <w:t xml:space="preserve"> מצות חליצה ד"ה לענין)</w:t>
      </w:r>
      <w:r w:rsidRPr="005A1056">
        <w:rPr>
          <w:rFonts w:cs="Arial" w:hint="cs"/>
          <w:rtl/>
        </w:rPr>
        <w:t>-</w:t>
      </w:r>
      <w:r w:rsidRPr="005A1056">
        <w:rPr>
          <w:rFonts w:cs="Arial"/>
          <w:rtl/>
        </w:rPr>
        <w:t xml:space="preserve"> </w:t>
      </w:r>
      <w:r w:rsidR="00031718">
        <w:rPr>
          <w:rFonts w:cs="Arial" w:hint="cs"/>
          <w:rtl/>
        </w:rPr>
        <w:t xml:space="preserve">הא דאמרה הגמ' </w:t>
      </w:r>
      <w:r w:rsidR="00031718" w:rsidRPr="00077F9A">
        <w:rPr>
          <w:rFonts w:cs="Arial"/>
          <w:rtl/>
        </w:rPr>
        <w:t xml:space="preserve">לענין חליצה </w:t>
      </w:r>
      <w:r w:rsidR="00031718">
        <w:rPr>
          <w:rFonts w:cs="Arial" w:hint="cs"/>
          <w:rtl/>
        </w:rPr>
        <w:t>'</w:t>
      </w:r>
      <w:r w:rsidR="00031718" w:rsidRPr="00077F9A">
        <w:rPr>
          <w:rFonts w:cs="Arial"/>
          <w:rtl/>
        </w:rPr>
        <w:t>עד שיהיה אביו ואמו מישראל</w:t>
      </w:r>
      <w:r w:rsidR="00031718">
        <w:rPr>
          <w:rFonts w:cs="Arial" w:hint="cs"/>
          <w:rtl/>
        </w:rPr>
        <w:t>',</w:t>
      </w:r>
      <w:r w:rsidR="00031718" w:rsidRPr="00077F9A">
        <w:rPr>
          <w:rFonts w:cs="Arial"/>
          <w:rtl/>
        </w:rPr>
        <w:t xml:space="preserve"> פירוש</w:t>
      </w:r>
      <w:r w:rsidR="00031718">
        <w:rPr>
          <w:rFonts w:cs="Arial" w:hint="cs"/>
          <w:rtl/>
        </w:rPr>
        <w:t xml:space="preserve"> - </w:t>
      </w:r>
      <w:r w:rsidRPr="005A1056">
        <w:rPr>
          <w:rFonts w:cs="Arial"/>
          <w:rtl/>
        </w:rPr>
        <w:t>באמו לא סגי עד שיהא גם אביו מישראל</w:t>
      </w:r>
      <w:r w:rsidR="00031718">
        <w:rPr>
          <w:rFonts w:cs="Arial" w:hint="cs"/>
          <w:rtl/>
        </w:rPr>
        <w:t>,</w:t>
      </w:r>
      <w:r w:rsidRPr="005A1056">
        <w:rPr>
          <w:rFonts w:cs="Arial"/>
          <w:rtl/>
        </w:rPr>
        <w:t xml:space="preserve"> אבל באביו לחוד</w:t>
      </w:r>
      <w:r w:rsidR="00031718">
        <w:rPr>
          <w:rFonts w:cs="Arial" w:hint="cs"/>
          <w:rtl/>
        </w:rPr>
        <w:t xml:space="preserve"> </w:t>
      </w:r>
      <w:r w:rsidRPr="005A1056">
        <w:rPr>
          <w:rFonts w:cs="Arial"/>
          <w:rtl/>
        </w:rPr>
        <w:t>סגי</w:t>
      </w:r>
      <w:r w:rsidR="005A3385">
        <w:rPr>
          <w:rFonts w:cs="Arial" w:hint="cs"/>
          <w:rtl/>
        </w:rPr>
        <w:t>,</w:t>
      </w:r>
      <w:r w:rsidRPr="005A1056">
        <w:rPr>
          <w:rFonts w:cs="Arial"/>
          <w:rtl/>
        </w:rPr>
        <w:t xml:space="preserve"> דהא לענין יחס כהונה סגי מאביו מישראל כדאמרינן בפרק עשרה יוחסין</w:t>
      </w:r>
      <w:r w:rsidRPr="005A1056">
        <w:rPr>
          <w:rFonts w:cs="Arial"/>
          <w:sz w:val="16"/>
          <w:szCs w:val="16"/>
          <w:rtl/>
        </w:rPr>
        <w:t xml:space="preserve"> (קידושין עז.)</w:t>
      </w:r>
      <w:r w:rsidRPr="009B0143">
        <w:rPr>
          <w:rStyle w:val="ab"/>
          <w:rFonts w:cs="Arial"/>
          <w:rtl/>
        </w:rPr>
        <w:footnoteReference w:id="308"/>
      </w:r>
      <w:r w:rsidRPr="005A1056">
        <w:rPr>
          <w:rFonts w:cs="Arial" w:hint="cs"/>
          <w:rtl/>
        </w:rPr>
        <w:t>.</w:t>
      </w:r>
      <w:r>
        <w:rPr>
          <w:rFonts w:cs="Arial" w:hint="cs"/>
          <w:rtl/>
        </w:rPr>
        <w:t xml:space="preserve"> </w:t>
      </w:r>
      <w:r w:rsidRPr="009B0143">
        <w:rPr>
          <w:rFonts w:cs="Arial" w:hint="cs"/>
          <w:color w:val="00B0F0"/>
          <w:rtl/>
        </w:rPr>
        <w:t>(וכ"פ הרמ"א)</w:t>
      </w:r>
      <w:r>
        <w:rPr>
          <w:rFonts w:hint="cs"/>
          <w:rtl/>
        </w:rPr>
        <w:t xml:space="preserve"> (וכ"פ הסמ"ע</w:t>
      </w:r>
      <w:r>
        <w:rPr>
          <w:rFonts w:hint="cs"/>
          <w:sz w:val="16"/>
          <w:szCs w:val="16"/>
          <w:rtl/>
        </w:rPr>
        <w:t xml:space="preserve"> [סק"ג]</w:t>
      </w:r>
      <w:r>
        <w:rPr>
          <w:rFonts w:hint="cs"/>
          <w:rtl/>
        </w:rPr>
        <w:t>)</w:t>
      </w:r>
    </w:p>
    <w:p w14:paraId="6A226824" w14:textId="77777777" w:rsidR="004A326E" w:rsidRPr="003024E5" w:rsidRDefault="004A326E" w:rsidP="004A326E">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45020B30" w14:textId="77777777" w:rsidR="004A326E" w:rsidRDefault="004A326E" w:rsidP="004A326E">
      <w:pPr>
        <w:rPr>
          <w:rtl/>
        </w:rPr>
      </w:pPr>
      <w:r>
        <w:rPr>
          <w:rFonts w:cs="Arial"/>
          <w:rtl/>
        </w:rPr>
        <w:t xml:space="preserve">בית דין של </w:t>
      </w:r>
      <w:r>
        <w:rPr>
          <w:rFonts w:cs="Arial" w:hint="cs"/>
          <w:rtl/>
        </w:rPr>
        <w:t>שלשה</w:t>
      </w:r>
      <w:r>
        <w:rPr>
          <w:rFonts w:cs="Arial"/>
          <w:rtl/>
        </w:rPr>
        <w:t xml:space="preserve"> שהיה אחד מהם גר הרי זה פסול לדון לישראל</w:t>
      </w:r>
      <w:r>
        <w:rPr>
          <w:rStyle w:val="ab"/>
          <w:rFonts w:cs="Arial"/>
          <w:rtl/>
        </w:rPr>
        <w:footnoteReference w:id="309"/>
      </w:r>
      <w:r>
        <w:rPr>
          <w:rFonts w:cs="Arial"/>
          <w:rtl/>
        </w:rPr>
        <w:t xml:space="preserve"> אלא אם כן היתה אמו </w:t>
      </w:r>
      <w:r w:rsidRPr="00EF5D9C">
        <w:rPr>
          <w:rFonts w:cs="Arial" w:hint="cs"/>
          <w:sz w:val="18"/>
          <w:szCs w:val="18"/>
          <w:rtl/>
        </w:rPr>
        <w:t xml:space="preserve">[הגה] </w:t>
      </w:r>
      <w:r w:rsidRPr="00EF5D9C">
        <w:rPr>
          <w:rFonts w:cs="Arial"/>
          <w:sz w:val="18"/>
          <w:szCs w:val="18"/>
          <w:rtl/>
        </w:rPr>
        <w:t>או אביו (מרדכי בשם תוס</w:t>
      </w:r>
      <w:r>
        <w:rPr>
          <w:rFonts w:cs="Arial" w:hint="cs"/>
          <w:sz w:val="18"/>
          <w:szCs w:val="18"/>
          <w:rtl/>
        </w:rPr>
        <w:t>'</w:t>
      </w:r>
      <w:r w:rsidRPr="00EF5D9C">
        <w:rPr>
          <w:rFonts w:cs="Arial"/>
          <w:sz w:val="18"/>
          <w:szCs w:val="18"/>
          <w:rtl/>
        </w:rPr>
        <w:t xml:space="preserve">) </w:t>
      </w:r>
      <w:r>
        <w:rPr>
          <w:rFonts w:cs="Arial"/>
          <w:rtl/>
        </w:rPr>
        <w:t>מישראל. וגר דן את חבירו הגר</w:t>
      </w:r>
      <w:r w:rsidR="00425710">
        <w:rPr>
          <w:rStyle w:val="ab"/>
          <w:rFonts w:cs="Arial"/>
          <w:rtl/>
        </w:rPr>
        <w:footnoteReference w:id="310"/>
      </w:r>
      <w:r>
        <w:rPr>
          <w:rFonts w:cs="Arial"/>
          <w:rtl/>
        </w:rPr>
        <w:t xml:space="preserve"> אף על פי שאין אמו מישראל. </w:t>
      </w:r>
      <w:r w:rsidRPr="00EF5D9C">
        <w:rPr>
          <w:rFonts w:cs="Arial"/>
          <w:sz w:val="18"/>
          <w:szCs w:val="18"/>
          <w:rtl/>
        </w:rPr>
        <w:t>(ועיין בי</w:t>
      </w:r>
      <w:r w:rsidRPr="00EF5D9C">
        <w:rPr>
          <w:rFonts w:cs="Arial" w:hint="cs"/>
          <w:sz w:val="18"/>
          <w:szCs w:val="18"/>
          <w:rtl/>
        </w:rPr>
        <w:t>ו</w:t>
      </w:r>
      <w:r w:rsidRPr="00EF5D9C">
        <w:rPr>
          <w:rFonts w:cs="Arial"/>
          <w:sz w:val="18"/>
          <w:szCs w:val="18"/>
          <w:rtl/>
        </w:rPr>
        <w:t>"ד ס</w:t>
      </w:r>
      <w:r w:rsidRPr="00EF5D9C">
        <w:rPr>
          <w:rFonts w:cs="Arial" w:hint="cs"/>
          <w:sz w:val="18"/>
          <w:szCs w:val="18"/>
          <w:rtl/>
        </w:rPr>
        <w:t>"</w:t>
      </w:r>
      <w:r w:rsidRPr="00EF5D9C">
        <w:rPr>
          <w:rFonts w:cs="Arial"/>
          <w:sz w:val="18"/>
          <w:szCs w:val="18"/>
          <w:rtl/>
        </w:rPr>
        <w:t>ס רסט).</w:t>
      </w:r>
      <w:r>
        <w:rPr>
          <w:rFonts w:cs="Arial"/>
          <w:rtl/>
        </w:rPr>
        <w:t xml:space="preserve"> </w:t>
      </w:r>
    </w:p>
    <w:p w14:paraId="7A740FAB" w14:textId="77777777" w:rsidR="004A326E" w:rsidRDefault="004A326E" w:rsidP="004A326E">
      <w:pPr>
        <w:rPr>
          <w:rtl/>
        </w:rPr>
      </w:pPr>
    </w:p>
    <w:p w14:paraId="518A0E27" w14:textId="77777777" w:rsidR="004A326E" w:rsidRDefault="004A326E" w:rsidP="004A326E">
      <w:pPr>
        <w:pStyle w:val="2"/>
        <w:rPr>
          <w:rtl/>
        </w:rPr>
      </w:pPr>
      <w:bookmarkStart w:id="33" w:name="_Toc24883536"/>
      <w:r>
        <w:rPr>
          <w:rtl/>
        </w:rPr>
        <w:t>סעיף ב</w:t>
      </w:r>
      <w:r>
        <w:rPr>
          <w:rFonts w:hint="cs"/>
          <w:rtl/>
        </w:rPr>
        <w:t>: ממזר</w:t>
      </w:r>
      <w:r w:rsidR="00607B27">
        <w:rPr>
          <w:rFonts w:hint="cs"/>
          <w:rtl/>
        </w:rPr>
        <w:t xml:space="preserve">. </w:t>
      </w:r>
      <w:r>
        <w:rPr>
          <w:rFonts w:hint="cs"/>
          <w:rtl/>
        </w:rPr>
        <w:t>סומא.</w:t>
      </w:r>
      <w:bookmarkEnd w:id="33"/>
    </w:p>
    <w:p w14:paraId="384DD1E6" w14:textId="77777777" w:rsidR="000D04D4" w:rsidRPr="009F70C3" w:rsidRDefault="000D04D4" w:rsidP="000D04D4">
      <w:pPr>
        <w:rPr>
          <w:rFonts w:cs="Arial"/>
          <w:rtl/>
        </w:rPr>
      </w:pPr>
      <w:r w:rsidRPr="005A7FB3">
        <w:rPr>
          <w:rFonts w:cs="Arial" w:hint="cs"/>
          <w:b/>
          <w:bCs/>
          <w:rtl/>
        </w:rPr>
        <w:t xml:space="preserve">סנהדרין </w:t>
      </w:r>
      <w:r w:rsidRPr="005A7FB3">
        <w:rPr>
          <w:rFonts w:cs="Arial" w:hint="cs"/>
          <w:b/>
          <w:bCs/>
          <w:sz w:val="16"/>
          <w:szCs w:val="16"/>
          <w:rtl/>
        </w:rPr>
        <w:t xml:space="preserve">(פ' אחד דיני ממונות) </w:t>
      </w:r>
      <w:r w:rsidRPr="005A7FB3">
        <w:rPr>
          <w:rFonts w:cs="Arial" w:hint="cs"/>
          <w:b/>
          <w:bCs/>
          <w:rtl/>
        </w:rPr>
        <w:t>לב</w:t>
      </w:r>
      <w:r w:rsidR="00021D1A">
        <w:rPr>
          <w:rStyle w:val="ab"/>
          <w:rFonts w:cs="Arial"/>
          <w:b/>
          <w:bCs/>
          <w:rtl/>
        </w:rPr>
        <w:footnoteReference w:id="311"/>
      </w:r>
      <w:r w:rsidRPr="005A7FB3">
        <w:rPr>
          <w:rFonts w:cs="Arial" w:hint="cs"/>
          <w:b/>
          <w:bCs/>
          <w:rtl/>
        </w:rPr>
        <w:t xml:space="preserve"> ע"א:</w:t>
      </w:r>
      <w:r>
        <w:rPr>
          <w:rFonts w:cs="Arial" w:hint="cs"/>
          <w:rtl/>
        </w:rPr>
        <w:t xml:space="preserve"> </w:t>
      </w:r>
      <w:r w:rsidRPr="005A7FB3">
        <w:rPr>
          <w:rFonts w:cs="Arial" w:hint="cs"/>
          <w:u w:val="double"/>
          <w:rtl/>
        </w:rPr>
        <w:t>משנה:</w:t>
      </w:r>
      <w:r>
        <w:rPr>
          <w:rFonts w:cs="Arial" w:hint="cs"/>
          <w:rtl/>
        </w:rPr>
        <w:t xml:space="preserve">... </w:t>
      </w:r>
      <w:r w:rsidRPr="005A7FB3">
        <w:rPr>
          <w:rFonts w:cs="Arial"/>
          <w:rtl/>
        </w:rPr>
        <w:t xml:space="preserve">הכל כשרין לדון דיני ממונות, ואין הכל כשרין לדון דיני נפשות אלא כהנים לוים וישראלים המשיאין לכהונה. </w:t>
      </w:r>
      <w:r>
        <w:rPr>
          <w:rFonts w:cs="Arial" w:hint="cs"/>
          <w:rtl/>
        </w:rPr>
        <w:t xml:space="preserve">   </w:t>
      </w:r>
      <w:r w:rsidRPr="002A1350">
        <w:rPr>
          <w:rFonts w:cs="Arial" w:hint="cs"/>
          <w:u w:val="double"/>
          <w:rtl/>
        </w:rPr>
        <w:t>גמרא</w:t>
      </w:r>
      <w:r w:rsidRPr="002A1350">
        <w:rPr>
          <w:rFonts w:cs="Arial" w:hint="cs"/>
          <w:sz w:val="14"/>
          <w:szCs w:val="14"/>
          <w:u w:val="double"/>
          <w:rtl/>
        </w:rPr>
        <w:t xml:space="preserve"> (לו:)</w:t>
      </w:r>
      <w:r w:rsidRPr="002A1350">
        <w:rPr>
          <w:rFonts w:cs="Arial" w:hint="cs"/>
          <w:u w:val="double"/>
          <w:rtl/>
        </w:rPr>
        <w:t>:</w:t>
      </w:r>
      <w:r>
        <w:rPr>
          <w:rFonts w:cs="Arial" w:hint="cs"/>
          <w:rtl/>
        </w:rPr>
        <w:t xml:space="preserve"> </w:t>
      </w:r>
      <w:r w:rsidRPr="002A1350">
        <w:rPr>
          <w:rFonts w:cs="Arial"/>
          <w:rtl/>
        </w:rPr>
        <w:t xml:space="preserve">הכל כשרין לדון דיני ממונות. הכל לאתויי מאי? </w:t>
      </w:r>
      <w:r w:rsidRPr="005A1056">
        <w:rPr>
          <w:rFonts w:cs="Arial"/>
          <w:u w:val="single"/>
          <w:rtl/>
        </w:rPr>
        <w:t>אמר רב יהודה</w:t>
      </w:r>
      <w:r w:rsidRPr="002A1350">
        <w:rPr>
          <w:rFonts w:cs="Arial"/>
          <w:rtl/>
        </w:rPr>
        <w:t>: לאתויי ממזר. הא תנינא חדא זימנא</w:t>
      </w:r>
      <w:r>
        <w:rPr>
          <w:rStyle w:val="ab"/>
          <w:rFonts w:cs="Arial"/>
          <w:rtl/>
        </w:rPr>
        <w:footnoteReference w:id="312"/>
      </w:r>
      <w:r w:rsidRPr="002A1350">
        <w:rPr>
          <w:rFonts w:cs="Arial"/>
          <w:rtl/>
        </w:rPr>
        <w:t>: כל הראוי לדון דיני נפשות - ראוי לדון דיני ממונות, ויש ראוי לדון דיני ממונות ואין ראוי לדון דיני נפשות. והוינן בה: לאתויי מאי? ואמר רב יהודה: לאתויי ממזר! חדא לאתויי גר, וחדא לאתויי ממזר. וצריכא: דאי אשמעינן גר - דראוי לבא בקהל, אבל ממזר - אימא לא. ואי אשמעינן ממזר - דבא מטיפה כשרה, אבל גר דלא בא מטיפה כשרה - אימא לא, צריכא</w:t>
      </w:r>
      <w:r w:rsidR="009F70C3">
        <w:rPr>
          <w:rFonts w:cs="Arial" w:hint="cs"/>
          <w:rtl/>
        </w:rPr>
        <w:t>.</w:t>
      </w:r>
    </w:p>
    <w:p w14:paraId="1C7A3554" w14:textId="77777777" w:rsidR="000D04D4" w:rsidRPr="00607B27" w:rsidRDefault="000D04D4" w:rsidP="000D04D4">
      <w:pPr>
        <w:rPr>
          <w:rFonts w:cs="Arial"/>
          <w:rtl/>
        </w:rPr>
      </w:pPr>
      <w:r>
        <w:rPr>
          <w:rFonts w:cs="Arial" w:hint="cs"/>
          <w:u w:val="single"/>
          <w:rtl/>
        </w:rPr>
        <w:t xml:space="preserve">ממזר </w:t>
      </w:r>
      <w:r>
        <w:rPr>
          <w:rFonts w:cs="Arial"/>
          <w:u w:val="single"/>
          <w:rtl/>
        </w:rPr>
        <w:t>–</w:t>
      </w:r>
      <w:r>
        <w:rPr>
          <w:rFonts w:cs="Arial" w:hint="cs"/>
          <w:u w:val="single"/>
          <w:rtl/>
        </w:rPr>
        <w:t xml:space="preserve"> מה שידון</w:t>
      </w:r>
      <w:r w:rsidRPr="00607B27">
        <w:rPr>
          <w:rFonts w:cs="Arial" w:hint="cs"/>
          <w:u w:val="single"/>
          <w:rtl/>
        </w:rPr>
        <w:t>:</w:t>
      </w:r>
    </w:p>
    <w:p w14:paraId="175CAA04" w14:textId="77777777" w:rsidR="000D04D4" w:rsidRPr="00607B27" w:rsidRDefault="000D04D4" w:rsidP="004B0475">
      <w:pPr>
        <w:pStyle w:val="ac"/>
        <w:numPr>
          <w:ilvl w:val="0"/>
          <w:numId w:val="62"/>
        </w:numPr>
        <w:rPr>
          <w:rFonts w:cs="Arial"/>
          <w:u w:val="double"/>
          <w:rtl/>
        </w:rPr>
      </w:pPr>
      <w:r w:rsidRPr="00607B27">
        <w:rPr>
          <w:rFonts w:cs="Arial"/>
          <w:rtl/>
        </w:rPr>
        <w:t xml:space="preserve">רמב"ם </w:t>
      </w:r>
      <w:r w:rsidRPr="00607B27">
        <w:rPr>
          <w:rFonts w:cs="Arial" w:hint="cs"/>
          <w:sz w:val="16"/>
          <w:szCs w:val="16"/>
          <w:rtl/>
        </w:rPr>
        <w:t>(</w:t>
      </w:r>
      <w:r w:rsidRPr="00607B27">
        <w:rPr>
          <w:rFonts w:cs="Arial"/>
          <w:sz w:val="16"/>
          <w:szCs w:val="16"/>
          <w:rtl/>
        </w:rPr>
        <w:t>פ"ב מהל</w:t>
      </w:r>
      <w:r w:rsidRPr="00607B27">
        <w:rPr>
          <w:rFonts w:cs="Arial" w:hint="cs"/>
          <w:sz w:val="16"/>
          <w:szCs w:val="16"/>
          <w:rtl/>
        </w:rPr>
        <w:t>'</w:t>
      </w:r>
      <w:r w:rsidRPr="00607B27">
        <w:rPr>
          <w:rFonts w:cs="Arial"/>
          <w:sz w:val="16"/>
          <w:szCs w:val="16"/>
          <w:rtl/>
        </w:rPr>
        <w:t xml:space="preserve"> סנהדרין ה"ט)</w:t>
      </w:r>
      <w:r>
        <w:rPr>
          <w:rFonts w:cs="Arial" w:hint="cs"/>
          <w:rtl/>
        </w:rPr>
        <w:t xml:space="preserve"> וטור</w:t>
      </w:r>
      <w:r w:rsidRPr="00607B27">
        <w:rPr>
          <w:rFonts w:cs="Arial" w:hint="cs"/>
          <w:rtl/>
        </w:rPr>
        <w:t>-</w:t>
      </w:r>
      <w:r w:rsidRPr="00607B27">
        <w:rPr>
          <w:rFonts w:cs="Arial"/>
          <w:rtl/>
        </w:rPr>
        <w:t xml:space="preserve"> בית דין של שלשה</w:t>
      </w:r>
      <w:r>
        <w:rPr>
          <w:rFonts w:cs="Arial" w:hint="cs"/>
          <w:rtl/>
        </w:rPr>
        <w:t xml:space="preserve">... </w:t>
      </w:r>
      <w:r w:rsidRPr="00607B27">
        <w:rPr>
          <w:rFonts w:cs="Arial"/>
          <w:rtl/>
        </w:rPr>
        <w:t>היה אחד מהם ממזר אפילו שלשתם ממזרים הרי אלו כשרים לדון</w:t>
      </w:r>
      <w:r>
        <w:rPr>
          <w:rFonts w:cs="Arial" w:hint="cs"/>
          <w:sz w:val="16"/>
          <w:szCs w:val="16"/>
          <w:rtl/>
        </w:rPr>
        <w:t xml:space="preserve"> (ל' הרמב"ם)</w:t>
      </w:r>
      <w:r w:rsidRPr="00607B27">
        <w:rPr>
          <w:rFonts w:cs="Arial"/>
          <w:rtl/>
        </w:rPr>
        <w:t xml:space="preserve">. </w:t>
      </w:r>
      <w:r>
        <w:rPr>
          <w:rFonts w:cs="Arial" w:hint="cs"/>
          <w:color w:val="E36C0A" w:themeColor="accent6" w:themeShade="BF"/>
          <w:rtl/>
        </w:rPr>
        <w:t>(</w:t>
      </w:r>
      <w:r w:rsidRPr="00607B27">
        <w:rPr>
          <w:rFonts w:cs="Arial" w:hint="cs"/>
          <w:color w:val="E36C0A" w:themeColor="accent6" w:themeShade="BF"/>
          <w:rtl/>
        </w:rPr>
        <w:t>וכ"פ בשו"ע</w:t>
      </w:r>
      <w:r>
        <w:rPr>
          <w:rFonts w:cs="Arial" w:hint="cs"/>
          <w:color w:val="E36C0A" w:themeColor="accent6" w:themeShade="BF"/>
          <w:rtl/>
        </w:rPr>
        <w:t>)</w:t>
      </w:r>
    </w:p>
    <w:p w14:paraId="58F30E67" w14:textId="77777777" w:rsidR="004A326E" w:rsidRDefault="00084BA9" w:rsidP="00A62302">
      <w:pPr>
        <w:rPr>
          <w:rFonts w:cs="Arial"/>
          <w:rtl/>
        </w:rPr>
      </w:pPr>
      <w:r w:rsidRPr="005A7FB3">
        <w:rPr>
          <w:rFonts w:cs="Arial" w:hint="cs"/>
          <w:b/>
          <w:bCs/>
          <w:rtl/>
        </w:rPr>
        <w:t xml:space="preserve">סנהדרין </w:t>
      </w:r>
      <w:r w:rsidRPr="005A7FB3">
        <w:rPr>
          <w:rFonts w:cs="Arial" w:hint="cs"/>
          <w:b/>
          <w:bCs/>
          <w:sz w:val="16"/>
          <w:szCs w:val="16"/>
          <w:rtl/>
        </w:rPr>
        <w:t xml:space="preserve">(פ' אחד דיני ממונות) </w:t>
      </w:r>
      <w:r w:rsidRPr="005A7FB3">
        <w:rPr>
          <w:rFonts w:cs="Arial" w:hint="cs"/>
          <w:b/>
          <w:bCs/>
          <w:rtl/>
        </w:rPr>
        <w:t>לב</w:t>
      </w:r>
      <w:r>
        <w:rPr>
          <w:rStyle w:val="ab"/>
          <w:rFonts w:cs="Arial"/>
          <w:b/>
          <w:bCs/>
          <w:rtl/>
        </w:rPr>
        <w:footnoteReference w:id="313"/>
      </w:r>
      <w:r w:rsidRPr="005A7FB3">
        <w:rPr>
          <w:rFonts w:cs="Arial" w:hint="cs"/>
          <w:b/>
          <w:bCs/>
          <w:rtl/>
        </w:rPr>
        <w:t xml:space="preserve"> ע"א:</w:t>
      </w:r>
      <w:r>
        <w:rPr>
          <w:rFonts w:cs="Arial" w:hint="cs"/>
          <w:b/>
          <w:bCs/>
          <w:rtl/>
        </w:rPr>
        <w:t xml:space="preserve"> </w:t>
      </w:r>
      <w:r w:rsidRPr="00084BA9">
        <w:rPr>
          <w:rFonts w:cs="Arial"/>
          <w:rtl/>
        </w:rPr>
        <w:t>דתניא, היה רבי מאיר אומר: מה תלמוד לומר על פיהם יהיה כל ריב וכל נגע, וכי מה ענין ריבים אצל נגעים? אלא מקיש ריבים לנגעים: מה נגעים ביום, דכתיב וביום הראות בו - אף ריבים ביום. ומה נגעים שלא בסומין - דכתיב לכל מראה עיני הכהן - אף ריבים שלא בסומין.</w:t>
      </w:r>
      <w:r>
        <w:rPr>
          <w:rFonts w:cs="Arial" w:hint="cs"/>
          <w:rtl/>
        </w:rPr>
        <w:t>.</w:t>
      </w:r>
      <w:r w:rsidRPr="00084BA9">
        <w:rPr>
          <w:rFonts w:cs="Arial"/>
          <w:rtl/>
        </w:rPr>
        <w:t>. ההוא סמיא דהוה בשבבותיה דרבי יוחנן, דהוה דאין דינא, ולא אמר ליה רבי יוחנן ולא מידי. היכי עביד הכי? והא אמר רבי יוחנן: הלכה כסתם משנה, ותנן: כל הכשר לדון כשר להעיד, ויש שכשר להעיד ואין כשר לדון. ואמר רבי יוחנן: לאתויי סומא באחת מעיניו</w:t>
      </w:r>
      <w:r w:rsidR="00A62302">
        <w:rPr>
          <w:rStyle w:val="ab"/>
          <w:rFonts w:cs="Arial"/>
          <w:rtl/>
        </w:rPr>
        <w:footnoteReference w:id="314"/>
      </w:r>
      <w:r w:rsidRPr="00084BA9">
        <w:rPr>
          <w:rFonts w:cs="Arial"/>
          <w:rtl/>
        </w:rPr>
        <w:t>! רבי יוחנן סתמא אחריתא אשכח</w:t>
      </w:r>
      <w:r w:rsidR="00A62302">
        <w:rPr>
          <w:rStyle w:val="ab"/>
          <w:rFonts w:cs="Arial"/>
          <w:rtl/>
        </w:rPr>
        <w:footnoteReference w:id="315"/>
      </w:r>
      <w:r w:rsidRPr="00084BA9">
        <w:rPr>
          <w:rFonts w:cs="Arial"/>
          <w:rtl/>
        </w:rPr>
        <w:t>: דיני ממונות דנין ביום וגומרין בלילה</w:t>
      </w:r>
      <w:r w:rsidR="00A62302">
        <w:rPr>
          <w:rStyle w:val="ab"/>
          <w:rFonts w:cs="Arial"/>
          <w:rtl/>
        </w:rPr>
        <w:footnoteReference w:id="316"/>
      </w:r>
      <w:r w:rsidR="00A62302">
        <w:rPr>
          <w:rFonts w:cs="Arial" w:hint="cs"/>
          <w:rtl/>
        </w:rPr>
        <w:t xml:space="preserve">. </w:t>
      </w:r>
      <w:r w:rsidRPr="00084BA9">
        <w:rPr>
          <w:rFonts w:cs="Arial"/>
          <w:rtl/>
        </w:rPr>
        <w:t>מאי אולמיה דהאי סתמא מהאי סתמא? אי בעית אימא: סתמא דרבים עדיף</w:t>
      </w:r>
      <w:r w:rsidR="00A62302">
        <w:rPr>
          <w:rStyle w:val="ab"/>
          <w:rFonts w:cs="Arial"/>
          <w:rtl/>
        </w:rPr>
        <w:footnoteReference w:id="317"/>
      </w:r>
      <w:r w:rsidRPr="00084BA9">
        <w:rPr>
          <w:rFonts w:cs="Arial"/>
          <w:rtl/>
        </w:rPr>
        <w:t>, ואי בעית אימא: משום דקתני לה גבי הלכתא דדינ</w:t>
      </w:r>
      <w:r w:rsidR="00A62302">
        <w:rPr>
          <w:rFonts w:cs="Arial" w:hint="cs"/>
          <w:rtl/>
        </w:rPr>
        <w:t>א</w:t>
      </w:r>
      <w:r w:rsidR="004A326E">
        <w:rPr>
          <w:rStyle w:val="ab"/>
          <w:rFonts w:cs="Arial"/>
          <w:rtl/>
        </w:rPr>
        <w:footnoteReference w:id="318"/>
      </w:r>
      <w:r w:rsidR="004A326E" w:rsidRPr="004052EA">
        <w:rPr>
          <w:rFonts w:cs="Arial"/>
          <w:rtl/>
        </w:rPr>
        <w:t>.</w:t>
      </w:r>
      <w:r w:rsidR="004A326E">
        <w:rPr>
          <w:rFonts w:cs="Arial" w:hint="cs"/>
          <w:rtl/>
        </w:rPr>
        <w:t xml:space="preserve"> </w:t>
      </w:r>
      <w:r w:rsidR="004A326E" w:rsidRPr="00A41917">
        <w:rPr>
          <w:rFonts w:cs="Arial" w:hint="cs"/>
          <w:sz w:val="16"/>
          <w:szCs w:val="16"/>
          <w:rtl/>
        </w:rPr>
        <w:t>(</w:t>
      </w:r>
      <w:r w:rsidR="004A326E" w:rsidRPr="00A41917">
        <w:rPr>
          <w:rFonts w:cs="Arial"/>
          <w:sz w:val="16"/>
          <w:szCs w:val="16"/>
          <w:rtl/>
        </w:rPr>
        <w:t>וז"ל הרא"ש (סי' ט) והרי"ף (יג.) ז"ל בפרק אחד דיני ממונות</w:t>
      </w:r>
      <w:r w:rsidR="004A326E" w:rsidRPr="00A41917">
        <w:rPr>
          <w:rFonts w:cs="Arial" w:hint="cs"/>
          <w:sz w:val="16"/>
          <w:szCs w:val="16"/>
          <w:rtl/>
        </w:rPr>
        <w:t xml:space="preserve"> -</w:t>
      </w:r>
      <w:r w:rsidR="004A326E" w:rsidRPr="00A41917">
        <w:rPr>
          <w:rFonts w:cs="Arial"/>
          <w:sz w:val="16"/>
          <w:szCs w:val="16"/>
          <w:rtl/>
        </w:rPr>
        <w:t xml:space="preserve"> וסומא באחת מעיניו כשר לדון דיני ממונות דאמרינן ההוא סומא באחת מעיניו דהוה בשבבותיה דרבי יוחנן דהוה דאין דינא ולא הוה אמר ליה מידי והיכי עביד הכי והאמר רבי יוחנן הלכה כסתם משנה וכו' רבי יוחנן סתמא אחרינא אשכח דתנן דיני ממונות דנין ביום וגומרין בלילה</w:t>
      </w:r>
      <w:r w:rsidR="004533D1">
        <w:rPr>
          <w:rFonts w:cs="Arial" w:hint="cs"/>
          <w:sz w:val="16"/>
          <w:szCs w:val="16"/>
          <w:rtl/>
        </w:rPr>
        <w:t>,</w:t>
      </w:r>
      <w:r w:rsidR="004A326E" w:rsidRPr="00A41917">
        <w:rPr>
          <w:rFonts w:cs="Arial"/>
          <w:sz w:val="16"/>
          <w:szCs w:val="16"/>
          <w:rtl/>
        </w:rPr>
        <w:t xml:space="preserve"> דהא כולהו אינשי לא מטו למחזי בליליא כדחזי סומא באחת מעיניו ביום וקתני דגומרים בלילה</w:t>
      </w:r>
      <w:r w:rsidR="004533D1">
        <w:rPr>
          <w:rFonts w:cs="Arial" w:hint="cs"/>
          <w:sz w:val="16"/>
          <w:szCs w:val="16"/>
          <w:rtl/>
        </w:rPr>
        <w:t>,</w:t>
      </w:r>
      <w:r w:rsidR="004A326E" w:rsidRPr="00A41917">
        <w:rPr>
          <w:rFonts w:cs="Arial"/>
          <w:sz w:val="16"/>
          <w:szCs w:val="16"/>
          <w:rtl/>
        </w:rPr>
        <w:t xml:space="preserve"> וכיון דגומרין בלילה דין הוא לסומא באחת מעיניו שידון ביום לכתחלה</w:t>
      </w:r>
      <w:r w:rsidR="004A326E">
        <w:rPr>
          <w:rFonts w:cs="Arial" w:hint="cs"/>
          <w:sz w:val="16"/>
          <w:szCs w:val="16"/>
          <w:rtl/>
        </w:rPr>
        <w:t>,</w:t>
      </w:r>
      <w:r w:rsidR="004A326E" w:rsidRPr="00A41917">
        <w:rPr>
          <w:rFonts w:cs="Arial"/>
          <w:sz w:val="16"/>
          <w:szCs w:val="16"/>
          <w:rtl/>
        </w:rPr>
        <w:t xml:space="preserve"> עכ"ל. וכ</w:t>
      </w:r>
      <w:r w:rsidR="004A326E">
        <w:rPr>
          <w:rFonts w:cs="Arial" w:hint="cs"/>
          <w:sz w:val="16"/>
          <w:szCs w:val="16"/>
          <w:rtl/>
        </w:rPr>
        <w:t>"</w:t>
      </w:r>
      <w:r w:rsidR="004A326E" w:rsidRPr="00A41917">
        <w:rPr>
          <w:rFonts w:cs="Arial"/>
          <w:sz w:val="16"/>
          <w:szCs w:val="16"/>
          <w:rtl/>
        </w:rPr>
        <w:t>פ הרמב"ם בפ"ב מהל</w:t>
      </w:r>
      <w:r w:rsidR="004A326E">
        <w:rPr>
          <w:rFonts w:cs="Arial" w:hint="cs"/>
          <w:sz w:val="16"/>
          <w:szCs w:val="16"/>
          <w:rtl/>
        </w:rPr>
        <w:t>'</w:t>
      </w:r>
      <w:r w:rsidR="004A326E" w:rsidRPr="00A41917">
        <w:rPr>
          <w:rFonts w:cs="Arial"/>
          <w:sz w:val="16"/>
          <w:szCs w:val="16"/>
          <w:rtl/>
        </w:rPr>
        <w:t xml:space="preserve"> סנהדרין (ה"ט)</w:t>
      </w:r>
      <w:r w:rsidR="004A326E">
        <w:rPr>
          <w:rFonts w:cs="Arial" w:hint="cs"/>
          <w:sz w:val="16"/>
          <w:szCs w:val="16"/>
          <w:rtl/>
        </w:rPr>
        <w:t>,</w:t>
      </w:r>
      <w:r w:rsidR="004A326E" w:rsidRPr="00A41917">
        <w:rPr>
          <w:rFonts w:cs="Arial"/>
          <w:sz w:val="16"/>
          <w:szCs w:val="16"/>
          <w:rtl/>
        </w:rPr>
        <w:t xml:space="preserve"> והכי נקטינן</w:t>
      </w:r>
      <w:r w:rsidR="004A326E">
        <w:rPr>
          <w:rFonts w:cs="Arial" w:hint="cs"/>
          <w:sz w:val="16"/>
          <w:szCs w:val="16"/>
          <w:rtl/>
        </w:rPr>
        <w:t>,</w:t>
      </w:r>
      <w:r w:rsidR="004A326E" w:rsidRPr="00A41917">
        <w:rPr>
          <w:rFonts w:cs="Arial"/>
          <w:sz w:val="16"/>
          <w:szCs w:val="16"/>
          <w:rtl/>
        </w:rPr>
        <w:t xml:space="preserve"> דדוקא בסומא באחד מעיניו הוא דמכשרי</w:t>
      </w:r>
      <w:r w:rsidR="004A326E">
        <w:rPr>
          <w:rFonts w:cs="Arial" w:hint="cs"/>
          <w:sz w:val="16"/>
          <w:szCs w:val="16"/>
          <w:rtl/>
        </w:rPr>
        <w:t>,</w:t>
      </w:r>
      <w:r w:rsidR="004A326E" w:rsidRPr="00A41917">
        <w:rPr>
          <w:rFonts w:cs="Arial"/>
          <w:sz w:val="16"/>
          <w:szCs w:val="16"/>
          <w:rtl/>
        </w:rPr>
        <w:t xml:space="preserve"> אבל בסומא בשתי עיניו פסול</w:t>
      </w:r>
      <w:r w:rsidR="004A326E">
        <w:rPr>
          <w:rFonts w:cs="Arial" w:hint="cs"/>
          <w:sz w:val="16"/>
          <w:szCs w:val="16"/>
          <w:rtl/>
        </w:rPr>
        <w:t>,</w:t>
      </w:r>
      <w:r w:rsidR="004A326E" w:rsidRPr="00A41917">
        <w:rPr>
          <w:rFonts w:cs="Arial"/>
          <w:sz w:val="16"/>
          <w:szCs w:val="16"/>
          <w:rtl/>
        </w:rPr>
        <w:t xml:space="preserve"> ולאפוקי ממה שכתב ר</w:t>
      </w:r>
      <w:r w:rsidR="004A326E">
        <w:rPr>
          <w:rFonts w:cs="Arial" w:hint="cs"/>
          <w:sz w:val="16"/>
          <w:szCs w:val="16"/>
          <w:rtl/>
        </w:rPr>
        <w:t>י"ו</w:t>
      </w:r>
      <w:r w:rsidR="004A326E" w:rsidRPr="00A41917">
        <w:rPr>
          <w:rFonts w:cs="Arial"/>
          <w:sz w:val="16"/>
          <w:szCs w:val="16"/>
          <w:rtl/>
        </w:rPr>
        <w:t xml:space="preserve"> (שם ע"א) ומרדכי (סי' תשיד) בשם קצת פוסקים להכשיר</w:t>
      </w:r>
      <w:r w:rsidR="004A326E">
        <w:rPr>
          <w:rFonts w:cs="Arial" w:hint="cs"/>
          <w:sz w:val="16"/>
          <w:szCs w:val="16"/>
          <w:rtl/>
        </w:rPr>
        <w:t>, ב"י)</w:t>
      </w:r>
    </w:p>
    <w:p w14:paraId="7F7C7309" w14:textId="77777777" w:rsidR="004A326E" w:rsidRPr="003024E5" w:rsidRDefault="004A326E" w:rsidP="004A326E">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64561681" w14:textId="77777777" w:rsidR="004A326E" w:rsidRDefault="004A326E" w:rsidP="004A326E">
      <w:pPr>
        <w:rPr>
          <w:rtl/>
        </w:rPr>
      </w:pPr>
      <w:r>
        <w:rPr>
          <w:rFonts w:cs="Arial"/>
          <w:rtl/>
        </w:rPr>
        <w:lastRenderedPageBreak/>
        <w:t>ממזר, ואפילו שלשתן ממזרים</w:t>
      </w:r>
      <w:r>
        <w:rPr>
          <w:rStyle w:val="ab"/>
          <w:rFonts w:cs="Arial"/>
          <w:rtl/>
        </w:rPr>
        <w:footnoteReference w:id="319"/>
      </w:r>
      <w:r>
        <w:rPr>
          <w:rFonts w:cs="Arial"/>
          <w:rtl/>
        </w:rPr>
        <w:t>, הרי אלו כשרים לדון לכל. וכן אם היה כל אחד מהם סומא באחת מעיניו, כשר</w:t>
      </w:r>
      <w:r>
        <w:rPr>
          <w:rStyle w:val="ab"/>
          <w:rFonts w:cs="Arial"/>
          <w:rtl/>
        </w:rPr>
        <w:footnoteReference w:id="320"/>
      </w:r>
      <w:r>
        <w:rPr>
          <w:rFonts w:cs="Arial"/>
          <w:rtl/>
        </w:rPr>
        <w:t>. אבל הסומא בשתי עיניו פסול</w:t>
      </w:r>
      <w:r>
        <w:rPr>
          <w:rStyle w:val="ab"/>
          <w:rFonts w:cs="Arial"/>
          <w:rtl/>
        </w:rPr>
        <w:footnoteReference w:id="321"/>
      </w:r>
      <w:r>
        <w:rPr>
          <w:rFonts w:cs="Arial"/>
          <w:rtl/>
        </w:rPr>
        <w:t xml:space="preserve">. </w:t>
      </w:r>
    </w:p>
    <w:p w14:paraId="55AA44FA" w14:textId="77777777" w:rsidR="004A326E" w:rsidRDefault="004A326E" w:rsidP="004A326E">
      <w:pPr>
        <w:rPr>
          <w:rtl/>
        </w:rPr>
      </w:pPr>
    </w:p>
    <w:p w14:paraId="00251D2A" w14:textId="77777777" w:rsidR="004A326E" w:rsidRDefault="004A326E" w:rsidP="004A326E">
      <w:pPr>
        <w:pStyle w:val="2"/>
        <w:rPr>
          <w:rtl/>
        </w:rPr>
      </w:pPr>
      <w:bookmarkStart w:id="34" w:name="_Toc24883537"/>
      <w:r>
        <w:rPr>
          <w:rtl/>
        </w:rPr>
        <w:t>סעיף ג</w:t>
      </w:r>
      <w:r>
        <w:rPr>
          <w:rFonts w:hint="cs"/>
          <w:rtl/>
        </w:rPr>
        <w:t>: קטן.</w:t>
      </w:r>
      <w:bookmarkEnd w:id="34"/>
    </w:p>
    <w:p w14:paraId="2ADC8EC7" w14:textId="77777777" w:rsidR="009647D4" w:rsidRPr="009647D4" w:rsidRDefault="009647D4" w:rsidP="009647D4">
      <w:pPr>
        <w:rPr>
          <w:rtl/>
        </w:rPr>
      </w:pPr>
      <w:r w:rsidRPr="009647D4">
        <w:rPr>
          <w:rFonts w:cs="Arial" w:hint="cs"/>
          <w:b/>
          <w:bCs/>
          <w:rtl/>
        </w:rPr>
        <w:t xml:space="preserve">נדה </w:t>
      </w:r>
      <w:r>
        <w:rPr>
          <w:rFonts w:cs="Arial" w:hint="cs"/>
          <w:b/>
          <w:bCs/>
          <w:sz w:val="16"/>
          <w:szCs w:val="16"/>
          <w:rtl/>
        </w:rPr>
        <w:t xml:space="preserve">(פרק בא סימן) </w:t>
      </w:r>
      <w:r w:rsidRPr="009647D4">
        <w:rPr>
          <w:rFonts w:cs="Arial" w:hint="cs"/>
          <w:b/>
          <w:bCs/>
          <w:rtl/>
        </w:rPr>
        <w:t>מט</w:t>
      </w:r>
      <w:r>
        <w:rPr>
          <w:rStyle w:val="ab"/>
          <w:rFonts w:cs="Arial"/>
          <w:b/>
          <w:bCs/>
          <w:rtl/>
        </w:rPr>
        <w:footnoteReference w:id="322"/>
      </w:r>
      <w:r w:rsidRPr="009647D4">
        <w:rPr>
          <w:rFonts w:cs="Arial" w:hint="cs"/>
          <w:b/>
          <w:bCs/>
          <w:rtl/>
        </w:rPr>
        <w:t xml:space="preserve"> ע"ב: </w:t>
      </w:r>
      <w:r w:rsidRPr="009647D4">
        <w:rPr>
          <w:rFonts w:cs="Arial"/>
          <w:u w:val="double"/>
          <w:rtl/>
        </w:rPr>
        <w:t>מתני'</w:t>
      </w:r>
      <w:r>
        <w:rPr>
          <w:rFonts w:cs="Arial" w:hint="cs"/>
          <w:rtl/>
        </w:rPr>
        <w:t>:</w:t>
      </w:r>
      <w:r w:rsidRPr="009647D4">
        <w:rPr>
          <w:rFonts w:cs="Arial"/>
          <w:rtl/>
        </w:rPr>
        <w:t xml:space="preserve"> כל הכשר לדון - כשר להעיד, ויש שכשר להעיד ואינו כשר לדון.</w:t>
      </w:r>
    </w:p>
    <w:p w14:paraId="6A5E3CD0" w14:textId="77777777" w:rsidR="004A326E" w:rsidRDefault="004A326E" w:rsidP="004A326E">
      <w:pPr>
        <w:rPr>
          <w:rtl/>
        </w:rPr>
      </w:pPr>
      <w:bookmarkStart w:id="35" w:name="_Hlk18401428"/>
      <w:r w:rsidRPr="00123701">
        <w:rPr>
          <w:rFonts w:cs="Arial" w:hint="cs"/>
          <w:b/>
          <w:bCs/>
          <w:rtl/>
        </w:rPr>
        <w:t xml:space="preserve">שבת </w:t>
      </w:r>
      <w:r w:rsidRPr="00123701">
        <w:rPr>
          <w:rFonts w:cs="Arial" w:hint="cs"/>
          <w:b/>
          <w:bCs/>
          <w:sz w:val="16"/>
          <w:szCs w:val="16"/>
          <w:rtl/>
        </w:rPr>
        <w:t>(</w:t>
      </w:r>
      <w:r w:rsidRPr="00123701">
        <w:rPr>
          <w:rFonts w:cs="Arial"/>
          <w:b/>
          <w:bCs/>
          <w:sz w:val="16"/>
          <w:szCs w:val="16"/>
          <w:rtl/>
        </w:rPr>
        <w:t>ס</w:t>
      </w:r>
      <w:r w:rsidRPr="00123701">
        <w:rPr>
          <w:rFonts w:cs="Arial" w:hint="cs"/>
          <w:b/>
          <w:bCs/>
          <w:sz w:val="16"/>
          <w:szCs w:val="16"/>
          <w:rtl/>
        </w:rPr>
        <w:t>"</w:t>
      </w:r>
      <w:r w:rsidRPr="00123701">
        <w:rPr>
          <w:rFonts w:cs="Arial"/>
          <w:b/>
          <w:bCs/>
          <w:sz w:val="16"/>
          <w:szCs w:val="16"/>
          <w:rtl/>
        </w:rPr>
        <w:t>פ במה בהמה</w:t>
      </w:r>
      <w:r w:rsidRPr="00123701">
        <w:rPr>
          <w:rFonts w:cs="Arial" w:hint="cs"/>
          <w:b/>
          <w:bCs/>
          <w:sz w:val="16"/>
          <w:szCs w:val="16"/>
          <w:rtl/>
        </w:rPr>
        <w:t>)</w:t>
      </w:r>
      <w:r w:rsidRPr="00123701">
        <w:rPr>
          <w:rFonts w:cs="Arial"/>
          <w:b/>
          <w:bCs/>
          <w:rtl/>
        </w:rPr>
        <w:t xml:space="preserve"> נו</w:t>
      </w:r>
      <w:r w:rsidR="00502496">
        <w:rPr>
          <w:rStyle w:val="ab"/>
          <w:rFonts w:cs="Arial"/>
          <w:b/>
          <w:bCs/>
          <w:rtl/>
        </w:rPr>
        <w:footnoteReference w:id="323"/>
      </w:r>
      <w:r w:rsidRPr="00123701">
        <w:rPr>
          <w:rFonts w:cs="Arial" w:hint="cs"/>
          <w:b/>
          <w:bCs/>
          <w:rtl/>
        </w:rPr>
        <w:t xml:space="preserve"> ע"ב</w:t>
      </w:r>
      <w:r w:rsidRPr="00123701">
        <w:rPr>
          <w:rFonts w:cs="Arial"/>
          <w:b/>
          <w:bCs/>
          <w:rtl/>
        </w:rPr>
        <w:t>:</w:t>
      </w:r>
      <w:r w:rsidRPr="00123701">
        <w:rPr>
          <w:rFonts w:hint="cs"/>
          <w:b/>
          <w:bCs/>
          <w:rtl/>
        </w:rPr>
        <w:t xml:space="preserve"> </w:t>
      </w:r>
      <w:r w:rsidRPr="00123701">
        <w:rPr>
          <w:rFonts w:cs="Arial"/>
          <w:u w:val="single"/>
          <w:rtl/>
        </w:rPr>
        <w:t>אמר רבי שמואל בר נחמני אמר רבי יונתן</w:t>
      </w:r>
      <w:r w:rsidRPr="00123701">
        <w:rPr>
          <w:rFonts w:cs="Arial"/>
          <w:rtl/>
        </w:rPr>
        <w:t>: כל האומר יאשיהו חטא - אינו אלא טועה, שנאמר ויעש הישר בעיני ה' וילך בכל דרך דוד אביו</w:t>
      </w:r>
      <w:r>
        <w:rPr>
          <w:rFonts w:cs="Arial" w:hint="cs"/>
          <w:rtl/>
        </w:rPr>
        <w:t>,</w:t>
      </w:r>
      <w:r w:rsidRPr="00123701">
        <w:rPr>
          <w:rFonts w:cs="Arial"/>
          <w:rtl/>
        </w:rPr>
        <w:t xml:space="preserve"> אלא מה אני מקיים וכמהו לא היה לפניו מלך אשר שב וגו' - שכל דין שדן מבן שמנה עד שמנה עשרה החזירן להן. שמא תאמר: נטל מזה ונתן לזה - תלמוד לומר </w:t>
      </w:r>
      <w:r w:rsidR="004533D1">
        <w:rPr>
          <w:rFonts w:cs="Arial" w:hint="cs"/>
          <w:rtl/>
        </w:rPr>
        <w:t>'</w:t>
      </w:r>
      <w:r w:rsidRPr="00123701">
        <w:rPr>
          <w:rFonts w:cs="Arial"/>
          <w:rtl/>
        </w:rPr>
        <w:t>בכל מאדו</w:t>
      </w:r>
      <w:r w:rsidR="004533D1">
        <w:rPr>
          <w:rFonts w:cs="Arial" w:hint="cs"/>
          <w:rtl/>
        </w:rPr>
        <w:t>'</w:t>
      </w:r>
      <w:r w:rsidRPr="00123701">
        <w:rPr>
          <w:rFonts w:cs="Arial"/>
          <w:rtl/>
        </w:rPr>
        <w:t xml:space="preserve"> - שנתן להם משלו.</w:t>
      </w:r>
    </w:p>
    <w:p w14:paraId="3C4FDB98" w14:textId="77777777" w:rsidR="004A326E" w:rsidRDefault="004A326E" w:rsidP="004A326E">
      <w:pPr>
        <w:rPr>
          <w:rFonts w:cs="Arial"/>
          <w:rtl/>
        </w:rPr>
      </w:pPr>
      <w:r w:rsidRPr="002F51B7">
        <w:rPr>
          <w:rFonts w:cs="Arial"/>
          <w:b/>
          <w:bCs/>
          <w:rtl/>
        </w:rPr>
        <w:t xml:space="preserve">ירושלמי </w:t>
      </w:r>
      <w:r w:rsidRPr="002F51B7">
        <w:rPr>
          <w:rFonts w:cs="Arial"/>
          <w:b/>
          <w:bCs/>
          <w:sz w:val="16"/>
          <w:szCs w:val="16"/>
          <w:rtl/>
        </w:rPr>
        <w:t xml:space="preserve">(וילנא) </w:t>
      </w:r>
      <w:r w:rsidRPr="002F51B7">
        <w:rPr>
          <w:rFonts w:cs="Arial"/>
          <w:b/>
          <w:bCs/>
          <w:rtl/>
        </w:rPr>
        <w:t>סנהדרין פ</w:t>
      </w:r>
      <w:r w:rsidRPr="002F51B7">
        <w:rPr>
          <w:rFonts w:cs="Arial" w:hint="cs"/>
          <w:b/>
          <w:bCs/>
          <w:rtl/>
        </w:rPr>
        <w:t>"</w:t>
      </w:r>
      <w:r w:rsidRPr="002F51B7">
        <w:rPr>
          <w:rFonts w:cs="Arial"/>
          <w:b/>
          <w:bCs/>
          <w:rtl/>
        </w:rPr>
        <w:t>ד ה</w:t>
      </w:r>
      <w:r w:rsidRPr="002F51B7">
        <w:rPr>
          <w:rFonts w:cs="Arial" w:hint="cs"/>
          <w:b/>
          <w:bCs/>
          <w:rtl/>
        </w:rPr>
        <w:t>"</w:t>
      </w:r>
      <w:r w:rsidRPr="002F51B7">
        <w:rPr>
          <w:rFonts w:cs="Arial"/>
          <w:b/>
          <w:bCs/>
          <w:rtl/>
        </w:rPr>
        <w:t>ז</w:t>
      </w:r>
      <w:r w:rsidRPr="002F51B7">
        <w:rPr>
          <w:rFonts w:cs="Arial" w:hint="cs"/>
          <w:b/>
          <w:bCs/>
          <w:rtl/>
        </w:rPr>
        <w:t>:</w:t>
      </w:r>
      <w:r>
        <w:rPr>
          <w:rFonts w:cs="Arial" w:hint="cs"/>
          <w:rtl/>
        </w:rPr>
        <w:t xml:space="preserve"> </w:t>
      </w:r>
      <w:r w:rsidRPr="004533D1">
        <w:rPr>
          <w:rFonts w:cs="Arial"/>
          <w:u w:val="single"/>
          <w:rtl/>
        </w:rPr>
        <w:t>ר' אבהו בשם ר' יוחנן</w:t>
      </w:r>
      <w:r w:rsidR="004533D1">
        <w:rPr>
          <w:rFonts w:cs="Arial" w:hint="cs"/>
          <w:rtl/>
        </w:rPr>
        <w:t>:</w:t>
      </w:r>
      <w:r w:rsidRPr="00123701">
        <w:rPr>
          <w:rFonts w:cs="Arial"/>
          <w:rtl/>
        </w:rPr>
        <w:t xml:space="preserve"> אף פחות מבן עשרים ושלא הביא שתי שערות כשר בדיני ממונות ולא בדיני נפשות</w:t>
      </w:r>
      <w:r>
        <w:rPr>
          <w:rStyle w:val="ab"/>
          <w:rFonts w:cs="Arial"/>
          <w:rtl/>
        </w:rPr>
        <w:footnoteReference w:id="324"/>
      </w:r>
      <w:r>
        <w:rPr>
          <w:rFonts w:cs="Arial" w:hint="cs"/>
          <w:rtl/>
        </w:rPr>
        <w:t>,</w:t>
      </w:r>
      <w:r w:rsidRPr="00123701">
        <w:rPr>
          <w:rFonts w:cs="Arial"/>
          <w:rtl/>
        </w:rPr>
        <w:t xml:space="preserve"> ויושב בדינו של שור</w:t>
      </w:r>
      <w:r>
        <w:rPr>
          <w:rStyle w:val="ab"/>
          <w:rFonts w:cs="Arial"/>
          <w:rtl/>
        </w:rPr>
        <w:footnoteReference w:id="325"/>
      </w:r>
      <w:r w:rsidRPr="00123701">
        <w:rPr>
          <w:rFonts w:cs="Arial"/>
          <w:rtl/>
        </w:rPr>
        <w:t>.</w:t>
      </w:r>
      <w:bookmarkEnd w:id="35"/>
      <w:r w:rsidRPr="00123701">
        <w:rPr>
          <w:rFonts w:cs="Arial"/>
          <w:rtl/>
        </w:rPr>
        <w:t xml:space="preserve"> </w:t>
      </w:r>
    </w:p>
    <w:p w14:paraId="5EA81C80" w14:textId="77777777" w:rsidR="004A326E" w:rsidRDefault="004A326E" w:rsidP="004A326E">
      <w:pPr>
        <w:rPr>
          <w:rFonts w:cs="Arial"/>
          <w:rtl/>
        </w:rPr>
      </w:pPr>
      <w:bookmarkStart w:id="36" w:name="_Hlk18402299"/>
      <w:r w:rsidRPr="009F38DE">
        <w:rPr>
          <w:rFonts w:cs="Arial" w:hint="cs"/>
          <w:u w:val="single"/>
          <w:rtl/>
        </w:rPr>
        <w:t xml:space="preserve">קטן </w:t>
      </w:r>
      <w:r>
        <w:rPr>
          <w:rFonts w:cs="Arial" w:hint="cs"/>
          <w:u w:val="single"/>
          <w:rtl/>
        </w:rPr>
        <w:t>-</w:t>
      </w:r>
      <w:r w:rsidRPr="009F38DE">
        <w:rPr>
          <w:rFonts w:cs="Arial" w:hint="cs"/>
          <w:u w:val="single"/>
          <w:rtl/>
        </w:rPr>
        <w:t xml:space="preserve"> מהו שידון:</w:t>
      </w:r>
    </w:p>
    <w:p w14:paraId="725A42DF" w14:textId="77777777" w:rsidR="004A326E" w:rsidRPr="009B750F" w:rsidRDefault="004A326E" w:rsidP="004B0475">
      <w:pPr>
        <w:pStyle w:val="ac"/>
        <w:numPr>
          <w:ilvl w:val="0"/>
          <w:numId w:val="57"/>
        </w:numPr>
        <w:rPr>
          <w:rFonts w:cs="Arial"/>
          <w:rtl/>
        </w:rPr>
      </w:pPr>
      <w:r>
        <w:rPr>
          <w:rFonts w:cs="Arial" w:hint="cs"/>
          <w:rtl/>
        </w:rPr>
        <w:t xml:space="preserve">טור- </w:t>
      </w:r>
      <w:r w:rsidRPr="009F38DE">
        <w:rPr>
          <w:rFonts w:cs="Arial"/>
          <w:rtl/>
        </w:rPr>
        <w:t>קטן פסול לדון</w:t>
      </w:r>
      <w:r>
        <w:rPr>
          <w:rStyle w:val="ab"/>
          <w:rFonts w:cs="Arial"/>
          <w:rtl/>
        </w:rPr>
        <w:footnoteReference w:id="326"/>
      </w:r>
      <w:r w:rsidR="009647D4">
        <w:rPr>
          <w:rFonts w:cs="Arial" w:hint="cs"/>
          <w:rtl/>
        </w:rPr>
        <w:t>.</w:t>
      </w:r>
      <w:r w:rsidRPr="009F38DE">
        <w:rPr>
          <w:rFonts w:cs="Arial"/>
          <w:rtl/>
        </w:rPr>
        <w:t xml:space="preserve"> וי"א שאינו ראוי לדון עד שיהיה בן י"ח שנים והביא שתי שערות</w:t>
      </w:r>
      <w:r w:rsidR="009647D4">
        <w:rPr>
          <w:rFonts w:cs="Arial" w:hint="cs"/>
          <w:rtl/>
        </w:rPr>
        <w:t>,</w:t>
      </w:r>
      <w:r w:rsidRPr="009F38DE">
        <w:rPr>
          <w:rFonts w:cs="Arial"/>
          <w:rtl/>
        </w:rPr>
        <w:t xml:space="preserve"> מהא דאמר שמואל כל דין שדן יאשיהו מבן ח' עד י"ח החזיר לבעליו</w:t>
      </w:r>
      <w:r w:rsidR="009647D4">
        <w:rPr>
          <w:rFonts w:cs="Arial" w:hint="cs"/>
          <w:rtl/>
        </w:rPr>
        <w:t>.</w:t>
      </w:r>
      <w:r w:rsidRPr="009F38DE">
        <w:rPr>
          <w:rFonts w:cs="Arial"/>
          <w:rtl/>
        </w:rPr>
        <w:t xml:space="preserve"> אבל בירוש' מוכח דמן י"ג</w:t>
      </w:r>
      <w:r>
        <w:rPr>
          <w:rStyle w:val="ab"/>
          <w:rFonts w:cs="Arial"/>
          <w:rtl/>
        </w:rPr>
        <w:footnoteReference w:id="327"/>
      </w:r>
      <w:r w:rsidRPr="009F38DE">
        <w:rPr>
          <w:rFonts w:cs="Arial"/>
          <w:rtl/>
        </w:rPr>
        <w:t xml:space="preserve"> שנה ומעלה ראוי לדון ואפילו לא הביא ב' שערות אם הוא מפולפל ובקי בחדרי התורה</w:t>
      </w:r>
      <w:r>
        <w:rPr>
          <w:rFonts w:cs="Arial" w:hint="cs"/>
          <w:rtl/>
        </w:rPr>
        <w:t>,</w:t>
      </w:r>
      <w:r w:rsidRPr="009F38DE">
        <w:rPr>
          <w:rFonts w:cs="Arial"/>
          <w:rtl/>
        </w:rPr>
        <w:t xml:space="preserve"> בין שמושיבין אותו עם אחרים בג' או ביחיד מומחה</w:t>
      </w:r>
      <w:r w:rsidR="009647D4">
        <w:rPr>
          <w:rFonts w:cs="Arial" w:hint="cs"/>
          <w:rtl/>
        </w:rPr>
        <w:t>.</w:t>
      </w:r>
      <w:r w:rsidRPr="009F38DE">
        <w:rPr>
          <w:rFonts w:cs="Arial"/>
          <w:rtl/>
        </w:rPr>
        <w:t xml:space="preserve"> ויאשיהו שהחזיר חומרא יתירא נהג בעצמו שהחזיר מבן י"ג שנה ומעלה</w:t>
      </w:r>
      <w:r>
        <w:rPr>
          <w:rFonts w:cs="Arial" w:hint="cs"/>
          <w:rtl/>
        </w:rPr>
        <w:t>.</w:t>
      </w:r>
      <w:r w:rsidR="009B750F">
        <w:rPr>
          <w:rFonts w:cs="Arial" w:hint="cs"/>
          <w:rtl/>
        </w:rPr>
        <w:t xml:space="preserve"> </w:t>
      </w:r>
      <w:r w:rsidR="009B750F" w:rsidRPr="009B750F">
        <w:rPr>
          <w:rFonts w:cs="Arial" w:hint="cs"/>
          <w:rtl/>
        </w:rPr>
        <w:t xml:space="preserve">וכתב </w:t>
      </w:r>
      <w:r w:rsidRPr="009B750F">
        <w:rPr>
          <w:rFonts w:cs="Arial"/>
          <w:rtl/>
        </w:rPr>
        <w:t>ה"ר יהודה ברצלוני</w:t>
      </w:r>
      <w:r w:rsidR="009647D4">
        <w:rPr>
          <w:rFonts w:cs="Arial" w:hint="cs"/>
          <w:rtl/>
        </w:rPr>
        <w:t>-</w:t>
      </w:r>
      <w:r w:rsidRPr="009B750F">
        <w:rPr>
          <w:rFonts w:cs="Arial"/>
          <w:rtl/>
        </w:rPr>
        <w:t xml:space="preserve"> צ"ע אם הלכה כשמואל דאסר עד י"ח או כרבי אבהו דאמר בירושלמי פחות מבן י"ח ולא הביא ב' שערות כשר לדיני ממונות</w:t>
      </w:r>
      <w:r w:rsidRPr="009B750F">
        <w:rPr>
          <w:rFonts w:cs="Arial" w:hint="cs"/>
          <w:rtl/>
        </w:rPr>
        <w:t>.</w:t>
      </w:r>
    </w:p>
    <w:p w14:paraId="0BC46631" w14:textId="77777777" w:rsidR="004A326E" w:rsidRPr="00077F9A" w:rsidRDefault="004A326E" w:rsidP="004B0475">
      <w:pPr>
        <w:pStyle w:val="ac"/>
        <w:numPr>
          <w:ilvl w:val="0"/>
          <w:numId w:val="57"/>
        </w:numPr>
        <w:rPr>
          <w:rtl/>
        </w:rPr>
      </w:pPr>
      <w:r w:rsidRPr="009F38DE">
        <w:rPr>
          <w:rFonts w:cs="Arial"/>
          <w:rtl/>
        </w:rPr>
        <w:t>ר</w:t>
      </w:r>
      <w:r w:rsidRPr="009F38DE">
        <w:rPr>
          <w:rFonts w:cs="Arial" w:hint="cs"/>
          <w:rtl/>
        </w:rPr>
        <w:t xml:space="preserve">י"ו </w:t>
      </w:r>
      <w:r w:rsidRPr="00D13100">
        <w:rPr>
          <w:rFonts w:cs="Arial"/>
          <w:sz w:val="16"/>
          <w:szCs w:val="16"/>
          <w:rtl/>
        </w:rPr>
        <w:t>(</w:t>
      </w:r>
      <w:r w:rsidRPr="00D13100">
        <w:rPr>
          <w:rFonts w:cs="Arial" w:hint="cs"/>
          <w:sz w:val="16"/>
          <w:szCs w:val="16"/>
          <w:rtl/>
        </w:rPr>
        <w:t xml:space="preserve">מישרים </w:t>
      </w:r>
      <w:r w:rsidRPr="00D13100">
        <w:rPr>
          <w:rFonts w:cs="Arial"/>
          <w:sz w:val="16"/>
          <w:szCs w:val="16"/>
          <w:rtl/>
        </w:rPr>
        <w:t>נ"א ח"א ח:)</w:t>
      </w:r>
      <w:r w:rsidRPr="009F38DE">
        <w:rPr>
          <w:rFonts w:cs="Arial" w:hint="cs"/>
          <w:rtl/>
        </w:rPr>
        <w:t xml:space="preserve">- </w:t>
      </w:r>
      <w:r w:rsidRPr="009F38DE">
        <w:rPr>
          <w:rFonts w:cs="Arial"/>
          <w:rtl/>
        </w:rPr>
        <w:t xml:space="preserve">לפי הירושלמי </w:t>
      </w:r>
      <w:r>
        <w:rPr>
          <w:rFonts w:cs="Arial" w:hint="cs"/>
          <w:sz w:val="16"/>
          <w:szCs w:val="16"/>
          <w:rtl/>
        </w:rPr>
        <w:t>(</w:t>
      </w:r>
      <w:r w:rsidR="00E31A24">
        <w:rPr>
          <w:rFonts w:cs="Arial" w:hint="cs"/>
          <w:sz w:val="16"/>
          <w:szCs w:val="16"/>
          <w:rtl/>
        </w:rPr>
        <w:t>שם</w:t>
      </w:r>
      <w:r w:rsidRPr="00D13100">
        <w:rPr>
          <w:rFonts w:cs="Arial" w:hint="cs"/>
          <w:sz w:val="16"/>
          <w:szCs w:val="16"/>
          <w:rtl/>
        </w:rPr>
        <w:t>)</w:t>
      </w:r>
      <w:r w:rsidRPr="00D13100">
        <w:rPr>
          <w:rFonts w:cs="Arial"/>
          <w:sz w:val="16"/>
          <w:szCs w:val="16"/>
          <w:rtl/>
        </w:rPr>
        <w:t xml:space="preserve"> </w:t>
      </w:r>
      <w:r w:rsidRPr="009F38DE">
        <w:rPr>
          <w:rFonts w:cs="Arial"/>
          <w:rtl/>
        </w:rPr>
        <w:t xml:space="preserve">מבן י"ג שנה ולמעלה אפילו לא הביא שתי שערות </w:t>
      </w:r>
      <w:r w:rsidR="00A41B7A">
        <w:rPr>
          <w:rFonts w:cs="Arial" w:hint="cs"/>
          <w:rtl/>
        </w:rPr>
        <w:t xml:space="preserve">- </w:t>
      </w:r>
      <w:r w:rsidRPr="009F38DE">
        <w:rPr>
          <w:rFonts w:cs="Arial"/>
          <w:rtl/>
        </w:rPr>
        <w:t>כשר לדון דיני ממונות</w:t>
      </w:r>
      <w:r w:rsidRPr="009F38DE">
        <w:rPr>
          <w:rFonts w:cs="Arial" w:hint="cs"/>
          <w:rtl/>
        </w:rPr>
        <w:t>,</w:t>
      </w:r>
      <w:r w:rsidRPr="009F38DE">
        <w:rPr>
          <w:rFonts w:cs="Arial"/>
          <w:rtl/>
        </w:rPr>
        <w:t xml:space="preserve"> ויש מן הגאונים שכתבו שפחות מי"ח אינו דן דיני ממונות</w:t>
      </w:r>
      <w:r w:rsidRPr="009F38DE">
        <w:rPr>
          <w:rFonts w:cs="Arial" w:hint="cs"/>
          <w:rtl/>
        </w:rPr>
        <w:t>,</w:t>
      </w:r>
      <w:r w:rsidRPr="009F38DE">
        <w:rPr>
          <w:rFonts w:cs="Arial"/>
          <w:rtl/>
        </w:rPr>
        <w:t xml:space="preserve"> וראשון עיקר.</w:t>
      </w:r>
      <w:r>
        <w:rPr>
          <w:rFonts w:hint="cs"/>
          <w:rtl/>
        </w:rPr>
        <w:t xml:space="preserve"> </w:t>
      </w:r>
      <w:r w:rsidRPr="00D13100">
        <w:rPr>
          <w:rFonts w:hint="cs"/>
          <w:color w:val="E36C0A" w:themeColor="accent6" w:themeShade="BF"/>
          <w:rtl/>
        </w:rPr>
        <w:t>(</w:t>
      </w:r>
      <w:r w:rsidR="00615A5B">
        <w:rPr>
          <w:rFonts w:hint="cs"/>
          <w:color w:val="E36C0A" w:themeColor="accent6" w:themeShade="BF"/>
          <w:rtl/>
        </w:rPr>
        <w:t>ו</w:t>
      </w:r>
      <w:r w:rsidRPr="00D13100">
        <w:rPr>
          <w:rFonts w:hint="cs"/>
          <w:color w:val="E36C0A" w:themeColor="accent6" w:themeShade="BF"/>
          <w:rtl/>
        </w:rPr>
        <w:t>כ"</w:t>
      </w:r>
      <w:r w:rsidR="00615A5B">
        <w:rPr>
          <w:rFonts w:hint="cs"/>
          <w:color w:val="E36C0A" w:themeColor="accent6" w:themeShade="BF"/>
          <w:rtl/>
        </w:rPr>
        <w:t>פ</w:t>
      </w:r>
      <w:r w:rsidRPr="00D13100">
        <w:rPr>
          <w:rFonts w:hint="cs"/>
          <w:color w:val="E36C0A" w:themeColor="accent6" w:themeShade="BF"/>
          <w:rtl/>
        </w:rPr>
        <w:t xml:space="preserve"> בשו"ע)</w:t>
      </w:r>
    </w:p>
    <w:bookmarkEnd w:id="36"/>
    <w:p w14:paraId="08911EFA" w14:textId="77777777" w:rsidR="004A326E" w:rsidRPr="003024E5" w:rsidRDefault="004A326E" w:rsidP="004A326E">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425E00A3" w14:textId="77777777" w:rsidR="004A326E" w:rsidRDefault="004A326E" w:rsidP="004A326E">
      <w:pPr>
        <w:rPr>
          <w:rtl/>
        </w:rPr>
      </w:pPr>
      <w:r>
        <w:rPr>
          <w:rFonts w:cs="Arial"/>
          <w:rtl/>
        </w:rPr>
        <w:t>יש אומרים שאינו ראוי לדון אלא מבן י"ח ומעלה והביא שתי שערות. וי</w:t>
      </w:r>
      <w:r>
        <w:rPr>
          <w:rFonts w:cs="Arial" w:hint="cs"/>
          <w:rtl/>
        </w:rPr>
        <w:t xml:space="preserve">ש </w:t>
      </w:r>
      <w:r>
        <w:rPr>
          <w:rFonts w:cs="Arial"/>
          <w:rtl/>
        </w:rPr>
        <w:t>א</w:t>
      </w:r>
      <w:r>
        <w:rPr>
          <w:rFonts w:cs="Arial" w:hint="cs"/>
          <w:rtl/>
        </w:rPr>
        <w:t>ומרים</w:t>
      </w:r>
      <w:r>
        <w:rPr>
          <w:rFonts w:cs="Arial"/>
          <w:rtl/>
        </w:rPr>
        <w:t xml:space="preserve"> דמבן י"ג ומעלה כשר, ואפילו לא הביא שתי שערות</w:t>
      </w:r>
      <w:r>
        <w:rPr>
          <w:rStyle w:val="ab"/>
          <w:rFonts w:cs="Arial"/>
          <w:rtl/>
        </w:rPr>
        <w:footnoteReference w:id="328"/>
      </w:r>
      <w:r>
        <w:rPr>
          <w:rFonts w:cs="Arial"/>
          <w:rtl/>
        </w:rPr>
        <w:t>.</w:t>
      </w:r>
    </w:p>
    <w:p w14:paraId="2B4B4050" w14:textId="77777777" w:rsidR="004A326E" w:rsidRDefault="004A326E" w:rsidP="004A326E">
      <w:pPr>
        <w:rPr>
          <w:rtl/>
        </w:rPr>
      </w:pPr>
    </w:p>
    <w:p w14:paraId="00EF0167" w14:textId="77777777" w:rsidR="004A326E" w:rsidRDefault="004A326E" w:rsidP="004A326E">
      <w:pPr>
        <w:pStyle w:val="2"/>
        <w:rPr>
          <w:rtl/>
        </w:rPr>
      </w:pPr>
      <w:bookmarkStart w:id="37" w:name="_Toc24883538"/>
      <w:r>
        <w:rPr>
          <w:rtl/>
        </w:rPr>
        <w:t>סעיף ד</w:t>
      </w:r>
      <w:r>
        <w:rPr>
          <w:rFonts w:hint="cs"/>
          <w:rtl/>
        </w:rPr>
        <w:t>: אשה.</w:t>
      </w:r>
      <w:bookmarkEnd w:id="37"/>
    </w:p>
    <w:p w14:paraId="6C1572B4" w14:textId="77777777" w:rsidR="004A326E" w:rsidRPr="00CC71BA" w:rsidRDefault="004A326E" w:rsidP="00CC71BA">
      <w:pPr>
        <w:rPr>
          <w:rFonts w:cs="Arial"/>
          <w:rtl/>
        </w:rPr>
      </w:pPr>
      <w:r>
        <w:rPr>
          <w:rFonts w:cs="Arial" w:hint="cs"/>
          <w:b/>
          <w:bCs/>
          <w:rtl/>
        </w:rPr>
        <w:t xml:space="preserve">נדה </w:t>
      </w:r>
      <w:r>
        <w:rPr>
          <w:rFonts w:cs="Arial" w:hint="cs"/>
          <w:b/>
          <w:bCs/>
          <w:sz w:val="16"/>
          <w:szCs w:val="16"/>
          <w:rtl/>
        </w:rPr>
        <w:t xml:space="preserve">(פ' בא סימן) </w:t>
      </w:r>
      <w:r>
        <w:rPr>
          <w:rFonts w:cs="Arial" w:hint="cs"/>
          <w:b/>
          <w:bCs/>
          <w:rtl/>
        </w:rPr>
        <w:t>מט</w:t>
      </w:r>
      <w:r w:rsidR="00A41B7A">
        <w:rPr>
          <w:rStyle w:val="ab"/>
          <w:rFonts w:cs="Arial"/>
          <w:b/>
          <w:bCs/>
          <w:rtl/>
        </w:rPr>
        <w:footnoteReference w:id="329"/>
      </w:r>
      <w:r>
        <w:rPr>
          <w:rFonts w:cs="Arial" w:hint="cs"/>
          <w:b/>
          <w:bCs/>
          <w:rtl/>
        </w:rPr>
        <w:t xml:space="preserve"> ע"ב: </w:t>
      </w:r>
      <w:r w:rsidRPr="005A7FB3">
        <w:rPr>
          <w:rFonts w:cs="Arial" w:hint="cs"/>
          <w:u w:val="double"/>
          <w:rtl/>
        </w:rPr>
        <w:t>מ</w:t>
      </w:r>
      <w:r>
        <w:rPr>
          <w:rFonts w:cs="Arial" w:hint="cs"/>
          <w:u w:val="double"/>
          <w:rtl/>
        </w:rPr>
        <w:t>תני'</w:t>
      </w:r>
      <w:r>
        <w:rPr>
          <w:rFonts w:cs="Arial" w:hint="cs"/>
          <w:rtl/>
        </w:rPr>
        <w:t>:</w:t>
      </w:r>
      <w:r w:rsidRPr="004052EA">
        <w:rPr>
          <w:rFonts w:cs="Arial"/>
          <w:rtl/>
        </w:rPr>
        <w:t xml:space="preserve"> כל הכשר לדון - כשר להעיד</w:t>
      </w:r>
      <w:r w:rsidR="00CC71BA">
        <w:rPr>
          <w:rFonts w:cs="Arial" w:hint="cs"/>
          <w:rtl/>
        </w:rPr>
        <w:t>..</w:t>
      </w:r>
      <w:r w:rsidRPr="004052EA">
        <w:rPr>
          <w:rFonts w:cs="Arial"/>
          <w:rtl/>
        </w:rPr>
        <w:t>.</w:t>
      </w:r>
    </w:p>
    <w:p w14:paraId="0DDE5CA1" w14:textId="77777777" w:rsidR="004A326E" w:rsidRPr="00DE2E58" w:rsidRDefault="004A326E" w:rsidP="004A326E">
      <w:pPr>
        <w:rPr>
          <w:rtl/>
        </w:rPr>
      </w:pPr>
      <w:r>
        <w:rPr>
          <w:rFonts w:cs="Arial" w:hint="cs"/>
          <w:b/>
          <w:bCs/>
          <w:rtl/>
        </w:rPr>
        <w:lastRenderedPageBreak/>
        <w:t xml:space="preserve">ירושלמי </w:t>
      </w:r>
      <w:r w:rsidRPr="00AC1BBB">
        <w:rPr>
          <w:rFonts w:cs="Arial" w:hint="cs"/>
          <w:b/>
          <w:bCs/>
          <w:sz w:val="16"/>
          <w:szCs w:val="16"/>
          <w:rtl/>
        </w:rPr>
        <w:t xml:space="preserve">(וילנא) </w:t>
      </w:r>
      <w:r>
        <w:rPr>
          <w:rFonts w:cs="Arial" w:hint="cs"/>
          <w:b/>
          <w:bCs/>
          <w:rtl/>
        </w:rPr>
        <w:t xml:space="preserve">יומא פ"ו ה"א: </w:t>
      </w:r>
      <w:r w:rsidRPr="00AC1BBB">
        <w:rPr>
          <w:rFonts w:cs="Arial"/>
          <w:rtl/>
        </w:rPr>
        <w:t>הרי למדנו שאין האשה מעידה</w:t>
      </w:r>
      <w:r w:rsidR="009B750F">
        <w:rPr>
          <w:rFonts w:cs="Arial" w:hint="cs"/>
          <w:rtl/>
        </w:rPr>
        <w:t>,</w:t>
      </w:r>
      <w:r w:rsidRPr="00AC1BBB">
        <w:rPr>
          <w:rFonts w:cs="Arial"/>
          <w:rtl/>
        </w:rPr>
        <w:t xml:space="preserve"> מעתה אין האשה דנה</w:t>
      </w:r>
      <w:r>
        <w:rPr>
          <w:rFonts w:hint="cs"/>
          <w:rtl/>
        </w:rPr>
        <w:t>.</w:t>
      </w:r>
    </w:p>
    <w:p w14:paraId="26944775" w14:textId="77777777" w:rsidR="004A326E" w:rsidRPr="00EF5783" w:rsidRDefault="004A326E" w:rsidP="004A326E">
      <w:pPr>
        <w:rPr>
          <w:rFonts w:cs="Arial"/>
          <w:u w:val="single"/>
          <w:rtl/>
        </w:rPr>
      </w:pPr>
      <w:r w:rsidRPr="00EF5783">
        <w:rPr>
          <w:rFonts w:cs="Arial" w:hint="cs"/>
          <w:u w:val="single"/>
          <w:rtl/>
        </w:rPr>
        <w:t xml:space="preserve">אשה </w:t>
      </w:r>
      <w:r w:rsidRPr="00EF5783">
        <w:rPr>
          <w:rFonts w:cs="Arial"/>
          <w:u w:val="single"/>
          <w:rtl/>
        </w:rPr>
        <w:t>–</w:t>
      </w:r>
      <w:r w:rsidRPr="00EF5783">
        <w:rPr>
          <w:rFonts w:cs="Arial" w:hint="cs"/>
          <w:u w:val="single"/>
          <w:rtl/>
        </w:rPr>
        <w:t xml:space="preserve"> מהו שתדון:</w:t>
      </w:r>
    </w:p>
    <w:p w14:paraId="21862B79" w14:textId="77777777" w:rsidR="004A326E" w:rsidRPr="00077F9A" w:rsidRDefault="004A326E" w:rsidP="004B0475">
      <w:pPr>
        <w:pStyle w:val="ac"/>
        <w:numPr>
          <w:ilvl w:val="0"/>
          <w:numId w:val="58"/>
        </w:numPr>
        <w:rPr>
          <w:rtl/>
        </w:rPr>
      </w:pPr>
      <w:r>
        <w:rPr>
          <w:rFonts w:cs="Arial" w:hint="cs"/>
          <w:rtl/>
        </w:rPr>
        <w:t xml:space="preserve">תוס' </w:t>
      </w:r>
      <w:r w:rsidRPr="00AC1BBB">
        <w:rPr>
          <w:rFonts w:cs="Arial" w:hint="cs"/>
          <w:sz w:val="16"/>
          <w:szCs w:val="16"/>
          <w:rtl/>
        </w:rPr>
        <w:t>(ב"ק [פ"ק] טו. ד"ה השוה הכתוב, וביבמות [</w:t>
      </w:r>
      <w:r w:rsidRPr="00AC1BBB">
        <w:rPr>
          <w:rFonts w:cs="Arial"/>
          <w:sz w:val="16"/>
          <w:szCs w:val="16"/>
          <w:rtl/>
        </w:rPr>
        <w:t>פ</w:t>
      </w:r>
      <w:r w:rsidRPr="00AC1BBB">
        <w:rPr>
          <w:rFonts w:cs="Arial" w:hint="cs"/>
          <w:sz w:val="16"/>
          <w:szCs w:val="16"/>
          <w:rtl/>
        </w:rPr>
        <w:t>'</w:t>
      </w:r>
      <w:r w:rsidRPr="00AC1BBB">
        <w:rPr>
          <w:rFonts w:cs="Arial"/>
          <w:sz w:val="16"/>
          <w:szCs w:val="16"/>
          <w:rtl/>
        </w:rPr>
        <w:t xml:space="preserve"> החולץ</w:t>
      </w:r>
      <w:r w:rsidRPr="00AC1BBB">
        <w:rPr>
          <w:rFonts w:cs="Arial" w:hint="cs"/>
          <w:sz w:val="16"/>
          <w:szCs w:val="16"/>
          <w:rtl/>
        </w:rPr>
        <w:t>]</w:t>
      </w:r>
      <w:r w:rsidRPr="00AC1BBB">
        <w:rPr>
          <w:rFonts w:cs="Arial"/>
          <w:sz w:val="16"/>
          <w:szCs w:val="16"/>
          <w:rtl/>
        </w:rPr>
        <w:t xml:space="preserve"> מה: ד"ה מי</w:t>
      </w:r>
      <w:r w:rsidRPr="00AC1BBB">
        <w:rPr>
          <w:rFonts w:cs="Arial" w:hint="cs"/>
          <w:sz w:val="16"/>
          <w:szCs w:val="16"/>
          <w:rtl/>
        </w:rPr>
        <w:t>)</w:t>
      </w:r>
      <w:r>
        <w:rPr>
          <w:rFonts w:cs="Arial" w:hint="cs"/>
          <w:rtl/>
        </w:rPr>
        <w:t xml:space="preserve"> וטור- </w:t>
      </w:r>
      <w:r w:rsidRPr="00EF5783">
        <w:rPr>
          <w:rFonts w:cs="Arial"/>
          <w:rtl/>
        </w:rPr>
        <w:t xml:space="preserve">אשה פסולה לדון דתנן בפרק בא סימן </w:t>
      </w:r>
      <w:r w:rsidRPr="00AC1BBB">
        <w:rPr>
          <w:rFonts w:cs="Arial"/>
          <w:sz w:val="16"/>
          <w:szCs w:val="16"/>
          <w:rtl/>
        </w:rPr>
        <w:t xml:space="preserve">(נדה מט: ושם) </w:t>
      </w:r>
      <w:r w:rsidRPr="00EF5783">
        <w:rPr>
          <w:rFonts w:cs="Arial"/>
          <w:rtl/>
        </w:rPr>
        <w:t>כל הכשר לדון כשר להעיד</w:t>
      </w:r>
      <w:r w:rsidR="00CC71BA">
        <w:rPr>
          <w:rFonts w:cs="Arial" w:hint="cs"/>
          <w:rtl/>
        </w:rPr>
        <w:t>,</w:t>
      </w:r>
      <w:r w:rsidRPr="00EF5783">
        <w:rPr>
          <w:rFonts w:cs="Arial"/>
          <w:rtl/>
        </w:rPr>
        <w:t xml:space="preserve"> ואשה פסולה להעיד כדאמרינן בהחובל </w:t>
      </w:r>
      <w:r w:rsidRPr="00AC1BBB">
        <w:rPr>
          <w:rFonts w:cs="Arial"/>
          <w:sz w:val="16"/>
          <w:szCs w:val="16"/>
          <w:rtl/>
        </w:rPr>
        <w:t xml:space="preserve">(לקמן פח.) </w:t>
      </w:r>
      <w:r w:rsidRPr="00EF5783">
        <w:rPr>
          <w:rFonts w:cs="Arial"/>
          <w:rtl/>
        </w:rPr>
        <w:t xml:space="preserve">ובפרק שבועת העדות </w:t>
      </w:r>
      <w:r w:rsidRPr="00AC1BBB">
        <w:rPr>
          <w:rFonts w:cs="Arial"/>
          <w:sz w:val="16"/>
          <w:szCs w:val="16"/>
          <w:rtl/>
        </w:rPr>
        <w:t>(שבועות ל.)</w:t>
      </w:r>
      <w:r>
        <w:rPr>
          <w:rFonts w:cs="Arial" w:hint="cs"/>
          <w:rtl/>
        </w:rPr>
        <w:t>...</w:t>
      </w:r>
      <w:r w:rsidRPr="00EF5783">
        <w:rPr>
          <w:rFonts w:cs="Arial"/>
          <w:rtl/>
        </w:rPr>
        <w:t xml:space="preserve"> ומדכתיב</w:t>
      </w:r>
      <w:r w:rsidRPr="00AC1BBB">
        <w:rPr>
          <w:rFonts w:cs="Arial"/>
          <w:sz w:val="16"/>
          <w:szCs w:val="16"/>
          <w:rtl/>
        </w:rPr>
        <w:t xml:space="preserve"> (שופטים ד) </w:t>
      </w:r>
      <w:r w:rsidRPr="00EF5783">
        <w:rPr>
          <w:rFonts w:cs="Arial"/>
          <w:rtl/>
        </w:rPr>
        <w:t>והיא שפטה את ישראל בדבורה אין להביא ראיה דאשה כשירה לדון דשמא היו מקבלין אותה עליהם משום שכינה</w:t>
      </w:r>
      <w:r>
        <w:rPr>
          <w:rFonts w:cs="Arial" w:hint="cs"/>
          <w:sz w:val="16"/>
          <w:szCs w:val="16"/>
          <w:rtl/>
        </w:rPr>
        <w:t xml:space="preserve"> (ל' התוס' בפ"ק דב"ק)</w:t>
      </w:r>
      <w:r w:rsidRPr="00EF5783">
        <w:rPr>
          <w:rFonts w:cs="Arial"/>
          <w:rtl/>
        </w:rPr>
        <w:t>.</w:t>
      </w:r>
      <w:r w:rsidRPr="00AC1BBB">
        <w:rPr>
          <w:rFonts w:cs="Arial"/>
          <w:rtl/>
        </w:rPr>
        <w:t xml:space="preserve"> </w:t>
      </w:r>
      <w:r w:rsidRPr="00EF5783">
        <w:rPr>
          <w:rFonts w:cs="Arial"/>
          <w:rtl/>
        </w:rPr>
        <w:t xml:space="preserve">ובהדיא איתא בירושלמי דיומא </w:t>
      </w:r>
      <w:r w:rsidRPr="00AC1BBB">
        <w:rPr>
          <w:rFonts w:cs="Arial"/>
          <w:sz w:val="16"/>
          <w:szCs w:val="16"/>
          <w:rtl/>
        </w:rPr>
        <w:t xml:space="preserve">(פ"ו ה"א) </w:t>
      </w:r>
      <w:r w:rsidRPr="00EF5783">
        <w:rPr>
          <w:rFonts w:cs="Arial"/>
          <w:rtl/>
        </w:rPr>
        <w:t>מעתה שאין אשה מעידה אינה דנה</w:t>
      </w:r>
      <w:r w:rsidR="00CC71BA">
        <w:rPr>
          <w:rFonts w:cs="Arial" w:hint="cs"/>
          <w:rtl/>
        </w:rPr>
        <w:t>,</w:t>
      </w:r>
      <w:r w:rsidRPr="00EF5783">
        <w:rPr>
          <w:rFonts w:cs="Arial"/>
          <w:rtl/>
        </w:rPr>
        <w:t xml:space="preserve"> ודבורה לא היתה דנה אלא מלמדת להם שידונו</w:t>
      </w:r>
      <w:r>
        <w:rPr>
          <w:rFonts w:cs="Arial" w:hint="cs"/>
          <w:rtl/>
        </w:rPr>
        <w:t>,</w:t>
      </w:r>
      <w:r w:rsidRPr="00EF5783">
        <w:rPr>
          <w:rFonts w:cs="Arial"/>
          <w:rtl/>
        </w:rPr>
        <w:t xml:space="preserve"> א</w:t>
      </w:r>
      <w:r>
        <w:rPr>
          <w:rFonts w:cs="Arial" w:hint="cs"/>
          <w:rtl/>
        </w:rPr>
        <w:t>"</w:t>
      </w:r>
      <w:r w:rsidRPr="00EF5783">
        <w:rPr>
          <w:rFonts w:cs="Arial"/>
          <w:rtl/>
        </w:rPr>
        <w:t>נ על פי הדבור שאני</w:t>
      </w:r>
      <w:r>
        <w:rPr>
          <w:rFonts w:cs="Arial" w:hint="cs"/>
          <w:rtl/>
        </w:rPr>
        <w:t xml:space="preserve"> </w:t>
      </w:r>
      <w:r>
        <w:rPr>
          <w:rFonts w:cs="Arial" w:hint="cs"/>
          <w:sz w:val="16"/>
          <w:szCs w:val="16"/>
          <w:rtl/>
        </w:rPr>
        <w:t>(ל' התוס' ב</w:t>
      </w:r>
      <w:r w:rsidR="000B25AB">
        <w:rPr>
          <w:rFonts w:cs="Arial" w:hint="cs"/>
          <w:sz w:val="16"/>
          <w:szCs w:val="16"/>
          <w:rtl/>
        </w:rPr>
        <w:t>ב"ק</w:t>
      </w:r>
      <w:r>
        <w:rPr>
          <w:rFonts w:cs="Arial" w:hint="cs"/>
          <w:sz w:val="16"/>
          <w:szCs w:val="16"/>
          <w:rtl/>
        </w:rPr>
        <w:t>)</w:t>
      </w:r>
      <w:r>
        <w:rPr>
          <w:rFonts w:cs="Arial" w:hint="cs"/>
          <w:rtl/>
        </w:rPr>
        <w:t>.</w:t>
      </w:r>
    </w:p>
    <w:p w14:paraId="333E7DE0" w14:textId="77777777" w:rsidR="004A326E" w:rsidRPr="003024E5" w:rsidRDefault="004A326E" w:rsidP="004A326E">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7F6FC7B3" w14:textId="77777777" w:rsidR="004A326E" w:rsidRDefault="004A326E" w:rsidP="004A326E">
      <w:pPr>
        <w:rPr>
          <w:rtl/>
        </w:rPr>
      </w:pPr>
      <w:r>
        <w:rPr>
          <w:rFonts w:cs="Arial"/>
          <w:rtl/>
        </w:rPr>
        <w:t xml:space="preserve">אשה פסולה לדון. </w:t>
      </w:r>
    </w:p>
    <w:p w14:paraId="7E4D093F" w14:textId="77777777" w:rsidR="004A326E" w:rsidRDefault="004A326E" w:rsidP="004A326E">
      <w:pPr>
        <w:rPr>
          <w:rtl/>
        </w:rPr>
      </w:pPr>
    </w:p>
    <w:p w14:paraId="6C68B364" w14:textId="77777777" w:rsidR="004A326E" w:rsidRDefault="004A326E" w:rsidP="004A326E">
      <w:pPr>
        <w:pStyle w:val="2"/>
        <w:rPr>
          <w:rtl/>
        </w:rPr>
      </w:pPr>
      <w:bookmarkStart w:id="38" w:name="_Toc24883539"/>
      <w:r>
        <w:rPr>
          <w:rtl/>
        </w:rPr>
        <w:t>סעיף ה</w:t>
      </w:r>
      <w:r>
        <w:rPr>
          <w:rFonts w:hint="cs"/>
          <w:rtl/>
        </w:rPr>
        <w:t xml:space="preserve">: </w:t>
      </w:r>
      <w:r w:rsidR="00C73EB9">
        <w:rPr>
          <w:rFonts w:hint="cs"/>
          <w:rtl/>
        </w:rPr>
        <w:t>האם מותר לשתוי לדון. ו</w:t>
      </w:r>
      <w:r>
        <w:rPr>
          <w:rFonts w:hint="cs"/>
          <w:rtl/>
        </w:rPr>
        <w:t>אין עד נעשה דיין.</w:t>
      </w:r>
      <w:bookmarkEnd w:id="38"/>
    </w:p>
    <w:p w14:paraId="07B6E6C3" w14:textId="77777777" w:rsidR="004A326E" w:rsidRDefault="004A326E" w:rsidP="004A326E">
      <w:pPr>
        <w:rPr>
          <w:rFonts w:cs="Arial"/>
          <w:rtl/>
        </w:rPr>
      </w:pPr>
      <w:r w:rsidRPr="006F68E7">
        <w:rPr>
          <w:rFonts w:cs="Arial" w:hint="cs"/>
          <w:b/>
          <w:bCs/>
          <w:rtl/>
        </w:rPr>
        <w:t>סנהדרין</w:t>
      </w:r>
      <w:r w:rsidRPr="006F68E7">
        <w:rPr>
          <w:rFonts w:cs="Arial" w:hint="cs"/>
          <w:b/>
          <w:bCs/>
          <w:sz w:val="16"/>
          <w:szCs w:val="16"/>
          <w:rtl/>
        </w:rPr>
        <w:t xml:space="preserve"> (פ' </w:t>
      </w:r>
      <w:r>
        <w:rPr>
          <w:rFonts w:cs="Arial" w:hint="cs"/>
          <w:b/>
          <w:bCs/>
          <w:sz w:val="16"/>
          <w:szCs w:val="16"/>
          <w:rtl/>
        </w:rPr>
        <w:t>היו בודקין</w:t>
      </w:r>
      <w:r w:rsidRPr="006F68E7">
        <w:rPr>
          <w:rFonts w:cs="Arial" w:hint="cs"/>
          <w:b/>
          <w:bCs/>
          <w:sz w:val="16"/>
          <w:szCs w:val="16"/>
          <w:rtl/>
        </w:rPr>
        <w:t xml:space="preserve">) </w:t>
      </w:r>
      <w:r>
        <w:rPr>
          <w:rFonts w:cs="Arial" w:hint="cs"/>
          <w:b/>
          <w:bCs/>
          <w:rtl/>
        </w:rPr>
        <w:t>מ</w:t>
      </w:r>
      <w:r w:rsidR="007E45B6">
        <w:rPr>
          <w:rStyle w:val="ab"/>
          <w:rFonts w:cs="Arial"/>
          <w:b/>
          <w:bCs/>
          <w:rtl/>
        </w:rPr>
        <w:footnoteReference w:id="330"/>
      </w:r>
      <w:r w:rsidRPr="006F68E7">
        <w:rPr>
          <w:rFonts w:cs="Arial" w:hint="cs"/>
          <w:b/>
          <w:bCs/>
          <w:rtl/>
        </w:rPr>
        <w:t xml:space="preserve"> ע"א: </w:t>
      </w:r>
      <w:r w:rsidRPr="00C16758">
        <w:rPr>
          <w:rFonts w:cs="Arial"/>
          <w:u w:val="double"/>
          <w:rtl/>
        </w:rPr>
        <w:t>משנה</w:t>
      </w:r>
      <w:r w:rsidRPr="00C16758">
        <w:rPr>
          <w:rFonts w:cs="Arial" w:hint="cs"/>
          <w:u w:val="double"/>
          <w:rtl/>
        </w:rPr>
        <w:t>:</w:t>
      </w:r>
      <w:r w:rsidRPr="00C16758">
        <w:rPr>
          <w:rFonts w:cs="Arial"/>
          <w:rtl/>
        </w:rPr>
        <w:t xml:space="preserve"> היו בודקין אותן בשבע חקירות</w:t>
      </w:r>
      <w:r>
        <w:rPr>
          <w:rFonts w:cs="Arial" w:hint="cs"/>
          <w:rtl/>
        </w:rPr>
        <w:t>...</w:t>
      </w:r>
      <w:r w:rsidRPr="00C16758">
        <w:rPr>
          <w:rFonts w:cs="Arial"/>
          <w:rtl/>
        </w:rPr>
        <w:t xml:space="preserve"> אם נמצאו דבריהם מכוונים - פותחין בזכות.</w:t>
      </w:r>
      <w:r>
        <w:rPr>
          <w:rFonts w:cs="Arial" w:hint="cs"/>
          <w:rtl/>
        </w:rPr>
        <w:t>..</w:t>
      </w:r>
      <w:r w:rsidRPr="00C16758">
        <w:rPr>
          <w:rFonts w:cs="Arial"/>
          <w:rtl/>
        </w:rPr>
        <w:t xml:space="preserve"> ואם מצאו לו זכות - פטרוהו, ואם לאו - מעבירין אותו למחר. ומזדווגין זוגות זוגות. היו ממעטין ממאכל, ולא היו שותין יין כל היום, ונושאין ונותנין כל הלילה, ולמחרת משכימין ובאין לבית דין.</w:t>
      </w:r>
      <w:r>
        <w:rPr>
          <w:rFonts w:cs="Arial" w:hint="cs"/>
          <w:rtl/>
        </w:rPr>
        <w:t xml:space="preserve">..    </w:t>
      </w:r>
      <w:r w:rsidRPr="00C16758">
        <w:rPr>
          <w:rFonts w:cs="Arial" w:hint="cs"/>
          <w:u w:val="double"/>
          <w:rtl/>
        </w:rPr>
        <w:t>גמרא</w:t>
      </w:r>
      <w:r w:rsidR="00CC71BA">
        <w:rPr>
          <w:rFonts w:cs="Arial" w:hint="cs"/>
          <w:u w:val="double"/>
          <w:rtl/>
        </w:rPr>
        <w:t xml:space="preserve"> </w:t>
      </w:r>
      <w:r w:rsidR="00CC71BA">
        <w:rPr>
          <w:rFonts w:cs="Arial" w:hint="cs"/>
          <w:sz w:val="14"/>
          <w:szCs w:val="14"/>
          <w:u w:val="double"/>
          <w:rtl/>
        </w:rPr>
        <w:t>(מב.)</w:t>
      </w:r>
      <w:r w:rsidRPr="00C16758">
        <w:rPr>
          <w:rFonts w:cs="Arial" w:hint="cs"/>
          <w:u w:val="double"/>
          <w:rtl/>
        </w:rPr>
        <w:t>:</w:t>
      </w:r>
      <w:r>
        <w:rPr>
          <w:rFonts w:cs="Arial" w:hint="cs"/>
          <w:rtl/>
        </w:rPr>
        <w:t xml:space="preserve"> </w:t>
      </w:r>
      <w:r w:rsidRPr="00C16758">
        <w:rPr>
          <w:rFonts w:cs="Arial"/>
          <w:rtl/>
        </w:rPr>
        <w:t xml:space="preserve">מצאו לו זכות כו'. יין מאי טעמא לא? </w:t>
      </w:r>
      <w:r w:rsidRPr="00C16758">
        <w:rPr>
          <w:rFonts w:cs="Arial"/>
          <w:u w:val="single"/>
          <w:rtl/>
        </w:rPr>
        <w:t>אמר רבי אחא בר חנינא:</w:t>
      </w:r>
      <w:r w:rsidRPr="00C16758">
        <w:rPr>
          <w:rFonts w:cs="Arial"/>
          <w:rtl/>
        </w:rPr>
        <w:t xml:space="preserve"> אמר קרא: ולרוזנים אי שכר - העוסקין ברזו של עולם אל ישתכרו.</w:t>
      </w:r>
    </w:p>
    <w:p w14:paraId="0EBF7BD1" w14:textId="77777777" w:rsidR="004A326E" w:rsidRDefault="00391BBC" w:rsidP="004A326E">
      <w:pPr>
        <w:rPr>
          <w:rFonts w:cs="Arial"/>
          <w:rtl/>
        </w:rPr>
      </w:pPr>
      <w:bookmarkStart w:id="39" w:name="_Hlk18403945"/>
      <w:r>
        <w:rPr>
          <w:rFonts w:cs="Arial" w:hint="cs"/>
          <w:b/>
          <w:bCs/>
          <w:rtl/>
        </w:rPr>
        <w:t>ערובין</w:t>
      </w:r>
      <w:r w:rsidR="004A326E" w:rsidRPr="006F68E7">
        <w:rPr>
          <w:rFonts w:cs="Arial" w:hint="cs"/>
          <w:b/>
          <w:bCs/>
          <w:sz w:val="16"/>
          <w:szCs w:val="16"/>
          <w:rtl/>
        </w:rPr>
        <w:t xml:space="preserve"> (פ' הדר) </w:t>
      </w:r>
      <w:r w:rsidR="004A326E" w:rsidRPr="006F68E7">
        <w:rPr>
          <w:rFonts w:cs="Arial" w:hint="cs"/>
          <w:b/>
          <w:bCs/>
          <w:rtl/>
        </w:rPr>
        <w:t>סד</w:t>
      </w:r>
      <w:r w:rsidR="007E45B6">
        <w:rPr>
          <w:rStyle w:val="ab"/>
          <w:rFonts w:cs="Arial"/>
          <w:b/>
          <w:bCs/>
          <w:rtl/>
        </w:rPr>
        <w:footnoteReference w:id="331"/>
      </w:r>
      <w:r w:rsidR="004A326E" w:rsidRPr="006F68E7">
        <w:rPr>
          <w:rFonts w:cs="Arial" w:hint="cs"/>
          <w:b/>
          <w:bCs/>
          <w:rtl/>
        </w:rPr>
        <w:t xml:space="preserve"> ע"א: </w:t>
      </w:r>
      <w:r w:rsidR="004A326E" w:rsidRPr="006F68E7">
        <w:rPr>
          <w:rFonts w:cs="Arial"/>
          <w:u w:val="single"/>
          <w:rtl/>
        </w:rPr>
        <w:t>אמר רב יהודה אמר שמואל</w:t>
      </w:r>
      <w:r w:rsidR="004A326E" w:rsidRPr="006F68E7">
        <w:rPr>
          <w:rFonts w:cs="Arial"/>
          <w:rtl/>
        </w:rPr>
        <w:t xml:space="preserve">: שתה רביעית יין אל יורה. </w:t>
      </w:r>
      <w:r w:rsidR="004A326E" w:rsidRPr="006F68E7">
        <w:rPr>
          <w:rFonts w:cs="Arial"/>
          <w:u w:val="single"/>
          <w:rtl/>
        </w:rPr>
        <w:t>אמר רב נחמן</w:t>
      </w:r>
      <w:r w:rsidR="004A326E" w:rsidRPr="006F68E7">
        <w:rPr>
          <w:rFonts w:cs="Arial"/>
          <w:rtl/>
        </w:rPr>
        <w:t>:</w:t>
      </w:r>
      <w:r w:rsidR="0050017D" w:rsidRPr="0050017D">
        <w:rPr>
          <w:rtl/>
        </w:rPr>
        <w:t xml:space="preserve"> </w:t>
      </w:r>
      <w:r w:rsidR="0050017D" w:rsidRPr="0050017D">
        <w:rPr>
          <w:rFonts w:cs="Arial"/>
          <w:rtl/>
        </w:rPr>
        <w:t>לא מעליא הא שמעתא</w:t>
      </w:r>
      <w:r w:rsidR="0050017D">
        <w:rPr>
          <w:rFonts w:cs="Arial" w:hint="cs"/>
          <w:rtl/>
        </w:rPr>
        <w:t>!</w:t>
      </w:r>
      <w:r w:rsidR="0050017D" w:rsidRPr="0050017D">
        <w:rPr>
          <w:rFonts w:cs="Arial"/>
          <w:rtl/>
        </w:rPr>
        <w:t xml:space="preserve"> דהא אנא, כל כמה דלא שתינא רביעתא דחמרא - לא צילא דעתאי. </w:t>
      </w:r>
    </w:p>
    <w:bookmarkEnd w:id="39"/>
    <w:p w14:paraId="62FDC482" w14:textId="77777777" w:rsidR="004A326E" w:rsidRDefault="004A326E" w:rsidP="004A326E">
      <w:pPr>
        <w:rPr>
          <w:rFonts w:cs="Arial"/>
          <w:rtl/>
        </w:rPr>
      </w:pPr>
      <w:r>
        <w:rPr>
          <w:rFonts w:cs="Arial" w:hint="cs"/>
          <w:b/>
          <w:bCs/>
          <w:rtl/>
        </w:rPr>
        <w:t>במדבר רבה נשא פרשה י:</w:t>
      </w:r>
      <w:r w:rsidRPr="00681079">
        <w:rPr>
          <w:rFonts w:cs="Arial"/>
          <w:rtl/>
        </w:rPr>
        <w:t xml:space="preserve"> ולרוזנים אי שכר</w:t>
      </w:r>
      <w:r>
        <w:rPr>
          <w:rStyle w:val="ab"/>
          <w:rFonts w:cs="Arial"/>
          <w:rtl/>
        </w:rPr>
        <w:footnoteReference w:id="332"/>
      </w:r>
      <w:r>
        <w:rPr>
          <w:rFonts w:cs="Arial" w:hint="cs"/>
          <w:rtl/>
        </w:rPr>
        <w:t xml:space="preserve"> </w:t>
      </w:r>
      <w:r w:rsidRPr="00681079">
        <w:rPr>
          <w:rFonts w:cs="Arial"/>
          <w:sz w:val="16"/>
          <w:szCs w:val="16"/>
          <w:rtl/>
        </w:rPr>
        <w:t>(משלי ל</w:t>
      </w:r>
      <w:r w:rsidRPr="00681079">
        <w:rPr>
          <w:rFonts w:cs="Arial" w:hint="cs"/>
          <w:sz w:val="16"/>
          <w:szCs w:val="16"/>
          <w:rtl/>
        </w:rPr>
        <w:t>א</w:t>
      </w:r>
      <w:r w:rsidRPr="00681079">
        <w:rPr>
          <w:rFonts w:cs="Arial"/>
          <w:sz w:val="16"/>
          <w:szCs w:val="16"/>
          <w:rtl/>
        </w:rPr>
        <w:t>)</w:t>
      </w:r>
      <w:r>
        <w:rPr>
          <w:rFonts w:cs="Arial" w:hint="cs"/>
          <w:rtl/>
        </w:rPr>
        <w:t xml:space="preserve"> -</w:t>
      </w:r>
      <w:r w:rsidRPr="00681079">
        <w:rPr>
          <w:rFonts w:cs="Arial"/>
          <w:rtl/>
        </w:rPr>
        <w:t xml:space="preserve"> מי שכל רזי עולם גלוים לו ישתה יין וישתכר</w:t>
      </w:r>
      <w:r>
        <w:rPr>
          <w:rFonts w:cs="Arial" w:hint="cs"/>
          <w:rtl/>
        </w:rPr>
        <w:t>.</w:t>
      </w:r>
      <w:r w:rsidRPr="00681079">
        <w:rPr>
          <w:rFonts w:cs="Arial"/>
          <w:rtl/>
        </w:rPr>
        <w:t xml:space="preserve"> פן ישתה וישכח מחוקק</w:t>
      </w:r>
      <w:r>
        <w:rPr>
          <w:rFonts w:cs="Arial" w:hint="cs"/>
          <w:rtl/>
        </w:rPr>
        <w:t xml:space="preserve"> </w:t>
      </w:r>
      <w:r w:rsidRPr="00681079">
        <w:rPr>
          <w:rFonts w:cs="Arial"/>
          <w:sz w:val="16"/>
          <w:szCs w:val="16"/>
          <w:rtl/>
        </w:rPr>
        <w:t>(שם)</w:t>
      </w:r>
      <w:r>
        <w:rPr>
          <w:rFonts w:cs="Arial" w:hint="cs"/>
          <w:rtl/>
        </w:rPr>
        <w:t xml:space="preserve"> -</w:t>
      </w:r>
      <w:r w:rsidRPr="00681079">
        <w:rPr>
          <w:rFonts w:cs="Arial"/>
          <w:rtl/>
        </w:rPr>
        <w:t xml:space="preserve"> א"ר שמעון אלו דברי תורה החקוקים וכתוב בהם לא תנאף</w:t>
      </w:r>
      <w:r>
        <w:rPr>
          <w:rFonts w:cs="Arial" w:hint="cs"/>
          <w:rtl/>
        </w:rPr>
        <w:t>.</w:t>
      </w:r>
      <w:r w:rsidRPr="00681079">
        <w:rPr>
          <w:rFonts w:cs="Arial"/>
          <w:sz w:val="16"/>
          <w:szCs w:val="16"/>
          <w:rtl/>
        </w:rPr>
        <w:t xml:space="preserve"> </w:t>
      </w:r>
      <w:r w:rsidRPr="00681079">
        <w:rPr>
          <w:rFonts w:cs="Arial"/>
          <w:rtl/>
        </w:rPr>
        <w:t>וישנה דין כל בני עוני</w:t>
      </w:r>
      <w:r>
        <w:rPr>
          <w:rFonts w:cs="Arial" w:hint="cs"/>
          <w:rtl/>
        </w:rPr>
        <w:t xml:space="preserve"> </w:t>
      </w:r>
      <w:r w:rsidRPr="00681079">
        <w:rPr>
          <w:rFonts w:cs="Arial"/>
          <w:sz w:val="16"/>
          <w:szCs w:val="16"/>
          <w:rtl/>
        </w:rPr>
        <w:t>(שם)</w:t>
      </w:r>
      <w:r>
        <w:rPr>
          <w:rFonts w:cs="Arial" w:hint="cs"/>
          <w:rtl/>
        </w:rPr>
        <w:t xml:space="preserve"> -</w:t>
      </w:r>
      <w:r w:rsidRPr="00681079">
        <w:rPr>
          <w:rFonts w:cs="Arial"/>
          <w:rtl/>
        </w:rPr>
        <w:t xml:space="preserve"> אמרה לו הדין נמסר למלכות בית דוד כמ"ד </w:t>
      </w:r>
      <w:r w:rsidRPr="00681079">
        <w:rPr>
          <w:rFonts w:cs="Arial"/>
          <w:sz w:val="16"/>
          <w:szCs w:val="16"/>
          <w:rtl/>
        </w:rPr>
        <w:t xml:space="preserve">(ירמיה כא) </w:t>
      </w:r>
      <w:r w:rsidRPr="00681079">
        <w:rPr>
          <w:rFonts w:cs="Arial"/>
          <w:rtl/>
        </w:rPr>
        <w:t>בית דוד כה אמר ה' דינו לבוקר משפט</w:t>
      </w:r>
      <w:r>
        <w:rPr>
          <w:rFonts w:cs="Arial" w:hint="cs"/>
          <w:rtl/>
        </w:rPr>
        <w:t>,</w:t>
      </w:r>
      <w:r w:rsidRPr="00681079">
        <w:rPr>
          <w:rFonts w:cs="Arial"/>
          <w:rtl/>
        </w:rPr>
        <w:t xml:space="preserve"> תשתה יין ותשנה דין כל בני עוני</w:t>
      </w:r>
      <w:r>
        <w:rPr>
          <w:rFonts w:cs="Arial" w:hint="cs"/>
          <w:rtl/>
        </w:rPr>
        <w:t>,</w:t>
      </w:r>
      <w:r w:rsidRPr="00681079">
        <w:rPr>
          <w:rFonts w:cs="Arial"/>
          <w:rtl/>
        </w:rPr>
        <w:t xml:space="preserve"> תזכה את החייב ותחייב את הזכאי</w:t>
      </w:r>
      <w:r>
        <w:rPr>
          <w:rFonts w:cs="Arial" w:hint="cs"/>
          <w:rtl/>
        </w:rPr>
        <w:t>,</w:t>
      </w:r>
      <w:r w:rsidRPr="00681079">
        <w:rPr>
          <w:rFonts w:cs="Arial"/>
          <w:rtl/>
        </w:rPr>
        <w:t xml:space="preserve"> מכאן אמרו דיין ששתה רביעית יין אל ידון</w:t>
      </w:r>
      <w:r>
        <w:rPr>
          <w:rFonts w:cs="Arial" w:hint="cs"/>
          <w:rtl/>
        </w:rPr>
        <w:t>,</w:t>
      </w:r>
      <w:r w:rsidRPr="00681079">
        <w:rPr>
          <w:rFonts w:cs="Arial"/>
          <w:rtl/>
        </w:rPr>
        <w:t xml:space="preserve"> וכן חכם ששתה רביעית יין אל יורה</w:t>
      </w:r>
      <w:r>
        <w:rPr>
          <w:rFonts w:cs="Arial" w:hint="cs"/>
          <w:rtl/>
        </w:rPr>
        <w:t>.</w:t>
      </w:r>
    </w:p>
    <w:p w14:paraId="3C68A949" w14:textId="77777777" w:rsidR="004A326E" w:rsidRDefault="0079576E" w:rsidP="004A326E">
      <w:pPr>
        <w:rPr>
          <w:rFonts w:cs="Arial"/>
          <w:rtl/>
        </w:rPr>
      </w:pPr>
      <w:r>
        <w:rPr>
          <w:rFonts w:cs="Arial" w:hint="cs"/>
          <w:u w:val="single"/>
          <w:rtl/>
        </w:rPr>
        <w:t>דיין ששתה</w:t>
      </w:r>
      <w:r w:rsidR="004A326E" w:rsidRPr="00E6631E">
        <w:rPr>
          <w:rFonts w:cs="Arial" w:hint="cs"/>
          <w:u w:val="single"/>
          <w:rtl/>
        </w:rPr>
        <w:t xml:space="preserve"> יין </w:t>
      </w:r>
      <w:r w:rsidR="004A326E" w:rsidRPr="00E6631E">
        <w:rPr>
          <w:rFonts w:cs="Arial"/>
          <w:u w:val="single"/>
          <w:rtl/>
        </w:rPr>
        <w:t>–</w:t>
      </w:r>
      <w:r w:rsidR="004A326E" w:rsidRPr="00E6631E">
        <w:rPr>
          <w:rFonts w:cs="Arial" w:hint="cs"/>
          <w:u w:val="single"/>
          <w:rtl/>
        </w:rPr>
        <w:t xml:space="preserve"> מהו </w:t>
      </w:r>
      <w:r w:rsidR="004A326E" w:rsidRPr="007804C8">
        <w:rPr>
          <w:rFonts w:cs="Arial" w:hint="cs"/>
          <w:b/>
          <w:bCs/>
          <w:u w:val="single"/>
          <w:rtl/>
        </w:rPr>
        <w:t>שידו</w:t>
      </w:r>
      <w:r w:rsidR="00E050DF" w:rsidRPr="007804C8">
        <w:rPr>
          <w:rFonts w:cs="Arial" w:hint="cs"/>
          <w:b/>
          <w:bCs/>
          <w:u w:val="single"/>
          <w:rtl/>
        </w:rPr>
        <w:t>ן</w:t>
      </w:r>
      <w:r w:rsidR="004A326E" w:rsidRPr="00E6631E">
        <w:rPr>
          <w:rFonts w:cs="Arial" w:hint="cs"/>
          <w:u w:val="single"/>
          <w:rtl/>
        </w:rPr>
        <w:t>:</w:t>
      </w:r>
    </w:p>
    <w:p w14:paraId="16332B3E" w14:textId="77777777" w:rsidR="004A326E" w:rsidRDefault="004A326E" w:rsidP="004B0475">
      <w:pPr>
        <w:pStyle w:val="ac"/>
        <w:numPr>
          <w:ilvl w:val="0"/>
          <w:numId w:val="58"/>
        </w:numPr>
        <w:rPr>
          <w:rFonts w:cs="Arial"/>
        </w:rPr>
      </w:pPr>
      <w:r w:rsidRPr="00E6631E">
        <w:rPr>
          <w:rFonts w:cs="Arial"/>
          <w:rtl/>
        </w:rPr>
        <w:t>תוס</w:t>
      </w:r>
      <w:r w:rsidRPr="00E6631E">
        <w:rPr>
          <w:rFonts w:cs="Arial" w:hint="cs"/>
          <w:rtl/>
        </w:rPr>
        <w:t xml:space="preserve">' </w:t>
      </w:r>
      <w:r w:rsidRPr="00E6631E">
        <w:rPr>
          <w:rFonts w:cs="Arial"/>
          <w:sz w:val="16"/>
          <w:szCs w:val="16"/>
          <w:rtl/>
        </w:rPr>
        <w:t xml:space="preserve">(סנהדרין </w:t>
      </w:r>
      <w:r w:rsidRPr="009C724B">
        <w:rPr>
          <w:rFonts w:cs="Arial" w:hint="cs"/>
          <w:sz w:val="14"/>
          <w:szCs w:val="14"/>
          <w:rtl/>
        </w:rPr>
        <w:t xml:space="preserve">[ס"פ </w:t>
      </w:r>
      <w:r w:rsidRPr="009C724B">
        <w:rPr>
          <w:rFonts w:cs="Arial"/>
          <w:sz w:val="14"/>
          <w:szCs w:val="14"/>
          <w:rtl/>
        </w:rPr>
        <w:t>היו בודקין</w:t>
      </w:r>
      <w:r w:rsidRPr="009C724B">
        <w:rPr>
          <w:rFonts w:cs="Arial" w:hint="cs"/>
          <w:sz w:val="14"/>
          <w:szCs w:val="14"/>
          <w:rtl/>
        </w:rPr>
        <w:t>]</w:t>
      </w:r>
      <w:r w:rsidRPr="00E6631E">
        <w:rPr>
          <w:rFonts w:cs="Arial" w:hint="cs"/>
          <w:sz w:val="16"/>
          <w:szCs w:val="16"/>
          <w:rtl/>
        </w:rPr>
        <w:t xml:space="preserve"> </w:t>
      </w:r>
      <w:r w:rsidRPr="00E6631E">
        <w:rPr>
          <w:rFonts w:cs="Arial"/>
          <w:sz w:val="16"/>
          <w:szCs w:val="16"/>
          <w:rtl/>
        </w:rPr>
        <w:t>מב. ד"ה העוסקים)</w:t>
      </w:r>
      <w:r w:rsidRPr="00E6631E">
        <w:rPr>
          <w:rFonts w:cs="Arial" w:hint="cs"/>
          <w:rtl/>
        </w:rPr>
        <w:t>-</w:t>
      </w:r>
      <w:r w:rsidRPr="00E6631E">
        <w:rPr>
          <w:rFonts w:cs="Arial"/>
          <w:rtl/>
        </w:rPr>
        <w:t xml:space="preserve"> </w:t>
      </w:r>
      <w:r w:rsidR="009C724B">
        <w:rPr>
          <w:rFonts w:cs="Arial" w:hint="cs"/>
          <w:rtl/>
        </w:rPr>
        <w:t>'</w:t>
      </w:r>
      <w:r w:rsidR="009C724B" w:rsidRPr="009C724B">
        <w:rPr>
          <w:rFonts w:cs="Arial"/>
          <w:rtl/>
        </w:rPr>
        <w:t>העוסקים ברזו של עולם</w:t>
      </w:r>
      <w:r w:rsidR="009C724B">
        <w:rPr>
          <w:rFonts w:cs="Arial" w:hint="cs"/>
          <w:rtl/>
        </w:rPr>
        <w:t>'</w:t>
      </w:r>
      <w:r w:rsidR="009C724B" w:rsidRPr="009C724B">
        <w:rPr>
          <w:rFonts w:cs="Arial"/>
          <w:rtl/>
        </w:rPr>
        <w:t xml:space="preserve"> היינו דיני נפשות אבל לא דיני ממונות</w:t>
      </w:r>
      <w:r w:rsidR="009C724B">
        <w:rPr>
          <w:rFonts w:cs="Arial" w:hint="cs"/>
          <w:rtl/>
        </w:rPr>
        <w:t>.</w:t>
      </w:r>
      <w:r w:rsidR="009C724B" w:rsidRPr="009C724B">
        <w:rPr>
          <w:rFonts w:cs="Arial"/>
          <w:rtl/>
        </w:rPr>
        <w:t xml:space="preserve"> והא דאמר </w:t>
      </w:r>
      <w:r w:rsidR="009C724B" w:rsidRPr="009C724B">
        <w:rPr>
          <w:rFonts w:cs="Arial"/>
          <w:sz w:val="16"/>
          <w:szCs w:val="16"/>
          <w:rtl/>
        </w:rPr>
        <w:t>(עירובין</w:t>
      </w:r>
      <w:r w:rsidR="009C724B" w:rsidRPr="009C724B">
        <w:rPr>
          <w:rFonts w:cs="Arial" w:hint="cs"/>
          <w:sz w:val="16"/>
          <w:szCs w:val="16"/>
          <w:rtl/>
        </w:rPr>
        <w:t xml:space="preserve"> </w:t>
      </w:r>
      <w:r w:rsidR="009C724B" w:rsidRPr="009C724B">
        <w:rPr>
          <w:rFonts w:cs="Arial"/>
          <w:sz w:val="16"/>
          <w:szCs w:val="16"/>
          <w:rtl/>
        </w:rPr>
        <w:t xml:space="preserve">סד.) </w:t>
      </w:r>
      <w:r w:rsidR="009C724B" w:rsidRPr="009C724B">
        <w:rPr>
          <w:rFonts w:cs="Arial"/>
          <w:rtl/>
        </w:rPr>
        <w:t xml:space="preserve">שתה רביעית יין אל יורה </w:t>
      </w:r>
      <w:r w:rsidR="009C724B">
        <w:rPr>
          <w:rFonts w:cs="Arial" w:hint="cs"/>
          <w:rtl/>
        </w:rPr>
        <w:t xml:space="preserve">- </w:t>
      </w:r>
      <w:r w:rsidR="009C724B" w:rsidRPr="009C724B">
        <w:rPr>
          <w:rFonts w:cs="Arial"/>
          <w:rtl/>
        </w:rPr>
        <w:t>היינו הוראה דאיסור והיתר</w:t>
      </w:r>
      <w:r w:rsidRPr="00E6631E">
        <w:rPr>
          <w:rFonts w:cs="Arial" w:hint="cs"/>
          <w:rtl/>
        </w:rPr>
        <w:t>.</w:t>
      </w:r>
      <w:r w:rsidRPr="00E6631E">
        <w:rPr>
          <w:rFonts w:cs="Arial"/>
          <w:rtl/>
        </w:rPr>
        <w:t xml:space="preserve"> </w:t>
      </w:r>
      <w:r w:rsidR="009C724B" w:rsidRPr="009C724B">
        <w:rPr>
          <w:rFonts w:cs="Arial" w:hint="cs"/>
          <w:color w:val="F79646" w:themeColor="accent6"/>
          <w:rtl/>
        </w:rPr>
        <w:t>(וכ"ס בשו"ע)</w:t>
      </w:r>
    </w:p>
    <w:p w14:paraId="440E9535" w14:textId="77777777" w:rsidR="004A326E" w:rsidRDefault="004A326E" w:rsidP="004B0475">
      <w:pPr>
        <w:pStyle w:val="ac"/>
        <w:numPr>
          <w:ilvl w:val="0"/>
          <w:numId w:val="58"/>
        </w:numPr>
        <w:rPr>
          <w:rFonts w:cs="Arial"/>
        </w:rPr>
      </w:pPr>
      <w:r>
        <w:rPr>
          <w:rFonts w:cs="Arial" w:hint="cs"/>
          <w:rtl/>
        </w:rPr>
        <w:t xml:space="preserve">ב"ח </w:t>
      </w:r>
      <w:r w:rsidRPr="00681079">
        <w:rPr>
          <w:rFonts w:cs="Arial" w:hint="cs"/>
          <w:sz w:val="16"/>
          <w:szCs w:val="16"/>
          <w:rtl/>
        </w:rPr>
        <w:t>(בתשו' סי' מא)</w:t>
      </w:r>
      <w:r>
        <w:rPr>
          <w:rFonts w:cs="Arial" w:hint="cs"/>
          <w:rtl/>
        </w:rPr>
        <w:t xml:space="preserve">- </w:t>
      </w:r>
      <w:r w:rsidRPr="00C16758">
        <w:rPr>
          <w:rFonts w:cs="Arial"/>
          <w:rtl/>
        </w:rPr>
        <w:t>לא מיבעיא העוסקים ברזי של עולם אל ישתכרו</w:t>
      </w:r>
      <w:r w:rsidR="007E45B6">
        <w:rPr>
          <w:rFonts w:cs="Arial" w:hint="cs"/>
          <w:rtl/>
        </w:rPr>
        <w:t>,</w:t>
      </w:r>
      <w:r w:rsidRPr="00C16758">
        <w:rPr>
          <w:rFonts w:cs="Arial"/>
          <w:rtl/>
        </w:rPr>
        <w:t xml:space="preserve"> דזה פשיטא דאסור דנוגע ברצוחת נפש שלא במשפט</w:t>
      </w:r>
      <w:r w:rsidR="007E45B6">
        <w:rPr>
          <w:rFonts w:cs="Arial" w:hint="cs"/>
          <w:rtl/>
        </w:rPr>
        <w:t>,</w:t>
      </w:r>
      <w:r w:rsidRPr="00C16758">
        <w:rPr>
          <w:rFonts w:cs="Arial"/>
          <w:rtl/>
        </w:rPr>
        <w:t xml:space="preserve"> אלא גם שאר דיני ממונות נמי אסור</w:t>
      </w:r>
      <w:r w:rsidR="0079576E">
        <w:rPr>
          <w:rFonts w:cs="Arial" w:hint="cs"/>
          <w:rtl/>
        </w:rPr>
        <w:t>,</w:t>
      </w:r>
      <w:r w:rsidRPr="00C16758">
        <w:rPr>
          <w:rFonts w:cs="Arial"/>
          <w:rtl/>
        </w:rPr>
        <w:t xml:space="preserve"> דישנה דין כל בני עוני תזכה את החייב ותתחייב את הזכאי</w:t>
      </w:r>
      <w:r w:rsidR="0079576E">
        <w:rPr>
          <w:rFonts w:cs="Arial" w:hint="cs"/>
          <w:rtl/>
        </w:rPr>
        <w:t>.</w:t>
      </w:r>
      <w:r w:rsidRPr="00C16758">
        <w:rPr>
          <w:rFonts w:cs="Arial"/>
          <w:rtl/>
        </w:rPr>
        <w:t xml:space="preserve"> והכי נקטינין דאסור לדון ד</w:t>
      </w:r>
      <w:r w:rsidR="00E050DF">
        <w:rPr>
          <w:rFonts w:cs="Arial" w:hint="cs"/>
          <w:rtl/>
        </w:rPr>
        <w:t xml:space="preserve">יני </w:t>
      </w:r>
      <w:r w:rsidRPr="00C16758">
        <w:rPr>
          <w:rFonts w:cs="Arial"/>
          <w:rtl/>
        </w:rPr>
        <w:t>מ</w:t>
      </w:r>
      <w:r w:rsidR="00E050DF">
        <w:rPr>
          <w:rFonts w:cs="Arial" w:hint="cs"/>
          <w:rtl/>
        </w:rPr>
        <w:t>ממונות</w:t>
      </w:r>
      <w:r w:rsidRPr="00C16758">
        <w:rPr>
          <w:rFonts w:cs="Arial"/>
          <w:rtl/>
        </w:rPr>
        <w:t xml:space="preserve"> אפי</w:t>
      </w:r>
      <w:r w:rsidR="00E050DF">
        <w:rPr>
          <w:rFonts w:cs="Arial" w:hint="cs"/>
          <w:rtl/>
        </w:rPr>
        <w:t>לו</w:t>
      </w:r>
      <w:r w:rsidRPr="00C16758">
        <w:rPr>
          <w:rFonts w:cs="Arial"/>
          <w:rtl/>
        </w:rPr>
        <w:t xml:space="preserve"> אינו אלא שתוי בלבד</w:t>
      </w:r>
      <w:r>
        <w:rPr>
          <w:rStyle w:val="ab"/>
          <w:rFonts w:cs="Arial"/>
          <w:rtl/>
        </w:rPr>
        <w:footnoteReference w:id="333"/>
      </w:r>
      <w:r>
        <w:rPr>
          <w:rFonts w:cs="Arial" w:hint="cs"/>
          <w:rtl/>
        </w:rPr>
        <w:t>.</w:t>
      </w:r>
    </w:p>
    <w:p w14:paraId="7E7EE81E" w14:textId="77777777" w:rsidR="000D1CD0" w:rsidRPr="000D1CD0" w:rsidRDefault="000D1CD0" w:rsidP="000D1CD0">
      <w:pPr>
        <w:ind w:left="360"/>
        <w:rPr>
          <w:rFonts w:cs="Arial"/>
          <w:u w:val="dotted"/>
        </w:rPr>
      </w:pPr>
      <w:r w:rsidRPr="000D1CD0">
        <w:rPr>
          <w:rFonts w:cs="Arial" w:hint="cs"/>
          <w:u w:val="dotted"/>
          <w:rtl/>
        </w:rPr>
        <w:t>האם</w:t>
      </w:r>
      <w:r w:rsidR="007804C8">
        <w:rPr>
          <w:rFonts w:cs="Arial" w:hint="cs"/>
          <w:u w:val="dotted"/>
          <w:rtl/>
        </w:rPr>
        <w:t xml:space="preserve"> </w:t>
      </w:r>
      <w:r w:rsidR="00D214EA">
        <w:rPr>
          <w:rFonts w:cs="Arial" w:hint="cs"/>
          <w:u w:val="dotted"/>
          <w:rtl/>
        </w:rPr>
        <w:t>זה ש</w:t>
      </w:r>
      <w:r w:rsidR="007804C8">
        <w:rPr>
          <w:rFonts w:cs="Arial" w:hint="cs"/>
          <w:u w:val="dotted"/>
          <w:rtl/>
        </w:rPr>
        <w:t>יינות שלנו</w:t>
      </w:r>
      <w:r w:rsidR="00D214EA">
        <w:rPr>
          <w:rFonts w:cs="Arial" w:hint="cs"/>
          <w:u w:val="dotted"/>
          <w:rtl/>
        </w:rPr>
        <w:t xml:space="preserve"> חלשים יותר היא עוד סיבה </w:t>
      </w:r>
      <w:r w:rsidR="00155019">
        <w:rPr>
          <w:rFonts w:cs="Arial" w:hint="cs"/>
          <w:u w:val="dotted"/>
          <w:rtl/>
        </w:rPr>
        <w:t>להתיר</w:t>
      </w:r>
      <w:r w:rsidR="00D214EA">
        <w:rPr>
          <w:rFonts w:cs="Arial" w:hint="cs"/>
          <w:u w:val="dotted"/>
          <w:rtl/>
        </w:rPr>
        <w:t xml:space="preserve"> </w:t>
      </w:r>
      <w:r w:rsidR="00D214EA" w:rsidRPr="00D214EA">
        <w:rPr>
          <w:rFonts w:cs="Arial" w:hint="cs"/>
          <w:b/>
          <w:bCs/>
          <w:u w:val="dotted"/>
          <w:rtl/>
        </w:rPr>
        <w:t>לדון</w:t>
      </w:r>
      <w:r w:rsidR="00D214EA">
        <w:rPr>
          <w:rStyle w:val="ab"/>
          <w:rFonts w:cs="Arial"/>
          <w:u w:val="dotted"/>
          <w:rtl/>
        </w:rPr>
        <w:footnoteReference w:id="334"/>
      </w:r>
      <w:r w:rsidR="00155019">
        <w:rPr>
          <w:rFonts w:cs="Arial" w:hint="cs"/>
          <w:b/>
          <w:bCs/>
          <w:u w:val="dotted"/>
          <w:rtl/>
        </w:rPr>
        <w:t xml:space="preserve"> </w:t>
      </w:r>
      <w:r w:rsidR="00155019">
        <w:rPr>
          <w:rFonts w:cs="Arial" w:hint="cs"/>
          <w:u w:val="dotted"/>
          <w:rtl/>
        </w:rPr>
        <w:t>ל</w:t>
      </w:r>
      <w:r w:rsidR="00D214EA">
        <w:rPr>
          <w:rFonts w:cs="Arial" w:hint="cs"/>
          <w:u w:val="dotted"/>
          <w:rtl/>
        </w:rPr>
        <w:t>אחר שתיית יין</w:t>
      </w:r>
      <w:r w:rsidRPr="000D1CD0">
        <w:rPr>
          <w:rFonts w:cs="Arial" w:hint="cs"/>
          <w:u w:val="dotted"/>
          <w:rtl/>
        </w:rPr>
        <w:t xml:space="preserve">: </w:t>
      </w:r>
    </w:p>
    <w:p w14:paraId="659BCD3E" w14:textId="77777777" w:rsidR="004A326E" w:rsidRPr="00155019" w:rsidRDefault="004A326E" w:rsidP="004B0475">
      <w:pPr>
        <w:pStyle w:val="ac"/>
        <w:numPr>
          <w:ilvl w:val="0"/>
          <w:numId w:val="58"/>
        </w:numPr>
        <w:rPr>
          <w:rFonts w:cs="Arial"/>
          <w:rtl/>
        </w:rPr>
      </w:pPr>
      <w:r w:rsidRPr="00EF4A08">
        <w:rPr>
          <w:rFonts w:cs="Arial"/>
          <w:rtl/>
        </w:rPr>
        <w:t>תרוה</w:t>
      </w:r>
      <w:r w:rsidRPr="00EF4A08">
        <w:rPr>
          <w:rFonts w:cs="Arial" w:hint="cs"/>
          <w:rtl/>
        </w:rPr>
        <w:t>"</w:t>
      </w:r>
      <w:r w:rsidRPr="00EF4A08">
        <w:rPr>
          <w:rFonts w:cs="Arial"/>
          <w:rtl/>
        </w:rPr>
        <w:t>ד</w:t>
      </w:r>
      <w:r w:rsidRPr="00EF4A08">
        <w:rPr>
          <w:rFonts w:cs="Arial" w:hint="cs"/>
          <w:rtl/>
        </w:rPr>
        <w:t xml:space="preserve"> </w:t>
      </w:r>
      <w:r w:rsidRPr="00EF4A08">
        <w:rPr>
          <w:rFonts w:cs="Arial" w:hint="cs"/>
          <w:sz w:val="16"/>
          <w:szCs w:val="16"/>
          <w:rtl/>
        </w:rPr>
        <w:t>(</w:t>
      </w:r>
      <w:r w:rsidRPr="00EF4A08">
        <w:rPr>
          <w:rFonts w:cs="Arial"/>
          <w:sz w:val="16"/>
          <w:szCs w:val="16"/>
          <w:rtl/>
        </w:rPr>
        <w:t>סי</w:t>
      </w:r>
      <w:r w:rsidRPr="00EF4A08">
        <w:rPr>
          <w:rFonts w:cs="Arial" w:hint="cs"/>
          <w:sz w:val="16"/>
          <w:szCs w:val="16"/>
          <w:rtl/>
        </w:rPr>
        <w:t>'</w:t>
      </w:r>
      <w:r w:rsidRPr="00EF4A08">
        <w:rPr>
          <w:rFonts w:cs="Arial"/>
          <w:sz w:val="16"/>
          <w:szCs w:val="16"/>
          <w:rtl/>
        </w:rPr>
        <w:t xml:space="preserve"> מב</w:t>
      </w:r>
      <w:r w:rsidRPr="00EF4A08">
        <w:rPr>
          <w:rFonts w:cs="Arial" w:hint="cs"/>
          <w:sz w:val="16"/>
          <w:szCs w:val="16"/>
          <w:rtl/>
        </w:rPr>
        <w:t>)</w:t>
      </w:r>
      <w:r w:rsidRPr="00EF4A08">
        <w:rPr>
          <w:rFonts w:cs="Arial" w:hint="cs"/>
          <w:rtl/>
        </w:rPr>
        <w:t>-</w:t>
      </w:r>
      <w:r w:rsidRPr="00EF4A08">
        <w:rPr>
          <w:rFonts w:cs="Arial"/>
          <w:rtl/>
        </w:rPr>
        <w:t xml:space="preserve"> </w:t>
      </w:r>
      <w:r w:rsidR="00D214EA" w:rsidRPr="00D214EA">
        <w:rPr>
          <w:rFonts w:cs="Arial"/>
          <w:rtl/>
        </w:rPr>
        <w:t>שאלה</w:t>
      </w:r>
      <w:r w:rsidR="00D214EA">
        <w:rPr>
          <w:rFonts w:cs="Arial" w:hint="cs"/>
          <w:rtl/>
        </w:rPr>
        <w:t>,</w:t>
      </w:r>
      <w:r w:rsidR="00D214EA" w:rsidRPr="00D214EA">
        <w:rPr>
          <w:rFonts w:cs="Arial"/>
          <w:rtl/>
        </w:rPr>
        <w:t xml:space="preserve"> הא דאמרינן שתה רביעית יין אל יורה</w:t>
      </w:r>
      <w:r w:rsidR="00155019">
        <w:rPr>
          <w:rFonts w:cs="Arial" w:hint="cs"/>
          <w:sz w:val="16"/>
          <w:szCs w:val="16"/>
          <w:rtl/>
        </w:rPr>
        <w:t xml:space="preserve"> {באיסור והיתר}</w:t>
      </w:r>
      <w:r w:rsidR="00D214EA" w:rsidRPr="00D214EA">
        <w:rPr>
          <w:rFonts w:cs="Arial"/>
          <w:rtl/>
        </w:rPr>
        <w:t>, אי נוהג דין זה אף ביינות שלנו או לאו? תשובה</w:t>
      </w:r>
      <w:r w:rsidR="00D214EA">
        <w:rPr>
          <w:rFonts w:cs="Arial" w:hint="cs"/>
          <w:rtl/>
        </w:rPr>
        <w:t>,</w:t>
      </w:r>
      <w:r w:rsidR="00D214EA" w:rsidRPr="00D214EA">
        <w:rPr>
          <w:rFonts w:cs="Arial"/>
          <w:rtl/>
        </w:rPr>
        <w:t xml:space="preserve"> יראה דלפי משמעות התלמוד, היה נראה דיש לחלק בין יינות שלנו, ליינות שלהם, שהיו חזקים הרבה ומשכרין</w:t>
      </w:r>
      <w:r w:rsidR="00D214EA">
        <w:rPr>
          <w:rFonts w:cs="Arial" w:hint="cs"/>
          <w:rtl/>
        </w:rPr>
        <w:t>..</w:t>
      </w:r>
      <w:r w:rsidR="00D214EA" w:rsidRPr="00D214EA">
        <w:rPr>
          <w:rFonts w:cs="Arial"/>
          <w:rtl/>
        </w:rPr>
        <w:t xml:space="preserve">. אך קשה לי דא"כ, סמ"ג וסמ"ק ואשירי דכתבו פסק זה, דשתה רביעית יין אל יורה בסתם, ולא חלקו ביינות, וכי לא כתבוהו לצורך זמנינו וארצותינו, שאין בהם יינות חזקים כ"כ ואפשר דמש"ה לא חלקו לפי שלא ידעו שיעור בדבר ביינות שלנו, דהא פשיטא דאם ישתה ממנו הרבה דמשכר ליה. ולפי שלא ידעו לתת שיעור בדבר כמה ישתה, ויהיה אסור להורות, סתמו דבריהם. אבל לעולם י"ל דברביעית שהוא מועט, </w:t>
      </w:r>
      <w:r w:rsidR="00D214EA" w:rsidRPr="00D214EA">
        <w:rPr>
          <w:rFonts w:cs="Arial"/>
          <w:rtl/>
        </w:rPr>
        <w:lastRenderedPageBreak/>
        <w:t xml:space="preserve">אין לאסור ביינות שלנו. מ"מ נראה דצריך ליזהר מאד בדבר, דמשמע בפ' אמרו לו </w:t>
      </w:r>
      <w:r w:rsidR="00D214EA" w:rsidRPr="00155019">
        <w:rPr>
          <w:rFonts w:cs="Arial" w:hint="cs"/>
          <w:sz w:val="16"/>
          <w:szCs w:val="16"/>
          <w:rtl/>
        </w:rPr>
        <w:t>(</w:t>
      </w:r>
      <w:r w:rsidR="00D214EA" w:rsidRPr="00155019">
        <w:rPr>
          <w:rFonts w:cs="Arial"/>
          <w:sz w:val="16"/>
          <w:szCs w:val="16"/>
          <w:rtl/>
        </w:rPr>
        <w:t>כריתות יג</w:t>
      </w:r>
      <w:r w:rsidR="00D214EA" w:rsidRPr="00155019">
        <w:rPr>
          <w:rFonts w:cs="Arial" w:hint="cs"/>
          <w:sz w:val="16"/>
          <w:szCs w:val="16"/>
          <w:rtl/>
        </w:rPr>
        <w:t>:)</w:t>
      </w:r>
      <w:r w:rsidR="00D214EA" w:rsidRPr="00155019">
        <w:rPr>
          <w:rFonts w:cs="Arial"/>
          <w:sz w:val="16"/>
          <w:szCs w:val="16"/>
          <w:rtl/>
        </w:rPr>
        <w:t xml:space="preserve"> </w:t>
      </w:r>
      <w:r w:rsidR="00D214EA" w:rsidRPr="00D214EA">
        <w:rPr>
          <w:rFonts w:cs="Arial"/>
          <w:rtl/>
        </w:rPr>
        <w:t xml:space="preserve">דכל מידי דלאו זיל קרי בי רב הוא, כגון שרץ טמא וצפרדע טהור, שתויי יין אסורין להורות בו, וא"כ אפי' נטל"פ ובטל בס' דכתבו דמותר להורות בהן לפני רבו </w:t>
      </w:r>
      <w:r w:rsidR="00D214EA">
        <w:rPr>
          <w:rFonts w:cs="Arial" w:hint="cs"/>
          <w:rtl/>
        </w:rPr>
        <w:t xml:space="preserve">- </w:t>
      </w:r>
      <w:r w:rsidR="00D214EA" w:rsidRPr="00D214EA">
        <w:rPr>
          <w:rFonts w:cs="Arial"/>
          <w:rtl/>
        </w:rPr>
        <w:t>שתויי יין אסורים בהן, דהא לאו זיל קרי בי רב הוא. וכ"כ הרמב"ם בספר עבודה, דאסור להורות בשכרות אלא בדבר שהצדוקים מודים בו, והנה ודאי דצדוקים לא מודים בהו, וצ"ע בפ' אמרו לו</w:t>
      </w:r>
      <w:r w:rsidR="00D214EA">
        <w:rPr>
          <w:rFonts w:cs="Arial" w:hint="cs"/>
          <w:rtl/>
        </w:rPr>
        <w:t>.</w:t>
      </w:r>
      <w:r w:rsidR="00D214EA" w:rsidRPr="00D214EA">
        <w:rPr>
          <w:rFonts w:cs="Arial"/>
          <w:rtl/>
        </w:rPr>
        <w:t xml:space="preserve"> אמנם כתבו התוס' משאנ"ץ סוף פ' היו בודקין בסנהדרין </w:t>
      </w:r>
      <w:r w:rsidR="00D214EA" w:rsidRPr="00155019">
        <w:rPr>
          <w:rFonts w:cs="Arial" w:hint="cs"/>
          <w:sz w:val="16"/>
          <w:szCs w:val="16"/>
          <w:rtl/>
        </w:rPr>
        <w:t>(</w:t>
      </w:r>
      <w:r w:rsidR="00D214EA" w:rsidRPr="00155019">
        <w:rPr>
          <w:rFonts w:cs="Arial"/>
          <w:sz w:val="16"/>
          <w:szCs w:val="16"/>
          <w:rtl/>
        </w:rPr>
        <w:t>מב</w:t>
      </w:r>
      <w:r w:rsidR="00D214EA" w:rsidRPr="00155019">
        <w:rPr>
          <w:rFonts w:cs="Arial" w:hint="cs"/>
          <w:sz w:val="16"/>
          <w:szCs w:val="16"/>
          <w:rtl/>
        </w:rPr>
        <w:t>.)</w:t>
      </w:r>
      <w:r w:rsidR="00D214EA" w:rsidRPr="00155019">
        <w:rPr>
          <w:rFonts w:cs="Arial"/>
          <w:sz w:val="16"/>
          <w:szCs w:val="16"/>
          <w:rtl/>
        </w:rPr>
        <w:t xml:space="preserve"> </w:t>
      </w:r>
      <w:r w:rsidR="00D214EA" w:rsidRPr="00D214EA">
        <w:rPr>
          <w:rFonts w:cs="Arial"/>
          <w:rtl/>
        </w:rPr>
        <w:t>דשתויי יין מותרים לדון דיני ממונות ע"ש</w:t>
      </w:r>
      <w:r w:rsidR="00D214EA">
        <w:rPr>
          <w:rFonts w:cs="Arial" w:hint="cs"/>
          <w:rtl/>
        </w:rPr>
        <w:t>.</w:t>
      </w:r>
      <w:r w:rsidR="00D214EA" w:rsidRPr="00D214EA">
        <w:rPr>
          <w:rFonts w:cs="Arial"/>
          <w:rtl/>
        </w:rPr>
        <w:t xml:space="preserve"> הנראה לע"ד כתבתי</w:t>
      </w:r>
      <w:r w:rsidR="00D214EA">
        <w:rPr>
          <w:rStyle w:val="ab"/>
          <w:rFonts w:cs="Arial"/>
          <w:rtl/>
        </w:rPr>
        <w:footnoteReference w:id="335"/>
      </w:r>
      <w:r w:rsidR="000D1CD0" w:rsidRPr="00155019">
        <w:rPr>
          <w:rFonts w:cs="Arial" w:hint="cs"/>
          <w:rtl/>
        </w:rPr>
        <w:t>.</w:t>
      </w:r>
    </w:p>
    <w:p w14:paraId="251DB797" w14:textId="77777777" w:rsidR="004A326E" w:rsidRPr="006F68E7" w:rsidRDefault="004A326E" w:rsidP="004A326E">
      <w:pPr>
        <w:ind w:left="360"/>
        <w:rPr>
          <w:rFonts w:cs="Arial"/>
          <w:u w:val="dotted"/>
        </w:rPr>
      </w:pPr>
      <w:r w:rsidRPr="00E6631E">
        <w:rPr>
          <w:rFonts w:cs="Arial" w:hint="cs"/>
          <w:u w:val="dotted"/>
          <w:rtl/>
        </w:rPr>
        <w:t xml:space="preserve">עד מתי אסור </w:t>
      </w:r>
      <w:r w:rsidR="00155019" w:rsidRPr="00155019">
        <w:rPr>
          <w:rFonts w:cs="Arial" w:hint="cs"/>
          <w:b/>
          <w:bCs/>
          <w:u w:val="dotted"/>
          <w:rtl/>
        </w:rPr>
        <w:t>להורות</w:t>
      </w:r>
      <w:r>
        <w:rPr>
          <w:rFonts w:cs="Arial" w:hint="cs"/>
          <w:u w:val="dotted"/>
          <w:rtl/>
        </w:rPr>
        <w:t xml:space="preserve"> </w:t>
      </w:r>
      <w:r w:rsidR="004A452F">
        <w:rPr>
          <w:rFonts w:cs="Arial" w:hint="cs"/>
          <w:sz w:val="16"/>
          <w:szCs w:val="16"/>
          <w:u w:val="dotted"/>
          <w:rtl/>
        </w:rPr>
        <w:t xml:space="preserve">{באיסור והיתר} </w:t>
      </w:r>
      <w:r>
        <w:rPr>
          <w:rFonts w:cs="Arial" w:hint="cs"/>
          <w:u w:val="dotted"/>
          <w:rtl/>
        </w:rPr>
        <w:t>לאחר ששתה</w:t>
      </w:r>
      <w:r w:rsidRPr="00E6631E">
        <w:rPr>
          <w:rFonts w:cs="Arial" w:hint="cs"/>
          <w:u w:val="dotted"/>
          <w:rtl/>
        </w:rPr>
        <w:t>:</w:t>
      </w:r>
    </w:p>
    <w:p w14:paraId="0018DD32" w14:textId="77777777" w:rsidR="004A326E" w:rsidRPr="006F68E7" w:rsidRDefault="004A326E" w:rsidP="004B0475">
      <w:pPr>
        <w:pStyle w:val="ac"/>
        <w:numPr>
          <w:ilvl w:val="0"/>
          <w:numId w:val="58"/>
        </w:numPr>
        <w:rPr>
          <w:rFonts w:cs="Arial"/>
          <w:rtl/>
        </w:rPr>
      </w:pPr>
      <w:r w:rsidRPr="00E6631E">
        <w:rPr>
          <w:rFonts w:cs="Arial"/>
          <w:rtl/>
        </w:rPr>
        <w:t xml:space="preserve">רשב"א </w:t>
      </w:r>
      <w:r w:rsidRPr="00E6631E">
        <w:rPr>
          <w:rFonts w:cs="Arial"/>
          <w:sz w:val="16"/>
          <w:szCs w:val="16"/>
          <w:rtl/>
        </w:rPr>
        <w:t>(ח"א סי</w:t>
      </w:r>
      <w:r w:rsidRPr="00E6631E">
        <w:rPr>
          <w:rFonts w:cs="Arial" w:hint="cs"/>
          <w:sz w:val="16"/>
          <w:szCs w:val="16"/>
          <w:rtl/>
        </w:rPr>
        <w:t>'</w:t>
      </w:r>
      <w:r w:rsidRPr="00E6631E">
        <w:rPr>
          <w:rFonts w:cs="Arial"/>
          <w:sz w:val="16"/>
          <w:szCs w:val="16"/>
          <w:rtl/>
        </w:rPr>
        <w:t xml:space="preserve"> רמז</w:t>
      </w:r>
      <w:r w:rsidRPr="00E6631E">
        <w:rPr>
          <w:rFonts w:cs="Arial" w:hint="cs"/>
          <w:sz w:val="16"/>
          <w:szCs w:val="16"/>
          <w:rtl/>
        </w:rPr>
        <w:t>)</w:t>
      </w:r>
      <w:r>
        <w:rPr>
          <w:rFonts w:cs="Arial" w:hint="cs"/>
          <w:rtl/>
        </w:rPr>
        <w:t xml:space="preserve">- </w:t>
      </w:r>
      <w:r w:rsidRPr="006F68E7">
        <w:rPr>
          <w:rFonts w:cs="Arial"/>
          <w:rtl/>
        </w:rPr>
        <w:t>מדאמרינן בביצה דרב לא מוקי אמורא מיומא טבא לחבריה. ואמרינן נמי זיל האידנא ותא למחר משמע דכל היום אסור. ויש לומר דלא אמרו אלא ביום טוב דמרבין בשתיה. והיינו דקאמר דלא מוקי אמורא מיומא טבא לחבריה. ומשמע דוקא מיומא טבא לחבריה דהא בשאר יומי מוקי.</w:t>
      </w:r>
      <w:r>
        <w:rPr>
          <w:rFonts w:cs="Arial" w:hint="cs"/>
          <w:rtl/>
        </w:rPr>
        <w:t xml:space="preserve">.. </w:t>
      </w:r>
      <w:r w:rsidRPr="006F68E7">
        <w:rPr>
          <w:rFonts w:cs="Arial"/>
          <w:rtl/>
        </w:rPr>
        <w:t>ומ</w:t>
      </w:r>
      <w:r>
        <w:rPr>
          <w:rFonts w:cs="Arial" w:hint="cs"/>
          <w:rtl/>
        </w:rPr>
        <w:t>"מ</w:t>
      </w:r>
      <w:r w:rsidRPr="006F68E7">
        <w:rPr>
          <w:rFonts w:cs="Arial"/>
          <w:rtl/>
        </w:rPr>
        <w:t xml:space="preserve"> איכא למשמע מיהא דאילו נתן דעתו כבר על הלכה ועל פסק הדבר בין להתיר בין לאסור שמותר להורות ואפילו מיד שאכל ושתה ואפילו סעודה גדולה כיום טוב</w:t>
      </w:r>
      <w:r>
        <w:rPr>
          <w:rStyle w:val="ab"/>
          <w:rFonts w:cs="Arial"/>
          <w:rtl/>
        </w:rPr>
        <w:footnoteReference w:id="336"/>
      </w:r>
      <w:r>
        <w:rPr>
          <w:rFonts w:cs="Arial" w:hint="cs"/>
          <w:rtl/>
        </w:rPr>
        <w:t>.</w:t>
      </w:r>
    </w:p>
    <w:p w14:paraId="54EA89A0" w14:textId="77777777" w:rsidR="004A326E" w:rsidRDefault="004A326E" w:rsidP="004A326E">
      <w:pPr>
        <w:rPr>
          <w:rFonts w:cs="Arial"/>
          <w:rtl/>
        </w:rPr>
      </w:pPr>
      <w:r w:rsidRPr="004858A5">
        <w:rPr>
          <w:rFonts w:cs="Arial" w:hint="cs"/>
          <w:u w:val="single"/>
          <w:rtl/>
        </w:rPr>
        <w:t xml:space="preserve">דיין שצוה </w:t>
      </w:r>
      <w:r w:rsidR="009C724B" w:rsidRPr="009C724B">
        <w:rPr>
          <w:rFonts w:cs="Arial" w:hint="cs"/>
          <w:b/>
          <w:bCs/>
          <w:u w:val="single"/>
          <w:rtl/>
        </w:rPr>
        <w:t>שלא כדין</w:t>
      </w:r>
      <w:r w:rsidR="009C724B">
        <w:rPr>
          <w:rFonts w:cs="Arial" w:hint="cs"/>
          <w:u w:val="single"/>
          <w:rtl/>
        </w:rPr>
        <w:t xml:space="preserve"> לשני אנשים </w:t>
      </w:r>
      <w:r w:rsidRPr="004858A5">
        <w:rPr>
          <w:rFonts w:cs="Arial" w:hint="cs"/>
          <w:u w:val="single"/>
          <w:rtl/>
        </w:rPr>
        <w:t>ל</w:t>
      </w:r>
      <w:r w:rsidR="0079576E">
        <w:rPr>
          <w:rFonts w:cs="Arial" w:hint="cs"/>
          <w:u w:val="single"/>
          <w:rtl/>
        </w:rPr>
        <w:t>הכות יהודי מכ</w:t>
      </w:r>
      <w:r w:rsidR="007804C8">
        <w:rPr>
          <w:rFonts w:cs="Arial" w:hint="cs"/>
          <w:u w:val="single"/>
          <w:rtl/>
        </w:rPr>
        <w:t>ו</w:t>
      </w:r>
      <w:r w:rsidR="0079576E">
        <w:rPr>
          <w:rFonts w:cs="Arial" w:hint="cs"/>
          <w:u w:val="single"/>
          <w:rtl/>
        </w:rPr>
        <w:t xml:space="preserve">ת </w:t>
      </w:r>
      <w:r w:rsidR="009C724B">
        <w:rPr>
          <w:rFonts w:cs="Arial" w:hint="cs"/>
          <w:u w:val="single"/>
          <w:rtl/>
        </w:rPr>
        <w:t>עד שי</w:t>
      </w:r>
      <w:r w:rsidR="0079576E">
        <w:rPr>
          <w:rFonts w:cs="Arial" w:hint="cs"/>
          <w:u w:val="single"/>
          <w:rtl/>
        </w:rPr>
        <w:t>מות</w:t>
      </w:r>
      <w:r w:rsidR="009C724B">
        <w:rPr>
          <w:rFonts w:cs="Arial" w:hint="cs"/>
          <w:u w:val="single"/>
          <w:rtl/>
        </w:rPr>
        <w:t>:</w:t>
      </w:r>
    </w:p>
    <w:p w14:paraId="44AE9D63" w14:textId="77777777" w:rsidR="004A326E" w:rsidRPr="004858A5" w:rsidRDefault="004A326E" w:rsidP="004B0475">
      <w:pPr>
        <w:pStyle w:val="ac"/>
        <w:numPr>
          <w:ilvl w:val="0"/>
          <w:numId w:val="58"/>
        </w:numPr>
        <w:rPr>
          <w:rFonts w:cs="Arial"/>
          <w:rtl/>
        </w:rPr>
      </w:pPr>
      <w:r w:rsidRPr="004858A5">
        <w:rPr>
          <w:rFonts w:cs="Arial"/>
          <w:rtl/>
        </w:rPr>
        <w:t>ריב"ש</w:t>
      </w:r>
      <w:r w:rsidRPr="004858A5">
        <w:rPr>
          <w:rFonts w:cs="Arial" w:hint="cs"/>
          <w:rtl/>
        </w:rPr>
        <w:t xml:space="preserve"> </w:t>
      </w:r>
      <w:r w:rsidRPr="004858A5">
        <w:rPr>
          <w:rFonts w:cs="Arial" w:hint="cs"/>
          <w:sz w:val="16"/>
          <w:szCs w:val="16"/>
          <w:rtl/>
        </w:rPr>
        <w:t>(ס</w:t>
      </w:r>
      <w:r w:rsidRPr="004858A5">
        <w:rPr>
          <w:rFonts w:cs="Arial"/>
          <w:sz w:val="16"/>
          <w:szCs w:val="16"/>
          <w:rtl/>
        </w:rPr>
        <w:t>י</w:t>
      </w:r>
      <w:r w:rsidRPr="004858A5">
        <w:rPr>
          <w:rFonts w:cs="Arial" w:hint="cs"/>
          <w:sz w:val="16"/>
          <w:szCs w:val="16"/>
          <w:rtl/>
        </w:rPr>
        <w:t>'</w:t>
      </w:r>
      <w:r w:rsidRPr="004858A5">
        <w:rPr>
          <w:rFonts w:cs="Arial"/>
          <w:sz w:val="16"/>
          <w:szCs w:val="16"/>
          <w:rtl/>
        </w:rPr>
        <w:t xml:space="preserve"> רנא</w:t>
      </w:r>
      <w:r w:rsidRPr="004858A5">
        <w:rPr>
          <w:rFonts w:cs="Arial" w:hint="cs"/>
          <w:sz w:val="16"/>
          <w:szCs w:val="16"/>
          <w:rtl/>
        </w:rPr>
        <w:t>)</w:t>
      </w:r>
      <w:r w:rsidRPr="004858A5">
        <w:rPr>
          <w:rFonts w:cs="Arial" w:hint="cs"/>
          <w:rtl/>
        </w:rPr>
        <w:t>-</w:t>
      </w:r>
      <w:r w:rsidRPr="004858A5">
        <w:rPr>
          <w:rFonts w:cs="Arial"/>
          <w:rtl/>
        </w:rPr>
        <w:t xml:space="preserve"> דיין שהעיז פניו לומר שהוא צוה להכות יהודי אחד מכת מות</w:t>
      </w:r>
      <w:r w:rsidRPr="004858A5">
        <w:rPr>
          <w:rFonts w:cs="Arial" w:hint="cs"/>
          <w:rtl/>
        </w:rPr>
        <w:t>,</w:t>
      </w:r>
      <w:r w:rsidRPr="004858A5">
        <w:rPr>
          <w:rFonts w:cs="Arial"/>
          <w:rtl/>
        </w:rPr>
        <w:t xml:space="preserve"> מלבד מה שתיסרהו לדיין הזה על רעתו הן לעונש נכסים ולאסורין כו' ראוי מלבד זה להורידו מגדולתו ולעקור אשרה הנטועה אצל מזבח ושלעולם לא יתמנה בשום שררה על הצבור.</w:t>
      </w:r>
    </w:p>
    <w:p w14:paraId="79D8B368" w14:textId="77777777" w:rsidR="004A326E" w:rsidRPr="00B276F7" w:rsidRDefault="004A326E" w:rsidP="00B276F7">
      <w:pPr>
        <w:rPr>
          <w:rFonts w:cs="Arial"/>
          <w:sz w:val="16"/>
          <w:szCs w:val="16"/>
          <w:rtl/>
        </w:rPr>
      </w:pPr>
      <w:r>
        <w:rPr>
          <w:rFonts w:cs="Arial" w:hint="cs"/>
          <w:b/>
          <w:bCs/>
          <w:rtl/>
        </w:rPr>
        <w:t xml:space="preserve">כתובות </w:t>
      </w:r>
      <w:r>
        <w:rPr>
          <w:rFonts w:cs="Arial" w:hint="cs"/>
          <w:b/>
          <w:bCs/>
          <w:sz w:val="16"/>
          <w:szCs w:val="16"/>
          <w:rtl/>
        </w:rPr>
        <w:t xml:space="preserve">(פ' האשה שנתארמלה [פ"ב]) </w:t>
      </w:r>
      <w:r>
        <w:rPr>
          <w:rFonts w:cs="Arial" w:hint="cs"/>
          <w:b/>
          <w:bCs/>
          <w:rtl/>
        </w:rPr>
        <w:t>כא</w:t>
      </w:r>
      <w:r w:rsidR="007C5546">
        <w:rPr>
          <w:rStyle w:val="ab"/>
          <w:rFonts w:cs="Arial"/>
          <w:b/>
          <w:bCs/>
          <w:rtl/>
        </w:rPr>
        <w:footnoteReference w:id="337"/>
      </w:r>
      <w:r>
        <w:rPr>
          <w:rFonts w:cs="Arial" w:hint="cs"/>
          <w:b/>
          <w:bCs/>
          <w:rtl/>
        </w:rPr>
        <w:t xml:space="preserve"> ע"ב: </w:t>
      </w:r>
      <w:r w:rsidRPr="00B1459F">
        <w:rPr>
          <w:rFonts w:cs="Arial"/>
          <w:u w:val="single"/>
          <w:rtl/>
        </w:rPr>
        <w:t>אמר רב ספרא אמר רבי אבא אמר רב יצחק בר שמואל בר מרתא אמר רב הונא</w:t>
      </w:r>
      <w:r w:rsidRPr="00B1459F">
        <w:rPr>
          <w:rFonts w:cs="Arial"/>
          <w:rtl/>
        </w:rPr>
        <w:t xml:space="preserve">, </w:t>
      </w:r>
      <w:r w:rsidRPr="00B1459F">
        <w:rPr>
          <w:rFonts w:cs="Arial"/>
          <w:u w:val="single"/>
          <w:rtl/>
        </w:rPr>
        <w:t>ואמרי ליה אמר רב הונא אמר רב:</w:t>
      </w:r>
      <w:r w:rsidRPr="00B1459F">
        <w:rPr>
          <w:rFonts w:cs="Arial"/>
          <w:rtl/>
        </w:rPr>
        <w:t xml:space="preserve"> שלשה שישבו לקיים את השטר, שנים מכירין חתימות ידי עדים ואחד אינו מכיר</w:t>
      </w:r>
      <w:r>
        <w:rPr>
          <w:rFonts w:cs="Arial" w:hint="cs"/>
          <w:rtl/>
        </w:rPr>
        <w:t xml:space="preserve">... </w:t>
      </w:r>
      <w:r w:rsidRPr="00B1459F">
        <w:rPr>
          <w:rFonts w:cs="Arial"/>
          <w:rtl/>
        </w:rPr>
        <w:t>עד שלא כתבו - מעידין בפניו וחותם, משכתבו - אין מעידין בפניו וחותם. ש"מ תלת: ש"מ עד נעשה דיין</w:t>
      </w:r>
      <w:r>
        <w:rPr>
          <w:rFonts w:cs="Arial" w:hint="cs"/>
          <w:rtl/>
        </w:rPr>
        <w:t>..</w:t>
      </w:r>
      <w:r w:rsidRPr="00B1459F">
        <w:rPr>
          <w:rFonts w:cs="Arial"/>
          <w:rtl/>
        </w:rPr>
        <w:t xml:space="preserve">. </w:t>
      </w:r>
      <w:r w:rsidRPr="00B1459F">
        <w:rPr>
          <w:rFonts w:cs="Arial"/>
          <w:u w:val="single"/>
          <w:rtl/>
        </w:rPr>
        <w:t>יתיב ר' אבא</w:t>
      </w:r>
      <w:r w:rsidRPr="00B1459F">
        <w:rPr>
          <w:rFonts w:cs="Arial"/>
          <w:rtl/>
        </w:rPr>
        <w:t xml:space="preserve"> וקאמר לה להא שמעתא דעד נעשה דיין. </w:t>
      </w:r>
      <w:r w:rsidRPr="00B1459F">
        <w:rPr>
          <w:rFonts w:cs="Arial"/>
          <w:u w:val="single"/>
          <w:rtl/>
        </w:rPr>
        <w:t>איתיביה רב ספרא לרבי אבא</w:t>
      </w:r>
      <w:r w:rsidRPr="00B1459F">
        <w:rPr>
          <w:rFonts w:cs="Arial"/>
          <w:rtl/>
        </w:rPr>
        <w:t>: ראוהו שלשה והן בית דין יעמדו שנים</w:t>
      </w:r>
      <w:r>
        <w:rPr>
          <w:rStyle w:val="ab"/>
          <w:rFonts w:cs="Arial"/>
          <w:rtl/>
        </w:rPr>
        <w:footnoteReference w:id="338"/>
      </w:r>
      <w:r w:rsidRPr="00B1459F">
        <w:rPr>
          <w:rFonts w:cs="Arial"/>
          <w:rtl/>
        </w:rPr>
        <w:t xml:space="preserve"> ויושיבו מחבריהם אצל היחיד, ויעידו בפניהם ויאמרו: מקודש החדש, מקודש, שאין היחיד נאמן על ידי עצמו; ואי סלקא דעתך דעד נעשה דיין, למה לי כולי האי? ליתבו בדוכתייהו וליקדשי! </w:t>
      </w:r>
      <w:r w:rsidRPr="00B1459F">
        <w:rPr>
          <w:rFonts w:cs="Arial"/>
          <w:u w:val="single"/>
          <w:rtl/>
        </w:rPr>
        <w:t>אמר ליה</w:t>
      </w:r>
      <w:r w:rsidRPr="00B1459F">
        <w:rPr>
          <w:rFonts w:cs="Arial"/>
          <w:rtl/>
        </w:rPr>
        <w:t xml:space="preserve">: אף לדידי קשיא לי ושאילתיה לרב יצחק בר שמואל בר מרתא, ורב יצחק לרב הונא, ורב הונא לחייא בר רב, וחייא בר רב לרב, </w:t>
      </w:r>
      <w:r w:rsidRPr="004A452F">
        <w:rPr>
          <w:rFonts w:cs="Arial"/>
          <w:u w:val="single"/>
          <w:rtl/>
        </w:rPr>
        <w:t>ואמר להו</w:t>
      </w:r>
      <w:r w:rsidRPr="00B1459F">
        <w:rPr>
          <w:rFonts w:cs="Arial"/>
          <w:rtl/>
        </w:rPr>
        <w:t>: הנח לעדות החדש - דאוריית', וקיום שטרות - דרבנן.</w:t>
      </w:r>
      <w:r w:rsidRPr="00B83565">
        <w:rPr>
          <w:rFonts w:cs="Arial"/>
          <w:rtl/>
        </w:rPr>
        <w:t xml:space="preserve"> </w:t>
      </w:r>
    </w:p>
    <w:p w14:paraId="096791D3" w14:textId="77777777" w:rsidR="00157CA7" w:rsidRPr="00157CA7" w:rsidRDefault="00157CA7" w:rsidP="004A326E">
      <w:pPr>
        <w:rPr>
          <w:rFonts w:cs="Arial"/>
          <w:u w:val="single"/>
          <w:rtl/>
        </w:rPr>
      </w:pPr>
      <w:r w:rsidRPr="00157CA7">
        <w:rPr>
          <w:rFonts w:cs="Arial" w:hint="cs"/>
          <w:u w:val="single"/>
          <w:rtl/>
        </w:rPr>
        <w:t>עד נעשה דיין:</w:t>
      </w:r>
    </w:p>
    <w:p w14:paraId="6551F4A3" w14:textId="77777777" w:rsidR="00FC5FE1" w:rsidRPr="00FC5FE1" w:rsidRDefault="00FC5FE1" w:rsidP="004B0475">
      <w:pPr>
        <w:pStyle w:val="ac"/>
        <w:numPr>
          <w:ilvl w:val="0"/>
          <w:numId w:val="58"/>
        </w:numPr>
        <w:rPr>
          <w:rFonts w:cs="Arial"/>
          <w:rtl/>
        </w:rPr>
      </w:pPr>
      <w:r w:rsidRPr="00FC5FE1">
        <w:rPr>
          <w:rFonts w:cs="Arial" w:hint="cs"/>
          <w:rtl/>
        </w:rPr>
        <w:t>תוס'</w:t>
      </w:r>
      <w:r w:rsidR="00157CA7">
        <w:rPr>
          <w:rFonts w:cs="Arial" w:hint="cs"/>
          <w:rtl/>
        </w:rPr>
        <w:t xml:space="preserve"> רא"ש טור</w:t>
      </w:r>
      <w:r w:rsidR="00B276F7" w:rsidRPr="00B276F7">
        <w:rPr>
          <w:rStyle w:val="ab"/>
          <w:rFonts w:cs="Arial"/>
          <w:rtl/>
        </w:rPr>
        <w:footnoteReference w:id="339"/>
      </w:r>
      <w:r w:rsidR="00E01239">
        <w:rPr>
          <w:rFonts w:cs="Arial" w:hint="cs"/>
          <w:rtl/>
        </w:rPr>
        <w:t xml:space="preserve"> ר"ן ונמוק"י</w:t>
      </w:r>
      <w:r w:rsidR="00E01239">
        <w:rPr>
          <w:rStyle w:val="ab"/>
          <w:rFonts w:cs="Arial"/>
          <w:rtl/>
        </w:rPr>
        <w:footnoteReference w:id="340"/>
      </w:r>
      <w:r w:rsidRPr="00FC5FE1">
        <w:rPr>
          <w:rFonts w:cs="Arial" w:hint="cs"/>
          <w:rtl/>
        </w:rPr>
        <w:t xml:space="preserve">- </w:t>
      </w:r>
      <w:r w:rsidRPr="00FC5FE1">
        <w:rPr>
          <w:rFonts w:cs="Arial"/>
          <w:rtl/>
        </w:rPr>
        <w:t>בדא</w:t>
      </w:r>
      <w:r w:rsidRPr="00FC5FE1">
        <w:rPr>
          <w:rFonts w:cs="Arial" w:hint="cs"/>
          <w:rtl/>
        </w:rPr>
        <w:t>ו'</w:t>
      </w:r>
      <w:r w:rsidRPr="00FC5FE1">
        <w:rPr>
          <w:rFonts w:cs="Arial"/>
          <w:rtl/>
        </w:rPr>
        <w:t xml:space="preserve"> אין עד נעשה דיין</w:t>
      </w:r>
      <w:r>
        <w:rPr>
          <w:rStyle w:val="ab"/>
          <w:rFonts w:cs="Arial"/>
          <w:rtl/>
        </w:rPr>
        <w:footnoteReference w:id="341"/>
      </w:r>
      <w:r w:rsidRPr="00FC5FE1">
        <w:rPr>
          <w:rFonts w:cs="Arial" w:hint="cs"/>
          <w:rtl/>
        </w:rPr>
        <w:t>...</w:t>
      </w:r>
      <w:r w:rsidRPr="00FC5FE1">
        <w:rPr>
          <w:rFonts w:cs="Arial"/>
          <w:rtl/>
        </w:rPr>
        <w:t xml:space="preserve"> ודוקא בעד המעיד אמרינן דאין עד נעשה דיין</w:t>
      </w:r>
      <w:r w:rsidR="00157CA7">
        <w:rPr>
          <w:rStyle w:val="ab"/>
          <w:rFonts w:cs="Arial"/>
          <w:rtl/>
        </w:rPr>
        <w:footnoteReference w:id="342"/>
      </w:r>
      <w:r w:rsidR="00C73EB9">
        <w:rPr>
          <w:rFonts w:cs="Arial" w:hint="cs"/>
          <w:rtl/>
        </w:rPr>
        <w:t xml:space="preserve"> דשייכי הני טעמי.</w:t>
      </w:r>
      <w:r w:rsidRPr="00FC5FE1">
        <w:rPr>
          <w:rFonts w:cs="Arial"/>
          <w:rtl/>
        </w:rPr>
        <w:t xml:space="preserve"> אבל עד שאינו צריך להעיד</w:t>
      </w:r>
      <w:r w:rsidR="00C73EB9">
        <w:rPr>
          <w:rFonts w:cs="Arial" w:hint="cs"/>
          <w:rtl/>
        </w:rPr>
        <w:t>,</w:t>
      </w:r>
      <w:r w:rsidRPr="00FC5FE1">
        <w:rPr>
          <w:rFonts w:cs="Arial"/>
          <w:rtl/>
        </w:rPr>
        <w:t xml:space="preserve"> כגון שיש אחרים שיעידו</w:t>
      </w:r>
      <w:r w:rsidRPr="00FC5FE1">
        <w:rPr>
          <w:rFonts w:cs="Arial" w:hint="cs"/>
          <w:rtl/>
        </w:rPr>
        <w:t>,</w:t>
      </w:r>
      <w:r w:rsidRPr="00FC5FE1">
        <w:rPr>
          <w:rFonts w:cs="Arial"/>
          <w:rtl/>
        </w:rPr>
        <w:t xml:space="preserve"> או כגון שראוהו ביום שאינו צריך </w:t>
      </w:r>
      <w:r w:rsidRPr="00FC5FE1">
        <w:rPr>
          <w:rFonts w:cs="Arial"/>
          <w:rtl/>
        </w:rPr>
        <w:lastRenderedPageBreak/>
        <w:t>להעיד דלא תהא שמיעה גדולה מראיה</w:t>
      </w:r>
      <w:r w:rsidR="00B276F7">
        <w:rPr>
          <w:rStyle w:val="ab"/>
          <w:rFonts w:cs="Arial"/>
          <w:rtl/>
        </w:rPr>
        <w:footnoteReference w:id="343"/>
      </w:r>
      <w:r w:rsidRPr="00FC5FE1">
        <w:rPr>
          <w:rFonts w:cs="Arial" w:hint="cs"/>
          <w:rtl/>
        </w:rPr>
        <w:t xml:space="preserve"> -</w:t>
      </w:r>
      <w:r w:rsidRPr="00FC5FE1">
        <w:rPr>
          <w:rFonts w:cs="Arial"/>
          <w:rtl/>
        </w:rPr>
        <w:t xml:space="preserve"> נעשה דיין</w:t>
      </w:r>
      <w:r w:rsidR="00C73EB9">
        <w:rPr>
          <w:rFonts w:cs="Arial" w:hint="cs"/>
          <w:rtl/>
        </w:rPr>
        <w:t>..</w:t>
      </w:r>
      <w:r w:rsidRPr="00FC5FE1">
        <w:rPr>
          <w:rFonts w:cs="Arial" w:hint="cs"/>
          <w:rtl/>
        </w:rPr>
        <w:t>.</w:t>
      </w:r>
      <w:r w:rsidRPr="00FC5FE1">
        <w:rPr>
          <w:rFonts w:cs="Arial"/>
          <w:rtl/>
        </w:rPr>
        <w:t xml:space="preserve"> ודוקא בדאורייתא</w:t>
      </w:r>
      <w:r w:rsidRPr="00FC5FE1">
        <w:rPr>
          <w:rFonts w:cs="Arial" w:hint="cs"/>
          <w:rtl/>
        </w:rPr>
        <w:t>,</w:t>
      </w:r>
      <w:r w:rsidRPr="00FC5FE1">
        <w:rPr>
          <w:rFonts w:cs="Arial"/>
          <w:rtl/>
        </w:rPr>
        <w:t xml:space="preserve"> אבל בדרבנן </w:t>
      </w:r>
      <w:r w:rsidR="00C73EB9">
        <w:rPr>
          <w:rFonts w:cs="Arial" w:hint="cs"/>
          <w:rtl/>
        </w:rPr>
        <w:t xml:space="preserve">- </w:t>
      </w:r>
      <w:r w:rsidRPr="00FC5FE1">
        <w:rPr>
          <w:rFonts w:cs="Arial"/>
          <w:rtl/>
        </w:rPr>
        <w:t>אפילו עד המעיד נעשה דיין</w:t>
      </w:r>
      <w:r w:rsidR="00157CA7">
        <w:rPr>
          <w:rFonts w:cs="Arial" w:hint="cs"/>
          <w:sz w:val="16"/>
          <w:szCs w:val="16"/>
          <w:rtl/>
        </w:rPr>
        <w:t xml:space="preserve"> (ל' התוס')</w:t>
      </w:r>
      <w:r w:rsidR="00157CA7">
        <w:rPr>
          <w:rFonts w:cs="Arial" w:hint="cs"/>
          <w:rtl/>
        </w:rPr>
        <w:t>.</w:t>
      </w:r>
      <w:r w:rsidR="00287EF3">
        <w:rPr>
          <w:rFonts w:cs="Arial" w:hint="cs"/>
          <w:rtl/>
        </w:rPr>
        <w:t xml:space="preserve"> </w:t>
      </w:r>
      <w:r w:rsidR="00287EF3" w:rsidRPr="00287EF3">
        <w:rPr>
          <w:rFonts w:cs="Arial" w:hint="cs"/>
          <w:color w:val="E36C0A" w:themeColor="accent6" w:themeShade="BF"/>
          <w:rtl/>
        </w:rPr>
        <w:t>(וכ"פ בשו"ע)</w:t>
      </w:r>
      <w:r w:rsidR="00287EF3">
        <w:rPr>
          <w:rFonts w:cs="Arial" w:hint="cs"/>
          <w:rtl/>
        </w:rPr>
        <w:t xml:space="preserve"> </w:t>
      </w:r>
      <w:r w:rsidR="00287EF3" w:rsidRPr="00287EF3">
        <w:rPr>
          <w:rFonts w:cs="Arial" w:hint="cs"/>
          <w:color w:val="00B0F0"/>
          <w:rtl/>
        </w:rPr>
        <w:t>(וכ"פ הרמ"א)</w:t>
      </w:r>
    </w:p>
    <w:p w14:paraId="1422F8C5" w14:textId="77777777" w:rsidR="004A326E" w:rsidRDefault="004A326E" w:rsidP="004A326E">
      <w:pPr>
        <w:rPr>
          <w:rFonts w:cs="Arial"/>
          <w:rtl/>
        </w:rPr>
      </w:pPr>
      <w:r w:rsidRPr="005D3C2D">
        <w:rPr>
          <w:rFonts w:cs="Arial" w:hint="cs"/>
          <w:b/>
          <w:bCs/>
          <w:rtl/>
        </w:rPr>
        <w:t xml:space="preserve">בבא בתרא </w:t>
      </w:r>
      <w:r w:rsidRPr="005D3C2D">
        <w:rPr>
          <w:rFonts w:cs="Arial" w:hint="cs"/>
          <w:b/>
          <w:bCs/>
          <w:sz w:val="16"/>
          <w:szCs w:val="16"/>
          <w:rtl/>
        </w:rPr>
        <w:t>(</w:t>
      </w:r>
      <w:r w:rsidRPr="005D3C2D">
        <w:rPr>
          <w:rFonts w:cs="Arial"/>
          <w:b/>
          <w:bCs/>
          <w:sz w:val="16"/>
          <w:szCs w:val="16"/>
          <w:rtl/>
        </w:rPr>
        <w:t>פ</w:t>
      </w:r>
      <w:r w:rsidRPr="005D3C2D">
        <w:rPr>
          <w:rFonts w:cs="Arial" w:hint="cs"/>
          <w:b/>
          <w:bCs/>
          <w:sz w:val="16"/>
          <w:szCs w:val="16"/>
          <w:rtl/>
        </w:rPr>
        <w:t>'</w:t>
      </w:r>
      <w:r w:rsidRPr="005D3C2D">
        <w:rPr>
          <w:rFonts w:cs="Arial"/>
          <w:b/>
          <w:bCs/>
          <w:sz w:val="16"/>
          <w:szCs w:val="16"/>
          <w:rtl/>
        </w:rPr>
        <w:t xml:space="preserve"> יש נוחלין</w:t>
      </w:r>
      <w:r w:rsidRPr="005D3C2D">
        <w:rPr>
          <w:rFonts w:cs="Arial" w:hint="cs"/>
          <w:b/>
          <w:bCs/>
          <w:sz w:val="16"/>
          <w:szCs w:val="16"/>
          <w:rtl/>
        </w:rPr>
        <w:t>)</w:t>
      </w:r>
      <w:r w:rsidRPr="005D3C2D">
        <w:rPr>
          <w:rFonts w:cs="Arial"/>
          <w:b/>
          <w:bCs/>
          <w:sz w:val="16"/>
          <w:szCs w:val="16"/>
          <w:rtl/>
        </w:rPr>
        <w:t xml:space="preserve"> </w:t>
      </w:r>
      <w:r w:rsidRPr="005D3C2D">
        <w:rPr>
          <w:rFonts w:cs="Arial"/>
          <w:b/>
          <w:bCs/>
          <w:rtl/>
        </w:rPr>
        <w:t>קיג</w:t>
      </w:r>
      <w:r w:rsidR="000C2E60">
        <w:rPr>
          <w:rStyle w:val="ab"/>
          <w:rFonts w:cs="Arial"/>
          <w:b/>
          <w:bCs/>
          <w:rtl/>
        </w:rPr>
        <w:footnoteReference w:id="344"/>
      </w:r>
      <w:r w:rsidRPr="005D3C2D">
        <w:rPr>
          <w:rFonts w:cs="Arial" w:hint="cs"/>
          <w:b/>
          <w:bCs/>
          <w:rtl/>
        </w:rPr>
        <w:t xml:space="preserve"> ע"ב</w:t>
      </w:r>
      <w:r w:rsidRPr="005D3C2D">
        <w:rPr>
          <w:rFonts w:cs="Arial"/>
          <w:b/>
          <w:bCs/>
          <w:rtl/>
        </w:rPr>
        <w:t>:</w:t>
      </w:r>
      <w:r>
        <w:rPr>
          <w:rFonts w:cs="Arial"/>
          <w:rtl/>
        </w:rPr>
        <w:t xml:space="preserve"> </w:t>
      </w:r>
      <w:r w:rsidRPr="005D3C2D">
        <w:rPr>
          <w:rFonts w:cs="Arial"/>
          <w:u w:val="single"/>
          <w:rtl/>
        </w:rPr>
        <w:t>דאמר רב יהודה</w:t>
      </w:r>
      <w:r w:rsidRPr="005D3C2D">
        <w:rPr>
          <w:rFonts w:cs="Arial"/>
          <w:rtl/>
        </w:rPr>
        <w:t>: שלשה שנכנסו לבקר את החולה - רצו כותבין, רצו עושין דין, שנים - כותבין ואין עושין דין</w:t>
      </w:r>
      <w:r>
        <w:rPr>
          <w:rFonts w:cs="Arial" w:hint="cs"/>
          <w:rtl/>
        </w:rPr>
        <w:t>.</w:t>
      </w:r>
      <w:r w:rsidRPr="005D3C2D">
        <w:rPr>
          <w:rFonts w:cs="Arial"/>
          <w:rtl/>
        </w:rPr>
        <w:t xml:space="preserve"> </w:t>
      </w:r>
      <w:r w:rsidRPr="005D3C2D">
        <w:rPr>
          <w:rFonts w:cs="Arial"/>
          <w:u w:val="single"/>
          <w:rtl/>
        </w:rPr>
        <w:t>ואמר רב חסדא</w:t>
      </w:r>
      <w:r w:rsidRPr="005D3C2D">
        <w:rPr>
          <w:rFonts w:cs="Arial"/>
          <w:rtl/>
        </w:rPr>
        <w:t>: לא שנו אלא ביום,</w:t>
      </w:r>
      <w:r w:rsidR="000C2E60">
        <w:rPr>
          <w:rFonts w:cs="Arial" w:hint="cs"/>
          <w:sz w:val="14"/>
          <w:szCs w:val="14"/>
          <w:rtl/>
        </w:rPr>
        <w:t xml:space="preserve"> (קיד.)</w:t>
      </w:r>
      <w:r>
        <w:rPr>
          <w:rFonts w:cs="Arial" w:hint="cs"/>
          <w:rtl/>
        </w:rPr>
        <w:t xml:space="preserve"> </w:t>
      </w:r>
      <w:r w:rsidRPr="005D3C2D">
        <w:rPr>
          <w:rFonts w:cs="Arial"/>
          <w:rtl/>
        </w:rPr>
        <w:t>אבל בלילה</w:t>
      </w:r>
      <w:r>
        <w:rPr>
          <w:rStyle w:val="ab"/>
          <w:rFonts w:cs="Arial"/>
          <w:rtl/>
        </w:rPr>
        <w:footnoteReference w:id="345"/>
      </w:r>
      <w:r w:rsidRPr="005D3C2D">
        <w:rPr>
          <w:rFonts w:cs="Arial"/>
          <w:rtl/>
        </w:rPr>
        <w:t>, אפילו שלשה - כותבין ואין עושין דין</w:t>
      </w:r>
      <w:r>
        <w:rPr>
          <w:rStyle w:val="ab"/>
          <w:rFonts w:cs="Arial"/>
          <w:rtl/>
        </w:rPr>
        <w:footnoteReference w:id="346"/>
      </w:r>
      <w:r w:rsidRPr="005D3C2D">
        <w:rPr>
          <w:rFonts w:cs="Arial"/>
          <w:rtl/>
        </w:rPr>
        <w:t>, מאי טעמא? דהוו להו עדים, ואין עד נעשה דיין</w:t>
      </w:r>
      <w:r>
        <w:rPr>
          <w:rStyle w:val="ab"/>
          <w:rFonts w:cs="Arial"/>
          <w:rtl/>
        </w:rPr>
        <w:footnoteReference w:id="347"/>
      </w:r>
      <w:r w:rsidRPr="005D3C2D">
        <w:rPr>
          <w:rFonts w:cs="Arial"/>
          <w:rtl/>
        </w:rPr>
        <w:t>.</w:t>
      </w:r>
    </w:p>
    <w:p w14:paraId="1CAE5218" w14:textId="77777777" w:rsidR="004A326E" w:rsidRDefault="00A92110" w:rsidP="004A326E">
      <w:pPr>
        <w:rPr>
          <w:rFonts w:cs="Arial"/>
          <w:rtl/>
        </w:rPr>
      </w:pPr>
      <w:r>
        <w:rPr>
          <w:rFonts w:cs="Arial" w:hint="cs"/>
          <w:u w:val="single"/>
          <w:rtl/>
        </w:rPr>
        <w:t xml:space="preserve">דיין שראה את המעשה ונתכוון להעיד אבל לא העיד בפועל </w:t>
      </w:r>
      <w:r>
        <w:rPr>
          <w:rFonts w:cs="Arial"/>
          <w:u w:val="single"/>
          <w:rtl/>
        </w:rPr>
        <w:t>–</w:t>
      </w:r>
      <w:r>
        <w:rPr>
          <w:rFonts w:cs="Arial" w:hint="cs"/>
          <w:u w:val="single"/>
          <w:rtl/>
        </w:rPr>
        <w:t xml:space="preserve"> האם נפסל מלהיות דיין במעשה זה</w:t>
      </w:r>
      <w:r w:rsidR="004A326E" w:rsidRPr="00477E82">
        <w:rPr>
          <w:rFonts w:cs="Arial" w:hint="cs"/>
          <w:u w:val="single"/>
          <w:rtl/>
        </w:rPr>
        <w:t>:</w:t>
      </w:r>
    </w:p>
    <w:p w14:paraId="669022DB" w14:textId="77777777" w:rsidR="004A326E" w:rsidRPr="00EF1008" w:rsidRDefault="004A326E" w:rsidP="004B0475">
      <w:pPr>
        <w:pStyle w:val="ac"/>
        <w:numPr>
          <w:ilvl w:val="0"/>
          <w:numId w:val="58"/>
        </w:numPr>
        <w:rPr>
          <w:rFonts w:cs="Arial"/>
        </w:rPr>
      </w:pPr>
      <w:r w:rsidRPr="00477E82">
        <w:rPr>
          <w:rFonts w:cs="Arial"/>
          <w:rtl/>
        </w:rPr>
        <w:t xml:space="preserve">רשב"ם </w:t>
      </w:r>
      <w:r w:rsidRPr="00477E82">
        <w:rPr>
          <w:rFonts w:cs="Arial"/>
          <w:sz w:val="16"/>
          <w:szCs w:val="16"/>
          <w:rtl/>
        </w:rPr>
        <w:t>(ב"ב קיג: ד"ה ג' שנכנסו)</w:t>
      </w:r>
      <w:r w:rsidRPr="00EF1008">
        <w:rPr>
          <w:rFonts w:cs="Arial" w:hint="cs"/>
          <w:rtl/>
        </w:rPr>
        <w:t xml:space="preserve">- </w:t>
      </w:r>
      <w:r w:rsidRPr="00EF1008">
        <w:rPr>
          <w:rFonts w:cs="Arial"/>
          <w:rtl/>
        </w:rPr>
        <w:t>כל שנתכוון להעיד נעשה עד</w:t>
      </w:r>
      <w:r w:rsidR="00CD1276">
        <w:rPr>
          <w:rFonts w:cs="Arial" w:hint="cs"/>
          <w:rtl/>
        </w:rPr>
        <w:t>.</w:t>
      </w:r>
      <w:r w:rsidRPr="00EF1008">
        <w:rPr>
          <w:rFonts w:cs="Arial"/>
          <w:rtl/>
        </w:rPr>
        <w:t xml:space="preserve"> ואם פסול הוא</w:t>
      </w:r>
      <w:r w:rsidRPr="00EF1008">
        <w:rPr>
          <w:rFonts w:cs="Arial" w:hint="cs"/>
          <w:rtl/>
        </w:rPr>
        <w:t xml:space="preserve"> -</w:t>
      </w:r>
      <w:r w:rsidRPr="00EF1008">
        <w:rPr>
          <w:rFonts w:cs="Arial"/>
          <w:rtl/>
        </w:rPr>
        <w:t xml:space="preserve"> פוסל את חבירו לדידן דקיי</w:t>
      </w:r>
      <w:r w:rsidR="00E01239">
        <w:rPr>
          <w:rFonts w:cs="Arial" w:hint="cs"/>
          <w:rtl/>
        </w:rPr>
        <w:t>"</w:t>
      </w:r>
      <w:r w:rsidRPr="00EF1008">
        <w:rPr>
          <w:rFonts w:cs="Arial"/>
          <w:rtl/>
        </w:rPr>
        <w:t>ל כרבא דאמר התם</w:t>
      </w:r>
      <w:r w:rsidRPr="00EF1008">
        <w:rPr>
          <w:rFonts w:cs="Arial"/>
          <w:sz w:val="16"/>
          <w:szCs w:val="16"/>
          <w:rtl/>
        </w:rPr>
        <w:t xml:space="preserve"> (מכות ו.) </w:t>
      </w:r>
      <w:r w:rsidRPr="00EF1008">
        <w:rPr>
          <w:rFonts w:cs="Arial"/>
          <w:rtl/>
        </w:rPr>
        <w:t>שיילינן למיחזי אתיתו או לאסהודי אתיתו</w:t>
      </w:r>
      <w:r w:rsidR="00CD1276">
        <w:rPr>
          <w:rFonts w:cs="Arial" w:hint="cs"/>
          <w:rtl/>
        </w:rPr>
        <w:t>.</w:t>
      </w:r>
      <w:r w:rsidRPr="00EF1008">
        <w:rPr>
          <w:rFonts w:cs="Arial"/>
          <w:rtl/>
        </w:rPr>
        <w:t xml:space="preserve"> ואם כשר הוא </w:t>
      </w:r>
      <w:r w:rsidR="00150638">
        <w:rPr>
          <w:rFonts w:cs="Arial" w:hint="cs"/>
          <w:rtl/>
        </w:rPr>
        <w:t xml:space="preserve">- </w:t>
      </w:r>
      <w:r w:rsidRPr="00EF1008">
        <w:rPr>
          <w:rFonts w:cs="Arial"/>
          <w:rtl/>
        </w:rPr>
        <w:t>שוב אינו נעשה דיין</w:t>
      </w:r>
      <w:r w:rsidR="00CD1276">
        <w:rPr>
          <w:rFonts w:cs="Arial" w:hint="cs"/>
          <w:rtl/>
        </w:rPr>
        <w:t>,</w:t>
      </w:r>
      <w:r w:rsidRPr="00EF1008">
        <w:rPr>
          <w:rFonts w:cs="Arial"/>
          <w:rtl/>
        </w:rPr>
        <w:t xml:space="preserve"> ואפילו בשאחרים מעידים לפניו שכיון שנעשה מתחלה עד אין נעשה דיין</w:t>
      </w:r>
      <w:r w:rsidR="00944DF9">
        <w:rPr>
          <w:rFonts w:cs="Arial" w:hint="cs"/>
          <w:rtl/>
        </w:rPr>
        <w:t>.</w:t>
      </w:r>
      <w:r w:rsidRPr="00EF1008">
        <w:rPr>
          <w:rFonts w:cs="Arial"/>
          <w:rtl/>
        </w:rPr>
        <w:t xml:space="preserve"> אבל כשראה בלילה אינו כן לפי שלא נעשה עד בידוע</w:t>
      </w:r>
      <w:r w:rsidRPr="00EF1008">
        <w:rPr>
          <w:rFonts w:cs="Arial" w:hint="cs"/>
          <w:rtl/>
        </w:rPr>
        <w:t>,</w:t>
      </w:r>
      <w:r w:rsidRPr="00EF1008">
        <w:rPr>
          <w:rFonts w:cs="Arial"/>
          <w:rtl/>
        </w:rPr>
        <w:t xml:space="preserve"> והדבר תלוי הוא</w:t>
      </w:r>
      <w:r w:rsidRPr="00EF1008">
        <w:rPr>
          <w:rFonts w:cs="Arial" w:hint="cs"/>
          <w:rtl/>
        </w:rPr>
        <w:t>,</w:t>
      </w:r>
      <w:r w:rsidRPr="00EF1008">
        <w:rPr>
          <w:rFonts w:cs="Arial"/>
          <w:rtl/>
        </w:rPr>
        <w:t xml:space="preserve"> אם צריך הוא לעדות עצמו </w:t>
      </w:r>
      <w:r w:rsidRPr="00EF1008">
        <w:rPr>
          <w:rFonts w:cs="Arial" w:hint="cs"/>
          <w:rtl/>
        </w:rPr>
        <w:t xml:space="preserve">- </w:t>
      </w:r>
      <w:r w:rsidRPr="00EF1008">
        <w:rPr>
          <w:rFonts w:cs="Arial"/>
          <w:rtl/>
        </w:rPr>
        <w:t>אינו יכול לדון לפי שנעשה עד ואין עד נעשה דיין</w:t>
      </w:r>
      <w:r w:rsidRPr="00EF1008">
        <w:rPr>
          <w:rFonts w:cs="Arial" w:hint="cs"/>
          <w:rtl/>
        </w:rPr>
        <w:t>,</w:t>
      </w:r>
      <w:r w:rsidRPr="00EF1008">
        <w:rPr>
          <w:rFonts w:cs="Arial"/>
          <w:rtl/>
        </w:rPr>
        <w:t xml:space="preserve"> ואם יש כאן עדות אחרים</w:t>
      </w:r>
      <w:r w:rsidRPr="00EF1008">
        <w:rPr>
          <w:rFonts w:cs="Arial" w:hint="cs"/>
          <w:rtl/>
        </w:rPr>
        <w:t xml:space="preserve"> -</w:t>
      </w:r>
      <w:r w:rsidRPr="00EF1008">
        <w:rPr>
          <w:rFonts w:cs="Arial"/>
          <w:rtl/>
        </w:rPr>
        <w:t xml:space="preserve"> לא נעשה עד מעולם ודן על פי עדותם</w:t>
      </w:r>
      <w:r w:rsidRPr="00EF1008">
        <w:rPr>
          <w:rFonts w:cs="Arial" w:hint="cs"/>
          <w:sz w:val="16"/>
          <w:szCs w:val="16"/>
          <w:rtl/>
        </w:rPr>
        <w:t xml:space="preserve"> (ל' הר"ן בשם הרשב"ם)</w:t>
      </w:r>
      <w:r>
        <w:rPr>
          <w:rStyle w:val="ab"/>
          <w:rFonts w:cs="Arial"/>
          <w:rtl/>
        </w:rPr>
        <w:footnoteReference w:id="348"/>
      </w:r>
      <w:r w:rsidRPr="00EF1008">
        <w:rPr>
          <w:rFonts w:cs="Arial" w:hint="cs"/>
          <w:rtl/>
        </w:rPr>
        <w:t>.</w:t>
      </w:r>
      <w:r w:rsidRPr="00EF1008">
        <w:rPr>
          <w:rFonts w:cs="Arial"/>
          <w:rtl/>
        </w:rPr>
        <w:t xml:space="preserve"> </w:t>
      </w:r>
    </w:p>
    <w:p w14:paraId="429617FB" w14:textId="77777777" w:rsidR="004A326E" w:rsidRPr="00EF1008" w:rsidRDefault="00944DF9" w:rsidP="004B0475">
      <w:pPr>
        <w:pStyle w:val="ac"/>
        <w:numPr>
          <w:ilvl w:val="0"/>
          <w:numId w:val="58"/>
        </w:numPr>
        <w:rPr>
          <w:rFonts w:cs="Arial"/>
        </w:rPr>
      </w:pPr>
      <w:r w:rsidRPr="00A1760F">
        <w:rPr>
          <w:rFonts w:cs="Arial"/>
          <w:rtl/>
        </w:rPr>
        <w:t xml:space="preserve">רמב"ן </w:t>
      </w:r>
      <w:r w:rsidRPr="00FD5100">
        <w:rPr>
          <w:rFonts w:cs="Arial"/>
          <w:sz w:val="16"/>
          <w:szCs w:val="16"/>
          <w:rtl/>
        </w:rPr>
        <w:t>(ב"ב קיג: ד"ה שלשה</w:t>
      </w:r>
      <w:r>
        <w:rPr>
          <w:rFonts w:cs="Arial" w:hint="cs"/>
          <w:sz w:val="16"/>
          <w:szCs w:val="16"/>
          <w:rtl/>
        </w:rPr>
        <w:t>, כ"כ הר"ן בשמו</w:t>
      </w:r>
      <w:r w:rsidRPr="00FD5100">
        <w:rPr>
          <w:rFonts w:cs="Arial"/>
          <w:sz w:val="16"/>
          <w:szCs w:val="16"/>
          <w:rtl/>
        </w:rPr>
        <w:t>)</w:t>
      </w:r>
      <w:r>
        <w:rPr>
          <w:rFonts w:cs="Arial" w:hint="cs"/>
          <w:rtl/>
        </w:rPr>
        <w:t xml:space="preserve"> ו</w:t>
      </w:r>
      <w:r w:rsidR="004A326E" w:rsidRPr="00A1760F">
        <w:rPr>
          <w:rFonts w:cs="Arial"/>
          <w:rtl/>
        </w:rPr>
        <w:t>ר"ן</w:t>
      </w:r>
      <w:r w:rsidR="004A326E">
        <w:rPr>
          <w:rFonts w:cs="Arial" w:hint="cs"/>
          <w:rtl/>
        </w:rPr>
        <w:t xml:space="preserve"> </w:t>
      </w:r>
      <w:r w:rsidR="004A326E" w:rsidRPr="00A1760F">
        <w:rPr>
          <w:rFonts w:cs="Arial" w:hint="cs"/>
          <w:sz w:val="16"/>
          <w:szCs w:val="16"/>
          <w:rtl/>
        </w:rPr>
        <w:t>(</w:t>
      </w:r>
      <w:r w:rsidR="004A326E" w:rsidRPr="00A1760F">
        <w:rPr>
          <w:rFonts w:cs="Arial"/>
          <w:sz w:val="16"/>
          <w:szCs w:val="16"/>
          <w:rtl/>
        </w:rPr>
        <w:t>פ</w:t>
      </w:r>
      <w:r w:rsidR="004A326E" w:rsidRPr="00A1760F">
        <w:rPr>
          <w:rFonts w:cs="Arial" w:hint="cs"/>
          <w:sz w:val="16"/>
          <w:szCs w:val="16"/>
          <w:rtl/>
        </w:rPr>
        <w:t>'</w:t>
      </w:r>
      <w:r w:rsidR="004A326E" w:rsidRPr="00A1760F">
        <w:rPr>
          <w:rFonts w:cs="Arial"/>
          <w:sz w:val="16"/>
          <w:szCs w:val="16"/>
          <w:rtl/>
        </w:rPr>
        <w:t xml:space="preserve"> יש נוחלין</w:t>
      </w:r>
      <w:r w:rsidR="004A326E" w:rsidRPr="00A1760F">
        <w:rPr>
          <w:rFonts w:cs="Arial" w:hint="cs"/>
          <w:sz w:val="16"/>
          <w:szCs w:val="16"/>
          <w:rtl/>
        </w:rPr>
        <w:t>,</w:t>
      </w:r>
      <w:r w:rsidR="004A326E">
        <w:rPr>
          <w:rFonts w:cs="Arial" w:hint="cs"/>
          <w:sz w:val="16"/>
          <w:szCs w:val="16"/>
          <w:rtl/>
        </w:rPr>
        <w:t xml:space="preserve"> </w:t>
      </w:r>
      <w:r w:rsidR="004A326E" w:rsidRPr="00A1760F">
        <w:rPr>
          <w:rFonts w:cs="Arial" w:hint="cs"/>
          <w:sz w:val="16"/>
          <w:szCs w:val="16"/>
          <w:rtl/>
        </w:rPr>
        <w:t>ב"ב,</w:t>
      </w:r>
      <w:r w:rsidR="004A326E">
        <w:rPr>
          <w:rFonts w:cs="Arial" w:hint="cs"/>
          <w:sz w:val="16"/>
          <w:szCs w:val="16"/>
          <w:rtl/>
        </w:rPr>
        <w:t xml:space="preserve"> </w:t>
      </w:r>
      <w:r w:rsidR="004A326E" w:rsidRPr="00A1760F">
        <w:rPr>
          <w:rFonts w:cs="Arial"/>
          <w:sz w:val="16"/>
          <w:szCs w:val="16"/>
          <w:rtl/>
        </w:rPr>
        <w:t>חי' קיג: ד"ה נמצאו)</w:t>
      </w:r>
      <w:r w:rsidR="004A326E">
        <w:rPr>
          <w:rFonts w:cs="Arial" w:hint="cs"/>
          <w:rtl/>
        </w:rPr>
        <w:t xml:space="preserve">- </w:t>
      </w:r>
      <w:r w:rsidR="004A326E">
        <w:rPr>
          <w:rStyle w:val="ab"/>
          <w:rFonts w:cs="Arial"/>
          <w:rtl/>
        </w:rPr>
        <w:footnoteReference w:id="349"/>
      </w:r>
      <w:r w:rsidR="004A326E" w:rsidRPr="00A1760F">
        <w:rPr>
          <w:rFonts w:cs="Arial"/>
          <w:rtl/>
        </w:rPr>
        <w:t>מחשבה בלבד אינה עושה אותו עד</w:t>
      </w:r>
      <w:r w:rsidR="004A326E">
        <w:rPr>
          <w:rFonts w:cs="Arial" w:hint="cs"/>
          <w:rtl/>
        </w:rPr>
        <w:t>,</w:t>
      </w:r>
      <w:r w:rsidR="004A326E" w:rsidRPr="00A1760F">
        <w:rPr>
          <w:rFonts w:cs="Arial"/>
          <w:rtl/>
        </w:rPr>
        <w:t xml:space="preserve"> לא לפסול את הכשרים ולא לפסול את עצמו בדיין. הוזמן להעיד</w:t>
      </w:r>
      <w:r w:rsidR="00CD1276">
        <w:rPr>
          <w:rFonts w:cs="Arial" w:hint="cs"/>
          <w:rtl/>
        </w:rPr>
        <w:t xml:space="preserve"> -</w:t>
      </w:r>
      <w:r w:rsidR="004A326E" w:rsidRPr="00A1760F">
        <w:rPr>
          <w:rFonts w:cs="Arial"/>
          <w:rtl/>
        </w:rPr>
        <w:t xml:space="preserve"> נעשה עד לפסול את חבירו אם הוא פסול ולפסול את עצמו לדין </w:t>
      </w:r>
      <w:r>
        <w:rPr>
          <w:rFonts w:cs="Arial" w:hint="cs"/>
          <w:sz w:val="16"/>
          <w:szCs w:val="16"/>
          <w:rtl/>
        </w:rPr>
        <w:t xml:space="preserve">{משום עד לא נעשה דיין} </w:t>
      </w:r>
      <w:r w:rsidR="004A326E" w:rsidRPr="00A1760F">
        <w:rPr>
          <w:rFonts w:cs="Arial"/>
          <w:rtl/>
        </w:rPr>
        <w:t>אפילו בעדות אחרים. ראה בלילה</w:t>
      </w:r>
      <w:r w:rsidR="00CD1276">
        <w:rPr>
          <w:rFonts w:cs="Arial" w:hint="cs"/>
          <w:rtl/>
        </w:rPr>
        <w:t xml:space="preserve">, </w:t>
      </w:r>
      <w:r w:rsidR="004A326E" w:rsidRPr="00A1760F">
        <w:rPr>
          <w:rFonts w:cs="Arial"/>
          <w:rtl/>
        </w:rPr>
        <w:t>על פי עצמו</w:t>
      </w:r>
      <w:r w:rsidR="00CD1276">
        <w:rPr>
          <w:rFonts w:cs="Arial" w:hint="cs"/>
          <w:rtl/>
        </w:rPr>
        <w:t xml:space="preserve"> - </w:t>
      </w:r>
      <w:r w:rsidR="004A326E" w:rsidRPr="00A1760F">
        <w:rPr>
          <w:rFonts w:cs="Arial"/>
          <w:rtl/>
        </w:rPr>
        <w:t>אינו דן</w:t>
      </w:r>
      <w:r w:rsidR="00CD1276">
        <w:rPr>
          <w:rFonts w:cs="Arial" w:hint="cs"/>
          <w:rtl/>
        </w:rPr>
        <w:t>,</w:t>
      </w:r>
      <w:r w:rsidR="004A326E" w:rsidRPr="00A1760F">
        <w:rPr>
          <w:rFonts w:cs="Arial"/>
          <w:rtl/>
        </w:rPr>
        <w:t xml:space="preserve"> אבל על פי עדות אחרים </w:t>
      </w:r>
      <w:r w:rsidR="00CD1276">
        <w:rPr>
          <w:rFonts w:cs="Arial" w:hint="cs"/>
          <w:rtl/>
        </w:rPr>
        <w:t xml:space="preserve">- </w:t>
      </w:r>
      <w:r w:rsidR="004A326E" w:rsidRPr="00A1760F">
        <w:rPr>
          <w:rFonts w:cs="Arial"/>
          <w:rtl/>
        </w:rPr>
        <w:t>נעשה דיין</w:t>
      </w:r>
      <w:r>
        <w:rPr>
          <w:rFonts w:cs="Arial" w:hint="cs"/>
          <w:sz w:val="16"/>
          <w:szCs w:val="16"/>
          <w:rtl/>
        </w:rPr>
        <w:t xml:space="preserve"> (ל' הר"ן)</w:t>
      </w:r>
      <w:r w:rsidR="004A326E" w:rsidRPr="00A1760F">
        <w:rPr>
          <w:rFonts w:cs="Arial"/>
          <w:rtl/>
        </w:rPr>
        <w:t xml:space="preserve">. </w:t>
      </w:r>
      <w:r w:rsidR="00287EF3" w:rsidRPr="00FD5100">
        <w:rPr>
          <w:rFonts w:cs="Arial" w:hint="cs"/>
          <w:color w:val="E36C0A" w:themeColor="accent6" w:themeShade="BF"/>
          <w:rtl/>
        </w:rPr>
        <w:t>(וכ"</w:t>
      </w:r>
      <w:r w:rsidR="00287EF3">
        <w:rPr>
          <w:rFonts w:cs="Arial" w:hint="cs"/>
          <w:color w:val="E36C0A" w:themeColor="accent6" w:themeShade="BF"/>
          <w:rtl/>
        </w:rPr>
        <w:t>ס</w:t>
      </w:r>
      <w:r w:rsidR="00287EF3" w:rsidRPr="00FD5100">
        <w:rPr>
          <w:rFonts w:cs="Arial" w:hint="cs"/>
          <w:color w:val="E36C0A" w:themeColor="accent6" w:themeShade="BF"/>
          <w:rtl/>
        </w:rPr>
        <w:t xml:space="preserve"> בשו"ע</w:t>
      </w:r>
      <w:r w:rsidR="00287EF3">
        <w:rPr>
          <w:rFonts w:cs="Arial" w:hint="cs"/>
          <w:color w:val="E36C0A" w:themeColor="accent6" w:themeShade="BF"/>
          <w:sz w:val="16"/>
          <w:szCs w:val="16"/>
          <w:rtl/>
        </w:rPr>
        <w:t xml:space="preserve"> </w:t>
      </w:r>
      <w:r w:rsidR="00287EF3">
        <w:rPr>
          <w:rFonts w:cs="Arial" w:hint="cs"/>
          <w:color w:val="000000" w:themeColor="text1"/>
          <w:sz w:val="16"/>
          <w:szCs w:val="16"/>
          <w:rtl/>
        </w:rPr>
        <w:t>[ועי' בגר"א סקכ"ג]</w:t>
      </w:r>
      <w:r w:rsidR="00287EF3" w:rsidRPr="00FD5100">
        <w:rPr>
          <w:rFonts w:cs="Arial" w:hint="cs"/>
          <w:color w:val="E36C0A" w:themeColor="accent6" w:themeShade="BF"/>
          <w:rtl/>
        </w:rPr>
        <w:t>)</w:t>
      </w:r>
    </w:p>
    <w:p w14:paraId="1322CBA8" w14:textId="77777777" w:rsidR="00CD1276" w:rsidRDefault="00CD1276" w:rsidP="004B0475">
      <w:pPr>
        <w:pStyle w:val="ac"/>
        <w:numPr>
          <w:ilvl w:val="0"/>
          <w:numId w:val="58"/>
        </w:numPr>
        <w:rPr>
          <w:rFonts w:cs="Arial"/>
        </w:rPr>
      </w:pPr>
      <w:r>
        <w:rPr>
          <w:rFonts w:cs="Arial" w:hint="cs"/>
          <w:rtl/>
        </w:rPr>
        <w:lastRenderedPageBreak/>
        <w:t xml:space="preserve">ר"י </w:t>
      </w:r>
      <w:r w:rsidRPr="00477E82">
        <w:rPr>
          <w:rFonts w:cs="Arial"/>
          <w:rtl/>
        </w:rPr>
        <w:t>תוס</w:t>
      </w:r>
      <w:r>
        <w:rPr>
          <w:rFonts w:cs="Arial" w:hint="cs"/>
          <w:rtl/>
        </w:rPr>
        <w:t>'</w:t>
      </w:r>
      <w:r>
        <w:rPr>
          <w:rStyle w:val="ab"/>
          <w:rFonts w:cs="Arial"/>
          <w:rtl/>
        </w:rPr>
        <w:footnoteReference w:id="350"/>
      </w:r>
      <w:r w:rsidRPr="00477E82">
        <w:rPr>
          <w:rFonts w:cs="Arial"/>
          <w:rtl/>
        </w:rPr>
        <w:t xml:space="preserve"> </w:t>
      </w:r>
      <w:r w:rsidRPr="00A1760F">
        <w:rPr>
          <w:rFonts w:cs="Arial"/>
          <w:rtl/>
        </w:rPr>
        <w:t xml:space="preserve">רמב"ם </w:t>
      </w:r>
      <w:r w:rsidRPr="00477E82">
        <w:rPr>
          <w:rFonts w:cs="Arial"/>
          <w:rtl/>
        </w:rPr>
        <w:t xml:space="preserve">רא"ש </w:t>
      </w:r>
      <w:r>
        <w:rPr>
          <w:rFonts w:cs="Arial" w:hint="cs"/>
          <w:rtl/>
        </w:rPr>
        <w:t>וטור</w:t>
      </w:r>
      <w:r>
        <w:rPr>
          <w:rStyle w:val="ab"/>
          <w:rFonts w:cs="Arial"/>
          <w:rtl/>
        </w:rPr>
        <w:footnoteReference w:id="351"/>
      </w:r>
      <w:r w:rsidRPr="00477E82">
        <w:rPr>
          <w:rFonts w:cs="Arial" w:hint="cs"/>
          <w:rtl/>
        </w:rPr>
        <w:t>-</w:t>
      </w:r>
      <w:r w:rsidRPr="00A1760F">
        <w:rPr>
          <w:rFonts w:cs="Arial"/>
          <w:rtl/>
        </w:rPr>
        <w:t xml:space="preserve"> דוקא עד שהעיד הוא דאינו נעשה דיין</w:t>
      </w:r>
      <w:r>
        <w:rPr>
          <w:rFonts w:cs="Arial" w:hint="cs"/>
          <w:rtl/>
        </w:rPr>
        <w:t>,</w:t>
      </w:r>
      <w:r w:rsidRPr="00A1760F">
        <w:rPr>
          <w:rFonts w:cs="Arial"/>
          <w:rtl/>
        </w:rPr>
        <w:t xml:space="preserve"> אבל אם לא העיד</w:t>
      </w:r>
      <w:r>
        <w:rPr>
          <w:rFonts w:cs="Arial" w:hint="cs"/>
          <w:rtl/>
        </w:rPr>
        <w:t xml:space="preserve"> -</w:t>
      </w:r>
      <w:r w:rsidRPr="00A1760F">
        <w:rPr>
          <w:rFonts w:cs="Arial"/>
          <w:rtl/>
        </w:rPr>
        <w:t xml:space="preserve"> נעשה דיין</w:t>
      </w:r>
      <w:r w:rsidRPr="00477E82">
        <w:rPr>
          <w:rFonts w:cs="Arial" w:hint="cs"/>
          <w:rtl/>
        </w:rPr>
        <w:t>.</w:t>
      </w:r>
      <w:r w:rsidRPr="00FD5100">
        <w:rPr>
          <w:rFonts w:cs="Arial"/>
          <w:color w:val="E36C0A" w:themeColor="accent6" w:themeShade="BF"/>
          <w:rtl/>
        </w:rPr>
        <w:t xml:space="preserve"> </w:t>
      </w:r>
    </w:p>
    <w:p w14:paraId="38EBACD8" w14:textId="77777777" w:rsidR="004A326E" w:rsidRPr="00972643" w:rsidRDefault="004A326E" w:rsidP="004A326E">
      <w:pPr>
        <w:rPr>
          <w:rFonts w:cs="Arial"/>
          <w:u w:val="single"/>
        </w:rPr>
      </w:pPr>
      <w:r w:rsidRPr="00972643">
        <w:rPr>
          <w:rFonts w:cs="Arial" w:hint="cs"/>
          <w:u w:val="single"/>
          <w:rtl/>
        </w:rPr>
        <w:t xml:space="preserve">אין עד נעשה דיין </w:t>
      </w:r>
      <w:r w:rsidRPr="00972643">
        <w:rPr>
          <w:rFonts w:cs="Arial"/>
          <w:u w:val="single"/>
          <w:rtl/>
        </w:rPr>
        <w:t>–</w:t>
      </w:r>
      <w:r w:rsidRPr="00972643">
        <w:rPr>
          <w:rFonts w:cs="Arial" w:hint="cs"/>
          <w:u w:val="single"/>
          <w:rtl/>
        </w:rPr>
        <w:t xml:space="preserve"> בשטר:</w:t>
      </w:r>
    </w:p>
    <w:p w14:paraId="4452B8E1" w14:textId="77777777" w:rsidR="004A326E" w:rsidRDefault="004A326E" w:rsidP="004B0475">
      <w:pPr>
        <w:pStyle w:val="ac"/>
        <w:numPr>
          <w:ilvl w:val="0"/>
          <w:numId w:val="58"/>
        </w:numPr>
        <w:rPr>
          <w:rFonts w:cs="Arial"/>
        </w:rPr>
      </w:pPr>
      <w:r>
        <w:rPr>
          <w:rFonts w:cs="Arial" w:hint="cs"/>
          <w:rtl/>
        </w:rPr>
        <w:t>רי"ף</w:t>
      </w:r>
      <w:r w:rsidRPr="00A1760F">
        <w:rPr>
          <w:rFonts w:cs="Arial"/>
          <w:rtl/>
        </w:rPr>
        <w:t xml:space="preserve"> </w:t>
      </w:r>
      <w:r w:rsidRPr="00972643">
        <w:rPr>
          <w:rFonts w:cs="Arial"/>
          <w:sz w:val="16"/>
          <w:szCs w:val="16"/>
          <w:rtl/>
        </w:rPr>
        <w:t>(שו"ת סי' קסט</w:t>
      </w:r>
      <w:r>
        <w:rPr>
          <w:rFonts w:cs="Arial" w:hint="cs"/>
          <w:sz w:val="16"/>
          <w:szCs w:val="16"/>
          <w:rtl/>
        </w:rPr>
        <w:t>, הביאו בהעי"ט</w:t>
      </w:r>
      <w:r w:rsidRPr="00972643">
        <w:rPr>
          <w:rFonts w:cs="Arial"/>
          <w:sz w:val="16"/>
          <w:szCs w:val="16"/>
          <w:rtl/>
        </w:rPr>
        <w:t>)</w:t>
      </w:r>
      <w:r>
        <w:rPr>
          <w:rFonts w:cs="Arial" w:hint="cs"/>
          <w:sz w:val="16"/>
          <w:szCs w:val="16"/>
          <w:rtl/>
        </w:rPr>
        <w:t xml:space="preserve"> </w:t>
      </w:r>
      <w:r w:rsidRPr="00972643">
        <w:rPr>
          <w:rFonts w:cs="Arial" w:hint="cs"/>
          <w:rtl/>
        </w:rPr>
        <w:t xml:space="preserve">בהעי"ט </w:t>
      </w:r>
      <w:r>
        <w:rPr>
          <w:rFonts w:cs="Arial" w:hint="cs"/>
          <w:sz w:val="16"/>
          <w:szCs w:val="16"/>
          <w:rtl/>
        </w:rPr>
        <w:t>(אות ב בירורין דף ב.)</w:t>
      </w:r>
      <w:r>
        <w:rPr>
          <w:rFonts w:cs="Arial" w:hint="cs"/>
          <w:rtl/>
        </w:rPr>
        <w:t xml:space="preserve"> ורי"ו</w:t>
      </w:r>
      <w:r w:rsidRPr="00A1760F">
        <w:rPr>
          <w:rFonts w:cs="Arial"/>
          <w:rtl/>
        </w:rPr>
        <w:t xml:space="preserve"> </w:t>
      </w:r>
      <w:r w:rsidRPr="00972643">
        <w:rPr>
          <w:rFonts w:cs="Arial"/>
          <w:sz w:val="16"/>
          <w:szCs w:val="16"/>
          <w:rtl/>
        </w:rPr>
        <w:t>(נ"א ח"א ח.)</w:t>
      </w:r>
      <w:r>
        <w:rPr>
          <w:rFonts w:cs="Arial" w:hint="cs"/>
          <w:rtl/>
        </w:rPr>
        <w:t xml:space="preserve">- </w:t>
      </w:r>
      <w:r w:rsidRPr="00A1760F">
        <w:rPr>
          <w:rFonts w:cs="Arial"/>
          <w:rtl/>
        </w:rPr>
        <w:t xml:space="preserve">עד החתום בשטר אינו דן באותו שטר. </w:t>
      </w:r>
    </w:p>
    <w:p w14:paraId="348B647C" w14:textId="77777777" w:rsidR="004A326E" w:rsidRDefault="004A326E" w:rsidP="004B0475">
      <w:pPr>
        <w:pStyle w:val="ac"/>
        <w:numPr>
          <w:ilvl w:val="0"/>
          <w:numId w:val="58"/>
        </w:numPr>
        <w:rPr>
          <w:rFonts w:cs="Arial"/>
        </w:rPr>
      </w:pPr>
      <w:r w:rsidRPr="00A1760F">
        <w:rPr>
          <w:rFonts w:cs="Arial"/>
          <w:rtl/>
        </w:rPr>
        <w:t xml:space="preserve">רשב"א </w:t>
      </w:r>
      <w:r w:rsidRPr="00972643">
        <w:rPr>
          <w:rFonts w:cs="Arial" w:hint="cs"/>
          <w:sz w:val="16"/>
          <w:szCs w:val="16"/>
          <w:rtl/>
        </w:rPr>
        <w:t>(במיוחסות סי' קיב)</w:t>
      </w:r>
      <w:r>
        <w:rPr>
          <w:rFonts w:cs="Arial" w:hint="cs"/>
          <w:rtl/>
        </w:rPr>
        <w:t>-</w:t>
      </w:r>
      <w:r w:rsidRPr="00A1760F">
        <w:rPr>
          <w:rFonts w:cs="Arial"/>
          <w:rtl/>
        </w:rPr>
        <w:t xml:space="preserve"> יש לדון ולהכשיר אפילו עד החתום בשטר להיות דיין</w:t>
      </w:r>
      <w:r>
        <w:rPr>
          <w:rStyle w:val="ab"/>
          <w:rFonts w:cs="Arial"/>
          <w:rtl/>
        </w:rPr>
        <w:footnoteReference w:id="352"/>
      </w:r>
      <w:r>
        <w:rPr>
          <w:rFonts w:cs="Arial" w:hint="cs"/>
          <w:rtl/>
        </w:rPr>
        <w:t>.</w:t>
      </w:r>
      <w:r w:rsidRPr="00A1760F">
        <w:rPr>
          <w:rFonts w:cs="Arial"/>
          <w:rtl/>
        </w:rPr>
        <w:t xml:space="preserve"> </w:t>
      </w:r>
    </w:p>
    <w:p w14:paraId="629AAD3B" w14:textId="77777777" w:rsidR="004A326E" w:rsidRPr="00CB115C" w:rsidRDefault="004A326E" w:rsidP="004A326E">
      <w:pPr>
        <w:rPr>
          <w:rFonts w:cs="Arial"/>
          <w:u w:val="single"/>
        </w:rPr>
      </w:pPr>
      <w:r w:rsidRPr="00CB115C">
        <w:rPr>
          <w:rFonts w:cs="Arial" w:hint="cs"/>
          <w:u w:val="single"/>
          <w:rtl/>
        </w:rPr>
        <w:t>מעש</w:t>
      </w:r>
      <w:r>
        <w:rPr>
          <w:rFonts w:cs="Arial" w:hint="cs"/>
          <w:u w:val="single"/>
          <w:rtl/>
        </w:rPr>
        <w:t>ים</w:t>
      </w:r>
      <w:r w:rsidRPr="00CB115C">
        <w:rPr>
          <w:rFonts w:cs="Arial" w:hint="cs"/>
          <w:u w:val="single"/>
          <w:rtl/>
        </w:rPr>
        <w:t xml:space="preserve"> בעד שהיה חתום על שטר ועכשיו רוצים שידון בו:</w:t>
      </w:r>
    </w:p>
    <w:p w14:paraId="62F49583" w14:textId="77777777" w:rsidR="004A326E" w:rsidRDefault="004A326E" w:rsidP="004B0475">
      <w:pPr>
        <w:pStyle w:val="ac"/>
        <w:numPr>
          <w:ilvl w:val="0"/>
          <w:numId w:val="58"/>
        </w:numPr>
        <w:rPr>
          <w:rFonts w:cs="Arial"/>
        </w:rPr>
      </w:pPr>
      <w:r w:rsidRPr="00A1760F">
        <w:rPr>
          <w:rFonts w:cs="Arial"/>
          <w:rtl/>
        </w:rPr>
        <w:t>ריב"ש</w:t>
      </w:r>
      <w:r w:rsidRPr="00CB115C">
        <w:rPr>
          <w:rFonts w:cs="Arial"/>
          <w:sz w:val="16"/>
          <w:szCs w:val="16"/>
          <w:rtl/>
        </w:rPr>
        <w:t xml:space="preserve"> </w:t>
      </w:r>
      <w:r w:rsidRPr="00CB115C">
        <w:rPr>
          <w:rFonts w:cs="Arial" w:hint="cs"/>
          <w:sz w:val="16"/>
          <w:szCs w:val="16"/>
          <w:rtl/>
        </w:rPr>
        <w:t>(</w:t>
      </w:r>
      <w:r w:rsidRPr="00CB115C">
        <w:rPr>
          <w:rFonts w:cs="Arial"/>
          <w:sz w:val="16"/>
          <w:szCs w:val="16"/>
          <w:rtl/>
        </w:rPr>
        <w:t>סי</w:t>
      </w:r>
      <w:r w:rsidRPr="00CB115C">
        <w:rPr>
          <w:rFonts w:cs="Arial" w:hint="cs"/>
          <w:sz w:val="16"/>
          <w:szCs w:val="16"/>
          <w:rtl/>
        </w:rPr>
        <w:t>'</w:t>
      </w:r>
      <w:r w:rsidRPr="00CB115C">
        <w:rPr>
          <w:rFonts w:cs="Arial"/>
          <w:sz w:val="16"/>
          <w:szCs w:val="16"/>
          <w:rtl/>
        </w:rPr>
        <w:t xml:space="preserve"> תיג</w:t>
      </w:r>
      <w:r w:rsidRPr="00CB115C">
        <w:rPr>
          <w:rFonts w:cs="Arial" w:hint="cs"/>
          <w:sz w:val="16"/>
          <w:szCs w:val="16"/>
          <w:rtl/>
        </w:rPr>
        <w:t>)</w:t>
      </w:r>
      <w:r>
        <w:rPr>
          <w:rFonts w:cs="Arial" w:hint="cs"/>
          <w:rtl/>
        </w:rPr>
        <w:t>-</w:t>
      </w:r>
      <w:r w:rsidRPr="00A1760F">
        <w:rPr>
          <w:rFonts w:cs="Arial"/>
          <w:rtl/>
        </w:rPr>
        <w:t xml:space="preserve"> מה שטוען שאין עד נעשה דיין ולכן התפסת המתנה פסולה מפני שחתם בדיין אחד מעידי המתנה </w:t>
      </w:r>
      <w:r w:rsidR="00822DDE">
        <w:rPr>
          <w:rFonts w:cs="Arial" w:hint="cs"/>
          <w:rtl/>
        </w:rPr>
        <w:t xml:space="preserve">- </w:t>
      </w:r>
      <w:r w:rsidRPr="00A1760F">
        <w:rPr>
          <w:rFonts w:cs="Arial"/>
          <w:rtl/>
        </w:rPr>
        <w:t>אינו אמת</w:t>
      </w:r>
      <w:r w:rsidR="00822DDE">
        <w:rPr>
          <w:rFonts w:cs="Arial" w:hint="cs"/>
          <w:rtl/>
        </w:rPr>
        <w:t>,</w:t>
      </w:r>
      <w:r w:rsidRPr="00A1760F">
        <w:rPr>
          <w:rFonts w:cs="Arial"/>
          <w:rtl/>
        </w:rPr>
        <w:t xml:space="preserve"> דבענין זה עד נעשה דיין אפילו בדאורייתא</w:t>
      </w:r>
      <w:r>
        <w:rPr>
          <w:rFonts w:cs="Arial" w:hint="cs"/>
          <w:rtl/>
        </w:rPr>
        <w:t>,</w:t>
      </w:r>
      <w:r w:rsidRPr="00A1760F">
        <w:rPr>
          <w:rFonts w:cs="Arial"/>
          <w:rtl/>
        </w:rPr>
        <w:t xml:space="preserve"> שהרי זה העד למה שנעשה דיין שזהו התפסת המתנה </w:t>
      </w:r>
      <w:r>
        <w:rPr>
          <w:rFonts w:cs="Arial" w:hint="cs"/>
          <w:rtl/>
        </w:rPr>
        <w:t xml:space="preserve">- </w:t>
      </w:r>
      <w:r w:rsidRPr="00A1760F">
        <w:rPr>
          <w:rFonts w:cs="Arial"/>
          <w:rtl/>
        </w:rPr>
        <w:t>לא העיד על זה כלל בפניהם</w:t>
      </w:r>
      <w:r>
        <w:rPr>
          <w:rFonts w:cs="Arial" w:hint="cs"/>
          <w:rtl/>
        </w:rPr>
        <w:t>,</w:t>
      </w:r>
      <w:r w:rsidRPr="00A1760F">
        <w:rPr>
          <w:rFonts w:cs="Arial"/>
          <w:rtl/>
        </w:rPr>
        <w:t xml:space="preserve"> שהרי כולם ראו המתנה בעיניהם והכירו חתימת העדים ועושין דין על פי ראייתם בלא הגדה כלל</w:t>
      </w:r>
      <w:r>
        <w:rPr>
          <w:rFonts w:cs="Arial" w:hint="cs"/>
          <w:rtl/>
        </w:rPr>
        <w:t>,</w:t>
      </w:r>
      <w:r w:rsidRPr="00A1760F">
        <w:rPr>
          <w:rFonts w:cs="Arial"/>
          <w:rtl/>
        </w:rPr>
        <w:t xml:space="preserve"> כל שלא ראו בלילה שאינה שעת דין</w:t>
      </w:r>
      <w:r>
        <w:rPr>
          <w:rFonts w:cs="Arial" w:hint="cs"/>
          <w:rtl/>
        </w:rPr>
        <w:t>,</w:t>
      </w:r>
      <w:r w:rsidRPr="00A1760F">
        <w:rPr>
          <w:rFonts w:cs="Arial"/>
          <w:rtl/>
        </w:rPr>
        <w:t xml:space="preserve"> דלא בעינן הגדה בדיני ממונות כמו שהסכים הרמב"ן בפ</w:t>
      </w:r>
      <w:r>
        <w:rPr>
          <w:rFonts w:cs="Arial" w:hint="cs"/>
          <w:rtl/>
        </w:rPr>
        <w:t>"ב</w:t>
      </w:r>
      <w:r w:rsidRPr="00A1760F">
        <w:rPr>
          <w:rFonts w:cs="Arial"/>
          <w:rtl/>
        </w:rPr>
        <w:t xml:space="preserve"> דכתובות והרשב"א בפרק החובל </w:t>
      </w:r>
      <w:r w:rsidRPr="00CB115C">
        <w:rPr>
          <w:rFonts w:cs="Arial"/>
          <w:sz w:val="16"/>
          <w:szCs w:val="16"/>
          <w:rtl/>
        </w:rPr>
        <w:t xml:space="preserve">(צ: ד"ה למימרא) </w:t>
      </w:r>
      <w:r w:rsidRPr="00A1760F">
        <w:rPr>
          <w:rFonts w:cs="Arial"/>
          <w:rtl/>
        </w:rPr>
        <w:t>והתו</w:t>
      </w:r>
      <w:r>
        <w:rPr>
          <w:rFonts w:cs="Arial" w:hint="cs"/>
          <w:rtl/>
        </w:rPr>
        <w:t>ס'</w:t>
      </w:r>
      <w:r w:rsidRPr="00A1760F">
        <w:rPr>
          <w:rFonts w:cs="Arial"/>
          <w:rtl/>
        </w:rPr>
        <w:t xml:space="preserve"> בפרק ראוהו ב"ד </w:t>
      </w:r>
      <w:r w:rsidRPr="00CB115C">
        <w:rPr>
          <w:rFonts w:cs="Arial"/>
          <w:sz w:val="16"/>
          <w:szCs w:val="16"/>
          <w:rtl/>
        </w:rPr>
        <w:t>(כה: ד"ה לא)</w:t>
      </w:r>
      <w:r w:rsidR="00822DDE">
        <w:rPr>
          <w:rFonts w:cs="Arial" w:hint="cs"/>
          <w:rtl/>
        </w:rPr>
        <w:t>.</w:t>
      </w:r>
      <w:r w:rsidRPr="00A1760F">
        <w:rPr>
          <w:rFonts w:cs="Arial"/>
          <w:rtl/>
        </w:rPr>
        <w:t xml:space="preserve"> ויש בידי תשובה ממורינו הר"ן שהשיב לי להכשיר מעשה בית דין של גט שראו שנמסר הגט בפניהם ואמר שיכולים לעשות מעשה בית דין להתירה על פי ראייתם</w:t>
      </w:r>
      <w:r>
        <w:rPr>
          <w:rFonts w:cs="Arial" w:hint="cs"/>
          <w:rtl/>
        </w:rPr>
        <w:t>,</w:t>
      </w:r>
      <w:r w:rsidRPr="00A1760F">
        <w:rPr>
          <w:rFonts w:cs="Arial"/>
          <w:rtl/>
        </w:rPr>
        <w:t xml:space="preserve"> לפי שרוב המפרשים והגדולים הסכימו דלא בעינן הגדה בדיני ממונות</w:t>
      </w:r>
      <w:r w:rsidR="00822DDE">
        <w:rPr>
          <w:rFonts w:cs="Arial" w:hint="cs"/>
          <w:rtl/>
        </w:rPr>
        <w:t>.</w:t>
      </w:r>
      <w:r w:rsidRPr="00A1760F">
        <w:rPr>
          <w:rFonts w:cs="Arial"/>
          <w:rtl/>
        </w:rPr>
        <w:t xml:space="preserve"> או אפשר בנדון זה שאחרים העידו בפניהם על חתימת עדי המתנה דהיא היא גופא ואם כן מה לנו אם זה הדיין היה עד במתנה</w:t>
      </w:r>
      <w:r>
        <w:rPr>
          <w:rFonts w:cs="Arial" w:hint="cs"/>
          <w:rtl/>
        </w:rPr>
        <w:t xml:space="preserve"> וכו'.</w:t>
      </w:r>
      <w:r w:rsidRPr="00A1760F">
        <w:rPr>
          <w:rFonts w:cs="Arial"/>
          <w:rtl/>
        </w:rPr>
        <w:t xml:space="preserve"> </w:t>
      </w:r>
    </w:p>
    <w:p w14:paraId="5C189DB4" w14:textId="77777777" w:rsidR="004A326E" w:rsidRPr="00052453" w:rsidRDefault="004A326E" w:rsidP="004B0475">
      <w:pPr>
        <w:pStyle w:val="ac"/>
        <w:numPr>
          <w:ilvl w:val="0"/>
          <w:numId w:val="58"/>
        </w:numPr>
        <w:rPr>
          <w:rFonts w:cs="Arial"/>
        </w:rPr>
      </w:pPr>
      <w:r w:rsidRPr="00A1760F">
        <w:rPr>
          <w:rFonts w:cs="Arial"/>
          <w:rtl/>
        </w:rPr>
        <w:t>רשב"א</w:t>
      </w:r>
      <w:r w:rsidRPr="00235B71">
        <w:rPr>
          <w:rFonts w:cs="Arial"/>
          <w:sz w:val="16"/>
          <w:szCs w:val="16"/>
          <w:rtl/>
        </w:rPr>
        <w:t xml:space="preserve"> (ח"א סי</w:t>
      </w:r>
      <w:r w:rsidRPr="00235B71">
        <w:rPr>
          <w:rFonts w:cs="Arial" w:hint="cs"/>
          <w:sz w:val="16"/>
          <w:szCs w:val="16"/>
          <w:rtl/>
        </w:rPr>
        <w:t>'</w:t>
      </w:r>
      <w:r w:rsidRPr="00235B71">
        <w:rPr>
          <w:rFonts w:cs="Arial"/>
          <w:sz w:val="16"/>
          <w:szCs w:val="16"/>
          <w:rtl/>
        </w:rPr>
        <w:t xml:space="preserve"> אלף קל)</w:t>
      </w:r>
      <w:r>
        <w:rPr>
          <w:rFonts w:cs="Arial" w:hint="cs"/>
          <w:rtl/>
        </w:rPr>
        <w:t>-</w:t>
      </w:r>
      <w:r w:rsidRPr="00A1760F">
        <w:rPr>
          <w:rFonts w:cs="Arial"/>
          <w:rtl/>
        </w:rPr>
        <w:t xml:space="preserve"> </w:t>
      </w:r>
      <w:r w:rsidRPr="00052453">
        <w:rPr>
          <w:rFonts w:cs="Arial"/>
          <w:rtl/>
        </w:rPr>
        <w:t>שאלתם שכיב מרע שצוה וחלק כל נכסיו ובפני העדים</w:t>
      </w:r>
      <w:r>
        <w:rPr>
          <w:rFonts w:cs="Arial" w:hint="cs"/>
          <w:rtl/>
        </w:rPr>
        <w:t>...</w:t>
      </w:r>
      <w:r w:rsidRPr="00052453">
        <w:rPr>
          <w:rFonts w:cs="Arial"/>
          <w:rtl/>
        </w:rPr>
        <w:t xml:space="preserve"> ובסוף השטר כתוב בלשון הזה </w:t>
      </w:r>
      <w:r>
        <w:rPr>
          <w:rFonts w:cs="Arial" w:hint="cs"/>
          <w:rtl/>
        </w:rPr>
        <w:t>'</w:t>
      </w:r>
      <w:r w:rsidRPr="00052453">
        <w:rPr>
          <w:rFonts w:cs="Arial"/>
          <w:rtl/>
        </w:rPr>
        <w:t>וכל צואה זו ומשפטיה ביד פלוני</w:t>
      </w:r>
      <w:r>
        <w:rPr>
          <w:rFonts w:cs="Arial" w:hint="cs"/>
          <w:rtl/>
        </w:rPr>
        <w:t>',</w:t>
      </w:r>
      <w:r w:rsidRPr="00052453">
        <w:rPr>
          <w:rFonts w:cs="Arial"/>
          <w:rtl/>
        </w:rPr>
        <w:t xml:space="preserve"> ואותו פלוני הוא אחד מעידי הצואה החתומים בשטר. ועכשו טענו היורשין שהצואה בטלה מפני שאמר שכל הצואה ומשפטיה יהיו ביד אחד מאותן העדים ואין עד נעשה דיין. טענו מקבלי המתנות שאין זה דיין אלא חבר או אפטרופא. תשובה</w:t>
      </w:r>
      <w:r>
        <w:rPr>
          <w:rFonts w:cs="Arial" w:hint="cs"/>
          <w:rtl/>
        </w:rPr>
        <w:t>.</w:t>
      </w:r>
      <w:r w:rsidRPr="00052453">
        <w:rPr>
          <w:rFonts w:cs="Arial"/>
          <w:rtl/>
        </w:rPr>
        <w:t xml:space="preserve"> הדין עם מקבלי המתנות מכמה טעמים. האחד </w:t>
      </w:r>
      <w:r w:rsidR="00822DDE">
        <w:rPr>
          <w:rFonts w:cs="Arial" w:hint="cs"/>
          <w:rtl/>
        </w:rPr>
        <w:t xml:space="preserve">- </w:t>
      </w:r>
      <w:r w:rsidRPr="00052453">
        <w:rPr>
          <w:rFonts w:cs="Arial"/>
          <w:rtl/>
        </w:rPr>
        <w:t>אם נראין הדברים כן שלא ה</w:t>
      </w:r>
      <w:r w:rsidR="00822DDE">
        <w:rPr>
          <w:rFonts w:cs="Arial" w:hint="cs"/>
          <w:rtl/>
        </w:rPr>
        <w:t>ְ</w:t>
      </w:r>
      <w:r w:rsidRPr="00052453">
        <w:rPr>
          <w:rFonts w:cs="Arial"/>
          <w:rtl/>
        </w:rPr>
        <w:t>ע</w:t>
      </w:r>
      <w:r w:rsidR="00822DDE">
        <w:rPr>
          <w:rFonts w:cs="Arial" w:hint="cs"/>
          <w:rtl/>
        </w:rPr>
        <w:t>ֵ</w:t>
      </w:r>
      <w:r w:rsidRPr="00052453">
        <w:rPr>
          <w:rFonts w:cs="Arial"/>
          <w:rtl/>
        </w:rPr>
        <w:t>מ</w:t>
      </w:r>
      <w:r w:rsidR="00822DDE">
        <w:rPr>
          <w:rFonts w:cs="Arial" w:hint="cs"/>
          <w:rtl/>
        </w:rPr>
        <w:t>ִ</w:t>
      </w:r>
      <w:r w:rsidRPr="00052453">
        <w:rPr>
          <w:rFonts w:cs="Arial"/>
          <w:rtl/>
        </w:rPr>
        <w:t>ידו</w:t>
      </w:r>
      <w:r w:rsidR="00822DDE">
        <w:rPr>
          <w:rFonts w:cs="Arial" w:hint="cs"/>
          <w:rtl/>
        </w:rPr>
        <w:t>ֹ</w:t>
      </w:r>
      <w:r w:rsidRPr="00052453">
        <w:rPr>
          <w:rFonts w:cs="Arial"/>
          <w:rtl/>
        </w:rPr>
        <w:t xml:space="preserve"> בית דין אלא כגון אפטרופא שעל פיו ינתנו החלקים שחלק לכל אחד ואחד ולא על פי הדין שיאמר הוא. והראיה שלא אמר ומשפטיה ע"פ פלוני אלא צואה זו ומשפטיה ע"פ פלוני ומשפטי' כאן כמו </w:t>
      </w:r>
      <w:r>
        <w:rPr>
          <w:rFonts w:cs="Arial" w:hint="cs"/>
          <w:rtl/>
        </w:rPr>
        <w:t>'</w:t>
      </w:r>
      <w:r w:rsidRPr="00052453">
        <w:rPr>
          <w:rFonts w:cs="Arial"/>
          <w:rtl/>
        </w:rPr>
        <w:t>עניניה</w:t>
      </w:r>
      <w:r>
        <w:rPr>
          <w:rFonts w:cs="Arial" w:hint="cs"/>
          <w:rtl/>
        </w:rPr>
        <w:t>'</w:t>
      </w:r>
      <w:r w:rsidRPr="00052453">
        <w:rPr>
          <w:rFonts w:cs="Arial"/>
          <w:rtl/>
        </w:rPr>
        <w:t xml:space="preserve">. וכמוהו הרבה בכתוב ככל חקותיו וככל משפטיו </w:t>
      </w:r>
      <w:r w:rsidRPr="00052453">
        <w:rPr>
          <w:rFonts w:cs="Arial"/>
          <w:sz w:val="16"/>
          <w:szCs w:val="16"/>
          <w:rtl/>
        </w:rPr>
        <w:t xml:space="preserve">(במדבר ט) </w:t>
      </w:r>
      <w:r w:rsidRPr="00052453">
        <w:rPr>
          <w:rFonts w:cs="Arial"/>
          <w:rtl/>
        </w:rPr>
        <w:t>כמשפט לאוהבי שמך</w:t>
      </w:r>
      <w:r w:rsidRPr="00052453">
        <w:rPr>
          <w:rFonts w:cs="Arial"/>
          <w:sz w:val="16"/>
          <w:szCs w:val="16"/>
          <w:rtl/>
        </w:rPr>
        <w:t xml:space="preserve"> (תהילים קיט)</w:t>
      </w:r>
      <w:r w:rsidRPr="00052453">
        <w:rPr>
          <w:rFonts w:cs="Arial"/>
          <w:rtl/>
        </w:rPr>
        <w:t xml:space="preserve">. ועוד שאפילו אמר כן בפירוש </w:t>
      </w:r>
      <w:r w:rsidR="00822DDE">
        <w:rPr>
          <w:rFonts w:cs="Arial" w:hint="cs"/>
          <w:rtl/>
        </w:rPr>
        <w:t>'</w:t>
      </w:r>
      <w:r w:rsidRPr="00052453">
        <w:rPr>
          <w:rFonts w:cs="Arial"/>
          <w:rtl/>
        </w:rPr>
        <w:t>פלוני ופלוני יהיו עדי צואה וכל דיני הצואה יהיו על פי פלוני</w:t>
      </w:r>
      <w:r w:rsidR="00822DDE">
        <w:rPr>
          <w:rFonts w:cs="Arial" w:hint="cs"/>
          <w:rtl/>
        </w:rPr>
        <w:t>'</w:t>
      </w:r>
      <w:r w:rsidRPr="00052453">
        <w:rPr>
          <w:rFonts w:cs="Arial"/>
          <w:rtl/>
        </w:rPr>
        <w:t xml:space="preserve"> </w:t>
      </w:r>
      <w:r w:rsidR="00822DDE">
        <w:rPr>
          <w:rFonts w:cs="Arial" w:hint="cs"/>
          <w:rtl/>
        </w:rPr>
        <w:t xml:space="preserve">- </w:t>
      </w:r>
      <w:r w:rsidRPr="00052453">
        <w:rPr>
          <w:rFonts w:cs="Arial"/>
          <w:rtl/>
        </w:rPr>
        <w:t>אעפ</w:t>
      </w:r>
      <w:r>
        <w:rPr>
          <w:rFonts w:cs="Arial" w:hint="cs"/>
          <w:rtl/>
        </w:rPr>
        <w:t>"</w:t>
      </w:r>
      <w:r w:rsidRPr="00052453">
        <w:rPr>
          <w:rFonts w:cs="Arial"/>
          <w:rtl/>
        </w:rPr>
        <w:t>כ יכול הוא להעיד</w:t>
      </w:r>
      <w:r>
        <w:rPr>
          <w:rFonts w:cs="Arial" w:hint="cs"/>
          <w:rtl/>
        </w:rPr>
        <w:t>,</w:t>
      </w:r>
      <w:r w:rsidRPr="00052453">
        <w:rPr>
          <w:rFonts w:cs="Arial"/>
          <w:rtl/>
        </w:rPr>
        <w:t xml:space="preserve"> אלא שלאחר שיעיד אינו רשאי להיות דיין</w:t>
      </w:r>
      <w:r>
        <w:rPr>
          <w:rFonts w:cs="Arial" w:hint="cs"/>
          <w:rtl/>
        </w:rPr>
        <w:t>,</w:t>
      </w:r>
      <w:r w:rsidRPr="00052453">
        <w:rPr>
          <w:rFonts w:cs="Arial"/>
          <w:rtl/>
        </w:rPr>
        <w:t xml:space="preserve"> שאין עד המעיד נעשה דיין</w:t>
      </w:r>
      <w:r>
        <w:rPr>
          <w:rFonts w:cs="Arial" w:hint="cs"/>
          <w:rtl/>
        </w:rPr>
        <w:t>,</w:t>
      </w:r>
      <w:r w:rsidRPr="00052453">
        <w:rPr>
          <w:rFonts w:cs="Arial"/>
          <w:rtl/>
        </w:rPr>
        <w:t xml:space="preserve"> אבל אם יעיד </w:t>
      </w:r>
      <w:r>
        <w:rPr>
          <w:rFonts w:cs="Arial" w:hint="cs"/>
          <w:rtl/>
        </w:rPr>
        <w:t xml:space="preserve">- </w:t>
      </w:r>
      <w:r w:rsidRPr="00052453">
        <w:rPr>
          <w:rFonts w:cs="Arial"/>
          <w:rtl/>
        </w:rPr>
        <w:t>יעיד ולא יעשה דיין. ואע</w:t>
      </w:r>
      <w:r>
        <w:rPr>
          <w:rFonts w:cs="Arial" w:hint="cs"/>
          <w:rtl/>
        </w:rPr>
        <w:t>"</w:t>
      </w:r>
      <w:r w:rsidRPr="00052453">
        <w:rPr>
          <w:rFonts w:cs="Arial"/>
          <w:rtl/>
        </w:rPr>
        <w:t>פ שאמר השכיב מרע שיהא דיין הוא סבר שיוכל להעיד ולדון ואמנם לא ידון אחר שיעיד</w:t>
      </w:r>
      <w:r w:rsidRPr="00052453">
        <w:rPr>
          <w:rFonts w:cs="Arial" w:hint="cs"/>
          <w:rtl/>
        </w:rPr>
        <w:t>.</w:t>
      </w:r>
    </w:p>
    <w:p w14:paraId="3766D76F" w14:textId="77777777" w:rsidR="004A326E" w:rsidRDefault="004A326E" w:rsidP="004A326E">
      <w:pPr>
        <w:rPr>
          <w:rFonts w:cs="Arial"/>
          <w:rtl/>
        </w:rPr>
      </w:pPr>
      <w:r w:rsidRPr="00052453">
        <w:rPr>
          <w:rFonts w:cs="Arial"/>
          <w:b/>
          <w:bCs/>
          <w:rtl/>
        </w:rPr>
        <w:t>ירושלמי</w:t>
      </w:r>
      <w:r w:rsidRPr="00052453">
        <w:rPr>
          <w:rFonts w:cs="Arial"/>
          <w:b/>
          <w:bCs/>
          <w:sz w:val="16"/>
          <w:szCs w:val="16"/>
          <w:rtl/>
        </w:rPr>
        <w:t xml:space="preserve"> (</w:t>
      </w:r>
      <w:r w:rsidRPr="00052453">
        <w:rPr>
          <w:rFonts w:cs="Arial" w:hint="cs"/>
          <w:b/>
          <w:bCs/>
          <w:sz w:val="16"/>
          <w:szCs w:val="16"/>
          <w:rtl/>
        </w:rPr>
        <w:t>וילנא)</w:t>
      </w:r>
      <w:r w:rsidRPr="00052453">
        <w:rPr>
          <w:rFonts w:cs="Arial" w:hint="cs"/>
          <w:b/>
          <w:bCs/>
          <w:rtl/>
        </w:rPr>
        <w:t xml:space="preserve"> </w:t>
      </w:r>
      <w:r w:rsidRPr="00052453">
        <w:rPr>
          <w:rFonts w:cs="Arial"/>
          <w:b/>
          <w:bCs/>
          <w:rtl/>
        </w:rPr>
        <w:t>סנהדרין פ"א ה"ב</w:t>
      </w:r>
      <w:r w:rsidRPr="00052453">
        <w:rPr>
          <w:rFonts w:cs="Arial" w:hint="cs"/>
          <w:b/>
          <w:bCs/>
          <w:rtl/>
        </w:rPr>
        <w:t>:</w:t>
      </w:r>
      <w:r>
        <w:rPr>
          <w:rFonts w:cs="Arial" w:hint="cs"/>
          <w:rtl/>
        </w:rPr>
        <w:t xml:space="preserve"> </w:t>
      </w:r>
      <w:r w:rsidRPr="00052453">
        <w:rPr>
          <w:rFonts w:cs="Arial"/>
          <w:rtl/>
        </w:rPr>
        <w:t>רב הונא ידע שהדו לחד בר נש</w:t>
      </w:r>
      <w:r w:rsidR="00822DDE">
        <w:rPr>
          <w:rFonts w:cs="Arial" w:hint="cs"/>
          <w:rtl/>
        </w:rPr>
        <w:t>.</w:t>
      </w:r>
      <w:r w:rsidRPr="00052453">
        <w:rPr>
          <w:rFonts w:cs="Arial"/>
          <w:rtl/>
        </w:rPr>
        <w:t xml:space="preserve"> אזל בעי מידון קומיה וכפר ביה. </w:t>
      </w:r>
      <w:r w:rsidRPr="00822DDE">
        <w:rPr>
          <w:rFonts w:cs="Arial"/>
          <w:u w:val="single"/>
          <w:rtl/>
        </w:rPr>
        <w:t>א"ר שמואל בר רב יצחק</w:t>
      </w:r>
      <w:r w:rsidR="00822DDE">
        <w:rPr>
          <w:rFonts w:cs="Arial" w:hint="cs"/>
          <w:rtl/>
        </w:rPr>
        <w:t>:</w:t>
      </w:r>
      <w:r w:rsidRPr="00052453">
        <w:rPr>
          <w:rFonts w:cs="Arial"/>
          <w:rtl/>
        </w:rPr>
        <w:t xml:space="preserve"> בגין דאת ידע דר' הונא אינשא רבה את כפר ביה. מהו דייזיל ויסהוד עלך קומי בית דין חורין</w:t>
      </w:r>
      <w:r w:rsidR="00822DDE">
        <w:rPr>
          <w:rFonts w:cs="Arial" w:hint="cs"/>
          <w:rtl/>
        </w:rPr>
        <w:t>.</w:t>
      </w:r>
      <w:r w:rsidRPr="00052453">
        <w:rPr>
          <w:rFonts w:cs="Arial"/>
          <w:rtl/>
        </w:rPr>
        <w:t xml:space="preserve"> </w:t>
      </w:r>
      <w:r w:rsidRPr="00822DDE">
        <w:rPr>
          <w:rFonts w:cs="Arial"/>
          <w:u w:val="single"/>
          <w:rtl/>
        </w:rPr>
        <w:t>א"ל רב הונא</w:t>
      </w:r>
      <w:r w:rsidR="00822DDE">
        <w:rPr>
          <w:rFonts w:cs="Arial" w:hint="cs"/>
          <w:rtl/>
        </w:rPr>
        <w:t>:</w:t>
      </w:r>
      <w:r w:rsidRPr="00052453">
        <w:rPr>
          <w:rFonts w:cs="Arial"/>
          <w:rtl/>
        </w:rPr>
        <w:t xml:space="preserve"> ועבדין כן</w:t>
      </w:r>
      <w:r w:rsidR="00822DDE">
        <w:rPr>
          <w:rFonts w:cs="Arial" w:hint="cs"/>
          <w:rtl/>
        </w:rPr>
        <w:t>?</w:t>
      </w:r>
      <w:r w:rsidRPr="00052453">
        <w:rPr>
          <w:rFonts w:cs="Arial"/>
          <w:rtl/>
        </w:rPr>
        <w:t xml:space="preserve"> </w:t>
      </w:r>
      <w:r w:rsidRPr="00822DDE">
        <w:rPr>
          <w:rFonts w:cs="Arial"/>
          <w:u w:val="single"/>
          <w:rtl/>
        </w:rPr>
        <w:t>א"ל</w:t>
      </w:r>
      <w:r w:rsidR="00822DDE">
        <w:rPr>
          <w:rFonts w:cs="Arial" w:hint="cs"/>
          <w:rtl/>
        </w:rPr>
        <w:t>:</w:t>
      </w:r>
      <w:r w:rsidRPr="00052453">
        <w:rPr>
          <w:rFonts w:cs="Arial"/>
          <w:rtl/>
        </w:rPr>
        <w:t xml:space="preserve"> אין. ושרא רב הונא גרמיה מן ההוא דינא ואזל ואסהיד קומי בית דין חורון. </w:t>
      </w:r>
    </w:p>
    <w:p w14:paraId="7F639D61" w14:textId="77777777" w:rsidR="004A326E" w:rsidRPr="00052453" w:rsidRDefault="004A326E" w:rsidP="004A326E">
      <w:pPr>
        <w:rPr>
          <w:rFonts w:cs="Arial"/>
        </w:rPr>
      </w:pPr>
      <w:r w:rsidRPr="00EE1AD5">
        <w:rPr>
          <w:rFonts w:cs="Arial" w:hint="cs"/>
          <w:u w:val="single"/>
          <w:rtl/>
        </w:rPr>
        <w:t>דיין היודע עדות בדין שבא לפניו:</w:t>
      </w:r>
      <w:r>
        <w:rPr>
          <w:rFonts w:cs="Arial" w:hint="cs"/>
          <w:rtl/>
        </w:rPr>
        <w:t xml:space="preserve">  </w:t>
      </w:r>
      <w:r w:rsidRPr="00EE1AD5">
        <w:rPr>
          <w:rFonts w:cs="Arial" w:hint="cs"/>
          <w:sz w:val="16"/>
          <w:szCs w:val="16"/>
          <w:rtl/>
        </w:rPr>
        <w:t xml:space="preserve">(דרכ"מ </w:t>
      </w:r>
      <w:r>
        <w:rPr>
          <w:rFonts w:cs="Arial" w:hint="cs"/>
          <w:sz w:val="16"/>
          <w:szCs w:val="16"/>
          <w:rtl/>
        </w:rPr>
        <w:t xml:space="preserve">אות </w:t>
      </w:r>
      <w:r w:rsidRPr="00EE1AD5">
        <w:rPr>
          <w:rFonts w:cs="Arial"/>
          <w:sz w:val="16"/>
          <w:szCs w:val="16"/>
          <w:rtl/>
        </w:rPr>
        <w:t>ג)</w:t>
      </w:r>
      <w:r w:rsidRPr="00052453">
        <w:rPr>
          <w:rFonts w:cs="Arial"/>
          <w:rtl/>
        </w:rPr>
        <w:t xml:space="preserve"> </w:t>
      </w:r>
    </w:p>
    <w:p w14:paraId="2B998D32" w14:textId="77777777" w:rsidR="004A326E" w:rsidRPr="00A1760F" w:rsidRDefault="004A326E" w:rsidP="004B0475">
      <w:pPr>
        <w:pStyle w:val="ac"/>
        <w:numPr>
          <w:ilvl w:val="0"/>
          <w:numId w:val="58"/>
        </w:numPr>
        <w:rPr>
          <w:rFonts w:cs="Arial"/>
          <w:rtl/>
        </w:rPr>
      </w:pPr>
      <w:r w:rsidRPr="00077F9A">
        <w:rPr>
          <w:rFonts w:cs="Arial"/>
          <w:rtl/>
        </w:rPr>
        <w:t>מרדכי</w:t>
      </w:r>
      <w:r w:rsidRPr="00052453">
        <w:rPr>
          <w:rFonts w:cs="Arial" w:hint="cs"/>
          <w:sz w:val="16"/>
          <w:szCs w:val="16"/>
          <w:rtl/>
        </w:rPr>
        <w:t xml:space="preserve"> (</w:t>
      </w:r>
      <w:r w:rsidRPr="00052453">
        <w:rPr>
          <w:rFonts w:cs="Arial"/>
          <w:sz w:val="16"/>
          <w:szCs w:val="16"/>
          <w:rtl/>
        </w:rPr>
        <w:t>רפ</w:t>
      </w:r>
      <w:r w:rsidRPr="00052453">
        <w:rPr>
          <w:rFonts w:cs="Arial" w:hint="cs"/>
          <w:sz w:val="16"/>
          <w:szCs w:val="16"/>
          <w:rtl/>
        </w:rPr>
        <w:t>"</w:t>
      </w:r>
      <w:r w:rsidRPr="00052453">
        <w:rPr>
          <w:rFonts w:cs="Arial"/>
          <w:sz w:val="16"/>
          <w:szCs w:val="16"/>
          <w:rtl/>
        </w:rPr>
        <w:t>ק דגיטין סי' שכא)</w:t>
      </w:r>
      <w:r>
        <w:rPr>
          <w:rFonts w:cs="Arial" w:hint="cs"/>
          <w:rtl/>
        </w:rPr>
        <w:t>-</w:t>
      </w:r>
      <w:r w:rsidRPr="00077F9A">
        <w:rPr>
          <w:rFonts w:cs="Arial"/>
          <w:rtl/>
        </w:rPr>
        <w:t xml:space="preserve"> אם באו לדון לפני דיין היודע עדות </w:t>
      </w:r>
      <w:r w:rsidR="006048DE">
        <w:rPr>
          <w:rFonts w:cs="Arial" w:hint="cs"/>
          <w:rtl/>
        </w:rPr>
        <w:t xml:space="preserve">- </w:t>
      </w:r>
      <w:r w:rsidRPr="00077F9A">
        <w:rPr>
          <w:rFonts w:cs="Arial"/>
          <w:rtl/>
        </w:rPr>
        <w:t>יכול לסלק עצמו מן הדין ולהעיד לפני אחרים</w:t>
      </w:r>
      <w:r>
        <w:rPr>
          <w:rFonts w:cs="Arial" w:hint="cs"/>
          <w:rtl/>
        </w:rPr>
        <w:t>.</w:t>
      </w:r>
    </w:p>
    <w:p w14:paraId="3CCA93DA" w14:textId="77777777" w:rsidR="004A326E" w:rsidRPr="003024E5" w:rsidRDefault="004A326E" w:rsidP="004A326E">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4296E01F" w14:textId="77777777" w:rsidR="004A326E" w:rsidRDefault="004A326E" w:rsidP="004A326E">
      <w:pPr>
        <w:rPr>
          <w:rtl/>
        </w:rPr>
      </w:pPr>
      <w:r>
        <w:rPr>
          <w:rFonts w:cs="Arial"/>
          <w:rtl/>
        </w:rPr>
        <w:t>יש אומרים דשתויי יין מותרים לדון דיני ממונות. אין עד נעשה דיין</w:t>
      </w:r>
      <w:r w:rsidR="00822DDE">
        <w:rPr>
          <w:rFonts w:cs="Arial" w:hint="cs"/>
          <w:rtl/>
        </w:rPr>
        <w:t>.</w:t>
      </w:r>
      <w:r>
        <w:rPr>
          <w:rFonts w:cs="Arial"/>
          <w:rtl/>
        </w:rPr>
        <w:t xml:space="preserve"> ודוקא עד שמעיד, כגון אם העיד אחד מהדיינים</w:t>
      </w:r>
      <w:r>
        <w:rPr>
          <w:rStyle w:val="ab"/>
          <w:rFonts w:cs="Arial"/>
          <w:rtl/>
        </w:rPr>
        <w:footnoteReference w:id="353"/>
      </w:r>
      <w:r>
        <w:rPr>
          <w:rFonts w:cs="Arial"/>
          <w:rtl/>
        </w:rPr>
        <w:t xml:space="preserve"> בפני חבריו על מעשה שראה אינו יכול להצטרף עמהם לדון על אותו מעשה, אבל אם אינו מעיד, כגון שהשלשה דיינים ראו המעשה, אפילו כוונו ראייתן בתורת עדות, אם ראוהו ביום נעשים דיינים ודנים על המעשה ההוא</w:t>
      </w:r>
      <w:r>
        <w:rPr>
          <w:rFonts w:cs="Arial" w:hint="cs"/>
          <w:rtl/>
        </w:rPr>
        <w:t>,</w:t>
      </w:r>
      <w:r>
        <w:rPr>
          <w:rFonts w:cs="Arial"/>
          <w:rtl/>
        </w:rPr>
        <w:t xml:space="preserve"> אבל אם ראוהו </w:t>
      </w:r>
      <w:r>
        <w:rPr>
          <w:rFonts w:cs="Arial"/>
          <w:rtl/>
        </w:rPr>
        <w:lastRenderedPageBreak/>
        <w:t>בלילה, אין דנין על פי עצמן, אבל בעדות אחרים דנ</w:t>
      </w:r>
      <w:r w:rsidR="00287EF3">
        <w:rPr>
          <w:rFonts w:cs="Arial" w:hint="cs"/>
          <w:rtl/>
        </w:rPr>
        <w:t>י</w:t>
      </w:r>
      <w:r>
        <w:rPr>
          <w:rFonts w:cs="Arial"/>
          <w:rtl/>
        </w:rPr>
        <w:t xml:space="preserve">ן. ואם הוזמנו להעיד, אף בעדות אחרים אין דנין. ויש אומרים שאף בהוזמנו להעיד דנים בעדות אחרים. </w:t>
      </w:r>
      <w:r w:rsidRPr="00A1760F">
        <w:rPr>
          <w:rFonts w:cs="Arial" w:hint="cs"/>
          <w:sz w:val="18"/>
          <w:szCs w:val="18"/>
          <w:rtl/>
        </w:rPr>
        <w:t xml:space="preserve">[הגה] </w:t>
      </w:r>
      <w:r w:rsidRPr="00A1760F">
        <w:rPr>
          <w:rFonts w:cs="Arial"/>
          <w:sz w:val="18"/>
          <w:szCs w:val="18"/>
          <w:rtl/>
        </w:rPr>
        <w:t>וכל זה בדין דאורייתא, אבל בדבר דרבנן עד נעשה דיין</w:t>
      </w:r>
      <w:r>
        <w:rPr>
          <w:rStyle w:val="ab"/>
          <w:rFonts w:cs="Arial"/>
          <w:sz w:val="18"/>
          <w:szCs w:val="18"/>
          <w:rtl/>
        </w:rPr>
        <w:footnoteReference w:id="354"/>
      </w:r>
      <w:r w:rsidRPr="00A1760F">
        <w:rPr>
          <w:rFonts w:cs="Arial"/>
          <w:sz w:val="18"/>
          <w:szCs w:val="18"/>
          <w:rtl/>
        </w:rPr>
        <w:t xml:space="preserve"> (תוס' ונ</w:t>
      </w:r>
      <w:r>
        <w:rPr>
          <w:rFonts w:cs="Arial" w:hint="cs"/>
          <w:sz w:val="18"/>
          <w:szCs w:val="18"/>
          <w:rtl/>
        </w:rPr>
        <w:t>מוק</w:t>
      </w:r>
      <w:r w:rsidRPr="00A1760F">
        <w:rPr>
          <w:rFonts w:cs="Arial"/>
          <w:sz w:val="18"/>
          <w:szCs w:val="18"/>
          <w:rtl/>
        </w:rPr>
        <w:t>"י).</w:t>
      </w:r>
      <w:r>
        <w:rPr>
          <w:rFonts w:cs="Arial"/>
          <w:rtl/>
        </w:rPr>
        <w:t xml:space="preserve"> </w:t>
      </w:r>
    </w:p>
    <w:p w14:paraId="3120DB81" w14:textId="77777777" w:rsidR="004A326E" w:rsidRPr="002E5F05" w:rsidRDefault="004A326E" w:rsidP="004A326E">
      <w:pPr>
        <w:rPr>
          <w:u w:val="single"/>
          <w:rtl/>
        </w:rPr>
      </w:pPr>
      <w:r w:rsidRPr="002E5F05">
        <w:rPr>
          <w:rFonts w:hint="cs"/>
          <w:u w:val="single"/>
          <w:rtl/>
        </w:rPr>
        <w:t xml:space="preserve">שלשה דיינים שראו עדות בשבת </w:t>
      </w:r>
      <w:r w:rsidRPr="002E5F05">
        <w:rPr>
          <w:rFonts w:hint="cs"/>
          <w:sz w:val="16"/>
          <w:szCs w:val="16"/>
          <w:u w:val="single"/>
          <w:rtl/>
        </w:rPr>
        <w:t xml:space="preserve">(או יו"ט) </w:t>
      </w:r>
      <w:r w:rsidRPr="002E5F05">
        <w:rPr>
          <w:u w:val="single"/>
          <w:rtl/>
        </w:rPr>
        <w:t>–</w:t>
      </w:r>
      <w:r w:rsidRPr="002E5F05">
        <w:rPr>
          <w:rFonts w:hint="cs"/>
          <w:u w:val="single"/>
          <w:rtl/>
        </w:rPr>
        <w:t xml:space="preserve"> האם יכולים לדון בה</w:t>
      </w:r>
      <w:r w:rsidRPr="002E5F05">
        <w:rPr>
          <w:rFonts w:hint="cs"/>
          <w:sz w:val="16"/>
          <w:szCs w:val="16"/>
          <w:u w:val="single"/>
          <w:rtl/>
        </w:rPr>
        <w:t xml:space="preserve"> (או דדמי לר</w:t>
      </w:r>
      <w:r w:rsidR="00287EF3">
        <w:rPr>
          <w:rFonts w:hint="cs"/>
          <w:sz w:val="16"/>
          <w:szCs w:val="16"/>
          <w:u w:val="single"/>
          <w:rtl/>
        </w:rPr>
        <w:t>ו</w:t>
      </w:r>
      <w:r w:rsidRPr="002E5F05">
        <w:rPr>
          <w:rFonts w:hint="cs"/>
          <w:sz w:val="16"/>
          <w:szCs w:val="16"/>
          <w:u w:val="single"/>
          <w:rtl/>
        </w:rPr>
        <w:t>אה בלילה)</w:t>
      </w:r>
      <w:r w:rsidRPr="002E5F05">
        <w:rPr>
          <w:rFonts w:hint="cs"/>
          <w:u w:val="single"/>
          <w:rtl/>
        </w:rPr>
        <w:t>:</w:t>
      </w:r>
    </w:p>
    <w:p w14:paraId="5491C053" w14:textId="77777777" w:rsidR="004A326E" w:rsidRDefault="004A326E" w:rsidP="004B0475">
      <w:pPr>
        <w:pStyle w:val="ac"/>
        <w:numPr>
          <w:ilvl w:val="0"/>
          <w:numId w:val="58"/>
        </w:numPr>
        <w:rPr>
          <w:rtl/>
        </w:rPr>
      </w:pPr>
      <w:r w:rsidRPr="002E5F05">
        <w:rPr>
          <w:rFonts w:cs="Arial"/>
          <w:rtl/>
        </w:rPr>
        <w:t xml:space="preserve">ב"ח </w:t>
      </w:r>
      <w:r w:rsidRPr="002E5F05">
        <w:rPr>
          <w:rFonts w:cs="Arial" w:hint="cs"/>
          <w:sz w:val="16"/>
          <w:szCs w:val="16"/>
          <w:rtl/>
        </w:rPr>
        <w:t>(</w:t>
      </w:r>
      <w:r w:rsidRPr="002E5F05">
        <w:rPr>
          <w:rFonts w:cs="Arial"/>
          <w:sz w:val="16"/>
          <w:szCs w:val="16"/>
          <w:rtl/>
        </w:rPr>
        <w:t>סע</w:t>
      </w:r>
      <w:r w:rsidRPr="002E5F05">
        <w:rPr>
          <w:rFonts w:cs="Arial" w:hint="cs"/>
          <w:sz w:val="16"/>
          <w:szCs w:val="16"/>
          <w:rtl/>
        </w:rPr>
        <w:t>'</w:t>
      </w:r>
      <w:r w:rsidRPr="002E5F05">
        <w:rPr>
          <w:rFonts w:cs="Arial"/>
          <w:sz w:val="16"/>
          <w:szCs w:val="16"/>
          <w:rtl/>
        </w:rPr>
        <w:t xml:space="preserve"> ו ד"ה ומ"ש אפילו</w:t>
      </w:r>
      <w:r w:rsidRPr="002E5F05">
        <w:rPr>
          <w:rFonts w:cs="Arial" w:hint="cs"/>
          <w:sz w:val="16"/>
          <w:szCs w:val="16"/>
          <w:rtl/>
        </w:rPr>
        <w:t>)</w:t>
      </w:r>
      <w:r>
        <w:rPr>
          <w:rFonts w:cs="Arial" w:hint="cs"/>
          <w:rtl/>
        </w:rPr>
        <w:t xml:space="preserve">- </w:t>
      </w:r>
      <w:r w:rsidRPr="002E5F05">
        <w:rPr>
          <w:rFonts w:cs="Arial"/>
          <w:rtl/>
        </w:rPr>
        <w:t>ה"ה אם ראוהו בשבת וי</w:t>
      </w:r>
      <w:r>
        <w:rPr>
          <w:rFonts w:cs="Arial" w:hint="cs"/>
          <w:rtl/>
        </w:rPr>
        <w:t>ו"</w:t>
      </w:r>
      <w:r w:rsidRPr="002E5F05">
        <w:rPr>
          <w:rFonts w:cs="Arial"/>
          <w:rtl/>
        </w:rPr>
        <w:t>ט אינם נעשים דיינים אע</w:t>
      </w:r>
      <w:r>
        <w:rPr>
          <w:rFonts w:cs="Arial" w:hint="cs"/>
          <w:rtl/>
        </w:rPr>
        <w:t>"</w:t>
      </w:r>
      <w:r w:rsidRPr="002E5F05">
        <w:rPr>
          <w:rFonts w:cs="Arial"/>
          <w:rtl/>
        </w:rPr>
        <w:t>ג דאינו אסור לדון אלא מדרבנן</w:t>
      </w:r>
      <w:r>
        <w:rPr>
          <w:rStyle w:val="ab"/>
          <w:rFonts w:cs="Arial"/>
          <w:rtl/>
        </w:rPr>
        <w:footnoteReference w:id="355"/>
      </w:r>
      <w:r>
        <w:rPr>
          <w:rFonts w:cs="Arial" w:hint="cs"/>
          <w:rtl/>
        </w:rPr>
        <w:t>.</w:t>
      </w:r>
    </w:p>
    <w:p w14:paraId="768C0F88" w14:textId="77777777" w:rsidR="004A326E" w:rsidRDefault="004A326E" w:rsidP="004A326E">
      <w:pPr>
        <w:rPr>
          <w:rtl/>
        </w:rPr>
      </w:pPr>
    </w:p>
    <w:p w14:paraId="763CDD5F" w14:textId="77777777" w:rsidR="004A326E" w:rsidRDefault="004A326E" w:rsidP="004A326E">
      <w:pPr>
        <w:pStyle w:val="2"/>
        <w:rPr>
          <w:rtl/>
        </w:rPr>
      </w:pPr>
      <w:bookmarkStart w:id="40" w:name="_Toc24883540"/>
      <w:r>
        <w:rPr>
          <w:rtl/>
        </w:rPr>
        <w:t>סעיף ו</w:t>
      </w:r>
      <w:r>
        <w:rPr>
          <w:rFonts w:hint="cs"/>
          <w:rtl/>
        </w:rPr>
        <w:t>: אדם שכופין אותו לדון בפני דיין שקטן ממנו.</w:t>
      </w:r>
      <w:bookmarkEnd w:id="40"/>
    </w:p>
    <w:p w14:paraId="18058737" w14:textId="77777777" w:rsidR="004A326E" w:rsidRPr="00406F7F" w:rsidRDefault="004A326E" w:rsidP="004A326E">
      <w:pPr>
        <w:rPr>
          <w:rFonts w:cs="Arial"/>
          <w:u w:val="single"/>
          <w:rtl/>
        </w:rPr>
      </w:pPr>
      <w:r w:rsidRPr="00406F7F">
        <w:rPr>
          <w:rFonts w:cs="Arial"/>
          <w:u w:val="single"/>
          <w:rtl/>
        </w:rPr>
        <w:t>מי שתובעים אותו לד</w:t>
      </w:r>
      <w:r>
        <w:rPr>
          <w:rFonts w:cs="Arial" w:hint="cs"/>
          <w:u w:val="single"/>
          <w:rtl/>
        </w:rPr>
        <w:t>ו</w:t>
      </w:r>
      <w:r w:rsidRPr="00406F7F">
        <w:rPr>
          <w:rFonts w:cs="Arial"/>
          <w:u w:val="single"/>
          <w:rtl/>
        </w:rPr>
        <w:t>ן לפני דיין שקטן ממנו</w:t>
      </w:r>
      <w:r w:rsidRPr="00406F7F">
        <w:rPr>
          <w:rFonts w:cs="Arial" w:hint="cs"/>
          <w:u w:val="single"/>
          <w:rtl/>
        </w:rPr>
        <w:t>:</w:t>
      </w:r>
    </w:p>
    <w:p w14:paraId="27210CA4" w14:textId="77777777" w:rsidR="004A326E" w:rsidRPr="00077F9A" w:rsidRDefault="004A326E" w:rsidP="004B0475">
      <w:pPr>
        <w:pStyle w:val="ac"/>
        <w:numPr>
          <w:ilvl w:val="0"/>
          <w:numId w:val="58"/>
        </w:numPr>
        <w:rPr>
          <w:rtl/>
        </w:rPr>
      </w:pPr>
      <w:r w:rsidRPr="00406F7F">
        <w:rPr>
          <w:rFonts w:cs="Arial" w:hint="cs"/>
          <w:rtl/>
        </w:rPr>
        <w:t>טור-</w:t>
      </w:r>
      <w:r w:rsidRPr="00406F7F">
        <w:rPr>
          <w:rFonts w:cs="Arial"/>
          <w:rtl/>
        </w:rPr>
        <w:t xml:space="preserve"> כתב רב האי אין הדיין יכול לכופו לילך לפניו אלא שמכנפין מאן דאיכא התם מחכימי ומעיינין בינייהו</w:t>
      </w:r>
      <w:r w:rsidRPr="00406F7F">
        <w:rPr>
          <w:rFonts w:cs="Arial" w:hint="cs"/>
          <w:rtl/>
        </w:rPr>
        <w:t>.</w:t>
      </w:r>
      <w:r w:rsidR="00287EF3">
        <w:rPr>
          <w:rFonts w:hint="cs"/>
          <w:rtl/>
        </w:rPr>
        <w:t xml:space="preserve"> </w:t>
      </w:r>
      <w:r w:rsidR="00287EF3" w:rsidRPr="00287EF3">
        <w:rPr>
          <w:rFonts w:cs="Arial" w:hint="cs"/>
          <w:color w:val="E36C0A" w:themeColor="accent6" w:themeShade="BF"/>
          <w:rtl/>
        </w:rPr>
        <w:t>(וכ"פ בשו"ע)</w:t>
      </w:r>
    </w:p>
    <w:p w14:paraId="39EECA3E" w14:textId="77777777" w:rsidR="004A326E" w:rsidRPr="003024E5" w:rsidRDefault="004A326E" w:rsidP="004A326E">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18D17E20" w14:textId="77777777" w:rsidR="004A326E" w:rsidRDefault="004A326E" w:rsidP="004A326E">
      <w:pPr>
        <w:rPr>
          <w:rtl/>
        </w:rPr>
      </w:pPr>
      <w:r>
        <w:rPr>
          <w:rFonts w:cs="Arial"/>
          <w:rtl/>
        </w:rPr>
        <w:t>מי שתובעין אותו לדון לפני דיין שקטן ממנו, אין הדיין יכול לכופו</w:t>
      </w:r>
      <w:r w:rsidR="00287EF3">
        <w:rPr>
          <w:rStyle w:val="ab"/>
          <w:rFonts w:cs="Arial"/>
          <w:rtl/>
        </w:rPr>
        <w:footnoteReference w:id="356"/>
      </w:r>
      <w:r>
        <w:rPr>
          <w:rFonts w:cs="Arial"/>
          <w:rtl/>
        </w:rPr>
        <w:t xml:space="preserve"> לילך לפניו, אלא מכנפי מאן דאיכא התם מחכימי ומעיינים בינייהו</w:t>
      </w:r>
      <w:r>
        <w:rPr>
          <w:rStyle w:val="ab"/>
          <w:rFonts w:cs="Arial"/>
          <w:rtl/>
        </w:rPr>
        <w:footnoteReference w:id="357"/>
      </w:r>
      <w:r>
        <w:rPr>
          <w:rFonts w:cs="Arial"/>
          <w:rtl/>
        </w:rPr>
        <w:t xml:space="preserve">. </w:t>
      </w:r>
    </w:p>
    <w:p w14:paraId="37E03DAF" w14:textId="77777777" w:rsidR="004A326E" w:rsidRDefault="004A326E" w:rsidP="004A326E">
      <w:pPr>
        <w:rPr>
          <w:rtl/>
        </w:rPr>
      </w:pPr>
    </w:p>
    <w:p w14:paraId="30AB34EC" w14:textId="77777777" w:rsidR="004A326E" w:rsidRDefault="004A326E" w:rsidP="004A326E">
      <w:pPr>
        <w:pStyle w:val="2"/>
        <w:rPr>
          <w:rtl/>
        </w:rPr>
      </w:pPr>
      <w:bookmarkStart w:id="41" w:name="_Toc24883541"/>
      <w:r>
        <w:rPr>
          <w:rtl/>
        </w:rPr>
        <w:t>סעיף ז</w:t>
      </w:r>
      <w:r>
        <w:rPr>
          <w:rFonts w:hint="cs"/>
          <w:rtl/>
        </w:rPr>
        <w:t>: שונא/אוהב.</w:t>
      </w:r>
      <w:bookmarkEnd w:id="41"/>
    </w:p>
    <w:p w14:paraId="331A0D1D" w14:textId="77777777" w:rsidR="004A326E" w:rsidRDefault="004A326E" w:rsidP="004A326E">
      <w:pPr>
        <w:rPr>
          <w:rFonts w:cs="Arial"/>
          <w:rtl/>
        </w:rPr>
      </w:pPr>
      <w:r>
        <w:rPr>
          <w:rFonts w:cs="Arial" w:hint="cs"/>
          <w:b/>
          <w:bCs/>
          <w:rtl/>
        </w:rPr>
        <w:t>כתובות</w:t>
      </w:r>
      <w:r w:rsidRPr="00406F7F">
        <w:rPr>
          <w:rFonts w:cs="Arial" w:hint="cs"/>
          <w:b/>
          <w:bCs/>
          <w:rtl/>
        </w:rPr>
        <w:t xml:space="preserve"> </w:t>
      </w:r>
      <w:r w:rsidRPr="00406F7F">
        <w:rPr>
          <w:rFonts w:cs="Arial" w:hint="cs"/>
          <w:b/>
          <w:bCs/>
          <w:sz w:val="16"/>
          <w:szCs w:val="16"/>
          <w:rtl/>
        </w:rPr>
        <w:t>(פ</w:t>
      </w:r>
      <w:r>
        <w:rPr>
          <w:rFonts w:cs="Arial" w:hint="cs"/>
          <w:b/>
          <w:bCs/>
          <w:sz w:val="16"/>
          <w:szCs w:val="16"/>
          <w:rtl/>
        </w:rPr>
        <w:t>' שני דייני [פ' בתרא]</w:t>
      </w:r>
      <w:r w:rsidRPr="00406F7F">
        <w:rPr>
          <w:rFonts w:cs="Arial" w:hint="cs"/>
          <w:b/>
          <w:bCs/>
          <w:sz w:val="16"/>
          <w:szCs w:val="16"/>
          <w:rtl/>
        </w:rPr>
        <w:t xml:space="preserve">) </w:t>
      </w:r>
      <w:r>
        <w:rPr>
          <w:rFonts w:cs="Arial" w:hint="cs"/>
          <w:b/>
          <w:bCs/>
          <w:rtl/>
        </w:rPr>
        <w:t>קה</w:t>
      </w:r>
      <w:r w:rsidR="007C5546">
        <w:rPr>
          <w:rStyle w:val="ab"/>
          <w:rFonts w:cs="Arial"/>
          <w:b/>
          <w:bCs/>
          <w:rtl/>
        </w:rPr>
        <w:footnoteReference w:id="358"/>
      </w:r>
      <w:r w:rsidRPr="00406F7F">
        <w:rPr>
          <w:rFonts w:cs="Arial" w:hint="cs"/>
          <w:b/>
          <w:bCs/>
          <w:rtl/>
        </w:rPr>
        <w:t xml:space="preserve"> ע"ב: </w:t>
      </w:r>
      <w:r w:rsidRPr="009817A0">
        <w:rPr>
          <w:rFonts w:cs="Arial"/>
          <w:u w:val="single"/>
          <w:rtl/>
        </w:rPr>
        <w:t>א"ר פפא</w:t>
      </w:r>
      <w:r w:rsidRPr="009817A0">
        <w:rPr>
          <w:rFonts w:cs="Arial"/>
          <w:rtl/>
        </w:rPr>
        <w:t xml:space="preserve">: לא לידון איניש דינא למאן דרחים ליה ולא למאן דסני ליה, דרחים ליה - לא חזי ליה חובה, דסני ליה - לא חזי ליה זכותא. </w:t>
      </w:r>
    </w:p>
    <w:p w14:paraId="0975E10A" w14:textId="77777777" w:rsidR="004A326E" w:rsidRDefault="004A326E" w:rsidP="004A326E">
      <w:pPr>
        <w:rPr>
          <w:rFonts w:cs="Arial"/>
          <w:rtl/>
        </w:rPr>
      </w:pPr>
      <w:r w:rsidRPr="00406F7F">
        <w:rPr>
          <w:rFonts w:cs="Arial" w:hint="cs"/>
          <w:b/>
          <w:bCs/>
          <w:rtl/>
        </w:rPr>
        <w:t xml:space="preserve">סנהדרין </w:t>
      </w:r>
      <w:r w:rsidRPr="00406F7F">
        <w:rPr>
          <w:rFonts w:cs="Arial" w:hint="cs"/>
          <w:b/>
          <w:bCs/>
          <w:sz w:val="16"/>
          <w:szCs w:val="16"/>
          <w:rtl/>
        </w:rPr>
        <w:t xml:space="preserve">(פ' זה בורר) </w:t>
      </w:r>
      <w:r w:rsidRPr="00406F7F">
        <w:rPr>
          <w:rFonts w:cs="Arial" w:hint="cs"/>
          <w:b/>
          <w:bCs/>
          <w:rtl/>
        </w:rPr>
        <w:t>כז</w:t>
      </w:r>
      <w:r w:rsidR="006048DE" w:rsidRPr="006048DE">
        <w:rPr>
          <w:rStyle w:val="ab"/>
          <w:rFonts w:cs="Arial"/>
          <w:rtl/>
        </w:rPr>
        <w:footnoteReference w:id="359"/>
      </w:r>
      <w:r w:rsidRPr="00406F7F">
        <w:rPr>
          <w:rFonts w:cs="Arial" w:hint="cs"/>
          <w:b/>
          <w:bCs/>
          <w:rtl/>
        </w:rPr>
        <w:t xml:space="preserve"> ע"ב: </w:t>
      </w:r>
      <w:r w:rsidRPr="00406F7F">
        <w:rPr>
          <w:rFonts w:cs="Arial"/>
          <w:u w:val="double"/>
          <w:rtl/>
        </w:rPr>
        <w:t>משנה</w:t>
      </w:r>
      <w:r w:rsidRPr="00406F7F">
        <w:rPr>
          <w:rFonts w:cs="Arial" w:hint="cs"/>
          <w:u w:val="double"/>
          <w:rtl/>
        </w:rPr>
        <w:t>:</w:t>
      </w:r>
      <w:r>
        <w:rPr>
          <w:rFonts w:cs="Arial" w:hint="cs"/>
          <w:rtl/>
        </w:rPr>
        <w:t xml:space="preserve">... </w:t>
      </w:r>
      <w:r w:rsidRPr="009817A0">
        <w:rPr>
          <w:rFonts w:cs="Arial" w:hint="cs"/>
          <w:u w:val="single"/>
          <w:rtl/>
        </w:rPr>
        <w:t>רבי יהודה אומר:</w:t>
      </w:r>
      <w:r>
        <w:rPr>
          <w:rFonts w:cs="Arial" w:hint="cs"/>
          <w:rtl/>
        </w:rPr>
        <w:t xml:space="preserve">... </w:t>
      </w:r>
      <w:r w:rsidRPr="00406F7F">
        <w:rPr>
          <w:rFonts w:cs="Arial"/>
          <w:rtl/>
        </w:rPr>
        <w:t xml:space="preserve">האוהב והשונא. אוהב - זה שושבינו, שונא - כל שלא דבר עמו שלשה ימים באיבה. </w:t>
      </w:r>
      <w:r w:rsidRPr="009817A0">
        <w:rPr>
          <w:rFonts w:cs="Arial"/>
          <w:u w:val="single"/>
          <w:rtl/>
        </w:rPr>
        <w:t>אמרו לו:</w:t>
      </w:r>
      <w:r w:rsidRPr="00406F7F">
        <w:rPr>
          <w:rFonts w:cs="Arial"/>
          <w:rtl/>
        </w:rPr>
        <w:t xml:space="preserve"> לא נחשדו ישראל על כך</w:t>
      </w:r>
      <w:r w:rsidR="002C5FCA">
        <w:rPr>
          <w:rStyle w:val="ab"/>
          <w:rFonts w:cs="Arial"/>
          <w:rtl/>
        </w:rPr>
        <w:footnoteReference w:id="360"/>
      </w:r>
      <w:r w:rsidRPr="00406F7F">
        <w:rPr>
          <w:rFonts w:cs="Arial"/>
          <w:rtl/>
        </w:rPr>
        <w:t xml:space="preserve">. </w:t>
      </w:r>
      <w:r>
        <w:rPr>
          <w:rFonts w:cs="Arial" w:hint="cs"/>
          <w:rtl/>
        </w:rPr>
        <w:t xml:space="preserve">    </w:t>
      </w:r>
      <w:r w:rsidRPr="009817A0">
        <w:rPr>
          <w:rFonts w:cs="Arial" w:hint="cs"/>
          <w:u w:val="double"/>
          <w:rtl/>
        </w:rPr>
        <w:t>גמרא</w:t>
      </w:r>
      <w:r w:rsidRPr="009817A0">
        <w:rPr>
          <w:rFonts w:cs="Arial" w:hint="cs"/>
          <w:sz w:val="16"/>
          <w:szCs w:val="16"/>
          <w:u w:val="double"/>
          <w:rtl/>
        </w:rPr>
        <w:t xml:space="preserve"> </w:t>
      </w:r>
      <w:r w:rsidRPr="009817A0">
        <w:rPr>
          <w:rFonts w:cs="Arial" w:hint="cs"/>
          <w:sz w:val="14"/>
          <w:szCs w:val="14"/>
          <w:u w:val="double"/>
          <w:rtl/>
        </w:rPr>
        <w:t>(כט.)</w:t>
      </w:r>
      <w:r w:rsidRPr="009817A0">
        <w:rPr>
          <w:rFonts w:cs="Arial" w:hint="cs"/>
          <w:u w:val="double"/>
          <w:rtl/>
        </w:rPr>
        <w:t>:</w:t>
      </w:r>
      <w:r w:rsidRPr="009817A0">
        <w:rPr>
          <w:rtl/>
        </w:rPr>
        <w:t xml:space="preserve"> </w:t>
      </w:r>
      <w:r w:rsidRPr="009817A0">
        <w:rPr>
          <w:rFonts w:cs="Arial"/>
          <w:rtl/>
        </w:rPr>
        <w:t xml:space="preserve">אוהב זה שושבינו וכו'. וכמה? </w:t>
      </w:r>
      <w:r w:rsidRPr="009817A0">
        <w:rPr>
          <w:rFonts w:cs="Arial"/>
          <w:u w:val="single"/>
          <w:rtl/>
        </w:rPr>
        <w:t>אמר רבי אבא אמר רבי ירמיה אמר רב</w:t>
      </w:r>
      <w:r w:rsidRPr="009817A0">
        <w:rPr>
          <w:rFonts w:cs="Arial"/>
          <w:rtl/>
        </w:rPr>
        <w:t xml:space="preserve">: כל שבעת ימי המשתה. </w:t>
      </w:r>
      <w:r w:rsidRPr="009817A0">
        <w:rPr>
          <w:rFonts w:cs="Arial"/>
          <w:u w:val="single"/>
          <w:rtl/>
        </w:rPr>
        <w:t>ורבנן משמיה דרבא אמרי</w:t>
      </w:r>
      <w:r w:rsidRPr="009817A0">
        <w:rPr>
          <w:rFonts w:cs="Arial"/>
          <w:rtl/>
        </w:rPr>
        <w:t>: אפילו מיום ראשון ואילך</w:t>
      </w:r>
      <w:r>
        <w:rPr>
          <w:rStyle w:val="ab"/>
          <w:rFonts w:cs="Arial"/>
          <w:rtl/>
        </w:rPr>
        <w:footnoteReference w:id="361"/>
      </w:r>
      <w:r w:rsidR="00674AA5">
        <w:rPr>
          <w:rFonts w:cs="Arial" w:hint="cs"/>
          <w:rtl/>
        </w:rPr>
        <w:t>:</w:t>
      </w:r>
      <w:r w:rsidRPr="009817A0">
        <w:rPr>
          <w:rFonts w:cs="Arial"/>
          <w:rtl/>
        </w:rPr>
        <w:t xml:space="preserve"> השונא כל שלא דבר כו'</w:t>
      </w:r>
      <w:r w:rsidR="00674AA5">
        <w:rPr>
          <w:rFonts w:cs="Arial" w:hint="cs"/>
          <w:rtl/>
        </w:rPr>
        <w:t>:</w:t>
      </w:r>
      <w:r w:rsidRPr="009817A0">
        <w:rPr>
          <w:rFonts w:cs="Arial"/>
          <w:rtl/>
        </w:rPr>
        <w:t xml:space="preserve"> תנו רבנן: והוא לא אויב לו</w:t>
      </w:r>
      <w:r>
        <w:rPr>
          <w:rStyle w:val="ab"/>
          <w:rFonts w:cs="Arial"/>
          <w:rtl/>
        </w:rPr>
        <w:footnoteReference w:id="362"/>
      </w:r>
      <w:r w:rsidRPr="009817A0">
        <w:rPr>
          <w:rFonts w:cs="Arial"/>
          <w:rtl/>
        </w:rPr>
        <w:t xml:space="preserve"> - יעידנו. ולא מבקש רעתו</w:t>
      </w:r>
      <w:r>
        <w:rPr>
          <w:rStyle w:val="ab"/>
          <w:rFonts w:cs="Arial"/>
          <w:rtl/>
        </w:rPr>
        <w:footnoteReference w:id="363"/>
      </w:r>
      <w:r w:rsidRPr="009817A0">
        <w:rPr>
          <w:rFonts w:cs="Arial"/>
          <w:rtl/>
        </w:rPr>
        <w:t xml:space="preserve"> - ידיננו. אשכחן שונא, אוהב מנלן? קרי ביה הכי: והוא לא אויב לו ולא אוהב לו - יעידנו, ולא מבקש רעתו ולא טובתו - ידיננו. מידי אוהב כתיב?</w:t>
      </w:r>
      <w:r>
        <w:rPr>
          <w:rFonts w:cs="Arial" w:hint="cs"/>
          <w:rtl/>
        </w:rPr>
        <w:t xml:space="preserve"> </w:t>
      </w:r>
      <w:r w:rsidRPr="009817A0">
        <w:rPr>
          <w:rFonts w:cs="Arial"/>
          <w:rtl/>
        </w:rPr>
        <w:t xml:space="preserve">אלא, סברא הוא: אויב מאי טעמא - משום דמרחקא דעתיה </w:t>
      </w:r>
      <w:r w:rsidR="00AD18CE">
        <w:rPr>
          <w:rFonts w:cs="Arial" w:hint="cs"/>
          <w:rtl/>
        </w:rPr>
        <w:t>-</w:t>
      </w:r>
      <w:r w:rsidRPr="009817A0">
        <w:rPr>
          <w:rFonts w:cs="Arial"/>
          <w:rtl/>
        </w:rPr>
        <w:t xml:space="preserve"> אוהב נמי מקרבא דעתיה. </w:t>
      </w:r>
      <w:r w:rsidRPr="00B103C5">
        <w:rPr>
          <w:rFonts w:cs="Arial"/>
          <w:u w:val="single"/>
          <w:rtl/>
        </w:rPr>
        <w:t>ורבנן</w:t>
      </w:r>
      <w:r w:rsidRPr="009817A0">
        <w:rPr>
          <w:rFonts w:cs="Arial"/>
          <w:rtl/>
        </w:rPr>
        <w:t>: האי לא אויב לו ולא מבקש רעתו מאי דרשי ביה? חד לדיין</w:t>
      </w:r>
      <w:r w:rsidR="002C5FCA">
        <w:rPr>
          <w:rStyle w:val="ab"/>
          <w:rFonts w:cs="Arial"/>
          <w:rtl/>
        </w:rPr>
        <w:footnoteReference w:id="364"/>
      </w:r>
      <w:r w:rsidRPr="009817A0">
        <w:rPr>
          <w:rFonts w:cs="Arial"/>
          <w:rtl/>
        </w:rPr>
        <w:t>, אידך</w:t>
      </w:r>
      <w:r w:rsidR="002C5FCA">
        <w:rPr>
          <w:rStyle w:val="ab"/>
          <w:rFonts w:cs="Arial"/>
          <w:rtl/>
        </w:rPr>
        <w:footnoteReference w:id="365"/>
      </w:r>
      <w:r w:rsidRPr="009817A0">
        <w:rPr>
          <w:rFonts w:cs="Arial"/>
          <w:rtl/>
        </w:rPr>
        <w:t xml:space="preserve"> - כדתניא, אמר רבי יוסי ברבי יהודה: והוא לא אויב לו ולא מבקש רעתו - מכאן לשני תלמידי חכמים ששונאין זה את זה שאין יושבין בדין כאחד.</w:t>
      </w:r>
      <w:r>
        <w:rPr>
          <w:rFonts w:cs="Arial" w:hint="cs"/>
          <w:rtl/>
        </w:rPr>
        <w:t xml:space="preserve"> </w:t>
      </w:r>
      <w:r w:rsidRPr="009817A0">
        <w:rPr>
          <w:rFonts w:cs="Arial" w:hint="cs"/>
          <w:sz w:val="16"/>
          <w:szCs w:val="16"/>
          <w:rtl/>
        </w:rPr>
        <w:t>(</w:t>
      </w:r>
      <w:r w:rsidRPr="009817A0">
        <w:rPr>
          <w:rFonts w:cs="Arial"/>
          <w:sz w:val="16"/>
          <w:szCs w:val="16"/>
          <w:rtl/>
        </w:rPr>
        <w:t>וידוע דהלכתא כרבנן וכן פסקו הפוסקים ז"ל</w:t>
      </w:r>
      <w:r>
        <w:rPr>
          <w:rFonts w:cs="Arial" w:hint="cs"/>
          <w:sz w:val="16"/>
          <w:szCs w:val="16"/>
          <w:rtl/>
        </w:rPr>
        <w:t>, ב"י)</w:t>
      </w:r>
    </w:p>
    <w:p w14:paraId="0A46E566" w14:textId="77777777" w:rsidR="004A326E" w:rsidRPr="0036117B" w:rsidRDefault="004A326E" w:rsidP="004A326E">
      <w:pPr>
        <w:rPr>
          <w:rFonts w:cs="Arial"/>
          <w:u w:val="single"/>
          <w:rtl/>
        </w:rPr>
      </w:pPr>
      <w:r w:rsidRPr="0036117B">
        <w:rPr>
          <w:rFonts w:cs="Arial" w:hint="cs"/>
          <w:u w:val="single"/>
          <w:rtl/>
        </w:rPr>
        <w:t xml:space="preserve">דיין </w:t>
      </w:r>
      <w:r>
        <w:rPr>
          <w:rFonts w:cs="Arial" w:hint="cs"/>
          <w:u w:val="single"/>
          <w:rtl/>
        </w:rPr>
        <w:t>ש</w:t>
      </w:r>
      <w:r w:rsidRPr="0036117B">
        <w:rPr>
          <w:rFonts w:cs="Arial" w:hint="cs"/>
          <w:u w:val="single"/>
          <w:rtl/>
        </w:rPr>
        <w:t>אוהב</w:t>
      </w:r>
      <w:r w:rsidR="00674AA5">
        <w:rPr>
          <w:rFonts w:cs="Arial" w:hint="cs"/>
          <w:u w:val="single"/>
          <w:rtl/>
        </w:rPr>
        <w:t xml:space="preserve"> או </w:t>
      </w:r>
      <w:r w:rsidRPr="0036117B">
        <w:rPr>
          <w:rFonts w:cs="Arial" w:hint="cs"/>
          <w:u w:val="single"/>
          <w:rtl/>
        </w:rPr>
        <w:t xml:space="preserve">שונא </w:t>
      </w:r>
      <w:r>
        <w:rPr>
          <w:rFonts w:cs="Arial" w:hint="cs"/>
          <w:u w:val="single"/>
          <w:rtl/>
        </w:rPr>
        <w:t>את בעל דינו</w:t>
      </w:r>
      <w:r w:rsidRPr="0036117B">
        <w:rPr>
          <w:rFonts w:cs="Arial" w:hint="cs"/>
          <w:u w:val="single"/>
          <w:rtl/>
        </w:rPr>
        <w:t>:</w:t>
      </w:r>
    </w:p>
    <w:p w14:paraId="5CDB2656" w14:textId="77777777" w:rsidR="004A326E" w:rsidRDefault="004A326E" w:rsidP="004B0475">
      <w:pPr>
        <w:pStyle w:val="ac"/>
        <w:numPr>
          <w:ilvl w:val="0"/>
          <w:numId w:val="58"/>
        </w:numPr>
        <w:rPr>
          <w:rFonts w:cs="Arial"/>
        </w:rPr>
      </w:pPr>
      <w:r w:rsidRPr="0036117B">
        <w:rPr>
          <w:rFonts w:cs="Arial"/>
          <w:rtl/>
        </w:rPr>
        <w:lastRenderedPageBreak/>
        <w:t xml:space="preserve">רא"ש </w:t>
      </w:r>
      <w:r w:rsidRPr="0036117B">
        <w:rPr>
          <w:rFonts w:cs="Arial"/>
          <w:sz w:val="16"/>
          <w:szCs w:val="16"/>
          <w:rtl/>
        </w:rPr>
        <w:t>(סי' כג)</w:t>
      </w:r>
      <w:r>
        <w:rPr>
          <w:rFonts w:cs="Arial" w:hint="cs"/>
          <w:rtl/>
        </w:rPr>
        <w:t xml:space="preserve"> וטור- </w:t>
      </w:r>
      <w:r w:rsidRPr="0036117B">
        <w:rPr>
          <w:rFonts w:cs="Arial"/>
          <w:rtl/>
        </w:rPr>
        <w:t>הא דדיין פסול לדון את שונאו היינו שלא דבר עמו שלשה ימים משום איבה</w:t>
      </w:r>
      <w:r w:rsidRPr="0036117B">
        <w:rPr>
          <w:rFonts w:cs="Arial" w:hint="cs"/>
          <w:rtl/>
        </w:rPr>
        <w:t>,</w:t>
      </w:r>
      <w:r w:rsidRPr="0036117B">
        <w:rPr>
          <w:rFonts w:cs="Arial"/>
          <w:rtl/>
        </w:rPr>
        <w:t xml:space="preserve"> דומיא דעדות לרבי יהודה</w:t>
      </w:r>
      <w:r w:rsidRPr="0036117B">
        <w:rPr>
          <w:rFonts w:cs="Arial" w:hint="cs"/>
          <w:rtl/>
        </w:rPr>
        <w:t>,</w:t>
      </w:r>
      <w:r w:rsidRPr="0036117B">
        <w:rPr>
          <w:rFonts w:cs="Arial"/>
          <w:rtl/>
        </w:rPr>
        <w:t xml:space="preserve"> וכן נמי אוהב </w:t>
      </w:r>
      <w:r w:rsidRPr="0036117B">
        <w:rPr>
          <w:rFonts w:cs="Arial" w:hint="cs"/>
          <w:rtl/>
        </w:rPr>
        <w:t xml:space="preserve">- </w:t>
      </w:r>
      <w:r w:rsidRPr="0036117B">
        <w:rPr>
          <w:rFonts w:cs="Arial"/>
          <w:rtl/>
        </w:rPr>
        <w:t>שושבינו</w:t>
      </w:r>
      <w:r>
        <w:rPr>
          <w:rStyle w:val="ab"/>
          <w:rFonts w:cs="Arial"/>
          <w:rtl/>
        </w:rPr>
        <w:footnoteReference w:id="366"/>
      </w:r>
      <w:r>
        <w:rPr>
          <w:rFonts w:cs="Arial" w:hint="cs"/>
          <w:rtl/>
        </w:rPr>
        <w:t>.</w:t>
      </w:r>
      <w:r w:rsidRPr="0036117B">
        <w:rPr>
          <w:rFonts w:cs="Arial"/>
          <w:rtl/>
        </w:rPr>
        <w:t xml:space="preserve"> ומיהו אפילו אין שונאו כל כך או אין אוהבו כל כך</w:t>
      </w:r>
      <w:r w:rsidRPr="0036117B">
        <w:rPr>
          <w:rFonts w:cs="Arial" w:hint="cs"/>
          <w:rtl/>
        </w:rPr>
        <w:t xml:space="preserve"> -</w:t>
      </w:r>
      <w:r w:rsidRPr="0036117B">
        <w:rPr>
          <w:rFonts w:cs="Arial"/>
          <w:rtl/>
        </w:rPr>
        <w:t xml:space="preserve"> לכתחלה</w:t>
      </w:r>
      <w:r>
        <w:rPr>
          <w:rStyle w:val="ab"/>
          <w:rFonts w:cs="Arial"/>
          <w:rtl/>
        </w:rPr>
        <w:footnoteReference w:id="367"/>
      </w:r>
      <w:r w:rsidRPr="0036117B">
        <w:rPr>
          <w:rFonts w:cs="Arial"/>
          <w:rtl/>
        </w:rPr>
        <w:t xml:space="preserve"> לא לידייניה</w:t>
      </w:r>
      <w:r w:rsidRPr="0036117B">
        <w:rPr>
          <w:rFonts w:cs="Arial" w:hint="cs"/>
          <w:rtl/>
        </w:rPr>
        <w:t>,</w:t>
      </w:r>
      <w:r w:rsidRPr="0036117B">
        <w:rPr>
          <w:rFonts w:cs="Arial"/>
          <w:rtl/>
        </w:rPr>
        <w:t xml:space="preserve"> כדאמרינן בפרק בתרא דכתובות </w:t>
      </w:r>
      <w:r w:rsidRPr="0036117B">
        <w:rPr>
          <w:rFonts w:cs="Arial"/>
          <w:sz w:val="16"/>
          <w:szCs w:val="16"/>
          <w:rtl/>
        </w:rPr>
        <w:t xml:space="preserve">(קה:) </w:t>
      </w:r>
      <w:r w:rsidRPr="0036117B">
        <w:rPr>
          <w:rFonts w:cs="Arial"/>
          <w:rtl/>
        </w:rPr>
        <w:t>לא לידון איניש לא למאן דרחים ליה ולא למאן דסני ליה דרחים ליה לא חזי ליה חובתא ודסני ליה לא חזי ליה זכותא</w:t>
      </w:r>
      <w:r w:rsidRPr="0036117B">
        <w:rPr>
          <w:rFonts w:cs="Arial" w:hint="cs"/>
          <w:rtl/>
        </w:rPr>
        <w:t>,</w:t>
      </w:r>
      <w:r w:rsidRPr="0036117B">
        <w:rPr>
          <w:rFonts w:cs="Arial"/>
          <w:rtl/>
        </w:rPr>
        <w:t xml:space="preserve"> כי ענין הזכות והחובה מבצבצת באדם בלא כיוון רשע</w:t>
      </w:r>
      <w:r w:rsidR="002F5999">
        <w:rPr>
          <w:rFonts w:cs="Arial" w:hint="cs"/>
          <w:rtl/>
        </w:rPr>
        <w:t>,</w:t>
      </w:r>
      <w:r w:rsidRPr="0036117B">
        <w:rPr>
          <w:rFonts w:cs="Arial"/>
          <w:rtl/>
        </w:rPr>
        <w:t xml:space="preserve"> לפיכך באהבה מועטת לבו נוטה לזכות ובשנאה מועטת הלב נוטה לחובה</w:t>
      </w:r>
      <w:r>
        <w:rPr>
          <w:rFonts w:cs="Arial" w:hint="cs"/>
          <w:sz w:val="16"/>
          <w:szCs w:val="16"/>
          <w:rtl/>
        </w:rPr>
        <w:t xml:space="preserve"> (ל' הרא"ש)</w:t>
      </w:r>
      <w:r>
        <w:rPr>
          <w:rFonts w:hint="cs"/>
          <w:rtl/>
        </w:rPr>
        <w:t>.</w:t>
      </w:r>
      <w:r w:rsidRPr="006A6ED5">
        <w:rPr>
          <w:rtl/>
        </w:rPr>
        <w:t xml:space="preserve"> </w:t>
      </w:r>
    </w:p>
    <w:p w14:paraId="5E5A987E" w14:textId="77777777" w:rsidR="004A326E" w:rsidRPr="0036117B" w:rsidRDefault="00723F09" w:rsidP="004B0475">
      <w:pPr>
        <w:pStyle w:val="ac"/>
        <w:numPr>
          <w:ilvl w:val="0"/>
          <w:numId w:val="58"/>
        </w:numPr>
        <w:rPr>
          <w:rFonts w:cs="Arial"/>
          <w:rtl/>
        </w:rPr>
      </w:pPr>
      <w:r>
        <w:rPr>
          <w:rFonts w:cs="Arial" w:hint="cs"/>
          <w:rtl/>
        </w:rPr>
        <w:t xml:space="preserve">תוס' </w:t>
      </w:r>
      <w:r>
        <w:rPr>
          <w:rFonts w:cs="Arial" w:hint="cs"/>
          <w:sz w:val="16"/>
          <w:szCs w:val="16"/>
          <w:rtl/>
        </w:rPr>
        <w:t xml:space="preserve">(סנהדרין ח. ד"ה פסילנא) </w:t>
      </w:r>
      <w:r w:rsidR="004A326E" w:rsidRPr="0036117B">
        <w:rPr>
          <w:rFonts w:cs="Arial" w:hint="cs"/>
          <w:rtl/>
        </w:rPr>
        <w:t xml:space="preserve">מרדכי </w:t>
      </w:r>
      <w:r w:rsidR="004A326E" w:rsidRPr="0036117B">
        <w:rPr>
          <w:rFonts w:cs="Arial" w:hint="cs"/>
          <w:sz w:val="16"/>
          <w:szCs w:val="16"/>
          <w:rtl/>
        </w:rPr>
        <w:t>(</w:t>
      </w:r>
      <w:r w:rsidR="004A326E" w:rsidRPr="0036117B">
        <w:rPr>
          <w:rFonts w:cs="Arial"/>
          <w:sz w:val="16"/>
          <w:szCs w:val="16"/>
          <w:rtl/>
        </w:rPr>
        <w:t>ספ</w:t>
      </w:r>
      <w:r w:rsidR="004A326E" w:rsidRPr="0036117B">
        <w:rPr>
          <w:rFonts w:cs="Arial" w:hint="cs"/>
          <w:sz w:val="16"/>
          <w:szCs w:val="16"/>
          <w:rtl/>
        </w:rPr>
        <w:t>"</w:t>
      </w:r>
      <w:r w:rsidR="004A326E" w:rsidRPr="0036117B">
        <w:rPr>
          <w:rFonts w:cs="Arial"/>
          <w:sz w:val="16"/>
          <w:szCs w:val="16"/>
          <w:rtl/>
        </w:rPr>
        <w:t>ק דסנהדרין סי' תרפג)</w:t>
      </w:r>
      <w:r w:rsidR="004A326E">
        <w:rPr>
          <w:rFonts w:cs="Arial" w:hint="cs"/>
          <w:rtl/>
        </w:rPr>
        <w:t xml:space="preserve"> ומהרי"ק</w:t>
      </w:r>
      <w:r w:rsidR="004A326E">
        <w:rPr>
          <w:rFonts w:cs="Arial" w:hint="cs"/>
          <w:sz w:val="16"/>
          <w:szCs w:val="16"/>
          <w:rtl/>
        </w:rPr>
        <w:t xml:space="preserve"> (שורש כא)</w:t>
      </w:r>
      <w:r w:rsidR="004A326E" w:rsidRPr="0036117B">
        <w:rPr>
          <w:rFonts w:cs="Arial" w:hint="cs"/>
          <w:rtl/>
        </w:rPr>
        <w:t xml:space="preserve">- </w:t>
      </w:r>
      <w:r w:rsidR="004A326E" w:rsidRPr="0036117B">
        <w:rPr>
          <w:rFonts w:cs="Arial"/>
          <w:rtl/>
        </w:rPr>
        <w:t>לא לידון איניש למאן דסני ליה כו' פירש ר</w:t>
      </w:r>
      <w:r w:rsidR="004A326E">
        <w:rPr>
          <w:rFonts w:cs="Arial" w:hint="cs"/>
          <w:rtl/>
        </w:rPr>
        <w:t>"</w:t>
      </w:r>
      <w:r w:rsidR="004A326E" w:rsidRPr="0036117B">
        <w:rPr>
          <w:rFonts w:cs="Arial"/>
          <w:rtl/>
        </w:rPr>
        <w:t>ת דלא באוהב ושונא דאיירי ביה ר' יהודה ורבנן לעדות</w:t>
      </w:r>
      <w:r w:rsidR="004A326E">
        <w:rPr>
          <w:rFonts w:cs="Arial" w:hint="cs"/>
          <w:rtl/>
        </w:rPr>
        <w:t>,</w:t>
      </w:r>
      <w:r w:rsidR="004A326E" w:rsidRPr="0036117B">
        <w:rPr>
          <w:rFonts w:cs="Arial"/>
          <w:rtl/>
        </w:rPr>
        <w:t xml:space="preserve"> דלגבי דיין אפילו רבנן מודו דפסול כדפסול מקרא פ</w:t>
      </w:r>
      <w:r w:rsidR="004A326E">
        <w:rPr>
          <w:rFonts w:cs="Arial" w:hint="cs"/>
          <w:rtl/>
        </w:rPr>
        <w:t>'</w:t>
      </w:r>
      <w:r w:rsidR="004A326E" w:rsidRPr="0036117B">
        <w:rPr>
          <w:rFonts w:cs="Arial"/>
          <w:rtl/>
        </w:rPr>
        <w:t xml:space="preserve"> זה בורר </w:t>
      </w:r>
      <w:r w:rsidR="004A326E" w:rsidRPr="0036117B">
        <w:rPr>
          <w:rFonts w:cs="Arial" w:hint="cs"/>
          <w:sz w:val="16"/>
          <w:szCs w:val="16"/>
          <w:rtl/>
        </w:rPr>
        <w:t>(</w:t>
      </w:r>
      <w:r w:rsidR="004A326E" w:rsidRPr="0036117B">
        <w:rPr>
          <w:rFonts w:cs="Arial"/>
          <w:sz w:val="16"/>
          <w:szCs w:val="16"/>
          <w:rtl/>
        </w:rPr>
        <w:t>כט.</w:t>
      </w:r>
      <w:r w:rsidR="004A326E" w:rsidRPr="0036117B">
        <w:rPr>
          <w:rFonts w:cs="Arial" w:hint="cs"/>
          <w:sz w:val="16"/>
          <w:szCs w:val="16"/>
          <w:rtl/>
        </w:rPr>
        <w:t>)</w:t>
      </w:r>
      <w:r w:rsidR="004A326E">
        <w:rPr>
          <w:rFonts w:cs="Arial" w:hint="cs"/>
          <w:rtl/>
        </w:rPr>
        <w:t>,</w:t>
      </w:r>
      <w:r w:rsidR="004A326E" w:rsidRPr="0036117B">
        <w:rPr>
          <w:rFonts w:cs="Arial"/>
          <w:rtl/>
        </w:rPr>
        <w:t xml:space="preserve"> אלא התם מיירי באוהב כגון שושבינו ושונא שלא דבר עמו שלשה ימים מחמת איבה אבל הכא באוהב כדבסמוך פרח גדפא ארישיה אתא ההוא גברא שקלה דאינו אלא חומרא בעלמא שהיו מחמירין על עצמן כדאשכחן בכמה דוכתין אבל פסולים לא היו</w:t>
      </w:r>
      <w:r w:rsidR="0094585F">
        <w:rPr>
          <w:rFonts w:cs="Arial" w:hint="cs"/>
          <w:sz w:val="16"/>
          <w:szCs w:val="16"/>
          <w:rtl/>
        </w:rPr>
        <w:t xml:space="preserve"> (ל' המרדכי)</w:t>
      </w:r>
      <w:r w:rsidR="004A326E">
        <w:rPr>
          <w:rStyle w:val="ab"/>
          <w:rFonts w:cs="Arial"/>
          <w:rtl/>
        </w:rPr>
        <w:footnoteReference w:id="368"/>
      </w:r>
      <w:r w:rsidR="004A326E" w:rsidRPr="0036117B">
        <w:rPr>
          <w:rFonts w:cs="Arial" w:hint="cs"/>
          <w:rtl/>
        </w:rPr>
        <w:t>.</w:t>
      </w:r>
      <w:r w:rsidR="00903FF1" w:rsidRPr="00903FF1">
        <w:rPr>
          <w:rFonts w:cs="Arial" w:hint="cs"/>
          <w:color w:val="00B0F0"/>
          <w:rtl/>
        </w:rPr>
        <w:t xml:space="preserve"> </w:t>
      </w:r>
      <w:r w:rsidR="00903FF1" w:rsidRPr="002C6823">
        <w:rPr>
          <w:rFonts w:cs="Arial" w:hint="cs"/>
          <w:color w:val="00B0F0"/>
          <w:rtl/>
        </w:rPr>
        <w:t>(וכ"</w:t>
      </w:r>
      <w:r w:rsidR="00903FF1">
        <w:rPr>
          <w:rFonts w:cs="Arial" w:hint="cs"/>
          <w:color w:val="00B0F0"/>
          <w:rtl/>
        </w:rPr>
        <w:t>ס</w:t>
      </w:r>
      <w:r w:rsidR="00903FF1" w:rsidRPr="002C6823">
        <w:rPr>
          <w:rFonts w:cs="Arial" w:hint="cs"/>
          <w:color w:val="00B0F0"/>
          <w:rtl/>
        </w:rPr>
        <w:t xml:space="preserve"> הרמ"א)</w:t>
      </w:r>
    </w:p>
    <w:p w14:paraId="5498FF27" w14:textId="77777777" w:rsidR="004A326E" w:rsidRDefault="004A326E" w:rsidP="004B0475">
      <w:pPr>
        <w:pStyle w:val="ac"/>
        <w:numPr>
          <w:ilvl w:val="0"/>
          <w:numId w:val="58"/>
        </w:numPr>
      </w:pPr>
      <w:r w:rsidRPr="006A6ED5">
        <w:rPr>
          <w:rFonts w:cs="Arial"/>
          <w:rtl/>
        </w:rPr>
        <w:t xml:space="preserve">רמב"ם </w:t>
      </w:r>
      <w:r w:rsidRPr="006A6ED5">
        <w:rPr>
          <w:rFonts w:cs="Arial" w:hint="cs"/>
          <w:sz w:val="16"/>
          <w:szCs w:val="16"/>
          <w:rtl/>
        </w:rPr>
        <w:t>(</w:t>
      </w:r>
      <w:r w:rsidRPr="006A6ED5">
        <w:rPr>
          <w:rFonts w:cs="Arial"/>
          <w:sz w:val="16"/>
          <w:szCs w:val="16"/>
          <w:rtl/>
        </w:rPr>
        <w:t>פכ"ג מה</w:t>
      </w:r>
      <w:r w:rsidRPr="006A6ED5">
        <w:rPr>
          <w:rFonts w:cs="Arial" w:hint="cs"/>
          <w:sz w:val="16"/>
          <w:szCs w:val="16"/>
          <w:rtl/>
        </w:rPr>
        <w:t xml:space="preserve">ל' </w:t>
      </w:r>
      <w:r w:rsidRPr="006A6ED5">
        <w:rPr>
          <w:rFonts w:cs="Arial"/>
          <w:sz w:val="16"/>
          <w:szCs w:val="16"/>
          <w:rtl/>
        </w:rPr>
        <w:t>סנהדרין ה"ו)</w:t>
      </w:r>
      <w:r w:rsidRPr="006A6ED5">
        <w:rPr>
          <w:rFonts w:cs="Arial" w:hint="cs"/>
          <w:rtl/>
        </w:rPr>
        <w:t xml:space="preserve">- </w:t>
      </w:r>
      <w:r w:rsidRPr="006A6ED5">
        <w:rPr>
          <w:rFonts w:cs="Arial"/>
          <w:rtl/>
        </w:rPr>
        <w:t>אסור לדיין לדון למי שהוא אוהבו אף על פי שאינו שושבינו ולא ריעו אשר כנפשו ולא למי ששונאו אף על פי שאינו אויב לו ולא מבקש רעתו אלא צריך שיהיו שני בעלי דינים שוין בעיני הדיינים ובלבם ואם לא היה מכיר את אחד מהם ולא מעשיו אין לך דין צדק כמוהו</w:t>
      </w:r>
      <w:r>
        <w:rPr>
          <w:rStyle w:val="ab"/>
          <w:rFonts w:cs="Arial"/>
          <w:rtl/>
        </w:rPr>
        <w:footnoteReference w:id="369"/>
      </w:r>
      <w:r w:rsidRPr="006A6ED5">
        <w:rPr>
          <w:rFonts w:cs="Arial" w:hint="cs"/>
          <w:rtl/>
        </w:rPr>
        <w:t>.</w:t>
      </w:r>
      <w:r>
        <w:rPr>
          <w:rFonts w:hint="cs"/>
          <w:rtl/>
        </w:rPr>
        <w:t xml:space="preserve"> </w:t>
      </w:r>
      <w:r w:rsidRPr="00DD2C57">
        <w:rPr>
          <w:rFonts w:hint="cs"/>
          <w:color w:val="E36C0A" w:themeColor="accent6" w:themeShade="BF"/>
          <w:rtl/>
        </w:rPr>
        <w:t>(וכ"פ בשו"ע)</w:t>
      </w:r>
    </w:p>
    <w:p w14:paraId="0C814BCB" w14:textId="77777777" w:rsidR="004A326E" w:rsidRDefault="004A326E" w:rsidP="004A326E">
      <w:pPr>
        <w:rPr>
          <w:rFonts w:cs="Arial"/>
          <w:rtl/>
        </w:rPr>
      </w:pPr>
      <w:r w:rsidRPr="0015441B">
        <w:rPr>
          <w:rFonts w:cs="Arial" w:hint="cs"/>
          <w:u w:val="single"/>
          <w:rtl/>
        </w:rPr>
        <w:t>בעל דין שר</w:t>
      </w:r>
      <w:r>
        <w:rPr>
          <w:rFonts w:cs="Arial" w:hint="cs"/>
          <w:u w:val="single"/>
          <w:rtl/>
        </w:rPr>
        <w:t>ו</w:t>
      </w:r>
      <w:r w:rsidRPr="0015441B">
        <w:rPr>
          <w:rFonts w:cs="Arial" w:hint="cs"/>
          <w:u w:val="single"/>
          <w:rtl/>
        </w:rPr>
        <w:t>צה לפסול את הדיין משום ש</w:t>
      </w:r>
      <w:r w:rsidR="00903FF1">
        <w:rPr>
          <w:rFonts w:cs="Arial" w:hint="cs"/>
          <w:u w:val="single"/>
          <w:rtl/>
        </w:rPr>
        <w:t xml:space="preserve">ראה שבעל דינו עשה לדיין טובה המביאה לקירוב דעת </w:t>
      </w:r>
      <w:r w:rsidRPr="0015441B">
        <w:rPr>
          <w:rFonts w:cs="Arial" w:hint="cs"/>
          <w:sz w:val="16"/>
          <w:szCs w:val="16"/>
          <w:u w:val="single"/>
          <w:rtl/>
        </w:rPr>
        <w:t>(</w:t>
      </w:r>
      <w:r w:rsidR="00903FF1">
        <w:rPr>
          <w:rFonts w:cs="Arial" w:hint="cs"/>
          <w:sz w:val="16"/>
          <w:szCs w:val="16"/>
          <w:u w:val="single"/>
          <w:rtl/>
        </w:rPr>
        <w:t>כהא דאמרו פסילנא וכו'</w:t>
      </w:r>
      <w:r w:rsidRPr="0015441B">
        <w:rPr>
          <w:rFonts w:cs="Arial" w:hint="cs"/>
          <w:sz w:val="16"/>
          <w:szCs w:val="16"/>
          <w:u w:val="single"/>
          <w:rtl/>
        </w:rPr>
        <w:t>)</w:t>
      </w:r>
      <w:r w:rsidRPr="0015441B">
        <w:rPr>
          <w:rFonts w:cs="Arial" w:hint="cs"/>
          <w:u w:val="single"/>
          <w:rtl/>
        </w:rPr>
        <w:t>:</w:t>
      </w:r>
      <w:r>
        <w:rPr>
          <w:rFonts w:cs="Arial" w:hint="cs"/>
          <w:rtl/>
        </w:rPr>
        <w:t xml:space="preserve"> </w:t>
      </w:r>
    </w:p>
    <w:p w14:paraId="57456F4E" w14:textId="77777777" w:rsidR="004A326E" w:rsidRDefault="004A326E" w:rsidP="004B0475">
      <w:pPr>
        <w:pStyle w:val="ac"/>
        <w:numPr>
          <w:ilvl w:val="0"/>
          <w:numId w:val="59"/>
        </w:numPr>
        <w:rPr>
          <w:rFonts w:cs="Arial"/>
        </w:rPr>
      </w:pPr>
      <w:r w:rsidRPr="00202A53">
        <w:rPr>
          <w:rFonts w:cs="Arial"/>
          <w:rtl/>
        </w:rPr>
        <w:t>מרדכי</w:t>
      </w:r>
      <w:r>
        <w:rPr>
          <w:rFonts w:cs="Arial" w:hint="cs"/>
          <w:rtl/>
        </w:rPr>
        <w:t xml:space="preserve"> </w:t>
      </w:r>
      <w:r w:rsidRPr="00D27CB8">
        <w:rPr>
          <w:rFonts w:cs="Arial" w:hint="cs"/>
          <w:sz w:val="16"/>
          <w:szCs w:val="16"/>
          <w:rtl/>
        </w:rPr>
        <w:t>(כ"כ מהרי"ק [בשו"ת סי' כא] בשמו)</w:t>
      </w:r>
      <w:r>
        <w:rPr>
          <w:rFonts w:cs="Arial" w:hint="cs"/>
          <w:rtl/>
        </w:rPr>
        <w:t xml:space="preserve"> ומהרי"ק</w:t>
      </w:r>
      <w:r>
        <w:rPr>
          <w:rFonts w:cs="Arial" w:hint="cs"/>
          <w:sz w:val="16"/>
          <w:szCs w:val="16"/>
          <w:rtl/>
        </w:rPr>
        <w:t xml:space="preserve"> (שורש כא)</w:t>
      </w:r>
      <w:r w:rsidRPr="00202A53">
        <w:rPr>
          <w:rFonts w:cs="Arial" w:hint="cs"/>
          <w:rtl/>
        </w:rPr>
        <w:t>-</w:t>
      </w:r>
      <w:r w:rsidRPr="00202A53">
        <w:rPr>
          <w:rFonts w:cs="Arial"/>
          <w:rtl/>
        </w:rPr>
        <w:t xml:space="preserve"> ראובן אינו יכול לפסול את שמעון לפי שהוא אושפיזיכנו של לוי</w:t>
      </w:r>
      <w:r w:rsidR="00723F09">
        <w:rPr>
          <w:rFonts w:cs="Arial" w:hint="cs"/>
          <w:rtl/>
        </w:rPr>
        <w:t>,</w:t>
      </w:r>
      <w:r w:rsidRPr="00202A53">
        <w:rPr>
          <w:rFonts w:cs="Arial"/>
          <w:rtl/>
        </w:rPr>
        <w:t xml:space="preserve"> כי מה שאמרו בפרקא בתרא דכתובות אושפיזכני את פסילנא לך לדינא פירש ר"י שהיה מחמיר על עצמו אבל אינו פסול</w:t>
      </w:r>
      <w:r w:rsidR="00723F09">
        <w:rPr>
          <w:rFonts w:cs="Arial" w:hint="cs"/>
          <w:rtl/>
        </w:rPr>
        <w:t>,</w:t>
      </w:r>
      <w:r w:rsidRPr="00202A53">
        <w:rPr>
          <w:rFonts w:cs="Arial"/>
          <w:rtl/>
        </w:rPr>
        <w:t xml:space="preserve"> ונראה דהוא הדין לכל פסילנא לך שבתלמוד כן הוא</w:t>
      </w:r>
      <w:r>
        <w:rPr>
          <w:rFonts w:cs="Arial" w:hint="cs"/>
          <w:sz w:val="16"/>
          <w:szCs w:val="16"/>
          <w:rtl/>
        </w:rPr>
        <w:t xml:space="preserve"> (ל' מהרי"ק בשם מרדכי)</w:t>
      </w:r>
      <w:r w:rsidRPr="00202A53">
        <w:rPr>
          <w:rFonts w:cs="Arial"/>
          <w:rtl/>
        </w:rPr>
        <w:t>.</w:t>
      </w:r>
      <w:r w:rsidRPr="00D27CB8">
        <w:rPr>
          <w:rFonts w:cs="Arial"/>
          <w:rtl/>
        </w:rPr>
        <w:t xml:space="preserve"> </w:t>
      </w:r>
    </w:p>
    <w:p w14:paraId="1DCBE4E5" w14:textId="77777777" w:rsidR="00903FF1" w:rsidRPr="00903FF1" w:rsidRDefault="00903FF1" w:rsidP="00903FF1">
      <w:pPr>
        <w:ind w:left="360"/>
        <w:rPr>
          <w:rFonts w:cs="Arial"/>
          <w:u w:val="dotted"/>
        </w:rPr>
      </w:pPr>
      <w:r w:rsidRPr="00903FF1">
        <w:rPr>
          <w:rFonts w:cs="Arial" w:hint="cs"/>
          <w:u w:val="dotted"/>
          <w:rtl/>
        </w:rPr>
        <w:t xml:space="preserve">ומה הדין אם רוצה לפוסלו בטענה שהוא שונא שלו </w:t>
      </w:r>
      <w:r w:rsidRPr="00903FF1">
        <w:rPr>
          <w:rFonts w:cs="Arial" w:hint="cs"/>
          <w:b/>
          <w:bCs/>
          <w:u w:val="dotted"/>
          <w:rtl/>
        </w:rPr>
        <w:t>ממש</w:t>
      </w:r>
      <w:r w:rsidRPr="00903FF1">
        <w:rPr>
          <w:rFonts w:cs="Arial" w:hint="cs"/>
          <w:u w:val="dotted"/>
          <w:rtl/>
        </w:rPr>
        <w:t xml:space="preserve"> </w:t>
      </w:r>
      <w:r w:rsidRPr="00903FF1">
        <w:rPr>
          <w:rFonts w:cs="Arial" w:hint="cs"/>
          <w:sz w:val="16"/>
          <w:szCs w:val="16"/>
          <w:u w:val="dotted"/>
          <w:rtl/>
        </w:rPr>
        <w:t xml:space="preserve">(היינו שלא דיבר עמו ג' ימים באיבה) </w:t>
      </w:r>
      <w:r w:rsidRPr="00903FF1">
        <w:rPr>
          <w:rFonts w:cs="Arial" w:hint="cs"/>
          <w:u w:val="dotted"/>
          <w:rtl/>
        </w:rPr>
        <w:t xml:space="preserve">או שאוהב </w:t>
      </w:r>
      <w:r w:rsidRPr="00903FF1">
        <w:rPr>
          <w:rFonts w:cs="Arial" w:hint="cs"/>
          <w:b/>
          <w:bCs/>
          <w:u w:val="dotted"/>
          <w:rtl/>
        </w:rPr>
        <w:t>ממש</w:t>
      </w:r>
      <w:r w:rsidRPr="00903FF1">
        <w:rPr>
          <w:rFonts w:cs="Arial" w:hint="cs"/>
          <w:u w:val="dotted"/>
          <w:rtl/>
        </w:rPr>
        <w:t xml:space="preserve"> לבעל דינו:</w:t>
      </w:r>
    </w:p>
    <w:p w14:paraId="3218EBB3" w14:textId="77777777" w:rsidR="00903FF1" w:rsidRDefault="00903FF1" w:rsidP="004B0475">
      <w:pPr>
        <w:pStyle w:val="ac"/>
        <w:numPr>
          <w:ilvl w:val="0"/>
          <w:numId w:val="59"/>
        </w:numPr>
        <w:rPr>
          <w:rFonts w:cs="Arial"/>
        </w:rPr>
      </w:pPr>
      <w:r w:rsidRPr="0015441B">
        <w:rPr>
          <w:rFonts w:cs="Arial" w:hint="cs"/>
          <w:rtl/>
        </w:rPr>
        <w:t>רא"ש</w:t>
      </w:r>
      <w:r w:rsidRPr="0015441B">
        <w:rPr>
          <w:rFonts w:cs="Arial" w:hint="cs"/>
          <w:sz w:val="16"/>
          <w:szCs w:val="16"/>
          <w:rtl/>
        </w:rPr>
        <w:t xml:space="preserve"> </w:t>
      </w:r>
      <w:r>
        <w:rPr>
          <w:rFonts w:cs="Arial" w:hint="cs"/>
          <w:sz w:val="16"/>
          <w:szCs w:val="16"/>
          <w:rtl/>
        </w:rPr>
        <w:t>(</w:t>
      </w:r>
      <w:r w:rsidRPr="0015441B">
        <w:rPr>
          <w:rFonts w:cs="Arial" w:hint="cs"/>
          <w:sz w:val="16"/>
          <w:szCs w:val="16"/>
          <w:rtl/>
        </w:rPr>
        <w:t>בכלל נו סי' ט</w:t>
      </w:r>
      <w:r>
        <w:rPr>
          <w:rFonts w:cs="Arial" w:hint="cs"/>
          <w:sz w:val="16"/>
          <w:szCs w:val="16"/>
          <w:rtl/>
        </w:rPr>
        <w:t>)</w:t>
      </w:r>
      <w:r>
        <w:rPr>
          <w:rFonts w:cs="Arial" w:hint="cs"/>
          <w:rtl/>
        </w:rPr>
        <w:t xml:space="preserve"> וטור- </w:t>
      </w:r>
      <w:r w:rsidRPr="0015441B">
        <w:rPr>
          <w:rFonts w:cs="Arial"/>
          <w:rtl/>
        </w:rPr>
        <w:t>צריך הבעל דין לברר בעדים שלא דבר עמו ג' ימים באיבה אם אין הדיין מודה לו</w:t>
      </w:r>
      <w:r w:rsidR="00CF4871">
        <w:rPr>
          <w:rFonts w:cs="Arial" w:hint="cs"/>
          <w:rtl/>
        </w:rPr>
        <w:t>,</w:t>
      </w:r>
      <w:r w:rsidRPr="0015441B">
        <w:rPr>
          <w:rFonts w:cs="Arial"/>
          <w:rtl/>
        </w:rPr>
        <w:t xml:space="preserve"> אבל בדיבורו לא מהימן, דאל</w:t>
      </w:r>
      <w:r>
        <w:rPr>
          <w:rFonts w:cs="Arial" w:hint="cs"/>
          <w:rtl/>
        </w:rPr>
        <w:t>"</w:t>
      </w:r>
      <w:r w:rsidRPr="0015441B">
        <w:rPr>
          <w:rFonts w:cs="Arial"/>
          <w:rtl/>
        </w:rPr>
        <w:t>כ יפסול כל הדיינין</w:t>
      </w:r>
      <w:r>
        <w:rPr>
          <w:rFonts w:cs="Arial" w:hint="cs"/>
          <w:rtl/>
        </w:rPr>
        <w:t>,</w:t>
      </w:r>
      <w:r w:rsidRPr="0015441B">
        <w:rPr>
          <w:rFonts w:cs="Arial"/>
          <w:rtl/>
        </w:rPr>
        <w:t xml:space="preserve"> ושנאה שבלב לא תוכל להתברר</w:t>
      </w:r>
      <w:r>
        <w:rPr>
          <w:rFonts w:cs="Arial" w:hint="cs"/>
          <w:rtl/>
        </w:rPr>
        <w:t>,</w:t>
      </w:r>
      <w:r w:rsidRPr="0015441B">
        <w:rPr>
          <w:rFonts w:cs="Arial"/>
          <w:rtl/>
        </w:rPr>
        <w:t xml:space="preserve"> ולא נחשדו ישראל על כך</w:t>
      </w:r>
      <w:r w:rsidRPr="0015441B">
        <w:rPr>
          <w:rFonts w:cs="Arial" w:hint="cs"/>
          <w:rtl/>
        </w:rPr>
        <w:t>.</w:t>
      </w:r>
      <w:r w:rsidRPr="002758DF">
        <w:rPr>
          <w:rFonts w:cs="Arial" w:hint="cs"/>
          <w:color w:val="00B0F0"/>
          <w:rtl/>
        </w:rPr>
        <w:t xml:space="preserve"> </w:t>
      </w:r>
      <w:r w:rsidRPr="002C6823">
        <w:rPr>
          <w:rFonts w:cs="Arial" w:hint="cs"/>
          <w:color w:val="00B0F0"/>
          <w:rtl/>
        </w:rPr>
        <w:t>(וכ"פ הרמ"א)</w:t>
      </w:r>
    </w:p>
    <w:p w14:paraId="011708F3" w14:textId="77777777" w:rsidR="004A326E" w:rsidRPr="000D5818" w:rsidRDefault="004A326E" w:rsidP="004A326E">
      <w:pPr>
        <w:rPr>
          <w:rFonts w:cs="Arial"/>
          <w:u w:val="single"/>
        </w:rPr>
      </w:pPr>
      <w:r w:rsidRPr="000D5818">
        <w:rPr>
          <w:rFonts w:cs="Arial" w:hint="cs"/>
          <w:u w:val="single"/>
          <w:rtl/>
        </w:rPr>
        <w:t xml:space="preserve">האם בית דין פסול </w:t>
      </w:r>
      <w:r>
        <w:rPr>
          <w:rFonts w:cs="Arial" w:hint="cs"/>
          <w:sz w:val="16"/>
          <w:szCs w:val="16"/>
          <w:u w:val="single"/>
          <w:rtl/>
        </w:rPr>
        <w:t xml:space="preserve">(מחמת חומרא או מדינא) </w:t>
      </w:r>
      <w:r w:rsidRPr="000D5818">
        <w:rPr>
          <w:rFonts w:cs="Arial" w:hint="cs"/>
          <w:u w:val="single"/>
          <w:rtl/>
        </w:rPr>
        <w:t>יכול לסדר בית דין אחר שיהיה כשר לדון במקרה שהובא לפניהם:</w:t>
      </w:r>
    </w:p>
    <w:p w14:paraId="6BBEFA5D" w14:textId="77777777" w:rsidR="004A326E" w:rsidRDefault="004A326E" w:rsidP="004B0475">
      <w:pPr>
        <w:pStyle w:val="ac"/>
        <w:numPr>
          <w:ilvl w:val="0"/>
          <w:numId w:val="59"/>
        </w:numPr>
        <w:rPr>
          <w:rFonts w:cs="Arial"/>
        </w:rPr>
      </w:pPr>
      <w:r>
        <w:rPr>
          <w:rFonts w:cs="Arial" w:hint="cs"/>
          <w:rtl/>
        </w:rPr>
        <w:t>מהרי"ק</w:t>
      </w:r>
      <w:r w:rsidRPr="00C20979">
        <w:rPr>
          <w:rFonts w:cs="Arial"/>
          <w:rtl/>
        </w:rPr>
        <w:t xml:space="preserve"> </w:t>
      </w:r>
      <w:r w:rsidRPr="000D5818">
        <w:rPr>
          <w:rFonts w:cs="Arial"/>
          <w:sz w:val="16"/>
          <w:szCs w:val="16"/>
          <w:rtl/>
        </w:rPr>
        <w:t>(</w:t>
      </w:r>
      <w:r w:rsidRPr="000D5818">
        <w:rPr>
          <w:rFonts w:cs="Arial" w:hint="cs"/>
          <w:sz w:val="16"/>
          <w:szCs w:val="16"/>
          <w:rtl/>
        </w:rPr>
        <w:t xml:space="preserve">שורש כא </w:t>
      </w:r>
      <w:r w:rsidRPr="000D5818">
        <w:rPr>
          <w:rFonts w:cs="Arial"/>
          <w:sz w:val="16"/>
          <w:szCs w:val="16"/>
          <w:rtl/>
        </w:rPr>
        <w:t>ענף ה)</w:t>
      </w:r>
      <w:r>
        <w:rPr>
          <w:rFonts w:cs="Arial" w:hint="cs"/>
          <w:rtl/>
        </w:rPr>
        <w:t>-</w:t>
      </w:r>
      <w:r w:rsidRPr="00C20979">
        <w:rPr>
          <w:rFonts w:cs="Arial"/>
          <w:rtl/>
        </w:rPr>
        <w:t xml:space="preserve"> אפילו המחמירים על עצמם שלא לדון באותם דברים מחמת חסידות יכולים הם לברר להם דיינים</w:t>
      </w:r>
      <w:r w:rsidR="00CF4871">
        <w:rPr>
          <w:rFonts w:cs="Arial" w:hint="cs"/>
          <w:rtl/>
        </w:rPr>
        <w:t>.</w:t>
      </w:r>
      <w:r w:rsidRPr="00C20979">
        <w:rPr>
          <w:rFonts w:cs="Arial"/>
          <w:rtl/>
        </w:rPr>
        <w:t xml:space="preserve"> וכן פשוט שם בגמרא</w:t>
      </w:r>
      <w:r>
        <w:rPr>
          <w:rFonts w:cs="Arial" w:hint="cs"/>
          <w:rtl/>
        </w:rPr>
        <w:t xml:space="preserve">. </w:t>
      </w:r>
      <w:r w:rsidRPr="002C6823">
        <w:rPr>
          <w:rFonts w:cs="Arial" w:hint="cs"/>
          <w:color w:val="00B0F0"/>
          <w:rtl/>
        </w:rPr>
        <w:t>(וכ"פ הרמ"א)</w:t>
      </w:r>
    </w:p>
    <w:p w14:paraId="1897A272" w14:textId="77777777" w:rsidR="004A326E" w:rsidRPr="00F17BD5" w:rsidRDefault="004A326E" w:rsidP="004B0475">
      <w:pPr>
        <w:pStyle w:val="ac"/>
        <w:numPr>
          <w:ilvl w:val="0"/>
          <w:numId w:val="59"/>
        </w:numPr>
        <w:rPr>
          <w:rFonts w:cs="Arial"/>
          <w:rtl/>
        </w:rPr>
      </w:pPr>
      <w:r>
        <w:rPr>
          <w:rFonts w:cs="Arial" w:hint="cs"/>
          <w:rtl/>
        </w:rPr>
        <w:t xml:space="preserve">תרוה"ד </w:t>
      </w:r>
      <w:r w:rsidRPr="00F17BD5">
        <w:rPr>
          <w:rFonts w:cs="Arial" w:hint="cs"/>
          <w:sz w:val="16"/>
          <w:szCs w:val="16"/>
          <w:rtl/>
        </w:rPr>
        <w:t xml:space="preserve">(פסקים וכתבים סי' רנח, הביאו הדרכ"מ אות </w:t>
      </w:r>
      <w:r w:rsidRPr="00F17BD5">
        <w:rPr>
          <w:rFonts w:cs="Arial"/>
          <w:sz w:val="16"/>
          <w:szCs w:val="16"/>
          <w:rtl/>
        </w:rPr>
        <w:t>ה)</w:t>
      </w:r>
      <w:r>
        <w:rPr>
          <w:rFonts w:cs="Arial" w:hint="cs"/>
          <w:rtl/>
        </w:rPr>
        <w:t>-</w:t>
      </w:r>
      <w:r w:rsidRPr="00F17BD5">
        <w:rPr>
          <w:rtl/>
        </w:rPr>
        <w:t xml:space="preserve"> </w:t>
      </w:r>
      <w:r w:rsidRPr="00F17BD5">
        <w:rPr>
          <w:rFonts w:cs="Arial"/>
          <w:rtl/>
        </w:rPr>
        <w:t xml:space="preserve">יש מנהג במדינתינו שלא לפסול שום ב"ד </w:t>
      </w:r>
      <w:r>
        <w:rPr>
          <w:rFonts w:cs="Arial" w:hint="cs"/>
          <w:sz w:val="16"/>
          <w:szCs w:val="16"/>
          <w:rtl/>
        </w:rPr>
        <w:t xml:space="preserve">{אף שהב"ד פסול, דרכ"מ} </w:t>
      </w:r>
      <w:r w:rsidRPr="00F17BD5">
        <w:rPr>
          <w:rFonts w:cs="Arial"/>
          <w:rtl/>
        </w:rPr>
        <w:t>לסדר הב"ד</w:t>
      </w:r>
      <w:r>
        <w:rPr>
          <w:rFonts w:cs="Arial" w:hint="cs"/>
          <w:rtl/>
        </w:rPr>
        <w:t xml:space="preserve">... </w:t>
      </w:r>
      <w:r w:rsidRPr="00F17BD5">
        <w:rPr>
          <w:rFonts w:cs="Arial"/>
          <w:rtl/>
        </w:rPr>
        <w:t>וא</w:t>
      </w:r>
      <w:r>
        <w:rPr>
          <w:rFonts w:cs="Arial" w:hint="cs"/>
          <w:rtl/>
        </w:rPr>
        <w:t>ע"ג</w:t>
      </w:r>
      <w:r w:rsidRPr="00F17BD5">
        <w:rPr>
          <w:rFonts w:cs="Arial"/>
          <w:rtl/>
        </w:rPr>
        <w:t xml:space="preserve"> דיש להתיר אחר המנהג, ידע מר דגדולי עולם ישבו בארץ מי ישנה את מנהגם. </w:t>
      </w:r>
    </w:p>
    <w:p w14:paraId="0C3FBA92" w14:textId="77777777" w:rsidR="004A326E" w:rsidRPr="00C50A1F" w:rsidRDefault="004A326E" w:rsidP="004A326E">
      <w:pPr>
        <w:rPr>
          <w:rFonts w:cs="Arial"/>
          <w:u w:val="single"/>
          <w:rtl/>
        </w:rPr>
      </w:pPr>
      <w:r w:rsidRPr="00C50A1F">
        <w:rPr>
          <w:rFonts w:cs="Arial" w:hint="cs"/>
          <w:u w:val="single"/>
          <w:rtl/>
        </w:rPr>
        <w:t xml:space="preserve">מחותנים </w:t>
      </w:r>
      <w:r w:rsidRPr="00C50A1F">
        <w:rPr>
          <w:rFonts w:cs="Arial"/>
          <w:u w:val="single"/>
          <w:rtl/>
        </w:rPr>
        <w:t>–</w:t>
      </w:r>
      <w:r w:rsidRPr="00C50A1F">
        <w:rPr>
          <w:rFonts w:cs="Arial" w:hint="cs"/>
          <w:u w:val="single"/>
          <w:rtl/>
        </w:rPr>
        <w:t xml:space="preserve"> מהו שידונו זה את זה: </w:t>
      </w:r>
    </w:p>
    <w:p w14:paraId="03E52DA3" w14:textId="77777777" w:rsidR="004A326E" w:rsidRPr="00C50A1F" w:rsidRDefault="004A326E" w:rsidP="004B0475">
      <w:pPr>
        <w:pStyle w:val="ac"/>
        <w:numPr>
          <w:ilvl w:val="0"/>
          <w:numId w:val="59"/>
        </w:numPr>
        <w:rPr>
          <w:rFonts w:cs="Arial"/>
          <w:rtl/>
        </w:rPr>
      </w:pPr>
      <w:r w:rsidRPr="00C50A1F">
        <w:rPr>
          <w:rFonts w:cs="Arial" w:hint="cs"/>
          <w:rtl/>
        </w:rPr>
        <w:t xml:space="preserve">בהעי"ט </w:t>
      </w:r>
      <w:r w:rsidRPr="00C50A1F">
        <w:rPr>
          <w:rFonts w:cs="Arial" w:hint="cs"/>
          <w:sz w:val="16"/>
          <w:szCs w:val="16"/>
          <w:rtl/>
        </w:rPr>
        <w:t>(</w:t>
      </w:r>
      <w:r w:rsidRPr="00C50A1F">
        <w:rPr>
          <w:rFonts w:cs="Arial"/>
          <w:sz w:val="16"/>
          <w:szCs w:val="16"/>
          <w:rtl/>
        </w:rPr>
        <w:t>אות ק' קבלת עדות</w:t>
      </w:r>
      <w:r w:rsidRPr="00C50A1F">
        <w:rPr>
          <w:rFonts w:cs="Arial" w:hint="cs"/>
          <w:sz w:val="16"/>
          <w:szCs w:val="16"/>
          <w:rtl/>
        </w:rPr>
        <w:t xml:space="preserve">) </w:t>
      </w:r>
      <w:r w:rsidRPr="00C50A1F">
        <w:rPr>
          <w:rFonts w:cs="Arial" w:hint="cs"/>
          <w:rtl/>
        </w:rPr>
        <w:t>והגמ"ר</w:t>
      </w:r>
      <w:r w:rsidRPr="00C50A1F">
        <w:rPr>
          <w:rFonts w:cs="Arial"/>
          <w:rtl/>
        </w:rPr>
        <w:t xml:space="preserve"> </w:t>
      </w:r>
      <w:r w:rsidRPr="00C50A1F">
        <w:rPr>
          <w:rFonts w:cs="Arial" w:hint="cs"/>
          <w:sz w:val="16"/>
          <w:szCs w:val="16"/>
          <w:rtl/>
        </w:rPr>
        <w:t>(</w:t>
      </w:r>
      <w:r w:rsidRPr="00C50A1F">
        <w:rPr>
          <w:rFonts w:cs="Arial"/>
          <w:sz w:val="16"/>
          <w:szCs w:val="16"/>
          <w:rtl/>
        </w:rPr>
        <w:t xml:space="preserve">סנהדרין סו"ס תשכא) </w:t>
      </w:r>
      <w:r w:rsidRPr="00C50A1F">
        <w:rPr>
          <w:rFonts w:cs="Arial"/>
          <w:rtl/>
        </w:rPr>
        <w:t>בשם גאון</w:t>
      </w:r>
      <w:r w:rsidRPr="00C50A1F">
        <w:rPr>
          <w:rFonts w:cs="Arial" w:hint="cs"/>
          <w:rtl/>
        </w:rPr>
        <w:t xml:space="preserve">- </w:t>
      </w:r>
      <w:r w:rsidRPr="00C50A1F">
        <w:rPr>
          <w:rFonts w:cs="Arial"/>
          <w:rtl/>
        </w:rPr>
        <w:t xml:space="preserve">אבי חתן ואבי כלה </w:t>
      </w:r>
      <w:r w:rsidR="00CF4871">
        <w:rPr>
          <w:rFonts w:cs="Arial" w:hint="cs"/>
          <w:rtl/>
        </w:rPr>
        <w:t xml:space="preserve">- </w:t>
      </w:r>
      <w:r w:rsidRPr="00C50A1F">
        <w:rPr>
          <w:rFonts w:cs="Arial"/>
          <w:rtl/>
        </w:rPr>
        <w:t>מעידין זה לזה ואין כשרים לדון</w:t>
      </w:r>
      <w:r w:rsidR="00CF4871">
        <w:rPr>
          <w:rFonts w:cs="Arial" w:hint="cs"/>
          <w:rtl/>
        </w:rPr>
        <w:t>.</w:t>
      </w:r>
      <w:r w:rsidRPr="00C50A1F">
        <w:rPr>
          <w:rFonts w:cs="Arial"/>
          <w:rtl/>
        </w:rPr>
        <w:t xml:space="preserve"> ואפילו הוא דיין קבוע </w:t>
      </w:r>
      <w:r w:rsidR="00CF4871">
        <w:rPr>
          <w:rFonts w:cs="Arial" w:hint="cs"/>
          <w:rtl/>
        </w:rPr>
        <w:t xml:space="preserve">- </w:t>
      </w:r>
      <w:r w:rsidRPr="00C50A1F">
        <w:rPr>
          <w:rFonts w:cs="Arial"/>
          <w:rtl/>
        </w:rPr>
        <w:t>יכול בעל דינו לומר אינו מקובל לי</w:t>
      </w:r>
      <w:r w:rsidRPr="00C50A1F">
        <w:rPr>
          <w:rFonts w:cs="Arial" w:hint="cs"/>
          <w:rtl/>
        </w:rPr>
        <w:t>.</w:t>
      </w:r>
      <w:r w:rsidRPr="00C50A1F">
        <w:rPr>
          <w:rFonts w:cs="Arial"/>
          <w:rtl/>
        </w:rPr>
        <w:t xml:space="preserve"> </w:t>
      </w:r>
    </w:p>
    <w:p w14:paraId="0A147B58" w14:textId="77777777" w:rsidR="004A326E" w:rsidRPr="00C50A1F" w:rsidRDefault="004A326E" w:rsidP="004B0475">
      <w:pPr>
        <w:pStyle w:val="ac"/>
        <w:numPr>
          <w:ilvl w:val="0"/>
          <w:numId w:val="59"/>
        </w:numPr>
        <w:rPr>
          <w:rFonts w:cs="Arial"/>
          <w:rtl/>
        </w:rPr>
      </w:pPr>
      <w:r w:rsidRPr="00C50A1F">
        <w:rPr>
          <w:rFonts w:cs="Arial"/>
          <w:rtl/>
        </w:rPr>
        <w:t xml:space="preserve">מהרי"ק </w:t>
      </w:r>
      <w:r w:rsidRPr="00C50A1F">
        <w:rPr>
          <w:rFonts w:cs="Arial" w:hint="cs"/>
          <w:sz w:val="16"/>
          <w:szCs w:val="16"/>
          <w:rtl/>
        </w:rPr>
        <w:t>(</w:t>
      </w:r>
      <w:r w:rsidRPr="00C50A1F">
        <w:rPr>
          <w:rFonts w:cs="Arial"/>
          <w:sz w:val="16"/>
          <w:szCs w:val="16"/>
          <w:rtl/>
        </w:rPr>
        <w:t>שורש כא ענף ד)</w:t>
      </w:r>
      <w:r w:rsidRPr="00C50A1F">
        <w:rPr>
          <w:rFonts w:cs="Arial" w:hint="cs"/>
          <w:rtl/>
        </w:rPr>
        <w:t xml:space="preserve">- </w:t>
      </w:r>
      <w:r w:rsidRPr="00C50A1F">
        <w:rPr>
          <w:rFonts w:cs="Arial"/>
          <w:rtl/>
        </w:rPr>
        <w:t xml:space="preserve">מחותן דהיינו אבי חתן ואבי כלה </w:t>
      </w:r>
      <w:r w:rsidR="00CF4871">
        <w:rPr>
          <w:rFonts w:cs="Arial" w:hint="cs"/>
          <w:rtl/>
        </w:rPr>
        <w:t xml:space="preserve">- </w:t>
      </w:r>
      <w:r w:rsidRPr="00C50A1F">
        <w:rPr>
          <w:rFonts w:cs="Arial"/>
          <w:rtl/>
        </w:rPr>
        <w:t>כשרים לדון זה את זה כמו שכשרים להעיד זה את זה</w:t>
      </w:r>
      <w:r>
        <w:rPr>
          <w:rStyle w:val="ab"/>
          <w:rFonts w:cs="Arial"/>
          <w:rtl/>
        </w:rPr>
        <w:footnoteReference w:id="370"/>
      </w:r>
      <w:r w:rsidRPr="00C50A1F">
        <w:rPr>
          <w:rFonts w:cs="Arial"/>
          <w:rtl/>
        </w:rPr>
        <w:t xml:space="preserve"> </w:t>
      </w:r>
      <w:r w:rsidRPr="00C50A1F">
        <w:rPr>
          <w:rFonts w:cs="Arial"/>
          <w:sz w:val="16"/>
          <w:szCs w:val="16"/>
          <w:rtl/>
        </w:rPr>
        <w:t>(סנהדרין כח:)</w:t>
      </w:r>
      <w:r w:rsidRPr="00C50A1F">
        <w:rPr>
          <w:rFonts w:cs="Arial"/>
          <w:rtl/>
        </w:rPr>
        <w:t xml:space="preserve">. </w:t>
      </w:r>
    </w:p>
    <w:p w14:paraId="4ECC8A20" w14:textId="77777777" w:rsidR="004A326E" w:rsidRDefault="004A326E" w:rsidP="004A326E">
      <w:pPr>
        <w:rPr>
          <w:rFonts w:cs="Arial"/>
          <w:rtl/>
        </w:rPr>
      </w:pPr>
      <w:r w:rsidRPr="00F17BD5">
        <w:rPr>
          <w:rFonts w:cs="Arial" w:hint="cs"/>
          <w:u w:val="single"/>
          <w:rtl/>
        </w:rPr>
        <w:lastRenderedPageBreak/>
        <w:t xml:space="preserve">הרב/המלמד </w:t>
      </w:r>
      <w:r w:rsidRPr="00F17BD5">
        <w:rPr>
          <w:rFonts w:cs="Arial"/>
          <w:u w:val="single"/>
          <w:rtl/>
        </w:rPr>
        <w:t>–</w:t>
      </w:r>
      <w:r w:rsidRPr="00F17BD5">
        <w:rPr>
          <w:rFonts w:cs="Arial" w:hint="cs"/>
          <w:u w:val="single"/>
          <w:rtl/>
        </w:rPr>
        <w:t xml:space="preserve"> מהו שידון לתלמידו או לאביו של תלמידו:</w:t>
      </w:r>
    </w:p>
    <w:p w14:paraId="17DBDF72" w14:textId="77777777" w:rsidR="004A326E" w:rsidRPr="00F17BD5" w:rsidRDefault="004A326E" w:rsidP="004B0475">
      <w:pPr>
        <w:pStyle w:val="ac"/>
        <w:numPr>
          <w:ilvl w:val="0"/>
          <w:numId w:val="60"/>
        </w:numPr>
      </w:pPr>
      <w:r w:rsidRPr="00F17BD5">
        <w:rPr>
          <w:rFonts w:cs="Arial" w:hint="cs"/>
          <w:rtl/>
        </w:rPr>
        <w:t xml:space="preserve">מהרי"ק </w:t>
      </w:r>
      <w:r w:rsidRPr="00F17BD5">
        <w:rPr>
          <w:rFonts w:cs="Arial" w:hint="cs"/>
          <w:sz w:val="16"/>
          <w:szCs w:val="16"/>
          <w:rtl/>
        </w:rPr>
        <w:t>(</w:t>
      </w:r>
      <w:r w:rsidRPr="00F17BD5">
        <w:rPr>
          <w:rFonts w:cs="Arial"/>
          <w:sz w:val="16"/>
          <w:szCs w:val="16"/>
          <w:rtl/>
        </w:rPr>
        <w:t xml:space="preserve">שורש </w:t>
      </w:r>
      <w:r w:rsidRPr="00F17BD5">
        <w:rPr>
          <w:rFonts w:cs="Arial" w:hint="cs"/>
          <w:sz w:val="16"/>
          <w:szCs w:val="16"/>
          <w:rtl/>
        </w:rPr>
        <w:t>טז</w:t>
      </w:r>
      <w:r w:rsidRPr="00F17BD5">
        <w:rPr>
          <w:rFonts w:cs="Arial"/>
          <w:sz w:val="16"/>
          <w:szCs w:val="16"/>
          <w:rtl/>
        </w:rPr>
        <w:t xml:space="preserve"> ענף ב)</w:t>
      </w:r>
      <w:r w:rsidRPr="00F17BD5">
        <w:rPr>
          <w:rFonts w:cs="Arial" w:hint="cs"/>
          <w:rtl/>
        </w:rPr>
        <w:t>-</w:t>
      </w:r>
      <w:r w:rsidRPr="00F17BD5">
        <w:rPr>
          <w:rFonts w:cs="Arial"/>
          <w:rtl/>
        </w:rPr>
        <w:t xml:space="preserve"> הרב כשר להעיד ולדון לתלמידו או לאביו של תלמידו אע</w:t>
      </w:r>
      <w:r>
        <w:rPr>
          <w:rFonts w:cs="Arial" w:hint="cs"/>
          <w:rtl/>
        </w:rPr>
        <w:t>"</w:t>
      </w:r>
      <w:r w:rsidRPr="00F17BD5">
        <w:rPr>
          <w:rFonts w:cs="Arial"/>
          <w:rtl/>
        </w:rPr>
        <w:t>פ שמקבל מהם שכר למודו</w:t>
      </w:r>
      <w:r>
        <w:rPr>
          <w:rStyle w:val="ab"/>
          <w:rFonts w:cs="Arial"/>
          <w:rtl/>
        </w:rPr>
        <w:footnoteReference w:id="371"/>
      </w:r>
      <w:r w:rsidRPr="00F17BD5">
        <w:rPr>
          <w:rFonts w:cs="Arial"/>
          <w:rtl/>
        </w:rPr>
        <w:t xml:space="preserve">. </w:t>
      </w:r>
    </w:p>
    <w:p w14:paraId="6917C884" w14:textId="77777777" w:rsidR="004A326E" w:rsidRPr="00F17BD5" w:rsidRDefault="004A326E" w:rsidP="004A326E">
      <w:pPr>
        <w:rPr>
          <w:u w:val="single"/>
        </w:rPr>
      </w:pPr>
      <w:r w:rsidRPr="00F17BD5">
        <w:rPr>
          <w:rFonts w:hint="cs"/>
          <w:u w:val="single"/>
          <w:rtl/>
        </w:rPr>
        <w:t>אוהב ושונא כשזה בורר לו אחד וזה בורר לו אחד:</w:t>
      </w:r>
    </w:p>
    <w:p w14:paraId="50746152" w14:textId="77777777" w:rsidR="004A326E" w:rsidRDefault="004A326E" w:rsidP="004B0475">
      <w:pPr>
        <w:pStyle w:val="ac"/>
        <w:numPr>
          <w:ilvl w:val="0"/>
          <w:numId w:val="60"/>
        </w:numPr>
      </w:pPr>
      <w:r w:rsidRPr="00F17BD5">
        <w:rPr>
          <w:rFonts w:cs="Arial" w:hint="cs"/>
          <w:rtl/>
        </w:rPr>
        <w:t xml:space="preserve">מהרי"ק </w:t>
      </w:r>
      <w:r w:rsidRPr="00F17BD5">
        <w:rPr>
          <w:rFonts w:cs="Arial" w:hint="cs"/>
          <w:sz w:val="16"/>
          <w:szCs w:val="16"/>
          <w:rtl/>
        </w:rPr>
        <w:t>(</w:t>
      </w:r>
      <w:r w:rsidRPr="00F17BD5">
        <w:rPr>
          <w:rFonts w:cs="Arial"/>
          <w:sz w:val="16"/>
          <w:szCs w:val="16"/>
          <w:rtl/>
        </w:rPr>
        <w:t xml:space="preserve">שורש </w:t>
      </w:r>
      <w:r w:rsidRPr="00F17BD5">
        <w:rPr>
          <w:rFonts w:cs="Arial" w:hint="cs"/>
          <w:sz w:val="16"/>
          <w:szCs w:val="16"/>
          <w:rtl/>
        </w:rPr>
        <w:t>טז</w:t>
      </w:r>
      <w:r w:rsidRPr="00F17BD5">
        <w:rPr>
          <w:rFonts w:cs="Arial"/>
          <w:sz w:val="16"/>
          <w:szCs w:val="16"/>
          <w:rtl/>
        </w:rPr>
        <w:t xml:space="preserve"> ענף ב)</w:t>
      </w:r>
      <w:r w:rsidRPr="00F17BD5">
        <w:rPr>
          <w:rFonts w:cs="Arial" w:hint="cs"/>
          <w:rtl/>
        </w:rPr>
        <w:t>-</w:t>
      </w:r>
      <w:r w:rsidRPr="00F17BD5">
        <w:rPr>
          <w:rFonts w:cs="Arial"/>
          <w:rtl/>
        </w:rPr>
        <w:t xml:space="preserve"> כל הנך עובדי דפרק שני דייני גזירות דאמרו פסילנא לך לדינא וכל המעשים הנזכרים שם לא שייכי כשזה בורר לו אחד וזה בורר לו אחד</w:t>
      </w:r>
      <w:r w:rsidR="00CF4871">
        <w:rPr>
          <w:rFonts w:cs="Arial" w:hint="cs"/>
          <w:rtl/>
        </w:rPr>
        <w:t>,</w:t>
      </w:r>
      <w:r w:rsidRPr="00F17BD5">
        <w:rPr>
          <w:rFonts w:cs="Arial"/>
          <w:rtl/>
        </w:rPr>
        <w:t xml:space="preserve"> דאם זה יברור ברחים ליה גם זה יברור כן</w:t>
      </w:r>
      <w:r w:rsidR="002758DF">
        <w:rPr>
          <w:rFonts w:cs="Arial" w:hint="cs"/>
          <w:rtl/>
        </w:rPr>
        <w:t>,</w:t>
      </w:r>
      <w:r w:rsidRPr="00F17BD5">
        <w:rPr>
          <w:rFonts w:cs="Arial"/>
          <w:rtl/>
        </w:rPr>
        <w:t xml:space="preserve"> ועיקר הדין תלוי בשלישי המכריע ביניהם</w:t>
      </w:r>
      <w:r>
        <w:rPr>
          <w:rFonts w:cs="Arial" w:hint="cs"/>
          <w:rtl/>
        </w:rPr>
        <w:t>.</w:t>
      </w:r>
      <w:r w:rsidR="002758DF" w:rsidRPr="002758DF">
        <w:rPr>
          <w:rFonts w:cs="Arial" w:hint="cs"/>
          <w:color w:val="00B0F0"/>
          <w:rtl/>
        </w:rPr>
        <w:t xml:space="preserve"> </w:t>
      </w:r>
      <w:r w:rsidR="002758DF" w:rsidRPr="002C6823">
        <w:rPr>
          <w:rFonts w:cs="Arial" w:hint="cs"/>
          <w:color w:val="00B0F0"/>
          <w:rtl/>
        </w:rPr>
        <w:t>(וכ"פ הרמ"א)</w:t>
      </w:r>
    </w:p>
    <w:p w14:paraId="1BC659D0" w14:textId="77777777" w:rsidR="004A326E" w:rsidRPr="003024E5" w:rsidRDefault="004A326E" w:rsidP="004A326E">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23703DEE" w14:textId="77777777" w:rsidR="004A326E" w:rsidRDefault="004A326E" w:rsidP="004A326E">
      <w:pPr>
        <w:rPr>
          <w:rtl/>
        </w:rPr>
      </w:pPr>
      <w:r>
        <w:rPr>
          <w:rFonts w:cs="Arial"/>
          <w:rtl/>
        </w:rPr>
        <w:t>אסור לאדם לדון למי שהוא אוהבו, אף על פי שאינו שושבינו</w:t>
      </w:r>
      <w:r>
        <w:rPr>
          <w:rStyle w:val="ab"/>
          <w:rFonts w:cs="Arial"/>
          <w:rtl/>
        </w:rPr>
        <w:footnoteReference w:id="372"/>
      </w:r>
      <w:r>
        <w:rPr>
          <w:rFonts w:cs="Arial"/>
          <w:rtl/>
        </w:rPr>
        <w:t xml:space="preserve"> ולא ריעו אשר כנפשו</w:t>
      </w:r>
      <w:r>
        <w:rPr>
          <w:rFonts w:cs="Arial" w:hint="cs"/>
          <w:rtl/>
        </w:rPr>
        <w:t>,</w:t>
      </w:r>
      <w:r>
        <w:rPr>
          <w:rFonts w:cs="Arial"/>
          <w:rtl/>
        </w:rPr>
        <w:t xml:space="preserve"> ולא למי ששונאו, אף על פי שאינו אויב לו ולא מבקש רעתו, אלא צריך שיהיו השני בעלי דינים שוים בעיני הדיינים ובלבם. ואם לא היה מכיר את שום </w:t>
      </w:r>
      <w:r w:rsidRPr="00346898">
        <w:rPr>
          <w:rFonts w:cs="Arial"/>
          <w:color w:val="000000" w:themeColor="text1"/>
          <w:rtl/>
        </w:rPr>
        <w:t xml:space="preserve">אחד מהם ולא את מעשיו, אין לך דיין צדיק כמוהו. </w:t>
      </w:r>
      <w:r w:rsidRPr="00346898">
        <w:rPr>
          <w:rFonts w:cs="Arial"/>
          <w:color w:val="000000" w:themeColor="text1"/>
          <w:sz w:val="18"/>
          <w:szCs w:val="18"/>
          <w:rtl/>
        </w:rPr>
        <w:t>הגה: ומיהו אם דנו, דיניהם דין (הג</w:t>
      </w:r>
      <w:r w:rsidRPr="00346898">
        <w:rPr>
          <w:rFonts w:cs="Arial" w:hint="cs"/>
          <w:color w:val="000000" w:themeColor="text1"/>
          <w:sz w:val="18"/>
          <w:szCs w:val="18"/>
          <w:rtl/>
        </w:rPr>
        <w:t>"א</w:t>
      </w:r>
      <w:r w:rsidRPr="00346898">
        <w:rPr>
          <w:rFonts w:cs="Arial"/>
          <w:color w:val="000000" w:themeColor="text1"/>
          <w:sz w:val="18"/>
          <w:szCs w:val="18"/>
          <w:rtl/>
        </w:rPr>
        <w:t xml:space="preserve"> ריש סנהדרין). וי</w:t>
      </w:r>
      <w:r w:rsidRPr="00346898">
        <w:rPr>
          <w:rFonts w:cs="Arial" w:hint="cs"/>
          <w:color w:val="000000" w:themeColor="text1"/>
          <w:sz w:val="18"/>
          <w:szCs w:val="18"/>
          <w:rtl/>
        </w:rPr>
        <w:t>"א</w:t>
      </w:r>
      <w:r w:rsidRPr="00346898">
        <w:rPr>
          <w:rFonts w:cs="Arial"/>
          <w:color w:val="000000" w:themeColor="text1"/>
          <w:sz w:val="18"/>
          <w:szCs w:val="18"/>
          <w:rtl/>
        </w:rPr>
        <w:t xml:space="preserve"> דבשונאו ממש</w:t>
      </w:r>
      <w:r>
        <w:rPr>
          <w:rStyle w:val="ab"/>
          <w:rFonts w:cs="Arial"/>
          <w:color w:val="000000" w:themeColor="text1"/>
          <w:sz w:val="18"/>
          <w:szCs w:val="18"/>
          <w:rtl/>
        </w:rPr>
        <w:footnoteReference w:id="373"/>
      </w:r>
      <w:r w:rsidRPr="00346898">
        <w:rPr>
          <w:rFonts w:cs="Arial"/>
          <w:color w:val="000000" w:themeColor="text1"/>
          <w:sz w:val="18"/>
          <w:szCs w:val="18"/>
          <w:rtl/>
        </w:rPr>
        <w:t xml:space="preserve">, דהיינו </w:t>
      </w:r>
      <w:r w:rsidRPr="00406F7F">
        <w:rPr>
          <w:rFonts w:cs="Arial"/>
          <w:sz w:val="18"/>
          <w:szCs w:val="18"/>
          <w:rtl/>
        </w:rPr>
        <w:t>שלא דבר עמו שלשה ימים מתוך איבה, או אוהבו ממש</w:t>
      </w:r>
      <w:r>
        <w:rPr>
          <w:rFonts w:cs="Arial" w:hint="cs"/>
          <w:sz w:val="18"/>
          <w:szCs w:val="18"/>
          <w:rtl/>
        </w:rPr>
        <w:t>,</w:t>
      </w:r>
      <w:r w:rsidRPr="00406F7F">
        <w:rPr>
          <w:rFonts w:cs="Arial"/>
          <w:sz w:val="18"/>
          <w:szCs w:val="18"/>
          <w:rtl/>
        </w:rPr>
        <w:t xml:space="preserve"> דהיינו שושבינו וריעו, באלו אין דיניהם דין (טור). וי"א דכל שאינו אוהבו או שונאו ממש מותר לדונו, ואינו אלא מדת חסידות להחמיר שלא לדונו</w:t>
      </w:r>
      <w:r>
        <w:rPr>
          <w:rFonts w:cs="Arial" w:hint="cs"/>
          <w:sz w:val="18"/>
          <w:szCs w:val="18"/>
          <w:rtl/>
        </w:rPr>
        <w:t>,</w:t>
      </w:r>
      <w:r w:rsidRPr="00406F7F">
        <w:rPr>
          <w:rFonts w:cs="Arial"/>
          <w:sz w:val="18"/>
          <w:szCs w:val="18"/>
          <w:rtl/>
        </w:rPr>
        <w:t xml:space="preserve"> ולכן מותר להיות דיין כשזה בורר לו אחד וזה בורר לו אחד, כי כל אחד בורר לו אוהבו</w:t>
      </w:r>
      <w:r>
        <w:rPr>
          <w:rStyle w:val="ab"/>
          <w:rFonts w:cs="Arial"/>
          <w:sz w:val="18"/>
          <w:szCs w:val="18"/>
          <w:rtl/>
        </w:rPr>
        <w:footnoteReference w:id="374"/>
      </w:r>
      <w:r>
        <w:rPr>
          <w:rFonts w:cs="Arial" w:hint="cs"/>
          <w:sz w:val="18"/>
          <w:szCs w:val="18"/>
          <w:rtl/>
        </w:rPr>
        <w:t>,</w:t>
      </w:r>
      <w:r w:rsidRPr="00406F7F">
        <w:rPr>
          <w:rFonts w:cs="Arial"/>
          <w:sz w:val="18"/>
          <w:szCs w:val="18"/>
          <w:rtl/>
        </w:rPr>
        <w:t xml:space="preserve"> וכל שכן שהרב יכול להיות דיין לתלמידו (מהרי"ק שורש </w:t>
      </w:r>
      <w:r>
        <w:rPr>
          <w:rFonts w:cs="Arial" w:hint="cs"/>
          <w:sz w:val="18"/>
          <w:szCs w:val="18"/>
          <w:rtl/>
        </w:rPr>
        <w:t>כא ו</w:t>
      </w:r>
      <w:r w:rsidRPr="00406F7F">
        <w:rPr>
          <w:rFonts w:cs="Arial"/>
          <w:sz w:val="18"/>
          <w:szCs w:val="18"/>
          <w:rtl/>
        </w:rPr>
        <w:t>טז). ואפילו בית דין הפסול לדון משום אהבה ושנאה</w:t>
      </w:r>
      <w:r w:rsidRPr="002C6823">
        <w:rPr>
          <w:rStyle w:val="ab"/>
          <w:rFonts w:cs="Arial"/>
          <w:sz w:val="18"/>
          <w:szCs w:val="18"/>
          <w:rtl/>
        </w:rPr>
        <w:footnoteReference w:id="375"/>
      </w:r>
      <w:r w:rsidRPr="00406F7F">
        <w:rPr>
          <w:rFonts w:cs="Arial"/>
          <w:sz w:val="18"/>
          <w:szCs w:val="18"/>
          <w:rtl/>
        </w:rPr>
        <w:t>, יכול להושיב דיינים אחרים כשרים שידונו (מהרי"ק). מי שאומר על הדיין שהוא שונאו או אוהב בעל דינו, אינו נאמן וצריך ראיה לדבריו (טור). המנדה חבירו משום שזלזל בכבודו, יכול לדונו אח</w:t>
      </w:r>
      <w:r>
        <w:rPr>
          <w:rFonts w:cs="Arial" w:hint="cs"/>
          <w:sz w:val="18"/>
          <w:szCs w:val="18"/>
          <w:rtl/>
        </w:rPr>
        <w:t>"</w:t>
      </w:r>
      <w:r w:rsidRPr="00406F7F">
        <w:rPr>
          <w:rFonts w:cs="Arial"/>
          <w:sz w:val="18"/>
          <w:szCs w:val="18"/>
          <w:rtl/>
        </w:rPr>
        <w:t>כ</w:t>
      </w:r>
      <w:r>
        <w:rPr>
          <w:rStyle w:val="ab"/>
          <w:rFonts w:cs="Arial"/>
          <w:sz w:val="18"/>
          <w:szCs w:val="18"/>
          <w:rtl/>
        </w:rPr>
        <w:footnoteReference w:id="376"/>
      </w:r>
      <w:r w:rsidRPr="00406F7F">
        <w:rPr>
          <w:rFonts w:cs="Arial"/>
          <w:sz w:val="18"/>
          <w:szCs w:val="18"/>
          <w:rtl/>
        </w:rPr>
        <w:t>, מאחר שאינו שונאו</w:t>
      </w:r>
      <w:r>
        <w:rPr>
          <w:rFonts w:cs="Arial" w:hint="cs"/>
          <w:sz w:val="18"/>
          <w:szCs w:val="18"/>
          <w:rtl/>
        </w:rPr>
        <w:t xml:space="preserve"> (ע"פ קדושין ע., עי' דרכ"מ אות ו)</w:t>
      </w:r>
      <w:r w:rsidRPr="00406F7F">
        <w:rPr>
          <w:rFonts w:cs="Arial"/>
          <w:sz w:val="18"/>
          <w:szCs w:val="18"/>
          <w:rtl/>
        </w:rPr>
        <w:t>. ועיין לקמן סימן לג סעיף ו.</w:t>
      </w:r>
      <w:r>
        <w:rPr>
          <w:rFonts w:cs="Arial"/>
          <w:rtl/>
        </w:rPr>
        <w:t xml:space="preserve"> </w:t>
      </w:r>
    </w:p>
    <w:p w14:paraId="2404A43C" w14:textId="77777777" w:rsidR="004A326E" w:rsidRDefault="004A326E" w:rsidP="004A326E">
      <w:pPr>
        <w:rPr>
          <w:rtl/>
        </w:rPr>
      </w:pPr>
    </w:p>
    <w:p w14:paraId="611D644B" w14:textId="77777777" w:rsidR="004A326E" w:rsidRDefault="004A326E" w:rsidP="004A326E">
      <w:pPr>
        <w:pStyle w:val="2"/>
        <w:rPr>
          <w:rtl/>
        </w:rPr>
      </w:pPr>
      <w:bookmarkStart w:id="42" w:name="_Toc24883542"/>
      <w:r>
        <w:rPr>
          <w:rtl/>
        </w:rPr>
        <w:t>סעיף ח</w:t>
      </w:r>
      <w:r>
        <w:rPr>
          <w:rFonts w:hint="cs"/>
          <w:rtl/>
        </w:rPr>
        <w:t>: ב' ת"ח השונאים זה את זה.</w:t>
      </w:r>
      <w:bookmarkEnd w:id="42"/>
    </w:p>
    <w:p w14:paraId="3F9D6A90" w14:textId="77777777" w:rsidR="004A326E" w:rsidRDefault="004A326E" w:rsidP="004A326E">
      <w:pPr>
        <w:rPr>
          <w:sz w:val="16"/>
          <w:szCs w:val="16"/>
          <w:rtl/>
        </w:rPr>
      </w:pPr>
      <w:r w:rsidRPr="00406F7F">
        <w:rPr>
          <w:rFonts w:cs="Arial" w:hint="cs"/>
          <w:b/>
          <w:bCs/>
          <w:rtl/>
        </w:rPr>
        <w:t xml:space="preserve">סנהדרין </w:t>
      </w:r>
      <w:r w:rsidRPr="00406F7F">
        <w:rPr>
          <w:rFonts w:cs="Arial" w:hint="cs"/>
          <w:b/>
          <w:bCs/>
          <w:sz w:val="16"/>
          <w:szCs w:val="16"/>
          <w:rtl/>
        </w:rPr>
        <w:t xml:space="preserve">(פ' זה בורר) </w:t>
      </w:r>
      <w:r w:rsidRPr="00406F7F">
        <w:rPr>
          <w:rFonts w:cs="Arial" w:hint="cs"/>
          <w:b/>
          <w:bCs/>
          <w:rtl/>
        </w:rPr>
        <w:t>כ</w:t>
      </w:r>
      <w:r>
        <w:rPr>
          <w:rFonts w:cs="Arial" w:hint="cs"/>
          <w:b/>
          <w:bCs/>
          <w:rtl/>
        </w:rPr>
        <w:t>ט</w:t>
      </w:r>
      <w:r w:rsidR="000E0AF0" w:rsidRPr="006048DE">
        <w:rPr>
          <w:rStyle w:val="ab"/>
          <w:rFonts w:cs="Arial"/>
          <w:rtl/>
        </w:rPr>
        <w:footnoteReference w:id="377"/>
      </w:r>
      <w:r w:rsidRPr="00406F7F">
        <w:rPr>
          <w:rFonts w:cs="Arial" w:hint="cs"/>
          <w:b/>
          <w:bCs/>
          <w:rtl/>
        </w:rPr>
        <w:t xml:space="preserve"> ע"</w:t>
      </w:r>
      <w:r>
        <w:rPr>
          <w:rFonts w:cs="Arial" w:hint="cs"/>
          <w:b/>
          <w:bCs/>
          <w:rtl/>
        </w:rPr>
        <w:t>א</w:t>
      </w:r>
      <w:r w:rsidRPr="00406F7F">
        <w:rPr>
          <w:rFonts w:cs="Arial" w:hint="cs"/>
          <w:b/>
          <w:bCs/>
          <w:rtl/>
        </w:rPr>
        <w:t xml:space="preserve">: </w:t>
      </w:r>
      <w:r w:rsidRPr="009817A0">
        <w:rPr>
          <w:rFonts w:cs="Arial"/>
          <w:rtl/>
        </w:rPr>
        <w:t>ורבנן: האי לא אויב לו ולא מבקש רעתו מאי דרשי ביה? חד לדיין, אידך - כדתניא, אמר רבי יוסי ברבי יהודה: והוא לא אויב לו ולא מבקש רעתו - מכאן לשני תלמידי חכמים ששונאין זה את זה שאין יושבין בדין כאחד.</w:t>
      </w:r>
      <w:r>
        <w:rPr>
          <w:rFonts w:hint="cs"/>
          <w:sz w:val="16"/>
          <w:szCs w:val="16"/>
          <w:rtl/>
        </w:rPr>
        <w:t xml:space="preserve"> </w:t>
      </w:r>
    </w:p>
    <w:p w14:paraId="150DDD92" w14:textId="77777777" w:rsidR="002758DF" w:rsidRPr="002520B4" w:rsidRDefault="002758DF" w:rsidP="002758DF">
      <w:pPr>
        <w:rPr>
          <w:rFonts w:cs="Arial"/>
          <w:u w:val="single"/>
          <w:rtl/>
        </w:rPr>
      </w:pPr>
      <w:r w:rsidRPr="002520B4">
        <w:rPr>
          <w:rFonts w:cs="Arial" w:hint="cs"/>
          <w:u w:val="single"/>
          <w:rtl/>
        </w:rPr>
        <w:t>שני דיינים ששונאים זה את זה:</w:t>
      </w:r>
    </w:p>
    <w:p w14:paraId="4FF9F9E9" w14:textId="77777777" w:rsidR="002758DF" w:rsidRPr="002758DF" w:rsidRDefault="00903FF1" w:rsidP="004B0475">
      <w:pPr>
        <w:pStyle w:val="ac"/>
        <w:numPr>
          <w:ilvl w:val="0"/>
          <w:numId w:val="59"/>
        </w:numPr>
        <w:rPr>
          <w:rFonts w:cs="Arial"/>
          <w:rtl/>
        </w:rPr>
      </w:pPr>
      <w:r>
        <w:rPr>
          <w:rFonts w:cs="Arial" w:hint="cs"/>
          <w:rtl/>
        </w:rPr>
        <w:t xml:space="preserve">רמב"ם </w:t>
      </w:r>
      <w:r>
        <w:rPr>
          <w:rFonts w:hint="cs"/>
          <w:sz w:val="16"/>
          <w:szCs w:val="16"/>
          <w:rtl/>
        </w:rPr>
        <w:t xml:space="preserve">(פכ"ג מהל' סנהדרין ה"ז) </w:t>
      </w:r>
      <w:r>
        <w:rPr>
          <w:rFonts w:cs="Arial" w:hint="cs"/>
          <w:rtl/>
        </w:rPr>
        <w:t>ו</w:t>
      </w:r>
      <w:r w:rsidR="002758DF" w:rsidRPr="002520B4">
        <w:rPr>
          <w:rFonts w:cs="Arial" w:hint="cs"/>
          <w:rtl/>
        </w:rPr>
        <w:t xml:space="preserve">טור- </w:t>
      </w:r>
      <w:r w:rsidR="002758DF" w:rsidRPr="002520B4">
        <w:rPr>
          <w:rFonts w:cs="Arial"/>
          <w:rtl/>
        </w:rPr>
        <w:t xml:space="preserve">שני ת"ח ששונאים זה את זה </w:t>
      </w:r>
      <w:r w:rsidR="000E0AF0">
        <w:rPr>
          <w:rFonts w:cs="Arial" w:hint="cs"/>
          <w:rtl/>
        </w:rPr>
        <w:t xml:space="preserve">- </w:t>
      </w:r>
      <w:r w:rsidR="002758DF" w:rsidRPr="002520B4">
        <w:rPr>
          <w:rFonts w:cs="Arial"/>
          <w:rtl/>
        </w:rPr>
        <w:t>אסורין לישב בדין יחד</w:t>
      </w:r>
      <w:r w:rsidR="000E0AF0">
        <w:rPr>
          <w:rFonts w:cs="Arial" w:hint="cs"/>
          <w:rtl/>
        </w:rPr>
        <w:t>,</w:t>
      </w:r>
      <w:r w:rsidR="002758DF" w:rsidRPr="002520B4">
        <w:rPr>
          <w:rFonts w:cs="Arial"/>
          <w:rtl/>
        </w:rPr>
        <w:t xml:space="preserve"> מפני השנאה שביניהם דעת כל אחד מהם לסתור דברי חבירו</w:t>
      </w:r>
      <w:r w:rsidR="002758DF" w:rsidRPr="002520B4">
        <w:rPr>
          <w:rFonts w:cs="Arial" w:hint="cs"/>
          <w:rtl/>
        </w:rPr>
        <w:t>.</w:t>
      </w:r>
      <w:r w:rsidRPr="00903FF1">
        <w:rPr>
          <w:rFonts w:hint="cs"/>
          <w:color w:val="E36C0A" w:themeColor="accent6" w:themeShade="BF"/>
          <w:rtl/>
        </w:rPr>
        <w:t xml:space="preserve"> </w:t>
      </w:r>
      <w:r w:rsidRPr="00DD2C57">
        <w:rPr>
          <w:rFonts w:hint="cs"/>
          <w:color w:val="E36C0A" w:themeColor="accent6" w:themeShade="BF"/>
          <w:rtl/>
        </w:rPr>
        <w:t>(וכ"פ בשו"ע)</w:t>
      </w:r>
    </w:p>
    <w:p w14:paraId="43F5519C" w14:textId="77777777" w:rsidR="004A326E" w:rsidRPr="003024E5" w:rsidRDefault="004A326E" w:rsidP="004A326E">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3548B214" w14:textId="77777777" w:rsidR="004A326E" w:rsidRDefault="004A326E" w:rsidP="004A326E">
      <w:pPr>
        <w:rPr>
          <w:rtl/>
        </w:rPr>
      </w:pPr>
      <w:r>
        <w:rPr>
          <w:rFonts w:cs="Arial"/>
          <w:rtl/>
        </w:rPr>
        <w:t>שני ת</w:t>
      </w:r>
      <w:r>
        <w:rPr>
          <w:rFonts w:cs="Arial" w:hint="cs"/>
          <w:rtl/>
        </w:rPr>
        <w:t xml:space="preserve">למידי </w:t>
      </w:r>
      <w:r>
        <w:rPr>
          <w:rFonts w:cs="Arial"/>
          <w:rtl/>
        </w:rPr>
        <w:t>ח</w:t>
      </w:r>
      <w:r>
        <w:rPr>
          <w:rFonts w:cs="Arial" w:hint="cs"/>
          <w:rtl/>
        </w:rPr>
        <w:t>כמים</w:t>
      </w:r>
      <w:r>
        <w:rPr>
          <w:rFonts w:cs="Arial"/>
          <w:rtl/>
        </w:rPr>
        <w:t xml:space="preserve"> השונאים זה את זה, אסורים לישב בדין יחד, שמפני השנאה שביניהם דעת כל אחד מהם לסתור דברי חבירו. </w:t>
      </w:r>
    </w:p>
    <w:p w14:paraId="40E46C07" w14:textId="77777777" w:rsidR="004A326E" w:rsidRDefault="004A326E" w:rsidP="004A326E">
      <w:pPr>
        <w:rPr>
          <w:rtl/>
        </w:rPr>
      </w:pPr>
    </w:p>
    <w:p w14:paraId="16111C51" w14:textId="77777777" w:rsidR="004A326E" w:rsidRPr="00C20979" w:rsidRDefault="004A326E" w:rsidP="004A326E">
      <w:pPr>
        <w:pStyle w:val="2"/>
        <w:rPr>
          <w:rtl/>
        </w:rPr>
      </w:pPr>
      <w:bookmarkStart w:id="43" w:name="_Toc24883543"/>
      <w:r>
        <w:rPr>
          <w:rtl/>
        </w:rPr>
        <w:t>סעיף ט</w:t>
      </w:r>
      <w:r>
        <w:rPr>
          <w:rFonts w:hint="cs"/>
          <w:rtl/>
        </w:rPr>
        <w:t>: פסול מחמת קורבה או עבירה.</w:t>
      </w:r>
      <w:bookmarkEnd w:id="43"/>
    </w:p>
    <w:p w14:paraId="297805C0" w14:textId="77777777" w:rsidR="004A326E" w:rsidRDefault="004A326E" w:rsidP="004A326E">
      <w:pPr>
        <w:rPr>
          <w:rFonts w:cs="Arial"/>
          <w:rtl/>
        </w:rPr>
      </w:pPr>
      <w:r>
        <w:rPr>
          <w:rFonts w:cs="Arial" w:hint="cs"/>
          <w:b/>
          <w:bCs/>
          <w:rtl/>
        </w:rPr>
        <w:t xml:space="preserve">נדה </w:t>
      </w:r>
      <w:r>
        <w:rPr>
          <w:rFonts w:cs="Arial" w:hint="cs"/>
          <w:b/>
          <w:bCs/>
          <w:sz w:val="16"/>
          <w:szCs w:val="16"/>
          <w:rtl/>
        </w:rPr>
        <w:t xml:space="preserve">(פ' בא סימן) </w:t>
      </w:r>
      <w:r>
        <w:rPr>
          <w:rFonts w:cs="Arial" w:hint="cs"/>
          <w:b/>
          <w:bCs/>
          <w:rtl/>
        </w:rPr>
        <w:t>מט</w:t>
      </w:r>
      <w:r w:rsidR="00741DE3">
        <w:rPr>
          <w:rStyle w:val="ab"/>
          <w:rFonts w:cs="Arial"/>
          <w:b/>
          <w:bCs/>
          <w:rtl/>
        </w:rPr>
        <w:footnoteReference w:id="378"/>
      </w:r>
      <w:r>
        <w:rPr>
          <w:rFonts w:cs="Arial" w:hint="cs"/>
          <w:b/>
          <w:bCs/>
          <w:rtl/>
        </w:rPr>
        <w:t xml:space="preserve"> ע"ב: </w:t>
      </w:r>
      <w:r w:rsidRPr="005A7FB3">
        <w:rPr>
          <w:rFonts w:cs="Arial" w:hint="cs"/>
          <w:u w:val="double"/>
          <w:rtl/>
        </w:rPr>
        <w:t>מ</w:t>
      </w:r>
      <w:r>
        <w:rPr>
          <w:rFonts w:cs="Arial" w:hint="cs"/>
          <w:u w:val="double"/>
          <w:rtl/>
        </w:rPr>
        <w:t>תני'</w:t>
      </w:r>
      <w:r>
        <w:rPr>
          <w:rFonts w:cs="Arial" w:hint="cs"/>
          <w:rtl/>
        </w:rPr>
        <w:t>:</w:t>
      </w:r>
      <w:r w:rsidRPr="004052EA">
        <w:rPr>
          <w:rFonts w:cs="Arial"/>
          <w:rtl/>
        </w:rPr>
        <w:t xml:space="preserve"> כל הכשר לדון - כשר להעיד, ויש שכשר להעיד ואינו כשר לדון.</w:t>
      </w:r>
    </w:p>
    <w:p w14:paraId="7C8164AC" w14:textId="77777777" w:rsidR="00741DE3" w:rsidRPr="00E258F2" w:rsidRDefault="00741DE3" w:rsidP="00741DE3">
      <w:pPr>
        <w:rPr>
          <w:rFonts w:asciiTheme="minorBidi" w:hAnsiTheme="minorBidi"/>
          <w:sz w:val="16"/>
          <w:szCs w:val="16"/>
          <w:rtl/>
        </w:rPr>
      </w:pPr>
      <w:r w:rsidRPr="00845316">
        <w:rPr>
          <w:rFonts w:asciiTheme="minorBidi" w:hAnsiTheme="minorBidi"/>
          <w:b/>
          <w:bCs/>
          <w:rtl/>
        </w:rPr>
        <w:t>ירושלמי סנהדרין פ"ג ה"ט</w:t>
      </w:r>
      <w:r w:rsidRPr="00845316">
        <w:rPr>
          <w:rStyle w:val="ab"/>
          <w:rFonts w:asciiTheme="minorBidi" w:hAnsiTheme="minorBidi"/>
          <w:b/>
          <w:bCs/>
          <w:rtl/>
        </w:rPr>
        <w:footnoteReference w:id="379"/>
      </w:r>
      <w:r w:rsidRPr="00845316">
        <w:rPr>
          <w:rFonts w:asciiTheme="minorBidi" w:hAnsiTheme="minorBidi"/>
          <w:b/>
          <w:bCs/>
          <w:rtl/>
        </w:rPr>
        <w:t xml:space="preserve">: </w:t>
      </w:r>
      <w:r w:rsidRPr="00CD5286">
        <w:rPr>
          <w:rFonts w:asciiTheme="minorBidi" w:hAnsiTheme="minorBidi" w:cs="Arial"/>
          <w:rtl/>
        </w:rPr>
        <w:t>ומניין שלא יהו העדים קרובין של דיינין</w:t>
      </w:r>
      <w:r>
        <w:rPr>
          <w:rFonts w:asciiTheme="minorBidi" w:hAnsiTheme="minorBidi" w:cs="Arial" w:hint="cs"/>
          <w:rtl/>
        </w:rPr>
        <w:t>?</w:t>
      </w:r>
      <w:r w:rsidRPr="00CD5286">
        <w:rPr>
          <w:rFonts w:asciiTheme="minorBidi" w:hAnsiTheme="minorBidi" w:cs="Arial"/>
          <w:rtl/>
        </w:rPr>
        <w:t xml:space="preserve"> הגע עצמך</w:t>
      </w:r>
      <w:r>
        <w:rPr>
          <w:rFonts w:asciiTheme="minorBidi" w:hAnsiTheme="minorBidi" w:cs="Arial" w:hint="cs"/>
          <w:rtl/>
        </w:rPr>
        <w:t>,</w:t>
      </w:r>
      <w:r w:rsidRPr="00CD5286">
        <w:rPr>
          <w:rFonts w:asciiTheme="minorBidi" w:hAnsiTheme="minorBidi" w:cs="Arial"/>
          <w:rtl/>
        </w:rPr>
        <w:t xml:space="preserve"> שאם הוזם אחד מהן כלום נהרג עד שיוזם חבירו</w:t>
      </w:r>
      <w:r>
        <w:rPr>
          <w:rFonts w:asciiTheme="minorBidi" w:hAnsiTheme="minorBidi" w:cs="Arial" w:hint="cs"/>
          <w:rtl/>
        </w:rPr>
        <w:t>?</w:t>
      </w:r>
      <w:r w:rsidRPr="00CD5286">
        <w:rPr>
          <w:rFonts w:asciiTheme="minorBidi" w:hAnsiTheme="minorBidi" w:cs="Arial"/>
          <w:rtl/>
        </w:rPr>
        <w:t xml:space="preserve"> אם את אומר כן לא היה נהרג על פיו. ומניין שלא יהו הדיינין קרובין זה לזה</w:t>
      </w:r>
      <w:r>
        <w:rPr>
          <w:rFonts w:asciiTheme="minorBidi" w:hAnsiTheme="minorBidi" w:cs="Arial" w:hint="cs"/>
          <w:rtl/>
        </w:rPr>
        <w:t>?</w:t>
      </w:r>
      <w:r w:rsidRPr="00FC5611">
        <w:rPr>
          <w:rtl/>
        </w:rPr>
        <w:t xml:space="preserve"> </w:t>
      </w:r>
      <w:r w:rsidRPr="00FC5611">
        <w:rPr>
          <w:rFonts w:asciiTheme="minorBidi" w:hAnsiTheme="minorBidi" w:cs="Arial"/>
          <w:rtl/>
        </w:rPr>
        <w:t>אמרה תורה הרוג על פי עדים</w:t>
      </w:r>
      <w:r>
        <w:rPr>
          <w:rFonts w:asciiTheme="minorBidi" w:hAnsiTheme="minorBidi" w:cs="Arial" w:hint="cs"/>
          <w:rtl/>
        </w:rPr>
        <w:t>,</w:t>
      </w:r>
      <w:r w:rsidRPr="00FC5611">
        <w:rPr>
          <w:rFonts w:asciiTheme="minorBidi" w:hAnsiTheme="minorBidi" w:cs="Arial"/>
          <w:rtl/>
        </w:rPr>
        <w:t xml:space="preserve"> הרוג על פי דיינין</w:t>
      </w:r>
      <w:r>
        <w:rPr>
          <w:rFonts w:asciiTheme="minorBidi" w:hAnsiTheme="minorBidi" w:cs="Arial" w:hint="cs"/>
          <w:rtl/>
        </w:rPr>
        <w:t>,</w:t>
      </w:r>
      <w:r w:rsidRPr="00FC5611">
        <w:rPr>
          <w:rFonts w:asciiTheme="minorBidi" w:hAnsiTheme="minorBidi" w:cs="Arial"/>
          <w:rtl/>
        </w:rPr>
        <w:t xml:space="preserve"> מה עדים אין קרובין זה לזה </w:t>
      </w:r>
      <w:r>
        <w:rPr>
          <w:rFonts w:asciiTheme="minorBidi" w:hAnsiTheme="minorBidi" w:cs="Arial" w:hint="cs"/>
          <w:rtl/>
        </w:rPr>
        <w:t xml:space="preserve">- </w:t>
      </w:r>
      <w:r w:rsidRPr="00FC5611">
        <w:rPr>
          <w:rFonts w:asciiTheme="minorBidi" w:hAnsiTheme="minorBidi" w:cs="Arial"/>
          <w:rtl/>
        </w:rPr>
        <w:t>אף דיינין אין קרובין זה לזה.</w:t>
      </w:r>
      <w:r w:rsidRPr="00FC5611">
        <w:rPr>
          <w:rFonts w:asciiTheme="minorBidi" w:hAnsiTheme="minorBidi"/>
          <w:sz w:val="16"/>
          <w:szCs w:val="16"/>
          <w:rtl/>
        </w:rPr>
        <w:t xml:space="preserve"> </w:t>
      </w:r>
      <w:r w:rsidRPr="00845316">
        <w:rPr>
          <w:rFonts w:asciiTheme="minorBidi" w:hAnsiTheme="minorBidi"/>
          <w:sz w:val="16"/>
          <w:szCs w:val="16"/>
          <w:rtl/>
        </w:rPr>
        <w:t>(כתבוה</w:t>
      </w:r>
      <w:r>
        <w:rPr>
          <w:rFonts w:asciiTheme="minorBidi" w:hAnsiTheme="minorBidi" w:hint="cs"/>
          <w:sz w:val="16"/>
          <w:szCs w:val="16"/>
          <w:rtl/>
        </w:rPr>
        <w:t>ו</w:t>
      </w:r>
      <w:r w:rsidRPr="00845316">
        <w:rPr>
          <w:rFonts w:asciiTheme="minorBidi" w:hAnsiTheme="minorBidi"/>
          <w:sz w:val="16"/>
          <w:szCs w:val="16"/>
          <w:rtl/>
        </w:rPr>
        <w:t xml:space="preserve"> הרי"ף </w:t>
      </w:r>
      <w:r>
        <w:rPr>
          <w:rFonts w:asciiTheme="minorBidi" w:hAnsiTheme="minorBidi" w:hint="cs"/>
          <w:sz w:val="16"/>
          <w:szCs w:val="16"/>
          <w:rtl/>
        </w:rPr>
        <w:t>(ח:) ו</w:t>
      </w:r>
      <w:r w:rsidRPr="00845316">
        <w:rPr>
          <w:rFonts w:asciiTheme="minorBidi" w:hAnsiTheme="minorBidi"/>
          <w:sz w:val="16"/>
          <w:szCs w:val="16"/>
          <w:rtl/>
        </w:rPr>
        <w:t>הרא"ש</w:t>
      </w:r>
      <w:r>
        <w:rPr>
          <w:rFonts w:asciiTheme="minorBidi" w:hAnsiTheme="minorBidi" w:hint="cs"/>
          <w:sz w:val="16"/>
          <w:szCs w:val="16"/>
          <w:rtl/>
        </w:rPr>
        <w:t xml:space="preserve"> (סי' לב) בפרק זה בורר, וכ"כ הטור. </w:t>
      </w:r>
      <w:r w:rsidRPr="00741DE3">
        <w:rPr>
          <w:rFonts w:asciiTheme="minorBidi" w:hAnsiTheme="minorBidi" w:hint="cs"/>
          <w:color w:val="E36C0A" w:themeColor="accent6" w:themeShade="BF"/>
          <w:sz w:val="16"/>
          <w:szCs w:val="16"/>
          <w:rtl/>
        </w:rPr>
        <w:t>וכ"פ בשו"ע</w:t>
      </w:r>
      <w:r>
        <w:rPr>
          <w:rFonts w:asciiTheme="minorBidi" w:hAnsiTheme="minorBidi" w:hint="cs"/>
          <w:sz w:val="16"/>
          <w:szCs w:val="16"/>
          <w:rtl/>
        </w:rPr>
        <w:t xml:space="preserve">. </w:t>
      </w:r>
      <w:r w:rsidRPr="00E258F2">
        <w:rPr>
          <w:rFonts w:cs="Arial"/>
          <w:sz w:val="16"/>
          <w:szCs w:val="16"/>
          <w:rtl/>
        </w:rPr>
        <w:t>וכתב הר"ן בפ</w:t>
      </w:r>
      <w:r>
        <w:rPr>
          <w:rFonts w:cs="Arial" w:hint="cs"/>
          <w:sz w:val="16"/>
          <w:szCs w:val="16"/>
          <w:rtl/>
        </w:rPr>
        <w:t>"ב</w:t>
      </w:r>
      <w:r w:rsidRPr="00E258F2">
        <w:rPr>
          <w:rFonts w:cs="Arial"/>
          <w:sz w:val="16"/>
          <w:szCs w:val="16"/>
          <w:rtl/>
        </w:rPr>
        <w:t xml:space="preserve"> דכתובות (יב</w:t>
      </w:r>
      <w:r w:rsidRPr="00E258F2">
        <w:rPr>
          <w:rFonts w:cs="Arial" w:hint="cs"/>
          <w:sz w:val="16"/>
          <w:szCs w:val="16"/>
          <w:rtl/>
        </w:rPr>
        <w:t>:</w:t>
      </w:r>
      <w:r w:rsidRPr="00E258F2">
        <w:rPr>
          <w:rFonts w:cs="Arial"/>
          <w:sz w:val="16"/>
          <w:szCs w:val="16"/>
          <w:rtl/>
        </w:rPr>
        <w:t>) דיינים שדנין על תנאים ועניינים שבמלוה צריכים להיות רחוקים מעידי השטר</w:t>
      </w:r>
      <w:r>
        <w:rPr>
          <w:rFonts w:cs="Arial" w:hint="cs"/>
          <w:sz w:val="16"/>
          <w:szCs w:val="16"/>
          <w:rtl/>
        </w:rPr>
        <w:t>. וכתב הרשב"א</w:t>
      </w:r>
      <w:r w:rsidRPr="00E258F2">
        <w:rPr>
          <w:rFonts w:cs="Arial"/>
          <w:rtl/>
        </w:rPr>
        <w:t xml:space="preserve"> </w:t>
      </w:r>
      <w:r w:rsidRPr="00E258F2">
        <w:rPr>
          <w:rFonts w:cs="Arial"/>
          <w:sz w:val="16"/>
          <w:szCs w:val="16"/>
          <w:rtl/>
        </w:rPr>
        <w:t xml:space="preserve">בתשובה </w:t>
      </w:r>
      <w:r w:rsidRPr="00E258F2">
        <w:rPr>
          <w:rFonts w:cs="Arial"/>
          <w:sz w:val="14"/>
          <w:szCs w:val="14"/>
          <w:rtl/>
        </w:rPr>
        <w:t>(ח"א סי</w:t>
      </w:r>
      <w:r w:rsidRPr="00E258F2">
        <w:rPr>
          <w:rFonts w:cs="Arial" w:hint="cs"/>
          <w:sz w:val="14"/>
          <w:szCs w:val="14"/>
          <w:rtl/>
        </w:rPr>
        <w:t>'</w:t>
      </w:r>
      <w:r w:rsidRPr="00E258F2">
        <w:rPr>
          <w:rFonts w:cs="Arial"/>
          <w:sz w:val="14"/>
          <w:szCs w:val="14"/>
          <w:rtl/>
        </w:rPr>
        <w:t xml:space="preserve"> תשנ</w:t>
      </w:r>
      <w:r w:rsidRPr="00E258F2">
        <w:rPr>
          <w:rFonts w:cs="Arial" w:hint="cs"/>
          <w:sz w:val="14"/>
          <w:szCs w:val="14"/>
          <w:rtl/>
        </w:rPr>
        <w:t>, הביאו הדרכ"מ [אות ג**])</w:t>
      </w:r>
      <w:r w:rsidRPr="00E258F2">
        <w:rPr>
          <w:rFonts w:cs="Arial"/>
          <w:sz w:val="14"/>
          <w:szCs w:val="14"/>
          <w:rtl/>
        </w:rPr>
        <w:t xml:space="preserve"> </w:t>
      </w:r>
      <w:r w:rsidRPr="00E258F2">
        <w:rPr>
          <w:rFonts w:cs="Arial"/>
          <w:sz w:val="16"/>
          <w:szCs w:val="16"/>
          <w:rtl/>
        </w:rPr>
        <w:t>שדיינים לא יהיו קרובים לעדים</w:t>
      </w:r>
      <w:r>
        <w:rPr>
          <w:rStyle w:val="ab"/>
          <w:rFonts w:cs="Arial"/>
          <w:sz w:val="16"/>
          <w:szCs w:val="16"/>
          <w:rtl/>
        </w:rPr>
        <w:footnoteReference w:id="380"/>
      </w:r>
      <w:r w:rsidRPr="00E258F2">
        <w:rPr>
          <w:rFonts w:asciiTheme="minorBidi" w:hAnsiTheme="minorBidi"/>
          <w:sz w:val="16"/>
          <w:szCs w:val="16"/>
          <w:rtl/>
        </w:rPr>
        <w:t>)</w:t>
      </w:r>
    </w:p>
    <w:p w14:paraId="0B001718" w14:textId="77777777" w:rsidR="00741DE3" w:rsidRDefault="00741DE3" w:rsidP="00741DE3">
      <w:pPr>
        <w:rPr>
          <w:rFonts w:cs="Arial"/>
          <w:rtl/>
        </w:rPr>
      </w:pPr>
      <w:r w:rsidRPr="00741DE3">
        <w:rPr>
          <w:rFonts w:cs="Arial"/>
          <w:u w:val="single"/>
          <w:rtl/>
        </w:rPr>
        <w:t>הפסולים להעיד מחמת קורבה ומחמת עבירה –</w:t>
      </w:r>
      <w:r w:rsidRPr="00741DE3">
        <w:rPr>
          <w:rFonts w:cs="Arial" w:hint="cs"/>
          <w:u w:val="single"/>
          <w:rtl/>
        </w:rPr>
        <w:t xml:space="preserve"> מהו שידונו:</w:t>
      </w:r>
    </w:p>
    <w:p w14:paraId="1D82A9E5" w14:textId="77777777" w:rsidR="00741DE3" w:rsidRPr="00741DE3" w:rsidRDefault="00741DE3" w:rsidP="004B0475">
      <w:pPr>
        <w:pStyle w:val="ac"/>
        <w:numPr>
          <w:ilvl w:val="0"/>
          <w:numId w:val="59"/>
        </w:numPr>
        <w:rPr>
          <w:rFonts w:cs="Arial"/>
          <w:rtl/>
        </w:rPr>
      </w:pPr>
      <w:r w:rsidRPr="00741DE3">
        <w:rPr>
          <w:rFonts w:cs="Arial" w:hint="cs"/>
          <w:rtl/>
        </w:rPr>
        <w:t xml:space="preserve">טור- </w:t>
      </w:r>
      <w:r w:rsidRPr="00741DE3">
        <w:rPr>
          <w:rFonts w:cs="Arial"/>
          <w:rtl/>
        </w:rPr>
        <w:t xml:space="preserve">כל הפסולים להעיד מחמת קורבה ומחמת עבירה כאשר יתבאר בעזרת השם בהלכות עדות </w:t>
      </w:r>
      <w:r w:rsidRPr="00741DE3">
        <w:rPr>
          <w:rFonts w:cs="Arial" w:hint="cs"/>
          <w:rtl/>
        </w:rPr>
        <w:t xml:space="preserve">- </w:t>
      </w:r>
      <w:r w:rsidRPr="00741DE3">
        <w:rPr>
          <w:rFonts w:cs="Arial"/>
          <w:rtl/>
        </w:rPr>
        <w:t>פסולין לדון</w:t>
      </w:r>
      <w:r w:rsidRPr="00741DE3">
        <w:rPr>
          <w:rFonts w:cs="Arial" w:hint="cs"/>
          <w:rtl/>
        </w:rPr>
        <w:t xml:space="preserve">. </w:t>
      </w:r>
      <w:r>
        <w:rPr>
          <w:rFonts w:cs="Arial" w:hint="cs"/>
          <w:rtl/>
        </w:rPr>
        <w:t>ו</w:t>
      </w:r>
      <w:r w:rsidRPr="00741DE3">
        <w:rPr>
          <w:rFonts w:cs="Arial"/>
          <w:rtl/>
        </w:rPr>
        <w:t>צריך שלא יהו הדיינין קרובים זה לזה</w:t>
      </w:r>
      <w:r>
        <w:rPr>
          <w:rFonts w:cs="Arial" w:hint="cs"/>
          <w:rtl/>
        </w:rPr>
        <w:t>.</w:t>
      </w:r>
      <w:r w:rsidRPr="00741DE3">
        <w:rPr>
          <w:rFonts w:hint="cs"/>
          <w:color w:val="E36C0A" w:themeColor="accent6" w:themeShade="BF"/>
          <w:rtl/>
        </w:rPr>
        <w:t xml:space="preserve"> </w:t>
      </w:r>
      <w:r w:rsidRPr="00DD2C57">
        <w:rPr>
          <w:rFonts w:hint="cs"/>
          <w:color w:val="E36C0A" w:themeColor="accent6" w:themeShade="BF"/>
          <w:rtl/>
        </w:rPr>
        <w:t>(וכ"פ בשו"ע</w:t>
      </w:r>
      <w:r>
        <w:rPr>
          <w:rFonts w:hint="cs"/>
          <w:color w:val="E36C0A" w:themeColor="accent6" w:themeShade="BF"/>
          <w:sz w:val="16"/>
          <w:szCs w:val="16"/>
          <w:rtl/>
        </w:rPr>
        <w:t xml:space="preserve"> </w:t>
      </w:r>
      <w:r>
        <w:rPr>
          <w:rFonts w:hint="cs"/>
          <w:color w:val="000000" w:themeColor="text1"/>
          <w:sz w:val="16"/>
          <w:szCs w:val="16"/>
          <w:rtl/>
        </w:rPr>
        <w:t>[עי' בסמ"ע סקכ"ה]</w:t>
      </w:r>
      <w:r w:rsidRPr="00DD2C57">
        <w:rPr>
          <w:rFonts w:hint="cs"/>
          <w:color w:val="E36C0A" w:themeColor="accent6" w:themeShade="BF"/>
          <w:rtl/>
        </w:rPr>
        <w:t>)</w:t>
      </w:r>
    </w:p>
    <w:p w14:paraId="38BC762E" w14:textId="77777777" w:rsidR="004A326E" w:rsidRPr="003024E5" w:rsidRDefault="004A326E" w:rsidP="004A326E">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310EA132" w14:textId="77777777" w:rsidR="004A326E" w:rsidRDefault="004A326E" w:rsidP="004A326E">
      <w:pPr>
        <w:rPr>
          <w:rtl/>
        </w:rPr>
      </w:pPr>
      <w:r>
        <w:rPr>
          <w:rFonts w:cs="Arial"/>
          <w:rtl/>
        </w:rPr>
        <w:t xml:space="preserve">כל הפסולים </w:t>
      </w:r>
      <w:r w:rsidRPr="00B87E77">
        <w:rPr>
          <w:rFonts w:cs="Arial" w:hint="cs"/>
          <w:sz w:val="16"/>
          <w:szCs w:val="16"/>
          <w:rtl/>
        </w:rPr>
        <w:t>(</w:t>
      </w:r>
      <w:r w:rsidRPr="00B87E77">
        <w:rPr>
          <w:rFonts w:cs="Arial"/>
          <w:sz w:val="16"/>
          <w:szCs w:val="16"/>
          <w:rtl/>
        </w:rPr>
        <w:t>להעיד</w:t>
      </w:r>
      <w:r w:rsidRPr="00B87E77">
        <w:rPr>
          <w:rStyle w:val="ab"/>
          <w:rFonts w:cs="Arial"/>
          <w:sz w:val="16"/>
          <w:szCs w:val="16"/>
          <w:rtl/>
        </w:rPr>
        <w:footnoteReference w:id="381"/>
      </w:r>
      <w:r w:rsidRPr="00B87E77">
        <w:rPr>
          <w:rFonts w:cs="Arial" w:hint="cs"/>
          <w:sz w:val="16"/>
          <w:szCs w:val="16"/>
          <w:rtl/>
        </w:rPr>
        <w:t>)</w:t>
      </w:r>
      <w:r w:rsidRPr="00B87E77">
        <w:rPr>
          <w:rFonts w:cs="Arial"/>
          <w:rtl/>
        </w:rPr>
        <w:t xml:space="preserve"> </w:t>
      </w:r>
      <w:r>
        <w:rPr>
          <w:rFonts w:cs="Arial"/>
          <w:rtl/>
        </w:rPr>
        <w:t>מחמת קורבה</w:t>
      </w:r>
      <w:r>
        <w:rPr>
          <w:rStyle w:val="ab"/>
          <w:rFonts w:cs="Arial"/>
          <w:rtl/>
        </w:rPr>
        <w:footnoteReference w:id="382"/>
      </w:r>
      <w:r>
        <w:rPr>
          <w:rFonts w:cs="Arial"/>
          <w:rtl/>
        </w:rPr>
        <w:t xml:space="preserve"> או מחמת עבירה, פסולים לדון. </w:t>
      </w:r>
      <w:r w:rsidRPr="00CD5286">
        <w:rPr>
          <w:rFonts w:cs="Arial" w:hint="cs"/>
          <w:sz w:val="18"/>
          <w:szCs w:val="18"/>
          <w:rtl/>
        </w:rPr>
        <w:t xml:space="preserve">[הגה] </w:t>
      </w:r>
      <w:r w:rsidRPr="00CD5286">
        <w:rPr>
          <w:rFonts w:cs="Arial"/>
          <w:sz w:val="18"/>
          <w:szCs w:val="18"/>
          <w:rtl/>
        </w:rPr>
        <w:t xml:space="preserve">וע"ל סימן לג ולד </w:t>
      </w:r>
      <w:r w:rsidRPr="00B87E77">
        <w:rPr>
          <w:rFonts w:cs="Arial" w:hint="cs"/>
          <w:sz w:val="16"/>
          <w:szCs w:val="16"/>
          <w:rtl/>
        </w:rPr>
        <w:t>(</w:t>
      </w:r>
      <w:r w:rsidRPr="00B87E77">
        <w:rPr>
          <w:rFonts w:cs="Arial"/>
          <w:sz w:val="16"/>
          <w:szCs w:val="16"/>
          <w:rtl/>
        </w:rPr>
        <w:t>פרטי הפסולים</w:t>
      </w:r>
      <w:r w:rsidRPr="00B87E77">
        <w:rPr>
          <w:rStyle w:val="ab"/>
          <w:rFonts w:cs="Arial"/>
          <w:sz w:val="16"/>
          <w:szCs w:val="16"/>
          <w:rtl/>
        </w:rPr>
        <w:footnoteReference w:id="383"/>
      </w:r>
      <w:r w:rsidRPr="00B87E77">
        <w:rPr>
          <w:rFonts w:cs="Arial" w:hint="cs"/>
          <w:sz w:val="16"/>
          <w:szCs w:val="16"/>
          <w:rtl/>
        </w:rPr>
        <w:t>)</w:t>
      </w:r>
      <w:r w:rsidRPr="00CD5286">
        <w:rPr>
          <w:rFonts w:cs="Arial"/>
          <w:sz w:val="18"/>
          <w:szCs w:val="18"/>
          <w:rtl/>
        </w:rPr>
        <w:t xml:space="preserve"> לענין עדות, </w:t>
      </w:r>
      <w:r>
        <w:rPr>
          <w:rStyle w:val="ab"/>
          <w:rFonts w:cs="Arial"/>
          <w:sz w:val="18"/>
          <w:szCs w:val="18"/>
          <w:rtl/>
        </w:rPr>
        <w:footnoteReference w:id="384"/>
      </w:r>
      <w:r>
        <w:rPr>
          <w:rFonts w:cs="Arial" w:hint="cs"/>
          <w:sz w:val="18"/>
          <w:szCs w:val="18"/>
          <w:rtl/>
        </w:rPr>
        <w:t>[</w:t>
      </w:r>
      <w:r w:rsidRPr="00CD5286">
        <w:rPr>
          <w:rFonts w:cs="Arial"/>
          <w:sz w:val="18"/>
          <w:szCs w:val="18"/>
          <w:rtl/>
        </w:rPr>
        <w:t>וה"ה לענין דיינות</w:t>
      </w:r>
      <w:r>
        <w:rPr>
          <w:rFonts w:cs="Arial" w:hint="cs"/>
          <w:sz w:val="18"/>
          <w:szCs w:val="18"/>
          <w:rtl/>
        </w:rPr>
        <w:t>],</w:t>
      </w:r>
      <w:r w:rsidRPr="00CD5286">
        <w:rPr>
          <w:rFonts w:cs="Arial"/>
          <w:sz w:val="18"/>
          <w:szCs w:val="18"/>
          <w:rtl/>
        </w:rPr>
        <w:t xml:space="preserve"> </w:t>
      </w:r>
      <w:r>
        <w:rPr>
          <w:rFonts w:cs="Arial" w:hint="cs"/>
          <w:sz w:val="18"/>
          <w:szCs w:val="18"/>
          <w:rtl/>
        </w:rPr>
        <w:t>ו</w:t>
      </w:r>
      <w:r w:rsidRPr="00CD5286">
        <w:rPr>
          <w:rFonts w:cs="Arial"/>
          <w:sz w:val="18"/>
          <w:szCs w:val="18"/>
          <w:rtl/>
        </w:rPr>
        <w:t>הדיינים לא יהיו קרובים זה לזה ולא לעדים (רשב"א)</w:t>
      </w:r>
      <w:r>
        <w:rPr>
          <w:rStyle w:val="ab"/>
          <w:rFonts w:cs="Arial"/>
          <w:sz w:val="18"/>
          <w:szCs w:val="18"/>
          <w:rtl/>
        </w:rPr>
        <w:footnoteReference w:id="385"/>
      </w:r>
      <w:r w:rsidRPr="00CD5286">
        <w:rPr>
          <w:rFonts w:cs="Arial"/>
          <w:sz w:val="18"/>
          <w:szCs w:val="18"/>
          <w:rtl/>
        </w:rPr>
        <w:t>.</w:t>
      </w:r>
      <w:r>
        <w:rPr>
          <w:rFonts w:cs="Arial"/>
          <w:rtl/>
        </w:rPr>
        <w:t xml:space="preserve"> </w:t>
      </w:r>
    </w:p>
    <w:p w14:paraId="194AD6E1" w14:textId="77777777" w:rsidR="004A326E" w:rsidRDefault="004A326E" w:rsidP="004A326E">
      <w:pPr>
        <w:rPr>
          <w:rtl/>
        </w:rPr>
      </w:pPr>
    </w:p>
    <w:p w14:paraId="672235CD" w14:textId="77777777" w:rsidR="004A326E" w:rsidRDefault="004A326E" w:rsidP="004A326E">
      <w:pPr>
        <w:pStyle w:val="2"/>
        <w:rPr>
          <w:rtl/>
        </w:rPr>
      </w:pPr>
      <w:bookmarkStart w:id="44" w:name="_Toc24883544"/>
      <w:r>
        <w:rPr>
          <w:rtl/>
        </w:rPr>
        <w:t>סעיף י</w:t>
      </w:r>
      <w:r>
        <w:rPr>
          <w:rFonts w:hint="cs"/>
          <w:rtl/>
        </w:rPr>
        <w:t>: דיין שיודע שחברו גזלן או רשע.</w:t>
      </w:r>
      <w:bookmarkEnd w:id="44"/>
    </w:p>
    <w:p w14:paraId="2676DEED" w14:textId="77777777" w:rsidR="000835FC" w:rsidRDefault="004A326E" w:rsidP="004A326E">
      <w:pPr>
        <w:rPr>
          <w:rFonts w:cs="Arial"/>
          <w:sz w:val="16"/>
          <w:szCs w:val="16"/>
          <w:rtl/>
        </w:rPr>
      </w:pPr>
      <w:r>
        <w:rPr>
          <w:rFonts w:cs="Arial" w:hint="cs"/>
          <w:b/>
          <w:bCs/>
          <w:rtl/>
        </w:rPr>
        <w:t xml:space="preserve">שבועות </w:t>
      </w:r>
      <w:r>
        <w:rPr>
          <w:rFonts w:cs="Arial" w:hint="cs"/>
          <w:b/>
          <w:bCs/>
          <w:sz w:val="16"/>
          <w:szCs w:val="16"/>
          <w:rtl/>
        </w:rPr>
        <w:t xml:space="preserve">(פ' שבועת העדות) </w:t>
      </w:r>
      <w:r>
        <w:rPr>
          <w:rFonts w:cs="Arial" w:hint="cs"/>
          <w:b/>
          <w:bCs/>
          <w:rtl/>
        </w:rPr>
        <w:t>ל</w:t>
      </w:r>
      <w:r w:rsidR="00923ED3">
        <w:rPr>
          <w:rStyle w:val="ab"/>
          <w:rFonts w:cs="Arial"/>
          <w:b/>
          <w:bCs/>
          <w:rtl/>
        </w:rPr>
        <w:footnoteReference w:id="386"/>
      </w:r>
      <w:r>
        <w:rPr>
          <w:rFonts w:cs="Arial" w:hint="cs"/>
          <w:b/>
          <w:bCs/>
          <w:rtl/>
        </w:rPr>
        <w:t xml:space="preserve"> ע"ב: </w:t>
      </w:r>
      <w:r>
        <w:rPr>
          <w:rFonts w:cs="Arial" w:hint="cs"/>
          <w:rtl/>
        </w:rPr>
        <w:t xml:space="preserve">ת"ר... </w:t>
      </w:r>
      <w:r w:rsidRPr="00B33A53">
        <w:rPr>
          <w:rFonts w:cs="Arial"/>
          <w:rtl/>
        </w:rPr>
        <w:t xml:space="preserve">מנין לדיין שיודע לחבירו שהוא גזלן, וכן עד שיודע בחבירו שהוא גזלן, מנין שלא יצטרף עמו? תלמוד לומר: מדבר שקר תרחק. </w:t>
      </w:r>
    </w:p>
    <w:p w14:paraId="395301B1" w14:textId="77777777" w:rsidR="00923ED3" w:rsidRDefault="00923ED3" w:rsidP="00923ED3">
      <w:pPr>
        <w:rPr>
          <w:rFonts w:cs="Arial"/>
          <w:rtl/>
        </w:rPr>
      </w:pPr>
      <w:r>
        <w:rPr>
          <w:rFonts w:cs="Arial" w:hint="cs"/>
          <w:b/>
          <w:bCs/>
          <w:rtl/>
        </w:rPr>
        <w:t>סנהדרין</w:t>
      </w:r>
      <w:r>
        <w:rPr>
          <w:rFonts w:cs="Arial" w:hint="cs"/>
          <w:b/>
          <w:bCs/>
          <w:sz w:val="16"/>
          <w:szCs w:val="16"/>
          <w:rtl/>
        </w:rPr>
        <w:t xml:space="preserve"> (פ' זה בורר)</w:t>
      </w:r>
      <w:r>
        <w:rPr>
          <w:rFonts w:cs="Arial" w:hint="cs"/>
          <w:b/>
          <w:bCs/>
          <w:rtl/>
        </w:rPr>
        <w:t xml:space="preserve"> כג</w:t>
      </w:r>
      <w:r>
        <w:rPr>
          <w:rStyle w:val="ab"/>
          <w:rFonts w:cs="Arial"/>
          <w:b/>
          <w:bCs/>
          <w:rtl/>
        </w:rPr>
        <w:footnoteReference w:id="387"/>
      </w:r>
      <w:r>
        <w:rPr>
          <w:rFonts w:cs="Arial" w:hint="cs"/>
          <w:b/>
          <w:bCs/>
          <w:rtl/>
        </w:rPr>
        <w:t xml:space="preserve"> ע"א: </w:t>
      </w:r>
      <w:r w:rsidRPr="00B33A53">
        <w:rPr>
          <w:rFonts w:cs="Arial"/>
          <w:rtl/>
        </w:rPr>
        <w:t xml:space="preserve">תניא נמי הכי: כך היו נקיי הדעת שבירושלים עושין: לא היו חותמין על השטר אלא אם כן יודעין מי חותם עמהן. ולא היו יושבין בדין אלא אם כן יודעין מי יושב עמהן, ולא היו נכנסין בסעודה אלא אם כן יודעין מי מסב עמהן. </w:t>
      </w:r>
    </w:p>
    <w:p w14:paraId="4074A3BD" w14:textId="77777777" w:rsidR="000835FC" w:rsidRPr="000835FC" w:rsidRDefault="000835FC" w:rsidP="004A326E">
      <w:pPr>
        <w:rPr>
          <w:rFonts w:cs="Arial"/>
          <w:u w:val="single"/>
          <w:rtl/>
        </w:rPr>
      </w:pPr>
      <w:r w:rsidRPr="000835FC">
        <w:rPr>
          <w:rFonts w:cs="Arial" w:hint="cs"/>
          <w:u w:val="single"/>
          <w:rtl/>
        </w:rPr>
        <w:t>דיין שיודע בחברו שהוא גזלן או רשע:</w:t>
      </w:r>
    </w:p>
    <w:p w14:paraId="55BA6B97" w14:textId="77777777" w:rsidR="004A326E" w:rsidRPr="000835FC" w:rsidRDefault="00923ED3" w:rsidP="004B0475">
      <w:pPr>
        <w:pStyle w:val="ac"/>
        <w:numPr>
          <w:ilvl w:val="0"/>
          <w:numId w:val="59"/>
        </w:numPr>
        <w:rPr>
          <w:rFonts w:cs="Arial"/>
          <w:rtl/>
        </w:rPr>
      </w:pPr>
      <w:r>
        <w:rPr>
          <w:rFonts w:cs="Arial" w:hint="cs"/>
          <w:rtl/>
        </w:rPr>
        <w:t xml:space="preserve">רמב"ם </w:t>
      </w:r>
      <w:r>
        <w:rPr>
          <w:rFonts w:cs="Arial" w:hint="cs"/>
          <w:sz w:val="16"/>
          <w:szCs w:val="16"/>
          <w:rtl/>
        </w:rPr>
        <w:t xml:space="preserve">(פכ"ב מסנהדרין ה"י, וכן בפ"ב הי"ד) </w:t>
      </w:r>
      <w:r>
        <w:rPr>
          <w:rFonts w:cs="Arial" w:hint="cs"/>
          <w:rtl/>
        </w:rPr>
        <w:t>ו</w:t>
      </w:r>
      <w:r w:rsidR="004A326E" w:rsidRPr="000835FC">
        <w:rPr>
          <w:rFonts w:cs="Arial" w:hint="cs"/>
          <w:rtl/>
        </w:rPr>
        <w:t xml:space="preserve">טור- </w:t>
      </w:r>
      <w:r w:rsidR="004A326E" w:rsidRPr="000835FC">
        <w:rPr>
          <w:rFonts w:cs="Arial"/>
          <w:rtl/>
        </w:rPr>
        <w:t>דיין שיודע בחבירו שהוא גזלן או רשע אין לו להצטרף עמו</w:t>
      </w:r>
      <w:r w:rsidR="000835FC">
        <w:rPr>
          <w:rFonts w:cs="Arial" w:hint="cs"/>
          <w:rtl/>
        </w:rPr>
        <w:t>.</w:t>
      </w:r>
      <w:r w:rsidR="000835FC" w:rsidRPr="000835FC">
        <w:rPr>
          <w:rFonts w:cs="Arial"/>
          <w:rtl/>
        </w:rPr>
        <w:t xml:space="preserve"> וכך היו נקיי הדעת שבירושלים עושין לא היו יושבין בדין אא"כ היו יודעים מי ישב עמהם</w:t>
      </w:r>
      <w:r>
        <w:rPr>
          <w:rFonts w:cs="Arial" w:hint="cs"/>
          <w:sz w:val="16"/>
          <w:szCs w:val="16"/>
          <w:rtl/>
        </w:rPr>
        <w:t xml:space="preserve"> (ל' הטור)</w:t>
      </w:r>
      <w:r w:rsidR="000835FC">
        <w:rPr>
          <w:rFonts w:cs="Arial" w:hint="cs"/>
          <w:rtl/>
        </w:rPr>
        <w:t>.</w:t>
      </w:r>
      <w:r w:rsidR="000835FC" w:rsidRPr="000835FC">
        <w:rPr>
          <w:rFonts w:hint="cs"/>
          <w:color w:val="E36C0A" w:themeColor="accent6" w:themeShade="BF"/>
          <w:rtl/>
        </w:rPr>
        <w:t xml:space="preserve"> </w:t>
      </w:r>
      <w:r w:rsidR="000835FC" w:rsidRPr="00DD2C57">
        <w:rPr>
          <w:rFonts w:hint="cs"/>
          <w:color w:val="E36C0A" w:themeColor="accent6" w:themeShade="BF"/>
          <w:rtl/>
        </w:rPr>
        <w:t>(וכ"פ בשו"ע</w:t>
      </w:r>
      <w:r w:rsidR="000835FC">
        <w:rPr>
          <w:rFonts w:hint="cs"/>
          <w:color w:val="E36C0A" w:themeColor="accent6" w:themeShade="BF"/>
          <w:sz w:val="16"/>
          <w:szCs w:val="16"/>
          <w:rtl/>
        </w:rPr>
        <w:t xml:space="preserve"> </w:t>
      </w:r>
      <w:r w:rsidR="000835FC">
        <w:rPr>
          <w:rFonts w:hint="cs"/>
          <w:color w:val="000000" w:themeColor="text1"/>
          <w:sz w:val="16"/>
          <w:szCs w:val="16"/>
          <w:rtl/>
        </w:rPr>
        <w:t>[כאן ובסי' ג ס"ד]</w:t>
      </w:r>
      <w:r w:rsidR="000835FC" w:rsidRPr="00DD2C57">
        <w:rPr>
          <w:rFonts w:hint="cs"/>
          <w:color w:val="E36C0A" w:themeColor="accent6" w:themeShade="BF"/>
          <w:rtl/>
        </w:rPr>
        <w:t>)</w:t>
      </w:r>
    </w:p>
    <w:p w14:paraId="6BBE6934" w14:textId="77777777" w:rsidR="004A326E" w:rsidRPr="003024E5" w:rsidRDefault="004A326E" w:rsidP="004A326E">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02D6D892" w14:textId="77777777" w:rsidR="004A326E" w:rsidRDefault="004A326E" w:rsidP="004A326E">
      <w:pPr>
        <w:rPr>
          <w:rtl/>
        </w:rPr>
      </w:pPr>
      <w:r>
        <w:rPr>
          <w:rFonts w:cs="Arial"/>
          <w:rtl/>
        </w:rPr>
        <w:t>דיין שיודע בחבירו שהוא גזלן או רשע, אין לו להצטרף עמו</w:t>
      </w:r>
      <w:r>
        <w:rPr>
          <w:rStyle w:val="ab"/>
          <w:rFonts w:cs="Arial"/>
          <w:rtl/>
        </w:rPr>
        <w:footnoteReference w:id="388"/>
      </w:r>
      <w:r>
        <w:rPr>
          <w:rFonts w:cs="Arial"/>
          <w:rtl/>
        </w:rPr>
        <w:t xml:space="preserve">. </w:t>
      </w:r>
    </w:p>
    <w:p w14:paraId="073F0314" w14:textId="77777777" w:rsidR="004A326E" w:rsidRDefault="004A326E" w:rsidP="004A326E">
      <w:pPr>
        <w:rPr>
          <w:rtl/>
        </w:rPr>
      </w:pPr>
    </w:p>
    <w:p w14:paraId="1765C5ED" w14:textId="77777777" w:rsidR="004A326E" w:rsidRDefault="004A326E" w:rsidP="004A326E">
      <w:pPr>
        <w:pStyle w:val="2"/>
        <w:rPr>
          <w:rtl/>
        </w:rPr>
      </w:pPr>
      <w:bookmarkStart w:id="45" w:name="_Toc24883545"/>
      <w:r>
        <w:rPr>
          <w:rtl/>
        </w:rPr>
        <w:lastRenderedPageBreak/>
        <w:t>סעיף יא</w:t>
      </w:r>
      <w:r>
        <w:rPr>
          <w:rFonts w:hint="cs"/>
          <w:rtl/>
        </w:rPr>
        <w:t>: מידות הצריכות לדיין.</w:t>
      </w:r>
      <w:bookmarkEnd w:id="45"/>
    </w:p>
    <w:p w14:paraId="3666CD49" w14:textId="77777777" w:rsidR="00AE75A8" w:rsidRDefault="00AE75A8" w:rsidP="00AE75A8">
      <w:pPr>
        <w:rPr>
          <w:rtl/>
        </w:rPr>
      </w:pPr>
      <w:r w:rsidRPr="00AE75A8">
        <w:rPr>
          <w:rFonts w:cs="Arial" w:hint="cs"/>
          <w:b/>
          <w:bCs/>
          <w:rtl/>
        </w:rPr>
        <w:t xml:space="preserve">שמות פרשת יתרו </w:t>
      </w:r>
      <w:r>
        <w:rPr>
          <w:rFonts w:cs="Arial" w:hint="cs"/>
          <w:b/>
          <w:bCs/>
          <w:rtl/>
        </w:rPr>
        <w:t xml:space="preserve">פרק </w:t>
      </w:r>
      <w:r w:rsidRPr="00AE75A8">
        <w:rPr>
          <w:rFonts w:cs="Arial" w:hint="cs"/>
          <w:b/>
          <w:bCs/>
          <w:rtl/>
        </w:rPr>
        <w:t>יח</w:t>
      </w:r>
      <w:r>
        <w:rPr>
          <w:rFonts w:cs="Arial" w:hint="cs"/>
          <w:b/>
          <w:bCs/>
          <w:rtl/>
        </w:rPr>
        <w:t>:</w:t>
      </w:r>
      <w:r w:rsidRPr="00AE75A8">
        <w:rPr>
          <w:rFonts w:cs="Arial" w:hint="cs"/>
          <w:b/>
          <w:bCs/>
          <w:rtl/>
        </w:rPr>
        <w:t xml:space="preserve"> </w:t>
      </w:r>
      <w:r>
        <w:rPr>
          <w:rFonts w:cs="Arial" w:hint="cs"/>
          <w:b/>
          <w:bCs/>
          <w:rtl/>
        </w:rPr>
        <w:t>[</w:t>
      </w:r>
      <w:r w:rsidRPr="00AE75A8">
        <w:rPr>
          <w:rFonts w:cs="Arial"/>
          <w:b/>
          <w:bCs/>
          <w:rtl/>
        </w:rPr>
        <w:t>כא</w:t>
      </w:r>
      <w:r>
        <w:rPr>
          <w:rFonts w:cs="Arial" w:hint="cs"/>
          <w:b/>
          <w:bCs/>
          <w:rtl/>
        </w:rPr>
        <w:t>]</w:t>
      </w:r>
      <w:r w:rsidRPr="00AE75A8">
        <w:rPr>
          <w:rFonts w:cs="Arial"/>
          <w:rtl/>
        </w:rPr>
        <w:t xml:space="preserve"> וְאַתָּה תֶחֱזֶה מִכָּל הָעָם אַנְשֵׁי חַיִל יִרְאֵי אֱלֹהִים אַנְשֵׁי אֱמֶת שֹׂנְאֵי בָצַע וְשַׂמְתָּ עֲלֵהֶם שָׂרֵי אֲלָפִים שָׂרֵי מֵאוֹת שָׂרֵי חֲמִשִּׁים וְשָׂרֵי עֲשָׂרֹת</w:t>
      </w:r>
      <w:r>
        <w:rPr>
          <w:rFonts w:cs="Arial" w:hint="cs"/>
          <w:rtl/>
        </w:rPr>
        <w:t>:</w:t>
      </w:r>
    </w:p>
    <w:p w14:paraId="20DE3CF4" w14:textId="77777777" w:rsidR="00AE75A8" w:rsidRPr="00AE75A8" w:rsidRDefault="00AE75A8" w:rsidP="00AE75A8">
      <w:pPr>
        <w:rPr>
          <w:rtl/>
        </w:rPr>
      </w:pPr>
      <w:r>
        <w:rPr>
          <w:rFonts w:cs="Arial" w:hint="cs"/>
          <w:b/>
          <w:bCs/>
          <w:rtl/>
        </w:rPr>
        <w:t xml:space="preserve">דברים פרשת דברים פרק א: </w:t>
      </w:r>
      <w:r w:rsidRPr="00AE75A8">
        <w:rPr>
          <w:rFonts w:cs="Arial" w:hint="cs"/>
          <w:b/>
          <w:bCs/>
          <w:rtl/>
        </w:rPr>
        <w:t>[</w:t>
      </w:r>
      <w:r w:rsidRPr="00AE75A8">
        <w:rPr>
          <w:rFonts w:cs="Arial"/>
          <w:b/>
          <w:bCs/>
          <w:rtl/>
        </w:rPr>
        <w:t>יב</w:t>
      </w:r>
      <w:r w:rsidRPr="00AE75A8">
        <w:rPr>
          <w:rFonts w:cs="Arial" w:hint="cs"/>
          <w:b/>
          <w:bCs/>
          <w:rtl/>
        </w:rPr>
        <w:t>]</w:t>
      </w:r>
      <w:r w:rsidRPr="00AE75A8">
        <w:rPr>
          <w:rFonts w:cs="Arial"/>
          <w:rtl/>
        </w:rPr>
        <w:t xml:space="preserve"> אֵיכָה אֶשָּׂא לְבַדִּי טָרְחֲכֶם וּמַשַּׂאֲכֶם וְרִיבְכֶם: </w:t>
      </w:r>
      <w:r w:rsidRPr="00AE75A8">
        <w:rPr>
          <w:rFonts w:cs="Arial" w:hint="cs"/>
          <w:b/>
          <w:bCs/>
          <w:rtl/>
        </w:rPr>
        <w:t>[</w:t>
      </w:r>
      <w:r w:rsidRPr="00AE75A8">
        <w:rPr>
          <w:rFonts w:cs="Arial"/>
          <w:b/>
          <w:bCs/>
          <w:rtl/>
        </w:rPr>
        <w:t>יג</w:t>
      </w:r>
      <w:r>
        <w:rPr>
          <w:rFonts w:cs="Arial" w:hint="cs"/>
          <w:b/>
          <w:bCs/>
          <w:rtl/>
        </w:rPr>
        <w:t>]</w:t>
      </w:r>
      <w:r w:rsidRPr="00AE75A8">
        <w:rPr>
          <w:rFonts w:cs="Arial"/>
          <w:rtl/>
        </w:rPr>
        <w:t xml:space="preserve"> הָבוּ לָכֶם אֲנָשִׁים חֲכָמִים וּנְבֹנִים וִידֻעִים לְשִׁבְטֵיכֶם וַאֲשִׂימֵם בְּרָאשֵׁיכֶם:</w:t>
      </w:r>
    </w:p>
    <w:p w14:paraId="08D52D1E" w14:textId="77777777" w:rsidR="001F7766" w:rsidRPr="001F7766" w:rsidRDefault="001F7766" w:rsidP="001F7766">
      <w:pPr>
        <w:rPr>
          <w:rtl/>
        </w:rPr>
      </w:pPr>
      <w:r w:rsidRPr="001F7766">
        <w:rPr>
          <w:rFonts w:cs="Arial" w:hint="cs"/>
          <w:b/>
          <w:bCs/>
          <w:rtl/>
        </w:rPr>
        <w:t>דברים רבה</w:t>
      </w:r>
      <w:r>
        <w:rPr>
          <w:rFonts w:cs="Arial" w:hint="cs"/>
          <w:b/>
          <w:bCs/>
          <w:sz w:val="16"/>
          <w:szCs w:val="16"/>
          <w:rtl/>
        </w:rPr>
        <w:t xml:space="preserve"> (וילנא)</w:t>
      </w:r>
      <w:r w:rsidRPr="001F7766">
        <w:rPr>
          <w:rFonts w:cs="Arial" w:hint="cs"/>
          <w:b/>
          <w:bCs/>
          <w:rtl/>
        </w:rPr>
        <w:t xml:space="preserve"> פ"א סי' י: </w:t>
      </w:r>
      <w:r w:rsidRPr="001F7766">
        <w:rPr>
          <w:rFonts w:cs="Arial"/>
          <w:u w:val="single"/>
          <w:rtl/>
        </w:rPr>
        <w:t>אמר רבי ברכיה בשם רבי חנינא</w:t>
      </w:r>
      <w:r>
        <w:rPr>
          <w:rFonts w:cs="Arial" w:hint="cs"/>
          <w:rtl/>
        </w:rPr>
        <w:t>:</w:t>
      </w:r>
      <w:r w:rsidRPr="001F7766">
        <w:rPr>
          <w:rFonts w:cs="Arial"/>
          <w:rtl/>
        </w:rPr>
        <w:t xml:space="preserve"> צריכין הדיינין שיהא בהן שבע מדות</w:t>
      </w:r>
      <w:r w:rsidR="00AE75A8">
        <w:rPr>
          <w:rFonts w:cs="Arial" w:hint="cs"/>
          <w:rtl/>
        </w:rPr>
        <w:t>,</w:t>
      </w:r>
      <w:r w:rsidRPr="001F7766">
        <w:rPr>
          <w:rFonts w:cs="Arial"/>
          <w:rtl/>
        </w:rPr>
        <w:t xml:space="preserve"> ואלו הן</w:t>
      </w:r>
      <w:r w:rsidR="00AE75A8">
        <w:rPr>
          <w:rFonts w:cs="Arial" w:hint="cs"/>
          <w:rtl/>
        </w:rPr>
        <w:t>:</w:t>
      </w:r>
      <w:r w:rsidRPr="001F7766">
        <w:rPr>
          <w:rFonts w:cs="Arial"/>
          <w:rtl/>
        </w:rPr>
        <w:t xml:space="preserve"> חכמים ונבונים וידועים</w:t>
      </w:r>
      <w:r w:rsidR="00AE75A8">
        <w:rPr>
          <w:rFonts w:cs="Arial" w:hint="cs"/>
          <w:rtl/>
        </w:rPr>
        <w:t>,</w:t>
      </w:r>
      <w:r w:rsidRPr="001F7766">
        <w:rPr>
          <w:rFonts w:cs="Arial"/>
          <w:rtl/>
        </w:rPr>
        <w:t xml:space="preserve"> וארבע כמה שכתב להלן </w:t>
      </w:r>
      <w:r w:rsidRPr="00AE75A8">
        <w:rPr>
          <w:rFonts w:cs="Arial"/>
          <w:sz w:val="16"/>
          <w:szCs w:val="16"/>
          <w:rtl/>
        </w:rPr>
        <w:t xml:space="preserve">(שמות יח) </w:t>
      </w:r>
      <w:r w:rsidRPr="001F7766">
        <w:rPr>
          <w:rFonts w:cs="Arial"/>
          <w:rtl/>
        </w:rPr>
        <w:t>ואתה תחזה מכל העם וגו'</w:t>
      </w:r>
      <w:r w:rsidR="00AE75A8">
        <w:rPr>
          <w:rFonts w:cs="Arial" w:hint="cs"/>
          <w:rtl/>
        </w:rPr>
        <w:t>,</w:t>
      </w:r>
      <w:r w:rsidRPr="001F7766">
        <w:rPr>
          <w:rFonts w:cs="Arial"/>
          <w:rtl/>
        </w:rPr>
        <w:t xml:space="preserve"> הרי שבע</w:t>
      </w:r>
      <w:r w:rsidR="00AE75A8">
        <w:rPr>
          <w:rFonts w:cs="Arial" w:hint="cs"/>
          <w:rtl/>
        </w:rPr>
        <w:t>.</w:t>
      </w:r>
      <w:r w:rsidRPr="001F7766">
        <w:rPr>
          <w:rFonts w:cs="Arial"/>
          <w:rtl/>
        </w:rPr>
        <w:t xml:space="preserve"> ולמה לא נכתבו שבע כאחת</w:t>
      </w:r>
      <w:r w:rsidR="00AE75A8">
        <w:rPr>
          <w:rFonts w:cs="Arial" w:hint="cs"/>
          <w:rtl/>
        </w:rPr>
        <w:t>?</w:t>
      </w:r>
      <w:r w:rsidRPr="001F7766">
        <w:rPr>
          <w:rFonts w:cs="Arial"/>
          <w:rtl/>
        </w:rPr>
        <w:t xml:space="preserve"> שאם לא נמצאו משבע מביא מארבע</w:t>
      </w:r>
      <w:r w:rsidR="00AE75A8">
        <w:rPr>
          <w:rFonts w:cs="Arial" w:hint="cs"/>
          <w:rtl/>
        </w:rPr>
        <w:t>,</w:t>
      </w:r>
      <w:r w:rsidRPr="001F7766">
        <w:rPr>
          <w:rFonts w:cs="Arial"/>
          <w:rtl/>
        </w:rPr>
        <w:t xml:space="preserve"> ואם לא נמצאו מארבע מביא מג'</w:t>
      </w:r>
      <w:r w:rsidR="00AE75A8">
        <w:rPr>
          <w:rFonts w:cs="Arial" w:hint="cs"/>
          <w:rtl/>
        </w:rPr>
        <w:t>,</w:t>
      </w:r>
      <w:r w:rsidRPr="001F7766">
        <w:rPr>
          <w:rFonts w:cs="Arial"/>
          <w:rtl/>
        </w:rPr>
        <w:t xml:space="preserve"> ואם לא נמצאו מג' מביא מאחד, שכך כתיב </w:t>
      </w:r>
      <w:r w:rsidRPr="00AE75A8">
        <w:rPr>
          <w:rFonts w:cs="Arial"/>
          <w:sz w:val="16"/>
          <w:szCs w:val="16"/>
          <w:rtl/>
        </w:rPr>
        <w:t xml:space="preserve">(משלי לא) </w:t>
      </w:r>
      <w:r w:rsidRPr="001F7766">
        <w:rPr>
          <w:rFonts w:cs="Arial"/>
          <w:rtl/>
        </w:rPr>
        <w:t>אשת חיל מי ימצא</w:t>
      </w:r>
      <w:r>
        <w:rPr>
          <w:rFonts w:hint="cs"/>
          <w:rtl/>
        </w:rPr>
        <w:t>.</w:t>
      </w:r>
    </w:p>
    <w:p w14:paraId="75308E85" w14:textId="77777777" w:rsidR="004A326E" w:rsidRDefault="004A326E" w:rsidP="004A326E">
      <w:pPr>
        <w:rPr>
          <w:rFonts w:cs="Arial"/>
          <w:rtl/>
        </w:rPr>
      </w:pPr>
      <w:r w:rsidRPr="0077426A">
        <w:rPr>
          <w:rFonts w:cs="Arial" w:hint="cs"/>
          <w:u w:val="single"/>
          <w:rtl/>
        </w:rPr>
        <w:t>אלו מידות צריך שיהיה לדיין:</w:t>
      </w:r>
    </w:p>
    <w:p w14:paraId="62D86E1D" w14:textId="77777777" w:rsidR="004A326E" w:rsidRPr="0077426A" w:rsidRDefault="004A326E" w:rsidP="004B0475">
      <w:pPr>
        <w:pStyle w:val="ac"/>
        <w:numPr>
          <w:ilvl w:val="0"/>
          <w:numId w:val="60"/>
        </w:numPr>
        <w:rPr>
          <w:rFonts w:cs="Arial"/>
          <w:rtl/>
        </w:rPr>
      </w:pPr>
      <w:r w:rsidRPr="0077426A">
        <w:rPr>
          <w:rFonts w:cs="Arial"/>
          <w:rtl/>
        </w:rPr>
        <w:t>רמב"ם</w:t>
      </w:r>
      <w:r w:rsidRPr="0077426A">
        <w:rPr>
          <w:rFonts w:cs="Arial" w:hint="cs"/>
          <w:rtl/>
        </w:rPr>
        <w:t xml:space="preserve"> </w:t>
      </w:r>
      <w:r w:rsidRPr="0077426A">
        <w:rPr>
          <w:rFonts w:cs="Arial" w:hint="cs"/>
          <w:sz w:val="16"/>
          <w:szCs w:val="16"/>
          <w:rtl/>
        </w:rPr>
        <w:t>(פ"ב מהל' סנהדרין ה"ז)</w:t>
      </w:r>
      <w:r>
        <w:rPr>
          <w:rFonts w:cs="Arial" w:hint="cs"/>
          <w:rtl/>
        </w:rPr>
        <w:t xml:space="preserve"> וטור</w:t>
      </w:r>
      <w:r w:rsidRPr="0077426A">
        <w:rPr>
          <w:rFonts w:cs="Arial" w:hint="cs"/>
          <w:rtl/>
        </w:rPr>
        <w:t>-</w:t>
      </w:r>
      <w:r w:rsidRPr="0077426A">
        <w:rPr>
          <w:rtl/>
        </w:rPr>
        <w:t xml:space="preserve"> </w:t>
      </w:r>
      <w:r w:rsidRPr="0077426A">
        <w:rPr>
          <w:rFonts w:cs="Arial"/>
          <w:rtl/>
        </w:rPr>
        <w:t>בית דין של שלשה אף על פי שאין מדקדקין בהן בכל אלו הדברים צריך שיהא בכל אחד מהם שבעה דברים ואלו הן</w:t>
      </w:r>
      <w:r w:rsidR="001F7766">
        <w:rPr>
          <w:rFonts w:cs="Arial" w:hint="cs"/>
          <w:rtl/>
        </w:rPr>
        <w:t>:</w:t>
      </w:r>
      <w:r w:rsidRPr="0077426A">
        <w:rPr>
          <w:rFonts w:cs="Arial"/>
          <w:rtl/>
        </w:rPr>
        <w:t xml:space="preserve"> חכמה</w:t>
      </w:r>
      <w:r w:rsidR="001F7766">
        <w:rPr>
          <w:rFonts w:cs="Arial" w:hint="cs"/>
          <w:rtl/>
        </w:rPr>
        <w:t>,</w:t>
      </w:r>
      <w:r w:rsidRPr="0077426A">
        <w:rPr>
          <w:rFonts w:cs="Arial"/>
          <w:rtl/>
        </w:rPr>
        <w:t xml:space="preserve"> ענוה</w:t>
      </w:r>
      <w:r w:rsidR="001F7766">
        <w:rPr>
          <w:rFonts w:cs="Arial" w:hint="cs"/>
          <w:rtl/>
        </w:rPr>
        <w:t>,</w:t>
      </w:r>
      <w:r w:rsidRPr="0077426A">
        <w:rPr>
          <w:rFonts w:cs="Arial"/>
          <w:rtl/>
        </w:rPr>
        <w:t xml:space="preserve"> יראה</w:t>
      </w:r>
      <w:r w:rsidR="001F7766">
        <w:rPr>
          <w:rFonts w:cs="Arial" w:hint="cs"/>
          <w:rtl/>
        </w:rPr>
        <w:t>,</w:t>
      </w:r>
      <w:r w:rsidRPr="0077426A">
        <w:rPr>
          <w:rFonts w:cs="Arial"/>
          <w:rtl/>
        </w:rPr>
        <w:t xml:space="preserve"> שנאת ממון</w:t>
      </w:r>
      <w:r w:rsidR="001F7766">
        <w:rPr>
          <w:rFonts w:cs="Arial" w:hint="cs"/>
          <w:rtl/>
        </w:rPr>
        <w:t>,</w:t>
      </w:r>
      <w:r w:rsidRPr="0077426A">
        <w:rPr>
          <w:rFonts w:cs="Arial"/>
          <w:rtl/>
        </w:rPr>
        <w:t xml:space="preserve"> אהבת האמת</w:t>
      </w:r>
      <w:r w:rsidR="001F7766">
        <w:rPr>
          <w:rFonts w:cs="Arial" w:hint="cs"/>
          <w:rtl/>
        </w:rPr>
        <w:t>,</w:t>
      </w:r>
      <w:r w:rsidRPr="0077426A">
        <w:rPr>
          <w:rFonts w:cs="Arial"/>
          <w:rtl/>
        </w:rPr>
        <w:t xml:space="preserve"> אהבת הבריות להן</w:t>
      </w:r>
      <w:r w:rsidR="001F7766">
        <w:rPr>
          <w:rFonts w:cs="Arial" w:hint="cs"/>
          <w:rtl/>
        </w:rPr>
        <w:t>,</w:t>
      </w:r>
      <w:r w:rsidRPr="0077426A">
        <w:rPr>
          <w:rFonts w:cs="Arial"/>
          <w:rtl/>
        </w:rPr>
        <w:t xml:space="preserve"> בעלי שם טוב</w:t>
      </w:r>
      <w:r w:rsidR="001F7766">
        <w:rPr>
          <w:rFonts w:cs="Arial" w:hint="cs"/>
          <w:rtl/>
        </w:rPr>
        <w:t>.</w:t>
      </w:r>
      <w:r w:rsidRPr="0077426A">
        <w:rPr>
          <w:rFonts w:cs="Arial"/>
          <w:rtl/>
        </w:rPr>
        <w:t xml:space="preserve"> וכל אלו הדברים מפורשים הם בתורה הרי הוא אומר </w:t>
      </w:r>
      <w:r w:rsidRPr="0077426A">
        <w:rPr>
          <w:rFonts w:cs="Arial"/>
          <w:sz w:val="16"/>
          <w:szCs w:val="16"/>
          <w:rtl/>
        </w:rPr>
        <w:t xml:space="preserve">(דברים א יג) </w:t>
      </w:r>
      <w:r w:rsidRPr="0077426A">
        <w:rPr>
          <w:rFonts w:cs="Arial"/>
          <w:rtl/>
        </w:rPr>
        <w:t>חכמים ונבונים הרי חכמה אמור. וידועים לשבטיכם</w:t>
      </w:r>
      <w:r w:rsidRPr="0077426A">
        <w:rPr>
          <w:rFonts w:cs="Arial"/>
          <w:sz w:val="16"/>
          <w:szCs w:val="16"/>
          <w:rtl/>
        </w:rPr>
        <w:t xml:space="preserve"> (שם) </w:t>
      </w:r>
      <w:r w:rsidRPr="0077426A">
        <w:rPr>
          <w:rFonts w:cs="Arial"/>
          <w:rtl/>
        </w:rPr>
        <w:t>אלו שרוח הבריות נוחה מהם</w:t>
      </w:r>
      <w:r w:rsidR="00AE75A8">
        <w:rPr>
          <w:rFonts w:cs="Arial" w:hint="cs"/>
          <w:rtl/>
        </w:rPr>
        <w:t>,</w:t>
      </w:r>
      <w:r w:rsidRPr="0077426A">
        <w:rPr>
          <w:rFonts w:cs="Arial"/>
          <w:rtl/>
        </w:rPr>
        <w:t xml:space="preserve"> ובמה יהיו אהובים לבריות בזמן שיהו בעלי עין טובה ונפש שפלה וחברתן טובה ומשאן ומתנן בנחת עם הבריות. ולהלן הוא אומר </w:t>
      </w:r>
      <w:r w:rsidRPr="0077426A">
        <w:rPr>
          <w:rFonts w:cs="Arial"/>
          <w:sz w:val="16"/>
          <w:szCs w:val="16"/>
          <w:rtl/>
        </w:rPr>
        <w:t xml:space="preserve">(שמות יח כא) </w:t>
      </w:r>
      <w:r w:rsidRPr="0077426A">
        <w:rPr>
          <w:rFonts w:cs="Arial"/>
          <w:rtl/>
        </w:rPr>
        <w:t xml:space="preserve">אנשי חיל אלו שהם גבורים במצות ומדקדקים על עצמן וכובשים את יצרם עד שלא יהא להם שום גנאי ולא שם רע ויהא פרקן נאה. ובכלל אנשי חיל שיהיה להם לב אמיץ להציל עשוק מיד גוזל כענין שנאמר </w:t>
      </w:r>
      <w:r w:rsidRPr="0077426A">
        <w:rPr>
          <w:rFonts w:cs="Arial"/>
          <w:sz w:val="16"/>
          <w:szCs w:val="16"/>
          <w:rtl/>
        </w:rPr>
        <w:t xml:space="preserve">(שם ב יז) </w:t>
      </w:r>
      <w:r w:rsidRPr="0077426A">
        <w:rPr>
          <w:rFonts w:cs="Arial"/>
          <w:rtl/>
        </w:rPr>
        <w:t xml:space="preserve">ויקם משה ויושיען. ומה משה רבינו עליו השלום עניו אף כל דיין צריך להיות עניו. יראי אלהים </w:t>
      </w:r>
      <w:r w:rsidRPr="0077426A">
        <w:rPr>
          <w:rFonts w:cs="Arial"/>
          <w:sz w:val="16"/>
          <w:szCs w:val="16"/>
          <w:rtl/>
        </w:rPr>
        <w:t xml:space="preserve">(שם יח כא) </w:t>
      </w:r>
      <w:r w:rsidRPr="0077426A">
        <w:rPr>
          <w:rFonts w:cs="Arial"/>
          <w:rtl/>
        </w:rPr>
        <w:t xml:space="preserve">כמשמעו. שונאי בצע </w:t>
      </w:r>
      <w:r w:rsidRPr="0077426A">
        <w:rPr>
          <w:rFonts w:cs="Arial"/>
          <w:sz w:val="16"/>
          <w:szCs w:val="16"/>
          <w:rtl/>
        </w:rPr>
        <w:t xml:space="preserve">(שם) </w:t>
      </w:r>
      <w:r w:rsidRPr="0077426A">
        <w:rPr>
          <w:rFonts w:cs="Arial"/>
          <w:rtl/>
        </w:rPr>
        <w:t>כמשמעו</w:t>
      </w:r>
      <w:r w:rsidR="00AE75A8">
        <w:rPr>
          <w:rFonts w:cs="Arial" w:hint="cs"/>
          <w:rtl/>
        </w:rPr>
        <w:t>,</w:t>
      </w:r>
      <w:r w:rsidRPr="0077426A">
        <w:rPr>
          <w:rFonts w:cs="Arial"/>
          <w:rtl/>
        </w:rPr>
        <w:t xml:space="preserve"> אף ממון שלהם אינם נבהלים עליו ולא רודפים לקבץ ממון שכל מי שהוא נבהל להון חסר יבואנו. אנשי אמת </w:t>
      </w:r>
      <w:r w:rsidRPr="0077426A">
        <w:rPr>
          <w:rFonts w:cs="Arial"/>
          <w:sz w:val="16"/>
          <w:szCs w:val="16"/>
          <w:rtl/>
        </w:rPr>
        <w:t xml:space="preserve">(שם) </w:t>
      </w:r>
      <w:r w:rsidRPr="0077426A">
        <w:rPr>
          <w:rFonts w:cs="Arial"/>
          <w:rtl/>
        </w:rPr>
        <w:t>שיהיו רודפין הצדק מחמת עצמן בדעתן. אוהבים את האמת ושונאים את החמס ובורחים מכל מיני העול</w:t>
      </w:r>
      <w:r>
        <w:rPr>
          <w:rFonts w:cs="Arial" w:hint="cs"/>
          <w:sz w:val="16"/>
          <w:szCs w:val="16"/>
          <w:rtl/>
        </w:rPr>
        <w:t xml:space="preserve"> (ל' הרמב"ם)</w:t>
      </w:r>
      <w:r w:rsidRPr="0077426A">
        <w:rPr>
          <w:rFonts w:cs="Arial" w:hint="cs"/>
          <w:rtl/>
        </w:rPr>
        <w:t>.</w:t>
      </w:r>
      <w:r>
        <w:rPr>
          <w:rFonts w:cs="Arial" w:hint="cs"/>
          <w:rtl/>
        </w:rPr>
        <w:t xml:space="preserve"> </w:t>
      </w:r>
      <w:r w:rsidRPr="0077426A">
        <w:rPr>
          <w:rFonts w:cs="Arial" w:hint="cs"/>
          <w:color w:val="E36C0A" w:themeColor="accent6" w:themeShade="BF"/>
          <w:rtl/>
        </w:rPr>
        <w:t>(וכ"פ בשו"ע)</w:t>
      </w:r>
    </w:p>
    <w:p w14:paraId="24053AA9" w14:textId="77777777" w:rsidR="004A326E" w:rsidRPr="003024E5" w:rsidRDefault="004A326E" w:rsidP="004A326E">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77A81CFD" w14:textId="77777777" w:rsidR="004A326E" w:rsidRDefault="004A326E" w:rsidP="004A326E">
      <w:pPr>
        <w:rPr>
          <w:rtl/>
        </w:rPr>
      </w:pPr>
      <w:r>
        <w:rPr>
          <w:rFonts w:cs="Arial"/>
          <w:rtl/>
        </w:rPr>
        <w:t>ב</w:t>
      </w:r>
      <w:r>
        <w:rPr>
          <w:rFonts w:cs="Arial" w:hint="cs"/>
          <w:rtl/>
        </w:rPr>
        <w:t>ית דין</w:t>
      </w:r>
      <w:r>
        <w:rPr>
          <w:rFonts w:cs="Arial"/>
          <w:rtl/>
        </w:rPr>
        <w:t xml:space="preserve"> של </w:t>
      </w:r>
      <w:r>
        <w:rPr>
          <w:rFonts w:cs="Arial" w:hint="cs"/>
          <w:rtl/>
        </w:rPr>
        <w:t>ג'</w:t>
      </w:r>
      <w:r>
        <w:rPr>
          <w:rFonts w:cs="Arial"/>
          <w:rtl/>
        </w:rPr>
        <w:t xml:space="preserve"> צריך שיהיה בכל אחד מהם ז' דברים: חכמה, ענוה, יראה, שנאת ממון, אהבת האמת, אהבת הבריות להם, בעלי שם טוב. </w:t>
      </w:r>
      <w:r w:rsidRPr="00B33A53">
        <w:rPr>
          <w:rFonts w:cs="Arial" w:hint="cs"/>
          <w:sz w:val="18"/>
          <w:szCs w:val="18"/>
          <w:rtl/>
        </w:rPr>
        <w:t xml:space="preserve">[הגה] </w:t>
      </w:r>
      <w:r w:rsidRPr="00B33A53">
        <w:rPr>
          <w:rFonts w:cs="Arial"/>
          <w:sz w:val="18"/>
          <w:szCs w:val="18"/>
          <w:rtl/>
        </w:rPr>
        <w:t>וע"ל סימן ח סעיף א.</w:t>
      </w:r>
      <w:r>
        <w:rPr>
          <w:rFonts w:cs="Arial"/>
          <w:rtl/>
        </w:rPr>
        <w:t xml:space="preserve"> </w:t>
      </w:r>
    </w:p>
    <w:p w14:paraId="076D0D93" w14:textId="77777777" w:rsidR="004A326E" w:rsidRDefault="004A326E" w:rsidP="004A326E">
      <w:pPr>
        <w:rPr>
          <w:rtl/>
        </w:rPr>
      </w:pPr>
    </w:p>
    <w:p w14:paraId="7DAE7706" w14:textId="77777777" w:rsidR="004A326E" w:rsidRDefault="004A326E" w:rsidP="004A326E">
      <w:pPr>
        <w:pStyle w:val="2"/>
        <w:rPr>
          <w:rtl/>
        </w:rPr>
      </w:pPr>
      <w:bookmarkStart w:id="46" w:name="_Toc24883546"/>
      <w:r>
        <w:rPr>
          <w:rtl/>
        </w:rPr>
        <w:t>סעיף יב</w:t>
      </w:r>
      <w:r>
        <w:rPr>
          <w:rFonts w:hint="cs"/>
          <w:rtl/>
        </w:rPr>
        <w:t>: דיין שיש לו הנאה בדין שבא לפניו.</w:t>
      </w:r>
      <w:bookmarkEnd w:id="46"/>
    </w:p>
    <w:p w14:paraId="29190AFB" w14:textId="77777777" w:rsidR="004A326E" w:rsidRDefault="004A326E" w:rsidP="004A326E">
      <w:pPr>
        <w:rPr>
          <w:rFonts w:cs="Arial"/>
          <w:rtl/>
        </w:rPr>
      </w:pPr>
      <w:r w:rsidRPr="00ED57EC">
        <w:rPr>
          <w:rFonts w:cs="Arial" w:hint="cs"/>
          <w:b/>
          <w:bCs/>
          <w:rtl/>
        </w:rPr>
        <w:t xml:space="preserve">בבא בתרא </w:t>
      </w:r>
      <w:r w:rsidRPr="00ED57EC">
        <w:rPr>
          <w:rFonts w:cs="Arial" w:hint="cs"/>
          <w:b/>
          <w:bCs/>
          <w:sz w:val="16"/>
          <w:szCs w:val="16"/>
          <w:rtl/>
        </w:rPr>
        <w:t xml:space="preserve">(פ' חזקת הבתים) </w:t>
      </w:r>
      <w:r w:rsidRPr="00ED57EC">
        <w:rPr>
          <w:rFonts w:cs="Arial" w:hint="cs"/>
          <w:b/>
          <w:bCs/>
          <w:rtl/>
        </w:rPr>
        <w:t>מג</w:t>
      </w:r>
      <w:r w:rsidR="006E66E7">
        <w:rPr>
          <w:rStyle w:val="ab"/>
          <w:rFonts w:cs="Arial"/>
          <w:b/>
          <w:bCs/>
          <w:rtl/>
        </w:rPr>
        <w:footnoteReference w:id="389"/>
      </w:r>
      <w:r w:rsidRPr="00ED57EC">
        <w:rPr>
          <w:rFonts w:cs="Arial" w:hint="cs"/>
          <w:b/>
          <w:bCs/>
          <w:rtl/>
        </w:rPr>
        <w:t xml:space="preserve"> ע"א: </w:t>
      </w:r>
      <w:r w:rsidRPr="00DD29AC">
        <w:rPr>
          <w:rFonts w:cs="Arial"/>
          <w:rtl/>
        </w:rPr>
        <w:t xml:space="preserve">וכי מסלק נפשיה מיניה מי מסתלק? </w:t>
      </w:r>
      <w:r w:rsidRPr="00ED57EC">
        <w:rPr>
          <w:rFonts w:cs="Arial"/>
          <w:rtl/>
        </w:rPr>
        <w:t>והתניא: בני עיר שנגנב ספר תורה שלהן - אין דנין</w:t>
      </w:r>
      <w:r>
        <w:rPr>
          <w:rStyle w:val="ab"/>
          <w:rFonts w:cs="Arial"/>
          <w:rtl/>
        </w:rPr>
        <w:footnoteReference w:id="390"/>
      </w:r>
      <w:r w:rsidRPr="00ED57EC">
        <w:rPr>
          <w:rFonts w:cs="Arial"/>
          <w:rtl/>
        </w:rPr>
        <w:t xml:space="preserve"> בדייני אותה העיר, ואין מביאין ראיה</w:t>
      </w:r>
      <w:r>
        <w:rPr>
          <w:rStyle w:val="ab"/>
          <w:rFonts w:cs="Arial"/>
          <w:rtl/>
        </w:rPr>
        <w:footnoteReference w:id="391"/>
      </w:r>
      <w:r w:rsidRPr="00ED57EC">
        <w:rPr>
          <w:rFonts w:cs="Arial"/>
          <w:rtl/>
        </w:rPr>
        <w:t xml:space="preserve"> מאנשי אותה העיר</w:t>
      </w:r>
      <w:r w:rsidR="00AE75A8">
        <w:rPr>
          <w:rFonts w:cs="Arial" w:hint="cs"/>
          <w:rtl/>
        </w:rPr>
        <w:t>;</w:t>
      </w:r>
      <w:r w:rsidRPr="00ED57EC">
        <w:rPr>
          <w:rFonts w:cs="Arial"/>
          <w:rtl/>
        </w:rPr>
        <w:t xml:space="preserve"> ואם איתא, ליסלקו</w:t>
      </w:r>
      <w:r>
        <w:rPr>
          <w:rStyle w:val="ab"/>
          <w:rFonts w:cs="Arial"/>
          <w:rtl/>
        </w:rPr>
        <w:footnoteReference w:id="392"/>
      </w:r>
      <w:r w:rsidRPr="00ED57EC">
        <w:rPr>
          <w:rFonts w:cs="Arial"/>
          <w:rtl/>
        </w:rPr>
        <w:t xml:space="preserve"> בי תרי מינייהו ולידיינו! שאני ס"ת, דלשמיעה קאי</w:t>
      </w:r>
      <w:r>
        <w:rPr>
          <w:rStyle w:val="ab"/>
          <w:rFonts w:cs="Arial"/>
          <w:rtl/>
        </w:rPr>
        <w:footnoteReference w:id="393"/>
      </w:r>
      <w:r w:rsidRPr="00ED57EC">
        <w:rPr>
          <w:rFonts w:cs="Arial"/>
          <w:rtl/>
        </w:rPr>
        <w:t>. תא שמע: האומר תנו מנה לבני עירי</w:t>
      </w:r>
      <w:r>
        <w:rPr>
          <w:rStyle w:val="ab"/>
          <w:rFonts w:cs="Arial"/>
          <w:rtl/>
        </w:rPr>
        <w:footnoteReference w:id="394"/>
      </w:r>
      <w:r w:rsidRPr="00ED57EC">
        <w:rPr>
          <w:rFonts w:cs="Arial"/>
          <w:rtl/>
        </w:rPr>
        <w:t xml:space="preserve"> - אין דנין בדייני אותה העיר, ואין מביאין ראיה מאנשי אותה העיר</w:t>
      </w:r>
      <w:r w:rsidR="00AE75A8">
        <w:rPr>
          <w:rFonts w:cs="Arial" w:hint="cs"/>
          <w:rtl/>
        </w:rPr>
        <w:t>;</w:t>
      </w:r>
      <w:r w:rsidRPr="00ED57EC">
        <w:rPr>
          <w:rFonts w:cs="Arial"/>
          <w:rtl/>
        </w:rPr>
        <w:t xml:space="preserve"> אמאי? ליסלקו בי תרי נפשייהו</w:t>
      </w:r>
      <w:r>
        <w:rPr>
          <w:rStyle w:val="ab"/>
          <w:rFonts w:cs="Arial"/>
          <w:rtl/>
        </w:rPr>
        <w:footnoteReference w:id="395"/>
      </w:r>
      <w:r w:rsidRPr="00ED57EC">
        <w:rPr>
          <w:rFonts w:cs="Arial"/>
          <w:rtl/>
        </w:rPr>
        <w:t xml:space="preserve"> ולידיינו! הכא נמי בס"ת</w:t>
      </w:r>
      <w:r>
        <w:rPr>
          <w:rStyle w:val="ab"/>
          <w:rFonts w:cs="Arial"/>
          <w:rtl/>
        </w:rPr>
        <w:footnoteReference w:id="396"/>
      </w:r>
      <w:r w:rsidRPr="00ED57EC">
        <w:rPr>
          <w:rFonts w:cs="Arial"/>
          <w:rtl/>
        </w:rPr>
        <w:t>. ת"ש: האומר תנו מנה לעניי עירי - אין דנין בדייני אותה העיר, ואין מביאין ראיה מאנשי אותה העיר; ותסברא? עניים שקלי, דייני מיפסלי</w:t>
      </w:r>
      <w:r>
        <w:rPr>
          <w:rStyle w:val="ab"/>
          <w:rFonts w:cs="Arial"/>
          <w:rtl/>
        </w:rPr>
        <w:footnoteReference w:id="397"/>
      </w:r>
      <w:r w:rsidRPr="00ED57EC">
        <w:rPr>
          <w:rFonts w:cs="Arial"/>
          <w:rtl/>
        </w:rPr>
        <w:t>? אלא אימא: אין דנין בדייני עניי אותה העיר, ואין מביאין ראיה מעניי אותה העיר; ואמאי? לסתלקו בי תרי נפשייהו ולידיינו! הכא נמי בספר תורה. ואמאי קרי להו עניים? דהכל אצל ספר תורה עניים הן</w:t>
      </w:r>
      <w:r>
        <w:rPr>
          <w:rStyle w:val="ab"/>
          <w:rFonts w:cs="Arial"/>
          <w:rtl/>
        </w:rPr>
        <w:footnoteReference w:id="398"/>
      </w:r>
      <w:r w:rsidRPr="00ED57EC">
        <w:rPr>
          <w:rFonts w:cs="Arial"/>
          <w:rtl/>
        </w:rPr>
        <w:t>. ואיבעית אימא: לעולם</w:t>
      </w:r>
      <w:r>
        <w:rPr>
          <w:rStyle w:val="ab"/>
          <w:rFonts w:cs="Arial"/>
          <w:rtl/>
        </w:rPr>
        <w:footnoteReference w:id="399"/>
      </w:r>
      <w:r w:rsidRPr="00ED57EC">
        <w:rPr>
          <w:rFonts w:cs="Arial"/>
          <w:rtl/>
        </w:rPr>
        <w:t xml:space="preserve"> כדקתני עניים ממש, ובעניי </w:t>
      </w:r>
      <w:r w:rsidRPr="00ED57EC">
        <w:rPr>
          <w:rFonts w:cs="Arial"/>
          <w:rtl/>
        </w:rPr>
        <w:lastRenderedPageBreak/>
        <w:t>דראמו עלייהו</w:t>
      </w:r>
      <w:r>
        <w:rPr>
          <w:rStyle w:val="ab"/>
          <w:rFonts w:cs="Arial"/>
          <w:rtl/>
        </w:rPr>
        <w:footnoteReference w:id="400"/>
      </w:r>
      <w:r w:rsidRPr="00ED57EC">
        <w:rPr>
          <w:rFonts w:cs="Arial"/>
          <w:rtl/>
        </w:rPr>
        <w:t>. והיכי דמי? אי דקיץ להו</w:t>
      </w:r>
      <w:r>
        <w:rPr>
          <w:rStyle w:val="ab"/>
          <w:rFonts w:cs="Arial"/>
          <w:rtl/>
        </w:rPr>
        <w:footnoteReference w:id="401"/>
      </w:r>
      <w:r w:rsidRPr="00ED57EC">
        <w:rPr>
          <w:rFonts w:cs="Arial"/>
          <w:rtl/>
        </w:rPr>
        <w:t>, ליתבו בי תרי מינייהו מאי דקיץ להו ולידיינו! הכא במאי עסקינן - דלא קיץ להו</w:t>
      </w:r>
      <w:r>
        <w:rPr>
          <w:rStyle w:val="ab"/>
          <w:rFonts w:cs="Arial"/>
          <w:rtl/>
        </w:rPr>
        <w:footnoteReference w:id="402"/>
      </w:r>
      <w:r w:rsidRPr="00ED57EC">
        <w:rPr>
          <w:rFonts w:cs="Arial"/>
          <w:rtl/>
        </w:rPr>
        <w:t>. ואב"א: לעולם דקיץ להו</w:t>
      </w:r>
      <w:r>
        <w:rPr>
          <w:rStyle w:val="ab"/>
          <w:rFonts w:cs="Arial"/>
          <w:rtl/>
        </w:rPr>
        <w:footnoteReference w:id="403"/>
      </w:r>
      <w:r w:rsidRPr="00ED57EC">
        <w:rPr>
          <w:rFonts w:cs="Arial"/>
          <w:rtl/>
        </w:rPr>
        <w:t>, וניחא להו, דכיון דרווח - רווח</w:t>
      </w:r>
      <w:r>
        <w:rPr>
          <w:rStyle w:val="ab"/>
          <w:rFonts w:cs="Arial"/>
          <w:rtl/>
        </w:rPr>
        <w:footnoteReference w:id="404"/>
      </w:r>
      <w:r w:rsidRPr="00ED57EC">
        <w:rPr>
          <w:rFonts w:cs="Arial"/>
          <w:rtl/>
        </w:rPr>
        <w:t xml:space="preserve">. </w:t>
      </w:r>
    </w:p>
    <w:p w14:paraId="40C704F1" w14:textId="77777777" w:rsidR="004A326E" w:rsidRDefault="004A326E" w:rsidP="004A326E">
      <w:pPr>
        <w:rPr>
          <w:rFonts w:cs="Arial"/>
          <w:rtl/>
        </w:rPr>
      </w:pPr>
      <w:r w:rsidRPr="00972990">
        <w:rPr>
          <w:rFonts w:cs="Arial" w:hint="cs"/>
          <w:u w:val="single"/>
          <w:rtl/>
        </w:rPr>
        <w:t>דין שיש לדיין שום צד הנאה בו:</w:t>
      </w:r>
    </w:p>
    <w:p w14:paraId="2E156F83" w14:textId="77777777" w:rsidR="004A326E" w:rsidRDefault="004A326E" w:rsidP="004B0475">
      <w:pPr>
        <w:pStyle w:val="ac"/>
        <w:numPr>
          <w:ilvl w:val="0"/>
          <w:numId w:val="60"/>
        </w:numPr>
        <w:rPr>
          <w:rFonts w:cs="Arial"/>
        </w:rPr>
      </w:pPr>
      <w:r w:rsidRPr="00972990">
        <w:rPr>
          <w:rFonts w:cs="Arial" w:hint="cs"/>
          <w:rtl/>
        </w:rPr>
        <w:t>טור-</w:t>
      </w:r>
      <w:r w:rsidRPr="00972990">
        <w:rPr>
          <w:rFonts w:cs="Arial"/>
          <w:rtl/>
        </w:rPr>
        <w:t xml:space="preserve"> כל דבר שיש לדיין בו צד הנאה </w:t>
      </w:r>
      <w:r w:rsidR="00B67C5B">
        <w:rPr>
          <w:rFonts w:cs="Arial" w:hint="cs"/>
          <w:rtl/>
        </w:rPr>
        <w:t xml:space="preserve">- </w:t>
      </w:r>
      <w:r w:rsidRPr="00972990">
        <w:rPr>
          <w:rFonts w:cs="Arial"/>
          <w:rtl/>
        </w:rPr>
        <w:t>אינו יכול לדון על</w:t>
      </w:r>
      <w:r w:rsidRPr="00972990">
        <w:rPr>
          <w:rFonts w:cs="Arial" w:hint="cs"/>
          <w:rtl/>
        </w:rPr>
        <w:t>יו,</w:t>
      </w:r>
      <w:r w:rsidRPr="00972990">
        <w:rPr>
          <w:rFonts w:cs="Arial"/>
          <w:rtl/>
        </w:rPr>
        <w:t xml:space="preserve"> כדתניא בני העיר שנגנב להם ס"ת אין דנים אותו בדייני אותה העיר</w:t>
      </w:r>
      <w:r w:rsidR="00B67C5B">
        <w:rPr>
          <w:rFonts w:cs="Arial" w:hint="cs"/>
          <w:rtl/>
        </w:rPr>
        <w:t>,</w:t>
      </w:r>
      <w:r w:rsidRPr="00972990">
        <w:rPr>
          <w:rFonts w:cs="Arial"/>
          <w:rtl/>
        </w:rPr>
        <w:t xml:space="preserve"> והאומר תנו מנה לעניי העיר אין דנים אותו בדייני אותה העיר</w:t>
      </w:r>
      <w:r w:rsidR="00B67C5B">
        <w:rPr>
          <w:rFonts w:cs="Arial" w:hint="cs"/>
          <w:rtl/>
        </w:rPr>
        <w:t>,</w:t>
      </w:r>
      <w:r w:rsidRPr="00972990">
        <w:rPr>
          <w:rFonts w:cs="Arial"/>
          <w:rtl/>
        </w:rPr>
        <w:t xml:space="preserve"> לפי שמוטל עליהם לפרנסם</w:t>
      </w:r>
      <w:r w:rsidR="00B67C5B">
        <w:rPr>
          <w:rFonts w:cs="Arial" w:hint="cs"/>
          <w:rtl/>
        </w:rPr>
        <w:t>.</w:t>
      </w:r>
      <w:r w:rsidRPr="00972990">
        <w:rPr>
          <w:rFonts w:cs="Arial"/>
          <w:rtl/>
        </w:rPr>
        <w:t xml:space="preserve"> ואפילו בעניים שיש להם קצבה אין מועיל סילוק ולומר יתנו להם אחרים קצבתן וידונו אותם הדיינים</w:t>
      </w:r>
      <w:r w:rsidR="00B67C5B">
        <w:rPr>
          <w:rFonts w:cs="Arial" w:hint="cs"/>
          <w:rtl/>
        </w:rPr>
        <w:t>,</w:t>
      </w:r>
      <w:r w:rsidR="00AF4E8C">
        <w:rPr>
          <w:rFonts w:cs="Arial" w:hint="cs"/>
          <w:rtl/>
        </w:rPr>
        <w:t xml:space="preserve"> </w:t>
      </w:r>
      <w:r w:rsidRPr="00972990">
        <w:rPr>
          <w:rFonts w:cs="Arial"/>
          <w:rtl/>
        </w:rPr>
        <w:t>שהנאה להם שיהיה להם בריוח</w:t>
      </w:r>
      <w:r w:rsidR="00B67C5B">
        <w:rPr>
          <w:rFonts w:cs="Arial" w:hint="cs"/>
          <w:rtl/>
        </w:rPr>
        <w:t>,</w:t>
      </w:r>
      <w:r w:rsidRPr="00972990">
        <w:rPr>
          <w:rFonts w:cs="Arial"/>
          <w:rtl/>
        </w:rPr>
        <w:t xml:space="preserve"> כיון שמוטלין עליהם</w:t>
      </w:r>
      <w:r w:rsidRPr="00972990">
        <w:rPr>
          <w:rFonts w:cs="Arial" w:hint="cs"/>
          <w:rtl/>
        </w:rPr>
        <w:t>.</w:t>
      </w:r>
      <w:r w:rsidRPr="00972990">
        <w:rPr>
          <w:rFonts w:cs="Arial"/>
          <w:rtl/>
        </w:rPr>
        <w:t xml:space="preserve"> לפיכך כל עסקי המס </w:t>
      </w:r>
      <w:r w:rsidR="00B67C5B">
        <w:rPr>
          <w:rFonts w:cs="Arial" w:hint="cs"/>
          <w:rtl/>
        </w:rPr>
        <w:t xml:space="preserve">- </w:t>
      </w:r>
      <w:r w:rsidRPr="00972990">
        <w:rPr>
          <w:rFonts w:cs="Arial"/>
          <w:rtl/>
        </w:rPr>
        <w:t>אין דנין אותו בדייני אותה העיר</w:t>
      </w:r>
      <w:r w:rsidR="00B67C5B">
        <w:rPr>
          <w:rFonts w:cs="Arial" w:hint="cs"/>
          <w:rtl/>
        </w:rPr>
        <w:t>,</w:t>
      </w:r>
      <w:r w:rsidRPr="00972990">
        <w:rPr>
          <w:rFonts w:cs="Arial"/>
          <w:rtl/>
        </w:rPr>
        <w:t xml:space="preserve"> לפי שיש להם חלק בו</w:t>
      </w:r>
      <w:r w:rsidR="00B67C5B">
        <w:rPr>
          <w:rFonts w:cs="Arial" w:hint="cs"/>
          <w:rtl/>
        </w:rPr>
        <w:t>,</w:t>
      </w:r>
      <w:r w:rsidRPr="00972990">
        <w:rPr>
          <w:rFonts w:cs="Arial"/>
          <w:rtl/>
        </w:rPr>
        <w:t xml:space="preserve"> אלא יסתלקו הם וקרוביהם שלא יהנו מן הדבר שבאין לדון עליו</w:t>
      </w:r>
      <w:r>
        <w:rPr>
          <w:rStyle w:val="ab"/>
          <w:rFonts w:cs="Arial"/>
          <w:rtl/>
        </w:rPr>
        <w:footnoteReference w:id="405"/>
      </w:r>
      <w:r w:rsidR="00B67C5B">
        <w:rPr>
          <w:rFonts w:cs="Arial" w:hint="cs"/>
          <w:rtl/>
        </w:rPr>
        <w:t>.</w:t>
      </w:r>
      <w:r w:rsidRPr="00972990">
        <w:rPr>
          <w:rFonts w:cs="Arial"/>
          <w:rtl/>
        </w:rPr>
        <w:t xml:space="preserve"> ועל ס"ת אין מועיל סילוק כי א"א להם להסתלק שלא ישמעו קריאת הספר אא"כ יש להם ספר אחר</w:t>
      </w:r>
      <w:r>
        <w:rPr>
          <w:rStyle w:val="ab"/>
          <w:rFonts w:cs="Arial"/>
          <w:rtl/>
        </w:rPr>
        <w:footnoteReference w:id="406"/>
      </w:r>
      <w:r w:rsidRPr="00972990">
        <w:rPr>
          <w:rFonts w:cs="Arial"/>
          <w:rtl/>
        </w:rPr>
        <w:t xml:space="preserve"> בעיר</w:t>
      </w:r>
      <w:r w:rsidRPr="00972990">
        <w:rPr>
          <w:rFonts w:cs="Arial" w:hint="cs"/>
          <w:rtl/>
        </w:rPr>
        <w:t>.</w:t>
      </w:r>
      <w:r w:rsidRPr="00972990">
        <w:rPr>
          <w:rFonts w:cs="Arial"/>
          <w:rtl/>
        </w:rPr>
        <w:t xml:space="preserve"> </w:t>
      </w:r>
      <w:r w:rsidR="008D3624" w:rsidRPr="0077426A">
        <w:rPr>
          <w:rFonts w:cs="Arial" w:hint="cs"/>
          <w:color w:val="E36C0A" w:themeColor="accent6" w:themeShade="BF"/>
          <w:rtl/>
        </w:rPr>
        <w:t>(וכ"פ בשו"ע)</w:t>
      </w:r>
    </w:p>
    <w:p w14:paraId="0763C5E4" w14:textId="77777777" w:rsidR="004A326E" w:rsidRPr="00972990" w:rsidRDefault="004A326E" w:rsidP="004A326E">
      <w:pPr>
        <w:rPr>
          <w:rFonts w:cs="Arial"/>
          <w:u w:val="single"/>
        </w:rPr>
      </w:pPr>
      <w:r w:rsidRPr="00972990">
        <w:rPr>
          <w:rFonts w:cs="Arial" w:hint="cs"/>
          <w:u w:val="single"/>
          <w:rtl/>
        </w:rPr>
        <w:t xml:space="preserve">האם מהני </w:t>
      </w:r>
      <w:r w:rsidRPr="00972990">
        <w:rPr>
          <w:rFonts w:cs="Arial"/>
          <w:u w:val="single"/>
          <w:rtl/>
        </w:rPr>
        <w:t>סילוק להכשיר בענין המס</w:t>
      </w:r>
      <w:r w:rsidRPr="00972990">
        <w:rPr>
          <w:rFonts w:cs="Arial" w:hint="cs"/>
          <w:u w:val="single"/>
          <w:rtl/>
        </w:rPr>
        <w:t>:</w:t>
      </w:r>
      <w:r w:rsidRPr="00972990">
        <w:rPr>
          <w:rFonts w:cs="Arial"/>
          <w:u w:val="single"/>
          <w:rtl/>
        </w:rPr>
        <w:t xml:space="preserve"> </w:t>
      </w:r>
    </w:p>
    <w:p w14:paraId="19AB7261" w14:textId="77777777" w:rsidR="004A326E" w:rsidRPr="00972990" w:rsidRDefault="004A326E" w:rsidP="004B0475">
      <w:pPr>
        <w:pStyle w:val="ac"/>
        <w:numPr>
          <w:ilvl w:val="0"/>
          <w:numId w:val="60"/>
        </w:numPr>
        <w:rPr>
          <w:rFonts w:cs="Arial"/>
          <w:rtl/>
        </w:rPr>
      </w:pPr>
      <w:r>
        <w:rPr>
          <w:rFonts w:cs="Arial" w:hint="cs"/>
          <w:rtl/>
        </w:rPr>
        <w:t xml:space="preserve">רא"ש- </w:t>
      </w:r>
      <w:r w:rsidRPr="00972990">
        <w:rPr>
          <w:rFonts w:cs="Arial"/>
          <w:rtl/>
        </w:rPr>
        <w:t>איני רואה שיועיל שום סילוק בענין זה כי פריעת מס נוהג לעולם ואי אפשר מהם להסתלק לעולם מהמס שיתן</w:t>
      </w:r>
      <w:r>
        <w:rPr>
          <w:rFonts w:cs="Arial" w:hint="cs"/>
          <w:sz w:val="16"/>
          <w:szCs w:val="16"/>
          <w:rtl/>
        </w:rPr>
        <w:t xml:space="preserve"> (ל' הטור בשם הרא"ש)</w:t>
      </w:r>
      <w:r>
        <w:rPr>
          <w:rStyle w:val="ab"/>
          <w:rFonts w:cs="Arial"/>
          <w:rtl/>
        </w:rPr>
        <w:footnoteReference w:id="407"/>
      </w:r>
      <w:r>
        <w:rPr>
          <w:rFonts w:cs="Arial" w:hint="cs"/>
          <w:rtl/>
        </w:rPr>
        <w:t>.</w:t>
      </w:r>
    </w:p>
    <w:p w14:paraId="614FAFB4" w14:textId="77777777" w:rsidR="004A326E" w:rsidRDefault="004A326E" w:rsidP="004A326E">
      <w:pPr>
        <w:rPr>
          <w:rFonts w:cs="Arial"/>
          <w:rtl/>
        </w:rPr>
      </w:pPr>
      <w:r w:rsidRPr="00985F33">
        <w:rPr>
          <w:rFonts w:cs="Arial" w:hint="cs"/>
          <w:u w:val="single"/>
          <w:rtl/>
        </w:rPr>
        <w:t>עדות הקהל בדבר שלכאורה אין להם הנאה ממנו:</w:t>
      </w:r>
      <w:r>
        <w:rPr>
          <w:rFonts w:cs="Arial" w:hint="cs"/>
          <w:rtl/>
        </w:rPr>
        <w:t xml:space="preserve"> </w:t>
      </w:r>
    </w:p>
    <w:p w14:paraId="49147CA2" w14:textId="77777777" w:rsidR="004A326E" w:rsidRPr="00985F33" w:rsidRDefault="004A326E" w:rsidP="004B0475">
      <w:pPr>
        <w:pStyle w:val="ac"/>
        <w:numPr>
          <w:ilvl w:val="0"/>
          <w:numId w:val="60"/>
        </w:numPr>
        <w:rPr>
          <w:rFonts w:cs="Arial"/>
          <w:rtl/>
        </w:rPr>
      </w:pPr>
      <w:r w:rsidRPr="00985F33">
        <w:rPr>
          <w:rFonts w:cs="Arial"/>
          <w:rtl/>
        </w:rPr>
        <w:t xml:space="preserve">רא"ש </w:t>
      </w:r>
      <w:r w:rsidRPr="00985F33">
        <w:rPr>
          <w:rFonts w:cs="Arial" w:hint="cs"/>
          <w:sz w:val="16"/>
          <w:szCs w:val="16"/>
          <w:rtl/>
        </w:rPr>
        <w:t>(</w:t>
      </w:r>
      <w:r w:rsidRPr="00985F33">
        <w:rPr>
          <w:rFonts w:cs="Arial"/>
          <w:sz w:val="16"/>
          <w:szCs w:val="16"/>
          <w:rtl/>
        </w:rPr>
        <w:t>סוף כלל</w:t>
      </w:r>
      <w:r w:rsidRPr="00985F33">
        <w:rPr>
          <w:rFonts w:cs="Arial" w:hint="cs"/>
          <w:sz w:val="16"/>
          <w:szCs w:val="16"/>
          <w:rtl/>
        </w:rPr>
        <w:t xml:space="preserve"> ו</w:t>
      </w:r>
      <w:r w:rsidRPr="00985F33">
        <w:rPr>
          <w:rFonts w:cs="Arial"/>
          <w:sz w:val="16"/>
          <w:szCs w:val="16"/>
          <w:rtl/>
        </w:rPr>
        <w:t xml:space="preserve"> סי' כה)</w:t>
      </w:r>
      <w:r w:rsidRPr="00985F33">
        <w:rPr>
          <w:rFonts w:cs="Arial" w:hint="cs"/>
          <w:rtl/>
        </w:rPr>
        <w:t>-</w:t>
      </w:r>
      <w:r w:rsidRPr="00985F33">
        <w:rPr>
          <w:rFonts w:cs="Arial"/>
          <w:rtl/>
        </w:rPr>
        <w:t xml:space="preserve"> ששאלת אם יכולים הקהל להעיד בדבר שאין הקהל נהנים בו כגון תכריכי מתים או מאור בית הכנסת או ספרים של בית הכנסת. דבר גדול הוא להוציא ממון מיד המוחזק בו אם לא בראיה ברורה</w:t>
      </w:r>
      <w:r w:rsidR="00553EEA">
        <w:rPr>
          <w:rFonts w:cs="Arial" w:hint="cs"/>
          <w:rtl/>
        </w:rPr>
        <w:t>,</w:t>
      </w:r>
      <w:r w:rsidRPr="00985F33">
        <w:rPr>
          <w:rFonts w:cs="Arial"/>
          <w:rtl/>
        </w:rPr>
        <w:t xml:space="preserve"> דגרסינן בפרק חזקת האומר תנו מנה לעניי עירי אין דנין אותו בדייני אותה העיר וכו' ואי בעית אימא לעולם דקיץ להו וכיון דרווח רווח</w:t>
      </w:r>
      <w:r w:rsidRPr="00985F33">
        <w:rPr>
          <w:rFonts w:cs="Arial" w:hint="cs"/>
          <w:rtl/>
        </w:rPr>
        <w:t>,</w:t>
      </w:r>
      <w:r w:rsidRPr="00985F33">
        <w:rPr>
          <w:rFonts w:cs="Arial"/>
          <w:rtl/>
        </w:rPr>
        <w:t xml:space="preserve"> אלמא חזינן אע</w:t>
      </w:r>
      <w:r w:rsidRPr="00985F33">
        <w:rPr>
          <w:rFonts w:cs="Arial" w:hint="cs"/>
          <w:rtl/>
        </w:rPr>
        <w:t>"</w:t>
      </w:r>
      <w:r w:rsidRPr="00985F33">
        <w:rPr>
          <w:rFonts w:cs="Arial"/>
          <w:rtl/>
        </w:rPr>
        <w:t>ג דקיץ להו רק בשביל שיהיו העניים בריוח פוסל</w:t>
      </w:r>
      <w:r w:rsidR="00553EEA">
        <w:rPr>
          <w:rFonts w:cs="Arial" w:hint="cs"/>
          <w:rtl/>
        </w:rPr>
        <w:t>.</w:t>
      </w:r>
      <w:r w:rsidRPr="00985F33">
        <w:rPr>
          <w:rFonts w:cs="Arial"/>
          <w:rtl/>
        </w:rPr>
        <w:t xml:space="preserve"> לכן גם באור של בית הכנסת נהנין ממנו כל בני העיר כשיש מאור יפה בבית הכנסת וגם בספרי הקהל שילמדו בהם עניי עירם כי גנאי גדול היה להם שילכו בני עירם בטלים מחסרון ספרים</w:t>
      </w:r>
      <w:r w:rsidR="00553EEA">
        <w:rPr>
          <w:rFonts w:cs="Arial" w:hint="cs"/>
          <w:rtl/>
        </w:rPr>
        <w:t>,</w:t>
      </w:r>
      <w:r w:rsidRPr="00985F33">
        <w:rPr>
          <w:rFonts w:cs="Arial"/>
          <w:rtl/>
        </w:rPr>
        <w:t xml:space="preserve"> וכל שכן מחסרון תכריכי מתים דהיינו מידי דרמי על בני העיר לקבור מת מצוה. </w:t>
      </w:r>
    </w:p>
    <w:p w14:paraId="31FE3070" w14:textId="77777777" w:rsidR="004A326E" w:rsidRDefault="004A326E" w:rsidP="004A326E">
      <w:pPr>
        <w:rPr>
          <w:rtl/>
        </w:rPr>
      </w:pPr>
      <w:r>
        <w:rPr>
          <w:rFonts w:hint="cs"/>
          <w:u w:val="single"/>
          <w:rtl/>
        </w:rPr>
        <w:t xml:space="preserve">בני העיר שרוצים לדון </w:t>
      </w:r>
      <w:r w:rsidRPr="00985F33">
        <w:rPr>
          <w:rFonts w:hint="cs"/>
          <w:u w:val="single"/>
          <w:rtl/>
        </w:rPr>
        <w:t xml:space="preserve">יחיד שיש לו דין </w:t>
      </w:r>
      <w:r>
        <w:rPr>
          <w:rFonts w:hint="cs"/>
          <w:u w:val="single"/>
          <w:rtl/>
        </w:rPr>
        <w:t>עמהם</w:t>
      </w:r>
      <w:r w:rsidRPr="00985F33">
        <w:rPr>
          <w:rFonts w:hint="cs"/>
          <w:u w:val="single"/>
          <w:rtl/>
        </w:rPr>
        <w:t>:</w:t>
      </w:r>
      <w:r>
        <w:rPr>
          <w:rFonts w:hint="cs"/>
          <w:rtl/>
        </w:rPr>
        <w:t xml:space="preserve"> </w:t>
      </w:r>
      <w:r w:rsidRPr="00985F33">
        <w:rPr>
          <w:rFonts w:hint="cs"/>
          <w:sz w:val="16"/>
          <w:szCs w:val="16"/>
          <w:rtl/>
        </w:rPr>
        <w:t xml:space="preserve"> (דרכ"מ אות ח)</w:t>
      </w:r>
    </w:p>
    <w:p w14:paraId="7F950D81" w14:textId="77777777" w:rsidR="004A326E" w:rsidRPr="00972990" w:rsidRDefault="004A326E" w:rsidP="004B0475">
      <w:pPr>
        <w:pStyle w:val="ac"/>
        <w:numPr>
          <w:ilvl w:val="0"/>
          <w:numId w:val="60"/>
        </w:numPr>
        <w:rPr>
          <w:rtl/>
        </w:rPr>
      </w:pPr>
      <w:r w:rsidRPr="00985F33">
        <w:rPr>
          <w:rFonts w:cs="Arial"/>
          <w:rtl/>
        </w:rPr>
        <w:t xml:space="preserve">רא"ש </w:t>
      </w:r>
      <w:r w:rsidRPr="00985F33">
        <w:rPr>
          <w:rFonts w:cs="Arial" w:hint="cs"/>
          <w:sz w:val="16"/>
          <w:szCs w:val="16"/>
          <w:rtl/>
        </w:rPr>
        <w:t>(</w:t>
      </w:r>
      <w:r w:rsidRPr="00985F33">
        <w:rPr>
          <w:rFonts w:cs="Arial"/>
          <w:sz w:val="16"/>
          <w:szCs w:val="16"/>
          <w:rtl/>
        </w:rPr>
        <w:t>כלל נח סי' ז)</w:t>
      </w:r>
      <w:r>
        <w:rPr>
          <w:rFonts w:cs="Arial" w:hint="cs"/>
          <w:rtl/>
        </w:rPr>
        <w:t xml:space="preserve">- </w:t>
      </w:r>
      <w:r w:rsidRPr="00985F33">
        <w:rPr>
          <w:rFonts w:cs="Arial"/>
          <w:rtl/>
        </w:rPr>
        <w:t>אין בני העיר יכולין לדון ליחיד שיש לו דין עמהם בעסק הצבו</w:t>
      </w:r>
      <w:r>
        <w:rPr>
          <w:rFonts w:cs="Arial" w:hint="cs"/>
          <w:rtl/>
        </w:rPr>
        <w:t>ר</w:t>
      </w:r>
      <w:r>
        <w:rPr>
          <w:rStyle w:val="ab"/>
          <w:rFonts w:cs="Arial"/>
          <w:rtl/>
        </w:rPr>
        <w:footnoteReference w:id="408"/>
      </w:r>
      <w:r>
        <w:rPr>
          <w:rFonts w:cs="Arial" w:hint="cs"/>
          <w:rtl/>
        </w:rPr>
        <w:t>.</w:t>
      </w:r>
    </w:p>
    <w:p w14:paraId="1433FF62" w14:textId="77777777" w:rsidR="004A326E" w:rsidRPr="00985F33" w:rsidRDefault="004A326E" w:rsidP="004A326E">
      <w:pPr>
        <w:rPr>
          <w:rFonts w:cs="Arial"/>
          <w:u w:val="single"/>
          <w:rtl/>
        </w:rPr>
      </w:pPr>
      <w:r>
        <w:rPr>
          <w:rFonts w:cs="Arial" w:hint="cs"/>
          <w:u w:val="single"/>
          <w:rtl/>
        </w:rPr>
        <w:t>דיין שרוצה לדון על</w:t>
      </w:r>
      <w:r w:rsidRPr="00985F33">
        <w:rPr>
          <w:rFonts w:cs="Arial" w:hint="cs"/>
          <w:u w:val="single"/>
          <w:rtl/>
        </w:rPr>
        <w:t xml:space="preserve"> </w:t>
      </w:r>
      <w:r w:rsidRPr="00985F33">
        <w:rPr>
          <w:rFonts w:cs="Arial"/>
          <w:u w:val="single"/>
          <w:rtl/>
        </w:rPr>
        <w:t>בית הכנסת</w:t>
      </w:r>
      <w:r w:rsidRPr="00985F33">
        <w:rPr>
          <w:rFonts w:cs="Arial" w:hint="cs"/>
          <w:u w:val="single"/>
          <w:rtl/>
        </w:rPr>
        <w:t>:</w:t>
      </w:r>
    </w:p>
    <w:p w14:paraId="29D90D46" w14:textId="77777777" w:rsidR="004A326E" w:rsidRDefault="004A326E" w:rsidP="004B0475">
      <w:pPr>
        <w:pStyle w:val="ac"/>
        <w:numPr>
          <w:ilvl w:val="0"/>
          <w:numId w:val="60"/>
        </w:numPr>
        <w:rPr>
          <w:rtl/>
        </w:rPr>
      </w:pPr>
      <w:r w:rsidRPr="00985F33">
        <w:rPr>
          <w:rFonts w:cs="Arial" w:hint="cs"/>
          <w:rtl/>
        </w:rPr>
        <w:t>רי"ו</w:t>
      </w:r>
      <w:r w:rsidRPr="00985F33">
        <w:rPr>
          <w:rFonts w:cs="Arial"/>
          <w:rtl/>
        </w:rPr>
        <w:t xml:space="preserve"> </w:t>
      </w:r>
      <w:r w:rsidRPr="00972990">
        <w:rPr>
          <w:rFonts w:cs="Arial"/>
          <w:sz w:val="16"/>
          <w:szCs w:val="16"/>
          <w:rtl/>
        </w:rPr>
        <w:t>(שם)</w:t>
      </w:r>
      <w:r w:rsidRPr="00985F33">
        <w:rPr>
          <w:rFonts w:cs="Arial" w:hint="cs"/>
          <w:rtl/>
        </w:rPr>
        <w:t>-</w:t>
      </w:r>
      <w:r w:rsidRPr="00985F33">
        <w:rPr>
          <w:rFonts w:cs="Arial"/>
          <w:rtl/>
        </w:rPr>
        <w:t xml:space="preserve"> דין בית הכנסת לדון עליו דינו כספר תורה</w:t>
      </w:r>
      <w:r w:rsidR="00367DA1">
        <w:rPr>
          <w:rFonts w:cs="Arial" w:hint="cs"/>
          <w:rtl/>
        </w:rPr>
        <w:t>,</w:t>
      </w:r>
      <w:r w:rsidRPr="00985F33">
        <w:rPr>
          <w:rFonts w:cs="Arial"/>
          <w:rtl/>
        </w:rPr>
        <w:t xml:space="preserve"> שכולם נכנסים בתוכו להתפלל</w:t>
      </w:r>
      <w:r w:rsidR="00367DA1">
        <w:rPr>
          <w:rFonts w:cs="Arial" w:hint="cs"/>
          <w:rtl/>
        </w:rPr>
        <w:t>.</w:t>
      </w:r>
      <w:r w:rsidRPr="00985F33">
        <w:rPr>
          <w:rFonts w:cs="Arial"/>
          <w:rtl/>
        </w:rPr>
        <w:t xml:space="preserve"> ואם יש בעיר בית הכנסת אחר יכולים להסתלק ולדון</w:t>
      </w:r>
      <w:r w:rsidR="00367DA1">
        <w:rPr>
          <w:rFonts w:cs="Arial" w:hint="cs"/>
          <w:rtl/>
        </w:rPr>
        <w:t>,</w:t>
      </w:r>
      <w:r w:rsidRPr="00985F33">
        <w:rPr>
          <w:rFonts w:cs="Arial"/>
          <w:rtl/>
        </w:rPr>
        <w:t xml:space="preserve"> כמו בספר תורה</w:t>
      </w:r>
      <w:r>
        <w:rPr>
          <w:rFonts w:cs="Arial" w:hint="cs"/>
          <w:rtl/>
        </w:rPr>
        <w:t>.</w:t>
      </w:r>
    </w:p>
    <w:p w14:paraId="06DEF287" w14:textId="77777777" w:rsidR="004A326E" w:rsidRPr="00972990" w:rsidRDefault="004A326E" w:rsidP="004A326E">
      <w:pPr>
        <w:rPr>
          <w:rFonts w:cs="Arial"/>
          <w:u w:val="single"/>
          <w:rtl/>
        </w:rPr>
      </w:pPr>
      <w:r w:rsidRPr="00972990">
        <w:rPr>
          <w:rFonts w:cs="Arial" w:hint="cs"/>
          <w:u w:val="single"/>
          <w:rtl/>
        </w:rPr>
        <w:t>מקום שקיבלו עליהם שהדיינים של העיר ידונו גם בענייני המיסים:</w:t>
      </w:r>
    </w:p>
    <w:p w14:paraId="320ACC15" w14:textId="77777777" w:rsidR="004A326E" w:rsidRDefault="004A326E" w:rsidP="004B0475">
      <w:pPr>
        <w:pStyle w:val="ac"/>
        <w:numPr>
          <w:ilvl w:val="0"/>
          <w:numId w:val="60"/>
        </w:numPr>
        <w:rPr>
          <w:rFonts w:cs="Arial"/>
        </w:rPr>
      </w:pPr>
      <w:r>
        <w:rPr>
          <w:rFonts w:cs="Arial" w:hint="cs"/>
          <w:rtl/>
        </w:rPr>
        <w:lastRenderedPageBreak/>
        <w:t xml:space="preserve">רא"ש </w:t>
      </w:r>
      <w:r>
        <w:rPr>
          <w:rFonts w:cs="Arial" w:hint="cs"/>
          <w:sz w:val="16"/>
          <w:szCs w:val="16"/>
          <w:rtl/>
        </w:rPr>
        <w:t>(כן נראה מדבריו בתשובה כלל יג סי' כ)</w:t>
      </w:r>
      <w:r>
        <w:rPr>
          <w:rFonts w:cs="Arial" w:hint="cs"/>
          <w:sz w:val="16"/>
          <w:szCs w:val="16"/>
        </w:rPr>
        <w:t xml:space="preserve"> </w:t>
      </w:r>
      <w:r>
        <w:rPr>
          <w:rFonts w:cs="Arial" w:hint="cs"/>
          <w:rtl/>
        </w:rPr>
        <w:t>ו</w:t>
      </w:r>
      <w:r w:rsidRPr="00972990">
        <w:rPr>
          <w:rFonts w:cs="Arial" w:hint="cs"/>
          <w:rtl/>
        </w:rPr>
        <w:t xml:space="preserve">טור- </w:t>
      </w:r>
      <w:r w:rsidRPr="00553EEA">
        <w:rPr>
          <w:rFonts w:cs="Arial"/>
          <w:b/>
          <w:bCs/>
          <w:rtl/>
        </w:rPr>
        <w:t xml:space="preserve">אם עשו תקנה </w:t>
      </w:r>
      <w:r w:rsidRPr="00972990">
        <w:rPr>
          <w:rFonts w:cs="Arial"/>
          <w:rtl/>
        </w:rPr>
        <w:t xml:space="preserve">או שיש מנהג בעיר שדייני העיר ידונו אף על עניני המסים </w:t>
      </w:r>
      <w:r w:rsidR="00367DA1">
        <w:rPr>
          <w:rFonts w:cs="Arial" w:hint="cs"/>
          <w:rtl/>
        </w:rPr>
        <w:t xml:space="preserve">- </w:t>
      </w:r>
      <w:r w:rsidRPr="00972990">
        <w:rPr>
          <w:rFonts w:cs="Arial"/>
          <w:rtl/>
        </w:rPr>
        <w:t>דיניהם דין</w:t>
      </w:r>
      <w:r w:rsidR="00367DA1">
        <w:rPr>
          <w:rFonts w:cs="Arial" w:hint="cs"/>
          <w:rtl/>
        </w:rPr>
        <w:t>,</w:t>
      </w:r>
      <w:r w:rsidRPr="00972990">
        <w:rPr>
          <w:rFonts w:cs="Arial"/>
          <w:rtl/>
        </w:rPr>
        <w:t xml:space="preserve"> כמו מי שקבל עליו פסול או קרוב לדון שדיניו דין</w:t>
      </w:r>
      <w:r>
        <w:rPr>
          <w:rStyle w:val="ab"/>
          <w:rFonts w:cs="Arial"/>
          <w:rtl/>
        </w:rPr>
        <w:footnoteReference w:id="409"/>
      </w:r>
      <w:r>
        <w:rPr>
          <w:rFonts w:cs="Arial" w:hint="cs"/>
          <w:rtl/>
        </w:rPr>
        <w:t>.</w:t>
      </w:r>
      <w:r w:rsidR="00367DA1">
        <w:rPr>
          <w:rFonts w:cs="Arial" w:hint="cs"/>
          <w:rtl/>
        </w:rPr>
        <w:t xml:space="preserve"> </w:t>
      </w:r>
      <w:r w:rsidR="00367DA1" w:rsidRPr="0077426A">
        <w:rPr>
          <w:rFonts w:cs="Arial" w:hint="cs"/>
          <w:color w:val="E36C0A" w:themeColor="accent6" w:themeShade="BF"/>
          <w:rtl/>
        </w:rPr>
        <w:t>(וכ"פ בשו"ע)</w:t>
      </w:r>
    </w:p>
    <w:p w14:paraId="63440D74" w14:textId="77777777" w:rsidR="004A326E" w:rsidRDefault="004A326E" w:rsidP="004B0475">
      <w:pPr>
        <w:pStyle w:val="ac"/>
        <w:numPr>
          <w:ilvl w:val="0"/>
          <w:numId w:val="60"/>
        </w:numPr>
        <w:rPr>
          <w:rFonts w:cs="Arial"/>
        </w:rPr>
      </w:pPr>
      <w:r w:rsidRPr="0086592D">
        <w:rPr>
          <w:rFonts w:cs="Arial"/>
          <w:rtl/>
        </w:rPr>
        <w:t>רשב</w:t>
      </w:r>
      <w:r>
        <w:rPr>
          <w:rFonts w:cs="Arial" w:hint="cs"/>
          <w:rtl/>
        </w:rPr>
        <w:t xml:space="preserve">"א </w:t>
      </w:r>
      <w:r w:rsidRPr="0086592D">
        <w:rPr>
          <w:rFonts w:cs="Arial"/>
          <w:sz w:val="16"/>
          <w:szCs w:val="16"/>
          <w:rtl/>
        </w:rPr>
        <w:t>(ח"א סי</w:t>
      </w:r>
      <w:r w:rsidRPr="0086592D">
        <w:rPr>
          <w:rFonts w:cs="Arial" w:hint="cs"/>
          <w:sz w:val="16"/>
          <w:szCs w:val="16"/>
          <w:rtl/>
        </w:rPr>
        <w:t>'</w:t>
      </w:r>
      <w:r w:rsidRPr="0086592D">
        <w:rPr>
          <w:rFonts w:cs="Arial"/>
          <w:sz w:val="16"/>
          <w:szCs w:val="16"/>
          <w:rtl/>
        </w:rPr>
        <w:t xml:space="preserve"> תר</w:t>
      </w:r>
      <w:r w:rsidRPr="0086592D">
        <w:rPr>
          <w:rFonts w:cs="Arial" w:hint="cs"/>
          <w:sz w:val="16"/>
          <w:szCs w:val="16"/>
          <w:rtl/>
        </w:rPr>
        <w:t>פ</w:t>
      </w:r>
      <w:r>
        <w:rPr>
          <w:rFonts w:cs="Arial" w:hint="cs"/>
          <w:sz w:val="16"/>
          <w:szCs w:val="16"/>
          <w:rtl/>
        </w:rPr>
        <w:t>, הביאו הדרכ"מ [אות ז]</w:t>
      </w:r>
      <w:r w:rsidRPr="0086592D">
        <w:rPr>
          <w:rFonts w:cs="Arial" w:hint="cs"/>
          <w:sz w:val="16"/>
          <w:szCs w:val="16"/>
          <w:rtl/>
        </w:rPr>
        <w:t>)</w:t>
      </w:r>
      <w:r>
        <w:rPr>
          <w:rFonts w:cs="Arial" w:hint="cs"/>
          <w:rtl/>
        </w:rPr>
        <w:t xml:space="preserve">- </w:t>
      </w:r>
      <w:r w:rsidRPr="00553EEA">
        <w:rPr>
          <w:rFonts w:cs="Arial"/>
          <w:b/>
          <w:bCs/>
          <w:rtl/>
        </w:rPr>
        <w:t>המנהג</w:t>
      </w:r>
      <w:r w:rsidRPr="0086592D">
        <w:rPr>
          <w:rFonts w:cs="Arial"/>
          <w:rtl/>
        </w:rPr>
        <w:t xml:space="preserve"> </w:t>
      </w:r>
      <w:r w:rsidRPr="00553EEA">
        <w:rPr>
          <w:rFonts w:cs="Arial"/>
          <w:b/>
          <w:bCs/>
          <w:rtl/>
        </w:rPr>
        <w:t xml:space="preserve">בכל מקום </w:t>
      </w:r>
      <w:r w:rsidRPr="0086592D">
        <w:rPr>
          <w:rFonts w:cs="Arial"/>
          <w:rtl/>
        </w:rPr>
        <w:t>לדון צרכי צבור בדייני ועידי העיר</w:t>
      </w:r>
      <w:r>
        <w:rPr>
          <w:rFonts w:cs="Arial" w:hint="cs"/>
          <w:rtl/>
        </w:rPr>
        <w:t>,</w:t>
      </w:r>
      <w:r w:rsidRPr="0086592D">
        <w:rPr>
          <w:rFonts w:cs="Arial"/>
          <w:rtl/>
        </w:rPr>
        <w:t xml:space="preserve"> ונוהגים להכשיר פסולי קורבה בדברים אלו</w:t>
      </w:r>
      <w:r>
        <w:rPr>
          <w:rFonts w:cs="Arial" w:hint="cs"/>
          <w:rtl/>
        </w:rPr>
        <w:t>.</w:t>
      </w:r>
    </w:p>
    <w:p w14:paraId="44C51473" w14:textId="77777777" w:rsidR="004A326E" w:rsidRPr="0086592D" w:rsidRDefault="008A3CE1" w:rsidP="004A326E">
      <w:pPr>
        <w:rPr>
          <w:rFonts w:cs="Arial"/>
          <w:u w:val="single"/>
          <w:rtl/>
        </w:rPr>
      </w:pPr>
      <w:r>
        <w:rPr>
          <w:rFonts w:cs="Arial" w:hint="cs"/>
          <w:u w:val="single"/>
          <w:rtl/>
        </w:rPr>
        <w:t>האם אמרינן '</w:t>
      </w:r>
      <w:r w:rsidR="004A326E" w:rsidRPr="0086592D">
        <w:rPr>
          <w:rFonts w:cs="Arial" w:hint="cs"/>
          <w:u w:val="single"/>
          <w:rtl/>
        </w:rPr>
        <w:t>תרי כמאה</w:t>
      </w:r>
      <w:r>
        <w:rPr>
          <w:rFonts w:cs="Arial" w:hint="cs"/>
          <w:u w:val="single"/>
          <w:rtl/>
        </w:rPr>
        <w:t>' במנהג,</w:t>
      </w:r>
      <w:r w:rsidR="004A326E">
        <w:rPr>
          <w:rFonts w:cs="Arial" w:hint="cs"/>
          <w:u w:val="single"/>
          <w:rtl/>
        </w:rPr>
        <w:t xml:space="preserve"> וכן 'לא ראינו אינה ראיה'</w:t>
      </w:r>
      <w:r w:rsidR="004A326E" w:rsidRPr="0086592D">
        <w:rPr>
          <w:rFonts w:cs="Arial" w:hint="cs"/>
          <w:u w:val="single"/>
          <w:rtl/>
        </w:rPr>
        <w:t xml:space="preserve"> </w:t>
      </w:r>
      <w:r w:rsidR="004A326E" w:rsidRPr="0086592D">
        <w:rPr>
          <w:rFonts w:cs="Arial"/>
          <w:u w:val="single"/>
          <w:rtl/>
        </w:rPr>
        <w:t>–</w:t>
      </w:r>
      <w:r w:rsidR="004A326E" w:rsidRPr="0086592D">
        <w:rPr>
          <w:rFonts w:cs="Arial" w:hint="cs"/>
          <w:u w:val="single"/>
          <w:rtl/>
        </w:rPr>
        <w:t xml:space="preserve"> בדבר התלוי במנהג:</w:t>
      </w:r>
      <w:r w:rsidR="004A326E" w:rsidRPr="0086592D">
        <w:rPr>
          <w:rFonts w:cs="Arial" w:hint="cs"/>
          <w:sz w:val="16"/>
          <w:szCs w:val="16"/>
          <w:rtl/>
        </w:rPr>
        <w:t xml:space="preserve"> </w:t>
      </w:r>
      <w:r w:rsidR="004A326E">
        <w:rPr>
          <w:rFonts w:cs="Arial" w:hint="cs"/>
          <w:sz w:val="16"/>
          <w:szCs w:val="16"/>
          <w:rtl/>
        </w:rPr>
        <w:t xml:space="preserve">  (דרכ"מ אות ז</w:t>
      </w:r>
      <w:r w:rsidR="004A326E" w:rsidRPr="0086592D">
        <w:rPr>
          <w:rFonts w:cs="Arial" w:hint="cs"/>
          <w:sz w:val="16"/>
          <w:szCs w:val="16"/>
          <w:rtl/>
        </w:rPr>
        <w:t>)</w:t>
      </w:r>
    </w:p>
    <w:p w14:paraId="57AE5C8A" w14:textId="77777777" w:rsidR="004A326E" w:rsidRPr="0086592D" w:rsidRDefault="004A326E" w:rsidP="004B0475">
      <w:pPr>
        <w:pStyle w:val="ac"/>
        <w:numPr>
          <w:ilvl w:val="0"/>
          <w:numId w:val="60"/>
        </w:numPr>
        <w:rPr>
          <w:rFonts w:cs="Arial"/>
          <w:rtl/>
        </w:rPr>
      </w:pPr>
      <w:r w:rsidRPr="0086592D">
        <w:rPr>
          <w:rFonts w:cs="Arial"/>
          <w:rtl/>
        </w:rPr>
        <w:t xml:space="preserve">מהרי"ק </w:t>
      </w:r>
      <w:r w:rsidRPr="0086592D">
        <w:rPr>
          <w:rFonts w:cs="Arial" w:hint="cs"/>
          <w:sz w:val="16"/>
          <w:szCs w:val="16"/>
          <w:rtl/>
        </w:rPr>
        <w:t>(</w:t>
      </w:r>
      <w:r w:rsidRPr="0086592D">
        <w:rPr>
          <w:rFonts w:cs="Arial"/>
          <w:sz w:val="16"/>
          <w:szCs w:val="16"/>
          <w:rtl/>
        </w:rPr>
        <w:t>שורש קעא</w:t>
      </w:r>
      <w:r w:rsidRPr="0086592D">
        <w:rPr>
          <w:rFonts w:cs="Arial" w:hint="cs"/>
          <w:sz w:val="16"/>
          <w:szCs w:val="16"/>
          <w:rtl/>
        </w:rPr>
        <w:t>)</w:t>
      </w:r>
      <w:r>
        <w:rPr>
          <w:rFonts w:cs="Arial" w:hint="cs"/>
          <w:rtl/>
        </w:rPr>
        <w:t>-</w:t>
      </w:r>
      <w:r w:rsidRPr="0086592D">
        <w:rPr>
          <w:rFonts w:cs="Arial"/>
          <w:rtl/>
        </w:rPr>
        <w:t xml:space="preserve"> דבר התלוי במנהג העיר אין אומרים בו תרי כמאה אלא אזלינן בתר הרוב</w:t>
      </w:r>
      <w:r>
        <w:rPr>
          <w:rFonts w:cs="Arial" w:hint="cs"/>
          <w:rtl/>
        </w:rPr>
        <w:t>,</w:t>
      </w:r>
      <w:r w:rsidRPr="0086592D">
        <w:rPr>
          <w:rFonts w:cs="Arial"/>
          <w:rtl/>
        </w:rPr>
        <w:t xml:space="preserve"> וכל כה</w:t>
      </w:r>
      <w:r w:rsidR="008A3CE1">
        <w:rPr>
          <w:rFonts w:cs="Arial" w:hint="cs"/>
          <w:rtl/>
        </w:rPr>
        <w:t>"</w:t>
      </w:r>
      <w:r w:rsidRPr="0086592D">
        <w:rPr>
          <w:rFonts w:cs="Arial"/>
          <w:rtl/>
        </w:rPr>
        <w:t>ג בדבר שאין צריכים בו עדות ממש</w:t>
      </w:r>
      <w:r w:rsidR="008A3CE1">
        <w:rPr>
          <w:rFonts w:cs="Arial" w:hint="cs"/>
          <w:rtl/>
        </w:rPr>
        <w:t>.</w:t>
      </w:r>
      <w:r w:rsidRPr="0086592D">
        <w:rPr>
          <w:rFonts w:cs="Arial"/>
          <w:rtl/>
        </w:rPr>
        <w:t xml:space="preserve"> וגם לא אמרינן בדבר התלוי במנהג לא ראינו אינו ראיה</w:t>
      </w:r>
      <w:r>
        <w:rPr>
          <w:rFonts w:cs="Arial" w:hint="cs"/>
          <w:rtl/>
        </w:rPr>
        <w:t>,</w:t>
      </w:r>
      <w:r w:rsidRPr="0086592D">
        <w:rPr>
          <w:rFonts w:cs="Arial"/>
          <w:rtl/>
        </w:rPr>
        <w:t xml:space="preserve"> אלא הוה ראיה</w:t>
      </w:r>
      <w:r>
        <w:rPr>
          <w:rFonts w:cs="Arial" w:hint="cs"/>
          <w:rtl/>
        </w:rPr>
        <w:t xml:space="preserve">. </w:t>
      </w:r>
      <w:r w:rsidR="00553EEA" w:rsidRPr="00553EEA">
        <w:rPr>
          <w:rFonts w:cs="Arial" w:hint="cs"/>
          <w:color w:val="00B0F0"/>
          <w:rtl/>
        </w:rPr>
        <w:t>(וכ"פ הרמ"א</w:t>
      </w:r>
      <w:r w:rsidR="00553EEA">
        <w:rPr>
          <w:rFonts w:cs="Arial" w:hint="cs"/>
          <w:color w:val="00B0F0"/>
          <w:sz w:val="16"/>
          <w:szCs w:val="16"/>
          <w:rtl/>
        </w:rPr>
        <w:t xml:space="preserve"> </w:t>
      </w:r>
      <w:r w:rsidR="00553EEA">
        <w:rPr>
          <w:rFonts w:cs="Arial" w:hint="cs"/>
          <w:color w:val="000000" w:themeColor="text1"/>
          <w:sz w:val="16"/>
          <w:szCs w:val="16"/>
          <w:rtl/>
        </w:rPr>
        <w:t>[בסי' לז סכ"ב]</w:t>
      </w:r>
      <w:r w:rsidR="00553EEA" w:rsidRPr="00553EEA">
        <w:rPr>
          <w:rFonts w:cs="Arial" w:hint="cs"/>
          <w:color w:val="00B0F0"/>
          <w:rtl/>
        </w:rPr>
        <w:t>)</w:t>
      </w:r>
    </w:p>
    <w:p w14:paraId="5720EF07" w14:textId="77777777" w:rsidR="004A326E" w:rsidRPr="003024E5" w:rsidRDefault="004A326E" w:rsidP="004A326E">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257EB1AB" w14:textId="77777777" w:rsidR="004A326E" w:rsidRDefault="004A326E" w:rsidP="004A326E">
      <w:pPr>
        <w:rPr>
          <w:rtl/>
        </w:rPr>
        <w:sectPr w:rsidR="004A326E" w:rsidSect="00AF3AF9">
          <w:headerReference w:type="default" r:id="rId17"/>
          <w:footnotePr>
            <w:numRestart w:val="eachPage"/>
          </w:footnotePr>
          <w:pgSz w:w="11906" w:h="16838"/>
          <w:pgMar w:top="720" w:right="1134" w:bottom="720" w:left="1134" w:header="0" w:footer="0" w:gutter="0"/>
          <w:cols w:space="720"/>
          <w:bidi/>
          <w:rtlGutter/>
          <w:docGrid w:linePitch="360"/>
        </w:sectPr>
      </w:pPr>
      <w:r>
        <w:rPr>
          <w:rFonts w:cs="Arial"/>
          <w:rtl/>
        </w:rPr>
        <w:t>כל דבר שיש לדיין בו צד הנאה אינו יכול לדון עליו</w:t>
      </w:r>
      <w:r>
        <w:rPr>
          <w:rFonts w:cs="Arial" w:hint="cs"/>
          <w:rtl/>
        </w:rPr>
        <w:t>.</w:t>
      </w:r>
      <w:r>
        <w:rPr>
          <w:rFonts w:cs="Arial"/>
          <w:rtl/>
        </w:rPr>
        <w:t xml:space="preserve"> לפיכך בני העיר שנגנב ספר תורה שלהם, אין דנין אותו בדייני אותה העיר, אלא אם כן יש להם ס</w:t>
      </w:r>
      <w:r>
        <w:rPr>
          <w:rFonts w:cs="Arial" w:hint="cs"/>
          <w:rtl/>
        </w:rPr>
        <w:t xml:space="preserve">פר </w:t>
      </w:r>
      <w:r>
        <w:rPr>
          <w:rFonts w:cs="Arial"/>
          <w:rtl/>
        </w:rPr>
        <w:t>ת</w:t>
      </w:r>
      <w:r>
        <w:rPr>
          <w:rFonts w:cs="Arial" w:hint="cs"/>
          <w:rtl/>
        </w:rPr>
        <w:t>ורה</w:t>
      </w:r>
      <w:r>
        <w:rPr>
          <w:rFonts w:cs="Arial"/>
          <w:rtl/>
        </w:rPr>
        <w:t xml:space="preserve"> אחר</w:t>
      </w:r>
      <w:r>
        <w:rPr>
          <w:rStyle w:val="ab"/>
          <w:rFonts w:cs="Arial"/>
          <w:rtl/>
        </w:rPr>
        <w:footnoteReference w:id="410"/>
      </w:r>
      <w:r>
        <w:rPr>
          <w:rFonts w:cs="Arial"/>
          <w:rtl/>
        </w:rPr>
        <w:t xml:space="preserve">. והאומר </w:t>
      </w:r>
      <w:r w:rsidR="00074DAE">
        <w:rPr>
          <w:rFonts w:cs="Arial" w:hint="cs"/>
          <w:rtl/>
        </w:rPr>
        <w:t>'</w:t>
      </w:r>
      <w:r>
        <w:rPr>
          <w:rFonts w:cs="Arial"/>
          <w:rtl/>
        </w:rPr>
        <w:t>תנו מנה לעניי עירי</w:t>
      </w:r>
      <w:r w:rsidR="00074DAE">
        <w:rPr>
          <w:rFonts w:cs="Arial" w:hint="cs"/>
          <w:rtl/>
        </w:rPr>
        <w:t>'</w:t>
      </w:r>
      <w:r>
        <w:rPr>
          <w:rFonts w:cs="Arial"/>
          <w:rtl/>
        </w:rPr>
        <w:t xml:space="preserve">, אין דנין בדייני אותה העיר. </w:t>
      </w:r>
      <w:r w:rsidRPr="0077426A">
        <w:rPr>
          <w:rFonts w:cs="Arial"/>
          <w:sz w:val="18"/>
          <w:szCs w:val="18"/>
          <w:rtl/>
        </w:rPr>
        <w:t>(ועיין לעיל סימן ד' דאם חד מחזיק בשלהם, עבדי דינא לנפשייהו. ועיין לקמן סי</w:t>
      </w:r>
      <w:r>
        <w:rPr>
          <w:rFonts w:cs="Arial" w:hint="cs"/>
          <w:sz w:val="18"/>
          <w:szCs w:val="18"/>
          <w:rtl/>
        </w:rPr>
        <w:t>'</w:t>
      </w:r>
      <w:r w:rsidRPr="0077426A">
        <w:rPr>
          <w:rFonts w:cs="Arial"/>
          <w:sz w:val="18"/>
          <w:szCs w:val="18"/>
          <w:rtl/>
        </w:rPr>
        <w:t xml:space="preserve"> לז סע</w:t>
      </w:r>
      <w:r>
        <w:rPr>
          <w:rFonts w:cs="Arial" w:hint="cs"/>
          <w:sz w:val="18"/>
          <w:szCs w:val="18"/>
          <w:rtl/>
        </w:rPr>
        <w:t>'</w:t>
      </w:r>
      <w:r w:rsidRPr="0077426A">
        <w:rPr>
          <w:rFonts w:cs="Arial"/>
          <w:sz w:val="18"/>
          <w:szCs w:val="18"/>
          <w:rtl/>
        </w:rPr>
        <w:t xml:space="preserve"> יט וסע</w:t>
      </w:r>
      <w:r>
        <w:rPr>
          <w:rFonts w:cs="Arial" w:hint="cs"/>
          <w:sz w:val="18"/>
          <w:szCs w:val="18"/>
          <w:rtl/>
        </w:rPr>
        <w:t>'</w:t>
      </w:r>
      <w:r w:rsidRPr="0077426A">
        <w:rPr>
          <w:rFonts w:cs="Arial"/>
          <w:sz w:val="18"/>
          <w:szCs w:val="18"/>
          <w:rtl/>
        </w:rPr>
        <w:t xml:space="preserve"> כ מאלו הדינים).</w:t>
      </w:r>
      <w:r>
        <w:rPr>
          <w:rFonts w:cs="Arial"/>
          <w:rtl/>
        </w:rPr>
        <w:t xml:space="preserve"> ולפיכך עסקי המס אין דנין בדייני אותה העיר, מפני שיש להם או לקרוביהם חלק בו. </w:t>
      </w:r>
      <w:r>
        <w:rPr>
          <w:rFonts w:cs="Arial" w:hint="cs"/>
          <w:sz w:val="18"/>
          <w:szCs w:val="18"/>
          <w:rtl/>
        </w:rPr>
        <w:t xml:space="preserve">[הגה] </w:t>
      </w:r>
      <w:r w:rsidRPr="0077426A">
        <w:rPr>
          <w:rFonts w:cs="Arial"/>
          <w:sz w:val="18"/>
          <w:szCs w:val="18"/>
          <w:rtl/>
        </w:rPr>
        <w:t xml:space="preserve">ואם הוא מס פרטי, כגון שאינו נוהג אלא זמן קצוב, יכולין קצת מן הקהל להסתלק ושלא יהיה להם הנאה מזה, ודיינין (תשובת הרא"ש כלל </w:t>
      </w:r>
      <w:r>
        <w:rPr>
          <w:rFonts w:cs="Arial" w:hint="cs"/>
          <w:sz w:val="18"/>
          <w:szCs w:val="18"/>
          <w:rtl/>
        </w:rPr>
        <w:t>נח סי' ג)</w:t>
      </w:r>
      <w:r w:rsidRPr="0077426A">
        <w:rPr>
          <w:rFonts w:cs="Arial"/>
          <w:sz w:val="18"/>
          <w:szCs w:val="18"/>
          <w:rtl/>
        </w:rPr>
        <w:t xml:space="preserve">. </w:t>
      </w:r>
      <w:r>
        <w:rPr>
          <w:rFonts w:cs="Arial"/>
          <w:rtl/>
        </w:rPr>
        <w:t xml:space="preserve">ואם עשו תקנה, או שיש מנהג בעיר שדייני העיר ידונו אף על ענין המסים, דינם דין </w:t>
      </w:r>
      <w:r w:rsidRPr="0077426A">
        <w:rPr>
          <w:rFonts w:cs="Arial"/>
          <w:sz w:val="18"/>
          <w:szCs w:val="18"/>
          <w:rtl/>
        </w:rPr>
        <w:t>(ועיין לקמן ס</w:t>
      </w:r>
      <w:r>
        <w:rPr>
          <w:rFonts w:cs="Arial" w:hint="cs"/>
          <w:sz w:val="18"/>
          <w:szCs w:val="18"/>
          <w:rtl/>
        </w:rPr>
        <w:t>"</w:t>
      </w:r>
      <w:r w:rsidRPr="0077426A">
        <w:rPr>
          <w:rFonts w:cs="Arial"/>
          <w:sz w:val="18"/>
          <w:szCs w:val="18"/>
          <w:rtl/>
        </w:rPr>
        <w:t>ס לז סע</w:t>
      </w:r>
      <w:r>
        <w:rPr>
          <w:rFonts w:cs="Arial" w:hint="cs"/>
          <w:sz w:val="18"/>
          <w:szCs w:val="18"/>
          <w:rtl/>
        </w:rPr>
        <w:t>'</w:t>
      </w:r>
      <w:r w:rsidRPr="0077426A">
        <w:rPr>
          <w:rFonts w:cs="Arial"/>
          <w:sz w:val="18"/>
          <w:szCs w:val="18"/>
          <w:rtl/>
        </w:rPr>
        <w:t xml:space="preserve"> כב מזה).</w:t>
      </w:r>
    </w:p>
    <w:p w14:paraId="0872A399" w14:textId="77777777" w:rsidR="00E137BC" w:rsidRPr="00576D5C" w:rsidRDefault="00E137BC" w:rsidP="00E842BA">
      <w:pPr>
        <w:pStyle w:val="1"/>
        <w:rPr>
          <w:rtl/>
        </w:rPr>
      </w:pPr>
      <w:bookmarkStart w:id="47" w:name="_Toc24883547"/>
      <w:r w:rsidRPr="00576D5C">
        <w:rPr>
          <w:rtl/>
        </w:rPr>
        <w:lastRenderedPageBreak/>
        <w:t xml:space="preserve">סימן ח: שלא למנות דיין </w:t>
      </w:r>
      <w:r w:rsidRPr="00E842BA">
        <w:rPr>
          <w:rtl/>
        </w:rPr>
        <w:t>שאינו</w:t>
      </w:r>
      <w:r w:rsidRPr="00576D5C">
        <w:rPr>
          <w:rtl/>
        </w:rPr>
        <w:t xml:space="preserve"> הגון, וגודל שכר הדיין ועונשו, ובו ה' סעיפים.</w:t>
      </w:r>
      <w:bookmarkEnd w:id="47"/>
      <w:r w:rsidRPr="00576D5C">
        <w:rPr>
          <w:rtl/>
        </w:rPr>
        <w:t xml:space="preserve"> </w:t>
      </w:r>
    </w:p>
    <w:p w14:paraId="30FADA15" w14:textId="77777777" w:rsidR="0067033B" w:rsidRPr="00576D5C" w:rsidRDefault="00E137BC" w:rsidP="00E842BA">
      <w:pPr>
        <w:pStyle w:val="2"/>
        <w:rPr>
          <w:rtl/>
        </w:rPr>
      </w:pPr>
      <w:bookmarkStart w:id="48" w:name="_Toc24883548"/>
      <w:r w:rsidRPr="00576D5C">
        <w:rPr>
          <w:rtl/>
        </w:rPr>
        <w:t>סעיף א</w:t>
      </w:r>
      <w:r w:rsidR="0067033B" w:rsidRPr="00576D5C">
        <w:rPr>
          <w:rtl/>
        </w:rPr>
        <w:t>:</w:t>
      </w:r>
      <w:r w:rsidR="00882FFE" w:rsidRPr="00576D5C">
        <w:rPr>
          <w:rtl/>
        </w:rPr>
        <w:t xml:space="preserve"> דיין שאינו </w:t>
      </w:r>
      <w:r w:rsidR="00882FFE" w:rsidRPr="00E842BA">
        <w:rPr>
          <w:rFonts w:hint="cs"/>
          <w:rtl/>
        </w:rPr>
        <w:t>הגון</w:t>
      </w:r>
      <w:r w:rsidR="00882FFE" w:rsidRPr="00576D5C">
        <w:rPr>
          <w:rtl/>
        </w:rPr>
        <w:t>.</w:t>
      </w:r>
      <w:bookmarkEnd w:id="48"/>
    </w:p>
    <w:p w14:paraId="228D25A2" w14:textId="77777777" w:rsidR="007B1056" w:rsidRPr="00553EEA" w:rsidRDefault="007B1056" w:rsidP="00576D5C">
      <w:pPr>
        <w:rPr>
          <w:rFonts w:asciiTheme="minorBidi" w:hAnsiTheme="minorBidi"/>
          <w:sz w:val="16"/>
          <w:szCs w:val="16"/>
          <w:rtl/>
        </w:rPr>
      </w:pPr>
      <w:r w:rsidRPr="001F7766">
        <w:rPr>
          <w:rFonts w:asciiTheme="minorBidi" w:hAnsiTheme="minorBidi"/>
          <w:b/>
          <w:bCs/>
          <w:rtl/>
        </w:rPr>
        <w:t>ספרי דברים פיסקא יז:</w:t>
      </w:r>
      <w:r w:rsidRPr="00A8038D">
        <w:rPr>
          <w:rFonts w:asciiTheme="minorBidi" w:hAnsiTheme="minorBidi"/>
          <w:rtl/>
        </w:rPr>
        <w:t xml:space="preserve"> לא תכירו פנים במשפט</w:t>
      </w:r>
      <w:r w:rsidR="00090DAC">
        <w:rPr>
          <w:rFonts w:asciiTheme="minorBidi" w:hAnsiTheme="minorBidi" w:hint="cs"/>
          <w:rtl/>
        </w:rPr>
        <w:t xml:space="preserve"> -</w:t>
      </w:r>
      <w:r w:rsidRPr="00A8038D">
        <w:rPr>
          <w:rFonts w:asciiTheme="minorBidi" w:hAnsiTheme="minorBidi"/>
          <w:rtl/>
        </w:rPr>
        <w:t xml:space="preserve"> זה הממונה להושיב דיינים</w:t>
      </w:r>
      <w:r w:rsidR="00090DAC">
        <w:rPr>
          <w:rFonts w:asciiTheme="minorBidi" w:hAnsiTheme="minorBidi" w:hint="cs"/>
          <w:rtl/>
        </w:rPr>
        <w:t>,</w:t>
      </w:r>
      <w:r w:rsidRPr="00A8038D">
        <w:rPr>
          <w:rFonts w:asciiTheme="minorBidi" w:hAnsiTheme="minorBidi"/>
          <w:rtl/>
        </w:rPr>
        <w:t xml:space="preserve"> שמא תאמר איש פלוני נאה אושיבנו דיין</w:t>
      </w:r>
      <w:r w:rsidR="00090DAC">
        <w:rPr>
          <w:rFonts w:asciiTheme="minorBidi" w:hAnsiTheme="minorBidi" w:hint="cs"/>
          <w:rtl/>
        </w:rPr>
        <w:t>,</w:t>
      </w:r>
      <w:r w:rsidRPr="00A8038D">
        <w:rPr>
          <w:rFonts w:asciiTheme="minorBidi" w:hAnsiTheme="minorBidi"/>
          <w:rtl/>
        </w:rPr>
        <w:t xml:space="preserve"> איש פלוני גבור אושיבנו דיין</w:t>
      </w:r>
      <w:r w:rsidR="00090DAC">
        <w:rPr>
          <w:rFonts w:asciiTheme="minorBidi" w:hAnsiTheme="minorBidi" w:hint="cs"/>
          <w:rtl/>
        </w:rPr>
        <w:t>,</w:t>
      </w:r>
      <w:r w:rsidRPr="00A8038D">
        <w:rPr>
          <w:rFonts w:asciiTheme="minorBidi" w:hAnsiTheme="minorBidi"/>
          <w:rtl/>
        </w:rPr>
        <w:t xml:space="preserve"> איש פלוני קרובי אושיבנו דיין</w:t>
      </w:r>
      <w:r w:rsidR="00090DAC">
        <w:rPr>
          <w:rFonts w:asciiTheme="minorBidi" w:hAnsiTheme="minorBidi" w:hint="cs"/>
          <w:rtl/>
        </w:rPr>
        <w:t>,</w:t>
      </w:r>
      <w:r w:rsidRPr="00A8038D">
        <w:rPr>
          <w:rFonts w:asciiTheme="minorBidi" w:hAnsiTheme="minorBidi"/>
          <w:rtl/>
        </w:rPr>
        <w:t xml:space="preserve"> איש פלוני הלווני ממון [הליניסטון] אושיבנו דיין</w:t>
      </w:r>
      <w:r w:rsidR="00090DAC">
        <w:rPr>
          <w:rFonts w:asciiTheme="minorBidi" w:hAnsiTheme="minorBidi" w:hint="cs"/>
          <w:rtl/>
        </w:rPr>
        <w:t xml:space="preserve"> -</w:t>
      </w:r>
      <w:r w:rsidRPr="00A8038D">
        <w:rPr>
          <w:rFonts w:asciiTheme="minorBidi" w:hAnsiTheme="minorBidi"/>
          <w:rtl/>
        </w:rPr>
        <w:t xml:space="preserve"> נמצא מזכה את החייב ומחייב את הזכיי</w:t>
      </w:r>
      <w:r w:rsidR="00090DAC">
        <w:rPr>
          <w:rFonts w:asciiTheme="minorBidi" w:hAnsiTheme="minorBidi" w:hint="cs"/>
          <w:rtl/>
        </w:rPr>
        <w:t>,</w:t>
      </w:r>
      <w:r w:rsidRPr="00A8038D">
        <w:rPr>
          <w:rFonts w:asciiTheme="minorBidi" w:hAnsiTheme="minorBidi"/>
          <w:rtl/>
        </w:rPr>
        <w:t xml:space="preserve"> לא מפני שהוא רשע אלא מפני שאינו יודע</w:t>
      </w:r>
      <w:r w:rsidR="00090DAC">
        <w:rPr>
          <w:rFonts w:asciiTheme="minorBidi" w:hAnsiTheme="minorBidi" w:hint="cs"/>
          <w:rtl/>
        </w:rPr>
        <w:t>,</w:t>
      </w:r>
      <w:r w:rsidRPr="00A8038D">
        <w:rPr>
          <w:rFonts w:asciiTheme="minorBidi" w:hAnsiTheme="minorBidi"/>
          <w:rtl/>
        </w:rPr>
        <w:t xml:space="preserve"> מעלה עליו כאלו הכיר פנים בדין.</w:t>
      </w:r>
      <w:r w:rsidRPr="00553EEA">
        <w:rPr>
          <w:rFonts w:asciiTheme="minorBidi" w:hAnsiTheme="minorBidi"/>
          <w:sz w:val="16"/>
          <w:szCs w:val="16"/>
          <w:rtl/>
        </w:rPr>
        <w:t xml:space="preserve"> (והעתיק רש"י את דברי הספרי בפירושו על התורה על הפסוק לא תכירו פנים במשפט וכו'. וכ"כ הסמ"ג (לאוין סי' קצד))</w:t>
      </w:r>
    </w:p>
    <w:p w14:paraId="1BE96EB4" w14:textId="77777777" w:rsidR="00FD2060" w:rsidRPr="00A8038D" w:rsidRDefault="00FD2060" w:rsidP="00576D5C">
      <w:pPr>
        <w:rPr>
          <w:rFonts w:asciiTheme="minorBidi" w:hAnsiTheme="minorBidi"/>
          <w:rtl/>
        </w:rPr>
      </w:pPr>
      <w:r w:rsidRPr="00090DAC">
        <w:rPr>
          <w:rFonts w:asciiTheme="minorBidi" w:hAnsiTheme="minorBidi"/>
          <w:b/>
          <w:bCs/>
          <w:rtl/>
        </w:rPr>
        <w:t xml:space="preserve">סנהדרין </w:t>
      </w:r>
      <w:r w:rsidRPr="001F7766">
        <w:rPr>
          <w:rFonts w:asciiTheme="minorBidi" w:hAnsiTheme="minorBidi"/>
          <w:b/>
          <w:bCs/>
          <w:sz w:val="16"/>
          <w:szCs w:val="16"/>
          <w:rtl/>
        </w:rPr>
        <w:t xml:space="preserve">(פ"ק) </w:t>
      </w:r>
      <w:r w:rsidRPr="001F7766">
        <w:rPr>
          <w:rFonts w:asciiTheme="minorBidi" w:hAnsiTheme="minorBidi"/>
          <w:b/>
          <w:bCs/>
          <w:rtl/>
        </w:rPr>
        <w:t>ז</w:t>
      </w:r>
      <w:r w:rsidR="00090DAC">
        <w:rPr>
          <w:rStyle w:val="ab"/>
          <w:rFonts w:asciiTheme="minorBidi" w:hAnsiTheme="minorBidi"/>
          <w:b/>
          <w:bCs/>
          <w:rtl/>
        </w:rPr>
        <w:footnoteReference w:id="411"/>
      </w:r>
      <w:r w:rsidRPr="001F7766">
        <w:rPr>
          <w:rFonts w:asciiTheme="minorBidi" w:hAnsiTheme="minorBidi"/>
          <w:b/>
          <w:bCs/>
          <w:rtl/>
        </w:rPr>
        <w:t xml:space="preserve"> ע"ב</w:t>
      </w:r>
      <w:r w:rsidRPr="00090DAC">
        <w:rPr>
          <w:rFonts w:asciiTheme="minorBidi" w:hAnsiTheme="minorBidi"/>
          <w:b/>
          <w:bCs/>
          <w:rtl/>
        </w:rPr>
        <w:t xml:space="preserve">: </w:t>
      </w:r>
      <w:r w:rsidRPr="001F7766">
        <w:rPr>
          <w:rFonts w:asciiTheme="minorBidi" w:hAnsiTheme="minorBidi"/>
          <w:u w:val="single"/>
          <w:rtl/>
        </w:rPr>
        <w:t>אמר ריש לקיש:</w:t>
      </w:r>
      <w:r w:rsidRPr="001F7766">
        <w:rPr>
          <w:rFonts w:asciiTheme="minorBidi" w:hAnsiTheme="minorBidi"/>
          <w:rtl/>
        </w:rPr>
        <w:t xml:space="preserve"> כל המעמיד דיין על הציבור שאינו הגון - כאילו נוטע אשירה בישראל, שנאמר </w:t>
      </w:r>
      <w:r w:rsidR="00090DAC">
        <w:rPr>
          <w:rFonts w:asciiTheme="minorBidi" w:hAnsiTheme="minorBidi" w:hint="cs"/>
          <w:rtl/>
        </w:rPr>
        <w:t>'</w:t>
      </w:r>
      <w:r w:rsidRPr="001F7766">
        <w:rPr>
          <w:rFonts w:asciiTheme="minorBidi" w:hAnsiTheme="minorBidi"/>
          <w:rtl/>
        </w:rPr>
        <w:t>שפטים ושטרים תתן לך</w:t>
      </w:r>
      <w:r w:rsidR="00090DAC">
        <w:rPr>
          <w:rFonts w:asciiTheme="minorBidi" w:hAnsiTheme="minorBidi" w:hint="cs"/>
          <w:rtl/>
        </w:rPr>
        <w:t>'</w:t>
      </w:r>
      <w:r w:rsidRPr="001F7766">
        <w:rPr>
          <w:rFonts w:asciiTheme="minorBidi" w:hAnsiTheme="minorBidi"/>
          <w:rtl/>
        </w:rPr>
        <w:t xml:space="preserve"> וסמיך </w:t>
      </w:r>
      <w:r w:rsidR="00090DAC">
        <w:rPr>
          <w:rFonts w:asciiTheme="minorBidi" w:hAnsiTheme="minorBidi" w:hint="cs"/>
          <w:rtl/>
        </w:rPr>
        <w:t>'</w:t>
      </w:r>
      <w:r w:rsidRPr="001F7766">
        <w:rPr>
          <w:rFonts w:asciiTheme="minorBidi" w:hAnsiTheme="minorBidi"/>
          <w:rtl/>
        </w:rPr>
        <w:t>ליה לא תטע לך אשרה כל עץ</w:t>
      </w:r>
      <w:r w:rsidR="00090DAC">
        <w:rPr>
          <w:rFonts w:asciiTheme="minorBidi" w:hAnsiTheme="minorBidi" w:hint="cs"/>
          <w:rtl/>
        </w:rPr>
        <w:t>'</w:t>
      </w:r>
      <w:r w:rsidRPr="001F7766">
        <w:rPr>
          <w:rFonts w:asciiTheme="minorBidi" w:hAnsiTheme="minorBidi"/>
          <w:rtl/>
        </w:rPr>
        <w:t xml:space="preserve">. </w:t>
      </w:r>
      <w:r w:rsidRPr="001F7766">
        <w:rPr>
          <w:rFonts w:asciiTheme="minorBidi" w:hAnsiTheme="minorBidi"/>
          <w:u w:val="single"/>
          <w:rtl/>
        </w:rPr>
        <w:t>אמר רב אשי:</w:t>
      </w:r>
      <w:r w:rsidRPr="00A8038D">
        <w:rPr>
          <w:rFonts w:asciiTheme="minorBidi" w:hAnsiTheme="minorBidi"/>
          <w:rtl/>
        </w:rPr>
        <w:t xml:space="preserve"> ובמקום שיש תלמידי חכמים - כאילו נטעו אצל מזבח, שנאמר </w:t>
      </w:r>
      <w:r w:rsidR="00090DAC">
        <w:rPr>
          <w:rFonts w:asciiTheme="minorBidi" w:hAnsiTheme="minorBidi" w:hint="cs"/>
          <w:rtl/>
        </w:rPr>
        <w:t>'</w:t>
      </w:r>
      <w:r w:rsidRPr="00A8038D">
        <w:rPr>
          <w:rFonts w:asciiTheme="minorBidi" w:hAnsiTheme="minorBidi"/>
          <w:rtl/>
        </w:rPr>
        <w:t>אצל מזבח ה' אלהיך</w:t>
      </w:r>
      <w:r w:rsidR="00090DAC">
        <w:rPr>
          <w:rFonts w:asciiTheme="minorBidi" w:hAnsiTheme="minorBidi" w:hint="cs"/>
          <w:rtl/>
        </w:rPr>
        <w:t>'</w:t>
      </w:r>
      <w:r w:rsidRPr="00A8038D">
        <w:rPr>
          <w:rFonts w:asciiTheme="minorBidi" w:hAnsiTheme="minorBidi"/>
          <w:rtl/>
        </w:rPr>
        <w:t xml:space="preserve">. כתיב </w:t>
      </w:r>
      <w:r w:rsidR="00090DAC">
        <w:rPr>
          <w:rFonts w:asciiTheme="minorBidi" w:hAnsiTheme="minorBidi" w:hint="cs"/>
          <w:rtl/>
        </w:rPr>
        <w:t>'</w:t>
      </w:r>
      <w:r w:rsidRPr="00A8038D">
        <w:rPr>
          <w:rFonts w:asciiTheme="minorBidi" w:hAnsiTheme="minorBidi"/>
          <w:rtl/>
        </w:rPr>
        <w:t>לא תעשון אתי אלהי כסף ואלהי זהב</w:t>
      </w:r>
      <w:r w:rsidR="00090DAC">
        <w:rPr>
          <w:rFonts w:asciiTheme="minorBidi" w:hAnsiTheme="minorBidi" w:hint="cs"/>
          <w:rtl/>
        </w:rPr>
        <w:t>'</w:t>
      </w:r>
      <w:r w:rsidRPr="00A8038D">
        <w:rPr>
          <w:rFonts w:asciiTheme="minorBidi" w:hAnsiTheme="minorBidi"/>
          <w:rtl/>
        </w:rPr>
        <w:t xml:space="preserve">. אלהי כסף ואלהי זהב הוא דלא עבדי, הא דעץ שרי? </w:t>
      </w:r>
      <w:r w:rsidRPr="00A8038D">
        <w:rPr>
          <w:rFonts w:asciiTheme="minorBidi" w:hAnsiTheme="minorBidi"/>
          <w:u w:val="single"/>
          <w:rtl/>
        </w:rPr>
        <w:t>אמר רב אשי</w:t>
      </w:r>
      <w:r w:rsidRPr="00A8038D">
        <w:rPr>
          <w:rFonts w:asciiTheme="minorBidi" w:hAnsiTheme="minorBidi"/>
          <w:rtl/>
        </w:rPr>
        <w:t>: אלוה הבא בשביל כסף, ואלוה הבא בשביל זהב.</w:t>
      </w:r>
    </w:p>
    <w:p w14:paraId="6548A15E" w14:textId="77777777" w:rsidR="00160D16" w:rsidRPr="00576D5C" w:rsidRDefault="00160D16" w:rsidP="00576D5C">
      <w:pPr>
        <w:rPr>
          <w:rFonts w:asciiTheme="minorBidi" w:hAnsiTheme="minorBidi"/>
          <w:color w:val="000000"/>
          <w:rtl/>
        </w:rPr>
      </w:pPr>
      <w:r w:rsidRPr="00576D5C">
        <w:rPr>
          <w:rFonts w:asciiTheme="minorBidi" w:hAnsiTheme="minorBidi"/>
          <w:color w:val="000000"/>
          <w:u w:val="single"/>
          <w:rtl/>
        </w:rPr>
        <w:t>מינוי דיין שאינו הגון:</w:t>
      </w:r>
    </w:p>
    <w:p w14:paraId="2E6372E8" w14:textId="77777777" w:rsidR="00160D16" w:rsidRPr="00576D5C" w:rsidRDefault="0067033B" w:rsidP="00576D5C">
      <w:pPr>
        <w:pStyle w:val="ac"/>
        <w:numPr>
          <w:ilvl w:val="0"/>
          <w:numId w:val="1"/>
        </w:numPr>
        <w:rPr>
          <w:rFonts w:asciiTheme="minorBidi" w:hAnsiTheme="minorBidi"/>
          <w:color w:val="000000"/>
          <w:rtl/>
        </w:rPr>
      </w:pPr>
      <w:r w:rsidRPr="00576D5C">
        <w:rPr>
          <w:rFonts w:asciiTheme="minorBidi" w:hAnsiTheme="minorBidi"/>
          <w:color w:val="000000"/>
          <w:rtl/>
        </w:rPr>
        <w:t xml:space="preserve">רמב"ם </w:t>
      </w:r>
      <w:r w:rsidR="00160D16" w:rsidRPr="00576D5C">
        <w:rPr>
          <w:rFonts w:asciiTheme="minorBidi" w:hAnsiTheme="minorBidi"/>
          <w:color w:val="000000"/>
          <w:sz w:val="16"/>
          <w:szCs w:val="16"/>
          <w:rtl/>
        </w:rPr>
        <w:t>(</w:t>
      </w:r>
      <w:r w:rsidRPr="00576D5C">
        <w:rPr>
          <w:rFonts w:asciiTheme="minorBidi" w:hAnsiTheme="minorBidi"/>
          <w:color w:val="000000"/>
          <w:sz w:val="16"/>
          <w:szCs w:val="16"/>
          <w:rtl/>
        </w:rPr>
        <w:t>פ"ג מהל</w:t>
      </w:r>
      <w:r w:rsidR="00160D16" w:rsidRPr="00576D5C">
        <w:rPr>
          <w:rFonts w:asciiTheme="minorBidi" w:hAnsiTheme="minorBidi"/>
          <w:color w:val="000000"/>
          <w:sz w:val="16"/>
          <w:szCs w:val="16"/>
          <w:rtl/>
        </w:rPr>
        <w:t>'</w:t>
      </w:r>
      <w:r w:rsidRPr="00576D5C">
        <w:rPr>
          <w:rFonts w:asciiTheme="minorBidi" w:hAnsiTheme="minorBidi"/>
          <w:color w:val="000000"/>
          <w:sz w:val="16"/>
          <w:szCs w:val="16"/>
          <w:rtl/>
        </w:rPr>
        <w:t xml:space="preserve"> סנהדרין ה"ח)</w:t>
      </w:r>
      <w:r w:rsidR="00160D16" w:rsidRPr="001F7766">
        <w:rPr>
          <w:rFonts w:asciiTheme="minorBidi" w:hAnsiTheme="minorBidi"/>
          <w:rtl/>
        </w:rPr>
        <w:t xml:space="preserve"> וטור-</w:t>
      </w:r>
      <w:r w:rsidRPr="001F7766">
        <w:rPr>
          <w:rFonts w:asciiTheme="minorBidi" w:hAnsiTheme="minorBidi"/>
          <w:rtl/>
        </w:rPr>
        <w:t xml:space="preserve"> כל הסנהדרין או מלך או ראש גולה שהעמידו להם לישראל דיין שאינו הגון ואינו חכם בחכמת התורה וראוי להיות דיין אפילו שהוא כלו מחמדים ויש בו טובות אחרות</w:t>
      </w:r>
      <w:r w:rsidR="00160D16" w:rsidRPr="001F7766">
        <w:rPr>
          <w:rFonts w:asciiTheme="minorBidi" w:hAnsiTheme="minorBidi"/>
          <w:rtl/>
        </w:rPr>
        <w:t xml:space="preserve"> -</w:t>
      </w:r>
      <w:r w:rsidRPr="00576D5C">
        <w:rPr>
          <w:rFonts w:asciiTheme="minorBidi" w:hAnsiTheme="minorBidi"/>
          <w:color w:val="000000"/>
          <w:rtl/>
        </w:rPr>
        <w:t xml:space="preserve"> הרי זה שהעמידו עובר בלא תעשה</w:t>
      </w:r>
      <w:r w:rsidR="00160D16" w:rsidRPr="00576D5C">
        <w:rPr>
          <w:rFonts w:asciiTheme="minorBidi" w:hAnsiTheme="minorBidi"/>
          <w:color w:val="000000"/>
          <w:rtl/>
        </w:rPr>
        <w:t>,</w:t>
      </w:r>
      <w:r w:rsidRPr="00576D5C">
        <w:rPr>
          <w:rFonts w:asciiTheme="minorBidi" w:hAnsiTheme="minorBidi"/>
          <w:color w:val="000000"/>
          <w:rtl/>
        </w:rPr>
        <w:t xml:space="preserve"> שנאמר </w:t>
      </w:r>
      <w:r w:rsidRPr="00576D5C">
        <w:rPr>
          <w:rFonts w:asciiTheme="minorBidi" w:hAnsiTheme="minorBidi"/>
          <w:color w:val="000000"/>
          <w:sz w:val="16"/>
          <w:szCs w:val="16"/>
          <w:rtl/>
        </w:rPr>
        <w:t xml:space="preserve">(דברים א יז) </w:t>
      </w:r>
      <w:r w:rsidRPr="001F7766">
        <w:rPr>
          <w:rFonts w:asciiTheme="minorBidi" w:hAnsiTheme="minorBidi"/>
          <w:rtl/>
        </w:rPr>
        <w:t>לא תכירו פנים במשפט. מפי השמועה למדו שזה מדבר כנגד הממונה להושיב דיינים</w:t>
      </w:r>
      <w:r w:rsidR="00160D16" w:rsidRPr="00576D5C">
        <w:rPr>
          <w:rFonts w:asciiTheme="minorBidi" w:hAnsiTheme="minorBidi"/>
          <w:color w:val="000000"/>
          <w:rtl/>
        </w:rPr>
        <w:t>,</w:t>
      </w:r>
      <w:r w:rsidRPr="00576D5C">
        <w:rPr>
          <w:rFonts w:asciiTheme="minorBidi" w:hAnsiTheme="minorBidi"/>
          <w:color w:val="000000"/>
          <w:rtl/>
        </w:rPr>
        <w:t xml:space="preserve"> אמרו חכמים שמא תאמר איש פלוני נאה אושיבנו דיין</w:t>
      </w:r>
      <w:r w:rsidR="00160D16" w:rsidRPr="00576D5C">
        <w:rPr>
          <w:rFonts w:asciiTheme="minorBidi" w:hAnsiTheme="minorBidi"/>
          <w:color w:val="000000"/>
          <w:rtl/>
        </w:rPr>
        <w:t>,</w:t>
      </w:r>
      <w:r w:rsidRPr="00576D5C">
        <w:rPr>
          <w:rFonts w:asciiTheme="minorBidi" w:hAnsiTheme="minorBidi"/>
          <w:color w:val="000000"/>
          <w:rtl/>
        </w:rPr>
        <w:t xml:space="preserve"> איש פלוני גבור אושיבנו דיין</w:t>
      </w:r>
      <w:r w:rsidR="00160D16" w:rsidRPr="00576D5C">
        <w:rPr>
          <w:rFonts w:asciiTheme="minorBidi" w:hAnsiTheme="minorBidi"/>
          <w:color w:val="000000"/>
          <w:rtl/>
        </w:rPr>
        <w:t>,</w:t>
      </w:r>
      <w:r w:rsidRPr="00576D5C">
        <w:rPr>
          <w:rFonts w:asciiTheme="minorBidi" w:hAnsiTheme="minorBidi"/>
          <w:color w:val="000000"/>
          <w:rtl/>
        </w:rPr>
        <w:t xml:space="preserve"> איש פלוני קרובי אושיבנו דיין</w:t>
      </w:r>
      <w:r w:rsidR="00160D16" w:rsidRPr="00576D5C">
        <w:rPr>
          <w:rFonts w:asciiTheme="minorBidi" w:hAnsiTheme="minorBidi"/>
          <w:color w:val="000000"/>
          <w:rtl/>
        </w:rPr>
        <w:t>,</w:t>
      </w:r>
      <w:r w:rsidRPr="001F7766">
        <w:rPr>
          <w:rFonts w:asciiTheme="minorBidi" w:hAnsiTheme="minorBidi"/>
          <w:rtl/>
        </w:rPr>
        <w:t xml:space="preserve"> או איש פלוני יודע בכל לשון אושיבנו דיין</w:t>
      </w:r>
      <w:r w:rsidR="00160D16" w:rsidRPr="001F7766">
        <w:rPr>
          <w:rFonts w:asciiTheme="minorBidi" w:hAnsiTheme="minorBidi"/>
          <w:rtl/>
        </w:rPr>
        <w:t>,</w:t>
      </w:r>
      <w:r w:rsidRPr="001F7766">
        <w:rPr>
          <w:rFonts w:asciiTheme="minorBidi" w:hAnsiTheme="minorBidi"/>
          <w:rtl/>
        </w:rPr>
        <w:t xml:space="preserve"> נמצא מזכה את החייב ומחייב את הזכאי לא מפני שהוא רשע אלא מפני שאינו יודע</w:t>
      </w:r>
      <w:r w:rsidR="00160D16" w:rsidRPr="001F7766">
        <w:rPr>
          <w:rFonts w:asciiTheme="minorBidi" w:hAnsiTheme="minorBidi"/>
          <w:rtl/>
        </w:rPr>
        <w:t>,</w:t>
      </w:r>
      <w:r w:rsidRPr="001F7766">
        <w:rPr>
          <w:rFonts w:asciiTheme="minorBidi" w:hAnsiTheme="minorBidi"/>
          <w:rtl/>
        </w:rPr>
        <w:t xml:space="preserve"> לכך נאמר לא תכירו פנים במשפט</w:t>
      </w:r>
      <w:r w:rsidR="00FD2060" w:rsidRPr="001F7766">
        <w:rPr>
          <w:rFonts w:asciiTheme="minorBidi" w:hAnsiTheme="minorBidi"/>
          <w:rtl/>
        </w:rPr>
        <w:t>.</w:t>
      </w:r>
      <w:r w:rsidR="00160D16" w:rsidRPr="00576D5C">
        <w:rPr>
          <w:rFonts w:asciiTheme="minorBidi" w:hAnsiTheme="minorBidi"/>
          <w:color w:val="000000"/>
          <w:sz w:val="16"/>
          <w:szCs w:val="16"/>
          <w:rtl/>
        </w:rPr>
        <w:t xml:space="preserve"> </w:t>
      </w:r>
      <w:r w:rsidR="00FD2060" w:rsidRPr="001F7766">
        <w:rPr>
          <w:rFonts w:asciiTheme="minorBidi" w:hAnsiTheme="minorBidi"/>
          <w:rtl/>
        </w:rPr>
        <w:t>ועוד אמרו כל המעמיד לישראל דיין שאינו הגון כאלו הקים מצבה</w:t>
      </w:r>
      <w:r w:rsidR="00FD2060" w:rsidRPr="00576D5C">
        <w:rPr>
          <w:rStyle w:val="ab"/>
          <w:rFonts w:asciiTheme="minorBidi" w:hAnsiTheme="minorBidi"/>
          <w:color w:val="000000"/>
          <w:rtl/>
        </w:rPr>
        <w:footnoteReference w:id="412"/>
      </w:r>
      <w:r w:rsidR="00FD2060" w:rsidRPr="00576D5C">
        <w:rPr>
          <w:rFonts w:asciiTheme="minorBidi" w:hAnsiTheme="minorBidi"/>
          <w:color w:val="000000"/>
          <w:rtl/>
        </w:rPr>
        <w:t xml:space="preserve"> שנאמר </w:t>
      </w:r>
      <w:r w:rsidR="00FD2060" w:rsidRPr="00576D5C">
        <w:rPr>
          <w:rFonts w:asciiTheme="minorBidi" w:hAnsiTheme="minorBidi"/>
          <w:color w:val="000000"/>
          <w:sz w:val="16"/>
          <w:szCs w:val="16"/>
          <w:rtl/>
        </w:rPr>
        <w:t xml:space="preserve">(שם טז כב) </w:t>
      </w:r>
      <w:r w:rsidR="00FD2060" w:rsidRPr="00576D5C">
        <w:rPr>
          <w:rFonts w:asciiTheme="minorBidi" w:hAnsiTheme="minorBidi"/>
          <w:color w:val="000000"/>
          <w:rtl/>
        </w:rPr>
        <w:t xml:space="preserve">ולא תקים לך מצבה אשר שנא </w:t>
      </w:r>
      <w:r w:rsidR="00FD2060" w:rsidRPr="001F7766">
        <w:rPr>
          <w:rFonts w:asciiTheme="minorBidi" w:hAnsiTheme="minorBidi"/>
          <w:rtl/>
        </w:rPr>
        <w:t xml:space="preserve">השם אלהיך, ובמקום תלמידי חכמים כאלו נטע אשרה שנאמר </w:t>
      </w:r>
      <w:r w:rsidR="00FD2060" w:rsidRPr="00576D5C">
        <w:rPr>
          <w:rFonts w:asciiTheme="minorBidi" w:hAnsiTheme="minorBidi"/>
          <w:color w:val="000000"/>
          <w:sz w:val="16"/>
          <w:szCs w:val="16"/>
          <w:rtl/>
        </w:rPr>
        <w:t xml:space="preserve">(שם פסוק כא) </w:t>
      </w:r>
      <w:r w:rsidR="00FD2060" w:rsidRPr="001F7766">
        <w:rPr>
          <w:rFonts w:asciiTheme="minorBidi" w:hAnsiTheme="minorBidi"/>
          <w:rtl/>
        </w:rPr>
        <w:t>לא תטע לך אשרה כל עץ אצל מזבח השם אלהיך</w:t>
      </w:r>
      <w:r w:rsidR="00FD2060" w:rsidRPr="00576D5C">
        <w:rPr>
          <w:rFonts w:asciiTheme="minorBidi" w:hAnsiTheme="minorBidi"/>
          <w:color w:val="000000"/>
          <w:sz w:val="16"/>
          <w:szCs w:val="16"/>
          <w:rtl/>
        </w:rPr>
        <w:t xml:space="preserve"> </w:t>
      </w:r>
      <w:r w:rsidR="00160D16" w:rsidRPr="00576D5C">
        <w:rPr>
          <w:rFonts w:asciiTheme="minorBidi" w:hAnsiTheme="minorBidi"/>
          <w:color w:val="000000"/>
          <w:sz w:val="16"/>
          <w:szCs w:val="16"/>
          <w:rtl/>
        </w:rPr>
        <w:t>(ל' הרמב"ם)</w:t>
      </w:r>
      <w:r w:rsidRPr="00576D5C">
        <w:rPr>
          <w:rFonts w:asciiTheme="minorBidi" w:hAnsiTheme="minorBidi"/>
          <w:color w:val="000000"/>
          <w:rtl/>
        </w:rPr>
        <w:t xml:space="preserve">. </w:t>
      </w:r>
      <w:r w:rsidR="00E74AA2" w:rsidRPr="0077426A">
        <w:rPr>
          <w:rFonts w:cs="Arial" w:hint="cs"/>
          <w:color w:val="E36C0A" w:themeColor="accent6" w:themeShade="BF"/>
          <w:rtl/>
        </w:rPr>
        <w:t>(וכ"פ בשו"ע)</w:t>
      </w:r>
    </w:p>
    <w:p w14:paraId="383C0D5E" w14:textId="77777777" w:rsidR="00A74BEE" w:rsidRPr="00A8038D" w:rsidRDefault="00A74BEE" w:rsidP="00576D5C">
      <w:pPr>
        <w:rPr>
          <w:rFonts w:asciiTheme="minorBidi" w:hAnsiTheme="minorBidi"/>
          <w:rtl/>
        </w:rPr>
      </w:pPr>
      <w:r w:rsidRPr="00576D5C">
        <w:rPr>
          <w:rFonts w:asciiTheme="minorBidi" w:hAnsiTheme="minorBidi"/>
          <w:b/>
          <w:bCs/>
          <w:color w:val="000000"/>
          <w:rtl/>
        </w:rPr>
        <w:t xml:space="preserve">ירושלמי </w:t>
      </w:r>
      <w:r w:rsidRPr="00576D5C">
        <w:rPr>
          <w:rFonts w:asciiTheme="minorBidi" w:hAnsiTheme="minorBidi"/>
          <w:b/>
          <w:bCs/>
          <w:color w:val="000000"/>
          <w:sz w:val="16"/>
          <w:szCs w:val="16"/>
          <w:rtl/>
        </w:rPr>
        <w:t xml:space="preserve">(וילנא) </w:t>
      </w:r>
      <w:r w:rsidRPr="00576D5C">
        <w:rPr>
          <w:rFonts w:asciiTheme="minorBidi" w:hAnsiTheme="minorBidi"/>
          <w:b/>
          <w:bCs/>
          <w:color w:val="000000"/>
          <w:rtl/>
        </w:rPr>
        <w:t xml:space="preserve">ביכורים פ"ג ה"ג: </w:t>
      </w:r>
      <w:r w:rsidRPr="00020A0B">
        <w:rPr>
          <w:rFonts w:asciiTheme="minorBidi" w:hAnsiTheme="minorBidi"/>
          <w:u w:val="single"/>
          <w:rtl/>
        </w:rPr>
        <w:t>ר' מנא</w:t>
      </w:r>
      <w:r w:rsidRPr="00A8038D">
        <w:rPr>
          <w:rFonts w:asciiTheme="minorBidi" w:hAnsiTheme="minorBidi"/>
          <w:rtl/>
        </w:rPr>
        <w:t xml:space="preserve"> מיקל לאילין דמתמניי בכסף. </w:t>
      </w:r>
      <w:r w:rsidRPr="00020A0B">
        <w:rPr>
          <w:rFonts w:asciiTheme="minorBidi" w:hAnsiTheme="minorBidi"/>
          <w:u w:val="single"/>
          <w:rtl/>
        </w:rPr>
        <w:t>רבי אימי</w:t>
      </w:r>
      <w:r w:rsidRPr="00A8038D">
        <w:rPr>
          <w:rFonts w:asciiTheme="minorBidi" w:hAnsiTheme="minorBidi"/>
          <w:rtl/>
        </w:rPr>
        <w:t xml:space="preserve"> קרא עליהון (שמות כ כ) אלהי כסף ואלהי זהב לא תעשו לכם. </w:t>
      </w:r>
      <w:r w:rsidRPr="00020A0B">
        <w:rPr>
          <w:rFonts w:asciiTheme="minorBidi" w:hAnsiTheme="minorBidi"/>
          <w:u w:val="single"/>
          <w:rtl/>
        </w:rPr>
        <w:t>א"ר יאשי'</w:t>
      </w:r>
      <w:r w:rsidRPr="00A8038D">
        <w:rPr>
          <w:rFonts w:asciiTheme="minorBidi" w:hAnsiTheme="minorBidi"/>
          <w:rtl/>
        </w:rPr>
        <w:t xml:space="preserve">: וטלית שעליו כמרדעת של חמור. </w:t>
      </w:r>
      <w:r w:rsidRPr="00020A0B">
        <w:rPr>
          <w:rFonts w:asciiTheme="minorBidi" w:hAnsiTheme="minorBidi"/>
          <w:u w:val="single"/>
          <w:rtl/>
        </w:rPr>
        <w:t>א"ר שיין</w:t>
      </w:r>
      <w:r w:rsidRPr="00A8038D">
        <w:rPr>
          <w:rFonts w:asciiTheme="minorBidi" w:hAnsiTheme="minorBidi"/>
          <w:rtl/>
        </w:rPr>
        <w:t xml:space="preserve">: זה שהוא מתמני בכסף אין עומדין מפניו ואין קורין אותו רבי והטלית שעליו כמרדעת של חמור. רבי זעירא וחד מן רבנן הוון יתיבין עבר חד מן אילין דמיתמני בכסף, </w:t>
      </w:r>
      <w:r w:rsidRPr="00020A0B">
        <w:rPr>
          <w:rFonts w:asciiTheme="minorBidi" w:hAnsiTheme="minorBidi"/>
          <w:u w:val="single"/>
          <w:rtl/>
        </w:rPr>
        <w:t>אמר יתיה דמן רבנין לרבי זעירא</w:t>
      </w:r>
      <w:r w:rsidR="00020A0B">
        <w:rPr>
          <w:rFonts w:asciiTheme="minorBidi" w:hAnsiTheme="minorBidi" w:hint="cs"/>
          <w:rtl/>
        </w:rPr>
        <w:t>:</w:t>
      </w:r>
      <w:r w:rsidRPr="00A8038D">
        <w:rPr>
          <w:rFonts w:asciiTheme="minorBidi" w:hAnsiTheme="minorBidi"/>
          <w:rtl/>
        </w:rPr>
        <w:t xml:space="preserve"> נעביד נפשין תניי ולא ניקום לון מן קמוי. </w:t>
      </w:r>
    </w:p>
    <w:p w14:paraId="72D995E1" w14:textId="77777777" w:rsidR="00A74BEE" w:rsidRPr="00576D5C" w:rsidRDefault="00A74BEE" w:rsidP="00576D5C">
      <w:pPr>
        <w:rPr>
          <w:rFonts w:asciiTheme="minorBidi" w:hAnsiTheme="minorBidi"/>
          <w:color w:val="000000"/>
          <w:rtl/>
        </w:rPr>
      </w:pPr>
      <w:r w:rsidRPr="00576D5C">
        <w:rPr>
          <w:rFonts w:asciiTheme="minorBidi" w:hAnsiTheme="minorBidi"/>
          <w:color w:val="000000"/>
          <w:u w:val="single"/>
          <w:rtl/>
        </w:rPr>
        <w:t xml:space="preserve">דיין שנתן </w:t>
      </w:r>
      <w:r w:rsidR="00882FFE" w:rsidRPr="00576D5C">
        <w:rPr>
          <w:rFonts w:asciiTheme="minorBidi" w:hAnsiTheme="minorBidi"/>
          <w:color w:val="000000"/>
          <w:u w:val="single"/>
          <w:rtl/>
        </w:rPr>
        <w:t>ממון כדי שיתמנה</w:t>
      </w:r>
      <w:r w:rsidRPr="00576D5C">
        <w:rPr>
          <w:rFonts w:asciiTheme="minorBidi" w:hAnsiTheme="minorBidi"/>
          <w:color w:val="000000"/>
          <w:u w:val="single"/>
          <w:rtl/>
        </w:rPr>
        <w:t>:</w:t>
      </w:r>
      <w:r w:rsidRPr="00576D5C">
        <w:rPr>
          <w:rFonts w:asciiTheme="minorBidi" w:hAnsiTheme="minorBidi"/>
          <w:color w:val="000000"/>
          <w:rtl/>
        </w:rPr>
        <w:t xml:space="preserve"> </w:t>
      </w:r>
    </w:p>
    <w:p w14:paraId="2057C490" w14:textId="77777777" w:rsidR="00A74BEE" w:rsidRPr="00576D5C" w:rsidRDefault="00A74BEE" w:rsidP="00576D5C">
      <w:pPr>
        <w:pStyle w:val="ac"/>
        <w:numPr>
          <w:ilvl w:val="0"/>
          <w:numId w:val="1"/>
        </w:numPr>
        <w:rPr>
          <w:rFonts w:asciiTheme="minorBidi" w:hAnsiTheme="minorBidi"/>
          <w:color w:val="000000"/>
          <w:rtl/>
        </w:rPr>
      </w:pPr>
      <w:r w:rsidRPr="00576D5C">
        <w:rPr>
          <w:rFonts w:asciiTheme="minorBidi" w:hAnsiTheme="minorBidi"/>
          <w:color w:val="000000"/>
          <w:rtl/>
        </w:rPr>
        <w:t xml:space="preserve">רמב"ם </w:t>
      </w:r>
      <w:r w:rsidRPr="00576D5C">
        <w:rPr>
          <w:rFonts w:asciiTheme="minorBidi" w:hAnsiTheme="minorBidi"/>
          <w:color w:val="000000"/>
          <w:sz w:val="16"/>
          <w:szCs w:val="16"/>
          <w:rtl/>
        </w:rPr>
        <w:t>(פ"ג מהל' סנהדרין ה"ט)</w:t>
      </w:r>
      <w:r w:rsidRPr="00576D5C">
        <w:rPr>
          <w:rFonts w:asciiTheme="minorBidi" w:hAnsiTheme="minorBidi"/>
          <w:color w:val="000000"/>
          <w:rtl/>
        </w:rPr>
        <w:t xml:space="preserve"> וטור- כל דיין שנתן ממון כדי שיתמנה אסור לעמוד מפניו, וצוו חכמים להקל אותו ולזלזל בו, ואמרו חכמים שהטלית שמתעטף בה תהי בעיניך כמרדעת של חמור</w:t>
      </w:r>
      <w:r w:rsidR="00020A0B">
        <w:rPr>
          <w:rFonts w:asciiTheme="minorBidi" w:hAnsiTheme="minorBidi" w:hint="cs"/>
          <w:color w:val="000000"/>
          <w:sz w:val="16"/>
          <w:szCs w:val="16"/>
          <w:rtl/>
        </w:rPr>
        <w:t xml:space="preserve"> (ל' הרמב"ם)</w:t>
      </w:r>
      <w:r w:rsidRPr="00576D5C">
        <w:rPr>
          <w:rFonts w:asciiTheme="minorBidi" w:hAnsiTheme="minorBidi"/>
          <w:color w:val="000000"/>
          <w:rtl/>
        </w:rPr>
        <w:t xml:space="preserve">. </w:t>
      </w:r>
      <w:r w:rsidR="00E74AA2" w:rsidRPr="0077426A">
        <w:rPr>
          <w:rFonts w:cs="Arial" w:hint="cs"/>
          <w:color w:val="E36C0A" w:themeColor="accent6" w:themeShade="BF"/>
          <w:rtl/>
        </w:rPr>
        <w:t>(וכ"פ בשו"ע)</w:t>
      </w:r>
    </w:p>
    <w:p w14:paraId="621C8A79" w14:textId="77777777" w:rsidR="00882FFE" w:rsidRPr="00576D5C" w:rsidRDefault="00882FFE" w:rsidP="00576D5C">
      <w:pPr>
        <w:rPr>
          <w:rFonts w:asciiTheme="minorBidi" w:hAnsiTheme="minorBidi"/>
          <w:color w:val="000000"/>
          <w:rtl/>
        </w:rPr>
      </w:pPr>
      <w:r w:rsidRPr="00576D5C">
        <w:rPr>
          <w:rFonts w:asciiTheme="minorBidi" w:hAnsiTheme="minorBidi"/>
          <w:color w:val="000000"/>
          <w:u w:val="single"/>
          <w:rtl/>
        </w:rPr>
        <w:t>מקומות שאין בהם אנשים יודעי דינים – את מי ימנו לדיינים על הציבור:</w:t>
      </w:r>
    </w:p>
    <w:p w14:paraId="7BF92CB4" w14:textId="77777777" w:rsidR="00882FFE" w:rsidRPr="00576D5C" w:rsidRDefault="0067033B" w:rsidP="00576D5C">
      <w:pPr>
        <w:pStyle w:val="ac"/>
        <w:numPr>
          <w:ilvl w:val="0"/>
          <w:numId w:val="1"/>
        </w:numPr>
        <w:rPr>
          <w:rFonts w:asciiTheme="minorBidi" w:hAnsiTheme="minorBidi"/>
          <w:color w:val="000000"/>
          <w:rtl/>
        </w:rPr>
      </w:pPr>
      <w:r w:rsidRPr="00576D5C">
        <w:rPr>
          <w:rFonts w:asciiTheme="minorBidi" w:hAnsiTheme="minorBidi"/>
          <w:color w:val="000000"/>
          <w:rtl/>
        </w:rPr>
        <w:t xml:space="preserve">רשב"א </w:t>
      </w:r>
      <w:r w:rsidRPr="00576D5C">
        <w:rPr>
          <w:rFonts w:asciiTheme="minorBidi" w:hAnsiTheme="minorBidi"/>
          <w:color w:val="000000"/>
          <w:sz w:val="16"/>
          <w:szCs w:val="16"/>
          <w:rtl/>
        </w:rPr>
        <w:t>(ח"ב סימן רצ)</w:t>
      </w:r>
      <w:r w:rsidR="00882FFE" w:rsidRPr="00576D5C">
        <w:rPr>
          <w:rFonts w:asciiTheme="minorBidi" w:hAnsiTheme="minorBidi"/>
          <w:color w:val="000000"/>
          <w:rtl/>
        </w:rPr>
        <w:t>-</w:t>
      </w:r>
      <w:r w:rsidRPr="00576D5C">
        <w:rPr>
          <w:rFonts w:asciiTheme="minorBidi" w:hAnsiTheme="minorBidi"/>
          <w:color w:val="000000"/>
          <w:rtl/>
        </w:rPr>
        <w:t xml:space="preserve"> ש</w:t>
      </w:r>
      <w:r w:rsidR="00882FFE" w:rsidRPr="00576D5C">
        <w:rPr>
          <w:rFonts w:asciiTheme="minorBidi" w:hAnsiTheme="minorBidi"/>
          <w:color w:val="000000"/>
          <w:rtl/>
        </w:rPr>
        <w:t>אל</w:t>
      </w:r>
      <w:r w:rsidR="00020A0B">
        <w:rPr>
          <w:rFonts w:asciiTheme="minorBidi" w:hAnsiTheme="minorBidi" w:hint="cs"/>
          <w:color w:val="000000"/>
          <w:rtl/>
        </w:rPr>
        <w:t>ת,</w:t>
      </w:r>
      <w:r w:rsidRPr="00576D5C">
        <w:rPr>
          <w:rFonts w:asciiTheme="minorBidi" w:hAnsiTheme="minorBidi"/>
          <w:color w:val="000000"/>
          <w:rtl/>
        </w:rPr>
        <w:t xml:space="preserve"> עיירות שאין בהם מי שיודע אפילו אות אחת ואנו צריכים להעמיד להם דיינים לדון ולפשר על כרחן של בעלי דבר</w:t>
      </w:r>
      <w:r w:rsidR="00A74BEE" w:rsidRPr="00576D5C">
        <w:rPr>
          <w:rFonts w:asciiTheme="minorBidi" w:hAnsiTheme="minorBidi"/>
          <w:color w:val="000000"/>
          <w:rtl/>
        </w:rPr>
        <w:t>,</w:t>
      </w:r>
      <w:r w:rsidRPr="00576D5C">
        <w:rPr>
          <w:rFonts w:asciiTheme="minorBidi" w:hAnsiTheme="minorBidi"/>
          <w:color w:val="000000"/>
          <w:rtl/>
        </w:rPr>
        <w:t xml:space="preserve"> ואם לא נעמיד נמצאו הולכים בערכאות של נכרים ורבו האונסים</w:t>
      </w:r>
      <w:r w:rsidR="00A74BEE" w:rsidRPr="00576D5C">
        <w:rPr>
          <w:rFonts w:asciiTheme="minorBidi" w:hAnsiTheme="minorBidi"/>
          <w:color w:val="000000"/>
          <w:rtl/>
        </w:rPr>
        <w:t>.</w:t>
      </w:r>
      <w:r w:rsidRPr="00576D5C">
        <w:rPr>
          <w:rFonts w:asciiTheme="minorBidi" w:hAnsiTheme="minorBidi"/>
          <w:color w:val="000000"/>
          <w:rtl/>
        </w:rPr>
        <w:t xml:space="preserve"> </w:t>
      </w:r>
      <w:r w:rsidR="00882FFE" w:rsidRPr="00576D5C">
        <w:rPr>
          <w:rFonts w:asciiTheme="minorBidi" w:hAnsiTheme="minorBidi"/>
          <w:color w:val="000000"/>
          <w:rtl/>
        </w:rPr>
        <w:t>תשובה-</w:t>
      </w:r>
      <w:r w:rsidRPr="00576D5C">
        <w:rPr>
          <w:rFonts w:asciiTheme="minorBidi" w:hAnsiTheme="minorBidi"/>
          <w:color w:val="000000"/>
          <w:rtl/>
        </w:rPr>
        <w:t xml:space="preserve"> שורת הדין אי אפשר להעמיד דיינים שאינם מומחים שלא מדעת בעלי דינים</w:t>
      </w:r>
      <w:r w:rsidR="00882FFE" w:rsidRPr="00576D5C">
        <w:rPr>
          <w:rFonts w:asciiTheme="minorBidi" w:hAnsiTheme="minorBidi"/>
          <w:color w:val="000000"/>
          <w:rtl/>
        </w:rPr>
        <w:t>,</w:t>
      </w:r>
      <w:r w:rsidRPr="00576D5C">
        <w:rPr>
          <w:rFonts w:asciiTheme="minorBidi" w:hAnsiTheme="minorBidi"/>
          <w:color w:val="000000"/>
          <w:rtl/>
        </w:rPr>
        <w:t xml:space="preserve"> אלא שהמומחין לבית דין שבעיר יכולים לכוף בעלי הדין לדון לפניהם כל שאין גדולים מהם בחכמה בעיר</w:t>
      </w:r>
      <w:r w:rsidR="00882FFE" w:rsidRPr="00576D5C">
        <w:rPr>
          <w:rFonts w:asciiTheme="minorBidi" w:hAnsiTheme="minorBidi"/>
          <w:color w:val="000000"/>
          <w:rtl/>
        </w:rPr>
        <w:t xml:space="preserve">, </w:t>
      </w:r>
      <w:r w:rsidRPr="00576D5C">
        <w:rPr>
          <w:rFonts w:asciiTheme="minorBidi" w:hAnsiTheme="minorBidi"/>
          <w:color w:val="000000"/>
          <w:rtl/>
        </w:rPr>
        <w:t>והוא שבקיאין בדינים</w:t>
      </w:r>
      <w:r w:rsidR="00020A0B">
        <w:rPr>
          <w:rFonts w:asciiTheme="minorBidi" w:hAnsiTheme="minorBidi" w:hint="cs"/>
          <w:color w:val="000000"/>
          <w:rtl/>
        </w:rPr>
        <w:t>.</w:t>
      </w:r>
      <w:r w:rsidRPr="00576D5C">
        <w:rPr>
          <w:rFonts w:asciiTheme="minorBidi" w:hAnsiTheme="minorBidi"/>
          <w:color w:val="000000"/>
          <w:rtl/>
        </w:rPr>
        <w:t xml:space="preserve"> על כן אתם צריכים למנותם לדעת אנשי העיר ואע</w:t>
      </w:r>
      <w:r w:rsidR="00882FFE" w:rsidRPr="00576D5C">
        <w:rPr>
          <w:rFonts w:asciiTheme="minorBidi" w:hAnsiTheme="minorBidi"/>
          <w:color w:val="000000"/>
          <w:rtl/>
        </w:rPr>
        <w:t>"</w:t>
      </w:r>
      <w:r w:rsidRPr="00576D5C">
        <w:rPr>
          <w:rFonts w:asciiTheme="minorBidi" w:hAnsiTheme="minorBidi"/>
          <w:color w:val="000000"/>
          <w:rtl/>
        </w:rPr>
        <w:t xml:space="preserve">פ שאינם בקיאים שהכל לפי צורך השעה וכל מעשיך יהיו לשם שמים. ואם קבלום עליהם אנשי העיר </w:t>
      </w:r>
      <w:r w:rsidR="00020A0B">
        <w:rPr>
          <w:rFonts w:asciiTheme="minorBidi" w:hAnsiTheme="minorBidi"/>
          <w:color w:val="000000"/>
          <w:rtl/>
        </w:rPr>
        <w:t>–</w:t>
      </w:r>
      <w:r w:rsidR="00020A0B">
        <w:rPr>
          <w:rFonts w:asciiTheme="minorBidi" w:hAnsiTheme="minorBidi" w:hint="cs"/>
          <w:color w:val="000000"/>
          <w:rtl/>
        </w:rPr>
        <w:t xml:space="preserve"> </w:t>
      </w:r>
      <w:r w:rsidRPr="00576D5C">
        <w:rPr>
          <w:rFonts w:asciiTheme="minorBidi" w:hAnsiTheme="minorBidi"/>
          <w:color w:val="000000"/>
          <w:rtl/>
        </w:rPr>
        <w:t>מותר</w:t>
      </w:r>
      <w:r w:rsidR="00020A0B">
        <w:rPr>
          <w:rFonts w:asciiTheme="minorBidi" w:hAnsiTheme="minorBidi" w:hint="cs"/>
          <w:color w:val="000000"/>
          <w:rtl/>
        </w:rPr>
        <w:t>,</w:t>
      </w:r>
      <w:r w:rsidRPr="00576D5C">
        <w:rPr>
          <w:rFonts w:asciiTheme="minorBidi" w:hAnsiTheme="minorBidi"/>
          <w:color w:val="000000"/>
          <w:rtl/>
        </w:rPr>
        <w:t xml:space="preserve"> ואין אחד מהם יכול לפסלם</w:t>
      </w:r>
      <w:r w:rsidR="00882FFE" w:rsidRPr="00576D5C">
        <w:rPr>
          <w:rFonts w:asciiTheme="minorBidi" w:hAnsiTheme="minorBidi"/>
          <w:color w:val="000000"/>
          <w:rtl/>
        </w:rPr>
        <w:t xml:space="preserve">, </w:t>
      </w:r>
      <w:r w:rsidRPr="00576D5C">
        <w:rPr>
          <w:rFonts w:asciiTheme="minorBidi" w:hAnsiTheme="minorBidi"/>
          <w:color w:val="000000"/>
          <w:rtl/>
        </w:rPr>
        <w:t>דהיינו ערכאות שבסוריא דאיתא בר</w:t>
      </w:r>
      <w:r w:rsidR="00882FFE" w:rsidRPr="00576D5C">
        <w:rPr>
          <w:rFonts w:asciiTheme="minorBidi" w:hAnsiTheme="minorBidi"/>
          <w:color w:val="000000"/>
          <w:rtl/>
        </w:rPr>
        <w:t>"</w:t>
      </w:r>
      <w:r w:rsidRPr="00576D5C">
        <w:rPr>
          <w:rFonts w:asciiTheme="minorBidi" w:hAnsiTheme="minorBidi"/>
          <w:color w:val="000000"/>
          <w:rtl/>
        </w:rPr>
        <w:t>פ זה בורר</w:t>
      </w:r>
      <w:r w:rsidR="00882FFE" w:rsidRPr="00576D5C">
        <w:rPr>
          <w:rStyle w:val="ab"/>
          <w:rFonts w:asciiTheme="minorBidi" w:hAnsiTheme="minorBidi"/>
          <w:color w:val="000000"/>
          <w:rtl/>
        </w:rPr>
        <w:footnoteReference w:id="413"/>
      </w:r>
      <w:r w:rsidRPr="00576D5C">
        <w:rPr>
          <w:rFonts w:asciiTheme="minorBidi" w:hAnsiTheme="minorBidi"/>
          <w:color w:val="000000"/>
          <w:rtl/>
        </w:rPr>
        <w:t xml:space="preserve"> </w:t>
      </w:r>
      <w:r w:rsidRPr="00576D5C">
        <w:rPr>
          <w:rFonts w:asciiTheme="minorBidi" w:hAnsiTheme="minorBidi"/>
          <w:color w:val="000000"/>
          <w:sz w:val="16"/>
          <w:szCs w:val="16"/>
          <w:rtl/>
        </w:rPr>
        <w:t>(כג.)</w:t>
      </w:r>
      <w:r w:rsidR="00882FFE" w:rsidRPr="00576D5C">
        <w:rPr>
          <w:rFonts w:asciiTheme="minorBidi" w:hAnsiTheme="minorBidi"/>
          <w:color w:val="000000"/>
          <w:rtl/>
        </w:rPr>
        <w:t>,</w:t>
      </w:r>
      <w:r w:rsidRPr="00576D5C">
        <w:rPr>
          <w:rFonts w:asciiTheme="minorBidi" w:hAnsiTheme="minorBidi"/>
          <w:color w:val="000000"/>
          <w:rtl/>
        </w:rPr>
        <w:t xml:space="preserve"> ומ</w:t>
      </w:r>
      <w:r w:rsidR="00882FFE" w:rsidRPr="00576D5C">
        <w:rPr>
          <w:rFonts w:asciiTheme="minorBidi" w:hAnsiTheme="minorBidi"/>
          <w:color w:val="000000"/>
          <w:rtl/>
        </w:rPr>
        <w:t>"</w:t>
      </w:r>
      <w:r w:rsidRPr="00576D5C">
        <w:rPr>
          <w:rFonts w:asciiTheme="minorBidi" w:hAnsiTheme="minorBidi"/>
          <w:color w:val="000000"/>
          <w:rtl/>
        </w:rPr>
        <w:t xml:space="preserve">מ צריך לבדוק אחר אנשים כשרים יראי אלהים שונאי בצע ואנשים מביני מדע. </w:t>
      </w:r>
      <w:r w:rsidR="00E74AA2" w:rsidRPr="00E74AA2">
        <w:rPr>
          <w:rFonts w:asciiTheme="minorBidi" w:hAnsiTheme="minorBidi" w:hint="cs"/>
          <w:color w:val="00B0F0"/>
          <w:rtl/>
        </w:rPr>
        <w:t>(וכ"פ הרמ"א)</w:t>
      </w:r>
    </w:p>
    <w:p w14:paraId="2134F30C" w14:textId="77777777" w:rsidR="00882FFE" w:rsidRPr="00576D5C" w:rsidRDefault="00882FFE" w:rsidP="00576D5C">
      <w:pPr>
        <w:rPr>
          <w:rFonts w:asciiTheme="minorBidi" w:hAnsiTheme="minorBidi"/>
          <w:color w:val="000000"/>
          <w:rtl/>
        </w:rPr>
      </w:pPr>
      <w:bookmarkStart w:id="49" w:name="_Hlk18424734"/>
      <w:r w:rsidRPr="00576D5C">
        <w:rPr>
          <w:rFonts w:asciiTheme="minorBidi" w:hAnsiTheme="minorBidi"/>
          <w:b/>
          <w:bCs/>
          <w:color w:val="000000"/>
          <w:rtl/>
        </w:rPr>
        <w:t xml:space="preserve">שבת </w:t>
      </w:r>
      <w:r w:rsidRPr="00576D5C">
        <w:rPr>
          <w:rFonts w:asciiTheme="minorBidi" w:hAnsiTheme="minorBidi"/>
          <w:b/>
          <w:bCs/>
          <w:color w:val="000000"/>
          <w:sz w:val="16"/>
          <w:szCs w:val="16"/>
          <w:rtl/>
        </w:rPr>
        <w:t>(</w:t>
      </w:r>
      <w:r w:rsidR="0067033B" w:rsidRPr="00576D5C">
        <w:rPr>
          <w:rFonts w:asciiTheme="minorBidi" w:hAnsiTheme="minorBidi"/>
          <w:b/>
          <w:bCs/>
          <w:color w:val="000000"/>
          <w:sz w:val="16"/>
          <w:szCs w:val="16"/>
          <w:rtl/>
        </w:rPr>
        <w:t>פ</w:t>
      </w:r>
      <w:r w:rsidRPr="00576D5C">
        <w:rPr>
          <w:rFonts w:asciiTheme="minorBidi" w:hAnsiTheme="minorBidi"/>
          <w:b/>
          <w:bCs/>
          <w:color w:val="000000"/>
          <w:sz w:val="16"/>
          <w:szCs w:val="16"/>
          <w:rtl/>
        </w:rPr>
        <w:t>'</w:t>
      </w:r>
      <w:r w:rsidR="0067033B" w:rsidRPr="00576D5C">
        <w:rPr>
          <w:rFonts w:asciiTheme="minorBidi" w:hAnsiTheme="minorBidi"/>
          <w:b/>
          <w:bCs/>
          <w:color w:val="000000"/>
          <w:sz w:val="16"/>
          <w:szCs w:val="16"/>
          <w:rtl/>
        </w:rPr>
        <w:t xml:space="preserve"> תולין</w:t>
      </w:r>
      <w:r w:rsidRPr="00576D5C">
        <w:rPr>
          <w:rFonts w:asciiTheme="minorBidi" w:hAnsiTheme="minorBidi"/>
          <w:b/>
          <w:bCs/>
          <w:color w:val="000000"/>
          <w:sz w:val="16"/>
          <w:szCs w:val="16"/>
          <w:rtl/>
        </w:rPr>
        <w:t>)</w:t>
      </w:r>
      <w:r w:rsidRPr="00576D5C">
        <w:rPr>
          <w:rFonts w:asciiTheme="minorBidi" w:hAnsiTheme="minorBidi"/>
          <w:b/>
          <w:bCs/>
          <w:color w:val="000000"/>
          <w:rtl/>
        </w:rPr>
        <w:t xml:space="preserve"> </w:t>
      </w:r>
      <w:r w:rsidR="0067033B" w:rsidRPr="00576D5C">
        <w:rPr>
          <w:rFonts w:asciiTheme="minorBidi" w:hAnsiTheme="minorBidi"/>
          <w:b/>
          <w:bCs/>
          <w:color w:val="000000"/>
          <w:rtl/>
        </w:rPr>
        <w:t>קלט</w:t>
      </w:r>
      <w:r w:rsidR="005972DF">
        <w:rPr>
          <w:rStyle w:val="ab"/>
          <w:rFonts w:asciiTheme="minorBidi" w:hAnsiTheme="minorBidi"/>
          <w:b/>
          <w:bCs/>
          <w:color w:val="000000"/>
          <w:rtl/>
        </w:rPr>
        <w:footnoteReference w:id="414"/>
      </w:r>
      <w:r w:rsidRPr="00576D5C">
        <w:rPr>
          <w:rFonts w:asciiTheme="minorBidi" w:hAnsiTheme="minorBidi"/>
          <w:b/>
          <w:bCs/>
          <w:color w:val="000000"/>
          <w:rtl/>
        </w:rPr>
        <w:t xml:space="preserve"> ע"א:</w:t>
      </w:r>
      <w:r w:rsidRPr="00576D5C">
        <w:rPr>
          <w:rFonts w:asciiTheme="minorBidi" w:hAnsiTheme="minorBidi"/>
          <w:rtl/>
        </w:rPr>
        <w:t xml:space="preserve"> </w:t>
      </w:r>
      <w:r w:rsidRPr="00576D5C">
        <w:rPr>
          <w:rFonts w:asciiTheme="minorBidi" w:hAnsiTheme="minorBidi"/>
          <w:color w:val="000000"/>
          <w:rtl/>
        </w:rPr>
        <w:t>מאי דכתיב שבר ה' מטה רשעים שבט משלים?</w:t>
      </w:r>
      <w:r w:rsidR="00D96C6E" w:rsidRPr="00576D5C">
        <w:rPr>
          <w:rFonts w:asciiTheme="minorBidi" w:hAnsiTheme="minorBidi"/>
          <w:color w:val="000000"/>
          <w:rtl/>
        </w:rPr>
        <w:t xml:space="preserve">... </w:t>
      </w:r>
      <w:r w:rsidRPr="00576D5C">
        <w:rPr>
          <w:rFonts w:asciiTheme="minorBidi" w:hAnsiTheme="minorBidi"/>
          <w:color w:val="000000"/>
          <w:u w:val="single"/>
          <w:rtl/>
        </w:rPr>
        <w:t>מר זוטרא אמר</w:t>
      </w:r>
      <w:r w:rsidRPr="00576D5C">
        <w:rPr>
          <w:rFonts w:asciiTheme="minorBidi" w:hAnsiTheme="minorBidi"/>
          <w:color w:val="000000"/>
          <w:rtl/>
        </w:rPr>
        <w:t>: אלו תלמידי חכמים שמלמדים הלכות ציבור לדייני בור.</w:t>
      </w:r>
      <w:r w:rsidR="00D96C6E" w:rsidRPr="00576D5C">
        <w:rPr>
          <w:rFonts w:asciiTheme="minorBidi" w:hAnsiTheme="minorBidi"/>
          <w:rtl/>
        </w:rPr>
        <w:t xml:space="preserve"> </w:t>
      </w:r>
      <w:bookmarkEnd w:id="49"/>
      <w:r w:rsidR="00D96C6E" w:rsidRPr="00576D5C">
        <w:rPr>
          <w:rFonts w:asciiTheme="minorBidi" w:hAnsiTheme="minorBidi"/>
          <w:color w:val="000000"/>
          <w:sz w:val="16"/>
          <w:szCs w:val="16"/>
          <w:rtl/>
        </w:rPr>
        <w:t>(ופירש רש</w:t>
      </w:r>
      <w:r w:rsidR="00D96C6E" w:rsidRPr="00E74AA2">
        <w:rPr>
          <w:rFonts w:asciiTheme="minorBidi" w:hAnsiTheme="minorBidi"/>
          <w:sz w:val="16"/>
          <w:szCs w:val="16"/>
          <w:rtl/>
        </w:rPr>
        <w:t>"י ש</w:t>
      </w:r>
      <w:r w:rsidR="006B60CA" w:rsidRPr="00E74AA2">
        <w:rPr>
          <w:rFonts w:asciiTheme="minorBidi" w:hAnsiTheme="minorBidi" w:hint="cs"/>
          <w:sz w:val="16"/>
          <w:szCs w:val="16"/>
          <w:rtl/>
        </w:rPr>
        <w:t>ב</w:t>
      </w:r>
      <w:r w:rsidR="00D96C6E" w:rsidRPr="00E74AA2">
        <w:rPr>
          <w:rFonts w:asciiTheme="minorBidi" w:hAnsiTheme="minorBidi"/>
          <w:sz w:val="16"/>
          <w:szCs w:val="16"/>
          <w:rtl/>
        </w:rPr>
        <w:t>הבטחת</w:t>
      </w:r>
      <w:r w:rsidR="00D96C6E" w:rsidRPr="00576D5C">
        <w:rPr>
          <w:rFonts w:asciiTheme="minorBidi" w:hAnsiTheme="minorBidi"/>
          <w:color w:val="000000"/>
          <w:sz w:val="16"/>
          <w:szCs w:val="16"/>
          <w:rtl/>
        </w:rPr>
        <w:t xml:space="preserve"> אותם תלמידי חכמים מעמידין דייני בור לדון את כל הבא והרבה דינים שאין נמלכין בהם </w:t>
      </w:r>
      <w:r w:rsidR="00D96C6E" w:rsidRPr="00576D5C">
        <w:rPr>
          <w:rFonts w:asciiTheme="minorBidi" w:hAnsiTheme="minorBidi"/>
          <w:color w:val="000000"/>
          <w:sz w:val="16"/>
          <w:szCs w:val="16"/>
          <w:rtl/>
        </w:rPr>
        <w:lastRenderedPageBreak/>
        <w:t xml:space="preserve">ומטין אותם, ב"י. וכתב הדרכ"מ (אות א) ע"פ דברי רש"י והב"י שאסור להעמיד דיין בור על סמך שישאל כל פעם לתלמיד חכם דלפעמים לא ישאלנו ויטה את הדין. </w:t>
      </w:r>
      <w:r w:rsidR="00D96C6E" w:rsidRPr="00576D5C">
        <w:rPr>
          <w:rFonts w:asciiTheme="minorBidi" w:hAnsiTheme="minorBidi"/>
          <w:color w:val="00B0F0"/>
          <w:sz w:val="16"/>
          <w:szCs w:val="16"/>
          <w:rtl/>
        </w:rPr>
        <w:t>וכ"פ בהגה</w:t>
      </w:r>
      <w:r w:rsidR="00D96C6E" w:rsidRPr="00576D5C">
        <w:rPr>
          <w:rFonts w:asciiTheme="minorBidi" w:hAnsiTheme="minorBidi"/>
          <w:color w:val="000000"/>
          <w:sz w:val="16"/>
          <w:szCs w:val="16"/>
          <w:rtl/>
        </w:rPr>
        <w:t>)</w:t>
      </w:r>
    </w:p>
    <w:p w14:paraId="075CDE5E" w14:textId="77777777" w:rsidR="00E137BC" w:rsidRPr="00576D5C" w:rsidRDefault="00E137BC" w:rsidP="00576D5C">
      <w:pPr>
        <w:rPr>
          <w:rFonts w:asciiTheme="minorBidi" w:hAnsiTheme="minorBidi"/>
          <w:b/>
          <w:bCs/>
          <w:color w:val="000000"/>
          <w:sz w:val="28"/>
          <w:szCs w:val="28"/>
          <w:u w:val="single"/>
          <w:rtl/>
        </w:rPr>
      </w:pPr>
      <w:r w:rsidRPr="00576D5C">
        <w:rPr>
          <w:rFonts w:asciiTheme="minorBidi" w:hAnsiTheme="minorBidi"/>
          <w:b/>
          <w:bCs/>
          <w:color w:val="000000"/>
          <w:sz w:val="28"/>
          <w:szCs w:val="28"/>
          <w:u w:val="single"/>
          <w:rtl/>
        </w:rPr>
        <w:t>שו"ע:</w:t>
      </w:r>
    </w:p>
    <w:p w14:paraId="10CB68CF" w14:textId="77777777" w:rsidR="00E137BC" w:rsidRPr="00576D5C" w:rsidRDefault="00E137BC" w:rsidP="00576D5C">
      <w:pPr>
        <w:rPr>
          <w:rFonts w:asciiTheme="minorBidi" w:hAnsiTheme="minorBidi"/>
          <w:rtl/>
        </w:rPr>
      </w:pPr>
      <w:r w:rsidRPr="00576D5C">
        <w:rPr>
          <w:rFonts w:asciiTheme="minorBidi" w:hAnsiTheme="minorBidi"/>
          <w:rtl/>
        </w:rPr>
        <w:t>כל המעמיד דיין שאינו הגון ואינו</w:t>
      </w:r>
      <w:r w:rsidR="00D96C6E" w:rsidRPr="00576D5C">
        <w:rPr>
          <w:rStyle w:val="ab"/>
          <w:rFonts w:asciiTheme="minorBidi" w:hAnsiTheme="minorBidi"/>
          <w:rtl/>
        </w:rPr>
        <w:footnoteReference w:id="415"/>
      </w:r>
      <w:r w:rsidRPr="00576D5C">
        <w:rPr>
          <w:rFonts w:asciiTheme="minorBidi" w:hAnsiTheme="minorBidi"/>
          <w:rtl/>
        </w:rPr>
        <w:t xml:space="preserve"> חכם בחכמת התורה ואינו ראוי להיות דיין</w:t>
      </w:r>
      <w:r w:rsidR="00D96C6E" w:rsidRPr="00576D5C">
        <w:rPr>
          <w:rFonts w:asciiTheme="minorBidi" w:hAnsiTheme="minorBidi"/>
          <w:rtl/>
        </w:rPr>
        <w:t>,</w:t>
      </w:r>
      <w:r w:rsidRPr="00576D5C">
        <w:rPr>
          <w:rFonts w:asciiTheme="minorBidi" w:hAnsiTheme="minorBidi"/>
          <w:rtl/>
        </w:rPr>
        <w:t xml:space="preserve"> אף על פי שהוא כולו מחמדים ויש בו טובות אחרות, הרי זה שהעמידו עובר בלא תעשה. </w:t>
      </w:r>
      <w:r w:rsidRPr="00576D5C">
        <w:rPr>
          <w:rFonts w:asciiTheme="minorBidi" w:hAnsiTheme="minorBidi"/>
          <w:sz w:val="18"/>
          <w:szCs w:val="18"/>
          <w:rtl/>
        </w:rPr>
        <w:t>הגה: ואסור להעמיד ע</w:t>
      </w:r>
      <w:r w:rsidR="00D96C6E" w:rsidRPr="00576D5C">
        <w:rPr>
          <w:rFonts w:asciiTheme="minorBidi" w:hAnsiTheme="minorBidi"/>
          <w:sz w:val="18"/>
          <w:szCs w:val="18"/>
          <w:rtl/>
        </w:rPr>
        <w:t xml:space="preserve">ם </w:t>
      </w:r>
      <w:r w:rsidRPr="00576D5C">
        <w:rPr>
          <w:rFonts w:asciiTheme="minorBidi" w:hAnsiTheme="minorBidi"/>
          <w:sz w:val="18"/>
          <w:szCs w:val="18"/>
          <w:rtl/>
        </w:rPr>
        <w:t>ה</w:t>
      </w:r>
      <w:r w:rsidR="00D96C6E" w:rsidRPr="00576D5C">
        <w:rPr>
          <w:rFonts w:asciiTheme="minorBidi" w:hAnsiTheme="minorBidi"/>
          <w:sz w:val="18"/>
          <w:szCs w:val="18"/>
          <w:rtl/>
        </w:rPr>
        <w:t>ארץ</w:t>
      </w:r>
      <w:r w:rsidRPr="00576D5C">
        <w:rPr>
          <w:rFonts w:asciiTheme="minorBidi" w:hAnsiTheme="minorBidi"/>
          <w:sz w:val="18"/>
          <w:szCs w:val="18"/>
          <w:rtl/>
        </w:rPr>
        <w:t xml:space="preserve"> לדיין על סמך שישאל כל פעם לחכם (ב"י). ועיירות שאין בהם חכמים הראוים להיות דיינים, או שכולן עמי הארץ, וצריכים להם דיינים שישפטו ביניהם שלא ילכו לפני ערכאות של </w:t>
      </w:r>
      <w:r w:rsidR="00D96C6E" w:rsidRPr="00576D5C">
        <w:rPr>
          <w:rFonts w:asciiTheme="minorBidi" w:hAnsiTheme="minorBidi"/>
          <w:sz w:val="18"/>
          <w:szCs w:val="18"/>
          <w:rtl/>
        </w:rPr>
        <w:t>גו</w:t>
      </w:r>
      <w:r w:rsidRPr="00576D5C">
        <w:rPr>
          <w:rFonts w:asciiTheme="minorBidi" w:hAnsiTheme="minorBidi"/>
          <w:sz w:val="18"/>
          <w:szCs w:val="18"/>
          <w:rtl/>
        </w:rPr>
        <w:t xml:space="preserve">ים, ממנים הטובים והחכמים שבהם </w:t>
      </w:r>
      <w:r w:rsidRPr="00576D5C">
        <w:rPr>
          <w:rFonts w:asciiTheme="minorBidi" w:hAnsiTheme="minorBidi"/>
          <w:sz w:val="16"/>
          <w:szCs w:val="16"/>
          <w:rtl/>
        </w:rPr>
        <w:t>(</w:t>
      </w:r>
      <w:r w:rsidR="00D96C6E" w:rsidRPr="00576D5C">
        <w:rPr>
          <w:rStyle w:val="ab"/>
          <w:rFonts w:asciiTheme="minorBidi" w:hAnsiTheme="minorBidi"/>
          <w:sz w:val="16"/>
          <w:szCs w:val="16"/>
          <w:rtl/>
        </w:rPr>
        <w:footnoteReference w:id="416"/>
      </w:r>
      <w:r w:rsidRPr="00576D5C">
        <w:rPr>
          <w:rFonts w:asciiTheme="minorBidi" w:hAnsiTheme="minorBidi"/>
          <w:sz w:val="16"/>
          <w:szCs w:val="16"/>
          <w:rtl/>
        </w:rPr>
        <w:t>לדעת אנשי העיר)</w:t>
      </w:r>
      <w:r w:rsidRPr="00576D5C">
        <w:rPr>
          <w:rFonts w:asciiTheme="minorBidi" w:hAnsiTheme="minorBidi"/>
          <w:sz w:val="18"/>
          <w:szCs w:val="18"/>
          <w:rtl/>
        </w:rPr>
        <w:t>, אע</w:t>
      </w:r>
      <w:r w:rsidR="00D96C6E" w:rsidRPr="00576D5C">
        <w:rPr>
          <w:rFonts w:asciiTheme="minorBidi" w:hAnsiTheme="minorBidi"/>
          <w:sz w:val="18"/>
          <w:szCs w:val="18"/>
          <w:rtl/>
        </w:rPr>
        <w:t>"</w:t>
      </w:r>
      <w:r w:rsidRPr="00576D5C">
        <w:rPr>
          <w:rFonts w:asciiTheme="minorBidi" w:hAnsiTheme="minorBidi"/>
          <w:sz w:val="18"/>
          <w:szCs w:val="18"/>
          <w:rtl/>
        </w:rPr>
        <w:t>פ שאינם ראויים לדיינים, וכיון שקבלו עליהם בני העיר אין אחר יכול לפוסלן</w:t>
      </w:r>
      <w:r w:rsidR="00D96C6E" w:rsidRPr="00576D5C">
        <w:rPr>
          <w:rFonts w:asciiTheme="minorBidi" w:hAnsiTheme="minorBidi"/>
          <w:sz w:val="18"/>
          <w:szCs w:val="18"/>
          <w:rtl/>
        </w:rPr>
        <w:t>,</w:t>
      </w:r>
      <w:r w:rsidRPr="00576D5C">
        <w:rPr>
          <w:rFonts w:asciiTheme="minorBidi" w:hAnsiTheme="minorBidi"/>
          <w:sz w:val="18"/>
          <w:szCs w:val="18"/>
          <w:rtl/>
        </w:rPr>
        <w:t xml:space="preserve"> וכן כל צבור יכולין לקבל עליהם בית דין שאינם ראוים מן התורה (ב"י בשם </w:t>
      </w:r>
      <w:r w:rsidR="00D96C6E" w:rsidRPr="00576D5C">
        <w:rPr>
          <w:rFonts w:asciiTheme="minorBidi" w:hAnsiTheme="minorBidi"/>
          <w:sz w:val="18"/>
          <w:szCs w:val="18"/>
          <w:rtl/>
        </w:rPr>
        <w:t>ה</w:t>
      </w:r>
      <w:r w:rsidRPr="00576D5C">
        <w:rPr>
          <w:rFonts w:asciiTheme="minorBidi" w:hAnsiTheme="minorBidi"/>
          <w:sz w:val="18"/>
          <w:szCs w:val="18"/>
          <w:rtl/>
        </w:rPr>
        <w:t xml:space="preserve">רשב"א). </w:t>
      </w:r>
      <w:r w:rsidRPr="00576D5C">
        <w:rPr>
          <w:rFonts w:asciiTheme="minorBidi" w:hAnsiTheme="minorBidi"/>
          <w:rtl/>
        </w:rPr>
        <w:t>וכל דיין המתמנה בשביל כסף או זהב אסור לעמוד לפניו</w:t>
      </w:r>
      <w:r w:rsidR="00D96C6E" w:rsidRPr="00576D5C">
        <w:rPr>
          <w:rFonts w:asciiTheme="minorBidi" w:hAnsiTheme="minorBidi"/>
          <w:rtl/>
        </w:rPr>
        <w:t>,</w:t>
      </w:r>
      <w:r w:rsidRPr="00576D5C">
        <w:rPr>
          <w:rFonts w:asciiTheme="minorBidi" w:hAnsiTheme="minorBidi"/>
          <w:rtl/>
        </w:rPr>
        <w:t xml:space="preserve"> ולא עוד אלא שמצוה להקל ולזלזל בו</w:t>
      </w:r>
      <w:r w:rsidR="004F2BF6" w:rsidRPr="00576D5C">
        <w:rPr>
          <w:rStyle w:val="ab"/>
          <w:rFonts w:asciiTheme="minorBidi" w:hAnsiTheme="minorBidi"/>
          <w:rtl/>
        </w:rPr>
        <w:footnoteReference w:id="417"/>
      </w:r>
      <w:r w:rsidR="00D96C6E" w:rsidRPr="00576D5C">
        <w:rPr>
          <w:rFonts w:asciiTheme="minorBidi" w:hAnsiTheme="minorBidi"/>
          <w:rtl/>
        </w:rPr>
        <w:t>.</w:t>
      </w:r>
      <w:r w:rsidRPr="00576D5C">
        <w:rPr>
          <w:rFonts w:asciiTheme="minorBidi" w:hAnsiTheme="minorBidi"/>
          <w:rtl/>
        </w:rPr>
        <w:t xml:space="preserve"> </w:t>
      </w:r>
      <w:r w:rsidRPr="00576D5C">
        <w:rPr>
          <w:rFonts w:asciiTheme="minorBidi" w:hAnsiTheme="minorBidi"/>
          <w:sz w:val="18"/>
          <w:szCs w:val="18"/>
          <w:rtl/>
        </w:rPr>
        <w:t>(וע"ל ס</w:t>
      </w:r>
      <w:r w:rsidR="00D96C6E" w:rsidRPr="00576D5C">
        <w:rPr>
          <w:rFonts w:asciiTheme="minorBidi" w:hAnsiTheme="minorBidi"/>
          <w:sz w:val="18"/>
          <w:szCs w:val="18"/>
          <w:rtl/>
        </w:rPr>
        <w:t>"</w:t>
      </w:r>
      <w:r w:rsidRPr="00576D5C">
        <w:rPr>
          <w:rFonts w:asciiTheme="minorBidi" w:hAnsiTheme="minorBidi"/>
          <w:sz w:val="18"/>
          <w:szCs w:val="18"/>
          <w:rtl/>
        </w:rPr>
        <w:t>ס ג).</w:t>
      </w:r>
      <w:r w:rsidRPr="00576D5C">
        <w:rPr>
          <w:rFonts w:asciiTheme="minorBidi" w:hAnsiTheme="minorBidi"/>
          <w:rtl/>
        </w:rPr>
        <w:t xml:space="preserve"> </w:t>
      </w:r>
    </w:p>
    <w:p w14:paraId="66808A90" w14:textId="77777777" w:rsidR="0067033B" w:rsidRPr="00576D5C" w:rsidRDefault="0067033B" w:rsidP="00576D5C">
      <w:pPr>
        <w:rPr>
          <w:rFonts w:asciiTheme="minorBidi" w:hAnsiTheme="minorBidi"/>
          <w:rtl/>
        </w:rPr>
      </w:pPr>
    </w:p>
    <w:p w14:paraId="6C50AD72" w14:textId="77777777" w:rsidR="0067033B" w:rsidRPr="00576D5C" w:rsidRDefault="00E137BC" w:rsidP="00E842BA">
      <w:pPr>
        <w:pStyle w:val="2"/>
        <w:rPr>
          <w:rtl/>
        </w:rPr>
      </w:pPr>
      <w:bookmarkStart w:id="50" w:name="_Toc24883549"/>
      <w:r w:rsidRPr="00576D5C">
        <w:rPr>
          <w:rtl/>
        </w:rPr>
        <w:t>סעיף ב</w:t>
      </w:r>
      <w:r w:rsidR="0067033B" w:rsidRPr="00576D5C">
        <w:rPr>
          <w:rtl/>
        </w:rPr>
        <w:t>:</w:t>
      </w:r>
      <w:r w:rsidR="00D96C6E" w:rsidRPr="00576D5C">
        <w:rPr>
          <w:rtl/>
        </w:rPr>
        <w:t xml:space="preserve"> ישיבת הדיינים בבית הדין</w:t>
      </w:r>
      <w:r w:rsidR="009958C3" w:rsidRPr="00576D5C">
        <w:rPr>
          <w:rtl/>
        </w:rPr>
        <w:t>, שכר הדיין ועונשו</w:t>
      </w:r>
      <w:r w:rsidR="00D96C6E" w:rsidRPr="00576D5C">
        <w:rPr>
          <w:rtl/>
        </w:rPr>
        <w:t>.</w:t>
      </w:r>
      <w:bookmarkEnd w:id="50"/>
    </w:p>
    <w:p w14:paraId="6E1AE745" w14:textId="77777777" w:rsidR="004F2BF6" w:rsidRPr="00576D5C" w:rsidRDefault="004F2BF6" w:rsidP="00576D5C">
      <w:pPr>
        <w:rPr>
          <w:rFonts w:asciiTheme="minorBidi" w:hAnsiTheme="minorBidi"/>
          <w:color w:val="000000"/>
          <w:rtl/>
        </w:rPr>
      </w:pPr>
      <w:r w:rsidRPr="00576D5C">
        <w:rPr>
          <w:rFonts w:asciiTheme="minorBidi" w:hAnsiTheme="minorBidi"/>
          <w:b/>
          <w:bCs/>
          <w:color w:val="000000"/>
          <w:rtl/>
        </w:rPr>
        <w:t xml:space="preserve">סנהדרין </w:t>
      </w:r>
      <w:r w:rsidRPr="00576D5C">
        <w:rPr>
          <w:rFonts w:asciiTheme="minorBidi" w:hAnsiTheme="minorBidi"/>
          <w:b/>
          <w:bCs/>
          <w:color w:val="000000"/>
          <w:sz w:val="16"/>
          <w:szCs w:val="16"/>
          <w:rtl/>
        </w:rPr>
        <w:t xml:space="preserve">(פ"ק) </w:t>
      </w:r>
      <w:r w:rsidR="00B26450" w:rsidRPr="00576D5C">
        <w:rPr>
          <w:rFonts w:asciiTheme="minorBidi" w:hAnsiTheme="minorBidi"/>
          <w:b/>
          <w:bCs/>
          <w:color w:val="000000"/>
          <w:rtl/>
        </w:rPr>
        <w:t>ו</w:t>
      </w:r>
      <w:r w:rsidR="007025DF">
        <w:rPr>
          <w:rStyle w:val="ab"/>
          <w:rFonts w:asciiTheme="minorBidi" w:hAnsiTheme="minorBidi"/>
          <w:b/>
          <w:bCs/>
          <w:color w:val="000000"/>
          <w:rtl/>
        </w:rPr>
        <w:footnoteReference w:id="418"/>
      </w:r>
      <w:r w:rsidRPr="00576D5C">
        <w:rPr>
          <w:rFonts w:asciiTheme="minorBidi" w:hAnsiTheme="minorBidi"/>
          <w:b/>
          <w:bCs/>
          <w:color w:val="000000"/>
          <w:rtl/>
        </w:rPr>
        <w:t xml:space="preserve"> ע"</w:t>
      </w:r>
      <w:r w:rsidR="00B26450" w:rsidRPr="00576D5C">
        <w:rPr>
          <w:rFonts w:asciiTheme="minorBidi" w:hAnsiTheme="minorBidi"/>
          <w:b/>
          <w:bCs/>
          <w:color w:val="000000"/>
          <w:rtl/>
        </w:rPr>
        <w:t>ב</w:t>
      </w:r>
      <w:r w:rsidRPr="00576D5C">
        <w:rPr>
          <w:rFonts w:asciiTheme="minorBidi" w:hAnsiTheme="minorBidi"/>
          <w:b/>
          <w:bCs/>
          <w:color w:val="000000"/>
          <w:rtl/>
        </w:rPr>
        <w:t xml:space="preserve">: </w:t>
      </w:r>
      <w:r w:rsidR="00663811">
        <w:rPr>
          <w:rFonts w:asciiTheme="minorBidi" w:hAnsiTheme="minorBidi" w:hint="cs"/>
          <w:color w:val="000000"/>
          <w:u w:val="single"/>
          <w:rtl/>
        </w:rPr>
        <w:t>רבי</w:t>
      </w:r>
      <w:r w:rsidR="00663811" w:rsidRPr="00663811">
        <w:rPr>
          <w:rFonts w:asciiTheme="minorBidi" w:hAnsiTheme="minorBidi" w:hint="cs"/>
          <w:color w:val="000000"/>
          <w:u w:val="single"/>
          <w:rtl/>
        </w:rPr>
        <w:t xml:space="preserve"> חנין</w:t>
      </w:r>
      <w:r w:rsidR="00663811">
        <w:rPr>
          <w:rFonts w:asciiTheme="minorBidi" w:hAnsiTheme="minorBidi" w:hint="cs"/>
          <w:color w:val="000000"/>
          <w:u w:val="single"/>
          <w:rtl/>
        </w:rPr>
        <w:t xml:space="preserve"> אומר</w:t>
      </w:r>
      <w:r w:rsidR="00663811">
        <w:rPr>
          <w:rFonts w:asciiTheme="minorBidi" w:hAnsiTheme="minorBidi" w:hint="cs"/>
          <w:color w:val="000000"/>
          <w:rtl/>
        </w:rPr>
        <w:t xml:space="preserve">:... </w:t>
      </w:r>
      <w:r w:rsidR="00B26450" w:rsidRPr="00663811">
        <w:rPr>
          <w:rFonts w:asciiTheme="minorBidi" w:hAnsiTheme="minorBidi"/>
          <w:color w:val="000000"/>
          <w:rtl/>
        </w:rPr>
        <w:t>ויהו</w:t>
      </w:r>
      <w:r w:rsidR="00B26450" w:rsidRPr="00576D5C">
        <w:rPr>
          <w:rFonts w:asciiTheme="minorBidi" w:hAnsiTheme="minorBidi"/>
          <w:color w:val="000000"/>
          <w:rtl/>
        </w:rPr>
        <w:t xml:space="preserve"> הדיינין יודעין את מי הן דנין, ולפני מי הן דנין, ומי עתיד ליפרע מהן, שנאמר אלהים נצב בעדת אל. וכן ביהושפט הוא אומר ויאמר אל השפטים ראו מה אתם עשים כי לא לאדם תשפטו כי לה'</w:t>
      </w:r>
      <w:r w:rsidR="00663811">
        <w:rPr>
          <w:rFonts w:asciiTheme="minorBidi" w:hAnsiTheme="minorBidi" w:hint="cs"/>
          <w:color w:val="000000"/>
          <w:rtl/>
        </w:rPr>
        <w:t>.</w:t>
      </w:r>
      <w:r w:rsidR="00B26450" w:rsidRPr="00576D5C">
        <w:rPr>
          <w:rFonts w:asciiTheme="minorBidi" w:hAnsiTheme="minorBidi"/>
          <w:color w:val="000000"/>
          <w:rtl/>
        </w:rPr>
        <w:t xml:space="preserve"> שמא יאמר הדיין מה לי בצער הזה</w:t>
      </w:r>
      <w:r w:rsidR="00B26450" w:rsidRPr="00576D5C">
        <w:rPr>
          <w:rStyle w:val="ab"/>
          <w:rFonts w:asciiTheme="minorBidi" w:hAnsiTheme="minorBidi"/>
          <w:color w:val="000000"/>
          <w:rtl/>
        </w:rPr>
        <w:footnoteReference w:id="419"/>
      </w:r>
      <w:r w:rsidR="00B26450" w:rsidRPr="00576D5C">
        <w:rPr>
          <w:rFonts w:asciiTheme="minorBidi" w:hAnsiTheme="minorBidi"/>
          <w:color w:val="000000"/>
          <w:rtl/>
        </w:rPr>
        <w:t xml:space="preserve"> - תלמוד לומר</w:t>
      </w:r>
      <w:r w:rsidR="00B26450" w:rsidRPr="00576D5C">
        <w:rPr>
          <w:rStyle w:val="ab"/>
          <w:rFonts w:asciiTheme="minorBidi" w:hAnsiTheme="minorBidi"/>
          <w:color w:val="000000"/>
          <w:rtl/>
        </w:rPr>
        <w:footnoteReference w:id="420"/>
      </w:r>
      <w:r w:rsidR="00B26450" w:rsidRPr="00576D5C">
        <w:rPr>
          <w:rFonts w:asciiTheme="minorBidi" w:hAnsiTheme="minorBidi"/>
          <w:color w:val="000000"/>
          <w:rtl/>
        </w:rPr>
        <w:t xml:space="preserve"> עמכם בדבר משפט - אין לו לדיין</w:t>
      </w:r>
      <w:r w:rsidR="00B26450" w:rsidRPr="00576D5C">
        <w:rPr>
          <w:rStyle w:val="ab"/>
          <w:rFonts w:asciiTheme="minorBidi" w:hAnsiTheme="minorBidi"/>
          <w:color w:val="000000"/>
          <w:rtl/>
        </w:rPr>
        <w:footnoteReference w:id="421"/>
      </w:r>
      <w:r w:rsidR="00B26450" w:rsidRPr="00576D5C">
        <w:rPr>
          <w:rFonts w:asciiTheme="minorBidi" w:hAnsiTheme="minorBidi"/>
          <w:color w:val="000000"/>
          <w:rtl/>
        </w:rPr>
        <w:t xml:space="preserve"> אלא מה שעיניו רואות</w:t>
      </w:r>
      <w:r w:rsidR="00B26450" w:rsidRPr="00576D5C">
        <w:rPr>
          <w:rStyle w:val="ab"/>
          <w:rFonts w:asciiTheme="minorBidi" w:hAnsiTheme="minorBidi"/>
          <w:color w:val="000000"/>
          <w:rtl/>
        </w:rPr>
        <w:footnoteReference w:id="422"/>
      </w:r>
      <w:r w:rsidR="00B26450" w:rsidRPr="00576D5C">
        <w:rPr>
          <w:rFonts w:asciiTheme="minorBidi" w:hAnsiTheme="minorBidi"/>
          <w:color w:val="000000"/>
          <w:rtl/>
        </w:rPr>
        <w:t xml:space="preserve">... </w:t>
      </w:r>
      <w:r w:rsidR="00B26450" w:rsidRPr="00576D5C">
        <w:rPr>
          <w:rFonts w:asciiTheme="minorBidi" w:hAnsiTheme="minorBidi"/>
          <w:color w:val="000000"/>
          <w:sz w:val="14"/>
          <w:szCs w:val="14"/>
          <w:rtl/>
        </w:rPr>
        <w:t xml:space="preserve">(ז.) </w:t>
      </w:r>
      <w:r w:rsidR="00B26450" w:rsidRPr="00576D5C">
        <w:rPr>
          <w:rFonts w:asciiTheme="minorBidi" w:hAnsiTheme="minorBidi"/>
          <w:color w:val="000000"/>
          <w:u w:val="single"/>
          <w:rtl/>
        </w:rPr>
        <w:t>אמר רבי שמואל בר נחמני אמר רבי יונתן</w:t>
      </w:r>
      <w:r w:rsidR="00B26450" w:rsidRPr="00576D5C">
        <w:rPr>
          <w:rFonts w:asciiTheme="minorBidi" w:hAnsiTheme="minorBidi"/>
          <w:color w:val="000000"/>
          <w:rtl/>
        </w:rPr>
        <w:t xml:space="preserve">: כל דיין שדן דין אמת לאמיתו משרה שכינה בישראל, שנאמר אלהים נצב בעדת אל בקרב אלהים ישפט. וכל דיין שאינו דן דין אמת לאמיתו - גורם לשכינה שתסתלק מישראל, שנאמר משד עניים מאנקת אביונים עתה אקום יאמר ה' וגו'. </w:t>
      </w:r>
      <w:r w:rsidR="00B26450" w:rsidRPr="00576D5C">
        <w:rPr>
          <w:rFonts w:asciiTheme="minorBidi" w:hAnsiTheme="minorBidi"/>
          <w:color w:val="000000"/>
          <w:u w:val="single"/>
          <w:rtl/>
        </w:rPr>
        <w:t>ואמר רבי שמואל בר נחמני אמר רבי יונתן:</w:t>
      </w:r>
      <w:r w:rsidR="00B26450" w:rsidRPr="00576D5C">
        <w:rPr>
          <w:rFonts w:asciiTheme="minorBidi" w:hAnsiTheme="minorBidi"/>
          <w:color w:val="000000"/>
          <w:rtl/>
        </w:rPr>
        <w:t xml:space="preserve"> כל דיין שנוטל מזה ונותן לזה שלא כדין - הקדוש ברוך הוא נוטל ממנו נפשו שנאמר אל תגזל דל כי דל הוא ואל תדכא עני בשער כי ה' יריב ריבם וקבע את קבעיהם נפש.</w:t>
      </w:r>
      <w:r w:rsidR="00B26450" w:rsidRPr="00576D5C">
        <w:rPr>
          <w:rFonts w:asciiTheme="minorBidi" w:hAnsiTheme="minorBidi"/>
          <w:b/>
          <w:bCs/>
          <w:color w:val="000000"/>
          <w:rtl/>
        </w:rPr>
        <w:t xml:space="preserve"> </w:t>
      </w:r>
      <w:r w:rsidRPr="00576D5C">
        <w:rPr>
          <w:rFonts w:asciiTheme="minorBidi" w:hAnsiTheme="minorBidi"/>
          <w:color w:val="000000"/>
          <w:u w:val="single"/>
          <w:rtl/>
        </w:rPr>
        <w:t>ואמר רבי שמואל בר נחמני אמר רבי יונתן</w:t>
      </w:r>
      <w:r w:rsidRPr="00576D5C">
        <w:rPr>
          <w:rFonts w:asciiTheme="minorBidi" w:hAnsiTheme="minorBidi"/>
          <w:color w:val="000000"/>
          <w:rtl/>
        </w:rPr>
        <w:t>: לעולם יראה דיין עצמו כאילו חרב מונחת לו בין ירכותיו</w:t>
      </w:r>
      <w:r w:rsidRPr="00576D5C">
        <w:rPr>
          <w:rStyle w:val="ab"/>
          <w:rFonts w:asciiTheme="minorBidi" w:hAnsiTheme="minorBidi"/>
          <w:color w:val="000000"/>
          <w:rtl/>
        </w:rPr>
        <w:footnoteReference w:id="423"/>
      </w:r>
      <w:r w:rsidRPr="00576D5C">
        <w:rPr>
          <w:rFonts w:asciiTheme="minorBidi" w:hAnsiTheme="minorBidi"/>
          <w:color w:val="000000"/>
          <w:rtl/>
        </w:rPr>
        <w:t>, וגיהנם פתוחה לו מתחתיו, שנאמר הנה מטתו שלשלמה ששים גברים סביב לה מגברי ישראל כלם אחזי חרב מלמדי מלחמה איש חרבו על ירכו מפחד בלילות - מפחדה של גיהנם שדומה ללילה.</w:t>
      </w:r>
    </w:p>
    <w:p w14:paraId="192741D2" w14:textId="77777777" w:rsidR="00B26450" w:rsidRPr="00576D5C" w:rsidRDefault="00B26450" w:rsidP="00576D5C">
      <w:pPr>
        <w:rPr>
          <w:rFonts w:asciiTheme="minorBidi" w:hAnsiTheme="minorBidi"/>
          <w:rtl/>
        </w:rPr>
      </w:pPr>
      <w:r w:rsidRPr="00576D5C">
        <w:rPr>
          <w:rFonts w:asciiTheme="minorBidi" w:hAnsiTheme="minorBidi"/>
          <w:b/>
          <w:bCs/>
          <w:rtl/>
        </w:rPr>
        <w:t xml:space="preserve">שבת </w:t>
      </w:r>
      <w:r w:rsidRPr="00576D5C">
        <w:rPr>
          <w:rFonts w:asciiTheme="minorBidi" w:hAnsiTheme="minorBidi"/>
          <w:b/>
          <w:bCs/>
          <w:sz w:val="16"/>
          <w:szCs w:val="16"/>
          <w:rtl/>
        </w:rPr>
        <w:t xml:space="preserve">(פ"ק) </w:t>
      </w:r>
      <w:r w:rsidRPr="00576D5C">
        <w:rPr>
          <w:rFonts w:asciiTheme="minorBidi" w:hAnsiTheme="minorBidi"/>
          <w:b/>
          <w:bCs/>
          <w:rtl/>
        </w:rPr>
        <w:t>י</w:t>
      </w:r>
      <w:r w:rsidR="007025DF">
        <w:rPr>
          <w:rStyle w:val="ab"/>
          <w:rFonts w:asciiTheme="minorBidi" w:hAnsiTheme="minorBidi"/>
          <w:b/>
          <w:bCs/>
          <w:rtl/>
        </w:rPr>
        <w:footnoteReference w:id="424"/>
      </w:r>
      <w:r w:rsidRPr="00576D5C">
        <w:rPr>
          <w:rFonts w:asciiTheme="minorBidi" w:hAnsiTheme="minorBidi"/>
          <w:b/>
          <w:bCs/>
          <w:rtl/>
        </w:rPr>
        <w:t xml:space="preserve"> ע"א: </w:t>
      </w:r>
      <w:r w:rsidRPr="00576D5C">
        <w:rPr>
          <w:rFonts w:asciiTheme="minorBidi" w:hAnsiTheme="minorBidi"/>
          <w:rtl/>
        </w:rPr>
        <w:t xml:space="preserve">מאימתי התחלת דין? רבי ירמיה ורבי יונה, </w:t>
      </w:r>
      <w:r w:rsidRPr="00576D5C">
        <w:rPr>
          <w:rFonts w:asciiTheme="minorBidi" w:hAnsiTheme="minorBidi"/>
          <w:u w:val="single"/>
          <w:rtl/>
        </w:rPr>
        <w:t>חד אמר</w:t>
      </w:r>
      <w:r w:rsidRPr="00576D5C">
        <w:rPr>
          <w:rFonts w:asciiTheme="minorBidi" w:hAnsiTheme="minorBidi"/>
          <w:rtl/>
        </w:rPr>
        <w:t>: משיתעטפו הדיינין</w:t>
      </w:r>
      <w:r w:rsidRPr="00576D5C">
        <w:rPr>
          <w:rStyle w:val="ab"/>
          <w:rFonts w:asciiTheme="minorBidi" w:hAnsiTheme="minorBidi"/>
          <w:rtl/>
        </w:rPr>
        <w:footnoteReference w:id="425"/>
      </w:r>
      <w:r w:rsidRPr="00576D5C">
        <w:rPr>
          <w:rFonts w:asciiTheme="minorBidi" w:hAnsiTheme="minorBidi"/>
          <w:rtl/>
        </w:rPr>
        <w:t xml:space="preserve">, </w:t>
      </w:r>
      <w:r w:rsidRPr="00576D5C">
        <w:rPr>
          <w:rFonts w:asciiTheme="minorBidi" w:hAnsiTheme="minorBidi"/>
          <w:u w:val="single"/>
          <w:rtl/>
        </w:rPr>
        <w:t>וחד אמר</w:t>
      </w:r>
      <w:r w:rsidRPr="00576D5C">
        <w:rPr>
          <w:rFonts w:asciiTheme="minorBidi" w:hAnsiTheme="minorBidi"/>
          <w:rtl/>
        </w:rPr>
        <w:t>: משיפתחו בעלי דינים. ולא פליגי, הא - דעסקי ואתו</w:t>
      </w:r>
      <w:r w:rsidRPr="00576D5C">
        <w:rPr>
          <w:rStyle w:val="ab"/>
          <w:rFonts w:asciiTheme="minorBidi" w:hAnsiTheme="minorBidi"/>
          <w:rtl/>
        </w:rPr>
        <w:footnoteReference w:id="426"/>
      </w:r>
      <w:r w:rsidRPr="00576D5C">
        <w:rPr>
          <w:rFonts w:asciiTheme="minorBidi" w:hAnsiTheme="minorBidi"/>
          <w:rtl/>
        </w:rPr>
        <w:t xml:space="preserve"> בדינא, הא - דלא עסקי ואתו בדינא... רב חסדא ורבה בר רב הונא הוו יתבי בדינא כולי יומא, הוה קא חליש לבייהו. </w:t>
      </w:r>
      <w:r w:rsidRPr="007025DF">
        <w:rPr>
          <w:rFonts w:asciiTheme="minorBidi" w:hAnsiTheme="minorBidi"/>
          <w:u w:val="single"/>
          <w:rtl/>
        </w:rPr>
        <w:t>תנא להו רב חייא בר רב מדפתי</w:t>
      </w:r>
      <w:r w:rsidRPr="00576D5C">
        <w:rPr>
          <w:rFonts w:asciiTheme="minorBidi" w:hAnsiTheme="minorBidi"/>
          <w:rtl/>
        </w:rPr>
        <w:t xml:space="preserve">: ויעמד העם על משה מן הבקר עד הערב, וכי תעלה על דעתך שמשה יושב ודן כל היום כלו? תורתו מתי נעשית? אלא לומר לך כל דיין שדן דין אמת לאמיתו אפילו שעה אחת - מעלה עליו הכתוב כאילו נעשה שותף להקדוש ברוך הוא במעשה בראשית.  </w:t>
      </w:r>
    </w:p>
    <w:p w14:paraId="1214E398" w14:textId="77777777" w:rsidR="009958C3" w:rsidRPr="00576D5C" w:rsidRDefault="009958C3" w:rsidP="00576D5C">
      <w:pPr>
        <w:rPr>
          <w:rFonts w:asciiTheme="minorBidi" w:hAnsiTheme="minorBidi"/>
          <w:color w:val="000000"/>
          <w:u w:val="single"/>
          <w:rtl/>
        </w:rPr>
      </w:pPr>
      <w:r w:rsidRPr="00576D5C">
        <w:rPr>
          <w:rFonts w:asciiTheme="minorBidi" w:hAnsiTheme="minorBidi"/>
          <w:color w:val="000000"/>
          <w:u w:val="single"/>
          <w:rtl/>
        </w:rPr>
        <w:t>ישיבת הדיינים בבית הדין:</w:t>
      </w:r>
    </w:p>
    <w:p w14:paraId="466BEA94" w14:textId="77777777" w:rsidR="009958C3" w:rsidRPr="00576D5C" w:rsidRDefault="009958C3" w:rsidP="00576D5C">
      <w:pPr>
        <w:pStyle w:val="ac"/>
        <w:numPr>
          <w:ilvl w:val="0"/>
          <w:numId w:val="1"/>
        </w:numPr>
        <w:rPr>
          <w:rFonts w:asciiTheme="minorBidi" w:hAnsiTheme="minorBidi"/>
          <w:color w:val="000000"/>
          <w:rtl/>
        </w:rPr>
      </w:pPr>
      <w:r w:rsidRPr="00576D5C">
        <w:rPr>
          <w:rFonts w:asciiTheme="minorBidi" w:hAnsiTheme="minorBidi"/>
          <w:color w:val="000000"/>
          <w:rtl/>
        </w:rPr>
        <w:t>טור- וכל ב"ד מישראל שהוא הגון שכינה עמהם</w:t>
      </w:r>
      <w:r w:rsidR="007025DF">
        <w:rPr>
          <w:rFonts w:asciiTheme="minorBidi" w:hAnsiTheme="minorBidi" w:hint="cs"/>
          <w:color w:val="000000"/>
          <w:rtl/>
        </w:rPr>
        <w:t>.</w:t>
      </w:r>
      <w:r w:rsidRPr="00576D5C">
        <w:rPr>
          <w:rFonts w:asciiTheme="minorBidi" w:hAnsiTheme="minorBidi"/>
          <w:color w:val="000000"/>
          <w:rtl/>
        </w:rPr>
        <w:t xml:space="preserve"> לפיכך צריכים הדיינים לישב באימה וביראה ובעטיפה ובכובד ראש. ואסור להקל ראש ולישב לספר בדבר בטלה בב"ד אלא בדברי תורה ובחכמה</w:t>
      </w:r>
      <w:r w:rsidRPr="00576D5C">
        <w:rPr>
          <w:rFonts w:asciiTheme="minorBidi" w:hAnsiTheme="minorBidi"/>
          <w:color w:val="000000"/>
          <w:sz w:val="16"/>
          <w:szCs w:val="16"/>
          <w:rtl/>
        </w:rPr>
        <w:t xml:space="preserve"> (וכ"כ הרמב"ם [פ"ג מהל' סנהדרין ה"ז])</w:t>
      </w:r>
      <w:r w:rsidRPr="00576D5C">
        <w:rPr>
          <w:rFonts w:asciiTheme="minorBidi" w:hAnsiTheme="minorBidi"/>
          <w:color w:val="000000"/>
          <w:rtl/>
        </w:rPr>
        <w:t>. ויראה הדיין כאילו חרב מונחת לו על צוארו וכאילו גיהנם פתוחה לו מתחתיו וידע את מי הוא דן ולפני מי הוא דן ומי הוא עתיד ליפרע ממנו אם הוא נוטה מקו הדין</w:t>
      </w:r>
      <w:r w:rsidR="007025DF">
        <w:rPr>
          <w:rFonts w:asciiTheme="minorBidi" w:hAnsiTheme="minorBidi" w:hint="cs"/>
          <w:color w:val="000000"/>
          <w:rtl/>
        </w:rPr>
        <w:t>,</w:t>
      </w:r>
      <w:r w:rsidRPr="00576D5C">
        <w:rPr>
          <w:rFonts w:asciiTheme="minorBidi" w:hAnsiTheme="minorBidi"/>
          <w:color w:val="000000"/>
          <w:rtl/>
        </w:rPr>
        <w:t xml:space="preserve"> שנאמר אלהים נצב בעדת אל בקרב אלהים ישפוט</w:t>
      </w:r>
      <w:r w:rsidR="007025DF">
        <w:rPr>
          <w:rFonts w:asciiTheme="minorBidi" w:hAnsiTheme="minorBidi" w:hint="cs"/>
          <w:color w:val="000000"/>
          <w:rtl/>
        </w:rPr>
        <w:t>.</w:t>
      </w:r>
      <w:r w:rsidRPr="00576D5C">
        <w:rPr>
          <w:rFonts w:asciiTheme="minorBidi" w:hAnsiTheme="minorBidi"/>
          <w:color w:val="000000"/>
          <w:rtl/>
        </w:rPr>
        <w:t xml:space="preserve"> ואומר ראו מה אתם עושים כי לא לאדם תשפוטו כי לאלהים.</w:t>
      </w:r>
      <w:r w:rsidR="007025DF">
        <w:rPr>
          <w:rFonts w:cs="Arial" w:hint="cs"/>
          <w:rtl/>
        </w:rPr>
        <w:t xml:space="preserve"> </w:t>
      </w:r>
      <w:r w:rsidR="007025DF" w:rsidRPr="0077426A">
        <w:rPr>
          <w:rFonts w:cs="Arial" w:hint="cs"/>
          <w:color w:val="E36C0A" w:themeColor="accent6" w:themeShade="BF"/>
          <w:rtl/>
        </w:rPr>
        <w:t>(וכ"פ בשו"ע)</w:t>
      </w:r>
    </w:p>
    <w:p w14:paraId="3512F79F" w14:textId="77777777" w:rsidR="009958C3" w:rsidRPr="00576D5C" w:rsidRDefault="009958C3" w:rsidP="00576D5C">
      <w:pPr>
        <w:rPr>
          <w:rFonts w:asciiTheme="minorBidi" w:hAnsiTheme="minorBidi"/>
          <w:color w:val="000000"/>
          <w:rtl/>
        </w:rPr>
      </w:pPr>
      <w:r w:rsidRPr="00576D5C">
        <w:rPr>
          <w:rFonts w:asciiTheme="minorBidi" w:hAnsiTheme="minorBidi"/>
          <w:color w:val="000000"/>
          <w:u w:val="single"/>
          <w:rtl/>
        </w:rPr>
        <w:lastRenderedPageBreak/>
        <w:t>שכר הדיין ועונשו:</w:t>
      </w:r>
    </w:p>
    <w:p w14:paraId="33B27005" w14:textId="77777777" w:rsidR="009958C3" w:rsidRPr="00576D5C" w:rsidRDefault="009958C3" w:rsidP="00576D5C">
      <w:pPr>
        <w:pStyle w:val="ac"/>
        <w:numPr>
          <w:ilvl w:val="0"/>
          <w:numId w:val="1"/>
        </w:numPr>
        <w:rPr>
          <w:rFonts w:asciiTheme="minorBidi" w:hAnsiTheme="minorBidi"/>
          <w:color w:val="000000"/>
          <w:rtl/>
        </w:rPr>
      </w:pPr>
      <w:r w:rsidRPr="00576D5C">
        <w:rPr>
          <w:rFonts w:asciiTheme="minorBidi" w:hAnsiTheme="minorBidi"/>
          <w:color w:val="000000"/>
          <w:rtl/>
        </w:rPr>
        <w:t>טור- כל דיין שאינו דן דין אמת לאמתו גורם לשכינה שתסתלק מישראל וכל דיין שנוטל ממון מזה ונותנו לזה שלא כדין הקדוש ברוך הוא נוטל ממנו נפשות. וכל דיין שדן דין אמת לאמתו אפילו שעה אחת כאילו תקן כל העולם כולו וגורם לשכינה שתשרה בישראל. ושמא יאמר הדיין מה לי ולצרה הזאת ת"ל ועמכם בדבר המשפט אין לו לדיין אלא מה שעיניו רואות.</w:t>
      </w:r>
      <w:r w:rsidR="003C50C7">
        <w:rPr>
          <w:rFonts w:cs="Arial" w:hint="cs"/>
          <w:rtl/>
        </w:rPr>
        <w:t xml:space="preserve"> </w:t>
      </w:r>
      <w:r w:rsidR="003C50C7" w:rsidRPr="0077426A">
        <w:rPr>
          <w:rFonts w:cs="Arial" w:hint="cs"/>
          <w:color w:val="E36C0A" w:themeColor="accent6" w:themeShade="BF"/>
          <w:rtl/>
        </w:rPr>
        <w:t>(וכ"פ בשו"ע)</w:t>
      </w:r>
    </w:p>
    <w:p w14:paraId="5F8040D0" w14:textId="77777777" w:rsidR="00E137BC" w:rsidRPr="00576D5C" w:rsidRDefault="00E137BC" w:rsidP="00576D5C">
      <w:pPr>
        <w:rPr>
          <w:rFonts w:asciiTheme="minorBidi" w:hAnsiTheme="minorBidi"/>
          <w:b/>
          <w:bCs/>
          <w:color w:val="000000"/>
          <w:sz w:val="28"/>
          <w:szCs w:val="28"/>
          <w:u w:val="single"/>
          <w:rtl/>
        </w:rPr>
      </w:pPr>
      <w:r w:rsidRPr="00576D5C">
        <w:rPr>
          <w:rFonts w:asciiTheme="minorBidi" w:hAnsiTheme="minorBidi"/>
          <w:b/>
          <w:bCs/>
          <w:color w:val="000000"/>
          <w:sz w:val="28"/>
          <w:szCs w:val="28"/>
          <w:u w:val="single"/>
          <w:rtl/>
        </w:rPr>
        <w:t>שו"ע:</w:t>
      </w:r>
    </w:p>
    <w:p w14:paraId="564352F6" w14:textId="77777777" w:rsidR="00E137BC" w:rsidRPr="00576D5C" w:rsidRDefault="00E137BC" w:rsidP="00576D5C">
      <w:pPr>
        <w:rPr>
          <w:rFonts w:asciiTheme="minorBidi" w:hAnsiTheme="minorBidi"/>
          <w:rtl/>
        </w:rPr>
      </w:pPr>
      <w:r w:rsidRPr="00576D5C">
        <w:rPr>
          <w:rFonts w:asciiTheme="minorBidi" w:hAnsiTheme="minorBidi"/>
          <w:rtl/>
        </w:rPr>
        <w:t>צריכים הדיינים לישב באימה וביראה בעטיפה ובכובד ראש</w:t>
      </w:r>
      <w:r w:rsidR="00D96C6E" w:rsidRPr="00576D5C">
        <w:rPr>
          <w:rFonts w:asciiTheme="minorBidi" w:hAnsiTheme="minorBidi"/>
          <w:rtl/>
        </w:rPr>
        <w:t>,</w:t>
      </w:r>
      <w:r w:rsidRPr="00576D5C">
        <w:rPr>
          <w:rFonts w:asciiTheme="minorBidi" w:hAnsiTheme="minorBidi"/>
          <w:rtl/>
        </w:rPr>
        <w:t xml:space="preserve"> ואסור להקל ראש ולישב לספר בדבר בטלה בבית דין. ויראה הדיין כאילו חרב מונחת לו על צוארו, וכאלו גיהנם פתוח לו מתחתיו, וידע את מי הוא דן</w:t>
      </w:r>
      <w:r w:rsidR="009958C3" w:rsidRPr="00576D5C">
        <w:rPr>
          <w:rStyle w:val="ab"/>
          <w:rFonts w:asciiTheme="minorBidi" w:hAnsiTheme="minorBidi"/>
          <w:rtl/>
        </w:rPr>
        <w:footnoteReference w:id="427"/>
      </w:r>
      <w:r w:rsidRPr="00576D5C">
        <w:rPr>
          <w:rFonts w:asciiTheme="minorBidi" w:hAnsiTheme="minorBidi"/>
          <w:rtl/>
        </w:rPr>
        <w:t>, ולפני מי הוא דן</w:t>
      </w:r>
      <w:r w:rsidR="009958C3" w:rsidRPr="00576D5C">
        <w:rPr>
          <w:rStyle w:val="ab"/>
          <w:rFonts w:asciiTheme="minorBidi" w:hAnsiTheme="minorBidi"/>
          <w:rtl/>
        </w:rPr>
        <w:footnoteReference w:id="428"/>
      </w:r>
      <w:r w:rsidRPr="00576D5C">
        <w:rPr>
          <w:rFonts w:asciiTheme="minorBidi" w:hAnsiTheme="minorBidi"/>
          <w:rtl/>
        </w:rPr>
        <w:t>, ומי הוא עתיד להפרע ממנו</w:t>
      </w:r>
      <w:r w:rsidR="009958C3" w:rsidRPr="00576D5C">
        <w:rPr>
          <w:rStyle w:val="ab"/>
          <w:rFonts w:asciiTheme="minorBidi" w:hAnsiTheme="minorBidi"/>
          <w:rtl/>
        </w:rPr>
        <w:footnoteReference w:id="429"/>
      </w:r>
      <w:r w:rsidRPr="00576D5C">
        <w:rPr>
          <w:rFonts w:asciiTheme="minorBidi" w:hAnsiTheme="minorBidi"/>
          <w:rtl/>
        </w:rPr>
        <w:t xml:space="preserve"> אם נוטה מקו הדין. וכל דיין שאינו דן דין אמת גורם לשכינה שתסתלק מישראל. וכל דיין שנוטל ממון מזה ונותנו לזה שלא כדין, הקדוש ברוך הוא נוטל ממנו נפשות. וכל דיין שדן דין אמת לאמתו</w:t>
      </w:r>
      <w:r w:rsidR="009958C3" w:rsidRPr="00576D5C">
        <w:rPr>
          <w:rStyle w:val="ab"/>
          <w:rFonts w:asciiTheme="minorBidi" w:hAnsiTheme="minorBidi"/>
          <w:rtl/>
        </w:rPr>
        <w:footnoteReference w:id="430"/>
      </w:r>
      <w:r w:rsidRPr="00576D5C">
        <w:rPr>
          <w:rFonts w:asciiTheme="minorBidi" w:hAnsiTheme="minorBidi"/>
          <w:rtl/>
        </w:rPr>
        <w:t xml:space="preserve">, אפילו שעה אחת, כאילו תקן כל העולם כולו, וגורם לשכינה שתשרה בישראל. </w:t>
      </w:r>
      <w:r w:rsidR="009958C3" w:rsidRPr="00576D5C">
        <w:rPr>
          <w:rFonts w:asciiTheme="minorBidi" w:hAnsiTheme="minorBidi"/>
          <w:sz w:val="18"/>
          <w:szCs w:val="18"/>
          <w:rtl/>
        </w:rPr>
        <w:t xml:space="preserve">[הגה] </w:t>
      </w:r>
      <w:r w:rsidRPr="00576D5C">
        <w:rPr>
          <w:rFonts w:asciiTheme="minorBidi" w:hAnsiTheme="minorBidi"/>
          <w:sz w:val="18"/>
          <w:szCs w:val="18"/>
          <w:rtl/>
        </w:rPr>
        <w:t>שמא יאמר הדיין: מה לי לצרה הזאת, תלמוד לומר: ועמכם בדבר המשפט (ד</w:t>
      </w:r>
      <w:r w:rsidR="009958C3" w:rsidRPr="00576D5C">
        <w:rPr>
          <w:rFonts w:asciiTheme="minorBidi" w:hAnsiTheme="minorBidi"/>
          <w:sz w:val="18"/>
          <w:szCs w:val="18"/>
          <w:rtl/>
        </w:rPr>
        <w:t>בה"י</w:t>
      </w:r>
      <w:r w:rsidRPr="00576D5C">
        <w:rPr>
          <w:rFonts w:asciiTheme="minorBidi" w:hAnsiTheme="minorBidi"/>
          <w:sz w:val="18"/>
          <w:szCs w:val="18"/>
          <w:rtl/>
        </w:rPr>
        <w:t xml:space="preserve"> ב, יט, ו) אין לדיין אלא מה שעיניו רואות (טור).</w:t>
      </w:r>
      <w:r w:rsidRPr="00576D5C">
        <w:rPr>
          <w:rFonts w:asciiTheme="minorBidi" w:hAnsiTheme="minorBidi"/>
          <w:rtl/>
        </w:rPr>
        <w:t xml:space="preserve"> </w:t>
      </w:r>
    </w:p>
    <w:p w14:paraId="6FD29AAE" w14:textId="77777777" w:rsidR="0067033B" w:rsidRPr="00576D5C" w:rsidRDefault="0067033B" w:rsidP="00576D5C">
      <w:pPr>
        <w:rPr>
          <w:rFonts w:asciiTheme="minorBidi" w:hAnsiTheme="minorBidi"/>
          <w:rtl/>
        </w:rPr>
      </w:pPr>
    </w:p>
    <w:p w14:paraId="7D84F3F4" w14:textId="77777777" w:rsidR="0067033B" w:rsidRPr="00576D5C" w:rsidRDefault="00E137BC" w:rsidP="00E842BA">
      <w:pPr>
        <w:pStyle w:val="2"/>
        <w:rPr>
          <w:rtl/>
        </w:rPr>
      </w:pPr>
      <w:bookmarkStart w:id="51" w:name="_Toc24883550"/>
      <w:r w:rsidRPr="00576D5C">
        <w:rPr>
          <w:rtl/>
        </w:rPr>
        <w:t>סעיף ג</w:t>
      </w:r>
      <w:r w:rsidR="0067033B" w:rsidRPr="00576D5C">
        <w:rPr>
          <w:rtl/>
        </w:rPr>
        <w:t>:</w:t>
      </w:r>
      <w:r w:rsidR="000D63D2" w:rsidRPr="00576D5C">
        <w:rPr>
          <w:rtl/>
        </w:rPr>
        <w:t xml:space="preserve"> בריחה</w:t>
      </w:r>
      <w:r w:rsidR="000D63D2" w:rsidRPr="00E842BA">
        <w:rPr>
          <w:rFonts w:hint="cs"/>
          <w:rtl/>
        </w:rPr>
        <w:t xml:space="preserve"> מלשבת</w:t>
      </w:r>
      <w:r w:rsidR="000D63D2" w:rsidRPr="00576D5C">
        <w:rPr>
          <w:rtl/>
        </w:rPr>
        <w:t xml:space="preserve"> בדין.</w:t>
      </w:r>
      <w:bookmarkEnd w:id="51"/>
    </w:p>
    <w:p w14:paraId="708FC376" w14:textId="77777777" w:rsidR="00536897" w:rsidRDefault="000D63D2" w:rsidP="00576D5C">
      <w:pPr>
        <w:rPr>
          <w:rFonts w:asciiTheme="minorBidi" w:hAnsiTheme="minorBidi"/>
          <w:color w:val="000000"/>
          <w:rtl/>
        </w:rPr>
      </w:pPr>
      <w:r w:rsidRPr="00576D5C">
        <w:rPr>
          <w:rFonts w:asciiTheme="minorBidi" w:hAnsiTheme="minorBidi"/>
          <w:b/>
          <w:bCs/>
          <w:color w:val="000000"/>
          <w:rtl/>
        </w:rPr>
        <w:t xml:space="preserve">סנהדרין </w:t>
      </w:r>
      <w:r w:rsidRPr="00576D5C">
        <w:rPr>
          <w:rFonts w:asciiTheme="minorBidi" w:hAnsiTheme="minorBidi"/>
          <w:b/>
          <w:bCs/>
          <w:color w:val="000000"/>
          <w:sz w:val="16"/>
          <w:szCs w:val="16"/>
          <w:rtl/>
        </w:rPr>
        <w:t xml:space="preserve">(פ"ק) </w:t>
      </w:r>
      <w:r w:rsidRPr="00576D5C">
        <w:rPr>
          <w:rFonts w:asciiTheme="minorBidi" w:hAnsiTheme="minorBidi"/>
          <w:b/>
          <w:bCs/>
          <w:color w:val="000000"/>
          <w:rtl/>
        </w:rPr>
        <w:t>יד</w:t>
      </w:r>
      <w:r w:rsidR="00112992">
        <w:rPr>
          <w:rStyle w:val="ab"/>
          <w:rFonts w:asciiTheme="minorBidi" w:hAnsiTheme="minorBidi"/>
          <w:b/>
          <w:bCs/>
          <w:color w:val="000000"/>
          <w:rtl/>
        </w:rPr>
        <w:footnoteReference w:id="431"/>
      </w:r>
      <w:r w:rsidRPr="00576D5C">
        <w:rPr>
          <w:rFonts w:asciiTheme="minorBidi" w:hAnsiTheme="minorBidi"/>
          <w:b/>
          <w:bCs/>
          <w:color w:val="000000"/>
          <w:rtl/>
        </w:rPr>
        <w:t xml:space="preserve"> ע"א: </w:t>
      </w:r>
      <w:r w:rsidRPr="00F82D19">
        <w:rPr>
          <w:rFonts w:asciiTheme="minorBidi" w:hAnsiTheme="minorBidi"/>
          <w:rtl/>
        </w:rPr>
        <w:t>רבי זירא הוה מיטמר</w:t>
      </w:r>
      <w:r w:rsidR="00086EF5">
        <w:rPr>
          <w:rStyle w:val="ab"/>
          <w:rFonts w:asciiTheme="minorBidi" w:hAnsiTheme="minorBidi"/>
          <w:rtl/>
        </w:rPr>
        <w:footnoteReference w:id="432"/>
      </w:r>
      <w:r w:rsidRPr="00F82D19">
        <w:rPr>
          <w:rFonts w:asciiTheme="minorBidi" w:hAnsiTheme="minorBidi"/>
          <w:rtl/>
        </w:rPr>
        <w:t xml:space="preserve"> למיסמכיה, דאמר רבי אלעזר: לעולם הוה קבל</w:t>
      </w:r>
      <w:r w:rsidRPr="00576D5C">
        <w:rPr>
          <w:rStyle w:val="ab"/>
          <w:rFonts w:asciiTheme="minorBidi" w:hAnsiTheme="minorBidi"/>
          <w:color w:val="000000"/>
          <w:rtl/>
        </w:rPr>
        <w:footnoteReference w:id="433"/>
      </w:r>
      <w:r w:rsidRPr="00576D5C">
        <w:rPr>
          <w:rFonts w:asciiTheme="minorBidi" w:hAnsiTheme="minorBidi"/>
          <w:color w:val="000000"/>
          <w:rtl/>
        </w:rPr>
        <w:t xml:space="preserve"> וקיים</w:t>
      </w:r>
      <w:r w:rsidRPr="00576D5C">
        <w:rPr>
          <w:rStyle w:val="ab"/>
          <w:rFonts w:asciiTheme="minorBidi" w:hAnsiTheme="minorBidi"/>
          <w:color w:val="000000"/>
          <w:rtl/>
        </w:rPr>
        <w:footnoteReference w:id="434"/>
      </w:r>
      <w:r w:rsidRPr="00576D5C">
        <w:rPr>
          <w:rFonts w:asciiTheme="minorBidi" w:hAnsiTheme="minorBidi"/>
          <w:color w:val="000000"/>
          <w:rtl/>
        </w:rPr>
        <w:t>. כיון דשמעה להא דאמר רבי אלעזר: אין אדם עולה לגדולה אלא אם כן מוחלין לו על כל עונותיו - אמצי ליה אנפשיה.</w:t>
      </w:r>
    </w:p>
    <w:p w14:paraId="564A6E64" w14:textId="77777777" w:rsidR="00536897" w:rsidRDefault="00536897" w:rsidP="00576D5C">
      <w:pPr>
        <w:rPr>
          <w:rFonts w:asciiTheme="minorBidi" w:hAnsiTheme="minorBidi"/>
          <w:color w:val="000000"/>
          <w:rtl/>
        </w:rPr>
      </w:pPr>
      <w:r w:rsidRPr="00536897">
        <w:rPr>
          <w:rFonts w:asciiTheme="minorBidi" w:hAnsiTheme="minorBidi" w:hint="cs"/>
          <w:color w:val="000000"/>
          <w:u w:val="single"/>
          <w:rtl/>
        </w:rPr>
        <w:t>כיצד צריך חכם לנהוג שכרוצים למנותו לדיין:</w:t>
      </w:r>
    </w:p>
    <w:p w14:paraId="0079DB28" w14:textId="77777777" w:rsidR="0067033B" w:rsidRPr="00536897" w:rsidRDefault="00536897" w:rsidP="00536897">
      <w:pPr>
        <w:pStyle w:val="ac"/>
        <w:numPr>
          <w:ilvl w:val="0"/>
          <w:numId w:val="1"/>
        </w:numPr>
        <w:rPr>
          <w:rFonts w:asciiTheme="minorBidi" w:hAnsiTheme="minorBidi"/>
          <w:color w:val="000000"/>
          <w:rtl/>
        </w:rPr>
      </w:pPr>
      <w:r w:rsidRPr="00536897">
        <w:rPr>
          <w:rFonts w:asciiTheme="minorBidi" w:hAnsiTheme="minorBidi" w:hint="cs"/>
          <w:color w:val="000000"/>
          <w:rtl/>
        </w:rPr>
        <w:t xml:space="preserve">רמב"ם </w:t>
      </w:r>
      <w:r>
        <w:rPr>
          <w:rFonts w:asciiTheme="minorBidi" w:hAnsiTheme="minorBidi" w:hint="cs"/>
          <w:color w:val="000000"/>
          <w:sz w:val="16"/>
          <w:szCs w:val="16"/>
          <w:rtl/>
        </w:rPr>
        <w:t>(</w:t>
      </w:r>
      <w:r w:rsidR="000D63D2" w:rsidRPr="00536897">
        <w:rPr>
          <w:rFonts w:asciiTheme="minorBidi" w:hAnsiTheme="minorBidi"/>
          <w:color w:val="000000"/>
          <w:sz w:val="16"/>
          <w:szCs w:val="16"/>
          <w:rtl/>
        </w:rPr>
        <w:t>פ"ג מהל' סנהדרין (ה"י</w:t>
      </w:r>
      <w:r>
        <w:rPr>
          <w:rFonts w:asciiTheme="minorBidi" w:hAnsiTheme="minorBidi" w:hint="cs"/>
          <w:color w:val="000000"/>
          <w:sz w:val="16"/>
          <w:szCs w:val="16"/>
          <w:rtl/>
        </w:rPr>
        <w:t>)</w:t>
      </w:r>
      <w:r>
        <w:rPr>
          <w:rFonts w:asciiTheme="minorBidi" w:hAnsiTheme="minorBidi" w:cs="Arial" w:hint="cs"/>
          <w:color w:val="000000"/>
          <w:rtl/>
        </w:rPr>
        <w:t xml:space="preserve"> וטור- </w:t>
      </w:r>
      <w:r w:rsidRPr="00536897">
        <w:rPr>
          <w:rFonts w:asciiTheme="minorBidi" w:hAnsiTheme="minorBidi" w:cs="Arial"/>
          <w:color w:val="000000"/>
          <w:rtl/>
        </w:rPr>
        <w:t>כך היה דרך חכמים הראשונים בורחין מלהתמנות, ודוחקין עצמן הרבה שלא ישבו בדין עד שידעו שאין שם ראוי כמותם ושאם ימנעו מן הדין תקלקל השורה, אעפ"כ לא היו יושבין בדין אלא עד שמכבידין עליהם את העם והזקנים ופוצרים בהן</w:t>
      </w:r>
      <w:r>
        <w:rPr>
          <w:rFonts w:asciiTheme="minorBidi" w:hAnsiTheme="minorBidi" w:cs="Arial" w:hint="cs"/>
          <w:color w:val="000000"/>
          <w:sz w:val="16"/>
          <w:szCs w:val="16"/>
          <w:rtl/>
        </w:rPr>
        <w:t xml:space="preserve"> (ל' הרמב"ם)</w:t>
      </w:r>
      <w:r>
        <w:rPr>
          <w:rFonts w:asciiTheme="minorBidi" w:hAnsiTheme="minorBidi" w:cs="Arial" w:hint="cs"/>
          <w:color w:val="000000"/>
          <w:rtl/>
        </w:rPr>
        <w:t>.</w:t>
      </w:r>
      <w:r w:rsidR="000D63D2" w:rsidRPr="00536897">
        <w:rPr>
          <w:rFonts w:asciiTheme="minorBidi" w:hAnsiTheme="minorBidi"/>
          <w:color w:val="E36C0A" w:themeColor="accent6" w:themeShade="BF"/>
          <w:rtl/>
        </w:rPr>
        <w:t xml:space="preserve"> </w:t>
      </w:r>
      <w:r>
        <w:rPr>
          <w:rFonts w:asciiTheme="minorBidi" w:hAnsiTheme="minorBidi" w:hint="cs"/>
          <w:color w:val="E36C0A" w:themeColor="accent6" w:themeShade="BF"/>
          <w:rtl/>
        </w:rPr>
        <w:t>(</w:t>
      </w:r>
      <w:r w:rsidR="000D63D2" w:rsidRPr="00536897">
        <w:rPr>
          <w:rFonts w:asciiTheme="minorBidi" w:hAnsiTheme="minorBidi"/>
          <w:color w:val="E36C0A" w:themeColor="accent6" w:themeShade="BF"/>
          <w:rtl/>
        </w:rPr>
        <w:t>וכ"פ בשו"ע</w:t>
      </w:r>
      <w:r>
        <w:rPr>
          <w:rFonts w:asciiTheme="minorBidi" w:hAnsiTheme="minorBidi" w:hint="cs"/>
          <w:color w:val="E36C0A" w:themeColor="accent6" w:themeShade="BF"/>
          <w:rtl/>
        </w:rPr>
        <w:t>)</w:t>
      </w:r>
    </w:p>
    <w:p w14:paraId="5DD9456D" w14:textId="77777777" w:rsidR="00E137BC" w:rsidRPr="00576D5C" w:rsidRDefault="00E137BC" w:rsidP="00576D5C">
      <w:pPr>
        <w:rPr>
          <w:rFonts w:asciiTheme="minorBidi" w:hAnsiTheme="minorBidi"/>
          <w:b/>
          <w:bCs/>
          <w:color w:val="000000"/>
          <w:sz w:val="28"/>
          <w:szCs w:val="28"/>
          <w:u w:val="single"/>
          <w:rtl/>
        </w:rPr>
      </w:pPr>
      <w:r w:rsidRPr="00576D5C">
        <w:rPr>
          <w:rFonts w:asciiTheme="minorBidi" w:hAnsiTheme="minorBidi"/>
          <w:b/>
          <w:bCs/>
          <w:color w:val="000000"/>
          <w:sz w:val="28"/>
          <w:szCs w:val="28"/>
          <w:u w:val="single"/>
          <w:rtl/>
        </w:rPr>
        <w:t>שו"ע:</w:t>
      </w:r>
    </w:p>
    <w:p w14:paraId="734953C4" w14:textId="77777777" w:rsidR="00B243E2" w:rsidRPr="00B243E2" w:rsidRDefault="00E137BC" w:rsidP="00086EF5">
      <w:pPr>
        <w:rPr>
          <w:rFonts w:asciiTheme="minorBidi" w:hAnsiTheme="minorBidi"/>
          <w:rtl/>
        </w:rPr>
      </w:pPr>
      <w:r w:rsidRPr="00576D5C">
        <w:rPr>
          <w:rFonts w:asciiTheme="minorBidi" w:hAnsiTheme="minorBidi"/>
          <w:rtl/>
        </w:rPr>
        <w:t>דרך חכמים הראשונים, בורחים מלהתמנות, ודוחקים עצמם הרבה שלא לישב בדין עד שידעו שאין שם ראוי כמוהו ושאם ימנעו עצמם מהדין תתקלקל השורה, ואף על פי כן לא היו יושבים בדין עד שהיו מכבידים</w:t>
      </w:r>
      <w:r w:rsidR="00366F47" w:rsidRPr="00576D5C">
        <w:rPr>
          <w:rStyle w:val="ab"/>
          <w:rFonts w:asciiTheme="minorBidi" w:hAnsiTheme="minorBidi"/>
          <w:rtl/>
        </w:rPr>
        <w:footnoteReference w:id="435"/>
      </w:r>
      <w:r w:rsidRPr="00576D5C">
        <w:rPr>
          <w:rFonts w:asciiTheme="minorBidi" w:hAnsiTheme="minorBidi"/>
          <w:rtl/>
        </w:rPr>
        <w:t xml:space="preserve"> עליהם העם והזקינים ומפצירים בם. </w:t>
      </w:r>
    </w:p>
    <w:p w14:paraId="5F1F8475" w14:textId="77777777" w:rsidR="0067033B" w:rsidRPr="00576D5C" w:rsidRDefault="0067033B" w:rsidP="00576D5C">
      <w:pPr>
        <w:rPr>
          <w:rFonts w:asciiTheme="minorBidi" w:hAnsiTheme="minorBidi"/>
          <w:rtl/>
        </w:rPr>
      </w:pPr>
    </w:p>
    <w:p w14:paraId="572958E4" w14:textId="77777777" w:rsidR="0067033B" w:rsidRPr="00576D5C" w:rsidRDefault="00E137BC" w:rsidP="00E842BA">
      <w:pPr>
        <w:pStyle w:val="2"/>
        <w:rPr>
          <w:rtl/>
        </w:rPr>
      </w:pPr>
      <w:bookmarkStart w:id="52" w:name="_Toc24883551"/>
      <w:r w:rsidRPr="00576D5C">
        <w:rPr>
          <w:rtl/>
        </w:rPr>
        <w:t>סעיף ד</w:t>
      </w:r>
      <w:r w:rsidR="0067033B" w:rsidRPr="00576D5C">
        <w:rPr>
          <w:rtl/>
        </w:rPr>
        <w:t>:</w:t>
      </w:r>
      <w:r w:rsidR="007D4210" w:rsidRPr="00576D5C">
        <w:rPr>
          <w:rtl/>
        </w:rPr>
        <w:t xml:space="preserve"> כיצד יש לדיין להתנהג עם הציבור, וכבוד הדיין.</w:t>
      </w:r>
      <w:bookmarkEnd w:id="52"/>
    </w:p>
    <w:p w14:paraId="6843FB3E" w14:textId="77777777" w:rsidR="00E6410A" w:rsidRPr="00C343BC" w:rsidRDefault="00E6410A" w:rsidP="00576D5C">
      <w:pPr>
        <w:rPr>
          <w:rFonts w:asciiTheme="minorBidi" w:hAnsiTheme="minorBidi"/>
          <w:rtl/>
        </w:rPr>
      </w:pPr>
      <w:r w:rsidRPr="00576D5C">
        <w:rPr>
          <w:rFonts w:asciiTheme="minorBidi" w:hAnsiTheme="minorBidi"/>
          <w:b/>
          <w:bCs/>
          <w:color w:val="000000"/>
          <w:rtl/>
        </w:rPr>
        <w:t xml:space="preserve">ראש השנה </w:t>
      </w:r>
      <w:r w:rsidRPr="00576D5C">
        <w:rPr>
          <w:rFonts w:asciiTheme="minorBidi" w:hAnsiTheme="minorBidi"/>
          <w:b/>
          <w:bCs/>
          <w:color w:val="000000"/>
          <w:sz w:val="16"/>
          <w:szCs w:val="16"/>
          <w:rtl/>
        </w:rPr>
        <w:t xml:space="preserve">(פ"ק) </w:t>
      </w:r>
      <w:r w:rsidRPr="00576D5C">
        <w:rPr>
          <w:rFonts w:asciiTheme="minorBidi" w:hAnsiTheme="minorBidi"/>
          <w:b/>
          <w:bCs/>
          <w:color w:val="000000"/>
          <w:rtl/>
        </w:rPr>
        <w:t>יז</w:t>
      </w:r>
      <w:r w:rsidR="00112992">
        <w:rPr>
          <w:rStyle w:val="ab"/>
          <w:rFonts w:asciiTheme="minorBidi" w:hAnsiTheme="minorBidi"/>
          <w:b/>
          <w:bCs/>
          <w:color w:val="000000"/>
          <w:rtl/>
        </w:rPr>
        <w:footnoteReference w:id="436"/>
      </w:r>
      <w:r w:rsidRPr="00576D5C">
        <w:rPr>
          <w:rFonts w:asciiTheme="minorBidi" w:hAnsiTheme="minorBidi"/>
          <w:b/>
          <w:bCs/>
          <w:color w:val="000000"/>
          <w:rtl/>
        </w:rPr>
        <w:t xml:space="preserve"> ע"א: </w:t>
      </w:r>
      <w:r w:rsidRPr="00576D5C">
        <w:rPr>
          <w:rFonts w:asciiTheme="minorBidi" w:hAnsiTheme="minorBidi"/>
          <w:color w:val="000000"/>
          <w:rtl/>
        </w:rPr>
        <w:t xml:space="preserve">ושנתנו חיתיתם בארץ חיים, </w:t>
      </w:r>
      <w:r w:rsidRPr="00576D5C">
        <w:rPr>
          <w:rFonts w:asciiTheme="minorBidi" w:hAnsiTheme="minorBidi"/>
          <w:color w:val="000000"/>
          <w:u w:val="single"/>
          <w:rtl/>
        </w:rPr>
        <w:t>אמר רב חסדא</w:t>
      </w:r>
      <w:r w:rsidRPr="00576D5C">
        <w:rPr>
          <w:rFonts w:asciiTheme="minorBidi" w:hAnsiTheme="minorBidi"/>
          <w:color w:val="000000"/>
          <w:rtl/>
        </w:rPr>
        <w:t xml:space="preserve">: זה פרנס המטיל אימה יתירה על הצבור שלא לשם שמים. </w:t>
      </w:r>
      <w:bookmarkStart w:id="53" w:name="_Hlk18425811"/>
      <w:r w:rsidRPr="00576D5C">
        <w:rPr>
          <w:rFonts w:asciiTheme="minorBidi" w:hAnsiTheme="minorBidi"/>
          <w:color w:val="000000"/>
          <w:u w:val="single"/>
          <w:rtl/>
        </w:rPr>
        <w:t>אמר רב יהודה אמר רב</w:t>
      </w:r>
      <w:r w:rsidRPr="00C343BC">
        <w:rPr>
          <w:rFonts w:asciiTheme="minorBidi" w:hAnsiTheme="minorBidi"/>
          <w:rtl/>
        </w:rPr>
        <w:t>: כל פרנס המטיל אימה יתירה על הצבור שלא לשם שמים - אינו רואה בן תלמיד חכם</w:t>
      </w:r>
      <w:bookmarkEnd w:id="53"/>
      <w:r w:rsidRPr="00C343BC">
        <w:rPr>
          <w:rFonts w:asciiTheme="minorBidi" w:hAnsiTheme="minorBidi"/>
          <w:rtl/>
        </w:rPr>
        <w:t xml:space="preserve">, שנאמר לכן יראוהו אנשים לא יראה כל חכמי לב. </w:t>
      </w:r>
    </w:p>
    <w:p w14:paraId="130A6041" w14:textId="77777777" w:rsidR="00E6410A" w:rsidRPr="00576D5C" w:rsidRDefault="00E6410A" w:rsidP="00576D5C">
      <w:pPr>
        <w:rPr>
          <w:rFonts w:asciiTheme="minorBidi" w:hAnsiTheme="minorBidi"/>
          <w:color w:val="000000"/>
          <w:u w:val="single"/>
          <w:rtl/>
        </w:rPr>
      </w:pPr>
      <w:r w:rsidRPr="00576D5C">
        <w:rPr>
          <w:rFonts w:asciiTheme="minorBidi" w:hAnsiTheme="minorBidi"/>
          <w:color w:val="000000"/>
          <w:u w:val="single"/>
          <w:rtl/>
        </w:rPr>
        <w:t>פרנס המטיל אימה על הציבור שלא לשם שמים:</w:t>
      </w:r>
    </w:p>
    <w:p w14:paraId="101B5237" w14:textId="77777777" w:rsidR="00E6410A" w:rsidRPr="00576D5C" w:rsidRDefault="00E6410A" w:rsidP="00576D5C">
      <w:pPr>
        <w:pStyle w:val="ac"/>
        <w:numPr>
          <w:ilvl w:val="0"/>
          <w:numId w:val="1"/>
        </w:numPr>
        <w:rPr>
          <w:rFonts w:asciiTheme="minorBidi" w:hAnsiTheme="minorBidi"/>
          <w:color w:val="000000"/>
          <w:rtl/>
        </w:rPr>
      </w:pPr>
      <w:r w:rsidRPr="00576D5C">
        <w:rPr>
          <w:rFonts w:asciiTheme="minorBidi" w:hAnsiTheme="minorBidi"/>
          <w:color w:val="000000"/>
          <w:rtl/>
        </w:rPr>
        <w:lastRenderedPageBreak/>
        <w:t>רמב"ם</w:t>
      </w:r>
      <w:r w:rsidRPr="00576D5C">
        <w:rPr>
          <w:rFonts w:asciiTheme="minorBidi" w:hAnsiTheme="minorBidi"/>
          <w:color w:val="000000"/>
          <w:sz w:val="16"/>
          <w:szCs w:val="16"/>
          <w:rtl/>
        </w:rPr>
        <w:t xml:space="preserve"> (פכ"ה מהל' סנהדרין ה"א)</w:t>
      </w:r>
      <w:r w:rsidRPr="00C343BC">
        <w:rPr>
          <w:rFonts w:asciiTheme="minorBidi" w:hAnsiTheme="minorBidi"/>
          <w:rtl/>
        </w:rPr>
        <w:t xml:space="preserve"> וטור- אסור לאדם לנהוג בשררה על הצבור ובגסות הרוח אלא בענוה ויראה, וכל פרנס המטיל אימה יתירה על הצבור שלא לשם שמים נענש, ואינו רואה לו בן תלמיד חכם שנאמר לכן יראוהו אנשים לא יראה כל חכמי לב</w:t>
      </w:r>
      <w:r w:rsidRPr="00576D5C">
        <w:rPr>
          <w:rFonts w:asciiTheme="minorBidi" w:hAnsiTheme="minorBidi"/>
          <w:color w:val="000000"/>
          <w:sz w:val="16"/>
          <w:szCs w:val="16"/>
          <w:rtl/>
        </w:rPr>
        <w:t xml:space="preserve"> (ל' הרמב"ם)</w:t>
      </w:r>
      <w:r w:rsidRPr="00576D5C">
        <w:rPr>
          <w:rFonts w:asciiTheme="minorBidi" w:hAnsiTheme="minorBidi"/>
          <w:color w:val="000000"/>
          <w:rtl/>
        </w:rPr>
        <w:t xml:space="preserve">. </w:t>
      </w:r>
      <w:r w:rsidR="00E44CC4">
        <w:rPr>
          <w:rFonts w:asciiTheme="minorBidi" w:hAnsiTheme="minorBidi" w:hint="cs"/>
          <w:color w:val="E36C0A" w:themeColor="accent6" w:themeShade="BF"/>
          <w:rtl/>
        </w:rPr>
        <w:t>(</w:t>
      </w:r>
      <w:r w:rsidR="00E44CC4" w:rsidRPr="00536897">
        <w:rPr>
          <w:rFonts w:asciiTheme="minorBidi" w:hAnsiTheme="minorBidi"/>
          <w:color w:val="E36C0A" w:themeColor="accent6" w:themeShade="BF"/>
          <w:rtl/>
        </w:rPr>
        <w:t>וכ"פ בשו"ע</w:t>
      </w:r>
      <w:r w:rsidR="00E44CC4">
        <w:rPr>
          <w:rFonts w:asciiTheme="minorBidi" w:hAnsiTheme="minorBidi" w:hint="cs"/>
          <w:color w:val="E36C0A" w:themeColor="accent6" w:themeShade="BF"/>
          <w:rtl/>
        </w:rPr>
        <w:t>)</w:t>
      </w:r>
    </w:p>
    <w:p w14:paraId="032DCF17" w14:textId="77777777" w:rsidR="00DB4474" w:rsidRPr="00576D5C" w:rsidRDefault="00DB4474" w:rsidP="00576D5C">
      <w:pPr>
        <w:rPr>
          <w:rFonts w:asciiTheme="minorBidi" w:hAnsiTheme="minorBidi"/>
          <w:color w:val="000000"/>
          <w:rtl/>
        </w:rPr>
      </w:pPr>
      <w:r w:rsidRPr="00576D5C">
        <w:rPr>
          <w:rFonts w:asciiTheme="minorBidi" w:hAnsiTheme="minorBidi"/>
          <w:b/>
          <w:bCs/>
          <w:color w:val="000000"/>
          <w:rtl/>
        </w:rPr>
        <w:t xml:space="preserve">סנהדרין </w:t>
      </w:r>
      <w:r w:rsidRPr="00576D5C">
        <w:rPr>
          <w:rFonts w:asciiTheme="minorBidi" w:hAnsiTheme="minorBidi"/>
          <w:b/>
          <w:bCs/>
          <w:color w:val="000000"/>
          <w:sz w:val="16"/>
          <w:szCs w:val="16"/>
          <w:rtl/>
        </w:rPr>
        <w:t xml:space="preserve">(פ"ק) </w:t>
      </w:r>
      <w:r w:rsidRPr="00576D5C">
        <w:rPr>
          <w:rFonts w:asciiTheme="minorBidi" w:hAnsiTheme="minorBidi"/>
          <w:b/>
          <w:bCs/>
          <w:color w:val="000000"/>
          <w:rtl/>
        </w:rPr>
        <w:t>ז</w:t>
      </w:r>
      <w:r w:rsidR="00C14159">
        <w:rPr>
          <w:rStyle w:val="ab"/>
          <w:rFonts w:asciiTheme="minorBidi" w:hAnsiTheme="minorBidi"/>
          <w:b/>
          <w:bCs/>
          <w:color w:val="000000"/>
          <w:rtl/>
        </w:rPr>
        <w:footnoteReference w:id="437"/>
      </w:r>
      <w:r w:rsidRPr="00576D5C">
        <w:rPr>
          <w:rFonts w:asciiTheme="minorBidi" w:hAnsiTheme="minorBidi"/>
          <w:b/>
          <w:bCs/>
          <w:color w:val="000000"/>
          <w:rtl/>
        </w:rPr>
        <w:t xml:space="preserve"> ע"ב:</w:t>
      </w:r>
      <w:r w:rsidRPr="00576D5C">
        <w:rPr>
          <w:rFonts w:asciiTheme="minorBidi" w:hAnsiTheme="minorBidi"/>
          <w:color w:val="000000"/>
          <w:rtl/>
        </w:rPr>
        <w:t xml:space="preserve"> </w:t>
      </w:r>
      <w:r w:rsidRPr="00576D5C">
        <w:rPr>
          <w:rFonts w:asciiTheme="minorBidi" w:hAnsiTheme="minorBidi"/>
          <w:color w:val="000000"/>
          <w:u w:val="single"/>
          <w:rtl/>
        </w:rPr>
        <w:t>אמר רבי אליעזר</w:t>
      </w:r>
      <w:r w:rsidRPr="00C343BC">
        <w:rPr>
          <w:rFonts w:asciiTheme="minorBidi" w:hAnsiTheme="minorBidi"/>
          <w:rtl/>
        </w:rPr>
        <w:t>: מניין לדיין שלא יפסע על ראשי עם קודש</w:t>
      </w:r>
      <w:r w:rsidRPr="00576D5C">
        <w:rPr>
          <w:rStyle w:val="ab"/>
          <w:rFonts w:asciiTheme="minorBidi" w:hAnsiTheme="minorBidi"/>
          <w:color w:val="000000"/>
          <w:rtl/>
        </w:rPr>
        <w:footnoteReference w:id="438"/>
      </w:r>
      <w:r w:rsidRPr="00576D5C">
        <w:rPr>
          <w:rFonts w:asciiTheme="minorBidi" w:hAnsiTheme="minorBidi"/>
          <w:color w:val="000000"/>
          <w:rtl/>
        </w:rPr>
        <w:t xml:space="preserve"> - שנאמר לא תעלה במעלת, וסמיך ליה ואלה המשפטים... </w:t>
      </w:r>
      <w:r w:rsidRPr="00576D5C">
        <w:rPr>
          <w:rFonts w:asciiTheme="minorBidi" w:hAnsiTheme="minorBidi"/>
          <w:color w:val="000000"/>
          <w:sz w:val="14"/>
          <w:szCs w:val="14"/>
          <w:rtl/>
        </w:rPr>
        <w:t xml:space="preserve">(ח.) </w:t>
      </w:r>
      <w:r w:rsidRPr="00C343BC">
        <w:rPr>
          <w:rFonts w:asciiTheme="minorBidi" w:hAnsiTheme="minorBidi"/>
          <w:rtl/>
        </w:rPr>
        <w:t xml:space="preserve">כתיב ואצוה את שפטיכם בעת ההיא וכתיב ואצוה אתכם בעת ההיא. </w:t>
      </w:r>
      <w:r w:rsidRPr="00576D5C">
        <w:rPr>
          <w:rFonts w:asciiTheme="minorBidi" w:hAnsiTheme="minorBidi"/>
          <w:color w:val="000000"/>
          <w:u w:val="single"/>
          <w:rtl/>
        </w:rPr>
        <w:t>אמר רבי אלעזר אמר רבי שמלאי</w:t>
      </w:r>
      <w:r w:rsidRPr="00C343BC">
        <w:rPr>
          <w:rFonts w:asciiTheme="minorBidi" w:hAnsiTheme="minorBidi"/>
          <w:rtl/>
        </w:rPr>
        <w:t xml:space="preserve">: אזהרה לציבור שתהא אימת דיין עליהן. ואזהרה לדיין שיסבול את הציבור. עד כמה? </w:t>
      </w:r>
      <w:r w:rsidRPr="00576D5C">
        <w:rPr>
          <w:rFonts w:asciiTheme="minorBidi" w:hAnsiTheme="minorBidi"/>
          <w:color w:val="000000"/>
          <w:u w:val="single"/>
          <w:rtl/>
        </w:rPr>
        <w:t>אמר רבי חנן ואיתימא רבי שבתאי</w:t>
      </w:r>
      <w:r w:rsidRPr="00576D5C">
        <w:rPr>
          <w:rFonts w:asciiTheme="minorBidi" w:hAnsiTheme="minorBidi"/>
          <w:color w:val="000000"/>
          <w:rtl/>
        </w:rPr>
        <w:t xml:space="preserve">: כאשר ישא האמן את הינק. </w:t>
      </w:r>
    </w:p>
    <w:p w14:paraId="0F6E674C" w14:textId="77777777" w:rsidR="00DB4474" w:rsidRPr="00576D5C" w:rsidRDefault="00DB4474" w:rsidP="00576D5C">
      <w:pPr>
        <w:rPr>
          <w:rFonts w:asciiTheme="minorBidi" w:hAnsiTheme="minorBidi"/>
          <w:color w:val="000000"/>
          <w:rtl/>
        </w:rPr>
      </w:pPr>
      <w:bookmarkStart w:id="54" w:name="_Hlk8055777"/>
      <w:r w:rsidRPr="00576D5C">
        <w:rPr>
          <w:rFonts w:asciiTheme="minorBidi" w:hAnsiTheme="minorBidi"/>
          <w:b/>
          <w:bCs/>
          <w:color w:val="000000"/>
          <w:rtl/>
        </w:rPr>
        <w:t>שמות רבה פרשת וארא פרשה ז אות ג:</w:t>
      </w:r>
      <w:r w:rsidRPr="00576D5C">
        <w:rPr>
          <w:rFonts w:asciiTheme="minorBidi" w:hAnsiTheme="minorBidi"/>
          <w:color w:val="000000"/>
          <w:rtl/>
        </w:rPr>
        <w:t xml:space="preserve"> ויצום אל בני ישראל וגו', א"ל הקדוש ברוך הוא בני סרבנים הן רגזנין הן טרחנין הן, ע"מ כן תהיו מקבלין עליכם שיהיו מקללין אתכם שיהיו מסקלין אתכם באבנים.</w:t>
      </w:r>
    </w:p>
    <w:bookmarkEnd w:id="54"/>
    <w:p w14:paraId="197D7C19" w14:textId="77777777" w:rsidR="00E6410A" w:rsidRPr="00576D5C" w:rsidRDefault="00E6410A" w:rsidP="00576D5C">
      <w:pPr>
        <w:rPr>
          <w:rFonts w:asciiTheme="minorBidi" w:hAnsiTheme="minorBidi"/>
          <w:color w:val="000000"/>
          <w:u w:val="single"/>
          <w:rtl/>
        </w:rPr>
      </w:pPr>
      <w:r w:rsidRPr="00576D5C">
        <w:rPr>
          <w:rFonts w:asciiTheme="minorBidi" w:hAnsiTheme="minorBidi"/>
          <w:color w:val="000000"/>
          <w:u w:val="single"/>
          <w:rtl/>
        </w:rPr>
        <w:t>הדרך בה יש לנהוג בהנהגת עם ישראל:</w:t>
      </w:r>
      <w:r w:rsidR="00C14159">
        <w:rPr>
          <w:rFonts w:asciiTheme="minorBidi" w:hAnsiTheme="minorBidi" w:hint="cs"/>
          <w:color w:val="000000"/>
          <w:u w:val="single"/>
          <w:rtl/>
        </w:rPr>
        <w:t xml:space="preserve"> </w:t>
      </w:r>
    </w:p>
    <w:p w14:paraId="7E0E7902" w14:textId="77777777" w:rsidR="00E6410A" w:rsidRPr="00576D5C" w:rsidRDefault="00E6410A" w:rsidP="00576D5C">
      <w:pPr>
        <w:pStyle w:val="ac"/>
        <w:numPr>
          <w:ilvl w:val="0"/>
          <w:numId w:val="1"/>
        </w:numPr>
        <w:rPr>
          <w:rFonts w:asciiTheme="minorBidi" w:hAnsiTheme="minorBidi"/>
          <w:color w:val="000000"/>
          <w:rtl/>
        </w:rPr>
      </w:pPr>
      <w:r w:rsidRPr="00576D5C">
        <w:rPr>
          <w:rFonts w:asciiTheme="minorBidi" w:hAnsiTheme="minorBidi"/>
          <w:color w:val="000000"/>
          <w:rtl/>
        </w:rPr>
        <w:t>רמב"ם</w:t>
      </w:r>
      <w:r w:rsidRPr="00576D5C">
        <w:rPr>
          <w:rFonts w:asciiTheme="minorBidi" w:hAnsiTheme="minorBidi"/>
          <w:color w:val="000000"/>
          <w:sz w:val="16"/>
          <w:szCs w:val="16"/>
          <w:rtl/>
        </w:rPr>
        <w:t xml:space="preserve"> (</w:t>
      </w:r>
      <w:r w:rsidR="00C14159" w:rsidRPr="00576D5C">
        <w:rPr>
          <w:rFonts w:asciiTheme="minorBidi" w:hAnsiTheme="minorBidi"/>
          <w:color w:val="000000"/>
          <w:sz w:val="16"/>
          <w:szCs w:val="16"/>
          <w:rtl/>
        </w:rPr>
        <w:t xml:space="preserve">פכ"ה מהל' סנהדרין </w:t>
      </w:r>
      <w:r w:rsidRPr="00576D5C">
        <w:rPr>
          <w:rFonts w:asciiTheme="minorBidi" w:hAnsiTheme="minorBidi"/>
          <w:color w:val="000000"/>
          <w:sz w:val="16"/>
          <w:szCs w:val="16"/>
          <w:rtl/>
        </w:rPr>
        <w:t>ה"ב)</w:t>
      </w:r>
      <w:r w:rsidRPr="00C343BC">
        <w:rPr>
          <w:rFonts w:asciiTheme="minorBidi" w:hAnsiTheme="minorBidi"/>
          <w:rtl/>
        </w:rPr>
        <w:t xml:space="preserve"> וטור- וכן אסור לו לנהוג בהן קלות ראש אע</w:t>
      </w:r>
      <w:r w:rsidR="00C14159">
        <w:rPr>
          <w:rFonts w:asciiTheme="minorBidi" w:hAnsiTheme="minorBidi" w:hint="cs"/>
          <w:rtl/>
        </w:rPr>
        <w:t>"</w:t>
      </w:r>
      <w:r w:rsidRPr="00C343BC">
        <w:rPr>
          <w:rFonts w:asciiTheme="minorBidi" w:hAnsiTheme="minorBidi"/>
          <w:rtl/>
        </w:rPr>
        <w:t>פ שהן עמי הארץ, ולא יפסיע על ראשי עם הקדש, אע</w:t>
      </w:r>
      <w:r w:rsidR="00C14159">
        <w:rPr>
          <w:rFonts w:asciiTheme="minorBidi" w:hAnsiTheme="minorBidi" w:hint="cs"/>
          <w:rtl/>
        </w:rPr>
        <w:t>"</w:t>
      </w:r>
      <w:r w:rsidRPr="00C343BC">
        <w:rPr>
          <w:rFonts w:asciiTheme="minorBidi" w:hAnsiTheme="minorBidi"/>
          <w:rtl/>
        </w:rPr>
        <w:t>פ שהן הדיוטות ושפלים בני אברהם יצחק ויעקב הם</w:t>
      </w:r>
      <w:r w:rsidR="00C14159">
        <w:rPr>
          <w:rFonts w:asciiTheme="minorBidi" w:hAnsiTheme="minorBidi" w:hint="cs"/>
          <w:rtl/>
        </w:rPr>
        <w:t>,</w:t>
      </w:r>
      <w:r w:rsidRPr="00C343BC">
        <w:rPr>
          <w:rFonts w:asciiTheme="minorBidi" w:hAnsiTheme="minorBidi"/>
          <w:rtl/>
        </w:rPr>
        <w:t xml:space="preserve"> וצבאות השם שהוציא מארץ מצרים בכח גדול וביד חזקה</w:t>
      </w:r>
      <w:r w:rsidR="00C14159">
        <w:rPr>
          <w:rFonts w:asciiTheme="minorBidi" w:hAnsiTheme="minorBidi" w:hint="cs"/>
          <w:rtl/>
        </w:rPr>
        <w:t>.</w:t>
      </w:r>
      <w:r w:rsidRPr="00C343BC">
        <w:rPr>
          <w:rFonts w:asciiTheme="minorBidi" w:hAnsiTheme="minorBidi"/>
          <w:rtl/>
        </w:rPr>
        <w:t xml:space="preserve"> וסובל טורח הצבור ומשאן כמשה רבינו, שנאמר בו כאשר ישא האומן את היונק, והרי הוא אומר ואצוה את שופטיכם </w:t>
      </w:r>
      <w:r w:rsidR="00C14159">
        <w:rPr>
          <w:rFonts w:asciiTheme="minorBidi" w:hAnsiTheme="minorBidi" w:hint="cs"/>
          <w:rtl/>
        </w:rPr>
        <w:t xml:space="preserve">- </w:t>
      </w:r>
      <w:r w:rsidRPr="00C343BC">
        <w:rPr>
          <w:rFonts w:asciiTheme="minorBidi" w:hAnsiTheme="minorBidi"/>
          <w:rtl/>
        </w:rPr>
        <w:t>זו אזהרה לדיין שיסבול את הצבור כאשר ישא האומן את היונק</w:t>
      </w:r>
      <w:r w:rsidR="00C14159">
        <w:rPr>
          <w:rFonts w:asciiTheme="minorBidi" w:hAnsiTheme="minorBidi" w:hint="cs"/>
          <w:rtl/>
        </w:rPr>
        <w:t>.</w:t>
      </w:r>
      <w:r w:rsidRPr="00C343BC">
        <w:rPr>
          <w:rFonts w:asciiTheme="minorBidi" w:hAnsiTheme="minorBidi"/>
          <w:rtl/>
        </w:rPr>
        <w:t xml:space="preserve"> צא ולמד ממשה רבן של כל הנביאים כיון ששלחו הקדוש ברוך הוא במצרים ונאמר ויצום אל בני ישראל אמרו מפי הקבלה שאמר להם למשה ולאהרן על מנת שיהיו מקללים אתכם וסוקלין אתכם באבנים </w:t>
      </w:r>
      <w:r w:rsidRPr="00576D5C">
        <w:rPr>
          <w:rFonts w:asciiTheme="minorBidi" w:hAnsiTheme="minorBidi"/>
          <w:color w:val="000000"/>
          <w:sz w:val="16"/>
          <w:szCs w:val="16"/>
          <w:rtl/>
        </w:rPr>
        <w:t>(ל' הרמב"ם)</w:t>
      </w:r>
      <w:r w:rsidRPr="00576D5C">
        <w:rPr>
          <w:rFonts w:asciiTheme="minorBidi" w:hAnsiTheme="minorBidi"/>
          <w:color w:val="000000"/>
          <w:rtl/>
        </w:rPr>
        <w:t xml:space="preserve">. </w:t>
      </w:r>
      <w:r w:rsidR="00E44CC4">
        <w:rPr>
          <w:rFonts w:asciiTheme="minorBidi" w:hAnsiTheme="minorBidi" w:hint="cs"/>
          <w:color w:val="E36C0A" w:themeColor="accent6" w:themeShade="BF"/>
          <w:rtl/>
        </w:rPr>
        <w:t>(</w:t>
      </w:r>
      <w:r w:rsidR="00E44CC4" w:rsidRPr="00536897">
        <w:rPr>
          <w:rFonts w:asciiTheme="minorBidi" w:hAnsiTheme="minorBidi"/>
          <w:color w:val="E36C0A" w:themeColor="accent6" w:themeShade="BF"/>
          <w:rtl/>
        </w:rPr>
        <w:t>וכ"פ בשו"ע</w:t>
      </w:r>
      <w:r w:rsidR="00E44CC4">
        <w:rPr>
          <w:rFonts w:asciiTheme="minorBidi" w:hAnsiTheme="minorBidi" w:hint="cs"/>
          <w:color w:val="E36C0A" w:themeColor="accent6" w:themeShade="BF"/>
          <w:rtl/>
        </w:rPr>
        <w:t>)</w:t>
      </w:r>
    </w:p>
    <w:p w14:paraId="0C454F32" w14:textId="77777777" w:rsidR="00E6410A" w:rsidRPr="00576D5C" w:rsidRDefault="00E6410A" w:rsidP="00576D5C">
      <w:pPr>
        <w:rPr>
          <w:rFonts w:asciiTheme="minorBidi" w:hAnsiTheme="minorBidi"/>
          <w:color w:val="000000"/>
          <w:u w:val="single"/>
          <w:rtl/>
        </w:rPr>
      </w:pPr>
      <w:r w:rsidRPr="00576D5C">
        <w:rPr>
          <w:rFonts w:asciiTheme="minorBidi" w:hAnsiTheme="minorBidi"/>
          <w:color w:val="000000"/>
          <w:u w:val="single"/>
          <w:rtl/>
        </w:rPr>
        <w:t>חובת הציבור לנהוג כבוד בדיין:</w:t>
      </w:r>
    </w:p>
    <w:p w14:paraId="59FBE23E" w14:textId="77777777" w:rsidR="00E6410A" w:rsidRPr="006C719F" w:rsidRDefault="00E6410A" w:rsidP="006C719F">
      <w:pPr>
        <w:pStyle w:val="ac"/>
        <w:numPr>
          <w:ilvl w:val="0"/>
          <w:numId w:val="1"/>
        </w:numPr>
        <w:rPr>
          <w:rFonts w:asciiTheme="minorBidi" w:hAnsiTheme="minorBidi"/>
          <w:color w:val="000000"/>
          <w:rtl/>
        </w:rPr>
      </w:pPr>
      <w:r w:rsidRPr="006C719F">
        <w:rPr>
          <w:rFonts w:asciiTheme="minorBidi" w:hAnsiTheme="minorBidi"/>
          <w:color w:val="000000"/>
          <w:rtl/>
        </w:rPr>
        <w:t>רמב"ם</w:t>
      </w:r>
      <w:r w:rsidRPr="006C719F">
        <w:rPr>
          <w:rFonts w:asciiTheme="minorBidi" w:hAnsiTheme="minorBidi"/>
          <w:color w:val="000000"/>
          <w:sz w:val="16"/>
          <w:szCs w:val="16"/>
          <w:rtl/>
        </w:rPr>
        <w:t xml:space="preserve"> (שם ה"ג)</w:t>
      </w:r>
      <w:r w:rsidR="00DB4474" w:rsidRPr="006C719F">
        <w:rPr>
          <w:rFonts w:asciiTheme="minorBidi" w:hAnsiTheme="minorBidi"/>
          <w:color w:val="000000"/>
          <w:rtl/>
        </w:rPr>
        <w:t xml:space="preserve"> וטור</w:t>
      </w:r>
      <w:r w:rsidRPr="006C719F">
        <w:rPr>
          <w:rFonts w:asciiTheme="minorBidi" w:hAnsiTheme="minorBidi"/>
          <w:color w:val="000000"/>
          <w:rtl/>
        </w:rPr>
        <w:t xml:space="preserve">- כדרך שנצטוה הדיין לנהוג במצוה זו כך נצטוו הצבור לנהוג כבוד בדיין, שנאמר ואצוה אתכם </w:t>
      </w:r>
      <w:r w:rsidR="00C14159" w:rsidRPr="006C719F">
        <w:rPr>
          <w:rFonts w:asciiTheme="minorBidi" w:hAnsiTheme="minorBidi" w:hint="cs"/>
          <w:color w:val="000000"/>
          <w:rtl/>
        </w:rPr>
        <w:t xml:space="preserve">- </w:t>
      </w:r>
      <w:r w:rsidRPr="006C719F">
        <w:rPr>
          <w:rFonts w:asciiTheme="minorBidi" w:hAnsiTheme="minorBidi"/>
          <w:color w:val="000000"/>
          <w:rtl/>
        </w:rPr>
        <w:t>זו אזהרה לצבור שתהיה אימת הדיין עליהן</w:t>
      </w:r>
      <w:r w:rsidR="006C719F">
        <w:rPr>
          <w:rFonts w:asciiTheme="minorBidi" w:hAnsiTheme="minorBidi" w:hint="cs"/>
          <w:color w:val="000000"/>
          <w:rtl/>
        </w:rPr>
        <w:t>.</w:t>
      </w:r>
      <w:r w:rsidRPr="006C719F">
        <w:rPr>
          <w:rFonts w:asciiTheme="minorBidi" w:hAnsiTheme="minorBidi"/>
          <w:color w:val="000000"/>
          <w:rtl/>
        </w:rPr>
        <w:t xml:space="preserve"> ולא יתבזה בפניהם ולא ינהוג קלות ראש בעצמו </w:t>
      </w:r>
      <w:r w:rsidRPr="006C719F">
        <w:rPr>
          <w:rFonts w:asciiTheme="minorBidi" w:hAnsiTheme="minorBidi"/>
          <w:color w:val="000000"/>
          <w:sz w:val="16"/>
          <w:szCs w:val="16"/>
          <w:rtl/>
        </w:rPr>
        <w:t>(ל' הרמב"ם)</w:t>
      </w:r>
      <w:r w:rsidRPr="006C719F">
        <w:rPr>
          <w:rFonts w:asciiTheme="minorBidi" w:hAnsiTheme="minorBidi"/>
          <w:color w:val="000000"/>
          <w:rtl/>
        </w:rPr>
        <w:t xml:space="preserve">. </w:t>
      </w:r>
      <w:r w:rsidR="00E44CC4" w:rsidRPr="006C719F">
        <w:rPr>
          <w:rFonts w:asciiTheme="minorBidi" w:hAnsiTheme="minorBidi" w:hint="cs"/>
          <w:color w:val="E36C0A" w:themeColor="accent6" w:themeShade="BF"/>
          <w:rtl/>
        </w:rPr>
        <w:t>(</w:t>
      </w:r>
      <w:r w:rsidR="00E44CC4" w:rsidRPr="006C719F">
        <w:rPr>
          <w:rFonts w:asciiTheme="minorBidi" w:hAnsiTheme="minorBidi"/>
          <w:color w:val="E36C0A" w:themeColor="accent6" w:themeShade="BF"/>
          <w:rtl/>
        </w:rPr>
        <w:t>וכ"פ בשו"ע</w:t>
      </w:r>
      <w:r w:rsidR="00E44CC4" w:rsidRPr="006C719F">
        <w:rPr>
          <w:rFonts w:asciiTheme="minorBidi" w:hAnsiTheme="minorBidi" w:hint="cs"/>
          <w:color w:val="E36C0A" w:themeColor="accent6" w:themeShade="BF"/>
          <w:rtl/>
        </w:rPr>
        <w:t>)</w:t>
      </w:r>
    </w:p>
    <w:p w14:paraId="2F233D64" w14:textId="77777777" w:rsidR="00C14159" w:rsidRPr="00C343BC" w:rsidRDefault="00C14159" w:rsidP="00C14159">
      <w:pPr>
        <w:rPr>
          <w:rFonts w:asciiTheme="minorBidi" w:hAnsiTheme="minorBidi"/>
          <w:rtl/>
        </w:rPr>
      </w:pPr>
      <w:r w:rsidRPr="00576D5C">
        <w:rPr>
          <w:rFonts w:asciiTheme="minorBidi" w:hAnsiTheme="minorBidi"/>
          <w:b/>
          <w:bCs/>
          <w:color w:val="000000"/>
          <w:rtl/>
        </w:rPr>
        <w:t xml:space="preserve">קידושין </w:t>
      </w:r>
      <w:r w:rsidRPr="00576D5C">
        <w:rPr>
          <w:rFonts w:asciiTheme="minorBidi" w:hAnsiTheme="minorBidi"/>
          <w:b/>
          <w:bCs/>
          <w:color w:val="000000"/>
          <w:sz w:val="16"/>
          <w:szCs w:val="16"/>
          <w:rtl/>
        </w:rPr>
        <w:t xml:space="preserve">(פ' עשרה יוחסין) </w:t>
      </w:r>
      <w:r w:rsidRPr="00576D5C">
        <w:rPr>
          <w:rFonts w:asciiTheme="minorBidi" w:hAnsiTheme="minorBidi"/>
          <w:b/>
          <w:bCs/>
          <w:color w:val="000000"/>
          <w:rtl/>
        </w:rPr>
        <w:t>ע</w:t>
      </w:r>
      <w:r w:rsidR="00CD2002">
        <w:rPr>
          <w:rStyle w:val="ab"/>
          <w:rFonts w:asciiTheme="minorBidi" w:hAnsiTheme="minorBidi"/>
          <w:b/>
          <w:bCs/>
          <w:color w:val="000000"/>
          <w:rtl/>
        </w:rPr>
        <w:footnoteReference w:id="439"/>
      </w:r>
      <w:r w:rsidRPr="00576D5C">
        <w:rPr>
          <w:rFonts w:asciiTheme="minorBidi" w:hAnsiTheme="minorBidi"/>
          <w:b/>
          <w:bCs/>
          <w:color w:val="000000"/>
          <w:rtl/>
        </w:rPr>
        <w:t xml:space="preserve"> ע"א:</w:t>
      </w:r>
      <w:r w:rsidRPr="00576D5C">
        <w:rPr>
          <w:rFonts w:asciiTheme="minorBidi" w:hAnsiTheme="minorBidi"/>
          <w:color w:val="000000"/>
          <w:rtl/>
        </w:rPr>
        <w:t xml:space="preserve"> אזל ההוא</w:t>
      </w:r>
      <w:r w:rsidRPr="00576D5C">
        <w:rPr>
          <w:rStyle w:val="ab"/>
          <w:rFonts w:asciiTheme="minorBidi" w:hAnsiTheme="minorBidi"/>
          <w:color w:val="000000"/>
          <w:rtl/>
        </w:rPr>
        <w:footnoteReference w:id="440"/>
      </w:r>
      <w:r w:rsidRPr="00C343BC">
        <w:rPr>
          <w:rFonts w:asciiTheme="minorBidi" w:hAnsiTheme="minorBidi"/>
          <w:rtl/>
        </w:rPr>
        <w:t xml:space="preserve"> אזמניה לדינא לקמיה דרב נחמן... אתא</w:t>
      </w:r>
      <w:r w:rsidRPr="00576D5C">
        <w:rPr>
          <w:rStyle w:val="ab"/>
          <w:rFonts w:asciiTheme="minorBidi" w:hAnsiTheme="minorBidi"/>
          <w:color w:val="000000"/>
          <w:rtl/>
        </w:rPr>
        <w:footnoteReference w:id="441"/>
      </w:r>
      <w:r w:rsidRPr="00C343BC">
        <w:rPr>
          <w:rFonts w:asciiTheme="minorBidi" w:hAnsiTheme="minorBidi"/>
          <w:rtl/>
        </w:rPr>
        <w:t xml:space="preserve"> אשכחיה דקעביד מעקה, </w:t>
      </w:r>
      <w:r w:rsidRPr="00576D5C">
        <w:rPr>
          <w:rFonts w:asciiTheme="minorBidi" w:hAnsiTheme="minorBidi"/>
          <w:color w:val="000000"/>
          <w:u w:val="single"/>
          <w:rtl/>
        </w:rPr>
        <w:t>אמר ליה:</w:t>
      </w:r>
      <w:r w:rsidRPr="00C343BC">
        <w:rPr>
          <w:rFonts w:asciiTheme="minorBidi" w:hAnsiTheme="minorBidi"/>
          <w:rtl/>
        </w:rPr>
        <w:t xml:space="preserve"> לא סבר לה מר להא דאמר רב הונא בר אידי אמר שמואל: כיון שנתמנה אדם פרנס על הצבור - אסור בעשיית מלאכה בפני שלשה? </w:t>
      </w:r>
      <w:r w:rsidR="00CD2002" w:rsidRPr="00CD2002">
        <w:rPr>
          <w:rFonts w:asciiTheme="minorBidi" w:hAnsiTheme="minorBidi" w:cs="Arial"/>
          <w:u w:val="single"/>
          <w:rtl/>
        </w:rPr>
        <w:t>א"ל</w:t>
      </w:r>
      <w:r w:rsidR="00CD2002" w:rsidRPr="00CD2002">
        <w:rPr>
          <w:rFonts w:asciiTheme="minorBidi" w:hAnsiTheme="minorBidi" w:cs="Arial"/>
          <w:rtl/>
        </w:rPr>
        <w:t>: פורתא דגונדריתא</w:t>
      </w:r>
      <w:r w:rsidR="00CD2002">
        <w:rPr>
          <w:rStyle w:val="ab"/>
          <w:rFonts w:asciiTheme="minorBidi" w:hAnsiTheme="minorBidi" w:cs="Arial"/>
          <w:rtl/>
        </w:rPr>
        <w:footnoteReference w:id="442"/>
      </w:r>
      <w:r w:rsidR="00CD2002" w:rsidRPr="00CD2002">
        <w:rPr>
          <w:rFonts w:asciiTheme="minorBidi" w:hAnsiTheme="minorBidi" w:cs="Arial"/>
          <w:rtl/>
        </w:rPr>
        <w:t xml:space="preserve"> הוא דקא עבידנא</w:t>
      </w:r>
      <w:r w:rsidR="00CD2002">
        <w:rPr>
          <w:rFonts w:asciiTheme="minorBidi" w:hAnsiTheme="minorBidi" w:hint="cs"/>
          <w:rtl/>
        </w:rPr>
        <w:t>.</w:t>
      </w:r>
      <w:r w:rsidR="00CD2002" w:rsidRPr="00CD2002">
        <w:rPr>
          <w:rtl/>
        </w:rPr>
        <w:t xml:space="preserve"> </w:t>
      </w:r>
      <w:r w:rsidR="00CD2002">
        <w:rPr>
          <w:rFonts w:asciiTheme="minorBidi" w:hAnsiTheme="minorBidi" w:cs="Arial" w:hint="cs"/>
          <w:sz w:val="16"/>
          <w:szCs w:val="16"/>
          <w:rtl/>
        </w:rPr>
        <w:t>(וכתב המאירי-</w:t>
      </w:r>
      <w:r w:rsidR="00CD2002" w:rsidRPr="00CD2002">
        <w:rPr>
          <w:rtl/>
        </w:rPr>
        <w:t xml:space="preserve"> </w:t>
      </w:r>
      <w:r w:rsidR="00CD2002" w:rsidRPr="00CD2002">
        <w:rPr>
          <w:rFonts w:asciiTheme="minorBidi" w:hAnsiTheme="minorBidi" w:cs="Arial"/>
          <w:sz w:val="16"/>
          <w:szCs w:val="16"/>
          <w:rtl/>
        </w:rPr>
        <w:t>כל שהוא ממונה פרנס על הציבור ומנהיגם אם מצד חכמתו אם מצד מעלתו ראוי לו לנהוג בעצמו שררה שלא יזונו עיני הבריות ממנו דרך הדיטות עד שיהא בעיניהם כאחד מהם ולא יהיו דבריו נשמעים ומקבלים מכאן אמרו שאסור לו לעשות מלאכה בפני שלשה</w:t>
      </w:r>
      <w:r w:rsidR="006C719F">
        <w:rPr>
          <w:rFonts w:asciiTheme="minorBidi" w:hAnsiTheme="minorBidi" w:cs="Arial" w:hint="cs"/>
          <w:sz w:val="16"/>
          <w:szCs w:val="16"/>
          <w:rtl/>
        </w:rPr>
        <w:t>.</w:t>
      </w:r>
      <w:r w:rsidR="00CD2002" w:rsidRPr="00CD2002">
        <w:rPr>
          <w:rFonts w:asciiTheme="minorBidi" w:hAnsiTheme="minorBidi" w:cs="Arial"/>
          <w:sz w:val="16"/>
          <w:szCs w:val="16"/>
          <w:rtl/>
        </w:rPr>
        <w:t xml:space="preserve"> ומכל מקו</w:t>
      </w:r>
      <w:r w:rsidR="006C719F">
        <w:rPr>
          <w:rFonts w:asciiTheme="minorBidi" w:hAnsiTheme="minorBidi" w:cs="Arial" w:hint="cs"/>
          <w:sz w:val="16"/>
          <w:szCs w:val="16"/>
          <w:rtl/>
        </w:rPr>
        <w:t>ם</w:t>
      </w:r>
      <w:r w:rsidR="00CD2002" w:rsidRPr="00CD2002">
        <w:rPr>
          <w:rFonts w:asciiTheme="minorBidi" w:hAnsiTheme="minorBidi" w:cs="Arial"/>
          <w:sz w:val="16"/>
          <w:szCs w:val="16"/>
          <w:rtl/>
        </w:rPr>
        <w:t xml:space="preserve"> עשית </w:t>
      </w:r>
      <w:r w:rsidR="00CD2002" w:rsidRPr="006C719F">
        <w:rPr>
          <w:rFonts w:asciiTheme="minorBidi" w:hAnsiTheme="minorBidi" w:cs="Arial"/>
          <w:b/>
          <w:bCs/>
          <w:sz w:val="16"/>
          <w:szCs w:val="16"/>
          <w:rtl/>
        </w:rPr>
        <w:t>מלאכה</w:t>
      </w:r>
      <w:r w:rsidR="00CD2002" w:rsidRPr="00CD2002">
        <w:rPr>
          <w:rFonts w:asciiTheme="minorBidi" w:hAnsiTheme="minorBidi" w:cs="Arial"/>
          <w:sz w:val="16"/>
          <w:szCs w:val="16"/>
          <w:rtl/>
        </w:rPr>
        <w:t xml:space="preserve"> </w:t>
      </w:r>
      <w:r w:rsidR="00CD2002" w:rsidRPr="006C719F">
        <w:rPr>
          <w:rFonts w:asciiTheme="minorBidi" w:hAnsiTheme="minorBidi" w:cs="Arial"/>
          <w:b/>
          <w:bCs/>
          <w:sz w:val="16"/>
          <w:szCs w:val="16"/>
          <w:rtl/>
        </w:rPr>
        <w:t>מועטת</w:t>
      </w:r>
      <w:r w:rsidR="006C719F">
        <w:rPr>
          <w:rFonts w:asciiTheme="minorBidi" w:hAnsiTheme="minorBidi" w:cs="Arial" w:hint="cs"/>
          <w:sz w:val="16"/>
          <w:szCs w:val="16"/>
          <w:rtl/>
        </w:rPr>
        <w:t>,</w:t>
      </w:r>
      <w:r w:rsidR="00CD2002" w:rsidRPr="00CD2002">
        <w:rPr>
          <w:rFonts w:asciiTheme="minorBidi" w:hAnsiTheme="minorBidi" w:cs="Arial"/>
          <w:sz w:val="16"/>
          <w:szCs w:val="16"/>
          <w:rtl/>
        </w:rPr>
        <w:t xml:space="preserve"> </w:t>
      </w:r>
      <w:r w:rsidR="00CD2002" w:rsidRPr="006C719F">
        <w:rPr>
          <w:rFonts w:asciiTheme="minorBidi" w:hAnsiTheme="minorBidi" w:cs="Arial"/>
          <w:b/>
          <w:bCs/>
          <w:sz w:val="16"/>
          <w:szCs w:val="16"/>
          <w:rtl/>
        </w:rPr>
        <w:t>בביתו</w:t>
      </w:r>
      <w:r w:rsidR="006C719F">
        <w:rPr>
          <w:rFonts w:asciiTheme="minorBidi" w:hAnsiTheme="minorBidi" w:cs="Arial" w:hint="cs"/>
          <w:sz w:val="16"/>
          <w:szCs w:val="16"/>
          <w:rtl/>
        </w:rPr>
        <w:t>,</w:t>
      </w:r>
      <w:r w:rsidR="00CD2002" w:rsidRPr="00CD2002">
        <w:rPr>
          <w:rFonts w:asciiTheme="minorBidi" w:hAnsiTheme="minorBidi" w:cs="Arial"/>
          <w:sz w:val="16"/>
          <w:szCs w:val="16"/>
          <w:rtl/>
        </w:rPr>
        <w:t xml:space="preserve"> </w:t>
      </w:r>
      <w:r w:rsidR="00CD2002" w:rsidRPr="006C719F">
        <w:rPr>
          <w:rFonts w:asciiTheme="minorBidi" w:hAnsiTheme="minorBidi" w:cs="Arial"/>
          <w:b/>
          <w:bCs/>
          <w:sz w:val="16"/>
          <w:szCs w:val="16"/>
          <w:rtl/>
        </w:rPr>
        <w:t>במקום</w:t>
      </w:r>
      <w:r w:rsidR="00CD2002" w:rsidRPr="00CD2002">
        <w:rPr>
          <w:rFonts w:asciiTheme="minorBidi" w:hAnsiTheme="minorBidi" w:cs="Arial"/>
          <w:sz w:val="16"/>
          <w:szCs w:val="16"/>
          <w:rtl/>
        </w:rPr>
        <w:t xml:space="preserve"> </w:t>
      </w:r>
      <w:r w:rsidR="00CD2002" w:rsidRPr="006C719F">
        <w:rPr>
          <w:rFonts w:asciiTheme="minorBidi" w:hAnsiTheme="minorBidi" w:cs="Arial"/>
          <w:b/>
          <w:bCs/>
          <w:sz w:val="16"/>
          <w:szCs w:val="16"/>
          <w:rtl/>
        </w:rPr>
        <w:t>מצוה</w:t>
      </w:r>
      <w:r w:rsidR="006C719F">
        <w:rPr>
          <w:rFonts w:asciiTheme="minorBidi" w:hAnsiTheme="minorBidi" w:cs="Arial" w:hint="cs"/>
          <w:sz w:val="16"/>
          <w:szCs w:val="16"/>
          <w:rtl/>
        </w:rPr>
        <w:t>,</w:t>
      </w:r>
      <w:r w:rsidR="00CD2002" w:rsidRPr="00CD2002">
        <w:rPr>
          <w:rFonts w:asciiTheme="minorBidi" w:hAnsiTheme="minorBidi" w:cs="Arial"/>
          <w:sz w:val="16"/>
          <w:szCs w:val="16"/>
          <w:rtl/>
        </w:rPr>
        <w:t xml:space="preserve"> כגון מעקה וכיוצא בו </w:t>
      </w:r>
      <w:r w:rsidR="006C719F">
        <w:rPr>
          <w:rFonts w:asciiTheme="minorBidi" w:hAnsiTheme="minorBidi" w:cs="Arial" w:hint="cs"/>
          <w:sz w:val="16"/>
          <w:szCs w:val="16"/>
          <w:rtl/>
        </w:rPr>
        <w:t xml:space="preserve">- </w:t>
      </w:r>
      <w:r w:rsidR="00CD2002" w:rsidRPr="00CD2002">
        <w:rPr>
          <w:rFonts w:asciiTheme="minorBidi" w:hAnsiTheme="minorBidi" w:cs="Arial"/>
          <w:sz w:val="16"/>
          <w:szCs w:val="16"/>
          <w:rtl/>
        </w:rPr>
        <w:t>רשאי</w:t>
      </w:r>
      <w:r w:rsidR="00CD2002">
        <w:rPr>
          <w:rFonts w:asciiTheme="minorBidi" w:hAnsiTheme="minorBidi" w:cs="Arial" w:hint="cs"/>
          <w:sz w:val="16"/>
          <w:szCs w:val="16"/>
          <w:rtl/>
        </w:rPr>
        <w:t>. עכ"ל. אך המקנה כתב ד</w:t>
      </w:r>
      <w:r w:rsidR="00CD2002" w:rsidRPr="00CD2002">
        <w:rPr>
          <w:rFonts w:asciiTheme="minorBidi" w:hAnsiTheme="minorBidi" w:cs="Arial"/>
          <w:sz w:val="16"/>
          <w:szCs w:val="16"/>
          <w:rtl/>
        </w:rPr>
        <w:t>משמע שהשיבו כיון שאין זה אלא בנין של מצות מעקה אין זה משום מלאכה בפני רבים, וכה"ג מצינו במשה רבינו ע"ה בסוף בשלח ויבן משה מזבח וכן בסוף משפטים ויבן מזבח וכן בהקמת המשכן ויקם משה את המשכן משמע דכל מלאכת מצוה מותר לעשותו, וצ"ע למה לא הזכירוהו הפוסקים וק"ל</w:t>
      </w:r>
      <w:r w:rsidR="00CD2002">
        <w:rPr>
          <w:rFonts w:asciiTheme="minorBidi" w:hAnsiTheme="minorBidi" w:cs="Arial" w:hint="cs"/>
          <w:sz w:val="16"/>
          <w:szCs w:val="16"/>
          <w:rtl/>
        </w:rPr>
        <w:t>. עכ"ל.)</w:t>
      </w:r>
    </w:p>
    <w:p w14:paraId="75F6E923" w14:textId="77777777" w:rsidR="00376B35" w:rsidRDefault="00376B35" w:rsidP="00E44CC4">
      <w:pPr>
        <w:rPr>
          <w:rFonts w:asciiTheme="minorBidi" w:hAnsiTheme="minorBidi"/>
          <w:color w:val="000000"/>
          <w:rtl/>
        </w:rPr>
      </w:pPr>
      <w:bookmarkStart w:id="55" w:name="_Hlk23878849"/>
      <w:r>
        <w:rPr>
          <w:rFonts w:asciiTheme="minorBidi" w:hAnsiTheme="minorBidi" w:cs="Arial" w:hint="cs"/>
          <w:b/>
          <w:bCs/>
          <w:color w:val="000000"/>
          <w:rtl/>
        </w:rPr>
        <w:t>פסחים מט</w:t>
      </w:r>
      <w:r w:rsidR="002E2AAA">
        <w:rPr>
          <w:rStyle w:val="ab"/>
          <w:rFonts w:asciiTheme="minorBidi" w:hAnsiTheme="minorBidi" w:cs="Arial"/>
          <w:b/>
          <w:bCs/>
          <w:color w:val="000000"/>
          <w:rtl/>
        </w:rPr>
        <w:footnoteReference w:id="443"/>
      </w:r>
      <w:r>
        <w:rPr>
          <w:rFonts w:asciiTheme="minorBidi" w:hAnsiTheme="minorBidi" w:cs="Arial" w:hint="cs"/>
          <w:b/>
          <w:bCs/>
          <w:color w:val="000000"/>
          <w:rtl/>
        </w:rPr>
        <w:t xml:space="preserve"> </w:t>
      </w:r>
      <w:r>
        <w:rPr>
          <w:rFonts w:asciiTheme="minorBidi" w:hAnsiTheme="minorBidi" w:cs="Arial" w:hint="cs"/>
          <w:b/>
          <w:bCs/>
          <w:color w:val="000000"/>
          <w:sz w:val="16"/>
          <w:szCs w:val="16"/>
          <w:rtl/>
        </w:rPr>
        <w:t xml:space="preserve">(פ' אלו עוברין) </w:t>
      </w:r>
      <w:r>
        <w:rPr>
          <w:rFonts w:asciiTheme="minorBidi" w:hAnsiTheme="minorBidi" w:cs="Arial" w:hint="cs"/>
          <w:b/>
          <w:bCs/>
          <w:color w:val="000000"/>
          <w:rtl/>
        </w:rPr>
        <w:t xml:space="preserve">ע"א: </w:t>
      </w:r>
      <w:r w:rsidRPr="00376B35">
        <w:rPr>
          <w:rFonts w:asciiTheme="minorBidi" w:hAnsiTheme="minorBidi" w:cs="Arial"/>
          <w:color w:val="000000"/>
          <w:rtl/>
        </w:rPr>
        <w:t>תניא, רבי שמעון אומר: כל סעודה שאינה של מצוה - אין תלמיד חכם רשאי להנות ממנה.</w:t>
      </w:r>
      <w:r w:rsidR="002E2AAA">
        <w:rPr>
          <w:rFonts w:asciiTheme="minorBidi" w:hAnsiTheme="minorBidi" w:cs="Arial" w:hint="cs"/>
          <w:color w:val="000000"/>
          <w:rtl/>
        </w:rPr>
        <w:t>..</w:t>
      </w:r>
      <w:r w:rsidRPr="00376B35">
        <w:rPr>
          <w:rFonts w:asciiTheme="minorBidi" w:hAnsiTheme="minorBidi" w:cs="Arial"/>
          <w:color w:val="000000"/>
          <w:rtl/>
        </w:rPr>
        <w:t xml:space="preserve"> אמר רבי יצחק: כל הנהנה מסעודת הרשות לסוף גולה, שנאמר ואכלים כרים מצאן ועגלים מתוך מרבק, וכתיב לכן עתה יגלו בראש גלים. תנו רבנן: כל תלמיד חכם המרבה סעודתו בכל מקום - סוף מחריב את ביתו, ומאלמן את אשתו, ומייתם את גוזליו, ותלמודו משתכח ממנו, ומחלוקות רבות באות עליו, ודבריו אינם נשמעים ומחלל שם שמים ושם רבו ושם אביו, וגורם שם רע לו ולבניו ולבני בניו עד סוף כל הדורות.</w:t>
      </w:r>
    </w:p>
    <w:p w14:paraId="1C5ACC51" w14:textId="77777777" w:rsidR="00E44CC4" w:rsidRPr="00576D5C" w:rsidRDefault="00E44CC4" w:rsidP="00E44CC4">
      <w:pPr>
        <w:rPr>
          <w:rFonts w:asciiTheme="minorBidi" w:hAnsiTheme="minorBidi"/>
          <w:color w:val="000000"/>
          <w:u w:val="single"/>
          <w:rtl/>
        </w:rPr>
      </w:pPr>
      <w:r w:rsidRPr="00576D5C">
        <w:rPr>
          <w:rFonts w:asciiTheme="minorBidi" w:hAnsiTheme="minorBidi"/>
          <w:color w:val="000000"/>
          <w:u w:val="single"/>
          <w:rtl/>
        </w:rPr>
        <w:t>דברים שאסור לדיין לעשות מחמת שאינם לפי כבודו:</w:t>
      </w:r>
    </w:p>
    <w:bookmarkEnd w:id="55"/>
    <w:p w14:paraId="625D08C7" w14:textId="77777777" w:rsidR="00E44CC4" w:rsidRPr="00576D5C" w:rsidRDefault="00E44CC4" w:rsidP="00E44CC4">
      <w:pPr>
        <w:pStyle w:val="ac"/>
        <w:numPr>
          <w:ilvl w:val="0"/>
          <w:numId w:val="1"/>
        </w:numPr>
        <w:rPr>
          <w:rFonts w:asciiTheme="minorBidi" w:hAnsiTheme="minorBidi"/>
          <w:color w:val="000000"/>
          <w:rtl/>
        </w:rPr>
      </w:pPr>
      <w:r w:rsidRPr="00576D5C">
        <w:rPr>
          <w:rFonts w:asciiTheme="minorBidi" w:hAnsiTheme="minorBidi"/>
          <w:color w:val="000000"/>
          <w:rtl/>
        </w:rPr>
        <w:t>רמב"ם</w:t>
      </w:r>
      <w:r w:rsidRPr="00576D5C">
        <w:rPr>
          <w:rFonts w:asciiTheme="minorBidi" w:hAnsiTheme="minorBidi"/>
          <w:color w:val="000000"/>
          <w:sz w:val="16"/>
          <w:szCs w:val="16"/>
          <w:rtl/>
        </w:rPr>
        <w:t xml:space="preserve"> (שם ה"ד)</w:t>
      </w:r>
      <w:r w:rsidRPr="00C343BC">
        <w:rPr>
          <w:rFonts w:asciiTheme="minorBidi" w:hAnsiTheme="minorBidi"/>
          <w:rtl/>
        </w:rPr>
        <w:t xml:space="preserve"> וטור- כיון שנתמנה אדם פרנס על הצבור אסור בעשיית מלאכה בפני שלשה כדי שלא יתבזה בפניהם</w:t>
      </w:r>
      <w:r w:rsidR="006C719F">
        <w:rPr>
          <w:rFonts w:asciiTheme="minorBidi" w:hAnsiTheme="minorBidi" w:hint="cs"/>
          <w:rtl/>
        </w:rPr>
        <w:t>.</w:t>
      </w:r>
      <w:r w:rsidRPr="00C343BC">
        <w:rPr>
          <w:rFonts w:asciiTheme="minorBidi" w:hAnsiTheme="minorBidi"/>
          <w:rtl/>
        </w:rPr>
        <w:t xml:space="preserve"> אם המלאכה ברבים אסורה עליו </w:t>
      </w:r>
      <w:r w:rsidR="006C719F">
        <w:rPr>
          <w:rFonts w:asciiTheme="minorBidi" w:hAnsiTheme="minorBidi" w:hint="cs"/>
          <w:rtl/>
        </w:rPr>
        <w:t xml:space="preserve">- </w:t>
      </w:r>
      <w:r w:rsidRPr="00C343BC">
        <w:rPr>
          <w:rFonts w:asciiTheme="minorBidi" w:hAnsiTheme="minorBidi"/>
          <w:rtl/>
        </w:rPr>
        <w:t>קל וחומר לאכול ולשתות ולהשתכר בפני רבים ובכניסת עמי הארץ ובסעודת מרעות</w:t>
      </w:r>
      <w:r w:rsidR="006C719F">
        <w:rPr>
          <w:rFonts w:asciiTheme="minorBidi" w:hAnsiTheme="minorBidi" w:hint="cs"/>
          <w:rtl/>
        </w:rPr>
        <w:t>.</w:t>
      </w:r>
      <w:r w:rsidRPr="00C343BC">
        <w:rPr>
          <w:rFonts w:asciiTheme="minorBidi" w:hAnsiTheme="minorBidi"/>
          <w:rtl/>
        </w:rPr>
        <w:t xml:space="preserve"> אוי להם לאותן הדיינים שנהגו בכך מעלבון תורת משה</w:t>
      </w:r>
      <w:r w:rsidR="006C719F">
        <w:rPr>
          <w:rFonts w:asciiTheme="minorBidi" w:hAnsiTheme="minorBidi" w:hint="cs"/>
          <w:rtl/>
        </w:rPr>
        <w:t>,</w:t>
      </w:r>
      <w:r w:rsidRPr="00C343BC">
        <w:rPr>
          <w:rFonts w:asciiTheme="minorBidi" w:hAnsiTheme="minorBidi"/>
          <w:rtl/>
        </w:rPr>
        <w:t xml:space="preserve"> שבזו דיניה והשפילוה עד ארץ והגיעוה עד עפר</w:t>
      </w:r>
      <w:r w:rsidR="006C719F">
        <w:rPr>
          <w:rFonts w:asciiTheme="minorBidi" w:hAnsiTheme="minorBidi" w:hint="cs"/>
          <w:rtl/>
        </w:rPr>
        <w:t>,</w:t>
      </w:r>
      <w:r w:rsidRPr="00C343BC">
        <w:rPr>
          <w:rFonts w:asciiTheme="minorBidi" w:hAnsiTheme="minorBidi"/>
          <w:rtl/>
        </w:rPr>
        <w:t xml:space="preserve"> וגרמו רעה להן ולבני בניהם בעולם הזה ולעולם הבא </w:t>
      </w:r>
      <w:r w:rsidRPr="00576D5C">
        <w:rPr>
          <w:rFonts w:asciiTheme="minorBidi" w:hAnsiTheme="minorBidi"/>
          <w:color w:val="000000"/>
          <w:sz w:val="16"/>
          <w:szCs w:val="16"/>
          <w:rtl/>
        </w:rPr>
        <w:t>(ל' הרמב"ם)</w:t>
      </w:r>
      <w:r w:rsidRPr="00576D5C">
        <w:rPr>
          <w:rFonts w:asciiTheme="minorBidi" w:hAnsiTheme="minorBidi"/>
          <w:color w:val="000000"/>
          <w:rtl/>
        </w:rPr>
        <w:t xml:space="preserve">. </w:t>
      </w:r>
      <w:r>
        <w:rPr>
          <w:rFonts w:asciiTheme="minorBidi" w:hAnsiTheme="minorBidi" w:hint="cs"/>
          <w:color w:val="E36C0A" w:themeColor="accent6" w:themeShade="BF"/>
          <w:rtl/>
        </w:rPr>
        <w:t>(</w:t>
      </w:r>
      <w:r w:rsidRPr="00536897">
        <w:rPr>
          <w:rFonts w:asciiTheme="minorBidi" w:hAnsiTheme="minorBidi"/>
          <w:color w:val="E36C0A" w:themeColor="accent6" w:themeShade="BF"/>
          <w:rtl/>
        </w:rPr>
        <w:t>וכ"פ בשו"ע</w:t>
      </w:r>
      <w:r>
        <w:rPr>
          <w:rFonts w:asciiTheme="minorBidi" w:hAnsiTheme="minorBidi" w:hint="cs"/>
          <w:color w:val="E36C0A" w:themeColor="accent6" w:themeShade="BF"/>
          <w:rtl/>
        </w:rPr>
        <w:t>)</w:t>
      </w:r>
    </w:p>
    <w:p w14:paraId="2626B3D4" w14:textId="77777777" w:rsidR="00C14159" w:rsidRDefault="00C14159" w:rsidP="00C14159">
      <w:pPr>
        <w:rPr>
          <w:rFonts w:asciiTheme="minorBidi" w:hAnsiTheme="minorBidi"/>
          <w:color w:val="000000"/>
          <w:rtl/>
        </w:rPr>
      </w:pPr>
      <w:r w:rsidRPr="00576D5C">
        <w:rPr>
          <w:rFonts w:asciiTheme="minorBidi" w:hAnsiTheme="minorBidi"/>
          <w:b/>
          <w:bCs/>
          <w:color w:val="000000"/>
          <w:rtl/>
        </w:rPr>
        <w:lastRenderedPageBreak/>
        <w:t xml:space="preserve">ירושלמי </w:t>
      </w:r>
      <w:r w:rsidRPr="00576D5C">
        <w:rPr>
          <w:rFonts w:asciiTheme="minorBidi" w:hAnsiTheme="minorBidi"/>
          <w:b/>
          <w:bCs/>
          <w:color w:val="000000"/>
          <w:sz w:val="16"/>
          <w:szCs w:val="16"/>
          <w:rtl/>
        </w:rPr>
        <w:t xml:space="preserve">(וילנא) </w:t>
      </w:r>
      <w:r w:rsidRPr="00576D5C">
        <w:rPr>
          <w:rFonts w:asciiTheme="minorBidi" w:hAnsiTheme="minorBidi"/>
          <w:b/>
          <w:bCs/>
          <w:color w:val="000000"/>
          <w:rtl/>
        </w:rPr>
        <w:t xml:space="preserve">סנהדרין פ"ב ה"ו: </w:t>
      </w:r>
      <w:r w:rsidR="00CD2002">
        <w:rPr>
          <w:rFonts w:asciiTheme="minorBidi" w:hAnsiTheme="minorBidi" w:hint="cs"/>
          <w:rtl/>
        </w:rPr>
        <w:t>רבי יוחנן...</w:t>
      </w:r>
      <w:r w:rsidRPr="00C343BC">
        <w:rPr>
          <w:rFonts w:asciiTheme="minorBidi" w:hAnsiTheme="minorBidi"/>
          <w:rtl/>
        </w:rPr>
        <w:t xml:space="preserve"> חמא ר' חנינה בר סיסי מפצע קיסין</w:t>
      </w:r>
      <w:r w:rsidR="00CD2002">
        <w:rPr>
          <w:rFonts w:asciiTheme="minorBidi" w:hAnsiTheme="minorBidi" w:hint="cs"/>
          <w:rtl/>
        </w:rPr>
        <w:t>,</w:t>
      </w:r>
      <w:r w:rsidRPr="00C343BC">
        <w:rPr>
          <w:rFonts w:asciiTheme="minorBidi" w:hAnsiTheme="minorBidi"/>
          <w:rtl/>
        </w:rPr>
        <w:t xml:space="preserve"> </w:t>
      </w:r>
      <w:r w:rsidRPr="00CD2002">
        <w:rPr>
          <w:rFonts w:asciiTheme="minorBidi" w:hAnsiTheme="minorBidi"/>
          <w:u w:val="single"/>
          <w:rtl/>
        </w:rPr>
        <w:t>א"ל</w:t>
      </w:r>
      <w:r w:rsidR="00CD2002">
        <w:rPr>
          <w:rFonts w:asciiTheme="minorBidi" w:hAnsiTheme="minorBidi" w:hint="cs"/>
          <w:rtl/>
        </w:rPr>
        <w:t>:</w:t>
      </w:r>
      <w:r w:rsidRPr="00C343BC">
        <w:rPr>
          <w:rFonts w:asciiTheme="minorBidi" w:hAnsiTheme="minorBidi"/>
          <w:rtl/>
        </w:rPr>
        <w:t xml:space="preserve"> ר' לית הוא כבודך</w:t>
      </w:r>
      <w:r w:rsidR="00CD2002">
        <w:rPr>
          <w:rFonts w:asciiTheme="minorBidi" w:hAnsiTheme="minorBidi" w:hint="cs"/>
          <w:rtl/>
        </w:rPr>
        <w:t>!</w:t>
      </w:r>
      <w:r w:rsidRPr="00C343BC">
        <w:rPr>
          <w:rFonts w:asciiTheme="minorBidi" w:hAnsiTheme="minorBidi"/>
          <w:rtl/>
        </w:rPr>
        <w:t xml:space="preserve"> </w:t>
      </w:r>
      <w:r w:rsidRPr="00CD2002">
        <w:rPr>
          <w:rFonts w:asciiTheme="minorBidi" w:hAnsiTheme="minorBidi"/>
          <w:u w:val="single"/>
          <w:rtl/>
        </w:rPr>
        <w:t>א"ל</w:t>
      </w:r>
      <w:r w:rsidR="00CD2002">
        <w:rPr>
          <w:rFonts w:asciiTheme="minorBidi" w:hAnsiTheme="minorBidi" w:hint="cs"/>
          <w:rtl/>
        </w:rPr>
        <w:t>:</w:t>
      </w:r>
      <w:r w:rsidRPr="00C343BC">
        <w:rPr>
          <w:rFonts w:asciiTheme="minorBidi" w:hAnsiTheme="minorBidi"/>
          <w:rtl/>
        </w:rPr>
        <w:t xml:space="preserve"> ומה ניעביד ולית לי מאן דמשמשוני. </w:t>
      </w:r>
      <w:r w:rsidRPr="00CD2002">
        <w:rPr>
          <w:rFonts w:asciiTheme="minorBidi" w:hAnsiTheme="minorBidi"/>
          <w:u w:val="single"/>
          <w:rtl/>
        </w:rPr>
        <w:t>א"ל</w:t>
      </w:r>
      <w:r w:rsidR="00CD2002">
        <w:rPr>
          <w:rFonts w:asciiTheme="minorBidi" w:hAnsiTheme="minorBidi" w:hint="cs"/>
          <w:rtl/>
        </w:rPr>
        <w:t>:</w:t>
      </w:r>
      <w:r w:rsidRPr="00C343BC">
        <w:rPr>
          <w:rFonts w:asciiTheme="minorBidi" w:hAnsiTheme="minorBidi"/>
          <w:rtl/>
        </w:rPr>
        <w:t xml:space="preserve"> אין לו הוה לך מאן דמשמשיך לא מקבלה עלך מתמניי. </w:t>
      </w:r>
      <w:r w:rsidRPr="00C343BC">
        <w:rPr>
          <w:rFonts w:asciiTheme="minorBidi" w:hAnsiTheme="minorBidi"/>
          <w:sz w:val="16"/>
          <w:szCs w:val="16"/>
          <w:rtl/>
        </w:rPr>
        <w:t xml:space="preserve">(פירוש, כשר' יוחנן יצא, ראה את ר' חנינה בר סיסי בוקע עצים בעצמו, א"ל: רבי, אין זה מכבודך. אמר לו: ומה אעשה ואין מי שישמש אותי. אמר לו: אם אין לך מי שישמש אותך לא היה עליך לקבל מינוי של דיינות. ע"כ. </w:t>
      </w:r>
      <w:r w:rsidR="00164775">
        <w:rPr>
          <w:rFonts w:asciiTheme="minorBidi" w:hAnsiTheme="minorBidi" w:hint="cs"/>
          <w:sz w:val="16"/>
          <w:szCs w:val="16"/>
          <w:rtl/>
        </w:rPr>
        <w:t xml:space="preserve">והעתיק </w:t>
      </w:r>
      <w:r w:rsidRPr="00C343BC">
        <w:rPr>
          <w:rFonts w:asciiTheme="minorBidi" w:hAnsiTheme="minorBidi"/>
          <w:sz w:val="16"/>
          <w:szCs w:val="16"/>
          <w:rtl/>
        </w:rPr>
        <w:t xml:space="preserve">הגה"מ (סנהדרין פכ"ה אות א) </w:t>
      </w:r>
      <w:r w:rsidR="00164775">
        <w:rPr>
          <w:rFonts w:asciiTheme="minorBidi" w:hAnsiTheme="minorBidi" w:hint="cs"/>
          <w:sz w:val="16"/>
          <w:szCs w:val="16"/>
          <w:rtl/>
        </w:rPr>
        <w:t>את לשון ה</w:t>
      </w:r>
      <w:r w:rsidRPr="00C343BC">
        <w:rPr>
          <w:rFonts w:asciiTheme="minorBidi" w:hAnsiTheme="minorBidi"/>
          <w:sz w:val="16"/>
          <w:szCs w:val="16"/>
          <w:rtl/>
        </w:rPr>
        <w:t>ירושלמי זה, וה</w:t>
      </w:r>
      <w:r w:rsidR="00164775">
        <w:rPr>
          <w:rFonts w:asciiTheme="minorBidi" w:hAnsiTheme="minorBidi" w:hint="cs"/>
          <w:sz w:val="16"/>
          <w:szCs w:val="16"/>
          <w:rtl/>
        </w:rPr>
        <w:t>עתיקו</w:t>
      </w:r>
      <w:r w:rsidRPr="00C343BC">
        <w:rPr>
          <w:rFonts w:asciiTheme="minorBidi" w:hAnsiTheme="minorBidi"/>
          <w:sz w:val="16"/>
          <w:szCs w:val="16"/>
          <w:rtl/>
        </w:rPr>
        <w:t xml:space="preserve"> הב"י</w:t>
      </w:r>
      <w:r w:rsidR="00164775">
        <w:rPr>
          <w:rFonts w:asciiTheme="minorBidi" w:hAnsiTheme="minorBidi" w:hint="cs"/>
          <w:sz w:val="16"/>
          <w:szCs w:val="16"/>
          <w:rtl/>
        </w:rPr>
        <w:t xml:space="preserve"> ג"כ</w:t>
      </w:r>
      <w:r w:rsidRPr="00C343BC">
        <w:rPr>
          <w:rFonts w:asciiTheme="minorBidi" w:hAnsiTheme="minorBidi"/>
          <w:sz w:val="16"/>
          <w:szCs w:val="16"/>
          <w:rtl/>
        </w:rPr>
        <w:t>.</w:t>
      </w:r>
      <w:r w:rsidRPr="00576D5C">
        <w:rPr>
          <w:rFonts w:asciiTheme="minorBidi" w:hAnsiTheme="minorBidi"/>
          <w:color w:val="00B0F0"/>
          <w:sz w:val="16"/>
          <w:szCs w:val="16"/>
          <w:rtl/>
        </w:rPr>
        <w:t xml:space="preserve"> וכ"פ הרמ"א</w:t>
      </w:r>
      <w:r w:rsidRPr="00576D5C">
        <w:rPr>
          <w:rFonts w:asciiTheme="minorBidi" w:hAnsiTheme="minorBidi"/>
          <w:color w:val="000000"/>
          <w:sz w:val="16"/>
          <w:szCs w:val="16"/>
          <w:rtl/>
        </w:rPr>
        <w:t>)</w:t>
      </w:r>
    </w:p>
    <w:p w14:paraId="35CD9752" w14:textId="77777777" w:rsidR="00E137BC" w:rsidRPr="00576D5C" w:rsidRDefault="00E137BC" w:rsidP="00576D5C">
      <w:pPr>
        <w:rPr>
          <w:rFonts w:asciiTheme="minorBidi" w:hAnsiTheme="minorBidi"/>
          <w:b/>
          <w:bCs/>
          <w:color w:val="000000"/>
          <w:sz w:val="28"/>
          <w:szCs w:val="28"/>
          <w:u w:val="single"/>
          <w:rtl/>
        </w:rPr>
      </w:pPr>
      <w:r w:rsidRPr="00576D5C">
        <w:rPr>
          <w:rFonts w:asciiTheme="minorBidi" w:hAnsiTheme="minorBidi"/>
          <w:b/>
          <w:bCs/>
          <w:color w:val="000000"/>
          <w:sz w:val="28"/>
          <w:szCs w:val="28"/>
          <w:u w:val="single"/>
          <w:rtl/>
        </w:rPr>
        <w:t>שו"ע:</w:t>
      </w:r>
    </w:p>
    <w:p w14:paraId="2B32ED52" w14:textId="77777777" w:rsidR="00E137BC" w:rsidRPr="00576D5C" w:rsidRDefault="00E137BC" w:rsidP="00576D5C">
      <w:pPr>
        <w:rPr>
          <w:rFonts w:asciiTheme="minorBidi" w:hAnsiTheme="minorBidi"/>
          <w:rtl/>
        </w:rPr>
      </w:pPr>
      <w:r w:rsidRPr="00576D5C">
        <w:rPr>
          <w:rFonts w:asciiTheme="minorBidi" w:hAnsiTheme="minorBidi"/>
          <w:rtl/>
        </w:rPr>
        <w:t>אסור לדיין להתנהג בשררה וגסות על הצבור, אלא בענוה ויראה. וכל פרנס המטיל אימה יתירה על הצבור שלא לשם שמים, אינו רואה בן ת</w:t>
      </w:r>
      <w:r w:rsidR="007D4210" w:rsidRPr="00576D5C">
        <w:rPr>
          <w:rFonts w:asciiTheme="minorBidi" w:hAnsiTheme="minorBidi"/>
          <w:rtl/>
        </w:rPr>
        <w:t xml:space="preserve">למיד </w:t>
      </w:r>
      <w:r w:rsidRPr="00576D5C">
        <w:rPr>
          <w:rFonts w:asciiTheme="minorBidi" w:hAnsiTheme="minorBidi"/>
          <w:rtl/>
        </w:rPr>
        <w:t>ח</w:t>
      </w:r>
      <w:r w:rsidR="007D4210" w:rsidRPr="00576D5C">
        <w:rPr>
          <w:rFonts w:asciiTheme="minorBidi" w:hAnsiTheme="minorBidi"/>
          <w:rtl/>
        </w:rPr>
        <w:t>כם</w:t>
      </w:r>
      <w:r w:rsidRPr="00576D5C">
        <w:rPr>
          <w:rFonts w:asciiTheme="minorBidi" w:hAnsiTheme="minorBidi"/>
          <w:rtl/>
        </w:rPr>
        <w:t xml:space="preserve"> לעולם. וכן אסור לנהוג בהם קלות ראש</w:t>
      </w:r>
      <w:r w:rsidR="007D4210" w:rsidRPr="00576D5C">
        <w:rPr>
          <w:rFonts w:asciiTheme="minorBidi" w:hAnsiTheme="minorBidi"/>
          <w:rtl/>
        </w:rPr>
        <w:t>,</w:t>
      </w:r>
      <w:r w:rsidRPr="00576D5C">
        <w:rPr>
          <w:rFonts w:asciiTheme="minorBidi" w:hAnsiTheme="minorBidi"/>
          <w:rtl/>
        </w:rPr>
        <w:t xml:space="preserve"> אף על פי שהם עמי הארץ. ולא יפסיעו על ראשי עם קודש</w:t>
      </w:r>
      <w:r w:rsidR="005E36F0" w:rsidRPr="00576D5C">
        <w:rPr>
          <w:rStyle w:val="ab"/>
          <w:rFonts w:asciiTheme="minorBidi" w:hAnsiTheme="minorBidi"/>
          <w:rtl/>
        </w:rPr>
        <w:footnoteReference w:id="444"/>
      </w:r>
      <w:r w:rsidRPr="00576D5C">
        <w:rPr>
          <w:rFonts w:asciiTheme="minorBidi" w:hAnsiTheme="minorBidi"/>
          <w:rtl/>
        </w:rPr>
        <w:t xml:space="preserve">. וצריך שיסבול טורח הצבור ומשאם. ומצוה על הצבור לנהוג כבוד בדיין, ויהיה אימתו עליהם, וגם הוא לא יתבזה ולא ינהוג קלות ראש לפניהם, שכיון שנתמנה אדם פרנס על הצבור אסור לו לעשות מלאכה בפני שלשה, כדי שלא יתבזה בפניהם, וקל וחומר שאסור לו לאכול ולשתות </w:t>
      </w:r>
      <w:r w:rsidR="007D4210" w:rsidRPr="00576D5C">
        <w:rPr>
          <w:rFonts w:asciiTheme="minorBidi" w:hAnsiTheme="minorBidi"/>
          <w:sz w:val="18"/>
          <w:szCs w:val="18"/>
          <w:rtl/>
        </w:rPr>
        <w:t xml:space="preserve">[הגה] </w:t>
      </w:r>
      <w:r w:rsidRPr="00576D5C">
        <w:rPr>
          <w:rFonts w:asciiTheme="minorBidi" w:hAnsiTheme="minorBidi"/>
          <w:sz w:val="18"/>
          <w:szCs w:val="18"/>
          <w:rtl/>
        </w:rPr>
        <w:t>ולהשתכר (</w:t>
      </w:r>
      <w:r w:rsidR="007D4210" w:rsidRPr="00576D5C">
        <w:rPr>
          <w:rFonts w:asciiTheme="minorBidi" w:hAnsiTheme="minorBidi"/>
          <w:sz w:val="18"/>
          <w:szCs w:val="18"/>
          <w:rtl/>
        </w:rPr>
        <w:t>רמב"ם ו</w:t>
      </w:r>
      <w:r w:rsidRPr="00576D5C">
        <w:rPr>
          <w:rFonts w:asciiTheme="minorBidi" w:hAnsiTheme="minorBidi"/>
          <w:sz w:val="18"/>
          <w:szCs w:val="18"/>
          <w:rtl/>
        </w:rPr>
        <w:t>טור)</w:t>
      </w:r>
      <w:r w:rsidRPr="00576D5C">
        <w:rPr>
          <w:rFonts w:asciiTheme="minorBidi" w:hAnsiTheme="minorBidi"/>
          <w:rtl/>
        </w:rPr>
        <w:t xml:space="preserve"> בפני רבים</w:t>
      </w:r>
      <w:r w:rsidR="005E36F0" w:rsidRPr="00576D5C">
        <w:rPr>
          <w:rStyle w:val="ab"/>
          <w:rFonts w:asciiTheme="minorBidi" w:hAnsiTheme="minorBidi"/>
          <w:rtl/>
        </w:rPr>
        <w:footnoteReference w:id="445"/>
      </w:r>
      <w:r w:rsidRPr="00576D5C">
        <w:rPr>
          <w:rFonts w:asciiTheme="minorBidi" w:hAnsiTheme="minorBidi"/>
          <w:rtl/>
        </w:rPr>
        <w:t>.</w:t>
      </w:r>
      <w:r w:rsidRPr="00576D5C">
        <w:rPr>
          <w:rFonts w:asciiTheme="minorBidi" w:hAnsiTheme="minorBidi"/>
          <w:sz w:val="18"/>
          <w:szCs w:val="18"/>
          <w:rtl/>
        </w:rPr>
        <w:t xml:space="preserve"> </w:t>
      </w:r>
      <w:r w:rsidR="007D4210" w:rsidRPr="00576D5C">
        <w:rPr>
          <w:rFonts w:asciiTheme="minorBidi" w:hAnsiTheme="minorBidi"/>
          <w:sz w:val="18"/>
          <w:szCs w:val="18"/>
          <w:rtl/>
        </w:rPr>
        <w:t xml:space="preserve">[הגה] </w:t>
      </w:r>
      <w:r w:rsidRPr="00576D5C">
        <w:rPr>
          <w:rFonts w:asciiTheme="minorBidi" w:hAnsiTheme="minorBidi"/>
          <w:sz w:val="18"/>
          <w:szCs w:val="18"/>
          <w:rtl/>
        </w:rPr>
        <w:t>כל דיין שאין לו מי שישמשנו, אסור לו לקבל להיות דיין (</w:t>
      </w:r>
      <w:r w:rsidR="00164775">
        <w:rPr>
          <w:rFonts w:asciiTheme="minorBidi" w:hAnsiTheme="minorBidi" w:hint="cs"/>
          <w:sz w:val="18"/>
          <w:szCs w:val="18"/>
          <w:rtl/>
        </w:rPr>
        <w:t>ירושלמי</w:t>
      </w:r>
      <w:r w:rsidRPr="00576D5C">
        <w:rPr>
          <w:rFonts w:asciiTheme="minorBidi" w:hAnsiTheme="minorBidi"/>
          <w:sz w:val="18"/>
          <w:szCs w:val="18"/>
          <w:rtl/>
        </w:rPr>
        <w:t>).</w:t>
      </w:r>
    </w:p>
    <w:p w14:paraId="5BC73608" w14:textId="77777777" w:rsidR="0067033B" w:rsidRPr="00576D5C" w:rsidRDefault="0067033B" w:rsidP="00576D5C">
      <w:pPr>
        <w:rPr>
          <w:rFonts w:asciiTheme="minorBidi" w:hAnsiTheme="minorBidi"/>
          <w:rtl/>
        </w:rPr>
      </w:pPr>
    </w:p>
    <w:p w14:paraId="0470C98B" w14:textId="77777777" w:rsidR="0067033B" w:rsidRPr="00576D5C" w:rsidRDefault="00E137BC" w:rsidP="00E842BA">
      <w:pPr>
        <w:pStyle w:val="2"/>
        <w:rPr>
          <w:rtl/>
        </w:rPr>
      </w:pPr>
      <w:bookmarkStart w:id="56" w:name="_Toc24883552"/>
      <w:r w:rsidRPr="00576D5C">
        <w:rPr>
          <w:rtl/>
        </w:rPr>
        <w:t>סעיף ה</w:t>
      </w:r>
      <w:r w:rsidR="0067033B" w:rsidRPr="00576D5C">
        <w:rPr>
          <w:rtl/>
        </w:rPr>
        <w:t>:</w:t>
      </w:r>
      <w:r w:rsidR="00B25E80" w:rsidRPr="00576D5C">
        <w:rPr>
          <w:rtl/>
        </w:rPr>
        <w:t xml:space="preserve"> הנוהג קלות ראש בשליח בית דין.</w:t>
      </w:r>
      <w:bookmarkEnd w:id="56"/>
    </w:p>
    <w:p w14:paraId="75F09DE7" w14:textId="77777777" w:rsidR="005E36F0" w:rsidRPr="00C343BC" w:rsidRDefault="005E36F0" w:rsidP="00576D5C">
      <w:pPr>
        <w:rPr>
          <w:rFonts w:asciiTheme="minorBidi" w:hAnsiTheme="minorBidi"/>
          <w:sz w:val="16"/>
          <w:szCs w:val="16"/>
          <w:rtl/>
        </w:rPr>
      </w:pPr>
      <w:r w:rsidRPr="00576D5C">
        <w:rPr>
          <w:rFonts w:asciiTheme="minorBidi" w:hAnsiTheme="minorBidi"/>
          <w:b/>
          <w:bCs/>
          <w:color w:val="000000"/>
          <w:rtl/>
        </w:rPr>
        <w:t xml:space="preserve">קידושין </w:t>
      </w:r>
      <w:r w:rsidRPr="00576D5C">
        <w:rPr>
          <w:rFonts w:asciiTheme="minorBidi" w:hAnsiTheme="minorBidi"/>
          <w:b/>
          <w:bCs/>
          <w:color w:val="000000"/>
          <w:sz w:val="16"/>
          <w:szCs w:val="16"/>
          <w:rtl/>
        </w:rPr>
        <w:t xml:space="preserve">(פ"ק) </w:t>
      </w:r>
      <w:r w:rsidRPr="00576D5C">
        <w:rPr>
          <w:rFonts w:asciiTheme="minorBidi" w:hAnsiTheme="minorBidi"/>
          <w:b/>
          <w:bCs/>
          <w:color w:val="000000"/>
          <w:rtl/>
        </w:rPr>
        <w:t>יב</w:t>
      </w:r>
      <w:r w:rsidR="00AD19F5">
        <w:rPr>
          <w:rStyle w:val="ab"/>
          <w:rFonts w:asciiTheme="minorBidi" w:hAnsiTheme="minorBidi"/>
          <w:b/>
          <w:bCs/>
          <w:color w:val="000000"/>
          <w:rtl/>
        </w:rPr>
        <w:footnoteReference w:id="446"/>
      </w:r>
      <w:r w:rsidRPr="00576D5C">
        <w:rPr>
          <w:rFonts w:asciiTheme="minorBidi" w:hAnsiTheme="minorBidi"/>
          <w:b/>
          <w:bCs/>
          <w:color w:val="000000"/>
          <w:rtl/>
        </w:rPr>
        <w:t xml:space="preserve"> ע"ב: </w:t>
      </w:r>
      <w:r w:rsidRPr="00C343BC">
        <w:rPr>
          <w:rFonts w:asciiTheme="minorBidi" w:hAnsiTheme="minorBidi"/>
          <w:rtl/>
        </w:rPr>
        <w:t>רב מנגיד על דמקדש בשוקא... ועל דמצער שלוחא דרבנן.</w:t>
      </w:r>
      <w:r w:rsidRPr="00C343BC">
        <w:rPr>
          <w:rFonts w:asciiTheme="minorBidi" w:hAnsiTheme="minorBidi"/>
          <w:sz w:val="16"/>
          <w:szCs w:val="16"/>
          <w:rtl/>
        </w:rPr>
        <w:t xml:space="preserve"> (ופירש רש"י שליח שמזמינו לדין מפי הדיינים וקם עליו והכהו. וכתב הר"ן ז"ל </w:t>
      </w:r>
      <w:r w:rsidRPr="00576D5C">
        <w:rPr>
          <w:rFonts w:asciiTheme="minorBidi" w:hAnsiTheme="minorBidi"/>
          <w:color w:val="000000"/>
          <w:sz w:val="14"/>
          <w:szCs w:val="14"/>
          <w:rtl/>
        </w:rPr>
        <w:t xml:space="preserve">(קידושין ו: ד"ה ההוא גברא דקדיש בשוטיתא) </w:t>
      </w:r>
      <w:r w:rsidRPr="00C343BC">
        <w:rPr>
          <w:rFonts w:asciiTheme="minorBidi" w:hAnsiTheme="minorBidi"/>
          <w:sz w:val="16"/>
          <w:szCs w:val="16"/>
          <w:rtl/>
        </w:rPr>
        <w:t>ולשון מצער לא משמע ליה כולי האי אלא אפילו מבזה אותו בפני אחרים ומביישו, ב"י)</w:t>
      </w:r>
    </w:p>
    <w:p w14:paraId="2AE6A0E7" w14:textId="77777777" w:rsidR="00962FB5" w:rsidRPr="00576D5C" w:rsidRDefault="00962FB5" w:rsidP="00962FB5">
      <w:pPr>
        <w:rPr>
          <w:rFonts w:asciiTheme="minorBidi" w:hAnsiTheme="minorBidi"/>
          <w:color w:val="000000"/>
          <w:rtl/>
        </w:rPr>
      </w:pPr>
      <w:r w:rsidRPr="00576D5C">
        <w:rPr>
          <w:rFonts w:asciiTheme="minorBidi" w:hAnsiTheme="minorBidi"/>
          <w:b/>
          <w:bCs/>
          <w:color w:val="000000"/>
          <w:rtl/>
        </w:rPr>
        <w:t xml:space="preserve">קידושין </w:t>
      </w:r>
      <w:r w:rsidRPr="00576D5C">
        <w:rPr>
          <w:rFonts w:asciiTheme="minorBidi" w:hAnsiTheme="minorBidi"/>
          <w:b/>
          <w:bCs/>
          <w:color w:val="000000"/>
          <w:sz w:val="16"/>
          <w:szCs w:val="16"/>
          <w:rtl/>
        </w:rPr>
        <w:t xml:space="preserve">(פ' עשרה יוחסין) </w:t>
      </w:r>
      <w:r w:rsidRPr="00576D5C">
        <w:rPr>
          <w:rFonts w:asciiTheme="minorBidi" w:hAnsiTheme="minorBidi"/>
          <w:b/>
          <w:bCs/>
          <w:color w:val="000000"/>
          <w:rtl/>
        </w:rPr>
        <w:t>ע ע"א:</w:t>
      </w:r>
      <w:r w:rsidRPr="00576D5C">
        <w:rPr>
          <w:rFonts w:asciiTheme="minorBidi" w:hAnsiTheme="minorBidi"/>
          <w:color w:val="000000"/>
          <w:rtl/>
        </w:rPr>
        <w:t xml:space="preserve"> </w:t>
      </w:r>
      <w:r w:rsidRPr="00E63E94">
        <w:rPr>
          <w:rFonts w:asciiTheme="minorBidi" w:hAnsiTheme="minorBidi" w:cs="Arial"/>
          <w:rtl/>
        </w:rPr>
        <w:t>ההוא גברא דמנהרדעא דעל לבי מטבחיא בפומבדיתא, אמר להו: הבו לי בישרא, אמרו ליה: נטר עד דשקיל לשמעיה דרב יהודה בר יחזקאל, וניתיב לך. אמר: מאן יהודה בר שו</w:t>
      </w:r>
      <w:r w:rsidRPr="00962FB5">
        <w:rPr>
          <w:rFonts w:asciiTheme="minorBidi" w:hAnsiTheme="minorBidi" w:cs="Arial"/>
          <w:rtl/>
        </w:rPr>
        <w:t>יסקאל דקדים לי, דשקל מן קמאי? אזלו אמרו ליה לרב יהודה, שמתיה.</w:t>
      </w:r>
      <w:r w:rsidRPr="00962FB5">
        <w:rPr>
          <w:rFonts w:asciiTheme="minorBidi" w:hAnsiTheme="minorBidi" w:cs="Arial" w:hint="cs"/>
          <w:rtl/>
        </w:rPr>
        <w:t>..</w:t>
      </w:r>
      <w:r w:rsidRPr="00962FB5">
        <w:rPr>
          <w:rFonts w:asciiTheme="minorBidi" w:hAnsiTheme="minorBidi" w:cs="Arial"/>
          <w:rtl/>
        </w:rPr>
        <w:t xml:space="preserve"> אזל ההוא אזמניה לדינא לקמיה דרב נחמן, אייתי פיתקא דהזמנא.</w:t>
      </w:r>
      <w:r>
        <w:rPr>
          <w:rFonts w:asciiTheme="minorBidi" w:hAnsiTheme="minorBidi" w:cs="Arial" w:hint="cs"/>
          <w:rtl/>
        </w:rPr>
        <w:t>.</w:t>
      </w:r>
      <w:r w:rsidRPr="00962FB5">
        <w:rPr>
          <w:rFonts w:asciiTheme="minorBidi" w:hAnsiTheme="minorBidi" w:cs="Arial"/>
          <w:rtl/>
        </w:rPr>
        <w:t>. אתא אשכחיה</w:t>
      </w:r>
      <w:r>
        <w:rPr>
          <w:rFonts w:asciiTheme="minorBidi" w:hAnsiTheme="minorBidi" w:cs="Arial" w:hint="cs"/>
          <w:rtl/>
        </w:rPr>
        <w:t>..</w:t>
      </w:r>
      <w:r w:rsidRPr="00962FB5">
        <w:rPr>
          <w:rFonts w:asciiTheme="minorBidi" w:hAnsiTheme="minorBidi" w:cs="Arial"/>
          <w:rtl/>
        </w:rPr>
        <w:t xml:space="preserve">. </w:t>
      </w:r>
      <w:r w:rsidR="00E63E94">
        <w:rPr>
          <w:rFonts w:asciiTheme="minorBidi" w:hAnsiTheme="minorBidi" w:cs="Arial" w:hint="cs"/>
          <w:sz w:val="14"/>
          <w:szCs w:val="14"/>
          <w:rtl/>
        </w:rPr>
        <w:t xml:space="preserve">(ע:) </w:t>
      </w:r>
      <w:r w:rsidRPr="00E63E94">
        <w:rPr>
          <w:rFonts w:asciiTheme="minorBidi" w:hAnsiTheme="minorBidi" w:cs="Arial"/>
          <w:u w:val="single"/>
          <w:rtl/>
        </w:rPr>
        <w:t>אמר ליה</w:t>
      </w:r>
      <w:r w:rsidRPr="00962FB5">
        <w:rPr>
          <w:rFonts w:asciiTheme="minorBidi" w:hAnsiTheme="minorBidi" w:cs="Arial"/>
          <w:rtl/>
        </w:rPr>
        <w:t>: מאי טעמא שמתיה מר לההוא גברא? ציער שליחא דרבנן. ונגדיה מר, דרב מנגיד על מאן דמצער שלוחא דרבנן! דעדיף מיניה עבדי ליה.</w:t>
      </w:r>
    </w:p>
    <w:p w14:paraId="6CB78CAA" w14:textId="77777777" w:rsidR="005E36F0" w:rsidRDefault="005E36F0" w:rsidP="00576D5C">
      <w:pPr>
        <w:rPr>
          <w:rFonts w:asciiTheme="minorBidi" w:hAnsiTheme="minorBidi"/>
          <w:color w:val="000000"/>
          <w:rtl/>
        </w:rPr>
      </w:pPr>
      <w:r w:rsidRPr="00576D5C">
        <w:rPr>
          <w:rFonts w:asciiTheme="minorBidi" w:hAnsiTheme="minorBidi"/>
          <w:b/>
          <w:bCs/>
          <w:color w:val="000000"/>
          <w:rtl/>
        </w:rPr>
        <w:t xml:space="preserve">בבא קמא </w:t>
      </w:r>
      <w:r w:rsidRPr="00576D5C">
        <w:rPr>
          <w:rFonts w:asciiTheme="minorBidi" w:hAnsiTheme="minorBidi"/>
          <w:b/>
          <w:bCs/>
          <w:color w:val="000000"/>
          <w:sz w:val="16"/>
          <w:szCs w:val="16"/>
          <w:rtl/>
        </w:rPr>
        <w:t xml:space="preserve">(פ' הגוזל בתרא) </w:t>
      </w:r>
      <w:r w:rsidRPr="00576D5C">
        <w:rPr>
          <w:rFonts w:asciiTheme="minorBidi" w:hAnsiTheme="minorBidi"/>
          <w:b/>
          <w:bCs/>
          <w:color w:val="000000"/>
          <w:rtl/>
        </w:rPr>
        <w:t>קיב</w:t>
      </w:r>
      <w:r w:rsidR="00AD19F5">
        <w:rPr>
          <w:rStyle w:val="ab"/>
          <w:rFonts w:asciiTheme="minorBidi" w:hAnsiTheme="minorBidi"/>
          <w:b/>
          <w:bCs/>
          <w:color w:val="000000"/>
          <w:rtl/>
        </w:rPr>
        <w:footnoteReference w:id="447"/>
      </w:r>
      <w:r w:rsidRPr="00576D5C">
        <w:rPr>
          <w:rFonts w:asciiTheme="minorBidi" w:hAnsiTheme="minorBidi"/>
          <w:b/>
          <w:bCs/>
          <w:color w:val="000000"/>
          <w:rtl/>
        </w:rPr>
        <w:t xml:space="preserve"> ע"ב: </w:t>
      </w:r>
      <w:r w:rsidRPr="00576D5C">
        <w:rPr>
          <w:rFonts w:asciiTheme="minorBidi" w:hAnsiTheme="minorBidi"/>
          <w:color w:val="000000"/>
          <w:u w:val="single"/>
          <w:rtl/>
        </w:rPr>
        <w:t>אמר רבינא</w:t>
      </w:r>
      <w:r w:rsidRPr="00576D5C">
        <w:rPr>
          <w:rFonts w:asciiTheme="minorBidi" w:hAnsiTheme="minorBidi"/>
          <w:color w:val="000000"/>
          <w:rtl/>
        </w:rPr>
        <w:t>: האי שלוחא דרבנן מהימנינן ליה כבי תרי</w:t>
      </w:r>
      <w:r w:rsidRPr="00576D5C">
        <w:rPr>
          <w:rStyle w:val="ab"/>
          <w:rFonts w:asciiTheme="minorBidi" w:hAnsiTheme="minorBidi"/>
          <w:color w:val="000000"/>
          <w:rtl/>
        </w:rPr>
        <w:footnoteReference w:id="448"/>
      </w:r>
      <w:r w:rsidRPr="00576D5C">
        <w:rPr>
          <w:rFonts w:asciiTheme="minorBidi" w:hAnsiTheme="minorBidi"/>
          <w:color w:val="000000"/>
          <w:rtl/>
        </w:rPr>
        <w:t>. וה"מ לשמתא, אבל לפתיחא</w:t>
      </w:r>
      <w:r w:rsidRPr="00576D5C">
        <w:rPr>
          <w:rStyle w:val="ab"/>
          <w:rFonts w:asciiTheme="minorBidi" w:hAnsiTheme="minorBidi"/>
          <w:color w:val="000000"/>
          <w:rtl/>
        </w:rPr>
        <w:footnoteReference w:id="449"/>
      </w:r>
      <w:r w:rsidRPr="00576D5C">
        <w:rPr>
          <w:rFonts w:asciiTheme="minorBidi" w:hAnsiTheme="minorBidi"/>
          <w:color w:val="000000"/>
          <w:rtl/>
        </w:rPr>
        <w:t xml:space="preserve">, כיון דממונא קא מחסר ליה, דקא בעי ליה למיתב ליה זוזי לספרא - לא. </w:t>
      </w:r>
    </w:p>
    <w:p w14:paraId="589C524A" w14:textId="77777777" w:rsidR="00707098" w:rsidRPr="00576D5C" w:rsidRDefault="00707098" w:rsidP="00576D5C">
      <w:pPr>
        <w:rPr>
          <w:rFonts w:asciiTheme="minorBidi" w:hAnsiTheme="minorBidi"/>
          <w:color w:val="000000"/>
          <w:rtl/>
        </w:rPr>
      </w:pPr>
      <w:r w:rsidRPr="00576D5C">
        <w:rPr>
          <w:rFonts w:asciiTheme="minorBidi" w:hAnsiTheme="minorBidi"/>
          <w:color w:val="000000"/>
          <w:u w:val="single"/>
          <w:rtl/>
        </w:rPr>
        <w:t xml:space="preserve">הנוהג קלות </w:t>
      </w:r>
      <w:r w:rsidR="00B25E80" w:rsidRPr="00576D5C">
        <w:rPr>
          <w:rFonts w:asciiTheme="minorBidi" w:hAnsiTheme="minorBidi"/>
          <w:color w:val="000000"/>
          <w:u w:val="single"/>
          <w:rtl/>
        </w:rPr>
        <w:t xml:space="preserve">ראש </w:t>
      </w:r>
      <w:r w:rsidRPr="00576D5C">
        <w:rPr>
          <w:rFonts w:asciiTheme="minorBidi" w:hAnsiTheme="minorBidi"/>
          <w:color w:val="000000"/>
          <w:u w:val="single"/>
          <w:rtl/>
        </w:rPr>
        <w:t>בשליח בית דין:</w:t>
      </w:r>
    </w:p>
    <w:p w14:paraId="000DB688" w14:textId="77777777" w:rsidR="007D46E2" w:rsidRDefault="0023341E" w:rsidP="00576D5C">
      <w:pPr>
        <w:pStyle w:val="ac"/>
        <w:numPr>
          <w:ilvl w:val="0"/>
          <w:numId w:val="1"/>
        </w:numPr>
        <w:rPr>
          <w:rFonts w:asciiTheme="minorBidi" w:hAnsiTheme="minorBidi"/>
          <w:color w:val="000000"/>
        </w:rPr>
      </w:pPr>
      <w:r w:rsidRPr="00576D5C">
        <w:rPr>
          <w:rFonts w:asciiTheme="minorBidi" w:hAnsiTheme="minorBidi"/>
          <w:color w:val="000000"/>
          <w:rtl/>
        </w:rPr>
        <w:t xml:space="preserve">רמב"ם </w:t>
      </w:r>
      <w:r w:rsidR="000848C9" w:rsidRPr="00576D5C">
        <w:rPr>
          <w:rFonts w:asciiTheme="minorBidi" w:hAnsiTheme="minorBidi"/>
          <w:color w:val="000000"/>
          <w:sz w:val="16"/>
          <w:szCs w:val="16"/>
          <w:rtl/>
        </w:rPr>
        <w:t>(</w:t>
      </w:r>
      <w:r w:rsidRPr="00576D5C">
        <w:rPr>
          <w:rFonts w:asciiTheme="minorBidi" w:hAnsiTheme="minorBidi"/>
          <w:color w:val="000000"/>
          <w:sz w:val="16"/>
          <w:szCs w:val="16"/>
          <w:rtl/>
        </w:rPr>
        <w:t>פכ"ה מהל</w:t>
      </w:r>
      <w:r w:rsidR="000848C9" w:rsidRPr="00576D5C">
        <w:rPr>
          <w:rFonts w:asciiTheme="minorBidi" w:hAnsiTheme="minorBidi"/>
          <w:color w:val="000000"/>
          <w:sz w:val="16"/>
          <w:szCs w:val="16"/>
          <w:rtl/>
        </w:rPr>
        <w:t>'</w:t>
      </w:r>
      <w:r w:rsidRPr="00576D5C">
        <w:rPr>
          <w:rFonts w:asciiTheme="minorBidi" w:hAnsiTheme="minorBidi"/>
          <w:color w:val="000000"/>
          <w:sz w:val="16"/>
          <w:szCs w:val="16"/>
          <w:rtl/>
        </w:rPr>
        <w:t xml:space="preserve"> סנהדרין ה"ה</w:t>
      </w:r>
      <w:r w:rsidR="007D46E2" w:rsidRPr="00576D5C">
        <w:rPr>
          <w:rFonts w:asciiTheme="minorBidi" w:hAnsiTheme="minorBidi"/>
          <w:color w:val="000000"/>
          <w:sz w:val="16"/>
          <w:szCs w:val="16"/>
          <w:rtl/>
        </w:rPr>
        <w:t>-ו</w:t>
      </w:r>
      <w:r w:rsidRPr="00576D5C">
        <w:rPr>
          <w:rFonts w:asciiTheme="minorBidi" w:hAnsiTheme="minorBidi"/>
          <w:color w:val="000000"/>
          <w:sz w:val="16"/>
          <w:szCs w:val="16"/>
          <w:rtl/>
        </w:rPr>
        <w:t>)</w:t>
      </w:r>
      <w:r w:rsidR="00C17E1D">
        <w:rPr>
          <w:rFonts w:asciiTheme="minorBidi" w:hAnsiTheme="minorBidi" w:hint="cs"/>
          <w:color w:val="000000"/>
          <w:rtl/>
        </w:rPr>
        <w:t xml:space="preserve"> וטור </w:t>
      </w:r>
      <w:r w:rsidR="00C17E1D">
        <w:rPr>
          <w:rFonts w:asciiTheme="minorBidi" w:hAnsiTheme="minorBidi" w:hint="cs"/>
          <w:color w:val="000000"/>
          <w:sz w:val="16"/>
          <w:szCs w:val="16"/>
          <w:rtl/>
        </w:rPr>
        <w:t>(סי' יא ס"ב)</w:t>
      </w:r>
      <w:r w:rsidR="000848C9" w:rsidRPr="00576D5C">
        <w:rPr>
          <w:rFonts w:asciiTheme="minorBidi" w:hAnsiTheme="minorBidi"/>
          <w:color w:val="000000"/>
          <w:rtl/>
        </w:rPr>
        <w:t>-</w:t>
      </w:r>
      <w:r w:rsidRPr="00576D5C">
        <w:rPr>
          <w:rFonts w:asciiTheme="minorBidi" w:hAnsiTheme="minorBidi"/>
          <w:color w:val="000000"/>
          <w:rtl/>
        </w:rPr>
        <w:t xml:space="preserve"> אסור לנהוג קלות בשליח בית דין</w:t>
      </w:r>
      <w:r w:rsidR="005D4221">
        <w:rPr>
          <w:rFonts w:asciiTheme="minorBidi" w:hAnsiTheme="minorBidi" w:hint="cs"/>
          <w:color w:val="000000"/>
          <w:rtl/>
        </w:rPr>
        <w:t>.</w:t>
      </w:r>
      <w:r w:rsidRPr="00576D5C">
        <w:rPr>
          <w:rFonts w:asciiTheme="minorBidi" w:hAnsiTheme="minorBidi"/>
          <w:color w:val="000000"/>
          <w:rtl/>
        </w:rPr>
        <w:t xml:space="preserve"> והרי השליח נאמן כשנים לענין הנדוי</w:t>
      </w:r>
      <w:r w:rsidR="005D4221">
        <w:rPr>
          <w:rFonts w:asciiTheme="minorBidi" w:hAnsiTheme="minorBidi" w:hint="cs"/>
          <w:color w:val="000000"/>
          <w:rtl/>
        </w:rPr>
        <w:t>,</w:t>
      </w:r>
      <w:r w:rsidRPr="00576D5C">
        <w:rPr>
          <w:rFonts w:asciiTheme="minorBidi" w:hAnsiTheme="minorBidi"/>
          <w:color w:val="000000"/>
          <w:rtl/>
        </w:rPr>
        <w:t xml:space="preserve"> שאם אמר </w:t>
      </w:r>
      <w:r w:rsidR="005D4221">
        <w:rPr>
          <w:rFonts w:asciiTheme="minorBidi" w:hAnsiTheme="minorBidi" w:hint="cs"/>
          <w:color w:val="000000"/>
          <w:rtl/>
        </w:rPr>
        <w:t>'</w:t>
      </w:r>
      <w:r w:rsidRPr="00576D5C">
        <w:rPr>
          <w:rFonts w:asciiTheme="minorBidi" w:hAnsiTheme="minorBidi"/>
          <w:color w:val="000000"/>
          <w:rtl/>
        </w:rPr>
        <w:t>פלוני הקלני</w:t>
      </w:r>
      <w:r w:rsidR="005D4221">
        <w:rPr>
          <w:rFonts w:asciiTheme="minorBidi" w:hAnsiTheme="minorBidi" w:hint="cs"/>
          <w:color w:val="000000"/>
          <w:rtl/>
        </w:rPr>
        <w:t>'</w:t>
      </w:r>
      <w:r w:rsidRPr="00576D5C">
        <w:rPr>
          <w:rFonts w:asciiTheme="minorBidi" w:hAnsiTheme="minorBidi"/>
          <w:color w:val="000000"/>
          <w:rtl/>
        </w:rPr>
        <w:t xml:space="preserve"> או </w:t>
      </w:r>
      <w:r w:rsidR="005D4221">
        <w:rPr>
          <w:rFonts w:asciiTheme="minorBidi" w:hAnsiTheme="minorBidi" w:hint="cs"/>
          <w:color w:val="000000"/>
          <w:rtl/>
        </w:rPr>
        <w:t>'</w:t>
      </w:r>
      <w:r w:rsidRPr="00576D5C">
        <w:rPr>
          <w:rFonts w:asciiTheme="minorBidi" w:hAnsiTheme="minorBidi"/>
          <w:color w:val="000000"/>
          <w:rtl/>
        </w:rPr>
        <w:t>הקלה הדיין</w:t>
      </w:r>
      <w:r w:rsidR="005D4221">
        <w:rPr>
          <w:rFonts w:asciiTheme="minorBidi" w:hAnsiTheme="minorBidi" w:hint="cs"/>
          <w:color w:val="000000"/>
          <w:rtl/>
        </w:rPr>
        <w:t>'</w:t>
      </w:r>
      <w:r w:rsidRPr="00576D5C">
        <w:rPr>
          <w:rFonts w:asciiTheme="minorBidi" w:hAnsiTheme="minorBidi"/>
          <w:color w:val="000000"/>
          <w:rtl/>
        </w:rPr>
        <w:t xml:space="preserve"> או </w:t>
      </w:r>
      <w:r w:rsidR="005D4221">
        <w:rPr>
          <w:rFonts w:asciiTheme="minorBidi" w:hAnsiTheme="minorBidi" w:hint="cs"/>
          <w:color w:val="000000"/>
          <w:rtl/>
        </w:rPr>
        <w:t>'</w:t>
      </w:r>
      <w:r w:rsidRPr="00576D5C">
        <w:rPr>
          <w:rFonts w:asciiTheme="minorBidi" w:hAnsiTheme="minorBidi"/>
          <w:color w:val="000000"/>
          <w:rtl/>
        </w:rPr>
        <w:t>לא רצה לבא לדין</w:t>
      </w:r>
      <w:r w:rsidR="005D4221">
        <w:rPr>
          <w:rFonts w:asciiTheme="minorBidi" w:hAnsiTheme="minorBidi" w:hint="cs"/>
          <w:color w:val="000000"/>
          <w:rtl/>
        </w:rPr>
        <w:t>' -</w:t>
      </w:r>
      <w:r w:rsidRPr="00576D5C">
        <w:rPr>
          <w:rFonts w:asciiTheme="minorBidi" w:hAnsiTheme="minorBidi"/>
          <w:color w:val="000000"/>
          <w:rtl/>
        </w:rPr>
        <w:t xml:space="preserve"> משמתין אותו על פיו</w:t>
      </w:r>
      <w:r w:rsidR="007D46E2" w:rsidRPr="00576D5C">
        <w:rPr>
          <w:rStyle w:val="ab"/>
          <w:rFonts w:asciiTheme="minorBidi" w:hAnsiTheme="minorBidi"/>
          <w:color w:val="000000"/>
          <w:rtl/>
        </w:rPr>
        <w:footnoteReference w:id="450"/>
      </w:r>
      <w:r w:rsidR="005D4221">
        <w:rPr>
          <w:rFonts w:asciiTheme="minorBidi" w:hAnsiTheme="minorBidi" w:hint="cs"/>
          <w:color w:val="000000"/>
          <w:rtl/>
        </w:rPr>
        <w:t>.</w:t>
      </w:r>
      <w:r w:rsidRPr="00164775">
        <w:rPr>
          <w:rFonts w:asciiTheme="minorBidi" w:hAnsiTheme="minorBidi"/>
          <w:rtl/>
        </w:rPr>
        <w:t xml:space="preserve"> אבל אין כותבין פתיחא עליו עד שיבואו שנים ויעידו שנמנע ולא רצה לבא</w:t>
      </w:r>
      <w:r w:rsidRPr="00576D5C">
        <w:rPr>
          <w:rFonts w:asciiTheme="minorBidi" w:hAnsiTheme="minorBidi"/>
          <w:color w:val="000000"/>
          <w:rtl/>
        </w:rPr>
        <w:t>.</w:t>
      </w:r>
      <w:r w:rsidR="007D46E2" w:rsidRPr="00576D5C">
        <w:rPr>
          <w:rFonts w:asciiTheme="minorBidi" w:hAnsiTheme="minorBidi"/>
          <w:color w:val="000000"/>
          <w:rtl/>
        </w:rPr>
        <w:t>..</w:t>
      </w:r>
      <w:r w:rsidR="007D46E2" w:rsidRPr="00576D5C">
        <w:rPr>
          <w:rFonts w:asciiTheme="minorBidi" w:hAnsiTheme="minorBidi"/>
          <w:rtl/>
        </w:rPr>
        <w:t xml:space="preserve"> </w:t>
      </w:r>
      <w:r w:rsidR="007D46E2" w:rsidRPr="00576D5C">
        <w:rPr>
          <w:rFonts w:asciiTheme="minorBidi" w:hAnsiTheme="minorBidi"/>
          <w:color w:val="000000"/>
          <w:rtl/>
        </w:rPr>
        <w:t>וכל המצער שליח בית דין</w:t>
      </w:r>
      <w:r w:rsidR="005D4221">
        <w:rPr>
          <w:rFonts w:asciiTheme="minorBidi" w:hAnsiTheme="minorBidi" w:hint="cs"/>
          <w:color w:val="000000"/>
          <w:rtl/>
        </w:rPr>
        <w:t xml:space="preserve"> -</w:t>
      </w:r>
      <w:r w:rsidR="007D46E2" w:rsidRPr="00576D5C">
        <w:rPr>
          <w:rFonts w:asciiTheme="minorBidi" w:hAnsiTheme="minorBidi"/>
          <w:color w:val="000000"/>
          <w:rtl/>
        </w:rPr>
        <w:t xml:space="preserve"> יש לבית דין רשות להכותו מכת מרדות</w:t>
      </w:r>
      <w:r w:rsidR="007D46E2" w:rsidRPr="00576D5C">
        <w:rPr>
          <w:rFonts w:asciiTheme="minorBidi" w:hAnsiTheme="minorBidi"/>
          <w:color w:val="000000"/>
          <w:sz w:val="16"/>
          <w:szCs w:val="16"/>
          <w:rtl/>
        </w:rPr>
        <w:t xml:space="preserve"> (</w:t>
      </w:r>
      <w:r w:rsidR="00C17E1D">
        <w:rPr>
          <w:rFonts w:asciiTheme="minorBidi" w:hAnsiTheme="minorBidi" w:hint="cs"/>
          <w:color w:val="000000"/>
          <w:sz w:val="16"/>
          <w:szCs w:val="16"/>
          <w:rtl/>
        </w:rPr>
        <w:t>ל' הרמב"ם</w:t>
      </w:r>
      <w:r w:rsidR="007D46E2" w:rsidRPr="00576D5C">
        <w:rPr>
          <w:rFonts w:asciiTheme="minorBidi" w:hAnsiTheme="minorBidi"/>
          <w:color w:val="000000"/>
          <w:sz w:val="16"/>
          <w:szCs w:val="16"/>
          <w:rtl/>
        </w:rPr>
        <w:t>)</w:t>
      </w:r>
      <w:r w:rsidR="007D46E2" w:rsidRPr="00576D5C">
        <w:rPr>
          <w:rFonts w:asciiTheme="minorBidi" w:hAnsiTheme="minorBidi"/>
          <w:color w:val="000000"/>
          <w:rtl/>
        </w:rPr>
        <w:t>.</w:t>
      </w:r>
      <w:r w:rsidRPr="00576D5C">
        <w:rPr>
          <w:rFonts w:asciiTheme="minorBidi" w:hAnsiTheme="minorBidi"/>
          <w:color w:val="000000"/>
          <w:rtl/>
        </w:rPr>
        <w:t xml:space="preserve"> </w:t>
      </w:r>
      <w:r w:rsidR="00C323DF" w:rsidRPr="00576D5C">
        <w:rPr>
          <w:rFonts w:asciiTheme="minorBidi" w:hAnsiTheme="minorBidi"/>
          <w:color w:val="E36C0A" w:themeColor="accent6" w:themeShade="BF"/>
          <w:rtl/>
        </w:rPr>
        <w:t>(וכ"פ בשו"ע</w:t>
      </w:r>
      <w:r w:rsidR="00C17E1D">
        <w:rPr>
          <w:rFonts w:asciiTheme="minorBidi" w:hAnsiTheme="minorBidi" w:hint="cs"/>
          <w:color w:val="E36C0A" w:themeColor="accent6" w:themeShade="BF"/>
          <w:sz w:val="16"/>
          <w:szCs w:val="16"/>
          <w:rtl/>
        </w:rPr>
        <w:t xml:space="preserve"> </w:t>
      </w:r>
      <w:r w:rsidR="00C17E1D" w:rsidRPr="00C17E1D">
        <w:rPr>
          <w:rFonts w:asciiTheme="minorBidi" w:hAnsiTheme="minorBidi" w:hint="cs"/>
          <w:color w:val="000000" w:themeColor="text1"/>
          <w:sz w:val="16"/>
          <w:szCs w:val="16"/>
          <w:rtl/>
        </w:rPr>
        <w:t>[כאן ובס</w:t>
      </w:r>
      <w:r w:rsidR="00C17E1D">
        <w:rPr>
          <w:rFonts w:asciiTheme="minorBidi" w:hAnsiTheme="minorBidi" w:hint="cs"/>
          <w:color w:val="000000" w:themeColor="text1"/>
          <w:sz w:val="16"/>
          <w:szCs w:val="16"/>
          <w:rtl/>
        </w:rPr>
        <w:t>י</w:t>
      </w:r>
      <w:r w:rsidR="00C17E1D" w:rsidRPr="00C17E1D">
        <w:rPr>
          <w:rFonts w:asciiTheme="minorBidi" w:hAnsiTheme="minorBidi" w:hint="cs"/>
          <w:color w:val="000000" w:themeColor="text1"/>
          <w:sz w:val="16"/>
          <w:szCs w:val="16"/>
          <w:rtl/>
        </w:rPr>
        <w:t>' יא ס"א]</w:t>
      </w:r>
      <w:r w:rsidR="00C323DF" w:rsidRPr="00576D5C">
        <w:rPr>
          <w:rFonts w:asciiTheme="minorBidi" w:hAnsiTheme="minorBidi"/>
          <w:color w:val="E36C0A" w:themeColor="accent6" w:themeShade="BF"/>
          <w:rtl/>
        </w:rPr>
        <w:t>)</w:t>
      </w:r>
    </w:p>
    <w:p w14:paraId="2920241F" w14:textId="77777777" w:rsidR="00E63E94" w:rsidRPr="00E63E94" w:rsidRDefault="00E63E94" w:rsidP="00E63E94">
      <w:pPr>
        <w:rPr>
          <w:rFonts w:asciiTheme="minorBidi" w:hAnsiTheme="minorBidi"/>
        </w:rPr>
      </w:pPr>
      <w:r>
        <w:rPr>
          <w:rFonts w:asciiTheme="minorBidi" w:hAnsiTheme="minorBidi" w:hint="cs"/>
          <w:b/>
          <w:bCs/>
          <w:rtl/>
        </w:rPr>
        <w:t xml:space="preserve">במדבר פרשת קרח פט"ז: </w:t>
      </w:r>
      <w:r w:rsidRPr="00E63E94">
        <w:rPr>
          <w:rFonts w:asciiTheme="minorBidi" w:hAnsiTheme="minorBidi"/>
          <w:b/>
          <w:bCs/>
          <w:rtl/>
        </w:rPr>
        <w:t>(יב)</w:t>
      </w:r>
      <w:r w:rsidRPr="00E63E94">
        <w:rPr>
          <w:rFonts w:asciiTheme="minorBidi" w:hAnsiTheme="minorBidi"/>
          <w:rtl/>
        </w:rPr>
        <w:t xml:space="preserve"> וַיִּשְׁלַח מֹשֶׁה לִקְרֹא לְדָתָן וְלַאֲבִירָם בְּנֵי אֱלִיאָב וַיֹּאמְרוּ לֹא נַעֲלֶה: </w:t>
      </w:r>
      <w:r w:rsidRPr="00E63E94">
        <w:rPr>
          <w:rFonts w:asciiTheme="minorBidi" w:hAnsiTheme="minorBidi"/>
          <w:b/>
          <w:bCs/>
          <w:rtl/>
        </w:rPr>
        <w:t>(יג)</w:t>
      </w:r>
      <w:r w:rsidRPr="00E63E94">
        <w:rPr>
          <w:rFonts w:asciiTheme="minorBidi" w:hAnsiTheme="minorBidi"/>
          <w:rtl/>
        </w:rPr>
        <w:t xml:space="preserve"> הַמְעַט כִּי הֶעֱלִיתָנוּ מֵאֶרֶץ זָבַת חָלָב וּדְבַשׁ לַהֲמִיתֵנוּ בַּמִּדְבָּר כִּי תִשְׂתָּרֵר עָלֵינוּ גַּם  הִשְׂתָּרֵר: </w:t>
      </w:r>
      <w:r w:rsidRPr="00E63E94">
        <w:rPr>
          <w:rFonts w:asciiTheme="minorBidi" w:hAnsiTheme="minorBidi"/>
          <w:b/>
          <w:bCs/>
          <w:rtl/>
        </w:rPr>
        <w:t>(יד)</w:t>
      </w:r>
      <w:r w:rsidRPr="00E63E94">
        <w:rPr>
          <w:rFonts w:asciiTheme="minorBidi" w:hAnsiTheme="minorBidi"/>
          <w:rtl/>
        </w:rPr>
        <w:t xml:space="preserve"> אַף לֹא אֶל אֶרֶץ זָבַת חָלָב וּדְבַשׁ הֲבִיאֹתָנוּ וַתִּתֶּן לָנוּ נַחֲלַת שָׂדֶה וָכָרֶם הַעֵינֵי הָאֲנָשִׁים הָהֵם תְּנַקֵּר לֹא נַעֲלֶה: </w:t>
      </w:r>
      <w:r w:rsidRPr="00E63E94">
        <w:rPr>
          <w:rFonts w:asciiTheme="minorBidi" w:hAnsiTheme="minorBidi"/>
          <w:b/>
          <w:bCs/>
          <w:rtl/>
        </w:rPr>
        <w:t>(טו)</w:t>
      </w:r>
      <w:r w:rsidRPr="00E63E94">
        <w:rPr>
          <w:rFonts w:asciiTheme="minorBidi" w:hAnsiTheme="minorBidi"/>
          <w:rtl/>
        </w:rPr>
        <w:t xml:space="preserve"> וַיִּחַר לְמֹשֶׁה מְאֹד</w:t>
      </w:r>
      <w:r>
        <w:rPr>
          <w:rFonts w:asciiTheme="minorBidi" w:hAnsiTheme="minorBidi" w:hint="cs"/>
          <w:rtl/>
        </w:rPr>
        <w:t>...</w:t>
      </w:r>
    </w:p>
    <w:p w14:paraId="51169340" w14:textId="77777777" w:rsidR="00E63E94" w:rsidRDefault="007D46E2" w:rsidP="00576D5C">
      <w:pPr>
        <w:rPr>
          <w:rFonts w:asciiTheme="minorBidi" w:hAnsiTheme="minorBidi"/>
          <w:color w:val="000000"/>
          <w:rtl/>
        </w:rPr>
      </w:pPr>
      <w:r w:rsidRPr="00576D5C">
        <w:rPr>
          <w:rFonts w:asciiTheme="minorBidi" w:hAnsiTheme="minorBidi"/>
          <w:b/>
          <w:bCs/>
          <w:color w:val="000000"/>
          <w:rtl/>
        </w:rPr>
        <w:lastRenderedPageBreak/>
        <w:t xml:space="preserve">מועד קטן </w:t>
      </w:r>
      <w:r w:rsidRPr="00576D5C">
        <w:rPr>
          <w:rFonts w:asciiTheme="minorBidi" w:hAnsiTheme="minorBidi"/>
          <w:b/>
          <w:bCs/>
          <w:color w:val="000000"/>
          <w:sz w:val="16"/>
          <w:szCs w:val="16"/>
          <w:rtl/>
        </w:rPr>
        <w:t xml:space="preserve">(פ' אלו מגלחין) </w:t>
      </w:r>
      <w:r w:rsidRPr="00576D5C">
        <w:rPr>
          <w:rFonts w:asciiTheme="minorBidi" w:hAnsiTheme="minorBidi"/>
          <w:b/>
          <w:bCs/>
          <w:color w:val="000000"/>
          <w:rtl/>
        </w:rPr>
        <w:t>טז</w:t>
      </w:r>
      <w:r w:rsidR="00C8391A">
        <w:rPr>
          <w:rStyle w:val="ab"/>
          <w:rFonts w:asciiTheme="minorBidi" w:hAnsiTheme="minorBidi"/>
          <w:b/>
          <w:bCs/>
          <w:color w:val="000000"/>
          <w:rtl/>
        </w:rPr>
        <w:footnoteReference w:id="451"/>
      </w:r>
      <w:r w:rsidRPr="00576D5C">
        <w:rPr>
          <w:rFonts w:asciiTheme="minorBidi" w:hAnsiTheme="minorBidi"/>
          <w:b/>
          <w:bCs/>
          <w:color w:val="000000"/>
          <w:rtl/>
        </w:rPr>
        <w:t xml:space="preserve"> ע"א: </w:t>
      </w:r>
      <w:r w:rsidRPr="00E63E94">
        <w:rPr>
          <w:rFonts w:asciiTheme="minorBidi" w:hAnsiTheme="minorBidi"/>
          <w:rtl/>
        </w:rPr>
        <w:t>ומנלן דאי מתפקר בשליחא דבי דינא, ואתי ואמר, לא מיתחזי כלישנא בישא - דכתיב העיני האנשים ההם תנקר</w:t>
      </w:r>
      <w:r w:rsidRPr="00576D5C">
        <w:rPr>
          <w:rStyle w:val="ab"/>
          <w:rFonts w:asciiTheme="minorBidi" w:hAnsiTheme="minorBidi"/>
          <w:color w:val="000000"/>
          <w:rtl/>
        </w:rPr>
        <w:footnoteReference w:id="452"/>
      </w:r>
      <w:r w:rsidRPr="00576D5C">
        <w:rPr>
          <w:rFonts w:asciiTheme="minorBidi" w:hAnsiTheme="minorBidi"/>
          <w:color w:val="000000"/>
          <w:rtl/>
        </w:rPr>
        <w:t xml:space="preserve">. </w:t>
      </w:r>
    </w:p>
    <w:p w14:paraId="6A1BEB7E" w14:textId="77777777" w:rsidR="00E63E94" w:rsidRDefault="00E63E94" w:rsidP="00576D5C">
      <w:pPr>
        <w:rPr>
          <w:rFonts w:asciiTheme="minorBidi" w:hAnsiTheme="minorBidi"/>
          <w:color w:val="000000"/>
          <w:rtl/>
        </w:rPr>
      </w:pPr>
      <w:r w:rsidRPr="00E63E94">
        <w:rPr>
          <w:rFonts w:asciiTheme="minorBidi" w:hAnsiTheme="minorBidi" w:hint="cs"/>
          <w:color w:val="000000"/>
          <w:u w:val="single"/>
          <w:rtl/>
        </w:rPr>
        <w:t>האם שליח בית דין מתחייב בדבריו באיסור לשון הרע:</w:t>
      </w:r>
    </w:p>
    <w:p w14:paraId="4C263A88" w14:textId="77777777" w:rsidR="007D46E2" w:rsidRPr="00E63E94" w:rsidRDefault="00E63E94" w:rsidP="00E63E94">
      <w:pPr>
        <w:pStyle w:val="ac"/>
        <w:numPr>
          <w:ilvl w:val="0"/>
          <w:numId w:val="1"/>
        </w:numPr>
        <w:rPr>
          <w:rFonts w:asciiTheme="minorBidi" w:hAnsiTheme="minorBidi"/>
          <w:color w:val="000000"/>
        </w:rPr>
      </w:pPr>
      <w:r w:rsidRPr="00E63E94">
        <w:rPr>
          <w:rFonts w:asciiTheme="minorBidi" w:hAnsiTheme="minorBidi" w:cs="Arial" w:hint="cs"/>
          <w:color w:val="000000"/>
          <w:rtl/>
        </w:rPr>
        <w:t>רמב"ם</w:t>
      </w:r>
      <w:r w:rsidRPr="00E63E94">
        <w:rPr>
          <w:rFonts w:asciiTheme="minorBidi" w:hAnsiTheme="minorBidi"/>
          <w:color w:val="000000"/>
          <w:sz w:val="16"/>
          <w:szCs w:val="16"/>
          <w:rtl/>
        </w:rPr>
        <w:t xml:space="preserve"> (שם ה"ו)</w:t>
      </w:r>
      <w:r w:rsidRPr="00E63E94">
        <w:rPr>
          <w:rFonts w:asciiTheme="minorBidi" w:hAnsiTheme="minorBidi" w:cs="Arial" w:hint="cs"/>
          <w:color w:val="000000"/>
          <w:rtl/>
        </w:rPr>
        <w:t xml:space="preserve">- </w:t>
      </w:r>
      <w:r w:rsidRPr="00E63E94">
        <w:rPr>
          <w:rFonts w:asciiTheme="minorBidi" w:hAnsiTheme="minorBidi" w:cs="Arial"/>
          <w:color w:val="000000"/>
          <w:rtl/>
        </w:rPr>
        <w:t>אין שליח ב</w:t>
      </w:r>
      <w:r>
        <w:rPr>
          <w:rFonts w:asciiTheme="minorBidi" w:hAnsiTheme="minorBidi" w:cs="Arial" w:hint="cs"/>
          <w:color w:val="000000"/>
          <w:rtl/>
        </w:rPr>
        <w:t>"</w:t>
      </w:r>
      <w:r w:rsidRPr="00E63E94">
        <w:rPr>
          <w:rFonts w:asciiTheme="minorBidi" w:hAnsiTheme="minorBidi" w:cs="Arial"/>
          <w:color w:val="000000"/>
          <w:rtl/>
        </w:rPr>
        <w:t>ד חייב באמירת דברים משום לשון הרע.</w:t>
      </w:r>
      <w:r w:rsidRPr="00E63E94">
        <w:rPr>
          <w:rFonts w:asciiTheme="minorBidi" w:hAnsiTheme="minorBidi" w:hint="cs"/>
          <w:color w:val="E36C0A" w:themeColor="accent6" w:themeShade="BF"/>
          <w:rtl/>
        </w:rPr>
        <w:t xml:space="preserve"> (וכ"פ בשו"ע</w:t>
      </w:r>
      <w:r w:rsidRPr="00E63E94">
        <w:rPr>
          <w:rFonts w:asciiTheme="minorBidi" w:hAnsiTheme="minorBidi" w:hint="cs"/>
          <w:color w:val="E36C0A" w:themeColor="accent6" w:themeShade="BF"/>
          <w:sz w:val="16"/>
          <w:szCs w:val="16"/>
          <w:rtl/>
        </w:rPr>
        <w:t xml:space="preserve"> </w:t>
      </w:r>
      <w:r w:rsidRPr="00E63E94">
        <w:rPr>
          <w:rFonts w:asciiTheme="minorBidi" w:hAnsiTheme="minorBidi" w:hint="cs"/>
          <w:color w:val="000000"/>
          <w:sz w:val="16"/>
          <w:szCs w:val="16"/>
          <w:rtl/>
        </w:rPr>
        <w:t>[בסי' יא ס"א]</w:t>
      </w:r>
      <w:r w:rsidRPr="00E63E94">
        <w:rPr>
          <w:rFonts w:asciiTheme="minorBidi" w:hAnsiTheme="minorBidi" w:hint="cs"/>
          <w:color w:val="E36C0A" w:themeColor="accent6" w:themeShade="BF"/>
          <w:rtl/>
        </w:rPr>
        <w:t>)</w:t>
      </w:r>
      <w:r w:rsidRPr="00E63E94">
        <w:rPr>
          <w:rFonts w:asciiTheme="minorBidi" w:hAnsiTheme="minorBidi" w:cs="Arial" w:hint="cs"/>
          <w:color w:val="000000"/>
          <w:rtl/>
        </w:rPr>
        <w:t xml:space="preserve"> </w:t>
      </w:r>
      <w:r w:rsidRPr="00E63E94">
        <w:rPr>
          <w:rFonts w:asciiTheme="minorBidi" w:hAnsiTheme="minorBidi" w:hint="cs"/>
          <w:color w:val="00B0F0"/>
          <w:rtl/>
        </w:rPr>
        <w:t>(</w:t>
      </w:r>
      <w:r w:rsidR="00F82D19" w:rsidRPr="00E63E94">
        <w:rPr>
          <w:rFonts w:asciiTheme="minorBidi" w:hAnsiTheme="minorBidi"/>
          <w:color w:val="00B0F0"/>
          <w:rtl/>
        </w:rPr>
        <w:t>וכ"פ הרמ"א</w:t>
      </w:r>
      <w:r w:rsidRPr="00E63E94">
        <w:rPr>
          <w:rFonts w:asciiTheme="minorBidi" w:hAnsiTheme="minorBidi" w:hint="cs"/>
          <w:color w:val="00B0F0"/>
          <w:rtl/>
        </w:rPr>
        <w:t>)</w:t>
      </w:r>
      <w:r w:rsidR="00F82D19" w:rsidRPr="00E63E94">
        <w:rPr>
          <w:rFonts w:asciiTheme="minorBidi" w:hAnsiTheme="minorBidi" w:hint="cs"/>
          <w:color w:val="000000"/>
          <w:rtl/>
        </w:rPr>
        <w:t xml:space="preserve"> </w:t>
      </w:r>
    </w:p>
    <w:p w14:paraId="71A0539D" w14:textId="77777777" w:rsidR="0023341E" w:rsidRPr="00576D5C" w:rsidRDefault="000B0B21" w:rsidP="00576D5C">
      <w:pPr>
        <w:rPr>
          <w:rFonts w:asciiTheme="minorBidi" w:hAnsiTheme="minorBidi"/>
          <w:color w:val="000000"/>
          <w:rtl/>
        </w:rPr>
      </w:pPr>
      <w:r w:rsidRPr="00576D5C">
        <w:rPr>
          <w:rFonts w:asciiTheme="minorBidi" w:hAnsiTheme="minorBidi"/>
          <w:b/>
          <w:bCs/>
          <w:color w:val="000000"/>
          <w:rtl/>
        </w:rPr>
        <w:t xml:space="preserve">בבא קמא </w:t>
      </w:r>
      <w:r w:rsidRPr="00576D5C">
        <w:rPr>
          <w:rFonts w:asciiTheme="minorBidi" w:hAnsiTheme="minorBidi"/>
          <w:b/>
          <w:bCs/>
          <w:color w:val="000000"/>
          <w:sz w:val="16"/>
          <w:szCs w:val="16"/>
          <w:rtl/>
        </w:rPr>
        <w:t xml:space="preserve">(פ' המניח) </w:t>
      </w:r>
      <w:r w:rsidRPr="00576D5C">
        <w:rPr>
          <w:rFonts w:asciiTheme="minorBidi" w:hAnsiTheme="minorBidi"/>
          <w:b/>
          <w:bCs/>
          <w:color w:val="000000"/>
          <w:rtl/>
        </w:rPr>
        <w:t>כז</w:t>
      </w:r>
      <w:r w:rsidR="00F61CFD">
        <w:rPr>
          <w:rStyle w:val="ab"/>
          <w:rFonts w:asciiTheme="minorBidi" w:hAnsiTheme="minorBidi"/>
          <w:b/>
          <w:bCs/>
          <w:color w:val="000000"/>
          <w:rtl/>
        </w:rPr>
        <w:footnoteReference w:id="453"/>
      </w:r>
      <w:r w:rsidRPr="00576D5C">
        <w:rPr>
          <w:rFonts w:asciiTheme="minorBidi" w:hAnsiTheme="minorBidi"/>
          <w:b/>
          <w:bCs/>
          <w:color w:val="000000"/>
          <w:rtl/>
        </w:rPr>
        <w:t xml:space="preserve"> ע"ב: </w:t>
      </w:r>
      <w:r w:rsidRPr="00576D5C">
        <w:rPr>
          <w:rFonts w:asciiTheme="minorBidi" w:hAnsiTheme="minorBidi"/>
          <w:color w:val="000000"/>
          <w:rtl/>
        </w:rPr>
        <w:t>שלח ליה רב חסדא לר"נ, הרי אמרו: לרכובה - שלש</w:t>
      </w:r>
      <w:r w:rsidR="00CB6724" w:rsidRPr="00576D5C">
        <w:rPr>
          <w:rStyle w:val="ab"/>
          <w:rFonts w:asciiTheme="minorBidi" w:hAnsiTheme="minorBidi"/>
          <w:color w:val="000000"/>
          <w:rtl/>
        </w:rPr>
        <w:footnoteReference w:id="454"/>
      </w:r>
      <w:r w:rsidRPr="00576D5C">
        <w:rPr>
          <w:rFonts w:asciiTheme="minorBidi" w:hAnsiTheme="minorBidi"/>
          <w:color w:val="000000"/>
          <w:rtl/>
        </w:rPr>
        <w:t>, ולבעיטה - חמש, ולסנוקרת - שלש עשרה, לפנדא דמרא ולקופינא דמרא מאי? שלח ליה: חסדא, חסדא, קנסא קא מגבית בבבל? אימא לי גופא דעובדא</w:t>
      </w:r>
      <w:r w:rsidR="00E137E0" w:rsidRPr="00576D5C">
        <w:rPr>
          <w:rStyle w:val="ab"/>
          <w:rFonts w:asciiTheme="minorBidi" w:hAnsiTheme="minorBidi"/>
          <w:color w:val="000000"/>
          <w:rtl/>
        </w:rPr>
        <w:footnoteReference w:id="455"/>
      </w:r>
      <w:r w:rsidRPr="00576D5C">
        <w:rPr>
          <w:rFonts w:asciiTheme="minorBidi" w:hAnsiTheme="minorBidi"/>
          <w:color w:val="000000"/>
          <w:rtl/>
        </w:rPr>
        <w:t xml:space="preserve"> היכי הוה? שלח ליה, דההוא גרגותא</w:t>
      </w:r>
      <w:r w:rsidR="00E137E0" w:rsidRPr="00576D5C">
        <w:rPr>
          <w:rStyle w:val="ab"/>
          <w:rFonts w:asciiTheme="minorBidi" w:hAnsiTheme="minorBidi"/>
          <w:color w:val="000000"/>
          <w:rtl/>
        </w:rPr>
        <w:footnoteReference w:id="456"/>
      </w:r>
      <w:r w:rsidRPr="00576D5C">
        <w:rPr>
          <w:rFonts w:asciiTheme="minorBidi" w:hAnsiTheme="minorBidi"/>
          <w:color w:val="000000"/>
          <w:rtl/>
        </w:rPr>
        <w:t xml:space="preserve"> דבי תרי דכל יומא הוה דלי חד מנייהו, אתא חד קא דלי ביומא דלא דיליה, א"ל: יומא דידי הוא! לא אשגח ביה, שקל פנדא דמרא מחייה. א"ל: מאה פנדי</w:t>
      </w:r>
      <w:r w:rsidR="00E137E0" w:rsidRPr="00576D5C">
        <w:rPr>
          <w:rStyle w:val="ab"/>
          <w:rFonts w:asciiTheme="minorBidi" w:hAnsiTheme="minorBidi"/>
          <w:color w:val="000000"/>
          <w:rtl/>
        </w:rPr>
        <w:footnoteReference w:id="457"/>
      </w:r>
      <w:r w:rsidRPr="00576D5C">
        <w:rPr>
          <w:rFonts w:asciiTheme="minorBidi" w:hAnsiTheme="minorBidi"/>
          <w:color w:val="000000"/>
          <w:rtl/>
        </w:rPr>
        <w:t xml:space="preserve"> בפנדא למחייה, אפילו למ"ד לא עביד איניש דינא לנפשיה, במקום פסידא עביד איניש דינא לנפשיה.</w:t>
      </w:r>
    </w:p>
    <w:p w14:paraId="2EB49091" w14:textId="77777777" w:rsidR="00C8391A" w:rsidRPr="00576D5C" w:rsidRDefault="00C8391A" w:rsidP="00C8391A">
      <w:pPr>
        <w:rPr>
          <w:rFonts w:asciiTheme="minorBidi" w:hAnsiTheme="minorBidi"/>
          <w:color w:val="000000"/>
          <w:rtl/>
        </w:rPr>
      </w:pPr>
      <w:r w:rsidRPr="00576D5C">
        <w:rPr>
          <w:rFonts w:asciiTheme="minorBidi" w:hAnsiTheme="minorBidi"/>
          <w:color w:val="000000"/>
          <w:u w:val="single"/>
          <w:rtl/>
        </w:rPr>
        <w:t>האם שליח בית דין יכול להכות אדם שמסרב לבוא לבית דין:</w:t>
      </w:r>
      <w:r w:rsidRPr="00576D5C">
        <w:rPr>
          <w:rFonts w:asciiTheme="minorBidi" w:hAnsiTheme="minorBidi"/>
          <w:color w:val="000000"/>
          <w:rtl/>
        </w:rPr>
        <w:t xml:space="preserve"> </w:t>
      </w:r>
    </w:p>
    <w:p w14:paraId="601ADF1E" w14:textId="77777777" w:rsidR="00C8391A" w:rsidRDefault="00C8391A" w:rsidP="00C8391A">
      <w:pPr>
        <w:pStyle w:val="ac"/>
        <w:numPr>
          <w:ilvl w:val="0"/>
          <w:numId w:val="1"/>
        </w:numPr>
        <w:rPr>
          <w:rFonts w:asciiTheme="minorBidi" w:hAnsiTheme="minorBidi"/>
          <w:color w:val="000000"/>
        </w:rPr>
      </w:pPr>
      <w:r w:rsidRPr="00576D5C">
        <w:rPr>
          <w:rFonts w:asciiTheme="minorBidi" w:hAnsiTheme="minorBidi"/>
          <w:color w:val="000000"/>
          <w:rtl/>
        </w:rPr>
        <w:t xml:space="preserve">רי"ו </w:t>
      </w:r>
      <w:r w:rsidRPr="00576D5C">
        <w:rPr>
          <w:rFonts w:asciiTheme="minorBidi" w:hAnsiTheme="minorBidi"/>
          <w:color w:val="000000"/>
          <w:sz w:val="16"/>
          <w:szCs w:val="16"/>
          <w:rtl/>
        </w:rPr>
        <w:t>(מישרים נל"א ח"ב צב:)</w:t>
      </w:r>
      <w:r w:rsidRPr="00576D5C">
        <w:rPr>
          <w:rFonts w:asciiTheme="minorBidi" w:hAnsiTheme="minorBidi"/>
          <w:color w:val="000000"/>
          <w:rtl/>
        </w:rPr>
        <w:t>- שליח בית דין יכול להכותו אם מסרב בו כשמשכנו בזרוע בשוק</w:t>
      </w:r>
      <w:r w:rsidR="00214330">
        <w:rPr>
          <w:rFonts w:asciiTheme="minorBidi" w:hAnsiTheme="minorBidi" w:hint="cs"/>
          <w:color w:val="000000"/>
          <w:rtl/>
        </w:rPr>
        <w:t>.</w:t>
      </w:r>
      <w:r w:rsidRPr="00576D5C">
        <w:rPr>
          <w:rFonts w:asciiTheme="minorBidi" w:hAnsiTheme="minorBidi"/>
          <w:color w:val="000000"/>
          <w:rtl/>
        </w:rPr>
        <w:t xml:space="preserve"> וכן בכל מקום שמסרב לשליח בית דין אם הכהו או הזיק ממונו </w:t>
      </w:r>
      <w:r w:rsidR="00214330">
        <w:rPr>
          <w:rFonts w:asciiTheme="minorBidi" w:hAnsiTheme="minorBidi" w:hint="cs"/>
          <w:color w:val="000000"/>
          <w:rtl/>
        </w:rPr>
        <w:t xml:space="preserve">- </w:t>
      </w:r>
      <w:r w:rsidRPr="00576D5C">
        <w:rPr>
          <w:rFonts w:asciiTheme="minorBidi" w:hAnsiTheme="minorBidi"/>
          <w:color w:val="000000"/>
          <w:rtl/>
        </w:rPr>
        <w:t xml:space="preserve">פטור, </w:t>
      </w:r>
      <w:r w:rsidRPr="00214330">
        <w:rPr>
          <w:rFonts w:asciiTheme="minorBidi" w:hAnsiTheme="minorBidi"/>
          <w:b/>
          <w:bCs/>
          <w:color w:val="000000"/>
          <w:rtl/>
        </w:rPr>
        <w:t>אפילו יכול להצילו בדבר אחר</w:t>
      </w:r>
      <w:r w:rsidRPr="00576D5C">
        <w:rPr>
          <w:rFonts w:asciiTheme="minorBidi" w:hAnsiTheme="minorBidi"/>
          <w:color w:val="000000"/>
          <w:rtl/>
        </w:rPr>
        <w:t xml:space="preserve">. </w:t>
      </w:r>
      <w:r w:rsidR="00F61CFD">
        <w:rPr>
          <w:rFonts w:asciiTheme="minorBidi" w:hAnsiTheme="minorBidi" w:hint="cs"/>
          <w:color w:val="000000"/>
          <w:rtl/>
        </w:rPr>
        <w:t>(וכ"פ הסמ"ע</w:t>
      </w:r>
      <w:r w:rsidR="00F61CFD">
        <w:rPr>
          <w:rFonts w:asciiTheme="minorBidi" w:hAnsiTheme="minorBidi" w:hint="cs"/>
          <w:color w:val="000000"/>
          <w:sz w:val="16"/>
          <w:szCs w:val="16"/>
          <w:rtl/>
        </w:rPr>
        <w:t xml:space="preserve"> [סקכ"ה]</w:t>
      </w:r>
      <w:r w:rsidR="00F61CFD">
        <w:rPr>
          <w:rFonts w:asciiTheme="minorBidi" w:hAnsiTheme="minorBidi" w:hint="cs"/>
          <w:color w:val="000000"/>
          <w:rtl/>
        </w:rPr>
        <w:t>)</w:t>
      </w:r>
    </w:p>
    <w:p w14:paraId="01EE76F1" w14:textId="77777777" w:rsidR="00F61CFD" w:rsidRPr="00576D5C" w:rsidRDefault="00F61CFD" w:rsidP="00C8391A">
      <w:pPr>
        <w:pStyle w:val="ac"/>
        <w:numPr>
          <w:ilvl w:val="0"/>
          <w:numId w:val="1"/>
        </w:numPr>
        <w:rPr>
          <w:rFonts w:asciiTheme="minorBidi" w:hAnsiTheme="minorBidi"/>
          <w:color w:val="000000"/>
          <w:rtl/>
        </w:rPr>
      </w:pPr>
      <w:r>
        <w:rPr>
          <w:rFonts w:asciiTheme="minorBidi" w:hAnsiTheme="minorBidi" w:cs="Arial" w:hint="cs"/>
          <w:color w:val="000000"/>
          <w:rtl/>
        </w:rPr>
        <w:t>נמוק"י</w:t>
      </w:r>
      <w:r w:rsidRPr="00F61CFD">
        <w:rPr>
          <w:rFonts w:asciiTheme="minorBidi" w:hAnsiTheme="minorBidi" w:cs="Arial" w:hint="cs"/>
          <w:color w:val="000000"/>
          <w:sz w:val="16"/>
          <w:szCs w:val="16"/>
          <w:rtl/>
        </w:rPr>
        <w:t xml:space="preserve"> (יב: מדפה"ר ד"ה מאה פנדי)</w:t>
      </w:r>
      <w:r>
        <w:rPr>
          <w:rFonts w:asciiTheme="minorBidi" w:hAnsiTheme="minorBidi" w:cs="Arial" w:hint="cs"/>
          <w:color w:val="000000"/>
          <w:rtl/>
        </w:rPr>
        <w:t>-</w:t>
      </w:r>
      <w:r w:rsidRPr="00F61CFD">
        <w:rPr>
          <w:rFonts w:asciiTheme="minorBidi" w:hAnsiTheme="minorBidi" w:cs="Arial" w:hint="cs"/>
          <w:rtl/>
        </w:rPr>
        <w:t xml:space="preserve"> </w:t>
      </w:r>
      <w:r w:rsidRPr="00214330">
        <w:rPr>
          <w:rFonts w:asciiTheme="minorBidi" w:hAnsiTheme="minorBidi" w:cs="Arial"/>
          <w:b/>
          <w:bCs/>
          <w:rtl/>
        </w:rPr>
        <w:t>אם</w:t>
      </w:r>
      <w:r w:rsidRPr="00F61CFD">
        <w:rPr>
          <w:rFonts w:asciiTheme="minorBidi" w:hAnsiTheme="minorBidi" w:cs="Arial"/>
          <w:rtl/>
        </w:rPr>
        <w:t xml:space="preserve"> </w:t>
      </w:r>
      <w:r w:rsidRPr="00214330">
        <w:rPr>
          <w:rFonts w:asciiTheme="minorBidi" w:hAnsiTheme="minorBidi" w:cs="Arial"/>
          <w:b/>
          <w:bCs/>
          <w:rtl/>
        </w:rPr>
        <w:t>אינו יכול להציל ע"י דבר</w:t>
      </w:r>
      <w:r w:rsidRPr="00F61CFD">
        <w:rPr>
          <w:rFonts w:asciiTheme="minorBidi" w:hAnsiTheme="minorBidi" w:cs="Arial"/>
          <w:rtl/>
        </w:rPr>
        <w:t xml:space="preserve"> אחר אלא ע"י ההכאה ולא בהכאה אחת </w:t>
      </w:r>
      <w:r w:rsidR="00214330">
        <w:rPr>
          <w:rFonts w:asciiTheme="minorBidi" w:hAnsiTheme="minorBidi" w:cs="Arial" w:hint="cs"/>
          <w:rtl/>
        </w:rPr>
        <w:t xml:space="preserve">- </w:t>
      </w:r>
      <w:r w:rsidRPr="00F61CFD">
        <w:rPr>
          <w:rFonts w:asciiTheme="minorBidi" w:hAnsiTheme="minorBidi" w:cs="Arial"/>
          <w:rtl/>
        </w:rPr>
        <w:t>יכה אפי' מאה מכות ופטור</w:t>
      </w:r>
      <w:r w:rsidR="00214330">
        <w:rPr>
          <w:rFonts w:asciiTheme="minorBidi" w:hAnsiTheme="minorBidi" w:cs="Arial" w:hint="cs"/>
          <w:rtl/>
        </w:rPr>
        <w:t>.</w:t>
      </w:r>
      <w:r w:rsidRPr="00F61CFD">
        <w:rPr>
          <w:rFonts w:asciiTheme="minorBidi" w:hAnsiTheme="minorBidi" w:cs="Arial"/>
          <w:rtl/>
        </w:rPr>
        <w:t xml:space="preserve"> וממילא שמעינן דשליח ב"ד נמי הכי דיניה בהדי מאן דלא ציית דינא</w:t>
      </w:r>
      <w:r w:rsidR="00214330">
        <w:rPr>
          <w:rFonts w:asciiTheme="minorBidi" w:hAnsiTheme="minorBidi" w:cs="Arial" w:hint="cs"/>
          <w:rtl/>
        </w:rPr>
        <w:t>,</w:t>
      </w:r>
      <w:r w:rsidRPr="00F61CFD">
        <w:rPr>
          <w:rFonts w:asciiTheme="minorBidi" w:hAnsiTheme="minorBidi" w:cs="Arial"/>
          <w:rtl/>
        </w:rPr>
        <w:t xml:space="preserve"> דאי לא תימא הכי מארי ממונא היכי יהבי ליה רשותא למעבד הכי</w:t>
      </w:r>
      <w:r w:rsidR="00214330">
        <w:rPr>
          <w:rFonts w:asciiTheme="minorBidi" w:hAnsiTheme="minorBidi" w:cs="Arial" w:hint="cs"/>
          <w:rtl/>
        </w:rPr>
        <w:t>,</w:t>
      </w:r>
      <w:r w:rsidRPr="00F61CFD">
        <w:rPr>
          <w:rFonts w:asciiTheme="minorBidi" w:hAnsiTheme="minorBidi" w:cs="Arial"/>
          <w:rtl/>
        </w:rPr>
        <w:t xml:space="preserve"> מי אלים משליחא דבי דינא</w:t>
      </w:r>
      <w:r w:rsidR="00214330">
        <w:rPr>
          <w:rFonts w:asciiTheme="minorBidi" w:hAnsiTheme="minorBidi" w:cs="Arial" w:hint="cs"/>
          <w:rtl/>
        </w:rPr>
        <w:t>?</w:t>
      </w:r>
      <w:r>
        <w:rPr>
          <w:rFonts w:asciiTheme="minorBidi" w:hAnsiTheme="minorBidi" w:hint="cs"/>
          <w:color w:val="000000"/>
          <w:rtl/>
        </w:rPr>
        <w:t>.</w:t>
      </w:r>
    </w:p>
    <w:p w14:paraId="3455A463" w14:textId="77777777" w:rsidR="00E137BC" w:rsidRPr="00576D5C" w:rsidRDefault="00E137BC" w:rsidP="00576D5C">
      <w:pPr>
        <w:rPr>
          <w:rFonts w:asciiTheme="minorBidi" w:hAnsiTheme="minorBidi"/>
          <w:b/>
          <w:bCs/>
          <w:color w:val="000000"/>
          <w:sz w:val="28"/>
          <w:szCs w:val="28"/>
          <w:u w:val="single"/>
          <w:rtl/>
        </w:rPr>
      </w:pPr>
      <w:r w:rsidRPr="00576D5C">
        <w:rPr>
          <w:rFonts w:asciiTheme="minorBidi" w:hAnsiTheme="minorBidi"/>
          <w:b/>
          <w:bCs/>
          <w:color w:val="000000"/>
          <w:sz w:val="28"/>
          <w:szCs w:val="28"/>
          <w:u w:val="single"/>
          <w:rtl/>
        </w:rPr>
        <w:t>שו"ע:</w:t>
      </w:r>
    </w:p>
    <w:p w14:paraId="54904395" w14:textId="77777777" w:rsidR="00E137BC" w:rsidRPr="00576D5C" w:rsidRDefault="00E137BC" w:rsidP="00576D5C">
      <w:pPr>
        <w:rPr>
          <w:rFonts w:asciiTheme="minorBidi" w:hAnsiTheme="minorBidi"/>
          <w:rtl/>
        </w:rPr>
      </w:pPr>
      <w:r w:rsidRPr="00576D5C">
        <w:rPr>
          <w:rFonts w:asciiTheme="minorBidi" w:hAnsiTheme="minorBidi"/>
          <w:rtl/>
        </w:rPr>
        <w:t>אף בשליח ב</w:t>
      </w:r>
      <w:r w:rsidR="000B0B21" w:rsidRPr="00576D5C">
        <w:rPr>
          <w:rFonts w:asciiTheme="minorBidi" w:hAnsiTheme="minorBidi"/>
          <w:rtl/>
        </w:rPr>
        <w:t xml:space="preserve">ית </w:t>
      </w:r>
      <w:r w:rsidRPr="00576D5C">
        <w:rPr>
          <w:rFonts w:asciiTheme="minorBidi" w:hAnsiTheme="minorBidi"/>
          <w:rtl/>
        </w:rPr>
        <w:t>ד</w:t>
      </w:r>
      <w:r w:rsidR="000B0B21" w:rsidRPr="00576D5C">
        <w:rPr>
          <w:rFonts w:asciiTheme="minorBidi" w:hAnsiTheme="minorBidi"/>
          <w:rtl/>
        </w:rPr>
        <w:t>ין</w:t>
      </w:r>
      <w:r w:rsidRPr="00576D5C">
        <w:rPr>
          <w:rFonts w:asciiTheme="minorBidi" w:hAnsiTheme="minorBidi"/>
          <w:rtl/>
        </w:rPr>
        <w:t xml:space="preserve"> אסור לנהוג קלות ראש</w:t>
      </w:r>
      <w:r w:rsidR="00E137E0" w:rsidRPr="00576D5C">
        <w:rPr>
          <w:rFonts w:asciiTheme="minorBidi" w:hAnsiTheme="minorBidi"/>
          <w:rtl/>
        </w:rPr>
        <w:t>.</w:t>
      </w:r>
      <w:r w:rsidRPr="00576D5C">
        <w:rPr>
          <w:rFonts w:asciiTheme="minorBidi" w:hAnsiTheme="minorBidi"/>
          <w:rtl/>
        </w:rPr>
        <w:t xml:space="preserve"> והמצערו, יש רשות לבית דין להכותו מכת מרדות</w:t>
      </w:r>
      <w:r w:rsidR="00C323DF" w:rsidRPr="00576D5C">
        <w:rPr>
          <w:rStyle w:val="ab"/>
          <w:rFonts w:asciiTheme="minorBidi" w:hAnsiTheme="minorBidi"/>
          <w:rtl/>
        </w:rPr>
        <w:footnoteReference w:id="458"/>
      </w:r>
      <w:r w:rsidRPr="00576D5C">
        <w:rPr>
          <w:rFonts w:asciiTheme="minorBidi" w:hAnsiTheme="minorBidi"/>
          <w:rtl/>
        </w:rPr>
        <w:t xml:space="preserve">. והשליח נאמן כשנים להעיד שביזהו כדי לנדותו. </w:t>
      </w:r>
      <w:r w:rsidRPr="00576D5C">
        <w:rPr>
          <w:rFonts w:asciiTheme="minorBidi" w:hAnsiTheme="minorBidi"/>
          <w:sz w:val="18"/>
          <w:szCs w:val="18"/>
          <w:rtl/>
        </w:rPr>
        <w:t>הגה: והשליח ב"ד יכול להגיד לב"ד, ואין בזה משום לשון הרע (</w:t>
      </w:r>
      <w:r w:rsidR="00C323DF" w:rsidRPr="00576D5C">
        <w:rPr>
          <w:rFonts w:asciiTheme="minorBidi" w:hAnsiTheme="minorBidi"/>
          <w:sz w:val="18"/>
          <w:szCs w:val="18"/>
          <w:rtl/>
        </w:rPr>
        <w:t>רמב"ם</w:t>
      </w:r>
      <w:r w:rsidRPr="00576D5C">
        <w:rPr>
          <w:rFonts w:asciiTheme="minorBidi" w:hAnsiTheme="minorBidi"/>
          <w:sz w:val="18"/>
          <w:szCs w:val="18"/>
          <w:rtl/>
        </w:rPr>
        <w:t xml:space="preserve"> וגמ</w:t>
      </w:r>
      <w:r w:rsidR="00214330">
        <w:rPr>
          <w:rFonts w:asciiTheme="minorBidi" w:hAnsiTheme="minorBidi" w:hint="cs"/>
          <w:sz w:val="18"/>
          <w:szCs w:val="18"/>
          <w:rtl/>
        </w:rPr>
        <w:t>'</w:t>
      </w:r>
      <w:r w:rsidRPr="00576D5C">
        <w:rPr>
          <w:rFonts w:asciiTheme="minorBidi" w:hAnsiTheme="minorBidi"/>
          <w:sz w:val="18"/>
          <w:szCs w:val="18"/>
          <w:rtl/>
        </w:rPr>
        <w:t xml:space="preserve"> פ' אלו מגלחין). וכן יוכל בעצמו לעשות דין במסרב בו, להכותו</w:t>
      </w:r>
      <w:r w:rsidR="00F61CFD">
        <w:rPr>
          <w:rFonts w:asciiTheme="minorBidi" w:hAnsiTheme="minorBidi" w:hint="cs"/>
          <w:sz w:val="18"/>
          <w:szCs w:val="18"/>
          <w:rtl/>
        </w:rPr>
        <w:t xml:space="preserve"> (רי"ו ו</w:t>
      </w:r>
      <w:r w:rsidR="00F61CFD" w:rsidRPr="00576D5C">
        <w:rPr>
          <w:rFonts w:asciiTheme="minorBidi" w:hAnsiTheme="minorBidi"/>
          <w:sz w:val="18"/>
          <w:szCs w:val="18"/>
          <w:rtl/>
        </w:rPr>
        <w:t>נמוק"י)</w:t>
      </w:r>
      <w:r w:rsidRPr="00576D5C">
        <w:rPr>
          <w:rFonts w:asciiTheme="minorBidi" w:hAnsiTheme="minorBidi"/>
          <w:sz w:val="18"/>
          <w:szCs w:val="18"/>
          <w:rtl/>
        </w:rPr>
        <w:t xml:space="preserve">, וכן אם הזיקו </w:t>
      </w:r>
      <w:r w:rsidR="00C323DF" w:rsidRPr="00576D5C">
        <w:rPr>
          <w:rFonts w:asciiTheme="minorBidi" w:hAnsiTheme="minorBidi"/>
          <w:sz w:val="18"/>
          <w:szCs w:val="18"/>
          <w:rtl/>
        </w:rPr>
        <w:t>[</w:t>
      </w:r>
      <w:r w:rsidRPr="00576D5C">
        <w:rPr>
          <w:rFonts w:asciiTheme="minorBidi" w:hAnsiTheme="minorBidi"/>
          <w:sz w:val="18"/>
          <w:szCs w:val="18"/>
          <w:rtl/>
        </w:rPr>
        <w:t>בממונו</w:t>
      </w:r>
      <w:r w:rsidR="00C323DF" w:rsidRPr="00576D5C">
        <w:rPr>
          <w:rStyle w:val="ab"/>
          <w:rFonts w:asciiTheme="minorBidi" w:hAnsiTheme="minorBidi"/>
          <w:sz w:val="18"/>
          <w:szCs w:val="18"/>
          <w:rtl/>
        </w:rPr>
        <w:footnoteReference w:id="459"/>
      </w:r>
      <w:r w:rsidR="00C323DF" w:rsidRPr="00576D5C">
        <w:rPr>
          <w:rFonts w:asciiTheme="minorBidi" w:hAnsiTheme="minorBidi"/>
          <w:sz w:val="18"/>
          <w:szCs w:val="18"/>
          <w:rtl/>
        </w:rPr>
        <w:t>]</w:t>
      </w:r>
      <w:r w:rsidRPr="00576D5C">
        <w:rPr>
          <w:rFonts w:asciiTheme="minorBidi" w:hAnsiTheme="minorBidi"/>
          <w:sz w:val="18"/>
          <w:szCs w:val="18"/>
          <w:rtl/>
        </w:rPr>
        <w:t xml:space="preserve"> פטור (רי</w:t>
      </w:r>
      <w:r w:rsidR="00C323DF" w:rsidRPr="00576D5C">
        <w:rPr>
          <w:rFonts w:asciiTheme="minorBidi" w:hAnsiTheme="minorBidi"/>
          <w:sz w:val="18"/>
          <w:szCs w:val="18"/>
          <w:rtl/>
        </w:rPr>
        <w:t>"ו</w:t>
      </w:r>
      <w:r w:rsidR="00F61CFD">
        <w:rPr>
          <w:rFonts w:asciiTheme="minorBidi" w:hAnsiTheme="minorBidi" w:hint="cs"/>
          <w:sz w:val="18"/>
          <w:szCs w:val="18"/>
          <w:rtl/>
        </w:rPr>
        <w:t>)</w:t>
      </w:r>
      <w:r w:rsidRPr="00576D5C">
        <w:rPr>
          <w:rFonts w:asciiTheme="minorBidi" w:hAnsiTheme="minorBidi"/>
          <w:sz w:val="18"/>
          <w:szCs w:val="18"/>
          <w:rtl/>
        </w:rPr>
        <w:t>. וע"ל ריש סימן י"א.</w:t>
      </w:r>
    </w:p>
    <w:p w14:paraId="3D7D7EE6" w14:textId="77777777" w:rsidR="00E137BC" w:rsidRPr="00576D5C" w:rsidRDefault="00E137BC" w:rsidP="00576D5C">
      <w:pPr>
        <w:rPr>
          <w:rFonts w:asciiTheme="minorBidi" w:hAnsiTheme="minorBidi"/>
          <w:rtl/>
        </w:rPr>
        <w:sectPr w:rsidR="00E137BC" w:rsidRPr="00576D5C" w:rsidSect="00AF3AF9">
          <w:headerReference w:type="default" r:id="rId18"/>
          <w:footnotePr>
            <w:numRestart w:val="eachPage"/>
          </w:footnotePr>
          <w:pgSz w:w="11906" w:h="16838"/>
          <w:pgMar w:top="720" w:right="1134" w:bottom="720" w:left="1134" w:header="0" w:footer="0" w:gutter="0"/>
          <w:cols w:space="720"/>
          <w:bidi/>
          <w:rtlGutter/>
          <w:docGrid w:linePitch="360"/>
        </w:sectPr>
      </w:pPr>
    </w:p>
    <w:p w14:paraId="127A1A3E" w14:textId="77777777" w:rsidR="00E137BC" w:rsidRPr="00576D5C" w:rsidRDefault="00E137BC" w:rsidP="00E842BA">
      <w:pPr>
        <w:pStyle w:val="1"/>
        <w:rPr>
          <w:rtl/>
        </w:rPr>
      </w:pPr>
      <w:bookmarkStart w:id="57" w:name="_Toc24883553"/>
      <w:r w:rsidRPr="00576D5C">
        <w:rPr>
          <w:rtl/>
        </w:rPr>
        <w:lastRenderedPageBreak/>
        <w:t>סימן ט: שלא ליקח שוחד, והתרת שכר בטלה, ובו ח' סעיפים.</w:t>
      </w:r>
      <w:bookmarkEnd w:id="57"/>
      <w:r w:rsidRPr="00576D5C">
        <w:rPr>
          <w:rtl/>
        </w:rPr>
        <w:t xml:space="preserve"> </w:t>
      </w:r>
    </w:p>
    <w:p w14:paraId="714D8A72" w14:textId="77777777" w:rsidR="00AF7C8C" w:rsidRPr="00576D5C" w:rsidRDefault="00E137BC" w:rsidP="00E842BA">
      <w:pPr>
        <w:pStyle w:val="2"/>
        <w:rPr>
          <w:rtl/>
        </w:rPr>
      </w:pPr>
      <w:bookmarkStart w:id="58" w:name="_Toc24883554"/>
      <w:r w:rsidRPr="00576D5C">
        <w:rPr>
          <w:rtl/>
        </w:rPr>
        <w:t>סעיף א</w:t>
      </w:r>
      <w:r w:rsidR="00AF7C8C" w:rsidRPr="00576D5C">
        <w:rPr>
          <w:rtl/>
        </w:rPr>
        <w:t>:</w:t>
      </w:r>
      <w:r w:rsidR="00541E33" w:rsidRPr="00576D5C">
        <w:rPr>
          <w:rtl/>
        </w:rPr>
        <w:t xml:space="preserve"> שוחד</w:t>
      </w:r>
      <w:r w:rsidR="006715E6">
        <w:rPr>
          <w:rFonts w:hint="cs"/>
          <w:rtl/>
        </w:rPr>
        <w:t>. ה</w:t>
      </w:r>
      <w:r w:rsidR="00541E33" w:rsidRPr="00576D5C">
        <w:rPr>
          <w:rtl/>
        </w:rPr>
        <w:t>שאל</w:t>
      </w:r>
      <w:r w:rsidR="006715E6">
        <w:rPr>
          <w:rFonts w:hint="cs"/>
          <w:rtl/>
        </w:rPr>
        <w:t>ת דבר מבעל דין</w:t>
      </w:r>
      <w:r w:rsidR="00541E33" w:rsidRPr="00576D5C">
        <w:rPr>
          <w:rtl/>
        </w:rPr>
        <w:t>.</w:t>
      </w:r>
      <w:bookmarkEnd w:id="58"/>
    </w:p>
    <w:p w14:paraId="46C53405" w14:textId="77777777" w:rsidR="00C64D48" w:rsidRPr="00576D5C" w:rsidRDefault="00C64D48" w:rsidP="00576D5C">
      <w:pPr>
        <w:rPr>
          <w:rFonts w:asciiTheme="minorBidi" w:hAnsiTheme="minorBidi"/>
          <w:rtl/>
        </w:rPr>
      </w:pPr>
      <w:r w:rsidRPr="00576D5C">
        <w:rPr>
          <w:rFonts w:asciiTheme="minorBidi" w:hAnsiTheme="minorBidi"/>
          <w:b/>
          <w:bCs/>
          <w:rtl/>
        </w:rPr>
        <w:t>כתובות</w:t>
      </w:r>
      <w:r w:rsidR="00EE7654" w:rsidRPr="00576D5C">
        <w:rPr>
          <w:rFonts w:asciiTheme="minorBidi" w:hAnsiTheme="minorBidi"/>
          <w:b/>
          <w:bCs/>
          <w:sz w:val="16"/>
          <w:szCs w:val="16"/>
          <w:rtl/>
        </w:rPr>
        <w:t xml:space="preserve"> (פ' בתרא)</w:t>
      </w:r>
      <w:r w:rsidRPr="00576D5C">
        <w:rPr>
          <w:rFonts w:asciiTheme="minorBidi" w:hAnsiTheme="minorBidi"/>
          <w:b/>
          <w:bCs/>
          <w:rtl/>
        </w:rPr>
        <w:t xml:space="preserve"> קה</w:t>
      </w:r>
      <w:r w:rsidR="000D7A15">
        <w:rPr>
          <w:rStyle w:val="ab"/>
          <w:rFonts w:asciiTheme="minorBidi" w:hAnsiTheme="minorBidi"/>
          <w:b/>
          <w:bCs/>
          <w:rtl/>
        </w:rPr>
        <w:footnoteReference w:id="460"/>
      </w:r>
      <w:r w:rsidR="00EE7654" w:rsidRPr="00576D5C">
        <w:rPr>
          <w:rFonts w:asciiTheme="minorBidi" w:hAnsiTheme="minorBidi"/>
          <w:b/>
          <w:bCs/>
          <w:rtl/>
        </w:rPr>
        <w:t xml:space="preserve"> ע"א:</w:t>
      </w:r>
      <w:r w:rsidRPr="00576D5C">
        <w:rPr>
          <w:rFonts w:asciiTheme="minorBidi" w:hAnsiTheme="minorBidi"/>
          <w:rtl/>
        </w:rPr>
        <w:t xml:space="preserve"> </w:t>
      </w:r>
      <w:r w:rsidR="00EE7654" w:rsidRPr="00576D5C">
        <w:rPr>
          <w:rFonts w:asciiTheme="minorBidi" w:hAnsiTheme="minorBidi"/>
          <w:rtl/>
        </w:rPr>
        <w:t xml:space="preserve">והתניא: ושוחד לא תקח, מה ת"ל? אם ללמד שלא לזכות את החייב ושלא לחייב את הזכאי, הרי כבר נאמר: לא תטה משפט! אלא אפי' לזכות את הזכאי ולחייב את החייב, אמרה תורה: ושוחד לא תקח! </w:t>
      </w:r>
    </w:p>
    <w:p w14:paraId="1669805B" w14:textId="77777777" w:rsidR="00025CBB" w:rsidRPr="00576D5C" w:rsidRDefault="00025CBB" w:rsidP="00576D5C">
      <w:pPr>
        <w:rPr>
          <w:rFonts w:asciiTheme="minorBidi" w:hAnsiTheme="minorBidi"/>
          <w:rtl/>
        </w:rPr>
      </w:pPr>
      <w:r w:rsidRPr="00576D5C">
        <w:rPr>
          <w:rFonts w:asciiTheme="minorBidi" w:hAnsiTheme="minorBidi"/>
          <w:u w:val="single"/>
          <w:rtl/>
        </w:rPr>
        <w:t>שוחד בדין:</w:t>
      </w:r>
      <w:r w:rsidRPr="00576D5C">
        <w:rPr>
          <w:rFonts w:asciiTheme="minorBidi" w:hAnsiTheme="minorBidi"/>
          <w:rtl/>
        </w:rPr>
        <w:t xml:space="preserve"> </w:t>
      </w:r>
    </w:p>
    <w:p w14:paraId="686DE30C" w14:textId="77777777" w:rsidR="00025CBB" w:rsidRPr="00576D5C" w:rsidRDefault="00025CBB" w:rsidP="00576D5C">
      <w:pPr>
        <w:pStyle w:val="ac"/>
        <w:numPr>
          <w:ilvl w:val="0"/>
          <w:numId w:val="1"/>
        </w:numPr>
        <w:rPr>
          <w:rFonts w:asciiTheme="minorBidi" w:hAnsiTheme="minorBidi"/>
          <w:rtl/>
        </w:rPr>
      </w:pPr>
      <w:r w:rsidRPr="00576D5C">
        <w:rPr>
          <w:rFonts w:asciiTheme="minorBidi" w:hAnsiTheme="minorBidi"/>
          <w:rtl/>
        </w:rPr>
        <w:t xml:space="preserve">רמב"ם </w:t>
      </w:r>
      <w:r w:rsidRPr="00576D5C">
        <w:rPr>
          <w:rFonts w:asciiTheme="minorBidi" w:hAnsiTheme="minorBidi"/>
          <w:sz w:val="16"/>
          <w:szCs w:val="16"/>
          <w:rtl/>
        </w:rPr>
        <w:t xml:space="preserve">(פכ"ג מהל' סנהדרין ה"א-ב) </w:t>
      </w:r>
      <w:r w:rsidRPr="00576D5C">
        <w:rPr>
          <w:rFonts w:asciiTheme="minorBidi" w:hAnsiTheme="minorBidi"/>
          <w:rtl/>
        </w:rPr>
        <w:t>וטור- מאד מאד צריך הדיין ליזהר שלא ליקח שוחד</w:t>
      </w:r>
      <w:r w:rsidR="00215D98">
        <w:rPr>
          <w:rFonts w:asciiTheme="minorBidi" w:hAnsiTheme="minorBidi" w:hint="cs"/>
          <w:rtl/>
        </w:rPr>
        <w:t>,</w:t>
      </w:r>
      <w:r w:rsidRPr="00576D5C">
        <w:rPr>
          <w:rFonts w:asciiTheme="minorBidi" w:hAnsiTheme="minorBidi"/>
          <w:rtl/>
        </w:rPr>
        <w:t xml:space="preserve"> אפילו לזכות הזכאי</w:t>
      </w:r>
      <w:r w:rsidR="002515FE" w:rsidRPr="00576D5C">
        <w:rPr>
          <w:rStyle w:val="ab"/>
          <w:rFonts w:asciiTheme="minorBidi" w:hAnsiTheme="minorBidi"/>
          <w:rtl/>
        </w:rPr>
        <w:footnoteReference w:id="461"/>
      </w:r>
      <w:r w:rsidRPr="00576D5C">
        <w:rPr>
          <w:rFonts w:asciiTheme="minorBidi" w:hAnsiTheme="minorBidi"/>
          <w:rtl/>
        </w:rPr>
        <w:t xml:space="preserve">. ואם לקח </w:t>
      </w:r>
      <w:r w:rsidR="00215D98">
        <w:rPr>
          <w:rFonts w:asciiTheme="minorBidi" w:hAnsiTheme="minorBidi" w:hint="cs"/>
          <w:rtl/>
        </w:rPr>
        <w:t xml:space="preserve">- </w:t>
      </w:r>
      <w:r w:rsidRPr="00576D5C">
        <w:rPr>
          <w:rFonts w:asciiTheme="minorBidi" w:hAnsiTheme="minorBidi"/>
          <w:rtl/>
        </w:rPr>
        <w:t>צריך להחזירו כשיתבענו הנותן. וכשם שהלוקח עובר בלא תעשה כך הנותנו עובר בלפני עור לא תתן מכשול</w:t>
      </w:r>
      <w:r w:rsidR="00A84C42" w:rsidRPr="00576D5C">
        <w:rPr>
          <w:rStyle w:val="ab"/>
          <w:rFonts w:asciiTheme="minorBidi" w:hAnsiTheme="minorBidi"/>
          <w:rtl/>
        </w:rPr>
        <w:footnoteReference w:id="462"/>
      </w:r>
      <w:r w:rsidR="00DD4433" w:rsidRPr="00576D5C">
        <w:rPr>
          <w:rFonts w:asciiTheme="minorBidi" w:hAnsiTheme="minorBidi"/>
          <w:sz w:val="16"/>
          <w:szCs w:val="16"/>
          <w:rtl/>
        </w:rPr>
        <w:t xml:space="preserve"> (ל' הטור)</w:t>
      </w:r>
      <w:r w:rsidRPr="00576D5C">
        <w:rPr>
          <w:rFonts w:asciiTheme="minorBidi" w:hAnsiTheme="minorBidi"/>
          <w:rtl/>
        </w:rPr>
        <w:t>.</w:t>
      </w:r>
      <w:r w:rsidR="00431499" w:rsidRPr="00576D5C">
        <w:rPr>
          <w:rFonts w:asciiTheme="minorBidi" w:hAnsiTheme="minorBidi"/>
          <w:rtl/>
        </w:rPr>
        <w:t xml:space="preserve"> </w:t>
      </w:r>
      <w:r w:rsidR="00431499" w:rsidRPr="00576D5C">
        <w:rPr>
          <w:rFonts w:asciiTheme="minorBidi" w:hAnsiTheme="minorBidi"/>
          <w:color w:val="E36C0A" w:themeColor="accent6" w:themeShade="BF"/>
          <w:rtl/>
        </w:rPr>
        <w:t>(וכ"פ בשו"ע)</w:t>
      </w:r>
    </w:p>
    <w:p w14:paraId="5AAC21D8" w14:textId="77777777" w:rsidR="00282B40" w:rsidRPr="00576D5C" w:rsidRDefault="00282B40" w:rsidP="00576D5C">
      <w:pPr>
        <w:rPr>
          <w:rFonts w:asciiTheme="minorBidi" w:hAnsiTheme="minorBidi"/>
          <w:rtl/>
        </w:rPr>
      </w:pPr>
      <w:r w:rsidRPr="00576D5C">
        <w:rPr>
          <w:rFonts w:asciiTheme="minorBidi" w:hAnsiTheme="minorBidi"/>
          <w:b/>
          <w:bCs/>
          <w:rtl/>
        </w:rPr>
        <w:t>כתובות</w:t>
      </w:r>
      <w:r w:rsidRPr="00576D5C">
        <w:rPr>
          <w:rFonts w:asciiTheme="minorBidi" w:hAnsiTheme="minorBidi"/>
          <w:b/>
          <w:bCs/>
          <w:sz w:val="16"/>
          <w:szCs w:val="16"/>
          <w:rtl/>
        </w:rPr>
        <w:t xml:space="preserve"> (פ' בתרא)</w:t>
      </w:r>
      <w:r w:rsidRPr="00576D5C">
        <w:rPr>
          <w:rFonts w:asciiTheme="minorBidi" w:hAnsiTheme="minorBidi"/>
          <w:b/>
          <w:bCs/>
          <w:rtl/>
        </w:rPr>
        <w:t xml:space="preserve"> קה ע"ב:</w:t>
      </w:r>
      <w:r w:rsidRPr="00576D5C">
        <w:rPr>
          <w:rFonts w:asciiTheme="minorBidi" w:hAnsiTheme="minorBidi"/>
          <w:rtl/>
        </w:rPr>
        <w:t xml:space="preserve"> </w:t>
      </w:r>
      <w:r w:rsidR="00215D98" w:rsidRPr="00215D98">
        <w:rPr>
          <w:rFonts w:asciiTheme="minorBidi" w:hAnsiTheme="minorBidi" w:cs="Arial"/>
          <w:rtl/>
        </w:rPr>
        <w:t xml:space="preserve">ת"ר: ושוחד לא תקח - אינו צריך לומר שוחד ממון, אלא אפילו שוחד דברים נמי אסור, מדלא כתיב בצע לא תקח. היכי דמי שוחד דברים? כי הא דשמואל הוה עבר במברא, אתא ההוא גברא יהיב ליה ידיה, אמר ליה: מאי עבידתיך? אמר ליה: דינא אית לי, א"ל: פסילנא לך לדינא. </w:t>
      </w:r>
      <w:r w:rsidRPr="00576D5C">
        <w:rPr>
          <w:rFonts w:asciiTheme="minorBidi" w:hAnsiTheme="minorBidi"/>
          <w:rtl/>
        </w:rPr>
        <w:t xml:space="preserve">אמימר הוה יתיב וקא דאין דינא, פרח גדפא ארישיה, אתא ההוא גברא שקליה, א"ל: מאי עבידתיך? א"ל: דינא אית לי, אמר ליה: פסילנא לך לדינא. מר עוקבא הוה שדי רוקא קמיה, אתא ההוא גברא כסייה, א"ל: מאי עבידתיך? א"ל: דינא אית לי, א"ל: פסילנא לך לדינא. ר' ישמעאל בר' יוסי, הוה רגיל אריסיה דהוה מייתי ליה כל מעלי שבתא כנתא דפירי, יומא חד אייתי ליה בה' בשבתא, א"ל: מאי שנא האידנא? א"ל: דינא אית לי, ואמינא, אגב אורחי אייתי ליה למר. לא קביל מיניה, א"ל: פסילנא לך לדינא. </w:t>
      </w:r>
    </w:p>
    <w:p w14:paraId="189B372F" w14:textId="77777777" w:rsidR="00DD4433" w:rsidRPr="00576D5C" w:rsidRDefault="00DD4433" w:rsidP="00576D5C">
      <w:pPr>
        <w:rPr>
          <w:rFonts w:asciiTheme="minorBidi" w:hAnsiTheme="minorBidi"/>
          <w:rtl/>
        </w:rPr>
      </w:pPr>
      <w:r w:rsidRPr="00576D5C">
        <w:rPr>
          <w:rFonts w:asciiTheme="minorBidi" w:hAnsiTheme="minorBidi"/>
          <w:u w:val="single"/>
          <w:rtl/>
        </w:rPr>
        <w:t>שוחד שאינו שוחד ממון:</w:t>
      </w:r>
      <w:r w:rsidRPr="00576D5C">
        <w:rPr>
          <w:rFonts w:asciiTheme="minorBidi" w:hAnsiTheme="minorBidi"/>
          <w:rtl/>
        </w:rPr>
        <w:t xml:space="preserve"> </w:t>
      </w:r>
    </w:p>
    <w:p w14:paraId="15A0C624" w14:textId="77777777" w:rsidR="00DD4433" w:rsidRPr="00576D5C" w:rsidRDefault="00DD4433" w:rsidP="00576D5C">
      <w:pPr>
        <w:pStyle w:val="ac"/>
        <w:numPr>
          <w:ilvl w:val="0"/>
          <w:numId w:val="1"/>
        </w:numPr>
        <w:rPr>
          <w:rFonts w:asciiTheme="minorBidi" w:hAnsiTheme="minorBidi"/>
        </w:rPr>
      </w:pPr>
      <w:r w:rsidRPr="00576D5C">
        <w:rPr>
          <w:rFonts w:asciiTheme="minorBidi" w:hAnsiTheme="minorBidi"/>
          <w:rtl/>
        </w:rPr>
        <w:t xml:space="preserve">רמב"ם </w:t>
      </w:r>
      <w:r w:rsidRPr="00576D5C">
        <w:rPr>
          <w:rFonts w:asciiTheme="minorBidi" w:hAnsiTheme="minorBidi"/>
          <w:sz w:val="16"/>
          <w:szCs w:val="16"/>
          <w:rtl/>
        </w:rPr>
        <w:t xml:space="preserve">(שם ה"ג) </w:t>
      </w:r>
      <w:r w:rsidRPr="00576D5C">
        <w:rPr>
          <w:rFonts w:asciiTheme="minorBidi" w:hAnsiTheme="minorBidi"/>
          <w:rtl/>
        </w:rPr>
        <w:t>וטור-</w:t>
      </w:r>
      <w:r w:rsidR="00025CBB" w:rsidRPr="00576D5C">
        <w:rPr>
          <w:rFonts w:asciiTheme="minorBidi" w:hAnsiTheme="minorBidi"/>
          <w:rtl/>
        </w:rPr>
        <w:t xml:space="preserve"> </w:t>
      </w:r>
      <w:r w:rsidR="002515FE" w:rsidRPr="00576D5C">
        <w:rPr>
          <w:rFonts w:asciiTheme="minorBidi" w:hAnsiTheme="minorBidi"/>
          <w:rtl/>
        </w:rPr>
        <w:t>ולא שחד ממון בלבד אלא אפילו שחד דברים</w:t>
      </w:r>
      <w:r w:rsidR="00215D98">
        <w:rPr>
          <w:rFonts w:asciiTheme="minorBidi" w:hAnsiTheme="minorBidi" w:hint="cs"/>
          <w:rtl/>
        </w:rPr>
        <w:t>.</w:t>
      </w:r>
      <w:r w:rsidR="002515FE" w:rsidRPr="00576D5C">
        <w:rPr>
          <w:rFonts w:asciiTheme="minorBidi" w:hAnsiTheme="minorBidi"/>
          <w:rtl/>
        </w:rPr>
        <w:t xml:space="preserve"> ומעשה בדיין אחד שהיה עולה בדוגית קטנה לעבור בנהר ופשט אחד ידו וסייעו בעלייתו והיה לו דין ואמר לו הדיין הריני פסול לך לדין, ומעשה באחד שהעביר אברה נוצה של עוף מעל רדיד הדיין ואחר כסה רוק מלפני הדיין ואמר לו הריני פסול לך לדין, ומעשה באחד שהביא מתנה אחת ממתנות כהונה לדיין כהן ואמר לו פסול אני לך לדין, ומעשה באריס אחד של דיין שהיה מביא לו תאנים מתוך שדהו מערב שבת לערב שבת פעם אחת הקדים והביא בחמישי בשבת מפני שהיה לו דין ואמר לו הדיין הריני פסול לך לדין אע</w:t>
      </w:r>
      <w:r w:rsidR="006715E6">
        <w:rPr>
          <w:rFonts w:asciiTheme="minorBidi" w:hAnsiTheme="minorBidi" w:hint="cs"/>
          <w:rtl/>
        </w:rPr>
        <w:t>"</w:t>
      </w:r>
      <w:r w:rsidR="002515FE" w:rsidRPr="00576D5C">
        <w:rPr>
          <w:rFonts w:asciiTheme="minorBidi" w:hAnsiTheme="minorBidi"/>
          <w:rtl/>
        </w:rPr>
        <w:t xml:space="preserve">פ שהתאנים משל דיין הואיל והביאן שלא בזמנם נפסל לו לדין </w:t>
      </w:r>
      <w:r w:rsidR="002515FE" w:rsidRPr="00576D5C">
        <w:rPr>
          <w:rFonts w:asciiTheme="minorBidi" w:hAnsiTheme="minorBidi"/>
          <w:sz w:val="16"/>
          <w:szCs w:val="16"/>
          <w:rtl/>
        </w:rPr>
        <w:t>(ל' הרמב"ם)</w:t>
      </w:r>
      <w:r w:rsidR="002515FE" w:rsidRPr="00576D5C">
        <w:rPr>
          <w:rFonts w:asciiTheme="minorBidi" w:hAnsiTheme="minorBidi"/>
          <w:rtl/>
        </w:rPr>
        <w:t xml:space="preserve">. </w:t>
      </w:r>
      <w:r w:rsidR="00025CBB" w:rsidRPr="00576D5C">
        <w:rPr>
          <w:rFonts w:asciiTheme="minorBidi" w:hAnsiTheme="minorBidi"/>
          <w:rtl/>
        </w:rPr>
        <w:t>וכל כיוצא בזה</w:t>
      </w:r>
      <w:r w:rsidR="006715E6">
        <w:rPr>
          <w:rFonts w:asciiTheme="minorBidi" w:hAnsiTheme="minorBidi" w:hint="cs"/>
          <w:rtl/>
        </w:rPr>
        <w:t>,</w:t>
      </w:r>
      <w:r w:rsidR="00025CBB" w:rsidRPr="00576D5C">
        <w:rPr>
          <w:rFonts w:asciiTheme="minorBidi" w:hAnsiTheme="minorBidi"/>
          <w:rtl/>
        </w:rPr>
        <w:t xml:space="preserve"> על כן צריך כל דיין להרחיק מזה</w:t>
      </w:r>
      <w:r w:rsidRPr="00576D5C">
        <w:rPr>
          <w:rFonts w:asciiTheme="minorBidi" w:hAnsiTheme="minorBidi"/>
          <w:sz w:val="16"/>
          <w:szCs w:val="16"/>
          <w:rtl/>
        </w:rPr>
        <w:t xml:space="preserve"> (ל' הטור)</w:t>
      </w:r>
      <w:r w:rsidRPr="00576D5C">
        <w:rPr>
          <w:rFonts w:asciiTheme="minorBidi" w:hAnsiTheme="minorBidi"/>
          <w:rtl/>
        </w:rPr>
        <w:t>.</w:t>
      </w:r>
      <w:r w:rsidR="00431499" w:rsidRPr="00576D5C">
        <w:rPr>
          <w:rFonts w:asciiTheme="minorBidi" w:hAnsiTheme="minorBidi"/>
          <w:color w:val="E36C0A" w:themeColor="accent6" w:themeShade="BF"/>
          <w:rtl/>
        </w:rPr>
        <w:t xml:space="preserve"> (וכ"פ בשו"ע)</w:t>
      </w:r>
    </w:p>
    <w:p w14:paraId="53DE122B" w14:textId="77777777" w:rsidR="00DD4433" w:rsidRPr="00576D5C" w:rsidRDefault="00DD4433" w:rsidP="00576D5C">
      <w:pPr>
        <w:ind w:left="360"/>
        <w:rPr>
          <w:rFonts w:asciiTheme="minorBidi" w:hAnsiTheme="minorBidi"/>
          <w:u w:val="dotted"/>
        </w:rPr>
      </w:pPr>
      <w:r w:rsidRPr="00576D5C">
        <w:rPr>
          <w:rFonts w:asciiTheme="minorBidi" w:hAnsiTheme="minorBidi"/>
          <w:u w:val="dotted"/>
          <w:rtl/>
        </w:rPr>
        <w:t>האם בכה"ג פסול מדינא או דהם החמירו על עצמם:</w:t>
      </w:r>
    </w:p>
    <w:p w14:paraId="096BD337" w14:textId="77777777" w:rsidR="00DD4433" w:rsidRPr="00576D5C" w:rsidRDefault="00025CBB" w:rsidP="00576D5C">
      <w:pPr>
        <w:pStyle w:val="ac"/>
        <w:numPr>
          <w:ilvl w:val="0"/>
          <w:numId w:val="1"/>
        </w:numPr>
        <w:rPr>
          <w:rFonts w:asciiTheme="minorBidi" w:hAnsiTheme="minorBidi"/>
        </w:rPr>
      </w:pPr>
      <w:r w:rsidRPr="00576D5C">
        <w:rPr>
          <w:rFonts w:asciiTheme="minorBidi" w:hAnsiTheme="minorBidi"/>
          <w:rtl/>
        </w:rPr>
        <w:t>תוס</w:t>
      </w:r>
      <w:r w:rsidR="00DD4433" w:rsidRPr="00576D5C">
        <w:rPr>
          <w:rFonts w:asciiTheme="minorBidi" w:hAnsiTheme="minorBidi"/>
          <w:rtl/>
        </w:rPr>
        <w:t>'</w:t>
      </w:r>
      <w:r w:rsidRPr="00576D5C">
        <w:rPr>
          <w:rFonts w:asciiTheme="minorBidi" w:hAnsiTheme="minorBidi"/>
          <w:rtl/>
        </w:rPr>
        <w:t xml:space="preserve"> </w:t>
      </w:r>
      <w:r w:rsidRPr="00576D5C">
        <w:rPr>
          <w:rFonts w:asciiTheme="minorBidi" w:hAnsiTheme="minorBidi"/>
          <w:sz w:val="16"/>
          <w:szCs w:val="16"/>
          <w:rtl/>
        </w:rPr>
        <w:t>(ד"ה לא)</w:t>
      </w:r>
      <w:r w:rsidR="00DD4433" w:rsidRPr="00576D5C">
        <w:rPr>
          <w:rFonts w:asciiTheme="minorBidi" w:hAnsiTheme="minorBidi"/>
          <w:rtl/>
        </w:rPr>
        <w:t>-</w:t>
      </w:r>
      <w:r w:rsidRPr="00576D5C">
        <w:rPr>
          <w:rFonts w:asciiTheme="minorBidi" w:hAnsiTheme="minorBidi"/>
          <w:rtl/>
        </w:rPr>
        <w:t xml:space="preserve"> באוהב כי הך דפרח גדפא ארישיה אתא ההוא גברא שקלה </w:t>
      </w:r>
      <w:r w:rsidR="00C70FFC">
        <w:rPr>
          <w:rFonts w:asciiTheme="minorBidi" w:hAnsiTheme="minorBidi" w:hint="cs"/>
          <w:rtl/>
        </w:rPr>
        <w:t xml:space="preserve">- </w:t>
      </w:r>
      <w:r w:rsidRPr="00576D5C">
        <w:rPr>
          <w:rFonts w:asciiTheme="minorBidi" w:hAnsiTheme="minorBidi"/>
          <w:rtl/>
        </w:rPr>
        <w:t>אינו אלא חומרא בעלמא שהיו מחמירין על עצמם</w:t>
      </w:r>
      <w:r w:rsidR="00C70FFC">
        <w:rPr>
          <w:rFonts w:asciiTheme="minorBidi" w:hAnsiTheme="minorBidi" w:hint="cs"/>
          <w:rtl/>
        </w:rPr>
        <w:t>,</w:t>
      </w:r>
      <w:r w:rsidRPr="00576D5C">
        <w:rPr>
          <w:rFonts w:asciiTheme="minorBidi" w:hAnsiTheme="minorBidi"/>
          <w:rtl/>
        </w:rPr>
        <w:t xml:space="preserve"> כדאשכחן גבי כמה דברים</w:t>
      </w:r>
      <w:r w:rsidR="00C70FFC">
        <w:rPr>
          <w:rFonts w:asciiTheme="minorBidi" w:hAnsiTheme="minorBidi" w:hint="cs"/>
          <w:rtl/>
        </w:rPr>
        <w:t>,</w:t>
      </w:r>
      <w:r w:rsidRPr="00576D5C">
        <w:rPr>
          <w:rFonts w:asciiTheme="minorBidi" w:hAnsiTheme="minorBidi"/>
          <w:rtl/>
        </w:rPr>
        <w:t xml:space="preserve"> אבל פסולים לא היו</w:t>
      </w:r>
      <w:r w:rsidR="00DD4433" w:rsidRPr="00576D5C">
        <w:rPr>
          <w:rFonts w:asciiTheme="minorBidi" w:hAnsiTheme="minorBidi"/>
          <w:sz w:val="16"/>
          <w:szCs w:val="16"/>
          <w:rtl/>
        </w:rPr>
        <w:t xml:space="preserve"> (ל' התוס')</w:t>
      </w:r>
      <w:r w:rsidR="00DD4433" w:rsidRPr="00576D5C">
        <w:rPr>
          <w:rStyle w:val="ab"/>
          <w:rFonts w:asciiTheme="minorBidi" w:hAnsiTheme="minorBidi"/>
          <w:rtl/>
        </w:rPr>
        <w:footnoteReference w:id="463"/>
      </w:r>
      <w:r w:rsidRPr="00576D5C">
        <w:rPr>
          <w:rFonts w:asciiTheme="minorBidi" w:hAnsiTheme="minorBidi"/>
          <w:rtl/>
        </w:rPr>
        <w:t xml:space="preserve">. </w:t>
      </w:r>
      <w:r w:rsidR="00BE57D2" w:rsidRPr="00576D5C">
        <w:rPr>
          <w:rFonts w:asciiTheme="minorBidi" w:hAnsiTheme="minorBidi"/>
          <w:color w:val="E36C0A" w:themeColor="accent6" w:themeShade="BF"/>
          <w:rtl/>
        </w:rPr>
        <w:t>(וכ"פ בשו"ע</w:t>
      </w:r>
      <w:r w:rsidR="00BE57D2" w:rsidRPr="00BE57D2">
        <w:rPr>
          <w:rStyle w:val="ab"/>
          <w:rFonts w:asciiTheme="minorBidi" w:hAnsiTheme="minorBidi"/>
          <w:color w:val="000000" w:themeColor="text1"/>
          <w:rtl/>
        </w:rPr>
        <w:footnoteReference w:id="464"/>
      </w:r>
      <w:r w:rsidR="00BE57D2">
        <w:rPr>
          <w:rFonts w:asciiTheme="minorBidi" w:hAnsiTheme="minorBidi" w:hint="cs"/>
          <w:color w:val="E36C0A" w:themeColor="accent6" w:themeShade="BF"/>
          <w:sz w:val="16"/>
          <w:szCs w:val="16"/>
          <w:rtl/>
        </w:rPr>
        <w:t xml:space="preserve"> </w:t>
      </w:r>
      <w:r w:rsidR="00BE57D2" w:rsidRPr="00BE57D2">
        <w:rPr>
          <w:rFonts w:asciiTheme="minorBidi" w:hAnsiTheme="minorBidi" w:hint="cs"/>
          <w:color w:val="000000" w:themeColor="text1"/>
          <w:sz w:val="16"/>
          <w:szCs w:val="16"/>
          <w:rtl/>
        </w:rPr>
        <w:t>[בס</w:t>
      </w:r>
      <w:r w:rsidR="00BE57D2">
        <w:rPr>
          <w:rFonts w:asciiTheme="minorBidi" w:hAnsiTheme="minorBidi" w:hint="cs"/>
          <w:color w:val="000000" w:themeColor="text1"/>
          <w:sz w:val="16"/>
          <w:szCs w:val="16"/>
          <w:rtl/>
        </w:rPr>
        <w:t>ע</w:t>
      </w:r>
      <w:r w:rsidR="00BE57D2" w:rsidRPr="00BE57D2">
        <w:rPr>
          <w:rFonts w:asciiTheme="minorBidi" w:hAnsiTheme="minorBidi" w:hint="cs"/>
          <w:color w:val="000000" w:themeColor="text1"/>
          <w:sz w:val="16"/>
          <w:szCs w:val="16"/>
          <w:rtl/>
        </w:rPr>
        <w:t>' ב]</w:t>
      </w:r>
      <w:r w:rsidR="00BE57D2" w:rsidRPr="00576D5C">
        <w:rPr>
          <w:rFonts w:asciiTheme="minorBidi" w:hAnsiTheme="minorBidi"/>
          <w:color w:val="E36C0A" w:themeColor="accent6" w:themeShade="BF"/>
          <w:rtl/>
        </w:rPr>
        <w:t>)</w:t>
      </w:r>
    </w:p>
    <w:p w14:paraId="0892A56C" w14:textId="77777777" w:rsidR="00DD4433" w:rsidRDefault="00025CBB" w:rsidP="00576D5C">
      <w:pPr>
        <w:pStyle w:val="ac"/>
        <w:numPr>
          <w:ilvl w:val="0"/>
          <w:numId w:val="1"/>
        </w:numPr>
        <w:rPr>
          <w:rFonts w:asciiTheme="minorBidi" w:hAnsiTheme="minorBidi"/>
        </w:rPr>
      </w:pPr>
      <w:r w:rsidRPr="00576D5C">
        <w:rPr>
          <w:rFonts w:asciiTheme="minorBidi" w:hAnsiTheme="minorBidi"/>
          <w:rtl/>
        </w:rPr>
        <w:t>רמב"ם</w:t>
      </w:r>
      <w:r w:rsidRPr="00576D5C">
        <w:rPr>
          <w:rFonts w:asciiTheme="minorBidi" w:hAnsiTheme="minorBidi"/>
          <w:sz w:val="16"/>
          <w:szCs w:val="16"/>
          <w:rtl/>
        </w:rPr>
        <w:t xml:space="preserve"> </w:t>
      </w:r>
      <w:r w:rsidR="00E21CFA" w:rsidRPr="00576D5C">
        <w:rPr>
          <w:rFonts w:asciiTheme="minorBidi" w:hAnsiTheme="minorBidi"/>
          <w:sz w:val="16"/>
          <w:szCs w:val="16"/>
          <w:rtl/>
        </w:rPr>
        <w:t>(</w:t>
      </w:r>
      <w:r w:rsidR="00DD4433" w:rsidRPr="00576D5C">
        <w:rPr>
          <w:rFonts w:asciiTheme="minorBidi" w:hAnsiTheme="minorBidi"/>
          <w:sz w:val="16"/>
          <w:szCs w:val="16"/>
          <w:rtl/>
        </w:rPr>
        <w:t>כ</w:t>
      </w:r>
      <w:r w:rsidR="00E21CFA" w:rsidRPr="00576D5C">
        <w:rPr>
          <w:rFonts w:asciiTheme="minorBidi" w:hAnsiTheme="minorBidi"/>
          <w:sz w:val="16"/>
          <w:szCs w:val="16"/>
          <w:rtl/>
        </w:rPr>
        <w:t>ן</w:t>
      </w:r>
      <w:r w:rsidR="00DD4433" w:rsidRPr="00576D5C">
        <w:rPr>
          <w:rFonts w:asciiTheme="minorBidi" w:hAnsiTheme="minorBidi"/>
          <w:sz w:val="16"/>
          <w:szCs w:val="16"/>
          <w:rtl/>
        </w:rPr>
        <w:t xml:space="preserve"> ה</w:t>
      </w:r>
      <w:r w:rsidR="00E21CFA" w:rsidRPr="00576D5C">
        <w:rPr>
          <w:rFonts w:asciiTheme="minorBidi" w:hAnsiTheme="minorBidi"/>
          <w:sz w:val="16"/>
          <w:szCs w:val="16"/>
          <w:rtl/>
        </w:rPr>
        <w:t>בין ה</w:t>
      </w:r>
      <w:r w:rsidR="00DD4433" w:rsidRPr="00576D5C">
        <w:rPr>
          <w:rFonts w:asciiTheme="minorBidi" w:hAnsiTheme="minorBidi"/>
          <w:sz w:val="16"/>
          <w:szCs w:val="16"/>
          <w:rtl/>
        </w:rPr>
        <w:t xml:space="preserve">ב"י </w:t>
      </w:r>
      <w:r w:rsidR="00E21CFA" w:rsidRPr="00576D5C">
        <w:rPr>
          <w:rFonts w:asciiTheme="minorBidi" w:hAnsiTheme="minorBidi"/>
          <w:sz w:val="16"/>
          <w:szCs w:val="16"/>
          <w:rtl/>
        </w:rPr>
        <w:t>מדבר</w:t>
      </w:r>
      <w:r w:rsidR="00221A88">
        <w:rPr>
          <w:rFonts w:asciiTheme="minorBidi" w:hAnsiTheme="minorBidi" w:hint="cs"/>
          <w:sz w:val="16"/>
          <w:szCs w:val="16"/>
          <w:rtl/>
        </w:rPr>
        <w:t>י הרמב"ם [</w:t>
      </w:r>
      <w:r w:rsidR="00E21CFA" w:rsidRPr="00576D5C">
        <w:rPr>
          <w:rFonts w:asciiTheme="minorBidi" w:hAnsiTheme="minorBidi"/>
          <w:sz w:val="16"/>
          <w:szCs w:val="16"/>
          <w:rtl/>
        </w:rPr>
        <w:t>פכ"ג</w:t>
      </w:r>
      <w:r w:rsidR="00221A88">
        <w:rPr>
          <w:rFonts w:asciiTheme="minorBidi" w:hAnsiTheme="minorBidi" w:hint="cs"/>
          <w:sz w:val="16"/>
          <w:szCs w:val="16"/>
          <w:rtl/>
        </w:rPr>
        <w:t xml:space="preserve"> מסנהדרין ה"ו]</w:t>
      </w:r>
      <w:r w:rsidRPr="00576D5C">
        <w:rPr>
          <w:rFonts w:asciiTheme="minorBidi" w:hAnsiTheme="minorBidi"/>
          <w:sz w:val="16"/>
          <w:szCs w:val="16"/>
          <w:rtl/>
        </w:rPr>
        <w:t>)</w:t>
      </w:r>
      <w:r w:rsidR="00DD4433" w:rsidRPr="00576D5C">
        <w:rPr>
          <w:rFonts w:asciiTheme="minorBidi" w:hAnsiTheme="minorBidi"/>
          <w:rtl/>
        </w:rPr>
        <w:t>-</w:t>
      </w:r>
      <w:r w:rsidRPr="00576D5C">
        <w:rPr>
          <w:rFonts w:asciiTheme="minorBidi" w:hAnsiTheme="minorBidi"/>
          <w:rtl/>
        </w:rPr>
        <w:t xml:space="preserve"> מדינא מפסלי</w:t>
      </w:r>
      <w:r w:rsidR="00DD4433" w:rsidRPr="00576D5C">
        <w:rPr>
          <w:rFonts w:asciiTheme="minorBidi" w:hAnsiTheme="minorBidi"/>
          <w:rtl/>
        </w:rPr>
        <w:t>.</w:t>
      </w:r>
      <w:r w:rsidR="009C31C4">
        <w:rPr>
          <w:rFonts w:asciiTheme="minorBidi" w:hAnsiTheme="minorBidi" w:hint="cs"/>
          <w:rtl/>
        </w:rPr>
        <w:t xml:space="preserve"> </w:t>
      </w:r>
    </w:p>
    <w:p w14:paraId="7CE0DBCD" w14:textId="77777777" w:rsidR="00282B40" w:rsidRPr="00576D5C" w:rsidRDefault="00282B40" w:rsidP="00576D5C">
      <w:pPr>
        <w:rPr>
          <w:rFonts w:asciiTheme="minorBidi" w:hAnsiTheme="minorBidi"/>
          <w:rtl/>
        </w:rPr>
      </w:pPr>
      <w:r w:rsidRPr="00576D5C">
        <w:rPr>
          <w:rFonts w:asciiTheme="minorBidi" w:hAnsiTheme="minorBidi"/>
          <w:b/>
          <w:bCs/>
          <w:rtl/>
        </w:rPr>
        <w:lastRenderedPageBreak/>
        <w:t>כתובות</w:t>
      </w:r>
      <w:r w:rsidRPr="00576D5C">
        <w:rPr>
          <w:rFonts w:asciiTheme="minorBidi" w:hAnsiTheme="minorBidi"/>
          <w:b/>
          <w:bCs/>
          <w:sz w:val="16"/>
          <w:szCs w:val="16"/>
          <w:rtl/>
        </w:rPr>
        <w:t xml:space="preserve"> (פ' בתרא)</w:t>
      </w:r>
      <w:r w:rsidRPr="00576D5C">
        <w:rPr>
          <w:rFonts w:asciiTheme="minorBidi" w:hAnsiTheme="minorBidi"/>
          <w:b/>
          <w:bCs/>
          <w:rtl/>
        </w:rPr>
        <w:t xml:space="preserve"> קה ע"ב:</w:t>
      </w:r>
      <w:r w:rsidRPr="00576D5C">
        <w:rPr>
          <w:rFonts w:asciiTheme="minorBidi" w:hAnsiTheme="minorBidi"/>
          <w:rtl/>
        </w:rPr>
        <w:t xml:space="preserve"> </w:t>
      </w:r>
      <w:r w:rsidRPr="00576D5C">
        <w:rPr>
          <w:rFonts w:asciiTheme="minorBidi" w:hAnsiTheme="minorBidi"/>
          <w:u w:val="single"/>
          <w:rtl/>
        </w:rPr>
        <w:t>אמר רבה בר רב שילא</w:t>
      </w:r>
      <w:r w:rsidRPr="00576D5C">
        <w:rPr>
          <w:rFonts w:asciiTheme="minorBidi" w:hAnsiTheme="minorBidi"/>
          <w:rtl/>
        </w:rPr>
        <w:t>: האי דיינא דשאיל שאילתא</w:t>
      </w:r>
      <w:r w:rsidRPr="00576D5C">
        <w:rPr>
          <w:rStyle w:val="ab"/>
          <w:rFonts w:asciiTheme="minorBidi" w:hAnsiTheme="minorBidi"/>
          <w:rtl/>
        </w:rPr>
        <w:footnoteReference w:id="465"/>
      </w:r>
      <w:r w:rsidRPr="00576D5C">
        <w:rPr>
          <w:rFonts w:asciiTheme="minorBidi" w:hAnsiTheme="minorBidi"/>
          <w:rtl/>
        </w:rPr>
        <w:t xml:space="preserve"> - פסול למידן דינא. ולא אמרן אלא דלית ליה לאושולי, אבל אית ליה לאושולי לית לן בה. איני? והא רבא שאיל שאילתא מדבי בר מריון, אף על גב דלא שיילי מיניה! התם לאחשובינהו הוא דבעי</w:t>
      </w:r>
      <w:r w:rsidRPr="00576D5C">
        <w:rPr>
          <w:rStyle w:val="ab"/>
          <w:rFonts w:asciiTheme="minorBidi" w:hAnsiTheme="minorBidi"/>
          <w:rtl/>
        </w:rPr>
        <w:footnoteReference w:id="466"/>
      </w:r>
      <w:r w:rsidRPr="00576D5C">
        <w:rPr>
          <w:rFonts w:asciiTheme="minorBidi" w:hAnsiTheme="minorBidi"/>
          <w:rtl/>
        </w:rPr>
        <w:t xml:space="preserve">. </w:t>
      </w:r>
    </w:p>
    <w:p w14:paraId="595D30D2" w14:textId="77777777" w:rsidR="00431499" w:rsidRPr="00576D5C" w:rsidRDefault="00431499" w:rsidP="00576D5C">
      <w:pPr>
        <w:rPr>
          <w:rFonts w:asciiTheme="minorBidi" w:hAnsiTheme="minorBidi"/>
          <w:u w:val="single"/>
          <w:rtl/>
        </w:rPr>
      </w:pPr>
      <w:r w:rsidRPr="00576D5C">
        <w:rPr>
          <w:rFonts w:asciiTheme="minorBidi" w:hAnsiTheme="minorBidi"/>
          <w:u w:val="single"/>
          <w:rtl/>
        </w:rPr>
        <w:t xml:space="preserve">דיין שהשאיל </w:t>
      </w:r>
      <w:r w:rsidR="00A84C42" w:rsidRPr="00576D5C">
        <w:rPr>
          <w:rFonts w:asciiTheme="minorBidi" w:hAnsiTheme="minorBidi"/>
          <w:u w:val="single"/>
          <w:rtl/>
        </w:rPr>
        <w:t>דבר מה בעבר מאיש שבא לפניו עכשיו לדון</w:t>
      </w:r>
      <w:r w:rsidRPr="00576D5C">
        <w:rPr>
          <w:rFonts w:asciiTheme="minorBidi" w:hAnsiTheme="minorBidi"/>
          <w:u w:val="single"/>
          <w:rtl/>
        </w:rPr>
        <w:t>:</w:t>
      </w:r>
    </w:p>
    <w:p w14:paraId="6726D11D" w14:textId="77777777" w:rsidR="00C64D48" w:rsidRPr="00576D5C" w:rsidRDefault="002515FE" w:rsidP="00576D5C">
      <w:pPr>
        <w:pStyle w:val="ac"/>
        <w:numPr>
          <w:ilvl w:val="0"/>
          <w:numId w:val="2"/>
        </w:numPr>
        <w:rPr>
          <w:rFonts w:asciiTheme="minorBidi" w:hAnsiTheme="minorBidi"/>
          <w:rtl/>
        </w:rPr>
      </w:pPr>
      <w:r w:rsidRPr="00576D5C">
        <w:rPr>
          <w:rFonts w:asciiTheme="minorBidi" w:hAnsiTheme="minorBidi"/>
          <w:rtl/>
        </w:rPr>
        <w:t xml:space="preserve">טור- </w:t>
      </w:r>
      <w:r w:rsidR="00025CBB" w:rsidRPr="00576D5C">
        <w:rPr>
          <w:rFonts w:asciiTheme="minorBidi" w:hAnsiTheme="minorBidi"/>
          <w:rtl/>
        </w:rPr>
        <w:t xml:space="preserve">כל דיין שצריך לשאול כלים משכניו </w:t>
      </w:r>
      <w:r w:rsidR="001971A1">
        <w:rPr>
          <w:rFonts w:asciiTheme="minorBidi" w:hAnsiTheme="minorBidi" w:hint="cs"/>
          <w:rtl/>
        </w:rPr>
        <w:t xml:space="preserve">- </w:t>
      </w:r>
      <w:r w:rsidR="00025CBB" w:rsidRPr="00576D5C">
        <w:rPr>
          <w:rFonts w:asciiTheme="minorBidi" w:hAnsiTheme="minorBidi"/>
          <w:rtl/>
        </w:rPr>
        <w:t>פסול להם לדין</w:t>
      </w:r>
      <w:r w:rsidR="001971A1">
        <w:rPr>
          <w:rFonts w:asciiTheme="minorBidi" w:hAnsiTheme="minorBidi" w:hint="cs"/>
          <w:rtl/>
        </w:rPr>
        <w:t>.</w:t>
      </w:r>
      <w:r w:rsidR="00025CBB" w:rsidRPr="00576D5C">
        <w:rPr>
          <w:rFonts w:asciiTheme="minorBidi" w:hAnsiTheme="minorBidi"/>
          <w:rtl/>
        </w:rPr>
        <w:t xml:space="preserve"> אבל אם גם הוא משאילם</w:t>
      </w:r>
      <w:r w:rsidR="00212A06">
        <w:rPr>
          <w:rFonts w:asciiTheme="minorBidi" w:hAnsiTheme="minorBidi" w:hint="cs"/>
          <w:rtl/>
        </w:rPr>
        <w:t xml:space="preserve"> </w:t>
      </w:r>
      <w:r w:rsidR="001971A1">
        <w:rPr>
          <w:rFonts w:asciiTheme="minorBidi" w:hAnsiTheme="minorBidi" w:hint="cs"/>
          <w:rtl/>
        </w:rPr>
        <w:t>-</w:t>
      </w:r>
      <w:r w:rsidR="00025CBB" w:rsidRPr="00576D5C">
        <w:rPr>
          <w:rFonts w:asciiTheme="minorBidi" w:hAnsiTheme="minorBidi"/>
          <w:rtl/>
        </w:rPr>
        <w:t xml:space="preserve"> כשר</w:t>
      </w:r>
      <w:r w:rsidR="00212A06">
        <w:rPr>
          <w:rFonts w:asciiTheme="minorBidi" w:hAnsiTheme="minorBidi" w:hint="cs"/>
          <w:rtl/>
        </w:rPr>
        <w:t>,</w:t>
      </w:r>
      <w:r w:rsidR="00025CBB" w:rsidRPr="00576D5C">
        <w:rPr>
          <w:rFonts w:asciiTheme="minorBidi" w:hAnsiTheme="minorBidi"/>
          <w:rtl/>
        </w:rPr>
        <w:t xml:space="preserve"> שאינו אלא פרעון על שמשאילם</w:t>
      </w:r>
      <w:r w:rsidRPr="00576D5C">
        <w:rPr>
          <w:rFonts w:asciiTheme="minorBidi" w:hAnsiTheme="minorBidi"/>
          <w:rtl/>
        </w:rPr>
        <w:t>.</w:t>
      </w:r>
    </w:p>
    <w:p w14:paraId="573123CB" w14:textId="77777777" w:rsidR="002515FE" w:rsidRPr="00576D5C" w:rsidRDefault="002515FE" w:rsidP="00576D5C">
      <w:pPr>
        <w:pStyle w:val="ac"/>
        <w:numPr>
          <w:ilvl w:val="0"/>
          <w:numId w:val="2"/>
        </w:numPr>
        <w:rPr>
          <w:rFonts w:asciiTheme="minorBidi" w:hAnsiTheme="minorBidi"/>
        </w:rPr>
      </w:pPr>
      <w:r w:rsidRPr="00576D5C">
        <w:rPr>
          <w:rFonts w:asciiTheme="minorBidi" w:hAnsiTheme="minorBidi"/>
          <w:rtl/>
        </w:rPr>
        <w:t xml:space="preserve">רמב"ם </w:t>
      </w:r>
      <w:r w:rsidRPr="00576D5C">
        <w:rPr>
          <w:rFonts w:asciiTheme="minorBidi" w:hAnsiTheme="minorBidi"/>
          <w:sz w:val="16"/>
          <w:szCs w:val="16"/>
          <w:rtl/>
        </w:rPr>
        <w:t>(שם ה"ד)</w:t>
      </w:r>
      <w:r w:rsidRPr="00576D5C">
        <w:rPr>
          <w:rFonts w:asciiTheme="minorBidi" w:hAnsiTheme="minorBidi"/>
          <w:rtl/>
        </w:rPr>
        <w:t xml:space="preserve">- כל דיין ששאל שאלה </w:t>
      </w:r>
      <w:r w:rsidR="001971A1">
        <w:rPr>
          <w:rFonts w:asciiTheme="minorBidi" w:hAnsiTheme="minorBidi" w:hint="cs"/>
          <w:rtl/>
        </w:rPr>
        <w:t xml:space="preserve">- </w:t>
      </w:r>
      <w:r w:rsidRPr="00576D5C">
        <w:rPr>
          <w:rFonts w:asciiTheme="minorBidi" w:hAnsiTheme="minorBidi"/>
          <w:rtl/>
        </w:rPr>
        <w:t>פסול לדין לזה שהשאילו</w:t>
      </w:r>
      <w:r w:rsidR="001971A1">
        <w:rPr>
          <w:rFonts w:asciiTheme="minorBidi" w:hAnsiTheme="minorBidi" w:hint="cs"/>
          <w:rtl/>
        </w:rPr>
        <w:t>.</w:t>
      </w:r>
      <w:r w:rsidRPr="00576D5C">
        <w:rPr>
          <w:rFonts w:asciiTheme="minorBidi" w:hAnsiTheme="minorBidi"/>
          <w:rtl/>
        </w:rPr>
        <w:t xml:space="preserve"> במה דברים אמורים בשלא היה לו לדיין להשאיל</w:t>
      </w:r>
      <w:r w:rsidR="001971A1">
        <w:rPr>
          <w:rFonts w:asciiTheme="minorBidi" w:hAnsiTheme="minorBidi" w:hint="cs"/>
          <w:rtl/>
        </w:rPr>
        <w:t>,</w:t>
      </w:r>
      <w:r w:rsidRPr="00576D5C">
        <w:rPr>
          <w:rFonts w:asciiTheme="minorBidi" w:hAnsiTheme="minorBidi"/>
          <w:rtl/>
        </w:rPr>
        <w:t xml:space="preserve"> אבל היה לו להשאיל </w:t>
      </w:r>
      <w:r w:rsidR="001971A1">
        <w:rPr>
          <w:rFonts w:asciiTheme="minorBidi" w:hAnsiTheme="minorBidi" w:hint="cs"/>
          <w:rtl/>
        </w:rPr>
        <w:t xml:space="preserve">- </w:t>
      </w:r>
      <w:r w:rsidRPr="00576D5C">
        <w:rPr>
          <w:rFonts w:asciiTheme="minorBidi" w:hAnsiTheme="minorBidi"/>
          <w:rtl/>
        </w:rPr>
        <w:t>כשר</w:t>
      </w:r>
      <w:r w:rsidR="001971A1">
        <w:rPr>
          <w:rFonts w:asciiTheme="minorBidi" w:hAnsiTheme="minorBidi" w:hint="cs"/>
          <w:rtl/>
        </w:rPr>
        <w:t>,</w:t>
      </w:r>
      <w:r w:rsidRPr="00576D5C">
        <w:rPr>
          <w:rFonts w:asciiTheme="minorBidi" w:hAnsiTheme="minorBidi"/>
          <w:rtl/>
        </w:rPr>
        <w:t xml:space="preserve"> שהרי גם זה שואל ממנו</w:t>
      </w:r>
      <w:r w:rsidR="00431499" w:rsidRPr="00576D5C">
        <w:rPr>
          <w:rStyle w:val="ab"/>
          <w:rFonts w:asciiTheme="minorBidi" w:hAnsiTheme="minorBidi"/>
          <w:rtl/>
        </w:rPr>
        <w:footnoteReference w:id="467"/>
      </w:r>
      <w:r w:rsidRPr="00576D5C">
        <w:rPr>
          <w:rFonts w:asciiTheme="minorBidi" w:hAnsiTheme="minorBidi"/>
          <w:rtl/>
        </w:rPr>
        <w:t>.</w:t>
      </w:r>
      <w:r w:rsidR="00431499" w:rsidRPr="00576D5C">
        <w:rPr>
          <w:rFonts w:asciiTheme="minorBidi" w:hAnsiTheme="minorBidi"/>
          <w:color w:val="E36C0A" w:themeColor="accent6" w:themeShade="BF"/>
          <w:rtl/>
        </w:rPr>
        <w:t xml:space="preserve"> (וכ"פ בשו"ע)</w:t>
      </w:r>
    </w:p>
    <w:p w14:paraId="13370FEB" w14:textId="77777777" w:rsidR="004B6FE7" w:rsidRPr="001971A1" w:rsidRDefault="001971A1" w:rsidP="001971A1">
      <w:pPr>
        <w:ind w:left="360"/>
        <w:rPr>
          <w:rFonts w:asciiTheme="minorBidi" w:hAnsiTheme="minorBidi"/>
          <w:u w:val="dotted"/>
        </w:rPr>
      </w:pPr>
      <w:r>
        <w:rPr>
          <w:rFonts w:asciiTheme="minorBidi" w:hAnsiTheme="minorBidi" w:hint="cs"/>
          <w:u w:val="dotted"/>
          <w:rtl/>
        </w:rPr>
        <w:t xml:space="preserve">ומה הדין אם הדיין לא רגיל לשאול מהבעל דין </w:t>
      </w:r>
      <w:r w:rsidRPr="001971A1">
        <w:rPr>
          <w:rFonts w:asciiTheme="minorBidi" w:hAnsiTheme="minorBidi" w:hint="cs"/>
          <w:sz w:val="16"/>
          <w:szCs w:val="16"/>
          <w:u w:val="dotted"/>
          <w:rtl/>
        </w:rPr>
        <w:t>(אלא השאיל באקראי בעלמא</w:t>
      </w:r>
      <w:r>
        <w:rPr>
          <w:rFonts w:asciiTheme="minorBidi" w:hAnsiTheme="minorBidi" w:hint="cs"/>
          <w:sz w:val="16"/>
          <w:szCs w:val="16"/>
          <w:u w:val="dotted"/>
          <w:rtl/>
        </w:rPr>
        <w:t>)</w:t>
      </w:r>
      <w:r w:rsidRPr="001971A1">
        <w:rPr>
          <w:rFonts w:asciiTheme="minorBidi" w:hAnsiTheme="minorBidi" w:hint="cs"/>
          <w:sz w:val="16"/>
          <w:szCs w:val="16"/>
          <w:u w:val="dotted"/>
          <w:rtl/>
        </w:rPr>
        <w:t xml:space="preserve"> </w:t>
      </w:r>
      <w:r>
        <w:rPr>
          <w:rFonts w:asciiTheme="minorBidi" w:hAnsiTheme="minorBidi" w:hint="cs"/>
          <w:u w:val="dotted"/>
          <w:rtl/>
        </w:rPr>
        <w:t>וגם אינו מוכח שעושה לו טובה בגלל הדין</w:t>
      </w:r>
      <w:r w:rsidR="004B6FE7" w:rsidRPr="001971A1">
        <w:rPr>
          <w:rFonts w:asciiTheme="minorBidi" w:hAnsiTheme="minorBidi" w:hint="cs"/>
          <w:u w:val="dotted"/>
          <w:rtl/>
        </w:rPr>
        <w:t>:</w:t>
      </w:r>
    </w:p>
    <w:p w14:paraId="426A76CC" w14:textId="77777777" w:rsidR="00E21CFA" w:rsidRPr="004B6FE7" w:rsidRDefault="004B6FE7" w:rsidP="004B6FE7">
      <w:pPr>
        <w:pStyle w:val="ac"/>
        <w:numPr>
          <w:ilvl w:val="0"/>
          <w:numId w:val="2"/>
        </w:numPr>
        <w:rPr>
          <w:rFonts w:asciiTheme="minorBidi" w:hAnsiTheme="minorBidi"/>
          <w:rtl/>
        </w:rPr>
      </w:pPr>
      <w:r>
        <w:rPr>
          <w:rFonts w:asciiTheme="minorBidi" w:hAnsiTheme="minorBidi" w:hint="cs"/>
          <w:rtl/>
        </w:rPr>
        <w:t>סמ"ק מצוריך</w:t>
      </w:r>
      <w:r>
        <w:rPr>
          <w:rStyle w:val="ab"/>
          <w:rFonts w:asciiTheme="minorBidi" w:hAnsiTheme="minorBidi"/>
          <w:rtl/>
        </w:rPr>
        <w:footnoteReference w:id="468"/>
      </w:r>
      <w:r w:rsidRPr="00576D5C">
        <w:rPr>
          <w:rFonts w:asciiTheme="minorBidi" w:hAnsiTheme="minorBidi"/>
          <w:rtl/>
        </w:rPr>
        <w:t xml:space="preserve">- </w:t>
      </w:r>
      <w:r w:rsidRPr="009801CE">
        <w:rPr>
          <w:rFonts w:asciiTheme="minorBidi" w:hAnsiTheme="minorBidi" w:cs="Arial"/>
          <w:rtl/>
        </w:rPr>
        <w:t>למדנו מתוך תשובת ריב"א דג' דנתבררו להיות ב"ד ונתבררו בחרם כו' על פי הדבר ונתנו ושאלו בדין שבועיים או יותר עד שבאו לגמור אלא שלא הספיקו לומר איש פלוני אתה חייב איש פלוני אתה זכאי ובתוך כך שאל אחד מהדיינין סוס מן שמעון הבעל דין לפי תומו והחזירו ואחר כך חשב שמעון בלבו לסלק אותו דיין מהדין מחמת טובת הנאה שעשה לו. והשיב ר"י דהא דאמר דהאי דיינא דשאיל</w:t>
      </w:r>
      <w:r>
        <w:rPr>
          <w:rFonts w:asciiTheme="minorBidi" w:hAnsiTheme="minorBidi" w:cs="Arial" w:hint="cs"/>
          <w:rtl/>
        </w:rPr>
        <w:t xml:space="preserve"> </w:t>
      </w:r>
      <w:r w:rsidRPr="009801CE">
        <w:rPr>
          <w:rFonts w:asciiTheme="minorBidi" w:hAnsiTheme="minorBidi" w:cs="Arial"/>
          <w:rtl/>
        </w:rPr>
        <w:t>שא</w:t>
      </w:r>
      <w:r>
        <w:rPr>
          <w:rFonts w:asciiTheme="minorBidi" w:hAnsiTheme="minorBidi" w:cs="Arial" w:hint="cs"/>
          <w:rtl/>
        </w:rPr>
        <w:t>לת</w:t>
      </w:r>
      <w:r w:rsidRPr="009801CE">
        <w:rPr>
          <w:rFonts w:asciiTheme="minorBidi" w:hAnsiTheme="minorBidi" w:cs="Arial"/>
          <w:rtl/>
        </w:rPr>
        <w:t xml:space="preserve">א </w:t>
      </w:r>
      <w:r>
        <w:rPr>
          <w:rFonts w:asciiTheme="minorBidi" w:hAnsiTheme="minorBidi" w:cs="Arial" w:hint="cs"/>
          <w:rtl/>
        </w:rPr>
        <w:t>ד</w:t>
      </w:r>
      <w:r w:rsidRPr="009801CE">
        <w:rPr>
          <w:rFonts w:asciiTheme="minorBidi" w:hAnsiTheme="minorBidi" w:cs="Arial"/>
          <w:rtl/>
        </w:rPr>
        <w:t>פס</w:t>
      </w:r>
      <w:r>
        <w:rPr>
          <w:rFonts w:asciiTheme="minorBidi" w:hAnsiTheme="minorBidi" w:cs="Arial" w:hint="cs"/>
          <w:rtl/>
        </w:rPr>
        <w:t>ו</w:t>
      </w:r>
      <w:r w:rsidRPr="009801CE">
        <w:rPr>
          <w:rFonts w:asciiTheme="minorBidi" w:hAnsiTheme="minorBidi" w:cs="Arial"/>
          <w:rtl/>
        </w:rPr>
        <w:t xml:space="preserve">ל למידן דינא </w:t>
      </w:r>
      <w:r w:rsidR="009C31C4">
        <w:rPr>
          <w:rFonts w:asciiTheme="minorBidi" w:hAnsiTheme="minorBidi" w:cs="Arial" w:hint="cs"/>
          <w:rtl/>
        </w:rPr>
        <w:t xml:space="preserve">- </w:t>
      </w:r>
      <w:r w:rsidRPr="009801CE">
        <w:rPr>
          <w:rFonts w:asciiTheme="minorBidi" w:hAnsiTheme="minorBidi" w:cs="Arial"/>
          <w:rtl/>
        </w:rPr>
        <w:t>היינו דוקא ברגיל</w:t>
      </w:r>
      <w:r w:rsidR="001F0540">
        <w:rPr>
          <w:rStyle w:val="ab"/>
          <w:rFonts w:asciiTheme="minorBidi" w:hAnsiTheme="minorBidi" w:cs="Arial"/>
          <w:rtl/>
        </w:rPr>
        <w:footnoteReference w:id="469"/>
      </w:r>
      <w:r w:rsidRPr="009801CE">
        <w:rPr>
          <w:rFonts w:asciiTheme="minorBidi" w:hAnsiTheme="minorBidi" w:cs="Arial"/>
          <w:rtl/>
        </w:rPr>
        <w:t xml:space="preserve"> ד</w:t>
      </w:r>
      <w:r>
        <w:rPr>
          <w:rFonts w:asciiTheme="minorBidi" w:hAnsiTheme="minorBidi" w:cs="Arial" w:hint="cs"/>
          <w:rtl/>
        </w:rPr>
        <w:t>א</w:t>
      </w:r>
      <w:r w:rsidRPr="009801CE">
        <w:rPr>
          <w:rFonts w:asciiTheme="minorBidi" w:hAnsiTheme="minorBidi" w:cs="Arial"/>
          <w:rtl/>
        </w:rPr>
        <w:t>קרב</w:t>
      </w:r>
      <w:r>
        <w:rPr>
          <w:rFonts w:asciiTheme="minorBidi" w:hAnsiTheme="minorBidi" w:cs="Arial" w:hint="cs"/>
          <w:rtl/>
        </w:rPr>
        <w:t>ה</w:t>
      </w:r>
      <w:r w:rsidRPr="009801CE">
        <w:rPr>
          <w:rFonts w:asciiTheme="minorBidi" w:hAnsiTheme="minorBidi" w:cs="Arial"/>
          <w:rtl/>
        </w:rPr>
        <w:t xml:space="preserve"> דעתיה</w:t>
      </w:r>
      <w:r>
        <w:rPr>
          <w:rFonts w:asciiTheme="minorBidi" w:hAnsiTheme="minorBidi" w:cs="Arial" w:hint="cs"/>
          <w:rtl/>
        </w:rPr>
        <w:t xml:space="preserve"> לגביה</w:t>
      </w:r>
      <w:r w:rsidR="009C31C4">
        <w:rPr>
          <w:rFonts w:asciiTheme="minorBidi" w:hAnsiTheme="minorBidi" w:cs="Arial" w:hint="cs"/>
          <w:rtl/>
        </w:rPr>
        <w:t>,</w:t>
      </w:r>
      <w:r w:rsidRPr="009801CE">
        <w:rPr>
          <w:rFonts w:asciiTheme="minorBidi" w:hAnsiTheme="minorBidi" w:cs="Arial"/>
          <w:rtl/>
        </w:rPr>
        <w:t xml:space="preserve"> אבל באקראי </w:t>
      </w:r>
      <w:r>
        <w:rPr>
          <w:rFonts w:asciiTheme="minorBidi" w:hAnsiTheme="minorBidi" w:cs="Arial" w:hint="cs"/>
          <w:rtl/>
        </w:rPr>
        <w:t>בעלמא לא</w:t>
      </w:r>
      <w:r w:rsidR="009C31C4">
        <w:rPr>
          <w:rFonts w:asciiTheme="minorBidi" w:hAnsiTheme="minorBidi" w:cs="Arial" w:hint="cs"/>
          <w:rtl/>
        </w:rPr>
        <w:t>,</w:t>
      </w:r>
      <w:r>
        <w:rPr>
          <w:rFonts w:asciiTheme="minorBidi" w:hAnsiTheme="minorBidi" w:cs="Arial" w:hint="cs"/>
          <w:rtl/>
        </w:rPr>
        <w:t xml:space="preserve"> דאם כן הנחת ידיך ורגליך בבית המדרש שאם שאל לו פעם אחת יהיה פסול לו לעולם</w:t>
      </w:r>
      <w:r w:rsidR="001F0540">
        <w:rPr>
          <w:rFonts w:asciiTheme="minorBidi" w:hAnsiTheme="minorBidi" w:cs="Arial" w:hint="cs"/>
          <w:rtl/>
        </w:rPr>
        <w:t>.</w:t>
      </w:r>
      <w:r w:rsidRPr="009801CE">
        <w:rPr>
          <w:rFonts w:asciiTheme="minorBidi" w:hAnsiTheme="minorBidi" w:cs="Arial"/>
          <w:rtl/>
        </w:rPr>
        <w:t xml:space="preserve"> וההיא דריש פרק שני דייני גזרות </w:t>
      </w:r>
      <w:r w:rsidRPr="009801CE">
        <w:rPr>
          <w:rFonts w:asciiTheme="minorBidi" w:hAnsiTheme="minorBidi" w:cs="Arial"/>
          <w:sz w:val="16"/>
          <w:szCs w:val="16"/>
          <w:rtl/>
        </w:rPr>
        <w:t>(קה</w:t>
      </w:r>
      <w:r w:rsidRPr="009801CE">
        <w:rPr>
          <w:rFonts w:asciiTheme="minorBidi" w:hAnsiTheme="minorBidi" w:cs="Arial" w:hint="cs"/>
          <w:sz w:val="16"/>
          <w:szCs w:val="16"/>
          <w:rtl/>
        </w:rPr>
        <w:t>:</w:t>
      </w:r>
      <w:r w:rsidRPr="009801CE">
        <w:rPr>
          <w:rFonts w:asciiTheme="minorBidi" w:hAnsiTheme="minorBidi" w:cs="Arial"/>
          <w:sz w:val="16"/>
          <w:szCs w:val="16"/>
          <w:rtl/>
        </w:rPr>
        <w:t>)</w:t>
      </w:r>
      <w:r w:rsidRPr="009801CE">
        <w:rPr>
          <w:rFonts w:asciiTheme="minorBidi" w:hAnsiTheme="minorBidi" w:cs="Arial"/>
          <w:rtl/>
        </w:rPr>
        <w:t xml:space="preserve"> דמוכח דפסיל אפי' באקראי בעלמ</w:t>
      </w:r>
      <w:r>
        <w:rPr>
          <w:rFonts w:asciiTheme="minorBidi" w:hAnsiTheme="minorBidi" w:cs="Arial" w:hint="cs"/>
          <w:rtl/>
        </w:rPr>
        <w:t>א</w:t>
      </w:r>
      <w:r w:rsidRPr="009801CE">
        <w:rPr>
          <w:rFonts w:asciiTheme="minorBidi" w:hAnsiTheme="minorBidi" w:cs="Arial"/>
          <w:rtl/>
        </w:rPr>
        <w:t xml:space="preserve"> </w:t>
      </w:r>
      <w:r w:rsidR="001F0540">
        <w:rPr>
          <w:rFonts w:asciiTheme="minorBidi" w:hAnsiTheme="minorBidi" w:cs="Arial" w:hint="cs"/>
          <w:rtl/>
        </w:rPr>
        <w:t xml:space="preserve">- </w:t>
      </w:r>
      <w:r w:rsidRPr="009801CE">
        <w:rPr>
          <w:rFonts w:asciiTheme="minorBidi" w:hAnsiTheme="minorBidi" w:cs="Arial"/>
          <w:rtl/>
        </w:rPr>
        <w:t>היינו כשהוא מוכיח שעשה לו טובה מפני שצריך לדון לפניו</w:t>
      </w:r>
      <w:r w:rsidR="001F0540">
        <w:rPr>
          <w:rFonts w:asciiTheme="minorBidi" w:hAnsiTheme="minorBidi" w:cs="Arial" w:hint="cs"/>
          <w:rtl/>
        </w:rPr>
        <w:t>.</w:t>
      </w:r>
      <w:r>
        <w:rPr>
          <w:rFonts w:asciiTheme="minorBidi" w:hAnsiTheme="minorBidi" w:cs="Arial" w:hint="cs"/>
          <w:rtl/>
        </w:rPr>
        <w:t xml:space="preserve"> עכ"ל התשובה</w:t>
      </w:r>
      <w:r w:rsidRPr="00576D5C">
        <w:rPr>
          <w:rFonts w:asciiTheme="minorBidi" w:hAnsiTheme="minorBidi"/>
          <w:rtl/>
        </w:rPr>
        <w:t>.</w:t>
      </w:r>
      <w:r w:rsidR="00F179BB" w:rsidRPr="004B6FE7">
        <w:rPr>
          <w:rFonts w:asciiTheme="minorBidi" w:hAnsiTheme="minorBidi"/>
          <w:color w:val="00B0F0"/>
          <w:rtl/>
        </w:rPr>
        <w:t xml:space="preserve"> (וכ"פ הרמ"א)</w:t>
      </w:r>
    </w:p>
    <w:p w14:paraId="095C5471" w14:textId="77777777" w:rsidR="00E137BC" w:rsidRPr="00576D5C" w:rsidRDefault="00E137BC" w:rsidP="00576D5C">
      <w:pPr>
        <w:rPr>
          <w:rFonts w:asciiTheme="minorBidi" w:hAnsiTheme="minorBidi"/>
          <w:b/>
          <w:bCs/>
          <w:color w:val="000000"/>
          <w:sz w:val="28"/>
          <w:szCs w:val="28"/>
          <w:u w:val="single"/>
          <w:rtl/>
        </w:rPr>
      </w:pPr>
      <w:r w:rsidRPr="00576D5C">
        <w:rPr>
          <w:rFonts w:asciiTheme="minorBidi" w:hAnsiTheme="minorBidi"/>
          <w:b/>
          <w:bCs/>
          <w:color w:val="000000"/>
          <w:sz w:val="28"/>
          <w:szCs w:val="28"/>
          <w:u w:val="single"/>
          <w:rtl/>
        </w:rPr>
        <w:t>שו"ע:</w:t>
      </w:r>
    </w:p>
    <w:p w14:paraId="36202ED8" w14:textId="77777777" w:rsidR="00E137BC" w:rsidRPr="00576D5C" w:rsidRDefault="00E137BC" w:rsidP="00576D5C">
      <w:pPr>
        <w:rPr>
          <w:rFonts w:asciiTheme="minorBidi" w:hAnsiTheme="minorBidi"/>
          <w:rtl/>
        </w:rPr>
      </w:pPr>
      <w:r w:rsidRPr="00576D5C">
        <w:rPr>
          <w:rFonts w:asciiTheme="minorBidi" w:hAnsiTheme="minorBidi"/>
          <w:rtl/>
        </w:rPr>
        <w:t>מאוד מאוד צריך הדיין ליזהר שלא ליקח שוחד, אפי</w:t>
      </w:r>
      <w:r w:rsidR="00F179BB" w:rsidRPr="00576D5C">
        <w:rPr>
          <w:rFonts w:asciiTheme="minorBidi" w:hAnsiTheme="minorBidi"/>
          <w:rtl/>
        </w:rPr>
        <w:t>לו</w:t>
      </w:r>
      <w:r w:rsidRPr="00576D5C">
        <w:rPr>
          <w:rFonts w:asciiTheme="minorBidi" w:hAnsiTheme="minorBidi"/>
          <w:rtl/>
        </w:rPr>
        <w:t xml:space="preserve"> לזכות את הזכאי. ואם לקחו, צריך להחזירו כשיתבענו הנותן</w:t>
      </w:r>
      <w:r w:rsidR="00F179BB" w:rsidRPr="00576D5C">
        <w:rPr>
          <w:rStyle w:val="ab"/>
          <w:rFonts w:asciiTheme="minorBidi" w:hAnsiTheme="minorBidi"/>
          <w:rtl/>
        </w:rPr>
        <w:footnoteReference w:id="470"/>
      </w:r>
      <w:r w:rsidRPr="00576D5C">
        <w:rPr>
          <w:rFonts w:asciiTheme="minorBidi" w:hAnsiTheme="minorBidi"/>
          <w:rtl/>
        </w:rPr>
        <w:t xml:space="preserve">. וכשם שהלוקחו עובר בלא תעשה, כך הנותנו עובר בלפני עור לא תתן מכשול </w:t>
      </w:r>
      <w:r w:rsidRPr="00576D5C">
        <w:rPr>
          <w:rFonts w:asciiTheme="minorBidi" w:hAnsiTheme="minorBidi"/>
          <w:sz w:val="16"/>
          <w:szCs w:val="16"/>
          <w:rtl/>
        </w:rPr>
        <w:t>(ויקרא יט, יד)</w:t>
      </w:r>
      <w:r w:rsidRPr="00576D5C">
        <w:rPr>
          <w:rFonts w:asciiTheme="minorBidi" w:hAnsiTheme="minorBidi"/>
          <w:rtl/>
        </w:rPr>
        <w:t>. ולא שוחד ממון בלבד, אלא אפילו שוחד דברים</w:t>
      </w:r>
      <w:r w:rsidR="00541E33" w:rsidRPr="00576D5C">
        <w:rPr>
          <w:rStyle w:val="ab"/>
          <w:rFonts w:asciiTheme="minorBidi" w:hAnsiTheme="minorBidi"/>
          <w:rtl/>
        </w:rPr>
        <w:footnoteReference w:id="471"/>
      </w:r>
      <w:r w:rsidRPr="00576D5C">
        <w:rPr>
          <w:rFonts w:asciiTheme="minorBidi" w:hAnsiTheme="minorBidi"/>
          <w:rtl/>
        </w:rPr>
        <w:t xml:space="preserve">. וכל דיין ששאל שאלה, פסול לדון לזה שהשאילו. במה דברים אמורים, כשלא היה לו לדיין להשאיל, אבל היה לו להשאיל, כשר, שהרי גם זה שואל ממנו. </w:t>
      </w:r>
      <w:r w:rsidRPr="00576D5C">
        <w:rPr>
          <w:rFonts w:asciiTheme="minorBidi" w:hAnsiTheme="minorBidi"/>
          <w:sz w:val="18"/>
          <w:szCs w:val="18"/>
          <w:rtl/>
        </w:rPr>
        <w:t>הגה: ודוקא ברגיל לשאול ממנו, אבל באקראי בעלמא, ולא מוכח שעושה משום הדין, לא (מהרי"ק</w:t>
      </w:r>
      <w:r w:rsidR="001F0540">
        <w:rPr>
          <w:rFonts w:asciiTheme="minorBidi" w:hAnsiTheme="minorBidi" w:hint="cs"/>
          <w:sz w:val="18"/>
          <w:szCs w:val="18"/>
          <w:rtl/>
        </w:rPr>
        <w:t xml:space="preserve"> בשם סמ"ק מצוריך</w:t>
      </w:r>
      <w:r w:rsidRPr="00576D5C">
        <w:rPr>
          <w:rFonts w:asciiTheme="minorBidi" w:hAnsiTheme="minorBidi"/>
          <w:sz w:val="18"/>
          <w:szCs w:val="18"/>
          <w:rtl/>
        </w:rPr>
        <w:t xml:space="preserve">). </w:t>
      </w:r>
    </w:p>
    <w:p w14:paraId="0BB1EC5D" w14:textId="77777777" w:rsidR="00431499" w:rsidRPr="00576D5C" w:rsidRDefault="00431499" w:rsidP="00576D5C">
      <w:pPr>
        <w:rPr>
          <w:rFonts w:asciiTheme="minorBidi" w:hAnsiTheme="minorBidi"/>
          <w:rtl/>
        </w:rPr>
      </w:pPr>
    </w:p>
    <w:p w14:paraId="43C561BC" w14:textId="77777777" w:rsidR="00E137BC" w:rsidRPr="00576D5C" w:rsidRDefault="00E137BC" w:rsidP="00E842BA">
      <w:pPr>
        <w:pStyle w:val="2"/>
        <w:rPr>
          <w:rtl/>
        </w:rPr>
      </w:pPr>
      <w:bookmarkStart w:id="59" w:name="_Toc24883555"/>
      <w:r w:rsidRPr="00576D5C">
        <w:rPr>
          <w:rtl/>
        </w:rPr>
        <w:t>סעיף ב</w:t>
      </w:r>
      <w:r w:rsidR="00541E33" w:rsidRPr="00576D5C">
        <w:rPr>
          <w:rtl/>
        </w:rPr>
        <w:t>: אדם ששלח מתנה לדיין לפני שהזמין את הנתבע לדין.</w:t>
      </w:r>
      <w:bookmarkEnd w:id="59"/>
    </w:p>
    <w:p w14:paraId="06433ABF" w14:textId="77777777" w:rsidR="00541E33" w:rsidRPr="00576D5C" w:rsidRDefault="00541E33" w:rsidP="00576D5C">
      <w:pPr>
        <w:rPr>
          <w:rFonts w:asciiTheme="minorBidi" w:hAnsiTheme="minorBidi"/>
          <w:u w:val="single"/>
          <w:rtl/>
        </w:rPr>
      </w:pPr>
      <w:r w:rsidRPr="00576D5C">
        <w:rPr>
          <w:rFonts w:asciiTheme="minorBidi" w:hAnsiTheme="minorBidi"/>
          <w:u w:val="single"/>
          <w:rtl/>
        </w:rPr>
        <w:t>נתפרסם שאדם א' רוצה לתבוע את חברו, וקדם התובע ושלח מתנה לדיין קודם שהזמין את חברו</w:t>
      </w:r>
      <w:r w:rsidRPr="00576D5C">
        <w:rPr>
          <w:rFonts w:asciiTheme="minorBidi" w:hAnsiTheme="minorBidi"/>
          <w:sz w:val="16"/>
          <w:szCs w:val="16"/>
          <w:u w:val="single"/>
          <w:rtl/>
        </w:rPr>
        <w:t xml:space="preserve"> (הנתבע)</w:t>
      </w:r>
      <w:r w:rsidRPr="00576D5C">
        <w:rPr>
          <w:rFonts w:asciiTheme="minorBidi" w:hAnsiTheme="minorBidi"/>
          <w:u w:val="single"/>
          <w:rtl/>
        </w:rPr>
        <w:t xml:space="preserve"> לדין:</w:t>
      </w:r>
    </w:p>
    <w:p w14:paraId="5C3175DF" w14:textId="77777777" w:rsidR="00C64D48" w:rsidRPr="00576D5C" w:rsidRDefault="00541E33" w:rsidP="00576D5C">
      <w:pPr>
        <w:pStyle w:val="ac"/>
        <w:numPr>
          <w:ilvl w:val="0"/>
          <w:numId w:val="3"/>
        </w:numPr>
        <w:rPr>
          <w:rFonts w:asciiTheme="minorBidi" w:hAnsiTheme="minorBidi"/>
          <w:rtl/>
        </w:rPr>
      </w:pPr>
      <w:r w:rsidRPr="00576D5C">
        <w:rPr>
          <w:rFonts w:asciiTheme="minorBidi" w:hAnsiTheme="minorBidi"/>
          <w:rtl/>
        </w:rPr>
        <w:t xml:space="preserve">טור- </w:t>
      </w:r>
      <w:r w:rsidR="00C64D48" w:rsidRPr="00576D5C">
        <w:rPr>
          <w:rFonts w:asciiTheme="minorBidi" w:hAnsiTheme="minorBidi"/>
          <w:rtl/>
        </w:rPr>
        <w:t>תשובה לגאון</w:t>
      </w:r>
      <w:r w:rsidRPr="00576D5C">
        <w:rPr>
          <w:rFonts w:asciiTheme="minorBidi" w:hAnsiTheme="minorBidi"/>
          <w:rtl/>
        </w:rPr>
        <w:t>,</w:t>
      </w:r>
      <w:r w:rsidR="00C64D48" w:rsidRPr="00576D5C">
        <w:rPr>
          <w:rFonts w:asciiTheme="minorBidi" w:hAnsiTheme="minorBidi"/>
          <w:rtl/>
        </w:rPr>
        <w:t xml:space="preserve"> היכא דמפרסמא תביעותא דאיניש גבי חבריה ובעי לאזמוניה לדינא</w:t>
      </w:r>
      <w:r w:rsidRPr="00576D5C">
        <w:rPr>
          <w:rFonts w:asciiTheme="minorBidi" w:hAnsiTheme="minorBidi"/>
          <w:rtl/>
        </w:rPr>
        <w:t>,</w:t>
      </w:r>
      <w:r w:rsidR="00C64D48" w:rsidRPr="00576D5C">
        <w:rPr>
          <w:rFonts w:asciiTheme="minorBidi" w:hAnsiTheme="minorBidi"/>
          <w:rtl/>
        </w:rPr>
        <w:t xml:space="preserve"> וקדם תובע ושדר ליה מנחה</w:t>
      </w:r>
      <w:r w:rsidRPr="00576D5C">
        <w:rPr>
          <w:rFonts w:asciiTheme="minorBidi" w:hAnsiTheme="minorBidi"/>
          <w:rtl/>
        </w:rPr>
        <w:t>,</w:t>
      </w:r>
      <w:r w:rsidR="00C64D48" w:rsidRPr="00576D5C">
        <w:rPr>
          <w:rFonts w:asciiTheme="minorBidi" w:hAnsiTheme="minorBidi"/>
          <w:rtl/>
        </w:rPr>
        <w:t xml:space="preserve"> אי אית ליה לנתבע למיפסל לדינא בהאי מילתא או לא</w:t>
      </w:r>
      <w:r w:rsidRPr="00576D5C">
        <w:rPr>
          <w:rFonts w:asciiTheme="minorBidi" w:hAnsiTheme="minorBidi"/>
          <w:rtl/>
        </w:rPr>
        <w:t>.</w:t>
      </w:r>
      <w:r w:rsidR="00C64D48" w:rsidRPr="00576D5C">
        <w:rPr>
          <w:rFonts w:asciiTheme="minorBidi" w:hAnsiTheme="minorBidi"/>
          <w:rtl/>
        </w:rPr>
        <w:t xml:space="preserve"> מדת חסידות היא זו דאי חזי ביה דיינא דאיקרב דעתיה לגביה תובע לממנע הוא מדעתו מן ההוא דינא עד שמתרחק</w:t>
      </w:r>
      <w:r w:rsidRPr="00576D5C">
        <w:rPr>
          <w:rFonts w:asciiTheme="minorBidi" w:hAnsiTheme="minorBidi"/>
          <w:rtl/>
        </w:rPr>
        <w:t>,</w:t>
      </w:r>
      <w:r w:rsidR="00C64D48" w:rsidRPr="00576D5C">
        <w:rPr>
          <w:rFonts w:asciiTheme="minorBidi" w:hAnsiTheme="minorBidi"/>
          <w:rtl/>
        </w:rPr>
        <w:t xml:space="preserve"> אבל מדינא לית ליה לנתבע למיפסליה</w:t>
      </w:r>
      <w:r w:rsidR="001971A1">
        <w:rPr>
          <w:rFonts w:asciiTheme="minorBidi" w:hAnsiTheme="minorBidi" w:hint="cs"/>
          <w:rtl/>
        </w:rPr>
        <w:t>.</w:t>
      </w:r>
      <w:r w:rsidR="00C64D48" w:rsidRPr="00576D5C">
        <w:rPr>
          <w:rFonts w:asciiTheme="minorBidi" w:hAnsiTheme="minorBidi"/>
          <w:rtl/>
        </w:rPr>
        <w:t xml:space="preserve"> ואי דמי לרבא</w:t>
      </w:r>
      <w:r w:rsidRPr="00576D5C">
        <w:rPr>
          <w:rFonts w:asciiTheme="minorBidi" w:hAnsiTheme="minorBidi"/>
          <w:rtl/>
        </w:rPr>
        <w:t>,</w:t>
      </w:r>
      <w:r w:rsidR="00C64D48" w:rsidRPr="00576D5C">
        <w:rPr>
          <w:rFonts w:asciiTheme="minorBidi" w:hAnsiTheme="minorBidi"/>
          <w:rtl/>
        </w:rPr>
        <w:t xml:space="preserve"> דהוה שאיל מדבי בר מוריון ולא הוה משאיל להו והוי מכוין לאחשבינהו</w:t>
      </w:r>
      <w:r w:rsidRPr="00576D5C">
        <w:rPr>
          <w:rFonts w:asciiTheme="minorBidi" w:hAnsiTheme="minorBidi"/>
          <w:rtl/>
        </w:rPr>
        <w:t>,</w:t>
      </w:r>
      <w:r w:rsidR="00C64D48" w:rsidRPr="00576D5C">
        <w:rPr>
          <w:rFonts w:asciiTheme="minorBidi" w:hAnsiTheme="minorBidi"/>
          <w:rtl/>
        </w:rPr>
        <w:t xml:space="preserve"> אפילו מדת חסידות ליכא</w:t>
      </w:r>
      <w:r w:rsidRPr="00576D5C">
        <w:rPr>
          <w:rFonts w:asciiTheme="minorBidi" w:hAnsiTheme="minorBidi"/>
          <w:rtl/>
        </w:rPr>
        <w:t xml:space="preserve">. </w:t>
      </w:r>
      <w:r w:rsidRPr="00576D5C">
        <w:rPr>
          <w:rFonts w:asciiTheme="minorBidi" w:hAnsiTheme="minorBidi"/>
          <w:color w:val="E36C0A" w:themeColor="accent6" w:themeShade="BF"/>
          <w:rtl/>
        </w:rPr>
        <w:t>(וכ"פ בשו"ע)</w:t>
      </w:r>
    </w:p>
    <w:p w14:paraId="7083C699" w14:textId="77777777" w:rsidR="00E137BC" w:rsidRPr="00576D5C" w:rsidRDefault="00E137BC" w:rsidP="00576D5C">
      <w:pPr>
        <w:rPr>
          <w:rFonts w:asciiTheme="minorBidi" w:hAnsiTheme="minorBidi"/>
          <w:b/>
          <w:bCs/>
          <w:color w:val="000000"/>
          <w:sz w:val="28"/>
          <w:szCs w:val="28"/>
          <w:u w:val="single"/>
          <w:rtl/>
        </w:rPr>
      </w:pPr>
      <w:r w:rsidRPr="00576D5C">
        <w:rPr>
          <w:rFonts w:asciiTheme="minorBidi" w:hAnsiTheme="minorBidi"/>
          <w:b/>
          <w:bCs/>
          <w:color w:val="000000"/>
          <w:sz w:val="28"/>
          <w:szCs w:val="28"/>
          <w:u w:val="single"/>
          <w:rtl/>
        </w:rPr>
        <w:t>שו"ע:</w:t>
      </w:r>
    </w:p>
    <w:p w14:paraId="0A66CC94" w14:textId="77777777" w:rsidR="00E137BC" w:rsidRPr="00576D5C" w:rsidRDefault="00E137BC" w:rsidP="00576D5C">
      <w:pPr>
        <w:rPr>
          <w:rFonts w:asciiTheme="minorBidi" w:hAnsiTheme="minorBidi"/>
          <w:rtl/>
        </w:rPr>
      </w:pPr>
      <w:r w:rsidRPr="00576D5C">
        <w:rPr>
          <w:rFonts w:asciiTheme="minorBidi" w:hAnsiTheme="minorBidi"/>
          <w:rtl/>
        </w:rPr>
        <w:lastRenderedPageBreak/>
        <w:t>אם קדם התובע ושלח מנחה לדיין קודם שיזמין לנתבע לדין, אין הנתבע יכול לפוסלו</w:t>
      </w:r>
      <w:r w:rsidR="008469B4" w:rsidRPr="00576D5C">
        <w:rPr>
          <w:rStyle w:val="ab"/>
          <w:rFonts w:asciiTheme="minorBidi" w:hAnsiTheme="minorBidi"/>
          <w:rtl/>
        </w:rPr>
        <w:footnoteReference w:id="472"/>
      </w:r>
      <w:r w:rsidRPr="00576D5C">
        <w:rPr>
          <w:rFonts w:asciiTheme="minorBidi" w:hAnsiTheme="minorBidi"/>
          <w:rtl/>
        </w:rPr>
        <w:t>, אלא אם כן הדיין רוצה לחשוך עצמו מאותו דין ממדת חסידותו</w:t>
      </w:r>
      <w:r w:rsidR="00541E33" w:rsidRPr="00576D5C">
        <w:rPr>
          <w:rStyle w:val="ab"/>
          <w:rFonts w:asciiTheme="minorBidi" w:hAnsiTheme="minorBidi"/>
          <w:rtl/>
        </w:rPr>
        <w:footnoteReference w:id="473"/>
      </w:r>
      <w:r w:rsidR="00541E33" w:rsidRPr="00576D5C">
        <w:rPr>
          <w:rFonts w:asciiTheme="minorBidi" w:hAnsiTheme="minorBidi"/>
          <w:rtl/>
        </w:rPr>
        <w:t xml:space="preserve">. </w:t>
      </w:r>
      <w:r w:rsidR="00541E33" w:rsidRPr="00576D5C">
        <w:rPr>
          <w:rFonts w:asciiTheme="minorBidi" w:hAnsiTheme="minorBidi"/>
          <w:sz w:val="18"/>
          <w:szCs w:val="18"/>
          <w:rtl/>
        </w:rPr>
        <w:t xml:space="preserve">[הגה] </w:t>
      </w:r>
      <w:r w:rsidRPr="00576D5C">
        <w:rPr>
          <w:rFonts w:asciiTheme="minorBidi" w:hAnsiTheme="minorBidi"/>
          <w:sz w:val="18"/>
          <w:szCs w:val="18"/>
          <w:rtl/>
        </w:rPr>
        <w:t>כגון שיודע שנתקרב דעתו לזה</w:t>
      </w:r>
      <w:r w:rsidR="00541E33" w:rsidRPr="00576D5C">
        <w:rPr>
          <w:rFonts w:asciiTheme="minorBidi" w:hAnsiTheme="minorBidi"/>
          <w:sz w:val="18"/>
          <w:szCs w:val="18"/>
          <w:rtl/>
        </w:rPr>
        <w:t xml:space="preserve"> </w:t>
      </w:r>
      <w:r w:rsidRPr="00576D5C">
        <w:rPr>
          <w:rFonts w:asciiTheme="minorBidi" w:hAnsiTheme="minorBidi"/>
          <w:sz w:val="18"/>
          <w:szCs w:val="18"/>
          <w:rtl/>
        </w:rPr>
        <w:t xml:space="preserve">(טור). </w:t>
      </w:r>
    </w:p>
    <w:p w14:paraId="24C2F9F2" w14:textId="77777777" w:rsidR="00541E33" w:rsidRPr="00576D5C" w:rsidRDefault="00541E33" w:rsidP="00576D5C">
      <w:pPr>
        <w:rPr>
          <w:rFonts w:asciiTheme="minorBidi" w:hAnsiTheme="minorBidi"/>
          <w:rtl/>
        </w:rPr>
      </w:pPr>
    </w:p>
    <w:p w14:paraId="66FB8AE2" w14:textId="77777777" w:rsidR="005E0089" w:rsidRPr="00576D5C" w:rsidRDefault="00E137BC" w:rsidP="00E842BA">
      <w:pPr>
        <w:pStyle w:val="2"/>
        <w:rPr>
          <w:rtl/>
        </w:rPr>
      </w:pPr>
      <w:bookmarkStart w:id="60" w:name="_Toc24883556"/>
      <w:r w:rsidRPr="00576D5C">
        <w:rPr>
          <w:rtl/>
        </w:rPr>
        <w:t>סעיף ג</w:t>
      </w:r>
      <w:r w:rsidR="008469B4" w:rsidRPr="00576D5C">
        <w:rPr>
          <w:rtl/>
        </w:rPr>
        <w:t>: מגבית קבועה להחזקת בית הדין והדיינים.</w:t>
      </w:r>
      <w:bookmarkEnd w:id="60"/>
    </w:p>
    <w:p w14:paraId="5B0BF55D" w14:textId="77777777" w:rsidR="005E0089" w:rsidRPr="00576D5C" w:rsidRDefault="005E0089" w:rsidP="00576D5C">
      <w:pPr>
        <w:rPr>
          <w:rFonts w:asciiTheme="minorBidi" w:hAnsiTheme="minorBidi"/>
          <w:rtl/>
        </w:rPr>
      </w:pPr>
      <w:r w:rsidRPr="00576D5C">
        <w:rPr>
          <w:rFonts w:asciiTheme="minorBidi" w:hAnsiTheme="minorBidi"/>
          <w:b/>
          <w:bCs/>
          <w:rtl/>
        </w:rPr>
        <w:t>כתובות</w:t>
      </w:r>
      <w:r w:rsidRPr="00576D5C">
        <w:rPr>
          <w:rFonts w:asciiTheme="minorBidi" w:hAnsiTheme="minorBidi"/>
          <w:b/>
          <w:bCs/>
          <w:sz w:val="16"/>
          <w:szCs w:val="16"/>
          <w:rtl/>
        </w:rPr>
        <w:t xml:space="preserve"> (פ' בתרא)</w:t>
      </w:r>
      <w:r w:rsidRPr="00576D5C">
        <w:rPr>
          <w:rFonts w:asciiTheme="minorBidi" w:hAnsiTheme="minorBidi"/>
          <w:b/>
          <w:bCs/>
          <w:rtl/>
        </w:rPr>
        <w:t xml:space="preserve"> קה</w:t>
      </w:r>
      <w:r w:rsidR="001971A1">
        <w:rPr>
          <w:rStyle w:val="ab"/>
          <w:rFonts w:asciiTheme="minorBidi" w:hAnsiTheme="minorBidi"/>
          <w:b/>
          <w:bCs/>
          <w:rtl/>
        </w:rPr>
        <w:footnoteReference w:id="474"/>
      </w:r>
      <w:r w:rsidRPr="00576D5C">
        <w:rPr>
          <w:rFonts w:asciiTheme="minorBidi" w:hAnsiTheme="minorBidi"/>
          <w:b/>
          <w:bCs/>
          <w:rtl/>
        </w:rPr>
        <w:t xml:space="preserve"> ע"ב:</w:t>
      </w:r>
      <w:r w:rsidRPr="00576D5C">
        <w:rPr>
          <w:rFonts w:asciiTheme="minorBidi" w:hAnsiTheme="minorBidi"/>
          <w:rtl/>
        </w:rPr>
        <w:t xml:space="preserve"> </w:t>
      </w:r>
      <w:r w:rsidRPr="00576D5C">
        <w:rPr>
          <w:rFonts w:asciiTheme="minorBidi" w:hAnsiTheme="minorBidi"/>
          <w:u w:val="single"/>
          <w:rtl/>
        </w:rPr>
        <w:t>כי אתא רב דימי אמר:</w:t>
      </w:r>
      <w:r w:rsidRPr="00576D5C">
        <w:rPr>
          <w:rFonts w:asciiTheme="minorBidi" w:hAnsiTheme="minorBidi"/>
          <w:rtl/>
        </w:rPr>
        <w:t xml:space="preserve"> דרש רב נחמן בר כהן, מאי דכתיב: מלך במשפט יעמיד ארץ ואיש תרומות יהרסנה? אם דומה דיין למלך שאינו צריך לכלום - יעמיד ארץ, ואם דומה לכהן שמחזר על הגרנות - יהרסנה.</w:t>
      </w:r>
    </w:p>
    <w:p w14:paraId="74D0D4E3" w14:textId="77777777" w:rsidR="008469B4" w:rsidRPr="00576D5C" w:rsidRDefault="008469B4" w:rsidP="00576D5C">
      <w:pPr>
        <w:rPr>
          <w:rFonts w:asciiTheme="minorBidi" w:hAnsiTheme="minorBidi"/>
          <w:rtl/>
        </w:rPr>
      </w:pPr>
      <w:r w:rsidRPr="00576D5C">
        <w:rPr>
          <w:rFonts w:asciiTheme="minorBidi" w:hAnsiTheme="minorBidi"/>
          <w:u w:val="single"/>
          <w:rtl/>
        </w:rPr>
        <w:t>מגבית קבועה להחזקת בית הדין והדיינים:</w:t>
      </w:r>
    </w:p>
    <w:p w14:paraId="0A83FC15" w14:textId="77777777" w:rsidR="00C64D48" w:rsidRPr="00576D5C" w:rsidRDefault="008469B4" w:rsidP="00576D5C">
      <w:pPr>
        <w:pStyle w:val="ac"/>
        <w:numPr>
          <w:ilvl w:val="0"/>
          <w:numId w:val="3"/>
        </w:numPr>
        <w:rPr>
          <w:rFonts w:asciiTheme="minorBidi" w:hAnsiTheme="minorBidi"/>
          <w:rtl/>
        </w:rPr>
      </w:pPr>
      <w:r w:rsidRPr="00576D5C">
        <w:rPr>
          <w:rFonts w:asciiTheme="minorBidi" w:hAnsiTheme="minorBidi"/>
          <w:rtl/>
        </w:rPr>
        <w:t>טור בשם ה"</w:t>
      </w:r>
      <w:r w:rsidR="00C64D48" w:rsidRPr="00576D5C">
        <w:rPr>
          <w:rFonts w:asciiTheme="minorBidi" w:hAnsiTheme="minorBidi"/>
          <w:rtl/>
        </w:rPr>
        <w:t xml:space="preserve">ר </w:t>
      </w:r>
      <w:r w:rsidRPr="00576D5C">
        <w:rPr>
          <w:rFonts w:asciiTheme="minorBidi" w:hAnsiTheme="minorBidi"/>
          <w:rtl/>
        </w:rPr>
        <w:t>יהודה אל</w:t>
      </w:r>
      <w:r w:rsidR="00C64D48" w:rsidRPr="00576D5C">
        <w:rPr>
          <w:rFonts w:asciiTheme="minorBidi" w:hAnsiTheme="minorBidi"/>
          <w:rtl/>
        </w:rPr>
        <w:t>ברצלוני</w:t>
      </w:r>
      <w:r w:rsidRPr="00576D5C">
        <w:rPr>
          <w:rFonts w:asciiTheme="minorBidi" w:hAnsiTheme="minorBidi"/>
          <w:rtl/>
        </w:rPr>
        <w:t>-</w:t>
      </w:r>
      <w:r w:rsidR="00C64D48" w:rsidRPr="00576D5C">
        <w:rPr>
          <w:rFonts w:asciiTheme="minorBidi" w:hAnsiTheme="minorBidi"/>
          <w:rtl/>
        </w:rPr>
        <w:t xml:space="preserve"> נהגו ברוב מקומות לעשות לב"ד קופה שפוסקין מזון ב"ד ופרנסתם לכמה עולה בשנה</w:t>
      </w:r>
      <w:r w:rsidR="001D33DA">
        <w:rPr>
          <w:rFonts w:asciiTheme="minorBidi" w:hAnsiTheme="minorBidi" w:hint="cs"/>
          <w:rtl/>
        </w:rPr>
        <w:t>,</w:t>
      </w:r>
      <w:r w:rsidR="00C64D48" w:rsidRPr="00576D5C">
        <w:rPr>
          <w:rFonts w:asciiTheme="minorBidi" w:hAnsiTheme="minorBidi"/>
          <w:rtl/>
        </w:rPr>
        <w:t xml:space="preserve"> ומגבין אותו בתחילת השנה או בסופה</w:t>
      </w:r>
      <w:r w:rsidR="001D33DA">
        <w:rPr>
          <w:rFonts w:asciiTheme="minorBidi" w:hAnsiTheme="minorBidi" w:hint="cs"/>
          <w:rtl/>
        </w:rPr>
        <w:t>.</w:t>
      </w:r>
      <w:r w:rsidR="00C64D48" w:rsidRPr="00576D5C">
        <w:rPr>
          <w:rFonts w:asciiTheme="minorBidi" w:hAnsiTheme="minorBidi"/>
          <w:rtl/>
        </w:rPr>
        <w:t xml:space="preserve"> ואין בזו משום תורת שוחד ותורת אגרא</w:t>
      </w:r>
      <w:r w:rsidR="001D33DA">
        <w:rPr>
          <w:rFonts w:asciiTheme="minorBidi" w:hAnsiTheme="minorBidi" w:hint="cs"/>
          <w:rtl/>
        </w:rPr>
        <w:t>,</w:t>
      </w:r>
      <w:r w:rsidR="00C64D48" w:rsidRPr="00576D5C">
        <w:rPr>
          <w:rFonts w:asciiTheme="minorBidi" w:hAnsiTheme="minorBidi"/>
          <w:rtl/>
        </w:rPr>
        <w:t xml:space="preserve"> כי חובה הוא על כל ישראל לפרנס דייניהם וחכמיהם</w:t>
      </w:r>
      <w:r w:rsidR="001D33DA">
        <w:rPr>
          <w:rFonts w:asciiTheme="minorBidi" w:hAnsiTheme="minorBidi" w:hint="cs"/>
          <w:rtl/>
        </w:rPr>
        <w:t>.</w:t>
      </w:r>
      <w:r w:rsidR="00C64D48" w:rsidRPr="00576D5C">
        <w:rPr>
          <w:rFonts w:asciiTheme="minorBidi" w:hAnsiTheme="minorBidi"/>
          <w:rtl/>
        </w:rPr>
        <w:t xml:space="preserve"> וגם אם יש נדבות או הקדשות סתם </w:t>
      </w:r>
      <w:r w:rsidR="001D33DA">
        <w:rPr>
          <w:rFonts w:asciiTheme="minorBidi" w:hAnsiTheme="minorBidi" w:hint="cs"/>
          <w:rtl/>
        </w:rPr>
        <w:t xml:space="preserve">- </w:t>
      </w:r>
      <w:r w:rsidR="00C64D48" w:rsidRPr="00576D5C">
        <w:rPr>
          <w:rFonts w:asciiTheme="minorBidi" w:hAnsiTheme="minorBidi"/>
          <w:rtl/>
        </w:rPr>
        <w:t>לוקחין מהן</w:t>
      </w:r>
      <w:r w:rsidR="001D33DA">
        <w:rPr>
          <w:rFonts w:asciiTheme="minorBidi" w:hAnsiTheme="minorBidi" w:hint="cs"/>
          <w:rtl/>
        </w:rPr>
        <w:t>.</w:t>
      </w:r>
      <w:r w:rsidR="00C64D48" w:rsidRPr="00576D5C">
        <w:rPr>
          <w:rFonts w:asciiTheme="minorBidi" w:hAnsiTheme="minorBidi"/>
          <w:rtl/>
        </w:rPr>
        <w:t xml:space="preserve"> </w:t>
      </w:r>
      <w:r w:rsidRPr="00576D5C">
        <w:rPr>
          <w:rStyle w:val="ab"/>
          <w:rFonts w:asciiTheme="minorBidi" w:hAnsiTheme="minorBidi"/>
          <w:rtl/>
        </w:rPr>
        <w:footnoteReference w:id="475"/>
      </w:r>
      <w:r w:rsidR="00C64D48" w:rsidRPr="00576D5C">
        <w:rPr>
          <w:rFonts w:asciiTheme="minorBidi" w:hAnsiTheme="minorBidi"/>
          <w:rtl/>
        </w:rPr>
        <w:t>ומיהו במקום שמגבין אותו בתחילה אין צריכין הדיינין לטרוח לכך ולא לבקש משום אדם כלום</w:t>
      </w:r>
      <w:r w:rsidRPr="00576D5C">
        <w:rPr>
          <w:rFonts w:asciiTheme="minorBidi" w:hAnsiTheme="minorBidi"/>
          <w:rtl/>
        </w:rPr>
        <w:t>,</w:t>
      </w:r>
      <w:r w:rsidR="00C64D48" w:rsidRPr="00576D5C">
        <w:rPr>
          <w:rFonts w:asciiTheme="minorBidi" w:hAnsiTheme="minorBidi"/>
          <w:rtl/>
        </w:rPr>
        <w:t xml:space="preserve"> כדי שלא יהא צריך לשום אדם ולא להחניפו ולא להחזיק לו טובה</w:t>
      </w:r>
      <w:r w:rsidRPr="00576D5C">
        <w:rPr>
          <w:rFonts w:asciiTheme="minorBidi" w:hAnsiTheme="minorBidi"/>
          <w:rtl/>
        </w:rPr>
        <w:t>,</w:t>
      </w:r>
      <w:r w:rsidR="00C64D48" w:rsidRPr="00576D5C">
        <w:rPr>
          <w:rFonts w:asciiTheme="minorBidi" w:hAnsiTheme="minorBidi"/>
          <w:rtl/>
        </w:rPr>
        <w:t xml:space="preserve"> אלא דבר קצוב הוא על הצבור</w:t>
      </w:r>
      <w:r w:rsidRPr="00576D5C">
        <w:rPr>
          <w:rFonts w:asciiTheme="minorBidi" w:hAnsiTheme="minorBidi"/>
          <w:rtl/>
        </w:rPr>
        <w:t>,</w:t>
      </w:r>
      <w:r w:rsidR="00C64D48" w:rsidRPr="00576D5C">
        <w:rPr>
          <w:rFonts w:asciiTheme="minorBidi" w:hAnsiTheme="minorBidi"/>
          <w:rtl/>
        </w:rPr>
        <w:t xml:space="preserve"> ומגבין אותה בעונתו כמו ארנונות כדי שיהא מקובץ ומוכן לו ולא יהא צריך הדיין להחזיק טובה מגבויו לשום אדם</w:t>
      </w:r>
      <w:r w:rsidRPr="00576D5C">
        <w:rPr>
          <w:rFonts w:asciiTheme="minorBidi" w:hAnsiTheme="minorBidi"/>
          <w:rtl/>
        </w:rPr>
        <w:t>.</w:t>
      </w:r>
      <w:r w:rsidRPr="00576D5C">
        <w:rPr>
          <w:rFonts w:asciiTheme="minorBidi" w:hAnsiTheme="minorBidi"/>
          <w:color w:val="E36C0A" w:themeColor="accent6" w:themeShade="BF"/>
          <w:rtl/>
        </w:rPr>
        <w:t xml:space="preserve"> (וכ"פ בשו"ע)</w:t>
      </w:r>
    </w:p>
    <w:p w14:paraId="046A6F99" w14:textId="77777777" w:rsidR="00E137BC" w:rsidRPr="00576D5C" w:rsidRDefault="00E137BC" w:rsidP="00576D5C">
      <w:pPr>
        <w:rPr>
          <w:rFonts w:asciiTheme="minorBidi" w:hAnsiTheme="minorBidi"/>
          <w:b/>
          <w:bCs/>
          <w:color w:val="000000"/>
          <w:sz w:val="28"/>
          <w:szCs w:val="28"/>
          <w:u w:val="single"/>
          <w:rtl/>
        </w:rPr>
      </w:pPr>
      <w:r w:rsidRPr="00576D5C">
        <w:rPr>
          <w:rFonts w:asciiTheme="minorBidi" w:hAnsiTheme="minorBidi"/>
          <w:b/>
          <w:bCs/>
          <w:color w:val="000000"/>
          <w:sz w:val="28"/>
          <w:szCs w:val="28"/>
          <w:u w:val="single"/>
          <w:rtl/>
        </w:rPr>
        <w:t>שו"ע:</w:t>
      </w:r>
    </w:p>
    <w:p w14:paraId="0247FC61" w14:textId="77777777" w:rsidR="00E137BC" w:rsidRPr="00576D5C" w:rsidRDefault="00E137BC" w:rsidP="00576D5C">
      <w:pPr>
        <w:rPr>
          <w:rFonts w:asciiTheme="minorBidi" w:hAnsiTheme="minorBidi"/>
          <w:rtl/>
        </w:rPr>
      </w:pPr>
      <w:r w:rsidRPr="00576D5C">
        <w:rPr>
          <w:rFonts w:asciiTheme="minorBidi" w:hAnsiTheme="minorBidi"/>
          <w:rtl/>
        </w:rPr>
        <w:t>נהגו לעשות לבית דין קופה, שפוסקין ממון לפרנסת ב</w:t>
      </w:r>
      <w:r w:rsidR="008469B4" w:rsidRPr="00576D5C">
        <w:rPr>
          <w:rFonts w:asciiTheme="minorBidi" w:hAnsiTheme="minorBidi"/>
          <w:rtl/>
        </w:rPr>
        <w:t xml:space="preserve">ית </w:t>
      </w:r>
      <w:r w:rsidRPr="00576D5C">
        <w:rPr>
          <w:rFonts w:asciiTheme="minorBidi" w:hAnsiTheme="minorBidi"/>
          <w:rtl/>
        </w:rPr>
        <w:t>ד</w:t>
      </w:r>
      <w:r w:rsidR="008469B4" w:rsidRPr="00576D5C">
        <w:rPr>
          <w:rFonts w:asciiTheme="minorBidi" w:hAnsiTheme="minorBidi"/>
          <w:rtl/>
        </w:rPr>
        <w:t>ין</w:t>
      </w:r>
      <w:r w:rsidRPr="00576D5C">
        <w:rPr>
          <w:rFonts w:asciiTheme="minorBidi" w:hAnsiTheme="minorBidi"/>
          <w:rtl/>
        </w:rPr>
        <w:t>, ומגבין אותה בתחלת השנה או בסופה, ואין בו משום תורת שוחד ותורת אגרא כי חובה על ישראל לפרנס דייניהם וחכמיהם</w:t>
      </w:r>
      <w:r w:rsidR="005E0089" w:rsidRPr="00576D5C">
        <w:rPr>
          <w:rStyle w:val="ab"/>
          <w:rFonts w:asciiTheme="minorBidi" w:hAnsiTheme="minorBidi"/>
          <w:rtl/>
        </w:rPr>
        <w:footnoteReference w:id="476"/>
      </w:r>
      <w:r w:rsidR="001D33DA">
        <w:rPr>
          <w:rFonts w:asciiTheme="minorBidi" w:hAnsiTheme="minorBidi" w:hint="cs"/>
          <w:rtl/>
        </w:rPr>
        <w:t>.</w:t>
      </w:r>
      <w:r w:rsidRPr="00576D5C">
        <w:rPr>
          <w:rFonts w:asciiTheme="minorBidi" w:hAnsiTheme="minorBidi"/>
          <w:rtl/>
        </w:rPr>
        <w:t xml:space="preserve"> וגם אם יש נדבות או הקדשות סתם</w:t>
      </w:r>
      <w:r w:rsidR="005E0089" w:rsidRPr="00576D5C">
        <w:rPr>
          <w:rStyle w:val="ab"/>
          <w:rFonts w:asciiTheme="minorBidi" w:hAnsiTheme="minorBidi"/>
          <w:rtl/>
        </w:rPr>
        <w:footnoteReference w:id="477"/>
      </w:r>
      <w:r w:rsidRPr="00576D5C">
        <w:rPr>
          <w:rFonts w:asciiTheme="minorBidi" w:hAnsiTheme="minorBidi"/>
          <w:rtl/>
        </w:rPr>
        <w:t xml:space="preserve"> לוקחים מהם. </w:t>
      </w:r>
      <w:r w:rsidRPr="00576D5C">
        <w:rPr>
          <w:rFonts w:asciiTheme="minorBidi" w:hAnsiTheme="minorBidi"/>
          <w:sz w:val="18"/>
          <w:szCs w:val="18"/>
          <w:rtl/>
        </w:rPr>
        <w:t>הגה: ויותר טוב לגבות מתחלת השנה, שיהא מוכן להם כדי שלא יצטרכו להחניף או להחזיק טובה לשום אדם (</w:t>
      </w:r>
      <w:r w:rsidR="005E0089" w:rsidRPr="00576D5C">
        <w:rPr>
          <w:rFonts w:asciiTheme="minorBidi" w:hAnsiTheme="minorBidi"/>
          <w:sz w:val="18"/>
          <w:szCs w:val="18"/>
          <w:rtl/>
        </w:rPr>
        <w:t>טור</w:t>
      </w:r>
      <w:r w:rsidRPr="00576D5C">
        <w:rPr>
          <w:rFonts w:asciiTheme="minorBidi" w:hAnsiTheme="minorBidi"/>
          <w:sz w:val="18"/>
          <w:szCs w:val="18"/>
          <w:rtl/>
        </w:rPr>
        <w:t>).</w:t>
      </w:r>
      <w:r w:rsidRPr="00576D5C">
        <w:rPr>
          <w:rFonts w:asciiTheme="minorBidi" w:hAnsiTheme="minorBidi"/>
          <w:rtl/>
        </w:rPr>
        <w:t xml:space="preserve"> </w:t>
      </w:r>
    </w:p>
    <w:p w14:paraId="1EA9C6C5" w14:textId="77777777" w:rsidR="008469B4" w:rsidRPr="00576D5C" w:rsidRDefault="008469B4" w:rsidP="00576D5C">
      <w:pPr>
        <w:rPr>
          <w:rFonts w:asciiTheme="minorBidi" w:hAnsiTheme="minorBidi"/>
          <w:rtl/>
        </w:rPr>
      </w:pPr>
    </w:p>
    <w:p w14:paraId="723B2984" w14:textId="77777777" w:rsidR="00E137BC" w:rsidRPr="00576D5C" w:rsidRDefault="00E137BC" w:rsidP="00E842BA">
      <w:pPr>
        <w:pStyle w:val="2"/>
        <w:rPr>
          <w:rtl/>
        </w:rPr>
      </w:pPr>
      <w:bookmarkStart w:id="61" w:name="_Toc24883557"/>
      <w:r w:rsidRPr="00576D5C">
        <w:rPr>
          <w:rtl/>
        </w:rPr>
        <w:t>סעיף ד</w:t>
      </w:r>
      <w:r w:rsidR="005E0089" w:rsidRPr="00576D5C">
        <w:rPr>
          <w:rtl/>
        </w:rPr>
        <w:t>:</w:t>
      </w:r>
      <w:r w:rsidR="00052867" w:rsidRPr="00576D5C">
        <w:rPr>
          <w:rtl/>
        </w:rPr>
        <w:t xml:space="preserve"> דיין שמגדיל שכר לסופרים ולשמשים.</w:t>
      </w:r>
      <w:bookmarkEnd w:id="61"/>
    </w:p>
    <w:p w14:paraId="62B49567" w14:textId="77777777" w:rsidR="005E0089" w:rsidRPr="00576D5C" w:rsidRDefault="005E0089" w:rsidP="00576D5C">
      <w:pPr>
        <w:rPr>
          <w:rFonts w:asciiTheme="minorBidi" w:hAnsiTheme="minorBidi"/>
          <w:sz w:val="14"/>
          <w:szCs w:val="14"/>
          <w:rtl/>
        </w:rPr>
      </w:pPr>
      <w:bookmarkStart w:id="62" w:name="_Hlk18440386"/>
      <w:r w:rsidRPr="00576D5C">
        <w:rPr>
          <w:rFonts w:asciiTheme="minorBidi" w:hAnsiTheme="minorBidi"/>
          <w:b/>
          <w:bCs/>
          <w:rtl/>
        </w:rPr>
        <w:t xml:space="preserve">שבת </w:t>
      </w:r>
      <w:r w:rsidRPr="00576D5C">
        <w:rPr>
          <w:rFonts w:asciiTheme="minorBidi" w:hAnsiTheme="minorBidi"/>
          <w:b/>
          <w:bCs/>
          <w:sz w:val="16"/>
          <w:szCs w:val="16"/>
          <w:rtl/>
        </w:rPr>
        <w:t>(פ' במה בהמה יוצאה)</w:t>
      </w:r>
      <w:r w:rsidRPr="00576D5C">
        <w:rPr>
          <w:rFonts w:asciiTheme="minorBidi" w:hAnsiTheme="minorBidi"/>
          <w:b/>
          <w:bCs/>
          <w:rtl/>
        </w:rPr>
        <w:t xml:space="preserve"> נה</w:t>
      </w:r>
      <w:r w:rsidR="006102D9">
        <w:rPr>
          <w:rStyle w:val="ab"/>
          <w:rFonts w:asciiTheme="minorBidi" w:hAnsiTheme="minorBidi"/>
          <w:b/>
          <w:bCs/>
          <w:rtl/>
        </w:rPr>
        <w:footnoteReference w:id="478"/>
      </w:r>
      <w:r w:rsidRPr="00576D5C">
        <w:rPr>
          <w:rFonts w:asciiTheme="minorBidi" w:hAnsiTheme="minorBidi"/>
          <w:b/>
          <w:bCs/>
          <w:rtl/>
        </w:rPr>
        <w:t xml:space="preserve"> ע"ב: </w:t>
      </w:r>
      <w:r w:rsidRPr="00576D5C">
        <w:rPr>
          <w:rFonts w:asciiTheme="minorBidi" w:hAnsiTheme="minorBidi"/>
          <w:u w:val="single"/>
          <w:rtl/>
        </w:rPr>
        <w:t>אמר רבי שמואל בר נחמני אמר רבי יונתן</w:t>
      </w:r>
      <w:r w:rsidRPr="00576D5C">
        <w:rPr>
          <w:rFonts w:asciiTheme="minorBidi" w:hAnsiTheme="minorBidi"/>
          <w:rtl/>
        </w:rPr>
        <w:t xml:space="preserve">: כל האומר </w:t>
      </w:r>
      <w:r w:rsidRPr="00576D5C">
        <w:rPr>
          <w:rFonts w:asciiTheme="minorBidi" w:hAnsiTheme="minorBidi"/>
          <w:sz w:val="14"/>
          <w:szCs w:val="14"/>
          <w:rtl/>
        </w:rPr>
        <w:t xml:space="preserve">(נו.) </w:t>
      </w:r>
      <w:r w:rsidRPr="00576D5C">
        <w:rPr>
          <w:rFonts w:asciiTheme="minorBidi" w:hAnsiTheme="minorBidi"/>
          <w:rtl/>
        </w:rPr>
        <w:t>בני שמואל חטאו - אינו אלא טועה, שנאמר ויהי כאשר זקן שמואל ולא הלכו בניו בדרכיו, בדרכיו הוא דלא הלכו - מיחטא נמי לא חטאו. אלא מה אני מקיים ויטו אחרי הבצע - שלא עשו כמעשה אביהם, שהיה שמואל הצדיק מחזר בכל מקומות ישראל ודן אותם בעריהם, שנאמר והלך מדי שנה בשנה וסבב בית אל והגלגל והמצפה ושפט את ישראל. והם לא עשו כן, אלא ישבו בעריהם כדי להרבות שכר לחזניהן</w:t>
      </w:r>
      <w:r w:rsidRPr="00576D5C">
        <w:rPr>
          <w:rStyle w:val="ab"/>
          <w:rFonts w:asciiTheme="minorBidi" w:hAnsiTheme="minorBidi"/>
          <w:rtl/>
        </w:rPr>
        <w:footnoteReference w:id="479"/>
      </w:r>
      <w:r w:rsidRPr="00576D5C">
        <w:rPr>
          <w:rFonts w:asciiTheme="minorBidi" w:hAnsiTheme="minorBidi"/>
          <w:rtl/>
        </w:rPr>
        <w:t xml:space="preserve"> ולסופריהן</w:t>
      </w:r>
      <w:r w:rsidRPr="00576D5C">
        <w:rPr>
          <w:rStyle w:val="ab"/>
          <w:rFonts w:asciiTheme="minorBidi" w:hAnsiTheme="minorBidi"/>
          <w:rtl/>
        </w:rPr>
        <w:footnoteReference w:id="480"/>
      </w:r>
      <w:r w:rsidRPr="00576D5C">
        <w:rPr>
          <w:rFonts w:asciiTheme="minorBidi" w:hAnsiTheme="minorBidi"/>
          <w:rtl/>
        </w:rPr>
        <w:t>.</w:t>
      </w:r>
    </w:p>
    <w:bookmarkEnd w:id="62"/>
    <w:p w14:paraId="44D47259" w14:textId="77777777" w:rsidR="00052867" w:rsidRPr="00576D5C" w:rsidRDefault="00052867" w:rsidP="00576D5C">
      <w:pPr>
        <w:rPr>
          <w:rFonts w:asciiTheme="minorBidi" w:hAnsiTheme="minorBidi"/>
          <w:u w:val="single"/>
          <w:rtl/>
        </w:rPr>
      </w:pPr>
      <w:r w:rsidRPr="00576D5C">
        <w:rPr>
          <w:rFonts w:asciiTheme="minorBidi" w:hAnsiTheme="minorBidi"/>
          <w:u w:val="single"/>
          <w:rtl/>
        </w:rPr>
        <w:t>דיין שמגדיל שכר לסופרים ולשמשים:</w:t>
      </w:r>
    </w:p>
    <w:p w14:paraId="2533A9AF" w14:textId="77777777" w:rsidR="00C64D48" w:rsidRPr="00576D5C" w:rsidRDefault="00C64D48" w:rsidP="00576D5C">
      <w:pPr>
        <w:pStyle w:val="ac"/>
        <w:numPr>
          <w:ilvl w:val="0"/>
          <w:numId w:val="3"/>
        </w:numPr>
        <w:rPr>
          <w:rFonts w:asciiTheme="minorBidi" w:hAnsiTheme="minorBidi"/>
          <w:rtl/>
        </w:rPr>
      </w:pPr>
      <w:r w:rsidRPr="00576D5C">
        <w:rPr>
          <w:rFonts w:asciiTheme="minorBidi" w:hAnsiTheme="minorBidi"/>
          <w:rtl/>
        </w:rPr>
        <w:t xml:space="preserve">רמב"ם </w:t>
      </w:r>
      <w:r w:rsidR="00052867" w:rsidRPr="00576D5C">
        <w:rPr>
          <w:rFonts w:asciiTheme="minorBidi" w:hAnsiTheme="minorBidi"/>
          <w:sz w:val="16"/>
          <w:szCs w:val="16"/>
          <w:rtl/>
        </w:rPr>
        <w:t xml:space="preserve">(פכ"ג מהל' סנהדרין ה"ג) </w:t>
      </w:r>
      <w:r w:rsidR="00052867" w:rsidRPr="00576D5C">
        <w:rPr>
          <w:rFonts w:asciiTheme="minorBidi" w:hAnsiTheme="minorBidi"/>
          <w:rtl/>
        </w:rPr>
        <w:t>ו</w:t>
      </w:r>
      <w:r w:rsidR="005E0089" w:rsidRPr="00576D5C">
        <w:rPr>
          <w:rFonts w:asciiTheme="minorBidi" w:hAnsiTheme="minorBidi"/>
          <w:rtl/>
        </w:rPr>
        <w:t xml:space="preserve">טור- </w:t>
      </w:r>
      <w:r w:rsidRPr="00576D5C">
        <w:rPr>
          <w:rFonts w:asciiTheme="minorBidi" w:hAnsiTheme="minorBidi"/>
          <w:rtl/>
        </w:rPr>
        <w:t>כל דיין שיושב ומגדל שכר לחזנים ולסופרים הרי זה בכלל הנוטים אחר הבצע</w:t>
      </w:r>
      <w:r w:rsidR="00052867" w:rsidRPr="00576D5C">
        <w:rPr>
          <w:rFonts w:asciiTheme="minorBidi" w:hAnsiTheme="minorBidi"/>
          <w:rtl/>
        </w:rPr>
        <w:t>,</w:t>
      </w:r>
      <w:r w:rsidRPr="00576D5C">
        <w:rPr>
          <w:rFonts w:asciiTheme="minorBidi" w:hAnsiTheme="minorBidi"/>
          <w:rtl/>
        </w:rPr>
        <w:t xml:space="preserve"> וכך עשו בני שמואל ונאמר בהם ויטו אחרי הבצע ויקחו שוחד</w:t>
      </w:r>
      <w:r w:rsidR="005E0089" w:rsidRPr="00576D5C">
        <w:rPr>
          <w:rFonts w:asciiTheme="minorBidi" w:hAnsiTheme="minorBidi"/>
          <w:rtl/>
        </w:rPr>
        <w:t>.</w:t>
      </w:r>
      <w:r w:rsidR="006102D9" w:rsidRPr="00576D5C">
        <w:rPr>
          <w:rFonts w:asciiTheme="minorBidi" w:hAnsiTheme="minorBidi"/>
          <w:color w:val="E36C0A" w:themeColor="accent6" w:themeShade="BF"/>
          <w:rtl/>
        </w:rPr>
        <w:t xml:space="preserve"> (וכ"פ בשו"ע)</w:t>
      </w:r>
    </w:p>
    <w:p w14:paraId="4A0160E3" w14:textId="77777777" w:rsidR="00E137BC" w:rsidRPr="00576D5C" w:rsidRDefault="00E137BC" w:rsidP="00576D5C">
      <w:pPr>
        <w:rPr>
          <w:rFonts w:asciiTheme="minorBidi" w:hAnsiTheme="minorBidi"/>
          <w:b/>
          <w:bCs/>
          <w:color w:val="000000"/>
          <w:sz w:val="28"/>
          <w:szCs w:val="28"/>
          <w:u w:val="single"/>
          <w:rtl/>
        </w:rPr>
      </w:pPr>
      <w:r w:rsidRPr="00576D5C">
        <w:rPr>
          <w:rFonts w:asciiTheme="minorBidi" w:hAnsiTheme="minorBidi"/>
          <w:b/>
          <w:bCs/>
          <w:color w:val="000000"/>
          <w:sz w:val="28"/>
          <w:szCs w:val="28"/>
          <w:u w:val="single"/>
          <w:rtl/>
        </w:rPr>
        <w:t>שו"ע:</w:t>
      </w:r>
    </w:p>
    <w:p w14:paraId="31EEB4CA" w14:textId="77777777" w:rsidR="00E137BC" w:rsidRPr="00576D5C" w:rsidRDefault="00E137BC" w:rsidP="00576D5C">
      <w:pPr>
        <w:rPr>
          <w:rFonts w:asciiTheme="minorBidi" w:hAnsiTheme="minorBidi"/>
          <w:rtl/>
        </w:rPr>
      </w:pPr>
      <w:r w:rsidRPr="00576D5C">
        <w:rPr>
          <w:rFonts w:asciiTheme="minorBidi" w:hAnsiTheme="minorBidi"/>
          <w:rtl/>
        </w:rPr>
        <w:t>כל דיין שיושב ומגדיל</w:t>
      </w:r>
      <w:r w:rsidR="006102D9">
        <w:rPr>
          <w:rStyle w:val="ab"/>
          <w:rFonts w:asciiTheme="minorBidi" w:hAnsiTheme="minorBidi"/>
          <w:rtl/>
        </w:rPr>
        <w:footnoteReference w:id="481"/>
      </w:r>
      <w:r w:rsidRPr="00576D5C">
        <w:rPr>
          <w:rFonts w:asciiTheme="minorBidi" w:hAnsiTheme="minorBidi"/>
          <w:rtl/>
        </w:rPr>
        <w:t xml:space="preserve"> שכר לסופרים ולשמשים, הרי זה בכלל הנוטים אחרי הבצע. </w:t>
      </w:r>
    </w:p>
    <w:p w14:paraId="2D9A786F" w14:textId="77777777" w:rsidR="005E0089" w:rsidRPr="00576D5C" w:rsidRDefault="005E0089" w:rsidP="00576D5C">
      <w:pPr>
        <w:rPr>
          <w:rFonts w:asciiTheme="minorBidi" w:hAnsiTheme="minorBidi"/>
          <w:rtl/>
        </w:rPr>
      </w:pPr>
    </w:p>
    <w:p w14:paraId="1A0B0601" w14:textId="77777777" w:rsidR="00E137BC" w:rsidRPr="00576D5C" w:rsidRDefault="00E137BC" w:rsidP="00E842BA">
      <w:pPr>
        <w:pStyle w:val="2"/>
        <w:rPr>
          <w:rtl/>
        </w:rPr>
      </w:pPr>
      <w:bookmarkStart w:id="63" w:name="_Toc24883558"/>
      <w:r w:rsidRPr="00576D5C">
        <w:rPr>
          <w:rtl/>
        </w:rPr>
        <w:t>סעיף ה</w:t>
      </w:r>
      <w:r w:rsidR="00C64D48" w:rsidRPr="00576D5C">
        <w:rPr>
          <w:rtl/>
        </w:rPr>
        <w:t>:</w:t>
      </w:r>
      <w:r w:rsidR="00052867" w:rsidRPr="00576D5C">
        <w:rPr>
          <w:rtl/>
        </w:rPr>
        <w:t xml:space="preserve"> הנוטל שכר</w:t>
      </w:r>
      <w:r w:rsidR="00052867" w:rsidRPr="00576D5C">
        <w:rPr>
          <w:sz w:val="20"/>
          <w:szCs w:val="20"/>
          <w:rtl/>
        </w:rPr>
        <w:t xml:space="preserve"> </w:t>
      </w:r>
      <w:r w:rsidR="00052867" w:rsidRPr="00576D5C">
        <w:rPr>
          <w:sz w:val="18"/>
          <w:szCs w:val="18"/>
          <w:rtl/>
        </w:rPr>
        <w:t>(מבעלי הדין)</w:t>
      </w:r>
      <w:r w:rsidR="00052867" w:rsidRPr="00576D5C">
        <w:rPr>
          <w:rtl/>
        </w:rPr>
        <w:t xml:space="preserve"> לדון.</w:t>
      </w:r>
      <w:bookmarkEnd w:id="63"/>
    </w:p>
    <w:p w14:paraId="33F21960" w14:textId="77777777" w:rsidR="00052867" w:rsidRDefault="00052867" w:rsidP="00576D5C">
      <w:pPr>
        <w:rPr>
          <w:rFonts w:asciiTheme="minorBidi" w:hAnsiTheme="minorBidi"/>
          <w:rtl/>
        </w:rPr>
      </w:pPr>
      <w:bookmarkStart w:id="64" w:name="_Hlk18441268"/>
      <w:r w:rsidRPr="00576D5C">
        <w:rPr>
          <w:rFonts w:asciiTheme="minorBidi" w:hAnsiTheme="minorBidi"/>
          <w:b/>
          <w:bCs/>
          <w:rtl/>
        </w:rPr>
        <w:t xml:space="preserve">בכורות </w:t>
      </w:r>
      <w:r w:rsidRPr="00576D5C">
        <w:rPr>
          <w:rFonts w:asciiTheme="minorBidi" w:hAnsiTheme="minorBidi"/>
          <w:b/>
          <w:bCs/>
          <w:sz w:val="16"/>
          <w:szCs w:val="16"/>
          <w:rtl/>
        </w:rPr>
        <w:t xml:space="preserve">(פ' עד כמה) </w:t>
      </w:r>
      <w:r w:rsidRPr="00576D5C">
        <w:rPr>
          <w:rFonts w:asciiTheme="minorBidi" w:hAnsiTheme="minorBidi"/>
          <w:b/>
          <w:bCs/>
          <w:rtl/>
        </w:rPr>
        <w:t>כט</w:t>
      </w:r>
      <w:r w:rsidR="00B951E6">
        <w:rPr>
          <w:rStyle w:val="ab"/>
          <w:rFonts w:asciiTheme="minorBidi" w:hAnsiTheme="minorBidi"/>
          <w:b/>
          <w:bCs/>
          <w:rtl/>
        </w:rPr>
        <w:footnoteReference w:id="482"/>
      </w:r>
      <w:r w:rsidRPr="00576D5C">
        <w:rPr>
          <w:rFonts w:asciiTheme="minorBidi" w:hAnsiTheme="minorBidi"/>
          <w:b/>
          <w:bCs/>
          <w:rtl/>
        </w:rPr>
        <w:t xml:space="preserve"> ע"א: </w:t>
      </w:r>
      <w:r w:rsidRPr="00576D5C">
        <w:rPr>
          <w:rFonts w:asciiTheme="minorBidi" w:hAnsiTheme="minorBidi"/>
          <w:u w:val="double"/>
          <w:rtl/>
        </w:rPr>
        <w:t>מתני':</w:t>
      </w:r>
      <w:r w:rsidRPr="00576D5C">
        <w:rPr>
          <w:rFonts w:asciiTheme="minorBidi" w:hAnsiTheme="minorBidi"/>
          <w:rtl/>
        </w:rPr>
        <w:t xml:space="preserve"> הנוטל שכרו לדון - דיניו בטילים, להעיד - עדותיו בטילין, להזות ולקדש - מימיו מי מערה אפרו אפר מקלה. אם היה כהן מטמאהו מתרומתו</w:t>
      </w:r>
      <w:r w:rsidR="00B951E6">
        <w:rPr>
          <w:rStyle w:val="ab"/>
          <w:rFonts w:asciiTheme="minorBidi" w:hAnsiTheme="minorBidi"/>
          <w:rtl/>
        </w:rPr>
        <w:footnoteReference w:id="483"/>
      </w:r>
      <w:r w:rsidR="00B951E6">
        <w:rPr>
          <w:rFonts w:asciiTheme="minorBidi" w:hAnsiTheme="minorBidi" w:hint="cs"/>
          <w:rtl/>
        </w:rPr>
        <w:t xml:space="preserve"> -</w:t>
      </w:r>
      <w:r w:rsidRPr="00576D5C">
        <w:rPr>
          <w:rFonts w:asciiTheme="minorBidi" w:hAnsiTheme="minorBidi"/>
          <w:rtl/>
        </w:rPr>
        <w:t xml:space="preserve"> מאכילו ומשקו וסכו</w:t>
      </w:r>
      <w:r w:rsidR="00B951E6">
        <w:rPr>
          <w:rFonts w:asciiTheme="minorBidi" w:hAnsiTheme="minorBidi" w:hint="cs"/>
          <w:rtl/>
        </w:rPr>
        <w:t>.</w:t>
      </w:r>
      <w:r w:rsidRPr="00576D5C">
        <w:rPr>
          <w:rFonts w:asciiTheme="minorBidi" w:hAnsiTheme="minorBidi"/>
          <w:rtl/>
        </w:rPr>
        <w:t xml:space="preserve"> ואם היה זקן - מרכיבו על החמור</w:t>
      </w:r>
      <w:r w:rsidR="0021787E" w:rsidRPr="00576D5C">
        <w:rPr>
          <w:rFonts w:asciiTheme="minorBidi" w:hAnsiTheme="minorBidi"/>
          <w:rtl/>
        </w:rPr>
        <w:t>.</w:t>
      </w:r>
      <w:r w:rsidRPr="00576D5C">
        <w:rPr>
          <w:rFonts w:asciiTheme="minorBidi" w:hAnsiTheme="minorBidi"/>
          <w:rtl/>
        </w:rPr>
        <w:t xml:space="preserve"> ונותן לו שכרו כפועל.       </w:t>
      </w:r>
      <w:r w:rsidRPr="00576D5C">
        <w:rPr>
          <w:rFonts w:asciiTheme="minorBidi" w:hAnsiTheme="minorBidi"/>
          <w:u w:val="double"/>
          <w:rtl/>
        </w:rPr>
        <w:t>גמ':</w:t>
      </w:r>
      <w:r w:rsidRPr="00576D5C">
        <w:rPr>
          <w:rFonts w:asciiTheme="minorBidi" w:hAnsiTheme="minorBidi"/>
          <w:rtl/>
        </w:rPr>
        <w:t xml:space="preserve"> מנהני מילי? </w:t>
      </w:r>
      <w:r w:rsidRPr="00576D5C">
        <w:rPr>
          <w:rFonts w:asciiTheme="minorBidi" w:hAnsiTheme="minorBidi"/>
          <w:u w:val="single"/>
          <w:rtl/>
        </w:rPr>
        <w:t>אמר רב יהודה אמר רב</w:t>
      </w:r>
      <w:r w:rsidRPr="00576D5C">
        <w:rPr>
          <w:rFonts w:asciiTheme="minorBidi" w:hAnsiTheme="minorBidi"/>
          <w:rtl/>
        </w:rPr>
        <w:t>: דאמר קרא ראה למדתי אתכם וגו' - מה אני בחנם אף אתם בחנם. תניא נמי הכי: כאשר צוני ה' אלהי - מה אני בחנם, אף אתם בחנם, ומנין שאם לא מצא בחנם שילמד בשכר - תלמוד לומר: אמת קנה, ומנין שלא יאמר, כשם שלמדתיה בשכר - כך אלמדנה בשכר - תלמוד לומר: אמת קנה ואל תמכור.</w:t>
      </w:r>
      <w:r w:rsidR="000C748E">
        <w:rPr>
          <w:rFonts w:asciiTheme="minorBidi" w:hAnsiTheme="minorBidi" w:hint="cs"/>
          <w:rtl/>
        </w:rPr>
        <w:t>..</w:t>
      </w:r>
      <w:r w:rsidR="000C748E" w:rsidRPr="000C748E">
        <w:rPr>
          <w:rtl/>
        </w:rPr>
        <w:t xml:space="preserve"> </w:t>
      </w:r>
      <w:r w:rsidR="000C748E">
        <w:rPr>
          <w:rFonts w:asciiTheme="minorBidi" w:hAnsiTheme="minorBidi" w:cs="Arial" w:hint="cs"/>
          <w:sz w:val="14"/>
          <w:szCs w:val="14"/>
          <w:rtl/>
        </w:rPr>
        <w:t xml:space="preserve">(כט:) </w:t>
      </w:r>
      <w:r w:rsidR="000C748E" w:rsidRPr="000C748E">
        <w:rPr>
          <w:rFonts w:asciiTheme="minorBidi" w:hAnsiTheme="minorBidi" w:cs="Arial"/>
          <w:rtl/>
        </w:rPr>
        <w:t xml:space="preserve">תנא: כפועל בטל. </w:t>
      </w:r>
      <w:r w:rsidR="000C748E" w:rsidRPr="000C748E">
        <w:rPr>
          <w:rFonts w:asciiTheme="minorBidi" w:hAnsiTheme="minorBidi" w:cs="Arial"/>
          <w:u w:val="single"/>
          <w:rtl/>
        </w:rPr>
        <w:t>אמר אביי</w:t>
      </w:r>
      <w:r w:rsidR="000C748E" w:rsidRPr="000C748E">
        <w:rPr>
          <w:rFonts w:asciiTheme="minorBidi" w:hAnsiTheme="minorBidi" w:cs="Arial"/>
          <w:rtl/>
        </w:rPr>
        <w:t>: כפועל בטל של אותה מלאכה</w:t>
      </w:r>
      <w:r w:rsidR="00B951E6">
        <w:rPr>
          <w:rStyle w:val="ab"/>
          <w:rFonts w:asciiTheme="minorBidi" w:hAnsiTheme="minorBidi" w:cs="Arial"/>
          <w:rtl/>
        </w:rPr>
        <w:footnoteReference w:id="484"/>
      </w:r>
      <w:r w:rsidR="000C748E" w:rsidRPr="000C748E">
        <w:rPr>
          <w:rFonts w:asciiTheme="minorBidi" w:hAnsiTheme="minorBidi" w:cs="Arial"/>
          <w:rtl/>
        </w:rPr>
        <w:t>.</w:t>
      </w:r>
      <w:r w:rsidR="0021787E" w:rsidRPr="00576D5C">
        <w:rPr>
          <w:rFonts w:asciiTheme="minorBidi" w:hAnsiTheme="minorBidi"/>
          <w:rtl/>
        </w:rPr>
        <w:t xml:space="preserve"> </w:t>
      </w:r>
    </w:p>
    <w:bookmarkEnd w:id="64"/>
    <w:p w14:paraId="69C43683" w14:textId="77777777" w:rsidR="00D028FC" w:rsidRPr="00576D5C" w:rsidRDefault="00D028FC" w:rsidP="00D028FC">
      <w:pPr>
        <w:rPr>
          <w:rFonts w:asciiTheme="minorBidi" w:hAnsiTheme="minorBidi"/>
          <w:rtl/>
        </w:rPr>
      </w:pPr>
      <w:r w:rsidRPr="00576D5C">
        <w:rPr>
          <w:rFonts w:asciiTheme="minorBidi" w:hAnsiTheme="minorBidi"/>
          <w:b/>
          <w:bCs/>
          <w:rtl/>
        </w:rPr>
        <w:t>כתובות</w:t>
      </w:r>
      <w:r w:rsidRPr="00576D5C">
        <w:rPr>
          <w:rFonts w:asciiTheme="minorBidi" w:hAnsiTheme="minorBidi"/>
          <w:b/>
          <w:bCs/>
          <w:sz w:val="16"/>
          <w:szCs w:val="16"/>
          <w:rtl/>
        </w:rPr>
        <w:t xml:space="preserve"> (פ' בתרא)</w:t>
      </w:r>
      <w:r w:rsidRPr="00576D5C">
        <w:rPr>
          <w:rFonts w:asciiTheme="minorBidi" w:hAnsiTheme="minorBidi"/>
          <w:b/>
          <w:bCs/>
          <w:rtl/>
        </w:rPr>
        <w:t xml:space="preserve"> קה</w:t>
      </w:r>
      <w:r>
        <w:rPr>
          <w:rStyle w:val="ab"/>
          <w:rFonts w:asciiTheme="minorBidi" w:hAnsiTheme="minorBidi"/>
          <w:b/>
          <w:bCs/>
          <w:rtl/>
        </w:rPr>
        <w:footnoteReference w:id="485"/>
      </w:r>
      <w:r w:rsidRPr="00576D5C">
        <w:rPr>
          <w:rFonts w:asciiTheme="minorBidi" w:hAnsiTheme="minorBidi"/>
          <w:b/>
          <w:bCs/>
          <w:rtl/>
        </w:rPr>
        <w:t xml:space="preserve"> ע"א:</w:t>
      </w:r>
      <w:r w:rsidRPr="00576D5C">
        <w:rPr>
          <w:rFonts w:asciiTheme="minorBidi" w:hAnsiTheme="minorBidi"/>
          <w:rtl/>
        </w:rPr>
        <w:t xml:space="preserve"> קרנא הוה שקיל איסתירא מזכאי ואיסתירא מחייב, ודאין להו דינא. והיכי עביד הכי? והכתי': ושוחד לא תקח! וכ"ת, ה"מ היכא דלא שקיל מתרוייהו, דלמא אתי לאצלויי דינא, קרנא כיון דשקיל מתרוייהו לא אתי לאצלויי דינא, וכי לא אתי לאצלויי דינא מי שרי? והתניא: ושוחד לא תקח מה ת"ל? אם ללמד שלא לזכות את החייב ושלא לחייב את הזכאי, הרי כבר נאמר: לא תטה משפט! אלא אפי' לזכות את הזכאי ולחייב את החייב, אמרה תורה: ושוחד לא תקח! הני מילי היכא דשקיל בתורת שוחד, קרנא בתורת אגרא הוה שקיל. ובתורת אגרא מי שרי? והתנן: הנוטל שכר לדון - דיניו בטלין! הנ"מ אגר דינא, קרנא אגר בטילא הוה שקיל. ואגר בטילא מי שרי? והתניא: מכוער הדיין שנוטל שכר לדון, אלא שדינו דין; ה"ד? אילימא אגר דינא, דינו דין? והתניא: הנוטל שכר לדון - דיניו בטילין! אלא אגר בטילא, וקתני: מכוער הדיין! הני מילי בטילא דלא מוכחא, קרנא בטילא דמוכחא הוה שקיל, דהוה תהי באמברא דחמרא</w:t>
      </w:r>
      <w:r w:rsidRPr="00576D5C">
        <w:rPr>
          <w:rStyle w:val="ab"/>
          <w:rFonts w:asciiTheme="minorBidi" w:hAnsiTheme="minorBidi"/>
          <w:rtl/>
        </w:rPr>
        <w:footnoteReference w:id="486"/>
      </w:r>
      <w:r w:rsidRPr="00576D5C">
        <w:rPr>
          <w:rFonts w:asciiTheme="minorBidi" w:hAnsiTheme="minorBidi"/>
          <w:rtl/>
        </w:rPr>
        <w:t xml:space="preserve"> ויהבי ליה זוזא. כי הא דרב הונא, כי הוה אתי דינא לקמיה, אמר להו: הבו לי גברא דדלי</w:t>
      </w:r>
      <w:r w:rsidRPr="00576D5C">
        <w:rPr>
          <w:rStyle w:val="ab"/>
          <w:rFonts w:asciiTheme="minorBidi" w:hAnsiTheme="minorBidi"/>
          <w:rtl/>
        </w:rPr>
        <w:footnoteReference w:id="487"/>
      </w:r>
      <w:r w:rsidRPr="00576D5C">
        <w:rPr>
          <w:rFonts w:asciiTheme="minorBidi" w:hAnsiTheme="minorBidi"/>
          <w:rtl/>
        </w:rPr>
        <w:t xml:space="preserve"> לי בחריקאי</w:t>
      </w:r>
      <w:r w:rsidRPr="00576D5C">
        <w:rPr>
          <w:rStyle w:val="ab"/>
          <w:rFonts w:asciiTheme="minorBidi" w:hAnsiTheme="minorBidi"/>
          <w:rtl/>
        </w:rPr>
        <w:footnoteReference w:id="488"/>
      </w:r>
      <w:r w:rsidRPr="00576D5C">
        <w:rPr>
          <w:rFonts w:asciiTheme="minorBidi" w:hAnsiTheme="minorBidi"/>
          <w:rtl/>
        </w:rPr>
        <w:t xml:space="preserve">, ואידון לכו דינא. </w:t>
      </w:r>
    </w:p>
    <w:p w14:paraId="276C3A19" w14:textId="77777777" w:rsidR="00044C33" w:rsidRPr="00044C33" w:rsidRDefault="00044C33" w:rsidP="00576D5C">
      <w:pPr>
        <w:rPr>
          <w:rFonts w:asciiTheme="minorBidi" w:hAnsiTheme="minorBidi"/>
          <w:u w:val="single"/>
          <w:rtl/>
        </w:rPr>
      </w:pPr>
      <w:r w:rsidRPr="00044C33">
        <w:rPr>
          <w:rFonts w:asciiTheme="minorBidi" w:hAnsiTheme="minorBidi" w:hint="cs"/>
          <w:u w:val="single"/>
          <w:rtl/>
        </w:rPr>
        <w:t>דיין שנוטל שכר:</w:t>
      </w:r>
    </w:p>
    <w:p w14:paraId="7DFDAA3E" w14:textId="77777777" w:rsidR="00044C33" w:rsidRDefault="00044C33" w:rsidP="00044C33">
      <w:pPr>
        <w:pStyle w:val="ac"/>
        <w:numPr>
          <w:ilvl w:val="0"/>
          <w:numId w:val="3"/>
        </w:numPr>
        <w:rPr>
          <w:rFonts w:asciiTheme="minorBidi" w:hAnsiTheme="minorBidi"/>
        </w:rPr>
      </w:pPr>
      <w:r>
        <w:rPr>
          <w:rFonts w:asciiTheme="minorBidi" w:hAnsiTheme="minorBidi" w:cs="Arial" w:hint="cs"/>
          <w:rtl/>
        </w:rPr>
        <w:t xml:space="preserve">רמב"ם </w:t>
      </w:r>
      <w:r>
        <w:rPr>
          <w:rFonts w:asciiTheme="minorBidi" w:hAnsiTheme="minorBidi" w:cs="Arial" w:hint="cs"/>
          <w:sz w:val="16"/>
          <w:szCs w:val="16"/>
          <w:rtl/>
        </w:rPr>
        <w:t>(פכ"ג ה"ה)</w:t>
      </w:r>
      <w:r>
        <w:rPr>
          <w:rFonts w:asciiTheme="minorBidi" w:hAnsiTheme="minorBidi" w:cs="Arial" w:hint="cs"/>
          <w:rtl/>
        </w:rPr>
        <w:t xml:space="preserve">- </w:t>
      </w:r>
      <w:r w:rsidRPr="00044C33">
        <w:rPr>
          <w:rFonts w:asciiTheme="minorBidi" w:hAnsiTheme="minorBidi" w:cs="Arial"/>
          <w:rtl/>
        </w:rPr>
        <w:t xml:space="preserve">כל דיין שנוטל שכרו לדון </w:t>
      </w:r>
      <w:r w:rsidR="006232C1">
        <w:rPr>
          <w:rFonts w:asciiTheme="minorBidi" w:hAnsiTheme="minorBidi" w:cs="Arial" w:hint="cs"/>
          <w:rtl/>
        </w:rPr>
        <w:t xml:space="preserve">- </w:t>
      </w:r>
      <w:r w:rsidRPr="00044C33">
        <w:rPr>
          <w:rFonts w:asciiTheme="minorBidi" w:hAnsiTheme="minorBidi" w:cs="Arial"/>
          <w:rtl/>
        </w:rPr>
        <w:t>דיניו בטלים, והוא שלא יהיה שכר הניכר</w:t>
      </w:r>
      <w:r w:rsidR="006232C1">
        <w:rPr>
          <w:rFonts w:asciiTheme="minorBidi" w:hAnsiTheme="minorBidi" w:cs="Arial" w:hint="cs"/>
          <w:rtl/>
        </w:rPr>
        <w:t>.</w:t>
      </w:r>
      <w:r w:rsidRPr="00044C33">
        <w:rPr>
          <w:rFonts w:asciiTheme="minorBidi" w:hAnsiTheme="minorBidi" w:cs="Arial"/>
          <w:rtl/>
        </w:rPr>
        <w:t xml:space="preserve"> אבל אם היה עוסק במלאכתו ובאו לפניו שנים לדין ואמר להן תנו לי מי שיעשה תחתי עד שאדון לכם או תנו לי שכר בטלתי </w:t>
      </w:r>
      <w:r w:rsidR="006232C1">
        <w:rPr>
          <w:rFonts w:asciiTheme="minorBidi" w:hAnsiTheme="minorBidi" w:cs="Arial" w:hint="cs"/>
          <w:rtl/>
        </w:rPr>
        <w:t xml:space="preserve">- </w:t>
      </w:r>
      <w:r w:rsidRPr="00044C33">
        <w:rPr>
          <w:rFonts w:asciiTheme="minorBidi" w:hAnsiTheme="minorBidi" w:cs="Arial"/>
          <w:rtl/>
        </w:rPr>
        <w:t>הרי זה מותר, והוא שיהיה הדבר ניכר שהוא שכר הבטלה בלבד ולא יותר</w:t>
      </w:r>
      <w:r w:rsidR="006232C1">
        <w:rPr>
          <w:rFonts w:asciiTheme="minorBidi" w:hAnsiTheme="minorBidi" w:cs="Arial" w:hint="cs"/>
          <w:rtl/>
        </w:rPr>
        <w:t>.</w:t>
      </w:r>
      <w:r w:rsidRPr="00044C33">
        <w:rPr>
          <w:rFonts w:asciiTheme="minorBidi" w:hAnsiTheme="minorBidi" w:cs="Arial"/>
          <w:rtl/>
        </w:rPr>
        <w:t xml:space="preserve"> ויטול משניהם בשוה זה בפני זה</w:t>
      </w:r>
      <w:r w:rsidR="006232C1">
        <w:rPr>
          <w:rFonts w:asciiTheme="minorBidi" w:hAnsiTheme="minorBidi" w:cs="Arial" w:hint="cs"/>
          <w:rtl/>
        </w:rPr>
        <w:t>.</w:t>
      </w:r>
      <w:r w:rsidRPr="00044C33">
        <w:rPr>
          <w:rFonts w:asciiTheme="minorBidi" w:hAnsiTheme="minorBidi" w:cs="Arial"/>
          <w:rtl/>
        </w:rPr>
        <w:t xml:space="preserve"> כגון זה מותר. </w:t>
      </w:r>
      <w:r>
        <w:rPr>
          <w:rFonts w:asciiTheme="minorBidi" w:hAnsiTheme="minorBidi" w:hint="cs"/>
          <w:color w:val="E36C0A" w:themeColor="accent6" w:themeShade="BF"/>
          <w:rtl/>
        </w:rPr>
        <w:t>(</w:t>
      </w:r>
      <w:r w:rsidRPr="00044C33">
        <w:rPr>
          <w:rFonts w:asciiTheme="minorBidi" w:hAnsiTheme="minorBidi"/>
          <w:color w:val="E36C0A" w:themeColor="accent6" w:themeShade="BF"/>
          <w:rtl/>
        </w:rPr>
        <w:t>וכ"פ בשו"ע</w:t>
      </w:r>
      <w:r>
        <w:rPr>
          <w:rFonts w:asciiTheme="minorBidi" w:hAnsiTheme="minorBidi" w:hint="cs"/>
          <w:color w:val="E36C0A" w:themeColor="accent6" w:themeShade="BF"/>
          <w:rtl/>
        </w:rPr>
        <w:t>)</w:t>
      </w:r>
    </w:p>
    <w:p w14:paraId="07791293" w14:textId="77777777" w:rsidR="00044C33" w:rsidRPr="00044C33" w:rsidRDefault="00044C33" w:rsidP="00044C33">
      <w:pPr>
        <w:ind w:left="360"/>
        <w:rPr>
          <w:rFonts w:asciiTheme="minorBidi" w:hAnsiTheme="minorBidi"/>
          <w:u w:val="dotted"/>
        </w:rPr>
      </w:pPr>
      <w:r w:rsidRPr="00044C33">
        <w:rPr>
          <w:rFonts w:asciiTheme="minorBidi" w:hAnsiTheme="minorBidi" w:hint="cs"/>
          <w:u w:val="dotted"/>
          <w:rtl/>
        </w:rPr>
        <w:t>האם כל דיניו שדן עד כה בטלים או שרק הדין שנטל עליו שכר בטל:</w:t>
      </w:r>
    </w:p>
    <w:p w14:paraId="4ACA433B" w14:textId="77777777" w:rsidR="00044C33" w:rsidRPr="00044C33" w:rsidRDefault="00044C33" w:rsidP="00044C33">
      <w:pPr>
        <w:pStyle w:val="ac"/>
        <w:numPr>
          <w:ilvl w:val="0"/>
          <w:numId w:val="3"/>
        </w:numPr>
        <w:rPr>
          <w:rFonts w:asciiTheme="minorBidi" w:hAnsiTheme="minorBidi"/>
          <w:rtl/>
        </w:rPr>
      </w:pPr>
      <w:r w:rsidRPr="00044C33">
        <w:rPr>
          <w:rFonts w:asciiTheme="minorBidi" w:hAnsiTheme="minorBidi"/>
          <w:rtl/>
        </w:rPr>
        <w:t xml:space="preserve">ר"ן </w:t>
      </w:r>
      <w:r w:rsidRPr="00044C33">
        <w:rPr>
          <w:rFonts w:asciiTheme="minorBidi" w:hAnsiTheme="minorBidi" w:hint="cs"/>
          <w:sz w:val="16"/>
          <w:szCs w:val="16"/>
          <w:rtl/>
        </w:rPr>
        <w:t>(</w:t>
      </w:r>
      <w:r w:rsidRPr="00044C33">
        <w:rPr>
          <w:rFonts w:asciiTheme="minorBidi" w:hAnsiTheme="minorBidi"/>
          <w:sz w:val="16"/>
          <w:szCs w:val="16"/>
          <w:rtl/>
        </w:rPr>
        <w:t>ס</w:t>
      </w:r>
      <w:r w:rsidRPr="00044C33">
        <w:rPr>
          <w:rFonts w:asciiTheme="minorBidi" w:hAnsiTheme="minorBidi" w:hint="cs"/>
          <w:sz w:val="16"/>
          <w:szCs w:val="16"/>
          <w:rtl/>
        </w:rPr>
        <w:t>"פ</w:t>
      </w:r>
      <w:r w:rsidRPr="00044C33">
        <w:rPr>
          <w:rFonts w:asciiTheme="minorBidi" w:hAnsiTheme="minorBidi"/>
          <w:sz w:val="16"/>
          <w:szCs w:val="16"/>
          <w:rtl/>
        </w:rPr>
        <w:t xml:space="preserve"> האיש מקדש </w:t>
      </w:r>
      <w:r w:rsidRPr="00044C33">
        <w:rPr>
          <w:rFonts w:asciiTheme="minorBidi" w:hAnsiTheme="minorBidi" w:hint="cs"/>
          <w:sz w:val="16"/>
          <w:szCs w:val="16"/>
          <w:rtl/>
        </w:rPr>
        <w:t>[</w:t>
      </w:r>
      <w:r w:rsidRPr="00044C33">
        <w:rPr>
          <w:rFonts w:asciiTheme="minorBidi" w:hAnsiTheme="minorBidi"/>
          <w:sz w:val="16"/>
          <w:szCs w:val="16"/>
          <w:rtl/>
        </w:rPr>
        <w:t>קידושין כג. ד"ה ומדתנן</w:t>
      </w:r>
      <w:r w:rsidRPr="00044C33">
        <w:rPr>
          <w:rFonts w:asciiTheme="minorBidi" w:hAnsiTheme="minorBidi" w:hint="cs"/>
          <w:sz w:val="16"/>
          <w:szCs w:val="16"/>
          <w:rtl/>
        </w:rPr>
        <w:t>]</w:t>
      </w:r>
      <w:r w:rsidRPr="00044C33">
        <w:rPr>
          <w:rFonts w:asciiTheme="minorBidi" w:hAnsiTheme="minorBidi"/>
          <w:sz w:val="16"/>
          <w:szCs w:val="16"/>
          <w:rtl/>
        </w:rPr>
        <w:t>)</w:t>
      </w:r>
      <w:r w:rsidRPr="00044C33">
        <w:rPr>
          <w:rFonts w:asciiTheme="minorBidi" w:hAnsiTheme="minorBidi" w:hint="cs"/>
          <w:rtl/>
        </w:rPr>
        <w:t>-</w:t>
      </w:r>
      <w:r w:rsidRPr="00044C33">
        <w:rPr>
          <w:rFonts w:asciiTheme="minorBidi" w:hAnsiTheme="minorBidi" w:hint="cs"/>
          <w:sz w:val="16"/>
          <w:szCs w:val="16"/>
          <w:rtl/>
        </w:rPr>
        <w:t xml:space="preserve"> </w:t>
      </w:r>
      <w:r w:rsidRPr="00044C33">
        <w:rPr>
          <w:rFonts w:asciiTheme="minorBidi" w:hAnsiTheme="minorBidi"/>
          <w:rtl/>
        </w:rPr>
        <w:t>מדתנן דיניו בטלים ולא תנן דינו בטל משמע דלא אותו דין שידוע שנטל בו שכרו הוא בלבד שבטל אלא כל דינים שדן פסולים אא</w:t>
      </w:r>
      <w:r w:rsidRPr="00044C33">
        <w:rPr>
          <w:rFonts w:asciiTheme="minorBidi" w:hAnsiTheme="minorBidi" w:hint="cs"/>
          <w:rtl/>
        </w:rPr>
        <w:t>"</w:t>
      </w:r>
      <w:r w:rsidRPr="00044C33">
        <w:rPr>
          <w:rFonts w:asciiTheme="minorBidi" w:hAnsiTheme="minorBidi"/>
          <w:rtl/>
        </w:rPr>
        <w:t xml:space="preserve">כ ידוע שלא נטל בהם שכר. </w:t>
      </w:r>
      <w:r>
        <w:rPr>
          <w:rFonts w:asciiTheme="minorBidi" w:hAnsiTheme="minorBidi" w:hint="cs"/>
          <w:color w:val="E36C0A" w:themeColor="accent6" w:themeShade="BF"/>
          <w:rtl/>
        </w:rPr>
        <w:t>(</w:t>
      </w:r>
      <w:r w:rsidRPr="00044C33">
        <w:rPr>
          <w:rFonts w:asciiTheme="minorBidi" w:hAnsiTheme="minorBidi"/>
          <w:color w:val="E36C0A" w:themeColor="accent6" w:themeShade="BF"/>
          <w:rtl/>
        </w:rPr>
        <w:t>וכ"פ בשו"ע</w:t>
      </w:r>
      <w:r>
        <w:rPr>
          <w:rFonts w:asciiTheme="minorBidi" w:hAnsiTheme="minorBidi" w:hint="cs"/>
          <w:color w:val="E36C0A" w:themeColor="accent6" w:themeShade="BF"/>
          <w:rtl/>
        </w:rPr>
        <w:t>)</w:t>
      </w:r>
    </w:p>
    <w:p w14:paraId="4C820041" w14:textId="77777777" w:rsidR="00035BBC" w:rsidRPr="00D028FC" w:rsidRDefault="00D028FC" w:rsidP="00576D5C">
      <w:pPr>
        <w:rPr>
          <w:rFonts w:asciiTheme="minorBidi" w:hAnsiTheme="minorBidi"/>
          <w:u w:val="single"/>
          <w:rtl/>
        </w:rPr>
      </w:pPr>
      <w:r w:rsidRPr="00D028FC">
        <w:rPr>
          <w:rFonts w:asciiTheme="minorBidi" w:hAnsiTheme="minorBidi" w:hint="cs"/>
          <w:u w:val="single"/>
          <w:rtl/>
        </w:rPr>
        <w:t>דיין</w:t>
      </w:r>
      <w:r w:rsidRPr="00D028FC">
        <w:rPr>
          <w:rFonts w:asciiTheme="minorBidi" w:hAnsiTheme="minorBidi"/>
          <w:u w:val="single"/>
          <w:rtl/>
        </w:rPr>
        <w:t xml:space="preserve"> </w:t>
      </w:r>
      <w:r w:rsidRPr="00D028FC">
        <w:rPr>
          <w:rFonts w:asciiTheme="minorBidi" w:hAnsiTheme="minorBidi" w:hint="cs"/>
          <w:u w:val="single"/>
          <w:rtl/>
        </w:rPr>
        <w:t xml:space="preserve">שאומר תנו לי שכר בטלה </w:t>
      </w:r>
      <w:r w:rsidRPr="00D028FC">
        <w:rPr>
          <w:rFonts w:asciiTheme="minorBidi" w:hAnsiTheme="minorBidi" w:hint="cs"/>
          <w:sz w:val="16"/>
          <w:szCs w:val="16"/>
          <w:u w:val="single"/>
          <w:rtl/>
        </w:rPr>
        <w:t>(אע"פ ש</w:t>
      </w:r>
      <w:r>
        <w:rPr>
          <w:rFonts w:asciiTheme="minorBidi" w:hAnsiTheme="minorBidi" w:hint="cs"/>
          <w:sz w:val="16"/>
          <w:szCs w:val="16"/>
          <w:u w:val="single"/>
          <w:rtl/>
        </w:rPr>
        <w:t>הוא</w:t>
      </w:r>
      <w:r w:rsidRPr="00D028FC">
        <w:rPr>
          <w:rFonts w:asciiTheme="minorBidi" w:hAnsiTheme="minorBidi" w:hint="cs"/>
          <w:sz w:val="16"/>
          <w:szCs w:val="16"/>
          <w:u w:val="single"/>
          <w:rtl/>
        </w:rPr>
        <w:t xml:space="preserve"> לא מתבטל עתה מעבודה</w:t>
      </w:r>
      <w:r>
        <w:rPr>
          <w:rFonts w:asciiTheme="minorBidi" w:hAnsiTheme="minorBidi" w:hint="cs"/>
          <w:sz w:val="16"/>
          <w:szCs w:val="16"/>
          <w:u w:val="single"/>
          <w:rtl/>
        </w:rPr>
        <w:t>)</w:t>
      </w:r>
      <w:r w:rsidRPr="00D028FC">
        <w:rPr>
          <w:rFonts w:asciiTheme="minorBidi" w:hAnsiTheme="minorBidi" w:hint="cs"/>
          <w:u w:val="single"/>
          <w:rtl/>
        </w:rPr>
        <w:t xml:space="preserve"> </w:t>
      </w:r>
      <w:r w:rsidRPr="00D028FC">
        <w:rPr>
          <w:rFonts w:asciiTheme="minorBidi" w:hAnsiTheme="minorBidi"/>
          <w:u w:val="single"/>
          <w:rtl/>
        </w:rPr>
        <w:t>שמא יזדמן לי ריוח בקניית סחורה או בסרסרות</w:t>
      </w:r>
      <w:r w:rsidR="00035BBC" w:rsidRPr="00D028FC">
        <w:rPr>
          <w:rFonts w:asciiTheme="minorBidi" w:hAnsiTheme="minorBidi"/>
          <w:u w:val="single"/>
          <w:rtl/>
        </w:rPr>
        <w:t>:</w:t>
      </w:r>
    </w:p>
    <w:p w14:paraId="3250A4F1" w14:textId="77777777" w:rsidR="00052867" w:rsidRPr="00576D5C" w:rsidRDefault="00052867" w:rsidP="00576D5C">
      <w:pPr>
        <w:pStyle w:val="ac"/>
        <w:numPr>
          <w:ilvl w:val="0"/>
          <w:numId w:val="3"/>
        </w:numPr>
        <w:rPr>
          <w:rFonts w:asciiTheme="minorBidi" w:hAnsiTheme="minorBidi"/>
          <w:rtl/>
        </w:rPr>
      </w:pPr>
      <w:r w:rsidRPr="00576D5C">
        <w:rPr>
          <w:rFonts w:asciiTheme="minorBidi" w:hAnsiTheme="minorBidi"/>
          <w:rtl/>
        </w:rPr>
        <w:t xml:space="preserve">רא"ש </w:t>
      </w:r>
      <w:r w:rsidR="00035BBC" w:rsidRPr="00576D5C">
        <w:rPr>
          <w:rFonts w:asciiTheme="minorBidi" w:hAnsiTheme="minorBidi"/>
          <w:sz w:val="16"/>
          <w:szCs w:val="16"/>
          <w:rtl/>
        </w:rPr>
        <w:t>(</w:t>
      </w:r>
      <w:r w:rsidRPr="00576D5C">
        <w:rPr>
          <w:rFonts w:asciiTheme="minorBidi" w:hAnsiTheme="minorBidi"/>
          <w:sz w:val="16"/>
          <w:szCs w:val="16"/>
          <w:rtl/>
        </w:rPr>
        <w:t>כלל נו סי</w:t>
      </w:r>
      <w:r w:rsidR="00035BBC" w:rsidRPr="00576D5C">
        <w:rPr>
          <w:rFonts w:asciiTheme="minorBidi" w:hAnsiTheme="minorBidi"/>
          <w:sz w:val="16"/>
          <w:szCs w:val="16"/>
          <w:rtl/>
        </w:rPr>
        <w:t>'</w:t>
      </w:r>
      <w:r w:rsidRPr="00576D5C">
        <w:rPr>
          <w:rFonts w:asciiTheme="minorBidi" w:hAnsiTheme="minorBidi"/>
          <w:sz w:val="16"/>
          <w:szCs w:val="16"/>
          <w:rtl/>
        </w:rPr>
        <w:t xml:space="preserve"> ה</w:t>
      </w:r>
      <w:r w:rsidR="00035BBC" w:rsidRPr="00576D5C">
        <w:rPr>
          <w:rFonts w:asciiTheme="minorBidi" w:hAnsiTheme="minorBidi"/>
          <w:sz w:val="16"/>
          <w:szCs w:val="16"/>
          <w:rtl/>
        </w:rPr>
        <w:t>)</w:t>
      </w:r>
      <w:r w:rsidR="00035BBC" w:rsidRPr="00576D5C">
        <w:rPr>
          <w:rFonts w:asciiTheme="minorBidi" w:hAnsiTheme="minorBidi"/>
          <w:rtl/>
        </w:rPr>
        <w:t>-</w:t>
      </w:r>
      <w:r w:rsidRPr="00576D5C">
        <w:rPr>
          <w:rFonts w:asciiTheme="minorBidi" w:hAnsiTheme="minorBidi"/>
          <w:rtl/>
        </w:rPr>
        <w:t xml:space="preserve"> הלשון משמע שהיו באין לפניו בשעה שהיה משקה שדותיו מדקאמר דדלי בחריקאי</w:t>
      </w:r>
      <w:r w:rsidR="00035BBC" w:rsidRPr="00576D5C">
        <w:rPr>
          <w:rFonts w:asciiTheme="minorBidi" w:hAnsiTheme="minorBidi"/>
          <w:rtl/>
        </w:rPr>
        <w:t>,</w:t>
      </w:r>
      <w:r w:rsidRPr="00576D5C">
        <w:rPr>
          <w:rFonts w:asciiTheme="minorBidi" w:hAnsiTheme="minorBidi"/>
          <w:rtl/>
        </w:rPr>
        <w:t xml:space="preserve"> פירוש במקומי</w:t>
      </w:r>
      <w:r w:rsidR="00035BBC" w:rsidRPr="00576D5C">
        <w:rPr>
          <w:rFonts w:asciiTheme="minorBidi" w:hAnsiTheme="minorBidi"/>
          <w:rtl/>
        </w:rPr>
        <w:t>,</w:t>
      </w:r>
      <w:r w:rsidRPr="00576D5C">
        <w:rPr>
          <w:rFonts w:asciiTheme="minorBidi" w:hAnsiTheme="minorBidi"/>
          <w:rtl/>
        </w:rPr>
        <w:t xml:space="preserve"> שיהא נכנס להשקות השדה</w:t>
      </w:r>
      <w:r w:rsidR="00035BBC" w:rsidRPr="00576D5C">
        <w:rPr>
          <w:rFonts w:asciiTheme="minorBidi" w:hAnsiTheme="minorBidi"/>
          <w:rtl/>
        </w:rPr>
        <w:t>,</w:t>
      </w:r>
      <w:r w:rsidRPr="00576D5C">
        <w:rPr>
          <w:rFonts w:asciiTheme="minorBidi" w:hAnsiTheme="minorBidi"/>
          <w:rtl/>
        </w:rPr>
        <w:t xml:space="preserve"> וכמו קרנא דהוה תהי באמברא דחמרא ודבר זה הוה מצוי ליה תדיר</w:t>
      </w:r>
      <w:r w:rsidR="00035BBC" w:rsidRPr="00576D5C">
        <w:rPr>
          <w:rFonts w:asciiTheme="minorBidi" w:hAnsiTheme="minorBidi"/>
          <w:rtl/>
        </w:rPr>
        <w:t>,</w:t>
      </w:r>
      <w:r w:rsidRPr="00576D5C">
        <w:rPr>
          <w:rFonts w:asciiTheme="minorBidi" w:hAnsiTheme="minorBidi"/>
          <w:rtl/>
        </w:rPr>
        <w:t xml:space="preserve"> והוא בטלה דמוכח</w:t>
      </w:r>
      <w:r w:rsidR="00035BBC" w:rsidRPr="00576D5C">
        <w:rPr>
          <w:rFonts w:asciiTheme="minorBidi" w:hAnsiTheme="minorBidi"/>
          <w:rtl/>
        </w:rPr>
        <w:t>,</w:t>
      </w:r>
      <w:r w:rsidRPr="00576D5C">
        <w:rPr>
          <w:rFonts w:asciiTheme="minorBidi" w:hAnsiTheme="minorBidi"/>
          <w:rtl/>
        </w:rPr>
        <w:t xml:space="preserve"> אבל לא שיאמר אדם שמא יזדמן לי ריוח בקניית סחורה או בסרסרות בדבר שאינו ידוע ומצוי לו</w:t>
      </w:r>
      <w:r w:rsidR="00035BBC" w:rsidRPr="00576D5C">
        <w:rPr>
          <w:rFonts w:asciiTheme="minorBidi" w:hAnsiTheme="minorBidi"/>
          <w:rtl/>
        </w:rPr>
        <w:t>,</w:t>
      </w:r>
      <w:r w:rsidRPr="00576D5C">
        <w:rPr>
          <w:rFonts w:asciiTheme="minorBidi" w:hAnsiTheme="minorBidi"/>
          <w:rtl/>
        </w:rPr>
        <w:t xml:space="preserve"> תדע לך שהוא כן שהרי אסור לדיין ליקח יותר ממה שיתבטל ממלאכתו</w:t>
      </w:r>
      <w:r w:rsidR="00035BBC" w:rsidRPr="00576D5C">
        <w:rPr>
          <w:rFonts w:asciiTheme="minorBidi" w:hAnsiTheme="minorBidi"/>
          <w:rtl/>
        </w:rPr>
        <w:t>,</w:t>
      </w:r>
      <w:r w:rsidRPr="00576D5C">
        <w:rPr>
          <w:rFonts w:asciiTheme="minorBidi" w:hAnsiTheme="minorBidi"/>
          <w:rtl/>
        </w:rPr>
        <w:t xml:space="preserve"> דהכי משמע לשון בטלה</w:t>
      </w:r>
      <w:r w:rsidR="00035BBC" w:rsidRPr="00576D5C">
        <w:rPr>
          <w:rFonts w:asciiTheme="minorBidi" w:hAnsiTheme="minorBidi"/>
          <w:rtl/>
        </w:rPr>
        <w:t>,</w:t>
      </w:r>
      <w:r w:rsidRPr="00576D5C">
        <w:rPr>
          <w:rFonts w:asciiTheme="minorBidi" w:hAnsiTheme="minorBidi"/>
          <w:rtl/>
        </w:rPr>
        <w:t xml:space="preserve"> דאם היה נוטל יותר מכדי בטול מלאכתו היה זה שכר דינא</w:t>
      </w:r>
      <w:r w:rsidR="00035BBC" w:rsidRPr="00576D5C">
        <w:rPr>
          <w:rFonts w:asciiTheme="minorBidi" w:hAnsiTheme="minorBidi"/>
          <w:rtl/>
        </w:rPr>
        <w:t>,</w:t>
      </w:r>
      <w:r w:rsidRPr="00576D5C">
        <w:rPr>
          <w:rFonts w:asciiTheme="minorBidi" w:hAnsiTheme="minorBidi"/>
          <w:rtl/>
        </w:rPr>
        <w:t xml:space="preserve"> ותנן הנוטל שכר לדון דיניו בטילים</w:t>
      </w:r>
      <w:r w:rsidR="006232C1">
        <w:rPr>
          <w:rFonts w:asciiTheme="minorBidi" w:hAnsiTheme="minorBidi" w:hint="cs"/>
          <w:rtl/>
        </w:rPr>
        <w:t>.</w:t>
      </w:r>
      <w:r w:rsidRPr="00576D5C">
        <w:rPr>
          <w:rFonts w:asciiTheme="minorBidi" w:hAnsiTheme="minorBidi"/>
          <w:rtl/>
        </w:rPr>
        <w:t xml:space="preserve"> וא</w:t>
      </w:r>
      <w:r w:rsidR="00946E5A" w:rsidRPr="00576D5C">
        <w:rPr>
          <w:rFonts w:asciiTheme="minorBidi" w:hAnsiTheme="minorBidi"/>
          <w:rtl/>
        </w:rPr>
        <w:t>"</w:t>
      </w:r>
      <w:r w:rsidRPr="00576D5C">
        <w:rPr>
          <w:rFonts w:asciiTheme="minorBidi" w:hAnsiTheme="minorBidi"/>
          <w:rtl/>
        </w:rPr>
        <w:t>כ על כרחך צריך לומר דלא מקרי שכר בטלה אם לא שעסוק במלאכה ומתבטל ממנה</w:t>
      </w:r>
      <w:r w:rsidR="00035BBC" w:rsidRPr="00576D5C">
        <w:rPr>
          <w:rFonts w:asciiTheme="minorBidi" w:hAnsiTheme="minorBidi"/>
          <w:rtl/>
        </w:rPr>
        <w:t>,</w:t>
      </w:r>
      <w:r w:rsidRPr="00576D5C">
        <w:rPr>
          <w:rFonts w:asciiTheme="minorBidi" w:hAnsiTheme="minorBidi"/>
          <w:rtl/>
        </w:rPr>
        <w:t xml:space="preserve"> אבל לא שיאמר אדם שמא יזדמן לו סחורה או ריוח ואם יטול שכר על זה </w:t>
      </w:r>
      <w:r w:rsidR="006232C1">
        <w:rPr>
          <w:rFonts w:asciiTheme="minorBidi" w:hAnsiTheme="minorBidi" w:hint="cs"/>
          <w:rtl/>
        </w:rPr>
        <w:t xml:space="preserve">- </w:t>
      </w:r>
      <w:r w:rsidRPr="00576D5C">
        <w:rPr>
          <w:rFonts w:asciiTheme="minorBidi" w:hAnsiTheme="minorBidi"/>
          <w:rtl/>
        </w:rPr>
        <w:t>הדין בטל</w:t>
      </w:r>
      <w:r w:rsidR="006232C1">
        <w:rPr>
          <w:rFonts w:asciiTheme="minorBidi" w:hAnsiTheme="minorBidi" w:hint="cs"/>
          <w:rtl/>
        </w:rPr>
        <w:t>,</w:t>
      </w:r>
      <w:r w:rsidRPr="00576D5C">
        <w:rPr>
          <w:rFonts w:asciiTheme="minorBidi" w:hAnsiTheme="minorBidi"/>
          <w:rtl/>
        </w:rPr>
        <w:t xml:space="preserve"> ונמצא שנוטל ממון מזה ונותן לזה בלא דין וגזלן הוא.</w:t>
      </w:r>
      <w:r w:rsidR="00946E5A" w:rsidRPr="00576D5C">
        <w:rPr>
          <w:rFonts w:asciiTheme="minorBidi" w:hAnsiTheme="minorBidi"/>
          <w:rtl/>
        </w:rPr>
        <w:t xml:space="preserve"> </w:t>
      </w:r>
      <w:r w:rsidR="00946E5A" w:rsidRPr="00576D5C">
        <w:rPr>
          <w:rFonts w:asciiTheme="minorBidi" w:hAnsiTheme="minorBidi"/>
          <w:color w:val="E36C0A" w:themeColor="accent6" w:themeShade="BF"/>
          <w:rtl/>
        </w:rPr>
        <w:t>(וכ"פ בשו"ע)</w:t>
      </w:r>
    </w:p>
    <w:p w14:paraId="5AD47788" w14:textId="77777777" w:rsidR="00035BBC" w:rsidRPr="00576D5C" w:rsidRDefault="00035BBC" w:rsidP="00576D5C">
      <w:pPr>
        <w:rPr>
          <w:rFonts w:asciiTheme="minorBidi" w:hAnsiTheme="minorBidi"/>
        </w:rPr>
      </w:pPr>
      <w:r w:rsidRPr="00576D5C">
        <w:rPr>
          <w:rFonts w:asciiTheme="minorBidi" w:hAnsiTheme="minorBidi"/>
          <w:u w:val="single"/>
          <w:rtl/>
        </w:rPr>
        <w:lastRenderedPageBreak/>
        <w:t>דיין שנטל שכר לדון – האם צריך להכריז עליו בבית דין כדי שדינ</w:t>
      </w:r>
      <w:r w:rsidR="00D028FC">
        <w:rPr>
          <w:rFonts w:asciiTheme="minorBidi" w:hAnsiTheme="minorBidi" w:hint="cs"/>
          <w:u w:val="single"/>
          <w:rtl/>
        </w:rPr>
        <w:t>י</w:t>
      </w:r>
      <w:r w:rsidRPr="00576D5C">
        <w:rPr>
          <w:rFonts w:asciiTheme="minorBidi" w:hAnsiTheme="minorBidi"/>
          <w:u w:val="single"/>
          <w:rtl/>
        </w:rPr>
        <w:t>ו</w:t>
      </w:r>
      <w:r w:rsidR="00D028FC">
        <w:rPr>
          <w:rFonts w:asciiTheme="minorBidi" w:hAnsiTheme="minorBidi" w:hint="cs"/>
          <w:u w:val="single"/>
          <w:rtl/>
        </w:rPr>
        <w:t xml:space="preserve"> יתבטלו</w:t>
      </w:r>
      <w:r w:rsidRPr="00576D5C">
        <w:rPr>
          <w:rFonts w:asciiTheme="minorBidi" w:hAnsiTheme="minorBidi"/>
          <w:u w:val="single"/>
          <w:rtl/>
        </w:rPr>
        <w:t xml:space="preserve"> או לא:</w:t>
      </w:r>
      <w:r w:rsidRPr="00576D5C">
        <w:rPr>
          <w:rFonts w:asciiTheme="minorBidi" w:hAnsiTheme="minorBidi"/>
          <w:rtl/>
        </w:rPr>
        <w:t xml:space="preserve">  </w:t>
      </w:r>
      <w:r w:rsidRPr="00576D5C">
        <w:rPr>
          <w:rFonts w:asciiTheme="minorBidi" w:hAnsiTheme="minorBidi"/>
          <w:sz w:val="16"/>
          <w:szCs w:val="16"/>
          <w:rtl/>
        </w:rPr>
        <w:t>(דרכ"מ אות ב)</w:t>
      </w:r>
      <w:r w:rsidRPr="00576D5C">
        <w:rPr>
          <w:rFonts w:asciiTheme="minorBidi" w:hAnsiTheme="minorBidi"/>
          <w:rtl/>
        </w:rPr>
        <w:t xml:space="preserve"> </w:t>
      </w:r>
    </w:p>
    <w:p w14:paraId="23FA8F46" w14:textId="77777777" w:rsidR="00035BBC" w:rsidRPr="00576D5C" w:rsidRDefault="00035BBC" w:rsidP="00576D5C">
      <w:pPr>
        <w:pStyle w:val="ac"/>
        <w:numPr>
          <w:ilvl w:val="0"/>
          <w:numId w:val="3"/>
        </w:numPr>
        <w:rPr>
          <w:rFonts w:asciiTheme="minorBidi" w:hAnsiTheme="minorBidi"/>
          <w:rtl/>
        </w:rPr>
      </w:pPr>
      <w:r w:rsidRPr="00576D5C">
        <w:rPr>
          <w:rFonts w:asciiTheme="minorBidi" w:hAnsiTheme="minorBidi"/>
          <w:rtl/>
        </w:rPr>
        <w:t>רמב"ן</w:t>
      </w:r>
      <w:r w:rsidRPr="00576D5C">
        <w:rPr>
          <w:rFonts w:asciiTheme="minorBidi" w:hAnsiTheme="minorBidi"/>
          <w:sz w:val="16"/>
          <w:szCs w:val="16"/>
          <w:rtl/>
        </w:rPr>
        <w:t xml:space="preserve"> (קידושין נח: ד"ה הא דתנן)</w:t>
      </w:r>
      <w:r w:rsidRPr="00576D5C">
        <w:rPr>
          <w:rFonts w:asciiTheme="minorBidi" w:hAnsiTheme="minorBidi"/>
          <w:rtl/>
        </w:rPr>
        <w:t>- אינו צריך הכרזה שהוא פסול אלא מעצמן הם בטלין</w:t>
      </w:r>
      <w:r w:rsidR="006232C1">
        <w:rPr>
          <w:rFonts w:asciiTheme="minorBidi" w:hAnsiTheme="minorBidi" w:hint="cs"/>
          <w:rtl/>
        </w:rPr>
        <w:t>.</w:t>
      </w:r>
      <w:r w:rsidRPr="00576D5C">
        <w:rPr>
          <w:rFonts w:asciiTheme="minorBidi" w:hAnsiTheme="minorBidi"/>
          <w:rtl/>
        </w:rPr>
        <w:t xml:space="preserve"> ומיהו אם החזיר הממון </w:t>
      </w:r>
      <w:r w:rsidR="006232C1">
        <w:rPr>
          <w:rFonts w:asciiTheme="minorBidi" w:hAnsiTheme="minorBidi" w:hint="cs"/>
          <w:rtl/>
        </w:rPr>
        <w:t xml:space="preserve">- </w:t>
      </w:r>
      <w:r w:rsidRPr="00576D5C">
        <w:rPr>
          <w:rFonts w:asciiTheme="minorBidi" w:hAnsiTheme="minorBidi"/>
          <w:rtl/>
        </w:rPr>
        <w:t>דינו ועדותו קיימים</w:t>
      </w:r>
      <w:r w:rsidR="00D028FC">
        <w:rPr>
          <w:rFonts w:asciiTheme="minorBidi" w:hAnsiTheme="minorBidi" w:hint="cs"/>
          <w:rtl/>
        </w:rPr>
        <w:t>,</w:t>
      </w:r>
      <w:r w:rsidRPr="00576D5C">
        <w:rPr>
          <w:rFonts w:asciiTheme="minorBidi" w:hAnsiTheme="minorBidi"/>
          <w:rtl/>
        </w:rPr>
        <w:t xml:space="preserve"> שאין זה כשאר פסול שצריך הכרזה ותשובה</w:t>
      </w:r>
      <w:r w:rsidR="00D028FC">
        <w:rPr>
          <w:rFonts w:asciiTheme="minorBidi" w:hAnsiTheme="minorBidi" w:hint="cs"/>
          <w:rtl/>
        </w:rPr>
        <w:t>,</w:t>
      </w:r>
      <w:r w:rsidRPr="00576D5C">
        <w:rPr>
          <w:rFonts w:asciiTheme="minorBidi" w:hAnsiTheme="minorBidi"/>
          <w:rtl/>
        </w:rPr>
        <w:t xml:space="preserve"> אלא קנס שקנסו חכמים שיבטלו מעשיו כל זמן שנוטל שכר.</w:t>
      </w:r>
    </w:p>
    <w:p w14:paraId="5E57355D" w14:textId="77777777" w:rsidR="00E137BC" w:rsidRPr="00576D5C" w:rsidRDefault="00E137BC" w:rsidP="00576D5C">
      <w:pPr>
        <w:rPr>
          <w:rFonts w:asciiTheme="minorBidi" w:hAnsiTheme="minorBidi"/>
          <w:b/>
          <w:bCs/>
          <w:color w:val="000000"/>
          <w:sz w:val="28"/>
          <w:szCs w:val="28"/>
          <w:u w:val="single"/>
          <w:rtl/>
        </w:rPr>
      </w:pPr>
      <w:r w:rsidRPr="00576D5C">
        <w:rPr>
          <w:rFonts w:asciiTheme="minorBidi" w:hAnsiTheme="minorBidi"/>
          <w:b/>
          <w:bCs/>
          <w:color w:val="000000"/>
          <w:sz w:val="28"/>
          <w:szCs w:val="28"/>
          <w:u w:val="single"/>
          <w:rtl/>
        </w:rPr>
        <w:t>שו"ע:</w:t>
      </w:r>
    </w:p>
    <w:p w14:paraId="52A70ED2" w14:textId="77777777" w:rsidR="00E137BC" w:rsidRDefault="00E137BC" w:rsidP="00576D5C">
      <w:pPr>
        <w:rPr>
          <w:rFonts w:asciiTheme="minorBidi" w:hAnsiTheme="minorBidi"/>
          <w:rtl/>
        </w:rPr>
      </w:pPr>
      <w:r w:rsidRPr="00576D5C">
        <w:rPr>
          <w:rFonts w:asciiTheme="minorBidi" w:hAnsiTheme="minorBidi"/>
          <w:rtl/>
        </w:rPr>
        <w:t>הנוטל שכר לדון, כל דיניו שדן בטלים אלא א</w:t>
      </w:r>
      <w:r w:rsidR="00035BBC" w:rsidRPr="00576D5C">
        <w:rPr>
          <w:rFonts w:asciiTheme="minorBidi" w:hAnsiTheme="minorBidi"/>
          <w:rtl/>
        </w:rPr>
        <w:t xml:space="preserve">ם </w:t>
      </w:r>
      <w:r w:rsidRPr="00576D5C">
        <w:rPr>
          <w:rFonts w:asciiTheme="minorBidi" w:hAnsiTheme="minorBidi"/>
          <w:rtl/>
        </w:rPr>
        <w:t>כ</w:t>
      </w:r>
      <w:r w:rsidR="00035BBC" w:rsidRPr="00576D5C">
        <w:rPr>
          <w:rFonts w:asciiTheme="minorBidi" w:hAnsiTheme="minorBidi"/>
          <w:rtl/>
        </w:rPr>
        <w:t>ן</w:t>
      </w:r>
      <w:r w:rsidRPr="00576D5C">
        <w:rPr>
          <w:rFonts w:asciiTheme="minorBidi" w:hAnsiTheme="minorBidi"/>
          <w:rtl/>
        </w:rPr>
        <w:t xml:space="preserve"> ידוע שלא נטל בהם שכר</w:t>
      </w:r>
      <w:r w:rsidR="00946E5A" w:rsidRPr="00576D5C">
        <w:rPr>
          <w:rStyle w:val="ab"/>
          <w:rFonts w:asciiTheme="minorBidi" w:hAnsiTheme="minorBidi"/>
          <w:rtl/>
        </w:rPr>
        <w:footnoteReference w:id="489"/>
      </w:r>
      <w:r w:rsidRPr="00576D5C">
        <w:rPr>
          <w:rFonts w:asciiTheme="minorBidi" w:hAnsiTheme="minorBidi"/>
          <w:rtl/>
        </w:rPr>
        <w:t>. ואם אינו נוטל אלא שכר בטלתו מותר, והוא שיהיה ניכר לכל שאינו נוטל אלא שכר בטלתו, כגון שיש לו מלאכה ידועה לעשות בשעה שיש לו לדון, אומר לבעלי הדין: תנו לי שכר פעולה של אותה מלאכה שאתבטל ממנה</w:t>
      </w:r>
      <w:r w:rsidR="000A6D27" w:rsidRPr="00576D5C">
        <w:rPr>
          <w:rStyle w:val="ab"/>
          <w:rFonts w:asciiTheme="minorBidi" w:hAnsiTheme="minorBidi"/>
          <w:rtl/>
        </w:rPr>
        <w:footnoteReference w:id="490"/>
      </w:r>
      <w:r w:rsidR="00946E5A" w:rsidRPr="00576D5C">
        <w:rPr>
          <w:rFonts w:asciiTheme="minorBidi" w:hAnsiTheme="minorBidi"/>
          <w:rtl/>
        </w:rPr>
        <w:t>.</w:t>
      </w:r>
      <w:r w:rsidRPr="00576D5C">
        <w:rPr>
          <w:rFonts w:asciiTheme="minorBidi" w:hAnsiTheme="minorBidi"/>
          <w:rtl/>
        </w:rPr>
        <w:t xml:space="preserve"> והוא שיקבל משניהם בשוה</w:t>
      </w:r>
      <w:r w:rsidR="00176055" w:rsidRPr="00576D5C">
        <w:rPr>
          <w:rStyle w:val="ab"/>
          <w:rFonts w:asciiTheme="minorBidi" w:hAnsiTheme="minorBidi"/>
          <w:rtl/>
        </w:rPr>
        <w:footnoteReference w:id="491"/>
      </w:r>
      <w:r w:rsidR="00946E5A" w:rsidRPr="00576D5C">
        <w:rPr>
          <w:rFonts w:asciiTheme="minorBidi" w:hAnsiTheme="minorBidi"/>
          <w:rtl/>
        </w:rPr>
        <w:t>.</w:t>
      </w:r>
      <w:r w:rsidRPr="00576D5C">
        <w:rPr>
          <w:rFonts w:asciiTheme="minorBidi" w:hAnsiTheme="minorBidi"/>
          <w:rtl/>
        </w:rPr>
        <w:t xml:space="preserve"> אבל אם אינו ניכר, כגון </w:t>
      </w:r>
      <w:r w:rsidRPr="00576D5C">
        <w:rPr>
          <w:rFonts w:asciiTheme="minorBidi" w:hAnsiTheme="minorBidi"/>
          <w:sz w:val="18"/>
          <w:szCs w:val="18"/>
          <w:rtl/>
        </w:rPr>
        <w:t>(</w:t>
      </w:r>
      <w:r w:rsidR="00946E5A" w:rsidRPr="00576D5C">
        <w:rPr>
          <w:rStyle w:val="ab"/>
          <w:rFonts w:asciiTheme="minorBidi" w:hAnsiTheme="minorBidi"/>
          <w:sz w:val="18"/>
          <w:szCs w:val="18"/>
          <w:rtl/>
        </w:rPr>
        <w:footnoteReference w:id="492"/>
      </w:r>
      <w:r w:rsidRPr="00576D5C">
        <w:rPr>
          <w:rFonts w:asciiTheme="minorBidi" w:hAnsiTheme="minorBidi"/>
          <w:sz w:val="18"/>
          <w:szCs w:val="18"/>
          <w:rtl/>
        </w:rPr>
        <w:t xml:space="preserve">שאין לו מלאכה ידועה אלא) </w:t>
      </w:r>
      <w:r w:rsidRPr="00576D5C">
        <w:rPr>
          <w:rFonts w:asciiTheme="minorBidi" w:hAnsiTheme="minorBidi"/>
          <w:rtl/>
        </w:rPr>
        <w:t>שאומר: שמא יזדמן לי שכר בקניית סחורה וסרסרות, ובשביל זה מבקש שכר</w:t>
      </w:r>
      <w:r w:rsidR="00B51B14" w:rsidRPr="00576D5C">
        <w:rPr>
          <w:rStyle w:val="ab"/>
          <w:rFonts w:asciiTheme="minorBidi" w:hAnsiTheme="minorBidi"/>
          <w:rtl/>
        </w:rPr>
        <w:footnoteReference w:id="493"/>
      </w:r>
      <w:r w:rsidRPr="00576D5C">
        <w:rPr>
          <w:rFonts w:asciiTheme="minorBidi" w:hAnsiTheme="minorBidi"/>
          <w:rtl/>
        </w:rPr>
        <w:t>, אסור</w:t>
      </w:r>
      <w:r w:rsidR="00176055" w:rsidRPr="00576D5C">
        <w:rPr>
          <w:rStyle w:val="ab"/>
          <w:rFonts w:asciiTheme="minorBidi" w:hAnsiTheme="minorBidi"/>
          <w:rtl/>
        </w:rPr>
        <w:footnoteReference w:id="494"/>
      </w:r>
      <w:r w:rsidRPr="00576D5C">
        <w:rPr>
          <w:rFonts w:asciiTheme="minorBidi" w:hAnsiTheme="minorBidi"/>
          <w:rtl/>
        </w:rPr>
        <w:t xml:space="preserve"> </w:t>
      </w:r>
      <w:r w:rsidRPr="00576D5C">
        <w:rPr>
          <w:rFonts w:asciiTheme="minorBidi" w:hAnsiTheme="minorBidi"/>
          <w:sz w:val="18"/>
          <w:szCs w:val="18"/>
          <w:rtl/>
        </w:rPr>
        <w:t>(ע"ל סימן לד סע</w:t>
      </w:r>
      <w:r w:rsidR="00946E5A" w:rsidRPr="00576D5C">
        <w:rPr>
          <w:rFonts w:asciiTheme="minorBidi" w:hAnsiTheme="minorBidi"/>
          <w:sz w:val="18"/>
          <w:szCs w:val="18"/>
          <w:rtl/>
        </w:rPr>
        <w:t>'</w:t>
      </w:r>
      <w:r w:rsidRPr="00576D5C">
        <w:rPr>
          <w:rFonts w:asciiTheme="minorBidi" w:hAnsiTheme="minorBidi"/>
          <w:sz w:val="18"/>
          <w:szCs w:val="18"/>
          <w:rtl/>
        </w:rPr>
        <w:t xml:space="preserve"> יח)</w:t>
      </w:r>
      <w:r w:rsidRPr="00576D5C">
        <w:rPr>
          <w:rFonts w:asciiTheme="minorBidi" w:hAnsiTheme="minorBidi"/>
          <w:rtl/>
        </w:rPr>
        <w:t xml:space="preserve">. </w:t>
      </w:r>
    </w:p>
    <w:p w14:paraId="6DF0668D" w14:textId="77777777" w:rsidR="00A41B1D" w:rsidRPr="00576D5C" w:rsidRDefault="00A41B1D" w:rsidP="00576D5C">
      <w:pPr>
        <w:rPr>
          <w:rFonts w:asciiTheme="minorBidi" w:hAnsiTheme="minorBidi"/>
          <w:rtl/>
        </w:rPr>
      </w:pPr>
    </w:p>
    <w:p w14:paraId="3A9B2E60" w14:textId="77777777" w:rsidR="00E137BC" w:rsidRPr="00576D5C" w:rsidRDefault="00E137BC" w:rsidP="00E842BA">
      <w:pPr>
        <w:pStyle w:val="2"/>
        <w:rPr>
          <w:rtl/>
        </w:rPr>
      </w:pPr>
      <w:bookmarkStart w:id="65" w:name="_Toc24883559"/>
      <w:r w:rsidRPr="00576D5C">
        <w:rPr>
          <w:rtl/>
        </w:rPr>
        <w:t>סעיף ו</w:t>
      </w:r>
      <w:r w:rsidR="00C64D48" w:rsidRPr="00576D5C">
        <w:rPr>
          <w:rtl/>
        </w:rPr>
        <w:t>:</w:t>
      </w:r>
      <w:r w:rsidR="000A6D27" w:rsidRPr="00576D5C">
        <w:rPr>
          <w:rtl/>
        </w:rPr>
        <w:t xml:space="preserve"> </w:t>
      </w:r>
      <w:r w:rsidR="00B51B14" w:rsidRPr="00576D5C">
        <w:rPr>
          <w:rtl/>
        </w:rPr>
        <w:t>ישיבה בדין עם תלמיד בור.</w:t>
      </w:r>
      <w:bookmarkEnd w:id="65"/>
    </w:p>
    <w:p w14:paraId="6E4EFC27" w14:textId="77777777" w:rsidR="00D83589" w:rsidRDefault="00B51B14" w:rsidP="00576D5C">
      <w:pPr>
        <w:rPr>
          <w:rFonts w:asciiTheme="minorBidi" w:hAnsiTheme="minorBidi"/>
          <w:rtl/>
        </w:rPr>
      </w:pPr>
      <w:r w:rsidRPr="00576D5C">
        <w:rPr>
          <w:rFonts w:asciiTheme="minorBidi" w:hAnsiTheme="minorBidi"/>
          <w:b/>
          <w:bCs/>
          <w:rtl/>
        </w:rPr>
        <w:t xml:space="preserve">שבועות </w:t>
      </w:r>
      <w:r w:rsidRPr="00576D5C">
        <w:rPr>
          <w:rFonts w:asciiTheme="minorBidi" w:hAnsiTheme="minorBidi"/>
          <w:b/>
          <w:bCs/>
          <w:sz w:val="16"/>
          <w:szCs w:val="16"/>
          <w:rtl/>
        </w:rPr>
        <w:t>(</w:t>
      </w:r>
      <w:r w:rsidR="00C64D48" w:rsidRPr="00576D5C">
        <w:rPr>
          <w:rFonts w:asciiTheme="minorBidi" w:hAnsiTheme="minorBidi"/>
          <w:b/>
          <w:bCs/>
          <w:sz w:val="16"/>
          <w:szCs w:val="16"/>
          <w:rtl/>
        </w:rPr>
        <w:t>פ</w:t>
      </w:r>
      <w:r w:rsidRPr="00576D5C">
        <w:rPr>
          <w:rFonts w:asciiTheme="minorBidi" w:hAnsiTheme="minorBidi"/>
          <w:b/>
          <w:bCs/>
          <w:sz w:val="16"/>
          <w:szCs w:val="16"/>
          <w:rtl/>
        </w:rPr>
        <w:t>'</w:t>
      </w:r>
      <w:r w:rsidR="00C64D48" w:rsidRPr="00576D5C">
        <w:rPr>
          <w:rFonts w:asciiTheme="minorBidi" w:hAnsiTheme="minorBidi"/>
          <w:b/>
          <w:bCs/>
          <w:sz w:val="16"/>
          <w:szCs w:val="16"/>
          <w:rtl/>
        </w:rPr>
        <w:t xml:space="preserve"> שבועת העדות</w:t>
      </w:r>
      <w:r w:rsidRPr="00576D5C">
        <w:rPr>
          <w:rFonts w:asciiTheme="minorBidi" w:hAnsiTheme="minorBidi"/>
          <w:b/>
          <w:bCs/>
          <w:sz w:val="16"/>
          <w:szCs w:val="16"/>
          <w:rtl/>
        </w:rPr>
        <w:t xml:space="preserve">) </w:t>
      </w:r>
      <w:r w:rsidR="00C64D48" w:rsidRPr="00576D5C">
        <w:rPr>
          <w:rFonts w:asciiTheme="minorBidi" w:hAnsiTheme="minorBidi"/>
          <w:b/>
          <w:bCs/>
          <w:rtl/>
        </w:rPr>
        <w:t>ל</w:t>
      </w:r>
      <w:r w:rsidR="00D83589">
        <w:rPr>
          <w:rStyle w:val="ab"/>
          <w:rFonts w:asciiTheme="minorBidi" w:hAnsiTheme="minorBidi"/>
          <w:b/>
          <w:bCs/>
          <w:rtl/>
        </w:rPr>
        <w:footnoteReference w:id="495"/>
      </w:r>
      <w:r w:rsidRPr="00576D5C">
        <w:rPr>
          <w:rFonts w:asciiTheme="minorBidi" w:hAnsiTheme="minorBidi"/>
          <w:b/>
          <w:bCs/>
          <w:rtl/>
        </w:rPr>
        <w:t xml:space="preserve"> ע"ב</w:t>
      </w:r>
      <w:r w:rsidR="00C64D48" w:rsidRPr="00576D5C">
        <w:rPr>
          <w:rFonts w:asciiTheme="minorBidi" w:hAnsiTheme="minorBidi"/>
          <w:b/>
          <w:bCs/>
          <w:rtl/>
        </w:rPr>
        <w:t xml:space="preserve">: </w:t>
      </w:r>
      <w:r w:rsidRPr="00576D5C">
        <w:rPr>
          <w:rFonts w:asciiTheme="minorBidi" w:hAnsiTheme="minorBidi"/>
          <w:rtl/>
        </w:rPr>
        <w:t>ת"ר... ומנין לדיין שלא ישב תלמיד בור לפניו? ת"ל: מדבר שקר תרחק.</w:t>
      </w:r>
    </w:p>
    <w:p w14:paraId="672C57DB" w14:textId="77777777" w:rsidR="00D83589" w:rsidRPr="00D83589" w:rsidRDefault="00D83589" w:rsidP="00D83589">
      <w:pPr>
        <w:rPr>
          <w:rFonts w:asciiTheme="minorBidi" w:hAnsiTheme="minorBidi"/>
          <w:u w:val="single"/>
          <w:rtl/>
        </w:rPr>
      </w:pPr>
      <w:r w:rsidRPr="00D83589">
        <w:rPr>
          <w:rFonts w:asciiTheme="minorBidi" w:hAnsiTheme="minorBidi" w:hint="cs"/>
          <w:u w:val="single"/>
          <w:rtl/>
        </w:rPr>
        <w:t>ישיבה בדין עם תלמיד בור:</w:t>
      </w:r>
    </w:p>
    <w:p w14:paraId="2B3357C8" w14:textId="77777777" w:rsidR="00D83589" w:rsidRPr="00D83589" w:rsidRDefault="00D83589" w:rsidP="00D83589">
      <w:pPr>
        <w:pStyle w:val="ac"/>
        <w:numPr>
          <w:ilvl w:val="0"/>
          <w:numId w:val="3"/>
        </w:numPr>
        <w:rPr>
          <w:rFonts w:asciiTheme="minorBidi" w:hAnsiTheme="minorBidi"/>
          <w:rtl/>
        </w:rPr>
      </w:pPr>
      <w:r>
        <w:rPr>
          <w:rFonts w:asciiTheme="minorBidi" w:hAnsiTheme="minorBidi" w:hint="cs"/>
          <w:rtl/>
        </w:rPr>
        <w:t xml:space="preserve">רמב"ם </w:t>
      </w:r>
      <w:r>
        <w:rPr>
          <w:rFonts w:asciiTheme="minorBidi" w:hAnsiTheme="minorBidi" w:hint="cs"/>
          <w:sz w:val="16"/>
          <w:szCs w:val="16"/>
          <w:rtl/>
        </w:rPr>
        <w:t>(פכ"ב ה"ב)</w:t>
      </w:r>
      <w:r>
        <w:rPr>
          <w:rFonts w:asciiTheme="minorBidi" w:hAnsiTheme="minorBidi" w:hint="cs"/>
          <w:rtl/>
        </w:rPr>
        <w:t xml:space="preserve"> ו</w:t>
      </w:r>
      <w:r w:rsidRPr="00D83589">
        <w:rPr>
          <w:rFonts w:asciiTheme="minorBidi" w:hAnsiTheme="minorBidi"/>
          <w:rtl/>
        </w:rPr>
        <w:t>טור- אין לדיין להניח לתלמיד בור לישב לפניו שלא ישא ויתן עמו ויטהו מדרך האמת מתוך בורתו</w:t>
      </w:r>
      <w:r>
        <w:rPr>
          <w:rFonts w:asciiTheme="minorBidi" w:hAnsiTheme="minorBidi" w:hint="cs"/>
          <w:sz w:val="16"/>
          <w:szCs w:val="16"/>
          <w:rtl/>
        </w:rPr>
        <w:t xml:space="preserve"> (ל' הטור)</w:t>
      </w:r>
      <w:r w:rsidRPr="00D83589">
        <w:rPr>
          <w:rFonts w:asciiTheme="minorBidi" w:hAnsiTheme="minorBidi"/>
          <w:rtl/>
        </w:rPr>
        <w:t xml:space="preserve">. </w:t>
      </w:r>
      <w:r w:rsidRPr="00D83589">
        <w:rPr>
          <w:rFonts w:asciiTheme="minorBidi" w:hAnsiTheme="minorBidi" w:hint="cs"/>
          <w:color w:val="E36C0A" w:themeColor="accent6" w:themeShade="BF"/>
          <w:rtl/>
        </w:rPr>
        <w:t>(</w:t>
      </w:r>
      <w:r w:rsidRPr="00D83589">
        <w:rPr>
          <w:rFonts w:asciiTheme="minorBidi" w:hAnsiTheme="minorBidi"/>
          <w:color w:val="E36C0A" w:themeColor="accent6" w:themeShade="BF"/>
          <w:rtl/>
        </w:rPr>
        <w:t>וכ"פ בשו"ע</w:t>
      </w:r>
      <w:r w:rsidRPr="00D83589">
        <w:rPr>
          <w:rFonts w:asciiTheme="minorBidi" w:hAnsiTheme="minorBidi" w:hint="cs"/>
          <w:color w:val="E36C0A" w:themeColor="accent6" w:themeShade="BF"/>
          <w:rtl/>
        </w:rPr>
        <w:t>)</w:t>
      </w:r>
    </w:p>
    <w:p w14:paraId="6BBB6AB8" w14:textId="77777777" w:rsidR="00E137BC" w:rsidRPr="00576D5C" w:rsidRDefault="00E137BC" w:rsidP="00576D5C">
      <w:pPr>
        <w:rPr>
          <w:rFonts w:asciiTheme="minorBidi" w:hAnsiTheme="minorBidi"/>
          <w:b/>
          <w:bCs/>
          <w:color w:val="000000"/>
          <w:sz w:val="28"/>
          <w:szCs w:val="28"/>
          <w:u w:val="single"/>
          <w:rtl/>
        </w:rPr>
      </w:pPr>
      <w:r w:rsidRPr="00576D5C">
        <w:rPr>
          <w:rFonts w:asciiTheme="minorBidi" w:hAnsiTheme="minorBidi"/>
          <w:b/>
          <w:bCs/>
          <w:color w:val="000000"/>
          <w:sz w:val="28"/>
          <w:szCs w:val="28"/>
          <w:u w:val="single"/>
          <w:rtl/>
        </w:rPr>
        <w:t>שו"ע:</w:t>
      </w:r>
    </w:p>
    <w:p w14:paraId="0FFA1799" w14:textId="77777777" w:rsidR="00E137BC" w:rsidRPr="00576D5C" w:rsidRDefault="00E137BC" w:rsidP="00576D5C">
      <w:pPr>
        <w:rPr>
          <w:rFonts w:asciiTheme="minorBidi" w:hAnsiTheme="minorBidi"/>
          <w:rtl/>
        </w:rPr>
      </w:pPr>
      <w:r w:rsidRPr="00576D5C">
        <w:rPr>
          <w:rFonts w:asciiTheme="minorBidi" w:hAnsiTheme="minorBidi"/>
          <w:rtl/>
        </w:rPr>
        <w:t xml:space="preserve">אין לדיין להניח לתלמיד בור שישב לפניו, שלא ישא ויתן עמו ויטה מדרך האמת. </w:t>
      </w:r>
    </w:p>
    <w:p w14:paraId="0867FAB6" w14:textId="77777777" w:rsidR="00052867" w:rsidRPr="00576D5C" w:rsidRDefault="00052867" w:rsidP="00576D5C">
      <w:pPr>
        <w:rPr>
          <w:rFonts w:asciiTheme="minorBidi" w:hAnsiTheme="minorBidi"/>
          <w:rtl/>
        </w:rPr>
      </w:pPr>
    </w:p>
    <w:p w14:paraId="1809DF74" w14:textId="77777777" w:rsidR="00E137BC" w:rsidRPr="00576D5C" w:rsidRDefault="00E137BC" w:rsidP="00E842BA">
      <w:pPr>
        <w:pStyle w:val="2"/>
        <w:rPr>
          <w:rtl/>
        </w:rPr>
      </w:pPr>
      <w:bookmarkStart w:id="66" w:name="_Toc24883560"/>
      <w:r w:rsidRPr="00576D5C">
        <w:rPr>
          <w:rtl/>
        </w:rPr>
        <w:t>סעיף ז</w:t>
      </w:r>
      <w:r w:rsidR="00C64D48" w:rsidRPr="00576D5C">
        <w:rPr>
          <w:rtl/>
        </w:rPr>
        <w:t>:</w:t>
      </w:r>
      <w:r w:rsidR="00B51B14" w:rsidRPr="00576D5C">
        <w:rPr>
          <w:rtl/>
        </w:rPr>
        <w:t xml:space="preserve"> תלמיד שרואה זכות לעני ורבו רוצה לחייב את העני.</w:t>
      </w:r>
      <w:bookmarkEnd w:id="66"/>
    </w:p>
    <w:p w14:paraId="4DCE159E" w14:textId="77777777" w:rsidR="00C64D48" w:rsidRPr="00576D5C" w:rsidRDefault="00B51B14" w:rsidP="00576D5C">
      <w:pPr>
        <w:rPr>
          <w:rFonts w:asciiTheme="minorBidi" w:hAnsiTheme="minorBidi"/>
          <w:rtl/>
        </w:rPr>
      </w:pPr>
      <w:r w:rsidRPr="00576D5C">
        <w:rPr>
          <w:rFonts w:asciiTheme="minorBidi" w:hAnsiTheme="minorBidi"/>
          <w:b/>
          <w:bCs/>
          <w:rtl/>
        </w:rPr>
        <w:t xml:space="preserve">שבועות </w:t>
      </w:r>
      <w:r w:rsidRPr="00576D5C">
        <w:rPr>
          <w:rFonts w:asciiTheme="minorBidi" w:hAnsiTheme="minorBidi"/>
          <w:b/>
          <w:bCs/>
          <w:sz w:val="16"/>
          <w:szCs w:val="16"/>
          <w:rtl/>
        </w:rPr>
        <w:t xml:space="preserve">(פ' שבועת העדות) </w:t>
      </w:r>
      <w:r w:rsidRPr="00576D5C">
        <w:rPr>
          <w:rFonts w:asciiTheme="minorBidi" w:hAnsiTheme="minorBidi"/>
          <w:b/>
          <w:bCs/>
          <w:rtl/>
        </w:rPr>
        <w:t>לא</w:t>
      </w:r>
      <w:r w:rsidR="00D83589">
        <w:rPr>
          <w:rStyle w:val="ab"/>
          <w:rFonts w:asciiTheme="minorBidi" w:hAnsiTheme="minorBidi"/>
          <w:b/>
          <w:bCs/>
          <w:rtl/>
        </w:rPr>
        <w:footnoteReference w:id="496"/>
      </w:r>
      <w:r w:rsidRPr="00576D5C">
        <w:rPr>
          <w:rFonts w:asciiTheme="minorBidi" w:hAnsiTheme="minorBidi"/>
          <w:b/>
          <w:bCs/>
          <w:rtl/>
        </w:rPr>
        <w:t xml:space="preserve"> ע"א: </w:t>
      </w:r>
      <w:r w:rsidRPr="00576D5C">
        <w:rPr>
          <w:rFonts w:asciiTheme="minorBidi" w:hAnsiTheme="minorBidi"/>
          <w:rtl/>
        </w:rPr>
        <w:t xml:space="preserve">מנין לתלמיד שיושב לפני רבו ורואה זכות לעני וחוב לעשיר, מנין שלא ישתוק? תלמוד לומר: מדבר שקר תרחק. </w:t>
      </w:r>
    </w:p>
    <w:p w14:paraId="76203C3E" w14:textId="77777777" w:rsidR="00D83589" w:rsidRPr="00D83589" w:rsidRDefault="00D83589" w:rsidP="00D83589">
      <w:pPr>
        <w:rPr>
          <w:rFonts w:asciiTheme="minorBidi" w:hAnsiTheme="minorBidi"/>
          <w:u w:val="single"/>
          <w:rtl/>
        </w:rPr>
      </w:pPr>
      <w:r w:rsidRPr="00D83589">
        <w:rPr>
          <w:u w:val="single"/>
          <w:rtl/>
        </w:rPr>
        <w:t>תלמיד שרואה זכות לעני ורבו רוצה לחייב את העני</w:t>
      </w:r>
      <w:r w:rsidRPr="00D83589">
        <w:rPr>
          <w:rFonts w:asciiTheme="minorBidi" w:hAnsiTheme="minorBidi" w:hint="cs"/>
          <w:u w:val="single"/>
          <w:rtl/>
        </w:rPr>
        <w:t>:</w:t>
      </w:r>
    </w:p>
    <w:p w14:paraId="4DB3FB4D" w14:textId="77777777" w:rsidR="00D83589" w:rsidRPr="00D83589" w:rsidRDefault="00D83589" w:rsidP="00D83589">
      <w:pPr>
        <w:pStyle w:val="ac"/>
        <w:numPr>
          <w:ilvl w:val="0"/>
          <w:numId w:val="3"/>
        </w:numPr>
        <w:rPr>
          <w:rFonts w:asciiTheme="minorBidi" w:hAnsiTheme="minorBidi"/>
          <w:rtl/>
        </w:rPr>
      </w:pPr>
      <w:r>
        <w:rPr>
          <w:rFonts w:asciiTheme="minorBidi" w:hAnsiTheme="minorBidi" w:hint="cs"/>
          <w:rtl/>
        </w:rPr>
        <w:t xml:space="preserve">רמב"ם </w:t>
      </w:r>
      <w:r>
        <w:rPr>
          <w:rFonts w:asciiTheme="minorBidi" w:hAnsiTheme="minorBidi" w:hint="cs"/>
          <w:sz w:val="16"/>
          <w:szCs w:val="16"/>
          <w:rtl/>
        </w:rPr>
        <w:t>(פכ"ב ה"ב)</w:t>
      </w:r>
      <w:r>
        <w:rPr>
          <w:rFonts w:asciiTheme="minorBidi" w:hAnsiTheme="minorBidi" w:hint="cs"/>
          <w:rtl/>
        </w:rPr>
        <w:t xml:space="preserve"> ו</w:t>
      </w:r>
      <w:r w:rsidRPr="00D83589">
        <w:rPr>
          <w:rFonts w:asciiTheme="minorBidi" w:hAnsiTheme="minorBidi"/>
          <w:rtl/>
        </w:rPr>
        <w:t xml:space="preserve">טור- תלמיד היושב לפני רבו ורואה זכות לעני והרב רוצה לחייב </w:t>
      </w:r>
      <w:r>
        <w:rPr>
          <w:rFonts w:asciiTheme="minorBidi" w:hAnsiTheme="minorBidi" w:hint="cs"/>
          <w:rtl/>
        </w:rPr>
        <w:t xml:space="preserve">- </w:t>
      </w:r>
      <w:r w:rsidRPr="00D83589">
        <w:rPr>
          <w:rFonts w:asciiTheme="minorBidi" w:hAnsiTheme="minorBidi"/>
          <w:rtl/>
        </w:rPr>
        <w:t>צריך ללמד עליו זכות</w:t>
      </w:r>
      <w:r>
        <w:rPr>
          <w:rFonts w:asciiTheme="minorBidi" w:hAnsiTheme="minorBidi" w:hint="cs"/>
          <w:rtl/>
        </w:rPr>
        <w:t>.</w:t>
      </w:r>
      <w:r w:rsidRPr="00D83589">
        <w:rPr>
          <w:rFonts w:asciiTheme="minorBidi" w:hAnsiTheme="minorBidi"/>
          <w:rtl/>
        </w:rPr>
        <w:t xml:space="preserve"> ואם שותק עובר משום מדבר שקר תרחק</w:t>
      </w:r>
      <w:r>
        <w:rPr>
          <w:rFonts w:asciiTheme="minorBidi" w:hAnsiTheme="minorBidi" w:hint="cs"/>
          <w:sz w:val="16"/>
          <w:szCs w:val="16"/>
          <w:rtl/>
        </w:rPr>
        <w:t xml:space="preserve"> (ל' הטור)</w:t>
      </w:r>
      <w:r w:rsidRPr="00D83589">
        <w:rPr>
          <w:rFonts w:asciiTheme="minorBidi" w:hAnsiTheme="minorBidi"/>
          <w:rtl/>
        </w:rPr>
        <w:t xml:space="preserve">. </w:t>
      </w:r>
      <w:r w:rsidRPr="00D83589">
        <w:rPr>
          <w:rFonts w:asciiTheme="minorBidi" w:hAnsiTheme="minorBidi" w:hint="cs"/>
          <w:color w:val="E36C0A" w:themeColor="accent6" w:themeShade="BF"/>
          <w:rtl/>
        </w:rPr>
        <w:t>(</w:t>
      </w:r>
      <w:r w:rsidRPr="00D83589">
        <w:rPr>
          <w:rFonts w:asciiTheme="minorBidi" w:hAnsiTheme="minorBidi"/>
          <w:color w:val="E36C0A" w:themeColor="accent6" w:themeShade="BF"/>
          <w:rtl/>
        </w:rPr>
        <w:t>וכ"פ בשו"ע</w:t>
      </w:r>
      <w:r w:rsidRPr="00D83589">
        <w:rPr>
          <w:rFonts w:asciiTheme="minorBidi" w:hAnsiTheme="minorBidi" w:hint="cs"/>
          <w:color w:val="E36C0A" w:themeColor="accent6" w:themeShade="BF"/>
          <w:rtl/>
        </w:rPr>
        <w:t>)</w:t>
      </w:r>
    </w:p>
    <w:p w14:paraId="0CBC9EA7" w14:textId="77777777" w:rsidR="00E137BC" w:rsidRPr="00576D5C" w:rsidRDefault="00E137BC" w:rsidP="00576D5C">
      <w:pPr>
        <w:rPr>
          <w:rFonts w:asciiTheme="minorBidi" w:hAnsiTheme="minorBidi"/>
          <w:b/>
          <w:bCs/>
          <w:color w:val="000000"/>
          <w:sz w:val="28"/>
          <w:szCs w:val="28"/>
          <w:u w:val="single"/>
          <w:rtl/>
        </w:rPr>
      </w:pPr>
      <w:r w:rsidRPr="00576D5C">
        <w:rPr>
          <w:rFonts w:asciiTheme="minorBidi" w:hAnsiTheme="minorBidi"/>
          <w:b/>
          <w:bCs/>
          <w:color w:val="000000"/>
          <w:sz w:val="28"/>
          <w:szCs w:val="28"/>
          <w:u w:val="single"/>
          <w:rtl/>
        </w:rPr>
        <w:t>שו"ע:</w:t>
      </w:r>
    </w:p>
    <w:p w14:paraId="3B1F32CD" w14:textId="77777777" w:rsidR="00E137BC" w:rsidRPr="00576D5C" w:rsidRDefault="00E137BC" w:rsidP="00576D5C">
      <w:pPr>
        <w:rPr>
          <w:rFonts w:asciiTheme="minorBidi" w:hAnsiTheme="minorBidi"/>
          <w:rtl/>
        </w:rPr>
      </w:pPr>
      <w:r w:rsidRPr="00576D5C">
        <w:rPr>
          <w:rFonts w:asciiTheme="minorBidi" w:hAnsiTheme="minorBidi"/>
          <w:rtl/>
        </w:rPr>
        <w:lastRenderedPageBreak/>
        <w:t>תלמיד היושב בפני רבו ורואה זכות לעני</w:t>
      </w:r>
      <w:r w:rsidR="00B51B14" w:rsidRPr="00576D5C">
        <w:rPr>
          <w:rStyle w:val="ab"/>
          <w:rFonts w:asciiTheme="minorBidi" w:hAnsiTheme="minorBidi"/>
          <w:rtl/>
        </w:rPr>
        <w:footnoteReference w:id="497"/>
      </w:r>
      <w:r w:rsidRPr="00576D5C">
        <w:rPr>
          <w:rFonts w:asciiTheme="minorBidi" w:hAnsiTheme="minorBidi"/>
          <w:rtl/>
        </w:rPr>
        <w:t xml:space="preserve">, והרב רוצה לחייבו, חייב ללמד עליו זכות, ואם שותק עובר משום מדבר שקר תרחק </w:t>
      </w:r>
      <w:r w:rsidRPr="00576D5C">
        <w:rPr>
          <w:rFonts w:asciiTheme="minorBidi" w:hAnsiTheme="minorBidi"/>
          <w:sz w:val="16"/>
          <w:szCs w:val="16"/>
          <w:rtl/>
        </w:rPr>
        <w:t>(שמות כג, ז)</w:t>
      </w:r>
      <w:r w:rsidRPr="00576D5C">
        <w:rPr>
          <w:rFonts w:asciiTheme="minorBidi" w:hAnsiTheme="minorBidi"/>
          <w:rtl/>
        </w:rPr>
        <w:t xml:space="preserve">. </w:t>
      </w:r>
    </w:p>
    <w:p w14:paraId="36ECBCE9" w14:textId="77777777" w:rsidR="00B51B14" w:rsidRPr="00576D5C" w:rsidRDefault="00B51B14" w:rsidP="00576D5C">
      <w:pPr>
        <w:rPr>
          <w:rFonts w:asciiTheme="minorBidi" w:hAnsiTheme="minorBidi"/>
          <w:rtl/>
        </w:rPr>
      </w:pPr>
    </w:p>
    <w:p w14:paraId="331819B3" w14:textId="77777777" w:rsidR="00E137BC" w:rsidRPr="00576D5C" w:rsidRDefault="00E137BC" w:rsidP="00E842BA">
      <w:pPr>
        <w:pStyle w:val="2"/>
        <w:rPr>
          <w:rtl/>
        </w:rPr>
      </w:pPr>
      <w:bookmarkStart w:id="67" w:name="_Toc24883561"/>
      <w:r w:rsidRPr="00576D5C">
        <w:rPr>
          <w:rtl/>
        </w:rPr>
        <w:t>סעיף ח</w:t>
      </w:r>
      <w:r w:rsidR="00B51B14" w:rsidRPr="00576D5C">
        <w:rPr>
          <w:rtl/>
        </w:rPr>
        <w:t>: תלמיד שרואה שרבו טועה בדין.</w:t>
      </w:r>
      <w:bookmarkEnd w:id="67"/>
      <w:r w:rsidR="00B51B14" w:rsidRPr="00576D5C">
        <w:rPr>
          <w:rtl/>
        </w:rPr>
        <w:t xml:space="preserve"> </w:t>
      </w:r>
    </w:p>
    <w:p w14:paraId="3E9EC6D0" w14:textId="77777777" w:rsidR="00B51B14" w:rsidRPr="00576D5C" w:rsidRDefault="00B51B14" w:rsidP="00576D5C">
      <w:pPr>
        <w:rPr>
          <w:rFonts w:asciiTheme="minorBidi" w:hAnsiTheme="minorBidi"/>
          <w:rtl/>
        </w:rPr>
      </w:pPr>
      <w:r w:rsidRPr="00576D5C">
        <w:rPr>
          <w:rFonts w:asciiTheme="minorBidi" w:hAnsiTheme="minorBidi"/>
          <w:b/>
          <w:bCs/>
          <w:rtl/>
        </w:rPr>
        <w:t xml:space="preserve">שבועות </w:t>
      </w:r>
      <w:r w:rsidRPr="00576D5C">
        <w:rPr>
          <w:rFonts w:asciiTheme="minorBidi" w:hAnsiTheme="minorBidi"/>
          <w:b/>
          <w:bCs/>
          <w:sz w:val="16"/>
          <w:szCs w:val="16"/>
          <w:rtl/>
        </w:rPr>
        <w:t xml:space="preserve">(פ' שבועת העדות) </w:t>
      </w:r>
      <w:r w:rsidRPr="00576D5C">
        <w:rPr>
          <w:rFonts w:asciiTheme="minorBidi" w:hAnsiTheme="minorBidi"/>
          <w:b/>
          <w:bCs/>
          <w:rtl/>
        </w:rPr>
        <w:t>לא</w:t>
      </w:r>
      <w:r w:rsidR="00D83589">
        <w:rPr>
          <w:rStyle w:val="ab"/>
          <w:rFonts w:asciiTheme="minorBidi" w:hAnsiTheme="minorBidi"/>
          <w:b/>
          <w:bCs/>
          <w:rtl/>
        </w:rPr>
        <w:footnoteReference w:id="498"/>
      </w:r>
      <w:r w:rsidRPr="00576D5C">
        <w:rPr>
          <w:rFonts w:asciiTheme="minorBidi" w:hAnsiTheme="minorBidi"/>
          <w:b/>
          <w:bCs/>
          <w:rtl/>
        </w:rPr>
        <w:t xml:space="preserve"> ע"א: </w:t>
      </w:r>
      <w:r w:rsidRPr="00576D5C">
        <w:rPr>
          <w:rFonts w:asciiTheme="minorBidi" w:hAnsiTheme="minorBidi"/>
          <w:rtl/>
        </w:rPr>
        <w:t xml:space="preserve">מנין לתלמיד שרואה את רבו שטועה בדין, שלא יאמר: אמתין לו עד שיגמרנו, ואסתרנו ואבננו משלי כדי שיקרא הדין על שמי? ת"ל: מדבר שקר תרחק. </w:t>
      </w:r>
    </w:p>
    <w:p w14:paraId="6C3DEAC8" w14:textId="77777777" w:rsidR="00D83589" w:rsidRPr="00D83589" w:rsidRDefault="00D83589" w:rsidP="00D83589">
      <w:pPr>
        <w:rPr>
          <w:rFonts w:asciiTheme="minorBidi" w:hAnsiTheme="minorBidi"/>
          <w:u w:val="single"/>
          <w:rtl/>
        </w:rPr>
      </w:pPr>
      <w:r w:rsidRPr="00D83589">
        <w:rPr>
          <w:rFonts w:asciiTheme="minorBidi" w:hAnsiTheme="minorBidi"/>
          <w:u w:val="single"/>
          <w:rtl/>
        </w:rPr>
        <w:t>תלמיד היושב לפני רבו ורואה שטועה רבו בדין</w:t>
      </w:r>
      <w:r w:rsidRPr="00D83589">
        <w:rPr>
          <w:rFonts w:asciiTheme="minorBidi" w:hAnsiTheme="minorBidi" w:hint="cs"/>
          <w:u w:val="single"/>
          <w:rtl/>
        </w:rPr>
        <w:t>:</w:t>
      </w:r>
    </w:p>
    <w:p w14:paraId="1E64F6F7" w14:textId="77777777" w:rsidR="00D83589" w:rsidRPr="00D83589" w:rsidRDefault="00D83589" w:rsidP="00D83589">
      <w:pPr>
        <w:pStyle w:val="ac"/>
        <w:numPr>
          <w:ilvl w:val="0"/>
          <w:numId w:val="3"/>
        </w:numPr>
        <w:rPr>
          <w:rFonts w:asciiTheme="minorBidi" w:hAnsiTheme="minorBidi"/>
          <w:rtl/>
        </w:rPr>
      </w:pPr>
      <w:r>
        <w:rPr>
          <w:rFonts w:asciiTheme="minorBidi" w:hAnsiTheme="minorBidi" w:hint="cs"/>
          <w:rtl/>
        </w:rPr>
        <w:t xml:space="preserve">רמב"ם </w:t>
      </w:r>
      <w:r>
        <w:rPr>
          <w:rFonts w:asciiTheme="minorBidi" w:hAnsiTheme="minorBidi" w:hint="cs"/>
          <w:sz w:val="16"/>
          <w:szCs w:val="16"/>
          <w:rtl/>
        </w:rPr>
        <w:t>(פכ"ב ה"ג)</w:t>
      </w:r>
      <w:r>
        <w:rPr>
          <w:rFonts w:asciiTheme="minorBidi" w:hAnsiTheme="minorBidi" w:hint="cs"/>
          <w:rtl/>
        </w:rPr>
        <w:t xml:space="preserve"> ו</w:t>
      </w:r>
      <w:r w:rsidRPr="00D83589">
        <w:rPr>
          <w:rFonts w:asciiTheme="minorBidi" w:hAnsiTheme="minorBidi"/>
          <w:rtl/>
        </w:rPr>
        <w:t>טור- תלמיד היושב לפני רבו ורואה שטועה רבו בדין אל יאמר אשתוק עד שיגמור הדין ואסתרנו ואחזור ואבננו כדי שיקרא על שמי אלא יאמר לו דרך כבוד רבי כך וכך למדתני</w:t>
      </w:r>
      <w:r w:rsidRPr="00D83589">
        <w:rPr>
          <w:rFonts w:asciiTheme="minorBidi" w:hAnsiTheme="minorBidi" w:hint="cs"/>
          <w:rtl/>
        </w:rPr>
        <w:t xml:space="preserve"> </w:t>
      </w:r>
      <w:r>
        <w:rPr>
          <w:rFonts w:asciiTheme="minorBidi" w:hAnsiTheme="minorBidi" w:hint="cs"/>
          <w:sz w:val="16"/>
          <w:szCs w:val="16"/>
          <w:rtl/>
        </w:rPr>
        <w:t>(ל' הטור)</w:t>
      </w:r>
      <w:r w:rsidRPr="00D83589">
        <w:rPr>
          <w:rFonts w:asciiTheme="minorBidi" w:hAnsiTheme="minorBidi"/>
          <w:rtl/>
        </w:rPr>
        <w:t xml:space="preserve">. </w:t>
      </w:r>
      <w:r w:rsidRPr="00D83589">
        <w:rPr>
          <w:rFonts w:asciiTheme="minorBidi" w:hAnsiTheme="minorBidi" w:hint="cs"/>
          <w:color w:val="E36C0A" w:themeColor="accent6" w:themeShade="BF"/>
          <w:rtl/>
        </w:rPr>
        <w:t>(</w:t>
      </w:r>
      <w:r w:rsidRPr="00D83589">
        <w:rPr>
          <w:rFonts w:asciiTheme="minorBidi" w:hAnsiTheme="minorBidi"/>
          <w:color w:val="E36C0A" w:themeColor="accent6" w:themeShade="BF"/>
          <w:rtl/>
        </w:rPr>
        <w:t>וכ"פ בשו"ע</w:t>
      </w:r>
      <w:r w:rsidRPr="00D83589">
        <w:rPr>
          <w:rFonts w:asciiTheme="minorBidi" w:hAnsiTheme="minorBidi" w:hint="cs"/>
          <w:color w:val="E36C0A" w:themeColor="accent6" w:themeShade="BF"/>
          <w:rtl/>
        </w:rPr>
        <w:t>)</w:t>
      </w:r>
    </w:p>
    <w:p w14:paraId="22632265" w14:textId="77777777" w:rsidR="00E137BC" w:rsidRPr="00576D5C" w:rsidRDefault="00E137BC" w:rsidP="00576D5C">
      <w:pPr>
        <w:rPr>
          <w:rFonts w:asciiTheme="minorBidi" w:hAnsiTheme="minorBidi"/>
          <w:b/>
          <w:bCs/>
          <w:color w:val="000000"/>
          <w:sz w:val="28"/>
          <w:szCs w:val="28"/>
          <w:u w:val="single"/>
          <w:rtl/>
        </w:rPr>
      </w:pPr>
      <w:r w:rsidRPr="00576D5C">
        <w:rPr>
          <w:rFonts w:asciiTheme="minorBidi" w:hAnsiTheme="minorBidi"/>
          <w:b/>
          <w:bCs/>
          <w:color w:val="000000"/>
          <w:sz w:val="28"/>
          <w:szCs w:val="28"/>
          <w:u w:val="single"/>
          <w:rtl/>
        </w:rPr>
        <w:t>שו"ע:</w:t>
      </w:r>
    </w:p>
    <w:p w14:paraId="502B4D2A" w14:textId="77777777" w:rsidR="00E137BC" w:rsidRPr="00576D5C" w:rsidRDefault="00E137BC" w:rsidP="00576D5C">
      <w:pPr>
        <w:rPr>
          <w:rFonts w:asciiTheme="minorBidi" w:hAnsiTheme="minorBidi"/>
          <w:rtl/>
        </w:rPr>
        <w:sectPr w:rsidR="00E137BC" w:rsidRPr="00576D5C" w:rsidSect="00AF3AF9">
          <w:headerReference w:type="default" r:id="rId19"/>
          <w:footnotePr>
            <w:numRestart w:val="eachPage"/>
          </w:footnotePr>
          <w:pgSz w:w="11906" w:h="16838"/>
          <w:pgMar w:top="720" w:right="1134" w:bottom="720" w:left="1134" w:header="0" w:footer="0" w:gutter="0"/>
          <w:cols w:space="720"/>
          <w:bidi/>
          <w:rtlGutter/>
          <w:docGrid w:linePitch="360"/>
        </w:sectPr>
      </w:pPr>
      <w:r w:rsidRPr="00576D5C">
        <w:rPr>
          <w:rFonts w:asciiTheme="minorBidi" w:hAnsiTheme="minorBidi"/>
          <w:rtl/>
        </w:rPr>
        <w:t>תלמיד היושב לפני רבו ורואה שטועה בדין, אל יאמר: אשתוק עד שיגמור הדין ואסתרנו ואחזור ואבננו כדי שיקרא על שמי, אלא יאמר לו דרך כבוד: רבי, כך וכך למדתני.</w:t>
      </w:r>
    </w:p>
    <w:p w14:paraId="283C213F" w14:textId="77777777" w:rsidR="00E137BC" w:rsidRPr="00576D5C" w:rsidRDefault="00E137BC" w:rsidP="00E842BA">
      <w:pPr>
        <w:pStyle w:val="1"/>
        <w:rPr>
          <w:rtl/>
        </w:rPr>
      </w:pPr>
      <w:bookmarkStart w:id="68" w:name="_Toc24883562"/>
      <w:r w:rsidRPr="00576D5C">
        <w:rPr>
          <w:rtl/>
        </w:rPr>
        <w:lastRenderedPageBreak/>
        <w:t>סימן י: להיות מתון בדין ושימלך בגדול ממנו, ובו ד' סעיפים.</w:t>
      </w:r>
      <w:bookmarkEnd w:id="68"/>
      <w:r w:rsidRPr="00576D5C">
        <w:rPr>
          <w:rtl/>
        </w:rPr>
        <w:t xml:space="preserve"> </w:t>
      </w:r>
    </w:p>
    <w:p w14:paraId="25D43153" w14:textId="77777777" w:rsidR="00E137BC" w:rsidRPr="00576D5C" w:rsidRDefault="00E137BC" w:rsidP="00E842BA">
      <w:pPr>
        <w:pStyle w:val="2"/>
        <w:rPr>
          <w:rtl/>
        </w:rPr>
      </w:pPr>
      <w:bookmarkStart w:id="69" w:name="_Toc24883563"/>
      <w:r w:rsidRPr="00576D5C">
        <w:rPr>
          <w:rtl/>
        </w:rPr>
        <w:t>סעיף א</w:t>
      </w:r>
      <w:r w:rsidR="00782B0B" w:rsidRPr="00576D5C">
        <w:rPr>
          <w:rtl/>
        </w:rPr>
        <w:t xml:space="preserve">: </w:t>
      </w:r>
      <w:r w:rsidR="00CC763A" w:rsidRPr="00576D5C">
        <w:rPr>
          <w:rtl/>
        </w:rPr>
        <w:t>מתינות בדין.</w:t>
      </w:r>
      <w:bookmarkEnd w:id="69"/>
    </w:p>
    <w:p w14:paraId="587502E9" w14:textId="77777777" w:rsidR="00FA78B4" w:rsidRPr="00576D5C" w:rsidRDefault="00FA78B4" w:rsidP="00576D5C">
      <w:pPr>
        <w:rPr>
          <w:rFonts w:asciiTheme="minorBidi" w:hAnsiTheme="minorBidi"/>
          <w:rtl/>
        </w:rPr>
      </w:pPr>
      <w:r w:rsidRPr="00576D5C">
        <w:rPr>
          <w:rFonts w:asciiTheme="minorBidi" w:hAnsiTheme="minorBidi"/>
          <w:b/>
          <w:bCs/>
          <w:rtl/>
        </w:rPr>
        <w:t xml:space="preserve">משנה אבות פ"א מ"א: </w:t>
      </w:r>
      <w:r w:rsidRPr="00576D5C">
        <w:rPr>
          <w:rFonts w:asciiTheme="minorBidi" w:hAnsiTheme="minorBidi"/>
          <w:rtl/>
        </w:rPr>
        <w:t>משה קבל תורה מסיני ומסרה ליהושע</w:t>
      </w:r>
      <w:r w:rsidR="00641152">
        <w:rPr>
          <w:rFonts w:asciiTheme="minorBidi" w:hAnsiTheme="minorBidi" w:hint="cs"/>
          <w:rtl/>
        </w:rPr>
        <w:t>,</w:t>
      </w:r>
      <w:r w:rsidRPr="00576D5C">
        <w:rPr>
          <w:rFonts w:asciiTheme="minorBidi" w:hAnsiTheme="minorBidi"/>
          <w:rtl/>
        </w:rPr>
        <w:t xml:space="preserve"> ויהושע לזקנים</w:t>
      </w:r>
      <w:r w:rsidR="00641152">
        <w:rPr>
          <w:rFonts w:asciiTheme="minorBidi" w:hAnsiTheme="minorBidi" w:hint="cs"/>
          <w:rtl/>
        </w:rPr>
        <w:t>,</w:t>
      </w:r>
      <w:r w:rsidRPr="00576D5C">
        <w:rPr>
          <w:rFonts w:asciiTheme="minorBidi" w:hAnsiTheme="minorBidi"/>
          <w:rtl/>
        </w:rPr>
        <w:t xml:space="preserve"> וזקנים לנביאים</w:t>
      </w:r>
      <w:r w:rsidR="00641152">
        <w:rPr>
          <w:rFonts w:asciiTheme="minorBidi" w:hAnsiTheme="minorBidi" w:hint="cs"/>
          <w:rtl/>
        </w:rPr>
        <w:t>,</w:t>
      </w:r>
      <w:r w:rsidRPr="00576D5C">
        <w:rPr>
          <w:rFonts w:asciiTheme="minorBidi" w:hAnsiTheme="minorBidi"/>
          <w:rtl/>
        </w:rPr>
        <w:t xml:space="preserve"> ונביאים מסרוה לאנשי כנסת הגדולה</w:t>
      </w:r>
      <w:r w:rsidR="00641152">
        <w:rPr>
          <w:rFonts w:asciiTheme="minorBidi" w:hAnsiTheme="minorBidi" w:hint="cs"/>
          <w:rtl/>
        </w:rPr>
        <w:t>.</w:t>
      </w:r>
      <w:r w:rsidRPr="00576D5C">
        <w:rPr>
          <w:rFonts w:asciiTheme="minorBidi" w:hAnsiTheme="minorBidi"/>
          <w:rtl/>
        </w:rPr>
        <w:t xml:space="preserve"> הם אמרו שלשה דברים</w:t>
      </w:r>
      <w:r w:rsidR="00641152">
        <w:rPr>
          <w:rFonts w:asciiTheme="minorBidi" w:hAnsiTheme="minorBidi" w:hint="cs"/>
          <w:rtl/>
        </w:rPr>
        <w:t>:</w:t>
      </w:r>
      <w:r w:rsidRPr="00576D5C">
        <w:rPr>
          <w:rFonts w:asciiTheme="minorBidi" w:hAnsiTheme="minorBidi"/>
          <w:rtl/>
        </w:rPr>
        <w:t xml:space="preserve"> הוו מתונים בדין...</w:t>
      </w:r>
    </w:p>
    <w:p w14:paraId="1BFD829B" w14:textId="77777777" w:rsidR="00FA78B4" w:rsidRPr="00576D5C" w:rsidRDefault="00FA78B4" w:rsidP="00576D5C">
      <w:pPr>
        <w:rPr>
          <w:rFonts w:asciiTheme="minorBidi" w:hAnsiTheme="minorBidi"/>
          <w:rtl/>
        </w:rPr>
      </w:pPr>
      <w:r w:rsidRPr="00576D5C">
        <w:rPr>
          <w:rFonts w:asciiTheme="minorBidi" w:hAnsiTheme="minorBidi"/>
          <w:b/>
          <w:bCs/>
          <w:rtl/>
        </w:rPr>
        <w:t xml:space="preserve">סנהדרין </w:t>
      </w:r>
      <w:r w:rsidRPr="00576D5C">
        <w:rPr>
          <w:rFonts w:asciiTheme="minorBidi" w:hAnsiTheme="minorBidi"/>
          <w:b/>
          <w:bCs/>
          <w:sz w:val="16"/>
          <w:szCs w:val="16"/>
          <w:rtl/>
        </w:rPr>
        <w:t>(</w:t>
      </w:r>
      <w:r w:rsidR="00984FC8" w:rsidRPr="00576D5C">
        <w:rPr>
          <w:rFonts w:asciiTheme="minorBidi" w:hAnsiTheme="minorBidi"/>
          <w:b/>
          <w:bCs/>
          <w:sz w:val="16"/>
          <w:szCs w:val="16"/>
          <w:rtl/>
        </w:rPr>
        <w:t xml:space="preserve">פ' </w:t>
      </w:r>
      <w:r w:rsidRPr="00576D5C">
        <w:rPr>
          <w:rFonts w:asciiTheme="minorBidi" w:hAnsiTheme="minorBidi"/>
          <w:b/>
          <w:bCs/>
          <w:sz w:val="16"/>
          <w:szCs w:val="16"/>
          <w:rtl/>
        </w:rPr>
        <w:t>אחד דיני ממונות)</w:t>
      </w:r>
      <w:r w:rsidRPr="00576D5C">
        <w:rPr>
          <w:rFonts w:asciiTheme="minorBidi" w:hAnsiTheme="minorBidi"/>
          <w:b/>
          <w:bCs/>
          <w:rtl/>
        </w:rPr>
        <w:t xml:space="preserve"> לה</w:t>
      </w:r>
      <w:r w:rsidR="00641152">
        <w:rPr>
          <w:rStyle w:val="ab"/>
          <w:rFonts w:asciiTheme="minorBidi" w:hAnsiTheme="minorBidi"/>
          <w:b/>
          <w:bCs/>
          <w:rtl/>
        </w:rPr>
        <w:footnoteReference w:id="499"/>
      </w:r>
      <w:r w:rsidRPr="00576D5C">
        <w:rPr>
          <w:rFonts w:asciiTheme="minorBidi" w:hAnsiTheme="minorBidi"/>
          <w:b/>
          <w:bCs/>
          <w:rtl/>
        </w:rPr>
        <w:t xml:space="preserve"> ע"א: </w:t>
      </w:r>
      <w:r w:rsidRPr="00576D5C">
        <w:rPr>
          <w:rFonts w:asciiTheme="minorBidi" w:hAnsiTheme="minorBidi"/>
          <w:rtl/>
        </w:rPr>
        <w:t>אשרו חמוץ - אשרו דיין שמחמץ את דינו</w:t>
      </w:r>
      <w:r w:rsidRPr="00576D5C">
        <w:rPr>
          <w:rStyle w:val="ab"/>
          <w:rFonts w:asciiTheme="minorBidi" w:hAnsiTheme="minorBidi"/>
          <w:rtl/>
        </w:rPr>
        <w:footnoteReference w:id="500"/>
      </w:r>
      <w:r w:rsidRPr="00576D5C">
        <w:rPr>
          <w:rFonts w:asciiTheme="minorBidi" w:hAnsiTheme="minorBidi"/>
          <w:rtl/>
        </w:rPr>
        <w:t xml:space="preserve">. </w:t>
      </w:r>
    </w:p>
    <w:p w14:paraId="6788459B" w14:textId="77777777" w:rsidR="00984FC8" w:rsidRPr="00576D5C" w:rsidRDefault="00984FC8" w:rsidP="00576D5C">
      <w:pPr>
        <w:rPr>
          <w:rFonts w:asciiTheme="minorBidi" w:hAnsiTheme="minorBidi"/>
          <w:rtl/>
        </w:rPr>
      </w:pPr>
      <w:r w:rsidRPr="00576D5C">
        <w:rPr>
          <w:rFonts w:asciiTheme="minorBidi" w:hAnsiTheme="minorBidi"/>
          <w:b/>
          <w:bCs/>
          <w:rtl/>
        </w:rPr>
        <w:t xml:space="preserve">סנהדרין </w:t>
      </w:r>
      <w:r w:rsidRPr="00576D5C">
        <w:rPr>
          <w:rFonts w:asciiTheme="minorBidi" w:hAnsiTheme="minorBidi"/>
          <w:b/>
          <w:bCs/>
          <w:sz w:val="16"/>
          <w:szCs w:val="16"/>
          <w:rtl/>
        </w:rPr>
        <w:t>(פ"ק)</w:t>
      </w:r>
      <w:r w:rsidRPr="00576D5C">
        <w:rPr>
          <w:rFonts w:asciiTheme="minorBidi" w:hAnsiTheme="minorBidi"/>
          <w:b/>
          <w:bCs/>
          <w:rtl/>
        </w:rPr>
        <w:t xml:space="preserve"> ז</w:t>
      </w:r>
      <w:r w:rsidR="001D49DE">
        <w:rPr>
          <w:rStyle w:val="ab"/>
          <w:rFonts w:asciiTheme="minorBidi" w:hAnsiTheme="minorBidi"/>
          <w:b/>
          <w:bCs/>
          <w:rtl/>
        </w:rPr>
        <w:footnoteReference w:id="501"/>
      </w:r>
      <w:r w:rsidRPr="00576D5C">
        <w:rPr>
          <w:rFonts w:asciiTheme="minorBidi" w:hAnsiTheme="minorBidi"/>
          <w:b/>
          <w:bCs/>
          <w:rtl/>
        </w:rPr>
        <w:t xml:space="preserve"> ע"ב: </w:t>
      </w:r>
      <w:r w:rsidRPr="00641152">
        <w:rPr>
          <w:rFonts w:asciiTheme="minorBidi" w:hAnsiTheme="minorBidi"/>
          <w:u w:val="single"/>
          <w:rtl/>
        </w:rPr>
        <w:t>דרש רבי יאשיה ואיתימא רב נחמן בר יצחק</w:t>
      </w:r>
      <w:r w:rsidRPr="00576D5C">
        <w:rPr>
          <w:rFonts w:asciiTheme="minorBidi" w:hAnsiTheme="minorBidi"/>
          <w:rtl/>
        </w:rPr>
        <w:t xml:space="preserve">: מאי דכתיב בית דוד כה אמר ה' דינו לבקר משפט והצילו גזול מיד עושק, וכי בבקר דנין וכל היום אין דנין? אלא: אם ברור לך הדבר כבקר - אמרהו, ואם לאו - אל תאמרהו. </w:t>
      </w:r>
    </w:p>
    <w:p w14:paraId="71E32838" w14:textId="77777777" w:rsidR="00984FC8" w:rsidRPr="00576D5C" w:rsidRDefault="00984FC8" w:rsidP="00576D5C">
      <w:pPr>
        <w:rPr>
          <w:rFonts w:asciiTheme="minorBidi" w:hAnsiTheme="minorBidi"/>
          <w:rtl/>
        </w:rPr>
      </w:pPr>
      <w:r w:rsidRPr="00576D5C">
        <w:rPr>
          <w:rFonts w:asciiTheme="minorBidi" w:hAnsiTheme="minorBidi"/>
          <w:u w:val="single"/>
          <w:rtl/>
        </w:rPr>
        <w:t>מתינות בפסק הדין:</w:t>
      </w:r>
    </w:p>
    <w:p w14:paraId="328ACF2D" w14:textId="77777777" w:rsidR="00984FC8" w:rsidRPr="00576D5C" w:rsidRDefault="00984FC8" w:rsidP="00576D5C">
      <w:pPr>
        <w:pStyle w:val="ac"/>
        <w:numPr>
          <w:ilvl w:val="0"/>
          <w:numId w:val="3"/>
        </w:numPr>
        <w:rPr>
          <w:rFonts w:asciiTheme="minorBidi" w:hAnsiTheme="minorBidi"/>
          <w:rtl/>
        </w:rPr>
      </w:pPr>
      <w:r w:rsidRPr="00576D5C">
        <w:rPr>
          <w:rFonts w:asciiTheme="minorBidi" w:hAnsiTheme="minorBidi"/>
          <w:rtl/>
        </w:rPr>
        <w:t>טור- צריך הדיין להיות מתון בדין שלא יפסקנו עד שיחמיצנו וישא ויתן בו ויהיה ברור לו כשמש</w:t>
      </w:r>
      <w:r w:rsidR="00532D93">
        <w:rPr>
          <w:rFonts w:asciiTheme="minorBidi" w:hAnsiTheme="minorBidi" w:hint="cs"/>
          <w:rtl/>
        </w:rPr>
        <w:t>,</w:t>
      </w:r>
      <w:r w:rsidRPr="00576D5C">
        <w:rPr>
          <w:rFonts w:asciiTheme="minorBidi" w:hAnsiTheme="minorBidi"/>
          <w:rtl/>
        </w:rPr>
        <w:t xml:space="preserve"> כי ברוב משא ומתן ירד לעומקו</w:t>
      </w:r>
      <w:r w:rsidR="00A21872">
        <w:rPr>
          <w:rFonts w:asciiTheme="minorBidi" w:hAnsiTheme="minorBidi" w:hint="cs"/>
          <w:rtl/>
        </w:rPr>
        <w:t>,</w:t>
      </w:r>
      <w:r w:rsidRPr="00576D5C">
        <w:rPr>
          <w:rFonts w:asciiTheme="minorBidi" w:hAnsiTheme="minorBidi"/>
          <w:rtl/>
        </w:rPr>
        <w:t xml:space="preserve"> כמו שאמר אסף כי יתחמץ לבבי וכליותי אשתונן</w:t>
      </w:r>
      <w:r w:rsidRPr="00576D5C">
        <w:rPr>
          <w:rStyle w:val="ab"/>
          <w:rFonts w:asciiTheme="minorBidi" w:hAnsiTheme="minorBidi"/>
          <w:rtl/>
        </w:rPr>
        <w:footnoteReference w:id="502"/>
      </w:r>
      <w:r w:rsidRPr="00576D5C">
        <w:rPr>
          <w:rFonts w:asciiTheme="minorBidi" w:hAnsiTheme="minorBidi"/>
          <w:rtl/>
        </w:rPr>
        <w:t>.</w:t>
      </w:r>
      <w:r w:rsidR="00532D93">
        <w:rPr>
          <w:rFonts w:asciiTheme="minorBidi" w:hAnsiTheme="minorBidi" w:hint="cs"/>
          <w:rtl/>
        </w:rPr>
        <w:t xml:space="preserve"> </w:t>
      </w:r>
      <w:r w:rsidR="00532D93" w:rsidRPr="00D83589">
        <w:rPr>
          <w:rFonts w:asciiTheme="minorBidi" w:hAnsiTheme="minorBidi" w:hint="cs"/>
          <w:color w:val="E36C0A" w:themeColor="accent6" w:themeShade="BF"/>
          <w:rtl/>
        </w:rPr>
        <w:t>(</w:t>
      </w:r>
      <w:r w:rsidR="00532D93" w:rsidRPr="00D83589">
        <w:rPr>
          <w:rFonts w:asciiTheme="minorBidi" w:hAnsiTheme="minorBidi"/>
          <w:color w:val="E36C0A" w:themeColor="accent6" w:themeShade="BF"/>
          <w:rtl/>
        </w:rPr>
        <w:t>וכ"פ בשו"ע</w:t>
      </w:r>
      <w:r w:rsidR="00532D93" w:rsidRPr="00D83589">
        <w:rPr>
          <w:rFonts w:asciiTheme="minorBidi" w:hAnsiTheme="minorBidi" w:hint="cs"/>
          <w:color w:val="E36C0A" w:themeColor="accent6" w:themeShade="BF"/>
          <w:rtl/>
        </w:rPr>
        <w:t>)</w:t>
      </w:r>
    </w:p>
    <w:p w14:paraId="123ABB4E" w14:textId="77777777" w:rsidR="00984FC8" w:rsidRPr="00576D5C" w:rsidRDefault="00984FC8" w:rsidP="00576D5C">
      <w:pPr>
        <w:rPr>
          <w:rFonts w:asciiTheme="minorBidi" w:hAnsiTheme="minorBidi"/>
          <w:rtl/>
        </w:rPr>
      </w:pPr>
      <w:r w:rsidRPr="00576D5C">
        <w:rPr>
          <w:rFonts w:asciiTheme="minorBidi" w:hAnsiTheme="minorBidi"/>
          <w:b/>
          <w:bCs/>
          <w:rtl/>
        </w:rPr>
        <w:t xml:space="preserve">משנה אבות פ"ד מ"ז: </w:t>
      </w:r>
      <w:r w:rsidRPr="00532D93">
        <w:rPr>
          <w:rFonts w:asciiTheme="minorBidi" w:hAnsiTheme="minorBidi"/>
          <w:u w:val="single"/>
          <w:rtl/>
        </w:rPr>
        <w:t>רבי ישמעאל בנו אומר</w:t>
      </w:r>
      <w:r w:rsidR="00532D93">
        <w:rPr>
          <w:rFonts w:asciiTheme="minorBidi" w:hAnsiTheme="minorBidi" w:hint="cs"/>
          <w:rtl/>
        </w:rPr>
        <w:t>:</w:t>
      </w:r>
      <w:r w:rsidRPr="00576D5C">
        <w:rPr>
          <w:rFonts w:asciiTheme="minorBidi" w:hAnsiTheme="minorBidi"/>
          <w:rtl/>
        </w:rPr>
        <w:t xml:space="preserve"> החושך עצמו מן הדין פורק ממנו איבה וגזל ושבועת שוא</w:t>
      </w:r>
      <w:r w:rsidR="00532D93">
        <w:rPr>
          <w:rFonts w:asciiTheme="minorBidi" w:hAnsiTheme="minorBidi" w:hint="cs"/>
          <w:rtl/>
        </w:rPr>
        <w:t>.</w:t>
      </w:r>
      <w:r w:rsidRPr="00576D5C">
        <w:rPr>
          <w:rFonts w:asciiTheme="minorBidi" w:hAnsiTheme="minorBidi"/>
          <w:rtl/>
        </w:rPr>
        <w:t xml:space="preserve"> והגס לבו בהוראה שוטה רשע וגס רוח. </w:t>
      </w:r>
    </w:p>
    <w:p w14:paraId="72305D86" w14:textId="77777777" w:rsidR="00984FC8" w:rsidRPr="00576D5C" w:rsidRDefault="00984FC8" w:rsidP="00576D5C">
      <w:pPr>
        <w:rPr>
          <w:rFonts w:asciiTheme="minorBidi" w:hAnsiTheme="minorBidi"/>
          <w:rtl/>
        </w:rPr>
      </w:pPr>
      <w:r w:rsidRPr="00576D5C">
        <w:rPr>
          <w:rFonts w:asciiTheme="minorBidi" w:hAnsiTheme="minorBidi"/>
          <w:u w:val="single"/>
          <w:rtl/>
        </w:rPr>
        <w:t>הגס לבו בהוראה:</w:t>
      </w:r>
    </w:p>
    <w:p w14:paraId="4480D4BE" w14:textId="77777777" w:rsidR="00984FC8" w:rsidRPr="00576D5C" w:rsidRDefault="00532D93" w:rsidP="00576D5C">
      <w:pPr>
        <w:pStyle w:val="ac"/>
        <w:numPr>
          <w:ilvl w:val="0"/>
          <w:numId w:val="3"/>
        </w:numPr>
        <w:rPr>
          <w:rFonts w:asciiTheme="minorBidi" w:hAnsiTheme="minorBidi"/>
          <w:rtl/>
        </w:rPr>
      </w:pPr>
      <w:r>
        <w:rPr>
          <w:rFonts w:asciiTheme="minorBidi" w:hAnsiTheme="minorBidi" w:hint="cs"/>
          <w:rtl/>
        </w:rPr>
        <w:t xml:space="preserve">רמב"ם </w:t>
      </w:r>
      <w:r>
        <w:rPr>
          <w:rFonts w:asciiTheme="minorBidi" w:hAnsiTheme="minorBidi" w:hint="cs"/>
          <w:sz w:val="16"/>
          <w:szCs w:val="16"/>
          <w:rtl/>
        </w:rPr>
        <w:t xml:space="preserve">(פ"כ ה"ז) </w:t>
      </w:r>
      <w:r>
        <w:rPr>
          <w:rFonts w:asciiTheme="minorBidi" w:hAnsiTheme="minorBidi" w:hint="cs"/>
          <w:rtl/>
        </w:rPr>
        <w:t>ו</w:t>
      </w:r>
      <w:r w:rsidR="00984FC8" w:rsidRPr="00576D5C">
        <w:rPr>
          <w:rFonts w:asciiTheme="minorBidi" w:hAnsiTheme="minorBidi"/>
          <w:rtl/>
        </w:rPr>
        <w:t xml:space="preserve">טור- </w:t>
      </w:r>
      <w:r w:rsidRPr="00532D93">
        <w:rPr>
          <w:rFonts w:asciiTheme="minorBidi" w:hAnsiTheme="minorBidi" w:cs="Arial"/>
          <w:rtl/>
        </w:rPr>
        <w:t>הגס לבו בהוראה וקופץ וחותך את הדין קודם שיחקרהו בינו לבין עצמו עד שיהא לו ברור כשמש הרי זה שוטה רשע וגס רוח, כך צוו חכמים הוו מתונין בדין, וכן איוב הוא אומר וריב לא ידעתי אחקרהו</w:t>
      </w:r>
      <w:r>
        <w:rPr>
          <w:rFonts w:asciiTheme="minorBidi" w:hAnsiTheme="minorBidi" w:cs="Arial" w:hint="cs"/>
          <w:sz w:val="16"/>
          <w:szCs w:val="16"/>
          <w:rtl/>
        </w:rPr>
        <w:t xml:space="preserve"> (ל' הרמב"ם)</w:t>
      </w:r>
      <w:r w:rsidR="00984FC8" w:rsidRPr="00576D5C">
        <w:rPr>
          <w:rFonts w:asciiTheme="minorBidi" w:hAnsiTheme="minorBidi"/>
          <w:rtl/>
        </w:rPr>
        <w:t>.</w:t>
      </w:r>
      <w:r>
        <w:rPr>
          <w:rFonts w:asciiTheme="minorBidi" w:hAnsiTheme="minorBidi" w:hint="cs"/>
          <w:rtl/>
        </w:rPr>
        <w:t xml:space="preserve"> </w:t>
      </w:r>
      <w:r w:rsidRPr="00D83589">
        <w:rPr>
          <w:rFonts w:asciiTheme="minorBidi" w:hAnsiTheme="minorBidi" w:hint="cs"/>
          <w:color w:val="E36C0A" w:themeColor="accent6" w:themeShade="BF"/>
          <w:rtl/>
        </w:rPr>
        <w:t>(</w:t>
      </w:r>
      <w:r w:rsidRPr="00D83589">
        <w:rPr>
          <w:rFonts w:asciiTheme="minorBidi" w:hAnsiTheme="minorBidi"/>
          <w:color w:val="E36C0A" w:themeColor="accent6" w:themeShade="BF"/>
          <w:rtl/>
        </w:rPr>
        <w:t>וכ"פ בשו"ע</w:t>
      </w:r>
      <w:r w:rsidRPr="00D83589">
        <w:rPr>
          <w:rFonts w:asciiTheme="minorBidi" w:hAnsiTheme="minorBidi" w:hint="cs"/>
          <w:color w:val="E36C0A" w:themeColor="accent6" w:themeShade="BF"/>
          <w:rtl/>
        </w:rPr>
        <w:t>)</w:t>
      </w:r>
    </w:p>
    <w:p w14:paraId="1D6E48A1" w14:textId="77777777" w:rsidR="00E137BC" w:rsidRPr="00576D5C" w:rsidRDefault="00E137BC" w:rsidP="00576D5C">
      <w:pPr>
        <w:rPr>
          <w:rFonts w:asciiTheme="minorBidi" w:hAnsiTheme="minorBidi"/>
          <w:b/>
          <w:bCs/>
          <w:color w:val="000000"/>
          <w:sz w:val="28"/>
          <w:szCs w:val="28"/>
          <w:u w:val="single"/>
          <w:rtl/>
        </w:rPr>
      </w:pPr>
      <w:r w:rsidRPr="00576D5C">
        <w:rPr>
          <w:rFonts w:asciiTheme="minorBidi" w:hAnsiTheme="minorBidi"/>
          <w:b/>
          <w:bCs/>
          <w:color w:val="000000"/>
          <w:sz w:val="28"/>
          <w:szCs w:val="28"/>
          <w:u w:val="single"/>
          <w:rtl/>
        </w:rPr>
        <w:t>שו"ע:</w:t>
      </w:r>
    </w:p>
    <w:p w14:paraId="2AE50688" w14:textId="77777777" w:rsidR="00E137BC" w:rsidRPr="00576D5C" w:rsidRDefault="00E137BC" w:rsidP="00576D5C">
      <w:pPr>
        <w:rPr>
          <w:rFonts w:asciiTheme="minorBidi" w:hAnsiTheme="minorBidi"/>
          <w:rtl/>
        </w:rPr>
      </w:pPr>
      <w:r w:rsidRPr="00576D5C">
        <w:rPr>
          <w:rFonts w:asciiTheme="minorBidi" w:hAnsiTheme="minorBidi"/>
          <w:rtl/>
        </w:rPr>
        <w:t>צריך הדיין להיות מתון בדין, שלא יפסקנו עד שיחמיצנו וישא ויתן בו ויהיה ברור לו כשמש. והגס לבו בהוראה וקופץ ופוסק הדין קודם שיחקרנו היטב בינו לבין עצמו עד שיהיה ברור לו כשמש הרי זה שוטה רשע וגס רוח</w:t>
      </w:r>
      <w:r w:rsidR="00984FC8" w:rsidRPr="00576D5C">
        <w:rPr>
          <w:rStyle w:val="ab"/>
          <w:rFonts w:asciiTheme="minorBidi" w:hAnsiTheme="minorBidi"/>
          <w:rtl/>
        </w:rPr>
        <w:footnoteReference w:id="503"/>
      </w:r>
      <w:r w:rsidRPr="00576D5C">
        <w:rPr>
          <w:rFonts w:asciiTheme="minorBidi" w:hAnsiTheme="minorBidi"/>
          <w:rtl/>
        </w:rPr>
        <w:t xml:space="preserve">. </w:t>
      </w:r>
    </w:p>
    <w:p w14:paraId="2F38522B" w14:textId="77777777" w:rsidR="00782B0B" w:rsidRPr="00576D5C" w:rsidRDefault="00782B0B" w:rsidP="00576D5C">
      <w:pPr>
        <w:rPr>
          <w:rFonts w:asciiTheme="minorBidi" w:hAnsiTheme="minorBidi"/>
          <w:rtl/>
        </w:rPr>
      </w:pPr>
    </w:p>
    <w:p w14:paraId="1EB50F65" w14:textId="77777777" w:rsidR="0094395E" w:rsidRPr="00576D5C" w:rsidRDefault="00E137BC" w:rsidP="00E842BA">
      <w:pPr>
        <w:pStyle w:val="2"/>
        <w:rPr>
          <w:rtl/>
        </w:rPr>
      </w:pPr>
      <w:bookmarkStart w:id="70" w:name="_Toc24883564"/>
      <w:r w:rsidRPr="00576D5C">
        <w:rPr>
          <w:rtl/>
        </w:rPr>
        <w:t>סעיף ב</w:t>
      </w:r>
      <w:r w:rsidR="00782B0B" w:rsidRPr="00576D5C">
        <w:rPr>
          <w:rtl/>
        </w:rPr>
        <w:t>:</w:t>
      </w:r>
      <w:r w:rsidR="00CC763A" w:rsidRPr="00576D5C">
        <w:rPr>
          <w:rtl/>
        </w:rPr>
        <w:t xml:space="preserve"> דימוי דין לדין.</w:t>
      </w:r>
      <w:bookmarkEnd w:id="70"/>
    </w:p>
    <w:p w14:paraId="231C4C04" w14:textId="77777777" w:rsidR="00B907F9" w:rsidRDefault="00984FC8" w:rsidP="00576D5C">
      <w:pPr>
        <w:rPr>
          <w:rFonts w:asciiTheme="minorBidi" w:hAnsiTheme="minorBidi"/>
          <w:sz w:val="16"/>
          <w:szCs w:val="16"/>
          <w:rtl/>
        </w:rPr>
      </w:pPr>
      <w:r w:rsidRPr="00576D5C">
        <w:rPr>
          <w:rFonts w:asciiTheme="minorBidi" w:hAnsiTheme="minorBidi"/>
          <w:b/>
          <w:bCs/>
          <w:rtl/>
        </w:rPr>
        <w:t xml:space="preserve">יבמות </w:t>
      </w:r>
      <w:r w:rsidRPr="00576D5C">
        <w:rPr>
          <w:rFonts w:asciiTheme="minorBidi" w:hAnsiTheme="minorBidi"/>
          <w:b/>
          <w:bCs/>
          <w:sz w:val="16"/>
          <w:szCs w:val="16"/>
          <w:rtl/>
        </w:rPr>
        <w:t xml:space="preserve">(פ' בית שמאי) </w:t>
      </w:r>
      <w:r w:rsidRPr="00576D5C">
        <w:rPr>
          <w:rFonts w:asciiTheme="minorBidi" w:hAnsiTheme="minorBidi"/>
          <w:b/>
          <w:bCs/>
          <w:rtl/>
        </w:rPr>
        <w:t>קט</w:t>
      </w:r>
      <w:r w:rsidR="00B907F9">
        <w:rPr>
          <w:rStyle w:val="ab"/>
          <w:rFonts w:asciiTheme="minorBidi" w:hAnsiTheme="minorBidi"/>
          <w:b/>
          <w:bCs/>
          <w:rtl/>
        </w:rPr>
        <w:footnoteReference w:id="504"/>
      </w:r>
      <w:r w:rsidRPr="00576D5C">
        <w:rPr>
          <w:rFonts w:asciiTheme="minorBidi" w:hAnsiTheme="minorBidi"/>
          <w:b/>
          <w:bCs/>
          <w:rtl/>
        </w:rPr>
        <w:t xml:space="preserve"> ע"ב:</w:t>
      </w:r>
      <w:r w:rsidRPr="00576D5C">
        <w:rPr>
          <w:rFonts w:asciiTheme="minorBidi" w:hAnsiTheme="minorBidi"/>
          <w:rtl/>
        </w:rPr>
        <w:t xml:space="preserve"> </w:t>
      </w:r>
      <w:r w:rsidRPr="00532D93">
        <w:rPr>
          <w:rFonts w:asciiTheme="minorBidi" w:hAnsiTheme="minorBidi"/>
          <w:u w:val="single"/>
          <w:rtl/>
        </w:rPr>
        <w:t>א"ר יצחק</w:t>
      </w:r>
      <w:r w:rsidR="00532D93">
        <w:rPr>
          <w:rFonts w:asciiTheme="minorBidi" w:hAnsiTheme="minorBidi" w:hint="cs"/>
          <w:rtl/>
        </w:rPr>
        <w:t>:</w:t>
      </w:r>
      <w:r w:rsidRPr="00576D5C">
        <w:rPr>
          <w:rFonts w:asciiTheme="minorBidi" w:hAnsiTheme="minorBidi"/>
          <w:rtl/>
        </w:rPr>
        <w:t xml:space="preserve"> מאי דכתיב: רע ירוע כי ערב זר</w:t>
      </w:r>
      <w:r w:rsidR="00532D93">
        <w:rPr>
          <w:rStyle w:val="ab"/>
          <w:rFonts w:asciiTheme="minorBidi" w:hAnsiTheme="minorBidi"/>
          <w:rtl/>
        </w:rPr>
        <w:footnoteReference w:id="505"/>
      </w:r>
      <w:r w:rsidRPr="00576D5C">
        <w:rPr>
          <w:rFonts w:asciiTheme="minorBidi" w:hAnsiTheme="minorBidi"/>
          <w:rtl/>
        </w:rPr>
        <w:t>? רעה אחר רעה תבא למקבלי גרים, ולערבי שלציון, ולתוקע עצמו לדבר הלכה... תוקע עצמו לדבר הלכה - בדיינא דאתי דינא לקמיה, וגמר הלכה</w:t>
      </w:r>
      <w:r w:rsidRPr="00576D5C">
        <w:rPr>
          <w:rStyle w:val="ab"/>
          <w:rFonts w:asciiTheme="minorBidi" w:hAnsiTheme="minorBidi"/>
          <w:rtl/>
        </w:rPr>
        <w:footnoteReference w:id="506"/>
      </w:r>
      <w:r w:rsidRPr="00576D5C">
        <w:rPr>
          <w:rFonts w:asciiTheme="minorBidi" w:hAnsiTheme="minorBidi"/>
          <w:rtl/>
        </w:rPr>
        <w:t xml:space="preserve"> ומדמי מילתא למילתא, ואית ליה רבה</w:t>
      </w:r>
      <w:r w:rsidR="00B907F9">
        <w:rPr>
          <w:rStyle w:val="ab"/>
          <w:rFonts w:asciiTheme="minorBidi" w:hAnsiTheme="minorBidi"/>
          <w:rtl/>
        </w:rPr>
        <w:footnoteReference w:id="507"/>
      </w:r>
      <w:r w:rsidRPr="00576D5C">
        <w:rPr>
          <w:rFonts w:asciiTheme="minorBidi" w:hAnsiTheme="minorBidi"/>
          <w:rtl/>
        </w:rPr>
        <w:t xml:space="preserve"> ולא אזיל משאיל.</w:t>
      </w:r>
      <w:r w:rsidRPr="00576D5C">
        <w:rPr>
          <w:rFonts w:asciiTheme="minorBidi" w:hAnsiTheme="minorBidi"/>
          <w:sz w:val="16"/>
          <w:szCs w:val="16"/>
          <w:rtl/>
        </w:rPr>
        <w:t xml:space="preserve"> </w:t>
      </w:r>
    </w:p>
    <w:p w14:paraId="0F9D0362" w14:textId="77777777" w:rsidR="00B907F9" w:rsidRPr="00B907F9" w:rsidRDefault="00B907F9" w:rsidP="00576D5C">
      <w:pPr>
        <w:rPr>
          <w:rFonts w:asciiTheme="minorBidi" w:hAnsiTheme="minorBidi"/>
          <w:u w:val="single"/>
          <w:rtl/>
        </w:rPr>
      </w:pPr>
      <w:r w:rsidRPr="00B907F9">
        <w:rPr>
          <w:rFonts w:asciiTheme="minorBidi" w:hAnsiTheme="minorBidi" w:hint="cs"/>
          <w:u w:val="single"/>
          <w:rtl/>
        </w:rPr>
        <w:t>תלמיד שדן דין על ידי דימוי לדין אחר ששמע מרבו:</w:t>
      </w:r>
    </w:p>
    <w:p w14:paraId="1597767C" w14:textId="77777777" w:rsidR="00B907F9" w:rsidRPr="00B907F9" w:rsidRDefault="00B907F9" w:rsidP="00B907F9">
      <w:pPr>
        <w:pStyle w:val="ac"/>
        <w:numPr>
          <w:ilvl w:val="0"/>
          <w:numId w:val="3"/>
        </w:numPr>
        <w:rPr>
          <w:rFonts w:asciiTheme="minorBidi" w:hAnsiTheme="minorBidi"/>
        </w:rPr>
      </w:pPr>
      <w:r>
        <w:rPr>
          <w:rFonts w:asciiTheme="minorBidi" w:hAnsiTheme="minorBidi" w:hint="cs"/>
          <w:rtl/>
        </w:rPr>
        <w:t xml:space="preserve">רמב"ם </w:t>
      </w:r>
      <w:r>
        <w:rPr>
          <w:rFonts w:asciiTheme="minorBidi" w:hAnsiTheme="minorBidi" w:hint="cs"/>
          <w:sz w:val="16"/>
          <w:szCs w:val="16"/>
          <w:rtl/>
        </w:rPr>
        <w:t xml:space="preserve">(פ"כ ה"ח) </w:t>
      </w:r>
      <w:r>
        <w:rPr>
          <w:rFonts w:asciiTheme="minorBidi" w:hAnsiTheme="minorBidi" w:hint="cs"/>
          <w:rtl/>
        </w:rPr>
        <w:t>ו</w:t>
      </w:r>
      <w:r w:rsidR="00984FC8" w:rsidRPr="00B907F9">
        <w:rPr>
          <w:rFonts w:asciiTheme="minorBidi" w:hAnsiTheme="minorBidi"/>
          <w:rtl/>
        </w:rPr>
        <w:t xml:space="preserve">טור- </w:t>
      </w:r>
      <w:r w:rsidRPr="00B907F9">
        <w:rPr>
          <w:rFonts w:asciiTheme="minorBidi" w:hAnsiTheme="minorBidi" w:cs="Arial"/>
          <w:rtl/>
        </w:rPr>
        <w:t>כל דיין שבא לפניו דין והתחיל לדמותו בדין פסוק שכבר ידע אותו</w:t>
      </w:r>
      <w:r w:rsidR="00D31012">
        <w:rPr>
          <w:rFonts w:asciiTheme="minorBidi" w:hAnsiTheme="minorBidi" w:cs="Arial" w:hint="cs"/>
          <w:rtl/>
        </w:rPr>
        <w:t>,</w:t>
      </w:r>
      <w:r w:rsidRPr="00B907F9">
        <w:rPr>
          <w:rFonts w:asciiTheme="minorBidi" w:hAnsiTheme="minorBidi" w:cs="Arial"/>
          <w:rtl/>
        </w:rPr>
        <w:t xml:space="preserve"> ויש במדינה גדול ממנו בחכמה</w:t>
      </w:r>
      <w:r w:rsidR="00D31012">
        <w:rPr>
          <w:rFonts w:asciiTheme="minorBidi" w:hAnsiTheme="minorBidi" w:cs="Arial" w:hint="cs"/>
          <w:rtl/>
        </w:rPr>
        <w:t>,</w:t>
      </w:r>
      <w:r w:rsidRPr="00B907F9">
        <w:rPr>
          <w:rFonts w:asciiTheme="minorBidi" w:hAnsiTheme="minorBidi" w:cs="Arial"/>
          <w:rtl/>
        </w:rPr>
        <w:t xml:space="preserve"> ואינו הולך ונמלך בו </w:t>
      </w:r>
      <w:r w:rsidR="00D31012">
        <w:rPr>
          <w:rFonts w:asciiTheme="minorBidi" w:hAnsiTheme="minorBidi" w:cs="Arial" w:hint="cs"/>
          <w:rtl/>
        </w:rPr>
        <w:t xml:space="preserve">- </w:t>
      </w:r>
      <w:r w:rsidRPr="00B907F9">
        <w:rPr>
          <w:rFonts w:asciiTheme="minorBidi" w:hAnsiTheme="minorBidi" w:cs="Arial"/>
          <w:rtl/>
        </w:rPr>
        <w:t>הרי זה בכלל הרשעים שלבם גס בהוראה</w:t>
      </w:r>
      <w:r w:rsidR="00D31012">
        <w:rPr>
          <w:rFonts w:asciiTheme="minorBidi" w:hAnsiTheme="minorBidi" w:cs="Arial" w:hint="cs"/>
          <w:rtl/>
        </w:rPr>
        <w:t>.</w:t>
      </w:r>
      <w:r w:rsidRPr="00B907F9">
        <w:rPr>
          <w:rFonts w:asciiTheme="minorBidi" w:hAnsiTheme="minorBidi" w:cs="Arial"/>
          <w:rtl/>
        </w:rPr>
        <w:t xml:space="preserve"> ואמרו חכמים רעה על רעה תבא לו</w:t>
      </w:r>
      <w:r w:rsidR="00D31012">
        <w:rPr>
          <w:rFonts w:asciiTheme="minorBidi" w:hAnsiTheme="minorBidi" w:cs="Arial" w:hint="cs"/>
          <w:rtl/>
        </w:rPr>
        <w:t>,</w:t>
      </w:r>
      <w:r w:rsidRPr="00B907F9">
        <w:rPr>
          <w:rFonts w:asciiTheme="minorBidi" w:hAnsiTheme="minorBidi" w:cs="Arial"/>
          <w:rtl/>
        </w:rPr>
        <w:t xml:space="preserve"> שכל הדברים וכיוצא בהן מגסות הרוח הן המביאות לידי עוות הדין </w:t>
      </w:r>
      <w:r>
        <w:rPr>
          <w:rFonts w:asciiTheme="minorBidi" w:hAnsiTheme="minorBidi" w:cs="Arial" w:hint="cs"/>
          <w:sz w:val="16"/>
          <w:szCs w:val="16"/>
          <w:rtl/>
        </w:rPr>
        <w:t>(ל' הרמב"ם)</w:t>
      </w:r>
      <w:r w:rsidRPr="00576D5C">
        <w:rPr>
          <w:rFonts w:asciiTheme="minorBidi" w:hAnsiTheme="minorBidi"/>
          <w:rtl/>
        </w:rPr>
        <w:t>.</w:t>
      </w:r>
      <w:r>
        <w:rPr>
          <w:rFonts w:asciiTheme="minorBidi" w:hAnsiTheme="minorBidi" w:hint="cs"/>
          <w:rtl/>
        </w:rPr>
        <w:t xml:space="preserve"> </w:t>
      </w:r>
      <w:r w:rsidRPr="00D83589">
        <w:rPr>
          <w:rFonts w:asciiTheme="minorBidi" w:hAnsiTheme="minorBidi" w:hint="cs"/>
          <w:color w:val="E36C0A" w:themeColor="accent6" w:themeShade="BF"/>
          <w:rtl/>
        </w:rPr>
        <w:t>(</w:t>
      </w:r>
      <w:r w:rsidRPr="00D83589">
        <w:rPr>
          <w:rFonts w:asciiTheme="minorBidi" w:hAnsiTheme="minorBidi"/>
          <w:color w:val="E36C0A" w:themeColor="accent6" w:themeShade="BF"/>
          <w:rtl/>
        </w:rPr>
        <w:t>וכ"פ בשו"ע</w:t>
      </w:r>
      <w:r w:rsidRPr="00D83589">
        <w:rPr>
          <w:rFonts w:asciiTheme="minorBidi" w:hAnsiTheme="minorBidi" w:hint="cs"/>
          <w:color w:val="E36C0A" w:themeColor="accent6" w:themeShade="BF"/>
          <w:rtl/>
        </w:rPr>
        <w:t>)</w:t>
      </w:r>
    </w:p>
    <w:p w14:paraId="6EA92925" w14:textId="77777777" w:rsidR="00E137BC" w:rsidRPr="00576D5C" w:rsidRDefault="00E137BC" w:rsidP="00576D5C">
      <w:pPr>
        <w:rPr>
          <w:rFonts w:asciiTheme="minorBidi" w:hAnsiTheme="minorBidi"/>
          <w:b/>
          <w:bCs/>
          <w:color w:val="000000"/>
          <w:sz w:val="28"/>
          <w:szCs w:val="28"/>
          <w:u w:val="single"/>
          <w:rtl/>
        </w:rPr>
      </w:pPr>
      <w:r w:rsidRPr="00576D5C">
        <w:rPr>
          <w:rFonts w:asciiTheme="minorBidi" w:hAnsiTheme="minorBidi"/>
          <w:b/>
          <w:bCs/>
          <w:color w:val="000000"/>
          <w:sz w:val="28"/>
          <w:szCs w:val="28"/>
          <w:u w:val="single"/>
          <w:rtl/>
        </w:rPr>
        <w:t>שו"ע:</w:t>
      </w:r>
    </w:p>
    <w:p w14:paraId="6A9C4FD3" w14:textId="77777777" w:rsidR="00E137BC" w:rsidRPr="00576D5C" w:rsidRDefault="00E137BC" w:rsidP="00576D5C">
      <w:pPr>
        <w:rPr>
          <w:rFonts w:asciiTheme="minorBidi" w:hAnsiTheme="minorBidi"/>
          <w:rtl/>
        </w:rPr>
      </w:pPr>
      <w:r w:rsidRPr="00576D5C">
        <w:rPr>
          <w:rFonts w:asciiTheme="minorBidi" w:hAnsiTheme="minorBidi"/>
          <w:rtl/>
        </w:rPr>
        <w:lastRenderedPageBreak/>
        <w:t>כל מי שבא לידו דין ומדמהו לדין אחר שבא לידו כבר ופסקו</w:t>
      </w:r>
      <w:r w:rsidR="00984FC8" w:rsidRPr="00576D5C">
        <w:rPr>
          <w:rStyle w:val="ab"/>
          <w:rFonts w:asciiTheme="minorBidi" w:hAnsiTheme="minorBidi"/>
          <w:rtl/>
        </w:rPr>
        <w:footnoteReference w:id="508"/>
      </w:r>
      <w:r w:rsidRPr="00576D5C">
        <w:rPr>
          <w:rFonts w:asciiTheme="minorBidi" w:hAnsiTheme="minorBidi"/>
          <w:rtl/>
        </w:rPr>
        <w:t>, ויש עמו בעיר גדול ממנו בחכמה ואינו נמלך בו, הרי זה בכלל הרשעים שלבם גס בהוראה</w:t>
      </w:r>
      <w:r w:rsidR="00984FC8" w:rsidRPr="00576D5C">
        <w:rPr>
          <w:rStyle w:val="ab"/>
          <w:rFonts w:asciiTheme="minorBidi" w:hAnsiTheme="minorBidi"/>
          <w:rtl/>
        </w:rPr>
        <w:footnoteReference w:id="509"/>
      </w:r>
      <w:r w:rsidRPr="00576D5C">
        <w:rPr>
          <w:rFonts w:asciiTheme="minorBidi" w:hAnsiTheme="minorBidi"/>
          <w:rtl/>
        </w:rPr>
        <w:t xml:space="preserve">. </w:t>
      </w:r>
    </w:p>
    <w:p w14:paraId="09AF3456" w14:textId="77777777" w:rsidR="00782B0B" w:rsidRPr="00576D5C" w:rsidRDefault="00782B0B" w:rsidP="00576D5C">
      <w:pPr>
        <w:rPr>
          <w:rFonts w:asciiTheme="minorBidi" w:hAnsiTheme="minorBidi"/>
          <w:rtl/>
        </w:rPr>
      </w:pPr>
    </w:p>
    <w:p w14:paraId="21778330" w14:textId="77777777" w:rsidR="00E137BC" w:rsidRPr="00576D5C" w:rsidRDefault="00E137BC" w:rsidP="00104621">
      <w:pPr>
        <w:pStyle w:val="2"/>
        <w:rPr>
          <w:rtl/>
        </w:rPr>
      </w:pPr>
      <w:bookmarkStart w:id="71" w:name="_Toc24883565"/>
      <w:r w:rsidRPr="00576D5C">
        <w:rPr>
          <w:rtl/>
        </w:rPr>
        <w:t>סעיף ג</w:t>
      </w:r>
      <w:r w:rsidR="00782B0B" w:rsidRPr="00576D5C">
        <w:rPr>
          <w:rtl/>
        </w:rPr>
        <w:t>:</w:t>
      </w:r>
      <w:r w:rsidR="00CC763A" w:rsidRPr="00576D5C">
        <w:rPr>
          <w:rtl/>
        </w:rPr>
        <w:t xml:space="preserve"> ת"ח שלא הגיע להוראה ומורה, ות"ח שהגיע להוראה ולא מורה.</w:t>
      </w:r>
      <w:bookmarkEnd w:id="71"/>
    </w:p>
    <w:p w14:paraId="00F087E8" w14:textId="77777777" w:rsidR="00984FC8" w:rsidRPr="00576D5C" w:rsidRDefault="00984FC8" w:rsidP="00576D5C">
      <w:pPr>
        <w:rPr>
          <w:rFonts w:asciiTheme="minorBidi" w:hAnsiTheme="minorBidi"/>
          <w:rtl/>
        </w:rPr>
      </w:pPr>
      <w:r w:rsidRPr="00576D5C">
        <w:rPr>
          <w:rFonts w:asciiTheme="minorBidi" w:hAnsiTheme="minorBidi"/>
          <w:b/>
          <w:bCs/>
          <w:rtl/>
        </w:rPr>
        <w:t>עבודה זרה</w:t>
      </w:r>
      <w:r w:rsidRPr="00576D5C">
        <w:rPr>
          <w:rFonts w:asciiTheme="minorBidi" w:hAnsiTheme="minorBidi"/>
          <w:b/>
          <w:bCs/>
          <w:sz w:val="16"/>
          <w:szCs w:val="16"/>
          <w:rtl/>
        </w:rPr>
        <w:t xml:space="preserve"> (ספ"ק) </w:t>
      </w:r>
      <w:r w:rsidRPr="00576D5C">
        <w:rPr>
          <w:rFonts w:asciiTheme="minorBidi" w:hAnsiTheme="minorBidi"/>
          <w:b/>
          <w:bCs/>
          <w:rtl/>
        </w:rPr>
        <w:t>יט</w:t>
      </w:r>
      <w:r w:rsidR="00B01FE1">
        <w:rPr>
          <w:rStyle w:val="ab"/>
          <w:rFonts w:asciiTheme="minorBidi" w:hAnsiTheme="minorBidi"/>
          <w:b/>
          <w:bCs/>
          <w:rtl/>
        </w:rPr>
        <w:footnoteReference w:id="510"/>
      </w:r>
      <w:r w:rsidRPr="00576D5C">
        <w:rPr>
          <w:rFonts w:asciiTheme="minorBidi" w:hAnsiTheme="minorBidi"/>
          <w:b/>
          <w:bCs/>
          <w:rtl/>
        </w:rPr>
        <w:t xml:space="preserve"> ע"ב: </w:t>
      </w:r>
      <w:r w:rsidRPr="00576D5C">
        <w:rPr>
          <w:rFonts w:asciiTheme="minorBidi" w:hAnsiTheme="minorBidi"/>
          <w:u w:val="single"/>
          <w:rtl/>
        </w:rPr>
        <w:t>אמר רבי אבא אמר רב הונא אמר רב:</w:t>
      </w:r>
      <w:r w:rsidRPr="00576D5C">
        <w:rPr>
          <w:rFonts w:asciiTheme="minorBidi" w:hAnsiTheme="minorBidi"/>
          <w:rtl/>
        </w:rPr>
        <w:t xml:space="preserve"> מאי דכתיב: כי רבים חללים הפילה</w:t>
      </w:r>
      <w:r w:rsidRPr="00576D5C">
        <w:rPr>
          <w:rStyle w:val="ab"/>
          <w:rFonts w:asciiTheme="minorBidi" w:hAnsiTheme="minorBidi"/>
          <w:rtl/>
        </w:rPr>
        <w:footnoteReference w:id="511"/>
      </w:r>
      <w:r w:rsidRPr="00576D5C">
        <w:rPr>
          <w:rFonts w:asciiTheme="minorBidi" w:hAnsiTheme="minorBidi"/>
          <w:rtl/>
        </w:rPr>
        <w:t>? זה תלמיד שלא הגיע להוראה ומורה, ועצומים</w:t>
      </w:r>
      <w:r w:rsidRPr="00576D5C">
        <w:rPr>
          <w:rStyle w:val="ab"/>
          <w:rFonts w:asciiTheme="minorBidi" w:hAnsiTheme="minorBidi"/>
          <w:rtl/>
        </w:rPr>
        <w:footnoteReference w:id="512"/>
      </w:r>
      <w:r w:rsidRPr="00576D5C">
        <w:rPr>
          <w:rFonts w:asciiTheme="minorBidi" w:hAnsiTheme="minorBidi"/>
          <w:rtl/>
        </w:rPr>
        <w:t xml:space="preserve"> כל הרוגיה - זה תלמיד שהגיע להוראה ואינו מורה. ועד כמה</w:t>
      </w:r>
      <w:r w:rsidRPr="00576D5C">
        <w:rPr>
          <w:rStyle w:val="ab"/>
          <w:rFonts w:asciiTheme="minorBidi" w:hAnsiTheme="minorBidi"/>
          <w:rtl/>
        </w:rPr>
        <w:footnoteReference w:id="513"/>
      </w:r>
      <w:r w:rsidRPr="00576D5C">
        <w:rPr>
          <w:rFonts w:asciiTheme="minorBidi" w:hAnsiTheme="minorBidi"/>
          <w:rtl/>
        </w:rPr>
        <w:t>? עד מ' שנין</w:t>
      </w:r>
      <w:r w:rsidRPr="00576D5C">
        <w:rPr>
          <w:rStyle w:val="ab"/>
          <w:rFonts w:asciiTheme="minorBidi" w:hAnsiTheme="minorBidi"/>
          <w:rtl/>
        </w:rPr>
        <w:footnoteReference w:id="514"/>
      </w:r>
      <w:r w:rsidRPr="00576D5C">
        <w:rPr>
          <w:rFonts w:asciiTheme="minorBidi" w:hAnsiTheme="minorBidi"/>
          <w:rtl/>
        </w:rPr>
        <w:t>. והא רבא אורי</w:t>
      </w:r>
      <w:r w:rsidRPr="00576D5C">
        <w:rPr>
          <w:rStyle w:val="ab"/>
          <w:rFonts w:asciiTheme="minorBidi" w:hAnsiTheme="minorBidi"/>
          <w:rtl/>
        </w:rPr>
        <w:footnoteReference w:id="515"/>
      </w:r>
      <w:r w:rsidRPr="00576D5C">
        <w:rPr>
          <w:rFonts w:asciiTheme="minorBidi" w:hAnsiTheme="minorBidi"/>
          <w:rtl/>
        </w:rPr>
        <w:t>! התם בשוין</w:t>
      </w:r>
      <w:r w:rsidRPr="00576D5C">
        <w:rPr>
          <w:rStyle w:val="ab"/>
          <w:rFonts w:asciiTheme="minorBidi" w:hAnsiTheme="minorBidi"/>
          <w:rtl/>
        </w:rPr>
        <w:footnoteReference w:id="516"/>
      </w:r>
      <w:r w:rsidRPr="00576D5C">
        <w:rPr>
          <w:rFonts w:asciiTheme="minorBidi" w:hAnsiTheme="minorBidi"/>
          <w:rtl/>
        </w:rPr>
        <w:t>.</w:t>
      </w:r>
    </w:p>
    <w:p w14:paraId="269A7CFD" w14:textId="77777777" w:rsidR="00984FC8" w:rsidRPr="00576D5C" w:rsidRDefault="00984FC8" w:rsidP="00576D5C">
      <w:pPr>
        <w:rPr>
          <w:rFonts w:asciiTheme="minorBidi" w:hAnsiTheme="minorBidi"/>
          <w:rtl/>
        </w:rPr>
      </w:pPr>
      <w:r w:rsidRPr="00576D5C">
        <w:rPr>
          <w:rFonts w:asciiTheme="minorBidi" w:hAnsiTheme="minorBidi"/>
          <w:b/>
          <w:bCs/>
          <w:rtl/>
        </w:rPr>
        <w:t xml:space="preserve">משנה אבות פ"ד מ"ז: </w:t>
      </w:r>
      <w:r w:rsidRPr="00B01FE1">
        <w:rPr>
          <w:rFonts w:asciiTheme="minorBidi" w:hAnsiTheme="minorBidi"/>
          <w:u w:val="single"/>
          <w:rtl/>
        </w:rPr>
        <w:t>רבי ישמעאל בנו אומר</w:t>
      </w:r>
      <w:r w:rsidR="00B01FE1">
        <w:rPr>
          <w:rFonts w:asciiTheme="minorBidi" w:hAnsiTheme="minorBidi" w:hint="cs"/>
          <w:rtl/>
        </w:rPr>
        <w:t>:</w:t>
      </w:r>
      <w:r w:rsidRPr="00576D5C">
        <w:rPr>
          <w:rFonts w:asciiTheme="minorBidi" w:hAnsiTheme="minorBidi"/>
          <w:rtl/>
        </w:rPr>
        <w:t xml:space="preserve"> החושך עצמו מן הדין פורק ממנו איבה וגזל ושבועת שוא</w:t>
      </w:r>
      <w:r w:rsidR="00B01FE1">
        <w:rPr>
          <w:rFonts w:asciiTheme="minorBidi" w:hAnsiTheme="minorBidi" w:hint="cs"/>
          <w:rtl/>
        </w:rPr>
        <w:t>.</w:t>
      </w:r>
      <w:r w:rsidRPr="00576D5C">
        <w:rPr>
          <w:rFonts w:asciiTheme="minorBidi" w:hAnsiTheme="minorBidi"/>
          <w:rtl/>
        </w:rPr>
        <w:t xml:space="preserve"> והגס לבו בהוראה שוטה רשע וגס רוח. </w:t>
      </w:r>
    </w:p>
    <w:p w14:paraId="0FB9C81C" w14:textId="77777777" w:rsidR="00984FC8" w:rsidRPr="00576D5C" w:rsidRDefault="00984FC8" w:rsidP="00576D5C">
      <w:pPr>
        <w:rPr>
          <w:rFonts w:asciiTheme="minorBidi" w:hAnsiTheme="minorBidi"/>
          <w:rtl/>
        </w:rPr>
      </w:pPr>
      <w:r w:rsidRPr="00576D5C">
        <w:rPr>
          <w:rFonts w:asciiTheme="minorBidi" w:hAnsiTheme="minorBidi"/>
          <w:b/>
          <w:u w:val="single"/>
          <w:rtl/>
        </w:rPr>
        <w:t>ת"ח שלא הגיע להוראה ומורה, ות"ח שהגיע להוראה ולא מורה:</w:t>
      </w:r>
    </w:p>
    <w:p w14:paraId="653EA31D" w14:textId="77777777" w:rsidR="0094395E" w:rsidRPr="00576D5C" w:rsidRDefault="00984FC8" w:rsidP="00576D5C">
      <w:pPr>
        <w:pStyle w:val="ac"/>
        <w:numPr>
          <w:ilvl w:val="0"/>
          <w:numId w:val="1"/>
        </w:numPr>
        <w:rPr>
          <w:rFonts w:asciiTheme="minorBidi" w:hAnsiTheme="minorBidi"/>
          <w:rtl/>
        </w:rPr>
      </w:pPr>
      <w:r w:rsidRPr="00576D5C">
        <w:rPr>
          <w:rFonts w:asciiTheme="minorBidi" w:hAnsiTheme="minorBidi"/>
          <w:rtl/>
        </w:rPr>
        <w:t>טור-</w:t>
      </w:r>
      <w:r w:rsidR="0094395E" w:rsidRPr="00576D5C">
        <w:rPr>
          <w:rFonts w:asciiTheme="minorBidi" w:hAnsiTheme="minorBidi"/>
          <w:rtl/>
        </w:rPr>
        <w:t xml:space="preserve"> ודרשו חכמים כי רבים חללים הפילה </w:t>
      </w:r>
      <w:r w:rsidR="00D31012">
        <w:rPr>
          <w:rFonts w:asciiTheme="minorBidi" w:hAnsiTheme="minorBidi" w:hint="cs"/>
          <w:rtl/>
        </w:rPr>
        <w:t xml:space="preserve">- </w:t>
      </w:r>
      <w:r w:rsidR="0094395E" w:rsidRPr="00576D5C">
        <w:rPr>
          <w:rFonts w:asciiTheme="minorBidi" w:hAnsiTheme="minorBidi"/>
          <w:rtl/>
        </w:rPr>
        <w:t>זה תלמיד שלא הגיע להוראה ומורה</w:t>
      </w:r>
      <w:r w:rsidRPr="00576D5C">
        <w:rPr>
          <w:rFonts w:asciiTheme="minorBidi" w:hAnsiTheme="minorBidi"/>
          <w:rtl/>
        </w:rPr>
        <w:t xml:space="preserve">. </w:t>
      </w:r>
      <w:r w:rsidR="0094395E" w:rsidRPr="00576D5C">
        <w:rPr>
          <w:rFonts w:asciiTheme="minorBidi" w:hAnsiTheme="minorBidi"/>
          <w:rtl/>
        </w:rPr>
        <w:t xml:space="preserve">ועצומים כל הרוגיה </w:t>
      </w:r>
      <w:r w:rsidR="00D31012">
        <w:rPr>
          <w:rFonts w:asciiTheme="minorBidi" w:hAnsiTheme="minorBidi" w:hint="cs"/>
          <w:rtl/>
        </w:rPr>
        <w:t xml:space="preserve">- </w:t>
      </w:r>
      <w:r w:rsidR="0094395E" w:rsidRPr="00576D5C">
        <w:rPr>
          <w:rFonts w:asciiTheme="minorBidi" w:hAnsiTheme="minorBidi"/>
          <w:rtl/>
        </w:rPr>
        <w:t>הוא שהגיע להוראה ואינו מורה</w:t>
      </w:r>
      <w:r w:rsidR="00D31012">
        <w:rPr>
          <w:rFonts w:asciiTheme="minorBidi" w:hAnsiTheme="minorBidi" w:hint="cs"/>
          <w:rtl/>
        </w:rPr>
        <w:t>,</w:t>
      </w:r>
      <w:r w:rsidR="0094395E" w:rsidRPr="00576D5C">
        <w:rPr>
          <w:rFonts w:asciiTheme="minorBidi" w:hAnsiTheme="minorBidi"/>
          <w:rtl/>
        </w:rPr>
        <w:t xml:space="preserve"> והוא שיהיה הדור צריך לו</w:t>
      </w:r>
      <w:r w:rsidR="00D31012">
        <w:rPr>
          <w:rFonts w:asciiTheme="minorBidi" w:hAnsiTheme="minorBidi" w:hint="cs"/>
          <w:rtl/>
        </w:rPr>
        <w:t>.</w:t>
      </w:r>
      <w:r w:rsidR="0094395E" w:rsidRPr="00576D5C">
        <w:rPr>
          <w:rFonts w:asciiTheme="minorBidi" w:hAnsiTheme="minorBidi"/>
          <w:rtl/>
        </w:rPr>
        <w:t xml:space="preserve"> אבל אם יודע שיש אחר ראוי להוראה ומונע עצמו מן ההוראה הרי זה משובח</w:t>
      </w:r>
      <w:r w:rsidRPr="00576D5C">
        <w:rPr>
          <w:rStyle w:val="ab"/>
          <w:rFonts w:asciiTheme="minorBidi" w:hAnsiTheme="minorBidi"/>
          <w:rtl/>
        </w:rPr>
        <w:footnoteReference w:id="517"/>
      </w:r>
      <w:r w:rsidRPr="00576D5C">
        <w:rPr>
          <w:rFonts w:asciiTheme="minorBidi" w:hAnsiTheme="minorBidi"/>
          <w:rtl/>
        </w:rPr>
        <w:t xml:space="preserve">. </w:t>
      </w:r>
      <w:r w:rsidR="0094395E" w:rsidRPr="00576D5C">
        <w:rPr>
          <w:rFonts w:asciiTheme="minorBidi" w:hAnsiTheme="minorBidi"/>
          <w:rtl/>
        </w:rPr>
        <w:t>וכל המונע עצמו מן הדין פורק ממנו איבה וגזל ושבועת שוא</w:t>
      </w:r>
      <w:r w:rsidRPr="00576D5C">
        <w:rPr>
          <w:rFonts w:asciiTheme="minorBidi" w:hAnsiTheme="minorBidi"/>
          <w:rtl/>
        </w:rPr>
        <w:t xml:space="preserve">. </w:t>
      </w:r>
      <w:r w:rsidRPr="00576D5C">
        <w:rPr>
          <w:rFonts w:asciiTheme="minorBidi" w:hAnsiTheme="minorBidi"/>
          <w:color w:val="E36C0A" w:themeColor="accent6" w:themeShade="BF"/>
          <w:rtl/>
        </w:rPr>
        <w:t>(וכ"פ בשו"ע)</w:t>
      </w:r>
    </w:p>
    <w:p w14:paraId="2F0475ED" w14:textId="77777777" w:rsidR="00E137BC" w:rsidRPr="00576D5C" w:rsidRDefault="00E137BC" w:rsidP="00576D5C">
      <w:pPr>
        <w:rPr>
          <w:rFonts w:asciiTheme="minorBidi" w:hAnsiTheme="minorBidi"/>
          <w:b/>
          <w:bCs/>
          <w:color w:val="000000"/>
          <w:sz w:val="28"/>
          <w:szCs w:val="28"/>
          <w:u w:val="single"/>
          <w:rtl/>
        </w:rPr>
      </w:pPr>
      <w:r w:rsidRPr="00576D5C">
        <w:rPr>
          <w:rFonts w:asciiTheme="minorBidi" w:hAnsiTheme="minorBidi"/>
          <w:b/>
          <w:bCs/>
          <w:color w:val="000000"/>
          <w:sz w:val="28"/>
          <w:szCs w:val="28"/>
          <w:u w:val="single"/>
          <w:rtl/>
        </w:rPr>
        <w:t>שו"ע:</w:t>
      </w:r>
    </w:p>
    <w:p w14:paraId="592CD3EC" w14:textId="77777777" w:rsidR="00E137BC" w:rsidRPr="00576D5C" w:rsidRDefault="00E137BC" w:rsidP="00576D5C">
      <w:pPr>
        <w:rPr>
          <w:rFonts w:asciiTheme="minorBidi" w:hAnsiTheme="minorBidi"/>
          <w:rtl/>
        </w:rPr>
      </w:pPr>
      <w:r w:rsidRPr="00576D5C">
        <w:rPr>
          <w:rFonts w:asciiTheme="minorBidi" w:hAnsiTheme="minorBidi"/>
          <w:rtl/>
        </w:rPr>
        <w:t xml:space="preserve">כי רבים חללים הפילה </w:t>
      </w:r>
      <w:r w:rsidRPr="00576D5C">
        <w:rPr>
          <w:rFonts w:asciiTheme="minorBidi" w:hAnsiTheme="minorBidi"/>
          <w:sz w:val="16"/>
          <w:szCs w:val="16"/>
          <w:rtl/>
        </w:rPr>
        <w:t>(משלי ז, כו)</w:t>
      </w:r>
      <w:r w:rsidRPr="00576D5C">
        <w:rPr>
          <w:rFonts w:asciiTheme="minorBidi" w:hAnsiTheme="minorBidi"/>
          <w:rtl/>
        </w:rPr>
        <w:t xml:space="preserve">, זה תלמיד חכם שלא הגיע להוראה ומורה. ועצומים כל הרוגיה </w:t>
      </w:r>
      <w:r w:rsidRPr="00576D5C">
        <w:rPr>
          <w:rFonts w:asciiTheme="minorBidi" w:hAnsiTheme="minorBidi"/>
          <w:sz w:val="16"/>
          <w:szCs w:val="16"/>
          <w:rtl/>
        </w:rPr>
        <w:t>(משלי ז, כו)</w:t>
      </w:r>
      <w:r w:rsidRPr="00576D5C">
        <w:rPr>
          <w:rFonts w:asciiTheme="minorBidi" w:hAnsiTheme="minorBidi"/>
          <w:rtl/>
        </w:rPr>
        <w:t>, זה שהגיע להוראה ואינו מורה, והוא שיהיה הדור צריך לו, אבל אם ידע שיש שם ראוי להוראה, ומונע עצמו מההוראה, ה</w:t>
      </w:r>
      <w:r w:rsidR="00984FC8" w:rsidRPr="00576D5C">
        <w:rPr>
          <w:rFonts w:asciiTheme="minorBidi" w:hAnsiTheme="minorBidi"/>
          <w:rtl/>
        </w:rPr>
        <w:t xml:space="preserve">רי </w:t>
      </w:r>
      <w:r w:rsidRPr="00576D5C">
        <w:rPr>
          <w:rFonts w:asciiTheme="minorBidi" w:hAnsiTheme="minorBidi"/>
          <w:rtl/>
        </w:rPr>
        <w:t>ז</w:t>
      </w:r>
      <w:r w:rsidR="00984FC8" w:rsidRPr="00576D5C">
        <w:rPr>
          <w:rFonts w:asciiTheme="minorBidi" w:hAnsiTheme="minorBidi"/>
          <w:rtl/>
        </w:rPr>
        <w:t>ה</w:t>
      </w:r>
      <w:r w:rsidRPr="00576D5C">
        <w:rPr>
          <w:rFonts w:asciiTheme="minorBidi" w:hAnsiTheme="minorBidi"/>
          <w:rtl/>
        </w:rPr>
        <w:t xml:space="preserve"> משובח. וכל</w:t>
      </w:r>
      <w:r w:rsidR="00F00F06" w:rsidRPr="00576D5C">
        <w:rPr>
          <w:rStyle w:val="ab"/>
          <w:rFonts w:asciiTheme="minorBidi" w:hAnsiTheme="minorBidi"/>
          <w:rtl/>
        </w:rPr>
        <w:footnoteReference w:id="518"/>
      </w:r>
      <w:r w:rsidRPr="00576D5C">
        <w:rPr>
          <w:rFonts w:asciiTheme="minorBidi" w:hAnsiTheme="minorBidi"/>
          <w:rtl/>
        </w:rPr>
        <w:t xml:space="preserve"> המונע עצמו מן הדין, מונע ממנו איבה וגזל ושבועת שוא.</w:t>
      </w:r>
    </w:p>
    <w:p w14:paraId="27CAE1DF" w14:textId="77777777" w:rsidR="00782B0B" w:rsidRPr="00576D5C" w:rsidRDefault="00782B0B" w:rsidP="00576D5C">
      <w:pPr>
        <w:rPr>
          <w:rFonts w:asciiTheme="minorBidi" w:hAnsiTheme="minorBidi"/>
          <w:rtl/>
        </w:rPr>
      </w:pPr>
    </w:p>
    <w:p w14:paraId="2D47F963" w14:textId="77777777" w:rsidR="0094395E" w:rsidRPr="00576D5C" w:rsidRDefault="00E137BC" w:rsidP="00104621">
      <w:pPr>
        <w:pStyle w:val="2"/>
        <w:rPr>
          <w:rtl/>
        </w:rPr>
      </w:pPr>
      <w:bookmarkStart w:id="72" w:name="_Toc24883566"/>
      <w:r w:rsidRPr="00576D5C">
        <w:rPr>
          <w:rtl/>
        </w:rPr>
        <w:t>סעיף ד</w:t>
      </w:r>
      <w:r w:rsidR="00782B0B" w:rsidRPr="00576D5C">
        <w:rPr>
          <w:rtl/>
        </w:rPr>
        <w:t>:</w:t>
      </w:r>
      <w:r w:rsidR="00CC763A" w:rsidRPr="00576D5C">
        <w:rPr>
          <w:rtl/>
        </w:rPr>
        <w:t xml:space="preserve"> דין פרוטה </w:t>
      </w:r>
      <w:r w:rsidR="00CC763A" w:rsidRPr="00104621">
        <w:rPr>
          <w:rFonts w:hint="cs"/>
          <w:rtl/>
        </w:rPr>
        <w:t>כדין</w:t>
      </w:r>
      <w:r w:rsidR="00CC763A" w:rsidRPr="00576D5C">
        <w:rPr>
          <w:rtl/>
        </w:rPr>
        <w:t xml:space="preserve"> מאה.</w:t>
      </w:r>
      <w:bookmarkEnd w:id="72"/>
    </w:p>
    <w:p w14:paraId="3D37087B" w14:textId="77777777" w:rsidR="00202F3B" w:rsidRDefault="0094395E" w:rsidP="00576D5C">
      <w:pPr>
        <w:rPr>
          <w:rFonts w:asciiTheme="minorBidi" w:hAnsiTheme="minorBidi"/>
          <w:rtl/>
        </w:rPr>
      </w:pPr>
      <w:r w:rsidRPr="00576D5C">
        <w:rPr>
          <w:rFonts w:asciiTheme="minorBidi" w:hAnsiTheme="minorBidi"/>
          <w:b/>
          <w:bCs/>
          <w:rtl/>
        </w:rPr>
        <w:t xml:space="preserve">סנהדרין </w:t>
      </w:r>
      <w:r w:rsidRPr="00576D5C">
        <w:rPr>
          <w:rFonts w:asciiTheme="minorBidi" w:hAnsiTheme="minorBidi"/>
          <w:b/>
          <w:bCs/>
          <w:sz w:val="16"/>
          <w:szCs w:val="16"/>
          <w:rtl/>
        </w:rPr>
        <w:t>(</w:t>
      </w:r>
      <w:r w:rsidR="00F00F06" w:rsidRPr="00576D5C">
        <w:rPr>
          <w:rFonts w:asciiTheme="minorBidi" w:hAnsiTheme="minorBidi"/>
          <w:b/>
          <w:bCs/>
          <w:sz w:val="16"/>
          <w:szCs w:val="16"/>
          <w:rtl/>
        </w:rPr>
        <w:t>פ"ק)</w:t>
      </w:r>
      <w:r w:rsidR="00F00F06" w:rsidRPr="00576D5C">
        <w:rPr>
          <w:rFonts w:asciiTheme="minorBidi" w:hAnsiTheme="minorBidi"/>
          <w:b/>
          <w:bCs/>
          <w:rtl/>
        </w:rPr>
        <w:t xml:space="preserve"> </w:t>
      </w:r>
      <w:r w:rsidRPr="00576D5C">
        <w:rPr>
          <w:rFonts w:asciiTheme="minorBidi" w:hAnsiTheme="minorBidi"/>
          <w:b/>
          <w:bCs/>
          <w:rtl/>
        </w:rPr>
        <w:t>ח</w:t>
      </w:r>
      <w:r w:rsidR="00E77C9E">
        <w:rPr>
          <w:rStyle w:val="ab"/>
          <w:rFonts w:asciiTheme="minorBidi" w:hAnsiTheme="minorBidi"/>
          <w:b/>
          <w:bCs/>
          <w:rtl/>
        </w:rPr>
        <w:footnoteReference w:id="519"/>
      </w:r>
      <w:r w:rsidR="00F00F06" w:rsidRPr="00576D5C">
        <w:rPr>
          <w:rFonts w:asciiTheme="minorBidi" w:hAnsiTheme="minorBidi"/>
          <w:b/>
          <w:bCs/>
          <w:rtl/>
        </w:rPr>
        <w:t xml:space="preserve"> ע"א</w:t>
      </w:r>
      <w:r w:rsidRPr="00576D5C">
        <w:rPr>
          <w:rFonts w:asciiTheme="minorBidi" w:hAnsiTheme="minorBidi"/>
          <w:b/>
          <w:bCs/>
          <w:rtl/>
        </w:rPr>
        <w:t>:</w:t>
      </w:r>
      <w:r w:rsidR="00F00F06" w:rsidRPr="00576D5C">
        <w:rPr>
          <w:rFonts w:asciiTheme="minorBidi" w:hAnsiTheme="minorBidi"/>
          <w:rtl/>
        </w:rPr>
        <w:t xml:space="preserve"> כקטן כגדל תשמעון. </w:t>
      </w:r>
      <w:r w:rsidR="00F00F06" w:rsidRPr="00576D5C">
        <w:rPr>
          <w:rFonts w:asciiTheme="minorBidi" w:hAnsiTheme="minorBidi"/>
          <w:u w:val="single"/>
          <w:rtl/>
        </w:rPr>
        <w:t>אמר ריש לקיש</w:t>
      </w:r>
      <w:r w:rsidR="00F00F06" w:rsidRPr="00576D5C">
        <w:rPr>
          <w:rFonts w:asciiTheme="minorBidi" w:hAnsiTheme="minorBidi"/>
          <w:rtl/>
        </w:rPr>
        <w:t xml:space="preserve">: שיהא חביב עליך דין של פרוטה, כדין של מאה מנה. למאי הלכתא: אילימא לעיוני ביה ומיפסקיה </w:t>
      </w:r>
      <w:r w:rsidR="00715CD8" w:rsidRPr="00576D5C">
        <w:rPr>
          <w:rFonts w:asciiTheme="minorBidi" w:hAnsiTheme="minorBidi"/>
          <w:rtl/>
        </w:rPr>
        <w:t>–</w:t>
      </w:r>
      <w:r w:rsidR="00F00F06" w:rsidRPr="00576D5C">
        <w:rPr>
          <w:rFonts w:asciiTheme="minorBidi" w:hAnsiTheme="minorBidi"/>
          <w:rtl/>
        </w:rPr>
        <w:t xml:space="preserve"> פשיט</w:t>
      </w:r>
      <w:r w:rsidR="00715CD8" w:rsidRPr="00576D5C">
        <w:rPr>
          <w:rFonts w:asciiTheme="minorBidi" w:hAnsiTheme="minorBidi"/>
          <w:rtl/>
        </w:rPr>
        <w:t>א.</w:t>
      </w:r>
      <w:r w:rsidR="00F00F06" w:rsidRPr="00576D5C">
        <w:rPr>
          <w:rFonts w:asciiTheme="minorBidi" w:hAnsiTheme="minorBidi"/>
          <w:rtl/>
        </w:rPr>
        <w:t xml:space="preserve"> אלא לאקדומיה.</w:t>
      </w:r>
    </w:p>
    <w:p w14:paraId="034D3566" w14:textId="77777777" w:rsidR="00E77C9E" w:rsidRPr="00E77C9E" w:rsidRDefault="00E77C9E" w:rsidP="00576D5C">
      <w:pPr>
        <w:rPr>
          <w:rFonts w:asciiTheme="minorBidi" w:hAnsiTheme="minorBidi"/>
          <w:sz w:val="16"/>
          <w:szCs w:val="16"/>
          <w:u w:val="single"/>
          <w:rtl/>
        </w:rPr>
      </w:pPr>
      <w:r w:rsidRPr="00E77C9E">
        <w:rPr>
          <w:rFonts w:asciiTheme="minorBidi" w:hAnsiTheme="minorBidi" w:hint="cs"/>
          <w:u w:val="single"/>
          <w:rtl/>
        </w:rPr>
        <w:t>דין פרוטה כדין מאה:</w:t>
      </w:r>
    </w:p>
    <w:p w14:paraId="44062DF2" w14:textId="77777777" w:rsidR="00782B0B" w:rsidRPr="00202F3B" w:rsidRDefault="00E77C9E" w:rsidP="00202F3B">
      <w:pPr>
        <w:pStyle w:val="ac"/>
        <w:numPr>
          <w:ilvl w:val="0"/>
          <w:numId w:val="1"/>
        </w:numPr>
        <w:rPr>
          <w:rFonts w:asciiTheme="minorBidi" w:hAnsiTheme="minorBidi"/>
          <w:rtl/>
        </w:rPr>
      </w:pPr>
      <w:r>
        <w:rPr>
          <w:rFonts w:asciiTheme="minorBidi" w:hAnsiTheme="minorBidi" w:hint="cs"/>
          <w:rtl/>
        </w:rPr>
        <w:t>רמב"ם</w:t>
      </w:r>
      <w:r>
        <w:rPr>
          <w:rStyle w:val="ab"/>
          <w:rFonts w:asciiTheme="minorBidi" w:hAnsiTheme="minorBidi"/>
          <w:rtl/>
        </w:rPr>
        <w:footnoteReference w:id="520"/>
      </w:r>
      <w:r>
        <w:rPr>
          <w:rFonts w:asciiTheme="minorBidi" w:hAnsiTheme="minorBidi" w:hint="cs"/>
          <w:sz w:val="16"/>
          <w:szCs w:val="16"/>
          <w:rtl/>
        </w:rPr>
        <w:t>(פ"כ ה"י)</w:t>
      </w:r>
      <w:r>
        <w:rPr>
          <w:rFonts w:asciiTheme="minorBidi" w:hAnsiTheme="minorBidi" w:hint="cs"/>
          <w:rtl/>
        </w:rPr>
        <w:t xml:space="preserve"> ו</w:t>
      </w:r>
      <w:r w:rsidR="00F00F06" w:rsidRPr="00202F3B">
        <w:rPr>
          <w:rFonts w:asciiTheme="minorBidi" w:hAnsiTheme="minorBidi"/>
          <w:rtl/>
        </w:rPr>
        <w:t>טור- ואל ישים חילוק בין דין קטן לגדול</w:t>
      </w:r>
      <w:r w:rsidR="00D31012">
        <w:rPr>
          <w:rFonts w:asciiTheme="minorBidi" w:hAnsiTheme="minorBidi" w:hint="cs"/>
          <w:rtl/>
        </w:rPr>
        <w:t>,</w:t>
      </w:r>
      <w:r w:rsidR="00F00F06" w:rsidRPr="00202F3B">
        <w:rPr>
          <w:rFonts w:asciiTheme="minorBidi" w:hAnsiTheme="minorBidi"/>
          <w:rtl/>
        </w:rPr>
        <w:t xml:space="preserve"> אלא יהא בעיניו דין של פרוטה כדין של מאה מנה</w:t>
      </w:r>
      <w:r>
        <w:rPr>
          <w:rFonts w:asciiTheme="minorBidi" w:hAnsiTheme="minorBidi" w:hint="cs"/>
          <w:rtl/>
        </w:rPr>
        <w:t xml:space="preserve"> </w:t>
      </w:r>
      <w:r>
        <w:rPr>
          <w:rFonts w:asciiTheme="minorBidi" w:hAnsiTheme="minorBidi" w:hint="cs"/>
          <w:sz w:val="16"/>
          <w:szCs w:val="16"/>
          <w:rtl/>
        </w:rPr>
        <w:t>(ל' הטור)</w:t>
      </w:r>
      <w:r w:rsidR="00202F3B" w:rsidRPr="00202F3B">
        <w:rPr>
          <w:rFonts w:asciiTheme="minorBidi" w:hAnsiTheme="minorBidi" w:hint="cs"/>
          <w:rtl/>
        </w:rPr>
        <w:t>.</w:t>
      </w:r>
      <w:r w:rsidRPr="00E77C9E">
        <w:rPr>
          <w:rFonts w:asciiTheme="minorBidi" w:hAnsiTheme="minorBidi"/>
          <w:color w:val="E36C0A" w:themeColor="accent6" w:themeShade="BF"/>
          <w:rtl/>
        </w:rPr>
        <w:t xml:space="preserve"> </w:t>
      </w:r>
      <w:r w:rsidRPr="00576D5C">
        <w:rPr>
          <w:rFonts w:asciiTheme="minorBidi" w:hAnsiTheme="minorBidi"/>
          <w:color w:val="E36C0A" w:themeColor="accent6" w:themeShade="BF"/>
          <w:rtl/>
        </w:rPr>
        <w:t>(וכ"פ בשו"ע)</w:t>
      </w:r>
    </w:p>
    <w:p w14:paraId="3C1D76FB" w14:textId="77777777" w:rsidR="00E137BC" w:rsidRPr="00576D5C" w:rsidRDefault="00E137BC" w:rsidP="00576D5C">
      <w:pPr>
        <w:rPr>
          <w:rFonts w:asciiTheme="minorBidi" w:hAnsiTheme="minorBidi"/>
          <w:b/>
          <w:bCs/>
          <w:color w:val="000000"/>
          <w:sz w:val="28"/>
          <w:szCs w:val="28"/>
          <w:u w:val="single"/>
          <w:rtl/>
        </w:rPr>
      </w:pPr>
      <w:r w:rsidRPr="00576D5C">
        <w:rPr>
          <w:rFonts w:asciiTheme="minorBidi" w:hAnsiTheme="minorBidi"/>
          <w:b/>
          <w:bCs/>
          <w:color w:val="000000"/>
          <w:sz w:val="28"/>
          <w:szCs w:val="28"/>
          <w:u w:val="single"/>
          <w:rtl/>
        </w:rPr>
        <w:t>שו"ע:</w:t>
      </w:r>
    </w:p>
    <w:p w14:paraId="516A5266" w14:textId="77777777" w:rsidR="00E137BC" w:rsidRPr="00576D5C" w:rsidRDefault="00E137BC" w:rsidP="00576D5C">
      <w:pPr>
        <w:rPr>
          <w:rFonts w:asciiTheme="minorBidi" w:hAnsiTheme="minorBidi"/>
          <w:rtl/>
        </w:rPr>
      </w:pPr>
      <w:r w:rsidRPr="00576D5C">
        <w:rPr>
          <w:rFonts w:asciiTheme="minorBidi" w:hAnsiTheme="minorBidi"/>
          <w:rtl/>
        </w:rPr>
        <w:t>יהיה בעיני הדיין דין של פרוטה כדין של מאה מנה.</w:t>
      </w:r>
    </w:p>
    <w:p w14:paraId="76E7FD60" w14:textId="77777777" w:rsidR="00E137BC" w:rsidRPr="00576D5C" w:rsidRDefault="00E137BC" w:rsidP="00576D5C">
      <w:pPr>
        <w:rPr>
          <w:rFonts w:asciiTheme="minorBidi" w:hAnsiTheme="minorBidi"/>
          <w:rtl/>
        </w:rPr>
        <w:sectPr w:rsidR="00E137BC" w:rsidRPr="00576D5C" w:rsidSect="00AF3AF9">
          <w:headerReference w:type="default" r:id="rId20"/>
          <w:footnotePr>
            <w:numRestart w:val="eachPage"/>
          </w:footnotePr>
          <w:pgSz w:w="11906" w:h="16838"/>
          <w:pgMar w:top="720" w:right="1134" w:bottom="720" w:left="1134" w:header="0" w:footer="0" w:gutter="0"/>
          <w:cols w:space="720"/>
          <w:bidi/>
          <w:rtlGutter/>
          <w:docGrid w:linePitch="360"/>
        </w:sectPr>
      </w:pPr>
    </w:p>
    <w:p w14:paraId="3CF04269" w14:textId="77777777" w:rsidR="00E137BC" w:rsidRPr="00576D5C" w:rsidRDefault="00E137BC" w:rsidP="00E842BA">
      <w:pPr>
        <w:pStyle w:val="1"/>
        <w:rPr>
          <w:rtl/>
        </w:rPr>
      </w:pPr>
      <w:bookmarkStart w:id="74" w:name="_Toc24883567"/>
      <w:r w:rsidRPr="00576D5C">
        <w:rPr>
          <w:rtl/>
        </w:rPr>
        <w:lastRenderedPageBreak/>
        <w:t xml:space="preserve">סי' יא: כיצד מזמינים </w:t>
      </w:r>
      <w:r w:rsidRPr="00104621">
        <w:rPr>
          <w:rtl/>
        </w:rPr>
        <w:t>לדין</w:t>
      </w:r>
      <w:r w:rsidRPr="00576D5C">
        <w:rPr>
          <w:rtl/>
        </w:rPr>
        <w:t xml:space="preserve"> ועל פי מי, ובו ו' סעיפים.</w:t>
      </w:r>
      <w:bookmarkEnd w:id="74"/>
      <w:r w:rsidRPr="00576D5C">
        <w:rPr>
          <w:rtl/>
        </w:rPr>
        <w:t xml:space="preserve"> </w:t>
      </w:r>
    </w:p>
    <w:p w14:paraId="68309DC5" w14:textId="77777777" w:rsidR="00715CD8" w:rsidRPr="00576D5C" w:rsidRDefault="00E137BC" w:rsidP="00E842BA">
      <w:pPr>
        <w:pStyle w:val="2"/>
        <w:rPr>
          <w:rtl/>
        </w:rPr>
      </w:pPr>
      <w:bookmarkStart w:id="75" w:name="_Toc24883568"/>
      <w:r w:rsidRPr="00104621">
        <w:rPr>
          <w:rtl/>
        </w:rPr>
        <w:t>סעיף</w:t>
      </w:r>
      <w:r w:rsidRPr="00576D5C">
        <w:rPr>
          <w:rtl/>
        </w:rPr>
        <w:t xml:space="preserve"> א</w:t>
      </w:r>
      <w:r w:rsidR="006D13E9" w:rsidRPr="00576D5C">
        <w:rPr>
          <w:rtl/>
        </w:rPr>
        <w:t>:</w:t>
      </w:r>
      <w:r w:rsidR="00715CD8" w:rsidRPr="00576D5C">
        <w:rPr>
          <w:rtl/>
        </w:rPr>
        <w:t xml:space="preserve"> </w:t>
      </w:r>
      <w:r w:rsidR="00E842BA">
        <w:rPr>
          <w:rFonts w:hint="cs"/>
          <w:rtl/>
        </w:rPr>
        <w:t>כיצד מזמנים לדין.</w:t>
      </w:r>
      <w:bookmarkEnd w:id="75"/>
    </w:p>
    <w:p w14:paraId="2C21706D" w14:textId="77777777" w:rsidR="00615CE8" w:rsidRPr="00576D5C" w:rsidRDefault="00615CE8" w:rsidP="00576D5C">
      <w:pPr>
        <w:rPr>
          <w:rFonts w:asciiTheme="minorBidi" w:hAnsiTheme="minorBidi"/>
          <w:rtl/>
        </w:rPr>
      </w:pPr>
      <w:bookmarkStart w:id="76" w:name="_Hlk523043317"/>
      <w:r w:rsidRPr="00576D5C">
        <w:rPr>
          <w:rFonts w:asciiTheme="minorBidi" w:hAnsiTheme="minorBidi"/>
          <w:b/>
          <w:bCs/>
          <w:rtl/>
        </w:rPr>
        <w:t xml:space="preserve">בבא קמא </w:t>
      </w:r>
      <w:r w:rsidRPr="00576D5C">
        <w:rPr>
          <w:rFonts w:asciiTheme="minorBidi" w:hAnsiTheme="minorBidi"/>
          <w:b/>
          <w:bCs/>
          <w:sz w:val="16"/>
          <w:szCs w:val="16"/>
          <w:rtl/>
        </w:rPr>
        <w:t>(פ' ה</w:t>
      </w:r>
      <w:r w:rsidR="00887674" w:rsidRPr="00576D5C">
        <w:rPr>
          <w:rFonts w:asciiTheme="minorBidi" w:hAnsiTheme="minorBidi"/>
          <w:b/>
          <w:bCs/>
          <w:sz w:val="16"/>
          <w:szCs w:val="16"/>
          <w:rtl/>
        </w:rPr>
        <w:t>גוזל בתרא</w:t>
      </w:r>
      <w:r w:rsidRPr="00576D5C">
        <w:rPr>
          <w:rFonts w:asciiTheme="minorBidi" w:hAnsiTheme="minorBidi"/>
          <w:b/>
          <w:bCs/>
          <w:sz w:val="16"/>
          <w:szCs w:val="16"/>
          <w:rtl/>
        </w:rPr>
        <w:t>)</w:t>
      </w:r>
      <w:r w:rsidRPr="00576D5C">
        <w:rPr>
          <w:rFonts w:asciiTheme="minorBidi" w:hAnsiTheme="minorBidi"/>
          <w:b/>
          <w:bCs/>
          <w:rtl/>
        </w:rPr>
        <w:t xml:space="preserve"> </w:t>
      </w:r>
      <w:r w:rsidR="00887674" w:rsidRPr="00576D5C">
        <w:rPr>
          <w:rFonts w:asciiTheme="minorBidi" w:hAnsiTheme="minorBidi"/>
          <w:b/>
          <w:bCs/>
          <w:rtl/>
        </w:rPr>
        <w:t>קיג</w:t>
      </w:r>
      <w:r w:rsidR="007630D9">
        <w:rPr>
          <w:rStyle w:val="ab"/>
          <w:rFonts w:asciiTheme="minorBidi" w:hAnsiTheme="minorBidi"/>
          <w:b/>
          <w:bCs/>
          <w:rtl/>
        </w:rPr>
        <w:footnoteReference w:id="521"/>
      </w:r>
      <w:r w:rsidRPr="00576D5C">
        <w:rPr>
          <w:rFonts w:asciiTheme="minorBidi" w:hAnsiTheme="minorBidi"/>
          <w:b/>
          <w:bCs/>
          <w:rtl/>
        </w:rPr>
        <w:t xml:space="preserve"> ע"א:</w:t>
      </w:r>
      <w:r w:rsidRPr="00576D5C">
        <w:rPr>
          <w:rFonts w:asciiTheme="minorBidi" w:hAnsiTheme="minorBidi"/>
          <w:rtl/>
        </w:rPr>
        <w:t xml:space="preserve"> </w:t>
      </w:r>
      <w:bookmarkEnd w:id="76"/>
      <w:r w:rsidRPr="00576D5C">
        <w:rPr>
          <w:rFonts w:asciiTheme="minorBidi" w:hAnsiTheme="minorBidi"/>
          <w:u w:val="single"/>
          <w:rtl/>
        </w:rPr>
        <w:t>אמר רב חסדא</w:t>
      </w:r>
      <w:r w:rsidRPr="00576D5C">
        <w:rPr>
          <w:rFonts w:asciiTheme="minorBidi" w:hAnsiTheme="minorBidi"/>
          <w:rtl/>
        </w:rPr>
        <w:t>: קובעים זמן</w:t>
      </w:r>
      <w:r w:rsidR="00E47991" w:rsidRPr="00576D5C">
        <w:rPr>
          <w:rStyle w:val="ab"/>
          <w:rFonts w:asciiTheme="minorBidi" w:hAnsiTheme="minorBidi"/>
          <w:rtl/>
        </w:rPr>
        <w:footnoteReference w:id="522"/>
      </w:r>
      <w:r w:rsidRPr="00576D5C">
        <w:rPr>
          <w:rFonts w:asciiTheme="minorBidi" w:hAnsiTheme="minorBidi"/>
          <w:rtl/>
        </w:rPr>
        <w:t xml:space="preserve"> שני וחמישי ושני, זמנא וזמנא בתר זמנא</w:t>
      </w:r>
      <w:r w:rsidR="0029392A">
        <w:rPr>
          <w:rStyle w:val="ab"/>
          <w:rFonts w:asciiTheme="minorBidi" w:hAnsiTheme="minorBidi"/>
          <w:rtl/>
        </w:rPr>
        <w:footnoteReference w:id="523"/>
      </w:r>
      <w:r w:rsidRPr="00576D5C">
        <w:rPr>
          <w:rFonts w:asciiTheme="minorBidi" w:hAnsiTheme="minorBidi"/>
          <w:rtl/>
        </w:rPr>
        <w:t xml:space="preserve">, ולמחר כתבינן. </w:t>
      </w:r>
      <w:r w:rsidRPr="00576D5C">
        <w:rPr>
          <w:rFonts w:asciiTheme="minorBidi" w:hAnsiTheme="minorBidi"/>
          <w:u w:val="single"/>
          <w:rtl/>
        </w:rPr>
        <w:t>רב אסי איקלע בי רב כהנא</w:t>
      </w:r>
      <w:r w:rsidRPr="00576D5C">
        <w:rPr>
          <w:rFonts w:asciiTheme="minorBidi" w:hAnsiTheme="minorBidi"/>
          <w:rtl/>
        </w:rPr>
        <w:t>, חזא ההיא איתתא דאזמנה לדינא בפניא, ובצפרא כתיב עלה פתיחא</w:t>
      </w:r>
      <w:r w:rsidR="00E7530B">
        <w:rPr>
          <w:rFonts w:asciiTheme="minorBidi" w:hAnsiTheme="minorBidi" w:hint="cs"/>
          <w:rtl/>
        </w:rPr>
        <w:t>.</w:t>
      </w:r>
      <w:r w:rsidRPr="00576D5C">
        <w:rPr>
          <w:rFonts w:asciiTheme="minorBidi" w:hAnsiTheme="minorBidi"/>
          <w:rtl/>
        </w:rPr>
        <w:t xml:space="preserve"> </w:t>
      </w:r>
      <w:r w:rsidRPr="00576D5C">
        <w:rPr>
          <w:rFonts w:asciiTheme="minorBidi" w:hAnsiTheme="minorBidi"/>
          <w:u w:val="single"/>
          <w:rtl/>
        </w:rPr>
        <w:t>א"ל</w:t>
      </w:r>
      <w:r w:rsidRPr="00576D5C">
        <w:rPr>
          <w:rFonts w:asciiTheme="minorBidi" w:hAnsiTheme="minorBidi"/>
          <w:rtl/>
        </w:rPr>
        <w:t xml:space="preserve">: לא סבר לה מר להא דאמר רב חסדא: קובעין זמן שני וחמישי ושני? </w:t>
      </w:r>
      <w:r w:rsidRPr="00576D5C">
        <w:rPr>
          <w:rFonts w:asciiTheme="minorBidi" w:hAnsiTheme="minorBidi"/>
          <w:u w:val="single"/>
          <w:rtl/>
        </w:rPr>
        <w:t>א"ל</w:t>
      </w:r>
      <w:r w:rsidRPr="00576D5C">
        <w:rPr>
          <w:rFonts w:asciiTheme="minorBidi" w:hAnsiTheme="minorBidi"/>
          <w:rtl/>
        </w:rPr>
        <w:t>: ה"מ גברא, דאניס וליתיה במתא, אבל איתתא, כיון דאיתה במתא ולא אתיא - מורדת היא.</w:t>
      </w:r>
    </w:p>
    <w:p w14:paraId="19E2C19E" w14:textId="77777777" w:rsidR="00104621" w:rsidRPr="00104621" w:rsidRDefault="00104621" w:rsidP="00104621">
      <w:pPr>
        <w:rPr>
          <w:rFonts w:asciiTheme="minorBidi" w:hAnsiTheme="minorBidi"/>
          <w:u w:val="single"/>
          <w:rtl/>
        </w:rPr>
      </w:pPr>
      <w:r w:rsidRPr="00104621">
        <w:rPr>
          <w:rFonts w:asciiTheme="minorBidi" w:hAnsiTheme="minorBidi"/>
          <w:u w:val="single"/>
          <w:rtl/>
        </w:rPr>
        <w:t>כיצד מזמני</w:t>
      </w:r>
      <w:r w:rsidR="0028669E">
        <w:rPr>
          <w:rFonts w:asciiTheme="minorBidi" w:hAnsiTheme="minorBidi" w:hint="cs"/>
          <w:u w:val="single"/>
          <w:rtl/>
        </w:rPr>
        <w:t xml:space="preserve">ם את </w:t>
      </w:r>
      <w:r w:rsidRPr="00104621">
        <w:rPr>
          <w:rFonts w:asciiTheme="minorBidi" w:hAnsiTheme="minorBidi"/>
          <w:u w:val="single"/>
          <w:rtl/>
        </w:rPr>
        <w:t>בעלי הדי</w:t>
      </w:r>
      <w:r w:rsidR="0028669E">
        <w:rPr>
          <w:rFonts w:asciiTheme="minorBidi" w:hAnsiTheme="minorBidi" w:hint="cs"/>
          <w:u w:val="single"/>
          <w:rtl/>
        </w:rPr>
        <w:t>ן</w:t>
      </w:r>
      <w:r w:rsidRPr="00104621">
        <w:rPr>
          <w:rFonts w:asciiTheme="minorBidi" w:hAnsiTheme="minorBidi"/>
          <w:u w:val="single"/>
          <w:rtl/>
        </w:rPr>
        <w:t xml:space="preserve"> לדין</w:t>
      </w:r>
      <w:r>
        <w:rPr>
          <w:rFonts w:asciiTheme="minorBidi" w:hAnsiTheme="minorBidi" w:hint="cs"/>
          <w:u w:val="single"/>
          <w:rtl/>
        </w:rPr>
        <w:t>:</w:t>
      </w:r>
      <w:r w:rsidRPr="00104621">
        <w:rPr>
          <w:rFonts w:asciiTheme="minorBidi" w:hAnsiTheme="minorBidi"/>
          <w:u w:val="single"/>
          <w:rtl/>
        </w:rPr>
        <w:t xml:space="preserve"> </w:t>
      </w:r>
    </w:p>
    <w:p w14:paraId="2B2A90D5" w14:textId="77777777" w:rsidR="00104621" w:rsidRPr="00576D5C" w:rsidRDefault="00104621" w:rsidP="00C704CB">
      <w:pPr>
        <w:pStyle w:val="ac"/>
        <w:numPr>
          <w:ilvl w:val="0"/>
          <w:numId w:val="4"/>
        </w:numPr>
        <w:rPr>
          <w:rFonts w:asciiTheme="minorBidi" w:hAnsiTheme="minorBidi"/>
          <w:rtl/>
        </w:rPr>
      </w:pPr>
      <w:r w:rsidRPr="00576D5C">
        <w:rPr>
          <w:rFonts w:asciiTheme="minorBidi" w:hAnsiTheme="minorBidi"/>
          <w:rtl/>
        </w:rPr>
        <w:t xml:space="preserve">רמב"ם </w:t>
      </w:r>
      <w:r w:rsidRPr="00576D5C">
        <w:rPr>
          <w:rFonts w:asciiTheme="minorBidi" w:hAnsiTheme="minorBidi" w:hint="cs"/>
          <w:color w:val="000000"/>
          <w:sz w:val="16"/>
          <w:szCs w:val="16"/>
          <w:rtl/>
        </w:rPr>
        <w:t>(</w:t>
      </w:r>
      <w:r w:rsidRPr="00576D5C">
        <w:rPr>
          <w:rFonts w:asciiTheme="minorBidi" w:hAnsiTheme="minorBidi"/>
          <w:color w:val="000000"/>
          <w:sz w:val="16"/>
          <w:szCs w:val="16"/>
          <w:rtl/>
        </w:rPr>
        <w:t>פכ"ה מהל</w:t>
      </w:r>
      <w:r w:rsidRPr="00576D5C">
        <w:rPr>
          <w:rFonts w:asciiTheme="minorBidi" w:hAnsiTheme="minorBidi" w:hint="cs"/>
          <w:color w:val="000000"/>
          <w:sz w:val="16"/>
          <w:szCs w:val="16"/>
          <w:rtl/>
        </w:rPr>
        <w:t>'</w:t>
      </w:r>
      <w:r w:rsidRPr="00576D5C">
        <w:rPr>
          <w:rFonts w:asciiTheme="minorBidi" w:hAnsiTheme="minorBidi"/>
          <w:color w:val="000000"/>
          <w:sz w:val="16"/>
          <w:szCs w:val="16"/>
          <w:rtl/>
        </w:rPr>
        <w:t xml:space="preserve"> סנהדרין ה"ח)</w:t>
      </w:r>
      <w:r w:rsidR="0028669E">
        <w:rPr>
          <w:rFonts w:asciiTheme="minorBidi" w:hAnsiTheme="minorBidi" w:hint="cs"/>
          <w:rtl/>
        </w:rPr>
        <w:t xml:space="preserve"> וטור</w:t>
      </w:r>
      <w:r w:rsidR="0028669E">
        <w:rPr>
          <w:rFonts w:asciiTheme="minorBidi" w:hAnsiTheme="minorBidi" w:hint="cs"/>
          <w:sz w:val="16"/>
          <w:szCs w:val="16"/>
          <w:rtl/>
        </w:rPr>
        <w:t xml:space="preserve"> (ס"א וס"ה)</w:t>
      </w:r>
      <w:r w:rsidRPr="00576D5C">
        <w:rPr>
          <w:rFonts w:asciiTheme="minorBidi" w:hAnsiTheme="minorBidi"/>
          <w:rtl/>
        </w:rPr>
        <w:t xml:space="preserve">- מי ששלחו לו בית דין לבוא ולא בא לדין </w:t>
      </w:r>
      <w:r w:rsidR="0028669E">
        <w:rPr>
          <w:rFonts w:asciiTheme="minorBidi" w:hAnsiTheme="minorBidi" w:hint="cs"/>
          <w:rtl/>
        </w:rPr>
        <w:t xml:space="preserve">- </w:t>
      </w:r>
      <w:r w:rsidRPr="00576D5C">
        <w:rPr>
          <w:rFonts w:asciiTheme="minorBidi" w:hAnsiTheme="minorBidi"/>
          <w:rtl/>
        </w:rPr>
        <w:t>מנדין אותו</w:t>
      </w:r>
      <w:r w:rsidR="0028669E">
        <w:rPr>
          <w:rFonts w:asciiTheme="minorBidi" w:hAnsiTheme="minorBidi" w:hint="cs"/>
          <w:rtl/>
        </w:rPr>
        <w:t>,</w:t>
      </w:r>
      <w:r w:rsidRPr="00576D5C">
        <w:rPr>
          <w:rFonts w:asciiTheme="minorBidi" w:hAnsiTheme="minorBidi"/>
          <w:rtl/>
        </w:rPr>
        <w:t xml:space="preserve"> וכותבין עליו פיתחא</w:t>
      </w:r>
      <w:r w:rsidR="0028669E">
        <w:rPr>
          <w:rFonts w:asciiTheme="minorBidi" w:hAnsiTheme="minorBidi" w:hint="cs"/>
          <w:rtl/>
        </w:rPr>
        <w:t>,</w:t>
      </w:r>
      <w:r w:rsidRPr="00576D5C">
        <w:rPr>
          <w:rFonts w:asciiTheme="minorBidi" w:hAnsiTheme="minorBidi"/>
          <w:rtl/>
        </w:rPr>
        <w:t xml:space="preserve"> ונותן שכר הסופר</w:t>
      </w:r>
      <w:r w:rsidR="0028669E">
        <w:rPr>
          <w:rFonts w:asciiTheme="minorBidi" w:hAnsiTheme="minorBidi" w:hint="cs"/>
          <w:rtl/>
        </w:rPr>
        <w:t>.</w:t>
      </w:r>
      <w:r w:rsidRPr="00576D5C">
        <w:rPr>
          <w:rFonts w:asciiTheme="minorBidi" w:hAnsiTheme="minorBidi"/>
          <w:rtl/>
        </w:rPr>
        <w:t xml:space="preserve"> ובעת שיבא קורעין הפיתחא</w:t>
      </w:r>
      <w:r w:rsidR="0028669E">
        <w:rPr>
          <w:rFonts w:asciiTheme="minorBidi" w:hAnsiTheme="minorBidi" w:hint="cs"/>
          <w:rtl/>
        </w:rPr>
        <w:t>.</w:t>
      </w:r>
      <w:r w:rsidRPr="00576D5C">
        <w:rPr>
          <w:rFonts w:asciiTheme="minorBidi" w:hAnsiTheme="minorBidi"/>
          <w:rtl/>
        </w:rPr>
        <w:t xml:space="preserve"> כתבו לו פיתחא מפני שלא קבל הדין</w:t>
      </w:r>
      <w:r w:rsidR="0028669E">
        <w:rPr>
          <w:rFonts w:asciiTheme="minorBidi" w:hAnsiTheme="minorBidi" w:hint="cs"/>
          <w:rtl/>
        </w:rPr>
        <w:t>,</w:t>
      </w:r>
      <w:r w:rsidRPr="00576D5C">
        <w:rPr>
          <w:rFonts w:asciiTheme="minorBidi" w:hAnsiTheme="minorBidi"/>
          <w:rtl/>
        </w:rPr>
        <w:t xml:space="preserve"> כיון שאמר הריני מקבל הדין </w:t>
      </w:r>
      <w:r w:rsidR="0028669E">
        <w:rPr>
          <w:rFonts w:asciiTheme="minorBidi" w:hAnsiTheme="minorBidi" w:hint="cs"/>
          <w:rtl/>
        </w:rPr>
        <w:t xml:space="preserve">- </w:t>
      </w:r>
      <w:r w:rsidRPr="00576D5C">
        <w:rPr>
          <w:rFonts w:asciiTheme="minorBidi" w:hAnsiTheme="minorBidi"/>
          <w:rtl/>
        </w:rPr>
        <w:t>קורעין נידויו</w:t>
      </w:r>
      <w:r w:rsidR="0028669E">
        <w:rPr>
          <w:rFonts w:asciiTheme="minorBidi" w:hAnsiTheme="minorBidi" w:hint="cs"/>
          <w:rtl/>
        </w:rPr>
        <w:t>.</w:t>
      </w:r>
      <w:r w:rsidRPr="00576D5C">
        <w:rPr>
          <w:rFonts w:asciiTheme="minorBidi" w:hAnsiTheme="minorBidi"/>
          <w:rtl/>
        </w:rPr>
        <w:t xml:space="preserve"> קבעו לו בית דין זמן שיבא היום ולא בא כל אותו היום </w:t>
      </w:r>
      <w:r w:rsidR="0028669E">
        <w:rPr>
          <w:rFonts w:asciiTheme="minorBidi" w:hAnsiTheme="minorBidi" w:hint="cs"/>
          <w:rtl/>
        </w:rPr>
        <w:t xml:space="preserve">- </w:t>
      </w:r>
      <w:r w:rsidRPr="00576D5C">
        <w:rPr>
          <w:rFonts w:asciiTheme="minorBidi" w:hAnsiTheme="minorBidi"/>
          <w:rtl/>
        </w:rPr>
        <w:t>כותבין עליו פיתחא לערב</w:t>
      </w:r>
      <w:r w:rsidR="0048677E">
        <w:rPr>
          <w:rFonts w:asciiTheme="minorBidi" w:hAnsiTheme="minorBidi" w:hint="cs"/>
          <w:rtl/>
        </w:rPr>
        <w:t>.</w:t>
      </w:r>
      <w:r w:rsidRPr="00576D5C">
        <w:rPr>
          <w:rFonts w:asciiTheme="minorBidi" w:hAnsiTheme="minorBidi"/>
          <w:rtl/>
        </w:rPr>
        <w:t xml:space="preserve"> במה דברים אמורים כשהיה במדינה ומרד ולא בא, אבל אם היה בכפרים ויוצא ונכנס </w:t>
      </w:r>
      <w:r w:rsidR="0028669E">
        <w:rPr>
          <w:rFonts w:asciiTheme="minorBidi" w:hAnsiTheme="minorBidi" w:hint="cs"/>
          <w:rtl/>
        </w:rPr>
        <w:t xml:space="preserve">- </w:t>
      </w:r>
      <w:r w:rsidRPr="00576D5C">
        <w:rPr>
          <w:rFonts w:asciiTheme="minorBidi" w:hAnsiTheme="minorBidi"/>
          <w:rtl/>
        </w:rPr>
        <w:t>קובעים לו זמן שני וחמישי ושני</w:t>
      </w:r>
      <w:r>
        <w:rPr>
          <w:rStyle w:val="ab"/>
          <w:rFonts w:asciiTheme="minorBidi" w:hAnsiTheme="minorBidi"/>
          <w:rtl/>
        </w:rPr>
        <w:footnoteReference w:id="524"/>
      </w:r>
      <w:r w:rsidRPr="00576D5C">
        <w:rPr>
          <w:rFonts w:asciiTheme="minorBidi" w:hAnsiTheme="minorBidi"/>
          <w:rtl/>
        </w:rPr>
        <w:t>, ואם שלם יום שני ולא בא אין כותבין עליו פיתחא עד למחר</w:t>
      </w:r>
      <w:r w:rsidRPr="00576D5C">
        <w:rPr>
          <w:rStyle w:val="ab"/>
          <w:rFonts w:asciiTheme="minorBidi" w:hAnsiTheme="minorBidi"/>
          <w:rtl/>
        </w:rPr>
        <w:footnoteReference w:id="525"/>
      </w:r>
      <w:r w:rsidR="0028669E">
        <w:rPr>
          <w:rFonts w:asciiTheme="minorBidi" w:hAnsiTheme="minorBidi" w:hint="cs"/>
          <w:sz w:val="16"/>
          <w:szCs w:val="16"/>
          <w:rtl/>
        </w:rPr>
        <w:t xml:space="preserve"> (ל' הרמב"ם)</w:t>
      </w:r>
      <w:r w:rsidRPr="00576D5C">
        <w:rPr>
          <w:rFonts w:asciiTheme="minorBidi" w:hAnsiTheme="minorBidi"/>
          <w:rtl/>
        </w:rPr>
        <w:t>.</w:t>
      </w:r>
    </w:p>
    <w:p w14:paraId="1B030B54" w14:textId="77777777" w:rsidR="006F0BD2" w:rsidRDefault="006F0BD2" w:rsidP="006F0BD2">
      <w:pPr>
        <w:rPr>
          <w:rFonts w:asciiTheme="minorBidi" w:hAnsiTheme="minorBidi"/>
          <w:rtl/>
        </w:rPr>
      </w:pPr>
      <w:r w:rsidRPr="006F0BD2">
        <w:rPr>
          <w:rFonts w:asciiTheme="minorBidi" w:hAnsiTheme="minorBidi"/>
          <w:b/>
          <w:bCs/>
          <w:rtl/>
        </w:rPr>
        <w:t>ראש השנה</w:t>
      </w:r>
      <w:r w:rsidRPr="006F0BD2">
        <w:rPr>
          <w:rFonts w:asciiTheme="minorBidi" w:hAnsiTheme="minorBidi"/>
          <w:b/>
          <w:bCs/>
          <w:sz w:val="16"/>
          <w:szCs w:val="16"/>
          <w:rtl/>
        </w:rPr>
        <w:t xml:space="preserve"> (פ' בתרא) </w:t>
      </w:r>
      <w:r w:rsidRPr="006F0BD2">
        <w:rPr>
          <w:rFonts w:asciiTheme="minorBidi" w:hAnsiTheme="minorBidi"/>
          <w:b/>
          <w:bCs/>
          <w:rtl/>
        </w:rPr>
        <w:t>לא</w:t>
      </w:r>
      <w:r>
        <w:rPr>
          <w:rStyle w:val="ab"/>
          <w:rFonts w:asciiTheme="minorBidi" w:hAnsiTheme="minorBidi"/>
          <w:b/>
          <w:bCs/>
          <w:rtl/>
        </w:rPr>
        <w:footnoteReference w:id="526"/>
      </w:r>
      <w:r w:rsidRPr="006F0BD2">
        <w:rPr>
          <w:rFonts w:asciiTheme="minorBidi" w:hAnsiTheme="minorBidi"/>
          <w:b/>
          <w:bCs/>
          <w:rtl/>
        </w:rPr>
        <w:t xml:space="preserve"> ע"ב:</w:t>
      </w:r>
      <w:r w:rsidRPr="006F0BD2">
        <w:rPr>
          <w:rFonts w:asciiTheme="minorBidi" w:hAnsiTheme="minorBidi"/>
          <w:rtl/>
        </w:rPr>
        <w:t xml:space="preserve"> ההיא איתתא דאזמנוה לדינא קמיה דאמימר בנהרדעי, אזל אמימר למחוזא, ולא אזלה בתריה. כתב פתיחא</w:t>
      </w:r>
      <w:r w:rsidRPr="00576D5C">
        <w:rPr>
          <w:rStyle w:val="ab"/>
          <w:rFonts w:asciiTheme="minorBidi" w:hAnsiTheme="minorBidi"/>
          <w:rtl/>
        </w:rPr>
        <w:footnoteReference w:id="527"/>
      </w:r>
      <w:r w:rsidRPr="006F0BD2">
        <w:rPr>
          <w:rFonts w:asciiTheme="minorBidi" w:hAnsiTheme="minorBidi"/>
          <w:rtl/>
        </w:rPr>
        <w:t xml:space="preserve"> עילווה. </w:t>
      </w:r>
      <w:r w:rsidRPr="006F0BD2">
        <w:rPr>
          <w:rFonts w:asciiTheme="minorBidi" w:hAnsiTheme="minorBidi"/>
          <w:u w:val="single"/>
          <w:rtl/>
        </w:rPr>
        <w:t>אמר ליה רב אשי לאמימר</w:t>
      </w:r>
      <w:r w:rsidRPr="006F0BD2">
        <w:rPr>
          <w:rFonts w:asciiTheme="minorBidi" w:hAnsiTheme="minorBidi"/>
          <w:rtl/>
        </w:rPr>
        <w:t xml:space="preserve">: והא אנן תנן: אפילו ראש בית דין בכל מקום - שלא יהו העדים הולכין אלא למקום הוועד! </w:t>
      </w:r>
      <w:r w:rsidRPr="006F0BD2">
        <w:rPr>
          <w:rFonts w:asciiTheme="minorBidi" w:hAnsiTheme="minorBidi"/>
          <w:u w:val="single"/>
          <w:rtl/>
        </w:rPr>
        <w:t>אמר ליה</w:t>
      </w:r>
      <w:r w:rsidRPr="006F0BD2">
        <w:rPr>
          <w:rFonts w:asciiTheme="minorBidi" w:hAnsiTheme="minorBidi"/>
          <w:rtl/>
        </w:rPr>
        <w:t>: הני מילי - לענין עדות החדש, דאם כן</w:t>
      </w:r>
      <w:r w:rsidRPr="00576D5C">
        <w:rPr>
          <w:rStyle w:val="ab"/>
          <w:rFonts w:asciiTheme="minorBidi" w:hAnsiTheme="minorBidi"/>
          <w:rtl/>
        </w:rPr>
        <w:footnoteReference w:id="528"/>
      </w:r>
      <w:r w:rsidRPr="006F0BD2">
        <w:rPr>
          <w:rFonts w:asciiTheme="minorBidi" w:hAnsiTheme="minorBidi"/>
          <w:rtl/>
        </w:rPr>
        <w:t xml:space="preserve"> נמצאת מכשילן לעתיד לבא. אבל הכא - עבד לוה לאיש מלוה. </w:t>
      </w:r>
    </w:p>
    <w:p w14:paraId="5ED66816" w14:textId="77777777" w:rsidR="006F0BD2" w:rsidRDefault="006F0BD2" w:rsidP="006F0BD2">
      <w:pPr>
        <w:rPr>
          <w:rFonts w:asciiTheme="minorBidi" w:hAnsiTheme="minorBidi"/>
          <w:rtl/>
        </w:rPr>
      </w:pPr>
      <w:r w:rsidRPr="006F0BD2">
        <w:rPr>
          <w:rFonts w:asciiTheme="minorBidi" w:hAnsiTheme="minorBidi" w:hint="cs"/>
          <w:u w:val="single"/>
          <w:rtl/>
        </w:rPr>
        <w:t xml:space="preserve">זימנוהו לדין והב"ד הלך למקום אחר </w:t>
      </w:r>
      <w:r w:rsidRPr="006F0BD2">
        <w:rPr>
          <w:rFonts w:asciiTheme="minorBidi" w:hAnsiTheme="minorBidi"/>
          <w:u w:val="single"/>
          <w:rtl/>
        </w:rPr>
        <w:t>–</w:t>
      </w:r>
      <w:r w:rsidRPr="006F0BD2">
        <w:rPr>
          <w:rFonts w:asciiTheme="minorBidi" w:hAnsiTheme="minorBidi" w:hint="cs"/>
          <w:u w:val="single"/>
          <w:rtl/>
        </w:rPr>
        <w:t xml:space="preserve"> האם צריך לילך אחריהם:</w:t>
      </w:r>
    </w:p>
    <w:p w14:paraId="6263F446" w14:textId="77777777" w:rsidR="006F0BD2" w:rsidRPr="006F0BD2" w:rsidRDefault="006F0BD2" w:rsidP="006F0BD2">
      <w:pPr>
        <w:pStyle w:val="ac"/>
        <w:numPr>
          <w:ilvl w:val="0"/>
          <w:numId w:val="4"/>
        </w:numPr>
        <w:rPr>
          <w:rFonts w:asciiTheme="minorBidi" w:hAnsiTheme="minorBidi"/>
          <w:rtl/>
        </w:rPr>
      </w:pPr>
      <w:r>
        <w:rPr>
          <w:rFonts w:asciiTheme="minorBidi" w:hAnsiTheme="minorBidi" w:hint="cs"/>
          <w:rtl/>
        </w:rPr>
        <w:t xml:space="preserve">ב"י- </w:t>
      </w:r>
      <w:r w:rsidRPr="006F0BD2">
        <w:rPr>
          <w:rFonts w:asciiTheme="minorBidi" w:hAnsiTheme="minorBidi"/>
          <w:rtl/>
        </w:rPr>
        <w:t>הלך הב"ד למקום אחר</w:t>
      </w:r>
      <w:r w:rsidR="0048677E">
        <w:rPr>
          <w:rFonts w:asciiTheme="minorBidi" w:hAnsiTheme="minorBidi" w:hint="cs"/>
          <w:rtl/>
        </w:rPr>
        <w:t xml:space="preserve"> -</w:t>
      </w:r>
      <w:r w:rsidRPr="006F0BD2">
        <w:rPr>
          <w:rFonts w:asciiTheme="minorBidi" w:hAnsiTheme="minorBidi"/>
          <w:rtl/>
        </w:rPr>
        <w:t xml:space="preserve"> צריך לילך אחריהם</w:t>
      </w:r>
      <w:r w:rsidR="0048677E">
        <w:rPr>
          <w:rFonts w:asciiTheme="minorBidi" w:hAnsiTheme="minorBidi" w:hint="cs"/>
          <w:rtl/>
        </w:rPr>
        <w:t xml:space="preserve">. </w:t>
      </w:r>
      <w:r w:rsidRPr="006F0BD2">
        <w:rPr>
          <w:rFonts w:asciiTheme="minorBidi" w:hAnsiTheme="minorBidi"/>
          <w:rtl/>
        </w:rPr>
        <w:t xml:space="preserve">ואם לא הלך </w:t>
      </w:r>
      <w:r w:rsidR="0048677E">
        <w:rPr>
          <w:rFonts w:asciiTheme="minorBidi" w:hAnsiTheme="minorBidi" w:hint="cs"/>
          <w:rtl/>
        </w:rPr>
        <w:t xml:space="preserve">- </w:t>
      </w:r>
      <w:r w:rsidRPr="006F0BD2">
        <w:rPr>
          <w:rFonts w:asciiTheme="minorBidi" w:hAnsiTheme="minorBidi"/>
          <w:rtl/>
        </w:rPr>
        <w:t>מנדין אותו</w:t>
      </w:r>
      <w:r>
        <w:rPr>
          <w:rFonts w:asciiTheme="minorBidi" w:hAnsiTheme="minorBidi" w:hint="cs"/>
          <w:rtl/>
        </w:rPr>
        <w:t>.</w:t>
      </w:r>
      <w:r w:rsidRPr="006F0BD2">
        <w:rPr>
          <w:rFonts w:asciiTheme="minorBidi" w:hAnsiTheme="minorBidi" w:hint="cs"/>
          <w:color w:val="00B0F0"/>
          <w:rtl/>
        </w:rPr>
        <w:t xml:space="preserve"> </w:t>
      </w:r>
      <w:r w:rsidRPr="00E63E94">
        <w:rPr>
          <w:rFonts w:asciiTheme="minorBidi" w:hAnsiTheme="minorBidi" w:hint="cs"/>
          <w:color w:val="00B0F0"/>
          <w:rtl/>
        </w:rPr>
        <w:t>(</w:t>
      </w:r>
      <w:r w:rsidRPr="00E63E94">
        <w:rPr>
          <w:rFonts w:asciiTheme="minorBidi" w:hAnsiTheme="minorBidi"/>
          <w:color w:val="00B0F0"/>
          <w:rtl/>
        </w:rPr>
        <w:t>וכ"פ הרמ"א</w:t>
      </w:r>
      <w:r>
        <w:rPr>
          <w:rFonts w:asciiTheme="minorBidi" w:hAnsiTheme="minorBidi" w:hint="cs"/>
          <w:color w:val="00B0F0"/>
          <w:rtl/>
        </w:rPr>
        <w:t>)</w:t>
      </w:r>
    </w:p>
    <w:p w14:paraId="2F9F0AEE" w14:textId="77777777" w:rsidR="003C3304" w:rsidRPr="00576D5C" w:rsidRDefault="00C17E1D" w:rsidP="00576D5C">
      <w:pPr>
        <w:rPr>
          <w:rFonts w:asciiTheme="minorBidi" w:hAnsiTheme="minorBidi"/>
          <w:u w:val="single"/>
          <w:rtl/>
        </w:rPr>
      </w:pPr>
      <w:r>
        <w:rPr>
          <w:rFonts w:asciiTheme="minorBidi" w:hAnsiTheme="minorBidi" w:hint="cs"/>
          <w:u w:val="single"/>
          <w:rtl/>
        </w:rPr>
        <w:t>בעל דין שמסרב להגיע לבית דין בטענה שהוא רוצה שידונו אותם בבית דין אחר</w:t>
      </w:r>
      <w:r w:rsidR="003C3304" w:rsidRPr="00576D5C">
        <w:rPr>
          <w:rFonts w:asciiTheme="minorBidi" w:hAnsiTheme="minorBidi"/>
          <w:u w:val="single"/>
          <w:rtl/>
        </w:rPr>
        <w:t xml:space="preserve">: </w:t>
      </w:r>
    </w:p>
    <w:p w14:paraId="03731CB7" w14:textId="77777777" w:rsidR="00C46BA7" w:rsidRPr="00576D5C" w:rsidRDefault="00887674" w:rsidP="00576D5C">
      <w:pPr>
        <w:pStyle w:val="ac"/>
        <w:numPr>
          <w:ilvl w:val="0"/>
          <w:numId w:val="1"/>
        </w:numPr>
        <w:rPr>
          <w:rFonts w:asciiTheme="minorBidi" w:hAnsiTheme="minorBidi"/>
        </w:rPr>
      </w:pPr>
      <w:r w:rsidRPr="00576D5C">
        <w:rPr>
          <w:rFonts w:asciiTheme="minorBidi" w:hAnsiTheme="minorBidi"/>
          <w:rtl/>
        </w:rPr>
        <w:t>בעל התרומות</w:t>
      </w:r>
      <w:r w:rsidRPr="00576D5C">
        <w:rPr>
          <w:rFonts w:asciiTheme="minorBidi" w:hAnsiTheme="minorBidi"/>
          <w:color w:val="000000"/>
          <w:sz w:val="16"/>
          <w:szCs w:val="16"/>
          <w:rtl/>
        </w:rPr>
        <w:t xml:space="preserve"> </w:t>
      </w:r>
      <w:r w:rsidR="00E47991" w:rsidRPr="00576D5C">
        <w:rPr>
          <w:rFonts w:asciiTheme="minorBidi" w:hAnsiTheme="minorBidi" w:hint="cs"/>
          <w:color w:val="000000"/>
          <w:sz w:val="16"/>
          <w:szCs w:val="16"/>
          <w:rtl/>
        </w:rPr>
        <w:t>(</w:t>
      </w:r>
      <w:r w:rsidRPr="00576D5C">
        <w:rPr>
          <w:rFonts w:asciiTheme="minorBidi" w:hAnsiTheme="minorBidi"/>
          <w:color w:val="000000"/>
          <w:sz w:val="16"/>
          <w:szCs w:val="16"/>
          <w:rtl/>
        </w:rPr>
        <w:t>ש</w:t>
      </w:r>
      <w:r w:rsidR="00E47991" w:rsidRPr="00576D5C">
        <w:rPr>
          <w:rFonts w:asciiTheme="minorBidi" w:hAnsiTheme="minorBidi" w:hint="cs"/>
          <w:color w:val="000000"/>
          <w:sz w:val="16"/>
          <w:szCs w:val="16"/>
          <w:rtl/>
        </w:rPr>
        <w:t>"</w:t>
      </w:r>
      <w:r w:rsidRPr="00576D5C">
        <w:rPr>
          <w:rFonts w:asciiTheme="minorBidi" w:hAnsiTheme="minorBidi"/>
          <w:color w:val="000000"/>
          <w:sz w:val="16"/>
          <w:szCs w:val="16"/>
          <w:rtl/>
        </w:rPr>
        <w:t>ג ח"ח סי' ו)</w:t>
      </w:r>
      <w:r w:rsidR="003C3304" w:rsidRPr="00576D5C">
        <w:rPr>
          <w:rFonts w:asciiTheme="minorBidi" w:hAnsiTheme="minorBidi"/>
          <w:rtl/>
        </w:rPr>
        <w:t xml:space="preserve">- </w:t>
      </w:r>
      <w:r w:rsidRPr="00576D5C">
        <w:rPr>
          <w:rFonts w:asciiTheme="minorBidi" w:hAnsiTheme="minorBidi"/>
          <w:rtl/>
        </w:rPr>
        <w:t>אם שלחו הבית דין שלוחם שיבא לדון לפניהם עם בעל דינו והוא מרד במצותם</w:t>
      </w:r>
      <w:r w:rsidR="00E47991" w:rsidRPr="00576D5C">
        <w:rPr>
          <w:rFonts w:asciiTheme="minorBidi" w:hAnsiTheme="minorBidi"/>
          <w:rtl/>
        </w:rPr>
        <w:t>,</w:t>
      </w:r>
      <w:r w:rsidRPr="00576D5C">
        <w:rPr>
          <w:rFonts w:asciiTheme="minorBidi" w:hAnsiTheme="minorBidi"/>
          <w:rtl/>
        </w:rPr>
        <w:t xml:space="preserve"> אם אותם דיינים לא המחום רבים עליהם </w:t>
      </w:r>
      <w:r w:rsidR="0028669E">
        <w:rPr>
          <w:rFonts w:asciiTheme="minorBidi" w:hAnsiTheme="minorBidi" w:hint="cs"/>
          <w:rtl/>
        </w:rPr>
        <w:t xml:space="preserve">- </w:t>
      </w:r>
      <w:r w:rsidRPr="00576D5C">
        <w:rPr>
          <w:rFonts w:asciiTheme="minorBidi" w:hAnsiTheme="minorBidi"/>
          <w:rtl/>
        </w:rPr>
        <w:t xml:space="preserve">יכול לומר </w:t>
      </w:r>
      <w:r w:rsidR="0028669E">
        <w:rPr>
          <w:rFonts w:asciiTheme="minorBidi" w:hAnsiTheme="minorBidi" w:hint="cs"/>
          <w:rtl/>
        </w:rPr>
        <w:t>'</w:t>
      </w:r>
      <w:r w:rsidRPr="00576D5C">
        <w:rPr>
          <w:rFonts w:asciiTheme="minorBidi" w:hAnsiTheme="minorBidi"/>
          <w:rtl/>
        </w:rPr>
        <w:t>אין רצוני לבא לפניכם אלא לפני אחרים שהם בעיר הזאת שהם דיינים מומחים כמותכם או יותר מכם</w:t>
      </w:r>
      <w:r w:rsidR="0028669E">
        <w:rPr>
          <w:rFonts w:asciiTheme="minorBidi" w:hAnsiTheme="minorBidi" w:hint="cs"/>
          <w:rtl/>
        </w:rPr>
        <w:t>'</w:t>
      </w:r>
      <w:r w:rsidR="00104621">
        <w:rPr>
          <w:rFonts w:asciiTheme="minorBidi" w:hAnsiTheme="minorBidi" w:hint="cs"/>
          <w:rtl/>
        </w:rPr>
        <w:t>,</w:t>
      </w:r>
      <w:r w:rsidRPr="00576D5C">
        <w:rPr>
          <w:rFonts w:asciiTheme="minorBidi" w:hAnsiTheme="minorBidi"/>
          <w:rtl/>
        </w:rPr>
        <w:t xml:space="preserve"> וכדאמרינן בפרק הגוזל </w:t>
      </w:r>
      <w:r w:rsidRPr="00576D5C">
        <w:rPr>
          <w:rFonts w:asciiTheme="minorBidi" w:hAnsiTheme="minorBidi"/>
          <w:sz w:val="16"/>
          <w:szCs w:val="16"/>
          <w:rtl/>
        </w:rPr>
        <w:t xml:space="preserve">(קיב:) </w:t>
      </w:r>
      <w:r w:rsidRPr="00576D5C">
        <w:rPr>
          <w:rFonts w:asciiTheme="minorBidi" w:hAnsiTheme="minorBidi"/>
          <w:rtl/>
        </w:rPr>
        <w:t>אבל לא פתחו ליה בדינא מצי א"ל לבית דין הגדול קא אזילנא</w:t>
      </w:r>
      <w:r w:rsidR="0028669E">
        <w:rPr>
          <w:rFonts w:asciiTheme="minorBidi" w:hAnsiTheme="minorBidi" w:hint="cs"/>
          <w:rtl/>
        </w:rPr>
        <w:t>.</w:t>
      </w:r>
      <w:r w:rsidRPr="00576D5C">
        <w:rPr>
          <w:rFonts w:asciiTheme="minorBidi" w:hAnsiTheme="minorBidi"/>
          <w:rtl/>
        </w:rPr>
        <w:t xml:space="preserve"> אבל אם המחום רבים עליהם ואין באותה העיר אחרים כמותם או גדולים מהם בחכמה </w:t>
      </w:r>
      <w:r w:rsidR="0028669E">
        <w:rPr>
          <w:rFonts w:asciiTheme="minorBidi" w:hAnsiTheme="minorBidi" w:hint="cs"/>
          <w:rtl/>
        </w:rPr>
        <w:t xml:space="preserve">- </w:t>
      </w:r>
      <w:r w:rsidRPr="00576D5C">
        <w:rPr>
          <w:rFonts w:asciiTheme="minorBidi" w:hAnsiTheme="minorBidi"/>
          <w:rtl/>
        </w:rPr>
        <w:t>אין יכול לומר אלך לבית דין אחר שבעיר אחרת ואדון עמו</w:t>
      </w:r>
      <w:r w:rsidR="00104621">
        <w:rPr>
          <w:rFonts w:asciiTheme="minorBidi" w:hAnsiTheme="minorBidi" w:hint="cs"/>
          <w:rtl/>
        </w:rPr>
        <w:t>,</w:t>
      </w:r>
      <w:r w:rsidRPr="00576D5C">
        <w:rPr>
          <w:rFonts w:asciiTheme="minorBidi" w:hAnsiTheme="minorBidi"/>
          <w:rtl/>
        </w:rPr>
        <w:t xml:space="preserve"> כדאיתא בפרק זה בורר </w:t>
      </w:r>
      <w:r w:rsidRPr="00576D5C">
        <w:rPr>
          <w:rFonts w:asciiTheme="minorBidi" w:hAnsiTheme="minorBidi"/>
          <w:sz w:val="16"/>
          <w:szCs w:val="16"/>
          <w:rtl/>
        </w:rPr>
        <w:t xml:space="preserve">(לא:) </w:t>
      </w:r>
      <w:r w:rsidRPr="00576D5C">
        <w:rPr>
          <w:rFonts w:asciiTheme="minorBidi" w:hAnsiTheme="minorBidi"/>
          <w:rtl/>
        </w:rPr>
        <w:t>אחד אומר נדון כאן ואחד אומר נלך לבית הועד כופין אותו ודן בעירו</w:t>
      </w:r>
      <w:r w:rsidR="00E47991" w:rsidRPr="00576D5C">
        <w:rPr>
          <w:rFonts w:asciiTheme="minorBidi" w:hAnsiTheme="minorBidi"/>
          <w:rtl/>
        </w:rPr>
        <w:t>,</w:t>
      </w:r>
      <w:r w:rsidRPr="00576D5C">
        <w:rPr>
          <w:rFonts w:asciiTheme="minorBidi" w:hAnsiTheme="minorBidi"/>
          <w:rtl/>
        </w:rPr>
        <w:t xml:space="preserve"> הילכך אם לא בא לפניהם כלל או שבא לפניהם וטען שלא ידון לפניהם</w:t>
      </w:r>
      <w:r w:rsidR="00C17E1D">
        <w:rPr>
          <w:rFonts w:asciiTheme="minorBidi" w:hAnsiTheme="minorBidi" w:hint="cs"/>
          <w:rtl/>
        </w:rPr>
        <w:t xml:space="preserve"> -</w:t>
      </w:r>
      <w:r w:rsidRPr="00576D5C">
        <w:rPr>
          <w:rFonts w:asciiTheme="minorBidi" w:hAnsiTheme="minorBidi"/>
          <w:rtl/>
        </w:rPr>
        <w:t xml:space="preserve"> בכל אלה נקרא מורד בבית דין</w:t>
      </w:r>
      <w:r w:rsidR="00E47991" w:rsidRPr="00576D5C">
        <w:rPr>
          <w:rFonts w:asciiTheme="minorBidi" w:hAnsiTheme="minorBidi"/>
          <w:rtl/>
        </w:rPr>
        <w:t>.</w:t>
      </w:r>
      <w:r w:rsidR="006F0BD2" w:rsidRPr="006F0BD2">
        <w:rPr>
          <w:rFonts w:asciiTheme="minorBidi" w:hAnsiTheme="minorBidi" w:cs="Arial"/>
          <w:color w:val="000000"/>
          <w:rtl/>
        </w:rPr>
        <w:t xml:space="preserve"> </w:t>
      </w:r>
      <w:r w:rsidR="006F0BD2" w:rsidRPr="00E63E94">
        <w:rPr>
          <w:rFonts w:asciiTheme="minorBidi" w:hAnsiTheme="minorBidi" w:cs="Arial"/>
          <w:color w:val="000000"/>
          <w:rtl/>
        </w:rPr>
        <w:t>.</w:t>
      </w:r>
      <w:r w:rsidR="006F0BD2" w:rsidRPr="00E63E94">
        <w:rPr>
          <w:rFonts w:asciiTheme="minorBidi" w:hAnsiTheme="minorBidi" w:hint="cs"/>
          <w:color w:val="E36C0A" w:themeColor="accent6" w:themeShade="BF"/>
          <w:rtl/>
        </w:rPr>
        <w:t xml:space="preserve"> </w:t>
      </w:r>
      <w:r w:rsidR="006F0BD2" w:rsidRPr="00576D5C">
        <w:rPr>
          <w:rFonts w:asciiTheme="minorBidi" w:hAnsiTheme="minorBidi"/>
          <w:color w:val="E36C0A" w:themeColor="accent6" w:themeShade="BF"/>
          <w:rtl/>
        </w:rPr>
        <w:t>(וכ"פ בשו"ע)</w:t>
      </w:r>
    </w:p>
    <w:p w14:paraId="72213A32" w14:textId="77777777" w:rsidR="00C17E1D" w:rsidRDefault="00C17E1D" w:rsidP="00C17E1D">
      <w:pPr>
        <w:rPr>
          <w:rFonts w:asciiTheme="minorBidi" w:hAnsiTheme="minorBidi"/>
          <w:color w:val="000000"/>
          <w:rtl/>
        </w:rPr>
      </w:pPr>
      <w:r w:rsidRPr="00576D5C">
        <w:rPr>
          <w:rFonts w:asciiTheme="minorBidi" w:hAnsiTheme="minorBidi"/>
          <w:b/>
          <w:bCs/>
          <w:color w:val="000000"/>
          <w:rtl/>
        </w:rPr>
        <w:t xml:space="preserve">בבא קמא </w:t>
      </w:r>
      <w:r w:rsidRPr="00576D5C">
        <w:rPr>
          <w:rFonts w:asciiTheme="minorBidi" w:hAnsiTheme="minorBidi"/>
          <w:b/>
          <w:bCs/>
          <w:color w:val="000000"/>
          <w:sz w:val="16"/>
          <w:szCs w:val="16"/>
          <w:rtl/>
        </w:rPr>
        <w:t xml:space="preserve">(פ' הגוזל בתרא) </w:t>
      </w:r>
      <w:r w:rsidRPr="00576D5C">
        <w:rPr>
          <w:rFonts w:asciiTheme="minorBidi" w:hAnsiTheme="minorBidi"/>
          <w:b/>
          <w:bCs/>
          <w:color w:val="000000"/>
          <w:rtl/>
        </w:rPr>
        <w:t>קיב</w:t>
      </w:r>
      <w:r>
        <w:rPr>
          <w:rStyle w:val="ab"/>
          <w:rFonts w:asciiTheme="minorBidi" w:hAnsiTheme="minorBidi"/>
          <w:b/>
          <w:bCs/>
          <w:color w:val="000000"/>
          <w:rtl/>
        </w:rPr>
        <w:footnoteReference w:id="529"/>
      </w:r>
      <w:r w:rsidRPr="00576D5C">
        <w:rPr>
          <w:rFonts w:asciiTheme="minorBidi" w:hAnsiTheme="minorBidi"/>
          <w:b/>
          <w:bCs/>
          <w:color w:val="000000"/>
          <w:rtl/>
        </w:rPr>
        <w:t xml:space="preserve"> ע"ב: </w:t>
      </w:r>
      <w:r w:rsidRPr="00576D5C">
        <w:rPr>
          <w:rFonts w:asciiTheme="minorBidi" w:hAnsiTheme="minorBidi"/>
          <w:color w:val="000000"/>
          <w:u w:val="single"/>
          <w:rtl/>
        </w:rPr>
        <w:t>אמר רבינא</w:t>
      </w:r>
      <w:r w:rsidRPr="00576D5C">
        <w:rPr>
          <w:rFonts w:asciiTheme="minorBidi" w:hAnsiTheme="minorBidi"/>
          <w:color w:val="000000"/>
          <w:rtl/>
        </w:rPr>
        <w:t>: האי שלוחא דרבנן מהימנינן ליה כבי תרי</w:t>
      </w:r>
      <w:r w:rsidRPr="00576D5C">
        <w:rPr>
          <w:rStyle w:val="ab"/>
          <w:rFonts w:asciiTheme="minorBidi" w:hAnsiTheme="minorBidi"/>
          <w:color w:val="000000"/>
          <w:rtl/>
        </w:rPr>
        <w:footnoteReference w:id="530"/>
      </w:r>
      <w:r w:rsidRPr="00576D5C">
        <w:rPr>
          <w:rFonts w:asciiTheme="minorBidi" w:hAnsiTheme="minorBidi"/>
          <w:color w:val="000000"/>
          <w:rtl/>
        </w:rPr>
        <w:t>. וה"מ לשמתא, אבל לפתיחא</w:t>
      </w:r>
      <w:r w:rsidRPr="00576D5C">
        <w:rPr>
          <w:rStyle w:val="ab"/>
          <w:rFonts w:asciiTheme="minorBidi" w:hAnsiTheme="minorBidi"/>
          <w:color w:val="000000"/>
          <w:rtl/>
        </w:rPr>
        <w:footnoteReference w:id="531"/>
      </w:r>
      <w:r w:rsidRPr="00576D5C">
        <w:rPr>
          <w:rFonts w:asciiTheme="minorBidi" w:hAnsiTheme="minorBidi"/>
          <w:color w:val="000000"/>
          <w:rtl/>
        </w:rPr>
        <w:t xml:space="preserve">, כיון דממונא קא מחסר ליה, דקא בעי ליה למיתב ליה זוזי לספרא - לא. </w:t>
      </w:r>
    </w:p>
    <w:p w14:paraId="7FC28653" w14:textId="77777777" w:rsidR="00C17E1D" w:rsidRPr="00576D5C" w:rsidRDefault="00C17E1D" w:rsidP="00C17E1D">
      <w:pPr>
        <w:rPr>
          <w:rFonts w:asciiTheme="minorBidi" w:hAnsiTheme="minorBidi"/>
          <w:color w:val="000000"/>
          <w:rtl/>
        </w:rPr>
      </w:pPr>
      <w:r w:rsidRPr="00576D5C">
        <w:rPr>
          <w:rFonts w:asciiTheme="minorBidi" w:hAnsiTheme="minorBidi"/>
          <w:color w:val="000000"/>
          <w:u w:val="single"/>
          <w:rtl/>
        </w:rPr>
        <w:t>הנוהג קלות ראש בשליח בית דין:</w:t>
      </w:r>
    </w:p>
    <w:p w14:paraId="64A80939" w14:textId="77777777" w:rsidR="00C17E1D" w:rsidRDefault="00C17E1D" w:rsidP="00C17E1D">
      <w:pPr>
        <w:pStyle w:val="ac"/>
        <w:numPr>
          <w:ilvl w:val="0"/>
          <w:numId w:val="1"/>
        </w:numPr>
        <w:rPr>
          <w:rFonts w:asciiTheme="minorBidi" w:hAnsiTheme="minorBidi"/>
          <w:color w:val="000000"/>
        </w:rPr>
      </w:pPr>
      <w:r w:rsidRPr="00576D5C">
        <w:rPr>
          <w:rFonts w:asciiTheme="minorBidi" w:hAnsiTheme="minorBidi"/>
          <w:color w:val="000000"/>
          <w:rtl/>
        </w:rPr>
        <w:lastRenderedPageBreak/>
        <w:t xml:space="preserve">רמב"ם </w:t>
      </w:r>
      <w:r w:rsidRPr="00576D5C">
        <w:rPr>
          <w:rFonts w:asciiTheme="minorBidi" w:hAnsiTheme="minorBidi"/>
          <w:color w:val="000000"/>
          <w:sz w:val="16"/>
          <w:szCs w:val="16"/>
          <w:rtl/>
        </w:rPr>
        <w:t>(פכ"ה מהל' סנהדרין ה"ה-ו)</w:t>
      </w:r>
      <w:r>
        <w:rPr>
          <w:rFonts w:asciiTheme="minorBidi" w:hAnsiTheme="minorBidi" w:hint="cs"/>
          <w:color w:val="000000"/>
          <w:rtl/>
        </w:rPr>
        <w:t xml:space="preserve"> וטו</w:t>
      </w:r>
      <w:r w:rsidR="0058236C">
        <w:rPr>
          <w:rFonts w:asciiTheme="minorBidi" w:hAnsiTheme="minorBidi" w:hint="cs"/>
          <w:color w:val="000000"/>
          <w:rtl/>
        </w:rPr>
        <w:t>ר</w:t>
      </w:r>
      <w:r w:rsidRPr="00576D5C">
        <w:rPr>
          <w:rFonts w:asciiTheme="minorBidi" w:hAnsiTheme="minorBidi"/>
          <w:color w:val="000000"/>
          <w:rtl/>
        </w:rPr>
        <w:t xml:space="preserve">- </w:t>
      </w:r>
      <w:r w:rsidR="0058236C" w:rsidRPr="0058236C">
        <w:rPr>
          <w:rFonts w:asciiTheme="minorBidi" w:hAnsiTheme="minorBidi" w:cs="Arial"/>
          <w:color w:val="000000"/>
          <w:rtl/>
        </w:rPr>
        <w:t>אסור לנהוג קלות ראש בשליח בית דין</w:t>
      </w:r>
      <w:r w:rsidR="0048677E">
        <w:rPr>
          <w:rFonts w:asciiTheme="minorBidi" w:hAnsiTheme="minorBidi" w:cs="Arial" w:hint="cs"/>
          <w:color w:val="000000"/>
          <w:rtl/>
        </w:rPr>
        <w:t>.</w:t>
      </w:r>
      <w:r w:rsidR="0058236C" w:rsidRPr="0058236C">
        <w:rPr>
          <w:rFonts w:asciiTheme="minorBidi" w:hAnsiTheme="minorBidi" w:cs="Arial"/>
          <w:color w:val="000000"/>
          <w:rtl/>
        </w:rPr>
        <w:t xml:space="preserve"> והרי השליח נאמן כשנים לענין הנידוי, שאם אמר פלוני הקלני או הקלה הדיין או לא רצה לבא לדין </w:t>
      </w:r>
      <w:r w:rsidR="0048677E">
        <w:rPr>
          <w:rFonts w:asciiTheme="minorBidi" w:hAnsiTheme="minorBidi" w:cs="Arial" w:hint="cs"/>
          <w:color w:val="000000"/>
          <w:rtl/>
        </w:rPr>
        <w:t xml:space="preserve">- </w:t>
      </w:r>
      <w:r w:rsidR="0058236C" w:rsidRPr="0058236C">
        <w:rPr>
          <w:rFonts w:asciiTheme="minorBidi" w:hAnsiTheme="minorBidi" w:cs="Arial"/>
          <w:color w:val="000000"/>
          <w:rtl/>
        </w:rPr>
        <w:t>משמתין אותו על פיו</w:t>
      </w:r>
      <w:r w:rsidR="0058236C" w:rsidRPr="00576D5C">
        <w:rPr>
          <w:rStyle w:val="ab"/>
          <w:rFonts w:asciiTheme="minorBidi" w:hAnsiTheme="minorBidi"/>
          <w:color w:val="000000"/>
          <w:rtl/>
        </w:rPr>
        <w:footnoteReference w:id="532"/>
      </w:r>
      <w:r w:rsidR="0058236C" w:rsidRPr="0058236C">
        <w:rPr>
          <w:rFonts w:asciiTheme="minorBidi" w:hAnsiTheme="minorBidi" w:cs="Arial"/>
          <w:color w:val="000000"/>
          <w:rtl/>
        </w:rPr>
        <w:t>, אבל אין כותבין פיתחא עליו עד שיבאו שנים ויעידו עליו שנמנע לבא לבית דין</w:t>
      </w:r>
      <w:r w:rsidR="0058236C">
        <w:rPr>
          <w:rFonts w:asciiTheme="minorBidi" w:hAnsiTheme="minorBidi" w:cs="Arial" w:hint="cs"/>
          <w:color w:val="000000"/>
          <w:rtl/>
        </w:rPr>
        <w:t>..</w:t>
      </w:r>
      <w:r w:rsidR="0058236C">
        <w:rPr>
          <w:rFonts w:asciiTheme="minorBidi" w:hAnsiTheme="minorBidi" w:hint="cs"/>
          <w:color w:val="000000"/>
          <w:rtl/>
        </w:rPr>
        <w:t>.</w:t>
      </w:r>
      <w:r w:rsidR="0058236C" w:rsidRPr="00576D5C">
        <w:rPr>
          <w:rFonts w:asciiTheme="minorBidi" w:hAnsiTheme="minorBidi"/>
          <w:color w:val="000000"/>
          <w:rtl/>
        </w:rPr>
        <w:t xml:space="preserve"> </w:t>
      </w:r>
      <w:r w:rsidRPr="0058236C">
        <w:rPr>
          <w:rFonts w:asciiTheme="minorBidi" w:hAnsiTheme="minorBidi"/>
          <w:rtl/>
        </w:rPr>
        <w:t>וכל המצער שליח בית דין יש לבית דין רשות להכותו מכת מרדות</w:t>
      </w:r>
      <w:r w:rsidRPr="00576D5C">
        <w:rPr>
          <w:rFonts w:asciiTheme="minorBidi" w:hAnsiTheme="minorBidi"/>
          <w:color w:val="000000"/>
          <w:sz w:val="16"/>
          <w:szCs w:val="16"/>
          <w:rtl/>
        </w:rPr>
        <w:t xml:space="preserve"> (</w:t>
      </w:r>
      <w:r>
        <w:rPr>
          <w:rFonts w:asciiTheme="minorBidi" w:hAnsiTheme="minorBidi" w:hint="cs"/>
          <w:color w:val="000000"/>
          <w:sz w:val="16"/>
          <w:szCs w:val="16"/>
          <w:rtl/>
        </w:rPr>
        <w:t>ל' הרמב"ם</w:t>
      </w:r>
      <w:r w:rsidRPr="00576D5C">
        <w:rPr>
          <w:rFonts w:asciiTheme="minorBidi" w:hAnsiTheme="minorBidi"/>
          <w:color w:val="000000"/>
          <w:sz w:val="16"/>
          <w:szCs w:val="16"/>
          <w:rtl/>
        </w:rPr>
        <w:t>)</w:t>
      </w:r>
      <w:r w:rsidRPr="00576D5C">
        <w:rPr>
          <w:rFonts w:asciiTheme="minorBidi" w:hAnsiTheme="minorBidi"/>
          <w:color w:val="000000"/>
          <w:rtl/>
        </w:rPr>
        <w:t xml:space="preserve">. </w:t>
      </w:r>
      <w:r w:rsidRPr="00576D5C">
        <w:rPr>
          <w:rFonts w:asciiTheme="minorBidi" w:hAnsiTheme="minorBidi"/>
          <w:color w:val="E36C0A" w:themeColor="accent6" w:themeShade="BF"/>
          <w:rtl/>
        </w:rPr>
        <w:t>(וכ"פ בשו"ע</w:t>
      </w:r>
      <w:r>
        <w:rPr>
          <w:rFonts w:asciiTheme="minorBidi" w:hAnsiTheme="minorBidi" w:hint="cs"/>
          <w:color w:val="E36C0A" w:themeColor="accent6" w:themeShade="BF"/>
          <w:sz w:val="16"/>
          <w:szCs w:val="16"/>
          <w:rtl/>
        </w:rPr>
        <w:t xml:space="preserve"> </w:t>
      </w:r>
      <w:r w:rsidRPr="00C17E1D">
        <w:rPr>
          <w:rFonts w:asciiTheme="minorBidi" w:hAnsiTheme="minorBidi" w:hint="cs"/>
          <w:color w:val="000000" w:themeColor="text1"/>
          <w:sz w:val="16"/>
          <w:szCs w:val="16"/>
          <w:rtl/>
        </w:rPr>
        <w:t>[כאן ובס</w:t>
      </w:r>
      <w:r>
        <w:rPr>
          <w:rFonts w:asciiTheme="minorBidi" w:hAnsiTheme="minorBidi" w:hint="cs"/>
          <w:color w:val="000000" w:themeColor="text1"/>
          <w:sz w:val="16"/>
          <w:szCs w:val="16"/>
          <w:rtl/>
        </w:rPr>
        <w:t>י</w:t>
      </w:r>
      <w:r w:rsidRPr="00C17E1D">
        <w:rPr>
          <w:rFonts w:asciiTheme="minorBidi" w:hAnsiTheme="minorBidi" w:hint="cs"/>
          <w:color w:val="000000" w:themeColor="text1"/>
          <w:sz w:val="16"/>
          <w:szCs w:val="16"/>
          <w:rtl/>
        </w:rPr>
        <w:t xml:space="preserve">' </w:t>
      </w:r>
      <w:r w:rsidR="0058236C">
        <w:rPr>
          <w:rFonts w:asciiTheme="minorBidi" w:hAnsiTheme="minorBidi" w:hint="cs"/>
          <w:color w:val="000000" w:themeColor="text1"/>
          <w:sz w:val="16"/>
          <w:szCs w:val="16"/>
          <w:rtl/>
        </w:rPr>
        <w:t>ח ס"ה</w:t>
      </w:r>
      <w:r w:rsidRPr="00C17E1D">
        <w:rPr>
          <w:rFonts w:asciiTheme="minorBidi" w:hAnsiTheme="minorBidi" w:hint="cs"/>
          <w:color w:val="000000" w:themeColor="text1"/>
          <w:sz w:val="16"/>
          <w:szCs w:val="16"/>
          <w:rtl/>
        </w:rPr>
        <w:t>]</w:t>
      </w:r>
      <w:r w:rsidRPr="00576D5C">
        <w:rPr>
          <w:rFonts w:asciiTheme="minorBidi" w:hAnsiTheme="minorBidi"/>
          <w:color w:val="E36C0A" w:themeColor="accent6" w:themeShade="BF"/>
          <w:rtl/>
        </w:rPr>
        <w:t>)</w:t>
      </w:r>
    </w:p>
    <w:p w14:paraId="1D76BF47" w14:textId="77777777" w:rsidR="0058236C" w:rsidRPr="0058236C" w:rsidRDefault="0058236C" w:rsidP="0058236C">
      <w:pPr>
        <w:rPr>
          <w:rFonts w:asciiTheme="minorBidi" w:hAnsiTheme="minorBidi"/>
          <w:color w:val="000000"/>
          <w:rtl/>
        </w:rPr>
      </w:pPr>
      <w:r w:rsidRPr="0058236C">
        <w:rPr>
          <w:rFonts w:asciiTheme="minorBidi" w:hAnsiTheme="minorBidi"/>
          <w:b/>
          <w:bCs/>
          <w:color w:val="000000"/>
          <w:rtl/>
        </w:rPr>
        <w:t xml:space="preserve">מועד קטן </w:t>
      </w:r>
      <w:r w:rsidRPr="0058236C">
        <w:rPr>
          <w:rFonts w:asciiTheme="minorBidi" w:hAnsiTheme="minorBidi"/>
          <w:b/>
          <w:bCs/>
          <w:color w:val="000000"/>
          <w:sz w:val="16"/>
          <w:szCs w:val="16"/>
          <w:rtl/>
        </w:rPr>
        <w:t xml:space="preserve">(פ' אלו מגלחין) </w:t>
      </w:r>
      <w:r w:rsidRPr="0058236C">
        <w:rPr>
          <w:rFonts w:asciiTheme="minorBidi" w:hAnsiTheme="minorBidi"/>
          <w:b/>
          <w:bCs/>
          <w:color w:val="000000"/>
          <w:rtl/>
        </w:rPr>
        <w:t>טז</w:t>
      </w:r>
      <w:r>
        <w:rPr>
          <w:rStyle w:val="ab"/>
          <w:rFonts w:asciiTheme="minorBidi" w:hAnsiTheme="minorBidi"/>
          <w:b/>
          <w:bCs/>
          <w:color w:val="000000"/>
          <w:rtl/>
        </w:rPr>
        <w:footnoteReference w:id="533"/>
      </w:r>
      <w:r w:rsidRPr="0058236C">
        <w:rPr>
          <w:rFonts w:asciiTheme="minorBidi" w:hAnsiTheme="minorBidi"/>
          <w:b/>
          <w:bCs/>
          <w:color w:val="000000"/>
          <w:rtl/>
        </w:rPr>
        <w:t xml:space="preserve"> ע"א: </w:t>
      </w:r>
      <w:r w:rsidRPr="0058236C">
        <w:rPr>
          <w:rFonts w:asciiTheme="minorBidi" w:hAnsiTheme="minorBidi"/>
          <w:rtl/>
        </w:rPr>
        <w:t>ומנלן דאי מתפקר בשליחא דבי דינא, ואתי ואמר, לא מיתחזי כלישנא בישא - דכתיב העיני האנשים ההם תנקר</w:t>
      </w:r>
      <w:r w:rsidRPr="00576D5C">
        <w:rPr>
          <w:rStyle w:val="ab"/>
          <w:rFonts w:asciiTheme="minorBidi" w:hAnsiTheme="minorBidi"/>
          <w:color w:val="000000"/>
          <w:rtl/>
        </w:rPr>
        <w:footnoteReference w:id="534"/>
      </w:r>
      <w:r w:rsidRPr="0058236C">
        <w:rPr>
          <w:rFonts w:asciiTheme="minorBidi" w:hAnsiTheme="minorBidi"/>
          <w:color w:val="000000"/>
          <w:rtl/>
        </w:rPr>
        <w:t xml:space="preserve">. </w:t>
      </w:r>
    </w:p>
    <w:p w14:paraId="6F94CC06" w14:textId="77777777" w:rsidR="0058236C" w:rsidRDefault="0058236C" w:rsidP="0058236C">
      <w:pPr>
        <w:rPr>
          <w:rFonts w:asciiTheme="minorBidi" w:hAnsiTheme="minorBidi"/>
          <w:color w:val="000000"/>
          <w:rtl/>
        </w:rPr>
      </w:pPr>
      <w:r w:rsidRPr="00E63E94">
        <w:rPr>
          <w:rFonts w:asciiTheme="minorBidi" w:hAnsiTheme="minorBidi" w:hint="cs"/>
          <w:color w:val="000000"/>
          <w:u w:val="single"/>
          <w:rtl/>
        </w:rPr>
        <w:t>האם שליח בית דין מתחייב בדבריו באיסור לשון הרע:</w:t>
      </w:r>
    </w:p>
    <w:p w14:paraId="3A63FC17" w14:textId="77777777" w:rsidR="0058236C" w:rsidRPr="00E63E94" w:rsidRDefault="0058236C" w:rsidP="0058236C">
      <w:pPr>
        <w:pStyle w:val="ac"/>
        <w:numPr>
          <w:ilvl w:val="0"/>
          <w:numId w:val="1"/>
        </w:numPr>
        <w:rPr>
          <w:rFonts w:asciiTheme="minorBidi" w:hAnsiTheme="minorBidi"/>
          <w:color w:val="000000"/>
        </w:rPr>
      </w:pPr>
      <w:r w:rsidRPr="00E63E94">
        <w:rPr>
          <w:rFonts w:asciiTheme="minorBidi" w:hAnsiTheme="minorBidi" w:cs="Arial" w:hint="cs"/>
          <w:color w:val="000000"/>
          <w:rtl/>
        </w:rPr>
        <w:t>רמב"ם</w:t>
      </w:r>
      <w:r w:rsidRPr="00E63E94">
        <w:rPr>
          <w:rFonts w:asciiTheme="minorBidi" w:hAnsiTheme="minorBidi"/>
          <w:color w:val="000000"/>
          <w:sz w:val="16"/>
          <w:szCs w:val="16"/>
          <w:rtl/>
        </w:rPr>
        <w:t xml:space="preserve"> (שם ה"ו)</w:t>
      </w:r>
      <w:r w:rsidRPr="00E63E94">
        <w:rPr>
          <w:rFonts w:asciiTheme="minorBidi" w:hAnsiTheme="minorBidi" w:cs="Arial" w:hint="cs"/>
          <w:color w:val="000000"/>
          <w:rtl/>
        </w:rPr>
        <w:t xml:space="preserve">- </w:t>
      </w:r>
      <w:r w:rsidRPr="00E63E94">
        <w:rPr>
          <w:rFonts w:asciiTheme="minorBidi" w:hAnsiTheme="minorBidi" w:cs="Arial"/>
          <w:color w:val="000000"/>
          <w:rtl/>
        </w:rPr>
        <w:t>אין שליח ב</w:t>
      </w:r>
      <w:r>
        <w:rPr>
          <w:rFonts w:asciiTheme="minorBidi" w:hAnsiTheme="minorBidi" w:cs="Arial" w:hint="cs"/>
          <w:color w:val="000000"/>
          <w:rtl/>
        </w:rPr>
        <w:t>"</w:t>
      </w:r>
      <w:r w:rsidRPr="00E63E94">
        <w:rPr>
          <w:rFonts w:asciiTheme="minorBidi" w:hAnsiTheme="minorBidi" w:cs="Arial"/>
          <w:color w:val="000000"/>
          <w:rtl/>
        </w:rPr>
        <w:t>ד חייב באמירת דברים משום לשון הרע.</w:t>
      </w:r>
      <w:r w:rsidRPr="00E63E94">
        <w:rPr>
          <w:rFonts w:asciiTheme="minorBidi" w:hAnsiTheme="minorBidi" w:hint="cs"/>
          <w:color w:val="E36C0A" w:themeColor="accent6" w:themeShade="BF"/>
          <w:rtl/>
        </w:rPr>
        <w:t xml:space="preserve"> </w:t>
      </w:r>
      <w:r w:rsidRPr="00576D5C">
        <w:rPr>
          <w:rFonts w:asciiTheme="minorBidi" w:hAnsiTheme="minorBidi"/>
          <w:color w:val="E36C0A" w:themeColor="accent6" w:themeShade="BF"/>
          <w:rtl/>
        </w:rPr>
        <w:t>(וכ"פ בשו"ע)</w:t>
      </w:r>
      <w:r w:rsidRPr="0058236C">
        <w:rPr>
          <w:rFonts w:asciiTheme="minorBidi" w:hAnsiTheme="minorBidi" w:hint="cs"/>
          <w:color w:val="00B0F0"/>
          <w:rtl/>
        </w:rPr>
        <w:t xml:space="preserve"> </w:t>
      </w:r>
      <w:r w:rsidRPr="00E63E94">
        <w:rPr>
          <w:rFonts w:asciiTheme="minorBidi" w:hAnsiTheme="minorBidi" w:hint="cs"/>
          <w:color w:val="00B0F0"/>
          <w:rtl/>
        </w:rPr>
        <w:t>(</w:t>
      </w:r>
      <w:r w:rsidRPr="00E63E94">
        <w:rPr>
          <w:rFonts w:asciiTheme="minorBidi" w:hAnsiTheme="minorBidi"/>
          <w:color w:val="00B0F0"/>
          <w:rtl/>
        </w:rPr>
        <w:t>וכ"פ הרמ"א</w:t>
      </w:r>
      <w:r>
        <w:rPr>
          <w:rFonts w:asciiTheme="minorBidi" w:hAnsiTheme="minorBidi" w:hint="cs"/>
          <w:color w:val="000000"/>
          <w:sz w:val="16"/>
          <w:szCs w:val="16"/>
          <w:rtl/>
        </w:rPr>
        <w:t xml:space="preserve"> </w:t>
      </w:r>
      <w:r w:rsidRPr="00E63E94">
        <w:rPr>
          <w:rFonts w:asciiTheme="minorBidi" w:hAnsiTheme="minorBidi" w:hint="cs"/>
          <w:color w:val="000000"/>
          <w:sz w:val="16"/>
          <w:szCs w:val="16"/>
          <w:rtl/>
        </w:rPr>
        <w:t xml:space="preserve">[בסי' </w:t>
      </w:r>
      <w:r>
        <w:rPr>
          <w:rFonts w:asciiTheme="minorBidi" w:hAnsiTheme="minorBidi" w:hint="cs"/>
          <w:color w:val="000000"/>
          <w:sz w:val="16"/>
          <w:szCs w:val="16"/>
          <w:rtl/>
        </w:rPr>
        <w:t>ח ס"ה]</w:t>
      </w:r>
      <w:r w:rsidRPr="00E63E94">
        <w:rPr>
          <w:rFonts w:asciiTheme="minorBidi" w:hAnsiTheme="minorBidi" w:hint="cs"/>
          <w:color w:val="00B0F0"/>
          <w:rtl/>
        </w:rPr>
        <w:t>)</w:t>
      </w:r>
    </w:p>
    <w:p w14:paraId="28CAC637" w14:textId="77777777" w:rsidR="00C46BA7" w:rsidRPr="00576D5C" w:rsidRDefault="00C46BA7" w:rsidP="00576D5C">
      <w:pPr>
        <w:rPr>
          <w:rFonts w:asciiTheme="minorBidi" w:hAnsiTheme="minorBidi"/>
          <w:rtl/>
        </w:rPr>
      </w:pPr>
      <w:r w:rsidRPr="00576D5C">
        <w:rPr>
          <w:rFonts w:asciiTheme="minorBidi" w:hAnsiTheme="minorBidi"/>
          <w:u w:val="single"/>
          <w:rtl/>
        </w:rPr>
        <w:t>רב היושב בעיר ונסתלק מן הדין</w:t>
      </w:r>
      <w:r w:rsidR="0058236C">
        <w:rPr>
          <w:rFonts w:asciiTheme="minorBidi" w:hAnsiTheme="minorBidi" w:hint="cs"/>
          <w:u w:val="single"/>
          <w:rtl/>
        </w:rPr>
        <w:t xml:space="preserve"> </w:t>
      </w:r>
      <w:r w:rsidR="0058236C">
        <w:rPr>
          <w:rFonts w:asciiTheme="minorBidi" w:hAnsiTheme="minorBidi"/>
          <w:u w:val="single"/>
          <w:rtl/>
        </w:rPr>
        <w:t>–</w:t>
      </w:r>
      <w:r w:rsidR="0058236C">
        <w:rPr>
          <w:rFonts w:asciiTheme="minorBidi" w:hAnsiTheme="minorBidi" w:hint="cs"/>
          <w:u w:val="single"/>
          <w:rtl/>
        </w:rPr>
        <w:t xml:space="preserve"> האם יש כח לרב אחר להזמינו ולכתוב עליו סרבנות אם לא בא</w:t>
      </w:r>
      <w:r w:rsidRPr="00576D5C">
        <w:rPr>
          <w:rFonts w:asciiTheme="minorBidi" w:hAnsiTheme="minorBidi"/>
          <w:u w:val="single"/>
          <w:rtl/>
        </w:rPr>
        <w:t>:</w:t>
      </w:r>
    </w:p>
    <w:p w14:paraId="0622E6E1" w14:textId="77777777" w:rsidR="00576D5C" w:rsidRDefault="00887674" w:rsidP="00576D5C">
      <w:pPr>
        <w:pStyle w:val="ac"/>
        <w:numPr>
          <w:ilvl w:val="0"/>
          <w:numId w:val="1"/>
        </w:numPr>
        <w:rPr>
          <w:rFonts w:asciiTheme="minorBidi" w:hAnsiTheme="minorBidi"/>
        </w:rPr>
      </w:pPr>
      <w:r w:rsidRPr="00576D5C">
        <w:rPr>
          <w:rFonts w:asciiTheme="minorBidi" w:hAnsiTheme="minorBidi"/>
          <w:rtl/>
        </w:rPr>
        <w:t xml:space="preserve">מהרי"ק </w:t>
      </w:r>
      <w:r w:rsidR="00C46BA7" w:rsidRPr="00576D5C">
        <w:rPr>
          <w:rFonts w:asciiTheme="minorBidi" w:hAnsiTheme="minorBidi"/>
          <w:sz w:val="16"/>
          <w:szCs w:val="16"/>
          <w:rtl/>
        </w:rPr>
        <w:t>(</w:t>
      </w:r>
      <w:r w:rsidRPr="00576D5C">
        <w:rPr>
          <w:rFonts w:asciiTheme="minorBidi" w:hAnsiTheme="minorBidi"/>
          <w:sz w:val="16"/>
          <w:szCs w:val="16"/>
          <w:rtl/>
        </w:rPr>
        <w:t>שורש יא ענף א)</w:t>
      </w:r>
      <w:r w:rsidR="00C46BA7" w:rsidRPr="00576D5C">
        <w:rPr>
          <w:rFonts w:asciiTheme="minorBidi" w:hAnsiTheme="minorBidi"/>
          <w:rtl/>
        </w:rPr>
        <w:t>-</w:t>
      </w:r>
      <w:r w:rsidRPr="00576D5C">
        <w:rPr>
          <w:rFonts w:asciiTheme="minorBidi" w:hAnsiTheme="minorBidi"/>
          <w:rtl/>
        </w:rPr>
        <w:t xml:space="preserve"> רב היושב בעיר אחת ונסתלק מן הדין הוי כמאן דליתיה ורב אחר יכול להזמינו ואם לא בא תוך שלשים כותב עליו סרבנות</w:t>
      </w:r>
      <w:r w:rsidR="00C46BA7" w:rsidRPr="00576D5C">
        <w:rPr>
          <w:rFonts w:asciiTheme="minorBidi" w:hAnsiTheme="minorBidi"/>
          <w:rtl/>
        </w:rPr>
        <w:t>.</w:t>
      </w:r>
    </w:p>
    <w:p w14:paraId="03FFF060" w14:textId="77777777" w:rsidR="00576D5C" w:rsidRPr="00576D5C" w:rsidRDefault="00576D5C" w:rsidP="00576D5C">
      <w:pPr>
        <w:rPr>
          <w:rFonts w:asciiTheme="minorBidi" w:hAnsiTheme="minorBidi"/>
          <w:u w:val="single"/>
        </w:rPr>
      </w:pPr>
      <w:r w:rsidRPr="00576D5C">
        <w:rPr>
          <w:rFonts w:asciiTheme="minorBidi" w:hAnsiTheme="minorBidi" w:hint="cs"/>
          <w:u w:val="single"/>
          <w:rtl/>
        </w:rPr>
        <w:t>כתיבת סרבנות על ספק:</w:t>
      </w:r>
    </w:p>
    <w:p w14:paraId="0CB553EB" w14:textId="77777777" w:rsidR="00104621" w:rsidRDefault="00576D5C" w:rsidP="00104621">
      <w:pPr>
        <w:pStyle w:val="ac"/>
        <w:numPr>
          <w:ilvl w:val="0"/>
          <w:numId w:val="1"/>
        </w:numPr>
        <w:rPr>
          <w:rFonts w:asciiTheme="minorBidi" w:hAnsiTheme="minorBidi"/>
        </w:rPr>
      </w:pPr>
      <w:r w:rsidRPr="00576D5C">
        <w:rPr>
          <w:rFonts w:asciiTheme="minorBidi" w:hAnsiTheme="minorBidi"/>
          <w:rtl/>
        </w:rPr>
        <w:t xml:space="preserve">מהרי"ק </w:t>
      </w:r>
      <w:r w:rsidRPr="00576D5C">
        <w:rPr>
          <w:rFonts w:asciiTheme="minorBidi" w:hAnsiTheme="minorBidi"/>
          <w:sz w:val="16"/>
          <w:szCs w:val="16"/>
          <w:rtl/>
        </w:rPr>
        <w:t xml:space="preserve">(שורש יא </w:t>
      </w:r>
      <w:r w:rsidR="00887674" w:rsidRPr="00576D5C">
        <w:rPr>
          <w:rFonts w:asciiTheme="minorBidi" w:hAnsiTheme="minorBidi"/>
          <w:sz w:val="16"/>
          <w:szCs w:val="16"/>
          <w:rtl/>
        </w:rPr>
        <w:t>ענף ב)</w:t>
      </w:r>
      <w:r>
        <w:rPr>
          <w:rFonts w:asciiTheme="minorBidi" w:hAnsiTheme="minorBidi" w:hint="cs"/>
          <w:rtl/>
        </w:rPr>
        <w:t xml:space="preserve">- </w:t>
      </w:r>
      <w:r w:rsidR="00887674" w:rsidRPr="00576D5C">
        <w:rPr>
          <w:rFonts w:asciiTheme="minorBidi" w:hAnsiTheme="minorBidi"/>
          <w:rtl/>
        </w:rPr>
        <w:t>אין לכתוב סרבנות על הספק</w:t>
      </w:r>
      <w:r w:rsidR="00C46BA7" w:rsidRPr="00576D5C">
        <w:rPr>
          <w:rFonts w:asciiTheme="minorBidi" w:hAnsiTheme="minorBidi"/>
          <w:rtl/>
        </w:rPr>
        <w:t>.</w:t>
      </w:r>
    </w:p>
    <w:p w14:paraId="236104F6" w14:textId="77777777" w:rsidR="00104621" w:rsidRPr="00104621" w:rsidRDefault="00104621" w:rsidP="00104621">
      <w:pPr>
        <w:rPr>
          <w:rFonts w:asciiTheme="minorBidi" w:hAnsiTheme="minorBidi"/>
          <w:u w:val="single"/>
        </w:rPr>
      </w:pPr>
      <w:r w:rsidRPr="00104621">
        <w:rPr>
          <w:rFonts w:asciiTheme="minorBidi" w:hAnsiTheme="minorBidi" w:hint="cs"/>
          <w:u w:val="single"/>
          <w:rtl/>
        </w:rPr>
        <w:t xml:space="preserve">אדם שקיבל עליו בית דין של שנים בקנין </w:t>
      </w:r>
      <w:r w:rsidRPr="00104621">
        <w:rPr>
          <w:rFonts w:asciiTheme="minorBidi" w:hAnsiTheme="minorBidi"/>
          <w:u w:val="single"/>
          <w:rtl/>
        </w:rPr>
        <w:t>–</w:t>
      </w:r>
      <w:r w:rsidRPr="00104621">
        <w:rPr>
          <w:rFonts w:asciiTheme="minorBidi" w:hAnsiTheme="minorBidi" w:hint="cs"/>
          <w:u w:val="single"/>
          <w:rtl/>
        </w:rPr>
        <w:t xml:space="preserve"> ואח"כ סירב ולא בא במצוותם:</w:t>
      </w:r>
    </w:p>
    <w:p w14:paraId="5C0819BF" w14:textId="77777777" w:rsidR="00887674" w:rsidRPr="00104621" w:rsidRDefault="00887674" w:rsidP="00104621">
      <w:pPr>
        <w:pStyle w:val="ac"/>
        <w:numPr>
          <w:ilvl w:val="0"/>
          <w:numId w:val="1"/>
        </w:numPr>
        <w:rPr>
          <w:rFonts w:asciiTheme="minorBidi" w:hAnsiTheme="minorBidi"/>
          <w:rtl/>
        </w:rPr>
      </w:pPr>
      <w:r w:rsidRPr="00104621">
        <w:rPr>
          <w:rFonts w:asciiTheme="minorBidi" w:hAnsiTheme="minorBidi"/>
          <w:rtl/>
        </w:rPr>
        <w:t xml:space="preserve">רשב"א </w:t>
      </w:r>
      <w:r w:rsidRPr="00104621">
        <w:rPr>
          <w:rFonts w:asciiTheme="minorBidi" w:hAnsiTheme="minorBidi"/>
          <w:sz w:val="16"/>
          <w:szCs w:val="16"/>
          <w:rtl/>
        </w:rPr>
        <w:t>(ח"ב סי' רלד וסי' שיח)</w:t>
      </w:r>
      <w:r w:rsidR="00C46BA7" w:rsidRPr="00104621">
        <w:rPr>
          <w:rFonts w:asciiTheme="minorBidi" w:hAnsiTheme="minorBidi"/>
          <w:rtl/>
        </w:rPr>
        <w:t xml:space="preserve">- </w:t>
      </w:r>
      <w:r w:rsidRPr="00104621">
        <w:rPr>
          <w:rFonts w:asciiTheme="minorBidi" w:hAnsiTheme="minorBidi"/>
          <w:rtl/>
        </w:rPr>
        <w:t>מי שקבל עליו בית דין של שנים בקנין ואח"כ יסרב על דבריהם ולא יבא במצותם</w:t>
      </w:r>
      <w:r w:rsidR="0058236C">
        <w:rPr>
          <w:rFonts w:asciiTheme="minorBidi" w:hAnsiTheme="minorBidi" w:hint="cs"/>
          <w:rtl/>
        </w:rPr>
        <w:t xml:space="preserve"> -</w:t>
      </w:r>
      <w:r w:rsidRPr="00104621">
        <w:rPr>
          <w:rFonts w:asciiTheme="minorBidi" w:hAnsiTheme="minorBidi"/>
          <w:rtl/>
        </w:rPr>
        <w:t xml:space="preserve"> יש להם כח לכתוב שטר פתיחא ולנדות ולהחרים כדין בית דין גמור</w:t>
      </w:r>
      <w:r w:rsidR="00C46BA7" w:rsidRPr="00104621">
        <w:rPr>
          <w:rFonts w:asciiTheme="minorBidi" w:hAnsiTheme="minorBidi"/>
          <w:rtl/>
        </w:rPr>
        <w:t>.</w:t>
      </w:r>
      <w:r w:rsidR="006F0BD2" w:rsidRPr="006F0BD2">
        <w:rPr>
          <w:rFonts w:asciiTheme="minorBidi" w:hAnsiTheme="minorBidi" w:hint="cs"/>
          <w:color w:val="00B0F0"/>
          <w:rtl/>
        </w:rPr>
        <w:t xml:space="preserve"> </w:t>
      </w:r>
      <w:r w:rsidR="006F0BD2" w:rsidRPr="00E63E94">
        <w:rPr>
          <w:rFonts w:asciiTheme="minorBidi" w:hAnsiTheme="minorBidi" w:hint="cs"/>
          <w:color w:val="00B0F0"/>
          <w:rtl/>
        </w:rPr>
        <w:t>(</w:t>
      </w:r>
      <w:r w:rsidR="006F0BD2" w:rsidRPr="00E63E94">
        <w:rPr>
          <w:rFonts w:asciiTheme="minorBidi" w:hAnsiTheme="minorBidi"/>
          <w:color w:val="00B0F0"/>
          <w:rtl/>
        </w:rPr>
        <w:t>וכ"פ הרמ"א</w:t>
      </w:r>
      <w:r w:rsidR="006F0BD2">
        <w:rPr>
          <w:rFonts w:asciiTheme="minorBidi" w:hAnsiTheme="minorBidi" w:hint="cs"/>
          <w:color w:val="00B0F0"/>
          <w:rtl/>
        </w:rPr>
        <w:t>)</w:t>
      </w:r>
    </w:p>
    <w:p w14:paraId="3DD0A00F" w14:textId="77777777" w:rsidR="00E137BC" w:rsidRPr="00576D5C" w:rsidRDefault="00E137BC" w:rsidP="00576D5C">
      <w:pPr>
        <w:rPr>
          <w:rFonts w:asciiTheme="minorBidi" w:hAnsiTheme="minorBidi"/>
          <w:b/>
          <w:bCs/>
          <w:color w:val="000000"/>
          <w:sz w:val="28"/>
          <w:szCs w:val="28"/>
          <w:u w:val="single"/>
          <w:rtl/>
        </w:rPr>
      </w:pPr>
      <w:r w:rsidRPr="00576D5C">
        <w:rPr>
          <w:rFonts w:asciiTheme="minorBidi" w:hAnsiTheme="minorBidi"/>
          <w:b/>
          <w:bCs/>
          <w:color w:val="000000"/>
          <w:sz w:val="28"/>
          <w:szCs w:val="28"/>
          <w:u w:val="single"/>
          <w:rtl/>
        </w:rPr>
        <w:t>שו"ע:</w:t>
      </w:r>
    </w:p>
    <w:p w14:paraId="079939F7" w14:textId="77777777" w:rsidR="00E137BC" w:rsidRPr="00576D5C" w:rsidRDefault="00E137BC" w:rsidP="00576D5C">
      <w:pPr>
        <w:rPr>
          <w:rFonts w:asciiTheme="minorBidi" w:hAnsiTheme="minorBidi"/>
          <w:rtl/>
        </w:rPr>
      </w:pPr>
      <w:r w:rsidRPr="00576D5C">
        <w:rPr>
          <w:rFonts w:asciiTheme="minorBidi" w:hAnsiTheme="minorBidi"/>
          <w:rtl/>
        </w:rPr>
        <w:t>כיצד מזמינים בעל דין לדין, שולחים</w:t>
      </w:r>
      <w:r w:rsidR="00ED5003">
        <w:rPr>
          <w:rStyle w:val="ab"/>
          <w:rFonts w:asciiTheme="minorBidi" w:hAnsiTheme="minorBidi"/>
          <w:rtl/>
        </w:rPr>
        <w:footnoteReference w:id="535"/>
      </w:r>
      <w:r w:rsidRPr="00576D5C">
        <w:rPr>
          <w:rFonts w:asciiTheme="minorBidi" w:hAnsiTheme="minorBidi"/>
          <w:rtl/>
        </w:rPr>
        <w:t xml:space="preserve"> לו בית דין שלוחם שיבא ליום המזומן לדין</w:t>
      </w:r>
      <w:r w:rsidR="00ED5003">
        <w:rPr>
          <w:rStyle w:val="ab"/>
          <w:rFonts w:asciiTheme="minorBidi" w:hAnsiTheme="minorBidi"/>
          <w:rtl/>
        </w:rPr>
        <w:footnoteReference w:id="536"/>
      </w:r>
      <w:r w:rsidRPr="00576D5C">
        <w:rPr>
          <w:rFonts w:asciiTheme="minorBidi" w:hAnsiTheme="minorBidi"/>
          <w:rtl/>
        </w:rPr>
        <w:t>. לא בא, מזמינים אותו פעם שנית</w:t>
      </w:r>
      <w:r w:rsidR="00ED5003">
        <w:rPr>
          <w:rStyle w:val="ab"/>
          <w:rFonts w:asciiTheme="minorBidi" w:hAnsiTheme="minorBidi"/>
          <w:rtl/>
        </w:rPr>
        <w:footnoteReference w:id="537"/>
      </w:r>
      <w:r w:rsidRPr="00576D5C">
        <w:rPr>
          <w:rFonts w:asciiTheme="minorBidi" w:hAnsiTheme="minorBidi"/>
          <w:rtl/>
        </w:rPr>
        <w:t>. לא בא, מזמינים אותו פעם שלישית. לא בא, ממתינים לו כל היום. לא בא, מנדין אותו למחרתו. במה דברים אמורים, במי שהיה בכפרים ויוצא ונכנס</w:t>
      </w:r>
      <w:r w:rsidR="00631347">
        <w:rPr>
          <w:rStyle w:val="ab"/>
          <w:rFonts w:asciiTheme="minorBidi" w:hAnsiTheme="minorBidi"/>
          <w:rtl/>
        </w:rPr>
        <w:footnoteReference w:id="538"/>
      </w:r>
      <w:r w:rsidR="00F82D19">
        <w:rPr>
          <w:rFonts w:asciiTheme="minorBidi" w:hAnsiTheme="minorBidi" w:hint="cs"/>
          <w:rtl/>
        </w:rPr>
        <w:t>,</w:t>
      </w:r>
      <w:r w:rsidRPr="00576D5C">
        <w:rPr>
          <w:rFonts w:asciiTheme="minorBidi" w:hAnsiTheme="minorBidi"/>
          <w:rtl/>
        </w:rPr>
        <w:t xml:space="preserve"> אבל מי שהוא מצוי בעיר, אין קובעים לו זמן אלא פעם אחת, ואם לא בא כל אותו יום, מנדין אותו למחרתו. </w:t>
      </w:r>
      <w:r w:rsidRPr="00104621">
        <w:rPr>
          <w:rFonts w:asciiTheme="minorBidi" w:hAnsiTheme="minorBidi"/>
          <w:sz w:val="18"/>
          <w:szCs w:val="18"/>
          <w:rtl/>
        </w:rPr>
        <w:t>הגה: הלך הב"ד למקום אחר, צריך לילך אחריהם</w:t>
      </w:r>
      <w:r w:rsidR="00F82D19">
        <w:rPr>
          <w:rFonts w:asciiTheme="minorBidi" w:hAnsiTheme="minorBidi" w:hint="cs"/>
          <w:sz w:val="18"/>
          <w:szCs w:val="18"/>
          <w:rtl/>
        </w:rPr>
        <w:t>,</w:t>
      </w:r>
      <w:r w:rsidRPr="00104621">
        <w:rPr>
          <w:rFonts w:asciiTheme="minorBidi" w:hAnsiTheme="minorBidi"/>
          <w:sz w:val="18"/>
          <w:szCs w:val="18"/>
          <w:rtl/>
        </w:rPr>
        <w:t xml:space="preserve"> ואם לא הלך מנדין אותו (ב"י). </w:t>
      </w:r>
      <w:r w:rsidRPr="00F82D19">
        <w:rPr>
          <w:rFonts w:asciiTheme="minorBidi" w:hAnsiTheme="minorBidi"/>
          <w:rtl/>
        </w:rPr>
        <w:t>והשליח ב</w:t>
      </w:r>
      <w:r w:rsidR="00F82D19">
        <w:rPr>
          <w:rFonts w:asciiTheme="minorBidi" w:hAnsiTheme="minorBidi" w:hint="cs"/>
          <w:rtl/>
        </w:rPr>
        <w:t xml:space="preserve">ית </w:t>
      </w:r>
      <w:r w:rsidRPr="00F82D19">
        <w:rPr>
          <w:rFonts w:asciiTheme="minorBidi" w:hAnsiTheme="minorBidi"/>
          <w:rtl/>
        </w:rPr>
        <w:t>ד</w:t>
      </w:r>
      <w:r w:rsidR="00F82D19">
        <w:rPr>
          <w:rFonts w:asciiTheme="minorBidi" w:hAnsiTheme="minorBidi" w:hint="cs"/>
          <w:rtl/>
        </w:rPr>
        <w:t>ין</w:t>
      </w:r>
      <w:r w:rsidRPr="00F82D19">
        <w:rPr>
          <w:rFonts w:asciiTheme="minorBidi" w:hAnsiTheme="minorBidi"/>
          <w:rtl/>
        </w:rPr>
        <w:t xml:space="preserve"> נאמן לומר: הקלני, או הקלה הדיין, או לא רצה לבא לדין, ומשמתין אותו על פיו. אבל אין כותבין עליו פתיחא</w:t>
      </w:r>
      <w:r w:rsidR="00631347">
        <w:rPr>
          <w:rStyle w:val="ab"/>
          <w:rFonts w:asciiTheme="minorBidi" w:hAnsiTheme="minorBidi"/>
          <w:rtl/>
        </w:rPr>
        <w:footnoteReference w:id="539"/>
      </w:r>
      <w:r w:rsidRPr="00F82D19">
        <w:rPr>
          <w:rFonts w:asciiTheme="minorBidi" w:hAnsiTheme="minorBidi"/>
          <w:rtl/>
        </w:rPr>
        <w:t xml:space="preserve"> של שמתא, עד שיבואו שנים ויעידו שנמנע לבא. ואין שליח ב</w:t>
      </w:r>
      <w:r w:rsidR="00F82D19">
        <w:rPr>
          <w:rFonts w:asciiTheme="minorBidi" w:hAnsiTheme="minorBidi" w:hint="cs"/>
          <w:rtl/>
        </w:rPr>
        <w:t xml:space="preserve">ית </w:t>
      </w:r>
      <w:r w:rsidRPr="00F82D19">
        <w:rPr>
          <w:rFonts w:asciiTheme="minorBidi" w:hAnsiTheme="minorBidi"/>
          <w:rtl/>
        </w:rPr>
        <w:t>ד</w:t>
      </w:r>
      <w:r w:rsidR="00F82D19">
        <w:rPr>
          <w:rFonts w:asciiTheme="minorBidi" w:hAnsiTheme="minorBidi" w:hint="cs"/>
          <w:rtl/>
        </w:rPr>
        <w:t>ין</w:t>
      </w:r>
      <w:r w:rsidRPr="00F82D19">
        <w:rPr>
          <w:rFonts w:asciiTheme="minorBidi" w:hAnsiTheme="minorBidi"/>
          <w:rtl/>
        </w:rPr>
        <w:t xml:space="preserve"> חייב באמירת דברים משום לשון הרע.</w:t>
      </w:r>
      <w:r w:rsidRPr="00104621">
        <w:rPr>
          <w:rFonts w:asciiTheme="minorBidi" w:hAnsiTheme="minorBidi"/>
          <w:sz w:val="18"/>
          <w:szCs w:val="18"/>
          <w:rtl/>
        </w:rPr>
        <w:t xml:space="preserve"> הגה: מי שאומר שאינו חושש על גזירת בית דין או חכם, אע</w:t>
      </w:r>
      <w:r w:rsidR="00F82D19">
        <w:rPr>
          <w:rFonts w:asciiTheme="minorBidi" w:hAnsiTheme="minorBidi" w:hint="cs"/>
          <w:sz w:val="18"/>
          <w:szCs w:val="18"/>
          <w:rtl/>
        </w:rPr>
        <w:t>"</w:t>
      </w:r>
      <w:r w:rsidRPr="00104621">
        <w:rPr>
          <w:rFonts w:asciiTheme="minorBidi" w:hAnsiTheme="minorBidi"/>
          <w:sz w:val="18"/>
          <w:szCs w:val="18"/>
          <w:rtl/>
        </w:rPr>
        <w:t>פ שבא לבית דין, מנדין אותו</w:t>
      </w:r>
      <w:r w:rsidR="00F82D19">
        <w:rPr>
          <w:rFonts w:asciiTheme="minorBidi" w:hAnsiTheme="minorBidi" w:hint="cs"/>
          <w:sz w:val="18"/>
          <w:szCs w:val="18"/>
          <w:rtl/>
        </w:rPr>
        <w:t>,</w:t>
      </w:r>
      <w:r w:rsidRPr="00104621">
        <w:rPr>
          <w:rFonts w:asciiTheme="minorBidi" w:hAnsiTheme="minorBidi"/>
          <w:sz w:val="18"/>
          <w:szCs w:val="18"/>
          <w:rtl/>
        </w:rPr>
        <w:t xml:space="preserve"> הואיל ואומר שלא בא מחמת גזירתו, הוי אפקירותא. ועיין בי</w:t>
      </w:r>
      <w:r w:rsidR="00F82D19">
        <w:rPr>
          <w:rFonts w:asciiTheme="minorBidi" w:hAnsiTheme="minorBidi" w:hint="cs"/>
          <w:sz w:val="18"/>
          <w:szCs w:val="18"/>
          <w:rtl/>
        </w:rPr>
        <w:t>ו</w:t>
      </w:r>
      <w:r w:rsidRPr="00104621">
        <w:rPr>
          <w:rFonts w:asciiTheme="minorBidi" w:hAnsiTheme="minorBidi"/>
          <w:sz w:val="18"/>
          <w:szCs w:val="18"/>
          <w:rtl/>
        </w:rPr>
        <w:t>"ד סי</w:t>
      </w:r>
      <w:r w:rsidR="00F82D19">
        <w:rPr>
          <w:rFonts w:asciiTheme="minorBidi" w:hAnsiTheme="minorBidi" w:hint="cs"/>
          <w:sz w:val="18"/>
          <w:szCs w:val="18"/>
          <w:rtl/>
        </w:rPr>
        <w:t>'</w:t>
      </w:r>
      <w:r w:rsidRPr="00104621">
        <w:rPr>
          <w:rFonts w:asciiTheme="minorBidi" w:hAnsiTheme="minorBidi"/>
          <w:sz w:val="18"/>
          <w:szCs w:val="18"/>
          <w:rtl/>
        </w:rPr>
        <w:t xml:space="preserve"> שלד. ואם אמר: לא אדון לפניכם אלא לפני בית דין אחר, עיין לקמן סי</w:t>
      </w:r>
      <w:r w:rsidR="00F82D19">
        <w:rPr>
          <w:rFonts w:asciiTheme="minorBidi" w:hAnsiTheme="minorBidi" w:hint="cs"/>
          <w:sz w:val="18"/>
          <w:szCs w:val="18"/>
          <w:rtl/>
        </w:rPr>
        <w:t>'</w:t>
      </w:r>
      <w:r w:rsidRPr="00104621">
        <w:rPr>
          <w:rFonts w:asciiTheme="minorBidi" w:hAnsiTheme="minorBidi"/>
          <w:sz w:val="18"/>
          <w:szCs w:val="18"/>
          <w:rtl/>
        </w:rPr>
        <w:t xml:space="preserve"> יד. מי שלא יוכל לבא לבית דין כי צריך לילך למרחקים, יש להודיע לבית דין ולשום התנצלותו </w:t>
      </w:r>
      <w:r w:rsidRPr="00104621">
        <w:rPr>
          <w:rFonts w:asciiTheme="minorBidi" w:hAnsiTheme="minorBidi"/>
          <w:sz w:val="18"/>
          <w:szCs w:val="18"/>
          <w:rtl/>
        </w:rPr>
        <w:lastRenderedPageBreak/>
        <w:t>ולבקש זמן אחר</w:t>
      </w:r>
      <w:r w:rsidR="00F82D19">
        <w:rPr>
          <w:rFonts w:asciiTheme="minorBidi" w:hAnsiTheme="minorBidi" w:hint="cs"/>
          <w:sz w:val="18"/>
          <w:szCs w:val="18"/>
          <w:rtl/>
        </w:rPr>
        <w:t>.</w:t>
      </w:r>
      <w:r w:rsidRPr="00104621">
        <w:rPr>
          <w:rFonts w:asciiTheme="minorBidi" w:hAnsiTheme="minorBidi"/>
          <w:sz w:val="18"/>
          <w:szCs w:val="18"/>
          <w:rtl/>
        </w:rPr>
        <w:t xml:space="preserve"> ואם לא עשה</w:t>
      </w:r>
      <w:r w:rsidR="00F82D19">
        <w:rPr>
          <w:rFonts w:asciiTheme="minorBidi" w:hAnsiTheme="minorBidi" w:hint="cs"/>
          <w:sz w:val="18"/>
          <w:szCs w:val="18"/>
          <w:rtl/>
        </w:rPr>
        <w:t>,</w:t>
      </w:r>
      <w:r w:rsidRPr="00104621">
        <w:rPr>
          <w:rFonts w:asciiTheme="minorBidi" w:hAnsiTheme="minorBidi"/>
          <w:sz w:val="18"/>
          <w:szCs w:val="18"/>
          <w:rtl/>
        </w:rPr>
        <w:t xml:space="preserve"> מנדין אותו, אע</w:t>
      </w:r>
      <w:r w:rsidR="00F82D19">
        <w:rPr>
          <w:rFonts w:asciiTheme="minorBidi" w:hAnsiTheme="minorBidi" w:hint="cs"/>
          <w:sz w:val="18"/>
          <w:szCs w:val="18"/>
          <w:rtl/>
        </w:rPr>
        <w:t>"</w:t>
      </w:r>
      <w:r w:rsidRPr="00104621">
        <w:rPr>
          <w:rFonts w:asciiTheme="minorBidi" w:hAnsiTheme="minorBidi"/>
          <w:sz w:val="18"/>
          <w:szCs w:val="18"/>
          <w:rtl/>
        </w:rPr>
        <w:t>פ שלא היה יכול לבא (מהרי"ק שורש יא</w:t>
      </w:r>
      <w:r w:rsidR="00631347">
        <w:rPr>
          <w:rFonts w:asciiTheme="minorBidi" w:hAnsiTheme="minorBidi" w:hint="cs"/>
          <w:sz w:val="18"/>
          <w:szCs w:val="18"/>
          <w:rtl/>
        </w:rPr>
        <w:t xml:space="preserve"> ענף א</w:t>
      </w:r>
      <w:r w:rsidRPr="00104621">
        <w:rPr>
          <w:rFonts w:asciiTheme="minorBidi" w:hAnsiTheme="minorBidi"/>
          <w:sz w:val="18"/>
          <w:szCs w:val="18"/>
          <w:rtl/>
        </w:rPr>
        <w:t xml:space="preserve">). מי שקבל עליו ב"ד של שנים </w:t>
      </w:r>
      <w:r w:rsidR="004B402E">
        <w:rPr>
          <w:rStyle w:val="ab"/>
          <w:rFonts w:asciiTheme="minorBidi" w:hAnsiTheme="minorBidi"/>
          <w:sz w:val="18"/>
          <w:szCs w:val="18"/>
          <w:rtl/>
        </w:rPr>
        <w:footnoteReference w:id="540"/>
      </w:r>
      <w:r w:rsidRPr="00E233E9">
        <w:rPr>
          <w:rFonts w:asciiTheme="minorBidi" w:hAnsiTheme="minorBidi"/>
          <w:sz w:val="16"/>
          <w:szCs w:val="16"/>
          <w:rtl/>
        </w:rPr>
        <w:t>(בקנין)</w:t>
      </w:r>
      <w:r w:rsidRPr="00104621">
        <w:rPr>
          <w:rFonts w:asciiTheme="minorBidi" w:hAnsiTheme="minorBidi"/>
          <w:sz w:val="18"/>
          <w:szCs w:val="18"/>
          <w:rtl/>
        </w:rPr>
        <w:t xml:space="preserve">, והזמינוהו ולא בא, מנדין אותו </w:t>
      </w:r>
      <w:r w:rsidR="004B402E">
        <w:rPr>
          <w:rStyle w:val="ab"/>
          <w:rFonts w:asciiTheme="minorBidi" w:hAnsiTheme="minorBidi"/>
          <w:sz w:val="18"/>
          <w:szCs w:val="18"/>
          <w:rtl/>
        </w:rPr>
        <w:footnoteReference w:id="541"/>
      </w:r>
      <w:r w:rsidRPr="00104621">
        <w:rPr>
          <w:rFonts w:asciiTheme="minorBidi" w:hAnsiTheme="minorBidi"/>
          <w:sz w:val="18"/>
          <w:szCs w:val="18"/>
          <w:rtl/>
        </w:rPr>
        <w:t>בבית דין של שלשה (ב"י בשם תשובת הרשב"א).</w:t>
      </w:r>
      <w:r w:rsidRPr="00576D5C">
        <w:rPr>
          <w:rFonts w:asciiTheme="minorBidi" w:hAnsiTheme="minorBidi"/>
          <w:rtl/>
        </w:rPr>
        <w:t xml:space="preserve"> </w:t>
      </w:r>
    </w:p>
    <w:p w14:paraId="1C517C65" w14:textId="77777777" w:rsidR="00ED5003" w:rsidRDefault="00ED5003" w:rsidP="00576D5C">
      <w:pPr>
        <w:rPr>
          <w:rFonts w:asciiTheme="minorBidi" w:hAnsiTheme="minorBidi" w:cs="Arial"/>
          <w:rtl/>
        </w:rPr>
      </w:pPr>
      <w:r w:rsidRPr="00ED5003">
        <w:rPr>
          <w:rFonts w:asciiTheme="minorBidi" w:hAnsiTheme="minorBidi" w:cs="Arial" w:hint="cs"/>
          <w:u w:val="single"/>
          <w:rtl/>
        </w:rPr>
        <w:t xml:space="preserve">מקומות שאין שם בית דין </w:t>
      </w:r>
      <w:r w:rsidRPr="00ED5003">
        <w:rPr>
          <w:rFonts w:asciiTheme="minorBidi" w:hAnsiTheme="minorBidi" w:cs="Arial"/>
          <w:u w:val="single"/>
          <w:rtl/>
        </w:rPr>
        <w:t>–</w:t>
      </w:r>
      <w:r w:rsidRPr="00ED5003">
        <w:rPr>
          <w:rFonts w:asciiTheme="minorBidi" w:hAnsiTheme="minorBidi" w:cs="Arial" w:hint="cs"/>
          <w:u w:val="single"/>
          <w:rtl/>
        </w:rPr>
        <w:t xml:space="preserve"> ותובע אדם את חברו במקום אחר:</w:t>
      </w:r>
      <w:r>
        <w:rPr>
          <w:rFonts w:asciiTheme="minorBidi" w:hAnsiTheme="minorBidi" w:cs="Arial" w:hint="cs"/>
          <w:rtl/>
        </w:rPr>
        <w:t xml:space="preserve">  </w:t>
      </w:r>
      <w:r w:rsidRPr="00ED5003">
        <w:rPr>
          <w:rFonts w:asciiTheme="minorBidi" w:hAnsiTheme="minorBidi" w:cs="Arial" w:hint="cs"/>
          <w:sz w:val="16"/>
          <w:szCs w:val="16"/>
          <w:rtl/>
        </w:rPr>
        <w:t>(ש"ך סק"א)</w:t>
      </w:r>
    </w:p>
    <w:p w14:paraId="7D1DE2FD" w14:textId="77777777" w:rsidR="00ED5003" w:rsidRDefault="00ED5003" w:rsidP="00ED5003">
      <w:pPr>
        <w:pStyle w:val="ac"/>
        <w:numPr>
          <w:ilvl w:val="0"/>
          <w:numId w:val="1"/>
        </w:numPr>
        <w:rPr>
          <w:rFonts w:asciiTheme="minorBidi" w:hAnsiTheme="minorBidi"/>
        </w:rPr>
      </w:pPr>
      <w:r w:rsidRPr="00ED5003">
        <w:rPr>
          <w:rFonts w:asciiTheme="minorBidi" w:hAnsiTheme="minorBidi" w:cs="Arial"/>
          <w:rtl/>
        </w:rPr>
        <w:t xml:space="preserve">מהרש"ל </w:t>
      </w:r>
      <w:r w:rsidRPr="009D1DA9">
        <w:rPr>
          <w:rFonts w:asciiTheme="minorBidi" w:hAnsiTheme="minorBidi" w:cs="Arial" w:hint="cs"/>
          <w:sz w:val="16"/>
          <w:szCs w:val="16"/>
          <w:rtl/>
        </w:rPr>
        <w:t>(</w:t>
      </w:r>
      <w:r w:rsidRPr="009D1DA9">
        <w:rPr>
          <w:rFonts w:asciiTheme="minorBidi" w:hAnsiTheme="minorBidi" w:cs="Arial"/>
          <w:sz w:val="16"/>
          <w:szCs w:val="16"/>
          <w:rtl/>
        </w:rPr>
        <w:t>יש"ש פ"ק דב"ק סי</w:t>
      </w:r>
      <w:r w:rsidRPr="009D1DA9">
        <w:rPr>
          <w:rFonts w:asciiTheme="minorBidi" w:hAnsiTheme="minorBidi" w:cs="Arial" w:hint="cs"/>
          <w:sz w:val="16"/>
          <w:szCs w:val="16"/>
          <w:rtl/>
        </w:rPr>
        <w:t>'</w:t>
      </w:r>
      <w:r w:rsidRPr="009D1DA9">
        <w:rPr>
          <w:rFonts w:asciiTheme="minorBidi" w:hAnsiTheme="minorBidi" w:cs="Arial"/>
          <w:sz w:val="16"/>
          <w:szCs w:val="16"/>
          <w:rtl/>
        </w:rPr>
        <w:t xml:space="preserve"> מג</w:t>
      </w:r>
      <w:r w:rsidRPr="009D1DA9">
        <w:rPr>
          <w:rFonts w:asciiTheme="minorBidi" w:hAnsiTheme="minorBidi" w:cs="Arial" w:hint="cs"/>
          <w:sz w:val="16"/>
          <w:szCs w:val="16"/>
          <w:rtl/>
        </w:rPr>
        <w:t>)</w:t>
      </w:r>
      <w:r w:rsidRPr="00ED5003">
        <w:rPr>
          <w:rFonts w:asciiTheme="minorBidi" w:hAnsiTheme="minorBidi" w:cs="Arial" w:hint="cs"/>
          <w:rtl/>
        </w:rPr>
        <w:t>-</w:t>
      </w:r>
      <w:r w:rsidRPr="00ED5003">
        <w:rPr>
          <w:rFonts w:asciiTheme="minorBidi" w:hAnsiTheme="minorBidi" w:cs="Arial"/>
          <w:rtl/>
        </w:rPr>
        <w:t xml:space="preserve"> פסק הר"ש, במקומות שאין שם ב"ד, אי תבע אדם לחבירו ממון והנתבע אומר הביא לי הזמנה ממקום שיש שם ב"ד ואז אלך עמך, יכולים בני עירן לקבוע לו זמן, או יעשה כל דבר לפניהם, ע"כ מצאתי.</w:t>
      </w:r>
    </w:p>
    <w:p w14:paraId="7E99FBDE" w14:textId="77777777" w:rsidR="009D1DA9" w:rsidRPr="009D1DA9" w:rsidRDefault="009D1DA9" w:rsidP="009D1DA9">
      <w:pPr>
        <w:rPr>
          <w:rFonts w:asciiTheme="minorBidi" w:hAnsiTheme="minorBidi"/>
          <w:u w:val="single"/>
        </w:rPr>
      </w:pPr>
      <w:r w:rsidRPr="009D1DA9">
        <w:rPr>
          <w:rFonts w:asciiTheme="minorBidi" w:hAnsiTheme="minorBidi" w:hint="cs"/>
          <w:u w:val="single"/>
          <w:rtl/>
        </w:rPr>
        <w:t>תובע שלא רוצה לגלות טענתו לנתבע</w:t>
      </w:r>
      <w:r>
        <w:rPr>
          <w:rFonts w:asciiTheme="minorBidi" w:hAnsiTheme="minorBidi" w:hint="cs"/>
          <w:u w:val="single"/>
          <w:rtl/>
        </w:rPr>
        <w:t>:</w:t>
      </w:r>
      <w:r>
        <w:rPr>
          <w:rFonts w:asciiTheme="minorBidi" w:hAnsiTheme="minorBidi" w:cs="Arial" w:hint="cs"/>
          <w:sz w:val="16"/>
          <w:szCs w:val="16"/>
          <w:rtl/>
        </w:rPr>
        <w:t xml:space="preserve">   </w:t>
      </w:r>
      <w:r w:rsidRPr="00ED5003">
        <w:rPr>
          <w:rFonts w:asciiTheme="minorBidi" w:hAnsiTheme="minorBidi" w:cs="Arial" w:hint="cs"/>
          <w:sz w:val="16"/>
          <w:szCs w:val="16"/>
          <w:rtl/>
        </w:rPr>
        <w:t>(ש"ך סק"א)</w:t>
      </w:r>
    </w:p>
    <w:p w14:paraId="74606C81" w14:textId="77777777" w:rsidR="00ED5003" w:rsidRPr="00ED5003" w:rsidRDefault="00ED5003" w:rsidP="00ED5003">
      <w:pPr>
        <w:pStyle w:val="ac"/>
        <w:numPr>
          <w:ilvl w:val="0"/>
          <w:numId w:val="1"/>
        </w:numPr>
        <w:rPr>
          <w:rFonts w:asciiTheme="minorBidi" w:hAnsiTheme="minorBidi"/>
        </w:rPr>
      </w:pPr>
      <w:r w:rsidRPr="00ED5003">
        <w:rPr>
          <w:rFonts w:asciiTheme="minorBidi" w:hAnsiTheme="minorBidi" w:cs="Arial"/>
          <w:rtl/>
        </w:rPr>
        <w:t>באר שבע</w:t>
      </w:r>
      <w:r>
        <w:rPr>
          <w:rFonts w:asciiTheme="minorBidi" w:hAnsiTheme="minorBidi" w:cs="Arial" w:hint="cs"/>
          <w:rtl/>
        </w:rPr>
        <w:t xml:space="preserve"> </w:t>
      </w:r>
      <w:r w:rsidRPr="009D1DA9">
        <w:rPr>
          <w:rFonts w:asciiTheme="minorBidi" w:hAnsiTheme="minorBidi" w:cs="Arial" w:hint="cs"/>
          <w:sz w:val="16"/>
          <w:szCs w:val="16"/>
          <w:rtl/>
        </w:rPr>
        <w:t>(</w:t>
      </w:r>
      <w:r w:rsidRPr="009D1DA9">
        <w:rPr>
          <w:rFonts w:asciiTheme="minorBidi" w:hAnsiTheme="minorBidi" w:cs="Arial"/>
          <w:sz w:val="16"/>
          <w:szCs w:val="16"/>
          <w:rtl/>
        </w:rPr>
        <w:t>שו"ת סי' נד</w:t>
      </w:r>
      <w:r w:rsidRPr="009D1DA9">
        <w:rPr>
          <w:rFonts w:asciiTheme="minorBidi" w:hAnsiTheme="minorBidi" w:cs="Arial" w:hint="cs"/>
          <w:sz w:val="16"/>
          <w:szCs w:val="16"/>
          <w:rtl/>
        </w:rPr>
        <w:t>)</w:t>
      </w:r>
      <w:r>
        <w:rPr>
          <w:rFonts w:asciiTheme="minorBidi" w:hAnsiTheme="minorBidi" w:cs="Arial" w:hint="cs"/>
          <w:rtl/>
        </w:rPr>
        <w:t xml:space="preserve">- </w:t>
      </w:r>
      <w:r w:rsidRPr="00ED5003">
        <w:rPr>
          <w:rFonts w:asciiTheme="minorBidi" w:hAnsiTheme="minorBidi" w:cs="Arial"/>
          <w:rtl/>
        </w:rPr>
        <w:t>ראובן שתובע לשמעון שיברור עמו דיינים, ושמעון משיב לא אכנס לדין עמך אם לא תגיד לי מתחילה על מה תרצה לדון עמי, וראובן אינו רוצה לגלות לו אופן תביעתו כלל</w:t>
      </w:r>
      <w:r w:rsidR="009D1DA9">
        <w:rPr>
          <w:rFonts w:asciiTheme="minorBidi" w:hAnsiTheme="minorBidi" w:cs="Arial" w:hint="cs"/>
          <w:rtl/>
        </w:rPr>
        <w:t xml:space="preserve"> -</w:t>
      </w:r>
      <w:r w:rsidRPr="00ED5003">
        <w:rPr>
          <w:rFonts w:asciiTheme="minorBidi" w:hAnsiTheme="minorBidi" w:cs="Arial"/>
          <w:rtl/>
        </w:rPr>
        <w:t xml:space="preserve"> הדין עם ראובן, מההיא דאמרינן בפרק חזקת הבתים </w:t>
      </w:r>
      <w:r w:rsidRPr="009D1DA9">
        <w:rPr>
          <w:rFonts w:asciiTheme="minorBidi" w:hAnsiTheme="minorBidi" w:cs="Arial" w:hint="cs"/>
          <w:sz w:val="16"/>
          <w:szCs w:val="16"/>
          <w:rtl/>
        </w:rPr>
        <w:t>(</w:t>
      </w:r>
      <w:r w:rsidRPr="009D1DA9">
        <w:rPr>
          <w:rFonts w:asciiTheme="minorBidi" w:hAnsiTheme="minorBidi" w:cs="Arial"/>
          <w:sz w:val="16"/>
          <w:szCs w:val="16"/>
          <w:rtl/>
        </w:rPr>
        <w:t>ב"ב לא</w:t>
      </w:r>
      <w:r w:rsidRPr="009D1DA9">
        <w:rPr>
          <w:rFonts w:asciiTheme="minorBidi" w:hAnsiTheme="minorBidi" w:cs="Arial" w:hint="cs"/>
          <w:sz w:val="16"/>
          <w:szCs w:val="16"/>
          <w:rtl/>
        </w:rPr>
        <w:t>.)</w:t>
      </w:r>
      <w:r w:rsidRPr="009D1DA9">
        <w:rPr>
          <w:rFonts w:asciiTheme="minorBidi" w:hAnsiTheme="minorBidi" w:cs="Arial"/>
          <w:sz w:val="16"/>
          <w:szCs w:val="16"/>
          <w:rtl/>
        </w:rPr>
        <w:t xml:space="preserve"> </w:t>
      </w:r>
      <w:r w:rsidRPr="00ED5003">
        <w:rPr>
          <w:rFonts w:asciiTheme="minorBidi" w:hAnsiTheme="minorBidi" w:cs="Arial"/>
          <w:rtl/>
        </w:rPr>
        <w:t xml:space="preserve">עביד אינש דלא מגלה טענתיה חוץ לבית דין, וגדולה מזה פסק הרא"ש בפרק שבועות הדיינים </w:t>
      </w:r>
      <w:r w:rsidRPr="009D1DA9">
        <w:rPr>
          <w:rFonts w:asciiTheme="minorBidi" w:hAnsiTheme="minorBidi" w:cs="Arial" w:hint="cs"/>
          <w:sz w:val="16"/>
          <w:szCs w:val="16"/>
          <w:rtl/>
        </w:rPr>
        <w:t>(</w:t>
      </w:r>
      <w:r w:rsidRPr="009D1DA9">
        <w:rPr>
          <w:rFonts w:asciiTheme="minorBidi" w:hAnsiTheme="minorBidi" w:cs="Arial"/>
          <w:sz w:val="16"/>
          <w:szCs w:val="16"/>
          <w:rtl/>
        </w:rPr>
        <w:t>שבועות פ"ו סי' יח</w:t>
      </w:r>
      <w:r w:rsidRPr="009D1DA9">
        <w:rPr>
          <w:rFonts w:asciiTheme="minorBidi" w:hAnsiTheme="minorBidi" w:cs="Arial" w:hint="cs"/>
          <w:sz w:val="16"/>
          <w:szCs w:val="16"/>
          <w:rtl/>
        </w:rPr>
        <w:t>)</w:t>
      </w:r>
      <w:r w:rsidRPr="009D1DA9">
        <w:rPr>
          <w:rFonts w:asciiTheme="minorBidi" w:hAnsiTheme="minorBidi" w:cs="Arial"/>
          <w:sz w:val="16"/>
          <w:szCs w:val="16"/>
          <w:rtl/>
        </w:rPr>
        <w:t xml:space="preserve"> </w:t>
      </w:r>
      <w:r w:rsidRPr="00ED5003">
        <w:rPr>
          <w:rFonts w:asciiTheme="minorBidi" w:hAnsiTheme="minorBidi" w:cs="Arial"/>
          <w:rtl/>
        </w:rPr>
        <w:t>דאין אדם צריך לברר טענתיה אא"כ יראה לב"ד שיש רמאות.</w:t>
      </w:r>
    </w:p>
    <w:p w14:paraId="322F909E" w14:textId="77777777" w:rsidR="00887674" w:rsidRPr="00ED5003" w:rsidRDefault="009D1DA9" w:rsidP="00ED5003">
      <w:pPr>
        <w:pStyle w:val="ac"/>
        <w:numPr>
          <w:ilvl w:val="0"/>
          <w:numId w:val="1"/>
        </w:numPr>
        <w:rPr>
          <w:rFonts w:asciiTheme="minorBidi" w:hAnsiTheme="minorBidi"/>
          <w:rtl/>
        </w:rPr>
      </w:pPr>
      <w:r>
        <w:rPr>
          <w:rFonts w:asciiTheme="minorBidi" w:hAnsiTheme="minorBidi" w:cs="Arial" w:hint="cs"/>
          <w:rtl/>
        </w:rPr>
        <w:t xml:space="preserve">ש"ך </w:t>
      </w:r>
      <w:r w:rsidRPr="009D1DA9">
        <w:rPr>
          <w:rFonts w:asciiTheme="minorBidi" w:hAnsiTheme="minorBidi" w:cs="Arial" w:hint="cs"/>
          <w:sz w:val="16"/>
          <w:szCs w:val="16"/>
          <w:rtl/>
        </w:rPr>
        <w:t>(סק"א)</w:t>
      </w:r>
      <w:r>
        <w:rPr>
          <w:rFonts w:asciiTheme="minorBidi" w:hAnsiTheme="minorBidi" w:cs="Arial" w:hint="cs"/>
          <w:rtl/>
        </w:rPr>
        <w:t xml:space="preserve">- </w:t>
      </w:r>
      <w:r>
        <w:rPr>
          <w:rStyle w:val="ab"/>
          <w:rFonts w:asciiTheme="minorBidi" w:hAnsiTheme="minorBidi" w:cs="Arial"/>
          <w:rtl/>
        </w:rPr>
        <w:footnoteReference w:id="542"/>
      </w:r>
      <w:r w:rsidR="00ED5003" w:rsidRPr="00ED5003">
        <w:rPr>
          <w:rFonts w:asciiTheme="minorBidi" w:hAnsiTheme="minorBidi" w:cs="Arial"/>
          <w:rtl/>
        </w:rPr>
        <w:t xml:space="preserve">כל זמן שאינו רוצה לגלות לו אופן תביעתו, אינו מחויב לבוא עמו לדין כלל. </w:t>
      </w:r>
    </w:p>
    <w:p w14:paraId="65CBCBB2" w14:textId="77777777" w:rsidR="00ED5003" w:rsidRPr="00576D5C" w:rsidRDefault="00ED5003" w:rsidP="00576D5C">
      <w:pPr>
        <w:rPr>
          <w:rFonts w:asciiTheme="minorBidi" w:hAnsiTheme="minorBidi"/>
          <w:rtl/>
        </w:rPr>
      </w:pPr>
    </w:p>
    <w:p w14:paraId="565264BF" w14:textId="77777777" w:rsidR="00E137BC" w:rsidRPr="00576D5C" w:rsidRDefault="00E137BC" w:rsidP="00ED5003">
      <w:pPr>
        <w:pStyle w:val="2"/>
        <w:rPr>
          <w:rtl/>
        </w:rPr>
      </w:pPr>
      <w:bookmarkStart w:id="77" w:name="_Toc24883569"/>
      <w:r w:rsidRPr="00576D5C">
        <w:rPr>
          <w:rtl/>
        </w:rPr>
        <w:t>סעיף ב</w:t>
      </w:r>
      <w:r w:rsidR="00887674" w:rsidRPr="00576D5C">
        <w:rPr>
          <w:rtl/>
        </w:rPr>
        <w:t>:</w:t>
      </w:r>
      <w:r w:rsidR="00083FA8">
        <w:rPr>
          <w:rFonts w:hint="cs"/>
          <w:rtl/>
        </w:rPr>
        <w:t xml:space="preserve"> שליח שהזמין בשם אחד מהדיינים.</w:t>
      </w:r>
      <w:bookmarkEnd w:id="77"/>
    </w:p>
    <w:p w14:paraId="31EFE19B" w14:textId="77777777" w:rsidR="00DB472A" w:rsidRDefault="00083FA8" w:rsidP="00576D5C">
      <w:pPr>
        <w:rPr>
          <w:rFonts w:asciiTheme="minorBidi" w:hAnsiTheme="minorBidi" w:cs="Arial"/>
          <w:rtl/>
        </w:rPr>
      </w:pPr>
      <w:r w:rsidRPr="00083FA8">
        <w:rPr>
          <w:rFonts w:asciiTheme="minorBidi" w:hAnsiTheme="minorBidi" w:cs="Arial" w:hint="cs"/>
          <w:b/>
          <w:bCs/>
          <w:rtl/>
        </w:rPr>
        <w:t xml:space="preserve">סנהדרין </w:t>
      </w:r>
      <w:r w:rsidRPr="00083FA8">
        <w:rPr>
          <w:rFonts w:asciiTheme="minorBidi" w:hAnsiTheme="minorBidi" w:cs="Arial" w:hint="cs"/>
          <w:b/>
          <w:bCs/>
          <w:sz w:val="16"/>
          <w:szCs w:val="16"/>
          <w:rtl/>
        </w:rPr>
        <w:t xml:space="preserve">(פ"ק) </w:t>
      </w:r>
      <w:r w:rsidRPr="00083FA8">
        <w:rPr>
          <w:rFonts w:asciiTheme="minorBidi" w:hAnsiTheme="minorBidi" w:cs="Arial" w:hint="cs"/>
          <w:b/>
          <w:bCs/>
          <w:rtl/>
        </w:rPr>
        <w:t>ח</w:t>
      </w:r>
      <w:r w:rsidR="00CB534F">
        <w:rPr>
          <w:rStyle w:val="ab"/>
          <w:rFonts w:asciiTheme="minorBidi" w:hAnsiTheme="minorBidi" w:cs="Arial"/>
          <w:b/>
          <w:bCs/>
          <w:rtl/>
        </w:rPr>
        <w:footnoteReference w:id="543"/>
      </w:r>
      <w:r w:rsidRPr="00083FA8">
        <w:rPr>
          <w:rFonts w:asciiTheme="minorBidi" w:hAnsiTheme="minorBidi" w:cs="Arial" w:hint="cs"/>
          <w:b/>
          <w:bCs/>
          <w:rtl/>
        </w:rPr>
        <w:t xml:space="preserve"> ע"א: </w:t>
      </w:r>
      <w:r w:rsidR="00DB472A" w:rsidRPr="00DB472A">
        <w:rPr>
          <w:rFonts w:asciiTheme="minorBidi" w:hAnsiTheme="minorBidi" w:cs="Arial"/>
          <w:rtl/>
        </w:rPr>
        <w:t>תנא: זימון בשלשה.</w:t>
      </w:r>
      <w:r w:rsidR="00D41CF3">
        <w:rPr>
          <w:rFonts w:asciiTheme="minorBidi" w:hAnsiTheme="minorBidi" w:cs="Arial" w:hint="cs"/>
          <w:rtl/>
        </w:rPr>
        <w:t>..</w:t>
      </w:r>
      <w:r w:rsidR="00DB472A" w:rsidRPr="00DB472A">
        <w:rPr>
          <w:rFonts w:asciiTheme="minorBidi" w:hAnsiTheme="minorBidi" w:cs="Arial"/>
          <w:rtl/>
        </w:rPr>
        <w:t xml:space="preserve"> מאי זימון - אזמוני לדין. כי הא דאמר רבא: הני בי תלתא דייני דיתבי, ואזיל שליחא דבי דינא ואמר מפומא דחד - לא אמר כלום, עד דאמר משמיה דכולהו. הני מילי - בלא יומא דדינא, אבל ביומא דדינא - לית לן בה. </w:t>
      </w:r>
    </w:p>
    <w:p w14:paraId="5AAED890" w14:textId="77777777" w:rsidR="00083FA8" w:rsidRPr="00083FA8" w:rsidRDefault="00083FA8" w:rsidP="00576D5C">
      <w:pPr>
        <w:rPr>
          <w:rFonts w:asciiTheme="minorBidi" w:hAnsiTheme="minorBidi" w:cs="Arial"/>
          <w:u w:val="single"/>
          <w:rtl/>
        </w:rPr>
      </w:pPr>
      <w:r w:rsidRPr="00083FA8">
        <w:rPr>
          <w:rFonts w:asciiTheme="minorBidi" w:hAnsiTheme="minorBidi" w:cs="Arial" w:hint="cs"/>
          <w:u w:val="single"/>
          <w:rtl/>
        </w:rPr>
        <w:t>שליח שהזמין את בעל הדין בשם אחד מהדיינים:</w:t>
      </w:r>
    </w:p>
    <w:p w14:paraId="00B703AD" w14:textId="77777777" w:rsidR="009D1DA9" w:rsidRPr="00083FA8" w:rsidRDefault="00083FA8" w:rsidP="00C704CB">
      <w:pPr>
        <w:pStyle w:val="ac"/>
        <w:numPr>
          <w:ilvl w:val="0"/>
          <w:numId w:val="5"/>
        </w:numPr>
        <w:rPr>
          <w:rFonts w:asciiTheme="minorBidi" w:hAnsiTheme="minorBidi"/>
          <w:rtl/>
        </w:rPr>
      </w:pPr>
      <w:r w:rsidRPr="00083FA8">
        <w:rPr>
          <w:rFonts w:asciiTheme="minorBidi" w:hAnsiTheme="minorBidi" w:cs="Arial" w:hint="cs"/>
          <w:rtl/>
        </w:rPr>
        <w:t xml:space="preserve">טור- </w:t>
      </w:r>
      <w:r w:rsidR="009D1DA9" w:rsidRPr="00083FA8">
        <w:rPr>
          <w:rFonts w:asciiTheme="minorBidi" w:hAnsiTheme="minorBidi" w:cs="Arial"/>
          <w:rtl/>
        </w:rPr>
        <w:t>אם הזמינו השליח ולא הזמינו על שם שלשתן</w:t>
      </w:r>
      <w:r w:rsidR="00760B94">
        <w:rPr>
          <w:rFonts w:asciiTheme="minorBidi" w:hAnsiTheme="minorBidi" w:cs="Arial" w:hint="cs"/>
          <w:rtl/>
        </w:rPr>
        <w:t xml:space="preserve"> -</w:t>
      </w:r>
      <w:r w:rsidR="009D1DA9" w:rsidRPr="00083FA8">
        <w:rPr>
          <w:rFonts w:asciiTheme="minorBidi" w:hAnsiTheme="minorBidi" w:cs="Arial"/>
          <w:rtl/>
        </w:rPr>
        <w:t xml:space="preserve"> אין מנדין אותו עד שיזמינו על שם שלשתן</w:t>
      </w:r>
      <w:r w:rsidR="00760B94">
        <w:rPr>
          <w:rFonts w:asciiTheme="minorBidi" w:hAnsiTheme="minorBidi" w:cs="Arial" w:hint="cs"/>
          <w:rtl/>
        </w:rPr>
        <w:t>.</w:t>
      </w:r>
      <w:r w:rsidR="009D1DA9" w:rsidRPr="00083FA8">
        <w:rPr>
          <w:rFonts w:asciiTheme="minorBidi" w:hAnsiTheme="minorBidi" w:cs="Arial"/>
          <w:rtl/>
        </w:rPr>
        <w:t xml:space="preserve"> בד"א שלא הזמינו ליום הידוע לישיבת הדיינין</w:t>
      </w:r>
      <w:r w:rsidR="00DB472A" w:rsidRPr="00083FA8">
        <w:rPr>
          <w:rFonts w:asciiTheme="minorBidi" w:hAnsiTheme="minorBidi" w:cs="Arial" w:hint="cs"/>
          <w:rtl/>
        </w:rPr>
        <w:t>,</w:t>
      </w:r>
      <w:r w:rsidR="009D1DA9" w:rsidRPr="00083FA8">
        <w:rPr>
          <w:rFonts w:asciiTheme="minorBidi" w:hAnsiTheme="minorBidi" w:cs="Arial"/>
          <w:rtl/>
        </w:rPr>
        <w:t xml:space="preserve"> אבל אם הזמינוהו ליום הידוע לישיבת הדיינים אפי' לא הזמינוהו אלא על שם אחד </w:t>
      </w:r>
      <w:r w:rsidR="00760B94">
        <w:rPr>
          <w:rFonts w:asciiTheme="minorBidi" w:hAnsiTheme="minorBidi" w:cs="Arial" w:hint="cs"/>
          <w:rtl/>
        </w:rPr>
        <w:t xml:space="preserve">- </w:t>
      </w:r>
      <w:r w:rsidR="009D1DA9" w:rsidRPr="00083FA8">
        <w:rPr>
          <w:rFonts w:asciiTheme="minorBidi" w:hAnsiTheme="minorBidi" w:cs="Arial"/>
          <w:rtl/>
        </w:rPr>
        <w:t>כותבין עליו נדוי</w:t>
      </w:r>
      <w:r w:rsidR="00DB472A" w:rsidRPr="00083FA8">
        <w:rPr>
          <w:rFonts w:asciiTheme="minorBidi" w:hAnsiTheme="minorBidi" w:cs="Arial" w:hint="cs"/>
          <w:rtl/>
        </w:rPr>
        <w:t>,</w:t>
      </w:r>
      <w:r w:rsidR="009D1DA9" w:rsidRPr="00083FA8">
        <w:rPr>
          <w:rFonts w:asciiTheme="minorBidi" w:hAnsiTheme="minorBidi" w:cs="Arial"/>
          <w:rtl/>
        </w:rPr>
        <w:t xml:space="preserve"> שהכל יודעים שהדיינים מקובצים</w:t>
      </w:r>
      <w:r w:rsidR="00DB472A" w:rsidRPr="00083FA8">
        <w:rPr>
          <w:rFonts w:asciiTheme="minorBidi" w:hAnsiTheme="minorBidi" w:cs="Arial" w:hint="cs"/>
          <w:rtl/>
        </w:rPr>
        <w:t>.</w:t>
      </w:r>
    </w:p>
    <w:p w14:paraId="0814C4E4" w14:textId="77777777" w:rsidR="00083FA8" w:rsidRPr="00083FA8" w:rsidRDefault="00083FA8" w:rsidP="00C704CB">
      <w:pPr>
        <w:pStyle w:val="ac"/>
        <w:numPr>
          <w:ilvl w:val="0"/>
          <w:numId w:val="5"/>
        </w:numPr>
        <w:rPr>
          <w:rFonts w:asciiTheme="minorBidi" w:hAnsiTheme="minorBidi"/>
          <w:rtl/>
        </w:rPr>
      </w:pPr>
      <w:r w:rsidRPr="00083FA8">
        <w:rPr>
          <w:rFonts w:asciiTheme="minorBidi" w:hAnsiTheme="minorBidi" w:cs="Arial" w:hint="cs"/>
          <w:rtl/>
        </w:rPr>
        <w:t xml:space="preserve">רמב"ם </w:t>
      </w:r>
      <w:r w:rsidRPr="00083FA8">
        <w:rPr>
          <w:rFonts w:asciiTheme="minorBidi" w:hAnsiTheme="minorBidi" w:cs="Arial" w:hint="cs"/>
          <w:sz w:val="16"/>
          <w:szCs w:val="16"/>
          <w:rtl/>
        </w:rPr>
        <w:t>(פכ"ה ה"ז)</w:t>
      </w:r>
      <w:r w:rsidRPr="00083FA8">
        <w:rPr>
          <w:rFonts w:asciiTheme="minorBidi" w:hAnsiTheme="minorBidi" w:cs="Arial" w:hint="cs"/>
          <w:rtl/>
        </w:rPr>
        <w:t xml:space="preserve">- </w:t>
      </w:r>
      <w:r w:rsidRPr="00083FA8">
        <w:rPr>
          <w:rFonts w:asciiTheme="minorBidi" w:hAnsiTheme="minorBidi" w:cs="Arial"/>
          <w:rtl/>
        </w:rPr>
        <w:t>שליח שאמר פלוני שלחני בשם אחד מן הדיינים</w:t>
      </w:r>
      <w:r w:rsidRPr="00083FA8">
        <w:rPr>
          <w:rFonts w:asciiTheme="minorBidi" w:hAnsiTheme="minorBidi" w:cs="Arial" w:hint="cs"/>
          <w:rtl/>
        </w:rPr>
        <w:t>,</w:t>
      </w:r>
      <w:r w:rsidRPr="00083FA8">
        <w:rPr>
          <w:rFonts w:asciiTheme="minorBidi" w:hAnsiTheme="minorBidi" w:cs="Arial"/>
          <w:rtl/>
        </w:rPr>
        <w:t xml:space="preserve"> ולא רצה בעל דין לבא</w:t>
      </w:r>
      <w:r w:rsidRPr="00083FA8">
        <w:rPr>
          <w:rFonts w:asciiTheme="minorBidi" w:hAnsiTheme="minorBidi" w:cs="Arial" w:hint="cs"/>
          <w:rtl/>
        </w:rPr>
        <w:t>,</w:t>
      </w:r>
      <w:r w:rsidRPr="00083FA8">
        <w:rPr>
          <w:rFonts w:asciiTheme="minorBidi" w:hAnsiTheme="minorBidi" w:cs="Arial"/>
          <w:rtl/>
        </w:rPr>
        <w:t xml:space="preserve"> אין כותבין עליו פיתחא של שמתא עד שיאמר משם שלשתן</w:t>
      </w:r>
      <w:r w:rsidR="00850E95">
        <w:rPr>
          <w:rFonts w:asciiTheme="minorBidi" w:hAnsiTheme="minorBidi" w:cs="Arial" w:hint="cs"/>
          <w:rtl/>
        </w:rPr>
        <w:t>.</w:t>
      </w:r>
      <w:r w:rsidRPr="00083FA8">
        <w:rPr>
          <w:rFonts w:asciiTheme="minorBidi" w:hAnsiTheme="minorBidi" w:cs="Arial"/>
          <w:rtl/>
        </w:rPr>
        <w:t xml:space="preserve"> </w:t>
      </w:r>
      <w:r>
        <w:rPr>
          <w:rStyle w:val="ab"/>
          <w:rFonts w:asciiTheme="minorBidi" w:hAnsiTheme="minorBidi" w:cs="Arial"/>
          <w:rtl/>
        </w:rPr>
        <w:footnoteReference w:id="544"/>
      </w:r>
      <w:r w:rsidRPr="00083FA8">
        <w:rPr>
          <w:rFonts w:asciiTheme="minorBidi" w:hAnsiTheme="minorBidi" w:cs="Arial"/>
          <w:rtl/>
        </w:rPr>
        <w:t>במה דברים אמורים שהלך השליח ביום שאינו ידוע לישיבת הדיינים, אבל ביום הידוע שהדיינים יושבים בו לדין הכל יודעים שכל הדיינים מקובצין ואע</w:t>
      </w:r>
      <w:r w:rsidR="00CB534F">
        <w:rPr>
          <w:rFonts w:asciiTheme="minorBidi" w:hAnsiTheme="minorBidi" w:cs="Arial" w:hint="cs"/>
          <w:rtl/>
        </w:rPr>
        <w:t>"</w:t>
      </w:r>
      <w:r w:rsidRPr="00083FA8">
        <w:rPr>
          <w:rFonts w:asciiTheme="minorBidi" w:hAnsiTheme="minorBidi" w:cs="Arial"/>
          <w:rtl/>
        </w:rPr>
        <w:t>פ שבא השליח בשם אחד כאילו בא בשם שלשתן.</w:t>
      </w:r>
      <w:r w:rsidR="008C6DB0">
        <w:rPr>
          <w:rFonts w:asciiTheme="minorBidi" w:hAnsiTheme="minorBidi" w:hint="cs"/>
          <w:rtl/>
        </w:rPr>
        <w:t xml:space="preserve"> </w:t>
      </w:r>
      <w:r w:rsidR="008C6DB0" w:rsidRPr="008C6DB0">
        <w:rPr>
          <w:rFonts w:asciiTheme="minorBidi" w:hAnsiTheme="minorBidi" w:hint="cs"/>
          <w:color w:val="E36C0A" w:themeColor="accent6" w:themeShade="BF"/>
          <w:rtl/>
        </w:rPr>
        <w:t>(וכ"פ בשו"ע)</w:t>
      </w:r>
    </w:p>
    <w:p w14:paraId="1FD2056B" w14:textId="77777777" w:rsidR="00E137BC" w:rsidRPr="00576D5C" w:rsidRDefault="00E137BC" w:rsidP="00576D5C">
      <w:pPr>
        <w:rPr>
          <w:rFonts w:asciiTheme="minorBidi" w:hAnsiTheme="minorBidi"/>
          <w:b/>
          <w:bCs/>
          <w:color w:val="000000"/>
          <w:sz w:val="28"/>
          <w:szCs w:val="28"/>
          <w:u w:val="single"/>
          <w:rtl/>
        </w:rPr>
      </w:pPr>
      <w:r w:rsidRPr="00576D5C">
        <w:rPr>
          <w:rFonts w:asciiTheme="minorBidi" w:hAnsiTheme="minorBidi"/>
          <w:b/>
          <w:bCs/>
          <w:color w:val="000000"/>
          <w:sz w:val="28"/>
          <w:szCs w:val="28"/>
          <w:u w:val="single"/>
          <w:rtl/>
        </w:rPr>
        <w:t>שו"ע:</w:t>
      </w:r>
    </w:p>
    <w:p w14:paraId="5726ADC1" w14:textId="77777777" w:rsidR="00E137BC" w:rsidRPr="00576D5C" w:rsidRDefault="00E137BC" w:rsidP="00576D5C">
      <w:pPr>
        <w:rPr>
          <w:rFonts w:asciiTheme="minorBidi" w:hAnsiTheme="minorBidi"/>
          <w:rtl/>
        </w:rPr>
      </w:pPr>
      <w:r w:rsidRPr="00576D5C">
        <w:rPr>
          <w:rFonts w:asciiTheme="minorBidi" w:hAnsiTheme="minorBidi"/>
          <w:rtl/>
        </w:rPr>
        <w:t>שליח שאמר פלוני שלחני בשם אחד מהדיינים, ולא רצה לבוא, אין כותבין</w:t>
      </w:r>
      <w:r w:rsidR="008C6DB0">
        <w:rPr>
          <w:rStyle w:val="ab"/>
          <w:rFonts w:asciiTheme="minorBidi" w:hAnsiTheme="minorBidi"/>
          <w:rtl/>
        </w:rPr>
        <w:footnoteReference w:id="545"/>
      </w:r>
      <w:r w:rsidRPr="00576D5C">
        <w:rPr>
          <w:rFonts w:asciiTheme="minorBidi" w:hAnsiTheme="minorBidi"/>
          <w:rtl/>
        </w:rPr>
        <w:t xml:space="preserve"> עליו פתיחא של שמתא עד שיאמר בשם שלשתן. </w:t>
      </w:r>
      <w:r w:rsidR="00083FA8" w:rsidRPr="00083FA8">
        <w:rPr>
          <w:rFonts w:asciiTheme="minorBidi" w:hAnsiTheme="minorBidi" w:hint="cs"/>
          <w:sz w:val="18"/>
          <w:szCs w:val="18"/>
          <w:rtl/>
        </w:rPr>
        <w:t xml:space="preserve">[הגה] </w:t>
      </w:r>
      <w:r w:rsidRPr="00083FA8">
        <w:rPr>
          <w:rFonts w:asciiTheme="minorBidi" w:hAnsiTheme="minorBidi"/>
          <w:sz w:val="18"/>
          <w:szCs w:val="18"/>
          <w:rtl/>
        </w:rPr>
        <w:t>ואם יש בהם מומחה, חולקין לו כבוד ומזכירין לו שם המומחה</w:t>
      </w:r>
      <w:r w:rsidR="008C6DB0">
        <w:rPr>
          <w:rStyle w:val="ab"/>
          <w:rFonts w:asciiTheme="minorBidi" w:hAnsiTheme="minorBidi"/>
          <w:sz w:val="18"/>
          <w:szCs w:val="18"/>
          <w:rtl/>
        </w:rPr>
        <w:footnoteReference w:id="546"/>
      </w:r>
      <w:r w:rsidRPr="00083FA8">
        <w:rPr>
          <w:rFonts w:asciiTheme="minorBidi" w:hAnsiTheme="minorBidi"/>
          <w:sz w:val="18"/>
          <w:szCs w:val="18"/>
          <w:rtl/>
        </w:rPr>
        <w:t xml:space="preserve"> (נ</w:t>
      </w:r>
      <w:r w:rsidR="00083FA8" w:rsidRPr="00083FA8">
        <w:rPr>
          <w:rFonts w:asciiTheme="minorBidi" w:hAnsiTheme="minorBidi" w:hint="cs"/>
          <w:sz w:val="18"/>
          <w:szCs w:val="18"/>
          <w:rtl/>
        </w:rPr>
        <w:t>מוק</w:t>
      </w:r>
      <w:r w:rsidRPr="00083FA8">
        <w:rPr>
          <w:rFonts w:asciiTheme="minorBidi" w:hAnsiTheme="minorBidi"/>
          <w:sz w:val="18"/>
          <w:szCs w:val="18"/>
          <w:rtl/>
        </w:rPr>
        <w:t>"י פ' אלו מגלחין</w:t>
      </w:r>
      <w:r w:rsidR="008C6DB0">
        <w:rPr>
          <w:rFonts w:asciiTheme="minorBidi" w:hAnsiTheme="minorBidi" w:hint="cs"/>
          <w:sz w:val="18"/>
          <w:szCs w:val="18"/>
          <w:rtl/>
        </w:rPr>
        <w:t xml:space="preserve"> [מו"ק ח.]</w:t>
      </w:r>
      <w:r w:rsidRPr="00083FA8">
        <w:rPr>
          <w:rFonts w:asciiTheme="minorBidi" w:hAnsiTheme="minorBidi"/>
          <w:sz w:val="18"/>
          <w:szCs w:val="18"/>
          <w:rtl/>
        </w:rPr>
        <w:t>)</w:t>
      </w:r>
      <w:r w:rsidRPr="00576D5C">
        <w:rPr>
          <w:rFonts w:asciiTheme="minorBidi" w:hAnsiTheme="minorBidi"/>
          <w:rtl/>
        </w:rPr>
        <w:t xml:space="preserve">. במה דברים אמורים, </w:t>
      </w:r>
      <w:r w:rsidRPr="00576D5C">
        <w:rPr>
          <w:rFonts w:asciiTheme="minorBidi" w:hAnsiTheme="minorBidi"/>
          <w:rtl/>
        </w:rPr>
        <w:lastRenderedPageBreak/>
        <w:t>שהלך השליח ביום שאינו ידוע לישיבת הדיינים. אבל ביום הידוע שהדיינים יושבים בו לדין, הכל יודעים שכל הדיינים מקובצים, ואף על פי שבא השליח בשם אחד</w:t>
      </w:r>
      <w:r w:rsidR="008C6DB0">
        <w:rPr>
          <w:rStyle w:val="ab"/>
          <w:rFonts w:asciiTheme="minorBidi" w:hAnsiTheme="minorBidi"/>
          <w:rtl/>
        </w:rPr>
        <w:footnoteReference w:id="547"/>
      </w:r>
      <w:r w:rsidRPr="00576D5C">
        <w:rPr>
          <w:rFonts w:asciiTheme="minorBidi" w:hAnsiTheme="minorBidi"/>
          <w:rtl/>
        </w:rPr>
        <w:t xml:space="preserve">, כאילו בא בשם שלשתן. </w:t>
      </w:r>
    </w:p>
    <w:p w14:paraId="01E49913" w14:textId="77777777" w:rsidR="00887674" w:rsidRPr="00576D5C" w:rsidRDefault="00887674" w:rsidP="00576D5C">
      <w:pPr>
        <w:rPr>
          <w:rFonts w:asciiTheme="minorBidi" w:hAnsiTheme="minorBidi"/>
          <w:rtl/>
        </w:rPr>
      </w:pPr>
    </w:p>
    <w:p w14:paraId="39D12281" w14:textId="77777777" w:rsidR="00E137BC" w:rsidRDefault="00E137BC" w:rsidP="008C6DB0">
      <w:pPr>
        <w:pStyle w:val="2"/>
        <w:rPr>
          <w:rtl/>
        </w:rPr>
      </w:pPr>
      <w:bookmarkStart w:id="78" w:name="_Toc24883570"/>
      <w:r w:rsidRPr="00576D5C">
        <w:rPr>
          <w:rtl/>
        </w:rPr>
        <w:t>סעיף ג</w:t>
      </w:r>
      <w:r w:rsidR="00887674" w:rsidRPr="00576D5C">
        <w:rPr>
          <w:rtl/>
        </w:rPr>
        <w:t>:</w:t>
      </w:r>
      <w:r w:rsidR="00E842BA">
        <w:rPr>
          <w:rFonts w:hint="cs"/>
          <w:rtl/>
        </w:rPr>
        <w:t xml:space="preserve"> זימון על פי אשה ושכנים.</w:t>
      </w:r>
      <w:bookmarkEnd w:id="78"/>
    </w:p>
    <w:p w14:paraId="272575F9" w14:textId="77777777" w:rsidR="008D49BC" w:rsidRDefault="00E842BA" w:rsidP="0056499E">
      <w:pPr>
        <w:rPr>
          <w:rFonts w:asciiTheme="minorBidi" w:hAnsiTheme="minorBidi"/>
          <w:sz w:val="16"/>
          <w:szCs w:val="16"/>
          <w:rtl/>
        </w:rPr>
      </w:pPr>
      <w:r w:rsidRPr="00576D5C">
        <w:rPr>
          <w:rFonts w:asciiTheme="minorBidi" w:hAnsiTheme="minorBidi"/>
          <w:b/>
          <w:bCs/>
          <w:rtl/>
        </w:rPr>
        <w:t xml:space="preserve">בבא קמא </w:t>
      </w:r>
      <w:r w:rsidRPr="00576D5C">
        <w:rPr>
          <w:rFonts w:asciiTheme="minorBidi" w:hAnsiTheme="minorBidi"/>
          <w:b/>
          <w:bCs/>
          <w:sz w:val="16"/>
          <w:szCs w:val="16"/>
          <w:rtl/>
        </w:rPr>
        <w:t>(פ' הגוזל בתרא)</w:t>
      </w:r>
      <w:r w:rsidRPr="00576D5C">
        <w:rPr>
          <w:rFonts w:asciiTheme="minorBidi" w:hAnsiTheme="minorBidi"/>
          <w:b/>
          <w:bCs/>
          <w:rtl/>
        </w:rPr>
        <w:t xml:space="preserve"> קיב</w:t>
      </w:r>
      <w:r w:rsidR="0074361B">
        <w:rPr>
          <w:rStyle w:val="ab"/>
          <w:rFonts w:asciiTheme="minorBidi" w:hAnsiTheme="minorBidi"/>
          <w:b/>
          <w:bCs/>
          <w:rtl/>
        </w:rPr>
        <w:footnoteReference w:id="548"/>
      </w:r>
      <w:r w:rsidRPr="00576D5C">
        <w:rPr>
          <w:rFonts w:asciiTheme="minorBidi" w:hAnsiTheme="minorBidi"/>
          <w:b/>
          <w:bCs/>
          <w:rtl/>
        </w:rPr>
        <w:t xml:space="preserve"> ע"ב:</w:t>
      </w:r>
      <w:r w:rsidRPr="00576D5C">
        <w:rPr>
          <w:rFonts w:asciiTheme="minorBidi" w:hAnsiTheme="minorBidi"/>
          <w:rtl/>
        </w:rPr>
        <w:t xml:space="preserve"> </w:t>
      </w:r>
      <w:r w:rsidRPr="00E842BA">
        <w:rPr>
          <w:rFonts w:asciiTheme="minorBidi" w:hAnsiTheme="minorBidi" w:cs="Arial"/>
          <w:u w:val="single"/>
          <w:rtl/>
        </w:rPr>
        <w:t>אמר רבינא</w:t>
      </w:r>
      <w:r w:rsidRPr="00E842BA">
        <w:rPr>
          <w:rFonts w:asciiTheme="minorBidi" w:hAnsiTheme="minorBidi" w:cs="Arial"/>
          <w:rtl/>
        </w:rPr>
        <w:t>: יהבינן זימנא</w:t>
      </w:r>
      <w:r w:rsidR="0056499E">
        <w:rPr>
          <w:rStyle w:val="ab"/>
          <w:rFonts w:asciiTheme="minorBidi" w:hAnsiTheme="minorBidi" w:cs="Arial"/>
          <w:rtl/>
        </w:rPr>
        <w:footnoteReference w:id="549"/>
      </w:r>
      <w:r w:rsidRPr="00E842BA">
        <w:rPr>
          <w:rFonts w:asciiTheme="minorBidi" w:hAnsiTheme="minorBidi" w:cs="Arial"/>
          <w:rtl/>
        </w:rPr>
        <w:t xml:space="preserve"> אפומא דאיתתא</w:t>
      </w:r>
      <w:r w:rsidR="0056499E">
        <w:rPr>
          <w:rStyle w:val="ab"/>
          <w:rFonts w:asciiTheme="minorBidi" w:hAnsiTheme="minorBidi" w:cs="Arial"/>
          <w:rtl/>
        </w:rPr>
        <w:footnoteReference w:id="550"/>
      </w:r>
      <w:r w:rsidRPr="00E842BA">
        <w:rPr>
          <w:rFonts w:asciiTheme="minorBidi" w:hAnsiTheme="minorBidi" w:cs="Arial"/>
          <w:rtl/>
        </w:rPr>
        <w:t xml:space="preserve"> ואפומא דשיבבי. ולא אמרן אלא דליתיה במתא</w:t>
      </w:r>
      <w:r w:rsidR="0056499E">
        <w:rPr>
          <w:rStyle w:val="ab"/>
          <w:rFonts w:asciiTheme="minorBidi" w:hAnsiTheme="minorBidi" w:cs="Arial"/>
          <w:rtl/>
        </w:rPr>
        <w:footnoteReference w:id="551"/>
      </w:r>
      <w:r w:rsidRPr="00E842BA">
        <w:rPr>
          <w:rFonts w:asciiTheme="minorBidi" w:hAnsiTheme="minorBidi" w:cs="Arial"/>
          <w:rtl/>
        </w:rPr>
        <w:t>,</w:t>
      </w:r>
      <w:r w:rsidR="001A036C">
        <w:rPr>
          <w:rFonts w:asciiTheme="minorBidi" w:hAnsiTheme="minorBidi" w:cs="Arial" w:hint="cs"/>
          <w:sz w:val="14"/>
          <w:szCs w:val="14"/>
          <w:rtl/>
        </w:rPr>
        <w:t xml:space="preserve"> (קיג.)</w:t>
      </w:r>
      <w:r w:rsidRPr="00E842BA">
        <w:rPr>
          <w:rFonts w:asciiTheme="minorBidi" w:hAnsiTheme="minorBidi" w:cs="Arial"/>
          <w:rtl/>
        </w:rPr>
        <w:t xml:space="preserve"> אבל איתיה במתא לא</w:t>
      </w:r>
      <w:r w:rsidR="0056499E">
        <w:rPr>
          <w:rStyle w:val="ab"/>
          <w:rFonts w:asciiTheme="minorBidi" w:hAnsiTheme="minorBidi" w:cs="Arial"/>
          <w:rtl/>
        </w:rPr>
        <w:footnoteReference w:id="552"/>
      </w:r>
      <w:r w:rsidRPr="00E842BA">
        <w:rPr>
          <w:rFonts w:asciiTheme="minorBidi" w:hAnsiTheme="minorBidi" w:cs="Arial"/>
          <w:rtl/>
        </w:rPr>
        <w:t>, דאמרינן: אימר לא אמרו ליה, דאמרי אשכחינהו שליחא דב"ד ואמר ליה</w:t>
      </w:r>
      <w:r w:rsidR="0056499E">
        <w:rPr>
          <w:rStyle w:val="ab"/>
          <w:rFonts w:asciiTheme="minorBidi" w:hAnsiTheme="minorBidi" w:cs="Arial"/>
          <w:rtl/>
        </w:rPr>
        <w:footnoteReference w:id="553"/>
      </w:r>
      <w:r w:rsidRPr="00E842BA">
        <w:rPr>
          <w:rFonts w:asciiTheme="minorBidi" w:hAnsiTheme="minorBidi" w:cs="Arial"/>
          <w:rtl/>
        </w:rPr>
        <w:t>. ולא אמרן אלא דלא חליף אבבא דבי דינא</w:t>
      </w:r>
      <w:r w:rsidR="0056499E">
        <w:rPr>
          <w:rStyle w:val="ab"/>
          <w:rFonts w:asciiTheme="minorBidi" w:hAnsiTheme="minorBidi" w:cs="Arial"/>
          <w:rtl/>
        </w:rPr>
        <w:footnoteReference w:id="554"/>
      </w:r>
      <w:r w:rsidRPr="00E842BA">
        <w:rPr>
          <w:rFonts w:asciiTheme="minorBidi" w:hAnsiTheme="minorBidi" w:cs="Arial"/>
          <w:rtl/>
        </w:rPr>
        <w:t>, אבל חליף אבבא דבי דינא לא, אמרי: אשכחוה בי דינא ואמרי ליה. ולא אמרן אלא דאתי ביומיה, אבל לא אתי ביומיה לא, אימא: אישתלויי אשתלי</w:t>
      </w:r>
      <w:r w:rsidR="0056499E">
        <w:rPr>
          <w:rStyle w:val="ab"/>
          <w:rFonts w:asciiTheme="minorBidi" w:hAnsiTheme="minorBidi" w:cs="Arial"/>
          <w:rtl/>
        </w:rPr>
        <w:footnoteReference w:id="555"/>
      </w:r>
      <w:r w:rsidRPr="00E842BA">
        <w:rPr>
          <w:rFonts w:asciiTheme="minorBidi" w:hAnsiTheme="minorBidi" w:cs="Arial"/>
          <w:rtl/>
        </w:rPr>
        <w:t>.</w:t>
      </w:r>
      <w:r w:rsidR="0056499E">
        <w:rPr>
          <w:rFonts w:asciiTheme="minorBidi" w:hAnsiTheme="minorBidi" w:hint="cs"/>
          <w:sz w:val="16"/>
          <w:szCs w:val="16"/>
          <w:rtl/>
        </w:rPr>
        <w:t xml:space="preserve"> </w:t>
      </w:r>
    </w:p>
    <w:p w14:paraId="632BAA65" w14:textId="77777777" w:rsidR="008D49BC" w:rsidRDefault="008D49BC" w:rsidP="0056499E">
      <w:pPr>
        <w:rPr>
          <w:rFonts w:asciiTheme="minorBidi" w:hAnsiTheme="minorBidi"/>
          <w:rtl/>
        </w:rPr>
      </w:pPr>
      <w:r w:rsidRPr="008D49BC">
        <w:rPr>
          <w:rFonts w:asciiTheme="minorBidi" w:hAnsiTheme="minorBidi" w:hint="cs"/>
          <w:u w:val="single"/>
          <w:rtl/>
        </w:rPr>
        <w:t>זימון על פי אשה ושכנים:</w:t>
      </w:r>
      <w:r>
        <w:rPr>
          <w:rFonts w:asciiTheme="minorBidi" w:hAnsiTheme="minorBidi" w:hint="cs"/>
          <w:rtl/>
        </w:rPr>
        <w:t xml:space="preserve"> </w:t>
      </w:r>
    </w:p>
    <w:p w14:paraId="1D34D5D6" w14:textId="77777777" w:rsidR="008D49BC" w:rsidRPr="008D49BC" w:rsidRDefault="00887674" w:rsidP="00C704CB">
      <w:pPr>
        <w:pStyle w:val="ac"/>
        <w:numPr>
          <w:ilvl w:val="0"/>
          <w:numId w:val="6"/>
        </w:numPr>
        <w:rPr>
          <w:rFonts w:asciiTheme="minorBidi" w:hAnsiTheme="minorBidi"/>
          <w:rtl/>
        </w:rPr>
      </w:pPr>
      <w:r w:rsidRPr="008D49BC">
        <w:rPr>
          <w:rFonts w:asciiTheme="minorBidi" w:hAnsiTheme="minorBidi"/>
          <w:rtl/>
        </w:rPr>
        <w:t xml:space="preserve">רמב"ם </w:t>
      </w:r>
      <w:r w:rsidR="0056499E" w:rsidRPr="008D49BC">
        <w:rPr>
          <w:rFonts w:asciiTheme="minorBidi" w:hAnsiTheme="minorBidi" w:hint="cs"/>
          <w:sz w:val="16"/>
          <w:szCs w:val="16"/>
          <w:rtl/>
        </w:rPr>
        <w:t>(</w:t>
      </w:r>
      <w:r w:rsidRPr="008D49BC">
        <w:rPr>
          <w:rFonts w:asciiTheme="minorBidi" w:hAnsiTheme="minorBidi"/>
          <w:sz w:val="16"/>
          <w:szCs w:val="16"/>
          <w:rtl/>
        </w:rPr>
        <w:t>פכ"ה מהל</w:t>
      </w:r>
      <w:r w:rsidR="0056499E" w:rsidRPr="008D49BC">
        <w:rPr>
          <w:rFonts w:asciiTheme="minorBidi" w:hAnsiTheme="minorBidi" w:hint="cs"/>
          <w:sz w:val="16"/>
          <w:szCs w:val="16"/>
          <w:rtl/>
        </w:rPr>
        <w:t>'</w:t>
      </w:r>
      <w:r w:rsidRPr="008D49BC">
        <w:rPr>
          <w:rFonts w:asciiTheme="minorBidi" w:hAnsiTheme="minorBidi"/>
          <w:sz w:val="16"/>
          <w:szCs w:val="16"/>
          <w:rtl/>
        </w:rPr>
        <w:t xml:space="preserve"> סנהדרין ה"י)</w:t>
      </w:r>
      <w:r w:rsidR="0056499E" w:rsidRPr="008D49BC">
        <w:rPr>
          <w:rFonts w:asciiTheme="minorBidi" w:hAnsiTheme="minorBidi" w:hint="cs"/>
          <w:rtl/>
        </w:rPr>
        <w:t>-</w:t>
      </w:r>
      <w:r w:rsidRPr="008D49BC">
        <w:rPr>
          <w:rFonts w:asciiTheme="minorBidi" w:hAnsiTheme="minorBidi"/>
          <w:rtl/>
        </w:rPr>
        <w:t xml:space="preserve"> </w:t>
      </w:r>
      <w:r w:rsidR="0056499E" w:rsidRPr="008D49BC">
        <w:rPr>
          <w:rFonts w:asciiTheme="minorBidi" w:hAnsiTheme="minorBidi" w:cs="Arial"/>
          <w:rtl/>
        </w:rPr>
        <w:t xml:space="preserve">מי שהוא במדינה והלך שליח בית דין ולא מצאו </w:t>
      </w:r>
      <w:r w:rsidR="00202F3B">
        <w:rPr>
          <w:rFonts w:asciiTheme="minorBidi" w:hAnsiTheme="minorBidi" w:cs="Arial" w:hint="cs"/>
          <w:rtl/>
        </w:rPr>
        <w:t xml:space="preserve">- </w:t>
      </w:r>
      <w:r w:rsidR="0056499E" w:rsidRPr="008D49BC">
        <w:rPr>
          <w:rFonts w:asciiTheme="minorBidi" w:hAnsiTheme="minorBidi" w:cs="Arial"/>
          <w:rtl/>
        </w:rPr>
        <w:t>אין קובעין לו זמן עד שימצא אותו השליח ויאמר לו</w:t>
      </w:r>
      <w:r w:rsidR="0056499E" w:rsidRPr="008D49BC">
        <w:rPr>
          <w:rFonts w:asciiTheme="minorBidi" w:hAnsiTheme="minorBidi" w:cs="Arial" w:hint="cs"/>
          <w:rtl/>
        </w:rPr>
        <w:t>.</w:t>
      </w:r>
      <w:r w:rsidR="0056499E" w:rsidRPr="008D49BC">
        <w:rPr>
          <w:rFonts w:asciiTheme="minorBidi" w:hAnsiTheme="minorBidi" w:cs="Arial"/>
          <w:rtl/>
        </w:rPr>
        <w:t xml:space="preserve"> היה בכפר חוץ למדינה</w:t>
      </w:r>
      <w:r w:rsidR="00202F3B">
        <w:rPr>
          <w:rFonts w:asciiTheme="minorBidi" w:hAnsiTheme="minorBidi" w:cs="Arial" w:hint="cs"/>
          <w:rtl/>
        </w:rPr>
        <w:t>,</w:t>
      </w:r>
      <w:r w:rsidR="0056499E" w:rsidRPr="008D49BC">
        <w:rPr>
          <w:rFonts w:asciiTheme="minorBidi" w:hAnsiTheme="minorBidi" w:cs="Arial"/>
          <w:rtl/>
        </w:rPr>
        <w:t xml:space="preserve"> אם דרכו לבוא באותו היום </w:t>
      </w:r>
      <w:r w:rsidR="00202F3B">
        <w:rPr>
          <w:rFonts w:asciiTheme="minorBidi" w:hAnsiTheme="minorBidi" w:cs="Arial" w:hint="cs"/>
          <w:rtl/>
        </w:rPr>
        <w:t xml:space="preserve">- </w:t>
      </w:r>
      <w:r w:rsidR="0056499E" w:rsidRPr="008D49BC">
        <w:rPr>
          <w:rFonts w:asciiTheme="minorBidi" w:hAnsiTheme="minorBidi" w:cs="Arial"/>
          <w:rtl/>
        </w:rPr>
        <w:t xml:space="preserve">אומר השליח אפילו לאחד מן השכנים אפילו לאשה </w:t>
      </w:r>
      <w:r w:rsidR="00202F3B">
        <w:rPr>
          <w:rFonts w:asciiTheme="minorBidi" w:hAnsiTheme="minorBidi" w:cs="Arial" w:hint="cs"/>
          <w:rtl/>
        </w:rPr>
        <w:t>'</w:t>
      </w:r>
      <w:r w:rsidR="0056499E" w:rsidRPr="008D49BC">
        <w:rPr>
          <w:rFonts w:asciiTheme="minorBidi" w:hAnsiTheme="minorBidi" w:cs="Arial"/>
          <w:rtl/>
        </w:rPr>
        <w:t>אם יבא פלוני הודיעוהו שבית דין קבעו לו זמן שיבוא לבית דין</w:t>
      </w:r>
      <w:r w:rsidR="00202F3B">
        <w:rPr>
          <w:rFonts w:asciiTheme="minorBidi" w:hAnsiTheme="minorBidi" w:cs="Arial" w:hint="cs"/>
          <w:rtl/>
        </w:rPr>
        <w:t>'</w:t>
      </w:r>
      <w:r w:rsidR="0056499E" w:rsidRPr="008D49BC">
        <w:rPr>
          <w:rFonts w:asciiTheme="minorBidi" w:hAnsiTheme="minorBidi" w:cs="Arial"/>
          <w:rtl/>
        </w:rPr>
        <w:t xml:space="preserve">, ואם לא בא </w:t>
      </w:r>
      <w:r w:rsidR="00202F3B">
        <w:rPr>
          <w:rFonts w:asciiTheme="minorBidi" w:hAnsiTheme="minorBidi" w:cs="Arial" w:hint="cs"/>
          <w:rtl/>
        </w:rPr>
        <w:t xml:space="preserve">- </w:t>
      </w:r>
      <w:r w:rsidR="0056499E" w:rsidRPr="008D49BC">
        <w:rPr>
          <w:rFonts w:asciiTheme="minorBidi" w:hAnsiTheme="minorBidi" w:cs="Arial"/>
          <w:rtl/>
        </w:rPr>
        <w:t>מנדין אותו לערב</w:t>
      </w:r>
      <w:r w:rsidR="00202F3B">
        <w:rPr>
          <w:rFonts w:asciiTheme="minorBidi" w:hAnsiTheme="minorBidi" w:cs="Arial" w:hint="cs"/>
          <w:rtl/>
        </w:rPr>
        <w:t>.</w:t>
      </w:r>
      <w:r w:rsidR="0056499E" w:rsidRPr="008D49BC">
        <w:rPr>
          <w:rFonts w:asciiTheme="minorBidi" w:hAnsiTheme="minorBidi" w:cs="Arial"/>
          <w:rtl/>
        </w:rPr>
        <w:t xml:space="preserve"> במה דברים אמורים</w:t>
      </w:r>
      <w:r w:rsidR="00202F3B">
        <w:rPr>
          <w:rFonts w:asciiTheme="minorBidi" w:hAnsiTheme="minorBidi" w:cs="Arial" w:hint="cs"/>
          <w:rtl/>
        </w:rPr>
        <w:t>,</w:t>
      </w:r>
      <w:r w:rsidR="0056499E" w:rsidRPr="008D49BC">
        <w:rPr>
          <w:rFonts w:asciiTheme="minorBidi" w:hAnsiTheme="minorBidi" w:cs="Arial"/>
          <w:rtl/>
        </w:rPr>
        <w:t xml:space="preserve"> כשאין הדרך שדרכו לילך בה על מקום בית דין</w:t>
      </w:r>
      <w:r w:rsidR="00202F3B">
        <w:rPr>
          <w:rFonts w:asciiTheme="minorBidi" w:hAnsiTheme="minorBidi" w:cs="Arial" w:hint="cs"/>
          <w:rtl/>
        </w:rPr>
        <w:t>,</w:t>
      </w:r>
      <w:r w:rsidR="0056499E" w:rsidRPr="008D49BC">
        <w:rPr>
          <w:rFonts w:asciiTheme="minorBidi" w:hAnsiTheme="minorBidi" w:cs="Arial"/>
          <w:rtl/>
        </w:rPr>
        <w:t xml:space="preserve"> אבל אם דרכו עליהן </w:t>
      </w:r>
      <w:r w:rsidR="00202F3B">
        <w:rPr>
          <w:rFonts w:asciiTheme="minorBidi" w:hAnsiTheme="minorBidi" w:cs="Arial" w:hint="cs"/>
          <w:rtl/>
        </w:rPr>
        <w:t xml:space="preserve">- </w:t>
      </w:r>
      <w:r w:rsidR="0056499E" w:rsidRPr="008D49BC">
        <w:rPr>
          <w:rFonts w:asciiTheme="minorBidi" w:hAnsiTheme="minorBidi" w:cs="Arial"/>
          <w:rtl/>
        </w:rPr>
        <w:t>אין מנדין אותו עד שיודיעו השליח בעצמו שמא לא אמרו לו השכנים, שהרי הם אומרין דרכו על פתח בית דין וכבר הלך אליהם ונפטר</w:t>
      </w:r>
      <w:r w:rsidR="00202F3B">
        <w:rPr>
          <w:rFonts w:asciiTheme="minorBidi" w:hAnsiTheme="minorBidi" w:cs="Arial" w:hint="cs"/>
          <w:rtl/>
        </w:rPr>
        <w:t>.</w:t>
      </w:r>
      <w:r w:rsidR="0056499E" w:rsidRPr="008D49BC">
        <w:rPr>
          <w:rFonts w:asciiTheme="minorBidi" w:hAnsiTheme="minorBidi" w:cs="Arial"/>
          <w:rtl/>
        </w:rPr>
        <w:t xml:space="preserve"> וכן אם לא בא במדינה עד למחר אין סומכין על השכנים שמא שכחו ולא אמרו לו</w:t>
      </w:r>
      <w:r w:rsidR="0056499E" w:rsidRPr="008D49BC">
        <w:rPr>
          <w:rFonts w:asciiTheme="minorBidi" w:hAnsiTheme="minorBidi" w:hint="cs"/>
          <w:rtl/>
        </w:rPr>
        <w:t xml:space="preserve">. </w:t>
      </w:r>
      <w:r w:rsidR="008D49BC" w:rsidRPr="008D49BC">
        <w:rPr>
          <w:rFonts w:asciiTheme="minorBidi" w:hAnsiTheme="minorBidi" w:hint="cs"/>
          <w:color w:val="E36C0A" w:themeColor="accent6" w:themeShade="BF"/>
          <w:rtl/>
        </w:rPr>
        <w:t>(</w:t>
      </w:r>
      <w:r w:rsidR="0056499E" w:rsidRPr="008D49BC">
        <w:rPr>
          <w:rFonts w:asciiTheme="minorBidi" w:hAnsiTheme="minorBidi" w:hint="cs"/>
          <w:color w:val="E36C0A" w:themeColor="accent6" w:themeShade="BF"/>
          <w:rtl/>
        </w:rPr>
        <w:t>וכ"פ בשו"ע</w:t>
      </w:r>
      <w:r w:rsidR="008D49BC" w:rsidRPr="008D49BC">
        <w:rPr>
          <w:rFonts w:asciiTheme="minorBidi" w:hAnsiTheme="minorBidi" w:hint="cs"/>
          <w:color w:val="E36C0A" w:themeColor="accent6" w:themeShade="BF"/>
          <w:rtl/>
        </w:rPr>
        <w:t>)</w:t>
      </w:r>
      <w:r w:rsidR="0056499E" w:rsidRPr="008D49BC">
        <w:rPr>
          <w:rFonts w:asciiTheme="minorBidi" w:hAnsiTheme="minorBidi"/>
          <w:rtl/>
        </w:rPr>
        <w:t xml:space="preserve"> </w:t>
      </w:r>
    </w:p>
    <w:p w14:paraId="0EFC30DC" w14:textId="77777777" w:rsidR="008D49BC" w:rsidRPr="008D49BC" w:rsidRDefault="008D49BC" w:rsidP="00C704CB">
      <w:pPr>
        <w:pStyle w:val="ac"/>
        <w:numPr>
          <w:ilvl w:val="0"/>
          <w:numId w:val="6"/>
        </w:numPr>
        <w:rPr>
          <w:rFonts w:asciiTheme="minorBidi" w:hAnsiTheme="minorBidi"/>
          <w:rtl/>
        </w:rPr>
      </w:pPr>
      <w:r w:rsidRPr="008D49BC">
        <w:rPr>
          <w:rFonts w:asciiTheme="minorBidi" w:hAnsiTheme="minorBidi"/>
          <w:rtl/>
        </w:rPr>
        <w:t>רא"ש</w:t>
      </w:r>
      <w:r w:rsidRPr="0074361B">
        <w:rPr>
          <w:rFonts w:asciiTheme="minorBidi" w:hAnsiTheme="minorBidi"/>
          <w:sz w:val="16"/>
          <w:szCs w:val="16"/>
          <w:rtl/>
        </w:rPr>
        <w:t xml:space="preserve"> (סי' ז)</w:t>
      </w:r>
      <w:r>
        <w:rPr>
          <w:rFonts w:asciiTheme="minorBidi" w:hAnsiTheme="minorBidi" w:hint="cs"/>
          <w:rtl/>
        </w:rPr>
        <w:t xml:space="preserve"> ו</w:t>
      </w:r>
      <w:r w:rsidRPr="008D49BC">
        <w:rPr>
          <w:rFonts w:asciiTheme="minorBidi" w:hAnsiTheme="minorBidi" w:hint="cs"/>
          <w:rtl/>
        </w:rPr>
        <w:t>טור-</w:t>
      </w:r>
      <w:r w:rsidRPr="008D49BC">
        <w:rPr>
          <w:rFonts w:asciiTheme="minorBidi" w:hAnsiTheme="minorBidi"/>
          <w:rtl/>
        </w:rPr>
        <w:t xml:space="preserve"> מזמינים על פי אשה ושכנים ההולכין לפי תומן אצל הנתבע </w:t>
      </w:r>
      <w:r>
        <w:rPr>
          <w:rFonts w:asciiTheme="minorBidi" w:hAnsiTheme="minorBidi" w:hint="cs"/>
          <w:rtl/>
        </w:rPr>
        <w:t>אע"פ</w:t>
      </w:r>
      <w:r w:rsidRPr="008D49BC">
        <w:rPr>
          <w:rFonts w:asciiTheme="minorBidi" w:hAnsiTheme="minorBidi"/>
          <w:rtl/>
        </w:rPr>
        <w:t xml:space="preserve"> שאינם שלוחים לשם כך אלא אומרים להם </w:t>
      </w:r>
      <w:r w:rsidR="00202F3B">
        <w:rPr>
          <w:rFonts w:asciiTheme="minorBidi" w:hAnsiTheme="minorBidi" w:hint="cs"/>
          <w:rtl/>
        </w:rPr>
        <w:t>'</w:t>
      </w:r>
      <w:r w:rsidRPr="008D49BC">
        <w:rPr>
          <w:rFonts w:asciiTheme="minorBidi" w:hAnsiTheme="minorBidi"/>
          <w:rtl/>
        </w:rPr>
        <w:t>לפי דרכך שאתה הולך אצל פלוני הזמינו לדין שיבא</w:t>
      </w:r>
      <w:r w:rsidR="00202F3B">
        <w:rPr>
          <w:rFonts w:asciiTheme="minorBidi" w:hAnsiTheme="minorBidi" w:hint="cs"/>
          <w:rtl/>
        </w:rPr>
        <w:t>',</w:t>
      </w:r>
      <w:r w:rsidRPr="008D49BC">
        <w:rPr>
          <w:rFonts w:asciiTheme="minorBidi" w:hAnsiTheme="minorBidi"/>
          <w:rtl/>
        </w:rPr>
        <w:t xml:space="preserve"> וסומכין עליהם שיעשו שליחותם</w:t>
      </w:r>
      <w:r w:rsidR="00202F3B">
        <w:rPr>
          <w:rFonts w:asciiTheme="minorBidi" w:hAnsiTheme="minorBidi" w:hint="cs"/>
          <w:rtl/>
        </w:rPr>
        <w:t>,</w:t>
      </w:r>
      <w:r w:rsidRPr="008D49BC">
        <w:rPr>
          <w:rFonts w:asciiTheme="minorBidi" w:hAnsiTheme="minorBidi"/>
          <w:rtl/>
        </w:rPr>
        <w:t xml:space="preserve"> ומנדין אותו אם לא בא</w:t>
      </w:r>
      <w:r w:rsidR="00202F3B">
        <w:rPr>
          <w:rFonts w:asciiTheme="minorBidi" w:hAnsiTheme="minorBidi" w:hint="cs"/>
          <w:rtl/>
        </w:rPr>
        <w:t>,</w:t>
      </w:r>
      <w:r w:rsidRPr="008D49BC">
        <w:rPr>
          <w:rFonts w:asciiTheme="minorBidi" w:hAnsiTheme="minorBidi"/>
          <w:rtl/>
        </w:rPr>
        <w:t xml:space="preserve"> וכ"ש ע"פ שליח ב"ד אע</w:t>
      </w:r>
      <w:r>
        <w:rPr>
          <w:rFonts w:asciiTheme="minorBidi" w:hAnsiTheme="minorBidi" w:hint="cs"/>
          <w:rtl/>
        </w:rPr>
        <w:t>"</w:t>
      </w:r>
      <w:r w:rsidRPr="008D49BC">
        <w:rPr>
          <w:rFonts w:asciiTheme="minorBidi" w:hAnsiTheme="minorBidi"/>
          <w:rtl/>
        </w:rPr>
        <w:t>פ שלא חזר לומר עשיתי שליחותי</w:t>
      </w:r>
      <w:r w:rsidRPr="008D49BC">
        <w:rPr>
          <w:rFonts w:asciiTheme="minorBidi" w:hAnsiTheme="minorBidi" w:hint="cs"/>
          <w:rtl/>
        </w:rPr>
        <w:t>.</w:t>
      </w:r>
      <w:r w:rsidRPr="008D49BC">
        <w:rPr>
          <w:rFonts w:asciiTheme="minorBidi" w:hAnsiTheme="minorBidi"/>
          <w:rtl/>
        </w:rPr>
        <w:t xml:space="preserve"> בד"א שסומכין ע"פ נשים ושכנים </w:t>
      </w:r>
      <w:r w:rsidR="00202F3B">
        <w:rPr>
          <w:rFonts w:asciiTheme="minorBidi" w:hAnsiTheme="minorBidi" w:hint="cs"/>
          <w:rtl/>
        </w:rPr>
        <w:t xml:space="preserve">- </w:t>
      </w:r>
      <w:r w:rsidRPr="008D49BC">
        <w:rPr>
          <w:rFonts w:asciiTheme="minorBidi" w:hAnsiTheme="minorBidi"/>
          <w:rtl/>
        </w:rPr>
        <w:t>כשלא היה הנתבע בעיר ואמרו לאלו הודיעוהו לכשיבא שיבא לב"ד</w:t>
      </w:r>
      <w:r w:rsidRPr="008D49BC">
        <w:rPr>
          <w:rFonts w:asciiTheme="minorBidi" w:hAnsiTheme="minorBidi" w:hint="cs"/>
          <w:rtl/>
        </w:rPr>
        <w:t>,</w:t>
      </w:r>
      <w:r w:rsidRPr="008D49BC">
        <w:rPr>
          <w:rFonts w:asciiTheme="minorBidi" w:hAnsiTheme="minorBidi"/>
          <w:rtl/>
        </w:rPr>
        <w:t xml:space="preserve"> אבל אם הוא בעיר </w:t>
      </w:r>
      <w:r w:rsidR="00202F3B">
        <w:rPr>
          <w:rFonts w:asciiTheme="minorBidi" w:hAnsiTheme="minorBidi" w:hint="cs"/>
          <w:rtl/>
        </w:rPr>
        <w:t xml:space="preserve">- </w:t>
      </w:r>
      <w:r w:rsidRPr="008D49BC">
        <w:rPr>
          <w:rFonts w:asciiTheme="minorBidi" w:hAnsiTheme="minorBidi"/>
          <w:rtl/>
        </w:rPr>
        <w:t>אין סומכין עליהם</w:t>
      </w:r>
      <w:r w:rsidR="00202F3B">
        <w:rPr>
          <w:rFonts w:asciiTheme="minorBidi" w:hAnsiTheme="minorBidi" w:hint="cs"/>
          <w:rtl/>
        </w:rPr>
        <w:t>,</w:t>
      </w:r>
      <w:r w:rsidRPr="008D49BC">
        <w:rPr>
          <w:rFonts w:asciiTheme="minorBidi" w:hAnsiTheme="minorBidi"/>
          <w:rtl/>
        </w:rPr>
        <w:t xml:space="preserve"> שמא יאמרו בלבם שמא כבר מצאוהו ואמרו לו</w:t>
      </w:r>
      <w:r w:rsidRPr="008D49BC">
        <w:rPr>
          <w:rFonts w:asciiTheme="minorBidi" w:hAnsiTheme="minorBidi" w:hint="cs"/>
          <w:rtl/>
        </w:rPr>
        <w:t>.</w:t>
      </w:r>
      <w:r w:rsidRPr="008D49BC">
        <w:rPr>
          <w:rFonts w:asciiTheme="minorBidi" w:hAnsiTheme="minorBidi"/>
          <w:rtl/>
        </w:rPr>
        <w:t xml:space="preserve"> ואפי' אינו בעיר</w:t>
      </w:r>
      <w:r w:rsidR="00202F3B">
        <w:rPr>
          <w:rFonts w:asciiTheme="minorBidi" w:hAnsiTheme="minorBidi" w:hint="cs"/>
          <w:rtl/>
        </w:rPr>
        <w:t>,</w:t>
      </w:r>
      <w:r w:rsidRPr="008D49BC">
        <w:rPr>
          <w:rFonts w:asciiTheme="minorBidi" w:hAnsiTheme="minorBidi"/>
          <w:rtl/>
        </w:rPr>
        <w:t xml:space="preserve"> דוקא כשיש לו לבא בו ביום ואין דרכו עוברת על פתח ב"ד</w:t>
      </w:r>
      <w:r w:rsidRPr="008D49BC">
        <w:rPr>
          <w:rFonts w:asciiTheme="minorBidi" w:hAnsiTheme="minorBidi" w:hint="cs"/>
          <w:rtl/>
        </w:rPr>
        <w:t>,</w:t>
      </w:r>
      <w:r w:rsidRPr="008D49BC">
        <w:rPr>
          <w:rFonts w:asciiTheme="minorBidi" w:hAnsiTheme="minorBidi"/>
          <w:rtl/>
        </w:rPr>
        <w:t xml:space="preserve"> אבל אם אין לו לבא בו ביום </w:t>
      </w:r>
      <w:r w:rsidR="00202F3B">
        <w:rPr>
          <w:rFonts w:asciiTheme="minorBidi" w:hAnsiTheme="minorBidi" w:hint="cs"/>
          <w:rtl/>
        </w:rPr>
        <w:t xml:space="preserve">- </w:t>
      </w:r>
      <w:r w:rsidRPr="008D49BC">
        <w:rPr>
          <w:rFonts w:asciiTheme="minorBidi" w:hAnsiTheme="minorBidi"/>
          <w:rtl/>
        </w:rPr>
        <w:t>לא</w:t>
      </w:r>
      <w:r w:rsidRPr="008D49BC">
        <w:rPr>
          <w:rFonts w:asciiTheme="minorBidi" w:hAnsiTheme="minorBidi" w:hint="cs"/>
          <w:rtl/>
        </w:rPr>
        <w:t>,</w:t>
      </w:r>
      <w:r w:rsidRPr="008D49BC">
        <w:rPr>
          <w:rFonts w:asciiTheme="minorBidi" w:hAnsiTheme="minorBidi"/>
          <w:rtl/>
        </w:rPr>
        <w:t xml:space="preserve"> שמא שכחו מלומר לו</w:t>
      </w:r>
      <w:r w:rsidRPr="008D49BC">
        <w:rPr>
          <w:rFonts w:asciiTheme="minorBidi" w:hAnsiTheme="minorBidi" w:hint="cs"/>
          <w:rtl/>
        </w:rPr>
        <w:t>.</w:t>
      </w:r>
      <w:r w:rsidRPr="008D49BC">
        <w:rPr>
          <w:rFonts w:asciiTheme="minorBidi" w:hAnsiTheme="minorBidi"/>
          <w:rtl/>
        </w:rPr>
        <w:t xml:space="preserve"> ואם דרכו עוברת על פתח ב"ד אין סומכים עליהם</w:t>
      </w:r>
      <w:r w:rsidR="00202F3B">
        <w:rPr>
          <w:rFonts w:asciiTheme="minorBidi" w:hAnsiTheme="minorBidi" w:hint="cs"/>
          <w:rtl/>
        </w:rPr>
        <w:t>,</w:t>
      </w:r>
      <w:r w:rsidRPr="008D49BC">
        <w:rPr>
          <w:rFonts w:asciiTheme="minorBidi" w:hAnsiTheme="minorBidi"/>
          <w:rtl/>
        </w:rPr>
        <w:t xml:space="preserve"> שיאמרו שמא בעוברו על פתח ב"ד אמרו לו</w:t>
      </w:r>
      <w:r>
        <w:rPr>
          <w:rFonts w:asciiTheme="minorBidi" w:hAnsiTheme="minorBidi" w:hint="cs"/>
          <w:sz w:val="16"/>
          <w:szCs w:val="16"/>
          <w:rtl/>
        </w:rPr>
        <w:t xml:space="preserve"> (ל' הטור)</w:t>
      </w:r>
      <w:r w:rsidRPr="008D49BC">
        <w:rPr>
          <w:rFonts w:asciiTheme="minorBidi" w:hAnsiTheme="minorBidi" w:hint="cs"/>
          <w:rtl/>
        </w:rPr>
        <w:t>.</w:t>
      </w:r>
      <w:r w:rsidRPr="008D49BC">
        <w:rPr>
          <w:rFonts w:asciiTheme="minorBidi" w:hAnsiTheme="minorBidi"/>
          <w:rtl/>
        </w:rPr>
        <w:t xml:space="preserve"> </w:t>
      </w:r>
      <w:r>
        <w:rPr>
          <w:rFonts w:asciiTheme="minorBidi" w:hAnsiTheme="minorBidi" w:hint="cs"/>
          <w:color w:val="00B0F0"/>
          <w:rtl/>
        </w:rPr>
        <w:t>(</w:t>
      </w:r>
      <w:r w:rsidRPr="008D49BC">
        <w:rPr>
          <w:rFonts w:asciiTheme="minorBidi" w:hAnsiTheme="minorBidi" w:hint="cs"/>
          <w:color w:val="00B0F0"/>
          <w:rtl/>
        </w:rPr>
        <w:t>וכ"פ הרמ"א</w:t>
      </w:r>
      <w:r>
        <w:rPr>
          <w:rFonts w:asciiTheme="minorBidi" w:hAnsiTheme="minorBidi" w:hint="cs"/>
          <w:color w:val="00B0F0"/>
          <w:rtl/>
        </w:rPr>
        <w:t>)</w:t>
      </w:r>
    </w:p>
    <w:p w14:paraId="7BEB31A6" w14:textId="77777777" w:rsidR="00E137BC" w:rsidRPr="00576D5C" w:rsidRDefault="00E137BC" w:rsidP="00576D5C">
      <w:pPr>
        <w:rPr>
          <w:rFonts w:asciiTheme="minorBidi" w:hAnsiTheme="minorBidi"/>
          <w:b/>
          <w:bCs/>
          <w:color w:val="000000"/>
          <w:sz w:val="28"/>
          <w:szCs w:val="28"/>
          <w:u w:val="single"/>
          <w:rtl/>
        </w:rPr>
      </w:pPr>
      <w:r w:rsidRPr="00576D5C">
        <w:rPr>
          <w:rFonts w:asciiTheme="minorBidi" w:hAnsiTheme="minorBidi"/>
          <w:b/>
          <w:bCs/>
          <w:color w:val="000000"/>
          <w:sz w:val="28"/>
          <w:szCs w:val="28"/>
          <w:u w:val="single"/>
          <w:rtl/>
        </w:rPr>
        <w:t>שו"ע:</w:t>
      </w:r>
    </w:p>
    <w:p w14:paraId="08DCA352" w14:textId="77777777" w:rsidR="00E137BC" w:rsidRDefault="00E137BC" w:rsidP="00576D5C">
      <w:pPr>
        <w:rPr>
          <w:rFonts w:asciiTheme="minorBidi" w:hAnsiTheme="minorBidi"/>
          <w:rtl/>
        </w:rPr>
      </w:pPr>
      <w:r w:rsidRPr="00576D5C">
        <w:rPr>
          <w:rFonts w:asciiTheme="minorBidi" w:hAnsiTheme="minorBidi"/>
          <w:rtl/>
        </w:rPr>
        <w:t xml:space="preserve">מי שהוא במדינה והלך שליח בית דין ולא מצאו, אין קובעים לו זמן עד שימצאנו השליח ויאמר לו. היה בכפר, אם דרכו לבא באותו היום, אומר השליח אפילו לאחד מהשכנים אפילו אשה אם יבא פלוני הודיעוהו שבית דין קבעו לו זמן שיבא היום לבית דין, ואם לא בא מנדין אותו לערב. </w:t>
      </w:r>
      <w:r w:rsidR="0056499E" w:rsidRPr="0056499E">
        <w:rPr>
          <w:rFonts w:asciiTheme="minorBidi" w:hAnsiTheme="minorBidi" w:hint="cs"/>
          <w:sz w:val="18"/>
          <w:szCs w:val="18"/>
          <w:rtl/>
        </w:rPr>
        <w:t xml:space="preserve">[הגה] </w:t>
      </w:r>
      <w:r w:rsidRPr="0056499E">
        <w:rPr>
          <w:rFonts w:asciiTheme="minorBidi" w:hAnsiTheme="minorBidi"/>
          <w:sz w:val="18"/>
          <w:szCs w:val="18"/>
          <w:rtl/>
        </w:rPr>
        <w:t>וכ"ש על פי שליח בית דין, אע</w:t>
      </w:r>
      <w:r w:rsidR="0056499E" w:rsidRPr="0056499E">
        <w:rPr>
          <w:rFonts w:asciiTheme="minorBidi" w:hAnsiTheme="minorBidi" w:hint="cs"/>
          <w:sz w:val="18"/>
          <w:szCs w:val="18"/>
          <w:rtl/>
        </w:rPr>
        <w:t>"</w:t>
      </w:r>
      <w:r w:rsidRPr="0056499E">
        <w:rPr>
          <w:rFonts w:asciiTheme="minorBidi" w:hAnsiTheme="minorBidi"/>
          <w:sz w:val="18"/>
          <w:szCs w:val="18"/>
          <w:rtl/>
        </w:rPr>
        <w:t>פ שלא חזר ואמר: עשיתי שליחותי</w:t>
      </w:r>
      <w:r w:rsidR="000C548A">
        <w:rPr>
          <w:rStyle w:val="ab"/>
          <w:rFonts w:asciiTheme="minorBidi" w:hAnsiTheme="minorBidi"/>
          <w:sz w:val="18"/>
          <w:szCs w:val="18"/>
          <w:rtl/>
        </w:rPr>
        <w:footnoteReference w:id="556"/>
      </w:r>
      <w:r w:rsidRPr="0056499E">
        <w:rPr>
          <w:rFonts w:asciiTheme="minorBidi" w:hAnsiTheme="minorBidi"/>
          <w:sz w:val="18"/>
          <w:szCs w:val="18"/>
          <w:rtl/>
        </w:rPr>
        <w:t xml:space="preserve"> (טור). </w:t>
      </w:r>
      <w:r w:rsidRPr="00576D5C">
        <w:rPr>
          <w:rFonts w:asciiTheme="minorBidi" w:hAnsiTheme="minorBidi"/>
          <w:rtl/>
        </w:rPr>
        <w:t xml:space="preserve">במה דברים אמורים, כשאין בדרך שדרכו לילך בה על מקום בית דין, אבל אם דרכו עליהם, אין מנדין אותו עד שיודיעו השליח בעצמו, שמא לא אמרו לו השכנים, שהרי הם אומרים: דרכו על פתח בית דין, וכבר הלך </w:t>
      </w:r>
      <w:r w:rsidR="007C720E">
        <w:rPr>
          <w:rFonts w:asciiTheme="minorBidi" w:hAnsiTheme="minorBidi" w:hint="cs"/>
          <w:rtl/>
        </w:rPr>
        <w:t>[</w:t>
      </w:r>
      <w:r w:rsidRPr="00576D5C">
        <w:rPr>
          <w:rFonts w:asciiTheme="minorBidi" w:hAnsiTheme="minorBidi"/>
          <w:rtl/>
        </w:rPr>
        <w:t>אליהם</w:t>
      </w:r>
      <w:r w:rsidR="007C720E">
        <w:rPr>
          <w:rStyle w:val="ab"/>
          <w:rFonts w:asciiTheme="minorBidi" w:hAnsiTheme="minorBidi"/>
          <w:rtl/>
        </w:rPr>
        <w:footnoteReference w:id="557"/>
      </w:r>
      <w:r w:rsidR="007C720E">
        <w:rPr>
          <w:rFonts w:asciiTheme="minorBidi" w:hAnsiTheme="minorBidi" w:hint="cs"/>
          <w:rtl/>
        </w:rPr>
        <w:t>]</w:t>
      </w:r>
      <w:r w:rsidRPr="00576D5C">
        <w:rPr>
          <w:rFonts w:asciiTheme="minorBidi" w:hAnsiTheme="minorBidi"/>
          <w:rtl/>
        </w:rPr>
        <w:t xml:space="preserve"> ונפטר. וכן אם לא בא במדינה עד למחר, אין סומכים על השכנים</w:t>
      </w:r>
      <w:r w:rsidR="000C548A">
        <w:rPr>
          <w:rStyle w:val="ab"/>
          <w:rFonts w:asciiTheme="minorBidi" w:hAnsiTheme="minorBidi"/>
          <w:rtl/>
        </w:rPr>
        <w:footnoteReference w:id="558"/>
      </w:r>
      <w:r w:rsidRPr="00576D5C">
        <w:rPr>
          <w:rFonts w:asciiTheme="minorBidi" w:hAnsiTheme="minorBidi"/>
          <w:rtl/>
        </w:rPr>
        <w:t xml:space="preserve">, שמא שכחו ולא אמרו לו. </w:t>
      </w:r>
      <w:r w:rsidRPr="0056499E">
        <w:rPr>
          <w:rFonts w:asciiTheme="minorBidi" w:hAnsiTheme="minorBidi"/>
          <w:sz w:val="18"/>
          <w:szCs w:val="18"/>
          <w:rtl/>
        </w:rPr>
        <w:t>הגה: וכן אם היה בעיר</w:t>
      </w:r>
      <w:r w:rsidR="000C548A">
        <w:rPr>
          <w:rStyle w:val="ab"/>
          <w:rFonts w:asciiTheme="minorBidi" w:hAnsiTheme="minorBidi"/>
          <w:sz w:val="18"/>
          <w:szCs w:val="18"/>
          <w:rtl/>
        </w:rPr>
        <w:footnoteReference w:id="559"/>
      </w:r>
      <w:r w:rsidRPr="0056499E">
        <w:rPr>
          <w:rFonts w:asciiTheme="minorBidi" w:hAnsiTheme="minorBidi"/>
          <w:sz w:val="18"/>
          <w:szCs w:val="18"/>
          <w:rtl/>
        </w:rPr>
        <w:t xml:space="preserve">, אין סומכין על השכנים, שיאמרו: שמא השליח ב"ד מצאו ואמר לו (טור). </w:t>
      </w:r>
    </w:p>
    <w:p w14:paraId="13723791" w14:textId="77777777" w:rsidR="008D49BC" w:rsidRPr="00576D5C" w:rsidRDefault="008D49BC" w:rsidP="00576D5C">
      <w:pPr>
        <w:rPr>
          <w:rFonts w:asciiTheme="minorBidi" w:hAnsiTheme="minorBidi"/>
          <w:rtl/>
        </w:rPr>
      </w:pPr>
    </w:p>
    <w:p w14:paraId="1FCA60B0" w14:textId="77777777" w:rsidR="00E137BC" w:rsidRDefault="00E137BC" w:rsidP="00E842BA">
      <w:pPr>
        <w:pStyle w:val="2"/>
        <w:rPr>
          <w:rtl/>
        </w:rPr>
      </w:pPr>
      <w:bookmarkStart w:id="79" w:name="_Toc24883571"/>
      <w:r w:rsidRPr="00576D5C">
        <w:rPr>
          <w:rtl/>
        </w:rPr>
        <w:t>סעיף ד</w:t>
      </w:r>
      <w:r w:rsidR="00887674" w:rsidRPr="00576D5C">
        <w:rPr>
          <w:rtl/>
        </w:rPr>
        <w:t>:</w:t>
      </w:r>
      <w:r w:rsidR="001A036C">
        <w:rPr>
          <w:rFonts w:hint="cs"/>
          <w:rtl/>
        </w:rPr>
        <w:t xml:space="preserve"> מי שכתבו עליו שטר שמתא</w:t>
      </w:r>
      <w:r w:rsidR="00406E8B">
        <w:rPr>
          <w:rFonts w:hint="cs"/>
          <w:rtl/>
        </w:rPr>
        <w:t xml:space="preserve"> ולאחמ"כ אמר שהוא חוזר בו</w:t>
      </w:r>
      <w:r w:rsidR="001A036C">
        <w:rPr>
          <w:rFonts w:hint="cs"/>
          <w:rtl/>
        </w:rPr>
        <w:t>.</w:t>
      </w:r>
      <w:bookmarkEnd w:id="79"/>
    </w:p>
    <w:p w14:paraId="31EBFD74" w14:textId="77777777" w:rsidR="0079223B" w:rsidRDefault="0079223B" w:rsidP="0079223B">
      <w:pPr>
        <w:rPr>
          <w:rFonts w:asciiTheme="minorBidi" w:hAnsiTheme="minorBidi"/>
          <w:color w:val="000000"/>
          <w:rtl/>
        </w:rPr>
      </w:pPr>
      <w:r w:rsidRPr="00576D5C">
        <w:rPr>
          <w:rFonts w:asciiTheme="minorBidi" w:hAnsiTheme="minorBidi"/>
          <w:b/>
          <w:bCs/>
          <w:color w:val="000000"/>
          <w:rtl/>
        </w:rPr>
        <w:t xml:space="preserve">בבא קמא </w:t>
      </w:r>
      <w:r w:rsidRPr="00576D5C">
        <w:rPr>
          <w:rFonts w:asciiTheme="minorBidi" w:hAnsiTheme="minorBidi"/>
          <w:b/>
          <w:bCs/>
          <w:color w:val="000000"/>
          <w:sz w:val="16"/>
          <w:szCs w:val="16"/>
          <w:rtl/>
        </w:rPr>
        <w:t xml:space="preserve">(פ' הגוזל בתרא) </w:t>
      </w:r>
      <w:r w:rsidRPr="00576D5C">
        <w:rPr>
          <w:rFonts w:asciiTheme="minorBidi" w:hAnsiTheme="minorBidi"/>
          <w:b/>
          <w:bCs/>
          <w:color w:val="000000"/>
          <w:rtl/>
        </w:rPr>
        <w:t>קיב</w:t>
      </w:r>
      <w:r>
        <w:rPr>
          <w:rStyle w:val="ab"/>
          <w:rFonts w:asciiTheme="minorBidi" w:hAnsiTheme="minorBidi"/>
          <w:b/>
          <w:bCs/>
          <w:color w:val="000000"/>
          <w:rtl/>
        </w:rPr>
        <w:footnoteReference w:id="560"/>
      </w:r>
      <w:r w:rsidRPr="00576D5C">
        <w:rPr>
          <w:rFonts w:asciiTheme="minorBidi" w:hAnsiTheme="minorBidi"/>
          <w:b/>
          <w:bCs/>
          <w:color w:val="000000"/>
          <w:rtl/>
        </w:rPr>
        <w:t xml:space="preserve"> ע"ב: </w:t>
      </w:r>
      <w:r w:rsidRPr="00576D5C">
        <w:rPr>
          <w:rFonts w:asciiTheme="minorBidi" w:hAnsiTheme="minorBidi"/>
          <w:color w:val="000000"/>
          <w:u w:val="single"/>
          <w:rtl/>
        </w:rPr>
        <w:t>אמר רבינא</w:t>
      </w:r>
      <w:r w:rsidRPr="00576D5C">
        <w:rPr>
          <w:rFonts w:asciiTheme="minorBidi" w:hAnsiTheme="minorBidi"/>
          <w:color w:val="000000"/>
          <w:rtl/>
        </w:rPr>
        <w:t>: האי שלוחא דרבנן מהימנינן ליה כבי תרי</w:t>
      </w:r>
      <w:r w:rsidRPr="00576D5C">
        <w:rPr>
          <w:rStyle w:val="ab"/>
          <w:rFonts w:asciiTheme="minorBidi" w:hAnsiTheme="minorBidi"/>
          <w:color w:val="000000"/>
          <w:rtl/>
        </w:rPr>
        <w:footnoteReference w:id="561"/>
      </w:r>
      <w:r w:rsidRPr="00576D5C">
        <w:rPr>
          <w:rFonts w:asciiTheme="minorBidi" w:hAnsiTheme="minorBidi"/>
          <w:color w:val="000000"/>
          <w:rtl/>
        </w:rPr>
        <w:t>. וה"מ לשמתא, אבל לפתיחא</w:t>
      </w:r>
      <w:r w:rsidRPr="00576D5C">
        <w:rPr>
          <w:rStyle w:val="ab"/>
          <w:rFonts w:asciiTheme="minorBidi" w:hAnsiTheme="minorBidi"/>
          <w:color w:val="000000"/>
          <w:rtl/>
        </w:rPr>
        <w:footnoteReference w:id="562"/>
      </w:r>
      <w:r w:rsidRPr="00576D5C">
        <w:rPr>
          <w:rFonts w:asciiTheme="minorBidi" w:hAnsiTheme="minorBidi"/>
          <w:color w:val="000000"/>
          <w:rtl/>
        </w:rPr>
        <w:t xml:space="preserve">, כיון דממונא קא מחסר ליה, דקא בעי ליה למיתב ליה זוזי לספרא - לא. </w:t>
      </w:r>
    </w:p>
    <w:p w14:paraId="456729DA" w14:textId="77777777" w:rsidR="00E77C9E" w:rsidRDefault="001A036C" w:rsidP="001A036C">
      <w:pPr>
        <w:rPr>
          <w:rFonts w:asciiTheme="minorBidi" w:hAnsiTheme="minorBidi" w:cs="Arial"/>
          <w:rtl/>
        </w:rPr>
      </w:pPr>
      <w:r w:rsidRPr="00576D5C">
        <w:rPr>
          <w:rFonts w:asciiTheme="minorBidi" w:hAnsiTheme="minorBidi"/>
          <w:b/>
          <w:bCs/>
          <w:rtl/>
        </w:rPr>
        <w:t xml:space="preserve">בבא קמא </w:t>
      </w:r>
      <w:r w:rsidRPr="00576D5C">
        <w:rPr>
          <w:rFonts w:asciiTheme="minorBidi" w:hAnsiTheme="minorBidi"/>
          <w:b/>
          <w:bCs/>
          <w:sz w:val="16"/>
          <w:szCs w:val="16"/>
          <w:rtl/>
        </w:rPr>
        <w:t>(פ' הגוזל בתרא)</w:t>
      </w:r>
      <w:r w:rsidRPr="00576D5C">
        <w:rPr>
          <w:rFonts w:asciiTheme="minorBidi" w:hAnsiTheme="minorBidi"/>
          <w:b/>
          <w:bCs/>
          <w:rtl/>
        </w:rPr>
        <w:t xml:space="preserve"> קי</w:t>
      </w:r>
      <w:r>
        <w:rPr>
          <w:rFonts w:asciiTheme="minorBidi" w:hAnsiTheme="minorBidi" w:hint="cs"/>
          <w:b/>
          <w:bCs/>
          <w:rtl/>
        </w:rPr>
        <w:t>ג</w:t>
      </w:r>
      <w:r w:rsidR="00E77C9E">
        <w:rPr>
          <w:rStyle w:val="ab"/>
          <w:rFonts w:asciiTheme="minorBidi" w:hAnsiTheme="minorBidi"/>
          <w:b/>
          <w:bCs/>
          <w:rtl/>
        </w:rPr>
        <w:footnoteReference w:id="563"/>
      </w:r>
      <w:r w:rsidRPr="00576D5C">
        <w:rPr>
          <w:rFonts w:asciiTheme="minorBidi" w:hAnsiTheme="minorBidi"/>
          <w:b/>
          <w:bCs/>
          <w:rtl/>
        </w:rPr>
        <w:t xml:space="preserve"> ע"</w:t>
      </w:r>
      <w:r>
        <w:rPr>
          <w:rFonts w:asciiTheme="minorBidi" w:hAnsiTheme="minorBidi" w:hint="cs"/>
          <w:b/>
          <w:bCs/>
          <w:rtl/>
        </w:rPr>
        <w:t>א</w:t>
      </w:r>
      <w:r w:rsidRPr="00576D5C">
        <w:rPr>
          <w:rFonts w:asciiTheme="minorBidi" w:hAnsiTheme="minorBidi"/>
          <w:b/>
          <w:bCs/>
          <w:rtl/>
        </w:rPr>
        <w:t>:</w:t>
      </w:r>
      <w:r w:rsidRPr="00576D5C">
        <w:rPr>
          <w:rFonts w:asciiTheme="minorBidi" w:hAnsiTheme="minorBidi"/>
          <w:rtl/>
        </w:rPr>
        <w:t xml:space="preserve"> </w:t>
      </w:r>
      <w:r w:rsidRPr="001A036C">
        <w:rPr>
          <w:rFonts w:asciiTheme="minorBidi" w:hAnsiTheme="minorBidi" w:cs="Arial"/>
          <w:u w:val="single"/>
          <w:rtl/>
        </w:rPr>
        <w:t>אמר רבא</w:t>
      </w:r>
      <w:r w:rsidRPr="001A036C">
        <w:rPr>
          <w:rFonts w:asciiTheme="minorBidi" w:hAnsiTheme="minorBidi" w:cs="Arial"/>
          <w:rtl/>
        </w:rPr>
        <w:t>: האי מאן דכתיב עליה פתיחא על דלא אתי לדינא - עד דאתי לדינא לא מקרעינן ליה</w:t>
      </w:r>
      <w:r>
        <w:rPr>
          <w:rStyle w:val="ab"/>
          <w:rFonts w:asciiTheme="minorBidi" w:hAnsiTheme="minorBidi" w:cs="Arial"/>
          <w:rtl/>
        </w:rPr>
        <w:footnoteReference w:id="564"/>
      </w:r>
      <w:r w:rsidR="001F52AA">
        <w:rPr>
          <w:rFonts w:asciiTheme="minorBidi" w:hAnsiTheme="minorBidi" w:cs="Arial" w:hint="cs"/>
          <w:rtl/>
        </w:rPr>
        <w:t>.</w:t>
      </w:r>
      <w:r w:rsidRPr="001A036C">
        <w:rPr>
          <w:rFonts w:asciiTheme="minorBidi" w:hAnsiTheme="minorBidi" w:cs="Arial"/>
          <w:rtl/>
        </w:rPr>
        <w:t xml:space="preserve"> על דלא ציית לדינא</w:t>
      </w:r>
      <w:r>
        <w:rPr>
          <w:rStyle w:val="ab"/>
          <w:rFonts w:asciiTheme="minorBidi" w:hAnsiTheme="minorBidi" w:cs="Arial"/>
          <w:rtl/>
        </w:rPr>
        <w:footnoteReference w:id="565"/>
      </w:r>
      <w:r w:rsidRPr="001A036C">
        <w:rPr>
          <w:rFonts w:asciiTheme="minorBidi" w:hAnsiTheme="minorBidi" w:cs="Arial"/>
          <w:rtl/>
        </w:rPr>
        <w:t xml:space="preserve"> - עד דציית</w:t>
      </w:r>
      <w:r>
        <w:rPr>
          <w:rStyle w:val="ab"/>
          <w:rFonts w:asciiTheme="minorBidi" w:hAnsiTheme="minorBidi" w:cs="Arial"/>
          <w:rtl/>
        </w:rPr>
        <w:footnoteReference w:id="566"/>
      </w:r>
      <w:r w:rsidRPr="001A036C">
        <w:rPr>
          <w:rFonts w:asciiTheme="minorBidi" w:hAnsiTheme="minorBidi" w:cs="Arial"/>
          <w:rtl/>
        </w:rPr>
        <w:t xml:space="preserve"> לא מקרעינן ליה</w:t>
      </w:r>
      <w:r>
        <w:rPr>
          <w:rStyle w:val="ab"/>
          <w:rFonts w:asciiTheme="minorBidi" w:hAnsiTheme="minorBidi" w:cs="Arial"/>
          <w:rtl/>
        </w:rPr>
        <w:footnoteReference w:id="567"/>
      </w:r>
      <w:r w:rsidRPr="001A036C">
        <w:rPr>
          <w:rFonts w:asciiTheme="minorBidi" w:hAnsiTheme="minorBidi" w:cs="Arial"/>
          <w:rtl/>
        </w:rPr>
        <w:t>. ולא היא, כיון דאמר צייתנא - קרעינן ליה</w:t>
      </w:r>
      <w:r>
        <w:rPr>
          <w:rStyle w:val="ab"/>
          <w:rFonts w:asciiTheme="minorBidi" w:hAnsiTheme="minorBidi" w:cs="Arial"/>
          <w:rtl/>
        </w:rPr>
        <w:footnoteReference w:id="568"/>
      </w:r>
      <w:r w:rsidRPr="001A036C">
        <w:rPr>
          <w:rFonts w:asciiTheme="minorBidi" w:hAnsiTheme="minorBidi" w:cs="Arial"/>
          <w:rtl/>
        </w:rPr>
        <w:t>.</w:t>
      </w:r>
    </w:p>
    <w:p w14:paraId="21BD5A74" w14:textId="77777777" w:rsidR="00E77C9E" w:rsidRPr="00E77C9E" w:rsidRDefault="00E77C9E" w:rsidP="001A036C">
      <w:pPr>
        <w:rPr>
          <w:rFonts w:asciiTheme="minorBidi" w:hAnsiTheme="minorBidi" w:cs="Arial"/>
          <w:sz w:val="16"/>
          <w:szCs w:val="16"/>
          <w:u w:val="single"/>
          <w:rtl/>
        </w:rPr>
      </w:pPr>
      <w:r>
        <w:rPr>
          <w:rFonts w:asciiTheme="minorBidi" w:hAnsiTheme="minorBidi" w:cs="Arial" w:hint="cs"/>
          <w:u w:val="single"/>
          <w:rtl/>
        </w:rPr>
        <w:t xml:space="preserve">אדם שבית דין נידוהו </w:t>
      </w:r>
      <w:r>
        <w:rPr>
          <w:rFonts w:asciiTheme="minorBidi" w:hAnsiTheme="minorBidi" w:cs="Arial" w:hint="cs"/>
          <w:sz w:val="16"/>
          <w:szCs w:val="16"/>
          <w:u w:val="single"/>
          <w:rtl/>
        </w:rPr>
        <w:t xml:space="preserve">(כיון דלא בא לב"ד או דלא ציית לדינא) </w:t>
      </w:r>
      <w:r>
        <w:rPr>
          <w:rFonts w:asciiTheme="minorBidi" w:hAnsiTheme="minorBidi" w:cs="Arial" w:hint="cs"/>
          <w:u w:val="single"/>
          <w:rtl/>
        </w:rPr>
        <w:t xml:space="preserve">- </w:t>
      </w:r>
      <w:r w:rsidRPr="00E77C9E">
        <w:rPr>
          <w:rFonts w:asciiTheme="minorBidi" w:hAnsiTheme="minorBidi" w:cs="Arial" w:hint="cs"/>
          <w:u w:val="single"/>
          <w:rtl/>
        </w:rPr>
        <w:t>מתי קורעים את הנדוי:</w:t>
      </w:r>
    </w:p>
    <w:p w14:paraId="7843C7D7" w14:textId="77777777" w:rsidR="00887674" w:rsidRPr="00E77C9E" w:rsidRDefault="008B3E6E" w:rsidP="004B0475">
      <w:pPr>
        <w:pStyle w:val="ac"/>
        <w:numPr>
          <w:ilvl w:val="0"/>
          <w:numId w:val="63"/>
        </w:numPr>
        <w:rPr>
          <w:rFonts w:asciiTheme="minorBidi" w:hAnsiTheme="minorBidi"/>
          <w:rtl/>
        </w:rPr>
      </w:pPr>
      <w:r>
        <w:rPr>
          <w:rFonts w:asciiTheme="minorBidi" w:hAnsiTheme="minorBidi" w:cs="Arial" w:hint="cs"/>
          <w:rtl/>
        </w:rPr>
        <w:t xml:space="preserve">רמב"ם </w:t>
      </w:r>
      <w:r>
        <w:rPr>
          <w:rFonts w:asciiTheme="minorBidi" w:hAnsiTheme="minorBidi" w:cs="Arial" w:hint="cs"/>
          <w:sz w:val="16"/>
          <w:szCs w:val="16"/>
          <w:rtl/>
        </w:rPr>
        <w:t>(פכ"ה ה"ח)</w:t>
      </w:r>
      <w:r>
        <w:rPr>
          <w:rFonts w:asciiTheme="minorBidi" w:hAnsiTheme="minorBidi" w:cs="Arial" w:hint="cs"/>
          <w:rtl/>
        </w:rPr>
        <w:t xml:space="preserve"> ו</w:t>
      </w:r>
      <w:r w:rsidR="001A036C" w:rsidRPr="00E77C9E">
        <w:rPr>
          <w:rFonts w:asciiTheme="minorBidi" w:hAnsiTheme="minorBidi" w:cs="Arial" w:hint="cs"/>
          <w:rtl/>
        </w:rPr>
        <w:t>טור-</w:t>
      </w:r>
      <w:r w:rsidR="001A036C" w:rsidRPr="00E77C9E">
        <w:rPr>
          <w:rFonts w:asciiTheme="minorBidi" w:hAnsiTheme="minorBidi"/>
          <w:rtl/>
        </w:rPr>
        <w:t xml:space="preserve"> מי שכתבו עליו נדוי על שלא בא אפילו אמר </w:t>
      </w:r>
      <w:r w:rsidR="00E77C9E">
        <w:rPr>
          <w:rFonts w:asciiTheme="minorBidi" w:hAnsiTheme="minorBidi" w:hint="cs"/>
          <w:rtl/>
        </w:rPr>
        <w:t>'</w:t>
      </w:r>
      <w:r w:rsidR="001A036C" w:rsidRPr="00E77C9E">
        <w:rPr>
          <w:rFonts w:asciiTheme="minorBidi" w:hAnsiTheme="minorBidi"/>
          <w:rtl/>
        </w:rPr>
        <w:t>אב</w:t>
      </w:r>
      <w:r w:rsidR="00E77C9E">
        <w:rPr>
          <w:rFonts w:asciiTheme="minorBidi" w:hAnsiTheme="minorBidi" w:hint="cs"/>
          <w:rtl/>
        </w:rPr>
        <w:t>ו</w:t>
      </w:r>
      <w:r w:rsidR="001A036C" w:rsidRPr="00E77C9E">
        <w:rPr>
          <w:rFonts w:asciiTheme="minorBidi" w:hAnsiTheme="minorBidi"/>
          <w:rtl/>
        </w:rPr>
        <w:t>א</w:t>
      </w:r>
      <w:r w:rsidR="00E77C9E">
        <w:rPr>
          <w:rFonts w:asciiTheme="minorBidi" w:hAnsiTheme="minorBidi" w:hint="cs"/>
          <w:rtl/>
        </w:rPr>
        <w:t>' -</w:t>
      </w:r>
      <w:r w:rsidR="001A036C" w:rsidRPr="00E77C9E">
        <w:rPr>
          <w:rFonts w:asciiTheme="minorBidi" w:hAnsiTheme="minorBidi"/>
          <w:rtl/>
        </w:rPr>
        <w:t xml:space="preserve"> אין קורעין הנדוי עד שיבא</w:t>
      </w:r>
      <w:r w:rsidR="00E77C9E">
        <w:rPr>
          <w:rFonts w:asciiTheme="minorBidi" w:hAnsiTheme="minorBidi" w:hint="cs"/>
          <w:rtl/>
        </w:rPr>
        <w:t>.</w:t>
      </w:r>
      <w:r w:rsidR="001A036C" w:rsidRPr="00E77C9E">
        <w:rPr>
          <w:rFonts w:asciiTheme="minorBidi" w:hAnsiTheme="minorBidi"/>
          <w:rtl/>
        </w:rPr>
        <w:t xml:space="preserve"> אבל מי שכתבו עליו נדוי על שהיה מסרב לעשות ציווי ב"ד</w:t>
      </w:r>
      <w:r w:rsidR="00E77C9E">
        <w:rPr>
          <w:rFonts w:asciiTheme="minorBidi" w:hAnsiTheme="minorBidi" w:hint="cs"/>
          <w:rtl/>
        </w:rPr>
        <w:t>,</w:t>
      </w:r>
      <w:r w:rsidR="001A036C" w:rsidRPr="00E77C9E">
        <w:rPr>
          <w:rFonts w:asciiTheme="minorBidi" w:hAnsiTheme="minorBidi"/>
          <w:rtl/>
        </w:rPr>
        <w:t xml:space="preserve"> מיד כשאומר הריני מקבל עלי לעשות צווי ב"ד </w:t>
      </w:r>
      <w:r w:rsidR="00E77C9E">
        <w:rPr>
          <w:rFonts w:asciiTheme="minorBidi" w:hAnsiTheme="minorBidi" w:hint="cs"/>
          <w:rtl/>
        </w:rPr>
        <w:t xml:space="preserve">- </w:t>
      </w:r>
      <w:r w:rsidR="001A036C" w:rsidRPr="00E77C9E">
        <w:rPr>
          <w:rFonts w:asciiTheme="minorBidi" w:hAnsiTheme="minorBidi"/>
          <w:rtl/>
        </w:rPr>
        <w:t>קורעים הנדוי</w:t>
      </w:r>
      <w:r w:rsidR="00E77C9E">
        <w:rPr>
          <w:rFonts w:asciiTheme="minorBidi" w:hAnsiTheme="minorBidi" w:hint="cs"/>
          <w:rtl/>
        </w:rPr>
        <w:t>.</w:t>
      </w:r>
      <w:r w:rsidR="001A036C" w:rsidRPr="00E77C9E">
        <w:rPr>
          <w:rFonts w:asciiTheme="minorBidi" w:hAnsiTheme="minorBidi"/>
          <w:rtl/>
        </w:rPr>
        <w:t xml:space="preserve"> והוא נותן שכר הסופר</w:t>
      </w:r>
      <w:r>
        <w:rPr>
          <w:rFonts w:asciiTheme="minorBidi" w:hAnsiTheme="minorBidi" w:hint="cs"/>
          <w:sz w:val="16"/>
          <w:szCs w:val="16"/>
          <w:rtl/>
        </w:rPr>
        <w:t xml:space="preserve"> (ל' הטור)</w:t>
      </w:r>
      <w:r w:rsidR="001A036C" w:rsidRPr="00E77C9E">
        <w:rPr>
          <w:rFonts w:asciiTheme="minorBidi" w:hAnsiTheme="minorBidi" w:hint="cs"/>
          <w:rtl/>
        </w:rPr>
        <w:t xml:space="preserve">. </w:t>
      </w:r>
      <w:r w:rsidR="00E77C9E">
        <w:rPr>
          <w:rFonts w:asciiTheme="minorBidi" w:hAnsiTheme="minorBidi" w:hint="cs"/>
          <w:color w:val="E36C0A" w:themeColor="accent6" w:themeShade="BF"/>
          <w:rtl/>
        </w:rPr>
        <w:t>(</w:t>
      </w:r>
      <w:r w:rsidR="001A036C" w:rsidRPr="00E77C9E">
        <w:rPr>
          <w:rFonts w:asciiTheme="minorBidi" w:hAnsiTheme="minorBidi" w:hint="cs"/>
          <w:color w:val="E36C0A" w:themeColor="accent6" w:themeShade="BF"/>
          <w:rtl/>
        </w:rPr>
        <w:t>וכ"פ בשו"ע</w:t>
      </w:r>
      <w:r w:rsidR="00E77C9E">
        <w:rPr>
          <w:rFonts w:asciiTheme="minorBidi" w:hAnsiTheme="minorBidi" w:hint="cs"/>
          <w:color w:val="E36C0A" w:themeColor="accent6" w:themeShade="BF"/>
          <w:rtl/>
        </w:rPr>
        <w:t>)</w:t>
      </w:r>
      <w:r w:rsidR="001A036C" w:rsidRPr="00E77C9E">
        <w:rPr>
          <w:rFonts w:asciiTheme="minorBidi" w:hAnsiTheme="minorBidi"/>
          <w:rtl/>
        </w:rPr>
        <w:t xml:space="preserve"> </w:t>
      </w:r>
    </w:p>
    <w:p w14:paraId="5B5669AE" w14:textId="77777777" w:rsidR="00406E8B" w:rsidRPr="00631347" w:rsidRDefault="00406E8B" w:rsidP="00406E8B">
      <w:pPr>
        <w:rPr>
          <w:rFonts w:asciiTheme="minorBidi" w:hAnsiTheme="minorBidi"/>
          <w:rtl/>
        </w:rPr>
      </w:pPr>
      <w:r w:rsidRPr="00631347">
        <w:rPr>
          <w:rFonts w:asciiTheme="minorBidi" w:hAnsiTheme="minorBidi" w:cs="Arial" w:hint="cs"/>
          <w:u w:val="single"/>
          <w:rtl/>
        </w:rPr>
        <w:t xml:space="preserve">בית דין שכתבו על אחד סרבנות </w:t>
      </w:r>
      <w:r w:rsidRPr="00631347">
        <w:rPr>
          <w:rFonts w:asciiTheme="minorBidi" w:hAnsiTheme="minorBidi" w:cs="Arial"/>
          <w:u w:val="single"/>
          <w:rtl/>
        </w:rPr>
        <w:t>–</w:t>
      </w:r>
      <w:r w:rsidRPr="00631347">
        <w:rPr>
          <w:rFonts w:asciiTheme="minorBidi" w:hAnsiTheme="minorBidi" w:cs="Arial" w:hint="cs"/>
          <w:u w:val="single"/>
          <w:rtl/>
        </w:rPr>
        <w:t xml:space="preserve"> והוא טוען שלא שמע:</w:t>
      </w:r>
      <w:r>
        <w:rPr>
          <w:rFonts w:asciiTheme="minorBidi" w:hAnsiTheme="minorBidi" w:cs="Arial" w:hint="cs"/>
          <w:rtl/>
        </w:rPr>
        <w:t xml:space="preserve"> </w:t>
      </w:r>
      <w:r w:rsidRPr="00631347">
        <w:rPr>
          <w:rFonts w:asciiTheme="minorBidi" w:hAnsiTheme="minorBidi" w:cs="Arial"/>
          <w:sz w:val="16"/>
          <w:szCs w:val="16"/>
          <w:rtl/>
        </w:rPr>
        <w:t>(</w:t>
      </w:r>
      <w:r w:rsidRPr="00631347">
        <w:rPr>
          <w:rFonts w:asciiTheme="minorBidi" w:hAnsiTheme="minorBidi" w:cs="Arial" w:hint="cs"/>
          <w:sz w:val="16"/>
          <w:szCs w:val="16"/>
          <w:rtl/>
        </w:rPr>
        <w:t xml:space="preserve">דרכ"מ אות </w:t>
      </w:r>
      <w:r w:rsidRPr="00631347">
        <w:rPr>
          <w:rFonts w:asciiTheme="minorBidi" w:hAnsiTheme="minorBidi" w:cs="Arial"/>
          <w:sz w:val="16"/>
          <w:szCs w:val="16"/>
          <w:rtl/>
        </w:rPr>
        <w:t>א)</w:t>
      </w:r>
      <w:r w:rsidRPr="00631347">
        <w:rPr>
          <w:rFonts w:asciiTheme="minorBidi" w:hAnsiTheme="minorBidi" w:cs="Arial"/>
          <w:rtl/>
        </w:rPr>
        <w:t xml:space="preserve"> </w:t>
      </w:r>
    </w:p>
    <w:p w14:paraId="1D212BAE" w14:textId="77777777" w:rsidR="00406E8B" w:rsidRDefault="00406E8B" w:rsidP="00406E8B">
      <w:pPr>
        <w:pStyle w:val="ac"/>
        <w:numPr>
          <w:ilvl w:val="0"/>
          <w:numId w:val="1"/>
        </w:numPr>
        <w:rPr>
          <w:rFonts w:asciiTheme="minorBidi" w:hAnsiTheme="minorBidi"/>
        </w:rPr>
      </w:pPr>
      <w:r w:rsidRPr="00631347">
        <w:rPr>
          <w:rFonts w:asciiTheme="minorBidi" w:hAnsiTheme="minorBidi" w:cs="Arial"/>
          <w:rtl/>
        </w:rPr>
        <w:t xml:space="preserve">מרדכי </w:t>
      </w:r>
      <w:r w:rsidRPr="00631347">
        <w:rPr>
          <w:rFonts w:asciiTheme="minorBidi" w:hAnsiTheme="minorBidi" w:cs="Arial" w:hint="cs"/>
          <w:sz w:val="16"/>
          <w:szCs w:val="16"/>
          <w:rtl/>
        </w:rPr>
        <w:t>(</w:t>
      </w:r>
      <w:r w:rsidRPr="00631347">
        <w:rPr>
          <w:rFonts w:asciiTheme="minorBidi" w:hAnsiTheme="minorBidi" w:cs="Arial"/>
          <w:sz w:val="16"/>
          <w:szCs w:val="16"/>
          <w:rtl/>
        </w:rPr>
        <w:t>ר</w:t>
      </w:r>
      <w:r w:rsidRPr="00631347">
        <w:rPr>
          <w:rFonts w:asciiTheme="minorBidi" w:hAnsiTheme="minorBidi" w:cs="Arial" w:hint="cs"/>
          <w:sz w:val="16"/>
          <w:szCs w:val="16"/>
          <w:rtl/>
        </w:rPr>
        <w:t>"</w:t>
      </w:r>
      <w:r w:rsidRPr="00631347">
        <w:rPr>
          <w:rFonts w:asciiTheme="minorBidi" w:hAnsiTheme="minorBidi" w:cs="Arial"/>
          <w:sz w:val="16"/>
          <w:szCs w:val="16"/>
          <w:rtl/>
        </w:rPr>
        <w:t>פ דייני גזירות</w:t>
      </w:r>
      <w:r w:rsidRPr="00631347">
        <w:rPr>
          <w:rFonts w:asciiTheme="minorBidi" w:hAnsiTheme="minorBidi" w:cs="Arial" w:hint="cs"/>
          <w:sz w:val="16"/>
          <w:szCs w:val="16"/>
          <w:rtl/>
        </w:rPr>
        <w:t>,</w:t>
      </w:r>
      <w:r w:rsidRPr="00631347">
        <w:rPr>
          <w:rFonts w:asciiTheme="minorBidi" w:hAnsiTheme="minorBidi" w:cs="Arial"/>
          <w:sz w:val="16"/>
          <w:szCs w:val="16"/>
          <w:rtl/>
        </w:rPr>
        <w:t xml:space="preserve"> כתובות סי' רסח)</w:t>
      </w:r>
      <w:r>
        <w:rPr>
          <w:rFonts w:asciiTheme="minorBidi" w:hAnsiTheme="minorBidi" w:cs="Arial" w:hint="cs"/>
          <w:rtl/>
        </w:rPr>
        <w:t xml:space="preserve">- </w:t>
      </w:r>
      <w:r w:rsidRPr="00631347">
        <w:rPr>
          <w:rFonts w:asciiTheme="minorBidi" w:hAnsiTheme="minorBidi" w:cs="Arial"/>
          <w:rtl/>
        </w:rPr>
        <w:t xml:space="preserve">אחד שכתבו עליו בית דין סרבנות והוא טען שלא שמע </w:t>
      </w:r>
      <w:r w:rsidR="0079223B">
        <w:rPr>
          <w:rFonts w:asciiTheme="minorBidi" w:hAnsiTheme="minorBidi" w:cs="Arial" w:hint="cs"/>
          <w:rtl/>
        </w:rPr>
        <w:t xml:space="preserve">- </w:t>
      </w:r>
      <w:r w:rsidRPr="00631347">
        <w:rPr>
          <w:rFonts w:asciiTheme="minorBidi" w:hAnsiTheme="minorBidi" w:cs="Arial"/>
          <w:rtl/>
        </w:rPr>
        <w:t>אינו נאמן</w:t>
      </w:r>
      <w:r w:rsidR="0079223B">
        <w:rPr>
          <w:rFonts w:asciiTheme="minorBidi" w:hAnsiTheme="minorBidi" w:cs="Arial" w:hint="cs"/>
          <w:rtl/>
        </w:rPr>
        <w:t>,</w:t>
      </w:r>
      <w:r w:rsidRPr="00631347">
        <w:rPr>
          <w:rFonts w:asciiTheme="minorBidi" w:hAnsiTheme="minorBidi" w:cs="Arial"/>
          <w:rtl/>
        </w:rPr>
        <w:t xml:space="preserve"> דמעשה בית דין יש לו קול</w:t>
      </w:r>
      <w:r>
        <w:rPr>
          <w:rFonts w:asciiTheme="minorBidi" w:hAnsiTheme="minorBidi" w:cs="Arial" w:hint="cs"/>
          <w:rtl/>
        </w:rPr>
        <w:t>.</w:t>
      </w:r>
      <w:r w:rsidRPr="00406E8B">
        <w:rPr>
          <w:rFonts w:asciiTheme="minorBidi" w:hAnsiTheme="minorBidi" w:hint="cs"/>
          <w:color w:val="00B0F0"/>
          <w:rtl/>
        </w:rPr>
        <w:t xml:space="preserve"> (וכ"פ הרמ"א)</w:t>
      </w:r>
    </w:p>
    <w:p w14:paraId="1C95622B" w14:textId="77777777" w:rsidR="00406E8B" w:rsidRPr="00406E8B" w:rsidRDefault="00B46078" w:rsidP="00406E8B">
      <w:pPr>
        <w:rPr>
          <w:rFonts w:asciiTheme="minorBidi" w:hAnsiTheme="minorBidi"/>
        </w:rPr>
      </w:pPr>
      <w:r>
        <w:rPr>
          <w:rFonts w:cs="Arial" w:hint="cs"/>
          <w:u w:val="single"/>
          <w:rtl/>
        </w:rPr>
        <w:t xml:space="preserve">חרם דרבנו גרשום לגבי הודעה בזמן התפילה על </w:t>
      </w:r>
      <w:r w:rsidR="00406E8B" w:rsidRPr="00406E8B">
        <w:rPr>
          <w:rFonts w:cs="Arial" w:hint="cs"/>
          <w:u w:val="single"/>
          <w:rtl/>
        </w:rPr>
        <w:t xml:space="preserve">אדם </w:t>
      </w:r>
      <w:r>
        <w:rPr>
          <w:rFonts w:cs="Arial" w:hint="cs"/>
          <w:u w:val="single"/>
          <w:rtl/>
        </w:rPr>
        <w:t>ש</w:t>
      </w:r>
      <w:r w:rsidR="00406E8B" w:rsidRPr="00406E8B">
        <w:rPr>
          <w:rFonts w:cs="Arial" w:hint="cs"/>
          <w:u w:val="single"/>
          <w:rtl/>
        </w:rPr>
        <w:t>מסרב</w:t>
      </w:r>
      <w:r>
        <w:rPr>
          <w:rFonts w:cs="Arial" w:hint="cs"/>
          <w:u w:val="single"/>
          <w:rtl/>
        </w:rPr>
        <w:t xml:space="preserve"> להגיע לדין:</w:t>
      </w:r>
      <w:r w:rsidR="00406E8B">
        <w:rPr>
          <w:rFonts w:cs="Arial" w:hint="cs"/>
          <w:rtl/>
        </w:rPr>
        <w:t xml:space="preserve"> </w:t>
      </w:r>
      <w:r w:rsidR="00406E8B" w:rsidRPr="00406E8B">
        <w:rPr>
          <w:rFonts w:cs="Arial" w:hint="cs"/>
          <w:sz w:val="16"/>
          <w:szCs w:val="16"/>
          <w:rtl/>
        </w:rPr>
        <w:t xml:space="preserve"> </w:t>
      </w:r>
      <w:r w:rsidR="00406E8B" w:rsidRPr="00406E8B">
        <w:rPr>
          <w:rFonts w:cs="Arial"/>
          <w:sz w:val="16"/>
          <w:szCs w:val="16"/>
          <w:rtl/>
        </w:rPr>
        <w:t>(</w:t>
      </w:r>
      <w:r w:rsidR="00406E8B" w:rsidRPr="00406E8B">
        <w:rPr>
          <w:rFonts w:cs="Arial" w:hint="cs"/>
          <w:sz w:val="16"/>
          <w:szCs w:val="16"/>
          <w:rtl/>
        </w:rPr>
        <w:t xml:space="preserve">דרכ"מ אות </w:t>
      </w:r>
      <w:r w:rsidR="00406E8B" w:rsidRPr="00406E8B">
        <w:rPr>
          <w:rFonts w:cs="Arial"/>
          <w:sz w:val="16"/>
          <w:szCs w:val="16"/>
          <w:rtl/>
        </w:rPr>
        <w:t>ג)</w:t>
      </w:r>
      <w:r w:rsidR="00406E8B" w:rsidRPr="00406E8B">
        <w:rPr>
          <w:rFonts w:cs="Arial"/>
          <w:rtl/>
        </w:rPr>
        <w:t xml:space="preserve"> </w:t>
      </w:r>
    </w:p>
    <w:p w14:paraId="29E3C8B0" w14:textId="77777777" w:rsidR="00406E8B" w:rsidRPr="00631347" w:rsidRDefault="00406E8B" w:rsidP="00406E8B">
      <w:pPr>
        <w:pStyle w:val="ac"/>
        <w:numPr>
          <w:ilvl w:val="0"/>
          <w:numId w:val="1"/>
        </w:numPr>
        <w:rPr>
          <w:rFonts w:asciiTheme="minorBidi" w:hAnsiTheme="minorBidi"/>
          <w:rtl/>
        </w:rPr>
      </w:pPr>
      <w:r w:rsidRPr="00887674">
        <w:rPr>
          <w:rFonts w:cs="Arial"/>
          <w:rtl/>
        </w:rPr>
        <w:t xml:space="preserve">כל בו </w:t>
      </w:r>
      <w:r w:rsidRPr="00406E8B">
        <w:rPr>
          <w:rFonts w:cs="Arial" w:hint="cs"/>
          <w:sz w:val="16"/>
          <w:szCs w:val="16"/>
          <w:rtl/>
        </w:rPr>
        <w:t>(</w:t>
      </w:r>
      <w:r w:rsidRPr="00406E8B">
        <w:rPr>
          <w:rFonts w:cs="Arial"/>
          <w:sz w:val="16"/>
          <w:szCs w:val="16"/>
          <w:rtl/>
        </w:rPr>
        <w:t>סי</w:t>
      </w:r>
      <w:r w:rsidRPr="00406E8B">
        <w:rPr>
          <w:rFonts w:cs="Arial" w:hint="cs"/>
          <w:sz w:val="16"/>
          <w:szCs w:val="16"/>
          <w:rtl/>
        </w:rPr>
        <w:t>'</w:t>
      </w:r>
      <w:r w:rsidRPr="00406E8B">
        <w:rPr>
          <w:rFonts w:cs="Arial"/>
          <w:sz w:val="16"/>
          <w:szCs w:val="16"/>
          <w:rtl/>
        </w:rPr>
        <w:t xml:space="preserve"> ק</w:t>
      </w:r>
      <w:r w:rsidRPr="00406E8B">
        <w:rPr>
          <w:rFonts w:cs="Arial" w:hint="cs"/>
          <w:sz w:val="16"/>
          <w:szCs w:val="16"/>
          <w:rtl/>
        </w:rPr>
        <w:t>טז</w:t>
      </w:r>
      <w:r w:rsidRPr="00406E8B">
        <w:rPr>
          <w:rFonts w:cs="Arial"/>
          <w:sz w:val="16"/>
          <w:szCs w:val="16"/>
          <w:rtl/>
        </w:rPr>
        <w:t xml:space="preserve"> פט</w:t>
      </w:r>
      <w:r w:rsidRPr="00406E8B">
        <w:rPr>
          <w:rFonts w:cs="Arial" w:hint="cs"/>
          <w:sz w:val="16"/>
          <w:szCs w:val="16"/>
          <w:rtl/>
        </w:rPr>
        <w:t>.</w:t>
      </w:r>
      <w:r w:rsidRPr="00406E8B">
        <w:rPr>
          <w:rFonts w:cs="Arial"/>
          <w:sz w:val="16"/>
          <w:szCs w:val="16"/>
          <w:rtl/>
        </w:rPr>
        <w:t>)</w:t>
      </w:r>
      <w:r>
        <w:rPr>
          <w:rFonts w:cs="Arial" w:hint="cs"/>
          <w:rtl/>
        </w:rPr>
        <w:t>-</w:t>
      </w:r>
      <w:r w:rsidR="008C54C0" w:rsidRPr="008C54C0">
        <w:rPr>
          <w:rFonts w:cs="Arial"/>
          <w:rtl/>
        </w:rPr>
        <w:t xml:space="preserve"> </w:t>
      </w:r>
      <w:r w:rsidR="008C54C0" w:rsidRPr="00887674">
        <w:rPr>
          <w:rFonts w:cs="Arial"/>
          <w:rtl/>
        </w:rPr>
        <w:t>חרם רבינו גרשום</w:t>
      </w:r>
      <w:r w:rsidR="00B46078">
        <w:rPr>
          <w:rFonts w:cs="Arial" w:hint="cs"/>
          <w:rtl/>
        </w:rPr>
        <w:t>,</w:t>
      </w:r>
      <w:r w:rsidR="008C54C0" w:rsidRPr="00887674">
        <w:rPr>
          <w:rFonts w:cs="Arial"/>
          <w:rtl/>
        </w:rPr>
        <w:t xml:space="preserve"> אדם המזמין חבירו לדין וחבירו מסרב </w:t>
      </w:r>
      <w:r w:rsidR="001F52AA">
        <w:rPr>
          <w:rFonts w:cs="Arial" w:hint="cs"/>
          <w:rtl/>
        </w:rPr>
        <w:t xml:space="preserve">- </w:t>
      </w:r>
      <w:r w:rsidR="008C54C0" w:rsidRPr="00887674">
        <w:rPr>
          <w:rFonts w:cs="Arial"/>
          <w:rtl/>
        </w:rPr>
        <w:t>אינו יכול לבטל התפילה אא</w:t>
      </w:r>
      <w:r w:rsidR="008C54C0">
        <w:rPr>
          <w:rFonts w:cs="Arial" w:hint="cs"/>
          <w:rtl/>
        </w:rPr>
        <w:t>"</w:t>
      </w:r>
      <w:r w:rsidR="008C54C0" w:rsidRPr="00887674">
        <w:rPr>
          <w:rFonts w:cs="Arial"/>
          <w:rtl/>
        </w:rPr>
        <w:t>כ לא בא שלש פעמים רצופים</w:t>
      </w:r>
      <w:r w:rsidR="001F52AA">
        <w:rPr>
          <w:rFonts w:cs="Arial" w:hint="cs"/>
          <w:rtl/>
        </w:rPr>
        <w:t>.</w:t>
      </w:r>
      <w:r w:rsidR="008C54C0" w:rsidRPr="00887674">
        <w:rPr>
          <w:rFonts w:cs="Arial"/>
          <w:rtl/>
        </w:rPr>
        <w:t xml:space="preserve"> ואין יכול לבטל התפלה רק בבית הכנסת שהוא הולך שם להתפלל</w:t>
      </w:r>
      <w:r w:rsidR="001F52AA">
        <w:rPr>
          <w:rFonts w:cs="Arial" w:hint="cs"/>
          <w:rtl/>
        </w:rPr>
        <w:t>.</w:t>
      </w:r>
      <w:r w:rsidR="008C54C0" w:rsidRPr="00887674">
        <w:rPr>
          <w:rFonts w:cs="Arial"/>
          <w:rtl/>
        </w:rPr>
        <w:t xml:space="preserve"> אבל אם ביטל שם שלש תפלות רצופים </w:t>
      </w:r>
      <w:r w:rsidR="00B46078">
        <w:rPr>
          <w:rFonts w:cs="Arial" w:hint="cs"/>
          <w:rtl/>
        </w:rPr>
        <w:t xml:space="preserve">- </w:t>
      </w:r>
      <w:r w:rsidR="008C54C0" w:rsidRPr="00887674">
        <w:rPr>
          <w:rFonts w:cs="Arial"/>
          <w:rtl/>
        </w:rPr>
        <w:t>יכול לבטל בכל בתי כנסיות</w:t>
      </w:r>
      <w:r w:rsidR="00B46078">
        <w:rPr>
          <w:rFonts w:cs="Arial" w:hint="cs"/>
          <w:rtl/>
        </w:rPr>
        <w:t>.</w:t>
      </w:r>
      <w:r w:rsidR="008C54C0" w:rsidRPr="00887674">
        <w:rPr>
          <w:rFonts w:cs="Arial"/>
          <w:rtl/>
        </w:rPr>
        <w:t xml:space="preserve"> ואין לבטל תפלות של שבת ויום טוב אא</w:t>
      </w:r>
      <w:r w:rsidR="008C54C0">
        <w:rPr>
          <w:rFonts w:cs="Arial" w:hint="cs"/>
          <w:rtl/>
        </w:rPr>
        <w:t>"</w:t>
      </w:r>
      <w:r w:rsidR="008C54C0" w:rsidRPr="00887674">
        <w:rPr>
          <w:rFonts w:cs="Arial"/>
          <w:rtl/>
        </w:rPr>
        <w:t>כ ביטל שלש פעמים</w:t>
      </w:r>
      <w:r w:rsidR="00B46078">
        <w:rPr>
          <w:rFonts w:cs="Arial" w:hint="cs"/>
          <w:rtl/>
        </w:rPr>
        <w:t>.</w:t>
      </w:r>
      <w:r w:rsidR="008C54C0" w:rsidRPr="00887674">
        <w:rPr>
          <w:rFonts w:cs="Arial"/>
          <w:rtl/>
        </w:rPr>
        <w:t xml:space="preserve"> אמנם בענייני הקהל</w:t>
      </w:r>
      <w:r w:rsidR="001F52AA">
        <w:rPr>
          <w:rFonts w:cs="Arial" w:hint="cs"/>
          <w:rtl/>
        </w:rPr>
        <w:t xml:space="preserve"> -</w:t>
      </w:r>
      <w:r w:rsidR="008C54C0" w:rsidRPr="00887674">
        <w:rPr>
          <w:rFonts w:cs="Arial"/>
          <w:rtl/>
        </w:rPr>
        <w:t xml:space="preserve"> יכול לבטל מיד</w:t>
      </w:r>
      <w:r w:rsidR="00B46078">
        <w:rPr>
          <w:rFonts w:cs="Arial" w:hint="cs"/>
          <w:rtl/>
        </w:rPr>
        <w:t>.</w:t>
      </w:r>
      <w:r w:rsidR="008C54C0" w:rsidRPr="00887674">
        <w:rPr>
          <w:rFonts w:cs="Arial"/>
          <w:rtl/>
        </w:rPr>
        <w:t xml:space="preserve"> וכל מקום שנראה שהיה שם אדם גדול או היה שם בית דין מסתמא יש חרם זה ודנין אותו</w:t>
      </w:r>
      <w:r>
        <w:rPr>
          <w:rFonts w:cs="Arial" w:hint="cs"/>
          <w:rtl/>
        </w:rPr>
        <w:t xml:space="preserve">. (וכ"כ הסמ"ע </w:t>
      </w:r>
      <w:r>
        <w:rPr>
          <w:rFonts w:cs="Arial" w:hint="cs"/>
          <w:sz w:val="16"/>
          <w:szCs w:val="16"/>
          <w:rtl/>
        </w:rPr>
        <w:t xml:space="preserve">[סקי"ז] </w:t>
      </w:r>
      <w:r>
        <w:rPr>
          <w:rFonts w:cs="Arial" w:hint="cs"/>
          <w:rtl/>
        </w:rPr>
        <w:t>והש"ך</w:t>
      </w:r>
      <w:r>
        <w:rPr>
          <w:rFonts w:cs="Arial" w:hint="cs"/>
          <w:sz w:val="16"/>
          <w:szCs w:val="16"/>
          <w:rtl/>
        </w:rPr>
        <w:t xml:space="preserve"> [סק"ד]</w:t>
      </w:r>
      <w:r>
        <w:rPr>
          <w:rFonts w:cs="Arial" w:hint="cs"/>
          <w:rtl/>
        </w:rPr>
        <w:t>)</w:t>
      </w:r>
    </w:p>
    <w:p w14:paraId="2296E334" w14:textId="77777777" w:rsidR="00E137BC" w:rsidRPr="00576D5C" w:rsidRDefault="00E137BC" w:rsidP="00576D5C">
      <w:pPr>
        <w:rPr>
          <w:rFonts w:asciiTheme="minorBidi" w:hAnsiTheme="minorBidi"/>
          <w:b/>
          <w:bCs/>
          <w:color w:val="000000"/>
          <w:sz w:val="28"/>
          <w:szCs w:val="28"/>
          <w:u w:val="single"/>
          <w:rtl/>
        </w:rPr>
      </w:pPr>
      <w:r w:rsidRPr="00576D5C">
        <w:rPr>
          <w:rFonts w:asciiTheme="minorBidi" w:hAnsiTheme="minorBidi"/>
          <w:b/>
          <w:bCs/>
          <w:color w:val="000000"/>
          <w:sz w:val="28"/>
          <w:szCs w:val="28"/>
          <w:u w:val="single"/>
          <w:rtl/>
        </w:rPr>
        <w:t>שו"ע:</w:t>
      </w:r>
    </w:p>
    <w:p w14:paraId="1196FE83" w14:textId="77777777" w:rsidR="00E137BC" w:rsidRPr="00576D5C" w:rsidRDefault="00E137BC" w:rsidP="00576D5C">
      <w:pPr>
        <w:rPr>
          <w:rFonts w:asciiTheme="minorBidi" w:hAnsiTheme="minorBidi"/>
          <w:rtl/>
        </w:rPr>
      </w:pPr>
      <w:r w:rsidRPr="00576D5C">
        <w:rPr>
          <w:rFonts w:asciiTheme="minorBidi" w:hAnsiTheme="minorBidi"/>
          <w:rtl/>
        </w:rPr>
        <w:t>מי שכתבו עליו נידוי על שלא בא, ואמר: אבוא, אין קורעין כתב הנדוי עד שיבוא. אבל מי שכתבו עליו נידוי על שהיה מסרב לעשות ציווי בית דין, מיד כשאומר: הריני מקבל עלי לעשות צווי בית דין, קורעים כתב הנידוי</w:t>
      </w:r>
      <w:r w:rsidR="007C720E">
        <w:rPr>
          <w:rStyle w:val="ab"/>
          <w:rFonts w:asciiTheme="minorBidi" w:hAnsiTheme="minorBidi"/>
          <w:rtl/>
        </w:rPr>
        <w:footnoteReference w:id="569"/>
      </w:r>
      <w:r w:rsidR="001A036C">
        <w:rPr>
          <w:rFonts w:asciiTheme="minorBidi" w:hAnsiTheme="minorBidi" w:hint="cs"/>
          <w:rtl/>
        </w:rPr>
        <w:t>,</w:t>
      </w:r>
      <w:r w:rsidRPr="00576D5C">
        <w:rPr>
          <w:rFonts w:asciiTheme="minorBidi" w:hAnsiTheme="minorBidi"/>
          <w:rtl/>
        </w:rPr>
        <w:t xml:space="preserve"> והוא נותן שכר הסופר. </w:t>
      </w:r>
      <w:r w:rsidRPr="000C548A">
        <w:rPr>
          <w:rFonts w:asciiTheme="minorBidi" w:hAnsiTheme="minorBidi"/>
          <w:sz w:val="18"/>
          <w:szCs w:val="18"/>
          <w:rtl/>
        </w:rPr>
        <w:t>הגה: מי שכתבו עליו סרבנות וטען אח</w:t>
      </w:r>
      <w:r w:rsidR="00406E8B">
        <w:rPr>
          <w:rFonts w:asciiTheme="minorBidi" w:hAnsiTheme="minorBidi" w:hint="cs"/>
          <w:sz w:val="18"/>
          <w:szCs w:val="18"/>
          <w:rtl/>
        </w:rPr>
        <w:t>"</w:t>
      </w:r>
      <w:r w:rsidRPr="000C548A">
        <w:rPr>
          <w:rFonts w:asciiTheme="minorBidi" w:hAnsiTheme="minorBidi"/>
          <w:sz w:val="18"/>
          <w:szCs w:val="18"/>
          <w:rtl/>
        </w:rPr>
        <w:t xml:space="preserve">כ שלא שמע, אינו נאמן, דמעשה בית דין יש לו קול (מרדכי). </w:t>
      </w:r>
    </w:p>
    <w:p w14:paraId="68AE990A" w14:textId="77777777" w:rsidR="00887674" w:rsidRPr="00576D5C" w:rsidRDefault="00887674" w:rsidP="00576D5C">
      <w:pPr>
        <w:rPr>
          <w:rFonts w:asciiTheme="minorBidi" w:hAnsiTheme="minorBidi"/>
          <w:rtl/>
        </w:rPr>
      </w:pPr>
    </w:p>
    <w:p w14:paraId="0D321058" w14:textId="77777777" w:rsidR="00E137BC" w:rsidRDefault="00E137BC" w:rsidP="000C548A">
      <w:pPr>
        <w:pStyle w:val="2"/>
        <w:rPr>
          <w:rtl/>
        </w:rPr>
      </w:pPr>
      <w:bookmarkStart w:id="80" w:name="_Toc24883572"/>
      <w:r w:rsidRPr="00576D5C">
        <w:rPr>
          <w:rtl/>
        </w:rPr>
        <w:t>סעיף ה</w:t>
      </w:r>
      <w:r w:rsidR="00887674" w:rsidRPr="00576D5C">
        <w:rPr>
          <w:rtl/>
        </w:rPr>
        <w:t>:</w:t>
      </w:r>
      <w:r w:rsidR="007C720E">
        <w:rPr>
          <w:rFonts w:hint="cs"/>
          <w:rtl/>
        </w:rPr>
        <w:t xml:space="preserve"> זימון נשים יקרות ות"ח, ונתבע שממנה שליח לבוא במקומו לב"ד.</w:t>
      </w:r>
      <w:bookmarkEnd w:id="80"/>
    </w:p>
    <w:p w14:paraId="54A9AF2C" w14:textId="77777777" w:rsidR="00EE6C3B" w:rsidRPr="00EE6C3B" w:rsidRDefault="00EE6C3B" w:rsidP="00EE6C3B">
      <w:pPr>
        <w:rPr>
          <w:rtl/>
        </w:rPr>
      </w:pPr>
      <w:r w:rsidRPr="00EE6C3B">
        <w:rPr>
          <w:rFonts w:cs="Arial" w:hint="cs"/>
          <w:b/>
          <w:bCs/>
          <w:rtl/>
        </w:rPr>
        <w:t xml:space="preserve">שבועות </w:t>
      </w:r>
      <w:r w:rsidRPr="00EE6C3B">
        <w:rPr>
          <w:rFonts w:cs="Arial" w:hint="cs"/>
          <w:b/>
          <w:bCs/>
          <w:sz w:val="16"/>
          <w:szCs w:val="16"/>
          <w:rtl/>
        </w:rPr>
        <w:t>(פ' שבועת העדות)</w:t>
      </w:r>
      <w:r w:rsidRPr="00EE6C3B">
        <w:rPr>
          <w:rFonts w:cs="Arial" w:hint="cs"/>
          <w:b/>
          <w:bCs/>
          <w:rtl/>
        </w:rPr>
        <w:t xml:space="preserve"> ל</w:t>
      </w:r>
      <w:r w:rsidR="00D476E1">
        <w:rPr>
          <w:rStyle w:val="ab"/>
          <w:rFonts w:cs="Arial"/>
          <w:b/>
          <w:bCs/>
          <w:rtl/>
        </w:rPr>
        <w:footnoteReference w:id="570"/>
      </w:r>
      <w:r w:rsidRPr="00EE6C3B">
        <w:rPr>
          <w:rFonts w:cs="Arial" w:hint="cs"/>
          <w:b/>
          <w:bCs/>
          <w:rtl/>
        </w:rPr>
        <w:t xml:space="preserve"> ע"א:</w:t>
      </w:r>
      <w:r>
        <w:rPr>
          <w:rFonts w:cs="Arial" w:hint="cs"/>
          <w:rtl/>
        </w:rPr>
        <w:t xml:space="preserve"> </w:t>
      </w:r>
      <w:bookmarkStart w:id="81" w:name="_Hlk18485654"/>
      <w:r w:rsidRPr="00EE6C3B">
        <w:rPr>
          <w:rFonts w:cs="Arial"/>
          <w:u w:val="double"/>
          <w:rtl/>
        </w:rPr>
        <w:t>מתני'</w:t>
      </w:r>
      <w:r>
        <w:rPr>
          <w:rFonts w:cs="Arial" w:hint="cs"/>
          <w:rtl/>
        </w:rPr>
        <w:t xml:space="preserve">: </w:t>
      </w:r>
      <w:r>
        <w:rPr>
          <w:rFonts w:cs="Arial"/>
          <w:rtl/>
        </w:rPr>
        <w:t>שבועת העדות נוהגת באנשים ולא בנשים</w:t>
      </w:r>
      <w:r>
        <w:rPr>
          <w:rFonts w:cs="Arial" w:hint="cs"/>
          <w:rtl/>
        </w:rPr>
        <w:t xml:space="preserve">...   </w:t>
      </w:r>
      <w:r w:rsidRPr="00EE6C3B">
        <w:rPr>
          <w:rFonts w:cs="Arial"/>
          <w:u w:val="double"/>
          <w:rtl/>
        </w:rPr>
        <w:t>גמ'</w:t>
      </w:r>
      <w:r>
        <w:rPr>
          <w:rFonts w:cs="Arial" w:hint="cs"/>
          <w:rtl/>
        </w:rPr>
        <w:t>:</w:t>
      </w:r>
      <w:r>
        <w:rPr>
          <w:rFonts w:cs="Arial"/>
          <w:rtl/>
        </w:rPr>
        <w:t xml:space="preserve"> מנהני מילי?</w:t>
      </w:r>
      <w:r>
        <w:rPr>
          <w:rFonts w:cs="Arial" w:hint="cs"/>
          <w:rtl/>
        </w:rPr>
        <w:t xml:space="preserve">... </w:t>
      </w:r>
      <w:r>
        <w:rPr>
          <w:rFonts w:cs="Arial"/>
          <w:rtl/>
        </w:rPr>
        <w:t>תניא אידך: ועמדו שני האנשים - בעדים הכתוב מדבר</w:t>
      </w:r>
      <w:r>
        <w:rPr>
          <w:rFonts w:cs="Arial" w:hint="cs"/>
          <w:rtl/>
        </w:rPr>
        <w:t>.</w:t>
      </w:r>
      <w:r>
        <w:rPr>
          <w:rFonts w:cs="Arial"/>
          <w:rtl/>
        </w:rPr>
        <w:t xml:space="preserve"> אתה אומר: בעדים, או אינו אלא בבעלי דינין? אמרת? וכי אנשים באין לדין, נשים אין באות לדין? ואם נפשך לומר, נאמר כאן שני</w:t>
      </w:r>
      <w:r>
        <w:rPr>
          <w:rStyle w:val="ab"/>
          <w:rFonts w:cs="Arial"/>
          <w:rtl/>
        </w:rPr>
        <w:footnoteReference w:id="571"/>
      </w:r>
      <w:r>
        <w:rPr>
          <w:rFonts w:cs="Arial"/>
          <w:rtl/>
        </w:rPr>
        <w:t xml:space="preserve"> ונאמר להלן שני</w:t>
      </w:r>
      <w:r>
        <w:rPr>
          <w:rStyle w:val="ab"/>
          <w:rFonts w:cs="Arial"/>
          <w:rtl/>
        </w:rPr>
        <w:footnoteReference w:id="572"/>
      </w:r>
      <w:r>
        <w:rPr>
          <w:rFonts w:cs="Arial"/>
          <w:rtl/>
        </w:rPr>
        <w:t>, מה להלן בעדים, אף כאן בעדים. מאי אם נפשך לומר? וכי תימא: אשה לאו אורחה, משום כל כבודה בת מלך פנימה, נאמר כאן שני ונאמר להלן שני, מה להלן בעדים, אף כאן בעדים</w:t>
      </w:r>
      <w:bookmarkEnd w:id="81"/>
      <w:r>
        <w:rPr>
          <w:rFonts w:cs="Arial"/>
          <w:rtl/>
        </w:rPr>
        <w:t>.</w:t>
      </w:r>
    </w:p>
    <w:p w14:paraId="0CB21576" w14:textId="77777777" w:rsidR="007C720E" w:rsidRDefault="007C720E" w:rsidP="00576D5C">
      <w:pPr>
        <w:rPr>
          <w:rFonts w:asciiTheme="minorBidi" w:hAnsiTheme="minorBidi"/>
          <w:rtl/>
        </w:rPr>
      </w:pPr>
      <w:r w:rsidRPr="007C720E">
        <w:rPr>
          <w:rFonts w:asciiTheme="minorBidi" w:hAnsiTheme="minorBidi" w:hint="cs"/>
          <w:u w:val="single"/>
          <w:rtl/>
        </w:rPr>
        <w:lastRenderedPageBreak/>
        <w:t>זימון נשים יקרות לבית דין:</w:t>
      </w:r>
    </w:p>
    <w:p w14:paraId="26EE079E" w14:textId="77777777" w:rsidR="007C720E" w:rsidRDefault="00EE6C3B" w:rsidP="00E71932">
      <w:pPr>
        <w:pStyle w:val="ac"/>
        <w:numPr>
          <w:ilvl w:val="0"/>
          <w:numId w:val="1"/>
        </w:numPr>
        <w:rPr>
          <w:rFonts w:asciiTheme="minorBidi" w:hAnsiTheme="minorBidi"/>
        </w:rPr>
      </w:pPr>
      <w:r>
        <w:rPr>
          <w:rFonts w:asciiTheme="minorBidi" w:hAnsiTheme="minorBidi" w:hint="cs"/>
          <w:rtl/>
        </w:rPr>
        <w:t>ר"י מיגאש</w:t>
      </w:r>
      <w:r w:rsidR="00E71932" w:rsidRPr="00E71932">
        <w:rPr>
          <w:rFonts w:asciiTheme="minorBidi" w:hAnsiTheme="minorBidi"/>
          <w:rtl/>
        </w:rPr>
        <w:t xml:space="preserve"> </w:t>
      </w:r>
      <w:r w:rsidR="00E71932">
        <w:rPr>
          <w:rFonts w:asciiTheme="minorBidi" w:hAnsiTheme="minorBidi" w:hint="cs"/>
          <w:rtl/>
        </w:rPr>
        <w:t xml:space="preserve">רמב"ן </w:t>
      </w:r>
      <w:r w:rsidR="00E71932" w:rsidRPr="007C720E">
        <w:rPr>
          <w:rFonts w:asciiTheme="minorBidi" w:hAnsiTheme="minorBidi"/>
          <w:rtl/>
        </w:rPr>
        <w:t xml:space="preserve">רא"ש </w:t>
      </w:r>
      <w:r w:rsidR="004F5DDE">
        <w:rPr>
          <w:rFonts w:asciiTheme="minorBidi" w:hAnsiTheme="minorBidi" w:hint="cs"/>
          <w:rtl/>
        </w:rPr>
        <w:t>ור"ן</w:t>
      </w:r>
      <w:r w:rsidR="00D476E1">
        <w:rPr>
          <w:rStyle w:val="ab"/>
          <w:rFonts w:asciiTheme="minorBidi" w:hAnsiTheme="minorBidi"/>
          <w:rtl/>
        </w:rPr>
        <w:footnoteReference w:id="573"/>
      </w:r>
      <w:r>
        <w:rPr>
          <w:rFonts w:asciiTheme="minorBidi" w:hAnsiTheme="minorBidi" w:hint="cs"/>
          <w:rtl/>
        </w:rPr>
        <w:t xml:space="preserve">- </w:t>
      </w:r>
      <w:r w:rsidRPr="00EE6C3B">
        <w:rPr>
          <w:rFonts w:asciiTheme="minorBidi" w:hAnsiTheme="minorBidi" w:cs="Arial"/>
          <w:rtl/>
        </w:rPr>
        <w:t>איכא למשמע מינה</w:t>
      </w:r>
      <w:r w:rsidR="00B66FF4">
        <w:rPr>
          <w:rStyle w:val="ab"/>
          <w:rFonts w:asciiTheme="minorBidi" w:hAnsiTheme="minorBidi"/>
          <w:rtl/>
        </w:rPr>
        <w:footnoteReference w:id="574"/>
      </w:r>
      <w:r w:rsidRPr="00EE6C3B">
        <w:rPr>
          <w:rFonts w:asciiTheme="minorBidi" w:hAnsiTheme="minorBidi" w:cs="Arial"/>
          <w:rtl/>
        </w:rPr>
        <w:t xml:space="preserve"> </w:t>
      </w:r>
      <w:r>
        <w:rPr>
          <w:rFonts w:asciiTheme="minorBidi" w:hAnsiTheme="minorBidi" w:cs="Arial" w:hint="cs"/>
          <w:sz w:val="16"/>
          <w:szCs w:val="16"/>
          <w:rtl/>
        </w:rPr>
        <w:t xml:space="preserve">{מהגמ' לעיל} </w:t>
      </w:r>
      <w:r w:rsidRPr="00EE6C3B">
        <w:rPr>
          <w:rFonts w:asciiTheme="minorBidi" w:hAnsiTheme="minorBidi" w:cs="Arial"/>
          <w:rtl/>
        </w:rPr>
        <w:t>דנשים יקרות שאין דרכן להזדלזל ולבוא לבית דין</w:t>
      </w:r>
      <w:r w:rsidR="00E71932">
        <w:rPr>
          <w:rFonts w:asciiTheme="minorBidi" w:hAnsiTheme="minorBidi" w:cs="Arial" w:hint="cs"/>
          <w:rtl/>
        </w:rPr>
        <w:t xml:space="preserve"> -</w:t>
      </w:r>
      <w:r w:rsidRPr="00EE6C3B">
        <w:rPr>
          <w:rFonts w:asciiTheme="minorBidi" w:hAnsiTheme="minorBidi" w:cs="Arial"/>
          <w:rtl/>
        </w:rPr>
        <w:t xml:space="preserve"> בדין הוא שלא להוציאן לבית דין אלא לשגר להן הדין על ידי שלוחי בית דין כדי שלא יתזלזלו בביאתן לבית דין</w:t>
      </w:r>
      <w:r w:rsidR="00E71932">
        <w:rPr>
          <w:rStyle w:val="ab"/>
          <w:rFonts w:asciiTheme="minorBidi" w:hAnsiTheme="minorBidi" w:cs="Arial"/>
          <w:rtl/>
        </w:rPr>
        <w:footnoteReference w:id="575"/>
      </w:r>
      <w:r>
        <w:rPr>
          <w:rFonts w:asciiTheme="minorBidi" w:hAnsiTheme="minorBidi" w:cs="Arial" w:hint="cs"/>
          <w:rtl/>
        </w:rPr>
        <w:t>.</w:t>
      </w:r>
      <w:r w:rsidRPr="00EE6C3B">
        <w:rPr>
          <w:rFonts w:asciiTheme="minorBidi" w:hAnsiTheme="minorBidi" w:cs="Arial"/>
          <w:rtl/>
        </w:rPr>
        <w:t xml:space="preserve"> ומעשים לפני הרב בכל יום היה עושה כך. וכך היו עושים אנחנו אחריו</w:t>
      </w:r>
      <w:r w:rsidR="00E71932">
        <w:rPr>
          <w:rFonts w:asciiTheme="minorBidi" w:hAnsiTheme="minorBidi" w:cs="Arial" w:hint="cs"/>
          <w:sz w:val="16"/>
          <w:szCs w:val="16"/>
          <w:rtl/>
        </w:rPr>
        <w:t xml:space="preserve"> (ל' הר"י מיגאש)</w:t>
      </w:r>
      <w:r w:rsidRPr="00EE6C3B">
        <w:rPr>
          <w:rFonts w:asciiTheme="minorBidi" w:hAnsiTheme="minorBidi" w:cs="Arial"/>
          <w:rtl/>
        </w:rPr>
        <w:t>.</w:t>
      </w:r>
      <w:r w:rsidR="008A63C7" w:rsidRPr="00E71932">
        <w:rPr>
          <w:rFonts w:asciiTheme="minorBidi" w:hAnsiTheme="minorBidi" w:hint="cs"/>
          <w:rtl/>
        </w:rPr>
        <w:t xml:space="preserve"> </w:t>
      </w:r>
      <w:r w:rsidR="008A63C7" w:rsidRPr="00E71932">
        <w:rPr>
          <w:rFonts w:asciiTheme="minorBidi" w:hAnsiTheme="minorBidi" w:hint="cs"/>
          <w:color w:val="E36C0A" w:themeColor="accent6" w:themeShade="BF"/>
          <w:rtl/>
        </w:rPr>
        <w:t>(וכ"פ בשו"ע</w:t>
      </w:r>
      <w:r w:rsidR="008A63C7" w:rsidRPr="00E71932">
        <w:rPr>
          <w:rFonts w:asciiTheme="minorBidi" w:hAnsiTheme="minorBidi" w:hint="cs"/>
          <w:color w:val="E36C0A" w:themeColor="accent6" w:themeShade="BF"/>
          <w:sz w:val="16"/>
          <w:szCs w:val="16"/>
          <w:rtl/>
        </w:rPr>
        <w:t xml:space="preserve"> </w:t>
      </w:r>
      <w:r w:rsidR="008A63C7" w:rsidRPr="00E71932">
        <w:rPr>
          <w:rFonts w:asciiTheme="minorBidi" w:hAnsiTheme="minorBidi" w:hint="cs"/>
          <w:sz w:val="16"/>
          <w:szCs w:val="16"/>
          <w:rtl/>
        </w:rPr>
        <w:t>[סי' קכד]</w:t>
      </w:r>
      <w:r w:rsidR="008A63C7" w:rsidRPr="00E71932">
        <w:rPr>
          <w:rFonts w:asciiTheme="minorBidi" w:hAnsiTheme="minorBidi" w:hint="cs"/>
          <w:color w:val="E36C0A" w:themeColor="accent6" w:themeShade="BF"/>
          <w:rtl/>
        </w:rPr>
        <w:t>)</w:t>
      </w:r>
      <w:r w:rsidR="00B66FF4">
        <w:rPr>
          <w:rFonts w:asciiTheme="minorBidi" w:hAnsiTheme="minorBidi" w:hint="cs"/>
          <w:rtl/>
        </w:rPr>
        <w:t xml:space="preserve"> </w:t>
      </w:r>
      <w:r w:rsidR="00B66FF4" w:rsidRPr="00B66FF4">
        <w:rPr>
          <w:rFonts w:asciiTheme="minorBidi" w:hAnsiTheme="minorBidi" w:hint="cs"/>
          <w:color w:val="00B0F0"/>
          <w:rtl/>
        </w:rPr>
        <w:t>(וכ"פ הרמ"א</w:t>
      </w:r>
      <w:r w:rsidR="00B66FF4" w:rsidRPr="00B66FF4">
        <w:rPr>
          <w:rFonts w:asciiTheme="minorBidi" w:hAnsiTheme="minorBidi" w:hint="cs"/>
          <w:color w:val="00B0F0"/>
          <w:sz w:val="16"/>
          <w:szCs w:val="16"/>
          <w:rtl/>
        </w:rPr>
        <w:t xml:space="preserve"> </w:t>
      </w:r>
      <w:r w:rsidR="00B66FF4">
        <w:rPr>
          <w:rFonts w:asciiTheme="minorBidi" w:hAnsiTheme="minorBidi" w:hint="cs"/>
          <w:sz w:val="16"/>
          <w:szCs w:val="16"/>
          <w:rtl/>
        </w:rPr>
        <w:t>[סי' צו ס"ו]</w:t>
      </w:r>
      <w:r w:rsidR="00B66FF4" w:rsidRPr="00B66FF4">
        <w:rPr>
          <w:rFonts w:asciiTheme="minorBidi" w:hAnsiTheme="minorBidi" w:hint="cs"/>
          <w:color w:val="00B0F0"/>
          <w:rtl/>
        </w:rPr>
        <w:t>)</w:t>
      </w:r>
    </w:p>
    <w:p w14:paraId="14A6F146" w14:textId="77777777" w:rsidR="004F5DDE" w:rsidRPr="004F5DDE" w:rsidRDefault="004F5DDE" w:rsidP="004F5DDE">
      <w:pPr>
        <w:rPr>
          <w:rFonts w:asciiTheme="minorBidi" w:hAnsiTheme="minorBidi"/>
        </w:rPr>
      </w:pPr>
      <w:r w:rsidRPr="007C720E">
        <w:rPr>
          <w:rFonts w:asciiTheme="minorBidi" w:hAnsiTheme="minorBidi" w:hint="cs"/>
          <w:u w:val="single"/>
          <w:rtl/>
        </w:rPr>
        <w:t xml:space="preserve">זימון </w:t>
      </w:r>
      <w:r>
        <w:rPr>
          <w:rFonts w:asciiTheme="minorBidi" w:hAnsiTheme="minorBidi" w:hint="cs"/>
          <w:u w:val="single"/>
          <w:rtl/>
        </w:rPr>
        <w:t>תלמיד חכם</w:t>
      </w:r>
      <w:r w:rsidRPr="007C720E">
        <w:rPr>
          <w:rFonts w:asciiTheme="minorBidi" w:hAnsiTheme="minorBidi" w:hint="cs"/>
          <w:u w:val="single"/>
          <w:rtl/>
        </w:rPr>
        <w:t xml:space="preserve"> לבית דין:</w:t>
      </w:r>
    </w:p>
    <w:p w14:paraId="6382B8BC" w14:textId="77777777" w:rsidR="004F5DDE" w:rsidRDefault="004F5DDE" w:rsidP="00E71932">
      <w:pPr>
        <w:pStyle w:val="ac"/>
        <w:numPr>
          <w:ilvl w:val="0"/>
          <w:numId w:val="1"/>
        </w:numPr>
        <w:rPr>
          <w:rFonts w:asciiTheme="minorBidi" w:hAnsiTheme="minorBidi"/>
        </w:rPr>
      </w:pPr>
      <w:r>
        <w:rPr>
          <w:rFonts w:asciiTheme="minorBidi" w:hAnsiTheme="minorBidi" w:hint="cs"/>
          <w:rtl/>
        </w:rPr>
        <w:t xml:space="preserve">רמב"ן </w:t>
      </w:r>
      <w:r>
        <w:rPr>
          <w:rFonts w:asciiTheme="minorBidi" w:hAnsiTheme="minorBidi" w:cs="Arial" w:hint="cs"/>
          <w:sz w:val="16"/>
          <w:szCs w:val="16"/>
          <w:rtl/>
        </w:rPr>
        <w:t>(שם)</w:t>
      </w:r>
      <w:r w:rsidRPr="007C720E">
        <w:rPr>
          <w:rFonts w:asciiTheme="minorBidi" w:hAnsiTheme="minorBidi"/>
          <w:rtl/>
        </w:rPr>
        <w:t xml:space="preserve"> רא"ש </w:t>
      </w:r>
      <w:r w:rsidRPr="007C720E">
        <w:rPr>
          <w:rFonts w:asciiTheme="minorBidi" w:hAnsiTheme="minorBidi" w:hint="cs"/>
          <w:sz w:val="16"/>
          <w:szCs w:val="16"/>
          <w:rtl/>
        </w:rPr>
        <w:t>(</w:t>
      </w:r>
      <w:r>
        <w:rPr>
          <w:rFonts w:asciiTheme="minorBidi" w:hAnsiTheme="minorBidi" w:hint="cs"/>
          <w:sz w:val="16"/>
          <w:szCs w:val="16"/>
          <w:rtl/>
        </w:rPr>
        <w:t>שם</w:t>
      </w:r>
      <w:r w:rsidRPr="007C720E">
        <w:rPr>
          <w:rFonts w:asciiTheme="minorBidi" w:hAnsiTheme="minorBidi"/>
          <w:sz w:val="16"/>
          <w:szCs w:val="16"/>
          <w:rtl/>
        </w:rPr>
        <w:t>)</w:t>
      </w:r>
      <w:r w:rsidRPr="004F5DDE">
        <w:rPr>
          <w:rFonts w:asciiTheme="minorBidi" w:hAnsiTheme="minorBidi" w:hint="cs"/>
          <w:rtl/>
        </w:rPr>
        <w:t xml:space="preserve"> </w:t>
      </w:r>
      <w:r>
        <w:rPr>
          <w:rFonts w:asciiTheme="minorBidi" w:hAnsiTheme="minorBidi" w:hint="cs"/>
          <w:rtl/>
        </w:rPr>
        <w:t xml:space="preserve">ור"ן </w:t>
      </w:r>
      <w:r w:rsidRPr="004F5DDE">
        <w:rPr>
          <w:rFonts w:asciiTheme="minorBidi" w:hAnsiTheme="minorBidi" w:cs="Arial"/>
          <w:sz w:val="16"/>
          <w:szCs w:val="16"/>
          <w:rtl/>
        </w:rPr>
        <w:t>(</w:t>
      </w:r>
      <w:r>
        <w:rPr>
          <w:rFonts w:asciiTheme="minorBidi" w:hAnsiTheme="minorBidi" w:cs="Arial" w:hint="cs"/>
          <w:sz w:val="16"/>
          <w:szCs w:val="16"/>
          <w:rtl/>
        </w:rPr>
        <w:t>שם</w:t>
      </w:r>
      <w:r w:rsidRPr="004F5DDE">
        <w:rPr>
          <w:rFonts w:asciiTheme="minorBidi" w:hAnsiTheme="minorBidi" w:cs="Arial"/>
          <w:sz w:val="16"/>
          <w:szCs w:val="16"/>
          <w:rtl/>
        </w:rPr>
        <w:t>)</w:t>
      </w:r>
      <w:r>
        <w:rPr>
          <w:rFonts w:asciiTheme="minorBidi" w:hAnsiTheme="minorBidi" w:hint="cs"/>
          <w:rtl/>
        </w:rPr>
        <w:t xml:space="preserve">- </w:t>
      </w:r>
      <w:r w:rsidRPr="00196FBE">
        <w:rPr>
          <w:rFonts w:asciiTheme="minorBidi" w:hAnsiTheme="minorBidi" w:cs="Arial"/>
          <w:rtl/>
        </w:rPr>
        <w:t>וכן נראה בת"ח שתורתו אומנתו וזילא ביה מילתא למיזל לבי דינא ולערער בהדי עם הארץ שרשאין ב"ד לשגר לו הדברים ע"י שלוחי ב"ד דכבוד תורה עדיף</w:t>
      </w:r>
      <w:r>
        <w:rPr>
          <w:rFonts w:asciiTheme="minorBidi" w:hAnsiTheme="minorBidi" w:cs="Arial" w:hint="cs"/>
          <w:sz w:val="16"/>
          <w:szCs w:val="16"/>
          <w:rtl/>
        </w:rPr>
        <w:t xml:space="preserve"> (ל' הרמב"ן)</w:t>
      </w:r>
      <w:r w:rsidRPr="00196FBE">
        <w:rPr>
          <w:rFonts w:asciiTheme="minorBidi" w:hAnsiTheme="minorBidi" w:cs="Arial"/>
          <w:rtl/>
        </w:rPr>
        <w:t>.</w:t>
      </w:r>
      <w:r w:rsidRPr="004F5DDE">
        <w:rPr>
          <w:rFonts w:asciiTheme="minorBidi" w:hAnsiTheme="minorBidi" w:hint="cs"/>
          <w:color w:val="E36C0A" w:themeColor="accent6" w:themeShade="BF"/>
          <w:rtl/>
        </w:rPr>
        <w:t xml:space="preserve"> </w:t>
      </w:r>
      <w:r w:rsidRPr="00E71932">
        <w:rPr>
          <w:rFonts w:asciiTheme="minorBidi" w:hAnsiTheme="minorBidi" w:hint="cs"/>
          <w:color w:val="E36C0A" w:themeColor="accent6" w:themeShade="BF"/>
          <w:rtl/>
        </w:rPr>
        <w:t>(וכ"פ בשו"ע</w:t>
      </w:r>
      <w:r w:rsidRPr="00E71932">
        <w:rPr>
          <w:rFonts w:asciiTheme="minorBidi" w:hAnsiTheme="minorBidi" w:hint="cs"/>
          <w:color w:val="E36C0A" w:themeColor="accent6" w:themeShade="BF"/>
          <w:sz w:val="16"/>
          <w:szCs w:val="16"/>
          <w:rtl/>
        </w:rPr>
        <w:t xml:space="preserve"> </w:t>
      </w:r>
      <w:r w:rsidRPr="00E71932">
        <w:rPr>
          <w:rFonts w:asciiTheme="minorBidi" w:hAnsiTheme="minorBidi" w:hint="cs"/>
          <w:sz w:val="16"/>
          <w:szCs w:val="16"/>
          <w:rtl/>
        </w:rPr>
        <w:t>[סי' קכד]</w:t>
      </w:r>
      <w:r w:rsidRPr="00E71932">
        <w:rPr>
          <w:rFonts w:asciiTheme="minorBidi" w:hAnsiTheme="minorBidi" w:hint="cs"/>
          <w:color w:val="E36C0A" w:themeColor="accent6" w:themeShade="BF"/>
          <w:rtl/>
        </w:rPr>
        <w:t>)</w:t>
      </w:r>
    </w:p>
    <w:p w14:paraId="28F5E7E1" w14:textId="77777777" w:rsidR="00DB3DFD" w:rsidRPr="00DB3DFD" w:rsidRDefault="00DB3DFD" w:rsidP="00DB3DFD">
      <w:pPr>
        <w:rPr>
          <w:rFonts w:asciiTheme="minorBidi" w:hAnsiTheme="minorBidi"/>
        </w:rPr>
      </w:pPr>
      <w:r>
        <w:rPr>
          <w:rFonts w:asciiTheme="minorBidi" w:hAnsiTheme="minorBidi" w:cs="Arial" w:hint="cs"/>
          <w:b/>
          <w:bCs/>
          <w:rtl/>
        </w:rPr>
        <w:t xml:space="preserve">ירושלמי סנהדרין פ"ב ה"א: </w:t>
      </w:r>
      <w:r w:rsidRPr="00DB3DFD">
        <w:rPr>
          <w:rFonts w:asciiTheme="minorBidi" w:hAnsiTheme="minorBidi" w:cs="Arial"/>
          <w:u w:val="double"/>
          <w:rtl/>
        </w:rPr>
        <w:t>מתני'</w:t>
      </w:r>
      <w:r>
        <w:rPr>
          <w:rFonts w:asciiTheme="minorBidi" w:hAnsiTheme="minorBidi" w:cs="Arial" w:hint="cs"/>
          <w:rtl/>
        </w:rPr>
        <w:t>:</w:t>
      </w:r>
      <w:r w:rsidRPr="00DB3DFD">
        <w:rPr>
          <w:rFonts w:asciiTheme="minorBidi" w:hAnsiTheme="minorBidi" w:cs="Arial"/>
          <w:rtl/>
        </w:rPr>
        <w:t xml:space="preserve"> כהן גדול דן ודנין אותו</w:t>
      </w:r>
      <w:r>
        <w:rPr>
          <w:rFonts w:asciiTheme="minorBidi" w:hAnsiTheme="minorBidi" w:cs="Arial" w:hint="cs"/>
          <w:rtl/>
        </w:rPr>
        <w:t xml:space="preserve">...   </w:t>
      </w:r>
      <w:r w:rsidRPr="00DB3DFD">
        <w:rPr>
          <w:rFonts w:asciiTheme="minorBidi" w:hAnsiTheme="minorBidi" w:cs="Arial"/>
          <w:rtl/>
        </w:rPr>
        <w:t xml:space="preserve"> </w:t>
      </w:r>
      <w:r w:rsidRPr="00DB3DFD">
        <w:rPr>
          <w:rFonts w:asciiTheme="minorBidi" w:hAnsiTheme="minorBidi" w:cs="Arial"/>
          <w:u w:val="double"/>
          <w:rtl/>
        </w:rPr>
        <w:t>גמ'</w:t>
      </w:r>
      <w:r>
        <w:rPr>
          <w:rFonts w:asciiTheme="minorBidi" w:hAnsiTheme="minorBidi" w:cs="Arial" w:hint="cs"/>
          <w:rtl/>
        </w:rPr>
        <w:t>:</w:t>
      </w:r>
      <w:r w:rsidRPr="00DB3DFD">
        <w:rPr>
          <w:rFonts w:asciiTheme="minorBidi" w:hAnsiTheme="minorBidi" w:cs="Arial"/>
          <w:rtl/>
        </w:rPr>
        <w:t xml:space="preserve"> ניחא דן</w:t>
      </w:r>
      <w:r>
        <w:rPr>
          <w:rFonts w:asciiTheme="minorBidi" w:hAnsiTheme="minorBidi" w:cs="Arial" w:hint="cs"/>
          <w:rtl/>
        </w:rPr>
        <w:t>,</w:t>
      </w:r>
      <w:r w:rsidRPr="00DB3DFD">
        <w:rPr>
          <w:rFonts w:asciiTheme="minorBidi" w:hAnsiTheme="minorBidi" w:cs="Arial"/>
          <w:rtl/>
        </w:rPr>
        <w:t xml:space="preserve"> דנין אותו</w:t>
      </w:r>
      <w:r>
        <w:rPr>
          <w:rFonts w:asciiTheme="minorBidi" w:hAnsiTheme="minorBidi" w:cs="Arial" w:hint="cs"/>
          <w:rtl/>
        </w:rPr>
        <w:t>?</w:t>
      </w:r>
      <w:r w:rsidRPr="00DB3DFD">
        <w:rPr>
          <w:rFonts w:asciiTheme="minorBidi" w:hAnsiTheme="minorBidi" w:cs="Arial"/>
          <w:rtl/>
        </w:rPr>
        <w:t xml:space="preserve"> וימנה ליה אנטלר</w:t>
      </w:r>
      <w:r>
        <w:rPr>
          <w:rFonts w:asciiTheme="minorBidi" w:hAnsiTheme="minorBidi" w:cs="Arial" w:hint="cs"/>
          <w:rtl/>
        </w:rPr>
        <w:t>!</w:t>
      </w:r>
      <w:r w:rsidRPr="00DB3DFD">
        <w:rPr>
          <w:rFonts w:asciiTheme="minorBidi" w:hAnsiTheme="minorBidi" w:cs="Arial"/>
          <w:rtl/>
        </w:rPr>
        <w:t xml:space="preserve"> הגע עצמך שנפלה לו שבועה</w:t>
      </w:r>
      <w:r>
        <w:rPr>
          <w:rFonts w:asciiTheme="minorBidi" w:hAnsiTheme="minorBidi" w:cs="Arial" w:hint="cs"/>
          <w:rtl/>
        </w:rPr>
        <w:t>,</w:t>
      </w:r>
      <w:r w:rsidRPr="00DB3DFD">
        <w:rPr>
          <w:rFonts w:asciiTheme="minorBidi" w:hAnsiTheme="minorBidi" w:cs="Arial"/>
          <w:rtl/>
        </w:rPr>
        <w:t xml:space="preserve"> ואנטלר בשבועה</w:t>
      </w:r>
      <w:r>
        <w:rPr>
          <w:rFonts w:asciiTheme="minorBidi" w:hAnsiTheme="minorBidi" w:cs="Arial" w:hint="cs"/>
          <w:rtl/>
        </w:rPr>
        <w:t>?</w:t>
      </w:r>
      <w:r w:rsidR="00D476E1">
        <w:rPr>
          <w:rFonts w:asciiTheme="minorBidi" w:hAnsiTheme="minorBidi" w:hint="cs"/>
          <w:rtl/>
        </w:rPr>
        <w:t>.</w:t>
      </w:r>
    </w:p>
    <w:p w14:paraId="7CCD6592" w14:textId="77777777" w:rsidR="00E71932" w:rsidRPr="00E71932" w:rsidRDefault="00E71932" w:rsidP="00E71932">
      <w:pPr>
        <w:rPr>
          <w:rFonts w:asciiTheme="minorBidi" w:hAnsiTheme="minorBidi"/>
          <w:u w:val="single"/>
        </w:rPr>
      </w:pPr>
      <w:r>
        <w:rPr>
          <w:rFonts w:asciiTheme="minorBidi" w:hAnsiTheme="minorBidi" w:hint="cs"/>
          <w:u w:val="single"/>
          <w:rtl/>
        </w:rPr>
        <w:t>בעל דין שרוצה ל</w:t>
      </w:r>
      <w:r w:rsidRPr="00E71932">
        <w:rPr>
          <w:rFonts w:asciiTheme="minorBidi" w:hAnsiTheme="minorBidi" w:hint="cs"/>
          <w:u w:val="single"/>
          <w:rtl/>
        </w:rPr>
        <w:t>מנו</w:t>
      </w:r>
      <w:r>
        <w:rPr>
          <w:rFonts w:asciiTheme="minorBidi" w:hAnsiTheme="minorBidi" w:hint="cs"/>
          <w:u w:val="single"/>
          <w:rtl/>
        </w:rPr>
        <w:t>ת</w:t>
      </w:r>
      <w:r w:rsidRPr="00E71932">
        <w:rPr>
          <w:rFonts w:asciiTheme="minorBidi" w:hAnsiTheme="minorBidi" w:hint="cs"/>
          <w:u w:val="single"/>
          <w:rtl/>
        </w:rPr>
        <w:t xml:space="preserve"> שליח שיבוא לדין במקומו:</w:t>
      </w:r>
    </w:p>
    <w:p w14:paraId="6EBE9323" w14:textId="77777777" w:rsidR="00DB3DFD" w:rsidRPr="00DB3DFD" w:rsidRDefault="00DB3DFD" w:rsidP="007C720E">
      <w:pPr>
        <w:pStyle w:val="ac"/>
        <w:numPr>
          <w:ilvl w:val="0"/>
          <w:numId w:val="1"/>
        </w:numPr>
        <w:rPr>
          <w:rFonts w:asciiTheme="minorBidi" w:hAnsiTheme="minorBidi"/>
        </w:rPr>
      </w:pPr>
      <w:r>
        <w:rPr>
          <w:rFonts w:asciiTheme="minorBidi" w:hAnsiTheme="minorBidi" w:cs="Arial" w:hint="cs"/>
          <w:rtl/>
        </w:rPr>
        <w:t xml:space="preserve">ר"ח </w:t>
      </w:r>
      <w:r>
        <w:rPr>
          <w:rFonts w:asciiTheme="minorBidi" w:hAnsiTheme="minorBidi" w:cs="Arial" w:hint="cs"/>
          <w:sz w:val="16"/>
          <w:szCs w:val="16"/>
          <w:rtl/>
        </w:rPr>
        <w:t>(</w:t>
      </w:r>
      <w:r w:rsidRPr="008A63C7">
        <w:rPr>
          <w:rFonts w:asciiTheme="minorBidi" w:hAnsiTheme="minorBidi"/>
          <w:sz w:val="16"/>
          <w:szCs w:val="16"/>
          <w:rtl/>
        </w:rPr>
        <w:t>סנהדרין יח. ד"ה כהן</w:t>
      </w:r>
      <w:r>
        <w:rPr>
          <w:rFonts w:asciiTheme="minorBidi" w:hAnsiTheme="minorBidi" w:cs="Arial" w:hint="cs"/>
          <w:sz w:val="16"/>
          <w:szCs w:val="16"/>
          <w:rtl/>
        </w:rPr>
        <w:t>, כ"כ הרמב"ן בשמו)</w:t>
      </w:r>
      <w:r>
        <w:rPr>
          <w:rFonts w:asciiTheme="minorBidi" w:hAnsiTheme="minorBidi" w:cs="Arial" w:hint="cs"/>
          <w:rtl/>
        </w:rPr>
        <w:t xml:space="preserve"> וערוך </w:t>
      </w:r>
      <w:r>
        <w:rPr>
          <w:rFonts w:asciiTheme="minorBidi" w:hAnsiTheme="minorBidi" w:cs="Arial" w:hint="cs"/>
          <w:sz w:val="16"/>
          <w:szCs w:val="16"/>
          <w:rtl/>
        </w:rPr>
        <w:t>(</w:t>
      </w:r>
      <w:r w:rsidRPr="008A63C7">
        <w:rPr>
          <w:rFonts w:asciiTheme="minorBidi" w:hAnsiTheme="minorBidi"/>
          <w:sz w:val="16"/>
          <w:szCs w:val="16"/>
          <w:rtl/>
        </w:rPr>
        <w:t>ערך אנטלר</w:t>
      </w:r>
      <w:r>
        <w:rPr>
          <w:rFonts w:asciiTheme="minorBidi" w:hAnsiTheme="minorBidi" w:cs="Arial" w:hint="cs"/>
          <w:sz w:val="16"/>
          <w:szCs w:val="16"/>
          <w:rtl/>
        </w:rPr>
        <w:t>, וכ"כ הרמב"ן בשמו)</w:t>
      </w:r>
      <w:r>
        <w:rPr>
          <w:rFonts w:asciiTheme="minorBidi" w:hAnsiTheme="minorBidi" w:cs="Arial" w:hint="cs"/>
          <w:rtl/>
        </w:rPr>
        <w:t xml:space="preserve">- </w:t>
      </w:r>
      <w:r w:rsidR="00196FBE" w:rsidRPr="00196FBE">
        <w:rPr>
          <w:rFonts w:asciiTheme="minorBidi" w:hAnsiTheme="minorBidi" w:cs="Arial"/>
          <w:rtl/>
        </w:rPr>
        <w:t xml:space="preserve">אי איכא איניש דלא בעי למיתי בדינא </w:t>
      </w:r>
      <w:r w:rsidR="004876BE">
        <w:rPr>
          <w:rFonts w:asciiTheme="minorBidi" w:hAnsiTheme="minorBidi" w:cs="Arial" w:hint="cs"/>
          <w:rtl/>
        </w:rPr>
        <w:t xml:space="preserve">- </w:t>
      </w:r>
      <w:r w:rsidR="00196FBE" w:rsidRPr="00196FBE">
        <w:rPr>
          <w:rFonts w:asciiTheme="minorBidi" w:hAnsiTheme="minorBidi" w:cs="Arial"/>
          <w:rtl/>
        </w:rPr>
        <w:t>מצי למנויי בשבילו שליח בעדים בב"ד</w:t>
      </w:r>
      <w:r>
        <w:rPr>
          <w:rStyle w:val="ab"/>
          <w:rFonts w:asciiTheme="minorBidi" w:hAnsiTheme="minorBidi" w:cs="Arial"/>
          <w:rtl/>
        </w:rPr>
        <w:footnoteReference w:id="576"/>
      </w:r>
      <w:r>
        <w:rPr>
          <w:rFonts w:asciiTheme="minorBidi" w:hAnsiTheme="minorBidi" w:cs="Arial" w:hint="cs"/>
          <w:sz w:val="16"/>
          <w:szCs w:val="16"/>
          <w:rtl/>
        </w:rPr>
        <w:t xml:space="preserve"> (ל' הרמב"ן בשם מ"ד זה)</w:t>
      </w:r>
      <w:r w:rsidR="00196FBE" w:rsidRPr="00196FBE">
        <w:rPr>
          <w:rFonts w:asciiTheme="minorBidi" w:hAnsiTheme="minorBidi" w:cs="Arial"/>
          <w:rtl/>
        </w:rPr>
        <w:t xml:space="preserve">. </w:t>
      </w:r>
    </w:p>
    <w:p w14:paraId="201FA4B8" w14:textId="77777777" w:rsidR="008A63C7" w:rsidRDefault="00DB3DFD" w:rsidP="004F5DDE">
      <w:pPr>
        <w:pStyle w:val="ac"/>
        <w:numPr>
          <w:ilvl w:val="0"/>
          <w:numId w:val="1"/>
        </w:numPr>
        <w:rPr>
          <w:rFonts w:asciiTheme="minorBidi" w:hAnsiTheme="minorBidi"/>
        </w:rPr>
      </w:pPr>
      <w:r w:rsidRPr="00196FBE">
        <w:rPr>
          <w:rFonts w:asciiTheme="minorBidi" w:hAnsiTheme="minorBidi" w:cs="Arial"/>
          <w:rtl/>
        </w:rPr>
        <w:t>רב סעדיה גאון</w:t>
      </w:r>
      <w:r>
        <w:rPr>
          <w:rFonts w:asciiTheme="minorBidi" w:hAnsiTheme="minorBidi" w:cs="Arial" w:hint="cs"/>
          <w:rtl/>
        </w:rPr>
        <w:t xml:space="preserve"> רי"ף </w:t>
      </w:r>
      <w:r w:rsidR="00B66FF4">
        <w:rPr>
          <w:rFonts w:asciiTheme="minorBidi" w:hAnsiTheme="minorBidi" w:cs="Arial" w:hint="cs"/>
          <w:rtl/>
        </w:rPr>
        <w:t xml:space="preserve">רמב"ם </w:t>
      </w:r>
      <w:r w:rsidR="004F5DDE">
        <w:rPr>
          <w:rFonts w:asciiTheme="minorBidi" w:hAnsiTheme="minorBidi" w:cs="Arial" w:hint="cs"/>
          <w:rtl/>
        </w:rPr>
        <w:t xml:space="preserve">רמ"ה </w:t>
      </w:r>
      <w:r>
        <w:rPr>
          <w:rFonts w:asciiTheme="minorBidi" w:hAnsiTheme="minorBidi" w:cs="Arial" w:hint="cs"/>
          <w:rtl/>
        </w:rPr>
        <w:t>רמב"ן רא"ש</w:t>
      </w:r>
      <w:r w:rsidR="004F5DDE">
        <w:rPr>
          <w:rFonts w:asciiTheme="minorBidi" w:hAnsiTheme="minorBidi" w:cs="Arial" w:hint="cs"/>
          <w:rtl/>
        </w:rPr>
        <w:t xml:space="preserve"> וטור</w:t>
      </w:r>
      <w:r w:rsidR="00B66FF4">
        <w:rPr>
          <w:rStyle w:val="ab"/>
          <w:rFonts w:asciiTheme="minorBidi" w:hAnsiTheme="minorBidi" w:cs="Arial"/>
          <w:rtl/>
        </w:rPr>
        <w:footnoteReference w:id="577"/>
      </w:r>
      <w:r>
        <w:rPr>
          <w:rFonts w:asciiTheme="minorBidi" w:hAnsiTheme="minorBidi" w:cs="Arial" w:hint="cs"/>
          <w:rtl/>
        </w:rPr>
        <w:t xml:space="preserve">- </w:t>
      </w:r>
      <w:r w:rsidR="00196FBE" w:rsidRPr="00196FBE">
        <w:rPr>
          <w:rFonts w:asciiTheme="minorBidi" w:hAnsiTheme="minorBidi" w:cs="Arial"/>
          <w:rtl/>
        </w:rPr>
        <w:t>אין רשאי</w:t>
      </w:r>
      <w:r>
        <w:rPr>
          <w:rFonts w:asciiTheme="minorBidi" w:hAnsiTheme="minorBidi" w:cs="Arial" w:hint="cs"/>
          <w:rtl/>
        </w:rPr>
        <w:t>,</w:t>
      </w:r>
      <w:r w:rsidR="00196FBE" w:rsidRPr="00196FBE">
        <w:rPr>
          <w:rFonts w:asciiTheme="minorBidi" w:hAnsiTheme="minorBidi" w:cs="Arial"/>
          <w:rtl/>
        </w:rPr>
        <w:t xml:space="preserve"> שלא תהא סנהדרין שומעים מפי המתורגמן טענות של שקר</w:t>
      </w:r>
      <w:r w:rsidR="00B66FF4">
        <w:rPr>
          <w:rStyle w:val="ab"/>
          <w:rFonts w:asciiTheme="minorBidi" w:hAnsiTheme="minorBidi" w:cs="Arial"/>
          <w:rtl/>
        </w:rPr>
        <w:footnoteReference w:id="578"/>
      </w:r>
      <w:r>
        <w:rPr>
          <w:rFonts w:asciiTheme="minorBidi" w:hAnsiTheme="minorBidi" w:cs="Arial" w:hint="cs"/>
          <w:rtl/>
        </w:rPr>
        <w:t>.</w:t>
      </w:r>
      <w:r w:rsidRPr="00DB3DFD">
        <w:rPr>
          <w:rFonts w:asciiTheme="minorBidi" w:hAnsiTheme="minorBidi" w:cs="Arial"/>
          <w:color w:val="000000"/>
          <w:sz w:val="20"/>
          <w:szCs w:val="20"/>
          <w:rtl/>
        </w:rPr>
        <w:t xml:space="preserve"> </w:t>
      </w:r>
      <w:r w:rsidRPr="00DB3DFD">
        <w:rPr>
          <w:rFonts w:asciiTheme="minorBidi" w:hAnsiTheme="minorBidi" w:cs="Arial"/>
          <w:rtl/>
        </w:rPr>
        <w:t xml:space="preserve">והתם </w:t>
      </w:r>
      <w:r w:rsidRPr="00DB3DFD">
        <w:rPr>
          <w:rFonts w:asciiTheme="minorBidi" w:hAnsiTheme="minorBidi" w:cs="Arial" w:hint="cs"/>
          <w:sz w:val="16"/>
          <w:szCs w:val="16"/>
          <w:rtl/>
        </w:rPr>
        <w:t xml:space="preserve">{בירושלמי} </w:t>
      </w:r>
      <w:r w:rsidRPr="00DB3DFD">
        <w:rPr>
          <w:rFonts w:asciiTheme="minorBidi" w:hAnsiTheme="minorBidi" w:cs="Arial"/>
          <w:rtl/>
        </w:rPr>
        <w:t>משום יקרא דכ"ג שלא לבזותו דכתיב וקדשתו</w:t>
      </w:r>
      <w:r>
        <w:rPr>
          <w:rFonts w:asciiTheme="minorBidi" w:hAnsiTheme="minorBidi" w:cs="Arial" w:hint="cs"/>
          <w:rtl/>
        </w:rPr>
        <w:t>...</w:t>
      </w:r>
      <w:r w:rsidR="00196FBE" w:rsidRPr="00196FBE">
        <w:rPr>
          <w:rFonts w:asciiTheme="minorBidi" w:hAnsiTheme="minorBidi" w:cs="Arial"/>
          <w:rtl/>
        </w:rPr>
        <w:t xml:space="preserve"> וכן נשים אפי' יקרות לא ויתר להם בדין זה רב אלפס ז"ל אלא לשגר להם סופרי הדיינין ולטעון לפניהם אבל למסור טענות לאחרים לא.</w:t>
      </w:r>
      <w:r w:rsidR="004F5DDE">
        <w:rPr>
          <w:rFonts w:asciiTheme="minorBidi" w:hAnsiTheme="minorBidi" w:cs="Arial" w:hint="cs"/>
          <w:rtl/>
        </w:rPr>
        <w:t>..</w:t>
      </w:r>
      <w:r w:rsidR="00196FBE" w:rsidRPr="00196FBE">
        <w:rPr>
          <w:rFonts w:asciiTheme="minorBidi" w:hAnsiTheme="minorBidi" w:cs="Arial"/>
          <w:rtl/>
        </w:rPr>
        <w:t xml:space="preserve"> אבל כהן גדול אפילו זה גנאי לו ולפיכך ממנה אנטלר</w:t>
      </w:r>
      <w:r>
        <w:rPr>
          <w:rFonts w:asciiTheme="minorBidi" w:hAnsiTheme="minorBidi" w:cs="Arial" w:hint="cs"/>
          <w:rtl/>
        </w:rPr>
        <w:t>.</w:t>
      </w:r>
      <w:r w:rsidR="008A63C7" w:rsidRPr="004F5DDE">
        <w:rPr>
          <w:rFonts w:asciiTheme="minorBidi" w:hAnsiTheme="minorBidi" w:hint="cs"/>
          <w:rtl/>
        </w:rPr>
        <w:t xml:space="preserve"> </w:t>
      </w:r>
      <w:bookmarkStart w:id="82" w:name="_Hlk10631387"/>
      <w:r w:rsidR="008A63C7" w:rsidRPr="004F5DDE">
        <w:rPr>
          <w:rFonts w:asciiTheme="minorBidi" w:hAnsiTheme="minorBidi" w:hint="cs"/>
          <w:color w:val="E36C0A" w:themeColor="accent6" w:themeShade="BF"/>
          <w:rtl/>
        </w:rPr>
        <w:t>(וכ"פ בשו"ע</w:t>
      </w:r>
      <w:r w:rsidR="008A63C7" w:rsidRPr="004F5DDE">
        <w:rPr>
          <w:rFonts w:asciiTheme="minorBidi" w:hAnsiTheme="minorBidi" w:hint="cs"/>
          <w:color w:val="E36C0A" w:themeColor="accent6" w:themeShade="BF"/>
          <w:sz w:val="16"/>
          <w:szCs w:val="16"/>
          <w:rtl/>
        </w:rPr>
        <w:t xml:space="preserve"> </w:t>
      </w:r>
      <w:r w:rsidR="008A63C7" w:rsidRPr="004F5DDE">
        <w:rPr>
          <w:rFonts w:asciiTheme="minorBidi" w:hAnsiTheme="minorBidi" w:hint="cs"/>
          <w:sz w:val="16"/>
          <w:szCs w:val="16"/>
          <w:rtl/>
        </w:rPr>
        <w:t>[סי' קכד]</w:t>
      </w:r>
      <w:r w:rsidR="008A63C7" w:rsidRPr="004F5DDE">
        <w:rPr>
          <w:rFonts w:asciiTheme="minorBidi" w:hAnsiTheme="minorBidi" w:hint="cs"/>
          <w:color w:val="E36C0A" w:themeColor="accent6" w:themeShade="BF"/>
          <w:rtl/>
        </w:rPr>
        <w:t>)</w:t>
      </w:r>
      <w:bookmarkEnd w:id="82"/>
    </w:p>
    <w:p w14:paraId="78FEFC2F" w14:textId="77777777" w:rsidR="00B66FF4" w:rsidRPr="004F5DDE" w:rsidRDefault="00B66FF4" w:rsidP="00B66FF4">
      <w:pPr>
        <w:pStyle w:val="ac"/>
        <w:numPr>
          <w:ilvl w:val="1"/>
          <w:numId w:val="1"/>
        </w:numPr>
        <w:rPr>
          <w:rFonts w:asciiTheme="minorBidi" w:hAnsiTheme="minorBidi"/>
        </w:rPr>
      </w:pPr>
      <w:r>
        <w:rPr>
          <w:rFonts w:asciiTheme="minorBidi" w:hAnsiTheme="minorBidi" w:cs="Arial" w:hint="cs"/>
          <w:rtl/>
        </w:rPr>
        <w:t xml:space="preserve">ב"י </w:t>
      </w:r>
      <w:r>
        <w:rPr>
          <w:rFonts w:asciiTheme="minorBidi" w:hAnsiTheme="minorBidi" w:cs="Arial" w:hint="cs"/>
          <w:sz w:val="16"/>
          <w:szCs w:val="16"/>
          <w:rtl/>
        </w:rPr>
        <w:t>(בבדה"ב)</w:t>
      </w:r>
      <w:r>
        <w:rPr>
          <w:rFonts w:asciiTheme="minorBidi" w:hAnsiTheme="minorBidi" w:cs="Arial" w:hint="cs"/>
          <w:rtl/>
        </w:rPr>
        <w:t xml:space="preserve">- </w:t>
      </w:r>
      <w:r w:rsidRPr="00B66FF4">
        <w:rPr>
          <w:rFonts w:asciiTheme="minorBidi" w:hAnsiTheme="minorBidi" w:cs="Arial"/>
          <w:rtl/>
        </w:rPr>
        <w:t>ולענין הלכה כיון דכמה רבוותא סברי דאין ממנין אנטלר לנתבע מיהא הכי נקטינן</w:t>
      </w:r>
      <w:r>
        <w:rPr>
          <w:rFonts w:asciiTheme="minorBidi" w:hAnsiTheme="minorBidi" w:hint="cs"/>
          <w:rtl/>
        </w:rPr>
        <w:t>.</w:t>
      </w:r>
    </w:p>
    <w:p w14:paraId="691D9301" w14:textId="77777777" w:rsidR="00E137BC" w:rsidRPr="00576D5C" w:rsidRDefault="00E137BC" w:rsidP="00576D5C">
      <w:pPr>
        <w:rPr>
          <w:rFonts w:asciiTheme="minorBidi" w:hAnsiTheme="minorBidi"/>
          <w:b/>
          <w:bCs/>
          <w:color w:val="000000"/>
          <w:sz w:val="28"/>
          <w:szCs w:val="28"/>
          <w:u w:val="single"/>
          <w:rtl/>
        </w:rPr>
      </w:pPr>
      <w:r w:rsidRPr="00576D5C">
        <w:rPr>
          <w:rFonts w:asciiTheme="minorBidi" w:hAnsiTheme="minorBidi"/>
          <w:b/>
          <w:bCs/>
          <w:color w:val="000000"/>
          <w:sz w:val="28"/>
          <w:szCs w:val="28"/>
          <w:u w:val="single"/>
          <w:rtl/>
        </w:rPr>
        <w:t>שו"ע:</w:t>
      </w:r>
    </w:p>
    <w:p w14:paraId="2E9D77FD" w14:textId="77777777" w:rsidR="00E137BC" w:rsidRDefault="00E137BC" w:rsidP="00576D5C">
      <w:pPr>
        <w:rPr>
          <w:rFonts w:asciiTheme="minorBidi" w:hAnsiTheme="minorBidi"/>
          <w:rtl/>
        </w:rPr>
      </w:pPr>
      <w:r w:rsidRPr="00576D5C">
        <w:rPr>
          <w:rFonts w:asciiTheme="minorBidi" w:hAnsiTheme="minorBidi"/>
          <w:rtl/>
        </w:rPr>
        <w:t xml:space="preserve">נשים יקרות, </w:t>
      </w:r>
      <w:r w:rsidR="007C720E">
        <w:rPr>
          <w:rFonts w:asciiTheme="minorBidi" w:hAnsiTheme="minorBidi" w:hint="cs"/>
          <w:sz w:val="18"/>
          <w:szCs w:val="18"/>
          <w:rtl/>
        </w:rPr>
        <w:t xml:space="preserve">[הגה] </w:t>
      </w:r>
      <w:r w:rsidRPr="007C720E">
        <w:rPr>
          <w:rFonts w:asciiTheme="minorBidi" w:hAnsiTheme="minorBidi"/>
          <w:sz w:val="18"/>
          <w:szCs w:val="18"/>
          <w:rtl/>
        </w:rPr>
        <w:t>או ת"ח שתורתו אומנתו</w:t>
      </w:r>
      <w:r w:rsidRPr="00576D5C">
        <w:rPr>
          <w:rFonts w:asciiTheme="minorBidi" w:hAnsiTheme="minorBidi"/>
          <w:rtl/>
        </w:rPr>
        <w:t>, אם מזמנים אותם לבא לבית דין, וכן אם הנתבע יכול למנות שליח שיבא במקומו לבית דין, יתבאר</w:t>
      </w:r>
      <w:r w:rsidRPr="00B66FF4">
        <w:rPr>
          <w:rFonts w:asciiTheme="minorBidi" w:hAnsiTheme="minorBidi"/>
          <w:color w:val="FF0000"/>
          <w:rtl/>
        </w:rPr>
        <w:t xml:space="preserve"> בסימן צ"ו </w:t>
      </w:r>
      <w:r w:rsidRPr="00576D5C">
        <w:rPr>
          <w:rFonts w:asciiTheme="minorBidi" w:hAnsiTheme="minorBidi"/>
          <w:rtl/>
        </w:rPr>
        <w:t xml:space="preserve">ובסימן קכ"ד. </w:t>
      </w:r>
    </w:p>
    <w:p w14:paraId="6A10EA97" w14:textId="77777777" w:rsidR="007C720E" w:rsidRPr="00576D5C" w:rsidRDefault="007C720E" w:rsidP="00576D5C">
      <w:pPr>
        <w:rPr>
          <w:rFonts w:asciiTheme="minorBidi" w:hAnsiTheme="minorBidi"/>
          <w:rtl/>
        </w:rPr>
      </w:pPr>
    </w:p>
    <w:p w14:paraId="2604A036" w14:textId="77777777" w:rsidR="00E137BC" w:rsidRPr="00576D5C" w:rsidRDefault="00E137BC" w:rsidP="00406E8B">
      <w:pPr>
        <w:pStyle w:val="2"/>
        <w:rPr>
          <w:rtl/>
        </w:rPr>
      </w:pPr>
      <w:bookmarkStart w:id="83" w:name="_Toc24883573"/>
      <w:r w:rsidRPr="00576D5C">
        <w:rPr>
          <w:rtl/>
        </w:rPr>
        <w:t>סעיף ו</w:t>
      </w:r>
      <w:r w:rsidR="00887674" w:rsidRPr="00576D5C">
        <w:rPr>
          <w:rtl/>
        </w:rPr>
        <w:t>:</w:t>
      </w:r>
      <w:r w:rsidR="001B37F7">
        <w:rPr>
          <w:rFonts w:hint="cs"/>
          <w:rtl/>
        </w:rPr>
        <w:t xml:space="preserve"> חתימה מן הצד בשטר הזמנה.</w:t>
      </w:r>
      <w:bookmarkEnd w:id="83"/>
    </w:p>
    <w:p w14:paraId="1A830D0A" w14:textId="77777777" w:rsidR="001B37F7" w:rsidRPr="001B37F7" w:rsidRDefault="00D476E1" w:rsidP="00576D5C">
      <w:pPr>
        <w:rPr>
          <w:rFonts w:asciiTheme="minorBidi" w:hAnsiTheme="minorBidi"/>
          <w:u w:val="single"/>
          <w:rtl/>
        </w:rPr>
      </w:pPr>
      <w:r>
        <w:rPr>
          <w:rFonts w:asciiTheme="minorBidi" w:hAnsiTheme="minorBidi" w:hint="cs"/>
          <w:u w:val="single"/>
          <w:rtl/>
        </w:rPr>
        <w:t>נתבע ש</w:t>
      </w:r>
      <w:r w:rsidR="001B37F7" w:rsidRPr="001B37F7">
        <w:rPr>
          <w:rFonts w:asciiTheme="minorBidi" w:hAnsiTheme="minorBidi" w:hint="cs"/>
          <w:u w:val="single"/>
          <w:rtl/>
        </w:rPr>
        <w:t>כפר</w:t>
      </w:r>
      <w:r>
        <w:rPr>
          <w:rFonts w:asciiTheme="minorBidi" w:hAnsiTheme="minorBidi" w:hint="cs"/>
          <w:u w:val="single"/>
          <w:rtl/>
        </w:rPr>
        <w:t>,</w:t>
      </w:r>
      <w:r w:rsidR="001B37F7" w:rsidRPr="001B37F7">
        <w:rPr>
          <w:rFonts w:asciiTheme="minorBidi" w:hAnsiTheme="minorBidi" w:hint="cs"/>
          <w:u w:val="single"/>
          <w:rtl/>
        </w:rPr>
        <w:t xml:space="preserve"> ואח"כ הודה</w:t>
      </w:r>
      <w:r>
        <w:rPr>
          <w:rFonts w:asciiTheme="minorBidi" w:hAnsiTheme="minorBidi" w:hint="cs"/>
          <w:u w:val="single"/>
          <w:rtl/>
        </w:rPr>
        <w:t>,</w:t>
      </w:r>
      <w:r w:rsidR="001B37F7" w:rsidRPr="001B37F7">
        <w:rPr>
          <w:rFonts w:asciiTheme="minorBidi" w:hAnsiTheme="minorBidi" w:hint="cs"/>
          <w:u w:val="single"/>
          <w:rtl/>
        </w:rPr>
        <w:t xml:space="preserve"> ורוצה </w:t>
      </w:r>
      <w:r>
        <w:rPr>
          <w:rFonts w:asciiTheme="minorBidi" w:hAnsiTheme="minorBidi" w:hint="cs"/>
          <w:u w:val="single"/>
          <w:rtl/>
        </w:rPr>
        <w:t xml:space="preserve">עכשיו </w:t>
      </w:r>
      <w:r w:rsidR="001B37F7" w:rsidRPr="001B37F7">
        <w:rPr>
          <w:rFonts w:asciiTheme="minorBidi" w:hAnsiTheme="minorBidi" w:hint="cs"/>
          <w:u w:val="single"/>
          <w:rtl/>
        </w:rPr>
        <w:t>ל</w:t>
      </w:r>
      <w:r>
        <w:rPr>
          <w:rFonts w:asciiTheme="minorBidi" w:hAnsiTheme="minorBidi" w:hint="cs"/>
          <w:u w:val="single"/>
          <w:rtl/>
        </w:rPr>
        <w:t>הביא</w:t>
      </w:r>
      <w:r w:rsidR="001B37F7" w:rsidRPr="001B37F7">
        <w:rPr>
          <w:rFonts w:asciiTheme="minorBidi" w:hAnsiTheme="minorBidi" w:hint="cs"/>
          <w:u w:val="single"/>
          <w:rtl/>
        </w:rPr>
        <w:t xml:space="preserve"> עדים </w:t>
      </w:r>
      <w:r>
        <w:rPr>
          <w:rFonts w:asciiTheme="minorBidi" w:hAnsiTheme="minorBidi" w:hint="cs"/>
          <w:u w:val="single"/>
          <w:rtl/>
        </w:rPr>
        <w:t>על טענה חדשה</w:t>
      </w:r>
      <w:r w:rsidRPr="00D476E1">
        <w:rPr>
          <w:rFonts w:asciiTheme="minorBidi" w:hAnsiTheme="minorBidi" w:hint="cs"/>
          <w:sz w:val="16"/>
          <w:szCs w:val="16"/>
          <w:u w:val="single"/>
          <w:rtl/>
        </w:rPr>
        <w:t xml:space="preserve"> </w:t>
      </w:r>
      <w:r>
        <w:rPr>
          <w:rFonts w:asciiTheme="minorBidi" w:hAnsiTheme="minorBidi" w:hint="cs"/>
          <w:sz w:val="16"/>
          <w:szCs w:val="16"/>
          <w:u w:val="single"/>
          <w:rtl/>
        </w:rPr>
        <w:t>(</w:t>
      </w:r>
      <w:r w:rsidRPr="00D476E1">
        <w:rPr>
          <w:rFonts w:asciiTheme="minorBidi" w:hAnsiTheme="minorBidi" w:hint="cs"/>
          <w:sz w:val="16"/>
          <w:szCs w:val="16"/>
          <w:u w:val="single"/>
          <w:rtl/>
        </w:rPr>
        <w:t xml:space="preserve">שסותרת את </w:t>
      </w:r>
      <w:r>
        <w:rPr>
          <w:rFonts w:asciiTheme="minorBidi" w:hAnsiTheme="minorBidi" w:hint="cs"/>
          <w:sz w:val="16"/>
          <w:szCs w:val="16"/>
          <w:u w:val="single"/>
          <w:rtl/>
        </w:rPr>
        <w:t>מה ש</w:t>
      </w:r>
      <w:r w:rsidRPr="00D476E1">
        <w:rPr>
          <w:rFonts w:asciiTheme="minorBidi" w:hAnsiTheme="minorBidi" w:hint="cs"/>
          <w:sz w:val="16"/>
          <w:szCs w:val="16"/>
          <w:u w:val="single"/>
          <w:rtl/>
        </w:rPr>
        <w:t>כפר</w:t>
      </w:r>
      <w:r>
        <w:rPr>
          <w:rFonts w:asciiTheme="minorBidi" w:hAnsiTheme="minorBidi" w:hint="cs"/>
          <w:sz w:val="16"/>
          <w:szCs w:val="16"/>
          <w:u w:val="single"/>
          <w:rtl/>
        </w:rPr>
        <w:t xml:space="preserve"> בתחילה</w:t>
      </w:r>
      <w:r w:rsidRPr="00D476E1">
        <w:rPr>
          <w:rFonts w:asciiTheme="minorBidi" w:hAnsiTheme="minorBidi" w:hint="cs"/>
          <w:sz w:val="16"/>
          <w:szCs w:val="16"/>
          <w:u w:val="single"/>
          <w:rtl/>
        </w:rPr>
        <w:t>)</w:t>
      </w:r>
      <w:r w:rsidR="001B37F7" w:rsidRPr="001B37F7">
        <w:rPr>
          <w:rFonts w:asciiTheme="minorBidi" w:hAnsiTheme="minorBidi" w:hint="cs"/>
          <w:u w:val="single"/>
          <w:rtl/>
        </w:rPr>
        <w:t xml:space="preserve">:  </w:t>
      </w:r>
    </w:p>
    <w:p w14:paraId="3097EECF" w14:textId="77777777" w:rsidR="00887674" w:rsidRPr="00653E91" w:rsidRDefault="00D476E1" w:rsidP="00653E91">
      <w:pPr>
        <w:pStyle w:val="ac"/>
        <w:numPr>
          <w:ilvl w:val="0"/>
          <w:numId w:val="7"/>
        </w:numPr>
        <w:rPr>
          <w:rFonts w:asciiTheme="minorBidi" w:hAnsiTheme="minorBidi"/>
          <w:rtl/>
        </w:rPr>
      </w:pPr>
      <w:r>
        <w:rPr>
          <w:rFonts w:asciiTheme="minorBidi" w:hAnsiTheme="minorBidi" w:cs="Arial" w:hint="cs"/>
          <w:rtl/>
        </w:rPr>
        <w:t>רי"ו</w:t>
      </w:r>
      <w:r w:rsidR="00B909B8">
        <w:rPr>
          <w:rStyle w:val="ab"/>
          <w:rFonts w:asciiTheme="minorBidi" w:hAnsiTheme="minorBidi" w:cs="Arial"/>
          <w:rtl/>
        </w:rPr>
        <w:footnoteReference w:id="579"/>
      </w:r>
      <w:r>
        <w:rPr>
          <w:rFonts w:asciiTheme="minorBidi" w:hAnsiTheme="minorBidi" w:cs="Arial" w:hint="cs"/>
          <w:rtl/>
        </w:rPr>
        <w:t xml:space="preserve"> </w:t>
      </w:r>
      <w:r>
        <w:rPr>
          <w:rFonts w:asciiTheme="minorBidi" w:hAnsiTheme="minorBidi" w:cs="Arial" w:hint="cs"/>
          <w:sz w:val="16"/>
          <w:szCs w:val="16"/>
          <w:rtl/>
        </w:rPr>
        <w:t>(</w:t>
      </w:r>
      <w:r w:rsidRPr="00D476E1">
        <w:rPr>
          <w:rFonts w:asciiTheme="minorBidi" w:hAnsiTheme="minorBidi" w:cs="Arial"/>
          <w:sz w:val="16"/>
          <w:szCs w:val="16"/>
          <w:rtl/>
        </w:rPr>
        <w:t>מישרים נ</w:t>
      </w:r>
      <w:r>
        <w:rPr>
          <w:rFonts w:asciiTheme="minorBidi" w:hAnsiTheme="minorBidi" w:cs="Arial" w:hint="cs"/>
          <w:sz w:val="16"/>
          <w:szCs w:val="16"/>
          <w:rtl/>
        </w:rPr>
        <w:t>"</w:t>
      </w:r>
      <w:r w:rsidRPr="00D476E1">
        <w:rPr>
          <w:rFonts w:asciiTheme="minorBidi" w:hAnsiTheme="minorBidi" w:cs="Arial"/>
          <w:sz w:val="16"/>
          <w:szCs w:val="16"/>
          <w:rtl/>
        </w:rPr>
        <w:t>א חי</w:t>
      </w:r>
      <w:r>
        <w:rPr>
          <w:rFonts w:asciiTheme="minorBidi" w:hAnsiTheme="minorBidi" w:cs="Arial" w:hint="cs"/>
          <w:sz w:val="16"/>
          <w:szCs w:val="16"/>
          <w:rtl/>
        </w:rPr>
        <w:t>"</w:t>
      </w:r>
      <w:r w:rsidRPr="00D476E1">
        <w:rPr>
          <w:rFonts w:asciiTheme="minorBidi" w:hAnsiTheme="minorBidi" w:cs="Arial"/>
          <w:sz w:val="16"/>
          <w:szCs w:val="16"/>
          <w:rtl/>
        </w:rPr>
        <w:t>ב</w:t>
      </w:r>
      <w:r>
        <w:rPr>
          <w:rFonts w:asciiTheme="minorBidi" w:hAnsiTheme="minorBidi" w:cs="Arial" w:hint="cs"/>
          <w:sz w:val="16"/>
          <w:szCs w:val="16"/>
          <w:rtl/>
        </w:rPr>
        <w:t xml:space="preserve"> דף</w:t>
      </w:r>
      <w:r w:rsidRPr="00D476E1">
        <w:rPr>
          <w:rFonts w:asciiTheme="minorBidi" w:hAnsiTheme="minorBidi" w:cs="Arial"/>
          <w:sz w:val="16"/>
          <w:szCs w:val="16"/>
          <w:rtl/>
        </w:rPr>
        <w:t xml:space="preserve"> י טור ג</w:t>
      </w:r>
      <w:r w:rsidRPr="00D476E1">
        <w:rPr>
          <w:rFonts w:asciiTheme="minorBidi" w:hAnsiTheme="minorBidi" w:cs="Arial" w:hint="cs"/>
          <w:sz w:val="16"/>
          <w:szCs w:val="16"/>
          <w:rtl/>
        </w:rPr>
        <w:t>)</w:t>
      </w:r>
      <w:r w:rsidR="001B37F7" w:rsidRPr="001B37F7">
        <w:rPr>
          <w:rFonts w:asciiTheme="minorBidi" w:hAnsiTheme="minorBidi" w:hint="cs"/>
          <w:rtl/>
        </w:rPr>
        <w:t xml:space="preserve">- </w:t>
      </w:r>
      <w:r w:rsidR="00653E91" w:rsidRPr="00653E91">
        <w:rPr>
          <w:rFonts w:asciiTheme="minorBidi" w:hAnsiTheme="minorBidi" w:cs="Arial"/>
          <w:rtl/>
        </w:rPr>
        <w:t xml:space="preserve">ראובן תובע לשמעון שהזמינו לדין ולא בא ושיפרע קנס ההזמנה ושמעון כופר שלא הזמינו וראובן אומר אני אביא עדי' ומיראתו העדים חזר שמעון והודה שהזמינו ושיביא עדים שבא מיד להזמנתו הרי זה כאותה שאמרו </w:t>
      </w:r>
      <w:r w:rsidR="00653E91" w:rsidRPr="001B37F7">
        <w:rPr>
          <w:rFonts w:asciiTheme="minorBidi" w:hAnsiTheme="minorBidi"/>
          <w:sz w:val="16"/>
          <w:szCs w:val="16"/>
          <w:rtl/>
        </w:rPr>
        <w:t>(כתובות פח.)</w:t>
      </w:r>
      <w:r w:rsidR="00653E91">
        <w:rPr>
          <w:rFonts w:asciiTheme="minorBidi" w:hAnsiTheme="minorBidi" w:cs="Arial" w:hint="cs"/>
          <w:rtl/>
        </w:rPr>
        <w:t xml:space="preserve"> </w:t>
      </w:r>
      <w:r w:rsidR="00653E91" w:rsidRPr="00653E91">
        <w:rPr>
          <w:rFonts w:asciiTheme="minorBidi" w:hAnsiTheme="minorBidi" w:cs="Arial"/>
          <w:rtl/>
        </w:rPr>
        <w:t>כל האומר לא לויתי כאומר לא פרעתי ואינו נאמן אפילו יביא עדי' שלוה ופרע כמו כן בכאן כבר אמר שלא הזמינו ואינו נאמן שבא אפילו יביא עדים</w:t>
      </w:r>
      <w:r w:rsidR="00653E91">
        <w:rPr>
          <w:rFonts w:asciiTheme="minorBidi" w:hAnsiTheme="minorBidi" w:cs="Arial" w:hint="cs"/>
          <w:rtl/>
        </w:rPr>
        <w:t>,</w:t>
      </w:r>
      <w:r w:rsidR="00653E91" w:rsidRPr="00653E91">
        <w:rPr>
          <w:rFonts w:asciiTheme="minorBidi" w:hAnsiTheme="minorBidi" w:cs="Arial"/>
          <w:rtl/>
        </w:rPr>
        <w:t xml:space="preserve"> </w:t>
      </w:r>
      <w:r w:rsidR="00887674" w:rsidRPr="00653E91">
        <w:rPr>
          <w:rFonts w:asciiTheme="minorBidi" w:hAnsiTheme="minorBidi"/>
          <w:rtl/>
        </w:rPr>
        <w:t>כ</w:t>
      </w:r>
      <w:r w:rsidR="00653E91" w:rsidRPr="00653E91">
        <w:rPr>
          <w:rFonts w:asciiTheme="minorBidi" w:hAnsiTheme="minorBidi" w:hint="cs"/>
          <w:rtl/>
        </w:rPr>
        <w:t>ך</w:t>
      </w:r>
      <w:r w:rsidR="00887674" w:rsidRPr="00653E91">
        <w:rPr>
          <w:rFonts w:asciiTheme="minorBidi" w:hAnsiTheme="minorBidi"/>
          <w:rtl/>
        </w:rPr>
        <w:t xml:space="preserve"> כתב הרא"ש בתשובה</w:t>
      </w:r>
      <w:r w:rsidR="001B37F7" w:rsidRPr="00653E91">
        <w:rPr>
          <w:rFonts w:asciiTheme="minorBidi" w:hAnsiTheme="minorBidi" w:hint="cs"/>
          <w:rtl/>
        </w:rPr>
        <w:t>.</w:t>
      </w:r>
    </w:p>
    <w:p w14:paraId="4FB13B30" w14:textId="77777777" w:rsidR="00D476E1" w:rsidRPr="00B909B8" w:rsidRDefault="00D476E1" w:rsidP="00D476E1">
      <w:pPr>
        <w:rPr>
          <w:rFonts w:asciiTheme="minorBidi" w:hAnsiTheme="minorBidi"/>
          <w:sz w:val="16"/>
          <w:szCs w:val="16"/>
          <w:rtl/>
        </w:rPr>
      </w:pPr>
      <w:r w:rsidRPr="00D476E1">
        <w:rPr>
          <w:rFonts w:asciiTheme="minorBidi" w:hAnsiTheme="minorBidi" w:hint="cs"/>
          <w:b/>
          <w:bCs/>
          <w:rtl/>
        </w:rPr>
        <w:lastRenderedPageBreak/>
        <w:t xml:space="preserve">גיטין </w:t>
      </w:r>
      <w:r w:rsidRPr="00D476E1">
        <w:rPr>
          <w:rFonts w:asciiTheme="minorBidi" w:hAnsiTheme="minorBidi" w:hint="cs"/>
          <w:b/>
          <w:bCs/>
          <w:sz w:val="16"/>
          <w:szCs w:val="16"/>
          <w:rtl/>
        </w:rPr>
        <w:t>(</w:t>
      </w:r>
      <w:r w:rsidRPr="00D476E1">
        <w:rPr>
          <w:rFonts w:asciiTheme="minorBidi" w:hAnsiTheme="minorBidi"/>
          <w:b/>
          <w:bCs/>
          <w:sz w:val="16"/>
          <w:szCs w:val="16"/>
          <w:rtl/>
        </w:rPr>
        <w:t>פ</w:t>
      </w:r>
      <w:r w:rsidRPr="00D476E1">
        <w:rPr>
          <w:rFonts w:asciiTheme="minorBidi" w:hAnsiTheme="minorBidi" w:hint="cs"/>
          <w:b/>
          <w:bCs/>
          <w:sz w:val="16"/>
          <w:szCs w:val="16"/>
          <w:rtl/>
        </w:rPr>
        <w:t>'</w:t>
      </w:r>
      <w:r w:rsidRPr="00D476E1">
        <w:rPr>
          <w:rFonts w:asciiTheme="minorBidi" w:hAnsiTheme="minorBidi"/>
          <w:b/>
          <w:bCs/>
          <w:sz w:val="16"/>
          <w:szCs w:val="16"/>
          <w:rtl/>
        </w:rPr>
        <w:t xml:space="preserve"> המגרש</w:t>
      </w:r>
      <w:r w:rsidRPr="00D476E1">
        <w:rPr>
          <w:rFonts w:asciiTheme="minorBidi" w:hAnsiTheme="minorBidi" w:hint="cs"/>
          <w:b/>
          <w:bCs/>
          <w:sz w:val="16"/>
          <w:szCs w:val="16"/>
          <w:rtl/>
        </w:rPr>
        <w:t>)</w:t>
      </w:r>
      <w:r w:rsidRPr="00D476E1">
        <w:rPr>
          <w:rFonts w:asciiTheme="minorBidi" w:hAnsiTheme="minorBidi"/>
          <w:b/>
          <w:bCs/>
          <w:rtl/>
        </w:rPr>
        <w:t xml:space="preserve"> </w:t>
      </w:r>
      <w:r w:rsidRPr="00D476E1">
        <w:rPr>
          <w:rFonts w:asciiTheme="minorBidi" w:hAnsiTheme="minorBidi" w:hint="cs"/>
          <w:b/>
          <w:bCs/>
          <w:rtl/>
        </w:rPr>
        <w:t>פז</w:t>
      </w:r>
      <w:r w:rsidR="00653E91">
        <w:rPr>
          <w:rStyle w:val="ab"/>
          <w:rFonts w:asciiTheme="minorBidi" w:hAnsiTheme="minorBidi"/>
          <w:b/>
          <w:bCs/>
          <w:rtl/>
        </w:rPr>
        <w:footnoteReference w:id="580"/>
      </w:r>
      <w:r w:rsidRPr="00D476E1">
        <w:rPr>
          <w:rFonts w:asciiTheme="minorBidi" w:hAnsiTheme="minorBidi" w:hint="cs"/>
          <w:b/>
          <w:bCs/>
          <w:rtl/>
        </w:rPr>
        <w:t xml:space="preserve"> ע"ב:</w:t>
      </w:r>
      <w:r w:rsidRPr="00D476E1">
        <w:rPr>
          <w:rFonts w:asciiTheme="minorBidi" w:hAnsiTheme="minorBidi"/>
          <w:rtl/>
        </w:rPr>
        <w:t xml:space="preserve"> </w:t>
      </w:r>
      <w:r w:rsidRPr="00D476E1">
        <w:rPr>
          <w:rFonts w:asciiTheme="minorBidi" w:hAnsiTheme="minorBidi" w:cs="Arial"/>
          <w:u w:val="double"/>
          <w:rtl/>
        </w:rPr>
        <w:t>מתני'</w:t>
      </w:r>
      <w:r w:rsidRPr="00D476E1">
        <w:rPr>
          <w:rFonts w:asciiTheme="minorBidi" w:hAnsiTheme="minorBidi" w:cs="Arial" w:hint="cs"/>
          <w:u w:val="double"/>
          <w:rtl/>
        </w:rPr>
        <w:t>:</w:t>
      </w:r>
      <w:r w:rsidRPr="00D476E1">
        <w:rPr>
          <w:rFonts w:asciiTheme="minorBidi" w:hAnsiTheme="minorBidi" w:cs="Arial"/>
          <w:rtl/>
        </w:rPr>
        <w:t xml:space="preserve"> שייר מקצת הגט וכתבו בדף השני, והעדים מלמטה - כשר. חתמו עדים בראש הדף, מן הצד, או מאחריו בגט פשוט - פסול.</w:t>
      </w:r>
      <w:r w:rsidRPr="00D476E1">
        <w:rPr>
          <w:rFonts w:asciiTheme="minorBidi" w:hAnsiTheme="minorBidi" w:cs="Arial" w:hint="cs"/>
          <w:rtl/>
        </w:rPr>
        <w:t xml:space="preserve">..    </w:t>
      </w:r>
      <w:r w:rsidRPr="00D476E1">
        <w:rPr>
          <w:rFonts w:asciiTheme="minorBidi" w:hAnsiTheme="minorBidi" w:cs="Arial" w:hint="cs"/>
          <w:u w:val="double"/>
          <w:rtl/>
        </w:rPr>
        <w:t>גמ'</w:t>
      </w:r>
      <w:r w:rsidRPr="00D476E1">
        <w:rPr>
          <w:rFonts w:asciiTheme="minorBidi" w:hAnsiTheme="minorBidi" w:cs="Arial" w:hint="cs"/>
          <w:sz w:val="14"/>
          <w:szCs w:val="14"/>
          <w:u w:val="double"/>
          <w:rtl/>
        </w:rPr>
        <w:t xml:space="preserve"> (פח.)</w:t>
      </w:r>
      <w:r w:rsidRPr="00D476E1">
        <w:rPr>
          <w:rFonts w:asciiTheme="minorBidi" w:hAnsiTheme="minorBidi" w:cs="Arial" w:hint="cs"/>
          <w:u w:val="double"/>
          <w:rtl/>
        </w:rPr>
        <w:t>:</w:t>
      </w:r>
      <w:r w:rsidRPr="00D476E1">
        <w:rPr>
          <w:rFonts w:asciiTheme="minorBidi" w:hAnsiTheme="minorBidi" w:cs="Arial" w:hint="cs"/>
          <w:rtl/>
        </w:rPr>
        <w:t xml:space="preserve"> </w:t>
      </w:r>
      <w:r w:rsidRPr="00D476E1">
        <w:rPr>
          <w:rFonts w:asciiTheme="minorBidi" w:hAnsiTheme="minorBidi" w:cs="Arial"/>
          <w:rtl/>
        </w:rPr>
        <w:t>חתמו עדים בראש הדף וכו'. איני? והא רב חתים מן הצד!</w:t>
      </w:r>
      <w:r w:rsidRPr="00D476E1">
        <w:rPr>
          <w:rFonts w:asciiTheme="minorBidi" w:hAnsiTheme="minorBidi" w:cs="Arial" w:hint="cs"/>
          <w:rtl/>
        </w:rPr>
        <w:t xml:space="preserve">... </w:t>
      </w:r>
      <w:r w:rsidRPr="00D476E1">
        <w:rPr>
          <w:rFonts w:asciiTheme="minorBidi" w:hAnsiTheme="minorBidi" w:cs="Arial"/>
          <w:rtl/>
        </w:rPr>
        <w:t>אלא, רב</w:t>
      </w:r>
      <w:r>
        <w:rPr>
          <w:rStyle w:val="ab"/>
          <w:rFonts w:asciiTheme="minorBidi" w:hAnsiTheme="minorBidi" w:cs="Arial"/>
          <w:rtl/>
        </w:rPr>
        <w:footnoteReference w:id="581"/>
      </w:r>
      <w:r w:rsidRPr="00D476E1">
        <w:rPr>
          <w:rFonts w:asciiTheme="minorBidi" w:hAnsiTheme="minorBidi" w:cs="Arial"/>
          <w:rtl/>
        </w:rPr>
        <w:t xml:space="preserve"> בדיסקי הוה חתים. </w:t>
      </w:r>
      <w:r w:rsidR="00B909B8" w:rsidRPr="00B909B8">
        <w:rPr>
          <w:rFonts w:asciiTheme="minorBidi" w:hAnsiTheme="minorBidi" w:hint="cs"/>
          <w:color w:val="E36C0A" w:themeColor="accent6" w:themeShade="BF"/>
          <w:sz w:val="16"/>
          <w:szCs w:val="16"/>
          <w:rtl/>
        </w:rPr>
        <w:t>(וכ"פ בשו"ע)</w:t>
      </w:r>
    </w:p>
    <w:p w14:paraId="5D387EEC" w14:textId="77777777" w:rsidR="00E137BC" w:rsidRPr="00576D5C" w:rsidRDefault="00E137BC" w:rsidP="00576D5C">
      <w:pPr>
        <w:rPr>
          <w:rFonts w:asciiTheme="minorBidi" w:hAnsiTheme="minorBidi"/>
          <w:b/>
          <w:bCs/>
          <w:color w:val="000000"/>
          <w:sz w:val="28"/>
          <w:szCs w:val="28"/>
          <w:u w:val="single"/>
          <w:rtl/>
        </w:rPr>
      </w:pPr>
      <w:r w:rsidRPr="00576D5C">
        <w:rPr>
          <w:rFonts w:asciiTheme="minorBidi" w:hAnsiTheme="minorBidi"/>
          <w:b/>
          <w:bCs/>
          <w:color w:val="000000"/>
          <w:sz w:val="28"/>
          <w:szCs w:val="28"/>
          <w:u w:val="single"/>
          <w:rtl/>
        </w:rPr>
        <w:t>שו"ע:</w:t>
      </w:r>
    </w:p>
    <w:p w14:paraId="5B69FF72" w14:textId="77777777" w:rsidR="00E137BC" w:rsidRPr="00576D5C" w:rsidRDefault="00E137BC" w:rsidP="00576D5C">
      <w:pPr>
        <w:rPr>
          <w:rFonts w:asciiTheme="minorBidi" w:hAnsiTheme="minorBidi"/>
          <w:rtl/>
        </w:rPr>
      </w:pPr>
      <w:r w:rsidRPr="00576D5C">
        <w:rPr>
          <w:rFonts w:asciiTheme="minorBidi" w:hAnsiTheme="minorBidi"/>
          <w:rtl/>
        </w:rPr>
        <w:t>הדיין יכול לחתום בשטר הזמנה מן הצד.</w:t>
      </w:r>
    </w:p>
    <w:p w14:paraId="0C799ED8" w14:textId="77777777" w:rsidR="00E137BC" w:rsidRPr="00576D5C" w:rsidRDefault="00E137BC" w:rsidP="00576D5C">
      <w:pPr>
        <w:rPr>
          <w:rFonts w:asciiTheme="minorBidi" w:hAnsiTheme="minorBidi"/>
          <w:rtl/>
        </w:rPr>
        <w:sectPr w:rsidR="00E137BC" w:rsidRPr="00576D5C" w:rsidSect="00AF3AF9">
          <w:headerReference w:type="default" r:id="rId21"/>
          <w:footnotePr>
            <w:numRestart w:val="eachPage"/>
          </w:footnotePr>
          <w:pgSz w:w="11906" w:h="16838"/>
          <w:pgMar w:top="720" w:right="1134" w:bottom="720" w:left="1134" w:header="0" w:footer="0" w:gutter="0"/>
          <w:cols w:space="720"/>
          <w:bidi/>
          <w:rtlGutter/>
          <w:docGrid w:linePitch="360"/>
        </w:sectPr>
      </w:pPr>
    </w:p>
    <w:p w14:paraId="30CF838F" w14:textId="77777777" w:rsidR="00E137BC" w:rsidRPr="00576D5C" w:rsidRDefault="00E137BC" w:rsidP="00AB008F">
      <w:pPr>
        <w:pStyle w:val="1"/>
        <w:rPr>
          <w:rtl/>
        </w:rPr>
      </w:pPr>
      <w:bookmarkStart w:id="84" w:name="_Toc24883574"/>
      <w:bookmarkStart w:id="85" w:name="_Hlk525849660"/>
      <w:r w:rsidRPr="00576D5C">
        <w:rPr>
          <w:rtl/>
        </w:rPr>
        <w:lastRenderedPageBreak/>
        <w:t>סימן יב: דיין שבאו לפניו רך וקשה, וכל דיני פשרה, ובו כ' סעיפים.</w:t>
      </w:r>
      <w:bookmarkEnd w:id="84"/>
      <w:r w:rsidRPr="00576D5C">
        <w:rPr>
          <w:rtl/>
        </w:rPr>
        <w:t xml:space="preserve"> </w:t>
      </w:r>
    </w:p>
    <w:p w14:paraId="23F6DC8B" w14:textId="77777777" w:rsidR="00E137BC" w:rsidRDefault="00E137BC" w:rsidP="00AB008F">
      <w:pPr>
        <w:pStyle w:val="2"/>
        <w:rPr>
          <w:rtl/>
        </w:rPr>
      </w:pPr>
      <w:bookmarkStart w:id="86" w:name="_Toc24883575"/>
      <w:r w:rsidRPr="00576D5C">
        <w:rPr>
          <w:rtl/>
        </w:rPr>
        <w:t>סעיף א</w:t>
      </w:r>
      <w:r w:rsidR="00AB008F">
        <w:rPr>
          <w:rFonts w:hint="cs"/>
          <w:rtl/>
        </w:rPr>
        <w:t>:</w:t>
      </w:r>
      <w:r w:rsidR="00B45B34">
        <w:rPr>
          <w:rFonts w:hint="cs"/>
          <w:rtl/>
        </w:rPr>
        <w:t xml:space="preserve"> דיין שבאו לפניו רך וקשה.</w:t>
      </w:r>
      <w:bookmarkEnd w:id="86"/>
    </w:p>
    <w:p w14:paraId="507780EF" w14:textId="77777777" w:rsidR="001540CE" w:rsidRDefault="006E732B" w:rsidP="00AB008F">
      <w:pPr>
        <w:rPr>
          <w:rFonts w:cs="Arial"/>
          <w:rtl/>
        </w:rPr>
      </w:pPr>
      <w:r>
        <w:rPr>
          <w:rFonts w:cs="Arial" w:hint="cs"/>
          <w:b/>
          <w:bCs/>
          <w:rtl/>
        </w:rPr>
        <w:t xml:space="preserve">סנהדרין </w:t>
      </w:r>
      <w:r w:rsidRPr="006E732B">
        <w:rPr>
          <w:rFonts w:cs="Arial" w:hint="cs"/>
          <w:b/>
          <w:bCs/>
          <w:sz w:val="16"/>
          <w:szCs w:val="16"/>
          <w:rtl/>
        </w:rPr>
        <w:t xml:space="preserve">(פ"ק) </w:t>
      </w:r>
      <w:r>
        <w:rPr>
          <w:rFonts w:cs="Arial" w:hint="cs"/>
          <w:b/>
          <w:bCs/>
          <w:rtl/>
        </w:rPr>
        <w:t>ו</w:t>
      </w:r>
      <w:r w:rsidR="00D523AA">
        <w:rPr>
          <w:rStyle w:val="ab"/>
          <w:rFonts w:cs="Arial"/>
          <w:b/>
          <w:bCs/>
          <w:rtl/>
        </w:rPr>
        <w:footnoteReference w:id="582"/>
      </w:r>
      <w:r>
        <w:rPr>
          <w:rFonts w:cs="Arial" w:hint="cs"/>
          <w:b/>
          <w:bCs/>
          <w:rtl/>
        </w:rPr>
        <w:t xml:space="preserve"> ע"ב: </w:t>
      </w:r>
      <w:bookmarkStart w:id="88" w:name="_Hlk18492810"/>
      <w:r w:rsidR="001540CE" w:rsidRPr="006E732B">
        <w:rPr>
          <w:rFonts w:cs="Arial" w:hint="cs"/>
          <w:u w:val="single"/>
          <w:rtl/>
        </w:rPr>
        <w:t xml:space="preserve">ריש לקיש </w:t>
      </w:r>
      <w:r w:rsidR="001540CE" w:rsidRPr="006E732B">
        <w:rPr>
          <w:rFonts w:cs="Arial"/>
          <w:u w:val="single"/>
          <w:rtl/>
        </w:rPr>
        <w:t>אמר</w:t>
      </w:r>
      <w:r w:rsidR="001540CE" w:rsidRPr="001540CE">
        <w:rPr>
          <w:rFonts w:cs="Arial"/>
          <w:rtl/>
        </w:rPr>
        <w:t>: שנים שבאו לדין, אחד רך ואחד קשה</w:t>
      </w:r>
      <w:r>
        <w:rPr>
          <w:rStyle w:val="ab"/>
          <w:rFonts w:cs="Arial"/>
          <w:rtl/>
        </w:rPr>
        <w:footnoteReference w:id="583"/>
      </w:r>
      <w:r w:rsidR="001540CE" w:rsidRPr="001540CE">
        <w:rPr>
          <w:rFonts w:cs="Arial"/>
          <w:rtl/>
        </w:rPr>
        <w:t>, עד שלא תשמע דבריהם או משתשמע דבריהן ואין אתה יודע להיכן דין נוטה - אתה רשאי לומר להם: אין אני נזקק לכם. שמא נתחייב חזק ונמצא חזק רודפו</w:t>
      </w:r>
      <w:r>
        <w:rPr>
          <w:rStyle w:val="ab"/>
          <w:rFonts w:cs="Arial"/>
          <w:rtl/>
        </w:rPr>
        <w:footnoteReference w:id="584"/>
      </w:r>
      <w:r w:rsidR="001540CE" w:rsidRPr="001540CE">
        <w:rPr>
          <w:rFonts w:cs="Arial"/>
          <w:rtl/>
        </w:rPr>
        <w:t>. משתשמע דבריהן ואתה יודע להיכן הדין נוטה - אי אתה יכול לומר להן איני נזקק לכם, שנאמר לא תגורו מפני איש.</w:t>
      </w:r>
      <w:bookmarkEnd w:id="88"/>
      <w:r w:rsidR="001540CE" w:rsidRPr="001540CE">
        <w:rPr>
          <w:rFonts w:cs="Arial"/>
          <w:rtl/>
        </w:rPr>
        <w:t xml:space="preserve"> </w:t>
      </w:r>
    </w:p>
    <w:p w14:paraId="139A32C2" w14:textId="77777777" w:rsidR="00B45B34" w:rsidRDefault="00B45B34" w:rsidP="00B45B34">
      <w:pPr>
        <w:rPr>
          <w:rFonts w:cs="Arial"/>
          <w:rtl/>
        </w:rPr>
      </w:pPr>
      <w:r w:rsidRPr="00B45B34">
        <w:rPr>
          <w:rFonts w:cs="Arial" w:hint="cs"/>
          <w:u w:val="single"/>
          <w:rtl/>
        </w:rPr>
        <w:t xml:space="preserve">דיין שבאו לפניו ב' בעלי דין, א' </w:t>
      </w:r>
      <w:r>
        <w:rPr>
          <w:rFonts w:cs="Arial" w:hint="cs"/>
          <w:u w:val="single"/>
          <w:rtl/>
        </w:rPr>
        <w:t>רך</w:t>
      </w:r>
      <w:r w:rsidRPr="00B45B34">
        <w:rPr>
          <w:rFonts w:cs="Arial" w:hint="cs"/>
          <w:u w:val="single"/>
          <w:rtl/>
        </w:rPr>
        <w:t xml:space="preserve"> וא' </w:t>
      </w:r>
      <w:r>
        <w:rPr>
          <w:rFonts w:cs="Arial" w:hint="cs"/>
          <w:u w:val="single"/>
          <w:rtl/>
        </w:rPr>
        <w:t>קשה</w:t>
      </w:r>
      <w:r w:rsidRPr="00B45B34">
        <w:rPr>
          <w:rFonts w:cs="Arial" w:hint="cs"/>
          <w:u w:val="single"/>
          <w:rtl/>
        </w:rPr>
        <w:t xml:space="preserve"> </w:t>
      </w:r>
      <w:r w:rsidRPr="00B45B34">
        <w:rPr>
          <w:rFonts w:cs="Arial"/>
          <w:u w:val="single"/>
          <w:rtl/>
        </w:rPr>
        <w:t>–</w:t>
      </w:r>
      <w:r w:rsidRPr="00B45B34">
        <w:rPr>
          <w:rFonts w:cs="Arial" w:hint="cs"/>
          <w:u w:val="single"/>
          <w:rtl/>
        </w:rPr>
        <w:t xml:space="preserve"> האם רשאי לא להזקק להם:</w:t>
      </w:r>
    </w:p>
    <w:p w14:paraId="1D99FF77" w14:textId="77777777" w:rsidR="004A0328" w:rsidRDefault="003C4A20" w:rsidP="00C704CB">
      <w:pPr>
        <w:pStyle w:val="ac"/>
        <w:numPr>
          <w:ilvl w:val="0"/>
          <w:numId w:val="7"/>
        </w:numPr>
        <w:rPr>
          <w:rFonts w:cs="Arial"/>
        </w:rPr>
      </w:pPr>
      <w:r w:rsidRPr="00B45B34">
        <w:rPr>
          <w:rFonts w:cs="Arial"/>
          <w:rtl/>
        </w:rPr>
        <w:t>רמב"ם</w:t>
      </w:r>
      <w:r w:rsidRPr="00B45B34">
        <w:rPr>
          <w:rFonts w:cs="Arial"/>
          <w:sz w:val="16"/>
          <w:szCs w:val="16"/>
          <w:rtl/>
        </w:rPr>
        <w:t xml:space="preserve"> (סנהדרין פכ"ב ה"א)</w:t>
      </w:r>
      <w:r w:rsidR="004A0328">
        <w:rPr>
          <w:rFonts w:cs="Arial" w:hint="cs"/>
          <w:rtl/>
        </w:rPr>
        <w:t xml:space="preserve"> וטור</w:t>
      </w:r>
      <w:r w:rsidR="00B45B34">
        <w:rPr>
          <w:rFonts w:cs="Arial" w:hint="cs"/>
          <w:rtl/>
        </w:rPr>
        <w:t>-</w:t>
      </w:r>
      <w:r w:rsidRPr="00B45B34">
        <w:rPr>
          <w:rFonts w:cs="Arial"/>
          <w:rtl/>
        </w:rPr>
        <w:t xml:space="preserve"> </w:t>
      </w:r>
      <w:r w:rsidR="006E732B" w:rsidRPr="00B45B34">
        <w:rPr>
          <w:rFonts w:cs="Arial"/>
          <w:rtl/>
        </w:rPr>
        <w:t xml:space="preserve">שנים שבאו לפניך לדין אחד רך ואחד קשה, עד שלא תשמע את דבריהם או משתשמע את דבריהם ואי אתה יודע להיכן הדין נוטה </w:t>
      </w:r>
      <w:r w:rsidR="00DD46C0">
        <w:rPr>
          <w:rFonts w:cs="Arial" w:hint="cs"/>
          <w:rtl/>
        </w:rPr>
        <w:t xml:space="preserve">- </w:t>
      </w:r>
      <w:r w:rsidR="006E732B" w:rsidRPr="00B45B34">
        <w:rPr>
          <w:rFonts w:cs="Arial"/>
          <w:rtl/>
        </w:rPr>
        <w:t>אתה רשאי לומר להם איני נזקק לכם</w:t>
      </w:r>
      <w:r w:rsidR="00DD46C0">
        <w:rPr>
          <w:rFonts w:cs="Arial" w:hint="cs"/>
          <w:rtl/>
        </w:rPr>
        <w:t>,</w:t>
      </w:r>
      <w:r w:rsidR="006E732B" w:rsidRPr="00B45B34">
        <w:rPr>
          <w:rFonts w:cs="Arial"/>
          <w:rtl/>
        </w:rPr>
        <w:t xml:space="preserve"> שמא יתחייב הקשה ונמצא רודף אחר הדיין</w:t>
      </w:r>
      <w:r w:rsidR="00DD46C0">
        <w:rPr>
          <w:rFonts w:cs="Arial" w:hint="cs"/>
          <w:rtl/>
        </w:rPr>
        <w:t>.</w:t>
      </w:r>
      <w:r w:rsidR="006E732B" w:rsidRPr="00B45B34">
        <w:rPr>
          <w:rFonts w:cs="Arial"/>
          <w:rtl/>
        </w:rPr>
        <w:t xml:space="preserve"> אבל משתשמע את דבריהם ותדע להיכן הדין נוטה </w:t>
      </w:r>
      <w:r w:rsidR="00DD46C0">
        <w:rPr>
          <w:rFonts w:cs="Arial" w:hint="cs"/>
          <w:rtl/>
        </w:rPr>
        <w:t xml:space="preserve">- </w:t>
      </w:r>
      <w:r w:rsidR="006E732B" w:rsidRPr="00B45B34">
        <w:rPr>
          <w:rFonts w:cs="Arial"/>
          <w:rtl/>
        </w:rPr>
        <w:t>אי אתה רשאי לומר איני נזקק לכם, שנאמר לא תגורו מפני איש</w:t>
      </w:r>
      <w:r w:rsidR="006E732B" w:rsidRPr="00B45B34">
        <w:rPr>
          <w:rFonts w:cs="Arial" w:hint="cs"/>
          <w:rtl/>
        </w:rPr>
        <w:t>,</w:t>
      </w:r>
      <w:r w:rsidR="006E732B" w:rsidRPr="00B45B34">
        <w:rPr>
          <w:rFonts w:cs="Arial"/>
          <w:rtl/>
        </w:rPr>
        <w:t xml:space="preserve"> שלא תאמר איש פלוני רשע הוא שמא יהרוג את בני שמא ידליק את גדישי שמא יקצץ נטיעותי</w:t>
      </w:r>
      <w:r w:rsidR="006E732B" w:rsidRPr="00B45B34">
        <w:rPr>
          <w:rFonts w:cs="Arial" w:hint="cs"/>
          <w:rtl/>
        </w:rPr>
        <w:t>.</w:t>
      </w:r>
      <w:r w:rsidR="006E732B" w:rsidRPr="00B45B34">
        <w:rPr>
          <w:rFonts w:cs="Arial"/>
          <w:rtl/>
        </w:rPr>
        <w:t xml:space="preserve"> </w:t>
      </w:r>
      <w:r w:rsidR="004A0328" w:rsidRPr="004A0328">
        <w:rPr>
          <w:rFonts w:cs="Arial" w:hint="cs"/>
          <w:color w:val="E36C0A" w:themeColor="accent6" w:themeShade="BF"/>
          <w:rtl/>
        </w:rPr>
        <w:t>(וכ"פ בשו"ע)</w:t>
      </w:r>
    </w:p>
    <w:p w14:paraId="37EA3A8B" w14:textId="77777777" w:rsidR="004A0328" w:rsidRPr="004A0328" w:rsidRDefault="004A0328" w:rsidP="004A0328">
      <w:pPr>
        <w:ind w:left="360"/>
        <w:rPr>
          <w:rFonts w:cs="Arial"/>
          <w:u w:val="dotted"/>
        </w:rPr>
      </w:pPr>
      <w:r w:rsidRPr="004A0328">
        <w:rPr>
          <w:rFonts w:cs="Arial" w:hint="cs"/>
          <w:u w:val="dotted"/>
          <w:rtl/>
        </w:rPr>
        <w:t>ומה הדין אם היה ממונה לרבים:</w:t>
      </w:r>
    </w:p>
    <w:p w14:paraId="2FD4B6D2" w14:textId="77777777" w:rsidR="00B45B34" w:rsidRDefault="004A0328" w:rsidP="00C704CB">
      <w:pPr>
        <w:pStyle w:val="ac"/>
        <w:numPr>
          <w:ilvl w:val="0"/>
          <w:numId w:val="7"/>
        </w:numPr>
        <w:rPr>
          <w:rFonts w:cs="Arial"/>
        </w:rPr>
      </w:pPr>
      <w:r>
        <w:rPr>
          <w:rFonts w:cs="Arial" w:hint="cs"/>
          <w:rtl/>
        </w:rPr>
        <w:t>רמב"ם</w:t>
      </w:r>
      <w:r w:rsidR="0024604B">
        <w:rPr>
          <w:rFonts w:cs="Arial" w:hint="cs"/>
          <w:sz w:val="16"/>
          <w:szCs w:val="16"/>
          <w:rtl/>
        </w:rPr>
        <w:t xml:space="preserve"> (שם)</w:t>
      </w:r>
      <w:r>
        <w:rPr>
          <w:rFonts w:cs="Arial" w:hint="cs"/>
          <w:rtl/>
        </w:rPr>
        <w:t xml:space="preserve">- </w:t>
      </w:r>
      <w:r w:rsidR="00DD46C0">
        <w:rPr>
          <w:rFonts w:cs="Arial" w:hint="cs"/>
          <w:rtl/>
        </w:rPr>
        <w:t>ו</w:t>
      </w:r>
      <w:r w:rsidR="006E732B" w:rsidRPr="00B45B34">
        <w:rPr>
          <w:rFonts w:cs="Arial"/>
          <w:rtl/>
        </w:rPr>
        <w:t xml:space="preserve">אם היה ממונה לרבים </w:t>
      </w:r>
      <w:r w:rsidR="00E170CA">
        <w:rPr>
          <w:rFonts w:cs="Arial" w:hint="cs"/>
          <w:rtl/>
        </w:rPr>
        <w:t xml:space="preserve">- </w:t>
      </w:r>
      <w:r w:rsidR="006E732B" w:rsidRPr="00B45B34">
        <w:rPr>
          <w:rFonts w:cs="Arial"/>
          <w:rtl/>
        </w:rPr>
        <w:t xml:space="preserve">חייב להזקק להם. </w:t>
      </w:r>
      <w:r w:rsidRPr="004A0328">
        <w:rPr>
          <w:rFonts w:cs="Arial" w:hint="cs"/>
          <w:color w:val="E36C0A" w:themeColor="accent6" w:themeShade="BF"/>
          <w:rtl/>
        </w:rPr>
        <w:t>(וכ"פ בשו"ע)</w:t>
      </w:r>
    </w:p>
    <w:p w14:paraId="0E766557" w14:textId="77777777" w:rsidR="00B45B34" w:rsidRPr="00B45B34" w:rsidRDefault="00B45B34" w:rsidP="00B45B34">
      <w:pPr>
        <w:ind w:left="360"/>
        <w:rPr>
          <w:rFonts w:cs="Arial"/>
          <w:u w:val="dotted"/>
        </w:rPr>
      </w:pPr>
      <w:r w:rsidRPr="00B45B34">
        <w:rPr>
          <w:rFonts w:cs="Arial" w:hint="cs"/>
          <w:u w:val="dotted"/>
          <w:rtl/>
        </w:rPr>
        <w:t>ומה הדין היכא דהם ג' דיינים</w:t>
      </w:r>
      <w:r w:rsidR="004A0328">
        <w:rPr>
          <w:rFonts w:cs="Arial" w:hint="cs"/>
          <w:sz w:val="16"/>
          <w:szCs w:val="16"/>
          <w:u w:val="dotted"/>
          <w:rtl/>
        </w:rPr>
        <w:t xml:space="preserve"> (לא ממונים לרבים)</w:t>
      </w:r>
      <w:r w:rsidRPr="00B45B34">
        <w:rPr>
          <w:rFonts w:cs="Arial" w:hint="cs"/>
          <w:u w:val="dotted"/>
          <w:rtl/>
        </w:rPr>
        <w:t xml:space="preserve"> ואחד מהם רוצה להסתלק:</w:t>
      </w:r>
    </w:p>
    <w:p w14:paraId="6F1A8648" w14:textId="77777777" w:rsidR="00B45B34" w:rsidRPr="00B45B34" w:rsidRDefault="00B45B34" w:rsidP="00C704CB">
      <w:pPr>
        <w:pStyle w:val="ac"/>
        <w:numPr>
          <w:ilvl w:val="0"/>
          <w:numId w:val="7"/>
        </w:numPr>
        <w:rPr>
          <w:rFonts w:cs="Arial"/>
          <w:rtl/>
        </w:rPr>
      </w:pPr>
      <w:r w:rsidRPr="00B45B34">
        <w:rPr>
          <w:rFonts w:cs="Arial" w:hint="cs"/>
          <w:rtl/>
        </w:rPr>
        <w:t>הג"א</w:t>
      </w:r>
      <w:r w:rsidRPr="00B45B34">
        <w:rPr>
          <w:rFonts w:cs="Arial" w:hint="cs"/>
          <w:sz w:val="16"/>
          <w:szCs w:val="16"/>
          <w:rtl/>
        </w:rPr>
        <w:t xml:space="preserve"> (</w:t>
      </w:r>
      <w:r w:rsidRPr="00B45B34">
        <w:rPr>
          <w:rFonts w:cs="Arial"/>
          <w:sz w:val="16"/>
          <w:szCs w:val="16"/>
          <w:rtl/>
        </w:rPr>
        <w:t>פ</w:t>
      </w:r>
      <w:r w:rsidRPr="00B45B34">
        <w:rPr>
          <w:rFonts w:cs="Arial" w:hint="cs"/>
          <w:sz w:val="16"/>
          <w:szCs w:val="16"/>
          <w:rtl/>
        </w:rPr>
        <w:t>"</w:t>
      </w:r>
      <w:r w:rsidRPr="00B45B34">
        <w:rPr>
          <w:rFonts w:cs="Arial"/>
          <w:sz w:val="16"/>
          <w:szCs w:val="16"/>
          <w:rtl/>
        </w:rPr>
        <w:t xml:space="preserve">ק </w:t>
      </w:r>
      <w:r w:rsidRPr="00B45B34">
        <w:rPr>
          <w:rFonts w:cs="Arial" w:hint="cs"/>
          <w:sz w:val="16"/>
          <w:szCs w:val="16"/>
          <w:rtl/>
        </w:rPr>
        <w:t>ד</w:t>
      </w:r>
      <w:r w:rsidRPr="00B45B34">
        <w:rPr>
          <w:rFonts w:cs="Arial"/>
          <w:sz w:val="16"/>
          <w:szCs w:val="16"/>
          <w:rtl/>
        </w:rPr>
        <w:t>סנהדרין סי' ו</w:t>
      </w:r>
      <w:r w:rsidRPr="00B45B34">
        <w:rPr>
          <w:rFonts w:cs="Arial" w:hint="cs"/>
          <w:sz w:val="16"/>
          <w:szCs w:val="16"/>
          <w:rtl/>
        </w:rPr>
        <w:t>, כן הבין הב"י מדבריו</w:t>
      </w:r>
      <w:r w:rsidRPr="00B45B34">
        <w:rPr>
          <w:rFonts w:cs="Arial"/>
          <w:sz w:val="16"/>
          <w:szCs w:val="16"/>
          <w:rtl/>
        </w:rPr>
        <w:t>)</w:t>
      </w:r>
      <w:r w:rsidRPr="00B45B34">
        <w:rPr>
          <w:rFonts w:cs="Arial" w:hint="cs"/>
          <w:rtl/>
        </w:rPr>
        <w:t xml:space="preserve">- </w:t>
      </w:r>
      <w:r w:rsidR="00DD46C0" w:rsidRPr="00DD46C0">
        <w:rPr>
          <w:rFonts w:cs="Arial"/>
          <w:rtl/>
        </w:rPr>
        <w:t>ג' שישבו לדין וסילק האחד את עצמו קודם שידע היכן הדין נוטה</w:t>
      </w:r>
      <w:r w:rsidR="004A1F20">
        <w:rPr>
          <w:rFonts w:cs="Arial" w:hint="cs"/>
          <w:rtl/>
        </w:rPr>
        <w:t xml:space="preserve"> -</w:t>
      </w:r>
      <w:r w:rsidR="00DD46C0" w:rsidRPr="00DD46C0">
        <w:rPr>
          <w:rFonts w:cs="Arial"/>
          <w:rtl/>
        </w:rPr>
        <w:t xml:space="preserve"> אין השנים יכולין לגמור הדין</w:t>
      </w:r>
      <w:r w:rsidR="004A1F20">
        <w:rPr>
          <w:rFonts w:cs="Arial" w:hint="cs"/>
          <w:rtl/>
        </w:rPr>
        <w:t>,</w:t>
      </w:r>
      <w:r w:rsidR="00DD46C0" w:rsidRPr="00DD46C0">
        <w:rPr>
          <w:rFonts w:cs="Arial"/>
          <w:rtl/>
        </w:rPr>
        <w:t xml:space="preserve"> דלא עדיף משנים מזכין או מחייבין ואחד אומר איני יודע דיוסיפו הדיינין דכיון דמעיקרא אדעתא דתלתא יתבי</w:t>
      </w:r>
      <w:r>
        <w:rPr>
          <w:rStyle w:val="ab"/>
          <w:rFonts w:cs="Arial"/>
          <w:rtl/>
        </w:rPr>
        <w:footnoteReference w:id="585"/>
      </w:r>
      <w:r w:rsidRPr="00B45B34">
        <w:rPr>
          <w:rFonts w:cs="Arial" w:hint="cs"/>
          <w:rtl/>
        </w:rPr>
        <w:t>.</w:t>
      </w:r>
    </w:p>
    <w:p w14:paraId="679E6387" w14:textId="77777777" w:rsidR="00B45B34" w:rsidRPr="00B45B34" w:rsidRDefault="00B45B34" w:rsidP="00B45B34">
      <w:pPr>
        <w:rPr>
          <w:rFonts w:cs="Arial"/>
          <w:rtl/>
        </w:rPr>
      </w:pPr>
      <w:r w:rsidRPr="00B45B34">
        <w:rPr>
          <w:rFonts w:cs="Arial" w:hint="cs"/>
          <w:u w:val="single"/>
          <w:rtl/>
        </w:rPr>
        <w:t>דיין שבאו לפניו ב' בעלי דין</w:t>
      </w:r>
      <w:r>
        <w:rPr>
          <w:rFonts w:cs="Arial" w:hint="cs"/>
          <w:u w:val="single"/>
          <w:rtl/>
        </w:rPr>
        <w:t xml:space="preserve"> קשים</w:t>
      </w:r>
      <w:r w:rsidRPr="00B45B34">
        <w:rPr>
          <w:rFonts w:cs="Arial" w:hint="cs"/>
          <w:u w:val="single"/>
          <w:rtl/>
        </w:rPr>
        <w:t xml:space="preserve"> </w:t>
      </w:r>
      <w:r w:rsidRPr="00B45B34">
        <w:rPr>
          <w:rFonts w:cs="Arial"/>
          <w:u w:val="single"/>
          <w:rtl/>
        </w:rPr>
        <w:t>–</w:t>
      </w:r>
      <w:r w:rsidRPr="00B45B34">
        <w:rPr>
          <w:rFonts w:cs="Arial" w:hint="cs"/>
          <w:u w:val="single"/>
          <w:rtl/>
        </w:rPr>
        <w:t xml:space="preserve"> האם רשאי לא להזקק להם:</w:t>
      </w:r>
    </w:p>
    <w:p w14:paraId="425D171F" w14:textId="77777777" w:rsidR="006E732B" w:rsidRPr="00B45B34" w:rsidRDefault="006E732B" w:rsidP="00C704CB">
      <w:pPr>
        <w:pStyle w:val="ac"/>
        <w:numPr>
          <w:ilvl w:val="0"/>
          <w:numId w:val="7"/>
        </w:numPr>
        <w:rPr>
          <w:rFonts w:cs="Arial"/>
          <w:rtl/>
        </w:rPr>
      </w:pPr>
      <w:r w:rsidRPr="00B45B34">
        <w:rPr>
          <w:rFonts w:cs="Arial" w:hint="cs"/>
          <w:rtl/>
        </w:rPr>
        <w:t>הג"א</w:t>
      </w:r>
      <w:r w:rsidR="003C4A20" w:rsidRPr="00B45B34">
        <w:rPr>
          <w:rFonts w:cs="Arial"/>
          <w:rtl/>
        </w:rPr>
        <w:t xml:space="preserve"> </w:t>
      </w:r>
      <w:r w:rsidRPr="00B45B34">
        <w:rPr>
          <w:rFonts w:cs="Arial" w:hint="cs"/>
          <w:sz w:val="16"/>
          <w:szCs w:val="16"/>
          <w:rtl/>
        </w:rPr>
        <w:t>(</w:t>
      </w:r>
      <w:r w:rsidR="003C4A20" w:rsidRPr="00B45B34">
        <w:rPr>
          <w:rFonts w:cs="Arial"/>
          <w:sz w:val="16"/>
          <w:szCs w:val="16"/>
          <w:rtl/>
        </w:rPr>
        <w:t>ריש סנהדרין סי' ה)</w:t>
      </w:r>
      <w:r w:rsidRPr="00B45B34">
        <w:rPr>
          <w:rFonts w:cs="Arial" w:hint="cs"/>
          <w:rtl/>
        </w:rPr>
        <w:t>-</w:t>
      </w:r>
      <w:r w:rsidR="003C4A20" w:rsidRPr="00B45B34">
        <w:rPr>
          <w:rFonts w:cs="Arial"/>
          <w:rtl/>
        </w:rPr>
        <w:t xml:space="preserve"> אם שניהם חזקים </w:t>
      </w:r>
      <w:r w:rsidR="00E170CA">
        <w:rPr>
          <w:rFonts w:cs="Arial" w:hint="cs"/>
          <w:rtl/>
        </w:rPr>
        <w:t xml:space="preserve">- </w:t>
      </w:r>
      <w:r w:rsidR="003C4A20" w:rsidRPr="00B45B34">
        <w:rPr>
          <w:rFonts w:cs="Arial"/>
          <w:rtl/>
        </w:rPr>
        <w:t>אינו רשאי לומר איני נזקק לכ</w:t>
      </w:r>
      <w:r w:rsidRPr="00B45B34">
        <w:rPr>
          <w:rFonts w:cs="Arial" w:hint="cs"/>
          <w:rtl/>
        </w:rPr>
        <w:t>ם</w:t>
      </w:r>
      <w:r>
        <w:rPr>
          <w:rStyle w:val="ab"/>
          <w:rFonts w:cs="Arial"/>
          <w:rtl/>
        </w:rPr>
        <w:footnoteReference w:id="586"/>
      </w:r>
      <w:r w:rsidRPr="00B45B34">
        <w:rPr>
          <w:rFonts w:cs="Arial" w:hint="cs"/>
          <w:rtl/>
        </w:rPr>
        <w:t>.</w:t>
      </w:r>
      <w:r w:rsidR="004A0328">
        <w:rPr>
          <w:rFonts w:cs="Arial" w:hint="cs"/>
          <w:rtl/>
        </w:rPr>
        <w:t xml:space="preserve"> </w:t>
      </w:r>
      <w:r w:rsidR="004A0328" w:rsidRPr="004A0328">
        <w:rPr>
          <w:rFonts w:cs="Arial" w:hint="cs"/>
          <w:color w:val="00B0F0"/>
          <w:rtl/>
        </w:rPr>
        <w:t>(וכ"פ הרמ"א)</w:t>
      </w:r>
    </w:p>
    <w:p w14:paraId="084CDB61" w14:textId="77777777" w:rsidR="006E732B" w:rsidRDefault="006E732B" w:rsidP="00AB008F">
      <w:pPr>
        <w:rPr>
          <w:rFonts w:cs="Arial"/>
          <w:rtl/>
        </w:rPr>
      </w:pPr>
      <w:r w:rsidRPr="006E732B">
        <w:rPr>
          <w:rFonts w:cs="Arial" w:hint="cs"/>
          <w:u w:val="single"/>
          <w:rtl/>
        </w:rPr>
        <w:t xml:space="preserve">אדם שמאיים על בית הדין שלא ידונוהו </w:t>
      </w:r>
      <w:r w:rsidRPr="006E732B">
        <w:rPr>
          <w:rFonts w:cs="Arial"/>
          <w:u w:val="single"/>
          <w:rtl/>
        </w:rPr>
        <w:t>–</w:t>
      </w:r>
      <w:r w:rsidRPr="006E732B">
        <w:rPr>
          <w:rFonts w:cs="Arial" w:hint="cs"/>
          <w:u w:val="single"/>
          <w:rtl/>
        </w:rPr>
        <w:t xml:space="preserve"> האם בית הדין רשאי לא להזקק לזה הדין:</w:t>
      </w:r>
    </w:p>
    <w:p w14:paraId="0788C6EC" w14:textId="77777777" w:rsidR="006E732B" w:rsidRPr="00B45B34" w:rsidRDefault="003C4A20" w:rsidP="00C704CB">
      <w:pPr>
        <w:pStyle w:val="ac"/>
        <w:numPr>
          <w:ilvl w:val="0"/>
          <w:numId w:val="7"/>
        </w:numPr>
        <w:rPr>
          <w:rFonts w:cs="Arial"/>
          <w:rtl/>
        </w:rPr>
      </w:pPr>
      <w:r w:rsidRPr="006E732B">
        <w:rPr>
          <w:rFonts w:cs="Arial"/>
          <w:rtl/>
        </w:rPr>
        <w:t xml:space="preserve">רשב"א </w:t>
      </w:r>
      <w:r w:rsidRPr="006E732B">
        <w:rPr>
          <w:rFonts w:cs="Arial"/>
          <w:sz w:val="16"/>
          <w:szCs w:val="16"/>
          <w:rtl/>
        </w:rPr>
        <w:t>(ח"ב סי' שדמ)</w:t>
      </w:r>
      <w:r w:rsidR="006E732B" w:rsidRPr="006E732B">
        <w:rPr>
          <w:rFonts w:cs="Arial" w:hint="cs"/>
          <w:rtl/>
        </w:rPr>
        <w:t xml:space="preserve">- </w:t>
      </w:r>
      <w:r w:rsidRPr="006E732B">
        <w:rPr>
          <w:rFonts w:cs="Arial"/>
          <w:rtl/>
        </w:rPr>
        <w:t>אחד שאיים לבית דין שלא יטפלו בדינו אלא שיבא לעירו ויעמוד עמו לדין לפני בית דין שבעירו</w:t>
      </w:r>
      <w:r w:rsidR="00227DB3">
        <w:rPr>
          <w:rFonts w:cs="Arial" w:hint="cs"/>
          <w:rtl/>
        </w:rPr>
        <w:t>.</w:t>
      </w:r>
      <w:r w:rsidRPr="006E732B">
        <w:rPr>
          <w:rFonts w:cs="Arial"/>
          <w:rtl/>
        </w:rPr>
        <w:t xml:space="preserve"> אין זה מציל את הבית דין להזדקק לתובע</w:t>
      </w:r>
      <w:r w:rsidR="00227DB3">
        <w:rPr>
          <w:rFonts w:cs="Arial" w:hint="cs"/>
          <w:rtl/>
        </w:rPr>
        <w:t>,</w:t>
      </w:r>
      <w:r w:rsidRPr="006E732B">
        <w:rPr>
          <w:rFonts w:cs="Arial"/>
          <w:rtl/>
        </w:rPr>
        <w:t xml:space="preserve"> שאם הוא הפחידם לעשות עמהם שלא כדין שמא אין בידו כח ומפחידם בדברי הבאי. ועוד שאם כן יהו כל אדם עושין כן שאין לך אחד שלא יוכל להזיק</w:t>
      </w:r>
      <w:r w:rsidR="00227DB3">
        <w:rPr>
          <w:rFonts w:cs="Arial" w:hint="cs"/>
          <w:rtl/>
        </w:rPr>
        <w:t>,</w:t>
      </w:r>
      <w:r w:rsidRPr="006E732B">
        <w:rPr>
          <w:rFonts w:cs="Arial"/>
          <w:rtl/>
        </w:rPr>
        <w:t xml:space="preserve"> ואם כן אין הגדולים נידונים לעולם והתורה אמרה לא תגורו מפני איש כי המשפט לאלהים הוא</w:t>
      </w:r>
      <w:r w:rsidR="006E732B">
        <w:rPr>
          <w:rStyle w:val="ab"/>
          <w:rFonts w:cs="Arial"/>
          <w:rtl/>
        </w:rPr>
        <w:footnoteReference w:id="587"/>
      </w:r>
      <w:r w:rsidRPr="006E732B">
        <w:rPr>
          <w:rFonts w:cs="Arial"/>
          <w:rtl/>
        </w:rPr>
        <w:t xml:space="preserve">. </w:t>
      </w:r>
    </w:p>
    <w:p w14:paraId="2544056E" w14:textId="77777777" w:rsidR="00E137BC" w:rsidRPr="00576D5C" w:rsidRDefault="00E137BC" w:rsidP="00576D5C">
      <w:pPr>
        <w:rPr>
          <w:rFonts w:asciiTheme="minorBidi" w:hAnsiTheme="minorBidi"/>
          <w:b/>
          <w:bCs/>
          <w:color w:val="000000"/>
          <w:sz w:val="28"/>
          <w:szCs w:val="28"/>
          <w:u w:val="single"/>
          <w:rtl/>
        </w:rPr>
      </w:pPr>
      <w:r w:rsidRPr="00576D5C">
        <w:rPr>
          <w:rFonts w:asciiTheme="minorBidi" w:hAnsiTheme="minorBidi"/>
          <w:b/>
          <w:bCs/>
          <w:color w:val="000000"/>
          <w:sz w:val="28"/>
          <w:szCs w:val="28"/>
          <w:u w:val="single"/>
          <w:rtl/>
        </w:rPr>
        <w:t>שו"ע:</w:t>
      </w:r>
    </w:p>
    <w:p w14:paraId="3D91218E" w14:textId="77777777" w:rsidR="00E137BC" w:rsidRDefault="00E137BC" w:rsidP="00576D5C">
      <w:pPr>
        <w:rPr>
          <w:rFonts w:asciiTheme="minorBidi" w:hAnsiTheme="minorBidi"/>
          <w:rtl/>
        </w:rPr>
      </w:pPr>
      <w:r w:rsidRPr="00576D5C">
        <w:rPr>
          <w:rFonts w:asciiTheme="minorBidi" w:hAnsiTheme="minorBidi"/>
          <w:rtl/>
        </w:rPr>
        <w:t xml:space="preserve">שנים שבאו לפניך לדין, אחד רך ואחד קשה, עד שלא תשמע דבריהם או משתשמע דבריהם ואי אתה יודע להיכן הדין נוטה, אתה רשאי לומר להם איני נזקק לכם, שמא יתחייב הקשה ונמצא רודף אחר הדיין. אבל משתשמע דבריהם ותדע להיכן הדין נוטה אי אתה רשאי לומר איני נזקק לכם. ואם היה ממונה לרבים חייב להזקק להם. </w:t>
      </w:r>
      <w:r w:rsidRPr="004A0328">
        <w:rPr>
          <w:rFonts w:asciiTheme="minorBidi" w:hAnsiTheme="minorBidi"/>
          <w:sz w:val="18"/>
          <w:szCs w:val="18"/>
          <w:rtl/>
        </w:rPr>
        <w:t xml:space="preserve">הגה: וכן אם היו </w:t>
      </w:r>
      <w:r w:rsidRPr="004A0328">
        <w:rPr>
          <w:rFonts w:asciiTheme="minorBidi" w:hAnsiTheme="minorBidi"/>
          <w:sz w:val="18"/>
          <w:szCs w:val="18"/>
          <w:rtl/>
        </w:rPr>
        <w:lastRenderedPageBreak/>
        <w:t>שניהם חזקים</w:t>
      </w:r>
      <w:r w:rsidR="00494C12">
        <w:rPr>
          <w:rStyle w:val="ab"/>
          <w:rFonts w:asciiTheme="minorBidi" w:hAnsiTheme="minorBidi"/>
          <w:sz w:val="18"/>
          <w:szCs w:val="18"/>
          <w:rtl/>
        </w:rPr>
        <w:footnoteReference w:id="588"/>
      </w:r>
      <w:r w:rsidRPr="004A0328">
        <w:rPr>
          <w:rFonts w:asciiTheme="minorBidi" w:hAnsiTheme="minorBidi"/>
          <w:sz w:val="18"/>
          <w:szCs w:val="18"/>
          <w:rtl/>
        </w:rPr>
        <w:t>, צריך לזקק להם (הג</w:t>
      </w:r>
      <w:r w:rsidR="00AB008F" w:rsidRPr="004A0328">
        <w:rPr>
          <w:rFonts w:asciiTheme="minorBidi" w:hAnsiTheme="minorBidi" w:hint="cs"/>
          <w:sz w:val="18"/>
          <w:szCs w:val="18"/>
          <w:rtl/>
        </w:rPr>
        <w:t>"</w:t>
      </w:r>
      <w:r w:rsidRPr="004A0328">
        <w:rPr>
          <w:rFonts w:asciiTheme="minorBidi" w:hAnsiTheme="minorBidi"/>
          <w:sz w:val="18"/>
          <w:szCs w:val="18"/>
          <w:rtl/>
        </w:rPr>
        <w:t>א וב"י בשם תוס</w:t>
      </w:r>
      <w:r w:rsidR="004A0328">
        <w:rPr>
          <w:rFonts w:asciiTheme="minorBidi" w:hAnsiTheme="minorBidi" w:hint="cs"/>
          <w:sz w:val="18"/>
          <w:szCs w:val="18"/>
          <w:rtl/>
        </w:rPr>
        <w:t>'</w:t>
      </w:r>
      <w:r w:rsidRPr="004A0328">
        <w:rPr>
          <w:rFonts w:asciiTheme="minorBidi" w:hAnsiTheme="minorBidi"/>
          <w:sz w:val="18"/>
          <w:szCs w:val="18"/>
          <w:rtl/>
        </w:rPr>
        <w:t>). ויש מי שכתב דמ</w:t>
      </w:r>
      <w:r w:rsidR="004A0328">
        <w:rPr>
          <w:rFonts w:asciiTheme="minorBidi" w:hAnsiTheme="minorBidi" w:hint="cs"/>
          <w:sz w:val="18"/>
          <w:szCs w:val="18"/>
          <w:rtl/>
        </w:rPr>
        <w:t>"</w:t>
      </w:r>
      <w:r w:rsidRPr="004A0328">
        <w:rPr>
          <w:rFonts w:asciiTheme="minorBidi" w:hAnsiTheme="minorBidi"/>
          <w:sz w:val="18"/>
          <w:szCs w:val="18"/>
          <w:rtl/>
        </w:rPr>
        <w:t>מ נוהגין עכשיו שלא למחות בעוברי עבירה</w:t>
      </w:r>
      <w:r w:rsidR="00494C12">
        <w:rPr>
          <w:rStyle w:val="ab"/>
          <w:rFonts w:asciiTheme="minorBidi" w:hAnsiTheme="minorBidi"/>
          <w:sz w:val="18"/>
          <w:szCs w:val="18"/>
          <w:rtl/>
        </w:rPr>
        <w:footnoteReference w:id="589"/>
      </w:r>
      <w:r w:rsidRPr="004A0328">
        <w:rPr>
          <w:rFonts w:asciiTheme="minorBidi" w:hAnsiTheme="minorBidi"/>
          <w:sz w:val="18"/>
          <w:szCs w:val="18"/>
          <w:rtl/>
        </w:rPr>
        <w:t>, משום שיש סכנה בדבר שלא ימסר</w:t>
      </w:r>
      <w:r w:rsidR="00227DB3">
        <w:rPr>
          <w:rFonts w:asciiTheme="minorBidi" w:hAnsiTheme="minorBidi" w:hint="cs"/>
          <w:sz w:val="18"/>
          <w:szCs w:val="18"/>
          <w:rtl/>
        </w:rPr>
        <w:t>ו</w:t>
      </w:r>
      <w:r w:rsidRPr="004A0328">
        <w:rPr>
          <w:rFonts w:asciiTheme="minorBidi" w:hAnsiTheme="minorBidi"/>
          <w:sz w:val="18"/>
          <w:szCs w:val="18"/>
          <w:rtl/>
        </w:rPr>
        <w:t>נו ל</w:t>
      </w:r>
      <w:r w:rsidR="00227DB3">
        <w:rPr>
          <w:rFonts w:asciiTheme="minorBidi" w:hAnsiTheme="minorBidi" w:hint="cs"/>
          <w:sz w:val="18"/>
          <w:szCs w:val="18"/>
          <w:rtl/>
        </w:rPr>
        <w:t>מלכות</w:t>
      </w:r>
      <w:r w:rsidRPr="004A0328">
        <w:rPr>
          <w:rFonts w:asciiTheme="minorBidi" w:hAnsiTheme="minorBidi"/>
          <w:sz w:val="18"/>
          <w:szCs w:val="18"/>
          <w:rtl/>
        </w:rPr>
        <w:t xml:space="preserve"> (מהרי"ו).</w:t>
      </w:r>
      <w:r w:rsidRPr="00576D5C">
        <w:rPr>
          <w:rFonts w:asciiTheme="minorBidi" w:hAnsiTheme="minorBidi"/>
          <w:rtl/>
        </w:rPr>
        <w:t xml:space="preserve"> </w:t>
      </w:r>
    </w:p>
    <w:p w14:paraId="03C12134" w14:textId="77777777" w:rsidR="00AB008F" w:rsidRPr="00576D5C" w:rsidRDefault="00AB008F" w:rsidP="00576D5C">
      <w:pPr>
        <w:rPr>
          <w:rFonts w:asciiTheme="minorBidi" w:hAnsiTheme="minorBidi"/>
          <w:rtl/>
        </w:rPr>
      </w:pPr>
    </w:p>
    <w:p w14:paraId="2323687D" w14:textId="77777777" w:rsidR="00E137BC" w:rsidRDefault="00E137BC" w:rsidP="00AB008F">
      <w:pPr>
        <w:pStyle w:val="2"/>
        <w:rPr>
          <w:rtl/>
        </w:rPr>
      </w:pPr>
      <w:bookmarkStart w:id="89" w:name="_Toc24883576"/>
      <w:r w:rsidRPr="00576D5C">
        <w:rPr>
          <w:rtl/>
        </w:rPr>
        <w:t>סעיף ב</w:t>
      </w:r>
      <w:r w:rsidR="003C4A20">
        <w:rPr>
          <w:rFonts w:hint="cs"/>
          <w:rtl/>
        </w:rPr>
        <w:t>:</w:t>
      </w:r>
      <w:r w:rsidR="00972EF3">
        <w:rPr>
          <w:rFonts w:hint="cs"/>
          <w:rtl/>
        </w:rPr>
        <w:t xml:space="preserve"> מצוה לתת לבעלי הדין לבחור בין דין לפשרה.</w:t>
      </w:r>
      <w:bookmarkEnd w:id="89"/>
    </w:p>
    <w:p w14:paraId="206C376A" w14:textId="77777777" w:rsidR="0024604B" w:rsidRDefault="0024604B" w:rsidP="006567B0">
      <w:pPr>
        <w:rPr>
          <w:rFonts w:cs="Arial"/>
          <w:rtl/>
        </w:rPr>
      </w:pPr>
      <w:r>
        <w:rPr>
          <w:rFonts w:cs="Arial" w:hint="cs"/>
          <w:b/>
          <w:bCs/>
          <w:rtl/>
        </w:rPr>
        <w:t xml:space="preserve">סנהדרין </w:t>
      </w:r>
      <w:r w:rsidRPr="006E732B">
        <w:rPr>
          <w:rFonts w:cs="Arial" w:hint="cs"/>
          <w:b/>
          <w:bCs/>
          <w:sz w:val="16"/>
          <w:szCs w:val="16"/>
          <w:rtl/>
        </w:rPr>
        <w:t xml:space="preserve">(פ"ק) </w:t>
      </w:r>
      <w:r>
        <w:rPr>
          <w:rFonts w:cs="Arial" w:hint="cs"/>
          <w:b/>
          <w:bCs/>
          <w:rtl/>
        </w:rPr>
        <w:t>ו</w:t>
      </w:r>
      <w:r w:rsidR="00004773">
        <w:rPr>
          <w:rStyle w:val="ab"/>
          <w:rFonts w:cs="Arial"/>
          <w:b/>
          <w:bCs/>
          <w:rtl/>
        </w:rPr>
        <w:footnoteReference w:id="590"/>
      </w:r>
      <w:r>
        <w:rPr>
          <w:rFonts w:cs="Arial" w:hint="cs"/>
          <w:b/>
          <w:bCs/>
          <w:rtl/>
        </w:rPr>
        <w:t xml:space="preserve"> ע"</w:t>
      </w:r>
      <w:r w:rsidR="00CC7DFA">
        <w:rPr>
          <w:rFonts w:cs="Arial" w:hint="cs"/>
          <w:b/>
          <w:bCs/>
          <w:rtl/>
        </w:rPr>
        <w:t>א</w:t>
      </w:r>
      <w:r>
        <w:rPr>
          <w:rFonts w:cs="Arial" w:hint="cs"/>
          <w:b/>
          <w:bCs/>
          <w:rtl/>
        </w:rPr>
        <w:t>:</w:t>
      </w:r>
      <w:r w:rsidRPr="00CC7DFA">
        <w:rPr>
          <w:rFonts w:cs="Arial" w:hint="cs"/>
          <w:rtl/>
        </w:rPr>
        <w:t xml:space="preserve"> </w:t>
      </w:r>
      <w:r w:rsidR="00CC7DFA" w:rsidRPr="00CC7DFA">
        <w:rPr>
          <w:rFonts w:cs="Arial"/>
          <w:rtl/>
        </w:rPr>
        <w:t>תנו רבנן: כשם שהדין בשלשה כך ביצוע בשלשה,</w:t>
      </w:r>
      <w:r w:rsidR="00CC7DFA" w:rsidRPr="00CC7DFA">
        <w:rPr>
          <w:rFonts w:cs="Arial" w:hint="cs"/>
          <w:sz w:val="14"/>
          <w:szCs w:val="14"/>
          <w:rtl/>
        </w:rPr>
        <w:t xml:space="preserve"> (ו:)</w:t>
      </w:r>
      <w:r w:rsidR="00CC7DFA" w:rsidRPr="00CC7DFA">
        <w:rPr>
          <w:rtl/>
        </w:rPr>
        <w:t xml:space="preserve"> </w:t>
      </w:r>
      <w:r w:rsidR="00CC7DFA" w:rsidRPr="00CC7DFA">
        <w:rPr>
          <w:rFonts w:cs="Arial"/>
          <w:rtl/>
        </w:rPr>
        <w:t>נגמר הדין</w:t>
      </w:r>
      <w:r w:rsidR="00304F63">
        <w:rPr>
          <w:rStyle w:val="ab"/>
          <w:rFonts w:cs="Arial"/>
          <w:rtl/>
        </w:rPr>
        <w:footnoteReference w:id="591"/>
      </w:r>
      <w:r w:rsidR="00CC7DFA" w:rsidRPr="00CC7DFA">
        <w:rPr>
          <w:rFonts w:cs="Arial"/>
          <w:rtl/>
        </w:rPr>
        <w:t xml:space="preserve"> - אי אתה רשאי לבצוע</w:t>
      </w:r>
      <w:r w:rsidR="00E15C35">
        <w:rPr>
          <w:rFonts w:cs="Arial" w:hint="cs"/>
          <w:rtl/>
        </w:rPr>
        <w:t>..</w:t>
      </w:r>
      <w:r w:rsidR="00CC7DFA" w:rsidRPr="00CC7DFA">
        <w:rPr>
          <w:rFonts w:cs="Arial"/>
          <w:rtl/>
        </w:rPr>
        <w:t xml:space="preserve">. </w:t>
      </w:r>
      <w:r w:rsidR="00CC7DFA" w:rsidRPr="00F83D1C">
        <w:rPr>
          <w:rFonts w:cs="Arial"/>
          <w:u w:val="single"/>
          <w:rtl/>
        </w:rPr>
        <w:t>רבי אליעזר בנו של רבי יוסי הגלילי אומר</w:t>
      </w:r>
      <w:r w:rsidR="00CC7DFA" w:rsidRPr="00CC7DFA">
        <w:rPr>
          <w:rFonts w:cs="Arial"/>
          <w:rtl/>
        </w:rPr>
        <w:t>: אסור לבצוע, וכל הבוצע - הרי זה חוטא, וכל המברך את הבוצע - הרי זה מנאץ, ועל זה נאמר בצע ברך נאץ ה', אלא: יקוב הדין את ההר, שנאמר כי המשפט לאלהים הוא, וכן משה היה אומר יקוב הדין את ההר, אבל אהרן אוהב שלום ורודף שלום, ומשים שלום בין אדם לחבירו, שנאמר תורת אמת היתה בפיהו ועולה לא נמצא בשפתיו בשלום ובמישור הלך אתי ורבים השיב מעון.</w:t>
      </w:r>
      <w:r w:rsidR="00F83D1C">
        <w:rPr>
          <w:rFonts w:cs="Arial" w:hint="cs"/>
          <w:rtl/>
        </w:rPr>
        <w:t>..</w:t>
      </w:r>
      <w:r w:rsidR="00CC7DFA" w:rsidRPr="00CC7DFA">
        <w:rPr>
          <w:rFonts w:cs="Arial"/>
          <w:rtl/>
        </w:rPr>
        <w:t xml:space="preserve"> </w:t>
      </w:r>
      <w:r w:rsidRPr="0024604B">
        <w:rPr>
          <w:rFonts w:cs="Arial"/>
          <w:u w:val="single"/>
          <w:rtl/>
        </w:rPr>
        <w:t>רבי יהושע בן קרחה אומר</w:t>
      </w:r>
      <w:r w:rsidRPr="0024604B">
        <w:rPr>
          <w:rFonts w:cs="Arial"/>
          <w:rtl/>
        </w:rPr>
        <w:t>: מצוה לבצוע, שנאמר: אמת ומשפט שלום שפטו בשעריכם. והלא במקום שיש משפט - אין שלום, ובמקום שיש שלום - אין משפט. אלא איזהו משפט שיש בו שלום - הוי אומר: זה ביצוע. וכן בדוד הוא אומר ויהי דוד עושה משפט וצדקה, והלא כל מקום שיש משפט - אין צדקה, וצדקה - אין משפט, אלא איזהו משפט שיש בו צדקה - הוי אומר: זה ביצוע</w:t>
      </w:r>
      <w:r>
        <w:rPr>
          <w:rFonts w:cs="Arial" w:hint="cs"/>
          <w:rtl/>
        </w:rPr>
        <w:t>..</w:t>
      </w:r>
      <w:r w:rsidRPr="0024604B">
        <w:rPr>
          <w:rFonts w:cs="Arial"/>
          <w:rtl/>
        </w:rPr>
        <w:t>.</w:t>
      </w:r>
      <w:r w:rsidR="00F83D1C" w:rsidRPr="00F83D1C">
        <w:rPr>
          <w:rtl/>
        </w:rPr>
        <w:t xml:space="preserve"> </w:t>
      </w:r>
      <w:r w:rsidR="00F83D1C" w:rsidRPr="00F83D1C">
        <w:rPr>
          <w:rFonts w:cs="Arial"/>
          <w:u w:val="single"/>
          <w:rtl/>
        </w:rPr>
        <w:t>רבי שמעון בן מנסיא אומר:</w:t>
      </w:r>
      <w:r w:rsidR="00F83D1C" w:rsidRPr="00F83D1C">
        <w:rPr>
          <w:rFonts w:cs="Arial"/>
          <w:rtl/>
        </w:rPr>
        <w:t xml:space="preserve"> שנים שבאו לפניך לדין, עד שלא תשמע דבריהן, או משתשמע דבריהן ואי אתה יודע להיכן דין נוטה - אתה רשאי לומר להן: צאו ובצעו. משתשמע דבריהן ואתה יודע להיכן הדין נוטה - אי אתה רשאי לומר להן: צאו ובצעו. שנאמר פוטר מים ראשית מדון ולפני התגלע הריב נטוש, קודם שנתגלע הריב - אתה יכול לנטשו, משנתגלע הריב - אי אתה יכול לנטשו.</w:t>
      </w:r>
      <w:r w:rsidR="00F83D1C">
        <w:rPr>
          <w:rFonts w:cs="Arial" w:hint="cs"/>
          <w:rtl/>
        </w:rPr>
        <w:t>..</w:t>
      </w:r>
      <w:r w:rsidR="00F83D1C" w:rsidRPr="00F83D1C">
        <w:rPr>
          <w:rtl/>
        </w:rPr>
        <w:t xml:space="preserve"> </w:t>
      </w:r>
      <w:r w:rsidR="00F83D1C" w:rsidRPr="00F83D1C">
        <w:rPr>
          <w:rFonts w:cs="Arial"/>
          <w:rtl/>
        </w:rPr>
        <w:t xml:space="preserve">היכי דמי גמר דין? </w:t>
      </w:r>
      <w:r w:rsidR="00F83D1C" w:rsidRPr="00F83D1C">
        <w:rPr>
          <w:rFonts w:cs="Arial"/>
          <w:u w:val="single"/>
          <w:rtl/>
        </w:rPr>
        <w:t>אמר רב יהודה אמר רב</w:t>
      </w:r>
      <w:r w:rsidR="00F83D1C" w:rsidRPr="00F83D1C">
        <w:rPr>
          <w:rFonts w:cs="Arial"/>
          <w:rtl/>
        </w:rPr>
        <w:t>: איש פלוני אתה חייב, איש פלוני אתה זכאי.</w:t>
      </w:r>
      <w:r w:rsidRPr="0024604B">
        <w:rPr>
          <w:rFonts w:cs="Arial"/>
          <w:rtl/>
        </w:rPr>
        <w:t xml:space="preserve"> </w:t>
      </w:r>
      <w:r w:rsidRPr="0024604B">
        <w:rPr>
          <w:rFonts w:cs="Arial"/>
          <w:u w:val="single"/>
          <w:rtl/>
        </w:rPr>
        <w:t>אמר רב</w:t>
      </w:r>
      <w:r w:rsidRPr="0024604B">
        <w:rPr>
          <w:rFonts w:cs="Arial"/>
          <w:rtl/>
        </w:rPr>
        <w:t>: הלכה כרבי יהושע בן קרחה. איני? והא רב הונא תלמידיה דרב הוה, כי הוה אתו לקמיה דרב הונא, אמר להו: אי דינא בעיתו אי פשרה בעיתו. מאי מצוה נמי דקאמר רבי יהושע בן קרחה</w:t>
      </w:r>
      <w:r w:rsidR="00607AD1">
        <w:rPr>
          <w:rFonts w:cs="Arial" w:hint="cs"/>
          <w:rtl/>
        </w:rPr>
        <w:t>?</w:t>
      </w:r>
      <w:r w:rsidRPr="0024604B">
        <w:rPr>
          <w:rFonts w:cs="Arial"/>
          <w:rtl/>
        </w:rPr>
        <w:t xml:space="preserve"> </w:t>
      </w:r>
      <w:r>
        <w:rPr>
          <w:rFonts w:cs="Arial" w:hint="cs"/>
          <w:sz w:val="14"/>
          <w:szCs w:val="14"/>
          <w:rtl/>
        </w:rPr>
        <w:t xml:space="preserve">(ז.) </w:t>
      </w:r>
      <w:r w:rsidRPr="0024604B">
        <w:rPr>
          <w:rFonts w:cs="Arial"/>
          <w:rtl/>
        </w:rPr>
        <w:t>מצוה למימרא להו</w:t>
      </w:r>
      <w:r>
        <w:rPr>
          <w:rStyle w:val="ab"/>
          <w:rFonts w:cs="Arial"/>
          <w:rtl/>
        </w:rPr>
        <w:footnoteReference w:id="592"/>
      </w:r>
      <w:r w:rsidRPr="0024604B">
        <w:rPr>
          <w:rFonts w:cs="Arial"/>
          <w:rtl/>
        </w:rPr>
        <w:t>: אי דינא בעיתו, אי פשרה בעיתו. היינו תנא קמא</w:t>
      </w:r>
      <w:r w:rsidR="00CC7DFA">
        <w:rPr>
          <w:rStyle w:val="ab"/>
          <w:rFonts w:cs="Arial"/>
          <w:rtl/>
        </w:rPr>
        <w:footnoteReference w:id="593"/>
      </w:r>
      <w:r w:rsidRPr="0024604B">
        <w:rPr>
          <w:rFonts w:cs="Arial"/>
          <w:rtl/>
        </w:rPr>
        <w:t>! איכא בינייהו מצוה</w:t>
      </w:r>
      <w:r w:rsidR="00CC7DFA">
        <w:rPr>
          <w:rStyle w:val="ab"/>
          <w:rFonts w:cs="Arial"/>
          <w:rtl/>
        </w:rPr>
        <w:footnoteReference w:id="594"/>
      </w:r>
      <w:r w:rsidRPr="0024604B">
        <w:rPr>
          <w:rFonts w:cs="Arial"/>
          <w:rtl/>
        </w:rPr>
        <w:t>. רבי יהושע בן קרחה סבר: מצוה, תנא קמא סבר: רשות. היינו דרבי שמעון בן מנסיא! איכא בינייהו משתשמע דבריהן</w:t>
      </w:r>
      <w:r w:rsidR="00CC7DFA">
        <w:rPr>
          <w:rStyle w:val="ab"/>
          <w:rFonts w:cs="Arial"/>
          <w:rtl/>
        </w:rPr>
        <w:footnoteReference w:id="595"/>
      </w:r>
      <w:r w:rsidRPr="0024604B">
        <w:rPr>
          <w:rFonts w:cs="Arial"/>
          <w:rtl/>
        </w:rPr>
        <w:t xml:space="preserve"> ואתה יודע להיכן הדין נוטה, אי אתה רשאי לומר להן צאו ובצעו.</w:t>
      </w:r>
      <w:r>
        <w:rPr>
          <w:rFonts w:cs="Arial" w:hint="cs"/>
          <w:rtl/>
        </w:rPr>
        <w:t xml:space="preserve"> </w:t>
      </w:r>
    </w:p>
    <w:p w14:paraId="7296933B" w14:textId="77777777" w:rsidR="00F83D1C" w:rsidRPr="00F83D1C" w:rsidRDefault="00304F63" w:rsidP="00F83D1C">
      <w:pPr>
        <w:rPr>
          <w:rFonts w:cs="Arial"/>
          <w:u w:val="single"/>
        </w:rPr>
      </w:pPr>
      <w:r>
        <w:rPr>
          <w:rFonts w:cs="Arial" w:hint="cs"/>
          <w:u w:val="single"/>
          <w:rtl/>
        </w:rPr>
        <w:t>עשיית פשרה בין בעלי הדין</w:t>
      </w:r>
      <w:r w:rsidR="00F83D1C" w:rsidRPr="00F83D1C">
        <w:rPr>
          <w:rFonts w:cs="Arial" w:hint="cs"/>
          <w:u w:val="single"/>
          <w:rtl/>
        </w:rPr>
        <w:t>:</w:t>
      </w:r>
    </w:p>
    <w:p w14:paraId="159B2158" w14:textId="77777777" w:rsidR="00304F63" w:rsidRDefault="00304F63" w:rsidP="00C704CB">
      <w:pPr>
        <w:pStyle w:val="ac"/>
        <w:numPr>
          <w:ilvl w:val="0"/>
          <w:numId w:val="7"/>
        </w:numPr>
        <w:rPr>
          <w:rFonts w:cs="Arial"/>
        </w:rPr>
      </w:pPr>
      <w:r w:rsidRPr="00F83D1C">
        <w:rPr>
          <w:rFonts w:cs="Arial"/>
          <w:rtl/>
        </w:rPr>
        <w:t xml:space="preserve">רמב"ם </w:t>
      </w:r>
      <w:r w:rsidRPr="00F83D1C">
        <w:rPr>
          <w:rFonts w:cs="Arial" w:hint="cs"/>
          <w:sz w:val="16"/>
          <w:szCs w:val="16"/>
          <w:rtl/>
        </w:rPr>
        <w:t>(</w:t>
      </w:r>
      <w:r w:rsidRPr="00F83D1C">
        <w:rPr>
          <w:rFonts w:cs="Arial"/>
          <w:sz w:val="16"/>
          <w:szCs w:val="16"/>
          <w:rtl/>
        </w:rPr>
        <w:t>פכ"ב מהל</w:t>
      </w:r>
      <w:r w:rsidRPr="00F83D1C">
        <w:rPr>
          <w:rFonts w:cs="Arial" w:hint="cs"/>
          <w:sz w:val="16"/>
          <w:szCs w:val="16"/>
          <w:rtl/>
        </w:rPr>
        <w:t>'</w:t>
      </w:r>
      <w:r w:rsidRPr="00F83D1C">
        <w:rPr>
          <w:rFonts w:cs="Arial"/>
          <w:sz w:val="16"/>
          <w:szCs w:val="16"/>
          <w:rtl/>
        </w:rPr>
        <w:t xml:space="preserve"> סנהדרין</w:t>
      </w:r>
      <w:r w:rsidRPr="00F83D1C">
        <w:rPr>
          <w:rFonts w:cs="Arial" w:hint="cs"/>
          <w:sz w:val="16"/>
          <w:szCs w:val="16"/>
          <w:rtl/>
        </w:rPr>
        <w:t xml:space="preserve"> ה"ד</w:t>
      </w:r>
      <w:r w:rsidRPr="00F83D1C">
        <w:rPr>
          <w:rFonts w:cs="Arial"/>
          <w:sz w:val="16"/>
          <w:szCs w:val="16"/>
          <w:rtl/>
        </w:rPr>
        <w:t>)</w:t>
      </w:r>
      <w:r>
        <w:rPr>
          <w:rFonts w:cs="Arial" w:hint="cs"/>
          <w:rtl/>
        </w:rPr>
        <w:t xml:space="preserve"> וטור</w:t>
      </w:r>
      <w:r w:rsidRPr="00F83D1C">
        <w:rPr>
          <w:rFonts w:cs="Arial" w:hint="cs"/>
          <w:rtl/>
        </w:rPr>
        <w:t xml:space="preserve">- </w:t>
      </w:r>
      <w:r w:rsidRPr="00F83D1C">
        <w:rPr>
          <w:rFonts w:cs="Arial"/>
          <w:rtl/>
        </w:rPr>
        <w:t xml:space="preserve">מצוה לומר לבעלי דינים בתחילה </w:t>
      </w:r>
      <w:r w:rsidR="00830F0D">
        <w:rPr>
          <w:rFonts w:cs="Arial" w:hint="cs"/>
          <w:rtl/>
        </w:rPr>
        <w:t>'</w:t>
      </w:r>
      <w:r w:rsidRPr="00F83D1C">
        <w:rPr>
          <w:rFonts w:cs="Arial"/>
          <w:rtl/>
        </w:rPr>
        <w:t>בדין אתם רוצים או בפשרה</w:t>
      </w:r>
      <w:r w:rsidR="00830F0D">
        <w:rPr>
          <w:rFonts w:cs="Arial" w:hint="cs"/>
          <w:rtl/>
        </w:rPr>
        <w:t>'</w:t>
      </w:r>
      <w:r w:rsidR="00B6499C">
        <w:rPr>
          <w:rStyle w:val="ab"/>
          <w:rFonts w:cs="Arial"/>
          <w:rtl/>
        </w:rPr>
        <w:footnoteReference w:id="596"/>
      </w:r>
      <w:r w:rsidR="00830F0D">
        <w:rPr>
          <w:rFonts w:cs="Arial" w:hint="cs"/>
          <w:rtl/>
        </w:rPr>
        <w:t>.</w:t>
      </w:r>
      <w:r w:rsidRPr="00F83D1C">
        <w:rPr>
          <w:rFonts w:cs="Arial"/>
          <w:rtl/>
        </w:rPr>
        <w:t xml:space="preserve"> אם רצו בפשרה </w:t>
      </w:r>
      <w:r w:rsidR="00830F0D">
        <w:rPr>
          <w:rFonts w:cs="Arial" w:hint="cs"/>
          <w:rtl/>
        </w:rPr>
        <w:t xml:space="preserve">- </w:t>
      </w:r>
      <w:r w:rsidRPr="00F83D1C">
        <w:rPr>
          <w:rFonts w:cs="Arial"/>
          <w:rtl/>
        </w:rPr>
        <w:t>עושין ביניהן פשרה</w:t>
      </w:r>
      <w:r w:rsidR="00830F0D">
        <w:rPr>
          <w:rFonts w:cs="Arial" w:hint="cs"/>
          <w:rtl/>
        </w:rPr>
        <w:t>.</w:t>
      </w:r>
      <w:r w:rsidRPr="00F83D1C">
        <w:rPr>
          <w:rFonts w:cs="Arial"/>
          <w:rtl/>
        </w:rPr>
        <w:t xml:space="preserve"> וכל בית דין שעושין פשרה תמיד הרי זה משובח ועליו נאמר משפט שלום שפטו בשעריכם אי זהו משפט שיש עמו שלום הוי אומר זה ביצוע</w:t>
      </w:r>
      <w:r w:rsidR="00830F0D">
        <w:rPr>
          <w:rFonts w:cs="Arial" w:hint="cs"/>
          <w:rtl/>
        </w:rPr>
        <w:t>.</w:t>
      </w:r>
      <w:r w:rsidRPr="00F83D1C">
        <w:rPr>
          <w:rFonts w:cs="Arial"/>
          <w:rtl/>
        </w:rPr>
        <w:t xml:space="preserve"> וכן בדוד הוא אומר ויהי דוד עושה משפט וצדקה לכל עמו איזהו משפט שיש עמו צדקה הוי אומר זהו ביצוע והיא הפשרה</w:t>
      </w:r>
      <w:r>
        <w:rPr>
          <w:rFonts w:cs="Arial" w:hint="cs"/>
          <w:rtl/>
        </w:rPr>
        <w:t>.</w:t>
      </w:r>
      <w:r w:rsidRPr="00304F63">
        <w:rPr>
          <w:rFonts w:cs="Arial"/>
          <w:rtl/>
        </w:rPr>
        <w:t xml:space="preserve"> </w:t>
      </w:r>
      <w:r w:rsidRPr="00F83D1C">
        <w:rPr>
          <w:rFonts w:cs="Arial"/>
          <w:rtl/>
        </w:rPr>
        <w:t xml:space="preserve">במה דברים אמורים </w:t>
      </w:r>
      <w:r w:rsidR="00830F0D">
        <w:rPr>
          <w:rFonts w:cs="Arial" w:hint="cs"/>
          <w:rtl/>
        </w:rPr>
        <w:t xml:space="preserve">- </w:t>
      </w:r>
      <w:r w:rsidRPr="00F83D1C">
        <w:rPr>
          <w:rFonts w:cs="Arial"/>
          <w:rtl/>
        </w:rPr>
        <w:t>קודם גמר דין אע</w:t>
      </w:r>
      <w:r w:rsidR="00607AD1">
        <w:rPr>
          <w:rFonts w:cs="Arial" w:hint="cs"/>
          <w:rtl/>
        </w:rPr>
        <w:t>"</w:t>
      </w:r>
      <w:r w:rsidRPr="00F83D1C">
        <w:rPr>
          <w:rFonts w:cs="Arial"/>
          <w:rtl/>
        </w:rPr>
        <w:t>פ ששמע דבריהם וידע להיכן הדין נוטה מצוה לבצוע</w:t>
      </w:r>
      <w:r w:rsidR="00607AD1">
        <w:rPr>
          <w:rFonts w:cs="Arial" w:hint="cs"/>
          <w:rtl/>
        </w:rPr>
        <w:t>,</w:t>
      </w:r>
      <w:r w:rsidRPr="00F83D1C">
        <w:rPr>
          <w:rFonts w:cs="Arial"/>
          <w:rtl/>
        </w:rPr>
        <w:t xml:space="preserve"> אבל אחרי שגמר הדין ואמר </w:t>
      </w:r>
      <w:r w:rsidR="00830F0D">
        <w:rPr>
          <w:rFonts w:cs="Arial" w:hint="cs"/>
          <w:rtl/>
        </w:rPr>
        <w:t>'</w:t>
      </w:r>
      <w:r w:rsidRPr="00F83D1C">
        <w:rPr>
          <w:rFonts w:cs="Arial"/>
          <w:rtl/>
        </w:rPr>
        <w:t xml:space="preserve">איש פלוני </w:t>
      </w:r>
      <w:r w:rsidRPr="00F83D1C">
        <w:rPr>
          <w:rFonts w:cs="Arial"/>
          <w:rtl/>
        </w:rPr>
        <w:lastRenderedPageBreak/>
        <w:t>אתה זכאי איש פלוני אתה חייב</w:t>
      </w:r>
      <w:r w:rsidR="00830F0D">
        <w:rPr>
          <w:rFonts w:cs="Arial" w:hint="cs"/>
          <w:rtl/>
        </w:rPr>
        <w:t>' -</w:t>
      </w:r>
      <w:r w:rsidRPr="00F83D1C">
        <w:rPr>
          <w:rFonts w:cs="Arial"/>
          <w:rtl/>
        </w:rPr>
        <w:t xml:space="preserve"> אינו רשאי לעשות פשרה ביניהן</w:t>
      </w:r>
      <w:r w:rsidR="00830F0D">
        <w:rPr>
          <w:rFonts w:cs="Arial" w:hint="cs"/>
          <w:rtl/>
        </w:rPr>
        <w:t>,</w:t>
      </w:r>
      <w:r w:rsidRPr="00F83D1C">
        <w:rPr>
          <w:rFonts w:cs="Arial"/>
          <w:rtl/>
        </w:rPr>
        <w:t xml:space="preserve"> אלא יקוב הדין את ההר</w:t>
      </w:r>
      <w:r>
        <w:rPr>
          <w:rFonts w:cs="Arial" w:hint="cs"/>
          <w:sz w:val="16"/>
          <w:szCs w:val="16"/>
          <w:rtl/>
        </w:rPr>
        <w:t xml:space="preserve"> (ל' הרמב"ם)</w:t>
      </w:r>
      <w:r>
        <w:rPr>
          <w:rFonts w:cs="Arial" w:hint="cs"/>
          <w:rtl/>
        </w:rPr>
        <w:t>.</w:t>
      </w:r>
      <w:r w:rsidRPr="00F83D1C">
        <w:rPr>
          <w:rFonts w:cs="Arial"/>
          <w:rtl/>
        </w:rPr>
        <w:t xml:space="preserve"> </w:t>
      </w:r>
      <w:r w:rsidRPr="00304F63">
        <w:rPr>
          <w:rFonts w:cs="Arial" w:hint="cs"/>
          <w:color w:val="E36C0A" w:themeColor="accent6" w:themeShade="BF"/>
          <w:rtl/>
        </w:rPr>
        <w:t>(וכ"פ בשו"ע)</w:t>
      </w:r>
    </w:p>
    <w:p w14:paraId="7B5AD773" w14:textId="77777777" w:rsidR="00B6499C" w:rsidRPr="00B6499C" w:rsidRDefault="00CE3615" w:rsidP="00B6499C">
      <w:pPr>
        <w:ind w:left="360"/>
        <w:rPr>
          <w:rFonts w:cs="Arial"/>
          <w:u w:val="dotted"/>
        </w:rPr>
      </w:pPr>
      <w:r>
        <w:rPr>
          <w:rFonts w:cs="Arial" w:hint="cs"/>
          <w:u w:val="dotted"/>
          <w:rtl/>
        </w:rPr>
        <w:t>מקרים שבהם אפשר</w:t>
      </w:r>
      <w:r w:rsidR="00B6499C" w:rsidRPr="00B6499C">
        <w:rPr>
          <w:rFonts w:cs="Arial" w:hint="cs"/>
          <w:u w:val="dotted"/>
          <w:rtl/>
        </w:rPr>
        <w:t xml:space="preserve"> לעשות פשרה אף לאחר גמר הדין:</w:t>
      </w:r>
    </w:p>
    <w:p w14:paraId="6708569A" w14:textId="77777777" w:rsidR="00B6499C" w:rsidRDefault="00B6499C" w:rsidP="00C704CB">
      <w:pPr>
        <w:pStyle w:val="ac"/>
        <w:numPr>
          <w:ilvl w:val="0"/>
          <w:numId w:val="7"/>
        </w:numPr>
        <w:rPr>
          <w:rFonts w:cs="Arial"/>
        </w:rPr>
      </w:pPr>
      <w:r w:rsidRPr="00B6499C">
        <w:rPr>
          <w:rFonts w:cs="Arial"/>
          <w:rtl/>
        </w:rPr>
        <w:t xml:space="preserve">אגודה </w:t>
      </w:r>
      <w:r w:rsidRPr="00B6499C">
        <w:rPr>
          <w:rFonts w:cs="Arial"/>
          <w:sz w:val="16"/>
          <w:szCs w:val="16"/>
          <w:rtl/>
        </w:rPr>
        <w:t>(סנהדרין פ"א סי' ו)</w:t>
      </w:r>
      <w:r w:rsidRPr="00B6499C">
        <w:rPr>
          <w:rFonts w:cs="Arial" w:hint="cs"/>
          <w:rtl/>
        </w:rPr>
        <w:t>-</w:t>
      </w:r>
      <w:r w:rsidRPr="00B6499C">
        <w:rPr>
          <w:rFonts w:cs="Arial"/>
          <w:rtl/>
        </w:rPr>
        <w:t xml:space="preserve"> אדם שאינו דיין יכול לעשות פשרה אפילו לאחר גמר דין. </w:t>
      </w:r>
      <w:r w:rsidRPr="00304F63">
        <w:rPr>
          <w:rFonts w:cs="Arial" w:hint="cs"/>
          <w:color w:val="E36C0A" w:themeColor="accent6" w:themeShade="BF"/>
          <w:rtl/>
        </w:rPr>
        <w:t>(וכ"פ בשו"ע)</w:t>
      </w:r>
    </w:p>
    <w:p w14:paraId="45EF4DA7" w14:textId="77777777" w:rsidR="00F83D1C" w:rsidRPr="00386E77" w:rsidRDefault="00CE3615" w:rsidP="00C704CB">
      <w:pPr>
        <w:pStyle w:val="ac"/>
        <w:numPr>
          <w:ilvl w:val="0"/>
          <w:numId w:val="7"/>
        </w:numPr>
        <w:rPr>
          <w:rFonts w:cs="Arial"/>
        </w:rPr>
      </w:pPr>
      <w:r w:rsidRPr="008C4FA0">
        <w:rPr>
          <w:rFonts w:cs="Arial"/>
          <w:rtl/>
        </w:rPr>
        <w:t xml:space="preserve">רשב"א </w:t>
      </w:r>
      <w:r w:rsidRPr="00CE3615">
        <w:rPr>
          <w:rFonts w:cs="Arial"/>
          <w:sz w:val="16"/>
          <w:szCs w:val="16"/>
          <w:rtl/>
        </w:rPr>
        <w:t>(ח"א סי</w:t>
      </w:r>
      <w:r w:rsidRPr="00CE3615">
        <w:rPr>
          <w:rFonts w:cs="Arial" w:hint="cs"/>
          <w:sz w:val="16"/>
          <w:szCs w:val="16"/>
          <w:rtl/>
        </w:rPr>
        <w:t>'</w:t>
      </w:r>
      <w:r w:rsidRPr="00CE3615">
        <w:rPr>
          <w:rFonts w:cs="Arial"/>
          <w:sz w:val="16"/>
          <w:szCs w:val="16"/>
          <w:rtl/>
        </w:rPr>
        <w:t xml:space="preserve"> אלף קיג</w:t>
      </w:r>
      <w:r w:rsidRPr="00CE3615">
        <w:rPr>
          <w:rFonts w:cs="Arial" w:hint="cs"/>
          <w:sz w:val="16"/>
          <w:szCs w:val="16"/>
          <w:rtl/>
        </w:rPr>
        <w:t>)</w:t>
      </w:r>
      <w:r w:rsidRPr="00CE3615">
        <w:rPr>
          <w:rFonts w:cs="Arial"/>
          <w:sz w:val="16"/>
          <w:szCs w:val="16"/>
          <w:rtl/>
        </w:rPr>
        <w:t xml:space="preserve"> </w:t>
      </w:r>
      <w:r w:rsidRPr="008C4FA0">
        <w:rPr>
          <w:rFonts w:cs="Arial"/>
          <w:rtl/>
        </w:rPr>
        <w:t>בשם רבינו האי</w:t>
      </w:r>
      <w:r w:rsidRPr="008C4FA0">
        <w:rPr>
          <w:rFonts w:cs="Arial" w:hint="cs"/>
          <w:rtl/>
        </w:rPr>
        <w:t xml:space="preserve">- </w:t>
      </w:r>
      <w:r w:rsidRPr="008C4FA0">
        <w:rPr>
          <w:rFonts w:cs="Arial"/>
          <w:rtl/>
        </w:rPr>
        <w:t>אם אחר שפסקו הדין הלך החייב ונתלה בשלטון כדי שלא לפרוע</w:t>
      </w:r>
      <w:r w:rsidR="00004773">
        <w:rPr>
          <w:rFonts w:cs="Arial" w:hint="cs"/>
          <w:rtl/>
        </w:rPr>
        <w:t xml:space="preserve"> -</w:t>
      </w:r>
      <w:r w:rsidRPr="008C4FA0">
        <w:rPr>
          <w:rFonts w:cs="Arial"/>
          <w:rtl/>
        </w:rPr>
        <w:t xml:space="preserve"> עומדים אחרים ופושרים ביניהם שלא במושב דין הקבוע למשפט</w:t>
      </w:r>
      <w:r w:rsidRPr="008C4FA0">
        <w:rPr>
          <w:rFonts w:cs="Arial" w:hint="cs"/>
          <w:rtl/>
        </w:rPr>
        <w:t>.</w:t>
      </w:r>
    </w:p>
    <w:p w14:paraId="0882D53D" w14:textId="77777777" w:rsidR="00F83D1C" w:rsidRDefault="00F83D1C" w:rsidP="00C704CB">
      <w:pPr>
        <w:pStyle w:val="ac"/>
        <w:numPr>
          <w:ilvl w:val="0"/>
          <w:numId w:val="7"/>
        </w:numPr>
        <w:rPr>
          <w:rFonts w:cs="Arial"/>
        </w:rPr>
      </w:pPr>
      <w:r w:rsidRPr="00F83D1C">
        <w:rPr>
          <w:rFonts w:cs="Arial"/>
          <w:rtl/>
        </w:rPr>
        <w:t>תוס</w:t>
      </w:r>
      <w:r w:rsidRPr="00F83D1C">
        <w:rPr>
          <w:rFonts w:cs="Arial" w:hint="cs"/>
          <w:rtl/>
        </w:rPr>
        <w:t>'</w:t>
      </w:r>
      <w:r w:rsidRPr="00F83D1C">
        <w:rPr>
          <w:rFonts w:cs="Arial"/>
          <w:rtl/>
        </w:rPr>
        <w:t xml:space="preserve"> </w:t>
      </w:r>
      <w:r w:rsidRPr="00F83D1C">
        <w:rPr>
          <w:rFonts w:cs="Arial"/>
          <w:sz w:val="16"/>
          <w:szCs w:val="16"/>
          <w:rtl/>
        </w:rPr>
        <w:t>(ד"ה נגמר)</w:t>
      </w:r>
      <w:r w:rsidR="00304F63">
        <w:rPr>
          <w:rFonts w:cs="Arial" w:hint="cs"/>
          <w:rtl/>
        </w:rPr>
        <w:t xml:space="preserve"> וטור</w:t>
      </w:r>
      <w:r w:rsidRPr="00F83D1C">
        <w:rPr>
          <w:rFonts w:cs="Arial" w:hint="cs"/>
          <w:rtl/>
        </w:rPr>
        <w:t>-</w:t>
      </w:r>
      <w:r w:rsidRPr="00F83D1C">
        <w:rPr>
          <w:rFonts w:cs="Arial"/>
          <w:rtl/>
        </w:rPr>
        <w:t xml:space="preserve"> כשמתחייבים שבועה זה או זה שרי למימר להו לעשות הביצוע כדי ליפטר מעונש שבועה</w:t>
      </w:r>
      <w:r w:rsidR="00304F63">
        <w:rPr>
          <w:rFonts w:cs="Arial" w:hint="cs"/>
          <w:sz w:val="16"/>
          <w:szCs w:val="16"/>
          <w:rtl/>
        </w:rPr>
        <w:t xml:space="preserve"> (ל' התוס')</w:t>
      </w:r>
      <w:r>
        <w:rPr>
          <w:rFonts w:cs="Arial" w:hint="cs"/>
          <w:rtl/>
        </w:rPr>
        <w:t>.</w:t>
      </w:r>
      <w:r w:rsidR="00304F63">
        <w:rPr>
          <w:rFonts w:cs="Arial" w:hint="cs"/>
          <w:rtl/>
        </w:rPr>
        <w:t xml:space="preserve"> </w:t>
      </w:r>
      <w:r w:rsidR="00304F63" w:rsidRPr="00304F63">
        <w:rPr>
          <w:rFonts w:cs="Arial" w:hint="cs"/>
          <w:color w:val="E36C0A" w:themeColor="accent6" w:themeShade="BF"/>
          <w:rtl/>
        </w:rPr>
        <w:t>(וכ"פ בשו"ע)</w:t>
      </w:r>
    </w:p>
    <w:p w14:paraId="1E3B4946" w14:textId="77777777" w:rsidR="00D56352" w:rsidRPr="00D56352" w:rsidRDefault="00D56352" w:rsidP="00D56352">
      <w:pPr>
        <w:rPr>
          <w:rFonts w:cs="Arial"/>
          <w:u w:val="single"/>
        </w:rPr>
      </w:pPr>
      <w:r w:rsidRPr="00D56352">
        <w:rPr>
          <w:rFonts w:cs="Arial" w:hint="cs"/>
          <w:u w:val="single"/>
          <w:rtl/>
        </w:rPr>
        <w:t xml:space="preserve">דיינים שרוצים </w:t>
      </w:r>
      <w:r w:rsidR="00B01E68" w:rsidRPr="00D56352">
        <w:rPr>
          <w:rFonts w:cs="Arial" w:hint="cs"/>
          <w:u w:val="single"/>
          <w:rtl/>
        </w:rPr>
        <w:t xml:space="preserve">לאחר </w:t>
      </w:r>
      <w:r w:rsidR="00B01E68">
        <w:rPr>
          <w:rFonts w:cs="Arial" w:hint="cs"/>
          <w:u w:val="single"/>
          <w:rtl/>
        </w:rPr>
        <w:t>ש</w:t>
      </w:r>
      <w:r w:rsidR="00B01E68" w:rsidRPr="00D56352">
        <w:rPr>
          <w:rFonts w:cs="Arial" w:hint="cs"/>
          <w:u w:val="single"/>
          <w:rtl/>
        </w:rPr>
        <w:t>גמר</w:t>
      </w:r>
      <w:r w:rsidR="00B01E68">
        <w:rPr>
          <w:rFonts w:cs="Arial" w:hint="cs"/>
          <w:u w:val="single"/>
          <w:rtl/>
        </w:rPr>
        <w:t>ו</w:t>
      </w:r>
      <w:r w:rsidR="00B01E68" w:rsidRPr="00D56352">
        <w:rPr>
          <w:rFonts w:cs="Arial" w:hint="cs"/>
          <w:u w:val="single"/>
          <w:rtl/>
        </w:rPr>
        <w:t xml:space="preserve"> </w:t>
      </w:r>
      <w:r w:rsidR="00B01E68">
        <w:rPr>
          <w:rFonts w:cs="Arial" w:hint="cs"/>
          <w:u w:val="single"/>
          <w:rtl/>
        </w:rPr>
        <w:t>את ה</w:t>
      </w:r>
      <w:r w:rsidR="00B01E68" w:rsidRPr="00D56352">
        <w:rPr>
          <w:rFonts w:cs="Arial" w:hint="cs"/>
          <w:u w:val="single"/>
          <w:rtl/>
        </w:rPr>
        <w:t>דין</w:t>
      </w:r>
      <w:r w:rsidR="00B01E68">
        <w:rPr>
          <w:rFonts w:cs="Arial" w:hint="cs"/>
          <w:u w:val="single"/>
          <w:rtl/>
        </w:rPr>
        <w:t xml:space="preserve"> </w:t>
      </w:r>
      <w:r w:rsidR="00FD0EF8">
        <w:rPr>
          <w:rFonts w:cs="Arial" w:hint="cs"/>
          <w:u w:val="single"/>
          <w:rtl/>
        </w:rPr>
        <w:t xml:space="preserve">לדבר על לב הבעלי דין </w:t>
      </w:r>
      <w:r w:rsidR="00B01E68">
        <w:rPr>
          <w:rFonts w:cs="Arial" w:hint="cs"/>
          <w:u w:val="single"/>
          <w:rtl/>
        </w:rPr>
        <w:t>שיעשו פשרה ב</w:t>
      </w:r>
      <w:r w:rsidR="00830F0D">
        <w:rPr>
          <w:rFonts w:cs="Arial" w:hint="cs"/>
          <w:u w:val="single"/>
          <w:rtl/>
        </w:rPr>
        <w:t>י</w:t>
      </w:r>
      <w:r w:rsidR="00B01E68">
        <w:rPr>
          <w:rFonts w:cs="Arial" w:hint="cs"/>
          <w:u w:val="single"/>
          <w:rtl/>
        </w:rPr>
        <w:t>נם</w:t>
      </w:r>
      <w:r w:rsidR="00830F0D">
        <w:rPr>
          <w:rFonts w:cs="Arial" w:hint="cs"/>
          <w:u w:val="single"/>
          <w:rtl/>
        </w:rPr>
        <w:t xml:space="preserve"> לבין עצמם</w:t>
      </w:r>
      <w:r w:rsidRPr="00D56352">
        <w:rPr>
          <w:rFonts w:cs="Arial" w:hint="cs"/>
          <w:u w:val="single"/>
          <w:rtl/>
        </w:rPr>
        <w:t>:</w:t>
      </w:r>
    </w:p>
    <w:p w14:paraId="6376BA2D" w14:textId="77777777" w:rsidR="00386E77" w:rsidRPr="00F83D1C" w:rsidRDefault="00506DC9" w:rsidP="00C704CB">
      <w:pPr>
        <w:pStyle w:val="ac"/>
        <w:numPr>
          <w:ilvl w:val="0"/>
          <w:numId w:val="7"/>
        </w:numPr>
        <w:rPr>
          <w:rFonts w:cs="Arial"/>
          <w:rtl/>
        </w:rPr>
      </w:pPr>
      <w:r>
        <w:rPr>
          <w:rFonts w:cs="Arial" w:hint="cs"/>
          <w:rtl/>
        </w:rPr>
        <w:t xml:space="preserve">ריא"ז </w:t>
      </w:r>
      <w:r w:rsidR="00386E77">
        <w:rPr>
          <w:rFonts w:cs="Arial" w:hint="cs"/>
          <w:sz w:val="16"/>
          <w:szCs w:val="16"/>
          <w:rtl/>
        </w:rPr>
        <w:t>(</w:t>
      </w:r>
      <w:r>
        <w:rPr>
          <w:rFonts w:cs="Arial" w:hint="cs"/>
          <w:sz w:val="16"/>
          <w:szCs w:val="16"/>
          <w:rtl/>
        </w:rPr>
        <w:t>הובאו דבריו בשלט"ג [</w:t>
      </w:r>
      <w:r w:rsidR="00386E77">
        <w:rPr>
          <w:rFonts w:cs="Arial" w:hint="cs"/>
          <w:sz w:val="16"/>
          <w:szCs w:val="16"/>
          <w:rtl/>
        </w:rPr>
        <w:t>סנהדרין א: מדפה"ר אות א</w:t>
      </w:r>
      <w:r>
        <w:rPr>
          <w:rFonts w:cs="Arial" w:hint="cs"/>
          <w:sz w:val="16"/>
          <w:szCs w:val="16"/>
          <w:rtl/>
        </w:rPr>
        <w:t>] ובהרשד"ם [חו"מ סי' קו]</w:t>
      </w:r>
      <w:r w:rsidR="00386E77">
        <w:rPr>
          <w:rFonts w:cs="Arial" w:hint="cs"/>
          <w:sz w:val="16"/>
          <w:szCs w:val="16"/>
          <w:rtl/>
        </w:rPr>
        <w:t>)</w:t>
      </w:r>
      <w:r w:rsidR="00386E77">
        <w:rPr>
          <w:rFonts w:cs="Arial" w:hint="cs"/>
          <w:rtl/>
        </w:rPr>
        <w:t xml:space="preserve">- </w:t>
      </w:r>
      <w:r w:rsidR="00386E77" w:rsidRPr="00386E77">
        <w:rPr>
          <w:rFonts w:cs="Arial"/>
          <w:rtl/>
        </w:rPr>
        <w:t>נראה בעיני שאין כל הדברים הללו אמורים אלא כשדיינים רוצים להטיל פשרה כפי הנראה בעיניהם שלא מדעת הבעלי דינים, אבל אם הם מודיעים להם טיב הפשרה ומפייסים אותם עד שהם מתרצים למחול אחד לחבירו או לתת אחד לחבירו דבר ידוע</w:t>
      </w:r>
      <w:r w:rsidR="00004773">
        <w:rPr>
          <w:rFonts w:cs="Arial" w:hint="cs"/>
          <w:rtl/>
        </w:rPr>
        <w:t xml:space="preserve"> -</w:t>
      </w:r>
      <w:r w:rsidR="00386E77" w:rsidRPr="00386E77">
        <w:rPr>
          <w:rFonts w:cs="Arial"/>
          <w:rtl/>
        </w:rPr>
        <w:t xml:space="preserve"> אפילו אחר גמר דין ראוי לעשות כן, ובלבד שלא יהא שום צד הכרח בדבר אלא פיוסים ופיתויים</w:t>
      </w:r>
      <w:r w:rsidR="00830F0D">
        <w:rPr>
          <w:rFonts w:cs="Arial" w:hint="cs"/>
          <w:rtl/>
        </w:rPr>
        <w:t>.</w:t>
      </w:r>
      <w:r w:rsidR="00386E77" w:rsidRPr="00386E77">
        <w:rPr>
          <w:rFonts w:cs="Arial"/>
          <w:rtl/>
        </w:rPr>
        <w:t xml:space="preserve"> וזו היא מצוה גדולה והבאת שלום שבין אדם לחבירו</w:t>
      </w:r>
      <w:r w:rsidR="00FD0EF8">
        <w:rPr>
          <w:rStyle w:val="ab"/>
          <w:rFonts w:cs="Arial"/>
          <w:rtl/>
        </w:rPr>
        <w:footnoteReference w:id="597"/>
      </w:r>
      <w:r w:rsidR="00386E77">
        <w:rPr>
          <w:rFonts w:cs="Arial" w:hint="cs"/>
          <w:rtl/>
        </w:rPr>
        <w:t>. (וכ"</w:t>
      </w:r>
      <w:r>
        <w:rPr>
          <w:rFonts w:cs="Arial" w:hint="cs"/>
          <w:rtl/>
        </w:rPr>
        <w:t>פ</w:t>
      </w:r>
      <w:r w:rsidR="00386E77">
        <w:rPr>
          <w:rFonts w:cs="Arial" w:hint="cs"/>
          <w:rtl/>
        </w:rPr>
        <w:t xml:space="preserve"> ש"ך</w:t>
      </w:r>
      <w:r w:rsidR="00386E77">
        <w:rPr>
          <w:rFonts w:cs="Arial" w:hint="cs"/>
          <w:sz w:val="16"/>
          <w:szCs w:val="16"/>
          <w:rtl/>
        </w:rPr>
        <w:t xml:space="preserve"> [סק"ו]</w:t>
      </w:r>
      <w:r w:rsidR="00FD0EF8">
        <w:rPr>
          <w:rFonts w:cs="Arial" w:hint="cs"/>
          <w:rtl/>
        </w:rPr>
        <w:t xml:space="preserve"> </w:t>
      </w:r>
      <w:r>
        <w:rPr>
          <w:rFonts w:cs="Arial" w:hint="cs"/>
          <w:rtl/>
        </w:rPr>
        <w:t xml:space="preserve">כנה"ג </w:t>
      </w:r>
      <w:r>
        <w:rPr>
          <w:rFonts w:cs="Arial" w:hint="cs"/>
          <w:sz w:val="16"/>
          <w:szCs w:val="16"/>
          <w:rtl/>
        </w:rPr>
        <w:t xml:space="preserve">[הגה"ט אות ד] </w:t>
      </w:r>
      <w:r w:rsidR="00FD0EF8">
        <w:rPr>
          <w:rFonts w:cs="Arial" w:hint="cs"/>
          <w:rtl/>
        </w:rPr>
        <w:t xml:space="preserve">ונתיבות </w:t>
      </w:r>
      <w:r w:rsidR="00FD0EF8">
        <w:rPr>
          <w:rFonts w:cs="Arial" w:hint="cs"/>
          <w:sz w:val="16"/>
          <w:szCs w:val="16"/>
          <w:rtl/>
        </w:rPr>
        <w:t xml:space="preserve">[חידושים </w:t>
      </w:r>
      <w:r w:rsidR="00606403">
        <w:rPr>
          <w:rFonts w:cs="Arial" w:hint="cs"/>
          <w:sz w:val="16"/>
          <w:szCs w:val="16"/>
          <w:rtl/>
        </w:rPr>
        <w:t>סק"ד]</w:t>
      </w:r>
      <w:r w:rsidR="00386E77">
        <w:rPr>
          <w:rFonts w:cs="Arial" w:hint="cs"/>
          <w:rtl/>
        </w:rPr>
        <w:t>)</w:t>
      </w:r>
    </w:p>
    <w:p w14:paraId="5CD12F95" w14:textId="77777777" w:rsidR="00304F63" w:rsidRDefault="00304F63" w:rsidP="00304F63">
      <w:pPr>
        <w:rPr>
          <w:rFonts w:cs="Arial"/>
          <w:rtl/>
        </w:rPr>
      </w:pPr>
      <w:r w:rsidRPr="00CC7DFA">
        <w:rPr>
          <w:rFonts w:cs="Arial" w:hint="cs"/>
          <w:u w:val="single"/>
          <w:rtl/>
        </w:rPr>
        <w:t>כפיה לעשות לפנים משורת הדין:</w:t>
      </w:r>
    </w:p>
    <w:p w14:paraId="601B3BCC" w14:textId="77777777" w:rsidR="00304F63" w:rsidRPr="00CC7DFA" w:rsidRDefault="00304F63" w:rsidP="00C704CB">
      <w:pPr>
        <w:pStyle w:val="ac"/>
        <w:numPr>
          <w:ilvl w:val="0"/>
          <w:numId w:val="7"/>
        </w:numPr>
        <w:rPr>
          <w:rFonts w:cs="Arial"/>
          <w:rtl/>
        </w:rPr>
      </w:pPr>
      <w:r w:rsidRPr="00CC7DFA">
        <w:rPr>
          <w:rFonts w:cs="Arial"/>
          <w:rtl/>
        </w:rPr>
        <w:t xml:space="preserve">מרדכי </w:t>
      </w:r>
      <w:r w:rsidRPr="00CC7DFA">
        <w:rPr>
          <w:rFonts w:cs="Arial" w:hint="cs"/>
          <w:sz w:val="16"/>
          <w:szCs w:val="16"/>
          <w:rtl/>
        </w:rPr>
        <w:t>(פ"ב</w:t>
      </w:r>
      <w:r w:rsidRPr="00CC7DFA">
        <w:rPr>
          <w:rFonts w:cs="Arial"/>
          <w:sz w:val="16"/>
          <w:szCs w:val="16"/>
          <w:rtl/>
        </w:rPr>
        <w:t xml:space="preserve"> דמציעא סי' רנז)</w:t>
      </w:r>
      <w:r>
        <w:rPr>
          <w:rFonts w:cs="Arial" w:hint="cs"/>
          <w:rtl/>
        </w:rPr>
        <w:t xml:space="preserve">- </w:t>
      </w:r>
      <w:r w:rsidRPr="00CC7DFA">
        <w:rPr>
          <w:rFonts w:cs="Arial"/>
          <w:rtl/>
        </w:rPr>
        <w:t>כייפינן למעבד לפנים משורת הדין</w:t>
      </w:r>
      <w:r>
        <w:rPr>
          <w:rFonts w:cs="Arial" w:hint="cs"/>
          <w:rtl/>
        </w:rPr>
        <w:t>.</w:t>
      </w:r>
      <w:r w:rsidRPr="00CC7DFA">
        <w:rPr>
          <w:rFonts w:cs="Arial"/>
          <w:rtl/>
        </w:rPr>
        <w:t xml:space="preserve"> </w:t>
      </w:r>
    </w:p>
    <w:p w14:paraId="0FD1E4B1" w14:textId="77777777" w:rsidR="00304F63" w:rsidRDefault="00304F63" w:rsidP="00C704CB">
      <w:pPr>
        <w:pStyle w:val="ac"/>
        <w:numPr>
          <w:ilvl w:val="0"/>
          <w:numId w:val="7"/>
        </w:numPr>
        <w:rPr>
          <w:rFonts w:cs="Arial"/>
        </w:rPr>
      </w:pPr>
      <w:r w:rsidRPr="00CC7DFA">
        <w:rPr>
          <w:rFonts w:cs="Arial" w:hint="cs"/>
          <w:rtl/>
        </w:rPr>
        <w:t>רי"ו</w:t>
      </w:r>
      <w:r w:rsidRPr="00CC7DFA">
        <w:rPr>
          <w:rFonts w:cs="Arial"/>
          <w:rtl/>
        </w:rPr>
        <w:t xml:space="preserve"> </w:t>
      </w:r>
      <w:r w:rsidRPr="00CC7DFA">
        <w:rPr>
          <w:rFonts w:cs="Arial"/>
          <w:sz w:val="16"/>
          <w:szCs w:val="16"/>
          <w:rtl/>
        </w:rPr>
        <w:t xml:space="preserve">(נ"א ח"ד ט:) </w:t>
      </w:r>
      <w:r w:rsidRPr="00CC7DFA">
        <w:rPr>
          <w:rFonts w:cs="Arial"/>
          <w:rtl/>
        </w:rPr>
        <w:t xml:space="preserve">בשם הרא"ש </w:t>
      </w:r>
      <w:r w:rsidRPr="00CC7DFA">
        <w:rPr>
          <w:rFonts w:cs="Arial"/>
          <w:sz w:val="16"/>
          <w:szCs w:val="16"/>
          <w:rtl/>
        </w:rPr>
        <w:t>(ב"מ פ"ב סי' ז)</w:t>
      </w:r>
      <w:r>
        <w:rPr>
          <w:rFonts w:cs="Arial" w:hint="cs"/>
          <w:rtl/>
        </w:rPr>
        <w:t>-</w:t>
      </w:r>
      <w:r w:rsidRPr="00CC7DFA">
        <w:rPr>
          <w:rFonts w:cs="Arial"/>
          <w:rtl/>
        </w:rPr>
        <w:t xml:space="preserve"> אין כופין על לפנים משורת הדין</w:t>
      </w:r>
      <w:r>
        <w:rPr>
          <w:rStyle w:val="ab"/>
          <w:rFonts w:cs="Arial"/>
          <w:rtl/>
        </w:rPr>
        <w:footnoteReference w:id="598"/>
      </w:r>
      <w:r w:rsidRPr="00CC7DFA">
        <w:rPr>
          <w:rFonts w:cs="Arial"/>
          <w:rtl/>
        </w:rPr>
        <w:t>.</w:t>
      </w:r>
    </w:p>
    <w:p w14:paraId="023F1D24" w14:textId="77777777" w:rsidR="00B6499C" w:rsidRDefault="00B6499C" w:rsidP="00CC7DFA">
      <w:pPr>
        <w:rPr>
          <w:rFonts w:cs="Arial"/>
          <w:rtl/>
        </w:rPr>
      </w:pPr>
      <w:r w:rsidRPr="00B6499C">
        <w:rPr>
          <w:rFonts w:cs="Arial" w:hint="cs"/>
          <w:u w:val="single"/>
          <w:rtl/>
        </w:rPr>
        <w:t>לפסוק פעם נוספת דין שכבר נפסק:</w:t>
      </w:r>
    </w:p>
    <w:p w14:paraId="4A4DA274" w14:textId="77777777" w:rsidR="006567B0" w:rsidRPr="00972EF3" w:rsidRDefault="00CC7DFA" w:rsidP="00C704CB">
      <w:pPr>
        <w:pStyle w:val="ac"/>
        <w:numPr>
          <w:ilvl w:val="0"/>
          <w:numId w:val="8"/>
        </w:numPr>
        <w:rPr>
          <w:rFonts w:cs="Arial"/>
          <w:rtl/>
        </w:rPr>
      </w:pPr>
      <w:r w:rsidRPr="00B6499C">
        <w:rPr>
          <w:rFonts w:cs="Arial"/>
          <w:rtl/>
        </w:rPr>
        <w:t xml:space="preserve">רא"ש </w:t>
      </w:r>
      <w:r w:rsidR="00B6499C" w:rsidRPr="00B6499C">
        <w:rPr>
          <w:rFonts w:cs="Arial" w:hint="cs"/>
          <w:sz w:val="16"/>
          <w:szCs w:val="16"/>
          <w:rtl/>
        </w:rPr>
        <w:t>(</w:t>
      </w:r>
      <w:r w:rsidRPr="00B6499C">
        <w:rPr>
          <w:rFonts w:cs="Arial"/>
          <w:sz w:val="16"/>
          <w:szCs w:val="16"/>
          <w:rtl/>
        </w:rPr>
        <w:t>כלל פה סי</w:t>
      </w:r>
      <w:r w:rsidR="00B6499C" w:rsidRPr="00B6499C">
        <w:rPr>
          <w:rFonts w:cs="Arial" w:hint="cs"/>
          <w:sz w:val="16"/>
          <w:szCs w:val="16"/>
          <w:rtl/>
        </w:rPr>
        <w:t>'</w:t>
      </w:r>
      <w:r w:rsidRPr="00B6499C">
        <w:rPr>
          <w:rFonts w:cs="Arial"/>
          <w:sz w:val="16"/>
          <w:szCs w:val="16"/>
          <w:rtl/>
        </w:rPr>
        <w:t xml:space="preserve"> ה</w:t>
      </w:r>
      <w:r w:rsidR="00B6499C" w:rsidRPr="00B6499C">
        <w:rPr>
          <w:rFonts w:cs="Arial" w:hint="cs"/>
          <w:sz w:val="16"/>
          <w:szCs w:val="16"/>
          <w:rtl/>
        </w:rPr>
        <w:t>)</w:t>
      </w:r>
      <w:r w:rsidR="00B6499C" w:rsidRPr="00B6499C">
        <w:rPr>
          <w:rFonts w:cs="Arial" w:hint="cs"/>
          <w:rtl/>
        </w:rPr>
        <w:t>-</w:t>
      </w:r>
      <w:r w:rsidRPr="00B6499C">
        <w:rPr>
          <w:rFonts w:cs="Arial"/>
          <w:rtl/>
        </w:rPr>
        <w:t xml:space="preserve"> למה </w:t>
      </w:r>
      <w:r w:rsidR="00B01E68">
        <w:rPr>
          <w:rFonts w:cs="Arial" w:hint="cs"/>
          <w:rtl/>
        </w:rPr>
        <w:t>ש</w:t>
      </w:r>
      <w:r w:rsidRPr="00B6499C">
        <w:rPr>
          <w:rFonts w:cs="Arial"/>
          <w:rtl/>
        </w:rPr>
        <w:t>שאלתם לפסוק פעם אחרת דין שנפסק כבר</w:t>
      </w:r>
      <w:r w:rsidR="00B01E68">
        <w:rPr>
          <w:rFonts w:cs="Arial" w:hint="cs"/>
          <w:rtl/>
        </w:rPr>
        <w:t xml:space="preserve"> -</w:t>
      </w:r>
      <w:r w:rsidRPr="00B6499C">
        <w:rPr>
          <w:rFonts w:cs="Arial"/>
          <w:rtl/>
        </w:rPr>
        <w:t xml:space="preserve"> בי דינא בתר בי דינא לא דייקי </w:t>
      </w:r>
      <w:r w:rsidRPr="00B6499C">
        <w:rPr>
          <w:rFonts w:cs="Arial"/>
          <w:sz w:val="16"/>
          <w:szCs w:val="16"/>
          <w:rtl/>
        </w:rPr>
        <w:t>(ב"ב קלח:)</w:t>
      </w:r>
      <w:r w:rsidRPr="00B6499C">
        <w:rPr>
          <w:rFonts w:cs="Arial"/>
          <w:rtl/>
        </w:rPr>
        <w:t>. ומה שטען שפסק הדיינים בטל לפי שלא ביררום בעלי דינים אלא שבקש השר דון יהודה לישב בדיניהם</w:t>
      </w:r>
      <w:r w:rsidR="00B01E68">
        <w:rPr>
          <w:rFonts w:cs="Arial" w:hint="cs"/>
          <w:rtl/>
        </w:rPr>
        <w:t xml:space="preserve"> -</w:t>
      </w:r>
      <w:r w:rsidRPr="00B6499C">
        <w:rPr>
          <w:rFonts w:cs="Arial"/>
          <w:rtl/>
        </w:rPr>
        <w:t xml:space="preserve"> דברי הבאי הם</w:t>
      </w:r>
      <w:r w:rsidR="00B01E68">
        <w:rPr>
          <w:rFonts w:cs="Arial" w:hint="cs"/>
          <w:rtl/>
        </w:rPr>
        <w:t>,</w:t>
      </w:r>
      <w:r w:rsidRPr="00B6499C">
        <w:rPr>
          <w:rFonts w:cs="Arial"/>
          <w:rtl/>
        </w:rPr>
        <w:t xml:space="preserve"> כי כיון שבאו בעלי הדין לטעון בפניהם הרי קבלום עליהם לדיינים</w:t>
      </w:r>
      <w:r w:rsidR="00B01E68">
        <w:rPr>
          <w:rFonts w:cs="Arial" w:hint="cs"/>
          <w:rtl/>
        </w:rPr>
        <w:t>,</w:t>
      </w:r>
      <w:r w:rsidRPr="00B6499C">
        <w:rPr>
          <w:rFonts w:cs="Arial"/>
          <w:rtl/>
        </w:rPr>
        <w:t xml:space="preserve"> ולא יתכן לי לכתוב פסק אחר על דין שפסקו כבר אנשים גדולים ונכבדים</w:t>
      </w:r>
      <w:r w:rsidR="00B01E68">
        <w:rPr>
          <w:rFonts w:cs="Arial" w:hint="cs"/>
          <w:rtl/>
        </w:rPr>
        <w:t>.</w:t>
      </w:r>
      <w:r w:rsidRPr="00B6499C">
        <w:rPr>
          <w:rFonts w:cs="Arial"/>
          <w:rtl/>
        </w:rPr>
        <w:t xml:space="preserve"> אמנם אם יש בו דבר סתום שצריך פירוש או הוסיפו בטענות אחרות מה שלא טענו לפני הדיינים </w:t>
      </w:r>
      <w:r w:rsidR="00B01E68">
        <w:rPr>
          <w:rFonts w:cs="Arial" w:hint="cs"/>
          <w:rtl/>
        </w:rPr>
        <w:t xml:space="preserve">- </w:t>
      </w:r>
      <w:r w:rsidRPr="00B6499C">
        <w:rPr>
          <w:rFonts w:cs="Arial"/>
          <w:rtl/>
        </w:rPr>
        <w:t>שלח לי פסק הדיינים והחזירו הטענות ואבאר הדין כל הצורך</w:t>
      </w:r>
      <w:r w:rsidR="00B6499C">
        <w:rPr>
          <w:rFonts w:cs="Arial" w:hint="cs"/>
          <w:rtl/>
        </w:rPr>
        <w:t>.</w:t>
      </w:r>
    </w:p>
    <w:p w14:paraId="1F5E14B6" w14:textId="77777777" w:rsidR="00B01E68" w:rsidRDefault="00CE3615" w:rsidP="003C4A20">
      <w:pPr>
        <w:rPr>
          <w:rFonts w:cs="Arial"/>
          <w:rtl/>
        </w:rPr>
      </w:pPr>
      <w:r w:rsidRPr="00CE3615">
        <w:rPr>
          <w:rFonts w:cs="Arial" w:hint="cs"/>
          <w:b/>
          <w:bCs/>
          <w:rtl/>
        </w:rPr>
        <w:t xml:space="preserve">סנהדרין </w:t>
      </w:r>
      <w:r w:rsidRPr="00CE3615">
        <w:rPr>
          <w:rFonts w:cs="Arial" w:hint="cs"/>
          <w:b/>
          <w:bCs/>
          <w:sz w:val="16"/>
          <w:szCs w:val="16"/>
          <w:rtl/>
        </w:rPr>
        <w:t>(פ</w:t>
      </w:r>
      <w:r w:rsidR="009F1330">
        <w:rPr>
          <w:rFonts w:cs="Arial" w:hint="cs"/>
          <w:b/>
          <w:bCs/>
          <w:sz w:val="16"/>
          <w:szCs w:val="16"/>
          <w:rtl/>
        </w:rPr>
        <w:t>'</w:t>
      </w:r>
      <w:r w:rsidRPr="00CE3615">
        <w:rPr>
          <w:rFonts w:cs="Arial" w:hint="cs"/>
          <w:b/>
          <w:bCs/>
          <w:sz w:val="16"/>
          <w:szCs w:val="16"/>
          <w:rtl/>
        </w:rPr>
        <w:t xml:space="preserve"> אחד דיני ממונות) </w:t>
      </w:r>
      <w:r w:rsidRPr="00CE3615">
        <w:rPr>
          <w:rFonts w:cs="Arial" w:hint="cs"/>
          <w:b/>
          <w:bCs/>
          <w:rtl/>
        </w:rPr>
        <w:t>לב</w:t>
      </w:r>
      <w:r w:rsidR="009F1330">
        <w:rPr>
          <w:rStyle w:val="ab"/>
          <w:rFonts w:cs="Arial"/>
          <w:b/>
          <w:bCs/>
          <w:rtl/>
        </w:rPr>
        <w:footnoteReference w:id="599"/>
      </w:r>
      <w:r w:rsidRPr="00CE3615">
        <w:rPr>
          <w:rFonts w:cs="Arial" w:hint="cs"/>
          <w:b/>
          <w:bCs/>
          <w:rtl/>
        </w:rPr>
        <w:t xml:space="preserve"> ע"</w:t>
      </w:r>
      <w:r w:rsidR="009F1330">
        <w:rPr>
          <w:rFonts w:cs="Arial" w:hint="cs"/>
          <w:b/>
          <w:bCs/>
          <w:rtl/>
        </w:rPr>
        <w:t>ב</w:t>
      </w:r>
      <w:r w:rsidRPr="00CE3615">
        <w:rPr>
          <w:rFonts w:cs="Arial" w:hint="cs"/>
          <w:b/>
          <w:bCs/>
          <w:rtl/>
        </w:rPr>
        <w:t xml:space="preserve">: </w:t>
      </w:r>
      <w:r w:rsidR="00B01E68" w:rsidRPr="00B01E68">
        <w:rPr>
          <w:rFonts w:cs="Arial"/>
          <w:rtl/>
        </w:rPr>
        <w:t>ריש לקיש רמי: כתיב בצדק תשפט</w:t>
      </w:r>
      <w:r w:rsidR="009F1330">
        <w:rPr>
          <w:rStyle w:val="ab"/>
          <w:rFonts w:cs="Arial"/>
          <w:rtl/>
        </w:rPr>
        <w:footnoteReference w:id="600"/>
      </w:r>
      <w:r w:rsidR="00B01E68" w:rsidRPr="00B01E68">
        <w:rPr>
          <w:rFonts w:cs="Arial"/>
          <w:rtl/>
        </w:rPr>
        <w:t xml:space="preserve"> עמיתך וכתיב צדק צדק תרדף, הא כיצד? כאן - בדין מרומה, כאן - בדין שאין מרומה. </w:t>
      </w:r>
      <w:r w:rsidR="00B01E68" w:rsidRPr="00B01E68">
        <w:rPr>
          <w:rFonts w:cs="Arial"/>
          <w:u w:val="single"/>
          <w:rtl/>
        </w:rPr>
        <w:t>רב אשי אמר</w:t>
      </w:r>
      <w:r w:rsidR="00B01E68" w:rsidRPr="00B01E68">
        <w:rPr>
          <w:rFonts w:cs="Arial"/>
          <w:rtl/>
        </w:rPr>
        <w:t>:</w:t>
      </w:r>
      <w:r w:rsidR="009F1330">
        <w:rPr>
          <w:rFonts w:cs="Arial" w:hint="cs"/>
          <w:rtl/>
        </w:rPr>
        <w:t>..</w:t>
      </w:r>
      <w:r w:rsidR="00B01E68" w:rsidRPr="00B01E68">
        <w:rPr>
          <w:rFonts w:cs="Arial"/>
          <w:rtl/>
        </w:rPr>
        <w:t xml:space="preserve"> </w:t>
      </w:r>
      <w:r w:rsidR="009F1330">
        <w:rPr>
          <w:rFonts w:cs="Arial" w:hint="cs"/>
          <w:rtl/>
        </w:rPr>
        <w:t>קראי</w:t>
      </w:r>
      <w:r w:rsidR="009F1330">
        <w:rPr>
          <w:rStyle w:val="ab"/>
          <w:rFonts w:cs="Arial"/>
          <w:rtl/>
        </w:rPr>
        <w:footnoteReference w:id="601"/>
      </w:r>
      <w:r w:rsidR="009F1330">
        <w:rPr>
          <w:rFonts w:cs="Arial" w:hint="cs"/>
          <w:rtl/>
        </w:rPr>
        <w:t xml:space="preserve"> - </w:t>
      </w:r>
      <w:r w:rsidR="00B01E68" w:rsidRPr="00B01E68">
        <w:rPr>
          <w:rFonts w:cs="Arial"/>
          <w:rtl/>
        </w:rPr>
        <w:t>אחד לדין ואחד לפשרה. כדתניא: צדק צדק תרדף - אחד לדין ואחד לפשרה. כיצד? שתי ספינות עוברות בנהר ופגעו זה בזה, אם עוברות שתיהן - שתיהן טובעות, בזה אחר זה - שתיהן עוברות. וכן שני גמלים שהיו עולים במעלות בית חורון ופגעו זה בזה, אם עלו שניהן - שניהן נופלין, בזה אחר זה - שניהן עולין. הא כיצד? טעונה ושאינה טעונה - תידחה שאינה טעונה מפני טעונה. קרובה ושאינה קרובה - תידחה קרובה מפני שאינה קרובה. היו שתיהן קרובות, שתיהן רחוקות - הטל פשרה ביניהן, ומעלות שכר</w:t>
      </w:r>
      <w:r w:rsidR="009F1330">
        <w:rPr>
          <w:rStyle w:val="ab"/>
          <w:rFonts w:cs="Arial"/>
          <w:rtl/>
        </w:rPr>
        <w:footnoteReference w:id="602"/>
      </w:r>
      <w:r w:rsidR="00B01E68" w:rsidRPr="00B01E68">
        <w:rPr>
          <w:rFonts w:cs="Arial"/>
          <w:rtl/>
        </w:rPr>
        <w:t xml:space="preserve"> זו לזו. </w:t>
      </w:r>
    </w:p>
    <w:p w14:paraId="774D490E" w14:textId="77777777" w:rsidR="009F1330" w:rsidRDefault="009F1330" w:rsidP="003C4A20">
      <w:pPr>
        <w:rPr>
          <w:rFonts w:cs="Arial"/>
          <w:sz w:val="16"/>
          <w:szCs w:val="16"/>
          <w:rtl/>
        </w:rPr>
      </w:pPr>
      <w:r w:rsidRPr="009F1330">
        <w:rPr>
          <w:rFonts w:cs="Arial" w:hint="cs"/>
          <w:u w:val="single"/>
          <w:rtl/>
        </w:rPr>
        <w:t>הטיית פשרה לצד אחד יותר מחבירו:</w:t>
      </w:r>
    </w:p>
    <w:p w14:paraId="6AF88E1A" w14:textId="77777777" w:rsidR="00CE3615" w:rsidRPr="009F1330" w:rsidRDefault="00CE3615" w:rsidP="004B0475">
      <w:pPr>
        <w:pStyle w:val="ac"/>
        <w:numPr>
          <w:ilvl w:val="0"/>
          <w:numId w:val="64"/>
        </w:numPr>
        <w:rPr>
          <w:rFonts w:cs="Arial"/>
          <w:rtl/>
        </w:rPr>
      </w:pPr>
      <w:r w:rsidRPr="009F1330">
        <w:rPr>
          <w:rFonts w:cs="Arial" w:hint="cs"/>
          <w:rtl/>
        </w:rPr>
        <w:lastRenderedPageBreak/>
        <w:t>טור-</w:t>
      </w:r>
      <w:r w:rsidRPr="009F1330">
        <w:rPr>
          <w:rFonts w:cs="Arial"/>
          <w:rtl/>
        </w:rPr>
        <w:t xml:space="preserve"> וכשם שמוזהר שלא להטות דין כך מוזהר שלא יהא נוטה בפשרה לאחד יותר מחבירו</w:t>
      </w:r>
      <w:r w:rsidR="002D298D" w:rsidRPr="009F1330">
        <w:rPr>
          <w:rFonts w:cs="Arial" w:hint="cs"/>
          <w:rtl/>
        </w:rPr>
        <w:t xml:space="preserve">. </w:t>
      </w:r>
      <w:r w:rsidR="009F1330">
        <w:rPr>
          <w:rFonts w:cs="Arial" w:hint="cs"/>
          <w:color w:val="E36C0A" w:themeColor="accent6" w:themeShade="BF"/>
          <w:rtl/>
        </w:rPr>
        <w:t>(</w:t>
      </w:r>
      <w:r w:rsidR="002D298D" w:rsidRPr="009F1330">
        <w:rPr>
          <w:rFonts w:cs="Arial" w:hint="cs"/>
          <w:color w:val="E36C0A" w:themeColor="accent6" w:themeShade="BF"/>
          <w:rtl/>
        </w:rPr>
        <w:t>וכ"פ בשו"ע</w:t>
      </w:r>
      <w:r w:rsidR="009F1330">
        <w:rPr>
          <w:rFonts w:cs="Arial" w:hint="cs"/>
          <w:color w:val="E36C0A" w:themeColor="accent6" w:themeShade="BF"/>
          <w:rtl/>
        </w:rPr>
        <w:t>)</w:t>
      </w:r>
    </w:p>
    <w:p w14:paraId="5C706A90" w14:textId="77777777" w:rsidR="00E137BC" w:rsidRPr="00576D5C" w:rsidRDefault="00E137BC" w:rsidP="00576D5C">
      <w:pPr>
        <w:rPr>
          <w:rFonts w:asciiTheme="minorBidi" w:hAnsiTheme="minorBidi"/>
          <w:b/>
          <w:bCs/>
          <w:color w:val="000000"/>
          <w:sz w:val="28"/>
          <w:szCs w:val="28"/>
          <w:u w:val="single"/>
          <w:rtl/>
        </w:rPr>
      </w:pPr>
      <w:r w:rsidRPr="00576D5C">
        <w:rPr>
          <w:rFonts w:asciiTheme="minorBidi" w:hAnsiTheme="minorBidi"/>
          <w:b/>
          <w:bCs/>
          <w:color w:val="000000"/>
          <w:sz w:val="28"/>
          <w:szCs w:val="28"/>
          <w:u w:val="single"/>
          <w:rtl/>
        </w:rPr>
        <w:t>שו"ע:</w:t>
      </w:r>
    </w:p>
    <w:p w14:paraId="5FB4FE89" w14:textId="77777777" w:rsidR="00E137BC" w:rsidRDefault="00E137BC" w:rsidP="00576D5C">
      <w:pPr>
        <w:rPr>
          <w:rFonts w:asciiTheme="minorBidi" w:hAnsiTheme="minorBidi"/>
          <w:rtl/>
        </w:rPr>
      </w:pPr>
      <w:r w:rsidRPr="00576D5C">
        <w:rPr>
          <w:rFonts w:asciiTheme="minorBidi" w:hAnsiTheme="minorBidi"/>
          <w:rtl/>
        </w:rPr>
        <w:t xml:space="preserve">מצוה לומר לבעלי דינים בתחלה </w:t>
      </w:r>
      <w:r w:rsidR="00D65F9A">
        <w:rPr>
          <w:rFonts w:asciiTheme="minorBidi" w:hAnsiTheme="minorBidi" w:hint="cs"/>
          <w:rtl/>
        </w:rPr>
        <w:t>'</w:t>
      </w:r>
      <w:r w:rsidRPr="00576D5C">
        <w:rPr>
          <w:rFonts w:asciiTheme="minorBidi" w:hAnsiTheme="minorBidi"/>
          <w:rtl/>
        </w:rPr>
        <w:t>הדין אתם רוצים או הפשרה</w:t>
      </w:r>
      <w:r w:rsidR="00D96DA1">
        <w:rPr>
          <w:rStyle w:val="ab"/>
          <w:rFonts w:asciiTheme="minorBidi" w:hAnsiTheme="minorBidi"/>
          <w:rtl/>
        </w:rPr>
        <w:footnoteReference w:id="603"/>
      </w:r>
      <w:r w:rsidR="00D65F9A">
        <w:rPr>
          <w:rFonts w:asciiTheme="minorBidi" w:hAnsiTheme="minorBidi" w:hint="cs"/>
          <w:rtl/>
        </w:rPr>
        <w:t>'</w:t>
      </w:r>
      <w:r w:rsidR="00304F63">
        <w:rPr>
          <w:rFonts w:asciiTheme="minorBidi" w:hAnsiTheme="minorBidi" w:hint="cs"/>
          <w:rtl/>
        </w:rPr>
        <w:t>.</w:t>
      </w:r>
      <w:r w:rsidRPr="00576D5C">
        <w:rPr>
          <w:rFonts w:asciiTheme="minorBidi" w:hAnsiTheme="minorBidi"/>
          <w:rtl/>
        </w:rPr>
        <w:t xml:space="preserve"> אם רצו בפשרה, עושים ביניהם פשרה. וכשם שמוזהר שלא להטות הדין, כך מוזהר שלא יטה הפשרה לאחד יותר מחבירו. וכל בית דין שעושה פשרה תמיד הרי זה משובח. במה דברים אמורים, קודם גמר דין אף על פי ששמע דבריהם ויודע להיכן הדין נוטה מצוה לבצוע</w:t>
      </w:r>
      <w:r w:rsidR="002D298D">
        <w:rPr>
          <w:rStyle w:val="ab"/>
          <w:rFonts w:asciiTheme="minorBidi" w:hAnsiTheme="minorBidi"/>
          <w:rtl/>
        </w:rPr>
        <w:footnoteReference w:id="604"/>
      </w:r>
      <w:r w:rsidR="00D65F9A">
        <w:rPr>
          <w:rFonts w:asciiTheme="minorBidi" w:hAnsiTheme="minorBidi" w:hint="cs"/>
          <w:rtl/>
        </w:rPr>
        <w:t>,</w:t>
      </w:r>
      <w:r w:rsidRPr="00576D5C">
        <w:rPr>
          <w:rFonts w:asciiTheme="minorBidi" w:hAnsiTheme="minorBidi"/>
          <w:rtl/>
        </w:rPr>
        <w:t xml:space="preserve"> אבל אחר שגמר הדין ואמר </w:t>
      </w:r>
      <w:r w:rsidR="00D65F9A">
        <w:rPr>
          <w:rFonts w:asciiTheme="minorBidi" w:hAnsiTheme="minorBidi" w:hint="cs"/>
          <w:rtl/>
        </w:rPr>
        <w:t>'</w:t>
      </w:r>
      <w:r w:rsidRPr="00576D5C">
        <w:rPr>
          <w:rFonts w:asciiTheme="minorBidi" w:hAnsiTheme="minorBidi"/>
          <w:rtl/>
        </w:rPr>
        <w:t>איש פלוני אתה זכאי איש פלוני אתה חייב</w:t>
      </w:r>
      <w:r w:rsidR="00D65F9A">
        <w:rPr>
          <w:rFonts w:asciiTheme="minorBidi" w:hAnsiTheme="minorBidi" w:hint="cs"/>
          <w:rtl/>
        </w:rPr>
        <w:t>'</w:t>
      </w:r>
      <w:r w:rsidRPr="00576D5C">
        <w:rPr>
          <w:rFonts w:asciiTheme="minorBidi" w:hAnsiTheme="minorBidi"/>
          <w:rtl/>
        </w:rPr>
        <w:t xml:space="preserve"> אינו רשאי לעשות פשרה ביניהם</w:t>
      </w:r>
      <w:r w:rsidR="002D298D">
        <w:rPr>
          <w:rStyle w:val="ab"/>
          <w:rFonts w:asciiTheme="minorBidi" w:hAnsiTheme="minorBidi"/>
          <w:rtl/>
        </w:rPr>
        <w:footnoteReference w:id="605"/>
      </w:r>
      <w:r w:rsidRPr="00576D5C">
        <w:rPr>
          <w:rFonts w:asciiTheme="minorBidi" w:hAnsiTheme="minorBidi"/>
          <w:rtl/>
        </w:rPr>
        <w:t>. אבל אחר, שאינו דיין, רשאי לעשות פשרה ביניהם שלא במושב דין הקבוע למשפט</w:t>
      </w:r>
      <w:r w:rsidR="004A69E3">
        <w:rPr>
          <w:rStyle w:val="ab"/>
          <w:rFonts w:asciiTheme="minorBidi" w:hAnsiTheme="minorBidi"/>
          <w:rtl/>
        </w:rPr>
        <w:footnoteReference w:id="606"/>
      </w:r>
      <w:r w:rsidRPr="00576D5C">
        <w:rPr>
          <w:rFonts w:asciiTheme="minorBidi" w:hAnsiTheme="minorBidi"/>
          <w:rtl/>
        </w:rPr>
        <w:t>. ואם חייבו בית דין שבועה לאחד מהם, רשאי הבית דין לעשות פשרה ביניהם כדי ליפטר מעונש שבועה</w:t>
      </w:r>
      <w:r w:rsidR="004A69E3">
        <w:rPr>
          <w:rStyle w:val="ab"/>
          <w:rFonts w:asciiTheme="minorBidi" w:hAnsiTheme="minorBidi"/>
          <w:rtl/>
        </w:rPr>
        <w:footnoteReference w:id="607"/>
      </w:r>
      <w:r w:rsidRPr="00576D5C">
        <w:rPr>
          <w:rFonts w:asciiTheme="minorBidi" w:hAnsiTheme="minorBidi"/>
          <w:rtl/>
        </w:rPr>
        <w:t xml:space="preserve">. </w:t>
      </w:r>
      <w:r w:rsidR="00304F63" w:rsidRPr="00304F63">
        <w:rPr>
          <w:rFonts w:asciiTheme="minorBidi" w:hAnsiTheme="minorBidi" w:hint="cs"/>
          <w:sz w:val="18"/>
          <w:szCs w:val="18"/>
          <w:rtl/>
        </w:rPr>
        <w:t xml:space="preserve">[הגה] </w:t>
      </w:r>
      <w:r w:rsidRPr="00304F63">
        <w:rPr>
          <w:rFonts w:asciiTheme="minorBidi" w:hAnsiTheme="minorBidi"/>
          <w:sz w:val="18"/>
          <w:szCs w:val="18"/>
          <w:rtl/>
        </w:rPr>
        <w:t>ואין בית דין יכולין לכוף ליכנס לפנים משורת הדין, אע</w:t>
      </w:r>
      <w:r w:rsidR="00304F63">
        <w:rPr>
          <w:rFonts w:asciiTheme="minorBidi" w:hAnsiTheme="minorBidi" w:hint="cs"/>
          <w:sz w:val="18"/>
          <w:szCs w:val="18"/>
          <w:rtl/>
        </w:rPr>
        <w:t>"</w:t>
      </w:r>
      <w:r w:rsidRPr="00304F63">
        <w:rPr>
          <w:rFonts w:asciiTheme="minorBidi" w:hAnsiTheme="minorBidi"/>
          <w:sz w:val="18"/>
          <w:szCs w:val="18"/>
          <w:rtl/>
        </w:rPr>
        <w:t>פ שנראה להם שהוא מן הראוי (ב"י בשם רי</w:t>
      </w:r>
      <w:r w:rsidR="00304F63">
        <w:rPr>
          <w:rFonts w:asciiTheme="minorBidi" w:hAnsiTheme="minorBidi" w:hint="cs"/>
          <w:sz w:val="18"/>
          <w:szCs w:val="18"/>
          <w:rtl/>
        </w:rPr>
        <w:t>"ו</w:t>
      </w:r>
      <w:r w:rsidRPr="00304F63">
        <w:rPr>
          <w:rFonts w:asciiTheme="minorBidi" w:hAnsiTheme="minorBidi"/>
          <w:sz w:val="18"/>
          <w:szCs w:val="18"/>
          <w:rtl/>
        </w:rPr>
        <w:t xml:space="preserve"> ובשם הרא"ש)</w:t>
      </w:r>
      <w:r w:rsidR="00304F63">
        <w:rPr>
          <w:rFonts w:asciiTheme="minorBidi" w:hAnsiTheme="minorBidi" w:hint="cs"/>
          <w:sz w:val="18"/>
          <w:szCs w:val="18"/>
          <w:rtl/>
        </w:rPr>
        <w:t>,</w:t>
      </w:r>
      <w:r w:rsidRPr="00304F63">
        <w:rPr>
          <w:rFonts w:asciiTheme="minorBidi" w:hAnsiTheme="minorBidi"/>
          <w:sz w:val="18"/>
          <w:szCs w:val="18"/>
          <w:rtl/>
        </w:rPr>
        <w:t xml:space="preserve"> ויש חולקים (מרדכי פ' ב' דמציעא).</w:t>
      </w:r>
      <w:r w:rsidRPr="00576D5C">
        <w:rPr>
          <w:rFonts w:asciiTheme="minorBidi" w:hAnsiTheme="minorBidi"/>
          <w:rtl/>
        </w:rPr>
        <w:t xml:space="preserve"> </w:t>
      </w:r>
    </w:p>
    <w:p w14:paraId="3D95C102" w14:textId="77777777" w:rsidR="00304F63" w:rsidRPr="00576D5C" w:rsidRDefault="00304F63" w:rsidP="00576D5C">
      <w:pPr>
        <w:rPr>
          <w:rFonts w:asciiTheme="minorBidi" w:hAnsiTheme="minorBidi"/>
          <w:rtl/>
        </w:rPr>
      </w:pPr>
    </w:p>
    <w:p w14:paraId="351A5181" w14:textId="77777777" w:rsidR="00E137BC" w:rsidRDefault="00E137BC" w:rsidP="00AB008F">
      <w:pPr>
        <w:pStyle w:val="2"/>
        <w:rPr>
          <w:rtl/>
        </w:rPr>
      </w:pPr>
      <w:bookmarkStart w:id="90" w:name="_Toc24883577"/>
      <w:r w:rsidRPr="00576D5C">
        <w:rPr>
          <w:rtl/>
        </w:rPr>
        <w:t>סעיף ג</w:t>
      </w:r>
      <w:r w:rsidR="003C4A20">
        <w:rPr>
          <w:rFonts w:hint="cs"/>
          <w:rtl/>
        </w:rPr>
        <w:t>:</w:t>
      </w:r>
      <w:r w:rsidR="004A69E3">
        <w:rPr>
          <w:rFonts w:hint="cs"/>
          <w:rtl/>
        </w:rPr>
        <w:t xml:space="preserve"> ויתור בממון היתומים חוץ מן הדין.</w:t>
      </w:r>
      <w:bookmarkEnd w:id="90"/>
    </w:p>
    <w:p w14:paraId="4DB58B4B" w14:textId="77777777" w:rsidR="004A69E3" w:rsidRPr="004A69E3" w:rsidRDefault="004A69E3" w:rsidP="004A69E3">
      <w:pPr>
        <w:rPr>
          <w:rtl/>
        </w:rPr>
      </w:pPr>
      <w:r>
        <w:rPr>
          <w:rFonts w:cs="Arial" w:hint="cs"/>
          <w:b/>
          <w:bCs/>
          <w:rtl/>
        </w:rPr>
        <w:t xml:space="preserve">בבא קמא </w:t>
      </w:r>
      <w:r w:rsidRPr="004A69E3">
        <w:rPr>
          <w:rFonts w:cs="Arial" w:hint="cs"/>
          <w:b/>
          <w:bCs/>
          <w:sz w:val="16"/>
          <w:szCs w:val="16"/>
          <w:rtl/>
        </w:rPr>
        <w:t xml:space="preserve">(פ' כיצד הרגל) </w:t>
      </w:r>
      <w:r>
        <w:rPr>
          <w:rFonts w:cs="Arial" w:hint="cs"/>
          <w:b/>
          <w:bCs/>
          <w:rtl/>
        </w:rPr>
        <w:t>כא</w:t>
      </w:r>
      <w:r w:rsidR="00C46297">
        <w:rPr>
          <w:rStyle w:val="ab"/>
          <w:rFonts w:cs="Arial"/>
          <w:b/>
          <w:bCs/>
          <w:rtl/>
        </w:rPr>
        <w:footnoteReference w:id="608"/>
      </w:r>
      <w:r>
        <w:rPr>
          <w:rFonts w:cs="Arial" w:hint="cs"/>
          <w:b/>
          <w:bCs/>
          <w:rtl/>
        </w:rPr>
        <w:t xml:space="preserve"> ע"א: </w:t>
      </w:r>
      <w:r w:rsidRPr="004A69E3">
        <w:rPr>
          <w:rFonts w:cs="Arial"/>
          <w:rtl/>
        </w:rPr>
        <w:t>ההוא גברא דבנה אפדנא אקילקלתא</w:t>
      </w:r>
      <w:r w:rsidR="00C46297">
        <w:rPr>
          <w:rStyle w:val="ab"/>
          <w:rFonts w:cs="Arial"/>
          <w:rtl/>
        </w:rPr>
        <w:footnoteReference w:id="609"/>
      </w:r>
      <w:r w:rsidRPr="004A69E3">
        <w:rPr>
          <w:rFonts w:cs="Arial"/>
          <w:rtl/>
        </w:rPr>
        <w:t xml:space="preserve"> דיתמי, אגביה רב נחמן לאפדניה מיניה. לימא, קסבר רב נחמן: הדר בחצר חבירו שלא מדעתו - צריך להעלות לו שכר! ההוא, מעיקרא קרמנאי הוו דיירי ביה ויהבי להו ליתמי דבר מועט</w:t>
      </w:r>
      <w:r>
        <w:rPr>
          <w:rStyle w:val="ab"/>
          <w:rFonts w:cs="Arial"/>
          <w:rtl/>
        </w:rPr>
        <w:footnoteReference w:id="610"/>
      </w:r>
      <w:r w:rsidRPr="004A69E3">
        <w:rPr>
          <w:rFonts w:cs="Arial"/>
          <w:rtl/>
        </w:rPr>
        <w:t>, א"ל: זיל פייסינהו ליתמי, ולא אשגח, אגביה רב נחמן לאפדניה מיניה.</w:t>
      </w:r>
    </w:p>
    <w:p w14:paraId="48AD9662" w14:textId="77777777" w:rsidR="004A69E3" w:rsidRPr="004A69E3" w:rsidRDefault="004A69E3" w:rsidP="004A69E3">
      <w:pPr>
        <w:rPr>
          <w:rFonts w:cs="Arial"/>
          <w:u w:val="single"/>
          <w:rtl/>
        </w:rPr>
      </w:pPr>
      <w:r w:rsidRPr="004A69E3">
        <w:rPr>
          <w:rFonts w:hint="cs"/>
          <w:u w:val="single"/>
          <w:rtl/>
        </w:rPr>
        <w:t>ויתור בממון היתומים חוץ מן הדין</w:t>
      </w:r>
      <w:r w:rsidRPr="004A69E3">
        <w:rPr>
          <w:rFonts w:cs="Arial" w:hint="cs"/>
          <w:u w:val="single"/>
          <w:rtl/>
        </w:rPr>
        <w:t>:</w:t>
      </w:r>
    </w:p>
    <w:p w14:paraId="466F1B26" w14:textId="77777777" w:rsidR="003C4A20" w:rsidRPr="004A69E3" w:rsidRDefault="003C4A20" w:rsidP="00C704CB">
      <w:pPr>
        <w:pStyle w:val="ac"/>
        <w:numPr>
          <w:ilvl w:val="0"/>
          <w:numId w:val="8"/>
        </w:numPr>
        <w:rPr>
          <w:rFonts w:cs="Arial"/>
          <w:rtl/>
        </w:rPr>
      </w:pPr>
      <w:r w:rsidRPr="004A69E3">
        <w:rPr>
          <w:rFonts w:cs="Arial"/>
          <w:rtl/>
        </w:rPr>
        <w:t>תרוה</w:t>
      </w:r>
      <w:r w:rsidR="004A69E3" w:rsidRPr="004A69E3">
        <w:rPr>
          <w:rFonts w:cs="Arial" w:hint="cs"/>
          <w:rtl/>
        </w:rPr>
        <w:t>"ד</w:t>
      </w:r>
      <w:r w:rsidRPr="004A69E3">
        <w:rPr>
          <w:rFonts w:cs="Arial"/>
          <w:rtl/>
        </w:rPr>
        <w:t xml:space="preserve"> </w:t>
      </w:r>
      <w:r w:rsidR="004A69E3" w:rsidRPr="004A69E3">
        <w:rPr>
          <w:rFonts w:cs="Arial" w:hint="cs"/>
          <w:sz w:val="16"/>
          <w:szCs w:val="16"/>
          <w:rtl/>
        </w:rPr>
        <w:t>(</w:t>
      </w:r>
      <w:r w:rsidRPr="004A69E3">
        <w:rPr>
          <w:rFonts w:cs="Arial"/>
          <w:sz w:val="16"/>
          <w:szCs w:val="16"/>
          <w:rtl/>
        </w:rPr>
        <w:t>ח"ב סי</w:t>
      </w:r>
      <w:r w:rsidR="004A69E3" w:rsidRPr="004A69E3">
        <w:rPr>
          <w:rFonts w:cs="Arial" w:hint="cs"/>
          <w:sz w:val="16"/>
          <w:szCs w:val="16"/>
          <w:rtl/>
        </w:rPr>
        <w:t>'</w:t>
      </w:r>
      <w:r w:rsidRPr="004A69E3">
        <w:rPr>
          <w:rFonts w:cs="Arial"/>
          <w:sz w:val="16"/>
          <w:szCs w:val="16"/>
          <w:rtl/>
        </w:rPr>
        <w:t xml:space="preserve"> קסב</w:t>
      </w:r>
      <w:r w:rsidR="004A69E3" w:rsidRPr="004A69E3">
        <w:rPr>
          <w:rFonts w:cs="Arial" w:hint="cs"/>
          <w:sz w:val="16"/>
          <w:szCs w:val="16"/>
          <w:rtl/>
        </w:rPr>
        <w:t>)</w:t>
      </w:r>
      <w:r w:rsidR="004A69E3" w:rsidRPr="004A69E3">
        <w:rPr>
          <w:rFonts w:cs="Arial" w:hint="cs"/>
          <w:rtl/>
        </w:rPr>
        <w:t>-</w:t>
      </w:r>
      <w:r w:rsidRPr="004A69E3">
        <w:rPr>
          <w:rFonts w:cs="Arial"/>
          <w:rtl/>
        </w:rPr>
        <w:t xml:space="preserve"> שרי לבית דין לוותר בממון היתומים חוץ מן הדין כדי להשקיט מריבות וקטטה</w:t>
      </w:r>
      <w:r w:rsidR="00FA51D0">
        <w:rPr>
          <w:rFonts w:cs="Arial" w:hint="cs"/>
          <w:rtl/>
        </w:rPr>
        <w:t>,</w:t>
      </w:r>
      <w:r w:rsidRPr="004A69E3">
        <w:rPr>
          <w:rFonts w:cs="Arial"/>
          <w:rtl/>
        </w:rPr>
        <w:t xml:space="preserve"> מההיא דאמר רב נחמן </w:t>
      </w:r>
      <w:r w:rsidRPr="004A69E3">
        <w:rPr>
          <w:rFonts w:cs="Arial"/>
          <w:sz w:val="16"/>
          <w:szCs w:val="16"/>
          <w:rtl/>
        </w:rPr>
        <w:t>(ב</w:t>
      </w:r>
      <w:r w:rsidR="004A69E3" w:rsidRPr="004A69E3">
        <w:rPr>
          <w:rFonts w:cs="Arial" w:hint="cs"/>
          <w:sz w:val="16"/>
          <w:szCs w:val="16"/>
          <w:rtl/>
        </w:rPr>
        <w:t>"ק</w:t>
      </w:r>
      <w:r w:rsidRPr="004A69E3">
        <w:rPr>
          <w:rFonts w:cs="Arial"/>
          <w:sz w:val="16"/>
          <w:szCs w:val="16"/>
          <w:rtl/>
        </w:rPr>
        <w:t xml:space="preserve"> כא.) </w:t>
      </w:r>
      <w:r w:rsidRPr="004A69E3">
        <w:rPr>
          <w:rFonts w:cs="Arial"/>
          <w:rtl/>
        </w:rPr>
        <w:t>להנהו דבנו אפדנא אקיקלי דיתמי זילו פייסו ליתמי ולא אשגחו ביה ואגבי רב נחמן לאפדנא מינייהו</w:t>
      </w:r>
      <w:r w:rsidR="000C15FF">
        <w:rPr>
          <w:rFonts w:cs="Arial" w:hint="cs"/>
          <w:rtl/>
        </w:rPr>
        <w:t>.</w:t>
      </w:r>
      <w:r w:rsidRPr="004A69E3">
        <w:rPr>
          <w:rFonts w:cs="Arial"/>
          <w:rtl/>
        </w:rPr>
        <w:t xml:space="preserve"> ופירש שם אשיר"י </w:t>
      </w:r>
      <w:r w:rsidRPr="004A69E3">
        <w:rPr>
          <w:rFonts w:cs="Arial"/>
          <w:sz w:val="16"/>
          <w:szCs w:val="16"/>
          <w:rtl/>
        </w:rPr>
        <w:t xml:space="preserve">(סי' ו) </w:t>
      </w:r>
      <w:r w:rsidRPr="004A69E3">
        <w:rPr>
          <w:rFonts w:cs="Arial"/>
          <w:rtl/>
        </w:rPr>
        <w:t>דמן הדין היו חייבים לפרוע ליתומים כל הנאתם לפי שחסרו אותם מעט</w:t>
      </w:r>
      <w:r w:rsidR="000C15FF">
        <w:rPr>
          <w:rFonts w:cs="Arial" w:hint="cs"/>
          <w:rtl/>
        </w:rPr>
        <w:t>.</w:t>
      </w:r>
      <w:r w:rsidRPr="004A69E3">
        <w:rPr>
          <w:rFonts w:cs="Arial"/>
          <w:rtl/>
        </w:rPr>
        <w:t xml:space="preserve"> ואפילו הכי אמר בתחלה שיפייסו היתומים במאי דיתפייסו</w:t>
      </w:r>
      <w:r w:rsidR="004A69E3" w:rsidRPr="004A69E3">
        <w:rPr>
          <w:rFonts w:cs="Arial" w:hint="cs"/>
          <w:rtl/>
        </w:rPr>
        <w:t>.</w:t>
      </w:r>
      <w:r w:rsidR="00FA51D0">
        <w:rPr>
          <w:rFonts w:cs="Arial" w:hint="cs"/>
          <w:rtl/>
        </w:rPr>
        <w:t xml:space="preserve"> </w:t>
      </w:r>
      <w:r w:rsidR="00FA51D0" w:rsidRPr="00FA51D0">
        <w:rPr>
          <w:rFonts w:cs="Arial" w:hint="cs"/>
          <w:color w:val="E36C0A" w:themeColor="accent6" w:themeShade="BF"/>
          <w:rtl/>
        </w:rPr>
        <w:t>(וכ"פ בשו"ע)</w:t>
      </w:r>
    </w:p>
    <w:p w14:paraId="2F7149B6" w14:textId="77777777" w:rsidR="00E137BC" w:rsidRPr="00576D5C" w:rsidRDefault="00E137BC" w:rsidP="00576D5C">
      <w:pPr>
        <w:rPr>
          <w:rFonts w:asciiTheme="minorBidi" w:hAnsiTheme="minorBidi"/>
          <w:b/>
          <w:bCs/>
          <w:color w:val="000000"/>
          <w:sz w:val="28"/>
          <w:szCs w:val="28"/>
          <w:u w:val="single"/>
          <w:rtl/>
        </w:rPr>
      </w:pPr>
      <w:r w:rsidRPr="00576D5C">
        <w:rPr>
          <w:rFonts w:asciiTheme="minorBidi" w:hAnsiTheme="minorBidi"/>
          <w:b/>
          <w:bCs/>
          <w:color w:val="000000"/>
          <w:sz w:val="28"/>
          <w:szCs w:val="28"/>
          <w:u w:val="single"/>
          <w:rtl/>
        </w:rPr>
        <w:t>שו"ע:</w:t>
      </w:r>
    </w:p>
    <w:p w14:paraId="28259AD8" w14:textId="77777777" w:rsidR="00E137BC" w:rsidRDefault="00E137BC" w:rsidP="00576D5C">
      <w:pPr>
        <w:rPr>
          <w:rFonts w:asciiTheme="minorBidi" w:hAnsiTheme="minorBidi"/>
          <w:rtl/>
        </w:rPr>
      </w:pPr>
      <w:r w:rsidRPr="00576D5C">
        <w:rPr>
          <w:rFonts w:asciiTheme="minorBidi" w:hAnsiTheme="minorBidi"/>
          <w:rtl/>
        </w:rPr>
        <w:t>מותר לב</w:t>
      </w:r>
      <w:r w:rsidR="004A69E3">
        <w:rPr>
          <w:rFonts w:asciiTheme="minorBidi" w:hAnsiTheme="minorBidi" w:hint="cs"/>
          <w:rtl/>
        </w:rPr>
        <w:t xml:space="preserve">ית </w:t>
      </w:r>
      <w:r w:rsidRPr="00576D5C">
        <w:rPr>
          <w:rFonts w:asciiTheme="minorBidi" w:hAnsiTheme="minorBidi"/>
          <w:rtl/>
        </w:rPr>
        <w:t>ד</w:t>
      </w:r>
      <w:r w:rsidR="004A69E3">
        <w:rPr>
          <w:rFonts w:asciiTheme="minorBidi" w:hAnsiTheme="minorBidi" w:hint="cs"/>
          <w:rtl/>
        </w:rPr>
        <w:t>ין</w:t>
      </w:r>
      <w:r w:rsidRPr="00576D5C">
        <w:rPr>
          <w:rFonts w:asciiTheme="minorBidi" w:hAnsiTheme="minorBidi"/>
          <w:rtl/>
        </w:rPr>
        <w:t xml:space="preserve"> לוותר בממון היתומים חוץ מן הדין</w:t>
      </w:r>
      <w:r w:rsidR="00C46297">
        <w:rPr>
          <w:rStyle w:val="ab"/>
          <w:rFonts w:asciiTheme="minorBidi" w:hAnsiTheme="minorBidi"/>
          <w:rtl/>
        </w:rPr>
        <w:footnoteReference w:id="611"/>
      </w:r>
      <w:r w:rsidRPr="00576D5C">
        <w:rPr>
          <w:rFonts w:asciiTheme="minorBidi" w:hAnsiTheme="minorBidi"/>
          <w:rtl/>
        </w:rPr>
        <w:t xml:space="preserve">, כדי להשקיטם ממריבות. </w:t>
      </w:r>
    </w:p>
    <w:p w14:paraId="45B20E22" w14:textId="77777777" w:rsidR="004A69E3" w:rsidRPr="00576D5C" w:rsidRDefault="004A69E3" w:rsidP="00576D5C">
      <w:pPr>
        <w:rPr>
          <w:rFonts w:asciiTheme="minorBidi" w:hAnsiTheme="minorBidi"/>
          <w:rtl/>
        </w:rPr>
      </w:pPr>
    </w:p>
    <w:p w14:paraId="5AD51AFF" w14:textId="77777777" w:rsidR="00E137BC" w:rsidRDefault="00E137BC" w:rsidP="00AB008F">
      <w:pPr>
        <w:pStyle w:val="2"/>
        <w:rPr>
          <w:rtl/>
        </w:rPr>
      </w:pPr>
      <w:bookmarkStart w:id="91" w:name="_Toc24883578"/>
      <w:r w:rsidRPr="00576D5C">
        <w:rPr>
          <w:rtl/>
        </w:rPr>
        <w:t>סעיף ד</w:t>
      </w:r>
      <w:r w:rsidR="003C4A20">
        <w:rPr>
          <w:rFonts w:hint="cs"/>
          <w:rtl/>
        </w:rPr>
        <w:t>:</w:t>
      </w:r>
      <w:r w:rsidR="00FA51D0">
        <w:rPr>
          <w:rFonts w:hint="cs"/>
          <w:rtl/>
        </w:rPr>
        <w:t xml:space="preserve"> </w:t>
      </w:r>
      <w:r w:rsidR="00A876F6">
        <w:rPr>
          <w:rFonts w:hint="cs"/>
          <w:rtl/>
        </w:rPr>
        <w:t xml:space="preserve">גזרת </w:t>
      </w:r>
      <w:r w:rsidR="00FA51D0">
        <w:rPr>
          <w:rFonts w:hint="cs"/>
          <w:rtl/>
        </w:rPr>
        <w:t>בית דין שתתקיים פשר</w:t>
      </w:r>
      <w:r w:rsidR="00A876F6">
        <w:rPr>
          <w:rFonts w:hint="cs"/>
          <w:rtl/>
        </w:rPr>
        <w:t>ת</w:t>
      </w:r>
      <w:r w:rsidR="00FA51D0">
        <w:rPr>
          <w:rFonts w:hint="cs"/>
          <w:rtl/>
        </w:rPr>
        <w:t xml:space="preserve"> היתומים </w:t>
      </w:r>
      <w:r w:rsidR="00A876F6">
        <w:rPr>
          <w:rFonts w:hint="cs"/>
          <w:rtl/>
        </w:rPr>
        <w:t>גם לכשיגדילו</w:t>
      </w:r>
      <w:r w:rsidR="00FA51D0">
        <w:rPr>
          <w:rFonts w:hint="cs"/>
          <w:rtl/>
        </w:rPr>
        <w:t>.</w:t>
      </w:r>
      <w:bookmarkEnd w:id="91"/>
      <w:r w:rsidR="00FA51D0">
        <w:rPr>
          <w:rFonts w:hint="cs"/>
          <w:rtl/>
        </w:rPr>
        <w:t xml:space="preserve"> </w:t>
      </w:r>
    </w:p>
    <w:p w14:paraId="3C799103" w14:textId="77777777" w:rsidR="00A876F6" w:rsidRPr="00A876F6" w:rsidRDefault="00A876F6" w:rsidP="00A876F6">
      <w:pPr>
        <w:rPr>
          <w:rtl/>
        </w:rPr>
      </w:pPr>
      <w:r w:rsidRPr="00A876F6">
        <w:rPr>
          <w:rFonts w:cs="Arial" w:hint="cs"/>
          <w:b/>
          <w:bCs/>
          <w:rtl/>
        </w:rPr>
        <w:t xml:space="preserve">גיטין </w:t>
      </w:r>
      <w:r>
        <w:rPr>
          <w:rFonts w:cs="Arial" w:hint="cs"/>
          <w:b/>
          <w:bCs/>
          <w:sz w:val="16"/>
          <w:szCs w:val="16"/>
          <w:rtl/>
        </w:rPr>
        <w:t xml:space="preserve">(השולח) </w:t>
      </w:r>
      <w:r w:rsidRPr="00A876F6">
        <w:rPr>
          <w:rFonts w:cs="Arial" w:hint="cs"/>
          <w:b/>
          <w:bCs/>
          <w:rtl/>
        </w:rPr>
        <w:t>לג</w:t>
      </w:r>
      <w:r>
        <w:rPr>
          <w:rStyle w:val="ab"/>
          <w:rFonts w:cs="Arial"/>
          <w:b/>
          <w:bCs/>
          <w:rtl/>
        </w:rPr>
        <w:footnoteReference w:id="612"/>
      </w:r>
      <w:r w:rsidRPr="00A876F6">
        <w:rPr>
          <w:rFonts w:cs="Arial" w:hint="cs"/>
          <w:b/>
          <w:bCs/>
          <w:rtl/>
        </w:rPr>
        <w:t xml:space="preserve"> ע"ב: </w:t>
      </w:r>
      <w:r w:rsidRPr="00A876F6">
        <w:rPr>
          <w:rFonts w:cs="Arial"/>
          <w:u w:val="single"/>
          <w:rtl/>
        </w:rPr>
        <w:t>אמר רב נחמן אמר שמואל</w:t>
      </w:r>
      <w:r w:rsidRPr="00A876F6">
        <w:rPr>
          <w:rFonts w:cs="Arial"/>
          <w:rtl/>
        </w:rPr>
        <w:t xml:space="preserve">: </w:t>
      </w:r>
      <w:r>
        <w:rPr>
          <w:rFonts w:cs="Arial" w:hint="cs"/>
          <w:sz w:val="14"/>
          <w:szCs w:val="14"/>
          <w:rtl/>
        </w:rPr>
        <w:t xml:space="preserve">(לד.) </w:t>
      </w:r>
      <w:r w:rsidRPr="00A876F6">
        <w:rPr>
          <w:rFonts w:cs="Arial"/>
          <w:rtl/>
        </w:rPr>
        <w:t>יתומין שבאו לחלוק בנכסי אביהן, בית דין מעמידין להן אפוטרופוס ובוררים להן חלק יפה</w:t>
      </w:r>
      <w:r w:rsidR="005D5515">
        <w:rPr>
          <w:rFonts w:cs="Arial" w:hint="cs"/>
          <w:rtl/>
        </w:rPr>
        <w:t>.</w:t>
      </w:r>
      <w:r w:rsidRPr="00A876F6">
        <w:rPr>
          <w:rFonts w:cs="Arial"/>
          <w:rtl/>
        </w:rPr>
        <w:t xml:space="preserve"> הגדילו - יכולין למחות</w:t>
      </w:r>
      <w:r>
        <w:rPr>
          <w:rFonts w:cs="Arial" w:hint="cs"/>
          <w:rtl/>
        </w:rPr>
        <w:t>.</w:t>
      </w:r>
      <w:r w:rsidRPr="00A876F6">
        <w:rPr>
          <w:rFonts w:cs="Arial"/>
          <w:rtl/>
        </w:rPr>
        <w:t xml:space="preserve"> </w:t>
      </w:r>
      <w:r w:rsidRPr="00A876F6">
        <w:rPr>
          <w:rFonts w:cs="Arial"/>
          <w:u w:val="single"/>
          <w:rtl/>
        </w:rPr>
        <w:t>ורב נחמן דידיה</w:t>
      </w:r>
      <w:r>
        <w:rPr>
          <w:rStyle w:val="ab"/>
          <w:rFonts w:cs="Arial"/>
          <w:u w:val="single"/>
          <w:rtl/>
        </w:rPr>
        <w:footnoteReference w:id="613"/>
      </w:r>
      <w:r w:rsidRPr="00A876F6">
        <w:rPr>
          <w:rFonts w:cs="Arial"/>
          <w:u w:val="single"/>
          <w:rtl/>
        </w:rPr>
        <w:t xml:space="preserve"> אמר</w:t>
      </w:r>
      <w:r w:rsidRPr="00A876F6">
        <w:rPr>
          <w:rFonts w:cs="Arial"/>
          <w:rtl/>
        </w:rPr>
        <w:t>: הגדילו - אין יכולין למחות, דאם כן, מה כח בית דין</w:t>
      </w:r>
      <w:r>
        <w:rPr>
          <w:rStyle w:val="ab"/>
          <w:rFonts w:cs="Arial"/>
          <w:rtl/>
        </w:rPr>
        <w:footnoteReference w:id="614"/>
      </w:r>
      <w:r w:rsidRPr="00A876F6">
        <w:rPr>
          <w:rFonts w:cs="Arial"/>
          <w:rtl/>
        </w:rPr>
        <w:t xml:space="preserve"> יפה!</w:t>
      </w:r>
    </w:p>
    <w:p w14:paraId="1EBCFAE8" w14:textId="77777777" w:rsidR="00FA51D0" w:rsidRPr="00FA51D0" w:rsidRDefault="00A876F6" w:rsidP="003C4A20">
      <w:pPr>
        <w:rPr>
          <w:u w:val="single"/>
          <w:rtl/>
        </w:rPr>
      </w:pPr>
      <w:r>
        <w:rPr>
          <w:rFonts w:hint="cs"/>
          <w:u w:val="single"/>
          <w:rtl/>
        </w:rPr>
        <w:lastRenderedPageBreak/>
        <w:t xml:space="preserve">האם </w:t>
      </w:r>
      <w:r w:rsidR="00FA51D0" w:rsidRPr="00FA51D0">
        <w:rPr>
          <w:rFonts w:hint="cs"/>
          <w:u w:val="single"/>
          <w:rtl/>
        </w:rPr>
        <w:t xml:space="preserve">בית דין </w:t>
      </w:r>
      <w:r>
        <w:rPr>
          <w:rFonts w:hint="cs"/>
          <w:u w:val="single"/>
          <w:rtl/>
        </w:rPr>
        <w:t>יכול ל</w:t>
      </w:r>
      <w:r w:rsidR="00FA51D0" w:rsidRPr="00FA51D0">
        <w:rPr>
          <w:rFonts w:hint="cs"/>
          <w:u w:val="single"/>
          <w:rtl/>
        </w:rPr>
        <w:t>גז</w:t>
      </w:r>
      <w:r>
        <w:rPr>
          <w:rFonts w:hint="cs"/>
          <w:u w:val="single"/>
          <w:rtl/>
        </w:rPr>
        <w:t>ו</w:t>
      </w:r>
      <w:r w:rsidR="00FA51D0" w:rsidRPr="00FA51D0">
        <w:rPr>
          <w:rFonts w:hint="cs"/>
          <w:u w:val="single"/>
          <w:rtl/>
        </w:rPr>
        <w:t>ר שתתקיים פשר</w:t>
      </w:r>
      <w:r>
        <w:rPr>
          <w:rFonts w:hint="cs"/>
          <w:u w:val="single"/>
          <w:rtl/>
        </w:rPr>
        <w:t>ת</w:t>
      </w:r>
      <w:r w:rsidR="00FA51D0" w:rsidRPr="00FA51D0">
        <w:rPr>
          <w:rFonts w:hint="cs"/>
          <w:u w:val="single"/>
          <w:rtl/>
        </w:rPr>
        <w:t xml:space="preserve"> היתומים ושלא יוכלו למחות כשיגדילו:</w:t>
      </w:r>
    </w:p>
    <w:p w14:paraId="52F24F73" w14:textId="77777777" w:rsidR="003C4A20" w:rsidRPr="003C4A20" w:rsidRDefault="00FA51D0" w:rsidP="00C704CB">
      <w:pPr>
        <w:pStyle w:val="ac"/>
        <w:numPr>
          <w:ilvl w:val="0"/>
          <w:numId w:val="8"/>
        </w:numPr>
        <w:rPr>
          <w:rtl/>
        </w:rPr>
      </w:pPr>
      <w:r w:rsidRPr="00FA51D0">
        <w:rPr>
          <w:rFonts w:cs="Arial" w:hint="cs"/>
          <w:rtl/>
        </w:rPr>
        <w:t>תרוה"ד</w:t>
      </w:r>
      <w:r w:rsidR="003C4A20" w:rsidRPr="00FA51D0">
        <w:rPr>
          <w:rFonts w:cs="Arial"/>
          <w:rtl/>
        </w:rPr>
        <w:t xml:space="preserve"> </w:t>
      </w:r>
      <w:r w:rsidR="003C4A20" w:rsidRPr="00FA51D0">
        <w:rPr>
          <w:rFonts w:cs="Arial"/>
          <w:sz w:val="16"/>
          <w:szCs w:val="16"/>
          <w:rtl/>
        </w:rPr>
        <w:t>(כתבים סי' קסג)</w:t>
      </w:r>
      <w:r w:rsidRPr="00FA51D0">
        <w:rPr>
          <w:rFonts w:cs="Arial" w:hint="cs"/>
          <w:rtl/>
        </w:rPr>
        <w:t>-</w:t>
      </w:r>
      <w:r w:rsidR="003C4A20" w:rsidRPr="00FA51D0">
        <w:rPr>
          <w:rFonts w:cs="Arial"/>
          <w:rtl/>
        </w:rPr>
        <w:t xml:space="preserve"> מה שהסכמתם לגזור ולהחרים שתתקיים הפשרה ושלא יוכלו היתומים לחלוק ולמחות כשיגדלו</w:t>
      </w:r>
      <w:r w:rsidRPr="00FA51D0">
        <w:rPr>
          <w:rFonts w:cs="Arial" w:hint="cs"/>
          <w:rtl/>
        </w:rPr>
        <w:t xml:space="preserve"> -</w:t>
      </w:r>
      <w:r w:rsidR="003C4A20" w:rsidRPr="00FA51D0">
        <w:rPr>
          <w:rFonts w:cs="Arial"/>
          <w:rtl/>
        </w:rPr>
        <w:t xml:space="preserve"> דינא הכי הוא</w:t>
      </w:r>
      <w:r w:rsidRPr="00FA51D0">
        <w:rPr>
          <w:rFonts w:cs="Arial" w:hint="cs"/>
          <w:rtl/>
        </w:rPr>
        <w:t>,</w:t>
      </w:r>
      <w:r w:rsidR="003C4A20" w:rsidRPr="00FA51D0">
        <w:rPr>
          <w:rFonts w:cs="Arial"/>
          <w:rtl/>
        </w:rPr>
        <w:t xml:space="preserve"> דיש כח ביד בית דין על היתומים על זה</w:t>
      </w:r>
      <w:r w:rsidRPr="00FA51D0">
        <w:rPr>
          <w:rFonts w:cs="Arial" w:hint="cs"/>
          <w:rtl/>
        </w:rPr>
        <w:t>,</w:t>
      </w:r>
      <w:r w:rsidR="003C4A20" w:rsidRPr="00FA51D0">
        <w:rPr>
          <w:rFonts w:cs="Arial"/>
          <w:rtl/>
        </w:rPr>
        <w:t xml:space="preserve"> דקיי</w:t>
      </w:r>
      <w:r w:rsidR="005D5515">
        <w:rPr>
          <w:rFonts w:cs="Arial" w:hint="cs"/>
          <w:rtl/>
        </w:rPr>
        <w:t>"</w:t>
      </w:r>
      <w:r w:rsidR="003C4A20" w:rsidRPr="00FA51D0">
        <w:rPr>
          <w:rFonts w:cs="Arial"/>
          <w:rtl/>
        </w:rPr>
        <w:t xml:space="preserve">ל </w:t>
      </w:r>
      <w:r w:rsidR="003C4A20" w:rsidRPr="00FA51D0">
        <w:rPr>
          <w:rFonts w:cs="Arial"/>
          <w:sz w:val="16"/>
          <w:szCs w:val="16"/>
          <w:rtl/>
        </w:rPr>
        <w:t xml:space="preserve">(גיטין לד.) </w:t>
      </w:r>
      <w:r w:rsidR="003C4A20" w:rsidRPr="00FA51D0">
        <w:rPr>
          <w:rFonts w:cs="Arial"/>
          <w:rtl/>
        </w:rPr>
        <w:t>כרב נחמן דאית ליה</w:t>
      </w:r>
      <w:r w:rsidR="00A876F6">
        <w:rPr>
          <w:rFonts w:cs="Arial" w:hint="cs"/>
          <w:rtl/>
        </w:rPr>
        <w:t>,</w:t>
      </w:r>
      <w:r w:rsidR="003C4A20" w:rsidRPr="00FA51D0">
        <w:rPr>
          <w:rFonts w:cs="Arial"/>
          <w:rtl/>
        </w:rPr>
        <w:t xml:space="preserve"> דאם כן מה כח בית דין יפה</w:t>
      </w:r>
      <w:r>
        <w:rPr>
          <w:rStyle w:val="ab"/>
          <w:rFonts w:cs="Arial"/>
          <w:rtl/>
        </w:rPr>
        <w:footnoteReference w:id="615"/>
      </w:r>
      <w:r w:rsidRPr="004A69E3">
        <w:rPr>
          <w:rFonts w:cs="Arial" w:hint="cs"/>
          <w:rtl/>
        </w:rPr>
        <w:t>.</w:t>
      </w:r>
      <w:r>
        <w:rPr>
          <w:rFonts w:cs="Arial" w:hint="cs"/>
          <w:rtl/>
        </w:rPr>
        <w:t xml:space="preserve"> </w:t>
      </w:r>
      <w:r w:rsidRPr="00FA51D0">
        <w:rPr>
          <w:rFonts w:cs="Arial" w:hint="cs"/>
          <w:color w:val="E36C0A" w:themeColor="accent6" w:themeShade="BF"/>
          <w:rtl/>
        </w:rPr>
        <w:t>(וכ"פ בשו"ע)</w:t>
      </w:r>
    </w:p>
    <w:p w14:paraId="34DEDF52" w14:textId="77777777" w:rsidR="00E137BC" w:rsidRPr="00576D5C" w:rsidRDefault="00E137BC" w:rsidP="00576D5C">
      <w:pPr>
        <w:rPr>
          <w:rFonts w:asciiTheme="minorBidi" w:hAnsiTheme="minorBidi"/>
          <w:b/>
          <w:bCs/>
          <w:color w:val="000000"/>
          <w:sz w:val="28"/>
          <w:szCs w:val="28"/>
          <w:u w:val="single"/>
          <w:rtl/>
        </w:rPr>
      </w:pPr>
      <w:r w:rsidRPr="00576D5C">
        <w:rPr>
          <w:rFonts w:asciiTheme="minorBidi" w:hAnsiTheme="minorBidi"/>
          <w:b/>
          <w:bCs/>
          <w:color w:val="000000"/>
          <w:sz w:val="28"/>
          <w:szCs w:val="28"/>
          <w:u w:val="single"/>
          <w:rtl/>
        </w:rPr>
        <w:t>שו"ע:</w:t>
      </w:r>
    </w:p>
    <w:p w14:paraId="652A1FE2" w14:textId="77777777" w:rsidR="00E137BC" w:rsidRDefault="00E137BC" w:rsidP="00576D5C">
      <w:pPr>
        <w:rPr>
          <w:rFonts w:asciiTheme="minorBidi" w:hAnsiTheme="minorBidi"/>
          <w:rtl/>
        </w:rPr>
      </w:pPr>
      <w:r w:rsidRPr="00576D5C">
        <w:rPr>
          <w:rFonts w:asciiTheme="minorBidi" w:hAnsiTheme="minorBidi"/>
          <w:rtl/>
        </w:rPr>
        <w:t>יש כח ביד ב</w:t>
      </w:r>
      <w:r w:rsidR="00FA51D0">
        <w:rPr>
          <w:rFonts w:asciiTheme="minorBidi" w:hAnsiTheme="minorBidi" w:hint="cs"/>
          <w:rtl/>
        </w:rPr>
        <w:t xml:space="preserve">ית </w:t>
      </w:r>
      <w:r w:rsidRPr="00576D5C">
        <w:rPr>
          <w:rFonts w:asciiTheme="minorBidi" w:hAnsiTheme="minorBidi"/>
          <w:rtl/>
        </w:rPr>
        <w:t>ד</w:t>
      </w:r>
      <w:r w:rsidR="00FA51D0">
        <w:rPr>
          <w:rFonts w:asciiTheme="minorBidi" w:hAnsiTheme="minorBidi" w:hint="cs"/>
          <w:rtl/>
        </w:rPr>
        <w:t>ין</w:t>
      </w:r>
      <w:r w:rsidRPr="00576D5C">
        <w:rPr>
          <w:rFonts w:asciiTheme="minorBidi" w:hAnsiTheme="minorBidi"/>
          <w:rtl/>
        </w:rPr>
        <w:t xml:space="preserve"> לגזור ולהחרים שתתקיים הפשרה, ושלא יוכלו היתומים למחות כשיגדילו. </w:t>
      </w:r>
    </w:p>
    <w:p w14:paraId="1C160BCD" w14:textId="77777777" w:rsidR="00FA51D0" w:rsidRPr="00576D5C" w:rsidRDefault="00FA51D0" w:rsidP="00576D5C">
      <w:pPr>
        <w:rPr>
          <w:rFonts w:asciiTheme="minorBidi" w:hAnsiTheme="minorBidi"/>
          <w:rtl/>
        </w:rPr>
      </w:pPr>
    </w:p>
    <w:p w14:paraId="14CF8421" w14:textId="77777777" w:rsidR="00E137BC" w:rsidRDefault="00E137BC" w:rsidP="006567B0">
      <w:pPr>
        <w:pStyle w:val="2"/>
        <w:rPr>
          <w:rtl/>
        </w:rPr>
      </w:pPr>
      <w:bookmarkStart w:id="92" w:name="_Toc24883579"/>
      <w:r w:rsidRPr="00576D5C">
        <w:rPr>
          <w:rtl/>
        </w:rPr>
        <w:t>סעיף ה</w:t>
      </w:r>
      <w:r w:rsidR="006567B0">
        <w:rPr>
          <w:rFonts w:hint="cs"/>
          <w:rtl/>
        </w:rPr>
        <w:t>:</w:t>
      </w:r>
      <w:r w:rsidR="00FA51D0">
        <w:rPr>
          <w:rFonts w:hint="cs"/>
          <w:rtl/>
        </w:rPr>
        <w:t xml:space="preserve"> דין כעין פשרה</w:t>
      </w:r>
      <w:r w:rsidR="000F1D60">
        <w:rPr>
          <w:rFonts w:hint="cs"/>
          <w:rtl/>
        </w:rPr>
        <w:t xml:space="preserve"> במקום שאין הדבר יכול להתברר</w:t>
      </w:r>
      <w:r w:rsidR="00FA51D0">
        <w:rPr>
          <w:rFonts w:hint="cs"/>
          <w:rtl/>
        </w:rPr>
        <w:t>.</w:t>
      </w:r>
      <w:bookmarkEnd w:id="92"/>
    </w:p>
    <w:p w14:paraId="780C927E" w14:textId="77777777" w:rsidR="00711848" w:rsidRPr="00711848" w:rsidRDefault="00711848" w:rsidP="00711848">
      <w:pPr>
        <w:rPr>
          <w:rtl/>
        </w:rPr>
      </w:pPr>
      <w:r>
        <w:rPr>
          <w:rFonts w:cs="Arial" w:hint="cs"/>
          <w:b/>
          <w:bCs/>
          <w:rtl/>
        </w:rPr>
        <w:t>בבא מציעא</w:t>
      </w:r>
      <w:r w:rsidRPr="00711848">
        <w:rPr>
          <w:rFonts w:cs="Arial" w:hint="cs"/>
          <w:b/>
          <w:bCs/>
          <w:sz w:val="16"/>
          <w:szCs w:val="16"/>
          <w:rtl/>
        </w:rPr>
        <w:t xml:space="preserve"> (המפקיד) </w:t>
      </w:r>
      <w:r>
        <w:rPr>
          <w:rFonts w:cs="Arial" w:hint="cs"/>
          <w:b/>
          <w:bCs/>
          <w:rtl/>
        </w:rPr>
        <w:t>מב</w:t>
      </w:r>
      <w:r w:rsidR="00C71B62">
        <w:rPr>
          <w:rStyle w:val="ab"/>
          <w:rFonts w:cs="Arial"/>
          <w:b/>
          <w:bCs/>
          <w:rtl/>
        </w:rPr>
        <w:footnoteReference w:id="616"/>
      </w:r>
      <w:r>
        <w:rPr>
          <w:rFonts w:cs="Arial" w:hint="cs"/>
          <w:b/>
          <w:bCs/>
          <w:rtl/>
        </w:rPr>
        <w:t xml:space="preserve"> ע"ב: </w:t>
      </w:r>
      <w:r w:rsidRPr="00711848">
        <w:rPr>
          <w:rFonts w:cs="Arial"/>
          <w:rtl/>
        </w:rPr>
        <w:t xml:space="preserve">ההוא אפוטרופא דיתמי דזבן להו תורא ליתמי, ומסריה לבקרא, לא הוו ליה ככי ושיני למיכל, ומית. </w:t>
      </w:r>
      <w:r w:rsidRPr="00711848">
        <w:rPr>
          <w:rFonts w:cs="Arial"/>
          <w:u w:val="single"/>
          <w:rtl/>
        </w:rPr>
        <w:t>אמר רמי בר חמא:</w:t>
      </w:r>
      <w:r w:rsidRPr="00711848">
        <w:rPr>
          <w:rFonts w:cs="Arial"/>
          <w:rtl/>
        </w:rPr>
        <w:t xml:space="preserve"> היכי נדיינו דייני להאי דינא? נימא ליה לאפוטרופא: זיל שלים, אמר: אנא לבקרא מסרתיה</w:t>
      </w:r>
      <w:r>
        <w:rPr>
          <w:rStyle w:val="ab"/>
          <w:rFonts w:cs="Arial"/>
          <w:rtl/>
        </w:rPr>
        <w:footnoteReference w:id="617"/>
      </w:r>
      <w:r w:rsidRPr="00711848">
        <w:rPr>
          <w:rFonts w:cs="Arial"/>
          <w:rtl/>
        </w:rPr>
        <w:t>. נימא ליה לבקרא: זיל שלים, אמר: אנא בהדי תורי אוקימתיה, אוכלא שדאי ליה, לא הוה ידעינן דלא אכל. מכדי בקרא שומר שכר דיתמי הוא, איבעי ליה לעיוני</w:t>
      </w:r>
      <w:r>
        <w:rPr>
          <w:rStyle w:val="ab"/>
          <w:rFonts w:cs="Arial"/>
          <w:rtl/>
        </w:rPr>
        <w:footnoteReference w:id="618"/>
      </w:r>
      <w:r w:rsidRPr="00711848">
        <w:rPr>
          <w:rFonts w:cs="Arial"/>
          <w:rtl/>
        </w:rPr>
        <w:t xml:space="preserve"> אי איכא פסידא דיתמי! הכי נמי, והכא במאי עסקינן - דליכא פסידא דיתמי, דאשכחוהו למריה דתורא</w:t>
      </w:r>
      <w:r>
        <w:rPr>
          <w:rStyle w:val="ab"/>
          <w:rFonts w:cs="Arial"/>
          <w:rtl/>
        </w:rPr>
        <w:footnoteReference w:id="619"/>
      </w:r>
      <w:r w:rsidRPr="00711848">
        <w:rPr>
          <w:rFonts w:cs="Arial"/>
          <w:rtl/>
        </w:rPr>
        <w:t xml:space="preserve"> ושקול יתמי זוזי מיניה</w:t>
      </w:r>
      <w:r>
        <w:rPr>
          <w:rStyle w:val="ab"/>
          <w:rFonts w:cs="Arial"/>
          <w:rtl/>
        </w:rPr>
        <w:footnoteReference w:id="620"/>
      </w:r>
      <w:r w:rsidRPr="00711848">
        <w:rPr>
          <w:rFonts w:cs="Arial"/>
          <w:rtl/>
        </w:rPr>
        <w:t>. אלא מאן קא טעין</w:t>
      </w:r>
      <w:r>
        <w:rPr>
          <w:rStyle w:val="ab"/>
          <w:rFonts w:cs="Arial"/>
          <w:rtl/>
        </w:rPr>
        <w:footnoteReference w:id="621"/>
      </w:r>
      <w:r w:rsidR="004D47D8">
        <w:rPr>
          <w:rFonts w:cs="Arial" w:hint="cs"/>
          <w:rtl/>
        </w:rPr>
        <w:t>?</w:t>
      </w:r>
      <w:r w:rsidRPr="00711848">
        <w:rPr>
          <w:rFonts w:cs="Arial"/>
          <w:rtl/>
        </w:rPr>
        <w:t xml:space="preserve"> מריה דתורא קטעין</w:t>
      </w:r>
      <w:r>
        <w:rPr>
          <w:rStyle w:val="ab"/>
          <w:rFonts w:cs="Arial"/>
          <w:rtl/>
        </w:rPr>
        <w:footnoteReference w:id="622"/>
      </w:r>
      <w:r w:rsidRPr="00711848">
        <w:rPr>
          <w:rFonts w:cs="Arial"/>
          <w:rtl/>
        </w:rPr>
        <w:t>. איבעי ליה לאודוען! מאי מודעינן ליה, מידע ידע דמקח טעות הוי! בספסירא</w:t>
      </w:r>
      <w:r>
        <w:rPr>
          <w:rStyle w:val="ab"/>
          <w:rFonts w:cs="Arial"/>
          <w:rtl/>
        </w:rPr>
        <w:footnoteReference w:id="623"/>
      </w:r>
      <w:r w:rsidRPr="00711848">
        <w:rPr>
          <w:rFonts w:cs="Arial"/>
          <w:rtl/>
        </w:rPr>
        <w:t xml:space="preserve"> דזבן מהכא ומזבין להכא. הלכך, מישתבע</w:t>
      </w:r>
      <w:r>
        <w:rPr>
          <w:rStyle w:val="ab"/>
          <w:rFonts w:cs="Arial"/>
          <w:rtl/>
        </w:rPr>
        <w:footnoteReference w:id="624"/>
      </w:r>
      <w:r w:rsidRPr="00711848">
        <w:rPr>
          <w:rFonts w:cs="Arial"/>
          <w:rtl/>
        </w:rPr>
        <w:t xml:space="preserve"> איהו דלא הוה ידע, ומשלם בקרא דמי בשר בזול</w:t>
      </w:r>
      <w:r>
        <w:rPr>
          <w:rStyle w:val="ab"/>
          <w:rFonts w:cs="Arial"/>
          <w:rtl/>
        </w:rPr>
        <w:footnoteReference w:id="625"/>
      </w:r>
      <w:r w:rsidRPr="00711848">
        <w:rPr>
          <w:rFonts w:cs="Arial"/>
          <w:rtl/>
        </w:rPr>
        <w:t>.</w:t>
      </w:r>
    </w:p>
    <w:p w14:paraId="155CE7EF" w14:textId="77777777" w:rsidR="00FA51D0" w:rsidRDefault="00FA51D0" w:rsidP="006567B0">
      <w:pPr>
        <w:rPr>
          <w:rFonts w:cs="Arial"/>
          <w:rtl/>
        </w:rPr>
      </w:pPr>
      <w:r w:rsidRPr="00FA51D0">
        <w:rPr>
          <w:rFonts w:cs="Arial" w:hint="cs"/>
          <w:u w:val="single"/>
          <w:rtl/>
        </w:rPr>
        <w:t>דין שאינו יכול להתברר בראיות ובעדויות:</w:t>
      </w:r>
    </w:p>
    <w:p w14:paraId="283A6E8D" w14:textId="77777777" w:rsidR="004D47D8" w:rsidRPr="006567B0" w:rsidRDefault="006567B0" w:rsidP="00D72244">
      <w:pPr>
        <w:pStyle w:val="ac"/>
        <w:numPr>
          <w:ilvl w:val="0"/>
          <w:numId w:val="8"/>
        </w:numPr>
        <w:rPr>
          <w:rtl/>
        </w:rPr>
      </w:pPr>
      <w:r w:rsidRPr="00FA51D0">
        <w:rPr>
          <w:rFonts w:cs="Arial"/>
          <w:rtl/>
        </w:rPr>
        <w:t xml:space="preserve">רא"ש </w:t>
      </w:r>
      <w:r w:rsidR="00FA51D0" w:rsidRPr="00FA51D0">
        <w:rPr>
          <w:rFonts w:cs="Arial" w:hint="cs"/>
          <w:sz w:val="16"/>
          <w:szCs w:val="16"/>
          <w:rtl/>
        </w:rPr>
        <w:t>(</w:t>
      </w:r>
      <w:r w:rsidRPr="00FA51D0">
        <w:rPr>
          <w:rFonts w:cs="Arial"/>
          <w:sz w:val="16"/>
          <w:szCs w:val="16"/>
          <w:rtl/>
        </w:rPr>
        <w:t>כלל קז סי</w:t>
      </w:r>
      <w:r w:rsidR="00FA51D0" w:rsidRPr="00FA51D0">
        <w:rPr>
          <w:rFonts w:cs="Arial" w:hint="cs"/>
          <w:sz w:val="16"/>
          <w:szCs w:val="16"/>
          <w:rtl/>
        </w:rPr>
        <w:t>'</w:t>
      </w:r>
      <w:r w:rsidRPr="00FA51D0">
        <w:rPr>
          <w:rFonts w:cs="Arial"/>
          <w:sz w:val="16"/>
          <w:szCs w:val="16"/>
          <w:rtl/>
        </w:rPr>
        <w:t xml:space="preserve"> ו</w:t>
      </w:r>
      <w:r w:rsidR="00FA51D0" w:rsidRPr="00FA51D0">
        <w:rPr>
          <w:rFonts w:cs="Arial" w:hint="cs"/>
          <w:sz w:val="16"/>
          <w:szCs w:val="16"/>
          <w:rtl/>
        </w:rPr>
        <w:t>)</w:t>
      </w:r>
      <w:r w:rsidR="00FA51D0" w:rsidRPr="00FA51D0">
        <w:rPr>
          <w:rFonts w:cs="Arial" w:hint="cs"/>
          <w:rtl/>
        </w:rPr>
        <w:t>-</w:t>
      </w:r>
      <w:r w:rsidRPr="00FA51D0">
        <w:rPr>
          <w:rFonts w:cs="Arial"/>
          <w:rtl/>
        </w:rPr>
        <w:t xml:space="preserve"> </w:t>
      </w:r>
      <w:r w:rsidR="004D47D8" w:rsidRPr="00D72244">
        <w:rPr>
          <w:rFonts w:cs="Arial"/>
          <w:rtl/>
        </w:rPr>
        <w:t>חכמי הגמרא בכמה מקומות פסקו דבריהם באומד דעתם</w:t>
      </w:r>
      <w:r w:rsidR="00D72244">
        <w:rPr>
          <w:rStyle w:val="ab"/>
          <w:rFonts w:cs="Arial"/>
          <w:rtl/>
        </w:rPr>
        <w:footnoteReference w:id="626"/>
      </w:r>
      <w:r w:rsidR="00D72244" w:rsidRPr="00D72244">
        <w:rPr>
          <w:rFonts w:cs="Arial" w:hint="cs"/>
          <w:rtl/>
        </w:rPr>
        <w:t>..</w:t>
      </w:r>
      <w:r w:rsidR="004D47D8" w:rsidRPr="00D72244">
        <w:rPr>
          <w:rFonts w:cs="Arial"/>
          <w:rtl/>
        </w:rPr>
        <w:t>. וכן יש דינין בגמרא דאמרינן שודא דדייני</w:t>
      </w:r>
      <w:r w:rsidR="00D72244">
        <w:rPr>
          <w:rStyle w:val="ab"/>
          <w:rFonts w:cs="Arial"/>
          <w:rtl/>
        </w:rPr>
        <w:footnoteReference w:id="627"/>
      </w:r>
      <w:r w:rsidR="00D72244" w:rsidRPr="00D72244">
        <w:rPr>
          <w:rFonts w:cs="Arial" w:hint="cs"/>
          <w:rtl/>
        </w:rPr>
        <w:t>...</w:t>
      </w:r>
      <w:r w:rsidR="004D47D8" w:rsidRPr="00D72244">
        <w:rPr>
          <w:rFonts w:cs="Arial"/>
          <w:rtl/>
        </w:rPr>
        <w:t xml:space="preserve"> ופרש"י</w:t>
      </w:r>
      <w:r w:rsidR="00D72244">
        <w:rPr>
          <w:rStyle w:val="ab"/>
          <w:rFonts w:cs="Arial"/>
          <w:rtl/>
        </w:rPr>
        <w:footnoteReference w:id="628"/>
      </w:r>
      <w:r w:rsidR="004D47D8" w:rsidRPr="00D72244">
        <w:rPr>
          <w:rFonts w:cs="Arial"/>
          <w:rtl/>
        </w:rPr>
        <w:t xml:space="preserve"> </w:t>
      </w:r>
      <w:r w:rsidR="00D72244" w:rsidRPr="00D72244">
        <w:rPr>
          <w:rFonts w:cs="Arial" w:hint="cs"/>
          <w:sz w:val="16"/>
          <w:szCs w:val="16"/>
          <w:rtl/>
        </w:rPr>
        <w:t xml:space="preserve">(כתובות צד. ד"ה שודא דדיני) </w:t>
      </w:r>
      <w:r w:rsidR="004D47D8" w:rsidRPr="00D72244">
        <w:rPr>
          <w:rFonts w:cs="Arial"/>
          <w:rtl/>
        </w:rPr>
        <w:t>שיעשה הדיין לפי אומד דעתו</w:t>
      </w:r>
      <w:r w:rsidR="00D72244" w:rsidRPr="00D72244">
        <w:rPr>
          <w:rFonts w:cs="Arial" w:hint="cs"/>
          <w:rtl/>
        </w:rPr>
        <w:t>,</w:t>
      </w:r>
      <w:r w:rsidR="004D47D8" w:rsidRPr="00D72244">
        <w:rPr>
          <w:rFonts w:cs="Arial"/>
          <w:rtl/>
        </w:rPr>
        <w:t xml:space="preserve"> היינו כשאין הדין יכול להתברר בראיות ובעדים. ור"ת ור"ח יפו כח הדיין לעשות בדין זה כל מה שירצה לעשות בלא טעם אומד הדעת. והכי נמי איתא בירושלמי לאיזה שירצו ב"ד מחליטין לו ובלבד שיהיה בית דין מומחה</w:t>
      </w:r>
      <w:r w:rsidR="00E0689A">
        <w:rPr>
          <w:rFonts w:cs="Arial" w:hint="cs"/>
          <w:rtl/>
        </w:rPr>
        <w:t>.</w:t>
      </w:r>
      <w:r w:rsidR="004D47D8" w:rsidRPr="00D72244">
        <w:rPr>
          <w:rFonts w:cs="Arial"/>
          <w:rtl/>
        </w:rPr>
        <w:t xml:space="preserve"> והיינו טעמא דכיון שבא הדין לפני הדיין והוא אינו יכול לברר הדבר</w:t>
      </w:r>
      <w:r w:rsidR="00E0689A">
        <w:rPr>
          <w:rFonts w:cs="Arial" w:hint="cs"/>
          <w:rtl/>
        </w:rPr>
        <w:t>,</w:t>
      </w:r>
      <w:r w:rsidR="004D47D8" w:rsidRPr="00D72244">
        <w:rPr>
          <w:rFonts w:cs="Arial"/>
          <w:rtl/>
        </w:rPr>
        <w:t xml:space="preserve"> אינו רשאי למשוך ידו מן הדין ויריבו הבעלי דינין זה עם זה</w:t>
      </w:r>
      <w:r w:rsidR="00E0689A">
        <w:rPr>
          <w:rFonts w:cs="Arial" w:hint="cs"/>
          <w:rtl/>
        </w:rPr>
        <w:t>,</w:t>
      </w:r>
      <w:r w:rsidR="004D47D8" w:rsidRPr="00D72244">
        <w:rPr>
          <w:rFonts w:cs="Arial"/>
          <w:rtl/>
        </w:rPr>
        <w:t xml:space="preserve"> וכתיב אמת ומשפט שלום וכו' כי על ידי המשפט יש שלום בעולם</w:t>
      </w:r>
      <w:r w:rsidR="00E0689A">
        <w:rPr>
          <w:rFonts w:cs="Arial" w:hint="cs"/>
          <w:rtl/>
        </w:rPr>
        <w:t>,</w:t>
      </w:r>
      <w:r w:rsidR="004D47D8" w:rsidRPr="00D72244">
        <w:rPr>
          <w:rFonts w:cs="Arial"/>
          <w:rtl/>
        </w:rPr>
        <w:t xml:space="preserve"> ולכך נתנו כח לדיין לשפוט ולעשות מה שירצה אף בלא טעם וראיה כדי לתת שלום בעולם. וכן מצינו בגמרא שניתן כח לדיין לעשות דין כעין פשרה בפ' המפקיד </w:t>
      </w:r>
      <w:r w:rsidR="004D47D8" w:rsidRPr="00D72244">
        <w:rPr>
          <w:rFonts w:cs="Arial"/>
          <w:sz w:val="16"/>
          <w:szCs w:val="16"/>
          <w:rtl/>
        </w:rPr>
        <w:t xml:space="preserve">(מב:) </w:t>
      </w:r>
      <w:r w:rsidR="004D47D8" w:rsidRPr="00D72244">
        <w:rPr>
          <w:rFonts w:cs="Arial"/>
          <w:rtl/>
        </w:rPr>
        <w:t>ההוא אפטרופא דיתמי דזבן להו תורא ליתמי</w:t>
      </w:r>
      <w:r w:rsidR="00D72244" w:rsidRPr="00D72244">
        <w:rPr>
          <w:rFonts w:cs="Arial" w:hint="cs"/>
          <w:rtl/>
        </w:rPr>
        <w:t xml:space="preserve">... </w:t>
      </w:r>
      <w:r w:rsidR="004D47D8" w:rsidRPr="00D72244">
        <w:rPr>
          <w:rFonts w:cs="Arial"/>
          <w:rtl/>
        </w:rPr>
        <w:t>כל זה סברתי והארכתי להודיע שאין כח ורשות להוציא את הדין חלוק מתחת ידו שצריך לגמור ולהשלים את הדין כדי להטיל שלום בעולם. ולכך נתנו חכמים רשות לדיין לפסוק לפי ראות עיניו במקום שאין הדבר יכול להתברר בראיות ובעדיות</w:t>
      </w:r>
      <w:r w:rsidR="00D72244" w:rsidRPr="00D72244">
        <w:rPr>
          <w:rFonts w:cs="Arial" w:hint="cs"/>
          <w:rtl/>
        </w:rPr>
        <w:t>.</w:t>
      </w:r>
      <w:r w:rsidR="004D47D8" w:rsidRPr="00D72244">
        <w:rPr>
          <w:rFonts w:cs="Arial"/>
          <w:rtl/>
        </w:rPr>
        <w:t xml:space="preserve"> פעמים באומד הדעת</w:t>
      </w:r>
      <w:r w:rsidR="00D72244" w:rsidRPr="00D72244">
        <w:rPr>
          <w:rFonts w:cs="Arial" w:hint="cs"/>
          <w:rtl/>
        </w:rPr>
        <w:t>.</w:t>
      </w:r>
      <w:r w:rsidR="004D47D8" w:rsidRPr="00D72244">
        <w:rPr>
          <w:rFonts w:cs="Arial"/>
          <w:rtl/>
        </w:rPr>
        <w:t xml:space="preserve"> ופעמים כמו שיראה הדיין בלא טעם ובלא ראיה ובלא אומד הדעת</w:t>
      </w:r>
      <w:r w:rsidR="00D72244">
        <w:rPr>
          <w:rStyle w:val="ab"/>
          <w:rFonts w:cs="Arial"/>
          <w:rtl/>
        </w:rPr>
        <w:footnoteReference w:id="629"/>
      </w:r>
      <w:r w:rsidR="00D72244" w:rsidRPr="00D72244">
        <w:rPr>
          <w:rFonts w:cs="Arial" w:hint="cs"/>
          <w:rtl/>
        </w:rPr>
        <w:t>.</w:t>
      </w:r>
      <w:r w:rsidR="004D47D8" w:rsidRPr="00D72244">
        <w:rPr>
          <w:rFonts w:cs="Arial"/>
          <w:rtl/>
        </w:rPr>
        <w:t xml:space="preserve"> ופעמים על דרך פשרה</w:t>
      </w:r>
      <w:r w:rsidR="00D72244">
        <w:rPr>
          <w:rStyle w:val="ab"/>
          <w:rFonts w:cs="Arial"/>
          <w:rtl/>
        </w:rPr>
        <w:footnoteReference w:id="630"/>
      </w:r>
      <w:r w:rsidR="004D47D8" w:rsidRPr="00D72244">
        <w:rPr>
          <w:rFonts w:cs="Arial"/>
          <w:rtl/>
        </w:rPr>
        <w:t>.</w:t>
      </w:r>
      <w:r w:rsidR="009C013B">
        <w:rPr>
          <w:rFonts w:cs="Arial" w:hint="cs"/>
          <w:rtl/>
        </w:rPr>
        <w:t xml:space="preserve"> </w:t>
      </w:r>
      <w:r w:rsidR="009C013B" w:rsidRPr="00FA51D0">
        <w:rPr>
          <w:rFonts w:cs="Arial" w:hint="cs"/>
          <w:color w:val="E36C0A" w:themeColor="accent6" w:themeShade="BF"/>
          <w:rtl/>
        </w:rPr>
        <w:t>(וכ"פ בשו"ע)</w:t>
      </w:r>
    </w:p>
    <w:p w14:paraId="64AFEFF0" w14:textId="77777777" w:rsidR="00E137BC" w:rsidRPr="00576D5C" w:rsidRDefault="00E137BC" w:rsidP="00576D5C">
      <w:pPr>
        <w:rPr>
          <w:rFonts w:asciiTheme="minorBidi" w:hAnsiTheme="minorBidi"/>
          <w:b/>
          <w:bCs/>
          <w:color w:val="000000"/>
          <w:sz w:val="28"/>
          <w:szCs w:val="28"/>
          <w:u w:val="single"/>
          <w:rtl/>
        </w:rPr>
      </w:pPr>
      <w:r w:rsidRPr="00576D5C">
        <w:rPr>
          <w:rFonts w:asciiTheme="minorBidi" w:hAnsiTheme="minorBidi"/>
          <w:b/>
          <w:bCs/>
          <w:color w:val="000000"/>
          <w:sz w:val="28"/>
          <w:szCs w:val="28"/>
          <w:u w:val="single"/>
          <w:rtl/>
        </w:rPr>
        <w:t>שו"ע:</w:t>
      </w:r>
    </w:p>
    <w:p w14:paraId="4C94A66C" w14:textId="77777777" w:rsidR="00E137BC" w:rsidRDefault="00E137BC" w:rsidP="00576D5C">
      <w:pPr>
        <w:rPr>
          <w:rFonts w:asciiTheme="minorBidi" w:hAnsiTheme="minorBidi"/>
          <w:rtl/>
        </w:rPr>
      </w:pPr>
      <w:r w:rsidRPr="00576D5C">
        <w:rPr>
          <w:rFonts w:asciiTheme="minorBidi" w:hAnsiTheme="minorBidi"/>
          <w:rtl/>
        </w:rPr>
        <w:lastRenderedPageBreak/>
        <w:t>יש כח לדיין לעשות דין כעין הפשרה</w:t>
      </w:r>
      <w:r w:rsidR="00711848">
        <w:rPr>
          <w:rStyle w:val="ab"/>
          <w:rFonts w:cs="Arial"/>
          <w:rtl/>
        </w:rPr>
        <w:footnoteReference w:id="631"/>
      </w:r>
      <w:r w:rsidRPr="00576D5C">
        <w:rPr>
          <w:rFonts w:asciiTheme="minorBidi" w:hAnsiTheme="minorBidi"/>
          <w:rtl/>
        </w:rPr>
        <w:t xml:space="preserve"> במקום שאין הדבר יכול להתברר</w:t>
      </w:r>
      <w:r w:rsidR="00FA51D0">
        <w:rPr>
          <w:rFonts w:asciiTheme="minorBidi" w:hAnsiTheme="minorBidi" w:hint="cs"/>
          <w:rtl/>
        </w:rPr>
        <w:t>,</w:t>
      </w:r>
      <w:r w:rsidRPr="00576D5C">
        <w:rPr>
          <w:rFonts w:asciiTheme="minorBidi" w:hAnsiTheme="minorBidi"/>
          <w:rtl/>
        </w:rPr>
        <w:t xml:space="preserve"> ואינו רשאי להוציא הדין חלוק מתחת ידו בלי גמר. </w:t>
      </w:r>
    </w:p>
    <w:p w14:paraId="7DC16E13" w14:textId="77777777" w:rsidR="00FA51D0" w:rsidRPr="00576D5C" w:rsidRDefault="00FA51D0" w:rsidP="00576D5C">
      <w:pPr>
        <w:rPr>
          <w:rFonts w:asciiTheme="minorBidi" w:hAnsiTheme="minorBidi"/>
          <w:rtl/>
        </w:rPr>
      </w:pPr>
    </w:p>
    <w:p w14:paraId="00A8BDE0" w14:textId="77777777" w:rsidR="00E137BC" w:rsidRDefault="00E137BC" w:rsidP="00AB008F">
      <w:pPr>
        <w:pStyle w:val="2"/>
        <w:rPr>
          <w:rtl/>
        </w:rPr>
      </w:pPr>
      <w:bookmarkStart w:id="93" w:name="_Toc24883580"/>
      <w:r w:rsidRPr="00576D5C">
        <w:rPr>
          <w:rtl/>
        </w:rPr>
        <w:t>סעיף ו</w:t>
      </w:r>
      <w:r w:rsidR="006567B0">
        <w:rPr>
          <w:rFonts w:hint="cs"/>
          <w:rtl/>
        </w:rPr>
        <w:t>:</w:t>
      </w:r>
      <w:r w:rsidR="0083239C">
        <w:rPr>
          <w:rFonts w:hint="cs"/>
          <w:rtl/>
        </w:rPr>
        <w:t xml:space="preserve"> פשרה כשהבעל דין מוחזק בממון.</w:t>
      </w:r>
      <w:bookmarkEnd w:id="93"/>
    </w:p>
    <w:p w14:paraId="6488EE4C" w14:textId="77777777" w:rsidR="0083239C" w:rsidRDefault="0083239C" w:rsidP="006567B0">
      <w:pPr>
        <w:rPr>
          <w:rFonts w:cs="Arial"/>
          <w:rtl/>
        </w:rPr>
      </w:pPr>
      <w:r w:rsidRPr="0083239C">
        <w:rPr>
          <w:rFonts w:cs="Arial" w:hint="cs"/>
          <w:u w:val="single"/>
          <w:rtl/>
        </w:rPr>
        <w:t xml:space="preserve">אדם שתובע את חברו על ממון המוחזק אצלו </w:t>
      </w:r>
      <w:r w:rsidRPr="0083239C">
        <w:rPr>
          <w:rFonts w:cs="Arial"/>
          <w:u w:val="single"/>
          <w:rtl/>
        </w:rPr>
        <w:t>–</w:t>
      </w:r>
      <w:r w:rsidRPr="0083239C">
        <w:rPr>
          <w:rFonts w:cs="Arial" w:hint="cs"/>
          <w:u w:val="single"/>
          <w:rtl/>
        </w:rPr>
        <w:t xml:space="preserve"> מהו לעשות ביניהם פשרה:</w:t>
      </w:r>
    </w:p>
    <w:p w14:paraId="742AD517" w14:textId="77777777" w:rsidR="006567B0" w:rsidRDefault="0083239C" w:rsidP="009833BC">
      <w:pPr>
        <w:pStyle w:val="ac"/>
        <w:numPr>
          <w:ilvl w:val="0"/>
          <w:numId w:val="8"/>
        </w:numPr>
        <w:rPr>
          <w:rtl/>
        </w:rPr>
      </w:pPr>
      <w:r w:rsidRPr="0083239C">
        <w:rPr>
          <w:rFonts w:cs="Arial"/>
          <w:rtl/>
        </w:rPr>
        <w:t>תרוה</w:t>
      </w:r>
      <w:r w:rsidRPr="0083239C">
        <w:rPr>
          <w:rFonts w:cs="Arial" w:hint="cs"/>
          <w:rtl/>
        </w:rPr>
        <w:t>"</w:t>
      </w:r>
      <w:r w:rsidRPr="0083239C">
        <w:rPr>
          <w:rFonts w:cs="Arial"/>
          <w:rtl/>
        </w:rPr>
        <w:t xml:space="preserve">ד </w:t>
      </w:r>
      <w:r w:rsidRPr="0083239C">
        <w:rPr>
          <w:rFonts w:cs="Arial" w:hint="cs"/>
          <w:sz w:val="16"/>
          <w:szCs w:val="16"/>
          <w:rtl/>
        </w:rPr>
        <w:t>(</w:t>
      </w:r>
      <w:r w:rsidRPr="0083239C">
        <w:rPr>
          <w:rFonts w:cs="Arial"/>
          <w:sz w:val="16"/>
          <w:szCs w:val="16"/>
          <w:rtl/>
        </w:rPr>
        <w:t>סי</w:t>
      </w:r>
      <w:r w:rsidRPr="0083239C">
        <w:rPr>
          <w:rFonts w:cs="Arial" w:hint="cs"/>
          <w:sz w:val="16"/>
          <w:szCs w:val="16"/>
          <w:rtl/>
        </w:rPr>
        <w:t>'</w:t>
      </w:r>
      <w:r w:rsidRPr="0083239C">
        <w:rPr>
          <w:rFonts w:cs="Arial"/>
          <w:sz w:val="16"/>
          <w:szCs w:val="16"/>
          <w:rtl/>
        </w:rPr>
        <w:t xml:space="preserve"> שו</w:t>
      </w:r>
      <w:r w:rsidR="007C634A">
        <w:rPr>
          <w:rFonts w:cs="Arial" w:hint="cs"/>
          <w:sz w:val="16"/>
          <w:szCs w:val="16"/>
          <w:rtl/>
        </w:rPr>
        <w:t>, הביא הב"י חלק קטן מדבריו</w:t>
      </w:r>
      <w:r w:rsidRPr="0083239C">
        <w:rPr>
          <w:rFonts w:cs="Arial" w:hint="cs"/>
          <w:sz w:val="16"/>
          <w:szCs w:val="16"/>
          <w:rtl/>
        </w:rPr>
        <w:t>)</w:t>
      </w:r>
      <w:r w:rsidRPr="0083239C">
        <w:rPr>
          <w:rFonts w:cs="Arial" w:hint="cs"/>
          <w:rtl/>
        </w:rPr>
        <w:t xml:space="preserve">- </w:t>
      </w:r>
      <w:r w:rsidR="007C634A" w:rsidRPr="007C634A">
        <w:rPr>
          <w:rFonts w:cs="Arial"/>
          <w:rtl/>
        </w:rPr>
        <w:t>ראובן תובעין אותו בממון שהוא מוחזק בו, ורצונו לחפש צדדין ותואנות נגד התובעים להשמט</w:t>
      </w:r>
      <w:r w:rsidR="007C634A">
        <w:rPr>
          <w:rFonts w:cs="Arial" w:hint="cs"/>
          <w:rtl/>
        </w:rPr>
        <w:t xml:space="preserve"> מ</w:t>
      </w:r>
      <w:r w:rsidR="007C634A" w:rsidRPr="007C634A">
        <w:rPr>
          <w:rFonts w:cs="Arial"/>
          <w:rtl/>
        </w:rPr>
        <w:t>הן בכל טצדקי, כדי שיתרצו לעשות עמו פשרה ויקחו ממנו איזה סך וימחלו לו על השאר, שרי למעבד הכי או לאו? תשובה: יראה פשיטא ופשיטא דלא שרי כה"ג, וחלילה לירא שמים שיצדד למצוא היתר לעשות כזה וכיוצא בזה. דתניא בפ' שבועת העדות: מנין לשלשה שנושים באחד מנה, שלא יהא אחד תובע ושנים מעידין ויחלקו ביניהם המנה, ת"ל מדבר שקר תרחק, והלא דברים קל וחומר מה התם דמן הדין נתחייב להם מנה, אעפ"כ דרשו חכמים והזהירו שלא לבקש תחבולות ומרמה כדי להוציא את שלהם מן הדין, כ"ש וכ"ש שאין לחשוב מחשבות און ועקלקלות כדי להחזיק בשל חבירו שאין לו בו דין ומשפט, וכל המבקש תואנות ופקפוקים ומשתמיט מן הדין אי אפשר לו לעשות כל אלו אם לא בדבר שקר ותחבולות, וא"כ הרי הוא בכלל מדבר שקר תרחק. ותו דבפ' המקבל</w:t>
      </w:r>
      <w:r w:rsidR="007C634A" w:rsidRPr="007C634A">
        <w:rPr>
          <w:rFonts w:cs="Arial"/>
          <w:sz w:val="16"/>
          <w:szCs w:val="16"/>
          <w:rtl/>
        </w:rPr>
        <w:t xml:space="preserve"> </w:t>
      </w:r>
      <w:r w:rsidR="007C634A" w:rsidRPr="007C634A">
        <w:rPr>
          <w:rFonts w:cs="Arial" w:hint="cs"/>
          <w:sz w:val="16"/>
          <w:szCs w:val="16"/>
          <w:rtl/>
        </w:rPr>
        <w:t>(</w:t>
      </w:r>
      <w:r w:rsidR="007C634A" w:rsidRPr="007C634A">
        <w:rPr>
          <w:rFonts w:cs="Arial"/>
          <w:sz w:val="16"/>
          <w:szCs w:val="16"/>
          <w:rtl/>
        </w:rPr>
        <w:t>ב"מ קיא</w:t>
      </w:r>
      <w:r w:rsidR="007C634A" w:rsidRPr="007C634A">
        <w:rPr>
          <w:rFonts w:cs="Arial" w:hint="cs"/>
          <w:sz w:val="16"/>
          <w:szCs w:val="16"/>
          <w:rtl/>
        </w:rPr>
        <w:t>.)</w:t>
      </w:r>
      <w:r w:rsidR="007C634A" w:rsidRPr="007C634A">
        <w:rPr>
          <w:rFonts w:cs="Arial"/>
          <w:rtl/>
        </w:rPr>
        <w:t xml:space="preserve"> איתא דאפילו הדוחה חבירו בלך ושוב, סבר חד מאן דאמר זהו עושק האמור בתורה, ולא פי' ליה התם אלא משום דבעינן דומיא דפקדון דקא כופר ממנו. ונ</w:t>
      </w:r>
      <w:r w:rsidR="009833BC">
        <w:rPr>
          <w:rFonts w:cs="Arial" w:hint="cs"/>
          <w:rtl/>
        </w:rPr>
        <w:t xml:space="preserve">ידון </w:t>
      </w:r>
      <w:r w:rsidR="007C634A" w:rsidRPr="007C634A">
        <w:rPr>
          <w:rFonts w:cs="Arial"/>
          <w:rtl/>
        </w:rPr>
        <w:t>ד</w:t>
      </w:r>
      <w:r w:rsidR="009833BC">
        <w:rPr>
          <w:rFonts w:cs="Arial" w:hint="cs"/>
          <w:rtl/>
        </w:rPr>
        <w:t>ידן</w:t>
      </w:r>
      <w:r w:rsidR="007C634A" w:rsidRPr="007C634A">
        <w:rPr>
          <w:rFonts w:cs="Arial"/>
          <w:rtl/>
        </w:rPr>
        <w:t xml:space="preserve"> הואיל וכוונתו לכופו לפשרה ולחסור ממון חבירו שמן הדין הוא שלו, הוי שפיר דומיא דפקדון, וא"כ איסור הוא בלאו דאורייתא</w:t>
      </w:r>
      <w:r w:rsidR="009833BC">
        <w:rPr>
          <w:rStyle w:val="ab"/>
          <w:rFonts w:cs="Arial"/>
          <w:rtl/>
        </w:rPr>
        <w:footnoteReference w:id="632"/>
      </w:r>
      <w:r w:rsidR="007C634A" w:rsidRPr="007C634A">
        <w:rPr>
          <w:rFonts w:cs="Arial"/>
          <w:rtl/>
        </w:rPr>
        <w:t>.</w:t>
      </w:r>
      <w:r w:rsidR="009C013B" w:rsidRPr="009833BC">
        <w:rPr>
          <w:rFonts w:cs="Arial" w:hint="cs"/>
          <w:rtl/>
        </w:rPr>
        <w:t xml:space="preserve"> </w:t>
      </w:r>
      <w:r w:rsidR="009C013B" w:rsidRPr="009833BC">
        <w:rPr>
          <w:rFonts w:cs="Arial" w:hint="cs"/>
          <w:color w:val="E36C0A" w:themeColor="accent6" w:themeShade="BF"/>
          <w:rtl/>
        </w:rPr>
        <w:t>(וכ"פ בשו"ע)</w:t>
      </w:r>
      <w:r w:rsidR="009C013B">
        <w:rPr>
          <w:rFonts w:hint="cs"/>
          <w:rtl/>
        </w:rPr>
        <w:t xml:space="preserve"> </w:t>
      </w:r>
    </w:p>
    <w:p w14:paraId="2A3DC5D9" w14:textId="77777777" w:rsidR="0083239C" w:rsidRDefault="0083239C" w:rsidP="003D2F29">
      <w:pPr>
        <w:rPr>
          <w:rFonts w:cs="Arial"/>
          <w:rtl/>
        </w:rPr>
      </w:pPr>
      <w:r w:rsidRPr="0083239C">
        <w:rPr>
          <w:rFonts w:cs="Arial"/>
          <w:u w:val="single"/>
          <w:rtl/>
        </w:rPr>
        <w:t>אדם שיש לו חפץ ביד חבירו ואמר לו אני מוחלו לך</w:t>
      </w:r>
      <w:r w:rsidRPr="0083239C">
        <w:rPr>
          <w:rFonts w:cs="Arial" w:hint="cs"/>
          <w:u w:val="single"/>
          <w:rtl/>
        </w:rPr>
        <w:t>:</w:t>
      </w:r>
    </w:p>
    <w:p w14:paraId="1EDBDE4A" w14:textId="77777777" w:rsidR="006567B0" w:rsidRPr="0083239C" w:rsidRDefault="003D2F29" w:rsidP="00C704CB">
      <w:pPr>
        <w:pStyle w:val="ac"/>
        <w:numPr>
          <w:ilvl w:val="0"/>
          <w:numId w:val="8"/>
        </w:numPr>
        <w:rPr>
          <w:rFonts w:cs="Arial"/>
          <w:rtl/>
        </w:rPr>
      </w:pPr>
      <w:r w:rsidRPr="0083239C">
        <w:rPr>
          <w:rFonts w:cs="Arial"/>
          <w:rtl/>
        </w:rPr>
        <w:t>רא"ש</w:t>
      </w:r>
      <w:r w:rsidRPr="0083239C">
        <w:rPr>
          <w:rFonts w:cs="Arial"/>
          <w:sz w:val="16"/>
          <w:szCs w:val="16"/>
          <w:rtl/>
        </w:rPr>
        <w:t xml:space="preserve"> </w:t>
      </w:r>
      <w:r w:rsidRPr="0083239C">
        <w:rPr>
          <w:rFonts w:cs="Arial" w:hint="cs"/>
          <w:sz w:val="16"/>
          <w:szCs w:val="16"/>
          <w:rtl/>
        </w:rPr>
        <w:t xml:space="preserve">(בתשו', </w:t>
      </w:r>
      <w:r w:rsidRPr="0083239C">
        <w:rPr>
          <w:rFonts w:cs="Arial"/>
          <w:sz w:val="16"/>
          <w:szCs w:val="16"/>
          <w:rtl/>
        </w:rPr>
        <w:t xml:space="preserve">כתבה </w:t>
      </w:r>
      <w:r w:rsidRPr="0083239C">
        <w:rPr>
          <w:rFonts w:cs="Arial" w:hint="cs"/>
          <w:sz w:val="16"/>
          <w:szCs w:val="16"/>
          <w:rtl/>
        </w:rPr>
        <w:t>הטור</w:t>
      </w:r>
      <w:r w:rsidRPr="0083239C">
        <w:rPr>
          <w:rFonts w:cs="Arial"/>
          <w:sz w:val="16"/>
          <w:szCs w:val="16"/>
          <w:rtl/>
        </w:rPr>
        <w:t xml:space="preserve"> בסי</w:t>
      </w:r>
      <w:r w:rsidRPr="0083239C">
        <w:rPr>
          <w:rFonts w:cs="Arial" w:hint="cs"/>
          <w:sz w:val="16"/>
          <w:szCs w:val="16"/>
          <w:rtl/>
        </w:rPr>
        <w:t>'</w:t>
      </w:r>
      <w:r w:rsidRPr="0083239C">
        <w:rPr>
          <w:rFonts w:cs="Arial"/>
          <w:sz w:val="16"/>
          <w:szCs w:val="16"/>
          <w:rtl/>
        </w:rPr>
        <w:t xml:space="preserve"> עג סל</w:t>
      </w:r>
      <w:r w:rsidR="009C013B">
        <w:rPr>
          <w:rFonts w:cs="Arial" w:hint="cs"/>
          <w:sz w:val="16"/>
          <w:szCs w:val="16"/>
          <w:rtl/>
        </w:rPr>
        <w:t>"</w:t>
      </w:r>
      <w:r w:rsidRPr="0083239C">
        <w:rPr>
          <w:rFonts w:cs="Arial"/>
          <w:sz w:val="16"/>
          <w:szCs w:val="16"/>
          <w:rtl/>
        </w:rPr>
        <w:t>ב-</w:t>
      </w:r>
      <w:r w:rsidR="009C013B">
        <w:rPr>
          <w:rFonts w:cs="Arial" w:hint="cs"/>
          <w:sz w:val="16"/>
          <w:szCs w:val="16"/>
          <w:rtl/>
        </w:rPr>
        <w:t>ל</w:t>
      </w:r>
      <w:r w:rsidRPr="0083239C">
        <w:rPr>
          <w:rFonts w:cs="Arial"/>
          <w:sz w:val="16"/>
          <w:szCs w:val="16"/>
          <w:rtl/>
        </w:rPr>
        <w:t>ג)</w:t>
      </w:r>
      <w:r w:rsidRPr="0083239C">
        <w:rPr>
          <w:rFonts w:cs="Arial" w:hint="cs"/>
          <w:rtl/>
        </w:rPr>
        <w:t xml:space="preserve">- </w:t>
      </w:r>
      <w:r w:rsidR="006567B0" w:rsidRPr="0083239C">
        <w:rPr>
          <w:rFonts w:cs="Arial"/>
          <w:rtl/>
        </w:rPr>
        <w:t>אינו כלום</w:t>
      </w:r>
      <w:r w:rsidR="004B18F9">
        <w:rPr>
          <w:rFonts w:cs="Arial" w:hint="cs"/>
          <w:rtl/>
        </w:rPr>
        <w:t>,</w:t>
      </w:r>
      <w:r w:rsidR="006567B0" w:rsidRPr="0083239C">
        <w:rPr>
          <w:rFonts w:cs="Arial"/>
          <w:rtl/>
        </w:rPr>
        <w:t xml:space="preserve"> אלא צריך שיאמר לו </w:t>
      </w:r>
      <w:r w:rsidR="0083239C">
        <w:rPr>
          <w:rFonts w:cs="Arial" w:hint="cs"/>
          <w:rtl/>
        </w:rPr>
        <w:t>'</w:t>
      </w:r>
      <w:r w:rsidR="006567B0" w:rsidRPr="0083239C">
        <w:rPr>
          <w:rFonts w:cs="Arial"/>
          <w:rtl/>
        </w:rPr>
        <w:t>אני נותנו לך</w:t>
      </w:r>
      <w:r w:rsidR="0083239C">
        <w:rPr>
          <w:rFonts w:cs="Arial" w:hint="cs"/>
          <w:rtl/>
        </w:rPr>
        <w:t>',</w:t>
      </w:r>
      <w:r w:rsidR="006567B0" w:rsidRPr="0083239C">
        <w:rPr>
          <w:rFonts w:cs="Arial"/>
          <w:rtl/>
        </w:rPr>
        <w:t xml:space="preserve"> ולא שייך לשון מחילה אלא למי שחייב מעות.</w:t>
      </w:r>
      <w:r w:rsidRPr="0083239C">
        <w:rPr>
          <w:rFonts w:cs="Arial" w:hint="cs"/>
          <w:rtl/>
        </w:rPr>
        <w:t xml:space="preserve"> </w:t>
      </w:r>
    </w:p>
    <w:p w14:paraId="73EB8928" w14:textId="77777777" w:rsidR="00E137BC" w:rsidRPr="00576D5C" w:rsidRDefault="00E137BC" w:rsidP="00576D5C">
      <w:pPr>
        <w:rPr>
          <w:rFonts w:asciiTheme="minorBidi" w:hAnsiTheme="minorBidi"/>
          <w:b/>
          <w:bCs/>
          <w:color w:val="000000"/>
          <w:sz w:val="28"/>
          <w:szCs w:val="28"/>
          <w:u w:val="single"/>
          <w:rtl/>
        </w:rPr>
      </w:pPr>
      <w:r w:rsidRPr="00576D5C">
        <w:rPr>
          <w:rFonts w:asciiTheme="minorBidi" w:hAnsiTheme="minorBidi"/>
          <w:b/>
          <w:bCs/>
          <w:color w:val="000000"/>
          <w:sz w:val="28"/>
          <w:szCs w:val="28"/>
          <w:u w:val="single"/>
          <w:rtl/>
        </w:rPr>
        <w:t>שו"ע:</w:t>
      </w:r>
    </w:p>
    <w:p w14:paraId="2DF9C04A" w14:textId="77777777" w:rsidR="00E137BC" w:rsidRDefault="00E137BC" w:rsidP="00576D5C">
      <w:pPr>
        <w:rPr>
          <w:rFonts w:asciiTheme="minorBidi" w:hAnsiTheme="minorBidi"/>
          <w:rtl/>
        </w:rPr>
      </w:pPr>
      <w:r w:rsidRPr="00576D5C">
        <w:rPr>
          <w:rFonts w:asciiTheme="minorBidi" w:hAnsiTheme="minorBidi"/>
          <w:rtl/>
        </w:rPr>
        <w:t xml:space="preserve">מי שתובעים אותו ממון שהוא מוחזק בו, אסור לבקש צדדים להשמט כדי שיתרצה הלה לעשות עמו פשרה וימחול לו על השאר. </w:t>
      </w:r>
      <w:r w:rsidRPr="0083239C">
        <w:rPr>
          <w:rFonts w:asciiTheme="minorBidi" w:hAnsiTheme="minorBidi"/>
          <w:sz w:val="18"/>
          <w:szCs w:val="18"/>
          <w:rtl/>
        </w:rPr>
        <w:t>הגה: ואם עבר ועשה, אינו יוצא ידי שמים עד שיתן לו את שלו</w:t>
      </w:r>
      <w:r w:rsidR="009833BC" w:rsidRPr="009833BC">
        <w:rPr>
          <w:rtl/>
        </w:rPr>
        <w:t xml:space="preserve"> </w:t>
      </w:r>
      <w:r w:rsidR="009833BC" w:rsidRPr="009833BC">
        <w:rPr>
          <w:rFonts w:asciiTheme="minorBidi" w:hAnsiTheme="minorBidi" w:cs="Arial"/>
          <w:sz w:val="18"/>
          <w:szCs w:val="18"/>
          <w:rtl/>
        </w:rPr>
        <w:t>(</w:t>
      </w:r>
      <w:r w:rsidR="009833BC">
        <w:rPr>
          <w:rFonts w:asciiTheme="minorBidi" w:hAnsiTheme="minorBidi" w:cs="Arial" w:hint="cs"/>
          <w:sz w:val="18"/>
          <w:szCs w:val="18"/>
          <w:rtl/>
        </w:rPr>
        <w:t xml:space="preserve">רשב"א </w:t>
      </w:r>
      <w:r w:rsidR="009833BC" w:rsidRPr="009833BC">
        <w:rPr>
          <w:rFonts w:asciiTheme="minorBidi" w:hAnsiTheme="minorBidi" w:cs="Arial"/>
          <w:sz w:val="18"/>
          <w:szCs w:val="18"/>
          <w:rtl/>
        </w:rPr>
        <w:t>ח"ב סי' רעח)</w:t>
      </w:r>
      <w:r w:rsidRPr="0083239C">
        <w:rPr>
          <w:rFonts w:asciiTheme="minorBidi" w:hAnsiTheme="minorBidi"/>
          <w:sz w:val="18"/>
          <w:szCs w:val="18"/>
          <w:rtl/>
        </w:rPr>
        <w:t>.</w:t>
      </w:r>
    </w:p>
    <w:p w14:paraId="61529AFE" w14:textId="77777777" w:rsidR="0083239C" w:rsidRPr="00576D5C" w:rsidRDefault="0083239C" w:rsidP="00576D5C">
      <w:pPr>
        <w:rPr>
          <w:rFonts w:asciiTheme="minorBidi" w:hAnsiTheme="minorBidi"/>
          <w:rtl/>
        </w:rPr>
      </w:pPr>
    </w:p>
    <w:p w14:paraId="3910E062" w14:textId="77777777" w:rsidR="00E137BC" w:rsidRDefault="00E137BC" w:rsidP="00AB008F">
      <w:pPr>
        <w:pStyle w:val="2"/>
        <w:rPr>
          <w:rtl/>
        </w:rPr>
      </w:pPr>
      <w:bookmarkStart w:id="94" w:name="_Toc24883581"/>
      <w:r w:rsidRPr="00576D5C">
        <w:rPr>
          <w:rtl/>
        </w:rPr>
        <w:t>סעיף ז</w:t>
      </w:r>
      <w:r w:rsidR="006567B0">
        <w:rPr>
          <w:rFonts w:hint="cs"/>
          <w:rtl/>
        </w:rPr>
        <w:t>:</w:t>
      </w:r>
      <w:r w:rsidR="000363E7">
        <w:rPr>
          <w:rFonts w:hint="cs"/>
          <w:rtl/>
        </w:rPr>
        <w:t xml:space="preserve"> פשרה צריכה קניין.</w:t>
      </w:r>
      <w:bookmarkEnd w:id="94"/>
    </w:p>
    <w:p w14:paraId="577CEED6" w14:textId="77777777" w:rsidR="00E47E4E" w:rsidRDefault="004A54B8" w:rsidP="00B753E7">
      <w:pPr>
        <w:rPr>
          <w:rFonts w:cs="Arial"/>
          <w:rtl/>
        </w:rPr>
      </w:pPr>
      <w:r w:rsidRPr="007D6907">
        <w:rPr>
          <w:rFonts w:cs="Arial"/>
          <w:b/>
          <w:bCs/>
          <w:rtl/>
        </w:rPr>
        <w:t xml:space="preserve">סנהדרין </w:t>
      </w:r>
      <w:r w:rsidRPr="007D6907">
        <w:rPr>
          <w:rFonts w:cs="Arial" w:hint="cs"/>
          <w:b/>
          <w:bCs/>
          <w:sz w:val="16"/>
          <w:szCs w:val="16"/>
          <w:rtl/>
        </w:rPr>
        <w:t>(</w:t>
      </w:r>
      <w:r w:rsidR="006567B0" w:rsidRPr="007D6907">
        <w:rPr>
          <w:rFonts w:cs="Arial"/>
          <w:b/>
          <w:bCs/>
          <w:sz w:val="16"/>
          <w:szCs w:val="16"/>
          <w:rtl/>
        </w:rPr>
        <w:t>פ</w:t>
      </w:r>
      <w:r w:rsidRPr="007D6907">
        <w:rPr>
          <w:rFonts w:cs="Arial" w:hint="cs"/>
          <w:b/>
          <w:bCs/>
          <w:sz w:val="16"/>
          <w:szCs w:val="16"/>
          <w:rtl/>
        </w:rPr>
        <w:t>"ק)</w:t>
      </w:r>
      <w:r w:rsidRPr="007D6907">
        <w:rPr>
          <w:rFonts w:cs="Arial"/>
          <w:b/>
          <w:bCs/>
          <w:sz w:val="16"/>
          <w:szCs w:val="16"/>
          <w:rtl/>
        </w:rPr>
        <w:t xml:space="preserve"> </w:t>
      </w:r>
      <w:r w:rsidR="007D6907">
        <w:rPr>
          <w:rFonts w:cs="Arial" w:hint="cs"/>
          <w:b/>
          <w:bCs/>
          <w:rtl/>
        </w:rPr>
        <w:t>ה</w:t>
      </w:r>
      <w:r w:rsidR="00680C64">
        <w:rPr>
          <w:rStyle w:val="ab"/>
          <w:rFonts w:cs="Arial"/>
          <w:b/>
          <w:bCs/>
          <w:rtl/>
        </w:rPr>
        <w:footnoteReference w:id="633"/>
      </w:r>
      <w:r w:rsidRPr="007D6907">
        <w:rPr>
          <w:rFonts w:cs="Arial" w:hint="cs"/>
          <w:b/>
          <w:bCs/>
          <w:rtl/>
        </w:rPr>
        <w:t xml:space="preserve"> ע"</w:t>
      </w:r>
      <w:r w:rsidR="007D6907">
        <w:rPr>
          <w:rFonts w:cs="Arial" w:hint="cs"/>
          <w:b/>
          <w:bCs/>
          <w:rtl/>
        </w:rPr>
        <w:t>ב</w:t>
      </w:r>
      <w:r w:rsidRPr="007D6907">
        <w:rPr>
          <w:rFonts w:cs="Arial" w:hint="cs"/>
          <w:b/>
          <w:bCs/>
          <w:rtl/>
        </w:rPr>
        <w:t>:</w:t>
      </w:r>
      <w:r w:rsidR="006567B0" w:rsidRPr="006567B0">
        <w:rPr>
          <w:rFonts w:cs="Arial"/>
          <w:rtl/>
        </w:rPr>
        <w:t xml:space="preserve"> </w:t>
      </w:r>
      <w:r w:rsidR="007D6907" w:rsidRPr="007D6907">
        <w:rPr>
          <w:rFonts w:cs="Arial"/>
          <w:rtl/>
        </w:rPr>
        <w:t xml:space="preserve">גופא, </w:t>
      </w:r>
      <w:r w:rsidR="007D6907" w:rsidRPr="000464DD">
        <w:rPr>
          <w:rFonts w:cs="Arial"/>
          <w:u w:val="single"/>
          <w:rtl/>
        </w:rPr>
        <w:t>אמר שמואל</w:t>
      </w:r>
      <w:r w:rsidR="007D6907" w:rsidRPr="007D6907">
        <w:rPr>
          <w:rFonts w:cs="Arial"/>
          <w:rtl/>
        </w:rPr>
        <w:t>: שנים שדנו - דיניהם דין, אלא שנקרא בית דין חצוף</w:t>
      </w:r>
      <w:r w:rsidR="000464DD">
        <w:rPr>
          <w:rFonts w:cs="Arial" w:hint="cs"/>
          <w:rtl/>
        </w:rPr>
        <w:t>..</w:t>
      </w:r>
      <w:r w:rsidR="007D6907" w:rsidRPr="007D6907">
        <w:rPr>
          <w:rFonts w:cs="Arial"/>
          <w:rtl/>
        </w:rPr>
        <w:t>. איתיביה: רבן שמעון בן גמליאל אומר: הדין - בשלשה, ופשרה - בשנים. ויפה כח פשרה מכח הדין. ששנים שדנו - בעלי דינין יכולין לחזור בהן, ושנים שעשו פשרה - אין בעלי דינין יכולין לחזור בהן.</w:t>
      </w:r>
      <w:r w:rsidR="000464DD" w:rsidRPr="000464DD">
        <w:rPr>
          <w:rFonts w:cs="Arial" w:hint="cs"/>
          <w:sz w:val="14"/>
          <w:szCs w:val="14"/>
          <w:rtl/>
        </w:rPr>
        <w:t xml:space="preserve"> </w:t>
      </w:r>
      <w:r w:rsidR="000464DD">
        <w:rPr>
          <w:rFonts w:cs="Arial" w:hint="cs"/>
          <w:sz w:val="14"/>
          <w:szCs w:val="14"/>
          <w:rtl/>
        </w:rPr>
        <w:t>(ו.)</w:t>
      </w:r>
      <w:r w:rsidR="000464DD" w:rsidRPr="000464DD">
        <w:rPr>
          <w:rtl/>
        </w:rPr>
        <w:t xml:space="preserve"> </w:t>
      </w:r>
      <w:r w:rsidR="000464DD" w:rsidRPr="000464DD">
        <w:rPr>
          <w:rFonts w:cs="Arial"/>
          <w:rtl/>
        </w:rPr>
        <w:t>וכי תימא פליגי רבנן עליה דרבן שמעון בן גמליאל - והאמר רבי אבהו: שנים שדנו - לדברי הכל אין דיניהם דין! גברא אגברא קא רמית</w:t>
      </w:r>
      <w:r w:rsidR="000464DD">
        <w:rPr>
          <w:rStyle w:val="ab"/>
          <w:rFonts w:cs="Arial"/>
          <w:rtl/>
        </w:rPr>
        <w:footnoteReference w:id="634"/>
      </w:r>
      <w:r w:rsidR="000464DD" w:rsidRPr="000464DD">
        <w:rPr>
          <w:rFonts w:cs="Arial"/>
          <w:rtl/>
        </w:rPr>
        <w:t>?</w:t>
      </w:r>
      <w:r w:rsidR="007D6907" w:rsidRPr="007D6907">
        <w:rPr>
          <w:rFonts w:cs="Arial"/>
          <w:rtl/>
        </w:rPr>
        <w:t>.</w:t>
      </w:r>
      <w:r w:rsidR="007D6907">
        <w:rPr>
          <w:rFonts w:cs="Arial" w:hint="cs"/>
          <w:rtl/>
        </w:rPr>
        <w:t>.. לימא כתנאי</w:t>
      </w:r>
      <w:r w:rsidR="000464DD">
        <w:rPr>
          <w:rStyle w:val="ab"/>
          <w:rFonts w:cs="Arial"/>
          <w:rtl/>
        </w:rPr>
        <w:footnoteReference w:id="635"/>
      </w:r>
      <w:r w:rsidR="007D6907">
        <w:rPr>
          <w:rFonts w:cs="Arial" w:hint="cs"/>
          <w:rtl/>
        </w:rPr>
        <w:t xml:space="preserve">. </w:t>
      </w:r>
      <w:r w:rsidRPr="004A54B8">
        <w:rPr>
          <w:rFonts w:cs="Arial"/>
          <w:rtl/>
        </w:rPr>
        <w:t xml:space="preserve">ביצוע בשלשה, </w:t>
      </w:r>
      <w:r w:rsidRPr="007D6907">
        <w:rPr>
          <w:rFonts w:cs="Arial"/>
          <w:u w:val="single"/>
          <w:rtl/>
        </w:rPr>
        <w:t>דברי רבי מאיר</w:t>
      </w:r>
      <w:r w:rsidRPr="004A54B8">
        <w:rPr>
          <w:rFonts w:cs="Arial"/>
          <w:rtl/>
        </w:rPr>
        <w:t xml:space="preserve">, </w:t>
      </w:r>
      <w:r w:rsidRPr="007D6907">
        <w:rPr>
          <w:rFonts w:cs="Arial"/>
          <w:u w:val="single"/>
          <w:rtl/>
        </w:rPr>
        <w:t>וחכמים אומרים</w:t>
      </w:r>
      <w:r w:rsidRPr="004A54B8">
        <w:rPr>
          <w:rFonts w:cs="Arial"/>
          <w:rtl/>
        </w:rPr>
        <w:t xml:space="preserve">: פשרה ביחיד. סברוה: לכולי עלמא מקשינן פשרה לדין. מאי לאו בהא קמיפלגי, דמר סבר: דין בשלשה, ומר סבר: דין בשנים? לא, דכולי עלמא דין בשלשה, והכא בהא קמיפלגי; דמר סבר: מקשינן פשרה לדין, ומר סבר: לא מקשינן פשרה לדין. לימא תלתא תנאי בפשרה, דמר סבר: בשלשה, ומר סבר: בשנים, ומר סבר ביחיד? </w:t>
      </w:r>
      <w:r w:rsidRPr="00C91C9B">
        <w:rPr>
          <w:rFonts w:cs="Arial"/>
          <w:u w:val="single"/>
          <w:rtl/>
        </w:rPr>
        <w:t>אמר רב אחא בריה דרב איקא, ואיתימא רבי יימר בר שלמיא</w:t>
      </w:r>
      <w:r w:rsidRPr="004A54B8">
        <w:rPr>
          <w:rFonts w:cs="Arial"/>
          <w:rtl/>
        </w:rPr>
        <w:t xml:space="preserve">: מאן דאמר תרי - אפילו חד נמי, והאי דקאמר תרי - כי היכי דליהוו עליה סהדי. </w:t>
      </w:r>
      <w:r w:rsidRPr="00C91C9B">
        <w:rPr>
          <w:rFonts w:cs="Arial"/>
          <w:u w:val="single"/>
          <w:rtl/>
        </w:rPr>
        <w:t>אמר רב אשי</w:t>
      </w:r>
      <w:r w:rsidRPr="004A54B8">
        <w:rPr>
          <w:rFonts w:cs="Arial"/>
          <w:rtl/>
        </w:rPr>
        <w:t>: שמע מינה פשרה אינה צריכה קנין, דאי סלקא דעתך צריכה קנין - למאן דאמר צריכה, תלתא למה לי? תסגי בתרי, וליקני מיניה! והלכתא: פשרה צריכה קנין.</w:t>
      </w:r>
    </w:p>
    <w:p w14:paraId="6EE35C69" w14:textId="77777777" w:rsidR="00D861AF" w:rsidRPr="00532E40" w:rsidRDefault="00D861AF" w:rsidP="00D861AF">
      <w:pPr>
        <w:rPr>
          <w:rFonts w:cs="Arial"/>
          <w:u w:val="single"/>
          <w:rtl/>
        </w:rPr>
      </w:pPr>
      <w:r w:rsidRPr="00532E40">
        <w:rPr>
          <w:rFonts w:cs="Arial" w:hint="cs"/>
          <w:u w:val="single"/>
          <w:rtl/>
        </w:rPr>
        <w:t>כמה אנשים צריך כדי לעשות פשרה:</w:t>
      </w:r>
    </w:p>
    <w:p w14:paraId="235D0BBA" w14:textId="77777777" w:rsidR="00D861AF" w:rsidRPr="00532E40" w:rsidRDefault="00D861AF" w:rsidP="00D861AF">
      <w:pPr>
        <w:pStyle w:val="ac"/>
        <w:numPr>
          <w:ilvl w:val="0"/>
          <w:numId w:val="8"/>
        </w:numPr>
        <w:rPr>
          <w:rFonts w:cs="Arial"/>
          <w:rtl/>
        </w:rPr>
      </w:pPr>
      <w:r w:rsidRPr="00532E40">
        <w:rPr>
          <w:rFonts w:cs="Arial"/>
          <w:rtl/>
        </w:rPr>
        <w:lastRenderedPageBreak/>
        <w:t xml:space="preserve">רא"ש </w:t>
      </w:r>
      <w:r w:rsidRPr="00532E40">
        <w:rPr>
          <w:rFonts w:cs="Arial"/>
          <w:sz w:val="16"/>
          <w:szCs w:val="16"/>
          <w:rtl/>
        </w:rPr>
        <w:t>(סי' ג)</w:t>
      </w:r>
      <w:r w:rsidRPr="00532E40">
        <w:rPr>
          <w:rFonts w:cs="Arial" w:hint="cs"/>
          <w:rtl/>
        </w:rPr>
        <w:t xml:space="preserve">- </w:t>
      </w:r>
      <w:r w:rsidRPr="00532E40">
        <w:rPr>
          <w:rFonts w:cs="Arial"/>
          <w:rtl/>
        </w:rPr>
        <w:t>הלכתא כחכמים וכדר</w:t>
      </w:r>
      <w:r>
        <w:rPr>
          <w:rFonts w:cs="Arial" w:hint="cs"/>
          <w:rtl/>
        </w:rPr>
        <w:t>שב"ג</w:t>
      </w:r>
      <w:r w:rsidRPr="00532E40">
        <w:rPr>
          <w:rFonts w:cs="Arial"/>
          <w:rtl/>
        </w:rPr>
        <w:t xml:space="preserve"> דאמר לעיל </w:t>
      </w:r>
      <w:r w:rsidRPr="00532E40">
        <w:rPr>
          <w:rFonts w:cs="Arial"/>
          <w:sz w:val="16"/>
          <w:szCs w:val="16"/>
          <w:rtl/>
        </w:rPr>
        <w:t xml:space="preserve">(ה:) </w:t>
      </w:r>
      <w:r w:rsidRPr="00532E40">
        <w:rPr>
          <w:rFonts w:cs="Arial"/>
          <w:rtl/>
        </w:rPr>
        <w:t>פשרה בשנים</w:t>
      </w:r>
      <w:r w:rsidR="008A5603">
        <w:rPr>
          <w:rFonts w:cs="Arial" w:hint="cs"/>
          <w:rtl/>
        </w:rPr>
        <w:t>,</w:t>
      </w:r>
      <w:r w:rsidRPr="00532E40">
        <w:rPr>
          <w:rFonts w:cs="Arial"/>
          <w:rtl/>
        </w:rPr>
        <w:t xml:space="preserve"> והוא הדין באחד כדמפרש תלמודא </w:t>
      </w:r>
      <w:r w:rsidRPr="00532E40">
        <w:rPr>
          <w:rFonts w:cs="Arial"/>
          <w:sz w:val="16"/>
          <w:szCs w:val="16"/>
          <w:rtl/>
        </w:rPr>
        <w:t>(ו.</w:t>
      </w:r>
      <w:r>
        <w:rPr>
          <w:rFonts w:cs="Arial" w:hint="cs"/>
          <w:sz w:val="16"/>
          <w:szCs w:val="16"/>
          <w:rtl/>
        </w:rPr>
        <w:t>)</w:t>
      </w:r>
      <w:r w:rsidRPr="00532E40">
        <w:rPr>
          <w:rFonts w:cs="Arial" w:hint="cs"/>
          <w:rtl/>
        </w:rPr>
        <w:t>.</w:t>
      </w:r>
      <w:r>
        <w:rPr>
          <w:rFonts w:cs="Arial" w:hint="cs"/>
          <w:rtl/>
        </w:rPr>
        <w:t xml:space="preserve"> </w:t>
      </w:r>
      <w:r w:rsidRPr="000363E7">
        <w:rPr>
          <w:rFonts w:cs="Arial" w:hint="cs"/>
          <w:color w:val="E36C0A" w:themeColor="accent6" w:themeShade="BF"/>
          <w:rtl/>
        </w:rPr>
        <w:t>(וכ"ס בשו"ע)</w:t>
      </w:r>
    </w:p>
    <w:p w14:paraId="4397A17B" w14:textId="77777777" w:rsidR="00D861AF" w:rsidRDefault="00D861AF" w:rsidP="00D861AF">
      <w:pPr>
        <w:pStyle w:val="ac"/>
        <w:numPr>
          <w:ilvl w:val="0"/>
          <w:numId w:val="8"/>
        </w:numPr>
        <w:rPr>
          <w:rFonts w:cs="Arial"/>
        </w:rPr>
      </w:pPr>
      <w:r>
        <w:rPr>
          <w:rFonts w:cs="Arial" w:hint="cs"/>
          <w:rtl/>
        </w:rPr>
        <w:t>(</w:t>
      </w:r>
      <w:r w:rsidRPr="00532E40">
        <w:rPr>
          <w:rFonts w:cs="Arial" w:hint="cs"/>
          <w:rtl/>
        </w:rPr>
        <w:t xml:space="preserve">רי"ף </w:t>
      </w:r>
      <w:r w:rsidRPr="00774862">
        <w:rPr>
          <w:rFonts w:cs="Arial" w:hint="cs"/>
          <w:sz w:val="14"/>
          <w:szCs w:val="14"/>
          <w:rtl/>
        </w:rPr>
        <w:t xml:space="preserve">[א:] </w:t>
      </w:r>
      <w:r w:rsidRPr="00532E40">
        <w:rPr>
          <w:rFonts w:cs="Arial" w:hint="cs"/>
          <w:rtl/>
        </w:rPr>
        <w:t xml:space="preserve">ורמב"ם </w:t>
      </w:r>
      <w:r w:rsidRPr="00774862">
        <w:rPr>
          <w:rFonts w:cs="Arial" w:hint="cs"/>
          <w:sz w:val="14"/>
          <w:szCs w:val="14"/>
          <w:rtl/>
        </w:rPr>
        <w:t>[פכ"ב ה"ו]</w:t>
      </w:r>
      <w:r>
        <w:rPr>
          <w:rFonts w:cs="Arial" w:hint="cs"/>
          <w:sz w:val="16"/>
          <w:szCs w:val="16"/>
          <w:rtl/>
        </w:rPr>
        <w:t xml:space="preserve"> להב' הב"י</w:t>
      </w:r>
      <w:r>
        <w:rPr>
          <w:rStyle w:val="ab"/>
          <w:rFonts w:cs="Arial"/>
          <w:sz w:val="16"/>
          <w:szCs w:val="16"/>
          <w:rtl/>
        </w:rPr>
        <w:footnoteReference w:id="636"/>
      </w:r>
      <w:r>
        <w:rPr>
          <w:rFonts w:cs="Arial" w:hint="cs"/>
          <w:rtl/>
        </w:rPr>
        <w:t>)</w:t>
      </w:r>
      <w:r w:rsidRPr="00532E40">
        <w:rPr>
          <w:rFonts w:cs="Arial" w:hint="cs"/>
          <w:rtl/>
        </w:rPr>
        <w:t>- פשרה בשנים, כרשב"ג</w:t>
      </w:r>
      <w:r>
        <w:rPr>
          <w:rStyle w:val="ab"/>
          <w:rFonts w:cs="Arial"/>
          <w:rtl/>
        </w:rPr>
        <w:footnoteReference w:id="637"/>
      </w:r>
      <w:r w:rsidRPr="00532E40">
        <w:rPr>
          <w:rFonts w:cs="Arial"/>
          <w:rtl/>
        </w:rPr>
        <w:t>.</w:t>
      </w:r>
    </w:p>
    <w:p w14:paraId="2B1ACD64" w14:textId="77777777" w:rsidR="008F0E14" w:rsidRDefault="00E47E4E" w:rsidP="00B753E7">
      <w:pPr>
        <w:rPr>
          <w:rFonts w:cs="Arial"/>
          <w:sz w:val="16"/>
          <w:szCs w:val="16"/>
          <w:rtl/>
        </w:rPr>
      </w:pPr>
      <w:r w:rsidRPr="00E47E4E">
        <w:rPr>
          <w:rFonts w:cs="Arial" w:hint="cs"/>
          <w:b/>
          <w:bCs/>
          <w:rtl/>
        </w:rPr>
        <w:t xml:space="preserve">בבא מציעא </w:t>
      </w:r>
      <w:r w:rsidRPr="00E47E4E">
        <w:rPr>
          <w:rFonts w:cs="Arial" w:hint="cs"/>
          <w:b/>
          <w:bCs/>
          <w:sz w:val="16"/>
          <w:szCs w:val="16"/>
          <w:rtl/>
        </w:rPr>
        <w:t xml:space="preserve">(פרק המקבל) </w:t>
      </w:r>
      <w:r w:rsidRPr="00E47E4E">
        <w:rPr>
          <w:rFonts w:cs="Arial" w:hint="cs"/>
          <w:b/>
          <w:bCs/>
          <w:rtl/>
        </w:rPr>
        <w:t>קיב</w:t>
      </w:r>
      <w:r w:rsidR="00DF68F2">
        <w:rPr>
          <w:rStyle w:val="ab"/>
          <w:rFonts w:cs="Arial"/>
          <w:b/>
          <w:bCs/>
          <w:rtl/>
        </w:rPr>
        <w:footnoteReference w:id="638"/>
      </w:r>
      <w:r w:rsidRPr="00E47E4E">
        <w:rPr>
          <w:rFonts w:cs="Arial" w:hint="cs"/>
          <w:b/>
          <w:bCs/>
          <w:rtl/>
        </w:rPr>
        <w:t xml:space="preserve"> ע"א:</w:t>
      </w:r>
      <w:r w:rsidRPr="00E47E4E">
        <w:rPr>
          <w:rFonts w:cs="Arial"/>
          <w:rtl/>
        </w:rPr>
        <w:t xml:space="preserve"> המחהו אצל חנוני ואצל שולחני אינו עובר. איבעיא להו: חוזר</w:t>
      </w:r>
      <w:r w:rsidR="008430C9">
        <w:rPr>
          <w:rStyle w:val="ab"/>
          <w:rFonts w:cs="Arial"/>
          <w:rtl/>
        </w:rPr>
        <w:footnoteReference w:id="639"/>
      </w:r>
      <w:r w:rsidRPr="00E47E4E">
        <w:rPr>
          <w:rFonts w:cs="Arial"/>
          <w:rtl/>
        </w:rPr>
        <w:t xml:space="preserve"> או אינו חוזר? </w:t>
      </w:r>
      <w:r w:rsidRPr="00E47E4E">
        <w:rPr>
          <w:rFonts w:cs="Arial"/>
          <w:u w:val="single"/>
          <w:rtl/>
        </w:rPr>
        <w:t>רב ששת אמר</w:t>
      </w:r>
      <w:r w:rsidRPr="00E47E4E">
        <w:rPr>
          <w:rFonts w:cs="Arial"/>
          <w:rtl/>
        </w:rPr>
        <w:t xml:space="preserve">: אינו חוזר, </w:t>
      </w:r>
      <w:r w:rsidRPr="00E47E4E">
        <w:rPr>
          <w:rFonts w:cs="Arial"/>
          <w:u w:val="single"/>
          <w:rtl/>
        </w:rPr>
        <w:t>ורבה אמר</w:t>
      </w:r>
      <w:r w:rsidRPr="00E47E4E">
        <w:rPr>
          <w:rFonts w:cs="Arial"/>
          <w:rtl/>
        </w:rPr>
        <w:t xml:space="preserve">: חוזר. </w:t>
      </w:r>
      <w:r w:rsidRPr="00E47E4E">
        <w:rPr>
          <w:rFonts w:cs="Arial"/>
          <w:u w:val="single"/>
          <w:rtl/>
        </w:rPr>
        <w:t>אמר רבה</w:t>
      </w:r>
      <w:r w:rsidRPr="00E47E4E">
        <w:rPr>
          <w:rFonts w:cs="Arial"/>
          <w:rtl/>
        </w:rPr>
        <w:t>: מנא אמינא לה - מדקתני: אינו עובר עליו, מעבר הוא דלא עבר</w:t>
      </w:r>
      <w:r w:rsidR="008430C9">
        <w:rPr>
          <w:rFonts w:cs="Arial" w:hint="cs"/>
          <w:rtl/>
        </w:rPr>
        <w:t>,</w:t>
      </w:r>
      <w:r w:rsidRPr="00E47E4E">
        <w:rPr>
          <w:rFonts w:cs="Arial"/>
          <w:rtl/>
        </w:rPr>
        <w:t xml:space="preserve"> הא מיהדר - הדר. </w:t>
      </w:r>
      <w:r w:rsidRPr="00E47E4E">
        <w:rPr>
          <w:rFonts w:cs="Arial"/>
          <w:u w:val="single"/>
          <w:rtl/>
        </w:rPr>
        <w:t>ורב ששת אמר</w:t>
      </w:r>
      <w:r w:rsidRPr="00E47E4E">
        <w:rPr>
          <w:rFonts w:cs="Arial"/>
          <w:rtl/>
        </w:rPr>
        <w:t>: מאי אינו עובר - אינו בתורת לעבור</w:t>
      </w:r>
      <w:r w:rsidR="008430C9">
        <w:rPr>
          <w:rStyle w:val="ab"/>
          <w:rFonts w:cs="Arial"/>
          <w:rtl/>
        </w:rPr>
        <w:footnoteReference w:id="640"/>
      </w:r>
      <w:r w:rsidRPr="00E47E4E">
        <w:rPr>
          <w:rFonts w:cs="Arial"/>
          <w:rtl/>
        </w:rPr>
        <w:t>.</w:t>
      </w:r>
      <w:r w:rsidR="004A54B8" w:rsidRPr="004A54B8">
        <w:rPr>
          <w:rFonts w:cs="Arial"/>
          <w:rtl/>
        </w:rPr>
        <w:t xml:space="preserve"> </w:t>
      </w:r>
      <w:r w:rsidR="008430C9">
        <w:rPr>
          <w:rFonts w:cs="Arial" w:hint="cs"/>
          <w:sz w:val="16"/>
          <w:szCs w:val="16"/>
          <w:rtl/>
        </w:rPr>
        <w:t xml:space="preserve">(ומכאן הכיחו התוס' (ד"ה </w:t>
      </w:r>
      <w:r w:rsidR="008430C9" w:rsidRPr="008430C9">
        <w:rPr>
          <w:rFonts w:cs="Arial"/>
          <w:sz w:val="16"/>
          <w:szCs w:val="16"/>
          <w:rtl/>
        </w:rPr>
        <w:t>חוזר עליו</w:t>
      </w:r>
      <w:r w:rsidR="008430C9">
        <w:rPr>
          <w:rFonts w:cs="Arial" w:hint="cs"/>
          <w:sz w:val="16"/>
          <w:szCs w:val="16"/>
          <w:rtl/>
        </w:rPr>
        <w:t xml:space="preserve">) </w:t>
      </w:r>
      <w:r w:rsidR="00D861AF">
        <w:rPr>
          <w:rFonts w:cs="Arial" w:hint="cs"/>
          <w:sz w:val="16"/>
          <w:szCs w:val="16"/>
          <w:rtl/>
        </w:rPr>
        <w:t xml:space="preserve">והרא"ש (סנהדרין פ"ק סי' ג) </w:t>
      </w:r>
      <w:r w:rsidR="008430C9">
        <w:rPr>
          <w:rFonts w:cs="Arial" w:hint="cs"/>
          <w:sz w:val="16"/>
          <w:szCs w:val="16"/>
          <w:rtl/>
        </w:rPr>
        <w:t>דמחילה אינה צריכה קנין, וז"ל</w:t>
      </w:r>
      <w:r w:rsidR="00D861AF">
        <w:rPr>
          <w:rFonts w:cs="Arial" w:hint="cs"/>
          <w:sz w:val="16"/>
          <w:szCs w:val="16"/>
          <w:rtl/>
        </w:rPr>
        <w:t xml:space="preserve"> התוס'</w:t>
      </w:r>
      <w:r w:rsidR="008430C9">
        <w:rPr>
          <w:rFonts w:cs="Arial" w:hint="cs"/>
          <w:sz w:val="16"/>
          <w:szCs w:val="16"/>
          <w:rtl/>
        </w:rPr>
        <w:t xml:space="preserve">- </w:t>
      </w:r>
      <w:r w:rsidR="008430C9" w:rsidRPr="008430C9">
        <w:rPr>
          <w:rFonts w:cs="Arial"/>
          <w:sz w:val="16"/>
          <w:szCs w:val="16"/>
          <w:rtl/>
        </w:rPr>
        <w:t xml:space="preserve">היכא דא"ל </w:t>
      </w:r>
      <w:r w:rsidR="00DF68F2">
        <w:rPr>
          <w:rFonts w:cs="Arial" w:hint="cs"/>
          <w:sz w:val="16"/>
          <w:szCs w:val="16"/>
          <w:rtl/>
        </w:rPr>
        <w:t>'</w:t>
      </w:r>
      <w:r w:rsidR="008430C9" w:rsidRPr="008430C9">
        <w:rPr>
          <w:rFonts w:cs="Arial"/>
          <w:sz w:val="16"/>
          <w:szCs w:val="16"/>
          <w:rtl/>
        </w:rPr>
        <w:t>אני פוטרך לגמרי אפי' לא יתן לי</w:t>
      </w:r>
      <w:r w:rsidR="00DF68F2">
        <w:rPr>
          <w:rFonts w:cs="Arial" w:hint="cs"/>
          <w:sz w:val="16"/>
          <w:szCs w:val="16"/>
          <w:rtl/>
        </w:rPr>
        <w:t>'</w:t>
      </w:r>
      <w:r w:rsidR="008430C9" w:rsidRPr="008430C9">
        <w:rPr>
          <w:rFonts w:cs="Arial"/>
          <w:sz w:val="16"/>
          <w:szCs w:val="16"/>
          <w:rtl/>
        </w:rPr>
        <w:t xml:space="preserve"> </w:t>
      </w:r>
      <w:r w:rsidR="008430C9">
        <w:rPr>
          <w:rFonts w:cs="Arial" w:hint="cs"/>
          <w:sz w:val="16"/>
          <w:szCs w:val="16"/>
          <w:rtl/>
        </w:rPr>
        <w:t xml:space="preserve">- </w:t>
      </w:r>
      <w:r w:rsidR="008430C9" w:rsidRPr="008430C9">
        <w:rPr>
          <w:rFonts w:cs="Arial"/>
          <w:sz w:val="16"/>
          <w:szCs w:val="16"/>
          <w:rtl/>
        </w:rPr>
        <w:t>פשיטא דאינו חוזר</w:t>
      </w:r>
      <w:r w:rsidR="008430C9">
        <w:rPr>
          <w:rFonts w:cs="Arial" w:hint="cs"/>
          <w:sz w:val="16"/>
          <w:szCs w:val="16"/>
          <w:rtl/>
        </w:rPr>
        <w:t>,</w:t>
      </w:r>
      <w:r w:rsidR="008430C9" w:rsidRPr="008430C9">
        <w:rPr>
          <w:rFonts w:cs="Arial"/>
          <w:sz w:val="16"/>
          <w:szCs w:val="16"/>
          <w:rtl/>
        </w:rPr>
        <w:t xml:space="preserve"> דאל</w:t>
      </w:r>
      <w:r w:rsidR="00DF68F2">
        <w:rPr>
          <w:rFonts w:cs="Arial" w:hint="cs"/>
          <w:sz w:val="16"/>
          <w:szCs w:val="16"/>
          <w:rtl/>
        </w:rPr>
        <w:t>"</w:t>
      </w:r>
      <w:r w:rsidR="008430C9" w:rsidRPr="008430C9">
        <w:rPr>
          <w:rFonts w:cs="Arial"/>
          <w:sz w:val="16"/>
          <w:szCs w:val="16"/>
          <w:rtl/>
        </w:rPr>
        <w:t>כ בכל מחילה בעלמא תיבעי ליה אי בעי קנין או לא</w:t>
      </w:r>
      <w:r w:rsidR="008430C9">
        <w:rPr>
          <w:rFonts w:cs="Arial" w:hint="cs"/>
          <w:sz w:val="16"/>
          <w:szCs w:val="16"/>
          <w:rtl/>
        </w:rPr>
        <w:t>.</w:t>
      </w:r>
      <w:r w:rsidR="008430C9" w:rsidRPr="008430C9">
        <w:rPr>
          <w:rFonts w:cs="Arial"/>
          <w:sz w:val="16"/>
          <w:szCs w:val="16"/>
          <w:rtl/>
        </w:rPr>
        <w:t xml:space="preserve"> והיכא דא"ל נמי </w:t>
      </w:r>
      <w:r w:rsidR="00DF68F2">
        <w:rPr>
          <w:rFonts w:cs="Arial" w:hint="cs"/>
          <w:sz w:val="16"/>
          <w:szCs w:val="16"/>
          <w:rtl/>
        </w:rPr>
        <w:t>'</w:t>
      </w:r>
      <w:r w:rsidR="008430C9" w:rsidRPr="008430C9">
        <w:rPr>
          <w:rFonts w:cs="Arial"/>
          <w:sz w:val="16"/>
          <w:szCs w:val="16"/>
          <w:rtl/>
        </w:rPr>
        <w:t>אני פוטרך אם יפרע לי שולחני</w:t>
      </w:r>
      <w:r w:rsidR="00DF68F2">
        <w:rPr>
          <w:rFonts w:cs="Arial" w:hint="cs"/>
          <w:sz w:val="16"/>
          <w:szCs w:val="16"/>
          <w:rtl/>
        </w:rPr>
        <w:t>'</w:t>
      </w:r>
      <w:r w:rsidR="008430C9">
        <w:rPr>
          <w:rFonts w:cs="Arial" w:hint="cs"/>
          <w:sz w:val="16"/>
          <w:szCs w:val="16"/>
          <w:rtl/>
        </w:rPr>
        <w:t xml:space="preserve"> -</w:t>
      </w:r>
      <w:r w:rsidR="008430C9" w:rsidRPr="008430C9">
        <w:rPr>
          <w:rFonts w:cs="Arial"/>
          <w:sz w:val="16"/>
          <w:szCs w:val="16"/>
          <w:rtl/>
        </w:rPr>
        <w:t xml:space="preserve"> פשיטא דחוזר</w:t>
      </w:r>
      <w:r w:rsidR="008430C9">
        <w:rPr>
          <w:rFonts w:cs="Arial" w:hint="cs"/>
          <w:sz w:val="16"/>
          <w:szCs w:val="16"/>
          <w:rtl/>
        </w:rPr>
        <w:t>,</w:t>
      </w:r>
      <w:r w:rsidR="008430C9" w:rsidRPr="008430C9">
        <w:rPr>
          <w:rFonts w:cs="Arial"/>
          <w:sz w:val="16"/>
          <w:szCs w:val="16"/>
          <w:rtl/>
        </w:rPr>
        <w:t xml:space="preserve"> כיון דאין שולחני רוצה ליתן לו</w:t>
      </w:r>
      <w:r w:rsidR="008430C9">
        <w:rPr>
          <w:rFonts w:cs="Arial" w:hint="cs"/>
          <w:sz w:val="16"/>
          <w:szCs w:val="16"/>
          <w:rtl/>
        </w:rPr>
        <w:t>.</w:t>
      </w:r>
      <w:r w:rsidR="008430C9" w:rsidRPr="008430C9">
        <w:rPr>
          <w:rFonts w:cs="Arial"/>
          <w:sz w:val="16"/>
          <w:szCs w:val="16"/>
          <w:rtl/>
        </w:rPr>
        <w:t xml:space="preserve"> והכא מיירי</w:t>
      </w:r>
      <w:r w:rsidR="008430C9">
        <w:rPr>
          <w:rFonts w:cs="Arial" w:hint="cs"/>
          <w:sz w:val="16"/>
          <w:szCs w:val="16"/>
          <w:rtl/>
        </w:rPr>
        <w:t>...</w:t>
      </w:r>
      <w:r w:rsidR="008430C9" w:rsidRPr="008430C9">
        <w:rPr>
          <w:rFonts w:cs="Arial"/>
          <w:sz w:val="16"/>
          <w:szCs w:val="16"/>
          <w:rtl/>
        </w:rPr>
        <w:t xml:space="preserve"> שפטרו לגמרי ומתחייב לו שולחני מדין ערב</w:t>
      </w:r>
      <w:r w:rsidR="00DF68F2">
        <w:rPr>
          <w:rFonts w:cs="Arial" w:hint="cs"/>
          <w:sz w:val="16"/>
          <w:szCs w:val="16"/>
          <w:rtl/>
        </w:rPr>
        <w:t>,</w:t>
      </w:r>
      <w:r w:rsidR="008430C9" w:rsidRPr="008430C9">
        <w:rPr>
          <w:rFonts w:cs="Arial"/>
          <w:sz w:val="16"/>
          <w:szCs w:val="16"/>
          <w:rtl/>
        </w:rPr>
        <w:t xml:space="preserve"> דכשמסמיכו השולחני הוי כאומר סמוך עלי</w:t>
      </w:r>
      <w:r w:rsidR="00DF68F2">
        <w:rPr>
          <w:rFonts w:cs="Arial" w:hint="cs"/>
          <w:sz w:val="16"/>
          <w:szCs w:val="16"/>
          <w:rtl/>
        </w:rPr>
        <w:t>,</w:t>
      </w:r>
      <w:r w:rsidR="008430C9" w:rsidRPr="008430C9">
        <w:rPr>
          <w:rFonts w:cs="Arial"/>
          <w:sz w:val="16"/>
          <w:szCs w:val="16"/>
          <w:rtl/>
        </w:rPr>
        <w:t xml:space="preserve"> ופטור בעל הבית לגמרי</w:t>
      </w:r>
      <w:r w:rsidR="00DF68F2">
        <w:rPr>
          <w:rFonts w:cs="Arial" w:hint="cs"/>
          <w:sz w:val="16"/>
          <w:szCs w:val="16"/>
          <w:rtl/>
        </w:rPr>
        <w:t>...</w:t>
      </w:r>
      <w:r w:rsidR="008430C9" w:rsidRPr="008430C9">
        <w:rPr>
          <w:rFonts w:cs="Arial"/>
          <w:sz w:val="16"/>
          <w:szCs w:val="16"/>
          <w:rtl/>
        </w:rPr>
        <w:t xml:space="preserve"> והשתא מוכח דמחילה אינה צריכה קנין</w:t>
      </w:r>
      <w:r w:rsidR="00DF68F2">
        <w:rPr>
          <w:rFonts w:cs="Arial" w:hint="cs"/>
          <w:sz w:val="16"/>
          <w:szCs w:val="16"/>
          <w:rtl/>
        </w:rPr>
        <w:t>,</w:t>
      </w:r>
      <w:r w:rsidR="008430C9" w:rsidRPr="008430C9">
        <w:rPr>
          <w:rFonts w:cs="Arial"/>
          <w:sz w:val="16"/>
          <w:szCs w:val="16"/>
          <w:rtl/>
        </w:rPr>
        <w:t xml:space="preserve"> דע"כ הכא בלא קנין איירי</w:t>
      </w:r>
      <w:r w:rsidR="00DF68F2">
        <w:rPr>
          <w:rFonts w:cs="Arial" w:hint="cs"/>
          <w:sz w:val="16"/>
          <w:szCs w:val="16"/>
          <w:rtl/>
        </w:rPr>
        <w:t>,</w:t>
      </w:r>
      <w:r w:rsidR="008430C9" w:rsidRPr="008430C9">
        <w:rPr>
          <w:rFonts w:cs="Arial"/>
          <w:sz w:val="16"/>
          <w:szCs w:val="16"/>
          <w:rtl/>
        </w:rPr>
        <w:t xml:space="preserve"> דקנין לא שייך אלא כשפטרו לגמרי בהדיא</w:t>
      </w:r>
      <w:r w:rsidR="008F0E14">
        <w:rPr>
          <w:rFonts w:cs="Arial" w:hint="cs"/>
          <w:sz w:val="16"/>
          <w:szCs w:val="16"/>
          <w:rtl/>
        </w:rPr>
        <w:t>,</w:t>
      </w:r>
      <w:r w:rsidR="008430C9" w:rsidRPr="008430C9">
        <w:rPr>
          <w:rFonts w:cs="Arial"/>
          <w:sz w:val="16"/>
          <w:szCs w:val="16"/>
          <w:rtl/>
        </w:rPr>
        <w:t xml:space="preserve"> ואפי' לא פטרו לגמרי בפירוש כיון שהקנה לו </w:t>
      </w:r>
      <w:r w:rsidR="00DF68F2">
        <w:rPr>
          <w:rFonts w:cs="Arial" w:hint="cs"/>
          <w:sz w:val="16"/>
          <w:szCs w:val="16"/>
          <w:rtl/>
        </w:rPr>
        <w:t xml:space="preserve">- </w:t>
      </w:r>
      <w:r w:rsidR="008430C9" w:rsidRPr="008430C9">
        <w:rPr>
          <w:rFonts w:cs="Arial"/>
          <w:sz w:val="16"/>
          <w:szCs w:val="16"/>
          <w:rtl/>
        </w:rPr>
        <w:t>דומה ודאי שלפוטרו הקנה לו</w:t>
      </w:r>
      <w:r w:rsidR="00DF68F2">
        <w:rPr>
          <w:rFonts w:cs="Arial" w:hint="cs"/>
          <w:sz w:val="16"/>
          <w:szCs w:val="16"/>
          <w:rtl/>
        </w:rPr>
        <w:t>,</w:t>
      </w:r>
      <w:r w:rsidR="008430C9" w:rsidRPr="008430C9">
        <w:rPr>
          <w:rFonts w:cs="Arial"/>
          <w:sz w:val="16"/>
          <w:szCs w:val="16"/>
          <w:rtl/>
        </w:rPr>
        <w:t xml:space="preserve"> דאל</w:t>
      </w:r>
      <w:r w:rsidR="008F0E14">
        <w:rPr>
          <w:rFonts w:cs="Arial" w:hint="cs"/>
          <w:sz w:val="16"/>
          <w:szCs w:val="16"/>
          <w:rtl/>
        </w:rPr>
        <w:t>"</w:t>
      </w:r>
      <w:r w:rsidR="008430C9" w:rsidRPr="008430C9">
        <w:rPr>
          <w:rFonts w:cs="Arial"/>
          <w:sz w:val="16"/>
          <w:szCs w:val="16"/>
          <w:rtl/>
        </w:rPr>
        <w:t>כ מאי צריך קנין</w:t>
      </w:r>
      <w:r w:rsidR="008F0E14">
        <w:rPr>
          <w:rFonts w:cs="Arial" w:hint="cs"/>
          <w:sz w:val="16"/>
          <w:szCs w:val="16"/>
          <w:rtl/>
        </w:rPr>
        <w:t>,</w:t>
      </w:r>
      <w:r w:rsidR="008430C9" w:rsidRPr="008430C9">
        <w:rPr>
          <w:rFonts w:cs="Arial"/>
          <w:sz w:val="16"/>
          <w:szCs w:val="16"/>
          <w:rtl/>
        </w:rPr>
        <w:t xml:space="preserve"> ובפוטרו בהדיא פשיטא דאינו חוזר כדפרישית</w:t>
      </w:r>
      <w:r w:rsidR="008F0E14">
        <w:rPr>
          <w:rFonts w:cs="Arial" w:hint="cs"/>
          <w:sz w:val="16"/>
          <w:szCs w:val="16"/>
          <w:rtl/>
        </w:rPr>
        <w:t>,</w:t>
      </w:r>
      <w:r w:rsidR="008430C9" w:rsidRPr="008430C9">
        <w:rPr>
          <w:rFonts w:cs="Arial"/>
          <w:sz w:val="16"/>
          <w:szCs w:val="16"/>
          <w:rtl/>
        </w:rPr>
        <w:t xml:space="preserve"> ובהא לא מיבעיא ליה</w:t>
      </w:r>
      <w:r w:rsidR="008F0E14">
        <w:rPr>
          <w:rFonts w:cs="Arial" w:hint="cs"/>
          <w:sz w:val="16"/>
          <w:szCs w:val="16"/>
          <w:rtl/>
        </w:rPr>
        <w:t>,</w:t>
      </w:r>
      <w:r w:rsidR="008430C9" w:rsidRPr="008430C9">
        <w:rPr>
          <w:rFonts w:cs="Arial"/>
          <w:sz w:val="16"/>
          <w:szCs w:val="16"/>
          <w:rtl/>
        </w:rPr>
        <w:t xml:space="preserve"> אלא ודאי בלא קנין איירי</w:t>
      </w:r>
      <w:r w:rsidR="008F0E14">
        <w:rPr>
          <w:rFonts w:cs="Arial" w:hint="cs"/>
          <w:sz w:val="16"/>
          <w:szCs w:val="16"/>
          <w:rtl/>
        </w:rPr>
        <w:t>.</w:t>
      </w:r>
      <w:r w:rsidR="008430C9" w:rsidRPr="008430C9">
        <w:rPr>
          <w:rFonts w:cs="Arial"/>
          <w:sz w:val="16"/>
          <w:szCs w:val="16"/>
          <w:rtl/>
        </w:rPr>
        <w:t xml:space="preserve"> </w:t>
      </w:r>
      <w:r w:rsidR="008F0E14">
        <w:rPr>
          <w:rFonts w:cs="Arial" w:hint="cs"/>
          <w:sz w:val="16"/>
          <w:szCs w:val="16"/>
          <w:rtl/>
        </w:rPr>
        <w:t xml:space="preserve">עכ"ל. וכתבו שם עוד אפשרות לפרש את דברי הגמ' וכתבו דגם </w:t>
      </w:r>
      <w:r w:rsidR="008430C9" w:rsidRPr="008430C9">
        <w:rPr>
          <w:rFonts w:cs="Arial"/>
          <w:sz w:val="16"/>
          <w:szCs w:val="16"/>
          <w:rtl/>
        </w:rPr>
        <w:t>לזה הפירוש נמי יש להוכיח קצת דמחילה אינה צריכה קנין</w:t>
      </w:r>
      <w:r w:rsidR="008F0E14">
        <w:rPr>
          <w:rFonts w:cs="Arial" w:hint="cs"/>
          <w:sz w:val="16"/>
          <w:szCs w:val="16"/>
          <w:rtl/>
        </w:rPr>
        <w:t>, ע"ש. וכתבו עוד ד</w:t>
      </w:r>
      <w:r w:rsidR="008430C9" w:rsidRPr="008430C9">
        <w:rPr>
          <w:rFonts w:cs="Arial"/>
          <w:sz w:val="16"/>
          <w:szCs w:val="16"/>
          <w:rtl/>
        </w:rPr>
        <w:t>כן משמע בפ"ק דקדושין (דף טז. ושם) דמחילה אינה צריכה קנין גבי עבד עברי</w:t>
      </w:r>
      <w:r w:rsidR="008F0E14">
        <w:rPr>
          <w:rFonts w:cs="Arial" w:hint="cs"/>
          <w:sz w:val="16"/>
          <w:szCs w:val="16"/>
          <w:rtl/>
        </w:rPr>
        <w:t>...</w:t>
      </w:r>
      <w:r w:rsidR="008430C9" w:rsidRPr="008430C9">
        <w:rPr>
          <w:rFonts w:cs="Arial"/>
          <w:sz w:val="16"/>
          <w:szCs w:val="16"/>
          <w:rtl/>
        </w:rPr>
        <w:t xml:space="preserve"> וכן בפרק הנושא (כתובות דף קד.) אמרינן דלאחר כ"ה שנה אבדה כתובתה משום דמסתמא מחלה ואע</w:t>
      </w:r>
      <w:r w:rsidR="008F0E14">
        <w:rPr>
          <w:rFonts w:cs="Arial" w:hint="cs"/>
          <w:sz w:val="16"/>
          <w:szCs w:val="16"/>
          <w:rtl/>
        </w:rPr>
        <w:t>"</w:t>
      </w:r>
      <w:r w:rsidR="008430C9" w:rsidRPr="008430C9">
        <w:rPr>
          <w:rFonts w:cs="Arial"/>
          <w:sz w:val="16"/>
          <w:szCs w:val="16"/>
          <w:rtl/>
        </w:rPr>
        <w:t>ג דלא עשתה שום קנין</w:t>
      </w:r>
      <w:r w:rsidR="008F0E14">
        <w:rPr>
          <w:rFonts w:cs="Arial" w:hint="cs"/>
          <w:sz w:val="16"/>
          <w:szCs w:val="16"/>
          <w:rtl/>
        </w:rPr>
        <w:t>,</w:t>
      </w:r>
      <w:r w:rsidR="008430C9" w:rsidRPr="008430C9">
        <w:rPr>
          <w:rFonts w:cs="Arial"/>
          <w:sz w:val="16"/>
          <w:szCs w:val="16"/>
          <w:rtl/>
        </w:rPr>
        <w:t xml:space="preserve"> דבקנין לאלתר נמי אבדה כתובתה</w:t>
      </w:r>
      <w:r w:rsidR="008F0E14">
        <w:rPr>
          <w:rFonts w:cs="Arial" w:hint="cs"/>
          <w:sz w:val="16"/>
          <w:szCs w:val="16"/>
          <w:rtl/>
        </w:rPr>
        <w:t>...)</w:t>
      </w:r>
    </w:p>
    <w:p w14:paraId="3E4649C6" w14:textId="77777777" w:rsidR="00E47E4E" w:rsidRPr="00E47E4E" w:rsidRDefault="00783EE4" w:rsidP="00E47E4E">
      <w:pPr>
        <w:rPr>
          <w:rFonts w:cs="Arial"/>
        </w:rPr>
      </w:pPr>
      <w:r>
        <w:rPr>
          <w:rFonts w:cs="Arial" w:hint="cs"/>
          <w:u w:val="single"/>
          <w:rtl/>
        </w:rPr>
        <w:t>'הלכתא פשרה</w:t>
      </w:r>
      <w:r w:rsidRPr="00B753E7">
        <w:rPr>
          <w:rFonts w:cs="Arial" w:hint="cs"/>
          <w:u w:val="single"/>
          <w:rtl/>
        </w:rPr>
        <w:t xml:space="preserve"> צריכה קנין</w:t>
      </w:r>
      <w:r>
        <w:rPr>
          <w:rFonts w:cs="Arial" w:hint="cs"/>
          <w:u w:val="single"/>
          <w:rtl/>
        </w:rPr>
        <w:t>' - כיצד</w:t>
      </w:r>
      <w:r w:rsidRPr="00B753E7">
        <w:rPr>
          <w:rFonts w:cs="Arial" w:hint="cs"/>
          <w:u w:val="single"/>
          <w:rtl/>
        </w:rPr>
        <w:t>:</w:t>
      </w:r>
    </w:p>
    <w:p w14:paraId="2988FF9B" w14:textId="77777777" w:rsidR="00FA5F47" w:rsidRPr="00FA5F47" w:rsidRDefault="001F338A" w:rsidP="00FA5F47">
      <w:pPr>
        <w:pStyle w:val="ac"/>
        <w:numPr>
          <w:ilvl w:val="0"/>
          <w:numId w:val="8"/>
        </w:numPr>
        <w:rPr>
          <w:rFonts w:cs="Arial"/>
        </w:rPr>
      </w:pPr>
      <w:r>
        <w:rPr>
          <w:rFonts w:cs="Arial"/>
          <w:rtl/>
        </w:rPr>
        <w:t>רשב"א</w:t>
      </w:r>
      <w:r>
        <w:rPr>
          <w:rStyle w:val="ab"/>
          <w:rFonts w:cs="Arial"/>
          <w:rtl/>
        </w:rPr>
        <w:footnoteReference w:id="641"/>
      </w:r>
      <w:r w:rsidRPr="003F1ADA">
        <w:rPr>
          <w:rFonts w:cs="Arial"/>
          <w:sz w:val="16"/>
          <w:szCs w:val="16"/>
          <w:rtl/>
        </w:rPr>
        <w:t xml:space="preserve"> </w:t>
      </w:r>
      <w:r w:rsidRPr="003F1ADA">
        <w:rPr>
          <w:rFonts w:cs="Arial" w:hint="cs"/>
          <w:sz w:val="16"/>
          <w:szCs w:val="16"/>
          <w:rtl/>
        </w:rPr>
        <w:t>(ח"ב סי' שעב)</w:t>
      </w:r>
      <w:r>
        <w:rPr>
          <w:rFonts w:cs="Arial" w:hint="cs"/>
          <w:rtl/>
        </w:rPr>
        <w:t xml:space="preserve"> </w:t>
      </w:r>
      <w:r w:rsidR="00D861AF" w:rsidRPr="00E47E4E">
        <w:rPr>
          <w:rFonts w:cs="Arial"/>
          <w:rtl/>
        </w:rPr>
        <w:t xml:space="preserve">רא"ש </w:t>
      </w:r>
      <w:r w:rsidR="00D861AF" w:rsidRPr="00520E4B">
        <w:rPr>
          <w:rFonts w:cs="Arial"/>
          <w:sz w:val="16"/>
          <w:szCs w:val="16"/>
          <w:rtl/>
        </w:rPr>
        <w:t xml:space="preserve">(סי' ג) </w:t>
      </w:r>
      <w:r>
        <w:rPr>
          <w:rFonts w:cs="Arial" w:hint="cs"/>
          <w:rtl/>
        </w:rPr>
        <w:t>ו</w:t>
      </w:r>
      <w:r w:rsidR="00E47E4E">
        <w:rPr>
          <w:rFonts w:cs="Arial" w:hint="cs"/>
          <w:rtl/>
        </w:rPr>
        <w:t xml:space="preserve">טור- </w:t>
      </w:r>
      <w:r w:rsidR="00E47E4E" w:rsidRPr="00E47E4E">
        <w:rPr>
          <w:rFonts w:cs="Arial"/>
          <w:rtl/>
        </w:rPr>
        <w:t>אע</w:t>
      </w:r>
      <w:r w:rsidR="00783EE4">
        <w:rPr>
          <w:rFonts w:cs="Arial" w:hint="cs"/>
          <w:rtl/>
        </w:rPr>
        <w:t>"</w:t>
      </w:r>
      <w:r w:rsidR="00E47E4E" w:rsidRPr="00E47E4E">
        <w:rPr>
          <w:rFonts w:cs="Arial"/>
          <w:rtl/>
        </w:rPr>
        <w:t>פ שנתרצו בעלי הדינין בפשרה יכולין לחזור בהם כל זמן שלא קנו מידם דפשרה צריכה קנין</w:t>
      </w:r>
      <w:r>
        <w:rPr>
          <w:rStyle w:val="ab"/>
          <w:rFonts w:cs="Arial"/>
          <w:rtl/>
        </w:rPr>
        <w:footnoteReference w:id="642"/>
      </w:r>
      <w:r w:rsidR="00E47E4E" w:rsidRPr="00E47E4E">
        <w:rPr>
          <w:rFonts w:cs="Arial"/>
          <w:rtl/>
        </w:rPr>
        <w:t xml:space="preserve"> אפילו בשלשה</w:t>
      </w:r>
      <w:r>
        <w:rPr>
          <w:rStyle w:val="ab"/>
          <w:rFonts w:cs="Arial"/>
          <w:rtl/>
        </w:rPr>
        <w:footnoteReference w:id="643"/>
      </w:r>
      <w:r w:rsidR="008A5603">
        <w:rPr>
          <w:rFonts w:cs="Arial" w:hint="cs"/>
          <w:rtl/>
        </w:rPr>
        <w:t>.</w:t>
      </w:r>
      <w:r w:rsidR="00E47E4E" w:rsidRPr="00E47E4E">
        <w:rPr>
          <w:rFonts w:cs="Arial"/>
          <w:rtl/>
        </w:rPr>
        <w:t xml:space="preserve"> אבל אם קנו מידם אינם יכולין לחזור בהם אפילו ביחיד</w:t>
      </w:r>
      <w:r w:rsidR="00D861AF">
        <w:rPr>
          <w:rFonts w:cs="Arial" w:hint="cs"/>
          <w:rtl/>
        </w:rPr>
        <w:t>.</w:t>
      </w:r>
      <w:r w:rsidR="00E47E4E" w:rsidRPr="00E47E4E">
        <w:rPr>
          <w:rFonts w:cs="Arial"/>
          <w:rtl/>
        </w:rPr>
        <w:t xml:space="preserve"> אבל מחילה אינה צריכה קנין</w:t>
      </w:r>
      <w:r w:rsidR="002A5A2C">
        <w:rPr>
          <w:rFonts w:cs="Arial" w:hint="cs"/>
          <w:sz w:val="16"/>
          <w:szCs w:val="16"/>
          <w:rtl/>
        </w:rPr>
        <w:t xml:space="preserve"> (ל' הטור)</w:t>
      </w:r>
      <w:r w:rsidR="00E47E4E" w:rsidRPr="00E47E4E">
        <w:rPr>
          <w:rFonts w:cs="Arial"/>
          <w:rtl/>
        </w:rPr>
        <w:t>.</w:t>
      </w:r>
      <w:r w:rsidRPr="001F338A">
        <w:rPr>
          <w:rFonts w:cs="Arial" w:hint="cs"/>
          <w:color w:val="E36C0A" w:themeColor="accent6" w:themeShade="BF"/>
          <w:rtl/>
        </w:rPr>
        <w:t xml:space="preserve"> </w:t>
      </w:r>
      <w:r w:rsidRPr="000363E7">
        <w:rPr>
          <w:rFonts w:cs="Arial" w:hint="cs"/>
          <w:color w:val="E36C0A" w:themeColor="accent6" w:themeShade="BF"/>
          <w:rtl/>
        </w:rPr>
        <w:t>(וכ"</w:t>
      </w:r>
      <w:r>
        <w:rPr>
          <w:rFonts w:cs="Arial" w:hint="cs"/>
          <w:color w:val="E36C0A" w:themeColor="accent6" w:themeShade="BF"/>
          <w:rtl/>
        </w:rPr>
        <w:t>פ</w:t>
      </w:r>
      <w:r w:rsidRPr="000363E7">
        <w:rPr>
          <w:rFonts w:cs="Arial" w:hint="cs"/>
          <w:color w:val="E36C0A" w:themeColor="accent6" w:themeShade="BF"/>
          <w:rtl/>
        </w:rPr>
        <w:t xml:space="preserve"> בשו"ע</w:t>
      </w:r>
      <w:r>
        <w:rPr>
          <w:rFonts w:cs="Arial" w:hint="cs"/>
          <w:sz w:val="16"/>
          <w:szCs w:val="16"/>
          <w:rtl/>
        </w:rPr>
        <w:t xml:space="preserve"> [כאן ובסע' ח]</w:t>
      </w:r>
      <w:r w:rsidRPr="000363E7">
        <w:rPr>
          <w:rFonts w:cs="Arial" w:hint="cs"/>
          <w:color w:val="E36C0A" w:themeColor="accent6" w:themeShade="BF"/>
          <w:rtl/>
        </w:rPr>
        <w:t>)</w:t>
      </w:r>
    </w:p>
    <w:p w14:paraId="07C2AC83" w14:textId="77777777" w:rsidR="002A5A2C" w:rsidRDefault="002A5A2C" w:rsidP="002A5A2C">
      <w:pPr>
        <w:pStyle w:val="ac"/>
        <w:numPr>
          <w:ilvl w:val="0"/>
          <w:numId w:val="8"/>
        </w:numPr>
        <w:rPr>
          <w:rFonts w:cs="Arial"/>
        </w:rPr>
      </w:pPr>
      <w:r w:rsidRPr="00A1569F">
        <w:rPr>
          <w:rFonts w:cs="Arial"/>
          <w:rtl/>
        </w:rPr>
        <w:t xml:space="preserve">רמב"ם </w:t>
      </w:r>
      <w:r w:rsidRPr="00A1569F">
        <w:rPr>
          <w:rFonts w:cs="Arial" w:hint="cs"/>
          <w:sz w:val="16"/>
          <w:szCs w:val="16"/>
          <w:rtl/>
        </w:rPr>
        <w:t>(</w:t>
      </w:r>
      <w:r w:rsidRPr="00A1569F">
        <w:rPr>
          <w:rFonts w:cs="Arial"/>
          <w:sz w:val="16"/>
          <w:szCs w:val="16"/>
          <w:rtl/>
        </w:rPr>
        <w:t>פכ"ב מסנהדרין ה"ה-ו)</w:t>
      </w:r>
      <w:r>
        <w:rPr>
          <w:rFonts w:cs="Arial" w:hint="cs"/>
          <w:rtl/>
        </w:rPr>
        <w:t>-</w:t>
      </w:r>
      <w:r w:rsidRPr="00A1569F">
        <w:rPr>
          <w:rFonts w:cs="Arial"/>
          <w:rtl/>
        </w:rPr>
        <w:t xml:space="preserve"> אע</w:t>
      </w:r>
      <w:r>
        <w:rPr>
          <w:rFonts w:cs="Arial" w:hint="cs"/>
          <w:rtl/>
        </w:rPr>
        <w:t>"</w:t>
      </w:r>
      <w:r w:rsidRPr="00A1569F">
        <w:rPr>
          <w:rFonts w:cs="Arial"/>
          <w:rtl/>
        </w:rPr>
        <w:t>פ שרצו בעלי הדין בפשרה בבית דין יש להם לחזור ולתבוע את הדין עד שיקנו מיד שניהם</w:t>
      </w:r>
      <w:r w:rsidR="00C52143">
        <w:rPr>
          <w:rFonts w:cs="Arial" w:hint="cs"/>
          <w:rtl/>
        </w:rPr>
        <w:t>.</w:t>
      </w:r>
      <w:r w:rsidRPr="00A1569F">
        <w:rPr>
          <w:rFonts w:cs="Arial"/>
          <w:rtl/>
        </w:rPr>
        <w:t xml:space="preserve"> יפה כח פשרה מכח הדין ששני הדיוטות שדנו אין דיניהם דין ויש לבעלי דינין לחזור בהם</w:t>
      </w:r>
      <w:r w:rsidR="008A5603">
        <w:rPr>
          <w:rFonts w:cs="Arial" w:hint="cs"/>
          <w:rtl/>
        </w:rPr>
        <w:t>,</w:t>
      </w:r>
      <w:r w:rsidRPr="00A1569F">
        <w:rPr>
          <w:rFonts w:cs="Arial"/>
          <w:rtl/>
        </w:rPr>
        <w:t xml:space="preserve"> ואם עשו פשרה וקנו מידם אין יכולים לחזור בהם</w:t>
      </w:r>
      <w:r>
        <w:rPr>
          <w:rFonts w:cs="Arial" w:hint="cs"/>
          <w:rtl/>
        </w:rPr>
        <w:t>.</w:t>
      </w:r>
    </w:p>
    <w:p w14:paraId="5260D0D7" w14:textId="77777777" w:rsidR="007B23B1" w:rsidRPr="007B23B1" w:rsidRDefault="007B23B1" w:rsidP="007B23B1">
      <w:pPr>
        <w:pStyle w:val="ac"/>
        <w:numPr>
          <w:ilvl w:val="0"/>
          <w:numId w:val="8"/>
        </w:numPr>
        <w:rPr>
          <w:rFonts w:cs="Arial"/>
        </w:rPr>
      </w:pPr>
      <w:r>
        <w:rPr>
          <w:rFonts w:cs="Arial" w:hint="cs"/>
          <w:rtl/>
        </w:rPr>
        <w:lastRenderedPageBreak/>
        <w:t>בה"ג</w:t>
      </w:r>
      <w:r w:rsidR="00C52143">
        <w:rPr>
          <w:rStyle w:val="ab"/>
          <w:rFonts w:cs="Arial"/>
          <w:rtl/>
        </w:rPr>
        <w:footnoteReference w:id="644"/>
      </w:r>
      <w:r>
        <w:rPr>
          <w:rFonts w:cs="Arial" w:hint="cs"/>
          <w:rtl/>
        </w:rPr>
        <w:t xml:space="preserve"> </w:t>
      </w:r>
      <w:r w:rsidR="00CF6CA9">
        <w:rPr>
          <w:rFonts w:cs="Arial" w:hint="cs"/>
          <w:rtl/>
        </w:rPr>
        <w:t>רב יהודאי גאון</w:t>
      </w:r>
      <w:r w:rsidR="00C52143">
        <w:rPr>
          <w:rFonts w:cs="Arial" w:hint="cs"/>
          <w:rtl/>
        </w:rPr>
        <w:t xml:space="preserve"> </w:t>
      </w:r>
      <w:r w:rsidR="00C52143">
        <w:rPr>
          <w:rFonts w:cs="Arial" w:hint="cs"/>
          <w:sz w:val="16"/>
          <w:szCs w:val="16"/>
          <w:rtl/>
        </w:rPr>
        <w:t>(כ"כ ראב"ן בשמו [עיין בסוף תשובתו])</w:t>
      </w:r>
      <w:r w:rsidR="00CF6CA9">
        <w:rPr>
          <w:rFonts w:cs="Arial" w:hint="cs"/>
          <w:rtl/>
        </w:rPr>
        <w:t xml:space="preserve"> וראב"ן</w:t>
      </w:r>
      <w:r w:rsidR="00CF6CA9">
        <w:rPr>
          <w:rStyle w:val="ab"/>
          <w:rFonts w:cs="Arial"/>
          <w:rtl/>
        </w:rPr>
        <w:footnoteReference w:id="645"/>
      </w:r>
      <w:r w:rsidR="00CF6CA9" w:rsidRPr="00D2672A">
        <w:rPr>
          <w:rFonts w:cs="Arial" w:hint="cs"/>
          <w:sz w:val="16"/>
          <w:szCs w:val="16"/>
          <w:rtl/>
        </w:rPr>
        <w:t xml:space="preserve"> (בתשובה</w:t>
      </w:r>
      <w:r w:rsidR="00CF6CA9">
        <w:rPr>
          <w:rStyle w:val="ab"/>
          <w:rFonts w:cs="Arial"/>
          <w:sz w:val="16"/>
          <w:szCs w:val="16"/>
          <w:rtl/>
        </w:rPr>
        <w:footnoteReference w:id="646"/>
      </w:r>
      <w:r w:rsidR="00CF6CA9" w:rsidRPr="00D2672A">
        <w:rPr>
          <w:rFonts w:cs="Arial" w:hint="cs"/>
          <w:sz w:val="16"/>
          <w:szCs w:val="16"/>
          <w:rtl/>
        </w:rPr>
        <w:t>)</w:t>
      </w:r>
      <w:r>
        <w:rPr>
          <w:rFonts w:cs="Arial" w:hint="cs"/>
          <w:rtl/>
        </w:rPr>
        <w:t>-</w:t>
      </w:r>
      <w:r w:rsidRPr="00182FBC">
        <w:rPr>
          <w:rFonts w:cs="Arial"/>
          <w:rtl/>
        </w:rPr>
        <w:t xml:space="preserve"> </w:t>
      </w:r>
      <w:r w:rsidRPr="007B23B1">
        <w:rPr>
          <w:rFonts w:cs="Arial"/>
          <w:rtl/>
        </w:rPr>
        <w:t>פשרה צריכה קנין שלא בבית דין איירי</w:t>
      </w:r>
      <w:r>
        <w:rPr>
          <w:rFonts w:cs="Arial" w:hint="cs"/>
          <w:rtl/>
        </w:rPr>
        <w:t>,</w:t>
      </w:r>
      <w:r w:rsidRPr="007B23B1">
        <w:rPr>
          <w:rFonts w:cs="Arial"/>
          <w:rtl/>
        </w:rPr>
        <w:t xml:space="preserve"> דאיכא למימר דלמא טע</w:t>
      </w:r>
      <w:r>
        <w:rPr>
          <w:rFonts w:cs="Arial" w:hint="cs"/>
          <w:rtl/>
        </w:rPr>
        <w:t>מא</w:t>
      </w:r>
      <w:r w:rsidRPr="007B23B1">
        <w:rPr>
          <w:rFonts w:cs="Arial"/>
          <w:rtl/>
        </w:rPr>
        <w:t xml:space="preserve"> כיון שלא הוזקקו לדין אלא לפשרה לא אלימי לאפקועי מיניה ממונא בלא קנין</w:t>
      </w:r>
      <w:r>
        <w:rPr>
          <w:rFonts w:cs="Arial" w:hint="cs"/>
          <w:rtl/>
        </w:rPr>
        <w:t>,</w:t>
      </w:r>
      <w:r w:rsidRPr="007B23B1">
        <w:rPr>
          <w:rFonts w:cs="Arial"/>
          <w:rtl/>
        </w:rPr>
        <w:t xml:space="preserve"> אבל כשהוזקקו מתחילה לדין ליכא למימר דבעי קנין לשום אדם</w:t>
      </w:r>
      <w:r w:rsidR="00CF6CA9">
        <w:rPr>
          <w:rFonts w:cs="Arial" w:hint="cs"/>
          <w:rtl/>
        </w:rPr>
        <w:t>,</w:t>
      </w:r>
      <w:r w:rsidRPr="007B23B1">
        <w:rPr>
          <w:rFonts w:cs="Arial"/>
          <w:rtl/>
        </w:rPr>
        <w:t xml:space="preserve"> דודאי אלימ</w:t>
      </w:r>
      <w:r w:rsidR="00CF6CA9">
        <w:rPr>
          <w:rFonts w:cs="Arial" w:hint="cs"/>
          <w:rtl/>
        </w:rPr>
        <w:t>י</w:t>
      </w:r>
      <w:r>
        <w:rPr>
          <w:rStyle w:val="ab"/>
          <w:rFonts w:cs="Arial"/>
          <w:rtl/>
        </w:rPr>
        <w:footnoteReference w:id="647"/>
      </w:r>
      <w:r w:rsidRPr="007B23B1">
        <w:rPr>
          <w:rFonts w:cs="Arial"/>
          <w:rtl/>
        </w:rPr>
        <w:t>.</w:t>
      </w:r>
    </w:p>
    <w:p w14:paraId="6738AB3C" w14:textId="77777777" w:rsidR="002A5A2C" w:rsidRDefault="002A5A2C" w:rsidP="002A5A2C">
      <w:pPr>
        <w:pStyle w:val="ac"/>
        <w:numPr>
          <w:ilvl w:val="0"/>
          <w:numId w:val="8"/>
        </w:numPr>
        <w:rPr>
          <w:rFonts w:cs="Arial"/>
        </w:rPr>
      </w:pPr>
      <w:r w:rsidRPr="009570D7">
        <w:rPr>
          <w:rFonts w:cs="Arial"/>
          <w:rtl/>
        </w:rPr>
        <w:t xml:space="preserve">רבינו יוסף ט"ע </w:t>
      </w:r>
      <w:r>
        <w:rPr>
          <w:rFonts w:cs="Arial" w:hint="cs"/>
          <w:sz w:val="16"/>
          <w:szCs w:val="16"/>
          <w:rtl/>
        </w:rPr>
        <w:t>(</w:t>
      </w:r>
      <w:r w:rsidR="00C52143">
        <w:rPr>
          <w:rFonts w:cs="Arial" w:hint="cs"/>
          <w:sz w:val="16"/>
          <w:szCs w:val="16"/>
          <w:rtl/>
        </w:rPr>
        <w:t>הביאו הראב"ן [שם, והעתיקו דבריו מהר"ם ותשו' מיימוניות שם] והמרדכי [סי' תרעט]</w:t>
      </w:r>
      <w:r>
        <w:rPr>
          <w:rFonts w:cs="Arial" w:hint="cs"/>
          <w:sz w:val="16"/>
          <w:szCs w:val="16"/>
          <w:rtl/>
        </w:rPr>
        <w:t>)</w:t>
      </w:r>
      <w:r>
        <w:rPr>
          <w:rFonts w:cs="Arial" w:hint="cs"/>
          <w:rtl/>
        </w:rPr>
        <w:t xml:space="preserve">- </w:t>
      </w:r>
      <w:r w:rsidRPr="009570D7">
        <w:rPr>
          <w:rFonts w:cs="Arial"/>
          <w:rtl/>
        </w:rPr>
        <w:t xml:space="preserve">בשלשה </w:t>
      </w:r>
      <w:r w:rsidR="00C52143">
        <w:rPr>
          <w:rFonts w:cs="Arial" w:hint="cs"/>
          <w:rtl/>
        </w:rPr>
        <w:t xml:space="preserve">פשרנים </w:t>
      </w:r>
      <w:r w:rsidRPr="009570D7">
        <w:rPr>
          <w:rFonts w:cs="Arial"/>
          <w:rtl/>
        </w:rPr>
        <w:t>לא בעי קנין</w:t>
      </w:r>
      <w:r>
        <w:rPr>
          <w:rFonts w:cs="Arial" w:hint="cs"/>
          <w:rtl/>
        </w:rPr>
        <w:t>,</w:t>
      </w:r>
      <w:r w:rsidRPr="009570D7">
        <w:rPr>
          <w:rFonts w:cs="Arial"/>
          <w:rtl/>
        </w:rPr>
        <w:t xml:space="preserve"> וכ"ש אם הדבר נעשה במעמד אנשי טובי העיר</w:t>
      </w:r>
      <w:r>
        <w:rPr>
          <w:rFonts w:cs="Arial" w:hint="cs"/>
          <w:rtl/>
        </w:rPr>
        <w:t>.</w:t>
      </w:r>
      <w:r w:rsidRPr="009570D7">
        <w:rPr>
          <w:rFonts w:cs="Arial"/>
          <w:rtl/>
        </w:rPr>
        <w:t xml:space="preserve"> ופשרה ביחיד מקויימת אם יש שם קנין</w:t>
      </w:r>
      <w:r w:rsidR="00C52143">
        <w:rPr>
          <w:rFonts w:cs="Arial" w:hint="cs"/>
          <w:sz w:val="16"/>
          <w:szCs w:val="16"/>
          <w:rtl/>
        </w:rPr>
        <w:t xml:space="preserve"> (ל' המרדכי בשמו)</w:t>
      </w:r>
      <w:r>
        <w:rPr>
          <w:rFonts w:cs="Arial" w:hint="cs"/>
          <w:rtl/>
        </w:rPr>
        <w:t>.</w:t>
      </w:r>
    </w:p>
    <w:p w14:paraId="040E028E" w14:textId="77777777" w:rsidR="00472D05" w:rsidRPr="00472D05" w:rsidRDefault="00472D05" w:rsidP="00472D05">
      <w:pPr>
        <w:ind w:left="360"/>
        <w:rPr>
          <w:rFonts w:cs="Arial"/>
          <w:rtl/>
        </w:rPr>
      </w:pPr>
      <w:r w:rsidRPr="00472D05">
        <w:rPr>
          <w:rFonts w:cs="Arial" w:hint="cs"/>
          <w:u w:val="dotted"/>
          <w:rtl/>
        </w:rPr>
        <w:t>הא</w:t>
      </w:r>
      <w:r w:rsidR="00E96585">
        <w:rPr>
          <w:rFonts w:cs="Arial" w:hint="cs"/>
          <w:u w:val="dotted"/>
          <w:rtl/>
        </w:rPr>
        <w:t xml:space="preserve"> ד</w:t>
      </w:r>
      <w:r>
        <w:rPr>
          <w:rFonts w:cs="Arial" w:hint="cs"/>
          <w:u w:val="dotted"/>
          <w:rtl/>
        </w:rPr>
        <w:t xml:space="preserve">פשרה </w:t>
      </w:r>
      <w:r w:rsidR="00E96585">
        <w:rPr>
          <w:rFonts w:cs="Arial" w:hint="cs"/>
          <w:u w:val="dotted"/>
          <w:rtl/>
        </w:rPr>
        <w:t xml:space="preserve">צריכה קנין </w:t>
      </w:r>
      <w:r w:rsidR="00E96585">
        <w:rPr>
          <w:rFonts w:cs="Arial"/>
          <w:u w:val="dotted"/>
          <w:rtl/>
        </w:rPr>
        <w:t>–</w:t>
      </w:r>
      <w:r w:rsidR="00E96585">
        <w:rPr>
          <w:rFonts w:cs="Arial" w:hint="cs"/>
          <w:u w:val="dotted"/>
          <w:rtl/>
        </w:rPr>
        <w:t xml:space="preserve"> האם גם הצד </w:t>
      </w:r>
      <w:r w:rsidR="00520E4B">
        <w:rPr>
          <w:rFonts w:cs="Arial" w:hint="cs"/>
          <w:u w:val="dotted"/>
          <w:rtl/>
        </w:rPr>
        <w:t>ש</w:t>
      </w:r>
      <w:r w:rsidR="00E96585">
        <w:rPr>
          <w:rFonts w:cs="Arial" w:hint="cs"/>
          <w:u w:val="dotted"/>
          <w:rtl/>
        </w:rPr>
        <w:t xml:space="preserve">מוחל </w:t>
      </w:r>
      <w:r w:rsidR="00520E4B">
        <w:rPr>
          <w:rFonts w:cs="Arial" w:hint="cs"/>
          <w:sz w:val="16"/>
          <w:szCs w:val="16"/>
          <w:u w:val="dotted"/>
          <w:rtl/>
        </w:rPr>
        <w:t xml:space="preserve">(התובע) </w:t>
      </w:r>
      <w:r>
        <w:rPr>
          <w:rFonts w:cs="Arial" w:hint="cs"/>
          <w:u w:val="dotted"/>
          <w:rtl/>
        </w:rPr>
        <w:t>צרי</w:t>
      </w:r>
      <w:r w:rsidR="00E96585">
        <w:rPr>
          <w:rFonts w:cs="Arial" w:hint="cs"/>
          <w:u w:val="dotted"/>
          <w:rtl/>
        </w:rPr>
        <w:t>ך</w:t>
      </w:r>
      <w:r>
        <w:rPr>
          <w:rFonts w:cs="Arial" w:hint="cs"/>
          <w:u w:val="dotted"/>
          <w:rtl/>
        </w:rPr>
        <w:t xml:space="preserve"> לעשות קנין</w:t>
      </w:r>
      <w:r w:rsidR="00520E4B">
        <w:rPr>
          <w:rFonts w:cs="Arial" w:hint="cs"/>
          <w:u w:val="dotted"/>
          <w:rtl/>
        </w:rPr>
        <w:t xml:space="preserve"> או שרק המשלם </w:t>
      </w:r>
      <w:r w:rsidR="00520E4B">
        <w:rPr>
          <w:rFonts w:cs="Arial" w:hint="cs"/>
          <w:sz w:val="16"/>
          <w:szCs w:val="16"/>
          <w:u w:val="dotted"/>
          <w:rtl/>
        </w:rPr>
        <w:t xml:space="preserve">(הנתבע) </w:t>
      </w:r>
      <w:r w:rsidR="00520E4B">
        <w:rPr>
          <w:rFonts w:cs="Arial" w:hint="cs"/>
          <w:u w:val="dotted"/>
          <w:rtl/>
        </w:rPr>
        <w:t>צריך</w:t>
      </w:r>
      <w:r w:rsidRPr="00472D05">
        <w:rPr>
          <w:rFonts w:cs="Arial" w:hint="cs"/>
          <w:u w:val="dotted"/>
          <w:rtl/>
        </w:rPr>
        <w:t>:</w:t>
      </w:r>
    </w:p>
    <w:p w14:paraId="2884A853" w14:textId="77777777" w:rsidR="00A605DC" w:rsidRDefault="00520E4B" w:rsidP="00472D05">
      <w:pPr>
        <w:pStyle w:val="ac"/>
        <w:numPr>
          <w:ilvl w:val="0"/>
          <w:numId w:val="8"/>
        </w:numPr>
        <w:rPr>
          <w:rFonts w:cs="Arial"/>
        </w:rPr>
      </w:pPr>
      <w:r>
        <w:rPr>
          <w:rFonts w:cs="Arial" w:hint="cs"/>
          <w:rtl/>
        </w:rPr>
        <w:t>תוס'</w:t>
      </w:r>
      <w:r>
        <w:rPr>
          <w:rFonts w:cs="Arial" w:hint="cs"/>
          <w:sz w:val="16"/>
          <w:szCs w:val="16"/>
          <w:rtl/>
        </w:rPr>
        <w:t xml:space="preserve"> (סנהדרין שם)</w:t>
      </w:r>
      <w:r>
        <w:rPr>
          <w:rFonts w:cs="Arial" w:hint="cs"/>
          <w:rtl/>
        </w:rPr>
        <w:t xml:space="preserve">- </w:t>
      </w:r>
      <w:r w:rsidRPr="00FA5F47">
        <w:rPr>
          <w:rFonts w:cs="Arial"/>
          <w:rtl/>
        </w:rPr>
        <w:t>אם נפרש דקנין של פשרה עושין קודם הפשרה וקונין זה מזה לעשות כמו שיאמרו הדיינין הן לשלם הן למחול</w:t>
      </w:r>
      <w:r>
        <w:rPr>
          <w:rFonts w:cs="Arial" w:hint="cs"/>
          <w:rtl/>
        </w:rPr>
        <w:t>...</w:t>
      </w:r>
      <w:r w:rsidRPr="00FA5F47">
        <w:rPr>
          <w:rFonts w:cs="Arial"/>
          <w:rtl/>
        </w:rPr>
        <w:t xml:space="preserve"> </w:t>
      </w:r>
      <w:r>
        <w:rPr>
          <w:rFonts w:cs="Arial" w:hint="cs"/>
          <w:rtl/>
        </w:rPr>
        <w:t xml:space="preserve">- </w:t>
      </w:r>
      <w:r w:rsidRPr="00FA5F47">
        <w:rPr>
          <w:rFonts w:cs="Arial"/>
          <w:rtl/>
        </w:rPr>
        <w:t>צריך הכא קנין על המחילה</w:t>
      </w:r>
      <w:r>
        <w:rPr>
          <w:rStyle w:val="ab"/>
          <w:rFonts w:cs="Arial"/>
          <w:rtl/>
        </w:rPr>
        <w:footnoteReference w:id="648"/>
      </w:r>
      <w:r>
        <w:rPr>
          <w:rFonts w:cs="Arial" w:hint="cs"/>
          <w:rtl/>
        </w:rPr>
        <w:t>.</w:t>
      </w:r>
      <w:r w:rsidRPr="00FA5F47">
        <w:rPr>
          <w:rFonts w:cs="Arial"/>
          <w:rtl/>
        </w:rPr>
        <w:t xml:space="preserve"> </w:t>
      </w:r>
      <w:r>
        <w:rPr>
          <w:rFonts w:cs="Arial" w:hint="cs"/>
          <w:rtl/>
        </w:rPr>
        <w:t>ו</w:t>
      </w:r>
      <w:r w:rsidRPr="00FA5F47">
        <w:rPr>
          <w:rFonts w:cs="Arial"/>
          <w:rtl/>
        </w:rPr>
        <w:t>אם נפרש שהקנין הוא לאחר הפשרה</w:t>
      </w:r>
      <w:r>
        <w:rPr>
          <w:rFonts w:cs="Arial" w:hint="cs"/>
          <w:rtl/>
        </w:rPr>
        <w:t>...</w:t>
      </w:r>
      <w:r w:rsidRPr="00FA5F47">
        <w:rPr>
          <w:rFonts w:cs="Arial"/>
          <w:rtl/>
        </w:rPr>
        <w:t xml:space="preserve"> </w:t>
      </w:r>
      <w:r>
        <w:rPr>
          <w:rFonts w:cs="Arial" w:hint="cs"/>
          <w:rtl/>
        </w:rPr>
        <w:t xml:space="preserve">- </w:t>
      </w:r>
      <w:r w:rsidRPr="00FA5F47">
        <w:rPr>
          <w:rFonts w:cs="Arial"/>
          <w:rtl/>
        </w:rPr>
        <w:t>מצי למימר דהקנין על אותו שיש לו לאחר לפרוע אבל להאי דמחיל אין צריך קנין</w:t>
      </w:r>
      <w:r w:rsidR="000B4C01">
        <w:rPr>
          <w:rFonts w:cs="Arial" w:hint="cs"/>
          <w:rtl/>
        </w:rPr>
        <w:t xml:space="preserve">. </w:t>
      </w:r>
      <w:r w:rsidR="000B4C01" w:rsidRPr="000B4C01">
        <w:rPr>
          <w:rFonts w:cs="Arial"/>
          <w:rtl/>
        </w:rPr>
        <w:t>ומיהו בהלכות גדולות פירש בהלכות דינין דצריך קנין על המחילה אע</w:t>
      </w:r>
      <w:r w:rsidR="007E0450">
        <w:rPr>
          <w:rFonts w:cs="Arial" w:hint="cs"/>
          <w:rtl/>
        </w:rPr>
        <w:t>"</w:t>
      </w:r>
      <w:r w:rsidR="000B4C01" w:rsidRPr="000B4C01">
        <w:rPr>
          <w:rFonts w:cs="Arial"/>
          <w:rtl/>
        </w:rPr>
        <w:t>פ שעושין הקנין אחר הפשרה</w:t>
      </w:r>
      <w:r w:rsidR="000B4C01">
        <w:rPr>
          <w:rFonts w:cs="Arial" w:hint="cs"/>
          <w:rtl/>
        </w:rPr>
        <w:t>.</w:t>
      </w:r>
    </w:p>
    <w:p w14:paraId="043A4E79" w14:textId="77777777" w:rsidR="00520E4B" w:rsidRDefault="003928A2" w:rsidP="00472D05">
      <w:pPr>
        <w:pStyle w:val="ac"/>
        <w:numPr>
          <w:ilvl w:val="0"/>
          <w:numId w:val="8"/>
        </w:numPr>
        <w:rPr>
          <w:rFonts w:cs="Arial"/>
        </w:rPr>
      </w:pPr>
      <w:r>
        <w:rPr>
          <w:rFonts w:cs="Arial" w:hint="cs"/>
          <w:rtl/>
        </w:rPr>
        <w:t>רא"ש</w:t>
      </w:r>
      <w:r>
        <w:rPr>
          <w:rFonts w:cs="Arial" w:hint="cs"/>
          <w:sz w:val="16"/>
          <w:szCs w:val="16"/>
          <w:rtl/>
        </w:rPr>
        <w:t xml:space="preserve"> (</w:t>
      </w:r>
      <w:r w:rsidR="007E0450">
        <w:rPr>
          <w:rFonts w:cs="Arial" w:hint="cs"/>
          <w:sz w:val="16"/>
          <w:szCs w:val="16"/>
          <w:rtl/>
        </w:rPr>
        <w:t>ב"מ פ"ט סי' מג</w:t>
      </w:r>
      <w:r>
        <w:rPr>
          <w:rFonts w:cs="Arial" w:hint="cs"/>
          <w:sz w:val="16"/>
          <w:szCs w:val="16"/>
          <w:rtl/>
        </w:rPr>
        <w:t>)</w:t>
      </w:r>
      <w:r>
        <w:rPr>
          <w:rFonts w:cs="Arial" w:hint="cs"/>
          <w:rtl/>
        </w:rPr>
        <w:t xml:space="preserve">- </w:t>
      </w:r>
      <w:r w:rsidR="00A605DC" w:rsidRPr="00A605DC">
        <w:rPr>
          <w:rFonts w:cs="Arial"/>
          <w:rtl/>
        </w:rPr>
        <w:t>שניהם צריכים להקנות זה שימחול לו חצי וזה שיפרע לו חצי</w:t>
      </w:r>
      <w:r>
        <w:rPr>
          <w:rStyle w:val="ab"/>
          <w:rFonts w:cs="Arial"/>
          <w:rtl/>
        </w:rPr>
        <w:footnoteReference w:id="649"/>
      </w:r>
      <w:r>
        <w:rPr>
          <w:rFonts w:cs="Arial" w:hint="cs"/>
          <w:rtl/>
        </w:rPr>
        <w:t>...</w:t>
      </w:r>
      <w:r w:rsidR="00A605DC" w:rsidRPr="00A605DC">
        <w:rPr>
          <w:rFonts w:cs="Arial"/>
          <w:rtl/>
        </w:rPr>
        <w:t xml:space="preserve"> ועוד י"ל דהא דבעי קנין משום דלא יסרבו לקיים הפשרה ולא מטעם המחילה</w:t>
      </w:r>
      <w:r>
        <w:rPr>
          <w:rFonts w:cs="Arial" w:hint="cs"/>
          <w:rtl/>
        </w:rPr>
        <w:t>.</w:t>
      </w:r>
      <w:r w:rsidR="000B4C01" w:rsidRPr="000B4C01">
        <w:rPr>
          <w:rFonts w:cs="Arial"/>
          <w:rtl/>
        </w:rPr>
        <w:t xml:space="preserve"> </w:t>
      </w:r>
    </w:p>
    <w:p w14:paraId="4BE13506" w14:textId="77777777" w:rsidR="00472D05" w:rsidRPr="00783EE4" w:rsidRDefault="00472D05" w:rsidP="00472D05">
      <w:pPr>
        <w:pStyle w:val="ac"/>
        <w:numPr>
          <w:ilvl w:val="0"/>
          <w:numId w:val="8"/>
        </w:numPr>
        <w:rPr>
          <w:rFonts w:cs="Arial"/>
        </w:rPr>
      </w:pPr>
      <w:r w:rsidRPr="00B753E7">
        <w:rPr>
          <w:rFonts w:cs="Arial"/>
          <w:rtl/>
        </w:rPr>
        <w:t>ראב"ן</w:t>
      </w:r>
      <w:r w:rsidR="00FE4378">
        <w:rPr>
          <w:rFonts w:cs="Arial" w:hint="cs"/>
          <w:rtl/>
        </w:rPr>
        <w:t xml:space="preserve"> </w:t>
      </w:r>
      <w:r>
        <w:rPr>
          <w:rFonts w:cs="Arial" w:hint="cs"/>
          <w:rtl/>
        </w:rPr>
        <w:t xml:space="preserve">ר' יואל הלוי </w:t>
      </w:r>
      <w:r w:rsidR="00FE4378">
        <w:rPr>
          <w:rFonts w:cs="Arial" w:hint="cs"/>
          <w:rtl/>
        </w:rPr>
        <w:t>ו</w:t>
      </w:r>
      <w:r w:rsidRPr="00B753E7">
        <w:rPr>
          <w:rFonts w:cs="Arial"/>
          <w:rtl/>
        </w:rPr>
        <w:t>ראבי"ה</w:t>
      </w:r>
      <w:r w:rsidR="00FE4378">
        <w:rPr>
          <w:rStyle w:val="ab"/>
          <w:rFonts w:cs="Arial"/>
          <w:rtl/>
        </w:rPr>
        <w:footnoteReference w:id="650"/>
      </w:r>
      <w:r w:rsidRPr="00783EE4">
        <w:rPr>
          <w:rFonts w:cs="Arial" w:hint="cs"/>
          <w:rtl/>
        </w:rPr>
        <w:t xml:space="preserve">- </w:t>
      </w:r>
      <w:r w:rsidRPr="00783EE4">
        <w:rPr>
          <w:rFonts w:cs="Arial"/>
          <w:rtl/>
        </w:rPr>
        <w:t>מה ש</w:t>
      </w:r>
      <w:r>
        <w:rPr>
          <w:rFonts w:cs="Arial" w:hint="cs"/>
          <w:rtl/>
        </w:rPr>
        <w:t xml:space="preserve">פשרה </w:t>
      </w:r>
      <w:r w:rsidRPr="00783EE4">
        <w:rPr>
          <w:rFonts w:cs="Arial"/>
          <w:rtl/>
        </w:rPr>
        <w:t>צריכה קנין הני מילי כדי שלא יוכל לחזור בו הנותן</w:t>
      </w:r>
      <w:r>
        <w:rPr>
          <w:rFonts w:cs="Arial" w:hint="cs"/>
          <w:rtl/>
        </w:rPr>
        <w:t>,</w:t>
      </w:r>
      <w:r w:rsidRPr="00783EE4">
        <w:rPr>
          <w:rFonts w:cs="Arial"/>
          <w:rtl/>
        </w:rPr>
        <w:t xml:space="preserve"> דהיינו הנתבע</w:t>
      </w:r>
      <w:r>
        <w:rPr>
          <w:rFonts w:cs="Arial" w:hint="cs"/>
          <w:rtl/>
        </w:rPr>
        <w:t>,</w:t>
      </w:r>
      <w:r w:rsidRPr="00783EE4">
        <w:rPr>
          <w:rFonts w:cs="Arial"/>
          <w:rtl/>
        </w:rPr>
        <w:t xml:space="preserve"> אבל התובע אין יכול לחזור בו אפילו בלא קנין</w:t>
      </w:r>
      <w:r>
        <w:rPr>
          <w:rFonts w:cs="Arial" w:hint="cs"/>
          <w:rtl/>
        </w:rPr>
        <w:t>,</w:t>
      </w:r>
      <w:r w:rsidRPr="00783EE4">
        <w:rPr>
          <w:rFonts w:cs="Arial"/>
          <w:rtl/>
        </w:rPr>
        <w:t xml:space="preserve"> דמחילה אינה צריכה קנין.</w:t>
      </w:r>
      <w:r w:rsidR="009170CA">
        <w:rPr>
          <w:rFonts w:cs="Arial" w:hint="cs"/>
          <w:rtl/>
        </w:rPr>
        <w:t>..</w:t>
      </w:r>
      <w:r w:rsidRPr="00783EE4">
        <w:rPr>
          <w:rFonts w:cs="Arial"/>
          <w:rtl/>
        </w:rPr>
        <w:t xml:space="preserve"> </w:t>
      </w:r>
      <w:r w:rsidR="009170CA" w:rsidRPr="009170CA">
        <w:rPr>
          <w:rFonts w:cs="Arial"/>
          <w:rtl/>
        </w:rPr>
        <w:t xml:space="preserve">ומיהו אם כבר שמעו הפשרה ושתקו ושוב בא לתבוע המותר </w:t>
      </w:r>
      <w:r w:rsidR="009170CA">
        <w:rPr>
          <w:rFonts w:cs="Arial" w:hint="cs"/>
          <w:rtl/>
        </w:rPr>
        <w:t xml:space="preserve">- </w:t>
      </w:r>
      <w:r w:rsidR="009170CA" w:rsidRPr="009170CA">
        <w:rPr>
          <w:rFonts w:cs="Arial"/>
          <w:rtl/>
        </w:rPr>
        <w:t>לא מצי תבע</w:t>
      </w:r>
      <w:r w:rsidR="009170CA">
        <w:rPr>
          <w:rFonts w:cs="Arial" w:hint="cs"/>
          <w:rtl/>
        </w:rPr>
        <w:t>.</w:t>
      </w:r>
      <w:r w:rsidR="009170CA" w:rsidRPr="009170CA">
        <w:rPr>
          <w:rFonts w:cs="Arial"/>
          <w:rtl/>
        </w:rPr>
        <w:t xml:space="preserve"> </w:t>
      </w:r>
    </w:p>
    <w:p w14:paraId="19BC0272" w14:textId="77777777" w:rsidR="00472D05" w:rsidRPr="003928A2" w:rsidRDefault="00472D05" w:rsidP="003928A2">
      <w:pPr>
        <w:pStyle w:val="ac"/>
        <w:numPr>
          <w:ilvl w:val="0"/>
          <w:numId w:val="8"/>
        </w:numPr>
        <w:rPr>
          <w:rFonts w:cs="Arial"/>
        </w:rPr>
      </w:pPr>
      <w:r>
        <w:rPr>
          <w:rFonts w:cs="Arial" w:hint="cs"/>
          <w:rtl/>
        </w:rPr>
        <w:t>בה"ג</w:t>
      </w:r>
      <w:r>
        <w:rPr>
          <w:rFonts w:cs="Arial" w:hint="cs"/>
          <w:sz w:val="16"/>
          <w:szCs w:val="16"/>
          <w:rtl/>
        </w:rPr>
        <w:t xml:space="preserve"> </w:t>
      </w:r>
      <w:r w:rsidR="003928A2">
        <w:rPr>
          <w:rFonts w:cs="Arial" w:hint="cs"/>
          <w:rtl/>
        </w:rPr>
        <w:t>ו</w:t>
      </w:r>
      <w:r w:rsidR="003928A2" w:rsidRPr="00B753E7">
        <w:rPr>
          <w:rFonts w:cs="Arial"/>
          <w:rtl/>
        </w:rPr>
        <w:t>רב צמח</w:t>
      </w:r>
      <w:r w:rsidR="003928A2">
        <w:rPr>
          <w:rFonts w:cs="Arial" w:hint="cs"/>
          <w:rtl/>
        </w:rPr>
        <w:t xml:space="preserve"> גאון </w:t>
      </w:r>
      <w:r>
        <w:rPr>
          <w:rFonts w:cs="Arial" w:hint="cs"/>
          <w:sz w:val="16"/>
          <w:szCs w:val="16"/>
          <w:rtl/>
        </w:rPr>
        <w:t>(כ"כ ראבי"ה בשמ</w:t>
      </w:r>
      <w:r w:rsidR="003928A2">
        <w:rPr>
          <w:rFonts w:cs="Arial" w:hint="cs"/>
          <w:sz w:val="16"/>
          <w:szCs w:val="16"/>
          <w:rtl/>
        </w:rPr>
        <w:t>ם</w:t>
      </w:r>
      <w:r>
        <w:rPr>
          <w:rFonts w:cs="Arial" w:hint="cs"/>
          <w:sz w:val="16"/>
          <w:szCs w:val="16"/>
          <w:rtl/>
        </w:rPr>
        <w:t xml:space="preserve"> [הביאוהו ההגה"מ והמרדכי שם])</w:t>
      </w:r>
      <w:r>
        <w:rPr>
          <w:rFonts w:cs="Arial" w:hint="cs"/>
          <w:rtl/>
        </w:rPr>
        <w:t xml:space="preserve">- </w:t>
      </w:r>
      <w:r w:rsidRPr="00B753E7">
        <w:rPr>
          <w:rFonts w:cs="Arial"/>
          <w:rtl/>
        </w:rPr>
        <w:t>אפילו המוחל צריך קנין</w:t>
      </w:r>
      <w:r>
        <w:rPr>
          <w:rStyle w:val="ab"/>
          <w:rFonts w:cs="Arial"/>
          <w:rtl/>
        </w:rPr>
        <w:footnoteReference w:id="651"/>
      </w:r>
      <w:r w:rsidR="003928A2">
        <w:rPr>
          <w:rFonts w:cs="Arial" w:hint="cs"/>
          <w:rtl/>
        </w:rPr>
        <w:t>.</w:t>
      </w:r>
    </w:p>
    <w:p w14:paraId="5CB68C08" w14:textId="77777777" w:rsidR="00E96585" w:rsidRPr="00E96585" w:rsidRDefault="002A5A2C" w:rsidP="00E96585">
      <w:pPr>
        <w:ind w:left="360"/>
        <w:rPr>
          <w:rFonts w:cs="Arial"/>
          <w:u w:val="dotted"/>
        </w:rPr>
      </w:pPr>
      <w:r>
        <w:rPr>
          <w:rFonts w:cs="Arial" w:hint="cs"/>
          <w:u w:val="dotted"/>
          <w:rtl/>
        </w:rPr>
        <w:t>ב</w:t>
      </w:r>
      <w:r w:rsidR="00FE4378">
        <w:rPr>
          <w:rFonts w:cs="Arial" w:hint="cs"/>
          <w:u w:val="dotted"/>
          <w:rtl/>
        </w:rPr>
        <w:t>מקרים/לדעות שהמוחל צריך גם לעשות קנין</w:t>
      </w:r>
      <w:r w:rsidR="00E96585" w:rsidRPr="00E96585">
        <w:rPr>
          <w:rFonts w:cs="Arial" w:hint="cs"/>
          <w:u w:val="dotted"/>
          <w:rtl/>
        </w:rPr>
        <w:t xml:space="preserve"> </w:t>
      </w:r>
      <w:r w:rsidR="00E96585" w:rsidRPr="00E96585">
        <w:rPr>
          <w:rFonts w:cs="Arial"/>
          <w:u w:val="dotted"/>
          <w:rtl/>
        </w:rPr>
        <w:t>–</w:t>
      </w:r>
      <w:r w:rsidR="00E96585" w:rsidRPr="00E96585">
        <w:rPr>
          <w:rFonts w:cs="Arial" w:hint="cs"/>
          <w:u w:val="dotted"/>
          <w:rtl/>
        </w:rPr>
        <w:t xml:space="preserve"> האם </w:t>
      </w:r>
      <w:r w:rsidR="00FE4378">
        <w:rPr>
          <w:rFonts w:cs="Arial" w:hint="cs"/>
          <w:u w:val="dotted"/>
          <w:rtl/>
        </w:rPr>
        <w:t>גם כשאינו יכול לחזור צריך המוחל לעשות קנין</w:t>
      </w:r>
      <w:r w:rsidR="00E96585" w:rsidRPr="00E96585">
        <w:rPr>
          <w:rFonts w:cs="Arial" w:hint="cs"/>
          <w:u w:val="dotted"/>
          <w:rtl/>
        </w:rPr>
        <w:t>:</w:t>
      </w:r>
    </w:p>
    <w:p w14:paraId="6226E6B8" w14:textId="77777777" w:rsidR="00E96585" w:rsidRDefault="00E96585" w:rsidP="00E96585">
      <w:pPr>
        <w:pStyle w:val="ac"/>
        <w:numPr>
          <w:ilvl w:val="0"/>
          <w:numId w:val="8"/>
        </w:numPr>
        <w:rPr>
          <w:rFonts w:cs="Arial"/>
        </w:rPr>
      </w:pPr>
      <w:r w:rsidRPr="00566CC6">
        <w:rPr>
          <w:rFonts w:cs="Arial"/>
          <w:rtl/>
        </w:rPr>
        <w:t>הר"ר ישעיה</w:t>
      </w:r>
      <w:r>
        <w:rPr>
          <w:rFonts w:cs="Arial" w:hint="cs"/>
          <w:sz w:val="16"/>
          <w:szCs w:val="16"/>
          <w:rtl/>
        </w:rPr>
        <w:t xml:space="preserve"> (כ"כ הטור בשמו)</w:t>
      </w:r>
      <w:r>
        <w:rPr>
          <w:rFonts w:cs="Arial" w:hint="cs"/>
          <w:rtl/>
        </w:rPr>
        <w:t xml:space="preserve">- </w:t>
      </w:r>
      <w:r w:rsidRPr="00587AD4">
        <w:rPr>
          <w:rFonts w:cs="Arial"/>
          <w:rtl/>
        </w:rPr>
        <w:t>מה שצריכין קנין דוקא במידי דמצי למיהדר ביה כגון אתן לך</w:t>
      </w:r>
      <w:r w:rsidR="00682D77">
        <w:rPr>
          <w:rFonts w:cs="Arial" w:hint="cs"/>
          <w:rtl/>
        </w:rPr>
        <w:t>,</w:t>
      </w:r>
      <w:r w:rsidRPr="00587AD4">
        <w:rPr>
          <w:rFonts w:cs="Arial"/>
          <w:rtl/>
        </w:rPr>
        <w:t xml:space="preserve"> או במחול לך ותפיש שטרא</w:t>
      </w:r>
      <w:r w:rsidR="00682D77">
        <w:rPr>
          <w:rFonts w:cs="Arial" w:hint="cs"/>
          <w:rtl/>
        </w:rPr>
        <w:t>.</w:t>
      </w:r>
      <w:r w:rsidRPr="00587AD4">
        <w:rPr>
          <w:rFonts w:cs="Arial"/>
          <w:rtl/>
        </w:rPr>
        <w:t xml:space="preserve"> אבל במחול לך ולא תפיש שטרא </w:t>
      </w:r>
      <w:r w:rsidR="00682D77">
        <w:rPr>
          <w:rFonts w:cs="Arial" w:hint="cs"/>
          <w:rtl/>
        </w:rPr>
        <w:t xml:space="preserve">- </w:t>
      </w:r>
      <w:r w:rsidRPr="00587AD4">
        <w:rPr>
          <w:rFonts w:cs="Arial"/>
          <w:rtl/>
        </w:rPr>
        <w:t>אינה צריכה קנין</w:t>
      </w:r>
      <w:r>
        <w:rPr>
          <w:rStyle w:val="ab"/>
          <w:rFonts w:cs="Arial"/>
          <w:rtl/>
        </w:rPr>
        <w:footnoteReference w:id="652"/>
      </w:r>
      <w:r w:rsidRPr="00587AD4">
        <w:rPr>
          <w:rFonts w:cs="Arial"/>
          <w:rtl/>
        </w:rPr>
        <w:t xml:space="preserve"> </w:t>
      </w:r>
      <w:r>
        <w:rPr>
          <w:rFonts w:cs="Arial" w:hint="cs"/>
          <w:sz w:val="16"/>
          <w:szCs w:val="16"/>
          <w:rtl/>
        </w:rPr>
        <w:t>(ל' הטור בשמו)</w:t>
      </w:r>
      <w:r>
        <w:rPr>
          <w:rFonts w:cs="Arial" w:hint="cs"/>
          <w:rtl/>
        </w:rPr>
        <w:t>.</w:t>
      </w:r>
      <w:r w:rsidR="001F338A" w:rsidRPr="001F338A">
        <w:rPr>
          <w:rFonts w:cs="Arial" w:hint="cs"/>
          <w:rtl/>
        </w:rPr>
        <w:t xml:space="preserve"> </w:t>
      </w:r>
      <w:r w:rsidR="001F338A">
        <w:rPr>
          <w:rFonts w:cs="Arial" w:hint="cs"/>
          <w:rtl/>
        </w:rPr>
        <w:t>(וכ"פ הסמ"ע</w:t>
      </w:r>
      <w:r w:rsidR="001F338A">
        <w:rPr>
          <w:rFonts w:cs="Arial" w:hint="cs"/>
          <w:sz w:val="16"/>
          <w:szCs w:val="16"/>
          <w:rtl/>
        </w:rPr>
        <w:t xml:space="preserve"> [סקכ"א]</w:t>
      </w:r>
      <w:r w:rsidR="001F338A">
        <w:rPr>
          <w:rFonts w:cs="Arial" w:hint="cs"/>
          <w:rtl/>
        </w:rPr>
        <w:t>)</w:t>
      </w:r>
    </w:p>
    <w:p w14:paraId="096E1C8E" w14:textId="77777777" w:rsidR="00E96585" w:rsidRDefault="00FE4378" w:rsidP="00E96585">
      <w:pPr>
        <w:pStyle w:val="ac"/>
        <w:numPr>
          <w:ilvl w:val="0"/>
          <w:numId w:val="8"/>
        </w:numPr>
        <w:rPr>
          <w:rFonts w:cs="Arial"/>
        </w:rPr>
      </w:pPr>
      <w:r>
        <w:rPr>
          <w:rFonts w:cs="Arial" w:hint="cs"/>
          <w:rtl/>
        </w:rPr>
        <w:lastRenderedPageBreak/>
        <w:t>טור</w:t>
      </w:r>
      <w:r w:rsidR="00E96585">
        <w:rPr>
          <w:rFonts w:cs="Arial" w:hint="cs"/>
          <w:rtl/>
        </w:rPr>
        <w:t>- א</w:t>
      </w:r>
      <w:r>
        <w:rPr>
          <w:rFonts w:cs="Arial" w:hint="cs"/>
          <w:rtl/>
        </w:rPr>
        <w:t>דוני אבי הרא"ש ז"ל לא חילק</w:t>
      </w:r>
      <w:r w:rsidR="00E96585">
        <w:rPr>
          <w:rStyle w:val="ab"/>
          <w:rFonts w:cs="Arial"/>
          <w:rtl/>
        </w:rPr>
        <w:footnoteReference w:id="653"/>
      </w:r>
      <w:r w:rsidR="00E96585" w:rsidRPr="00566CC6">
        <w:rPr>
          <w:rFonts w:cs="Arial" w:hint="cs"/>
          <w:rtl/>
        </w:rPr>
        <w:t>.</w:t>
      </w:r>
      <w:r w:rsidR="00E96585">
        <w:rPr>
          <w:rFonts w:cs="Arial" w:hint="cs"/>
          <w:rtl/>
        </w:rPr>
        <w:t xml:space="preserve"> </w:t>
      </w:r>
    </w:p>
    <w:p w14:paraId="604A22CA" w14:textId="77777777" w:rsidR="00E96585" w:rsidRPr="00FA5F47" w:rsidRDefault="00E96585" w:rsidP="00E96585">
      <w:pPr>
        <w:pStyle w:val="ac"/>
        <w:numPr>
          <w:ilvl w:val="0"/>
          <w:numId w:val="8"/>
        </w:numPr>
        <w:rPr>
          <w:rFonts w:cs="Arial"/>
        </w:rPr>
      </w:pPr>
      <w:r w:rsidRPr="006C0B96">
        <w:rPr>
          <w:rFonts w:cs="Arial" w:hint="cs"/>
          <w:rtl/>
        </w:rPr>
        <w:t xml:space="preserve">רי"ו </w:t>
      </w:r>
      <w:r w:rsidRPr="006C0B96">
        <w:rPr>
          <w:rFonts w:cs="Arial" w:hint="cs"/>
          <w:sz w:val="16"/>
          <w:szCs w:val="16"/>
          <w:rtl/>
        </w:rPr>
        <w:t>(</w:t>
      </w:r>
      <w:r w:rsidRPr="006C0B96">
        <w:rPr>
          <w:rFonts w:cs="Arial"/>
          <w:sz w:val="16"/>
          <w:szCs w:val="16"/>
          <w:rtl/>
        </w:rPr>
        <w:t>נט"ו ח"ג מח:)</w:t>
      </w:r>
      <w:r w:rsidRPr="006C0B96">
        <w:rPr>
          <w:rFonts w:cs="Arial" w:hint="cs"/>
          <w:rtl/>
        </w:rPr>
        <w:t>-</w:t>
      </w:r>
      <w:r w:rsidRPr="006C0B96">
        <w:rPr>
          <w:rFonts w:cs="Arial"/>
          <w:rtl/>
        </w:rPr>
        <w:t xml:space="preserve"> פשרה צריכה קנין אפילו במחול לך ואפילו הודיעוהו הפשרה</w:t>
      </w:r>
      <w:r w:rsidR="002A5A2C">
        <w:rPr>
          <w:rFonts w:cs="Arial" w:hint="cs"/>
          <w:rtl/>
        </w:rPr>
        <w:t xml:space="preserve">, </w:t>
      </w:r>
      <w:r w:rsidR="002A5A2C">
        <w:rPr>
          <w:rFonts w:cs="Arial" w:hint="cs"/>
          <w:sz w:val="16"/>
          <w:szCs w:val="16"/>
          <w:rtl/>
        </w:rPr>
        <w:t>{וזאת משום-}</w:t>
      </w:r>
      <w:r w:rsidRPr="006C0B96">
        <w:rPr>
          <w:rFonts w:cs="Arial"/>
          <w:rtl/>
        </w:rPr>
        <w:t xml:space="preserve"> שרגילים הפשרנים לאיים על הכתות כדי לפשר</w:t>
      </w:r>
      <w:r w:rsidR="002A5A2C">
        <w:rPr>
          <w:rStyle w:val="ab"/>
          <w:rFonts w:cs="Arial"/>
          <w:rtl/>
        </w:rPr>
        <w:footnoteReference w:id="654"/>
      </w:r>
      <w:r w:rsidRPr="006C0B96">
        <w:rPr>
          <w:rFonts w:cs="Arial" w:hint="cs"/>
          <w:rtl/>
        </w:rPr>
        <w:t>.</w:t>
      </w:r>
    </w:p>
    <w:p w14:paraId="172589DC" w14:textId="77777777" w:rsidR="00D861AF" w:rsidRPr="00D861AF" w:rsidRDefault="00D861AF" w:rsidP="00D861AF">
      <w:pPr>
        <w:ind w:left="360"/>
        <w:rPr>
          <w:rFonts w:cs="Arial"/>
          <w:u w:val="dotted"/>
        </w:rPr>
      </w:pPr>
      <w:r w:rsidRPr="00D861AF">
        <w:rPr>
          <w:rFonts w:cs="Arial" w:hint="cs"/>
          <w:u w:val="dotted"/>
          <w:rtl/>
        </w:rPr>
        <w:t xml:space="preserve">האם גם מחילה </w:t>
      </w:r>
      <w:r w:rsidR="00472D05" w:rsidRPr="00E96585">
        <w:rPr>
          <w:rFonts w:cs="Arial" w:hint="cs"/>
          <w:b/>
          <w:bCs/>
          <w:u w:val="dotted"/>
          <w:rtl/>
        </w:rPr>
        <w:t>דעלמא</w:t>
      </w:r>
      <w:r w:rsidR="00472D05">
        <w:rPr>
          <w:rFonts w:cs="Arial" w:hint="cs"/>
          <w:u w:val="dotted"/>
          <w:rtl/>
        </w:rPr>
        <w:t xml:space="preserve"> </w:t>
      </w:r>
      <w:r w:rsidR="00520E4B">
        <w:rPr>
          <w:rFonts w:cs="Arial" w:hint="cs"/>
          <w:sz w:val="16"/>
          <w:szCs w:val="16"/>
          <w:u w:val="dotted"/>
          <w:rtl/>
        </w:rPr>
        <w:t>(</w:t>
      </w:r>
      <w:r w:rsidR="00472D05">
        <w:rPr>
          <w:rFonts w:cs="Arial" w:hint="cs"/>
          <w:sz w:val="16"/>
          <w:szCs w:val="16"/>
          <w:u w:val="dotted"/>
          <w:rtl/>
        </w:rPr>
        <w:t>היינו מחילה שאינה חלק מפשרה</w:t>
      </w:r>
      <w:r w:rsidR="00520E4B">
        <w:rPr>
          <w:rFonts w:cs="Arial" w:hint="cs"/>
          <w:sz w:val="16"/>
          <w:szCs w:val="16"/>
          <w:u w:val="dotted"/>
          <w:rtl/>
        </w:rPr>
        <w:t>)</w:t>
      </w:r>
      <w:r w:rsidR="00472D05">
        <w:rPr>
          <w:rFonts w:cs="Arial" w:hint="cs"/>
          <w:u w:val="dotted"/>
          <w:rtl/>
        </w:rPr>
        <w:t xml:space="preserve"> </w:t>
      </w:r>
      <w:r w:rsidRPr="00D861AF">
        <w:rPr>
          <w:rFonts w:cs="Arial" w:hint="cs"/>
          <w:u w:val="dotted"/>
          <w:rtl/>
        </w:rPr>
        <w:t>צריכה קנין:</w:t>
      </w:r>
    </w:p>
    <w:p w14:paraId="162674AC" w14:textId="77777777" w:rsidR="00FA5F47" w:rsidRDefault="00E96585" w:rsidP="00D861AF">
      <w:pPr>
        <w:pStyle w:val="ac"/>
        <w:numPr>
          <w:ilvl w:val="0"/>
          <w:numId w:val="8"/>
        </w:numPr>
        <w:rPr>
          <w:rFonts w:cs="Arial"/>
        </w:rPr>
      </w:pPr>
      <w:r w:rsidRPr="00E47E4E">
        <w:rPr>
          <w:rFonts w:cs="Arial"/>
          <w:rtl/>
        </w:rPr>
        <w:t>תוס</w:t>
      </w:r>
      <w:r>
        <w:rPr>
          <w:rFonts w:cs="Arial" w:hint="cs"/>
          <w:rtl/>
        </w:rPr>
        <w:t>'</w:t>
      </w:r>
      <w:r w:rsidRPr="00E47E4E">
        <w:rPr>
          <w:rFonts w:cs="Arial"/>
          <w:rtl/>
        </w:rPr>
        <w:t xml:space="preserve"> </w:t>
      </w:r>
      <w:r w:rsidRPr="00D861AF">
        <w:rPr>
          <w:rFonts w:cs="Arial"/>
          <w:sz w:val="16"/>
          <w:szCs w:val="16"/>
          <w:rtl/>
        </w:rPr>
        <w:t>(</w:t>
      </w:r>
      <w:r>
        <w:rPr>
          <w:rFonts w:cs="Arial" w:hint="cs"/>
          <w:sz w:val="16"/>
          <w:szCs w:val="16"/>
          <w:rtl/>
        </w:rPr>
        <w:t xml:space="preserve">סנהדרין ו. </w:t>
      </w:r>
      <w:r w:rsidRPr="00D861AF">
        <w:rPr>
          <w:rFonts w:cs="Arial"/>
          <w:sz w:val="16"/>
          <w:szCs w:val="16"/>
          <w:rtl/>
        </w:rPr>
        <w:t>ד"ה צריכה</w:t>
      </w:r>
      <w:r>
        <w:rPr>
          <w:rFonts w:cs="Arial" w:hint="cs"/>
          <w:sz w:val="16"/>
          <w:szCs w:val="16"/>
          <w:rtl/>
        </w:rPr>
        <w:t xml:space="preserve"> קנין</w:t>
      </w:r>
      <w:r w:rsidRPr="00D861AF">
        <w:rPr>
          <w:rFonts w:cs="Arial" w:hint="cs"/>
          <w:sz w:val="16"/>
          <w:szCs w:val="16"/>
          <w:rtl/>
        </w:rPr>
        <w:t>, וכ</w:t>
      </w:r>
      <w:r>
        <w:rPr>
          <w:rFonts w:cs="Arial" w:hint="cs"/>
          <w:sz w:val="16"/>
          <w:szCs w:val="16"/>
          <w:rtl/>
        </w:rPr>
        <w:t>עין זה במעט שינויים כתבו</w:t>
      </w:r>
      <w:r w:rsidRPr="00D861AF">
        <w:rPr>
          <w:rFonts w:cs="Arial" w:hint="cs"/>
          <w:sz w:val="16"/>
          <w:szCs w:val="16"/>
          <w:rtl/>
        </w:rPr>
        <w:t xml:space="preserve"> </w:t>
      </w:r>
      <w:r w:rsidRPr="00D861AF">
        <w:rPr>
          <w:rFonts w:cs="Arial"/>
          <w:sz w:val="16"/>
          <w:szCs w:val="16"/>
          <w:rtl/>
        </w:rPr>
        <w:t xml:space="preserve">בפרק המקבל </w:t>
      </w:r>
      <w:r w:rsidRPr="00D861AF">
        <w:rPr>
          <w:rFonts w:cs="Arial" w:hint="cs"/>
          <w:sz w:val="16"/>
          <w:szCs w:val="16"/>
          <w:rtl/>
        </w:rPr>
        <w:t>[קיב.</w:t>
      </w:r>
      <w:r w:rsidRPr="00D861AF">
        <w:rPr>
          <w:rFonts w:cs="Arial"/>
          <w:sz w:val="16"/>
          <w:szCs w:val="16"/>
          <w:rtl/>
        </w:rPr>
        <w:t xml:space="preserve"> בד"ה חוזר</w:t>
      </w:r>
      <w:r w:rsidRPr="00D861AF">
        <w:rPr>
          <w:rFonts w:cs="Arial" w:hint="cs"/>
          <w:sz w:val="16"/>
          <w:szCs w:val="16"/>
          <w:rtl/>
        </w:rPr>
        <w:t>]</w:t>
      </w:r>
      <w:r w:rsidRPr="00D861AF">
        <w:rPr>
          <w:rFonts w:cs="Arial"/>
          <w:sz w:val="16"/>
          <w:szCs w:val="16"/>
          <w:rtl/>
        </w:rPr>
        <w:t>)</w:t>
      </w:r>
      <w:r>
        <w:rPr>
          <w:rFonts w:cs="Arial" w:hint="cs"/>
          <w:rtl/>
        </w:rPr>
        <w:t xml:space="preserve"> </w:t>
      </w:r>
      <w:r w:rsidR="00C52143">
        <w:rPr>
          <w:rFonts w:cs="Arial" w:hint="cs"/>
          <w:rtl/>
        </w:rPr>
        <w:t>ו</w:t>
      </w:r>
      <w:r>
        <w:rPr>
          <w:rFonts w:cs="Arial" w:hint="cs"/>
          <w:rtl/>
        </w:rPr>
        <w:t xml:space="preserve">רא"ש </w:t>
      </w:r>
      <w:r>
        <w:rPr>
          <w:rFonts w:cs="Arial" w:hint="cs"/>
          <w:sz w:val="16"/>
          <w:szCs w:val="16"/>
          <w:rtl/>
        </w:rPr>
        <w:t>(שם)</w:t>
      </w:r>
      <w:r w:rsidR="00FA5F47">
        <w:rPr>
          <w:rFonts w:cs="Arial" w:hint="cs"/>
          <w:rtl/>
        </w:rPr>
        <w:t xml:space="preserve">- </w:t>
      </w:r>
      <w:r>
        <w:rPr>
          <w:rFonts w:cs="Arial" w:hint="cs"/>
          <w:rtl/>
        </w:rPr>
        <w:t>לכו"ע סתם מחילה אינה צריכה קנין</w:t>
      </w:r>
      <w:r>
        <w:rPr>
          <w:rStyle w:val="ab"/>
          <w:rFonts w:cs="Arial"/>
          <w:rtl/>
        </w:rPr>
        <w:footnoteReference w:id="655"/>
      </w:r>
      <w:r>
        <w:rPr>
          <w:rFonts w:cs="Arial" w:hint="cs"/>
          <w:rtl/>
        </w:rPr>
        <w:t xml:space="preserve">. </w:t>
      </w:r>
    </w:p>
    <w:p w14:paraId="5C56A35B" w14:textId="77777777" w:rsidR="00C52143" w:rsidRPr="00C52143" w:rsidRDefault="00C52143" w:rsidP="00C52143">
      <w:pPr>
        <w:pStyle w:val="ac"/>
        <w:numPr>
          <w:ilvl w:val="0"/>
          <w:numId w:val="8"/>
        </w:numPr>
        <w:rPr>
          <w:rFonts w:cs="Arial"/>
        </w:rPr>
      </w:pPr>
      <w:r w:rsidRPr="00E47E4E">
        <w:rPr>
          <w:rFonts w:cs="Arial"/>
          <w:rtl/>
        </w:rPr>
        <w:t xml:space="preserve">רמב"ם </w:t>
      </w:r>
      <w:r w:rsidRPr="00C52143">
        <w:rPr>
          <w:rFonts w:cs="Arial" w:hint="cs"/>
          <w:sz w:val="16"/>
          <w:szCs w:val="16"/>
          <w:rtl/>
        </w:rPr>
        <w:t>(</w:t>
      </w:r>
      <w:r w:rsidRPr="00C52143">
        <w:rPr>
          <w:rFonts w:cs="Arial"/>
          <w:sz w:val="16"/>
          <w:szCs w:val="16"/>
          <w:rtl/>
        </w:rPr>
        <w:t>פ"ה מהל' מכירה הי"א-יג)</w:t>
      </w:r>
      <w:r>
        <w:rPr>
          <w:rFonts w:cs="Arial" w:hint="cs"/>
          <w:rtl/>
        </w:rPr>
        <w:t>-</w:t>
      </w:r>
      <w:r w:rsidRPr="00E47E4E">
        <w:rPr>
          <w:rFonts w:cs="Arial"/>
          <w:rtl/>
        </w:rPr>
        <w:t xml:space="preserve"> יש דברים הרבה שאינם צריכים קנין ואין לקנין בהם טעם</w:t>
      </w:r>
      <w:r w:rsidR="00F82AFF">
        <w:rPr>
          <w:rFonts w:cs="Arial" w:hint="cs"/>
          <w:rtl/>
        </w:rPr>
        <w:t>.</w:t>
      </w:r>
      <w:r w:rsidRPr="00E47E4E">
        <w:rPr>
          <w:rFonts w:cs="Arial"/>
          <w:rtl/>
        </w:rPr>
        <w:t xml:space="preserve"> כגון המשחרר את עבדו וכו' או המוחל את חבירו חוב או פקדון שיש לו בידו</w:t>
      </w:r>
      <w:r w:rsidR="00F82AFF">
        <w:rPr>
          <w:rFonts w:cs="Arial" w:hint="cs"/>
          <w:rtl/>
        </w:rPr>
        <w:t>,</w:t>
      </w:r>
      <w:r w:rsidRPr="00E47E4E">
        <w:rPr>
          <w:rFonts w:cs="Arial"/>
          <w:rtl/>
        </w:rPr>
        <w:t xml:space="preserve"> וכל כיוצא בדברים אלו נהגו רוב המקומות להקנות למקצת אלו הדברים ואומרים וקנינו מפלוני שעשה פלוני שליח או שמחל לפלוני חוב שיש לו אצלו וכו'</w:t>
      </w:r>
      <w:r w:rsidR="00F82AFF">
        <w:rPr>
          <w:rFonts w:cs="Arial" w:hint="cs"/>
          <w:rtl/>
        </w:rPr>
        <w:t>.</w:t>
      </w:r>
      <w:r w:rsidRPr="00E47E4E">
        <w:rPr>
          <w:rFonts w:cs="Arial"/>
          <w:rtl/>
        </w:rPr>
        <w:t xml:space="preserve"> קנין זה שנהגו להקנות באלו הדברים אינו מועיל כלום</w:t>
      </w:r>
      <w:r w:rsidR="00F82AFF">
        <w:rPr>
          <w:rFonts w:cs="Arial" w:hint="cs"/>
          <w:rtl/>
        </w:rPr>
        <w:t>,</w:t>
      </w:r>
      <w:r w:rsidRPr="00E47E4E">
        <w:rPr>
          <w:rFonts w:cs="Arial"/>
          <w:rtl/>
        </w:rPr>
        <w:t xml:space="preserve"> אלא להודיע שאינו אומר דברים אלו כמשחק ומהתל אלא שגמר בלבו ואח</w:t>
      </w:r>
      <w:r w:rsidR="00F82AFF">
        <w:rPr>
          <w:rFonts w:cs="Arial" w:hint="cs"/>
          <w:rtl/>
        </w:rPr>
        <w:t>"</w:t>
      </w:r>
      <w:r w:rsidRPr="00E47E4E">
        <w:rPr>
          <w:rFonts w:cs="Arial"/>
          <w:rtl/>
        </w:rPr>
        <w:t>כ אמר</w:t>
      </w:r>
      <w:r w:rsidR="00F82AFF">
        <w:rPr>
          <w:rFonts w:cs="Arial" w:hint="cs"/>
          <w:rtl/>
        </w:rPr>
        <w:t>.</w:t>
      </w:r>
      <w:r w:rsidRPr="00E47E4E">
        <w:rPr>
          <w:rFonts w:cs="Arial"/>
          <w:rtl/>
        </w:rPr>
        <w:t xml:space="preserve"> לפיכך אם אמר בלב שלם אני גמרתי ואמרתי לעשות דבר זה</w:t>
      </w:r>
      <w:r w:rsidR="00F82AFF">
        <w:rPr>
          <w:rFonts w:cs="Arial" w:hint="cs"/>
          <w:rtl/>
        </w:rPr>
        <w:t xml:space="preserve">- </w:t>
      </w:r>
      <w:r w:rsidRPr="00E47E4E">
        <w:rPr>
          <w:rFonts w:cs="Arial"/>
          <w:rtl/>
        </w:rPr>
        <w:t>אינו צריך דבר אח</w:t>
      </w:r>
      <w:r>
        <w:rPr>
          <w:rFonts w:cs="Arial" w:hint="cs"/>
          <w:rtl/>
        </w:rPr>
        <w:t>ר</w:t>
      </w:r>
      <w:r>
        <w:rPr>
          <w:rStyle w:val="ab"/>
          <w:rFonts w:cs="Arial"/>
          <w:rtl/>
        </w:rPr>
        <w:footnoteReference w:id="656"/>
      </w:r>
      <w:r>
        <w:rPr>
          <w:rFonts w:cs="Arial" w:hint="cs"/>
          <w:rtl/>
        </w:rPr>
        <w:t>.</w:t>
      </w:r>
    </w:p>
    <w:p w14:paraId="02C5AEBB" w14:textId="77777777" w:rsidR="005231ED" w:rsidRPr="005231ED" w:rsidRDefault="005231ED" w:rsidP="00E96585">
      <w:pPr>
        <w:rPr>
          <w:rFonts w:cs="Arial"/>
          <w:u w:val="single"/>
          <w:rtl/>
        </w:rPr>
      </w:pPr>
      <w:r w:rsidRPr="005231ED">
        <w:rPr>
          <w:rFonts w:cs="Arial" w:hint="cs"/>
          <w:u w:val="single"/>
          <w:rtl/>
        </w:rPr>
        <w:t>הא ד</w:t>
      </w:r>
      <w:r w:rsidRPr="005231ED">
        <w:rPr>
          <w:rFonts w:cs="Arial"/>
          <w:u w:val="single"/>
          <w:rtl/>
        </w:rPr>
        <w:t>המוחל</w:t>
      </w:r>
      <w:r>
        <w:rPr>
          <w:rFonts w:cs="Arial" w:hint="cs"/>
          <w:sz w:val="16"/>
          <w:szCs w:val="16"/>
          <w:u w:val="single"/>
          <w:rtl/>
        </w:rPr>
        <w:t xml:space="preserve"> (בפשרה)</w:t>
      </w:r>
      <w:r>
        <w:rPr>
          <w:rFonts w:cs="Arial" w:hint="cs"/>
          <w:u w:val="single"/>
          <w:rtl/>
        </w:rPr>
        <w:t>/</w:t>
      </w:r>
      <w:r w:rsidRPr="005231ED">
        <w:rPr>
          <w:rFonts w:cs="Arial" w:hint="cs"/>
          <w:u w:val="single"/>
          <w:rtl/>
        </w:rPr>
        <w:t>המשלם</w:t>
      </w:r>
      <w:r w:rsidRPr="005231ED">
        <w:rPr>
          <w:rFonts w:cs="Arial"/>
          <w:u w:val="single"/>
          <w:rtl/>
        </w:rPr>
        <w:t xml:space="preserve"> צריך קנין</w:t>
      </w:r>
      <w:r w:rsidRPr="005231ED">
        <w:rPr>
          <w:rFonts w:cs="Arial" w:hint="cs"/>
          <w:u w:val="single"/>
          <w:rtl/>
        </w:rPr>
        <w:t xml:space="preserve"> </w:t>
      </w:r>
      <w:r w:rsidRPr="005231ED">
        <w:rPr>
          <w:rFonts w:cs="Arial"/>
          <w:u w:val="single"/>
          <w:rtl/>
        </w:rPr>
        <w:t>–</w:t>
      </w:r>
      <w:r w:rsidRPr="005231ED">
        <w:rPr>
          <w:rFonts w:cs="Arial" w:hint="cs"/>
          <w:u w:val="single"/>
          <w:rtl/>
        </w:rPr>
        <w:t xml:space="preserve"> האם בקנין דברים סגי:</w:t>
      </w:r>
    </w:p>
    <w:p w14:paraId="74CCF926" w14:textId="77777777" w:rsidR="002E504D" w:rsidRPr="00C52143" w:rsidRDefault="005231ED" w:rsidP="004B0475">
      <w:pPr>
        <w:pStyle w:val="ac"/>
        <w:numPr>
          <w:ilvl w:val="0"/>
          <w:numId w:val="64"/>
        </w:numPr>
        <w:rPr>
          <w:rFonts w:cs="Arial"/>
          <w:rtl/>
        </w:rPr>
      </w:pPr>
      <w:r w:rsidRPr="005231ED">
        <w:rPr>
          <w:rFonts w:cs="Arial" w:hint="cs"/>
          <w:rtl/>
        </w:rPr>
        <w:t xml:space="preserve">מרדכי </w:t>
      </w:r>
      <w:r w:rsidRPr="005231ED">
        <w:rPr>
          <w:rFonts w:cs="Arial"/>
          <w:sz w:val="16"/>
          <w:szCs w:val="16"/>
          <w:rtl/>
        </w:rPr>
        <w:t>(סי' תרפ)</w:t>
      </w:r>
      <w:r w:rsidRPr="005231ED">
        <w:rPr>
          <w:rFonts w:cs="Arial" w:hint="cs"/>
          <w:rtl/>
        </w:rPr>
        <w:t>-</w:t>
      </w:r>
      <w:r w:rsidRPr="005231ED">
        <w:rPr>
          <w:rFonts w:cs="Arial"/>
          <w:rtl/>
        </w:rPr>
        <w:t xml:space="preserve"> החפץ צריך לקנות כדי שלא יהא קנין דברים בעלמא</w:t>
      </w:r>
      <w:r w:rsidR="00FE4378">
        <w:rPr>
          <w:rStyle w:val="ab"/>
          <w:rFonts w:cs="Arial"/>
          <w:rtl/>
        </w:rPr>
        <w:footnoteReference w:id="657"/>
      </w:r>
      <w:r w:rsidRPr="005231ED">
        <w:rPr>
          <w:rFonts w:cs="Arial" w:hint="cs"/>
          <w:rtl/>
        </w:rPr>
        <w:t>.</w:t>
      </w:r>
      <w:r w:rsidR="00F838C9" w:rsidRPr="00F838C9">
        <w:rPr>
          <w:rFonts w:cs="Arial" w:hint="cs"/>
          <w:color w:val="00B0F0"/>
          <w:rtl/>
        </w:rPr>
        <w:t xml:space="preserve"> (וכ"</w:t>
      </w:r>
      <w:r w:rsidR="00F82AFF">
        <w:rPr>
          <w:rFonts w:cs="Arial" w:hint="cs"/>
          <w:color w:val="00B0F0"/>
          <w:rtl/>
        </w:rPr>
        <w:t>כ</w:t>
      </w:r>
      <w:r w:rsidR="00F838C9" w:rsidRPr="00F838C9">
        <w:rPr>
          <w:rFonts w:cs="Arial" w:hint="cs"/>
          <w:color w:val="00B0F0"/>
          <w:rtl/>
        </w:rPr>
        <w:t xml:space="preserve"> הרמ"א)</w:t>
      </w:r>
    </w:p>
    <w:p w14:paraId="767F1001" w14:textId="77777777" w:rsidR="004A54B8" w:rsidRPr="004A54B8" w:rsidRDefault="004A54B8" w:rsidP="004A54B8">
      <w:pPr>
        <w:rPr>
          <w:rFonts w:cs="Arial"/>
          <w:u w:val="single"/>
        </w:rPr>
      </w:pPr>
      <w:r w:rsidRPr="004A54B8">
        <w:rPr>
          <w:rFonts w:cs="Arial" w:hint="cs"/>
          <w:u w:val="single"/>
          <w:rtl/>
        </w:rPr>
        <w:t xml:space="preserve">פשרה שנעשתה בהסכמת שני הצדדים אך חלק מהמידע היה מוסתר מהפשרן ומאחד הצדדים: </w:t>
      </w:r>
    </w:p>
    <w:p w14:paraId="0395E82F" w14:textId="77777777" w:rsidR="004A54B8" w:rsidRPr="004A54B8" w:rsidRDefault="004A54B8" w:rsidP="00C704CB">
      <w:pPr>
        <w:pStyle w:val="ac"/>
        <w:numPr>
          <w:ilvl w:val="0"/>
          <w:numId w:val="8"/>
        </w:numPr>
        <w:rPr>
          <w:rFonts w:cs="Arial"/>
          <w:rtl/>
        </w:rPr>
      </w:pPr>
      <w:r w:rsidRPr="003B55A3">
        <w:rPr>
          <w:rFonts w:cs="Arial" w:hint="cs"/>
          <w:rtl/>
        </w:rPr>
        <w:t>רשב"א</w:t>
      </w:r>
      <w:r w:rsidRPr="003B55A3">
        <w:rPr>
          <w:rFonts w:cs="Arial"/>
          <w:rtl/>
        </w:rPr>
        <w:t xml:space="preserve"> </w:t>
      </w:r>
      <w:r w:rsidRPr="003B55A3">
        <w:rPr>
          <w:rFonts w:cs="Arial"/>
          <w:sz w:val="16"/>
          <w:szCs w:val="16"/>
          <w:rtl/>
        </w:rPr>
        <w:t>(ח"ג סימן רז)</w:t>
      </w:r>
      <w:r>
        <w:rPr>
          <w:rFonts w:cs="Arial" w:hint="cs"/>
          <w:rtl/>
        </w:rPr>
        <w:t>-</w:t>
      </w:r>
      <w:r w:rsidRPr="003B55A3">
        <w:rPr>
          <w:rFonts w:cs="Arial"/>
          <w:rtl/>
        </w:rPr>
        <w:t xml:space="preserve"> ראובן שנתן לשמעון שטרי חוב שחייבים לו גויים ועשה לו מתנה כהוגן ונשבע לו שלא יגבה לעצמו מכל אותם חובות כלום לעולם</w:t>
      </w:r>
      <w:r w:rsidR="00855821">
        <w:rPr>
          <w:rFonts w:cs="Arial" w:hint="cs"/>
          <w:rtl/>
        </w:rPr>
        <w:t xml:space="preserve">. </w:t>
      </w:r>
      <w:r w:rsidRPr="003B55A3">
        <w:rPr>
          <w:rFonts w:cs="Arial"/>
          <w:rtl/>
        </w:rPr>
        <w:t>ואח</w:t>
      </w:r>
      <w:r>
        <w:rPr>
          <w:rFonts w:cs="Arial" w:hint="cs"/>
          <w:rtl/>
        </w:rPr>
        <w:t>"</w:t>
      </w:r>
      <w:r w:rsidRPr="003B55A3">
        <w:rPr>
          <w:rFonts w:cs="Arial"/>
          <w:rtl/>
        </w:rPr>
        <w:t>כ נתגלגלו תרעומות ותביעות בין ראובן ושמעון וקבלו עליהם פשרן אחד שכל מה שיגזור ביניהם תוך זמן פלוני יהיה קיים</w:t>
      </w:r>
      <w:r w:rsidR="00855821">
        <w:rPr>
          <w:rFonts w:cs="Arial" w:hint="cs"/>
          <w:rtl/>
        </w:rPr>
        <w:t>.</w:t>
      </w:r>
      <w:r w:rsidRPr="003B55A3">
        <w:rPr>
          <w:rFonts w:cs="Arial"/>
          <w:rtl/>
        </w:rPr>
        <w:t xml:space="preserve"> ופשר ביניהם שימחול זה לזה בשטר חוץ משטרי המתנה הנזכרת שישארו בתקפן כמו שהם היום</w:t>
      </w:r>
      <w:r>
        <w:rPr>
          <w:rFonts w:cs="Arial" w:hint="cs"/>
          <w:rtl/>
        </w:rPr>
        <w:t>.</w:t>
      </w:r>
      <w:r w:rsidRPr="003B55A3">
        <w:rPr>
          <w:rFonts w:cs="Arial"/>
          <w:rtl/>
        </w:rPr>
        <w:t xml:space="preserve"> לימים נתגלה שראובן לקח מעות מאותם שטרות</w:t>
      </w:r>
      <w:r w:rsidR="00855821">
        <w:rPr>
          <w:rFonts w:cs="Arial" w:hint="cs"/>
          <w:rtl/>
        </w:rPr>
        <w:t>,</w:t>
      </w:r>
      <w:r w:rsidRPr="003B55A3">
        <w:rPr>
          <w:rFonts w:cs="Arial"/>
          <w:rtl/>
        </w:rPr>
        <w:t xml:space="preserve"> ושמעון תובע ממנו מה שלקח</w:t>
      </w:r>
      <w:r w:rsidR="00855821">
        <w:rPr>
          <w:rFonts w:cs="Arial" w:hint="cs"/>
          <w:rtl/>
        </w:rPr>
        <w:t>,</w:t>
      </w:r>
      <w:r w:rsidRPr="003B55A3">
        <w:rPr>
          <w:rFonts w:cs="Arial"/>
          <w:rtl/>
        </w:rPr>
        <w:t xml:space="preserve"> וראובן השיב שהוא פטור לפי שהפשרן פסק שימחלו זה לזה וקודם המחילה לקח</w:t>
      </w:r>
      <w:r>
        <w:rPr>
          <w:rFonts w:cs="Arial" w:hint="cs"/>
          <w:rtl/>
        </w:rPr>
        <w:t>,</w:t>
      </w:r>
      <w:r w:rsidRPr="003B55A3">
        <w:rPr>
          <w:rFonts w:cs="Arial"/>
          <w:rtl/>
        </w:rPr>
        <w:t xml:space="preserve"> ואע</w:t>
      </w:r>
      <w:r>
        <w:rPr>
          <w:rFonts w:cs="Arial" w:hint="cs"/>
          <w:rtl/>
        </w:rPr>
        <w:t>"</w:t>
      </w:r>
      <w:r w:rsidRPr="003B55A3">
        <w:rPr>
          <w:rFonts w:cs="Arial"/>
          <w:rtl/>
        </w:rPr>
        <w:t>פ שהוציא מכלל הפשרה השטרות שנתן לו שישארו בחזקתן מ</w:t>
      </w:r>
      <w:r>
        <w:rPr>
          <w:rFonts w:cs="Arial" w:hint="cs"/>
          <w:rtl/>
        </w:rPr>
        <w:t>"</w:t>
      </w:r>
      <w:r w:rsidRPr="003B55A3">
        <w:rPr>
          <w:rFonts w:cs="Arial"/>
          <w:rtl/>
        </w:rPr>
        <w:t xml:space="preserve">מ שם כתוב </w:t>
      </w:r>
      <w:r>
        <w:rPr>
          <w:rFonts w:cs="Arial" w:hint="cs"/>
          <w:rtl/>
        </w:rPr>
        <w:t>'</w:t>
      </w:r>
      <w:r w:rsidRPr="003B55A3">
        <w:rPr>
          <w:rFonts w:cs="Arial"/>
          <w:rtl/>
        </w:rPr>
        <w:t>כמו שהם חיים היום</w:t>
      </w:r>
      <w:r>
        <w:rPr>
          <w:rFonts w:cs="Arial" w:hint="cs"/>
          <w:rtl/>
        </w:rPr>
        <w:t>'</w:t>
      </w:r>
      <w:r w:rsidRPr="003B55A3">
        <w:rPr>
          <w:rFonts w:cs="Arial"/>
          <w:rtl/>
        </w:rPr>
        <w:t xml:space="preserve"> לומר במה שחייבים היום</w:t>
      </w:r>
      <w:r w:rsidR="00855821">
        <w:rPr>
          <w:rFonts w:cs="Arial" w:hint="cs"/>
          <w:rtl/>
        </w:rPr>
        <w:t>.</w:t>
      </w:r>
      <w:r w:rsidRPr="003B55A3">
        <w:rPr>
          <w:rFonts w:cs="Arial"/>
          <w:rtl/>
        </w:rPr>
        <w:t xml:space="preserve"> ונשאל הפשרן על זה ואמר שכך היתה כונתו</w:t>
      </w:r>
      <w:r w:rsidR="00855821">
        <w:rPr>
          <w:rFonts w:cs="Arial" w:hint="cs"/>
          <w:rtl/>
        </w:rPr>
        <w:t>.</w:t>
      </w:r>
      <w:r w:rsidRPr="003B55A3">
        <w:rPr>
          <w:rFonts w:cs="Arial"/>
          <w:rtl/>
        </w:rPr>
        <w:t xml:space="preserve"> ושמעון אומר לא כי כל השטרות נשארו בחזקתן ובתקפן. </w:t>
      </w:r>
      <w:r>
        <w:rPr>
          <w:rFonts w:cs="Arial" w:hint="cs"/>
          <w:rtl/>
        </w:rPr>
        <w:t>תשובה</w:t>
      </w:r>
      <w:r w:rsidR="00855821">
        <w:rPr>
          <w:rFonts w:cs="Arial" w:hint="cs"/>
          <w:rtl/>
        </w:rPr>
        <w:t>,</w:t>
      </w:r>
      <w:r w:rsidRPr="003B55A3">
        <w:rPr>
          <w:rFonts w:cs="Arial"/>
          <w:rtl/>
        </w:rPr>
        <w:t xml:space="preserve"> מסתברא שהדין עם שמעון שהרי בשעה ששמו תביעותיהם ביד הפשרן לא נודע שלקח ראובן מאותם שטרות כלום</w:t>
      </w:r>
      <w:r w:rsidR="00855821">
        <w:rPr>
          <w:rFonts w:cs="Arial" w:hint="cs"/>
          <w:rtl/>
        </w:rPr>
        <w:t>,</w:t>
      </w:r>
      <w:r w:rsidRPr="003B55A3">
        <w:rPr>
          <w:rFonts w:cs="Arial"/>
          <w:rtl/>
        </w:rPr>
        <w:t xml:space="preserve"> ואדרבה בחזקת שלא נטל כלום הוא כיון שנשבע שלא יטול כלום לעולם</w:t>
      </w:r>
      <w:r>
        <w:rPr>
          <w:rFonts w:cs="Arial" w:hint="cs"/>
          <w:rtl/>
        </w:rPr>
        <w:t>,</w:t>
      </w:r>
      <w:r w:rsidRPr="003B55A3">
        <w:rPr>
          <w:rFonts w:cs="Arial"/>
          <w:rtl/>
        </w:rPr>
        <w:t xml:space="preserve"> א</w:t>
      </w:r>
      <w:r>
        <w:rPr>
          <w:rFonts w:cs="Arial" w:hint="cs"/>
          <w:rtl/>
        </w:rPr>
        <w:t>"כ</w:t>
      </w:r>
      <w:r w:rsidRPr="003B55A3">
        <w:rPr>
          <w:rFonts w:cs="Arial"/>
          <w:rtl/>
        </w:rPr>
        <w:t xml:space="preserve"> היאך אפשר שהכניס הפשרן זה בכלל המחילה</w:t>
      </w:r>
      <w:r w:rsidR="00855821">
        <w:rPr>
          <w:rFonts w:cs="Arial" w:hint="cs"/>
          <w:rtl/>
        </w:rPr>
        <w:t>.</w:t>
      </w:r>
      <w:r w:rsidRPr="003B55A3">
        <w:rPr>
          <w:rFonts w:cs="Arial"/>
          <w:rtl/>
        </w:rPr>
        <w:t xml:space="preserve"> ומה שהפשרן אומר עכשיו אין בדבריו כלום כיון שלא אמר בשעה שבעלי הדין עומדים לפניו</w:t>
      </w:r>
      <w:r>
        <w:rPr>
          <w:rFonts w:cs="Arial" w:hint="cs"/>
          <w:rtl/>
        </w:rPr>
        <w:t>,</w:t>
      </w:r>
      <w:r w:rsidRPr="003B55A3">
        <w:rPr>
          <w:rFonts w:cs="Arial"/>
          <w:rtl/>
        </w:rPr>
        <w:t xml:space="preserve"> וכאותה ששנינו </w:t>
      </w:r>
      <w:r w:rsidRPr="003B55A3">
        <w:rPr>
          <w:rFonts w:cs="Arial"/>
          <w:sz w:val="16"/>
          <w:szCs w:val="16"/>
          <w:rtl/>
        </w:rPr>
        <w:t>(קידושין עד.)</w:t>
      </w:r>
      <w:r w:rsidRPr="003B55A3">
        <w:rPr>
          <w:rFonts w:cs="Arial"/>
          <w:rtl/>
        </w:rPr>
        <w:t xml:space="preserve"> נאמן הדיין לומר לזה זכיתי לזה חייבתי</w:t>
      </w:r>
      <w:r>
        <w:rPr>
          <w:rFonts w:cs="Arial" w:hint="cs"/>
          <w:rtl/>
        </w:rPr>
        <w:t>,</w:t>
      </w:r>
      <w:r w:rsidRPr="003B55A3">
        <w:rPr>
          <w:rFonts w:cs="Arial"/>
          <w:rtl/>
        </w:rPr>
        <w:t xml:space="preserve"> אימתי</w:t>
      </w:r>
      <w:r>
        <w:rPr>
          <w:rFonts w:cs="Arial" w:hint="cs"/>
          <w:rtl/>
        </w:rPr>
        <w:t>,</w:t>
      </w:r>
      <w:r w:rsidRPr="003B55A3">
        <w:rPr>
          <w:rFonts w:cs="Arial"/>
          <w:rtl/>
        </w:rPr>
        <w:t xml:space="preserve"> בזמן שבעלי הדין עומדים לפניו</w:t>
      </w:r>
      <w:r>
        <w:rPr>
          <w:rFonts w:cs="Arial" w:hint="cs"/>
          <w:rtl/>
        </w:rPr>
        <w:t>.</w:t>
      </w:r>
      <w:r w:rsidRPr="003B55A3">
        <w:rPr>
          <w:rFonts w:cs="Arial"/>
          <w:rtl/>
        </w:rPr>
        <w:t xml:space="preserve"> ואפילו אמר תוך הזמן אין משגיחין בו</w:t>
      </w:r>
      <w:r>
        <w:rPr>
          <w:rFonts w:cs="Arial" w:hint="cs"/>
          <w:rtl/>
        </w:rPr>
        <w:t>,</w:t>
      </w:r>
      <w:r w:rsidRPr="003B55A3">
        <w:rPr>
          <w:rFonts w:cs="Arial"/>
          <w:rtl/>
        </w:rPr>
        <w:t xml:space="preserve"> שאין הזמן אלא ליתן לו זמן שיפסוק מה שיפסוק תוך אותו זמן</w:t>
      </w:r>
      <w:r w:rsidR="00855821">
        <w:rPr>
          <w:rFonts w:cs="Arial" w:hint="cs"/>
          <w:rtl/>
        </w:rPr>
        <w:t>,</w:t>
      </w:r>
      <w:r w:rsidRPr="003B55A3">
        <w:rPr>
          <w:rFonts w:cs="Arial"/>
          <w:rtl/>
        </w:rPr>
        <w:t xml:space="preserve"> אבל אחר שפסק וכתב ונתן שוב אין לו רשות להוסיף ולגרוע אפילו תוך אותו זמן</w:t>
      </w:r>
      <w:r>
        <w:rPr>
          <w:rFonts w:cs="Arial" w:hint="cs"/>
          <w:rtl/>
        </w:rPr>
        <w:t>.</w:t>
      </w:r>
    </w:p>
    <w:p w14:paraId="28F90341" w14:textId="77777777" w:rsidR="00E137BC" w:rsidRPr="00576D5C" w:rsidRDefault="00E137BC" w:rsidP="00576D5C">
      <w:pPr>
        <w:rPr>
          <w:rFonts w:asciiTheme="minorBidi" w:hAnsiTheme="minorBidi"/>
          <w:b/>
          <w:bCs/>
          <w:color w:val="000000"/>
          <w:sz w:val="28"/>
          <w:szCs w:val="28"/>
          <w:u w:val="single"/>
          <w:rtl/>
        </w:rPr>
      </w:pPr>
      <w:r w:rsidRPr="00576D5C">
        <w:rPr>
          <w:rFonts w:asciiTheme="minorBidi" w:hAnsiTheme="minorBidi"/>
          <w:b/>
          <w:bCs/>
          <w:color w:val="000000"/>
          <w:sz w:val="28"/>
          <w:szCs w:val="28"/>
          <w:u w:val="single"/>
          <w:rtl/>
        </w:rPr>
        <w:t>שו"ע:</w:t>
      </w:r>
    </w:p>
    <w:p w14:paraId="73FEA695" w14:textId="77777777" w:rsidR="00E137BC" w:rsidRDefault="00E137BC" w:rsidP="00576D5C">
      <w:pPr>
        <w:rPr>
          <w:rFonts w:asciiTheme="minorBidi" w:hAnsiTheme="minorBidi"/>
          <w:rtl/>
        </w:rPr>
      </w:pPr>
      <w:r w:rsidRPr="00576D5C">
        <w:rPr>
          <w:rFonts w:asciiTheme="minorBidi" w:hAnsiTheme="minorBidi"/>
          <w:rtl/>
        </w:rPr>
        <w:lastRenderedPageBreak/>
        <w:t>אף על פי שנתרצו</w:t>
      </w:r>
      <w:r w:rsidR="002C0319">
        <w:rPr>
          <w:rStyle w:val="ab"/>
          <w:rFonts w:asciiTheme="minorBidi" w:hAnsiTheme="minorBidi"/>
          <w:rtl/>
        </w:rPr>
        <w:footnoteReference w:id="658"/>
      </w:r>
      <w:r w:rsidRPr="00576D5C">
        <w:rPr>
          <w:rFonts w:asciiTheme="minorBidi" w:hAnsiTheme="minorBidi"/>
          <w:rtl/>
        </w:rPr>
        <w:t xml:space="preserve"> הבעלי דינין בפשרה בב</w:t>
      </w:r>
      <w:r w:rsidR="004A54B8">
        <w:rPr>
          <w:rFonts w:asciiTheme="minorBidi" w:hAnsiTheme="minorBidi" w:hint="cs"/>
          <w:rtl/>
        </w:rPr>
        <w:t xml:space="preserve">ית </w:t>
      </w:r>
      <w:r w:rsidRPr="00576D5C">
        <w:rPr>
          <w:rFonts w:asciiTheme="minorBidi" w:hAnsiTheme="minorBidi"/>
          <w:rtl/>
        </w:rPr>
        <w:t>ד</w:t>
      </w:r>
      <w:r w:rsidR="004A54B8">
        <w:rPr>
          <w:rFonts w:asciiTheme="minorBidi" w:hAnsiTheme="minorBidi" w:hint="cs"/>
          <w:rtl/>
        </w:rPr>
        <w:t>ין</w:t>
      </w:r>
      <w:r w:rsidR="002C0319">
        <w:rPr>
          <w:rStyle w:val="ab"/>
          <w:rFonts w:asciiTheme="minorBidi" w:hAnsiTheme="minorBidi"/>
          <w:rtl/>
        </w:rPr>
        <w:footnoteReference w:id="659"/>
      </w:r>
      <w:r w:rsidRPr="00576D5C">
        <w:rPr>
          <w:rFonts w:asciiTheme="minorBidi" w:hAnsiTheme="minorBidi"/>
          <w:rtl/>
        </w:rPr>
        <w:t>, יכולים לחזור בהם</w:t>
      </w:r>
      <w:r w:rsidR="002C0319">
        <w:rPr>
          <w:rStyle w:val="ab"/>
          <w:rFonts w:asciiTheme="minorBidi" w:hAnsiTheme="minorBidi"/>
          <w:rtl/>
        </w:rPr>
        <w:footnoteReference w:id="660"/>
      </w:r>
      <w:r w:rsidRPr="00576D5C">
        <w:rPr>
          <w:rFonts w:asciiTheme="minorBidi" w:hAnsiTheme="minorBidi"/>
          <w:rtl/>
        </w:rPr>
        <w:t xml:space="preserve"> כל זמן שלא קנו מידם, דפשרה צריכה קנין</w:t>
      </w:r>
      <w:r w:rsidR="00774862">
        <w:rPr>
          <w:rStyle w:val="ab"/>
          <w:rFonts w:asciiTheme="minorBidi" w:hAnsiTheme="minorBidi"/>
          <w:rtl/>
        </w:rPr>
        <w:footnoteReference w:id="661"/>
      </w:r>
      <w:r w:rsidRPr="00576D5C">
        <w:rPr>
          <w:rFonts w:asciiTheme="minorBidi" w:hAnsiTheme="minorBidi"/>
          <w:rtl/>
        </w:rPr>
        <w:t xml:space="preserve"> אפילו בשלשה</w:t>
      </w:r>
      <w:r w:rsidR="004A54B8">
        <w:rPr>
          <w:rFonts w:asciiTheme="minorBidi" w:hAnsiTheme="minorBidi" w:hint="cs"/>
          <w:rtl/>
        </w:rPr>
        <w:t>.</w:t>
      </w:r>
      <w:r w:rsidRPr="00576D5C">
        <w:rPr>
          <w:rFonts w:asciiTheme="minorBidi" w:hAnsiTheme="minorBidi"/>
          <w:rtl/>
        </w:rPr>
        <w:t xml:space="preserve"> אבל אם קנו מידם, אין יכולים לחזור בהם אפילו ביחיד</w:t>
      </w:r>
      <w:r w:rsidR="004A54B8">
        <w:rPr>
          <w:rFonts w:asciiTheme="minorBidi" w:hAnsiTheme="minorBidi" w:hint="cs"/>
          <w:rtl/>
        </w:rPr>
        <w:t>.</w:t>
      </w:r>
      <w:r w:rsidRPr="00576D5C">
        <w:rPr>
          <w:rFonts w:asciiTheme="minorBidi" w:hAnsiTheme="minorBidi"/>
          <w:rtl/>
        </w:rPr>
        <w:t xml:space="preserve"> ויש אומרים דדוקא בשנים. </w:t>
      </w:r>
      <w:r w:rsidRPr="004A54B8">
        <w:rPr>
          <w:rFonts w:asciiTheme="minorBidi" w:hAnsiTheme="minorBidi"/>
          <w:sz w:val="18"/>
          <w:szCs w:val="18"/>
          <w:rtl/>
        </w:rPr>
        <w:t>הגה: וקנין לאו דוקא, אלא ה"ה אם נתן שטר עליו</w:t>
      </w:r>
      <w:r w:rsidR="00774862">
        <w:rPr>
          <w:rStyle w:val="ab"/>
          <w:rFonts w:asciiTheme="minorBidi" w:hAnsiTheme="minorBidi"/>
          <w:sz w:val="18"/>
          <w:szCs w:val="18"/>
          <w:rtl/>
        </w:rPr>
        <w:footnoteReference w:id="662"/>
      </w:r>
      <w:r w:rsidRPr="004A54B8">
        <w:rPr>
          <w:rFonts w:asciiTheme="minorBidi" w:hAnsiTheme="minorBidi"/>
          <w:sz w:val="18"/>
          <w:szCs w:val="18"/>
          <w:rtl/>
        </w:rPr>
        <w:t xml:space="preserve"> (ב"י בשם ריטב"א</w:t>
      </w:r>
      <w:r w:rsidR="000363E7">
        <w:rPr>
          <w:rFonts w:asciiTheme="minorBidi" w:hAnsiTheme="minorBidi" w:hint="cs"/>
          <w:sz w:val="18"/>
          <w:szCs w:val="18"/>
          <w:rtl/>
        </w:rPr>
        <w:t xml:space="preserve"> בתשו'</w:t>
      </w:r>
      <w:r w:rsidRPr="004A54B8">
        <w:rPr>
          <w:rFonts w:asciiTheme="minorBidi" w:hAnsiTheme="minorBidi"/>
          <w:sz w:val="18"/>
          <w:szCs w:val="18"/>
          <w:rtl/>
        </w:rPr>
        <w:t>), או אחד משאר דרכי הקניה (רשב"א בתשו</w:t>
      </w:r>
      <w:r w:rsidR="000363E7">
        <w:rPr>
          <w:rFonts w:asciiTheme="minorBidi" w:hAnsiTheme="minorBidi" w:hint="cs"/>
          <w:sz w:val="18"/>
          <w:szCs w:val="18"/>
          <w:rtl/>
        </w:rPr>
        <w:t>'</w:t>
      </w:r>
      <w:r w:rsidRPr="004A54B8">
        <w:rPr>
          <w:rFonts w:asciiTheme="minorBidi" w:hAnsiTheme="minorBidi"/>
          <w:sz w:val="18"/>
          <w:szCs w:val="18"/>
          <w:rtl/>
        </w:rPr>
        <w:t>). יש אומרים כשמקבל קנין על הפשרה צריך להקנות לו החפץ</w:t>
      </w:r>
      <w:r w:rsidR="00774862">
        <w:rPr>
          <w:rStyle w:val="ab"/>
          <w:rFonts w:asciiTheme="minorBidi" w:hAnsiTheme="minorBidi"/>
          <w:sz w:val="18"/>
          <w:szCs w:val="18"/>
          <w:rtl/>
        </w:rPr>
        <w:footnoteReference w:id="663"/>
      </w:r>
      <w:r w:rsidRPr="004A54B8">
        <w:rPr>
          <w:rFonts w:asciiTheme="minorBidi" w:hAnsiTheme="minorBidi"/>
          <w:sz w:val="18"/>
          <w:szCs w:val="18"/>
          <w:rtl/>
        </w:rPr>
        <w:t>, שלא יהא קנין דברים</w:t>
      </w:r>
      <w:r w:rsidR="00774862">
        <w:rPr>
          <w:rStyle w:val="ab"/>
          <w:rFonts w:asciiTheme="minorBidi" w:hAnsiTheme="minorBidi"/>
          <w:sz w:val="18"/>
          <w:szCs w:val="18"/>
          <w:rtl/>
        </w:rPr>
        <w:footnoteReference w:id="664"/>
      </w:r>
      <w:r w:rsidRPr="004A54B8">
        <w:rPr>
          <w:rFonts w:asciiTheme="minorBidi" w:hAnsiTheme="minorBidi"/>
          <w:sz w:val="18"/>
          <w:szCs w:val="18"/>
          <w:rtl/>
        </w:rPr>
        <w:t xml:space="preserve"> (מרדכי</w:t>
      </w:r>
      <w:r w:rsidR="000363E7">
        <w:rPr>
          <w:rFonts w:asciiTheme="minorBidi" w:hAnsiTheme="minorBidi" w:hint="cs"/>
          <w:sz w:val="18"/>
          <w:szCs w:val="18"/>
          <w:rtl/>
        </w:rPr>
        <w:t xml:space="preserve"> סי' תרפ, הביאו הב"י</w:t>
      </w:r>
      <w:r w:rsidRPr="004A54B8">
        <w:rPr>
          <w:rFonts w:asciiTheme="minorBidi" w:hAnsiTheme="minorBidi"/>
          <w:sz w:val="18"/>
          <w:szCs w:val="18"/>
          <w:rtl/>
        </w:rPr>
        <w:t>), כמו שיתבאר לקמן ריש סימן ר"ג.</w:t>
      </w:r>
      <w:r w:rsidRPr="00576D5C">
        <w:rPr>
          <w:rFonts w:asciiTheme="minorBidi" w:hAnsiTheme="minorBidi"/>
          <w:rtl/>
        </w:rPr>
        <w:t xml:space="preserve"> </w:t>
      </w:r>
    </w:p>
    <w:p w14:paraId="0B499765" w14:textId="77777777" w:rsidR="004A54B8" w:rsidRPr="00576D5C" w:rsidRDefault="004A54B8" w:rsidP="00576D5C">
      <w:pPr>
        <w:rPr>
          <w:rFonts w:asciiTheme="minorBidi" w:hAnsiTheme="minorBidi"/>
          <w:rtl/>
        </w:rPr>
      </w:pPr>
    </w:p>
    <w:p w14:paraId="2141BB82" w14:textId="77777777" w:rsidR="00E137BC" w:rsidRDefault="00E137BC" w:rsidP="00AB008F">
      <w:pPr>
        <w:pStyle w:val="2"/>
        <w:rPr>
          <w:rtl/>
        </w:rPr>
      </w:pPr>
      <w:bookmarkStart w:id="95" w:name="_Toc24883582"/>
      <w:r w:rsidRPr="00576D5C">
        <w:rPr>
          <w:rtl/>
        </w:rPr>
        <w:t>סעיף ח</w:t>
      </w:r>
      <w:r w:rsidR="006567B0">
        <w:rPr>
          <w:rFonts w:hint="cs"/>
          <w:rtl/>
        </w:rPr>
        <w:t>:</w:t>
      </w:r>
      <w:r w:rsidR="000363E7">
        <w:rPr>
          <w:rFonts w:hint="cs"/>
          <w:rtl/>
        </w:rPr>
        <w:t xml:space="preserve"> מחילה אינה צריכה קניין.</w:t>
      </w:r>
      <w:bookmarkEnd w:id="95"/>
    </w:p>
    <w:p w14:paraId="71C33E71" w14:textId="77777777" w:rsidR="006567B0" w:rsidRPr="006567B0" w:rsidRDefault="00E205F7" w:rsidP="006567B0">
      <w:pPr>
        <w:rPr>
          <w:rtl/>
        </w:rPr>
      </w:pPr>
      <w:r>
        <w:rPr>
          <w:rFonts w:cs="Arial" w:hint="cs"/>
          <w:rtl/>
        </w:rPr>
        <w:t>עיין במקורות בסע</w:t>
      </w:r>
      <w:r w:rsidR="00984E92">
        <w:rPr>
          <w:rFonts w:cs="Arial" w:hint="cs"/>
          <w:rtl/>
        </w:rPr>
        <w:t>יף</w:t>
      </w:r>
      <w:r>
        <w:rPr>
          <w:rFonts w:cs="Arial" w:hint="cs"/>
          <w:rtl/>
        </w:rPr>
        <w:t xml:space="preserve"> ז.</w:t>
      </w:r>
    </w:p>
    <w:p w14:paraId="6A3F7B8B" w14:textId="77777777" w:rsidR="00E137BC" w:rsidRPr="00576D5C" w:rsidRDefault="00E137BC" w:rsidP="00576D5C">
      <w:pPr>
        <w:rPr>
          <w:rFonts w:asciiTheme="minorBidi" w:hAnsiTheme="minorBidi"/>
          <w:b/>
          <w:bCs/>
          <w:color w:val="000000"/>
          <w:sz w:val="28"/>
          <w:szCs w:val="28"/>
          <w:u w:val="single"/>
          <w:rtl/>
        </w:rPr>
      </w:pPr>
      <w:r w:rsidRPr="00576D5C">
        <w:rPr>
          <w:rFonts w:asciiTheme="minorBidi" w:hAnsiTheme="minorBidi"/>
          <w:b/>
          <w:bCs/>
          <w:color w:val="000000"/>
          <w:sz w:val="28"/>
          <w:szCs w:val="28"/>
          <w:u w:val="single"/>
          <w:rtl/>
        </w:rPr>
        <w:t>שו"ע:</w:t>
      </w:r>
    </w:p>
    <w:p w14:paraId="20738580" w14:textId="77777777" w:rsidR="00E137BC" w:rsidRDefault="00E137BC" w:rsidP="00576D5C">
      <w:pPr>
        <w:rPr>
          <w:rFonts w:asciiTheme="minorBidi" w:hAnsiTheme="minorBidi"/>
          <w:rtl/>
        </w:rPr>
      </w:pPr>
      <w:r w:rsidRPr="00576D5C">
        <w:rPr>
          <w:rFonts w:asciiTheme="minorBidi" w:hAnsiTheme="minorBidi"/>
          <w:rtl/>
        </w:rPr>
        <w:t>מחילה אינה צריכה קניין</w:t>
      </w:r>
      <w:r w:rsidR="00E205F7">
        <w:rPr>
          <w:rStyle w:val="ab"/>
          <w:rFonts w:asciiTheme="minorBidi" w:hAnsiTheme="minorBidi"/>
          <w:rtl/>
        </w:rPr>
        <w:footnoteReference w:id="665"/>
      </w:r>
      <w:r w:rsidR="004A54B8">
        <w:rPr>
          <w:rFonts w:asciiTheme="minorBidi" w:hAnsiTheme="minorBidi" w:hint="cs"/>
          <w:rtl/>
        </w:rPr>
        <w:t>.</w:t>
      </w:r>
      <w:r w:rsidRPr="00576D5C">
        <w:rPr>
          <w:rFonts w:asciiTheme="minorBidi" w:hAnsiTheme="minorBidi"/>
          <w:rtl/>
        </w:rPr>
        <w:t xml:space="preserve"> </w:t>
      </w:r>
      <w:r w:rsidR="00E205F7">
        <w:rPr>
          <w:rFonts w:asciiTheme="minorBidi" w:hAnsiTheme="minorBidi" w:hint="cs"/>
          <w:sz w:val="18"/>
          <w:szCs w:val="18"/>
          <w:rtl/>
        </w:rPr>
        <w:t xml:space="preserve">[הגה] </w:t>
      </w:r>
      <w:r w:rsidRPr="004A54B8">
        <w:rPr>
          <w:rFonts w:asciiTheme="minorBidi" w:hAnsiTheme="minorBidi"/>
          <w:sz w:val="18"/>
          <w:szCs w:val="18"/>
          <w:rtl/>
        </w:rPr>
        <w:t>וע"ל סי' רמ"א.</w:t>
      </w:r>
      <w:r w:rsidRPr="00576D5C">
        <w:rPr>
          <w:rFonts w:asciiTheme="minorBidi" w:hAnsiTheme="minorBidi"/>
          <w:rtl/>
        </w:rPr>
        <w:t xml:space="preserve"> </w:t>
      </w:r>
    </w:p>
    <w:p w14:paraId="0AD53899" w14:textId="77777777" w:rsidR="004A54B8" w:rsidRPr="00576D5C" w:rsidRDefault="004A54B8" w:rsidP="00576D5C">
      <w:pPr>
        <w:rPr>
          <w:rFonts w:asciiTheme="minorBidi" w:hAnsiTheme="minorBidi"/>
          <w:rtl/>
        </w:rPr>
      </w:pPr>
    </w:p>
    <w:p w14:paraId="30E908CB" w14:textId="77777777" w:rsidR="00E137BC" w:rsidRDefault="00E137BC" w:rsidP="00AB008F">
      <w:pPr>
        <w:pStyle w:val="2"/>
        <w:rPr>
          <w:rtl/>
        </w:rPr>
      </w:pPr>
      <w:bookmarkStart w:id="96" w:name="_Toc24883583"/>
      <w:r w:rsidRPr="00576D5C">
        <w:rPr>
          <w:rtl/>
        </w:rPr>
        <w:t>סעיף ט</w:t>
      </w:r>
      <w:r w:rsidR="006567B0">
        <w:rPr>
          <w:rFonts w:hint="cs"/>
          <w:rtl/>
        </w:rPr>
        <w:t>:</w:t>
      </w:r>
      <w:r w:rsidR="00027188">
        <w:rPr>
          <w:rFonts w:hint="cs"/>
          <w:rtl/>
        </w:rPr>
        <w:t xml:space="preserve"> שנים שקבלו פשרנים בקנין וקנס </w:t>
      </w:r>
      <w:r w:rsidR="00027188">
        <w:rPr>
          <w:rtl/>
        </w:rPr>
        <w:t>–</w:t>
      </w:r>
      <w:r w:rsidR="00027188">
        <w:rPr>
          <w:rFonts w:hint="cs"/>
          <w:rtl/>
        </w:rPr>
        <w:t xml:space="preserve"> ורוצה אחד לשלם הקנס ולהיפטר מהפשרה.</w:t>
      </w:r>
      <w:bookmarkEnd w:id="96"/>
    </w:p>
    <w:p w14:paraId="77032AF6" w14:textId="77777777" w:rsidR="00E93A57" w:rsidRDefault="00E93A57" w:rsidP="00E93A57">
      <w:pPr>
        <w:rPr>
          <w:rFonts w:cs="Arial"/>
          <w:rtl/>
        </w:rPr>
      </w:pPr>
      <w:r w:rsidRPr="003B55A3">
        <w:rPr>
          <w:rFonts w:cs="Arial" w:hint="cs"/>
          <w:u w:val="single"/>
          <w:rtl/>
        </w:rPr>
        <w:t>אחד הצדדים רוצה לחזור בו מהפשרה לאחר חזקה:</w:t>
      </w:r>
    </w:p>
    <w:p w14:paraId="4F9409B1" w14:textId="77777777" w:rsidR="00E93A57" w:rsidRPr="00E93A57" w:rsidRDefault="00E93A57" w:rsidP="00E93A57">
      <w:pPr>
        <w:pStyle w:val="ac"/>
        <w:numPr>
          <w:ilvl w:val="0"/>
          <w:numId w:val="8"/>
        </w:numPr>
        <w:rPr>
          <w:rFonts w:cs="Arial"/>
          <w:rtl/>
        </w:rPr>
      </w:pPr>
      <w:r w:rsidRPr="003B55A3">
        <w:rPr>
          <w:rFonts w:cs="Arial" w:hint="cs"/>
          <w:rtl/>
        </w:rPr>
        <w:t>רשב"א</w:t>
      </w:r>
      <w:r w:rsidRPr="003B55A3">
        <w:rPr>
          <w:rFonts w:cs="Arial"/>
          <w:sz w:val="16"/>
          <w:szCs w:val="16"/>
          <w:rtl/>
        </w:rPr>
        <w:t xml:space="preserve"> (</w:t>
      </w:r>
      <w:r w:rsidRPr="003B55A3">
        <w:rPr>
          <w:rFonts w:cs="Arial" w:hint="cs"/>
          <w:sz w:val="16"/>
          <w:szCs w:val="16"/>
          <w:rtl/>
        </w:rPr>
        <w:t xml:space="preserve">ח"ג </w:t>
      </w:r>
      <w:r w:rsidRPr="003B55A3">
        <w:rPr>
          <w:rFonts w:cs="Arial"/>
          <w:sz w:val="16"/>
          <w:szCs w:val="16"/>
          <w:rtl/>
        </w:rPr>
        <w:t>סי' רב</w:t>
      </w:r>
      <w:r>
        <w:rPr>
          <w:rFonts w:cs="Arial" w:hint="cs"/>
          <w:sz w:val="16"/>
          <w:szCs w:val="16"/>
          <w:rtl/>
        </w:rPr>
        <w:t>, הביא הב"י חלק מדבריו</w:t>
      </w:r>
      <w:r w:rsidRPr="003B55A3">
        <w:rPr>
          <w:rFonts w:cs="Arial"/>
          <w:sz w:val="16"/>
          <w:szCs w:val="16"/>
          <w:rtl/>
        </w:rPr>
        <w:t>)</w:t>
      </w:r>
      <w:r w:rsidRPr="003B55A3">
        <w:rPr>
          <w:rFonts w:cs="Arial" w:hint="cs"/>
          <w:rtl/>
        </w:rPr>
        <w:t>-</w:t>
      </w:r>
      <w:r w:rsidRPr="003B55A3">
        <w:rPr>
          <w:rFonts w:cs="Arial"/>
          <w:rtl/>
        </w:rPr>
        <w:t xml:space="preserve"> </w:t>
      </w:r>
      <w:r w:rsidRPr="001B0A89">
        <w:rPr>
          <w:rFonts w:cs="Arial"/>
          <w:rtl/>
        </w:rPr>
        <w:t>שאלתם</w:t>
      </w:r>
      <w:r>
        <w:rPr>
          <w:rFonts w:cs="Arial" w:hint="cs"/>
          <w:rtl/>
        </w:rPr>
        <w:t>,</w:t>
      </w:r>
      <w:r w:rsidRPr="001B0A89">
        <w:rPr>
          <w:rFonts w:cs="Arial"/>
          <w:rtl/>
        </w:rPr>
        <w:t xml:space="preserve"> הבית והעלי</w:t>
      </w:r>
      <w:r>
        <w:rPr>
          <w:rFonts w:cs="Arial" w:hint="cs"/>
          <w:rtl/>
        </w:rPr>
        <w:t>ה</w:t>
      </w:r>
      <w:r w:rsidRPr="001B0A89">
        <w:rPr>
          <w:rFonts w:cs="Arial"/>
          <w:rtl/>
        </w:rPr>
        <w:t xml:space="preserve"> של ראובן ושמעון</w:t>
      </w:r>
      <w:r>
        <w:rPr>
          <w:rFonts w:cs="Arial" w:hint="cs"/>
          <w:rtl/>
        </w:rPr>
        <w:t>,</w:t>
      </w:r>
      <w:r w:rsidRPr="001B0A89">
        <w:rPr>
          <w:rFonts w:cs="Arial"/>
          <w:rtl/>
        </w:rPr>
        <w:t xml:space="preserve"> הבית של ראובן והעליה של שמעון</w:t>
      </w:r>
      <w:r>
        <w:rPr>
          <w:rFonts w:cs="Arial" w:hint="cs"/>
          <w:rtl/>
        </w:rPr>
        <w:t>,</w:t>
      </w:r>
      <w:r w:rsidRPr="001B0A89">
        <w:rPr>
          <w:rFonts w:cs="Arial"/>
          <w:rtl/>
        </w:rPr>
        <w:t xml:space="preserve"> ונתעצמו שניהם בדין</w:t>
      </w:r>
      <w:r>
        <w:rPr>
          <w:rFonts w:cs="Arial" w:hint="cs"/>
          <w:rtl/>
        </w:rPr>
        <w:t>,</w:t>
      </w:r>
      <w:r w:rsidRPr="001B0A89">
        <w:rPr>
          <w:rFonts w:cs="Arial"/>
          <w:rtl/>
        </w:rPr>
        <w:t xml:space="preserve"> והטילו פשרנין פשרה ביניהם ובקנס עשרים דינרים שיעשה ראובן בנין כך וכך בעלייה וישתמש בו ושמעון יעשה בבית בנין כך וכך. והתחיל שמעון בבנין ועשה מקצת</w:t>
      </w:r>
      <w:r>
        <w:rPr>
          <w:rFonts w:cs="Arial" w:hint="cs"/>
          <w:rtl/>
        </w:rPr>
        <w:t>,</w:t>
      </w:r>
      <w:r w:rsidRPr="001B0A89">
        <w:rPr>
          <w:rFonts w:cs="Arial"/>
          <w:rtl/>
        </w:rPr>
        <w:t xml:space="preserve"> וכן ראובן עשה מקצת בנין בבית</w:t>
      </w:r>
      <w:r>
        <w:rPr>
          <w:rFonts w:cs="Arial" w:hint="cs"/>
          <w:rtl/>
        </w:rPr>
        <w:t>,</w:t>
      </w:r>
      <w:r w:rsidRPr="001B0A89">
        <w:rPr>
          <w:rFonts w:cs="Arial"/>
          <w:rtl/>
        </w:rPr>
        <w:t xml:space="preserve"> כדברי הפשרנין. עכשיו טוען ראובן </w:t>
      </w:r>
      <w:r>
        <w:rPr>
          <w:rFonts w:cs="Arial" w:hint="cs"/>
          <w:rtl/>
        </w:rPr>
        <w:t>'</w:t>
      </w:r>
      <w:r w:rsidRPr="001B0A89">
        <w:rPr>
          <w:rFonts w:cs="Arial"/>
          <w:rtl/>
        </w:rPr>
        <w:t>אי אפשי בפשרה הריני פורע הקנס ותתבטל הפשרה ולא ישתמש שמעון במה שפסקו הפשרנין מכאן ואילך</w:t>
      </w:r>
      <w:r>
        <w:rPr>
          <w:rFonts w:cs="Arial" w:hint="cs"/>
          <w:rtl/>
        </w:rPr>
        <w:t>'</w:t>
      </w:r>
      <w:r w:rsidRPr="001B0A89">
        <w:rPr>
          <w:rFonts w:cs="Arial"/>
          <w:rtl/>
        </w:rPr>
        <w:t xml:space="preserve">. ושמעון טוען </w:t>
      </w:r>
      <w:r>
        <w:rPr>
          <w:rFonts w:cs="Arial" w:hint="cs"/>
          <w:rtl/>
        </w:rPr>
        <w:t>'</w:t>
      </w:r>
      <w:r w:rsidRPr="001B0A89">
        <w:rPr>
          <w:rFonts w:cs="Arial"/>
          <w:rtl/>
        </w:rPr>
        <w:t>כיון שהתחלת לבנות כדברי פשרני</w:t>
      </w:r>
      <w:r>
        <w:rPr>
          <w:rFonts w:cs="Arial" w:hint="cs"/>
          <w:rtl/>
        </w:rPr>
        <w:t>ם</w:t>
      </w:r>
      <w:r w:rsidRPr="001B0A89">
        <w:rPr>
          <w:rFonts w:cs="Arial"/>
          <w:rtl/>
        </w:rPr>
        <w:t xml:space="preserve"> סברת וקבלת ואינך יכול למחות בידי מלהשתמש במה שפסקו</w:t>
      </w:r>
      <w:r>
        <w:rPr>
          <w:rFonts w:cs="Arial" w:hint="cs"/>
          <w:rtl/>
        </w:rPr>
        <w:t xml:space="preserve"> </w:t>
      </w:r>
      <w:r w:rsidRPr="001B0A89">
        <w:rPr>
          <w:rFonts w:cs="Arial"/>
          <w:rtl/>
        </w:rPr>
        <w:t>הפשרנין ואינך רשאי לפטור עצמך מן הפשרה בפרעון הקנס</w:t>
      </w:r>
      <w:r>
        <w:rPr>
          <w:rFonts w:cs="Arial" w:hint="cs"/>
          <w:rtl/>
        </w:rPr>
        <w:t>'</w:t>
      </w:r>
      <w:r w:rsidRPr="001B0A89">
        <w:rPr>
          <w:rFonts w:cs="Arial"/>
          <w:rtl/>
        </w:rPr>
        <w:t>. הודיעני הדין עם מי</w:t>
      </w:r>
      <w:r>
        <w:rPr>
          <w:rFonts w:cs="Arial" w:hint="cs"/>
          <w:rtl/>
        </w:rPr>
        <w:t xml:space="preserve">. </w:t>
      </w:r>
      <w:r w:rsidRPr="001B0A89">
        <w:rPr>
          <w:rFonts w:cs="Arial"/>
          <w:rtl/>
        </w:rPr>
        <w:t>תשובה</w:t>
      </w:r>
      <w:r>
        <w:rPr>
          <w:rFonts w:cs="Arial" w:hint="cs"/>
          <w:rtl/>
        </w:rPr>
        <w:t>,</w:t>
      </w:r>
      <w:r w:rsidRPr="001B0A89">
        <w:rPr>
          <w:rFonts w:cs="Arial"/>
          <w:rtl/>
        </w:rPr>
        <w:t xml:space="preserve"> אם היתה הפשרה בקנין כדינה</w:t>
      </w:r>
      <w:r>
        <w:rPr>
          <w:rFonts w:cs="Arial" w:hint="cs"/>
          <w:rtl/>
        </w:rPr>
        <w:t xml:space="preserve"> -</w:t>
      </w:r>
      <w:r w:rsidRPr="001B0A89">
        <w:rPr>
          <w:rFonts w:cs="Arial"/>
          <w:rtl/>
        </w:rPr>
        <w:t xml:space="preserve"> מעתה אין אחד מהם יכול לחזור ואין פרעון הקנס פוטר</w:t>
      </w:r>
      <w:r>
        <w:rPr>
          <w:rFonts w:cs="Arial" w:hint="cs"/>
          <w:rtl/>
        </w:rPr>
        <w:t>,</w:t>
      </w:r>
      <w:r w:rsidRPr="001B0A89">
        <w:rPr>
          <w:rFonts w:cs="Arial"/>
          <w:rtl/>
        </w:rPr>
        <w:t xml:space="preserve"> שאין הקנס אלא תוספת בטחון</w:t>
      </w:r>
      <w:r>
        <w:rPr>
          <w:rFonts w:cs="Arial" w:hint="cs"/>
          <w:rtl/>
        </w:rPr>
        <w:t>,</w:t>
      </w:r>
      <w:r w:rsidRPr="001B0A89">
        <w:rPr>
          <w:rFonts w:cs="Arial"/>
          <w:rtl/>
        </w:rPr>
        <w:t xml:space="preserve"> שאם יחזרו בהן אע</w:t>
      </w:r>
      <w:r>
        <w:rPr>
          <w:rFonts w:cs="Arial" w:hint="cs"/>
          <w:rtl/>
        </w:rPr>
        <w:t>"</w:t>
      </w:r>
      <w:r w:rsidRPr="001B0A89">
        <w:rPr>
          <w:rFonts w:cs="Arial"/>
          <w:rtl/>
        </w:rPr>
        <w:t>פ דרשאין מן הדין אחר הקנין שיפרע החוזר בו כך וכך כדי שלא יטריח את חבירו לב"ד.</w:t>
      </w:r>
      <w:r>
        <w:rPr>
          <w:rFonts w:cs="Arial" w:hint="cs"/>
          <w:rtl/>
        </w:rPr>
        <w:t>..</w:t>
      </w:r>
      <w:r w:rsidRPr="001B0A89">
        <w:rPr>
          <w:rFonts w:cs="Arial"/>
          <w:rtl/>
        </w:rPr>
        <w:t xml:space="preserve"> </w:t>
      </w:r>
      <w:r>
        <w:rPr>
          <w:rFonts w:cs="Arial" w:hint="cs"/>
          <w:sz w:val="16"/>
          <w:szCs w:val="16"/>
          <w:rtl/>
        </w:rPr>
        <w:t>{והא ד-}</w:t>
      </w:r>
      <w:r w:rsidRPr="001B0A89">
        <w:rPr>
          <w:rFonts w:cs="Arial"/>
          <w:rtl/>
        </w:rPr>
        <w:t xml:space="preserve">הפשרנין הטילו פשרה ביניהם שזה יעשה בנין ויחזיק וזה יעשה בנין ויחזיק וקבלו עליהם והתחילו לבנות מעתה אין יכולין לחזור בהם שכבר קבלו והלך זה והחזיק והלך זה והחזיק ואין אחר חזקה כלום. </w:t>
      </w:r>
      <w:r w:rsidRPr="00E93A57">
        <w:rPr>
          <w:rFonts w:cs="Arial" w:hint="cs"/>
          <w:color w:val="E36C0A" w:themeColor="accent6" w:themeShade="BF"/>
          <w:rtl/>
        </w:rPr>
        <w:t>(וכ"פ בשו"ע</w:t>
      </w:r>
      <w:r>
        <w:rPr>
          <w:rFonts w:cs="Arial" w:hint="cs"/>
          <w:color w:val="E36C0A" w:themeColor="accent6" w:themeShade="BF"/>
          <w:sz w:val="16"/>
          <w:szCs w:val="16"/>
          <w:rtl/>
        </w:rPr>
        <w:t xml:space="preserve"> </w:t>
      </w:r>
      <w:r>
        <w:rPr>
          <w:rFonts w:cs="Arial" w:hint="cs"/>
          <w:color w:val="000000" w:themeColor="text1"/>
          <w:sz w:val="16"/>
          <w:szCs w:val="16"/>
          <w:rtl/>
        </w:rPr>
        <w:t>[כאן ובסע' יב]</w:t>
      </w:r>
      <w:r w:rsidRPr="00E93A57">
        <w:rPr>
          <w:rFonts w:cs="Arial" w:hint="cs"/>
          <w:color w:val="E36C0A" w:themeColor="accent6" w:themeShade="BF"/>
          <w:rtl/>
        </w:rPr>
        <w:t>)</w:t>
      </w:r>
    </w:p>
    <w:p w14:paraId="7D449B8C" w14:textId="77777777" w:rsidR="00E137BC" w:rsidRPr="00576D5C" w:rsidRDefault="00E137BC" w:rsidP="00576D5C">
      <w:pPr>
        <w:rPr>
          <w:rFonts w:asciiTheme="minorBidi" w:hAnsiTheme="minorBidi"/>
          <w:b/>
          <w:bCs/>
          <w:color w:val="000000"/>
          <w:sz w:val="28"/>
          <w:szCs w:val="28"/>
          <w:u w:val="single"/>
          <w:rtl/>
        </w:rPr>
      </w:pPr>
      <w:r w:rsidRPr="00576D5C">
        <w:rPr>
          <w:rFonts w:asciiTheme="minorBidi" w:hAnsiTheme="minorBidi"/>
          <w:b/>
          <w:bCs/>
          <w:color w:val="000000"/>
          <w:sz w:val="28"/>
          <w:szCs w:val="28"/>
          <w:u w:val="single"/>
          <w:rtl/>
        </w:rPr>
        <w:t>שו"ע:</w:t>
      </w:r>
    </w:p>
    <w:p w14:paraId="4C10384E" w14:textId="77777777" w:rsidR="00E137BC" w:rsidRDefault="00E137BC" w:rsidP="00576D5C">
      <w:pPr>
        <w:rPr>
          <w:rFonts w:asciiTheme="minorBidi" w:hAnsiTheme="minorBidi"/>
          <w:rtl/>
        </w:rPr>
      </w:pPr>
      <w:r w:rsidRPr="00576D5C">
        <w:rPr>
          <w:rFonts w:asciiTheme="minorBidi" w:hAnsiTheme="minorBidi"/>
          <w:rtl/>
        </w:rPr>
        <w:lastRenderedPageBreak/>
        <w:t>שנים שקבלו פשרנים בקנין וקנס חמשים, ואחר הפשרה אמר אחד מבעלי דינים: אשלם הקנס ולא אקיים הפשרה, אין בדבריו כלום</w:t>
      </w:r>
      <w:r w:rsidR="00027188">
        <w:rPr>
          <w:rStyle w:val="ab"/>
          <w:rFonts w:asciiTheme="minorBidi" w:hAnsiTheme="minorBidi"/>
          <w:rtl/>
        </w:rPr>
        <w:footnoteReference w:id="666"/>
      </w:r>
      <w:r w:rsidRPr="00576D5C">
        <w:rPr>
          <w:rFonts w:asciiTheme="minorBidi" w:hAnsiTheme="minorBidi"/>
          <w:rtl/>
        </w:rPr>
        <w:t xml:space="preserve">. </w:t>
      </w:r>
    </w:p>
    <w:p w14:paraId="254CD849" w14:textId="77777777" w:rsidR="000363E7" w:rsidRPr="00576D5C" w:rsidRDefault="000363E7" w:rsidP="00576D5C">
      <w:pPr>
        <w:rPr>
          <w:rFonts w:asciiTheme="minorBidi" w:hAnsiTheme="minorBidi"/>
          <w:rtl/>
        </w:rPr>
      </w:pPr>
    </w:p>
    <w:p w14:paraId="10123B18" w14:textId="77777777" w:rsidR="006567B0" w:rsidRPr="006567B0" w:rsidRDefault="00E137BC" w:rsidP="00027188">
      <w:pPr>
        <w:pStyle w:val="2"/>
        <w:rPr>
          <w:rtl/>
        </w:rPr>
      </w:pPr>
      <w:bookmarkStart w:id="97" w:name="_Toc24883584"/>
      <w:r w:rsidRPr="00576D5C">
        <w:rPr>
          <w:rtl/>
        </w:rPr>
        <w:t>סעיף י</w:t>
      </w:r>
      <w:r w:rsidR="006567B0">
        <w:rPr>
          <w:rFonts w:hint="cs"/>
          <w:rtl/>
        </w:rPr>
        <w:t>:</w:t>
      </w:r>
      <w:r w:rsidR="00027188">
        <w:rPr>
          <w:rFonts w:hint="cs"/>
          <w:rtl/>
        </w:rPr>
        <w:t xml:space="preserve"> בעל דין שרוצה לקיים הפשרה מתי שיזדמן לו כיון דהפשרנים לא כתבו אחרת.</w:t>
      </w:r>
      <w:bookmarkEnd w:id="97"/>
    </w:p>
    <w:p w14:paraId="2671C1A4" w14:textId="77777777" w:rsidR="00E137BC" w:rsidRPr="00576D5C" w:rsidRDefault="00E137BC" w:rsidP="00576D5C">
      <w:pPr>
        <w:rPr>
          <w:rFonts w:asciiTheme="minorBidi" w:hAnsiTheme="minorBidi"/>
          <w:b/>
          <w:bCs/>
          <w:color w:val="000000"/>
          <w:sz w:val="28"/>
          <w:szCs w:val="28"/>
          <w:u w:val="single"/>
          <w:rtl/>
        </w:rPr>
      </w:pPr>
      <w:r w:rsidRPr="00576D5C">
        <w:rPr>
          <w:rFonts w:asciiTheme="minorBidi" w:hAnsiTheme="minorBidi"/>
          <w:b/>
          <w:bCs/>
          <w:color w:val="000000"/>
          <w:sz w:val="28"/>
          <w:szCs w:val="28"/>
          <w:u w:val="single"/>
          <w:rtl/>
        </w:rPr>
        <w:t>שו"ע:</w:t>
      </w:r>
    </w:p>
    <w:p w14:paraId="751E73B6" w14:textId="77777777" w:rsidR="00E137BC" w:rsidRDefault="00E137BC" w:rsidP="00576D5C">
      <w:pPr>
        <w:rPr>
          <w:rFonts w:asciiTheme="minorBidi" w:hAnsiTheme="minorBidi"/>
          <w:rtl/>
        </w:rPr>
      </w:pPr>
      <w:r w:rsidRPr="00576D5C">
        <w:rPr>
          <w:rFonts w:asciiTheme="minorBidi" w:hAnsiTheme="minorBidi"/>
          <w:rtl/>
        </w:rPr>
        <w:t xml:space="preserve">אם טוען הבעל דין שלא קבעו עליו זמן הפשרנים שגזרו עליו לעשות, ושהוא יעשה כשיזדמן, אין דבריו כלום, אלא יעשה מיד. </w:t>
      </w:r>
      <w:r w:rsidR="00027188" w:rsidRPr="00027188">
        <w:rPr>
          <w:rFonts w:cs="Arial" w:hint="cs"/>
          <w:sz w:val="16"/>
          <w:szCs w:val="16"/>
          <w:rtl/>
        </w:rPr>
        <w:t>{רשב"א ח"</w:t>
      </w:r>
      <w:r w:rsidR="00027188">
        <w:rPr>
          <w:rFonts w:cs="Arial" w:hint="cs"/>
          <w:sz w:val="16"/>
          <w:szCs w:val="16"/>
          <w:rtl/>
        </w:rPr>
        <w:t>ג</w:t>
      </w:r>
      <w:r w:rsidR="00027188" w:rsidRPr="00027188">
        <w:rPr>
          <w:rFonts w:cs="Arial" w:hint="cs"/>
          <w:sz w:val="16"/>
          <w:szCs w:val="16"/>
          <w:rtl/>
        </w:rPr>
        <w:t xml:space="preserve"> </w:t>
      </w:r>
      <w:r w:rsidR="00027188" w:rsidRPr="00027188">
        <w:rPr>
          <w:rFonts w:cs="Arial"/>
          <w:sz w:val="16"/>
          <w:szCs w:val="16"/>
          <w:rtl/>
        </w:rPr>
        <w:t>סי' רד</w:t>
      </w:r>
      <w:r w:rsidR="00027188" w:rsidRPr="00027188">
        <w:rPr>
          <w:rFonts w:cs="Arial" w:hint="cs"/>
          <w:sz w:val="16"/>
          <w:szCs w:val="16"/>
          <w:rtl/>
        </w:rPr>
        <w:t>}</w:t>
      </w:r>
    </w:p>
    <w:p w14:paraId="2C4A03BB" w14:textId="77777777" w:rsidR="000363E7" w:rsidRPr="00576D5C" w:rsidRDefault="000363E7" w:rsidP="00576D5C">
      <w:pPr>
        <w:rPr>
          <w:rFonts w:asciiTheme="minorBidi" w:hAnsiTheme="minorBidi"/>
          <w:rtl/>
        </w:rPr>
      </w:pPr>
    </w:p>
    <w:p w14:paraId="2E7DE517" w14:textId="77777777" w:rsidR="00E137BC" w:rsidRDefault="00E137BC" w:rsidP="00AB008F">
      <w:pPr>
        <w:pStyle w:val="2"/>
        <w:rPr>
          <w:rtl/>
        </w:rPr>
      </w:pPr>
      <w:bookmarkStart w:id="98" w:name="_Toc24883585"/>
      <w:r w:rsidRPr="00576D5C">
        <w:rPr>
          <w:rtl/>
        </w:rPr>
        <w:t>סעיף יא</w:t>
      </w:r>
      <w:r w:rsidR="006567B0">
        <w:rPr>
          <w:rFonts w:hint="cs"/>
          <w:rtl/>
        </w:rPr>
        <w:t>:</w:t>
      </w:r>
      <w:r w:rsidR="00185F80">
        <w:rPr>
          <w:rFonts w:hint="cs"/>
          <w:rtl/>
        </w:rPr>
        <w:t xml:space="preserve"> פשרה מתוך פחד.</w:t>
      </w:r>
      <w:bookmarkEnd w:id="98"/>
    </w:p>
    <w:p w14:paraId="2ECA7A20" w14:textId="77777777" w:rsidR="00185F80" w:rsidRPr="00185F80" w:rsidRDefault="00185F80" w:rsidP="006567B0">
      <w:pPr>
        <w:rPr>
          <w:rFonts w:cs="Arial"/>
          <w:u w:val="single"/>
          <w:rtl/>
        </w:rPr>
      </w:pPr>
      <w:r w:rsidRPr="00185F80">
        <w:rPr>
          <w:rFonts w:cs="Arial" w:hint="cs"/>
          <w:u w:val="single"/>
          <w:rtl/>
        </w:rPr>
        <w:t xml:space="preserve">ראובן הפחיד את שמעון </w:t>
      </w:r>
      <w:r w:rsidRPr="00185F80">
        <w:rPr>
          <w:rFonts w:cs="Arial"/>
          <w:u w:val="single"/>
          <w:rtl/>
        </w:rPr>
        <w:t>–</w:t>
      </w:r>
      <w:r w:rsidRPr="00185F80">
        <w:rPr>
          <w:rFonts w:cs="Arial" w:hint="cs"/>
          <w:u w:val="single"/>
          <w:rtl/>
        </w:rPr>
        <w:t xml:space="preserve"> ועשו פשרה:</w:t>
      </w:r>
    </w:p>
    <w:p w14:paraId="28BBDE24" w14:textId="77777777" w:rsidR="006567B0" w:rsidRPr="006567B0" w:rsidRDefault="00185F80" w:rsidP="00C704CB">
      <w:pPr>
        <w:pStyle w:val="ac"/>
        <w:numPr>
          <w:ilvl w:val="0"/>
          <w:numId w:val="8"/>
        </w:numPr>
        <w:rPr>
          <w:rtl/>
        </w:rPr>
      </w:pPr>
      <w:r w:rsidRPr="00185F80">
        <w:rPr>
          <w:rFonts w:cs="Arial" w:hint="cs"/>
          <w:rtl/>
        </w:rPr>
        <w:t>רשב"א</w:t>
      </w:r>
      <w:r w:rsidR="006567B0" w:rsidRPr="00185F80">
        <w:rPr>
          <w:rFonts w:cs="Arial"/>
          <w:rtl/>
        </w:rPr>
        <w:t xml:space="preserve"> </w:t>
      </w:r>
      <w:r w:rsidR="006567B0" w:rsidRPr="00185F80">
        <w:rPr>
          <w:rFonts w:cs="Arial"/>
          <w:sz w:val="16"/>
          <w:szCs w:val="16"/>
          <w:rtl/>
        </w:rPr>
        <w:t>(ח"ג סי' קב)</w:t>
      </w:r>
      <w:r w:rsidRPr="00185F80">
        <w:rPr>
          <w:rFonts w:cs="Arial" w:hint="cs"/>
          <w:rtl/>
        </w:rPr>
        <w:t>-</w:t>
      </w:r>
      <w:r w:rsidR="006567B0" w:rsidRPr="00185F80">
        <w:rPr>
          <w:rFonts w:cs="Arial"/>
          <w:rtl/>
        </w:rPr>
        <w:t xml:space="preserve"> שאלת</w:t>
      </w:r>
      <w:r w:rsidR="00B754B4">
        <w:rPr>
          <w:rFonts w:cs="Arial" w:hint="cs"/>
          <w:rtl/>
        </w:rPr>
        <w:t>,</w:t>
      </w:r>
      <w:r w:rsidR="006567B0" w:rsidRPr="00185F80">
        <w:rPr>
          <w:rFonts w:cs="Arial"/>
          <w:rtl/>
        </w:rPr>
        <w:t xml:space="preserve"> ראובן הפחיד את שמעון בעדים שאם לא יתן לו ממון שהיו דנים עליו ואין לו בו זכות כפי הדין ימסור אותו</w:t>
      </w:r>
      <w:r w:rsidR="00B754B4">
        <w:rPr>
          <w:rFonts w:cs="Arial" w:hint="cs"/>
          <w:rtl/>
        </w:rPr>
        <w:t>,</w:t>
      </w:r>
      <w:r w:rsidR="006567B0" w:rsidRPr="00185F80">
        <w:rPr>
          <w:rFonts w:cs="Arial"/>
          <w:rtl/>
        </w:rPr>
        <w:t xml:space="preserve"> ונכנס אחד ביניהם ועשה פשרה בקנין וביטול מודעא. תשובה</w:t>
      </w:r>
      <w:r w:rsidR="00B754B4">
        <w:rPr>
          <w:rFonts w:cs="Arial" w:hint="cs"/>
          <w:rtl/>
        </w:rPr>
        <w:t>,</w:t>
      </w:r>
      <w:r w:rsidR="006567B0" w:rsidRPr="00185F80">
        <w:rPr>
          <w:rFonts w:cs="Arial"/>
          <w:rtl/>
        </w:rPr>
        <w:t xml:space="preserve"> הדין עם שמעון לפי שאנוס היה דהוה ליה כתליוה ויהיב </w:t>
      </w:r>
      <w:r w:rsidR="006567B0" w:rsidRPr="00185F80">
        <w:rPr>
          <w:rFonts w:cs="Arial"/>
          <w:sz w:val="16"/>
          <w:szCs w:val="16"/>
          <w:rtl/>
        </w:rPr>
        <w:t xml:space="preserve">(בבא בתרא מח.) </w:t>
      </w:r>
      <w:r w:rsidR="006567B0" w:rsidRPr="00185F80">
        <w:rPr>
          <w:rFonts w:cs="Arial"/>
          <w:rtl/>
        </w:rPr>
        <w:t>והקנין וביטול מודעא הכל היה מחמת אונסו</w:t>
      </w:r>
      <w:r w:rsidRPr="00185F80">
        <w:rPr>
          <w:rFonts w:cs="Arial" w:hint="cs"/>
          <w:rtl/>
        </w:rPr>
        <w:t>.</w:t>
      </w:r>
      <w:r w:rsidR="00BA79D0" w:rsidRPr="00BA79D0">
        <w:rPr>
          <w:rFonts w:cs="Arial" w:hint="cs"/>
          <w:color w:val="E36C0A" w:themeColor="accent6" w:themeShade="BF"/>
          <w:rtl/>
        </w:rPr>
        <w:t xml:space="preserve"> (וכ"פ בשו"ע)</w:t>
      </w:r>
    </w:p>
    <w:p w14:paraId="4A45CD9D" w14:textId="77777777" w:rsidR="00E137BC" w:rsidRPr="00576D5C" w:rsidRDefault="00E137BC" w:rsidP="00576D5C">
      <w:pPr>
        <w:rPr>
          <w:rFonts w:asciiTheme="minorBidi" w:hAnsiTheme="minorBidi"/>
          <w:b/>
          <w:bCs/>
          <w:color w:val="000000"/>
          <w:sz w:val="28"/>
          <w:szCs w:val="28"/>
          <w:u w:val="single"/>
          <w:rtl/>
        </w:rPr>
      </w:pPr>
      <w:r w:rsidRPr="00576D5C">
        <w:rPr>
          <w:rFonts w:asciiTheme="minorBidi" w:hAnsiTheme="minorBidi"/>
          <w:b/>
          <w:bCs/>
          <w:color w:val="000000"/>
          <w:sz w:val="28"/>
          <w:szCs w:val="28"/>
          <w:u w:val="single"/>
          <w:rtl/>
        </w:rPr>
        <w:t>שו"ע:</w:t>
      </w:r>
    </w:p>
    <w:p w14:paraId="72EDE543" w14:textId="77777777" w:rsidR="00E137BC" w:rsidRDefault="00E137BC" w:rsidP="00576D5C">
      <w:pPr>
        <w:rPr>
          <w:rFonts w:asciiTheme="minorBidi" w:hAnsiTheme="minorBidi"/>
          <w:rtl/>
        </w:rPr>
      </w:pPr>
      <w:r w:rsidRPr="00576D5C">
        <w:rPr>
          <w:rFonts w:asciiTheme="minorBidi" w:hAnsiTheme="minorBidi"/>
          <w:rtl/>
        </w:rPr>
        <w:t>אם ראובן הפחיד את שמעון למסרו לאנס אם לא יתן לו ממון שהיו דנין עליו ואין לו בו זכות כפי הדין, ועשו פשרה בקנין וביטול מודעא</w:t>
      </w:r>
      <w:r w:rsidR="00185F80">
        <w:rPr>
          <w:rStyle w:val="ab"/>
          <w:rFonts w:asciiTheme="minorBidi" w:hAnsiTheme="minorBidi"/>
          <w:rtl/>
        </w:rPr>
        <w:footnoteReference w:id="667"/>
      </w:r>
      <w:r w:rsidRPr="00576D5C">
        <w:rPr>
          <w:rFonts w:asciiTheme="minorBidi" w:hAnsiTheme="minorBidi"/>
          <w:rtl/>
        </w:rPr>
        <w:t xml:space="preserve">, יכול לחזור בו. </w:t>
      </w:r>
    </w:p>
    <w:p w14:paraId="2B812464" w14:textId="77777777" w:rsidR="007061B5" w:rsidRDefault="007061B5" w:rsidP="00576D5C">
      <w:pPr>
        <w:rPr>
          <w:rFonts w:asciiTheme="minorBidi" w:hAnsiTheme="minorBidi" w:cs="Arial"/>
          <w:rtl/>
        </w:rPr>
      </w:pPr>
      <w:r w:rsidRPr="007061B5">
        <w:rPr>
          <w:rFonts w:asciiTheme="minorBidi" w:hAnsiTheme="minorBidi" w:cs="Arial"/>
          <w:u w:val="single"/>
          <w:rtl/>
        </w:rPr>
        <w:t>מי שמסר מודעא תחילה ובירר בוררים –</w:t>
      </w:r>
      <w:r w:rsidRPr="007061B5">
        <w:rPr>
          <w:rFonts w:asciiTheme="minorBidi" w:hAnsiTheme="minorBidi" w:cs="Arial" w:hint="cs"/>
          <w:u w:val="single"/>
          <w:rtl/>
        </w:rPr>
        <w:t xml:space="preserve"> ורוצה לחזור בו:</w:t>
      </w:r>
      <w:r>
        <w:rPr>
          <w:rFonts w:asciiTheme="minorBidi" w:hAnsiTheme="minorBidi" w:cs="Arial" w:hint="cs"/>
          <w:rtl/>
        </w:rPr>
        <w:t xml:space="preserve"> </w:t>
      </w:r>
      <w:r w:rsidR="00185F80" w:rsidRPr="007061B5">
        <w:rPr>
          <w:rFonts w:asciiTheme="minorBidi" w:hAnsiTheme="minorBidi" w:cs="Arial"/>
          <w:sz w:val="16"/>
          <w:szCs w:val="16"/>
          <w:rtl/>
        </w:rPr>
        <w:t>(</w:t>
      </w:r>
      <w:r w:rsidRPr="007061B5">
        <w:rPr>
          <w:rFonts w:asciiTheme="minorBidi" w:hAnsiTheme="minorBidi" w:cs="Arial" w:hint="cs"/>
          <w:sz w:val="16"/>
          <w:szCs w:val="16"/>
          <w:rtl/>
        </w:rPr>
        <w:t xml:space="preserve">דרכ"מ [סי' יג אות </w:t>
      </w:r>
      <w:r w:rsidR="00185F80" w:rsidRPr="007061B5">
        <w:rPr>
          <w:rFonts w:asciiTheme="minorBidi" w:hAnsiTheme="minorBidi" w:cs="Arial"/>
          <w:sz w:val="16"/>
          <w:szCs w:val="16"/>
          <w:rtl/>
        </w:rPr>
        <w:t>ב</w:t>
      </w:r>
      <w:r w:rsidRPr="007061B5">
        <w:rPr>
          <w:rFonts w:asciiTheme="minorBidi" w:hAnsiTheme="minorBidi" w:cs="Arial" w:hint="cs"/>
          <w:sz w:val="16"/>
          <w:szCs w:val="16"/>
          <w:rtl/>
        </w:rPr>
        <w:t xml:space="preserve">, </w:t>
      </w:r>
      <w:r>
        <w:rPr>
          <w:rFonts w:asciiTheme="minorBidi" w:hAnsiTheme="minorBidi" w:cs="Arial" w:hint="cs"/>
          <w:sz w:val="16"/>
          <w:szCs w:val="16"/>
          <w:rtl/>
        </w:rPr>
        <w:t xml:space="preserve">ובארוך </w:t>
      </w:r>
      <w:r w:rsidRPr="007061B5">
        <w:rPr>
          <w:rFonts w:asciiTheme="minorBidi" w:hAnsiTheme="minorBidi" w:cs="Arial" w:hint="cs"/>
          <w:sz w:val="16"/>
          <w:szCs w:val="16"/>
          <w:rtl/>
        </w:rPr>
        <w:t xml:space="preserve">סי' רלב </w:t>
      </w:r>
      <w:r>
        <w:rPr>
          <w:rFonts w:asciiTheme="minorBidi" w:hAnsiTheme="minorBidi" w:cs="Arial" w:hint="cs"/>
          <w:sz w:val="16"/>
          <w:szCs w:val="16"/>
          <w:rtl/>
        </w:rPr>
        <w:t>ס"ס</w:t>
      </w:r>
      <w:r w:rsidRPr="007061B5">
        <w:rPr>
          <w:rFonts w:asciiTheme="minorBidi" w:hAnsiTheme="minorBidi" w:cs="Arial" w:hint="cs"/>
          <w:sz w:val="16"/>
          <w:szCs w:val="16"/>
          <w:rtl/>
        </w:rPr>
        <w:t xml:space="preserve"> יב</w:t>
      </w:r>
      <w:r>
        <w:rPr>
          <w:rFonts w:asciiTheme="minorBidi" w:hAnsiTheme="minorBidi" w:cs="Arial" w:hint="cs"/>
          <w:sz w:val="16"/>
          <w:szCs w:val="16"/>
          <w:rtl/>
        </w:rPr>
        <w:t>]</w:t>
      </w:r>
      <w:r w:rsidRPr="007061B5">
        <w:rPr>
          <w:rFonts w:asciiTheme="minorBidi" w:hAnsiTheme="minorBidi" w:cs="Arial" w:hint="cs"/>
          <w:sz w:val="16"/>
          <w:szCs w:val="16"/>
          <w:rtl/>
        </w:rPr>
        <w:t xml:space="preserve"> בשם הרשב"ץ </w:t>
      </w:r>
      <w:r>
        <w:rPr>
          <w:rFonts w:asciiTheme="minorBidi" w:hAnsiTheme="minorBidi" w:cs="Arial" w:hint="cs"/>
          <w:sz w:val="16"/>
          <w:szCs w:val="16"/>
          <w:rtl/>
        </w:rPr>
        <w:t>[</w:t>
      </w:r>
      <w:r w:rsidRPr="007061B5">
        <w:rPr>
          <w:rFonts w:asciiTheme="minorBidi" w:hAnsiTheme="minorBidi" w:cs="Arial" w:hint="cs"/>
          <w:sz w:val="16"/>
          <w:szCs w:val="16"/>
          <w:rtl/>
        </w:rPr>
        <w:t>ח"ב סי' סב]</w:t>
      </w:r>
      <w:r w:rsidR="00185F80" w:rsidRPr="007061B5">
        <w:rPr>
          <w:rFonts w:asciiTheme="minorBidi" w:hAnsiTheme="minorBidi" w:cs="Arial"/>
          <w:sz w:val="16"/>
          <w:szCs w:val="16"/>
          <w:rtl/>
        </w:rPr>
        <w:t>)</w:t>
      </w:r>
      <w:r w:rsidR="00185F80" w:rsidRPr="00185F80">
        <w:rPr>
          <w:rFonts w:asciiTheme="minorBidi" w:hAnsiTheme="minorBidi" w:cs="Arial"/>
          <w:rtl/>
        </w:rPr>
        <w:t xml:space="preserve"> </w:t>
      </w:r>
    </w:p>
    <w:p w14:paraId="145DDD48" w14:textId="77777777" w:rsidR="000363E7" w:rsidRPr="007061B5" w:rsidRDefault="007061B5" w:rsidP="00C704CB">
      <w:pPr>
        <w:pStyle w:val="ac"/>
        <w:numPr>
          <w:ilvl w:val="0"/>
          <w:numId w:val="8"/>
        </w:numPr>
        <w:rPr>
          <w:rFonts w:asciiTheme="minorBidi" w:hAnsiTheme="minorBidi" w:cs="Arial"/>
          <w:rtl/>
        </w:rPr>
      </w:pPr>
      <w:r w:rsidRPr="007061B5">
        <w:rPr>
          <w:rFonts w:asciiTheme="minorBidi" w:hAnsiTheme="minorBidi" w:cs="Arial" w:hint="cs"/>
          <w:rtl/>
        </w:rPr>
        <w:t>דרכ"מ</w:t>
      </w:r>
      <w:r w:rsidRPr="007061B5">
        <w:rPr>
          <w:rFonts w:asciiTheme="minorBidi" w:hAnsiTheme="minorBidi" w:cs="Arial" w:hint="cs"/>
          <w:sz w:val="16"/>
          <w:szCs w:val="16"/>
          <w:rtl/>
        </w:rPr>
        <w:t xml:space="preserve"> (סי' יג אות ב)</w:t>
      </w:r>
      <w:r>
        <w:rPr>
          <w:rFonts w:asciiTheme="minorBidi" w:hAnsiTheme="minorBidi" w:cs="Arial" w:hint="cs"/>
          <w:rtl/>
        </w:rPr>
        <w:t xml:space="preserve"> וסמ"ע </w:t>
      </w:r>
      <w:r w:rsidRPr="007061B5">
        <w:rPr>
          <w:rFonts w:asciiTheme="minorBidi" w:hAnsiTheme="minorBidi" w:cs="Arial" w:hint="cs"/>
          <w:sz w:val="16"/>
          <w:szCs w:val="16"/>
          <w:rtl/>
        </w:rPr>
        <w:t>(סקכ"ב)</w:t>
      </w:r>
      <w:r w:rsidRPr="007061B5">
        <w:rPr>
          <w:rFonts w:asciiTheme="minorBidi" w:hAnsiTheme="minorBidi" w:cs="Arial" w:hint="cs"/>
          <w:rtl/>
        </w:rPr>
        <w:t xml:space="preserve">- </w:t>
      </w:r>
      <w:r w:rsidR="00185F80" w:rsidRPr="007061B5">
        <w:rPr>
          <w:rFonts w:asciiTheme="minorBidi" w:hAnsiTheme="minorBidi" w:cs="Arial"/>
          <w:rtl/>
        </w:rPr>
        <w:t>מי שמסר מודעא תחילה ובירר בוררים ובא לפניהם בחרם</w:t>
      </w:r>
      <w:r w:rsidR="005E2E9C">
        <w:rPr>
          <w:rFonts w:asciiTheme="minorBidi" w:hAnsiTheme="minorBidi" w:cs="Arial" w:hint="cs"/>
          <w:rtl/>
        </w:rPr>
        <w:t>.</w:t>
      </w:r>
      <w:r w:rsidR="00185F80" w:rsidRPr="007061B5">
        <w:rPr>
          <w:rFonts w:asciiTheme="minorBidi" w:hAnsiTheme="minorBidi" w:cs="Arial"/>
          <w:rtl/>
        </w:rPr>
        <w:t xml:space="preserve"> ואחר שטענו רוצה לחזור בו ואמר כי אנוס היה כדי שלא יכפור לו בעל דינו במה שהודה לפני הבוררים </w:t>
      </w:r>
      <w:r w:rsidRPr="007061B5">
        <w:rPr>
          <w:rFonts w:asciiTheme="minorBidi" w:hAnsiTheme="minorBidi" w:cs="Arial" w:hint="cs"/>
          <w:rtl/>
        </w:rPr>
        <w:t xml:space="preserve">- </w:t>
      </w:r>
      <w:r w:rsidR="00185F80" w:rsidRPr="007061B5">
        <w:rPr>
          <w:rFonts w:asciiTheme="minorBidi" w:hAnsiTheme="minorBidi" w:cs="Arial"/>
          <w:rtl/>
        </w:rPr>
        <w:t>אינו יכול לחזור</w:t>
      </w:r>
      <w:r w:rsidRPr="007061B5">
        <w:rPr>
          <w:rFonts w:asciiTheme="minorBidi" w:hAnsiTheme="minorBidi" w:cs="Arial" w:hint="cs"/>
          <w:rtl/>
        </w:rPr>
        <w:t>,</w:t>
      </w:r>
      <w:r w:rsidR="00185F80" w:rsidRPr="007061B5">
        <w:rPr>
          <w:rFonts w:asciiTheme="minorBidi" w:hAnsiTheme="minorBidi" w:cs="Arial"/>
          <w:rtl/>
        </w:rPr>
        <w:t xml:space="preserve"> דלא מיקרי אונס כ"כ, שלא היו מכריחים אותו לקבל דינם, וגם קיבל עליו בחרם סתם. </w:t>
      </w:r>
    </w:p>
    <w:p w14:paraId="6FFEDB89" w14:textId="77777777" w:rsidR="00185F80" w:rsidRPr="00576D5C" w:rsidRDefault="00185F80" w:rsidP="00576D5C">
      <w:pPr>
        <w:rPr>
          <w:rFonts w:asciiTheme="minorBidi" w:hAnsiTheme="minorBidi"/>
          <w:rtl/>
        </w:rPr>
      </w:pPr>
    </w:p>
    <w:p w14:paraId="1F390272" w14:textId="77777777" w:rsidR="00E137BC" w:rsidRDefault="00E137BC" w:rsidP="00AB008F">
      <w:pPr>
        <w:pStyle w:val="2"/>
        <w:rPr>
          <w:rtl/>
        </w:rPr>
      </w:pPr>
      <w:bookmarkStart w:id="99" w:name="_Toc24883586"/>
      <w:r w:rsidRPr="00576D5C">
        <w:rPr>
          <w:rtl/>
        </w:rPr>
        <w:t>סעיף יב</w:t>
      </w:r>
      <w:r w:rsidR="004A54B8">
        <w:rPr>
          <w:rFonts w:hint="cs"/>
          <w:rtl/>
        </w:rPr>
        <w:t>:</w:t>
      </w:r>
      <w:r w:rsidR="00185F80">
        <w:rPr>
          <w:rFonts w:hint="cs"/>
          <w:rtl/>
        </w:rPr>
        <w:t xml:space="preserve"> חזרה מפשרה לאחר חזקה.</w:t>
      </w:r>
      <w:bookmarkEnd w:id="99"/>
    </w:p>
    <w:p w14:paraId="691F83A3" w14:textId="77777777" w:rsidR="001B0A89" w:rsidRPr="001B0A89" w:rsidRDefault="001B0A89" w:rsidP="001B0A89">
      <w:pPr>
        <w:rPr>
          <w:rFonts w:cs="Arial"/>
          <w:rtl/>
        </w:rPr>
      </w:pPr>
      <w:r>
        <w:rPr>
          <w:rFonts w:cs="Arial" w:hint="cs"/>
          <w:rtl/>
        </w:rPr>
        <w:t>עיין במקור בסעיף ט.</w:t>
      </w:r>
    </w:p>
    <w:p w14:paraId="7909F534" w14:textId="77777777" w:rsidR="00E137BC" w:rsidRPr="00576D5C" w:rsidRDefault="00E137BC" w:rsidP="00576D5C">
      <w:pPr>
        <w:rPr>
          <w:rFonts w:asciiTheme="minorBidi" w:hAnsiTheme="minorBidi"/>
          <w:b/>
          <w:bCs/>
          <w:color w:val="000000"/>
          <w:sz w:val="28"/>
          <w:szCs w:val="28"/>
          <w:u w:val="single"/>
          <w:rtl/>
        </w:rPr>
      </w:pPr>
      <w:r w:rsidRPr="00576D5C">
        <w:rPr>
          <w:rFonts w:asciiTheme="minorBidi" w:hAnsiTheme="minorBidi"/>
          <w:b/>
          <w:bCs/>
          <w:color w:val="000000"/>
          <w:sz w:val="28"/>
          <w:szCs w:val="28"/>
          <w:u w:val="single"/>
          <w:rtl/>
        </w:rPr>
        <w:t>שו"ע:</w:t>
      </w:r>
    </w:p>
    <w:p w14:paraId="0E10C8CD" w14:textId="77777777" w:rsidR="00E137BC" w:rsidRDefault="00E137BC" w:rsidP="00576D5C">
      <w:pPr>
        <w:rPr>
          <w:rFonts w:asciiTheme="minorBidi" w:hAnsiTheme="minorBidi"/>
          <w:rtl/>
        </w:rPr>
      </w:pPr>
      <w:r w:rsidRPr="00576D5C">
        <w:rPr>
          <w:rFonts w:asciiTheme="minorBidi" w:hAnsiTheme="minorBidi"/>
          <w:rtl/>
        </w:rPr>
        <w:t>שנים חלוקים בבנין שבקרקע, ופשרו ביניהם בלא קנין, כיון שקבלו עליהם ובנה זה קצת וזה קצת</w:t>
      </w:r>
      <w:r w:rsidR="0076343E">
        <w:rPr>
          <w:rStyle w:val="ab"/>
          <w:rFonts w:asciiTheme="minorBidi" w:hAnsiTheme="minorBidi"/>
          <w:rtl/>
        </w:rPr>
        <w:footnoteReference w:id="668"/>
      </w:r>
      <w:r w:rsidRPr="00576D5C">
        <w:rPr>
          <w:rFonts w:asciiTheme="minorBidi" w:hAnsiTheme="minorBidi"/>
          <w:rtl/>
        </w:rPr>
        <w:t xml:space="preserve"> כדברי הפשרנים, אינם יכולים לחזור בהם.</w:t>
      </w:r>
    </w:p>
    <w:p w14:paraId="34F40C28" w14:textId="77777777" w:rsidR="004A54B8" w:rsidRPr="00576D5C" w:rsidRDefault="004A54B8" w:rsidP="00576D5C">
      <w:pPr>
        <w:rPr>
          <w:rFonts w:asciiTheme="minorBidi" w:hAnsiTheme="minorBidi"/>
          <w:rtl/>
        </w:rPr>
      </w:pPr>
    </w:p>
    <w:p w14:paraId="11833067" w14:textId="77777777" w:rsidR="004A54B8" w:rsidRDefault="00E137BC" w:rsidP="004A54B8">
      <w:pPr>
        <w:pStyle w:val="2"/>
        <w:rPr>
          <w:rtl/>
        </w:rPr>
      </w:pPr>
      <w:bookmarkStart w:id="100" w:name="_Toc24883587"/>
      <w:r w:rsidRPr="00576D5C">
        <w:rPr>
          <w:rtl/>
        </w:rPr>
        <w:t>סעיף יג</w:t>
      </w:r>
      <w:r w:rsidR="004A54B8">
        <w:rPr>
          <w:rFonts w:hint="cs"/>
          <w:rtl/>
        </w:rPr>
        <w:t>:</w:t>
      </w:r>
      <w:r w:rsidR="004A54B8" w:rsidRPr="004A54B8">
        <w:rPr>
          <w:rFonts w:cs="Arial" w:hint="cs"/>
          <w:rtl/>
        </w:rPr>
        <w:t xml:space="preserve"> </w:t>
      </w:r>
      <w:r w:rsidR="004A54B8">
        <w:rPr>
          <w:rFonts w:cs="Arial" w:hint="cs"/>
          <w:rtl/>
        </w:rPr>
        <w:t>חזרה מפשרה לאחר שקיבל הנתבע גזירתם ועשה שטר.</w:t>
      </w:r>
      <w:bookmarkEnd w:id="100"/>
    </w:p>
    <w:p w14:paraId="70E49909" w14:textId="77777777" w:rsidR="004A54B8" w:rsidRDefault="004A54B8" w:rsidP="004A54B8">
      <w:pPr>
        <w:rPr>
          <w:rFonts w:cs="Arial"/>
          <w:rtl/>
        </w:rPr>
      </w:pPr>
      <w:r w:rsidRPr="004A54B8">
        <w:rPr>
          <w:rFonts w:cs="Arial" w:hint="cs"/>
          <w:u w:val="single"/>
          <w:rtl/>
        </w:rPr>
        <w:t>חזרה מפשרה לאחר שקיבל הנתבע גזירתם ועשה שטר:</w:t>
      </w:r>
    </w:p>
    <w:p w14:paraId="0CCFE243" w14:textId="77777777" w:rsidR="004A54B8" w:rsidRPr="004A54B8" w:rsidRDefault="004A54B8" w:rsidP="00C704CB">
      <w:pPr>
        <w:pStyle w:val="ac"/>
        <w:numPr>
          <w:ilvl w:val="0"/>
          <w:numId w:val="8"/>
        </w:numPr>
        <w:rPr>
          <w:rtl/>
        </w:rPr>
      </w:pPr>
      <w:r w:rsidRPr="004A54B8">
        <w:rPr>
          <w:rFonts w:cs="Arial"/>
          <w:rtl/>
        </w:rPr>
        <w:lastRenderedPageBreak/>
        <w:t xml:space="preserve">ריטב"א </w:t>
      </w:r>
      <w:r w:rsidRPr="004A54B8">
        <w:rPr>
          <w:rFonts w:cs="Arial"/>
          <w:sz w:val="16"/>
          <w:szCs w:val="16"/>
          <w:rtl/>
        </w:rPr>
        <w:t>(שו"ת סי' קעז)</w:t>
      </w:r>
      <w:r w:rsidRPr="004A54B8">
        <w:rPr>
          <w:rFonts w:cs="Arial" w:hint="cs"/>
          <w:rtl/>
        </w:rPr>
        <w:t>-</w:t>
      </w:r>
      <w:r w:rsidRPr="004A54B8">
        <w:rPr>
          <w:rFonts w:cs="Arial"/>
          <w:rtl/>
        </w:rPr>
        <w:t xml:space="preserve"> שאלת</w:t>
      </w:r>
      <w:r w:rsidR="001B0A89">
        <w:rPr>
          <w:rFonts w:cs="Arial" w:hint="cs"/>
          <w:rtl/>
        </w:rPr>
        <w:t>,</w:t>
      </w:r>
      <w:r w:rsidRPr="004A54B8">
        <w:rPr>
          <w:rFonts w:cs="Arial"/>
          <w:rtl/>
        </w:rPr>
        <w:t xml:space="preserve"> פשרה שאין בה קנין אבל אחר שגזרו הפשרנים ביניהם קבל הנתבע גזירתם וקבל בשטר בעדים בלא קנין</w:t>
      </w:r>
      <w:r w:rsidR="001B0A89">
        <w:rPr>
          <w:rFonts w:cs="Arial" w:hint="cs"/>
          <w:rtl/>
        </w:rPr>
        <w:t>,</w:t>
      </w:r>
      <w:r w:rsidRPr="004A54B8">
        <w:rPr>
          <w:rFonts w:cs="Arial"/>
          <w:rtl/>
        </w:rPr>
        <w:t xml:space="preserve"> אם הוא יכול לחזור בו</w:t>
      </w:r>
      <w:r w:rsidRPr="004A54B8">
        <w:rPr>
          <w:rFonts w:cs="Arial" w:hint="cs"/>
          <w:rtl/>
        </w:rPr>
        <w:t>.</w:t>
      </w:r>
      <w:r w:rsidRPr="004A54B8">
        <w:rPr>
          <w:rFonts w:cs="Arial"/>
          <w:rtl/>
        </w:rPr>
        <w:t xml:space="preserve"> תשובה</w:t>
      </w:r>
      <w:r w:rsidR="001B0A89">
        <w:rPr>
          <w:rFonts w:cs="Arial" w:hint="cs"/>
          <w:rtl/>
        </w:rPr>
        <w:t>,</w:t>
      </w:r>
      <w:r w:rsidRPr="004A54B8">
        <w:rPr>
          <w:rFonts w:cs="Arial"/>
          <w:rtl/>
        </w:rPr>
        <w:t xml:space="preserve"> זה נראה לי פשוט שאם השטר שקיים הנתבע הוא עשוי כראוי הן בלשון הודאה הן בלשון חיוב כאותה שבר</w:t>
      </w:r>
      <w:r w:rsidRPr="004A54B8">
        <w:rPr>
          <w:rFonts w:cs="Arial" w:hint="cs"/>
          <w:rtl/>
        </w:rPr>
        <w:t>"</w:t>
      </w:r>
      <w:r w:rsidRPr="004A54B8">
        <w:rPr>
          <w:rFonts w:cs="Arial"/>
          <w:rtl/>
        </w:rPr>
        <w:t xml:space="preserve">פ הנושא </w:t>
      </w:r>
      <w:r w:rsidRPr="004A54B8">
        <w:rPr>
          <w:rFonts w:cs="Arial"/>
          <w:sz w:val="16"/>
          <w:szCs w:val="16"/>
          <w:rtl/>
        </w:rPr>
        <w:t xml:space="preserve">(כתובות קא:) </w:t>
      </w:r>
      <w:r w:rsidRPr="004A54B8">
        <w:rPr>
          <w:rFonts w:cs="Arial"/>
          <w:rtl/>
        </w:rPr>
        <w:t>דשוב אינו יכול לחזור בו</w:t>
      </w:r>
      <w:r w:rsidR="001B0A89">
        <w:rPr>
          <w:rFonts w:cs="Arial" w:hint="cs"/>
          <w:rtl/>
        </w:rPr>
        <w:t>,</w:t>
      </w:r>
      <w:r w:rsidRPr="004A54B8">
        <w:rPr>
          <w:rFonts w:cs="Arial"/>
          <w:rtl/>
        </w:rPr>
        <w:t xml:space="preserve"> כי אין אחר החיוב כלום ועדיפא דא מקנין. ומה שכתב בהעי</w:t>
      </w:r>
      <w:r w:rsidRPr="004A54B8">
        <w:rPr>
          <w:rFonts w:cs="Arial" w:hint="cs"/>
          <w:rtl/>
        </w:rPr>
        <w:t>"</w:t>
      </w:r>
      <w:r w:rsidRPr="004A54B8">
        <w:rPr>
          <w:rFonts w:cs="Arial"/>
          <w:rtl/>
        </w:rPr>
        <w:t xml:space="preserve">ט </w:t>
      </w:r>
      <w:r w:rsidRPr="004A54B8">
        <w:rPr>
          <w:rFonts w:cs="Arial"/>
          <w:sz w:val="16"/>
          <w:szCs w:val="16"/>
          <w:rtl/>
        </w:rPr>
        <w:t xml:space="preserve">(אות פ פשרה עה ע"ג) </w:t>
      </w:r>
      <w:r w:rsidRPr="004A54B8">
        <w:rPr>
          <w:rFonts w:cs="Arial"/>
          <w:rtl/>
        </w:rPr>
        <w:t>פרעון</w:t>
      </w:r>
      <w:r w:rsidR="001B0A89">
        <w:rPr>
          <w:rStyle w:val="ab"/>
          <w:rFonts w:cs="Arial"/>
          <w:rtl/>
        </w:rPr>
        <w:footnoteReference w:id="669"/>
      </w:r>
      <w:r w:rsidRPr="004A54B8">
        <w:rPr>
          <w:rFonts w:cs="Arial" w:hint="cs"/>
          <w:rtl/>
        </w:rPr>
        <w:t xml:space="preserve"> -</w:t>
      </w:r>
      <w:r w:rsidRPr="004A54B8">
        <w:rPr>
          <w:rFonts w:cs="Arial"/>
          <w:rtl/>
        </w:rPr>
        <w:t xml:space="preserve"> לאו דוקא</w:t>
      </w:r>
      <w:r w:rsidR="001B0A89">
        <w:rPr>
          <w:rFonts w:cs="Arial" w:hint="cs"/>
          <w:rtl/>
        </w:rPr>
        <w:t>.</w:t>
      </w:r>
      <w:r w:rsidRPr="004A54B8">
        <w:rPr>
          <w:rFonts w:cs="Arial"/>
          <w:rtl/>
        </w:rPr>
        <w:t xml:space="preserve"> ואין זה צריך לפנים</w:t>
      </w:r>
      <w:r w:rsidRPr="004A54B8">
        <w:rPr>
          <w:rFonts w:cs="Arial" w:hint="cs"/>
          <w:rtl/>
        </w:rPr>
        <w:t>.</w:t>
      </w:r>
      <w:r w:rsidR="000363E7" w:rsidRPr="000363E7">
        <w:rPr>
          <w:rFonts w:hint="cs"/>
          <w:color w:val="E36C0A" w:themeColor="accent6" w:themeShade="BF"/>
          <w:rtl/>
        </w:rPr>
        <w:t xml:space="preserve"> (וכ"פ בשו"ע)</w:t>
      </w:r>
      <w:r w:rsidR="006C0B96">
        <w:rPr>
          <w:rFonts w:hint="cs"/>
          <w:rtl/>
        </w:rPr>
        <w:t xml:space="preserve"> </w:t>
      </w:r>
      <w:r w:rsidR="006C0B96" w:rsidRPr="006C0B96">
        <w:rPr>
          <w:rFonts w:hint="cs"/>
          <w:color w:val="00B0F0"/>
          <w:rtl/>
        </w:rPr>
        <w:t>(וכ"פ הרמ"א</w:t>
      </w:r>
      <w:r w:rsidR="006C0B96" w:rsidRPr="006C0B96">
        <w:rPr>
          <w:rFonts w:hint="cs"/>
          <w:color w:val="00B0F0"/>
          <w:sz w:val="16"/>
          <w:szCs w:val="16"/>
          <w:rtl/>
        </w:rPr>
        <w:t xml:space="preserve"> </w:t>
      </w:r>
      <w:r w:rsidR="006C0B96">
        <w:rPr>
          <w:rFonts w:hint="cs"/>
          <w:sz w:val="16"/>
          <w:szCs w:val="16"/>
          <w:rtl/>
        </w:rPr>
        <w:t>[סע' ז]</w:t>
      </w:r>
      <w:r w:rsidR="006C0B96" w:rsidRPr="006C0B96">
        <w:rPr>
          <w:rFonts w:hint="cs"/>
          <w:color w:val="00B0F0"/>
          <w:rtl/>
        </w:rPr>
        <w:t>)</w:t>
      </w:r>
    </w:p>
    <w:p w14:paraId="1E27DEB6" w14:textId="77777777" w:rsidR="00E137BC" w:rsidRPr="00576D5C" w:rsidRDefault="00E137BC" w:rsidP="00576D5C">
      <w:pPr>
        <w:rPr>
          <w:rFonts w:asciiTheme="minorBidi" w:hAnsiTheme="minorBidi"/>
          <w:b/>
          <w:bCs/>
          <w:color w:val="000000"/>
          <w:sz w:val="28"/>
          <w:szCs w:val="28"/>
          <w:u w:val="single"/>
          <w:rtl/>
        </w:rPr>
      </w:pPr>
      <w:r w:rsidRPr="00576D5C">
        <w:rPr>
          <w:rFonts w:asciiTheme="minorBidi" w:hAnsiTheme="minorBidi"/>
          <w:b/>
          <w:bCs/>
          <w:color w:val="000000"/>
          <w:sz w:val="28"/>
          <w:szCs w:val="28"/>
          <w:u w:val="single"/>
          <w:rtl/>
        </w:rPr>
        <w:t>שו"ע:</w:t>
      </w:r>
    </w:p>
    <w:p w14:paraId="7A97B2B2" w14:textId="77777777" w:rsidR="00E137BC" w:rsidRDefault="00E137BC" w:rsidP="001B0A89">
      <w:pPr>
        <w:rPr>
          <w:rFonts w:asciiTheme="minorBidi" w:hAnsiTheme="minorBidi"/>
          <w:rtl/>
        </w:rPr>
      </w:pPr>
      <w:r w:rsidRPr="00576D5C">
        <w:rPr>
          <w:rFonts w:asciiTheme="minorBidi" w:hAnsiTheme="minorBidi"/>
          <w:rtl/>
        </w:rPr>
        <w:t>פשרה בלא קנין וקבל הנתבע גזירתם</w:t>
      </w:r>
      <w:r w:rsidR="001B0A89">
        <w:rPr>
          <w:rFonts w:asciiTheme="minorBidi" w:hAnsiTheme="minorBidi" w:hint="cs"/>
          <w:rtl/>
        </w:rPr>
        <w:t>,</w:t>
      </w:r>
      <w:r w:rsidRPr="00576D5C">
        <w:rPr>
          <w:rFonts w:asciiTheme="minorBidi" w:hAnsiTheme="minorBidi"/>
          <w:rtl/>
        </w:rPr>
        <w:t xml:space="preserve"> ועשה שטר הן בלשון הודאה הן בלשון חיוב, אינו יכול לחזור בו. </w:t>
      </w:r>
    </w:p>
    <w:p w14:paraId="28AF5AEA" w14:textId="77777777" w:rsidR="004A54B8" w:rsidRPr="00576D5C" w:rsidRDefault="004A54B8" w:rsidP="00576D5C">
      <w:pPr>
        <w:rPr>
          <w:rFonts w:asciiTheme="minorBidi" w:hAnsiTheme="minorBidi"/>
          <w:rtl/>
        </w:rPr>
      </w:pPr>
    </w:p>
    <w:p w14:paraId="6A3F8D69" w14:textId="77777777" w:rsidR="00E137BC" w:rsidRDefault="00E137BC" w:rsidP="00AB008F">
      <w:pPr>
        <w:pStyle w:val="2"/>
        <w:rPr>
          <w:rtl/>
        </w:rPr>
      </w:pPr>
      <w:bookmarkStart w:id="101" w:name="_Toc24883588"/>
      <w:r w:rsidRPr="00576D5C">
        <w:rPr>
          <w:rtl/>
        </w:rPr>
        <w:t>סעיף יד</w:t>
      </w:r>
      <w:r w:rsidR="0083239C">
        <w:rPr>
          <w:rFonts w:hint="cs"/>
          <w:rtl/>
        </w:rPr>
        <w:t>:</w:t>
      </w:r>
      <w:r w:rsidR="0076343E">
        <w:rPr>
          <w:rFonts w:hint="cs"/>
          <w:rtl/>
        </w:rPr>
        <w:t xml:space="preserve"> פשר</w:t>
      </w:r>
      <w:r w:rsidR="004B55F5">
        <w:rPr>
          <w:rFonts w:hint="cs"/>
          <w:rtl/>
        </w:rPr>
        <w:t>ה</w:t>
      </w:r>
      <w:r w:rsidR="0076343E">
        <w:rPr>
          <w:rFonts w:hint="cs"/>
          <w:rtl/>
        </w:rPr>
        <w:t xml:space="preserve"> ומח</w:t>
      </w:r>
      <w:r w:rsidR="004B55F5">
        <w:rPr>
          <w:rFonts w:hint="cs"/>
          <w:rtl/>
        </w:rPr>
        <w:t>י</w:t>
      </w:r>
      <w:r w:rsidR="0076343E">
        <w:rPr>
          <w:rFonts w:hint="cs"/>
          <w:rtl/>
        </w:rPr>
        <w:t>ל</w:t>
      </w:r>
      <w:r w:rsidR="004B55F5">
        <w:rPr>
          <w:rFonts w:hint="cs"/>
          <w:rtl/>
        </w:rPr>
        <w:t>ה</w:t>
      </w:r>
      <w:r w:rsidR="0076343E">
        <w:rPr>
          <w:rFonts w:hint="cs"/>
          <w:rtl/>
        </w:rPr>
        <w:t xml:space="preserve"> </w:t>
      </w:r>
      <w:r w:rsidR="004B55F5">
        <w:rPr>
          <w:rFonts w:hint="cs"/>
          <w:rtl/>
        </w:rPr>
        <w:t xml:space="preserve">שנעשו כדי לא להפסיד יותר, </w:t>
      </w:r>
      <w:r w:rsidR="0076343E">
        <w:rPr>
          <w:rFonts w:hint="cs"/>
          <w:rtl/>
        </w:rPr>
        <w:t>ואח"כ מצא עדים</w:t>
      </w:r>
      <w:r w:rsidR="004B55F5">
        <w:rPr>
          <w:rFonts w:hint="cs"/>
          <w:rtl/>
        </w:rPr>
        <w:t xml:space="preserve"> לדבריו</w:t>
      </w:r>
      <w:r w:rsidR="0076343E">
        <w:rPr>
          <w:rFonts w:hint="cs"/>
          <w:rtl/>
        </w:rPr>
        <w:t>.</w:t>
      </w:r>
      <w:bookmarkEnd w:id="101"/>
    </w:p>
    <w:p w14:paraId="2320DD26" w14:textId="77777777" w:rsidR="0083239C" w:rsidRDefault="0083239C" w:rsidP="0083239C">
      <w:pPr>
        <w:rPr>
          <w:rFonts w:cs="Arial"/>
          <w:rtl/>
        </w:rPr>
      </w:pPr>
      <w:r w:rsidRPr="0083239C">
        <w:rPr>
          <w:rFonts w:cs="Arial" w:hint="cs"/>
          <w:u w:val="single"/>
          <w:rtl/>
        </w:rPr>
        <w:t xml:space="preserve">שמעון חייב לראובן מנה וכפר בכל </w:t>
      </w:r>
      <w:r w:rsidRPr="0083239C">
        <w:rPr>
          <w:rFonts w:cs="Arial" w:hint="cs"/>
          <w:sz w:val="16"/>
          <w:szCs w:val="16"/>
          <w:u w:val="single"/>
          <w:rtl/>
        </w:rPr>
        <w:t>(ואין לראובן ראיות)</w:t>
      </w:r>
      <w:r w:rsidRPr="0083239C">
        <w:rPr>
          <w:rFonts w:cs="Arial" w:hint="cs"/>
          <w:u w:val="single"/>
          <w:rtl/>
        </w:rPr>
        <w:t xml:space="preserve"> </w:t>
      </w:r>
      <w:r w:rsidRPr="0083239C">
        <w:rPr>
          <w:rFonts w:cs="Arial"/>
          <w:u w:val="single"/>
          <w:rtl/>
        </w:rPr>
        <w:t>–</w:t>
      </w:r>
      <w:r w:rsidRPr="0083239C">
        <w:rPr>
          <w:rFonts w:cs="Arial" w:hint="cs"/>
          <w:u w:val="single"/>
          <w:rtl/>
        </w:rPr>
        <w:t xml:space="preserve"> ושכנע שמעון את ראובן שאעפ"כ ימחל לו בעבור מעט כסף:</w:t>
      </w:r>
    </w:p>
    <w:p w14:paraId="3ED0B2C7" w14:textId="77777777" w:rsidR="0083239C" w:rsidRPr="0083239C" w:rsidRDefault="0083239C" w:rsidP="00C704CB">
      <w:pPr>
        <w:pStyle w:val="ac"/>
        <w:numPr>
          <w:ilvl w:val="0"/>
          <w:numId w:val="8"/>
        </w:numPr>
        <w:rPr>
          <w:rFonts w:cs="Arial"/>
          <w:rtl/>
        </w:rPr>
      </w:pPr>
      <w:r w:rsidRPr="0083239C">
        <w:rPr>
          <w:rFonts w:cs="Arial" w:hint="cs"/>
          <w:rtl/>
        </w:rPr>
        <w:t>רשב"א</w:t>
      </w:r>
      <w:r w:rsidRPr="0083239C">
        <w:rPr>
          <w:rFonts w:cs="Arial"/>
          <w:rtl/>
        </w:rPr>
        <w:t xml:space="preserve"> </w:t>
      </w:r>
      <w:r w:rsidRPr="0083239C">
        <w:rPr>
          <w:rFonts w:cs="Arial"/>
          <w:sz w:val="16"/>
          <w:szCs w:val="16"/>
          <w:rtl/>
        </w:rPr>
        <w:t>(ח"ב סי' רעח)</w:t>
      </w:r>
      <w:r w:rsidRPr="0083239C">
        <w:rPr>
          <w:rFonts w:cs="Arial" w:hint="cs"/>
          <w:rtl/>
        </w:rPr>
        <w:t>-</w:t>
      </w:r>
      <w:r w:rsidRPr="0083239C">
        <w:rPr>
          <w:rFonts w:cs="Arial"/>
          <w:rtl/>
        </w:rPr>
        <w:t xml:space="preserve"> שמעון חייב לראובן מנה וכפר בכל</w:t>
      </w:r>
      <w:r w:rsidRPr="0083239C">
        <w:rPr>
          <w:rFonts w:cs="Arial" w:hint="cs"/>
          <w:rtl/>
        </w:rPr>
        <w:t>,</w:t>
      </w:r>
      <w:r w:rsidRPr="0083239C">
        <w:rPr>
          <w:rFonts w:cs="Arial"/>
          <w:rtl/>
        </w:rPr>
        <w:t xml:space="preserve"> ובשום פנים לא רצה להודות לו בשום דבר</w:t>
      </w:r>
      <w:r w:rsidRPr="0083239C">
        <w:rPr>
          <w:rFonts w:cs="Arial" w:hint="cs"/>
          <w:rtl/>
        </w:rPr>
        <w:t>,</w:t>
      </w:r>
      <w:r w:rsidRPr="0083239C">
        <w:rPr>
          <w:rFonts w:cs="Arial"/>
          <w:rtl/>
        </w:rPr>
        <w:t xml:space="preserve"> אבל אמר לו</w:t>
      </w:r>
      <w:r w:rsidR="00E93A57">
        <w:rPr>
          <w:rFonts w:cs="Arial" w:hint="cs"/>
          <w:rtl/>
        </w:rPr>
        <w:t>-</w:t>
      </w:r>
      <w:r w:rsidRPr="0083239C">
        <w:rPr>
          <w:rFonts w:cs="Arial"/>
          <w:rtl/>
        </w:rPr>
        <w:t xml:space="preserve"> </w:t>
      </w:r>
      <w:r w:rsidR="00E93A57">
        <w:rPr>
          <w:rFonts w:cs="Arial" w:hint="cs"/>
          <w:rtl/>
        </w:rPr>
        <w:t>'</w:t>
      </w:r>
      <w:r w:rsidRPr="0083239C">
        <w:rPr>
          <w:rFonts w:cs="Arial"/>
          <w:rtl/>
        </w:rPr>
        <w:t>עשה לי מחילת שמים ומחילת בריות ואתן לך חמשים זוז</w:t>
      </w:r>
      <w:r w:rsidR="00E93A57">
        <w:rPr>
          <w:rFonts w:cs="Arial" w:hint="cs"/>
          <w:rtl/>
        </w:rPr>
        <w:t>'.</w:t>
      </w:r>
      <w:r w:rsidRPr="0083239C">
        <w:rPr>
          <w:rFonts w:cs="Arial"/>
          <w:rtl/>
        </w:rPr>
        <w:t xml:space="preserve"> וראובן כדי שלא יאבד הכל נתרצה ועשה לו מחילת שמים ובריות</w:t>
      </w:r>
      <w:r w:rsidR="00E93A57">
        <w:rPr>
          <w:rFonts w:cs="Arial" w:hint="cs"/>
          <w:rtl/>
        </w:rPr>
        <w:t>.</w:t>
      </w:r>
      <w:r w:rsidRPr="0083239C">
        <w:rPr>
          <w:rFonts w:cs="Arial"/>
          <w:rtl/>
        </w:rPr>
        <w:t xml:space="preserve"> </w:t>
      </w:r>
      <w:r w:rsidRPr="0083239C">
        <w:rPr>
          <w:rFonts w:cs="Arial" w:hint="cs"/>
          <w:rtl/>
        </w:rPr>
        <w:t>ה</w:t>
      </w:r>
      <w:r w:rsidRPr="0083239C">
        <w:rPr>
          <w:rFonts w:cs="Arial"/>
          <w:rtl/>
        </w:rPr>
        <w:t xml:space="preserve">אם נפטר שמעון בכך. </w:t>
      </w:r>
      <w:r w:rsidRPr="0083239C">
        <w:rPr>
          <w:rFonts w:cs="Arial" w:hint="cs"/>
          <w:rtl/>
        </w:rPr>
        <w:t>תשובה</w:t>
      </w:r>
      <w:r>
        <w:rPr>
          <w:rFonts w:cs="Arial" w:hint="cs"/>
          <w:rtl/>
        </w:rPr>
        <w:t>,</w:t>
      </w:r>
      <w:r w:rsidRPr="0083239C">
        <w:rPr>
          <w:rFonts w:cs="Arial"/>
          <w:rtl/>
        </w:rPr>
        <w:t xml:space="preserve"> דברים ברורים אני רואה שאין שמעון יוצא ידי שמים בכך שלא כתב לו ראובן אלא מתוך האונס</w:t>
      </w:r>
      <w:r w:rsidRPr="0083239C">
        <w:rPr>
          <w:rFonts w:cs="Arial" w:hint="cs"/>
          <w:rtl/>
        </w:rPr>
        <w:t>,</w:t>
      </w:r>
      <w:r w:rsidRPr="0083239C">
        <w:rPr>
          <w:rFonts w:cs="Arial"/>
          <w:rtl/>
        </w:rPr>
        <w:t xml:space="preserve"> ואף מה שמחל לו מחילת בריות אילו ימצא עכשיו עדים או ראיה שהיה חייב לו יותר ממה שהשיב לו </w:t>
      </w:r>
      <w:r w:rsidRPr="0083239C">
        <w:rPr>
          <w:rFonts w:cs="Arial" w:hint="cs"/>
          <w:rtl/>
        </w:rPr>
        <w:t xml:space="preserve">- </w:t>
      </w:r>
      <w:r w:rsidRPr="0083239C">
        <w:rPr>
          <w:rFonts w:cs="Arial"/>
          <w:rtl/>
        </w:rPr>
        <w:t>מוציאין מידו ונותנים לזה</w:t>
      </w:r>
      <w:r w:rsidRPr="0083239C">
        <w:rPr>
          <w:rFonts w:cs="Arial" w:hint="cs"/>
          <w:rtl/>
        </w:rPr>
        <w:t>,</w:t>
      </w:r>
      <w:r w:rsidRPr="0083239C">
        <w:rPr>
          <w:rFonts w:cs="Arial"/>
          <w:rtl/>
        </w:rPr>
        <w:t xml:space="preserve"> דמחילה באונס היתה</w:t>
      </w:r>
      <w:r w:rsidR="00E93A57">
        <w:rPr>
          <w:rFonts w:cs="Arial" w:hint="cs"/>
          <w:rtl/>
        </w:rPr>
        <w:t>,</w:t>
      </w:r>
      <w:r w:rsidRPr="0083239C">
        <w:rPr>
          <w:rFonts w:cs="Arial"/>
          <w:rtl/>
        </w:rPr>
        <w:t xml:space="preserve"> והרי זה כמי שאנסוהו ליתן שאע</w:t>
      </w:r>
      <w:r w:rsidRPr="0083239C">
        <w:rPr>
          <w:rFonts w:cs="Arial" w:hint="cs"/>
          <w:rtl/>
        </w:rPr>
        <w:t>"</w:t>
      </w:r>
      <w:r w:rsidRPr="0083239C">
        <w:rPr>
          <w:rFonts w:cs="Arial"/>
          <w:rtl/>
        </w:rPr>
        <w:t xml:space="preserve">פ שקבל קצת מעות לא אמרו בכי האי </w:t>
      </w:r>
      <w:r w:rsidR="00E93A57">
        <w:rPr>
          <w:rFonts w:cs="Arial" w:hint="cs"/>
          <w:rtl/>
        </w:rPr>
        <w:t>'</w:t>
      </w:r>
      <w:r w:rsidRPr="0083239C">
        <w:rPr>
          <w:rFonts w:cs="Arial"/>
          <w:rtl/>
        </w:rPr>
        <w:t>אגב אונסיה וזוזי גמר ומקני</w:t>
      </w:r>
      <w:r w:rsidR="00E93A57">
        <w:rPr>
          <w:rFonts w:cs="Arial" w:hint="cs"/>
          <w:rtl/>
        </w:rPr>
        <w:t>'</w:t>
      </w:r>
      <w:r w:rsidRPr="0083239C">
        <w:rPr>
          <w:rFonts w:cs="Arial"/>
          <w:rtl/>
        </w:rPr>
        <w:t xml:space="preserve"> שלא אמרו </w:t>
      </w:r>
      <w:r w:rsidRPr="0083239C">
        <w:rPr>
          <w:rFonts w:cs="Arial"/>
          <w:sz w:val="16"/>
          <w:szCs w:val="16"/>
          <w:rtl/>
        </w:rPr>
        <w:t xml:space="preserve">(ב"ב מז:) </w:t>
      </w:r>
      <w:r w:rsidRPr="0083239C">
        <w:rPr>
          <w:rFonts w:cs="Arial"/>
          <w:rtl/>
        </w:rPr>
        <w:t>אלא בזוזי של דמי המכירה</w:t>
      </w:r>
      <w:r w:rsidR="00E93A57">
        <w:rPr>
          <w:rFonts w:cs="Arial" w:hint="cs"/>
          <w:rtl/>
        </w:rPr>
        <w:t>,</w:t>
      </w:r>
      <w:r w:rsidRPr="0083239C">
        <w:rPr>
          <w:rFonts w:cs="Arial"/>
          <w:rtl/>
        </w:rPr>
        <w:t xml:space="preserve"> אבל כאן קצת הגזילה הוא דהשיב לו ולא דמי הגזילה</w:t>
      </w:r>
      <w:r w:rsidRPr="0083239C">
        <w:rPr>
          <w:rFonts w:cs="Arial" w:hint="cs"/>
          <w:rtl/>
        </w:rPr>
        <w:t>,</w:t>
      </w:r>
      <w:r w:rsidRPr="0083239C">
        <w:rPr>
          <w:rFonts w:cs="Arial"/>
          <w:rtl/>
        </w:rPr>
        <w:t xml:space="preserve"> הגע עצמך הרי שגזל שדה מחבירו ואנסו למכור לו מחציתו ובמחיר שיחזיר לו מחציתו האחר הנאמר בזה אגב אונסיה וחצי שדהו שהוא מחזיר לו גמר ומקנה החצי האחר</w:t>
      </w:r>
      <w:r w:rsidR="00E93A57">
        <w:rPr>
          <w:rFonts w:cs="Arial" w:hint="cs"/>
          <w:rtl/>
        </w:rPr>
        <w:t>,</w:t>
      </w:r>
      <w:r w:rsidRPr="0083239C">
        <w:rPr>
          <w:rFonts w:cs="Arial"/>
          <w:rtl/>
        </w:rPr>
        <w:t xml:space="preserve"> והא נמי דכוותה היא</w:t>
      </w:r>
      <w:r w:rsidRPr="0083239C">
        <w:rPr>
          <w:rFonts w:cs="Arial" w:hint="cs"/>
          <w:rtl/>
        </w:rPr>
        <w:t>.</w:t>
      </w:r>
      <w:r w:rsidRPr="0083239C">
        <w:rPr>
          <w:rFonts w:cs="Arial"/>
          <w:rtl/>
        </w:rPr>
        <w:t xml:space="preserve"> ועוד דאף לכשתמצא לומר גבי תליוה וזבין שאמרו </w:t>
      </w:r>
      <w:r w:rsidRPr="0083239C">
        <w:rPr>
          <w:rFonts w:cs="Arial"/>
          <w:sz w:val="16"/>
          <w:szCs w:val="16"/>
          <w:rtl/>
        </w:rPr>
        <w:t xml:space="preserve">(שם מח.) </w:t>
      </w:r>
      <w:r w:rsidRPr="0083239C">
        <w:rPr>
          <w:rFonts w:cs="Arial"/>
          <w:rtl/>
        </w:rPr>
        <w:t>אגב אונסיה וזוזי גמר ומקנה דאפילו בנותן זוזי כל דהו קאמר</w:t>
      </w:r>
      <w:r w:rsidRPr="0083239C">
        <w:rPr>
          <w:rFonts w:cs="Arial" w:hint="cs"/>
          <w:rtl/>
        </w:rPr>
        <w:t>,</w:t>
      </w:r>
      <w:r w:rsidRPr="0083239C">
        <w:rPr>
          <w:rFonts w:cs="Arial"/>
          <w:rtl/>
        </w:rPr>
        <w:t xml:space="preserve"> כדעת מקצת הגדולים</w:t>
      </w:r>
      <w:r w:rsidRPr="0083239C">
        <w:rPr>
          <w:rFonts w:cs="Arial" w:hint="cs"/>
          <w:rtl/>
        </w:rPr>
        <w:t>,</w:t>
      </w:r>
      <w:r w:rsidRPr="0083239C">
        <w:rPr>
          <w:rFonts w:cs="Arial"/>
          <w:rtl/>
        </w:rPr>
        <w:t xml:space="preserve"> בכל כי הא</w:t>
      </w:r>
      <w:r w:rsidRPr="0083239C">
        <w:rPr>
          <w:rFonts w:cs="Arial" w:hint="cs"/>
          <w:rtl/>
        </w:rPr>
        <w:t xml:space="preserve"> -</w:t>
      </w:r>
      <w:r w:rsidRPr="0083239C">
        <w:rPr>
          <w:rFonts w:cs="Arial"/>
          <w:rtl/>
        </w:rPr>
        <w:t xml:space="preserve"> מודו דלא גמר ומקנה</w:t>
      </w:r>
      <w:r w:rsidRPr="0083239C">
        <w:rPr>
          <w:rFonts w:cs="Arial" w:hint="cs"/>
          <w:rtl/>
        </w:rPr>
        <w:t>,</w:t>
      </w:r>
      <w:r w:rsidRPr="0083239C">
        <w:rPr>
          <w:rFonts w:cs="Arial"/>
          <w:rtl/>
        </w:rPr>
        <w:t xml:space="preserve"> דלא אמרו אלא בקרקע שאין לו אונאה </w:t>
      </w:r>
      <w:r w:rsidRPr="0083239C">
        <w:rPr>
          <w:rFonts w:cs="Arial"/>
          <w:sz w:val="16"/>
          <w:szCs w:val="16"/>
          <w:rtl/>
        </w:rPr>
        <w:t xml:space="preserve">(ב"מ נו:) </w:t>
      </w:r>
      <w:r w:rsidRPr="0083239C">
        <w:rPr>
          <w:rFonts w:cs="Arial"/>
          <w:rtl/>
        </w:rPr>
        <w:t>ונקנה אפילו בפרוטה דומיא דאשה</w:t>
      </w:r>
      <w:r w:rsidRPr="0083239C">
        <w:rPr>
          <w:rFonts w:cs="Arial" w:hint="cs"/>
          <w:rtl/>
        </w:rPr>
        <w:t>,</w:t>
      </w:r>
      <w:r w:rsidRPr="0083239C">
        <w:rPr>
          <w:rFonts w:cs="Arial"/>
          <w:rtl/>
        </w:rPr>
        <w:t xml:space="preserve"> הא במטלטלין שיש להם אונאה </w:t>
      </w:r>
      <w:r w:rsidR="00F33BBD">
        <w:rPr>
          <w:rFonts w:cs="Arial" w:hint="cs"/>
          <w:rtl/>
        </w:rPr>
        <w:t xml:space="preserve">- </w:t>
      </w:r>
      <w:r w:rsidRPr="0083239C">
        <w:rPr>
          <w:rFonts w:cs="Arial"/>
          <w:rtl/>
        </w:rPr>
        <w:t>לא</w:t>
      </w:r>
      <w:r w:rsidRPr="0083239C">
        <w:rPr>
          <w:rFonts w:cs="Arial" w:hint="cs"/>
          <w:rtl/>
        </w:rPr>
        <w:t>.</w:t>
      </w:r>
      <w:r w:rsidRPr="0083239C">
        <w:rPr>
          <w:rFonts w:cs="Arial"/>
          <w:rtl/>
        </w:rPr>
        <w:t xml:space="preserve"> ועוד תדע שהנדון שלפנינו פשרה היא זו</w:t>
      </w:r>
      <w:r w:rsidR="00F33BBD">
        <w:rPr>
          <w:rFonts w:cs="Arial" w:hint="cs"/>
          <w:rtl/>
        </w:rPr>
        <w:t>,</w:t>
      </w:r>
      <w:r w:rsidRPr="0083239C">
        <w:rPr>
          <w:rFonts w:cs="Arial"/>
          <w:rtl/>
        </w:rPr>
        <w:t xml:space="preserve"> ופשרה בטעות אינה פשרה</w:t>
      </w:r>
      <w:r w:rsidRPr="0083239C">
        <w:rPr>
          <w:rFonts w:cs="Arial" w:hint="cs"/>
          <w:rtl/>
        </w:rPr>
        <w:t>,</w:t>
      </w:r>
      <w:r w:rsidRPr="0083239C">
        <w:rPr>
          <w:rFonts w:cs="Arial"/>
          <w:rtl/>
        </w:rPr>
        <w:t xml:space="preserve"> סבור היה שלא ימצא ראיה והרי מצא. ולגבי מחילת שמים הנה בשמים עדו וסהדו שלא מחל מדעת אלא באונס</w:t>
      </w:r>
      <w:r w:rsidRPr="0083239C">
        <w:rPr>
          <w:rFonts w:cs="Arial" w:hint="cs"/>
          <w:rtl/>
        </w:rPr>
        <w:t>,</w:t>
      </w:r>
      <w:r w:rsidRPr="0083239C">
        <w:rPr>
          <w:rFonts w:cs="Arial"/>
          <w:rtl/>
        </w:rPr>
        <w:t xml:space="preserve"> ואפילו לא נאנס כלל וסבור שאין לו בידו יותר ונמצא שיש לו</w:t>
      </w:r>
      <w:r w:rsidRPr="0083239C">
        <w:rPr>
          <w:rFonts w:cs="Arial" w:hint="cs"/>
          <w:rtl/>
        </w:rPr>
        <w:t xml:space="preserve"> -</w:t>
      </w:r>
      <w:r w:rsidRPr="0083239C">
        <w:rPr>
          <w:rFonts w:cs="Arial"/>
          <w:rtl/>
        </w:rPr>
        <w:t xml:space="preserve"> מחילתו בטלה</w:t>
      </w:r>
      <w:r w:rsidRPr="0083239C">
        <w:rPr>
          <w:rFonts w:cs="Arial" w:hint="cs"/>
          <w:rtl/>
        </w:rPr>
        <w:t>,</w:t>
      </w:r>
      <w:r w:rsidRPr="0083239C">
        <w:rPr>
          <w:rFonts w:cs="Arial"/>
          <w:rtl/>
        </w:rPr>
        <w:t xml:space="preserve"> דכל דלא ידע לא מצי מחיל</w:t>
      </w:r>
      <w:r w:rsidRPr="0083239C">
        <w:rPr>
          <w:rFonts w:cs="Arial" w:hint="cs"/>
          <w:rtl/>
        </w:rPr>
        <w:t>,</w:t>
      </w:r>
      <w:r w:rsidRPr="0083239C">
        <w:rPr>
          <w:rFonts w:cs="Arial"/>
          <w:rtl/>
        </w:rPr>
        <w:t xml:space="preserve"> ואע</w:t>
      </w:r>
      <w:r w:rsidRPr="0083239C">
        <w:rPr>
          <w:rFonts w:cs="Arial" w:hint="cs"/>
          <w:rtl/>
        </w:rPr>
        <w:t>"</w:t>
      </w:r>
      <w:r w:rsidRPr="0083239C">
        <w:rPr>
          <w:rFonts w:cs="Arial"/>
          <w:rtl/>
        </w:rPr>
        <w:t xml:space="preserve">פ שהוא כותב לו </w:t>
      </w:r>
      <w:r w:rsidRPr="0083239C">
        <w:rPr>
          <w:rFonts w:cs="Arial" w:hint="cs"/>
          <w:rtl/>
        </w:rPr>
        <w:t>'</w:t>
      </w:r>
      <w:r w:rsidRPr="0083239C">
        <w:rPr>
          <w:rFonts w:cs="Arial"/>
          <w:rtl/>
        </w:rPr>
        <w:t>הריני מוחל לך בדלא שגוי בדלא אנוס</w:t>
      </w:r>
      <w:r w:rsidRPr="0083239C">
        <w:rPr>
          <w:rFonts w:cs="Arial" w:hint="cs"/>
          <w:rtl/>
        </w:rPr>
        <w:t>'</w:t>
      </w:r>
      <w:r w:rsidRPr="0083239C">
        <w:rPr>
          <w:rFonts w:cs="Arial"/>
          <w:rtl/>
        </w:rPr>
        <w:t xml:space="preserve"> כדרך שנהגו כותבי טופסי שטרות לכתוב </w:t>
      </w:r>
      <w:r w:rsidRPr="0083239C">
        <w:rPr>
          <w:rFonts w:cs="Arial" w:hint="cs"/>
          <w:rtl/>
        </w:rPr>
        <w:t xml:space="preserve">- </w:t>
      </w:r>
      <w:r w:rsidRPr="0083239C">
        <w:rPr>
          <w:rFonts w:cs="Arial"/>
          <w:rtl/>
        </w:rPr>
        <w:t xml:space="preserve">אין בדבריו כלום עד שיאמר מרצונו בלא שום אונס </w:t>
      </w:r>
      <w:r w:rsidR="00F33BBD">
        <w:rPr>
          <w:rFonts w:cs="Arial" w:hint="cs"/>
          <w:rtl/>
        </w:rPr>
        <w:t>'</w:t>
      </w:r>
      <w:r w:rsidRPr="0083239C">
        <w:rPr>
          <w:rFonts w:cs="Arial"/>
          <w:rtl/>
        </w:rPr>
        <w:t>יודע אני שיש לי בידך יותר</w:t>
      </w:r>
      <w:r w:rsidR="00F33BBD">
        <w:rPr>
          <w:rFonts w:cs="Arial" w:hint="cs"/>
          <w:rtl/>
        </w:rPr>
        <w:t>'</w:t>
      </w:r>
      <w:r w:rsidRPr="0083239C">
        <w:rPr>
          <w:rFonts w:cs="Arial" w:hint="cs"/>
          <w:rtl/>
        </w:rPr>
        <w:t>,</w:t>
      </w:r>
      <w:r w:rsidRPr="0083239C">
        <w:rPr>
          <w:rFonts w:cs="Arial"/>
          <w:rtl/>
        </w:rPr>
        <w:t xml:space="preserve"> וכדתניא </w:t>
      </w:r>
      <w:r w:rsidRPr="0083239C">
        <w:rPr>
          <w:rFonts w:cs="Arial"/>
          <w:sz w:val="16"/>
          <w:szCs w:val="16"/>
          <w:rtl/>
        </w:rPr>
        <w:t xml:space="preserve">(ב"מ נא:) </w:t>
      </w:r>
      <w:r w:rsidRPr="0083239C">
        <w:rPr>
          <w:rFonts w:cs="Arial"/>
          <w:rtl/>
        </w:rPr>
        <w:t>מוכר שאמר ללוקח חפץ זה שאני מוכר לך במאתים יודע אני שאינו שוה אלא מנה על מנת שאין לך עלי אונאה אין לו עליו אונאה</w:t>
      </w:r>
      <w:r w:rsidRPr="0083239C">
        <w:rPr>
          <w:rFonts w:cs="Arial" w:hint="cs"/>
          <w:rtl/>
        </w:rPr>
        <w:t>.</w:t>
      </w:r>
      <w:r w:rsidR="00BA79D0" w:rsidRPr="00BA79D0">
        <w:rPr>
          <w:rFonts w:cs="Arial" w:hint="cs"/>
          <w:color w:val="E36C0A" w:themeColor="accent6" w:themeShade="BF"/>
          <w:rtl/>
        </w:rPr>
        <w:t xml:space="preserve"> (וכ"פ בשו"ע)</w:t>
      </w:r>
    </w:p>
    <w:p w14:paraId="67674A11" w14:textId="77777777" w:rsidR="00E137BC" w:rsidRPr="00576D5C" w:rsidRDefault="00E137BC" w:rsidP="00576D5C">
      <w:pPr>
        <w:rPr>
          <w:rFonts w:asciiTheme="minorBidi" w:hAnsiTheme="minorBidi"/>
          <w:b/>
          <w:bCs/>
          <w:color w:val="000000"/>
          <w:sz w:val="28"/>
          <w:szCs w:val="28"/>
          <w:u w:val="single"/>
          <w:rtl/>
        </w:rPr>
      </w:pPr>
      <w:r w:rsidRPr="00576D5C">
        <w:rPr>
          <w:rFonts w:asciiTheme="minorBidi" w:hAnsiTheme="minorBidi"/>
          <w:b/>
          <w:bCs/>
          <w:color w:val="000000"/>
          <w:sz w:val="28"/>
          <w:szCs w:val="28"/>
          <w:u w:val="single"/>
          <w:rtl/>
        </w:rPr>
        <w:t>שו"ע:</w:t>
      </w:r>
    </w:p>
    <w:p w14:paraId="00915CD9" w14:textId="77777777" w:rsidR="00E137BC" w:rsidRDefault="00E137BC" w:rsidP="00576D5C">
      <w:pPr>
        <w:rPr>
          <w:rFonts w:asciiTheme="minorBidi" w:hAnsiTheme="minorBidi"/>
          <w:rtl/>
        </w:rPr>
      </w:pPr>
      <w:r w:rsidRPr="00576D5C">
        <w:rPr>
          <w:rFonts w:asciiTheme="minorBidi" w:hAnsiTheme="minorBidi"/>
          <w:rtl/>
        </w:rPr>
        <w:t>הכופר בפקדון, ונתפשר עמו ומחל לו, ואח</w:t>
      </w:r>
      <w:r w:rsidR="0076343E">
        <w:rPr>
          <w:rFonts w:asciiTheme="minorBidi" w:hAnsiTheme="minorBidi" w:hint="cs"/>
          <w:rtl/>
        </w:rPr>
        <w:t xml:space="preserve">ר </w:t>
      </w:r>
      <w:r w:rsidRPr="00576D5C">
        <w:rPr>
          <w:rFonts w:asciiTheme="minorBidi" w:hAnsiTheme="minorBidi"/>
          <w:rtl/>
        </w:rPr>
        <w:t>כ</w:t>
      </w:r>
      <w:r w:rsidR="0076343E">
        <w:rPr>
          <w:rFonts w:asciiTheme="minorBidi" w:hAnsiTheme="minorBidi" w:hint="cs"/>
          <w:rtl/>
        </w:rPr>
        <w:t>ך</w:t>
      </w:r>
      <w:r w:rsidRPr="00576D5C">
        <w:rPr>
          <w:rFonts w:asciiTheme="minorBidi" w:hAnsiTheme="minorBidi"/>
          <w:rtl/>
        </w:rPr>
        <w:t xml:space="preserve"> מצא עדים, יכול לחזור בו. </w:t>
      </w:r>
    </w:p>
    <w:p w14:paraId="63A3AF2C" w14:textId="77777777" w:rsidR="0083239C" w:rsidRPr="00576D5C" w:rsidRDefault="0083239C" w:rsidP="00576D5C">
      <w:pPr>
        <w:rPr>
          <w:rFonts w:asciiTheme="minorBidi" w:hAnsiTheme="minorBidi"/>
          <w:rtl/>
        </w:rPr>
      </w:pPr>
    </w:p>
    <w:p w14:paraId="1984099F" w14:textId="77777777" w:rsidR="00E137BC" w:rsidRDefault="00E137BC" w:rsidP="00AB008F">
      <w:pPr>
        <w:pStyle w:val="2"/>
        <w:rPr>
          <w:rtl/>
        </w:rPr>
      </w:pPr>
      <w:bookmarkStart w:id="102" w:name="_Toc24883589"/>
      <w:r w:rsidRPr="00576D5C">
        <w:rPr>
          <w:rtl/>
        </w:rPr>
        <w:t>סעיף טו</w:t>
      </w:r>
      <w:r w:rsidR="006567B0">
        <w:rPr>
          <w:rFonts w:hint="cs"/>
          <w:rtl/>
        </w:rPr>
        <w:t>:</w:t>
      </w:r>
      <w:r w:rsidR="004B55F5" w:rsidRPr="004B55F5">
        <w:rPr>
          <w:rFonts w:hint="cs"/>
          <w:rtl/>
        </w:rPr>
        <w:t xml:space="preserve"> </w:t>
      </w:r>
      <w:r w:rsidR="004B55F5">
        <w:rPr>
          <w:rFonts w:hint="cs"/>
          <w:rtl/>
        </w:rPr>
        <w:t xml:space="preserve">אדם שהסכים להתפשר </w:t>
      </w:r>
      <w:r w:rsidR="004B55F5" w:rsidRPr="004B55F5">
        <w:rPr>
          <w:rFonts w:hint="cs"/>
          <w:rtl/>
        </w:rPr>
        <w:t>מחוסר ראיות</w:t>
      </w:r>
      <w:r w:rsidR="004B55F5">
        <w:rPr>
          <w:rFonts w:hint="cs"/>
          <w:rtl/>
        </w:rPr>
        <w:t>.</w:t>
      </w:r>
      <w:bookmarkEnd w:id="102"/>
    </w:p>
    <w:p w14:paraId="7971E782" w14:textId="77777777" w:rsidR="0021443B" w:rsidRPr="0021443B" w:rsidRDefault="0021443B" w:rsidP="006567B0">
      <w:pPr>
        <w:rPr>
          <w:rFonts w:cs="Arial"/>
          <w:u w:val="single"/>
          <w:rtl/>
        </w:rPr>
      </w:pPr>
      <w:r w:rsidRPr="0021443B">
        <w:rPr>
          <w:rFonts w:cs="Arial" w:hint="cs"/>
          <w:u w:val="single"/>
          <w:rtl/>
        </w:rPr>
        <w:t>אדם שהסכים להתפשר מחוסר ראיות:</w:t>
      </w:r>
    </w:p>
    <w:p w14:paraId="21CB62C2" w14:textId="77777777" w:rsidR="006567B0" w:rsidRDefault="006567B0" w:rsidP="00C704CB">
      <w:pPr>
        <w:pStyle w:val="ac"/>
        <w:numPr>
          <w:ilvl w:val="0"/>
          <w:numId w:val="8"/>
        </w:numPr>
        <w:rPr>
          <w:rtl/>
        </w:rPr>
      </w:pPr>
      <w:r w:rsidRPr="0021443B">
        <w:rPr>
          <w:rFonts w:cs="Arial"/>
          <w:rtl/>
        </w:rPr>
        <w:t>בהעי</w:t>
      </w:r>
      <w:r w:rsidR="004B55F5" w:rsidRPr="0021443B">
        <w:rPr>
          <w:rFonts w:cs="Arial" w:hint="cs"/>
          <w:rtl/>
        </w:rPr>
        <w:t>"</w:t>
      </w:r>
      <w:r w:rsidRPr="0021443B">
        <w:rPr>
          <w:rFonts w:cs="Arial"/>
          <w:rtl/>
        </w:rPr>
        <w:t xml:space="preserve">ט </w:t>
      </w:r>
      <w:r w:rsidRPr="0021443B">
        <w:rPr>
          <w:rFonts w:cs="Arial"/>
          <w:sz w:val="16"/>
          <w:szCs w:val="16"/>
          <w:rtl/>
        </w:rPr>
        <w:t>(אות פ פשרה עה ע"ג</w:t>
      </w:r>
      <w:r w:rsidR="004B55F5" w:rsidRPr="0021443B">
        <w:rPr>
          <w:rFonts w:cs="Arial" w:hint="cs"/>
          <w:sz w:val="16"/>
          <w:szCs w:val="16"/>
          <w:rtl/>
        </w:rPr>
        <w:t>, הביא הנמוק"י דבריו [סנהדרין א:]</w:t>
      </w:r>
      <w:r w:rsidRPr="0021443B">
        <w:rPr>
          <w:rFonts w:cs="Arial"/>
          <w:sz w:val="16"/>
          <w:szCs w:val="16"/>
          <w:rtl/>
        </w:rPr>
        <w:t>)</w:t>
      </w:r>
      <w:r w:rsidR="004B55F5" w:rsidRPr="0021443B">
        <w:rPr>
          <w:rFonts w:cs="Arial"/>
          <w:rtl/>
        </w:rPr>
        <w:t xml:space="preserve"> </w:t>
      </w:r>
      <w:r w:rsidR="004B55F5" w:rsidRPr="0021443B">
        <w:rPr>
          <w:rFonts w:cs="Arial" w:hint="cs"/>
          <w:rtl/>
        </w:rPr>
        <w:t>ו</w:t>
      </w:r>
      <w:r w:rsidR="004B55F5" w:rsidRPr="0021443B">
        <w:rPr>
          <w:rFonts w:cs="Arial"/>
          <w:rtl/>
        </w:rPr>
        <w:t xml:space="preserve">רשב"א </w:t>
      </w:r>
      <w:r w:rsidR="004B55F5" w:rsidRPr="0021443B">
        <w:rPr>
          <w:rFonts w:cs="Arial"/>
          <w:sz w:val="16"/>
          <w:szCs w:val="16"/>
          <w:rtl/>
        </w:rPr>
        <w:t>(שם, ח"ב סי' צו)</w:t>
      </w:r>
      <w:r w:rsidR="004B55F5" w:rsidRPr="0021443B">
        <w:rPr>
          <w:rFonts w:cs="Arial" w:hint="cs"/>
          <w:rtl/>
        </w:rPr>
        <w:t>-</w:t>
      </w:r>
      <w:r w:rsidRPr="0021443B">
        <w:rPr>
          <w:rFonts w:cs="Arial"/>
          <w:rtl/>
        </w:rPr>
        <w:t xml:space="preserve"> בתר קנין פשרה לא מצי טעין חד לחבריה משום קנין בטעות</w:t>
      </w:r>
      <w:r w:rsidR="00F33BBD">
        <w:rPr>
          <w:rFonts w:cs="Arial" w:hint="cs"/>
          <w:rtl/>
        </w:rPr>
        <w:t>,</w:t>
      </w:r>
      <w:r w:rsidRPr="0021443B">
        <w:rPr>
          <w:rFonts w:cs="Arial"/>
          <w:rtl/>
        </w:rPr>
        <w:t xml:space="preserve"> אבל פשרה שעושים מפני שאין לו ראיה או שטר ואח"כ מצא הראיה ההיא </w:t>
      </w:r>
      <w:r w:rsidR="00F33BBD">
        <w:rPr>
          <w:rFonts w:cs="Arial" w:hint="cs"/>
          <w:rtl/>
        </w:rPr>
        <w:t xml:space="preserve">- </w:t>
      </w:r>
      <w:r w:rsidRPr="0021443B">
        <w:rPr>
          <w:rFonts w:cs="Arial"/>
          <w:rtl/>
        </w:rPr>
        <w:t>ודאי קנין בטעות הוא וחוזר</w:t>
      </w:r>
      <w:r w:rsidR="00134771">
        <w:rPr>
          <w:rStyle w:val="ab"/>
          <w:rFonts w:cs="Arial"/>
          <w:rtl/>
        </w:rPr>
        <w:footnoteReference w:id="670"/>
      </w:r>
      <w:r w:rsidR="004B55F5" w:rsidRPr="0021443B">
        <w:rPr>
          <w:rFonts w:cs="Arial" w:hint="cs"/>
          <w:sz w:val="16"/>
          <w:szCs w:val="16"/>
          <w:rtl/>
        </w:rPr>
        <w:t xml:space="preserve"> (ל' הנמוק"י בשם בהעי"ט)</w:t>
      </w:r>
      <w:r w:rsidR="004B55F5" w:rsidRPr="0021443B">
        <w:rPr>
          <w:rFonts w:cs="Arial" w:hint="cs"/>
          <w:rtl/>
        </w:rPr>
        <w:t>.</w:t>
      </w:r>
      <w:r w:rsidRPr="0021443B">
        <w:rPr>
          <w:rFonts w:cs="Arial"/>
          <w:rtl/>
        </w:rPr>
        <w:t xml:space="preserve"> </w:t>
      </w:r>
      <w:r w:rsidR="00BA79D0" w:rsidRPr="00BA79D0">
        <w:rPr>
          <w:rFonts w:cs="Arial" w:hint="cs"/>
          <w:color w:val="E36C0A" w:themeColor="accent6" w:themeShade="BF"/>
          <w:rtl/>
        </w:rPr>
        <w:t>(וכ"פ בשו"ע)</w:t>
      </w:r>
    </w:p>
    <w:p w14:paraId="1298821F" w14:textId="77777777" w:rsidR="00E137BC" w:rsidRPr="00576D5C" w:rsidRDefault="00E137BC" w:rsidP="00576D5C">
      <w:pPr>
        <w:rPr>
          <w:rFonts w:asciiTheme="minorBidi" w:hAnsiTheme="minorBidi"/>
          <w:b/>
          <w:bCs/>
          <w:color w:val="000000"/>
          <w:sz w:val="28"/>
          <w:szCs w:val="28"/>
          <w:u w:val="single"/>
          <w:rtl/>
        </w:rPr>
      </w:pPr>
      <w:r w:rsidRPr="00576D5C">
        <w:rPr>
          <w:rFonts w:asciiTheme="minorBidi" w:hAnsiTheme="minorBidi"/>
          <w:b/>
          <w:bCs/>
          <w:color w:val="000000"/>
          <w:sz w:val="28"/>
          <w:szCs w:val="28"/>
          <w:u w:val="single"/>
          <w:rtl/>
        </w:rPr>
        <w:t>שו"ע:</w:t>
      </w:r>
    </w:p>
    <w:p w14:paraId="7FC4AA56" w14:textId="77777777" w:rsidR="00E137BC" w:rsidRDefault="00E137BC" w:rsidP="00576D5C">
      <w:pPr>
        <w:rPr>
          <w:rFonts w:asciiTheme="minorBidi" w:hAnsiTheme="minorBidi"/>
          <w:rtl/>
        </w:rPr>
      </w:pPr>
      <w:r w:rsidRPr="00576D5C">
        <w:rPr>
          <w:rFonts w:asciiTheme="minorBidi" w:hAnsiTheme="minorBidi"/>
          <w:rtl/>
        </w:rPr>
        <w:lastRenderedPageBreak/>
        <w:t xml:space="preserve">והוא הדין למי שנתפשר מפני שלא היה לו ראיה או שטר ואחר כך מצא. </w:t>
      </w:r>
    </w:p>
    <w:p w14:paraId="36C7A598" w14:textId="77777777" w:rsidR="0083239C" w:rsidRPr="00576D5C" w:rsidRDefault="0083239C" w:rsidP="00576D5C">
      <w:pPr>
        <w:rPr>
          <w:rFonts w:asciiTheme="minorBidi" w:hAnsiTheme="minorBidi"/>
          <w:rtl/>
        </w:rPr>
      </w:pPr>
    </w:p>
    <w:p w14:paraId="242897E7" w14:textId="77777777" w:rsidR="00E137BC" w:rsidRDefault="00E137BC" w:rsidP="00AB008F">
      <w:pPr>
        <w:pStyle w:val="2"/>
        <w:rPr>
          <w:rtl/>
        </w:rPr>
      </w:pPr>
      <w:bookmarkStart w:id="103" w:name="_Toc24883590"/>
      <w:r w:rsidRPr="00576D5C">
        <w:rPr>
          <w:rtl/>
        </w:rPr>
        <w:t>סעיף טז</w:t>
      </w:r>
      <w:r w:rsidR="006567B0">
        <w:rPr>
          <w:rFonts w:hint="cs"/>
          <w:rtl/>
        </w:rPr>
        <w:t>:</w:t>
      </w:r>
      <w:r w:rsidR="004B55F5">
        <w:rPr>
          <w:rFonts w:hint="cs"/>
          <w:rtl/>
        </w:rPr>
        <w:t xml:space="preserve"> פשרה בטעות.</w:t>
      </w:r>
      <w:bookmarkEnd w:id="103"/>
    </w:p>
    <w:p w14:paraId="44585109" w14:textId="77777777" w:rsidR="00F22656" w:rsidRPr="00F22656" w:rsidRDefault="00B61D78" w:rsidP="006567B0">
      <w:pPr>
        <w:rPr>
          <w:rFonts w:cs="Arial"/>
          <w:u w:val="single"/>
          <w:rtl/>
        </w:rPr>
      </w:pPr>
      <w:r>
        <w:rPr>
          <w:rFonts w:cs="Arial" w:hint="cs"/>
          <w:u w:val="single"/>
          <w:rtl/>
        </w:rPr>
        <w:t xml:space="preserve">שנים שיש להם תבעיה על פלוני ועשה עם אחד מהם פשרה, וטוען השני שמתוך שעשה פשרה סימן שתביעתו אמת: </w:t>
      </w:r>
    </w:p>
    <w:p w14:paraId="0B299120" w14:textId="77777777" w:rsidR="00F22656" w:rsidRDefault="00F22656" w:rsidP="00C704CB">
      <w:pPr>
        <w:pStyle w:val="ac"/>
        <w:numPr>
          <w:ilvl w:val="0"/>
          <w:numId w:val="8"/>
        </w:numPr>
        <w:rPr>
          <w:rFonts w:cs="Arial"/>
        </w:rPr>
      </w:pPr>
      <w:r w:rsidRPr="00F22656">
        <w:rPr>
          <w:rFonts w:cs="Arial" w:hint="cs"/>
          <w:rtl/>
        </w:rPr>
        <w:t>רשב"א</w:t>
      </w:r>
      <w:r w:rsidR="006567B0" w:rsidRPr="00F22656">
        <w:rPr>
          <w:rFonts w:cs="Arial"/>
          <w:rtl/>
        </w:rPr>
        <w:t xml:space="preserve"> </w:t>
      </w:r>
      <w:r w:rsidR="006567B0" w:rsidRPr="00F22656">
        <w:rPr>
          <w:rFonts w:cs="Arial"/>
          <w:sz w:val="16"/>
          <w:szCs w:val="16"/>
          <w:rtl/>
        </w:rPr>
        <w:t>(ח"ב סי' שכה)</w:t>
      </w:r>
      <w:r w:rsidRPr="00F22656">
        <w:rPr>
          <w:rFonts w:cs="Arial" w:hint="cs"/>
          <w:rtl/>
        </w:rPr>
        <w:t xml:space="preserve">- </w:t>
      </w:r>
      <w:r w:rsidR="006567B0" w:rsidRPr="00F22656">
        <w:rPr>
          <w:rFonts w:cs="Arial"/>
          <w:rtl/>
        </w:rPr>
        <w:t>ראובן ושמעון שהיה להם תביעה על לוי</w:t>
      </w:r>
      <w:r w:rsidR="00B61D78">
        <w:rPr>
          <w:rFonts w:cs="Arial" w:hint="cs"/>
          <w:rtl/>
        </w:rPr>
        <w:t>.</w:t>
      </w:r>
      <w:r w:rsidR="006567B0" w:rsidRPr="00F22656">
        <w:rPr>
          <w:rFonts w:cs="Arial"/>
          <w:rtl/>
        </w:rPr>
        <w:t xml:space="preserve"> תבעו ראובן ועשה עמו פשרה</w:t>
      </w:r>
      <w:r w:rsidR="00B61D78">
        <w:rPr>
          <w:rFonts w:cs="Arial" w:hint="cs"/>
          <w:rtl/>
        </w:rPr>
        <w:t>.</w:t>
      </w:r>
      <w:r w:rsidR="006567B0" w:rsidRPr="00F22656">
        <w:rPr>
          <w:rFonts w:cs="Arial"/>
          <w:rtl/>
        </w:rPr>
        <w:t xml:space="preserve"> ואח</w:t>
      </w:r>
      <w:r w:rsidRPr="00F22656">
        <w:rPr>
          <w:rFonts w:cs="Arial" w:hint="cs"/>
          <w:rtl/>
        </w:rPr>
        <w:t>"</w:t>
      </w:r>
      <w:r w:rsidR="006567B0" w:rsidRPr="00F22656">
        <w:rPr>
          <w:rFonts w:cs="Arial"/>
          <w:rtl/>
        </w:rPr>
        <w:t>כ מת שמעון ותבעו יורשיו את לוי</w:t>
      </w:r>
      <w:r w:rsidR="00B61D78">
        <w:rPr>
          <w:rFonts w:cs="Arial" w:hint="cs"/>
          <w:rtl/>
        </w:rPr>
        <w:t>.</w:t>
      </w:r>
      <w:r w:rsidR="006567B0" w:rsidRPr="00F22656">
        <w:rPr>
          <w:rFonts w:cs="Arial"/>
          <w:rtl/>
        </w:rPr>
        <w:t xml:space="preserve"> אמר להם </w:t>
      </w:r>
      <w:r w:rsidR="00B61D78">
        <w:rPr>
          <w:rFonts w:cs="Arial" w:hint="cs"/>
          <w:rtl/>
        </w:rPr>
        <w:t>'</w:t>
      </w:r>
      <w:r w:rsidR="006567B0" w:rsidRPr="00F22656">
        <w:rPr>
          <w:rFonts w:cs="Arial"/>
          <w:rtl/>
        </w:rPr>
        <w:t>איני חייב לכם כלום</w:t>
      </w:r>
      <w:r w:rsidR="00B61D78">
        <w:rPr>
          <w:rFonts w:cs="Arial" w:hint="cs"/>
          <w:rtl/>
        </w:rPr>
        <w:t>'.</w:t>
      </w:r>
      <w:r w:rsidR="006567B0" w:rsidRPr="00F22656">
        <w:rPr>
          <w:rFonts w:cs="Arial"/>
          <w:rtl/>
        </w:rPr>
        <w:t xml:space="preserve"> אמרו לו </w:t>
      </w:r>
      <w:r w:rsidR="00B61D78">
        <w:rPr>
          <w:rFonts w:cs="Arial" w:hint="cs"/>
          <w:rtl/>
        </w:rPr>
        <w:t>'</w:t>
      </w:r>
      <w:r w:rsidR="006567B0" w:rsidRPr="00F22656">
        <w:rPr>
          <w:rFonts w:cs="Arial"/>
          <w:rtl/>
        </w:rPr>
        <w:t>ולמה נתת לראובן</w:t>
      </w:r>
      <w:r w:rsidR="00B61D78">
        <w:rPr>
          <w:rFonts w:cs="Arial" w:hint="cs"/>
          <w:rtl/>
        </w:rPr>
        <w:t>'.</w:t>
      </w:r>
      <w:r w:rsidR="006567B0" w:rsidRPr="00F22656">
        <w:rPr>
          <w:rFonts w:cs="Arial"/>
          <w:rtl/>
        </w:rPr>
        <w:t xml:space="preserve"> אמר להם </w:t>
      </w:r>
      <w:r w:rsidR="00B61D78">
        <w:rPr>
          <w:rFonts w:cs="Arial" w:hint="cs"/>
          <w:rtl/>
        </w:rPr>
        <w:t>'</w:t>
      </w:r>
      <w:r w:rsidR="006567B0" w:rsidRPr="00F22656">
        <w:rPr>
          <w:rFonts w:cs="Arial"/>
          <w:rtl/>
        </w:rPr>
        <w:t>טעיתי ואיני חייב לא לו ולא לכם</w:t>
      </w:r>
      <w:r w:rsidR="00B61D78">
        <w:rPr>
          <w:rFonts w:cs="Arial" w:hint="cs"/>
          <w:rtl/>
        </w:rPr>
        <w:t>'</w:t>
      </w:r>
      <w:r w:rsidR="006567B0" w:rsidRPr="00F22656">
        <w:rPr>
          <w:rFonts w:cs="Arial"/>
          <w:rtl/>
        </w:rPr>
        <w:t xml:space="preserve">. </w:t>
      </w:r>
      <w:r w:rsidRPr="00F22656">
        <w:rPr>
          <w:rFonts w:cs="Arial" w:hint="cs"/>
          <w:rtl/>
        </w:rPr>
        <w:t>תשובה</w:t>
      </w:r>
      <w:r w:rsidR="00B61D78">
        <w:rPr>
          <w:rFonts w:cs="Arial" w:hint="cs"/>
          <w:rtl/>
        </w:rPr>
        <w:t>,</w:t>
      </w:r>
      <w:r w:rsidR="006567B0" w:rsidRPr="00F22656">
        <w:rPr>
          <w:rFonts w:cs="Arial"/>
          <w:rtl/>
        </w:rPr>
        <w:t xml:space="preserve"> אע</w:t>
      </w:r>
      <w:r w:rsidRPr="00F22656">
        <w:rPr>
          <w:rFonts w:cs="Arial" w:hint="cs"/>
          <w:rtl/>
        </w:rPr>
        <w:t>"</w:t>
      </w:r>
      <w:r w:rsidR="006567B0" w:rsidRPr="00F22656">
        <w:rPr>
          <w:rFonts w:cs="Arial"/>
          <w:rtl/>
        </w:rPr>
        <w:t xml:space="preserve">פ שנתפשר עם ראובן ואמר שטעה שהיה חושב שהיה חייב לו ועכשיו נתן על דעתו וידע או שהודיעוהו אחרים שאינו חייב </w:t>
      </w:r>
      <w:r w:rsidR="00B61D78">
        <w:rPr>
          <w:rFonts w:cs="Arial" w:hint="cs"/>
          <w:rtl/>
        </w:rPr>
        <w:t xml:space="preserve">- </w:t>
      </w:r>
      <w:r w:rsidR="006567B0" w:rsidRPr="00F22656">
        <w:rPr>
          <w:rFonts w:cs="Arial"/>
          <w:rtl/>
        </w:rPr>
        <w:t>כדין טוען ומקבלין ממנו</w:t>
      </w:r>
      <w:r w:rsidRPr="00F22656">
        <w:rPr>
          <w:rFonts w:cs="Arial" w:hint="cs"/>
          <w:rtl/>
        </w:rPr>
        <w:t>.</w:t>
      </w:r>
    </w:p>
    <w:p w14:paraId="54B13DB5" w14:textId="77777777" w:rsidR="00F22656" w:rsidRPr="0081724A" w:rsidRDefault="00F22656" w:rsidP="00F22656">
      <w:pPr>
        <w:rPr>
          <w:rFonts w:cs="Arial"/>
          <w:sz w:val="16"/>
          <w:szCs w:val="16"/>
        </w:rPr>
      </w:pPr>
      <w:r w:rsidRPr="00F22656">
        <w:rPr>
          <w:rFonts w:cs="Arial" w:hint="cs"/>
          <w:u w:val="single"/>
          <w:rtl/>
        </w:rPr>
        <w:t>אחד שיצא זכאי ובא חברו ותבעו שוב לבית דין אחר:</w:t>
      </w:r>
      <w:r w:rsidR="0081724A">
        <w:rPr>
          <w:rFonts w:cs="Arial" w:hint="cs"/>
          <w:sz w:val="16"/>
          <w:szCs w:val="16"/>
          <w:rtl/>
        </w:rPr>
        <w:t xml:space="preserve">   (ב"י [כאן] ודרכ"מ [סי' כ אות ב])</w:t>
      </w:r>
    </w:p>
    <w:p w14:paraId="2E9934BA" w14:textId="77777777" w:rsidR="00F22656" w:rsidRDefault="006567B0" w:rsidP="00C704CB">
      <w:pPr>
        <w:pStyle w:val="ac"/>
        <w:numPr>
          <w:ilvl w:val="0"/>
          <w:numId w:val="8"/>
        </w:numPr>
        <w:rPr>
          <w:rFonts w:cs="Arial"/>
        </w:rPr>
      </w:pPr>
      <w:r w:rsidRPr="00F22656">
        <w:rPr>
          <w:rFonts w:cs="Arial"/>
          <w:rtl/>
        </w:rPr>
        <w:t xml:space="preserve">חזה התנופה </w:t>
      </w:r>
      <w:r w:rsidRPr="00F22656">
        <w:rPr>
          <w:rFonts w:cs="Arial"/>
          <w:sz w:val="16"/>
          <w:szCs w:val="16"/>
          <w:rtl/>
        </w:rPr>
        <w:t>(</w:t>
      </w:r>
      <w:r w:rsidR="00F22656" w:rsidRPr="00F22656">
        <w:rPr>
          <w:rFonts w:cs="Arial" w:hint="cs"/>
          <w:sz w:val="16"/>
          <w:szCs w:val="16"/>
          <w:rtl/>
        </w:rPr>
        <w:t xml:space="preserve">בתשובות שבסוף הספר </w:t>
      </w:r>
      <w:r w:rsidRPr="00F22656">
        <w:rPr>
          <w:rFonts w:cs="Arial"/>
          <w:sz w:val="16"/>
          <w:szCs w:val="16"/>
          <w:rtl/>
        </w:rPr>
        <w:t>סי' מ)</w:t>
      </w:r>
      <w:r w:rsidR="00F22656" w:rsidRPr="00F22656">
        <w:rPr>
          <w:rFonts w:cs="Arial" w:hint="cs"/>
          <w:rtl/>
        </w:rPr>
        <w:t>-</w:t>
      </w:r>
      <w:r w:rsidRPr="00F22656">
        <w:rPr>
          <w:rFonts w:cs="Arial"/>
          <w:rtl/>
        </w:rPr>
        <w:t xml:space="preserve"> ראובן ושמעון שבאו לדין ויצא אחד מהם זכאי</w:t>
      </w:r>
      <w:r w:rsidR="00B61D78">
        <w:rPr>
          <w:rFonts w:cs="Arial" w:hint="cs"/>
          <w:rtl/>
        </w:rPr>
        <w:t>,</w:t>
      </w:r>
      <w:r w:rsidRPr="00F22656">
        <w:rPr>
          <w:rFonts w:cs="Arial"/>
          <w:rtl/>
        </w:rPr>
        <w:t xml:space="preserve"> ושוב חזר בעל דינו ותבעו בפני בית דין אחר</w:t>
      </w:r>
      <w:r w:rsidR="00B61D78">
        <w:rPr>
          <w:rFonts w:cs="Arial" w:hint="cs"/>
          <w:rtl/>
        </w:rPr>
        <w:t xml:space="preserve"> -</w:t>
      </w:r>
      <w:r w:rsidRPr="00F22656">
        <w:rPr>
          <w:rFonts w:cs="Arial"/>
          <w:rtl/>
        </w:rPr>
        <w:t xml:space="preserve"> אינו זקוק לו לירד עמו לדין ולא להשיב על טענותיו</w:t>
      </w:r>
      <w:r w:rsidR="00B61D78">
        <w:rPr>
          <w:rFonts w:cs="Arial" w:hint="cs"/>
          <w:rtl/>
        </w:rPr>
        <w:t>,</w:t>
      </w:r>
      <w:r w:rsidRPr="00F22656">
        <w:rPr>
          <w:rFonts w:cs="Arial"/>
          <w:rtl/>
        </w:rPr>
        <w:t xml:space="preserve"> וגם אין בית דין רשאי לשמוע דבריו כלל אחר שכבר יצא זכאי מבית דין הראשון</w:t>
      </w:r>
      <w:r w:rsidR="00F22656" w:rsidRPr="00F22656">
        <w:rPr>
          <w:rFonts w:cs="Arial" w:hint="cs"/>
          <w:rtl/>
        </w:rPr>
        <w:t xml:space="preserve"> </w:t>
      </w:r>
      <w:r w:rsidR="00F22656" w:rsidRPr="00F22656">
        <w:rPr>
          <w:rFonts w:cs="Arial" w:hint="cs"/>
          <w:sz w:val="16"/>
          <w:szCs w:val="16"/>
          <w:rtl/>
        </w:rPr>
        <w:t>(והדין האחרון כתוב גם</w:t>
      </w:r>
      <w:r w:rsidR="00F22656" w:rsidRPr="00F22656">
        <w:rPr>
          <w:rFonts w:cs="Arial"/>
          <w:sz w:val="16"/>
          <w:szCs w:val="16"/>
          <w:rtl/>
        </w:rPr>
        <w:t xml:space="preserve"> בכלל פה סי' ה)</w:t>
      </w:r>
      <w:r w:rsidR="00F22656" w:rsidRPr="00F22656">
        <w:rPr>
          <w:rFonts w:cs="Arial" w:hint="cs"/>
          <w:rtl/>
        </w:rPr>
        <w:t>.</w:t>
      </w:r>
      <w:r w:rsidRPr="00F22656">
        <w:rPr>
          <w:rFonts w:cs="Arial"/>
          <w:rtl/>
        </w:rPr>
        <w:t xml:space="preserve"> </w:t>
      </w:r>
    </w:p>
    <w:p w14:paraId="46889398" w14:textId="77777777" w:rsidR="00214665" w:rsidRPr="00214665" w:rsidRDefault="00214665" w:rsidP="00214665">
      <w:pPr>
        <w:rPr>
          <w:rFonts w:cs="Arial"/>
          <w:u w:val="single"/>
        </w:rPr>
      </w:pPr>
      <w:r w:rsidRPr="00214665">
        <w:rPr>
          <w:rFonts w:cs="Arial" w:hint="cs"/>
          <w:u w:val="single"/>
          <w:rtl/>
        </w:rPr>
        <w:t xml:space="preserve">ראובן טוען שטעה בסכום שמגיע לו </w:t>
      </w:r>
      <w:r w:rsidRPr="00214665">
        <w:rPr>
          <w:rFonts w:cs="Arial"/>
          <w:u w:val="single"/>
          <w:rtl/>
        </w:rPr>
        <w:t>–</w:t>
      </w:r>
      <w:r w:rsidRPr="00214665">
        <w:rPr>
          <w:rFonts w:cs="Arial" w:hint="cs"/>
          <w:u w:val="single"/>
          <w:rtl/>
        </w:rPr>
        <w:t xml:space="preserve"> ושמעון טוען שכבר ריצה אותו ופטרו:</w:t>
      </w:r>
    </w:p>
    <w:p w14:paraId="009307C3" w14:textId="77777777" w:rsidR="006567B0" w:rsidRPr="00F22656" w:rsidRDefault="00F22656" w:rsidP="00C704CB">
      <w:pPr>
        <w:pStyle w:val="ac"/>
        <w:numPr>
          <w:ilvl w:val="0"/>
          <w:numId w:val="8"/>
        </w:numPr>
        <w:rPr>
          <w:rFonts w:cs="Arial"/>
          <w:rtl/>
        </w:rPr>
      </w:pPr>
      <w:r w:rsidRPr="00F22656">
        <w:rPr>
          <w:rFonts w:cs="Arial"/>
          <w:rtl/>
        </w:rPr>
        <w:t xml:space="preserve">חזה התנופה </w:t>
      </w:r>
      <w:r w:rsidRPr="00F22656">
        <w:rPr>
          <w:rFonts w:cs="Arial"/>
          <w:sz w:val="16"/>
          <w:szCs w:val="16"/>
          <w:rtl/>
        </w:rPr>
        <w:t>(</w:t>
      </w:r>
      <w:r w:rsidR="00214665">
        <w:rPr>
          <w:rFonts w:cs="Arial" w:hint="cs"/>
          <w:sz w:val="16"/>
          <w:szCs w:val="16"/>
          <w:rtl/>
        </w:rPr>
        <w:t>שם</w:t>
      </w:r>
      <w:r w:rsidRPr="00F22656">
        <w:rPr>
          <w:rFonts w:cs="Arial"/>
          <w:sz w:val="16"/>
          <w:szCs w:val="16"/>
          <w:rtl/>
        </w:rPr>
        <w:t>)</w:t>
      </w:r>
      <w:r w:rsidRPr="00F22656">
        <w:rPr>
          <w:rFonts w:cs="Arial" w:hint="cs"/>
          <w:rtl/>
        </w:rPr>
        <w:t>-</w:t>
      </w:r>
      <w:r w:rsidRPr="00F22656">
        <w:rPr>
          <w:rFonts w:cs="Arial"/>
          <w:rtl/>
        </w:rPr>
        <w:t xml:space="preserve"> </w:t>
      </w:r>
      <w:r w:rsidR="006567B0" w:rsidRPr="00F22656">
        <w:rPr>
          <w:rFonts w:cs="Arial"/>
          <w:rtl/>
        </w:rPr>
        <w:t xml:space="preserve">ראובן שאמר לשמעון שותפו </w:t>
      </w:r>
      <w:r w:rsidR="00B61D78">
        <w:rPr>
          <w:rFonts w:cs="Arial" w:hint="cs"/>
          <w:rtl/>
        </w:rPr>
        <w:t>'</w:t>
      </w:r>
      <w:r w:rsidR="006567B0" w:rsidRPr="00F22656">
        <w:rPr>
          <w:rFonts w:cs="Arial"/>
          <w:rtl/>
        </w:rPr>
        <w:t>טעיתי עמך בחשבון כך וכך</w:t>
      </w:r>
      <w:r w:rsidR="00B61D78">
        <w:rPr>
          <w:rFonts w:cs="Arial" w:hint="cs"/>
          <w:rtl/>
        </w:rPr>
        <w:t>'.</w:t>
      </w:r>
      <w:r w:rsidR="006567B0" w:rsidRPr="00F22656">
        <w:rPr>
          <w:rFonts w:cs="Arial"/>
          <w:rtl/>
        </w:rPr>
        <w:t xml:space="preserve"> ושמעון אומר </w:t>
      </w:r>
      <w:r w:rsidR="00B61D78">
        <w:rPr>
          <w:rFonts w:cs="Arial" w:hint="cs"/>
          <w:rtl/>
        </w:rPr>
        <w:t>'</w:t>
      </w:r>
      <w:r w:rsidR="006567B0" w:rsidRPr="00F22656">
        <w:rPr>
          <w:rFonts w:cs="Arial"/>
          <w:rtl/>
        </w:rPr>
        <w:t>כבר תבעתני ורציתי אותך בכך וכך ופטרתני</w:t>
      </w:r>
      <w:r w:rsidR="00B61D78">
        <w:rPr>
          <w:rFonts w:cs="Arial" w:hint="cs"/>
          <w:rtl/>
        </w:rPr>
        <w:t>'.</w:t>
      </w:r>
      <w:r w:rsidR="006567B0" w:rsidRPr="00F22656">
        <w:rPr>
          <w:rFonts w:cs="Arial"/>
          <w:rtl/>
        </w:rPr>
        <w:t xml:space="preserve"> שמעון זה נאמן בשבועתו שריצהו</w:t>
      </w:r>
      <w:r w:rsidR="00214665">
        <w:rPr>
          <w:rFonts w:cs="Arial" w:hint="cs"/>
          <w:rtl/>
        </w:rPr>
        <w:t>,</w:t>
      </w:r>
      <w:r w:rsidR="006567B0" w:rsidRPr="00F22656">
        <w:rPr>
          <w:rFonts w:cs="Arial"/>
          <w:rtl/>
        </w:rPr>
        <w:t xml:space="preserve"> ואם היפך השבועה על ראובן שישבע שלא ריצהו יכול התובע לומר לו </w:t>
      </w:r>
      <w:r w:rsidR="00B61D78">
        <w:rPr>
          <w:rFonts w:cs="Arial" w:hint="cs"/>
          <w:rtl/>
        </w:rPr>
        <w:t>'</w:t>
      </w:r>
      <w:r w:rsidR="006567B0" w:rsidRPr="00F22656">
        <w:rPr>
          <w:rFonts w:cs="Arial"/>
          <w:rtl/>
        </w:rPr>
        <w:t>תן בבית דין על מה שאשבע</w:t>
      </w:r>
      <w:r w:rsidR="00B61D78">
        <w:rPr>
          <w:rFonts w:cs="Arial" w:hint="cs"/>
          <w:rtl/>
        </w:rPr>
        <w:t>'</w:t>
      </w:r>
      <w:r w:rsidR="00214665">
        <w:rPr>
          <w:rFonts w:cs="Arial" w:hint="cs"/>
          <w:rtl/>
        </w:rPr>
        <w:t>,</w:t>
      </w:r>
      <w:r w:rsidR="006567B0" w:rsidRPr="00F22656">
        <w:rPr>
          <w:rFonts w:cs="Arial"/>
          <w:rtl/>
        </w:rPr>
        <w:t xml:space="preserve"> ואם לא יתן ישבע שמעון שריצהו</w:t>
      </w:r>
      <w:r w:rsidRPr="00F22656">
        <w:rPr>
          <w:rFonts w:cs="Arial" w:hint="cs"/>
          <w:rtl/>
        </w:rPr>
        <w:t>.</w:t>
      </w:r>
    </w:p>
    <w:p w14:paraId="239D79A4" w14:textId="77777777" w:rsidR="00E137BC" w:rsidRPr="00576D5C" w:rsidRDefault="00E137BC" w:rsidP="00576D5C">
      <w:pPr>
        <w:rPr>
          <w:rFonts w:asciiTheme="minorBidi" w:hAnsiTheme="minorBidi"/>
          <w:b/>
          <w:bCs/>
          <w:color w:val="000000"/>
          <w:sz w:val="28"/>
          <w:szCs w:val="28"/>
          <w:u w:val="single"/>
          <w:rtl/>
        </w:rPr>
      </w:pPr>
      <w:r w:rsidRPr="00576D5C">
        <w:rPr>
          <w:rFonts w:asciiTheme="minorBidi" w:hAnsiTheme="minorBidi"/>
          <w:b/>
          <w:bCs/>
          <w:color w:val="000000"/>
          <w:sz w:val="28"/>
          <w:szCs w:val="28"/>
          <w:u w:val="single"/>
          <w:rtl/>
        </w:rPr>
        <w:t>שו"ע:</w:t>
      </w:r>
    </w:p>
    <w:p w14:paraId="6B504C16" w14:textId="77777777" w:rsidR="00E137BC" w:rsidRDefault="00E137BC" w:rsidP="00576D5C">
      <w:pPr>
        <w:rPr>
          <w:rFonts w:asciiTheme="minorBidi" w:hAnsiTheme="minorBidi"/>
          <w:rtl/>
        </w:rPr>
      </w:pPr>
      <w:r w:rsidRPr="00576D5C">
        <w:rPr>
          <w:rFonts w:asciiTheme="minorBidi" w:hAnsiTheme="minorBidi"/>
          <w:rtl/>
        </w:rPr>
        <w:t xml:space="preserve">דין פשרה בטעות, יתבאר בסוף סימן כ"ה. </w:t>
      </w:r>
    </w:p>
    <w:p w14:paraId="0283E696" w14:textId="77777777" w:rsidR="0083239C" w:rsidRPr="00576D5C" w:rsidRDefault="0083239C" w:rsidP="00576D5C">
      <w:pPr>
        <w:rPr>
          <w:rFonts w:asciiTheme="minorBidi" w:hAnsiTheme="minorBidi"/>
          <w:rtl/>
        </w:rPr>
      </w:pPr>
    </w:p>
    <w:p w14:paraId="1931CAA8" w14:textId="77777777" w:rsidR="00E137BC" w:rsidRDefault="00E137BC" w:rsidP="00AB008F">
      <w:pPr>
        <w:pStyle w:val="2"/>
        <w:rPr>
          <w:rtl/>
        </w:rPr>
      </w:pPr>
      <w:bookmarkStart w:id="104" w:name="_Toc24883591"/>
      <w:r w:rsidRPr="00576D5C">
        <w:rPr>
          <w:rtl/>
        </w:rPr>
        <w:t>סעיף יז</w:t>
      </w:r>
      <w:r w:rsidR="006567B0">
        <w:rPr>
          <w:rFonts w:hint="cs"/>
          <w:rtl/>
        </w:rPr>
        <w:t>:</w:t>
      </w:r>
      <w:r w:rsidR="004B55F5">
        <w:rPr>
          <w:rFonts w:hint="cs"/>
          <w:rtl/>
        </w:rPr>
        <w:t xml:space="preserve"> </w:t>
      </w:r>
      <w:r w:rsidR="00214665">
        <w:rPr>
          <w:rFonts w:hint="cs"/>
          <w:rtl/>
        </w:rPr>
        <w:t>פייסו אותו למחול ואמר לו יהי כדבריך.</w:t>
      </w:r>
      <w:bookmarkEnd w:id="104"/>
    </w:p>
    <w:p w14:paraId="2638516C" w14:textId="77777777" w:rsidR="00214665" w:rsidRPr="00214665" w:rsidRDefault="00214665" w:rsidP="006567B0">
      <w:pPr>
        <w:rPr>
          <w:rFonts w:cs="Arial"/>
          <w:u w:val="single"/>
          <w:rtl/>
        </w:rPr>
      </w:pPr>
      <w:r w:rsidRPr="00214665">
        <w:rPr>
          <w:rFonts w:cs="Arial" w:hint="cs"/>
          <w:u w:val="single"/>
          <w:rtl/>
        </w:rPr>
        <w:t>פייסו את התובע למחול</w:t>
      </w:r>
      <w:r>
        <w:rPr>
          <w:rFonts w:cs="Arial" w:hint="cs"/>
          <w:u w:val="single"/>
          <w:rtl/>
        </w:rPr>
        <w:t>,</w:t>
      </w:r>
      <w:r w:rsidRPr="00214665">
        <w:rPr>
          <w:rFonts w:cs="Arial" w:hint="cs"/>
          <w:u w:val="single"/>
          <w:rtl/>
        </w:rPr>
        <w:t xml:space="preserve"> ואמר 'לו יהי כדבריך':</w:t>
      </w:r>
    </w:p>
    <w:p w14:paraId="5998642A" w14:textId="77777777" w:rsidR="006567B0" w:rsidRPr="006567B0" w:rsidRDefault="006567B0" w:rsidP="00C704CB">
      <w:pPr>
        <w:pStyle w:val="ac"/>
        <w:numPr>
          <w:ilvl w:val="0"/>
          <w:numId w:val="8"/>
        </w:numPr>
        <w:rPr>
          <w:rtl/>
        </w:rPr>
      </w:pPr>
      <w:r w:rsidRPr="00214665">
        <w:rPr>
          <w:rFonts w:cs="Arial"/>
          <w:rtl/>
        </w:rPr>
        <w:t xml:space="preserve">מרדכי </w:t>
      </w:r>
      <w:r w:rsidR="00214665" w:rsidRPr="00214665">
        <w:rPr>
          <w:rFonts w:cs="Arial" w:hint="cs"/>
          <w:sz w:val="16"/>
          <w:szCs w:val="16"/>
          <w:rtl/>
        </w:rPr>
        <w:t>(</w:t>
      </w:r>
      <w:r w:rsidRPr="00214665">
        <w:rPr>
          <w:rFonts w:cs="Arial"/>
          <w:sz w:val="16"/>
          <w:szCs w:val="16"/>
          <w:rtl/>
        </w:rPr>
        <w:t>ריש סנהדרין סי' תרפא)</w:t>
      </w:r>
      <w:r w:rsidR="00214665" w:rsidRPr="00214665">
        <w:rPr>
          <w:rFonts w:cs="Arial" w:hint="cs"/>
          <w:rtl/>
        </w:rPr>
        <w:t>-</w:t>
      </w:r>
      <w:r w:rsidRPr="00214665">
        <w:rPr>
          <w:rFonts w:cs="Arial"/>
          <w:rtl/>
        </w:rPr>
        <w:t xml:space="preserve"> מעשה בא לפני ראב"ן באחד שנתחייב שבועה לחבירו ופייסו את התובע למחול ואמר </w:t>
      </w:r>
      <w:r w:rsidR="00B61D78">
        <w:rPr>
          <w:rFonts w:cs="Arial" w:hint="cs"/>
          <w:rtl/>
        </w:rPr>
        <w:t>'</w:t>
      </w:r>
      <w:r w:rsidRPr="00214665">
        <w:rPr>
          <w:rFonts w:cs="Arial"/>
          <w:rtl/>
        </w:rPr>
        <w:t>יהי כדבריך</w:t>
      </w:r>
      <w:r w:rsidR="00B61D78">
        <w:rPr>
          <w:rFonts w:cs="Arial" w:hint="cs"/>
          <w:rtl/>
        </w:rPr>
        <w:t>'.</w:t>
      </w:r>
      <w:r w:rsidRPr="00214665">
        <w:rPr>
          <w:rFonts w:cs="Arial"/>
          <w:rtl/>
        </w:rPr>
        <w:t xml:space="preserve"> ושוב תפס התובע משכונו</w:t>
      </w:r>
      <w:r w:rsidR="00214665" w:rsidRPr="00214665">
        <w:rPr>
          <w:rFonts w:cs="Arial" w:hint="cs"/>
          <w:rtl/>
        </w:rPr>
        <w:t>,</w:t>
      </w:r>
      <w:r w:rsidRPr="00214665">
        <w:rPr>
          <w:rFonts w:cs="Arial"/>
          <w:rtl/>
        </w:rPr>
        <w:t xml:space="preserve"> ואמר </w:t>
      </w:r>
      <w:r w:rsidR="00B61D78">
        <w:rPr>
          <w:rFonts w:cs="Arial" w:hint="cs"/>
          <w:rtl/>
        </w:rPr>
        <w:t>'</w:t>
      </w:r>
      <w:r w:rsidRPr="00214665">
        <w:rPr>
          <w:rFonts w:cs="Arial"/>
          <w:rtl/>
        </w:rPr>
        <w:t>מחילתי אינה מחילה כי לא אמרתי מחול לך גם לא היה קנין בדבר</w:t>
      </w:r>
      <w:r w:rsidR="00B61D78">
        <w:rPr>
          <w:rFonts w:cs="Arial" w:hint="cs"/>
          <w:rtl/>
        </w:rPr>
        <w:t>'</w:t>
      </w:r>
      <w:r w:rsidR="00214665" w:rsidRPr="00214665">
        <w:rPr>
          <w:rFonts w:cs="Arial" w:hint="cs"/>
          <w:rtl/>
        </w:rPr>
        <w:t>,</w:t>
      </w:r>
      <w:r w:rsidRPr="00214665">
        <w:rPr>
          <w:rFonts w:cs="Arial"/>
          <w:rtl/>
        </w:rPr>
        <w:t xml:space="preserve"> ופסק ראב"ן </w:t>
      </w:r>
      <w:r w:rsidRPr="00214665">
        <w:rPr>
          <w:rFonts w:cs="Arial"/>
          <w:sz w:val="16"/>
          <w:szCs w:val="16"/>
          <w:rtl/>
        </w:rPr>
        <w:t xml:space="preserve">(אבן העזר סי' ק) </w:t>
      </w:r>
      <w:r w:rsidRPr="00214665">
        <w:rPr>
          <w:rFonts w:cs="Arial"/>
          <w:rtl/>
        </w:rPr>
        <w:t xml:space="preserve">דכשאמר </w:t>
      </w:r>
      <w:r w:rsidR="00B61D78">
        <w:rPr>
          <w:rFonts w:cs="Arial" w:hint="cs"/>
          <w:rtl/>
        </w:rPr>
        <w:t>'</w:t>
      </w:r>
      <w:r w:rsidRPr="00214665">
        <w:rPr>
          <w:rFonts w:cs="Arial"/>
          <w:rtl/>
        </w:rPr>
        <w:t>יהי כדבריך</w:t>
      </w:r>
      <w:r w:rsidR="00B61D78">
        <w:rPr>
          <w:rFonts w:cs="Arial" w:hint="cs"/>
          <w:rtl/>
        </w:rPr>
        <w:t>'</w:t>
      </w:r>
      <w:r w:rsidRPr="00214665">
        <w:rPr>
          <w:rFonts w:cs="Arial"/>
          <w:rtl/>
        </w:rPr>
        <w:t xml:space="preserve"> הוי כאלו פירש בהדיא </w:t>
      </w:r>
      <w:r w:rsidR="005E2E9C">
        <w:rPr>
          <w:rFonts w:cs="Arial" w:hint="cs"/>
          <w:rtl/>
        </w:rPr>
        <w:t>'</w:t>
      </w:r>
      <w:r w:rsidRPr="00214665">
        <w:rPr>
          <w:rFonts w:cs="Arial"/>
          <w:rtl/>
        </w:rPr>
        <w:t>מחול לך</w:t>
      </w:r>
      <w:r w:rsidR="005E2E9C">
        <w:rPr>
          <w:rFonts w:cs="Arial" w:hint="cs"/>
          <w:rtl/>
        </w:rPr>
        <w:t>'</w:t>
      </w:r>
      <w:r w:rsidR="00214665" w:rsidRPr="00214665">
        <w:rPr>
          <w:rFonts w:cs="Arial" w:hint="cs"/>
          <w:rtl/>
        </w:rPr>
        <w:t>.</w:t>
      </w:r>
      <w:r w:rsidR="00BA79D0" w:rsidRPr="00BA79D0">
        <w:rPr>
          <w:rFonts w:cs="Arial" w:hint="cs"/>
          <w:color w:val="E36C0A" w:themeColor="accent6" w:themeShade="BF"/>
          <w:rtl/>
        </w:rPr>
        <w:t xml:space="preserve"> (וכ"פ בשו"ע)</w:t>
      </w:r>
    </w:p>
    <w:p w14:paraId="4647877C" w14:textId="77777777" w:rsidR="00E137BC" w:rsidRPr="00576D5C" w:rsidRDefault="00E137BC" w:rsidP="00576D5C">
      <w:pPr>
        <w:rPr>
          <w:rFonts w:asciiTheme="minorBidi" w:hAnsiTheme="minorBidi"/>
          <w:b/>
          <w:bCs/>
          <w:color w:val="000000"/>
          <w:sz w:val="28"/>
          <w:szCs w:val="28"/>
          <w:u w:val="single"/>
          <w:rtl/>
        </w:rPr>
      </w:pPr>
      <w:r w:rsidRPr="00576D5C">
        <w:rPr>
          <w:rFonts w:asciiTheme="minorBidi" w:hAnsiTheme="minorBidi"/>
          <w:b/>
          <w:bCs/>
          <w:color w:val="000000"/>
          <w:sz w:val="28"/>
          <w:szCs w:val="28"/>
          <w:u w:val="single"/>
          <w:rtl/>
        </w:rPr>
        <w:t>שו"ע:</w:t>
      </w:r>
    </w:p>
    <w:p w14:paraId="41256CEC" w14:textId="77777777" w:rsidR="00E137BC" w:rsidRDefault="00E137BC" w:rsidP="00576D5C">
      <w:pPr>
        <w:rPr>
          <w:rFonts w:asciiTheme="minorBidi" w:hAnsiTheme="minorBidi"/>
          <w:rtl/>
        </w:rPr>
      </w:pPr>
      <w:r w:rsidRPr="00576D5C">
        <w:rPr>
          <w:rFonts w:asciiTheme="minorBidi" w:hAnsiTheme="minorBidi"/>
          <w:rtl/>
        </w:rPr>
        <w:t xml:space="preserve">מי שנתחייב שבועה לחבירו, ופייסו התובע למחול לו, ואמר לו יהי כדברך, אינו יכול לחזור בו. </w:t>
      </w:r>
    </w:p>
    <w:p w14:paraId="53D08182" w14:textId="77777777" w:rsidR="000363E7" w:rsidRPr="00576D5C" w:rsidRDefault="000363E7" w:rsidP="00576D5C">
      <w:pPr>
        <w:rPr>
          <w:rFonts w:asciiTheme="minorBidi" w:hAnsiTheme="minorBidi"/>
          <w:rtl/>
        </w:rPr>
      </w:pPr>
    </w:p>
    <w:p w14:paraId="01054806" w14:textId="77777777" w:rsidR="00E137BC" w:rsidRDefault="00E137BC" w:rsidP="00AB008F">
      <w:pPr>
        <w:pStyle w:val="2"/>
        <w:rPr>
          <w:rtl/>
        </w:rPr>
      </w:pPr>
      <w:bookmarkStart w:id="105" w:name="_Toc24883592"/>
      <w:r w:rsidRPr="00576D5C">
        <w:rPr>
          <w:rtl/>
        </w:rPr>
        <w:t>סעיף יח</w:t>
      </w:r>
      <w:r w:rsidR="006567B0">
        <w:rPr>
          <w:rFonts w:hint="cs"/>
          <w:rtl/>
        </w:rPr>
        <w:t>:</w:t>
      </w:r>
      <w:r w:rsidR="00214665">
        <w:rPr>
          <w:rFonts w:hint="cs"/>
          <w:rtl/>
        </w:rPr>
        <w:t xml:space="preserve"> כשיש הרבה פשרנים - צריך שכולם יסכימו.</w:t>
      </w:r>
      <w:bookmarkEnd w:id="105"/>
    </w:p>
    <w:p w14:paraId="42A8C1F5" w14:textId="77777777" w:rsidR="008E742E" w:rsidRPr="008E742E" w:rsidRDefault="008E742E" w:rsidP="008E742E">
      <w:pPr>
        <w:rPr>
          <w:rtl/>
        </w:rPr>
      </w:pPr>
      <w:bookmarkStart w:id="106" w:name="_Hlk18570042"/>
      <w:r w:rsidRPr="008E742E">
        <w:rPr>
          <w:rFonts w:hint="cs"/>
          <w:b/>
          <w:bCs/>
          <w:rtl/>
        </w:rPr>
        <w:t xml:space="preserve">עבודה זרה </w:t>
      </w:r>
      <w:r w:rsidRPr="008E742E">
        <w:rPr>
          <w:rFonts w:hint="cs"/>
          <w:b/>
          <w:bCs/>
          <w:sz w:val="16"/>
          <w:szCs w:val="16"/>
          <w:rtl/>
        </w:rPr>
        <w:t xml:space="preserve">(פרק בתרא) </w:t>
      </w:r>
      <w:r w:rsidRPr="008E742E">
        <w:rPr>
          <w:rFonts w:hint="cs"/>
          <w:b/>
          <w:bCs/>
          <w:rtl/>
        </w:rPr>
        <w:t>עב</w:t>
      </w:r>
      <w:r>
        <w:rPr>
          <w:rStyle w:val="ab"/>
          <w:b/>
          <w:bCs/>
          <w:rtl/>
        </w:rPr>
        <w:footnoteReference w:id="671"/>
      </w:r>
      <w:r w:rsidRPr="008E742E">
        <w:rPr>
          <w:rFonts w:hint="cs"/>
          <w:b/>
          <w:bCs/>
          <w:rtl/>
        </w:rPr>
        <w:t xml:space="preserve"> ע"א:</w:t>
      </w:r>
      <w:r w:rsidRPr="008E742E">
        <w:rPr>
          <w:rFonts w:cs="Arial"/>
          <w:rtl/>
        </w:rPr>
        <w:t xml:space="preserve"> </w:t>
      </w:r>
      <w:r w:rsidRPr="00B61D78">
        <w:rPr>
          <w:rFonts w:cs="Arial"/>
          <w:rtl/>
        </w:rPr>
        <w:t>כדשיימי בתלתא</w:t>
      </w:r>
      <w:r>
        <w:rPr>
          <w:rStyle w:val="ab"/>
          <w:rFonts w:cs="Arial"/>
          <w:rtl/>
        </w:rPr>
        <w:footnoteReference w:id="672"/>
      </w:r>
      <w:r w:rsidRPr="00B61D78">
        <w:rPr>
          <w:rFonts w:cs="Arial"/>
          <w:rtl/>
        </w:rPr>
        <w:t xml:space="preserve"> - אפילו תרי מגו תלתא, כדאמרי בתלתא</w:t>
      </w:r>
      <w:r>
        <w:rPr>
          <w:rStyle w:val="ab"/>
          <w:rFonts w:cs="Arial"/>
          <w:rtl/>
        </w:rPr>
        <w:footnoteReference w:id="673"/>
      </w:r>
      <w:r w:rsidRPr="00B61D78">
        <w:rPr>
          <w:rFonts w:cs="Arial"/>
          <w:rtl/>
        </w:rPr>
        <w:t xml:space="preserve"> - עד דאמרי בתלתא</w:t>
      </w:r>
      <w:r>
        <w:rPr>
          <w:rFonts w:hint="cs"/>
          <w:rtl/>
        </w:rPr>
        <w:t>.</w:t>
      </w:r>
      <w:r w:rsidRPr="008E742E">
        <w:rPr>
          <w:rtl/>
        </w:rPr>
        <w:t xml:space="preserve"> </w:t>
      </w:r>
      <w:r w:rsidRPr="008E742E">
        <w:rPr>
          <w:rFonts w:cs="Arial"/>
          <w:rtl/>
        </w:rPr>
        <w:t>כדשיימי בארבעה</w:t>
      </w:r>
      <w:r>
        <w:rPr>
          <w:rStyle w:val="ab"/>
          <w:rFonts w:cs="Arial"/>
          <w:rtl/>
        </w:rPr>
        <w:footnoteReference w:id="674"/>
      </w:r>
      <w:r w:rsidRPr="008E742E">
        <w:rPr>
          <w:rFonts w:cs="Arial"/>
          <w:rtl/>
        </w:rPr>
        <w:t xml:space="preserve"> - עד דאמרי בארבעה, וכ"ש היכא דא"ל כדאמרי בארבעה.</w:t>
      </w:r>
    </w:p>
    <w:p w14:paraId="5F259B2F" w14:textId="77777777" w:rsidR="00214665" w:rsidRDefault="00214665" w:rsidP="006567B0">
      <w:pPr>
        <w:rPr>
          <w:rFonts w:cs="Arial"/>
          <w:rtl/>
        </w:rPr>
      </w:pPr>
      <w:r w:rsidRPr="00214665">
        <w:rPr>
          <w:rFonts w:cs="Arial" w:hint="cs"/>
          <w:u w:val="single"/>
          <w:rtl/>
        </w:rPr>
        <w:t>האם בפשרה מספיק רוב או שצריך שכולם י</w:t>
      </w:r>
      <w:r>
        <w:rPr>
          <w:rFonts w:cs="Arial" w:hint="cs"/>
          <w:u w:val="single"/>
          <w:rtl/>
        </w:rPr>
        <w:t>ס</w:t>
      </w:r>
      <w:r w:rsidRPr="00214665">
        <w:rPr>
          <w:rFonts w:cs="Arial" w:hint="cs"/>
          <w:u w:val="single"/>
          <w:rtl/>
        </w:rPr>
        <w:t>כימו:</w:t>
      </w:r>
    </w:p>
    <w:p w14:paraId="40BF54CF" w14:textId="77777777" w:rsidR="00214665" w:rsidRPr="00214665" w:rsidRDefault="006567B0" w:rsidP="00B61D78">
      <w:pPr>
        <w:pStyle w:val="ac"/>
        <w:numPr>
          <w:ilvl w:val="0"/>
          <w:numId w:val="8"/>
        </w:numPr>
        <w:rPr>
          <w:rFonts w:cs="Arial"/>
          <w:rtl/>
        </w:rPr>
      </w:pPr>
      <w:r w:rsidRPr="00214665">
        <w:rPr>
          <w:rFonts w:cs="Arial"/>
          <w:rtl/>
        </w:rPr>
        <w:lastRenderedPageBreak/>
        <w:t xml:space="preserve">מרדכי </w:t>
      </w:r>
      <w:r w:rsidRPr="00214665">
        <w:rPr>
          <w:rFonts w:cs="Arial"/>
          <w:sz w:val="16"/>
          <w:szCs w:val="16"/>
          <w:rtl/>
        </w:rPr>
        <w:t>(ריש סנהדרין</w:t>
      </w:r>
      <w:r w:rsidR="00214665" w:rsidRPr="00214665">
        <w:rPr>
          <w:rFonts w:cs="Arial"/>
          <w:sz w:val="16"/>
          <w:szCs w:val="16"/>
          <w:rtl/>
        </w:rPr>
        <w:t xml:space="preserve"> סי' תרעט)</w:t>
      </w:r>
      <w:r w:rsidR="00B61D78" w:rsidRPr="00B61D78">
        <w:rPr>
          <w:rFonts w:cs="Arial"/>
          <w:rtl/>
        </w:rPr>
        <w:t xml:space="preserve"> </w:t>
      </w:r>
      <w:r w:rsidR="00B61D78">
        <w:rPr>
          <w:rFonts w:cs="Arial" w:hint="cs"/>
          <w:rtl/>
        </w:rPr>
        <w:t>ו</w:t>
      </w:r>
      <w:r w:rsidR="00B61D78" w:rsidRPr="00214665">
        <w:rPr>
          <w:rFonts w:cs="Arial"/>
          <w:rtl/>
        </w:rPr>
        <w:t>נימוק</w:t>
      </w:r>
      <w:r w:rsidR="00B61D78" w:rsidRPr="00214665">
        <w:rPr>
          <w:rFonts w:cs="Arial" w:hint="cs"/>
          <w:rtl/>
        </w:rPr>
        <w:t>"</w:t>
      </w:r>
      <w:r w:rsidR="00B61D78" w:rsidRPr="00214665">
        <w:rPr>
          <w:rFonts w:cs="Arial"/>
          <w:rtl/>
        </w:rPr>
        <w:t xml:space="preserve">י </w:t>
      </w:r>
      <w:r w:rsidR="00B61D78" w:rsidRPr="00214665">
        <w:rPr>
          <w:rFonts w:cs="Arial"/>
          <w:sz w:val="16"/>
          <w:szCs w:val="16"/>
          <w:rtl/>
        </w:rPr>
        <w:t>(א: ד"ה אמר)</w:t>
      </w:r>
      <w:r w:rsidR="00214665" w:rsidRPr="00214665">
        <w:rPr>
          <w:rFonts w:cs="Arial" w:hint="cs"/>
          <w:rtl/>
        </w:rPr>
        <w:t>-</w:t>
      </w:r>
      <w:r w:rsidRPr="00214665">
        <w:rPr>
          <w:rFonts w:cs="Arial"/>
          <w:rtl/>
        </w:rPr>
        <w:t xml:space="preserve"> </w:t>
      </w:r>
      <w:r w:rsidR="00B61D78" w:rsidRPr="00B61D78">
        <w:rPr>
          <w:rFonts w:cs="Arial"/>
          <w:rtl/>
        </w:rPr>
        <w:t>יש חילוק בין פשרה לדין</w:t>
      </w:r>
      <w:r w:rsidR="00B61D78">
        <w:rPr>
          <w:rFonts w:cs="Arial" w:hint="cs"/>
          <w:rtl/>
        </w:rPr>
        <w:t>,</w:t>
      </w:r>
      <w:r w:rsidR="00B61D78" w:rsidRPr="00B61D78">
        <w:rPr>
          <w:rFonts w:cs="Arial"/>
          <w:rtl/>
        </w:rPr>
        <w:t xml:space="preserve"> דבדין אזלינן בתר הרוב</w:t>
      </w:r>
      <w:r w:rsidR="00B61D78">
        <w:rPr>
          <w:rFonts w:cs="Arial" w:hint="cs"/>
          <w:rtl/>
        </w:rPr>
        <w:t>,</w:t>
      </w:r>
      <w:r w:rsidR="00B61D78" w:rsidRPr="00B61D78">
        <w:rPr>
          <w:rFonts w:cs="Arial"/>
          <w:rtl/>
        </w:rPr>
        <w:t xml:space="preserve"> ובפשרה אם רבים הם הפשרנים צריך שיסכימו כולם</w:t>
      </w:r>
      <w:r w:rsidR="00B61D78">
        <w:rPr>
          <w:rFonts w:cs="Arial" w:hint="cs"/>
          <w:rtl/>
        </w:rPr>
        <w:t>,</w:t>
      </w:r>
      <w:r w:rsidR="00B61D78" w:rsidRPr="00B61D78">
        <w:rPr>
          <w:rFonts w:cs="Arial"/>
          <w:rtl/>
        </w:rPr>
        <w:t xml:space="preserve"> כדאיתא בפ' בתרא דמס' ע"ז</w:t>
      </w:r>
      <w:r w:rsidR="00B61D78">
        <w:rPr>
          <w:rFonts w:cs="Arial" w:hint="cs"/>
          <w:sz w:val="16"/>
          <w:szCs w:val="16"/>
          <w:rtl/>
        </w:rPr>
        <w:t xml:space="preserve"> (ל' הנמוק"י)</w:t>
      </w:r>
      <w:r w:rsidR="00214665" w:rsidRPr="00214665">
        <w:rPr>
          <w:rFonts w:cs="Arial" w:hint="cs"/>
          <w:rtl/>
        </w:rPr>
        <w:t>.</w:t>
      </w:r>
      <w:r w:rsidR="00BA79D0" w:rsidRPr="00BA79D0">
        <w:rPr>
          <w:rFonts w:cs="Arial" w:hint="cs"/>
          <w:color w:val="E36C0A" w:themeColor="accent6" w:themeShade="BF"/>
          <w:rtl/>
        </w:rPr>
        <w:t xml:space="preserve"> (וכ"</w:t>
      </w:r>
      <w:r w:rsidR="008E742E">
        <w:rPr>
          <w:rFonts w:cs="Arial" w:hint="cs"/>
          <w:color w:val="E36C0A" w:themeColor="accent6" w:themeShade="BF"/>
          <w:rtl/>
        </w:rPr>
        <w:t>ס</w:t>
      </w:r>
      <w:r w:rsidR="00BA79D0" w:rsidRPr="00BA79D0">
        <w:rPr>
          <w:rFonts w:cs="Arial" w:hint="cs"/>
          <w:color w:val="E36C0A" w:themeColor="accent6" w:themeShade="BF"/>
          <w:rtl/>
        </w:rPr>
        <w:t xml:space="preserve"> בשו"ע)</w:t>
      </w:r>
    </w:p>
    <w:bookmarkEnd w:id="106"/>
    <w:p w14:paraId="072550E9" w14:textId="77777777" w:rsidR="008E742E" w:rsidRPr="008E742E" w:rsidRDefault="008E742E" w:rsidP="008E742E">
      <w:pPr>
        <w:rPr>
          <w:rFonts w:cs="Arial"/>
          <w:rtl/>
        </w:rPr>
      </w:pPr>
      <w:r w:rsidRPr="008E742E">
        <w:rPr>
          <w:rFonts w:cs="Arial"/>
          <w:b/>
          <w:bCs/>
          <w:rtl/>
        </w:rPr>
        <w:t xml:space="preserve">סנהדרין </w:t>
      </w:r>
      <w:r w:rsidRPr="008E742E">
        <w:rPr>
          <w:rFonts w:cs="Arial" w:hint="cs"/>
          <w:b/>
          <w:bCs/>
          <w:sz w:val="16"/>
          <w:szCs w:val="16"/>
          <w:rtl/>
        </w:rPr>
        <w:t>(</w:t>
      </w:r>
      <w:r w:rsidRPr="008E742E">
        <w:rPr>
          <w:rFonts w:cs="Arial"/>
          <w:b/>
          <w:bCs/>
          <w:sz w:val="16"/>
          <w:szCs w:val="16"/>
          <w:rtl/>
        </w:rPr>
        <w:t>פ</w:t>
      </w:r>
      <w:r w:rsidRPr="008E742E">
        <w:rPr>
          <w:rFonts w:cs="Arial" w:hint="cs"/>
          <w:b/>
          <w:bCs/>
          <w:sz w:val="16"/>
          <w:szCs w:val="16"/>
          <w:rtl/>
        </w:rPr>
        <w:t>"ק)</w:t>
      </w:r>
      <w:r w:rsidRPr="008E742E">
        <w:rPr>
          <w:rFonts w:cs="Arial"/>
          <w:b/>
          <w:bCs/>
          <w:sz w:val="16"/>
          <w:szCs w:val="16"/>
          <w:rtl/>
        </w:rPr>
        <w:t xml:space="preserve"> </w:t>
      </w:r>
      <w:r w:rsidRPr="008E742E">
        <w:rPr>
          <w:rFonts w:cs="Arial" w:hint="cs"/>
          <w:b/>
          <w:bCs/>
          <w:rtl/>
        </w:rPr>
        <w:t>ה</w:t>
      </w:r>
      <w:r>
        <w:rPr>
          <w:rStyle w:val="ab"/>
          <w:rFonts w:cs="Arial"/>
          <w:b/>
          <w:bCs/>
          <w:rtl/>
        </w:rPr>
        <w:footnoteReference w:id="675"/>
      </w:r>
      <w:r w:rsidRPr="008E742E">
        <w:rPr>
          <w:rFonts w:cs="Arial" w:hint="cs"/>
          <w:b/>
          <w:bCs/>
          <w:rtl/>
        </w:rPr>
        <w:t xml:space="preserve"> ע"ב:</w:t>
      </w:r>
      <w:r w:rsidRPr="008E742E">
        <w:rPr>
          <w:rFonts w:cs="Arial"/>
          <w:rtl/>
        </w:rPr>
        <w:t xml:space="preserve"> גופא, </w:t>
      </w:r>
      <w:r w:rsidRPr="008E742E">
        <w:rPr>
          <w:rFonts w:cs="Arial"/>
          <w:u w:val="single"/>
          <w:rtl/>
        </w:rPr>
        <w:t>אמר שמואל</w:t>
      </w:r>
      <w:r w:rsidRPr="008E742E">
        <w:rPr>
          <w:rFonts w:cs="Arial"/>
          <w:rtl/>
        </w:rPr>
        <w:t>: שנים שדנו - דיניהם דין, אלא שנקרא בית דין חצוף</w:t>
      </w:r>
      <w:r w:rsidRPr="008E742E">
        <w:rPr>
          <w:rFonts w:cs="Arial" w:hint="cs"/>
          <w:rtl/>
        </w:rPr>
        <w:t>..</w:t>
      </w:r>
      <w:r w:rsidRPr="008E742E">
        <w:rPr>
          <w:rFonts w:cs="Arial"/>
          <w:rtl/>
        </w:rPr>
        <w:t xml:space="preserve">. איתיביה: </w:t>
      </w:r>
      <w:r w:rsidRPr="008E742E">
        <w:rPr>
          <w:rFonts w:cs="Arial"/>
          <w:u w:val="single"/>
          <w:rtl/>
        </w:rPr>
        <w:t>רבן שמעון בן גמליאל אומר</w:t>
      </w:r>
      <w:r w:rsidRPr="008E742E">
        <w:rPr>
          <w:rFonts w:cs="Arial"/>
          <w:rtl/>
        </w:rPr>
        <w:t>: הדין - בשלשה, ופשרה - בשנים.</w:t>
      </w:r>
      <w:r>
        <w:rPr>
          <w:rFonts w:cs="Arial" w:hint="cs"/>
          <w:rtl/>
        </w:rPr>
        <w:t>.</w:t>
      </w:r>
      <w:r w:rsidRPr="008E742E">
        <w:rPr>
          <w:rFonts w:cs="Arial"/>
          <w:rtl/>
        </w:rPr>
        <w:t>.</w:t>
      </w:r>
      <w:r w:rsidRPr="008E742E">
        <w:rPr>
          <w:rFonts w:cs="Arial" w:hint="cs"/>
          <w:sz w:val="14"/>
          <w:szCs w:val="14"/>
          <w:rtl/>
        </w:rPr>
        <w:t xml:space="preserve"> (ו.)</w:t>
      </w:r>
      <w:r w:rsidRPr="008E742E">
        <w:rPr>
          <w:rFonts w:cs="Arial" w:hint="cs"/>
          <w:rtl/>
        </w:rPr>
        <w:t xml:space="preserve"> לימא כתנאי</w:t>
      </w:r>
      <w:r>
        <w:rPr>
          <w:rStyle w:val="ab"/>
          <w:rFonts w:cs="Arial"/>
          <w:rtl/>
        </w:rPr>
        <w:footnoteReference w:id="676"/>
      </w:r>
      <w:r w:rsidRPr="008E742E">
        <w:rPr>
          <w:rFonts w:cs="Arial" w:hint="cs"/>
          <w:rtl/>
        </w:rPr>
        <w:t xml:space="preserve">. </w:t>
      </w:r>
      <w:r w:rsidRPr="008E742E">
        <w:rPr>
          <w:rFonts w:cs="Arial"/>
          <w:rtl/>
        </w:rPr>
        <w:t xml:space="preserve">ביצוע בשלשה, </w:t>
      </w:r>
      <w:r w:rsidRPr="008E742E">
        <w:rPr>
          <w:rFonts w:cs="Arial"/>
          <w:u w:val="single"/>
          <w:rtl/>
        </w:rPr>
        <w:t>דברי רבי מאיר</w:t>
      </w:r>
      <w:r w:rsidRPr="008E742E">
        <w:rPr>
          <w:rFonts w:cs="Arial"/>
          <w:rtl/>
        </w:rPr>
        <w:t xml:space="preserve">, </w:t>
      </w:r>
      <w:r w:rsidRPr="008E742E">
        <w:rPr>
          <w:rFonts w:cs="Arial"/>
          <w:u w:val="single"/>
          <w:rtl/>
        </w:rPr>
        <w:t>וחכמים אומרים</w:t>
      </w:r>
      <w:r w:rsidRPr="008E742E">
        <w:rPr>
          <w:rFonts w:cs="Arial"/>
          <w:rtl/>
        </w:rPr>
        <w:t>: פשרה ביחיד.</w:t>
      </w:r>
      <w:r>
        <w:rPr>
          <w:rFonts w:cs="Arial" w:hint="cs"/>
          <w:rtl/>
        </w:rPr>
        <w:t>..</w:t>
      </w:r>
      <w:r w:rsidRPr="008E742E">
        <w:rPr>
          <w:rFonts w:cs="Arial"/>
          <w:rtl/>
        </w:rPr>
        <w:t xml:space="preserve"> </w:t>
      </w:r>
      <w:r w:rsidRPr="008E742E">
        <w:rPr>
          <w:rFonts w:cs="Arial"/>
          <w:u w:val="single"/>
          <w:rtl/>
        </w:rPr>
        <w:t>אמר רב אחא בריה דרב איקא, ואיתימא רבי יימר בר שלמיא</w:t>
      </w:r>
      <w:r w:rsidRPr="008E742E">
        <w:rPr>
          <w:rFonts w:cs="Arial"/>
          <w:rtl/>
        </w:rPr>
        <w:t>: מאן דאמר תרי - אפילו חד נמי, והאי דקאמר תרי - כי היכי דליהוו עליה סהדי.</w:t>
      </w:r>
    </w:p>
    <w:p w14:paraId="3D9DA79A" w14:textId="77777777" w:rsidR="00214665" w:rsidRDefault="00214665" w:rsidP="006567B0">
      <w:pPr>
        <w:rPr>
          <w:rFonts w:cs="Arial"/>
          <w:rtl/>
        </w:rPr>
      </w:pPr>
      <w:r w:rsidRPr="00214665">
        <w:rPr>
          <w:rFonts w:cs="Arial" w:hint="cs"/>
          <w:u w:val="single"/>
          <w:rtl/>
        </w:rPr>
        <w:t>האם הפשרנים יכולין להיות עדים/דיינים:</w:t>
      </w:r>
    </w:p>
    <w:p w14:paraId="6433982F" w14:textId="77777777" w:rsidR="006567B0" w:rsidRPr="006567B0" w:rsidRDefault="00214665" w:rsidP="00C704CB">
      <w:pPr>
        <w:pStyle w:val="ac"/>
        <w:numPr>
          <w:ilvl w:val="0"/>
          <w:numId w:val="8"/>
        </w:numPr>
        <w:rPr>
          <w:rtl/>
        </w:rPr>
      </w:pPr>
      <w:r w:rsidRPr="00214665">
        <w:rPr>
          <w:rFonts w:cs="Arial" w:hint="cs"/>
          <w:rtl/>
        </w:rPr>
        <w:t>נ</w:t>
      </w:r>
      <w:r w:rsidR="006567B0" w:rsidRPr="00214665">
        <w:rPr>
          <w:rFonts w:cs="Arial"/>
          <w:rtl/>
        </w:rPr>
        <w:t>ימוק</w:t>
      </w:r>
      <w:r w:rsidRPr="00214665">
        <w:rPr>
          <w:rFonts w:cs="Arial" w:hint="cs"/>
          <w:rtl/>
        </w:rPr>
        <w:t>"</w:t>
      </w:r>
      <w:r w:rsidR="006567B0" w:rsidRPr="00214665">
        <w:rPr>
          <w:rFonts w:cs="Arial"/>
          <w:rtl/>
        </w:rPr>
        <w:t>י</w:t>
      </w:r>
      <w:r>
        <w:rPr>
          <w:rFonts w:cs="Arial" w:hint="cs"/>
          <w:rtl/>
        </w:rPr>
        <w:t xml:space="preserve"> </w:t>
      </w:r>
      <w:r>
        <w:rPr>
          <w:rFonts w:cs="Arial" w:hint="cs"/>
          <w:sz w:val="16"/>
          <w:szCs w:val="16"/>
          <w:rtl/>
        </w:rPr>
        <w:t>(שם)</w:t>
      </w:r>
      <w:r>
        <w:rPr>
          <w:rFonts w:cs="Arial" w:hint="cs"/>
          <w:rtl/>
        </w:rPr>
        <w:t xml:space="preserve">- </w:t>
      </w:r>
      <w:r w:rsidR="006567B0" w:rsidRPr="00214665">
        <w:rPr>
          <w:rFonts w:cs="Arial"/>
          <w:rtl/>
        </w:rPr>
        <w:t xml:space="preserve">מהא דאמרינן </w:t>
      </w:r>
      <w:r w:rsidR="006567B0" w:rsidRPr="00214665">
        <w:rPr>
          <w:rFonts w:cs="Arial"/>
          <w:sz w:val="16"/>
          <w:szCs w:val="16"/>
          <w:rtl/>
        </w:rPr>
        <w:t xml:space="preserve">(ו.) </w:t>
      </w:r>
      <w:r>
        <w:rPr>
          <w:rFonts w:cs="Arial" w:hint="cs"/>
          <w:rtl/>
        </w:rPr>
        <w:t>'</w:t>
      </w:r>
      <w:r w:rsidR="006567B0" w:rsidRPr="00214665">
        <w:rPr>
          <w:rFonts w:cs="Arial"/>
          <w:rtl/>
        </w:rPr>
        <w:t>והא דקאמר תרי כי היכי דליהוו עליה סהדי</w:t>
      </w:r>
      <w:r>
        <w:rPr>
          <w:rFonts w:cs="Arial" w:hint="cs"/>
          <w:rtl/>
        </w:rPr>
        <w:t>'</w:t>
      </w:r>
      <w:r w:rsidR="006567B0" w:rsidRPr="00214665">
        <w:rPr>
          <w:rFonts w:cs="Arial"/>
          <w:rtl/>
        </w:rPr>
        <w:t xml:space="preserve"> שמעינן שהפשרנים יכולים להיות עדים והוא הדין לדיינים</w:t>
      </w:r>
      <w:r w:rsidRPr="00214665">
        <w:rPr>
          <w:rFonts w:cs="Arial" w:hint="cs"/>
          <w:rtl/>
        </w:rPr>
        <w:t>.</w:t>
      </w:r>
    </w:p>
    <w:p w14:paraId="2A6229BA" w14:textId="77777777" w:rsidR="00E137BC" w:rsidRPr="00576D5C" w:rsidRDefault="00E137BC" w:rsidP="00576D5C">
      <w:pPr>
        <w:rPr>
          <w:rFonts w:asciiTheme="minorBidi" w:hAnsiTheme="minorBidi"/>
          <w:b/>
          <w:bCs/>
          <w:color w:val="000000"/>
          <w:sz w:val="28"/>
          <w:szCs w:val="28"/>
          <w:u w:val="single"/>
          <w:rtl/>
        </w:rPr>
      </w:pPr>
      <w:r w:rsidRPr="00576D5C">
        <w:rPr>
          <w:rFonts w:asciiTheme="minorBidi" w:hAnsiTheme="minorBidi"/>
          <w:b/>
          <w:bCs/>
          <w:color w:val="000000"/>
          <w:sz w:val="28"/>
          <w:szCs w:val="28"/>
          <w:u w:val="single"/>
          <w:rtl/>
        </w:rPr>
        <w:t>שו"ע:</w:t>
      </w:r>
    </w:p>
    <w:p w14:paraId="12E79891" w14:textId="77777777" w:rsidR="00E137BC" w:rsidRDefault="00E137BC" w:rsidP="00576D5C">
      <w:pPr>
        <w:rPr>
          <w:rFonts w:asciiTheme="minorBidi" w:hAnsiTheme="minorBidi"/>
          <w:rtl/>
        </w:rPr>
      </w:pPr>
      <w:r w:rsidRPr="00576D5C">
        <w:rPr>
          <w:rFonts w:asciiTheme="minorBidi" w:hAnsiTheme="minorBidi"/>
          <w:rtl/>
        </w:rPr>
        <w:t xml:space="preserve">אם רבים הם הפשרנים, יש אומרים שאין הולכים אחר הרוב אלא צריך שיסכימו כולם. </w:t>
      </w:r>
    </w:p>
    <w:p w14:paraId="59D4BDE7" w14:textId="77777777" w:rsidR="000363E7" w:rsidRPr="00576D5C" w:rsidRDefault="000363E7" w:rsidP="00576D5C">
      <w:pPr>
        <w:rPr>
          <w:rFonts w:asciiTheme="minorBidi" w:hAnsiTheme="minorBidi"/>
          <w:rtl/>
        </w:rPr>
      </w:pPr>
    </w:p>
    <w:p w14:paraId="51862ED8" w14:textId="77777777" w:rsidR="00E137BC" w:rsidRDefault="00E137BC" w:rsidP="00AB008F">
      <w:pPr>
        <w:pStyle w:val="2"/>
        <w:rPr>
          <w:rtl/>
        </w:rPr>
      </w:pPr>
      <w:bookmarkStart w:id="107" w:name="_Toc24883593"/>
      <w:r w:rsidRPr="00576D5C">
        <w:rPr>
          <w:rtl/>
        </w:rPr>
        <w:t>סעיף יט</w:t>
      </w:r>
      <w:r w:rsidR="006567B0">
        <w:rPr>
          <w:rFonts w:hint="cs"/>
          <w:rtl/>
        </w:rPr>
        <w:t>:</w:t>
      </w:r>
      <w:r w:rsidR="00BA79D0">
        <w:rPr>
          <w:rFonts w:hint="cs"/>
          <w:rtl/>
        </w:rPr>
        <w:t xml:space="preserve"> </w:t>
      </w:r>
      <w:r w:rsidR="004D1090">
        <w:rPr>
          <w:rFonts w:hint="cs"/>
          <w:rtl/>
        </w:rPr>
        <w:t xml:space="preserve">העושה </w:t>
      </w:r>
      <w:r w:rsidR="00BA79D0">
        <w:rPr>
          <w:rFonts w:hint="cs"/>
          <w:rtl/>
        </w:rPr>
        <w:t xml:space="preserve">פשרה בלא קנין אך </w:t>
      </w:r>
      <w:r w:rsidR="004D1090">
        <w:rPr>
          <w:rFonts w:hint="cs"/>
          <w:rtl/>
        </w:rPr>
        <w:t>נתן</w:t>
      </w:r>
      <w:r w:rsidR="00BA79D0">
        <w:rPr>
          <w:rFonts w:hint="cs"/>
          <w:rtl/>
        </w:rPr>
        <w:t xml:space="preserve"> משכון ביד הפשרנים.</w:t>
      </w:r>
      <w:bookmarkEnd w:id="107"/>
    </w:p>
    <w:p w14:paraId="23BFEBD6" w14:textId="77777777" w:rsidR="00BA79D0" w:rsidRDefault="00BA79D0" w:rsidP="006567B0">
      <w:pPr>
        <w:rPr>
          <w:rFonts w:cs="Arial"/>
          <w:rtl/>
        </w:rPr>
      </w:pPr>
      <w:r>
        <w:rPr>
          <w:rFonts w:hint="cs"/>
          <w:u w:val="single"/>
          <w:rtl/>
        </w:rPr>
        <w:t xml:space="preserve">ב' אנשים שעשו </w:t>
      </w:r>
      <w:r w:rsidRPr="00BA79D0">
        <w:rPr>
          <w:rFonts w:hint="cs"/>
          <w:u w:val="single"/>
          <w:rtl/>
        </w:rPr>
        <w:t xml:space="preserve">פשרה בלא קנין אך נתנו משכון ביד הפשרנים: </w:t>
      </w:r>
    </w:p>
    <w:p w14:paraId="14C742A4" w14:textId="77777777" w:rsidR="00BA79D0" w:rsidRPr="00BA79D0" w:rsidRDefault="00BA79D0" w:rsidP="00C704CB">
      <w:pPr>
        <w:pStyle w:val="ac"/>
        <w:numPr>
          <w:ilvl w:val="0"/>
          <w:numId w:val="8"/>
        </w:numPr>
        <w:rPr>
          <w:rFonts w:cs="Arial"/>
          <w:rtl/>
        </w:rPr>
      </w:pPr>
      <w:r w:rsidRPr="00BA79D0">
        <w:rPr>
          <w:rFonts w:cs="Arial" w:hint="cs"/>
          <w:rtl/>
        </w:rPr>
        <w:t>רשב"א</w:t>
      </w:r>
      <w:r w:rsidR="006567B0" w:rsidRPr="00BA79D0">
        <w:rPr>
          <w:rFonts w:cs="Arial"/>
          <w:rtl/>
        </w:rPr>
        <w:t xml:space="preserve"> </w:t>
      </w:r>
      <w:r w:rsidR="006567B0" w:rsidRPr="00BA79D0">
        <w:rPr>
          <w:rFonts w:cs="Arial"/>
          <w:sz w:val="16"/>
          <w:szCs w:val="16"/>
          <w:rtl/>
        </w:rPr>
        <w:t>(ח"א סי</w:t>
      </w:r>
      <w:r w:rsidRPr="00BA79D0">
        <w:rPr>
          <w:rFonts w:cs="Arial" w:hint="cs"/>
          <w:sz w:val="16"/>
          <w:szCs w:val="16"/>
          <w:rtl/>
        </w:rPr>
        <w:t>'</w:t>
      </w:r>
      <w:r w:rsidR="006567B0" w:rsidRPr="00BA79D0">
        <w:rPr>
          <w:rFonts w:cs="Arial"/>
          <w:sz w:val="16"/>
          <w:szCs w:val="16"/>
          <w:rtl/>
        </w:rPr>
        <w:t xml:space="preserve"> אלף ל</w:t>
      </w:r>
      <w:r w:rsidRPr="00BA79D0">
        <w:rPr>
          <w:rFonts w:cs="Arial" w:hint="cs"/>
          <w:sz w:val="16"/>
          <w:szCs w:val="16"/>
          <w:rtl/>
        </w:rPr>
        <w:t>)</w:t>
      </w:r>
      <w:r w:rsidRPr="00BA79D0">
        <w:rPr>
          <w:rFonts w:cs="Arial" w:hint="cs"/>
          <w:rtl/>
        </w:rPr>
        <w:t xml:space="preserve">- </w:t>
      </w:r>
      <w:r w:rsidR="006567B0" w:rsidRPr="00BA79D0">
        <w:rPr>
          <w:rFonts w:cs="Arial"/>
          <w:rtl/>
        </w:rPr>
        <w:t>בפשרה כל שלא קנו מידו יכול לחזור בו</w:t>
      </w:r>
      <w:r w:rsidRPr="00BA79D0">
        <w:rPr>
          <w:rFonts w:cs="Arial" w:hint="cs"/>
          <w:rtl/>
        </w:rPr>
        <w:t>,</w:t>
      </w:r>
      <w:r w:rsidR="006567B0" w:rsidRPr="00BA79D0">
        <w:rPr>
          <w:rFonts w:cs="Arial"/>
          <w:rtl/>
        </w:rPr>
        <w:t xml:space="preserve"> ואע</w:t>
      </w:r>
      <w:r w:rsidRPr="00BA79D0">
        <w:rPr>
          <w:rFonts w:cs="Arial" w:hint="cs"/>
          <w:rtl/>
        </w:rPr>
        <w:t>"</w:t>
      </w:r>
      <w:r w:rsidR="006567B0" w:rsidRPr="00BA79D0">
        <w:rPr>
          <w:rFonts w:cs="Arial"/>
          <w:rtl/>
        </w:rPr>
        <w:t xml:space="preserve">פ שנתנו המשכון ביד הפשרנים ואמרו להם </w:t>
      </w:r>
      <w:r w:rsidR="0047161B">
        <w:rPr>
          <w:rFonts w:cs="Arial" w:hint="cs"/>
          <w:rtl/>
        </w:rPr>
        <w:t>'</w:t>
      </w:r>
      <w:r w:rsidR="006567B0" w:rsidRPr="00BA79D0">
        <w:rPr>
          <w:rFonts w:cs="Arial"/>
          <w:rtl/>
        </w:rPr>
        <w:t>אם לא נשלים מה שתטילו בינינו זכו בהם למי משנינו שיעמוד על פשרתכם</w:t>
      </w:r>
      <w:r w:rsidR="0047161B">
        <w:rPr>
          <w:rFonts w:cs="Arial" w:hint="cs"/>
          <w:rtl/>
        </w:rPr>
        <w:t>'</w:t>
      </w:r>
      <w:r w:rsidRPr="00BA79D0">
        <w:rPr>
          <w:rFonts w:cs="Arial" w:hint="cs"/>
          <w:rtl/>
        </w:rPr>
        <w:t xml:space="preserve"> -</w:t>
      </w:r>
      <w:r w:rsidR="006567B0" w:rsidRPr="00BA79D0">
        <w:rPr>
          <w:rFonts w:cs="Arial"/>
          <w:rtl/>
        </w:rPr>
        <w:t xml:space="preserve"> אפילו הכי לא עשו כלום</w:t>
      </w:r>
      <w:r w:rsidRPr="00BA79D0">
        <w:rPr>
          <w:rFonts w:cs="Arial" w:hint="cs"/>
          <w:rtl/>
        </w:rPr>
        <w:t>,</w:t>
      </w:r>
      <w:r w:rsidR="006567B0" w:rsidRPr="00BA79D0">
        <w:rPr>
          <w:rFonts w:cs="Arial"/>
          <w:rtl/>
        </w:rPr>
        <w:t xml:space="preserve"> לפי שזו אסמכתא היא</w:t>
      </w:r>
      <w:r w:rsidRPr="00BA79D0">
        <w:rPr>
          <w:rFonts w:cs="Arial" w:hint="cs"/>
          <w:rtl/>
        </w:rPr>
        <w:t>,</w:t>
      </w:r>
      <w:r w:rsidR="006567B0" w:rsidRPr="00BA79D0">
        <w:rPr>
          <w:rFonts w:cs="Arial"/>
          <w:rtl/>
        </w:rPr>
        <w:t xml:space="preserve"> ואסמכתא לא קניא </w:t>
      </w:r>
      <w:r w:rsidR="006567B0" w:rsidRPr="00BA79D0">
        <w:rPr>
          <w:rFonts w:cs="Arial"/>
          <w:sz w:val="16"/>
          <w:szCs w:val="16"/>
          <w:rtl/>
        </w:rPr>
        <w:t>(ב"מ סו)</w:t>
      </w:r>
      <w:r w:rsidRPr="00BA79D0">
        <w:rPr>
          <w:rFonts w:cs="Arial" w:hint="cs"/>
          <w:rtl/>
        </w:rPr>
        <w:t>,</w:t>
      </w:r>
      <w:r w:rsidR="006567B0" w:rsidRPr="00BA79D0">
        <w:rPr>
          <w:rFonts w:cs="Arial"/>
          <w:rtl/>
        </w:rPr>
        <w:t xml:space="preserve"> אלא אם אמרו בפירוש דלא כאסמכתא</w:t>
      </w:r>
      <w:r w:rsidRPr="00BA79D0">
        <w:rPr>
          <w:rFonts w:cs="Arial" w:hint="cs"/>
          <w:rtl/>
        </w:rPr>
        <w:t>,</w:t>
      </w:r>
      <w:r w:rsidR="006567B0" w:rsidRPr="00BA79D0">
        <w:rPr>
          <w:rFonts w:cs="Arial"/>
          <w:rtl/>
        </w:rPr>
        <w:t xml:space="preserve"> ואי נמי במעכשיו</w:t>
      </w:r>
      <w:r w:rsidRPr="00BA79D0">
        <w:rPr>
          <w:rFonts w:cs="Arial" w:hint="cs"/>
          <w:rtl/>
        </w:rPr>
        <w:t>,</w:t>
      </w:r>
      <w:r w:rsidR="006567B0" w:rsidRPr="00BA79D0">
        <w:rPr>
          <w:rFonts w:cs="Arial"/>
          <w:rtl/>
        </w:rPr>
        <w:t xml:space="preserve"> וכל שכן כאן שלא מסר אלא שטרי חוב</w:t>
      </w:r>
      <w:r w:rsidR="0047161B">
        <w:rPr>
          <w:rFonts w:cs="Arial" w:hint="cs"/>
          <w:rtl/>
        </w:rPr>
        <w:t>,</w:t>
      </w:r>
      <w:r w:rsidR="006567B0" w:rsidRPr="00BA79D0">
        <w:rPr>
          <w:rFonts w:cs="Arial"/>
          <w:rtl/>
        </w:rPr>
        <w:t xml:space="preserve"> ושטר אינו נקנה אלא בכתיבה ובמסירה </w:t>
      </w:r>
      <w:r w:rsidR="006567B0" w:rsidRPr="00BA79D0">
        <w:rPr>
          <w:rFonts w:cs="Arial"/>
          <w:sz w:val="16"/>
          <w:szCs w:val="16"/>
          <w:rtl/>
        </w:rPr>
        <w:t>(ב"ב עו.)</w:t>
      </w:r>
      <w:r w:rsidRPr="00BA79D0">
        <w:rPr>
          <w:rFonts w:cs="Arial" w:hint="cs"/>
          <w:rtl/>
        </w:rPr>
        <w:t>.</w:t>
      </w:r>
      <w:r w:rsidR="004D1090" w:rsidRPr="004D1090">
        <w:rPr>
          <w:rFonts w:cs="Arial" w:hint="cs"/>
          <w:color w:val="E36C0A" w:themeColor="accent6" w:themeShade="BF"/>
          <w:rtl/>
        </w:rPr>
        <w:t xml:space="preserve"> </w:t>
      </w:r>
      <w:r w:rsidR="004D1090" w:rsidRPr="00BA79D0">
        <w:rPr>
          <w:rFonts w:cs="Arial" w:hint="cs"/>
          <w:color w:val="E36C0A" w:themeColor="accent6" w:themeShade="BF"/>
          <w:rtl/>
        </w:rPr>
        <w:t>(וכ"</w:t>
      </w:r>
      <w:r w:rsidR="004D1090">
        <w:rPr>
          <w:rFonts w:cs="Arial" w:hint="cs"/>
          <w:color w:val="E36C0A" w:themeColor="accent6" w:themeShade="BF"/>
          <w:rtl/>
        </w:rPr>
        <w:t>פ</w:t>
      </w:r>
      <w:r w:rsidR="004D1090" w:rsidRPr="00BA79D0">
        <w:rPr>
          <w:rFonts w:cs="Arial" w:hint="cs"/>
          <w:color w:val="E36C0A" w:themeColor="accent6" w:themeShade="BF"/>
          <w:rtl/>
        </w:rPr>
        <w:t xml:space="preserve"> בשו"ע)</w:t>
      </w:r>
    </w:p>
    <w:p w14:paraId="3B545583" w14:textId="77777777" w:rsidR="00BA79D0" w:rsidRDefault="00BA79D0" w:rsidP="00BA79D0">
      <w:pPr>
        <w:rPr>
          <w:rFonts w:cs="Arial"/>
          <w:rtl/>
        </w:rPr>
      </w:pPr>
      <w:r w:rsidRPr="00BA79D0">
        <w:rPr>
          <w:rFonts w:cs="Arial" w:hint="cs"/>
          <w:u w:val="single"/>
          <w:rtl/>
        </w:rPr>
        <w:t xml:space="preserve">ראובן תופס בקרקע של שמעון באלימות ובסוף אמר לו </w:t>
      </w:r>
      <w:r w:rsidR="0047161B">
        <w:rPr>
          <w:rFonts w:cs="Arial" w:hint="cs"/>
          <w:u w:val="single"/>
          <w:rtl/>
        </w:rPr>
        <w:t>'קח</w:t>
      </w:r>
      <w:r w:rsidRPr="00BA79D0">
        <w:rPr>
          <w:rFonts w:cs="Arial" w:hint="cs"/>
          <w:u w:val="single"/>
          <w:rtl/>
        </w:rPr>
        <w:t xml:space="preserve"> סכום כסף וכתוב לי שטר מחילה ותסתלק מהקרקע</w:t>
      </w:r>
      <w:r w:rsidR="0047161B">
        <w:rPr>
          <w:rFonts w:cs="Arial" w:hint="cs"/>
          <w:u w:val="single"/>
          <w:rtl/>
        </w:rPr>
        <w:t>'</w:t>
      </w:r>
      <w:r w:rsidRPr="00BA79D0">
        <w:rPr>
          <w:rFonts w:cs="Arial" w:hint="cs"/>
          <w:u w:val="single"/>
          <w:rtl/>
        </w:rPr>
        <w:t>:</w:t>
      </w:r>
      <w:r w:rsidRPr="00BA79D0">
        <w:rPr>
          <w:rFonts w:cs="Arial" w:hint="cs"/>
          <w:rtl/>
        </w:rPr>
        <w:t xml:space="preserve"> </w:t>
      </w:r>
    </w:p>
    <w:p w14:paraId="2D614474" w14:textId="77777777" w:rsidR="0047161B" w:rsidRPr="004D1090" w:rsidRDefault="00BA79D0" w:rsidP="004D1090">
      <w:pPr>
        <w:pStyle w:val="ac"/>
        <w:numPr>
          <w:ilvl w:val="0"/>
          <w:numId w:val="8"/>
        </w:numPr>
        <w:rPr>
          <w:rFonts w:cs="Arial"/>
        </w:rPr>
      </w:pPr>
      <w:r w:rsidRPr="00BA79D0">
        <w:rPr>
          <w:rFonts w:cs="Arial" w:hint="cs"/>
          <w:rtl/>
        </w:rPr>
        <w:t>רשב"א</w:t>
      </w:r>
      <w:r w:rsidR="006567B0" w:rsidRPr="00BA79D0">
        <w:rPr>
          <w:rFonts w:cs="Arial"/>
          <w:rtl/>
        </w:rPr>
        <w:t xml:space="preserve"> </w:t>
      </w:r>
      <w:r w:rsidR="006567B0" w:rsidRPr="00BA79D0">
        <w:rPr>
          <w:rFonts w:cs="Arial"/>
          <w:sz w:val="16"/>
          <w:szCs w:val="16"/>
          <w:rtl/>
        </w:rPr>
        <w:t>(ח"ג סי' ה</w:t>
      </w:r>
      <w:r w:rsidR="004D1090">
        <w:rPr>
          <w:rFonts w:cs="Arial" w:hint="cs"/>
          <w:sz w:val="16"/>
          <w:szCs w:val="16"/>
          <w:rtl/>
        </w:rPr>
        <w:t>, הביא הב"י חלק מדבריו</w:t>
      </w:r>
      <w:r w:rsidR="006567B0" w:rsidRPr="00BA79D0">
        <w:rPr>
          <w:rFonts w:cs="Arial"/>
          <w:sz w:val="16"/>
          <w:szCs w:val="16"/>
          <w:rtl/>
        </w:rPr>
        <w:t>)</w:t>
      </w:r>
      <w:r w:rsidRPr="00BA79D0">
        <w:rPr>
          <w:rFonts w:cs="Arial" w:hint="cs"/>
          <w:rtl/>
        </w:rPr>
        <w:t>-</w:t>
      </w:r>
      <w:r w:rsidR="006567B0" w:rsidRPr="00BA79D0">
        <w:rPr>
          <w:rFonts w:cs="Arial"/>
          <w:rtl/>
        </w:rPr>
        <w:t xml:space="preserve"> </w:t>
      </w:r>
      <w:r w:rsidR="0047161B" w:rsidRPr="0047161B">
        <w:rPr>
          <w:rFonts w:cs="Arial"/>
          <w:rtl/>
        </w:rPr>
        <w:t>שאלת</w:t>
      </w:r>
      <w:r w:rsidR="0047161B">
        <w:rPr>
          <w:rFonts w:cs="Arial" w:hint="cs"/>
          <w:rtl/>
        </w:rPr>
        <w:t>,</w:t>
      </w:r>
      <w:r w:rsidR="0047161B" w:rsidRPr="0047161B">
        <w:rPr>
          <w:rFonts w:cs="Arial"/>
          <w:rtl/>
        </w:rPr>
        <w:t xml:space="preserve"> ראובן היה תופס קרקע של שמעון באלמו</w:t>
      </w:r>
      <w:r w:rsidR="0047161B">
        <w:rPr>
          <w:rFonts w:cs="Arial" w:hint="cs"/>
          <w:rtl/>
        </w:rPr>
        <w:t>ת</w:t>
      </w:r>
      <w:r w:rsidR="0047161B" w:rsidRPr="0047161B">
        <w:rPr>
          <w:rFonts w:cs="Arial"/>
          <w:rtl/>
        </w:rPr>
        <w:t xml:space="preserve"> ולא הי</w:t>
      </w:r>
      <w:r w:rsidR="0047161B">
        <w:rPr>
          <w:rFonts w:cs="Arial" w:hint="cs"/>
          <w:rtl/>
        </w:rPr>
        <w:t>ה</w:t>
      </w:r>
      <w:r w:rsidR="0047161B" w:rsidRPr="0047161B">
        <w:rPr>
          <w:rFonts w:cs="Arial"/>
          <w:rtl/>
        </w:rPr>
        <w:t xml:space="preserve"> יכול להוציאו מידו</w:t>
      </w:r>
      <w:r w:rsidR="0047161B">
        <w:rPr>
          <w:rFonts w:cs="Arial" w:hint="cs"/>
          <w:rtl/>
        </w:rPr>
        <w:t>,</w:t>
      </w:r>
      <w:r w:rsidR="0047161B" w:rsidRPr="0047161B">
        <w:rPr>
          <w:rFonts w:cs="Arial"/>
          <w:rtl/>
        </w:rPr>
        <w:t xml:space="preserve"> עד שאמר לו ראובן לשמעון </w:t>
      </w:r>
      <w:r w:rsidR="0047161B">
        <w:rPr>
          <w:rFonts w:cs="Arial" w:hint="cs"/>
          <w:rtl/>
        </w:rPr>
        <w:t>'</w:t>
      </w:r>
      <w:r w:rsidR="0047161B" w:rsidRPr="0047161B">
        <w:rPr>
          <w:rFonts w:cs="Arial"/>
          <w:rtl/>
        </w:rPr>
        <w:t>מחול לי הקרקע ועשה לי שטר מחילה ואתן לך מאה דינרין ותסתלק מן הקרקע</w:t>
      </w:r>
      <w:r w:rsidR="0047161B">
        <w:rPr>
          <w:rFonts w:cs="Arial" w:hint="cs"/>
          <w:rtl/>
        </w:rPr>
        <w:t>'</w:t>
      </w:r>
      <w:r w:rsidR="0047161B" w:rsidRPr="0047161B">
        <w:rPr>
          <w:rFonts w:cs="Arial"/>
          <w:rtl/>
        </w:rPr>
        <w:t>. ועשה שמעון כן. וזהו תופסו של שטר</w:t>
      </w:r>
      <w:r w:rsidR="0047161B">
        <w:rPr>
          <w:rFonts w:cs="Arial" w:hint="cs"/>
          <w:rtl/>
        </w:rPr>
        <w:t>-</w:t>
      </w:r>
      <w:r w:rsidR="0047161B" w:rsidRPr="0047161B">
        <w:rPr>
          <w:rFonts w:cs="Arial"/>
          <w:rtl/>
        </w:rPr>
        <w:t xml:space="preserve"> </w:t>
      </w:r>
      <w:r w:rsidR="0047161B">
        <w:rPr>
          <w:rFonts w:cs="Arial" w:hint="cs"/>
          <w:rtl/>
        </w:rPr>
        <w:t>'</w:t>
      </w:r>
      <w:r w:rsidR="0047161B" w:rsidRPr="0047161B">
        <w:rPr>
          <w:rFonts w:cs="Arial"/>
          <w:rtl/>
        </w:rPr>
        <w:t>העידנו על עצמו בקנין מעכשיו פלוני בן פלוני מחמת שרצה ברצון נפשו בלא שום אונס ומחל קרקע פלוני לפלוני במאה דינרים</w:t>
      </w:r>
      <w:r w:rsidR="0047161B">
        <w:rPr>
          <w:rFonts w:cs="Arial" w:hint="cs"/>
          <w:rtl/>
        </w:rPr>
        <w:t>'</w:t>
      </w:r>
      <w:r w:rsidR="0047161B" w:rsidRPr="0047161B">
        <w:rPr>
          <w:rFonts w:cs="Arial"/>
          <w:rtl/>
        </w:rPr>
        <w:t xml:space="preserve">. ואחר זמן בא שמעון וטען לראובן </w:t>
      </w:r>
      <w:r w:rsidR="0047161B">
        <w:rPr>
          <w:rFonts w:cs="Arial" w:hint="cs"/>
          <w:rtl/>
        </w:rPr>
        <w:t>'</w:t>
      </w:r>
      <w:r w:rsidR="0047161B" w:rsidRPr="0047161B">
        <w:rPr>
          <w:rFonts w:cs="Arial"/>
          <w:rtl/>
        </w:rPr>
        <w:t>בשטר כזה לא קניית דהוה ליה כידי מסולקות ממנה דלא קנה</w:t>
      </w:r>
      <w:r w:rsidR="004D1090">
        <w:rPr>
          <w:rFonts w:cs="Arial" w:hint="cs"/>
          <w:rtl/>
        </w:rPr>
        <w:t>,</w:t>
      </w:r>
      <w:r w:rsidR="0047161B" w:rsidRPr="0047161B">
        <w:rPr>
          <w:rFonts w:cs="Arial"/>
          <w:rtl/>
        </w:rPr>
        <w:t xml:space="preserve"> ואפילו המעות איני חייב להחזיר לך שלא קבלתי המעות אלא בשביל שאעשה לך שטר מחילה וכבר עשיתי</w:t>
      </w:r>
      <w:r w:rsidR="004D1090">
        <w:rPr>
          <w:rFonts w:cs="Arial" w:hint="cs"/>
          <w:rtl/>
        </w:rPr>
        <w:t>'</w:t>
      </w:r>
      <w:r w:rsidR="0047161B" w:rsidRPr="0047161B">
        <w:rPr>
          <w:rFonts w:cs="Arial"/>
          <w:rtl/>
        </w:rPr>
        <w:t xml:space="preserve">. </w:t>
      </w:r>
      <w:r w:rsidR="0047161B" w:rsidRPr="004D1090">
        <w:rPr>
          <w:rFonts w:cs="Arial"/>
          <w:rtl/>
        </w:rPr>
        <w:t>תשובה</w:t>
      </w:r>
      <w:r w:rsidR="004D1090">
        <w:rPr>
          <w:rFonts w:cs="Arial" w:hint="cs"/>
          <w:rtl/>
        </w:rPr>
        <w:t>,</w:t>
      </w:r>
      <w:r w:rsidR="0047161B" w:rsidRPr="004D1090">
        <w:rPr>
          <w:rFonts w:cs="Arial"/>
          <w:rtl/>
        </w:rPr>
        <w:t xml:space="preserve"> הדין עם ראובן</w:t>
      </w:r>
      <w:r w:rsidR="004D1090">
        <w:rPr>
          <w:rFonts w:cs="Arial" w:hint="cs"/>
          <w:rtl/>
        </w:rPr>
        <w:t>,</w:t>
      </w:r>
      <w:r w:rsidR="0047161B" w:rsidRPr="004D1090">
        <w:rPr>
          <w:rFonts w:cs="Arial"/>
          <w:rtl/>
        </w:rPr>
        <w:t xml:space="preserve"> דכל שקנו מידו </w:t>
      </w:r>
      <w:r w:rsidR="004D1090">
        <w:rPr>
          <w:rFonts w:cs="Arial" w:hint="cs"/>
          <w:sz w:val="16"/>
          <w:szCs w:val="16"/>
          <w:rtl/>
        </w:rPr>
        <w:t xml:space="preserve">{היינו מיד שמעון} </w:t>
      </w:r>
      <w:r w:rsidR="0047161B" w:rsidRPr="004D1090">
        <w:rPr>
          <w:rFonts w:cs="Arial"/>
          <w:rtl/>
        </w:rPr>
        <w:t>אפילו באומר דין ודברים אין לי על שדה זו קיי</w:t>
      </w:r>
      <w:r w:rsidR="00716404">
        <w:rPr>
          <w:rFonts w:cs="Arial" w:hint="cs"/>
          <w:rtl/>
        </w:rPr>
        <w:t>"</w:t>
      </w:r>
      <w:r w:rsidR="0047161B" w:rsidRPr="004D1090">
        <w:rPr>
          <w:rFonts w:cs="Arial"/>
          <w:rtl/>
        </w:rPr>
        <w:t>ל דמגופה של קרקע קנו מידו בין בעומד בין בעורר, כדאיתא בר</w:t>
      </w:r>
      <w:r w:rsidR="004D1090">
        <w:rPr>
          <w:rFonts w:cs="Arial" w:hint="cs"/>
          <w:rtl/>
        </w:rPr>
        <w:t>"</w:t>
      </w:r>
      <w:r w:rsidR="0047161B" w:rsidRPr="004D1090">
        <w:rPr>
          <w:rFonts w:cs="Arial"/>
          <w:rtl/>
        </w:rPr>
        <w:t xml:space="preserve">פ הכותב </w:t>
      </w:r>
      <w:r w:rsidR="004D1090">
        <w:rPr>
          <w:rFonts w:cs="Arial" w:hint="cs"/>
          <w:sz w:val="16"/>
          <w:szCs w:val="16"/>
          <w:rtl/>
        </w:rPr>
        <w:t>(כתובות שם)</w:t>
      </w:r>
      <w:r w:rsidR="004D1090">
        <w:rPr>
          <w:rFonts w:cs="Arial" w:hint="cs"/>
          <w:rtl/>
        </w:rPr>
        <w:t xml:space="preserve">. </w:t>
      </w:r>
      <w:r w:rsidR="0047161B" w:rsidRPr="004D1090">
        <w:rPr>
          <w:rFonts w:cs="Arial"/>
          <w:rtl/>
        </w:rPr>
        <w:t>וגרסינן נמי בפרק חזקת הבתים</w:t>
      </w:r>
      <w:r w:rsidR="004D1090">
        <w:rPr>
          <w:rFonts w:cs="Arial" w:hint="cs"/>
          <w:sz w:val="16"/>
          <w:szCs w:val="16"/>
          <w:rtl/>
        </w:rPr>
        <w:t xml:space="preserve"> </w:t>
      </w:r>
      <w:r w:rsidR="004D1090" w:rsidRPr="00BA79D0">
        <w:rPr>
          <w:rFonts w:cs="Arial"/>
          <w:sz w:val="16"/>
          <w:szCs w:val="16"/>
          <w:rtl/>
        </w:rPr>
        <w:t>(ב"ב מג.)</w:t>
      </w:r>
      <w:r w:rsidR="004D1090">
        <w:rPr>
          <w:rFonts w:cs="Arial" w:hint="cs"/>
          <w:sz w:val="16"/>
          <w:szCs w:val="16"/>
          <w:rtl/>
        </w:rPr>
        <w:t xml:space="preserve"> </w:t>
      </w:r>
      <w:r w:rsidR="0047161B" w:rsidRPr="004D1090">
        <w:rPr>
          <w:rFonts w:cs="Arial"/>
          <w:rtl/>
        </w:rPr>
        <w:t>בשמעתא דהשותפין מעידין זה על זה בשכתב לו דין ודברים אין לי על שדה זו. ואקשינן וכי כתב לו מאי הוי והא תניא דין ודברים אין לי על שדה זו לא אמר כלום, ופרקינן בשקנו מידו. והטעם בזה לפי שבקנין אלים</w:t>
      </w:r>
      <w:r w:rsidR="004D1090">
        <w:rPr>
          <w:rFonts w:cs="Arial" w:hint="cs"/>
          <w:rtl/>
        </w:rPr>
        <w:t>,</w:t>
      </w:r>
      <w:r w:rsidR="0047161B" w:rsidRPr="004D1090">
        <w:rPr>
          <w:rFonts w:cs="Arial"/>
          <w:rtl/>
        </w:rPr>
        <w:t xml:space="preserve"> ואינו בא בכדי</w:t>
      </w:r>
      <w:r w:rsidR="004D1090">
        <w:rPr>
          <w:rFonts w:cs="Arial" w:hint="cs"/>
          <w:rtl/>
        </w:rPr>
        <w:t>,</w:t>
      </w:r>
      <w:r w:rsidR="0047161B" w:rsidRPr="004D1090">
        <w:rPr>
          <w:rFonts w:cs="Arial"/>
          <w:rtl/>
        </w:rPr>
        <w:t xml:space="preserve"> אלא כל שקנו מידו מגופה של קרקע קנו מידו</w:t>
      </w:r>
      <w:r w:rsidR="004D1090">
        <w:rPr>
          <w:rFonts w:cs="Arial" w:hint="cs"/>
          <w:rtl/>
        </w:rPr>
        <w:t>,</w:t>
      </w:r>
      <w:r w:rsidR="0047161B" w:rsidRPr="004D1090">
        <w:rPr>
          <w:rFonts w:cs="Arial"/>
          <w:rtl/>
        </w:rPr>
        <w:t xml:space="preserve"> כדאמרינן בההיא דריש פרק הכותב. ולענין המעות</w:t>
      </w:r>
      <w:r w:rsidR="004D1090">
        <w:rPr>
          <w:rFonts w:cs="Arial" w:hint="cs"/>
          <w:rtl/>
        </w:rPr>
        <w:t xml:space="preserve"> </w:t>
      </w:r>
      <w:r w:rsidR="0047161B" w:rsidRPr="004D1090">
        <w:rPr>
          <w:rFonts w:cs="Arial"/>
          <w:rtl/>
        </w:rPr>
        <w:t>להתלמד במקו</w:t>
      </w:r>
      <w:r w:rsidR="004D1090">
        <w:rPr>
          <w:rFonts w:cs="Arial" w:hint="cs"/>
          <w:rtl/>
        </w:rPr>
        <w:t>ם</w:t>
      </w:r>
      <w:r w:rsidR="0047161B" w:rsidRPr="004D1090">
        <w:rPr>
          <w:rFonts w:cs="Arial"/>
          <w:rtl/>
        </w:rPr>
        <w:t xml:space="preserve"> אחר</w:t>
      </w:r>
      <w:r w:rsidR="004D1090">
        <w:rPr>
          <w:rFonts w:cs="Arial" w:hint="cs"/>
          <w:rtl/>
        </w:rPr>
        <w:t>,</w:t>
      </w:r>
      <w:r w:rsidR="0047161B" w:rsidRPr="004D1090">
        <w:rPr>
          <w:rFonts w:cs="Arial"/>
          <w:rtl/>
        </w:rPr>
        <w:t xml:space="preserve"> אפילו לא קנה מן הדין חייב להחזיר דקיימא לן דאזלינן בתר אומדן דעתא</w:t>
      </w:r>
      <w:r w:rsidR="004D1090">
        <w:rPr>
          <w:rFonts w:cs="Arial" w:hint="cs"/>
          <w:rtl/>
        </w:rPr>
        <w:t>,</w:t>
      </w:r>
      <w:r w:rsidR="0047161B" w:rsidRPr="004D1090">
        <w:rPr>
          <w:rFonts w:cs="Arial"/>
          <w:rtl/>
        </w:rPr>
        <w:t xml:space="preserve"> ואומד דעתא הוא דלא נתן לו אלא על מנת שיהא הקרקע שלו במחילה זו. </w:t>
      </w:r>
    </w:p>
    <w:p w14:paraId="078BE305" w14:textId="77777777" w:rsidR="00E137BC" w:rsidRPr="00576D5C" w:rsidRDefault="00E137BC" w:rsidP="00576D5C">
      <w:pPr>
        <w:rPr>
          <w:rFonts w:asciiTheme="minorBidi" w:hAnsiTheme="minorBidi"/>
          <w:b/>
          <w:bCs/>
          <w:color w:val="000000"/>
          <w:sz w:val="28"/>
          <w:szCs w:val="28"/>
          <w:u w:val="single"/>
          <w:rtl/>
        </w:rPr>
      </w:pPr>
      <w:r w:rsidRPr="00576D5C">
        <w:rPr>
          <w:rFonts w:asciiTheme="minorBidi" w:hAnsiTheme="minorBidi"/>
          <w:b/>
          <w:bCs/>
          <w:color w:val="000000"/>
          <w:sz w:val="28"/>
          <w:szCs w:val="28"/>
          <w:u w:val="single"/>
          <w:rtl/>
        </w:rPr>
        <w:t>שו"ע:</w:t>
      </w:r>
    </w:p>
    <w:p w14:paraId="1C90F83B" w14:textId="77777777" w:rsidR="00E137BC" w:rsidRDefault="00E137BC" w:rsidP="00576D5C">
      <w:pPr>
        <w:rPr>
          <w:rFonts w:asciiTheme="minorBidi" w:hAnsiTheme="minorBidi"/>
          <w:rtl/>
        </w:rPr>
      </w:pPr>
      <w:r w:rsidRPr="00576D5C">
        <w:rPr>
          <w:rFonts w:asciiTheme="minorBidi" w:hAnsiTheme="minorBidi"/>
          <w:rtl/>
        </w:rPr>
        <w:t>פשרה בלא קנין, ונתנו משכון ביד הפשרנים, אינו כלום א</w:t>
      </w:r>
      <w:r w:rsidR="00BA79D0">
        <w:rPr>
          <w:rFonts w:asciiTheme="minorBidi" w:hAnsiTheme="minorBidi" w:hint="cs"/>
          <w:rtl/>
        </w:rPr>
        <w:t xml:space="preserve">לא אם </w:t>
      </w:r>
      <w:r w:rsidRPr="00576D5C">
        <w:rPr>
          <w:rFonts w:asciiTheme="minorBidi" w:hAnsiTheme="minorBidi"/>
          <w:rtl/>
        </w:rPr>
        <w:t>כ</w:t>
      </w:r>
      <w:r w:rsidR="00BA79D0">
        <w:rPr>
          <w:rFonts w:asciiTheme="minorBidi" w:hAnsiTheme="minorBidi" w:hint="cs"/>
          <w:rtl/>
        </w:rPr>
        <w:t>ן</w:t>
      </w:r>
      <w:r w:rsidRPr="00576D5C">
        <w:rPr>
          <w:rFonts w:asciiTheme="minorBidi" w:hAnsiTheme="minorBidi"/>
          <w:rtl/>
        </w:rPr>
        <w:t xml:space="preserve"> אמר</w:t>
      </w:r>
      <w:r w:rsidR="004D1090">
        <w:rPr>
          <w:rFonts w:asciiTheme="minorBidi" w:hAnsiTheme="minorBidi" w:hint="cs"/>
          <w:rtl/>
        </w:rPr>
        <w:t>ו</w:t>
      </w:r>
      <w:r w:rsidRPr="00576D5C">
        <w:rPr>
          <w:rFonts w:asciiTheme="minorBidi" w:hAnsiTheme="minorBidi"/>
          <w:rtl/>
        </w:rPr>
        <w:t xml:space="preserve"> </w:t>
      </w:r>
      <w:r w:rsidR="004D1090">
        <w:rPr>
          <w:rFonts w:asciiTheme="minorBidi" w:hAnsiTheme="minorBidi" w:hint="cs"/>
          <w:rtl/>
        </w:rPr>
        <w:t>'</w:t>
      </w:r>
      <w:r w:rsidRPr="00576D5C">
        <w:rPr>
          <w:rFonts w:asciiTheme="minorBidi" w:hAnsiTheme="minorBidi"/>
          <w:rtl/>
        </w:rPr>
        <w:t>דלא כאסמכתא</w:t>
      </w:r>
      <w:r w:rsidR="004D1090">
        <w:rPr>
          <w:rFonts w:asciiTheme="minorBidi" w:hAnsiTheme="minorBidi" w:hint="cs"/>
          <w:rtl/>
        </w:rPr>
        <w:t>'</w:t>
      </w:r>
      <w:r w:rsidRPr="00576D5C">
        <w:rPr>
          <w:rFonts w:asciiTheme="minorBidi" w:hAnsiTheme="minorBidi"/>
          <w:rtl/>
        </w:rPr>
        <w:t xml:space="preserve"> או </w:t>
      </w:r>
      <w:r w:rsidR="004D1090">
        <w:rPr>
          <w:rFonts w:asciiTheme="minorBidi" w:hAnsiTheme="minorBidi" w:hint="cs"/>
          <w:rtl/>
        </w:rPr>
        <w:t>'</w:t>
      </w:r>
      <w:r w:rsidRPr="00576D5C">
        <w:rPr>
          <w:rFonts w:asciiTheme="minorBidi" w:hAnsiTheme="minorBidi"/>
          <w:rtl/>
        </w:rPr>
        <w:t>מעכשיו</w:t>
      </w:r>
      <w:r w:rsidR="004D1090">
        <w:rPr>
          <w:rFonts w:asciiTheme="minorBidi" w:hAnsiTheme="minorBidi" w:hint="cs"/>
          <w:rtl/>
        </w:rPr>
        <w:t>'</w:t>
      </w:r>
      <w:r w:rsidRPr="00576D5C">
        <w:rPr>
          <w:rFonts w:asciiTheme="minorBidi" w:hAnsiTheme="minorBidi"/>
          <w:rtl/>
        </w:rPr>
        <w:t xml:space="preserve">. ואם היה המשכון שטר חוב, אינו כלום. </w:t>
      </w:r>
    </w:p>
    <w:p w14:paraId="008FB8DE" w14:textId="77777777" w:rsidR="000363E7" w:rsidRPr="00576D5C" w:rsidRDefault="000363E7" w:rsidP="00576D5C">
      <w:pPr>
        <w:rPr>
          <w:rFonts w:asciiTheme="minorBidi" w:hAnsiTheme="minorBidi"/>
          <w:rtl/>
        </w:rPr>
      </w:pPr>
    </w:p>
    <w:p w14:paraId="24B3D06D" w14:textId="77777777" w:rsidR="00E137BC" w:rsidRDefault="00E137BC" w:rsidP="00AB008F">
      <w:pPr>
        <w:pStyle w:val="2"/>
        <w:rPr>
          <w:rtl/>
        </w:rPr>
      </w:pPr>
      <w:bookmarkStart w:id="108" w:name="_Toc24883594"/>
      <w:r w:rsidRPr="00576D5C">
        <w:rPr>
          <w:rtl/>
        </w:rPr>
        <w:t>סעיף כ</w:t>
      </w:r>
      <w:r w:rsidR="000363E7">
        <w:rPr>
          <w:rFonts w:hint="cs"/>
          <w:rtl/>
        </w:rPr>
        <w:t>:</w:t>
      </w:r>
      <w:r w:rsidR="00214665">
        <w:rPr>
          <w:rFonts w:hint="cs"/>
          <w:rtl/>
        </w:rPr>
        <w:t xml:space="preserve"> להתרחק מלדון דין תורה.</w:t>
      </w:r>
      <w:bookmarkEnd w:id="108"/>
    </w:p>
    <w:p w14:paraId="214FACC8" w14:textId="77777777" w:rsidR="00BA79D0" w:rsidRDefault="00BA79D0" w:rsidP="00BA79D0">
      <w:pPr>
        <w:rPr>
          <w:rFonts w:cs="Arial"/>
          <w:rtl/>
        </w:rPr>
      </w:pPr>
      <w:r>
        <w:rPr>
          <w:rFonts w:cs="Arial" w:hint="cs"/>
          <w:b/>
          <w:bCs/>
          <w:rtl/>
        </w:rPr>
        <w:t>ירושלמי</w:t>
      </w:r>
      <w:r w:rsidRPr="00972EF3">
        <w:rPr>
          <w:rFonts w:cs="Arial" w:hint="cs"/>
          <w:b/>
          <w:bCs/>
          <w:sz w:val="16"/>
          <w:szCs w:val="16"/>
          <w:rtl/>
        </w:rPr>
        <w:t xml:space="preserve"> (וילנא)</w:t>
      </w:r>
      <w:r>
        <w:rPr>
          <w:rFonts w:cs="Arial" w:hint="cs"/>
          <w:b/>
          <w:bCs/>
          <w:rtl/>
        </w:rPr>
        <w:t xml:space="preserve"> סנהדרין פ"א ה"א: </w:t>
      </w:r>
      <w:r w:rsidRPr="00CE3615">
        <w:rPr>
          <w:rFonts w:cs="Arial"/>
          <w:rtl/>
        </w:rPr>
        <w:t>אשכח תני ר"ש בן יוחי</w:t>
      </w:r>
      <w:r>
        <w:rPr>
          <w:rFonts w:cs="Arial" w:hint="cs"/>
          <w:rtl/>
        </w:rPr>
        <w:t xml:space="preserve">: </w:t>
      </w:r>
      <w:r w:rsidRPr="00CE3615">
        <w:rPr>
          <w:rFonts w:cs="Arial"/>
          <w:rtl/>
        </w:rPr>
        <w:t>ואלה המשפטים אשר תשים לפניהם. אתא מימר לך בפשוטה דקרייא</w:t>
      </w:r>
      <w:r>
        <w:rPr>
          <w:rFonts w:cs="Arial" w:hint="cs"/>
          <w:rtl/>
        </w:rPr>
        <w:t>,</w:t>
      </w:r>
      <w:r w:rsidRPr="00CE3615">
        <w:rPr>
          <w:rFonts w:cs="Arial"/>
          <w:rtl/>
        </w:rPr>
        <w:t xml:space="preserve"> ותייא כרבי יוסי בר חלפתא</w:t>
      </w:r>
      <w:r>
        <w:rPr>
          <w:rFonts w:cs="Arial" w:hint="cs"/>
          <w:rtl/>
        </w:rPr>
        <w:t>,</w:t>
      </w:r>
      <w:r w:rsidRPr="00CE3615">
        <w:rPr>
          <w:rFonts w:cs="Arial"/>
          <w:rtl/>
        </w:rPr>
        <w:t xml:space="preserve"> ר' יוסי בר חלפתא אתון תרין בר נש מידון קומוי</w:t>
      </w:r>
      <w:r>
        <w:rPr>
          <w:rFonts w:cs="Arial" w:hint="cs"/>
          <w:rtl/>
        </w:rPr>
        <w:t>.</w:t>
      </w:r>
      <w:r w:rsidRPr="00CE3615">
        <w:rPr>
          <w:rFonts w:cs="Arial"/>
          <w:rtl/>
        </w:rPr>
        <w:t xml:space="preserve"> </w:t>
      </w:r>
      <w:r w:rsidRPr="00972EF3">
        <w:rPr>
          <w:rFonts w:cs="Arial"/>
          <w:u w:val="single"/>
          <w:rtl/>
        </w:rPr>
        <w:t>א"ל</w:t>
      </w:r>
      <w:r w:rsidRPr="00972EF3">
        <w:rPr>
          <w:rFonts w:cs="Arial" w:hint="cs"/>
          <w:u w:val="single"/>
          <w:rtl/>
        </w:rPr>
        <w:t>:</w:t>
      </w:r>
      <w:r w:rsidRPr="00CE3615">
        <w:rPr>
          <w:rFonts w:cs="Arial"/>
          <w:rtl/>
        </w:rPr>
        <w:t xml:space="preserve"> על מנת שתדיננו </w:t>
      </w:r>
      <w:r w:rsidRPr="00CE3615">
        <w:rPr>
          <w:rFonts w:cs="Arial"/>
          <w:rtl/>
        </w:rPr>
        <w:lastRenderedPageBreak/>
        <w:t>דין תורה</w:t>
      </w:r>
      <w:r>
        <w:rPr>
          <w:rFonts w:cs="Arial" w:hint="cs"/>
          <w:rtl/>
        </w:rPr>
        <w:t>.</w:t>
      </w:r>
      <w:r w:rsidRPr="00CE3615">
        <w:rPr>
          <w:rFonts w:cs="Arial"/>
          <w:rtl/>
        </w:rPr>
        <w:t xml:space="preserve"> </w:t>
      </w:r>
      <w:r w:rsidRPr="00972EF3">
        <w:rPr>
          <w:rFonts w:cs="Arial"/>
          <w:u w:val="single"/>
          <w:rtl/>
        </w:rPr>
        <w:t>אמר לון</w:t>
      </w:r>
      <w:r>
        <w:rPr>
          <w:rFonts w:cs="Arial" w:hint="cs"/>
          <w:rtl/>
        </w:rPr>
        <w:t>:</w:t>
      </w:r>
      <w:r w:rsidRPr="00CE3615">
        <w:rPr>
          <w:rFonts w:cs="Arial"/>
          <w:rtl/>
        </w:rPr>
        <w:t xml:space="preserve"> אני איני יודע דין תורה אלא היודע מחשבות יפרע מאותן האנשים</w:t>
      </w:r>
      <w:r>
        <w:rPr>
          <w:rFonts w:cs="Arial" w:hint="cs"/>
          <w:rtl/>
        </w:rPr>
        <w:t>,</w:t>
      </w:r>
      <w:r w:rsidRPr="00CE3615">
        <w:rPr>
          <w:rFonts w:cs="Arial"/>
          <w:rtl/>
        </w:rPr>
        <w:t xml:space="preserve"> מקבלין עליכון מה דנא אמר לכון</w:t>
      </w:r>
      <w:r w:rsidR="004D1090">
        <w:rPr>
          <w:rFonts w:cs="Arial" w:hint="cs"/>
          <w:rtl/>
        </w:rPr>
        <w:t>?</w:t>
      </w:r>
      <w:r w:rsidRPr="00CE3615">
        <w:rPr>
          <w:rFonts w:cs="Arial"/>
          <w:rtl/>
        </w:rPr>
        <w:t>.</w:t>
      </w:r>
      <w:r>
        <w:rPr>
          <w:rFonts w:cs="Arial" w:hint="cs"/>
          <w:rtl/>
        </w:rPr>
        <w:t>..</w:t>
      </w:r>
      <w:r w:rsidRPr="00972EF3">
        <w:rPr>
          <w:rtl/>
        </w:rPr>
        <w:t xml:space="preserve"> </w:t>
      </w:r>
      <w:r w:rsidRPr="00972EF3">
        <w:rPr>
          <w:rFonts w:cs="Arial"/>
          <w:rtl/>
        </w:rPr>
        <w:t>תני קודם לארבעים שנה עד שלא חרב הבית ניטלו דיני נפשות</w:t>
      </w:r>
      <w:r w:rsidR="004D1090">
        <w:rPr>
          <w:rFonts w:cs="Arial" w:hint="cs"/>
          <w:rtl/>
        </w:rPr>
        <w:t>,</w:t>
      </w:r>
      <w:r w:rsidRPr="00972EF3">
        <w:rPr>
          <w:rFonts w:cs="Arial"/>
          <w:rtl/>
        </w:rPr>
        <w:t xml:space="preserve"> ובימי שמעון בן שטח ניטלו דיני ממונות. </w:t>
      </w:r>
      <w:r w:rsidRPr="00972EF3">
        <w:rPr>
          <w:rFonts w:cs="Arial"/>
          <w:u w:val="single"/>
          <w:rtl/>
        </w:rPr>
        <w:t>אמר ר"ש בן יוחי</w:t>
      </w:r>
      <w:r w:rsidRPr="00972EF3">
        <w:rPr>
          <w:rFonts w:cs="Arial" w:hint="cs"/>
          <w:u w:val="single"/>
          <w:rtl/>
        </w:rPr>
        <w:t>:</w:t>
      </w:r>
      <w:r w:rsidRPr="00972EF3">
        <w:rPr>
          <w:rFonts w:cs="Arial"/>
          <w:rtl/>
        </w:rPr>
        <w:t xml:space="preserve"> בריך רחמנא דלינא חכים מידון.</w:t>
      </w:r>
    </w:p>
    <w:p w14:paraId="08A44911" w14:textId="77777777" w:rsidR="00BA79D0" w:rsidRDefault="00BA79D0" w:rsidP="00BA79D0">
      <w:pPr>
        <w:rPr>
          <w:rFonts w:cs="Arial"/>
          <w:rtl/>
        </w:rPr>
      </w:pPr>
      <w:r w:rsidRPr="00972EF3">
        <w:rPr>
          <w:rFonts w:cs="Arial" w:hint="cs"/>
          <w:u w:val="single"/>
          <w:rtl/>
        </w:rPr>
        <w:t>להתרחק מלדון דין תורה:</w:t>
      </w:r>
    </w:p>
    <w:p w14:paraId="2193C930" w14:textId="77777777" w:rsidR="00BA79D0" w:rsidRPr="00BA79D0" w:rsidRDefault="00BA79D0" w:rsidP="00C704CB">
      <w:pPr>
        <w:pStyle w:val="ac"/>
        <w:numPr>
          <w:ilvl w:val="0"/>
          <w:numId w:val="8"/>
        </w:numPr>
        <w:rPr>
          <w:rFonts w:cs="Arial"/>
          <w:rtl/>
        </w:rPr>
      </w:pPr>
      <w:r w:rsidRPr="00972EF3">
        <w:rPr>
          <w:rFonts w:cs="Arial" w:hint="cs"/>
          <w:rtl/>
        </w:rPr>
        <w:t xml:space="preserve">סמ"ג </w:t>
      </w:r>
      <w:r w:rsidRPr="00972EF3">
        <w:rPr>
          <w:rFonts w:cs="Arial"/>
          <w:sz w:val="16"/>
          <w:szCs w:val="16"/>
          <w:rtl/>
        </w:rPr>
        <w:t>(עשין קז קפט ע"ד</w:t>
      </w:r>
      <w:r w:rsidRPr="00972EF3">
        <w:rPr>
          <w:rFonts w:cs="Arial" w:hint="cs"/>
          <w:sz w:val="16"/>
          <w:szCs w:val="16"/>
          <w:rtl/>
        </w:rPr>
        <w:t>, וכ"כ הטור בשמו</w:t>
      </w:r>
      <w:r w:rsidRPr="00972EF3">
        <w:rPr>
          <w:rFonts w:cs="Arial"/>
          <w:sz w:val="16"/>
          <w:szCs w:val="16"/>
          <w:rtl/>
        </w:rPr>
        <w:t>)</w:t>
      </w:r>
      <w:r w:rsidRPr="00972EF3">
        <w:rPr>
          <w:rFonts w:cs="Arial" w:hint="cs"/>
          <w:rtl/>
        </w:rPr>
        <w:t>-</w:t>
      </w:r>
      <w:r w:rsidRPr="00972EF3">
        <w:rPr>
          <w:rFonts w:cs="Arial"/>
          <w:rtl/>
        </w:rPr>
        <w:t xml:space="preserve"> צריכין הדיינין להתרחק בכל היכולת שלא יקבלו עליהם לדון דין תורה כי מאד נתמעטו הלבבות</w:t>
      </w:r>
      <w:r w:rsidR="00716404">
        <w:rPr>
          <w:rFonts w:cs="Arial" w:hint="cs"/>
          <w:rtl/>
        </w:rPr>
        <w:t>.</w:t>
      </w:r>
      <w:r w:rsidRPr="00972EF3">
        <w:rPr>
          <w:rFonts w:cs="Arial"/>
          <w:rtl/>
        </w:rPr>
        <w:t xml:space="preserve"> וגרסינן בירושלמי פ"ק דסנהדרין בימי ר"ש בן יוחאי בטלו דיני ממונות</w:t>
      </w:r>
      <w:r w:rsidR="00716404">
        <w:rPr>
          <w:rFonts w:cs="Arial" w:hint="cs"/>
          <w:rtl/>
        </w:rPr>
        <w:t>.</w:t>
      </w:r>
      <w:r w:rsidRPr="00972EF3">
        <w:rPr>
          <w:rFonts w:cs="Arial"/>
          <w:rtl/>
        </w:rPr>
        <w:t xml:space="preserve"> אמר ר"ש בן יוחאי לית דחכים בדין</w:t>
      </w:r>
      <w:r w:rsidR="00716404">
        <w:rPr>
          <w:rFonts w:cs="Arial" w:hint="cs"/>
          <w:rtl/>
        </w:rPr>
        <w:t>.</w:t>
      </w:r>
      <w:r w:rsidRPr="00972EF3">
        <w:rPr>
          <w:rFonts w:cs="Arial"/>
          <w:rtl/>
        </w:rPr>
        <w:t xml:space="preserve"> רבי יוסי בן חלפתא באו ב' אנשים לפניו אמרו לו על מנת שתדיננו דין תורה אמר להם איני יודע לדון לכם דין תורה</w:t>
      </w:r>
      <w:r w:rsidRPr="00972EF3">
        <w:rPr>
          <w:rFonts w:cs="Arial" w:hint="cs"/>
          <w:rtl/>
        </w:rPr>
        <w:t>.</w:t>
      </w:r>
      <w:r>
        <w:rPr>
          <w:rFonts w:cs="Arial" w:hint="cs"/>
          <w:rtl/>
        </w:rPr>
        <w:t xml:space="preserve"> </w:t>
      </w:r>
      <w:r w:rsidRPr="00BA79D0">
        <w:rPr>
          <w:rFonts w:cs="Arial" w:hint="cs"/>
          <w:color w:val="E36C0A" w:themeColor="accent6" w:themeShade="BF"/>
          <w:rtl/>
        </w:rPr>
        <w:t>(וכ"פ בשו"ע)</w:t>
      </w:r>
    </w:p>
    <w:p w14:paraId="3D99F484" w14:textId="77777777" w:rsidR="00E137BC" w:rsidRPr="00576D5C" w:rsidRDefault="00E137BC" w:rsidP="00576D5C">
      <w:pPr>
        <w:rPr>
          <w:rFonts w:asciiTheme="minorBidi" w:hAnsiTheme="minorBidi"/>
          <w:b/>
          <w:bCs/>
          <w:color w:val="000000"/>
          <w:sz w:val="28"/>
          <w:szCs w:val="28"/>
          <w:u w:val="single"/>
          <w:rtl/>
        </w:rPr>
      </w:pPr>
      <w:r w:rsidRPr="00576D5C">
        <w:rPr>
          <w:rFonts w:asciiTheme="minorBidi" w:hAnsiTheme="minorBidi"/>
          <w:b/>
          <w:bCs/>
          <w:color w:val="000000"/>
          <w:sz w:val="28"/>
          <w:szCs w:val="28"/>
          <w:u w:val="single"/>
          <w:rtl/>
        </w:rPr>
        <w:t>שו"ע:</w:t>
      </w:r>
    </w:p>
    <w:p w14:paraId="56464561" w14:textId="77777777" w:rsidR="00E137BC" w:rsidRPr="00576D5C" w:rsidRDefault="00E137BC" w:rsidP="00576D5C">
      <w:pPr>
        <w:rPr>
          <w:rFonts w:asciiTheme="minorBidi" w:hAnsiTheme="minorBidi"/>
          <w:rtl/>
        </w:rPr>
      </w:pPr>
      <w:r w:rsidRPr="00576D5C">
        <w:rPr>
          <w:rFonts w:asciiTheme="minorBidi" w:hAnsiTheme="minorBidi"/>
          <w:rtl/>
        </w:rPr>
        <w:t>צריכים הדיינים להתרחק בכל היכולת שלא יקבלו עליהם לדון דין תורה.</w:t>
      </w:r>
    </w:p>
    <w:bookmarkEnd w:id="85"/>
    <w:p w14:paraId="60E07F17" w14:textId="77777777" w:rsidR="00E137BC" w:rsidRDefault="00E137BC" w:rsidP="00576D5C">
      <w:pPr>
        <w:rPr>
          <w:rFonts w:asciiTheme="minorBidi" w:hAnsiTheme="minorBidi"/>
          <w:rtl/>
        </w:rPr>
      </w:pPr>
    </w:p>
    <w:p w14:paraId="1F7881EE" w14:textId="77777777" w:rsidR="000363E7" w:rsidRPr="00576D5C" w:rsidRDefault="000363E7" w:rsidP="00576D5C">
      <w:pPr>
        <w:rPr>
          <w:rFonts w:asciiTheme="minorBidi" w:hAnsiTheme="minorBidi"/>
          <w:rtl/>
        </w:rPr>
        <w:sectPr w:rsidR="000363E7" w:rsidRPr="00576D5C" w:rsidSect="00AF3AF9">
          <w:headerReference w:type="default" r:id="rId22"/>
          <w:footnotePr>
            <w:numRestart w:val="eachPage"/>
          </w:footnotePr>
          <w:pgSz w:w="11906" w:h="16838"/>
          <w:pgMar w:top="720" w:right="1134" w:bottom="720" w:left="1134" w:header="0" w:footer="0" w:gutter="0"/>
          <w:cols w:space="720"/>
          <w:bidi/>
          <w:rtlGutter/>
          <w:docGrid w:linePitch="360"/>
        </w:sectPr>
      </w:pPr>
    </w:p>
    <w:p w14:paraId="6D1D4281" w14:textId="77777777" w:rsidR="00E137BC" w:rsidRPr="00576D5C" w:rsidRDefault="00E137BC" w:rsidP="006567B0">
      <w:pPr>
        <w:pStyle w:val="1"/>
        <w:rPr>
          <w:rtl/>
        </w:rPr>
      </w:pPr>
      <w:bookmarkStart w:id="109" w:name="_Toc24883595"/>
      <w:r w:rsidRPr="00576D5C">
        <w:rPr>
          <w:rtl/>
        </w:rPr>
        <w:lastRenderedPageBreak/>
        <w:t>סימן יג: כיצד בוררים הדיינים כשאין בעלי דינין מסכימין יחד, ובו ז' סעיפים.</w:t>
      </w:r>
      <w:bookmarkEnd w:id="109"/>
      <w:r w:rsidRPr="00576D5C">
        <w:rPr>
          <w:rtl/>
        </w:rPr>
        <w:t xml:space="preserve"> </w:t>
      </w:r>
    </w:p>
    <w:p w14:paraId="168D2DCD" w14:textId="77777777" w:rsidR="00E137BC" w:rsidRDefault="00E137BC" w:rsidP="006567B0">
      <w:pPr>
        <w:pStyle w:val="2"/>
        <w:rPr>
          <w:rtl/>
        </w:rPr>
      </w:pPr>
      <w:bookmarkStart w:id="110" w:name="_Toc24883596"/>
      <w:r w:rsidRPr="00576D5C">
        <w:rPr>
          <w:rtl/>
        </w:rPr>
        <w:t xml:space="preserve">סעיף א: </w:t>
      </w:r>
      <w:r w:rsidR="0028523B">
        <w:rPr>
          <w:rFonts w:hint="cs"/>
          <w:rtl/>
        </w:rPr>
        <w:t>זה בורר לו אחד וזה בורר לו אחד.</w:t>
      </w:r>
      <w:bookmarkEnd w:id="110"/>
    </w:p>
    <w:p w14:paraId="4122CA58" w14:textId="77777777" w:rsidR="00D2755D" w:rsidRDefault="00D2755D" w:rsidP="00E57EC0">
      <w:pPr>
        <w:rPr>
          <w:rFonts w:cs="Arial"/>
          <w:rtl/>
        </w:rPr>
      </w:pPr>
      <w:r>
        <w:rPr>
          <w:rFonts w:cs="Arial" w:hint="cs"/>
          <w:b/>
          <w:bCs/>
          <w:rtl/>
        </w:rPr>
        <w:t xml:space="preserve">סנהדרין </w:t>
      </w:r>
      <w:r w:rsidRPr="00CD4460">
        <w:rPr>
          <w:rFonts w:cs="Arial" w:hint="cs"/>
          <w:b/>
          <w:bCs/>
          <w:sz w:val="16"/>
          <w:szCs w:val="16"/>
          <w:rtl/>
        </w:rPr>
        <w:t xml:space="preserve">(ר"פ זה בורר) </w:t>
      </w:r>
      <w:r>
        <w:rPr>
          <w:rFonts w:cs="Arial" w:hint="cs"/>
          <w:b/>
          <w:bCs/>
          <w:rtl/>
        </w:rPr>
        <w:t>כג</w:t>
      </w:r>
      <w:r w:rsidR="00FA15C0">
        <w:rPr>
          <w:rStyle w:val="ab"/>
          <w:rFonts w:cs="Arial"/>
          <w:b/>
          <w:bCs/>
          <w:rtl/>
        </w:rPr>
        <w:footnoteReference w:id="677"/>
      </w:r>
      <w:r>
        <w:rPr>
          <w:rFonts w:cs="Arial" w:hint="cs"/>
          <w:b/>
          <w:bCs/>
          <w:rtl/>
        </w:rPr>
        <w:t xml:space="preserve"> ע"א: </w:t>
      </w:r>
      <w:r w:rsidRPr="00CD4460">
        <w:rPr>
          <w:rFonts w:cs="Arial"/>
          <w:u w:val="double"/>
          <w:rtl/>
        </w:rPr>
        <w:t>משנה</w:t>
      </w:r>
      <w:r>
        <w:rPr>
          <w:rFonts w:cs="Arial" w:hint="cs"/>
          <w:rtl/>
        </w:rPr>
        <w:t>:</w:t>
      </w:r>
      <w:r w:rsidRPr="00CD4460">
        <w:rPr>
          <w:rFonts w:cs="Arial"/>
          <w:rtl/>
        </w:rPr>
        <w:t xml:space="preserve"> דיני ממונות בשלשה. זה בורר לו אחד, וזה בורר לו אחד, ושניהן בוררין להן עוד אחד, </w:t>
      </w:r>
      <w:r w:rsidRPr="001B21E1">
        <w:rPr>
          <w:rFonts w:cs="Arial"/>
          <w:u w:val="single"/>
          <w:rtl/>
        </w:rPr>
        <w:t>דברי רבי מאיר</w:t>
      </w:r>
      <w:r w:rsidRPr="00CD4460">
        <w:rPr>
          <w:rFonts w:cs="Arial"/>
          <w:rtl/>
        </w:rPr>
        <w:t xml:space="preserve">. </w:t>
      </w:r>
      <w:r w:rsidRPr="001B21E1">
        <w:rPr>
          <w:rFonts w:cs="Arial"/>
          <w:u w:val="single"/>
          <w:rtl/>
        </w:rPr>
        <w:t>וחכמים אומרים</w:t>
      </w:r>
      <w:r w:rsidRPr="00CD4460">
        <w:rPr>
          <w:rFonts w:cs="Arial"/>
          <w:rtl/>
        </w:rPr>
        <w:t>: שני דיינין בוררין להן עוד אחד</w:t>
      </w:r>
      <w:r>
        <w:rPr>
          <w:rStyle w:val="ab"/>
          <w:rFonts w:cs="Arial"/>
          <w:rtl/>
        </w:rPr>
        <w:footnoteReference w:id="678"/>
      </w:r>
      <w:r w:rsidRPr="00CD4460">
        <w:rPr>
          <w:rFonts w:cs="Arial"/>
          <w:rtl/>
        </w:rPr>
        <w:t xml:space="preserve">. זה פוסל דיינו של זה וזה פוסל דיינו של זה, </w:t>
      </w:r>
      <w:r w:rsidRPr="001B21E1">
        <w:rPr>
          <w:rFonts w:cs="Arial"/>
          <w:u w:val="single"/>
          <w:rtl/>
        </w:rPr>
        <w:t>דברי רבי מאיר</w:t>
      </w:r>
      <w:r w:rsidRPr="00CD4460">
        <w:rPr>
          <w:rFonts w:cs="Arial"/>
          <w:rtl/>
        </w:rPr>
        <w:t xml:space="preserve">. </w:t>
      </w:r>
      <w:r w:rsidRPr="001B21E1">
        <w:rPr>
          <w:rFonts w:cs="Arial"/>
          <w:u w:val="single"/>
          <w:rtl/>
        </w:rPr>
        <w:t>וחכמים אומרים</w:t>
      </w:r>
      <w:r w:rsidRPr="00CD4460">
        <w:rPr>
          <w:rFonts w:cs="Arial"/>
          <w:rtl/>
        </w:rPr>
        <w:t xml:space="preserve">: אימתי - בזמן שמביא עליהן ראיה שהן קרובין או פסולין, אבל אם היו כשרין או מומחין מפי בית דין - אינו יכול לפוסלן. זה פוסל עדיו של זה, וזה פוסל עדיו של זה, </w:t>
      </w:r>
      <w:r w:rsidRPr="001B21E1">
        <w:rPr>
          <w:rFonts w:cs="Arial"/>
          <w:u w:val="single"/>
          <w:rtl/>
        </w:rPr>
        <w:t>דברי רבי מאיר</w:t>
      </w:r>
      <w:r w:rsidRPr="00CD4460">
        <w:rPr>
          <w:rFonts w:cs="Arial"/>
          <w:rtl/>
        </w:rPr>
        <w:t xml:space="preserve">, </w:t>
      </w:r>
      <w:r w:rsidRPr="001B21E1">
        <w:rPr>
          <w:rFonts w:cs="Arial"/>
          <w:u w:val="single"/>
          <w:rtl/>
        </w:rPr>
        <w:t>וחכמים אומרים</w:t>
      </w:r>
      <w:r w:rsidRPr="00CD4460">
        <w:rPr>
          <w:rFonts w:cs="Arial"/>
          <w:rtl/>
        </w:rPr>
        <w:t>: אימתי - בזמן שמביא עליהן ראיה שהן קרובין או פסולין, אבל אם היו כשרין - אינו יכול לפוסלן.</w:t>
      </w:r>
      <w:r>
        <w:rPr>
          <w:rFonts w:cs="Arial" w:hint="cs"/>
          <w:rtl/>
        </w:rPr>
        <w:t xml:space="preserve">     </w:t>
      </w:r>
      <w:r w:rsidRPr="00CD4460">
        <w:rPr>
          <w:rFonts w:cs="Arial"/>
          <w:rtl/>
        </w:rPr>
        <w:t xml:space="preserve"> </w:t>
      </w:r>
      <w:r w:rsidRPr="002C6F11">
        <w:rPr>
          <w:rFonts w:cs="Arial"/>
          <w:u w:val="double"/>
          <w:rtl/>
        </w:rPr>
        <w:t>גמרא</w:t>
      </w:r>
      <w:r w:rsidRPr="002C6F11">
        <w:rPr>
          <w:rFonts w:cs="Arial" w:hint="cs"/>
          <w:u w:val="double"/>
          <w:rtl/>
        </w:rPr>
        <w:t>:</w:t>
      </w:r>
      <w:r w:rsidRPr="002C6F11">
        <w:rPr>
          <w:rFonts w:cs="Arial"/>
          <w:rtl/>
        </w:rPr>
        <w:t xml:space="preserve"> מאי זה בורר לו אחד וזה בורר לו אחד? בתלתא סגי! הכי קאמר: כשזה בורר לו בית דין אחד, וזה בורר לו בית דין אחד</w:t>
      </w:r>
      <w:r>
        <w:rPr>
          <w:rStyle w:val="ab"/>
          <w:rFonts w:cs="Arial"/>
          <w:rtl/>
        </w:rPr>
        <w:footnoteReference w:id="679"/>
      </w:r>
      <w:r w:rsidRPr="002C6F11">
        <w:rPr>
          <w:rFonts w:cs="Arial"/>
          <w:rtl/>
        </w:rPr>
        <w:t xml:space="preserve"> - שניהן בוררין להן עוד אחד</w:t>
      </w:r>
      <w:r>
        <w:rPr>
          <w:rStyle w:val="ab"/>
          <w:rFonts w:cs="Arial"/>
          <w:rtl/>
        </w:rPr>
        <w:footnoteReference w:id="680"/>
      </w:r>
      <w:r w:rsidRPr="002C6F11">
        <w:rPr>
          <w:rFonts w:cs="Arial"/>
          <w:rtl/>
        </w:rPr>
        <w:t>. ואפילו לוה מצי מעכב? והאמר רבי אלעזר: לא שנו אלא מלוה, אבל לוה כופין אותו ודן בעירו! כדאמר רבי יוחנן: בערכאות שבסוריא שנו</w:t>
      </w:r>
      <w:r>
        <w:rPr>
          <w:rStyle w:val="ab"/>
          <w:rFonts w:cs="Arial"/>
          <w:rtl/>
        </w:rPr>
        <w:footnoteReference w:id="681"/>
      </w:r>
      <w:r w:rsidRPr="002C6F11">
        <w:rPr>
          <w:rFonts w:cs="Arial"/>
          <w:rtl/>
        </w:rPr>
        <w:t xml:space="preserve">. הכא נמי: בערכאות שבסוריא שנו. אבל מומחין - לא. </w:t>
      </w:r>
      <w:r w:rsidRPr="001B21E1">
        <w:rPr>
          <w:rFonts w:cs="Arial"/>
          <w:u w:val="single"/>
          <w:rtl/>
        </w:rPr>
        <w:t>רב פפא אמר</w:t>
      </w:r>
      <w:r w:rsidRPr="002C6F11">
        <w:rPr>
          <w:rFonts w:cs="Arial"/>
          <w:rtl/>
        </w:rPr>
        <w:t>: אפילו תימא מומחין, כגון בי דינא דרב הונא ודרב חסדא</w:t>
      </w:r>
      <w:r>
        <w:rPr>
          <w:rStyle w:val="ab"/>
          <w:rFonts w:cs="Arial"/>
          <w:rtl/>
        </w:rPr>
        <w:footnoteReference w:id="682"/>
      </w:r>
      <w:r w:rsidRPr="002C6F11">
        <w:rPr>
          <w:rFonts w:cs="Arial"/>
          <w:rtl/>
        </w:rPr>
        <w:t>, דקאמר ליה: מי קא מטרחנא לך</w:t>
      </w:r>
      <w:r>
        <w:rPr>
          <w:rStyle w:val="ab"/>
          <w:rFonts w:cs="Arial"/>
          <w:rtl/>
        </w:rPr>
        <w:footnoteReference w:id="683"/>
      </w:r>
      <w:r w:rsidRPr="002C6F11">
        <w:rPr>
          <w:rFonts w:cs="Arial"/>
          <w:rtl/>
        </w:rPr>
        <w:t>?</w:t>
      </w:r>
      <w:r w:rsidRPr="00D2755D">
        <w:rPr>
          <w:rFonts w:cs="Arial"/>
          <w:rtl/>
        </w:rPr>
        <w:t xml:space="preserve"> </w:t>
      </w:r>
      <w:r w:rsidRPr="0047502F">
        <w:rPr>
          <w:rFonts w:cs="Arial"/>
          <w:rtl/>
        </w:rPr>
        <w:t>תנן</w:t>
      </w:r>
      <w:r>
        <w:rPr>
          <w:rFonts w:cs="Arial" w:hint="cs"/>
          <w:rtl/>
        </w:rPr>
        <w:t>:</w:t>
      </w:r>
      <w:r w:rsidRPr="0047502F">
        <w:rPr>
          <w:rFonts w:cs="Arial"/>
          <w:rtl/>
        </w:rPr>
        <w:t xml:space="preserve"> </w:t>
      </w:r>
      <w:r w:rsidRPr="00A7312A">
        <w:rPr>
          <w:rFonts w:cs="Arial"/>
          <w:u w:val="single"/>
          <w:rtl/>
        </w:rPr>
        <w:t>וחכמים אומרים</w:t>
      </w:r>
      <w:r w:rsidRPr="0047502F">
        <w:rPr>
          <w:rFonts w:cs="Arial"/>
          <w:rtl/>
        </w:rPr>
        <w:t>: שני דיינין בוררין להן עוד אחד</w:t>
      </w:r>
      <w:r>
        <w:rPr>
          <w:rFonts w:cs="Arial" w:hint="cs"/>
          <w:rtl/>
        </w:rPr>
        <w:t>.</w:t>
      </w:r>
      <w:r w:rsidRPr="0047502F">
        <w:rPr>
          <w:rFonts w:cs="Arial"/>
          <w:rtl/>
        </w:rPr>
        <w:t xml:space="preserve"> ואי סלקא דעתך כדקאמרינן - בית דין, בית דין בתר דפסלי להו אזלו ובררו להו בי דינא אחריני? ועוד: מאי זה בורר לו אחד וזה בורר לו אחד? אלא הכי קאמר: כשזה בורר לו דיין אחד וזה בורר לו דיין אחד - שניהן בוררין להן עוד אחד. מאי שנא דעבדי הכי? </w:t>
      </w:r>
      <w:r w:rsidRPr="00A7312A">
        <w:rPr>
          <w:rFonts w:cs="Arial"/>
          <w:u w:val="single"/>
          <w:rtl/>
        </w:rPr>
        <w:t>אמרי במערבא משמיה דרבי זירא</w:t>
      </w:r>
      <w:r w:rsidRPr="0047502F">
        <w:rPr>
          <w:rFonts w:cs="Arial"/>
          <w:rtl/>
        </w:rPr>
        <w:t>: מתוך שזה בורר לו דיין אחד וזה בורר לו דיין אחד, ושניהן בוררין להן עוד אחד - יצא הדין לאמיתו</w:t>
      </w:r>
      <w:r w:rsidR="00FA15C0">
        <w:rPr>
          <w:rStyle w:val="ab"/>
          <w:rFonts w:cs="Arial"/>
          <w:rtl/>
        </w:rPr>
        <w:footnoteReference w:id="684"/>
      </w:r>
      <w:r w:rsidRPr="0047502F">
        <w:rPr>
          <w:rFonts w:cs="Arial"/>
          <w:rtl/>
        </w:rPr>
        <w:t>.</w:t>
      </w:r>
      <w:r w:rsidR="00DD31FB">
        <w:rPr>
          <w:rFonts w:cs="Arial" w:hint="cs"/>
          <w:rtl/>
        </w:rPr>
        <w:t>..</w:t>
      </w:r>
      <w:r w:rsidR="00DD31FB" w:rsidRPr="00DD31FB">
        <w:rPr>
          <w:rtl/>
        </w:rPr>
        <w:t xml:space="preserve"> </w:t>
      </w:r>
      <w:r w:rsidR="00DD31FB" w:rsidRPr="00DD31FB">
        <w:rPr>
          <w:rFonts w:cs="Arial"/>
          <w:rtl/>
        </w:rPr>
        <w:t xml:space="preserve">זה פוסל דיינו כו'. כל כמיניה דפסיל דייני? </w:t>
      </w:r>
      <w:r w:rsidR="00DD31FB" w:rsidRPr="00DD31FB">
        <w:rPr>
          <w:rFonts w:cs="Arial"/>
          <w:u w:val="single"/>
          <w:rtl/>
        </w:rPr>
        <w:t>אמר רבי יוחנן</w:t>
      </w:r>
      <w:r w:rsidR="00DD31FB" w:rsidRPr="00DD31FB">
        <w:rPr>
          <w:rFonts w:cs="Arial"/>
          <w:rtl/>
        </w:rPr>
        <w:t>: בערכאות שבסוריא שנו, אבל מומחים - לא.</w:t>
      </w:r>
    </w:p>
    <w:p w14:paraId="6EB966A3" w14:textId="77777777" w:rsidR="00DD31FB" w:rsidRPr="001B21E1" w:rsidRDefault="00DD31FB" w:rsidP="00DD31FB">
      <w:pPr>
        <w:rPr>
          <w:rFonts w:cs="Arial"/>
          <w:u w:val="single"/>
          <w:rtl/>
        </w:rPr>
      </w:pPr>
      <w:r>
        <w:rPr>
          <w:rFonts w:cs="Arial" w:hint="cs"/>
          <w:u w:val="single"/>
          <w:rtl/>
        </w:rPr>
        <w:t>'זה בורר לו אחד וזה בורר לו אחד' - כיצד</w:t>
      </w:r>
      <w:r w:rsidRPr="001B21E1">
        <w:rPr>
          <w:rFonts w:cs="Arial" w:hint="cs"/>
          <w:u w:val="single"/>
          <w:rtl/>
        </w:rPr>
        <w:t>:</w:t>
      </w:r>
    </w:p>
    <w:p w14:paraId="59A35ECB" w14:textId="77777777" w:rsidR="00DD31FB" w:rsidRDefault="00DD31FB" w:rsidP="00DD31FB">
      <w:pPr>
        <w:pStyle w:val="ac"/>
        <w:numPr>
          <w:ilvl w:val="0"/>
          <w:numId w:val="8"/>
        </w:numPr>
        <w:rPr>
          <w:rtl/>
        </w:rPr>
      </w:pPr>
      <w:r w:rsidRPr="00D716B9">
        <w:rPr>
          <w:rFonts w:cs="Arial" w:hint="cs"/>
          <w:rtl/>
        </w:rPr>
        <w:t xml:space="preserve">רמב"ם </w:t>
      </w:r>
      <w:r w:rsidRPr="00D716B9">
        <w:rPr>
          <w:rFonts w:cs="Arial" w:hint="cs"/>
          <w:sz w:val="16"/>
          <w:szCs w:val="16"/>
          <w:rtl/>
        </w:rPr>
        <w:t>(</w:t>
      </w:r>
      <w:r w:rsidRPr="00D716B9">
        <w:rPr>
          <w:rFonts w:cs="Arial"/>
          <w:sz w:val="16"/>
          <w:szCs w:val="16"/>
          <w:rtl/>
        </w:rPr>
        <w:t>פ</w:t>
      </w:r>
      <w:r w:rsidRPr="00D716B9">
        <w:rPr>
          <w:rFonts w:cs="Arial" w:hint="cs"/>
          <w:sz w:val="16"/>
          <w:szCs w:val="16"/>
          <w:rtl/>
        </w:rPr>
        <w:t>"</w:t>
      </w:r>
      <w:r w:rsidRPr="00D716B9">
        <w:rPr>
          <w:rFonts w:cs="Arial"/>
          <w:sz w:val="16"/>
          <w:szCs w:val="16"/>
          <w:rtl/>
        </w:rPr>
        <w:t>ז מהל</w:t>
      </w:r>
      <w:r w:rsidRPr="00D716B9">
        <w:rPr>
          <w:rFonts w:cs="Arial" w:hint="cs"/>
          <w:sz w:val="16"/>
          <w:szCs w:val="16"/>
          <w:rtl/>
        </w:rPr>
        <w:t>'</w:t>
      </w:r>
      <w:r w:rsidRPr="00D716B9">
        <w:rPr>
          <w:rFonts w:cs="Arial"/>
          <w:sz w:val="16"/>
          <w:szCs w:val="16"/>
          <w:rtl/>
        </w:rPr>
        <w:t xml:space="preserve"> סנהדרין ה"א)</w:t>
      </w:r>
      <w:r w:rsidR="00D716B9">
        <w:rPr>
          <w:rFonts w:cs="Arial" w:hint="cs"/>
          <w:rtl/>
        </w:rPr>
        <w:t xml:space="preserve"> וטור</w:t>
      </w:r>
      <w:r w:rsidR="00D716B9">
        <w:rPr>
          <w:rStyle w:val="ab"/>
          <w:rFonts w:cs="Arial"/>
          <w:rtl/>
        </w:rPr>
        <w:footnoteReference w:id="685"/>
      </w:r>
      <w:r w:rsidRPr="00D716B9">
        <w:rPr>
          <w:rFonts w:cs="Arial" w:hint="cs"/>
          <w:rtl/>
        </w:rPr>
        <w:t>-</w:t>
      </w:r>
      <w:r w:rsidRPr="002C6F11">
        <w:rPr>
          <w:rtl/>
        </w:rPr>
        <w:t xml:space="preserve"> </w:t>
      </w:r>
      <w:r w:rsidRPr="00D716B9">
        <w:rPr>
          <w:rFonts w:cs="Arial"/>
          <w:rtl/>
        </w:rPr>
        <w:t>אחד מבעלי דינין שאמר איש פלוני ידון לי</w:t>
      </w:r>
      <w:r w:rsidRPr="00D716B9">
        <w:rPr>
          <w:rFonts w:cs="Arial" w:hint="cs"/>
          <w:rtl/>
        </w:rPr>
        <w:t>,</w:t>
      </w:r>
      <w:r w:rsidRPr="00D716B9">
        <w:rPr>
          <w:rFonts w:cs="Arial"/>
          <w:rtl/>
        </w:rPr>
        <w:t xml:space="preserve"> ואמר בעל דינו פלוני ידון לי</w:t>
      </w:r>
      <w:r w:rsidRPr="00D716B9">
        <w:rPr>
          <w:rFonts w:cs="Arial" w:hint="cs"/>
          <w:rtl/>
        </w:rPr>
        <w:t>,</w:t>
      </w:r>
      <w:r w:rsidRPr="00D716B9">
        <w:rPr>
          <w:rFonts w:cs="Arial"/>
          <w:rtl/>
        </w:rPr>
        <w:t xml:space="preserve"> הרי אלו שני הדיינים</w:t>
      </w:r>
      <w:r w:rsidRPr="00D716B9">
        <w:rPr>
          <w:rFonts w:cs="Arial" w:hint="cs"/>
          <w:rtl/>
        </w:rPr>
        <w:t>,</w:t>
      </w:r>
      <w:r w:rsidRPr="00D716B9">
        <w:rPr>
          <w:rFonts w:cs="Arial"/>
          <w:rtl/>
        </w:rPr>
        <w:t xml:space="preserve"> שבירר זה אחד וזה אחד</w:t>
      </w:r>
      <w:r w:rsidRPr="00D716B9">
        <w:rPr>
          <w:rFonts w:cs="Arial" w:hint="cs"/>
          <w:rtl/>
        </w:rPr>
        <w:t>,</w:t>
      </w:r>
      <w:r w:rsidRPr="00D716B9">
        <w:rPr>
          <w:rFonts w:cs="Arial"/>
          <w:rtl/>
        </w:rPr>
        <w:t xml:space="preserve"> </w:t>
      </w:r>
      <w:r>
        <w:rPr>
          <w:rStyle w:val="ab"/>
          <w:rFonts w:cs="Arial"/>
          <w:rtl/>
        </w:rPr>
        <w:footnoteReference w:id="686"/>
      </w:r>
      <w:r w:rsidRPr="00D716B9">
        <w:rPr>
          <w:rFonts w:cs="Arial"/>
          <w:rtl/>
        </w:rPr>
        <w:t>הם בוררים להן דיין שלישי</w:t>
      </w:r>
      <w:r w:rsidR="00D716B9">
        <w:rPr>
          <w:rStyle w:val="ab"/>
          <w:rFonts w:cs="Arial"/>
          <w:rtl/>
        </w:rPr>
        <w:footnoteReference w:id="687"/>
      </w:r>
      <w:r w:rsidRPr="00D716B9">
        <w:rPr>
          <w:rFonts w:cs="Arial" w:hint="cs"/>
          <w:rtl/>
        </w:rPr>
        <w:t>,</w:t>
      </w:r>
      <w:r w:rsidRPr="00D716B9">
        <w:rPr>
          <w:rFonts w:cs="Arial"/>
          <w:rtl/>
        </w:rPr>
        <w:t xml:space="preserve"> ושלשתן דנין לשניהן</w:t>
      </w:r>
      <w:r w:rsidRPr="00D716B9">
        <w:rPr>
          <w:rFonts w:cs="Arial" w:hint="cs"/>
          <w:rtl/>
        </w:rPr>
        <w:t>,</w:t>
      </w:r>
      <w:r w:rsidRPr="00D716B9">
        <w:rPr>
          <w:rFonts w:cs="Arial"/>
          <w:rtl/>
        </w:rPr>
        <w:t xml:space="preserve"> שמתוך כך </w:t>
      </w:r>
      <w:r w:rsidRPr="00D716B9">
        <w:rPr>
          <w:rFonts w:cs="Arial"/>
          <w:rtl/>
        </w:rPr>
        <w:lastRenderedPageBreak/>
        <w:t>יצא הדין לאמתו</w:t>
      </w:r>
      <w:r w:rsidRPr="00D716B9">
        <w:rPr>
          <w:rFonts w:cs="Arial" w:hint="cs"/>
          <w:rtl/>
        </w:rPr>
        <w:t>.</w:t>
      </w:r>
      <w:r w:rsidRPr="00D716B9">
        <w:rPr>
          <w:rFonts w:cs="Arial"/>
          <w:rtl/>
        </w:rPr>
        <w:t xml:space="preserve"> אפילו היה האחד שביררו בעלי הדין חכם גדול וסמוך אינו יכול לכוף</w:t>
      </w:r>
      <w:r w:rsidR="00FA15C0">
        <w:rPr>
          <w:rStyle w:val="ab"/>
          <w:rFonts w:cs="Arial"/>
          <w:rtl/>
        </w:rPr>
        <w:footnoteReference w:id="688"/>
      </w:r>
      <w:r w:rsidRPr="00D716B9">
        <w:rPr>
          <w:rFonts w:cs="Arial"/>
          <w:rtl/>
        </w:rPr>
        <w:t xml:space="preserve"> את בעל דינו שידון אצל זה אלא גם הוא בורר מי שירצה</w:t>
      </w:r>
      <w:r w:rsidR="00FA15C0">
        <w:rPr>
          <w:rStyle w:val="ab"/>
          <w:rFonts w:cs="Arial"/>
          <w:rtl/>
        </w:rPr>
        <w:footnoteReference w:id="689"/>
      </w:r>
      <w:r w:rsidR="00D716B9">
        <w:rPr>
          <w:rFonts w:cs="Arial" w:hint="cs"/>
          <w:sz w:val="16"/>
          <w:szCs w:val="16"/>
          <w:rtl/>
        </w:rPr>
        <w:t xml:space="preserve"> (ל' הרמב"ם)</w:t>
      </w:r>
      <w:r w:rsidRPr="00D716B9">
        <w:rPr>
          <w:rFonts w:cs="Arial"/>
          <w:rtl/>
        </w:rPr>
        <w:t>.</w:t>
      </w:r>
      <w:r>
        <w:rPr>
          <w:rFonts w:hint="cs"/>
          <w:rtl/>
        </w:rPr>
        <w:t xml:space="preserve"> </w:t>
      </w:r>
      <w:r w:rsidRPr="00D716B9">
        <w:rPr>
          <w:rFonts w:hint="cs"/>
          <w:color w:val="E36C0A" w:themeColor="accent6" w:themeShade="BF"/>
          <w:rtl/>
        </w:rPr>
        <w:t>(וכ"כ בשו"ע)</w:t>
      </w:r>
    </w:p>
    <w:p w14:paraId="6B787B05" w14:textId="77777777" w:rsidR="00DD31FB" w:rsidRDefault="00DD31FB" w:rsidP="00E57EC0">
      <w:pPr>
        <w:rPr>
          <w:rFonts w:cs="Arial"/>
          <w:rtl/>
        </w:rPr>
      </w:pPr>
      <w:r w:rsidRPr="00DD31FB">
        <w:rPr>
          <w:rFonts w:cs="Arial" w:hint="cs"/>
          <w:u w:val="single"/>
          <w:rtl/>
        </w:rPr>
        <w:t>האם יכול אחד מהצדדים לפסול את הדיין שבירר חברו:</w:t>
      </w:r>
    </w:p>
    <w:p w14:paraId="08145087" w14:textId="77777777" w:rsidR="00E57EC0" w:rsidRPr="00FA15C0" w:rsidRDefault="00DD31FB" w:rsidP="004B0475">
      <w:pPr>
        <w:pStyle w:val="ac"/>
        <w:numPr>
          <w:ilvl w:val="0"/>
          <w:numId w:val="64"/>
        </w:numPr>
        <w:rPr>
          <w:rFonts w:cs="Arial"/>
          <w:rtl/>
        </w:rPr>
      </w:pPr>
      <w:r w:rsidRPr="00DD31FB">
        <w:rPr>
          <w:rFonts w:cs="Arial" w:hint="cs"/>
          <w:rtl/>
        </w:rPr>
        <w:t>הג"א</w:t>
      </w:r>
      <w:r w:rsidRPr="00DD31FB">
        <w:rPr>
          <w:rFonts w:cs="Arial"/>
          <w:sz w:val="16"/>
          <w:szCs w:val="16"/>
          <w:rtl/>
        </w:rPr>
        <w:t xml:space="preserve"> (</w:t>
      </w:r>
      <w:r w:rsidRPr="00DD31FB">
        <w:rPr>
          <w:rFonts w:cs="Arial" w:hint="cs"/>
          <w:sz w:val="16"/>
          <w:szCs w:val="16"/>
          <w:rtl/>
        </w:rPr>
        <w:t xml:space="preserve">סנהדרין סי' א </w:t>
      </w:r>
      <w:r w:rsidRPr="00DD31FB">
        <w:rPr>
          <w:rFonts w:cs="Arial"/>
          <w:sz w:val="16"/>
          <w:szCs w:val="16"/>
          <w:rtl/>
        </w:rPr>
        <w:t>אות ב)</w:t>
      </w:r>
      <w:r w:rsidRPr="00DD31FB">
        <w:rPr>
          <w:rFonts w:cs="Arial" w:hint="cs"/>
          <w:rtl/>
        </w:rPr>
        <w:t xml:space="preserve">- </w:t>
      </w:r>
      <w:r w:rsidR="00EA0C45">
        <w:rPr>
          <w:rStyle w:val="ab"/>
          <w:rFonts w:cs="Arial"/>
          <w:rtl/>
        </w:rPr>
        <w:footnoteReference w:id="690"/>
      </w:r>
      <w:r w:rsidR="00E57EC0" w:rsidRPr="00DD31FB">
        <w:rPr>
          <w:rFonts w:cs="Arial"/>
          <w:rtl/>
        </w:rPr>
        <w:t>אוקמה רבי יוחנן בערכאות שבסוריא</w:t>
      </w:r>
      <w:r w:rsidR="00D716B9">
        <w:rPr>
          <w:rFonts w:cs="Arial" w:hint="cs"/>
          <w:rtl/>
        </w:rPr>
        <w:t>,</w:t>
      </w:r>
      <w:r w:rsidR="00E57EC0" w:rsidRPr="00DD31FB">
        <w:rPr>
          <w:rFonts w:cs="Arial"/>
          <w:rtl/>
        </w:rPr>
        <w:t xml:space="preserve"> דהיינו יושבי קרנות</w:t>
      </w:r>
      <w:r w:rsidR="00D716B9">
        <w:rPr>
          <w:rFonts w:cs="Arial" w:hint="cs"/>
          <w:rtl/>
        </w:rPr>
        <w:t>,</w:t>
      </w:r>
      <w:r w:rsidR="00E57EC0" w:rsidRPr="00DD31FB">
        <w:rPr>
          <w:rFonts w:cs="Arial"/>
          <w:rtl/>
        </w:rPr>
        <w:t xml:space="preserve"> שיש לכל אחד לומר לא אדון אלא בפני מומחה</w:t>
      </w:r>
      <w:r w:rsidRPr="00DD31FB">
        <w:rPr>
          <w:rFonts w:cs="Arial" w:hint="cs"/>
          <w:rtl/>
        </w:rPr>
        <w:t>.</w:t>
      </w:r>
      <w:r w:rsidR="00E57EC0" w:rsidRPr="00DD31FB">
        <w:rPr>
          <w:rFonts w:cs="Arial"/>
          <w:rtl/>
        </w:rPr>
        <w:t xml:space="preserve"> ורבנן סברי דהואיל שזה בירר לו אחד מיושבי קרנות גם הוא יכול לברר לו אחר</w:t>
      </w:r>
      <w:r w:rsidRPr="00DD31FB">
        <w:rPr>
          <w:rFonts w:cs="Arial" w:hint="cs"/>
          <w:rtl/>
        </w:rPr>
        <w:t>.</w:t>
      </w:r>
      <w:r w:rsidR="00E57EC0" w:rsidRPr="00DD31FB">
        <w:rPr>
          <w:rFonts w:cs="Arial"/>
          <w:rtl/>
        </w:rPr>
        <w:t xml:space="preserve"> וקיימא לן כרבנן</w:t>
      </w:r>
      <w:r w:rsidRPr="00DD31FB">
        <w:rPr>
          <w:rFonts w:cs="Arial" w:hint="cs"/>
          <w:rtl/>
        </w:rPr>
        <w:t>.</w:t>
      </w:r>
      <w:r w:rsidR="00E57EC0" w:rsidRPr="00DD31FB">
        <w:rPr>
          <w:rFonts w:cs="Arial"/>
          <w:rtl/>
        </w:rPr>
        <w:t xml:space="preserve"> הילכך לא שנא בירר לו מומחה לא שנא בירר לו אחד מיושבי קרנות לא מצי למימר לא אדון בפניו עד שיביא ראיה שהוא קרוב או פסול</w:t>
      </w:r>
      <w:r w:rsidRPr="00DD31FB">
        <w:rPr>
          <w:rFonts w:cs="Arial" w:hint="cs"/>
          <w:rtl/>
        </w:rPr>
        <w:t>...</w:t>
      </w:r>
      <w:r w:rsidR="00E57EC0" w:rsidRPr="00DD31FB">
        <w:rPr>
          <w:rFonts w:cs="Arial"/>
          <w:rtl/>
        </w:rPr>
        <w:t xml:space="preserve"> ודוקא ערכאות שבסוריא פירוש שנתמנו להיות דיינים</w:t>
      </w:r>
      <w:r w:rsidR="00E55FB6">
        <w:rPr>
          <w:rFonts w:cs="Arial" w:hint="cs"/>
          <w:rtl/>
        </w:rPr>
        <w:t>,</w:t>
      </w:r>
      <w:r w:rsidR="00E57EC0" w:rsidRPr="00DD31FB">
        <w:rPr>
          <w:rFonts w:cs="Arial"/>
          <w:rtl/>
        </w:rPr>
        <w:t xml:space="preserve"> אבל יושבי קרנות שלא נתמנו להיות דיינים אפילו לרבנן פסולים כן פירש ר"י בריש מכילתין </w:t>
      </w:r>
      <w:r w:rsidR="00E57EC0" w:rsidRPr="008F7130">
        <w:rPr>
          <w:rFonts w:cs="Arial"/>
          <w:sz w:val="16"/>
          <w:szCs w:val="16"/>
          <w:rtl/>
        </w:rPr>
        <w:t>(תוס' ג. ד"ה אי)</w:t>
      </w:r>
      <w:r w:rsidR="00E57EC0" w:rsidRPr="00DD31FB">
        <w:rPr>
          <w:rFonts w:cs="Arial"/>
          <w:rtl/>
        </w:rPr>
        <w:t>.</w:t>
      </w:r>
      <w:r w:rsidRPr="00DD31FB">
        <w:rPr>
          <w:rFonts w:cs="Arial" w:hint="cs"/>
          <w:rtl/>
        </w:rPr>
        <w:t>..</w:t>
      </w:r>
      <w:r w:rsidR="00E57EC0" w:rsidRPr="00DD31FB">
        <w:rPr>
          <w:rFonts w:cs="Arial"/>
          <w:rtl/>
        </w:rPr>
        <w:t xml:space="preserve"> ומדקאמר זה פוסל וזה פוסל משמע דאפילו לוה כהאי גוונא מצי מעכב</w:t>
      </w:r>
      <w:r w:rsidRPr="00DD31FB">
        <w:rPr>
          <w:rFonts w:cs="Arial" w:hint="cs"/>
          <w:rtl/>
        </w:rPr>
        <w:t>.</w:t>
      </w:r>
      <w:r w:rsidR="00E57EC0" w:rsidRPr="00DD31FB">
        <w:rPr>
          <w:rFonts w:cs="Arial"/>
          <w:rtl/>
        </w:rPr>
        <w:t xml:space="preserve"> </w:t>
      </w:r>
    </w:p>
    <w:p w14:paraId="0E61F921" w14:textId="77777777" w:rsidR="00B82BF6" w:rsidRPr="00B82BF6" w:rsidRDefault="00B82BF6" w:rsidP="00767A9D">
      <w:pPr>
        <w:rPr>
          <w:rFonts w:cs="Arial"/>
          <w:u w:val="single"/>
          <w:rtl/>
        </w:rPr>
      </w:pPr>
      <w:r>
        <w:rPr>
          <w:rFonts w:cs="Arial" w:hint="cs"/>
          <w:u w:val="single"/>
          <w:rtl/>
        </w:rPr>
        <w:t xml:space="preserve">שני </w:t>
      </w:r>
      <w:r w:rsidRPr="00B82BF6">
        <w:rPr>
          <w:rFonts w:cs="Arial"/>
          <w:u w:val="single"/>
          <w:rtl/>
        </w:rPr>
        <w:t xml:space="preserve">דיינים </w:t>
      </w:r>
      <w:r>
        <w:rPr>
          <w:rFonts w:cs="Arial" w:hint="cs"/>
          <w:u w:val="single"/>
          <w:rtl/>
        </w:rPr>
        <w:t>ש</w:t>
      </w:r>
      <w:r w:rsidRPr="00B82BF6">
        <w:rPr>
          <w:rFonts w:cs="Arial"/>
          <w:u w:val="single"/>
          <w:rtl/>
        </w:rPr>
        <w:t xml:space="preserve">לא </w:t>
      </w:r>
      <w:r>
        <w:rPr>
          <w:rFonts w:cs="Arial" w:hint="cs"/>
          <w:u w:val="single"/>
          <w:rtl/>
        </w:rPr>
        <w:t>מצליחים</w:t>
      </w:r>
      <w:r w:rsidRPr="00B82BF6">
        <w:rPr>
          <w:rFonts w:cs="Arial"/>
          <w:u w:val="single"/>
          <w:rtl/>
        </w:rPr>
        <w:t xml:space="preserve"> להשוות דעתם לברור להם שלישי</w:t>
      </w:r>
      <w:r w:rsidRPr="00B82BF6">
        <w:rPr>
          <w:rFonts w:cs="Arial" w:hint="cs"/>
          <w:u w:val="single"/>
          <w:rtl/>
        </w:rPr>
        <w:t>:</w:t>
      </w:r>
    </w:p>
    <w:p w14:paraId="5F9F0F4C" w14:textId="77777777" w:rsidR="00B82BF6" w:rsidRDefault="00B82BF6" w:rsidP="00C704CB">
      <w:pPr>
        <w:pStyle w:val="ac"/>
        <w:numPr>
          <w:ilvl w:val="0"/>
          <w:numId w:val="9"/>
        </w:numPr>
        <w:rPr>
          <w:rFonts w:cs="Arial"/>
        </w:rPr>
      </w:pPr>
      <w:r w:rsidRPr="00B82BF6">
        <w:rPr>
          <w:rFonts w:cs="Arial" w:hint="cs"/>
          <w:rtl/>
        </w:rPr>
        <w:t xml:space="preserve">רא"ש </w:t>
      </w:r>
      <w:r>
        <w:rPr>
          <w:rFonts w:cs="Arial" w:hint="cs"/>
          <w:sz w:val="16"/>
          <w:szCs w:val="16"/>
          <w:rtl/>
        </w:rPr>
        <w:t>(</w:t>
      </w:r>
      <w:r w:rsidRPr="00B82BF6">
        <w:rPr>
          <w:rFonts w:cs="Arial" w:hint="cs"/>
          <w:sz w:val="16"/>
          <w:szCs w:val="16"/>
          <w:rtl/>
        </w:rPr>
        <w:t xml:space="preserve">סי' ב) </w:t>
      </w:r>
      <w:r w:rsidRPr="00B82BF6">
        <w:rPr>
          <w:rFonts w:cs="Arial" w:hint="cs"/>
          <w:rtl/>
        </w:rPr>
        <w:t>ו</w:t>
      </w:r>
      <w:r w:rsidR="00AE48C5" w:rsidRPr="00B82BF6">
        <w:rPr>
          <w:rFonts w:cs="Arial" w:hint="cs"/>
          <w:rtl/>
        </w:rPr>
        <w:t xml:space="preserve">טור- </w:t>
      </w:r>
      <w:r w:rsidR="00AE48C5" w:rsidRPr="00B82BF6">
        <w:rPr>
          <w:rFonts w:cs="Arial"/>
          <w:rtl/>
        </w:rPr>
        <w:t xml:space="preserve">אם לא יוכלו הדיינים להשוות דעתם לברור להם שלישי </w:t>
      </w:r>
      <w:r w:rsidR="004A2384">
        <w:rPr>
          <w:rFonts w:cs="Arial" w:hint="cs"/>
          <w:rtl/>
        </w:rPr>
        <w:t xml:space="preserve">- </w:t>
      </w:r>
      <w:r w:rsidR="00AE48C5" w:rsidRPr="00B82BF6">
        <w:rPr>
          <w:rFonts w:cs="Arial"/>
          <w:rtl/>
        </w:rPr>
        <w:t>זקני העיר ומנהיגיה יתנו להם שלישי</w:t>
      </w:r>
      <w:r w:rsidRPr="00B82BF6">
        <w:rPr>
          <w:rFonts w:cs="Arial" w:hint="cs"/>
          <w:rtl/>
        </w:rPr>
        <w:t>,</w:t>
      </w:r>
      <w:r w:rsidR="00AE48C5" w:rsidRPr="00B82BF6">
        <w:rPr>
          <w:rFonts w:cs="Arial"/>
          <w:rtl/>
        </w:rPr>
        <w:t xml:space="preserve"> ואם אין זקנים ומנהיגים בעיר </w:t>
      </w:r>
      <w:r w:rsidR="004A2384">
        <w:rPr>
          <w:rFonts w:cs="Arial" w:hint="cs"/>
          <w:rtl/>
        </w:rPr>
        <w:t xml:space="preserve">- </w:t>
      </w:r>
      <w:r w:rsidR="00AE48C5" w:rsidRPr="00B82BF6">
        <w:rPr>
          <w:rFonts w:cs="Arial"/>
          <w:rtl/>
        </w:rPr>
        <w:t>ילך התובע לפני ג' ויכופו הנתבע לבא לדין בפניהם</w:t>
      </w:r>
      <w:r>
        <w:rPr>
          <w:rFonts w:cs="Arial" w:hint="cs"/>
          <w:rtl/>
        </w:rPr>
        <w:t xml:space="preserve"> </w:t>
      </w:r>
      <w:r w:rsidRPr="00B82BF6">
        <w:rPr>
          <w:rFonts w:cs="Arial" w:hint="cs"/>
          <w:sz w:val="16"/>
          <w:szCs w:val="16"/>
          <w:rtl/>
        </w:rPr>
        <w:t>(ל' הטור)</w:t>
      </w:r>
      <w:r w:rsidRPr="00B82BF6">
        <w:rPr>
          <w:rFonts w:cs="Arial" w:hint="cs"/>
          <w:rtl/>
        </w:rPr>
        <w:t>.</w:t>
      </w:r>
      <w:r w:rsidR="00AE48C5" w:rsidRPr="00B82BF6">
        <w:rPr>
          <w:rFonts w:cs="Arial"/>
          <w:rtl/>
        </w:rPr>
        <w:t xml:space="preserve"> </w:t>
      </w:r>
      <w:r w:rsidR="004A2384" w:rsidRPr="004A2384">
        <w:rPr>
          <w:rFonts w:cs="Arial" w:hint="cs"/>
          <w:color w:val="00B0F0"/>
          <w:rtl/>
        </w:rPr>
        <w:t>(וכ"פ הרמ"א)</w:t>
      </w:r>
    </w:p>
    <w:p w14:paraId="741ACC2B" w14:textId="77777777" w:rsidR="00B82BF6" w:rsidRPr="00B82BF6" w:rsidRDefault="00B82BF6" w:rsidP="00B82BF6">
      <w:pPr>
        <w:rPr>
          <w:rFonts w:cs="Arial"/>
          <w:u w:val="single"/>
        </w:rPr>
      </w:pPr>
      <w:r>
        <w:rPr>
          <w:rFonts w:cs="Arial" w:hint="cs"/>
          <w:u w:val="single"/>
          <w:rtl/>
        </w:rPr>
        <w:t>נתבע שמערים לברור דיין שאינו הגון:</w:t>
      </w:r>
    </w:p>
    <w:p w14:paraId="43178D99" w14:textId="77777777" w:rsidR="00767A9D" w:rsidRPr="00B82BF6" w:rsidRDefault="00B82BF6" w:rsidP="00C704CB">
      <w:pPr>
        <w:pStyle w:val="ac"/>
        <w:numPr>
          <w:ilvl w:val="0"/>
          <w:numId w:val="9"/>
        </w:numPr>
        <w:rPr>
          <w:rFonts w:cs="Arial"/>
          <w:rtl/>
        </w:rPr>
      </w:pPr>
      <w:r w:rsidRPr="00B82BF6">
        <w:rPr>
          <w:rFonts w:cs="Arial" w:hint="cs"/>
          <w:rtl/>
        </w:rPr>
        <w:t xml:space="preserve">רא"ש </w:t>
      </w:r>
      <w:r>
        <w:rPr>
          <w:rFonts w:cs="Arial" w:hint="cs"/>
          <w:sz w:val="16"/>
          <w:szCs w:val="16"/>
          <w:rtl/>
        </w:rPr>
        <w:t>(</w:t>
      </w:r>
      <w:r w:rsidRPr="00B82BF6">
        <w:rPr>
          <w:rFonts w:cs="Arial" w:hint="cs"/>
          <w:sz w:val="16"/>
          <w:szCs w:val="16"/>
          <w:rtl/>
        </w:rPr>
        <w:t xml:space="preserve">סי' ב) </w:t>
      </w:r>
      <w:r w:rsidRPr="00B82BF6">
        <w:rPr>
          <w:rFonts w:cs="Arial" w:hint="cs"/>
          <w:rtl/>
        </w:rPr>
        <w:t xml:space="preserve">וטור- </w:t>
      </w:r>
      <w:r w:rsidR="00767A9D" w:rsidRPr="00B82BF6">
        <w:rPr>
          <w:rFonts w:cs="Arial"/>
          <w:rtl/>
        </w:rPr>
        <w:t>אם הנתבע מערים לברור דיין שאינו הגון כדי לשבת אצל דיין הגון כופין אותו לדון בפני שלשה או שיברור דיין הגון</w:t>
      </w:r>
      <w:r w:rsidRPr="00B82BF6">
        <w:rPr>
          <w:rFonts w:cs="Arial" w:hint="cs"/>
          <w:sz w:val="16"/>
          <w:szCs w:val="16"/>
          <w:rtl/>
        </w:rPr>
        <w:t xml:space="preserve"> (ל' הטור)</w:t>
      </w:r>
      <w:r w:rsidRPr="00B82BF6">
        <w:rPr>
          <w:rFonts w:cs="Arial" w:hint="cs"/>
          <w:rtl/>
        </w:rPr>
        <w:t>.</w:t>
      </w:r>
      <w:r w:rsidR="004A2384" w:rsidRPr="004A2384">
        <w:rPr>
          <w:rFonts w:cs="Arial" w:hint="cs"/>
          <w:color w:val="00B0F0"/>
          <w:rtl/>
        </w:rPr>
        <w:t xml:space="preserve"> (וכ"פ הרמ"א)</w:t>
      </w:r>
    </w:p>
    <w:p w14:paraId="79A009B5" w14:textId="77777777" w:rsidR="00E137BC" w:rsidRPr="00576D5C" w:rsidRDefault="00E137BC" w:rsidP="00576D5C">
      <w:pPr>
        <w:rPr>
          <w:rFonts w:asciiTheme="minorBidi" w:hAnsiTheme="minorBidi"/>
          <w:b/>
          <w:bCs/>
          <w:color w:val="000000"/>
          <w:sz w:val="28"/>
          <w:szCs w:val="28"/>
          <w:u w:val="single"/>
          <w:rtl/>
        </w:rPr>
      </w:pPr>
      <w:r w:rsidRPr="00576D5C">
        <w:rPr>
          <w:rFonts w:asciiTheme="minorBidi" w:hAnsiTheme="minorBidi"/>
          <w:b/>
          <w:bCs/>
          <w:color w:val="000000"/>
          <w:sz w:val="28"/>
          <w:szCs w:val="28"/>
          <w:u w:val="single"/>
          <w:rtl/>
        </w:rPr>
        <w:t>שו"ע:</w:t>
      </w:r>
    </w:p>
    <w:p w14:paraId="0BA170E0" w14:textId="77777777" w:rsidR="00E137BC" w:rsidRDefault="00E137BC" w:rsidP="00576D5C">
      <w:pPr>
        <w:rPr>
          <w:rFonts w:asciiTheme="minorBidi" w:hAnsiTheme="minorBidi"/>
          <w:rtl/>
        </w:rPr>
      </w:pPr>
      <w:r w:rsidRPr="00576D5C">
        <w:rPr>
          <w:rFonts w:asciiTheme="minorBidi" w:hAnsiTheme="minorBidi"/>
          <w:rtl/>
        </w:rPr>
        <w:t>אחד מבעלי דינים שאמר: איש פלוני ידון לי</w:t>
      </w:r>
      <w:r w:rsidR="0028523B">
        <w:rPr>
          <w:rFonts w:asciiTheme="minorBidi" w:hAnsiTheme="minorBidi" w:hint="cs"/>
          <w:rtl/>
        </w:rPr>
        <w:t>.</w:t>
      </w:r>
      <w:r w:rsidRPr="00576D5C">
        <w:rPr>
          <w:rFonts w:asciiTheme="minorBidi" w:hAnsiTheme="minorBidi"/>
          <w:rtl/>
        </w:rPr>
        <w:t xml:space="preserve"> ואמר בעל דינו: פלוני ידון לי</w:t>
      </w:r>
      <w:r w:rsidR="0028523B">
        <w:rPr>
          <w:rFonts w:asciiTheme="minorBidi" w:hAnsiTheme="minorBidi" w:hint="cs"/>
          <w:rtl/>
        </w:rPr>
        <w:t>.</w:t>
      </w:r>
      <w:r w:rsidRPr="00576D5C">
        <w:rPr>
          <w:rFonts w:asciiTheme="minorBidi" w:hAnsiTheme="minorBidi"/>
          <w:rtl/>
        </w:rPr>
        <w:t xml:space="preserve"> הרי אלו שני דיינים שבררו זה אחד וזה אחד בוררים להם דיין שלישי, ואין צריך שיהיה הדיין השלישי ברצון הבעלי דינים, ושלשתם דנים אותם, שמתוך כך יצא הדין לאמתו. אפילו היה האחד שבירר בעל הדין חכם גדול וסמוך, אינו יכול לכוף את בעל דינו שידון אצל זה</w:t>
      </w:r>
      <w:r w:rsidR="00051DAB">
        <w:rPr>
          <w:rStyle w:val="ab"/>
          <w:rFonts w:asciiTheme="minorBidi" w:hAnsiTheme="minorBidi"/>
          <w:rtl/>
        </w:rPr>
        <w:footnoteReference w:id="691"/>
      </w:r>
      <w:r w:rsidRPr="00576D5C">
        <w:rPr>
          <w:rFonts w:asciiTheme="minorBidi" w:hAnsiTheme="minorBidi"/>
          <w:rtl/>
        </w:rPr>
        <w:t>, אלא גם הוא בורר מי שירצה</w:t>
      </w:r>
      <w:r w:rsidR="00051DAB">
        <w:rPr>
          <w:rStyle w:val="ab"/>
          <w:rFonts w:asciiTheme="minorBidi" w:hAnsiTheme="minorBidi"/>
          <w:rtl/>
        </w:rPr>
        <w:footnoteReference w:id="692"/>
      </w:r>
      <w:r w:rsidRPr="00576D5C">
        <w:rPr>
          <w:rFonts w:asciiTheme="minorBidi" w:hAnsiTheme="minorBidi"/>
          <w:rtl/>
        </w:rPr>
        <w:t xml:space="preserve">. </w:t>
      </w:r>
      <w:r w:rsidRPr="0028523B">
        <w:rPr>
          <w:rFonts w:asciiTheme="minorBidi" w:hAnsiTheme="minorBidi"/>
          <w:sz w:val="18"/>
          <w:szCs w:val="18"/>
          <w:rtl/>
        </w:rPr>
        <w:t>הגה: שמתוך שזה בורר לו א' וזה בורר לו א' הבעלי דינים צייתין להם, וגם הדיינים כל אחד מהפך בזכות אותו שבירר אותו בכל מה שאפשר מצד הדין, וה</w:t>
      </w:r>
      <w:r w:rsidR="004A2384">
        <w:rPr>
          <w:rFonts w:asciiTheme="minorBidi" w:hAnsiTheme="minorBidi" w:hint="cs"/>
          <w:sz w:val="18"/>
          <w:szCs w:val="18"/>
          <w:rtl/>
        </w:rPr>
        <w:t>שלישי</w:t>
      </w:r>
      <w:r w:rsidRPr="0028523B">
        <w:rPr>
          <w:rFonts w:asciiTheme="minorBidi" w:hAnsiTheme="minorBidi"/>
          <w:sz w:val="18"/>
          <w:szCs w:val="18"/>
          <w:rtl/>
        </w:rPr>
        <w:t xml:space="preserve"> שומע טענות שניהם</w:t>
      </w:r>
      <w:r w:rsidR="004A2384">
        <w:rPr>
          <w:rFonts w:asciiTheme="minorBidi" w:hAnsiTheme="minorBidi" w:hint="cs"/>
          <w:sz w:val="18"/>
          <w:szCs w:val="18"/>
          <w:rtl/>
        </w:rPr>
        <w:t>,</w:t>
      </w:r>
      <w:r w:rsidRPr="0028523B">
        <w:rPr>
          <w:rFonts w:asciiTheme="minorBidi" w:hAnsiTheme="minorBidi"/>
          <w:sz w:val="18"/>
          <w:szCs w:val="18"/>
          <w:rtl/>
        </w:rPr>
        <w:t xml:space="preserve"> ופוסקים האמת (טור). אם אינם יכולים להשוות עצמם לברור להם שלישי, מנהיגי העיר יתנו להם ג'. ואם אין מנהיגים בעיר, ילך התובע לפני ג' ויכופו הנתבע לדון לפניהם. וכן אם הנתבע מערים לברור דיין שאינו הגון כדי לשבת אצל דיין הגון, כופין אותו לדון לפני ג' כמו שנתבאר לעיל סי' ג</w:t>
      </w:r>
      <w:r w:rsidR="004A2384">
        <w:rPr>
          <w:rFonts w:asciiTheme="minorBidi" w:hAnsiTheme="minorBidi" w:hint="cs"/>
          <w:sz w:val="18"/>
          <w:szCs w:val="18"/>
          <w:rtl/>
        </w:rPr>
        <w:t>'</w:t>
      </w:r>
      <w:r w:rsidRPr="0028523B">
        <w:rPr>
          <w:rFonts w:asciiTheme="minorBidi" w:hAnsiTheme="minorBidi"/>
          <w:sz w:val="18"/>
          <w:szCs w:val="18"/>
          <w:rtl/>
        </w:rPr>
        <w:t>, או שיברור דיין הגון</w:t>
      </w:r>
      <w:r w:rsidR="00EC0A5E">
        <w:rPr>
          <w:rStyle w:val="ab"/>
          <w:rFonts w:asciiTheme="minorBidi" w:hAnsiTheme="minorBidi"/>
          <w:sz w:val="18"/>
          <w:szCs w:val="18"/>
          <w:rtl/>
        </w:rPr>
        <w:footnoteReference w:id="693"/>
      </w:r>
      <w:r w:rsidRPr="0028523B">
        <w:rPr>
          <w:rFonts w:asciiTheme="minorBidi" w:hAnsiTheme="minorBidi"/>
          <w:sz w:val="18"/>
          <w:szCs w:val="18"/>
          <w:rtl/>
        </w:rPr>
        <w:t xml:space="preserve"> (טור). ואם השנים הבוררים יכולים להשוות עצמן, יש אומרים דאין צריכין לברור שלישי</w:t>
      </w:r>
      <w:r w:rsidR="00EC0A5E">
        <w:rPr>
          <w:rStyle w:val="ab"/>
          <w:rFonts w:asciiTheme="minorBidi" w:hAnsiTheme="minorBidi"/>
          <w:sz w:val="18"/>
          <w:szCs w:val="18"/>
          <w:rtl/>
        </w:rPr>
        <w:footnoteReference w:id="694"/>
      </w:r>
      <w:r w:rsidRPr="0028523B">
        <w:rPr>
          <w:rFonts w:asciiTheme="minorBidi" w:hAnsiTheme="minorBidi"/>
          <w:sz w:val="18"/>
          <w:szCs w:val="18"/>
          <w:rtl/>
        </w:rPr>
        <w:t xml:space="preserve"> (מהרי"ו סי' יא). ויש אומרים דאם הנתבע</w:t>
      </w:r>
      <w:r w:rsidR="00EC0A5E">
        <w:rPr>
          <w:rStyle w:val="ab"/>
          <w:rFonts w:asciiTheme="minorBidi" w:hAnsiTheme="minorBidi"/>
          <w:sz w:val="18"/>
          <w:szCs w:val="18"/>
          <w:rtl/>
        </w:rPr>
        <w:footnoteReference w:id="695"/>
      </w:r>
      <w:r w:rsidRPr="0028523B">
        <w:rPr>
          <w:rFonts w:asciiTheme="minorBidi" w:hAnsiTheme="minorBidi"/>
          <w:sz w:val="18"/>
          <w:szCs w:val="18"/>
          <w:rtl/>
        </w:rPr>
        <w:t xml:space="preserve"> אומר שהוא יברור שנים והתובע גם כן שנים, והם יבררו חמישי, הרשות בידו, דכל זמן שהדיינים רבים יותר יוצא הדין לאמתו</w:t>
      </w:r>
      <w:r w:rsidR="0028523B">
        <w:rPr>
          <w:rStyle w:val="ab"/>
          <w:rFonts w:asciiTheme="minorBidi" w:hAnsiTheme="minorBidi"/>
          <w:sz w:val="18"/>
          <w:szCs w:val="18"/>
          <w:rtl/>
        </w:rPr>
        <w:footnoteReference w:id="696"/>
      </w:r>
      <w:r w:rsidRPr="0028523B">
        <w:rPr>
          <w:rFonts w:asciiTheme="minorBidi" w:hAnsiTheme="minorBidi"/>
          <w:sz w:val="18"/>
          <w:szCs w:val="18"/>
          <w:rtl/>
        </w:rPr>
        <w:t xml:space="preserve"> (רמב"ן </w:t>
      </w:r>
      <w:r w:rsidR="0028523B">
        <w:rPr>
          <w:rFonts w:asciiTheme="minorBidi" w:hAnsiTheme="minorBidi" w:hint="cs"/>
          <w:sz w:val="18"/>
          <w:szCs w:val="18"/>
          <w:rtl/>
        </w:rPr>
        <w:t>דברים א יב</w:t>
      </w:r>
      <w:r w:rsidRPr="0028523B">
        <w:rPr>
          <w:rFonts w:asciiTheme="minorBidi" w:hAnsiTheme="minorBidi"/>
          <w:sz w:val="18"/>
          <w:szCs w:val="18"/>
          <w:rtl/>
        </w:rPr>
        <w:t xml:space="preserve">). </w:t>
      </w:r>
    </w:p>
    <w:p w14:paraId="4B73E843" w14:textId="77777777" w:rsidR="00AE48C5" w:rsidRPr="00576D5C" w:rsidRDefault="00AE48C5" w:rsidP="00576D5C">
      <w:pPr>
        <w:rPr>
          <w:rFonts w:asciiTheme="minorBidi" w:hAnsiTheme="minorBidi"/>
          <w:rtl/>
        </w:rPr>
      </w:pPr>
    </w:p>
    <w:p w14:paraId="38A23698" w14:textId="77777777" w:rsidR="00AE48C5" w:rsidRPr="007458ED" w:rsidRDefault="00E137BC" w:rsidP="007458ED">
      <w:pPr>
        <w:pStyle w:val="2"/>
        <w:rPr>
          <w:rtl/>
        </w:rPr>
      </w:pPr>
      <w:bookmarkStart w:id="111" w:name="_Toc24883597"/>
      <w:r w:rsidRPr="00576D5C">
        <w:rPr>
          <w:rtl/>
        </w:rPr>
        <w:t>סעיף ב</w:t>
      </w:r>
      <w:r w:rsidR="00AE48C5">
        <w:rPr>
          <w:rFonts w:hint="cs"/>
          <w:rtl/>
        </w:rPr>
        <w:t>:</w:t>
      </w:r>
      <w:r w:rsidR="00EC0A5E">
        <w:rPr>
          <w:rFonts w:hint="cs"/>
          <w:rtl/>
        </w:rPr>
        <w:t xml:space="preserve"> </w:t>
      </w:r>
      <w:r w:rsidR="005F6AA9">
        <w:rPr>
          <w:rFonts w:hint="cs"/>
          <w:rtl/>
        </w:rPr>
        <w:t>שטרי בירורין</w:t>
      </w:r>
      <w:r w:rsidR="00EC0A5E">
        <w:rPr>
          <w:rFonts w:hint="cs"/>
          <w:rtl/>
        </w:rPr>
        <w:t>.</w:t>
      </w:r>
      <w:bookmarkEnd w:id="111"/>
      <w:r w:rsidR="00AE48C5" w:rsidRPr="00AE48C5">
        <w:rPr>
          <w:rFonts w:cs="Arial"/>
          <w:rtl/>
        </w:rPr>
        <w:t xml:space="preserve"> </w:t>
      </w:r>
    </w:p>
    <w:p w14:paraId="42154068" w14:textId="77777777" w:rsidR="00710BD6" w:rsidRDefault="0085789D" w:rsidP="005F6AA9">
      <w:pPr>
        <w:rPr>
          <w:rFonts w:cs="Arial"/>
          <w:rtl/>
        </w:rPr>
      </w:pPr>
      <w:r>
        <w:rPr>
          <w:rFonts w:cs="Arial" w:hint="cs"/>
          <w:b/>
          <w:bCs/>
          <w:rtl/>
        </w:rPr>
        <w:t xml:space="preserve">בבא מציעא </w:t>
      </w:r>
      <w:r w:rsidR="006322CF">
        <w:rPr>
          <w:rFonts w:cs="Arial" w:hint="cs"/>
          <w:b/>
          <w:bCs/>
          <w:sz w:val="16"/>
          <w:szCs w:val="16"/>
          <w:rtl/>
        </w:rPr>
        <w:t xml:space="preserve">(פ"ק) </w:t>
      </w:r>
      <w:r>
        <w:rPr>
          <w:rFonts w:cs="Arial" w:hint="cs"/>
          <w:b/>
          <w:bCs/>
          <w:rtl/>
        </w:rPr>
        <w:t>כ</w:t>
      </w:r>
      <w:r w:rsidR="00E55FB6">
        <w:rPr>
          <w:rStyle w:val="ab"/>
          <w:rFonts w:cs="Arial"/>
          <w:b/>
          <w:bCs/>
          <w:rtl/>
        </w:rPr>
        <w:footnoteReference w:id="697"/>
      </w:r>
      <w:r>
        <w:rPr>
          <w:rFonts w:cs="Arial" w:hint="cs"/>
          <w:b/>
          <w:bCs/>
          <w:rtl/>
        </w:rPr>
        <w:t xml:space="preserve"> ע"א: </w:t>
      </w:r>
      <w:r w:rsidRPr="0085789D">
        <w:rPr>
          <w:rFonts w:cs="Arial"/>
          <w:u w:val="double"/>
          <w:rtl/>
        </w:rPr>
        <w:t>משנה</w:t>
      </w:r>
      <w:r>
        <w:rPr>
          <w:rFonts w:cs="Arial" w:hint="cs"/>
          <w:rtl/>
        </w:rPr>
        <w:t>:</w:t>
      </w:r>
      <w:r w:rsidRPr="0085789D">
        <w:rPr>
          <w:rFonts w:cs="Arial"/>
          <w:rtl/>
        </w:rPr>
        <w:t xml:space="preserve"> מצא איגרות שום ואיגרות מזון, שטרי חליצה ומיאונין, ושטרי בירורין וכל מעשה בית דין - הרי זה יחזיר.</w:t>
      </w:r>
      <w:r>
        <w:rPr>
          <w:rFonts w:cs="Arial" w:hint="cs"/>
          <w:rtl/>
        </w:rPr>
        <w:t>..</w:t>
      </w:r>
      <w:r w:rsidRPr="0085789D">
        <w:rPr>
          <w:rFonts w:cs="Arial"/>
          <w:rtl/>
        </w:rPr>
        <w:t xml:space="preserve"> </w:t>
      </w:r>
      <w:r>
        <w:rPr>
          <w:rFonts w:cs="Arial" w:hint="cs"/>
          <w:rtl/>
        </w:rPr>
        <w:t xml:space="preserve">   </w:t>
      </w:r>
      <w:r w:rsidRPr="0085789D">
        <w:rPr>
          <w:rFonts w:cs="Arial"/>
          <w:u w:val="double"/>
          <w:rtl/>
        </w:rPr>
        <w:t>גמרא</w:t>
      </w:r>
      <w:r>
        <w:rPr>
          <w:rFonts w:cs="Arial" w:hint="cs"/>
          <w:rtl/>
        </w:rPr>
        <w:t>:</w:t>
      </w:r>
      <w:r w:rsidRPr="0085789D">
        <w:rPr>
          <w:rFonts w:cs="Arial"/>
          <w:rtl/>
        </w:rPr>
        <w:t xml:space="preserve"> מאי שטרי בירורין? </w:t>
      </w:r>
      <w:r w:rsidRPr="0085789D">
        <w:rPr>
          <w:rFonts w:cs="Arial"/>
          <w:u w:val="single"/>
          <w:rtl/>
        </w:rPr>
        <w:t>הכא תרגמו</w:t>
      </w:r>
      <w:r w:rsidRPr="0085789D">
        <w:rPr>
          <w:rFonts w:cs="Arial"/>
          <w:rtl/>
        </w:rPr>
        <w:t xml:space="preserve">: שטרי טענתא, </w:t>
      </w:r>
      <w:r w:rsidRPr="0085789D">
        <w:rPr>
          <w:rFonts w:cs="Arial"/>
          <w:u w:val="single"/>
          <w:rtl/>
        </w:rPr>
        <w:t>רבי ירמיה אמר</w:t>
      </w:r>
      <w:r w:rsidRPr="0085789D">
        <w:rPr>
          <w:rFonts w:cs="Arial"/>
          <w:rtl/>
        </w:rPr>
        <w:t>: זה בורר לו אחד וזה בורר לו אחד.</w:t>
      </w:r>
      <w:r w:rsidRPr="00710BD6">
        <w:rPr>
          <w:rFonts w:cs="Arial"/>
          <w:sz w:val="16"/>
          <w:szCs w:val="16"/>
          <w:rtl/>
        </w:rPr>
        <w:t xml:space="preserve"> </w:t>
      </w:r>
      <w:r w:rsidR="00710BD6">
        <w:rPr>
          <w:rFonts w:cs="Arial" w:hint="cs"/>
          <w:sz w:val="16"/>
          <w:szCs w:val="16"/>
          <w:rtl/>
        </w:rPr>
        <w:t xml:space="preserve">(ופירש"י- </w:t>
      </w:r>
      <w:r w:rsidR="00710BD6" w:rsidRPr="00710BD6">
        <w:rPr>
          <w:rFonts w:cs="Arial"/>
          <w:sz w:val="16"/>
          <w:szCs w:val="16"/>
          <w:rtl/>
        </w:rPr>
        <w:t>כשבוררין להן דיינין כותבין להן זה בירר לו את פלוני, וזה בירר לו את פלוני, שלא יוכלו לחזור בהן</w:t>
      </w:r>
      <w:r w:rsidR="00710BD6">
        <w:rPr>
          <w:rFonts w:cs="Arial" w:hint="cs"/>
          <w:sz w:val="16"/>
          <w:szCs w:val="16"/>
          <w:rtl/>
        </w:rPr>
        <w:t>. עכ"ל</w:t>
      </w:r>
      <w:r w:rsidR="00710BD6" w:rsidRPr="00710BD6">
        <w:rPr>
          <w:rFonts w:cs="Arial"/>
          <w:sz w:val="16"/>
          <w:szCs w:val="16"/>
          <w:rtl/>
        </w:rPr>
        <w:t xml:space="preserve">. </w:t>
      </w:r>
      <w:r w:rsidR="00710BD6" w:rsidRPr="00710BD6">
        <w:rPr>
          <w:rFonts w:cs="Arial" w:hint="cs"/>
          <w:sz w:val="16"/>
          <w:szCs w:val="16"/>
          <w:rtl/>
        </w:rPr>
        <w:t>וכתב ה</w:t>
      </w:r>
      <w:r w:rsidR="00710BD6" w:rsidRPr="00710BD6">
        <w:rPr>
          <w:rFonts w:cs="Arial"/>
          <w:sz w:val="16"/>
          <w:szCs w:val="16"/>
          <w:rtl/>
        </w:rPr>
        <w:t xml:space="preserve">רא"ש (סי' נב) זה בורר לו אחד וכו' שבעוד שלא נכתב יכול כל אחד מהם לחזור בעוד שלא התחילו לטעון ולומר </w:t>
      </w:r>
      <w:r w:rsidR="001F66B7">
        <w:rPr>
          <w:rFonts w:cs="Arial" w:hint="cs"/>
          <w:sz w:val="16"/>
          <w:szCs w:val="16"/>
          <w:rtl/>
        </w:rPr>
        <w:t>'</w:t>
      </w:r>
      <w:r w:rsidR="00710BD6" w:rsidRPr="00710BD6">
        <w:rPr>
          <w:rFonts w:cs="Arial"/>
          <w:sz w:val="16"/>
          <w:szCs w:val="16"/>
          <w:rtl/>
        </w:rPr>
        <w:t>אני רוצה לברר אחר</w:t>
      </w:r>
      <w:r w:rsidR="001F66B7">
        <w:rPr>
          <w:rFonts w:cs="Arial" w:hint="cs"/>
          <w:sz w:val="16"/>
          <w:szCs w:val="16"/>
          <w:rtl/>
        </w:rPr>
        <w:t>',</w:t>
      </w:r>
      <w:r w:rsidR="00710BD6" w:rsidRPr="00710BD6">
        <w:rPr>
          <w:rFonts w:cs="Arial"/>
          <w:sz w:val="16"/>
          <w:szCs w:val="16"/>
          <w:rtl/>
        </w:rPr>
        <w:t xml:space="preserve"> ושמא נתכוין לדחות הדין</w:t>
      </w:r>
      <w:r w:rsidR="001F66B7">
        <w:rPr>
          <w:rFonts w:cs="Arial" w:hint="cs"/>
          <w:sz w:val="16"/>
          <w:szCs w:val="16"/>
          <w:rtl/>
        </w:rPr>
        <w:t xml:space="preserve">, </w:t>
      </w:r>
      <w:r w:rsidR="00710BD6" w:rsidRPr="00710BD6">
        <w:rPr>
          <w:rFonts w:cs="Arial"/>
          <w:sz w:val="16"/>
          <w:szCs w:val="16"/>
          <w:rtl/>
        </w:rPr>
        <w:t>לכך כותבין פלוני בירר לפלוני ופלוני לפלוני ושוב אין יכולין לחזור בהם</w:t>
      </w:r>
      <w:r w:rsidR="007458ED" w:rsidRPr="007458ED">
        <w:rPr>
          <w:rStyle w:val="ab"/>
          <w:rFonts w:cs="Arial"/>
          <w:sz w:val="16"/>
          <w:szCs w:val="16"/>
          <w:rtl/>
        </w:rPr>
        <w:footnoteReference w:id="698"/>
      </w:r>
      <w:r w:rsidR="005F6AA9">
        <w:rPr>
          <w:rFonts w:cs="Arial" w:hint="cs"/>
          <w:sz w:val="16"/>
          <w:szCs w:val="16"/>
          <w:rtl/>
        </w:rPr>
        <w:t>. עכ"ל. וכתב ה</w:t>
      </w:r>
      <w:r w:rsidR="005F6AA9" w:rsidRPr="005F6AA9">
        <w:rPr>
          <w:rFonts w:cs="Arial"/>
          <w:sz w:val="16"/>
          <w:szCs w:val="16"/>
          <w:rtl/>
        </w:rPr>
        <w:t>נמוק</w:t>
      </w:r>
      <w:r w:rsidR="005F6AA9">
        <w:rPr>
          <w:rFonts w:cs="Arial" w:hint="cs"/>
          <w:sz w:val="16"/>
          <w:szCs w:val="16"/>
          <w:rtl/>
        </w:rPr>
        <w:t>"</w:t>
      </w:r>
      <w:r w:rsidR="005F6AA9" w:rsidRPr="005F6AA9">
        <w:rPr>
          <w:rFonts w:cs="Arial"/>
          <w:sz w:val="16"/>
          <w:szCs w:val="16"/>
          <w:rtl/>
        </w:rPr>
        <w:t>י (עח</w:t>
      </w:r>
      <w:r w:rsidR="005F6AA9" w:rsidRPr="005F6AA9">
        <w:rPr>
          <w:rFonts w:cs="Arial" w:hint="cs"/>
          <w:sz w:val="16"/>
          <w:szCs w:val="16"/>
          <w:rtl/>
        </w:rPr>
        <w:t>.</w:t>
      </w:r>
      <w:r w:rsidR="005F6AA9" w:rsidRPr="005F6AA9">
        <w:rPr>
          <w:rFonts w:cs="Arial"/>
          <w:sz w:val="16"/>
          <w:szCs w:val="16"/>
          <w:rtl/>
        </w:rPr>
        <w:t xml:space="preserve">) </w:t>
      </w:r>
      <w:r w:rsidR="005F6AA9">
        <w:rPr>
          <w:rFonts w:cs="Arial" w:hint="cs"/>
          <w:sz w:val="16"/>
          <w:szCs w:val="16"/>
          <w:rtl/>
        </w:rPr>
        <w:t>דגם ב</w:t>
      </w:r>
      <w:r w:rsidR="005F6AA9" w:rsidRPr="005F6AA9">
        <w:rPr>
          <w:rFonts w:cs="Arial"/>
          <w:sz w:val="16"/>
          <w:szCs w:val="16"/>
          <w:rtl/>
        </w:rPr>
        <w:t xml:space="preserve">שטרי טענתא </w:t>
      </w:r>
      <w:r w:rsidR="005F6AA9">
        <w:rPr>
          <w:rFonts w:cs="Arial" w:hint="cs"/>
          <w:sz w:val="16"/>
          <w:szCs w:val="16"/>
          <w:rtl/>
        </w:rPr>
        <w:t xml:space="preserve">וגם בזה בורר וכו' </w:t>
      </w:r>
      <w:r w:rsidR="005F6AA9" w:rsidRPr="005F6AA9">
        <w:rPr>
          <w:rFonts w:cs="Arial"/>
          <w:sz w:val="16"/>
          <w:szCs w:val="16"/>
          <w:rtl/>
        </w:rPr>
        <w:t>לאחר כתיבה אינו יכול לחזור ולטעון ואפילו בנותן אמתלאה ואפילו לא הוכחש בעדים</w:t>
      </w:r>
      <w:r w:rsidR="00710BD6" w:rsidRPr="00710BD6">
        <w:rPr>
          <w:rFonts w:cs="Arial" w:hint="cs"/>
          <w:sz w:val="16"/>
          <w:szCs w:val="16"/>
          <w:rtl/>
        </w:rPr>
        <w:t>)</w:t>
      </w:r>
    </w:p>
    <w:p w14:paraId="4454B1CB" w14:textId="77777777" w:rsidR="007458ED" w:rsidRPr="002D4586" w:rsidRDefault="007458ED" w:rsidP="007458ED">
      <w:pPr>
        <w:rPr>
          <w:rFonts w:cs="Arial"/>
          <w:sz w:val="16"/>
          <w:szCs w:val="16"/>
          <w:rtl/>
        </w:rPr>
      </w:pPr>
      <w:r w:rsidRPr="0085789D">
        <w:rPr>
          <w:rFonts w:cs="Arial" w:hint="cs"/>
          <w:b/>
          <w:bCs/>
          <w:rtl/>
        </w:rPr>
        <w:t xml:space="preserve">בבא בתרא </w:t>
      </w:r>
      <w:r w:rsidRPr="0085789D">
        <w:rPr>
          <w:rFonts w:cs="Arial" w:hint="cs"/>
          <w:b/>
          <w:bCs/>
          <w:sz w:val="16"/>
          <w:szCs w:val="16"/>
          <w:rtl/>
        </w:rPr>
        <w:t>(פ'</w:t>
      </w:r>
      <w:r w:rsidRPr="0085789D">
        <w:rPr>
          <w:rFonts w:cs="Arial"/>
          <w:b/>
          <w:bCs/>
          <w:sz w:val="16"/>
          <w:szCs w:val="16"/>
          <w:rtl/>
        </w:rPr>
        <w:t xml:space="preserve"> גט פשוט</w:t>
      </w:r>
      <w:r w:rsidRPr="0085789D">
        <w:rPr>
          <w:rFonts w:cs="Arial" w:hint="cs"/>
          <w:b/>
          <w:bCs/>
          <w:sz w:val="16"/>
          <w:szCs w:val="16"/>
          <w:rtl/>
        </w:rPr>
        <w:t>)</w:t>
      </w:r>
      <w:r w:rsidRPr="0085789D">
        <w:rPr>
          <w:rFonts w:cs="Arial"/>
          <w:b/>
          <w:bCs/>
          <w:sz w:val="16"/>
          <w:szCs w:val="16"/>
          <w:rtl/>
        </w:rPr>
        <w:t xml:space="preserve"> </w:t>
      </w:r>
      <w:r w:rsidRPr="0085789D">
        <w:rPr>
          <w:rFonts w:cs="Arial"/>
          <w:b/>
          <w:bCs/>
          <w:rtl/>
        </w:rPr>
        <w:t>קסז</w:t>
      </w:r>
      <w:r w:rsidR="00191261">
        <w:rPr>
          <w:rStyle w:val="ab"/>
          <w:rFonts w:cs="Arial"/>
          <w:b/>
          <w:bCs/>
          <w:rtl/>
        </w:rPr>
        <w:footnoteReference w:id="699"/>
      </w:r>
      <w:r w:rsidRPr="0085789D">
        <w:rPr>
          <w:rFonts w:cs="Arial" w:hint="cs"/>
          <w:b/>
          <w:bCs/>
          <w:rtl/>
        </w:rPr>
        <w:t xml:space="preserve"> ע"</w:t>
      </w:r>
      <w:r>
        <w:rPr>
          <w:rFonts w:cs="Arial" w:hint="cs"/>
          <w:b/>
          <w:bCs/>
          <w:rtl/>
        </w:rPr>
        <w:t>א</w:t>
      </w:r>
      <w:r w:rsidRPr="0085789D">
        <w:rPr>
          <w:rFonts w:cs="Arial"/>
          <w:b/>
          <w:bCs/>
          <w:rtl/>
        </w:rPr>
        <w:t>:</w:t>
      </w:r>
      <w:r w:rsidRPr="0085789D">
        <w:rPr>
          <w:rFonts w:cs="Arial" w:hint="cs"/>
          <w:b/>
          <w:bCs/>
          <w:rtl/>
        </w:rPr>
        <w:t xml:space="preserve"> </w:t>
      </w:r>
      <w:r w:rsidRPr="002D4586">
        <w:rPr>
          <w:rFonts w:cs="Arial" w:hint="cs"/>
          <w:u w:val="double"/>
          <w:rtl/>
        </w:rPr>
        <w:t>מתני':</w:t>
      </w:r>
      <w:r w:rsidR="00B43C87">
        <w:rPr>
          <w:rFonts w:cs="Arial" w:hint="cs"/>
          <w:rtl/>
        </w:rPr>
        <w:t xml:space="preserve"> כותבין גט</w:t>
      </w:r>
      <w:r w:rsidRPr="002D4586">
        <w:rPr>
          <w:rFonts w:cs="Arial" w:hint="cs"/>
          <w:rtl/>
        </w:rPr>
        <w:t>...</w:t>
      </w:r>
      <w:r>
        <w:rPr>
          <w:rFonts w:cs="Arial" w:hint="cs"/>
          <w:sz w:val="14"/>
          <w:szCs w:val="14"/>
          <w:rtl/>
        </w:rPr>
        <w:t xml:space="preserve"> (קסז:)</w:t>
      </w:r>
      <w:r>
        <w:rPr>
          <w:rFonts w:cs="Arial" w:hint="cs"/>
          <w:b/>
          <w:bCs/>
          <w:rtl/>
        </w:rPr>
        <w:t xml:space="preserve"> </w:t>
      </w:r>
      <w:r w:rsidRPr="0085789D">
        <w:rPr>
          <w:rFonts w:cs="Arial"/>
          <w:rtl/>
        </w:rPr>
        <w:t>אין כותבין שטרי בירורין וכל מעשה ב"ד אלא מדעת שניהם, ושניהם נותנין שכר</w:t>
      </w:r>
      <w:r>
        <w:rPr>
          <w:rFonts w:cs="Arial" w:hint="cs"/>
          <w:rtl/>
        </w:rPr>
        <w:t>..</w:t>
      </w:r>
      <w:r w:rsidRPr="0085789D">
        <w:rPr>
          <w:rFonts w:cs="Arial"/>
          <w:rtl/>
        </w:rPr>
        <w:t xml:space="preserve">. </w:t>
      </w:r>
      <w:r w:rsidR="006322CF" w:rsidRPr="0085789D">
        <w:rPr>
          <w:rFonts w:cs="Arial"/>
          <w:u w:val="double"/>
          <w:rtl/>
        </w:rPr>
        <w:t>גמרא</w:t>
      </w:r>
      <w:r w:rsidR="006322CF" w:rsidRPr="006322CF">
        <w:rPr>
          <w:rFonts w:cs="Arial" w:hint="cs"/>
          <w:sz w:val="16"/>
          <w:szCs w:val="16"/>
          <w:u w:val="double"/>
          <w:rtl/>
        </w:rPr>
        <w:t xml:space="preserve"> </w:t>
      </w:r>
      <w:r w:rsidR="006322CF" w:rsidRPr="006322CF">
        <w:rPr>
          <w:rFonts w:cs="Arial" w:hint="cs"/>
          <w:sz w:val="14"/>
          <w:szCs w:val="14"/>
          <w:u w:val="double"/>
          <w:rtl/>
        </w:rPr>
        <w:t>(קסח.)</w:t>
      </w:r>
      <w:r w:rsidR="006322CF" w:rsidRPr="006322CF">
        <w:rPr>
          <w:rFonts w:cs="Arial" w:hint="cs"/>
          <w:u w:val="double"/>
          <w:rtl/>
        </w:rPr>
        <w:t>:</w:t>
      </w:r>
      <w:r w:rsidR="006322CF" w:rsidRPr="0085789D">
        <w:rPr>
          <w:rFonts w:cs="Arial"/>
          <w:rtl/>
        </w:rPr>
        <w:t xml:space="preserve"> מאי שטרי בירורין? </w:t>
      </w:r>
      <w:r w:rsidR="006322CF" w:rsidRPr="0085789D">
        <w:rPr>
          <w:rFonts w:cs="Arial"/>
          <w:u w:val="single"/>
          <w:rtl/>
        </w:rPr>
        <w:t>הכא תרג</w:t>
      </w:r>
      <w:r w:rsidR="00191261">
        <w:rPr>
          <w:rFonts w:cs="Arial" w:hint="cs"/>
          <w:u w:val="single"/>
          <w:rtl/>
        </w:rPr>
        <w:t>י</w:t>
      </w:r>
      <w:r w:rsidR="006322CF" w:rsidRPr="0085789D">
        <w:rPr>
          <w:rFonts w:cs="Arial"/>
          <w:u w:val="single"/>
          <w:rtl/>
        </w:rPr>
        <w:t>מו</w:t>
      </w:r>
      <w:r w:rsidR="006322CF" w:rsidRPr="0085789D">
        <w:rPr>
          <w:rFonts w:cs="Arial"/>
          <w:rtl/>
        </w:rPr>
        <w:t xml:space="preserve">: שטרי טענתא, </w:t>
      </w:r>
      <w:r w:rsidR="006322CF" w:rsidRPr="0085789D">
        <w:rPr>
          <w:rFonts w:cs="Arial"/>
          <w:u w:val="single"/>
          <w:rtl/>
        </w:rPr>
        <w:t>רבי ירמיה</w:t>
      </w:r>
      <w:r w:rsidR="00191261">
        <w:rPr>
          <w:rFonts w:cs="Arial" w:hint="cs"/>
          <w:u w:val="single"/>
          <w:rtl/>
        </w:rPr>
        <w:t xml:space="preserve"> בר אבא</w:t>
      </w:r>
      <w:r w:rsidR="006322CF" w:rsidRPr="0085789D">
        <w:rPr>
          <w:rFonts w:cs="Arial"/>
          <w:u w:val="single"/>
          <w:rtl/>
        </w:rPr>
        <w:t xml:space="preserve"> אמר</w:t>
      </w:r>
      <w:r w:rsidR="006322CF" w:rsidRPr="0085789D">
        <w:rPr>
          <w:rFonts w:cs="Arial"/>
          <w:rtl/>
        </w:rPr>
        <w:t>: זה בורר לו אחד וזה בורר לו אחד.</w:t>
      </w:r>
    </w:p>
    <w:p w14:paraId="003594B0" w14:textId="77777777" w:rsidR="007458ED" w:rsidRDefault="007458ED" w:rsidP="005F6AA9">
      <w:pPr>
        <w:rPr>
          <w:rFonts w:cs="Arial"/>
          <w:rtl/>
        </w:rPr>
      </w:pPr>
      <w:r w:rsidRPr="007458ED">
        <w:rPr>
          <w:rFonts w:cs="Arial" w:hint="cs"/>
          <w:u w:val="single"/>
          <w:rtl/>
        </w:rPr>
        <w:t>כתיבת שטרי בירורין:</w:t>
      </w:r>
    </w:p>
    <w:p w14:paraId="2295D28C" w14:textId="77777777" w:rsidR="007458ED" w:rsidRPr="007458ED" w:rsidRDefault="007458ED" w:rsidP="00C704CB">
      <w:pPr>
        <w:pStyle w:val="ac"/>
        <w:numPr>
          <w:ilvl w:val="0"/>
          <w:numId w:val="9"/>
        </w:numPr>
        <w:rPr>
          <w:rFonts w:cs="Arial"/>
          <w:rtl/>
        </w:rPr>
      </w:pPr>
      <w:r w:rsidRPr="007458ED">
        <w:rPr>
          <w:rFonts w:cs="Arial" w:hint="cs"/>
          <w:rtl/>
        </w:rPr>
        <w:t xml:space="preserve">טור- </w:t>
      </w:r>
      <w:r w:rsidRPr="007458ED">
        <w:rPr>
          <w:rFonts w:cs="Arial"/>
          <w:rtl/>
        </w:rPr>
        <w:t xml:space="preserve">כותבים </w:t>
      </w:r>
      <w:r w:rsidR="00191261">
        <w:rPr>
          <w:rFonts w:cs="Arial" w:hint="cs"/>
          <w:rtl/>
        </w:rPr>
        <w:t>'</w:t>
      </w:r>
      <w:r w:rsidRPr="007458ED">
        <w:rPr>
          <w:rFonts w:cs="Arial"/>
          <w:rtl/>
        </w:rPr>
        <w:t>פלוני בירר לפלוני ופלוני לפלוני</w:t>
      </w:r>
      <w:r w:rsidR="00191261">
        <w:rPr>
          <w:rFonts w:cs="Arial" w:hint="cs"/>
          <w:rtl/>
        </w:rPr>
        <w:t>',</w:t>
      </w:r>
      <w:r w:rsidRPr="007458ED">
        <w:rPr>
          <w:rFonts w:cs="Arial"/>
          <w:rtl/>
        </w:rPr>
        <w:t xml:space="preserve"> שכל זמן שלא כתבו יכולין לחזור בהן ומשכתבו אין יכולין לחזור בהן</w:t>
      </w:r>
      <w:r w:rsidRPr="007458ED">
        <w:rPr>
          <w:rFonts w:cs="Arial" w:hint="cs"/>
          <w:rtl/>
        </w:rPr>
        <w:t>.</w:t>
      </w:r>
      <w:r w:rsidRPr="007458ED">
        <w:rPr>
          <w:rFonts w:cs="Arial"/>
          <w:rtl/>
        </w:rPr>
        <w:t xml:space="preserve"> הילכך</w:t>
      </w:r>
      <w:r>
        <w:rPr>
          <w:rStyle w:val="ab"/>
          <w:rFonts w:cs="Arial"/>
          <w:rtl/>
        </w:rPr>
        <w:footnoteReference w:id="700"/>
      </w:r>
      <w:r w:rsidRPr="007458ED">
        <w:rPr>
          <w:rFonts w:cs="Arial"/>
          <w:rtl/>
        </w:rPr>
        <w:t xml:space="preserve"> אין כותבין</w:t>
      </w:r>
      <w:r w:rsidRPr="007458ED">
        <w:rPr>
          <w:rStyle w:val="ab"/>
          <w:rFonts w:cs="Arial"/>
          <w:rtl/>
        </w:rPr>
        <w:footnoteReference w:id="701"/>
      </w:r>
      <w:r w:rsidRPr="007458ED">
        <w:rPr>
          <w:rFonts w:cs="Arial"/>
          <w:rtl/>
        </w:rPr>
        <w:t xml:space="preserve"> אלא מדעת שניהם</w:t>
      </w:r>
      <w:r w:rsidR="00191261">
        <w:rPr>
          <w:rFonts w:cs="Arial" w:hint="cs"/>
          <w:rtl/>
        </w:rPr>
        <w:t>,</w:t>
      </w:r>
      <w:r w:rsidRPr="007458ED">
        <w:rPr>
          <w:rFonts w:cs="Arial"/>
          <w:rtl/>
        </w:rPr>
        <w:t xml:space="preserve"> ושניהם נותנין שכר הסופר</w:t>
      </w:r>
      <w:r w:rsidR="00191261">
        <w:rPr>
          <w:rFonts w:cs="Arial" w:hint="cs"/>
          <w:rtl/>
        </w:rPr>
        <w:t>,</w:t>
      </w:r>
      <w:r w:rsidRPr="007458ED">
        <w:rPr>
          <w:rFonts w:cs="Arial"/>
          <w:rtl/>
        </w:rPr>
        <w:t xml:space="preserve"> וטוענין לפניהם</w:t>
      </w:r>
      <w:r w:rsidRPr="007458ED">
        <w:rPr>
          <w:rFonts w:cs="Arial" w:hint="cs"/>
          <w:rtl/>
        </w:rPr>
        <w:t>.</w:t>
      </w:r>
      <w:r w:rsidRPr="007458ED">
        <w:rPr>
          <w:rFonts w:cs="Arial" w:hint="cs"/>
          <w:color w:val="E36C0A" w:themeColor="accent6" w:themeShade="BF"/>
          <w:rtl/>
        </w:rPr>
        <w:t xml:space="preserve"> </w:t>
      </w:r>
      <w:r>
        <w:rPr>
          <w:rFonts w:cs="Arial" w:hint="cs"/>
          <w:color w:val="E36C0A" w:themeColor="accent6" w:themeShade="BF"/>
          <w:rtl/>
        </w:rPr>
        <w:t>(</w:t>
      </w:r>
      <w:r w:rsidRPr="007458ED">
        <w:rPr>
          <w:rFonts w:cs="Arial" w:hint="cs"/>
          <w:color w:val="E36C0A" w:themeColor="accent6" w:themeShade="BF"/>
          <w:rtl/>
        </w:rPr>
        <w:t>וכ"פ בשו"ע</w:t>
      </w:r>
      <w:r>
        <w:rPr>
          <w:rFonts w:cs="Arial" w:hint="cs"/>
          <w:color w:val="E36C0A" w:themeColor="accent6" w:themeShade="BF"/>
          <w:rtl/>
        </w:rPr>
        <w:t>)</w:t>
      </w:r>
    </w:p>
    <w:p w14:paraId="68BAF796" w14:textId="77777777" w:rsidR="002D4586" w:rsidRPr="002D4586" w:rsidRDefault="002D4586" w:rsidP="00AE48C5">
      <w:pPr>
        <w:rPr>
          <w:rFonts w:cs="Arial"/>
          <w:u w:val="single"/>
          <w:rtl/>
        </w:rPr>
      </w:pPr>
      <w:r w:rsidRPr="002D4586">
        <w:rPr>
          <w:rFonts w:cs="Arial" w:hint="cs"/>
          <w:u w:val="single"/>
          <w:rtl/>
        </w:rPr>
        <w:t>ב</w:t>
      </w:r>
      <w:r w:rsidR="007D4594">
        <w:rPr>
          <w:rFonts w:cs="Arial" w:hint="cs"/>
          <w:u w:val="single"/>
          <w:rtl/>
        </w:rPr>
        <w:t xml:space="preserve">עלי הדין </w:t>
      </w:r>
      <w:r w:rsidR="00E55FB6">
        <w:rPr>
          <w:rFonts w:cs="Arial" w:hint="cs"/>
          <w:u w:val="single"/>
          <w:rtl/>
        </w:rPr>
        <w:t>ש</w:t>
      </w:r>
      <w:r w:rsidR="007D4594">
        <w:rPr>
          <w:rFonts w:cs="Arial" w:hint="cs"/>
          <w:u w:val="single"/>
          <w:rtl/>
        </w:rPr>
        <w:t>בררו לעצמם אנשים</w:t>
      </w:r>
      <w:r w:rsidRPr="002D4586">
        <w:rPr>
          <w:rFonts w:cs="Arial" w:hint="cs"/>
          <w:u w:val="single"/>
          <w:rtl/>
        </w:rPr>
        <w:t xml:space="preserve"> </w:t>
      </w:r>
      <w:r w:rsidR="007D4594">
        <w:rPr>
          <w:rFonts w:cs="Arial" w:hint="cs"/>
          <w:u w:val="single"/>
          <w:rtl/>
        </w:rPr>
        <w:t xml:space="preserve">אך </w:t>
      </w:r>
      <w:r w:rsidRPr="004357E4">
        <w:rPr>
          <w:rFonts w:cs="Arial" w:hint="cs"/>
          <w:b/>
          <w:bCs/>
          <w:u w:val="single"/>
          <w:rtl/>
        </w:rPr>
        <w:t xml:space="preserve">לא </w:t>
      </w:r>
      <w:r w:rsidRPr="002D4586">
        <w:rPr>
          <w:rFonts w:cs="Arial" w:hint="cs"/>
          <w:u w:val="single"/>
          <w:rtl/>
        </w:rPr>
        <w:t xml:space="preserve">כתבו שטר בירורין </w:t>
      </w:r>
      <w:r w:rsidRPr="002D4586">
        <w:rPr>
          <w:rFonts w:cs="Arial"/>
          <w:u w:val="single"/>
          <w:rtl/>
        </w:rPr>
        <w:t>–</w:t>
      </w:r>
      <w:r w:rsidRPr="002D4586">
        <w:rPr>
          <w:rFonts w:cs="Arial" w:hint="cs"/>
          <w:u w:val="single"/>
          <w:rtl/>
        </w:rPr>
        <w:t xml:space="preserve"> עד מתי יכולים </w:t>
      </w:r>
      <w:r w:rsidR="007D4594" w:rsidRPr="007D4594">
        <w:rPr>
          <w:rFonts w:cs="Arial" w:hint="cs"/>
          <w:sz w:val="16"/>
          <w:szCs w:val="16"/>
          <w:u w:val="single"/>
          <w:rtl/>
        </w:rPr>
        <w:t>(</w:t>
      </w:r>
      <w:r w:rsidRPr="007D4594">
        <w:rPr>
          <w:rFonts w:cs="Arial" w:hint="cs"/>
          <w:sz w:val="16"/>
          <w:szCs w:val="16"/>
          <w:u w:val="single"/>
          <w:rtl/>
        </w:rPr>
        <w:t>בעלי הדין</w:t>
      </w:r>
      <w:r w:rsidR="007D4594">
        <w:rPr>
          <w:rFonts w:cs="Arial" w:hint="cs"/>
          <w:sz w:val="16"/>
          <w:szCs w:val="16"/>
          <w:u w:val="single"/>
          <w:rtl/>
        </w:rPr>
        <w:t>)</w:t>
      </w:r>
      <w:r w:rsidRPr="002D4586">
        <w:rPr>
          <w:rFonts w:cs="Arial" w:hint="cs"/>
          <w:u w:val="single"/>
          <w:rtl/>
        </w:rPr>
        <w:t xml:space="preserve"> לחזור בהם:</w:t>
      </w:r>
    </w:p>
    <w:p w14:paraId="67B91C97" w14:textId="77777777" w:rsidR="0085789D" w:rsidRPr="002D4586" w:rsidRDefault="00191261" w:rsidP="00C704CB">
      <w:pPr>
        <w:pStyle w:val="ac"/>
        <w:numPr>
          <w:ilvl w:val="0"/>
          <w:numId w:val="9"/>
        </w:numPr>
        <w:rPr>
          <w:rFonts w:cs="Arial"/>
          <w:rtl/>
        </w:rPr>
      </w:pPr>
      <w:r>
        <w:rPr>
          <w:rFonts w:cs="Arial" w:hint="cs"/>
          <w:rtl/>
        </w:rPr>
        <w:t xml:space="preserve">רמב"ן </w:t>
      </w:r>
      <w:r w:rsidR="00DC27C9" w:rsidRPr="002D4586">
        <w:rPr>
          <w:rFonts w:cs="Arial"/>
          <w:rtl/>
        </w:rPr>
        <w:t xml:space="preserve">רשב"א </w:t>
      </w:r>
      <w:r>
        <w:rPr>
          <w:rFonts w:cs="Arial" w:hint="cs"/>
          <w:rtl/>
        </w:rPr>
        <w:t xml:space="preserve">ריטב"א </w:t>
      </w:r>
      <w:r w:rsidR="00AE48C5" w:rsidRPr="002D4586">
        <w:rPr>
          <w:rFonts w:cs="Arial"/>
          <w:rtl/>
        </w:rPr>
        <w:t xml:space="preserve">רא"ש </w:t>
      </w:r>
      <w:r w:rsidR="00DC27C9">
        <w:rPr>
          <w:rFonts w:cs="Arial" w:hint="cs"/>
          <w:rtl/>
        </w:rPr>
        <w:t>ו</w:t>
      </w:r>
      <w:r w:rsidR="00DC27C9" w:rsidRPr="002D4586">
        <w:rPr>
          <w:rFonts w:cs="Arial"/>
          <w:rtl/>
        </w:rPr>
        <w:t>ר"ן</w:t>
      </w:r>
      <w:r>
        <w:rPr>
          <w:rStyle w:val="ab"/>
          <w:rFonts w:cs="Arial"/>
          <w:rtl/>
        </w:rPr>
        <w:footnoteReference w:id="702"/>
      </w:r>
      <w:r w:rsidR="007D4594">
        <w:rPr>
          <w:rFonts w:cs="Arial" w:hint="cs"/>
          <w:rtl/>
        </w:rPr>
        <w:t>-</w:t>
      </w:r>
      <w:r w:rsidR="00AE48C5" w:rsidRPr="002D4586">
        <w:rPr>
          <w:rFonts w:cs="Arial"/>
          <w:rtl/>
        </w:rPr>
        <w:t xml:space="preserve"> </w:t>
      </w:r>
      <w:r w:rsidR="00AF500F" w:rsidRPr="002D4586">
        <w:rPr>
          <w:rFonts w:cs="Arial"/>
          <w:rtl/>
        </w:rPr>
        <w:t>משטענו בפניהם אינם יכולים לחזור בהם ואע</w:t>
      </w:r>
      <w:r w:rsidR="00AF500F" w:rsidRPr="002D4586">
        <w:rPr>
          <w:rFonts w:cs="Arial" w:hint="cs"/>
          <w:rtl/>
        </w:rPr>
        <w:t>"</w:t>
      </w:r>
      <w:r w:rsidR="00AF500F" w:rsidRPr="002D4586">
        <w:rPr>
          <w:rFonts w:cs="Arial"/>
          <w:rtl/>
        </w:rPr>
        <w:t>פ שלא קבלו</w:t>
      </w:r>
      <w:r w:rsidR="00AF500F">
        <w:rPr>
          <w:rStyle w:val="ab"/>
          <w:rFonts w:cs="Arial"/>
          <w:rtl/>
        </w:rPr>
        <w:footnoteReference w:id="703"/>
      </w:r>
      <w:r w:rsidR="00AF500F" w:rsidRPr="002D4586">
        <w:rPr>
          <w:rFonts w:cs="Arial"/>
          <w:rtl/>
        </w:rPr>
        <w:t xml:space="preserve"> ולא כתבו</w:t>
      </w:r>
      <w:r w:rsidR="00AF500F">
        <w:rPr>
          <w:rStyle w:val="ab"/>
          <w:rFonts w:cs="Arial"/>
          <w:rtl/>
        </w:rPr>
        <w:footnoteReference w:id="704"/>
      </w:r>
      <w:r w:rsidR="00AF500F">
        <w:rPr>
          <w:rFonts w:cs="Arial" w:hint="cs"/>
          <w:rtl/>
        </w:rPr>
        <w:t>.</w:t>
      </w:r>
      <w:r w:rsidR="00AF500F" w:rsidRPr="002D4586">
        <w:rPr>
          <w:rFonts w:cs="Arial"/>
          <w:rtl/>
        </w:rPr>
        <w:t xml:space="preserve"> </w:t>
      </w:r>
    </w:p>
    <w:p w14:paraId="438ACAA9" w14:textId="77777777" w:rsidR="007D4594" w:rsidRDefault="002D4586" w:rsidP="00C704CB">
      <w:pPr>
        <w:pStyle w:val="ac"/>
        <w:numPr>
          <w:ilvl w:val="0"/>
          <w:numId w:val="9"/>
        </w:numPr>
        <w:rPr>
          <w:rFonts w:cs="Arial"/>
        </w:rPr>
      </w:pPr>
      <w:r w:rsidRPr="002D4586">
        <w:rPr>
          <w:rFonts w:cs="Arial"/>
          <w:rtl/>
        </w:rPr>
        <w:t xml:space="preserve">רי"ף </w:t>
      </w:r>
      <w:r w:rsidR="007D4594" w:rsidRPr="007D4594">
        <w:rPr>
          <w:rFonts w:cs="Arial" w:hint="cs"/>
          <w:sz w:val="16"/>
          <w:szCs w:val="16"/>
          <w:rtl/>
        </w:rPr>
        <w:t>(</w:t>
      </w:r>
      <w:r w:rsidRPr="007D4594">
        <w:rPr>
          <w:rFonts w:cs="Arial"/>
          <w:sz w:val="16"/>
          <w:szCs w:val="16"/>
          <w:rtl/>
        </w:rPr>
        <w:t>בתשו</w:t>
      </w:r>
      <w:r w:rsidR="007D4594" w:rsidRPr="007D4594">
        <w:rPr>
          <w:rFonts w:cs="Arial" w:hint="cs"/>
          <w:sz w:val="16"/>
          <w:szCs w:val="16"/>
          <w:rtl/>
        </w:rPr>
        <w:t>'</w:t>
      </w:r>
      <w:r w:rsidRPr="007D4594">
        <w:rPr>
          <w:rFonts w:cs="Arial"/>
          <w:sz w:val="16"/>
          <w:szCs w:val="16"/>
          <w:rtl/>
        </w:rPr>
        <w:t xml:space="preserve"> הוצ' בילגוריי סי' קמו</w:t>
      </w:r>
      <w:r w:rsidR="007D4594" w:rsidRPr="007D4594">
        <w:rPr>
          <w:rFonts w:cs="Arial" w:hint="cs"/>
          <w:sz w:val="16"/>
          <w:szCs w:val="16"/>
          <w:rtl/>
        </w:rPr>
        <w:t>,</w:t>
      </w:r>
      <w:r w:rsidR="007D4594" w:rsidRPr="007D4594">
        <w:rPr>
          <w:rFonts w:cs="Arial"/>
          <w:sz w:val="16"/>
          <w:szCs w:val="16"/>
          <w:rtl/>
        </w:rPr>
        <w:t xml:space="preserve"> </w:t>
      </w:r>
      <w:r w:rsidR="007D4594" w:rsidRPr="007D4594">
        <w:rPr>
          <w:rFonts w:cs="Arial" w:hint="cs"/>
          <w:sz w:val="16"/>
          <w:szCs w:val="16"/>
          <w:rtl/>
        </w:rPr>
        <w:t>כ"כ בשמו ה</w:t>
      </w:r>
      <w:r w:rsidR="007D4594" w:rsidRPr="007D4594">
        <w:rPr>
          <w:rFonts w:cs="Arial"/>
          <w:sz w:val="16"/>
          <w:szCs w:val="16"/>
          <w:rtl/>
        </w:rPr>
        <w:t>נמוק</w:t>
      </w:r>
      <w:r w:rsidR="007D4594" w:rsidRPr="007D4594">
        <w:rPr>
          <w:rFonts w:cs="Arial" w:hint="cs"/>
          <w:sz w:val="16"/>
          <w:szCs w:val="16"/>
          <w:rtl/>
        </w:rPr>
        <w:t>"</w:t>
      </w:r>
      <w:r w:rsidR="007D4594" w:rsidRPr="007D4594">
        <w:rPr>
          <w:rFonts w:cs="Arial"/>
          <w:sz w:val="16"/>
          <w:szCs w:val="16"/>
          <w:rtl/>
        </w:rPr>
        <w:t xml:space="preserve">י </w:t>
      </w:r>
      <w:r w:rsidR="00191261">
        <w:rPr>
          <w:rFonts w:cs="Arial" w:hint="cs"/>
          <w:sz w:val="16"/>
          <w:szCs w:val="16"/>
          <w:rtl/>
        </w:rPr>
        <w:t>[</w:t>
      </w:r>
      <w:r w:rsidR="007D4594" w:rsidRPr="007D4594">
        <w:rPr>
          <w:rFonts w:cs="Arial"/>
          <w:sz w:val="16"/>
          <w:szCs w:val="16"/>
          <w:rtl/>
        </w:rPr>
        <w:t>יא: ד"ה גמ</w:t>
      </w:r>
      <w:r w:rsidR="00191261">
        <w:rPr>
          <w:rFonts w:cs="Arial" w:hint="cs"/>
          <w:sz w:val="16"/>
          <w:szCs w:val="16"/>
          <w:rtl/>
        </w:rPr>
        <w:t>']</w:t>
      </w:r>
      <w:r w:rsidRPr="007D4594">
        <w:rPr>
          <w:rFonts w:cs="Arial"/>
          <w:sz w:val="16"/>
          <w:szCs w:val="16"/>
          <w:rtl/>
        </w:rPr>
        <w:t>)</w:t>
      </w:r>
      <w:r w:rsidR="007D4594">
        <w:rPr>
          <w:rFonts w:cs="Arial" w:hint="cs"/>
          <w:rtl/>
        </w:rPr>
        <w:t xml:space="preserve">- </w:t>
      </w:r>
      <w:r w:rsidR="004357E4">
        <w:rPr>
          <w:rFonts w:cs="Arial" w:hint="cs"/>
          <w:rtl/>
        </w:rPr>
        <w:t xml:space="preserve">כל עוד שלא כתבו </w:t>
      </w:r>
      <w:r w:rsidRPr="002D4586">
        <w:rPr>
          <w:rFonts w:cs="Arial"/>
          <w:rtl/>
        </w:rPr>
        <w:t>יכול</w:t>
      </w:r>
      <w:r w:rsidR="004357E4">
        <w:rPr>
          <w:rFonts w:cs="Arial" w:hint="cs"/>
          <w:rtl/>
        </w:rPr>
        <w:t>ים</w:t>
      </w:r>
      <w:r w:rsidRPr="002D4586">
        <w:rPr>
          <w:rFonts w:cs="Arial"/>
          <w:rtl/>
        </w:rPr>
        <w:t xml:space="preserve"> לחזור ב</w:t>
      </w:r>
      <w:r w:rsidR="004357E4">
        <w:rPr>
          <w:rFonts w:cs="Arial" w:hint="cs"/>
          <w:rtl/>
        </w:rPr>
        <w:t>הם</w:t>
      </w:r>
      <w:r w:rsidRPr="002D4586">
        <w:rPr>
          <w:rFonts w:cs="Arial"/>
          <w:rtl/>
        </w:rPr>
        <w:t xml:space="preserve"> עד שיגמור הדין</w:t>
      </w:r>
      <w:r w:rsidR="00641443">
        <w:rPr>
          <w:rStyle w:val="ab"/>
          <w:rFonts w:cs="Arial"/>
          <w:rtl/>
        </w:rPr>
        <w:footnoteReference w:id="705"/>
      </w:r>
      <w:r w:rsidR="007D4594">
        <w:rPr>
          <w:rFonts w:cs="Arial" w:hint="cs"/>
          <w:rtl/>
        </w:rPr>
        <w:t>.</w:t>
      </w:r>
      <w:r w:rsidRPr="002D4586">
        <w:rPr>
          <w:rFonts w:cs="Arial"/>
          <w:rtl/>
        </w:rPr>
        <w:t xml:space="preserve"> </w:t>
      </w:r>
    </w:p>
    <w:p w14:paraId="3E8D8E43" w14:textId="77777777" w:rsidR="00710BD6" w:rsidRPr="00710BD6" w:rsidRDefault="00710BD6" w:rsidP="00710BD6">
      <w:pPr>
        <w:ind w:left="360"/>
        <w:rPr>
          <w:rFonts w:cs="Arial"/>
          <w:u w:val="dotted"/>
        </w:rPr>
      </w:pPr>
      <w:r w:rsidRPr="00710BD6">
        <w:rPr>
          <w:rFonts w:cs="Arial" w:hint="cs"/>
          <w:u w:val="dotted"/>
          <w:rtl/>
        </w:rPr>
        <w:t>ומה הדין היכא דקנו מיד</w:t>
      </w:r>
      <w:r>
        <w:rPr>
          <w:rFonts w:cs="Arial" w:hint="cs"/>
          <w:u w:val="dotted"/>
          <w:rtl/>
        </w:rPr>
        <w:t xml:space="preserve"> בעלי הדין</w:t>
      </w:r>
      <w:r w:rsidRPr="00710BD6">
        <w:rPr>
          <w:rFonts w:cs="Arial" w:hint="cs"/>
          <w:u w:val="dotted"/>
          <w:rtl/>
        </w:rPr>
        <w:t>:</w:t>
      </w:r>
    </w:p>
    <w:p w14:paraId="57976426" w14:textId="77777777" w:rsidR="0085789D" w:rsidRPr="002D4586" w:rsidRDefault="00710BD6" w:rsidP="00C704CB">
      <w:pPr>
        <w:pStyle w:val="ac"/>
        <w:numPr>
          <w:ilvl w:val="0"/>
          <w:numId w:val="9"/>
        </w:numPr>
        <w:rPr>
          <w:rFonts w:cs="Arial"/>
          <w:rtl/>
        </w:rPr>
      </w:pPr>
      <w:r>
        <w:rPr>
          <w:rFonts w:cs="Arial" w:hint="cs"/>
          <w:rtl/>
        </w:rPr>
        <w:t xml:space="preserve">נמוק"י </w:t>
      </w:r>
      <w:r>
        <w:rPr>
          <w:rFonts w:cs="Arial" w:hint="cs"/>
          <w:sz w:val="16"/>
          <w:szCs w:val="16"/>
          <w:rtl/>
        </w:rPr>
        <w:t>(יא:)</w:t>
      </w:r>
      <w:r>
        <w:rPr>
          <w:rFonts w:cs="Arial" w:hint="cs"/>
          <w:rtl/>
        </w:rPr>
        <w:t xml:space="preserve">- </w:t>
      </w:r>
      <w:r w:rsidR="00AE48C5" w:rsidRPr="002D4586">
        <w:rPr>
          <w:rFonts w:cs="Arial"/>
          <w:rtl/>
        </w:rPr>
        <w:t>כל הני מילי בשלא קנו מידם אבל קנו מידם אינם יכולים לחזור ואפילו בפני שנים ואפילו קבל עליו קרוב או פסול</w:t>
      </w:r>
      <w:r>
        <w:rPr>
          <w:rFonts w:cs="Arial" w:hint="cs"/>
          <w:rtl/>
        </w:rPr>
        <w:t>,</w:t>
      </w:r>
      <w:r w:rsidR="00AE48C5" w:rsidRPr="002D4586">
        <w:rPr>
          <w:rFonts w:cs="Arial"/>
          <w:rtl/>
        </w:rPr>
        <w:t xml:space="preserve"> דאין לאחר קנין כלום כדאיתא פרק זה בורר </w:t>
      </w:r>
      <w:r w:rsidR="00AE48C5" w:rsidRPr="00710BD6">
        <w:rPr>
          <w:rFonts w:cs="Arial"/>
          <w:sz w:val="16"/>
          <w:szCs w:val="16"/>
          <w:rtl/>
        </w:rPr>
        <w:t>(כד:)</w:t>
      </w:r>
      <w:r w:rsidR="0085789D" w:rsidRPr="002D4586">
        <w:rPr>
          <w:rFonts w:cs="Arial" w:hint="cs"/>
          <w:rtl/>
        </w:rPr>
        <w:t>.</w:t>
      </w:r>
      <w:r w:rsidR="004357E4" w:rsidRPr="004357E4">
        <w:rPr>
          <w:rFonts w:cs="Arial" w:hint="cs"/>
          <w:color w:val="00B0F0"/>
          <w:rtl/>
        </w:rPr>
        <w:t xml:space="preserve"> </w:t>
      </w:r>
      <w:r w:rsidR="004357E4" w:rsidRPr="004A2384">
        <w:rPr>
          <w:rFonts w:cs="Arial" w:hint="cs"/>
          <w:color w:val="00B0F0"/>
          <w:rtl/>
        </w:rPr>
        <w:t>(וכ"פ הרמ"א)</w:t>
      </w:r>
    </w:p>
    <w:p w14:paraId="65E9EE67" w14:textId="77777777" w:rsidR="008662B6" w:rsidRDefault="004357E4" w:rsidP="00AE48C5">
      <w:pPr>
        <w:rPr>
          <w:rFonts w:cs="Arial"/>
          <w:rtl/>
        </w:rPr>
      </w:pPr>
      <w:r>
        <w:rPr>
          <w:rFonts w:cs="Arial" w:hint="cs"/>
          <w:u w:val="single"/>
          <w:rtl/>
        </w:rPr>
        <w:t xml:space="preserve">בעל דין שרוצה לברור </w:t>
      </w:r>
      <w:r w:rsidR="008662B6" w:rsidRPr="008662B6">
        <w:rPr>
          <w:rFonts w:cs="Arial" w:hint="cs"/>
          <w:u w:val="single"/>
          <w:rtl/>
        </w:rPr>
        <w:t xml:space="preserve">דיין </w:t>
      </w:r>
      <w:r>
        <w:rPr>
          <w:rFonts w:cs="Arial" w:hint="cs"/>
          <w:u w:val="single"/>
          <w:rtl/>
        </w:rPr>
        <w:t>ש</w:t>
      </w:r>
      <w:r w:rsidR="008662B6" w:rsidRPr="008662B6">
        <w:rPr>
          <w:rFonts w:cs="Arial" w:hint="cs"/>
          <w:u w:val="single"/>
          <w:rtl/>
        </w:rPr>
        <w:t>לא גמיר:</w:t>
      </w:r>
    </w:p>
    <w:p w14:paraId="5A6BD522" w14:textId="77777777" w:rsidR="00641443" w:rsidRPr="00641443" w:rsidRDefault="008662B6" w:rsidP="00C704CB">
      <w:pPr>
        <w:pStyle w:val="ac"/>
        <w:numPr>
          <w:ilvl w:val="0"/>
          <w:numId w:val="9"/>
        </w:numPr>
        <w:rPr>
          <w:rFonts w:cs="Arial"/>
        </w:rPr>
      </w:pPr>
      <w:r w:rsidRPr="008662B6">
        <w:rPr>
          <w:rFonts w:cs="Arial" w:hint="cs"/>
          <w:rtl/>
        </w:rPr>
        <w:t xml:space="preserve">רי"ו </w:t>
      </w:r>
      <w:r w:rsidRPr="008662B6">
        <w:rPr>
          <w:rFonts w:cs="Arial" w:hint="cs"/>
          <w:sz w:val="16"/>
          <w:szCs w:val="16"/>
          <w:rtl/>
        </w:rPr>
        <w:t>(</w:t>
      </w:r>
      <w:r w:rsidR="00AE48C5" w:rsidRPr="008662B6">
        <w:rPr>
          <w:rFonts w:cs="Arial"/>
          <w:sz w:val="16"/>
          <w:szCs w:val="16"/>
          <w:rtl/>
        </w:rPr>
        <w:t>מישרים נ"א חי"ג י ע"ד)</w:t>
      </w:r>
      <w:r w:rsidRPr="008662B6">
        <w:rPr>
          <w:rFonts w:cs="Arial" w:hint="cs"/>
          <w:rtl/>
        </w:rPr>
        <w:t>-</w:t>
      </w:r>
      <w:r w:rsidR="00AE48C5" w:rsidRPr="008662B6">
        <w:rPr>
          <w:rFonts w:cs="Arial"/>
          <w:rtl/>
        </w:rPr>
        <w:t xml:space="preserve"> מוכח שם</w:t>
      </w:r>
      <w:r>
        <w:rPr>
          <w:rFonts w:cs="Arial" w:hint="cs"/>
          <w:sz w:val="16"/>
          <w:szCs w:val="16"/>
          <w:rtl/>
        </w:rPr>
        <w:t xml:space="preserve"> (ברי"ף פ"ב וברא"ש בסנהדרין)</w:t>
      </w:r>
      <w:r w:rsidR="00AE48C5" w:rsidRPr="008662B6">
        <w:rPr>
          <w:rFonts w:cs="Arial"/>
          <w:rtl/>
        </w:rPr>
        <w:t xml:space="preserve"> דאם המחום רבים עליהם אין האחד יכול לעכב חבירו שלא יברור אותו</w:t>
      </w:r>
      <w:r w:rsidR="004C715B">
        <w:rPr>
          <w:rFonts w:cs="Arial" w:hint="cs"/>
          <w:rtl/>
        </w:rPr>
        <w:t>.</w:t>
      </w:r>
      <w:r w:rsidR="00AE48C5" w:rsidRPr="008662B6">
        <w:rPr>
          <w:rFonts w:cs="Arial"/>
          <w:rtl/>
        </w:rPr>
        <w:t xml:space="preserve"> אבל לא המחום יכול לעכב עליו שלא יברור דיין דלא גמיר</w:t>
      </w:r>
      <w:r w:rsidR="00CF39F7">
        <w:rPr>
          <w:rStyle w:val="ab"/>
          <w:rFonts w:cs="Arial"/>
          <w:rtl/>
        </w:rPr>
        <w:footnoteReference w:id="706"/>
      </w:r>
      <w:r w:rsidR="004C715B">
        <w:rPr>
          <w:rFonts w:cs="Arial" w:hint="cs"/>
          <w:rtl/>
        </w:rPr>
        <w:t>.</w:t>
      </w:r>
      <w:r w:rsidR="00AE48C5" w:rsidRPr="008662B6">
        <w:rPr>
          <w:rFonts w:cs="Arial"/>
          <w:rtl/>
        </w:rPr>
        <w:t xml:space="preserve"> וכן אם יש בעיר שתי בתי דינים יכול לעכב עליו</w:t>
      </w:r>
      <w:r w:rsidRPr="008662B6">
        <w:rPr>
          <w:rFonts w:cs="Arial" w:hint="cs"/>
          <w:rtl/>
        </w:rPr>
        <w:t>.</w:t>
      </w:r>
      <w:r w:rsidR="00AE48C5" w:rsidRPr="008662B6">
        <w:rPr>
          <w:rFonts w:cs="Arial"/>
          <w:rtl/>
        </w:rPr>
        <w:t xml:space="preserve"> </w:t>
      </w:r>
      <w:r w:rsidR="004357E4">
        <w:rPr>
          <w:rFonts w:cs="Arial" w:hint="cs"/>
          <w:rtl/>
        </w:rPr>
        <w:t xml:space="preserve">(וכ"כ הש"ך </w:t>
      </w:r>
      <w:r w:rsidR="004357E4">
        <w:rPr>
          <w:rFonts w:cs="Arial" w:hint="cs"/>
          <w:sz w:val="16"/>
          <w:szCs w:val="16"/>
          <w:rtl/>
        </w:rPr>
        <w:t>[סק"ד]</w:t>
      </w:r>
      <w:r w:rsidR="004357E4">
        <w:rPr>
          <w:rFonts w:cs="Arial" w:hint="cs"/>
          <w:rtl/>
        </w:rPr>
        <w:t>)</w:t>
      </w:r>
    </w:p>
    <w:p w14:paraId="75DC72E2" w14:textId="77777777" w:rsidR="00641443" w:rsidRPr="00641443" w:rsidRDefault="004357E4" w:rsidP="00641443">
      <w:pPr>
        <w:rPr>
          <w:rFonts w:cs="Arial"/>
          <w:u w:val="single"/>
        </w:rPr>
      </w:pPr>
      <w:r>
        <w:rPr>
          <w:rFonts w:cs="Arial" w:hint="cs"/>
          <w:u w:val="single"/>
          <w:rtl/>
        </w:rPr>
        <w:t>בעלי דין שבררו דיינים ואח"כ רצו ל</w:t>
      </w:r>
      <w:r w:rsidR="00641443" w:rsidRPr="00641443">
        <w:rPr>
          <w:rFonts w:cs="Arial" w:hint="cs"/>
          <w:u w:val="single"/>
          <w:rtl/>
        </w:rPr>
        <w:t>הוס</w:t>
      </w:r>
      <w:r>
        <w:rPr>
          <w:rFonts w:cs="Arial" w:hint="cs"/>
          <w:u w:val="single"/>
          <w:rtl/>
        </w:rPr>
        <w:t>יף</w:t>
      </w:r>
      <w:r w:rsidR="00641443" w:rsidRPr="00641443">
        <w:rPr>
          <w:rFonts w:cs="Arial" w:hint="cs"/>
          <w:u w:val="single"/>
          <w:rtl/>
        </w:rPr>
        <w:t xml:space="preserve"> דיינים על מי שכבר בחרו:</w:t>
      </w:r>
    </w:p>
    <w:p w14:paraId="253039C5" w14:textId="77777777" w:rsidR="00AE48C5" w:rsidRPr="00641443" w:rsidRDefault="00AE48C5" w:rsidP="00C704CB">
      <w:pPr>
        <w:pStyle w:val="ac"/>
        <w:numPr>
          <w:ilvl w:val="0"/>
          <w:numId w:val="9"/>
        </w:numPr>
        <w:rPr>
          <w:rFonts w:cs="Arial"/>
          <w:rtl/>
        </w:rPr>
      </w:pPr>
      <w:r w:rsidRPr="00641443">
        <w:rPr>
          <w:rFonts w:cs="Arial"/>
          <w:rtl/>
        </w:rPr>
        <w:t>רמב"ן</w:t>
      </w:r>
      <w:r w:rsidR="00641443">
        <w:rPr>
          <w:rFonts w:cs="Arial" w:hint="cs"/>
          <w:sz w:val="16"/>
          <w:szCs w:val="16"/>
          <w:rtl/>
        </w:rPr>
        <w:t xml:space="preserve"> </w:t>
      </w:r>
      <w:r w:rsidR="00641443" w:rsidRPr="00641443">
        <w:rPr>
          <w:rFonts w:cs="Arial"/>
          <w:sz w:val="16"/>
          <w:szCs w:val="16"/>
          <w:rtl/>
        </w:rPr>
        <w:t>(</w:t>
      </w:r>
      <w:r w:rsidR="00641443">
        <w:rPr>
          <w:rFonts w:cs="Arial" w:hint="cs"/>
          <w:sz w:val="16"/>
          <w:szCs w:val="16"/>
          <w:rtl/>
        </w:rPr>
        <w:t xml:space="preserve">פ' בתרא דבתרא </w:t>
      </w:r>
      <w:r w:rsidR="00641443" w:rsidRPr="00641443">
        <w:rPr>
          <w:rFonts w:cs="Arial"/>
          <w:sz w:val="16"/>
          <w:szCs w:val="16"/>
          <w:rtl/>
        </w:rPr>
        <w:t>קסז: ד"ה ושטרי</w:t>
      </w:r>
      <w:r w:rsidR="00641443">
        <w:rPr>
          <w:rFonts w:cs="Arial" w:hint="cs"/>
          <w:sz w:val="16"/>
          <w:szCs w:val="16"/>
          <w:rtl/>
        </w:rPr>
        <w:t>, הביאו רי"ו</w:t>
      </w:r>
      <w:r w:rsidR="00641443" w:rsidRPr="00641443">
        <w:rPr>
          <w:rFonts w:cs="Arial"/>
          <w:sz w:val="16"/>
          <w:szCs w:val="16"/>
          <w:rtl/>
        </w:rPr>
        <w:t xml:space="preserve"> </w:t>
      </w:r>
      <w:r w:rsidR="00641443">
        <w:rPr>
          <w:rFonts w:cs="Arial" w:hint="cs"/>
          <w:sz w:val="16"/>
          <w:szCs w:val="16"/>
          <w:rtl/>
        </w:rPr>
        <w:t>[</w:t>
      </w:r>
      <w:r w:rsidR="00641443" w:rsidRPr="00641443">
        <w:rPr>
          <w:rFonts w:cs="Arial"/>
          <w:sz w:val="16"/>
          <w:szCs w:val="16"/>
          <w:rtl/>
        </w:rPr>
        <w:t>מישרים נט"ו ח"ג מח:</w:t>
      </w:r>
      <w:r w:rsidR="00641443">
        <w:rPr>
          <w:rFonts w:cs="Arial" w:hint="cs"/>
          <w:sz w:val="16"/>
          <w:szCs w:val="16"/>
          <w:rtl/>
        </w:rPr>
        <w:t>]</w:t>
      </w:r>
      <w:r w:rsidR="00641443" w:rsidRPr="00641443">
        <w:rPr>
          <w:rFonts w:cs="Arial"/>
          <w:sz w:val="16"/>
          <w:szCs w:val="16"/>
          <w:rtl/>
        </w:rPr>
        <w:t>)</w:t>
      </w:r>
      <w:r w:rsidR="005F6AA9">
        <w:rPr>
          <w:rFonts w:cs="Arial" w:hint="cs"/>
          <w:rtl/>
        </w:rPr>
        <w:t xml:space="preserve"> </w:t>
      </w:r>
      <w:r w:rsidR="004357E4">
        <w:rPr>
          <w:rFonts w:cs="Arial" w:hint="cs"/>
          <w:rtl/>
        </w:rPr>
        <w:t xml:space="preserve">ונמוק"י </w:t>
      </w:r>
      <w:r w:rsidR="004357E4">
        <w:rPr>
          <w:rFonts w:cs="Arial" w:hint="cs"/>
          <w:sz w:val="16"/>
          <w:szCs w:val="16"/>
          <w:rtl/>
        </w:rPr>
        <w:t>(עח.)</w:t>
      </w:r>
      <w:r w:rsidR="00641443">
        <w:rPr>
          <w:rFonts w:cs="Arial" w:hint="cs"/>
          <w:rtl/>
        </w:rPr>
        <w:t xml:space="preserve">- </w:t>
      </w:r>
      <w:r w:rsidRPr="00641443">
        <w:rPr>
          <w:rFonts w:cs="Arial"/>
          <w:rtl/>
        </w:rPr>
        <w:t>קודם שכתבו יכולים להוסיף דיינים</w:t>
      </w:r>
      <w:r w:rsidR="005F6AA9">
        <w:rPr>
          <w:rStyle w:val="ab"/>
          <w:rFonts w:cs="Arial"/>
          <w:rtl/>
        </w:rPr>
        <w:footnoteReference w:id="707"/>
      </w:r>
      <w:r w:rsidR="004357E4">
        <w:rPr>
          <w:rFonts w:cs="Arial" w:hint="cs"/>
          <w:rtl/>
        </w:rPr>
        <w:t>,</w:t>
      </w:r>
      <w:r w:rsidRPr="00641443">
        <w:rPr>
          <w:rFonts w:cs="Arial"/>
          <w:rtl/>
        </w:rPr>
        <w:t xml:space="preserve"> משכתבו אין יכולים להוסיף דיינים</w:t>
      </w:r>
      <w:r w:rsidR="008662B6" w:rsidRPr="00641443">
        <w:rPr>
          <w:rFonts w:cs="Arial" w:hint="cs"/>
          <w:rtl/>
        </w:rPr>
        <w:t>.</w:t>
      </w:r>
      <w:r w:rsidR="004357E4" w:rsidRPr="004357E4">
        <w:rPr>
          <w:rFonts w:cs="Arial" w:hint="cs"/>
          <w:color w:val="00B0F0"/>
          <w:rtl/>
        </w:rPr>
        <w:t xml:space="preserve"> </w:t>
      </w:r>
      <w:r w:rsidR="004357E4" w:rsidRPr="004A2384">
        <w:rPr>
          <w:rFonts w:cs="Arial" w:hint="cs"/>
          <w:color w:val="00B0F0"/>
          <w:rtl/>
        </w:rPr>
        <w:t>(וכ"פ הרמ"א)</w:t>
      </w:r>
    </w:p>
    <w:p w14:paraId="4625032C" w14:textId="77777777" w:rsidR="00E137BC" w:rsidRPr="00576D5C" w:rsidRDefault="00E137BC" w:rsidP="00576D5C">
      <w:pPr>
        <w:rPr>
          <w:rFonts w:asciiTheme="minorBidi" w:hAnsiTheme="minorBidi"/>
          <w:b/>
          <w:bCs/>
          <w:color w:val="000000"/>
          <w:sz w:val="28"/>
          <w:szCs w:val="28"/>
          <w:u w:val="single"/>
          <w:rtl/>
        </w:rPr>
      </w:pPr>
      <w:r w:rsidRPr="00576D5C">
        <w:rPr>
          <w:rFonts w:asciiTheme="minorBidi" w:hAnsiTheme="minorBidi"/>
          <w:b/>
          <w:bCs/>
          <w:color w:val="000000"/>
          <w:sz w:val="28"/>
          <w:szCs w:val="28"/>
          <w:u w:val="single"/>
          <w:rtl/>
        </w:rPr>
        <w:t>שו"ע:</w:t>
      </w:r>
    </w:p>
    <w:p w14:paraId="14F78933" w14:textId="77777777" w:rsidR="00E137BC" w:rsidRDefault="00E137BC" w:rsidP="00576D5C">
      <w:pPr>
        <w:rPr>
          <w:rFonts w:asciiTheme="minorBidi" w:hAnsiTheme="minorBidi"/>
          <w:rtl/>
        </w:rPr>
      </w:pPr>
      <w:r w:rsidRPr="00576D5C">
        <w:rPr>
          <w:rFonts w:asciiTheme="minorBidi" w:hAnsiTheme="minorBidi"/>
          <w:rtl/>
        </w:rPr>
        <w:lastRenderedPageBreak/>
        <w:t>כותבים: פלוני בירר את פלוני ופלוני בירר את פלוני. וכל זמן שלא כתבו, יכולין לחזור בהם</w:t>
      </w:r>
      <w:r w:rsidR="00CF39F7">
        <w:rPr>
          <w:rFonts w:asciiTheme="minorBidi" w:hAnsiTheme="minorBidi" w:hint="cs"/>
          <w:rtl/>
        </w:rPr>
        <w:t>,</w:t>
      </w:r>
      <w:r w:rsidRPr="00576D5C">
        <w:rPr>
          <w:rFonts w:asciiTheme="minorBidi" w:hAnsiTheme="minorBidi"/>
          <w:rtl/>
        </w:rPr>
        <w:t xml:space="preserve"> ומשכתבו, אין יכולין לחזור בהם. לפיכך</w:t>
      </w:r>
      <w:r w:rsidR="00CF39F7">
        <w:rPr>
          <w:rStyle w:val="ab"/>
          <w:rFonts w:asciiTheme="minorBidi" w:hAnsiTheme="minorBidi"/>
          <w:rtl/>
        </w:rPr>
        <w:footnoteReference w:id="708"/>
      </w:r>
      <w:r w:rsidRPr="00576D5C">
        <w:rPr>
          <w:rFonts w:asciiTheme="minorBidi" w:hAnsiTheme="minorBidi"/>
          <w:rtl/>
        </w:rPr>
        <w:t xml:space="preserve"> אין כותבין אלא מדעת שניהם, ושניהם נותנים שכר הסופר. </w:t>
      </w:r>
      <w:r w:rsidRPr="00767A9D">
        <w:rPr>
          <w:rFonts w:asciiTheme="minorBidi" w:hAnsiTheme="minorBidi"/>
          <w:sz w:val="18"/>
          <w:szCs w:val="18"/>
          <w:rtl/>
        </w:rPr>
        <w:t>הגה: וה"ה אם קנו מידו (נ</w:t>
      </w:r>
      <w:r w:rsidR="00641443">
        <w:rPr>
          <w:rFonts w:asciiTheme="minorBidi" w:hAnsiTheme="minorBidi" w:hint="cs"/>
          <w:sz w:val="18"/>
          <w:szCs w:val="18"/>
          <w:rtl/>
        </w:rPr>
        <w:t>מוק</w:t>
      </w:r>
      <w:r w:rsidRPr="00767A9D">
        <w:rPr>
          <w:rFonts w:asciiTheme="minorBidi" w:hAnsiTheme="minorBidi"/>
          <w:sz w:val="18"/>
          <w:szCs w:val="18"/>
          <w:rtl/>
        </w:rPr>
        <w:t>"י). וי"א דמשטענו בפניהם אינן יכולים לחזור, אע</w:t>
      </w:r>
      <w:r w:rsidR="00641443">
        <w:rPr>
          <w:rFonts w:asciiTheme="minorBidi" w:hAnsiTheme="minorBidi" w:hint="cs"/>
          <w:sz w:val="18"/>
          <w:szCs w:val="18"/>
          <w:rtl/>
        </w:rPr>
        <w:t>"</w:t>
      </w:r>
      <w:r w:rsidRPr="00767A9D">
        <w:rPr>
          <w:rFonts w:asciiTheme="minorBidi" w:hAnsiTheme="minorBidi"/>
          <w:sz w:val="18"/>
          <w:szCs w:val="18"/>
          <w:rtl/>
        </w:rPr>
        <w:t>פ שלא כתבו (שם בשם הירושלמ</w:t>
      </w:r>
      <w:r w:rsidR="00641443">
        <w:rPr>
          <w:rFonts w:asciiTheme="minorBidi" w:hAnsiTheme="minorBidi" w:hint="cs"/>
          <w:sz w:val="18"/>
          <w:szCs w:val="18"/>
          <w:rtl/>
        </w:rPr>
        <w:t>י, וכ"כ רשב"א רא"ש ור"ן</w:t>
      </w:r>
      <w:r w:rsidRPr="00767A9D">
        <w:rPr>
          <w:rFonts w:asciiTheme="minorBidi" w:hAnsiTheme="minorBidi"/>
          <w:sz w:val="18"/>
          <w:szCs w:val="18"/>
          <w:rtl/>
        </w:rPr>
        <w:t>). ונ"ל דבמקום שאין דרך לכתוב: פלוני בירר פלוני וכו', משטענו בפניהם אין יכולים לחזור לכו</w:t>
      </w:r>
      <w:r w:rsidR="00641443">
        <w:rPr>
          <w:rFonts w:asciiTheme="minorBidi" w:hAnsiTheme="minorBidi" w:hint="cs"/>
          <w:sz w:val="18"/>
          <w:szCs w:val="18"/>
          <w:rtl/>
        </w:rPr>
        <w:t>"ע (ד"ע)</w:t>
      </w:r>
      <w:r w:rsidRPr="00767A9D">
        <w:rPr>
          <w:rFonts w:asciiTheme="minorBidi" w:hAnsiTheme="minorBidi"/>
          <w:sz w:val="18"/>
          <w:szCs w:val="18"/>
          <w:rtl/>
        </w:rPr>
        <w:t>. וכל מקום שאינו יכול לחזור, לא יכול גם כן לומר שיוסיפו הדיינים (רי</w:t>
      </w:r>
      <w:r w:rsidR="00641443">
        <w:rPr>
          <w:rFonts w:asciiTheme="minorBidi" w:hAnsiTheme="minorBidi" w:hint="cs"/>
          <w:sz w:val="18"/>
          <w:szCs w:val="18"/>
          <w:rtl/>
        </w:rPr>
        <w:t>"ו</w:t>
      </w:r>
      <w:r w:rsidRPr="00767A9D">
        <w:rPr>
          <w:rFonts w:asciiTheme="minorBidi" w:hAnsiTheme="minorBidi"/>
          <w:sz w:val="18"/>
          <w:szCs w:val="18"/>
          <w:rtl/>
        </w:rPr>
        <w:t xml:space="preserve"> נט"ו ח"ג).</w:t>
      </w:r>
      <w:r w:rsidRPr="00576D5C">
        <w:rPr>
          <w:rFonts w:asciiTheme="minorBidi" w:hAnsiTheme="minorBidi"/>
          <w:rtl/>
        </w:rPr>
        <w:t xml:space="preserve"> </w:t>
      </w:r>
    </w:p>
    <w:p w14:paraId="775737AD" w14:textId="77777777" w:rsidR="00AE48C5" w:rsidRPr="00576D5C" w:rsidRDefault="00AE48C5" w:rsidP="00576D5C">
      <w:pPr>
        <w:rPr>
          <w:rFonts w:asciiTheme="minorBidi" w:hAnsiTheme="minorBidi"/>
          <w:rtl/>
        </w:rPr>
      </w:pPr>
    </w:p>
    <w:p w14:paraId="67FFD2FE" w14:textId="77777777" w:rsidR="00E137BC" w:rsidRDefault="00E137BC" w:rsidP="006567B0">
      <w:pPr>
        <w:pStyle w:val="2"/>
        <w:rPr>
          <w:rtl/>
        </w:rPr>
      </w:pPr>
      <w:bookmarkStart w:id="112" w:name="_Toc24883598"/>
      <w:r w:rsidRPr="00576D5C">
        <w:rPr>
          <w:rtl/>
        </w:rPr>
        <w:t>סעיף ג</w:t>
      </w:r>
      <w:r w:rsidR="00AE48C5">
        <w:rPr>
          <w:rFonts w:hint="cs"/>
          <w:rtl/>
        </w:rPr>
        <w:t>:</w:t>
      </w:r>
      <w:r w:rsidR="005F6AA9">
        <w:rPr>
          <w:rFonts w:hint="cs"/>
          <w:rtl/>
        </w:rPr>
        <w:t xml:space="preserve"> שטרי טענות.</w:t>
      </w:r>
      <w:bookmarkEnd w:id="112"/>
    </w:p>
    <w:p w14:paraId="5C4E50E2" w14:textId="77777777" w:rsidR="007458ED" w:rsidRDefault="007458ED" w:rsidP="00EC6236">
      <w:pPr>
        <w:rPr>
          <w:rFonts w:cs="Arial"/>
          <w:b/>
          <w:bCs/>
          <w:rtl/>
        </w:rPr>
      </w:pPr>
      <w:r>
        <w:rPr>
          <w:rFonts w:cs="Arial" w:hint="cs"/>
          <w:b/>
          <w:bCs/>
          <w:rtl/>
        </w:rPr>
        <w:t>בבא מציעא</w:t>
      </w:r>
      <w:r w:rsidR="006322CF">
        <w:rPr>
          <w:rFonts w:cs="Arial" w:hint="cs"/>
          <w:b/>
          <w:bCs/>
          <w:rtl/>
        </w:rPr>
        <w:t xml:space="preserve"> </w:t>
      </w:r>
      <w:r w:rsidR="006322CF">
        <w:rPr>
          <w:rFonts w:cs="Arial" w:hint="cs"/>
          <w:b/>
          <w:bCs/>
          <w:sz w:val="16"/>
          <w:szCs w:val="16"/>
          <w:rtl/>
        </w:rPr>
        <w:t xml:space="preserve">(פ"ק) </w:t>
      </w:r>
      <w:r>
        <w:rPr>
          <w:rFonts w:cs="Arial" w:hint="cs"/>
          <w:b/>
          <w:bCs/>
          <w:rtl/>
        </w:rPr>
        <w:t>כ</w:t>
      </w:r>
      <w:r w:rsidR="004357E4">
        <w:rPr>
          <w:rStyle w:val="ab"/>
          <w:rFonts w:cs="Arial"/>
          <w:b/>
          <w:bCs/>
          <w:rtl/>
        </w:rPr>
        <w:footnoteReference w:id="709"/>
      </w:r>
      <w:r>
        <w:rPr>
          <w:rFonts w:cs="Arial" w:hint="cs"/>
          <w:b/>
          <w:bCs/>
          <w:rtl/>
        </w:rPr>
        <w:t xml:space="preserve"> ע"א: </w:t>
      </w:r>
      <w:r w:rsidRPr="0085789D">
        <w:rPr>
          <w:rFonts w:cs="Arial"/>
          <w:u w:val="double"/>
          <w:rtl/>
        </w:rPr>
        <w:t>משנה</w:t>
      </w:r>
      <w:r>
        <w:rPr>
          <w:rFonts w:cs="Arial" w:hint="cs"/>
          <w:rtl/>
        </w:rPr>
        <w:t>:</w:t>
      </w:r>
      <w:r w:rsidRPr="0085789D">
        <w:rPr>
          <w:rFonts w:cs="Arial"/>
          <w:rtl/>
        </w:rPr>
        <w:t xml:space="preserve"> מצא איגרות שום ואיגרות מזון, שטרי חליצה ומיאונין, ושטרי בירורין וכל מעשה בית דין - הרי זה יחזיר.</w:t>
      </w:r>
      <w:r w:rsidR="004357E4">
        <w:rPr>
          <w:rFonts w:cs="Arial" w:hint="cs"/>
          <w:rtl/>
        </w:rPr>
        <w:t xml:space="preserve">..    </w:t>
      </w:r>
      <w:r w:rsidR="004357E4" w:rsidRPr="0085789D">
        <w:rPr>
          <w:rFonts w:cs="Arial"/>
          <w:u w:val="double"/>
          <w:rtl/>
        </w:rPr>
        <w:t>גמרא</w:t>
      </w:r>
      <w:r w:rsidR="004357E4">
        <w:rPr>
          <w:rFonts w:cs="Arial" w:hint="cs"/>
          <w:rtl/>
        </w:rPr>
        <w:t>:</w:t>
      </w:r>
      <w:r w:rsidR="004357E4" w:rsidRPr="0085789D">
        <w:rPr>
          <w:rFonts w:cs="Arial"/>
          <w:rtl/>
        </w:rPr>
        <w:t xml:space="preserve"> מאי שטרי בירורין? </w:t>
      </w:r>
      <w:r w:rsidR="004357E4" w:rsidRPr="0085789D">
        <w:rPr>
          <w:rFonts w:cs="Arial"/>
          <w:u w:val="single"/>
          <w:rtl/>
        </w:rPr>
        <w:t>הכא תרגמו</w:t>
      </w:r>
      <w:r w:rsidR="004357E4" w:rsidRPr="0085789D">
        <w:rPr>
          <w:rFonts w:cs="Arial"/>
          <w:rtl/>
        </w:rPr>
        <w:t xml:space="preserve">: שטרי טענתא, </w:t>
      </w:r>
      <w:r w:rsidR="004357E4" w:rsidRPr="0085789D">
        <w:rPr>
          <w:rFonts w:cs="Arial"/>
          <w:u w:val="single"/>
          <w:rtl/>
        </w:rPr>
        <w:t>רבי ירמיה אמר</w:t>
      </w:r>
      <w:r w:rsidR="004357E4" w:rsidRPr="0085789D">
        <w:rPr>
          <w:rFonts w:cs="Arial"/>
          <w:rtl/>
        </w:rPr>
        <w:t>: זה בורר לו אחד וזה בורר לו אחד.</w:t>
      </w:r>
    </w:p>
    <w:p w14:paraId="4381DC8C" w14:textId="77777777" w:rsidR="008059DB" w:rsidRDefault="00EC6236" w:rsidP="00EC6236">
      <w:pPr>
        <w:rPr>
          <w:rFonts w:cs="Arial"/>
          <w:sz w:val="16"/>
          <w:szCs w:val="16"/>
          <w:rtl/>
        </w:rPr>
      </w:pPr>
      <w:r w:rsidRPr="0085789D">
        <w:rPr>
          <w:rFonts w:cs="Arial" w:hint="cs"/>
          <w:b/>
          <w:bCs/>
          <w:rtl/>
        </w:rPr>
        <w:t xml:space="preserve">בבא בתרא </w:t>
      </w:r>
      <w:r w:rsidRPr="0085789D">
        <w:rPr>
          <w:rFonts w:cs="Arial" w:hint="cs"/>
          <w:b/>
          <w:bCs/>
          <w:sz w:val="16"/>
          <w:szCs w:val="16"/>
          <w:rtl/>
        </w:rPr>
        <w:t>(פ'</w:t>
      </w:r>
      <w:r w:rsidRPr="0085789D">
        <w:rPr>
          <w:rFonts w:cs="Arial"/>
          <w:b/>
          <w:bCs/>
          <w:sz w:val="16"/>
          <w:szCs w:val="16"/>
          <w:rtl/>
        </w:rPr>
        <w:t xml:space="preserve"> גט פשוט</w:t>
      </w:r>
      <w:r w:rsidRPr="0085789D">
        <w:rPr>
          <w:rFonts w:cs="Arial" w:hint="cs"/>
          <w:b/>
          <w:bCs/>
          <w:sz w:val="16"/>
          <w:szCs w:val="16"/>
          <w:rtl/>
        </w:rPr>
        <w:t>)</w:t>
      </w:r>
      <w:r w:rsidRPr="0085789D">
        <w:rPr>
          <w:rFonts w:cs="Arial"/>
          <w:b/>
          <w:bCs/>
          <w:sz w:val="16"/>
          <w:szCs w:val="16"/>
          <w:rtl/>
        </w:rPr>
        <w:t xml:space="preserve"> </w:t>
      </w:r>
      <w:r w:rsidRPr="0085789D">
        <w:rPr>
          <w:rFonts w:cs="Arial"/>
          <w:b/>
          <w:bCs/>
          <w:rtl/>
        </w:rPr>
        <w:t>קסז</w:t>
      </w:r>
      <w:r w:rsidR="004357E4">
        <w:rPr>
          <w:rStyle w:val="ab"/>
          <w:rFonts w:cs="Arial"/>
          <w:b/>
          <w:bCs/>
          <w:rtl/>
        </w:rPr>
        <w:footnoteReference w:id="710"/>
      </w:r>
      <w:r w:rsidRPr="0085789D">
        <w:rPr>
          <w:rFonts w:cs="Arial" w:hint="cs"/>
          <w:b/>
          <w:bCs/>
          <w:rtl/>
        </w:rPr>
        <w:t xml:space="preserve"> ע"</w:t>
      </w:r>
      <w:r>
        <w:rPr>
          <w:rFonts w:cs="Arial" w:hint="cs"/>
          <w:b/>
          <w:bCs/>
          <w:rtl/>
        </w:rPr>
        <w:t>א</w:t>
      </w:r>
      <w:r w:rsidRPr="0085789D">
        <w:rPr>
          <w:rFonts w:cs="Arial"/>
          <w:b/>
          <w:bCs/>
          <w:rtl/>
        </w:rPr>
        <w:t>:</w:t>
      </w:r>
      <w:r w:rsidRPr="0085789D">
        <w:rPr>
          <w:rFonts w:cs="Arial" w:hint="cs"/>
          <w:b/>
          <w:bCs/>
          <w:rtl/>
        </w:rPr>
        <w:t xml:space="preserve"> </w:t>
      </w:r>
      <w:r w:rsidRPr="002D4586">
        <w:rPr>
          <w:rFonts w:cs="Arial" w:hint="cs"/>
          <w:u w:val="double"/>
          <w:rtl/>
        </w:rPr>
        <w:t>מתני':</w:t>
      </w:r>
      <w:r w:rsidR="00B43C87" w:rsidRPr="00B43C87">
        <w:rPr>
          <w:rFonts w:cs="Arial" w:hint="cs"/>
          <w:rtl/>
        </w:rPr>
        <w:t xml:space="preserve"> </w:t>
      </w:r>
      <w:r w:rsidR="00B43C87">
        <w:rPr>
          <w:rFonts w:cs="Arial" w:hint="cs"/>
          <w:rtl/>
        </w:rPr>
        <w:t>כותבין גט</w:t>
      </w:r>
      <w:r w:rsidRPr="002D4586">
        <w:rPr>
          <w:rFonts w:cs="Arial" w:hint="cs"/>
          <w:rtl/>
        </w:rPr>
        <w:t>...</w:t>
      </w:r>
      <w:r>
        <w:rPr>
          <w:rFonts w:cs="Arial" w:hint="cs"/>
          <w:sz w:val="14"/>
          <w:szCs w:val="14"/>
          <w:rtl/>
        </w:rPr>
        <w:t xml:space="preserve"> (קסז:)</w:t>
      </w:r>
      <w:r>
        <w:rPr>
          <w:rFonts w:cs="Arial" w:hint="cs"/>
          <w:b/>
          <w:bCs/>
          <w:rtl/>
        </w:rPr>
        <w:t xml:space="preserve"> </w:t>
      </w:r>
      <w:r w:rsidRPr="0085789D">
        <w:rPr>
          <w:rFonts w:cs="Arial"/>
          <w:rtl/>
        </w:rPr>
        <w:t>אין כותבין שטרי בירורין</w:t>
      </w:r>
      <w:r>
        <w:rPr>
          <w:rStyle w:val="ab"/>
          <w:rFonts w:cs="Arial"/>
          <w:rtl/>
        </w:rPr>
        <w:footnoteReference w:id="711"/>
      </w:r>
      <w:r w:rsidRPr="0085789D">
        <w:rPr>
          <w:rFonts w:cs="Arial"/>
          <w:rtl/>
        </w:rPr>
        <w:t xml:space="preserve"> וכל מעשה ב"ד אלא מדעת שניהם, ושניהם נותנין שכר</w:t>
      </w:r>
      <w:r w:rsidR="006322CF">
        <w:rPr>
          <w:rFonts w:hint="cs"/>
          <w:rtl/>
        </w:rPr>
        <w:t>.</w:t>
      </w:r>
      <w:r w:rsidR="006322CF" w:rsidRPr="006322CF">
        <w:rPr>
          <w:rtl/>
        </w:rPr>
        <w:t xml:space="preserve"> </w:t>
      </w:r>
      <w:r w:rsidR="006322CF" w:rsidRPr="006322CF">
        <w:rPr>
          <w:rFonts w:cs="Arial"/>
          <w:u w:val="single"/>
          <w:rtl/>
        </w:rPr>
        <w:t>רשב"ג אומר</w:t>
      </w:r>
      <w:r w:rsidR="006322CF">
        <w:rPr>
          <w:rStyle w:val="ab"/>
          <w:rFonts w:cs="Arial"/>
          <w:u w:val="single"/>
          <w:rtl/>
        </w:rPr>
        <w:footnoteReference w:id="712"/>
      </w:r>
      <w:r w:rsidR="006322CF" w:rsidRPr="006322CF">
        <w:rPr>
          <w:rFonts w:cs="Arial"/>
          <w:u w:val="single"/>
          <w:rtl/>
        </w:rPr>
        <w:t>:</w:t>
      </w:r>
      <w:r w:rsidR="006322CF" w:rsidRPr="006322CF">
        <w:rPr>
          <w:rFonts w:cs="Arial"/>
          <w:rtl/>
        </w:rPr>
        <w:t xml:space="preserve"> לשניהם כותבין שנים, לזה לעצמו ולזה לעצמו.</w:t>
      </w:r>
      <w:r w:rsidR="006322CF">
        <w:rPr>
          <w:rFonts w:cs="Arial" w:hint="cs"/>
          <w:rtl/>
        </w:rPr>
        <w:t xml:space="preserve">   </w:t>
      </w:r>
      <w:r w:rsidRPr="0085789D">
        <w:rPr>
          <w:rFonts w:cs="Arial"/>
          <w:rtl/>
        </w:rPr>
        <w:t xml:space="preserve"> </w:t>
      </w:r>
      <w:r w:rsidR="006322CF" w:rsidRPr="0085789D">
        <w:rPr>
          <w:rFonts w:cs="Arial"/>
          <w:u w:val="double"/>
          <w:rtl/>
        </w:rPr>
        <w:t>גמרא</w:t>
      </w:r>
      <w:r w:rsidR="006322CF" w:rsidRPr="006322CF">
        <w:rPr>
          <w:rFonts w:cs="Arial" w:hint="cs"/>
          <w:sz w:val="16"/>
          <w:szCs w:val="16"/>
          <w:u w:val="double"/>
          <w:rtl/>
        </w:rPr>
        <w:t xml:space="preserve"> </w:t>
      </w:r>
      <w:r w:rsidR="006322CF" w:rsidRPr="006322CF">
        <w:rPr>
          <w:rFonts w:cs="Arial" w:hint="cs"/>
          <w:sz w:val="14"/>
          <w:szCs w:val="14"/>
          <w:u w:val="double"/>
          <w:rtl/>
        </w:rPr>
        <w:t>(קסח.)</w:t>
      </w:r>
      <w:r w:rsidR="006322CF" w:rsidRPr="006322CF">
        <w:rPr>
          <w:rFonts w:cs="Arial" w:hint="cs"/>
          <w:u w:val="double"/>
          <w:rtl/>
        </w:rPr>
        <w:t>:</w:t>
      </w:r>
      <w:r w:rsidR="006322CF" w:rsidRPr="0085789D">
        <w:rPr>
          <w:rFonts w:cs="Arial"/>
          <w:rtl/>
        </w:rPr>
        <w:t xml:space="preserve"> מאי שטרי בירורין? </w:t>
      </w:r>
      <w:r w:rsidR="006322CF" w:rsidRPr="0085789D">
        <w:rPr>
          <w:rFonts w:cs="Arial"/>
          <w:u w:val="single"/>
          <w:rtl/>
        </w:rPr>
        <w:t>הכא תרגמו</w:t>
      </w:r>
      <w:r w:rsidR="006322CF" w:rsidRPr="0085789D">
        <w:rPr>
          <w:rFonts w:cs="Arial"/>
          <w:rtl/>
        </w:rPr>
        <w:t>: שטרי טענתא</w:t>
      </w:r>
      <w:r w:rsidR="006322CF">
        <w:rPr>
          <w:rStyle w:val="ab"/>
          <w:rFonts w:cs="Arial"/>
          <w:rtl/>
        </w:rPr>
        <w:footnoteReference w:id="713"/>
      </w:r>
      <w:r w:rsidR="006322CF" w:rsidRPr="0085789D">
        <w:rPr>
          <w:rFonts w:cs="Arial"/>
          <w:rtl/>
        </w:rPr>
        <w:t xml:space="preserve">, </w:t>
      </w:r>
      <w:r w:rsidR="006322CF" w:rsidRPr="0085789D">
        <w:rPr>
          <w:rFonts w:cs="Arial"/>
          <w:u w:val="single"/>
          <w:rtl/>
        </w:rPr>
        <w:t>רבי ירמיה אמר</w:t>
      </w:r>
      <w:r w:rsidR="006322CF" w:rsidRPr="0085789D">
        <w:rPr>
          <w:rFonts w:cs="Arial"/>
          <w:rtl/>
        </w:rPr>
        <w:t>: זה בורר לו אחד וזה בורר לו אחד.</w:t>
      </w:r>
      <w:r w:rsidR="006322CF">
        <w:rPr>
          <w:rFonts w:cs="Arial" w:hint="cs"/>
          <w:rtl/>
        </w:rPr>
        <w:t xml:space="preserve"> </w:t>
      </w:r>
      <w:r w:rsidR="006322CF" w:rsidRPr="006322CF">
        <w:rPr>
          <w:rFonts w:cs="Arial"/>
          <w:u w:val="single"/>
          <w:rtl/>
        </w:rPr>
        <w:t>ר"ש בן גמליאל אומר</w:t>
      </w:r>
      <w:r w:rsidR="006322CF" w:rsidRPr="006322CF">
        <w:rPr>
          <w:rFonts w:cs="Arial"/>
          <w:rtl/>
        </w:rPr>
        <w:t>: לשניהם כותבין שנים, לזה בעצמו ולזה בעצמו. לימא, בכופין על מדת סדום קא מיפלגי</w:t>
      </w:r>
      <w:r w:rsidR="008059DB">
        <w:rPr>
          <w:rStyle w:val="ab"/>
          <w:rFonts w:cs="Arial"/>
          <w:rtl/>
        </w:rPr>
        <w:footnoteReference w:id="714"/>
      </w:r>
      <w:r w:rsidR="006322CF" w:rsidRPr="006322CF">
        <w:rPr>
          <w:rFonts w:cs="Arial"/>
          <w:rtl/>
        </w:rPr>
        <w:t>, דמר סבר: כופין, ומר סבר: אין כופין! לא, דכולי עלמא - כופין</w:t>
      </w:r>
      <w:r w:rsidR="008059DB">
        <w:rPr>
          <w:rStyle w:val="ab"/>
          <w:rFonts w:cs="Arial"/>
          <w:rtl/>
        </w:rPr>
        <w:footnoteReference w:id="715"/>
      </w:r>
      <w:r w:rsidR="006322CF" w:rsidRPr="006322CF">
        <w:rPr>
          <w:rFonts w:cs="Arial"/>
          <w:rtl/>
        </w:rPr>
        <w:t>, והכא היינו טעמא דר"ש בן גמליאל, דאמר ליה: לא ניחא לי דתהוי זכותך גבי זכותי, דדמית עלאי כי אריא ארבא</w:t>
      </w:r>
      <w:r w:rsidR="008059DB">
        <w:rPr>
          <w:rStyle w:val="ab"/>
          <w:rFonts w:cs="Arial"/>
          <w:rtl/>
        </w:rPr>
        <w:footnoteReference w:id="716"/>
      </w:r>
      <w:r w:rsidR="006322CF" w:rsidRPr="006322CF">
        <w:rPr>
          <w:rFonts w:cs="Arial"/>
          <w:rtl/>
        </w:rPr>
        <w:t>.</w:t>
      </w:r>
      <w:r w:rsidR="006322CF" w:rsidRPr="00710BD6">
        <w:rPr>
          <w:rFonts w:cs="Arial"/>
          <w:sz w:val="16"/>
          <w:szCs w:val="16"/>
          <w:rtl/>
        </w:rPr>
        <w:t xml:space="preserve"> </w:t>
      </w:r>
      <w:r w:rsidR="006322CF">
        <w:rPr>
          <w:rFonts w:cs="Arial" w:hint="cs"/>
          <w:sz w:val="16"/>
          <w:szCs w:val="16"/>
          <w:rtl/>
        </w:rPr>
        <w:t xml:space="preserve"> </w:t>
      </w:r>
    </w:p>
    <w:p w14:paraId="67F6B6A8" w14:textId="77777777" w:rsidR="008059DB" w:rsidRPr="008059DB" w:rsidRDefault="008059DB" w:rsidP="00EC6236">
      <w:pPr>
        <w:rPr>
          <w:rFonts w:cs="Arial"/>
          <w:rtl/>
        </w:rPr>
      </w:pPr>
      <w:r w:rsidRPr="008059DB">
        <w:rPr>
          <w:rFonts w:cs="Arial" w:hint="cs"/>
          <w:u w:val="single"/>
          <w:rtl/>
        </w:rPr>
        <w:t>כתיבת שטרי טענות</w:t>
      </w:r>
      <w:r w:rsidR="008B6427">
        <w:rPr>
          <w:rFonts w:cs="Arial" w:hint="cs"/>
          <w:u w:val="single"/>
          <w:rtl/>
        </w:rPr>
        <w:t xml:space="preserve"> בעלי הדין בבית הדין</w:t>
      </w:r>
      <w:r w:rsidRPr="008059DB">
        <w:rPr>
          <w:rFonts w:cs="Arial" w:hint="cs"/>
          <w:u w:val="single"/>
          <w:rtl/>
        </w:rPr>
        <w:t>:</w:t>
      </w:r>
    </w:p>
    <w:p w14:paraId="7ECA3606" w14:textId="77777777" w:rsidR="00EC6236" w:rsidRPr="008059DB" w:rsidRDefault="00EC6236" w:rsidP="00C704CB">
      <w:pPr>
        <w:pStyle w:val="ac"/>
        <w:numPr>
          <w:ilvl w:val="0"/>
          <w:numId w:val="9"/>
        </w:numPr>
        <w:rPr>
          <w:rFonts w:cs="Arial"/>
          <w:rtl/>
        </w:rPr>
      </w:pPr>
      <w:r w:rsidRPr="008059DB">
        <w:rPr>
          <w:rFonts w:cs="Arial" w:hint="cs"/>
          <w:rtl/>
        </w:rPr>
        <w:t>טור-</w:t>
      </w:r>
      <w:r w:rsidRPr="008059DB">
        <w:rPr>
          <w:rFonts w:cs="Arial"/>
          <w:rtl/>
        </w:rPr>
        <w:t xml:space="preserve"> באו לכתוב טענותיהם</w:t>
      </w:r>
      <w:r w:rsidR="00B43C87">
        <w:rPr>
          <w:rFonts w:cs="Arial" w:hint="cs"/>
          <w:rtl/>
        </w:rPr>
        <w:t xml:space="preserve"> -</w:t>
      </w:r>
      <w:r w:rsidRPr="008059DB">
        <w:rPr>
          <w:rFonts w:cs="Arial"/>
          <w:rtl/>
        </w:rPr>
        <w:t xml:space="preserve"> לא יכתבו אלא מדעת שניהם</w:t>
      </w:r>
      <w:r w:rsidR="00B43C87">
        <w:rPr>
          <w:rFonts w:cs="Arial" w:hint="cs"/>
          <w:rtl/>
        </w:rPr>
        <w:t>,</w:t>
      </w:r>
      <w:r w:rsidRPr="008059DB">
        <w:rPr>
          <w:rFonts w:cs="Arial"/>
          <w:rtl/>
        </w:rPr>
        <w:t xml:space="preserve"> ושניהם נותנין שכר הסופר</w:t>
      </w:r>
      <w:r w:rsidRPr="008059DB">
        <w:rPr>
          <w:rFonts w:cs="Arial" w:hint="cs"/>
          <w:rtl/>
        </w:rPr>
        <w:t xml:space="preserve">. </w:t>
      </w:r>
      <w:r w:rsidR="008059DB">
        <w:rPr>
          <w:rFonts w:cs="Arial" w:hint="cs"/>
          <w:color w:val="E36C0A" w:themeColor="accent6" w:themeShade="BF"/>
          <w:rtl/>
        </w:rPr>
        <w:t>(</w:t>
      </w:r>
      <w:r w:rsidRPr="008059DB">
        <w:rPr>
          <w:rFonts w:cs="Arial" w:hint="cs"/>
          <w:color w:val="E36C0A" w:themeColor="accent6" w:themeShade="BF"/>
          <w:rtl/>
        </w:rPr>
        <w:t>וכ"פ בשו"ע</w:t>
      </w:r>
      <w:r w:rsidR="008059DB">
        <w:rPr>
          <w:rFonts w:cs="Arial" w:hint="cs"/>
          <w:color w:val="E36C0A" w:themeColor="accent6" w:themeShade="BF"/>
          <w:rtl/>
        </w:rPr>
        <w:t>)</w:t>
      </w:r>
    </w:p>
    <w:p w14:paraId="2E879312" w14:textId="77777777" w:rsidR="007458ED" w:rsidRDefault="005F6AA9" w:rsidP="00AE48C5">
      <w:pPr>
        <w:rPr>
          <w:rFonts w:cs="Arial"/>
          <w:rtl/>
        </w:rPr>
      </w:pPr>
      <w:r w:rsidRPr="007458ED">
        <w:rPr>
          <w:rFonts w:cs="Arial" w:hint="cs"/>
          <w:u w:val="single"/>
          <w:rtl/>
        </w:rPr>
        <w:t xml:space="preserve">האם אפשר לכפות אדם </w:t>
      </w:r>
      <w:r w:rsidR="007458ED" w:rsidRPr="007458ED">
        <w:rPr>
          <w:rFonts w:cs="Arial" w:hint="cs"/>
          <w:u w:val="single"/>
          <w:rtl/>
        </w:rPr>
        <w:t>שיתן טענות</w:t>
      </w:r>
      <w:r w:rsidR="006322CF">
        <w:rPr>
          <w:rFonts w:cs="Arial" w:hint="cs"/>
          <w:u w:val="single"/>
          <w:rtl/>
        </w:rPr>
        <w:t>יו</w:t>
      </w:r>
      <w:r w:rsidR="007458ED" w:rsidRPr="007458ED">
        <w:rPr>
          <w:rFonts w:cs="Arial" w:hint="cs"/>
          <w:u w:val="single"/>
          <w:rtl/>
        </w:rPr>
        <w:t xml:space="preserve"> בכתב</w:t>
      </w:r>
      <w:r w:rsidR="008B6427">
        <w:rPr>
          <w:rFonts w:cs="Arial" w:hint="cs"/>
          <w:u w:val="single"/>
          <w:rtl/>
        </w:rPr>
        <w:t xml:space="preserve"> לבעל דינו/לבית דין</w:t>
      </w:r>
      <w:r w:rsidR="007458ED" w:rsidRPr="007458ED">
        <w:rPr>
          <w:rFonts w:cs="Arial" w:hint="cs"/>
          <w:u w:val="single"/>
          <w:rtl/>
        </w:rPr>
        <w:t>:</w:t>
      </w:r>
    </w:p>
    <w:p w14:paraId="2221DC01" w14:textId="77777777" w:rsidR="007458ED" w:rsidRDefault="00AE48C5" w:rsidP="00C704CB">
      <w:pPr>
        <w:pStyle w:val="ac"/>
        <w:numPr>
          <w:ilvl w:val="0"/>
          <w:numId w:val="9"/>
        </w:numPr>
        <w:rPr>
          <w:rFonts w:cs="Arial"/>
        </w:rPr>
      </w:pPr>
      <w:r w:rsidRPr="007458ED">
        <w:rPr>
          <w:rFonts w:cs="Arial"/>
          <w:rtl/>
        </w:rPr>
        <w:t>נמוק</w:t>
      </w:r>
      <w:r w:rsidR="00EC6236" w:rsidRPr="007458ED">
        <w:rPr>
          <w:rFonts w:cs="Arial" w:hint="cs"/>
          <w:rtl/>
        </w:rPr>
        <w:t>"</w:t>
      </w:r>
      <w:r w:rsidRPr="007458ED">
        <w:rPr>
          <w:rFonts w:cs="Arial"/>
          <w:rtl/>
        </w:rPr>
        <w:t xml:space="preserve">י </w:t>
      </w:r>
      <w:r w:rsidR="00EC6236" w:rsidRPr="007458ED">
        <w:rPr>
          <w:rFonts w:cs="Arial" w:hint="cs"/>
          <w:sz w:val="16"/>
          <w:szCs w:val="16"/>
          <w:rtl/>
        </w:rPr>
        <w:t>(</w:t>
      </w:r>
      <w:r w:rsidRPr="007458ED">
        <w:rPr>
          <w:rFonts w:cs="Arial"/>
          <w:sz w:val="16"/>
          <w:szCs w:val="16"/>
          <w:rtl/>
        </w:rPr>
        <w:t>פ</w:t>
      </w:r>
      <w:r w:rsidR="00EC6236" w:rsidRPr="007458ED">
        <w:rPr>
          <w:rFonts w:cs="Arial" w:hint="cs"/>
          <w:sz w:val="16"/>
          <w:szCs w:val="16"/>
          <w:rtl/>
        </w:rPr>
        <w:t>'</w:t>
      </w:r>
      <w:r w:rsidRPr="007458ED">
        <w:rPr>
          <w:rFonts w:cs="Arial"/>
          <w:sz w:val="16"/>
          <w:szCs w:val="16"/>
          <w:rtl/>
        </w:rPr>
        <w:t xml:space="preserve"> גט פשוט עח</w:t>
      </w:r>
      <w:r w:rsidR="00EC6236" w:rsidRPr="007458ED">
        <w:rPr>
          <w:rFonts w:cs="Arial" w:hint="cs"/>
          <w:sz w:val="16"/>
          <w:szCs w:val="16"/>
          <w:rtl/>
        </w:rPr>
        <w:t>.</w:t>
      </w:r>
      <w:r w:rsidRPr="007458ED">
        <w:rPr>
          <w:rFonts w:cs="Arial"/>
          <w:sz w:val="16"/>
          <w:szCs w:val="16"/>
          <w:rtl/>
        </w:rPr>
        <w:t>)</w:t>
      </w:r>
      <w:r w:rsidR="007458ED" w:rsidRPr="007458ED">
        <w:rPr>
          <w:rFonts w:cs="Arial" w:hint="cs"/>
          <w:rtl/>
        </w:rPr>
        <w:t xml:space="preserve">- </w:t>
      </w:r>
      <w:r w:rsidRPr="007458ED">
        <w:rPr>
          <w:rFonts w:cs="Arial"/>
          <w:rtl/>
        </w:rPr>
        <w:t xml:space="preserve">למדו מכאן </w:t>
      </w:r>
      <w:r w:rsidR="008B6427">
        <w:rPr>
          <w:rFonts w:cs="Arial" w:hint="cs"/>
          <w:sz w:val="16"/>
          <w:szCs w:val="16"/>
          <w:rtl/>
        </w:rPr>
        <w:t>{</w:t>
      </w:r>
      <w:r w:rsidR="007458ED" w:rsidRPr="007458ED">
        <w:rPr>
          <w:rFonts w:cs="Arial"/>
          <w:sz w:val="16"/>
          <w:szCs w:val="16"/>
          <w:rtl/>
        </w:rPr>
        <w:t>מ</w:t>
      </w:r>
      <w:r w:rsidR="007458ED" w:rsidRPr="007458ED">
        <w:rPr>
          <w:rFonts w:cs="Arial" w:hint="cs"/>
          <w:sz w:val="16"/>
          <w:szCs w:val="16"/>
          <w:rtl/>
        </w:rPr>
        <w:t>מ</w:t>
      </w:r>
      <w:r w:rsidR="007458ED" w:rsidRPr="007458ED">
        <w:rPr>
          <w:rFonts w:cs="Arial"/>
          <w:sz w:val="16"/>
          <w:szCs w:val="16"/>
          <w:rtl/>
        </w:rPr>
        <w:t xml:space="preserve">תניתין </w:t>
      </w:r>
      <w:r w:rsidR="007458ED" w:rsidRPr="007458ED">
        <w:rPr>
          <w:rFonts w:cs="Arial" w:hint="cs"/>
          <w:sz w:val="16"/>
          <w:szCs w:val="16"/>
          <w:rtl/>
        </w:rPr>
        <w:t xml:space="preserve">דלעיל </w:t>
      </w:r>
      <w:r w:rsidR="007458ED" w:rsidRPr="007458ED">
        <w:rPr>
          <w:rFonts w:cs="Arial"/>
          <w:sz w:val="16"/>
          <w:szCs w:val="16"/>
          <w:rtl/>
        </w:rPr>
        <w:t>דאין כותבין שטרי בירורין אלא מדעת שניהם</w:t>
      </w:r>
      <w:r w:rsidR="008B6427">
        <w:rPr>
          <w:rFonts w:cs="Arial" w:hint="cs"/>
          <w:sz w:val="16"/>
          <w:szCs w:val="16"/>
          <w:rtl/>
        </w:rPr>
        <w:t>}</w:t>
      </w:r>
      <w:r w:rsidR="007458ED" w:rsidRPr="007458ED">
        <w:rPr>
          <w:rFonts w:cs="Arial" w:hint="cs"/>
          <w:rtl/>
        </w:rPr>
        <w:t xml:space="preserve"> </w:t>
      </w:r>
      <w:r w:rsidRPr="007458ED">
        <w:rPr>
          <w:rFonts w:cs="Arial"/>
          <w:rtl/>
        </w:rPr>
        <w:t>שאין כופין לשום אדם שיתן טענתו כתובה אפילו לבית דין</w:t>
      </w:r>
      <w:r w:rsidR="004C715B">
        <w:rPr>
          <w:rFonts w:cs="Arial" w:hint="cs"/>
          <w:rtl/>
        </w:rPr>
        <w:t>,</w:t>
      </w:r>
      <w:r w:rsidRPr="007458ED">
        <w:rPr>
          <w:rFonts w:cs="Arial"/>
          <w:rtl/>
        </w:rPr>
        <w:t xml:space="preserve"> וכל שכן לבעל דינו</w:t>
      </w:r>
      <w:r w:rsidR="008B6427">
        <w:rPr>
          <w:rFonts w:cs="Arial" w:hint="cs"/>
          <w:rtl/>
        </w:rPr>
        <w:t>,</w:t>
      </w:r>
      <w:r w:rsidRPr="007458ED">
        <w:rPr>
          <w:rFonts w:cs="Arial"/>
          <w:rtl/>
        </w:rPr>
        <w:t xml:space="preserve"> דדמו עליה כאריא ארבא. </w:t>
      </w:r>
      <w:r w:rsidR="00EC4ABA">
        <w:rPr>
          <w:rFonts w:cs="Arial" w:hint="cs"/>
          <w:color w:val="E36C0A" w:themeColor="accent6" w:themeShade="BF"/>
          <w:rtl/>
        </w:rPr>
        <w:t>(</w:t>
      </w:r>
      <w:r w:rsidR="00EC4ABA" w:rsidRPr="008059DB">
        <w:rPr>
          <w:rFonts w:cs="Arial" w:hint="cs"/>
          <w:color w:val="E36C0A" w:themeColor="accent6" w:themeShade="BF"/>
          <w:rtl/>
        </w:rPr>
        <w:t>וכ"</w:t>
      </w:r>
      <w:r w:rsidR="008F225A">
        <w:rPr>
          <w:rFonts w:cs="Arial" w:hint="cs"/>
          <w:color w:val="E36C0A" w:themeColor="accent6" w:themeShade="BF"/>
          <w:rtl/>
        </w:rPr>
        <w:t>פ</w:t>
      </w:r>
      <w:r w:rsidR="00EC4ABA" w:rsidRPr="008059DB">
        <w:rPr>
          <w:rFonts w:cs="Arial" w:hint="cs"/>
          <w:color w:val="E36C0A" w:themeColor="accent6" w:themeShade="BF"/>
          <w:rtl/>
        </w:rPr>
        <w:t xml:space="preserve"> בשו"ע</w:t>
      </w:r>
      <w:r w:rsidR="00EC4ABA">
        <w:rPr>
          <w:rFonts w:cs="Arial" w:hint="cs"/>
          <w:color w:val="E36C0A" w:themeColor="accent6" w:themeShade="BF"/>
          <w:rtl/>
        </w:rPr>
        <w:t>)</w:t>
      </w:r>
    </w:p>
    <w:p w14:paraId="0801CA43" w14:textId="77777777" w:rsidR="007458ED" w:rsidRDefault="00AE48C5" w:rsidP="00C704CB">
      <w:pPr>
        <w:pStyle w:val="ac"/>
        <w:numPr>
          <w:ilvl w:val="0"/>
          <w:numId w:val="9"/>
        </w:numPr>
        <w:rPr>
          <w:rFonts w:cs="Arial"/>
        </w:rPr>
      </w:pPr>
      <w:r w:rsidRPr="007458ED">
        <w:rPr>
          <w:rFonts w:cs="Arial"/>
          <w:rtl/>
        </w:rPr>
        <w:t xml:space="preserve">רשב"א </w:t>
      </w:r>
      <w:r w:rsidRPr="007458ED">
        <w:rPr>
          <w:rFonts w:cs="Arial"/>
          <w:sz w:val="16"/>
          <w:szCs w:val="16"/>
          <w:rtl/>
        </w:rPr>
        <w:t>(ח"א סי' תתפט)</w:t>
      </w:r>
      <w:r w:rsidR="00EC6236" w:rsidRPr="007458ED">
        <w:rPr>
          <w:rFonts w:cs="Arial" w:hint="cs"/>
          <w:rtl/>
        </w:rPr>
        <w:t xml:space="preserve">- </w:t>
      </w:r>
      <w:r w:rsidRPr="007458ED">
        <w:rPr>
          <w:rFonts w:cs="Arial"/>
          <w:rtl/>
        </w:rPr>
        <w:t>אין מחייבין את התובע ליתן נוסח שטרו לנתבע</w:t>
      </w:r>
      <w:r w:rsidR="00EC6236" w:rsidRPr="007458ED">
        <w:rPr>
          <w:rFonts w:cs="Arial" w:hint="cs"/>
          <w:rtl/>
        </w:rPr>
        <w:t>,</w:t>
      </w:r>
      <w:r w:rsidRPr="007458ED">
        <w:rPr>
          <w:rFonts w:cs="Arial"/>
          <w:rtl/>
        </w:rPr>
        <w:t xml:space="preserve"> וגדולה מזו אמר ר</w:t>
      </w:r>
      <w:r w:rsidR="00EC4ABA">
        <w:rPr>
          <w:rFonts w:cs="Arial" w:hint="cs"/>
          <w:rtl/>
        </w:rPr>
        <w:t>שב"ג</w:t>
      </w:r>
      <w:r w:rsidRPr="007458ED">
        <w:rPr>
          <w:rFonts w:cs="Arial"/>
          <w:rtl/>
        </w:rPr>
        <w:t xml:space="preserve"> בפ</w:t>
      </w:r>
      <w:r w:rsidR="00EC4ABA">
        <w:rPr>
          <w:rFonts w:cs="Arial" w:hint="cs"/>
          <w:rtl/>
        </w:rPr>
        <w:t>'</w:t>
      </w:r>
      <w:r w:rsidRPr="007458ED">
        <w:rPr>
          <w:rFonts w:cs="Arial"/>
          <w:rtl/>
        </w:rPr>
        <w:t xml:space="preserve"> גט פשוט </w:t>
      </w:r>
      <w:r w:rsidRPr="007458ED">
        <w:rPr>
          <w:rFonts w:cs="Arial"/>
          <w:sz w:val="16"/>
          <w:szCs w:val="16"/>
          <w:rtl/>
        </w:rPr>
        <w:t xml:space="preserve">(קסח.) </w:t>
      </w:r>
      <w:r w:rsidRPr="007458ED">
        <w:rPr>
          <w:rFonts w:cs="Arial"/>
          <w:rtl/>
        </w:rPr>
        <w:t>גבי שטרי בירורין דהיינו שטרי טענתא שאין כותבין טענות שניהם בשטר אחד אלא כותבין לזה בפני עצמו ולזה בפני עצמו משום דאמר ליה לא בעינא דתהא זכותי גבי זכותך דדמית עלי כאריא ארבא</w:t>
      </w:r>
      <w:r w:rsidR="00EC6236" w:rsidRPr="007458ED">
        <w:rPr>
          <w:rFonts w:cs="Arial" w:hint="cs"/>
          <w:rtl/>
        </w:rPr>
        <w:t>,</w:t>
      </w:r>
      <w:r w:rsidRPr="007458ED">
        <w:rPr>
          <w:rFonts w:cs="Arial"/>
          <w:rtl/>
        </w:rPr>
        <w:t xml:space="preserve"> ואע</w:t>
      </w:r>
      <w:r w:rsidR="00EC6236" w:rsidRPr="007458ED">
        <w:rPr>
          <w:rFonts w:cs="Arial" w:hint="cs"/>
          <w:rtl/>
        </w:rPr>
        <w:t>"</w:t>
      </w:r>
      <w:r w:rsidRPr="007458ED">
        <w:rPr>
          <w:rFonts w:cs="Arial"/>
          <w:rtl/>
        </w:rPr>
        <w:t>פ שאין הלכה בההיא כרשב</w:t>
      </w:r>
      <w:r w:rsidR="008059DB">
        <w:rPr>
          <w:rFonts w:cs="Arial" w:hint="cs"/>
          <w:rtl/>
        </w:rPr>
        <w:t>"</w:t>
      </w:r>
      <w:r w:rsidRPr="007458ED">
        <w:rPr>
          <w:rFonts w:cs="Arial"/>
          <w:rtl/>
        </w:rPr>
        <w:t>ג</w:t>
      </w:r>
      <w:r w:rsidR="00EC6236" w:rsidRPr="007458ED">
        <w:rPr>
          <w:rFonts w:cs="Arial" w:hint="cs"/>
          <w:rtl/>
        </w:rPr>
        <w:t>,</w:t>
      </w:r>
      <w:r w:rsidRPr="007458ED">
        <w:rPr>
          <w:rFonts w:cs="Arial"/>
          <w:rtl/>
        </w:rPr>
        <w:t xml:space="preserve"> התם הוא</w:t>
      </w:r>
      <w:r w:rsidR="008B6427">
        <w:rPr>
          <w:rFonts w:cs="Arial" w:hint="cs"/>
          <w:rtl/>
        </w:rPr>
        <w:t>,</w:t>
      </w:r>
      <w:r w:rsidRPr="007458ED">
        <w:rPr>
          <w:rFonts w:cs="Arial"/>
          <w:rtl/>
        </w:rPr>
        <w:t xml:space="preserve"> דאינה אלא שטרי טענות בלבד שטענו עכשיו בפני ב</w:t>
      </w:r>
      <w:r w:rsidR="00EC4ABA">
        <w:rPr>
          <w:rFonts w:cs="Arial" w:hint="cs"/>
          <w:rtl/>
        </w:rPr>
        <w:t>"</w:t>
      </w:r>
      <w:r w:rsidRPr="007458ED">
        <w:rPr>
          <w:rFonts w:cs="Arial"/>
          <w:rtl/>
        </w:rPr>
        <w:t>ד ואין כ</w:t>
      </w:r>
      <w:r w:rsidR="00EC4ABA">
        <w:rPr>
          <w:rFonts w:cs="Arial" w:hint="cs"/>
          <w:rtl/>
        </w:rPr>
        <w:t>"</w:t>
      </w:r>
      <w:r w:rsidRPr="007458ED">
        <w:rPr>
          <w:rFonts w:cs="Arial"/>
          <w:rtl/>
        </w:rPr>
        <w:t>כ הפסד בדבר</w:t>
      </w:r>
      <w:r w:rsidR="00EC6236" w:rsidRPr="007458ED">
        <w:rPr>
          <w:rFonts w:cs="Arial" w:hint="cs"/>
          <w:rtl/>
        </w:rPr>
        <w:t>,</w:t>
      </w:r>
      <w:r w:rsidRPr="007458ED">
        <w:rPr>
          <w:rFonts w:cs="Arial"/>
          <w:rtl/>
        </w:rPr>
        <w:t xml:space="preserve"> ועוד שיש בו משום מדת סדום שצריך זה לרבות בשכר</w:t>
      </w:r>
      <w:r w:rsidR="00EC6236" w:rsidRPr="007458ED">
        <w:rPr>
          <w:rFonts w:cs="Arial" w:hint="cs"/>
          <w:rtl/>
        </w:rPr>
        <w:t>,</w:t>
      </w:r>
      <w:r w:rsidRPr="007458ED">
        <w:rPr>
          <w:rFonts w:cs="Arial"/>
          <w:rtl/>
        </w:rPr>
        <w:t xml:space="preserve"> אבל שימסור שטרו ליד הנתבע שיחזר אחר דקדוקין להעליל עליו בטענות </w:t>
      </w:r>
      <w:r w:rsidR="008B6427">
        <w:rPr>
          <w:rFonts w:cs="Arial" w:hint="cs"/>
          <w:rtl/>
        </w:rPr>
        <w:t xml:space="preserve">- </w:t>
      </w:r>
      <w:r w:rsidRPr="007458ED">
        <w:rPr>
          <w:rFonts w:cs="Arial"/>
          <w:rtl/>
        </w:rPr>
        <w:t>הדין עמו</w:t>
      </w:r>
      <w:r w:rsidR="00EC6236" w:rsidRPr="007458ED">
        <w:rPr>
          <w:rFonts w:cs="Arial" w:hint="cs"/>
          <w:rtl/>
        </w:rPr>
        <w:t xml:space="preserve"> </w:t>
      </w:r>
      <w:r w:rsidRPr="007458ED">
        <w:rPr>
          <w:rFonts w:cs="Arial"/>
          <w:rtl/>
        </w:rPr>
        <w:t>שלא ימסור לו</w:t>
      </w:r>
      <w:r w:rsidR="00EC6236" w:rsidRPr="007458ED">
        <w:rPr>
          <w:rFonts w:cs="Arial" w:hint="cs"/>
          <w:rtl/>
        </w:rPr>
        <w:t>,</w:t>
      </w:r>
      <w:r w:rsidRPr="007458ED">
        <w:rPr>
          <w:rFonts w:cs="Arial"/>
          <w:rtl/>
        </w:rPr>
        <w:t xml:space="preserve"> דדמי עליה כאריא ארבא. </w:t>
      </w:r>
    </w:p>
    <w:p w14:paraId="47B93326" w14:textId="77777777" w:rsidR="008059DB" w:rsidRPr="008059DB" w:rsidRDefault="008F225A" w:rsidP="008059DB">
      <w:pPr>
        <w:rPr>
          <w:rFonts w:cs="Arial"/>
          <w:u w:val="single"/>
        </w:rPr>
      </w:pPr>
      <w:r>
        <w:rPr>
          <w:rFonts w:cs="Arial" w:hint="cs"/>
          <w:u w:val="single"/>
          <w:rtl/>
        </w:rPr>
        <w:t>מהו שיקבלו בית דין את טענותיו של אחד מבעלי הדין בכתב בלבד</w:t>
      </w:r>
      <w:r w:rsidR="008059DB" w:rsidRPr="008059DB">
        <w:rPr>
          <w:rFonts w:cs="Arial" w:hint="cs"/>
          <w:u w:val="single"/>
          <w:rtl/>
        </w:rPr>
        <w:t>:</w:t>
      </w:r>
    </w:p>
    <w:p w14:paraId="26EC053C" w14:textId="77777777" w:rsidR="007458ED" w:rsidRDefault="00AE48C5" w:rsidP="00C704CB">
      <w:pPr>
        <w:pStyle w:val="ac"/>
        <w:numPr>
          <w:ilvl w:val="0"/>
          <w:numId w:val="9"/>
        </w:numPr>
        <w:rPr>
          <w:rFonts w:cs="Arial"/>
        </w:rPr>
      </w:pPr>
      <w:r w:rsidRPr="007458ED">
        <w:rPr>
          <w:rFonts w:cs="Arial"/>
          <w:rtl/>
        </w:rPr>
        <w:t xml:space="preserve">ריב"ש </w:t>
      </w:r>
      <w:r w:rsidRPr="007458ED">
        <w:rPr>
          <w:rFonts w:cs="Arial"/>
          <w:sz w:val="16"/>
          <w:szCs w:val="16"/>
          <w:rtl/>
        </w:rPr>
        <w:t>(סי</w:t>
      </w:r>
      <w:r w:rsidR="00EC6236" w:rsidRPr="007458ED">
        <w:rPr>
          <w:rFonts w:cs="Arial" w:hint="cs"/>
          <w:sz w:val="16"/>
          <w:szCs w:val="16"/>
          <w:rtl/>
        </w:rPr>
        <w:t>'</w:t>
      </w:r>
      <w:r w:rsidRPr="007458ED">
        <w:rPr>
          <w:rFonts w:cs="Arial"/>
          <w:sz w:val="16"/>
          <w:szCs w:val="16"/>
          <w:rtl/>
        </w:rPr>
        <w:t xml:space="preserve"> רצח)</w:t>
      </w:r>
      <w:r w:rsidR="00EC6236" w:rsidRPr="007458ED">
        <w:rPr>
          <w:rFonts w:cs="Arial" w:hint="cs"/>
          <w:rtl/>
        </w:rPr>
        <w:t>-</w:t>
      </w:r>
      <w:r w:rsidRPr="007458ED">
        <w:rPr>
          <w:rFonts w:cs="Arial"/>
          <w:rtl/>
        </w:rPr>
        <w:t xml:space="preserve"> שאלתם</w:t>
      </w:r>
      <w:r w:rsidR="008B6427">
        <w:rPr>
          <w:rFonts w:cs="Arial" w:hint="cs"/>
          <w:rtl/>
        </w:rPr>
        <w:t>,</w:t>
      </w:r>
      <w:r w:rsidRPr="007458ED">
        <w:rPr>
          <w:rFonts w:cs="Arial"/>
          <w:rtl/>
        </w:rPr>
        <w:t xml:space="preserve"> שתי כתות באו לדין</w:t>
      </w:r>
      <w:r w:rsidR="008059DB">
        <w:rPr>
          <w:rFonts w:cs="Arial" w:hint="cs"/>
          <w:rtl/>
        </w:rPr>
        <w:t>,</w:t>
      </w:r>
      <w:r w:rsidRPr="007458ED">
        <w:rPr>
          <w:rFonts w:cs="Arial"/>
          <w:rtl/>
        </w:rPr>
        <w:t xml:space="preserve"> האחת מורשה הבא בהרשאה ומסדר טענותיו בכתב ומבקש לפניכם לעשות לו דין באותם הטענות</w:t>
      </w:r>
      <w:r w:rsidR="00EC6236" w:rsidRPr="007458ED">
        <w:rPr>
          <w:rFonts w:cs="Arial" w:hint="cs"/>
          <w:rtl/>
        </w:rPr>
        <w:t>,</w:t>
      </w:r>
      <w:r w:rsidRPr="007458ED">
        <w:rPr>
          <w:rFonts w:cs="Arial"/>
          <w:rtl/>
        </w:rPr>
        <w:t xml:space="preserve"> והכת האחרת משיבה ואומרת שאין לדיינים לקבל שום טענה בכתב. תשובה</w:t>
      </w:r>
      <w:r w:rsidR="008059DB">
        <w:rPr>
          <w:rFonts w:cs="Arial" w:hint="cs"/>
          <w:rtl/>
        </w:rPr>
        <w:t>,</w:t>
      </w:r>
      <w:r w:rsidRPr="007458ED">
        <w:rPr>
          <w:rFonts w:cs="Arial"/>
          <w:rtl/>
        </w:rPr>
        <w:t xml:space="preserve"> כדין משיבה הכת האומרת שאין לדיין לקבל שום טענות בכתב</w:t>
      </w:r>
      <w:r w:rsidR="008F225A">
        <w:rPr>
          <w:rFonts w:cs="Arial" w:hint="cs"/>
          <w:rtl/>
        </w:rPr>
        <w:t>,</w:t>
      </w:r>
      <w:r w:rsidRPr="007458ED">
        <w:rPr>
          <w:rFonts w:cs="Arial"/>
          <w:rtl/>
        </w:rPr>
        <w:t xml:space="preserve"> לפי שאין להטריח לנתבע לקחת טופס מטענות התובע ולהשיב עליהם מתוך הכתב ולעשות הוצאות חנם</w:t>
      </w:r>
      <w:r w:rsidR="005F6AA9" w:rsidRPr="007458ED">
        <w:rPr>
          <w:rFonts w:cs="Arial" w:hint="cs"/>
          <w:rtl/>
        </w:rPr>
        <w:t>,</w:t>
      </w:r>
      <w:r w:rsidRPr="007458ED">
        <w:rPr>
          <w:rFonts w:cs="Arial"/>
          <w:rtl/>
        </w:rPr>
        <w:t xml:space="preserve"> וגם שיש לדיינים לשמוע טענות הכתות מפיהם שמא מתוך דבריהם ילמדו ויבינו מי מהם טוען באמת</w:t>
      </w:r>
      <w:r w:rsidR="005F6AA9" w:rsidRPr="007458ED">
        <w:rPr>
          <w:rFonts w:cs="Arial" w:hint="cs"/>
          <w:rtl/>
        </w:rPr>
        <w:t>,</w:t>
      </w:r>
      <w:r w:rsidRPr="007458ED">
        <w:rPr>
          <w:rFonts w:cs="Arial"/>
          <w:rtl/>
        </w:rPr>
        <w:t xml:space="preserve"> ולא שיבואו בטענות מסודרות מפי אחר כאשר בודה מלבו ליפות טענות של שקר בתיקון הלשון</w:t>
      </w:r>
      <w:r w:rsidR="008F225A">
        <w:rPr>
          <w:rFonts w:cs="Arial" w:hint="cs"/>
          <w:rtl/>
        </w:rPr>
        <w:t>.</w:t>
      </w:r>
      <w:r w:rsidRPr="007458ED">
        <w:rPr>
          <w:rFonts w:cs="Arial"/>
          <w:rtl/>
        </w:rPr>
        <w:t xml:space="preserve"> אלא ישמעו הדיינים טענות התובע והנתבע מפיהם</w:t>
      </w:r>
      <w:r w:rsidR="008F225A">
        <w:rPr>
          <w:rFonts w:cs="Arial" w:hint="cs"/>
          <w:rtl/>
        </w:rPr>
        <w:t>,</w:t>
      </w:r>
      <w:r w:rsidRPr="007458ED">
        <w:rPr>
          <w:rFonts w:cs="Arial"/>
          <w:rtl/>
        </w:rPr>
        <w:t xml:space="preserve"> </w:t>
      </w:r>
      <w:r w:rsidRPr="007458ED">
        <w:rPr>
          <w:rFonts w:cs="Arial"/>
          <w:rtl/>
        </w:rPr>
        <w:lastRenderedPageBreak/>
        <w:t>ויצוו לסופר הדיינים שישים טענותיהם בכתב כפי אשר סדרו אותם מפיהם לפניהם</w:t>
      </w:r>
      <w:r w:rsidR="005F6AA9" w:rsidRPr="007458ED">
        <w:rPr>
          <w:rFonts w:cs="Arial" w:hint="cs"/>
          <w:rtl/>
        </w:rPr>
        <w:t>,</w:t>
      </w:r>
      <w:r w:rsidRPr="007458ED">
        <w:rPr>
          <w:rFonts w:cs="Arial"/>
          <w:rtl/>
        </w:rPr>
        <w:t xml:space="preserve"> וזה למען לא יוכלו הכתות לחזור בהם ממה שטענו בפניהם</w:t>
      </w:r>
      <w:r w:rsidR="005F6AA9" w:rsidRPr="007458ED">
        <w:rPr>
          <w:rFonts w:cs="Arial" w:hint="cs"/>
          <w:rtl/>
        </w:rPr>
        <w:t>.</w:t>
      </w:r>
      <w:r w:rsidR="00EC4ABA" w:rsidRPr="008059DB">
        <w:rPr>
          <w:rFonts w:cs="Arial" w:hint="cs"/>
          <w:rtl/>
        </w:rPr>
        <w:t xml:space="preserve"> </w:t>
      </w:r>
      <w:r w:rsidR="00EC4ABA">
        <w:rPr>
          <w:rFonts w:cs="Arial" w:hint="cs"/>
          <w:color w:val="E36C0A" w:themeColor="accent6" w:themeShade="BF"/>
          <w:rtl/>
        </w:rPr>
        <w:t>(</w:t>
      </w:r>
      <w:r w:rsidR="00EC4ABA" w:rsidRPr="008059DB">
        <w:rPr>
          <w:rFonts w:cs="Arial" w:hint="cs"/>
          <w:color w:val="E36C0A" w:themeColor="accent6" w:themeShade="BF"/>
          <w:rtl/>
        </w:rPr>
        <w:t>וכ"פ בשו"ע</w:t>
      </w:r>
      <w:r w:rsidR="00EC4ABA">
        <w:rPr>
          <w:rFonts w:cs="Arial" w:hint="cs"/>
          <w:color w:val="E36C0A" w:themeColor="accent6" w:themeShade="BF"/>
          <w:rtl/>
        </w:rPr>
        <w:t>)</w:t>
      </w:r>
    </w:p>
    <w:p w14:paraId="47918CC3" w14:textId="77777777" w:rsidR="007D57D6" w:rsidRPr="007458ED" w:rsidRDefault="007D57D6" w:rsidP="00C704CB">
      <w:pPr>
        <w:pStyle w:val="ac"/>
        <w:numPr>
          <w:ilvl w:val="0"/>
          <w:numId w:val="9"/>
        </w:numPr>
        <w:rPr>
          <w:rFonts w:cs="Arial"/>
          <w:rtl/>
        </w:rPr>
      </w:pPr>
      <w:r w:rsidRPr="007458ED">
        <w:rPr>
          <w:rFonts w:cs="Arial"/>
          <w:rtl/>
        </w:rPr>
        <w:t xml:space="preserve">ריטב"א </w:t>
      </w:r>
      <w:r w:rsidRPr="007458ED">
        <w:rPr>
          <w:rFonts w:cs="Arial" w:hint="cs"/>
          <w:sz w:val="16"/>
          <w:szCs w:val="16"/>
          <w:rtl/>
        </w:rPr>
        <w:t xml:space="preserve">(פ"ק </w:t>
      </w:r>
      <w:r w:rsidRPr="007458ED">
        <w:rPr>
          <w:rFonts w:cs="Arial"/>
          <w:sz w:val="16"/>
          <w:szCs w:val="16"/>
          <w:rtl/>
        </w:rPr>
        <w:t>דמכות ו: ד"ה שלא</w:t>
      </w:r>
      <w:r>
        <w:rPr>
          <w:rFonts w:cs="Arial" w:hint="cs"/>
          <w:sz w:val="16"/>
          <w:szCs w:val="16"/>
          <w:rtl/>
        </w:rPr>
        <w:t>,</w:t>
      </w:r>
      <w:r w:rsidRPr="00BB3A4C">
        <w:rPr>
          <w:rFonts w:cs="Arial"/>
          <w:sz w:val="16"/>
          <w:szCs w:val="16"/>
          <w:rtl/>
        </w:rPr>
        <w:t xml:space="preserve"> גבי הנהו לעוז</w:t>
      </w:r>
      <w:r>
        <w:rPr>
          <w:rFonts w:cs="Arial" w:hint="cs"/>
          <w:sz w:val="16"/>
          <w:szCs w:val="16"/>
          <w:rtl/>
        </w:rPr>
        <w:t>א</w:t>
      </w:r>
      <w:r w:rsidRPr="00BB3A4C">
        <w:rPr>
          <w:rFonts w:cs="Arial"/>
          <w:sz w:val="16"/>
          <w:szCs w:val="16"/>
          <w:rtl/>
        </w:rPr>
        <w:t>י</w:t>
      </w:r>
      <w:r>
        <w:rPr>
          <w:rStyle w:val="ab"/>
          <w:rFonts w:cs="Arial"/>
          <w:sz w:val="16"/>
          <w:szCs w:val="16"/>
          <w:rtl/>
        </w:rPr>
        <w:footnoteReference w:id="717"/>
      </w:r>
      <w:r>
        <w:rPr>
          <w:rFonts w:cs="Arial" w:hint="cs"/>
          <w:sz w:val="16"/>
          <w:szCs w:val="16"/>
          <w:rtl/>
        </w:rPr>
        <w:t>, הביאו הב"י בבדה"ב</w:t>
      </w:r>
      <w:r w:rsidRPr="007458ED">
        <w:rPr>
          <w:rFonts w:cs="Arial"/>
          <w:sz w:val="16"/>
          <w:szCs w:val="16"/>
          <w:rtl/>
        </w:rPr>
        <w:t>)</w:t>
      </w:r>
      <w:r>
        <w:rPr>
          <w:rFonts w:cs="Arial" w:hint="cs"/>
          <w:rtl/>
        </w:rPr>
        <w:t xml:space="preserve">- </w:t>
      </w:r>
      <w:r w:rsidRPr="007458ED">
        <w:rPr>
          <w:rFonts w:cs="Arial"/>
          <w:rtl/>
        </w:rPr>
        <w:t xml:space="preserve">יש אומרים דהוא הדין לטענות בעלי דינין דבעינן מפיהם ולא מפי כתבם </w:t>
      </w:r>
      <w:r w:rsidRPr="007458ED">
        <w:rPr>
          <w:rFonts w:cs="Arial"/>
          <w:sz w:val="16"/>
          <w:szCs w:val="16"/>
          <w:rtl/>
        </w:rPr>
        <w:t>(גיטין עא.)</w:t>
      </w:r>
      <w:r>
        <w:rPr>
          <w:rFonts w:cs="Arial" w:hint="cs"/>
          <w:rtl/>
        </w:rPr>
        <w:t xml:space="preserve">, </w:t>
      </w:r>
      <w:r w:rsidRPr="007458ED">
        <w:rPr>
          <w:rFonts w:cs="Arial"/>
          <w:rtl/>
        </w:rPr>
        <w:t>אלא שסופרי הדיינין כותבים טענותיהם. וכ</w:t>
      </w:r>
      <w:r>
        <w:rPr>
          <w:rFonts w:cs="Arial" w:hint="cs"/>
          <w:rtl/>
        </w:rPr>
        <w:t>"</w:t>
      </w:r>
      <w:r w:rsidRPr="007458ED">
        <w:rPr>
          <w:rFonts w:cs="Arial"/>
          <w:rtl/>
        </w:rPr>
        <w:t>כ בהעי</w:t>
      </w:r>
      <w:r>
        <w:rPr>
          <w:rFonts w:cs="Arial" w:hint="cs"/>
          <w:rtl/>
        </w:rPr>
        <w:t>"</w:t>
      </w:r>
      <w:r w:rsidRPr="007458ED">
        <w:rPr>
          <w:rFonts w:cs="Arial"/>
          <w:rtl/>
        </w:rPr>
        <w:t xml:space="preserve">ט </w:t>
      </w:r>
      <w:r w:rsidRPr="007458ED">
        <w:rPr>
          <w:rFonts w:cs="Arial"/>
          <w:sz w:val="16"/>
          <w:szCs w:val="16"/>
          <w:rtl/>
        </w:rPr>
        <w:t xml:space="preserve">(אות ב בירורין א:) </w:t>
      </w:r>
      <w:r w:rsidRPr="007458ED">
        <w:rPr>
          <w:rFonts w:cs="Arial"/>
          <w:rtl/>
        </w:rPr>
        <w:t>שאם אמר שיכתבו טענותיהם וישלחו לבית דין דמצי חבריה לעכב עליה</w:t>
      </w:r>
      <w:r>
        <w:rPr>
          <w:rFonts w:cs="Arial" w:hint="cs"/>
          <w:rtl/>
        </w:rPr>
        <w:t>.</w:t>
      </w:r>
      <w:r w:rsidRPr="007458ED">
        <w:rPr>
          <w:rFonts w:cs="Arial"/>
          <w:rtl/>
        </w:rPr>
        <w:t xml:space="preserve"> ואף לזו הדעת אינו אלא בשולחים לבית דין אבל בנותנים כתבי טענותיהם לבית דין ואומרים שהם טוענים כמו שכתוב שם אין בכך כלום</w:t>
      </w:r>
      <w:r>
        <w:rPr>
          <w:rFonts w:cs="Arial" w:hint="cs"/>
          <w:rtl/>
        </w:rPr>
        <w:t>,</w:t>
      </w:r>
      <w:r w:rsidRPr="007458ED">
        <w:rPr>
          <w:rFonts w:cs="Arial"/>
          <w:rtl/>
        </w:rPr>
        <w:t xml:space="preserve"> וכמו שנהגו דמפיהם קרינן ביה</w:t>
      </w:r>
      <w:r>
        <w:rPr>
          <w:rFonts w:cs="Arial" w:hint="cs"/>
          <w:rtl/>
        </w:rPr>
        <w:t>,</w:t>
      </w:r>
      <w:r w:rsidRPr="007458ED">
        <w:rPr>
          <w:rFonts w:cs="Arial"/>
          <w:rtl/>
        </w:rPr>
        <w:t xml:space="preserve"> אבל דעת רבותינו שכיון שלא שנינו זה אלא בעדים</w:t>
      </w:r>
      <w:r>
        <w:rPr>
          <w:rFonts w:cs="Arial" w:hint="cs"/>
          <w:rtl/>
        </w:rPr>
        <w:t xml:space="preserve"> -</w:t>
      </w:r>
      <w:r w:rsidRPr="007458ED">
        <w:rPr>
          <w:rFonts w:cs="Arial"/>
          <w:rtl/>
        </w:rPr>
        <w:t xml:space="preserve"> בהם הקפיד הכתוב ולא בבעלי דינים</w:t>
      </w:r>
      <w:r>
        <w:rPr>
          <w:rFonts w:cs="Arial" w:hint="cs"/>
          <w:rtl/>
        </w:rPr>
        <w:t>,</w:t>
      </w:r>
      <w:r w:rsidRPr="007458ED">
        <w:rPr>
          <w:rFonts w:cs="Arial"/>
          <w:rtl/>
        </w:rPr>
        <w:t xml:space="preserve"> והנהו לעוזאי עדים הוו</w:t>
      </w:r>
      <w:r>
        <w:rPr>
          <w:rFonts w:cs="Arial" w:hint="cs"/>
          <w:rtl/>
        </w:rPr>
        <w:t>,</w:t>
      </w:r>
      <w:r w:rsidRPr="007458ED">
        <w:rPr>
          <w:rFonts w:cs="Arial"/>
          <w:rtl/>
        </w:rPr>
        <w:t xml:space="preserve"> ומיהו מה שכתב בהעי</w:t>
      </w:r>
      <w:r>
        <w:rPr>
          <w:rFonts w:cs="Arial" w:hint="cs"/>
          <w:rtl/>
        </w:rPr>
        <w:t>"</w:t>
      </w:r>
      <w:r w:rsidRPr="007458ED">
        <w:rPr>
          <w:rFonts w:cs="Arial"/>
          <w:rtl/>
        </w:rPr>
        <w:t xml:space="preserve">ט אמת משום דבעינן ועמדו שני האנשים אשר להם הריב לפני ה' </w:t>
      </w:r>
      <w:r w:rsidRPr="007458ED">
        <w:rPr>
          <w:rFonts w:cs="Arial"/>
          <w:sz w:val="16"/>
          <w:szCs w:val="16"/>
          <w:rtl/>
        </w:rPr>
        <w:t xml:space="preserve">(דברים יט יז) </w:t>
      </w:r>
      <w:r w:rsidRPr="007458ED">
        <w:rPr>
          <w:rFonts w:cs="Arial"/>
          <w:rtl/>
        </w:rPr>
        <w:t xml:space="preserve">ודרשינן </w:t>
      </w:r>
      <w:r w:rsidRPr="007458ED">
        <w:rPr>
          <w:rFonts w:cs="Arial"/>
          <w:sz w:val="16"/>
          <w:szCs w:val="16"/>
          <w:rtl/>
        </w:rPr>
        <w:t xml:space="preserve">(שבועות ל.) </w:t>
      </w:r>
      <w:r w:rsidRPr="007458ED">
        <w:rPr>
          <w:rFonts w:cs="Arial"/>
          <w:rtl/>
        </w:rPr>
        <w:t>אשר להם הריב אלו בעלי דינים לפני ה' אלו הדיינים</w:t>
      </w:r>
      <w:r w:rsidRPr="007458ED">
        <w:rPr>
          <w:rFonts w:cs="Arial" w:hint="cs"/>
          <w:rtl/>
        </w:rPr>
        <w:t>.</w:t>
      </w:r>
    </w:p>
    <w:p w14:paraId="35D1F6FF" w14:textId="77777777" w:rsidR="00E137BC" w:rsidRPr="00576D5C" w:rsidRDefault="00E137BC" w:rsidP="00576D5C">
      <w:pPr>
        <w:rPr>
          <w:rFonts w:asciiTheme="minorBidi" w:hAnsiTheme="minorBidi"/>
          <w:b/>
          <w:bCs/>
          <w:color w:val="000000"/>
          <w:sz w:val="28"/>
          <w:szCs w:val="28"/>
          <w:u w:val="single"/>
          <w:rtl/>
        </w:rPr>
      </w:pPr>
      <w:r w:rsidRPr="00576D5C">
        <w:rPr>
          <w:rFonts w:asciiTheme="minorBidi" w:hAnsiTheme="minorBidi"/>
          <w:b/>
          <w:bCs/>
          <w:color w:val="000000"/>
          <w:sz w:val="28"/>
          <w:szCs w:val="28"/>
          <w:u w:val="single"/>
          <w:rtl/>
        </w:rPr>
        <w:t>שו"ע:</w:t>
      </w:r>
    </w:p>
    <w:p w14:paraId="52FD6C87" w14:textId="77777777" w:rsidR="00E137BC" w:rsidRDefault="00E137BC" w:rsidP="00576D5C">
      <w:pPr>
        <w:rPr>
          <w:rFonts w:asciiTheme="minorBidi" w:hAnsiTheme="minorBidi"/>
          <w:rtl/>
        </w:rPr>
      </w:pPr>
      <w:r w:rsidRPr="00576D5C">
        <w:rPr>
          <w:rFonts w:asciiTheme="minorBidi" w:hAnsiTheme="minorBidi"/>
          <w:rtl/>
        </w:rPr>
        <w:t>אין כופין את האדם שיתן טענותיו בכתב. ואין לדיין לקבל טענות בכתב</w:t>
      </w:r>
      <w:r w:rsidR="00676AA8">
        <w:rPr>
          <w:rStyle w:val="ab"/>
          <w:rFonts w:asciiTheme="minorBidi" w:hAnsiTheme="minorBidi"/>
          <w:rtl/>
        </w:rPr>
        <w:footnoteReference w:id="718"/>
      </w:r>
      <w:r w:rsidRPr="00576D5C">
        <w:rPr>
          <w:rFonts w:asciiTheme="minorBidi" w:hAnsiTheme="minorBidi"/>
          <w:rtl/>
        </w:rPr>
        <w:t>, אלא ישמעו טענותיהם מפיהם ויצוו לסופר לכתבם</w:t>
      </w:r>
      <w:r w:rsidR="00676AA8">
        <w:rPr>
          <w:rStyle w:val="ab"/>
          <w:rFonts w:asciiTheme="minorBidi" w:hAnsiTheme="minorBidi"/>
          <w:rtl/>
        </w:rPr>
        <w:footnoteReference w:id="719"/>
      </w:r>
      <w:r w:rsidRPr="00576D5C">
        <w:rPr>
          <w:rFonts w:asciiTheme="minorBidi" w:hAnsiTheme="minorBidi"/>
          <w:rtl/>
        </w:rPr>
        <w:t xml:space="preserve">. ולא יכתבו אלא מדעת שניהם, ושניהם נותנים שכר הסופר. </w:t>
      </w:r>
      <w:r w:rsidR="00641443" w:rsidRPr="00641443">
        <w:rPr>
          <w:rFonts w:asciiTheme="minorBidi" w:hAnsiTheme="minorBidi" w:hint="cs"/>
          <w:sz w:val="18"/>
          <w:szCs w:val="18"/>
          <w:rtl/>
        </w:rPr>
        <w:t xml:space="preserve">[הגה] </w:t>
      </w:r>
      <w:r w:rsidRPr="00641443">
        <w:rPr>
          <w:rFonts w:asciiTheme="minorBidi" w:hAnsiTheme="minorBidi"/>
          <w:sz w:val="18"/>
          <w:szCs w:val="18"/>
          <w:rtl/>
        </w:rPr>
        <w:t>מיהו אם ב' בעלי דינים רוצים לטעון בכתב, הרשות בידן</w:t>
      </w:r>
      <w:r w:rsidR="00676AA8">
        <w:rPr>
          <w:rStyle w:val="ab"/>
          <w:rFonts w:asciiTheme="minorBidi" w:hAnsiTheme="minorBidi"/>
          <w:sz w:val="18"/>
          <w:szCs w:val="18"/>
          <w:rtl/>
        </w:rPr>
        <w:footnoteReference w:id="720"/>
      </w:r>
      <w:r w:rsidRPr="00641443">
        <w:rPr>
          <w:rFonts w:asciiTheme="minorBidi" w:hAnsiTheme="minorBidi"/>
          <w:sz w:val="18"/>
          <w:szCs w:val="18"/>
          <w:rtl/>
        </w:rPr>
        <w:t>, וכל מה שכותבין אינן יכולים לחזור בהן</w:t>
      </w:r>
      <w:r w:rsidR="00676AA8">
        <w:rPr>
          <w:rStyle w:val="ab"/>
          <w:rFonts w:asciiTheme="minorBidi" w:hAnsiTheme="minorBidi"/>
          <w:sz w:val="18"/>
          <w:szCs w:val="18"/>
          <w:rtl/>
        </w:rPr>
        <w:footnoteReference w:id="721"/>
      </w:r>
      <w:r w:rsidRPr="00641443">
        <w:rPr>
          <w:rFonts w:asciiTheme="minorBidi" w:hAnsiTheme="minorBidi"/>
          <w:sz w:val="18"/>
          <w:szCs w:val="18"/>
          <w:rtl/>
        </w:rPr>
        <w:t xml:space="preserve"> (נ</w:t>
      </w:r>
      <w:r w:rsidR="00EC6236">
        <w:rPr>
          <w:rFonts w:asciiTheme="minorBidi" w:hAnsiTheme="minorBidi" w:hint="cs"/>
          <w:sz w:val="18"/>
          <w:szCs w:val="18"/>
          <w:rtl/>
        </w:rPr>
        <w:t>מוק</w:t>
      </w:r>
      <w:r w:rsidRPr="00641443">
        <w:rPr>
          <w:rFonts w:asciiTheme="minorBidi" w:hAnsiTheme="minorBidi"/>
          <w:sz w:val="18"/>
          <w:szCs w:val="18"/>
          <w:rtl/>
        </w:rPr>
        <w:t>"י פ' גט פשוט)</w:t>
      </w:r>
      <w:r w:rsidR="00EC6236">
        <w:rPr>
          <w:rStyle w:val="ab"/>
          <w:rFonts w:asciiTheme="minorBidi" w:hAnsiTheme="minorBidi"/>
          <w:sz w:val="18"/>
          <w:szCs w:val="18"/>
          <w:rtl/>
        </w:rPr>
        <w:footnoteReference w:id="722"/>
      </w:r>
      <w:r w:rsidRPr="00641443">
        <w:rPr>
          <w:rFonts w:asciiTheme="minorBidi" w:hAnsiTheme="minorBidi"/>
          <w:sz w:val="18"/>
          <w:szCs w:val="18"/>
          <w:rtl/>
        </w:rPr>
        <w:t xml:space="preserve">. </w:t>
      </w:r>
    </w:p>
    <w:p w14:paraId="5F39535A" w14:textId="77777777" w:rsidR="00AE48C5" w:rsidRPr="00576D5C" w:rsidRDefault="00AE48C5" w:rsidP="00576D5C">
      <w:pPr>
        <w:rPr>
          <w:rFonts w:asciiTheme="minorBidi" w:hAnsiTheme="minorBidi"/>
          <w:rtl/>
        </w:rPr>
      </w:pPr>
    </w:p>
    <w:p w14:paraId="353F9B82" w14:textId="77777777" w:rsidR="00E137BC" w:rsidRDefault="00E137BC" w:rsidP="006567B0">
      <w:pPr>
        <w:pStyle w:val="2"/>
        <w:rPr>
          <w:rtl/>
        </w:rPr>
      </w:pPr>
      <w:bookmarkStart w:id="113" w:name="_Toc24883599"/>
      <w:r w:rsidRPr="00576D5C">
        <w:rPr>
          <w:rtl/>
        </w:rPr>
        <w:t>סעיף ד</w:t>
      </w:r>
      <w:r w:rsidR="00AE48C5">
        <w:rPr>
          <w:rFonts w:hint="cs"/>
          <w:rtl/>
        </w:rPr>
        <w:t>:</w:t>
      </w:r>
      <w:r w:rsidR="00305A63">
        <w:rPr>
          <w:rFonts w:hint="cs"/>
          <w:rtl/>
        </w:rPr>
        <w:t xml:space="preserve"> בעל דין שרוצה לפסול את הדיין שבירר חברו.</w:t>
      </w:r>
      <w:bookmarkEnd w:id="113"/>
    </w:p>
    <w:p w14:paraId="643D8EB6" w14:textId="77777777" w:rsidR="00C171B9" w:rsidRDefault="00615EAC" w:rsidP="00305A63">
      <w:pPr>
        <w:rPr>
          <w:rFonts w:cs="Arial"/>
          <w:sz w:val="16"/>
          <w:szCs w:val="16"/>
          <w:rtl/>
        </w:rPr>
      </w:pPr>
      <w:r>
        <w:rPr>
          <w:rFonts w:cs="Arial" w:hint="cs"/>
          <w:b/>
          <w:bCs/>
          <w:rtl/>
        </w:rPr>
        <w:t xml:space="preserve">סנהדרין </w:t>
      </w:r>
      <w:r w:rsidRPr="00CD4460">
        <w:rPr>
          <w:rFonts w:cs="Arial" w:hint="cs"/>
          <w:b/>
          <w:bCs/>
          <w:sz w:val="16"/>
          <w:szCs w:val="16"/>
          <w:rtl/>
        </w:rPr>
        <w:t xml:space="preserve">(ר"פ זה בורר) </w:t>
      </w:r>
      <w:r>
        <w:rPr>
          <w:rFonts w:cs="Arial" w:hint="cs"/>
          <w:b/>
          <w:bCs/>
          <w:rtl/>
        </w:rPr>
        <w:t xml:space="preserve">כג ע"א: </w:t>
      </w:r>
      <w:r w:rsidRPr="00CD4460">
        <w:rPr>
          <w:rFonts w:cs="Arial"/>
          <w:u w:val="double"/>
          <w:rtl/>
        </w:rPr>
        <w:t>משנה</w:t>
      </w:r>
      <w:r>
        <w:rPr>
          <w:rFonts w:cs="Arial" w:hint="cs"/>
          <w:rtl/>
        </w:rPr>
        <w:t xml:space="preserve">:... </w:t>
      </w:r>
      <w:r w:rsidRPr="00CD4460">
        <w:rPr>
          <w:rFonts w:cs="Arial"/>
          <w:rtl/>
        </w:rPr>
        <w:t xml:space="preserve">זה פוסל דיינו של זה וזה פוסל דיינו של זה, </w:t>
      </w:r>
      <w:r w:rsidRPr="001B21E1">
        <w:rPr>
          <w:rFonts w:cs="Arial"/>
          <w:u w:val="single"/>
          <w:rtl/>
        </w:rPr>
        <w:t>דברי רבי מאיר</w:t>
      </w:r>
      <w:r w:rsidRPr="00CD4460">
        <w:rPr>
          <w:rFonts w:cs="Arial"/>
          <w:rtl/>
        </w:rPr>
        <w:t xml:space="preserve">. </w:t>
      </w:r>
      <w:r w:rsidRPr="001B21E1">
        <w:rPr>
          <w:rFonts w:cs="Arial"/>
          <w:u w:val="single"/>
          <w:rtl/>
        </w:rPr>
        <w:t>וחכמים אומרים</w:t>
      </w:r>
      <w:r w:rsidRPr="00CD4460">
        <w:rPr>
          <w:rFonts w:cs="Arial"/>
          <w:rtl/>
        </w:rPr>
        <w:t>: אימתי - בזמן שמביא עליהן ראיה שהן קרובין או פסולין, אבל אם היו כשרין או מומחין מפי בית דין - אינו יכול לפוסלן.</w:t>
      </w:r>
      <w:r w:rsidRPr="00615EAC">
        <w:rPr>
          <w:rFonts w:cs="Arial"/>
          <w:rtl/>
        </w:rPr>
        <w:t xml:space="preserve"> </w:t>
      </w:r>
      <w:r w:rsidRPr="00CD4460">
        <w:rPr>
          <w:rFonts w:cs="Arial"/>
          <w:rtl/>
        </w:rPr>
        <w:t xml:space="preserve">זה פוסל עדיו של זה, וזה פוסל עדיו של זה, </w:t>
      </w:r>
      <w:r w:rsidRPr="001B21E1">
        <w:rPr>
          <w:rFonts w:cs="Arial"/>
          <w:u w:val="single"/>
          <w:rtl/>
        </w:rPr>
        <w:t>דברי רבי מאיר</w:t>
      </w:r>
      <w:r w:rsidRPr="00CD4460">
        <w:rPr>
          <w:rFonts w:cs="Arial"/>
          <w:rtl/>
        </w:rPr>
        <w:t xml:space="preserve">, </w:t>
      </w:r>
      <w:r w:rsidRPr="001B21E1">
        <w:rPr>
          <w:rFonts w:cs="Arial"/>
          <w:u w:val="single"/>
          <w:rtl/>
        </w:rPr>
        <w:t>וחכמים אומרים</w:t>
      </w:r>
      <w:r w:rsidRPr="00CD4460">
        <w:rPr>
          <w:rFonts w:cs="Arial"/>
          <w:rtl/>
        </w:rPr>
        <w:t>: אימתי - בזמן שמביא עליהן ראיה שהן קרובין או פסולין, אבל אם היו כשרין - אינו יכול לפוסלן.</w:t>
      </w:r>
      <w:r>
        <w:rPr>
          <w:rFonts w:hint="cs"/>
          <w:rtl/>
        </w:rPr>
        <w:t xml:space="preserve">        </w:t>
      </w:r>
      <w:r w:rsidRPr="00615EAC">
        <w:rPr>
          <w:rFonts w:hint="cs"/>
          <w:u w:val="double"/>
          <w:rtl/>
        </w:rPr>
        <w:t>גמרא:</w:t>
      </w:r>
      <w:r w:rsidRPr="00615EAC">
        <w:rPr>
          <w:rtl/>
        </w:rPr>
        <w:t xml:space="preserve"> </w:t>
      </w:r>
      <w:r w:rsidRPr="00615EAC">
        <w:rPr>
          <w:rFonts w:cs="Arial"/>
          <w:rtl/>
        </w:rPr>
        <w:t>זה פוסל דיינו כו'. כל כמיניה דפסיל דייני?</w:t>
      </w:r>
      <w:r w:rsidR="002F1065" w:rsidRPr="002F1065">
        <w:rPr>
          <w:rFonts w:cs="Arial"/>
          <w:rtl/>
        </w:rPr>
        <w:t xml:space="preserve"> </w:t>
      </w:r>
      <w:r w:rsidR="002F1065" w:rsidRPr="002F1065">
        <w:rPr>
          <w:rFonts w:cs="Arial"/>
          <w:u w:val="single"/>
          <w:rtl/>
        </w:rPr>
        <w:t>אמר רבי יוחנן</w:t>
      </w:r>
      <w:r w:rsidR="002F1065" w:rsidRPr="002F1065">
        <w:rPr>
          <w:rFonts w:cs="Arial"/>
          <w:rtl/>
        </w:rPr>
        <w:t>: בערכאות שבסוריא שנו, אבל מומחים - לא.</w:t>
      </w:r>
      <w:r w:rsidR="002F1065">
        <w:rPr>
          <w:rFonts w:cs="Arial" w:hint="cs"/>
          <w:rtl/>
        </w:rPr>
        <w:t>..</w:t>
      </w:r>
      <w:r w:rsidR="002F1065" w:rsidRPr="002F1065">
        <w:rPr>
          <w:rFonts w:cs="Arial"/>
          <w:rtl/>
        </w:rPr>
        <w:t xml:space="preserve"> תניא נמי הכי: לעולם פוסל והולך, עד שיקבל עליו בית דין שמומחה לרבים, דברי רבי מאיר. והא עדים כמומחין דמי ואמר רבי מאיר: זה פוסל עדיו של זה וזה פוסל עדיו של זה</w:t>
      </w:r>
      <w:r>
        <w:rPr>
          <w:rFonts w:cs="Arial" w:hint="cs"/>
          <w:rtl/>
        </w:rPr>
        <w:t xml:space="preserve">... </w:t>
      </w:r>
      <w:r>
        <w:rPr>
          <w:rFonts w:cs="Arial" w:hint="cs"/>
          <w:sz w:val="14"/>
          <w:szCs w:val="14"/>
          <w:rtl/>
        </w:rPr>
        <w:t xml:space="preserve">(כג:) </w:t>
      </w:r>
      <w:r w:rsidRPr="00615EAC">
        <w:rPr>
          <w:rFonts w:cs="Arial"/>
          <w:u w:val="single"/>
          <w:rtl/>
        </w:rPr>
        <w:t>אמר רבי אלעזר</w:t>
      </w:r>
      <w:r w:rsidR="002F1065" w:rsidRPr="002F1065">
        <w:rPr>
          <w:rStyle w:val="ab"/>
          <w:rFonts w:asciiTheme="minorBidi" w:hAnsiTheme="minorBidi"/>
          <w:u w:val="single"/>
          <w:rtl/>
        </w:rPr>
        <w:footnoteReference w:id="723"/>
      </w:r>
      <w:r w:rsidRPr="00615EAC">
        <w:rPr>
          <w:rFonts w:cs="Arial"/>
          <w:rtl/>
        </w:rPr>
        <w:t>: בבא הוא ואחר לפוסלן. כל כמיניה? נוגע בעדותו הוא</w:t>
      </w:r>
      <w:r w:rsidR="002F1065">
        <w:rPr>
          <w:rStyle w:val="ab"/>
          <w:rFonts w:asciiTheme="minorBidi" w:hAnsiTheme="minorBidi"/>
          <w:rtl/>
        </w:rPr>
        <w:footnoteReference w:id="724"/>
      </w:r>
      <w:r w:rsidRPr="00615EAC">
        <w:rPr>
          <w:rFonts w:cs="Arial"/>
          <w:rtl/>
        </w:rPr>
        <w:t xml:space="preserve">! </w:t>
      </w:r>
      <w:r w:rsidRPr="00615EAC">
        <w:rPr>
          <w:rFonts w:cs="Arial"/>
          <w:u w:val="single"/>
          <w:rtl/>
        </w:rPr>
        <w:t>אמר רב אחא בריה דרב איקא</w:t>
      </w:r>
      <w:r w:rsidRPr="00615EAC">
        <w:rPr>
          <w:rFonts w:cs="Arial"/>
          <w:rtl/>
        </w:rPr>
        <w:t>: כגון שקרא עליו ערער</w:t>
      </w:r>
      <w:r w:rsidR="002F1065">
        <w:rPr>
          <w:rStyle w:val="ab"/>
          <w:rFonts w:asciiTheme="minorBidi" w:hAnsiTheme="minorBidi"/>
          <w:rtl/>
        </w:rPr>
        <w:footnoteReference w:id="725"/>
      </w:r>
      <w:r w:rsidRPr="00615EAC">
        <w:rPr>
          <w:rFonts w:cs="Arial"/>
          <w:rtl/>
        </w:rPr>
        <w:t>. ערער דמאי? אילימא ערער דגזלנותא</w:t>
      </w:r>
      <w:r w:rsidR="002F1065">
        <w:rPr>
          <w:rStyle w:val="ab"/>
          <w:rFonts w:asciiTheme="minorBidi" w:hAnsiTheme="minorBidi"/>
          <w:rtl/>
        </w:rPr>
        <w:footnoteReference w:id="726"/>
      </w:r>
      <w:r w:rsidRPr="00615EAC">
        <w:rPr>
          <w:rFonts w:cs="Arial"/>
          <w:rtl/>
        </w:rPr>
        <w:t xml:space="preserve"> - כל כמיניה? נוגע בעדותו הוא</w:t>
      </w:r>
      <w:r w:rsidR="002F1065">
        <w:rPr>
          <w:rStyle w:val="ab"/>
          <w:rFonts w:asciiTheme="minorBidi" w:hAnsiTheme="minorBidi"/>
          <w:rtl/>
        </w:rPr>
        <w:footnoteReference w:id="727"/>
      </w:r>
      <w:r w:rsidRPr="00615EAC">
        <w:rPr>
          <w:rFonts w:cs="Arial"/>
          <w:rtl/>
        </w:rPr>
        <w:t>! אלא: ערער דפגם משפחה</w:t>
      </w:r>
      <w:r w:rsidR="002F1065">
        <w:rPr>
          <w:rStyle w:val="ab"/>
          <w:rFonts w:asciiTheme="minorBidi" w:hAnsiTheme="minorBidi"/>
          <w:rtl/>
        </w:rPr>
        <w:footnoteReference w:id="728"/>
      </w:r>
      <w:r w:rsidRPr="00615EAC">
        <w:rPr>
          <w:rFonts w:cs="Arial"/>
          <w:rtl/>
        </w:rPr>
        <w:t>. רבי מאיר סבר: הני אמשפחה קמסהדי</w:t>
      </w:r>
      <w:r w:rsidR="002F1065">
        <w:rPr>
          <w:rStyle w:val="ab"/>
          <w:rFonts w:asciiTheme="minorBidi" w:hAnsiTheme="minorBidi"/>
          <w:rtl/>
        </w:rPr>
        <w:footnoteReference w:id="729"/>
      </w:r>
      <w:r w:rsidRPr="00615EAC">
        <w:rPr>
          <w:rFonts w:cs="Arial"/>
          <w:rtl/>
        </w:rPr>
        <w:t>, ואיהו ממילא קפסיל. ורבנן סברי: סוף סוף נוגע בעדותו הוא.</w:t>
      </w:r>
      <w:r>
        <w:rPr>
          <w:rFonts w:hint="cs"/>
          <w:rtl/>
        </w:rPr>
        <w:t xml:space="preserve"> </w:t>
      </w:r>
      <w:r w:rsidR="0063446F">
        <w:rPr>
          <w:rFonts w:cs="Arial" w:hint="cs"/>
          <w:sz w:val="16"/>
          <w:szCs w:val="16"/>
          <w:rtl/>
        </w:rPr>
        <w:t>(</w:t>
      </w:r>
      <w:r w:rsidR="00305A63">
        <w:rPr>
          <w:rFonts w:cs="Arial" w:hint="cs"/>
          <w:sz w:val="16"/>
          <w:szCs w:val="16"/>
          <w:rtl/>
        </w:rPr>
        <w:t>ו</w:t>
      </w:r>
      <w:r w:rsidRPr="00615EAC">
        <w:rPr>
          <w:rFonts w:cs="Arial"/>
          <w:sz w:val="16"/>
          <w:szCs w:val="16"/>
          <w:rtl/>
        </w:rPr>
        <w:t>כתב הרא"ש (סי' ג)</w:t>
      </w:r>
      <w:r w:rsidR="00305A63">
        <w:rPr>
          <w:rFonts w:cs="Arial" w:hint="cs"/>
          <w:sz w:val="16"/>
          <w:szCs w:val="16"/>
          <w:rtl/>
        </w:rPr>
        <w:t xml:space="preserve">- </w:t>
      </w:r>
      <w:r w:rsidRPr="00615EAC">
        <w:rPr>
          <w:rFonts w:cs="Arial"/>
          <w:sz w:val="16"/>
          <w:szCs w:val="16"/>
          <w:rtl/>
        </w:rPr>
        <w:t>קיי</w:t>
      </w:r>
      <w:r w:rsidRPr="00615EAC">
        <w:rPr>
          <w:rFonts w:cs="Arial" w:hint="cs"/>
          <w:sz w:val="16"/>
          <w:szCs w:val="16"/>
          <w:rtl/>
        </w:rPr>
        <w:t>"</w:t>
      </w:r>
      <w:r w:rsidRPr="00615EAC">
        <w:rPr>
          <w:rFonts w:cs="Arial"/>
          <w:sz w:val="16"/>
          <w:szCs w:val="16"/>
          <w:rtl/>
        </w:rPr>
        <w:t>ל כרבנן</w:t>
      </w:r>
      <w:r w:rsidR="008F225A">
        <w:rPr>
          <w:rFonts w:cs="Arial" w:hint="cs"/>
          <w:sz w:val="16"/>
          <w:szCs w:val="16"/>
          <w:rtl/>
        </w:rPr>
        <w:t>,</w:t>
      </w:r>
      <w:r w:rsidRPr="00615EAC">
        <w:rPr>
          <w:rFonts w:cs="Arial"/>
          <w:sz w:val="16"/>
          <w:szCs w:val="16"/>
          <w:rtl/>
        </w:rPr>
        <w:t xml:space="preserve"> ואע</w:t>
      </w:r>
      <w:r w:rsidRPr="00615EAC">
        <w:rPr>
          <w:rFonts w:cs="Arial" w:hint="cs"/>
          <w:sz w:val="16"/>
          <w:szCs w:val="16"/>
          <w:rtl/>
        </w:rPr>
        <w:t>"</w:t>
      </w:r>
      <w:r w:rsidRPr="00615EAC">
        <w:rPr>
          <w:rFonts w:cs="Arial"/>
          <w:sz w:val="16"/>
          <w:szCs w:val="16"/>
          <w:rtl/>
        </w:rPr>
        <w:t xml:space="preserve">ג דאיכא אוקימתא אחריתא </w:t>
      </w:r>
      <w:r w:rsidR="00C171B9">
        <w:rPr>
          <w:rFonts w:cs="Arial" w:hint="cs"/>
          <w:sz w:val="14"/>
          <w:szCs w:val="14"/>
          <w:rtl/>
        </w:rPr>
        <w:t xml:space="preserve">{בהמשך הגמ'} </w:t>
      </w:r>
      <w:r w:rsidR="00C171B9">
        <w:rPr>
          <w:rFonts w:cs="Arial" w:hint="cs"/>
          <w:sz w:val="16"/>
          <w:szCs w:val="16"/>
          <w:rtl/>
        </w:rPr>
        <w:t xml:space="preserve">- </w:t>
      </w:r>
      <w:r w:rsidRPr="00615EAC">
        <w:rPr>
          <w:rFonts w:cs="Arial"/>
          <w:sz w:val="16"/>
          <w:szCs w:val="16"/>
          <w:rtl/>
        </w:rPr>
        <w:t>הא נמי דהלכתא היא עכ"ל. ואע</w:t>
      </w:r>
      <w:r w:rsidRPr="00615EAC">
        <w:rPr>
          <w:rFonts w:cs="Arial" w:hint="cs"/>
          <w:sz w:val="16"/>
          <w:szCs w:val="16"/>
          <w:rtl/>
        </w:rPr>
        <w:t>"</w:t>
      </w:r>
      <w:r w:rsidRPr="00615EAC">
        <w:rPr>
          <w:rFonts w:cs="Arial"/>
          <w:sz w:val="16"/>
          <w:szCs w:val="16"/>
          <w:rtl/>
        </w:rPr>
        <w:t>ג דהא מילתא גבי פוסל עדות של חבירו איתמר דבר פשוט הוא דה</w:t>
      </w:r>
      <w:r w:rsidR="00305A63">
        <w:rPr>
          <w:rFonts w:cs="Arial" w:hint="cs"/>
          <w:sz w:val="16"/>
          <w:szCs w:val="16"/>
          <w:rtl/>
        </w:rPr>
        <w:t xml:space="preserve">וא </w:t>
      </w:r>
      <w:r w:rsidRPr="00615EAC">
        <w:rPr>
          <w:rFonts w:cs="Arial"/>
          <w:sz w:val="16"/>
          <w:szCs w:val="16"/>
          <w:rtl/>
        </w:rPr>
        <w:t>ה</w:t>
      </w:r>
      <w:r w:rsidR="00305A63">
        <w:rPr>
          <w:rFonts w:cs="Arial" w:hint="cs"/>
          <w:sz w:val="16"/>
          <w:szCs w:val="16"/>
          <w:rtl/>
        </w:rPr>
        <w:t>דין</w:t>
      </w:r>
      <w:r w:rsidRPr="00615EAC">
        <w:rPr>
          <w:rFonts w:cs="Arial"/>
          <w:sz w:val="16"/>
          <w:szCs w:val="16"/>
          <w:rtl/>
        </w:rPr>
        <w:t xml:space="preserve"> לפוסל דיינו</w:t>
      </w:r>
      <w:r w:rsidR="00305A63">
        <w:rPr>
          <w:rFonts w:cs="Arial" w:hint="cs"/>
          <w:sz w:val="16"/>
          <w:szCs w:val="16"/>
          <w:rtl/>
        </w:rPr>
        <w:t>, ב"י</w:t>
      </w:r>
      <w:r w:rsidR="00C171B9">
        <w:rPr>
          <w:rFonts w:cs="Arial" w:hint="cs"/>
          <w:sz w:val="16"/>
          <w:szCs w:val="16"/>
          <w:rtl/>
        </w:rPr>
        <w:t>)</w:t>
      </w:r>
      <w:r w:rsidR="00305A63" w:rsidRPr="00305A63">
        <w:rPr>
          <w:rFonts w:cs="Arial" w:hint="cs"/>
          <w:sz w:val="16"/>
          <w:szCs w:val="16"/>
          <w:rtl/>
        </w:rPr>
        <w:t xml:space="preserve"> </w:t>
      </w:r>
    </w:p>
    <w:p w14:paraId="2898B6B5" w14:textId="77777777" w:rsidR="00C171B9" w:rsidRPr="00C171B9" w:rsidRDefault="00C171B9" w:rsidP="00305A63">
      <w:pPr>
        <w:rPr>
          <w:rFonts w:cs="Arial"/>
          <w:rtl/>
        </w:rPr>
      </w:pPr>
      <w:r>
        <w:rPr>
          <w:rFonts w:cs="Arial" w:hint="cs"/>
          <w:u w:val="single"/>
          <w:rtl/>
        </w:rPr>
        <w:t>ה</w:t>
      </w:r>
      <w:r w:rsidRPr="00C171B9">
        <w:rPr>
          <w:rFonts w:cs="Arial"/>
          <w:u w:val="single"/>
          <w:rtl/>
        </w:rPr>
        <w:t>בא לפסול דיין שבירר חבירו</w:t>
      </w:r>
      <w:r w:rsidRPr="00C171B9">
        <w:rPr>
          <w:rFonts w:cs="Arial" w:hint="cs"/>
          <w:u w:val="single"/>
          <w:rtl/>
        </w:rPr>
        <w:t>:</w:t>
      </w:r>
    </w:p>
    <w:p w14:paraId="05A60863" w14:textId="77777777" w:rsidR="00767A9D" w:rsidRPr="00C171B9" w:rsidRDefault="00305A63" w:rsidP="004B0475">
      <w:pPr>
        <w:pStyle w:val="ac"/>
        <w:numPr>
          <w:ilvl w:val="0"/>
          <w:numId w:val="66"/>
        </w:numPr>
        <w:rPr>
          <w:rtl/>
        </w:rPr>
      </w:pPr>
      <w:r w:rsidRPr="00C171B9">
        <w:rPr>
          <w:rFonts w:cs="Arial" w:hint="cs"/>
          <w:rtl/>
        </w:rPr>
        <w:t xml:space="preserve">טור- </w:t>
      </w:r>
      <w:r w:rsidRPr="00C171B9">
        <w:rPr>
          <w:rFonts w:cs="Arial"/>
          <w:rtl/>
        </w:rPr>
        <w:t xml:space="preserve">אם אחד בא לפסול דיין שבירר חבירו </w:t>
      </w:r>
      <w:r w:rsidR="007C16F2">
        <w:rPr>
          <w:rFonts w:cs="Arial" w:hint="cs"/>
          <w:rtl/>
        </w:rPr>
        <w:t xml:space="preserve">- </w:t>
      </w:r>
      <w:r w:rsidRPr="00C171B9">
        <w:rPr>
          <w:rFonts w:cs="Arial"/>
          <w:rtl/>
        </w:rPr>
        <w:t>אין שומעין לו אפילו יש לו אח</w:t>
      </w:r>
      <w:r w:rsidR="00C171B9">
        <w:rPr>
          <w:rFonts w:cs="Arial" w:hint="cs"/>
          <w:rtl/>
        </w:rPr>
        <w:t>ד</w:t>
      </w:r>
      <w:r w:rsidRPr="00C171B9">
        <w:rPr>
          <w:rFonts w:cs="Arial"/>
          <w:rtl/>
        </w:rPr>
        <w:t xml:space="preserve"> שמעיד כדבריו</w:t>
      </w:r>
      <w:r w:rsidR="00C171B9">
        <w:rPr>
          <w:rFonts w:cs="Arial" w:hint="cs"/>
          <w:rtl/>
        </w:rPr>
        <w:t>.</w:t>
      </w:r>
      <w:r w:rsidRPr="00C171B9">
        <w:rPr>
          <w:rFonts w:cs="Arial"/>
          <w:rtl/>
        </w:rPr>
        <w:t xml:space="preserve"> ולא מיבעיא אם פוסלו לבדו לומר שהוא גזלן</w:t>
      </w:r>
      <w:r w:rsidR="00C171B9">
        <w:rPr>
          <w:rFonts w:cs="Arial" w:hint="cs"/>
          <w:rtl/>
        </w:rPr>
        <w:t>,</w:t>
      </w:r>
      <w:r w:rsidRPr="00C171B9">
        <w:rPr>
          <w:rFonts w:cs="Arial"/>
          <w:rtl/>
        </w:rPr>
        <w:t xml:space="preserve"> אלא אפילו אם פוסלו בכלל המשפחה </w:t>
      </w:r>
      <w:r w:rsidR="00C171B9">
        <w:rPr>
          <w:rFonts w:cs="Arial" w:hint="cs"/>
          <w:rtl/>
        </w:rPr>
        <w:t xml:space="preserve">- </w:t>
      </w:r>
      <w:r w:rsidRPr="00C171B9">
        <w:rPr>
          <w:rFonts w:cs="Arial"/>
          <w:rtl/>
        </w:rPr>
        <w:t>אין שומעין לו</w:t>
      </w:r>
      <w:r w:rsidR="00C171B9">
        <w:rPr>
          <w:rFonts w:cs="Arial" w:hint="cs"/>
          <w:rtl/>
        </w:rPr>
        <w:t>,</w:t>
      </w:r>
      <w:r w:rsidRPr="00C171B9">
        <w:rPr>
          <w:rFonts w:cs="Arial"/>
          <w:rtl/>
        </w:rPr>
        <w:t xml:space="preserve"> שהוא נוגע בדבר</w:t>
      </w:r>
      <w:r w:rsidRPr="00C171B9">
        <w:rPr>
          <w:rFonts w:cs="Arial" w:hint="cs"/>
          <w:rtl/>
        </w:rPr>
        <w:t xml:space="preserve">. </w:t>
      </w:r>
      <w:r w:rsidR="00C171B9">
        <w:rPr>
          <w:rFonts w:cs="Arial" w:hint="cs"/>
          <w:color w:val="E36C0A" w:themeColor="accent6" w:themeShade="BF"/>
          <w:rtl/>
        </w:rPr>
        <w:t>(</w:t>
      </w:r>
      <w:r w:rsidRPr="00C171B9">
        <w:rPr>
          <w:rFonts w:cs="Arial" w:hint="cs"/>
          <w:color w:val="E36C0A" w:themeColor="accent6" w:themeShade="BF"/>
          <w:rtl/>
        </w:rPr>
        <w:t>וכ"פ בשו"ע</w:t>
      </w:r>
      <w:r w:rsidR="00C171B9">
        <w:rPr>
          <w:rFonts w:cs="Arial" w:hint="cs"/>
          <w:color w:val="E36C0A" w:themeColor="accent6" w:themeShade="BF"/>
          <w:rtl/>
        </w:rPr>
        <w:t>)</w:t>
      </w:r>
    </w:p>
    <w:p w14:paraId="4D9C6E25" w14:textId="77777777" w:rsidR="00E137BC" w:rsidRPr="00576D5C" w:rsidRDefault="00E137BC" w:rsidP="00576D5C">
      <w:pPr>
        <w:rPr>
          <w:rFonts w:asciiTheme="minorBidi" w:hAnsiTheme="minorBidi"/>
          <w:b/>
          <w:bCs/>
          <w:color w:val="000000"/>
          <w:sz w:val="28"/>
          <w:szCs w:val="28"/>
          <w:u w:val="single"/>
          <w:rtl/>
        </w:rPr>
      </w:pPr>
      <w:r w:rsidRPr="00576D5C">
        <w:rPr>
          <w:rFonts w:asciiTheme="minorBidi" w:hAnsiTheme="minorBidi"/>
          <w:b/>
          <w:bCs/>
          <w:color w:val="000000"/>
          <w:sz w:val="28"/>
          <w:szCs w:val="28"/>
          <w:u w:val="single"/>
          <w:rtl/>
        </w:rPr>
        <w:t>שו"ע:</w:t>
      </w:r>
    </w:p>
    <w:p w14:paraId="053A536B" w14:textId="77777777" w:rsidR="00E137BC" w:rsidRDefault="00E137BC" w:rsidP="00576D5C">
      <w:pPr>
        <w:rPr>
          <w:rFonts w:asciiTheme="minorBidi" w:hAnsiTheme="minorBidi"/>
          <w:rtl/>
        </w:rPr>
      </w:pPr>
      <w:r w:rsidRPr="00576D5C">
        <w:rPr>
          <w:rFonts w:asciiTheme="minorBidi" w:hAnsiTheme="minorBidi"/>
          <w:rtl/>
        </w:rPr>
        <w:lastRenderedPageBreak/>
        <w:t>אם בא לפסול דיין שבירר חבירו, בגזלנות או בפיסול משפחה</w:t>
      </w:r>
      <w:r w:rsidR="00305A63">
        <w:rPr>
          <w:rStyle w:val="ab"/>
          <w:rFonts w:asciiTheme="minorBidi" w:hAnsiTheme="minorBidi"/>
          <w:rtl/>
        </w:rPr>
        <w:footnoteReference w:id="730"/>
      </w:r>
      <w:r w:rsidRPr="00576D5C">
        <w:rPr>
          <w:rFonts w:asciiTheme="minorBidi" w:hAnsiTheme="minorBidi"/>
          <w:rtl/>
        </w:rPr>
        <w:t xml:space="preserve">, אין שומעין לו אפילו עד אחד מעיד כדבריו. </w:t>
      </w:r>
    </w:p>
    <w:p w14:paraId="299ED869" w14:textId="77777777" w:rsidR="00AE48C5" w:rsidRPr="00576D5C" w:rsidRDefault="00AE48C5" w:rsidP="00576D5C">
      <w:pPr>
        <w:rPr>
          <w:rFonts w:asciiTheme="minorBidi" w:hAnsiTheme="minorBidi"/>
          <w:rtl/>
        </w:rPr>
      </w:pPr>
    </w:p>
    <w:p w14:paraId="4DE0F1E3" w14:textId="77777777" w:rsidR="00E137BC" w:rsidRDefault="00E137BC" w:rsidP="006567B0">
      <w:pPr>
        <w:pStyle w:val="2"/>
        <w:rPr>
          <w:rtl/>
        </w:rPr>
      </w:pPr>
      <w:bookmarkStart w:id="114" w:name="_Toc24883600"/>
      <w:r w:rsidRPr="00576D5C">
        <w:rPr>
          <w:rtl/>
        </w:rPr>
        <w:t>סעיף ה</w:t>
      </w:r>
      <w:r w:rsidR="00AE48C5">
        <w:rPr>
          <w:rFonts w:hint="cs"/>
          <w:rtl/>
        </w:rPr>
        <w:t>:</w:t>
      </w:r>
      <w:r w:rsidR="00305A63">
        <w:rPr>
          <w:rFonts w:hint="cs"/>
          <w:rtl/>
        </w:rPr>
        <w:t xml:space="preserve"> </w:t>
      </w:r>
      <w:r w:rsidR="00657F77" w:rsidRPr="00657F77">
        <w:rPr>
          <w:rFonts w:cs="Arial" w:hint="cs"/>
          <w:rtl/>
        </w:rPr>
        <w:t>נתבע שבירר דיין שיודע עדות לתובע</w:t>
      </w:r>
      <w:r w:rsidR="00657F77">
        <w:rPr>
          <w:rFonts w:hint="cs"/>
          <w:rtl/>
        </w:rPr>
        <w:t>.</w:t>
      </w:r>
      <w:bookmarkEnd w:id="114"/>
    </w:p>
    <w:p w14:paraId="49AC5EB7" w14:textId="77777777" w:rsidR="00981656" w:rsidRPr="00657F77" w:rsidRDefault="00981656" w:rsidP="00981656">
      <w:pPr>
        <w:rPr>
          <w:rFonts w:cs="Arial"/>
          <w:u w:val="single"/>
        </w:rPr>
      </w:pPr>
      <w:r w:rsidRPr="00657F77">
        <w:rPr>
          <w:rFonts w:cs="Arial" w:hint="cs"/>
          <w:u w:val="single"/>
          <w:rtl/>
        </w:rPr>
        <w:t>נתבע שבירר דיין שיודע עדות לתובע:</w:t>
      </w:r>
    </w:p>
    <w:p w14:paraId="74BA76BB" w14:textId="77777777" w:rsidR="00981656" w:rsidRPr="00657F77" w:rsidRDefault="00981656" w:rsidP="00981656">
      <w:pPr>
        <w:pStyle w:val="ac"/>
        <w:numPr>
          <w:ilvl w:val="0"/>
          <w:numId w:val="10"/>
        </w:numPr>
        <w:rPr>
          <w:rFonts w:cs="Arial"/>
          <w:rtl/>
        </w:rPr>
      </w:pPr>
      <w:r w:rsidRPr="00657F77">
        <w:rPr>
          <w:rFonts w:cs="Arial"/>
          <w:rtl/>
        </w:rPr>
        <w:t>הגה</w:t>
      </w:r>
      <w:r w:rsidRPr="00657F77">
        <w:rPr>
          <w:rFonts w:cs="Arial" w:hint="cs"/>
          <w:rtl/>
        </w:rPr>
        <w:t xml:space="preserve">"מ </w:t>
      </w:r>
      <w:r w:rsidRPr="00657F77">
        <w:rPr>
          <w:rFonts w:cs="Arial" w:hint="cs"/>
          <w:sz w:val="16"/>
          <w:szCs w:val="16"/>
          <w:rtl/>
        </w:rPr>
        <w:t>(</w:t>
      </w:r>
      <w:r w:rsidRPr="00657F77">
        <w:rPr>
          <w:rFonts w:cs="Arial"/>
          <w:sz w:val="16"/>
          <w:szCs w:val="16"/>
          <w:rtl/>
        </w:rPr>
        <w:t>פכ"ד מהל</w:t>
      </w:r>
      <w:r w:rsidRPr="00657F77">
        <w:rPr>
          <w:rFonts w:cs="Arial" w:hint="cs"/>
          <w:sz w:val="16"/>
          <w:szCs w:val="16"/>
          <w:rtl/>
        </w:rPr>
        <w:t>'</w:t>
      </w:r>
      <w:r w:rsidRPr="00657F77">
        <w:rPr>
          <w:rFonts w:cs="Arial"/>
          <w:sz w:val="16"/>
          <w:szCs w:val="16"/>
          <w:rtl/>
        </w:rPr>
        <w:t xml:space="preserve"> סנהדרין אות ד) </w:t>
      </w:r>
      <w:r w:rsidRPr="00657F77">
        <w:rPr>
          <w:rFonts w:cs="Arial"/>
          <w:rtl/>
        </w:rPr>
        <w:t>בשם הר"מ</w:t>
      </w:r>
      <w:r w:rsidRPr="00657F77">
        <w:rPr>
          <w:rFonts w:cs="Arial" w:hint="cs"/>
          <w:rtl/>
        </w:rPr>
        <w:t>-</w:t>
      </w:r>
      <w:r w:rsidRPr="00657F77">
        <w:rPr>
          <w:rFonts w:cs="Arial"/>
          <w:rtl/>
        </w:rPr>
        <w:t xml:space="preserve"> אם בירר הנתבע דיין היודע עדות לתובע דוחקין אותו לברור דיין אחר כדי שיוכל להעיד הוא </w:t>
      </w:r>
      <w:r w:rsidRPr="00657F77">
        <w:rPr>
          <w:rFonts w:cs="Arial" w:hint="cs"/>
          <w:sz w:val="16"/>
          <w:szCs w:val="16"/>
          <w:rtl/>
        </w:rPr>
        <w:t>(</w:t>
      </w:r>
      <w:r w:rsidRPr="00657F77">
        <w:rPr>
          <w:rFonts w:cs="Arial"/>
          <w:sz w:val="16"/>
          <w:szCs w:val="16"/>
          <w:rtl/>
        </w:rPr>
        <w:t>והביא ראיה מהירושלמי</w:t>
      </w:r>
      <w:r w:rsidRPr="00657F77">
        <w:rPr>
          <w:rFonts w:cs="Arial"/>
          <w:rtl/>
        </w:rPr>
        <w:t xml:space="preserve"> </w:t>
      </w:r>
      <w:r w:rsidRPr="00657F77">
        <w:rPr>
          <w:rFonts w:cs="Arial" w:hint="cs"/>
          <w:sz w:val="16"/>
          <w:szCs w:val="16"/>
          <w:rtl/>
        </w:rPr>
        <w:t>[</w:t>
      </w:r>
      <w:r w:rsidRPr="00657F77">
        <w:rPr>
          <w:rFonts w:cs="Arial"/>
          <w:sz w:val="16"/>
          <w:szCs w:val="16"/>
          <w:rtl/>
        </w:rPr>
        <w:t>שם פ"א ה"ב</w:t>
      </w:r>
      <w:r w:rsidRPr="00657F77">
        <w:rPr>
          <w:rFonts w:cs="Arial" w:hint="cs"/>
          <w:sz w:val="16"/>
          <w:szCs w:val="16"/>
          <w:rtl/>
        </w:rPr>
        <w:t>]</w:t>
      </w:r>
      <w:r w:rsidRPr="00657F77">
        <w:rPr>
          <w:rFonts w:cs="Arial"/>
          <w:sz w:val="16"/>
          <w:szCs w:val="16"/>
          <w:rtl/>
        </w:rPr>
        <w:t>)</w:t>
      </w:r>
      <w:r w:rsidRPr="00657F77">
        <w:rPr>
          <w:rFonts w:cs="Arial" w:hint="cs"/>
          <w:rtl/>
        </w:rPr>
        <w:t>.</w:t>
      </w:r>
      <w:r>
        <w:rPr>
          <w:rFonts w:cs="Arial" w:hint="cs"/>
          <w:rtl/>
        </w:rPr>
        <w:t xml:space="preserve"> </w:t>
      </w:r>
      <w:r w:rsidRPr="00657F77">
        <w:rPr>
          <w:rFonts w:cs="Arial" w:hint="cs"/>
          <w:color w:val="E36C0A" w:themeColor="accent6" w:themeShade="BF"/>
          <w:rtl/>
        </w:rPr>
        <w:t>(וכ"פ בשו"ע)</w:t>
      </w:r>
    </w:p>
    <w:p w14:paraId="3069E57C" w14:textId="77777777" w:rsidR="00305A63" w:rsidRPr="00657F77" w:rsidRDefault="00657F77" w:rsidP="00AE48C5">
      <w:pPr>
        <w:rPr>
          <w:rFonts w:cs="Arial"/>
          <w:u w:val="single"/>
          <w:rtl/>
        </w:rPr>
      </w:pPr>
      <w:r w:rsidRPr="00657F77">
        <w:rPr>
          <w:rFonts w:cs="Arial"/>
          <w:u w:val="single"/>
          <w:rtl/>
        </w:rPr>
        <w:t>אלם שאינו רוצה לבא לפני דיינים המבוררים כבר</w:t>
      </w:r>
      <w:r w:rsidRPr="00657F77">
        <w:rPr>
          <w:rFonts w:cs="Arial" w:hint="cs"/>
          <w:u w:val="single"/>
          <w:rtl/>
        </w:rPr>
        <w:t>:</w:t>
      </w:r>
    </w:p>
    <w:p w14:paraId="6995A222" w14:textId="77777777" w:rsidR="00657F77" w:rsidRDefault="00AE48C5" w:rsidP="00C704CB">
      <w:pPr>
        <w:pStyle w:val="ac"/>
        <w:numPr>
          <w:ilvl w:val="0"/>
          <w:numId w:val="10"/>
        </w:numPr>
        <w:rPr>
          <w:rFonts w:cs="Arial"/>
        </w:rPr>
      </w:pPr>
      <w:r w:rsidRPr="00657F77">
        <w:rPr>
          <w:rFonts w:cs="Arial"/>
          <w:rtl/>
        </w:rPr>
        <w:t xml:space="preserve">מהרי"ק </w:t>
      </w:r>
      <w:r w:rsidR="00305A63" w:rsidRPr="00657F77">
        <w:rPr>
          <w:rFonts w:cs="Arial" w:hint="cs"/>
          <w:sz w:val="16"/>
          <w:szCs w:val="16"/>
          <w:rtl/>
        </w:rPr>
        <w:t>(</w:t>
      </w:r>
      <w:r w:rsidRPr="00657F77">
        <w:rPr>
          <w:rFonts w:cs="Arial"/>
          <w:sz w:val="16"/>
          <w:szCs w:val="16"/>
          <w:rtl/>
        </w:rPr>
        <w:t>שורש עט</w:t>
      </w:r>
      <w:r w:rsidR="00305A63" w:rsidRPr="00657F77">
        <w:rPr>
          <w:rFonts w:cs="Arial" w:hint="cs"/>
          <w:sz w:val="16"/>
          <w:szCs w:val="16"/>
          <w:rtl/>
        </w:rPr>
        <w:t>)</w:t>
      </w:r>
      <w:r w:rsidR="00305A63" w:rsidRPr="00657F77">
        <w:rPr>
          <w:rFonts w:cs="Arial" w:hint="cs"/>
          <w:rtl/>
        </w:rPr>
        <w:t>-</w:t>
      </w:r>
      <w:r w:rsidRPr="00657F77">
        <w:rPr>
          <w:rFonts w:cs="Arial"/>
          <w:rtl/>
        </w:rPr>
        <w:t xml:space="preserve"> אלם שאינו רוצה לבא לפני דיינים המבוררים כבר</w:t>
      </w:r>
      <w:r w:rsidR="00305A63" w:rsidRPr="00657F77">
        <w:rPr>
          <w:rFonts w:cs="Arial" w:hint="cs"/>
          <w:rtl/>
        </w:rPr>
        <w:t>,</w:t>
      </w:r>
      <w:r w:rsidRPr="00657F77">
        <w:rPr>
          <w:rFonts w:cs="Arial"/>
          <w:rtl/>
        </w:rPr>
        <w:t xml:space="preserve"> באמרו שאינם עוד ממוצעים לו</w:t>
      </w:r>
      <w:r w:rsidR="00305A63" w:rsidRPr="00657F77">
        <w:rPr>
          <w:rFonts w:cs="Arial" w:hint="cs"/>
          <w:rtl/>
        </w:rPr>
        <w:t>,</w:t>
      </w:r>
      <w:r w:rsidRPr="00657F77">
        <w:rPr>
          <w:rFonts w:cs="Arial"/>
          <w:rtl/>
        </w:rPr>
        <w:t xml:space="preserve"> ודיינים הסמוכים אינם רוצים לדון ביניהם מפני אלמותו</w:t>
      </w:r>
      <w:r w:rsidR="00305A63" w:rsidRPr="00657F77">
        <w:rPr>
          <w:rFonts w:cs="Arial" w:hint="cs"/>
          <w:rtl/>
        </w:rPr>
        <w:t>,</w:t>
      </w:r>
      <w:r w:rsidRPr="00657F77">
        <w:rPr>
          <w:rFonts w:cs="Arial"/>
          <w:rtl/>
        </w:rPr>
        <w:t xml:space="preserve"> מחוייב הוא לחזור ולבא לפני המבוררים ראשונים אשר דנו כבר ביניהם</w:t>
      </w:r>
      <w:r w:rsidR="00305A63" w:rsidRPr="00657F77">
        <w:rPr>
          <w:rFonts w:cs="Arial" w:hint="cs"/>
          <w:rtl/>
        </w:rPr>
        <w:t>.</w:t>
      </w:r>
      <w:r w:rsidRPr="00657F77">
        <w:rPr>
          <w:rFonts w:cs="Arial"/>
          <w:rtl/>
        </w:rPr>
        <w:t xml:space="preserve"> </w:t>
      </w:r>
    </w:p>
    <w:p w14:paraId="2C79D542" w14:textId="77777777" w:rsidR="00E137BC" w:rsidRPr="00576D5C" w:rsidRDefault="00E137BC" w:rsidP="00576D5C">
      <w:pPr>
        <w:rPr>
          <w:rFonts w:asciiTheme="minorBidi" w:hAnsiTheme="minorBidi"/>
          <w:b/>
          <w:bCs/>
          <w:color w:val="000000"/>
          <w:sz w:val="28"/>
          <w:szCs w:val="28"/>
          <w:u w:val="single"/>
          <w:rtl/>
        </w:rPr>
      </w:pPr>
      <w:r w:rsidRPr="00576D5C">
        <w:rPr>
          <w:rFonts w:asciiTheme="minorBidi" w:hAnsiTheme="minorBidi"/>
          <w:b/>
          <w:bCs/>
          <w:color w:val="000000"/>
          <w:sz w:val="28"/>
          <w:szCs w:val="28"/>
          <w:u w:val="single"/>
          <w:rtl/>
        </w:rPr>
        <w:t>שו"ע:</w:t>
      </w:r>
    </w:p>
    <w:p w14:paraId="58F715D3" w14:textId="77777777" w:rsidR="00E137BC" w:rsidRDefault="00E137BC" w:rsidP="00576D5C">
      <w:pPr>
        <w:rPr>
          <w:rFonts w:asciiTheme="minorBidi" w:hAnsiTheme="minorBidi"/>
          <w:rtl/>
        </w:rPr>
      </w:pPr>
      <w:r w:rsidRPr="00576D5C">
        <w:rPr>
          <w:rFonts w:asciiTheme="minorBidi" w:hAnsiTheme="minorBidi"/>
          <w:rtl/>
        </w:rPr>
        <w:t xml:space="preserve">אם בירר הנתבע דיין היודע עדות לתובע, דוחקים אותו לברור דיין אחר. </w:t>
      </w:r>
    </w:p>
    <w:p w14:paraId="1A0D191F" w14:textId="77777777" w:rsidR="00AE48C5" w:rsidRPr="00576D5C" w:rsidRDefault="00AE48C5" w:rsidP="00576D5C">
      <w:pPr>
        <w:rPr>
          <w:rFonts w:asciiTheme="minorBidi" w:hAnsiTheme="minorBidi"/>
          <w:rtl/>
        </w:rPr>
      </w:pPr>
    </w:p>
    <w:p w14:paraId="03896919" w14:textId="77777777" w:rsidR="00E137BC" w:rsidRDefault="00E137BC" w:rsidP="006567B0">
      <w:pPr>
        <w:pStyle w:val="2"/>
        <w:rPr>
          <w:rtl/>
        </w:rPr>
      </w:pPr>
      <w:bookmarkStart w:id="115" w:name="_Toc24883601"/>
      <w:r w:rsidRPr="00576D5C">
        <w:rPr>
          <w:rtl/>
        </w:rPr>
        <w:t>סעיף ו</w:t>
      </w:r>
      <w:r w:rsidR="00AE48C5">
        <w:rPr>
          <w:rFonts w:hint="cs"/>
          <w:rtl/>
        </w:rPr>
        <w:t>:</w:t>
      </w:r>
      <w:r w:rsidR="00657F77">
        <w:rPr>
          <w:rFonts w:hint="cs"/>
          <w:rtl/>
        </w:rPr>
        <w:t xml:space="preserve"> </w:t>
      </w:r>
      <w:r w:rsidR="000C438F">
        <w:rPr>
          <w:rFonts w:hint="cs"/>
          <w:rtl/>
        </w:rPr>
        <w:t>בית דין שהוצרך לשאול דבר מה מבית דין גדול.</w:t>
      </w:r>
      <w:bookmarkEnd w:id="115"/>
    </w:p>
    <w:p w14:paraId="4991855A" w14:textId="77777777" w:rsidR="000C36E8" w:rsidRDefault="00BE67D7" w:rsidP="00BE67D7">
      <w:pPr>
        <w:rPr>
          <w:rFonts w:cs="Arial"/>
          <w:sz w:val="16"/>
          <w:szCs w:val="16"/>
          <w:rtl/>
        </w:rPr>
      </w:pPr>
      <w:r>
        <w:rPr>
          <w:rFonts w:cs="Arial" w:hint="cs"/>
          <w:b/>
          <w:bCs/>
          <w:rtl/>
        </w:rPr>
        <w:t xml:space="preserve">סנהדרין </w:t>
      </w:r>
      <w:r w:rsidRPr="00BE67D7">
        <w:rPr>
          <w:rFonts w:cs="Arial" w:hint="cs"/>
          <w:b/>
          <w:bCs/>
          <w:sz w:val="16"/>
          <w:szCs w:val="16"/>
          <w:rtl/>
        </w:rPr>
        <w:t xml:space="preserve">(ס"פ זה בורר) </w:t>
      </w:r>
      <w:r>
        <w:rPr>
          <w:rFonts w:cs="Arial" w:hint="cs"/>
          <w:b/>
          <w:bCs/>
          <w:rtl/>
        </w:rPr>
        <w:t>לא</w:t>
      </w:r>
      <w:r w:rsidR="00242A7C">
        <w:rPr>
          <w:rStyle w:val="ab"/>
          <w:rFonts w:cs="Arial"/>
          <w:b/>
          <w:bCs/>
          <w:rtl/>
        </w:rPr>
        <w:footnoteReference w:id="731"/>
      </w:r>
      <w:r>
        <w:rPr>
          <w:rFonts w:cs="Arial" w:hint="cs"/>
          <w:b/>
          <w:bCs/>
          <w:rtl/>
        </w:rPr>
        <w:t xml:space="preserve"> ע"ב: </w:t>
      </w:r>
      <w:r w:rsidRPr="00BE67D7">
        <w:rPr>
          <w:rFonts w:cs="Arial"/>
          <w:u w:val="single"/>
          <w:rtl/>
        </w:rPr>
        <w:t>אמר רב ספרא</w:t>
      </w:r>
      <w:r w:rsidRPr="00BE67D7">
        <w:rPr>
          <w:rFonts w:cs="Arial"/>
          <w:rtl/>
        </w:rPr>
        <w:t>: שנים שנתעצמו בדין, אחד אומר</w:t>
      </w:r>
      <w:r w:rsidR="00981656">
        <w:rPr>
          <w:rFonts w:cs="Arial" w:hint="cs"/>
          <w:rtl/>
        </w:rPr>
        <w:t>:</w:t>
      </w:r>
      <w:r w:rsidRPr="00BE67D7">
        <w:rPr>
          <w:rFonts w:cs="Arial"/>
          <w:rtl/>
        </w:rPr>
        <w:t xml:space="preserve"> נדון כאן</w:t>
      </w:r>
      <w:r w:rsidR="00981656">
        <w:rPr>
          <w:rFonts w:cs="Arial" w:hint="cs"/>
          <w:rtl/>
        </w:rPr>
        <w:t>,</w:t>
      </w:r>
      <w:r w:rsidRPr="00BE67D7">
        <w:rPr>
          <w:rFonts w:cs="Arial"/>
          <w:rtl/>
        </w:rPr>
        <w:t xml:space="preserve"> ואחד אומר: נלך למקום הוועד - כופין אותו ודן בעירו, ואם הוצרך דבר לשאול כותבין ושולחין</w:t>
      </w:r>
      <w:r>
        <w:rPr>
          <w:rFonts w:cs="Arial" w:hint="cs"/>
          <w:rtl/>
        </w:rPr>
        <w:t>..</w:t>
      </w:r>
      <w:r w:rsidRPr="00BE67D7">
        <w:rPr>
          <w:rFonts w:cs="Arial"/>
          <w:rtl/>
        </w:rPr>
        <w:t xml:space="preserve">. </w:t>
      </w:r>
    </w:p>
    <w:p w14:paraId="6EB59A0B" w14:textId="77777777" w:rsidR="000C36E8" w:rsidRDefault="000C36E8" w:rsidP="00BE67D7">
      <w:pPr>
        <w:rPr>
          <w:rFonts w:cs="Arial"/>
          <w:rtl/>
        </w:rPr>
      </w:pPr>
      <w:r w:rsidRPr="000C36E8">
        <w:rPr>
          <w:rFonts w:cs="Arial" w:hint="cs"/>
          <w:u w:val="single"/>
          <w:rtl/>
        </w:rPr>
        <w:t xml:space="preserve">בית דין שהוצרך לשאול </w:t>
      </w:r>
      <w:r w:rsidRPr="000C36E8">
        <w:rPr>
          <w:rFonts w:cs="Arial" w:hint="cs"/>
          <w:sz w:val="16"/>
          <w:szCs w:val="16"/>
          <w:u w:val="single"/>
          <w:rtl/>
        </w:rPr>
        <w:t>(שאלה לגבי הדין</w:t>
      </w:r>
      <w:r>
        <w:rPr>
          <w:rFonts w:cs="Arial" w:hint="cs"/>
          <w:sz w:val="16"/>
          <w:szCs w:val="16"/>
          <w:u w:val="single"/>
          <w:rtl/>
        </w:rPr>
        <w:t>)</w:t>
      </w:r>
      <w:r w:rsidRPr="000C36E8">
        <w:rPr>
          <w:rFonts w:cs="Arial" w:hint="cs"/>
          <w:u w:val="single"/>
          <w:rtl/>
        </w:rPr>
        <w:t xml:space="preserve"> את בית הדין הגדול:</w:t>
      </w:r>
    </w:p>
    <w:p w14:paraId="47E39BB8" w14:textId="77777777" w:rsidR="00657F77" w:rsidRDefault="000C438F" w:rsidP="000C36E8">
      <w:pPr>
        <w:pStyle w:val="ac"/>
        <w:numPr>
          <w:ilvl w:val="0"/>
          <w:numId w:val="10"/>
        </w:numPr>
        <w:rPr>
          <w:rFonts w:cs="Arial"/>
        </w:rPr>
      </w:pPr>
      <w:r w:rsidRPr="000C36E8">
        <w:rPr>
          <w:rFonts w:cs="Arial" w:hint="cs"/>
          <w:rtl/>
        </w:rPr>
        <w:t xml:space="preserve">רי"ף </w:t>
      </w:r>
      <w:r w:rsidRPr="000C36E8">
        <w:rPr>
          <w:rFonts w:cs="Arial" w:hint="cs"/>
          <w:sz w:val="16"/>
          <w:szCs w:val="16"/>
          <w:rtl/>
        </w:rPr>
        <w:t>(י.)</w:t>
      </w:r>
      <w:r w:rsidR="000C36E8" w:rsidRPr="000C36E8">
        <w:rPr>
          <w:rFonts w:cs="Arial" w:hint="cs"/>
          <w:rtl/>
        </w:rPr>
        <w:t>-</w:t>
      </w:r>
      <w:r w:rsidRPr="000C36E8">
        <w:rPr>
          <w:rFonts w:cs="Arial" w:hint="cs"/>
          <w:rtl/>
        </w:rPr>
        <w:t xml:space="preserve"> </w:t>
      </w:r>
      <w:r w:rsidRPr="000C36E8">
        <w:rPr>
          <w:rFonts w:cs="Arial"/>
          <w:rtl/>
        </w:rPr>
        <w:t>אם הוצרך דבר לשאול מבית דין הגדול שבירושלם</w:t>
      </w:r>
      <w:r w:rsidR="000C36E8">
        <w:rPr>
          <w:rStyle w:val="ab"/>
          <w:rFonts w:cs="Arial"/>
          <w:rtl/>
        </w:rPr>
        <w:footnoteReference w:id="732"/>
      </w:r>
      <w:r w:rsidRPr="000C36E8">
        <w:rPr>
          <w:rFonts w:cs="Arial"/>
          <w:rtl/>
        </w:rPr>
        <w:t xml:space="preserve"> </w:t>
      </w:r>
      <w:r w:rsidR="000C36E8">
        <w:rPr>
          <w:rFonts w:cs="Arial" w:hint="cs"/>
          <w:rtl/>
        </w:rPr>
        <w:t xml:space="preserve">- </w:t>
      </w:r>
      <w:r w:rsidRPr="000C36E8">
        <w:rPr>
          <w:rFonts w:cs="Arial"/>
          <w:rtl/>
        </w:rPr>
        <w:t>כותבין ושולחין</w:t>
      </w:r>
      <w:r w:rsidR="000C36E8">
        <w:rPr>
          <w:rFonts w:cs="Arial" w:hint="cs"/>
          <w:rtl/>
        </w:rPr>
        <w:t>.</w:t>
      </w:r>
      <w:r w:rsidRPr="000C36E8">
        <w:rPr>
          <w:rFonts w:cs="Arial" w:hint="cs"/>
          <w:rtl/>
        </w:rPr>
        <w:t xml:space="preserve"> </w:t>
      </w:r>
      <w:r w:rsidR="000C36E8">
        <w:rPr>
          <w:rFonts w:cs="Arial" w:hint="cs"/>
          <w:color w:val="E36C0A" w:themeColor="accent6" w:themeShade="BF"/>
          <w:rtl/>
        </w:rPr>
        <w:t>(</w:t>
      </w:r>
      <w:r w:rsidRPr="000C36E8">
        <w:rPr>
          <w:rFonts w:cs="Arial" w:hint="cs"/>
          <w:color w:val="E36C0A" w:themeColor="accent6" w:themeShade="BF"/>
          <w:rtl/>
        </w:rPr>
        <w:t>וכ"פ בשו"ע</w:t>
      </w:r>
      <w:r w:rsidR="000C36E8">
        <w:rPr>
          <w:rFonts w:cs="Arial" w:hint="cs"/>
          <w:color w:val="E36C0A" w:themeColor="accent6" w:themeShade="BF"/>
          <w:rtl/>
        </w:rPr>
        <w:t>)</w:t>
      </w:r>
      <w:r w:rsidR="00981656" w:rsidRPr="000C36E8">
        <w:rPr>
          <w:rFonts w:cs="Arial" w:hint="cs"/>
          <w:rtl/>
        </w:rPr>
        <w:t xml:space="preserve"> </w:t>
      </w:r>
    </w:p>
    <w:p w14:paraId="01D9C846" w14:textId="77777777" w:rsidR="000C36E8" w:rsidRPr="000C36E8" w:rsidRDefault="000C36E8" w:rsidP="000C36E8">
      <w:pPr>
        <w:ind w:left="360"/>
        <w:rPr>
          <w:rFonts w:cs="Arial"/>
          <w:u w:val="dotted"/>
        </w:rPr>
      </w:pPr>
      <w:r w:rsidRPr="000C36E8">
        <w:rPr>
          <w:rFonts w:cs="Arial" w:hint="cs"/>
          <w:u w:val="dotted"/>
          <w:rtl/>
        </w:rPr>
        <w:t>האם הכונה שמעכשיו בית הדין הגדול דנים את בעלי הדין או שרק יכתבו דעתם וישלחו ל</w:t>
      </w:r>
      <w:r>
        <w:rPr>
          <w:rFonts w:cs="Arial" w:hint="cs"/>
          <w:u w:val="dotted"/>
          <w:rtl/>
        </w:rPr>
        <w:t>ב"ד שבמקומם</w:t>
      </w:r>
      <w:r w:rsidRPr="000C36E8">
        <w:rPr>
          <w:rFonts w:cs="Arial" w:hint="cs"/>
          <w:u w:val="dotted"/>
          <w:rtl/>
        </w:rPr>
        <w:t xml:space="preserve"> בחזרה:</w:t>
      </w:r>
    </w:p>
    <w:p w14:paraId="1AE4E486" w14:textId="77777777" w:rsidR="000C36E8" w:rsidRPr="000C36E8" w:rsidRDefault="000C36E8" w:rsidP="000C36E8">
      <w:pPr>
        <w:pStyle w:val="ac"/>
        <w:numPr>
          <w:ilvl w:val="0"/>
          <w:numId w:val="10"/>
        </w:numPr>
        <w:rPr>
          <w:rFonts w:cs="Arial"/>
          <w:rtl/>
        </w:rPr>
      </w:pPr>
      <w:r w:rsidRPr="000C36E8">
        <w:rPr>
          <w:rFonts w:cs="Arial"/>
          <w:rtl/>
        </w:rPr>
        <w:t>נמוק</w:t>
      </w:r>
      <w:r w:rsidRPr="000C36E8">
        <w:rPr>
          <w:rFonts w:cs="Arial" w:hint="cs"/>
          <w:rtl/>
        </w:rPr>
        <w:t>"</w:t>
      </w:r>
      <w:r w:rsidRPr="000C36E8">
        <w:rPr>
          <w:rFonts w:cs="Arial"/>
          <w:rtl/>
        </w:rPr>
        <w:t xml:space="preserve">י </w:t>
      </w:r>
      <w:r w:rsidRPr="000C36E8">
        <w:rPr>
          <w:rFonts w:cs="Arial" w:hint="cs"/>
          <w:sz w:val="16"/>
          <w:szCs w:val="16"/>
          <w:rtl/>
        </w:rPr>
        <w:t>(</w:t>
      </w:r>
      <w:r w:rsidRPr="000C36E8">
        <w:rPr>
          <w:rFonts w:cs="Arial"/>
          <w:sz w:val="16"/>
          <w:szCs w:val="16"/>
          <w:rtl/>
        </w:rPr>
        <w:t>ס</w:t>
      </w:r>
      <w:r w:rsidRPr="000C36E8">
        <w:rPr>
          <w:rFonts w:cs="Arial" w:hint="cs"/>
          <w:sz w:val="16"/>
          <w:szCs w:val="16"/>
          <w:rtl/>
        </w:rPr>
        <w:t>"</w:t>
      </w:r>
      <w:r w:rsidRPr="000C36E8">
        <w:rPr>
          <w:rFonts w:cs="Arial"/>
          <w:sz w:val="16"/>
          <w:szCs w:val="16"/>
          <w:rtl/>
        </w:rPr>
        <w:t>פ זה בורר סנהדרין י</w:t>
      </w:r>
      <w:r w:rsidRPr="000C36E8">
        <w:rPr>
          <w:rFonts w:cs="Arial" w:hint="cs"/>
          <w:sz w:val="16"/>
          <w:szCs w:val="16"/>
          <w:rtl/>
        </w:rPr>
        <w:t>.)</w:t>
      </w:r>
      <w:r>
        <w:rPr>
          <w:rFonts w:cs="Arial" w:hint="cs"/>
          <w:rtl/>
        </w:rPr>
        <w:t xml:space="preserve">- </w:t>
      </w:r>
      <w:r w:rsidRPr="000C36E8">
        <w:rPr>
          <w:rFonts w:cs="Arial"/>
          <w:rtl/>
        </w:rPr>
        <w:t xml:space="preserve">אותו הב"ד </w:t>
      </w:r>
      <w:r>
        <w:rPr>
          <w:rFonts w:cs="Arial" w:hint="cs"/>
          <w:sz w:val="16"/>
          <w:szCs w:val="16"/>
          <w:rtl/>
        </w:rPr>
        <w:t xml:space="preserve">{הגדול} </w:t>
      </w:r>
      <w:r w:rsidRPr="000C36E8">
        <w:rPr>
          <w:rFonts w:cs="Arial"/>
          <w:rtl/>
        </w:rPr>
        <w:t>מודיעין דעתם לאלו</w:t>
      </w:r>
      <w:r w:rsidRPr="000C36E8">
        <w:rPr>
          <w:rFonts w:cs="Arial" w:hint="cs"/>
          <w:rtl/>
        </w:rPr>
        <w:t>,</w:t>
      </w:r>
      <w:r w:rsidRPr="000C36E8">
        <w:rPr>
          <w:rFonts w:cs="Arial"/>
          <w:rtl/>
        </w:rPr>
        <w:t xml:space="preserve"> והם דנין אותם</w:t>
      </w:r>
      <w:r w:rsidRPr="000C36E8">
        <w:rPr>
          <w:rFonts w:cs="Arial" w:hint="cs"/>
          <w:rtl/>
        </w:rPr>
        <w:t>,</w:t>
      </w:r>
      <w:r w:rsidRPr="000C36E8">
        <w:rPr>
          <w:rFonts w:cs="Arial"/>
          <w:rtl/>
        </w:rPr>
        <w:t xml:space="preserve"> דליכא למימר שיפסקו אותו הב"ד עליהם את הדין דהא בעי' שיהו בעלי דין עומדים לפני הדיינים</w:t>
      </w:r>
      <w:r>
        <w:rPr>
          <w:rFonts w:cs="Arial" w:hint="cs"/>
          <w:rtl/>
        </w:rPr>
        <w:t xml:space="preserve">. </w:t>
      </w:r>
      <w:r>
        <w:rPr>
          <w:rFonts w:cs="Arial" w:hint="cs"/>
          <w:color w:val="E36C0A" w:themeColor="accent6" w:themeShade="BF"/>
          <w:rtl/>
        </w:rPr>
        <w:t>(</w:t>
      </w:r>
      <w:r w:rsidRPr="000C36E8">
        <w:rPr>
          <w:rFonts w:cs="Arial" w:hint="cs"/>
          <w:color w:val="E36C0A" w:themeColor="accent6" w:themeShade="BF"/>
          <w:rtl/>
        </w:rPr>
        <w:t>וכ"פ בשו"ע</w:t>
      </w:r>
      <w:r>
        <w:rPr>
          <w:rFonts w:cs="Arial" w:hint="cs"/>
          <w:color w:val="E36C0A" w:themeColor="accent6" w:themeShade="BF"/>
          <w:rtl/>
        </w:rPr>
        <w:t>)</w:t>
      </w:r>
    </w:p>
    <w:p w14:paraId="5A1F99E9" w14:textId="77777777" w:rsidR="000C438F" w:rsidRDefault="000C438F" w:rsidP="000C438F">
      <w:pPr>
        <w:rPr>
          <w:rFonts w:cs="Arial"/>
          <w:rtl/>
        </w:rPr>
      </w:pPr>
      <w:r w:rsidRPr="000C438F">
        <w:rPr>
          <w:rFonts w:cs="Arial" w:hint="cs"/>
          <w:u w:val="single"/>
          <w:rtl/>
        </w:rPr>
        <w:t xml:space="preserve">בעלי דין שאומרים לדיניים שביררו </w:t>
      </w:r>
      <w:r w:rsidRPr="000C438F">
        <w:rPr>
          <w:rFonts w:cs="Arial"/>
          <w:u w:val="single"/>
          <w:rtl/>
        </w:rPr>
        <w:t>–</w:t>
      </w:r>
      <w:r w:rsidRPr="000C438F">
        <w:rPr>
          <w:rFonts w:cs="Arial" w:hint="cs"/>
          <w:u w:val="single"/>
          <w:rtl/>
        </w:rPr>
        <w:t xml:space="preserve"> אל תשאלו דיני לפני חכם פלוני:</w:t>
      </w:r>
    </w:p>
    <w:p w14:paraId="09605717" w14:textId="77777777" w:rsidR="000C438F" w:rsidRDefault="000C438F" w:rsidP="00C704CB">
      <w:pPr>
        <w:pStyle w:val="ac"/>
        <w:numPr>
          <w:ilvl w:val="0"/>
          <w:numId w:val="10"/>
        </w:numPr>
        <w:rPr>
          <w:rtl/>
        </w:rPr>
      </w:pPr>
      <w:r w:rsidRPr="000C438F">
        <w:rPr>
          <w:rFonts w:cs="Arial"/>
          <w:rtl/>
        </w:rPr>
        <w:t>הג</w:t>
      </w:r>
      <w:r w:rsidRPr="000C438F">
        <w:rPr>
          <w:rFonts w:cs="Arial" w:hint="cs"/>
          <w:rtl/>
        </w:rPr>
        <w:t>"א</w:t>
      </w:r>
      <w:r w:rsidRPr="000C438F">
        <w:rPr>
          <w:rFonts w:cs="Arial"/>
          <w:rtl/>
        </w:rPr>
        <w:t xml:space="preserve"> </w:t>
      </w:r>
      <w:r w:rsidRPr="000C438F">
        <w:rPr>
          <w:rFonts w:cs="Arial"/>
          <w:sz w:val="16"/>
          <w:szCs w:val="16"/>
          <w:rtl/>
        </w:rPr>
        <w:t>(</w:t>
      </w:r>
      <w:r>
        <w:rPr>
          <w:rFonts w:cs="Arial" w:hint="cs"/>
          <w:sz w:val="16"/>
          <w:szCs w:val="16"/>
          <w:rtl/>
        </w:rPr>
        <w:t xml:space="preserve">פ' אחד דיני </w:t>
      </w:r>
      <w:r w:rsidRPr="000C438F">
        <w:rPr>
          <w:rFonts w:cs="Arial"/>
          <w:sz w:val="16"/>
          <w:szCs w:val="16"/>
          <w:rtl/>
        </w:rPr>
        <w:t xml:space="preserve">סי' א אות א) </w:t>
      </w:r>
      <w:r w:rsidRPr="000C438F">
        <w:rPr>
          <w:rFonts w:cs="Arial"/>
          <w:rtl/>
        </w:rPr>
        <w:t>בשם או</w:t>
      </w:r>
      <w:r w:rsidRPr="000C438F">
        <w:rPr>
          <w:rFonts w:cs="Arial" w:hint="cs"/>
          <w:rtl/>
        </w:rPr>
        <w:t>"</w:t>
      </w:r>
      <w:r w:rsidRPr="000C438F">
        <w:rPr>
          <w:rFonts w:cs="Arial"/>
          <w:rtl/>
        </w:rPr>
        <w:t xml:space="preserve">ז </w:t>
      </w:r>
      <w:r w:rsidRPr="000C438F">
        <w:rPr>
          <w:rFonts w:cs="Arial"/>
          <w:sz w:val="16"/>
          <w:szCs w:val="16"/>
          <w:rtl/>
        </w:rPr>
        <w:t>(סנהדרין סי' ח)</w:t>
      </w:r>
      <w:r w:rsidRPr="000C438F">
        <w:rPr>
          <w:rFonts w:cs="Arial" w:hint="cs"/>
          <w:rtl/>
        </w:rPr>
        <w:t>-</w:t>
      </w:r>
      <w:r w:rsidRPr="000C438F">
        <w:rPr>
          <w:rFonts w:cs="Arial"/>
          <w:rtl/>
        </w:rPr>
        <w:t xml:space="preserve"> היכא שבררו את שני הדיינים וטענו לפניהם </w:t>
      </w:r>
      <w:r w:rsidR="000C36E8">
        <w:rPr>
          <w:rFonts w:cs="Arial" w:hint="cs"/>
          <w:rtl/>
        </w:rPr>
        <w:t xml:space="preserve">- </w:t>
      </w:r>
      <w:r w:rsidRPr="000C438F">
        <w:rPr>
          <w:rFonts w:cs="Arial"/>
          <w:rtl/>
        </w:rPr>
        <w:t>אין בעלי דינים יכולים לומר לדיינים אל תשאלו דיני לפני פלוני תלמיד חכם אלא בפני פלוני</w:t>
      </w:r>
      <w:r w:rsidR="000C36E8">
        <w:rPr>
          <w:rFonts w:cs="Arial" w:hint="cs"/>
          <w:rtl/>
        </w:rPr>
        <w:t>,</w:t>
      </w:r>
      <w:r w:rsidRPr="000C438F">
        <w:rPr>
          <w:rFonts w:cs="Arial"/>
          <w:rtl/>
        </w:rPr>
        <w:t xml:space="preserve"> דהא הלכה כחכמים דלא בעו דעת בעלי דינים</w:t>
      </w:r>
      <w:r w:rsidRPr="000C438F">
        <w:rPr>
          <w:rFonts w:cs="Arial" w:hint="cs"/>
          <w:rtl/>
        </w:rPr>
        <w:t>.</w:t>
      </w:r>
      <w:r>
        <w:rPr>
          <w:rFonts w:hint="cs"/>
          <w:rtl/>
        </w:rPr>
        <w:t xml:space="preserve"> </w:t>
      </w:r>
      <w:r w:rsidRPr="000C438F">
        <w:rPr>
          <w:rFonts w:hint="cs"/>
          <w:color w:val="00B0F0"/>
          <w:rtl/>
        </w:rPr>
        <w:t>(וכ"פ הרמ"א)</w:t>
      </w:r>
    </w:p>
    <w:p w14:paraId="4FF9BFDB" w14:textId="77777777" w:rsidR="00BE67D7" w:rsidRPr="00BE67D7" w:rsidRDefault="00BE67D7" w:rsidP="00AE48C5">
      <w:pPr>
        <w:rPr>
          <w:rFonts w:cs="Arial"/>
          <w:u w:val="single"/>
          <w:rtl/>
        </w:rPr>
      </w:pPr>
      <w:r w:rsidRPr="00BE67D7">
        <w:rPr>
          <w:rFonts w:cs="Arial"/>
          <w:u w:val="single"/>
          <w:rtl/>
        </w:rPr>
        <w:t xml:space="preserve">ראובן תבע </w:t>
      </w:r>
      <w:r w:rsidR="000C36E8">
        <w:rPr>
          <w:rFonts w:cs="Arial" w:hint="cs"/>
          <w:u w:val="single"/>
          <w:rtl/>
        </w:rPr>
        <w:t xml:space="preserve">את </w:t>
      </w:r>
      <w:r w:rsidRPr="00BE67D7">
        <w:rPr>
          <w:rFonts w:cs="Arial"/>
          <w:u w:val="single"/>
          <w:rtl/>
        </w:rPr>
        <w:t>שמעון בבית דין</w:t>
      </w:r>
      <w:r w:rsidR="000C36E8">
        <w:rPr>
          <w:rFonts w:cs="Arial" w:hint="cs"/>
          <w:u w:val="single"/>
          <w:rtl/>
        </w:rPr>
        <w:t>,</w:t>
      </w:r>
      <w:r w:rsidRPr="00BE67D7">
        <w:rPr>
          <w:rFonts w:cs="Arial"/>
          <w:u w:val="single"/>
          <w:rtl/>
        </w:rPr>
        <w:t xml:space="preserve"> ושמעון </w:t>
      </w:r>
      <w:r>
        <w:rPr>
          <w:rFonts w:cs="Arial" w:hint="cs"/>
          <w:u w:val="single"/>
          <w:rtl/>
        </w:rPr>
        <w:t>ביקש זמן מבית הדין כדי להשיב על טענותיו:</w:t>
      </w:r>
    </w:p>
    <w:p w14:paraId="3B421EBC" w14:textId="77777777" w:rsidR="00AE48C5" w:rsidRDefault="00AE48C5" w:rsidP="00C704CB">
      <w:pPr>
        <w:pStyle w:val="ac"/>
        <w:numPr>
          <w:ilvl w:val="0"/>
          <w:numId w:val="10"/>
        </w:numPr>
        <w:rPr>
          <w:rtl/>
        </w:rPr>
      </w:pPr>
      <w:r w:rsidRPr="00BE67D7">
        <w:rPr>
          <w:rFonts w:cs="Arial"/>
          <w:rtl/>
        </w:rPr>
        <w:t xml:space="preserve">רשב"א </w:t>
      </w:r>
      <w:r w:rsidRPr="00BE67D7">
        <w:rPr>
          <w:rFonts w:cs="Arial"/>
          <w:sz w:val="16"/>
          <w:szCs w:val="16"/>
          <w:rtl/>
        </w:rPr>
        <w:t>(ח"ו סי' קפב)</w:t>
      </w:r>
      <w:r w:rsidR="00BE67D7" w:rsidRPr="00BE67D7">
        <w:rPr>
          <w:rFonts w:cs="Arial" w:hint="cs"/>
          <w:rtl/>
        </w:rPr>
        <w:t>-</w:t>
      </w:r>
      <w:r w:rsidRPr="00BE67D7">
        <w:rPr>
          <w:rFonts w:cs="Arial"/>
          <w:rtl/>
        </w:rPr>
        <w:t xml:space="preserve"> </w:t>
      </w:r>
      <w:r w:rsidR="00BE67D7" w:rsidRPr="00BE67D7">
        <w:rPr>
          <w:rFonts w:cs="Arial" w:hint="cs"/>
          <w:rtl/>
        </w:rPr>
        <w:t>שאלה,</w:t>
      </w:r>
      <w:r w:rsidRPr="00BE67D7">
        <w:rPr>
          <w:rFonts w:cs="Arial"/>
          <w:rtl/>
        </w:rPr>
        <w:t xml:space="preserve"> ראובן תבע לשמעון בבית דין</w:t>
      </w:r>
      <w:r w:rsidR="000C36E8">
        <w:rPr>
          <w:rFonts w:cs="Arial" w:hint="cs"/>
          <w:rtl/>
        </w:rPr>
        <w:t>.</w:t>
      </w:r>
      <w:r w:rsidRPr="00BE67D7">
        <w:rPr>
          <w:rFonts w:cs="Arial"/>
          <w:rtl/>
        </w:rPr>
        <w:t xml:space="preserve"> ושמעון הנתבע השיב </w:t>
      </w:r>
      <w:r w:rsidR="000C36E8">
        <w:rPr>
          <w:rFonts w:cs="Arial" w:hint="cs"/>
          <w:rtl/>
        </w:rPr>
        <w:t>'</w:t>
      </w:r>
      <w:r w:rsidRPr="00BE67D7">
        <w:rPr>
          <w:rFonts w:cs="Arial"/>
          <w:rtl/>
        </w:rPr>
        <w:t>תנו לי זמן ואשיבנו על טענותיו שיתן לי בכתב</w:t>
      </w:r>
      <w:r w:rsidR="000C36E8">
        <w:rPr>
          <w:rFonts w:cs="Arial" w:hint="cs"/>
          <w:rtl/>
        </w:rPr>
        <w:t>'.</w:t>
      </w:r>
      <w:r w:rsidRPr="00BE67D7">
        <w:rPr>
          <w:rFonts w:cs="Arial"/>
          <w:rtl/>
        </w:rPr>
        <w:t xml:space="preserve"> אם יש לבית דין ליתן לו זמן. </w:t>
      </w:r>
      <w:r w:rsidR="00BE67D7" w:rsidRPr="00BE67D7">
        <w:rPr>
          <w:rFonts w:cs="Arial" w:hint="cs"/>
          <w:rtl/>
        </w:rPr>
        <w:t>תשובה,</w:t>
      </w:r>
      <w:r w:rsidRPr="00BE67D7">
        <w:rPr>
          <w:rFonts w:cs="Arial"/>
          <w:rtl/>
        </w:rPr>
        <w:t xml:space="preserve"> לא שמעתי בזה זמן</w:t>
      </w:r>
      <w:r w:rsidR="000C36E8">
        <w:rPr>
          <w:rFonts w:cs="Arial" w:hint="cs"/>
          <w:rtl/>
        </w:rPr>
        <w:t>,</w:t>
      </w:r>
      <w:r w:rsidRPr="00BE67D7">
        <w:rPr>
          <w:rFonts w:cs="Arial"/>
          <w:rtl/>
        </w:rPr>
        <w:t xml:space="preserve"> אבל נראה שזה תלוי בדעת הבית דין</w:t>
      </w:r>
      <w:r w:rsidR="000C36E8">
        <w:rPr>
          <w:rFonts w:cs="Arial" w:hint="cs"/>
          <w:rtl/>
        </w:rPr>
        <w:t>,</w:t>
      </w:r>
      <w:r w:rsidRPr="00BE67D7">
        <w:rPr>
          <w:rFonts w:cs="Arial"/>
          <w:rtl/>
        </w:rPr>
        <w:t xml:space="preserve"> אם יראה בעיניהם שאומר כן ברמאות לדחות את התובע </w:t>
      </w:r>
      <w:r w:rsidR="000C36E8">
        <w:rPr>
          <w:rFonts w:cs="Arial" w:hint="cs"/>
          <w:rtl/>
        </w:rPr>
        <w:t xml:space="preserve">- </w:t>
      </w:r>
      <w:r w:rsidRPr="00BE67D7">
        <w:rPr>
          <w:rFonts w:cs="Arial"/>
          <w:rtl/>
        </w:rPr>
        <w:t>אין נותנין לו זמן ויזקיקוהו להשיב מיד</w:t>
      </w:r>
      <w:r w:rsidR="000C36E8">
        <w:rPr>
          <w:rFonts w:cs="Arial" w:hint="cs"/>
          <w:rtl/>
        </w:rPr>
        <w:t>.</w:t>
      </w:r>
      <w:r w:rsidRPr="00BE67D7">
        <w:rPr>
          <w:rFonts w:cs="Arial"/>
          <w:rtl/>
        </w:rPr>
        <w:t xml:space="preserve"> אבל אם יראה בעיניהם שאינו מתכוין לכך אלא שיש עניינים שצריך אדם לחשוב ולשים הדברים על לבו לזכור מה היה בינו ובין חבירו ולבדוק מה היה בחשבונותיו וכיוצא בזה </w:t>
      </w:r>
      <w:r w:rsidR="000C36E8">
        <w:rPr>
          <w:rFonts w:cs="Arial" w:hint="cs"/>
          <w:rtl/>
        </w:rPr>
        <w:t xml:space="preserve">- </w:t>
      </w:r>
      <w:r w:rsidRPr="00BE67D7">
        <w:rPr>
          <w:rFonts w:cs="Arial"/>
          <w:rtl/>
        </w:rPr>
        <w:t>לזה ודאי מרויחין קצת זמן כמו שיראה בעיניהם</w:t>
      </w:r>
      <w:r w:rsidR="000C36E8">
        <w:rPr>
          <w:rFonts w:cs="Arial" w:hint="cs"/>
          <w:rtl/>
        </w:rPr>
        <w:t>.</w:t>
      </w:r>
      <w:r w:rsidRPr="00BE67D7">
        <w:rPr>
          <w:rFonts w:cs="Arial"/>
          <w:rtl/>
        </w:rPr>
        <w:t xml:space="preserve"> והכל לפי מה שהוא ענין שכל זה מדרך האמת הוא</w:t>
      </w:r>
      <w:r w:rsidR="000C36E8">
        <w:rPr>
          <w:rFonts w:cs="Arial" w:hint="cs"/>
          <w:rtl/>
        </w:rPr>
        <w:t>,</w:t>
      </w:r>
      <w:r w:rsidRPr="00BE67D7">
        <w:rPr>
          <w:rFonts w:cs="Arial"/>
          <w:rtl/>
        </w:rPr>
        <w:t xml:space="preserve"> ועל ידי כן יצא הדין יותר לאמיתו</w:t>
      </w:r>
      <w:r w:rsidR="00BE67D7" w:rsidRPr="00BE67D7">
        <w:rPr>
          <w:rFonts w:cs="Arial" w:hint="cs"/>
          <w:rtl/>
        </w:rPr>
        <w:t>.</w:t>
      </w:r>
    </w:p>
    <w:p w14:paraId="72A1D488" w14:textId="77777777" w:rsidR="00E137BC" w:rsidRPr="00576D5C" w:rsidRDefault="00E137BC" w:rsidP="00576D5C">
      <w:pPr>
        <w:rPr>
          <w:rFonts w:asciiTheme="minorBidi" w:hAnsiTheme="minorBidi"/>
          <w:b/>
          <w:bCs/>
          <w:color w:val="000000"/>
          <w:sz w:val="28"/>
          <w:szCs w:val="28"/>
          <w:u w:val="single"/>
          <w:rtl/>
        </w:rPr>
      </w:pPr>
      <w:r w:rsidRPr="00576D5C">
        <w:rPr>
          <w:rFonts w:asciiTheme="minorBidi" w:hAnsiTheme="minorBidi"/>
          <w:b/>
          <w:bCs/>
          <w:color w:val="000000"/>
          <w:sz w:val="28"/>
          <w:szCs w:val="28"/>
          <w:u w:val="single"/>
          <w:rtl/>
        </w:rPr>
        <w:t>שו"ע:</w:t>
      </w:r>
    </w:p>
    <w:p w14:paraId="45635520" w14:textId="77777777" w:rsidR="00E137BC" w:rsidRDefault="00E137BC" w:rsidP="00576D5C">
      <w:pPr>
        <w:rPr>
          <w:rFonts w:asciiTheme="minorBidi" w:hAnsiTheme="minorBidi"/>
          <w:rtl/>
        </w:rPr>
      </w:pPr>
      <w:r w:rsidRPr="00576D5C">
        <w:rPr>
          <w:rFonts w:asciiTheme="minorBidi" w:hAnsiTheme="minorBidi"/>
          <w:rtl/>
        </w:rPr>
        <w:lastRenderedPageBreak/>
        <w:t>אם הוצרכו הדיינים לשאול דבר מב</w:t>
      </w:r>
      <w:r w:rsidR="000C438F">
        <w:rPr>
          <w:rFonts w:asciiTheme="minorBidi" w:hAnsiTheme="minorBidi" w:hint="cs"/>
          <w:rtl/>
        </w:rPr>
        <w:t xml:space="preserve">ית </w:t>
      </w:r>
      <w:r w:rsidRPr="00576D5C">
        <w:rPr>
          <w:rFonts w:asciiTheme="minorBidi" w:hAnsiTheme="minorBidi"/>
          <w:rtl/>
        </w:rPr>
        <w:t>ד</w:t>
      </w:r>
      <w:r w:rsidR="000C438F">
        <w:rPr>
          <w:rFonts w:asciiTheme="minorBidi" w:hAnsiTheme="minorBidi" w:hint="cs"/>
          <w:rtl/>
        </w:rPr>
        <w:t>ין</w:t>
      </w:r>
      <w:r w:rsidRPr="00576D5C">
        <w:rPr>
          <w:rFonts w:asciiTheme="minorBidi" w:hAnsiTheme="minorBidi"/>
          <w:rtl/>
        </w:rPr>
        <w:t xml:space="preserve"> הגדול</w:t>
      </w:r>
      <w:r w:rsidR="000C438F">
        <w:rPr>
          <w:rFonts w:asciiTheme="minorBidi" w:hAnsiTheme="minorBidi" w:hint="cs"/>
          <w:rtl/>
        </w:rPr>
        <w:t>,</w:t>
      </w:r>
      <w:r w:rsidRPr="00576D5C">
        <w:rPr>
          <w:rFonts w:asciiTheme="minorBidi" w:hAnsiTheme="minorBidi"/>
          <w:rtl/>
        </w:rPr>
        <w:t xml:space="preserve"> כותבין ושולחין, וב</w:t>
      </w:r>
      <w:r w:rsidR="000C438F">
        <w:rPr>
          <w:rFonts w:asciiTheme="minorBidi" w:hAnsiTheme="minorBidi" w:hint="cs"/>
          <w:rtl/>
        </w:rPr>
        <w:t xml:space="preserve">ית </w:t>
      </w:r>
      <w:r w:rsidRPr="00576D5C">
        <w:rPr>
          <w:rFonts w:asciiTheme="minorBidi" w:hAnsiTheme="minorBidi"/>
          <w:rtl/>
        </w:rPr>
        <w:t>ד</w:t>
      </w:r>
      <w:r w:rsidR="000C438F">
        <w:rPr>
          <w:rFonts w:asciiTheme="minorBidi" w:hAnsiTheme="minorBidi" w:hint="cs"/>
          <w:rtl/>
        </w:rPr>
        <w:t>ין</w:t>
      </w:r>
      <w:r w:rsidRPr="00576D5C">
        <w:rPr>
          <w:rFonts w:asciiTheme="minorBidi" w:hAnsiTheme="minorBidi"/>
          <w:rtl/>
        </w:rPr>
        <w:t xml:space="preserve"> הגדול מודיעים להם דעתם</w:t>
      </w:r>
      <w:r w:rsidR="000C438F">
        <w:rPr>
          <w:rFonts w:asciiTheme="minorBidi" w:hAnsiTheme="minorBidi" w:hint="cs"/>
          <w:rtl/>
        </w:rPr>
        <w:t>,</w:t>
      </w:r>
      <w:r w:rsidRPr="00576D5C">
        <w:rPr>
          <w:rFonts w:asciiTheme="minorBidi" w:hAnsiTheme="minorBidi"/>
          <w:rtl/>
        </w:rPr>
        <w:t xml:space="preserve"> והם דנין אותם, דליכא למימר שיפסקו בית דין הגדול עליהם את הדין, דהא בעינן שיהיו בעלי הדין עומדים לפני הדיינים</w:t>
      </w:r>
      <w:r w:rsidR="00871BFC" w:rsidRPr="00871BFC">
        <w:rPr>
          <w:rStyle w:val="ab"/>
          <w:rFonts w:asciiTheme="minorBidi" w:hAnsiTheme="minorBidi"/>
          <w:rtl/>
        </w:rPr>
        <w:footnoteReference w:id="733"/>
      </w:r>
      <w:r w:rsidRPr="00576D5C">
        <w:rPr>
          <w:rFonts w:asciiTheme="minorBidi" w:hAnsiTheme="minorBidi"/>
          <w:rtl/>
        </w:rPr>
        <w:t>.</w:t>
      </w:r>
      <w:r w:rsidRPr="000C438F">
        <w:rPr>
          <w:rFonts w:asciiTheme="minorBidi" w:hAnsiTheme="minorBidi"/>
          <w:sz w:val="18"/>
          <w:szCs w:val="18"/>
          <w:rtl/>
        </w:rPr>
        <w:t xml:space="preserve"> </w:t>
      </w:r>
      <w:r w:rsidR="000C438F" w:rsidRPr="000C438F">
        <w:rPr>
          <w:rFonts w:asciiTheme="minorBidi" w:hAnsiTheme="minorBidi" w:hint="cs"/>
          <w:sz w:val="18"/>
          <w:szCs w:val="18"/>
          <w:rtl/>
        </w:rPr>
        <w:t xml:space="preserve">[הגה] </w:t>
      </w:r>
      <w:r w:rsidRPr="000C438F">
        <w:rPr>
          <w:rFonts w:asciiTheme="minorBidi" w:hAnsiTheme="minorBidi"/>
          <w:sz w:val="18"/>
          <w:szCs w:val="18"/>
          <w:rtl/>
        </w:rPr>
        <w:t>ויכולים לשאול למי שירצו הברורים, ואין צריכים דעת בעלי דינים בזה</w:t>
      </w:r>
      <w:r w:rsidR="000C438F" w:rsidRPr="00871BFC">
        <w:rPr>
          <w:rStyle w:val="ab"/>
          <w:rFonts w:asciiTheme="minorBidi" w:hAnsiTheme="minorBidi"/>
          <w:sz w:val="18"/>
          <w:szCs w:val="18"/>
          <w:rtl/>
        </w:rPr>
        <w:footnoteReference w:id="734"/>
      </w:r>
      <w:r w:rsidRPr="000C438F">
        <w:rPr>
          <w:rFonts w:asciiTheme="minorBidi" w:hAnsiTheme="minorBidi"/>
          <w:sz w:val="18"/>
          <w:szCs w:val="18"/>
          <w:rtl/>
        </w:rPr>
        <w:t xml:space="preserve"> (הג</w:t>
      </w:r>
      <w:r w:rsidR="000C438F" w:rsidRPr="000C438F">
        <w:rPr>
          <w:rFonts w:asciiTheme="minorBidi" w:hAnsiTheme="minorBidi" w:hint="cs"/>
          <w:sz w:val="18"/>
          <w:szCs w:val="18"/>
          <w:rtl/>
        </w:rPr>
        <w:t>"</w:t>
      </w:r>
      <w:r w:rsidRPr="000C438F">
        <w:rPr>
          <w:rFonts w:asciiTheme="minorBidi" w:hAnsiTheme="minorBidi"/>
          <w:sz w:val="18"/>
          <w:szCs w:val="18"/>
          <w:rtl/>
        </w:rPr>
        <w:t xml:space="preserve">א בשם א"ז). </w:t>
      </w:r>
    </w:p>
    <w:p w14:paraId="0EC57FE0" w14:textId="77777777" w:rsidR="00AE48C5" w:rsidRPr="00576D5C" w:rsidRDefault="00AE48C5" w:rsidP="00576D5C">
      <w:pPr>
        <w:rPr>
          <w:rFonts w:asciiTheme="minorBidi" w:hAnsiTheme="minorBidi"/>
          <w:rtl/>
        </w:rPr>
      </w:pPr>
    </w:p>
    <w:p w14:paraId="49C76048" w14:textId="77777777" w:rsidR="00E137BC" w:rsidRDefault="00E137BC" w:rsidP="006567B0">
      <w:pPr>
        <w:pStyle w:val="2"/>
        <w:rPr>
          <w:rtl/>
        </w:rPr>
      </w:pPr>
      <w:bookmarkStart w:id="116" w:name="_Toc24883602"/>
      <w:r w:rsidRPr="00576D5C">
        <w:rPr>
          <w:rtl/>
        </w:rPr>
        <w:t>סעיף ז</w:t>
      </w:r>
      <w:r w:rsidR="00AE48C5">
        <w:rPr>
          <w:rFonts w:hint="cs"/>
          <w:rtl/>
        </w:rPr>
        <w:t>:</w:t>
      </w:r>
      <w:r w:rsidR="007D36B9">
        <w:rPr>
          <w:rFonts w:hint="cs"/>
          <w:rtl/>
        </w:rPr>
        <w:t xml:space="preserve"> </w:t>
      </w:r>
      <w:bookmarkStart w:id="117" w:name="_Hlk523642206"/>
      <w:r w:rsidR="007D36B9">
        <w:rPr>
          <w:rFonts w:hint="cs"/>
          <w:rtl/>
        </w:rPr>
        <w:t>בעלי דין שביררו מספר אנשים ונסתלק א' מהם.</w:t>
      </w:r>
      <w:bookmarkEnd w:id="116"/>
      <w:bookmarkEnd w:id="117"/>
    </w:p>
    <w:p w14:paraId="00C594EF" w14:textId="77777777" w:rsidR="005D5883" w:rsidRDefault="005D5883" w:rsidP="00AE48C5">
      <w:pPr>
        <w:rPr>
          <w:rFonts w:cs="Arial"/>
          <w:rtl/>
        </w:rPr>
      </w:pPr>
      <w:r w:rsidRPr="00953772">
        <w:rPr>
          <w:rFonts w:cs="Arial" w:hint="cs"/>
          <w:b/>
          <w:bCs/>
          <w:u w:val="single"/>
          <w:rtl/>
        </w:rPr>
        <w:t>ב' בעלי דין</w:t>
      </w:r>
      <w:r w:rsidRPr="005D5883">
        <w:rPr>
          <w:rFonts w:cs="Arial" w:hint="cs"/>
          <w:u w:val="single"/>
          <w:rtl/>
        </w:rPr>
        <w:t xml:space="preserve"> ש</w:t>
      </w:r>
      <w:r>
        <w:rPr>
          <w:rFonts w:cs="Arial" w:hint="cs"/>
          <w:u w:val="single"/>
          <w:rtl/>
        </w:rPr>
        <w:t>בירר</w:t>
      </w:r>
      <w:r w:rsidRPr="005D5883">
        <w:rPr>
          <w:rFonts w:cs="Arial" w:hint="cs"/>
          <w:u w:val="single"/>
          <w:rtl/>
        </w:rPr>
        <w:t xml:space="preserve">ו להם מספר אנשים </w:t>
      </w:r>
      <w:r w:rsidRPr="005D5883">
        <w:rPr>
          <w:rFonts w:cs="Arial"/>
          <w:u w:val="single"/>
          <w:rtl/>
        </w:rPr>
        <w:t>–</w:t>
      </w:r>
      <w:r w:rsidRPr="005D5883">
        <w:rPr>
          <w:rFonts w:cs="Arial" w:hint="cs"/>
          <w:u w:val="single"/>
          <w:rtl/>
        </w:rPr>
        <w:t xml:space="preserve"> ואחד מה</w:t>
      </w:r>
      <w:r>
        <w:rPr>
          <w:rFonts w:cs="Arial" w:hint="cs"/>
          <w:u w:val="single"/>
          <w:rtl/>
        </w:rPr>
        <w:t>ם</w:t>
      </w:r>
      <w:r w:rsidRPr="005D5883">
        <w:rPr>
          <w:rFonts w:cs="Arial" w:hint="cs"/>
          <w:u w:val="single"/>
          <w:rtl/>
        </w:rPr>
        <w:t xml:space="preserve"> נסתלק:</w:t>
      </w:r>
    </w:p>
    <w:p w14:paraId="36EF4215" w14:textId="77777777" w:rsidR="00D016BB" w:rsidRPr="005D5883" w:rsidRDefault="00AE48C5" w:rsidP="00C704CB">
      <w:pPr>
        <w:pStyle w:val="ac"/>
        <w:numPr>
          <w:ilvl w:val="0"/>
          <w:numId w:val="10"/>
        </w:numPr>
        <w:rPr>
          <w:rFonts w:cs="Arial"/>
          <w:rtl/>
        </w:rPr>
      </w:pPr>
      <w:r w:rsidRPr="005D5883">
        <w:rPr>
          <w:rFonts w:cs="Arial"/>
          <w:rtl/>
        </w:rPr>
        <w:t xml:space="preserve">רשב"א </w:t>
      </w:r>
      <w:r w:rsidRPr="005D5883">
        <w:rPr>
          <w:rFonts w:cs="Arial"/>
          <w:sz w:val="16"/>
          <w:szCs w:val="16"/>
          <w:rtl/>
        </w:rPr>
        <w:t>(</w:t>
      </w:r>
      <w:r w:rsidR="00466F21">
        <w:rPr>
          <w:rFonts w:cs="Arial" w:hint="cs"/>
          <w:sz w:val="16"/>
          <w:szCs w:val="16"/>
          <w:rtl/>
        </w:rPr>
        <w:t>ח"ב</w:t>
      </w:r>
      <w:r w:rsidRPr="005D5883">
        <w:rPr>
          <w:rFonts w:cs="Arial"/>
          <w:sz w:val="16"/>
          <w:szCs w:val="16"/>
          <w:rtl/>
        </w:rPr>
        <w:t xml:space="preserve"> סי</w:t>
      </w:r>
      <w:r w:rsidR="00D016BB" w:rsidRPr="005D5883">
        <w:rPr>
          <w:rFonts w:cs="Arial" w:hint="cs"/>
          <w:sz w:val="16"/>
          <w:szCs w:val="16"/>
          <w:rtl/>
        </w:rPr>
        <w:t>'</w:t>
      </w:r>
      <w:r w:rsidRPr="005D5883">
        <w:rPr>
          <w:rFonts w:cs="Arial"/>
          <w:sz w:val="16"/>
          <w:szCs w:val="16"/>
          <w:rtl/>
        </w:rPr>
        <w:t xml:space="preserve"> קד)</w:t>
      </w:r>
      <w:r w:rsidR="00D016BB" w:rsidRPr="005D5883">
        <w:rPr>
          <w:rFonts w:cs="Arial" w:hint="cs"/>
          <w:rtl/>
        </w:rPr>
        <w:t>-</w:t>
      </w:r>
      <w:r w:rsidRPr="005D5883">
        <w:rPr>
          <w:rFonts w:cs="Arial"/>
          <w:rtl/>
        </w:rPr>
        <w:t xml:space="preserve"> שאלת</w:t>
      </w:r>
      <w:r w:rsidR="00F9566C">
        <w:rPr>
          <w:rFonts w:cs="Arial" w:hint="cs"/>
          <w:rtl/>
        </w:rPr>
        <w:t>,</w:t>
      </w:r>
      <w:r w:rsidRPr="005D5883">
        <w:rPr>
          <w:rFonts w:cs="Arial"/>
          <w:rtl/>
        </w:rPr>
        <w:t xml:space="preserve"> ראובן ושמעון שבררו להם עשרה אנשים לראות בדינם הן בדין הן בפשרה</w:t>
      </w:r>
      <w:r w:rsidR="00D016BB" w:rsidRPr="005D5883">
        <w:rPr>
          <w:rFonts w:cs="Arial" w:hint="cs"/>
          <w:rtl/>
        </w:rPr>
        <w:t>,</w:t>
      </w:r>
      <w:r w:rsidRPr="005D5883">
        <w:rPr>
          <w:rFonts w:cs="Arial"/>
          <w:rtl/>
        </w:rPr>
        <w:t xml:space="preserve"> ונשבעו שניהם לקיים עליהם כל אשר יגזרו אותם העשרה</w:t>
      </w:r>
      <w:r w:rsidR="00D016BB" w:rsidRPr="005D5883">
        <w:rPr>
          <w:rFonts w:cs="Arial" w:hint="cs"/>
          <w:rtl/>
        </w:rPr>
        <w:t>,</w:t>
      </w:r>
      <w:r w:rsidRPr="005D5883">
        <w:rPr>
          <w:rFonts w:cs="Arial"/>
          <w:rtl/>
        </w:rPr>
        <w:t xml:space="preserve"> ואם לא יסכימו לדעת אחת שילכו אחר הרוב כדין תורה</w:t>
      </w:r>
      <w:r w:rsidR="00F9566C">
        <w:rPr>
          <w:rFonts w:cs="Arial" w:hint="cs"/>
          <w:rtl/>
        </w:rPr>
        <w:t>.</w:t>
      </w:r>
      <w:r w:rsidRPr="005D5883">
        <w:rPr>
          <w:rFonts w:cs="Arial"/>
          <w:rtl/>
        </w:rPr>
        <w:t xml:space="preserve"> ובין כך ובין כך נסתלק אחד מהם ולא רצה להיות עמהם באותה ברירה ולא אומר דעתו באותו ענין</w:t>
      </w:r>
      <w:r w:rsidR="00F9566C">
        <w:rPr>
          <w:rFonts w:cs="Arial" w:hint="cs"/>
          <w:rtl/>
        </w:rPr>
        <w:t>.</w:t>
      </w:r>
      <w:r w:rsidRPr="005D5883">
        <w:rPr>
          <w:rFonts w:cs="Arial"/>
          <w:rtl/>
        </w:rPr>
        <w:t xml:space="preserve"> תודיעני אם ראובן חייב לקבל מה שאמרו התשעה הנותרים או רובם</w:t>
      </w:r>
      <w:r w:rsidR="00D016BB" w:rsidRPr="005D5883">
        <w:rPr>
          <w:rFonts w:cs="Arial" w:hint="cs"/>
          <w:rtl/>
        </w:rPr>
        <w:t>.</w:t>
      </w:r>
      <w:r w:rsidRPr="005D5883">
        <w:rPr>
          <w:rFonts w:cs="Arial"/>
          <w:rtl/>
        </w:rPr>
        <w:t xml:space="preserve"> תשובה</w:t>
      </w:r>
      <w:r w:rsidR="00D016BB" w:rsidRPr="005D5883">
        <w:rPr>
          <w:rFonts w:cs="Arial" w:hint="cs"/>
          <w:rtl/>
        </w:rPr>
        <w:t>,</w:t>
      </w:r>
      <w:r w:rsidRPr="005D5883">
        <w:rPr>
          <w:rFonts w:cs="Arial"/>
          <w:rtl/>
        </w:rPr>
        <w:t xml:space="preserve"> דבר ברור הוא שכיון שנסתלק אחד מהם</w:t>
      </w:r>
      <w:r w:rsidR="00F9566C">
        <w:rPr>
          <w:rFonts w:cs="Arial" w:hint="cs"/>
          <w:rtl/>
        </w:rPr>
        <w:t xml:space="preserve"> -</w:t>
      </w:r>
      <w:r w:rsidRPr="005D5883">
        <w:rPr>
          <w:rFonts w:cs="Arial"/>
          <w:rtl/>
        </w:rPr>
        <w:t xml:space="preserve"> נתפרדה חבילה</w:t>
      </w:r>
      <w:r w:rsidR="00D016BB" w:rsidRPr="005D5883">
        <w:rPr>
          <w:rFonts w:cs="Arial" w:hint="cs"/>
          <w:rtl/>
        </w:rPr>
        <w:t>,</w:t>
      </w:r>
      <w:r w:rsidRPr="005D5883">
        <w:rPr>
          <w:rFonts w:cs="Arial"/>
          <w:rtl/>
        </w:rPr>
        <w:t xml:space="preserve"> ולא עוד אלא אפילו אמר איני יודע </w:t>
      </w:r>
      <w:r w:rsidR="00F9566C">
        <w:rPr>
          <w:rFonts w:cs="Arial" w:hint="cs"/>
          <w:rtl/>
        </w:rPr>
        <w:t xml:space="preserve">- </w:t>
      </w:r>
      <w:r w:rsidRPr="005D5883">
        <w:rPr>
          <w:rFonts w:cs="Arial"/>
          <w:rtl/>
        </w:rPr>
        <w:t>אינם יכולים לגמור הדין ע</w:t>
      </w:r>
      <w:r w:rsidR="005D5883">
        <w:rPr>
          <w:rFonts w:cs="Arial" w:hint="cs"/>
          <w:rtl/>
        </w:rPr>
        <w:t>"</w:t>
      </w:r>
      <w:r w:rsidRPr="005D5883">
        <w:rPr>
          <w:rFonts w:cs="Arial"/>
          <w:rtl/>
        </w:rPr>
        <w:t>פ תשעה הנותרים</w:t>
      </w:r>
      <w:r w:rsidR="00F9566C">
        <w:rPr>
          <w:rFonts w:cs="Arial" w:hint="cs"/>
          <w:rtl/>
        </w:rPr>
        <w:t>,</w:t>
      </w:r>
      <w:r w:rsidRPr="005D5883">
        <w:rPr>
          <w:rFonts w:cs="Arial"/>
          <w:rtl/>
        </w:rPr>
        <w:t xml:space="preserve"> שאין הולכים אחר הרוב אלא כשרבו המזכים על המחייבים או המחייבים על המזכים מתוך משא ומתן של כלם</w:t>
      </w:r>
      <w:r w:rsidR="00F9566C">
        <w:rPr>
          <w:rFonts w:cs="Arial" w:hint="cs"/>
          <w:rtl/>
        </w:rPr>
        <w:t>,</w:t>
      </w:r>
      <w:r w:rsidRPr="005D5883">
        <w:rPr>
          <w:rFonts w:cs="Arial"/>
          <w:rtl/>
        </w:rPr>
        <w:t xml:space="preserve"> אבל כשהמיעוט איננו</w:t>
      </w:r>
      <w:r w:rsidR="005D5883">
        <w:rPr>
          <w:rFonts w:cs="Arial" w:hint="cs"/>
          <w:rtl/>
        </w:rPr>
        <w:t xml:space="preserve"> -</w:t>
      </w:r>
      <w:r w:rsidRPr="005D5883">
        <w:rPr>
          <w:rFonts w:cs="Arial"/>
          <w:rtl/>
        </w:rPr>
        <w:t xml:space="preserve"> לא</w:t>
      </w:r>
      <w:r w:rsidR="00D016BB" w:rsidRPr="005D5883">
        <w:rPr>
          <w:rFonts w:cs="Arial" w:hint="cs"/>
          <w:rtl/>
        </w:rPr>
        <w:t>,</w:t>
      </w:r>
      <w:r w:rsidRPr="005D5883">
        <w:rPr>
          <w:rFonts w:cs="Arial"/>
          <w:rtl/>
        </w:rPr>
        <w:t xml:space="preserve"> שאילו היה שם אותו האחד שמא היה מראה טעם הפך מה שהסכימו הרוב ויודו הרוב בכך</w:t>
      </w:r>
      <w:r w:rsidR="00D016BB" w:rsidRPr="005D5883">
        <w:rPr>
          <w:rFonts w:cs="Arial" w:hint="cs"/>
          <w:rtl/>
        </w:rPr>
        <w:t>,</w:t>
      </w:r>
      <w:r w:rsidRPr="005D5883">
        <w:rPr>
          <w:rFonts w:cs="Arial"/>
          <w:rtl/>
        </w:rPr>
        <w:t xml:space="preserve"> וכן כשהיחיד אומר איני יודע</w:t>
      </w:r>
      <w:r w:rsidR="00D016BB" w:rsidRPr="005D5883">
        <w:rPr>
          <w:rFonts w:cs="Arial" w:hint="cs"/>
          <w:rtl/>
        </w:rPr>
        <w:t>,</w:t>
      </w:r>
      <w:r w:rsidRPr="005D5883">
        <w:rPr>
          <w:rFonts w:cs="Arial"/>
          <w:rtl/>
        </w:rPr>
        <w:t xml:space="preserve"> דתנן </w:t>
      </w:r>
      <w:r w:rsidRPr="005D5883">
        <w:rPr>
          <w:rFonts w:cs="Arial"/>
          <w:sz w:val="16"/>
          <w:szCs w:val="16"/>
          <w:rtl/>
        </w:rPr>
        <w:t xml:space="preserve">(סנהדרין כט.) </w:t>
      </w:r>
      <w:r w:rsidRPr="005D5883">
        <w:rPr>
          <w:rFonts w:cs="Arial"/>
          <w:rtl/>
        </w:rPr>
        <w:t>אפילו שנים מחייבין או מזכין ואחד אומר איני יודע יוסיפו הדיינים</w:t>
      </w:r>
      <w:r w:rsidR="00F9566C">
        <w:rPr>
          <w:rFonts w:cs="Arial" w:hint="cs"/>
          <w:rtl/>
        </w:rPr>
        <w:t>.</w:t>
      </w:r>
      <w:r w:rsidRPr="005D5883">
        <w:rPr>
          <w:rFonts w:cs="Arial"/>
          <w:rtl/>
        </w:rPr>
        <w:t xml:space="preserve"> וכן אם נסתלק האחד אינם יכולים השנים לחתוך הדין</w:t>
      </w:r>
      <w:r w:rsidR="00D016BB" w:rsidRPr="005D5883">
        <w:rPr>
          <w:rFonts w:cs="Arial" w:hint="cs"/>
          <w:rtl/>
        </w:rPr>
        <w:t>,</w:t>
      </w:r>
      <w:r w:rsidRPr="005D5883">
        <w:rPr>
          <w:rFonts w:cs="Arial"/>
          <w:rtl/>
        </w:rPr>
        <w:t xml:space="preserve"> וכמו שאמרו בפ</w:t>
      </w:r>
      <w:r w:rsidR="005D5883">
        <w:rPr>
          <w:rFonts w:cs="Arial" w:hint="cs"/>
          <w:rtl/>
        </w:rPr>
        <w:t>'</w:t>
      </w:r>
      <w:r w:rsidRPr="005D5883">
        <w:rPr>
          <w:rFonts w:cs="Arial"/>
          <w:rtl/>
        </w:rPr>
        <w:t xml:space="preserve"> זה בורר</w:t>
      </w:r>
      <w:r w:rsidRPr="005D5883">
        <w:rPr>
          <w:rFonts w:cs="Arial"/>
          <w:sz w:val="16"/>
          <w:szCs w:val="16"/>
          <w:rtl/>
        </w:rPr>
        <w:t xml:space="preserve"> (ל.)</w:t>
      </w:r>
      <w:r w:rsidR="00F9566C">
        <w:rPr>
          <w:rFonts w:cs="Arial" w:hint="cs"/>
          <w:rtl/>
        </w:rPr>
        <w:t xml:space="preserve"> '</w:t>
      </w:r>
      <w:r w:rsidRPr="005D5883">
        <w:rPr>
          <w:rFonts w:cs="Arial"/>
          <w:rtl/>
        </w:rPr>
        <w:t>גמרו את הדבר מכתב היכי כתבינן</w:t>
      </w:r>
      <w:r w:rsidR="00F9566C">
        <w:rPr>
          <w:rFonts w:cs="Arial" w:hint="cs"/>
          <w:rtl/>
        </w:rPr>
        <w:t>...</w:t>
      </w:r>
      <w:r w:rsidRPr="005D5883">
        <w:rPr>
          <w:rFonts w:cs="Arial"/>
          <w:rtl/>
        </w:rPr>
        <w:t xml:space="preserve"> ולמאן דאמר זכאי משלמי ולימרו ליה אי לאו את בהדן לא סליק דינא</w:t>
      </w:r>
      <w:r w:rsidR="00F9566C">
        <w:rPr>
          <w:rFonts w:cs="Arial" w:hint="cs"/>
          <w:rtl/>
        </w:rPr>
        <w:t>'.</w:t>
      </w:r>
      <w:r w:rsidRPr="005D5883">
        <w:rPr>
          <w:rFonts w:cs="Arial"/>
          <w:rtl/>
        </w:rPr>
        <w:t xml:space="preserve"> ודברים אלו פשוטים הם לענין הדין</w:t>
      </w:r>
      <w:r w:rsidR="00F9566C">
        <w:rPr>
          <w:rFonts w:cs="Arial" w:hint="cs"/>
          <w:rtl/>
        </w:rPr>
        <w:t>,</w:t>
      </w:r>
      <w:r w:rsidRPr="005D5883">
        <w:rPr>
          <w:rFonts w:cs="Arial"/>
          <w:rtl/>
        </w:rPr>
        <w:t xml:space="preserve"> וה</w:t>
      </w:r>
      <w:r w:rsidR="005D5883">
        <w:rPr>
          <w:rFonts w:cs="Arial" w:hint="cs"/>
          <w:rtl/>
        </w:rPr>
        <w:t>"</w:t>
      </w:r>
      <w:r w:rsidRPr="005D5883">
        <w:rPr>
          <w:rFonts w:cs="Arial"/>
          <w:rtl/>
        </w:rPr>
        <w:t>ה לפשרה דמאי שנא</w:t>
      </w:r>
      <w:r w:rsidR="00F9566C">
        <w:rPr>
          <w:rFonts w:cs="Arial" w:hint="cs"/>
          <w:rtl/>
        </w:rPr>
        <w:t>.</w:t>
      </w:r>
      <w:r w:rsidRPr="005D5883">
        <w:rPr>
          <w:rFonts w:cs="Arial"/>
          <w:rtl/>
        </w:rPr>
        <w:t xml:space="preserve"> ואין רוב בכל מקום אלא רוב הבא מתוך הכלל ומתוך משא ומתן</w:t>
      </w:r>
      <w:r w:rsidR="00F9566C">
        <w:rPr>
          <w:rFonts w:cs="Arial" w:hint="cs"/>
          <w:rtl/>
        </w:rPr>
        <w:t>,</w:t>
      </w:r>
      <w:r w:rsidRPr="005D5883">
        <w:rPr>
          <w:rFonts w:cs="Arial"/>
          <w:rtl/>
        </w:rPr>
        <w:t xml:space="preserve"> אבל רוב הנפרד מן הכלל ודנין או בוצעין לעצמן שלא מתוך משא ומתן עם הכלל או שלא במעמדן </w:t>
      </w:r>
      <w:r w:rsidR="00F9566C">
        <w:rPr>
          <w:rFonts w:cs="Arial" w:hint="cs"/>
          <w:rtl/>
        </w:rPr>
        <w:t xml:space="preserve">- </w:t>
      </w:r>
      <w:r w:rsidRPr="005D5883">
        <w:rPr>
          <w:rFonts w:cs="Arial"/>
          <w:rtl/>
        </w:rPr>
        <w:t>לא עשה כלום</w:t>
      </w:r>
      <w:r w:rsidR="00D016BB">
        <w:rPr>
          <w:rStyle w:val="ab"/>
          <w:rFonts w:cs="Arial"/>
          <w:rtl/>
        </w:rPr>
        <w:footnoteReference w:id="735"/>
      </w:r>
      <w:r w:rsidR="00D016BB" w:rsidRPr="005D5883">
        <w:rPr>
          <w:rFonts w:cs="Arial" w:hint="cs"/>
          <w:rtl/>
        </w:rPr>
        <w:t>.</w:t>
      </w:r>
      <w:r w:rsidR="005D5883">
        <w:rPr>
          <w:rFonts w:cs="Arial" w:hint="cs"/>
          <w:rtl/>
        </w:rPr>
        <w:t xml:space="preserve"> </w:t>
      </w:r>
      <w:r w:rsidR="005D5883" w:rsidRPr="005D5883">
        <w:rPr>
          <w:rFonts w:cs="Arial" w:hint="cs"/>
          <w:color w:val="E36C0A" w:themeColor="accent6" w:themeShade="BF"/>
          <w:rtl/>
        </w:rPr>
        <w:t>(וכ"פ בשו"ע)</w:t>
      </w:r>
    </w:p>
    <w:p w14:paraId="13C6EE62" w14:textId="77777777" w:rsidR="005D5883" w:rsidRDefault="005D5883" w:rsidP="00AE48C5">
      <w:pPr>
        <w:rPr>
          <w:rFonts w:cs="Arial"/>
          <w:rtl/>
        </w:rPr>
      </w:pPr>
      <w:r w:rsidRPr="00953772">
        <w:rPr>
          <w:rFonts w:cs="Arial" w:hint="cs"/>
          <w:b/>
          <w:bCs/>
          <w:u w:val="single"/>
          <w:rtl/>
        </w:rPr>
        <w:t>קהל</w:t>
      </w:r>
      <w:r w:rsidRPr="005D5883">
        <w:rPr>
          <w:rFonts w:cs="Arial" w:hint="cs"/>
          <w:u w:val="single"/>
          <w:rtl/>
        </w:rPr>
        <w:t xml:space="preserve"> שקיבלו עליהם מספר </w:t>
      </w:r>
      <w:r w:rsidR="00F9566C">
        <w:rPr>
          <w:rFonts w:cs="Arial" w:hint="cs"/>
          <w:u w:val="single"/>
          <w:rtl/>
        </w:rPr>
        <w:t>בוררי</w:t>
      </w:r>
      <w:r w:rsidRPr="005D5883">
        <w:rPr>
          <w:rFonts w:cs="Arial" w:hint="cs"/>
          <w:u w:val="single"/>
          <w:rtl/>
        </w:rPr>
        <w:t xml:space="preserve">ם </w:t>
      </w:r>
      <w:r w:rsidRPr="005D5883">
        <w:rPr>
          <w:rFonts w:cs="Arial"/>
          <w:u w:val="single"/>
          <w:rtl/>
        </w:rPr>
        <w:t>–</w:t>
      </w:r>
      <w:r w:rsidRPr="005D5883">
        <w:rPr>
          <w:rFonts w:cs="Arial" w:hint="cs"/>
          <w:u w:val="single"/>
          <w:rtl/>
        </w:rPr>
        <w:t xml:space="preserve"> ולא הושוו כולם לדעת א</w:t>
      </w:r>
      <w:r w:rsidR="00F9566C">
        <w:rPr>
          <w:rFonts w:cs="Arial" w:hint="cs"/>
          <w:u w:val="single"/>
          <w:rtl/>
        </w:rPr>
        <w:t>חת,</w:t>
      </w:r>
      <w:r w:rsidRPr="005D5883">
        <w:rPr>
          <w:rFonts w:cs="Arial" w:hint="cs"/>
          <w:u w:val="single"/>
          <w:rtl/>
        </w:rPr>
        <w:t xml:space="preserve"> </w:t>
      </w:r>
      <w:r w:rsidR="00F9566C">
        <w:rPr>
          <w:rFonts w:cs="Arial" w:hint="cs"/>
          <w:u w:val="single"/>
          <w:rtl/>
        </w:rPr>
        <w:t>האם אזלינן בתר רובא</w:t>
      </w:r>
      <w:r w:rsidRPr="005D5883">
        <w:rPr>
          <w:rFonts w:cs="Arial" w:hint="cs"/>
          <w:u w:val="single"/>
          <w:rtl/>
        </w:rPr>
        <w:t>:</w:t>
      </w:r>
    </w:p>
    <w:p w14:paraId="51B3E0DE" w14:textId="77777777" w:rsidR="005D5883" w:rsidRDefault="00AE48C5" w:rsidP="00C704CB">
      <w:pPr>
        <w:pStyle w:val="ac"/>
        <w:numPr>
          <w:ilvl w:val="0"/>
          <w:numId w:val="10"/>
        </w:numPr>
        <w:rPr>
          <w:rFonts w:cs="Arial"/>
        </w:rPr>
      </w:pPr>
      <w:r w:rsidRPr="005D5883">
        <w:rPr>
          <w:rFonts w:cs="Arial"/>
          <w:rtl/>
        </w:rPr>
        <w:t xml:space="preserve">רשב"א </w:t>
      </w:r>
      <w:r w:rsidRPr="005D5883">
        <w:rPr>
          <w:rFonts w:cs="Arial"/>
          <w:sz w:val="16"/>
          <w:szCs w:val="16"/>
          <w:rtl/>
        </w:rPr>
        <w:t>(ח"ה סי' רפט)</w:t>
      </w:r>
      <w:r w:rsidR="00D016BB" w:rsidRPr="005D5883">
        <w:rPr>
          <w:rFonts w:cs="Arial" w:hint="cs"/>
          <w:rtl/>
        </w:rPr>
        <w:t>-</w:t>
      </w:r>
      <w:r w:rsidRPr="005D5883">
        <w:rPr>
          <w:rFonts w:cs="Arial"/>
          <w:rtl/>
        </w:rPr>
        <w:t xml:space="preserve"> דעו כי כל שקבלו עליהם הקהל דעות אנשים ארבעה או חמשה או יותר </w:t>
      </w:r>
      <w:r w:rsidR="00FD63FF">
        <w:rPr>
          <w:rFonts w:cs="Arial" w:hint="cs"/>
          <w:rtl/>
        </w:rPr>
        <w:t xml:space="preserve">- </w:t>
      </w:r>
      <w:r w:rsidRPr="005D5883">
        <w:rPr>
          <w:rFonts w:cs="Arial"/>
          <w:rtl/>
        </w:rPr>
        <w:t>אין הולכים אחר הרוב</w:t>
      </w:r>
      <w:r w:rsidR="00D016BB" w:rsidRPr="005D5883">
        <w:rPr>
          <w:rFonts w:cs="Arial" w:hint="cs"/>
          <w:rtl/>
        </w:rPr>
        <w:t>,</w:t>
      </w:r>
      <w:r w:rsidRPr="005D5883">
        <w:rPr>
          <w:rFonts w:cs="Arial"/>
          <w:rtl/>
        </w:rPr>
        <w:t xml:space="preserve"> שאין רוב אלא בבית דין</w:t>
      </w:r>
      <w:r w:rsidR="00D016BB" w:rsidRPr="005D5883">
        <w:rPr>
          <w:rFonts w:cs="Arial" w:hint="cs"/>
          <w:rtl/>
        </w:rPr>
        <w:t>,</w:t>
      </w:r>
      <w:r w:rsidRPr="005D5883">
        <w:rPr>
          <w:rFonts w:cs="Arial"/>
          <w:rtl/>
        </w:rPr>
        <w:t xml:space="preserve"> ואם לא הושוו כולם לדעת אחת </w:t>
      </w:r>
      <w:r w:rsidR="00F9566C">
        <w:rPr>
          <w:rFonts w:cs="Arial" w:hint="cs"/>
          <w:rtl/>
        </w:rPr>
        <w:t xml:space="preserve">- </w:t>
      </w:r>
      <w:r w:rsidRPr="005D5883">
        <w:rPr>
          <w:rFonts w:cs="Arial"/>
          <w:rtl/>
        </w:rPr>
        <w:t>הרי הנתבע פטור</w:t>
      </w:r>
      <w:r w:rsidR="00D016BB" w:rsidRPr="005D5883">
        <w:rPr>
          <w:rFonts w:cs="Arial" w:hint="cs"/>
          <w:rtl/>
        </w:rPr>
        <w:t>,</w:t>
      </w:r>
      <w:r w:rsidRPr="005D5883">
        <w:rPr>
          <w:rFonts w:cs="Arial"/>
          <w:rtl/>
        </w:rPr>
        <w:t xml:space="preserve"> שמעמידים האדם וממונו על חזקתו עד שיודע שהוא חייב</w:t>
      </w:r>
      <w:r w:rsidR="00D016BB" w:rsidRPr="005D5883">
        <w:rPr>
          <w:rFonts w:cs="Arial" w:hint="cs"/>
          <w:rtl/>
        </w:rPr>
        <w:t>,</w:t>
      </w:r>
      <w:r w:rsidRPr="005D5883">
        <w:rPr>
          <w:rFonts w:cs="Arial"/>
          <w:rtl/>
        </w:rPr>
        <w:t xml:space="preserve"> וזה דבר ברור</w:t>
      </w:r>
      <w:r w:rsidR="00F9566C">
        <w:rPr>
          <w:rFonts w:cs="Arial" w:hint="cs"/>
          <w:rtl/>
        </w:rPr>
        <w:t>.</w:t>
      </w:r>
      <w:r w:rsidRPr="005D5883">
        <w:rPr>
          <w:rFonts w:cs="Arial"/>
          <w:rtl/>
        </w:rPr>
        <w:t xml:space="preserve"> ולא עוד אלא אפילו אמרו הקהל שילך אחר הרוב</w:t>
      </w:r>
      <w:r w:rsidR="00D016BB" w:rsidRPr="005D5883">
        <w:rPr>
          <w:rFonts w:cs="Arial" w:hint="cs"/>
          <w:rtl/>
        </w:rPr>
        <w:t>,</w:t>
      </w:r>
      <w:r w:rsidRPr="005D5883">
        <w:rPr>
          <w:rFonts w:cs="Arial"/>
          <w:rtl/>
        </w:rPr>
        <w:t xml:space="preserve"> אם הם שקולים</w:t>
      </w:r>
      <w:r w:rsidR="00F9566C">
        <w:rPr>
          <w:rFonts w:cs="Arial" w:hint="cs"/>
          <w:rtl/>
        </w:rPr>
        <w:t xml:space="preserve"> -</w:t>
      </w:r>
      <w:r w:rsidRPr="005D5883">
        <w:rPr>
          <w:rFonts w:cs="Arial"/>
          <w:rtl/>
        </w:rPr>
        <w:t xml:space="preserve"> הרי הוא פטור</w:t>
      </w:r>
      <w:r w:rsidR="003B3E1A" w:rsidRPr="005D5883">
        <w:rPr>
          <w:rFonts w:cs="Arial" w:hint="cs"/>
          <w:rtl/>
        </w:rPr>
        <w:t>,</w:t>
      </w:r>
      <w:r w:rsidRPr="005D5883">
        <w:rPr>
          <w:rFonts w:cs="Arial"/>
          <w:rtl/>
        </w:rPr>
        <w:t xml:space="preserve"> ואין אומרים בכיוצא בזה יבואו אחרים ויכריעום</w:t>
      </w:r>
      <w:r w:rsidR="003B3E1A" w:rsidRPr="005D5883">
        <w:rPr>
          <w:rFonts w:cs="Arial" w:hint="cs"/>
          <w:rtl/>
        </w:rPr>
        <w:t>,</w:t>
      </w:r>
      <w:r w:rsidRPr="005D5883">
        <w:rPr>
          <w:rFonts w:cs="Arial"/>
          <w:rtl/>
        </w:rPr>
        <w:t xml:space="preserve"> שהקהל לא קבלו עליהם דעת המכריעים</w:t>
      </w:r>
      <w:r w:rsidR="00F9566C">
        <w:rPr>
          <w:rFonts w:cs="Arial" w:hint="cs"/>
          <w:rtl/>
        </w:rPr>
        <w:t>,</w:t>
      </w:r>
      <w:r w:rsidRPr="005D5883">
        <w:rPr>
          <w:rFonts w:cs="Arial"/>
          <w:rtl/>
        </w:rPr>
        <w:t xml:space="preserve"> אלא לדעת ברורים אלו ירדו ולא לדעת אחרים</w:t>
      </w:r>
      <w:r w:rsidR="00FD63FF">
        <w:rPr>
          <w:rFonts w:cs="Arial" w:hint="cs"/>
          <w:rtl/>
        </w:rPr>
        <w:t>.</w:t>
      </w:r>
      <w:r w:rsidRPr="005D5883">
        <w:rPr>
          <w:rFonts w:cs="Arial"/>
          <w:rtl/>
        </w:rPr>
        <w:t xml:space="preserve"> אמנם אם יראה כת אחת מהם דברי המכריעים ויאמנו דבריהם בעיניהם וראו עכשיו בדעתם מה שלא ראו בתחלה בזה ובכיוצא בזה באמת יכולים לעשות</w:t>
      </w:r>
      <w:r w:rsidR="00F9566C">
        <w:rPr>
          <w:rFonts w:cs="Arial" w:hint="cs"/>
          <w:rtl/>
        </w:rPr>
        <w:t>,</w:t>
      </w:r>
      <w:r w:rsidRPr="005D5883">
        <w:rPr>
          <w:rFonts w:cs="Arial"/>
          <w:rtl/>
        </w:rPr>
        <w:t xml:space="preserve"> כי אין זה דעת המכריעים אלא דעת הברורים שהסכימו עליו עכשיו</w:t>
      </w:r>
      <w:r w:rsidR="003B3E1A" w:rsidRPr="005D5883">
        <w:rPr>
          <w:rFonts w:cs="Arial" w:hint="cs"/>
          <w:rtl/>
        </w:rPr>
        <w:t>.</w:t>
      </w:r>
      <w:r w:rsidR="00E20A71">
        <w:rPr>
          <w:rFonts w:cs="Arial" w:hint="cs"/>
          <w:rtl/>
        </w:rPr>
        <w:t xml:space="preserve"> </w:t>
      </w:r>
      <w:r w:rsidR="00E20A71" w:rsidRPr="00E20A71">
        <w:rPr>
          <w:rFonts w:cs="Arial" w:hint="cs"/>
          <w:color w:val="00B0F0"/>
          <w:rtl/>
        </w:rPr>
        <w:t xml:space="preserve">(וכ"פ הרמ"א </w:t>
      </w:r>
      <w:r w:rsidR="00E20A71">
        <w:rPr>
          <w:rFonts w:cs="Arial" w:hint="cs"/>
          <w:sz w:val="16"/>
          <w:szCs w:val="16"/>
          <w:rtl/>
        </w:rPr>
        <w:t>[סי' יח ס"א]</w:t>
      </w:r>
      <w:r w:rsidR="00E20A71" w:rsidRPr="00E20A71">
        <w:rPr>
          <w:rFonts w:cs="Arial" w:hint="cs"/>
          <w:color w:val="00B0F0"/>
          <w:rtl/>
        </w:rPr>
        <w:t>)</w:t>
      </w:r>
    </w:p>
    <w:p w14:paraId="7CC6987C" w14:textId="77777777" w:rsidR="005D5883" w:rsidRPr="005D5883" w:rsidRDefault="005D5883" w:rsidP="005D5883">
      <w:pPr>
        <w:rPr>
          <w:rFonts w:cs="Arial"/>
        </w:rPr>
      </w:pPr>
      <w:r w:rsidRPr="005D5883">
        <w:rPr>
          <w:rFonts w:cs="Arial" w:hint="cs"/>
          <w:u w:val="single"/>
          <w:rtl/>
        </w:rPr>
        <w:t xml:space="preserve">קהל שקיבלו עליהם מספר אנשים </w:t>
      </w:r>
      <w:r w:rsidRPr="005D5883">
        <w:rPr>
          <w:rFonts w:cs="Arial"/>
          <w:u w:val="single"/>
          <w:rtl/>
        </w:rPr>
        <w:t>–</w:t>
      </w:r>
      <w:r w:rsidRPr="005D5883">
        <w:rPr>
          <w:rFonts w:cs="Arial" w:hint="cs"/>
          <w:u w:val="single"/>
          <w:rtl/>
        </w:rPr>
        <w:t xml:space="preserve"> </w:t>
      </w:r>
      <w:r>
        <w:rPr>
          <w:rFonts w:cs="Arial" w:hint="cs"/>
          <w:u w:val="single"/>
          <w:rtl/>
        </w:rPr>
        <w:t>ויש ספק בתקנה</w:t>
      </w:r>
      <w:r w:rsidRPr="005D5883">
        <w:rPr>
          <w:rFonts w:cs="Arial" w:hint="cs"/>
          <w:u w:val="single"/>
          <w:rtl/>
        </w:rPr>
        <w:t>:</w:t>
      </w:r>
    </w:p>
    <w:p w14:paraId="69D4C634" w14:textId="77777777" w:rsidR="00AE48C5" w:rsidRPr="005D5883" w:rsidRDefault="005D5883" w:rsidP="00C704CB">
      <w:pPr>
        <w:pStyle w:val="ac"/>
        <w:numPr>
          <w:ilvl w:val="0"/>
          <w:numId w:val="10"/>
        </w:numPr>
        <w:rPr>
          <w:rFonts w:cs="Arial"/>
          <w:rtl/>
        </w:rPr>
      </w:pPr>
      <w:r w:rsidRPr="005D5883">
        <w:rPr>
          <w:rFonts w:cs="Arial" w:hint="cs"/>
          <w:rtl/>
        </w:rPr>
        <w:t>רשב"א</w:t>
      </w:r>
      <w:r w:rsidR="00AE48C5" w:rsidRPr="005D5883">
        <w:rPr>
          <w:rFonts w:cs="Arial"/>
          <w:sz w:val="16"/>
          <w:szCs w:val="16"/>
          <w:rtl/>
        </w:rPr>
        <w:t xml:space="preserve"> (ח"ג סי' שצז)</w:t>
      </w:r>
      <w:r w:rsidRPr="005D5883">
        <w:rPr>
          <w:rFonts w:cs="Arial" w:hint="cs"/>
          <w:rtl/>
        </w:rPr>
        <w:t>-</w:t>
      </w:r>
      <w:r w:rsidR="00AE48C5" w:rsidRPr="005D5883">
        <w:rPr>
          <w:rFonts w:cs="Arial"/>
          <w:rtl/>
        </w:rPr>
        <w:t xml:space="preserve"> כל שיש ספק במשמעות התקנה</w:t>
      </w:r>
      <w:r w:rsidR="00E462EC">
        <w:rPr>
          <w:rFonts w:cs="Arial" w:hint="cs"/>
          <w:rtl/>
        </w:rPr>
        <w:t xml:space="preserve"> -</w:t>
      </w:r>
      <w:r w:rsidR="00AE48C5" w:rsidRPr="005D5883">
        <w:rPr>
          <w:rFonts w:cs="Arial"/>
          <w:rtl/>
        </w:rPr>
        <w:t xml:space="preserve"> הולכים להקל לנתבע</w:t>
      </w:r>
      <w:r w:rsidR="00E462EC">
        <w:rPr>
          <w:rFonts w:cs="Arial" w:hint="cs"/>
          <w:rtl/>
        </w:rPr>
        <w:t>.</w:t>
      </w:r>
      <w:r w:rsidR="00AE48C5" w:rsidRPr="005D5883">
        <w:rPr>
          <w:rFonts w:cs="Arial"/>
          <w:rtl/>
        </w:rPr>
        <w:t xml:space="preserve"> חדא</w:t>
      </w:r>
      <w:r w:rsidR="00E462EC">
        <w:rPr>
          <w:rFonts w:cs="Arial" w:hint="cs"/>
          <w:rtl/>
        </w:rPr>
        <w:t>,</w:t>
      </w:r>
      <w:r w:rsidR="00AE48C5" w:rsidRPr="005D5883">
        <w:rPr>
          <w:rFonts w:cs="Arial"/>
          <w:rtl/>
        </w:rPr>
        <w:t xml:space="preserve"> שכל שהוא חוץ מגדר הדין אי אתה יכול להכניסו עד שיהיה ברור</w:t>
      </w:r>
      <w:r w:rsidR="00E462EC">
        <w:rPr>
          <w:rFonts w:cs="Arial" w:hint="cs"/>
          <w:rtl/>
        </w:rPr>
        <w:t>,</w:t>
      </w:r>
      <w:r w:rsidR="00AE48C5" w:rsidRPr="005D5883">
        <w:rPr>
          <w:rFonts w:cs="Arial"/>
          <w:rtl/>
        </w:rPr>
        <w:t xml:space="preserve"> וכל שאינו ברור העמידנו על דין התלמוד</w:t>
      </w:r>
      <w:r w:rsidR="00E462EC">
        <w:rPr>
          <w:rFonts w:cs="Arial" w:hint="cs"/>
          <w:rtl/>
        </w:rPr>
        <w:t>.</w:t>
      </w:r>
      <w:r w:rsidR="00AE48C5" w:rsidRPr="005D5883">
        <w:rPr>
          <w:rFonts w:cs="Arial"/>
          <w:rtl/>
        </w:rPr>
        <w:t xml:space="preserve"> ועוד</w:t>
      </w:r>
      <w:r w:rsidR="00E462EC">
        <w:rPr>
          <w:rFonts w:cs="Arial" w:hint="cs"/>
          <w:rtl/>
        </w:rPr>
        <w:t>,</w:t>
      </w:r>
      <w:r w:rsidR="00AE48C5" w:rsidRPr="005D5883">
        <w:rPr>
          <w:rFonts w:cs="Arial"/>
          <w:rtl/>
        </w:rPr>
        <w:t xml:space="preserve"> שכל המוציא מחבירו עליו הראיה</w:t>
      </w:r>
      <w:r w:rsidRPr="005D5883">
        <w:rPr>
          <w:rFonts w:cs="Arial" w:hint="cs"/>
          <w:rtl/>
        </w:rPr>
        <w:t>.</w:t>
      </w:r>
    </w:p>
    <w:p w14:paraId="22C4AE28" w14:textId="77777777" w:rsidR="00E137BC" w:rsidRPr="00576D5C" w:rsidRDefault="00E137BC" w:rsidP="00576D5C">
      <w:pPr>
        <w:rPr>
          <w:rFonts w:asciiTheme="minorBidi" w:hAnsiTheme="minorBidi"/>
          <w:b/>
          <w:bCs/>
          <w:color w:val="000000"/>
          <w:sz w:val="28"/>
          <w:szCs w:val="28"/>
          <w:u w:val="single"/>
          <w:rtl/>
        </w:rPr>
      </w:pPr>
      <w:r w:rsidRPr="00576D5C">
        <w:rPr>
          <w:rFonts w:asciiTheme="minorBidi" w:hAnsiTheme="minorBidi"/>
          <w:b/>
          <w:bCs/>
          <w:color w:val="000000"/>
          <w:sz w:val="28"/>
          <w:szCs w:val="28"/>
          <w:u w:val="single"/>
          <w:rtl/>
        </w:rPr>
        <w:t>שו"ע:</w:t>
      </w:r>
    </w:p>
    <w:p w14:paraId="6E59F245" w14:textId="77777777" w:rsidR="00E137BC" w:rsidRPr="00576D5C" w:rsidRDefault="00E137BC" w:rsidP="00576D5C">
      <w:pPr>
        <w:rPr>
          <w:rFonts w:asciiTheme="minorBidi" w:hAnsiTheme="minorBidi"/>
          <w:rtl/>
        </w:rPr>
      </w:pPr>
      <w:r w:rsidRPr="00576D5C">
        <w:rPr>
          <w:rFonts w:asciiTheme="minorBidi" w:hAnsiTheme="minorBidi"/>
          <w:rtl/>
        </w:rPr>
        <w:t>אם ביררו להם עשרה אנשים שידונו להם, בין בדין בין בפשרה, ושאם לא יסכימו לדעת אחת ילכו אחר הרוב</w:t>
      </w:r>
      <w:r w:rsidR="005D5883">
        <w:rPr>
          <w:rStyle w:val="ab"/>
          <w:rFonts w:asciiTheme="minorBidi" w:hAnsiTheme="minorBidi"/>
          <w:rtl/>
        </w:rPr>
        <w:footnoteReference w:id="736"/>
      </w:r>
      <w:r w:rsidRPr="00576D5C">
        <w:rPr>
          <w:rFonts w:asciiTheme="minorBidi" w:hAnsiTheme="minorBidi"/>
          <w:rtl/>
        </w:rPr>
        <w:t xml:space="preserve">, ונסתלק אחד מהם ואינו אומר דעתו, או שאומר: איני יודע, אפילו הסכימו התשעה כולם לדעת אחת אינו כלום. </w:t>
      </w:r>
      <w:r w:rsidR="007D36B9">
        <w:rPr>
          <w:rFonts w:asciiTheme="minorBidi" w:hAnsiTheme="minorBidi" w:hint="cs"/>
          <w:sz w:val="18"/>
          <w:szCs w:val="18"/>
          <w:rtl/>
        </w:rPr>
        <w:t>(</w:t>
      </w:r>
      <w:r w:rsidRPr="005D5883">
        <w:rPr>
          <w:rFonts w:asciiTheme="minorBidi" w:hAnsiTheme="minorBidi"/>
          <w:sz w:val="18"/>
          <w:szCs w:val="18"/>
          <w:rtl/>
        </w:rPr>
        <w:t>ועיין לקמן סימן י"ח סעיף א'</w:t>
      </w:r>
      <w:r w:rsidR="007D36B9">
        <w:rPr>
          <w:rFonts w:asciiTheme="minorBidi" w:hAnsiTheme="minorBidi" w:hint="cs"/>
          <w:sz w:val="18"/>
          <w:szCs w:val="18"/>
          <w:rtl/>
        </w:rPr>
        <w:t>)</w:t>
      </w:r>
      <w:r w:rsidRPr="005D5883">
        <w:rPr>
          <w:rFonts w:asciiTheme="minorBidi" w:hAnsiTheme="minorBidi"/>
          <w:sz w:val="18"/>
          <w:szCs w:val="18"/>
          <w:rtl/>
        </w:rPr>
        <w:t>.</w:t>
      </w:r>
    </w:p>
    <w:p w14:paraId="0BB034AF" w14:textId="77777777" w:rsidR="00E137BC" w:rsidRPr="00576D5C" w:rsidRDefault="00E137BC" w:rsidP="00576D5C">
      <w:pPr>
        <w:rPr>
          <w:rFonts w:asciiTheme="minorBidi" w:hAnsiTheme="minorBidi"/>
          <w:rtl/>
        </w:rPr>
        <w:sectPr w:rsidR="00E137BC" w:rsidRPr="00576D5C" w:rsidSect="00AF3AF9">
          <w:headerReference w:type="default" r:id="rId23"/>
          <w:footnotePr>
            <w:numRestart w:val="eachPage"/>
          </w:footnotePr>
          <w:pgSz w:w="11906" w:h="16838"/>
          <w:pgMar w:top="720" w:right="1134" w:bottom="720" w:left="1134" w:header="0" w:footer="0" w:gutter="0"/>
          <w:cols w:space="720"/>
          <w:bidi/>
          <w:rtlGutter/>
          <w:docGrid w:linePitch="360"/>
        </w:sectPr>
      </w:pPr>
    </w:p>
    <w:p w14:paraId="01E1DB8B" w14:textId="77777777" w:rsidR="00E137BC" w:rsidRPr="00576D5C" w:rsidRDefault="00E137BC" w:rsidP="006567B0">
      <w:pPr>
        <w:pStyle w:val="1"/>
        <w:rPr>
          <w:rtl/>
        </w:rPr>
      </w:pPr>
      <w:bookmarkStart w:id="118" w:name="_Toc24883603"/>
      <w:r w:rsidRPr="00576D5C">
        <w:rPr>
          <w:rtl/>
        </w:rPr>
        <w:lastRenderedPageBreak/>
        <w:t>סימן יד: אם אחד מבעלי דינין אומר: נלך לבית דין הגדול, ודין האומר: מאיזה טעם דנתוני, ובו ח' סעיפים.</w:t>
      </w:r>
      <w:bookmarkEnd w:id="118"/>
      <w:r w:rsidRPr="00576D5C">
        <w:rPr>
          <w:rtl/>
        </w:rPr>
        <w:t xml:space="preserve"> </w:t>
      </w:r>
    </w:p>
    <w:p w14:paraId="50B01F4A" w14:textId="77777777" w:rsidR="00F03CB0" w:rsidRPr="00610032" w:rsidRDefault="00E137BC" w:rsidP="00610032">
      <w:pPr>
        <w:pStyle w:val="2"/>
        <w:rPr>
          <w:rtl/>
        </w:rPr>
      </w:pPr>
      <w:bookmarkStart w:id="119" w:name="_Toc24883604"/>
      <w:r w:rsidRPr="00576D5C">
        <w:rPr>
          <w:rtl/>
        </w:rPr>
        <w:t>סעיף א</w:t>
      </w:r>
      <w:r w:rsidR="007D36B9">
        <w:rPr>
          <w:rFonts w:hint="cs"/>
          <w:rtl/>
        </w:rPr>
        <w:t>:</w:t>
      </w:r>
      <w:r w:rsidR="009C0220">
        <w:rPr>
          <w:rFonts w:hint="cs"/>
          <w:rtl/>
        </w:rPr>
        <w:t xml:space="preserve"> אחד מבעלי הדין רוצה לילך לבית דין אחר.</w:t>
      </w:r>
      <w:bookmarkEnd w:id="119"/>
    </w:p>
    <w:p w14:paraId="0FAD31C8" w14:textId="77777777" w:rsidR="00AF62C7" w:rsidRPr="00BA1CEA" w:rsidRDefault="00AF62C7" w:rsidP="00701AA5">
      <w:pPr>
        <w:rPr>
          <w:sz w:val="16"/>
          <w:szCs w:val="16"/>
          <w:rtl/>
        </w:rPr>
      </w:pPr>
      <w:r>
        <w:rPr>
          <w:rFonts w:cs="Arial" w:hint="cs"/>
          <w:b/>
          <w:bCs/>
          <w:rtl/>
        </w:rPr>
        <w:t xml:space="preserve">בבא קמא </w:t>
      </w:r>
      <w:r w:rsidRPr="00AF62C7">
        <w:rPr>
          <w:rFonts w:cs="Arial" w:hint="cs"/>
          <w:b/>
          <w:bCs/>
          <w:sz w:val="16"/>
          <w:szCs w:val="16"/>
          <w:rtl/>
        </w:rPr>
        <w:t xml:space="preserve">(פ' הגוזל בתרא) </w:t>
      </w:r>
      <w:r>
        <w:rPr>
          <w:rFonts w:cs="Arial" w:hint="cs"/>
          <w:b/>
          <w:bCs/>
          <w:rtl/>
        </w:rPr>
        <w:t>קיב</w:t>
      </w:r>
      <w:r w:rsidR="005A3D8F">
        <w:rPr>
          <w:rStyle w:val="ab"/>
          <w:rFonts w:cs="Arial"/>
          <w:b/>
          <w:bCs/>
          <w:rtl/>
        </w:rPr>
        <w:footnoteReference w:id="737"/>
      </w:r>
      <w:r>
        <w:rPr>
          <w:rFonts w:cs="Arial" w:hint="cs"/>
          <w:b/>
          <w:bCs/>
          <w:rtl/>
        </w:rPr>
        <w:t xml:space="preserve"> ע"ב: </w:t>
      </w:r>
      <w:r w:rsidRPr="00AF62C7">
        <w:rPr>
          <w:rFonts w:cs="Arial"/>
          <w:u w:val="single"/>
          <w:rtl/>
        </w:rPr>
        <w:t>אמר רב יהודה אמר שמואל</w:t>
      </w:r>
      <w:r w:rsidRPr="00AF62C7">
        <w:rPr>
          <w:rFonts w:cs="Arial"/>
          <w:rtl/>
        </w:rPr>
        <w:t xml:space="preserve">: מקבלין עדים שלא בפני בעל דין. </w:t>
      </w:r>
      <w:r w:rsidRPr="00AF62C7">
        <w:rPr>
          <w:rFonts w:cs="Arial"/>
          <w:u w:val="single"/>
          <w:rtl/>
        </w:rPr>
        <w:t>אמר מר עוקבא</w:t>
      </w:r>
      <w:r>
        <w:rPr>
          <w:rFonts w:cs="Arial" w:hint="cs"/>
          <w:rtl/>
        </w:rPr>
        <w:t>:</w:t>
      </w:r>
      <w:r w:rsidRPr="00AF62C7">
        <w:rPr>
          <w:rFonts w:cs="Arial"/>
          <w:rtl/>
        </w:rPr>
        <w:t xml:space="preserve"> לדידי מיפרשא לי מיניה דשמואל כגון דפתחו ליה בדיניה ושלחו ליה ולא אתא, אבל לא פתחו ליה בדינא, מצי א"ל: אנא לב"ד הגדול אזילנא. אי הכי, כי פתחו ליה נמי מצי א"ל: לב"ד הגדול אזילנא!</w:t>
      </w:r>
      <w:r w:rsidR="003D1C40" w:rsidRPr="003D1C40">
        <w:rPr>
          <w:rtl/>
        </w:rPr>
        <w:t xml:space="preserve"> </w:t>
      </w:r>
      <w:r w:rsidR="003D1C40" w:rsidRPr="003D1C40">
        <w:rPr>
          <w:rFonts w:cs="Arial"/>
          <w:u w:val="single"/>
          <w:rtl/>
        </w:rPr>
        <w:t>אמר רבינא</w:t>
      </w:r>
      <w:r w:rsidR="003D1C40" w:rsidRPr="003D1C40">
        <w:rPr>
          <w:rFonts w:cs="Arial"/>
          <w:rtl/>
        </w:rPr>
        <w:t>: כגון דנקט דיסקא מבית דין הגדול.</w:t>
      </w:r>
      <w:r w:rsidR="00BA1CEA">
        <w:rPr>
          <w:rFonts w:cs="Arial" w:hint="cs"/>
          <w:rtl/>
        </w:rPr>
        <w:t xml:space="preserve"> </w:t>
      </w:r>
      <w:r w:rsidR="00BA1CEA">
        <w:rPr>
          <w:rFonts w:hint="cs"/>
          <w:sz w:val="16"/>
          <w:szCs w:val="16"/>
          <w:rtl/>
        </w:rPr>
        <w:t>(לכאורה משמע דאפילו פתחו ליה בדינא מצי נתבע למימר לבית הדין הגדול אזילנא, ועיין לקמן)</w:t>
      </w:r>
    </w:p>
    <w:p w14:paraId="025B6C40" w14:textId="77777777" w:rsidR="00754259" w:rsidRDefault="00203683" w:rsidP="00F21038">
      <w:pPr>
        <w:rPr>
          <w:rFonts w:cs="Arial"/>
          <w:rtl/>
        </w:rPr>
      </w:pPr>
      <w:r>
        <w:rPr>
          <w:rFonts w:cs="Arial" w:hint="cs"/>
          <w:b/>
          <w:bCs/>
          <w:rtl/>
        </w:rPr>
        <w:t xml:space="preserve">סנהדרין </w:t>
      </w:r>
      <w:r w:rsidRPr="00BE67D7">
        <w:rPr>
          <w:rFonts w:cs="Arial" w:hint="cs"/>
          <w:b/>
          <w:bCs/>
          <w:sz w:val="16"/>
          <w:szCs w:val="16"/>
          <w:rtl/>
        </w:rPr>
        <w:t xml:space="preserve">(ס"פ זה בורר) </w:t>
      </w:r>
      <w:r>
        <w:rPr>
          <w:rFonts w:cs="Arial" w:hint="cs"/>
          <w:b/>
          <w:bCs/>
          <w:rtl/>
        </w:rPr>
        <w:t>לא</w:t>
      </w:r>
      <w:r w:rsidR="003D1C40">
        <w:rPr>
          <w:rStyle w:val="ab"/>
          <w:rFonts w:cs="Arial"/>
          <w:b/>
          <w:bCs/>
          <w:rtl/>
        </w:rPr>
        <w:footnoteReference w:id="738"/>
      </w:r>
      <w:r>
        <w:rPr>
          <w:rFonts w:cs="Arial" w:hint="cs"/>
          <w:b/>
          <w:bCs/>
          <w:rtl/>
        </w:rPr>
        <w:t xml:space="preserve"> ע"ב: </w:t>
      </w:r>
      <w:r w:rsidRPr="00203683">
        <w:rPr>
          <w:rFonts w:cs="Arial"/>
          <w:u w:val="single"/>
          <w:rtl/>
        </w:rPr>
        <w:t>כי אתא רב דימי אמר רבי יוחנן</w:t>
      </w:r>
      <w:r w:rsidRPr="00203683">
        <w:rPr>
          <w:rFonts w:cs="Arial"/>
          <w:rtl/>
        </w:rPr>
        <w:t xml:space="preserve">: התוקף את חבירו בדין, אחד אומר: נדון כאן, ואחד אומר: נלך למקום הוועד כופין אותו וילך למקום הוועד. </w:t>
      </w:r>
      <w:r w:rsidRPr="00203683">
        <w:rPr>
          <w:rFonts w:cs="Arial"/>
          <w:u w:val="single"/>
          <w:rtl/>
        </w:rPr>
        <w:t>אמר לפניו רבי אלעזר</w:t>
      </w:r>
      <w:r w:rsidRPr="00203683">
        <w:rPr>
          <w:rFonts w:cs="Arial"/>
          <w:rtl/>
        </w:rPr>
        <w:t xml:space="preserve">: רבי, מי שנושה בחבירו מנה יוציא מנה על מנה? אלא, כופין אותו ודן בעירו. איתמר נמי, </w:t>
      </w:r>
      <w:r w:rsidRPr="00203683">
        <w:rPr>
          <w:rFonts w:cs="Arial"/>
          <w:u w:val="single"/>
          <w:rtl/>
        </w:rPr>
        <w:t>אמר רב ספרא אמר רבי יוחנן</w:t>
      </w:r>
      <w:r w:rsidRPr="00203683">
        <w:rPr>
          <w:rFonts w:cs="Arial"/>
          <w:rtl/>
        </w:rPr>
        <w:t>: שנים שנתעצמו בדין, אחד אומר נדון כאן ואחד אומר: נלך למקום הוועד - כופין אותו ודן בעירו, ואם הוצרך דבר לשאול כותבין ושולחין. ואם אמר: כתבו ותנו לי מאיזה טעם דנתוני - כותבין ונותנין לו.</w:t>
      </w:r>
      <w:r>
        <w:rPr>
          <w:rFonts w:cs="Arial" w:hint="cs"/>
          <w:rtl/>
        </w:rPr>
        <w:t xml:space="preserve">.. </w:t>
      </w:r>
      <w:r w:rsidRPr="00203683">
        <w:rPr>
          <w:rFonts w:cs="Arial"/>
          <w:u w:val="single"/>
          <w:rtl/>
        </w:rPr>
        <w:t>אמר אמימר</w:t>
      </w:r>
      <w:r>
        <w:rPr>
          <w:rFonts w:cs="Arial" w:hint="cs"/>
          <w:rtl/>
        </w:rPr>
        <w:t>:</w:t>
      </w:r>
      <w:r w:rsidRPr="00203683">
        <w:rPr>
          <w:rFonts w:cs="Arial"/>
          <w:rtl/>
        </w:rPr>
        <w:t xml:space="preserve"> הילכתא</w:t>
      </w:r>
      <w:r>
        <w:rPr>
          <w:rFonts w:cs="Arial" w:hint="cs"/>
          <w:rtl/>
        </w:rPr>
        <w:t>,</w:t>
      </w:r>
      <w:r w:rsidRPr="00203683">
        <w:rPr>
          <w:rFonts w:cs="Arial"/>
          <w:rtl/>
        </w:rPr>
        <w:t xml:space="preserve"> כופין אותו וילך למקום הוועד. </w:t>
      </w:r>
      <w:r w:rsidRPr="00203683">
        <w:rPr>
          <w:rFonts w:cs="Arial"/>
          <w:u w:val="single"/>
          <w:rtl/>
        </w:rPr>
        <w:t>אמר ליה רב</w:t>
      </w:r>
      <w:r w:rsidRPr="00203683">
        <w:rPr>
          <w:rFonts w:cs="Arial"/>
          <w:rtl/>
        </w:rPr>
        <w:t xml:space="preserve"> </w:t>
      </w:r>
      <w:r w:rsidRPr="00203683">
        <w:rPr>
          <w:rFonts w:cs="Arial"/>
          <w:u w:val="single"/>
          <w:rtl/>
        </w:rPr>
        <w:t>אשי לאמימר</w:t>
      </w:r>
      <w:r w:rsidRPr="00203683">
        <w:rPr>
          <w:rFonts w:cs="Arial"/>
          <w:rtl/>
        </w:rPr>
        <w:t>: והא אמר רבי אלעזר: כופין אותו ודן בעירו! הני מילי היכא דקאמר ליה לוה למלוה, אבל מלוה</w:t>
      </w:r>
      <w:r w:rsidR="00BA1CEA" w:rsidRPr="00BA1CEA">
        <w:rPr>
          <w:rStyle w:val="ab"/>
          <w:rFonts w:cs="Arial"/>
          <w:rtl/>
        </w:rPr>
        <w:footnoteReference w:id="739"/>
      </w:r>
      <w:r w:rsidRPr="00203683">
        <w:rPr>
          <w:rFonts w:cs="Arial"/>
          <w:rtl/>
        </w:rPr>
        <w:t xml:space="preserve"> - עבד לוה לאיש מלוה</w:t>
      </w:r>
      <w:r w:rsidR="00BA1CEA">
        <w:rPr>
          <w:rFonts w:cs="Arial" w:hint="cs"/>
          <w:rtl/>
        </w:rPr>
        <w:t>.</w:t>
      </w:r>
    </w:p>
    <w:p w14:paraId="08547545" w14:textId="77777777" w:rsidR="00B240DC" w:rsidRDefault="00B240DC" w:rsidP="00F21038">
      <w:pPr>
        <w:rPr>
          <w:rFonts w:cs="Arial"/>
          <w:rtl/>
        </w:rPr>
      </w:pPr>
      <w:r w:rsidRPr="00B240DC">
        <w:rPr>
          <w:rFonts w:cs="Arial" w:hint="cs"/>
          <w:u w:val="single"/>
          <w:rtl/>
        </w:rPr>
        <w:t xml:space="preserve">לכאורה דברי הגמ' סותרים זא"ז </w:t>
      </w:r>
      <w:r w:rsidRPr="00B240DC">
        <w:rPr>
          <w:rFonts w:cs="Arial"/>
          <w:u w:val="single"/>
          <w:rtl/>
        </w:rPr>
        <w:t>–</w:t>
      </w:r>
      <w:r w:rsidRPr="00B240DC">
        <w:rPr>
          <w:rFonts w:cs="Arial" w:hint="cs"/>
          <w:u w:val="single"/>
          <w:rtl/>
        </w:rPr>
        <w:t xml:space="preserve"> איך ניתן ליישב ב</w:t>
      </w:r>
      <w:r>
        <w:rPr>
          <w:rFonts w:cs="Arial" w:hint="cs"/>
          <w:u w:val="single"/>
          <w:rtl/>
        </w:rPr>
        <w:t>י</w:t>
      </w:r>
      <w:r w:rsidRPr="00B240DC">
        <w:rPr>
          <w:rFonts w:cs="Arial" w:hint="cs"/>
          <w:u w:val="single"/>
          <w:rtl/>
        </w:rPr>
        <w:t>נ</w:t>
      </w:r>
      <w:r>
        <w:rPr>
          <w:rFonts w:cs="Arial" w:hint="cs"/>
          <w:u w:val="single"/>
          <w:rtl/>
        </w:rPr>
        <w:t>י</w:t>
      </w:r>
      <w:r w:rsidRPr="00B240DC">
        <w:rPr>
          <w:rFonts w:cs="Arial" w:hint="cs"/>
          <w:u w:val="single"/>
          <w:rtl/>
        </w:rPr>
        <w:t>הם:</w:t>
      </w:r>
      <w:r>
        <w:rPr>
          <w:rFonts w:cs="Arial" w:hint="cs"/>
          <w:rtl/>
        </w:rPr>
        <w:t xml:space="preserve"> </w:t>
      </w:r>
    </w:p>
    <w:p w14:paraId="2B239D61" w14:textId="77777777" w:rsidR="001A7B1F" w:rsidRDefault="00227835" w:rsidP="00B240DC">
      <w:pPr>
        <w:pStyle w:val="ac"/>
        <w:numPr>
          <w:ilvl w:val="0"/>
          <w:numId w:val="10"/>
        </w:numPr>
        <w:rPr>
          <w:rFonts w:cs="Arial"/>
        </w:rPr>
      </w:pPr>
      <w:r>
        <w:rPr>
          <w:rFonts w:cs="Arial" w:hint="cs"/>
          <w:rtl/>
        </w:rPr>
        <w:t xml:space="preserve">מרדכי </w:t>
      </w:r>
      <w:r>
        <w:rPr>
          <w:rFonts w:cs="Arial" w:hint="cs"/>
          <w:sz w:val="16"/>
          <w:szCs w:val="16"/>
          <w:rtl/>
        </w:rPr>
        <w:t xml:space="preserve">(סנהדרין סי' תשט) </w:t>
      </w:r>
      <w:r>
        <w:rPr>
          <w:rFonts w:cs="Arial" w:hint="cs"/>
          <w:rtl/>
        </w:rPr>
        <w:t>ו</w:t>
      </w:r>
      <w:r w:rsidR="00B240DC" w:rsidRPr="00B240DC">
        <w:rPr>
          <w:rFonts w:cs="Arial"/>
          <w:rtl/>
        </w:rPr>
        <w:t xml:space="preserve">רא"ש </w:t>
      </w:r>
      <w:r w:rsidR="00B240DC" w:rsidRPr="00B240DC">
        <w:rPr>
          <w:rFonts w:cs="Arial"/>
          <w:sz w:val="16"/>
          <w:szCs w:val="16"/>
          <w:rtl/>
        </w:rPr>
        <w:t>(</w:t>
      </w:r>
      <w:r w:rsidR="001A7B1F" w:rsidRPr="001A7B1F">
        <w:rPr>
          <w:rFonts w:cs="Arial" w:hint="cs"/>
          <w:sz w:val="14"/>
          <w:szCs w:val="14"/>
          <w:rtl/>
        </w:rPr>
        <w:t>[</w:t>
      </w:r>
      <w:r w:rsidR="00B240DC" w:rsidRPr="001A7B1F">
        <w:rPr>
          <w:rFonts w:cs="Arial" w:hint="cs"/>
          <w:sz w:val="14"/>
          <w:szCs w:val="14"/>
          <w:rtl/>
        </w:rPr>
        <w:t xml:space="preserve">סנהדרין פ"ג </w:t>
      </w:r>
      <w:r w:rsidR="00B240DC" w:rsidRPr="001A7B1F">
        <w:rPr>
          <w:rFonts w:cs="Arial"/>
          <w:sz w:val="14"/>
          <w:szCs w:val="14"/>
          <w:rtl/>
        </w:rPr>
        <w:t>סי' מא</w:t>
      </w:r>
      <w:r w:rsidR="001A7B1F">
        <w:rPr>
          <w:rFonts w:cs="Arial" w:hint="cs"/>
          <w:sz w:val="14"/>
          <w:szCs w:val="14"/>
          <w:rtl/>
        </w:rPr>
        <w:t>]</w:t>
      </w:r>
      <w:r w:rsidR="001A7B1F">
        <w:rPr>
          <w:rFonts w:cs="Arial" w:hint="cs"/>
          <w:sz w:val="16"/>
          <w:szCs w:val="16"/>
          <w:rtl/>
        </w:rPr>
        <w:t xml:space="preserve"> תירוץ א</w:t>
      </w:r>
      <w:r w:rsidR="00B240DC" w:rsidRPr="00B240DC">
        <w:rPr>
          <w:rFonts w:cs="Arial"/>
          <w:sz w:val="16"/>
          <w:szCs w:val="16"/>
          <w:rtl/>
        </w:rPr>
        <w:t>)</w:t>
      </w:r>
      <w:r w:rsidR="00B240DC" w:rsidRPr="00B240DC">
        <w:rPr>
          <w:rFonts w:cs="Arial" w:hint="cs"/>
          <w:rtl/>
        </w:rPr>
        <w:t xml:space="preserve">- </w:t>
      </w:r>
      <w:r w:rsidR="00B240DC" w:rsidRPr="00B240DC">
        <w:rPr>
          <w:rStyle w:val="ab"/>
          <w:rFonts w:cs="Arial"/>
          <w:rtl/>
        </w:rPr>
        <w:footnoteReference w:id="740"/>
      </w:r>
      <w:r w:rsidR="00B240DC" w:rsidRPr="00B240DC">
        <w:rPr>
          <w:rFonts w:cs="Arial"/>
          <w:rtl/>
        </w:rPr>
        <w:t>י</w:t>
      </w:r>
      <w:r w:rsidR="009E01B4">
        <w:rPr>
          <w:rFonts w:cs="Arial" w:hint="cs"/>
          <w:rtl/>
        </w:rPr>
        <w:t xml:space="preserve">ש </w:t>
      </w:r>
      <w:r w:rsidR="00B240DC" w:rsidRPr="00B240DC">
        <w:rPr>
          <w:rFonts w:cs="Arial"/>
          <w:rtl/>
        </w:rPr>
        <w:t>ל</w:t>
      </w:r>
      <w:r w:rsidR="009E01B4">
        <w:rPr>
          <w:rFonts w:cs="Arial" w:hint="cs"/>
          <w:rtl/>
        </w:rPr>
        <w:t>ומר</w:t>
      </w:r>
      <w:r w:rsidR="00B240DC">
        <w:rPr>
          <w:rFonts w:cs="Arial" w:hint="cs"/>
          <w:rtl/>
        </w:rPr>
        <w:t xml:space="preserve"> </w:t>
      </w:r>
      <w:r w:rsidR="00B240DC" w:rsidRPr="00B240DC">
        <w:rPr>
          <w:rFonts w:cs="Arial"/>
          <w:rtl/>
        </w:rPr>
        <w:t xml:space="preserve">דהתם </w:t>
      </w:r>
      <w:r w:rsidR="00B240DC">
        <w:rPr>
          <w:rFonts w:cs="Arial" w:hint="cs"/>
          <w:sz w:val="16"/>
          <w:szCs w:val="16"/>
          <w:rtl/>
        </w:rPr>
        <w:t>{בפרק הגוזל בתרא}</w:t>
      </w:r>
      <w:r w:rsidR="00B240DC">
        <w:rPr>
          <w:rFonts w:cs="Arial" w:hint="cs"/>
          <w:rtl/>
        </w:rPr>
        <w:t xml:space="preserve"> </w:t>
      </w:r>
      <w:r w:rsidR="00B240DC" w:rsidRPr="00B240DC">
        <w:rPr>
          <w:rFonts w:cs="Arial"/>
          <w:rtl/>
        </w:rPr>
        <w:t>בששניהם תובעים זה את זה</w:t>
      </w:r>
      <w:r>
        <w:rPr>
          <w:rFonts w:cs="Arial" w:hint="cs"/>
          <w:sz w:val="16"/>
          <w:szCs w:val="16"/>
          <w:rtl/>
        </w:rPr>
        <w:t xml:space="preserve"> (ל' הרא"ש)</w:t>
      </w:r>
      <w:r w:rsidR="00B240DC" w:rsidRPr="00B240DC">
        <w:rPr>
          <w:rFonts w:cs="Arial"/>
          <w:rtl/>
        </w:rPr>
        <w:t xml:space="preserve">. </w:t>
      </w:r>
    </w:p>
    <w:p w14:paraId="10595D63" w14:textId="77777777" w:rsidR="001A7B1F" w:rsidRDefault="00227835" w:rsidP="00B240DC">
      <w:pPr>
        <w:pStyle w:val="ac"/>
        <w:numPr>
          <w:ilvl w:val="0"/>
          <w:numId w:val="10"/>
        </w:numPr>
        <w:rPr>
          <w:rFonts w:cs="Arial"/>
        </w:rPr>
      </w:pPr>
      <w:r>
        <w:rPr>
          <w:rFonts w:cs="Arial" w:hint="cs"/>
          <w:rtl/>
        </w:rPr>
        <w:t xml:space="preserve">מרדכי </w:t>
      </w:r>
      <w:r>
        <w:rPr>
          <w:rFonts w:cs="Arial" w:hint="cs"/>
          <w:sz w:val="16"/>
          <w:szCs w:val="16"/>
          <w:rtl/>
        </w:rPr>
        <w:t xml:space="preserve">(שם) </w:t>
      </w:r>
      <w:r>
        <w:rPr>
          <w:rFonts w:cs="Arial" w:hint="cs"/>
          <w:rtl/>
        </w:rPr>
        <w:t>ו</w:t>
      </w:r>
      <w:r w:rsidR="001A7B1F" w:rsidRPr="00B240DC">
        <w:rPr>
          <w:rFonts w:cs="Arial"/>
          <w:rtl/>
        </w:rPr>
        <w:t xml:space="preserve">רא"ש </w:t>
      </w:r>
      <w:r w:rsidR="001A7B1F" w:rsidRPr="00B240DC">
        <w:rPr>
          <w:rFonts w:cs="Arial"/>
          <w:sz w:val="16"/>
          <w:szCs w:val="16"/>
          <w:rtl/>
        </w:rPr>
        <w:t>(</w:t>
      </w:r>
      <w:r w:rsidR="001A7B1F" w:rsidRPr="001A7B1F">
        <w:rPr>
          <w:rFonts w:cs="Arial" w:hint="cs"/>
          <w:sz w:val="14"/>
          <w:szCs w:val="14"/>
          <w:rtl/>
        </w:rPr>
        <w:t>[</w:t>
      </w:r>
      <w:r w:rsidR="001A7B1F">
        <w:rPr>
          <w:rFonts w:cs="Arial" w:hint="cs"/>
          <w:sz w:val="14"/>
          <w:szCs w:val="14"/>
          <w:rtl/>
        </w:rPr>
        <w:t>שם]</w:t>
      </w:r>
      <w:r w:rsidR="001A7B1F">
        <w:rPr>
          <w:rFonts w:cs="Arial" w:hint="cs"/>
          <w:sz w:val="16"/>
          <w:szCs w:val="16"/>
          <w:rtl/>
        </w:rPr>
        <w:t xml:space="preserve"> תירוץ ב</w:t>
      </w:r>
      <w:r w:rsidR="001A7B1F" w:rsidRPr="00B240DC">
        <w:rPr>
          <w:rFonts w:cs="Arial"/>
          <w:sz w:val="16"/>
          <w:szCs w:val="16"/>
          <w:rtl/>
        </w:rPr>
        <w:t>)</w:t>
      </w:r>
      <w:r w:rsidR="001A7B1F" w:rsidRPr="00B240DC">
        <w:rPr>
          <w:rFonts w:cs="Arial" w:hint="cs"/>
          <w:rtl/>
        </w:rPr>
        <w:t>-</w:t>
      </w:r>
      <w:r w:rsidR="001A7B1F">
        <w:rPr>
          <w:rFonts w:cs="Arial" w:hint="cs"/>
          <w:rtl/>
        </w:rPr>
        <w:t xml:space="preserve"> </w:t>
      </w:r>
      <w:r w:rsidR="00B240DC" w:rsidRPr="00B240DC">
        <w:rPr>
          <w:rFonts w:cs="Arial"/>
          <w:rtl/>
        </w:rPr>
        <w:t>א</w:t>
      </w:r>
      <w:r w:rsidR="009E01B4">
        <w:rPr>
          <w:rFonts w:cs="Arial" w:hint="cs"/>
          <w:rtl/>
        </w:rPr>
        <w:t xml:space="preserve">י </w:t>
      </w:r>
      <w:r w:rsidR="00B240DC" w:rsidRPr="00B240DC">
        <w:rPr>
          <w:rFonts w:cs="Arial"/>
          <w:rtl/>
        </w:rPr>
        <w:t>נ</w:t>
      </w:r>
      <w:r w:rsidR="009E01B4">
        <w:rPr>
          <w:rFonts w:cs="Arial" w:hint="cs"/>
          <w:rtl/>
        </w:rPr>
        <w:t>מי</w:t>
      </w:r>
      <w:r w:rsidR="00B240DC">
        <w:rPr>
          <w:rFonts w:cs="Arial" w:hint="cs"/>
          <w:rtl/>
        </w:rPr>
        <w:t xml:space="preserve"> </w:t>
      </w:r>
      <w:r w:rsidR="00B240DC" w:rsidRPr="00B240DC">
        <w:rPr>
          <w:rFonts w:cs="Arial"/>
          <w:rtl/>
        </w:rPr>
        <w:t xml:space="preserve">הא דאמר </w:t>
      </w:r>
      <w:r w:rsidR="00B240DC">
        <w:rPr>
          <w:rFonts w:cs="Arial" w:hint="cs"/>
          <w:rtl/>
        </w:rPr>
        <w:t>'</w:t>
      </w:r>
      <w:r w:rsidR="00B240DC" w:rsidRPr="00B240DC">
        <w:rPr>
          <w:rFonts w:cs="Arial"/>
          <w:rtl/>
        </w:rPr>
        <w:t>אבל לוה כופין אותו ודן בעירו</w:t>
      </w:r>
      <w:r w:rsidR="00B240DC">
        <w:rPr>
          <w:rFonts w:cs="Arial" w:hint="cs"/>
          <w:rtl/>
        </w:rPr>
        <w:t>'</w:t>
      </w:r>
      <w:r w:rsidR="00B240DC" w:rsidRPr="00B240DC">
        <w:rPr>
          <w:rFonts w:cs="Arial"/>
          <w:rtl/>
        </w:rPr>
        <w:t xml:space="preserve"> היינו דוקא בידוע שזה לוה וזה מלוה</w:t>
      </w:r>
      <w:r w:rsidR="00B240DC">
        <w:rPr>
          <w:rFonts w:cs="Arial" w:hint="cs"/>
          <w:rtl/>
        </w:rPr>
        <w:t>,</w:t>
      </w:r>
      <w:r w:rsidR="00B240DC" w:rsidRPr="00B240DC">
        <w:rPr>
          <w:rFonts w:cs="Arial"/>
          <w:rtl/>
        </w:rPr>
        <w:t xml:space="preserve"> כגון שמודה מקצת אי נמי טוען פרעתי</w:t>
      </w:r>
      <w:r w:rsidR="00B240DC">
        <w:rPr>
          <w:rFonts w:cs="Arial" w:hint="cs"/>
          <w:rtl/>
        </w:rPr>
        <w:t>,</w:t>
      </w:r>
      <w:r w:rsidR="00B240DC" w:rsidRPr="00B240DC">
        <w:rPr>
          <w:rFonts w:cs="Arial"/>
          <w:rtl/>
        </w:rPr>
        <w:t xml:space="preserve"> אבל אם אמר לא היו דברים מעולם לא שייך כאן עבד לוה לאיש מלוה</w:t>
      </w:r>
      <w:r>
        <w:rPr>
          <w:rFonts w:cs="Arial" w:hint="cs"/>
          <w:rtl/>
        </w:rPr>
        <w:t xml:space="preserve"> </w:t>
      </w:r>
      <w:r>
        <w:rPr>
          <w:rFonts w:cs="Arial" w:hint="cs"/>
          <w:sz w:val="16"/>
          <w:szCs w:val="16"/>
          <w:rtl/>
        </w:rPr>
        <w:t>(ל' הרא"ש)</w:t>
      </w:r>
      <w:r w:rsidR="00B240DC" w:rsidRPr="00B240DC">
        <w:rPr>
          <w:rFonts w:cs="Arial"/>
          <w:rtl/>
        </w:rPr>
        <w:t xml:space="preserve">. </w:t>
      </w:r>
    </w:p>
    <w:p w14:paraId="4F604A4F" w14:textId="77777777" w:rsidR="00BA1CEA" w:rsidRPr="00B240DC" w:rsidRDefault="00227835" w:rsidP="00B240DC">
      <w:pPr>
        <w:pStyle w:val="ac"/>
        <w:numPr>
          <w:ilvl w:val="0"/>
          <w:numId w:val="10"/>
        </w:numPr>
        <w:rPr>
          <w:rFonts w:cs="Arial"/>
          <w:rtl/>
        </w:rPr>
      </w:pPr>
      <w:r>
        <w:rPr>
          <w:rFonts w:cs="Arial" w:hint="cs"/>
          <w:rtl/>
        </w:rPr>
        <w:t xml:space="preserve">תוס' </w:t>
      </w:r>
      <w:r>
        <w:rPr>
          <w:rFonts w:cs="Arial" w:hint="cs"/>
          <w:sz w:val="16"/>
          <w:szCs w:val="16"/>
          <w:rtl/>
        </w:rPr>
        <w:t>(ב"ק קיב ד"ה מצי)</w:t>
      </w:r>
      <w:r>
        <w:rPr>
          <w:rFonts w:cs="Arial" w:hint="cs"/>
          <w:rtl/>
        </w:rPr>
        <w:t xml:space="preserve"> סמ"ג </w:t>
      </w:r>
      <w:r>
        <w:rPr>
          <w:rFonts w:cs="Arial" w:hint="cs"/>
          <w:sz w:val="16"/>
          <w:szCs w:val="16"/>
          <w:rtl/>
        </w:rPr>
        <w:t>(עשין צז ד"ה פירש רבינו יצחק)</w:t>
      </w:r>
      <w:r>
        <w:rPr>
          <w:rFonts w:cs="Arial" w:hint="cs"/>
          <w:rtl/>
        </w:rPr>
        <w:t xml:space="preserve"> ו</w:t>
      </w:r>
      <w:r w:rsidR="001A7B1F" w:rsidRPr="00B240DC">
        <w:rPr>
          <w:rFonts w:cs="Arial"/>
          <w:rtl/>
        </w:rPr>
        <w:t xml:space="preserve">רא"ש </w:t>
      </w:r>
      <w:r w:rsidR="001A7B1F" w:rsidRPr="00B240DC">
        <w:rPr>
          <w:rFonts w:cs="Arial"/>
          <w:sz w:val="16"/>
          <w:szCs w:val="16"/>
          <w:rtl/>
        </w:rPr>
        <w:t>(</w:t>
      </w:r>
      <w:r w:rsidR="001A7B1F" w:rsidRPr="001A7B1F">
        <w:rPr>
          <w:rFonts w:cs="Arial" w:hint="cs"/>
          <w:sz w:val="14"/>
          <w:szCs w:val="14"/>
          <w:rtl/>
        </w:rPr>
        <w:t>[</w:t>
      </w:r>
      <w:r w:rsidR="001A7B1F">
        <w:rPr>
          <w:rFonts w:cs="Arial" w:hint="cs"/>
          <w:sz w:val="14"/>
          <w:szCs w:val="14"/>
          <w:rtl/>
        </w:rPr>
        <w:t>שם]</w:t>
      </w:r>
      <w:r w:rsidR="001A7B1F">
        <w:rPr>
          <w:rFonts w:cs="Arial" w:hint="cs"/>
          <w:sz w:val="16"/>
          <w:szCs w:val="16"/>
          <w:rtl/>
        </w:rPr>
        <w:t xml:space="preserve"> תירוץ ג</w:t>
      </w:r>
      <w:r w:rsidR="001A7B1F" w:rsidRPr="00B240DC">
        <w:rPr>
          <w:rFonts w:cs="Arial"/>
          <w:sz w:val="16"/>
          <w:szCs w:val="16"/>
          <w:rtl/>
        </w:rPr>
        <w:t>)</w:t>
      </w:r>
      <w:r w:rsidR="001A7B1F" w:rsidRPr="00B240DC">
        <w:rPr>
          <w:rFonts w:cs="Arial" w:hint="cs"/>
          <w:rtl/>
        </w:rPr>
        <w:t>-</w:t>
      </w:r>
      <w:r w:rsidR="001A7B1F">
        <w:rPr>
          <w:rFonts w:cs="Arial" w:hint="cs"/>
          <w:rtl/>
        </w:rPr>
        <w:t xml:space="preserve"> </w:t>
      </w:r>
      <w:r w:rsidR="00B240DC" w:rsidRPr="00B240DC">
        <w:rPr>
          <w:rFonts w:cs="Arial"/>
          <w:rtl/>
        </w:rPr>
        <w:t>ועוד נראה שבית דין הגדול ומקום הוועד תרי מילי נינהו</w:t>
      </w:r>
      <w:r w:rsidR="00B240DC">
        <w:rPr>
          <w:rFonts w:cs="Arial" w:hint="cs"/>
          <w:rtl/>
        </w:rPr>
        <w:t>,</w:t>
      </w:r>
      <w:r w:rsidR="00B240DC" w:rsidRPr="00B240DC">
        <w:rPr>
          <w:rFonts w:cs="Arial"/>
          <w:rtl/>
        </w:rPr>
        <w:t xml:space="preserve"> דמקום הוועד</w:t>
      </w:r>
      <w:r w:rsidR="00B240DC">
        <w:rPr>
          <w:rFonts w:cs="Arial" w:hint="cs"/>
          <w:rtl/>
        </w:rPr>
        <w:t xml:space="preserve"> -</w:t>
      </w:r>
      <w:r w:rsidR="00B240DC" w:rsidRPr="00B240DC">
        <w:rPr>
          <w:rFonts w:cs="Arial"/>
          <w:rtl/>
        </w:rPr>
        <w:t xml:space="preserve"> מקום קיבוץ חכמים</w:t>
      </w:r>
      <w:r w:rsidR="00B240DC" w:rsidRPr="00B240DC">
        <w:rPr>
          <w:rFonts w:cs="Arial" w:hint="cs"/>
          <w:rtl/>
        </w:rPr>
        <w:t>,</w:t>
      </w:r>
      <w:r w:rsidR="00B240DC" w:rsidRPr="00B240DC">
        <w:rPr>
          <w:rFonts w:cs="Arial"/>
          <w:rtl/>
        </w:rPr>
        <w:t xml:space="preserve"> והכא בשמעתין משמע מתוך פירוש ר</w:t>
      </w:r>
      <w:r w:rsidR="00B240DC" w:rsidRPr="00B240DC">
        <w:rPr>
          <w:rFonts w:cs="Arial" w:hint="cs"/>
          <w:rtl/>
        </w:rPr>
        <w:t>"</w:t>
      </w:r>
      <w:r w:rsidR="00B240DC" w:rsidRPr="00B240DC">
        <w:rPr>
          <w:rFonts w:cs="Arial"/>
          <w:rtl/>
        </w:rPr>
        <w:t xml:space="preserve">ת </w:t>
      </w:r>
      <w:r w:rsidR="00B240DC" w:rsidRPr="00B240DC">
        <w:rPr>
          <w:rFonts w:cs="Arial"/>
          <w:sz w:val="16"/>
          <w:szCs w:val="16"/>
          <w:rtl/>
        </w:rPr>
        <w:t>(ד"ה אי)</w:t>
      </w:r>
      <w:r w:rsidR="00B240DC" w:rsidRPr="00B240DC">
        <w:rPr>
          <w:rFonts w:cs="Arial"/>
          <w:rtl/>
        </w:rPr>
        <w:t xml:space="preserve"> דבית דין הגדול</w:t>
      </w:r>
      <w:r w:rsidR="00B240DC">
        <w:rPr>
          <w:rFonts w:cs="Arial" w:hint="cs"/>
          <w:rtl/>
        </w:rPr>
        <w:t xml:space="preserve"> -</w:t>
      </w:r>
      <w:r w:rsidR="00B240DC" w:rsidRPr="00B240DC">
        <w:rPr>
          <w:rFonts w:cs="Arial"/>
          <w:rtl/>
        </w:rPr>
        <w:t xml:space="preserve"> היינו נשיא שבארץ ישראל</w:t>
      </w:r>
      <w:r w:rsidR="001A7B1F">
        <w:rPr>
          <w:rStyle w:val="ab"/>
          <w:rFonts w:cs="Arial"/>
          <w:rtl/>
        </w:rPr>
        <w:footnoteReference w:id="741"/>
      </w:r>
      <w:r w:rsidR="00B240DC">
        <w:rPr>
          <w:rFonts w:cs="Arial" w:hint="cs"/>
          <w:rtl/>
        </w:rPr>
        <w:t>,</w:t>
      </w:r>
      <w:r w:rsidR="00B240DC" w:rsidRPr="00B240DC">
        <w:rPr>
          <w:rFonts w:cs="Arial"/>
          <w:rtl/>
        </w:rPr>
        <w:t xml:space="preserve"> הילכך למקום הוועד שאינו אלא מקום קיבוץ חכמים </w:t>
      </w:r>
      <w:r w:rsidR="00B240DC">
        <w:rPr>
          <w:rFonts w:cs="Arial" w:hint="cs"/>
          <w:rtl/>
        </w:rPr>
        <w:t xml:space="preserve">- </w:t>
      </w:r>
      <w:r w:rsidR="00B240DC" w:rsidRPr="00B240DC">
        <w:rPr>
          <w:rFonts w:cs="Arial"/>
          <w:rtl/>
        </w:rPr>
        <w:t>עבד לוה לאיש מלוה וכופין אותו והולך למקום הוועד</w:t>
      </w:r>
      <w:r w:rsidR="00B240DC">
        <w:rPr>
          <w:rFonts w:cs="Arial" w:hint="cs"/>
          <w:rtl/>
        </w:rPr>
        <w:t>,</w:t>
      </w:r>
      <w:r w:rsidR="00B240DC" w:rsidRPr="00B240DC">
        <w:rPr>
          <w:rFonts w:cs="Arial"/>
          <w:rtl/>
        </w:rPr>
        <w:t xml:space="preserve"> אבל נתבע לא מצי כייף לתובע לילך למקום הוועד</w:t>
      </w:r>
      <w:r w:rsidR="00B240DC" w:rsidRPr="00B240DC">
        <w:rPr>
          <w:rFonts w:cs="Arial" w:hint="cs"/>
          <w:rtl/>
        </w:rPr>
        <w:t>,</w:t>
      </w:r>
      <w:r w:rsidR="00B240DC" w:rsidRPr="00B240DC">
        <w:rPr>
          <w:rFonts w:cs="Arial"/>
          <w:rtl/>
        </w:rPr>
        <w:t xml:space="preserve"> והוא דידיע דאית ליה תביעה גביה כגון דמודה במקצת או טוען פרעתי</w:t>
      </w:r>
      <w:r w:rsidR="00B240DC">
        <w:rPr>
          <w:rFonts w:cs="Arial" w:hint="cs"/>
          <w:rtl/>
        </w:rPr>
        <w:t>.</w:t>
      </w:r>
      <w:r w:rsidR="00B240DC" w:rsidRPr="00B240DC">
        <w:rPr>
          <w:rFonts w:cs="Arial"/>
          <w:rtl/>
        </w:rPr>
        <w:t xml:space="preserve"> אבל לבית דין הגדול </w:t>
      </w:r>
      <w:r w:rsidR="00B240DC">
        <w:rPr>
          <w:rFonts w:cs="Arial" w:hint="cs"/>
          <w:rtl/>
        </w:rPr>
        <w:t xml:space="preserve">- </w:t>
      </w:r>
      <w:r w:rsidR="00B240DC" w:rsidRPr="00B240DC">
        <w:rPr>
          <w:rFonts w:cs="Arial"/>
          <w:rtl/>
        </w:rPr>
        <w:t>אפילו נתבע מצי טעין</w:t>
      </w:r>
      <w:r>
        <w:rPr>
          <w:rFonts w:cs="Arial" w:hint="cs"/>
          <w:sz w:val="16"/>
          <w:szCs w:val="16"/>
          <w:rtl/>
        </w:rPr>
        <w:t xml:space="preserve"> (ל' הרא"ש)</w:t>
      </w:r>
      <w:r w:rsidR="00B240DC" w:rsidRPr="00B240DC">
        <w:rPr>
          <w:rFonts w:cs="Arial" w:hint="cs"/>
          <w:rtl/>
        </w:rPr>
        <w:t xml:space="preserve">. </w:t>
      </w:r>
    </w:p>
    <w:p w14:paraId="3C0FA8C1" w14:textId="77777777" w:rsidR="00610032" w:rsidRDefault="00610032" w:rsidP="00610032">
      <w:pPr>
        <w:rPr>
          <w:rFonts w:cs="Arial"/>
          <w:rtl/>
        </w:rPr>
      </w:pPr>
      <w:r w:rsidRPr="00754259">
        <w:rPr>
          <w:rFonts w:cs="Arial" w:hint="cs"/>
          <w:u w:val="single"/>
          <w:rtl/>
        </w:rPr>
        <w:t>מי</w:t>
      </w:r>
      <w:r w:rsidRPr="00754259">
        <w:rPr>
          <w:rFonts w:cs="Arial"/>
          <w:u w:val="single"/>
          <w:rtl/>
        </w:rPr>
        <w:t xml:space="preserve"> </w:t>
      </w:r>
      <w:r w:rsidR="00B240DC">
        <w:rPr>
          <w:rFonts w:cs="Arial" w:hint="cs"/>
          <w:u w:val="single"/>
          <w:rtl/>
        </w:rPr>
        <w:t>יכול</w:t>
      </w:r>
      <w:r w:rsidRPr="00754259">
        <w:rPr>
          <w:rFonts w:cs="Arial"/>
          <w:u w:val="single"/>
          <w:rtl/>
        </w:rPr>
        <w:t xml:space="preserve"> </w:t>
      </w:r>
      <w:r w:rsidR="00B240DC">
        <w:rPr>
          <w:rFonts w:cs="Arial" w:hint="cs"/>
          <w:u w:val="single"/>
          <w:rtl/>
        </w:rPr>
        <w:t>ל</w:t>
      </w:r>
      <w:r w:rsidRPr="00754259">
        <w:rPr>
          <w:rFonts w:cs="Arial"/>
          <w:u w:val="single"/>
          <w:rtl/>
        </w:rPr>
        <w:t>טע</w:t>
      </w:r>
      <w:r w:rsidR="00B240DC">
        <w:rPr>
          <w:rFonts w:cs="Arial" w:hint="cs"/>
          <w:u w:val="single"/>
          <w:rtl/>
        </w:rPr>
        <w:t>ו</w:t>
      </w:r>
      <w:r w:rsidRPr="00754259">
        <w:rPr>
          <w:rFonts w:cs="Arial"/>
          <w:u w:val="single"/>
          <w:rtl/>
        </w:rPr>
        <w:t xml:space="preserve">ן </w:t>
      </w:r>
      <w:r w:rsidR="00214A38" w:rsidRPr="001A7B1F">
        <w:rPr>
          <w:rFonts w:cs="Arial" w:hint="cs"/>
          <w:u w:val="single"/>
          <w:rtl/>
        </w:rPr>
        <w:t>'</w:t>
      </w:r>
      <w:r w:rsidRPr="001A7B1F">
        <w:rPr>
          <w:rFonts w:cs="Arial"/>
          <w:b/>
          <w:bCs/>
          <w:u w:val="single"/>
          <w:rtl/>
        </w:rPr>
        <w:t>ל</w:t>
      </w:r>
      <w:r w:rsidRPr="001A7B1F">
        <w:rPr>
          <w:rFonts w:cs="Arial" w:hint="cs"/>
          <w:b/>
          <w:bCs/>
          <w:u w:val="single"/>
          <w:rtl/>
        </w:rPr>
        <w:t xml:space="preserve">מקום </w:t>
      </w:r>
      <w:r>
        <w:rPr>
          <w:rFonts w:cs="Arial" w:hint="cs"/>
          <w:b/>
          <w:bCs/>
          <w:u w:val="single"/>
          <w:rtl/>
        </w:rPr>
        <w:t xml:space="preserve">הוועד </w:t>
      </w:r>
      <w:r w:rsidRPr="00754259">
        <w:rPr>
          <w:rFonts w:cs="Arial"/>
          <w:u w:val="single"/>
          <w:rtl/>
        </w:rPr>
        <w:t>קא אזילנא</w:t>
      </w:r>
      <w:r>
        <w:rPr>
          <w:rFonts w:cs="Arial" w:hint="cs"/>
          <w:u w:val="single"/>
          <w:rtl/>
        </w:rPr>
        <w:t>'</w:t>
      </w:r>
      <w:r w:rsidRPr="00754259">
        <w:rPr>
          <w:rFonts w:cs="Arial" w:hint="cs"/>
          <w:u w:val="single"/>
          <w:rtl/>
        </w:rPr>
        <w:t>:</w:t>
      </w:r>
      <w:r>
        <w:rPr>
          <w:rFonts w:cs="Arial"/>
          <w:rtl/>
        </w:rPr>
        <w:t xml:space="preserve"> </w:t>
      </w:r>
    </w:p>
    <w:p w14:paraId="3FC9D36C" w14:textId="77777777" w:rsidR="00610032" w:rsidRDefault="004752B9" w:rsidP="00C704CB">
      <w:pPr>
        <w:pStyle w:val="ac"/>
        <w:numPr>
          <w:ilvl w:val="0"/>
          <w:numId w:val="10"/>
        </w:numPr>
      </w:pPr>
      <w:r>
        <w:rPr>
          <w:rFonts w:cs="Arial" w:hint="cs"/>
          <w:rtl/>
        </w:rPr>
        <w:t xml:space="preserve">תוס' </w:t>
      </w:r>
      <w:r>
        <w:rPr>
          <w:rFonts w:cs="Arial" w:hint="cs"/>
          <w:sz w:val="16"/>
          <w:szCs w:val="16"/>
          <w:rtl/>
        </w:rPr>
        <w:t>(</w:t>
      </w:r>
      <w:r w:rsidR="00FA43CD">
        <w:rPr>
          <w:rFonts w:cs="Arial" w:hint="cs"/>
          <w:sz w:val="16"/>
          <w:szCs w:val="16"/>
          <w:rtl/>
        </w:rPr>
        <w:t>שם</w:t>
      </w:r>
      <w:r>
        <w:rPr>
          <w:rFonts w:cs="Arial" w:hint="cs"/>
          <w:sz w:val="16"/>
          <w:szCs w:val="16"/>
          <w:rtl/>
        </w:rPr>
        <w:t>)</w:t>
      </w:r>
      <w:r>
        <w:rPr>
          <w:rFonts w:cs="Arial" w:hint="cs"/>
          <w:rtl/>
        </w:rPr>
        <w:t xml:space="preserve"> </w:t>
      </w:r>
      <w:r w:rsidR="00FA43CD">
        <w:rPr>
          <w:rFonts w:cs="Arial" w:hint="cs"/>
          <w:rtl/>
        </w:rPr>
        <w:t xml:space="preserve">סמ"ג </w:t>
      </w:r>
      <w:r w:rsidR="00FA43CD">
        <w:rPr>
          <w:rFonts w:cs="Arial" w:hint="cs"/>
          <w:sz w:val="16"/>
          <w:szCs w:val="16"/>
          <w:rtl/>
        </w:rPr>
        <w:t>(שם)</w:t>
      </w:r>
      <w:r w:rsidR="00FA43CD">
        <w:rPr>
          <w:rFonts w:cs="Arial" w:hint="cs"/>
          <w:rtl/>
        </w:rPr>
        <w:t xml:space="preserve"> </w:t>
      </w:r>
      <w:r w:rsidR="00610032" w:rsidRPr="00610032">
        <w:rPr>
          <w:rFonts w:cs="Arial" w:hint="cs"/>
          <w:rtl/>
        </w:rPr>
        <w:t xml:space="preserve">רא"ש </w:t>
      </w:r>
      <w:r w:rsidR="00610032" w:rsidRPr="00610032">
        <w:rPr>
          <w:rFonts w:cs="Arial"/>
          <w:sz w:val="16"/>
          <w:szCs w:val="16"/>
          <w:rtl/>
        </w:rPr>
        <w:t>(</w:t>
      </w:r>
      <w:r w:rsidR="004472F7">
        <w:rPr>
          <w:rFonts w:cs="Arial" w:hint="cs"/>
          <w:sz w:val="16"/>
          <w:szCs w:val="16"/>
          <w:rtl/>
        </w:rPr>
        <w:t>ב</w:t>
      </w:r>
      <w:r w:rsidR="00FA43CD">
        <w:rPr>
          <w:rFonts w:cs="Arial" w:hint="cs"/>
          <w:sz w:val="16"/>
          <w:szCs w:val="16"/>
          <w:rtl/>
        </w:rPr>
        <w:t xml:space="preserve">סנהדרין </w:t>
      </w:r>
      <w:r w:rsidR="004472F7">
        <w:rPr>
          <w:rFonts w:cs="Arial" w:hint="cs"/>
          <w:sz w:val="16"/>
          <w:szCs w:val="16"/>
          <w:rtl/>
        </w:rPr>
        <w:t>[שם] ובב"ק [שם])</w:t>
      </w:r>
      <w:r w:rsidR="00610032" w:rsidRPr="00610032">
        <w:rPr>
          <w:rFonts w:cs="Arial"/>
          <w:sz w:val="16"/>
          <w:szCs w:val="16"/>
          <w:rtl/>
        </w:rPr>
        <w:t xml:space="preserve"> </w:t>
      </w:r>
      <w:r w:rsidR="00610032" w:rsidRPr="00610032">
        <w:rPr>
          <w:rFonts w:cs="Arial" w:hint="cs"/>
          <w:rtl/>
        </w:rPr>
        <w:t>וטור-</w:t>
      </w:r>
      <w:r w:rsidR="00610032" w:rsidRPr="00610032">
        <w:rPr>
          <w:rFonts w:cs="Arial"/>
          <w:rtl/>
        </w:rPr>
        <w:t xml:space="preserve"> לא נתרצו לדון בעירם אלא בבית הוועד מקום קבוץ חכמים</w:t>
      </w:r>
      <w:r w:rsidR="00701AA5">
        <w:rPr>
          <w:rFonts w:cs="Arial" w:hint="cs"/>
          <w:rtl/>
        </w:rPr>
        <w:t>,</w:t>
      </w:r>
      <w:r w:rsidR="00610032" w:rsidRPr="00610032">
        <w:rPr>
          <w:rFonts w:cs="Arial"/>
          <w:rtl/>
        </w:rPr>
        <w:t xml:space="preserve"> אם הנתבע אומר כן </w:t>
      </w:r>
      <w:r w:rsidR="00701AA5">
        <w:rPr>
          <w:rFonts w:cs="Arial" w:hint="cs"/>
          <w:rtl/>
        </w:rPr>
        <w:t xml:space="preserve">- </w:t>
      </w:r>
      <w:r w:rsidR="00610032" w:rsidRPr="00610032">
        <w:rPr>
          <w:rFonts w:cs="Arial"/>
          <w:rtl/>
        </w:rPr>
        <w:t>אין שומעין לו</w:t>
      </w:r>
      <w:r w:rsidR="00701AA5">
        <w:rPr>
          <w:rFonts w:cs="Arial" w:hint="cs"/>
          <w:rtl/>
        </w:rPr>
        <w:t>,</w:t>
      </w:r>
      <w:r w:rsidR="00610032" w:rsidRPr="00610032">
        <w:rPr>
          <w:rFonts w:cs="Arial"/>
          <w:rtl/>
        </w:rPr>
        <w:t xml:space="preserve"> אלא כופין אותו ודן בעירו</w:t>
      </w:r>
      <w:r w:rsidR="00701AA5">
        <w:rPr>
          <w:rFonts w:cs="Arial" w:hint="cs"/>
          <w:rtl/>
        </w:rPr>
        <w:t>.</w:t>
      </w:r>
      <w:r w:rsidR="00610032" w:rsidRPr="00610032">
        <w:rPr>
          <w:rFonts w:cs="Arial"/>
          <w:rtl/>
        </w:rPr>
        <w:t xml:space="preserve"> ואם יצטרכו לשאול כותבים ושולחים לבית הוועד</w:t>
      </w:r>
      <w:r w:rsidR="00701AA5">
        <w:rPr>
          <w:rFonts w:cs="Arial" w:hint="cs"/>
          <w:rtl/>
        </w:rPr>
        <w:t>,</w:t>
      </w:r>
      <w:r w:rsidR="00610032" w:rsidRPr="00610032">
        <w:rPr>
          <w:rFonts w:cs="Arial"/>
          <w:rtl/>
        </w:rPr>
        <w:t xml:space="preserve"> ודנים להם בע</w:t>
      </w:r>
      <w:r w:rsidR="00610032" w:rsidRPr="00610032">
        <w:rPr>
          <w:rFonts w:cs="Arial" w:hint="cs"/>
          <w:rtl/>
        </w:rPr>
        <w:t>י</w:t>
      </w:r>
      <w:r w:rsidR="00610032" w:rsidRPr="00610032">
        <w:rPr>
          <w:rFonts w:cs="Arial"/>
          <w:rtl/>
        </w:rPr>
        <w:t>רם כפי מה שישלחו להם מבית הוועד</w:t>
      </w:r>
      <w:r w:rsidR="00701AA5">
        <w:rPr>
          <w:rFonts w:cs="Arial" w:hint="cs"/>
          <w:rtl/>
        </w:rPr>
        <w:t>.</w:t>
      </w:r>
      <w:r w:rsidR="00610032" w:rsidRPr="00610032">
        <w:rPr>
          <w:rFonts w:cs="Arial"/>
          <w:rtl/>
        </w:rPr>
        <w:t xml:space="preserve"> ואם התובע אומר לילך לבית הוועד </w:t>
      </w:r>
      <w:r w:rsidR="00701AA5">
        <w:rPr>
          <w:rFonts w:cs="Arial" w:hint="cs"/>
          <w:rtl/>
        </w:rPr>
        <w:t xml:space="preserve">- </w:t>
      </w:r>
      <w:r w:rsidR="00610032" w:rsidRPr="00610032">
        <w:rPr>
          <w:rFonts w:cs="Arial"/>
          <w:rtl/>
        </w:rPr>
        <w:t>שומעין לו</w:t>
      </w:r>
      <w:r w:rsidR="00701AA5">
        <w:rPr>
          <w:rFonts w:cs="Arial" w:hint="cs"/>
          <w:rtl/>
        </w:rPr>
        <w:t>,</w:t>
      </w:r>
      <w:r w:rsidR="00610032" w:rsidRPr="00610032">
        <w:rPr>
          <w:rFonts w:cs="Arial"/>
          <w:rtl/>
        </w:rPr>
        <w:t xml:space="preserve"> ל"ש תובע על עסקי מלוה או על עסקי גזילות ומקח וממכר וירושות ומתנות</w:t>
      </w:r>
      <w:r w:rsidR="003973AF">
        <w:rPr>
          <w:rFonts w:cs="Arial" w:hint="cs"/>
          <w:rtl/>
        </w:rPr>
        <w:t>.</w:t>
      </w:r>
      <w:r w:rsidR="00610032" w:rsidRPr="00610032">
        <w:rPr>
          <w:rFonts w:cs="Arial"/>
          <w:rtl/>
        </w:rPr>
        <w:t xml:space="preserve"> בד"א כשידוע שיש לו תביעה על הנתבע</w:t>
      </w:r>
      <w:r w:rsidR="00701AA5">
        <w:rPr>
          <w:rFonts w:cs="Arial" w:hint="cs"/>
          <w:rtl/>
        </w:rPr>
        <w:t>,</w:t>
      </w:r>
      <w:r w:rsidR="00610032" w:rsidRPr="00610032">
        <w:rPr>
          <w:rFonts w:cs="Arial"/>
          <w:rtl/>
        </w:rPr>
        <w:t xml:space="preserve"> כגון שמודה מקצת או שטוען פרעתי</w:t>
      </w:r>
      <w:r w:rsidR="00701AA5">
        <w:rPr>
          <w:rFonts w:cs="Arial" w:hint="cs"/>
          <w:rtl/>
        </w:rPr>
        <w:t>,</w:t>
      </w:r>
      <w:r w:rsidR="00610032" w:rsidRPr="00610032">
        <w:rPr>
          <w:rFonts w:cs="Arial"/>
          <w:rtl/>
        </w:rPr>
        <w:t xml:space="preserve"> אבל אם אין ידוע כגון כופר הכל </w:t>
      </w:r>
      <w:r w:rsidR="00701AA5">
        <w:rPr>
          <w:rFonts w:cs="Arial" w:hint="cs"/>
          <w:rtl/>
        </w:rPr>
        <w:t xml:space="preserve">- </w:t>
      </w:r>
      <w:r w:rsidR="00610032" w:rsidRPr="00610032">
        <w:rPr>
          <w:rFonts w:cs="Arial"/>
          <w:rtl/>
        </w:rPr>
        <w:t>אין שום אחד מהם יכול לכוף את חבירו</w:t>
      </w:r>
      <w:r w:rsidR="00610032">
        <w:rPr>
          <w:rFonts w:cs="Arial" w:hint="cs"/>
          <w:sz w:val="16"/>
          <w:szCs w:val="16"/>
          <w:rtl/>
        </w:rPr>
        <w:t xml:space="preserve"> (ל' הטור)</w:t>
      </w:r>
      <w:r w:rsidR="00610032">
        <w:rPr>
          <w:rFonts w:hint="cs"/>
          <w:rtl/>
        </w:rPr>
        <w:t>.</w:t>
      </w:r>
      <w:r w:rsidR="009E01B4" w:rsidRPr="009E01B4">
        <w:rPr>
          <w:rFonts w:hint="cs"/>
          <w:color w:val="E36C0A" w:themeColor="accent6" w:themeShade="BF"/>
          <w:rtl/>
        </w:rPr>
        <w:t xml:space="preserve"> </w:t>
      </w:r>
      <w:r w:rsidR="009E01B4" w:rsidRPr="00EA22B2">
        <w:rPr>
          <w:rFonts w:hint="cs"/>
          <w:color w:val="E36C0A" w:themeColor="accent6" w:themeShade="BF"/>
          <w:rtl/>
        </w:rPr>
        <w:t>(וכ"</w:t>
      </w:r>
      <w:r w:rsidR="009E01B4">
        <w:rPr>
          <w:rFonts w:hint="cs"/>
          <w:color w:val="E36C0A" w:themeColor="accent6" w:themeShade="BF"/>
          <w:rtl/>
        </w:rPr>
        <w:t>ס</w:t>
      </w:r>
      <w:r w:rsidR="009E01B4" w:rsidRPr="00EA22B2">
        <w:rPr>
          <w:rFonts w:hint="cs"/>
          <w:color w:val="E36C0A" w:themeColor="accent6" w:themeShade="BF"/>
          <w:rtl/>
        </w:rPr>
        <w:t xml:space="preserve"> בשו"ע)</w:t>
      </w:r>
    </w:p>
    <w:p w14:paraId="3CC0B1DF" w14:textId="77777777" w:rsidR="00C001A5" w:rsidRPr="00C001A5" w:rsidRDefault="00C001A5" w:rsidP="00C001A5">
      <w:pPr>
        <w:ind w:left="360"/>
        <w:rPr>
          <w:rFonts w:cs="Arial"/>
          <w:u w:val="dotted"/>
        </w:rPr>
      </w:pPr>
      <w:r w:rsidRPr="00C001A5">
        <w:rPr>
          <w:rFonts w:cs="Arial" w:hint="cs"/>
          <w:u w:val="dotted"/>
          <w:rtl/>
        </w:rPr>
        <w:t>ומה הדין היכא דאמר הלוה</w:t>
      </w:r>
      <w:r>
        <w:rPr>
          <w:rFonts w:cs="Arial" w:hint="cs"/>
          <w:u w:val="dotted"/>
          <w:rtl/>
        </w:rPr>
        <w:t xml:space="preserve"> למלוה</w:t>
      </w:r>
      <w:r w:rsidRPr="00C001A5">
        <w:rPr>
          <w:rFonts w:cs="Arial" w:hint="cs"/>
          <w:u w:val="dotted"/>
          <w:rtl/>
        </w:rPr>
        <w:t xml:space="preserve"> 'בא איתי לבית הוועד ואשלם לך את הוצאות הדרך':</w:t>
      </w:r>
    </w:p>
    <w:p w14:paraId="47749778" w14:textId="77777777" w:rsidR="00C001A5" w:rsidRPr="00C001A5" w:rsidRDefault="00D0463C" w:rsidP="00C704CB">
      <w:pPr>
        <w:pStyle w:val="ac"/>
        <w:numPr>
          <w:ilvl w:val="0"/>
          <w:numId w:val="10"/>
        </w:numPr>
        <w:rPr>
          <w:rFonts w:cs="Arial"/>
          <w:rtl/>
        </w:rPr>
      </w:pPr>
      <w:r w:rsidRPr="00B00986">
        <w:rPr>
          <w:rFonts w:cs="Arial"/>
          <w:rtl/>
        </w:rPr>
        <w:lastRenderedPageBreak/>
        <w:t>מהרי"ח</w:t>
      </w:r>
      <w:r w:rsidRPr="00B00986">
        <w:rPr>
          <w:rFonts w:cs="Arial" w:hint="cs"/>
          <w:rtl/>
        </w:rPr>
        <w:t xml:space="preserve"> </w:t>
      </w:r>
      <w:r w:rsidRPr="00B00986">
        <w:rPr>
          <w:rFonts w:cs="Arial"/>
          <w:sz w:val="16"/>
          <w:szCs w:val="16"/>
          <w:rtl/>
        </w:rPr>
        <w:t>(</w:t>
      </w:r>
      <w:r>
        <w:rPr>
          <w:rFonts w:cs="Arial" w:hint="cs"/>
          <w:sz w:val="16"/>
          <w:szCs w:val="16"/>
          <w:rtl/>
        </w:rPr>
        <w:t xml:space="preserve">בהג"א </w:t>
      </w:r>
      <w:r w:rsidRPr="00B00986">
        <w:rPr>
          <w:rFonts w:cs="Arial" w:hint="cs"/>
          <w:sz w:val="16"/>
          <w:szCs w:val="16"/>
          <w:rtl/>
        </w:rPr>
        <w:t xml:space="preserve">פ' זה בורר </w:t>
      </w:r>
      <w:r w:rsidRPr="00B00986">
        <w:rPr>
          <w:rFonts w:cs="Arial"/>
          <w:sz w:val="16"/>
          <w:szCs w:val="16"/>
          <w:rtl/>
        </w:rPr>
        <w:t>סי' ב אות ה</w:t>
      </w:r>
      <w:r>
        <w:rPr>
          <w:rFonts w:cs="Arial" w:hint="cs"/>
          <w:sz w:val="16"/>
          <w:szCs w:val="16"/>
          <w:rtl/>
        </w:rPr>
        <w:t>, הב"י שלח לעיין בדבריו</w:t>
      </w:r>
      <w:r w:rsidRPr="00B00986">
        <w:rPr>
          <w:rFonts w:cs="Arial"/>
          <w:sz w:val="16"/>
          <w:szCs w:val="16"/>
          <w:rtl/>
        </w:rPr>
        <w:t>)</w:t>
      </w:r>
      <w:r w:rsidRPr="00D0463C">
        <w:rPr>
          <w:rStyle w:val="ab"/>
          <w:rFonts w:cs="Arial"/>
          <w:rtl/>
        </w:rPr>
        <w:footnoteReference w:id="742"/>
      </w:r>
      <w:r>
        <w:rPr>
          <w:rFonts w:cs="Arial" w:hint="cs"/>
          <w:rtl/>
        </w:rPr>
        <w:t xml:space="preserve"> ו</w:t>
      </w:r>
      <w:r w:rsidR="00C001A5" w:rsidRPr="00C001A5">
        <w:rPr>
          <w:rFonts w:cs="Arial"/>
          <w:rtl/>
        </w:rPr>
        <w:t>רשב"א</w:t>
      </w:r>
      <w:r w:rsidR="00C001A5" w:rsidRPr="00C001A5">
        <w:rPr>
          <w:rFonts w:cs="Arial"/>
          <w:sz w:val="16"/>
          <w:szCs w:val="16"/>
          <w:rtl/>
        </w:rPr>
        <w:t xml:space="preserve"> </w:t>
      </w:r>
      <w:r w:rsidR="00C001A5" w:rsidRPr="00C001A5">
        <w:rPr>
          <w:rFonts w:cs="Arial" w:hint="cs"/>
          <w:sz w:val="16"/>
          <w:szCs w:val="16"/>
          <w:rtl/>
        </w:rPr>
        <w:t>(ב</w:t>
      </w:r>
      <w:r w:rsidR="00C001A5" w:rsidRPr="00C001A5">
        <w:rPr>
          <w:rFonts w:cs="Arial"/>
          <w:sz w:val="16"/>
          <w:szCs w:val="16"/>
          <w:rtl/>
        </w:rPr>
        <w:t>מיוחסות סי</w:t>
      </w:r>
      <w:r w:rsidR="00C001A5" w:rsidRPr="00C001A5">
        <w:rPr>
          <w:rFonts w:cs="Arial" w:hint="cs"/>
          <w:sz w:val="16"/>
          <w:szCs w:val="16"/>
          <w:rtl/>
        </w:rPr>
        <w:t>'</w:t>
      </w:r>
      <w:r w:rsidR="00C001A5" w:rsidRPr="00C001A5">
        <w:rPr>
          <w:rFonts w:cs="Arial"/>
          <w:sz w:val="16"/>
          <w:szCs w:val="16"/>
          <w:rtl/>
        </w:rPr>
        <w:t xml:space="preserve"> מז</w:t>
      </w:r>
      <w:r w:rsidR="00C001A5" w:rsidRPr="00C001A5">
        <w:rPr>
          <w:rFonts w:cs="Arial" w:hint="cs"/>
          <w:sz w:val="16"/>
          <w:szCs w:val="16"/>
          <w:rtl/>
        </w:rPr>
        <w:t>)</w:t>
      </w:r>
      <w:r w:rsidR="00C001A5" w:rsidRPr="00C001A5">
        <w:rPr>
          <w:rFonts w:cs="Arial" w:hint="cs"/>
          <w:rtl/>
        </w:rPr>
        <w:t xml:space="preserve">- </w:t>
      </w:r>
      <w:r w:rsidR="00C001A5" w:rsidRPr="00C001A5">
        <w:rPr>
          <w:rFonts w:cs="Arial"/>
          <w:rtl/>
        </w:rPr>
        <w:t xml:space="preserve">אפילו אמר הלוה נלך לבית הוועד ואני אעשה כל ההוצאות הדרך משלי </w:t>
      </w:r>
      <w:r>
        <w:rPr>
          <w:rFonts w:cs="Arial" w:hint="cs"/>
          <w:rtl/>
        </w:rPr>
        <w:t xml:space="preserve">- </w:t>
      </w:r>
      <w:r w:rsidR="00C001A5" w:rsidRPr="00C001A5">
        <w:rPr>
          <w:rFonts w:cs="Arial"/>
          <w:rtl/>
        </w:rPr>
        <w:t>אין שומעין לו</w:t>
      </w:r>
      <w:r w:rsidR="008062C5">
        <w:rPr>
          <w:rFonts w:cs="Arial" w:hint="cs"/>
          <w:rtl/>
        </w:rPr>
        <w:t>,</w:t>
      </w:r>
      <w:r w:rsidR="00C001A5" w:rsidRPr="00C001A5">
        <w:rPr>
          <w:rFonts w:cs="Arial"/>
          <w:rtl/>
        </w:rPr>
        <w:t xml:space="preserve"> דיכול לומר לו מלוה איני רוצה לטרוח</w:t>
      </w:r>
      <w:r>
        <w:rPr>
          <w:rFonts w:cs="Arial" w:hint="cs"/>
          <w:sz w:val="16"/>
          <w:szCs w:val="16"/>
          <w:rtl/>
        </w:rPr>
        <w:t xml:space="preserve"> (ל' הב"י בשם הרשב"א)</w:t>
      </w:r>
      <w:r w:rsidR="00C001A5" w:rsidRPr="00C001A5">
        <w:rPr>
          <w:rFonts w:cs="Arial"/>
          <w:rtl/>
        </w:rPr>
        <w:t>.</w:t>
      </w:r>
    </w:p>
    <w:p w14:paraId="5EE3C02B" w14:textId="77777777" w:rsidR="003C61A5" w:rsidRDefault="00C001A5" w:rsidP="00D0463C">
      <w:pPr>
        <w:pStyle w:val="ac"/>
        <w:numPr>
          <w:ilvl w:val="0"/>
          <w:numId w:val="10"/>
        </w:numPr>
      </w:pPr>
      <w:r w:rsidRPr="00C001A5">
        <w:rPr>
          <w:rFonts w:cs="Arial"/>
          <w:rtl/>
        </w:rPr>
        <w:t xml:space="preserve">ראבי"ה </w:t>
      </w:r>
      <w:r w:rsidRPr="00C001A5">
        <w:rPr>
          <w:rFonts w:cs="Arial"/>
          <w:sz w:val="16"/>
          <w:szCs w:val="16"/>
          <w:rtl/>
        </w:rPr>
        <w:t>(</w:t>
      </w:r>
      <w:r w:rsidRPr="00C001A5">
        <w:rPr>
          <w:rFonts w:cs="Arial" w:hint="cs"/>
          <w:sz w:val="16"/>
          <w:szCs w:val="16"/>
          <w:rtl/>
        </w:rPr>
        <w:t>כ"כ המרדכי בשמו [</w:t>
      </w:r>
      <w:r w:rsidRPr="00C001A5">
        <w:rPr>
          <w:rFonts w:cs="Arial"/>
          <w:sz w:val="16"/>
          <w:szCs w:val="16"/>
          <w:rtl/>
        </w:rPr>
        <w:t>סי' תשט</w:t>
      </w:r>
      <w:r w:rsidRPr="00C001A5">
        <w:rPr>
          <w:rFonts w:cs="Arial" w:hint="cs"/>
          <w:sz w:val="16"/>
          <w:szCs w:val="16"/>
          <w:rtl/>
        </w:rPr>
        <w:t>]</w:t>
      </w:r>
      <w:r w:rsidRPr="00C001A5">
        <w:rPr>
          <w:rFonts w:cs="Arial"/>
          <w:sz w:val="16"/>
          <w:szCs w:val="16"/>
          <w:rtl/>
        </w:rPr>
        <w:t>)</w:t>
      </w:r>
      <w:r w:rsidRPr="00C001A5">
        <w:rPr>
          <w:rFonts w:cs="Arial" w:hint="cs"/>
          <w:rtl/>
        </w:rPr>
        <w:t xml:space="preserve">- </w:t>
      </w:r>
      <w:r w:rsidRPr="00C001A5">
        <w:rPr>
          <w:rFonts w:cs="Arial"/>
          <w:rtl/>
        </w:rPr>
        <w:t>אם רצה לפרוע לו היציאה ואחריות הדרך</w:t>
      </w:r>
      <w:r w:rsidR="008062C5">
        <w:rPr>
          <w:rFonts w:cs="Arial" w:hint="cs"/>
          <w:rtl/>
        </w:rPr>
        <w:t xml:space="preserve"> -</w:t>
      </w:r>
      <w:r w:rsidRPr="00C001A5">
        <w:rPr>
          <w:rFonts w:cs="Arial"/>
          <w:rtl/>
        </w:rPr>
        <w:t xml:space="preserve"> יכול לכופו</w:t>
      </w:r>
      <w:r w:rsidR="008062C5">
        <w:rPr>
          <w:rFonts w:cs="Arial" w:hint="cs"/>
          <w:rtl/>
        </w:rPr>
        <w:t>,</w:t>
      </w:r>
      <w:r w:rsidRPr="00C001A5">
        <w:rPr>
          <w:rFonts w:cs="Arial"/>
          <w:rtl/>
        </w:rPr>
        <w:t xml:space="preserve"> ורפיא בידי לעשות מעשה</w:t>
      </w:r>
      <w:r>
        <w:rPr>
          <w:rFonts w:hint="cs"/>
          <w:rtl/>
        </w:rPr>
        <w:t>.</w:t>
      </w:r>
    </w:p>
    <w:p w14:paraId="625008D6" w14:textId="77777777" w:rsidR="00444F80" w:rsidRPr="00203218" w:rsidRDefault="00444F80" w:rsidP="00444F80">
      <w:pPr>
        <w:rPr>
          <w:u w:val="dotted"/>
          <w:rtl/>
        </w:rPr>
      </w:pPr>
      <w:r w:rsidRPr="00444F80">
        <w:rPr>
          <w:rFonts w:hint="cs"/>
          <w:u w:val="dotted"/>
          <w:rtl/>
        </w:rPr>
        <w:t>ומה הדין כשהלוה שרוצה לילך למקום הועד משום שהמלוה רוצה לדון בפני הדיוטות:</w:t>
      </w:r>
      <w:r w:rsidRPr="00203218">
        <w:rPr>
          <w:rFonts w:cs="Arial" w:hint="cs"/>
          <w:sz w:val="16"/>
          <w:szCs w:val="16"/>
          <w:rtl/>
        </w:rPr>
        <w:t xml:space="preserve"> </w:t>
      </w:r>
      <w:r>
        <w:rPr>
          <w:rFonts w:cs="Arial" w:hint="cs"/>
          <w:sz w:val="16"/>
          <w:szCs w:val="16"/>
          <w:rtl/>
        </w:rPr>
        <w:t xml:space="preserve"> </w:t>
      </w:r>
      <w:r w:rsidRPr="00203218">
        <w:rPr>
          <w:rFonts w:cs="Arial" w:hint="cs"/>
          <w:sz w:val="16"/>
          <w:szCs w:val="16"/>
          <w:rtl/>
        </w:rPr>
        <w:t>(דרכ"מ אות ב**)</w:t>
      </w:r>
    </w:p>
    <w:p w14:paraId="336FE411" w14:textId="77777777" w:rsidR="00444F80" w:rsidRPr="00754259" w:rsidRDefault="00444F80" w:rsidP="00444F80">
      <w:pPr>
        <w:pStyle w:val="ac"/>
        <w:numPr>
          <w:ilvl w:val="0"/>
          <w:numId w:val="10"/>
        </w:numPr>
        <w:rPr>
          <w:rtl/>
        </w:rPr>
      </w:pPr>
      <w:r w:rsidRPr="00203218">
        <w:rPr>
          <w:rFonts w:cs="Arial" w:hint="cs"/>
          <w:rtl/>
        </w:rPr>
        <w:t xml:space="preserve">נמוק"י </w:t>
      </w:r>
      <w:r w:rsidRPr="00203218">
        <w:rPr>
          <w:rFonts w:cs="Arial" w:hint="cs"/>
          <w:sz w:val="16"/>
          <w:szCs w:val="16"/>
          <w:rtl/>
        </w:rPr>
        <w:t>(</w:t>
      </w:r>
      <w:r w:rsidRPr="00203218">
        <w:rPr>
          <w:rFonts w:cs="Arial"/>
          <w:sz w:val="16"/>
          <w:szCs w:val="16"/>
          <w:rtl/>
        </w:rPr>
        <w:t>ר</w:t>
      </w:r>
      <w:r w:rsidRPr="00203218">
        <w:rPr>
          <w:rFonts w:cs="Arial" w:hint="cs"/>
          <w:sz w:val="16"/>
          <w:szCs w:val="16"/>
          <w:rtl/>
        </w:rPr>
        <w:t xml:space="preserve">"פ </w:t>
      </w:r>
      <w:r w:rsidRPr="00203218">
        <w:rPr>
          <w:rFonts w:cs="Arial"/>
          <w:sz w:val="16"/>
          <w:szCs w:val="16"/>
          <w:rtl/>
        </w:rPr>
        <w:t>זה בורר ג</w:t>
      </w:r>
      <w:r w:rsidRPr="00203218">
        <w:rPr>
          <w:rFonts w:cs="Arial" w:hint="cs"/>
          <w:sz w:val="16"/>
          <w:szCs w:val="16"/>
          <w:rtl/>
        </w:rPr>
        <w:t>:</w:t>
      </w:r>
      <w:r w:rsidRPr="00203218">
        <w:rPr>
          <w:rFonts w:cs="Arial"/>
          <w:sz w:val="16"/>
          <w:szCs w:val="16"/>
          <w:rtl/>
        </w:rPr>
        <w:t>)</w:t>
      </w:r>
      <w:r w:rsidRPr="00203218">
        <w:rPr>
          <w:rFonts w:cs="Arial" w:hint="cs"/>
          <w:rtl/>
        </w:rPr>
        <w:t>-</w:t>
      </w:r>
      <w:r w:rsidRPr="00203218">
        <w:rPr>
          <w:rFonts w:cs="Arial"/>
          <w:rtl/>
        </w:rPr>
        <w:t xml:space="preserve"> דוקא אם המלוה רוצה לדון בפני מומחין</w:t>
      </w:r>
      <w:r w:rsidRPr="00203218">
        <w:rPr>
          <w:rFonts w:cs="Arial" w:hint="cs"/>
          <w:rtl/>
        </w:rPr>
        <w:t>,</w:t>
      </w:r>
      <w:r w:rsidRPr="00203218">
        <w:rPr>
          <w:rFonts w:cs="Arial"/>
          <w:rtl/>
        </w:rPr>
        <w:t xml:space="preserve"> אבל אם רוצה לדון בפני הדיוטות </w:t>
      </w:r>
      <w:r>
        <w:rPr>
          <w:rFonts w:cs="Arial" w:hint="cs"/>
          <w:rtl/>
        </w:rPr>
        <w:t xml:space="preserve">- </w:t>
      </w:r>
      <w:r w:rsidRPr="00203218">
        <w:rPr>
          <w:rFonts w:cs="Arial"/>
          <w:rtl/>
        </w:rPr>
        <w:t>אף לנתבע שומעין לכוף למלוה שילך עמו לבית הועד</w:t>
      </w:r>
      <w:r w:rsidRPr="00203218">
        <w:rPr>
          <w:rFonts w:cs="Arial" w:hint="cs"/>
          <w:rtl/>
        </w:rPr>
        <w:t>.</w:t>
      </w:r>
    </w:p>
    <w:p w14:paraId="668D3059" w14:textId="77777777" w:rsidR="005827EB" w:rsidRPr="00444F80" w:rsidRDefault="00444F80" w:rsidP="00444F80">
      <w:pPr>
        <w:ind w:left="360"/>
        <w:rPr>
          <w:u w:val="dotted"/>
        </w:rPr>
      </w:pPr>
      <w:r>
        <w:rPr>
          <w:rFonts w:hint="cs"/>
          <w:u w:val="dotted"/>
          <w:rtl/>
        </w:rPr>
        <w:t>האם כופין את הלוה לילך למקום הו</w:t>
      </w:r>
      <w:r w:rsidR="009E01B4">
        <w:rPr>
          <w:rFonts w:hint="cs"/>
          <w:u w:val="dotted"/>
          <w:rtl/>
        </w:rPr>
        <w:t>ו</w:t>
      </w:r>
      <w:r>
        <w:rPr>
          <w:rFonts w:hint="cs"/>
          <w:u w:val="dotted"/>
          <w:rtl/>
        </w:rPr>
        <w:t>עד אף כש</w:t>
      </w:r>
      <w:r w:rsidR="005827EB" w:rsidRPr="00444F80">
        <w:rPr>
          <w:rFonts w:hint="cs"/>
          <w:u w:val="dotted"/>
          <w:rtl/>
        </w:rPr>
        <w:t xml:space="preserve">מקום הוועד </w:t>
      </w:r>
      <w:r w:rsidR="005827EB" w:rsidRPr="00444F80">
        <w:rPr>
          <w:rFonts w:hint="cs"/>
          <w:b/>
          <w:bCs/>
          <w:u w:val="dotted"/>
          <w:rtl/>
        </w:rPr>
        <w:t>אינו בארצם</w:t>
      </w:r>
      <w:r w:rsidR="005827EB" w:rsidRPr="00444F80">
        <w:rPr>
          <w:rFonts w:hint="cs"/>
          <w:u w:val="dotted"/>
          <w:rtl/>
        </w:rPr>
        <w:t>:</w:t>
      </w:r>
    </w:p>
    <w:p w14:paraId="5184ADCF" w14:textId="77777777" w:rsidR="005827EB" w:rsidRDefault="005827EB" w:rsidP="00C704CB">
      <w:pPr>
        <w:pStyle w:val="ac"/>
        <w:numPr>
          <w:ilvl w:val="0"/>
          <w:numId w:val="10"/>
        </w:numPr>
      </w:pPr>
      <w:r w:rsidRPr="00F03CB0">
        <w:rPr>
          <w:rFonts w:cs="Arial"/>
          <w:rtl/>
        </w:rPr>
        <w:t xml:space="preserve">מהרי"ק </w:t>
      </w:r>
      <w:r w:rsidRPr="005827EB">
        <w:rPr>
          <w:rFonts w:cs="Arial" w:hint="cs"/>
          <w:sz w:val="16"/>
          <w:szCs w:val="16"/>
          <w:rtl/>
        </w:rPr>
        <w:t>(</w:t>
      </w:r>
      <w:r w:rsidRPr="005827EB">
        <w:rPr>
          <w:rFonts w:cs="Arial"/>
          <w:sz w:val="16"/>
          <w:szCs w:val="16"/>
          <w:rtl/>
        </w:rPr>
        <w:t>שורש צ</w:t>
      </w:r>
      <w:r w:rsidRPr="005827EB">
        <w:rPr>
          <w:rFonts w:cs="Arial" w:hint="cs"/>
          <w:sz w:val="16"/>
          <w:szCs w:val="16"/>
          <w:rtl/>
        </w:rPr>
        <w:t>)</w:t>
      </w:r>
      <w:r>
        <w:rPr>
          <w:rFonts w:cs="Arial" w:hint="cs"/>
          <w:rtl/>
        </w:rPr>
        <w:t xml:space="preserve">- </w:t>
      </w:r>
      <w:r w:rsidRPr="00F03CB0">
        <w:rPr>
          <w:rFonts w:cs="Arial"/>
          <w:rtl/>
        </w:rPr>
        <w:t>אין כופין לילך למקום הוועד אלא כשהוא בארצם אבל לא כשהוא בארץ אחרת</w:t>
      </w:r>
      <w:r>
        <w:rPr>
          <w:rStyle w:val="ab"/>
          <w:rFonts w:cs="Arial"/>
          <w:rtl/>
        </w:rPr>
        <w:footnoteReference w:id="743"/>
      </w:r>
      <w:r>
        <w:rPr>
          <w:rFonts w:cs="Arial" w:hint="cs"/>
          <w:rtl/>
        </w:rPr>
        <w:t>.</w:t>
      </w:r>
      <w:r w:rsidR="009C0220">
        <w:rPr>
          <w:rFonts w:cs="Arial" w:hint="cs"/>
          <w:rtl/>
        </w:rPr>
        <w:t xml:space="preserve"> </w:t>
      </w:r>
      <w:r w:rsidR="009C0220" w:rsidRPr="00EA22B2">
        <w:rPr>
          <w:rFonts w:cs="Arial" w:hint="cs"/>
          <w:color w:val="00B0F0"/>
          <w:rtl/>
        </w:rPr>
        <w:t>(וכ"פ הרמ"א)</w:t>
      </w:r>
    </w:p>
    <w:p w14:paraId="6A0CB21E" w14:textId="77777777" w:rsidR="00610032" w:rsidRDefault="00610032" w:rsidP="00610032">
      <w:pPr>
        <w:rPr>
          <w:rFonts w:cs="Arial"/>
          <w:rtl/>
        </w:rPr>
      </w:pPr>
      <w:r w:rsidRPr="00754259">
        <w:rPr>
          <w:rFonts w:cs="Arial" w:hint="cs"/>
          <w:u w:val="single"/>
          <w:rtl/>
        </w:rPr>
        <w:t>מי</w:t>
      </w:r>
      <w:r w:rsidRPr="00754259">
        <w:rPr>
          <w:rFonts w:cs="Arial"/>
          <w:u w:val="single"/>
          <w:rtl/>
        </w:rPr>
        <w:t xml:space="preserve"> </w:t>
      </w:r>
      <w:r w:rsidR="001A7B1F">
        <w:rPr>
          <w:rFonts w:cs="Arial" w:hint="cs"/>
          <w:u w:val="single"/>
          <w:rtl/>
        </w:rPr>
        <w:t>יכול לטעון</w:t>
      </w:r>
      <w:r w:rsidRPr="00754259">
        <w:rPr>
          <w:rFonts w:cs="Arial"/>
          <w:u w:val="single"/>
          <w:rtl/>
        </w:rPr>
        <w:t xml:space="preserve"> </w:t>
      </w:r>
      <w:r w:rsidR="00214A38">
        <w:rPr>
          <w:rFonts w:cs="Arial" w:hint="cs"/>
          <w:u w:val="single"/>
          <w:rtl/>
        </w:rPr>
        <w:t>'</w:t>
      </w:r>
      <w:r w:rsidRPr="00F21038">
        <w:rPr>
          <w:rFonts w:cs="Arial"/>
          <w:b/>
          <w:bCs/>
          <w:u w:val="single"/>
          <w:rtl/>
        </w:rPr>
        <w:t>לב</w:t>
      </w:r>
      <w:r w:rsidR="001A7B1F">
        <w:rPr>
          <w:rFonts w:cs="Arial" w:hint="cs"/>
          <w:b/>
          <w:bCs/>
          <w:u w:val="single"/>
          <w:rtl/>
        </w:rPr>
        <w:t>"</w:t>
      </w:r>
      <w:r w:rsidRPr="00F21038">
        <w:rPr>
          <w:rFonts w:cs="Arial"/>
          <w:b/>
          <w:bCs/>
          <w:u w:val="single"/>
          <w:rtl/>
        </w:rPr>
        <w:t xml:space="preserve">ד הגדול </w:t>
      </w:r>
      <w:r w:rsidRPr="00754259">
        <w:rPr>
          <w:rFonts w:cs="Arial"/>
          <w:u w:val="single"/>
          <w:rtl/>
        </w:rPr>
        <w:t>קא אזילנא</w:t>
      </w:r>
      <w:r>
        <w:rPr>
          <w:rFonts w:cs="Arial" w:hint="cs"/>
          <w:u w:val="single"/>
          <w:rtl/>
        </w:rPr>
        <w:t>'</w:t>
      </w:r>
      <w:r w:rsidRPr="00754259">
        <w:rPr>
          <w:rFonts w:cs="Arial" w:hint="cs"/>
          <w:u w:val="single"/>
          <w:rtl/>
        </w:rPr>
        <w:t>:</w:t>
      </w:r>
      <w:r>
        <w:rPr>
          <w:rFonts w:cs="Arial"/>
          <w:rtl/>
        </w:rPr>
        <w:t xml:space="preserve"> </w:t>
      </w:r>
    </w:p>
    <w:p w14:paraId="041A1386" w14:textId="77777777" w:rsidR="008E71AE" w:rsidRPr="00776028" w:rsidRDefault="00214A38" w:rsidP="00776028">
      <w:pPr>
        <w:pStyle w:val="ac"/>
        <w:numPr>
          <w:ilvl w:val="0"/>
          <w:numId w:val="10"/>
        </w:numPr>
        <w:rPr>
          <w:rFonts w:cs="Arial"/>
        </w:rPr>
      </w:pPr>
      <w:r>
        <w:rPr>
          <w:rFonts w:cs="Arial" w:hint="cs"/>
          <w:rtl/>
        </w:rPr>
        <w:t xml:space="preserve">ר"ת </w:t>
      </w:r>
      <w:r>
        <w:rPr>
          <w:rFonts w:cs="Arial" w:hint="cs"/>
          <w:sz w:val="16"/>
          <w:szCs w:val="16"/>
          <w:rtl/>
        </w:rPr>
        <w:t>(</w:t>
      </w:r>
      <w:r w:rsidR="00776028">
        <w:rPr>
          <w:rFonts w:cs="Arial" w:hint="cs"/>
          <w:sz w:val="16"/>
          <w:szCs w:val="16"/>
          <w:rtl/>
        </w:rPr>
        <w:t>הביאוהו ה</w:t>
      </w:r>
      <w:r>
        <w:rPr>
          <w:rFonts w:cs="Arial" w:hint="cs"/>
          <w:sz w:val="16"/>
          <w:szCs w:val="16"/>
          <w:rtl/>
        </w:rPr>
        <w:t xml:space="preserve">תוס' </w:t>
      </w:r>
      <w:r w:rsidR="00776028" w:rsidRPr="00776028">
        <w:rPr>
          <w:rFonts w:cs="Arial" w:hint="cs"/>
          <w:sz w:val="14"/>
          <w:szCs w:val="14"/>
          <w:rtl/>
        </w:rPr>
        <w:t>[פ' הגוזל בתרא קיב: ד"ה מצי]</w:t>
      </w:r>
      <w:r w:rsidR="00776028">
        <w:rPr>
          <w:rFonts w:cs="Arial" w:hint="cs"/>
          <w:sz w:val="16"/>
          <w:szCs w:val="16"/>
          <w:rtl/>
        </w:rPr>
        <w:t xml:space="preserve">) </w:t>
      </w:r>
      <w:r w:rsidR="00776028">
        <w:rPr>
          <w:rFonts w:cs="Arial" w:hint="cs"/>
          <w:rtl/>
        </w:rPr>
        <w:t>תוס'</w:t>
      </w:r>
      <w:r w:rsidR="00776028">
        <w:rPr>
          <w:rStyle w:val="ab"/>
          <w:rFonts w:cs="Arial"/>
          <w:rtl/>
        </w:rPr>
        <w:footnoteReference w:id="744"/>
      </w:r>
      <w:r w:rsidR="00776028">
        <w:rPr>
          <w:rFonts w:cs="Arial" w:hint="cs"/>
          <w:rtl/>
        </w:rPr>
        <w:t xml:space="preserve"> </w:t>
      </w:r>
      <w:r w:rsidR="00776028">
        <w:rPr>
          <w:rFonts w:cs="Arial" w:hint="cs"/>
          <w:sz w:val="16"/>
          <w:szCs w:val="16"/>
          <w:rtl/>
        </w:rPr>
        <w:t>(שם</w:t>
      </w:r>
      <w:r>
        <w:rPr>
          <w:rFonts w:cs="Arial" w:hint="cs"/>
          <w:sz w:val="16"/>
          <w:szCs w:val="16"/>
          <w:rtl/>
        </w:rPr>
        <w:t xml:space="preserve">) </w:t>
      </w:r>
      <w:r>
        <w:rPr>
          <w:rFonts w:cs="Arial" w:hint="cs"/>
          <w:rtl/>
        </w:rPr>
        <w:t xml:space="preserve">רא"ש </w:t>
      </w:r>
      <w:r>
        <w:rPr>
          <w:rFonts w:cs="Arial" w:hint="cs"/>
          <w:sz w:val="16"/>
          <w:szCs w:val="16"/>
          <w:rtl/>
        </w:rPr>
        <w:t xml:space="preserve">(שם) </w:t>
      </w:r>
      <w:r>
        <w:rPr>
          <w:rFonts w:cs="Arial" w:hint="cs"/>
          <w:rtl/>
        </w:rPr>
        <w:t>ו</w:t>
      </w:r>
      <w:r w:rsidR="00610032">
        <w:rPr>
          <w:rFonts w:cs="Arial" w:hint="cs"/>
          <w:rtl/>
        </w:rPr>
        <w:t xml:space="preserve">טור- </w:t>
      </w:r>
      <w:r w:rsidR="00610032" w:rsidRPr="00F03CB0">
        <w:rPr>
          <w:rFonts w:cs="Arial"/>
          <w:rtl/>
        </w:rPr>
        <w:t>אם מסתלקים מב"ד של עירם לילך לב"ד הגדול</w:t>
      </w:r>
      <w:r w:rsidR="00610032">
        <w:rPr>
          <w:rFonts w:cs="Arial" w:hint="cs"/>
          <w:rtl/>
        </w:rPr>
        <w:t>...</w:t>
      </w:r>
      <w:r w:rsidR="00610032" w:rsidRPr="00F03CB0">
        <w:rPr>
          <w:rFonts w:cs="Arial"/>
          <w:rtl/>
        </w:rPr>
        <w:t xml:space="preserve"> שומעין לשניהם לנתבע כמו לתובע</w:t>
      </w:r>
      <w:r>
        <w:rPr>
          <w:rFonts w:cs="Arial" w:hint="cs"/>
          <w:sz w:val="16"/>
          <w:szCs w:val="16"/>
          <w:rtl/>
        </w:rPr>
        <w:t xml:space="preserve"> (ל' הטור)</w:t>
      </w:r>
      <w:r w:rsidR="00610032">
        <w:rPr>
          <w:rFonts w:cs="Arial" w:hint="cs"/>
          <w:rtl/>
        </w:rPr>
        <w:t>.</w:t>
      </w:r>
      <w:r w:rsidR="00610032" w:rsidRPr="00F03CB0">
        <w:rPr>
          <w:rFonts w:cs="Arial"/>
          <w:rtl/>
        </w:rPr>
        <w:t xml:space="preserve"> </w:t>
      </w:r>
      <w:r w:rsidR="009C0220" w:rsidRPr="00EA22B2">
        <w:rPr>
          <w:rFonts w:cs="Arial" w:hint="cs"/>
          <w:color w:val="00B0F0"/>
          <w:rtl/>
        </w:rPr>
        <w:t>(וכ"</w:t>
      </w:r>
      <w:r w:rsidR="009E01B4">
        <w:rPr>
          <w:rFonts w:cs="Arial" w:hint="cs"/>
          <w:color w:val="00B0F0"/>
          <w:rtl/>
        </w:rPr>
        <w:t>כ</w:t>
      </w:r>
      <w:r w:rsidR="009C0220" w:rsidRPr="00EA22B2">
        <w:rPr>
          <w:rFonts w:cs="Arial" w:hint="cs"/>
          <w:color w:val="00B0F0"/>
          <w:rtl/>
        </w:rPr>
        <w:t xml:space="preserve"> הרמ"א</w:t>
      </w:r>
      <w:r w:rsidR="009E01B4">
        <w:rPr>
          <w:rFonts w:cs="Arial" w:hint="cs"/>
          <w:color w:val="00B0F0"/>
          <w:sz w:val="16"/>
          <w:szCs w:val="16"/>
          <w:rtl/>
        </w:rPr>
        <w:t xml:space="preserve"> </w:t>
      </w:r>
      <w:r w:rsidR="009E01B4">
        <w:rPr>
          <w:rFonts w:cs="Arial" w:hint="cs"/>
          <w:color w:val="000000" w:themeColor="text1"/>
          <w:sz w:val="16"/>
          <w:szCs w:val="16"/>
          <w:rtl/>
        </w:rPr>
        <w:t>[לדינא, אבל כתב שהמנהג אחרת, ע"ש]</w:t>
      </w:r>
      <w:r w:rsidR="009C0220" w:rsidRPr="00EA22B2">
        <w:rPr>
          <w:rFonts w:cs="Arial" w:hint="cs"/>
          <w:color w:val="00B0F0"/>
          <w:rtl/>
        </w:rPr>
        <w:t>)</w:t>
      </w:r>
      <w:r w:rsidR="009C0220">
        <w:rPr>
          <w:rFonts w:cs="Arial" w:hint="cs"/>
          <w:rtl/>
        </w:rPr>
        <w:t xml:space="preserve"> </w:t>
      </w:r>
    </w:p>
    <w:p w14:paraId="776BC15C" w14:textId="77777777" w:rsidR="00776028" w:rsidRPr="005E4504" w:rsidRDefault="005E4504" w:rsidP="00DD2354">
      <w:pPr>
        <w:pStyle w:val="ac"/>
        <w:numPr>
          <w:ilvl w:val="0"/>
          <w:numId w:val="10"/>
        </w:numPr>
      </w:pPr>
      <w:r w:rsidRPr="005E4504">
        <w:rPr>
          <w:rFonts w:cs="Arial"/>
          <w:rtl/>
        </w:rPr>
        <w:t xml:space="preserve">רמב"ם </w:t>
      </w:r>
      <w:r w:rsidRPr="005E4504">
        <w:rPr>
          <w:rFonts w:cs="Arial" w:hint="cs"/>
          <w:sz w:val="16"/>
          <w:szCs w:val="16"/>
          <w:rtl/>
        </w:rPr>
        <w:t xml:space="preserve">(פ"ו מהל' סנהדרין </w:t>
      </w:r>
      <w:r w:rsidRPr="005E4504">
        <w:rPr>
          <w:rFonts w:cs="Arial"/>
          <w:sz w:val="16"/>
          <w:szCs w:val="16"/>
          <w:rtl/>
        </w:rPr>
        <w:t>ה"ו-</w:t>
      </w:r>
      <w:r>
        <w:rPr>
          <w:rFonts w:cs="Arial" w:hint="cs"/>
          <w:sz w:val="16"/>
          <w:szCs w:val="16"/>
          <w:rtl/>
        </w:rPr>
        <w:t>ח</w:t>
      </w:r>
      <w:r w:rsidRPr="005E4504">
        <w:rPr>
          <w:rFonts w:cs="Arial"/>
          <w:sz w:val="16"/>
          <w:szCs w:val="16"/>
          <w:rtl/>
        </w:rPr>
        <w:t>)</w:t>
      </w:r>
      <w:r w:rsidRPr="005E4504">
        <w:rPr>
          <w:rFonts w:cs="Arial" w:hint="cs"/>
          <w:rtl/>
        </w:rPr>
        <w:t>-</w:t>
      </w:r>
      <w:r w:rsidRPr="005E4504">
        <w:rPr>
          <w:rFonts w:cs="Arial"/>
          <w:rtl/>
        </w:rPr>
        <w:t xml:space="preserve"> שנים שנתעצמו בדין</w:t>
      </w:r>
      <w:r w:rsidR="000C06AC">
        <w:rPr>
          <w:rFonts w:cs="Arial" w:hint="cs"/>
          <w:rtl/>
        </w:rPr>
        <w:t>,</w:t>
      </w:r>
      <w:r w:rsidRPr="005E4504">
        <w:rPr>
          <w:rFonts w:cs="Arial"/>
          <w:rtl/>
        </w:rPr>
        <w:t xml:space="preserve"> אחד אומר נדון כאן</w:t>
      </w:r>
      <w:r w:rsidR="000C06AC">
        <w:rPr>
          <w:rFonts w:cs="Arial" w:hint="cs"/>
          <w:rtl/>
        </w:rPr>
        <w:t>,</w:t>
      </w:r>
      <w:r w:rsidRPr="005E4504">
        <w:rPr>
          <w:rFonts w:cs="Arial"/>
          <w:rtl/>
        </w:rPr>
        <w:t xml:space="preserve"> ואחד אומר נעלה לבית דין הגדול שמא יטעו אלו הדיינים ויוציאו ממון שלא כדין </w:t>
      </w:r>
      <w:r w:rsidR="00776028">
        <w:rPr>
          <w:rFonts w:cs="Arial" w:hint="cs"/>
          <w:rtl/>
        </w:rPr>
        <w:t xml:space="preserve">- </w:t>
      </w:r>
      <w:r w:rsidRPr="005E4504">
        <w:rPr>
          <w:rFonts w:cs="Arial"/>
          <w:rtl/>
        </w:rPr>
        <w:t>כופין אותו ודן בעירו</w:t>
      </w:r>
      <w:r>
        <w:rPr>
          <w:rFonts w:cs="Arial" w:hint="cs"/>
          <w:rtl/>
        </w:rPr>
        <w:t>..</w:t>
      </w:r>
      <w:r w:rsidRPr="005E4504">
        <w:rPr>
          <w:rFonts w:cs="Arial"/>
          <w:rtl/>
        </w:rPr>
        <w:t xml:space="preserve">. במה דברים אמורים </w:t>
      </w:r>
      <w:r w:rsidR="00776028">
        <w:rPr>
          <w:rFonts w:cs="Arial" w:hint="cs"/>
          <w:rtl/>
        </w:rPr>
        <w:t xml:space="preserve">- </w:t>
      </w:r>
      <w:r w:rsidRPr="005E4504">
        <w:rPr>
          <w:rFonts w:cs="Arial"/>
          <w:rtl/>
        </w:rPr>
        <w:t>בשאר הדינים שזה טוען וזה טוען</w:t>
      </w:r>
      <w:r w:rsidR="00776028">
        <w:rPr>
          <w:rFonts w:cs="Arial" w:hint="cs"/>
          <w:rtl/>
        </w:rPr>
        <w:t>,</w:t>
      </w:r>
      <w:r w:rsidRPr="005E4504">
        <w:rPr>
          <w:rFonts w:cs="Arial"/>
          <w:rtl/>
        </w:rPr>
        <w:t xml:space="preserve"> או כשאמר המלוה נדון כאן והלוה אומר נלך לבית דין הגדול</w:t>
      </w:r>
      <w:r>
        <w:rPr>
          <w:rFonts w:cs="Arial" w:hint="cs"/>
          <w:rtl/>
        </w:rPr>
        <w:t>,</w:t>
      </w:r>
      <w:r w:rsidRPr="005E4504">
        <w:rPr>
          <w:rFonts w:cs="Arial"/>
          <w:rtl/>
        </w:rPr>
        <w:t xml:space="preserve"> אבל אם המלוה אומר נלך לבית דין הגדול</w:t>
      </w:r>
      <w:r w:rsidR="000C06AC">
        <w:rPr>
          <w:rFonts w:cs="Arial" w:hint="cs"/>
          <w:rtl/>
        </w:rPr>
        <w:t xml:space="preserve"> -</w:t>
      </w:r>
      <w:r w:rsidRPr="005E4504">
        <w:rPr>
          <w:rFonts w:cs="Arial"/>
          <w:rtl/>
        </w:rPr>
        <w:t xml:space="preserve"> כופין את הלוה ועולה עמו</w:t>
      </w:r>
      <w:r w:rsidR="000C06AC">
        <w:rPr>
          <w:rFonts w:cs="Arial" w:hint="cs"/>
          <w:rtl/>
        </w:rPr>
        <w:t>,</w:t>
      </w:r>
      <w:r w:rsidRPr="005E4504">
        <w:rPr>
          <w:rFonts w:cs="Arial"/>
          <w:rtl/>
        </w:rPr>
        <w:t xml:space="preserve"> שנאמר עבד לוה לאיש מלוה</w:t>
      </w:r>
      <w:r>
        <w:rPr>
          <w:rFonts w:cs="Arial" w:hint="cs"/>
          <w:rtl/>
        </w:rPr>
        <w:t>,</w:t>
      </w:r>
      <w:r w:rsidRPr="005E4504">
        <w:rPr>
          <w:rFonts w:cs="Arial"/>
          <w:rtl/>
        </w:rPr>
        <w:t xml:space="preserve"> וכן אם טען זה שהזיקו או גזלו ורצה הטוען לעלות כופין בית דין שבעירו את הנטען לעלות עמו</w:t>
      </w:r>
      <w:r w:rsidR="00776028">
        <w:rPr>
          <w:rFonts w:cs="Arial" w:hint="cs"/>
          <w:rtl/>
        </w:rPr>
        <w:t>,</w:t>
      </w:r>
      <w:r w:rsidRPr="00776028">
        <w:rPr>
          <w:rFonts w:cs="Arial"/>
          <w:rtl/>
        </w:rPr>
        <w:t xml:space="preserve"> וכן כל כיוצא בזה. במה דברים אמורים בשיהיו שם עדים או ראיה לנגזל או לניזק או למלוה אבל טענה רקנית אין מחייבין את הנטען לצאת כלל אלא נשבע במקומו ונפטר</w:t>
      </w:r>
      <w:r>
        <w:rPr>
          <w:rFonts w:hint="cs"/>
          <w:rtl/>
        </w:rPr>
        <w:t>.</w:t>
      </w:r>
      <w:r w:rsidR="00EA22B2">
        <w:rPr>
          <w:rFonts w:hint="cs"/>
          <w:rtl/>
        </w:rPr>
        <w:t xml:space="preserve"> </w:t>
      </w:r>
      <w:r w:rsidR="00EA22B2" w:rsidRPr="00776028">
        <w:rPr>
          <w:rFonts w:hint="cs"/>
          <w:color w:val="E36C0A" w:themeColor="accent6" w:themeShade="BF"/>
          <w:rtl/>
        </w:rPr>
        <w:t>(וכ"פ בשו"ע)</w:t>
      </w:r>
    </w:p>
    <w:p w14:paraId="7BE5E3C6" w14:textId="77777777" w:rsidR="00610032" w:rsidRPr="00DE69AF" w:rsidRDefault="00DE69AF" w:rsidP="00DE69AF">
      <w:pPr>
        <w:ind w:left="360"/>
        <w:rPr>
          <w:rFonts w:cs="Arial"/>
          <w:u w:val="dotted"/>
          <w:rtl/>
        </w:rPr>
      </w:pPr>
      <w:r w:rsidRPr="00DE69AF">
        <w:rPr>
          <w:rFonts w:cs="Arial" w:hint="cs"/>
          <w:u w:val="dotted"/>
          <w:rtl/>
        </w:rPr>
        <w:t>מה הדין</w:t>
      </w:r>
      <w:r w:rsidR="00610032" w:rsidRPr="00DE69AF">
        <w:rPr>
          <w:rFonts w:cs="Arial" w:hint="cs"/>
          <w:u w:val="dotted"/>
          <w:rtl/>
        </w:rPr>
        <w:t xml:space="preserve"> </w:t>
      </w:r>
      <w:r w:rsidR="00610032" w:rsidRPr="00DE69AF">
        <w:rPr>
          <w:rFonts w:cs="Arial" w:hint="cs"/>
          <w:b/>
          <w:bCs/>
          <w:u w:val="dotted"/>
          <w:rtl/>
        </w:rPr>
        <w:t>בזמן הזה</w:t>
      </w:r>
      <w:r w:rsidR="00610032" w:rsidRPr="00DE69AF">
        <w:rPr>
          <w:rFonts w:cs="Arial" w:hint="cs"/>
          <w:u w:val="dotted"/>
          <w:rtl/>
        </w:rPr>
        <w:t xml:space="preserve"> </w:t>
      </w:r>
      <w:r w:rsidRPr="00DE69AF">
        <w:rPr>
          <w:rFonts w:cs="Arial" w:hint="cs"/>
          <w:sz w:val="16"/>
          <w:szCs w:val="16"/>
          <w:u w:val="dotted"/>
          <w:rtl/>
        </w:rPr>
        <w:t>(</w:t>
      </w:r>
      <w:r w:rsidR="00610032" w:rsidRPr="00DE69AF">
        <w:rPr>
          <w:rFonts w:cs="Arial" w:hint="cs"/>
          <w:sz w:val="16"/>
          <w:szCs w:val="16"/>
          <w:u w:val="dotted"/>
          <w:rtl/>
        </w:rPr>
        <w:t xml:space="preserve">לעניין </w:t>
      </w:r>
      <w:r>
        <w:rPr>
          <w:rFonts w:cs="Arial" w:hint="cs"/>
          <w:sz w:val="16"/>
          <w:szCs w:val="16"/>
          <w:u w:val="dotted"/>
          <w:rtl/>
        </w:rPr>
        <w:t>כפיה לדון בבית דין הגדול או במקום הוועד)</w:t>
      </w:r>
      <w:r w:rsidR="00610032" w:rsidRPr="00DE69AF">
        <w:rPr>
          <w:rFonts w:cs="Arial" w:hint="cs"/>
          <w:u w:val="dotted"/>
          <w:rtl/>
        </w:rPr>
        <w:t>:</w:t>
      </w:r>
    </w:p>
    <w:p w14:paraId="3D601EC9" w14:textId="77777777" w:rsidR="00DD2354" w:rsidRDefault="00DD2354" w:rsidP="00DD2354">
      <w:pPr>
        <w:pStyle w:val="ac"/>
        <w:numPr>
          <w:ilvl w:val="0"/>
          <w:numId w:val="10"/>
        </w:numPr>
        <w:rPr>
          <w:rFonts w:cs="Arial"/>
        </w:rPr>
      </w:pPr>
      <w:r>
        <w:rPr>
          <w:rFonts w:cs="Arial" w:hint="cs"/>
          <w:rtl/>
        </w:rPr>
        <w:t>רמב"ם</w:t>
      </w:r>
      <w:r>
        <w:rPr>
          <w:rFonts w:cs="Arial" w:hint="cs"/>
          <w:sz w:val="16"/>
          <w:szCs w:val="16"/>
          <w:rtl/>
        </w:rPr>
        <w:t xml:space="preserve"> </w:t>
      </w:r>
      <w:r w:rsidRPr="00754259">
        <w:rPr>
          <w:rFonts w:cs="Arial" w:hint="cs"/>
          <w:sz w:val="16"/>
          <w:szCs w:val="16"/>
          <w:rtl/>
        </w:rPr>
        <w:t xml:space="preserve">(פ"ו מהל' סנהדרין </w:t>
      </w:r>
      <w:r w:rsidRPr="00754259">
        <w:rPr>
          <w:rFonts w:cs="Arial"/>
          <w:sz w:val="16"/>
          <w:szCs w:val="16"/>
          <w:rtl/>
        </w:rPr>
        <w:t>ה"</w:t>
      </w:r>
      <w:r>
        <w:rPr>
          <w:rFonts w:cs="Arial" w:hint="cs"/>
          <w:sz w:val="16"/>
          <w:szCs w:val="16"/>
          <w:rtl/>
        </w:rPr>
        <w:t>ט</w:t>
      </w:r>
      <w:r w:rsidRPr="00754259">
        <w:rPr>
          <w:rFonts w:cs="Arial"/>
          <w:sz w:val="16"/>
          <w:szCs w:val="16"/>
          <w:rtl/>
        </w:rPr>
        <w:t>)</w:t>
      </w:r>
      <w:r w:rsidR="00AA784E" w:rsidRPr="00AA784E">
        <w:rPr>
          <w:rFonts w:cs="Arial" w:hint="cs"/>
          <w:rtl/>
        </w:rPr>
        <w:t xml:space="preserve"> </w:t>
      </w:r>
      <w:r w:rsidR="00AA784E">
        <w:rPr>
          <w:rFonts w:cs="Arial" w:hint="cs"/>
          <w:rtl/>
        </w:rPr>
        <w:t>ו</w:t>
      </w:r>
      <w:r w:rsidR="00AA784E" w:rsidRPr="007E4A45">
        <w:rPr>
          <w:rFonts w:cs="Arial" w:hint="cs"/>
          <w:rtl/>
        </w:rPr>
        <w:t>רשב"א</w:t>
      </w:r>
      <w:r w:rsidR="00AA784E">
        <w:rPr>
          <w:rStyle w:val="ab"/>
          <w:rFonts w:cs="Arial"/>
          <w:rtl/>
        </w:rPr>
        <w:footnoteReference w:id="745"/>
      </w:r>
      <w:r w:rsidR="00AA784E" w:rsidRPr="007E4A45">
        <w:rPr>
          <w:rFonts w:cs="Arial"/>
          <w:rtl/>
        </w:rPr>
        <w:t xml:space="preserve"> </w:t>
      </w:r>
      <w:r w:rsidR="00AA784E" w:rsidRPr="007E4A45">
        <w:rPr>
          <w:rFonts w:cs="Arial"/>
          <w:sz w:val="16"/>
          <w:szCs w:val="16"/>
          <w:rtl/>
        </w:rPr>
        <w:t>(ח"א סי</w:t>
      </w:r>
      <w:r w:rsidR="00AA784E">
        <w:rPr>
          <w:rFonts w:cs="Arial" w:hint="cs"/>
          <w:sz w:val="16"/>
          <w:szCs w:val="16"/>
          <w:rtl/>
        </w:rPr>
        <w:t>'</w:t>
      </w:r>
      <w:r w:rsidR="00AA784E" w:rsidRPr="007E4A45">
        <w:rPr>
          <w:rFonts w:cs="Arial"/>
          <w:sz w:val="16"/>
          <w:szCs w:val="16"/>
          <w:rtl/>
        </w:rPr>
        <w:t xml:space="preserve"> תשכד</w:t>
      </w:r>
      <w:r w:rsidR="00AA784E">
        <w:rPr>
          <w:rFonts w:cs="Arial" w:hint="cs"/>
          <w:sz w:val="16"/>
          <w:szCs w:val="16"/>
          <w:rtl/>
        </w:rPr>
        <w:t>, וכן בח"ג סי' קה</w:t>
      </w:r>
      <w:r w:rsidR="00AA784E" w:rsidRPr="007E4A45">
        <w:rPr>
          <w:rFonts w:cs="Arial"/>
          <w:sz w:val="16"/>
          <w:szCs w:val="16"/>
          <w:rtl/>
        </w:rPr>
        <w:t>)</w:t>
      </w:r>
      <w:r>
        <w:rPr>
          <w:rFonts w:cs="Arial" w:hint="cs"/>
          <w:rtl/>
        </w:rPr>
        <w:t xml:space="preserve">- </w:t>
      </w:r>
      <w:r w:rsidRPr="00F93AAC">
        <w:rPr>
          <w:rFonts w:cs="Arial"/>
          <w:rtl/>
        </w:rPr>
        <w:t>וכן הדין בזמן הזה שאין שם בית דין גדול אבל יש מקומות שיש בהן חכמים גדולים מומחין לרבים ומקומות שיש בהן תלמידים שאינן כמותן, אם אמר המלוה נלך למקום פלוני</w:t>
      </w:r>
      <w:r w:rsidRPr="003973AF">
        <w:rPr>
          <w:rFonts w:cs="Arial"/>
          <w:color w:val="000000" w:themeColor="text1"/>
          <w:rtl/>
        </w:rPr>
        <w:t xml:space="preserve"> </w:t>
      </w:r>
      <w:r w:rsidR="003973AF" w:rsidRPr="003973AF">
        <w:rPr>
          <w:rStyle w:val="ab"/>
          <w:rFonts w:cs="Arial"/>
          <w:color w:val="000000" w:themeColor="text1"/>
          <w:rtl/>
        </w:rPr>
        <w:footnoteReference w:id="746"/>
      </w:r>
      <w:r w:rsidRPr="003973AF">
        <w:rPr>
          <w:rFonts w:cs="Arial"/>
          <w:color w:val="000000" w:themeColor="text1"/>
          <w:rtl/>
        </w:rPr>
        <w:t>שבא</w:t>
      </w:r>
      <w:r w:rsidR="003973AF" w:rsidRPr="003973AF">
        <w:rPr>
          <w:rFonts w:cs="Arial" w:hint="cs"/>
          <w:color w:val="000000" w:themeColor="text1"/>
          <w:rtl/>
        </w:rPr>
        <w:t>רצו</w:t>
      </w:r>
      <w:r w:rsidRPr="003973AF">
        <w:rPr>
          <w:rFonts w:cs="Arial"/>
          <w:color w:val="000000" w:themeColor="text1"/>
          <w:rtl/>
        </w:rPr>
        <w:t xml:space="preserve"> ל</w:t>
      </w:r>
      <w:r w:rsidRPr="00F93AAC">
        <w:rPr>
          <w:rFonts w:cs="Arial"/>
          <w:rtl/>
        </w:rPr>
        <w:t>פלוני ופלוני הגדול ונדון לפניו בדין זה</w:t>
      </w:r>
      <w:r w:rsidR="00401BE3">
        <w:rPr>
          <w:rFonts w:cs="Arial" w:hint="cs"/>
          <w:rtl/>
        </w:rPr>
        <w:t xml:space="preserve"> -</w:t>
      </w:r>
      <w:r w:rsidRPr="00F93AAC">
        <w:rPr>
          <w:rFonts w:cs="Arial"/>
          <w:rtl/>
        </w:rPr>
        <w:t xml:space="preserve"> שכופין את הלוה והולך עמו</w:t>
      </w:r>
      <w:r w:rsidR="00401BE3">
        <w:rPr>
          <w:rFonts w:cs="Arial" w:hint="cs"/>
          <w:rtl/>
        </w:rPr>
        <w:t>.</w:t>
      </w:r>
      <w:r w:rsidRPr="00F93AAC">
        <w:rPr>
          <w:rFonts w:cs="Arial"/>
          <w:rtl/>
        </w:rPr>
        <w:t xml:space="preserve"> וכן היו מעשים בכל יו</w:t>
      </w:r>
      <w:r>
        <w:rPr>
          <w:rFonts w:cs="Arial" w:hint="cs"/>
          <w:rtl/>
        </w:rPr>
        <w:t>ם</w:t>
      </w:r>
      <w:r w:rsidRPr="00F93AAC">
        <w:rPr>
          <w:rFonts w:cs="Arial"/>
          <w:rtl/>
        </w:rPr>
        <w:t xml:space="preserve"> בספרד</w:t>
      </w:r>
      <w:r>
        <w:rPr>
          <w:rStyle w:val="ab"/>
          <w:rtl/>
        </w:rPr>
        <w:footnoteReference w:id="747"/>
      </w:r>
      <w:r w:rsidR="00AA784E">
        <w:rPr>
          <w:rFonts w:cs="Arial" w:hint="cs"/>
          <w:sz w:val="16"/>
          <w:szCs w:val="16"/>
          <w:rtl/>
        </w:rPr>
        <w:t xml:space="preserve"> (ל' הרמב"ם)</w:t>
      </w:r>
      <w:r w:rsidRPr="00F93AAC">
        <w:rPr>
          <w:rFonts w:cs="Arial"/>
          <w:rtl/>
        </w:rPr>
        <w:t>.</w:t>
      </w:r>
      <w:r w:rsidRPr="00EA22B2">
        <w:rPr>
          <w:rFonts w:hint="cs"/>
          <w:color w:val="E36C0A" w:themeColor="accent6" w:themeShade="BF"/>
          <w:rtl/>
        </w:rPr>
        <w:t xml:space="preserve"> (וכ"פ בשו"ע)</w:t>
      </w:r>
    </w:p>
    <w:p w14:paraId="2B89E89A" w14:textId="77777777" w:rsidR="00610032" w:rsidRDefault="00227835" w:rsidP="00C704CB">
      <w:pPr>
        <w:pStyle w:val="ac"/>
        <w:numPr>
          <w:ilvl w:val="0"/>
          <w:numId w:val="10"/>
        </w:numPr>
        <w:rPr>
          <w:rFonts w:cs="Arial"/>
        </w:rPr>
      </w:pPr>
      <w:r>
        <w:rPr>
          <w:rFonts w:cs="Arial" w:hint="cs"/>
          <w:rtl/>
        </w:rPr>
        <w:lastRenderedPageBreak/>
        <w:t xml:space="preserve">סמ"ג </w:t>
      </w:r>
      <w:r>
        <w:rPr>
          <w:rFonts w:cs="Arial" w:hint="cs"/>
          <w:sz w:val="16"/>
          <w:szCs w:val="16"/>
          <w:rtl/>
        </w:rPr>
        <w:t>(עשין צז ד"ה פירש רבינו יצחק)</w:t>
      </w:r>
      <w:r>
        <w:rPr>
          <w:rFonts w:cs="Arial" w:hint="cs"/>
          <w:rtl/>
        </w:rPr>
        <w:t xml:space="preserve"> מרדכי</w:t>
      </w:r>
      <w:r>
        <w:rPr>
          <w:rStyle w:val="ab"/>
          <w:rFonts w:cs="Arial"/>
          <w:rtl/>
        </w:rPr>
        <w:footnoteReference w:id="748"/>
      </w:r>
      <w:r>
        <w:rPr>
          <w:rFonts w:cs="Arial" w:hint="cs"/>
          <w:rtl/>
        </w:rPr>
        <w:t xml:space="preserve"> </w:t>
      </w:r>
      <w:r>
        <w:rPr>
          <w:rFonts w:cs="Arial" w:hint="cs"/>
          <w:sz w:val="16"/>
          <w:szCs w:val="16"/>
          <w:rtl/>
        </w:rPr>
        <w:t xml:space="preserve">(סנהדרין סי' תשט) </w:t>
      </w:r>
      <w:r>
        <w:rPr>
          <w:rFonts w:cs="Arial" w:hint="cs"/>
          <w:rtl/>
        </w:rPr>
        <w:t>ו</w:t>
      </w:r>
      <w:r w:rsidR="00610032">
        <w:rPr>
          <w:rFonts w:cs="Arial" w:hint="cs"/>
          <w:rtl/>
        </w:rPr>
        <w:t xml:space="preserve">רא"ש </w:t>
      </w:r>
      <w:r w:rsidR="00610032" w:rsidRPr="00A21857">
        <w:rPr>
          <w:rFonts w:cs="Arial"/>
          <w:sz w:val="16"/>
          <w:szCs w:val="16"/>
          <w:rtl/>
        </w:rPr>
        <w:t>(</w:t>
      </w:r>
      <w:r w:rsidR="00610032" w:rsidRPr="00A21857">
        <w:rPr>
          <w:rFonts w:cs="Arial" w:hint="cs"/>
          <w:sz w:val="16"/>
          <w:szCs w:val="16"/>
          <w:rtl/>
        </w:rPr>
        <w:t xml:space="preserve">פ"ג </w:t>
      </w:r>
      <w:r w:rsidR="00610032" w:rsidRPr="00A21857">
        <w:rPr>
          <w:rFonts w:cs="Arial"/>
          <w:sz w:val="16"/>
          <w:szCs w:val="16"/>
          <w:rtl/>
        </w:rPr>
        <w:t>סי' מא)</w:t>
      </w:r>
      <w:r w:rsidR="00610032">
        <w:rPr>
          <w:rFonts w:cs="Arial" w:hint="cs"/>
          <w:rtl/>
        </w:rPr>
        <w:t xml:space="preserve">- </w:t>
      </w:r>
      <w:r w:rsidR="00610032" w:rsidRPr="00F93AAC">
        <w:rPr>
          <w:rFonts w:cs="Arial"/>
          <w:rtl/>
        </w:rPr>
        <w:t xml:space="preserve">בזמן הזה מסתבר שהחשוב </w:t>
      </w:r>
      <w:r w:rsidR="005E4504">
        <w:rPr>
          <w:rFonts w:cs="Arial" w:hint="cs"/>
          <w:sz w:val="16"/>
          <w:szCs w:val="16"/>
          <w:rtl/>
        </w:rPr>
        <w:t xml:space="preserve">{ומומחה, טור} </w:t>
      </w:r>
      <w:r w:rsidR="00610032" w:rsidRPr="00DE69AF">
        <w:rPr>
          <w:rFonts w:cs="Arial"/>
          <w:b/>
          <w:bCs/>
          <w:rtl/>
        </w:rPr>
        <w:t>שבדור</w:t>
      </w:r>
      <w:r w:rsidR="00610032" w:rsidRPr="00F93AAC">
        <w:rPr>
          <w:rFonts w:cs="Arial"/>
          <w:rtl/>
        </w:rPr>
        <w:t xml:space="preserve"> נקרא בית דין הגדול</w:t>
      </w:r>
      <w:r w:rsidR="00610032" w:rsidRPr="00F93AAC">
        <w:rPr>
          <w:rFonts w:cs="Arial" w:hint="cs"/>
          <w:rtl/>
        </w:rPr>
        <w:t>,</w:t>
      </w:r>
      <w:r w:rsidR="00610032" w:rsidRPr="00F93AAC">
        <w:rPr>
          <w:rFonts w:cs="Arial"/>
          <w:rtl/>
        </w:rPr>
        <w:t xml:space="preserve"> וכן היה אומר ר</w:t>
      </w:r>
      <w:r w:rsidR="00610032" w:rsidRPr="00F93AAC">
        <w:rPr>
          <w:rFonts w:cs="Arial" w:hint="cs"/>
          <w:rtl/>
        </w:rPr>
        <w:t>"</w:t>
      </w:r>
      <w:r w:rsidR="00610032" w:rsidRPr="00F93AAC">
        <w:rPr>
          <w:rFonts w:cs="Arial"/>
          <w:rtl/>
        </w:rPr>
        <w:t>ת שתמיד היו ממנים הגדול שבדור לנשיא</w:t>
      </w:r>
      <w:r w:rsidR="00610032">
        <w:rPr>
          <w:rStyle w:val="ab"/>
          <w:rFonts w:cs="Arial"/>
          <w:rtl/>
        </w:rPr>
        <w:footnoteReference w:id="749"/>
      </w:r>
      <w:r>
        <w:rPr>
          <w:rFonts w:cs="Arial" w:hint="cs"/>
          <w:sz w:val="16"/>
          <w:szCs w:val="16"/>
          <w:rtl/>
        </w:rPr>
        <w:t xml:space="preserve"> (ל' הרא"ש)</w:t>
      </w:r>
      <w:r w:rsidR="00610032">
        <w:rPr>
          <w:rFonts w:cs="Arial" w:hint="cs"/>
          <w:rtl/>
        </w:rPr>
        <w:t>.</w:t>
      </w:r>
      <w:r w:rsidR="00EA22B2">
        <w:rPr>
          <w:rFonts w:cs="Arial" w:hint="cs"/>
          <w:color w:val="00B0F0"/>
          <w:rtl/>
        </w:rPr>
        <w:t xml:space="preserve"> </w:t>
      </w:r>
      <w:r w:rsidR="00EA22B2" w:rsidRPr="00EA22B2">
        <w:rPr>
          <w:rFonts w:cs="Arial" w:hint="cs"/>
          <w:color w:val="00B0F0"/>
          <w:rtl/>
        </w:rPr>
        <w:t>(וכ"</w:t>
      </w:r>
      <w:r w:rsidR="009E01B4">
        <w:rPr>
          <w:rFonts w:cs="Arial" w:hint="cs"/>
          <w:color w:val="00B0F0"/>
          <w:rtl/>
        </w:rPr>
        <w:t>פ</w:t>
      </w:r>
      <w:r w:rsidR="00EA22B2" w:rsidRPr="00EA22B2">
        <w:rPr>
          <w:rFonts w:cs="Arial" w:hint="cs"/>
          <w:color w:val="00B0F0"/>
          <w:rtl/>
        </w:rPr>
        <w:t xml:space="preserve"> הרמ"א</w:t>
      </w:r>
      <w:r w:rsidR="009E01B4">
        <w:rPr>
          <w:rFonts w:cs="Arial" w:hint="cs"/>
          <w:color w:val="00B0F0"/>
          <w:rtl/>
        </w:rPr>
        <w:t xml:space="preserve"> </w:t>
      </w:r>
      <w:r w:rsidR="009E01B4">
        <w:rPr>
          <w:rFonts w:cs="Arial" w:hint="cs"/>
          <w:color w:val="000000" w:themeColor="text1"/>
          <w:sz w:val="16"/>
          <w:szCs w:val="16"/>
          <w:rtl/>
        </w:rPr>
        <w:t>[לדינא, אבל כתב שהמנהג אחרת, ע"ש]</w:t>
      </w:r>
      <w:r w:rsidR="00EA22B2" w:rsidRPr="00EA22B2">
        <w:rPr>
          <w:rFonts w:cs="Arial" w:hint="cs"/>
          <w:color w:val="00B0F0"/>
          <w:rtl/>
        </w:rPr>
        <w:t>)</w:t>
      </w:r>
    </w:p>
    <w:p w14:paraId="64AD1EC8" w14:textId="77777777" w:rsidR="00197A15" w:rsidRDefault="00197A15" w:rsidP="005D6A5F">
      <w:pPr>
        <w:pStyle w:val="ac"/>
        <w:numPr>
          <w:ilvl w:val="0"/>
          <w:numId w:val="10"/>
        </w:numPr>
        <w:rPr>
          <w:rFonts w:cs="Arial"/>
        </w:rPr>
      </w:pPr>
      <w:r w:rsidRPr="007E4A45">
        <w:rPr>
          <w:rFonts w:cs="Arial"/>
          <w:rtl/>
        </w:rPr>
        <w:t>או</w:t>
      </w:r>
      <w:r w:rsidRPr="007E4A45">
        <w:rPr>
          <w:rFonts w:cs="Arial" w:hint="cs"/>
          <w:rtl/>
        </w:rPr>
        <w:t>"ז</w:t>
      </w:r>
      <w:r w:rsidRPr="007E4A45">
        <w:rPr>
          <w:rFonts w:cs="Arial"/>
          <w:rtl/>
        </w:rPr>
        <w:t xml:space="preserve"> </w:t>
      </w:r>
      <w:r w:rsidRPr="007E4A45">
        <w:rPr>
          <w:rFonts w:cs="Arial"/>
          <w:sz w:val="16"/>
          <w:szCs w:val="16"/>
          <w:rtl/>
        </w:rPr>
        <w:t>(ב</w:t>
      </w:r>
      <w:r w:rsidR="00DE69AF">
        <w:rPr>
          <w:rFonts w:cs="Arial" w:hint="cs"/>
          <w:sz w:val="16"/>
          <w:szCs w:val="16"/>
          <w:rtl/>
        </w:rPr>
        <w:t>"ק</w:t>
      </w:r>
      <w:r w:rsidRPr="007E4A45">
        <w:rPr>
          <w:rFonts w:cs="Arial"/>
          <w:sz w:val="16"/>
          <w:szCs w:val="16"/>
          <w:rtl/>
        </w:rPr>
        <w:t xml:space="preserve"> סי' </w:t>
      </w:r>
      <w:r>
        <w:rPr>
          <w:rFonts w:cs="Arial" w:hint="cs"/>
          <w:sz w:val="16"/>
          <w:szCs w:val="16"/>
          <w:rtl/>
        </w:rPr>
        <w:t>תלו-</w:t>
      </w:r>
      <w:r w:rsidRPr="007E4A45">
        <w:rPr>
          <w:rFonts w:cs="Arial"/>
          <w:sz w:val="16"/>
          <w:szCs w:val="16"/>
          <w:rtl/>
        </w:rPr>
        <w:t>תלז)</w:t>
      </w:r>
      <w:r>
        <w:rPr>
          <w:rFonts w:cs="Arial" w:hint="cs"/>
          <w:rtl/>
        </w:rPr>
        <w:t xml:space="preserve"> </w:t>
      </w:r>
      <w:r w:rsidR="005D6A5F" w:rsidRPr="007E4A45">
        <w:rPr>
          <w:rFonts w:cs="Arial" w:hint="cs"/>
          <w:rtl/>
        </w:rPr>
        <w:t>מרדכי</w:t>
      </w:r>
      <w:r w:rsidR="005D6A5F" w:rsidRPr="007E4A45">
        <w:rPr>
          <w:rFonts w:cs="Arial"/>
          <w:rtl/>
        </w:rPr>
        <w:t xml:space="preserve"> </w:t>
      </w:r>
      <w:r w:rsidR="005D6A5F" w:rsidRPr="007E4A45">
        <w:rPr>
          <w:rFonts w:cs="Arial"/>
          <w:sz w:val="16"/>
          <w:szCs w:val="16"/>
          <w:rtl/>
        </w:rPr>
        <w:t>(סו"ס תשט)</w:t>
      </w:r>
      <w:r w:rsidR="00DE69AF" w:rsidRPr="00DE69AF">
        <w:rPr>
          <w:rFonts w:cs="Arial" w:hint="cs"/>
          <w:rtl/>
        </w:rPr>
        <w:t xml:space="preserve"> </w:t>
      </w:r>
      <w:r w:rsidR="00DE69AF">
        <w:rPr>
          <w:rFonts w:cs="Arial" w:hint="cs"/>
          <w:rtl/>
        </w:rPr>
        <w:t xml:space="preserve">ומהרי"ק </w:t>
      </w:r>
      <w:r w:rsidR="00DE69AF">
        <w:rPr>
          <w:rFonts w:cs="Arial" w:hint="cs"/>
          <w:sz w:val="16"/>
          <w:szCs w:val="16"/>
          <w:rtl/>
        </w:rPr>
        <w:t>(שורש כא)</w:t>
      </w:r>
      <w:r w:rsidR="005D6A5F" w:rsidRPr="007E4A45">
        <w:rPr>
          <w:rFonts w:cs="Arial" w:hint="cs"/>
          <w:rtl/>
        </w:rPr>
        <w:t>-</w:t>
      </w:r>
      <w:r w:rsidR="005D6A5F" w:rsidRPr="007E4A45">
        <w:rPr>
          <w:rFonts w:cs="Arial"/>
          <w:rtl/>
        </w:rPr>
        <w:t xml:space="preserve"> </w:t>
      </w:r>
      <w:r w:rsidRPr="00197A15">
        <w:rPr>
          <w:rFonts w:cs="Arial"/>
          <w:rtl/>
        </w:rPr>
        <w:t xml:space="preserve">הגדול </w:t>
      </w:r>
      <w:r w:rsidRPr="00197A15">
        <w:rPr>
          <w:rFonts w:cs="Arial"/>
          <w:b/>
          <w:bCs/>
          <w:rtl/>
        </w:rPr>
        <w:t>שבעיר</w:t>
      </w:r>
      <w:r w:rsidRPr="00197A15">
        <w:rPr>
          <w:rFonts w:cs="Arial"/>
          <w:rtl/>
        </w:rPr>
        <w:t xml:space="preserve"> חשוב בית דין הגדול</w:t>
      </w:r>
      <w:r>
        <w:rPr>
          <w:rFonts w:cs="Arial" w:hint="cs"/>
          <w:rtl/>
        </w:rPr>
        <w:t>,</w:t>
      </w:r>
      <w:r w:rsidRPr="00197A15">
        <w:rPr>
          <w:rFonts w:cs="Arial"/>
          <w:rtl/>
        </w:rPr>
        <w:t xml:space="preserve"> כדפי' רבינו שמשון זצ"ל דמאחר שאנו רחוקים יותר מדאי סברא הוא דגדול חשוב בית דין הגדול</w:t>
      </w:r>
      <w:r>
        <w:rPr>
          <w:rFonts w:cs="Arial" w:hint="cs"/>
          <w:rtl/>
        </w:rPr>
        <w:t>,</w:t>
      </w:r>
      <w:r w:rsidRPr="00197A15">
        <w:rPr>
          <w:rFonts w:cs="Arial"/>
          <w:rtl/>
        </w:rPr>
        <w:t xml:space="preserve"> וכגון שהוא מומחה ויודע להוציא דין תורה לאורה</w:t>
      </w:r>
      <w:r>
        <w:rPr>
          <w:rFonts w:cs="Arial" w:hint="cs"/>
          <w:rtl/>
        </w:rPr>
        <w:t>,</w:t>
      </w:r>
      <w:r w:rsidRPr="00197A15">
        <w:rPr>
          <w:rFonts w:cs="Arial"/>
          <w:rtl/>
        </w:rPr>
        <w:t xml:space="preserve"> דאיכא למיחש לרמאין שלא ידחו עצמם כל שעה מן הדין באומרם לב"ד הגדול קאזילנא. וכבר שאל הרב ר' יעקב </w:t>
      </w:r>
      <w:r w:rsidR="00DE69AF">
        <w:rPr>
          <w:rFonts w:cs="Arial" w:hint="cs"/>
          <w:sz w:val="16"/>
          <w:szCs w:val="16"/>
          <w:rtl/>
        </w:rPr>
        <w:t xml:space="preserve">{מקינון} </w:t>
      </w:r>
      <w:r w:rsidRPr="00197A15">
        <w:rPr>
          <w:rFonts w:cs="Arial"/>
          <w:rtl/>
        </w:rPr>
        <w:t xml:space="preserve">מרבינו שמשון </w:t>
      </w:r>
      <w:r w:rsidR="00DE69AF">
        <w:rPr>
          <w:rFonts w:cs="Arial" w:hint="cs"/>
          <w:sz w:val="16"/>
          <w:szCs w:val="16"/>
          <w:rtl/>
        </w:rPr>
        <w:t xml:space="preserve">{משאנץ} </w:t>
      </w:r>
      <w:r w:rsidRPr="00197A15">
        <w:rPr>
          <w:rFonts w:cs="Arial"/>
          <w:rtl/>
        </w:rPr>
        <w:t>זצ"ל והשיב לו מנהג קדם על בית דין דעירנו אודיעך כי אחד מבני עירנו המזמין את אחד חבירו לדין על כרחו ידון כאן ואינו יכול לדחותו ולומר נלך לבית הועד או לבית דין הגדול. אך בזה יכול לדחותו שלא יטעון עד יום השלישי אבל דיינין בוררין להם לאלתר זה בורר לו אחד וזה בורר לו אחד. ואם אכסנאי הוא המזמין אחד מבני עירו או שני אכסנאים שמזמיני' זה את זה בוררין לאלתר וטוענין לאלתר וזו מנהג הגון וכשר מפני הרמאים עכ"ל. אע</w:t>
      </w:r>
      <w:r w:rsidR="00DE69AF">
        <w:rPr>
          <w:rFonts w:cs="Arial" w:hint="cs"/>
          <w:rtl/>
        </w:rPr>
        <w:t>"</w:t>
      </w:r>
      <w:r w:rsidRPr="00197A15">
        <w:rPr>
          <w:rFonts w:cs="Arial"/>
          <w:rtl/>
        </w:rPr>
        <w:t>פ שאין לכל המקומות ראיה מרבינו שמשון זצ"ל מפני שהוא היה יחיד בדור בתורתו ובחכמתו ואין לנו ראיה ממנהג שבעירו לשאר מקומות מ"מ יש ללמוד מדבריו שחשש לרמאין</w:t>
      </w:r>
      <w:r>
        <w:rPr>
          <w:rFonts w:cs="Arial" w:hint="cs"/>
          <w:rtl/>
        </w:rPr>
        <w:t>.</w:t>
      </w:r>
      <w:r w:rsidRPr="00197A15">
        <w:rPr>
          <w:rtl/>
        </w:rPr>
        <w:t xml:space="preserve"> </w:t>
      </w:r>
      <w:r w:rsidRPr="00197A15">
        <w:rPr>
          <w:rFonts w:cs="Arial"/>
          <w:rtl/>
        </w:rPr>
        <w:t>הילכך כל היכא שיש בעיר מומחה ויודע דין תורה לאמיתו הרי זה דן בעירו בעל כרחו לא שנא תובע ולא שנא נתבע לא מצי למימר נלך למקום הועד או לבית דין הגדול אלא דן בעירו מפני הרמאים שלא ידחו עצמם מן הדין</w:t>
      </w:r>
      <w:r w:rsidR="00DE69AF">
        <w:rPr>
          <w:rStyle w:val="ab"/>
          <w:rFonts w:cs="Arial"/>
          <w:rtl/>
        </w:rPr>
        <w:footnoteReference w:id="750"/>
      </w:r>
      <w:r w:rsidR="00DE69AF">
        <w:rPr>
          <w:rFonts w:cs="Arial" w:hint="cs"/>
          <w:rtl/>
        </w:rPr>
        <w:t>,</w:t>
      </w:r>
      <w:r w:rsidRPr="00197A15">
        <w:rPr>
          <w:rFonts w:cs="Arial"/>
          <w:rtl/>
        </w:rPr>
        <w:t xml:space="preserve"> ותו דלית לן</w:t>
      </w:r>
      <w:r w:rsidR="00DE69AF">
        <w:rPr>
          <w:rStyle w:val="ab"/>
          <w:rFonts w:cs="Arial"/>
          <w:rtl/>
        </w:rPr>
        <w:footnoteReference w:id="751"/>
      </w:r>
      <w:r w:rsidRPr="00197A15">
        <w:rPr>
          <w:rFonts w:cs="Arial"/>
          <w:rtl/>
        </w:rPr>
        <w:t xml:space="preserve"> מקום הועד מקום קיבוץ חכמים שיתבייש מהם</w:t>
      </w:r>
      <w:r w:rsidR="00DE69AF">
        <w:rPr>
          <w:rFonts w:cs="Arial" w:hint="cs"/>
          <w:sz w:val="16"/>
          <w:szCs w:val="16"/>
          <w:rtl/>
        </w:rPr>
        <w:t xml:space="preserve"> (ל' או"ז)</w:t>
      </w:r>
      <w:r>
        <w:rPr>
          <w:rFonts w:cs="Arial" w:hint="cs"/>
          <w:rtl/>
        </w:rPr>
        <w:t>.</w:t>
      </w:r>
      <w:r w:rsidR="00DE69AF" w:rsidRPr="00DE69AF">
        <w:rPr>
          <w:rFonts w:cs="Arial" w:hint="cs"/>
          <w:color w:val="00B0F0"/>
          <w:rtl/>
        </w:rPr>
        <w:t xml:space="preserve"> </w:t>
      </w:r>
      <w:r w:rsidR="00DE69AF" w:rsidRPr="00EA22B2">
        <w:rPr>
          <w:rFonts w:cs="Arial" w:hint="cs"/>
          <w:color w:val="00B0F0"/>
          <w:rtl/>
        </w:rPr>
        <w:t>(וכ"</w:t>
      </w:r>
      <w:r w:rsidR="00DE69AF">
        <w:rPr>
          <w:rFonts w:cs="Arial" w:hint="cs"/>
          <w:color w:val="00B0F0"/>
          <w:rtl/>
        </w:rPr>
        <w:t>פ</w:t>
      </w:r>
      <w:r w:rsidR="00DE69AF" w:rsidRPr="00EA22B2">
        <w:rPr>
          <w:rFonts w:cs="Arial" w:hint="cs"/>
          <w:color w:val="00B0F0"/>
          <w:rtl/>
        </w:rPr>
        <w:t xml:space="preserve"> הרמ"א)</w:t>
      </w:r>
    </w:p>
    <w:p w14:paraId="6082B965" w14:textId="77777777" w:rsidR="003804EF" w:rsidRDefault="003804EF" w:rsidP="00D52A51">
      <w:pPr>
        <w:rPr>
          <w:rFonts w:cs="Arial"/>
          <w:u w:val="single"/>
          <w:rtl/>
        </w:rPr>
      </w:pPr>
      <w:r>
        <w:rPr>
          <w:rFonts w:cs="Arial" w:hint="cs"/>
          <w:u w:val="single"/>
          <w:rtl/>
        </w:rPr>
        <w:t>מהו לדון בבית דין שרחוק מעירם של בעלי הדין - במקרים הבאים:</w:t>
      </w:r>
    </w:p>
    <w:p w14:paraId="120F3043" w14:textId="77777777" w:rsidR="00E54AB9" w:rsidRPr="00E54AB9" w:rsidRDefault="00E54AB9" w:rsidP="00610032">
      <w:pPr>
        <w:ind w:left="360"/>
        <w:rPr>
          <w:rFonts w:cs="Arial"/>
          <w:u w:val="dotted"/>
          <w:rtl/>
        </w:rPr>
      </w:pPr>
      <w:r w:rsidRPr="00E54AB9">
        <w:rPr>
          <w:rFonts w:cs="Arial"/>
          <w:u w:val="dotted"/>
          <w:rtl/>
        </w:rPr>
        <w:t xml:space="preserve">עני </w:t>
      </w:r>
      <w:r w:rsidRPr="00E54AB9">
        <w:rPr>
          <w:rFonts w:cs="Arial" w:hint="cs"/>
          <w:u w:val="dotted"/>
          <w:rtl/>
        </w:rPr>
        <w:t>שמ</w:t>
      </w:r>
      <w:r w:rsidRPr="00E54AB9">
        <w:rPr>
          <w:rFonts w:cs="Arial"/>
          <w:u w:val="dotted"/>
          <w:rtl/>
        </w:rPr>
        <w:t>זמין עשיר לב"ד הגדול</w:t>
      </w:r>
      <w:r w:rsidRPr="00E54AB9">
        <w:rPr>
          <w:rFonts w:cs="Arial" w:hint="cs"/>
          <w:u w:val="dotted"/>
          <w:rtl/>
        </w:rPr>
        <w:t>:</w:t>
      </w:r>
    </w:p>
    <w:p w14:paraId="6BBB2246" w14:textId="77777777" w:rsidR="00E54AB9" w:rsidRPr="00E54AB9" w:rsidRDefault="00E54AB9" w:rsidP="00C704CB">
      <w:pPr>
        <w:pStyle w:val="ac"/>
        <w:numPr>
          <w:ilvl w:val="0"/>
          <w:numId w:val="10"/>
        </w:numPr>
        <w:rPr>
          <w:rFonts w:cs="Arial"/>
          <w:rtl/>
        </w:rPr>
      </w:pPr>
      <w:r w:rsidRPr="00754259">
        <w:rPr>
          <w:rFonts w:cs="Arial" w:hint="cs"/>
          <w:rtl/>
        </w:rPr>
        <w:t xml:space="preserve">רא"ש </w:t>
      </w:r>
      <w:r w:rsidRPr="00754259">
        <w:rPr>
          <w:rFonts w:cs="Arial" w:hint="cs"/>
          <w:sz w:val="16"/>
          <w:szCs w:val="16"/>
          <w:rtl/>
        </w:rPr>
        <w:t>(</w:t>
      </w:r>
      <w:r w:rsidRPr="00754259">
        <w:rPr>
          <w:rFonts w:cs="Arial"/>
          <w:sz w:val="16"/>
          <w:szCs w:val="16"/>
          <w:rtl/>
        </w:rPr>
        <w:t>פ</w:t>
      </w:r>
      <w:r w:rsidRPr="00754259">
        <w:rPr>
          <w:rFonts w:cs="Arial" w:hint="cs"/>
          <w:sz w:val="16"/>
          <w:szCs w:val="16"/>
          <w:rtl/>
        </w:rPr>
        <w:t xml:space="preserve">' </w:t>
      </w:r>
      <w:r w:rsidRPr="00754259">
        <w:rPr>
          <w:rFonts w:cs="Arial"/>
          <w:sz w:val="16"/>
          <w:szCs w:val="16"/>
          <w:rtl/>
        </w:rPr>
        <w:t xml:space="preserve">הגוזל בתרא סי' ד) </w:t>
      </w:r>
      <w:r w:rsidRPr="00754259">
        <w:rPr>
          <w:rFonts w:cs="Arial" w:hint="cs"/>
          <w:rtl/>
        </w:rPr>
        <w:t xml:space="preserve">וטור- </w:t>
      </w:r>
      <w:r w:rsidR="008260EB" w:rsidRPr="008260EB">
        <w:rPr>
          <w:rFonts w:cs="Arial"/>
          <w:rtl/>
        </w:rPr>
        <w:t xml:space="preserve">אם יזמין העני לעשיר לבית דין הגדול יסדר טענותיו לפני דייני עירו אם יש ממש בדבריו יאמרו שילך עמו </w:t>
      </w:r>
      <w:r w:rsidR="008260EB">
        <w:rPr>
          <w:rFonts w:cs="Arial" w:hint="cs"/>
          <w:sz w:val="16"/>
          <w:szCs w:val="16"/>
          <w:rtl/>
        </w:rPr>
        <w:t>(ל' הרא"ש)</w:t>
      </w:r>
      <w:r>
        <w:rPr>
          <w:rStyle w:val="ab"/>
          <w:rFonts w:cs="Arial"/>
          <w:rtl/>
        </w:rPr>
        <w:footnoteReference w:id="752"/>
      </w:r>
      <w:r w:rsidRPr="00754259">
        <w:rPr>
          <w:rFonts w:cs="Arial" w:hint="cs"/>
          <w:rtl/>
        </w:rPr>
        <w:t>.</w:t>
      </w:r>
    </w:p>
    <w:p w14:paraId="051ED085" w14:textId="77777777" w:rsidR="00E54AB9" w:rsidRPr="00E54AB9" w:rsidRDefault="00E54AB9" w:rsidP="00610032">
      <w:pPr>
        <w:ind w:left="360"/>
        <w:rPr>
          <w:rFonts w:cs="Arial"/>
          <w:u w:val="dotted"/>
          <w:rtl/>
        </w:rPr>
      </w:pPr>
      <w:r w:rsidRPr="00E54AB9">
        <w:rPr>
          <w:rFonts w:cs="Arial" w:hint="cs"/>
          <w:u w:val="dotted"/>
          <w:rtl/>
        </w:rPr>
        <w:t>כשאין דיינים שיוכלו לדון בדין זה:</w:t>
      </w:r>
    </w:p>
    <w:p w14:paraId="0A321FD0" w14:textId="77777777" w:rsidR="00E54AB9" w:rsidRPr="00A21857" w:rsidRDefault="00E54AB9" w:rsidP="00C704CB">
      <w:pPr>
        <w:pStyle w:val="ac"/>
        <w:numPr>
          <w:ilvl w:val="0"/>
          <w:numId w:val="10"/>
        </w:numPr>
        <w:rPr>
          <w:rFonts w:cs="Arial"/>
          <w:rtl/>
        </w:rPr>
      </w:pPr>
      <w:r w:rsidRPr="00A21857">
        <w:rPr>
          <w:rFonts w:cs="Arial"/>
          <w:rtl/>
        </w:rPr>
        <w:t>נמוק</w:t>
      </w:r>
      <w:r w:rsidRPr="00A21857">
        <w:rPr>
          <w:rFonts w:cs="Arial" w:hint="cs"/>
          <w:rtl/>
        </w:rPr>
        <w:t>"</w:t>
      </w:r>
      <w:r w:rsidRPr="00A21857">
        <w:rPr>
          <w:rFonts w:cs="Arial"/>
          <w:rtl/>
        </w:rPr>
        <w:t xml:space="preserve">י </w:t>
      </w:r>
      <w:r w:rsidRPr="00A21857">
        <w:rPr>
          <w:rFonts w:cs="Arial" w:hint="cs"/>
          <w:sz w:val="16"/>
          <w:szCs w:val="16"/>
          <w:rtl/>
        </w:rPr>
        <w:t>(פ"ק</w:t>
      </w:r>
      <w:r w:rsidRPr="00A21857">
        <w:rPr>
          <w:rFonts w:cs="Arial"/>
          <w:sz w:val="16"/>
          <w:szCs w:val="16"/>
          <w:rtl/>
        </w:rPr>
        <w:t xml:space="preserve"> דב</w:t>
      </w:r>
      <w:r w:rsidRPr="00A21857">
        <w:rPr>
          <w:rFonts w:cs="Arial" w:hint="cs"/>
          <w:sz w:val="16"/>
          <w:szCs w:val="16"/>
          <w:rtl/>
        </w:rPr>
        <w:t xml:space="preserve">"ק </w:t>
      </w:r>
      <w:r w:rsidRPr="00A21857">
        <w:rPr>
          <w:rFonts w:cs="Arial"/>
          <w:sz w:val="16"/>
          <w:szCs w:val="16"/>
          <w:rtl/>
        </w:rPr>
        <w:t>ו: ד"ה אמר)</w:t>
      </w:r>
      <w:r w:rsidRPr="00A21857">
        <w:rPr>
          <w:rFonts w:cs="Arial" w:hint="cs"/>
          <w:rtl/>
        </w:rPr>
        <w:t xml:space="preserve">- </w:t>
      </w:r>
      <w:r w:rsidRPr="00A21857">
        <w:rPr>
          <w:rFonts w:cs="Arial"/>
          <w:rtl/>
        </w:rPr>
        <w:t>כלבא דאכל אימרא</w:t>
      </w:r>
      <w:r>
        <w:rPr>
          <w:rStyle w:val="ab"/>
          <w:rFonts w:cs="Arial"/>
          <w:rtl/>
        </w:rPr>
        <w:footnoteReference w:id="753"/>
      </w:r>
      <w:r w:rsidRPr="00A21857">
        <w:rPr>
          <w:rFonts w:cs="Arial"/>
          <w:rtl/>
        </w:rPr>
        <w:t xml:space="preserve"> </w:t>
      </w:r>
      <w:r w:rsidRPr="00A21857">
        <w:rPr>
          <w:rFonts w:cs="Arial"/>
          <w:sz w:val="16"/>
          <w:szCs w:val="16"/>
          <w:rtl/>
        </w:rPr>
        <w:t>(ב</w:t>
      </w:r>
      <w:r w:rsidR="00AF3C47">
        <w:rPr>
          <w:rFonts w:cs="Arial" w:hint="cs"/>
          <w:sz w:val="16"/>
          <w:szCs w:val="16"/>
          <w:rtl/>
        </w:rPr>
        <w:t>"ק</w:t>
      </w:r>
      <w:r w:rsidRPr="00A21857">
        <w:rPr>
          <w:rFonts w:cs="Arial"/>
          <w:sz w:val="16"/>
          <w:szCs w:val="16"/>
          <w:rtl/>
        </w:rPr>
        <w:t xml:space="preserve"> טו:) </w:t>
      </w:r>
      <w:r w:rsidRPr="00A21857">
        <w:rPr>
          <w:rFonts w:cs="Arial"/>
          <w:rtl/>
        </w:rPr>
        <w:t>מזמינין ליה לארץ ישראל</w:t>
      </w:r>
      <w:r w:rsidR="00001C1F">
        <w:rPr>
          <w:rFonts w:cs="Arial" w:hint="cs"/>
          <w:rtl/>
        </w:rPr>
        <w:t>,</w:t>
      </w:r>
      <w:r w:rsidRPr="00A21857">
        <w:rPr>
          <w:rFonts w:cs="Arial"/>
          <w:rtl/>
        </w:rPr>
        <w:t xml:space="preserve"> אע</w:t>
      </w:r>
      <w:r>
        <w:rPr>
          <w:rFonts w:cs="Arial" w:hint="cs"/>
          <w:rtl/>
        </w:rPr>
        <w:t>"</w:t>
      </w:r>
      <w:r w:rsidRPr="00A21857">
        <w:rPr>
          <w:rFonts w:cs="Arial"/>
          <w:rtl/>
        </w:rPr>
        <w:t>ג דקי</w:t>
      </w:r>
      <w:r w:rsidRPr="00A21857">
        <w:rPr>
          <w:rFonts w:cs="Arial" w:hint="cs"/>
          <w:rtl/>
        </w:rPr>
        <w:t>י"</w:t>
      </w:r>
      <w:r w:rsidRPr="00A21857">
        <w:rPr>
          <w:rFonts w:cs="Arial"/>
          <w:rtl/>
        </w:rPr>
        <w:t>ל דאין מוציאין מנה על מנה הני מילי היכא דאיכא דייני באתרא</w:t>
      </w:r>
      <w:r w:rsidR="00001C1F">
        <w:rPr>
          <w:rFonts w:cs="Arial" w:hint="cs"/>
          <w:rtl/>
        </w:rPr>
        <w:t>,</w:t>
      </w:r>
      <w:r w:rsidRPr="00A21857">
        <w:rPr>
          <w:rFonts w:cs="Arial"/>
          <w:rtl/>
        </w:rPr>
        <w:t xml:space="preserve"> אבל כשאין כאן דיינים שיוכלו לדון דין זה כי הכא מזמנינן ליה לאתרא דמצו למידייניה</w:t>
      </w:r>
      <w:r w:rsidRPr="00A21857">
        <w:rPr>
          <w:rFonts w:cs="Arial" w:hint="cs"/>
          <w:rtl/>
        </w:rPr>
        <w:t>.</w:t>
      </w:r>
      <w:r w:rsidR="008E4050">
        <w:rPr>
          <w:rFonts w:cs="Arial" w:hint="cs"/>
          <w:rtl/>
        </w:rPr>
        <w:t xml:space="preserve"> </w:t>
      </w:r>
      <w:r w:rsidR="008E4050" w:rsidRPr="008E4050">
        <w:rPr>
          <w:rFonts w:cs="Arial" w:hint="cs"/>
          <w:color w:val="00B0F0"/>
          <w:rtl/>
        </w:rPr>
        <w:t>(וכ"פ הרמ"א)</w:t>
      </w:r>
    </w:p>
    <w:p w14:paraId="3FFB2975" w14:textId="77777777" w:rsidR="00754259" w:rsidRPr="003804EF" w:rsidRDefault="00754259" w:rsidP="00610032">
      <w:pPr>
        <w:ind w:left="360"/>
        <w:rPr>
          <w:rFonts w:cs="Arial"/>
          <w:u w:val="dotted"/>
          <w:rtl/>
        </w:rPr>
      </w:pPr>
      <w:r w:rsidRPr="003804EF">
        <w:rPr>
          <w:rFonts w:cs="Arial" w:hint="cs"/>
          <w:u w:val="dotted"/>
          <w:rtl/>
        </w:rPr>
        <w:t>בהסכמתו של הבעל דין השני</w:t>
      </w:r>
      <w:r w:rsidR="00CD5605">
        <w:rPr>
          <w:rFonts w:cs="Arial" w:hint="cs"/>
          <w:sz w:val="16"/>
          <w:szCs w:val="16"/>
          <w:u w:val="dotted"/>
          <w:rtl/>
        </w:rPr>
        <w:t xml:space="preserve"> (אך לא ברצונו, שהיה מעדיף לדון קרוב)</w:t>
      </w:r>
      <w:r w:rsidRPr="003804EF">
        <w:rPr>
          <w:rFonts w:cs="Arial" w:hint="cs"/>
          <w:u w:val="dotted"/>
          <w:rtl/>
        </w:rPr>
        <w:t>:</w:t>
      </w:r>
    </w:p>
    <w:p w14:paraId="21723E81" w14:textId="77777777" w:rsidR="00203218" w:rsidRPr="00203218" w:rsidRDefault="00D52A51" w:rsidP="00C704CB">
      <w:pPr>
        <w:pStyle w:val="ac"/>
        <w:numPr>
          <w:ilvl w:val="0"/>
          <w:numId w:val="10"/>
        </w:numPr>
        <w:rPr>
          <w:rFonts w:cs="Arial"/>
        </w:rPr>
      </w:pPr>
      <w:r w:rsidRPr="00754259">
        <w:rPr>
          <w:rFonts w:cs="Arial"/>
          <w:rtl/>
        </w:rPr>
        <w:t>רשב</w:t>
      </w:r>
      <w:r w:rsidR="00A21857" w:rsidRPr="00754259">
        <w:rPr>
          <w:rFonts w:cs="Arial" w:hint="cs"/>
          <w:rtl/>
        </w:rPr>
        <w:t>"</w:t>
      </w:r>
      <w:r w:rsidR="008260EB">
        <w:rPr>
          <w:rFonts w:cs="Arial" w:hint="cs"/>
          <w:rtl/>
        </w:rPr>
        <w:t>ץ</w:t>
      </w:r>
      <w:r w:rsidRPr="00754259">
        <w:rPr>
          <w:rFonts w:cs="Arial"/>
          <w:rtl/>
        </w:rPr>
        <w:t xml:space="preserve"> </w:t>
      </w:r>
      <w:r w:rsidRPr="00754259">
        <w:rPr>
          <w:rFonts w:cs="Arial"/>
          <w:sz w:val="16"/>
          <w:szCs w:val="16"/>
          <w:rtl/>
        </w:rPr>
        <w:t>(ח"ג סי' רו)</w:t>
      </w:r>
      <w:r w:rsidR="00A21857" w:rsidRPr="00754259">
        <w:rPr>
          <w:rFonts w:cs="Arial" w:hint="cs"/>
          <w:rtl/>
        </w:rPr>
        <w:t>-</w:t>
      </w:r>
      <w:r w:rsidRPr="00754259">
        <w:rPr>
          <w:rFonts w:cs="Arial"/>
          <w:rtl/>
        </w:rPr>
        <w:t xml:space="preserve"> להוציא למקום אחר לדון </w:t>
      </w:r>
      <w:r w:rsidR="00775E2A">
        <w:rPr>
          <w:rFonts w:cs="Arial" w:hint="cs"/>
          <w:rtl/>
        </w:rPr>
        <w:t xml:space="preserve">- </w:t>
      </w:r>
      <w:r w:rsidRPr="00754259">
        <w:rPr>
          <w:rFonts w:cs="Arial"/>
          <w:rtl/>
        </w:rPr>
        <w:t>אינו דין</w:t>
      </w:r>
      <w:r w:rsidR="00A21857" w:rsidRPr="00754259">
        <w:rPr>
          <w:rFonts w:cs="Arial" w:hint="cs"/>
          <w:rtl/>
        </w:rPr>
        <w:t>,</w:t>
      </w:r>
      <w:r w:rsidRPr="00754259">
        <w:rPr>
          <w:rFonts w:cs="Arial"/>
          <w:rtl/>
        </w:rPr>
        <w:t xml:space="preserve"> אלא יסדרו טענותיהם במקומם וישלחו לבית דין</w:t>
      </w:r>
      <w:r w:rsidR="00A21857" w:rsidRPr="00754259">
        <w:rPr>
          <w:rFonts w:cs="Arial" w:hint="cs"/>
          <w:rtl/>
        </w:rPr>
        <w:t>,</w:t>
      </w:r>
      <w:r w:rsidRPr="00754259">
        <w:rPr>
          <w:rFonts w:cs="Arial"/>
          <w:rtl/>
        </w:rPr>
        <w:t xml:space="preserve"> וכדאמרינן בירושלמי</w:t>
      </w:r>
      <w:r w:rsidR="00AB3315">
        <w:rPr>
          <w:rStyle w:val="ab"/>
          <w:rFonts w:cs="Arial"/>
          <w:rtl/>
        </w:rPr>
        <w:footnoteReference w:id="754"/>
      </w:r>
      <w:r w:rsidRPr="00754259">
        <w:rPr>
          <w:rFonts w:cs="Arial"/>
          <w:rtl/>
        </w:rPr>
        <w:t xml:space="preserve"> </w:t>
      </w:r>
      <w:r w:rsidRPr="00754259">
        <w:rPr>
          <w:rFonts w:cs="Arial"/>
          <w:sz w:val="16"/>
          <w:szCs w:val="16"/>
          <w:rtl/>
        </w:rPr>
        <w:t xml:space="preserve">(סנהדרין פ"ג ה"ב) </w:t>
      </w:r>
      <w:r w:rsidRPr="00754259">
        <w:rPr>
          <w:rFonts w:cs="Arial"/>
          <w:rtl/>
        </w:rPr>
        <w:t>תרין גוברין הוה להו דין וכו'</w:t>
      </w:r>
      <w:r w:rsidR="00A21857" w:rsidRPr="00754259">
        <w:rPr>
          <w:rFonts w:cs="Arial" w:hint="cs"/>
          <w:rtl/>
        </w:rPr>
        <w:t>.</w:t>
      </w:r>
      <w:r w:rsidR="005E4504" w:rsidRPr="005E4504">
        <w:rPr>
          <w:rFonts w:cs="Arial"/>
          <w:rtl/>
        </w:rPr>
        <w:t xml:space="preserve"> </w:t>
      </w:r>
    </w:p>
    <w:p w14:paraId="36D49BE7" w14:textId="77777777" w:rsidR="005E4504" w:rsidRPr="005E4504" w:rsidRDefault="005E4504" w:rsidP="005E4504">
      <w:pPr>
        <w:ind w:left="360"/>
        <w:rPr>
          <w:rFonts w:cs="Arial"/>
        </w:rPr>
      </w:pPr>
      <w:r w:rsidRPr="005E4504">
        <w:rPr>
          <w:rFonts w:cs="Arial"/>
          <w:u w:val="dotted"/>
          <w:rtl/>
        </w:rPr>
        <w:t xml:space="preserve">תובע רוצה לדון </w:t>
      </w:r>
      <w:r w:rsidR="00AF3C47" w:rsidRPr="005E4504">
        <w:rPr>
          <w:rFonts w:cs="Arial" w:hint="cs"/>
          <w:u w:val="dotted"/>
          <w:rtl/>
        </w:rPr>
        <w:t>במקום רחוק</w:t>
      </w:r>
      <w:r w:rsidR="00AF3C47" w:rsidRPr="005E4504">
        <w:rPr>
          <w:rFonts w:cs="Arial"/>
          <w:u w:val="dotted"/>
          <w:rtl/>
        </w:rPr>
        <w:t xml:space="preserve"> </w:t>
      </w:r>
      <w:r w:rsidRPr="005E4504">
        <w:rPr>
          <w:rFonts w:cs="Arial"/>
          <w:u w:val="dotted"/>
          <w:rtl/>
        </w:rPr>
        <w:t xml:space="preserve">לפני </w:t>
      </w:r>
      <w:r w:rsidR="00AF3C47">
        <w:rPr>
          <w:rFonts w:cs="Arial" w:hint="cs"/>
          <w:u w:val="dotted"/>
          <w:rtl/>
        </w:rPr>
        <w:t>הדיוטות הממונים לדון,</w:t>
      </w:r>
      <w:r w:rsidRPr="005E4504">
        <w:rPr>
          <w:rFonts w:cs="Arial"/>
          <w:u w:val="dotted"/>
          <w:rtl/>
        </w:rPr>
        <w:t xml:space="preserve"> ולוה </w:t>
      </w:r>
      <w:r w:rsidRPr="005E4504">
        <w:rPr>
          <w:rFonts w:cs="Arial" w:hint="cs"/>
          <w:u w:val="dotted"/>
          <w:rtl/>
        </w:rPr>
        <w:t>רוצה</w:t>
      </w:r>
      <w:r w:rsidRPr="005E4504">
        <w:rPr>
          <w:rFonts w:cs="Arial"/>
          <w:u w:val="dotted"/>
          <w:rtl/>
        </w:rPr>
        <w:t xml:space="preserve"> לדון כאן לפני </w:t>
      </w:r>
      <w:r w:rsidR="00AF3C47">
        <w:rPr>
          <w:rFonts w:cs="Arial" w:hint="cs"/>
          <w:u w:val="dotted"/>
          <w:rtl/>
        </w:rPr>
        <w:t xml:space="preserve">סתם </w:t>
      </w:r>
      <w:r w:rsidRPr="005E4504">
        <w:rPr>
          <w:rFonts w:cs="Arial"/>
          <w:u w:val="dotted"/>
          <w:rtl/>
        </w:rPr>
        <w:t>הדיוטות</w:t>
      </w:r>
      <w:r w:rsidRPr="005E4504">
        <w:rPr>
          <w:rFonts w:cs="Arial" w:hint="cs"/>
          <w:u w:val="dotted"/>
          <w:rtl/>
        </w:rPr>
        <w:t>:</w:t>
      </w:r>
      <w:r w:rsidRPr="00F03CB0">
        <w:rPr>
          <w:rFonts w:cs="Arial"/>
          <w:rtl/>
        </w:rPr>
        <w:t xml:space="preserve"> </w:t>
      </w:r>
      <w:r>
        <w:rPr>
          <w:rFonts w:cs="Arial" w:hint="cs"/>
          <w:sz w:val="16"/>
          <w:szCs w:val="16"/>
          <w:rtl/>
        </w:rPr>
        <w:t xml:space="preserve"> </w:t>
      </w:r>
      <w:r w:rsidRPr="005E4504">
        <w:rPr>
          <w:rFonts w:cs="Arial"/>
          <w:sz w:val="16"/>
          <w:szCs w:val="16"/>
          <w:rtl/>
        </w:rPr>
        <w:t>(</w:t>
      </w:r>
      <w:r w:rsidRPr="005E4504">
        <w:rPr>
          <w:rFonts w:cs="Arial" w:hint="cs"/>
          <w:sz w:val="16"/>
          <w:szCs w:val="16"/>
          <w:rtl/>
        </w:rPr>
        <w:t xml:space="preserve">דרכ"מ אות </w:t>
      </w:r>
      <w:r w:rsidRPr="005E4504">
        <w:rPr>
          <w:rFonts w:cs="Arial"/>
          <w:sz w:val="16"/>
          <w:szCs w:val="16"/>
          <w:rtl/>
        </w:rPr>
        <w:t>א)</w:t>
      </w:r>
    </w:p>
    <w:p w14:paraId="156DB9DF" w14:textId="77777777" w:rsidR="005832AC" w:rsidRDefault="005E4504" w:rsidP="00C704CB">
      <w:pPr>
        <w:pStyle w:val="ac"/>
        <w:numPr>
          <w:ilvl w:val="0"/>
          <w:numId w:val="10"/>
        </w:numPr>
        <w:rPr>
          <w:rFonts w:cs="Arial"/>
        </w:rPr>
      </w:pPr>
      <w:r>
        <w:rPr>
          <w:rFonts w:cs="Arial" w:hint="cs"/>
          <w:rtl/>
        </w:rPr>
        <w:t xml:space="preserve">נמוק"י </w:t>
      </w:r>
      <w:r w:rsidRPr="005E4504">
        <w:rPr>
          <w:rFonts w:cs="Arial" w:hint="cs"/>
          <w:sz w:val="16"/>
          <w:szCs w:val="16"/>
          <w:rtl/>
        </w:rPr>
        <w:t>(</w:t>
      </w:r>
      <w:r w:rsidRPr="005E4504">
        <w:rPr>
          <w:rFonts w:cs="Arial"/>
          <w:sz w:val="16"/>
          <w:szCs w:val="16"/>
          <w:rtl/>
        </w:rPr>
        <w:t>ר</w:t>
      </w:r>
      <w:r w:rsidRPr="005E4504">
        <w:rPr>
          <w:rFonts w:cs="Arial" w:hint="cs"/>
          <w:sz w:val="16"/>
          <w:szCs w:val="16"/>
          <w:rtl/>
        </w:rPr>
        <w:t>"פ</w:t>
      </w:r>
      <w:r w:rsidRPr="005E4504">
        <w:rPr>
          <w:rFonts w:cs="Arial"/>
          <w:sz w:val="16"/>
          <w:szCs w:val="16"/>
          <w:rtl/>
        </w:rPr>
        <w:t xml:space="preserve"> זה בורר ג</w:t>
      </w:r>
      <w:r w:rsidRPr="005E4504">
        <w:rPr>
          <w:rFonts w:cs="Arial" w:hint="cs"/>
          <w:sz w:val="16"/>
          <w:szCs w:val="16"/>
          <w:rtl/>
        </w:rPr>
        <w:t>:</w:t>
      </w:r>
      <w:r w:rsidRPr="005E4504">
        <w:rPr>
          <w:rFonts w:cs="Arial"/>
          <w:sz w:val="16"/>
          <w:szCs w:val="16"/>
          <w:rtl/>
        </w:rPr>
        <w:t>)</w:t>
      </w:r>
      <w:r w:rsidRPr="00F03CB0">
        <w:rPr>
          <w:rFonts w:cs="Arial"/>
          <w:rtl/>
        </w:rPr>
        <w:t xml:space="preserve"> בשם האחרונים</w:t>
      </w:r>
      <w:r>
        <w:rPr>
          <w:rFonts w:cs="Arial" w:hint="cs"/>
          <w:rtl/>
        </w:rPr>
        <w:t>-</w:t>
      </w:r>
      <w:r w:rsidRPr="00F03CB0">
        <w:rPr>
          <w:rFonts w:cs="Arial"/>
          <w:rtl/>
        </w:rPr>
        <w:t xml:space="preserve"> אם התובע רוצה לדון לפני ערכאות</w:t>
      </w:r>
      <w:r w:rsidR="00AF3C47">
        <w:rPr>
          <w:rStyle w:val="ab"/>
          <w:rFonts w:cs="Arial"/>
          <w:rtl/>
        </w:rPr>
        <w:footnoteReference w:id="755"/>
      </w:r>
      <w:r w:rsidR="00001C1F">
        <w:rPr>
          <w:rFonts w:cs="Arial" w:hint="cs"/>
          <w:rtl/>
        </w:rPr>
        <w:t>,</w:t>
      </w:r>
      <w:r w:rsidRPr="00F03CB0">
        <w:rPr>
          <w:rFonts w:cs="Arial"/>
          <w:rtl/>
        </w:rPr>
        <w:t xml:space="preserve"> והלוה אומר לדון כאן לפני הדיוטות </w:t>
      </w:r>
      <w:r w:rsidR="00001C1F">
        <w:rPr>
          <w:rFonts w:cs="Arial" w:hint="cs"/>
          <w:rtl/>
        </w:rPr>
        <w:t xml:space="preserve">- </w:t>
      </w:r>
      <w:r w:rsidRPr="00F03CB0">
        <w:rPr>
          <w:rFonts w:cs="Arial"/>
          <w:rtl/>
        </w:rPr>
        <w:t>אפשר דשומעין לו</w:t>
      </w:r>
      <w:r>
        <w:rPr>
          <w:rFonts w:cs="Arial" w:hint="cs"/>
          <w:rtl/>
        </w:rPr>
        <w:t>,</w:t>
      </w:r>
      <w:r w:rsidRPr="00F03CB0">
        <w:rPr>
          <w:rFonts w:cs="Arial"/>
          <w:rtl/>
        </w:rPr>
        <w:t xml:space="preserve"> דערכאות עדיפי טפי מהדיוטות הואיל ורגילין לדון</w:t>
      </w:r>
      <w:r w:rsidR="00630424">
        <w:rPr>
          <w:rFonts w:cs="Arial" w:hint="cs"/>
          <w:rtl/>
        </w:rPr>
        <w:t>.</w:t>
      </w:r>
      <w:r w:rsidRPr="00F03CB0">
        <w:rPr>
          <w:rFonts w:cs="Arial"/>
          <w:rtl/>
        </w:rPr>
        <w:t xml:space="preserve"> אבל אם טוען הלוה לילך </w:t>
      </w:r>
      <w:r w:rsidRPr="00F03CB0">
        <w:rPr>
          <w:rFonts w:cs="Arial"/>
          <w:rtl/>
        </w:rPr>
        <w:lastRenderedPageBreak/>
        <w:t xml:space="preserve">לפני ערכאות </w:t>
      </w:r>
      <w:r w:rsidR="00630424">
        <w:rPr>
          <w:rFonts w:cs="Arial" w:hint="cs"/>
          <w:rtl/>
        </w:rPr>
        <w:t xml:space="preserve">- </w:t>
      </w:r>
      <w:r w:rsidRPr="00F03CB0">
        <w:rPr>
          <w:rFonts w:cs="Arial"/>
          <w:rtl/>
        </w:rPr>
        <w:t>אין שומעין לו</w:t>
      </w:r>
      <w:r w:rsidR="00630424">
        <w:rPr>
          <w:rFonts w:cs="Arial" w:hint="cs"/>
          <w:rtl/>
        </w:rPr>
        <w:t>.</w:t>
      </w:r>
      <w:r w:rsidR="00BC406B">
        <w:rPr>
          <w:rFonts w:cs="Arial" w:hint="cs"/>
          <w:rtl/>
        </w:rPr>
        <w:t xml:space="preserve"> והני מילי כשהערכאות הן בעיר אחרת אבל כשהן באותה העיר </w:t>
      </w:r>
      <w:r w:rsidR="00630424">
        <w:rPr>
          <w:rFonts w:cs="Arial" w:hint="cs"/>
          <w:rtl/>
        </w:rPr>
        <w:t xml:space="preserve">- </w:t>
      </w:r>
      <w:r w:rsidR="00BC406B">
        <w:rPr>
          <w:rFonts w:cs="Arial" w:hint="cs"/>
          <w:rtl/>
        </w:rPr>
        <w:t>שומעין למאן דבעי ערכאות ואפילו לוה דאמר מאי קא מטרחנא לך</w:t>
      </w:r>
      <w:r w:rsidRPr="00F03CB0">
        <w:rPr>
          <w:rFonts w:cs="Arial"/>
          <w:rtl/>
        </w:rPr>
        <w:t>.</w:t>
      </w:r>
    </w:p>
    <w:p w14:paraId="2D806865" w14:textId="77777777" w:rsidR="00E54AB9" w:rsidRDefault="00E54AB9" w:rsidP="00610032">
      <w:pPr>
        <w:ind w:left="360"/>
        <w:rPr>
          <w:rFonts w:cs="Arial"/>
          <w:rtl/>
        </w:rPr>
      </w:pPr>
      <w:r>
        <w:rPr>
          <w:rFonts w:cs="Arial" w:hint="cs"/>
          <w:u w:val="dotted"/>
          <w:rtl/>
        </w:rPr>
        <w:t>כש</w:t>
      </w:r>
      <w:r w:rsidRPr="00E54AB9">
        <w:rPr>
          <w:rFonts w:cs="Arial" w:hint="cs"/>
          <w:u w:val="dotted"/>
          <w:rtl/>
        </w:rPr>
        <w:t>אחד מבעלי הדין הוא מגדולי העיר:</w:t>
      </w:r>
    </w:p>
    <w:p w14:paraId="3231B000" w14:textId="77777777" w:rsidR="00E54AB9" w:rsidRDefault="00E54AB9" w:rsidP="00C704CB">
      <w:pPr>
        <w:pStyle w:val="ac"/>
        <w:numPr>
          <w:ilvl w:val="0"/>
          <w:numId w:val="10"/>
        </w:numPr>
      </w:pPr>
      <w:r w:rsidRPr="003804EF">
        <w:rPr>
          <w:rFonts w:cs="Arial"/>
          <w:rtl/>
        </w:rPr>
        <w:t>תשב"ץ</w:t>
      </w:r>
      <w:r>
        <w:rPr>
          <w:rFonts w:cs="Arial" w:hint="cs"/>
          <w:rtl/>
        </w:rPr>
        <w:t xml:space="preserve"> קטן</w:t>
      </w:r>
      <w:r w:rsidRPr="003804EF">
        <w:rPr>
          <w:rFonts w:cs="Arial"/>
          <w:sz w:val="16"/>
          <w:szCs w:val="16"/>
          <w:rtl/>
        </w:rPr>
        <w:t xml:space="preserve"> (סי' תקטו</w:t>
      </w:r>
      <w:r w:rsidR="00873190">
        <w:rPr>
          <w:rFonts w:cs="Arial" w:hint="cs"/>
          <w:sz w:val="16"/>
          <w:szCs w:val="16"/>
          <w:rtl/>
        </w:rPr>
        <w:t>, הביאו ה</w:t>
      </w:r>
      <w:r w:rsidR="00873190" w:rsidRPr="003804EF">
        <w:rPr>
          <w:rFonts w:cs="Arial" w:hint="cs"/>
          <w:sz w:val="16"/>
          <w:szCs w:val="16"/>
          <w:rtl/>
        </w:rPr>
        <w:t>ב"י בבדה"ב</w:t>
      </w:r>
      <w:r w:rsidRPr="003804EF">
        <w:rPr>
          <w:rFonts w:cs="Arial"/>
          <w:sz w:val="16"/>
          <w:szCs w:val="16"/>
          <w:rtl/>
        </w:rPr>
        <w:t>)</w:t>
      </w:r>
      <w:r>
        <w:rPr>
          <w:rFonts w:cs="Arial" w:hint="cs"/>
          <w:rtl/>
        </w:rPr>
        <w:t xml:space="preserve">- </w:t>
      </w:r>
      <w:r w:rsidRPr="003804EF">
        <w:rPr>
          <w:rFonts w:cs="Arial"/>
          <w:rtl/>
        </w:rPr>
        <w:t>נשאלתי על אחד שהזמינוהו לדין גדולי העיר ופרנסיה אשר כל דברי העיר נחתם על פיהם</w:t>
      </w:r>
      <w:r>
        <w:rPr>
          <w:rFonts w:cs="Arial" w:hint="cs"/>
          <w:rtl/>
        </w:rPr>
        <w:t>,</w:t>
      </w:r>
      <w:r w:rsidRPr="003804EF">
        <w:rPr>
          <w:rFonts w:cs="Arial"/>
          <w:rtl/>
        </w:rPr>
        <w:t xml:space="preserve"> והנידון אומר איך אדון בעיר הזאת והלא אימתכם מוטלת על הדיינים וגם טענותי יסתתמו לפניכם</w:t>
      </w:r>
      <w:r w:rsidR="00AF3C47">
        <w:rPr>
          <w:rFonts w:cs="Arial" w:hint="cs"/>
          <w:rtl/>
        </w:rPr>
        <w:t>.</w:t>
      </w:r>
      <w:r w:rsidRPr="003804EF">
        <w:rPr>
          <w:rFonts w:cs="Arial"/>
          <w:rtl/>
        </w:rPr>
        <w:t xml:space="preserve"> אמרתי כי טוב הדבר על הדיינים ועל הנידונים לילך במקום הסמוך</w:t>
      </w:r>
      <w:r>
        <w:rPr>
          <w:rFonts w:cs="Arial" w:hint="cs"/>
          <w:rtl/>
        </w:rPr>
        <w:t>,</w:t>
      </w:r>
      <w:r w:rsidRPr="003804EF">
        <w:rPr>
          <w:rFonts w:cs="Arial"/>
          <w:rtl/>
        </w:rPr>
        <w:t xml:space="preserve"> וכיוצא בזה ראיתי את רבי זקני שהתיר לנדיב רבי אליעזר שלא לבא לדין עם הנדיב רבי אברהם טרליויש מפני שהיה ראש העיר וכולם נשמעים אליו</w:t>
      </w:r>
      <w:r>
        <w:rPr>
          <w:rFonts w:cs="Arial" w:hint="cs"/>
          <w:rtl/>
        </w:rPr>
        <w:t>,</w:t>
      </w:r>
      <w:r w:rsidRPr="003804EF">
        <w:rPr>
          <w:rFonts w:cs="Arial"/>
          <w:rtl/>
        </w:rPr>
        <w:t xml:space="preserve"> ורבינו שמשון ב"ר אברהם התיר לחתנו הדר בטריויש שלא לבא בדין בטריויש מפני כיוצא בזה</w:t>
      </w:r>
      <w:r>
        <w:rPr>
          <w:rFonts w:cs="Arial" w:hint="cs"/>
          <w:rtl/>
        </w:rPr>
        <w:t>,</w:t>
      </w:r>
      <w:r w:rsidRPr="003804EF">
        <w:rPr>
          <w:rFonts w:cs="Arial"/>
          <w:rtl/>
        </w:rPr>
        <w:t xml:space="preserve"> וגם רבינו יהודה מפרי"ש עשה כן לה"ר יום טוב בן הנדיב ה"ר אליעזר</w:t>
      </w:r>
      <w:r>
        <w:rPr>
          <w:rFonts w:cs="Arial" w:hint="cs"/>
          <w:rtl/>
        </w:rPr>
        <w:t>,</w:t>
      </w:r>
      <w:r w:rsidRPr="003804EF">
        <w:rPr>
          <w:rFonts w:cs="Arial"/>
          <w:rtl/>
        </w:rPr>
        <w:t xml:space="preserve"> ואמרתי מזקנים אתבונן ומהם אלמוד</w:t>
      </w:r>
      <w:r w:rsidR="00AF3C47">
        <w:rPr>
          <w:rFonts w:cs="Arial" w:hint="cs"/>
          <w:rtl/>
        </w:rPr>
        <w:t>,</w:t>
      </w:r>
      <w:r w:rsidRPr="003804EF">
        <w:rPr>
          <w:rFonts w:cs="Arial"/>
          <w:rtl/>
        </w:rPr>
        <w:t xml:space="preserve"> כי טובה צפרנן של ראשונים מכריסן של אחרונים</w:t>
      </w:r>
      <w:r w:rsidR="00AF3C47">
        <w:rPr>
          <w:rFonts w:cs="Arial" w:hint="cs"/>
          <w:rtl/>
        </w:rPr>
        <w:t>,</w:t>
      </w:r>
      <w:r w:rsidRPr="003804EF">
        <w:rPr>
          <w:rFonts w:cs="Arial"/>
          <w:rtl/>
        </w:rPr>
        <w:t xml:space="preserve"> ויבררו דרך ישרה במקום הגון לנידונים כדי שיצא דין אמת לאמתו ואיש על מקומו יבא בשלום</w:t>
      </w:r>
      <w:r w:rsidR="00AF3C47">
        <w:rPr>
          <w:rFonts w:cs="Arial" w:hint="cs"/>
          <w:rtl/>
        </w:rPr>
        <w:t>,</w:t>
      </w:r>
      <w:r w:rsidRPr="003804EF">
        <w:rPr>
          <w:rFonts w:cs="Arial"/>
          <w:rtl/>
        </w:rPr>
        <w:t xml:space="preserve"> שמואל בן הרב ה"ר אלחנן ז"ל</w:t>
      </w:r>
      <w:r>
        <w:rPr>
          <w:rFonts w:cs="Arial" w:hint="cs"/>
          <w:rtl/>
        </w:rPr>
        <w:t>.</w:t>
      </w:r>
    </w:p>
    <w:p w14:paraId="3739CA84" w14:textId="77777777" w:rsidR="00873190" w:rsidRDefault="00873190" w:rsidP="00C704CB">
      <w:pPr>
        <w:pStyle w:val="ac"/>
        <w:numPr>
          <w:ilvl w:val="0"/>
          <w:numId w:val="10"/>
        </w:numPr>
      </w:pPr>
      <w:r>
        <w:rPr>
          <w:rFonts w:cs="Arial" w:hint="cs"/>
          <w:rtl/>
        </w:rPr>
        <w:t xml:space="preserve">ב"ז </w:t>
      </w:r>
      <w:r w:rsidRPr="00873190">
        <w:rPr>
          <w:rFonts w:cs="Arial" w:hint="cs"/>
          <w:sz w:val="16"/>
          <w:szCs w:val="16"/>
          <w:rtl/>
        </w:rPr>
        <w:t>(</w:t>
      </w:r>
      <w:r w:rsidRPr="00873190">
        <w:rPr>
          <w:rFonts w:cs="Arial"/>
          <w:sz w:val="16"/>
          <w:szCs w:val="16"/>
          <w:rtl/>
        </w:rPr>
        <w:t>סי</w:t>
      </w:r>
      <w:r w:rsidRPr="00873190">
        <w:rPr>
          <w:rFonts w:cs="Arial" w:hint="cs"/>
          <w:sz w:val="16"/>
          <w:szCs w:val="16"/>
          <w:rtl/>
        </w:rPr>
        <w:t>'</w:t>
      </w:r>
      <w:r w:rsidRPr="00873190">
        <w:rPr>
          <w:rFonts w:cs="Arial"/>
          <w:sz w:val="16"/>
          <w:szCs w:val="16"/>
          <w:rtl/>
        </w:rPr>
        <w:t xml:space="preserve"> תיח</w:t>
      </w:r>
      <w:r>
        <w:rPr>
          <w:rFonts w:cs="Arial" w:hint="cs"/>
          <w:sz w:val="16"/>
          <w:szCs w:val="16"/>
          <w:rtl/>
        </w:rPr>
        <w:t>, הביאו הדרכ"מ</w:t>
      </w:r>
      <w:r w:rsidRPr="00DC70A1">
        <w:rPr>
          <w:rFonts w:cs="Arial" w:hint="cs"/>
          <w:sz w:val="14"/>
          <w:szCs w:val="14"/>
          <w:rtl/>
        </w:rPr>
        <w:t xml:space="preserve"> [סי' יז אות א]</w:t>
      </w:r>
      <w:r w:rsidRPr="00873190">
        <w:rPr>
          <w:rFonts w:cs="Arial" w:hint="cs"/>
          <w:sz w:val="16"/>
          <w:szCs w:val="16"/>
          <w:rtl/>
        </w:rPr>
        <w:t>)</w:t>
      </w:r>
      <w:r>
        <w:rPr>
          <w:rFonts w:cs="Arial" w:hint="cs"/>
          <w:rtl/>
        </w:rPr>
        <w:t>-</w:t>
      </w:r>
      <w:r w:rsidRPr="00873190">
        <w:rPr>
          <w:rFonts w:cs="Arial"/>
          <w:rtl/>
        </w:rPr>
        <w:t xml:space="preserve"> אעתיק לך תשו</w:t>
      </w:r>
      <w:r>
        <w:rPr>
          <w:rFonts w:cs="Arial" w:hint="cs"/>
          <w:rtl/>
        </w:rPr>
        <w:t>ב</w:t>
      </w:r>
      <w:r w:rsidR="00DC70A1">
        <w:rPr>
          <w:rFonts w:cs="Arial" w:hint="cs"/>
          <w:rtl/>
        </w:rPr>
        <w:t>ה</w:t>
      </w:r>
      <w:r w:rsidRPr="00873190">
        <w:rPr>
          <w:rFonts w:cs="Arial"/>
          <w:rtl/>
        </w:rPr>
        <w:t xml:space="preserve"> שמצאתי מועתקת בשם המרדכי וז"ל קבלה מפי גדולים כאשר עשיר מוחזק </w:t>
      </w:r>
      <w:r>
        <w:rPr>
          <w:rFonts w:cs="Arial" w:hint="cs"/>
          <w:rtl/>
        </w:rPr>
        <w:t>[</w:t>
      </w:r>
      <w:r>
        <w:rPr>
          <w:rStyle w:val="ab"/>
          <w:rFonts w:cs="Arial"/>
          <w:rtl/>
        </w:rPr>
        <w:footnoteReference w:id="756"/>
      </w:r>
      <w:r>
        <w:rPr>
          <w:rFonts w:cs="Arial" w:hint="cs"/>
          <w:rtl/>
        </w:rPr>
        <w:t xml:space="preserve">לאלם] </w:t>
      </w:r>
      <w:r w:rsidRPr="00873190">
        <w:rPr>
          <w:rFonts w:cs="Arial"/>
          <w:rtl/>
        </w:rPr>
        <w:t>מוציאין אותו ממקומו</w:t>
      </w:r>
      <w:r w:rsidR="00AF3C47">
        <w:rPr>
          <w:rFonts w:cs="Arial" w:hint="cs"/>
          <w:rtl/>
        </w:rPr>
        <w:t>,</w:t>
      </w:r>
      <w:r w:rsidRPr="00873190">
        <w:rPr>
          <w:rFonts w:cs="Arial"/>
          <w:rtl/>
        </w:rPr>
        <w:t xml:space="preserve"> וזה היה מעש</w:t>
      </w:r>
      <w:r w:rsidR="00AF3C47">
        <w:rPr>
          <w:rFonts w:cs="Arial" w:hint="cs"/>
          <w:rtl/>
        </w:rPr>
        <w:t>ה</w:t>
      </w:r>
      <w:r w:rsidRPr="00873190">
        <w:rPr>
          <w:rFonts w:cs="Arial"/>
          <w:rtl/>
        </w:rPr>
        <w:t xml:space="preserve"> בטרוייש והוציא ר"ת ורבינו שמואל הר"ר וויילן מטרוייש לדון בעיר אחרת</w:t>
      </w:r>
      <w:r w:rsidR="00AF3C47">
        <w:rPr>
          <w:rFonts w:cs="Arial" w:hint="cs"/>
          <w:rtl/>
        </w:rPr>
        <w:t xml:space="preserve">, </w:t>
      </w:r>
      <w:r w:rsidRPr="00873190">
        <w:rPr>
          <w:rFonts w:cs="Arial"/>
          <w:rtl/>
        </w:rPr>
        <w:t>ואני הצעיר ראיתי בטרוייש שהכריחוהו לה"ר יצחק דמנטרין לצאת מעיר אלוצא ולדון בב"ד אחר</w:t>
      </w:r>
      <w:r w:rsidR="008853E8">
        <w:rPr>
          <w:rFonts w:cs="Arial" w:hint="cs"/>
          <w:rtl/>
        </w:rPr>
        <w:t>,</w:t>
      </w:r>
      <w:r w:rsidRPr="00873190">
        <w:rPr>
          <w:rFonts w:cs="Arial"/>
          <w:rtl/>
        </w:rPr>
        <w:t xml:space="preserve"> וגם חתנו</w:t>
      </w:r>
      <w:r w:rsidR="008853E8">
        <w:rPr>
          <w:rFonts w:cs="Arial" w:hint="cs"/>
          <w:rtl/>
        </w:rPr>
        <w:t>,</w:t>
      </w:r>
      <w:r w:rsidRPr="00873190">
        <w:rPr>
          <w:rFonts w:cs="Arial"/>
          <w:rtl/>
        </w:rPr>
        <w:t xml:space="preserve"> אע</w:t>
      </w:r>
      <w:r>
        <w:rPr>
          <w:rFonts w:cs="Arial" w:hint="cs"/>
          <w:rtl/>
        </w:rPr>
        <w:t>"</w:t>
      </w:r>
      <w:r w:rsidRPr="00873190">
        <w:rPr>
          <w:rFonts w:cs="Arial"/>
          <w:rtl/>
        </w:rPr>
        <w:t>פ שב"ד אלוצא קדום מאד ונקברו בו גדולי מני ואלוצא</w:t>
      </w:r>
      <w:r w:rsidRPr="00873190">
        <w:rPr>
          <w:rFonts w:cs="Arial" w:hint="cs"/>
          <w:rtl/>
        </w:rPr>
        <w:t>.</w:t>
      </w:r>
      <w:r w:rsidRPr="00873190">
        <w:rPr>
          <w:rFonts w:cs="Arial" w:hint="cs"/>
          <w:color w:val="00B0F0"/>
          <w:rtl/>
        </w:rPr>
        <w:t xml:space="preserve"> </w:t>
      </w:r>
      <w:r w:rsidRPr="00EA22B2">
        <w:rPr>
          <w:rFonts w:cs="Arial" w:hint="cs"/>
          <w:color w:val="00B0F0"/>
          <w:rtl/>
        </w:rPr>
        <w:t>(וכ"פ הרמ"א)</w:t>
      </w:r>
    </w:p>
    <w:p w14:paraId="3F1AED9D" w14:textId="77777777" w:rsidR="00F21038" w:rsidRPr="00F21038" w:rsidRDefault="00F21038" w:rsidP="00610032">
      <w:pPr>
        <w:ind w:left="360"/>
        <w:rPr>
          <w:u w:val="dotted"/>
        </w:rPr>
      </w:pPr>
      <w:r>
        <w:rPr>
          <w:rFonts w:hint="cs"/>
          <w:u w:val="dotted"/>
          <w:rtl/>
        </w:rPr>
        <w:t xml:space="preserve">כשבית הדין סמוך לעירם תוך שלוש פרסאות: </w:t>
      </w:r>
    </w:p>
    <w:p w14:paraId="071A7AB4" w14:textId="77777777" w:rsidR="00610032" w:rsidRDefault="00F21038" w:rsidP="00C704CB">
      <w:pPr>
        <w:pStyle w:val="ac"/>
        <w:numPr>
          <w:ilvl w:val="0"/>
          <w:numId w:val="10"/>
        </w:numPr>
      </w:pPr>
      <w:r>
        <w:rPr>
          <w:rFonts w:cs="Arial"/>
          <w:rtl/>
        </w:rPr>
        <w:t>רשב"א</w:t>
      </w:r>
      <w:r w:rsidRPr="00F21038">
        <w:rPr>
          <w:rFonts w:cs="Arial"/>
          <w:sz w:val="16"/>
          <w:szCs w:val="16"/>
          <w:rtl/>
        </w:rPr>
        <w:t xml:space="preserve"> </w:t>
      </w:r>
      <w:r w:rsidRPr="00F21038">
        <w:rPr>
          <w:rFonts w:cs="Arial" w:hint="cs"/>
          <w:sz w:val="16"/>
          <w:szCs w:val="16"/>
          <w:rtl/>
        </w:rPr>
        <w:t>(ב</w:t>
      </w:r>
      <w:r w:rsidRPr="00F21038">
        <w:rPr>
          <w:rFonts w:cs="Arial"/>
          <w:sz w:val="16"/>
          <w:szCs w:val="16"/>
          <w:rtl/>
        </w:rPr>
        <w:t>מיוחסות סי</w:t>
      </w:r>
      <w:r w:rsidRPr="00F21038">
        <w:rPr>
          <w:rFonts w:cs="Arial" w:hint="cs"/>
          <w:sz w:val="16"/>
          <w:szCs w:val="16"/>
          <w:rtl/>
        </w:rPr>
        <w:t>'</w:t>
      </w:r>
      <w:r w:rsidRPr="00F21038">
        <w:rPr>
          <w:rFonts w:cs="Arial"/>
          <w:sz w:val="16"/>
          <w:szCs w:val="16"/>
          <w:rtl/>
        </w:rPr>
        <w:t xml:space="preserve"> מז</w:t>
      </w:r>
      <w:r w:rsidRPr="00F21038">
        <w:rPr>
          <w:rFonts w:cs="Arial" w:hint="cs"/>
          <w:sz w:val="16"/>
          <w:szCs w:val="16"/>
          <w:rtl/>
        </w:rPr>
        <w:t>)</w:t>
      </w:r>
      <w:r>
        <w:rPr>
          <w:rFonts w:cs="Arial" w:hint="cs"/>
          <w:rtl/>
        </w:rPr>
        <w:t xml:space="preserve">- </w:t>
      </w:r>
      <w:r>
        <w:rPr>
          <w:rFonts w:cs="Arial"/>
          <w:rtl/>
        </w:rPr>
        <w:t>אילו היה בית דין יפה סמוך לעירם תוך שלש פרסאות</w:t>
      </w:r>
      <w:r>
        <w:rPr>
          <w:rFonts w:cs="Arial" w:hint="cs"/>
          <w:rtl/>
        </w:rPr>
        <w:t>,</w:t>
      </w:r>
      <w:r>
        <w:rPr>
          <w:rFonts w:cs="Arial"/>
          <w:rtl/>
        </w:rPr>
        <w:t xml:space="preserve"> אי נמי שאין בעירם יודע הדין</w:t>
      </w:r>
      <w:r>
        <w:rPr>
          <w:rFonts w:cs="Arial" w:hint="cs"/>
          <w:rtl/>
        </w:rPr>
        <w:t>,</w:t>
      </w:r>
      <w:r>
        <w:rPr>
          <w:rFonts w:cs="Arial"/>
          <w:rtl/>
        </w:rPr>
        <w:t xml:space="preserve"> אף ללוה שומעין לומר נלך לבית דין היפה סמוך לנו</w:t>
      </w:r>
      <w:r>
        <w:rPr>
          <w:rStyle w:val="ab"/>
          <w:rFonts w:cs="Arial"/>
          <w:rtl/>
        </w:rPr>
        <w:footnoteReference w:id="757"/>
      </w:r>
      <w:r>
        <w:rPr>
          <w:rFonts w:cs="Arial" w:hint="cs"/>
          <w:rtl/>
        </w:rPr>
        <w:t>.</w:t>
      </w:r>
    </w:p>
    <w:p w14:paraId="1DE1F6A0" w14:textId="77777777" w:rsidR="00610032" w:rsidRPr="00610032" w:rsidRDefault="00610032" w:rsidP="00610032">
      <w:pPr>
        <w:ind w:left="360"/>
      </w:pPr>
      <w:r>
        <w:rPr>
          <w:rFonts w:hint="cs"/>
          <w:u w:val="dotted"/>
          <w:rtl/>
        </w:rPr>
        <w:t xml:space="preserve">כשנזדמן </w:t>
      </w:r>
      <w:r w:rsidRPr="00610032">
        <w:rPr>
          <w:rFonts w:hint="cs"/>
          <w:b/>
          <w:bCs/>
          <w:u w:val="dotted"/>
          <w:rtl/>
        </w:rPr>
        <w:t>המלוה</w:t>
      </w:r>
      <w:r>
        <w:rPr>
          <w:rFonts w:hint="cs"/>
          <w:u w:val="dotted"/>
          <w:rtl/>
        </w:rPr>
        <w:t xml:space="preserve"> למקום </w:t>
      </w:r>
      <w:r w:rsidR="00A72152">
        <w:rPr>
          <w:rFonts w:hint="cs"/>
          <w:u w:val="dotted"/>
          <w:rtl/>
        </w:rPr>
        <w:t>ה</w:t>
      </w:r>
      <w:r>
        <w:rPr>
          <w:rFonts w:hint="cs"/>
          <w:u w:val="dotted"/>
          <w:rtl/>
        </w:rPr>
        <w:t>בית דין יפה:</w:t>
      </w:r>
    </w:p>
    <w:p w14:paraId="00BF2A8D" w14:textId="77777777" w:rsidR="00F21038" w:rsidRDefault="00610032" w:rsidP="00C704CB">
      <w:pPr>
        <w:pStyle w:val="ac"/>
        <w:numPr>
          <w:ilvl w:val="0"/>
          <w:numId w:val="10"/>
        </w:numPr>
      </w:pPr>
      <w:r>
        <w:rPr>
          <w:rFonts w:cs="Arial"/>
          <w:rtl/>
        </w:rPr>
        <w:t>רשב"א</w:t>
      </w:r>
      <w:r w:rsidRPr="00F21038">
        <w:rPr>
          <w:rFonts w:cs="Arial"/>
          <w:sz w:val="16"/>
          <w:szCs w:val="16"/>
          <w:rtl/>
        </w:rPr>
        <w:t xml:space="preserve"> </w:t>
      </w:r>
      <w:r w:rsidRPr="00F21038">
        <w:rPr>
          <w:rFonts w:cs="Arial" w:hint="cs"/>
          <w:sz w:val="16"/>
          <w:szCs w:val="16"/>
          <w:rtl/>
        </w:rPr>
        <w:t>(ב</w:t>
      </w:r>
      <w:r w:rsidRPr="00F21038">
        <w:rPr>
          <w:rFonts w:cs="Arial"/>
          <w:sz w:val="16"/>
          <w:szCs w:val="16"/>
          <w:rtl/>
        </w:rPr>
        <w:t>מיוחסות סי</w:t>
      </w:r>
      <w:r w:rsidRPr="00F21038">
        <w:rPr>
          <w:rFonts w:cs="Arial" w:hint="cs"/>
          <w:sz w:val="16"/>
          <w:szCs w:val="16"/>
          <w:rtl/>
        </w:rPr>
        <w:t>'</w:t>
      </w:r>
      <w:r w:rsidRPr="00F21038">
        <w:rPr>
          <w:rFonts w:cs="Arial"/>
          <w:sz w:val="16"/>
          <w:szCs w:val="16"/>
          <w:rtl/>
        </w:rPr>
        <w:t xml:space="preserve"> מז</w:t>
      </w:r>
      <w:r w:rsidRPr="00F21038">
        <w:rPr>
          <w:rFonts w:cs="Arial" w:hint="cs"/>
          <w:sz w:val="16"/>
          <w:szCs w:val="16"/>
          <w:rtl/>
        </w:rPr>
        <w:t>)</w:t>
      </w:r>
      <w:r>
        <w:rPr>
          <w:rFonts w:cs="Arial" w:hint="cs"/>
          <w:rtl/>
        </w:rPr>
        <w:t xml:space="preserve">- </w:t>
      </w:r>
      <w:r w:rsidR="00F21038">
        <w:rPr>
          <w:rFonts w:cs="Arial"/>
          <w:rtl/>
        </w:rPr>
        <w:t>אלו נזדמן למלוה דרך למקום הבית דין יפה</w:t>
      </w:r>
      <w:r w:rsidR="00630424">
        <w:rPr>
          <w:rFonts w:cs="Arial" w:hint="cs"/>
          <w:rtl/>
        </w:rPr>
        <w:t xml:space="preserve">, </w:t>
      </w:r>
      <w:r w:rsidR="00F21038">
        <w:rPr>
          <w:rFonts w:cs="Arial"/>
          <w:rtl/>
        </w:rPr>
        <w:t xml:space="preserve">יכול הלוה לעכב ולומר </w:t>
      </w:r>
      <w:r w:rsidR="00630424">
        <w:rPr>
          <w:rFonts w:cs="Arial" w:hint="cs"/>
          <w:rtl/>
        </w:rPr>
        <w:t>'</w:t>
      </w:r>
      <w:r w:rsidR="00F21038">
        <w:rPr>
          <w:rFonts w:cs="Arial"/>
          <w:rtl/>
        </w:rPr>
        <w:t>הרי אתה הולך למקום בית דין יפה ואינך צריך על דיני לא טורח ולא הוצאה</w:t>
      </w:r>
      <w:r w:rsidR="00630424">
        <w:rPr>
          <w:rFonts w:cs="Arial" w:hint="cs"/>
          <w:rtl/>
        </w:rPr>
        <w:t>'</w:t>
      </w:r>
      <w:r w:rsidR="00F21038">
        <w:rPr>
          <w:rFonts w:cs="Arial"/>
          <w:rtl/>
        </w:rPr>
        <w:t xml:space="preserve"> </w:t>
      </w:r>
      <w:r w:rsidR="00A72152">
        <w:rPr>
          <w:rFonts w:cs="Arial" w:hint="cs"/>
          <w:rtl/>
        </w:rPr>
        <w:t xml:space="preserve">- </w:t>
      </w:r>
      <w:r w:rsidR="00F21038">
        <w:rPr>
          <w:rFonts w:cs="Arial"/>
          <w:rtl/>
        </w:rPr>
        <w:t>שומעין לו</w:t>
      </w:r>
      <w:r w:rsidR="00F21038">
        <w:rPr>
          <w:rStyle w:val="ab"/>
          <w:rFonts w:cs="Arial"/>
          <w:rtl/>
        </w:rPr>
        <w:footnoteReference w:id="758"/>
      </w:r>
      <w:r w:rsidR="00F21038">
        <w:rPr>
          <w:rFonts w:cs="Arial" w:hint="cs"/>
          <w:rtl/>
        </w:rPr>
        <w:t>.</w:t>
      </w:r>
      <w:r w:rsidR="00277EE8">
        <w:rPr>
          <w:rFonts w:hint="cs"/>
          <w:rtl/>
        </w:rPr>
        <w:t xml:space="preserve"> (וכ"פ הסמ"ע</w:t>
      </w:r>
      <w:r w:rsidR="00277EE8">
        <w:rPr>
          <w:rFonts w:hint="cs"/>
          <w:sz w:val="16"/>
          <w:szCs w:val="16"/>
          <w:rtl/>
        </w:rPr>
        <w:t xml:space="preserve"> [סק"ז]</w:t>
      </w:r>
      <w:r w:rsidR="00277EE8">
        <w:rPr>
          <w:rFonts w:hint="cs"/>
          <w:rtl/>
        </w:rPr>
        <w:t>)</w:t>
      </w:r>
    </w:p>
    <w:p w14:paraId="40D00F35" w14:textId="77777777" w:rsidR="00A72152" w:rsidRDefault="00A72152" w:rsidP="00A72152">
      <w:pPr>
        <w:ind w:left="360"/>
      </w:pPr>
      <w:r>
        <w:rPr>
          <w:rFonts w:hint="cs"/>
          <w:u w:val="dotted"/>
          <w:rtl/>
        </w:rPr>
        <w:t>בן העיר שתובע לאכסנאי:</w:t>
      </w:r>
    </w:p>
    <w:p w14:paraId="08E42FA3" w14:textId="77777777" w:rsidR="00610032" w:rsidRDefault="00610032" w:rsidP="00C704CB">
      <w:pPr>
        <w:pStyle w:val="ac"/>
        <w:numPr>
          <w:ilvl w:val="0"/>
          <w:numId w:val="10"/>
        </w:numPr>
        <w:rPr>
          <w:rFonts w:cs="Arial"/>
        </w:rPr>
      </w:pPr>
      <w:r w:rsidRPr="00754259">
        <w:rPr>
          <w:rFonts w:cs="Arial"/>
          <w:rtl/>
        </w:rPr>
        <w:t xml:space="preserve">מהרי"ק </w:t>
      </w:r>
      <w:r w:rsidRPr="00F93AAC">
        <w:rPr>
          <w:rFonts w:cs="Arial" w:hint="cs"/>
          <w:sz w:val="16"/>
          <w:szCs w:val="16"/>
          <w:rtl/>
        </w:rPr>
        <w:t>(</w:t>
      </w:r>
      <w:r w:rsidRPr="00F93AAC">
        <w:rPr>
          <w:rFonts w:cs="Arial"/>
          <w:sz w:val="16"/>
          <w:szCs w:val="16"/>
          <w:rtl/>
        </w:rPr>
        <w:t>סי</w:t>
      </w:r>
      <w:r w:rsidRPr="00F93AAC">
        <w:rPr>
          <w:rFonts w:cs="Arial" w:hint="cs"/>
          <w:sz w:val="16"/>
          <w:szCs w:val="16"/>
          <w:rtl/>
        </w:rPr>
        <w:t>'</w:t>
      </w:r>
      <w:r w:rsidRPr="00F93AAC">
        <w:rPr>
          <w:rFonts w:cs="Arial"/>
          <w:sz w:val="16"/>
          <w:szCs w:val="16"/>
          <w:rtl/>
        </w:rPr>
        <w:t xml:space="preserve"> יד ענף ב)</w:t>
      </w:r>
      <w:r>
        <w:rPr>
          <w:rFonts w:cs="Arial" w:hint="cs"/>
          <w:rtl/>
        </w:rPr>
        <w:t>-</w:t>
      </w:r>
      <w:r w:rsidRPr="00754259">
        <w:rPr>
          <w:rFonts w:cs="Arial"/>
          <w:rtl/>
        </w:rPr>
        <w:t xml:space="preserve"> על</w:t>
      </w:r>
      <w:r>
        <w:rPr>
          <w:rFonts w:cs="Arial" w:hint="cs"/>
          <w:rtl/>
        </w:rPr>
        <w:t xml:space="preserve"> דבר </w:t>
      </w:r>
      <w:r w:rsidRPr="00754259">
        <w:rPr>
          <w:rFonts w:cs="Arial"/>
          <w:rtl/>
        </w:rPr>
        <w:t>הרב שרוצה לכוף לדון בעירו הנה מנהג פשוט הוא בין האשכנזים כשמוצא בעל דינו במקום שיש שם בית דין שמכריחו לדון שם</w:t>
      </w:r>
      <w:r>
        <w:rPr>
          <w:rFonts w:cs="Arial" w:hint="cs"/>
          <w:rtl/>
        </w:rPr>
        <w:t>.</w:t>
      </w:r>
      <w:r w:rsidRPr="00754259">
        <w:rPr>
          <w:rFonts w:cs="Arial"/>
          <w:rtl/>
        </w:rPr>
        <w:t xml:space="preserve"> </w:t>
      </w:r>
      <w:r w:rsidR="002A0558" w:rsidRPr="00EA22B2">
        <w:rPr>
          <w:rFonts w:cs="Arial" w:hint="cs"/>
          <w:color w:val="00B0F0"/>
          <w:rtl/>
        </w:rPr>
        <w:t>(וכ"פ הרמ"א)</w:t>
      </w:r>
    </w:p>
    <w:p w14:paraId="350434D1" w14:textId="77777777" w:rsidR="00314F19" w:rsidRPr="00314F19" w:rsidRDefault="00314F19" w:rsidP="00314F19">
      <w:pPr>
        <w:ind w:left="360"/>
        <w:rPr>
          <w:rFonts w:cs="Arial"/>
          <w:u w:val="dotted"/>
        </w:rPr>
      </w:pPr>
      <w:r w:rsidRPr="00314F19">
        <w:rPr>
          <w:rFonts w:cs="Arial" w:hint="cs"/>
          <w:u w:val="dotted"/>
          <w:rtl/>
        </w:rPr>
        <w:t>מקום שקיבלו על עצמם את בית הדין שבמקומם</w:t>
      </w:r>
      <w:r w:rsidR="008260EB">
        <w:rPr>
          <w:rFonts w:cs="Arial" w:hint="cs"/>
          <w:u w:val="dotted"/>
          <w:rtl/>
        </w:rPr>
        <w:t>. וכן לפי מה קובעים לאיזה ב"ד שייכת כל עיירה</w:t>
      </w:r>
      <w:r w:rsidRPr="00314F19">
        <w:rPr>
          <w:rFonts w:cs="Arial" w:hint="cs"/>
          <w:u w:val="dotted"/>
          <w:rtl/>
        </w:rPr>
        <w:t>:</w:t>
      </w:r>
      <w:r w:rsidRPr="00314F19">
        <w:rPr>
          <w:rFonts w:cs="Arial"/>
          <w:rtl/>
        </w:rPr>
        <w:t xml:space="preserve"> </w:t>
      </w:r>
      <w:r w:rsidRPr="00314F19">
        <w:rPr>
          <w:rFonts w:cs="Arial"/>
          <w:sz w:val="16"/>
          <w:szCs w:val="16"/>
          <w:rtl/>
        </w:rPr>
        <w:t>(</w:t>
      </w:r>
      <w:r w:rsidRPr="00314F19">
        <w:rPr>
          <w:rFonts w:cs="Arial" w:hint="cs"/>
          <w:sz w:val="16"/>
          <w:szCs w:val="16"/>
          <w:rtl/>
        </w:rPr>
        <w:t xml:space="preserve">דרכ"מ אות </w:t>
      </w:r>
      <w:r w:rsidRPr="00314F19">
        <w:rPr>
          <w:rFonts w:cs="Arial"/>
          <w:sz w:val="16"/>
          <w:szCs w:val="16"/>
          <w:rtl/>
        </w:rPr>
        <w:t>ח)</w:t>
      </w:r>
    </w:p>
    <w:p w14:paraId="7D6AFD08" w14:textId="77777777" w:rsidR="007E4A45" w:rsidRPr="00AA784E" w:rsidRDefault="00314F19" w:rsidP="00AA784E">
      <w:pPr>
        <w:pStyle w:val="ac"/>
        <w:numPr>
          <w:ilvl w:val="0"/>
          <w:numId w:val="10"/>
        </w:numPr>
        <w:rPr>
          <w:rFonts w:cs="Arial"/>
          <w:rtl/>
        </w:rPr>
      </w:pPr>
      <w:r w:rsidRPr="0084477D">
        <w:rPr>
          <w:rFonts w:cs="Arial"/>
          <w:rtl/>
        </w:rPr>
        <w:t xml:space="preserve">מהרא"י </w:t>
      </w:r>
      <w:r w:rsidRPr="00314F19">
        <w:rPr>
          <w:rFonts w:cs="Arial" w:hint="cs"/>
          <w:sz w:val="16"/>
          <w:szCs w:val="16"/>
          <w:rtl/>
        </w:rPr>
        <w:t>(</w:t>
      </w:r>
      <w:r w:rsidR="008260EB">
        <w:rPr>
          <w:rFonts w:cs="Arial" w:hint="cs"/>
          <w:sz w:val="16"/>
          <w:szCs w:val="16"/>
          <w:rtl/>
        </w:rPr>
        <w:t xml:space="preserve">תרוה"ד </w:t>
      </w:r>
      <w:r w:rsidRPr="00314F19">
        <w:rPr>
          <w:rFonts w:cs="Arial"/>
          <w:sz w:val="16"/>
          <w:szCs w:val="16"/>
          <w:rtl/>
        </w:rPr>
        <w:t>פסקי</w:t>
      </w:r>
      <w:r w:rsidR="008260EB">
        <w:rPr>
          <w:rFonts w:cs="Arial" w:hint="cs"/>
          <w:sz w:val="16"/>
          <w:szCs w:val="16"/>
          <w:rtl/>
        </w:rPr>
        <w:t>ם וכתבים</w:t>
      </w:r>
      <w:r w:rsidRPr="00314F19">
        <w:rPr>
          <w:rFonts w:cs="Arial"/>
          <w:sz w:val="16"/>
          <w:szCs w:val="16"/>
          <w:rtl/>
        </w:rPr>
        <w:t xml:space="preserve"> סי</w:t>
      </w:r>
      <w:r w:rsidRPr="00314F19">
        <w:rPr>
          <w:rFonts w:cs="Arial" w:hint="cs"/>
          <w:sz w:val="16"/>
          <w:szCs w:val="16"/>
          <w:rtl/>
        </w:rPr>
        <w:t>'</w:t>
      </w:r>
      <w:r w:rsidRPr="00314F19">
        <w:rPr>
          <w:rFonts w:cs="Arial"/>
          <w:sz w:val="16"/>
          <w:szCs w:val="16"/>
          <w:rtl/>
        </w:rPr>
        <w:t xml:space="preserve"> סה</w:t>
      </w:r>
      <w:r w:rsidRPr="00314F19">
        <w:rPr>
          <w:rFonts w:cs="Arial" w:hint="cs"/>
          <w:sz w:val="16"/>
          <w:szCs w:val="16"/>
          <w:rtl/>
        </w:rPr>
        <w:t>)</w:t>
      </w:r>
      <w:r>
        <w:rPr>
          <w:rFonts w:cs="Arial" w:hint="cs"/>
          <w:rtl/>
        </w:rPr>
        <w:t xml:space="preserve">- </w:t>
      </w:r>
      <w:r w:rsidR="008260EB" w:rsidRPr="008260EB">
        <w:rPr>
          <w:rFonts w:cs="Arial"/>
          <w:rtl/>
        </w:rPr>
        <w:t>כשבקשו קהלות קדש דאולמא ובראשם מהר"ר ברוך יצ"ו, דינא קאמרי. דכיון דיש להם בית דין נסמך בעירם אול"ם שקבלו עליהם</w:t>
      </w:r>
      <w:r w:rsidR="00630424">
        <w:rPr>
          <w:rFonts w:cs="Arial" w:hint="cs"/>
          <w:rtl/>
        </w:rPr>
        <w:t>,</w:t>
      </w:r>
      <w:r w:rsidR="008260EB" w:rsidRPr="008260EB">
        <w:rPr>
          <w:rFonts w:cs="Arial"/>
          <w:rtl/>
        </w:rPr>
        <w:t xml:space="preserve"> אינו דת ודין כל עיקר לכוף שום אדם מן הקהילה להוציאו מבית דינם לב"ד אחר, ואפי' היה ב"ד אחד שמוחזק להם לב"ד חשוב גדול יותר מבית דינם, כדמוכח במרדכי פ' זה בורר </w:t>
      </w:r>
      <w:r w:rsidR="008260EB" w:rsidRPr="008260EB">
        <w:rPr>
          <w:rFonts w:cs="Arial" w:hint="cs"/>
          <w:sz w:val="16"/>
          <w:szCs w:val="16"/>
          <w:rtl/>
        </w:rPr>
        <w:t>(</w:t>
      </w:r>
      <w:r w:rsidR="008260EB" w:rsidRPr="008260EB">
        <w:rPr>
          <w:rFonts w:cs="Arial"/>
          <w:sz w:val="16"/>
          <w:szCs w:val="16"/>
          <w:rtl/>
        </w:rPr>
        <w:t>כג</w:t>
      </w:r>
      <w:r w:rsidR="008260EB" w:rsidRPr="008260EB">
        <w:rPr>
          <w:rFonts w:cs="Arial" w:hint="cs"/>
          <w:sz w:val="16"/>
          <w:szCs w:val="16"/>
          <w:rtl/>
        </w:rPr>
        <w:t>.)</w:t>
      </w:r>
      <w:r w:rsidR="008260EB" w:rsidRPr="008260EB">
        <w:rPr>
          <w:rFonts w:cs="Arial"/>
          <w:rtl/>
        </w:rPr>
        <w:t xml:space="preserve"> בההיא דרב הונא ורב חסדא דאמר ליה מאי טרחנא כו'. גם מה שכתבו קהילא קדישא ומנהגם הנז'</w:t>
      </w:r>
      <w:r w:rsidR="008260EB">
        <w:rPr>
          <w:rFonts w:cs="Arial" w:hint="cs"/>
          <w:rtl/>
        </w:rPr>
        <w:t>,</w:t>
      </w:r>
      <w:r w:rsidR="008260EB" w:rsidRPr="008260EB">
        <w:rPr>
          <w:rFonts w:cs="Arial"/>
          <w:rtl/>
        </w:rPr>
        <w:t xml:space="preserve"> שכל סביבותיהם השייכים לבית החיים שלהם יהיה דינם ותורתם כמותם לענין ב"ד דלהון, גם בהא שפיר קאמרי. וכן הוא מנהג בתי דינין כמדומה לי בכל מקום. וכן קבלתי ממורי דודי הקדוש מהר"ר אהרן זצק"ל הלכה למעשה, שכן הוא מנהג בתי דינים</w:t>
      </w:r>
      <w:r w:rsidR="008260EB">
        <w:rPr>
          <w:rFonts w:cs="Arial" w:hint="cs"/>
          <w:sz w:val="16"/>
          <w:szCs w:val="16"/>
          <w:rtl/>
        </w:rPr>
        <w:t xml:space="preserve"> (ל' מהרא"י)</w:t>
      </w:r>
      <w:r>
        <w:rPr>
          <w:rStyle w:val="ab"/>
          <w:rFonts w:cs="Arial"/>
          <w:rtl/>
        </w:rPr>
        <w:footnoteReference w:id="759"/>
      </w:r>
      <w:r>
        <w:rPr>
          <w:rFonts w:cs="Arial" w:hint="cs"/>
          <w:rtl/>
        </w:rPr>
        <w:t>.</w:t>
      </w:r>
      <w:r w:rsidR="00DE69AF">
        <w:rPr>
          <w:rFonts w:cs="Arial" w:hint="cs"/>
          <w:rtl/>
        </w:rPr>
        <w:t xml:space="preserve"> </w:t>
      </w:r>
      <w:r w:rsidR="002A0558" w:rsidRPr="00EA22B2">
        <w:rPr>
          <w:rFonts w:cs="Arial" w:hint="cs"/>
          <w:color w:val="00B0F0"/>
          <w:rtl/>
        </w:rPr>
        <w:t>(וכ"פ הרמ"א)</w:t>
      </w:r>
    </w:p>
    <w:p w14:paraId="0C7A0436" w14:textId="77777777" w:rsidR="00F93AAC" w:rsidRDefault="00F93AAC" w:rsidP="00D52A51">
      <w:pPr>
        <w:rPr>
          <w:rFonts w:cs="Arial"/>
          <w:rtl/>
        </w:rPr>
      </w:pPr>
      <w:r w:rsidRPr="00F93AAC">
        <w:rPr>
          <w:rFonts w:cs="Arial"/>
          <w:u w:val="single"/>
          <w:rtl/>
        </w:rPr>
        <w:t>בן שיש לו דין עם אביו או אמו</w:t>
      </w:r>
      <w:r w:rsidRPr="00F93AAC">
        <w:rPr>
          <w:rFonts w:cs="Arial" w:hint="cs"/>
          <w:u w:val="single"/>
          <w:rtl/>
        </w:rPr>
        <w:t>:</w:t>
      </w:r>
      <w:r>
        <w:rPr>
          <w:rFonts w:cs="Arial" w:hint="cs"/>
          <w:rtl/>
        </w:rPr>
        <w:t xml:space="preserve"> </w:t>
      </w:r>
      <w:r>
        <w:rPr>
          <w:rFonts w:cs="Arial" w:hint="cs"/>
          <w:sz w:val="16"/>
          <w:szCs w:val="16"/>
          <w:rtl/>
        </w:rPr>
        <w:t xml:space="preserve">  </w:t>
      </w:r>
      <w:r w:rsidRPr="00F93AAC">
        <w:rPr>
          <w:rFonts w:cs="Arial" w:hint="cs"/>
          <w:sz w:val="16"/>
          <w:szCs w:val="16"/>
          <w:rtl/>
        </w:rPr>
        <w:t xml:space="preserve">(דרכ"מ אות ד) </w:t>
      </w:r>
    </w:p>
    <w:p w14:paraId="40003919" w14:textId="77777777" w:rsidR="00F93AAC" w:rsidRPr="00F93AAC" w:rsidRDefault="00F93AAC" w:rsidP="00C704CB">
      <w:pPr>
        <w:pStyle w:val="ac"/>
        <w:numPr>
          <w:ilvl w:val="0"/>
          <w:numId w:val="10"/>
        </w:numPr>
        <w:rPr>
          <w:rFonts w:cs="Arial"/>
          <w:rtl/>
        </w:rPr>
      </w:pPr>
      <w:r>
        <w:rPr>
          <w:rFonts w:cs="Arial" w:hint="cs"/>
          <w:rtl/>
        </w:rPr>
        <w:t xml:space="preserve">דרכ"מ </w:t>
      </w:r>
      <w:r>
        <w:rPr>
          <w:rFonts w:cs="Arial" w:hint="cs"/>
          <w:sz w:val="16"/>
          <w:szCs w:val="16"/>
          <w:rtl/>
        </w:rPr>
        <w:t>(אות ד)</w:t>
      </w:r>
      <w:r>
        <w:rPr>
          <w:rFonts w:cs="Arial" w:hint="cs"/>
          <w:rtl/>
        </w:rPr>
        <w:t xml:space="preserve">- </w:t>
      </w:r>
      <w:r w:rsidRPr="00F93AAC">
        <w:rPr>
          <w:rFonts w:cs="Arial"/>
          <w:rtl/>
        </w:rPr>
        <w:t xml:space="preserve">בן שיש לו דין עם אביו או אמו </w:t>
      </w:r>
      <w:r w:rsidR="00630424">
        <w:rPr>
          <w:rFonts w:cs="Arial" w:hint="cs"/>
          <w:rtl/>
        </w:rPr>
        <w:t xml:space="preserve">- </w:t>
      </w:r>
      <w:r w:rsidRPr="00F93AAC">
        <w:rPr>
          <w:rFonts w:cs="Arial"/>
          <w:rtl/>
        </w:rPr>
        <w:t>צריך לילך אחריהן א</w:t>
      </w:r>
      <w:r w:rsidR="003C4238">
        <w:rPr>
          <w:rFonts w:cs="Arial" w:hint="cs"/>
          <w:rtl/>
        </w:rPr>
        <w:t>ע"פ</w:t>
      </w:r>
      <w:r w:rsidRPr="00F93AAC">
        <w:rPr>
          <w:rFonts w:cs="Arial"/>
          <w:rtl/>
        </w:rPr>
        <w:t xml:space="preserve"> שהוא הנתבע כמו שכתבתי ביו</w:t>
      </w:r>
      <w:r>
        <w:rPr>
          <w:rFonts w:cs="Arial" w:hint="cs"/>
          <w:rtl/>
        </w:rPr>
        <w:t>"ד</w:t>
      </w:r>
      <w:r w:rsidRPr="00F93AAC">
        <w:rPr>
          <w:rFonts w:cs="Arial"/>
          <w:rtl/>
        </w:rPr>
        <w:t xml:space="preserve"> סי</w:t>
      </w:r>
      <w:r>
        <w:rPr>
          <w:rFonts w:cs="Arial" w:hint="cs"/>
          <w:rtl/>
        </w:rPr>
        <w:t>'</w:t>
      </w:r>
      <w:r w:rsidRPr="00F93AAC">
        <w:rPr>
          <w:rFonts w:cs="Arial"/>
          <w:rtl/>
        </w:rPr>
        <w:t xml:space="preserve"> רמ</w:t>
      </w:r>
      <w:r w:rsidRPr="00F93AAC">
        <w:rPr>
          <w:rFonts w:cs="Arial"/>
          <w:sz w:val="16"/>
          <w:szCs w:val="16"/>
          <w:rtl/>
        </w:rPr>
        <w:t xml:space="preserve"> (אות י</w:t>
      </w:r>
      <w:r w:rsidRPr="00F93AAC">
        <w:rPr>
          <w:rFonts w:cs="Arial" w:hint="cs"/>
          <w:sz w:val="16"/>
          <w:szCs w:val="16"/>
          <w:rtl/>
        </w:rPr>
        <w:t>)</w:t>
      </w:r>
      <w:r>
        <w:rPr>
          <w:rFonts w:cs="Arial" w:hint="cs"/>
          <w:rtl/>
        </w:rPr>
        <w:t>.</w:t>
      </w:r>
      <w:r w:rsidR="009C0220" w:rsidRPr="009C0220">
        <w:rPr>
          <w:rFonts w:cs="Arial" w:hint="cs"/>
          <w:color w:val="00B0F0"/>
          <w:rtl/>
        </w:rPr>
        <w:t xml:space="preserve"> </w:t>
      </w:r>
      <w:r w:rsidR="009C0220" w:rsidRPr="00EA22B2">
        <w:rPr>
          <w:rFonts w:cs="Arial" w:hint="cs"/>
          <w:color w:val="00B0F0"/>
          <w:rtl/>
        </w:rPr>
        <w:t xml:space="preserve">(וכ"פ </w:t>
      </w:r>
      <w:r w:rsidR="009C0220">
        <w:rPr>
          <w:rFonts w:cs="Arial" w:hint="cs"/>
          <w:color w:val="00B0F0"/>
          <w:rtl/>
        </w:rPr>
        <w:t>בהגה</w:t>
      </w:r>
      <w:r w:rsidR="009C0220" w:rsidRPr="00EA22B2">
        <w:rPr>
          <w:rFonts w:cs="Arial" w:hint="cs"/>
          <w:color w:val="00B0F0"/>
          <w:rtl/>
        </w:rPr>
        <w:t>)</w:t>
      </w:r>
    </w:p>
    <w:p w14:paraId="639B57BC" w14:textId="77777777" w:rsidR="003804EF" w:rsidRDefault="003804EF" w:rsidP="00F03CB0">
      <w:pPr>
        <w:rPr>
          <w:rFonts w:cs="Arial"/>
          <w:rtl/>
        </w:rPr>
      </w:pPr>
      <w:r>
        <w:rPr>
          <w:rFonts w:cs="Arial" w:hint="cs"/>
          <w:u w:val="single"/>
          <w:rtl/>
        </w:rPr>
        <w:t>בעל דין ש</w:t>
      </w:r>
      <w:r w:rsidRPr="003804EF">
        <w:rPr>
          <w:rFonts w:cs="Arial" w:hint="cs"/>
          <w:u w:val="single"/>
          <w:rtl/>
        </w:rPr>
        <w:t xml:space="preserve">מבקש לשלוח את הדין למרחוק </w:t>
      </w:r>
      <w:r>
        <w:rPr>
          <w:rFonts w:cs="Arial" w:hint="cs"/>
          <w:u w:val="single"/>
          <w:rtl/>
        </w:rPr>
        <w:t>- וה</w:t>
      </w:r>
      <w:r w:rsidRPr="003804EF">
        <w:rPr>
          <w:rFonts w:cs="Arial" w:hint="cs"/>
          <w:u w:val="single"/>
          <w:rtl/>
        </w:rPr>
        <w:t>דיינים רואים ש</w:t>
      </w:r>
      <w:r>
        <w:rPr>
          <w:rFonts w:cs="Arial" w:hint="cs"/>
          <w:u w:val="single"/>
          <w:rtl/>
        </w:rPr>
        <w:t>הוא</w:t>
      </w:r>
      <w:r w:rsidRPr="003804EF">
        <w:rPr>
          <w:rFonts w:cs="Arial" w:hint="cs"/>
          <w:u w:val="single"/>
          <w:rtl/>
        </w:rPr>
        <w:t xml:space="preserve"> מתכו</w:t>
      </w:r>
      <w:r>
        <w:rPr>
          <w:rFonts w:cs="Arial" w:hint="cs"/>
          <w:u w:val="single"/>
          <w:rtl/>
        </w:rPr>
        <w:t>י</w:t>
      </w:r>
      <w:r w:rsidRPr="003804EF">
        <w:rPr>
          <w:rFonts w:cs="Arial" w:hint="cs"/>
          <w:u w:val="single"/>
          <w:rtl/>
        </w:rPr>
        <w:t>ן להפסיד</w:t>
      </w:r>
      <w:r>
        <w:rPr>
          <w:rFonts w:cs="Arial" w:hint="cs"/>
          <w:u w:val="single"/>
          <w:rtl/>
        </w:rPr>
        <w:t xml:space="preserve"> בזה</w:t>
      </w:r>
      <w:r w:rsidRPr="003804EF">
        <w:rPr>
          <w:rFonts w:cs="Arial" w:hint="cs"/>
          <w:u w:val="single"/>
          <w:rtl/>
        </w:rPr>
        <w:t xml:space="preserve"> </w:t>
      </w:r>
      <w:r>
        <w:rPr>
          <w:rFonts w:cs="Arial" w:hint="cs"/>
          <w:u w:val="single"/>
          <w:rtl/>
        </w:rPr>
        <w:t xml:space="preserve">את </w:t>
      </w:r>
      <w:r w:rsidRPr="003804EF">
        <w:rPr>
          <w:rFonts w:cs="Arial" w:hint="cs"/>
          <w:u w:val="single"/>
          <w:rtl/>
        </w:rPr>
        <w:t>חבירו:</w:t>
      </w:r>
    </w:p>
    <w:p w14:paraId="5981B777" w14:textId="77777777" w:rsidR="007E4A45" w:rsidRPr="003804EF" w:rsidRDefault="001D7FBB" w:rsidP="00C704CB">
      <w:pPr>
        <w:pStyle w:val="ac"/>
        <w:numPr>
          <w:ilvl w:val="0"/>
          <w:numId w:val="10"/>
        </w:numPr>
        <w:rPr>
          <w:rFonts w:cs="Arial"/>
          <w:rtl/>
        </w:rPr>
      </w:pPr>
      <w:r>
        <w:rPr>
          <w:rFonts w:cs="Arial" w:hint="cs"/>
          <w:rtl/>
        </w:rPr>
        <w:lastRenderedPageBreak/>
        <w:t xml:space="preserve">מהר"ם </w:t>
      </w:r>
      <w:r>
        <w:rPr>
          <w:rFonts w:cs="Arial" w:hint="cs"/>
          <w:sz w:val="16"/>
          <w:szCs w:val="16"/>
          <w:rtl/>
        </w:rPr>
        <w:t>(</w:t>
      </w:r>
      <w:r w:rsidRPr="001D7FBB">
        <w:rPr>
          <w:rFonts w:cs="Arial"/>
          <w:sz w:val="16"/>
          <w:szCs w:val="16"/>
          <w:rtl/>
        </w:rPr>
        <w:t>שו"ת מהר"ם מרוטנבורג ספר סיני וליקוטים סי</w:t>
      </w:r>
      <w:r>
        <w:rPr>
          <w:rFonts w:cs="Arial" w:hint="cs"/>
          <w:sz w:val="16"/>
          <w:szCs w:val="16"/>
          <w:rtl/>
        </w:rPr>
        <w:t>'</w:t>
      </w:r>
      <w:r w:rsidRPr="001D7FBB">
        <w:rPr>
          <w:rFonts w:cs="Arial"/>
          <w:sz w:val="16"/>
          <w:szCs w:val="16"/>
          <w:rtl/>
        </w:rPr>
        <w:t xml:space="preserve"> תקפ</w:t>
      </w:r>
      <w:r>
        <w:rPr>
          <w:rFonts w:cs="Arial" w:hint="cs"/>
          <w:sz w:val="16"/>
          <w:szCs w:val="16"/>
          <w:rtl/>
        </w:rPr>
        <w:t>)</w:t>
      </w:r>
      <w:r>
        <w:rPr>
          <w:rFonts w:cs="Arial" w:hint="cs"/>
          <w:rtl/>
        </w:rPr>
        <w:t xml:space="preserve"> </w:t>
      </w:r>
      <w:r w:rsidR="00F03CB0" w:rsidRPr="003804EF">
        <w:rPr>
          <w:rFonts w:cs="Arial"/>
          <w:rtl/>
        </w:rPr>
        <w:t>מרדכי</w:t>
      </w:r>
      <w:r w:rsidR="007E4A45" w:rsidRPr="003804EF">
        <w:rPr>
          <w:rFonts w:cs="Arial" w:hint="cs"/>
          <w:rtl/>
        </w:rPr>
        <w:t xml:space="preserve"> </w:t>
      </w:r>
      <w:r w:rsidR="007E4A45" w:rsidRPr="003804EF">
        <w:rPr>
          <w:rFonts w:cs="Arial" w:hint="cs"/>
          <w:sz w:val="16"/>
          <w:szCs w:val="16"/>
          <w:rtl/>
        </w:rPr>
        <w:t>(</w:t>
      </w:r>
      <w:r w:rsidR="00F03CB0" w:rsidRPr="003804EF">
        <w:rPr>
          <w:rFonts w:cs="Arial"/>
          <w:sz w:val="16"/>
          <w:szCs w:val="16"/>
          <w:rtl/>
        </w:rPr>
        <w:t>פ</w:t>
      </w:r>
      <w:r w:rsidR="007E4A45" w:rsidRPr="003804EF">
        <w:rPr>
          <w:rFonts w:cs="Arial" w:hint="cs"/>
          <w:sz w:val="16"/>
          <w:szCs w:val="16"/>
          <w:rtl/>
        </w:rPr>
        <w:t>'</w:t>
      </w:r>
      <w:r w:rsidR="00F03CB0" w:rsidRPr="003804EF">
        <w:rPr>
          <w:rFonts w:cs="Arial"/>
          <w:sz w:val="16"/>
          <w:szCs w:val="16"/>
          <w:rtl/>
        </w:rPr>
        <w:t xml:space="preserve"> זה בורר סי' תשז)</w:t>
      </w:r>
      <w:r w:rsidR="007E4A45" w:rsidRPr="003804EF">
        <w:rPr>
          <w:rFonts w:cs="Arial" w:hint="cs"/>
          <w:rtl/>
        </w:rPr>
        <w:t>-</w:t>
      </w:r>
      <w:r w:rsidR="00F03CB0" w:rsidRPr="003804EF">
        <w:rPr>
          <w:rFonts w:cs="Arial"/>
          <w:rtl/>
        </w:rPr>
        <w:t xml:space="preserve"> </w:t>
      </w:r>
      <w:r w:rsidRPr="001D7FBB">
        <w:rPr>
          <w:rFonts w:cs="Arial"/>
          <w:rtl/>
        </w:rPr>
        <w:t>כך ראיתי בתקנת הקהלות, שאם אחד מבעלי דינין טוען לשלח למרחקים, ויש חכם סמוך להם, ורואין הדיינין שהוא מתכוין להפסיד חבירו בשכירות השליח, אין שומעין לו, לפי שהדברים ניכרין שהוא מתכוין לדחייה ולהפסידו</w:t>
      </w:r>
      <w:r>
        <w:rPr>
          <w:rFonts w:cs="Arial" w:hint="cs"/>
          <w:rtl/>
        </w:rPr>
        <w:t xml:space="preserve">. </w:t>
      </w:r>
      <w:r w:rsidR="007E4A45" w:rsidRPr="001D7FBB">
        <w:rPr>
          <w:rFonts w:cs="Arial"/>
          <w:rtl/>
        </w:rPr>
        <w:t>ואע</w:t>
      </w:r>
      <w:r w:rsidR="007E4A45" w:rsidRPr="001D7FBB">
        <w:rPr>
          <w:rFonts w:cs="Arial" w:hint="cs"/>
          <w:rtl/>
        </w:rPr>
        <w:t>"</w:t>
      </w:r>
      <w:r w:rsidR="007E4A45" w:rsidRPr="001D7FBB">
        <w:rPr>
          <w:rFonts w:cs="Arial"/>
          <w:rtl/>
        </w:rPr>
        <w:t>ג דאמרינן פרק זה בורר אחד אומר נידון כאן ואחד אומר נלך לבית הועד כופין אותו לילך לבית הועד הא אמר רבי אלעזר מי שנושה בחבירו מנה יוציא מנה על מנה אלא כופין אותו לדון בעירו</w:t>
      </w:r>
      <w:r w:rsidR="007E4A45" w:rsidRPr="003804EF">
        <w:rPr>
          <w:rFonts w:cs="Arial" w:hint="cs"/>
          <w:rtl/>
        </w:rPr>
        <w:t xml:space="preserve">.  </w:t>
      </w:r>
    </w:p>
    <w:p w14:paraId="606826D9" w14:textId="77777777" w:rsidR="003804EF" w:rsidRDefault="003804EF" w:rsidP="00F03CB0">
      <w:pPr>
        <w:rPr>
          <w:rFonts w:cs="Arial"/>
          <w:rtl/>
        </w:rPr>
      </w:pPr>
      <w:r w:rsidRPr="003804EF">
        <w:rPr>
          <w:rFonts w:cs="Arial"/>
          <w:u w:val="single"/>
          <w:rtl/>
        </w:rPr>
        <w:t>הדיינים אומרים נשלח לחכם שבסמוך</w:t>
      </w:r>
      <w:r w:rsidR="00AA784E">
        <w:rPr>
          <w:rFonts w:cs="Arial" w:hint="cs"/>
          <w:u w:val="single"/>
          <w:rtl/>
        </w:rPr>
        <w:t>,</w:t>
      </w:r>
      <w:r w:rsidRPr="003804EF">
        <w:rPr>
          <w:rFonts w:cs="Arial"/>
          <w:u w:val="single"/>
          <w:rtl/>
        </w:rPr>
        <w:t xml:space="preserve"> וחבירו אומר נשלח למרחוק</w:t>
      </w:r>
      <w:r w:rsidRPr="003804EF">
        <w:rPr>
          <w:rFonts w:cs="Arial" w:hint="cs"/>
          <w:u w:val="single"/>
          <w:rtl/>
        </w:rPr>
        <w:t>:</w:t>
      </w:r>
    </w:p>
    <w:p w14:paraId="16A72BC6" w14:textId="77777777" w:rsidR="003804EF" w:rsidRDefault="001D7FBB" w:rsidP="00C704CB">
      <w:pPr>
        <w:pStyle w:val="ac"/>
        <w:numPr>
          <w:ilvl w:val="0"/>
          <w:numId w:val="10"/>
        </w:numPr>
        <w:rPr>
          <w:rFonts w:cs="Arial"/>
        </w:rPr>
      </w:pPr>
      <w:r>
        <w:rPr>
          <w:rFonts w:cs="Arial" w:hint="cs"/>
          <w:rtl/>
        </w:rPr>
        <w:t xml:space="preserve">מהר"ם </w:t>
      </w:r>
      <w:r>
        <w:rPr>
          <w:rFonts w:cs="Arial" w:hint="cs"/>
          <w:sz w:val="16"/>
          <w:szCs w:val="16"/>
          <w:rtl/>
        </w:rPr>
        <w:t>(</w:t>
      </w:r>
      <w:r w:rsidRPr="001D7FBB">
        <w:rPr>
          <w:rFonts w:cs="Arial"/>
          <w:sz w:val="16"/>
          <w:szCs w:val="16"/>
          <w:rtl/>
        </w:rPr>
        <w:t>ש</w:t>
      </w:r>
      <w:r>
        <w:rPr>
          <w:rFonts w:cs="Arial" w:hint="cs"/>
          <w:sz w:val="16"/>
          <w:szCs w:val="16"/>
          <w:rtl/>
        </w:rPr>
        <w:t>ם)</w:t>
      </w:r>
      <w:r>
        <w:rPr>
          <w:rFonts w:cs="Arial" w:hint="cs"/>
          <w:rtl/>
        </w:rPr>
        <w:t xml:space="preserve"> ו</w:t>
      </w:r>
      <w:r w:rsidR="007E4A45" w:rsidRPr="003804EF">
        <w:rPr>
          <w:rFonts w:cs="Arial"/>
          <w:rtl/>
        </w:rPr>
        <w:t>מרדכי</w:t>
      </w:r>
      <w:r w:rsidR="007E4A45" w:rsidRPr="003804EF">
        <w:rPr>
          <w:rFonts w:cs="Arial" w:hint="cs"/>
          <w:rtl/>
        </w:rPr>
        <w:t xml:space="preserve"> </w:t>
      </w:r>
      <w:r w:rsidR="007E4A45" w:rsidRPr="003804EF">
        <w:rPr>
          <w:rFonts w:cs="Arial" w:hint="cs"/>
          <w:sz w:val="16"/>
          <w:szCs w:val="16"/>
          <w:rtl/>
        </w:rPr>
        <w:t>(</w:t>
      </w:r>
      <w:r>
        <w:rPr>
          <w:rFonts w:cs="Arial" w:hint="cs"/>
          <w:sz w:val="16"/>
          <w:szCs w:val="16"/>
          <w:rtl/>
        </w:rPr>
        <w:t>שם</w:t>
      </w:r>
      <w:r w:rsidR="007E4A45" w:rsidRPr="003804EF">
        <w:rPr>
          <w:rFonts w:cs="Arial"/>
          <w:sz w:val="16"/>
          <w:szCs w:val="16"/>
          <w:rtl/>
        </w:rPr>
        <w:t>)</w:t>
      </w:r>
      <w:r w:rsidR="007E4A45" w:rsidRPr="003804EF">
        <w:rPr>
          <w:rFonts w:cs="Arial" w:hint="cs"/>
          <w:rtl/>
        </w:rPr>
        <w:t>-</w:t>
      </w:r>
      <w:r w:rsidR="007E4A45" w:rsidRPr="003804EF">
        <w:rPr>
          <w:rFonts w:cs="Arial"/>
          <w:rtl/>
        </w:rPr>
        <w:t xml:space="preserve"> אם הדיינים אומרים נשלח לחכם שבסמוך וחבירו אומר נשלח למרחוק </w:t>
      </w:r>
      <w:r w:rsidR="00A27C61">
        <w:rPr>
          <w:rFonts w:cs="Arial" w:hint="cs"/>
          <w:rtl/>
        </w:rPr>
        <w:t xml:space="preserve">- </w:t>
      </w:r>
      <w:r w:rsidR="007E4A45" w:rsidRPr="003804EF">
        <w:rPr>
          <w:rFonts w:cs="Arial"/>
          <w:rtl/>
        </w:rPr>
        <w:t>יש לשלוח בסמוך</w:t>
      </w:r>
      <w:r w:rsidR="00A27C61">
        <w:rPr>
          <w:rFonts w:cs="Arial" w:hint="cs"/>
          <w:rtl/>
        </w:rPr>
        <w:t>,</w:t>
      </w:r>
      <w:r w:rsidR="007E4A45" w:rsidRPr="003804EF">
        <w:rPr>
          <w:rFonts w:cs="Arial"/>
          <w:rtl/>
        </w:rPr>
        <w:t xml:space="preserve"> דלאו כל כמיניה לדיין זה לגרום הפסד לבעל דין אם יש ב"ד בקי סמוך לעירם וכ"ש בתוך עירם דלא שבקת חיי לכל בריה שאם התביעה מה' דינרים אין נכון שישלח למרחוק וישכיר שליח בעשרה דינרים אע</w:t>
      </w:r>
      <w:r w:rsidR="003804EF">
        <w:rPr>
          <w:rFonts w:cs="Arial" w:hint="cs"/>
          <w:rtl/>
        </w:rPr>
        <w:t>"</w:t>
      </w:r>
      <w:r w:rsidR="007E4A45" w:rsidRPr="003804EF">
        <w:rPr>
          <w:rFonts w:cs="Arial"/>
          <w:rtl/>
        </w:rPr>
        <w:t>פ שאותו חכם הרחוק חכם יותר מן החכם שבסמוך</w:t>
      </w:r>
      <w:r w:rsidR="00DA71C2">
        <w:rPr>
          <w:rStyle w:val="ab"/>
          <w:rFonts w:cs="Arial"/>
          <w:rtl/>
        </w:rPr>
        <w:footnoteReference w:id="760"/>
      </w:r>
      <w:r w:rsidR="003804EF">
        <w:rPr>
          <w:rFonts w:cs="Arial" w:hint="cs"/>
          <w:rtl/>
        </w:rPr>
        <w:t>.</w:t>
      </w:r>
      <w:r w:rsidR="007E4A45" w:rsidRPr="00EA22B2">
        <w:rPr>
          <w:rFonts w:cs="Arial"/>
          <w:color w:val="00B0F0"/>
          <w:rtl/>
        </w:rPr>
        <w:t xml:space="preserve"> </w:t>
      </w:r>
      <w:r w:rsidR="00EA22B2" w:rsidRPr="00EA22B2">
        <w:rPr>
          <w:rFonts w:cs="Arial" w:hint="cs"/>
          <w:color w:val="00B0F0"/>
          <w:rtl/>
        </w:rPr>
        <w:t>(וכ"פ הרמ"א)</w:t>
      </w:r>
    </w:p>
    <w:p w14:paraId="264715B6" w14:textId="77777777" w:rsidR="00AB3315" w:rsidRPr="00B00986" w:rsidRDefault="00AB3315" w:rsidP="00AB3315">
      <w:pPr>
        <w:rPr>
          <w:rFonts w:cs="Arial"/>
          <w:u w:val="single"/>
          <w:rtl/>
        </w:rPr>
      </w:pPr>
      <w:r w:rsidRPr="00B00986">
        <w:rPr>
          <w:rFonts w:cs="Arial" w:hint="cs"/>
          <w:u w:val="single"/>
          <w:rtl/>
        </w:rPr>
        <w:t xml:space="preserve">לוה שאומר למלוה </w:t>
      </w:r>
      <w:r>
        <w:rPr>
          <w:rFonts w:cs="Arial" w:hint="cs"/>
          <w:u w:val="single"/>
          <w:rtl/>
        </w:rPr>
        <w:t>'</w:t>
      </w:r>
      <w:r w:rsidRPr="00B00986">
        <w:rPr>
          <w:rFonts w:cs="Arial" w:hint="cs"/>
          <w:u w:val="single"/>
          <w:rtl/>
        </w:rPr>
        <w:t>כתוב לי ראיותך וא</w:t>
      </w:r>
      <w:r>
        <w:rPr>
          <w:rFonts w:cs="Arial" w:hint="cs"/>
          <w:u w:val="single"/>
          <w:rtl/>
        </w:rPr>
        <w:t>ו</w:t>
      </w:r>
      <w:r w:rsidRPr="00B00986">
        <w:rPr>
          <w:rFonts w:cs="Arial" w:hint="cs"/>
          <w:u w:val="single"/>
          <w:rtl/>
        </w:rPr>
        <w:t>לי</w:t>
      </w:r>
      <w:r>
        <w:rPr>
          <w:rFonts w:cs="Arial" w:hint="cs"/>
          <w:u w:val="single"/>
          <w:rtl/>
        </w:rPr>
        <w:t xml:space="preserve">ך אני את הראיות </w:t>
      </w:r>
      <w:r w:rsidRPr="00B00986">
        <w:rPr>
          <w:rFonts w:cs="Arial" w:hint="cs"/>
          <w:u w:val="single"/>
          <w:rtl/>
        </w:rPr>
        <w:t xml:space="preserve">לבית </w:t>
      </w:r>
      <w:r>
        <w:rPr>
          <w:rFonts w:cs="Arial" w:hint="cs"/>
          <w:u w:val="single"/>
          <w:rtl/>
        </w:rPr>
        <w:t>ה</w:t>
      </w:r>
      <w:r w:rsidRPr="00B00986">
        <w:rPr>
          <w:rFonts w:cs="Arial" w:hint="cs"/>
          <w:u w:val="single"/>
          <w:rtl/>
        </w:rPr>
        <w:t>דין הרחוק</w:t>
      </w:r>
      <w:r>
        <w:rPr>
          <w:rFonts w:cs="Arial" w:hint="cs"/>
          <w:u w:val="single"/>
          <w:rtl/>
        </w:rPr>
        <w:t>'</w:t>
      </w:r>
      <w:r w:rsidRPr="00B00986">
        <w:rPr>
          <w:rFonts w:cs="Arial" w:hint="cs"/>
          <w:u w:val="single"/>
          <w:rtl/>
        </w:rPr>
        <w:t>:</w:t>
      </w:r>
    </w:p>
    <w:p w14:paraId="1018A53C" w14:textId="77777777" w:rsidR="00AB3315" w:rsidRPr="00B00986" w:rsidRDefault="00AB3315" w:rsidP="004B0475">
      <w:pPr>
        <w:pStyle w:val="ac"/>
        <w:numPr>
          <w:ilvl w:val="0"/>
          <w:numId w:val="11"/>
        </w:numPr>
        <w:rPr>
          <w:rFonts w:cs="Arial"/>
          <w:rtl/>
        </w:rPr>
      </w:pPr>
      <w:r w:rsidRPr="00B00986">
        <w:rPr>
          <w:rFonts w:cs="Arial"/>
          <w:rtl/>
        </w:rPr>
        <w:t>מרדכי</w:t>
      </w:r>
      <w:r w:rsidRPr="00B00986">
        <w:rPr>
          <w:rFonts w:cs="Arial" w:hint="cs"/>
          <w:rtl/>
        </w:rPr>
        <w:t xml:space="preserve"> ישן </w:t>
      </w:r>
      <w:r w:rsidRPr="00B00986">
        <w:rPr>
          <w:rFonts w:cs="Arial"/>
          <w:sz w:val="16"/>
          <w:szCs w:val="16"/>
          <w:rtl/>
        </w:rPr>
        <w:t>(סי' תשט)</w:t>
      </w:r>
      <w:r w:rsidRPr="00B00986">
        <w:rPr>
          <w:rFonts w:cs="Arial" w:hint="cs"/>
          <w:rtl/>
        </w:rPr>
        <w:t xml:space="preserve">- </w:t>
      </w:r>
      <w:r w:rsidRPr="00B00986">
        <w:rPr>
          <w:rFonts w:cs="Arial"/>
          <w:rtl/>
        </w:rPr>
        <w:t xml:space="preserve">אם אמר הלוה </w:t>
      </w:r>
      <w:r w:rsidR="002E0A62">
        <w:rPr>
          <w:rFonts w:cs="Arial" w:hint="cs"/>
          <w:rtl/>
        </w:rPr>
        <w:t>'</w:t>
      </w:r>
      <w:r w:rsidRPr="00B00986">
        <w:rPr>
          <w:rFonts w:cs="Arial"/>
          <w:rtl/>
        </w:rPr>
        <w:t>כתבו לי דבריו וישאר בביתו</w:t>
      </w:r>
      <w:r w:rsidR="002E0A62">
        <w:rPr>
          <w:rFonts w:cs="Arial" w:hint="cs"/>
          <w:rtl/>
        </w:rPr>
        <w:t>'</w:t>
      </w:r>
      <w:r w:rsidRPr="00B00986">
        <w:rPr>
          <w:rFonts w:cs="Arial"/>
          <w:rtl/>
        </w:rPr>
        <w:t xml:space="preserve"> </w:t>
      </w:r>
      <w:r w:rsidR="00EC6245">
        <w:rPr>
          <w:rFonts w:cs="Arial" w:hint="cs"/>
          <w:rtl/>
        </w:rPr>
        <w:t xml:space="preserve">- </w:t>
      </w:r>
      <w:r w:rsidRPr="00B00986">
        <w:rPr>
          <w:rFonts w:cs="Arial"/>
          <w:rtl/>
        </w:rPr>
        <w:t>לאו כל כמיניה</w:t>
      </w:r>
      <w:r w:rsidR="00EC6245">
        <w:rPr>
          <w:rFonts w:cs="Arial" w:hint="cs"/>
          <w:rtl/>
        </w:rPr>
        <w:t>,</w:t>
      </w:r>
      <w:r w:rsidRPr="00B00986">
        <w:rPr>
          <w:rFonts w:cs="Arial"/>
          <w:rtl/>
        </w:rPr>
        <w:t xml:space="preserve"> כי יברר דבריו אל הדיין פה אל פה יותר מעל פי הכתב</w:t>
      </w:r>
      <w:r w:rsidRPr="00B00986">
        <w:rPr>
          <w:rFonts w:cs="Arial" w:hint="cs"/>
          <w:rtl/>
        </w:rPr>
        <w:t>.</w:t>
      </w:r>
    </w:p>
    <w:p w14:paraId="1C87B887" w14:textId="77777777" w:rsidR="00AB3315" w:rsidRDefault="003C61A5" w:rsidP="004B0475">
      <w:pPr>
        <w:pStyle w:val="ac"/>
        <w:numPr>
          <w:ilvl w:val="0"/>
          <w:numId w:val="11"/>
        </w:numPr>
      </w:pPr>
      <w:r w:rsidRPr="00B00986">
        <w:rPr>
          <w:rFonts w:cs="Arial"/>
          <w:rtl/>
        </w:rPr>
        <w:t>מהרי"ח</w:t>
      </w:r>
      <w:r w:rsidRPr="00B00986">
        <w:rPr>
          <w:rFonts w:cs="Arial" w:hint="cs"/>
          <w:rtl/>
        </w:rPr>
        <w:t xml:space="preserve"> </w:t>
      </w:r>
      <w:r w:rsidR="00AB3315" w:rsidRPr="00B00986">
        <w:rPr>
          <w:rFonts w:cs="Arial"/>
          <w:sz w:val="16"/>
          <w:szCs w:val="16"/>
          <w:rtl/>
        </w:rPr>
        <w:t>(</w:t>
      </w:r>
      <w:r>
        <w:rPr>
          <w:rFonts w:cs="Arial" w:hint="cs"/>
          <w:sz w:val="16"/>
          <w:szCs w:val="16"/>
          <w:rtl/>
        </w:rPr>
        <w:t xml:space="preserve">בהג"א </w:t>
      </w:r>
      <w:r w:rsidR="00AB3315" w:rsidRPr="00B00986">
        <w:rPr>
          <w:rFonts w:cs="Arial" w:hint="cs"/>
          <w:sz w:val="16"/>
          <w:szCs w:val="16"/>
          <w:rtl/>
        </w:rPr>
        <w:t xml:space="preserve">פ' זה בורר </w:t>
      </w:r>
      <w:r w:rsidR="00AB3315" w:rsidRPr="00B00986">
        <w:rPr>
          <w:rFonts w:cs="Arial"/>
          <w:sz w:val="16"/>
          <w:szCs w:val="16"/>
          <w:rtl/>
        </w:rPr>
        <w:t>סי' ב אות ה</w:t>
      </w:r>
      <w:r w:rsidR="00EC6245">
        <w:rPr>
          <w:rFonts w:cs="Arial" w:hint="cs"/>
          <w:sz w:val="16"/>
          <w:szCs w:val="16"/>
          <w:rtl/>
        </w:rPr>
        <w:t xml:space="preserve">, הב"י </w:t>
      </w:r>
      <w:r>
        <w:rPr>
          <w:rFonts w:cs="Arial" w:hint="cs"/>
          <w:sz w:val="16"/>
          <w:szCs w:val="16"/>
          <w:rtl/>
        </w:rPr>
        <w:t>שלח</w:t>
      </w:r>
      <w:r w:rsidR="00EC6245">
        <w:rPr>
          <w:rFonts w:cs="Arial" w:hint="cs"/>
          <w:sz w:val="16"/>
          <w:szCs w:val="16"/>
          <w:rtl/>
        </w:rPr>
        <w:t xml:space="preserve"> לעיין בדבריו</w:t>
      </w:r>
      <w:r w:rsidR="00AB3315" w:rsidRPr="00B00986">
        <w:rPr>
          <w:rFonts w:cs="Arial"/>
          <w:sz w:val="16"/>
          <w:szCs w:val="16"/>
          <w:rtl/>
        </w:rPr>
        <w:t>)</w:t>
      </w:r>
      <w:r w:rsidR="00AB3315" w:rsidRPr="00B00986">
        <w:rPr>
          <w:rFonts w:cs="Arial" w:hint="cs"/>
          <w:rtl/>
        </w:rPr>
        <w:t>-</w:t>
      </w:r>
      <w:r w:rsidR="00AB3315" w:rsidRPr="00C001A5">
        <w:rPr>
          <w:rtl/>
        </w:rPr>
        <w:t xml:space="preserve"> </w:t>
      </w:r>
      <w:r w:rsidR="00AB3315" w:rsidRPr="00B00986">
        <w:rPr>
          <w:rFonts w:cs="Arial"/>
          <w:rtl/>
        </w:rPr>
        <w:t>עוד אומר אני דאפי</w:t>
      </w:r>
      <w:r w:rsidR="00FF62E7">
        <w:rPr>
          <w:rFonts w:cs="Arial" w:hint="cs"/>
          <w:rtl/>
        </w:rPr>
        <w:t>לו</w:t>
      </w:r>
      <w:r w:rsidR="00AB3315" w:rsidRPr="00B00986">
        <w:rPr>
          <w:rFonts w:cs="Arial"/>
          <w:rtl/>
        </w:rPr>
        <w:t xml:space="preserve"> אי בית דינו של לוה ברחוק דאיכא השתא טורח לילך שם והוצאת מעות</w:t>
      </w:r>
      <w:r w:rsidR="00FF62E7">
        <w:rPr>
          <w:rFonts w:cs="Arial" w:hint="cs"/>
          <w:rtl/>
        </w:rPr>
        <w:t>,</w:t>
      </w:r>
      <w:r w:rsidR="00AB3315" w:rsidRPr="00B00986">
        <w:rPr>
          <w:rFonts w:cs="Arial"/>
          <w:rtl/>
        </w:rPr>
        <w:t xml:space="preserve"> אי קאמר לוה למלוה </w:t>
      </w:r>
      <w:r w:rsidR="00AB3315">
        <w:rPr>
          <w:rFonts w:cs="Arial" w:hint="cs"/>
          <w:rtl/>
        </w:rPr>
        <w:t>'</w:t>
      </w:r>
      <w:r w:rsidR="00AB3315" w:rsidRPr="00B00986">
        <w:rPr>
          <w:rFonts w:cs="Arial"/>
          <w:rtl/>
        </w:rPr>
        <w:t>אני אטרח שם ולא אתה ונכתוב כאן הטענות ואוליכם שם</w:t>
      </w:r>
      <w:r w:rsidR="00AB3315">
        <w:rPr>
          <w:rFonts w:cs="Arial" w:hint="cs"/>
          <w:rtl/>
        </w:rPr>
        <w:t>'</w:t>
      </w:r>
      <w:r w:rsidR="00AB3315" w:rsidRPr="00B00986">
        <w:rPr>
          <w:rFonts w:cs="Arial"/>
          <w:rtl/>
        </w:rPr>
        <w:t xml:space="preserve"> </w:t>
      </w:r>
      <w:r w:rsidR="00C8045E">
        <w:rPr>
          <w:rFonts w:cs="Arial" w:hint="cs"/>
          <w:rtl/>
        </w:rPr>
        <w:t xml:space="preserve">- </w:t>
      </w:r>
      <w:r w:rsidR="00AB3315" w:rsidRPr="00B00986">
        <w:rPr>
          <w:rFonts w:cs="Arial"/>
          <w:rtl/>
        </w:rPr>
        <w:t>הדין עמו</w:t>
      </w:r>
      <w:r w:rsidR="00C8045E">
        <w:rPr>
          <w:rFonts w:cs="Arial" w:hint="cs"/>
          <w:rtl/>
        </w:rPr>
        <w:t>.</w:t>
      </w:r>
      <w:r w:rsidR="00AB3315" w:rsidRPr="00B00986">
        <w:rPr>
          <w:rFonts w:cs="Arial"/>
          <w:rtl/>
        </w:rPr>
        <w:t xml:space="preserve"> מיהו שמא יכול לומר לו המלוה </w:t>
      </w:r>
      <w:r w:rsidR="00C8045E">
        <w:rPr>
          <w:rFonts w:cs="Arial" w:hint="cs"/>
          <w:rtl/>
        </w:rPr>
        <w:t>'</w:t>
      </w:r>
      <w:r w:rsidR="00AB3315" w:rsidRPr="00B00986">
        <w:rPr>
          <w:rFonts w:cs="Arial"/>
          <w:rtl/>
        </w:rPr>
        <w:t>כשתבוא שם איני רוצה שיתברר טענותיו לב"ד פה אל פה אחרי שאני איני מברר לו אלא על פי הכתב</w:t>
      </w:r>
      <w:r w:rsidR="00C8045E">
        <w:rPr>
          <w:rFonts w:cs="Arial" w:hint="cs"/>
          <w:rtl/>
        </w:rPr>
        <w:t>'</w:t>
      </w:r>
      <w:r w:rsidR="00AB3315">
        <w:rPr>
          <w:rFonts w:cs="Arial" w:hint="cs"/>
          <w:rtl/>
        </w:rPr>
        <w:t>,</w:t>
      </w:r>
      <w:r w:rsidR="00AB3315" w:rsidRPr="00B00986">
        <w:rPr>
          <w:rFonts w:cs="Arial"/>
          <w:rtl/>
        </w:rPr>
        <w:t xml:space="preserve"> או שמא אפילו זה אין יכול לעכב אליו כי אומר </w:t>
      </w:r>
      <w:r w:rsidR="00C8045E">
        <w:rPr>
          <w:rFonts w:cs="Arial" w:hint="cs"/>
          <w:rtl/>
        </w:rPr>
        <w:t>'</w:t>
      </w:r>
      <w:r w:rsidR="00AB3315" w:rsidRPr="00B00986">
        <w:rPr>
          <w:rFonts w:cs="Arial"/>
          <w:rtl/>
        </w:rPr>
        <w:t>מאי איכפת לך והלא טענות כתובין וחתומין</w:t>
      </w:r>
      <w:r w:rsidR="00EC6245">
        <w:rPr>
          <w:rFonts w:cs="Arial" w:hint="cs"/>
          <w:rtl/>
        </w:rPr>
        <w:t>,</w:t>
      </w:r>
      <w:r w:rsidR="00AB3315" w:rsidRPr="00B00986">
        <w:rPr>
          <w:rFonts w:cs="Arial"/>
          <w:rtl/>
        </w:rPr>
        <w:t xml:space="preserve"> מה שכתוב וחתום יוכל לדבר פה אל פה</w:t>
      </w:r>
      <w:r w:rsidR="00EC6245">
        <w:rPr>
          <w:rFonts w:cs="Arial" w:hint="cs"/>
          <w:rtl/>
        </w:rPr>
        <w:t>.</w:t>
      </w:r>
      <w:r w:rsidR="00AB3315" w:rsidRPr="00B00986">
        <w:rPr>
          <w:rFonts w:cs="Arial"/>
          <w:rtl/>
        </w:rPr>
        <w:t xml:space="preserve"> מיהו אם רוצה להוליך שם הטענות ולשתוק</w:t>
      </w:r>
      <w:r w:rsidR="00EC6245">
        <w:rPr>
          <w:rFonts w:cs="Arial" w:hint="cs"/>
          <w:rtl/>
        </w:rPr>
        <w:t>,</w:t>
      </w:r>
      <w:r w:rsidR="00AB3315" w:rsidRPr="00B00986">
        <w:rPr>
          <w:rFonts w:cs="Arial"/>
          <w:rtl/>
        </w:rPr>
        <w:t xml:space="preserve"> או רוצה הלוה לשלוח שם שלוחו להוליך שם הטענות </w:t>
      </w:r>
      <w:r w:rsidR="00EC6245">
        <w:rPr>
          <w:rFonts w:cs="Arial" w:hint="cs"/>
          <w:rtl/>
        </w:rPr>
        <w:t xml:space="preserve">- </w:t>
      </w:r>
      <w:r w:rsidR="00AB3315" w:rsidRPr="00B00986">
        <w:rPr>
          <w:rFonts w:cs="Arial"/>
          <w:rtl/>
        </w:rPr>
        <w:t>נ"ל לפי סוגיא דשמעתא דלא מצי מלוה מעכב עליו</w:t>
      </w:r>
      <w:r w:rsidR="00EC6245">
        <w:rPr>
          <w:rFonts w:cs="Arial" w:hint="cs"/>
          <w:rtl/>
        </w:rPr>
        <w:t>.</w:t>
      </w:r>
      <w:r w:rsidR="00AB3315" w:rsidRPr="00B00986">
        <w:rPr>
          <w:rFonts w:cs="Arial"/>
          <w:rtl/>
        </w:rPr>
        <w:t xml:space="preserve"> וכן שמעתי שר' יעקב סבר וכתב כן</w:t>
      </w:r>
      <w:r w:rsidR="00EC6245">
        <w:rPr>
          <w:rFonts w:cs="Arial" w:hint="cs"/>
          <w:rtl/>
        </w:rPr>
        <w:t>.</w:t>
      </w:r>
      <w:r w:rsidR="00630424">
        <w:rPr>
          <w:rFonts w:cs="Arial" w:hint="cs"/>
          <w:rtl/>
        </w:rPr>
        <w:t>.</w:t>
      </w:r>
      <w:r w:rsidR="00AB3315" w:rsidRPr="00B00986">
        <w:rPr>
          <w:rFonts w:cs="Arial"/>
          <w:rtl/>
        </w:rPr>
        <w:t>.</w:t>
      </w:r>
    </w:p>
    <w:p w14:paraId="1DBEE2B2" w14:textId="77777777" w:rsidR="003804EF" w:rsidRPr="00F93AAC" w:rsidRDefault="003804EF" w:rsidP="003804EF">
      <w:pPr>
        <w:rPr>
          <w:rFonts w:cs="Arial"/>
          <w:u w:val="single"/>
        </w:rPr>
      </w:pPr>
      <w:r w:rsidRPr="00F93AAC">
        <w:rPr>
          <w:rFonts w:cs="Arial" w:hint="cs"/>
          <w:u w:val="single"/>
          <w:rtl/>
        </w:rPr>
        <w:t xml:space="preserve">בית דין שרוצה לכוף בעל דין לדון אצלם כיון </w:t>
      </w:r>
      <w:r>
        <w:rPr>
          <w:rFonts w:cs="Arial" w:hint="cs"/>
          <w:u w:val="single"/>
          <w:rtl/>
        </w:rPr>
        <w:t>שיש ל</w:t>
      </w:r>
      <w:r w:rsidR="003C61A5">
        <w:rPr>
          <w:rFonts w:cs="Arial" w:hint="cs"/>
          <w:u w:val="single"/>
          <w:rtl/>
        </w:rPr>
        <w:t>בעל דין</w:t>
      </w:r>
      <w:r>
        <w:rPr>
          <w:rFonts w:cs="Arial" w:hint="cs"/>
          <w:u w:val="single"/>
          <w:rtl/>
        </w:rPr>
        <w:t xml:space="preserve"> נכסים בעירם</w:t>
      </w:r>
      <w:r w:rsidRPr="00F93AAC">
        <w:rPr>
          <w:rFonts w:cs="Arial" w:hint="cs"/>
          <w:u w:val="single"/>
          <w:rtl/>
        </w:rPr>
        <w:t>:</w:t>
      </w:r>
    </w:p>
    <w:p w14:paraId="3F0B7D5D" w14:textId="77777777" w:rsidR="003804EF" w:rsidRDefault="003804EF" w:rsidP="00C704CB">
      <w:pPr>
        <w:pStyle w:val="ac"/>
        <w:numPr>
          <w:ilvl w:val="0"/>
          <w:numId w:val="10"/>
        </w:numPr>
        <w:rPr>
          <w:rFonts w:cs="Arial"/>
        </w:rPr>
      </w:pPr>
      <w:r w:rsidRPr="00F93AAC">
        <w:rPr>
          <w:rFonts w:cs="Arial"/>
          <w:rtl/>
        </w:rPr>
        <w:t xml:space="preserve">רשב"א </w:t>
      </w:r>
      <w:r w:rsidRPr="00F93AAC">
        <w:rPr>
          <w:rFonts w:cs="Arial" w:hint="cs"/>
          <w:sz w:val="16"/>
          <w:szCs w:val="16"/>
          <w:rtl/>
        </w:rPr>
        <w:t>(</w:t>
      </w:r>
      <w:r w:rsidRPr="00F93AAC">
        <w:rPr>
          <w:rFonts w:cs="Arial"/>
          <w:sz w:val="16"/>
          <w:szCs w:val="16"/>
          <w:rtl/>
        </w:rPr>
        <w:t>סי</w:t>
      </w:r>
      <w:r w:rsidRPr="00F93AAC">
        <w:rPr>
          <w:rFonts w:cs="Arial" w:hint="cs"/>
          <w:sz w:val="16"/>
          <w:szCs w:val="16"/>
          <w:rtl/>
        </w:rPr>
        <w:t>'</w:t>
      </w:r>
      <w:r w:rsidRPr="00F93AAC">
        <w:rPr>
          <w:rFonts w:cs="Arial"/>
          <w:sz w:val="16"/>
          <w:szCs w:val="16"/>
          <w:rtl/>
        </w:rPr>
        <w:t xml:space="preserve"> אלף קמט</w:t>
      </w:r>
      <w:r w:rsidRPr="00F93AAC">
        <w:rPr>
          <w:rFonts w:cs="Arial" w:hint="cs"/>
          <w:sz w:val="16"/>
          <w:szCs w:val="16"/>
          <w:rtl/>
        </w:rPr>
        <w:t>)</w:t>
      </w:r>
      <w:r w:rsidRPr="00F93AAC">
        <w:rPr>
          <w:rFonts w:cs="Arial" w:hint="cs"/>
          <w:rtl/>
        </w:rPr>
        <w:t xml:space="preserve">- </w:t>
      </w:r>
      <w:r w:rsidRPr="00F93AAC">
        <w:rPr>
          <w:rFonts w:cs="Arial"/>
          <w:rtl/>
        </w:rPr>
        <w:t xml:space="preserve">לענין מה ששאלת אם יכולים הבית דין שיצאה משם לכוף אותה לדון שם כיון שהקרקעות שם </w:t>
      </w:r>
      <w:r w:rsidR="003C61A5">
        <w:rPr>
          <w:rFonts w:cs="Arial" w:hint="cs"/>
          <w:rtl/>
        </w:rPr>
        <w:t xml:space="preserve">- </w:t>
      </w:r>
      <w:r w:rsidRPr="00F93AAC">
        <w:rPr>
          <w:rFonts w:cs="Arial"/>
          <w:rtl/>
        </w:rPr>
        <w:t>יכולים הם לכופה לדון כאן</w:t>
      </w:r>
      <w:r w:rsidR="003C61A5">
        <w:rPr>
          <w:rFonts w:cs="Arial" w:hint="cs"/>
          <w:rtl/>
        </w:rPr>
        <w:t>,</w:t>
      </w:r>
      <w:r w:rsidRPr="00F93AAC">
        <w:rPr>
          <w:rFonts w:cs="Arial"/>
          <w:rtl/>
        </w:rPr>
        <w:t xml:space="preserve"> ובית דין שולחים ומודיעים אותה</w:t>
      </w:r>
      <w:r w:rsidR="003C61A5">
        <w:rPr>
          <w:rFonts w:cs="Arial" w:hint="cs"/>
          <w:rtl/>
        </w:rPr>
        <w:t>.</w:t>
      </w:r>
      <w:r w:rsidRPr="00F93AAC">
        <w:rPr>
          <w:rFonts w:cs="Arial"/>
          <w:rtl/>
        </w:rPr>
        <w:t xml:space="preserve"> אם באה או שפייסה אותם מוטב</w:t>
      </w:r>
      <w:r w:rsidRPr="00F93AAC">
        <w:rPr>
          <w:rFonts w:cs="Arial" w:hint="cs"/>
          <w:rtl/>
        </w:rPr>
        <w:t>,</w:t>
      </w:r>
      <w:r w:rsidRPr="00F93AAC">
        <w:rPr>
          <w:rFonts w:cs="Arial"/>
          <w:rtl/>
        </w:rPr>
        <w:t xml:space="preserve"> ואם לאו </w:t>
      </w:r>
      <w:r w:rsidR="00357763">
        <w:rPr>
          <w:rFonts w:cs="Arial" w:hint="cs"/>
          <w:rtl/>
        </w:rPr>
        <w:t xml:space="preserve">- </w:t>
      </w:r>
      <w:r w:rsidRPr="00F93AAC">
        <w:rPr>
          <w:rFonts w:cs="Arial"/>
          <w:rtl/>
        </w:rPr>
        <w:t>בית דין מגבין להם מאותם קרקעות שעשתה להם אפותיקי</w:t>
      </w:r>
      <w:r w:rsidR="00991713">
        <w:rPr>
          <w:rFonts w:cs="Arial" w:hint="cs"/>
          <w:rtl/>
        </w:rPr>
        <w:t>,</w:t>
      </w:r>
      <w:r w:rsidRPr="00F93AAC">
        <w:rPr>
          <w:rFonts w:cs="Arial"/>
          <w:rtl/>
        </w:rPr>
        <w:t xml:space="preserve"> וכדאמרינן בפרק הכותב </w:t>
      </w:r>
      <w:r w:rsidRPr="00F93AAC">
        <w:rPr>
          <w:rFonts w:cs="Arial"/>
          <w:sz w:val="16"/>
          <w:szCs w:val="16"/>
          <w:rtl/>
        </w:rPr>
        <w:t xml:space="preserve">(כתובות פח.) </w:t>
      </w:r>
      <w:r w:rsidRPr="00F93AAC">
        <w:rPr>
          <w:rFonts w:cs="Arial"/>
          <w:rtl/>
        </w:rPr>
        <w:t>כדי שלא יהא כל אחד נוטל מעותיו של חבירו והולך ויושב לו במדינת הים</w:t>
      </w:r>
      <w:r w:rsidR="003C61A5">
        <w:rPr>
          <w:rFonts w:cs="Arial" w:hint="cs"/>
          <w:rtl/>
        </w:rPr>
        <w:t>.</w:t>
      </w:r>
      <w:r w:rsidRPr="00F93AAC">
        <w:rPr>
          <w:rFonts w:cs="Arial"/>
          <w:rtl/>
        </w:rPr>
        <w:t xml:space="preserve"> ואמרו בירושלמי </w:t>
      </w:r>
      <w:r w:rsidRPr="00F93AAC">
        <w:rPr>
          <w:rFonts w:cs="Arial"/>
          <w:sz w:val="16"/>
          <w:szCs w:val="16"/>
          <w:rtl/>
        </w:rPr>
        <w:t xml:space="preserve">(שם פ"ט ה"ח) </w:t>
      </w:r>
      <w:r w:rsidRPr="00F93AAC">
        <w:rPr>
          <w:rFonts w:cs="Arial"/>
          <w:rtl/>
        </w:rPr>
        <w:t>ששולחין לו מבית דין שלש אגרות</w:t>
      </w:r>
      <w:r w:rsidR="003C61A5">
        <w:rPr>
          <w:rFonts w:cs="Arial" w:hint="cs"/>
          <w:rtl/>
        </w:rPr>
        <w:t>,</w:t>
      </w:r>
      <w:r w:rsidRPr="00F93AAC">
        <w:rPr>
          <w:rFonts w:cs="Arial"/>
          <w:rtl/>
        </w:rPr>
        <w:t xml:space="preserve"> אחת תוך שלשים</w:t>
      </w:r>
      <w:r w:rsidR="003C61A5">
        <w:rPr>
          <w:rFonts w:cs="Arial" w:hint="cs"/>
          <w:rtl/>
        </w:rPr>
        <w:t>,</w:t>
      </w:r>
      <w:r w:rsidRPr="00F93AAC">
        <w:rPr>
          <w:rFonts w:cs="Arial"/>
          <w:rtl/>
        </w:rPr>
        <w:t xml:space="preserve"> ואחת תוך שלשים</w:t>
      </w:r>
      <w:r w:rsidR="003C61A5">
        <w:rPr>
          <w:rFonts w:cs="Arial" w:hint="cs"/>
          <w:rtl/>
        </w:rPr>
        <w:t>,</w:t>
      </w:r>
      <w:r w:rsidRPr="00F93AAC">
        <w:rPr>
          <w:rFonts w:cs="Arial"/>
          <w:rtl/>
        </w:rPr>
        <w:t xml:space="preserve"> ואחת תוך שלשים</w:t>
      </w:r>
      <w:r w:rsidR="003C61A5">
        <w:rPr>
          <w:rFonts w:cs="Arial" w:hint="cs"/>
          <w:rtl/>
        </w:rPr>
        <w:t>,</w:t>
      </w:r>
      <w:r w:rsidRPr="00F93AAC">
        <w:rPr>
          <w:rFonts w:cs="Arial"/>
          <w:rtl/>
        </w:rPr>
        <w:t xml:space="preserve"> אם בא מוטב</w:t>
      </w:r>
      <w:r w:rsidR="0075527B">
        <w:rPr>
          <w:rFonts w:cs="Arial" w:hint="cs"/>
          <w:rtl/>
        </w:rPr>
        <w:t>,</w:t>
      </w:r>
      <w:r w:rsidRPr="00F93AAC">
        <w:rPr>
          <w:rFonts w:cs="Arial"/>
          <w:rtl/>
        </w:rPr>
        <w:t xml:space="preserve"> ואם לאו מחליטין נכסי</w:t>
      </w:r>
      <w:r w:rsidRPr="00F93AAC">
        <w:rPr>
          <w:rFonts w:cs="Arial" w:hint="cs"/>
          <w:rtl/>
        </w:rPr>
        <w:t>ו</w:t>
      </w:r>
      <w:r>
        <w:rPr>
          <w:rStyle w:val="ab"/>
          <w:rFonts w:cs="Arial"/>
          <w:rtl/>
        </w:rPr>
        <w:footnoteReference w:id="761"/>
      </w:r>
      <w:r w:rsidRPr="00F93AAC">
        <w:rPr>
          <w:rFonts w:cs="Arial" w:hint="cs"/>
          <w:rtl/>
        </w:rPr>
        <w:t>.</w:t>
      </w:r>
    </w:p>
    <w:p w14:paraId="36D52331" w14:textId="77777777" w:rsidR="003804EF" w:rsidRPr="007E4A45" w:rsidRDefault="003804EF" w:rsidP="00C704CB">
      <w:pPr>
        <w:pStyle w:val="ac"/>
        <w:numPr>
          <w:ilvl w:val="0"/>
          <w:numId w:val="10"/>
        </w:numPr>
        <w:rPr>
          <w:rFonts w:cs="Arial"/>
          <w:rtl/>
        </w:rPr>
      </w:pPr>
      <w:r>
        <w:rPr>
          <w:rFonts w:cs="Arial" w:hint="cs"/>
          <w:rtl/>
        </w:rPr>
        <w:t xml:space="preserve">רשב"א </w:t>
      </w:r>
      <w:r w:rsidRPr="007E4A45">
        <w:rPr>
          <w:rFonts w:cs="Arial"/>
          <w:sz w:val="16"/>
          <w:szCs w:val="16"/>
          <w:rtl/>
        </w:rPr>
        <w:t>(ח"ב סי' שדמ)</w:t>
      </w:r>
      <w:r>
        <w:rPr>
          <w:rFonts w:cs="Arial" w:hint="cs"/>
          <w:rtl/>
        </w:rPr>
        <w:t>-</w:t>
      </w:r>
      <w:r w:rsidRPr="007E4A45">
        <w:rPr>
          <w:rFonts w:cs="Arial"/>
          <w:rtl/>
        </w:rPr>
        <w:t xml:space="preserve"> ראובן שהלוה לשמעון מנה</w:t>
      </w:r>
      <w:r w:rsidR="0075527B">
        <w:rPr>
          <w:rFonts w:cs="Arial" w:hint="cs"/>
          <w:rtl/>
        </w:rPr>
        <w:t>,</w:t>
      </w:r>
      <w:r w:rsidRPr="007E4A45">
        <w:rPr>
          <w:rFonts w:cs="Arial"/>
          <w:rtl/>
        </w:rPr>
        <w:t xml:space="preserve"> ושניהם דרים במונטסון</w:t>
      </w:r>
      <w:r w:rsidR="0075527B">
        <w:rPr>
          <w:rFonts w:cs="Arial" w:hint="cs"/>
          <w:rtl/>
        </w:rPr>
        <w:t>.</w:t>
      </w:r>
      <w:r w:rsidRPr="007E4A45">
        <w:rPr>
          <w:rFonts w:cs="Arial"/>
          <w:rtl/>
        </w:rPr>
        <w:t xml:space="preserve"> ועכשיו יצא שמעון לדור במקום אחר</w:t>
      </w:r>
      <w:r w:rsidR="0075527B">
        <w:rPr>
          <w:rFonts w:cs="Arial" w:hint="cs"/>
          <w:rtl/>
        </w:rPr>
        <w:t>.</w:t>
      </w:r>
      <w:r w:rsidRPr="007E4A45">
        <w:rPr>
          <w:rFonts w:cs="Arial"/>
          <w:rtl/>
        </w:rPr>
        <w:t xml:space="preserve"> ובא ראובן לפני בית דין קהל מונטסון</w:t>
      </w:r>
      <w:r w:rsidR="0075527B">
        <w:rPr>
          <w:rFonts w:cs="Arial" w:hint="cs"/>
          <w:rtl/>
        </w:rPr>
        <w:t>.</w:t>
      </w:r>
      <w:r w:rsidRPr="007E4A45">
        <w:rPr>
          <w:rFonts w:cs="Arial"/>
          <w:rtl/>
        </w:rPr>
        <w:t xml:space="preserve"> ושלחו לשמעון לעמוד בדין</w:t>
      </w:r>
      <w:r w:rsidR="0075527B">
        <w:rPr>
          <w:rFonts w:cs="Arial" w:hint="cs"/>
          <w:rtl/>
        </w:rPr>
        <w:t>,</w:t>
      </w:r>
      <w:r w:rsidRPr="007E4A45">
        <w:rPr>
          <w:rFonts w:cs="Arial"/>
          <w:rtl/>
        </w:rPr>
        <w:t xml:space="preserve"> וסירב ואמר שלא ידון לפניהם אלא שיבא ראובן במקום שהוא דר שם ושם ידין עמו</w:t>
      </w:r>
      <w:r w:rsidR="0075527B">
        <w:rPr>
          <w:rFonts w:cs="Arial" w:hint="cs"/>
          <w:rtl/>
        </w:rPr>
        <w:t>.</w:t>
      </w:r>
      <w:r w:rsidRPr="007E4A45">
        <w:rPr>
          <w:rFonts w:cs="Arial"/>
          <w:rtl/>
        </w:rPr>
        <w:t xml:space="preserve"> שורת הדין כל שיש נכסים לשמעון במונטסון</w:t>
      </w:r>
      <w:r w:rsidR="00357763">
        <w:rPr>
          <w:rFonts w:cs="Arial" w:hint="cs"/>
          <w:rtl/>
        </w:rPr>
        <w:t xml:space="preserve"> -</w:t>
      </w:r>
      <w:r w:rsidRPr="007E4A45">
        <w:rPr>
          <w:rFonts w:cs="Arial"/>
          <w:rtl/>
        </w:rPr>
        <w:t xml:space="preserve"> צריכים בית דין להזקק לראובן לכוף לשמעון לבא לדין שם עם בעל דינו בפניהם</w:t>
      </w:r>
      <w:r w:rsidR="0075527B">
        <w:rPr>
          <w:rFonts w:cs="Arial" w:hint="cs"/>
          <w:rtl/>
        </w:rPr>
        <w:t>.</w:t>
      </w:r>
      <w:r w:rsidRPr="007E4A45">
        <w:rPr>
          <w:rFonts w:cs="Arial"/>
          <w:rtl/>
        </w:rPr>
        <w:t xml:space="preserve"> </w:t>
      </w:r>
      <w:r w:rsidR="0075527B">
        <w:rPr>
          <w:rFonts w:cs="Arial" w:hint="cs"/>
          <w:rtl/>
        </w:rPr>
        <w:t>ו</w:t>
      </w:r>
      <w:r w:rsidRPr="007E4A45">
        <w:rPr>
          <w:rFonts w:cs="Arial"/>
          <w:rtl/>
        </w:rPr>
        <w:t>אם לא יבא לפניהם כותבין עליו פתיחא וכתבי אדרכתא אנכסי דאית ליה במונטסון</w:t>
      </w:r>
      <w:r w:rsidR="0075527B">
        <w:rPr>
          <w:rFonts w:cs="Arial" w:hint="cs"/>
          <w:rtl/>
        </w:rPr>
        <w:t>,</w:t>
      </w:r>
      <w:r w:rsidRPr="007E4A45">
        <w:rPr>
          <w:rFonts w:cs="Arial"/>
          <w:rtl/>
        </w:rPr>
        <w:t xml:space="preserve"> לפי שאין המלוה כפוף ללכת אחר הלוה לדין עמו באיזה מקום שירצה</w:t>
      </w:r>
      <w:r w:rsidRPr="007E4A45">
        <w:rPr>
          <w:rFonts w:cs="Arial" w:hint="cs"/>
          <w:rtl/>
        </w:rPr>
        <w:t>,</w:t>
      </w:r>
      <w:r w:rsidRPr="007E4A45">
        <w:rPr>
          <w:rFonts w:cs="Arial"/>
          <w:rtl/>
        </w:rPr>
        <w:t xml:space="preserve"> ואדרבה הלוה חייב ללכת עם המלוה כדאיתא בסוף פרק זה בורר </w:t>
      </w:r>
      <w:r w:rsidRPr="00AB3315">
        <w:rPr>
          <w:rFonts w:cs="Arial"/>
          <w:sz w:val="16"/>
          <w:szCs w:val="16"/>
          <w:rtl/>
        </w:rPr>
        <w:t>(לא:)</w:t>
      </w:r>
      <w:r w:rsidRPr="007E4A45">
        <w:rPr>
          <w:rFonts w:cs="Arial" w:hint="cs"/>
          <w:rtl/>
        </w:rPr>
        <w:t>,</w:t>
      </w:r>
      <w:r w:rsidRPr="007E4A45">
        <w:rPr>
          <w:rFonts w:cs="Arial"/>
          <w:rtl/>
        </w:rPr>
        <w:t xml:space="preserve"> וכל שכן שיש במונטסון בית דין יפה יותר ממקום שהוא דר שם</w:t>
      </w:r>
      <w:r>
        <w:rPr>
          <w:rStyle w:val="ab"/>
          <w:rFonts w:cs="Arial"/>
          <w:rtl/>
        </w:rPr>
        <w:footnoteReference w:id="762"/>
      </w:r>
      <w:r w:rsidRPr="007E4A45">
        <w:rPr>
          <w:rFonts w:cs="Arial" w:hint="cs"/>
          <w:rtl/>
        </w:rPr>
        <w:t xml:space="preserve">. </w:t>
      </w:r>
    </w:p>
    <w:p w14:paraId="29B3D071" w14:textId="77777777" w:rsidR="003240AF" w:rsidRDefault="003240AF" w:rsidP="009E5939">
      <w:pPr>
        <w:rPr>
          <w:rFonts w:cs="Arial"/>
          <w:rtl/>
        </w:rPr>
      </w:pPr>
      <w:r w:rsidRPr="003240AF">
        <w:rPr>
          <w:rFonts w:cs="Arial"/>
          <w:b/>
          <w:bCs/>
          <w:rtl/>
        </w:rPr>
        <w:t>ב</w:t>
      </w:r>
      <w:r w:rsidRPr="003240AF">
        <w:rPr>
          <w:rFonts w:cs="Arial" w:hint="cs"/>
          <w:b/>
          <w:bCs/>
          <w:rtl/>
        </w:rPr>
        <w:t xml:space="preserve">בא </w:t>
      </w:r>
      <w:r w:rsidRPr="003240AF">
        <w:rPr>
          <w:rFonts w:cs="Arial"/>
          <w:b/>
          <w:bCs/>
          <w:rtl/>
        </w:rPr>
        <w:t>מ</w:t>
      </w:r>
      <w:r w:rsidRPr="003240AF">
        <w:rPr>
          <w:rFonts w:cs="Arial" w:hint="cs"/>
          <w:b/>
          <w:bCs/>
          <w:rtl/>
        </w:rPr>
        <w:t>ציעא</w:t>
      </w:r>
      <w:r w:rsidRPr="003240AF">
        <w:rPr>
          <w:rFonts w:cs="Arial"/>
          <w:b/>
          <w:bCs/>
          <w:rtl/>
        </w:rPr>
        <w:t xml:space="preserve"> </w:t>
      </w:r>
      <w:r w:rsidRPr="003240AF">
        <w:rPr>
          <w:rFonts w:cs="Arial" w:hint="cs"/>
          <w:b/>
          <w:bCs/>
          <w:sz w:val="16"/>
          <w:szCs w:val="16"/>
          <w:rtl/>
        </w:rPr>
        <w:t>(</w:t>
      </w:r>
      <w:r w:rsidRPr="003240AF">
        <w:rPr>
          <w:rFonts w:cs="Arial"/>
          <w:b/>
          <w:bCs/>
          <w:sz w:val="16"/>
          <w:szCs w:val="16"/>
          <w:rtl/>
        </w:rPr>
        <w:t>פ</w:t>
      </w:r>
      <w:r w:rsidRPr="003240AF">
        <w:rPr>
          <w:rFonts w:cs="Arial" w:hint="cs"/>
          <w:b/>
          <w:bCs/>
          <w:sz w:val="16"/>
          <w:szCs w:val="16"/>
          <w:rtl/>
        </w:rPr>
        <w:t>'</w:t>
      </w:r>
      <w:r w:rsidRPr="003240AF">
        <w:rPr>
          <w:rFonts w:cs="Arial"/>
          <w:b/>
          <w:bCs/>
          <w:sz w:val="16"/>
          <w:szCs w:val="16"/>
          <w:rtl/>
        </w:rPr>
        <w:t xml:space="preserve"> איזהו נשך</w:t>
      </w:r>
      <w:r w:rsidRPr="003240AF">
        <w:rPr>
          <w:rFonts w:cs="Arial" w:hint="cs"/>
          <w:b/>
          <w:bCs/>
          <w:sz w:val="16"/>
          <w:szCs w:val="16"/>
          <w:rtl/>
        </w:rPr>
        <w:t>)</w:t>
      </w:r>
      <w:r w:rsidRPr="003240AF">
        <w:rPr>
          <w:rFonts w:cs="Arial" w:hint="cs"/>
          <w:b/>
          <w:bCs/>
          <w:rtl/>
        </w:rPr>
        <w:t xml:space="preserve"> ס</w:t>
      </w:r>
      <w:r w:rsidRPr="003240AF">
        <w:rPr>
          <w:rFonts w:cs="Arial"/>
          <w:b/>
          <w:bCs/>
          <w:rtl/>
        </w:rPr>
        <w:t>ט</w:t>
      </w:r>
      <w:r w:rsidR="00E94214">
        <w:rPr>
          <w:rStyle w:val="ab"/>
          <w:rFonts w:cs="Arial"/>
          <w:b/>
          <w:bCs/>
          <w:rtl/>
        </w:rPr>
        <w:footnoteReference w:id="763"/>
      </w:r>
      <w:r w:rsidRPr="003240AF">
        <w:rPr>
          <w:rFonts w:cs="Arial" w:hint="cs"/>
          <w:b/>
          <w:bCs/>
          <w:rtl/>
        </w:rPr>
        <w:t xml:space="preserve"> ע"א: </w:t>
      </w:r>
      <w:r w:rsidRPr="003240AF">
        <w:rPr>
          <w:rFonts w:cs="Arial"/>
          <w:rtl/>
        </w:rPr>
        <w:t>הנהו תרי כותאי דעבוד עסקא בהדי הדדי, אזיל חד מנייהו פליג זוזי בלא דעתיה דחבריה</w:t>
      </w:r>
      <w:r w:rsidR="00F52D4A">
        <w:rPr>
          <w:rStyle w:val="ab"/>
          <w:rFonts w:cs="Arial"/>
          <w:rtl/>
        </w:rPr>
        <w:footnoteReference w:id="764"/>
      </w:r>
      <w:r w:rsidRPr="003240AF">
        <w:rPr>
          <w:rFonts w:cs="Arial"/>
          <w:rtl/>
        </w:rPr>
        <w:t xml:space="preserve">. אתו לקמיה דרב פפא, </w:t>
      </w:r>
      <w:r w:rsidRPr="00F52D4A">
        <w:rPr>
          <w:rFonts w:cs="Arial"/>
          <w:u w:val="single"/>
          <w:rtl/>
        </w:rPr>
        <w:t>אמר ליה:</w:t>
      </w:r>
      <w:r w:rsidRPr="003240AF">
        <w:rPr>
          <w:rFonts w:cs="Arial"/>
          <w:rtl/>
        </w:rPr>
        <w:t xml:space="preserve"> מאי נפקא מינה? הכי אמר רב נחמן: זוזי כמאן דפליגי דמו. לשנה</w:t>
      </w:r>
      <w:r w:rsidR="00357763">
        <w:rPr>
          <w:rFonts w:cs="Arial" w:hint="cs"/>
          <w:rtl/>
        </w:rPr>
        <w:t>,</w:t>
      </w:r>
      <w:r w:rsidRPr="003240AF">
        <w:rPr>
          <w:rFonts w:cs="Arial"/>
          <w:rtl/>
        </w:rPr>
        <w:t xml:space="preserve"> זבון חמרא בהדי הדדי, קם אידך</w:t>
      </w:r>
      <w:r w:rsidR="00F52D4A">
        <w:rPr>
          <w:rStyle w:val="ab"/>
          <w:rFonts w:cs="Arial"/>
          <w:rtl/>
        </w:rPr>
        <w:footnoteReference w:id="765"/>
      </w:r>
      <w:r w:rsidRPr="003240AF">
        <w:rPr>
          <w:rFonts w:cs="Arial"/>
          <w:rtl/>
        </w:rPr>
        <w:t xml:space="preserve"> פליג ליה בלא דעתיה דחבריה. אתו לקמיה דרב פפא. </w:t>
      </w:r>
      <w:r w:rsidRPr="00F52D4A">
        <w:rPr>
          <w:rFonts w:cs="Arial"/>
          <w:u w:val="single"/>
          <w:rtl/>
        </w:rPr>
        <w:t>אמר ליה</w:t>
      </w:r>
      <w:r w:rsidRPr="003240AF">
        <w:rPr>
          <w:rFonts w:cs="Arial"/>
          <w:rtl/>
        </w:rPr>
        <w:t>: מאן פלג לך</w:t>
      </w:r>
      <w:r w:rsidR="00F52D4A">
        <w:rPr>
          <w:rStyle w:val="ab"/>
          <w:rFonts w:cs="Arial"/>
          <w:rtl/>
        </w:rPr>
        <w:footnoteReference w:id="766"/>
      </w:r>
      <w:r w:rsidRPr="003240AF">
        <w:rPr>
          <w:rFonts w:cs="Arial"/>
          <w:rtl/>
        </w:rPr>
        <w:t xml:space="preserve">? אמר </w:t>
      </w:r>
      <w:r w:rsidRPr="003240AF">
        <w:rPr>
          <w:rFonts w:cs="Arial"/>
          <w:rtl/>
        </w:rPr>
        <w:lastRenderedPageBreak/>
        <w:t>ליה: קא חזינא דבתר דידי קא אתי מר</w:t>
      </w:r>
      <w:r w:rsidR="00F52D4A">
        <w:rPr>
          <w:rStyle w:val="ab"/>
          <w:rFonts w:cs="Arial"/>
          <w:rtl/>
        </w:rPr>
        <w:footnoteReference w:id="767"/>
      </w:r>
      <w:r w:rsidRPr="003240AF">
        <w:rPr>
          <w:rFonts w:cs="Arial"/>
          <w:rtl/>
        </w:rPr>
        <w:t xml:space="preserve">. </w:t>
      </w:r>
      <w:r w:rsidRPr="00F52D4A">
        <w:rPr>
          <w:rFonts w:cs="Arial"/>
          <w:u w:val="single"/>
          <w:rtl/>
        </w:rPr>
        <w:t>אמר רב פפא</w:t>
      </w:r>
      <w:r w:rsidRPr="003240AF">
        <w:rPr>
          <w:rFonts w:cs="Arial"/>
          <w:rtl/>
        </w:rPr>
        <w:t>: כהאי גונא ודאי צריך לאודועיה</w:t>
      </w:r>
      <w:r w:rsidR="00E94214">
        <w:rPr>
          <w:rStyle w:val="ab"/>
          <w:rFonts w:cs="Arial"/>
          <w:rtl/>
        </w:rPr>
        <w:footnoteReference w:id="768"/>
      </w:r>
      <w:r w:rsidRPr="003240AF">
        <w:rPr>
          <w:rFonts w:cs="Arial"/>
          <w:rtl/>
        </w:rPr>
        <w:t>. זוזי, מי שקיל טבי ושביק חסרי</w:t>
      </w:r>
      <w:r w:rsidR="00F52D4A">
        <w:rPr>
          <w:rStyle w:val="ab"/>
          <w:rFonts w:cs="Arial"/>
          <w:rtl/>
        </w:rPr>
        <w:footnoteReference w:id="769"/>
      </w:r>
      <w:r w:rsidRPr="003240AF">
        <w:rPr>
          <w:rFonts w:cs="Arial"/>
          <w:rtl/>
        </w:rPr>
        <w:t>? חמרא, כולי עלמא ידעי דאיכא דבסים ואיכא דלא בסים.</w:t>
      </w:r>
    </w:p>
    <w:p w14:paraId="72503705" w14:textId="77777777" w:rsidR="008D7640" w:rsidRDefault="00A17F00" w:rsidP="00A17F00">
      <w:pPr>
        <w:rPr>
          <w:rFonts w:cs="Arial"/>
          <w:rtl/>
        </w:rPr>
      </w:pPr>
      <w:r>
        <w:rPr>
          <w:rFonts w:cs="Arial" w:hint="cs"/>
          <w:b/>
          <w:bCs/>
          <w:rtl/>
        </w:rPr>
        <w:t xml:space="preserve">סנהדרין </w:t>
      </w:r>
      <w:r w:rsidRPr="00BE67D7">
        <w:rPr>
          <w:rFonts w:cs="Arial" w:hint="cs"/>
          <w:b/>
          <w:bCs/>
          <w:sz w:val="16"/>
          <w:szCs w:val="16"/>
          <w:rtl/>
        </w:rPr>
        <w:t xml:space="preserve">(ס"פ זה בורר) </w:t>
      </w:r>
      <w:r>
        <w:rPr>
          <w:rFonts w:cs="Arial" w:hint="cs"/>
          <w:b/>
          <w:bCs/>
          <w:rtl/>
        </w:rPr>
        <w:t>לא</w:t>
      </w:r>
      <w:r w:rsidR="00114436">
        <w:rPr>
          <w:rStyle w:val="ab"/>
          <w:rFonts w:cs="Arial"/>
          <w:b/>
          <w:bCs/>
          <w:rtl/>
        </w:rPr>
        <w:footnoteReference w:id="770"/>
      </w:r>
      <w:r>
        <w:rPr>
          <w:rFonts w:cs="Arial" w:hint="cs"/>
          <w:b/>
          <w:bCs/>
          <w:rtl/>
        </w:rPr>
        <w:t xml:space="preserve"> ע"ב: </w:t>
      </w:r>
      <w:r w:rsidRPr="00203683">
        <w:rPr>
          <w:rFonts w:cs="Arial"/>
          <w:u w:val="single"/>
          <w:rtl/>
        </w:rPr>
        <w:t>אמר רב ספרא אמר רבי יוחנן</w:t>
      </w:r>
      <w:r w:rsidRPr="00203683">
        <w:rPr>
          <w:rFonts w:cs="Arial"/>
          <w:rtl/>
        </w:rPr>
        <w:t>: שנים שנתעצמו בדין, אחד אומר נדון כאן ואחד אומר: נלך למקום הוועד - כופין אותו ודן בעירו, ואם הוצרך דבר לשאול כותבין ושולחין. ואם אמר: כתבו ותנו לי מאיזה טעם דנתוני - כותבין ונותנין לו.</w:t>
      </w:r>
    </w:p>
    <w:p w14:paraId="0A5BAEF5" w14:textId="77777777" w:rsidR="008D7640" w:rsidRPr="008D7640" w:rsidRDefault="00A6702F" w:rsidP="00A17F00">
      <w:pPr>
        <w:rPr>
          <w:rFonts w:cs="Arial"/>
          <w:u w:val="single"/>
          <w:rtl/>
        </w:rPr>
      </w:pPr>
      <w:r>
        <w:rPr>
          <w:rFonts w:cs="Arial" w:hint="cs"/>
          <w:u w:val="single"/>
          <w:rtl/>
        </w:rPr>
        <w:t>בעל דין שמבקש מהדיינים שיכתבו לו את הטעם לפסיקת הדין</w:t>
      </w:r>
      <w:r w:rsidR="008D7640" w:rsidRPr="008D7640">
        <w:rPr>
          <w:rFonts w:cs="Arial" w:hint="cs"/>
          <w:u w:val="single"/>
          <w:rtl/>
        </w:rPr>
        <w:t>:</w:t>
      </w:r>
    </w:p>
    <w:p w14:paraId="7A53B575" w14:textId="77777777" w:rsidR="00E94214" w:rsidRPr="00E94214" w:rsidRDefault="00A6702F" w:rsidP="004B0475">
      <w:pPr>
        <w:pStyle w:val="ac"/>
        <w:numPr>
          <w:ilvl w:val="0"/>
          <w:numId w:val="13"/>
        </w:numPr>
        <w:rPr>
          <w:rFonts w:cs="Arial"/>
          <w:b/>
          <w:bCs/>
        </w:rPr>
      </w:pPr>
      <w:r>
        <w:rPr>
          <w:rFonts w:cs="Arial" w:hint="cs"/>
          <w:rtl/>
        </w:rPr>
        <w:t xml:space="preserve">רא"ש </w:t>
      </w:r>
      <w:r w:rsidRPr="00A17F00">
        <w:rPr>
          <w:rFonts w:hint="cs"/>
          <w:sz w:val="16"/>
          <w:szCs w:val="16"/>
          <w:rtl/>
        </w:rPr>
        <w:t>(</w:t>
      </w:r>
      <w:r>
        <w:rPr>
          <w:rFonts w:hint="cs"/>
          <w:sz w:val="16"/>
          <w:szCs w:val="16"/>
          <w:rtl/>
        </w:rPr>
        <w:t>ב"מ פ' איזהו נשך סי' מה</w:t>
      </w:r>
      <w:r w:rsidRPr="00A17F00">
        <w:rPr>
          <w:rFonts w:hint="cs"/>
          <w:sz w:val="16"/>
          <w:szCs w:val="16"/>
          <w:rtl/>
        </w:rPr>
        <w:t>)</w:t>
      </w:r>
      <w:r>
        <w:rPr>
          <w:rFonts w:hint="cs"/>
          <w:rtl/>
        </w:rPr>
        <w:t xml:space="preserve"> </w:t>
      </w:r>
      <w:r w:rsidR="00521B57">
        <w:rPr>
          <w:rFonts w:cs="Arial" w:hint="cs"/>
          <w:rtl/>
        </w:rPr>
        <w:t>ו</w:t>
      </w:r>
      <w:r w:rsidR="00A17F00" w:rsidRPr="008D7640">
        <w:rPr>
          <w:rFonts w:cs="Arial" w:hint="cs"/>
          <w:rtl/>
        </w:rPr>
        <w:t>טור-</w:t>
      </w:r>
      <w:r w:rsidR="00A17F00" w:rsidRPr="008D7640">
        <w:rPr>
          <w:rFonts w:cs="Arial"/>
          <w:rtl/>
        </w:rPr>
        <w:t xml:space="preserve"> </w:t>
      </w:r>
      <w:r w:rsidR="00F13955" w:rsidRPr="00F13955">
        <w:rPr>
          <w:rFonts w:cs="Arial"/>
          <w:rtl/>
        </w:rPr>
        <w:t>אף במקום שאין שומעין לנתבע להסתלק מן הדין אם אמר</w:t>
      </w:r>
      <w:r w:rsidR="00F13955">
        <w:rPr>
          <w:rStyle w:val="ab"/>
          <w:rFonts w:cs="Arial"/>
          <w:rtl/>
        </w:rPr>
        <w:footnoteReference w:id="771"/>
      </w:r>
      <w:r w:rsidR="00F13955" w:rsidRPr="00F13955">
        <w:rPr>
          <w:rFonts w:cs="Arial"/>
          <w:rtl/>
        </w:rPr>
        <w:t xml:space="preserve"> לדיין כתוב לי מאיזה טעם דנתני </w:t>
      </w:r>
      <w:r w:rsidR="00F13955">
        <w:rPr>
          <w:rFonts w:cs="Arial" w:hint="cs"/>
          <w:rtl/>
        </w:rPr>
        <w:t xml:space="preserve">- </w:t>
      </w:r>
      <w:r w:rsidR="00F13955" w:rsidRPr="00F13955">
        <w:rPr>
          <w:rFonts w:cs="Arial"/>
          <w:rtl/>
        </w:rPr>
        <w:t>כותבין ונותנין לו</w:t>
      </w:r>
      <w:r w:rsidR="00F13955">
        <w:rPr>
          <w:rFonts w:cs="Arial" w:hint="cs"/>
          <w:rtl/>
        </w:rPr>
        <w:t>.</w:t>
      </w:r>
      <w:r w:rsidR="00F13955" w:rsidRPr="00F13955">
        <w:rPr>
          <w:rFonts w:cs="Arial"/>
          <w:rtl/>
        </w:rPr>
        <w:t xml:space="preserve"> ואם יראה לדיין שבעל הדין חושדו שנוטה הדין כנגדו </w:t>
      </w:r>
      <w:r w:rsidR="00F13955">
        <w:rPr>
          <w:rFonts w:cs="Arial" w:hint="cs"/>
          <w:rtl/>
        </w:rPr>
        <w:t xml:space="preserve">- </w:t>
      </w:r>
      <w:r w:rsidR="00F13955" w:rsidRPr="00F13955">
        <w:rPr>
          <w:rFonts w:cs="Arial"/>
          <w:rtl/>
        </w:rPr>
        <w:t>צריך להודיעו מאיזה טעם דנו אפילו אם לא ישאל</w:t>
      </w:r>
      <w:r w:rsidR="00F13955">
        <w:rPr>
          <w:rFonts w:cs="Arial" w:hint="cs"/>
          <w:rtl/>
        </w:rPr>
        <w:t>,</w:t>
      </w:r>
      <w:r w:rsidR="00F13955" w:rsidRPr="00F13955">
        <w:rPr>
          <w:rFonts w:cs="Arial"/>
          <w:rtl/>
        </w:rPr>
        <w:t xml:space="preserve"> כדי שיהיה נקי מהשם ומישראל </w:t>
      </w:r>
      <w:r w:rsidR="00521B57">
        <w:rPr>
          <w:rFonts w:cs="Arial" w:hint="cs"/>
          <w:sz w:val="16"/>
          <w:szCs w:val="16"/>
          <w:rtl/>
        </w:rPr>
        <w:t>(ל' הטור)</w:t>
      </w:r>
      <w:r w:rsidR="00A17F00" w:rsidRPr="008D7640">
        <w:rPr>
          <w:rFonts w:cs="Arial" w:hint="cs"/>
          <w:rtl/>
        </w:rPr>
        <w:t xml:space="preserve">. </w:t>
      </w:r>
      <w:r w:rsidR="00F13955" w:rsidRPr="00350957">
        <w:rPr>
          <w:rFonts w:hint="cs"/>
          <w:color w:val="E36C0A" w:themeColor="accent6" w:themeShade="BF"/>
          <w:rtl/>
        </w:rPr>
        <w:t>(וכ"פ בשו"ע</w:t>
      </w:r>
      <w:r w:rsidR="00F13955" w:rsidRPr="00350957">
        <w:rPr>
          <w:rFonts w:hint="cs"/>
          <w:color w:val="E36C0A" w:themeColor="accent6" w:themeShade="BF"/>
          <w:sz w:val="16"/>
          <w:szCs w:val="16"/>
          <w:rtl/>
        </w:rPr>
        <w:t xml:space="preserve"> </w:t>
      </w:r>
      <w:r w:rsidR="00F13955">
        <w:rPr>
          <w:rFonts w:hint="cs"/>
          <w:sz w:val="16"/>
          <w:szCs w:val="16"/>
          <w:rtl/>
        </w:rPr>
        <w:t>[סע' ד]</w:t>
      </w:r>
      <w:r w:rsidR="00F13955" w:rsidRPr="00350957">
        <w:rPr>
          <w:rFonts w:hint="cs"/>
          <w:color w:val="E36C0A" w:themeColor="accent6" w:themeShade="BF"/>
          <w:rtl/>
        </w:rPr>
        <w:t>)</w:t>
      </w:r>
    </w:p>
    <w:p w14:paraId="78653C24" w14:textId="77777777" w:rsidR="00A17F00" w:rsidRPr="00521B57" w:rsidRDefault="00A17F00" w:rsidP="00521B57">
      <w:pPr>
        <w:ind w:left="360"/>
        <w:rPr>
          <w:rFonts w:cs="Arial"/>
          <w:u w:val="dotted"/>
          <w:rtl/>
        </w:rPr>
      </w:pPr>
      <w:r w:rsidRPr="00521B57">
        <w:rPr>
          <w:rFonts w:cs="Arial" w:hint="cs"/>
          <w:u w:val="dotted"/>
          <w:rtl/>
        </w:rPr>
        <w:t xml:space="preserve">האם </w:t>
      </w:r>
      <w:r w:rsidR="00F07EBD">
        <w:rPr>
          <w:rFonts w:cs="Arial" w:hint="cs"/>
          <w:u w:val="dotted"/>
          <w:rtl/>
        </w:rPr>
        <w:t>יש הבדל אם דנו אותו בכפייה או שבאו בעלי הדין מעצמם:</w:t>
      </w:r>
      <w:r w:rsidRPr="00521B57">
        <w:rPr>
          <w:rFonts w:cs="Arial" w:hint="cs"/>
          <w:u w:val="dotted"/>
          <w:rtl/>
        </w:rPr>
        <w:t xml:space="preserve"> </w:t>
      </w:r>
    </w:p>
    <w:p w14:paraId="5EC12DFB" w14:textId="77777777" w:rsidR="00AE782C" w:rsidRPr="00AE782C" w:rsidRDefault="00521B57" w:rsidP="004B0475">
      <w:pPr>
        <w:pStyle w:val="ac"/>
        <w:numPr>
          <w:ilvl w:val="0"/>
          <w:numId w:val="12"/>
        </w:numPr>
        <w:rPr>
          <w:rFonts w:cs="Arial"/>
        </w:rPr>
      </w:pPr>
      <w:r w:rsidRPr="00A17F00">
        <w:rPr>
          <w:rFonts w:cs="Arial"/>
          <w:rtl/>
        </w:rPr>
        <w:t>ר</w:t>
      </w:r>
      <w:r w:rsidRPr="00A17F00">
        <w:rPr>
          <w:rFonts w:cs="Arial" w:hint="cs"/>
          <w:rtl/>
        </w:rPr>
        <w:t>"ת</w:t>
      </w:r>
      <w:r w:rsidRPr="00A17F00">
        <w:rPr>
          <w:rFonts w:cs="Arial"/>
          <w:rtl/>
        </w:rPr>
        <w:t xml:space="preserve"> </w:t>
      </w:r>
      <w:r w:rsidR="00EA62E0">
        <w:rPr>
          <w:rFonts w:cs="Arial" w:hint="cs"/>
          <w:rtl/>
        </w:rPr>
        <w:t>תוס'</w:t>
      </w:r>
      <w:r>
        <w:rPr>
          <w:rFonts w:cs="Arial"/>
          <w:rtl/>
        </w:rPr>
        <w:t xml:space="preserve"> ראב"ד</w:t>
      </w:r>
      <w:r>
        <w:rPr>
          <w:rFonts w:cs="Arial" w:hint="cs"/>
          <w:rtl/>
        </w:rPr>
        <w:t xml:space="preserve"> </w:t>
      </w:r>
      <w:r w:rsidR="00D73DEA">
        <w:rPr>
          <w:rFonts w:cs="Arial" w:hint="cs"/>
          <w:rtl/>
        </w:rPr>
        <w:t xml:space="preserve">רמב"ם </w:t>
      </w:r>
      <w:r>
        <w:rPr>
          <w:rFonts w:cs="Arial"/>
          <w:rtl/>
        </w:rPr>
        <w:t xml:space="preserve">רמב"ן סמ"ג </w:t>
      </w:r>
      <w:r w:rsidR="00047CD7">
        <w:rPr>
          <w:rFonts w:cs="Arial" w:hint="cs"/>
          <w:rtl/>
        </w:rPr>
        <w:t xml:space="preserve">מהר"ם </w:t>
      </w:r>
      <w:r>
        <w:rPr>
          <w:rFonts w:cs="Arial"/>
          <w:rtl/>
        </w:rPr>
        <w:t>רשב"א</w:t>
      </w:r>
      <w:r>
        <w:rPr>
          <w:rStyle w:val="ab"/>
          <w:rFonts w:cs="Arial"/>
          <w:rtl/>
        </w:rPr>
        <w:footnoteReference w:id="772"/>
      </w:r>
      <w:r w:rsidRPr="00A17F00">
        <w:rPr>
          <w:rFonts w:cs="Arial"/>
          <w:sz w:val="16"/>
          <w:szCs w:val="16"/>
          <w:rtl/>
        </w:rPr>
        <w:t xml:space="preserve"> </w:t>
      </w:r>
      <w:r>
        <w:rPr>
          <w:rFonts w:cs="Arial"/>
          <w:rtl/>
        </w:rPr>
        <w:t xml:space="preserve">ר"ן </w:t>
      </w:r>
      <w:r>
        <w:rPr>
          <w:rFonts w:cs="Arial" w:hint="cs"/>
          <w:rtl/>
        </w:rPr>
        <w:t>ונמוק"י</w:t>
      </w:r>
      <w:r>
        <w:rPr>
          <w:rStyle w:val="ab"/>
          <w:rFonts w:cs="Arial"/>
          <w:rtl/>
        </w:rPr>
        <w:footnoteReference w:id="773"/>
      </w:r>
      <w:r>
        <w:rPr>
          <w:rFonts w:cs="Arial" w:hint="cs"/>
          <w:rtl/>
        </w:rPr>
        <w:t xml:space="preserve">- </w:t>
      </w:r>
      <w:r w:rsidRPr="00A17F00">
        <w:rPr>
          <w:rFonts w:cs="Arial"/>
          <w:rtl/>
        </w:rPr>
        <w:t>היינו דוקא היכא שדנוהו תחלה על ידי כפיה</w:t>
      </w:r>
      <w:r>
        <w:rPr>
          <w:rFonts w:cs="Arial" w:hint="cs"/>
          <w:rtl/>
        </w:rPr>
        <w:t>,</w:t>
      </w:r>
      <w:r w:rsidRPr="00A17F00">
        <w:rPr>
          <w:rFonts w:cs="Arial"/>
          <w:rtl/>
        </w:rPr>
        <w:t xml:space="preserve"> אבל אם מדעתו דנוהו מתחלה </w:t>
      </w:r>
      <w:r>
        <w:rPr>
          <w:rFonts w:cs="Arial" w:hint="cs"/>
          <w:rtl/>
        </w:rPr>
        <w:t xml:space="preserve">- </w:t>
      </w:r>
      <w:r w:rsidRPr="00A17F00">
        <w:rPr>
          <w:rFonts w:cs="Arial"/>
          <w:rtl/>
        </w:rPr>
        <w:t>אין כותבין לו</w:t>
      </w:r>
      <w:r w:rsidR="00475E25">
        <w:rPr>
          <w:rStyle w:val="ab"/>
          <w:rFonts w:cs="Arial"/>
          <w:rtl/>
        </w:rPr>
        <w:footnoteReference w:id="774"/>
      </w:r>
      <w:r w:rsidRPr="00A17F00">
        <w:rPr>
          <w:rFonts w:cs="Arial"/>
          <w:rtl/>
        </w:rPr>
        <w:t xml:space="preserve">. </w:t>
      </w:r>
      <w:r w:rsidRPr="00350957">
        <w:rPr>
          <w:rFonts w:cs="Arial" w:hint="cs"/>
          <w:color w:val="00B0F0"/>
          <w:rtl/>
        </w:rPr>
        <w:t>(וכ"פ הרמ"א</w:t>
      </w:r>
      <w:r w:rsidRPr="00350957">
        <w:rPr>
          <w:rFonts w:cs="Arial" w:hint="cs"/>
          <w:color w:val="00B0F0"/>
          <w:sz w:val="16"/>
          <w:szCs w:val="16"/>
          <w:rtl/>
        </w:rPr>
        <w:t xml:space="preserve"> </w:t>
      </w:r>
      <w:r>
        <w:rPr>
          <w:rFonts w:cs="Arial" w:hint="cs"/>
          <w:sz w:val="16"/>
          <w:szCs w:val="16"/>
          <w:rtl/>
        </w:rPr>
        <w:t>[סע' ד]</w:t>
      </w:r>
      <w:r w:rsidRPr="00350957">
        <w:rPr>
          <w:rFonts w:cs="Arial" w:hint="cs"/>
          <w:color w:val="00B0F0"/>
          <w:rtl/>
        </w:rPr>
        <w:t>)</w:t>
      </w:r>
    </w:p>
    <w:p w14:paraId="340DEE98" w14:textId="77777777" w:rsidR="00B65DA5" w:rsidRPr="009A1175" w:rsidRDefault="00F13955" w:rsidP="004B0475">
      <w:pPr>
        <w:pStyle w:val="ac"/>
        <w:numPr>
          <w:ilvl w:val="0"/>
          <w:numId w:val="12"/>
        </w:numPr>
        <w:rPr>
          <w:rFonts w:cs="Arial"/>
          <w:rtl/>
        </w:rPr>
      </w:pPr>
      <w:r>
        <w:rPr>
          <w:rFonts w:hint="cs"/>
          <w:rtl/>
        </w:rPr>
        <w:t xml:space="preserve">רא"ש </w:t>
      </w:r>
      <w:r w:rsidRPr="00A17F00">
        <w:rPr>
          <w:rFonts w:hint="cs"/>
          <w:sz w:val="16"/>
          <w:szCs w:val="16"/>
          <w:rtl/>
        </w:rPr>
        <w:t>(</w:t>
      </w:r>
      <w:r>
        <w:rPr>
          <w:rFonts w:hint="cs"/>
          <w:sz w:val="16"/>
          <w:szCs w:val="16"/>
          <w:rtl/>
        </w:rPr>
        <w:t>ב"מ פ' איזהו נשך סי' מה</w:t>
      </w:r>
      <w:r w:rsidRPr="00A17F00">
        <w:rPr>
          <w:rFonts w:hint="cs"/>
          <w:sz w:val="16"/>
          <w:szCs w:val="16"/>
          <w:rtl/>
        </w:rPr>
        <w:t>)</w:t>
      </w:r>
      <w:r>
        <w:rPr>
          <w:rFonts w:cs="Arial" w:hint="cs"/>
          <w:rtl/>
        </w:rPr>
        <w:t xml:space="preserve"> ו</w:t>
      </w:r>
      <w:r w:rsidR="00B65DA5" w:rsidRPr="009A1175">
        <w:rPr>
          <w:rFonts w:cs="Arial" w:hint="cs"/>
          <w:rtl/>
        </w:rPr>
        <w:t>רי"ו</w:t>
      </w:r>
      <w:r w:rsidR="00B65DA5" w:rsidRPr="009A1175">
        <w:rPr>
          <w:rFonts w:cs="Arial"/>
          <w:rtl/>
        </w:rPr>
        <w:t xml:space="preserve"> </w:t>
      </w:r>
      <w:r w:rsidR="00B65DA5" w:rsidRPr="009A1175">
        <w:rPr>
          <w:rFonts w:cs="Arial"/>
          <w:sz w:val="16"/>
          <w:szCs w:val="16"/>
          <w:rtl/>
        </w:rPr>
        <w:t>(נ"א ח"ד ט:)</w:t>
      </w:r>
      <w:r w:rsidR="00B65DA5" w:rsidRPr="009A1175">
        <w:rPr>
          <w:rFonts w:cs="Arial" w:hint="cs"/>
          <w:rtl/>
        </w:rPr>
        <w:t>-</w:t>
      </w:r>
      <w:r w:rsidR="00B65DA5" w:rsidRPr="009A1175">
        <w:rPr>
          <w:rFonts w:cs="Arial"/>
          <w:rtl/>
        </w:rPr>
        <w:t xml:space="preserve"> </w:t>
      </w:r>
      <w:r w:rsidR="0023742C" w:rsidRPr="0023742C">
        <w:rPr>
          <w:rFonts w:cs="Arial"/>
          <w:rtl/>
        </w:rPr>
        <w:t>בי</w:t>
      </w:r>
      <w:r w:rsidR="0023742C">
        <w:rPr>
          <w:rFonts w:cs="Arial" w:hint="cs"/>
          <w:rtl/>
        </w:rPr>
        <w:t>ן</w:t>
      </w:r>
      <w:r w:rsidR="0023742C" w:rsidRPr="0023742C">
        <w:rPr>
          <w:rFonts w:cs="Arial"/>
          <w:rtl/>
        </w:rPr>
        <w:t xml:space="preserve"> אם דנוהו בכפי</w:t>
      </w:r>
      <w:r w:rsidR="0023742C">
        <w:rPr>
          <w:rFonts w:cs="Arial" w:hint="cs"/>
          <w:rtl/>
        </w:rPr>
        <w:t>ה</w:t>
      </w:r>
      <w:r w:rsidR="0023742C" w:rsidRPr="0023742C">
        <w:rPr>
          <w:rFonts w:cs="Arial"/>
          <w:rtl/>
        </w:rPr>
        <w:t xml:space="preserve"> בין לא דנוהו בכפייה מ"מ נותנין</w:t>
      </w:r>
      <w:r>
        <w:rPr>
          <w:rFonts w:cs="Arial" w:hint="cs"/>
          <w:sz w:val="16"/>
          <w:szCs w:val="16"/>
          <w:rtl/>
        </w:rPr>
        <w:t xml:space="preserve"> (ל' רי"ו)</w:t>
      </w:r>
      <w:r w:rsidR="0023742C" w:rsidRPr="009A1175">
        <w:rPr>
          <w:rFonts w:cs="Arial"/>
          <w:rtl/>
        </w:rPr>
        <w:t>.</w:t>
      </w:r>
      <w:r w:rsidR="00475E25">
        <w:rPr>
          <w:rFonts w:cs="Arial" w:hint="cs"/>
          <w:rtl/>
        </w:rPr>
        <w:t xml:space="preserve"> </w:t>
      </w:r>
    </w:p>
    <w:p w14:paraId="15871317" w14:textId="77777777" w:rsidR="00475E25" w:rsidRPr="00AE782C" w:rsidRDefault="00475E25" w:rsidP="00475E25">
      <w:pPr>
        <w:ind w:left="360"/>
        <w:rPr>
          <w:rFonts w:cs="Arial"/>
          <w:u w:val="dotted"/>
          <w:rtl/>
        </w:rPr>
      </w:pPr>
      <w:r>
        <w:rPr>
          <w:rFonts w:cs="Arial" w:hint="cs"/>
          <w:u w:val="dotted"/>
          <w:rtl/>
        </w:rPr>
        <w:t>ומה הדין אם הבעל דין מלגלג על הפסק ומבקש שיכתבו לו:</w:t>
      </w:r>
    </w:p>
    <w:p w14:paraId="79F412F9" w14:textId="77777777" w:rsidR="00475E25" w:rsidRPr="00DC0659" w:rsidRDefault="00475E25" w:rsidP="004B0475">
      <w:pPr>
        <w:pStyle w:val="ac"/>
        <w:numPr>
          <w:ilvl w:val="0"/>
          <w:numId w:val="13"/>
        </w:numPr>
      </w:pPr>
      <w:r w:rsidRPr="00DC0659">
        <w:rPr>
          <w:rFonts w:cs="Arial"/>
          <w:rtl/>
        </w:rPr>
        <w:t>נמוק</w:t>
      </w:r>
      <w:r w:rsidRPr="00DC0659">
        <w:rPr>
          <w:rFonts w:cs="Arial" w:hint="cs"/>
          <w:rtl/>
        </w:rPr>
        <w:t>"</w:t>
      </w:r>
      <w:r w:rsidRPr="00DC0659">
        <w:rPr>
          <w:rFonts w:cs="Arial"/>
          <w:rtl/>
        </w:rPr>
        <w:t>י</w:t>
      </w:r>
      <w:r w:rsidRPr="00DC0659">
        <w:rPr>
          <w:rFonts w:cs="Arial"/>
          <w:sz w:val="16"/>
          <w:szCs w:val="16"/>
          <w:rtl/>
        </w:rPr>
        <w:t xml:space="preserve"> (ב"מ מ: ד"ה הנהו</w:t>
      </w:r>
      <w:r w:rsidRPr="00DC0659">
        <w:rPr>
          <w:rFonts w:cs="Arial" w:hint="cs"/>
          <w:sz w:val="16"/>
          <w:szCs w:val="16"/>
          <w:rtl/>
        </w:rPr>
        <w:t>, הביאו</w:t>
      </w:r>
      <w:r>
        <w:rPr>
          <w:rFonts w:cs="Arial" w:hint="cs"/>
          <w:sz w:val="16"/>
          <w:szCs w:val="16"/>
          <w:rtl/>
        </w:rPr>
        <w:t>הו הב"י</w:t>
      </w:r>
      <w:r w:rsidRPr="00DC0659">
        <w:rPr>
          <w:rFonts w:cs="Arial" w:hint="cs"/>
          <w:sz w:val="16"/>
          <w:szCs w:val="16"/>
          <w:rtl/>
        </w:rPr>
        <w:t xml:space="preserve"> </w:t>
      </w:r>
      <w:r>
        <w:rPr>
          <w:rFonts w:cs="Arial" w:hint="cs"/>
          <w:sz w:val="16"/>
          <w:szCs w:val="16"/>
          <w:rtl/>
        </w:rPr>
        <w:t>ו</w:t>
      </w:r>
      <w:r w:rsidRPr="00DC0659">
        <w:rPr>
          <w:rFonts w:cs="Arial" w:hint="cs"/>
          <w:sz w:val="16"/>
          <w:szCs w:val="16"/>
          <w:rtl/>
        </w:rPr>
        <w:t>הדרכ"מ [אות ט]</w:t>
      </w:r>
      <w:r w:rsidRPr="00DC0659">
        <w:rPr>
          <w:rFonts w:cs="Arial"/>
          <w:sz w:val="16"/>
          <w:szCs w:val="16"/>
          <w:rtl/>
        </w:rPr>
        <w:t>)</w:t>
      </w:r>
      <w:r w:rsidRPr="00DC0659">
        <w:rPr>
          <w:rFonts w:cs="Arial" w:hint="cs"/>
          <w:rtl/>
        </w:rPr>
        <w:t xml:space="preserve">- </w:t>
      </w:r>
      <w:r w:rsidRPr="00DC0659">
        <w:rPr>
          <w:rFonts w:cs="Arial"/>
          <w:rtl/>
        </w:rPr>
        <w:t xml:space="preserve">אם היה מלגלג על הדין </w:t>
      </w:r>
      <w:r w:rsidR="00F07EBD">
        <w:rPr>
          <w:rFonts w:cs="Arial" w:hint="cs"/>
          <w:rtl/>
        </w:rPr>
        <w:t xml:space="preserve">- </w:t>
      </w:r>
      <w:r w:rsidRPr="00DC0659">
        <w:rPr>
          <w:rFonts w:cs="Arial"/>
          <w:rtl/>
        </w:rPr>
        <w:t>לא מודעינן ליה טעמא דדינא</w:t>
      </w:r>
      <w:r w:rsidR="00F07EBD">
        <w:rPr>
          <w:rFonts w:cs="Arial" w:hint="cs"/>
          <w:rtl/>
        </w:rPr>
        <w:t>,</w:t>
      </w:r>
      <w:r w:rsidRPr="00DC0659">
        <w:rPr>
          <w:rFonts w:cs="Arial"/>
          <w:rtl/>
        </w:rPr>
        <w:t xml:space="preserve"> ואדרבה משמתינן ליה כגברא דמפקר בבית דין</w:t>
      </w:r>
      <w:r w:rsidRPr="00DC0659">
        <w:rPr>
          <w:rFonts w:cs="Arial" w:hint="cs"/>
          <w:rtl/>
        </w:rPr>
        <w:t xml:space="preserve">. </w:t>
      </w:r>
    </w:p>
    <w:p w14:paraId="2388CE73" w14:textId="77777777" w:rsidR="00E323AB" w:rsidRDefault="00E323AB" w:rsidP="00F03CB0">
      <w:pPr>
        <w:rPr>
          <w:rFonts w:cs="Arial"/>
          <w:rtl/>
        </w:rPr>
      </w:pPr>
      <w:r w:rsidRPr="00E323AB">
        <w:rPr>
          <w:rFonts w:cs="Arial" w:hint="cs"/>
          <w:u w:val="single"/>
          <w:rtl/>
        </w:rPr>
        <w:t>האם בית דין גדול צריך להודיע טעמם:</w:t>
      </w:r>
    </w:p>
    <w:p w14:paraId="5264CC25" w14:textId="77777777" w:rsidR="00DB06CF" w:rsidRPr="00E323AB" w:rsidRDefault="00F03CB0" w:rsidP="004B0475">
      <w:pPr>
        <w:pStyle w:val="ac"/>
        <w:numPr>
          <w:ilvl w:val="0"/>
          <w:numId w:val="14"/>
        </w:numPr>
        <w:rPr>
          <w:rFonts w:cs="Arial"/>
          <w:rtl/>
        </w:rPr>
      </w:pPr>
      <w:r w:rsidRPr="00E323AB">
        <w:rPr>
          <w:rFonts w:cs="Arial"/>
          <w:rtl/>
        </w:rPr>
        <w:t>רמב"ם</w:t>
      </w:r>
      <w:r w:rsidR="00E323AB" w:rsidRPr="00E323AB">
        <w:rPr>
          <w:rFonts w:cs="Arial" w:hint="cs"/>
          <w:rtl/>
        </w:rPr>
        <w:t xml:space="preserve"> </w:t>
      </w:r>
      <w:r w:rsidR="00E323AB" w:rsidRPr="00E323AB">
        <w:rPr>
          <w:rFonts w:cs="Arial" w:hint="cs"/>
          <w:sz w:val="16"/>
          <w:szCs w:val="16"/>
          <w:rtl/>
        </w:rPr>
        <w:t>(להב' הב"י)</w:t>
      </w:r>
      <w:r w:rsidR="00E323AB" w:rsidRPr="00E323AB">
        <w:rPr>
          <w:rFonts w:cs="Arial" w:hint="cs"/>
          <w:rtl/>
        </w:rPr>
        <w:t>-</w:t>
      </w:r>
      <w:r w:rsidRPr="00E323AB">
        <w:rPr>
          <w:rFonts w:cs="Arial"/>
          <w:rtl/>
        </w:rPr>
        <w:t xml:space="preserve"> אפילו בשנתעצמו לא אמרו שכותבין ונותנים אלא כשדן אותם בית דין קטן</w:t>
      </w:r>
      <w:r w:rsidR="00475E25">
        <w:rPr>
          <w:rFonts w:cs="Arial" w:hint="cs"/>
          <w:rtl/>
        </w:rPr>
        <w:t>,</w:t>
      </w:r>
      <w:r w:rsidRPr="00E323AB">
        <w:rPr>
          <w:rFonts w:cs="Arial"/>
          <w:rtl/>
        </w:rPr>
        <w:t xml:space="preserve"> משום דחיישינן שמא טעו</w:t>
      </w:r>
      <w:r w:rsidR="00475E25">
        <w:rPr>
          <w:rFonts w:cs="Arial" w:hint="cs"/>
          <w:rtl/>
        </w:rPr>
        <w:t>,</w:t>
      </w:r>
      <w:r w:rsidRPr="00E323AB">
        <w:rPr>
          <w:rFonts w:cs="Arial"/>
          <w:rtl/>
        </w:rPr>
        <w:t xml:space="preserve"> אבל אם דן אותם בית דין הגדול </w:t>
      </w:r>
      <w:r w:rsidR="00475E25">
        <w:rPr>
          <w:rFonts w:cs="Arial" w:hint="cs"/>
          <w:rtl/>
        </w:rPr>
        <w:t xml:space="preserve">- </w:t>
      </w:r>
      <w:r w:rsidRPr="00E323AB">
        <w:rPr>
          <w:rFonts w:cs="Arial"/>
          <w:rtl/>
        </w:rPr>
        <w:t>אין כותבין ונותנין לו</w:t>
      </w:r>
      <w:r w:rsidR="00475E25">
        <w:rPr>
          <w:rFonts w:cs="Arial" w:hint="cs"/>
          <w:rtl/>
        </w:rPr>
        <w:t>,</w:t>
      </w:r>
      <w:r w:rsidRPr="00E323AB">
        <w:rPr>
          <w:rFonts w:cs="Arial"/>
          <w:rtl/>
        </w:rPr>
        <w:t xml:space="preserve"> דלא חיישינן בהו לטעותא</w:t>
      </w:r>
      <w:r w:rsidR="00475E25">
        <w:rPr>
          <w:rFonts w:cs="Arial" w:hint="cs"/>
          <w:rtl/>
        </w:rPr>
        <w:t>,</w:t>
      </w:r>
      <w:r w:rsidRPr="00E323AB">
        <w:rPr>
          <w:rFonts w:cs="Arial"/>
          <w:rtl/>
        </w:rPr>
        <w:t xml:space="preserve"> דאם באנו לחוש לכך אין לדבר סוף</w:t>
      </w:r>
      <w:r w:rsidR="00E323AB">
        <w:rPr>
          <w:rStyle w:val="ab"/>
          <w:rFonts w:cs="Arial"/>
          <w:rtl/>
        </w:rPr>
        <w:footnoteReference w:id="775"/>
      </w:r>
      <w:r w:rsidR="00E323AB" w:rsidRPr="00E323AB">
        <w:rPr>
          <w:rFonts w:cs="Arial" w:hint="cs"/>
          <w:rtl/>
        </w:rPr>
        <w:t>.</w:t>
      </w:r>
      <w:r w:rsidRPr="00E323AB">
        <w:rPr>
          <w:rFonts w:cs="Arial"/>
          <w:rtl/>
        </w:rPr>
        <w:t xml:space="preserve"> </w:t>
      </w:r>
      <w:r w:rsidR="00350957" w:rsidRPr="00350957">
        <w:rPr>
          <w:rFonts w:cs="Arial" w:hint="cs"/>
          <w:color w:val="00B0F0"/>
          <w:rtl/>
        </w:rPr>
        <w:t>(וכ"פ הרמ"א</w:t>
      </w:r>
      <w:r w:rsidR="00350957" w:rsidRPr="00350957">
        <w:rPr>
          <w:rFonts w:cs="Arial" w:hint="cs"/>
          <w:color w:val="00B0F0"/>
          <w:sz w:val="16"/>
          <w:szCs w:val="16"/>
          <w:rtl/>
        </w:rPr>
        <w:t xml:space="preserve"> </w:t>
      </w:r>
      <w:r w:rsidR="00350957">
        <w:rPr>
          <w:rFonts w:cs="Arial" w:hint="cs"/>
          <w:sz w:val="16"/>
          <w:szCs w:val="16"/>
          <w:rtl/>
        </w:rPr>
        <w:t>[סע' ד]</w:t>
      </w:r>
      <w:r w:rsidR="00350957" w:rsidRPr="00350957">
        <w:rPr>
          <w:rFonts w:cs="Arial" w:hint="cs"/>
          <w:color w:val="00B0F0"/>
          <w:rtl/>
        </w:rPr>
        <w:t>)</w:t>
      </w:r>
    </w:p>
    <w:p w14:paraId="7FF89462" w14:textId="77777777" w:rsidR="00E323AB" w:rsidRDefault="00E323AB" w:rsidP="00DC0659">
      <w:pPr>
        <w:rPr>
          <w:rFonts w:cs="Arial"/>
          <w:rtl/>
        </w:rPr>
      </w:pPr>
      <w:r w:rsidRPr="00E323AB">
        <w:rPr>
          <w:rFonts w:cs="Arial" w:hint="cs"/>
          <w:u w:val="single"/>
          <w:rtl/>
        </w:rPr>
        <w:t xml:space="preserve">עד כמה זמן מפסיקת הדין רשאי בעל הדין לבקש שיכתבו לו </w:t>
      </w:r>
      <w:r w:rsidR="00047CD7">
        <w:rPr>
          <w:rFonts w:cs="Arial" w:hint="cs"/>
          <w:u w:val="single"/>
          <w:rtl/>
        </w:rPr>
        <w:t xml:space="preserve">את </w:t>
      </w:r>
      <w:r w:rsidRPr="00E323AB">
        <w:rPr>
          <w:rFonts w:cs="Arial" w:hint="cs"/>
          <w:u w:val="single"/>
          <w:rtl/>
        </w:rPr>
        <w:t>טעם</w:t>
      </w:r>
      <w:r w:rsidR="00047CD7">
        <w:rPr>
          <w:rFonts w:cs="Arial" w:hint="cs"/>
          <w:u w:val="single"/>
          <w:rtl/>
        </w:rPr>
        <w:t xml:space="preserve"> הפסק</w:t>
      </w:r>
      <w:r w:rsidRPr="00E323AB">
        <w:rPr>
          <w:rFonts w:cs="Arial" w:hint="cs"/>
          <w:u w:val="single"/>
          <w:rtl/>
        </w:rPr>
        <w:t>:</w:t>
      </w:r>
    </w:p>
    <w:p w14:paraId="7E6177D9" w14:textId="77777777" w:rsidR="00E323AB" w:rsidRPr="00E323AB" w:rsidRDefault="00047CD7" w:rsidP="004B0475">
      <w:pPr>
        <w:pStyle w:val="ac"/>
        <w:numPr>
          <w:ilvl w:val="0"/>
          <w:numId w:val="14"/>
        </w:numPr>
        <w:rPr>
          <w:rFonts w:cs="Arial"/>
          <w:rtl/>
        </w:rPr>
      </w:pPr>
      <w:r>
        <w:rPr>
          <w:rFonts w:cs="Arial" w:hint="cs"/>
          <w:rtl/>
        </w:rPr>
        <w:t>מ</w:t>
      </w:r>
      <w:r w:rsidR="00DC0659" w:rsidRPr="00E323AB">
        <w:rPr>
          <w:rFonts w:cs="Arial"/>
          <w:rtl/>
        </w:rPr>
        <w:t>הר"</w:t>
      </w:r>
      <w:r>
        <w:rPr>
          <w:rFonts w:cs="Arial" w:hint="cs"/>
          <w:rtl/>
        </w:rPr>
        <w:t>ם</w:t>
      </w:r>
      <w:r w:rsidR="00DC0659" w:rsidRPr="00E323AB">
        <w:rPr>
          <w:rFonts w:cs="Arial"/>
          <w:rtl/>
        </w:rPr>
        <w:t xml:space="preserve"> </w:t>
      </w:r>
      <w:r w:rsidR="00DC0659" w:rsidRPr="00E323AB">
        <w:rPr>
          <w:rFonts w:cs="Arial"/>
          <w:sz w:val="16"/>
          <w:szCs w:val="16"/>
          <w:rtl/>
        </w:rPr>
        <w:t>(תשו' ד"פ סי' תקכד</w:t>
      </w:r>
      <w:r>
        <w:rPr>
          <w:rFonts w:cs="Arial" w:hint="cs"/>
          <w:sz w:val="16"/>
          <w:szCs w:val="16"/>
          <w:rtl/>
        </w:rPr>
        <w:t>,</w:t>
      </w:r>
      <w:r w:rsidRPr="00047CD7">
        <w:rPr>
          <w:rFonts w:cs="Arial"/>
          <w:sz w:val="16"/>
          <w:szCs w:val="16"/>
          <w:rtl/>
        </w:rPr>
        <w:t xml:space="preserve"> </w:t>
      </w:r>
      <w:r>
        <w:rPr>
          <w:rFonts w:cs="Arial" w:hint="cs"/>
          <w:sz w:val="16"/>
          <w:szCs w:val="16"/>
          <w:rtl/>
        </w:rPr>
        <w:t>וכ"כ בשמו ה</w:t>
      </w:r>
      <w:r w:rsidRPr="00047CD7">
        <w:rPr>
          <w:rFonts w:cs="Arial"/>
          <w:sz w:val="16"/>
          <w:szCs w:val="16"/>
          <w:rtl/>
        </w:rPr>
        <w:t xml:space="preserve">מרדכי </w:t>
      </w:r>
      <w:r>
        <w:rPr>
          <w:rFonts w:cs="Arial" w:hint="cs"/>
          <w:sz w:val="16"/>
          <w:szCs w:val="16"/>
          <w:rtl/>
        </w:rPr>
        <w:t>[</w:t>
      </w:r>
      <w:r w:rsidRPr="00047CD7">
        <w:rPr>
          <w:rFonts w:cs="Arial"/>
          <w:sz w:val="16"/>
          <w:szCs w:val="16"/>
          <w:rtl/>
        </w:rPr>
        <w:t>סי' תשח</w:t>
      </w:r>
      <w:r>
        <w:rPr>
          <w:rFonts w:cs="Arial" w:hint="cs"/>
          <w:sz w:val="16"/>
          <w:szCs w:val="16"/>
          <w:rtl/>
        </w:rPr>
        <w:t>]</w:t>
      </w:r>
      <w:r w:rsidRPr="00047CD7">
        <w:rPr>
          <w:rFonts w:cs="Arial"/>
          <w:sz w:val="16"/>
          <w:szCs w:val="16"/>
          <w:rtl/>
        </w:rPr>
        <w:t xml:space="preserve"> והגה</w:t>
      </w:r>
      <w:r w:rsidRPr="00047CD7">
        <w:rPr>
          <w:rFonts w:cs="Arial" w:hint="cs"/>
          <w:sz w:val="16"/>
          <w:szCs w:val="16"/>
          <w:rtl/>
        </w:rPr>
        <w:t>"מ</w:t>
      </w:r>
      <w:r w:rsidRPr="00047CD7">
        <w:rPr>
          <w:rFonts w:cs="Arial"/>
          <w:sz w:val="16"/>
          <w:szCs w:val="16"/>
          <w:rtl/>
        </w:rPr>
        <w:t xml:space="preserve"> </w:t>
      </w:r>
      <w:r>
        <w:rPr>
          <w:rFonts w:cs="Arial" w:hint="cs"/>
          <w:sz w:val="16"/>
          <w:szCs w:val="16"/>
          <w:rtl/>
        </w:rPr>
        <w:t>[</w:t>
      </w:r>
      <w:r w:rsidRPr="00047CD7">
        <w:rPr>
          <w:rFonts w:cs="Arial"/>
          <w:sz w:val="16"/>
          <w:szCs w:val="16"/>
          <w:rtl/>
        </w:rPr>
        <w:t>פ"ו מהל</w:t>
      </w:r>
      <w:r w:rsidRPr="00047CD7">
        <w:rPr>
          <w:rFonts w:cs="Arial" w:hint="cs"/>
          <w:sz w:val="16"/>
          <w:szCs w:val="16"/>
          <w:rtl/>
        </w:rPr>
        <w:t xml:space="preserve">' </w:t>
      </w:r>
      <w:r w:rsidRPr="00047CD7">
        <w:rPr>
          <w:rFonts w:cs="Arial"/>
          <w:sz w:val="16"/>
          <w:szCs w:val="16"/>
          <w:rtl/>
        </w:rPr>
        <w:t>סנהדרין אות ז</w:t>
      </w:r>
      <w:r>
        <w:rPr>
          <w:rFonts w:cs="Arial" w:hint="cs"/>
          <w:sz w:val="16"/>
          <w:szCs w:val="16"/>
          <w:rtl/>
        </w:rPr>
        <w:t>]</w:t>
      </w:r>
      <w:r w:rsidR="00DC0659" w:rsidRPr="00E323AB">
        <w:rPr>
          <w:rFonts w:cs="Arial"/>
          <w:sz w:val="16"/>
          <w:szCs w:val="16"/>
          <w:rtl/>
        </w:rPr>
        <w:t>)</w:t>
      </w:r>
      <w:r w:rsidR="00DC0659" w:rsidRPr="00E323AB">
        <w:rPr>
          <w:rFonts w:cs="Arial" w:hint="cs"/>
          <w:rtl/>
        </w:rPr>
        <w:t xml:space="preserve">- </w:t>
      </w:r>
      <w:r w:rsidRPr="00047CD7">
        <w:rPr>
          <w:rFonts w:cs="Arial"/>
          <w:rtl/>
        </w:rPr>
        <w:t xml:space="preserve">ששאלת אם יש זמן לדבר עד כמה יכול לברר כתבו לי מאיזה טעם דנתוני ועד כמה יכול לסתור הדין ואם צריך לומר כן בפני הדיינים דוקא או </w:t>
      </w:r>
      <w:r w:rsidRPr="00047CD7">
        <w:rPr>
          <w:rFonts w:cs="Arial"/>
          <w:rtl/>
        </w:rPr>
        <w:lastRenderedPageBreak/>
        <w:t>אפי' שלא בפניהם</w:t>
      </w:r>
      <w:r>
        <w:rPr>
          <w:rFonts w:cs="Arial" w:hint="cs"/>
          <w:rtl/>
        </w:rPr>
        <w:t>.</w:t>
      </w:r>
      <w:r w:rsidRPr="00047CD7">
        <w:rPr>
          <w:rFonts w:cs="Arial"/>
          <w:rtl/>
        </w:rPr>
        <w:t xml:space="preserve"> נראה דלא קבעו חכמי' שום זמן לדבר כדתנן </w:t>
      </w:r>
      <w:r w:rsidRPr="00047CD7">
        <w:rPr>
          <w:rFonts w:cs="Arial"/>
          <w:sz w:val="16"/>
          <w:szCs w:val="16"/>
          <w:rtl/>
        </w:rPr>
        <w:t>(סנהדרין לא</w:t>
      </w:r>
      <w:r w:rsidRPr="00047CD7">
        <w:rPr>
          <w:rFonts w:cs="Arial" w:hint="cs"/>
          <w:sz w:val="16"/>
          <w:szCs w:val="16"/>
          <w:rtl/>
        </w:rPr>
        <w:t>.</w:t>
      </w:r>
      <w:r w:rsidRPr="00047CD7">
        <w:rPr>
          <w:rFonts w:cs="Arial"/>
          <w:sz w:val="16"/>
          <w:szCs w:val="16"/>
          <w:rtl/>
        </w:rPr>
        <w:t xml:space="preserve">) </w:t>
      </w:r>
      <w:r w:rsidRPr="00047CD7">
        <w:rPr>
          <w:rFonts w:cs="Arial"/>
          <w:rtl/>
        </w:rPr>
        <w:t>כל זמן שמביא ראי' סותר את הדין</w:t>
      </w:r>
      <w:r w:rsidR="00F07EBD">
        <w:rPr>
          <w:rFonts w:cs="Arial" w:hint="cs"/>
          <w:rtl/>
        </w:rPr>
        <w:t>.</w:t>
      </w:r>
      <w:r w:rsidRPr="00047CD7">
        <w:rPr>
          <w:rFonts w:cs="Arial"/>
          <w:rtl/>
        </w:rPr>
        <w:t xml:space="preserve"> ה"נ כל זמן שאמר לדייני' כתבו לי מאיזה טעם דנתוני כותבין ונותנין לו</w:t>
      </w:r>
      <w:r w:rsidR="00DC0659" w:rsidRPr="00E323AB">
        <w:rPr>
          <w:rFonts w:cs="Arial" w:hint="cs"/>
          <w:rtl/>
        </w:rPr>
        <w:t>.</w:t>
      </w:r>
      <w:r w:rsidR="00350957" w:rsidRPr="00350957">
        <w:rPr>
          <w:rFonts w:cs="Arial" w:hint="cs"/>
          <w:color w:val="00B0F0"/>
          <w:rtl/>
        </w:rPr>
        <w:t xml:space="preserve"> (וכ"פ הרמ"א</w:t>
      </w:r>
      <w:r w:rsidR="00350957" w:rsidRPr="00350957">
        <w:rPr>
          <w:rFonts w:cs="Arial" w:hint="cs"/>
          <w:color w:val="00B0F0"/>
          <w:sz w:val="16"/>
          <w:szCs w:val="16"/>
          <w:rtl/>
        </w:rPr>
        <w:t xml:space="preserve"> </w:t>
      </w:r>
      <w:r w:rsidR="00350957">
        <w:rPr>
          <w:rFonts w:cs="Arial" w:hint="cs"/>
          <w:sz w:val="16"/>
          <w:szCs w:val="16"/>
          <w:rtl/>
        </w:rPr>
        <w:t>[סע' ד]</w:t>
      </w:r>
      <w:r w:rsidR="00350957" w:rsidRPr="00350957">
        <w:rPr>
          <w:rFonts w:cs="Arial" w:hint="cs"/>
          <w:color w:val="00B0F0"/>
          <w:rtl/>
        </w:rPr>
        <w:t>)</w:t>
      </w:r>
    </w:p>
    <w:p w14:paraId="7C3FB099" w14:textId="77777777" w:rsidR="00D7256D" w:rsidRPr="00EF65E1" w:rsidRDefault="00D7256D" w:rsidP="00D7256D">
      <w:pPr>
        <w:rPr>
          <w:rFonts w:cs="Arial"/>
          <w:rtl/>
        </w:rPr>
      </w:pPr>
      <w:r>
        <w:rPr>
          <w:rFonts w:cs="Arial" w:hint="cs"/>
          <w:b/>
          <w:bCs/>
          <w:rtl/>
        </w:rPr>
        <w:t xml:space="preserve">בבא בתרא </w:t>
      </w:r>
      <w:r w:rsidRPr="00EF65E1">
        <w:rPr>
          <w:rFonts w:cs="Arial" w:hint="cs"/>
          <w:b/>
          <w:bCs/>
          <w:sz w:val="16"/>
          <w:szCs w:val="16"/>
          <w:rtl/>
        </w:rPr>
        <w:t xml:space="preserve">(פ' חזקת הבתים) </w:t>
      </w:r>
      <w:r>
        <w:rPr>
          <w:rFonts w:cs="Arial" w:hint="cs"/>
          <w:b/>
          <w:bCs/>
          <w:rtl/>
        </w:rPr>
        <w:t>מא</w:t>
      </w:r>
      <w:r w:rsidR="005B085F">
        <w:rPr>
          <w:rStyle w:val="ab"/>
          <w:rFonts w:cs="Arial"/>
          <w:b/>
          <w:bCs/>
          <w:rtl/>
        </w:rPr>
        <w:footnoteReference w:id="776"/>
      </w:r>
      <w:r>
        <w:rPr>
          <w:rFonts w:cs="Arial" w:hint="cs"/>
          <w:b/>
          <w:bCs/>
          <w:rtl/>
        </w:rPr>
        <w:t xml:space="preserve"> ע"א: </w:t>
      </w:r>
      <w:r w:rsidRPr="00626D10">
        <w:rPr>
          <w:rFonts w:cs="Arial"/>
          <w:u w:val="single"/>
          <w:rtl/>
        </w:rPr>
        <w:t>רב כהנא</w:t>
      </w:r>
      <w:r w:rsidRPr="00EF65E1">
        <w:rPr>
          <w:rFonts w:cs="Arial"/>
          <w:rtl/>
        </w:rPr>
        <w:t xml:space="preserve"> שקל בידקא בארעיה, אזל הדר גודא בארעא דלא דידיה</w:t>
      </w:r>
      <w:r>
        <w:rPr>
          <w:rStyle w:val="ab"/>
          <w:rFonts w:cs="Arial"/>
          <w:rtl/>
        </w:rPr>
        <w:footnoteReference w:id="777"/>
      </w:r>
      <w:r w:rsidRPr="00EF65E1">
        <w:rPr>
          <w:rFonts w:cs="Arial"/>
          <w:rtl/>
        </w:rPr>
        <w:t>,</w:t>
      </w:r>
      <w:r>
        <w:rPr>
          <w:rFonts w:hint="cs"/>
          <w:sz w:val="14"/>
          <w:szCs w:val="14"/>
          <w:rtl/>
        </w:rPr>
        <w:t xml:space="preserve"> (מא:)</w:t>
      </w:r>
      <w:r w:rsidRPr="00EF65E1">
        <w:rPr>
          <w:rtl/>
        </w:rPr>
        <w:t xml:space="preserve"> </w:t>
      </w:r>
      <w:r w:rsidRPr="00626D10">
        <w:rPr>
          <w:rFonts w:cs="Arial"/>
          <w:u w:val="single"/>
          <w:rtl/>
        </w:rPr>
        <w:t>אתא לקמיה דרב יהודה</w:t>
      </w:r>
      <w:r w:rsidRPr="00EF65E1">
        <w:rPr>
          <w:rFonts w:cs="Arial"/>
          <w:rtl/>
        </w:rPr>
        <w:t>; אזיל אייתי תרי סהדי, חד אמר: תרתי אוצייתא עאל</w:t>
      </w:r>
      <w:r>
        <w:rPr>
          <w:rStyle w:val="ab"/>
          <w:rFonts w:cs="Arial"/>
          <w:rtl/>
        </w:rPr>
        <w:footnoteReference w:id="778"/>
      </w:r>
      <w:r w:rsidRPr="00EF65E1">
        <w:rPr>
          <w:rFonts w:cs="Arial"/>
          <w:rtl/>
        </w:rPr>
        <w:t xml:space="preserve">, וחד אמר: תלת אוצייתא עאל, </w:t>
      </w:r>
      <w:r w:rsidRPr="00626D10">
        <w:rPr>
          <w:rFonts w:cs="Arial"/>
          <w:u w:val="single"/>
          <w:rtl/>
        </w:rPr>
        <w:t>א"ל</w:t>
      </w:r>
      <w:r w:rsidRPr="00EF65E1">
        <w:rPr>
          <w:rFonts w:cs="Arial"/>
          <w:rtl/>
        </w:rPr>
        <w:t>: זיל שלים תרתי מגו תלת</w:t>
      </w:r>
      <w:r>
        <w:rPr>
          <w:rStyle w:val="ab"/>
          <w:rFonts w:cs="Arial"/>
          <w:rtl/>
        </w:rPr>
        <w:footnoteReference w:id="779"/>
      </w:r>
      <w:r w:rsidRPr="00EF65E1">
        <w:rPr>
          <w:rFonts w:cs="Arial"/>
          <w:rtl/>
        </w:rPr>
        <w:t xml:space="preserve">. </w:t>
      </w:r>
      <w:r w:rsidRPr="00626D10">
        <w:rPr>
          <w:rFonts w:cs="Arial"/>
          <w:u w:val="single"/>
          <w:rtl/>
        </w:rPr>
        <w:t>א"ל</w:t>
      </w:r>
      <w:r w:rsidRPr="00626D10">
        <w:rPr>
          <w:rStyle w:val="ab"/>
          <w:rFonts w:cs="Arial"/>
          <w:u w:val="single"/>
          <w:rtl/>
        </w:rPr>
        <w:footnoteReference w:id="780"/>
      </w:r>
      <w:r w:rsidRPr="00EF65E1">
        <w:rPr>
          <w:rFonts w:cs="Arial"/>
          <w:rtl/>
        </w:rPr>
        <w:t xml:space="preserve">: כמאן? כרבי שמעון בן אלעזר; דתניא, </w:t>
      </w:r>
      <w:r w:rsidRPr="00626D10">
        <w:rPr>
          <w:rFonts w:cs="Arial"/>
          <w:u w:val="single"/>
          <w:rtl/>
        </w:rPr>
        <w:t>אמר ר' שמעון בן אלעזר</w:t>
      </w:r>
      <w:r w:rsidRPr="00EF65E1">
        <w:rPr>
          <w:rFonts w:cs="Arial"/>
          <w:rtl/>
        </w:rPr>
        <w:t xml:space="preserve">: לא נחלקו בית שמאי ובית הלל על שתי כיתי עדים, שאחת אומרת מנה ואחת אומרת מאתים - שיש בכלל מאתים מנה, על מה נחלקו? על כת אחת, שאחד אומר מנה ואחד אומר מאתים, </w:t>
      </w:r>
      <w:r w:rsidRPr="00626D10">
        <w:rPr>
          <w:rFonts w:cs="Arial"/>
          <w:u w:val="single"/>
          <w:rtl/>
        </w:rPr>
        <w:t>שבית שמאי אומרים</w:t>
      </w:r>
      <w:r w:rsidRPr="00EF65E1">
        <w:rPr>
          <w:rFonts w:cs="Arial"/>
          <w:rtl/>
        </w:rPr>
        <w:t xml:space="preserve">: נחלקה עדותן, </w:t>
      </w:r>
      <w:r w:rsidRPr="00626D10">
        <w:rPr>
          <w:rFonts w:cs="Arial"/>
          <w:u w:val="single"/>
          <w:rtl/>
        </w:rPr>
        <w:t>ובית הלל אומרים</w:t>
      </w:r>
      <w:r w:rsidRPr="00EF65E1">
        <w:rPr>
          <w:rFonts w:cs="Arial"/>
          <w:rtl/>
        </w:rPr>
        <w:t>: יש בכלל מאתים מנה. א"ל: והא מייתינא לך איגרתא</w:t>
      </w:r>
      <w:r>
        <w:rPr>
          <w:rStyle w:val="ab"/>
          <w:rFonts w:cs="Arial"/>
          <w:rtl/>
        </w:rPr>
        <w:footnoteReference w:id="781"/>
      </w:r>
      <w:r w:rsidRPr="00EF65E1">
        <w:rPr>
          <w:rFonts w:cs="Arial"/>
          <w:rtl/>
        </w:rPr>
        <w:t xml:space="preserve"> ממערבא דאין הלכה כר' שמעון בן אלעזר! א"ל: לכי תיתי</w:t>
      </w:r>
      <w:r>
        <w:rPr>
          <w:rStyle w:val="ab"/>
          <w:rFonts w:cs="Arial"/>
          <w:rtl/>
        </w:rPr>
        <w:footnoteReference w:id="782"/>
      </w:r>
      <w:r w:rsidRPr="00EF65E1">
        <w:rPr>
          <w:rFonts w:cs="Arial"/>
          <w:rtl/>
        </w:rPr>
        <w:t>.</w:t>
      </w:r>
    </w:p>
    <w:p w14:paraId="3266C5A9" w14:textId="77777777" w:rsidR="00D7256D" w:rsidRDefault="00D7256D" w:rsidP="00D7256D">
      <w:pPr>
        <w:rPr>
          <w:rFonts w:cs="Arial"/>
          <w:rtl/>
        </w:rPr>
      </w:pPr>
      <w:r w:rsidRPr="00EF65E1">
        <w:rPr>
          <w:rFonts w:cs="Arial" w:hint="cs"/>
          <w:u w:val="single"/>
          <w:rtl/>
        </w:rPr>
        <w:t xml:space="preserve">בעל דין שרוצה לערער על הפסק שניתן לו </w:t>
      </w:r>
      <w:r w:rsidRPr="00EF65E1">
        <w:rPr>
          <w:rFonts w:cs="Arial"/>
          <w:u w:val="single"/>
          <w:rtl/>
        </w:rPr>
        <w:t>–</w:t>
      </w:r>
      <w:r w:rsidRPr="00EF65E1">
        <w:rPr>
          <w:rFonts w:cs="Arial" w:hint="cs"/>
          <w:u w:val="single"/>
          <w:rtl/>
        </w:rPr>
        <w:t xml:space="preserve"> האם ישלם ואח"כ יערער</w:t>
      </w:r>
      <w:r>
        <w:rPr>
          <w:rFonts w:cs="Arial" w:hint="cs"/>
          <w:u w:val="single"/>
          <w:rtl/>
        </w:rPr>
        <w:t xml:space="preserve"> </w:t>
      </w:r>
      <w:r>
        <w:rPr>
          <w:rFonts w:cs="Arial" w:hint="cs"/>
          <w:sz w:val="16"/>
          <w:szCs w:val="16"/>
          <w:u w:val="single"/>
          <w:rtl/>
        </w:rPr>
        <w:t>(</w:t>
      </w:r>
      <w:r w:rsidRPr="00D7256D">
        <w:rPr>
          <w:rFonts w:cs="Arial" w:hint="cs"/>
          <w:sz w:val="16"/>
          <w:szCs w:val="16"/>
          <w:u w:val="single"/>
          <w:rtl/>
        </w:rPr>
        <w:t>בבה"ד הגדול)</w:t>
      </w:r>
      <w:r w:rsidRPr="00EF65E1">
        <w:rPr>
          <w:rFonts w:cs="Arial" w:hint="cs"/>
          <w:u w:val="single"/>
          <w:rtl/>
        </w:rPr>
        <w:t xml:space="preserve"> או יערער קודם:</w:t>
      </w:r>
    </w:p>
    <w:p w14:paraId="2BB9A369" w14:textId="77777777" w:rsidR="00D7256D" w:rsidRDefault="00D7256D" w:rsidP="004B0475">
      <w:pPr>
        <w:pStyle w:val="ac"/>
        <w:numPr>
          <w:ilvl w:val="0"/>
          <w:numId w:val="13"/>
        </w:numPr>
      </w:pPr>
      <w:r w:rsidRPr="00EF65E1">
        <w:rPr>
          <w:rFonts w:cs="Arial" w:hint="cs"/>
          <w:rtl/>
        </w:rPr>
        <w:t>רי"ו</w:t>
      </w:r>
      <w:r w:rsidRPr="00EF65E1">
        <w:rPr>
          <w:rFonts w:cs="Arial"/>
          <w:rtl/>
        </w:rPr>
        <w:t xml:space="preserve"> </w:t>
      </w:r>
      <w:r w:rsidRPr="00EF65E1">
        <w:rPr>
          <w:rFonts w:cs="Arial"/>
          <w:sz w:val="16"/>
          <w:szCs w:val="16"/>
          <w:rtl/>
        </w:rPr>
        <w:t>(נ"א ח"ד ט:)</w:t>
      </w:r>
      <w:r w:rsidRPr="00EF65E1">
        <w:rPr>
          <w:rFonts w:cs="Arial" w:hint="cs"/>
          <w:rtl/>
        </w:rPr>
        <w:t xml:space="preserve"> </w:t>
      </w:r>
      <w:r w:rsidRPr="00EF65E1">
        <w:rPr>
          <w:rFonts w:cs="Arial"/>
          <w:rtl/>
        </w:rPr>
        <w:t>בשם הרמ"</w:t>
      </w:r>
      <w:r w:rsidRPr="00EF65E1">
        <w:rPr>
          <w:rFonts w:cs="Arial" w:hint="cs"/>
          <w:rtl/>
        </w:rPr>
        <w:t>ה-</w:t>
      </w:r>
      <w:r w:rsidRPr="00EF65E1">
        <w:rPr>
          <w:rFonts w:cs="Arial"/>
          <w:rtl/>
        </w:rPr>
        <w:t xml:space="preserve"> מי שאומר כתבו לי מאיזה טעם דנתוני או אלך לבית דין הגדול או לבית הוועד לסתור הדין </w:t>
      </w:r>
      <w:r w:rsidR="005B085F">
        <w:rPr>
          <w:rFonts w:cs="Arial" w:hint="cs"/>
          <w:rtl/>
        </w:rPr>
        <w:t xml:space="preserve">- </w:t>
      </w:r>
      <w:r w:rsidRPr="00EF65E1">
        <w:rPr>
          <w:rFonts w:cs="Arial"/>
          <w:rtl/>
        </w:rPr>
        <w:t>גובין ממנו בתוך כך עד שיתברר ואין ממתינין לו</w:t>
      </w:r>
      <w:r w:rsidR="005B085F">
        <w:rPr>
          <w:rFonts w:cs="Arial" w:hint="cs"/>
          <w:rtl/>
        </w:rPr>
        <w:t>,</w:t>
      </w:r>
      <w:r w:rsidRPr="00EF65E1">
        <w:rPr>
          <w:rFonts w:cs="Arial"/>
          <w:rtl/>
        </w:rPr>
        <w:t xml:space="preserve"> וראיה מפרק חזקת </w:t>
      </w:r>
      <w:r w:rsidRPr="00052B72">
        <w:rPr>
          <w:rFonts w:cs="Arial"/>
          <w:sz w:val="16"/>
          <w:szCs w:val="16"/>
          <w:rtl/>
        </w:rPr>
        <w:t xml:space="preserve">(מא.) </w:t>
      </w:r>
      <w:r w:rsidRPr="00EF65E1">
        <w:rPr>
          <w:rFonts w:cs="Arial"/>
          <w:rtl/>
        </w:rPr>
        <w:t>רב כהנא</w:t>
      </w:r>
      <w:r w:rsidRPr="00EF65E1">
        <w:rPr>
          <w:rFonts w:cs="Arial" w:hint="cs"/>
          <w:rtl/>
        </w:rPr>
        <w:t xml:space="preserve"> וכו'</w:t>
      </w:r>
      <w:r>
        <w:rPr>
          <w:rStyle w:val="ab"/>
          <w:rFonts w:cs="Arial"/>
          <w:rtl/>
        </w:rPr>
        <w:footnoteReference w:id="783"/>
      </w:r>
      <w:r w:rsidRPr="00EF65E1">
        <w:rPr>
          <w:rFonts w:cs="Arial" w:hint="cs"/>
          <w:rtl/>
        </w:rPr>
        <w:t>.</w:t>
      </w:r>
      <w:r>
        <w:rPr>
          <w:rFonts w:cs="Arial" w:hint="cs"/>
          <w:color w:val="00B0F0"/>
          <w:rtl/>
        </w:rPr>
        <w:t xml:space="preserve"> </w:t>
      </w:r>
      <w:r w:rsidRPr="00350957">
        <w:rPr>
          <w:rFonts w:hint="cs"/>
          <w:color w:val="E36C0A" w:themeColor="accent6" w:themeShade="BF"/>
          <w:rtl/>
        </w:rPr>
        <w:t>(וכ"פ בשו"ע</w:t>
      </w:r>
      <w:r>
        <w:rPr>
          <w:rFonts w:hint="cs"/>
          <w:color w:val="E36C0A" w:themeColor="accent6" w:themeShade="BF"/>
          <w:rtl/>
        </w:rPr>
        <w:t>)</w:t>
      </w:r>
      <w:r w:rsidRPr="00350957">
        <w:rPr>
          <w:rFonts w:hint="cs"/>
          <w:color w:val="E36C0A" w:themeColor="accent6" w:themeShade="BF"/>
          <w:sz w:val="16"/>
          <w:szCs w:val="16"/>
          <w:rtl/>
        </w:rPr>
        <w:t xml:space="preserve"> </w:t>
      </w:r>
      <w:r w:rsidRPr="00350957">
        <w:rPr>
          <w:rFonts w:cs="Arial" w:hint="cs"/>
          <w:color w:val="00B0F0"/>
          <w:rtl/>
        </w:rPr>
        <w:t>(וכ"פ הרמ"א</w:t>
      </w:r>
      <w:r w:rsidRPr="00350957">
        <w:rPr>
          <w:rFonts w:cs="Arial" w:hint="cs"/>
          <w:color w:val="00B0F0"/>
          <w:sz w:val="16"/>
          <w:szCs w:val="16"/>
          <w:rtl/>
        </w:rPr>
        <w:t xml:space="preserve"> </w:t>
      </w:r>
      <w:r>
        <w:rPr>
          <w:rFonts w:cs="Arial" w:hint="cs"/>
          <w:sz w:val="16"/>
          <w:szCs w:val="16"/>
          <w:rtl/>
        </w:rPr>
        <w:t>[סע' ד]</w:t>
      </w:r>
      <w:r w:rsidRPr="00350957">
        <w:rPr>
          <w:rFonts w:cs="Arial" w:hint="cs"/>
          <w:color w:val="00B0F0"/>
          <w:rtl/>
        </w:rPr>
        <w:t>)</w:t>
      </w:r>
    </w:p>
    <w:p w14:paraId="0BBEC3C5" w14:textId="77777777" w:rsidR="00942E38" w:rsidRPr="00942E38" w:rsidRDefault="00AF635F" w:rsidP="00942E38">
      <w:pPr>
        <w:rPr>
          <w:rFonts w:cs="Arial"/>
          <w:u w:val="single"/>
          <w:rtl/>
        </w:rPr>
      </w:pPr>
      <w:r>
        <w:rPr>
          <w:rFonts w:cs="Arial" w:hint="cs"/>
          <w:u w:val="single"/>
          <w:rtl/>
        </w:rPr>
        <w:t>תובע ששכר שליח להודיע לנתבע</w:t>
      </w:r>
      <w:r w:rsidR="00942E38" w:rsidRPr="00942E38">
        <w:rPr>
          <w:rFonts w:cs="Arial" w:hint="cs"/>
          <w:u w:val="single"/>
          <w:rtl/>
        </w:rPr>
        <w:t xml:space="preserve"> </w:t>
      </w:r>
      <w:r w:rsidR="0049752F">
        <w:rPr>
          <w:rFonts w:cs="Arial" w:hint="cs"/>
          <w:u w:val="single"/>
          <w:rtl/>
        </w:rPr>
        <w:t xml:space="preserve">שנתעכב ממונו </w:t>
      </w:r>
      <w:r w:rsidR="00942E38" w:rsidRPr="00942E38">
        <w:rPr>
          <w:rFonts w:cs="Arial"/>
          <w:u w:val="single"/>
          <w:rtl/>
        </w:rPr>
        <w:t>–</w:t>
      </w:r>
      <w:r w:rsidR="00942E38" w:rsidRPr="00942E38">
        <w:rPr>
          <w:rFonts w:cs="Arial" w:hint="cs"/>
          <w:u w:val="single"/>
          <w:rtl/>
        </w:rPr>
        <w:t xml:space="preserve"> מי משלם את שכר השליח:</w:t>
      </w:r>
    </w:p>
    <w:p w14:paraId="30692121" w14:textId="77777777" w:rsidR="00DB06CF" w:rsidRPr="00942E38" w:rsidRDefault="00942E38" w:rsidP="004B0475">
      <w:pPr>
        <w:pStyle w:val="ac"/>
        <w:numPr>
          <w:ilvl w:val="0"/>
          <w:numId w:val="14"/>
        </w:numPr>
        <w:rPr>
          <w:rFonts w:cs="Arial"/>
          <w:rtl/>
        </w:rPr>
      </w:pPr>
      <w:r w:rsidRPr="00942E38">
        <w:rPr>
          <w:rFonts w:cs="Arial"/>
          <w:rtl/>
        </w:rPr>
        <w:t>מהרי"ק</w:t>
      </w:r>
      <w:r w:rsidRPr="00942E38">
        <w:rPr>
          <w:rFonts w:cs="Arial"/>
          <w:sz w:val="16"/>
          <w:szCs w:val="16"/>
          <w:rtl/>
        </w:rPr>
        <w:t xml:space="preserve"> (שרש קמד)</w:t>
      </w:r>
      <w:r w:rsidRPr="00942E38">
        <w:rPr>
          <w:rFonts w:cs="Arial" w:hint="cs"/>
          <w:rtl/>
        </w:rPr>
        <w:t xml:space="preserve">- </w:t>
      </w:r>
      <w:r w:rsidR="00AF635F" w:rsidRPr="00AF635F">
        <w:rPr>
          <w:rFonts w:cs="Arial"/>
          <w:rtl/>
        </w:rPr>
        <w:t>אם שכר ציר להודיע לנתבע שנתעכב ממונו</w:t>
      </w:r>
      <w:r w:rsidR="00AF635F">
        <w:rPr>
          <w:rFonts w:cs="Arial" w:hint="cs"/>
          <w:rtl/>
        </w:rPr>
        <w:t>...</w:t>
      </w:r>
      <w:r w:rsidR="00AF635F" w:rsidRPr="00AF635F">
        <w:rPr>
          <w:rFonts w:cs="Arial"/>
          <w:rtl/>
        </w:rPr>
        <w:t xml:space="preserve"> לעניות דעתי נראה דבר פשוט שעל התובע לחודיה</w:t>
      </w:r>
      <w:r w:rsidR="00AF635F">
        <w:rPr>
          <w:rFonts w:cs="Arial" w:hint="cs"/>
          <w:rtl/>
        </w:rPr>
        <w:t xml:space="preserve"> לפרוע שכרו,</w:t>
      </w:r>
      <w:r w:rsidR="00AF635F" w:rsidRPr="00AF635F">
        <w:rPr>
          <w:rFonts w:cs="Arial"/>
          <w:rtl/>
        </w:rPr>
        <w:t xml:space="preserve"> דהיאך נוציא ממון מיד הנתבע דהיינו חצי שכירות השליח אם לא בעדות ברורה</w:t>
      </w:r>
      <w:r w:rsidR="00AF635F">
        <w:rPr>
          <w:rFonts w:cs="Arial" w:hint="cs"/>
          <w:rtl/>
        </w:rPr>
        <w:t>.</w:t>
      </w:r>
      <w:r w:rsidR="00AF635F" w:rsidRPr="00AF635F">
        <w:rPr>
          <w:rFonts w:cs="Arial"/>
          <w:rtl/>
        </w:rPr>
        <w:t xml:space="preserve"> ועוד דלאו כל כמיניה דתובע לשלוח על יציאות הנתבע</w:t>
      </w:r>
      <w:r w:rsidR="00AF635F">
        <w:rPr>
          <w:rFonts w:cs="Arial" w:hint="cs"/>
          <w:rtl/>
        </w:rPr>
        <w:t>,</w:t>
      </w:r>
      <w:r w:rsidR="00AF635F" w:rsidRPr="00AF635F">
        <w:rPr>
          <w:rFonts w:cs="Arial"/>
          <w:rtl/>
        </w:rPr>
        <w:t xml:space="preserve"> דגדולה מזו כתב המרדכי בשם ר"י בס"פ זה בורר גבי מי שנושה בחבירו מנה יוציא מנה וכו'</w:t>
      </w:r>
      <w:r w:rsidR="00AF635F">
        <w:rPr>
          <w:rFonts w:cs="Arial" w:hint="cs"/>
          <w:rtl/>
        </w:rPr>
        <w:t>,</w:t>
      </w:r>
      <w:r w:rsidR="00AF635F" w:rsidRPr="00AF635F">
        <w:rPr>
          <w:rFonts w:cs="Arial"/>
          <w:rtl/>
        </w:rPr>
        <w:t xml:space="preserve"> דאם הוציא ראובן את יציאותיו כדי לכוף את שמעון לדין דשמעון לא יפרע ההוצאות אע</w:t>
      </w:r>
      <w:r w:rsidR="00AF635F">
        <w:rPr>
          <w:rFonts w:cs="Arial" w:hint="cs"/>
          <w:rtl/>
        </w:rPr>
        <w:t>"</w:t>
      </w:r>
      <w:r w:rsidR="00AF635F" w:rsidRPr="00AF635F">
        <w:rPr>
          <w:rFonts w:cs="Arial"/>
          <w:rtl/>
        </w:rPr>
        <w:t>פ שראובן זכה בתביעתו</w:t>
      </w:r>
      <w:r w:rsidR="00AF635F">
        <w:rPr>
          <w:rFonts w:cs="Arial" w:hint="cs"/>
          <w:rtl/>
        </w:rPr>
        <w:t xml:space="preserve"> -</w:t>
      </w:r>
      <w:r w:rsidR="00AF635F" w:rsidRPr="00AF635F">
        <w:rPr>
          <w:rFonts w:cs="Arial"/>
          <w:rtl/>
        </w:rPr>
        <w:t xml:space="preserve"> כ"ש וכ"ש הכא שלא זכה עדיין בתב</w:t>
      </w:r>
      <w:r w:rsidR="00AF635F">
        <w:rPr>
          <w:rFonts w:cs="Arial" w:hint="cs"/>
          <w:rtl/>
        </w:rPr>
        <w:t>י</w:t>
      </w:r>
      <w:r w:rsidR="00AF635F" w:rsidRPr="00AF635F">
        <w:rPr>
          <w:rFonts w:cs="Arial"/>
          <w:rtl/>
        </w:rPr>
        <w:t>ע</w:t>
      </w:r>
      <w:r w:rsidR="00AF635F">
        <w:rPr>
          <w:rFonts w:cs="Arial" w:hint="cs"/>
          <w:rtl/>
        </w:rPr>
        <w:t>ה</w:t>
      </w:r>
      <w:r w:rsidR="00AF635F" w:rsidRPr="00AF635F">
        <w:rPr>
          <w:rFonts w:cs="Arial"/>
          <w:rtl/>
        </w:rPr>
        <w:t xml:space="preserve"> דמי יימר דהלה חייב לו כלום שנחייבו בהוצאות שליח</w:t>
      </w:r>
      <w:r w:rsidR="00AF635F">
        <w:rPr>
          <w:rFonts w:cs="Arial" w:hint="cs"/>
          <w:rtl/>
        </w:rPr>
        <w:t>.</w:t>
      </w:r>
      <w:r w:rsidR="00AF635F" w:rsidRPr="00AF635F">
        <w:rPr>
          <w:rFonts w:cs="Arial"/>
          <w:rtl/>
        </w:rPr>
        <w:t xml:space="preserve"> ועוד דמה התם שפשע שהיה מסרב ללכת לבית הועד דהיינו בית דין יפה אפילו הכי מוכיח ר' יוחנן דאין עליו לפרוע הוצאה</w:t>
      </w:r>
      <w:r w:rsidR="00AF635F">
        <w:rPr>
          <w:rFonts w:cs="Arial" w:hint="cs"/>
          <w:rtl/>
        </w:rPr>
        <w:t xml:space="preserve"> -</w:t>
      </w:r>
      <w:r w:rsidR="00AF635F" w:rsidRPr="00AF635F">
        <w:rPr>
          <w:rFonts w:cs="Arial"/>
          <w:rtl/>
        </w:rPr>
        <w:t xml:space="preserve"> הכא שלא פשע כלל לא כל שכן שאין עליו לפרוע ההוצאה</w:t>
      </w:r>
      <w:r w:rsidR="00AF635F">
        <w:rPr>
          <w:rFonts w:cs="Arial" w:hint="cs"/>
          <w:rtl/>
        </w:rPr>
        <w:t>.</w:t>
      </w:r>
      <w:r w:rsidR="00AF635F" w:rsidRPr="00AF635F">
        <w:rPr>
          <w:rFonts w:cs="Arial"/>
          <w:rtl/>
        </w:rPr>
        <w:t xml:space="preserve"> ואפילו לדברי החולקים על רבינו יצחק וסבירא ליה דעל הנתבע לפרוע חצי הוצאת או כולה פשיטא דהיינו דווקא שנעשית ההוצאה מפני סרבנות הנתבע</w:t>
      </w:r>
      <w:r w:rsidR="00AF635F">
        <w:rPr>
          <w:rFonts w:cs="Arial" w:hint="cs"/>
          <w:rtl/>
        </w:rPr>
        <w:t>,</w:t>
      </w:r>
      <w:r w:rsidR="00AF635F" w:rsidRPr="00AF635F">
        <w:rPr>
          <w:rFonts w:cs="Arial"/>
          <w:rtl/>
        </w:rPr>
        <w:t xml:space="preserve"> וכדפירשת</w:t>
      </w:r>
      <w:r w:rsidR="00AF635F">
        <w:rPr>
          <w:rFonts w:cs="Arial" w:hint="cs"/>
          <w:rtl/>
        </w:rPr>
        <w:t>,</w:t>
      </w:r>
      <w:r w:rsidR="00AF635F" w:rsidRPr="00AF635F">
        <w:rPr>
          <w:rFonts w:cs="Arial"/>
          <w:rtl/>
        </w:rPr>
        <w:t xml:space="preserve"> וגם שכבר זכה התובע בתביעתו</w:t>
      </w:r>
      <w:r w:rsidR="00AF635F">
        <w:rPr>
          <w:rFonts w:cs="Arial" w:hint="cs"/>
          <w:rtl/>
        </w:rPr>
        <w:t xml:space="preserve"> -</w:t>
      </w:r>
      <w:r w:rsidR="00AF635F" w:rsidRPr="00AF635F">
        <w:rPr>
          <w:rFonts w:cs="Arial"/>
          <w:rtl/>
        </w:rPr>
        <w:t xml:space="preserve"> אבל בכה</w:t>
      </w:r>
      <w:r w:rsidR="00AF635F">
        <w:rPr>
          <w:rFonts w:cs="Arial" w:hint="cs"/>
          <w:rtl/>
        </w:rPr>
        <w:t>"ג</w:t>
      </w:r>
      <w:r w:rsidR="00AF635F" w:rsidRPr="00AF635F">
        <w:rPr>
          <w:rFonts w:cs="Arial"/>
          <w:rtl/>
        </w:rPr>
        <w:t xml:space="preserve"> דלא פשע ולא זכה בתב</w:t>
      </w:r>
      <w:r w:rsidR="00AF635F">
        <w:rPr>
          <w:rFonts w:cs="Arial" w:hint="cs"/>
          <w:rtl/>
        </w:rPr>
        <w:t>י</w:t>
      </w:r>
      <w:r w:rsidR="00AF635F" w:rsidRPr="00AF635F">
        <w:rPr>
          <w:rFonts w:cs="Arial"/>
          <w:rtl/>
        </w:rPr>
        <w:t>ע</w:t>
      </w:r>
      <w:r w:rsidR="00AF635F">
        <w:rPr>
          <w:rFonts w:cs="Arial" w:hint="cs"/>
          <w:rtl/>
        </w:rPr>
        <w:t>ה</w:t>
      </w:r>
      <w:r w:rsidR="00AF635F" w:rsidRPr="00AF635F">
        <w:rPr>
          <w:rFonts w:cs="Arial"/>
          <w:rtl/>
        </w:rPr>
        <w:t xml:space="preserve"> עדיין פשיטא דבהא מודו כולי עלמא ועד כאן לא קא מיפלגי. וכ</w:t>
      </w:r>
      <w:r w:rsidR="00AF635F">
        <w:rPr>
          <w:rFonts w:cs="Arial" w:hint="cs"/>
          <w:rtl/>
        </w:rPr>
        <w:t>"כ</w:t>
      </w:r>
      <w:r w:rsidR="00AF635F" w:rsidRPr="00AF635F">
        <w:rPr>
          <w:rFonts w:cs="Arial"/>
          <w:rtl/>
        </w:rPr>
        <w:t xml:space="preserve"> בטור ח</w:t>
      </w:r>
      <w:r w:rsidR="00AF635F">
        <w:rPr>
          <w:rFonts w:cs="Arial" w:hint="cs"/>
          <w:rtl/>
        </w:rPr>
        <w:t>ו</w:t>
      </w:r>
      <w:r w:rsidR="00AF635F" w:rsidRPr="00AF635F">
        <w:rPr>
          <w:rFonts w:cs="Arial"/>
          <w:rtl/>
        </w:rPr>
        <w:t>"מ וז"ל וא</w:t>
      </w:r>
      <w:r w:rsidR="00AF635F">
        <w:rPr>
          <w:rFonts w:cs="Arial" w:hint="cs"/>
          <w:rtl/>
        </w:rPr>
        <w:t>ע"ג</w:t>
      </w:r>
      <w:r w:rsidR="00AF635F" w:rsidRPr="00AF635F">
        <w:rPr>
          <w:rFonts w:cs="Arial"/>
          <w:rtl/>
        </w:rPr>
        <w:t xml:space="preserve"> שאחד מבעלי דינין נסתלק מבית דין שבעירו ויצא חייב אין צריך לפרוע לו יציאותיו</w:t>
      </w:r>
      <w:r w:rsidR="00AF635F">
        <w:rPr>
          <w:rFonts w:cs="Arial" w:hint="cs"/>
          <w:rtl/>
        </w:rPr>
        <w:t>...</w:t>
      </w:r>
      <w:r w:rsidR="00AF635F" w:rsidRPr="00AF635F">
        <w:rPr>
          <w:rFonts w:cs="Arial"/>
          <w:rtl/>
        </w:rPr>
        <w:t xml:space="preserve"> אבל אם מסרב לירד לדין והוצרך להוציא עליו יציאות דכופו לירד לדין צריך לפרוע לו כל יציאותיו ע</w:t>
      </w:r>
      <w:r w:rsidR="00AF635F">
        <w:rPr>
          <w:rFonts w:cs="Arial" w:hint="cs"/>
          <w:rtl/>
        </w:rPr>
        <w:t>כ"ל</w:t>
      </w:r>
      <w:r w:rsidR="00AF635F" w:rsidRPr="00AF635F">
        <w:rPr>
          <w:rFonts w:cs="Arial"/>
          <w:rtl/>
        </w:rPr>
        <w:t>. הרי לך בהדיא דדוקא במסרב לירד לדין צריך לפרוע ההוצאות אבל האי מה סרבנות נמצא בו שיצטרך לפרוע מהוצאת השליח</w:t>
      </w:r>
      <w:r w:rsidRPr="00942E38">
        <w:rPr>
          <w:rFonts w:cs="Arial" w:hint="cs"/>
          <w:rtl/>
        </w:rPr>
        <w:t>.</w:t>
      </w:r>
      <w:r w:rsidR="001024A8">
        <w:rPr>
          <w:rFonts w:cs="Arial" w:hint="cs"/>
          <w:rtl/>
        </w:rPr>
        <w:t xml:space="preserve"> (וכ"פ הסמ"ע</w:t>
      </w:r>
      <w:r w:rsidR="001024A8">
        <w:rPr>
          <w:rFonts w:cs="Arial" w:hint="cs"/>
          <w:sz w:val="16"/>
          <w:szCs w:val="16"/>
          <w:rtl/>
        </w:rPr>
        <w:t xml:space="preserve"> [סקט"ו]</w:t>
      </w:r>
      <w:r w:rsidR="001024A8">
        <w:rPr>
          <w:rFonts w:cs="Arial" w:hint="cs"/>
          <w:rtl/>
        </w:rPr>
        <w:t>)</w:t>
      </w:r>
    </w:p>
    <w:p w14:paraId="4C28AA2E" w14:textId="77777777" w:rsidR="00942E38" w:rsidRDefault="00942E38" w:rsidP="00B831EE">
      <w:pPr>
        <w:rPr>
          <w:rFonts w:cs="Arial"/>
          <w:rtl/>
        </w:rPr>
      </w:pPr>
      <w:r w:rsidRPr="00942E38">
        <w:rPr>
          <w:rFonts w:cs="Arial" w:hint="cs"/>
          <w:u w:val="single"/>
          <w:rtl/>
        </w:rPr>
        <w:t xml:space="preserve">מי פורע את </w:t>
      </w:r>
      <w:r w:rsidRPr="00942E38">
        <w:rPr>
          <w:rFonts w:cs="Arial"/>
          <w:u w:val="single"/>
          <w:rtl/>
        </w:rPr>
        <w:t xml:space="preserve">שטר </w:t>
      </w:r>
      <w:r w:rsidRPr="00942E38">
        <w:rPr>
          <w:rFonts w:cs="Arial" w:hint="cs"/>
          <w:u w:val="single"/>
          <w:rtl/>
        </w:rPr>
        <w:t>ה</w:t>
      </w:r>
      <w:r w:rsidRPr="00942E38">
        <w:rPr>
          <w:rFonts w:cs="Arial"/>
          <w:u w:val="single"/>
          <w:rtl/>
        </w:rPr>
        <w:t>אדרכתא ואחלטתא</w:t>
      </w:r>
      <w:r w:rsidRPr="00942E38">
        <w:rPr>
          <w:rFonts w:cs="Arial" w:hint="cs"/>
          <w:u w:val="single"/>
          <w:rtl/>
        </w:rPr>
        <w:t>:</w:t>
      </w:r>
    </w:p>
    <w:p w14:paraId="4F159395" w14:textId="77777777" w:rsidR="00B831EE" w:rsidRDefault="00942E38" w:rsidP="004B0475">
      <w:pPr>
        <w:pStyle w:val="ac"/>
        <w:numPr>
          <w:ilvl w:val="0"/>
          <w:numId w:val="14"/>
        </w:numPr>
        <w:rPr>
          <w:rFonts w:cs="Arial"/>
        </w:rPr>
      </w:pPr>
      <w:r w:rsidRPr="00942E38">
        <w:rPr>
          <w:rFonts w:cs="Arial" w:hint="cs"/>
          <w:rtl/>
        </w:rPr>
        <w:t xml:space="preserve">רי"ו </w:t>
      </w:r>
      <w:r w:rsidRPr="00942E38">
        <w:rPr>
          <w:rFonts w:cs="Arial" w:hint="cs"/>
          <w:sz w:val="16"/>
          <w:szCs w:val="16"/>
          <w:rtl/>
        </w:rPr>
        <w:t>(</w:t>
      </w:r>
      <w:r w:rsidR="00F03CB0" w:rsidRPr="00942E38">
        <w:rPr>
          <w:rFonts w:cs="Arial"/>
          <w:sz w:val="16"/>
          <w:szCs w:val="16"/>
          <w:rtl/>
        </w:rPr>
        <w:t>נ"ג ח"א טו.)</w:t>
      </w:r>
      <w:r w:rsidRPr="00942E38">
        <w:rPr>
          <w:rFonts w:cs="Arial" w:hint="cs"/>
          <w:rtl/>
        </w:rPr>
        <w:t>-</w:t>
      </w:r>
      <w:r w:rsidR="00F03CB0" w:rsidRPr="00942E38">
        <w:rPr>
          <w:rFonts w:cs="Arial"/>
          <w:rtl/>
        </w:rPr>
        <w:t xml:space="preserve"> שטר אדרכתא ואחלטתא נראה שיפרע אותם התובע</w:t>
      </w:r>
      <w:r w:rsidR="00C469AF">
        <w:rPr>
          <w:rFonts w:cs="Arial" w:hint="cs"/>
          <w:rtl/>
        </w:rPr>
        <w:t>,</w:t>
      </w:r>
      <w:r w:rsidR="00F03CB0" w:rsidRPr="00942E38">
        <w:rPr>
          <w:rFonts w:cs="Arial"/>
          <w:rtl/>
        </w:rPr>
        <w:t xml:space="preserve"> שהם לתועלתו לגבות חובו</w:t>
      </w:r>
      <w:r w:rsidR="00AF635F">
        <w:rPr>
          <w:rFonts w:cs="Arial" w:hint="cs"/>
          <w:rtl/>
        </w:rPr>
        <w:t>,</w:t>
      </w:r>
      <w:r w:rsidR="00F03CB0" w:rsidRPr="00942E38">
        <w:rPr>
          <w:rFonts w:cs="Arial"/>
          <w:rtl/>
        </w:rPr>
        <w:t xml:space="preserve"> זולתי אם התנה לפרוע כל ההוצאות</w:t>
      </w:r>
      <w:r w:rsidRPr="00942E38">
        <w:rPr>
          <w:rFonts w:cs="Arial" w:hint="cs"/>
          <w:rtl/>
        </w:rPr>
        <w:t>.</w:t>
      </w:r>
    </w:p>
    <w:p w14:paraId="09CB920D" w14:textId="77777777" w:rsidR="00E137BC" w:rsidRPr="00576D5C" w:rsidRDefault="00E137BC" w:rsidP="00576D5C">
      <w:pPr>
        <w:rPr>
          <w:rFonts w:asciiTheme="minorBidi" w:hAnsiTheme="minorBidi"/>
          <w:b/>
          <w:bCs/>
          <w:color w:val="000000"/>
          <w:sz w:val="28"/>
          <w:szCs w:val="28"/>
          <w:u w:val="single"/>
          <w:rtl/>
        </w:rPr>
      </w:pPr>
      <w:r w:rsidRPr="00576D5C">
        <w:rPr>
          <w:rFonts w:asciiTheme="minorBidi" w:hAnsiTheme="minorBidi"/>
          <w:b/>
          <w:bCs/>
          <w:color w:val="000000"/>
          <w:sz w:val="28"/>
          <w:szCs w:val="28"/>
          <w:u w:val="single"/>
          <w:rtl/>
        </w:rPr>
        <w:t>שו"ע:</w:t>
      </w:r>
    </w:p>
    <w:p w14:paraId="61AEA4CF" w14:textId="77777777" w:rsidR="00DD42F7" w:rsidRPr="00467ED1" w:rsidRDefault="00E137BC" w:rsidP="00467ED1">
      <w:pPr>
        <w:rPr>
          <w:rFonts w:asciiTheme="minorBidi" w:hAnsiTheme="minorBidi"/>
          <w:sz w:val="18"/>
          <w:szCs w:val="18"/>
          <w:rtl/>
        </w:rPr>
      </w:pPr>
      <w:r w:rsidRPr="00576D5C">
        <w:rPr>
          <w:rFonts w:asciiTheme="minorBidi" w:hAnsiTheme="minorBidi"/>
          <w:rtl/>
        </w:rPr>
        <w:lastRenderedPageBreak/>
        <w:t>שנים שנתעצמו בדין, זה אומר: נידון כאן, וזה אומר: נעלה לב</w:t>
      </w:r>
      <w:r w:rsidR="00EA22B2">
        <w:rPr>
          <w:rFonts w:asciiTheme="minorBidi" w:hAnsiTheme="minorBidi" w:hint="cs"/>
          <w:rtl/>
        </w:rPr>
        <w:t xml:space="preserve">ית </w:t>
      </w:r>
      <w:r w:rsidRPr="00576D5C">
        <w:rPr>
          <w:rFonts w:asciiTheme="minorBidi" w:hAnsiTheme="minorBidi"/>
          <w:rtl/>
        </w:rPr>
        <w:t>ד</w:t>
      </w:r>
      <w:r w:rsidR="00EA22B2">
        <w:rPr>
          <w:rFonts w:asciiTheme="minorBidi" w:hAnsiTheme="minorBidi" w:hint="cs"/>
          <w:rtl/>
        </w:rPr>
        <w:t>ין</w:t>
      </w:r>
      <w:r w:rsidRPr="00576D5C">
        <w:rPr>
          <w:rFonts w:asciiTheme="minorBidi" w:hAnsiTheme="minorBidi"/>
          <w:rtl/>
        </w:rPr>
        <w:t xml:space="preserve"> הגדול</w:t>
      </w:r>
      <w:r w:rsidR="00E02178">
        <w:rPr>
          <w:rStyle w:val="ab"/>
          <w:rFonts w:asciiTheme="minorBidi" w:hAnsiTheme="minorBidi"/>
          <w:rtl/>
        </w:rPr>
        <w:footnoteReference w:id="784"/>
      </w:r>
      <w:r w:rsidRPr="00576D5C">
        <w:rPr>
          <w:rFonts w:asciiTheme="minorBidi" w:hAnsiTheme="minorBidi"/>
          <w:rtl/>
        </w:rPr>
        <w:t>, כופין אותו ודן בעירו. ואם אמר: כתבו ותנו לי מאיזה טעם דנתוני שמא טעיתם, כותבים</w:t>
      </w:r>
      <w:r w:rsidR="00350957">
        <w:rPr>
          <w:rStyle w:val="ab"/>
          <w:rFonts w:asciiTheme="minorBidi" w:hAnsiTheme="minorBidi"/>
          <w:rtl/>
        </w:rPr>
        <w:footnoteReference w:id="785"/>
      </w:r>
      <w:r w:rsidRPr="00576D5C">
        <w:rPr>
          <w:rFonts w:asciiTheme="minorBidi" w:hAnsiTheme="minorBidi"/>
          <w:rtl/>
        </w:rPr>
        <w:t xml:space="preserve"> ונותנים לו ואח</w:t>
      </w:r>
      <w:r w:rsidR="00EA22B2">
        <w:rPr>
          <w:rFonts w:asciiTheme="minorBidi" w:hAnsiTheme="minorBidi" w:hint="cs"/>
          <w:rtl/>
        </w:rPr>
        <w:t xml:space="preserve">ר </w:t>
      </w:r>
      <w:r w:rsidRPr="00576D5C">
        <w:rPr>
          <w:rFonts w:asciiTheme="minorBidi" w:hAnsiTheme="minorBidi"/>
          <w:rtl/>
        </w:rPr>
        <w:t>כ</w:t>
      </w:r>
      <w:r w:rsidR="00EA22B2">
        <w:rPr>
          <w:rFonts w:asciiTheme="minorBidi" w:hAnsiTheme="minorBidi" w:hint="cs"/>
          <w:rtl/>
        </w:rPr>
        <w:t>ך</w:t>
      </w:r>
      <w:r w:rsidRPr="00576D5C">
        <w:rPr>
          <w:rFonts w:asciiTheme="minorBidi" w:hAnsiTheme="minorBidi"/>
          <w:rtl/>
        </w:rPr>
        <w:t xml:space="preserve"> מוציאים ממנו</w:t>
      </w:r>
      <w:r w:rsidR="00350957">
        <w:rPr>
          <w:rStyle w:val="ab"/>
          <w:rFonts w:asciiTheme="minorBidi" w:hAnsiTheme="minorBidi"/>
          <w:rtl/>
        </w:rPr>
        <w:footnoteReference w:id="786"/>
      </w:r>
      <w:r w:rsidRPr="00576D5C">
        <w:rPr>
          <w:rFonts w:asciiTheme="minorBidi" w:hAnsiTheme="minorBidi"/>
          <w:rtl/>
        </w:rPr>
        <w:t>. ואם הוצרך לשאול דבר מב</w:t>
      </w:r>
      <w:r w:rsidR="00EA22B2">
        <w:rPr>
          <w:rFonts w:asciiTheme="minorBidi" w:hAnsiTheme="minorBidi" w:hint="cs"/>
          <w:rtl/>
        </w:rPr>
        <w:t xml:space="preserve">ית </w:t>
      </w:r>
      <w:r w:rsidRPr="00576D5C">
        <w:rPr>
          <w:rFonts w:asciiTheme="minorBidi" w:hAnsiTheme="minorBidi"/>
          <w:rtl/>
        </w:rPr>
        <w:t>ד</w:t>
      </w:r>
      <w:r w:rsidR="00EA22B2">
        <w:rPr>
          <w:rFonts w:asciiTheme="minorBidi" w:hAnsiTheme="minorBidi" w:hint="cs"/>
          <w:rtl/>
        </w:rPr>
        <w:t>ין</w:t>
      </w:r>
      <w:r w:rsidRPr="00576D5C">
        <w:rPr>
          <w:rFonts w:asciiTheme="minorBidi" w:hAnsiTheme="minorBidi"/>
          <w:rtl/>
        </w:rPr>
        <w:t xml:space="preserve"> הגדול</w:t>
      </w:r>
      <w:r w:rsidR="00BC3A42">
        <w:rPr>
          <w:rStyle w:val="ab"/>
          <w:rFonts w:asciiTheme="minorBidi" w:hAnsiTheme="minorBidi"/>
          <w:rtl/>
        </w:rPr>
        <w:footnoteReference w:id="787"/>
      </w:r>
      <w:r w:rsidRPr="00576D5C">
        <w:rPr>
          <w:rFonts w:asciiTheme="minorBidi" w:hAnsiTheme="minorBidi"/>
          <w:rtl/>
        </w:rPr>
        <w:t>, כותבים ושולחים ושואלים, ודנין להם בעירם</w:t>
      </w:r>
      <w:r w:rsidR="00BC3A42">
        <w:rPr>
          <w:rStyle w:val="ab"/>
          <w:rFonts w:asciiTheme="minorBidi" w:hAnsiTheme="minorBidi"/>
          <w:rtl/>
        </w:rPr>
        <w:footnoteReference w:id="788"/>
      </w:r>
      <w:r w:rsidRPr="00576D5C">
        <w:rPr>
          <w:rFonts w:asciiTheme="minorBidi" w:hAnsiTheme="minorBidi"/>
          <w:rtl/>
        </w:rPr>
        <w:t xml:space="preserve"> כפי מה שיבא בכתב ב</w:t>
      </w:r>
      <w:r w:rsidR="00EA22B2">
        <w:rPr>
          <w:rFonts w:asciiTheme="minorBidi" w:hAnsiTheme="minorBidi" w:hint="cs"/>
          <w:rtl/>
        </w:rPr>
        <w:t xml:space="preserve">ית </w:t>
      </w:r>
      <w:r w:rsidRPr="00576D5C">
        <w:rPr>
          <w:rFonts w:asciiTheme="minorBidi" w:hAnsiTheme="minorBidi"/>
          <w:rtl/>
        </w:rPr>
        <w:t>ד</w:t>
      </w:r>
      <w:r w:rsidR="00EA22B2">
        <w:rPr>
          <w:rFonts w:asciiTheme="minorBidi" w:hAnsiTheme="minorBidi" w:hint="cs"/>
          <w:rtl/>
        </w:rPr>
        <w:t>ין</w:t>
      </w:r>
      <w:r w:rsidRPr="00576D5C">
        <w:rPr>
          <w:rFonts w:asciiTheme="minorBidi" w:hAnsiTheme="minorBidi"/>
          <w:rtl/>
        </w:rPr>
        <w:t xml:space="preserve"> הגדול</w:t>
      </w:r>
      <w:r w:rsidR="00EA22B2">
        <w:rPr>
          <w:rFonts w:asciiTheme="minorBidi" w:hAnsiTheme="minorBidi" w:hint="cs"/>
          <w:rtl/>
        </w:rPr>
        <w:t>,</w:t>
      </w:r>
      <w:r w:rsidRPr="00576D5C">
        <w:rPr>
          <w:rFonts w:asciiTheme="minorBidi" w:hAnsiTheme="minorBidi"/>
          <w:rtl/>
        </w:rPr>
        <w:t xml:space="preserve"> ושני בעלי דינים יפרעו שכר השליח. </w:t>
      </w:r>
      <w:r w:rsidRPr="00D52A51">
        <w:rPr>
          <w:rFonts w:asciiTheme="minorBidi" w:hAnsiTheme="minorBidi"/>
          <w:sz w:val="18"/>
          <w:szCs w:val="18"/>
          <w:rtl/>
        </w:rPr>
        <w:t>הגה: מיהו אם א' מבעלי הדינים או הדיינים רוצה לשלוח למרחקים, ויש חכם סמוך להם הראוי לדון, שולחים לסמוך אע</w:t>
      </w:r>
      <w:r w:rsidR="00EA22B2">
        <w:rPr>
          <w:rFonts w:asciiTheme="minorBidi" w:hAnsiTheme="minorBidi" w:hint="cs"/>
          <w:sz w:val="18"/>
          <w:szCs w:val="18"/>
          <w:rtl/>
        </w:rPr>
        <w:t>"</w:t>
      </w:r>
      <w:r w:rsidRPr="00D52A51">
        <w:rPr>
          <w:rFonts w:asciiTheme="minorBidi" w:hAnsiTheme="minorBidi"/>
          <w:sz w:val="18"/>
          <w:szCs w:val="18"/>
          <w:rtl/>
        </w:rPr>
        <w:t>פ שהרחוק יותר חכם, דלאו כל כמיניה לגרום הפסד לבעל דין להרבות בשכר השליחות. וכ"ש אם חכם אחר בעירן הראוי לדון (מרדכי סוף פ' זה בורר). ואם שני חכמים סמוכים בשוה, הולכין אחר הגדול. (נ</w:t>
      </w:r>
      <w:r w:rsidR="00EA22B2">
        <w:rPr>
          <w:rFonts w:asciiTheme="minorBidi" w:hAnsiTheme="minorBidi" w:hint="cs"/>
          <w:sz w:val="18"/>
          <w:szCs w:val="18"/>
          <w:rtl/>
        </w:rPr>
        <w:t>מוק</w:t>
      </w:r>
      <w:r w:rsidRPr="00D52A51">
        <w:rPr>
          <w:rFonts w:asciiTheme="minorBidi" w:hAnsiTheme="minorBidi"/>
          <w:sz w:val="18"/>
          <w:szCs w:val="18"/>
          <w:rtl/>
        </w:rPr>
        <w:t xml:space="preserve">"י ר"פ זה בורר). </w:t>
      </w:r>
      <w:r w:rsidRPr="00576D5C">
        <w:rPr>
          <w:rFonts w:asciiTheme="minorBidi" w:hAnsiTheme="minorBidi"/>
          <w:rtl/>
        </w:rPr>
        <w:t>במה דברים אמורים, בשאר הדינים שזה טוען וזה טוען, או שאומר המלוה: נידון כאן, והלוה אומר: נלך לב</w:t>
      </w:r>
      <w:r w:rsidR="00EA22B2">
        <w:rPr>
          <w:rFonts w:asciiTheme="minorBidi" w:hAnsiTheme="minorBidi" w:hint="cs"/>
          <w:rtl/>
        </w:rPr>
        <w:t xml:space="preserve">ית </w:t>
      </w:r>
      <w:r w:rsidRPr="00576D5C">
        <w:rPr>
          <w:rFonts w:asciiTheme="minorBidi" w:hAnsiTheme="minorBidi"/>
          <w:rtl/>
        </w:rPr>
        <w:t>ד</w:t>
      </w:r>
      <w:r w:rsidR="00EA22B2">
        <w:rPr>
          <w:rFonts w:asciiTheme="minorBidi" w:hAnsiTheme="minorBidi" w:hint="cs"/>
          <w:rtl/>
        </w:rPr>
        <w:t>ין</w:t>
      </w:r>
      <w:r w:rsidRPr="00576D5C">
        <w:rPr>
          <w:rFonts w:asciiTheme="minorBidi" w:hAnsiTheme="minorBidi"/>
          <w:rtl/>
        </w:rPr>
        <w:t xml:space="preserve"> הגדול</w:t>
      </w:r>
      <w:r w:rsidR="00C469AF">
        <w:rPr>
          <w:rFonts w:asciiTheme="minorBidi" w:hAnsiTheme="minorBidi" w:hint="cs"/>
          <w:rtl/>
        </w:rPr>
        <w:t>.</w:t>
      </w:r>
      <w:r w:rsidRPr="00576D5C">
        <w:rPr>
          <w:rFonts w:asciiTheme="minorBidi" w:hAnsiTheme="minorBidi"/>
          <w:rtl/>
        </w:rPr>
        <w:t xml:space="preserve"> אבל</w:t>
      </w:r>
      <w:r w:rsidR="00CD5605">
        <w:rPr>
          <w:rStyle w:val="ab"/>
          <w:rFonts w:asciiTheme="minorBidi" w:hAnsiTheme="minorBidi"/>
          <w:rtl/>
        </w:rPr>
        <w:footnoteReference w:id="789"/>
      </w:r>
      <w:r w:rsidRPr="00576D5C">
        <w:rPr>
          <w:rFonts w:asciiTheme="minorBidi" w:hAnsiTheme="minorBidi"/>
          <w:rtl/>
        </w:rPr>
        <w:t xml:space="preserve"> אם אמר המלוה: נלך לב</w:t>
      </w:r>
      <w:r w:rsidR="00EA22B2">
        <w:rPr>
          <w:rFonts w:asciiTheme="minorBidi" w:hAnsiTheme="minorBidi" w:hint="cs"/>
          <w:rtl/>
        </w:rPr>
        <w:t xml:space="preserve">ית </w:t>
      </w:r>
      <w:r w:rsidRPr="00576D5C">
        <w:rPr>
          <w:rFonts w:asciiTheme="minorBidi" w:hAnsiTheme="minorBidi"/>
          <w:rtl/>
        </w:rPr>
        <w:t>ד</w:t>
      </w:r>
      <w:r w:rsidR="00EA22B2">
        <w:rPr>
          <w:rFonts w:asciiTheme="minorBidi" w:hAnsiTheme="minorBidi" w:hint="cs"/>
          <w:rtl/>
        </w:rPr>
        <w:t>ין</w:t>
      </w:r>
      <w:r w:rsidRPr="00576D5C">
        <w:rPr>
          <w:rFonts w:asciiTheme="minorBidi" w:hAnsiTheme="minorBidi"/>
          <w:rtl/>
        </w:rPr>
        <w:t xml:space="preserve"> הגדול, כופין את הלוה ועולה עמו</w:t>
      </w:r>
      <w:r w:rsidR="00B269D6">
        <w:rPr>
          <w:rStyle w:val="ab"/>
          <w:rFonts w:asciiTheme="minorBidi" w:hAnsiTheme="minorBidi"/>
          <w:rtl/>
        </w:rPr>
        <w:footnoteReference w:id="790"/>
      </w:r>
      <w:r w:rsidRPr="00576D5C">
        <w:rPr>
          <w:rFonts w:asciiTheme="minorBidi" w:hAnsiTheme="minorBidi"/>
          <w:rtl/>
        </w:rPr>
        <w:t>. וכן אם טען זה שהזיקו או גזלו, ורצה הטוען לעלות, כופין ב</w:t>
      </w:r>
      <w:r w:rsidR="00EA22B2">
        <w:rPr>
          <w:rFonts w:asciiTheme="minorBidi" w:hAnsiTheme="minorBidi" w:hint="cs"/>
          <w:rtl/>
        </w:rPr>
        <w:t xml:space="preserve">ית </w:t>
      </w:r>
      <w:r w:rsidRPr="00576D5C">
        <w:rPr>
          <w:rFonts w:asciiTheme="minorBidi" w:hAnsiTheme="minorBidi"/>
          <w:rtl/>
        </w:rPr>
        <w:t>ד</w:t>
      </w:r>
      <w:r w:rsidR="00EA22B2">
        <w:rPr>
          <w:rFonts w:asciiTheme="minorBidi" w:hAnsiTheme="minorBidi" w:hint="cs"/>
          <w:rtl/>
        </w:rPr>
        <w:t>ין</w:t>
      </w:r>
      <w:r w:rsidRPr="00576D5C">
        <w:rPr>
          <w:rFonts w:asciiTheme="minorBidi" w:hAnsiTheme="minorBidi"/>
          <w:rtl/>
        </w:rPr>
        <w:t xml:space="preserve"> שבעירו את הנטען לעלות עמו, וכן כל כיוצא בזה. ב</w:t>
      </w:r>
      <w:r w:rsidR="00EA22B2">
        <w:rPr>
          <w:rFonts w:asciiTheme="minorBidi" w:hAnsiTheme="minorBidi" w:hint="cs"/>
          <w:rtl/>
        </w:rPr>
        <w:t>מה דברים אמורים</w:t>
      </w:r>
      <w:r w:rsidRPr="00576D5C">
        <w:rPr>
          <w:rFonts w:asciiTheme="minorBidi" w:hAnsiTheme="minorBidi"/>
          <w:rtl/>
        </w:rPr>
        <w:t>, כשהיו עדים או ראיה לנגזל או לניזק או למלוה</w:t>
      </w:r>
      <w:r w:rsidR="00EA22B2">
        <w:rPr>
          <w:rFonts w:asciiTheme="minorBidi" w:hAnsiTheme="minorBidi" w:hint="cs"/>
          <w:rtl/>
        </w:rPr>
        <w:t>,</w:t>
      </w:r>
      <w:r w:rsidRPr="00576D5C">
        <w:rPr>
          <w:rFonts w:asciiTheme="minorBidi" w:hAnsiTheme="minorBidi"/>
          <w:rtl/>
        </w:rPr>
        <w:t xml:space="preserve"> אבל טענה רקנית, אין מחייבין את הנטען לצאת כלל, אלא נשבע במקומו ונפטר. וכן הדין בזמן הזה שאין שם בית דין הגדול </w:t>
      </w:r>
      <w:r w:rsidR="00D52A51" w:rsidRPr="00D52A51">
        <w:rPr>
          <w:rFonts w:asciiTheme="minorBidi" w:hAnsiTheme="minorBidi" w:hint="cs"/>
          <w:sz w:val="18"/>
          <w:szCs w:val="18"/>
          <w:rtl/>
        </w:rPr>
        <w:t>[הגה]</w:t>
      </w:r>
      <w:r w:rsidRPr="00D52A51">
        <w:rPr>
          <w:rFonts w:asciiTheme="minorBidi" w:hAnsiTheme="minorBidi"/>
          <w:sz w:val="18"/>
          <w:szCs w:val="18"/>
          <w:rtl/>
        </w:rPr>
        <w:t xml:space="preserve"> וי"א דבית דין חשוב שבכל דור ודור לפי מה שהוא, מקרי ב"ד הגדול (טור).</w:t>
      </w:r>
      <w:r w:rsidRPr="00576D5C">
        <w:rPr>
          <w:rFonts w:asciiTheme="minorBidi" w:hAnsiTheme="minorBidi"/>
          <w:rtl/>
        </w:rPr>
        <w:t xml:space="preserve"> אבל יש מקומות </w:t>
      </w:r>
      <w:r w:rsidRPr="00D52A51">
        <w:rPr>
          <w:rFonts w:asciiTheme="minorBidi" w:hAnsiTheme="minorBidi"/>
          <w:sz w:val="18"/>
          <w:szCs w:val="18"/>
          <w:rtl/>
        </w:rPr>
        <w:t>(באותה מדינה</w:t>
      </w:r>
      <w:r w:rsidR="005A68D4">
        <w:rPr>
          <w:rStyle w:val="ab"/>
          <w:rFonts w:asciiTheme="minorBidi" w:hAnsiTheme="minorBidi"/>
          <w:sz w:val="18"/>
          <w:szCs w:val="18"/>
          <w:rtl/>
        </w:rPr>
        <w:footnoteReference w:id="791"/>
      </w:r>
      <w:r w:rsidRPr="00D52A51">
        <w:rPr>
          <w:rFonts w:asciiTheme="minorBidi" w:hAnsiTheme="minorBidi"/>
          <w:sz w:val="18"/>
          <w:szCs w:val="18"/>
          <w:rtl/>
        </w:rPr>
        <w:t xml:space="preserve">) </w:t>
      </w:r>
      <w:r w:rsidRPr="00576D5C">
        <w:rPr>
          <w:rFonts w:asciiTheme="minorBidi" w:hAnsiTheme="minorBidi"/>
          <w:rtl/>
        </w:rPr>
        <w:t>שיש בהם חכמים גדולים מומחים לרבים, ומקומות שיש בהם תלמידים שאינם כמותם, אם אמר המלוה: נלך למקום פלוני שבארץ פלוני</w:t>
      </w:r>
      <w:r w:rsidR="00C469AF">
        <w:rPr>
          <w:rStyle w:val="ab"/>
          <w:rFonts w:asciiTheme="minorBidi" w:hAnsiTheme="minorBidi"/>
          <w:rtl/>
        </w:rPr>
        <w:footnoteReference w:id="792"/>
      </w:r>
      <w:r w:rsidRPr="00576D5C">
        <w:rPr>
          <w:rFonts w:asciiTheme="minorBidi" w:hAnsiTheme="minorBidi"/>
          <w:rtl/>
        </w:rPr>
        <w:t xml:space="preserve"> לפלוני ופלוני הגדול ונדון לפניו כופין את הלוה והולך עמו. </w:t>
      </w:r>
      <w:r w:rsidRPr="00D52A51">
        <w:rPr>
          <w:rFonts w:asciiTheme="minorBidi" w:hAnsiTheme="minorBidi"/>
          <w:sz w:val="18"/>
          <w:szCs w:val="18"/>
          <w:rtl/>
        </w:rPr>
        <w:t xml:space="preserve">הגה: אם יש </w:t>
      </w:r>
      <w:r w:rsidRPr="00B269D6">
        <w:rPr>
          <w:rFonts w:asciiTheme="minorBidi" w:hAnsiTheme="minorBidi"/>
          <w:sz w:val="16"/>
          <w:szCs w:val="16"/>
          <w:rtl/>
        </w:rPr>
        <w:t>(</w:t>
      </w:r>
      <w:r w:rsidR="00B269D6">
        <w:rPr>
          <w:rStyle w:val="ab"/>
          <w:rFonts w:asciiTheme="minorBidi" w:hAnsiTheme="minorBidi"/>
          <w:sz w:val="16"/>
          <w:szCs w:val="16"/>
          <w:rtl/>
        </w:rPr>
        <w:footnoteReference w:id="793"/>
      </w:r>
      <w:r w:rsidRPr="00B269D6">
        <w:rPr>
          <w:rFonts w:asciiTheme="minorBidi" w:hAnsiTheme="minorBidi"/>
          <w:sz w:val="16"/>
          <w:szCs w:val="16"/>
          <w:rtl/>
        </w:rPr>
        <w:t xml:space="preserve">לתובע) </w:t>
      </w:r>
      <w:r w:rsidRPr="00D52A51">
        <w:rPr>
          <w:rFonts w:asciiTheme="minorBidi" w:hAnsiTheme="minorBidi"/>
          <w:sz w:val="18"/>
          <w:szCs w:val="18"/>
          <w:rtl/>
        </w:rPr>
        <w:t>עדים או ראיה</w:t>
      </w:r>
      <w:r w:rsidR="00B269D6">
        <w:rPr>
          <w:rStyle w:val="ab"/>
          <w:rFonts w:asciiTheme="minorBidi" w:hAnsiTheme="minorBidi"/>
          <w:sz w:val="18"/>
          <w:szCs w:val="18"/>
          <w:rtl/>
        </w:rPr>
        <w:footnoteReference w:id="794"/>
      </w:r>
      <w:r w:rsidRPr="00D52A51">
        <w:rPr>
          <w:rFonts w:asciiTheme="minorBidi" w:hAnsiTheme="minorBidi"/>
          <w:sz w:val="18"/>
          <w:szCs w:val="18"/>
          <w:rtl/>
        </w:rPr>
        <w:t>, ונראה לב"ד שבעירו שיש ממש בטענותיו. אבל בלאו הכי</w:t>
      </w:r>
      <w:r w:rsidR="00C469AF">
        <w:rPr>
          <w:rFonts w:asciiTheme="minorBidi" w:hAnsiTheme="minorBidi" w:hint="cs"/>
          <w:sz w:val="18"/>
          <w:szCs w:val="18"/>
          <w:rtl/>
        </w:rPr>
        <w:t>,</w:t>
      </w:r>
      <w:r w:rsidRPr="00D52A51">
        <w:rPr>
          <w:rFonts w:asciiTheme="minorBidi" w:hAnsiTheme="minorBidi"/>
          <w:sz w:val="18"/>
          <w:szCs w:val="18"/>
          <w:rtl/>
        </w:rPr>
        <w:t xml:space="preserve"> אין כופין אותו לילך עמו </w:t>
      </w:r>
      <w:r w:rsidRPr="008E4050">
        <w:rPr>
          <w:rFonts w:asciiTheme="minorBidi" w:hAnsiTheme="minorBidi"/>
          <w:sz w:val="16"/>
          <w:szCs w:val="16"/>
          <w:rtl/>
        </w:rPr>
        <w:t>(טור)</w:t>
      </w:r>
      <w:r w:rsidRPr="00D52A51">
        <w:rPr>
          <w:rFonts w:asciiTheme="minorBidi" w:hAnsiTheme="minorBidi"/>
          <w:sz w:val="18"/>
          <w:szCs w:val="18"/>
          <w:rtl/>
        </w:rPr>
        <w:t xml:space="preserve">. וי"א דלטענות נלך לב"ד הגדול אין חילוק בין תובע לנתבע, וכל אחד יכול לכוף חבירו לילך עמו </w:t>
      </w:r>
      <w:r w:rsidRPr="008E4050">
        <w:rPr>
          <w:rFonts w:asciiTheme="minorBidi" w:hAnsiTheme="minorBidi"/>
          <w:sz w:val="16"/>
          <w:szCs w:val="16"/>
          <w:rtl/>
        </w:rPr>
        <w:t>(טור בשם ר"ת)</w:t>
      </w:r>
      <w:r w:rsidRPr="00D52A51">
        <w:rPr>
          <w:rFonts w:asciiTheme="minorBidi" w:hAnsiTheme="minorBidi"/>
          <w:sz w:val="18"/>
          <w:szCs w:val="18"/>
          <w:rtl/>
        </w:rPr>
        <w:t>. וכל זה מדינא, אבל כבר נהגו בזמן הזה שכל זמן שיש ב"ד בעיר אין אחד יכול לכוף חבירו שילך עמו לבית דין אחר</w:t>
      </w:r>
      <w:r w:rsidR="00B269D6">
        <w:rPr>
          <w:rStyle w:val="ab"/>
          <w:rFonts w:asciiTheme="minorBidi" w:hAnsiTheme="minorBidi"/>
          <w:sz w:val="18"/>
          <w:szCs w:val="18"/>
          <w:rtl/>
        </w:rPr>
        <w:footnoteReference w:id="795"/>
      </w:r>
      <w:r w:rsidRPr="00D52A51">
        <w:rPr>
          <w:rFonts w:asciiTheme="minorBidi" w:hAnsiTheme="minorBidi"/>
          <w:sz w:val="18"/>
          <w:szCs w:val="18"/>
          <w:rtl/>
        </w:rPr>
        <w:t xml:space="preserve"> </w:t>
      </w:r>
      <w:r w:rsidRPr="008E4050">
        <w:rPr>
          <w:rFonts w:asciiTheme="minorBidi" w:hAnsiTheme="minorBidi"/>
          <w:sz w:val="16"/>
          <w:szCs w:val="16"/>
          <w:rtl/>
        </w:rPr>
        <w:t>(מהרי"ק שורש כא)</w:t>
      </w:r>
      <w:r w:rsidRPr="00D52A51">
        <w:rPr>
          <w:rFonts w:asciiTheme="minorBidi" w:hAnsiTheme="minorBidi"/>
          <w:sz w:val="18"/>
          <w:szCs w:val="18"/>
          <w:rtl/>
        </w:rPr>
        <w:t xml:space="preserve">, כי אין לנו </w:t>
      </w:r>
      <w:r w:rsidRPr="00D52A51">
        <w:rPr>
          <w:rFonts w:asciiTheme="minorBidi" w:hAnsiTheme="minorBidi"/>
          <w:sz w:val="18"/>
          <w:szCs w:val="18"/>
          <w:rtl/>
        </w:rPr>
        <w:lastRenderedPageBreak/>
        <w:t>עכשיו בית דין הגדול או בית הועד</w:t>
      </w:r>
      <w:r w:rsidR="008E4050">
        <w:rPr>
          <w:rFonts w:asciiTheme="minorBidi" w:hAnsiTheme="minorBidi" w:hint="cs"/>
          <w:sz w:val="18"/>
          <w:szCs w:val="18"/>
          <w:rtl/>
        </w:rPr>
        <w:t xml:space="preserve"> </w:t>
      </w:r>
      <w:r w:rsidR="008E4050" w:rsidRPr="008E4050">
        <w:rPr>
          <w:rFonts w:asciiTheme="minorBidi" w:hAnsiTheme="minorBidi" w:hint="cs"/>
          <w:sz w:val="16"/>
          <w:szCs w:val="16"/>
          <w:rtl/>
        </w:rPr>
        <w:t>(מרדכי סי' תשט)</w:t>
      </w:r>
      <w:r w:rsidR="008E4050">
        <w:rPr>
          <w:rFonts w:asciiTheme="minorBidi" w:hAnsiTheme="minorBidi" w:hint="cs"/>
          <w:sz w:val="18"/>
          <w:szCs w:val="18"/>
          <w:rtl/>
        </w:rPr>
        <w:t>,</w:t>
      </w:r>
      <w:r w:rsidRPr="00D52A51">
        <w:rPr>
          <w:rFonts w:asciiTheme="minorBidi" w:hAnsiTheme="minorBidi"/>
          <w:sz w:val="18"/>
          <w:szCs w:val="18"/>
          <w:rtl/>
        </w:rPr>
        <w:t xml:space="preserve"> ולכן לא יוכל לדחותו, אבל יכול לדחותו שלא לדון עמו עד יום שלישי</w:t>
      </w:r>
      <w:r w:rsidR="008E4050">
        <w:rPr>
          <w:rStyle w:val="ab"/>
          <w:rFonts w:asciiTheme="minorBidi" w:hAnsiTheme="minorBidi"/>
          <w:sz w:val="18"/>
          <w:szCs w:val="18"/>
          <w:rtl/>
        </w:rPr>
        <w:footnoteReference w:id="796"/>
      </w:r>
      <w:r w:rsidRPr="00D52A51">
        <w:rPr>
          <w:rFonts w:asciiTheme="minorBidi" w:hAnsiTheme="minorBidi"/>
          <w:sz w:val="18"/>
          <w:szCs w:val="18"/>
          <w:rtl/>
        </w:rPr>
        <w:t>, ומיד יבררו דיינים</w:t>
      </w:r>
      <w:r w:rsidR="008E4050">
        <w:rPr>
          <w:rStyle w:val="ab"/>
          <w:rFonts w:asciiTheme="minorBidi" w:hAnsiTheme="minorBidi"/>
          <w:sz w:val="18"/>
          <w:szCs w:val="18"/>
          <w:rtl/>
        </w:rPr>
        <w:footnoteReference w:id="797"/>
      </w:r>
      <w:r w:rsidRPr="00D52A51">
        <w:rPr>
          <w:rFonts w:asciiTheme="minorBidi" w:hAnsiTheme="minorBidi"/>
          <w:sz w:val="18"/>
          <w:szCs w:val="18"/>
          <w:rtl/>
        </w:rPr>
        <w:t xml:space="preserve">. אבל אכסנאי שתובע לבני העיר, או ב' אכסנאים, צריך לדון עמו מיד, ולא יוכל לדחותו </w:t>
      </w:r>
      <w:r w:rsidRPr="008E4050">
        <w:rPr>
          <w:rFonts w:asciiTheme="minorBidi" w:hAnsiTheme="minorBidi"/>
          <w:sz w:val="16"/>
          <w:szCs w:val="16"/>
          <w:rtl/>
        </w:rPr>
        <w:t>(מרדכי בשם מהר"ש)</w:t>
      </w:r>
      <w:r w:rsidRPr="00D52A51">
        <w:rPr>
          <w:rFonts w:asciiTheme="minorBidi" w:hAnsiTheme="minorBidi"/>
          <w:sz w:val="18"/>
          <w:szCs w:val="18"/>
          <w:rtl/>
        </w:rPr>
        <w:t xml:space="preserve">. וכן בן העיר שתובע לאכסנאי בכל מקום שימצאנו, ויש שם בית דין, מכריחו שם לדין </w:t>
      </w:r>
      <w:r w:rsidRPr="008E4050">
        <w:rPr>
          <w:rFonts w:asciiTheme="minorBidi" w:hAnsiTheme="minorBidi"/>
          <w:sz w:val="16"/>
          <w:szCs w:val="16"/>
          <w:rtl/>
        </w:rPr>
        <w:t>(מהרי"ק שורש יד)</w:t>
      </w:r>
      <w:r w:rsidRPr="00D52A51">
        <w:rPr>
          <w:rFonts w:asciiTheme="minorBidi" w:hAnsiTheme="minorBidi"/>
          <w:sz w:val="18"/>
          <w:szCs w:val="18"/>
          <w:rtl/>
        </w:rPr>
        <w:t xml:space="preserve">. וכל זה כשיש ב"ד בעירן, אבל אם אין בית דין שם, כל אחד יוכל להכריח חבירו שילך עמו לבית דין לדון עמו </w:t>
      </w:r>
      <w:r w:rsidRPr="008E4050">
        <w:rPr>
          <w:rFonts w:asciiTheme="minorBidi" w:hAnsiTheme="minorBidi"/>
          <w:sz w:val="16"/>
          <w:szCs w:val="16"/>
          <w:rtl/>
        </w:rPr>
        <w:t>(</w:t>
      </w:r>
      <w:r w:rsidR="008E4050" w:rsidRPr="008E4050">
        <w:rPr>
          <w:rFonts w:asciiTheme="minorBidi" w:hAnsiTheme="minorBidi" w:hint="cs"/>
          <w:sz w:val="16"/>
          <w:szCs w:val="16"/>
          <w:rtl/>
        </w:rPr>
        <w:t>נמוק"י</w:t>
      </w:r>
      <w:r w:rsidR="000C4497">
        <w:rPr>
          <w:rFonts w:asciiTheme="minorBidi" w:hAnsiTheme="minorBidi" w:hint="cs"/>
          <w:sz w:val="16"/>
          <w:szCs w:val="16"/>
          <w:rtl/>
        </w:rPr>
        <w:t xml:space="preserve"> </w:t>
      </w:r>
      <w:r w:rsidR="008E4050" w:rsidRPr="008E4050">
        <w:rPr>
          <w:rFonts w:asciiTheme="minorBidi" w:hAnsiTheme="minorBidi" w:hint="cs"/>
          <w:sz w:val="16"/>
          <w:szCs w:val="16"/>
          <w:rtl/>
        </w:rPr>
        <w:t>ב"ק ו</w:t>
      </w:r>
      <w:r w:rsidR="008E4050">
        <w:rPr>
          <w:rFonts w:asciiTheme="minorBidi" w:hAnsiTheme="minorBidi" w:hint="cs"/>
          <w:sz w:val="16"/>
          <w:szCs w:val="16"/>
          <w:rtl/>
        </w:rPr>
        <w:t>:,</w:t>
      </w:r>
      <w:r w:rsidR="008E4050" w:rsidRPr="008E4050">
        <w:rPr>
          <w:rFonts w:asciiTheme="minorBidi" w:hAnsiTheme="minorBidi" w:hint="cs"/>
          <w:sz w:val="16"/>
          <w:szCs w:val="16"/>
          <w:rtl/>
        </w:rPr>
        <w:t xml:space="preserve"> </w:t>
      </w:r>
      <w:r w:rsidRPr="008E4050">
        <w:rPr>
          <w:rFonts w:asciiTheme="minorBidi" w:hAnsiTheme="minorBidi"/>
          <w:sz w:val="16"/>
          <w:szCs w:val="16"/>
          <w:rtl/>
        </w:rPr>
        <w:t>מרדכי ס"פ זה בורר</w:t>
      </w:r>
      <w:r w:rsidR="008E4050">
        <w:rPr>
          <w:rFonts w:asciiTheme="minorBidi" w:hAnsiTheme="minorBidi" w:hint="cs"/>
          <w:sz w:val="16"/>
          <w:szCs w:val="16"/>
          <w:rtl/>
        </w:rPr>
        <w:t>,</w:t>
      </w:r>
      <w:r w:rsidRPr="008E4050">
        <w:rPr>
          <w:rFonts w:asciiTheme="minorBidi" w:hAnsiTheme="minorBidi"/>
          <w:sz w:val="16"/>
          <w:szCs w:val="16"/>
          <w:rtl/>
        </w:rPr>
        <w:t xml:space="preserve"> ופסקי מהרא"י סי</w:t>
      </w:r>
      <w:r w:rsidR="00E02178" w:rsidRPr="008E4050">
        <w:rPr>
          <w:rFonts w:asciiTheme="minorBidi" w:hAnsiTheme="minorBidi" w:hint="cs"/>
          <w:sz w:val="16"/>
          <w:szCs w:val="16"/>
          <w:rtl/>
        </w:rPr>
        <w:t>'</w:t>
      </w:r>
      <w:r w:rsidRPr="008E4050">
        <w:rPr>
          <w:rFonts w:asciiTheme="minorBidi" w:hAnsiTheme="minorBidi"/>
          <w:sz w:val="16"/>
          <w:szCs w:val="16"/>
          <w:rtl/>
        </w:rPr>
        <w:t xml:space="preserve"> סה)</w:t>
      </w:r>
      <w:r w:rsidRPr="00D52A51">
        <w:rPr>
          <w:rFonts w:asciiTheme="minorBidi" w:hAnsiTheme="minorBidi"/>
          <w:sz w:val="18"/>
          <w:szCs w:val="18"/>
          <w:rtl/>
        </w:rPr>
        <w:t>. התובע צריך לילך אחר הנתבע אם הוא בעיר אחרת, אע"פ שבעיר התובע הבית דין יותר גדול</w:t>
      </w:r>
      <w:r w:rsidR="00DD42F7">
        <w:rPr>
          <w:rStyle w:val="ab"/>
          <w:rFonts w:asciiTheme="minorBidi" w:hAnsiTheme="minorBidi"/>
          <w:sz w:val="18"/>
          <w:szCs w:val="18"/>
          <w:rtl/>
        </w:rPr>
        <w:footnoteReference w:id="798"/>
      </w:r>
      <w:r w:rsidRPr="00D52A51">
        <w:rPr>
          <w:rFonts w:asciiTheme="minorBidi" w:hAnsiTheme="minorBidi"/>
          <w:sz w:val="18"/>
          <w:szCs w:val="18"/>
          <w:rtl/>
        </w:rPr>
        <w:t xml:space="preserve"> </w:t>
      </w:r>
      <w:r w:rsidRPr="008E4050">
        <w:rPr>
          <w:rFonts w:asciiTheme="minorBidi" w:hAnsiTheme="minorBidi"/>
          <w:sz w:val="16"/>
          <w:szCs w:val="16"/>
          <w:rtl/>
        </w:rPr>
        <w:t>(מהרי"ק שורש א'</w:t>
      </w:r>
      <w:r w:rsidR="00467ED1">
        <w:rPr>
          <w:rFonts w:asciiTheme="minorBidi" w:hAnsiTheme="minorBidi" w:hint="cs"/>
          <w:sz w:val="16"/>
          <w:szCs w:val="16"/>
          <w:rtl/>
        </w:rPr>
        <w:t>, וכ"כ תרוה"ד סי' שה</w:t>
      </w:r>
      <w:r w:rsidRPr="008E4050">
        <w:rPr>
          <w:rFonts w:asciiTheme="minorBidi" w:hAnsiTheme="minorBidi"/>
          <w:sz w:val="16"/>
          <w:szCs w:val="16"/>
          <w:rtl/>
        </w:rPr>
        <w:t>)</w:t>
      </w:r>
      <w:r w:rsidRPr="00D52A51">
        <w:rPr>
          <w:rFonts w:asciiTheme="minorBidi" w:hAnsiTheme="minorBidi"/>
          <w:sz w:val="18"/>
          <w:szCs w:val="18"/>
          <w:rtl/>
        </w:rPr>
        <w:t xml:space="preserve">. ואפי' היה לנתבע מעות בפקדון </w:t>
      </w:r>
      <w:r w:rsidR="008E4050">
        <w:rPr>
          <w:rFonts w:asciiTheme="minorBidi" w:hAnsiTheme="minorBidi" w:hint="cs"/>
          <w:sz w:val="18"/>
          <w:szCs w:val="18"/>
          <w:rtl/>
        </w:rPr>
        <w:t>או בדרך אחר</w:t>
      </w:r>
      <w:r w:rsidR="001024A8">
        <w:rPr>
          <w:rStyle w:val="ab"/>
          <w:rFonts w:asciiTheme="minorBidi" w:hAnsiTheme="minorBidi"/>
          <w:sz w:val="18"/>
          <w:szCs w:val="18"/>
          <w:rtl/>
        </w:rPr>
        <w:footnoteReference w:id="799"/>
      </w:r>
      <w:r w:rsidR="008E4050">
        <w:rPr>
          <w:rFonts w:asciiTheme="minorBidi" w:hAnsiTheme="minorBidi" w:hint="cs"/>
          <w:sz w:val="18"/>
          <w:szCs w:val="18"/>
          <w:rtl/>
        </w:rPr>
        <w:t xml:space="preserve"> </w:t>
      </w:r>
      <w:r w:rsidRPr="008E4050">
        <w:rPr>
          <w:rFonts w:asciiTheme="minorBidi" w:hAnsiTheme="minorBidi"/>
          <w:sz w:val="16"/>
          <w:szCs w:val="16"/>
          <w:rtl/>
        </w:rPr>
        <w:t>(</w:t>
      </w:r>
      <w:r w:rsidR="008E4050">
        <w:rPr>
          <w:rStyle w:val="ab"/>
          <w:rFonts w:asciiTheme="minorBidi" w:hAnsiTheme="minorBidi"/>
          <w:sz w:val="16"/>
          <w:szCs w:val="16"/>
          <w:rtl/>
        </w:rPr>
        <w:footnoteReference w:id="800"/>
      </w:r>
      <w:r w:rsidRPr="008E4050">
        <w:rPr>
          <w:rFonts w:asciiTheme="minorBidi" w:hAnsiTheme="minorBidi"/>
          <w:sz w:val="16"/>
          <w:szCs w:val="16"/>
          <w:rtl/>
        </w:rPr>
        <w:t>בעיר התובע או בעיר אחרת</w:t>
      </w:r>
      <w:r w:rsidR="008E4050" w:rsidRPr="008E4050">
        <w:rPr>
          <w:rFonts w:asciiTheme="minorBidi" w:hAnsiTheme="minorBidi" w:hint="cs"/>
          <w:sz w:val="16"/>
          <w:szCs w:val="16"/>
          <w:rtl/>
        </w:rPr>
        <w:t>)</w:t>
      </w:r>
      <w:r w:rsidRPr="00D52A51">
        <w:rPr>
          <w:rFonts w:asciiTheme="minorBidi" w:hAnsiTheme="minorBidi"/>
          <w:sz w:val="18"/>
          <w:szCs w:val="18"/>
          <w:rtl/>
        </w:rPr>
        <w:t>, אא"כ יכול לעכב מעותיו בעירו</w:t>
      </w:r>
      <w:r w:rsidR="001024A8">
        <w:rPr>
          <w:rStyle w:val="ab"/>
          <w:rFonts w:asciiTheme="minorBidi" w:hAnsiTheme="minorBidi"/>
          <w:sz w:val="18"/>
          <w:szCs w:val="18"/>
          <w:rtl/>
        </w:rPr>
        <w:footnoteReference w:id="801"/>
      </w:r>
      <w:r w:rsidRPr="00D52A51">
        <w:rPr>
          <w:rFonts w:asciiTheme="minorBidi" w:hAnsiTheme="minorBidi"/>
          <w:sz w:val="18"/>
          <w:szCs w:val="18"/>
          <w:rtl/>
        </w:rPr>
        <w:t xml:space="preserve"> </w:t>
      </w:r>
      <w:r w:rsidR="001024A8" w:rsidRPr="008E4050">
        <w:rPr>
          <w:rFonts w:asciiTheme="minorBidi" w:hAnsiTheme="minorBidi"/>
          <w:sz w:val="16"/>
          <w:szCs w:val="16"/>
          <w:rtl/>
        </w:rPr>
        <w:t>(ת</w:t>
      </w:r>
      <w:r w:rsidR="001024A8" w:rsidRPr="008E4050">
        <w:rPr>
          <w:rFonts w:asciiTheme="minorBidi" w:hAnsiTheme="minorBidi" w:hint="cs"/>
          <w:sz w:val="16"/>
          <w:szCs w:val="16"/>
          <w:rtl/>
        </w:rPr>
        <w:t>רו</w:t>
      </w:r>
      <w:r w:rsidR="001024A8" w:rsidRPr="008E4050">
        <w:rPr>
          <w:rFonts w:asciiTheme="minorBidi" w:hAnsiTheme="minorBidi"/>
          <w:sz w:val="16"/>
          <w:szCs w:val="16"/>
          <w:rtl/>
        </w:rPr>
        <w:t>ה</w:t>
      </w:r>
      <w:r w:rsidR="001024A8" w:rsidRPr="008E4050">
        <w:rPr>
          <w:rFonts w:asciiTheme="minorBidi" w:hAnsiTheme="minorBidi" w:hint="cs"/>
          <w:sz w:val="16"/>
          <w:szCs w:val="16"/>
          <w:rtl/>
        </w:rPr>
        <w:t>"ד</w:t>
      </w:r>
      <w:r w:rsidR="001024A8" w:rsidRPr="008E4050">
        <w:rPr>
          <w:rFonts w:asciiTheme="minorBidi" w:hAnsiTheme="minorBidi"/>
          <w:sz w:val="16"/>
          <w:szCs w:val="16"/>
          <w:rtl/>
        </w:rPr>
        <w:t xml:space="preserve"> סי</w:t>
      </w:r>
      <w:r w:rsidR="001024A8" w:rsidRPr="008E4050">
        <w:rPr>
          <w:rFonts w:asciiTheme="minorBidi" w:hAnsiTheme="minorBidi" w:hint="cs"/>
          <w:sz w:val="16"/>
          <w:szCs w:val="16"/>
          <w:rtl/>
        </w:rPr>
        <w:t>'</w:t>
      </w:r>
      <w:r w:rsidR="001024A8" w:rsidRPr="008E4050">
        <w:rPr>
          <w:rFonts w:asciiTheme="minorBidi" w:hAnsiTheme="minorBidi"/>
          <w:sz w:val="16"/>
          <w:szCs w:val="16"/>
          <w:rtl/>
        </w:rPr>
        <w:t xml:space="preserve"> שה ופסקיו סי</w:t>
      </w:r>
      <w:r w:rsidR="001024A8" w:rsidRPr="008E4050">
        <w:rPr>
          <w:rFonts w:asciiTheme="minorBidi" w:hAnsiTheme="minorBidi" w:hint="cs"/>
          <w:sz w:val="16"/>
          <w:szCs w:val="16"/>
          <w:rtl/>
        </w:rPr>
        <w:t xml:space="preserve">' </w:t>
      </w:r>
      <w:r w:rsidR="001024A8" w:rsidRPr="008E4050">
        <w:rPr>
          <w:rFonts w:asciiTheme="minorBidi" w:hAnsiTheme="minorBidi"/>
          <w:sz w:val="16"/>
          <w:szCs w:val="16"/>
          <w:rtl/>
        </w:rPr>
        <w:t>סד)</w:t>
      </w:r>
      <w:r w:rsidR="001024A8">
        <w:rPr>
          <w:rFonts w:asciiTheme="minorBidi" w:hAnsiTheme="minorBidi" w:hint="cs"/>
          <w:sz w:val="18"/>
          <w:szCs w:val="18"/>
          <w:rtl/>
        </w:rPr>
        <w:t xml:space="preserve">, </w:t>
      </w:r>
      <w:r w:rsidRPr="00D52A51">
        <w:rPr>
          <w:rFonts w:asciiTheme="minorBidi" w:hAnsiTheme="minorBidi"/>
          <w:sz w:val="18"/>
          <w:szCs w:val="18"/>
          <w:rtl/>
        </w:rPr>
        <w:t>אז צריך להודיע</w:t>
      </w:r>
      <w:r w:rsidR="001024A8">
        <w:rPr>
          <w:rStyle w:val="ab"/>
          <w:rFonts w:asciiTheme="minorBidi" w:hAnsiTheme="minorBidi"/>
          <w:sz w:val="18"/>
          <w:szCs w:val="18"/>
          <w:rtl/>
        </w:rPr>
        <w:footnoteReference w:id="802"/>
      </w:r>
      <w:r w:rsidRPr="00D52A51">
        <w:rPr>
          <w:rFonts w:asciiTheme="minorBidi" w:hAnsiTheme="minorBidi"/>
          <w:sz w:val="18"/>
          <w:szCs w:val="18"/>
          <w:rtl/>
        </w:rPr>
        <w:t xml:space="preserve"> לנתבע ואז צריך לדון במקום שמעותיו שם</w:t>
      </w:r>
      <w:r w:rsidR="001024A8" w:rsidRPr="00467ED1">
        <w:rPr>
          <w:rStyle w:val="ab"/>
          <w:rFonts w:asciiTheme="minorBidi" w:hAnsiTheme="minorBidi"/>
          <w:sz w:val="18"/>
          <w:szCs w:val="18"/>
          <w:rtl/>
        </w:rPr>
        <w:footnoteReference w:id="803"/>
      </w:r>
      <w:r w:rsidR="001024A8" w:rsidRPr="001024A8">
        <w:rPr>
          <w:rFonts w:asciiTheme="minorBidi" w:hAnsiTheme="minorBidi" w:hint="cs"/>
          <w:sz w:val="16"/>
          <w:szCs w:val="16"/>
          <w:rtl/>
        </w:rPr>
        <w:t xml:space="preserve"> (מהרי"ק שורש קט</w:t>
      </w:r>
      <w:r w:rsidR="00467ED1">
        <w:rPr>
          <w:rFonts w:asciiTheme="minorBidi" w:hAnsiTheme="minorBidi" w:hint="cs"/>
          <w:sz w:val="16"/>
          <w:szCs w:val="16"/>
          <w:rtl/>
        </w:rPr>
        <w:t xml:space="preserve"> וכ"מ מתרוה"ד שם</w:t>
      </w:r>
      <w:r w:rsidR="001024A8" w:rsidRPr="001024A8">
        <w:rPr>
          <w:rFonts w:asciiTheme="minorBidi" w:hAnsiTheme="minorBidi" w:hint="cs"/>
          <w:sz w:val="16"/>
          <w:szCs w:val="16"/>
          <w:rtl/>
        </w:rPr>
        <w:t>)</w:t>
      </w:r>
      <w:r w:rsidRPr="00D52A51">
        <w:rPr>
          <w:rFonts w:asciiTheme="minorBidi" w:hAnsiTheme="minorBidi"/>
          <w:sz w:val="18"/>
          <w:szCs w:val="18"/>
          <w:rtl/>
        </w:rPr>
        <w:t>. וע"ל סי</w:t>
      </w:r>
      <w:r w:rsidR="001024A8">
        <w:rPr>
          <w:rFonts w:asciiTheme="minorBidi" w:hAnsiTheme="minorBidi" w:hint="cs"/>
          <w:sz w:val="18"/>
          <w:szCs w:val="18"/>
          <w:rtl/>
        </w:rPr>
        <w:t>'</w:t>
      </w:r>
      <w:r w:rsidRPr="00D52A51">
        <w:rPr>
          <w:rFonts w:asciiTheme="minorBidi" w:hAnsiTheme="minorBidi"/>
          <w:sz w:val="18"/>
          <w:szCs w:val="18"/>
          <w:rtl/>
        </w:rPr>
        <w:t xml:space="preserve"> ע"ג כתבתי אימת יכול לעכב מעותיו</w:t>
      </w:r>
      <w:r w:rsidR="00467ED1" w:rsidRPr="00467ED1">
        <w:rPr>
          <w:rStyle w:val="ab"/>
          <w:sz w:val="18"/>
          <w:szCs w:val="18"/>
          <w:rtl/>
        </w:rPr>
        <w:footnoteReference w:id="804"/>
      </w:r>
      <w:r w:rsidRPr="00D52A51">
        <w:rPr>
          <w:rFonts w:asciiTheme="minorBidi" w:hAnsiTheme="minorBidi"/>
          <w:sz w:val="18"/>
          <w:szCs w:val="18"/>
          <w:rtl/>
        </w:rPr>
        <w:t>. אב שיש לו תביעה על בנו, צריך לילך הבן אע</w:t>
      </w:r>
      <w:r w:rsidR="001024A8">
        <w:rPr>
          <w:rFonts w:asciiTheme="minorBidi" w:hAnsiTheme="minorBidi" w:hint="cs"/>
          <w:sz w:val="18"/>
          <w:szCs w:val="18"/>
          <w:rtl/>
        </w:rPr>
        <w:t>"</w:t>
      </w:r>
      <w:r w:rsidRPr="00D52A51">
        <w:rPr>
          <w:rFonts w:asciiTheme="minorBidi" w:hAnsiTheme="minorBidi"/>
          <w:sz w:val="18"/>
          <w:szCs w:val="18"/>
          <w:rtl/>
        </w:rPr>
        <w:t xml:space="preserve">פ שהוא הנתבע אחר אביו כמו שנתבאר </w:t>
      </w:r>
      <w:r w:rsidRPr="008E4050">
        <w:rPr>
          <w:rFonts w:asciiTheme="minorBidi" w:hAnsiTheme="minorBidi"/>
          <w:sz w:val="16"/>
          <w:szCs w:val="16"/>
          <w:rtl/>
        </w:rPr>
        <w:t>(י</w:t>
      </w:r>
      <w:r w:rsidR="009C0220" w:rsidRPr="008E4050">
        <w:rPr>
          <w:rFonts w:asciiTheme="minorBidi" w:hAnsiTheme="minorBidi" w:hint="cs"/>
          <w:sz w:val="16"/>
          <w:szCs w:val="16"/>
          <w:rtl/>
        </w:rPr>
        <w:t>ו</w:t>
      </w:r>
      <w:r w:rsidRPr="008E4050">
        <w:rPr>
          <w:rFonts w:asciiTheme="minorBidi" w:hAnsiTheme="minorBidi"/>
          <w:sz w:val="16"/>
          <w:szCs w:val="16"/>
          <w:rtl/>
        </w:rPr>
        <w:t>"ד סי' רמ</w:t>
      </w:r>
      <w:r w:rsidR="001024A8">
        <w:rPr>
          <w:rFonts w:asciiTheme="minorBidi" w:hAnsiTheme="minorBidi" w:hint="cs"/>
          <w:sz w:val="16"/>
          <w:szCs w:val="16"/>
          <w:rtl/>
        </w:rPr>
        <w:t xml:space="preserve"> ס"ח</w:t>
      </w:r>
      <w:r w:rsidRPr="008E4050">
        <w:rPr>
          <w:rFonts w:asciiTheme="minorBidi" w:hAnsiTheme="minorBidi"/>
          <w:sz w:val="16"/>
          <w:szCs w:val="16"/>
          <w:rtl/>
        </w:rPr>
        <w:t>)</w:t>
      </w:r>
      <w:r w:rsidRPr="00D52A51">
        <w:rPr>
          <w:rFonts w:asciiTheme="minorBidi" w:hAnsiTheme="minorBidi"/>
          <w:sz w:val="18"/>
          <w:szCs w:val="18"/>
          <w:rtl/>
        </w:rPr>
        <w:t xml:space="preserve">. עשיר מוחזק </w:t>
      </w:r>
      <w:r w:rsidR="001024A8">
        <w:rPr>
          <w:rFonts w:asciiTheme="minorBidi" w:hAnsiTheme="minorBidi" w:hint="cs"/>
          <w:sz w:val="18"/>
          <w:szCs w:val="18"/>
          <w:rtl/>
        </w:rPr>
        <w:t>ל</w:t>
      </w:r>
      <w:r w:rsidRPr="00D52A51">
        <w:rPr>
          <w:rFonts w:asciiTheme="minorBidi" w:hAnsiTheme="minorBidi"/>
          <w:sz w:val="18"/>
          <w:szCs w:val="18"/>
          <w:rtl/>
        </w:rPr>
        <w:t>אלם בעירו, מוציאין אותו לדון בעיר אחרת, אע</w:t>
      </w:r>
      <w:r w:rsidR="009C0220">
        <w:rPr>
          <w:rFonts w:asciiTheme="minorBidi" w:hAnsiTheme="minorBidi" w:hint="cs"/>
          <w:sz w:val="18"/>
          <w:szCs w:val="18"/>
          <w:rtl/>
        </w:rPr>
        <w:t>"</w:t>
      </w:r>
      <w:r w:rsidRPr="00D52A51">
        <w:rPr>
          <w:rFonts w:asciiTheme="minorBidi" w:hAnsiTheme="minorBidi"/>
          <w:sz w:val="18"/>
          <w:szCs w:val="18"/>
          <w:rtl/>
        </w:rPr>
        <w:t xml:space="preserve">פ שהב"ד שבעירו יותר גדול </w:t>
      </w:r>
      <w:r w:rsidRPr="008E4050">
        <w:rPr>
          <w:rFonts w:asciiTheme="minorBidi" w:hAnsiTheme="minorBidi"/>
          <w:sz w:val="16"/>
          <w:szCs w:val="16"/>
          <w:rtl/>
        </w:rPr>
        <w:t>(ב"ז סי' תיח</w:t>
      </w:r>
      <w:r w:rsidR="008E4050">
        <w:rPr>
          <w:rFonts w:asciiTheme="minorBidi" w:hAnsiTheme="minorBidi" w:hint="cs"/>
          <w:sz w:val="16"/>
          <w:szCs w:val="16"/>
          <w:rtl/>
        </w:rPr>
        <w:t>, דרכ"מ סי' יז ס"א</w:t>
      </w:r>
      <w:r w:rsidRPr="008E4050">
        <w:rPr>
          <w:rFonts w:asciiTheme="minorBidi" w:hAnsiTheme="minorBidi"/>
          <w:sz w:val="16"/>
          <w:szCs w:val="16"/>
          <w:rtl/>
        </w:rPr>
        <w:t>)</w:t>
      </w:r>
      <w:r w:rsidRPr="00D52A51">
        <w:rPr>
          <w:rFonts w:asciiTheme="minorBidi" w:hAnsiTheme="minorBidi"/>
          <w:sz w:val="18"/>
          <w:szCs w:val="18"/>
          <w:rtl/>
        </w:rPr>
        <w:t xml:space="preserve">. </w:t>
      </w:r>
    </w:p>
    <w:p w14:paraId="03F579DC" w14:textId="77777777" w:rsidR="00D52A51" w:rsidRPr="00576D5C" w:rsidRDefault="00D52A51" w:rsidP="00576D5C">
      <w:pPr>
        <w:rPr>
          <w:rFonts w:asciiTheme="minorBidi" w:hAnsiTheme="minorBidi"/>
          <w:rtl/>
        </w:rPr>
      </w:pPr>
    </w:p>
    <w:p w14:paraId="7B50AC88" w14:textId="77777777" w:rsidR="00E137BC" w:rsidRDefault="00E137BC" w:rsidP="006567B0">
      <w:pPr>
        <w:pStyle w:val="2"/>
        <w:rPr>
          <w:rtl/>
        </w:rPr>
      </w:pPr>
      <w:bookmarkStart w:id="120" w:name="_Toc24883605"/>
      <w:r w:rsidRPr="00576D5C">
        <w:rPr>
          <w:rtl/>
        </w:rPr>
        <w:t>סעיף ב</w:t>
      </w:r>
      <w:r w:rsidR="00D52A51">
        <w:rPr>
          <w:rFonts w:hint="cs"/>
          <w:rtl/>
        </w:rPr>
        <w:t>:</w:t>
      </w:r>
      <w:r w:rsidR="00136BBD">
        <w:rPr>
          <w:rFonts w:hint="cs"/>
          <w:rtl/>
        </w:rPr>
        <w:t xml:space="preserve"> ב"ד ששולחים לב"ד הגדול וא' מבעלי הדין ת"ח.</w:t>
      </w:r>
      <w:bookmarkEnd w:id="120"/>
    </w:p>
    <w:p w14:paraId="60F7E5C6" w14:textId="77777777" w:rsidR="00136BBD" w:rsidRDefault="00136BBD" w:rsidP="00D52A51">
      <w:pPr>
        <w:rPr>
          <w:rFonts w:cs="Arial"/>
          <w:rtl/>
        </w:rPr>
      </w:pPr>
      <w:r w:rsidRPr="00136BBD">
        <w:rPr>
          <w:rFonts w:hint="cs"/>
          <w:u w:val="single"/>
          <w:rtl/>
        </w:rPr>
        <w:t>ב"ד ששולחים לב"ד הגדול וא</w:t>
      </w:r>
      <w:r w:rsidR="005C638B">
        <w:rPr>
          <w:rFonts w:hint="cs"/>
          <w:u w:val="single"/>
          <w:rtl/>
        </w:rPr>
        <w:t>חד</w:t>
      </w:r>
      <w:r w:rsidRPr="00136BBD">
        <w:rPr>
          <w:rFonts w:hint="cs"/>
          <w:u w:val="single"/>
          <w:rtl/>
        </w:rPr>
        <w:t xml:space="preserve"> מבעלי הדין </w:t>
      </w:r>
      <w:r w:rsidR="005C638B">
        <w:rPr>
          <w:rFonts w:hint="cs"/>
          <w:u w:val="single"/>
          <w:rtl/>
        </w:rPr>
        <w:t xml:space="preserve">הוא </w:t>
      </w:r>
      <w:r w:rsidRPr="00136BBD">
        <w:rPr>
          <w:rFonts w:hint="cs"/>
          <w:u w:val="single"/>
          <w:rtl/>
        </w:rPr>
        <w:t>ת"ח</w:t>
      </w:r>
      <w:r w:rsidRPr="00136BBD">
        <w:rPr>
          <w:rFonts w:cs="Arial" w:hint="cs"/>
          <w:u w:val="single"/>
          <w:rtl/>
        </w:rPr>
        <w:t>:</w:t>
      </w:r>
    </w:p>
    <w:p w14:paraId="2136CD40" w14:textId="77777777" w:rsidR="00D52A51" w:rsidRPr="00D52A51" w:rsidRDefault="00F03CB0" w:rsidP="004B0475">
      <w:pPr>
        <w:pStyle w:val="ac"/>
        <w:numPr>
          <w:ilvl w:val="0"/>
          <w:numId w:val="14"/>
        </w:numPr>
        <w:rPr>
          <w:rtl/>
        </w:rPr>
      </w:pPr>
      <w:r w:rsidRPr="00136BBD">
        <w:rPr>
          <w:rFonts w:cs="Arial"/>
          <w:rtl/>
        </w:rPr>
        <w:t>הגמ</w:t>
      </w:r>
      <w:r w:rsidR="00136BBD" w:rsidRPr="00136BBD">
        <w:rPr>
          <w:rFonts w:cs="Arial" w:hint="cs"/>
          <w:rtl/>
        </w:rPr>
        <w:t>"</w:t>
      </w:r>
      <w:r w:rsidRPr="00136BBD">
        <w:rPr>
          <w:rFonts w:cs="Arial"/>
          <w:rtl/>
        </w:rPr>
        <w:t xml:space="preserve">ר </w:t>
      </w:r>
      <w:r w:rsidR="00136BBD" w:rsidRPr="00136BBD">
        <w:rPr>
          <w:rFonts w:cs="Arial" w:hint="cs"/>
          <w:sz w:val="16"/>
          <w:szCs w:val="16"/>
          <w:rtl/>
        </w:rPr>
        <w:t>(</w:t>
      </w:r>
      <w:r w:rsidRPr="00136BBD">
        <w:rPr>
          <w:rFonts w:cs="Arial"/>
          <w:sz w:val="16"/>
          <w:szCs w:val="16"/>
          <w:rtl/>
        </w:rPr>
        <w:t>קדושין סי' תקנב)</w:t>
      </w:r>
      <w:r w:rsidR="00136BBD" w:rsidRPr="00136BBD">
        <w:rPr>
          <w:rFonts w:cs="Arial" w:hint="cs"/>
          <w:sz w:val="16"/>
          <w:szCs w:val="16"/>
          <w:rtl/>
        </w:rPr>
        <w:t xml:space="preserve"> </w:t>
      </w:r>
      <w:r w:rsidR="00136BBD" w:rsidRPr="00136BBD">
        <w:rPr>
          <w:rFonts w:cs="Arial" w:hint="cs"/>
          <w:rtl/>
        </w:rPr>
        <w:t>בשם מהר"ם-</w:t>
      </w:r>
      <w:r w:rsidRPr="00136BBD">
        <w:rPr>
          <w:rFonts w:cs="Arial"/>
          <w:rtl/>
        </w:rPr>
        <w:t xml:space="preserve"> אם האחד תלמיד חכם ויודע לכתוב ראיותיו ושכנגדו עם הארץ</w:t>
      </w:r>
      <w:r w:rsidR="005C638B">
        <w:rPr>
          <w:rFonts w:cs="Arial" w:hint="cs"/>
          <w:rtl/>
        </w:rPr>
        <w:t xml:space="preserve"> -</w:t>
      </w:r>
      <w:r w:rsidRPr="00136BBD">
        <w:rPr>
          <w:rFonts w:cs="Arial"/>
          <w:rtl/>
        </w:rPr>
        <w:t xml:space="preserve"> אין לתלמיד חכם לכתוב בעצמו</w:t>
      </w:r>
      <w:r w:rsidR="005C638B">
        <w:rPr>
          <w:rFonts w:cs="Arial" w:hint="cs"/>
          <w:rtl/>
        </w:rPr>
        <w:t>,</w:t>
      </w:r>
      <w:r w:rsidRPr="00136BBD">
        <w:rPr>
          <w:rFonts w:cs="Arial"/>
          <w:rtl/>
        </w:rPr>
        <w:t xml:space="preserve"> אלא הדיינים יעתיקו אחר שיכתוב הוא דבריו</w:t>
      </w:r>
      <w:r w:rsidR="005C638B">
        <w:rPr>
          <w:rFonts w:cs="Arial" w:hint="cs"/>
          <w:rtl/>
        </w:rPr>
        <w:t>,</w:t>
      </w:r>
      <w:r w:rsidRPr="00136BBD">
        <w:rPr>
          <w:rFonts w:cs="Arial"/>
          <w:rtl/>
        </w:rPr>
        <w:t xml:space="preserve"> כדי שלא יהא נחשד המורה ששולחין אליו פן ישא פני תלמיד חכם ודמי לשליפו פוזמקייכו ואתו לדינא</w:t>
      </w:r>
      <w:r w:rsidR="00136BBD" w:rsidRPr="00136BBD">
        <w:rPr>
          <w:rFonts w:cs="Arial" w:hint="cs"/>
          <w:rtl/>
        </w:rPr>
        <w:t>.</w:t>
      </w:r>
      <w:r w:rsidR="00136BBD" w:rsidRPr="00136BBD">
        <w:rPr>
          <w:rFonts w:hint="cs"/>
          <w:color w:val="E36C0A" w:themeColor="accent6" w:themeShade="BF"/>
          <w:rtl/>
        </w:rPr>
        <w:t xml:space="preserve"> (וכ"פ בשו"ע)</w:t>
      </w:r>
    </w:p>
    <w:p w14:paraId="4E6CCE71" w14:textId="77777777" w:rsidR="005C638B" w:rsidRDefault="005C638B" w:rsidP="005C638B">
      <w:pPr>
        <w:rPr>
          <w:rtl/>
        </w:rPr>
      </w:pPr>
      <w:r w:rsidRPr="0085789D">
        <w:rPr>
          <w:rFonts w:cs="Arial" w:hint="cs"/>
          <w:b/>
          <w:bCs/>
          <w:rtl/>
        </w:rPr>
        <w:t xml:space="preserve">בבא בתרא </w:t>
      </w:r>
      <w:r w:rsidRPr="0085789D">
        <w:rPr>
          <w:rFonts w:cs="Arial" w:hint="cs"/>
          <w:b/>
          <w:bCs/>
          <w:sz w:val="16"/>
          <w:szCs w:val="16"/>
          <w:rtl/>
        </w:rPr>
        <w:t>(פ'</w:t>
      </w:r>
      <w:r w:rsidRPr="0085789D">
        <w:rPr>
          <w:rFonts w:cs="Arial"/>
          <w:b/>
          <w:bCs/>
          <w:sz w:val="16"/>
          <w:szCs w:val="16"/>
          <w:rtl/>
        </w:rPr>
        <w:t xml:space="preserve"> גט פשוט</w:t>
      </w:r>
      <w:r w:rsidRPr="0085789D">
        <w:rPr>
          <w:rFonts w:cs="Arial" w:hint="cs"/>
          <w:b/>
          <w:bCs/>
          <w:sz w:val="16"/>
          <w:szCs w:val="16"/>
          <w:rtl/>
        </w:rPr>
        <w:t>)</w:t>
      </w:r>
      <w:r w:rsidRPr="0085789D">
        <w:rPr>
          <w:rFonts w:cs="Arial"/>
          <w:b/>
          <w:bCs/>
          <w:sz w:val="16"/>
          <w:szCs w:val="16"/>
          <w:rtl/>
        </w:rPr>
        <w:t xml:space="preserve"> </w:t>
      </w:r>
      <w:r w:rsidRPr="0085789D">
        <w:rPr>
          <w:rFonts w:cs="Arial"/>
          <w:b/>
          <w:bCs/>
          <w:rtl/>
        </w:rPr>
        <w:t>קסז</w:t>
      </w:r>
      <w:r>
        <w:rPr>
          <w:rStyle w:val="ab"/>
          <w:rFonts w:cs="Arial"/>
          <w:b/>
          <w:bCs/>
          <w:rtl/>
        </w:rPr>
        <w:footnoteReference w:id="805"/>
      </w:r>
      <w:r w:rsidRPr="0085789D">
        <w:rPr>
          <w:rFonts w:cs="Arial" w:hint="cs"/>
          <w:b/>
          <w:bCs/>
          <w:rtl/>
        </w:rPr>
        <w:t xml:space="preserve"> ע"</w:t>
      </w:r>
      <w:r>
        <w:rPr>
          <w:rFonts w:cs="Arial" w:hint="cs"/>
          <w:b/>
          <w:bCs/>
          <w:rtl/>
        </w:rPr>
        <w:t>א</w:t>
      </w:r>
      <w:r w:rsidRPr="0085789D">
        <w:rPr>
          <w:rFonts w:cs="Arial"/>
          <w:b/>
          <w:bCs/>
          <w:rtl/>
        </w:rPr>
        <w:t>:</w:t>
      </w:r>
      <w:r w:rsidRPr="0085789D">
        <w:rPr>
          <w:rFonts w:cs="Arial" w:hint="cs"/>
          <w:b/>
          <w:bCs/>
          <w:rtl/>
        </w:rPr>
        <w:t xml:space="preserve"> </w:t>
      </w:r>
      <w:r w:rsidRPr="002D4586">
        <w:rPr>
          <w:rFonts w:cs="Arial" w:hint="cs"/>
          <w:u w:val="double"/>
          <w:rtl/>
        </w:rPr>
        <w:t>מתני':</w:t>
      </w:r>
      <w:r>
        <w:rPr>
          <w:rFonts w:cs="Arial" w:hint="cs"/>
          <w:rtl/>
        </w:rPr>
        <w:t xml:space="preserve"> כותבין גט</w:t>
      </w:r>
      <w:r w:rsidRPr="002D4586">
        <w:rPr>
          <w:rFonts w:cs="Arial" w:hint="cs"/>
          <w:rtl/>
        </w:rPr>
        <w:t>...</w:t>
      </w:r>
      <w:r>
        <w:rPr>
          <w:rFonts w:cs="Arial" w:hint="cs"/>
          <w:sz w:val="14"/>
          <w:szCs w:val="14"/>
          <w:rtl/>
        </w:rPr>
        <w:t xml:space="preserve"> (קסז:)</w:t>
      </w:r>
      <w:r>
        <w:rPr>
          <w:rFonts w:cs="Arial" w:hint="cs"/>
          <w:b/>
          <w:bCs/>
          <w:rtl/>
        </w:rPr>
        <w:t xml:space="preserve"> </w:t>
      </w:r>
      <w:r w:rsidRPr="0085789D">
        <w:rPr>
          <w:rFonts w:cs="Arial"/>
          <w:rtl/>
        </w:rPr>
        <w:t>אין כותבין שטרי בירורין וכל מעשה ב"ד אלא מדעת שניהם, ושניהם נותנין שכר</w:t>
      </w:r>
      <w:r>
        <w:rPr>
          <w:rFonts w:cs="Arial" w:hint="cs"/>
          <w:rtl/>
        </w:rPr>
        <w:t>..</w:t>
      </w:r>
      <w:r w:rsidRPr="0085789D">
        <w:rPr>
          <w:rFonts w:cs="Arial"/>
          <w:rtl/>
        </w:rPr>
        <w:t>.</w:t>
      </w:r>
    </w:p>
    <w:p w14:paraId="3F3895C0" w14:textId="77777777" w:rsidR="005C638B" w:rsidRDefault="005C638B" w:rsidP="005C638B">
      <w:pPr>
        <w:rPr>
          <w:rFonts w:cs="Arial"/>
          <w:rtl/>
        </w:rPr>
      </w:pPr>
      <w:r w:rsidRPr="00942E38">
        <w:rPr>
          <w:rFonts w:cs="Arial" w:hint="cs"/>
          <w:u w:val="single"/>
          <w:rtl/>
        </w:rPr>
        <w:t xml:space="preserve">מי משלם את שכר הסופר שכותב את </w:t>
      </w:r>
      <w:r>
        <w:rPr>
          <w:rFonts w:cs="Arial" w:hint="cs"/>
          <w:u w:val="single"/>
          <w:rtl/>
        </w:rPr>
        <w:t>פסק הדין</w:t>
      </w:r>
      <w:r w:rsidRPr="00942E38">
        <w:rPr>
          <w:rFonts w:cs="Arial" w:hint="cs"/>
          <w:u w:val="single"/>
          <w:rtl/>
        </w:rPr>
        <w:t>:</w:t>
      </w:r>
    </w:p>
    <w:p w14:paraId="78D5B246" w14:textId="77777777" w:rsidR="005C638B" w:rsidRPr="00942E38" w:rsidRDefault="005C638B" w:rsidP="004B0475">
      <w:pPr>
        <w:pStyle w:val="ac"/>
        <w:numPr>
          <w:ilvl w:val="0"/>
          <w:numId w:val="14"/>
        </w:numPr>
        <w:rPr>
          <w:rFonts w:cs="Arial"/>
          <w:rtl/>
        </w:rPr>
      </w:pPr>
      <w:r w:rsidRPr="00942E38">
        <w:rPr>
          <w:rFonts w:cs="Arial"/>
          <w:rtl/>
        </w:rPr>
        <w:t xml:space="preserve">ריב"ש </w:t>
      </w:r>
      <w:r w:rsidRPr="00942E38">
        <w:rPr>
          <w:rFonts w:cs="Arial" w:hint="cs"/>
          <w:sz w:val="16"/>
          <w:szCs w:val="16"/>
          <w:rtl/>
        </w:rPr>
        <w:t>(</w:t>
      </w:r>
      <w:r w:rsidRPr="00942E38">
        <w:rPr>
          <w:rFonts w:cs="Arial"/>
          <w:sz w:val="16"/>
          <w:szCs w:val="16"/>
          <w:rtl/>
        </w:rPr>
        <w:t>סי</w:t>
      </w:r>
      <w:r w:rsidRPr="00942E38">
        <w:rPr>
          <w:rFonts w:cs="Arial" w:hint="cs"/>
          <w:sz w:val="16"/>
          <w:szCs w:val="16"/>
          <w:rtl/>
        </w:rPr>
        <w:t>'</w:t>
      </w:r>
      <w:r w:rsidRPr="00942E38">
        <w:rPr>
          <w:rFonts w:cs="Arial"/>
          <w:sz w:val="16"/>
          <w:szCs w:val="16"/>
          <w:rtl/>
        </w:rPr>
        <w:t xml:space="preserve"> תעה שם)</w:t>
      </w:r>
      <w:r w:rsidRPr="00942E38">
        <w:rPr>
          <w:rFonts w:cs="Arial" w:hint="cs"/>
          <w:rtl/>
        </w:rPr>
        <w:t>-</w:t>
      </w:r>
      <w:r w:rsidRPr="00942E38">
        <w:rPr>
          <w:rFonts w:cs="Arial"/>
          <w:rtl/>
        </w:rPr>
        <w:t xml:space="preserve"> הוצאות הסופר לכתוב הטענות </w:t>
      </w:r>
      <w:r>
        <w:rPr>
          <w:rFonts w:cs="Arial" w:hint="cs"/>
          <w:rtl/>
        </w:rPr>
        <w:t xml:space="preserve">- </w:t>
      </w:r>
      <w:r w:rsidRPr="00942E38">
        <w:rPr>
          <w:rFonts w:cs="Arial"/>
          <w:rtl/>
        </w:rPr>
        <w:t>על שניהם לפרעם</w:t>
      </w:r>
      <w:r>
        <w:rPr>
          <w:rFonts w:cs="Arial" w:hint="cs"/>
          <w:rtl/>
        </w:rPr>
        <w:t>,</w:t>
      </w:r>
      <w:r w:rsidRPr="00942E38">
        <w:rPr>
          <w:rFonts w:cs="Arial"/>
          <w:rtl/>
        </w:rPr>
        <w:t xml:space="preserve"> כמו ששנינו בפרק גט פשוט </w:t>
      </w:r>
      <w:r w:rsidRPr="00942E38">
        <w:rPr>
          <w:rFonts w:cs="Arial"/>
          <w:sz w:val="16"/>
          <w:szCs w:val="16"/>
          <w:rtl/>
        </w:rPr>
        <w:t>(קס</w:t>
      </w:r>
      <w:r>
        <w:rPr>
          <w:rFonts w:cs="Arial" w:hint="cs"/>
          <w:sz w:val="16"/>
          <w:szCs w:val="16"/>
          <w:rtl/>
        </w:rPr>
        <w:t>ז:</w:t>
      </w:r>
      <w:r w:rsidRPr="00942E38">
        <w:rPr>
          <w:rFonts w:cs="Arial"/>
          <w:sz w:val="16"/>
          <w:szCs w:val="16"/>
          <w:rtl/>
        </w:rPr>
        <w:t xml:space="preserve">) </w:t>
      </w:r>
      <w:r w:rsidRPr="00942E38">
        <w:rPr>
          <w:rFonts w:cs="Arial"/>
          <w:rtl/>
        </w:rPr>
        <w:t>אין כותבין שטרי בירורין ומעשה בית דין אלא מדעת שניהם ושניהם נותנים את השכר</w:t>
      </w:r>
      <w:r>
        <w:rPr>
          <w:rFonts w:cs="Arial" w:hint="cs"/>
          <w:rtl/>
        </w:rPr>
        <w:t>,</w:t>
      </w:r>
      <w:r w:rsidRPr="00942E38">
        <w:rPr>
          <w:rFonts w:cs="Arial"/>
          <w:rtl/>
        </w:rPr>
        <w:t xml:space="preserve"> ומפרש בגמרא מאי שטרי בירורין שטרי טענתא ומעשה בית דין היינו פסקי דינים</w:t>
      </w:r>
      <w:r>
        <w:rPr>
          <w:rFonts w:cs="Arial" w:hint="cs"/>
          <w:rtl/>
        </w:rPr>
        <w:t>,</w:t>
      </w:r>
      <w:r w:rsidRPr="00942E38">
        <w:rPr>
          <w:rFonts w:cs="Arial"/>
          <w:rtl/>
        </w:rPr>
        <w:t xml:space="preserve"> וקתני נמי בהו שניהם נותנים שכר</w:t>
      </w:r>
      <w:r>
        <w:rPr>
          <w:rFonts w:cs="Arial" w:hint="cs"/>
          <w:rtl/>
        </w:rPr>
        <w:t>,</w:t>
      </w:r>
      <w:r w:rsidRPr="00942E38">
        <w:rPr>
          <w:rFonts w:cs="Arial"/>
          <w:rtl/>
        </w:rPr>
        <w:t xml:space="preserve"> ובכלל זה הוצאות שצריכים הדיינים לעשות בפסק דינם כגון אם הוצרכו לשאול</w:t>
      </w:r>
      <w:r w:rsidRPr="00942E38">
        <w:rPr>
          <w:rFonts w:cs="Arial" w:hint="cs"/>
          <w:rtl/>
        </w:rPr>
        <w:t>.</w:t>
      </w:r>
      <w:r w:rsidRPr="00222E61">
        <w:rPr>
          <w:rFonts w:hint="cs"/>
          <w:color w:val="E36C0A" w:themeColor="accent6" w:themeShade="BF"/>
          <w:rtl/>
        </w:rPr>
        <w:t xml:space="preserve"> </w:t>
      </w:r>
      <w:r w:rsidRPr="00350957">
        <w:rPr>
          <w:rFonts w:cs="Arial" w:hint="cs"/>
          <w:color w:val="00B0F0"/>
          <w:rtl/>
        </w:rPr>
        <w:t>(וכ"פ הרמ"א)</w:t>
      </w:r>
    </w:p>
    <w:p w14:paraId="39252B3B" w14:textId="77777777" w:rsidR="00E137BC" w:rsidRPr="00576D5C" w:rsidRDefault="00E137BC" w:rsidP="00576D5C">
      <w:pPr>
        <w:rPr>
          <w:rFonts w:asciiTheme="minorBidi" w:hAnsiTheme="minorBidi"/>
          <w:b/>
          <w:bCs/>
          <w:color w:val="000000"/>
          <w:sz w:val="28"/>
          <w:szCs w:val="28"/>
          <w:u w:val="single"/>
          <w:rtl/>
        </w:rPr>
      </w:pPr>
      <w:r w:rsidRPr="00576D5C">
        <w:rPr>
          <w:rFonts w:asciiTheme="minorBidi" w:hAnsiTheme="minorBidi"/>
          <w:b/>
          <w:bCs/>
          <w:color w:val="000000"/>
          <w:sz w:val="28"/>
          <w:szCs w:val="28"/>
          <w:u w:val="single"/>
          <w:rtl/>
        </w:rPr>
        <w:t>שו"ע:</w:t>
      </w:r>
    </w:p>
    <w:p w14:paraId="61F83D64" w14:textId="77777777" w:rsidR="00E137BC" w:rsidRDefault="00E137BC" w:rsidP="00576D5C">
      <w:pPr>
        <w:rPr>
          <w:rFonts w:asciiTheme="minorBidi" w:hAnsiTheme="minorBidi"/>
          <w:rtl/>
        </w:rPr>
      </w:pPr>
      <w:r w:rsidRPr="00576D5C">
        <w:rPr>
          <w:rFonts w:asciiTheme="minorBidi" w:hAnsiTheme="minorBidi"/>
          <w:rtl/>
        </w:rPr>
        <w:t>אם האחד תלמיד חכם ויודע לכתוב ראיותיו, ושכנגדו עם הארץ, אין לתלמיד חכם לכתוב בעצמו</w:t>
      </w:r>
      <w:r w:rsidR="00CF4E99">
        <w:rPr>
          <w:rStyle w:val="ab"/>
          <w:rFonts w:asciiTheme="minorBidi" w:hAnsiTheme="minorBidi"/>
          <w:rtl/>
        </w:rPr>
        <w:footnoteReference w:id="806"/>
      </w:r>
      <w:r w:rsidRPr="00576D5C">
        <w:rPr>
          <w:rFonts w:asciiTheme="minorBidi" w:hAnsiTheme="minorBidi"/>
          <w:rtl/>
        </w:rPr>
        <w:t xml:space="preserve"> כששולחים בית דין לשאול מבית דין הגדול, אלא הדיינים יעתיקו אותם</w:t>
      </w:r>
      <w:r w:rsidR="00136BBD">
        <w:rPr>
          <w:rFonts w:asciiTheme="minorBidi" w:hAnsiTheme="minorBidi" w:hint="cs"/>
          <w:rtl/>
        </w:rPr>
        <w:t>.</w:t>
      </w:r>
      <w:r w:rsidRPr="00576D5C">
        <w:rPr>
          <w:rFonts w:asciiTheme="minorBidi" w:hAnsiTheme="minorBidi"/>
          <w:rtl/>
        </w:rPr>
        <w:t xml:space="preserve"> </w:t>
      </w:r>
      <w:r w:rsidR="00D52A51">
        <w:rPr>
          <w:rFonts w:asciiTheme="minorBidi" w:hAnsiTheme="minorBidi" w:hint="cs"/>
          <w:sz w:val="18"/>
          <w:szCs w:val="18"/>
          <w:rtl/>
        </w:rPr>
        <w:t xml:space="preserve">[הגה] </w:t>
      </w:r>
      <w:r w:rsidRPr="00D52A51">
        <w:rPr>
          <w:rFonts w:asciiTheme="minorBidi" w:hAnsiTheme="minorBidi"/>
          <w:sz w:val="18"/>
          <w:szCs w:val="18"/>
          <w:rtl/>
        </w:rPr>
        <w:t xml:space="preserve">ושניהם פורעים שכר הסופר (ריב"ש סי' תעה). </w:t>
      </w:r>
    </w:p>
    <w:p w14:paraId="0B57FFB2" w14:textId="77777777" w:rsidR="00D52A51" w:rsidRPr="00576D5C" w:rsidRDefault="00D52A51" w:rsidP="00576D5C">
      <w:pPr>
        <w:rPr>
          <w:rFonts w:asciiTheme="minorBidi" w:hAnsiTheme="minorBidi"/>
          <w:rtl/>
        </w:rPr>
      </w:pPr>
    </w:p>
    <w:p w14:paraId="49F90563" w14:textId="77777777" w:rsidR="00E137BC" w:rsidRDefault="00E137BC" w:rsidP="006567B0">
      <w:pPr>
        <w:pStyle w:val="2"/>
        <w:rPr>
          <w:rtl/>
        </w:rPr>
      </w:pPr>
      <w:bookmarkStart w:id="121" w:name="_Toc24883606"/>
      <w:r w:rsidRPr="00576D5C">
        <w:rPr>
          <w:rtl/>
        </w:rPr>
        <w:lastRenderedPageBreak/>
        <w:t>סעיף ג</w:t>
      </w:r>
      <w:r w:rsidR="00D52A51">
        <w:rPr>
          <w:rFonts w:hint="cs"/>
          <w:rtl/>
        </w:rPr>
        <w:t>:</w:t>
      </w:r>
      <w:r w:rsidR="00CF4E99">
        <w:rPr>
          <w:rFonts w:hint="cs"/>
          <w:rtl/>
        </w:rPr>
        <w:t xml:space="preserve"> </w:t>
      </w:r>
      <w:r w:rsidR="00FC7F93" w:rsidRPr="00FC7F93">
        <w:rPr>
          <w:rFonts w:cs="Arial" w:hint="cs"/>
          <w:rtl/>
        </w:rPr>
        <w:t>עיר שיש בה ב' ת"ח וא' גדול מחברו וא' מבעלי הדין רוצה לדון בפני הקטן מביניהם</w:t>
      </w:r>
      <w:r w:rsidR="00FC7F93">
        <w:rPr>
          <w:rFonts w:hint="cs"/>
          <w:rtl/>
        </w:rPr>
        <w:t>.</w:t>
      </w:r>
      <w:bookmarkEnd w:id="121"/>
    </w:p>
    <w:p w14:paraId="715089DE" w14:textId="77777777" w:rsidR="00FC7F93" w:rsidRDefault="00FC7F93" w:rsidP="00F03CB0">
      <w:pPr>
        <w:rPr>
          <w:rFonts w:cs="Arial"/>
          <w:rtl/>
        </w:rPr>
      </w:pPr>
      <w:r w:rsidRPr="00FC7F93">
        <w:rPr>
          <w:rFonts w:cs="Arial" w:hint="cs"/>
          <w:u w:val="single"/>
          <w:rtl/>
        </w:rPr>
        <w:t xml:space="preserve">עיר שיש בה </w:t>
      </w:r>
      <w:r w:rsidR="005C638B">
        <w:rPr>
          <w:rFonts w:cs="Arial" w:hint="cs"/>
          <w:u w:val="single"/>
          <w:rtl/>
        </w:rPr>
        <w:t>שני</w:t>
      </w:r>
      <w:r w:rsidRPr="00FC7F93">
        <w:rPr>
          <w:rFonts w:cs="Arial" w:hint="cs"/>
          <w:u w:val="single"/>
          <w:rtl/>
        </w:rPr>
        <w:t xml:space="preserve"> ת</w:t>
      </w:r>
      <w:r w:rsidR="005C638B">
        <w:rPr>
          <w:rFonts w:cs="Arial" w:hint="cs"/>
          <w:u w:val="single"/>
          <w:rtl/>
        </w:rPr>
        <w:t xml:space="preserve">למידי </w:t>
      </w:r>
      <w:r w:rsidRPr="00FC7F93">
        <w:rPr>
          <w:rFonts w:cs="Arial" w:hint="cs"/>
          <w:u w:val="single"/>
          <w:rtl/>
        </w:rPr>
        <w:t>ח</w:t>
      </w:r>
      <w:r w:rsidR="005C638B">
        <w:rPr>
          <w:rFonts w:cs="Arial" w:hint="cs"/>
          <w:u w:val="single"/>
          <w:rtl/>
        </w:rPr>
        <w:t>כמים,</w:t>
      </w:r>
      <w:r w:rsidRPr="00FC7F93">
        <w:rPr>
          <w:rFonts w:cs="Arial" w:hint="cs"/>
          <w:u w:val="single"/>
          <w:rtl/>
        </w:rPr>
        <w:t xml:space="preserve"> וא</w:t>
      </w:r>
      <w:r w:rsidR="005C638B">
        <w:rPr>
          <w:rFonts w:cs="Arial" w:hint="cs"/>
          <w:u w:val="single"/>
          <w:rtl/>
        </w:rPr>
        <w:t>חד</w:t>
      </w:r>
      <w:r w:rsidRPr="00FC7F93">
        <w:rPr>
          <w:rFonts w:cs="Arial" w:hint="cs"/>
          <w:u w:val="single"/>
          <w:rtl/>
        </w:rPr>
        <w:t xml:space="preserve"> גדול מחברו </w:t>
      </w:r>
      <w:r w:rsidR="005C638B">
        <w:rPr>
          <w:rFonts w:cs="Arial" w:hint="cs"/>
          <w:u w:val="single"/>
          <w:rtl/>
        </w:rPr>
        <w:t xml:space="preserve">- </w:t>
      </w:r>
      <w:r w:rsidRPr="00FC7F93">
        <w:rPr>
          <w:rFonts w:cs="Arial" w:hint="cs"/>
          <w:u w:val="single"/>
          <w:rtl/>
        </w:rPr>
        <w:t>וא</w:t>
      </w:r>
      <w:r w:rsidR="005C638B">
        <w:rPr>
          <w:rFonts w:cs="Arial" w:hint="cs"/>
          <w:u w:val="single"/>
          <w:rtl/>
        </w:rPr>
        <w:t>חד</w:t>
      </w:r>
      <w:r w:rsidRPr="00FC7F93">
        <w:rPr>
          <w:rFonts w:cs="Arial" w:hint="cs"/>
          <w:u w:val="single"/>
          <w:rtl/>
        </w:rPr>
        <w:t xml:space="preserve"> מבעלי הדין רוצה לדון בפני הקטן מביניהם:</w:t>
      </w:r>
      <w:r>
        <w:rPr>
          <w:rFonts w:cs="Arial" w:hint="cs"/>
          <w:rtl/>
        </w:rPr>
        <w:t xml:space="preserve"> </w:t>
      </w:r>
    </w:p>
    <w:p w14:paraId="39C600DC" w14:textId="77777777" w:rsidR="00FC7F93" w:rsidRPr="00FC7F93" w:rsidRDefault="00FC7F93" w:rsidP="004B0475">
      <w:pPr>
        <w:pStyle w:val="ac"/>
        <w:numPr>
          <w:ilvl w:val="0"/>
          <w:numId w:val="14"/>
        </w:numPr>
        <w:rPr>
          <w:rFonts w:cs="Arial"/>
          <w:rtl/>
        </w:rPr>
      </w:pPr>
      <w:r w:rsidRPr="00FC7F93">
        <w:rPr>
          <w:rFonts w:cs="Arial" w:hint="cs"/>
          <w:rtl/>
        </w:rPr>
        <w:t>סמ"ג</w:t>
      </w:r>
      <w:r>
        <w:rPr>
          <w:rFonts w:cs="Arial" w:hint="cs"/>
          <w:rtl/>
        </w:rPr>
        <w:t xml:space="preserve"> </w:t>
      </w:r>
      <w:r w:rsidRPr="00FC7F93">
        <w:rPr>
          <w:rFonts w:cs="Arial"/>
          <w:sz w:val="16"/>
          <w:szCs w:val="16"/>
          <w:rtl/>
        </w:rPr>
        <w:t>(עשין צז קפז ע"ג)</w:t>
      </w:r>
      <w:r w:rsidRPr="00FC7F93">
        <w:rPr>
          <w:rFonts w:cs="Arial" w:hint="cs"/>
          <w:rtl/>
        </w:rPr>
        <w:t>-</w:t>
      </w:r>
      <w:r w:rsidR="00F03CB0" w:rsidRPr="00FC7F93">
        <w:rPr>
          <w:rFonts w:cs="Arial"/>
          <w:rtl/>
        </w:rPr>
        <w:t xml:space="preserve"> אם יש ב' ת"ח בעיר אחת ואחד גדול מחבירו </w:t>
      </w:r>
      <w:r w:rsidR="005C638B">
        <w:rPr>
          <w:rFonts w:cs="Arial" w:hint="cs"/>
          <w:rtl/>
        </w:rPr>
        <w:t xml:space="preserve">- </w:t>
      </w:r>
      <w:r w:rsidR="00F03CB0" w:rsidRPr="00FC7F93">
        <w:rPr>
          <w:rFonts w:cs="Arial"/>
          <w:rtl/>
        </w:rPr>
        <w:t>יכול אחד מבעלי הדינים לומר לא אדון בפני זה אלא בפני זה</w:t>
      </w:r>
      <w:r w:rsidR="005C638B">
        <w:rPr>
          <w:rFonts w:cs="Arial" w:hint="cs"/>
          <w:rtl/>
        </w:rPr>
        <w:t>,</w:t>
      </w:r>
      <w:r w:rsidR="00F03CB0" w:rsidRPr="00FC7F93">
        <w:rPr>
          <w:rFonts w:cs="Arial"/>
          <w:rtl/>
        </w:rPr>
        <w:t xml:space="preserve"> ואע</w:t>
      </w:r>
      <w:r w:rsidR="005C638B">
        <w:rPr>
          <w:rFonts w:cs="Arial" w:hint="cs"/>
          <w:rtl/>
        </w:rPr>
        <w:t>"</w:t>
      </w:r>
      <w:r w:rsidR="00F03CB0" w:rsidRPr="00FC7F93">
        <w:rPr>
          <w:rFonts w:cs="Arial"/>
          <w:rtl/>
        </w:rPr>
        <w:t>פ שהוא קטן ממנו כיון ששניהם בעיר אחת</w:t>
      </w:r>
      <w:r>
        <w:rPr>
          <w:rFonts w:cs="Arial" w:hint="cs"/>
          <w:rtl/>
        </w:rPr>
        <w:t>,</w:t>
      </w:r>
      <w:r w:rsidRPr="00FC7F93">
        <w:rPr>
          <w:rFonts w:cs="Arial"/>
          <w:rtl/>
        </w:rPr>
        <w:t xml:space="preserve"> </w:t>
      </w:r>
      <w:r>
        <w:rPr>
          <w:rFonts w:cs="Arial"/>
          <w:rtl/>
        </w:rPr>
        <w:t>כדמוכח בר</w:t>
      </w:r>
      <w:r>
        <w:rPr>
          <w:rFonts w:cs="Arial" w:hint="cs"/>
          <w:rtl/>
        </w:rPr>
        <w:t>"פ</w:t>
      </w:r>
      <w:r>
        <w:rPr>
          <w:rFonts w:cs="Arial"/>
          <w:rtl/>
        </w:rPr>
        <w:t xml:space="preserve"> זה בורר </w:t>
      </w:r>
      <w:r w:rsidRPr="00FC7F93">
        <w:rPr>
          <w:rFonts w:cs="Arial"/>
          <w:sz w:val="16"/>
          <w:szCs w:val="16"/>
          <w:rtl/>
        </w:rPr>
        <w:t xml:space="preserve">(כג.) </w:t>
      </w:r>
      <w:r>
        <w:rPr>
          <w:rFonts w:cs="Arial"/>
          <w:rtl/>
        </w:rPr>
        <w:t>גבי בי דינא דרב הונא ורב חסדא דאמר ליה מי קא מטרחנא לך נלך ונדון בפני רב חסדא אע</w:t>
      </w:r>
      <w:r>
        <w:rPr>
          <w:rFonts w:cs="Arial" w:hint="cs"/>
          <w:rtl/>
        </w:rPr>
        <w:t>"</w:t>
      </w:r>
      <w:r>
        <w:rPr>
          <w:rFonts w:cs="Arial"/>
          <w:rtl/>
        </w:rPr>
        <w:t>פ שאינו גדול כרב הונא</w:t>
      </w:r>
      <w:r>
        <w:rPr>
          <w:rFonts w:cs="Arial" w:hint="cs"/>
          <w:rtl/>
        </w:rPr>
        <w:t>,</w:t>
      </w:r>
      <w:r>
        <w:rPr>
          <w:rFonts w:cs="Arial"/>
          <w:rtl/>
        </w:rPr>
        <w:t xml:space="preserve"> אע</w:t>
      </w:r>
      <w:r>
        <w:rPr>
          <w:rFonts w:cs="Arial" w:hint="cs"/>
          <w:rtl/>
        </w:rPr>
        <w:t>"</w:t>
      </w:r>
      <w:r>
        <w:rPr>
          <w:rFonts w:cs="Arial"/>
          <w:rtl/>
        </w:rPr>
        <w:t>פ שזאת הסוגיא אינה במסקנא מ</w:t>
      </w:r>
      <w:r>
        <w:rPr>
          <w:rFonts w:cs="Arial" w:hint="cs"/>
          <w:rtl/>
        </w:rPr>
        <w:t>"</w:t>
      </w:r>
      <w:r>
        <w:rPr>
          <w:rFonts w:cs="Arial"/>
          <w:rtl/>
        </w:rPr>
        <w:t xml:space="preserve">מ הסברא אמת וגם </w:t>
      </w:r>
      <w:r>
        <w:rPr>
          <w:rFonts w:cs="Arial" w:hint="cs"/>
          <w:rtl/>
        </w:rPr>
        <w:t>ר"ח</w:t>
      </w:r>
      <w:r>
        <w:rPr>
          <w:rFonts w:cs="Arial"/>
          <w:rtl/>
        </w:rPr>
        <w:t xml:space="preserve"> לא סתרה בפירושיו אחר המסקנא</w:t>
      </w:r>
      <w:r w:rsidR="00F03CB0">
        <w:rPr>
          <w:rStyle w:val="ab"/>
          <w:rFonts w:cs="Arial"/>
          <w:rtl/>
        </w:rPr>
        <w:footnoteReference w:id="807"/>
      </w:r>
      <w:r w:rsidRPr="00FC7F93">
        <w:rPr>
          <w:rFonts w:cs="Arial" w:hint="cs"/>
          <w:rtl/>
        </w:rPr>
        <w:t>.</w:t>
      </w:r>
      <w:r w:rsidR="00467ED1">
        <w:rPr>
          <w:rFonts w:cs="Arial" w:hint="cs"/>
          <w:rtl/>
        </w:rPr>
        <w:t xml:space="preserve"> </w:t>
      </w:r>
      <w:r w:rsidR="00467ED1" w:rsidRPr="00467ED1">
        <w:rPr>
          <w:rFonts w:cs="Arial" w:hint="cs"/>
          <w:color w:val="E36C0A" w:themeColor="accent6" w:themeShade="BF"/>
          <w:rtl/>
        </w:rPr>
        <w:t>(וכ"ס בשו"ע)</w:t>
      </w:r>
    </w:p>
    <w:p w14:paraId="7C1BD175" w14:textId="77777777" w:rsidR="00DD42F7" w:rsidRDefault="00FC7F93" w:rsidP="004B0475">
      <w:pPr>
        <w:pStyle w:val="ac"/>
        <w:numPr>
          <w:ilvl w:val="0"/>
          <w:numId w:val="14"/>
        </w:numPr>
        <w:rPr>
          <w:rFonts w:cs="Arial"/>
        </w:rPr>
      </w:pPr>
      <w:r w:rsidRPr="00FC7F93">
        <w:rPr>
          <w:rFonts w:cs="Arial" w:hint="cs"/>
          <w:rtl/>
        </w:rPr>
        <w:t xml:space="preserve">טור- </w:t>
      </w:r>
      <w:r w:rsidR="00F03CB0" w:rsidRPr="00FC7F93">
        <w:rPr>
          <w:rFonts w:cs="Arial"/>
          <w:rtl/>
        </w:rPr>
        <w:t>אינו יכול להסתלק מאחד לחבירו אפילו בשוין אלא מהקטן להגדול ממנו</w:t>
      </w:r>
      <w:r>
        <w:rPr>
          <w:rStyle w:val="ab"/>
          <w:rFonts w:cs="Arial"/>
          <w:rtl/>
        </w:rPr>
        <w:footnoteReference w:id="808"/>
      </w:r>
      <w:r w:rsidRPr="00FC7F93">
        <w:rPr>
          <w:rFonts w:cs="Arial" w:hint="cs"/>
          <w:rtl/>
        </w:rPr>
        <w:t>.</w:t>
      </w:r>
    </w:p>
    <w:p w14:paraId="523F7807" w14:textId="77777777" w:rsidR="00E137BC" w:rsidRPr="00576D5C" w:rsidRDefault="00E137BC" w:rsidP="00576D5C">
      <w:pPr>
        <w:rPr>
          <w:rFonts w:asciiTheme="minorBidi" w:hAnsiTheme="minorBidi"/>
          <w:b/>
          <w:bCs/>
          <w:color w:val="000000"/>
          <w:sz w:val="28"/>
          <w:szCs w:val="28"/>
          <w:u w:val="single"/>
          <w:rtl/>
        </w:rPr>
      </w:pPr>
      <w:r w:rsidRPr="00576D5C">
        <w:rPr>
          <w:rFonts w:asciiTheme="minorBidi" w:hAnsiTheme="minorBidi"/>
          <w:b/>
          <w:bCs/>
          <w:color w:val="000000"/>
          <w:sz w:val="28"/>
          <w:szCs w:val="28"/>
          <w:u w:val="single"/>
          <w:rtl/>
        </w:rPr>
        <w:t>שו"ע:</w:t>
      </w:r>
    </w:p>
    <w:p w14:paraId="67EC8E90" w14:textId="77777777" w:rsidR="00E137BC" w:rsidRDefault="00E137BC" w:rsidP="00576D5C">
      <w:pPr>
        <w:rPr>
          <w:rFonts w:asciiTheme="minorBidi" w:hAnsiTheme="minorBidi"/>
          <w:rtl/>
        </w:rPr>
      </w:pPr>
      <w:r w:rsidRPr="00576D5C">
        <w:rPr>
          <w:rFonts w:asciiTheme="minorBidi" w:hAnsiTheme="minorBidi"/>
          <w:rtl/>
        </w:rPr>
        <w:t>יש אומרים שאם יש שני תלמידי חכמים בעיר אחת, האחד גדול מחבירו, יכול אחד מבעלי דינים לומר: לא אדון בפני זה, אלא בפני זה</w:t>
      </w:r>
      <w:r w:rsidR="005C638B">
        <w:rPr>
          <w:rFonts w:asciiTheme="minorBidi" w:hAnsiTheme="minorBidi" w:hint="cs"/>
          <w:rtl/>
        </w:rPr>
        <w:t>.</w:t>
      </w:r>
      <w:r w:rsidRPr="00576D5C">
        <w:rPr>
          <w:rFonts w:asciiTheme="minorBidi" w:hAnsiTheme="minorBidi"/>
          <w:rtl/>
        </w:rPr>
        <w:t xml:space="preserve"> ואף על פי שהוא קטן ממנו, כיון ששניהם בעיר אחת. </w:t>
      </w:r>
      <w:r w:rsidRPr="00D52A51">
        <w:rPr>
          <w:rFonts w:asciiTheme="minorBidi" w:hAnsiTheme="minorBidi"/>
          <w:sz w:val="18"/>
          <w:szCs w:val="18"/>
          <w:rtl/>
        </w:rPr>
        <w:t>הגה: ואם אחד סלק עצמו מן הדין</w:t>
      </w:r>
      <w:r w:rsidR="00DA71C2">
        <w:rPr>
          <w:rStyle w:val="ab"/>
          <w:rFonts w:asciiTheme="minorBidi" w:hAnsiTheme="minorBidi"/>
          <w:sz w:val="18"/>
          <w:szCs w:val="18"/>
          <w:rtl/>
        </w:rPr>
        <w:footnoteReference w:id="809"/>
      </w:r>
      <w:r w:rsidRPr="00D52A51">
        <w:rPr>
          <w:rFonts w:asciiTheme="minorBidi" w:hAnsiTheme="minorBidi"/>
          <w:sz w:val="18"/>
          <w:szCs w:val="18"/>
          <w:rtl/>
        </w:rPr>
        <w:t xml:space="preserve"> כמאן דליתא דמי</w:t>
      </w:r>
      <w:r w:rsidR="00467ED1">
        <w:rPr>
          <w:rFonts w:asciiTheme="minorBidi" w:hAnsiTheme="minorBidi" w:hint="cs"/>
          <w:sz w:val="18"/>
          <w:szCs w:val="18"/>
          <w:rtl/>
        </w:rPr>
        <w:t xml:space="preserve"> </w:t>
      </w:r>
      <w:r w:rsidR="00467ED1" w:rsidRPr="00D52A51">
        <w:rPr>
          <w:rFonts w:asciiTheme="minorBidi" w:hAnsiTheme="minorBidi"/>
          <w:sz w:val="18"/>
          <w:szCs w:val="18"/>
          <w:rtl/>
        </w:rPr>
        <w:t>(מהרי"ק שורש יא)</w:t>
      </w:r>
      <w:r w:rsidR="00467ED1">
        <w:rPr>
          <w:rFonts w:asciiTheme="minorBidi" w:hAnsiTheme="minorBidi" w:hint="cs"/>
          <w:sz w:val="18"/>
          <w:szCs w:val="18"/>
          <w:rtl/>
        </w:rPr>
        <w:t>.</w:t>
      </w:r>
      <w:r w:rsidRPr="00D52A51">
        <w:rPr>
          <w:rFonts w:asciiTheme="minorBidi" w:hAnsiTheme="minorBidi"/>
          <w:sz w:val="18"/>
          <w:szCs w:val="18"/>
          <w:rtl/>
        </w:rPr>
        <w:t xml:space="preserve"> ואם הזמינו השני ולא בא, מנדה אותו (</w:t>
      </w:r>
      <w:r w:rsidR="00467ED1">
        <w:rPr>
          <w:rFonts w:asciiTheme="minorBidi" w:hAnsiTheme="minorBidi" w:hint="cs"/>
          <w:sz w:val="18"/>
          <w:szCs w:val="18"/>
          <w:rtl/>
        </w:rPr>
        <w:t>שם</w:t>
      </w:r>
      <w:r w:rsidRPr="00D52A51">
        <w:rPr>
          <w:rFonts w:asciiTheme="minorBidi" w:hAnsiTheme="minorBidi"/>
          <w:sz w:val="18"/>
          <w:szCs w:val="18"/>
          <w:rtl/>
        </w:rPr>
        <w:t>). וכל מקום שאינו צריך לבא לפניו לדון, אין צריך לחוש כלל להזמנתו, ואין צריך לבא כלל (ב"י סי</w:t>
      </w:r>
      <w:r w:rsidR="00467ED1">
        <w:rPr>
          <w:rFonts w:asciiTheme="minorBidi" w:hAnsiTheme="minorBidi" w:hint="cs"/>
          <w:sz w:val="18"/>
          <w:szCs w:val="18"/>
          <w:rtl/>
        </w:rPr>
        <w:t>'</w:t>
      </w:r>
      <w:r w:rsidRPr="00D52A51">
        <w:rPr>
          <w:rFonts w:asciiTheme="minorBidi" w:hAnsiTheme="minorBidi"/>
          <w:sz w:val="18"/>
          <w:szCs w:val="18"/>
          <w:rtl/>
        </w:rPr>
        <w:t xml:space="preserve"> יא בשם התרומות).</w:t>
      </w:r>
      <w:r w:rsidRPr="00576D5C">
        <w:rPr>
          <w:rFonts w:asciiTheme="minorBidi" w:hAnsiTheme="minorBidi"/>
          <w:rtl/>
        </w:rPr>
        <w:t xml:space="preserve"> </w:t>
      </w:r>
    </w:p>
    <w:p w14:paraId="79262B56" w14:textId="77777777" w:rsidR="00D52A51" w:rsidRPr="00576D5C" w:rsidRDefault="00D52A51" w:rsidP="00576D5C">
      <w:pPr>
        <w:rPr>
          <w:rFonts w:asciiTheme="minorBidi" w:hAnsiTheme="minorBidi"/>
          <w:rtl/>
        </w:rPr>
      </w:pPr>
    </w:p>
    <w:p w14:paraId="48597A34" w14:textId="77777777" w:rsidR="00E137BC" w:rsidRDefault="00E137BC" w:rsidP="006567B0">
      <w:pPr>
        <w:pStyle w:val="2"/>
        <w:rPr>
          <w:rtl/>
        </w:rPr>
      </w:pPr>
      <w:bookmarkStart w:id="122" w:name="_Toc24883607"/>
      <w:r w:rsidRPr="00576D5C">
        <w:rPr>
          <w:rtl/>
        </w:rPr>
        <w:t>סעיף ד</w:t>
      </w:r>
      <w:r w:rsidR="00D52A51">
        <w:rPr>
          <w:rFonts w:hint="cs"/>
          <w:rtl/>
        </w:rPr>
        <w:t>:</w:t>
      </w:r>
      <w:r w:rsidR="00D7256D">
        <w:rPr>
          <w:rFonts w:hint="cs"/>
          <w:rtl/>
        </w:rPr>
        <w:t xml:space="preserve"> הודעת טעם במקום חשד.</w:t>
      </w:r>
      <w:bookmarkEnd w:id="122"/>
    </w:p>
    <w:p w14:paraId="2BB1EF63" w14:textId="77777777" w:rsidR="00D52A51" w:rsidRPr="00D52A51" w:rsidRDefault="00D7256D" w:rsidP="00D52A51">
      <w:pPr>
        <w:rPr>
          <w:rtl/>
        </w:rPr>
      </w:pPr>
      <w:r>
        <w:rPr>
          <w:rFonts w:hint="cs"/>
          <w:rtl/>
        </w:rPr>
        <w:t xml:space="preserve">עיין במקורות שבסעיף א' </w:t>
      </w:r>
      <w:r w:rsidRPr="00D7256D">
        <w:rPr>
          <w:rFonts w:hint="cs"/>
          <w:sz w:val="16"/>
          <w:szCs w:val="16"/>
          <w:rtl/>
        </w:rPr>
        <w:t xml:space="preserve">(מהפיסקא של בבא מציעא סט ע"א עד </w:t>
      </w:r>
      <w:r w:rsidR="0049752F">
        <w:rPr>
          <w:rFonts w:hint="cs"/>
          <w:sz w:val="16"/>
          <w:szCs w:val="16"/>
          <w:rtl/>
        </w:rPr>
        <w:t xml:space="preserve">העתק דברי הגמ' בבבא בתרא מא ע"א </w:t>
      </w:r>
      <w:r w:rsidR="0049752F">
        <w:rPr>
          <w:sz w:val="16"/>
          <w:szCs w:val="16"/>
          <w:rtl/>
        </w:rPr>
        <w:t>–</w:t>
      </w:r>
      <w:r w:rsidR="0049752F">
        <w:rPr>
          <w:rFonts w:hint="cs"/>
          <w:sz w:val="16"/>
          <w:szCs w:val="16"/>
          <w:rtl/>
        </w:rPr>
        <w:t xml:space="preserve"> לא כולל</w:t>
      </w:r>
      <w:r w:rsidRPr="00D7256D">
        <w:rPr>
          <w:rFonts w:hint="cs"/>
          <w:sz w:val="16"/>
          <w:szCs w:val="16"/>
          <w:rtl/>
        </w:rPr>
        <w:t>)</w:t>
      </w:r>
      <w:r>
        <w:rPr>
          <w:rFonts w:hint="cs"/>
          <w:rtl/>
        </w:rPr>
        <w:t>.</w:t>
      </w:r>
    </w:p>
    <w:p w14:paraId="64398247" w14:textId="77777777" w:rsidR="00E137BC" w:rsidRPr="00576D5C" w:rsidRDefault="00E137BC" w:rsidP="00576D5C">
      <w:pPr>
        <w:rPr>
          <w:rFonts w:asciiTheme="minorBidi" w:hAnsiTheme="minorBidi"/>
          <w:b/>
          <w:bCs/>
          <w:color w:val="000000"/>
          <w:sz w:val="28"/>
          <w:szCs w:val="28"/>
          <w:u w:val="single"/>
          <w:rtl/>
        </w:rPr>
      </w:pPr>
      <w:r w:rsidRPr="00576D5C">
        <w:rPr>
          <w:rFonts w:asciiTheme="minorBidi" w:hAnsiTheme="minorBidi"/>
          <w:b/>
          <w:bCs/>
          <w:color w:val="000000"/>
          <w:sz w:val="28"/>
          <w:szCs w:val="28"/>
          <w:u w:val="single"/>
          <w:rtl/>
        </w:rPr>
        <w:t>שו"ע:</w:t>
      </w:r>
    </w:p>
    <w:p w14:paraId="0D47CB6B" w14:textId="77777777" w:rsidR="00D52A51" w:rsidRDefault="00E137BC" w:rsidP="00576D5C">
      <w:pPr>
        <w:rPr>
          <w:rFonts w:asciiTheme="minorBidi" w:hAnsiTheme="minorBidi"/>
          <w:rtl/>
        </w:rPr>
      </w:pPr>
      <w:r w:rsidRPr="00576D5C">
        <w:rPr>
          <w:rFonts w:asciiTheme="minorBidi" w:hAnsiTheme="minorBidi"/>
          <w:rtl/>
        </w:rPr>
        <w:t>י</w:t>
      </w:r>
      <w:r w:rsidR="00DA71C2">
        <w:rPr>
          <w:rFonts w:asciiTheme="minorBidi" w:hAnsiTheme="minorBidi" w:hint="cs"/>
          <w:rtl/>
        </w:rPr>
        <w:t xml:space="preserve">ש אומרים </w:t>
      </w:r>
      <w:r w:rsidRPr="00576D5C">
        <w:rPr>
          <w:rFonts w:asciiTheme="minorBidi" w:hAnsiTheme="minorBidi"/>
          <w:rtl/>
        </w:rPr>
        <w:t xml:space="preserve">שאם רואה הדיין שבעל דין חושדו שנוטה הדין כנגדו, צריך להודיעו מאיזה טעם דנו, אפילו אם לא שאל. </w:t>
      </w:r>
      <w:r w:rsidRPr="00D52A51">
        <w:rPr>
          <w:rFonts w:asciiTheme="minorBidi" w:hAnsiTheme="minorBidi"/>
          <w:sz w:val="18"/>
          <w:szCs w:val="18"/>
          <w:rtl/>
        </w:rPr>
        <w:t>הגה: וכ"ש</w:t>
      </w:r>
      <w:r w:rsidR="00D7256D">
        <w:rPr>
          <w:rStyle w:val="ab"/>
          <w:rFonts w:asciiTheme="minorBidi" w:hAnsiTheme="minorBidi"/>
          <w:sz w:val="18"/>
          <w:szCs w:val="18"/>
          <w:rtl/>
        </w:rPr>
        <w:footnoteReference w:id="810"/>
      </w:r>
      <w:r w:rsidRPr="00D52A51">
        <w:rPr>
          <w:rFonts w:asciiTheme="minorBidi" w:hAnsiTheme="minorBidi"/>
          <w:sz w:val="18"/>
          <w:szCs w:val="18"/>
          <w:rtl/>
        </w:rPr>
        <w:t xml:space="preserve"> אם אומר: כתבו לי מאיזה טעם דנתוני (טור). מיהו יש אומרים דוקא אם דנו אותו ע"י כפייה, אבל בלא"ה אין כותבין</w:t>
      </w:r>
      <w:r w:rsidR="00BC59D2">
        <w:rPr>
          <w:rFonts w:asciiTheme="minorBidi" w:hAnsiTheme="minorBidi" w:hint="cs"/>
          <w:sz w:val="18"/>
          <w:szCs w:val="18"/>
          <w:rtl/>
        </w:rPr>
        <w:t xml:space="preserve"> לו</w:t>
      </w:r>
      <w:r w:rsidR="00BC59D2">
        <w:rPr>
          <w:rStyle w:val="ab"/>
          <w:rFonts w:asciiTheme="minorBidi" w:hAnsiTheme="minorBidi"/>
          <w:sz w:val="18"/>
          <w:szCs w:val="18"/>
          <w:rtl/>
        </w:rPr>
        <w:footnoteReference w:id="811"/>
      </w:r>
      <w:r w:rsidRPr="00D52A51">
        <w:rPr>
          <w:rFonts w:asciiTheme="minorBidi" w:hAnsiTheme="minorBidi"/>
          <w:sz w:val="18"/>
          <w:szCs w:val="18"/>
          <w:rtl/>
        </w:rPr>
        <w:t>, וכן עיקר (מרדכי נ"י פרק זה בורר ותוס' ור"ן פ' איזהו נשך). וכשצריכים לכתוב לו מאיזה טעם דנוהו אין קביעות זמן לדבר, אלא כל זמן שבא לכתוב לו, כותבין ונותנין לו (מרדכי ס"פ זה בורר). וא"צ לכתוב לו הטעמים והראיות</w:t>
      </w:r>
      <w:r w:rsidR="00BC59D2">
        <w:rPr>
          <w:rStyle w:val="ab"/>
          <w:rFonts w:asciiTheme="minorBidi" w:hAnsiTheme="minorBidi"/>
          <w:sz w:val="18"/>
          <w:szCs w:val="18"/>
          <w:rtl/>
        </w:rPr>
        <w:footnoteReference w:id="812"/>
      </w:r>
      <w:r w:rsidRPr="00D52A51">
        <w:rPr>
          <w:rFonts w:asciiTheme="minorBidi" w:hAnsiTheme="minorBidi"/>
          <w:sz w:val="18"/>
          <w:szCs w:val="18"/>
          <w:rtl/>
        </w:rPr>
        <w:t>, רק כותבין להם הטענות והפסק דין (נ"י שם). וצריך לשלם מיד</w:t>
      </w:r>
      <w:r w:rsidR="00BC59D2">
        <w:rPr>
          <w:rStyle w:val="ab"/>
          <w:rFonts w:asciiTheme="minorBidi" w:hAnsiTheme="minorBidi"/>
          <w:sz w:val="18"/>
          <w:szCs w:val="18"/>
          <w:rtl/>
        </w:rPr>
        <w:footnoteReference w:id="813"/>
      </w:r>
      <w:r w:rsidRPr="00D52A51">
        <w:rPr>
          <w:rFonts w:asciiTheme="minorBidi" w:hAnsiTheme="minorBidi"/>
          <w:sz w:val="18"/>
          <w:szCs w:val="18"/>
          <w:rtl/>
        </w:rPr>
        <w:t>, ואם יסתור הדין יחזרו לו (מרדכי פרק חזקת הבתים והג</w:t>
      </w:r>
      <w:r w:rsidR="00D7256D">
        <w:rPr>
          <w:rFonts w:asciiTheme="minorBidi" w:hAnsiTheme="minorBidi" w:hint="cs"/>
          <w:sz w:val="18"/>
          <w:szCs w:val="18"/>
          <w:rtl/>
        </w:rPr>
        <w:t>ה"</w:t>
      </w:r>
      <w:r w:rsidRPr="00D52A51">
        <w:rPr>
          <w:rFonts w:asciiTheme="minorBidi" w:hAnsiTheme="minorBidi"/>
          <w:sz w:val="18"/>
          <w:szCs w:val="18"/>
          <w:rtl/>
        </w:rPr>
        <w:t xml:space="preserve">מ פ"ו ומהרי"ק שורש א' וב"י בשם הרמ"ה). ואין צריכים לכתוב לו אלא מבית דין קטן לבית דין גדול, אבל בית דין גדול שדנו אין צריכין לכתוב לו, דלא חיישינן לטעותא, דא"כ אין לדבר סוף (ב"י </w:t>
      </w:r>
      <w:r w:rsidR="00BC59D2">
        <w:rPr>
          <w:rFonts w:asciiTheme="minorBidi" w:hAnsiTheme="minorBidi" w:hint="cs"/>
          <w:sz w:val="18"/>
          <w:szCs w:val="18"/>
          <w:rtl/>
        </w:rPr>
        <w:t xml:space="preserve">בהב' </w:t>
      </w:r>
      <w:r w:rsidRPr="00D52A51">
        <w:rPr>
          <w:rFonts w:asciiTheme="minorBidi" w:hAnsiTheme="minorBidi"/>
          <w:sz w:val="18"/>
          <w:szCs w:val="18"/>
          <w:rtl/>
        </w:rPr>
        <w:t>דברי הרמב"ם).</w:t>
      </w:r>
    </w:p>
    <w:p w14:paraId="16537162" w14:textId="77777777" w:rsidR="00E137BC" w:rsidRPr="00576D5C" w:rsidRDefault="00E137BC" w:rsidP="00576D5C">
      <w:pPr>
        <w:rPr>
          <w:rFonts w:asciiTheme="minorBidi" w:hAnsiTheme="minorBidi"/>
          <w:rtl/>
        </w:rPr>
      </w:pPr>
      <w:r w:rsidRPr="00576D5C">
        <w:rPr>
          <w:rFonts w:asciiTheme="minorBidi" w:hAnsiTheme="minorBidi"/>
          <w:rtl/>
        </w:rPr>
        <w:lastRenderedPageBreak/>
        <w:t xml:space="preserve"> </w:t>
      </w:r>
    </w:p>
    <w:p w14:paraId="1A318835" w14:textId="77777777" w:rsidR="00E137BC" w:rsidRDefault="00E137BC" w:rsidP="006567B0">
      <w:pPr>
        <w:pStyle w:val="2"/>
        <w:rPr>
          <w:rtl/>
        </w:rPr>
      </w:pPr>
      <w:bookmarkStart w:id="123" w:name="_Toc24883608"/>
      <w:r w:rsidRPr="00576D5C">
        <w:rPr>
          <w:rtl/>
        </w:rPr>
        <w:t>סעיף ה</w:t>
      </w:r>
      <w:r w:rsidR="00D52A51">
        <w:rPr>
          <w:rFonts w:hint="cs"/>
          <w:rtl/>
        </w:rPr>
        <w:t>:</w:t>
      </w:r>
      <w:r w:rsidR="00BC59D2">
        <w:rPr>
          <w:rFonts w:hint="cs"/>
          <w:rtl/>
        </w:rPr>
        <w:t xml:space="preserve"> </w:t>
      </w:r>
      <w:r w:rsidR="00937F59">
        <w:rPr>
          <w:rFonts w:hint="cs"/>
          <w:rtl/>
        </w:rPr>
        <w:t>החזר הוצאות.</w:t>
      </w:r>
      <w:bookmarkEnd w:id="123"/>
    </w:p>
    <w:p w14:paraId="7943174B" w14:textId="77777777" w:rsidR="005C638B" w:rsidRDefault="00E113E5" w:rsidP="00E113E5">
      <w:pPr>
        <w:rPr>
          <w:rFonts w:cs="Arial"/>
          <w:rtl/>
        </w:rPr>
      </w:pPr>
      <w:r>
        <w:rPr>
          <w:rFonts w:cs="Arial" w:hint="cs"/>
          <w:b/>
          <w:bCs/>
          <w:rtl/>
        </w:rPr>
        <w:t xml:space="preserve">סנהדרין </w:t>
      </w:r>
      <w:r w:rsidRPr="00BE67D7">
        <w:rPr>
          <w:rFonts w:cs="Arial" w:hint="cs"/>
          <w:b/>
          <w:bCs/>
          <w:sz w:val="16"/>
          <w:szCs w:val="16"/>
          <w:rtl/>
        </w:rPr>
        <w:t xml:space="preserve">(ס"פ זה בורר) </w:t>
      </w:r>
      <w:r>
        <w:rPr>
          <w:rFonts w:cs="Arial" w:hint="cs"/>
          <w:b/>
          <w:bCs/>
          <w:rtl/>
        </w:rPr>
        <w:t>לא</w:t>
      </w:r>
      <w:r w:rsidR="005C638B">
        <w:rPr>
          <w:rStyle w:val="ab"/>
          <w:rFonts w:cs="Arial"/>
          <w:b/>
          <w:bCs/>
          <w:rtl/>
        </w:rPr>
        <w:footnoteReference w:id="814"/>
      </w:r>
      <w:r>
        <w:rPr>
          <w:rFonts w:cs="Arial" w:hint="cs"/>
          <w:b/>
          <w:bCs/>
          <w:rtl/>
        </w:rPr>
        <w:t xml:space="preserve"> ע"ב: </w:t>
      </w:r>
      <w:r w:rsidRPr="00203683">
        <w:rPr>
          <w:rFonts w:cs="Arial"/>
          <w:u w:val="single"/>
          <w:rtl/>
        </w:rPr>
        <w:t>כי אתא רב דימי אמר רבי יוחנן</w:t>
      </w:r>
      <w:r w:rsidRPr="00203683">
        <w:rPr>
          <w:rFonts w:cs="Arial"/>
          <w:rtl/>
        </w:rPr>
        <w:t xml:space="preserve">: התוקף את חבירו בדין, אחד אומר: נדון כאן, ואחד אומר: נלך למקום הוועד </w:t>
      </w:r>
      <w:r w:rsidR="00B347F3">
        <w:rPr>
          <w:rFonts w:cs="Arial" w:hint="cs"/>
          <w:rtl/>
        </w:rPr>
        <w:t xml:space="preserve">- </w:t>
      </w:r>
      <w:r w:rsidRPr="00203683">
        <w:rPr>
          <w:rFonts w:cs="Arial"/>
          <w:rtl/>
        </w:rPr>
        <w:t xml:space="preserve">כופין אותו וילך למקום הוועד. </w:t>
      </w:r>
      <w:r w:rsidRPr="00203683">
        <w:rPr>
          <w:rFonts w:cs="Arial"/>
          <w:u w:val="single"/>
          <w:rtl/>
        </w:rPr>
        <w:t>אמר לפניו רבי אלעזר</w:t>
      </w:r>
      <w:r w:rsidRPr="00203683">
        <w:rPr>
          <w:rFonts w:cs="Arial"/>
          <w:rtl/>
        </w:rPr>
        <w:t>: רבי, מי שנושה בחבירו מנה</w:t>
      </w:r>
      <w:r w:rsidR="00B347F3">
        <w:rPr>
          <w:rFonts w:cs="Arial" w:hint="cs"/>
          <w:rtl/>
        </w:rPr>
        <w:t>,</w:t>
      </w:r>
      <w:r w:rsidRPr="00203683">
        <w:rPr>
          <w:rFonts w:cs="Arial"/>
          <w:rtl/>
        </w:rPr>
        <w:t xml:space="preserve"> יוציא מנה על מנה? אלא, כופין אותו ודן בעירו.</w:t>
      </w:r>
    </w:p>
    <w:p w14:paraId="1DE1815F" w14:textId="77777777" w:rsidR="005C638B" w:rsidRPr="005C638B" w:rsidRDefault="005C638B" w:rsidP="00E113E5">
      <w:pPr>
        <w:rPr>
          <w:rFonts w:cs="Arial"/>
          <w:sz w:val="16"/>
          <w:szCs w:val="16"/>
          <w:u w:val="single"/>
          <w:rtl/>
        </w:rPr>
      </w:pPr>
      <w:r w:rsidRPr="005C638B">
        <w:rPr>
          <w:rFonts w:asciiTheme="minorBidi" w:hAnsiTheme="minorBidi" w:hint="cs"/>
          <w:u w:val="single"/>
          <w:rtl/>
        </w:rPr>
        <w:t xml:space="preserve">האם </w:t>
      </w:r>
      <w:r w:rsidRPr="005C638B">
        <w:rPr>
          <w:rFonts w:asciiTheme="minorBidi" w:hAnsiTheme="minorBidi"/>
          <w:u w:val="single"/>
          <w:rtl/>
        </w:rPr>
        <w:t xml:space="preserve">המתחייב בדין חייב לשלם לשכנגדו </w:t>
      </w:r>
      <w:r>
        <w:rPr>
          <w:rFonts w:asciiTheme="minorBidi" w:hAnsiTheme="minorBidi" w:hint="cs"/>
          <w:u w:val="single"/>
          <w:rtl/>
        </w:rPr>
        <w:t>את הוצאותיו על הדין</w:t>
      </w:r>
      <w:r w:rsidRPr="005C638B">
        <w:rPr>
          <w:rFonts w:cs="Arial" w:hint="cs"/>
          <w:u w:val="single"/>
          <w:rtl/>
        </w:rPr>
        <w:t>:</w:t>
      </w:r>
    </w:p>
    <w:p w14:paraId="6F2CED5B" w14:textId="77777777" w:rsidR="00B347F3" w:rsidRDefault="00F03CB0" w:rsidP="004B0475">
      <w:pPr>
        <w:pStyle w:val="ac"/>
        <w:numPr>
          <w:ilvl w:val="0"/>
          <w:numId w:val="67"/>
        </w:numPr>
        <w:rPr>
          <w:rFonts w:cs="Arial"/>
        </w:rPr>
      </w:pPr>
      <w:r w:rsidRPr="005C638B">
        <w:rPr>
          <w:rFonts w:cs="Arial"/>
          <w:rtl/>
        </w:rPr>
        <w:t xml:space="preserve">מרדכי </w:t>
      </w:r>
      <w:r w:rsidRPr="00B347F3">
        <w:rPr>
          <w:rFonts w:cs="Arial"/>
          <w:sz w:val="16"/>
          <w:szCs w:val="16"/>
          <w:rtl/>
        </w:rPr>
        <w:t xml:space="preserve">(סי' תשז) </w:t>
      </w:r>
      <w:r w:rsidRPr="005C638B">
        <w:rPr>
          <w:rFonts w:cs="Arial"/>
          <w:rtl/>
        </w:rPr>
        <w:t>ורא"</w:t>
      </w:r>
      <w:r w:rsidR="00B347F3">
        <w:rPr>
          <w:rFonts w:cs="Arial" w:hint="cs"/>
          <w:rtl/>
        </w:rPr>
        <w:t>ש</w:t>
      </w:r>
      <w:r w:rsidRPr="00B347F3">
        <w:rPr>
          <w:rFonts w:cs="Arial"/>
          <w:sz w:val="16"/>
          <w:szCs w:val="16"/>
          <w:rtl/>
        </w:rPr>
        <w:t xml:space="preserve"> (סי' מ</w:t>
      </w:r>
      <w:r w:rsidR="00E113E5" w:rsidRPr="00B347F3">
        <w:rPr>
          <w:rFonts w:cs="Arial" w:hint="cs"/>
          <w:sz w:val="16"/>
          <w:szCs w:val="16"/>
          <w:rtl/>
        </w:rPr>
        <w:t>, וכן</w:t>
      </w:r>
      <w:r w:rsidR="00E113E5" w:rsidRPr="00B347F3">
        <w:rPr>
          <w:rFonts w:cs="Arial"/>
          <w:sz w:val="16"/>
          <w:szCs w:val="16"/>
          <w:rtl/>
        </w:rPr>
        <w:t xml:space="preserve"> בתשו</w:t>
      </w:r>
      <w:r w:rsidR="00E113E5" w:rsidRPr="00B347F3">
        <w:rPr>
          <w:rFonts w:cs="Arial" w:hint="cs"/>
          <w:sz w:val="16"/>
          <w:szCs w:val="16"/>
          <w:rtl/>
        </w:rPr>
        <w:t>'</w:t>
      </w:r>
      <w:r w:rsidR="00E113E5" w:rsidRPr="00B347F3">
        <w:rPr>
          <w:rFonts w:cs="Arial"/>
          <w:sz w:val="16"/>
          <w:szCs w:val="16"/>
          <w:rtl/>
        </w:rPr>
        <w:t xml:space="preserve"> סוף כלל קז סי' ו ד"ה ומה שתבע</w:t>
      </w:r>
      <w:r w:rsidRPr="00B347F3">
        <w:rPr>
          <w:rFonts w:cs="Arial"/>
          <w:sz w:val="16"/>
          <w:szCs w:val="16"/>
          <w:rtl/>
        </w:rPr>
        <w:t>)</w:t>
      </w:r>
      <w:r w:rsidR="005C638B">
        <w:rPr>
          <w:rFonts w:cs="Arial" w:hint="cs"/>
          <w:rtl/>
        </w:rPr>
        <w:t xml:space="preserve">- </w:t>
      </w:r>
      <w:r w:rsidRPr="005C638B">
        <w:rPr>
          <w:rFonts w:cs="Arial"/>
          <w:rtl/>
        </w:rPr>
        <w:t xml:space="preserve">מכאן ראיה </w:t>
      </w:r>
      <w:r w:rsidR="00B347F3">
        <w:rPr>
          <w:rFonts w:cs="Arial" w:hint="cs"/>
          <w:sz w:val="16"/>
          <w:szCs w:val="16"/>
          <w:rtl/>
        </w:rPr>
        <w:t xml:space="preserve">{מהגמ' לעיל} </w:t>
      </w:r>
      <w:r w:rsidRPr="005C638B">
        <w:rPr>
          <w:rFonts w:cs="Arial"/>
          <w:rtl/>
        </w:rPr>
        <w:t>מי שיתחייב בדין אינו משלם לשכנגדו יציאותיו אע</w:t>
      </w:r>
      <w:r w:rsidR="00E113E5" w:rsidRPr="005C638B">
        <w:rPr>
          <w:rFonts w:cs="Arial" w:hint="cs"/>
          <w:rtl/>
        </w:rPr>
        <w:t>"</w:t>
      </w:r>
      <w:r w:rsidRPr="005C638B">
        <w:rPr>
          <w:rFonts w:cs="Arial"/>
          <w:rtl/>
        </w:rPr>
        <w:t>פ שהזקיקו לדון בעיר אחרת</w:t>
      </w:r>
      <w:r w:rsidR="00E113E5" w:rsidRPr="005C638B">
        <w:rPr>
          <w:rFonts w:cs="Arial" w:hint="cs"/>
          <w:rtl/>
        </w:rPr>
        <w:t>,</w:t>
      </w:r>
      <w:r w:rsidRPr="005C638B">
        <w:rPr>
          <w:rFonts w:cs="Arial"/>
          <w:rtl/>
        </w:rPr>
        <w:t xml:space="preserve"> וה</w:t>
      </w:r>
      <w:r w:rsidR="00E113E5" w:rsidRPr="005C638B">
        <w:rPr>
          <w:rFonts w:cs="Arial" w:hint="cs"/>
          <w:rtl/>
        </w:rPr>
        <w:t>"מ</w:t>
      </w:r>
      <w:r w:rsidRPr="005C638B">
        <w:rPr>
          <w:rFonts w:cs="Arial"/>
          <w:rtl/>
        </w:rPr>
        <w:t xml:space="preserve"> דלא מסרב למיקם בדינא אלא שרצה לדון בעיר אחרת</w:t>
      </w:r>
      <w:r w:rsidR="00E113E5" w:rsidRPr="005C638B">
        <w:rPr>
          <w:rFonts w:cs="Arial" w:hint="cs"/>
          <w:rtl/>
        </w:rPr>
        <w:t>,</w:t>
      </w:r>
      <w:r w:rsidRPr="005C638B">
        <w:rPr>
          <w:rFonts w:cs="Arial"/>
          <w:rtl/>
        </w:rPr>
        <w:t xml:space="preserve"> אבל אם היה מסרב לבא לבית דין והוצרך התובע להוציא הוצאות לכופו לירד עמו לדין היה רבינו מאיר</w:t>
      </w:r>
      <w:r w:rsidRPr="00B347F3">
        <w:rPr>
          <w:rFonts w:cs="Arial"/>
          <w:sz w:val="16"/>
          <w:szCs w:val="16"/>
          <w:rtl/>
        </w:rPr>
        <w:t xml:space="preserve"> (שם סי' תצז)</w:t>
      </w:r>
      <w:r w:rsidRPr="005C638B">
        <w:rPr>
          <w:rFonts w:cs="Arial"/>
          <w:rtl/>
        </w:rPr>
        <w:t xml:space="preserve"> מחייבו לפרוע כל יציאותיו</w:t>
      </w:r>
      <w:r w:rsidR="00E113E5" w:rsidRPr="005C638B">
        <w:rPr>
          <w:rFonts w:cs="Arial" w:hint="cs"/>
          <w:rtl/>
        </w:rPr>
        <w:t>,</w:t>
      </w:r>
      <w:r w:rsidRPr="005C638B">
        <w:rPr>
          <w:rFonts w:cs="Arial"/>
          <w:rtl/>
        </w:rPr>
        <w:t xml:space="preserve"> והביא ראיה מפרק הגוזל בתרא </w:t>
      </w:r>
      <w:r w:rsidRPr="00B347F3">
        <w:rPr>
          <w:rFonts w:cs="Arial"/>
          <w:sz w:val="16"/>
          <w:szCs w:val="16"/>
          <w:rtl/>
        </w:rPr>
        <w:t xml:space="preserve">(ב"ק קיב:) </w:t>
      </w:r>
      <w:r w:rsidRPr="005C638B">
        <w:rPr>
          <w:rFonts w:cs="Arial"/>
          <w:rtl/>
        </w:rPr>
        <w:t>דאמר שליחא דרבנן מהימן כבי תרי והני מילי לשמתא אבל למיכתב עליה פתיחא לא מהימן דממונא קא מחסר ליה</w:t>
      </w:r>
      <w:r w:rsidR="00E113E5" w:rsidRPr="005C638B">
        <w:rPr>
          <w:rFonts w:cs="Arial" w:hint="cs"/>
          <w:rtl/>
        </w:rPr>
        <w:t>,</w:t>
      </w:r>
      <w:r w:rsidRPr="005C638B">
        <w:rPr>
          <w:rFonts w:cs="Arial"/>
          <w:rtl/>
        </w:rPr>
        <w:t xml:space="preserve"> פירוש קודם שיקרעו כתב הפתיחא עליו לתת שכר הסופר שכתב הפתיחא והוא הדין לכל שאר הוצאות שיוציא</w:t>
      </w:r>
      <w:r w:rsidR="00B347F3">
        <w:rPr>
          <w:rFonts w:cs="Arial" w:hint="cs"/>
          <w:rtl/>
        </w:rPr>
        <w:t xml:space="preserve"> </w:t>
      </w:r>
      <w:r w:rsidR="00B347F3">
        <w:rPr>
          <w:rFonts w:cs="Arial" w:hint="cs"/>
          <w:sz w:val="16"/>
          <w:szCs w:val="16"/>
          <w:rtl/>
        </w:rPr>
        <w:t>(ל' הרא"ש)</w:t>
      </w:r>
      <w:r w:rsidR="00E113E5" w:rsidRPr="005C638B">
        <w:rPr>
          <w:rFonts w:cs="Arial" w:hint="cs"/>
          <w:rtl/>
        </w:rPr>
        <w:t xml:space="preserve">. </w:t>
      </w:r>
      <w:r w:rsidR="00B347F3">
        <w:rPr>
          <w:rFonts w:cs="Arial" w:hint="cs"/>
          <w:color w:val="E36C0A" w:themeColor="accent6" w:themeShade="BF"/>
          <w:rtl/>
        </w:rPr>
        <w:t>(</w:t>
      </w:r>
      <w:r w:rsidR="00B347F3" w:rsidRPr="005C638B">
        <w:rPr>
          <w:rFonts w:cs="Arial" w:hint="cs"/>
          <w:color w:val="E36C0A" w:themeColor="accent6" w:themeShade="BF"/>
          <w:rtl/>
        </w:rPr>
        <w:t>וכ"פ בשו"ע</w:t>
      </w:r>
      <w:r w:rsidR="00B347F3">
        <w:rPr>
          <w:rFonts w:cs="Arial" w:hint="cs"/>
          <w:color w:val="E36C0A" w:themeColor="accent6" w:themeShade="BF"/>
          <w:rtl/>
        </w:rPr>
        <w:t>)</w:t>
      </w:r>
    </w:p>
    <w:p w14:paraId="299A9FB7" w14:textId="77777777" w:rsidR="00B347F3" w:rsidRPr="009D1ACF" w:rsidRDefault="00B347F3" w:rsidP="009D1ACF">
      <w:pPr>
        <w:rPr>
          <w:rFonts w:cs="Arial"/>
          <w:u w:val="single"/>
        </w:rPr>
      </w:pPr>
      <w:r w:rsidRPr="009D1ACF">
        <w:rPr>
          <w:rFonts w:cs="Arial" w:hint="cs"/>
          <w:u w:val="single"/>
          <w:rtl/>
        </w:rPr>
        <w:t xml:space="preserve">נתבע </w:t>
      </w:r>
      <w:r w:rsidR="009D1ACF">
        <w:rPr>
          <w:rFonts w:cs="Arial" w:hint="cs"/>
          <w:u w:val="single"/>
          <w:rtl/>
        </w:rPr>
        <w:t>שמ</w:t>
      </w:r>
      <w:r w:rsidRPr="009D1ACF">
        <w:rPr>
          <w:rFonts w:cs="Arial" w:hint="cs"/>
          <w:u w:val="single"/>
          <w:rtl/>
        </w:rPr>
        <w:t xml:space="preserve">סרב </w:t>
      </w:r>
      <w:r w:rsidR="009D1ACF">
        <w:rPr>
          <w:rFonts w:cs="Arial" w:hint="cs"/>
          <w:u w:val="single"/>
          <w:rtl/>
        </w:rPr>
        <w:t xml:space="preserve">לצווי </w:t>
      </w:r>
      <w:r w:rsidRPr="009D1ACF">
        <w:rPr>
          <w:rFonts w:cs="Arial" w:hint="cs"/>
          <w:u w:val="single"/>
          <w:rtl/>
        </w:rPr>
        <w:t xml:space="preserve">בית דין </w:t>
      </w:r>
      <w:r w:rsidR="009D1ACF">
        <w:rPr>
          <w:rFonts w:cs="Arial" w:hint="cs"/>
          <w:u w:val="single"/>
          <w:rtl/>
        </w:rPr>
        <w:t xml:space="preserve">ובעקבות כך </w:t>
      </w:r>
      <w:r w:rsidRPr="009D1ACF">
        <w:rPr>
          <w:rFonts w:cs="Arial" w:hint="cs"/>
          <w:u w:val="single"/>
          <w:rtl/>
        </w:rPr>
        <w:t xml:space="preserve">הוצרך התובע </w:t>
      </w:r>
      <w:r w:rsidR="009D1ACF">
        <w:rPr>
          <w:rFonts w:cs="Arial" w:hint="cs"/>
          <w:u w:val="single"/>
          <w:rtl/>
        </w:rPr>
        <w:t>ל</w:t>
      </w:r>
      <w:r w:rsidRPr="009D1ACF">
        <w:rPr>
          <w:rFonts w:cs="Arial" w:hint="cs"/>
          <w:u w:val="single"/>
          <w:rtl/>
        </w:rPr>
        <w:t>הוציא הוצאות:</w:t>
      </w:r>
    </w:p>
    <w:p w14:paraId="2BEDF970" w14:textId="77777777" w:rsidR="00E113E5" w:rsidRPr="005C638B" w:rsidRDefault="00B347F3" w:rsidP="004B0475">
      <w:pPr>
        <w:pStyle w:val="ac"/>
        <w:numPr>
          <w:ilvl w:val="0"/>
          <w:numId w:val="67"/>
        </w:numPr>
        <w:rPr>
          <w:rFonts w:cs="Arial"/>
          <w:rtl/>
        </w:rPr>
      </w:pPr>
      <w:r>
        <w:rPr>
          <w:rFonts w:cs="Arial" w:hint="cs"/>
          <w:rtl/>
        </w:rPr>
        <w:t>מ</w:t>
      </w:r>
      <w:r w:rsidRPr="005C638B">
        <w:rPr>
          <w:rFonts w:cs="Arial"/>
          <w:rtl/>
        </w:rPr>
        <w:t>הר"</w:t>
      </w:r>
      <w:r>
        <w:rPr>
          <w:rFonts w:cs="Arial" w:hint="cs"/>
          <w:rtl/>
        </w:rPr>
        <w:t>ם</w:t>
      </w:r>
      <w:r w:rsidRPr="005C638B">
        <w:rPr>
          <w:rFonts w:cs="Arial"/>
          <w:rtl/>
        </w:rPr>
        <w:t xml:space="preserve"> </w:t>
      </w:r>
      <w:r w:rsidR="009D1ACF">
        <w:rPr>
          <w:rFonts w:cs="Arial" w:hint="cs"/>
          <w:rtl/>
        </w:rPr>
        <w:t xml:space="preserve">רשב"א </w:t>
      </w:r>
      <w:r w:rsidR="00E113E5" w:rsidRPr="005C638B">
        <w:rPr>
          <w:rFonts w:cs="Arial" w:hint="cs"/>
          <w:rtl/>
        </w:rPr>
        <w:t xml:space="preserve">רא"ש </w:t>
      </w:r>
      <w:r>
        <w:rPr>
          <w:rFonts w:cs="Arial" w:hint="cs"/>
          <w:rtl/>
        </w:rPr>
        <w:t>טור</w:t>
      </w:r>
      <w:r w:rsidRPr="00B347F3">
        <w:rPr>
          <w:rFonts w:cs="Arial"/>
          <w:rtl/>
        </w:rPr>
        <w:t xml:space="preserve"> </w:t>
      </w:r>
      <w:r w:rsidRPr="005C638B">
        <w:rPr>
          <w:rFonts w:cs="Arial"/>
          <w:rtl/>
        </w:rPr>
        <w:t>ר</w:t>
      </w:r>
      <w:r w:rsidRPr="005C638B">
        <w:rPr>
          <w:rFonts w:cs="Arial" w:hint="cs"/>
          <w:rtl/>
        </w:rPr>
        <w:t>י"ו</w:t>
      </w:r>
      <w:r w:rsidRPr="005C638B">
        <w:rPr>
          <w:rFonts w:cs="Arial"/>
          <w:rtl/>
        </w:rPr>
        <w:t xml:space="preserve"> </w:t>
      </w:r>
      <w:r w:rsidR="009D1ACF" w:rsidRPr="005C638B">
        <w:rPr>
          <w:rFonts w:cs="Arial"/>
          <w:rtl/>
        </w:rPr>
        <w:t>ריב"ש נמוק</w:t>
      </w:r>
      <w:r w:rsidR="009D1ACF" w:rsidRPr="005C638B">
        <w:rPr>
          <w:rFonts w:cs="Arial" w:hint="cs"/>
          <w:rtl/>
        </w:rPr>
        <w:t>"</w:t>
      </w:r>
      <w:r w:rsidR="009D1ACF" w:rsidRPr="005C638B">
        <w:rPr>
          <w:rFonts w:cs="Arial"/>
          <w:rtl/>
        </w:rPr>
        <w:t xml:space="preserve">י </w:t>
      </w:r>
      <w:r w:rsidR="009D1ACF">
        <w:rPr>
          <w:rFonts w:cs="Arial" w:hint="cs"/>
          <w:rtl/>
        </w:rPr>
        <w:t>ו</w:t>
      </w:r>
      <w:r w:rsidR="009D1ACF" w:rsidRPr="0084477D">
        <w:rPr>
          <w:rFonts w:cs="Arial"/>
          <w:rtl/>
        </w:rPr>
        <w:t>מהרי"ו</w:t>
      </w:r>
      <w:r w:rsidR="007A5348">
        <w:rPr>
          <w:rStyle w:val="ab"/>
          <w:rFonts w:cs="Arial"/>
          <w:rtl/>
        </w:rPr>
        <w:footnoteReference w:id="815"/>
      </w:r>
      <w:r w:rsidR="009D1ACF">
        <w:rPr>
          <w:rFonts w:cs="Arial" w:hint="cs"/>
          <w:rtl/>
        </w:rPr>
        <w:t xml:space="preserve">- </w:t>
      </w:r>
      <w:r w:rsidR="00F03CB0" w:rsidRPr="005C638B">
        <w:rPr>
          <w:rFonts w:cs="Arial"/>
          <w:rtl/>
        </w:rPr>
        <w:t>על הנתבע לפרוע כל ההוצאות שעשה התובע כשהנתבע מסרב לעשות צווי בית דין</w:t>
      </w:r>
      <w:r w:rsidR="007A5348" w:rsidRPr="005C638B">
        <w:rPr>
          <w:rStyle w:val="ab"/>
          <w:rFonts w:cs="Arial"/>
          <w:rtl/>
        </w:rPr>
        <w:footnoteReference w:id="816"/>
      </w:r>
      <w:r w:rsidR="009D1ACF">
        <w:rPr>
          <w:rFonts w:cs="Arial" w:hint="cs"/>
          <w:sz w:val="16"/>
          <w:szCs w:val="16"/>
          <w:rtl/>
        </w:rPr>
        <w:t xml:space="preserve"> (ל' מהרי"ק בשם מהר"ם)</w:t>
      </w:r>
      <w:r w:rsidR="00F03CB0" w:rsidRPr="005C638B">
        <w:rPr>
          <w:rFonts w:cs="Arial"/>
          <w:rtl/>
        </w:rPr>
        <w:t xml:space="preserve">. </w:t>
      </w:r>
      <w:r w:rsidR="009D1ACF">
        <w:rPr>
          <w:rFonts w:cs="Arial" w:hint="cs"/>
          <w:color w:val="E36C0A" w:themeColor="accent6" w:themeShade="BF"/>
          <w:rtl/>
        </w:rPr>
        <w:t>(</w:t>
      </w:r>
      <w:r w:rsidR="009D1ACF" w:rsidRPr="005C638B">
        <w:rPr>
          <w:rFonts w:cs="Arial" w:hint="cs"/>
          <w:color w:val="E36C0A" w:themeColor="accent6" w:themeShade="BF"/>
          <w:rtl/>
        </w:rPr>
        <w:t>וכ"פ בשו"ע</w:t>
      </w:r>
      <w:r w:rsidR="009D1ACF">
        <w:rPr>
          <w:rFonts w:cs="Arial" w:hint="cs"/>
          <w:color w:val="E36C0A" w:themeColor="accent6" w:themeShade="BF"/>
          <w:rtl/>
        </w:rPr>
        <w:t>)</w:t>
      </w:r>
      <w:r w:rsidR="009D1ACF">
        <w:rPr>
          <w:rFonts w:cs="Arial" w:hint="cs"/>
          <w:rtl/>
        </w:rPr>
        <w:t xml:space="preserve"> </w:t>
      </w:r>
    </w:p>
    <w:p w14:paraId="6386FBE0" w14:textId="77777777" w:rsidR="00E113E5" w:rsidRPr="009D1ACF" w:rsidRDefault="009D1ACF" w:rsidP="009D1ACF">
      <w:pPr>
        <w:ind w:left="360"/>
        <w:rPr>
          <w:rFonts w:cs="Arial"/>
          <w:u w:val="dotted"/>
          <w:rtl/>
        </w:rPr>
      </w:pPr>
      <w:r>
        <w:rPr>
          <w:rFonts w:cs="Arial" w:hint="cs"/>
          <w:u w:val="dotted"/>
          <w:rtl/>
        </w:rPr>
        <w:t xml:space="preserve">האם הדין כך אף אם בעקבות סרובו הוצרך התובע לתובעו </w:t>
      </w:r>
      <w:r w:rsidR="00E113E5" w:rsidRPr="009D1ACF">
        <w:rPr>
          <w:rFonts w:cs="Arial"/>
          <w:u w:val="dotted"/>
          <w:rtl/>
        </w:rPr>
        <w:t xml:space="preserve">בערכאות של גוים </w:t>
      </w:r>
      <w:r w:rsidRPr="009D1ACF">
        <w:rPr>
          <w:rFonts w:cs="Arial" w:hint="cs"/>
          <w:sz w:val="16"/>
          <w:szCs w:val="16"/>
          <w:u w:val="dotted"/>
          <w:rtl/>
        </w:rPr>
        <w:t>(</w:t>
      </w:r>
      <w:r w:rsidR="00E113E5" w:rsidRPr="009D1ACF">
        <w:rPr>
          <w:rFonts w:cs="Arial"/>
          <w:sz w:val="16"/>
          <w:szCs w:val="16"/>
          <w:u w:val="dotted"/>
          <w:rtl/>
        </w:rPr>
        <w:t>והוצרך להוציא הוצאות בדיינים וטוענין</w:t>
      </w:r>
      <w:r>
        <w:rPr>
          <w:rFonts w:cs="Arial" w:hint="cs"/>
          <w:sz w:val="16"/>
          <w:szCs w:val="16"/>
          <w:u w:val="dotted"/>
          <w:rtl/>
        </w:rPr>
        <w:t>)</w:t>
      </w:r>
      <w:r w:rsidR="00E113E5" w:rsidRPr="009D1ACF">
        <w:rPr>
          <w:rFonts w:cs="Arial" w:hint="cs"/>
          <w:u w:val="dotted"/>
          <w:rtl/>
        </w:rPr>
        <w:t>:</w:t>
      </w:r>
    </w:p>
    <w:p w14:paraId="4C79B770" w14:textId="77777777" w:rsidR="00E113E5" w:rsidRDefault="00F03CB0" w:rsidP="004B0475">
      <w:pPr>
        <w:pStyle w:val="ac"/>
        <w:numPr>
          <w:ilvl w:val="0"/>
          <w:numId w:val="15"/>
        </w:numPr>
        <w:rPr>
          <w:rFonts w:cs="Arial"/>
        </w:rPr>
      </w:pPr>
      <w:r w:rsidRPr="00E113E5">
        <w:rPr>
          <w:rFonts w:cs="Arial"/>
          <w:rtl/>
        </w:rPr>
        <w:t xml:space="preserve">רשב"א </w:t>
      </w:r>
      <w:r w:rsidR="00E113E5" w:rsidRPr="00E113E5">
        <w:rPr>
          <w:rFonts w:cs="Arial" w:hint="cs"/>
          <w:sz w:val="16"/>
          <w:szCs w:val="16"/>
          <w:rtl/>
        </w:rPr>
        <w:t>(</w:t>
      </w:r>
      <w:r w:rsidR="007A5348">
        <w:rPr>
          <w:rFonts w:cs="Arial" w:hint="cs"/>
          <w:sz w:val="16"/>
          <w:szCs w:val="16"/>
          <w:rtl/>
        </w:rPr>
        <w:t>שם</w:t>
      </w:r>
      <w:r w:rsidRPr="00E113E5">
        <w:rPr>
          <w:rFonts w:cs="Arial"/>
          <w:sz w:val="16"/>
          <w:szCs w:val="16"/>
          <w:rtl/>
        </w:rPr>
        <w:t>)</w:t>
      </w:r>
      <w:r w:rsidR="00E113E5">
        <w:rPr>
          <w:rFonts w:cs="Arial" w:hint="cs"/>
          <w:rtl/>
        </w:rPr>
        <w:t>-</w:t>
      </w:r>
      <w:r w:rsidRPr="00E113E5">
        <w:rPr>
          <w:rFonts w:cs="Arial"/>
          <w:rtl/>
        </w:rPr>
        <w:t xml:space="preserve"> אם תבעו בערכאות של גוים והוצרך להוציא הוצאות בדיינים וטוענין, והיאך ישלם ואדרבה הוא עושה שלא כהוגן ועובר על לפניהם</w:t>
      </w:r>
      <w:r w:rsidRPr="00E113E5">
        <w:rPr>
          <w:rFonts w:cs="Arial"/>
          <w:sz w:val="16"/>
          <w:szCs w:val="16"/>
          <w:rtl/>
        </w:rPr>
        <w:t xml:space="preserve"> </w:t>
      </w:r>
      <w:r w:rsidRPr="00E113E5">
        <w:rPr>
          <w:rFonts w:cs="Arial"/>
          <w:rtl/>
        </w:rPr>
        <w:t xml:space="preserve">ולא לפני גוים </w:t>
      </w:r>
      <w:r w:rsidRPr="00E113E5">
        <w:rPr>
          <w:rFonts w:cs="Arial"/>
          <w:sz w:val="16"/>
          <w:szCs w:val="16"/>
          <w:rtl/>
        </w:rPr>
        <w:t>(גיטין פח:)</w:t>
      </w:r>
      <w:r w:rsidR="00F00DC0">
        <w:rPr>
          <w:rFonts w:cs="Arial" w:hint="cs"/>
          <w:rtl/>
        </w:rPr>
        <w:t xml:space="preserve">. </w:t>
      </w:r>
      <w:r w:rsidRPr="00E113E5">
        <w:rPr>
          <w:rFonts w:cs="Arial"/>
          <w:rtl/>
        </w:rPr>
        <w:t xml:space="preserve">ואפילו סירב הנתבע ומתוך סירובו הוצרך להעמיד בערכאות ולהוציא הוצאות </w:t>
      </w:r>
      <w:r w:rsidR="00C449AB">
        <w:rPr>
          <w:rFonts w:cs="Arial" w:hint="cs"/>
          <w:rtl/>
        </w:rPr>
        <w:t xml:space="preserve">- </w:t>
      </w:r>
      <w:r w:rsidRPr="00E113E5">
        <w:rPr>
          <w:rFonts w:cs="Arial"/>
          <w:rtl/>
        </w:rPr>
        <w:t>גם בזה יראה לי שאינו חייב</w:t>
      </w:r>
      <w:r w:rsidR="00C449AB">
        <w:rPr>
          <w:rFonts w:cs="Arial" w:hint="cs"/>
          <w:rtl/>
        </w:rPr>
        <w:t>,</w:t>
      </w:r>
      <w:r w:rsidRPr="00E113E5">
        <w:rPr>
          <w:rFonts w:cs="Arial"/>
          <w:rtl/>
        </w:rPr>
        <w:t xml:space="preserve"> דאינו אלא גרמא בנזקין בעלמא </w:t>
      </w:r>
      <w:r w:rsidRPr="00E113E5">
        <w:rPr>
          <w:rFonts w:cs="Arial"/>
          <w:sz w:val="16"/>
          <w:szCs w:val="16"/>
          <w:rtl/>
        </w:rPr>
        <w:t>(ב"ב כב:)</w:t>
      </w:r>
      <w:r w:rsidR="00C449AB">
        <w:rPr>
          <w:rFonts w:cs="Arial" w:hint="cs"/>
          <w:rtl/>
        </w:rPr>
        <w:t xml:space="preserve">, </w:t>
      </w:r>
      <w:r w:rsidRPr="00E113E5">
        <w:rPr>
          <w:rFonts w:cs="Arial"/>
          <w:rtl/>
        </w:rPr>
        <w:t xml:space="preserve">ואינו דומה לדינא דגרמי שעושה מעשה בגוף הדבר שהוא מזיקו כשורף שטרותיו של חבירו </w:t>
      </w:r>
      <w:r w:rsidRPr="00E113E5">
        <w:rPr>
          <w:rFonts w:cs="Arial"/>
          <w:sz w:val="16"/>
          <w:szCs w:val="16"/>
          <w:rtl/>
        </w:rPr>
        <w:t xml:space="preserve">(ב"ק צח:) </w:t>
      </w:r>
      <w:r w:rsidRPr="00E113E5">
        <w:rPr>
          <w:rFonts w:cs="Arial"/>
          <w:rtl/>
        </w:rPr>
        <w:t>והדומין לו</w:t>
      </w:r>
      <w:r w:rsidR="00C449AB">
        <w:rPr>
          <w:rFonts w:cs="Arial" w:hint="cs"/>
          <w:rtl/>
        </w:rPr>
        <w:t>.</w:t>
      </w:r>
      <w:r w:rsidRPr="00E113E5">
        <w:rPr>
          <w:rFonts w:cs="Arial"/>
          <w:rtl/>
        </w:rPr>
        <w:t xml:space="preserve"> וכן אינו דומה להוצאות דפתיחא</w:t>
      </w:r>
      <w:r w:rsidR="00C449AB">
        <w:rPr>
          <w:rFonts w:cs="Arial" w:hint="cs"/>
          <w:rtl/>
        </w:rPr>
        <w:t>,</w:t>
      </w:r>
      <w:r w:rsidRPr="00E113E5">
        <w:rPr>
          <w:rFonts w:cs="Arial"/>
          <w:rtl/>
        </w:rPr>
        <w:t xml:space="preserve"> משום דבית דין מחייבין אותו על שסירב לבא לפניהם ליום שקבעו</w:t>
      </w:r>
      <w:r w:rsidR="00E113E5">
        <w:rPr>
          <w:rFonts w:cs="Arial" w:hint="cs"/>
          <w:rtl/>
        </w:rPr>
        <w:t>.</w:t>
      </w:r>
      <w:r w:rsidRPr="00E113E5">
        <w:rPr>
          <w:rFonts w:cs="Arial"/>
          <w:rtl/>
        </w:rPr>
        <w:t xml:space="preserve"> </w:t>
      </w:r>
    </w:p>
    <w:p w14:paraId="747F0F36" w14:textId="77777777" w:rsidR="00E113E5" w:rsidRDefault="00F03CB0" w:rsidP="004B0475">
      <w:pPr>
        <w:pStyle w:val="ac"/>
        <w:numPr>
          <w:ilvl w:val="0"/>
          <w:numId w:val="15"/>
        </w:numPr>
        <w:rPr>
          <w:rFonts w:cs="Arial"/>
        </w:rPr>
      </w:pPr>
      <w:r w:rsidRPr="00E113E5">
        <w:rPr>
          <w:rFonts w:cs="Arial"/>
          <w:rtl/>
        </w:rPr>
        <w:t xml:space="preserve">רא"ש </w:t>
      </w:r>
      <w:r w:rsidR="00E113E5" w:rsidRPr="00E113E5">
        <w:rPr>
          <w:rFonts w:cs="Arial" w:hint="cs"/>
          <w:sz w:val="16"/>
          <w:szCs w:val="16"/>
          <w:rtl/>
        </w:rPr>
        <w:t>(</w:t>
      </w:r>
      <w:r w:rsidR="00E113E5" w:rsidRPr="00E113E5">
        <w:rPr>
          <w:rFonts w:cs="Arial" w:hint="cs"/>
          <w:sz w:val="14"/>
          <w:szCs w:val="14"/>
          <w:rtl/>
        </w:rPr>
        <w:t>[</w:t>
      </w:r>
      <w:r w:rsidRPr="00E113E5">
        <w:rPr>
          <w:rFonts w:cs="Arial"/>
          <w:sz w:val="14"/>
          <w:szCs w:val="14"/>
          <w:rtl/>
        </w:rPr>
        <w:t>כלל עג סי</w:t>
      </w:r>
      <w:r w:rsidR="00E113E5" w:rsidRPr="00E113E5">
        <w:rPr>
          <w:rFonts w:cs="Arial" w:hint="cs"/>
          <w:sz w:val="14"/>
          <w:szCs w:val="14"/>
          <w:rtl/>
        </w:rPr>
        <w:t>'</w:t>
      </w:r>
      <w:r w:rsidRPr="00E113E5">
        <w:rPr>
          <w:rFonts w:cs="Arial"/>
          <w:sz w:val="14"/>
          <w:szCs w:val="14"/>
          <w:rtl/>
        </w:rPr>
        <w:t xml:space="preserve"> ג</w:t>
      </w:r>
      <w:r w:rsidR="00E113E5" w:rsidRPr="00E113E5">
        <w:rPr>
          <w:rFonts w:cs="Arial" w:hint="cs"/>
          <w:sz w:val="14"/>
          <w:szCs w:val="14"/>
          <w:rtl/>
        </w:rPr>
        <w:t>]</w:t>
      </w:r>
      <w:r w:rsidR="00E113E5" w:rsidRPr="00E113E5">
        <w:rPr>
          <w:rFonts w:cs="Arial" w:hint="cs"/>
          <w:sz w:val="16"/>
          <w:szCs w:val="16"/>
          <w:rtl/>
        </w:rPr>
        <w:t xml:space="preserve"> להב' הב"י)</w:t>
      </w:r>
      <w:r w:rsidR="00E113E5">
        <w:rPr>
          <w:rFonts w:cs="Arial" w:hint="cs"/>
          <w:rtl/>
        </w:rPr>
        <w:t>-</w:t>
      </w:r>
      <w:r w:rsidRPr="00E113E5">
        <w:rPr>
          <w:rFonts w:cs="Arial"/>
          <w:rtl/>
        </w:rPr>
        <w:t xml:space="preserve"> אם מתוך סירובו הוצרך להעמידו בערכאות ולהוציא הוצאות </w:t>
      </w:r>
      <w:r w:rsidR="00F00DC0">
        <w:rPr>
          <w:rFonts w:cs="Arial" w:hint="cs"/>
          <w:rtl/>
        </w:rPr>
        <w:t xml:space="preserve">- </w:t>
      </w:r>
      <w:r w:rsidRPr="00E113E5">
        <w:rPr>
          <w:rFonts w:cs="Arial"/>
          <w:rtl/>
        </w:rPr>
        <w:t>חייב לפרוע לו כל יציאותיו</w:t>
      </w:r>
      <w:r w:rsidR="00E113E5">
        <w:rPr>
          <w:rStyle w:val="ab"/>
          <w:rFonts w:cs="Arial"/>
          <w:rtl/>
        </w:rPr>
        <w:footnoteReference w:id="817"/>
      </w:r>
      <w:r w:rsidR="00E113E5">
        <w:rPr>
          <w:rFonts w:cs="Arial" w:hint="cs"/>
          <w:rtl/>
        </w:rPr>
        <w:t>.</w:t>
      </w:r>
      <w:r w:rsidR="00937F59">
        <w:rPr>
          <w:rFonts w:cs="Arial" w:hint="cs"/>
          <w:rtl/>
        </w:rPr>
        <w:t xml:space="preserve"> </w:t>
      </w:r>
      <w:r w:rsidR="00C449AB" w:rsidRPr="00937F59">
        <w:rPr>
          <w:rFonts w:cs="Arial" w:hint="cs"/>
          <w:color w:val="E36C0A" w:themeColor="accent6" w:themeShade="BF"/>
          <w:rtl/>
        </w:rPr>
        <w:t>(וכ"ס בשו"ע)</w:t>
      </w:r>
      <w:r w:rsidR="00C449AB" w:rsidRPr="00937F59">
        <w:rPr>
          <w:rFonts w:cs="Arial" w:hint="cs"/>
          <w:color w:val="00B0F0"/>
          <w:rtl/>
        </w:rPr>
        <w:t xml:space="preserve"> </w:t>
      </w:r>
      <w:r w:rsidR="00937F59" w:rsidRPr="00937F59">
        <w:rPr>
          <w:rFonts w:cs="Arial" w:hint="cs"/>
          <w:color w:val="00B0F0"/>
          <w:rtl/>
        </w:rPr>
        <w:t>(וכ"פ הרמ"א)</w:t>
      </w:r>
    </w:p>
    <w:p w14:paraId="49778E6A" w14:textId="77777777" w:rsidR="00E113E5" w:rsidRPr="00E113E5" w:rsidRDefault="00E113E5" w:rsidP="00E113E5">
      <w:pPr>
        <w:rPr>
          <w:rFonts w:cs="Arial"/>
          <w:u w:val="single"/>
        </w:rPr>
      </w:pPr>
      <w:r w:rsidRPr="00E113E5">
        <w:rPr>
          <w:rFonts w:cs="Arial" w:hint="cs"/>
          <w:u w:val="single"/>
          <w:rtl/>
        </w:rPr>
        <w:t>ראובן סיכם עם שמעון שילכו לה</w:t>
      </w:r>
      <w:r>
        <w:rPr>
          <w:rFonts w:cs="Arial" w:hint="cs"/>
          <w:u w:val="single"/>
          <w:rtl/>
        </w:rPr>
        <w:t>ת</w:t>
      </w:r>
      <w:r w:rsidRPr="00E113E5">
        <w:rPr>
          <w:rFonts w:cs="Arial" w:hint="cs"/>
          <w:u w:val="single"/>
          <w:rtl/>
        </w:rPr>
        <w:t xml:space="preserve">דיין בבית הדין הגדול, וראובן הלך ושמעון לא </w:t>
      </w:r>
      <w:r w:rsidRPr="00E113E5">
        <w:rPr>
          <w:rFonts w:cs="Arial"/>
          <w:u w:val="single"/>
          <w:rtl/>
        </w:rPr>
        <w:t>–</w:t>
      </w:r>
      <w:r w:rsidRPr="00E113E5">
        <w:rPr>
          <w:rFonts w:cs="Arial" w:hint="cs"/>
          <w:u w:val="single"/>
          <w:rtl/>
        </w:rPr>
        <w:t xml:space="preserve"> האם משלם לו יציאותיו:</w:t>
      </w:r>
    </w:p>
    <w:p w14:paraId="0A9F65D5" w14:textId="77777777" w:rsidR="00F03CB0" w:rsidRPr="00E113E5" w:rsidRDefault="00F03CB0" w:rsidP="004B0475">
      <w:pPr>
        <w:pStyle w:val="ac"/>
        <w:numPr>
          <w:ilvl w:val="0"/>
          <w:numId w:val="15"/>
        </w:numPr>
        <w:rPr>
          <w:rFonts w:cs="Arial"/>
          <w:rtl/>
        </w:rPr>
      </w:pPr>
      <w:r w:rsidRPr="00E113E5">
        <w:rPr>
          <w:rFonts w:cs="Arial"/>
          <w:rtl/>
        </w:rPr>
        <w:t>מרדכי</w:t>
      </w:r>
      <w:r w:rsidRPr="00E113E5">
        <w:rPr>
          <w:rFonts w:cs="Arial"/>
          <w:sz w:val="16"/>
          <w:szCs w:val="16"/>
          <w:rtl/>
        </w:rPr>
        <w:t xml:space="preserve"> </w:t>
      </w:r>
      <w:r w:rsidR="00E113E5" w:rsidRPr="00E113E5">
        <w:rPr>
          <w:rFonts w:cs="Arial" w:hint="cs"/>
          <w:sz w:val="16"/>
          <w:szCs w:val="16"/>
          <w:rtl/>
        </w:rPr>
        <w:t>(</w:t>
      </w:r>
      <w:r w:rsidRPr="00E113E5">
        <w:rPr>
          <w:rFonts w:cs="Arial"/>
          <w:sz w:val="16"/>
          <w:szCs w:val="16"/>
          <w:rtl/>
        </w:rPr>
        <w:t>פ</w:t>
      </w:r>
      <w:r w:rsidR="00E113E5" w:rsidRPr="00E113E5">
        <w:rPr>
          <w:rFonts w:cs="Arial" w:hint="cs"/>
          <w:sz w:val="16"/>
          <w:szCs w:val="16"/>
          <w:rtl/>
        </w:rPr>
        <w:t>'</w:t>
      </w:r>
      <w:r w:rsidRPr="00E113E5">
        <w:rPr>
          <w:rFonts w:cs="Arial"/>
          <w:sz w:val="16"/>
          <w:szCs w:val="16"/>
          <w:rtl/>
        </w:rPr>
        <w:t xml:space="preserve"> זה בורר סי' תשז)</w:t>
      </w:r>
      <w:r w:rsidR="00E113E5">
        <w:rPr>
          <w:rFonts w:cs="Arial" w:hint="cs"/>
          <w:rtl/>
        </w:rPr>
        <w:t>-</w:t>
      </w:r>
      <w:r w:rsidRPr="00E113E5">
        <w:rPr>
          <w:rFonts w:cs="Arial"/>
          <w:rtl/>
        </w:rPr>
        <w:t xml:space="preserve"> אם ראובן אמר לשמעון </w:t>
      </w:r>
      <w:r w:rsidR="00C449AB">
        <w:rPr>
          <w:rFonts w:cs="Arial" w:hint="cs"/>
          <w:rtl/>
        </w:rPr>
        <w:t>'</w:t>
      </w:r>
      <w:r w:rsidRPr="00E113E5">
        <w:rPr>
          <w:rFonts w:cs="Arial"/>
          <w:rtl/>
        </w:rPr>
        <w:t>נלך לבית דין הגדול</w:t>
      </w:r>
      <w:r w:rsidR="00C449AB">
        <w:rPr>
          <w:rFonts w:cs="Arial" w:hint="cs"/>
          <w:rtl/>
        </w:rPr>
        <w:t>',</w:t>
      </w:r>
      <w:r w:rsidRPr="00E113E5">
        <w:rPr>
          <w:rFonts w:cs="Arial"/>
          <w:rtl/>
        </w:rPr>
        <w:t xml:space="preserve"> ואמר שמעון </w:t>
      </w:r>
      <w:r w:rsidR="00C449AB">
        <w:rPr>
          <w:rFonts w:cs="Arial" w:hint="cs"/>
          <w:rtl/>
        </w:rPr>
        <w:t>'</w:t>
      </w:r>
      <w:r w:rsidRPr="00E113E5">
        <w:rPr>
          <w:rFonts w:cs="Arial"/>
          <w:rtl/>
        </w:rPr>
        <w:t>ואני אבוא אחריך לאותו בית דין הגדול</w:t>
      </w:r>
      <w:r w:rsidR="00C449AB">
        <w:rPr>
          <w:rFonts w:cs="Arial" w:hint="cs"/>
          <w:rtl/>
        </w:rPr>
        <w:t>'.</w:t>
      </w:r>
      <w:r w:rsidRPr="00E113E5">
        <w:rPr>
          <w:rFonts w:cs="Arial"/>
          <w:rtl/>
        </w:rPr>
        <w:t xml:space="preserve"> אם יחזור ראובן ויטעון על שמעון ויאמר </w:t>
      </w:r>
      <w:r w:rsidR="00C449AB">
        <w:rPr>
          <w:rFonts w:cs="Arial" w:hint="cs"/>
          <w:rtl/>
        </w:rPr>
        <w:t>'</w:t>
      </w:r>
      <w:r w:rsidRPr="00E113E5">
        <w:rPr>
          <w:rFonts w:cs="Arial"/>
          <w:rtl/>
        </w:rPr>
        <w:t>אני פזרתי מעותי על שהלכתי לבית דין נגדך ולא באת אני שואל ממך יציאותי</w:t>
      </w:r>
      <w:r w:rsidR="00C449AB">
        <w:rPr>
          <w:rFonts w:cs="Arial" w:hint="cs"/>
          <w:rtl/>
        </w:rPr>
        <w:t>' -</w:t>
      </w:r>
      <w:r w:rsidRPr="00E113E5">
        <w:rPr>
          <w:rFonts w:cs="Arial"/>
          <w:rtl/>
        </w:rPr>
        <w:t xml:space="preserve"> רבינו מאיר מחייב לשלם לראובן כל יציאותיו</w:t>
      </w:r>
      <w:r w:rsidR="00E113E5">
        <w:rPr>
          <w:rFonts w:cs="Arial" w:hint="cs"/>
          <w:rtl/>
        </w:rPr>
        <w:t>.</w:t>
      </w:r>
      <w:r w:rsidR="00937F59" w:rsidRPr="00937F59">
        <w:rPr>
          <w:rFonts w:cs="Arial" w:hint="cs"/>
          <w:color w:val="00B0F0"/>
          <w:rtl/>
        </w:rPr>
        <w:t xml:space="preserve"> (וכ"פ הרמ"א)</w:t>
      </w:r>
    </w:p>
    <w:p w14:paraId="20125062" w14:textId="77777777" w:rsidR="00937F59" w:rsidRDefault="00937F59" w:rsidP="00937F59">
      <w:pPr>
        <w:rPr>
          <w:rFonts w:cs="Arial"/>
          <w:rtl/>
        </w:rPr>
      </w:pPr>
      <w:r w:rsidRPr="00942E38">
        <w:rPr>
          <w:rFonts w:cs="Arial" w:hint="cs"/>
          <w:u w:val="single"/>
          <w:rtl/>
        </w:rPr>
        <w:t xml:space="preserve">הוצאות התובע </w:t>
      </w:r>
      <w:r w:rsidRPr="00942E38">
        <w:rPr>
          <w:rFonts w:cs="Arial"/>
          <w:u w:val="single"/>
          <w:rtl/>
        </w:rPr>
        <w:t>–</w:t>
      </w:r>
      <w:r w:rsidRPr="00942E38">
        <w:rPr>
          <w:rFonts w:cs="Arial" w:hint="cs"/>
          <w:u w:val="single"/>
          <w:rtl/>
        </w:rPr>
        <w:t xml:space="preserve"> כיצד שמין הוצאותיו:</w:t>
      </w:r>
    </w:p>
    <w:p w14:paraId="79A27552" w14:textId="77777777" w:rsidR="00BC59D2" w:rsidRDefault="00937F59" w:rsidP="004B0475">
      <w:pPr>
        <w:pStyle w:val="ac"/>
        <w:numPr>
          <w:ilvl w:val="0"/>
          <w:numId w:val="14"/>
        </w:numPr>
      </w:pPr>
      <w:r w:rsidRPr="00942E38">
        <w:rPr>
          <w:rFonts w:cs="Arial"/>
          <w:rtl/>
        </w:rPr>
        <w:t xml:space="preserve">רא"ש </w:t>
      </w:r>
      <w:r w:rsidRPr="00942E38">
        <w:rPr>
          <w:rFonts w:cs="Arial" w:hint="cs"/>
          <w:sz w:val="16"/>
          <w:szCs w:val="16"/>
          <w:rtl/>
        </w:rPr>
        <w:t>(</w:t>
      </w:r>
      <w:r w:rsidRPr="00942E38">
        <w:rPr>
          <w:rFonts w:cs="Arial"/>
          <w:sz w:val="16"/>
          <w:szCs w:val="16"/>
          <w:rtl/>
        </w:rPr>
        <w:t>סוף כלל קז סי' ו ד"ה ומה שתבע)</w:t>
      </w:r>
      <w:r w:rsidRPr="00942E38">
        <w:rPr>
          <w:rFonts w:cs="Arial" w:hint="cs"/>
          <w:rtl/>
        </w:rPr>
        <w:t>-</w:t>
      </w:r>
      <w:r w:rsidRPr="00942E38">
        <w:rPr>
          <w:rFonts w:cs="Arial"/>
          <w:rtl/>
        </w:rPr>
        <w:t xml:space="preserve"> ההוצאה שחייבתי לרבי ישראל שיפרע לרבי שלמה אחר שיברר רבי שלמה בעדים שתבע לרבי ישראל שיבא עמו לדין על התביעה הזאת וסירב לבא עמו לדין</w:t>
      </w:r>
      <w:r w:rsidRPr="00942E38">
        <w:rPr>
          <w:rFonts w:cs="Arial" w:hint="cs"/>
          <w:rtl/>
        </w:rPr>
        <w:t>,</w:t>
      </w:r>
      <w:r w:rsidRPr="00942E38">
        <w:rPr>
          <w:rFonts w:cs="Arial"/>
          <w:rtl/>
        </w:rPr>
        <w:t xml:space="preserve"> לא תהיה פרעון הוצאתו בשבועת רבי שלמה שישבע כמה הוציא ויטול</w:t>
      </w:r>
      <w:r w:rsidRPr="00942E38">
        <w:rPr>
          <w:rFonts w:cs="Arial" w:hint="cs"/>
          <w:rtl/>
        </w:rPr>
        <w:t>,</w:t>
      </w:r>
      <w:r w:rsidRPr="00942E38">
        <w:rPr>
          <w:rFonts w:cs="Arial"/>
          <w:rtl/>
        </w:rPr>
        <w:t xml:space="preserve"> אלא יברר רבי שלמה כל הדרך שהוצרך לילך לכוף את רבי ישראל שיעשה לו דין והשלוחים ששלח וכיוצא בזה ושכר הסופר</w:t>
      </w:r>
      <w:r w:rsidR="007A5348">
        <w:rPr>
          <w:rFonts w:cs="Arial" w:hint="cs"/>
          <w:rtl/>
        </w:rPr>
        <w:t>,</w:t>
      </w:r>
      <w:r w:rsidRPr="00942E38">
        <w:rPr>
          <w:rFonts w:cs="Arial"/>
          <w:rtl/>
        </w:rPr>
        <w:t xml:space="preserve"> ובית דין ישומו כמה היה ראוי שיוציא רבי שלמה בדרכים הללו ובהוצאות השלוחים והסופרים</w:t>
      </w:r>
      <w:r w:rsidR="007A5348">
        <w:rPr>
          <w:rFonts w:cs="Arial" w:hint="cs"/>
          <w:rtl/>
        </w:rPr>
        <w:t>,</w:t>
      </w:r>
      <w:r w:rsidRPr="00942E38">
        <w:rPr>
          <w:rFonts w:cs="Arial"/>
          <w:rtl/>
        </w:rPr>
        <w:t xml:space="preserve"> ועל פי שומת בית דין יפרע רבי ישראל לרבי שלמה כל ההוצאות שהוציא עד שהביאו לבית דין ונפסק הדין</w:t>
      </w:r>
      <w:r w:rsidRPr="00942E38">
        <w:rPr>
          <w:rFonts w:cs="Arial" w:hint="cs"/>
          <w:rtl/>
        </w:rPr>
        <w:t>.</w:t>
      </w:r>
      <w:r w:rsidRPr="00937F59">
        <w:rPr>
          <w:rFonts w:cs="Arial" w:hint="cs"/>
          <w:color w:val="00B0F0"/>
          <w:rtl/>
        </w:rPr>
        <w:t xml:space="preserve"> (וכ"פ הרמ"א)</w:t>
      </w:r>
    </w:p>
    <w:p w14:paraId="687BD40E" w14:textId="77777777" w:rsidR="00E137BC" w:rsidRPr="00576D5C" w:rsidRDefault="00E137BC" w:rsidP="00576D5C">
      <w:pPr>
        <w:rPr>
          <w:rFonts w:asciiTheme="minorBidi" w:hAnsiTheme="minorBidi"/>
          <w:b/>
          <w:bCs/>
          <w:color w:val="000000"/>
          <w:sz w:val="28"/>
          <w:szCs w:val="28"/>
          <w:u w:val="single"/>
          <w:rtl/>
        </w:rPr>
      </w:pPr>
      <w:r w:rsidRPr="00576D5C">
        <w:rPr>
          <w:rFonts w:asciiTheme="minorBidi" w:hAnsiTheme="minorBidi"/>
          <w:b/>
          <w:bCs/>
          <w:color w:val="000000"/>
          <w:sz w:val="28"/>
          <w:szCs w:val="28"/>
          <w:u w:val="single"/>
          <w:rtl/>
        </w:rPr>
        <w:t>שו"ע:</w:t>
      </w:r>
    </w:p>
    <w:p w14:paraId="7183144B" w14:textId="77777777" w:rsidR="00E137BC" w:rsidRDefault="00E137BC" w:rsidP="00576D5C">
      <w:pPr>
        <w:rPr>
          <w:rFonts w:asciiTheme="minorBidi" w:hAnsiTheme="minorBidi"/>
          <w:rtl/>
        </w:rPr>
      </w:pPr>
      <w:r w:rsidRPr="00576D5C">
        <w:rPr>
          <w:rFonts w:asciiTheme="minorBidi" w:hAnsiTheme="minorBidi"/>
          <w:rtl/>
        </w:rPr>
        <w:t>המתחייב בדין אינו חייב לשלם לשכנגדו יציאותיו, אף על פי שהזקיקו לדון בעיר אחרת. וה</w:t>
      </w:r>
      <w:r w:rsidR="00BC59D2">
        <w:rPr>
          <w:rFonts w:asciiTheme="minorBidi" w:hAnsiTheme="minorBidi" w:hint="cs"/>
          <w:rtl/>
        </w:rPr>
        <w:t>ני מילי</w:t>
      </w:r>
      <w:r w:rsidRPr="00576D5C">
        <w:rPr>
          <w:rFonts w:asciiTheme="minorBidi" w:hAnsiTheme="minorBidi"/>
          <w:rtl/>
        </w:rPr>
        <w:t xml:space="preserve"> דלא מסרב למיקם בדינא, אלא שרוצה לדון בעיר אחרת</w:t>
      </w:r>
      <w:r w:rsidR="007A5348">
        <w:rPr>
          <w:rFonts w:asciiTheme="minorBidi" w:hAnsiTheme="minorBidi" w:hint="cs"/>
          <w:rtl/>
        </w:rPr>
        <w:t>,</w:t>
      </w:r>
      <w:r w:rsidRPr="00576D5C">
        <w:rPr>
          <w:rFonts w:asciiTheme="minorBidi" w:hAnsiTheme="minorBidi"/>
          <w:rtl/>
        </w:rPr>
        <w:t xml:space="preserve"> אבל אם היה מסרב לבא לב</w:t>
      </w:r>
      <w:r w:rsidR="00BC59D2">
        <w:rPr>
          <w:rFonts w:asciiTheme="minorBidi" w:hAnsiTheme="minorBidi" w:hint="cs"/>
          <w:rtl/>
        </w:rPr>
        <w:t xml:space="preserve">ית </w:t>
      </w:r>
      <w:r w:rsidRPr="00576D5C">
        <w:rPr>
          <w:rFonts w:asciiTheme="minorBidi" w:hAnsiTheme="minorBidi"/>
          <w:rtl/>
        </w:rPr>
        <w:t>ד</w:t>
      </w:r>
      <w:r w:rsidR="00BC59D2">
        <w:rPr>
          <w:rFonts w:asciiTheme="minorBidi" w:hAnsiTheme="minorBidi" w:hint="cs"/>
          <w:rtl/>
        </w:rPr>
        <w:t>ין</w:t>
      </w:r>
      <w:r w:rsidRPr="00576D5C">
        <w:rPr>
          <w:rFonts w:asciiTheme="minorBidi" w:hAnsiTheme="minorBidi"/>
          <w:rtl/>
        </w:rPr>
        <w:t xml:space="preserve">, והוצרך התובע להוציא הוצאות לכופו לירד </w:t>
      </w:r>
      <w:r w:rsidRPr="00576D5C">
        <w:rPr>
          <w:rFonts w:asciiTheme="minorBidi" w:hAnsiTheme="minorBidi"/>
          <w:rtl/>
        </w:rPr>
        <w:lastRenderedPageBreak/>
        <w:t>לדין, חייב</w:t>
      </w:r>
      <w:r w:rsidR="00152F23">
        <w:rPr>
          <w:rStyle w:val="ab"/>
          <w:rFonts w:asciiTheme="minorBidi" w:hAnsiTheme="minorBidi"/>
          <w:rtl/>
        </w:rPr>
        <w:footnoteReference w:id="818"/>
      </w:r>
      <w:r w:rsidRPr="00576D5C">
        <w:rPr>
          <w:rFonts w:asciiTheme="minorBidi" w:hAnsiTheme="minorBidi"/>
          <w:rtl/>
        </w:rPr>
        <w:t xml:space="preserve"> לפרוע לו כל הוצאותיו</w:t>
      </w:r>
      <w:r w:rsidR="00152F23">
        <w:rPr>
          <w:rStyle w:val="ab"/>
          <w:rFonts w:asciiTheme="minorBidi" w:hAnsiTheme="minorBidi"/>
          <w:rtl/>
        </w:rPr>
        <w:footnoteReference w:id="819"/>
      </w:r>
      <w:r w:rsidRPr="00576D5C">
        <w:rPr>
          <w:rFonts w:asciiTheme="minorBidi" w:hAnsiTheme="minorBidi"/>
          <w:rtl/>
        </w:rPr>
        <w:t xml:space="preserve"> </w:t>
      </w:r>
      <w:r w:rsidR="00BC59D2">
        <w:rPr>
          <w:rFonts w:asciiTheme="minorBidi" w:hAnsiTheme="minorBidi" w:hint="cs"/>
          <w:sz w:val="18"/>
          <w:szCs w:val="18"/>
          <w:rtl/>
        </w:rPr>
        <w:t xml:space="preserve">[הגה] </w:t>
      </w:r>
      <w:r w:rsidRPr="00D52A51">
        <w:rPr>
          <w:rFonts w:asciiTheme="minorBidi" w:hAnsiTheme="minorBidi"/>
          <w:sz w:val="18"/>
          <w:szCs w:val="18"/>
          <w:rtl/>
        </w:rPr>
        <w:t>שהוציא משעה שנעשה סרבן</w:t>
      </w:r>
      <w:r w:rsidR="00152F23">
        <w:rPr>
          <w:rStyle w:val="ab"/>
          <w:rFonts w:asciiTheme="minorBidi" w:hAnsiTheme="minorBidi"/>
          <w:sz w:val="18"/>
          <w:szCs w:val="18"/>
          <w:rtl/>
        </w:rPr>
        <w:footnoteReference w:id="820"/>
      </w:r>
      <w:r w:rsidRPr="00D52A51">
        <w:rPr>
          <w:rFonts w:asciiTheme="minorBidi" w:hAnsiTheme="minorBidi"/>
          <w:sz w:val="18"/>
          <w:szCs w:val="18"/>
          <w:rtl/>
        </w:rPr>
        <w:t xml:space="preserve"> </w:t>
      </w:r>
      <w:r w:rsidRPr="00937F59">
        <w:rPr>
          <w:rFonts w:asciiTheme="minorBidi" w:hAnsiTheme="minorBidi"/>
          <w:sz w:val="16"/>
          <w:szCs w:val="16"/>
          <w:rtl/>
        </w:rPr>
        <w:t>(</w:t>
      </w:r>
      <w:r w:rsidR="007A5348" w:rsidRPr="00937F59">
        <w:rPr>
          <w:rFonts w:asciiTheme="minorBidi" w:hAnsiTheme="minorBidi"/>
          <w:sz w:val="16"/>
          <w:szCs w:val="16"/>
          <w:rtl/>
        </w:rPr>
        <w:t xml:space="preserve">רא"ש </w:t>
      </w:r>
      <w:r w:rsidRPr="00937F59">
        <w:rPr>
          <w:rFonts w:asciiTheme="minorBidi" w:hAnsiTheme="minorBidi"/>
          <w:sz w:val="16"/>
          <w:szCs w:val="16"/>
          <w:rtl/>
        </w:rPr>
        <w:t>מהרי"ק נ</w:t>
      </w:r>
      <w:r w:rsidR="007A5348">
        <w:rPr>
          <w:rFonts w:asciiTheme="minorBidi" w:hAnsiTheme="minorBidi" w:hint="cs"/>
          <w:sz w:val="16"/>
          <w:szCs w:val="16"/>
          <w:rtl/>
        </w:rPr>
        <w:t>מוק</w:t>
      </w:r>
      <w:r w:rsidRPr="00937F59">
        <w:rPr>
          <w:rFonts w:asciiTheme="minorBidi" w:hAnsiTheme="minorBidi"/>
          <w:sz w:val="16"/>
          <w:szCs w:val="16"/>
          <w:rtl/>
        </w:rPr>
        <w:t xml:space="preserve">"י </w:t>
      </w:r>
      <w:r w:rsidR="007A5348">
        <w:rPr>
          <w:rFonts w:asciiTheme="minorBidi" w:hAnsiTheme="minorBidi" w:hint="cs"/>
          <w:sz w:val="16"/>
          <w:szCs w:val="16"/>
          <w:rtl/>
        </w:rPr>
        <w:t>ו</w:t>
      </w:r>
      <w:r w:rsidRPr="00937F59">
        <w:rPr>
          <w:rFonts w:asciiTheme="minorBidi" w:hAnsiTheme="minorBidi"/>
          <w:sz w:val="16"/>
          <w:szCs w:val="16"/>
          <w:rtl/>
        </w:rPr>
        <w:t>מהרי"ו)</w:t>
      </w:r>
      <w:r w:rsidRPr="00D52A51">
        <w:rPr>
          <w:rFonts w:asciiTheme="minorBidi" w:hAnsiTheme="minorBidi"/>
          <w:sz w:val="18"/>
          <w:szCs w:val="18"/>
          <w:rtl/>
        </w:rPr>
        <w:t>.</w:t>
      </w:r>
      <w:r w:rsidRPr="00576D5C">
        <w:rPr>
          <w:rFonts w:asciiTheme="minorBidi" w:hAnsiTheme="minorBidi"/>
          <w:rtl/>
        </w:rPr>
        <w:t xml:space="preserve"> ויש מי שאומר שאם תבעו בערכאות והוציא הוצאות בדיינים וטוענים, אף על פי שמתוך סרובו הוצרך להוליכו בערכאות, אינו חייב לשלם הוצאותיו. </w:t>
      </w:r>
      <w:r w:rsidRPr="00D52A51">
        <w:rPr>
          <w:rFonts w:asciiTheme="minorBidi" w:hAnsiTheme="minorBidi"/>
          <w:sz w:val="18"/>
          <w:szCs w:val="18"/>
          <w:rtl/>
        </w:rPr>
        <w:t>הגה: ויש חולקין וסבירא להו דאם הוצרך להוציא עליו הוצאות לכופו ע</w:t>
      </w:r>
      <w:r w:rsidR="009413A4">
        <w:rPr>
          <w:rFonts w:asciiTheme="minorBidi" w:hAnsiTheme="minorBidi" w:hint="cs"/>
          <w:sz w:val="18"/>
          <w:szCs w:val="18"/>
          <w:rtl/>
        </w:rPr>
        <w:t>"</w:t>
      </w:r>
      <w:r w:rsidRPr="00D52A51">
        <w:rPr>
          <w:rFonts w:asciiTheme="minorBidi" w:hAnsiTheme="minorBidi"/>
          <w:sz w:val="18"/>
          <w:szCs w:val="18"/>
          <w:rtl/>
        </w:rPr>
        <w:t xml:space="preserve">י ערכאות של </w:t>
      </w:r>
      <w:r w:rsidR="00937F59">
        <w:rPr>
          <w:rFonts w:asciiTheme="minorBidi" w:hAnsiTheme="minorBidi" w:hint="cs"/>
          <w:sz w:val="18"/>
          <w:szCs w:val="18"/>
          <w:rtl/>
        </w:rPr>
        <w:t>גוי</w:t>
      </w:r>
      <w:r w:rsidRPr="00D52A51">
        <w:rPr>
          <w:rFonts w:asciiTheme="minorBidi" w:hAnsiTheme="minorBidi"/>
          <w:sz w:val="18"/>
          <w:szCs w:val="18"/>
          <w:rtl/>
        </w:rPr>
        <w:t xml:space="preserve">ם, חייב לשלם לו </w:t>
      </w:r>
      <w:r w:rsidRPr="00937F59">
        <w:rPr>
          <w:rFonts w:asciiTheme="minorBidi" w:hAnsiTheme="minorBidi"/>
          <w:sz w:val="16"/>
          <w:szCs w:val="16"/>
          <w:rtl/>
        </w:rPr>
        <w:t>(רא"ש)</w:t>
      </w:r>
      <w:r w:rsidRPr="00D52A51">
        <w:rPr>
          <w:rFonts w:asciiTheme="minorBidi" w:hAnsiTheme="minorBidi"/>
          <w:sz w:val="18"/>
          <w:szCs w:val="18"/>
          <w:rtl/>
        </w:rPr>
        <w:t xml:space="preserve">, וכן נראה לי עיקר, ובלבד שעשאו ברשות ב"ד, כדלקמן סי' כ"ו. מי שאמר לחבירו שילכו לדון במקום אחר, ואמר לו: לך ואני אבוא אחריך, והלך, והשני לא הלך אחריו, צריך לשלם לזה שהלך כל יציאותיו </w:t>
      </w:r>
      <w:r w:rsidRPr="00937F59">
        <w:rPr>
          <w:rFonts w:asciiTheme="minorBidi" w:hAnsiTheme="minorBidi"/>
          <w:sz w:val="16"/>
          <w:szCs w:val="16"/>
          <w:rtl/>
        </w:rPr>
        <w:t>(מרדכי)</w:t>
      </w:r>
      <w:r w:rsidRPr="00D52A51">
        <w:rPr>
          <w:rFonts w:asciiTheme="minorBidi" w:hAnsiTheme="minorBidi"/>
          <w:sz w:val="18"/>
          <w:szCs w:val="18"/>
          <w:rtl/>
        </w:rPr>
        <w:t>. כשהסרבן צריך לשלם ההוצאות אין אומרים שישבע כמה הוציא ויטול</w:t>
      </w:r>
      <w:r w:rsidR="00152F23">
        <w:rPr>
          <w:rStyle w:val="ab"/>
          <w:rFonts w:asciiTheme="minorBidi" w:hAnsiTheme="minorBidi"/>
          <w:sz w:val="18"/>
          <w:szCs w:val="18"/>
          <w:rtl/>
        </w:rPr>
        <w:footnoteReference w:id="821"/>
      </w:r>
      <w:r w:rsidRPr="00D52A51">
        <w:rPr>
          <w:rFonts w:asciiTheme="minorBidi" w:hAnsiTheme="minorBidi"/>
          <w:sz w:val="18"/>
          <w:szCs w:val="18"/>
          <w:rtl/>
        </w:rPr>
        <w:t>, אלא צריך לברר כמה הוציא, או</w:t>
      </w:r>
      <w:r w:rsidR="009413A4">
        <w:rPr>
          <w:rStyle w:val="ab"/>
          <w:rFonts w:asciiTheme="minorBidi" w:hAnsiTheme="minorBidi"/>
          <w:sz w:val="18"/>
          <w:szCs w:val="18"/>
          <w:rtl/>
        </w:rPr>
        <w:footnoteReference w:id="822"/>
      </w:r>
      <w:r w:rsidRPr="00D52A51">
        <w:rPr>
          <w:rFonts w:asciiTheme="minorBidi" w:hAnsiTheme="minorBidi"/>
          <w:sz w:val="18"/>
          <w:szCs w:val="18"/>
          <w:rtl/>
        </w:rPr>
        <w:t xml:space="preserve"> הב"ד ישומו לו הוצאותיו וכזה ישלם לו </w:t>
      </w:r>
      <w:r w:rsidRPr="00937F59">
        <w:rPr>
          <w:rFonts w:asciiTheme="minorBidi" w:hAnsiTheme="minorBidi"/>
          <w:sz w:val="16"/>
          <w:szCs w:val="16"/>
          <w:rtl/>
        </w:rPr>
        <w:t>(רא"ש)</w:t>
      </w:r>
      <w:r w:rsidRPr="00D52A51">
        <w:rPr>
          <w:rFonts w:asciiTheme="minorBidi" w:hAnsiTheme="minorBidi"/>
          <w:sz w:val="18"/>
          <w:szCs w:val="18"/>
          <w:rtl/>
        </w:rPr>
        <w:t xml:space="preserve">. </w:t>
      </w:r>
      <w:r w:rsidR="007A5348">
        <w:rPr>
          <w:rFonts w:asciiTheme="minorBidi" w:hAnsiTheme="minorBidi" w:hint="cs"/>
          <w:rtl/>
        </w:rPr>
        <w:t xml:space="preserve"> </w:t>
      </w:r>
    </w:p>
    <w:p w14:paraId="4CAE8113" w14:textId="77777777" w:rsidR="00152F23" w:rsidRPr="00576D5C" w:rsidRDefault="00152F23" w:rsidP="00576D5C">
      <w:pPr>
        <w:rPr>
          <w:rFonts w:asciiTheme="minorBidi" w:hAnsiTheme="minorBidi"/>
          <w:rtl/>
        </w:rPr>
      </w:pPr>
    </w:p>
    <w:p w14:paraId="5D9A8B3F" w14:textId="77777777" w:rsidR="00D52A51" w:rsidRPr="00D52A51" w:rsidRDefault="00E137BC" w:rsidP="00937F59">
      <w:pPr>
        <w:pStyle w:val="2"/>
        <w:rPr>
          <w:rtl/>
        </w:rPr>
      </w:pPr>
      <w:bookmarkStart w:id="124" w:name="_Toc24883609"/>
      <w:r w:rsidRPr="00576D5C">
        <w:rPr>
          <w:rtl/>
        </w:rPr>
        <w:t>סעיף ו</w:t>
      </w:r>
      <w:r w:rsidR="00D52A51">
        <w:rPr>
          <w:rFonts w:hint="cs"/>
          <w:rtl/>
        </w:rPr>
        <w:t>:</w:t>
      </w:r>
      <w:r w:rsidR="00937F59" w:rsidRPr="00937F59">
        <w:rPr>
          <w:rFonts w:asciiTheme="minorBidi" w:hAnsiTheme="minorBidi"/>
          <w:rtl/>
        </w:rPr>
        <w:t xml:space="preserve"> </w:t>
      </w:r>
      <w:r w:rsidR="00937F59" w:rsidRPr="00576D5C">
        <w:rPr>
          <w:rFonts w:asciiTheme="minorBidi" w:hAnsiTheme="minorBidi"/>
          <w:rtl/>
        </w:rPr>
        <w:t>חייבוהו ב</w:t>
      </w:r>
      <w:r w:rsidR="00937F59">
        <w:rPr>
          <w:rFonts w:asciiTheme="minorBidi" w:hAnsiTheme="minorBidi" w:hint="cs"/>
          <w:rtl/>
        </w:rPr>
        <w:t xml:space="preserve">ית </w:t>
      </w:r>
      <w:r w:rsidR="00937F59" w:rsidRPr="00576D5C">
        <w:rPr>
          <w:rFonts w:asciiTheme="minorBidi" w:hAnsiTheme="minorBidi"/>
          <w:rtl/>
        </w:rPr>
        <w:t>ד</w:t>
      </w:r>
      <w:r w:rsidR="00937F59">
        <w:rPr>
          <w:rFonts w:asciiTheme="minorBidi" w:hAnsiTheme="minorBidi" w:hint="cs"/>
          <w:rtl/>
        </w:rPr>
        <w:t>ין</w:t>
      </w:r>
      <w:r w:rsidR="00937F59" w:rsidRPr="00576D5C">
        <w:rPr>
          <w:rFonts w:asciiTheme="minorBidi" w:hAnsiTheme="minorBidi"/>
          <w:rtl/>
        </w:rPr>
        <w:t xml:space="preserve"> לפרוע, ויצא וחזר ואמר: פרעתי, אם הוא נאמן</w:t>
      </w:r>
      <w:r w:rsidR="00937F59">
        <w:rPr>
          <w:rFonts w:hint="cs"/>
          <w:rtl/>
        </w:rPr>
        <w:t>.</w:t>
      </w:r>
      <w:bookmarkEnd w:id="124"/>
    </w:p>
    <w:p w14:paraId="0CDCC575" w14:textId="77777777" w:rsidR="00E137BC" w:rsidRPr="00576D5C" w:rsidRDefault="00E137BC" w:rsidP="00576D5C">
      <w:pPr>
        <w:rPr>
          <w:rFonts w:asciiTheme="minorBidi" w:hAnsiTheme="minorBidi"/>
          <w:b/>
          <w:bCs/>
          <w:color w:val="000000"/>
          <w:sz w:val="28"/>
          <w:szCs w:val="28"/>
          <w:u w:val="single"/>
          <w:rtl/>
        </w:rPr>
      </w:pPr>
      <w:r w:rsidRPr="00576D5C">
        <w:rPr>
          <w:rFonts w:asciiTheme="minorBidi" w:hAnsiTheme="minorBidi"/>
          <w:b/>
          <w:bCs/>
          <w:color w:val="000000"/>
          <w:sz w:val="28"/>
          <w:szCs w:val="28"/>
          <w:u w:val="single"/>
          <w:rtl/>
        </w:rPr>
        <w:t>שו"ע:</w:t>
      </w:r>
    </w:p>
    <w:p w14:paraId="0C8FDD9E" w14:textId="77777777" w:rsidR="00E137BC" w:rsidRDefault="00E137BC" w:rsidP="00576D5C">
      <w:pPr>
        <w:rPr>
          <w:rFonts w:asciiTheme="minorBidi" w:hAnsiTheme="minorBidi"/>
          <w:rtl/>
        </w:rPr>
      </w:pPr>
      <w:r w:rsidRPr="00576D5C">
        <w:rPr>
          <w:rFonts w:asciiTheme="minorBidi" w:hAnsiTheme="minorBidi"/>
          <w:rtl/>
        </w:rPr>
        <w:t>חייבוהו ב</w:t>
      </w:r>
      <w:r w:rsidR="00937F59">
        <w:rPr>
          <w:rFonts w:asciiTheme="minorBidi" w:hAnsiTheme="minorBidi" w:hint="cs"/>
          <w:rtl/>
        </w:rPr>
        <w:t xml:space="preserve">ית </w:t>
      </w:r>
      <w:r w:rsidRPr="00576D5C">
        <w:rPr>
          <w:rFonts w:asciiTheme="minorBidi" w:hAnsiTheme="minorBidi"/>
          <w:rtl/>
        </w:rPr>
        <w:t>ד</w:t>
      </w:r>
      <w:r w:rsidR="00937F59">
        <w:rPr>
          <w:rFonts w:asciiTheme="minorBidi" w:hAnsiTheme="minorBidi" w:hint="cs"/>
          <w:rtl/>
        </w:rPr>
        <w:t>ין</w:t>
      </w:r>
      <w:r w:rsidRPr="00576D5C">
        <w:rPr>
          <w:rFonts w:asciiTheme="minorBidi" w:hAnsiTheme="minorBidi"/>
          <w:rtl/>
        </w:rPr>
        <w:t xml:space="preserve"> לפרוע, ויצא וחזר ואמר: פרעתי, אם הוא נאמן, יתבאר בסימן ע"ט. </w:t>
      </w:r>
    </w:p>
    <w:p w14:paraId="0635AE26" w14:textId="77777777" w:rsidR="00D52A51" w:rsidRPr="00576D5C" w:rsidRDefault="00D52A51" w:rsidP="00576D5C">
      <w:pPr>
        <w:rPr>
          <w:rFonts w:asciiTheme="minorBidi" w:hAnsiTheme="minorBidi"/>
          <w:rtl/>
        </w:rPr>
      </w:pPr>
    </w:p>
    <w:p w14:paraId="5466A0AD" w14:textId="77777777" w:rsidR="00D52A51" w:rsidRPr="00D52A51" w:rsidRDefault="00E137BC" w:rsidP="00937F59">
      <w:pPr>
        <w:pStyle w:val="2"/>
        <w:rPr>
          <w:rtl/>
        </w:rPr>
      </w:pPr>
      <w:bookmarkStart w:id="125" w:name="_Toc24883610"/>
      <w:r w:rsidRPr="00576D5C">
        <w:rPr>
          <w:rtl/>
        </w:rPr>
        <w:t>סעיף ז</w:t>
      </w:r>
      <w:r w:rsidR="00D52A51">
        <w:rPr>
          <w:rFonts w:hint="cs"/>
          <w:rtl/>
        </w:rPr>
        <w:t>:</w:t>
      </w:r>
      <w:r w:rsidR="00937F59" w:rsidRPr="00937F59">
        <w:rPr>
          <w:rFonts w:asciiTheme="minorBidi" w:hAnsiTheme="minorBidi"/>
          <w:rtl/>
        </w:rPr>
        <w:t xml:space="preserve"> </w:t>
      </w:r>
      <w:r w:rsidR="00937F59" w:rsidRPr="00576D5C">
        <w:rPr>
          <w:rFonts w:asciiTheme="minorBidi" w:hAnsiTheme="minorBidi"/>
          <w:rtl/>
        </w:rPr>
        <w:t>בא הזוכה בדין לב</w:t>
      </w:r>
      <w:r w:rsidR="00937F59">
        <w:rPr>
          <w:rFonts w:asciiTheme="minorBidi" w:hAnsiTheme="minorBidi" w:hint="cs"/>
          <w:rtl/>
        </w:rPr>
        <w:t xml:space="preserve">ית </w:t>
      </w:r>
      <w:r w:rsidR="00937F59" w:rsidRPr="00576D5C">
        <w:rPr>
          <w:rFonts w:asciiTheme="minorBidi" w:hAnsiTheme="minorBidi"/>
          <w:rtl/>
        </w:rPr>
        <w:t>ד</w:t>
      </w:r>
      <w:r w:rsidR="00937F59">
        <w:rPr>
          <w:rFonts w:asciiTheme="minorBidi" w:hAnsiTheme="minorBidi" w:hint="cs"/>
          <w:rtl/>
        </w:rPr>
        <w:t>ין</w:t>
      </w:r>
      <w:r w:rsidR="00937F59" w:rsidRPr="00576D5C">
        <w:rPr>
          <w:rFonts w:asciiTheme="minorBidi" w:hAnsiTheme="minorBidi"/>
          <w:rtl/>
        </w:rPr>
        <w:t xml:space="preserve"> ותובע שיכתבו לו פסק דין</w:t>
      </w:r>
      <w:r w:rsidR="00937F59">
        <w:rPr>
          <w:rFonts w:hint="cs"/>
          <w:rtl/>
        </w:rPr>
        <w:t>.</w:t>
      </w:r>
      <w:bookmarkEnd w:id="125"/>
    </w:p>
    <w:p w14:paraId="002EE185" w14:textId="77777777" w:rsidR="00E137BC" w:rsidRPr="00576D5C" w:rsidRDefault="00E137BC" w:rsidP="00576D5C">
      <w:pPr>
        <w:rPr>
          <w:rFonts w:asciiTheme="minorBidi" w:hAnsiTheme="minorBidi"/>
          <w:b/>
          <w:bCs/>
          <w:color w:val="000000"/>
          <w:sz w:val="28"/>
          <w:szCs w:val="28"/>
          <w:u w:val="single"/>
          <w:rtl/>
        </w:rPr>
      </w:pPr>
      <w:r w:rsidRPr="00576D5C">
        <w:rPr>
          <w:rFonts w:asciiTheme="minorBidi" w:hAnsiTheme="minorBidi"/>
          <w:b/>
          <w:bCs/>
          <w:color w:val="000000"/>
          <w:sz w:val="28"/>
          <w:szCs w:val="28"/>
          <w:u w:val="single"/>
          <w:rtl/>
        </w:rPr>
        <w:t>שו"ע:</w:t>
      </w:r>
    </w:p>
    <w:p w14:paraId="218E6889" w14:textId="77777777" w:rsidR="00E137BC" w:rsidRDefault="00E137BC" w:rsidP="00576D5C">
      <w:pPr>
        <w:rPr>
          <w:rFonts w:asciiTheme="minorBidi" w:hAnsiTheme="minorBidi"/>
          <w:rtl/>
        </w:rPr>
      </w:pPr>
      <w:r w:rsidRPr="00576D5C">
        <w:rPr>
          <w:rFonts w:asciiTheme="minorBidi" w:hAnsiTheme="minorBidi"/>
          <w:rtl/>
        </w:rPr>
        <w:t>אם בא הזוכה בדין לב</w:t>
      </w:r>
      <w:r w:rsidR="00937F59">
        <w:rPr>
          <w:rFonts w:asciiTheme="minorBidi" w:hAnsiTheme="minorBidi" w:hint="cs"/>
          <w:rtl/>
        </w:rPr>
        <w:t xml:space="preserve">ית </w:t>
      </w:r>
      <w:r w:rsidRPr="00576D5C">
        <w:rPr>
          <w:rFonts w:asciiTheme="minorBidi" w:hAnsiTheme="minorBidi"/>
          <w:rtl/>
        </w:rPr>
        <w:t>ד</w:t>
      </w:r>
      <w:r w:rsidR="00937F59">
        <w:rPr>
          <w:rFonts w:asciiTheme="minorBidi" w:hAnsiTheme="minorBidi" w:hint="cs"/>
          <w:rtl/>
        </w:rPr>
        <w:t>ין</w:t>
      </w:r>
      <w:r w:rsidRPr="00576D5C">
        <w:rPr>
          <w:rFonts w:asciiTheme="minorBidi" w:hAnsiTheme="minorBidi"/>
          <w:rtl/>
        </w:rPr>
        <w:t xml:space="preserve"> ותובע שיכתבו לו פסק דין, אם כותבין ונותנין לו, ג</w:t>
      </w:r>
      <w:r w:rsidR="00937F59">
        <w:rPr>
          <w:rFonts w:asciiTheme="minorBidi" w:hAnsiTheme="minorBidi" w:hint="cs"/>
          <w:rtl/>
        </w:rPr>
        <w:t xml:space="preserve">ם </w:t>
      </w:r>
      <w:r w:rsidRPr="00576D5C">
        <w:rPr>
          <w:rFonts w:asciiTheme="minorBidi" w:hAnsiTheme="minorBidi"/>
          <w:rtl/>
        </w:rPr>
        <w:t>ז</w:t>
      </w:r>
      <w:r w:rsidR="00937F59">
        <w:rPr>
          <w:rFonts w:asciiTheme="minorBidi" w:hAnsiTheme="minorBidi" w:hint="cs"/>
          <w:rtl/>
        </w:rPr>
        <w:t>ה</w:t>
      </w:r>
      <w:r w:rsidRPr="00576D5C">
        <w:rPr>
          <w:rFonts w:asciiTheme="minorBidi" w:hAnsiTheme="minorBidi"/>
          <w:rtl/>
        </w:rPr>
        <w:t xml:space="preserve"> שם. </w:t>
      </w:r>
    </w:p>
    <w:p w14:paraId="6F4D129B" w14:textId="77777777" w:rsidR="00D52A51" w:rsidRPr="00576D5C" w:rsidRDefault="00D52A51" w:rsidP="00576D5C">
      <w:pPr>
        <w:rPr>
          <w:rFonts w:asciiTheme="minorBidi" w:hAnsiTheme="minorBidi"/>
          <w:rtl/>
        </w:rPr>
      </w:pPr>
    </w:p>
    <w:p w14:paraId="7ACFAD6E" w14:textId="77777777" w:rsidR="00D52A51" w:rsidRPr="00D52A51" w:rsidRDefault="00E137BC" w:rsidP="00937F59">
      <w:pPr>
        <w:pStyle w:val="2"/>
        <w:rPr>
          <w:rtl/>
        </w:rPr>
      </w:pPr>
      <w:bookmarkStart w:id="126" w:name="_Toc24883611"/>
      <w:r w:rsidRPr="00576D5C">
        <w:rPr>
          <w:rtl/>
        </w:rPr>
        <w:t>סעיף ח</w:t>
      </w:r>
      <w:r w:rsidR="00D52A51">
        <w:rPr>
          <w:rFonts w:hint="cs"/>
          <w:rtl/>
        </w:rPr>
        <w:t>:</w:t>
      </w:r>
      <w:r w:rsidR="00937F59" w:rsidRPr="00937F59">
        <w:rPr>
          <w:rFonts w:asciiTheme="minorBidi" w:hAnsiTheme="minorBidi"/>
          <w:rtl/>
        </w:rPr>
        <w:t xml:space="preserve"> </w:t>
      </w:r>
      <w:r w:rsidR="00937F59" w:rsidRPr="00576D5C">
        <w:rPr>
          <w:rFonts w:asciiTheme="minorBidi" w:hAnsiTheme="minorBidi"/>
          <w:rtl/>
        </w:rPr>
        <w:t>יש בידו פסק דין שחבירו חייב לו, אם הלה נאמן לומר פרעתי</w:t>
      </w:r>
      <w:r w:rsidR="00937F59">
        <w:rPr>
          <w:rFonts w:hint="cs"/>
          <w:rtl/>
        </w:rPr>
        <w:t>.</w:t>
      </w:r>
      <w:bookmarkEnd w:id="126"/>
    </w:p>
    <w:p w14:paraId="0C3D4F2C" w14:textId="77777777" w:rsidR="00E137BC" w:rsidRPr="00576D5C" w:rsidRDefault="00E137BC" w:rsidP="00576D5C">
      <w:pPr>
        <w:rPr>
          <w:rFonts w:asciiTheme="minorBidi" w:hAnsiTheme="minorBidi"/>
          <w:b/>
          <w:bCs/>
          <w:color w:val="000000"/>
          <w:sz w:val="28"/>
          <w:szCs w:val="28"/>
          <w:u w:val="single"/>
          <w:rtl/>
        </w:rPr>
      </w:pPr>
      <w:r w:rsidRPr="00576D5C">
        <w:rPr>
          <w:rFonts w:asciiTheme="minorBidi" w:hAnsiTheme="minorBidi"/>
          <w:b/>
          <w:bCs/>
          <w:color w:val="000000"/>
          <w:sz w:val="28"/>
          <w:szCs w:val="28"/>
          <w:u w:val="single"/>
          <w:rtl/>
        </w:rPr>
        <w:t>שו"ע:</w:t>
      </w:r>
    </w:p>
    <w:p w14:paraId="2713085A" w14:textId="77777777" w:rsidR="00E137BC" w:rsidRPr="00576D5C" w:rsidRDefault="00E137BC" w:rsidP="00576D5C">
      <w:pPr>
        <w:rPr>
          <w:rFonts w:asciiTheme="minorBidi" w:hAnsiTheme="minorBidi"/>
          <w:rtl/>
        </w:rPr>
      </w:pPr>
      <w:r w:rsidRPr="00576D5C">
        <w:rPr>
          <w:rFonts w:asciiTheme="minorBidi" w:hAnsiTheme="minorBidi"/>
          <w:rtl/>
        </w:rPr>
        <w:t>יש בידו פסק דין שחבירו חייב לו, אם הלה נאמן לומר פרעתי</w:t>
      </w:r>
      <w:r w:rsidR="00937F59">
        <w:rPr>
          <w:rFonts w:asciiTheme="minorBidi" w:hAnsiTheme="minorBidi" w:hint="cs"/>
          <w:rtl/>
        </w:rPr>
        <w:t>,</w:t>
      </w:r>
      <w:r w:rsidRPr="00576D5C">
        <w:rPr>
          <w:rFonts w:asciiTheme="minorBidi" w:hAnsiTheme="minorBidi"/>
          <w:rtl/>
        </w:rPr>
        <w:t xml:space="preserve"> בסימן ל"ט סעיף י'.</w:t>
      </w:r>
    </w:p>
    <w:p w14:paraId="20343578" w14:textId="77777777" w:rsidR="00E137BC" w:rsidRDefault="00E137BC" w:rsidP="00576D5C">
      <w:pPr>
        <w:rPr>
          <w:rFonts w:asciiTheme="minorBidi" w:hAnsiTheme="minorBidi"/>
          <w:rtl/>
        </w:rPr>
      </w:pPr>
    </w:p>
    <w:p w14:paraId="0DF40F18" w14:textId="77777777" w:rsidR="00D52A51" w:rsidRPr="00576D5C" w:rsidRDefault="00D52A51" w:rsidP="00576D5C">
      <w:pPr>
        <w:rPr>
          <w:rFonts w:asciiTheme="minorBidi" w:hAnsiTheme="minorBidi"/>
          <w:rtl/>
        </w:rPr>
        <w:sectPr w:rsidR="00D52A51" w:rsidRPr="00576D5C" w:rsidSect="00AF3AF9">
          <w:headerReference w:type="default" r:id="rId24"/>
          <w:footnotePr>
            <w:numRestart w:val="eachPage"/>
          </w:footnotePr>
          <w:pgSz w:w="11906" w:h="16838"/>
          <w:pgMar w:top="720" w:right="1134" w:bottom="720" w:left="1134" w:header="0" w:footer="0" w:gutter="0"/>
          <w:cols w:space="720"/>
          <w:bidi/>
          <w:rtlGutter/>
          <w:docGrid w:linePitch="360"/>
        </w:sectPr>
      </w:pPr>
    </w:p>
    <w:p w14:paraId="66F3BEAB" w14:textId="77777777" w:rsidR="00E137BC" w:rsidRPr="00576D5C" w:rsidRDefault="00E137BC" w:rsidP="006567B0">
      <w:pPr>
        <w:pStyle w:val="1"/>
        <w:rPr>
          <w:rtl/>
        </w:rPr>
      </w:pPr>
      <w:bookmarkStart w:id="127" w:name="_Toc24883612"/>
      <w:r w:rsidRPr="00576D5C">
        <w:rPr>
          <w:rtl/>
        </w:rPr>
        <w:lastRenderedPageBreak/>
        <w:t>סימן טו: איזה דין דנין תחלה ודין דין מרומה, ובו ה' סעיפים.</w:t>
      </w:r>
      <w:bookmarkEnd w:id="127"/>
      <w:r w:rsidRPr="00576D5C">
        <w:rPr>
          <w:rtl/>
        </w:rPr>
        <w:t xml:space="preserve"> </w:t>
      </w:r>
    </w:p>
    <w:p w14:paraId="2FE693BE" w14:textId="77777777" w:rsidR="00E137BC" w:rsidRDefault="00E137BC" w:rsidP="006567B0">
      <w:pPr>
        <w:pStyle w:val="2"/>
        <w:rPr>
          <w:rtl/>
        </w:rPr>
      </w:pPr>
      <w:bookmarkStart w:id="128" w:name="_Toc24883613"/>
      <w:r w:rsidRPr="00576D5C">
        <w:rPr>
          <w:rtl/>
        </w:rPr>
        <w:t>סעיף א</w:t>
      </w:r>
      <w:r w:rsidR="00D52A51">
        <w:rPr>
          <w:rFonts w:hint="cs"/>
          <w:rtl/>
        </w:rPr>
        <w:t>:</w:t>
      </w:r>
      <w:r w:rsidR="00B82919">
        <w:rPr>
          <w:rFonts w:hint="cs"/>
          <w:rtl/>
        </w:rPr>
        <w:t xml:space="preserve"> הקדמת דין ת"ח והיפוך בזכותו.</w:t>
      </w:r>
      <w:bookmarkEnd w:id="128"/>
    </w:p>
    <w:p w14:paraId="3BBEAFE6" w14:textId="77777777" w:rsidR="0000353D" w:rsidRDefault="0000353D" w:rsidP="0000353D">
      <w:pPr>
        <w:rPr>
          <w:rFonts w:cs="Arial"/>
          <w:rtl/>
        </w:rPr>
      </w:pPr>
      <w:r w:rsidRPr="0000353D">
        <w:rPr>
          <w:rFonts w:cs="Arial"/>
          <w:b/>
          <w:bCs/>
          <w:rtl/>
        </w:rPr>
        <w:t xml:space="preserve">סנהדרין </w:t>
      </w:r>
      <w:r w:rsidRPr="0000353D">
        <w:rPr>
          <w:rFonts w:cs="Arial"/>
          <w:b/>
          <w:bCs/>
          <w:sz w:val="16"/>
          <w:szCs w:val="16"/>
          <w:rtl/>
        </w:rPr>
        <w:t>(פ</w:t>
      </w:r>
      <w:r w:rsidRPr="0000353D">
        <w:rPr>
          <w:rFonts w:cs="Arial" w:hint="cs"/>
          <w:b/>
          <w:bCs/>
          <w:sz w:val="16"/>
          <w:szCs w:val="16"/>
          <w:rtl/>
        </w:rPr>
        <w:t>"</w:t>
      </w:r>
      <w:r w:rsidRPr="0000353D">
        <w:rPr>
          <w:rFonts w:cs="Arial"/>
          <w:b/>
          <w:bCs/>
          <w:sz w:val="16"/>
          <w:szCs w:val="16"/>
          <w:rtl/>
        </w:rPr>
        <w:t>ק</w:t>
      </w:r>
      <w:r w:rsidRPr="0000353D">
        <w:rPr>
          <w:rFonts w:cs="Arial" w:hint="cs"/>
          <w:b/>
          <w:bCs/>
          <w:sz w:val="16"/>
          <w:szCs w:val="16"/>
          <w:rtl/>
        </w:rPr>
        <w:t>)</w:t>
      </w:r>
      <w:r w:rsidRPr="0000353D">
        <w:rPr>
          <w:rFonts w:cs="Arial"/>
          <w:b/>
          <w:bCs/>
          <w:sz w:val="16"/>
          <w:szCs w:val="16"/>
          <w:rtl/>
        </w:rPr>
        <w:t xml:space="preserve"> </w:t>
      </w:r>
      <w:r w:rsidRPr="0000353D">
        <w:rPr>
          <w:rFonts w:cs="Arial"/>
          <w:b/>
          <w:bCs/>
          <w:rtl/>
        </w:rPr>
        <w:t>ח</w:t>
      </w:r>
      <w:r w:rsidR="007C57A2">
        <w:rPr>
          <w:rStyle w:val="ab"/>
          <w:rFonts w:cs="Arial"/>
          <w:b/>
          <w:bCs/>
          <w:rtl/>
        </w:rPr>
        <w:footnoteReference w:id="823"/>
      </w:r>
      <w:r w:rsidRPr="0000353D">
        <w:rPr>
          <w:rFonts w:cs="Arial" w:hint="cs"/>
          <w:b/>
          <w:bCs/>
          <w:rtl/>
        </w:rPr>
        <w:t xml:space="preserve"> ע"א:</w:t>
      </w:r>
      <w:r w:rsidRPr="0000353D">
        <w:rPr>
          <w:rFonts w:cs="Arial"/>
          <w:b/>
          <w:bCs/>
          <w:rtl/>
        </w:rPr>
        <w:t xml:space="preserve"> </w:t>
      </w:r>
      <w:r w:rsidRPr="0000353D">
        <w:rPr>
          <w:rFonts w:cs="Arial"/>
          <w:rtl/>
        </w:rPr>
        <w:t xml:space="preserve">כקטן כגדל תשמעון. </w:t>
      </w:r>
      <w:r w:rsidRPr="0000353D">
        <w:rPr>
          <w:rFonts w:cs="Arial"/>
          <w:u w:val="single"/>
          <w:rtl/>
        </w:rPr>
        <w:t>אמר ריש לקיש</w:t>
      </w:r>
      <w:r w:rsidRPr="0000353D">
        <w:rPr>
          <w:rFonts w:cs="Arial"/>
          <w:rtl/>
        </w:rPr>
        <w:t xml:space="preserve">: שיהא חביב עליך דין של פרוטה, כדין של מאה מנה. למאי הלכתא: אילימא לעיוני ביה ומיפסקיה </w:t>
      </w:r>
      <w:r w:rsidR="00FA14C5">
        <w:rPr>
          <w:rFonts w:cs="Arial"/>
          <w:rtl/>
        </w:rPr>
        <w:t>–</w:t>
      </w:r>
      <w:r w:rsidRPr="0000353D">
        <w:rPr>
          <w:rFonts w:cs="Arial"/>
          <w:rtl/>
        </w:rPr>
        <w:t xml:space="preserve"> פשיטא</w:t>
      </w:r>
      <w:r w:rsidR="00FA14C5">
        <w:rPr>
          <w:rFonts w:cs="Arial" w:hint="cs"/>
          <w:rtl/>
        </w:rPr>
        <w:t>.</w:t>
      </w:r>
      <w:r w:rsidRPr="0000353D">
        <w:rPr>
          <w:rFonts w:cs="Arial"/>
          <w:rtl/>
        </w:rPr>
        <w:t xml:space="preserve"> אלא לאקדומיה</w:t>
      </w:r>
      <w:r>
        <w:rPr>
          <w:rStyle w:val="ab"/>
          <w:rFonts w:cs="Arial"/>
          <w:rtl/>
        </w:rPr>
        <w:footnoteReference w:id="824"/>
      </w:r>
      <w:r w:rsidRPr="0000353D">
        <w:rPr>
          <w:rFonts w:cs="Arial"/>
          <w:rtl/>
        </w:rPr>
        <w:t xml:space="preserve">. </w:t>
      </w:r>
    </w:p>
    <w:p w14:paraId="1D6ED629" w14:textId="77777777" w:rsidR="0026553A" w:rsidRDefault="0026553A" w:rsidP="0026553A">
      <w:pPr>
        <w:rPr>
          <w:rFonts w:cs="Arial"/>
          <w:rtl/>
        </w:rPr>
      </w:pPr>
      <w:r w:rsidRPr="00C53C62">
        <w:rPr>
          <w:rFonts w:cs="Arial"/>
          <w:b/>
          <w:bCs/>
          <w:rtl/>
        </w:rPr>
        <w:t xml:space="preserve">כתובות </w:t>
      </w:r>
      <w:r w:rsidRPr="00C53C62">
        <w:rPr>
          <w:rFonts w:cs="Arial" w:hint="cs"/>
          <w:b/>
          <w:bCs/>
          <w:sz w:val="16"/>
          <w:szCs w:val="16"/>
          <w:rtl/>
        </w:rPr>
        <w:t>(</w:t>
      </w:r>
      <w:r w:rsidRPr="00C53C62">
        <w:rPr>
          <w:rFonts w:cs="Arial"/>
          <w:b/>
          <w:bCs/>
          <w:sz w:val="16"/>
          <w:szCs w:val="16"/>
          <w:rtl/>
        </w:rPr>
        <w:t>פרק שני דייני גזרות</w:t>
      </w:r>
      <w:r w:rsidRPr="00C53C62">
        <w:rPr>
          <w:rFonts w:cs="Arial" w:hint="cs"/>
          <w:b/>
          <w:bCs/>
          <w:sz w:val="16"/>
          <w:szCs w:val="16"/>
          <w:rtl/>
        </w:rPr>
        <w:t>)</w:t>
      </w:r>
      <w:r w:rsidRPr="00C53C62">
        <w:rPr>
          <w:rFonts w:cs="Arial"/>
          <w:b/>
          <w:bCs/>
          <w:sz w:val="16"/>
          <w:szCs w:val="16"/>
          <w:rtl/>
        </w:rPr>
        <w:t xml:space="preserve"> </w:t>
      </w:r>
      <w:r w:rsidRPr="00C53C62">
        <w:rPr>
          <w:rFonts w:cs="Arial"/>
          <w:b/>
          <w:bCs/>
          <w:rtl/>
        </w:rPr>
        <w:t>קה</w:t>
      </w:r>
      <w:r>
        <w:rPr>
          <w:rStyle w:val="ab"/>
          <w:rFonts w:cs="Arial"/>
          <w:b/>
          <w:bCs/>
          <w:rtl/>
        </w:rPr>
        <w:footnoteReference w:id="825"/>
      </w:r>
      <w:r w:rsidRPr="00C53C62">
        <w:rPr>
          <w:rFonts w:cs="Arial" w:hint="cs"/>
          <w:b/>
          <w:bCs/>
          <w:rtl/>
        </w:rPr>
        <w:t xml:space="preserve"> ע"ב:</w:t>
      </w:r>
      <w:r>
        <w:rPr>
          <w:rFonts w:cs="Arial"/>
          <w:rtl/>
        </w:rPr>
        <w:t xml:space="preserve"> </w:t>
      </w:r>
      <w:r w:rsidRPr="00173817">
        <w:rPr>
          <w:rFonts w:cs="Arial"/>
          <w:u w:val="single"/>
          <w:rtl/>
        </w:rPr>
        <w:t>רב ענן</w:t>
      </w:r>
      <w:r w:rsidRPr="00C53C62">
        <w:rPr>
          <w:rFonts w:cs="Arial"/>
          <w:rtl/>
        </w:rPr>
        <w:t xml:space="preserve"> אייתי ליה ההוא גברא כנתא דגילדני דבי גילי</w:t>
      </w:r>
      <w:r>
        <w:rPr>
          <w:rStyle w:val="ab"/>
          <w:rFonts w:cs="Arial"/>
          <w:rtl/>
        </w:rPr>
        <w:footnoteReference w:id="826"/>
      </w:r>
      <w:r w:rsidRPr="00C53C62">
        <w:rPr>
          <w:rFonts w:cs="Arial"/>
          <w:rtl/>
        </w:rPr>
        <w:t xml:space="preserve">, א"ל: מאי עבידתיך? א"ל: דינא אית לי, לא קביל מיניה, א"ל: פסילנא לך לדינא. אמר ליה: דינא דמר לא בעינא, קבולי לקביל מר, דלא למנען מר מאקרובי בכורים, דתניא: ואיש בא מבעל שלישה ויבא לאיש האלהים לחם בכורים עשרים לחם שעורים וכרמל בצקלונו - וכי אלישע אוכל בכורים הוה? אלא לומר לך: כל המביא דורון לתלמיד חכם - כאילו מקריב בכורים. אמר ליה: קבולי לא בעינן דאיקביל, השתא דאמרת לי טעמא מקבילנא. שדריה לקמיה דרב נחמן, שלח ליה: נידייניה מר להאי גברא, דאנא ענן פסילנא ליה לדינא. אמר: מדשלח לי הכי, שמע מינה קריביה הוא. הוה קאים דינא דיתמי קמיה, אמר: </w:t>
      </w:r>
      <w:r>
        <w:rPr>
          <w:rFonts w:cs="Arial" w:hint="cs"/>
          <w:sz w:val="14"/>
          <w:szCs w:val="14"/>
          <w:rtl/>
        </w:rPr>
        <w:t xml:space="preserve">(קו.) </w:t>
      </w:r>
      <w:r w:rsidRPr="00C53C62">
        <w:rPr>
          <w:rFonts w:cs="Arial"/>
          <w:rtl/>
        </w:rPr>
        <w:t>האי עשה והאי עשה</w:t>
      </w:r>
      <w:r>
        <w:rPr>
          <w:rStyle w:val="ab"/>
          <w:rFonts w:cs="Arial"/>
          <w:rtl/>
        </w:rPr>
        <w:footnoteReference w:id="827"/>
      </w:r>
      <w:r w:rsidRPr="00C53C62">
        <w:rPr>
          <w:rFonts w:cs="Arial"/>
          <w:rtl/>
        </w:rPr>
        <w:t>, עשה דכבוד תורה</w:t>
      </w:r>
      <w:r>
        <w:rPr>
          <w:rStyle w:val="ab"/>
          <w:rFonts w:cs="Arial"/>
          <w:rtl/>
        </w:rPr>
        <w:footnoteReference w:id="828"/>
      </w:r>
      <w:r w:rsidRPr="00C53C62">
        <w:rPr>
          <w:rFonts w:cs="Arial"/>
          <w:rtl/>
        </w:rPr>
        <w:t xml:space="preserve"> עדיף, סלקיה לדינא דיתמי ואחתיה לדיניה. כיון דחזא בעל דיניה יקרא דקא עביד ליה, איסתתם טענתיה</w:t>
      </w:r>
      <w:r>
        <w:rPr>
          <w:rFonts w:cs="Arial" w:hint="cs"/>
          <w:rtl/>
        </w:rPr>
        <w:t xml:space="preserve">. </w:t>
      </w:r>
      <w:r w:rsidRPr="00BB12C2">
        <w:rPr>
          <w:rFonts w:cs="Arial"/>
          <w:rtl/>
        </w:rPr>
        <w:t>רב ענן, הוה רגיל אליהו דאתי גביה, דהוה מתני ליה סדר דאליהו, כיון דעבד הכי איסתלק. יתיב בתעניתא ובעא רחמי ואתא. כי אתא הוה מבעית ליה בעותי, ועבד תיבותא ויתיב קמיה, עד דאפיק ליה סידריה. והיינו דאמרי: סדר דאליהו רבה, סדר אליהו זוטא</w:t>
      </w:r>
      <w:r w:rsidRPr="00C53C62">
        <w:rPr>
          <w:rFonts w:cs="Arial"/>
          <w:rtl/>
        </w:rPr>
        <w:t>.</w:t>
      </w:r>
    </w:p>
    <w:p w14:paraId="401AA0EF" w14:textId="77777777" w:rsidR="00C53C62" w:rsidRDefault="00FA14C5" w:rsidP="00114B4F">
      <w:pPr>
        <w:rPr>
          <w:rFonts w:cs="Arial"/>
          <w:rtl/>
        </w:rPr>
      </w:pPr>
      <w:r w:rsidRPr="00FA14C5">
        <w:rPr>
          <w:rFonts w:cs="Arial" w:hint="cs"/>
          <w:b/>
          <w:bCs/>
          <w:rtl/>
        </w:rPr>
        <w:t xml:space="preserve">שבועות </w:t>
      </w:r>
      <w:r w:rsidRPr="00FA14C5">
        <w:rPr>
          <w:rFonts w:cs="Arial" w:hint="cs"/>
          <w:b/>
          <w:bCs/>
          <w:sz w:val="16"/>
          <w:szCs w:val="16"/>
          <w:rtl/>
        </w:rPr>
        <w:t>(</w:t>
      </w:r>
      <w:r w:rsidRPr="00FA14C5">
        <w:rPr>
          <w:rFonts w:cs="Arial"/>
          <w:b/>
          <w:bCs/>
          <w:sz w:val="16"/>
          <w:szCs w:val="16"/>
          <w:rtl/>
        </w:rPr>
        <w:t>ר</w:t>
      </w:r>
      <w:r w:rsidRPr="00FA14C5">
        <w:rPr>
          <w:rFonts w:cs="Arial" w:hint="cs"/>
          <w:b/>
          <w:bCs/>
          <w:sz w:val="16"/>
          <w:szCs w:val="16"/>
          <w:rtl/>
        </w:rPr>
        <w:t>"</w:t>
      </w:r>
      <w:r w:rsidRPr="00FA14C5">
        <w:rPr>
          <w:rFonts w:cs="Arial"/>
          <w:b/>
          <w:bCs/>
          <w:sz w:val="16"/>
          <w:szCs w:val="16"/>
          <w:rtl/>
        </w:rPr>
        <w:t>פ שבועת העדות</w:t>
      </w:r>
      <w:r w:rsidRPr="00FA14C5">
        <w:rPr>
          <w:rFonts w:cs="Arial" w:hint="cs"/>
          <w:b/>
          <w:bCs/>
          <w:sz w:val="16"/>
          <w:szCs w:val="16"/>
          <w:rtl/>
        </w:rPr>
        <w:t>)</w:t>
      </w:r>
      <w:r w:rsidRPr="00FA14C5">
        <w:rPr>
          <w:rFonts w:cs="Arial"/>
          <w:b/>
          <w:bCs/>
          <w:rtl/>
        </w:rPr>
        <w:t xml:space="preserve"> ל</w:t>
      </w:r>
      <w:r w:rsidR="007C57A2">
        <w:rPr>
          <w:rStyle w:val="ab"/>
          <w:rFonts w:cs="Arial"/>
          <w:b/>
          <w:bCs/>
          <w:rtl/>
        </w:rPr>
        <w:footnoteReference w:id="829"/>
      </w:r>
      <w:r w:rsidRPr="00FA14C5">
        <w:rPr>
          <w:rFonts w:cs="Arial" w:hint="cs"/>
          <w:b/>
          <w:bCs/>
          <w:rtl/>
        </w:rPr>
        <w:t xml:space="preserve"> ע"א:</w:t>
      </w:r>
      <w:r>
        <w:rPr>
          <w:rFonts w:cs="Arial"/>
          <w:rtl/>
        </w:rPr>
        <w:t xml:space="preserve"> </w:t>
      </w:r>
      <w:r w:rsidRPr="007C57A2">
        <w:rPr>
          <w:rFonts w:cs="Arial"/>
          <w:u w:val="single"/>
          <w:rtl/>
        </w:rPr>
        <w:t>רב עולא בריה דרב עילאי</w:t>
      </w:r>
      <w:r w:rsidRPr="00FA14C5">
        <w:rPr>
          <w:rFonts w:cs="Arial"/>
          <w:rtl/>
        </w:rPr>
        <w:t xml:space="preserve"> הוה ליה דינא קמיה דרב נחמן, </w:t>
      </w:r>
      <w:r w:rsidRPr="007C57A2">
        <w:rPr>
          <w:rFonts w:cs="Arial"/>
          <w:u w:val="single"/>
          <w:rtl/>
        </w:rPr>
        <w:t>שלח ליה רב יוסף</w:t>
      </w:r>
      <w:r w:rsidR="00B82919">
        <w:rPr>
          <w:rStyle w:val="ab"/>
          <w:rFonts w:cs="Arial"/>
          <w:rtl/>
        </w:rPr>
        <w:footnoteReference w:id="830"/>
      </w:r>
      <w:r w:rsidRPr="00FA14C5">
        <w:rPr>
          <w:rFonts w:cs="Arial"/>
          <w:rtl/>
        </w:rPr>
        <w:t xml:space="preserve">: עולא חברנו, עמית בתורה ובמצות. </w:t>
      </w:r>
      <w:r w:rsidRPr="007C57A2">
        <w:rPr>
          <w:rFonts w:cs="Arial"/>
          <w:u w:val="single"/>
          <w:rtl/>
        </w:rPr>
        <w:t>אמר</w:t>
      </w:r>
      <w:r w:rsidRPr="00FA14C5">
        <w:rPr>
          <w:rFonts w:cs="Arial"/>
          <w:rtl/>
        </w:rPr>
        <w:t>: למאי שלח לי? לחנופי ליה? הדר אמר: למישרא בתיגריה</w:t>
      </w:r>
      <w:r>
        <w:rPr>
          <w:rStyle w:val="ab"/>
          <w:rFonts w:cs="Arial"/>
          <w:rtl/>
        </w:rPr>
        <w:footnoteReference w:id="831"/>
      </w:r>
      <w:r>
        <w:rPr>
          <w:rFonts w:cs="Arial" w:hint="cs"/>
          <w:rtl/>
        </w:rPr>
        <w:t>.</w:t>
      </w:r>
      <w:r w:rsidR="00114B4F">
        <w:rPr>
          <w:rFonts w:cs="Arial" w:hint="cs"/>
          <w:rtl/>
        </w:rPr>
        <w:t xml:space="preserve"> </w:t>
      </w:r>
      <w:r w:rsidR="00114B4F" w:rsidRPr="00114B4F">
        <w:rPr>
          <w:rFonts w:cs="Arial" w:hint="cs"/>
          <w:sz w:val="16"/>
          <w:szCs w:val="16"/>
          <w:rtl/>
        </w:rPr>
        <w:t>(</w:t>
      </w:r>
      <w:r w:rsidR="0000353D" w:rsidRPr="00114B4F">
        <w:rPr>
          <w:rFonts w:cs="Arial"/>
          <w:sz w:val="16"/>
          <w:szCs w:val="16"/>
          <w:rtl/>
        </w:rPr>
        <w:t>וכתבו התוס</w:t>
      </w:r>
      <w:r w:rsidR="00114B4F">
        <w:rPr>
          <w:rFonts w:cs="Arial" w:hint="cs"/>
          <w:sz w:val="16"/>
          <w:szCs w:val="16"/>
          <w:rtl/>
        </w:rPr>
        <w:t>'</w:t>
      </w:r>
      <w:r w:rsidR="0000353D" w:rsidRPr="00114B4F">
        <w:rPr>
          <w:rFonts w:cs="Arial"/>
          <w:sz w:val="16"/>
          <w:szCs w:val="16"/>
          <w:rtl/>
        </w:rPr>
        <w:t xml:space="preserve"> (ד"ה למישרי) והרא"ש (סי' ד) היינו כשבאים שניהם כאחד</w:t>
      </w:r>
      <w:r w:rsidR="00B82919">
        <w:rPr>
          <w:rFonts w:cs="Arial" w:hint="cs"/>
          <w:sz w:val="16"/>
          <w:szCs w:val="16"/>
          <w:rtl/>
        </w:rPr>
        <w:t>,</w:t>
      </w:r>
      <w:r w:rsidR="0000353D" w:rsidRPr="00114B4F">
        <w:rPr>
          <w:rFonts w:cs="Arial"/>
          <w:sz w:val="16"/>
          <w:szCs w:val="16"/>
          <w:rtl/>
        </w:rPr>
        <w:t xml:space="preserve"> דאם בא אחד תחלה צריך</w:t>
      </w:r>
      <w:r w:rsidR="00C53C62" w:rsidRPr="00114B4F">
        <w:rPr>
          <w:rFonts w:cs="Arial" w:hint="cs"/>
          <w:sz w:val="16"/>
          <w:szCs w:val="16"/>
          <w:rtl/>
        </w:rPr>
        <w:t xml:space="preserve"> </w:t>
      </w:r>
      <w:r w:rsidR="0000353D" w:rsidRPr="00114B4F">
        <w:rPr>
          <w:rFonts w:cs="Arial"/>
          <w:sz w:val="16"/>
          <w:szCs w:val="16"/>
          <w:rtl/>
        </w:rPr>
        <w:t>להקדימו</w:t>
      </w:r>
      <w:r w:rsidR="0013793E">
        <w:rPr>
          <w:rFonts w:cs="Arial" w:hint="cs"/>
          <w:sz w:val="16"/>
          <w:szCs w:val="16"/>
          <w:rtl/>
        </w:rPr>
        <w:t>.</w:t>
      </w:r>
      <w:r w:rsidR="0000353D" w:rsidRPr="00114B4F">
        <w:rPr>
          <w:rFonts w:cs="Arial"/>
          <w:sz w:val="16"/>
          <w:szCs w:val="16"/>
          <w:rtl/>
        </w:rPr>
        <w:t xml:space="preserve"> אי נמי עשה דכבוד התורה עדיף. ורבינו </w:t>
      </w:r>
      <w:r w:rsidR="0013793E">
        <w:rPr>
          <w:rFonts w:cs="Arial" w:hint="cs"/>
          <w:sz w:val="14"/>
          <w:szCs w:val="14"/>
          <w:rtl/>
        </w:rPr>
        <w:t xml:space="preserve">{הטור} </w:t>
      </w:r>
      <w:r w:rsidR="0000353D" w:rsidRPr="00114B4F">
        <w:rPr>
          <w:rFonts w:cs="Arial"/>
          <w:sz w:val="16"/>
          <w:szCs w:val="16"/>
          <w:rtl/>
        </w:rPr>
        <w:t>כתב כתירוצא בתרא</w:t>
      </w:r>
      <w:r w:rsidR="00B82919">
        <w:rPr>
          <w:rFonts w:cs="Arial" w:hint="cs"/>
          <w:sz w:val="16"/>
          <w:szCs w:val="16"/>
          <w:rtl/>
        </w:rPr>
        <w:t>, ב"י</w:t>
      </w:r>
      <w:r w:rsidR="0026553A">
        <w:rPr>
          <w:rFonts w:cs="Arial" w:hint="cs"/>
          <w:sz w:val="16"/>
          <w:szCs w:val="16"/>
          <w:rtl/>
        </w:rPr>
        <w:t xml:space="preserve">. וכתב </w:t>
      </w:r>
      <w:r w:rsidR="0013793E">
        <w:rPr>
          <w:rFonts w:cs="Arial" w:hint="cs"/>
          <w:sz w:val="16"/>
          <w:szCs w:val="16"/>
          <w:rtl/>
        </w:rPr>
        <w:t xml:space="preserve">עוד </w:t>
      </w:r>
      <w:r w:rsidR="0026553A">
        <w:rPr>
          <w:rFonts w:cs="Arial" w:hint="cs"/>
          <w:sz w:val="16"/>
          <w:szCs w:val="16"/>
          <w:rtl/>
        </w:rPr>
        <w:t xml:space="preserve">הב"י </w:t>
      </w:r>
      <w:r w:rsidR="0013793E">
        <w:rPr>
          <w:rFonts w:cs="Arial" w:hint="cs"/>
          <w:sz w:val="16"/>
          <w:szCs w:val="16"/>
          <w:rtl/>
        </w:rPr>
        <w:t>(</w:t>
      </w:r>
      <w:r w:rsidR="0026553A">
        <w:rPr>
          <w:rFonts w:cs="Arial" w:hint="cs"/>
          <w:sz w:val="16"/>
          <w:szCs w:val="16"/>
          <w:rtl/>
        </w:rPr>
        <w:t>יו"ד סי' רמג ס"ה)</w:t>
      </w:r>
      <w:r w:rsidR="0026553A" w:rsidRPr="0026553A">
        <w:rPr>
          <w:rFonts w:cs="Arial"/>
          <w:sz w:val="16"/>
          <w:szCs w:val="16"/>
          <w:rtl/>
        </w:rPr>
        <w:t xml:space="preserve"> </w:t>
      </w:r>
      <w:r w:rsidR="0026553A">
        <w:rPr>
          <w:rFonts w:cs="Arial" w:hint="cs"/>
          <w:sz w:val="16"/>
          <w:szCs w:val="16"/>
          <w:rtl/>
        </w:rPr>
        <w:t>ש</w:t>
      </w:r>
      <w:r w:rsidR="0026553A" w:rsidRPr="0026553A">
        <w:rPr>
          <w:rFonts w:cs="Arial"/>
          <w:sz w:val="16"/>
          <w:szCs w:val="16"/>
          <w:rtl/>
        </w:rPr>
        <w:t>מדברי רש"י (שבועות ל. ד"ה השתדל) נראה שסובר כתירוצא קמא</w:t>
      </w:r>
      <w:r w:rsidR="00BA6789">
        <w:rPr>
          <w:rFonts w:cs="Arial" w:hint="cs"/>
          <w:sz w:val="16"/>
          <w:szCs w:val="16"/>
          <w:rtl/>
        </w:rPr>
        <w:t>.</w:t>
      </w:r>
      <w:r w:rsidR="0026553A" w:rsidRPr="0026553A">
        <w:rPr>
          <w:rFonts w:cs="Arial"/>
          <w:sz w:val="16"/>
          <w:szCs w:val="16"/>
          <w:rtl/>
        </w:rPr>
        <w:t xml:space="preserve"> וכן נראה מדברי הרמב"ם שכתב בפ</w:t>
      </w:r>
      <w:r w:rsidR="0026553A">
        <w:rPr>
          <w:rFonts w:cs="Arial" w:hint="cs"/>
          <w:sz w:val="16"/>
          <w:szCs w:val="16"/>
          <w:rtl/>
        </w:rPr>
        <w:t>"</w:t>
      </w:r>
      <w:r w:rsidR="0026553A" w:rsidRPr="0026553A">
        <w:rPr>
          <w:rFonts w:cs="Arial"/>
          <w:sz w:val="16"/>
          <w:szCs w:val="16"/>
          <w:rtl/>
        </w:rPr>
        <w:t>ו מהל</w:t>
      </w:r>
      <w:r w:rsidR="0026553A">
        <w:rPr>
          <w:rFonts w:cs="Arial" w:hint="cs"/>
          <w:sz w:val="16"/>
          <w:szCs w:val="16"/>
          <w:rtl/>
        </w:rPr>
        <w:t>'</w:t>
      </w:r>
      <w:r w:rsidR="0026553A" w:rsidRPr="0026553A">
        <w:rPr>
          <w:rFonts w:cs="Arial"/>
          <w:sz w:val="16"/>
          <w:szCs w:val="16"/>
          <w:rtl/>
        </w:rPr>
        <w:t xml:space="preserve"> ת"ת (שם) אם היה לו דין והיה עומד בכלל בעלי דינים הרבה </w:t>
      </w:r>
      <w:r w:rsidR="0026553A">
        <w:rPr>
          <w:rFonts w:cs="Arial" w:hint="cs"/>
          <w:sz w:val="16"/>
          <w:szCs w:val="16"/>
          <w:rtl/>
        </w:rPr>
        <w:t xml:space="preserve">- </w:t>
      </w:r>
      <w:r w:rsidR="0026553A" w:rsidRPr="0026553A">
        <w:rPr>
          <w:rFonts w:cs="Arial"/>
          <w:sz w:val="16"/>
          <w:szCs w:val="16"/>
          <w:rtl/>
        </w:rPr>
        <w:t>מקדימין אותו ומושיבין אותו. ובפכ"א מהל</w:t>
      </w:r>
      <w:r w:rsidR="0013793E">
        <w:rPr>
          <w:rFonts w:cs="Arial" w:hint="cs"/>
          <w:sz w:val="16"/>
          <w:szCs w:val="16"/>
          <w:rtl/>
        </w:rPr>
        <w:t xml:space="preserve">' </w:t>
      </w:r>
      <w:r w:rsidR="0026553A" w:rsidRPr="0026553A">
        <w:rPr>
          <w:rFonts w:cs="Arial"/>
          <w:sz w:val="16"/>
          <w:szCs w:val="16"/>
          <w:rtl/>
        </w:rPr>
        <w:t>סנהדרין (ה"ו) כתב היו לפני הדיינים בעלי דין הרבה מקדימין דין היתום לדין האלמנה ודין האלמנה קודם לדין תלמיד חכם ודין תלמיד חכם קודם לדין עם הארץ עכ"ל. ולפי זה צ"ל דההיא דפרק בתרא דכתובות שני הדינים באו כאחד</w:t>
      </w:r>
      <w:r w:rsidR="0026553A">
        <w:rPr>
          <w:rStyle w:val="ab"/>
          <w:rFonts w:cs="Arial"/>
          <w:sz w:val="16"/>
          <w:szCs w:val="16"/>
          <w:rtl/>
        </w:rPr>
        <w:footnoteReference w:id="832"/>
      </w:r>
      <w:r w:rsidR="00114B4F">
        <w:rPr>
          <w:rFonts w:cs="Arial" w:hint="cs"/>
          <w:sz w:val="16"/>
          <w:szCs w:val="16"/>
          <w:rtl/>
        </w:rPr>
        <w:t>)</w:t>
      </w:r>
      <w:r w:rsidR="0000353D">
        <w:rPr>
          <w:rFonts w:cs="Arial"/>
          <w:rtl/>
        </w:rPr>
        <w:t xml:space="preserve"> </w:t>
      </w:r>
    </w:p>
    <w:p w14:paraId="589CD9F3" w14:textId="77777777" w:rsidR="00B82919" w:rsidRDefault="00DF50E5" w:rsidP="00B82919">
      <w:pPr>
        <w:rPr>
          <w:rFonts w:cs="Arial"/>
          <w:rtl/>
        </w:rPr>
      </w:pPr>
      <w:r>
        <w:rPr>
          <w:rFonts w:cs="Arial" w:hint="cs"/>
          <w:u w:val="single"/>
          <w:rtl/>
        </w:rPr>
        <w:t xml:space="preserve">סדר </w:t>
      </w:r>
      <w:r w:rsidR="00B82919" w:rsidRPr="00B82919">
        <w:rPr>
          <w:rFonts w:cs="Arial" w:hint="cs"/>
          <w:u w:val="single"/>
          <w:rtl/>
        </w:rPr>
        <w:t>קד</w:t>
      </w:r>
      <w:r>
        <w:rPr>
          <w:rFonts w:cs="Arial" w:hint="cs"/>
          <w:u w:val="single"/>
          <w:rtl/>
        </w:rPr>
        <w:t>י</w:t>
      </w:r>
      <w:r w:rsidR="00B82919" w:rsidRPr="00B82919">
        <w:rPr>
          <w:rFonts w:cs="Arial" w:hint="cs"/>
          <w:u w:val="single"/>
          <w:rtl/>
        </w:rPr>
        <w:t>מ</w:t>
      </w:r>
      <w:r>
        <w:rPr>
          <w:rFonts w:cs="Arial" w:hint="cs"/>
          <w:u w:val="single"/>
          <w:rtl/>
        </w:rPr>
        <w:t>ה</w:t>
      </w:r>
      <w:r w:rsidR="00B82919" w:rsidRPr="00B82919">
        <w:rPr>
          <w:rFonts w:cs="Arial" w:hint="cs"/>
          <w:u w:val="single"/>
          <w:rtl/>
        </w:rPr>
        <w:t xml:space="preserve"> </w:t>
      </w:r>
      <w:r>
        <w:rPr>
          <w:rFonts w:cs="Arial" w:hint="cs"/>
          <w:u w:val="single"/>
          <w:rtl/>
        </w:rPr>
        <w:t>ב</w:t>
      </w:r>
      <w:r w:rsidR="00B82919" w:rsidRPr="00B82919">
        <w:rPr>
          <w:rFonts w:cs="Arial" w:hint="cs"/>
          <w:u w:val="single"/>
          <w:rtl/>
        </w:rPr>
        <w:t>דין</w:t>
      </w:r>
      <w:r>
        <w:rPr>
          <w:rFonts w:cs="Arial" w:hint="cs"/>
          <w:u w:val="single"/>
          <w:rtl/>
        </w:rPr>
        <w:t>:</w:t>
      </w:r>
    </w:p>
    <w:p w14:paraId="1462130D" w14:textId="77777777" w:rsidR="00B82919" w:rsidRPr="00FE22A6" w:rsidRDefault="00B82919" w:rsidP="004B0475">
      <w:pPr>
        <w:pStyle w:val="ac"/>
        <w:numPr>
          <w:ilvl w:val="0"/>
          <w:numId w:val="14"/>
        </w:numPr>
        <w:rPr>
          <w:rFonts w:cs="Arial"/>
        </w:rPr>
      </w:pPr>
      <w:r w:rsidRPr="00B82919">
        <w:rPr>
          <w:rFonts w:cs="Arial" w:hint="cs"/>
          <w:rtl/>
        </w:rPr>
        <w:t xml:space="preserve">טור- </w:t>
      </w:r>
      <w:r w:rsidRPr="00B82919">
        <w:rPr>
          <w:rFonts w:cs="Arial"/>
          <w:rtl/>
        </w:rPr>
        <w:t>צריך הדיין שיקדים לדון הדין שבא לפניו תחילה</w:t>
      </w:r>
      <w:r w:rsidR="009D3652">
        <w:rPr>
          <w:rFonts w:cs="Arial" w:hint="cs"/>
          <w:rtl/>
        </w:rPr>
        <w:t>,</w:t>
      </w:r>
      <w:r w:rsidRPr="00B82919">
        <w:rPr>
          <w:rFonts w:cs="Arial"/>
          <w:rtl/>
        </w:rPr>
        <w:t xml:space="preserve"> דכתיב כקטן כגדול תשמעון</w:t>
      </w:r>
      <w:r w:rsidR="009D3652">
        <w:rPr>
          <w:rFonts w:cs="Arial" w:hint="cs"/>
          <w:rtl/>
        </w:rPr>
        <w:t>.</w:t>
      </w:r>
      <w:r w:rsidRPr="00B82919">
        <w:rPr>
          <w:rFonts w:cs="Arial"/>
          <w:rtl/>
        </w:rPr>
        <w:t xml:space="preserve"> </w:t>
      </w:r>
      <w:r w:rsidRPr="00FE22A6">
        <w:rPr>
          <w:rFonts w:cs="Arial"/>
          <w:rtl/>
        </w:rPr>
        <w:t>אבל צריך להקדים דין של ת"ח אפילו התלמיד חכם בא לבסוף</w:t>
      </w:r>
      <w:r w:rsidR="007C57A2" w:rsidRPr="00FE22A6">
        <w:rPr>
          <w:rFonts w:cs="Arial" w:hint="cs"/>
          <w:rtl/>
        </w:rPr>
        <w:t>,</w:t>
      </w:r>
      <w:r w:rsidRPr="00FE22A6">
        <w:rPr>
          <w:rFonts w:cs="Arial"/>
          <w:rtl/>
        </w:rPr>
        <w:t xml:space="preserve"> לכבוד תורתו</w:t>
      </w:r>
      <w:r w:rsidRPr="00FE22A6">
        <w:rPr>
          <w:rFonts w:cs="Arial" w:hint="cs"/>
          <w:rtl/>
        </w:rPr>
        <w:t>.</w:t>
      </w:r>
      <w:r w:rsidR="00173817" w:rsidRPr="00FE22A6">
        <w:rPr>
          <w:rFonts w:cs="Arial" w:hint="cs"/>
          <w:color w:val="E36C0A" w:themeColor="accent6" w:themeShade="BF"/>
          <w:rtl/>
        </w:rPr>
        <w:t xml:space="preserve"> (וכ"פ בשו"ע)</w:t>
      </w:r>
      <w:r w:rsidR="0013793E" w:rsidRPr="00FE22A6">
        <w:rPr>
          <w:rFonts w:cs="Arial" w:hint="cs"/>
          <w:color w:val="00B0F0"/>
          <w:rtl/>
        </w:rPr>
        <w:t xml:space="preserve"> (וכ"פ הרמ"א)</w:t>
      </w:r>
    </w:p>
    <w:p w14:paraId="1181900D" w14:textId="77777777" w:rsidR="0013793E" w:rsidRPr="0013793E" w:rsidRDefault="00EB02D2" w:rsidP="0013793E">
      <w:pPr>
        <w:ind w:left="360"/>
        <w:rPr>
          <w:rFonts w:cs="Arial"/>
          <w:u w:val="dotted"/>
        </w:rPr>
      </w:pPr>
      <w:r>
        <w:rPr>
          <w:rFonts w:cs="Arial" w:hint="cs"/>
          <w:u w:val="dotted"/>
          <w:rtl/>
        </w:rPr>
        <w:t>האם</w:t>
      </w:r>
      <w:r w:rsidR="0013793E" w:rsidRPr="0013793E">
        <w:rPr>
          <w:rFonts w:cs="Arial" w:hint="cs"/>
          <w:u w:val="dotted"/>
          <w:rtl/>
        </w:rPr>
        <w:t xml:space="preserve"> הדין</w:t>
      </w:r>
      <w:r>
        <w:rPr>
          <w:rFonts w:cs="Arial" w:hint="cs"/>
          <w:u w:val="dotted"/>
          <w:rtl/>
        </w:rPr>
        <w:t xml:space="preserve"> כן אף</w:t>
      </w:r>
      <w:r w:rsidR="0013793E" w:rsidRPr="0013793E">
        <w:rPr>
          <w:rFonts w:cs="Arial" w:hint="cs"/>
          <w:u w:val="dotted"/>
          <w:rtl/>
        </w:rPr>
        <w:t xml:space="preserve"> בקרובו של ת"ח:</w:t>
      </w:r>
    </w:p>
    <w:p w14:paraId="327FEA49" w14:textId="77777777" w:rsidR="0013793E" w:rsidRPr="0013793E" w:rsidRDefault="0013793E" w:rsidP="004B0475">
      <w:pPr>
        <w:pStyle w:val="ac"/>
        <w:numPr>
          <w:ilvl w:val="0"/>
          <w:numId w:val="14"/>
        </w:numPr>
        <w:rPr>
          <w:rFonts w:cs="Arial"/>
          <w:u w:val="single"/>
          <w:rtl/>
        </w:rPr>
      </w:pPr>
      <w:r w:rsidRPr="0013793E">
        <w:rPr>
          <w:rFonts w:cs="Arial"/>
          <w:rtl/>
        </w:rPr>
        <w:t xml:space="preserve">ריטב"א </w:t>
      </w:r>
      <w:r w:rsidRPr="0013793E">
        <w:rPr>
          <w:rFonts w:cs="Arial"/>
          <w:sz w:val="16"/>
          <w:szCs w:val="16"/>
          <w:rtl/>
        </w:rPr>
        <w:t>(שם קו. ד"ה איסתתם)</w:t>
      </w:r>
      <w:r w:rsidRPr="0013793E">
        <w:rPr>
          <w:rFonts w:cs="Arial" w:hint="cs"/>
          <w:rtl/>
        </w:rPr>
        <w:t>-</w:t>
      </w:r>
      <w:r w:rsidRPr="0013793E">
        <w:rPr>
          <w:rFonts w:cs="Arial"/>
          <w:rtl/>
        </w:rPr>
        <w:t xml:space="preserve"> </w:t>
      </w:r>
      <w:r w:rsidRPr="0013793E">
        <w:rPr>
          <w:rStyle w:val="ab"/>
          <w:rFonts w:cs="Arial"/>
          <w:rtl/>
        </w:rPr>
        <w:footnoteReference w:id="833"/>
      </w:r>
      <w:r w:rsidRPr="0013793E">
        <w:rPr>
          <w:rFonts w:cs="Arial"/>
          <w:rtl/>
        </w:rPr>
        <w:t>בחבר עצמו שבא לדין ליכא משום אסתתומי טענתיה דהא ידיע דחזי להכי</w:t>
      </w:r>
      <w:r>
        <w:rPr>
          <w:rFonts w:cs="Arial" w:hint="cs"/>
          <w:rtl/>
        </w:rPr>
        <w:t>,</w:t>
      </w:r>
      <w:r w:rsidRPr="0013793E">
        <w:rPr>
          <w:rFonts w:cs="Arial"/>
          <w:rtl/>
        </w:rPr>
        <w:t xml:space="preserve"> ובעל דיניה נמי ניחא ליה דלישרי ליה תגריה לאלתר</w:t>
      </w:r>
      <w:r w:rsidRPr="0013793E">
        <w:rPr>
          <w:rFonts w:cs="Arial" w:hint="cs"/>
          <w:rtl/>
        </w:rPr>
        <w:t>,</w:t>
      </w:r>
      <w:r w:rsidRPr="0013793E">
        <w:rPr>
          <w:rFonts w:cs="Arial"/>
          <w:rtl/>
        </w:rPr>
        <w:t xml:space="preserve"> אבל הכא </w:t>
      </w:r>
      <w:r>
        <w:rPr>
          <w:rFonts w:cs="Arial" w:hint="cs"/>
          <w:sz w:val="16"/>
          <w:szCs w:val="16"/>
          <w:rtl/>
        </w:rPr>
        <w:t xml:space="preserve">{במקרה של רב ענן} </w:t>
      </w:r>
      <w:r w:rsidRPr="0013793E">
        <w:rPr>
          <w:rFonts w:cs="Arial"/>
          <w:rtl/>
        </w:rPr>
        <w:t>דלא חבר ולא קרובו של חבר סבר דמחניף ליה ואסתתם טענתיה</w:t>
      </w:r>
      <w:r w:rsidRPr="0013793E">
        <w:rPr>
          <w:rFonts w:cs="Arial" w:hint="cs"/>
          <w:rtl/>
        </w:rPr>
        <w:t>,</w:t>
      </w:r>
      <w:r w:rsidRPr="0013793E">
        <w:rPr>
          <w:rFonts w:cs="Arial"/>
          <w:rtl/>
        </w:rPr>
        <w:t xml:space="preserve"> וזה ברור</w:t>
      </w:r>
      <w:r w:rsidRPr="0013793E">
        <w:rPr>
          <w:rFonts w:cs="Arial" w:hint="cs"/>
          <w:rtl/>
        </w:rPr>
        <w:t>.</w:t>
      </w:r>
      <w:r w:rsidRPr="0013793E">
        <w:rPr>
          <w:rFonts w:cs="Arial"/>
          <w:rtl/>
        </w:rPr>
        <w:t xml:space="preserve"> ודעת מורינו ז"ל דהכא עדיין לא פתחו בדינא דיתמי כד אתא האי דינא קמיה דרב נחמן</w:t>
      </w:r>
      <w:r w:rsidRPr="0013793E">
        <w:rPr>
          <w:rStyle w:val="ab"/>
          <w:rFonts w:cs="Arial"/>
          <w:rtl/>
        </w:rPr>
        <w:footnoteReference w:id="834"/>
      </w:r>
      <w:r w:rsidRPr="0013793E">
        <w:rPr>
          <w:rFonts w:cs="Arial" w:hint="cs"/>
          <w:rtl/>
        </w:rPr>
        <w:t xml:space="preserve">. </w:t>
      </w:r>
      <w:r>
        <w:rPr>
          <w:rFonts w:cs="Arial" w:hint="cs"/>
          <w:color w:val="00B0F0"/>
          <w:rtl/>
        </w:rPr>
        <w:t>(</w:t>
      </w:r>
      <w:r w:rsidRPr="0013793E">
        <w:rPr>
          <w:rFonts w:cs="Arial" w:hint="cs"/>
          <w:color w:val="00B0F0"/>
          <w:rtl/>
        </w:rPr>
        <w:t>וכ"פ הרמ"א</w:t>
      </w:r>
      <w:r>
        <w:rPr>
          <w:rFonts w:cs="Arial" w:hint="cs"/>
          <w:color w:val="00B0F0"/>
          <w:rtl/>
        </w:rPr>
        <w:t>)</w:t>
      </w:r>
    </w:p>
    <w:p w14:paraId="704BC8C2" w14:textId="77777777" w:rsidR="00173817" w:rsidRDefault="00114B4F" w:rsidP="00B82919">
      <w:pPr>
        <w:rPr>
          <w:rFonts w:cs="Arial"/>
          <w:sz w:val="16"/>
          <w:szCs w:val="16"/>
          <w:rtl/>
        </w:rPr>
      </w:pPr>
      <w:r w:rsidRPr="00114B4F">
        <w:rPr>
          <w:rFonts w:cs="Arial" w:hint="cs"/>
          <w:b/>
          <w:bCs/>
          <w:rtl/>
        </w:rPr>
        <w:lastRenderedPageBreak/>
        <w:t xml:space="preserve">שבת </w:t>
      </w:r>
      <w:r w:rsidRPr="00114B4F">
        <w:rPr>
          <w:rFonts w:cs="Arial" w:hint="cs"/>
          <w:b/>
          <w:bCs/>
          <w:sz w:val="16"/>
          <w:szCs w:val="16"/>
          <w:rtl/>
        </w:rPr>
        <w:t>(</w:t>
      </w:r>
      <w:r w:rsidR="0000353D" w:rsidRPr="00114B4F">
        <w:rPr>
          <w:rFonts w:cs="Arial"/>
          <w:b/>
          <w:bCs/>
          <w:sz w:val="16"/>
          <w:szCs w:val="16"/>
          <w:rtl/>
        </w:rPr>
        <w:t>פרק כל כתבי</w:t>
      </w:r>
      <w:r w:rsidRPr="00114B4F">
        <w:rPr>
          <w:rFonts w:cs="Arial" w:hint="cs"/>
          <w:b/>
          <w:bCs/>
          <w:sz w:val="16"/>
          <w:szCs w:val="16"/>
          <w:rtl/>
        </w:rPr>
        <w:t xml:space="preserve">) </w:t>
      </w:r>
      <w:r w:rsidR="0000353D" w:rsidRPr="00114B4F">
        <w:rPr>
          <w:rFonts w:cs="Arial"/>
          <w:b/>
          <w:bCs/>
          <w:rtl/>
        </w:rPr>
        <w:t>קיט</w:t>
      </w:r>
      <w:r w:rsidR="00173817">
        <w:rPr>
          <w:rStyle w:val="ab"/>
          <w:rFonts w:cs="Arial"/>
          <w:b/>
          <w:bCs/>
          <w:rtl/>
        </w:rPr>
        <w:footnoteReference w:id="835"/>
      </w:r>
      <w:r w:rsidRPr="00114B4F">
        <w:rPr>
          <w:rFonts w:cs="Arial" w:hint="cs"/>
          <w:b/>
          <w:bCs/>
          <w:rtl/>
        </w:rPr>
        <w:t xml:space="preserve"> ע"א:</w:t>
      </w:r>
      <w:r w:rsidR="0000353D">
        <w:rPr>
          <w:rFonts w:cs="Arial"/>
          <w:rtl/>
        </w:rPr>
        <w:t xml:space="preserve"> </w:t>
      </w:r>
      <w:r w:rsidRPr="00114B4F">
        <w:rPr>
          <w:rFonts w:cs="Arial"/>
          <w:u w:val="single"/>
          <w:rtl/>
        </w:rPr>
        <w:t>אמר רבא</w:t>
      </w:r>
      <w:r w:rsidRPr="00114B4F">
        <w:rPr>
          <w:rFonts w:cs="Arial"/>
          <w:rtl/>
        </w:rPr>
        <w:t>: תיתי לי דכי אתא צורבא מרבנן לקמאי לדינא, לא מזיגנא רישי אבי סדיא כמה דלא מהפיכנא בזכותיה</w:t>
      </w:r>
      <w:r>
        <w:rPr>
          <w:rFonts w:cs="Arial" w:hint="cs"/>
          <w:rtl/>
        </w:rPr>
        <w:t>.</w:t>
      </w:r>
      <w:r w:rsidR="00B82919">
        <w:rPr>
          <w:rFonts w:cs="Arial" w:hint="cs"/>
          <w:rtl/>
        </w:rPr>
        <w:t xml:space="preserve"> </w:t>
      </w:r>
    </w:p>
    <w:p w14:paraId="2661BD4E" w14:textId="77777777" w:rsidR="00173817" w:rsidRPr="00173817" w:rsidRDefault="00173817" w:rsidP="00B82919">
      <w:pPr>
        <w:rPr>
          <w:rFonts w:cs="Arial"/>
          <w:rtl/>
        </w:rPr>
      </w:pPr>
      <w:r w:rsidRPr="00173817">
        <w:rPr>
          <w:rFonts w:cs="Arial" w:hint="cs"/>
          <w:u w:val="single"/>
          <w:rtl/>
        </w:rPr>
        <w:t>היפוך בזכות ת"ח:</w:t>
      </w:r>
    </w:p>
    <w:p w14:paraId="0EA81282" w14:textId="77777777" w:rsidR="00B82919" w:rsidRPr="00173817" w:rsidRDefault="00B82919" w:rsidP="004B0475">
      <w:pPr>
        <w:pStyle w:val="ac"/>
        <w:numPr>
          <w:ilvl w:val="0"/>
          <w:numId w:val="14"/>
        </w:numPr>
        <w:rPr>
          <w:rFonts w:asciiTheme="minorBidi" w:hAnsiTheme="minorBidi"/>
          <w:b/>
          <w:bCs/>
          <w:color w:val="000000"/>
          <w:u w:val="single"/>
          <w:rtl/>
        </w:rPr>
      </w:pPr>
      <w:r w:rsidRPr="00173817">
        <w:rPr>
          <w:rFonts w:cs="Arial" w:hint="cs"/>
          <w:rtl/>
        </w:rPr>
        <w:t xml:space="preserve">טור- </w:t>
      </w:r>
      <w:r w:rsidRPr="00173817">
        <w:rPr>
          <w:rFonts w:cs="Arial"/>
          <w:rtl/>
        </w:rPr>
        <w:t>וכן מצוה עליו להפך בזכותו בכל מה שיכול</w:t>
      </w:r>
      <w:r w:rsidRPr="00173817">
        <w:rPr>
          <w:rFonts w:cs="Arial" w:hint="cs"/>
          <w:rtl/>
        </w:rPr>
        <w:t xml:space="preserve">. </w:t>
      </w:r>
      <w:r w:rsidR="00173817" w:rsidRPr="00173817">
        <w:rPr>
          <w:rFonts w:cs="Arial" w:hint="cs"/>
          <w:color w:val="E36C0A" w:themeColor="accent6" w:themeShade="BF"/>
          <w:rtl/>
        </w:rPr>
        <w:t>(</w:t>
      </w:r>
      <w:r w:rsidRPr="00173817">
        <w:rPr>
          <w:rFonts w:cs="Arial" w:hint="cs"/>
          <w:color w:val="E36C0A" w:themeColor="accent6" w:themeShade="BF"/>
          <w:rtl/>
        </w:rPr>
        <w:t>וכ"פ בשו"ע</w:t>
      </w:r>
      <w:r w:rsidR="00173817" w:rsidRPr="00173817">
        <w:rPr>
          <w:rFonts w:cs="Arial" w:hint="cs"/>
          <w:color w:val="E36C0A" w:themeColor="accent6" w:themeShade="BF"/>
          <w:rtl/>
        </w:rPr>
        <w:t>)</w:t>
      </w:r>
    </w:p>
    <w:p w14:paraId="60DACF67" w14:textId="77777777" w:rsidR="00E137BC" w:rsidRPr="00576D5C" w:rsidRDefault="00E137BC" w:rsidP="00114B4F">
      <w:pPr>
        <w:rPr>
          <w:rFonts w:asciiTheme="minorBidi" w:hAnsiTheme="minorBidi"/>
          <w:b/>
          <w:bCs/>
          <w:color w:val="000000"/>
          <w:sz w:val="28"/>
          <w:szCs w:val="28"/>
          <w:u w:val="single"/>
          <w:rtl/>
        </w:rPr>
      </w:pPr>
      <w:r w:rsidRPr="00576D5C">
        <w:rPr>
          <w:rFonts w:asciiTheme="minorBidi" w:hAnsiTheme="minorBidi"/>
          <w:b/>
          <w:bCs/>
          <w:color w:val="000000"/>
          <w:sz w:val="28"/>
          <w:szCs w:val="28"/>
          <w:u w:val="single"/>
          <w:rtl/>
        </w:rPr>
        <w:t>שו"ע:</w:t>
      </w:r>
    </w:p>
    <w:p w14:paraId="45539BE0" w14:textId="77777777" w:rsidR="00E137BC" w:rsidRDefault="00E137BC" w:rsidP="00576D5C">
      <w:pPr>
        <w:rPr>
          <w:rFonts w:asciiTheme="minorBidi" w:hAnsiTheme="minorBidi"/>
          <w:rtl/>
        </w:rPr>
      </w:pPr>
      <w:r w:rsidRPr="00576D5C">
        <w:rPr>
          <w:rFonts w:asciiTheme="minorBidi" w:hAnsiTheme="minorBidi"/>
          <w:rtl/>
        </w:rPr>
        <w:t>צריך הדיין שיקדים לדון הדין שבא לפניו תחלה</w:t>
      </w:r>
      <w:r w:rsidR="001A1EE3">
        <w:rPr>
          <w:rStyle w:val="ab"/>
          <w:rFonts w:asciiTheme="minorBidi" w:hAnsiTheme="minorBidi"/>
          <w:rtl/>
        </w:rPr>
        <w:footnoteReference w:id="836"/>
      </w:r>
      <w:r w:rsidRPr="00576D5C">
        <w:rPr>
          <w:rFonts w:asciiTheme="minorBidi" w:hAnsiTheme="minorBidi"/>
          <w:rtl/>
        </w:rPr>
        <w:t>, אבל צריך להקדים דין של תלמיד חכם אפילו בא לבסוף</w:t>
      </w:r>
      <w:r w:rsidR="00B82919">
        <w:rPr>
          <w:rFonts w:asciiTheme="minorBidi" w:hAnsiTheme="minorBidi" w:hint="cs"/>
          <w:rtl/>
        </w:rPr>
        <w:t>.</w:t>
      </w:r>
      <w:r w:rsidRPr="00576D5C">
        <w:rPr>
          <w:rFonts w:asciiTheme="minorBidi" w:hAnsiTheme="minorBidi"/>
          <w:rtl/>
        </w:rPr>
        <w:t xml:space="preserve"> וכן מצוה עליו להפך בזכותו</w:t>
      </w:r>
      <w:r w:rsidR="001A1EE3">
        <w:rPr>
          <w:rStyle w:val="ab"/>
          <w:rFonts w:asciiTheme="minorBidi" w:hAnsiTheme="minorBidi"/>
          <w:rtl/>
        </w:rPr>
        <w:footnoteReference w:id="837"/>
      </w:r>
      <w:r w:rsidRPr="00576D5C">
        <w:rPr>
          <w:rFonts w:asciiTheme="minorBidi" w:hAnsiTheme="minorBidi"/>
          <w:rtl/>
        </w:rPr>
        <w:t xml:space="preserve"> מה שיכול. </w:t>
      </w:r>
      <w:r w:rsidRPr="00D52A51">
        <w:rPr>
          <w:rFonts w:asciiTheme="minorBidi" w:hAnsiTheme="minorBidi"/>
          <w:sz w:val="18"/>
          <w:szCs w:val="18"/>
          <w:rtl/>
        </w:rPr>
        <w:t>הגה: ואם הת"ח בעצמו לפני הדיינים, אפילו פתחו כבר בדין</w:t>
      </w:r>
      <w:r w:rsidR="009F4F07">
        <w:rPr>
          <w:rStyle w:val="ab"/>
          <w:rFonts w:asciiTheme="minorBidi" w:hAnsiTheme="minorBidi"/>
          <w:sz w:val="18"/>
          <w:szCs w:val="18"/>
          <w:rtl/>
        </w:rPr>
        <w:footnoteReference w:id="838"/>
      </w:r>
      <w:r w:rsidRPr="00D52A51">
        <w:rPr>
          <w:rFonts w:asciiTheme="minorBidi" w:hAnsiTheme="minorBidi"/>
          <w:sz w:val="18"/>
          <w:szCs w:val="18"/>
          <w:rtl/>
        </w:rPr>
        <w:t xml:space="preserve"> אחר, דנין אותו תחלה שלא יתבטל מלמודו. אבל אם קרובו בא לדין, אם פתחו בדין אחר</w:t>
      </w:r>
      <w:r w:rsidR="006B753E">
        <w:rPr>
          <w:rFonts w:asciiTheme="minorBidi" w:hAnsiTheme="minorBidi" w:hint="cs"/>
          <w:sz w:val="18"/>
          <w:szCs w:val="18"/>
          <w:rtl/>
        </w:rPr>
        <w:t>,</w:t>
      </w:r>
      <w:r w:rsidRPr="00D52A51">
        <w:rPr>
          <w:rFonts w:asciiTheme="minorBidi" w:hAnsiTheme="minorBidi"/>
          <w:sz w:val="18"/>
          <w:szCs w:val="18"/>
          <w:rtl/>
        </w:rPr>
        <w:t xml:space="preserve"> אין צריכין לפסוק</w:t>
      </w:r>
      <w:r w:rsidR="00B82919">
        <w:rPr>
          <w:rFonts w:asciiTheme="minorBidi" w:hAnsiTheme="minorBidi" w:hint="cs"/>
          <w:sz w:val="18"/>
          <w:szCs w:val="18"/>
          <w:rtl/>
        </w:rPr>
        <w:t>,</w:t>
      </w:r>
      <w:r w:rsidRPr="00D52A51">
        <w:rPr>
          <w:rFonts w:asciiTheme="minorBidi" w:hAnsiTheme="minorBidi"/>
          <w:sz w:val="18"/>
          <w:szCs w:val="18"/>
          <w:rtl/>
        </w:rPr>
        <w:t xml:space="preserve"> ואם לאו, צריכין לדון אותו תחלה משום כבוד החכם</w:t>
      </w:r>
      <w:r w:rsidR="00EB02D2">
        <w:rPr>
          <w:rStyle w:val="ab"/>
          <w:rFonts w:asciiTheme="minorBidi" w:hAnsiTheme="minorBidi"/>
          <w:sz w:val="18"/>
          <w:szCs w:val="18"/>
          <w:rtl/>
        </w:rPr>
        <w:footnoteReference w:id="839"/>
      </w:r>
      <w:r w:rsidRPr="00D52A51">
        <w:rPr>
          <w:rFonts w:asciiTheme="minorBidi" w:hAnsiTheme="minorBidi"/>
          <w:sz w:val="18"/>
          <w:szCs w:val="18"/>
          <w:rtl/>
        </w:rPr>
        <w:t xml:space="preserve"> (</w:t>
      </w:r>
      <w:r w:rsidR="006B753E">
        <w:rPr>
          <w:rFonts w:asciiTheme="minorBidi" w:hAnsiTheme="minorBidi" w:hint="cs"/>
          <w:sz w:val="18"/>
          <w:szCs w:val="18"/>
          <w:rtl/>
        </w:rPr>
        <w:t>ב"י בשם ה</w:t>
      </w:r>
      <w:r w:rsidRPr="00D52A51">
        <w:rPr>
          <w:rFonts w:asciiTheme="minorBidi" w:hAnsiTheme="minorBidi"/>
          <w:sz w:val="18"/>
          <w:szCs w:val="18"/>
          <w:rtl/>
        </w:rPr>
        <w:t xml:space="preserve">ריטב"א). </w:t>
      </w:r>
    </w:p>
    <w:p w14:paraId="338FCB13" w14:textId="77777777" w:rsidR="0000353D" w:rsidRPr="001A1EE3" w:rsidRDefault="001A1EE3" w:rsidP="00576D5C">
      <w:pPr>
        <w:rPr>
          <w:rFonts w:asciiTheme="minorBidi" w:hAnsiTheme="minorBidi"/>
          <w:u w:val="single"/>
          <w:rtl/>
        </w:rPr>
      </w:pPr>
      <w:r w:rsidRPr="001A1EE3">
        <w:rPr>
          <w:rFonts w:asciiTheme="minorBidi" w:hAnsiTheme="minorBidi" w:hint="cs"/>
          <w:u w:val="single"/>
          <w:rtl/>
        </w:rPr>
        <w:t xml:space="preserve">האם יש דין ת"ח בזה"ז </w:t>
      </w:r>
      <w:r w:rsidRPr="001A1EE3">
        <w:rPr>
          <w:rFonts w:asciiTheme="minorBidi" w:hAnsiTheme="minorBidi"/>
          <w:u w:val="single"/>
          <w:rtl/>
        </w:rPr>
        <w:t>–</w:t>
      </w:r>
      <w:r w:rsidRPr="001A1EE3">
        <w:rPr>
          <w:rFonts w:asciiTheme="minorBidi" w:hAnsiTheme="minorBidi" w:hint="cs"/>
          <w:u w:val="single"/>
          <w:rtl/>
        </w:rPr>
        <w:t xml:space="preserve"> לעניין הקדמה בדין:</w:t>
      </w:r>
    </w:p>
    <w:p w14:paraId="2E6E648E" w14:textId="77777777" w:rsidR="001A1EE3" w:rsidRPr="001A1EE3" w:rsidRDefault="001A1EE3" w:rsidP="004B0475">
      <w:pPr>
        <w:pStyle w:val="ac"/>
        <w:numPr>
          <w:ilvl w:val="0"/>
          <w:numId w:val="14"/>
        </w:numPr>
        <w:rPr>
          <w:rFonts w:asciiTheme="minorBidi" w:hAnsiTheme="minorBidi"/>
        </w:rPr>
      </w:pPr>
      <w:r w:rsidRPr="001A1EE3">
        <w:rPr>
          <w:rFonts w:asciiTheme="minorBidi" w:hAnsiTheme="minorBidi" w:cs="Arial" w:hint="cs"/>
          <w:rtl/>
        </w:rPr>
        <w:t xml:space="preserve">סמ"ע </w:t>
      </w:r>
      <w:r w:rsidRPr="001A1EE3">
        <w:rPr>
          <w:rFonts w:asciiTheme="minorBidi" w:hAnsiTheme="minorBidi" w:cs="Arial" w:hint="cs"/>
          <w:sz w:val="16"/>
          <w:szCs w:val="16"/>
          <w:rtl/>
        </w:rPr>
        <w:t>(סק"ד)</w:t>
      </w:r>
      <w:r w:rsidRPr="001A1EE3">
        <w:rPr>
          <w:rFonts w:asciiTheme="minorBidi" w:hAnsiTheme="minorBidi" w:cs="Arial" w:hint="cs"/>
          <w:rtl/>
        </w:rPr>
        <w:t xml:space="preserve">- </w:t>
      </w:r>
      <w:r w:rsidRPr="001A1EE3">
        <w:rPr>
          <w:rFonts w:asciiTheme="minorBidi" w:hAnsiTheme="minorBidi" w:cs="Arial"/>
          <w:rtl/>
        </w:rPr>
        <w:t>אין לת"ח בזמנינו דין זה</w:t>
      </w:r>
      <w:r w:rsidRPr="001A1EE3">
        <w:rPr>
          <w:rFonts w:asciiTheme="minorBidi" w:hAnsiTheme="minorBidi" w:cs="Arial" w:hint="cs"/>
          <w:rtl/>
        </w:rPr>
        <w:t>.</w:t>
      </w:r>
      <w:r w:rsidRPr="001A1EE3">
        <w:rPr>
          <w:rFonts w:asciiTheme="minorBidi" w:hAnsiTheme="minorBidi" w:cs="Arial"/>
          <w:rtl/>
        </w:rPr>
        <w:t xml:space="preserve"> </w:t>
      </w:r>
    </w:p>
    <w:p w14:paraId="5C146E75" w14:textId="77777777" w:rsidR="001A1EE3" w:rsidRDefault="001A1EE3" w:rsidP="004B0475">
      <w:pPr>
        <w:pStyle w:val="ac"/>
        <w:numPr>
          <w:ilvl w:val="0"/>
          <w:numId w:val="14"/>
        </w:numPr>
        <w:rPr>
          <w:rFonts w:asciiTheme="minorBidi" w:hAnsiTheme="minorBidi"/>
        </w:rPr>
      </w:pPr>
      <w:r>
        <w:rPr>
          <w:rFonts w:asciiTheme="minorBidi" w:hAnsiTheme="minorBidi" w:hint="cs"/>
          <w:rtl/>
        </w:rPr>
        <w:t>ב"ח</w:t>
      </w:r>
      <w:r w:rsidRPr="001A1EE3">
        <w:rPr>
          <w:rtl/>
        </w:rPr>
        <w:t xml:space="preserve"> </w:t>
      </w:r>
      <w:r w:rsidRPr="009F4F07">
        <w:rPr>
          <w:rFonts w:asciiTheme="minorBidi" w:hAnsiTheme="minorBidi" w:cs="Arial" w:hint="cs"/>
          <w:sz w:val="16"/>
          <w:szCs w:val="16"/>
          <w:rtl/>
        </w:rPr>
        <w:t>(</w:t>
      </w:r>
      <w:r w:rsidRPr="009F4F07">
        <w:rPr>
          <w:rFonts w:asciiTheme="minorBidi" w:hAnsiTheme="minorBidi" w:cs="Arial"/>
          <w:sz w:val="16"/>
          <w:szCs w:val="16"/>
          <w:rtl/>
        </w:rPr>
        <w:t>סע</w:t>
      </w:r>
      <w:r w:rsidRPr="009F4F07">
        <w:rPr>
          <w:rFonts w:asciiTheme="minorBidi" w:hAnsiTheme="minorBidi" w:cs="Arial" w:hint="cs"/>
          <w:sz w:val="16"/>
          <w:szCs w:val="16"/>
          <w:rtl/>
        </w:rPr>
        <w:t>'</w:t>
      </w:r>
      <w:r w:rsidRPr="009F4F07">
        <w:rPr>
          <w:rFonts w:asciiTheme="minorBidi" w:hAnsiTheme="minorBidi" w:cs="Arial"/>
          <w:sz w:val="16"/>
          <w:szCs w:val="16"/>
          <w:rtl/>
        </w:rPr>
        <w:t xml:space="preserve"> ב ד"ה וכן</w:t>
      </w:r>
      <w:r w:rsidRPr="009F4F07">
        <w:rPr>
          <w:rFonts w:asciiTheme="minorBidi" w:hAnsiTheme="minorBidi" w:cs="Arial" w:hint="cs"/>
          <w:sz w:val="16"/>
          <w:szCs w:val="16"/>
          <w:rtl/>
        </w:rPr>
        <w:t>)</w:t>
      </w:r>
      <w:r w:rsidR="009F4F07" w:rsidRPr="009F4F07">
        <w:rPr>
          <w:rFonts w:asciiTheme="minorBidi" w:hAnsiTheme="minorBidi" w:cs="Arial" w:hint="cs"/>
          <w:sz w:val="16"/>
          <w:szCs w:val="16"/>
          <w:rtl/>
        </w:rPr>
        <w:t xml:space="preserve"> </w:t>
      </w:r>
      <w:r w:rsidR="009F4F07">
        <w:rPr>
          <w:rFonts w:asciiTheme="minorBidi" w:hAnsiTheme="minorBidi" w:cs="Arial" w:hint="cs"/>
          <w:rtl/>
        </w:rPr>
        <w:t xml:space="preserve">כנה"ג </w:t>
      </w:r>
      <w:r w:rsidR="009F4F07" w:rsidRPr="009F4F07">
        <w:rPr>
          <w:rFonts w:asciiTheme="minorBidi" w:hAnsiTheme="minorBidi" w:cs="Arial" w:hint="cs"/>
          <w:sz w:val="16"/>
          <w:szCs w:val="16"/>
          <w:rtl/>
        </w:rPr>
        <w:t xml:space="preserve">(אות ג) </w:t>
      </w:r>
      <w:r w:rsidR="009F4F07">
        <w:rPr>
          <w:rFonts w:asciiTheme="minorBidi" w:hAnsiTheme="minorBidi" w:cs="Arial" w:hint="cs"/>
          <w:rtl/>
        </w:rPr>
        <w:t xml:space="preserve">ברכ"י </w:t>
      </w:r>
      <w:r w:rsidR="009F4F07" w:rsidRPr="009F4F07">
        <w:rPr>
          <w:rFonts w:asciiTheme="minorBidi" w:hAnsiTheme="minorBidi" w:cs="Arial" w:hint="cs"/>
          <w:sz w:val="16"/>
          <w:szCs w:val="16"/>
          <w:rtl/>
        </w:rPr>
        <w:t xml:space="preserve">(אות ג) </w:t>
      </w:r>
      <w:r w:rsidR="009F4F07">
        <w:rPr>
          <w:rFonts w:asciiTheme="minorBidi" w:hAnsiTheme="minorBidi" w:cs="Arial" w:hint="cs"/>
          <w:rtl/>
        </w:rPr>
        <w:t xml:space="preserve">תומים </w:t>
      </w:r>
      <w:r w:rsidR="009F4F07" w:rsidRPr="009F4F07">
        <w:rPr>
          <w:rFonts w:asciiTheme="minorBidi" w:hAnsiTheme="minorBidi" w:cs="Arial" w:hint="cs"/>
          <w:sz w:val="16"/>
          <w:szCs w:val="16"/>
          <w:rtl/>
        </w:rPr>
        <w:t>(סק"א)</w:t>
      </w:r>
      <w:r w:rsidR="009F4F07" w:rsidRPr="009F4F07">
        <w:rPr>
          <w:rFonts w:asciiTheme="minorBidi" w:hAnsiTheme="minorBidi" w:cs="Arial" w:hint="cs"/>
          <w:rtl/>
        </w:rPr>
        <w:t xml:space="preserve"> </w:t>
      </w:r>
      <w:r w:rsidR="009F4F07">
        <w:rPr>
          <w:rFonts w:asciiTheme="minorBidi" w:hAnsiTheme="minorBidi" w:cs="Arial" w:hint="cs"/>
          <w:rtl/>
        </w:rPr>
        <w:t xml:space="preserve">שבו"י </w:t>
      </w:r>
      <w:r w:rsidR="009F4F07" w:rsidRPr="009F4F07">
        <w:rPr>
          <w:rFonts w:asciiTheme="minorBidi" w:hAnsiTheme="minorBidi" w:cs="Arial" w:hint="cs"/>
          <w:sz w:val="16"/>
          <w:szCs w:val="16"/>
          <w:rtl/>
        </w:rPr>
        <w:t xml:space="preserve">(ח"א סי' קמד) </w:t>
      </w:r>
      <w:r w:rsidR="009F4F07">
        <w:rPr>
          <w:rFonts w:asciiTheme="minorBidi" w:hAnsiTheme="minorBidi" w:cs="Arial" w:hint="cs"/>
          <w:rtl/>
        </w:rPr>
        <w:t xml:space="preserve">ונתיבות </w:t>
      </w:r>
      <w:r w:rsidR="009F4F07" w:rsidRPr="009F4F07">
        <w:rPr>
          <w:rFonts w:asciiTheme="minorBidi" w:hAnsiTheme="minorBidi" w:cs="Arial" w:hint="cs"/>
          <w:sz w:val="16"/>
          <w:szCs w:val="16"/>
          <w:rtl/>
        </w:rPr>
        <w:t>(משה"כ סק"ב)</w:t>
      </w:r>
      <w:r>
        <w:rPr>
          <w:rFonts w:asciiTheme="minorBidi" w:hAnsiTheme="minorBidi" w:cs="Arial" w:hint="cs"/>
          <w:rtl/>
        </w:rPr>
        <w:t>-</w:t>
      </w:r>
      <w:r w:rsidRPr="001A1EE3">
        <w:rPr>
          <w:rFonts w:asciiTheme="minorBidi" w:hAnsiTheme="minorBidi" w:cs="Arial"/>
          <w:rtl/>
        </w:rPr>
        <w:t xml:space="preserve"> דין זה נוהג אף בזמנינו שאין נוהגים בנו דין ת"ח, מ"מ חובת התורה והמצוות היא על כל דיין להשתדל בכל צורבא מרבנן לדונו יפה</w:t>
      </w:r>
      <w:r w:rsidR="009F4F07">
        <w:rPr>
          <w:rFonts w:asciiTheme="minorBidi" w:hAnsiTheme="minorBidi" w:cs="Arial" w:hint="cs"/>
          <w:sz w:val="16"/>
          <w:szCs w:val="16"/>
          <w:rtl/>
        </w:rPr>
        <w:t xml:space="preserve"> (ל' הב"ח)</w:t>
      </w:r>
      <w:r w:rsidR="009F4F07">
        <w:rPr>
          <w:rStyle w:val="ab"/>
          <w:rFonts w:asciiTheme="minorBidi" w:hAnsiTheme="minorBidi" w:cs="Arial"/>
          <w:rtl/>
        </w:rPr>
        <w:footnoteReference w:id="840"/>
      </w:r>
      <w:r>
        <w:rPr>
          <w:rFonts w:asciiTheme="minorBidi" w:hAnsiTheme="minorBidi" w:cs="Arial" w:hint="cs"/>
          <w:rtl/>
        </w:rPr>
        <w:t>.</w:t>
      </w:r>
      <w:r w:rsidRPr="001A1EE3">
        <w:rPr>
          <w:rFonts w:asciiTheme="minorBidi" w:hAnsiTheme="minorBidi" w:cs="Arial"/>
          <w:rtl/>
        </w:rPr>
        <w:t xml:space="preserve"> </w:t>
      </w:r>
    </w:p>
    <w:p w14:paraId="16DE544D" w14:textId="77777777" w:rsidR="001A1EE3" w:rsidRPr="001A1EE3" w:rsidRDefault="001A1EE3" w:rsidP="001A1EE3">
      <w:pPr>
        <w:rPr>
          <w:rFonts w:asciiTheme="minorBidi" w:hAnsiTheme="minorBidi"/>
          <w:rtl/>
        </w:rPr>
      </w:pPr>
    </w:p>
    <w:p w14:paraId="6A54C09F" w14:textId="77777777" w:rsidR="00E137BC" w:rsidRDefault="00E137BC" w:rsidP="006567B0">
      <w:pPr>
        <w:pStyle w:val="2"/>
        <w:rPr>
          <w:rtl/>
        </w:rPr>
      </w:pPr>
      <w:bookmarkStart w:id="129" w:name="_Toc24883614"/>
      <w:r w:rsidRPr="00576D5C">
        <w:rPr>
          <w:rtl/>
        </w:rPr>
        <w:t>סעיף ב</w:t>
      </w:r>
      <w:r w:rsidR="0000353D">
        <w:rPr>
          <w:rFonts w:hint="cs"/>
          <w:rtl/>
        </w:rPr>
        <w:t>:</w:t>
      </w:r>
      <w:r w:rsidR="001E4DA9">
        <w:rPr>
          <w:rFonts w:hint="cs"/>
          <w:rtl/>
        </w:rPr>
        <w:t xml:space="preserve"> היו לפניו דינים הרבה </w:t>
      </w:r>
      <w:r w:rsidR="001E4DA9">
        <w:rPr>
          <w:rtl/>
        </w:rPr>
        <w:t>–</w:t>
      </w:r>
      <w:r w:rsidR="001E4DA9">
        <w:rPr>
          <w:rFonts w:hint="cs"/>
          <w:rtl/>
        </w:rPr>
        <w:t xml:space="preserve"> מי קודם למי.</w:t>
      </w:r>
      <w:bookmarkEnd w:id="129"/>
    </w:p>
    <w:p w14:paraId="506E8BDF" w14:textId="77777777" w:rsidR="001E4DA9" w:rsidRDefault="001E4DA9" w:rsidP="001E4DA9">
      <w:pPr>
        <w:rPr>
          <w:rFonts w:cs="Arial"/>
          <w:rtl/>
        </w:rPr>
      </w:pPr>
      <w:bookmarkStart w:id="130" w:name="_Hlk18679370"/>
      <w:r w:rsidRPr="001E4DA9">
        <w:rPr>
          <w:rFonts w:cs="Arial" w:hint="cs"/>
          <w:b/>
          <w:bCs/>
          <w:rtl/>
        </w:rPr>
        <w:t>יבמות</w:t>
      </w:r>
      <w:r w:rsidRPr="001E4DA9">
        <w:rPr>
          <w:rFonts w:cs="Arial" w:hint="cs"/>
          <w:b/>
          <w:bCs/>
          <w:sz w:val="16"/>
          <w:szCs w:val="16"/>
          <w:rtl/>
        </w:rPr>
        <w:t xml:space="preserve"> (</w:t>
      </w:r>
      <w:r w:rsidRPr="001E4DA9">
        <w:rPr>
          <w:rFonts w:cs="Arial"/>
          <w:b/>
          <w:bCs/>
          <w:sz w:val="16"/>
          <w:szCs w:val="16"/>
          <w:rtl/>
        </w:rPr>
        <w:t>פרק נושאין</w:t>
      </w:r>
      <w:r w:rsidRPr="001E4DA9">
        <w:rPr>
          <w:rFonts w:cs="Arial" w:hint="cs"/>
          <w:b/>
          <w:bCs/>
          <w:sz w:val="16"/>
          <w:szCs w:val="16"/>
          <w:rtl/>
        </w:rPr>
        <w:t>)</w:t>
      </w:r>
      <w:r w:rsidRPr="001E4DA9">
        <w:rPr>
          <w:rFonts w:cs="Arial"/>
          <w:b/>
          <w:bCs/>
          <w:sz w:val="16"/>
          <w:szCs w:val="16"/>
          <w:rtl/>
        </w:rPr>
        <w:t xml:space="preserve"> </w:t>
      </w:r>
      <w:r w:rsidRPr="001E4DA9">
        <w:rPr>
          <w:rFonts w:cs="Arial"/>
          <w:b/>
          <w:bCs/>
          <w:rtl/>
        </w:rPr>
        <w:t>ק</w:t>
      </w:r>
      <w:r w:rsidR="00BF24FC">
        <w:rPr>
          <w:rStyle w:val="ab"/>
          <w:rFonts w:cs="Arial"/>
          <w:b/>
          <w:bCs/>
          <w:rtl/>
        </w:rPr>
        <w:footnoteReference w:id="841"/>
      </w:r>
      <w:r w:rsidRPr="001E4DA9">
        <w:rPr>
          <w:rFonts w:cs="Arial" w:hint="cs"/>
          <w:b/>
          <w:bCs/>
          <w:rtl/>
        </w:rPr>
        <w:t xml:space="preserve"> ע"א</w:t>
      </w:r>
      <w:r w:rsidRPr="001E4DA9">
        <w:rPr>
          <w:rFonts w:cs="Arial"/>
          <w:b/>
          <w:bCs/>
          <w:rtl/>
        </w:rPr>
        <w:t>:</w:t>
      </w:r>
      <w:r w:rsidRPr="001E4DA9">
        <w:rPr>
          <w:b/>
          <w:bCs/>
          <w:rtl/>
        </w:rPr>
        <w:t xml:space="preserve"> </w:t>
      </w:r>
      <w:r w:rsidRPr="001E4DA9">
        <w:rPr>
          <w:rFonts w:cs="Arial"/>
          <w:rtl/>
        </w:rPr>
        <w:t xml:space="preserve">תנו רבנן: העבד והאשה - אין חולקין להם תרומה בבית הגרנות, ובמקום שחולקין - נותנין לאשה תחלה ופוטרין אותה מיד. מאי קאמר? הכי קאמר: במקום שחולקין מעשר עני - נותנין לאשה תחלה; מ"ט? משום זילותא. </w:t>
      </w:r>
      <w:r w:rsidRPr="001E4DA9">
        <w:rPr>
          <w:rFonts w:cs="Arial"/>
          <w:u w:val="single"/>
          <w:rtl/>
        </w:rPr>
        <w:t>אמר רבא</w:t>
      </w:r>
      <w:r w:rsidRPr="001E4DA9">
        <w:rPr>
          <w:rFonts w:cs="Arial"/>
          <w:rtl/>
        </w:rPr>
        <w:t xml:space="preserve">: מרישא כי הוו אתו גברא ואתתא לדינא קמאי, הוה שרינא תיגרא דגברא ברישא, אמינא דמיחייב במצות, כיון דשמענא להא, שרינא תיגרא דאתתא ברישא, מ"ט? משום זילותא. </w:t>
      </w:r>
      <w:r>
        <w:rPr>
          <w:rFonts w:cs="Arial"/>
          <w:rtl/>
        </w:rPr>
        <w:t xml:space="preserve"> </w:t>
      </w:r>
    </w:p>
    <w:bookmarkEnd w:id="130"/>
    <w:p w14:paraId="3BF8CA5F" w14:textId="77777777" w:rsidR="00B82919" w:rsidRPr="00B82919" w:rsidRDefault="00B82919" w:rsidP="00B82919">
      <w:pPr>
        <w:rPr>
          <w:rFonts w:cs="Arial"/>
          <w:u w:val="single"/>
        </w:rPr>
      </w:pPr>
      <w:r w:rsidRPr="00B82919">
        <w:rPr>
          <w:rFonts w:cs="Arial" w:hint="cs"/>
          <w:u w:val="single"/>
          <w:rtl/>
        </w:rPr>
        <w:t>היו לפניו דינים הרבה</w:t>
      </w:r>
      <w:r w:rsidR="001E4DA9">
        <w:rPr>
          <w:rFonts w:cs="Arial" w:hint="cs"/>
          <w:u w:val="single"/>
          <w:rtl/>
        </w:rPr>
        <w:t xml:space="preserve"> </w:t>
      </w:r>
      <w:r w:rsidR="001E4DA9">
        <w:rPr>
          <w:rFonts w:cs="Arial"/>
          <w:u w:val="single"/>
          <w:rtl/>
        </w:rPr>
        <w:t>–</w:t>
      </w:r>
      <w:r w:rsidR="001E4DA9">
        <w:rPr>
          <w:rFonts w:cs="Arial" w:hint="cs"/>
          <w:u w:val="single"/>
          <w:rtl/>
        </w:rPr>
        <w:t xml:space="preserve"> מי קודם למי</w:t>
      </w:r>
      <w:r w:rsidRPr="00B82919">
        <w:rPr>
          <w:rFonts w:cs="Arial" w:hint="cs"/>
          <w:u w:val="single"/>
          <w:rtl/>
        </w:rPr>
        <w:t>:</w:t>
      </w:r>
    </w:p>
    <w:p w14:paraId="5278689D" w14:textId="77777777" w:rsidR="00B82919" w:rsidRPr="00B82919" w:rsidRDefault="00B82919" w:rsidP="004B0475">
      <w:pPr>
        <w:pStyle w:val="ac"/>
        <w:numPr>
          <w:ilvl w:val="0"/>
          <w:numId w:val="14"/>
        </w:numPr>
        <w:rPr>
          <w:rFonts w:cs="Arial"/>
          <w:rtl/>
        </w:rPr>
      </w:pPr>
      <w:r>
        <w:rPr>
          <w:rFonts w:cs="Arial" w:hint="cs"/>
          <w:rtl/>
        </w:rPr>
        <w:lastRenderedPageBreak/>
        <w:t xml:space="preserve">רמב"ם </w:t>
      </w:r>
      <w:r>
        <w:rPr>
          <w:rFonts w:cs="Arial" w:hint="cs"/>
          <w:sz w:val="16"/>
          <w:szCs w:val="16"/>
          <w:rtl/>
        </w:rPr>
        <w:t>(</w:t>
      </w:r>
      <w:r w:rsidRPr="00B82919">
        <w:rPr>
          <w:rFonts w:cs="Arial" w:hint="cs"/>
          <w:sz w:val="16"/>
          <w:szCs w:val="16"/>
          <w:rtl/>
        </w:rPr>
        <w:t>פכ"א מהל' סנהדרין ה"ו)</w:t>
      </w:r>
      <w:r>
        <w:rPr>
          <w:rFonts w:cs="Arial" w:hint="cs"/>
          <w:rtl/>
        </w:rPr>
        <w:t xml:space="preserve"> וטור- </w:t>
      </w:r>
      <w:r w:rsidRPr="00B82919">
        <w:rPr>
          <w:rFonts w:cs="Arial"/>
          <w:rtl/>
        </w:rPr>
        <w:t xml:space="preserve">היו לפני הדיינים בעלי דין הרבה </w:t>
      </w:r>
      <w:r w:rsidR="00D86DE2">
        <w:rPr>
          <w:rFonts w:cs="Arial" w:hint="cs"/>
          <w:rtl/>
        </w:rPr>
        <w:t xml:space="preserve">- </w:t>
      </w:r>
      <w:r w:rsidRPr="00B82919">
        <w:rPr>
          <w:rFonts w:cs="Arial"/>
          <w:rtl/>
        </w:rPr>
        <w:t>מקדימין את דין היתום לדין האלמנה</w:t>
      </w:r>
      <w:r w:rsidR="00D86DE2">
        <w:rPr>
          <w:rFonts w:cs="Arial" w:hint="cs"/>
          <w:rtl/>
        </w:rPr>
        <w:t>,</w:t>
      </w:r>
      <w:r w:rsidRPr="00B82919">
        <w:rPr>
          <w:rFonts w:cs="Arial"/>
          <w:rtl/>
        </w:rPr>
        <w:t xml:space="preserve"> שנאמר שפטו יתום ריבו אלמנה</w:t>
      </w:r>
      <w:r w:rsidR="00D86DE2">
        <w:rPr>
          <w:rFonts w:cs="Arial" w:hint="cs"/>
          <w:rtl/>
        </w:rPr>
        <w:t>.</w:t>
      </w:r>
      <w:r w:rsidRPr="00B82919">
        <w:rPr>
          <w:rFonts w:cs="Arial"/>
          <w:rtl/>
        </w:rPr>
        <w:t xml:space="preserve"> ודין אלמנה קודם לדין תלמיד חכם</w:t>
      </w:r>
      <w:r>
        <w:rPr>
          <w:rStyle w:val="ab"/>
          <w:rFonts w:cs="Arial"/>
          <w:rtl/>
        </w:rPr>
        <w:footnoteReference w:id="842"/>
      </w:r>
      <w:r w:rsidR="00D86DE2">
        <w:rPr>
          <w:rFonts w:cs="Arial" w:hint="cs"/>
          <w:rtl/>
        </w:rPr>
        <w:t>.</w:t>
      </w:r>
      <w:r w:rsidRPr="00B82919">
        <w:rPr>
          <w:rFonts w:cs="Arial"/>
          <w:rtl/>
        </w:rPr>
        <w:t xml:space="preserve"> ודין תלמיד חכם קודם לדין עם הארץ</w:t>
      </w:r>
      <w:r w:rsidR="0026553A">
        <w:rPr>
          <w:rFonts w:cs="Arial" w:hint="cs"/>
          <w:rtl/>
        </w:rPr>
        <w:t>,</w:t>
      </w:r>
      <w:r w:rsidRPr="00B82919">
        <w:rPr>
          <w:rFonts w:cs="Arial"/>
          <w:rtl/>
        </w:rPr>
        <w:t xml:space="preserve"> ודין האשה קודם לדין האיש שבשת האשה מרובה</w:t>
      </w:r>
      <w:r>
        <w:rPr>
          <w:rFonts w:cs="Arial" w:hint="cs"/>
          <w:sz w:val="16"/>
          <w:szCs w:val="16"/>
          <w:rtl/>
        </w:rPr>
        <w:t xml:space="preserve"> (ל' הרמב"ם)</w:t>
      </w:r>
      <w:r>
        <w:rPr>
          <w:rFonts w:cs="Arial" w:hint="cs"/>
          <w:rtl/>
        </w:rPr>
        <w:t>.</w:t>
      </w:r>
      <w:r w:rsidR="00BF24FC" w:rsidRPr="00BF24FC">
        <w:rPr>
          <w:rFonts w:cs="Arial" w:hint="cs"/>
          <w:color w:val="E36C0A" w:themeColor="accent6" w:themeShade="BF"/>
          <w:rtl/>
        </w:rPr>
        <w:t xml:space="preserve"> </w:t>
      </w:r>
      <w:r w:rsidR="00BF24FC" w:rsidRPr="00173817">
        <w:rPr>
          <w:rFonts w:cs="Arial" w:hint="cs"/>
          <w:color w:val="E36C0A" w:themeColor="accent6" w:themeShade="BF"/>
          <w:rtl/>
        </w:rPr>
        <w:t>(וכ"פ בשו"ע)</w:t>
      </w:r>
      <w:r w:rsidR="00BF24FC">
        <w:rPr>
          <w:rFonts w:cs="Arial" w:hint="cs"/>
          <w:rtl/>
        </w:rPr>
        <w:t xml:space="preserve"> </w:t>
      </w:r>
    </w:p>
    <w:p w14:paraId="70524186" w14:textId="77777777" w:rsidR="001E4DA9" w:rsidRPr="001E4DA9" w:rsidRDefault="001E4DA9" w:rsidP="0000353D">
      <w:pPr>
        <w:rPr>
          <w:rFonts w:cs="Arial"/>
          <w:u w:val="single"/>
          <w:rtl/>
        </w:rPr>
      </w:pPr>
      <w:r w:rsidRPr="001E4DA9">
        <w:rPr>
          <w:rFonts w:cs="Arial"/>
          <w:u w:val="single"/>
          <w:rtl/>
        </w:rPr>
        <w:t>השוכר את הקטן ומעכב שכירותו</w:t>
      </w:r>
      <w:r w:rsidR="00DE5928">
        <w:rPr>
          <w:rFonts w:cs="Arial" w:hint="cs"/>
          <w:u w:val="single"/>
          <w:rtl/>
        </w:rPr>
        <w:t xml:space="preserve"> -</w:t>
      </w:r>
      <w:r w:rsidRPr="001E4DA9">
        <w:rPr>
          <w:rFonts w:cs="Arial"/>
          <w:u w:val="single"/>
          <w:rtl/>
        </w:rPr>
        <w:t xml:space="preserve"> </w:t>
      </w:r>
      <w:r w:rsidRPr="001E4DA9">
        <w:rPr>
          <w:rFonts w:cs="Arial" w:hint="cs"/>
          <w:u w:val="single"/>
          <w:rtl/>
        </w:rPr>
        <w:t>ה</w:t>
      </w:r>
      <w:r w:rsidRPr="001E4DA9">
        <w:rPr>
          <w:rFonts w:cs="Arial"/>
          <w:u w:val="single"/>
          <w:rtl/>
        </w:rPr>
        <w:t xml:space="preserve">אם מוציאין ממנו </w:t>
      </w:r>
      <w:r w:rsidRPr="001E4DA9">
        <w:rPr>
          <w:rFonts w:cs="Arial" w:hint="cs"/>
          <w:u w:val="single"/>
          <w:rtl/>
        </w:rPr>
        <w:t>בבית דין:</w:t>
      </w:r>
    </w:p>
    <w:p w14:paraId="1EA8A080" w14:textId="77777777" w:rsidR="0000353D" w:rsidRPr="0000353D" w:rsidRDefault="0000353D" w:rsidP="004B0475">
      <w:pPr>
        <w:pStyle w:val="ac"/>
        <w:numPr>
          <w:ilvl w:val="0"/>
          <w:numId w:val="14"/>
        </w:numPr>
        <w:rPr>
          <w:rtl/>
        </w:rPr>
      </w:pPr>
      <w:r w:rsidRPr="001E4DA9">
        <w:rPr>
          <w:rFonts w:cs="Arial"/>
          <w:rtl/>
        </w:rPr>
        <w:t xml:space="preserve">רשב"א </w:t>
      </w:r>
      <w:r w:rsidRPr="001E4DA9">
        <w:rPr>
          <w:rFonts w:cs="Arial"/>
          <w:sz w:val="16"/>
          <w:szCs w:val="16"/>
          <w:rtl/>
        </w:rPr>
        <w:t>(שו"ת ח"ג סי' צט)</w:t>
      </w:r>
      <w:r w:rsidR="001E4DA9" w:rsidRPr="001E4DA9">
        <w:rPr>
          <w:rFonts w:cs="Arial" w:hint="cs"/>
          <w:rtl/>
        </w:rPr>
        <w:t xml:space="preserve">- </w:t>
      </w:r>
      <w:r w:rsidR="00BF24FC">
        <w:rPr>
          <w:rFonts w:cs="Arial" w:hint="cs"/>
          <w:rtl/>
        </w:rPr>
        <w:t xml:space="preserve">שאלת, </w:t>
      </w:r>
      <w:r w:rsidRPr="001E4DA9">
        <w:rPr>
          <w:rFonts w:cs="Arial"/>
          <w:rtl/>
        </w:rPr>
        <w:t>השוכר את הקטן ומעכב שכירותו אם מוציאין ממנו בדיינים</w:t>
      </w:r>
      <w:r w:rsidR="00DE5928">
        <w:rPr>
          <w:rFonts w:cs="Arial" w:hint="cs"/>
          <w:rtl/>
        </w:rPr>
        <w:t>,</w:t>
      </w:r>
      <w:r w:rsidRPr="001E4DA9">
        <w:rPr>
          <w:rFonts w:cs="Arial"/>
          <w:rtl/>
        </w:rPr>
        <w:t xml:space="preserve"> שהרי אין בגוזל מציאתו אלא משום דרכי שלום </w:t>
      </w:r>
      <w:r w:rsidRPr="001E4DA9">
        <w:rPr>
          <w:rFonts w:cs="Arial"/>
          <w:sz w:val="16"/>
          <w:szCs w:val="16"/>
          <w:rtl/>
        </w:rPr>
        <w:t>(גיטין נט:)</w:t>
      </w:r>
      <w:r w:rsidRPr="001E4DA9">
        <w:rPr>
          <w:rFonts w:cs="Arial"/>
          <w:rtl/>
        </w:rPr>
        <w:t>. תשובה</w:t>
      </w:r>
      <w:r w:rsidR="00BF24FC">
        <w:rPr>
          <w:rFonts w:cs="Arial" w:hint="cs"/>
          <w:rtl/>
        </w:rPr>
        <w:t>,</w:t>
      </w:r>
      <w:r w:rsidRPr="001E4DA9">
        <w:rPr>
          <w:rFonts w:cs="Arial"/>
          <w:rtl/>
        </w:rPr>
        <w:t xml:space="preserve"> דבר ברור הוא שמוציאין ממנו בבית דין</w:t>
      </w:r>
      <w:r w:rsidR="00BF24FC">
        <w:rPr>
          <w:rFonts w:cs="Arial" w:hint="cs"/>
          <w:rtl/>
        </w:rPr>
        <w:t>,</w:t>
      </w:r>
      <w:r w:rsidRPr="001E4DA9">
        <w:rPr>
          <w:rFonts w:cs="Arial"/>
          <w:rtl/>
        </w:rPr>
        <w:t xml:space="preserve"> שלא אמרו במציאה אלא מפני שאין לו יד לזכות במה שאינו שלו ואין דעת אחרת מקנה לו</w:t>
      </w:r>
      <w:r w:rsidR="00BF24FC">
        <w:rPr>
          <w:rFonts w:cs="Arial" w:hint="cs"/>
          <w:rtl/>
        </w:rPr>
        <w:t>,</w:t>
      </w:r>
      <w:r w:rsidRPr="001E4DA9">
        <w:rPr>
          <w:rFonts w:cs="Arial"/>
          <w:rtl/>
        </w:rPr>
        <w:t xml:space="preserve"> אבל בדעת אחרת מקנה יש לו יד כדאיתא בפרק התקבל </w:t>
      </w:r>
      <w:r w:rsidRPr="001E4DA9">
        <w:rPr>
          <w:rFonts w:cs="Arial"/>
          <w:sz w:val="16"/>
          <w:szCs w:val="16"/>
          <w:rtl/>
        </w:rPr>
        <w:t>(שם סד:)</w:t>
      </w:r>
      <w:r w:rsidR="00DE5928">
        <w:rPr>
          <w:rFonts w:cs="Arial" w:hint="cs"/>
          <w:rtl/>
        </w:rPr>
        <w:t>.</w:t>
      </w:r>
      <w:r w:rsidR="00BF24FC">
        <w:rPr>
          <w:rFonts w:cs="Arial" w:hint="cs"/>
          <w:rtl/>
        </w:rPr>
        <w:t xml:space="preserve"> </w:t>
      </w:r>
      <w:r w:rsidRPr="001E4DA9">
        <w:rPr>
          <w:rFonts w:cs="Arial"/>
          <w:rtl/>
        </w:rPr>
        <w:t xml:space="preserve">וכן אינו בדין השומרים לפי שאיש כתוב בפרשה </w:t>
      </w:r>
      <w:r w:rsidRPr="001E4DA9">
        <w:rPr>
          <w:rFonts w:cs="Arial"/>
          <w:sz w:val="16"/>
          <w:szCs w:val="16"/>
          <w:rtl/>
        </w:rPr>
        <w:t>(שמות כב ו, ט)</w:t>
      </w:r>
      <w:r w:rsidR="00BF24FC">
        <w:rPr>
          <w:rFonts w:cs="Arial" w:hint="cs"/>
          <w:rtl/>
        </w:rPr>
        <w:t xml:space="preserve">, </w:t>
      </w:r>
      <w:r w:rsidRPr="001E4DA9">
        <w:rPr>
          <w:rFonts w:cs="Arial"/>
          <w:rtl/>
        </w:rPr>
        <w:t xml:space="preserve">אבל במה שהוא שלו בין שהיה שלו בין שהרויח בשל אחרים בשכירותו </w:t>
      </w:r>
      <w:r w:rsidR="00BF24FC">
        <w:rPr>
          <w:rFonts w:cs="Arial" w:hint="cs"/>
          <w:rtl/>
        </w:rPr>
        <w:t xml:space="preserve">- </w:t>
      </w:r>
      <w:r w:rsidRPr="001E4DA9">
        <w:rPr>
          <w:rFonts w:cs="Arial"/>
          <w:rtl/>
        </w:rPr>
        <w:t>הרי הוא שלו גמור</w:t>
      </w:r>
      <w:r w:rsidR="001E4DA9" w:rsidRPr="001E4DA9">
        <w:rPr>
          <w:rFonts w:cs="Arial" w:hint="cs"/>
          <w:rtl/>
        </w:rPr>
        <w:t>.</w:t>
      </w:r>
    </w:p>
    <w:p w14:paraId="46221ADA" w14:textId="77777777" w:rsidR="00E137BC" w:rsidRPr="00576D5C" w:rsidRDefault="00E137BC" w:rsidP="00576D5C">
      <w:pPr>
        <w:rPr>
          <w:rFonts w:asciiTheme="minorBidi" w:hAnsiTheme="minorBidi"/>
          <w:b/>
          <w:bCs/>
          <w:color w:val="000000"/>
          <w:sz w:val="28"/>
          <w:szCs w:val="28"/>
          <w:u w:val="single"/>
          <w:rtl/>
        </w:rPr>
      </w:pPr>
      <w:r w:rsidRPr="00576D5C">
        <w:rPr>
          <w:rFonts w:asciiTheme="minorBidi" w:hAnsiTheme="minorBidi"/>
          <w:b/>
          <w:bCs/>
          <w:color w:val="000000"/>
          <w:sz w:val="28"/>
          <w:szCs w:val="28"/>
          <w:u w:val="single"/>
          <w:rtl/>
        </w:rPr>
        <w:t>שו"ע:</w:t>
      </w:r>
    </w:p>
    <w:p w14:paraId="256CFA8F" w14:textId="77777777" w:rsidR="00E137BC" w:rsidRDefault="00E137BC" w:rsidP="00576D5C">
      <w:pPr>
        <w:rPr>
          <w:rFonts w:asciiTheme="minorBidi" w:hAnsiTheme="minorBidi"/>
          <w:rtl/>
        </w:rPr>
      </w:pPr>
      <w:r w:rsidRPr="00576D5C">
        <w:rPr>
          <w:rFonts w:asciiTheme="minorBidi" w:hAnsiTheme="minorBidi"/>
          <w:rtl/>
        </w:rPr>
        <w:t>היו לפניו דינים הרבה, מקדימין דין היתום לדין האלמנה</w:t>
      </w:r>
      <w:r w:rsidR="00D86DE2">
        <w:rPr>
          <w:rFonts w:asciiTheme="minorBidi" w:hAnsiTheme="minorBidi" w:hint="cs"/>
          <w:rtl/>
        </w:rPr>
        <w:t>.</w:t>
      </w:r>
      <w:r w:rsidRPr="00576D5C">
        <w:rPr>
          <w:rFonts w:asciiTheme="minorBidi" w:hAnsiTheme="minorBidi"/>
          <w:rtl/>
        </w:rPr>
        <w:t xml:space="preserve"> ודין האלמנה קודם לדין תלמיד חכם</w:t>
      </w:r>
      <w:r w:rsidR="00D86DE2">
        <w:rPr>
          <w:rFonts w:asciiTheme="minorBidi" w:hAnsiTheme="minorBidi" w:hint="cs"/>
          <w:rtl/>
        </w:rPr>
        <w:t>.</w:t>
      </w:r>
      <w:r w:rsidRPr="00576D5C">
        <w:rPr>
          <w:rFonts w:asciiTheme="minorBidi" w:hAnsiTheme="minorBidi"/>
          <w:rtl/>
        </w:rPr>
        <w:t xml:space="preserve"> ודין תלמיד חכם קודם לדין עם הארץ</w:t>
      </w:r>
      <w:r w:rsidR="00D86DE2">
        <w:rPr>
          <w:rFonts w:asciiTheme="minorBidi" w:hAnsiTheme="minorBidi" w:hint="cs"/>
          <w:rtl/>
        </w:rPr>
        <w:t>.</w:t>
      </w:r>
      <w:r w:rsidRPr="00576D5C">
        <w:rPr>
          <w:rFonts w:asciiTheme="minorBidi" w:hAnsiTheme="minorBidi"/>
          <w:rtl/>
        </w:rPr>
        <w:t xml:space="preserve"> ודין האשה קודם לדין האיש. </w:t>
      </w:r>
    </w:p>
    <w:p w14:paraId="60D4FFDD" w14:textId="77777777" w:rsidR="0000353D" w:rsidRPr="00576D5C" w:rsidRDefault="0000353D" w:rsidP="00576D5C">
      <w:pPr>
        <w:rPr>
          <w:rFonts w:asciiTheme="minorBidi" w:hAnsiTheme="minorBidi"/>
          <w:rtl/>
        </w:rPr>
      </w:pPr>
    </w:p>
    <w:p w14:paraId="666898CD" w14:textId="77777777" w:rsidR="00E137BC" w:rsidRDefault="00E137BC" w:rsidP="006567B0">
      <w:pPr>
        <w:pStyle w:val="2"/>
        <w:rPr>
          <w:rtl/>
        </w:rPr>
      </w:pPr>
      <w:bookmarkStart w:id="131" w:name="_Toc24883615"/>
      <w:r w:rsidRPr="00576D5C">
        <w:rPr>
          <w:rtl/>
        </w:rPr>
        <w:t>סעיף ג</w:t>
      </w:r>
      <w:r w:rsidR="0000353D">
        <w:rPr>
          <w:rFonts w:hint="cs"/>
          <w:rtl/>
        </w:rPr>
        <w:t>:</w:t>
      </w:r>
      <w:r w:rsidR="002F32CF">
        <w:rPr>
          <w:rFonts w:hint="cs"/>
          <w:rtl/>
        </w:rPr>
        <w:t xml:space="preserve"> דין מרומה</w:t>
      </w:r>
      <w:r w:rsidR="00263239">
        <w:rPr>
          <w:rFonts w:hint="cs"/>
          <w:rtl/>
        </w:rPr>
        <w:t xml:space="preserve"> </w:t>
      </w:r>
      <w:r w:rsidR="00263239">
        <w:rPr>
          <w:rtl/>
        </w:rPr>
        <w:t>–</w:t>
      </w:r>
      <w:r w:rsidR="00263239">
        <w:rPr>
          <w:rFonts w:hint="cs"/>
          <w:rtl/>
        </w:rPr>
        <w:t xml:space="preserve"> כשהתובע רמאי</w:t>
      </w:r>
      <w:r w:rsidR="002F32CF">
        <w:rPr>
          <w:rFonts w:hint="cs"/>
          <w:rtl/>
        </w:rPr>
        <w:t>.</w:t>
      </w:r>
      <w:bookmarkEnd w:id="131"/>
    </w:p>
    <w:p w14:paraId="55BAD04E" w14:textId="77777777" w:rsidR="00BE4ABD" w:rsidRDefault="00BE4ABD" w:rsidP="00BE4ABD">
      <w:pPr>
        <w:rPr>
          <w:rFonts w:cs="Arial"/>
          <w:rtl/>
        </w:rPr>
      </w:pPr>
      <w:r w:rsidRPr="00CF3B0B">
        <w:rPr>
          <w:rFonts w:cs="Arial" w:hint="cs"/>
          <w:b/>
          <w:bCs/>
          <w:rtl/>
        </w:rPr>
        <w:t>סנהדרין</w:t>
      </w:r>
      <w:r w:rsidRPr="00CF3B0B">
        <w:rPr>
          <w:rFonts w:cs="Arial"/>
          <w:b/>
          <w:bCs/>
          <w:rtl/>
        </w:rPr>
        <w:t xml:space="preserve"> </w:t>
      </w:r>
      <w:r w:rsidRPr="00CF3B0B">
        <w:rPr>
          <w:rFonts w:cs="Arial" w:hint="cs"/>
          <w:b/>
          <w:bCs/>
          <w:sz w:val="16"/>
          <w:szCs w:val="16"/>
          <w:rtl/>
        </w:rPr>
        <w:t>(</w:t>
      </w:r>
      <w:r w:rsidRPr="00CF3B0B">
        <w:rPr>
          <w:rFonts w:cs="Arial"/>
          <w:b/>
          <w:bCs/>
          <w:sz w:val="16"/>
          <w:szCs w:val="16"/>
          <w:rtl/>
        </w:rPr>
        <w:t>ר</w:t>
      </w:r>
      <w:r w:rsidRPr="00CF3B0B">
        <w:rPr>
          <w:rFonts w:cs="Arial" w:hint="cs"/>
          <w:b/>
          <w:bCs/>
          <w:sz w:val="16"/>
          <w:szCs w:val="16"/>
          <w:rtl/>
        </w:rPr>
        <w:t>"</w:t>
      </w:r>
      <w:r w:rsidRPr="00CF3B0B">
        <w:rPr>
          <w:rFonts w:cs="Arial"/>
          <w:b/>
          <w:bCs/>
          <w:sz w:val="16"/>
          <w:szCs w:val="16"/>
          <w:rtl/>
        </w:rPr>
        <w:t>פ אחד דיני ממונות</w:t>
      </w:r>
      <w:r w:rsidRPr="00CF3B0B">
        <w:rPr>
          <w:rFonts w:cs="Arial" w:hint="cs"/>
          <w:b/>
          <w:bCs/>
          <w:sz w:val="16"/>
          <w:szCs w:val="16"/>
          <w:rtl/>
        </w:rPr>
        <w:t>)</w:t>
      </w:r>
      <w:r w:rsidRPr="00CF3B0B">
        <w:rPr>
          <w:rFonts w:cs="Arial"/>
          <w:b/>
          <w:bCs/>
          <w:sz w:val="16"/>
          <w:szCs w:val="16"/>
          <w:rtl/>
        </w:rPr>
        <w:t xml:space="preserve"> </w:t>
      </w:r>
      <w:r w:rsidRPr="00CF3B0B">
        <w:rPr>
          <w:rFonts w:cs="Arial"/>
          <w:b/>
          <w:bCs/>
          <w:rtl/>
        </w:rPr>
        <w:t>ל</w:t>
      </w:r>
      <w:r w:rsidR="00AD7FE5">
        <w:rPr>
          <w:rFonts w:cs="Arial" w:hint="cs"/>
          <w:b/>
          <w:bCs/>
          <w:rtl/>
        </w:rPr>
        <w:t>ב</w:t>
      </w:r>
      <w:r w:rsidR="00E47064">
        <w:rPr>
          <w:rStyle w:val="ab"/>
          <w:rFonts w:cs="Arial"/>
          <w:b/>
          <w:bCs/>
          <w:rtl/>
        </w:rPr>
        <w:footnoteReference w:id="843"/>
      </w:r>
      <w:r w:rsidR="00AD7FE5">
        <w:rPr>
          <w:rFonts w:cs="Arial" w:hint="cs"/>
          <w:b/>
          <w:bCs/>
          <w:rtl/>
        </w:rPr>
        <w:t xml:space="preserve"> </w:t>
      </w:r>
      <w:r w:rsidRPr="00CF3B0B">
        <w:rPr>
          <w:rFonts w:cs="Arial" w:hint="cs"/>
          <w:b/>
          <w:bCs/>
          <w:rtl/>
        </w:rPr>
        <w:t>ע"א:</w:t>
      </w:r>
      <w:r w:rsidRPr="00CF3B0B">
        <w:rPr>
          <w:rFonts w:cs="Arial"/>
          <w:b/>
          <w:bCs/>
          <w:rtl/>
        </w:rPr>
        <w:t xml:space="preserve"> </w:t>
      </w:r>
      <w:r w:rsidRPr="00CF3B0B">
        <w:rPr>
          <w:rFonts w:cs="Arial"/>
          <w:u w:val="double"/>
          <w:rtl/>
        </w:rPr>
        <w:t>משנה</w:t>
      </w:r>
      <w:r>
        <w:rPr>
          <w:rFonts w:cs="Arial" w:hint="cs"/>
          <w:rtl/>
        </w:rPr>
        <w:t>:</w:t>
      </w:r>
      <w:r w:rsidRPr="00CF3B0B">
        <w:rPr>
          <w:rFonts w:cs="Arial"/>
          <w:rtl/>
        </w:rPr>
        <w:t xml:space="preserve"> אחד דיני ממונות ואחד דיני נפשות בדרישה ובחקירה, שנאמר משפט אחד יהיה לכם.</w:t>
      </w:r>
      <w:r>
        <w:rPr>
          <w:rFonts w:cs="Arial" w:hint="cs"/>
          <w:rtl/>
        </w:rPr>
        <w:t xml:space="preserve">..   </w:t>
      </w:r>
      <w:r w:rsidRPr="00CF3B0B">
        <w:rPr>
          <w:rFonts w:cs="Arial" w:hint="cs"/>
          <w:u w:val="double"/>
          <w:rtl/>
        </w:rPr>
        <w:t>גמרא</w:t>
      </w:r>
      <w:r>
        <w:rPr>
          <w:rFonts w:cs="Arial" w:hint="cs"/>
          <w:rtl/>
        </w:rPr>
        <w:t>:</w:t>
      </w:r>
      <w:r w:rsidRPr="00CF3B0B">
        <w:rPr>
          <w:rtl/>
        </w:rPr>
        <w:t xml:space="preserve"> </w:t>
      </w:r>
      <w:r w:rsidRPr="00CF3B0B">
        <w:rPr>
          <w:rFonts w:cs="Arial"/>
          <w:rtl/>
        </w:rPr>
        <w:t>דיני ממונות מי בעינן דרישה וחקירה? ורמינהו: שטר שזמנו כתוב באחד בניסן בשמיטה, ובאו עדים ואמרו: היאך אתם מעידין על שטר זה? והלא ביום פלוני עמנו הייתם, במקום פלוני! שטר כשר, ועדיו כשרין. חיישינן שמא איחרוהו וכתבוהו. ואי סלקא דעתך בעינן דרישה וחקירה</w:t>
      </w:r>
      <w:r>
        <w:rPr>
          <w:rFonts w:cs="Arial" w:hint="cs"/>
          <w:rtl/>
        </w:rPr>
        <w:t>,</w:t>
      </w:r>
      <w:r w:rsidRPr="00CF3B0B">
        <w:rPr>
          <w:rFonts w:cs="Arial"/>
          <w:rtl/>
        </w:rPr>
        <w:t xml:space="preserve"> היכי</w:t>
      </w:r>
      <w:r w:rsidR="00DC14C0">
        <w:rPr>
          <w:rStyle w:val="ab"/>
          <w:rFonts w:cs="Arial"/>
          <w:rtl/>
        </w:rPr>
        <w:footnoteReference w:id="844"/>
      </w:r>
      <w:r w:rsidRPr="00CF3B0B">
        <w:rPr>
          <w:rFonts w:cs="Arial"/>
          <w:rtl/>
        </w:rPr>
        <w:t xml:space="preserve"> חיישינן שמא איחרוהו וכתבוהו?</w:t>
      </w:r>
      <w:r>
        <w:rPr>
          <w:rFonts w:cs="Arial" w:hint="cs"/>
          <w:rtl/>
        </w:rPr>
        <w:t>...</w:t>
      </w:r>
      <w:r>
        <w:rPr>
          <w:rFonts w:cs="Arial" w:hint="cs"/>
          <w:sz w:val="14"/>
          <w:szCs w:val="14"/>
          <w:rtl/>
        </w:rPr>
        <w:t xml:space="preserve"> (לב:)</w:t>
      </w:r>
      <w:r>
        <w:rPr>
          <w:rFonts w:cs="Arial" w:hint="cs"/>
          <w:rtl/>
        </w:rPr>
        <w:t xml:space="preserve"> </w:t>
      </w:r>
      <w:r w:rsidRPr="00CF3B0B">
        <w:rPr>
          <w:rFonts w:cs="Arial"/>
          <w:u w:val="single"/>
          <w:rtl/>
        </w:rPr>
        <w:t>רב פפא אמר</w:t>
      </w:r>
      <w:r w:rsidRPr="00CF3B0B">
        <w:rPr>
          <w:rFonts w:cs="Arial"/>
          <w:rtl/>
        </w:rPr>
        <w:t>: אידי ואידי בהודאה והלואה, כאן - בדין מרומה</w:t>
      </w:r>
      <w:r>
        <w:rPr>
          <w:rStyle w:val="ab"/>
          <w:rFonts w:cs="Arial"/>
          <w:rtl/>
        </w:rPr>
        <w:footnoteReference w:id="845"/>
      </w:r>
      <w:r w:rsidRPr="00CF3B0B">
        <w:rPr>
          <w:rFonts w:cs="Arial"/>
          <w:rtl/>
        </w:rPr>
        <w:t>, כאן - בדין שאינו מרומה, כדריש לקיש. דריש לקיש רמי: כתיב בצדק תשפט</w:t>
      </w:r>
      <w:r>
        <w:rPr>
          <w:rStyle w:val="ab"/>
          <w:rFonts w:cs="Arial"/>
          <w:rtl/>
        </w:rPr>
        <w:footnoteReference w:id="846"/>
      </w:r>
      <w:r w:rsidRPr="00CF3B0B">
        <w:rPr>
          <w:rFonts w:cs="Arial"/>
          <w:rtl/>
        </w:rPr>
        <w:t xml:space="preserve"> עמיתך וכתיב צדק צדק תרדף, הא כיצד? כאן - בדין מרומה, כאן - בדין שאין מרומה. </w:t>
      </w:r>
    </w:p>
    <w:p w14:paraId="7AD62663" w14:textId="77777777" w:rsidR="00847B4D" w:rsidRDefault="00847B4D" w:rsidP="00BE4ABD">
      <w:pPr>
        <w:rPr>
          <w:rFonts w:cs="Arial"/>
          <w:rtl/>
        </w:rPr>
      </w:pPr>
      <w:r>
        <w:rPr>
          <w:rFonts w:cs="Arial" w:hint="cs"/>
          <w:b/>
          <w:bCs/>
          <w:rtl/>
        </w:rPr>
        <w:t>שבועות</w:t>
      </w:r>
      <w:r w:rsidRPr="00CF3B0B">
        <w:rPr>
          <w:rFonts w:cs="Arial"/>
          <w:b/>
          <w:bCs/>
          <w:rtl/>
        </w:rPr>
        <w:t xml:space="preserve"> </w:t>
      </w:r>
      <w:r w:rsidRPr="00CF3B0B">
        <w:rPr>
          <w:rFonts w:cs="Arial" w:hint="cs"/>
          <w:b/>
          <w:bCs/>
          <w:sz w:val="16"/>
          <w:szCs w:val="16"/>
          <w:rtl/>
        </w:rPr>
        <w:t>(</w:t>
      </w:r>
      <w:r w:rsidRPr="00CF3B0B">
        <w:rPr>
          <w:rFonts w:cs="Arial"/>
          <w:b/>
          <w:bCs/>
          <w:sz w:val="16"/>
          <w:szCs w:val="16"/>
          <w:rtl/>
        </w:rPr>
        <w:t>פ</w:t>
      </w:r>
      <w:r>
        <w:rPr>
          <w:rFonts w:cs="Arial" w:hint="cs"/>
          <w:b/>
          <w:bCs/>
          <w:sz w:val="16"/>
          <w:szCs w:val="16"/>
          <w:rtl/>
        </w:rPr>
        <w:t>'</w:t>
      </w:r>
      <w:r w:rsidRPr="00CF3B0B">
        <w:rPr>
          <w:rFonts w:cs="Arial"/>
          <w:b/>
          <w:bCs/>
          <w:sz w:val="16"/>
          <w:szCs w:val="16"/>
          <w:rtl/>
        </w:rPr>
        <w:t xml:space="preserve"> </w:t>
      </w:r>
      <w:r>
        <w:rPr>
          <w:rFonts w:cs="Arial" w:hint="cs"/>
          <w:b/>
          <w:bCs/>
          <w:sz w:val="16"/>
          <w:szCs w:val="16"/>
          <w:rtl/>
        </w:rPr>
        <w:t>שבועת העדות</w:t>
      </w:r>
      <w:r w:rsidRPr="00CF3B0B">
        <w:rPr>
          <w:rFonts w:cs="Arial" w:hint="cs"/>
          <w:b/>
          <w:bCs/>
          <w:sz w:val="16"/>
          <w:szCs w:val="16"/>
          <w:rtl/>
        </w:rPr>
        <w:t>)</w:t>
      </w:r>
      <w:r w:rsidRPr="00CF3B0B">
        <w:rPr>
          <w:rFonts w:cs="Arial"/>
          <w:b/>
          <w:bCs/>
          <w:sz w:val="16"/>
          <w:szCs w:val="16"/>
          <w:rtl/>
        </w:rPr>
        <w:t xml:space="preserve"> </w:t>
      </w:r>
      <w:r w:rsidRPr="00CF3B0B">
        <w:rPr>
          <w:rFonts w:cs="Arial"/>
          <w:b/>
          <w:bCs/>
          <w:rtl/>
        </w:rPr>
        <w:t>ל</w:t>
      </w:r>
      <w:r w:rsidR="00E47064">
        <w:rPr>
          <w:rStyle w:val="ab"/>
          <w:rFonts w:cs="Arial"/>
          <w:b/>
          <w:bCs/>
          <w:rtl/>
        </w:rPr>
        <w:footnoteReference w:id="847"/>
      </w:r>
      <w:r>
        <w:rPr>
          <w:rFonts w:cs="Arial" w:hint="cs"/>
          <w:b/>
          <w:bCs/>
          <w:rtl/>
        </w:rPr>
        <w:t xml:space="preserve"> </w:t>
      </w:r>
      <w:r w:rsidRPr="00CF3B0B">
        <w:rPr>
          <w:rFonts w:cs="Arial" w:hint="cs"/>
          <w:b/>
          <w:bCs/>
          <w:rtl/>
        </w:rPr>
        <w:t>ע"</w:t>
      </w:r>
      <w:r>
        <w:rPr>
          <w:rFonts w:cs="Arial" w:hint="cs"/>
          <w:b/>
          <w:bCs/>
          <w:rtl/>
        </w:rPr>
        <w:t>ב</w:t>
      </w:r>
      <w:r w:rsidRPr="00CF3B0B">
        <w:rPr>
          <w:rFonts w:cs="Arial" w:hint="cs"/>
          <w:b/>
          <w:bCs/>
          <w:rtl/>
        </w:rPr>
        <w:t>:</w:t>
      </w:r>
      <w:r>
        <w:rPr>
          <w:rFonts w:cs="Arial" w:hint="cs"/>
          <w:rtl/>
        </w:rPr>
        <w:t xml:space="preserve"> </w:t>
      </w:r>
      <w:r w:rsidRPr="00847B4D">
        <w:rPr>
          <w:rFonts w:cs="Arial"/>
          <w:rtl/>
        </w:rPr>
        <w:t>מנין לדיין שיודע בדין שהוא מרומה, שלא יאמר: הואיל והעדים מעידין, אחתכנו ויהא</w:t>
      </w:r>
      <w:r w:rsidRPr="00847B4D">
        <w:rPr>
          <w:rtl/>
        </w:rPr>
        <w:t xml:space="preserve"> </w:t>
      </w:r>
      <w:r>
        <w:rPr>
          <w:rFonts w:hint="cs"/>
          <w:sz w:val="14"/>
          <w:szCs w:val="14"/>
          <w:rtl/>
        </w:rPr>
        <w:t xml:space="preserve">(לא.) </w:t>
      </w:r>
      <w:r w:rsidRPr="00847B4D">
        <w:rPr>
          <w:rFonts w:cs="Arial"/>
          <w:rtl/>
        </w:rPr>
        <w:t>קולר תלוי בצואר עדים? תלמוד לומר: מדבר שקר תרחק.</w:t>
      </w:r>
    </w:p>
    <w:p w14:paraId="048B8CF1" w14:textId="77777777" w:rsidR="002F32CF" w:rsidRDefault="002F32CF" w:rsidP="00CF3B0B">
      <w:pPr>
        <w:rPr>
          <w:rFonts w:cs="Arial"/>
          <w:rtl/>
        </w:rPr>
      </w:pPr>
      <w:r w:rsidRPr="002F32CF">
        <w:rPr>
          <w:rFonts w:cs="Arial" w:hint="cs"/>
          <w:u w:val="single"/>
          <w:rtl/>
        </w:rPr>
        <w:t>דין שנראה לדיין כדין מרומה:</w:t>
      </w:r>
    </w:p>
    <w:p w14:paraId="78AABF75" w14:textId="77777777" w:rsidR="002F32CF" w:rsidRDefault="0000353D" w:rsidP="004B0475">
      <w:pPr>
        <w:pStyle w:val="ac"/>
        <w:numPr>
          <w:ilvl w:val="0"/>
          <w:numId w:val="14"/>
        </w:numPr>
        <w:rPr>
          <w:rFonts w:cs="Arial"/>
        </w:rPr>
      </w:pPr>
      <w:r w:rsidRPr="002F32CF">
        <w:rPr>
          <w:rFonts w:cs="Arial"/>
          <w:rtl/>
        </w:rPr>
        <w:t xml:space="preserve">רמב"ם </w:t>
      </w:r>
      <w:r w:rsidR="00CF3B0B" w:rsidRPr="002F32CF">
        <w:rPr>
          <w:rFonts w:cs="Arial" w:hint="cs"/>
          <w:sz w:val="16"/>
          <w:szCs w:val="16"/>
          <w:rtl/>
        </w:rPr>
        <w:t>(</w:t>
      </w:r>
      <w:r w:rsidRPr="002F32CF">
        <w:rPr>
          <w:rFonts w:cs="Arial"/>
          <w:sz w:val="16"/>
          <w:szCs w:val="16"/>
          <w:rtl/>
        </w:rPr>
        <w:t>פכ"ד מהל</w:t>
      </w:r>
      <w:r w:rsidR="00CF3B0B" w:rsidRPr="002F32CF">
        <w:rPr>
          <w:rFonts w:cs="Arial" w:hint="cs"/>
          <w:sz w:val="16"/>
          <w:szCs w:val="16"/>
          <w:rtl/>
        </w:rPr>
        <w:t>'</w:t>
      </w:r>
      <w:r w:rsidRPr="002F32CF">
        <w:rPr>
          <w:rFonts w:cs="Arial"/>
          <w:sz w:val="16"/>
          <w:szCs w:val="16"/>
          <w:rtl/>
        </w:rPr>
        <w:t xml:space="preserve"> סנהדרין ה"ג)</w:t>
      </w:r>
      <w:r w:rsidR="002F32CF" w:rsidRPr="002F32CF">
        <w:rPr>
          <w:rFonts w:cs="Arial" w:hint="cs"/>
          <w:sz w:val="16"/>
          <w:szCs w:val="16"/>
          <w:rtl/>
        </w:rPr>
        <w:t xml:space="preserve"> </w:t>
      </w:r>
      <w:r w:rsidR="002F32CF" w:rsidRPr="002F32CF">
        <w:rPr>
          <w:rFonts w:cs="Arial" w:hint="cs"/>
          <w:rtl/>
        </w:rPr>
        <w:t>וטור</w:t>
      </w:r>
      <w:r w:rsidR="00CF3B0B" w:rsidRPr="002F32CF">
        <w:rPr>
          <w:rFonts w:cs="Arial" w:hint="cs"/>
          <w:rtl/>
        </w:rPr>
        <w:t xml:space="preserve">- </w:t>
      </w:r>
      <w:r w:rsidR="00CF3B0B" w:rsidRPr="002F32CF">
        <w:rPr>
          <w:rFonts w:cs="Arial"/>
          <w:rtl/>
        </w:rPr>
        <w:t>ומנין לדיין שהוא יודע בדין שהוא מרומה שלא יאמר אחתכנו ויהיה הקולר תלוי בצוארי העדים, תלמוד לומר מדבר שקר תרחק, כיצד יעשה ידרוש בו ויחקור הרבה בדרישה ובחקירה של דיני נפשות</w:t>
      </w:r>
      <w:r w:rsidR="002F32CF" w:rsidRPr="002F32CF">
        <w:rPr>
          <w:rFonts w:cs="Arial" w:hint="cs"/>
          <w:rtl/>
        </w:rPr>
        <w:t>,</w:t>
      </w:r>
      <w:r w:rsidR="00CF3B0B" w:rsidRPr="002F32CF">
        <w:rPr>
          <w:rFonts w:cs="Arial"/>
          <w:rtl/>
        </w:rPr>
        <w:t xml:space="preserve"> אם נראה לו לפי דעתו שאין בו רמאות </w:t>
      </w:r>
      <w:r w:rsidR="00E25EAC">
        <w:rPr>
          <w:rFonts w:cs="Arial" w:hint="cs"/>
          <w:rtl/>
        </w:rPr>
        <w:t xml:space="preserve">- </w:t>
      </w:r>
      <w:r w:rsidR="00CF3B0B" w:rsidRPr="002F32CF">
        <w:rPr>
          <w:rFonts w:cs="Arial"/>
          <w:rtl/>
        </w:rPr>
        <w:t>חותך את הדין על פי העדות</w:t>
      </w:r>
      <w:r w:rsidR="002F32CF" w:rsidRPr="002F32CF">
        <w:rPr>
          <w:rFonts w:cs="Arial" w:hint="cs"/>
          <w:rtl/>
        </w:rPr>
        <w:t>,</w:t>
      </w:r>
      <w:r w:rsidR="00CF3B0B" w:rsidRPr="002F32CF">
        <w:rPr>
          <w:rFonts w:cs="Arial"/>
          <w:rtl/>
        </w:rPr>
        <w:t xml:space="preserve"> אבל אם היה לבו </w:t>
      </w:r>
      <w:r w:rsidR="00CF3B0B" w:rsidRPr="002F32CF">
        <w:rPr>
          <w:rFonts w:cs="Arial"/>
          <w:rtl/>
        </w:rPr>
        <w:lastRenderedPageBreak/>
        <w:t>נוקפו שיש בו רמאות או שאין דעתו סומכת על דברי העדים אע</w:t>
      </w:r>
      <w:r w:rsidR="00E25EAC">
        <w:rPr>
          <w:rFonts w:cs="Arial" w:hint="cs"/>
          <w:rtl/>
        </w:rPr>
        <w:t>"</w:t>
      </w:r>
      <w:r w:rsidR="00CF3B0B" w:rsidRPr="002F32CF">
        <w:rPr>
          <w:rFonts w:cs="Arial"/>
          <w:rtl/>
        </w:rPr>
        <w:t>פ שאינו יכול לפסלן</w:t>
      </w:r>
      <w:r w:rsidR="002F32CF" w:rsidRPr="002F32CF">
        <w:rPr>
          <w:rFonts w:cs="Arial" w:hint="cs"/>
          <w:rtl/>
        </w:rPr>
        <w:t>,</w:t>
      </w:r>
      <w:r w:rsidR="00CF3B0B" w:rsidRPr="002F32CF">
        <w:rPr>
          <w:rFonts w:cs="Arial"/>
          <w:rtl/>
        </w:rPr>
        <w:t xml:space="preserve"> או שדעתו נוטה שבעל דין זה רמאי ובעל ערמה והשיא את העדים אע</w:t>
      </w:r>
      <w:r w:rsidR="00E25EAC">
        <w:rPr>
          <w:rFonts w:cs="Arial" w:hint="cs"/>
          <w:rtl/>
        </w:rPr>
        <w:t>"</w:t>
      </w:r>
      <w:r w:rsidR="00CF3B0B" w:rsidRPr="002F32CF">
        <w:rPr>
          <w:rFonts w:cs="Arial"/>
          <w:rtl/>
        </w:rPr>
        <w:t xml:space="preserve">פ שהם כשרים ולפי תומם העידו וזה הטעם, או שנראה לו מכלל הדברים שיש שם דברים אחרים מסותרין ואינן רוצים לגלותם </w:t>
      </w:r>
      <w:r w:rsidR="00E25EAC">
        <w:rPr>
          <w:rFonts w:cs="Arial" w:hint="cs"/>
          <w:rtl/>
        </w:rPr>
        <w:t xml:space="preserve">- </w:t>
      </w:r>
      <w:r w:rsidR="00CF3B0B" w:rsidRPr="002F32CF">
        <w:rPr>
          <w:rFonts w:cs="Arial"/>
          <w:rtl/>
        </w:rPr>
        <w:t>כל אלו הדברים וכיוצא בהן אסור לו לחתוך אותו הדין</w:t>
      </w:r>
      <w:r w:rsidR="00E25EAC">
        <w:rPr>
          <w:rFonts w:cs="Arial" w:hint="cs"/>
          <w:rtl/>
        </w:rPr>
        <w:t>,</w:t>
      </w:r>
      <w:r w:rsidR="00CF3B0B" w:rsidRPr="002F32CF">
        <w:rPr>
          <w:rFonts w:cs="Arial"/>
          <w:rtl/>
        </w:rPr>
        <w:t xml:space="preserve"> אלא יסלק עצמו מדין זה וידיננו מי שלבו שלם בדבר</w:t>
      </w:r>
      <w:r w:rsidR="00E25EAC">
        <w:rPr>
          <w:rFonts w:cs="Arial" w:hint="cs"/>
          <w:rtl/>
        </w:rPr>
        <w:t>.</w:t>
      </w:r>
      <w:r w:rsidR="00CF3B0B" w:rsidRPr="002F32CF">
        <w:rPr>
          <w:rFonts w:cs="Arial"/>
          <w:rtl/>
        </w:rPr>
        <w:t xml:space="preserve"> והרי הדברים מסורים ללב והכתוב אומר כי המשפט לאלהים הוא</w:t>
      </w:r>
      <w:r w:rsidR="002F32CF" w:rsidRPr="002F32CF">
        <w:rPr>
          <w:rFonts w:cs="Arial" w:hint="cs"/>
          <w:sz w:val="16"/>
          <w:szCs w:val="16"/>
          <w:rtl/>
        </w:rPr>
        <w:t xml:space="preserve"> (ל' הרמב"ם)</w:t>
      </w:r>
      <w:r w:rsidR="00CF3B0B" w:rsidRPr="002F32CF">
        <w:rPr>
          <w:rFonts w:cs="Arial"/>
          <w:rtl/>
        </w:rPr>
        <w:t>.</w:t>
      </w:r>
      <w:r w:rsidR="00861D75" w:rsidRPr="00861D75">
        <w:rPr>
          <w:rFonts w:cs="Arial" w:hint="cs"/>
          <w:color w:val="E36C0A" w:themeColor="accent6" w:themeShade="BF"/>
          <w:rtl/>
        </w:rPr>
        <w:t xml:space="preserve"> (וכ"</w:t>
      </w:r>
      <w:r w:rsidR="00861D75">
        <w:rPr>
          <w:rFonts w:cs="Arial" w:hint="cs"/>
          <w:color w:val="E36C0A" w:themeColor="accent6" w:themeShade="BF"/>
          <w:rtl/>
        </w:rPr>
        <w:t>פ</w:t>
      </w:r>
      <w:r w:rsidR="00861D75" w:rsidRPr="00861D75">
        <w:rPr>
          <w:rFonts w:cs="Arial" w:hint="cs"/>
          <w:color w:val="E36C0A" w:themeColor="accent6" w:themeShade="BF"/>
          <w:rtl/>
        </w:rPr>
        <w:t xml:space="preserve"> בשו"ע)</w:t>
      </w:r>
    </w:p>
    <w:p w14:paraId="497FD767" w14:textId="77777777" w:rsidR="00602CD7" w:rsidRDefault="00602CD7" w:rsidP="001862E1">
      <w:pPr>
        <w:rPr>
          <w:rFonts w:cs="Arial"/>
          <w:rtl/>
        </w:rPr>
      </w:pPr>
      <w:r w:rsidRPr="00602CD7">
        <w:rPr>
          <w:rFonts w:cs="Arial" w:hint="cs"/>
          <w:u w:val="single"/>
          <w:rtl/>
        </w:rPr>
        <w:t>דין מרומה שיש בו שטר</w:t>
      </w:r>
      <w:r w:rsidR="008E51FD">
        <w:rPr>
          <w:rFonts w:cs="Arial" w:hint="cs"/>
          <w:u w:val="single"/>
          <w:rtl/>
        </w:rPr>
        <w:t xml:space="preserve"> עם עדים </w:t>
      </w:r>
      <w:r w:rsidR="008E51FD">
        <w:rPr>
          <w:rFonts w:cs="Arial"/>
          <w:u w:val="single"/>
          <w:rtl/>
        </w:rPr>
        <w:t>–</w:t>
      </w:r>
      <w:r w:rsidR="008E51FD">
        <w:rPr>
          <w:rFonts w:cs="Arial" w:hint="cs"/>
          <w:u w:val="single"/>
          <w:rtl/>
        </w:rPr>
        <w:t xml:space="preserve"> האם עושים דרישה וחקירה גם לעדים</w:t>
      </w:r>
      <w:r w:rsidRPr="00602CD7">
        <w:rPr>
          <w:rFonts w:cs="Arial" w:hint="cs"/>
          <w:u w:val="single"/>
          <w:rtl/>
        </w:rPr>
        <w:t>:</w:t>
      </w:r>
    </w:p>
    <w:p w14:paraId="48775379" w14:textId="77777777" w:rsidR="001862E1" w:rsidRPr="00602CD7" w:rsidRDefault="0000353D" w:rsidP="004B0475">
      <w:pPr>
        <w:pStyle w:val="ac"/>
        <w:numPr>
          <w:ilvl w:val="0"/>
          <w:numId w:val="14"/>
        </w:numPr>
        <w:rPr>
          <w:rFonts w:cs="Arial"/>
          <w:rtl/>
        </w:rPr>
      </w:pPr>
      <w:r w:rsidRPr="00602CD7">
        <w:rPr>
          <w:rFonts w:cs="Arial"/>
          <w:rtl/>
        </w:rPr>
        <w:t xml:space="preserve">מהרי"ק </w:t>
      </w:r>
      <w:r w:rsidR="00602CD7" w:rsidRPr="00602CD7">
        <w:rPr>
          <w:rFonts w:cs="Arial" w:hint="cs"/>
          <w:sz w:val="16"/>
          <w:szCs w:val="16"/>
          <w:rtl/>
        </w:rPr>
        <w:t>(</w:t>
      </w:r>
      <w:r w:rsidRPr="00602CD7">
        <w:rPr>
          <w:rFonts w:cs="Arial"/>
          <w:sz w:val="16"/>
          <w:szCs w:val="16"/>
          <w:rtl/>
        </w:rPr>
        <w:t>שורש סז</w:t>
      </w:r>
      <w:r w:rsidR="00602CD7" w:rsidRPr="00602CD7">
        <w:rPr>
          <w:rFonts w:cs="Arial" w:hint="cs"/>
          <w:sz w:val="16"/>
          <w:szCs w:val="16"/>
          <w:rtl/>
        </w:rPr>
        <w:t>)</w:t>
      </w:r>
      <w:r w:rsidR="00602CD7" w:rsidRPr="00602CD7">
        <w:rPr>
          <w:rFonts w:cs="Arial" w:hint="cs"/>
          <w:rtl/>
        </w:rPr>
        <w:t>-</w:t>
      </w:r>
      <w:r w:rsidRPr="00602CD7">
        <w:rPr>
          <w:rFonts w:cs="Arial"/>
          <w:rtl/>
        </w:rPr>
        <w:t xml:space="preserve"> אם יראה לדיין שהדין מרומה </w:t>
      </w:r>
      <w:r w:rsidR="00AD7FE5">
        <w:rPr>
          <w:rFonts w:cs="Arial" w:hint="cs"/>
          <w:rtl/>
        </w:rPr>
        <w:t xml:space="preserve">- </w:t>
      </w:r>
      <w:r w:rsidRPr="00602CD7">
        <w:rPr>
          <w:rFonts w:cs="Arial"/>
          <w:rtl/>
        </w:rPr>
        <w:t>צריך דרישה וחקירה לעדים החתומים על השטר</w:t>
      </w:r>
      <w:r>
        <w:rPr>
          <w:rStyle w:val="ab"/>
          <w:rFonts w:cs="Arial"/>
          <w:rtl/>
        </w:rPr>
        <w:footnoteReference w:id="848"/>
      </w:r>
      <w:r w:rsidRPr="00602CD7">
        <w:rPr>
          <w:rFonts w:cs="Arial"/>
          <w:rtl/>
        </w:rPr>
        <w:t xml:space="preserve">. </w:t>
      </w:r>
      <w:r w:rsidR="00263239">
        <w:rPr>
          <w:rFonts w:cs="Arial" w:hint="cs"/>
          <w:rtl/>
        </w:rPr>
        <w:t>(וכ"כ הסמ"ע</w:t>
      </w:r>
      <w:r w:rsidR="00263239">
        <w:rPr>
          <w:rFonts w:cs="Arial" w:hint="cs"/>
          <w:sz w:val="16"/>
          <w:szCs w:val="16"/>
          <w:rtl/>
        </w:rPr>
        <w:t xml:space="preserve"> [סק"י]</w:t>
      </w:r>
      <w:r w:rsidR="00263239">
        <w:rPr>
          <w:rFonts w:cs="Arial" w:hint="cs"/>
          <w:rtl/>
        </w:rPr>
        <w:t>)</w:t>
      </w:r>
    </w:p>
    <w:p w14:paraId="24CA269F" w14:textId="77777777" w:rsidR="00602CD7" w:rsidRDefault="00602CD7" w:rsidP="001862E1">
      <w:pPr>
        <w:rPr>
          <w:rFonts w:cs="Arial"/>
          <w:rtl/>
        </w:rPr>
      </w:pPr>
      <w:r w:rsidRPr="00602CD7">
        <w:rPr>
          <w:rFonts w:cs="Arial" w:hint="cs"/>
          <w:u w:val="single"/>
          <w:rtl/>
        </w:rPr>
        <w:t>מניעת התובע הרמאי לדון במקום אחר:</w:t>
      </w:r>
    </w:p>
    <w:p w14:paraId="7A38572F" w14:textId="77777777" w:rsidR="001862E1" w:rsidRPr="00602CD7" w:rsidRDefault="0000353D" w:rsidP="004B0475">
      <w:pPr>
        <w:pStyle w:val="ac"/>
        <w:numPr>
          <w:ilvl w:val="0"/>
          <w:numId w:val="14"/>
        </w:numPr>
        <w:rPr>
          <w:rFonts w:cs="Arial"/>
          <w:rtl/>
        </w:rPr>
      </w:pPr>
      <w:r w:rsidRPr="00602CD7">
        <w:rPr>
          <w:rFonts w:cs="Arial"/>
          <w:rtl/>
        </w:rPr>
        <w:t xml:space="preserve">רא"ש </w:t>
      </w:r>
      <w:r w:rsidR="00602CD7" w:rsidRPr="00602CD7">
        <w:rPr>
          <w:rFonts w:cs="Arial" w:hint="cs"/>
          <w:sz w:val="16"/>
          <w:szCs w:val="16"/>
          <w:rtl/>
        </w:rPr>
        <w:t>(</w:t>
      </w:r>
      <w:r w:rsidRPr="00602CD7">
        <w:rPr>
          <w:rFonts w:cs="Arial"/>
          <w:sz w:val="16"/>
          <w:szCs w:val="16"/>
          <w:rtl/>
        </w:rPr>
        <w:t>כלל סח סי</w:t>
      </w:r>
      <w:r w:rsidR="00602CD7" w:rsidRPr="00602CD7">
        <w:rPr>
          <w:rFonts w:cs="Arial" w:hint="cs"/>
          <w:sz w:val="16"/>
          <w:szCs w:val="16"/>
          <w:rtl/>
        </w:rPr>
        <w:t>'</w:t>
      </w:r>
      <w:r w:rsidR="001862E1" w:rsidRPr="00602CD7">
        <w:rPr>
          <w:rFonts w:cs="Arial" w:hint="cs"/>
          <w:sz w:val="16"/>
          <w:szCs w:val="16"/>
          <w:rtl/>
        </w:rPr>
        <w:t xml:space="preserve"> </w:t>
      </w:r>
      <w:r w:rsidRPr="00602CD7">
        <w:rPr>
          <w:rFonts w:cs="Arial"/>
          <w:sz w:val="16"/>
          <w:szCs w:val="16"/>
          <w:rtl/>
        </w:rPr>
        <w:t>כ</w:t>
      </w:r>
      <w:r w:rsidR="00602CD7" w:rsidRPr="00602CD7">
        <w:rPr>
          <w:rFonts w:cs="Arial" w:hint="cs"/>
          <w:sz w:val="16"/>
          <w:szCs w:val="16"/>
          <w:rtl/>
        </w:rPr>
        <w:t>)</w:t>
      </w:r>
      <w:r w:rsidR="00602CD7" w:rsidRPr="00602CD7">
        <w:rPr>
          <w:rFonts w:cs="Arial" w:hint="cs"/>
          <w:rtl/>
        </w:rPr>
        <w:t>-</w:t>
      </w:r>
      <w:r w:rsidRPr="00602CD7">
        <w:rPr>
          <w:rFonts w:cs="Arial"/>
          <w:rtl/>
        </w:rPr>
        <w:t xml:space="preserve"> אם אני רואה באומדנא דמוכח דהדין מרומה ושקר</w:t>
      </w:r>
      <w:r w:rsidR="001862E1" w:rsidRPr="00602CD7">
        <w:rPr>
          <w:rFonts w:cs="Arial" w:hint="cs"/>
          <w:rtl/>
        </w:rPr>
        <w:t xml:space="preserve"> -</w:t>
      </w:r>
      <w:r w:rsidRPr="00602CD7">
        <w:rPr>
          <w:rFonts w:cs="Arial"/>
          <w:rtl/>
        </w:rPr>
        <w:t xml:space="preserve"> אני אומר שאין לשום דיין מישראל להשתדל בדין זה וזה</w:t>
      </w:r>
      <w:r w:rsidR="001862E1" w:rsidRPr="00602CD7">
        <w:rPr>
          <w:rFonts w:cs="Arial" w:hint="cs"/>
          <w:rtl/>
        </w:rPr>
        <w:t>,</w:t>
      </w:r>
      <w:r w:rsidRPr="00602CD7">
        <w:rPr>
          <w:rFonts w:cs="Arial"/>
          <w:rtl/>
        </w:rPr>
        <w:t xml:space="preserve"> אני כותב וחותם ונותן ביד הנתבע</w:t>
      </w:r>
      <w:r w:rsidR="001862E1">
        <w:rPr>
          <w:rStyle w:val="ab"/>
          <w:rFonts w:cs="Arial"/>
          <w:rtl/>
        </w:rPr>
        <w:footnoteReference w:id="849"/>
      </w:r>
      <w:r w:rsidRPr="00602CD7">
        <w:rPr>
          <w:rFonts w:cs="Arial"/>
          <w:rtl/>
        </w:rPr>
        <w:t xml:space="preserve">. </w:t>
      </w:r>
      <w:r w:rsidR="00861D75" w:rsidRPr="00861D75">
        <w:rPr>
          <w:rFonts w:cs="Arial" w:hint="cs"/>
          <w:color w:val="E36C0A" w:themeColor="accent6" w:themeShade="BF"/>
          <w:rtl/>
        </w:rPr>
        <w:t>(וכ"כ בשו"ע)</w:t>
      </w:r>
    </w:p>
    <w:p w14:paraId="5E759378" w14:textId="77777777" w:rsidR="00602CD7" w:rsidRPr="00602CD7" w:rsidRDefault="00602CD7" w:rsidP="001862E1">
      <w:pPr>
        <w:rPr>
          <w:rFonts w:cs="Arial"/>
          <w:u w:val="single"/>
          <w:rtl/>
        </w:rPr>
      </w:pPr>
      <w:r w:rsidRPr="00602CD7">
        <w:rPr>
          <w:rFonts w:cs="Arial"/>
          <w:u w:val="single"/>
          <w:rtl/>
        </w:rPr>
        <w:t xml:space="preserve">אשה שטענה שלא נשאר </w:t>
      </w:r>
      <w:r w:rsidR="008E51FD">
        <w:rPr>
          <w:rFonts w:cs="Arial" w:hint="cs"/>
          <w:u w:val="single"/>
          <w:rtl/>
        </w:rPr>
        <w:t>ממון מ</w:t>
      </w:r>
      <w:r w:rsidRPr="00602CD7">
        <w:rPr>
          <w:rFonts w:cs="Arial"/>
          <w:u w:val="single"/>
          <w:rtl/>
        </w:rPr>
        <w:t>בעלה</w:t>
      </w:r>
      <w:r w:rsidR="008E51FD">
        <w:rPr>
          <w:rFonts w:cs="Arial" w:hint="cs"/>
          <w:u w:val="single"/>
          <w:rtl/>
        </w:rPr>
        <w:t>,</w:t>
      </w:r>
      <w:r w:rsidRPr="00602CD7">
        <w:rPr>
          <w:rFonts w:cs="Arial"/>
          <w:u w:val="single"/>
          <w:rtl/>
        </w:rPr>
        <w:t xml:space="preserve"> ויש אומדנות מוכיחות שהיה לו ממון הרבה והיא לקחה אותו</w:t>
      </w:r>
      <w:r>
        <w:rPr>
          <w:rFonts w:cs="Arial" w:hint="cs"/>
          <w:u w:val="single"/>
          <w:rtl/>
        </w:rPr>
        <w:t>:</w:t>
      </w:r>
    </w:p>
    <w:p w14:paraId="5FA743ED" w14:textId="77777777" w:rsidR="001862E1" w:rsidRPr="00602CD7" w:rsidRDefault="0000353D" w:rsidP="004B0475">
      <w:pPr>
        <w:pStyle w:val="ac"/>
        <w:numPr>
          <w:ilvl w:val="0"/>
          <w:numId w:val="14"/>
        </w:numPr>
        <w:rPr>
          <w:rFonts w:cs="Arial"/>
          <w:rtl/>
        </w:rPr>
      </w:pPr>
      <w:r w:rsidRPr="00602CD7">
        <w:rPr>
          <w:rFonts w:cs="Arial"/>
          <w:rtl/>
        </w:rPr>
        <w:t xml:space="preserve">ריב"ש </w:t>
      </w:r>
      <w:r w:rsidR="00602CD7" w:rsidRPr="00602CD7">
        <w:rPr>
          <w:rFonts w:cs="Arial" w:hint="cs"/>
          <w:sz w:val="16"/>
          <w:szCs w:val="16"/>
          <w:rtl/>
        </w:rPr>
        <w:t>(</w:t>
      </w:r>
      <w:r w:rsidRPr="00602CD7">
        <w:rPr>
          <w:rFonts w:cs="Arial"/>
          <w:sz w:val="16"/>
          <w:szCs w:val="16"/>
          <w:rtl/>
        </w:rPr>
        <w:t>סי</w:t>
      </w:r>
      <w:r w:rsidR="00602CD7" w:rsidRPr="00602CD7">
        <w:rPr>
          <w:rFonts w:cs="Arial" w:hint="cs"/>
          <w:sz w:val="16"/>
          <w:szCs w:val="16"/>
          <w:rtl/>
        </w:rPr>
        <w:t>'</w:t>
      </w:r>
      <w:r w:rsidRPr="00602CD7">
        <w:rPr>
          <w:rFonts w:cs="Arial"/>
          <w:sz w:val="16"/>
          <w:szCs w:val="16"/>
          <w:rtl/>
        </w:rPr>
        <w:t xml:space="preserve"> קח</w:t>
      </w:r>
      <w:r w:rsidR="00602CD7" w:rsidRPr="00602CD7">
        <w:rPr>
          <w:rFonts w:cs="Arial" w:hint="cs"/>
          <w:sz w:val="16"/>
          <w:szCs w:val="16"/>
          <w:rtl/>
        </w:rPr>
        <w:t>)</w:t>
      </w:r>
      <w:r w:rsidR="00602CD7" w:rsidRPr="00602CD7">
        <w:rPr>
          <w:rFonts w:cs="Arial" w:hint="cs"/>
          <w:rtl/>
        </w:rPr>
        <w:t>-</w:t>
      </w:r>
      <w:r w:rsidRPr="00602CD7">
        <w:rPr>
          <w:rFonts w:cs="Arial"/>
          <w:rtl/>
        </w:rPr>
        <w:t xml:space="preserve"> אשה שטענה שלא נשאר מבעלה כלום ויש אומדנות מוכיחות שהיה לו ממון הרבה והיא לקחה אותו </w:t>
      </w:r>
      <w:r w:rsidR="008E51FD">
        <w:rPr>
          <w:rFonts w:cs="Arial" w:hint="cs"/>
          <w:rtl/>
        </w:rPr>
        <w:t xml:space="preserve">- </w:t>
      </w:r>
      <w:r w:rsidRPr="00602CD7">
        <w:rPr>
          <w:rFonts w:cs="Arial"/>
          <w:rtl/>
        </w:rPr>
        <w:t>תאיימו עליה להפחידה בכל מיני איומים והפחדות כדי שתודה להתפשר עם היורשים אחרי שמפורסם ביניכם ההערמות והאונאות שעשתה</w:t>
      </w:r>
      <w:r w:rsidR="008E51FD">
        <w:rPr>
          <w:rFonts w:cs="Arial" w:hint="cs"/>
          <w:rtl/>
        </w:rPr>
        <w:t>,</w:t>
      </w:r>
      <w:r w:rsidRPr="00602CD7">
        <w:rPr>
          <w:rFonts w:cs="Arial"/>
          <w:rtl/>
        </w:rPr>
        <w:t xml:space="preserve"> כמו שאמרו בפרק אלו מציאות </w:t>
      </w:r>
      <w:r w:rsidRPr="00602CD7">
        <w:rPr>
          <w:rFonts w:cs="Arial"/>
          <w:sz w:val="16"/>
          <w:szCs w:val="16"/>
          <w:rtl/>
        </w:rPr>
        <w:t>(ב"מ כד.)</w:t>
      </w:r>
      <w:r w:rsidRPr="00602CD7">
        <w:rPr>
          <w:rFonts w:cs="Arial"/>
          <w:rtl/>
        </w:rPr>
        <w:t xml:space="preserve"> מר זוטרא חסידא איגניב ליה כסא דכספא מאושפיזיה וכו'</w:t>
      </w:r>
      <w:r w:rsidR="008E51FD">
        <w:rPr>
          <w:rFonts w:cs="Arial" w:hint="cs"/>
          <w:rtl/>
        </w:rPr>
        <w:t>.</w:t>
      </w:r>
      <w:r w:rsidRPr="00602CD7">
        <w:rPr>
          <w:rFonts w:cs="Arial"/>
          <w:rtl/>
        </w:rPr>
        <w:t xml:space="preserve"> ובאמת כי אותו הנפח שעשה לה השתי מפתחות במסתר פנים מהבעל ולקח בערכם ממנה כפולה אחת ראוי ליענש על בלי הגיד לבעל</w:t>
      </w:r>
      <w:r w:rsidR="008E51FD">
        <w:rPr>
          <w:rFonts w:cs="Arial" w:hint="cs"/>
          <w:rtl/>
        </w:rPr>
        <w:t>.</w:t>
      </w:r>
      <w:r w:rsidRPr="00602CD7">
        <w:rPr>
          <w:rFonts w:cs="Arial"/>
          <w:rtl/>
        </w:rPr>
        <w:t xml:space="preserve"> וכן אותם שקנו סחורה ממנה בזול פחות משליש בערכם והיתה אומרת להם להעלים מבעלה </w:t>
      </w:r>
      <w:r w:rsidR="008E51FD">
        <w:rPr>
          <w:rFonts w:cs="Arial" w:hint="cs"/>
          <w:rtl/>
        </w:rPr>
        <w:t xml:space="preserve">- </w:t>
      </w:r>
      <w:r w:rsidRPr="00602CD7">
        <w:rPr>
          <w:rFonts w:cs="Arial"/>
          <w:rtl/>
        </w:rPr>
        <w:t>גם אלה עשו איסור ואע</w:t>
      </w:r>
      <w:r w:rsidR="00602CD7">
        <w:rPr>
          <w:rFonts w:cs="Arial" w:hint="cs"/>
          <w:rtl/>
        </w:rPr>
        <w:t>"</w:t>
      </w:r>
      <w:r w:rsidRPr="00602CD7">
        <w:rPr>
          <w:rFonts w:cs="Arial"/>
          <w:rtl/>
        </w:rPr>
        <w:t>פ שהיתה נושאת ונותנת בתוך הבית</w:t>
      </w:r>
      <w:r w:rsidR="00602CD7">
        <w:rPr>
          <w:rFonts w:cs="Arial" w:hint="cs"/>
          <w:rtl/>
        </w:rPr>
        <w:t>.</w:t>
      </w:r>
    </w:p>
    <w:p w14:paraId="2EE5B311" w14:textId="77777777" w:rsidR="00861D75" w:rsidRPr="00861D75" w:rsidRDefault="00861D75" w:rsidP="001862E1">
      <w:pPr>
        <w:rPr>
          <w:rFonts w:cs="Arial"/>
          <w:u w:val="single"/>
          <w:rtl/>
        </w:rPr>
      </w:pPr>
      <w:r w:rsidRPr="00861D75">
        <w:rPr>
          <w:rFonts w:cs="Arial" w:hint="cs"/>
          <w:u w:val="single"/>
          <w:rtl/>
        </w:rPr>
        <w:t xml:space="preserve">מעשה בדין שיש בו ספק: </w:t>
      </w:r>
    </w:p>
    <w:p w14:paraId="3D135018" w14:textId="77777777" w:rsidR="0000353D" w:rsidRPr="00861D75" w:rsidRDefault="0000353D" w:rsidP="004B0475">
      <w:pPr>
        <w:pStyle w:val="ac"/>
        <w:numPr>
          <w:ilvl w:val="0"/>
          <w:numId w:val="14"/>
        </w:numPr>
        <w:rPr>
          <w:rFonts w:cs="Arial"/>
          <w:rtl/>
        </w:rPr>
      </w:pPr>
      <w:r w:rsidRPr="00861D75">
        <w:rPr>
          <w:rFonts w:cs="Arial"/>
          <w:rtl/>
        </w:rPr>
        <w:t xml:space="preserve">רשב"א </w:t>
      </w:r>
      <w:r w:rsidRPr="00861D75">
        <w:rPr>
          <w:rFonts w:cs="Arial"/>
          <w:sz w:val="16"/>
          <w:szCs w:val="16"/>
          <w:rtl/>
        </w:rPr>
        <w:t>(ח"ג סי</w:t>
      </w:r>
      <w:r w:rsidR="001862E1" w:rsidRPr="00861D75">
        <w:rPr>
          <w:rFonts w:cs="Arial" w:hint="cs"/>
          <w:sz w:val="16"/>
          <w:szCs w:val="16"/>
          <w:rtl/>
        </w:rPr>
        <w:t>'</w:t>
      </w:r>
      <w:r w:rsidRPr="00861D75">
        <w:rPr>
          <w:rFonts w:cs="Arial"/>
          <w:sz w:val="16"/>
          <w:szCs w:val="16"/>
          <w:rtl/>
        </w:rPr>
        <w:t xml:space="preserve"> עג)</w:t>
      </w:r>
      <w:r w:rsidR="001862E1" w:rsidRPr="00861D75">
        <w:rPr>
          <w:rFonts w:cs="Arial" w:hint="cs"/>
          <w:rtl/>
        </w:rPr>
        <w:t>-</w:t>
      </w:r>
      <w:r w:rsidRPr="00861D75">
        <w:rPr>
          <w:rFonts w:cs="Arial"/>
          <w:rtl/>
        </w:rPr>
        <w:t xml:space="preserve"> שאלת</w:t>
      </w:r>
      <w:r w:rsidR="008E51FD">
        <w:rPr>
          <w:rFonts w:cs="Arial" w:hint="cs"/>
          <w:rtl/>
        </w:rPr>
        <w:t>,</w:t>
      </w:r>
      <w:r w:rsidRPr="00861D75">
        <w:rPr>
          <w:rFonts w:cs="Arial"/>
          <w:rtl/>
        </w:rPr>
        <w:t xml:space="preserve"> ראובן ושמעון אחים</w:t>
      </w:r>
      <w:r w:rsidR="008E51FD">
        <w:rPr>
          <w:rFonts w:cs="Arial" w:hint="cs"/>
          <w:rtl/>
        </w:rPr>
        <w:t>,</w:t>
      </w:r>
      <w:r w:rsidRPr="00861D75">
        <w:rPr>
          <w:rFonts w:cs="Arial"/>
          <w:rtl/>
        </w:rPr>
        <w:t xml:space="preserve"> ויעקב אביהם נתחייב לראובן מנה</w:t>
      </w:r>
      <w:r w:rsidR="008E51FD">
        <w:rPr>
          <w:rFonts w:cs="Arial" w:hint="cs"/>
          <w:rtl/>
        </w:rPr>
        <w:t>.</w:t>
      </w:r>
      <w:r w:rsidRPr="00861D75">
        <w:rPr>
          <w:rFonts w:cs="Arial"/>
          <w:rtl/>
        </w:rPr>
        <w:t xml:space="preserve"> ונפטר יעקב</w:t>
      </w:r>
      <w:r w:rsidR="008E51FD">
        <w:rPr>
          <w:rFonts w:cs="Arial" w:hint="cs"/>
          <w:rtl/>
        </w:rPr>
        <w:t>,</w:t>
      </w:r>
      <w:r w:rsidRPr="00861D75">
        <w:rPr>
          <w:rFonts w:cs="Arial"/>
          <w:rtl/>
        </w:rPr>
        <w:t xml:space="preserve"> והוציא ראובן השטר הנזכר של המנה ועשה אדרכתא בנכסי שמעון מפני החוב הנזכר כיון שהוא היה יורש יעקב אביו</w:t>
      </w:r>
      <w:r w:rsidR="008E51FD">
        <w:rPr>
          <w:rFonts w:cs="Arial" w:hint="cs"/>
          <w:rtl/>
        </w:rPr>
        <w:t>.</w:t>
      </w:r>
      <w:r w:rsidRPr="00861D75">
        <w:rPr>
          <w:rFonts w:cs="Arial"/>
          <w:rtl/>
        </w:rPr>
        <w:t xml:space="preserve"> לימים הוציא שמעון השטר חוב קרוע ואמר שגבהו ראובן כולו ממנו</w:t>
      </w:r>
      <w:r w:rsidR="008E51FD">
        <w:rPr>
          <w:rFonts w:cs="Arial" w:hint="cs"/>
          <w:rtl/>
        </w:rPr>
        <w:t>,</w:t>
      </w:r>
      <w:r w:rsidRPr="00861D75">
        <w:rPr>
          <w:rFonts w:cs="Arial"/>
          <w:rtl/>
        </w:rPr>
        <w:t xml:space="preserve"> והביא ראיה לדבריו שראובן מכר לו חלקו מירושת אביו במנה וכן כתוב בשטר המכר</w:t>
      </w:r>
      <w:r w:rsidR="00602CD7" w:rsidRPr="00861D75">
        <w:rPr>
          <w:rFonts w:cs="Arial" w:hint="cs"/>
          <w:rtl/>
        </w:rPr>
        <w:t>,</w:t>
      </w:r>
      <w:r w:rsidRPr="00861D75">
        <w:rPr>
          <w:rFonts w:cs="Arial"/>
          <w:rtl/>
        </w:rPr>
        <w:t xml:space="preserve"> והוציא שמעון שטר אחר קרוע שהחזיק לראובן עליו ק"ק ואמר שהמנה האחד היה מקנין חלקו הנזכר והמנה השני מחמת החוב הנזכר שנתחייב לו יעקב אביהם</w:t>
      </w:r>
      <w:r w:rsidR="00602CD7" w:rsidRPr="00861D75">
        <w:rPr>
          <w:rFonts w:cs="Arial" w:hint="cs"/>
          <w:rtl/>
        </w:rPr>
        <w:t>,</w:t>
      </w:r>
      <w:r w:rsidRPr="00861D75">
        <w:rPr>
          <w:rFonts w:cs="Arial"/>
          <w:rtl/>
        </w:rPr>
        <w:t xml:space="preserve"> עכשיו תובע שמעון מראובן מחצית המנה הנזכר לפי שהוציאו ממנו שלא כדין מפני שראובן גם כן יורש בנכסי יעקב ועליו מוטל מחצית החוב לפרוע</w:t>
      </w:r>
      <w:r w:rsidR="00D9003B">
        <w:rPr>
          <w:rFonts w:cs="Arial" w:hint="cs"/>
          <w:rtl/>
        </w:rPr>
        <w:t>.</w:t>
      </w:r>
      <w:r w:rsidRPr="00861D75">
        <w:rPr>
          <w:rFonts w:cs="Arial"/>
          <w:rtl/>
        </w:rPr>
        <w:t xml:space="preserve"> וראובן אומר שלא נטל ממנו אלא חמשים זוז. תשובה</w:t>
      </w:r>
      <w:r w:rsidR="00D9003B">
        <w:rPr>
          <w:rFonts w:cs="Arial" w:hint="cs"/>
          <w:rtl/>
        </w:rPr>
        <w:t>,</w:t>
      </w:r>
      <w:r w:rsidRPr="00861D75">
        <w:rPr>
          <w:rFonts w:cs="Arial"/>
          <w:rtl/>
        </w:rPr>
        <w:t xml:space="preserve"> כל שטוען ראובן שלא קבל ממנו אלא חמשים כדינו הרי הוא כופר בכל מה שטען שמעון והרי נשבע לו עליו שבועת היסת ככל כופר בכל ונפטר</w:t>
      </w:r>
      <w:r w:rsidR="00602CD7" w:rsidRPr="00861D75">
        <w:rPr>
          <w:rFonts w:cs="Arial" w:hint="cs"/>
          <w:rtl/>
        </w:rPr>
        <w:t>,</w:t>
      </w:r>
      <w:r w:rsidRPr="00861D75">
        <w:rPr>
          <w:rFonts w:cs="Arial"/>
          <w:rtl/>
        </w:rPr>
        <w:t xml:space="preserve"> אלא שיש לבית דין לחקור היטב מפני שאע</w:t>
      </w:r>
      <w:r w:rsidR="00602CD7" w:rsidRPr="00861D75">
        <w:rPr>
          <w:rFonts w:cs="Arial" w:hint="cs"/>
          <w:rtl/>
        </w:rPr>
        <w:t>"</w:t>
      </w:r>
      <w:r w:rsidRPr="00861D75">
        <w:rPr>
          <w:rFonts w:cs="Arial"/>
          <w:rtl/>
        </w:rPr>
        <w:t>פ שאין שטר הק"ק דבר ברור שהמנה האחד היה שלו מחמת החוב</w:t>
      </w:r>
      <w:r w:rsidR="00602CD7" w:rsidRPr="00861D75">
        <w:rPr>
          <w:rFonts w:cs="Arial" w:hint="cs"/>
          <w:rtl/>
        </w:rPr>
        <w:t>,</w:t>
      </w:r>
      <w:r w:rsidRPr="00861D75">
        <w:rPr>
          <w:rFonts w:cs="Arial"/>
          <w:rtl/>
        </w:rPr>
        <w:t xml:space="preserve"> אפשר שלא רצה לקבל ממנו ראובן שמא מתחלה לא היה יודע הדין ואח</w:t>
      </w:r>
      <w:r w:rsidR="00602CD7" w:rsidRPr="00861D75">
        <w:rPr>
          <w:rFonts w:cs="Arial" w:hint="cs"/>
          <w:rtl/>
        </w:rPr>
        <w:t>"</w:t>
      </w:r>
      <w:r w:rsidRPr="00861D75">
        <w:rPr>
          <w:rFonts w:cs="Arial"/>
          <w:rtl/>
        </w:rPr>
        <w:t>כ ידעו</w:t>
      </w:r>
      <w:r w:rsidR="00D9003B">
        <w:rPr>
          <w:rFonts w:cs="Arial" w:hint="cs"/>
          <w:rtl/>
        </w:rPr>
        <w:t>,</w:t>
      </w:r>
      <w:r w:rsidRPr="00861D75">
        <w:rPr>
          <w:rFonts w:cs="Arial"/>
          <w:rtl/>
        </w:rPr>
        <w:t xml:space="preserve"> או שידעו וחזר בו כדי שלא יעשה רשע ליקח מה שאינו שלו</w:t>
      </w:r>
      <w:r w:rsidR="00D9003B">
        <w:rPr>
          <w:rFonts w:cs="Arial" w:hint="cs"/>
          <w:rtl/>
        </w:rPr>
        <w:t>,</w:t>
      </w:r>
      <w:r w:rsidRPr="00861D75">
        <w:rPr>
          <w:rFonts w:cs="Arial"/>
          <w:rtl/>
        </w:rPr>
        <w:t xml:space="preserve"> מ</w:t>
      </w:r>
      <w:r w:rsidR="00602CD7" w:rsidRPr="00861D75">
        <w:rPr>
          <w:rFonts w:cs="Arial" w:hint="cs"/>
          <w:rtl/>
        </w:rPr>
        <w:t>"</w:t>
      </w:r>
      <w:r w:rsidRPr="00861D75">
        <w:rPr>
          <w:rFonts w:cs="Arial"/>
          <w:rtl/>
        </w:rPr>
        <w:t>מ קצת אמתלאה יש ובית דין יפה יוציא דבר לאמתו</w:t>
      </w:r>
      <w:r w:rsidR="001862E1" w:rsidRPr="00861D75">
        <w:rPr>
          <w:rFonts w:cs="Arial" w:hint="cs"/>
          <w:rtl/>
        </w:rPr>
        <w:t>.</w:t>
      </w:r>
      <w:r w:rsidR="00861D75">
        <w:rPr>
          <w:rFonts w:cs="Arial" w:hint="cs"/>
          <w:rtl/>
        </w:rPr>
        <w:t xml:space="preserve"> </w:t>
      </w:r>
      <w:r w:rsidRPr="00861D75">
        <w:rPr>
          <w:rFonts w:cs="Arial"/>
          <w:sz w:val="16"/>
          <w:szCs w:val="16"/>
          <w:rtl/>
        </w:rPr>
        <w:t>(</w:t>
      </w:r>
      <w:r w:rsidR="00861D75">
        <w:rPr>
          <w:rFonts w:cs="Arial" w:hint="cs"/>
          <w:sz w:val="16"/>
          <w:szCs w:val="16"/>
          <w:rtl/>
        </w:rPr>
        <w:t>וכתב עוד [שם</w:t>
      </w:r>
      <w:r w:rsidRPr="00861D75">
        <w:rPr>
          <w:rFonts w:cs="Arial"/>
          <w:sz w:val="16"/>
          <w:szCs w:val="16"/>
          <w:rtl/>
        </w:rPr>
        <w:t xml:space="preserve"> סי</w:t>
      </w:r>
      <w:r w:rsidR="001862E1" w:rsidRPr="00861D75">
        <w:rPr>
          <w:rFonts w:cs="Arial" w:hint="cs"/>
          <w:sz w:val="16"/>
          <w:szCs w:val="16"/>
          <w:rtl/>
        </w:rPr>
        <w:t>'</w:t>
      </w:r>
      <w:r w:rsidRPr="00861D75">
        <w:rPr>
          <w:rFonts w:cs="Arial"/>
          <w:sz w:val="16"/>
          <w:szCs w:val="16"/>
          <w:rtl/>
        </w:rPr>
        <w:t xml:space="preserve"> עד</w:t>
      </w:r>
      <w:r w:rsidR="00861D75">
        <w:rPr>
          <w:rFonts w:cs="Arial" w:hint="cs"/>
          <w:sz w:val="16"/>
          <w:szCs w:val="16"/>
          <w:rtl/>
        </w:rPr>
        <w:t>]</w:t>
      </w:r>
      <w:r w:rsidRPr="00861D75">
        <w:rPr>
          <w:rFonts w:cs="Arial"/>
          <w:sz w:val="16"/>
          <w:szCs w:val="16"/>
          <w:rtl/>
        </w:rPr>
        <w:t>)</w:t>
      </w:r>
      <w:r w:rsidRPr="00861D75">
        <w:rPr>
          <w:rFonts w:cs="Arial"/>
          <w:rtl/>
        </w:rPr>
        <w:t xml:space="preserve"> שאלתם</w:t>
      </w:r>
      <w:r w:rsidR="00D9003B">
        <w:rPr>
          <w:rFonts w:cs="Arial" w:hint="cs"/>
          <w:rtl/>
        </w:rPr>
        <w:t>,</w:t>
      </w:r>
      <w:r w:rsidRPr="00861D75">
        <w:rPr>
          <w:rFonts w:cs="Arial"/>
          <w:rtl/>
        </w:rPr>
        <w:t xml:space="preserve"> במה שאמרתי בדין ראובן ושמעון ובית דין יפה יוציא הדבר לאמתו הודיענו היאך יוציאנו לאמתו. תשובה</w:t>
      </w:r>
      <w:r w:rsidR="00D9003B">
        <w:rPr>
          <w:rFonts w:cs="Arial" w:hint="cs"/>
          <w:rtl/>
        </w:rPr>
        <w:t>,</w:t>
      </w:r>
      <w:r w:rsidRPr="00861D75">
        <w:rPr>
          <w:rFonts w:cs="Arial"/>
          <w:rtl/>
        </w:rPr>
        <w:t xml:space="preserve"> דבר זה אין בו ענין פרטי שיוכל שום חכם לומר בדבר פלוני ובדבר פלוני אלא כל ב"ד לפי מה שהוא ענין במקומו ושעתו בחקירות הענין אם היו שם עדים איש או אפילו אשה</w:t>
      </w:r>
      <w:r w:rsidR="00D9003B">
        <w:rPr>
          <w:rFonts w:cs="Arial" w:hint="cs"/>
          <w:rtl/>
        </w:rPr>
        <w:t>,</w:t>
      </w:r>
      <w:r w:rsidRPr="00861D75">
        <w:rPr>
          <w:rFonts w:cs="Arial"/>
          <w:rtl/>
        </w:rPr>
        <w:t xml:space="preserve"> ובאיזה ענין היה</w:t>
      </w:r>
      <w:r w:rsidR="00D9003B">
        <w:rPr>
          <w:rFonts w:cs="Arial" w:hint="cs"/>
          <w:rtl/>
        </w:rPr>
        <w:t>,</w:t>
      </w:r>
      <w:r w:rsidRPr="00861D75">
        <w:rPr>
          <w:rFonts w:cs="Arial"/>
          <w:rtl/>
        </w:rPr>
        <w:t xml:space="preserve"> ולפי דעת הבית דין וחכמתו וחריפותו יכיר הענין מתוך הדברים</w:t>
      </w:r>
      <w:r w:rsidR="00D9003B">
        <w:rPr>
          <w:rFonts w:cs="Arial" w:hint="cs"/>
          <w:rtl/>
        </w:rPr>
        <w:t>,</w:t>
      </w:r>
      <w:r w:rsidRPr="00861D75">
        <w:rPr>
          <w:rFonts w:cs="Arial"/>
          <w:rtl/>
        </w:rPr>
        <w:t xml:space="preserve"> וזהו שהיו בודקין ומרבים בחקירות ובבדיקות</w:t>
      </w:r>
      <w:r w:rsidR="00D9003B">
        <w:rPr>
          <w:rFonts w:cs="Arial" w:hint="cs"/>
          <w:rtl/>
        </w:rPr>
        <w:t>,</w:t>
      </w:r>
      <w:r w:rsidRPr="00861D75">
        <w:rPr>
          <w:rFonts w:cs="Arial"/>
          <w:rtl/>
        </w:rPr>
        <w:t xml:space="preserve"> והוא רמוז במה שאמרו </w:t>
      </w:r>
      <w:r w:rsidRPr="00861D75">
        <w:rPr>
          <w:rFonts w:cs="Arial"/>
          <w:sz w:val="16"/>
          <w:szCs w:val="16"/>
          <w:rtl/>
        </w:rPr>
        <w:t xml:space="preserve">(שבת י.) </w:t>
      </w:r>
      <w:r w:rsidRPr="00861D75">
        <w:rPr>
          <w:rFonts w:cs="Arial"/>
          <w:rtl/>
        </w:rPr>
        <w:t>דן דין אמת לאמתו</w:t>
      </w:r>
      <w:r w:rsidR="00D9003B">
        <w:rPr>
          <w:rFonts w:cs="Arial" w:hint="cs"/>
          <w:rtl/>
        </w:rPr>
        <w:t>,</w:t>
      </w:r>
      <w:r w:rsidRPr="00861D75">
        <w:rPr>
          <w:rFonts w:cs="Arial"/>
          <w:rtl/>
        </w:rPr>
        <w:t xml:space="preserve"> ואם הוא דן דין אמת מאי לאמתו</w:t>
      </w:r>
      <w:r w:rsidR="00D9003B">
        <w:rPr>
          <w:rFonts w:cs="Arial" w:hint="cs"/>
          <w:rtl/>
        </w:rPr>
        <w:t>?</w:t>
      </w:r>
      <w:r w:rsidRPr="00861D75">
        <w:rPr>
          <w:rFonts w:cs="Arial"/>
          <w:rtl/>
        </w:rPr>
        <w:t xml:space="preserve"> אלא שרמזו לזה שיוסיפו לדבר ולשאול</w:t>
      </w:r>
      <w:r w:rsidR="00D9003B">
        <w:rPr>
          <w:rFonts w:cs="Arial" w:hint="cs"/>
          <w:rtl/>
        </w:rPr>
        <w:t>,</w:t>
      </w:r>
      <w:r w:rsidRPr="00861D75">
        <w:rPr>
          <w:rFonts w:cs="Arial"/>
          <w:rtl/>
        </w:rPr>
        <w:t xml:space="preserve"> ואע</w:t>
      </w:r>
      <w:r w:rsidR="00861D75" w:rsidRPr="00861D75">
        <w:rPr>
          <w:rFonts w:cs="Arial" w:hint="cs"/>
          <w:rtl/>
        </w:rPr>
        <w:t>"</w:t>
      </w:r>
      <w:r w:rsidRPr="00861D75">
        <w:rPr>
          <w:rFonts w:cs="Arial"/>
          <w:rtl/>
        </w:rPr>
        <w:t>פ שמן הדין היה כן וכן בתחלת הדבר</w:t>
      </w:r>
      <w:r w:rsidR="00D9003B">
        <w:rPr>
          <w:rFonts w:cs="Arial" w:hint="cs"/>
          <w:rtl/>
        </w:rPr>
        <w:t xml:space="preserve"> -</w:t>
      </w:r>
      <w:r w:rsidRPr="00861D75">
        <w:rPr>
          <w:rFonts w:cs="Arial"/>
          <w:rtl/>
        </w:rPr>
        <w:t xml:space="preserve"> אפילו כן יעיינו היטב כדי שיצא לאמתו אם יראה בעיניהם קצת רמאות והערמות בדבר בטענותיהם</w:t>
      </w:r>
      <w:r w:rsidR="001862E1" w:rsidRPr="00861D75">
        <w:rPr>
          <w:rFonts w:cs="Arial" w:hint="cs"/>
          <w:rtl/>
        </w:rPr>
        <w:t>.</w:t>
      </w:r>
    </w:p>
    <w:p w14:paraId="28F4760C" w14:textId="77777777" w:rsidR="00E137BC" w:rsidRPr="00576D5C" w:rsidRDefault="00E137BC" w:rsidP="00576D5C">
      <w:pPr>
        <w:rPr>
          <w:rFonts w:asciiTheme="minorBidi" w:hAnsiTheme="minorBidi"/>
          <w:b/>
          <w:bCs/>
          <w:color w:val="000000"/>
          <w:sz w:val="28"/>
          <w:szCs w:val="28"/>
          <w:u w:val="single"/>
          <w:rtl/>
        </w:rPr>
      </w:pPr>
      <w:r w:rsidRPr="00576D5C">
        <w:rPr>
          <w:rFonts w:asciiTheme="minorBidi" w:hAnsiTheme="minorBidi"/>
          <w:b/>
          <w:bCs/>
          <w:color w:val="000000"/>
          <w:sz w:val="28"/>
          <w:szCs w:val="28"/>
          <w:u w:val="single"/>
          <w:rtl/>
        </w:rPr>
        <w:t>שו"ע:</w:t>
      </w:r>
    </w:p>
    <w:p w14:paraId="45616F38" w14:textId="77777777" w:rsidR="0000353D" w:rsidRDefault="00E137BC" w:rsidP="005274D1">
      <w:pPr>
        <w:rPr>
          <w:rFonts w:asciiTheme="minorBidi" w:hAnsiTheme="minorBidi"/>
          <w:rtl/>
        </w:rPr>
      </w:pPr>
      <w:r w:rsidRPr="00576D5C">
        <w:rPr>
          <w:rFonts w:asciiTheme="minorBidi" w:hAnsiTheme="minorBidi"/>
          <w:rtl/>
        </w:rPr>
        <w:t>הדיין שבא לפניו דין שיודע שהוא מרומה, לא יאמר: אחתכנו ויהיה הקולר</w:t>
      </w:r>
      <w:r w:rsidR="00847B4D">
        <w:rPr>
          <w:rFonts w:asciiTheme="minorBidi" w:hAnsiTheme="minorBidi" w:hint="cs"/>
          <w:rtl/>
        </w:rPr>
        <w:t xml:space="preserve"> </w:t>
      </w:r>
      <w:r w:rsidRPr="00576D5C">
        <w:rPr>
          <w:rFonts w:asciiTheme="minorBidi" w:hAnsiTheme="minorBidi"/>
          <w:rtl/>
        </w:rPr>
        <w:t xml:space="preserve">תלוי בצואר העדים. כיצד יעשה, ידרוש בו ויחקור הרבה בדרישה וחקירה של דיני נפשות. </w:t>
      </w:r>
      <w:r w:rsidRPr="001862E1">
        <w:rPr>
          <w:rFonts w:asciiTheme="minorBidi" w:hAnsiTheme="minorBidi"/>
          <w:sz w:val="18"/>
          <w:szCs w:val="18"/>
          <w:rtl/>
        </w:rPr>
        <w:t>הגה: ומכל מקום אין דינו כדיני נפשות שאם אמר באחד מן החקירות: אינו יודע, שיתבטל העדות, אלא ר"ל שיחקור בדין מרומה כל מה שאפשר (ריב"ש סי</w:t>
      </w:r>
      <w:r w:rsidR="00BE4ABD">
        <w:rPr>
          <w:rFonts w:asciiTheme="minorBidi" w:hAnsiTheme="minorBidi" w:hint="cs"/>
          <w:sz w:val="18"/>
          <w:szCs w:val="18"/>
          <w:rtl/>
        </w:rPr>
        <w:t>'</w:t>
      </w:r>
      <w:r w:rsidRPr="001862E1">
        <w:rPr>
          <w:rFonts w:asciiTheme="minorBidi" w:hAnsiTheme="minorBidi"/>
          <w:sz w:val="18"/>
          <w:szCs w:val="18"/>
          <w:rtl/>
        </w:rPr>
        <w:t xml:space="preserve"> רסו).</w:t>
      </w:r>
      <w:r w:rsidRPr="00576D5C">
        <w:rPr>
          <w:rFonts w:asciiTheme="minorBidi" w:hAnsiTheme="minorBidi"/>
          <w:rtl/>
        </w:rPr>
        <w:t xml:space="preserve"> אם נראה לו לפי דעתו שיש בו רמאות, או שאין דעתו סומכת על דברי העדים אף על פי שאינו יכול לפסלן, או שדעתו נוטה שבעל דין זה רמאי ובעל ערמה והשיא את </w:t>
      </w:r>
      <w:r w:rsidRPr="00576D5C">
        <w:rPr>
          <w:rFonts w:asciiTheme="minorBidi" w:hAnsiTheme="minorBidi"/>
          <w:rtl/>
        </w:rPr>
        <w:lastRenderedPageBreak/>
        <w:t>העדים אף על פי שהם כשרים ולפי תומם העידו, וזה הטעם, או שנראה לו מכלל הדברים שיש שם דברים אחרים מסותרים ואינם רוצים לגלותם, כל אלו הדברים וכיוצא בהם אסור לו לחתוך אותו הדין, אלא יסלק עצמו מדין זה וידוננו מי שלבו שלם בדבר, והרי הדברים מסורים ללב. וכשהיה רואה הרא"ש באומדנא דמוכח שהדין מרומה, היה כותב ונותן ביד הנתבע שאין לשום דיין להשתדל בדין זה</w:t>
      </w:r>
      <w:r w:rsidR="00263239">
        <w:rPr>
          <w:rStyle w:val="ab"/>
          <w:rFonts w:asciiTheme="minorBidi" w:hAnsiTheme="minorBidi"/>
          <w:rtl/>
        </w:rPr>
        <w:footnoteReference w:id="850"/>
      </w:r>
      <w:r w:rsidRPr="00576D5C">
        <w:rPr>
          <w:rFonts w:asciiTheme="minorBidi" w:hAnsiTheme="minorBidi"/>
          <w:rtl/>
        </w:rPr>
        <w:t xml:space="preserve">. </w:t>
      </w:r>
    </w:p>
    <w:p w14:paraId="45F48E69" w14:textId="77777777" w:rsidR="00861D75" w:rsidRPr="00576D5C" w:rsidRDefault="00861D75" w:rsidP="00576D5C">
      <w:pPr>
        <w:rPr>
          <w:rFonts w:asciiTheme="minorBidi" w:hAnsiTheme="minorBidi"/>
          <w:rtl/>
        </w:rPr>
      </w:pPr>
    </w:p>
    <w:p w14:paraId="52082E88" w14:textId="77777777" w:rsidR="00E137BC" w:rsidRDefault="00E137BC" w:rsidP="006567B0">
      <w:pPr>
        <w:pStyle w:val="2"/>
        <w:rPr>
          <w:rtl/>
        </w:rPr>
      </w:pPr>
      <w:bookmarkStart w:id="132" w:name="_Toc24883616"/>
      <w:r w:rsidRPr="00576D5C">
        <w:rPr>
          <w:rtl/>
        </w:rPr>
        <w:t>סעיף ד</w:t>
      </w:r>
      <w:r w:rsidR="0000353D">
        <w:rPr>
          <w:rFonts w:hint="cs"/>
          <w:rtl/>
        </w:rPr>
        <w:t>:</w:t>
      </w:r>
      <w:r w:rsidR="00263239">
        <w:rPr>
          <w:rFonts w:hint="cs"/>
          <w:rtl/>
        </w:rPr>
        <w:t xml:space="preserve"> דין מרומה </w:t>
      </w:r>
      <w:r w:rsidR="00263239">
        <w:rPr>
          <w:rtl/>
        </w:rPr>
        <w:t>–</w:t>
      </w:r>
      <w:r w:rsidR="00263239">
        <w:rPr>
          <w:rFonts w:hint="cs"/>
          <w:rtl/>
        </w:rPr>
        <w:t xml:space="preserve"> כשהנתבע רמאי.</w:t>
      </w:r>
      <w:bookmarkEnd w:id="132"/>
    </w:p>
    <w:p w14:paraId="1EEDEFD3" w14:textId="77777777" w:rsidR="00D9003B" w:rsidRPr="00D9003B" w:rsidRDefault="00D9003B" w:rsidP="00D9003B">
      <w:pPr>
        <w:rPr>
          <w:rFonts w:cs="Arial"/>
          <w:u w:val="single"/>
        </w:rPr>
      </w:pPr>
      <w:r w:rsidRPr="00D9003B">
        <w:rPr>
          <w:rFonts w:cs="Arial" w:hint="cs"/>
          <w:u w:val="single"/>
          <w:rtl/>
        </w:rPr>
        <w:t>האם הדיין צריך לסלק עצמו וכו' אף כשנראה לו</w:t>
      </w:r>
      <w:r w:rsidRPr="00D9003B">
        <w:rPr>
          <w:rFonts w:cs="Arial" w:hint="cs"/>
          <w:b/>
          <w:bCs/>
          <w:u w:val="single"/>
          <w:rtl/>
        </w:rPr>
        <w:t xml:space="preserve"> שהנתבע</w:t>
      </w:r>
      <w:r w:rsidRPr="00D9003B">
        <w:rPr>
          <w:rFonts w:cs="Arial" w:hint="cs"/>
          <w:u w:val="single"/>
          <w:rtl/>
        </w:rPr>
        <w:t xml:space="preserve"> הוא הרמאי:</w:t>
      </w:r>
    </w:p>
    <w:p w14:paraId="29163204" w14:textId="77777777" w:rsidR="00D9003B" w:rsidRPr="00602CD7" w:rsidRDefault="00D9003B" w:rsidP="004B0475">
      <w:pPr>
        <w:pStyle w:val="ac"/>
        <w:numPr>
          <w:ilvl w:val="0"/>
          <w:numId w:val="14"/>
        </w:numPr>
        <w:rPr>
          <w:rFonts w:cs="Arial"/>
          <w:rtl/>
        </w:rPr>
      </w:pPr>
      <w:r w:rsidRPr="002F32CF">
        <w:rPr>
          <w:rFonts w:cs="Arial"/>
          <w:rtl/>
        </w:rPr>
        <w:t xml:space="preserve">רא"ש </w:t>
      </w:r>
      <w:r w:rsidRPr="002F32CF">
        <w:rPr>
          <w:rFonts w:cs="Arial"/>
          <w:sz w:val="16"/>
          <w:szCs w:val="16"/>
          <w:rtl/>
        </w:rPr>
        <w:t>(סי' א</w:t>
      </w:r>
      <w:r w:rsidRPr="002F32CF">
        <w:rPr>
          <w:rFonts w:cs="Arial" w:hint="cs"/>
          <w:sz w:val="16"/>
          <w:szCs w:val="16"/>
          <w:rtl/>
        </w:rPr>
        <w:t>,</w:t>
      </w:r>
      <w:r w:rsidRPr="002F32CF">
        <w:rPr>
          <w:rFonts w:cs="Arial"/>
          <w:sz w:val="16"/>
          <w:szCs w:val="16"/>
          <w:rtl/>
        </w:rPr>
        <w:t xml:space="preserve"> ו</w:t>
      </w:r>
      <w:r w:rsidRPr="002F32CF">
        <w:rPr>
          <w:rFonts w:cs="Arial" w:hint="cs"/>
          <w:sz w:val="16"/>
          <w:szCs w:val="16"/>
          <w:rtl/>
        </w:rPr>
        <w:t>כן</w:t>
      </w:r>
      <w:r w:rsidRPr="002F32CF">
        <w:rPr>
          <w:rFonts w:cs="Arial"/>
          <w:sz w:val="16"/>
          <w:szCs w:val="16"/>
          <w:rtl/>
        </w:rPr>
        <w:t xml:space="preserve"> בתש</w:t>
      </w:r>
      <w:r w:rsidRPr="002F32CF">
        <w:rPr>
          <w:rFonts w:cs="Arial" w:hint="cs"/>
          <w:sz w:val="16"/>
          <w:szCs w:val="16"/>
          <w:rtl/>
        </w:rPr>
        <w:t>ו'</w:t>
      </w:r>
      <w:r w:rsidRPr="002F32CF">
        <w:rPr>
          <w:rFonts w:cs="Arial"/>
          <w:sz w:val="16"/>
          <w:szCs w:val="16"/>
          <w:rtl/>
        </w:rPr>
        <w:t xml:space="preserve"> סוף כלל קז סי' ו ד"ה עוד שאלוהו וד"ה וכן)</w:t>
      </w:r>
      <w:r>
        <w:rPr>
          <w:rFonts w:cs="Arial" w:hint="cs"/>
          <w:rtl/>
        </w:rPr>
        <w:t xml:space="preserve"> וטור</w:t>
      </w:r>
      <w:r w:rsidRPr="002F32CF">
        <w:rPr>
          <w:rFonts w:cs="Arial" w:hint="cs"/>
          <w:rtl/>
        </w:rPr>
        <w:t xml:space="preserve">- </w:t>
      </w:r>
      <w:r w:rsidRPr="002F32CF">
        <w:rPr>
          <w:rFonts w:cs="Arial"/>
          <w:rtl/>
        </w:rPr>
        <w:t xml:space="preserve">הא דאמרינן פרק שבועת העדות </w:t>
      </w:r>
      <w:r w:rsidRPr="002F32CF">
        <w:rPr>
          <w:rFonts w:cs="Arial"/>
          <w:sz w:val="16"/>
          <w:szCs w:val="16"/>
          <w:rtl/>
        </w:rPr>
        <w:t xml:space="preserve">(ל:) </w:t>
      </w:r>
      <w:r w:rsidRPr="002F32CF">
        <w:rPr>
          <w:rFonts w:cs="Arial"/>
          <w:rtl/>
        </w:rPr>
        <w:t xml:space="preserve">דדין מרומה אין לדונו כלל משום דכתיב </w:t>
      </w:r>
      <w:r w:rsidRPr="002F32CF">
        <w:rPr>
          <w:rFonts w:cs="Arial"/>
          <w:sz w:val="16"/>
          <w:szCs w:val="16"/>
          <w:rtl/>
        </w:rPr>
        <w:t xml:space="preserve">(שמות כג ז) </w:t>
      </w:r>
      <w:r w:rsidRPr="002F32CF">
        <w:rPr>
          <w:rFonts w:cs="Arial"/>
          <w:rtl/>
        </w:rPr>
        <w:t>מדבר שקר תרחק</w:t>
      </w:r>
      <w:r w:rsidR="00847B4D">
        <w:rPr>
          <w:rFonts w:cs="Arial" w:hint="cs"/>
          <w:rtl/>
        </w:rPr>
        <w:t>,</w:t>
      </w:r>
      <w:r w:rsidRPr="002F32CF">
        <w:rPr>
          <w:rFonts w:cs="Arial"/>
          <w:rtl/>
        </w:rPr>
        <w:t xml:space="preserve"> תירץ רבינו מאיר דהיינו כשהתובע טוען ברמאות</w:t>
      </w:r>
      <w:r>
        <w:rPr>
          <w:rFonts w:cs="Arial" w:hint="cs"/>
          <w:rtl/>
        </w:rPr>
        <w:t>,</w:t>
      </w:r>
      <w:r w:rsidRPr="002F32CF">
        <w:rPr>
          <w:rFonts w:cs="Arial"/>
          <w:rtl/>
        </w:rPr>
        <w:t xml:space="preserve"> אז יסתלק הדיין ולא ישמע טענתו</w:t>
      </w:r>
      <w:r>
        <w:rPr>
          <w:rFonts w:cs="Arial" w:hint="cs"/>
          <w:rtl/>
        </w:rPr>
        <w:t>,</w:t>
      </w:r>
      <w:r w:rsidRPr="002F32CF">
        <w:rPr>
          <w:rFonts w:cs="Arial"/>
          <w:rtl/>
        </w:rPr>
        <w:t xml:space="preserve"> והכא </w:t>
      </w:r>
      <w:r w:rsidR="00847B4D">
        <w:rPr>
          <w:rFonts w:cs="Arial" w:hint="cs"/>
          <w:sz w:val="16"/>
          <w:szCs w:val="16"/>
          <w:rtl/>
        </w:rPr>
        <w:t xml:space="preserve">{בסנהדרין לב.-לב:} </w:t>
      </w:r>
      <w:r w:rsidRPr="002F32CF">
        <w:rPr>
          <w:rFonts w:cs="Arial"/>
          <w:rtl/>
        </w:rPr>
        <w:t xml:space="preserve">מיירי שהנתבע טוען ברמאות ואין יכול הדיין להסתלק שלא ישתכר הרמאי ברמאותו אלא ידרוש ויחקור הדיין יפה לבטל רמאותו </w:t>
      </w:r>
      <w:r w:rsidRPr="002F32CF">
        <w:rPr>
          <w:rFonts w:cs="Arial" w:hint="cs"/>
          <w:sz w:val="16"/>
          <w:szCs w:val="16"/>
          <w:rtl/>
        </w:rPr>
        <w:t>(ל' הרא"ש בסי' א)</w:t>
      </w:r>
      <w:r w:rsidRPr="002F32CF">
        <w:rPr>
          <w:rFonts w:cs="Arial" w:hint="cs"/>
          <w:rtl/>
        </w:rPr>
        <w:t xml:space="preserve">. </w:t>
      </w:r>
      <w:r w:rsidRPr="002F32CF">
        <w:rPr>
          <w:rFonts w:cs="Arial"/>
          <w:rtl/>
        </w:rPr>
        <w:t>מה יעשו הדיינים</w:t>
      </w:r>
      <w:r w:rsidRPr="002F32CF">
        <w:rPr>
          <w:rFonts w:cs="Arial" w:hint="cs"/>
          <w:rtl/>
        </w:rPr>
        <w:t>,</w:t>
      </w:r>
      <w:r w:rsidRPr="002F32CF">
        <w:rPr>
          <w:rFonts w:cs="Arial"/>
          <w:rtl/>
        </w:rPr>
        <w:t xml:space="preserve"> יחקרו וידרשו בכל מיני דרישות וחקירות להוציא הדין לאמתו</w:t>
      </w:r>
      <w:r>
        <w:rPr>
          <w:rFonts w:cs="Arial" w:hint="cs"/>
          <w:rtl/>
        </w:rPr>
        <w:t>,</w:t>
      </w:r>
      <w:r w:rsidRPr="002F32CF">
        <w:rPr>
          <w:rFonts w:cs="Arial"/>
          <w:rtl/>
        </w:rPr>
        <w:t xml:space="preserve"> וצריך הנתבע להשיב על כל מה שישאל הדיין</w:t>
      </w:r>
      <w:r>
        <w:rPr>
          <w:rFonts w:cs="Arial" w:hint="cs"/>
          <w:rtl/>
        </w:rPr>
        <w:t>.</w:t>
      </w:r>
      <w:r w:rsidRPr="002F32CF">
        <w:rPr>
          <w:rFonts w:cs="Arial"/>
          <w:rtl/>
        </w:rPr>
        <w:t xml:space="preserve"> ואם אינו רוצה להשיב ומכסה ומעלים דבריו ומשיב תשובות גנובות כדי שלא יוכל הדיין לעמוד על אמתת הדין</w:t>
      </w:r>
      <w:r>
        <w:rPr>
          <w:rFonts w:cs="Arial" w:hint="cs"/>
          <w:rtl/>
        </w:rPr>
        <w:t>,</w:t>
      </w:r>
      <w:r w:rsidRPr="002F32CF">
        <w:rPr>
          <w:rFonts w:cs="Arial"/>
          <w:rtl/>
        </w:rPr>
        <w:t xml:space="preserve"> מה יעשה הדיין</w:t>
      </w:r>
      <w:r w:rsidRPr="002F32CF">
        <w:rPr>
          <w:rFonts w:cs="Arial" w:hint="cs"/>
          <w:rtl/>
        </w:rPr>
        <w:t>,</w:t>
      </w:r>
      <w:r w:rsidRPr="002F32CF">
        <w:rPr>
          <w:rFonts w:cs="Arial"/>
          <w:rtl/>
        </w:rPr>
        <w:t xml:space="preserve"> לזכותו</w:t>
      </w:r>
      <w:r w:rsidRPr="002F32CF">
        <w:rPr>
          <w:rFonts w:cs="Arial" w:hint="cs"/>
          <w:rtl/>
        </w:rPr>
        <w:t xml:space="preserve"> -</w:t>
      </w:r>
      <w:r w:rsidRPr="002F32CF">
        <w:rPr>
          <w:rFonts w:cs="Arial"/>
          <w:rtl/>
        </w:rPr>
        <w:t xml:space="preserve"> אי אפשר מאחר שנראה לו דין מרומה</w:t>
      </w:r>
      <w:r w:rsidRPr="002F32CF">
        <w:rPr>
          <w:rFonts w:cs="Arial" w:hint="cs"/>
          <w:rtl/>
        </w:rPr>
        <w:t>,</w:t>
      </w:r>
      <w:r w:rsidRPr="002F32CF">
        <w:rPr>
          <w:rFonts w:cs="Arial"/>
          <w:rtl/>
        </w:rPr>
        <w:t xml:space="preserve"> ואם יסתלק מן הדין </w:t>
      </w:r>
      <w:r w:rsidRPr="002F32CF">
        <w:rPr>
          <w:rFonts w:cs="Arial" w:hint="cs"/>
          <w:rtl/>
        </w:rPr>
        <w:t xml:space="preserve">- </w:t>
      </w:r>
      <w:r w:rsidRPr="002F32CF">
        <w:rPr>
          <w:rFonts w:cs="Arial"/>
          <w:rtl/>
        </w:rPr>
        <w:t>היינו זכות כי בזה יפטר אם שום דיין לא יזהר לדונו</w:t>
      </w:r>
      <w:r w:rsidRPr="002F32CF">
        <w:rPr>
          <w:rFonts w:cs="Arial" w:hint="cs"/>
          <w:rtl/>
        </w:rPr>
        <w:t>,</w:t>
      </w:r>
      <w:r w:rsidRPr="002F32CF">
        <w:rPr>
          <w:rFonts w:cs="Arial"/>
          <w:rtl/>
        </w:rPr>
        <w:t xml:space="preserve"> ועל זה נאמר </w:t>
      </w:r>
      <w:r w:rsidRPr="002F32CF">
        <w:rPr>
          <w:rFonts w:cs="Arial"/>
          <w:sz w:val="16"/>
          <w:szCs w:val="16"/>
          <w:rtl/>
        </w:rPr>
        <w:t xml:space="preserve">(ב"ב קלא., סנהדרין ו:) </w:t>
      </w:r>
      <w:r w:rsidRPr="00602CD7">
        <w:rPr>
          <w:rFonts w:cs="Arial"/>
          <w:rtl/>
        </w:rPr>
        <w:t xml:space="preserve">אין </w:t>
      </w:r>
      <w:r w:rsidRPr="002F32CF">
        <w:rPr>
          <w:rFonts w:cs="Arial"/>
          <w:rtl/>
        </w:rPr>
        <w:t>לדיין אלא מה שעיניו רואות</w:t>
      </w:r>
      <w:r w:rsidRPr="002F32CF">
        <w:rPr>
          <w:rFonts w:cs="Arial" w:hint="cs"/>
          <w:rtl/>
        </w:rPr>
        <w:t>,</w:t>
      </w:r>
      <w:r w:rsidRPr="002F32CF">
        <w:rPr>
          <w:rFonts w:cs="Arial"/>
          <w:rtl/>
        </w:rPr>
        <w:t xml:space="preserve"> וכיון שנראה לדיין שאם היה זה משיב על שאלתו היה הדבר מתברר ומחמת שלא יתברר הוא כובש את דבריו </w:t>
      </w:r>
      <w:r>
        <w:rPr>
          <w:rFonts w:cs="Arial" w:hint="cs"/>
          <w:rtl/>
        </w:rPr>
        <w:t xml:space="preserve">- </w:t>
      </w:r>
      <w:r w:rsidRPr="002F32CF">
        <w:rPr>
          <w:rFonts w:cs="Arial"/>
          <w:rtl/>
        </w:rPr>
        <w:t>יעשה הדיין כאלו השיב ונתברר השקר ויחייבנו באומד הדעת אע</w:t>
      </w:r>
      <w:r w:rsidRPr="002F32CF">
        <w:rPr>
          <w:rFonts w:cs="Arial" w:hint="cs"/>
          <w:rtl/>
        </w:rPr>
        <w:t>"</w:t>
      </w:r>
      <w:r w:rsidRPr="002F32CF">
        <w:rPr>
          <w:rFonts w:cs="Arial"/>
          <w:rtl/>
        </w:rPr>
        <w:t>פ שאינו יכול לברר שקרו בביאור</w:t>
      </w:r>
      <w:r>
        <w:rPr>
          <w:rFonts w:cs="Arial" w:hint="cs"/>
          <w:rtl/>
        </w:rPr>
        <w:t>,</w:t>
      </w:r>
      <w:r w:rsidRPr="002F32CF">
        <w:rPr>
          <w:rFonts w:cs="Arial"/>
          <w:rtl/>
        </w:rPr>
        <w:t xml:space="preserve"> מאחר שהעדר הביאור בא מחמת רמאותו שאינו רוצה להשיב על חקירות ודרישות</w:t>
      </w:r>
      <w:r w:rsidRPr="002F32CF">
        <w:rPr>
          <w:rFonts w:cs="Arial" w:hint="cs"/>
          <w:rtl/>
        </w:rPr>
        <w:t xml:space="preserve"> -</w:t>
      </w:r>
      <w:r w:rsidRPr="002F32CF">
        <w:rPr>
          <w:rFonts w:cs="Arial"/>
          <w:rtl/>
        </w:rPr>
        <w:t xml:space="preserve"> אומדנא דמוכח הוא</w:t>
      </w:r>
      <w:r>
        <w:rPr>
          <w:rFonts w:cs="Arial" w:hint="cs"/>
          <w:rtl/>
        </w:rPr>
        <w:t>,</w:t>
      </w:r>
      <w:r w:rsidRPr="002F32CF">
        <w:rPr>
          <w:rFonts w:cs="Arial"/>
          <w:rtl/>
        </w:rPr>
        <w:t xml:space="preserve"> ורשאי דיין מומחה לדון באומדנא דמוכח כזה</w:t>
      </w:r>
      <w:r>
        <w:rPr>
          <w:rStyle w:val="ab"/>
          <w:rFonts w:cs="Arial"/>
          <w:rtl/>
        </w:rPr>
        <w:footnoteReference w:id="851"/>
      </w:r>
      <w:r w:rsidRPr="002F32CF">
        <w:rPr>
          <w:rFonts w:cs="Arial" w:hint="cs"/>
          <w:rtl/>
        </w:rPr>
        <w:t>...</w:t>
      </w:r>
      <w:r w:rsidRPr="002F32CF">
        <w:rPr>
          <w:rFonts w:cs="Arial"/>
          <w:rtl/>
        </w:rPr>
        <w:t xml:space="preserve"> והיינו טעמא דכיון שבא הדין לפני הדיין והוא אינו יכול לברר הדבר אינו רשאי למשוך ידו מן הדין ויריבו הבעלי דינין זה עם זה וכתיב </w:t>
      </w:r>
      <w:r w:rsidRPr="002F32CF">
        <w:rPr>
          <w:rFonts w:cs="Arial"/>
          <w:sz w:val="16"/>
          <w:szCs w:val="16"/>
          <w:rtl/>
        </w:rPr>
        <w:t>(זכריה ח טז)</w:t>
      </w:r>
      <w:r w:rsidRPr="002F32CF">
        <w:rPr>
          <w:rFonts w:cs="Arial"/>
          <w:rtl/>
        </w:rPr>
        <w:t xml:space="preserve"> אמת ומשפט שלום וכו' ועל ידי המשפט יש שלום בעולם</w:t>
      </w:r>
      <w:r w:rsidRPr="002F32CF">
        <w:rPr>
          <w:rFonts w:cs="Arial" w:hint="cs"/>
          <w:rtl/>
        </w:rPr>
        <w:t>,</w:t>
      </w:r>
      <w:r w:rsidRPr="002F32CF">
        <w:rPr>
          <w:rFonts w:cs="Arial"/>
          <w:rtl/>
        </w:rPr>
        <w:t xml:space="preserve"> ולכך נתנו כח לדיין לשפוט ולעשות מה שירצה אף בלא טעם וראיה כדי לתת שלום בעולם</w:t>
      </w:r>
      <w:r>
        <w:rPr>
          <w:rStyle w:val="ab"/>
          <w:rFonts w:cs="Arial"/>
          <w:rtl/>
        </w:rPr>
        <w:footnoteReference w:id="852"/>
      </w:r>
      <w:r w:rsidRPr="002F32CF">
        <w:rPr>
          <w:rFonts w:cs="Arial" w:hint="cs"/>
          <w:rtl/>
        </w:rPr>
        <w:t xml:space="preserve"> </w:t>
      </w:r>
      <w:r w:rsidRPr="002F32CF">
        <w:rPr>
          <w:rFonts w:cs="Arial" w:hint="cs"/>
          <w:sz w:val="16"/>
          <w:szCs w:val="16"/>
          <w:rtl/>
        </w:rPr>
        <w:t>(ל' הרא"ש בתשו')</w:t>
      </w:r>
      <w:r w:rsidRPr="002F32CF">
        <w:rPr>
          <w:rFonts w:cs="Arial"/>
          <w:rtl/>
        </w:rPr>
        <w:t>.</w:t>
      </w:r>
      <w:r w:rsidRPr="00263239">
        <w:rPr>
          <w:rFonts w:cs="Arial" w:hint="cs"/>
          <w:color w:val="E36C0A" w:themeColor="accent6" w:themeShade="BF"/>
          <w:rtl/>
        </w:rPr>
        <w:t xml:space="preserve"> </w:t>
      </w:r>
      <w:r w:rsidRPr="00861D75">
        <w:rPr>
          <w:rFonts w:cs="Arial" w:hint="cs"/>
          <w:color w:val="E36C0A" w:themeColor="accent6" w:themeShade="BF"/>
          <w:rtl/>
        </w:rPr>
        <w:t>(וכ"</w:t>
      </w:r>
      <w:r>
        <w:rPr>
          <w:rFonts w:cs="Arial" w:hint="cs"/>
          <w:color w:val="E36C0A" w:themeColor="accent6" w:themeShade="BF"/>
          <w:rtl/>
        </w:rPr>
        <w:t>פ</w:t>
      </w:r>
      <w:r w:rsidRPr="00861D75">
        <w:rPr>
          <w:rFonts w:cs="Arial" w:hint="cs"/>
          <w:color w:val="E36C0A" w:themeColor="accent6" w:themeShade="BF"/>
          <w:rtl/>
        </w:rPr>
        <w:t xml:space="preserve"> בשו"ע)</w:t>
      </w:r>
    </w:p>
    <w:p w14:paraId="53899E6A" w14:textId="77777777" w:rsidR="004C5425" w:rsidRDefault="004C5425" w:rsidP="0000353D">
      <w:pPr>
        <w:rPr>
          <w:rFonts w:cs="Arial"/>
          <w:rtl/>
        </w:rPr>
      </w:pPr>
      <w:r w:rsidRPr="004C5425">
        <w:rPr>
          <w:rFonts w:cs="Arial" w:hint="cs"/>
          <w:u w:val="single"/>
          <w:rtl/>
        </w:rPr>
        <w:t>בעל דין שרוצה להשיג על הד</w:t>
      </w:r>
      <w:r>
        <w:rPr>
          <w:rFonts w:cs="Arial" w:hint="cs"/>
          <w:u w:val="single"/>
          <w:rtl/>
        </w:rPr>
        <w:t>י</w:t>
      </w:r>
      <w:r w:rsidRPr="004C5425">
        <w:rPr>
          <w:rFonts w:cs="Arial" w:hint="cs"/>
          <w:u w:val="single"/>
          <w:rtl/>
        </w:rPr>
        <w:t>ין שפסק שלא כדין:</w:t>
      </w:r>
    </w:p>
    <w:p w14:paraId="618F35FA" w14:textId="77777777" w:rsidR="0000353D" w:rsidRDefault="0000353D" w:rsidP="004B0475">
      <w:pPr>
        <w:pStyle w:val="ac"/>
        <w:numPr>
          <w:ilvl w:val="0"/>
          <w:numId w:val="14"/>
        </w:numPr>
        <w:rPr>
          <w:rtl/>
        </w:rPr>
      </w:pPr>
      <w:r w:rsidRPr="004C5425">
        <w:rPr>
          <w:rFonts w:cs="Arial"/>
          <w:rtl/>
        </w:rPr>
        <w:t xml:space="preserve">מהרי"ק </w:t>
      </w:r>
      <w:r w:rsidR="004C5425" w:rsidRPr="004C5425">
        <w:rPr>
          <w:rFonts w:cs="Arial" w:hint="cs"/>
          <w:sz w:val="16"/>
          <w:szCs w:val="16"/>
          <w:rtl/>
        </w:rPr>
        <w:t>(</w:t>
      </w:r>
      <w:r w:rsidRPr="004C5425">
        <w:rPr>
          <w:rFonts w:cs="Arial"/>
          <w:sz w:val="16"/>
          <w:szCs w:val="16"/>
          <w:rtl/>
        </w:rPr>
        <w:t xml:space="preserve">שורש </w:t>
      </w:r>
      <w:r w:rsidR="004C5425" w:rsidRPr="004C5425">
        <w:rPr>
          <w:rFonts w:cs="Arial" w:hint="cs"/>
          <w:sz w:val="16"/>
          <w:szCs w:val="16"/>
          <w:rtl/>
        </w:rPr>
        <w:t>י</w:t>
      </w:r>
      <w:r w:rsidRPr="004C5425">
        <w:rPr>
          <w:rFonts w:cs="Arial"/>
          <w:sz w:val="16"/>
          <w:szCs w:val="16"/>
          <w:rtl/>
        </w:rPr>
        <w:t>ד ענף ב-ג)</w:t>
      </w:r>
      <w:r w:rsidR="004C5425" w:rsidRPr="004C5425">
        <w:rPr>
          <w:rFonts w:cs="Arial" w:hint="cs"/>
          <w:rtl/>
        </w:rPr>
        <w:t>-</w:t>
      </w:r>
      <w:r w:rsidRPr="004C5425">
        <w:rPr>
          <w:rFonts w:cs="Arial"/>
          <w:rtl/>
        </w:rPr>
        <w:t xml:space="preserve"> על אשר לא רצה ליתן לו זמן מבלתי ערבות</w:t>
      </w:r>
      <w:r w:rsidR="00A617AF">
        <w:rPr>
          <w:rFonts w:cs="Arial" w:hint="cs"/>
          <w:rtl/>
        </w:rPr>
        <w:t xml:space="preserve"> -</w:t>
      </w:r>
      <w:r w:rsidRPr="004C5425">
        <w:rPr>
          <w:rFonts w:cs="Arial"/>
          <w:rtl/>
        </w:rPr>
        <w:t xml:space="preserve"> מה אוכל להשיב בזה</w:t>
      </w:r>
      <w:r w:rsidR="00A617AF">
        <w:rPr>
          <w:rFonts w:cs="Arial" w:hint="cs"/>
          <w:rtl/>
        </w:rPr>
        <w:t>,</w:t>
      </w:r>
      <w:r w:rsidRPr="004C5425">
        <w:rPr>
          <w:rFonts w:cs="Arial"/>
          <w:rtl/>
        </w:rPr>
        <w:t xml:space="preserve"> הלא אין לתפוס על הדיין אם לא בראיה ברורה</w:t>
      </w:r>
      <w:r w:rsidR="00A617AF">
        <w:rPr>
          <w:rFonts w:cs="Arial" w:hint="cs"/>
          <w:rtl/>
        </w:rPr>
        <w:t>,</w:t>
      </w:r>
      <w:r w:rsidRPr="004C5425">
        <w:rPr>
          <w:rFonts w:cs="Arial"/>
          <w:rtl/>
        </w:rPr>
        <w:t xml:space="preserve"> כי ידעתם שביד הדיין לפעמים לעשות דבר יראה כנגד היושר אם יראה לו שהבעל דין דוחה או מרמה</w:t>
      </w:r>
      <w:r w:rsidR="00A617AF">
        <w:rPr>
          <w:rFonts w:cs="Arial" w:hint="cs"/>
          <w:rtl/>
        </w:rPr>
        <w:t>,</w:t>
      </w:r>
      <w:r w:rsidRPr="004C5425">
        <w:rPr>
          <w:rFonts w:cs="Arial"/>
          <w:rtl/>
        </w:rPr>
        <w:t xml:space="preserve"> דבר זה תלוי בראות עיני הדיין רק שיעשה לשם שמים</w:t>
      </w:r>
      <w:r w:rsidR="004C5425" w:rsidRPr="004C5425">
        <w:rPr>
          <w:rFonts w:cs="Arial" w:hint="cs"/>
          <w:rtl/>
        </w:rPr>
        <w:t>.</w:t>
      </w:r>
      <w:r w:rsidR="00263239" w:rsidRPr="00263239">
        <w:rPr>
          <w:rFonts w:cs="Arial" w:hint="cs"/>
          <w:color w:val="00B0F0"/>
          <w:rtl/>
        </w:rPr>
        <w:t xml:space="preserve"> (וכ"פ הרמ"א)</w:t>
      </w:r>
    </w:p>
    <w:p w14:paraId="4E16A01F" w14:textId="77777777" w:rsidR="004C5425" w:rsidRPr="004C5425" w:rsidRDefault="004C5425" w:rsidP="0000353D">
      <w:pPr>
        <w:rPr>
          <w:rFonts w:cs="Arial"/>
          <w:u w:val="single"/>
          <w:rtl/>
        </w:rPr>
      </w:pPr>
      <w:r w:rsidRPr="004C5425">
        <w:rPr>
          <w:rFonts w:cs="Arial"/>
          <w:u w:val="single"/>
          <w:rtl/>
        </w:rPr>
        <w:t>דיין הנברר לדון הן דין הן פשרה הן נגד הדין –</w:t>
      </w:r>
      <w:r w:rsidRPr="004C5425">
        <w:rPr>
          <w:rFonts w:cs="Arial" w:hint="cs"/>
          <w:u w:val="single"/>
          <w:rtl/>
        </w:rPr>
        <w:t xml:space="preserve"> מהו שישביע כדי לברר את הדין לאמיתו:</w:t>
      </w:r>
    </w:p>
    <w:p w14:paraId="5509991B" w14:textId="77777777" w:rsidR="004C5425" w:rsidRPr="004C5425" w:rsidRDefault="004C5425" w:rsidP="004B0475">
      <w:pPr>
        <w:pStyle w:val="ac"/>
        <w:numPr>
          <w:ilvl w:val="0"/>
          <w:numId w:val="14"/>
        </w:numPr>
        <w:rPr>
          <w:rFonts w:cs="Arial"/>
          <w:rtl/>
        </w:rPr>
      </w:pPr>
      <w:r w:rsidRPr="004C5425">
        <w:rPr>
          <w:rFonts w:cs="Arial"/>
          <w:rtl/>
        </w:rPr>
        <w:lastRenderedPageBreak/>
        <w:t xml:space="preserve">מהרי"ק </w:t>
      </w:r>
      <w:r w:rsidRPr="004C5425">
        <w:rPr>
          <w:rFonts w:cs="Arial" w:hint="cs"/>
          <w:sz w:val="16"/>
          <w:szCs w:val="16"/>
          <w:rtl/>
        </w:rPr>
        <w:t>(</w:t>
      </w:r>
      <w:r w:rsidRPr="004C5425">
        <w:rPr>
          <w:rFonts w:cs="Arial"/>
          <w:sz w:val="16"/>
          <w:szCs w:val="16"/>
          <w:rtl/>
        </w:rPr>
        <w:t>שורש קפו</w:t>
      </w:r>
      <w:r w:rsidRPr="004C5425">
        <w:rPr>
          <w:rFonts w:cs="Arial" w:hint="cs"/>
          <w:sz w:val="16"/>
          <w:szCs w:val="16"/>
          <w:rtl/>
        </w:rPr>
        <w:t>)</w:t>
      </w:r>
      <w:r w:rsidRPr="004C5425">
        <w:rPr>
          <w:rFonts w:cs="Arial" w:hint="cs"/>
          <w:rtl/>
        </w:rPr>
        <w:t>-</w:t>
      </w:r>
      <w:r w:rsidR="0000353D" w:rsidRPr="004C5425">
        <w:rPr>
          <w:rFonts w:cs="Arial"/>
          <w:rtl/>
        </w:rPr>
        <w:t xml:space="preserve"> דיין הנברר לדון הן דין הן פשרה הן נגד הדין </w:t>
      </w:r>
      <w:r w:rsidR="00847B4D">
        <w:rPr>
          <w:rFonts w:cs="Arial" w:hint="cs"/>
          <w:rtl/>
        </w:rPr>
        <w:t xml:space="preserve">- </w:t>
      </w:r>
      <w:r w:rsidR="0000353D" w:rsidRPr="004C5425">
        <w:rPr>
          <w:rFonts w:cs="Arial"/>
          <w:rtl/>
        </w:rPr>
        <w:t>יש לו להשביע אפילו אם אינו חייב שבועה בדין כדי לברר הדבר לאמתו</w:t>
      </w:r>
      <w:r w:rsidRPr="004C5425">
        <w:rPr>
          <w:rFonts w:cs="Arial" w:hint="cs"/>
          <w:rtl/>
        </w:rPr>
        <w:t>.</w:t>
      </w:r>
      <w:r w:rsidR="0000353D" w:rsidRPr="004C5425">
        <w:rPr>
          <w:rFonts w:cs="Arial"/>
          <w:rtl/>
        </w:rPr>
        <w:t xml:space="preserve"> </w:t>
      </w:r>
      <w:r w:rsidR="00263239" w:rsidRPr="00263239">
        <w:rPr>
          <w:rFonts w:cs="Arial" w:hint="cs"/>
          <w:color w:val="00B0F0"/>
          <w:rtl/>
        </w:rPr>
        <w:t>(וכ"פ הרמ"א)</w:t>
      </w:r>
    </w:p>
    <w:p w14:paraId="6C438476" w14:textId="77777777" w:rsidR="004C5425" w:rsidRPr="004C5425" w:rsidRDefault="0000353D" w:rsidP="0000353D">
      <w:pPr>
        <w:rPr>
          <w:rFonts w:cs="Arial"/>
          <w:u w:val="single"/>
          <w:rtl/>
        </w:rPr>
      </w:pPr>
      <w:r w:rsidRPr="004C5425">
        <w:rPr>
          <w:rFonts w:cs="Arial"/>
          <w:u w:val="single"/>
          <w:rtl/>
        </w:rPr>
        <w:t xml:space="preserve">בית דין שיצא שטר לפניו וידוע אצלו שהוא מזויף </w:t>
      </w:r>
      <w:r w:rsidR="004C5425">
        <w:rPr>
          <w:rFonts w:cs="Arial" w:hint="cs"/>
          <w:u w:val="single"/>
          <w:rtl/>
        </w:rPr>
        <w:t>- ה</w:t>
      </w:r>
      <w:r w:rsidRPr="004C5425">
        <w:rPr>
          <w:rFonts w:cs="Arial"/>
          <w:u w:val="single"/>
          <w:rtl/>
        </w:rPr>
        <w:t>אם רשאי הבית דין לקרעו</w:t>
      </w:r>
      <w:r w:rsidR="004C5425" w:rsidRPr="004C5425">
        <w:rPr>
          <w:rFonts w:cs="Arial" w:hint="cs"/>
          <w:u w:val="single"/>
          <w:rtl/>
        </w:rPr>
        <w:t>:</w:t>
      </w:r>
    </w:p>
    <w:p w14:paraId="753D9308" w14:textId="77777777" w:rsidR="004C5425" w:rsidRPr="004C5425" w:rsidRDefault="0000353D" w:rsidP="004B0475">
      <w:pPr>
        <w:pStyle w:val="ac"/>
        <w:numPr>
          <w:ilvl w:val="0"/>
          <w:numId w:val="14"/>
        </w:numPr>
        <w:rPr>
          <w:rFonts w:cs="Arial"/>
          <w:rtl/>
        </w:rPr>
      </w:pPr>
      <w:r w:rsidRPr="004C5425">
        <w:rPr>
          <w:rFonts w:cs="Arial"/>
          <w:rtl/>
        </w:rPr>
        <w:t xml:space="preserve">רשב"א </w:t>
      </w:r>
      <w:r w:rsidR="004C5425" w:rsidRPr="004C5425">
        <w:rPr>
          <w:rFonts w:cs="Arial" w:hint="cs"/>
          <w:sz w:val="16"/>
          <w:szCs w:val="16"/>
          <w:rtl/>
        </w:rPr>
        <w:t>(</w:t>
      </w:r>
      <w:r w:rsidRPr="004C5425">
        <w:rPr>
          <w:rFonts w:cs="Arial"/>
          <w:sz w:val="16"/>
          <w:szCs w:val="16"/>
          <w:rtl/>
        </w:rPr>
        <w:t>סי</w:t>
      </w:r>
      <w:r w:rsidR="004C5425" w:rsidRPr="004C5425">
        <w:rPr>
          <w:rFonts w:cs="Arial" w:hint="cs"/>
          <w:sz w:val="16"/>
          <w:szCs w:val="16"/>
          <w:rtl/>
        </w:rPr>
        <w:t>'</w:t>
      </w:r>
      <w:r w:rsidRPr="004C5425">
        <w:rPr>
          <w:rFonts w:cs="Arial"/>
          <w:sz w:val="16"/>
          <w:szCs w:val="16"/>
          <w:rtl/>
        </w:rPr>
        <w:t xml:space="preserve"> אלף </w:t>
      </w:r>
      <w:r w:rsidR="004C5425" w:rsidRPr="004C5425">
        <w:rPr>
          <w:rFonts w:cs="Arial" w:hint="cs"/>
          <w:sz w:val="16"/>
          <w:szCs w:val="16"/>
          <w:rtl/>
        </w:rPr>
        <w:t>ו</w:t>
      </w:r>
      <w:r w:rsidRPr="004C5425">
        <w:rPr>
          <w:rFonts w:cs="Arial"/>
          <w:sz w:val="16"/>
          <w:szCs w:val="16"/>
          <w:rtl/>
        </w:rPr>
        <w:t>קמ</w:t>
      </w:r>
      <w:r w:rsidR="00847B4D">
        <w:rPr>
          <w:rFonts w:cs="Arial" w:hint="cs"/>
          <w:sz w:val="16"/>
          <w:szCs w:val="16"/>
          <w:rtl/>
        </w:rPr>
        <w:t>"</w:t>
      </w:r>
      <w:r w:rsidRPr="004C5425">
        <w:rPr>
          <w:rFonts w:cs="Arial"/>
          <w:sz w:val="16"/>
          <w:szCs w:val="16"/>
          <w:rtl/>
        </w:rPr>
        <w:t>ו</w:t>
      </w:r>
      <w:r w:rsidR="004C5425" w:rsidRPr="004C5425">
        <w:rPr>
          <w:rFonts w:cs="Arial" w:hint="cs"/>
          <w:sz w:val="16"/>
          <w:szCs w:val="16"/>
          <w:rtl/>
        </w:rPr>
        <w:t>)</w:t>
      </w:r>
      <w:r w:rsidR="004C5425">
        <w:rPr>
          <w:rFonts w:cs="Arial" w:hint="cs"/>
          <w:rtl/>
        </w:rPr>
        <w:t xml:space="preserve">- </w:t>
      </w:r>
      <w:r w:rsidR="00263239" w:rsidRPr="00263239">
        <w:rPr>
          <w:rFonts w:cs="Arial"/>
          <w:rtl/>
        </w:rPr>
        <w:t>אם הבית דין ידוע ומוחזק בכשרות וירא שמים ובית דין חשוב הוא יש בו כח לעשו</w:t>
      </w:r>
      <w:r w:rsidR="00A617AF">
        <w:rPr>
          <w:rFonts w:cs="Arial" w:hint="cs"/>
          <w:rtl/>
        </w:rPr>
        <w:t>ת</w:t>
      </w:r>
      <w:r w:rsidR="00263239" w:rsidRPr="00263239">
        <w:rPr>
          <w:rFonts w:cs="Arial"/>
          <w:rtl/>
        </w:rPr>
        <w:t xml:space="preserve"> כזה וכיוצא בזה להוראת שעה.</w:t>
      </w:r>
      <w:r w:rsidR="00263239" w:rsidRPr="00263239">
        <w:rPr>
          <w:rtl/>
        </w:rPr>
        <w:t xml:space="preserve"> </w:t>
      </w:r>
      <w:r w:rsidR="00263239" w:rsidRPr="00263239">
        <w:rPr>
          <w:rFonts w:cs="Arial"/>
          <w:rtl/>
        </w:rPr>
        <w:t>וכמדומה שעל זה אמרו דן דין אמת לאמתו</w:t>
      </w:r>
      <w:r w:rsidR="00263239">
        <w:rPr>
          <w:rFonts w:cs="Arial" w:hint="cs"/>
          <w:rtl/>
        </w:rPr>
        <w:t xml:space="preserve">, </w:t>
      </w:r>
      <w:r w:rsidR="00263239" w:rsidRPr="00263239">
        <w:rPr>
          <w:rFonts w:cs="Arial"/>
          <w:rtl/>
        </w:rPr>
        <w:t>וזהו מעשה דמרי בר איסק</w:t>
      </w:r>
      <w:r w:rsidR="00263239" w:rsidRPr="00263239">
        <w:rPr>
          <w:rFonts w:cs="Arial"/>
          <w:sz w:val="16"/>
          <w:szCs w:val="16"/>
          <w:rtl/>
        </w:rPr>
        <w:t xml:space="preserve"> (ב"מ לט</w:t>
      </w:r>
      <w:r w:rsidR="00263239" w:rsidRPr="00263239">
        <w:rPr>
          <w:rFonts w:cs="Arial" w:hint="cs"/>
          <w:sz w:val="16"/>
          <w:szCs w:val="16"/>
          <w:rtl/>
        </w:rPr>
        <w:t>:</w:t>
      </w:r>
      <w:r w:rsidR="00263239" w:rsidRPr="00263239">
        <w:rPr>
          <w:rFonts w:cs="Arial"/>
          <w:sz w:val="16"/>
          <w:szCs w:val="16"/>
          <w:rtl/>
        </w:rPr>
        <w:t>)</w:t>
      </w:r>
      <w:r w:rsidR="00263239" w:rsidRPr="00263239">
        <w:rPr>
          <w:rFonts w:cs="Arial"/>
          <w:rtl/>
        </w:rPr>
        <w:t>.</w:t>
      </w:r>
      <w:r w:rsidR="00263239">
        <w:rPr>
          <w:rFonts w:cs="Arial" w:hint="cs"/>
          <w:rtl/>
        </w:rPr>
        <w:t>.</w:t>
      </w:r>
      <w:r w:rsidR="00263239" w:rsidRPr="00263239">
        <w:rPr>
          <w:rFonts w:cs="Arial"/>
          <w:rtl/>
        </w:rPr>
        <w:t>. ומ</w:t>
      </w:r>
      <w:r w:rsidR="00263239">
        <w:rPr>
          <w:rFonts w:cs="Arial" w:hint="cs"/>
          <w:rtl/>
        </w:rPr>
        <w:t>"מ</w:t>
      </w:r>
      <w:r w:rsidR="00263239" w:rsidRPr="00263239">
        <w:rPr>
          <w:rFonts w:cs="Arial"/>
          <w:rtl/>
        </w:rPr>
        <w:t xml:space="preserve"> צריך הבית דין להיות מתון בדברים אלו הרבה ולדרוש ולחקור היטב קודם שיקרע שטרות של בני אדם. וכאותה שאמרו בפרק הכותב</w:t>
      </w:r>
      <w:r w:rsidR="00263239" w:rsidRPr="00263239">
        <w:rPr>
          <w:rFonts w:cs="Arial"/>
          <w:sz w:val="16"/>
          <w:szCs w:val="16"/>
          <w:rtl/>
        </w:rPr>
        <w:t xml:space="preserve"> (פח</w:t>
      </w:r>
      <w:r w:rsidR="00263239" w:rsidRPr="00263239">
        <w:rPr>
          <w:rFonts w:cs="Arial" w:hint="cs"/>
          <w:sz w:val="16"/>
          <w:szCs w:val="16"/>
          <w:rtl/>
        </w:rPr>
        <w:t>.</w:t>
      </w:r>
      <w:r w:rsidR="00263239" w:rsidRPr="00263239">
        <w:rPr>
          <w:rFonts w:cs="Arial"/>
          <w:sz w:val="16"/>
          <w:szCs w:val="16"/>
          <w:rtl/>
        </w:rPr>
        <w:t>)</w:t>
      </w:r>
      <w:r w:rsidR="00263239">
        <w:rPr>
          <w:rFonts w:cs="Arial" w:hint="cs"/>
          <w:rtl/>
        </w:rPr>
        <w:t>..</w:t>
      </w:r>
      <w:r w:rsidR="00263239" w:rsidRPr="00263239">
        <w:rPr>
          <w:rFonts w:cs="Arial"/>
          <w:rtl/>
        </w:rPr>
        <w:t>. ושמעתי כי מעשה היה בפני מורנו הרמב</w:t>
      </w:r>
      <w:r w:rsidR="00A617AF">
        <w:rPr>
          <w:rFonts w:cs="Arial" w:hint="cs"/>
          <w:rtl/>
        </w:rPr>
        <w:t>"ן</w:t>
      </w:r>
      <w:r w:rsidR="00263239" w:rsidRPr="00263239">
        <w:rPr>
          <w:rFonts w:cs="Arial"/>
          <w:rtl/>
        </w:rPr>
        <w:t xml:space="preserve"> ז"ל וקרעו בידיו. והכל לפי הבדיקות ולפי כוונת שמים וירא אלהים יצא את כלם.</w:t>
      </w:r>
    </w:p>
    <w:p w14:paraId="563E96F6" w14:textId="77777777" w:rsidR="004C5425" w:rsidRPr="004C5425" w:rsidRDefault="004C5425" w:rsidP="0000353D">
      <w:pPr>
        <w:rPr>
          <w:rFonts w:cs="Arial"/>
          <w:u w:val="single"/>
          <w:rtl/>
        </w:rPr>
      </w:pPr>
      <w:r w:rsidRPr="004C5425">
        <w:rPr>
          <w:rFonts w:cs="Arial" w:hint="cs"/>
          <w:u w:val="single"/>
          <w:rtl/>
        </w:rPr>
        <w:t>בני עיר שכתבו לדיין שיהא הוא דן כל עני</w:t>
      </w:r>
      <w:r w:rsidR="00CB7F72">
        <w:rPr>
          <w:rFonts w:cs="Arial" w:hint="cs"/>
          <w:u w:val="single"/>
          <w:rtl/>
        </w:rPr>
        <w:t>ן</w:t>
      </w:r>
      <w:r w:rsidRPr="004C5425">
        <w:rPr>
          <w:rFonts w:cs="Arial" w:hint="cs"/>
          <w:u w:val="single"/>
          <w:rtl/>
        </w:rPr>
        <w:t xml:space="preserve"> התקנה וכל לשון מסופק שבה:</w:t>
      </w:r>
    </w:p>
    <w:p w14:paraId="3A323B5A" w14:textId="77777777" w:rsidR="0000353D" w:rsidRDefault="0000353D" w:rsidP="004B0475">
      <w:pPr>
        <w:pStyle w:val="ac"/>
        <w:numPr>
          <w:ilvl w:val="0"/>
          <w:numId w:val="14"/>
        </w:numPr>
      </w:pPr>
      <w:r w:rsidRPr="004C5425">
        <w:rPr>
          <w:rFonts w:cs="Arial"/>
          <w:rtl/>
        </w:rPr>
        <w:t xml:space="preserve">רשב"א </w:t>
      </w:r>
      <w:r w:rsidRPr="004C5425">
        <w:rPr>
          <w:rFonts w:cs="Arial"/>
          <w:sz w:val="16"/>
          <w:szCs w:val="16"/>
          <w:rtl/>
        </w:rPr>
        <w:t>(ח"ד סי' שח</w:t>
      </w:r>
      <w:r w:rsidR="00A617AF">
        <w:rPr>
          <w:rFonts w:cs="Arial" w:hint="cs"/>
          <w:sz w:val="16"/>
          <w:szCs w:val="16"/>
          <w:rtl/>
        </w:rPr>
        <w:t>,</w:t>
      </w:r>
      <w:r w:rsidRPr="004C5425">
        <w:rPr>
          <w:rFonts w:cs="Arial"/>
          <w:sz w:val="16"/>
          <w:szCs w:val="16"/>
          <w:rtl/>
        </w:rPr>
        <w:t xml:space="preserve"> ח"ה סי' רמז)</w:t>
      </w:r>
      <w:r w:rsidR="004C5425" w:rsidRPr="004C5425">
        <w:rPr>
          <w:rFonts w:cs="Arial" w:hint="cs"/>
          <w:rtl/>
        </w:rPr>
        <w:t xml:space="preserve">- </w:t>
      </w:r>
      <w:r w:rsidRPr="004C5425">
        <w:rPr>
          <w:rFonts w:cs="Arial"/>
          <w:rtl/>
        </w:rPr>
        <w:t>שאל</w:t>
      </w:r>
      <w:r w:rsidR="004C5425" w:rsidRPr="004C5425">
        <w:rPr>
          <w:rFonts w:cs="Arial" w:hint="cs"/>
          <w:rtl/>
        </w:rPr>
        <w:t>ת</w:t>
      </w:r>
      <w:r w:rsidRPr="004C5425">
        <w:rPr>
          <w:rFonts w:cs="Arial"/>
          <w:rtl/>
        </w:rPr>
        <w:t xml:space="preserve"> הנה שכתבו בני העיר בתקנותיהם שיהא נדון כל ענין התקנה וכל לשון מסופק שבה כאשר אדון להם אני</w:t>
      </w:r>
      <w:r w:rsidR="004C5425" w:rsidRPr="004C5425">
        <w:rPr>
          <w:rFonts w:cs="Arial" w:hint="cs"/>
          <w:rtl/>
        </w:rPr>
        <w:t>,</w:t>
      </w:r>
      <w:r w:rsidRPr="004C5425">
        <w:rPr>
          <w:rFonts w:cs="Arial"/>
          <w:rtl/>
        </w:rPr>
        <w:t xml:space="preserve"> אם יש לי רשות לדון באומד כפי מה שיראה לי בתיקון הענין או דוקא במשמעות הלשון. </w:t>
      </w:r>
      <w:r w:rsidR="004C5425" w:rsidRPr="004C5425">
        <w:rPr>
          <w:rFonts w:cs="Arial" w:hint="cs"/>
          <w:rtl/>
        </w:rPr>
        <w:t>תשובה,</w:t>
      </w:r>
      <w:r w:rsidRPr="004C5425">
        <w:rPr>
          <w:rFonts w:cs="Arial"/>
          <w:rtl/>
        </w:rPr>
        <w:t xml:space="preserve"> אלו כתבו </w:t>
      </w:r>
      <w:r w:rsidR="004C5425" w:rsidRPr="004C5425">
        <w:rPr>
          <w:rFonts w:cs="Arial" w:hint="cs"/>
          <w:rtl/>
        </w:rPr>
        <w:t>'</w:t>
      </w:r>
      <w:r w:rsidRPr="004C5425">
        <w:rPr>
          <w:rFonts w:cs="Arial"/>
          <w:rtl/>
        </w:rPr>
        <w:t>כל ענין מחודש וכל לשון מסופק יהא נדון על פי פלוני</w:t>
      </w:r>
      <w:r w:rsidR="004C5425" w:rsidRPr="004C5425">
        <w:rPr>
          <w:rFonts w:cs="Arial" w:hint="cs"/>
          <w:rtl/>
        </w:rPr>
        <w:t>' -</w:t>
      </w:r>
      <w:r w:rsidRPr="004C5425">
        <w:rPr>
          <w:rFonts w:cs="Arial"/>
          <w:rtl/>
        </w:rPr>
        <w:t xml:space="preserve"> היה לך לדון הענין המחודש לפי מה שיראה לך שיהא בו תיקון לענין התקנה</w:t>
      </w:r>
      <w:r w:rsidR="004C5425" w:rsidRPr="004C5425">
        <w:rPr>
          <w:rFonts w:cs="Arial" w:hint="cs"/>
          <w:rtl/>
        </w:rPr>
        <w:t>,</w:t>
      </w:r>
      <w:r w:rsidRPr="004C5425">
        <w:rPr>
          <w:rFonts w:cs="Arial"/>
          <w:rtl/>
        </w:rPr>
        <w:t xml:space="preserve"> אבל אלו שכתבו </w:t>
      </w:r>
      <w:r w:rsidR="004C5425" w:rsidRPr="004C5425">
        <w:rPr>
          <w:rFonts w:cs="Arial" w:hint="cs"/>
          <w:rtl/>
        </w:rPr>
        <w:t>'</w:t>
      </w:r>
      <w:r w:rsidRPr="004C5425">
        <w:rPr>
          <w:rFonts w:cs="Arial"/>
          <w:rtl/>
        </w:rPr>
        <w:t>כל ענין התקנה וכל לשון מסופק</w:t>
      </w:r>
      <w:r w:rsidR="004C5425" w:rsidRPr="004C5425">
        <w:rPr>
          <w:rFonts w:cs="Arial" w:hint="cs"/>
          <w:rtl/>
        </w:rPr>
        <w:t xml:space="preserve"> </w:t>
      </w:r>
      <w:r w:rsidRPr="004C5425">
        <w:rPr>
          <w:rFonts w:cs="Arial"/>
          <w:rtl/>
        </w:rPr>
        <w:t>יהא נדון ע</w:t>
      </w:r>
      <w:r w:rsidR="008C6256">
        <w:rPr>
          <w:rFonts w:cs="Arial" w:hint="cs"/>
          <w:rtl/>
        </w:rPr>
        <w:t>"</w:t>
      </w:r>
      <w:r w:rsidRPr="004C5425">
        <w:rPr>
          <w:rFonts w:cs="Arial"/>
          <w:rtl/>
        </w:rPr>
        <w:t>פ פלוני</w:t>
      </w:r>
      <w:r w:rsidR="004C5425" w:rsidRPr="004C5425">
        <w:rPr>
          <w:rFonts w:cs="Arial" w:hint="cs"/>
          <w:rtl/>
        </w:rPr>
        <w:t xml:space="preserve">' </w:t>
      </w:r>
      <w:r w:rsidR="008C6256">
        <w:rPr>
          <w:rFonts w:cs="Arial" w:hint="cs"/>
          <w:rtl/>
        </w:rPr>
        <w:t>-</w:t>
      </w:r>
      <w:r w:rsidRPr="004C5425">
        <w:rPr>
          <w:rFonts w:cs="Arial"/>
          <w:rtl/>
        </w:rPr>
        <w:t xml:space="preserve"> א</w:t>
      </w:r>
      <w:r w:rsidR="008C6256">
        <w:rPr>
          <w:rFonts w:cs="Arial" w:hint="cs"/>
          <w:rtl/>
        </w:rPr>
        <w:t>"א</w:t>
      </w:r>
      <w:r w:rsidRPr="004C5425">
        <w:rPr>
          <w:rFonts w:cs="Arial"/>
          <w:rtl/>
        </w:rPr>
        <w:t xml:space="preserve"> לדונו כרצונך אלא כפי מה שיראה בדעתך לדונו מתוך הלשון</w:t>
      </w:r>
      <w:r w:rsidR="004C5425" w:rsidRPr="004C5425">
        <w:rPr>
          <w:rFonts w:cs="Arial" w:hint="cs"/>
          <w:rtl/>
        </w:rPr>
        <w:t>,</w:t>
      </w:r>
      <w:r w:rsidRPr="004C5425">
        <w:rPr>
          <w:rFonts w:cs="Arial"/>
          <w:rtl/>
        </w:rPr>
        <w:t xml:space="preserve"> שהם לא שמו בידך לדון אלא מה שהוא נמצא בספר התקנה</w:t>
      </w:r>
      <w:r w:rsidR="00A617AF">
        <w:rPr>
          <w:rFonts w:cs="Arial" w:hint="cs"/>
          <w:rtl/>
        </w:rPr>
        <w:t>.</w:t>
      </w:r>
      <w:r w:rsidRPr="004C5425">
        <w:rPr>
          <w:rFonts w:cs="Arial"/>
          <w:rtl/>
        </w:rPr>
        <w:t xml:space="preserve"> ועוד שלא אמרו שיהא נדון כאשר תאמר אלא כאשר תדון</w:t>
      </w:r>
      <w:r w:rsidR="004C5425" w:rsidRPr="004C5425">
        <w:rPr>
          <w:rFonts w:cs="Arial" w:hint="cs"/>
          <w:rtl/>
        </w:rPr>
        <w:t>.</w:t>
      </w:r>
    </w:p>
    <w:p w14:paraId="341BB952" w14:textId="77777777" w:rsidR="00E137BC" w:rsidRPr="00576D5C" w:rsidRDefault="00E137BC" w:rsidP="00576D5C">
      <w:pPr>
        <w:rPr>
          <w:rFonts w:asciiTheme="minorBidi" w:hAnsiTheme="minorBidi"/>
          <w:b/>
          <w:bCs/>
          <w:color w:val="000000"/>
          <w:sz w:val="28"/>
          <w:szCs w:val="28"/>
          <w:u w:val="single"/>
          <w:rtl/>
        </w:rPr>
      </w:pPr>
      <w:r w:rsidRPr="00576D5C">
        <w:rPr>
          <w:rFonts w:asciiTheme="minorBidi" w:hAnsiTheme="minorBidi"/>
          <w:b/>
          <w:bCs/>
          <w:color w:val="000000"/>
          <w:sz w:val="28"/>
          <w:szCs w:val="28"/>
          <w:u w:val="single"/>
          <w:rtl/>
        </w:rPr>
        <w:t>שו"ע:</w:t>
      </w:r>
    </w:p>
    <w:p w14:paraId="26A15F86" w14:textId="77777777" w:rsidR="00E137BC" w:rsidRDefault="00E137BC" w:rsidP="00576D5C">
      <w:pPr>
        <w:rPr>
          <w:rFonts w:asciiTheme="minorBidi" w:hAnsiTheme="minorBidi"/>
          <w:rtl/>
        </w:rPr>
      </w:pPr>
      <w:r w:rsidRPr="00576D5C">
        <w:rPr>
          <w:rFonts w:asciiTheme="minorBidi" w:hAnsiTheme="minorBidi"/>
          <w:rtl/>
        </w:rPr>
        <w:t>במ</w:t>
      </w:r>
      <w:r w:rsidR="004C5425">
        <w:rPr>
          <w:rFonts w:asciiTheme="minorBidi" w:hAnsiTheme="minorBidi" w:hint="cs"/>
          <w:rtl/>
        </w:rPr>
        <w:t>ה דברים אמורים</w:t>
      </w:r>
      <w:r w:rsidRPr="00576D5C">
        <w:rPr>
          <w:rFonts w:asciiTheme="minorBidi" w:hAnsiTheme="minorBidi"/>
          <w:rtl/>
        </w:rPr>
        <w:t>, כשהתובע רמאי</w:t>
      </w:r>
      <w:r w:rsidR="00263239">
        <w:rPr>
          <w:rFonts w:asciiTheme="minorBidi" w:hAnsiTheme="minorBidi" w:hint="cs"/>
          <w:rtl/>
        </w:rPr>
        <w:t>,</w:t>
      </w:r>
      <w:r w:rsidRPr="00576D5C">
        <w:rPr>
          <w:rFonts w:asciiTheme="minorBidi" w:hAnsiTheme="minorBidi"/>
          <w:rtl/>
        </w:rPr>
        <w:t xml:space="preserve"> אבל כשהנתבע רמאי אין הדיין יכול להסתלק, שלא ישתכר הרמאי ברמאותו, אלא ידרוש ויחקור יפה לבטל רמאותו</w:t>
      </w:r>
      <w:r w:rsidR="004C5425">
        <w:rPr>
          <w:rFonts w:asciiTheme="minorBidi" w:hAnsiTheme="minorBidi" w:hint="cs"/>
          <w:rtl/>
        </w:rPr>
        <w:t>.</w:t>
      </w:r>
      <w:r w:rsidRPr="00576D5C">
        <w:rPr>
          <w:rFonts w:asciiTheme="minorBidi" w:hAnsiTheme="minorBidi"/>
          <w:rtl/>
        </w:rPr>
        <w:t xml:space="preserve"> ואם נראה לו באומדנא דמוכח שהוא חייב</w:t>
      </w:r>
      <w:r w:rsidR="00263239">
        <w:rPr>
          <w:rStyle w:val="ab"/>
          <w:rFonts w:asciiTheme="minorBidi" w:hAnsiTheme="minorBidi"/>
          <w:rtl/>
        </w:rPr>
        <w:footnoteReference w:id="853"/>
      </w:r>
      <w:r w:rsidRPr="00576D5C">
        <w:rPr>
          <w:rFonts w:asciiTheme="minorBidi" w:hAnsiTheme="minorBidi"/>
          <w:rtl/>
        </w:rPr>
        <w:t xml:space="preserve">, יחייבנו אם הוא דיין מומחה ויחיד בדורו. </w:t>
      </w:r>
      <w:r w:rsidRPr="004C5425">
        <w:rPr>
          <w:rFonts w:asciiTheme="minorBidi" w:hAnsiTheme="minorBidi"/>
          <w:sz w:val="18"/>
          <w:szCs w:val="18"/>
          <w:rtl/>
        </w:rPr>
        <w:t>הגה: ובדרך זה יוכל הדיין לומר לנתבע ג"כ שלא יתן לו זמן עד שיעמיד ערבות, כי אין לדיין באלו הדברים רק מה שעיניו רואות (מהרי"ק שורש יד). ויכול אפילו להשביע במקום שאינו חייב שבועה מצד הדין, אם עושה כדי לברר האמת (שם שורש קפו).</w:t>
      </w:r>
      <w:r w:rsidRPr="00576D5C">
        <w:rPr>
          <w:rFonts w:asciiTheme="minorBidi" w:hAnsiTheme="minorBidi"/>
          <w:rtl/>
        </w:rPr>
        <w:t xml:space="preserve"> </w:t>
      </w:r>
    </w:p>
    <w:p w14:paraId="17DA5E44" w14:textId="77777777" w:rsidR="0000353D" w:rsidRPr="00576D5C" w:rsidRDefault="0000353D" w:rsidP="00576D5C">
      <w:pPr>
        <w:rPr>
          <w:rFonts w:asciiTheme="minorBidi" w:hAnsiTheme="minorBidi"/>
          <w:rtl/>
        </w:rPr>
      </w:pPr>
    </w:p>
    <w:p w14:paraId="2F5F0E3A" w14:textId="77777777" w:rsidR="00E137BC" w:rsidRDefault="00E137BC" w:rsidP="006567B0">
      <w:pPr>
        <w:pStyle w:val="2"/>
        <w:rPr>
          <w:rtl/>
        </w:rPr>
      </w:pPr>
      <w:bookmarkStart w:id="133" w:name="_Toc24883617"/>
      <w:r w:rsidRPr="00576D5C">
        <w:rPr>
          <w:rtl/>
        </w:rPr>
        <w:t>סעיף ה</w:t>
      </w:r>
      <w:r w:rsidR="0000353D">
        <w:rPr>
          <w:rFonts w:hint="cs"/>
          <w:rtl/>
        </w:rPr>
        <w:t>:</w:t>
      </w:r>
      <w:r w:rsidR="00DE2FD3">
        <w:rPr>
          <w:rFonts w:hint="cs"/>
          <w:rtl/>
        </w:rPr>
        <w:t xml:space="preserve"> דין ע"פ נטיית הדעת בלא ראיה ברורה.</w:t>
      </w:r>
      <w:bookmarkEnd w:id="133"/>
    </w:p>
    <w:p w14:paraId="6CB19166" w14:textId="77777777" w:rsidR="0014565D" w:rsidRDefault="0014565D" w:rsidP="0014565D">
      <w:pPr>
        <w:rPr>
          <w:rFonts w:cs="Arial"/>
          <w:rtl/>
        </w:rPr>
      </w:pPr>
      <w:r w:rsidRPr="004B442F">
        <w:rPr>
          <w:rFonts w:cs="Arial"/>
          <w:b/>
          <w:bCs/>
          <w:rtl/>
        </w:rPr>
        <w:t xml:space="preserve">כתובות </w:t>
      </w:r>
      <w:r w:rsidRPr="004B442F">
        <w:rPr>
          <w:rFonts w:cs="Arial" w:hint="cs"/>
          <w:b/>
          <w:bCs/>
          <w:sz w:val="16"/>
          <w:szCs w:val="16"/>
          <w:rtl/>
        </w:rPr>
        <w:t>(</w:t>
      </w:r>
      <w:r w:rsidRPr="004B442F">
        <w:rPr>
          <w:rFonts w:cs="Arial"/>
          <w:b/>
          <w:bCs/>
          <w:sz w:val="16"/>
          <w:szCs w:val="16"/>
          <w:rtl/>
        </w:rPr>
        <w:t>פ</w:t>
      </w:r>
      <w:r w:rsidRPr="004B442F">
        <w:rPr>
          <w:rFonts w:cs="Arial" w:hint="cs"/>
          <w:b/>
          <w:bCs/>
          <w:sz w:val="16"/>
          <w:szCs w:val="16"/>
          <w:rtl/>
        </w:rPr>
        <w:t>'</w:t>
      </w:r>
      <w:r w:rsidRPr="004B442F">
        <w:rPr>
          <w:rFonts w:cs="Arial"/>
          <w:b/>
          <w:bCs/>
          <w:sz w:val="16"/>
          <w:szCs w:val="16"/>
          <w:rtl/>
        </w:rPr>
        <w:t xml:space="preserve"> הכותב</w:t>
      </w:r>
      <w:r w:rsidRPr="004B442F">
        <w:rPr>
          <w:rFonts w:cs="Arial" w:hint="cs"/>
          <w:b/>
          <w:bCs/>
          <w:sz w:val="16"/>
          <w:szCs w:val="16"/>
          <w:rtl/>
        </w:rPr>
        <w:t>)</w:t>
      </w:r>
      <w:r w:rsidRPr="004B442F">
        <w:rPr>
          <w:rFonts w:cs="Arial"/>
          <w:b/>
          <w:bCs/>
          <w:rtl/>
        </w:rPr>
        <w:t xml:space="preserve"> פה</w:t>
      </w:r>
      <w:r w:rsidR="00DF22A0">
        <w:rPr>
          <w:rStyle w:val="ab"/>
          <w:rFonts w:cs="Arial"/>
          <w:b/>
          <w:bCs/>
          <w:rtl/>
        </w:rPr>
        <w:footnoteReference w:id="854"/>
      </w:r>
      <w:r w:rsidRPr="004B442F">
        <w:rPr>
          <w:rFonts w:cs="Arial" w:hint="cs"/>
          <w:b/>
          <w:bCs/>
          <w:rtl/>
        </w:rPr>
        <w:t xml:space="preserve"> ע"א:</w:t>
      </w:r>
      <w:r>
        <w:rPr>
          <w:rFonts w:cs="Arial"/>
          <w:rtl/>
        </w:rPr>
        <w:t xml:space="preserve"> </w:t>
      </w:r>
      <w:r w:rsidRPr="004B442F">
        <w:rPr>
          <w:rFonts w:cs="Arial"/>
          <w:rtl/>
        </w:rPr>
        <w:t>ההיא איתתא דאיחייבא שבועה</w:t>
      </w:r>
      <w:r>
        <w:rPr>
          <w:rStyle w:val="ab"/>
          <w:rFonts w:cs="Arial"/>
          <w:rtl/>
        </w:rPr>
        <w:footnoteReference w:id="855"/>
      </w:r>
      <w:r w:rsidRPr="004B442F">
        <w:rPr>
          <w:rFonts w:cs="Arial"/>
          <w:rtl/>
        </w:rPr>
        <w:t xml:space="preserve"> בי דינא דרבא, </w:t>
      </w:r>
      <w:r w:rsidRPr="008C6256">
        <w:rPr>
          <w:rFonts w:cs="Arial"/>
          <w:u w:val="single"/>
          <w:rtl/>
        </w:rPr>
        <w:t>אמרה ליה בת רב חסדא</w:t>
      </w:r>
      <w:r>
        <w:rPr>
          <w:rStyle w:val="ab"/>
          <w:rFonts w:cs="Arial"/>
          <w:rtl/>
        </w:rPr>
        <w:footnoteReference w:id="856"/>
      </w:r>
      <w:r w:rsidRPr="004B442F">
        <w:rPr>
          <w:rFonts w:cs="Arial"/>
          <w:rtl/>
        </w:rPr>
        <w:t>: ידענא בה דחשודה אשבועה, אפכה רבא לשבועה אשכנגדה</w:t>
      </w:r>
      <w:r>
        <w:rPr>
          <w:rStyle w:val="ab"/>
          <w:rFonts w:cs="Arial"/>
          <w:rtl/>
        </w:rPr>
        <w:footnoteReference w:id="857"/>
      </w:r>
      <w:r w:rsidRPr="004B442F">
        <w:rPr>
          <w:rFonts w:cs="Arial"/>
          <w:rtl/>
        </w:rPr>
        <w:t>. זימנין</w:t>
      </w:r>
      <w:r>
        <w:rPr>
          <w:rStyle w:val="ab"/>
          <w:rFonts w:cs="Arial"/>
          <w:rtl/>
        </w:rPr>
        <w:footnoteReference w:id="858"/>
      </w:r>
      <w:r w:rsidRPr="004B442F">
        <w:rPr>
          <w:rFonts w:cs="Arial"/>
          <w:rtl/>
        </w:rPr>
        <w:t xml:space="preserve"> הוו יתבי קמיה רב פפא ורב אדא בר מתנא, אייתו ההוא שטרא גביה, </w:t>
      </w:r>
      <w:r w:rsidRPr="008C6256">
        <w:rPr>
          <w:rFonts w:cs="Arial"/>
          <w:u w:val="single"/>
          <w:rtl/>
        </w:rPr>
        <w:t>א"ל רב פפא</w:t>
      </w:r>
      <w:r w:rsidRPr="004B442F">
        <w:rPr>
          <w:rFonts w:cs="Arial"/>
          <w:rtl/>
        </w:rPr>
        <w:t xml:space="preserve">: ידענא ביה דשטרא פריעא הוא, א"ל: איכא איניש אחרינא בהדי' דמר? א"ל: לא, א"ל: אף על גב דאיכא מר, עד אחד לאו כלום הוא. </w:t>
      </w:r>
      <w:r w:rsidRPr="008C6256">
        <w:rPr>
          <w:rFonts w:cs="Arial"/>
          <w:u w:val="single"/>
          <w:rtl/>
        </w:rPr>
        <w:t>א"ל רב אדא בר מתנא</w:t>
      </w:r>
      <w:r w:rsidRPr="004B442F">
        <w:rPr>
          <w:rFonts w:cs="Arial"/>
          <w:rtl/>
        </w:rPr>
        <w:t>: ולא יהא רב פפא כבת רב חסדא</w:t>
      </w:r>
      <w:r>
        <w:rPr>
          <w:rStyle w:val="ab"/>
          <w:rFonts w:cs="Arial"/>
          <w:rtl/>
        </w:rPr>
        <w:footnoteReference w:id="859"/>
      </w:r>
      <w:r w:rsidRPr="004B442F">
        <w:rPr>
          <w:rFonts w:cs="Arial"/>
          <w:rtl/>
        </w:rPr>
        <w:t>? בת רב חסדא קים לי בגווה</w:t>
      </w:r>
      <w:r>
        <w:rPr>
          <w:rStyle w:val="ab"/>
          <w:rFonts w:cs="Arial"/>
          <w:rtl/>
        </w:rPr>
        <w:footnoteReference w:id="860"/>
      </w:r>
      <w:r w:rsidRPr="004B442F">
        <w:rPr>
          <w:rFonts w:cs="Arial"/>
          <w:rtl/>
        </w:rPr>
        <w:t xml:space="preserve">, מר לא קים לי בגוויה. </w:t>
      </w:r>
      <w:r w:rsidRPr="008C6256">
        <w:rPr>
          <w:rFonts w:cs="Arial"/>
          <w:u w:val="single"/>
          <w:rtl/>
        </w:rPr>
        <w:t>אמר רב פפא</w:t>
      </w:r>
      <w:r w:rsidRPr="004B442F">
        <w:rPr>
          <w:rFonts w:cs="Arial"/>
          <w:rtl/>
        </w:rPr>
        <w:t>, השתא דאמר מר: קים לי בגוויה מילתא היא, כגון אבא מר ברי דקים לי בגוויה, קרענא שטרא אפומיה. קרענא ס"ד</w:t>
      </w:r>
      <w:r>
        <w:rPr>
          <w:rStyle w:val="ab"/>
          <w:rFonts w:cs="Arial"/>
          <w:rtl/>
        </w:rPr>
        <w:footnoteReference w:id="861"/>
      </w:r>
      <w:r w:rsidRPr="004B442F">
        <w:rPr>
          <w:rFonts w:cs="Arial"/>
          <w:rtl/>
        </w:rPr>
        <w:t>? אלא, מרענא</w:t>
      </w:r>
      <w:r>
        <w:rPr>
          <w:rStyle w:val="ab"/>
          <w:rFonts w:cs="Arial"/>
          <w:rtl/>
        </w:rPr>
        <w:footnoteReference w:id="862"/>
      </w:r>
      <w:r w:rsidRPr="004B442F">
        <w:rPr>
          <w:rFonts w:cs="Arial"/>
          <w:rtl/>
        </w:rPr>
        <w:t xml:space="preserve"> שטרא אפומיה</w:t>
      </w:r>
      <w:r>
        <w:rPr>
          <w:rFonts w:cs="Arial" w:hint="cs"/>
          <w:rtl/>
        </w:rPr>
        <w:t>..</w:t>
      </w:r>
      <w:r w:rsidRPr="004B442F">
        <w:rPr>
          <w:rFonts w:cs="Arial"/>
          <w:rtl/>
        </w:rPr>
        <w:t>.</w:t>
      </w:r>
      <w:r>
        <w:rPr>
          <w:rFonts w:cs="Arial" w:hint="cs"/>
          <w:rtl/>
        </w:rPr>
        <w:t xml:space="preserve"> </w:t>
      </w:r>
      <w:r>
        <w:rPr>
          <w:rFonts w:cs="Arial" w:hint="cs"/>
          <w:sz w:val="14"/>
          <w:szCs w:val="14"/>
          <w:rtl/>
        </w:rPr>
        <w:t xml:space="preserve">(פה:) </w:t>
      </w:r>
      <w:r w:rsidRPr="00C034D8">
        <w:rPr>
          <w:rFonts w:cs="Arial"/>
          <w:u w:val="single"/>
          <w:rtl/>
        </w:rPr>
        <w:t>ההוא גברא</w:t>
      </w:r>
      <w:r w:rsidRPr="004B442F">
        <w:rPr>
          <w:rFonts w:cs="Arial"/>
          <w:rtl/>
        </w:rPr>
        <w:t xml:space="preserve"> דאפקיד שב מרגניתא דציירי בסדינא</w:t>
      </w:r>
      <w:r>
        <w:rPr>
          <w:rStyle w:val="ab"/>
          <w:rFonts w:cs="Arial"/>
          <w:rtl/>
        </w:rPr>
        <w:footnoteReference w:id="863"/>
      </w:r>
      <w:r w:rsidRPr="004B442F">
        <w:rPr>
          <w:rFonts w:cs="Arial"/>
          <w:rtl/>
        </w:rPr>
        <w:t xml:space="preserve"> בי רבי מיאשא בר בריה דר' יהושע בן לוי, שכיב ר' מיאשא ולא פקיד</w:t>
      </w:r>
      <w:r>
        <w:rPr>
          <w:rStyle w:val="ab"/>
          <w:rFonts w:cs="Arial"/>
          <w:rtl/>
        </w:rPr>
        <w:footnoteReference w:id="864"/>
      </w:r>
      <w:r w:rsidRPr="004B442F">
        <w:rPr>
          <w:rFonts w:cs="Arial"/>
          <w:rtl/>
        </w:rPr>
        <w:t>, אתו לקמיה דר' אמי</w:t>
      </w:r>
      <w:r>
        <w:rPr>
          <w:rStyle w:val="ab"/>
          <w:rFonts w:cs="Arial"/>
          <w:rtl/>
        </w:rPr>
        <w:footnoteReference w:id="865"/>
      </w:r>
      <w:r w:rsidRPr="004B442F">
        <w:rPr>
          <w:rFonts w:cs="Arial"/>
          <w:rtl/>
        </w:rPr>
        <w:t>, א"ל: חדא, דידענא ביה בר' מיאשא בר בריה דר' יהושע בן לוי דלא אמיד</w:t>
      </w:r>
      <w:r>
        <w:rPr>
          <w:rStyle w:val="ab"/>
          <w:rFonts w:cs="Arial"/>
          <w:rtl/>
        </w:rPr>
        <w:footnoteReference w:id="866"/>
      </w:r>
      <w:r w:rsidRPr="004B442F">
        <w:rPr>
          <w:rFonts w:cs="Arial"/>
          <w:rtl/>
        </w:rPr>
        <w:t>; ועוד, הא קא יהיב סימנא</w:t>
      </w:r>
      <w:r>
        <w:rPr>
          <w:rStyle w:val="ab"/>
          <w:rFonts w:cs="Arial"/>
          <w:rtl/>
        </w:rPr>
        <w:footnoteReference w:id="867"/>
      </w:r>
      <w:r w:rsidRPr="004B442F">
        <w:rPr>
          <w:rFonts w:cs="Arial"/>
          <w:rtl/>
        </w:rPr>
        <w:t xml:space="preserve">. ולא אמרן - אלא דלא רגיל דעייל ונפיק להתם, אבל רגיל דעייל ונפיק להתם, אימא איניש אחרינא אפקיד ואיהו מיחזא </w:t>
      </w:r>
      <w:r w:rsidRPr="004B442F">
        <w:rPr>
          <w:rFonts w:cs="Arial"/>
          <w:rtl/>
        </w:rPr>
        <w:lastRenderedPageBreak/>
        <w:t xml:space="preserve">חזא. </w:t>
      </w:r>
      <w:r w:rsidRPr="00C034D8">
        <w:rPr>
          <w:rFonts w:cs="Arial"/>
          <w:u w:val="single"/>
          <w:rtl/>
        </w:rPr>
        <w:t>ההוא גברא</w:t>
      </w:r>
      <w:r w:rsidRPr="004B442F">
        <w:rPr>
          <w:rFonts w:cs="Arial"/>
          <w:rtl/>
        </w:rPr>
        <w:t xml:space="preserve"> דאפקיד כסא דכספא בי חסא, שכיב חסא ולא פקיד</w:t>
      </w:r>
      <w:r>
        <w:rPr>
          <w:rStyle w:val="ab"/>
          <w:rFonts w:cs="Arial"/>
          <w:rtl/>
        </w:rPr>
        <w:footnoteReference w:id="868"/>
      </w:r>
      <w:r w:rsidRPr="004B442F">
        <w:rPr>
          <w:rFonts w:cs="Arial"/>
          <w:rtl/>
        </w:rPr>
        <w:t xml:space="preserve">, אתו לקמיה דרב נחמן, אמר להו: ידענא ביה בחסא דלא אמיד; ועוד, הא קא יהיב סימנא. ולא אמרן - אלא דלא רגיל דעייל ונפיק להתם, אבל רגיל דעייל ונפיק להתם, אימר איניש אחרינא אפקיד ואיהו מיחזא חזא. </w:t>
      </w:r>
      <w:r w:rsidRPr="00C034D8">
        <w:rPr>
          <w:rFonts w:cs="Arial"/>
          <w:u w:val="single"/>
          <w:rtl/>
        </w:rPr>
        <w:t>ההוא דאפקיד</w:t>
      </w:r>
      <w:r w:rsidRPr="004B442F">
        <w:rPr>
          <w:rFonts w:cs="Arial"/>
          <w:rtl/>
        </w:rPr>
        <w:t xml:space="preserve"> מטכסא</w:t>
      </w:r>
      <w:r>
        <w:rPr>
          <w:rStyle w:val="ab"/>
          <w:rFonts w:cs="Arial"/>
          <w:rtl/>
        </w:rPr>
        <w:footnoteReference w:id="869"/>
      </w:r>
      <w:r w:rsidRPr="004B442F">
        <w:rPr>
          <w:rFonts w:cs="Arial"/>
          <w:rtl/>
        </w:rPr>
        <w:t xml:space="preserve"> בי רב דימי אחוה דרב ספרא, שכיב רב דימי ולא פקיד, אתא לקמיה דרבי אבא, אמר להו: חדא, דידענא ביה ברב דימי דלא אמיד; ועוד, הא קא יהיב סימנא. ולא אמרן - אלא דלא רגיל דעייל ונפיק להתם, אבל רגיל דעייל ונפיק להתם, אימא איניש אחרינא אפקיד ואיהו מיחזא חזא.</w:t>
      </w:r>
      <w:r>
        <w:rPr>
          <w:rFonts w:cs="Arial" w:hint="cs"/>
          <w:rtl/>
        </w:rPr>
        <w:t xml:space="preserve"> </w:t>
      </w:r>
      <w:r w:rsidRPr="00CA0EA8">
        <w:rPr>
          <w:rFonts w:cs="Arial" w:hint="cs"/>
          <w:sz w:val="16"/>
          <w:szCs w:val="16"/>
          <w:rtl/>
        </w:rPr>
        <w:t>(</w:t>
      </w:r>
      <w:r w:rsidRPr="00CA0EA8">
        <w:rPr>
          <w:rFonts w:cs="Arial"/>
          <w:sz w:val="16"/>
          <w:szCs w:val="16"/>
          <w:rtl/>
        </w:rPr>
        <w:t>וכתב</w:t>
      </w:r>
      <w:r w:rsidRPr="00CA0EA8">
        <w:rPr>
          <w:rFonts w:cs="Arial" w:hint="cs"/>
          <w:sz w:val="16"/>
          <w:szCs w:val="16"/>
          <w:rtl/>
        </w:rPr>
        <w:t>ו</w:t>
      </w:r>
      <w:r w:rsidRPr="00CA0EA8">
        <w:rPr>
          <w:rFonts w:cs="Arial"/>
          <w:sz w:val="16"/>
          <w:szCs w:val="16"/>
          <w:rtl/>
        </w:rPr>
        <w:t xml:space="preserve"> הרי"ף (מד.)</w:t>
      </w:r>
      <w:r w:rsidRPr="00CA0EA8">
        <w:rPr>
          <w:rFonts w:cs="Arial" w:hint="cs"/>
          <w:sz w:val="16"/>
          <w:szCs w:val="16"/>
          <w:rtl/>
        </w:rPr>
        <w:t xml:space="preserve"> והרא"ש (פ"ט סי' ח)</w:t>
      </w:r>
      <w:r w:rsidRPr="00CA0EA8">
        <w:rPr>
          <w:rFonts w:cs="Arial"/>
          <w:sz w:val="16"/>
          <w:szCs w:val="16"/>
          <w:rtl/>
        </w:rPr>
        <w:t xml:space="preserve"> דר' אבא דן כי האי דינא דר' אמי ור"נ למימרא דהלכה רווחת ולית בה פלוגתא</w:t>
      </w:r>
      <w:r w:rsidRPr="00CA0EA8">
        <w:rPr>
          <w:rFonts w:cs="Arial" w:hint="cs"/>
          <w:sz w:val="16"/>
          <w:szCs w:val="16"/>
          <w:rtl/>
        </w:rPr>
        <w:t>)</w:t>
      </w:r>
      <w:r>
        <w:rPr>
          <w:rFonts w:cs="Arial"/>
          <w:rtl/>
        </w:rPr>
        <w:t xml:space="preserve"> </w:t>
      </w:r>
    </w:p>
    <w:p w14:paraId="7323D716" w14:textId="77777777" w:rsidR="00DE2FD3" w:rsidRPr="00DE2FD3" w:rsidRDefault="00DE2FD3" w:rsidP="005274D1">
      <w:pPr>
        <w:rPr>
          <w:rFonts w:cs="Arial"/>
          <w:u w:val="single"/>
          <w:rtl/>
        </w:rPr>
      </w:pPr>
      <w:r w:rsidRPr="00DE2FD3">
        <w:rPr>
          <w:rFonts w:hint="cs"/>
          <w:u w:val="single"/>
          <w:rtl/>
        </w:rPr>
        <w:t>דין ע</w:t>
      </w:r>
      <w:r w:rsidR="00C034D8">
        <w:rPr>
          <w:rFonts w:hint="cs"/>
          <w:u w:val="single"/>
          <w:rtl/>
        </w:rPr>
        <w:t xml:space="preserve">ל </w:t>
      </w:r>
      <w:r w:rsidRPr="00DE2FD3">
        <w:rPr>
          <w:rFonts w:hint="cs"/>
          <w:u w:val="single"/>
          <w:rtl/>
        </w:rPr>
        <w:t>פ</w:t>
      </w:r>
      <w:r w:rsidR="00C034D8">
        <w:rPr>
          <w:rFonts w:hint="cs"/>
          <w:u w:val="single"/>
          <w:rtl/>
        </w:rPr>
        <w:t>י</w:t>
      </w:r>
      <w:r w:rsidRPr="00DE2FD3">
        <w:rPr>
          <w:rFonts w:hint="cs"/>
          <w:u w:val="single"/>
          <w:rtl/>
        </w:rPr>
        <w:t xml:space="preserve"> נטיית הדעת בלא ראיה ברורה</w:t>
      </w:r>
      <w:r w:rsidRPr="00DE2FD3">
        <w:rPr>
          <w:rFonts w:cs="Arial" w:hint="cs"/>
          <w:u w:val="single"/>
          <w:rtl/>
        </w:rPr>
        <w:t>:</w:t>
      </w:r>
    </w:p>
    <w:p w14:paraId="40FF4986" w14:textId="77777777" w:rsidR="00DE2FD3" w:rsidRDefault="005274D1" w:rsidP="004B0475">
      <w:pPr>
        <w:pStyle w:val="ac"/>
        <w:numPr>
          <w:ilvl w:val="0"/>
          <w:numId w:val="14"/>
        </w:numPr>
        <w:rPr>
          <w:rFonts w:cs="Arial"/>
        </w:rPr>
      </w:pPr>
      <w:r w:rsidRPr="00DE2FD3">
        <w:rPr>
          <w:rFonts w:cs="Arial" w:hint="cs"/>
          <w:rtl/>
        </w:rPr>
        <w:t xml:space="preserve">רמב"ם </w:t>
      </w:r>
      <w:r w:rsidRPr="00DE2FD3">
        <w:rPr>
          <w:rFonts w:cs="Arial" w:hint="cs"/>
          <w:sz w:val="16"/>
          <w:szCs w:val="16"/>
          <w:rtl/>
        </w:rPr>
        <w:t>(פכ"ד ה"א-ב)</w:t>
      </w:r>
      <w:r w:rsidR="004B442F" w:rsidRPr="00DE2FD3">
        <w:rPr>
          <w:rFonts w:cs="Arial" w:hint="cs"/>
          <w:rtl/>
        </w:rPr>
        <w:t xml:space="preserve"> וטור</w:t>
      </w:r>
      <w:r w:rsidRPr="00DE2FD3">
        <w:rPr>
          <w:rFonts w:cs="Arial" w:hint="cs"/>
          <w:rtl/>
        </w:rPr>
        <w:t xml:space="preserve">- </w:t>
      </w:r>
      <w:r w:rsidRPr="00DE2FD3">
        <w:rPr>
          <w:rFonts w:cs="Arial"/>
          <w:rtl/>
        </w:rPr>
        <w:t>יש לדיין לדון בדיני ממונות על פי הדברים שדעתו נוטה להן שהן אמת והדבר חזק בלבו שהוא כן אע</w:t>
      </w:r>
      <w:r w:rsidR="00C034D8">
        <w:rPr>
          <w:rFonts w:cs="Arial" w:hint="cs"/>
          <w:rtl/>
        </w:rPr>
        <w:t>"</w:t>
      </w:r>
      <w:r w:rsidRPr="00DE2FD3">
        <w:rPr>
          <w:rFonts w:cs="Arial"/>
          <w:rtl/>
        </w:rPr>
        <w:t>פ שאין שם ראיה ברורה</w:t>
      </w:r>
      <w:r w:rsidR="00C034D8">
        <w:rPr>
          <w:rFonts w:cs="Arial" w:hint="cs"/>
          <w:rtl/>
        </w:rPr>
        <w:t>,</w:t>
      </w:r>
      <w:r w:rsidRPr="00DE2FD3">
        <w:rPr>
          <w:rFonts w:cs="Arial"/>
          <w:rtl/>
        </w:rPr>
        <w:t xml:space="preserve"> ואין צריך לומר אם היה יודע בודאי שהדבר כן הוא שהוא דן כפי מה שיודע</w:t>
      </w:r>
      <w:r w:rsidR="00DF22A0">
        <w:rPr>
          <w:rFonts w:cs="Arial" w:hint="cs"/>
          <w:rtl/>
        </w:rPr>
        <w:t>.</w:t>
      </w:r>
      <w:r w:rsidRPr="00DE2FD3">
        <w:rPr>
          <w:rFonts w:cs="Arial"/>
          <w:rtl/>
        </w:rPr>
        <w:t xml:space="preserve"> כיצד הרי שנתחייב אדם שבועה בב"ד ואמר לדיין אדם שהוא נאמן אצלו ושדעתו סומכת על דבריו שזה האיש חשוד על השבועה</w:t>
      </w:r>
      <w:r w:rsidR="00DF22A0">
        <w:rPr>
          <w:rFonts w:cs="Arial" w:hint="cs"/>
          <w:rtl/>
        </w:rPr>
        <w:t xml:space="preserve"> -</w:t>
      </w:r>
      <w:r w:rsidRPr="00DE2FD3">
        <w:rPr>
          <w:rFonts w:cs="Arial"/>
          <w:rtl/>
        </w:rPr>
        <w:t xml:space="preserve"> יש לדיין להפוך השבועה על שכנגדו וישבע ויטול</w:t>
      </w:r>
      <w:r w:rsidR="00C26D32">
        <w:rPr>
          <w:rFonts w:cs="Arial" w:hint="cs"/>
          <w:rtl/>
        </w:rPr>
        <w:t>,</w:t>
      </w:r>
      <w:r w:rsidRPr="00DE2FD3">
        <w:rPr>
          <w:rFonts w:cs="Arial"/>
          <w:rtl/>
        </w:rPr>
        <w:t xml:space="preserve"> הואיל וסמכה דעתו של דיין על דברי זה</w:t>
      </w:r>
      <w:r w:rsidR="00C26D32">
        <w:rPr>
          <w:rFonts w:cs="Arial" w:hint="cs"/>
          <w:rtl/>
        </w:rPr>
        <w:t>.</w:t>
      </w:r>
      <w:r w:rsidRPr="00DE2FD3">
        <w:rPr>
          <w:rFonts w:cs="Arial"/>
          <w:rtl/>
        </w:rPr>
        <w:t xml:space="preserve"> אפילו היתה אשה או עבד נאמנים אצלו</w:t>
      </w:r>
      <w:r w:rsidR="00C26D32">
        <w:rPr>
          <w:rFonts w:cs="Arial" w:hint="cs"/>
          <w:rtl/>
        </w:rPr>
        <w:t xml:space="preserve">, </w:t>
      </w:r>
      <w:r w:rsidRPr="00DE2FD3">
        <w:rPr>
          <w:rFonts w:cs="Arial"/>
          <w:rtl/>
        </w:rPr>
        <w:t xml:space="preserve">הואיל ומצא הדבר חזק ונכון בלבו </w:t>
      </w:r>
      <w:r w:rsidR="00C26D32">
        <w:rPr>
          <w:rFonts w:cs="Arial" w:hint="cs"/>
          <w:rtl/>
        </w:rPr>
        <w:t xml:space="preserve">- </w:t>
      </w:r>
      <w:r w:rsidRPr="00DE2FD3">
        <w:rPr>
          <w:rFonts w:cs="Arial"/>
          <w:rtl/>
        </w:rPr>
        <w:t>סומך עליו ודן</w:t>
      </w:r>
      <w:r w:rsidR="00C26D32">
        <w:rPr>
          <w:rFonts w:cs="Arial" w:hint="cs"/>
          <w:rtl/>
        </w:rPr>
        <w:t>,</w:t>
      </w:r>
      <w:r w:rsidRPr="00DE2FD3">
        <w:rPr>
          <w:rFonts w:cs="Arial"/>
          <w:rtl/>
        </w:rPr>
        <w:t xml:space="preserve"> ואין צריך לומר אם ידע הוא עצמו שזה חשוד. וכן אם יצא שטר חוב לפניו ואמר לו אדם שסמך עליו אפילו אשה או קרוב </w:t>
      </w:r>
      <w:r w:rsidR="00DF22A0">
        <w:rPr>
          <w:rFonts w:cs="Arial" w:hint="cs"/>
          <w:rtl/>
        </w:rPr>
        <w:t>'</w:t>
      </w:r>
      <w:r w:rsidRPr="00DE2FD3">
        <w:rPr>
          <w:rFonts w:cs="Arial"/>
          <w:rtl/>
        </w:rPr>
        <w:t>זה פרוע הוא</w:t>
      </w:r>
      <w:r w:rsidR="00DF22A0">
        <w:rPr>
          <w:rFonts w:cs="Arial" w:hint="cs"/>
          <w:rtl/>
        </w:rPr>
        <w:t>'</w:t>
      </w:r>
      <w:r w:rsidR="00C26D32">
        <w:rPr>
          <w:rFonts w:cs="Arial" w:hint="cs"/>
          <w:rtl/>
        </w:rPr>
        <w:t>,</w:t>
      </w:r>
      <w:r w:rsidRPr="00DE2FD3">
        <w:rPr>
          <w:rFonts w:cs="Arial"/>
          <w:rtl/>
        </w:rPr>
        <w:t xml:space="preserve"> אם סמכה דעתו על דבריו </w:t>
      </w:r>
      <w:r w:rsidR="00C26D32">
        <w:rPr>
          <w:rFonts w:cs="Arial" w:hint="cs"/>
          <w:rtl/>
        </w:rPr>
        <w:t xml:space="preserve">- </w:t>
      </w:r>
      <w:r w:rsidRPr="00DE2FD3">
        <w:rPr>
          <w:rFonts w:cs="Arial"/>
          <w:rtl/>
        </w:rPr>
        <w:t>יש לו לומר לזה לא תפרע אלא בשבועה</w:t>
      </w:r>
      <w:r w:rsidR="00C26D32">
        <w:rPr>
          <w:rFonts w:cs="Arial" w:hint="cs"/>
          <w:rtl/>
        </w:rPr>
        <w:t>.</w:t>
      </w:r>
      <w:r w:rsidRPr="00DE2FD3">
        <w:rPr>
          <w:rFonts w:cs="Arial"/>
          <w:rtl/>
        </w:rPr>
        <w:t xml:space="preserve"> או אם היה עליו שטר חוב לאחר יתן לזה שלא נפגם שטרו כלל ויניח זה שנפגם שטרו בדברי האחד או ישליך השטר בפניו ולא ידון בו כפי מה שיראה</w:t>
      </w:r>
      <w:r w:rsidR="00DF22A0">
        <w:rPr>
          <w:rFonts w:cs="Arial" w:hint="cs"/>
          <w:rtl/>
        </w:rPr>
        <w:t>.</w:t>
      </w:r>
      <w:r w:rsidRPr="00DE2FD3">
        <w:rPr>
          <w:rFonts w:cs="Arial"/>
          <w:rtl/>
        </w:rPr>
        <w:t xml:space="preserve"> וכן מי שבא וטען שיש לו פקדון אצל פלוני שמת בלא צואה</w:t>
      </w:r>
      <w:r w:rsidR="00C26D32">
        <w:rPr>
          <w:rFonts w:cs="Arial" w:hint="cs"/>
          <w:rtl/>
        </w:rPr>
        <w:t>,</w:t>
      </w:r>
      <w:r w:rsidRPr="00DE2FD3">
        <w:rPr>
          <w:rFonts w:cs="Arial"/>
          <w:rtl/>
        </w:rPr>
        <w:t xml:space="preserve"> ונתן סימנין מובהקין</w:t>
      </w:r>
      <w:r w:rsidR="00C26D32">
        <w:rPr>
          <w:rFonts w:cs="Arial" w:hint="cs"/>
          <w:rtl/>
        </w:rPr>
        <w:t>,</w:t>
      </w:r>
      <w:r w:rsidRPr="00DE2FD3">
        <w:rPr>
          <w:rFonts w:cs="Arial"/>
          <w:rtl/>
        </w:rPr>
        <w:t xml:space="preserve"> ולא היה זה הטוען רגיל להכנס בבית זה האיש שמת, אם ידע הדיין שזה המת אינו אמוד להיות לו חפץ זה וסמכה דעתו שאין זה החפץ של מת </w:t>
      </w:r>
      <w:r w:rsidR="00C26D32">
        <w:rPr>
          <w:rFonts w:cs="Arial" w:hint="cs"/>
          <w:rtl/>
        </w:rPr>
        <w:t xml:space="preserve">- </w:t>
      </w:r>
      <w:r w:rsidRPr="00DE2FD3">
        <w:rPr>
          <w:rFonts w:cs="Arial"/>
          <w:rtl/>
        </w:rPr>
        <w:t>מוציאו מן היורשין ונותנו לזה האמוד בו ונתן סימנים, וכן כל כיוצא בזה</w:t>
      </w:r>
      <w:r w:rsidR="00C26D32">
        <w:rPr>
          <w:rFonts w:cs="Arial" w:hint="cs"/>
          <w:rtl/>
        </w:rPr>
        <w:t>.</w:t>
      </w:r>
      <w:r w:rsidRPr="00DE2FD3">
        <w:rPr>
          <w:rFonts w:cs="Arial"/>
          <w:rtl/>
        </w:rPr>
        <w:t xml:space="preserve"> שאין הדבר מסור אלא ללבו של דיין לפי מה שיראה לו שהוא דין האמת</w:t>
      </w:r>
      <w:r w:rsidR="00DF22A0">
        <w:rPr>
          <w:rFonts w:cs="Arial" w:hint="cs"/>
          <w:rtl/>
        </w:rPr>
        <w:t>.</w:t>
      </w:r>
      <w:r w:rsidRPr="00DE2FD3">
        <w:rPr>
          <w:rFonts w:cs="Arial"/>
          <w:rtl/>
        </w:rPr>
        <w:t xml:space="preserve"> אם כן למה הצריכה תורה שני עדים</w:t>
      </w:r>
      <w:r w:rsidR="00C26D32">
        <w:rPr>
          <w:rFonts w:cs="Arial" w:hint="cs"/>
          <w:rtl/>
        </w:rPr>
        <w:t>?</w:t>
      </w:r>
      <w:r w:rsidRPr="00DE2FD3">
        <w:rPr>
          <w:rFonts w:cs="Arial"/>
          <w:rtl/>
        </w:rPr>
        <w:t xml:space="preserve"> שבזמן שיבואו לפני הדיין שני עדים ידון על פי עדותן אע</w:t>
      </w:r>
      <w:r w:rsidR="00DF22A0">
        <w:rPr>
          <w:rFonts w:cs="Arial" w:hint="cs"/>
          <w:rtl/>
        </w:rPr>
        <w:t>"</w:t>
      </w:r>
      <w:r w:rsidRPr="00DE2FD3">
        <w:rPr>
          <w:rFonts w:cs="Arial"/>
          <w:rtl/>
        </w:rPr>
        <w:t>פ שאינו יודע אם באמת העידו או בשקר</w:t>
      </w:r>
      <w:r w:rsidR="004B442F" w:rsidRPr="00DE2FD3">
        <w:rPr>
          <w:rFonts w:cs="Arial" w:hint="cs"/>
          <w:rtl/>
        </w:rPr>
        <w:t xml:space="preserve"> </w:t>
      </w:r>
      <w:r w:rsidR="004B442F" w:rsidRPr="00DE2FD3">
        <w:rPr>
          <w:rFonts w:cs="Arial" w:hint="cs"/>
          <w:sz w:val="16"/>
          <w:szCs w:val="16"/>
          <w:rtl/>
        </w:rPr>
        <w:t>(ל' הרמב"ם)</w:t>
      </w:r>
      <w:r w:rsidRPr="00DE2FD3">
        <w:rPr>
          <w:rFonts w:cs="Arial"/>
          <w:rtl/>
        </w:rPr>
        <w:t xml:space="preserve">. </w:t>
      </w:r>
      <w:r w:rsidR="00B121AF" w:rsidRPr="00B121AF">
        <w:rPr>
          <w:rFonts w:cs="Arial" w:hint="cs"/>
          <w:color w:val="E36C0A" w:themeColor="accent6" w:themeShade="BF"/>
          <w:rtl/>
        </w:rPr>
        <w:t>(וכ"פ בשו"ע)</w:t>
      </w:r>
    </w:p>
    <w:p w14:paraId="1CB46E20" w14:textId="77777777" w:rsidR="00CA0EA8" w:rsidRPr="00AC3FF7" w:rsidRDefault="00CA0EA8" w:rsidP="00AC3FF7">
      <w:pPr>
        <w:ind w:left="360"/>
        <w:rPr>
          <w:rFonts w:cs="Arial"/>
          <w:u w:val="dotted"/>
          <w:rtl/>
        </w:rPr>
      </w:pPr>
      <w:r w:rsidRPr="00AC3FF7">
        <w:rPr>
          <w:rFonts w:cs="Arial" w:hint="cs"/>
          <w:u w:val="dotted"/>
          <w:rtl/>
        </w:rPr>
        <w:t>האם בזמה</w:t>
      </w:r>
      <w:r w:rsidR="004301AD" w:rsidRPr="00AC3FF7">
        <w:rPr>
          <w:rFonts w:cs="Arial" w:hint="cs"/>
          <w:u w:val="dotted"/>
          <w:rtl/>
        </w:rPr>
        <w:t>"</w:t>
      </w:r>
      <w:r w:rsidRPr="00AC3FF7">
        <w:rPr>
          <w:rFonts w:cs="Arial" w:hint="cs"/>
          <w:u w:val="dotted"/>
          <w:rtl/>
        </w:rPr>
        <w:t>ז יכו</w:t>
      </w:r>
      <w:r w:rsidR="004301AD" w:rsidRPr="00AC3FF7">
        <w:rPr>
          <w:rFonts w:cs="Arial" w:hint="cs"/>
          <w:u w:val="dotted"/>
          <w:rtl/>
        </w:rPr>
        <w:t>ל הדיין</w:t>
      </w:r>
      <w:r w:rsidRPr="00AC3FF7">
        <w:rPr>
          <w:rFonts w:cs="Arial" w:hint="cs"/>
          <w:u w:val="dotted"/>
          <w:rtl/>
        </w:rPr>
        <w:t xml:space="preserve"> </w:t>
      </w:r>
      <w:r w:rsidR="004301AD" w:rsidRPr="00AC3FF7">
        <w:rPr>
          <w:rFonts w:cs="Arial" w:hint="cs"/>
          <w:u w:val="dotted"/>
          <w:rtl/>
        </w:rPr>
        <w:t xml:space="preserve">לומר קים לי בגויה </w:t>
      </w:r>
      <w:r w:rsidR="004301AD" w:rsidRPr="00AC3FF7">
        <w:rPr>
          <w:rFonts w:cs="Arial" w:hint="cs"/>
          <w:sz w:val="16"/>
          <w:szCs w:val="16"/>
          <w:u w:val="dotted"/>
          <w:rtl/>
        </w:rPr>
        <w:t>(ו</w:t>
      </w:r>
      <w:r w:rsidRPr="00AC3FF7">
        <w:rPr>
          <w:rFonts w:cs="Arial" w:hint="cs"/>
          <w:sz w:val="16"/>
          <w:szCs w:val="16"/>
          <w:u w:val="dotted"/>
          <w:rtl/>
        </w:rPr>
        <w:t>להפוך שבועה</w:t>
      </w:r>
      <w:r w:rsidR="004301AD" w:rsidRPr="00AC3FF7">
        <w:rPr>
          <w:rStyle w:val="ab"/>
          <w:rFonts w:cs="Arial"/>
          <w:sz w:val="16"/>
          <w:szCs w:val="16"/>
          <w:u w:val="dotted"/>
          <w:rtl/>
        </w:rPr>
        <w:footnoteReference w:id="870"/>
      </w:r>
      <w:r w:rsidR="004301AD" w:rsidRPr="00AC3FF7">
        <w:rPr>
          <w:rFonts w:cs="Arial" w:hint="cs"/>
          <w:sz w:val="16"/>
          <w:szCs w:val="16"/>
          <w:u w:val="dotted"/>
          <w:rtl/>
        </w:rPr>
        <w:t>/</w:t>
      </w:r>
      <w:r w:rsidRPr="00AC3FF7">
        <w:rPr>
          <w:rFonts w:cs="Arial" w:hint="cs"/>
          <w:sz w:val="16"/>
          <w:szCs w:val="16"/>
          <w:u w:val="dotted"/>
          <w:rtl/>
        </w:rPr>
        <w:t>להרע שט</w:t>
      </w:r>
      <w:r w:rsidR="00DF22A0" w:rsidRPr="00AC3FF7">
        <w:rPr>
          <w:rFonts w:cs="Arial" w:hint="cs"/>
          <w:sz w:val="16"/>
          <w:szCs w:val="16"/>
          <w:u w:val="dotted"/>
          <w:rtl/>
        </w:rPr>
        <w:t>ר</w:t>
      </w:r>
      <w:r w:rsidR="004301AD" w:rsidRPr="00AC3FF7">
        <w:rPr>
          <w:rFonts w:cs="Arial" w:hint="cs"/>
          <w:sz w:val="16"/>
          <w:szCs w:val="16"/>
          <w:u w:val="dotted"/>
          <w:rtl/>
        </w:rPr>
        <w:t>)</w:t>
      </w:r>
      <w:r w:rsidR="004301AD" w:rsidRPr="00AC3FF7">
        <w:rPr>
          <w:rFonts w:cs="Arial" w:hint="cs"/>
          <w:u w:val="dotted"/>
          <w:rtl/>
        </w:rPr>
        <w:t xml:space="preserve"> או להוציא ממון מן היתומים בלא ראיה ברורה</w:t>
      </w:r>
      <w:r w:rsidR="004301AD" w:rsidRPr="00AC3FF7">
        <w:rPr>
          <w:rStyle w:val="ab"/>
          <w:rFonts w:cs="Arial"/>
          <w:u w:val="dotted"/>
          <w:rtl/>
        </w:rPr>
        <w:footnoteReference w:id="871"/>
      </w:r>
      <w:r w:rsidRPr="00AC3FF7">
        <w:rPr>
          <w:rFonts w:cs="Arial" w:hint="cs"/>
          <w:u w:val="dotted"/>
          <w:rtl/>
        </w:rPr>
        <w:t>:</w:t>
      </w:r>
    </w:p>
    <w:p w14:paraId="50F1904D" w14:textId="77777777" w:rsidR="004301AD" w:rsidRPr="00CA0EA8" w:rsidRDefault="004301AD" w:rsidP="004B0475">
      <w:pPr>
        <w:pStyle w:val="ac"/>
        <w:numPr>
          <w:ilvl w:val="0"/>
          <w:numId w:val="16"/>
        </w:numPr>
        <w:rPr>
          <w:rFonts w:cs="Arial"/>
          <w:rtl/>
        </w:rPr>
      </w:pPr>
      <w:r w:rsidRPr="00015162">
        <w:rPr>
          <w:rFonts w:cs="Arial" w:hint="cs"/>
          <w:rtl/>
        </w:rPr>
        <w:t xml:space="preserve">רמב"ם </w:t>
      </w:r>
      <w:r w:rsidRPr="00DE2FD3">
        <w:rPr>
          <w:rFonts w:cs="Arial" w:hint="cs"/>
          <w:sz w:val="16"/>
          <w:szCs w:val="16"/>
          <w:rtl/>
        </w:rPr>
        <w:t>(פכ"ד המל' סנהדרין ה"ב)</w:t>
      </w:r>
      <w:r w:rsidRPr="00015162">
        <w:rPr>
          <w:rFonts w:cs="Arial" w:hint="cs"/>
          <w:rtl/>
        </w:rPr>
        <w:t>-</w:t>
      </w:r>
      <w:r>
        <w:rPr>
          <w:rFonts w:cs="Arial" w:hint="cs"/>
          <w:rtl/>
        </w:rPr>
        <w:t xml:space="preserve"> </w:t>
      </w:r>
      <w:r w:rsidRPr="00DE2FD3">
        <w:rPr>
          <w:rFonts w:cs="Arial"/>
          <w:rtl/>
        </w:rPr>
        <w:t>כל אלו הדברים הן עיקר הדין אבל משרבו בתי דינין שאינן הגונים ואפילו היו הגונים במעשיהם אינן חכמים כראוי ובעלי בינה הסכימו רוב בתי דיני ישראל שלא יהפכו שבועה אלא בראיה ברורה, ולא יפגמו שטר ויפסידו חזקתו בעדות אשה או פסול</w:t>
      </w:r>
      <w:r w:rsidR="00DF22A0">
        <w:rPr>
          <w:rFonts w:cs="Arial" w:hint="cs"/>
          <w:rtl/>
        </w:rPr>
        <w:t>,</w:t>
      </w:r>
      <w:r w:rsidRPr="00DE2FD3">
        <w:rPr>
          <w:rFonts w:cs="Arial"/>
          <w:rtl/>
        </w:rPr>
        <w:t xml:space="preserve"> וכן בשאר כל הדינין</w:t>
      </w:r>
      <w:r w:rsidR="00DF22A0">
        <w:rPr>
          <w:rFonts w:cs="Arial" w:hint="cs"/>
          <w:rtl/>
        </w:rPr>
        <w:t>,</w:t>
      </w:r>
      <w:r w:rsidRPr="00DE2FD3">
        <w:rPr>
          <w:rFonts w:cs="Arial"/>
          <w:rtl/>
        </w:rPr>
        <w:t xml:space="preserve"> ולא ידון הדיין בסמיכת דעתו ולא בידיעתו</w:t>
      </w:r>
      <w:r w:rsidR="00DF22A0">
        <w:rPr>
          <w:rFonts w:cs="Arial" w:hint="cs"/>
          <w:rtl/>
        </w:rPr>
        <w:t>,</w:t>
      </w:r>
      <w:r w:rsidRPr="00DE2FD3">
        <w:rPr>
          <w:rFonts w:cs="Arial"/>
          <w:rtl/>
        </w:rPr>
        <w:t xml:space="preserve"> כדי שלא יאמר כל הדיוט לבי מאמין לדברי זה ודעתי סומכת על זה</w:t>
      </w:r>
      <w:r w:rsidR="00AC3FF7">
        <w:rPr>
          <w:rFonts w:cs="Arial" w:hint="cs"/>
          <w:rtl/>
        </w:rPr>
        <w:t>.</w:t>
      </w:r>
      <w:r w:rsidRPr="00DE2FD3">
        <w:rPr>
          <w:rFonts w:cs="Arial"/>
          <w:rtl/>
        </w:rPr>
        <w:t xml:space="preserve"> </w:t>
      </w:r>
      <w:r>
        <w:rPr>
          <w:rStyle w:val="ab"/>
          <w:rFonts w:cs="Arial"/>
          <w:rtl/>
        </w:rPr>
        <w:footnoteReference w:id="872"/>
      </w:r>
      <w:r>
        <w:rPr>
          <w:rFonts w:cs="Arial" w:hint="cs"/>
          <w:rtl/>
        </w:rPr>
        <w:t>[</w:t>
      </w:r>
      <w:r w:rsidRPr="00DE2FD3">
        <w:rPr>
          <w:rFonts w:cs="Arial"/>
          <w:rtl/>
        </w:rPr>
        <w:t>וכן אין מוציאין מן היתומים אלא בראיה ברורה לא בדעת הדיין ולא באומדן המת או הטוען</w:t>
      </w:r>
      <w:r>
        <w:rPr>
          <w:rFonts w:cs="Arial" w:hint="cs"/>
          <w:rtl/>
        </w:rPr>
        <w:t>]</w:t>
      </w:r>
      <w:r w:rsidR="00DF22A0">
        <w:rPr>
          <w:rFonts w:cs="Arial" w:hint="cs"/>
          <w:rtl/>
        </w:rPr>
        <w:t>.</w:t>
      </w:r>
      <w:r w:rsidRPr="00DE2FD3">
        <w:rPr>
          <w:rFonts w:cs="Arial"/>
          <w:rtl/>
        </w:rPr>
        <w:t xml:space="preserve"> ואעפ"כ אם העיד אדם נאמן בדבר מכל הדברים ונטתה דעת הדיין שאמת הוא אומר </w:t>
      </w:r>
      <w:r w:rsidR="001450F5">
        <w:rPr>
          <w:rFonts w:cs="Arial" w:hint="cs"/>
          <w:rtl/>
        </w:rPr>
        <w:t xml:space="preserve">- </w:t>
      </w:r>
      <w:r w:rsidRPr="00DE2FD3">
        <w:rPr>
          <w:rFonts w:cs="Arial"/>
          <w:rtl/>
        </w:rPr>
        <w:t>ממתין בדין ואינו דוחה עדותו ונושא ונותן עם בעלי דינין עד שיודו לדברי העד או יעשו פשרה או יסתלק מן הדין</w:t>
      </w:r>
      <w:r>
        <w:rPr>
          <w:rFonts w:cs="Arial" w:hint="cs"/>
          <w:rtl/>
        </w:rPr>
        <w:t>.</w:t>
      </w:r>
      <w:r w:rsidR="00B121AF">
        <w:rPr>
          <w:rFonts w:cs="Arial" w:hint="cs"/>
          <w:rtl/>
        </w:rPr>
        <w:t xml:space="preserve"> </w:t>
      </w:r>
      <w:r w:rsidR="00B121AF" w:rsidRPr="00B121AF">
        <w:rPr>
          <w:rFonts w:cs="Arial" w:hint="cs"/>
          <w:color w:val="E36C0A" w:themeColor="accent6" w:themeShade="BF"/>
          <w:rtl/>
        </w:rPr>
        <w:t>(וכ"פ בשו"ע)</w:t>
      </w:r>
    </w:p>
    <w:p w14:paraId="5E39A92C" w14:textId="77777777" w:rsidR="00CA0EA8" w:rsidRDefault="0000353D" w:rsidP="004B0475">
      <w:pPr>
        <w:pStyle w:val="ac"/>
        <w:numPr>
          <w:ilvl w:val="0"/>
          <w:numId w:val="16"/>
        </w:numPr>
        <w:rPr>
          <w:rFonts w:cs="Arial"/>
        </w:rPr>
      </w:pPr>
      <w:r w:rsidRPr="00CA0EA8">
        <w:rPr>
          <w:rFonts w:cs="Arial"/>
          <w:rtl/>
        </w:rPr>
        <w:t xml:space="preserve">רי"ף </w:t>
      </w:r>
      <w:r w:rsidRPr="00CA0EA8">
        <w:rPr>
          <w:rFonts w:cs="Arial"/>
          <w:sz w:val="16"/>
          <w:szCs w:val="16"/>
          <w:rtl/>
        </w:rPr>
        <w:t xml:space="preserve">(מג:) </w:t>
      </w:r>
      <w:r w:rsidR="00CA0EA8" w:rsidRPr="00CA0EA8">
        <w:rPr>
          <w:rFonts w:cs="Arial"/>
          <w:rtl/>
        </w:rPr>
        <w:t xml:space="preserve">רא"ש </w:t>
      </w:r>
      <w:r w:rsidR="00CA0EA8" w:rsidRPr="00CA0EA8">
        <w:rPr>
          <w:rFonts w:cs="Arial"/>
          <w:sz w:val="16"/>
          <w:szCs w:val="16"/>
          <w:rtl/>
        </w:rPr>
        <w:t>(סי' ו)</w:t>
      </w:r>
      <w:r w:rsidR="004301AD">
        <w:rPr>
          <w:rFonts w:cs="Arial" w:hint="cs"/>
          <w:rtl/>
        </w:rPr>
        <w:t xml:space="preserve"> וטור</w:t>
      </w:r>
      <w:r w:rsidR="00CA0EA8" w:rsidRPr="00CA0EA8">
        <w:rPr>
          <w:rFonts w:cs="Arial" w:hint="cs"/>
          <w:rtl/>
        </w:rPr>
        <w:t xml:space="preserve">- </w:t>
      </w:r>
      <w:r w:rsidRPr="00CA0EA8">
        <w:rPr>
          <w:rFonts w:cs="Arial"/>
          <w:rtl/>
        </w:rPr>
        <w:t>חזינן לגאון דקאמר דהאידנא לא אפשר לדיין למימר קים לי בגויה</w:t>
      </w:r>
      <w:r w:rsidR="00CA0EA8">
        <w:rPr>
          <w:rFonts w:cs="Arial" w:hint="cs"/>
          <w:rtl/>
        </w:rPr>
        <w:t>,</w:t>
      </w:r>
      <w:r w:rsidRPr="00CA0EA8">
        <w:rPr>
          <w:rFonts w:cs="Arial"/>
          <w:rtl/>
        </w:rPr>
        <w:t xml:space="preserve"> דלא בריר לן קים לי בגויה היכי הוא</w:t>
      </w:r>
      <w:r w:rsidR="00AC3FF7">
        <w:rPr>
          <w:rFonts w:cs="Arial" w:hint="cs"/>
          <w:rtl/>
        </w:rPr>
        <w:t>.</w:t>
      </w:r>
      <w:r w:rsidRPr="00CA0EA8">
        <w:rPr>
          <w:rFonts w:cs="Arial"/>
          <w:rtl/>
        </w:rPr>
        <w:t xml:space="preserve"> הילכך לית לן לאורועי שטרא או לאפוכי שבועה אלא בעדות ברורה</w:t>
      </w:r>
      <w:r w:rsidR="00AC3FF7">
        <w:rPr>
          <w:rFonts w:cs="Arial" w:hint="cs"/>
          <w:rtl/>
        </w:rPr>
        <w:t>.</w:t>
      </w:r>
      <w:r w:rsidRPr="00CA0EA8">
        <w:rPr>
          <w:rFonts w:cs="Arial"/>
          <w:rtl/>
        </w:rPr>
        <w:t xml:space="preserve"> ואעפ</w:t>
      </w:r>
      <w:r w:rsidR="00CA0EA8" w:rsidRPr="00CA0EA8">
        <w:rPr>
          <w:rFonts w:cs="Arial" w:hint="cs"/>
          <w:rtl/>
        </w:rPr>
        <w:t>"</w:t>
      </w:r>
      <w:r w:rsidRPr="00CA0EA8">
        <w:rPr>
          <w:rFonts w:cs="Arial"/>
          <w:rtl/>
        </w:rPr>
        <w:t>כ בעדות אדם נאמן מחמיצין את הדין ודורשין וחוקרין עד שיתברר הדבר ויצא הדין לאמתו</w:t>
      </w:r>
      <w:r w:rsidR="00CA0EA8" w:rsidRPr="00CA0EA8">
        <w:rPr>
          <w:rFonts w:cs="Arial" w:hint="cs"/>
          <w:sz w:val="16"/>
          <w:szCs w:val="16"/>
          <w:rtl/>
        </w:rPr>
        <w:t xml:space="preserve"> (ל' הרי"ף)</w:t>
      </w:r>
      <w:r w:rsidR="00CA0EA8" w:rsidRPr="00CA0EA8">
        <w:rPr>
          <w:rFonts w:cs="Arial" w:hint="cs"/>
          <w:rtl/>
        </w:rPr>
        <w:t>.</w:t>
      </w:r>
      <w:r w:rsidRPr="00CA0EA8">
        <w:rPr>
          <w:rFonts w:cs="Arial"/>
          <w:rtl/>
        </w:rPr>
        <w:t xml:space="preserve"> </w:t>
      </w:r>
      <w:r w:rsidR="004301AD" w:rsidRPr="004301AD">
        <w:rPr>
          <w:rStyle w:val="ab"/>
          <w:rFonts w:cs="Arial"/>
          <w:rtl/>
        </w:rPr>
        <w:footnoteReference w:id="873"/>
      </w:r>
      <w:r w:rsidR="004301AD">
        <w:rPr>
          <w:rFonts w:cs="Arial" w:hint="cs"/>
          <w:rtl/>
        </w:rPr>
        <w:t xml:space="preserve">אך </w:t>
      </w:r>
      <w:r w:rsidR="004301AD">
        <w:rPr>
          <w:rFonts w:cs="Arial"/>
          <w:rtl/>
        </w:rPr>
        <w:t xml:space="preserve">להוציא מן היתומים באומדן דעת המת או הטוען </w:t>
      </w:r>
      <w:r w:rsidR="004301AD">
        <w:rPr>
          <w:rFonts w:cs="Arial" w:hint="cs"/>
          <w:rtl/>
        </w:rPr>
        <w:t xml:space="preserve">אף בזה"ז אפשר, </w:t>
      </w:r>
      <w:r w:rsidR="004301AD">
        <w:rPr>
          <w:rFonts w:cs="Arial"/>
          <w:rtl/>
        </w:rPr>
        <w:t>דבהא לא איירי גאון</w:t>
      </w:r>
      <w:r w:rsidR="004301AD">
        <w:rPr>
          <w:rFonts w:cs="Arial" w:hint="cs"/>
          <w:sz w:val="16"/>
          <w:szCs w:val="16"/>
          <w:rtl/>
        </w:rPr>
        <w:t xml:space="preserve"> (ע"פ ל' הב"י)</w:t>
      </w:r>
      <w:r w:rsidR="004301AD">
        <w:rPr>
          <w:rFonts w:cs="Arial" w:hint="cs"/>
          <w:rtl/>
        </w:rPr>
        <w:t>.</w:t>
      </w:r>
    </w:p>
    <w:p w14:paraId="651BD699" w14:textId="77777777" w:rsidR="00DB3ECA" w:rsidRPr="00DB3ECA" w:rsidRDefault="00DB3ECA" w:rsidP="00DB3ECA">
      <w:pPr>
        <w:rPr>
          <w:rFonts w:cs="Arial"/>
          <w:u w:val="single"/>
        </w:rPr>
      </w:pPr>
      <w:r w:rsidRPr="00DB3ECA">
        <w:rPr>
          <w:rFonts w:cs="Arial" w:hint="cs"/>
          <w:u w:val="single"/>
          <w:rtl/>
        </w:rPr>
        <w:lastRenderedPageBreak/>
        <w:t>דיין שבאומד דעתו חושב שצריך במקרה שלפניו לעבור על תקנת הגאונים</w:t>
      </w:r>
      <w:r w:rsidR="00FF457E">
        <w:rPr>
          <w:rFonts w:cs="Arial" w:hint="cs"/>
          <w:u w:val="single"/>
          <w:rtl/>
        </w:rPr>
        <w:t xml:space="preserve"> להשביע את הלוה</w:t>
      </w:r>
      <w:r w:rsidRPr="00DB3ECA">
        <w:rPr>
          <w:rFonts w:cs="Arial" w:hint="cs"/>
          <w:u w:val="single"/>
          <w:rtl/>
        </w:rPr>
        <w:t>:</w:t>
      </w:r>
    </w:p>
    <w:p w14:paraId="78048EB6" w14:textId="77777777" w:rsidR="00DB3ECA" w:rsidRPr="00DB3ECA" w:rsidRDefault="00DB3ECA" w:rsidP="004B0475">
      <w:pPr>
        <w:pStyle w:val="ac"/>
        <w:numPr>
          <w:ilvl w:val="0"/>
          <w:numId w:val="17"/>
        </w:numPr>
      </w:pPr>
      <w:r>
        <w:rPr>
          <w:rFonts w:cs="Arial" w:hint="cs"/>
          <w:rtl/>
        </w:rPr>
        <w:t xml:space="preserve">רמב"ם </w:t>
      </w:r>
      <w:r>
        <w:rPr>
          <w:rFonts w:cs="Arial" w:hint="cs"/>
          <w:sz w:val="16"/>
          <w:szCs w:val="16"/>
          <w:rtl/>
        </w:rPr>
        <w:t>(פ"ב ממלוה ה"ב וה"ד)</w:t>
      </w:r>
      <w:r>
        <w:rPr>
          <w:rFonts w:cs="Arial" w:hint="cs"/>
          <w:rtl/>
        </w:rPr>
        <w:t xml:space="preserve">- </w:t>
      </w:r>
      <w:r w:rsidRPr="00DB3ECA">
        <w:rPr>
          <w:rFonts w:cs="Arial"/>
          <w:rtl/>
        </w:rPr>
        <w:t>כשראו הגאונים הראשונים שעמדו אחר חבור הגמרא שרבו הרמאים וננעלה דלת בפני לוין התקינו שמשביעין את הלוה שבועה חמורה כעין של תורה בנקיטת חפץ שאין לו כלום יתר על דברים שמסדרין לו, ושלא החביאן ביד אחרים ושלא נתן מתנה ע"מ להחזיר וכולל בשבועה זו שכל שירויח וכל שיבא לידו או לרשותו מאשר תשיג ידו לא יאכיל ממנו כלום לא לאשתו ולא לבניו ולא ילביש אותן ולא יטפל בהן ולא יתן מתנה לאדם בעולם, אלא יוציא מכל אשר תשיג ידו מזון ל' יום וכסות י"ב חדש מזון הראוי לו וכסות הראוי לו, לא אכילת הזוללים והסובאין או בני מלכים ולא מלבושי הפחות והסגנים אלא כדרכו, וכל היתר על צרכו יתן לבעל חובו ראשון ראשון עד שיגבנו כל חובו</w:t>
      </w:r>
      <w:r>
        <w:rPr>
          <w:rFonts w:cs="Arial" w:hint="cs"/>
          <w:rtl/>
        </w:rPr>
        <w:t>...</w:t>
      </w:r>
      <w:r w:rsidRPr="00DB3ECA">
        <w:rPr>
          <w:rtl/>
        </w:rPr>
        <w:t xml:space="preserve"> </w:t>
      </w:r>
      <w:r w:rsidRPr="00DB3ECA">
        <w:rPr>
          <w:rFonts w:cs="Arial"/>
          <w:rtl/>
        </w:rPr>
        <w:t xml:space="preserve">מי שהוחזק שהוא עני וכשר והולך בתום והדבר גלוי וידוע לדיין ולרוב העם ובא בעל חובו להשביעו בתקנה זו והוחזק התובע שאינו מסתפק בעניות זה אלא רוצה לצערו בשבועה זו להצר לו ולביישו ברבים כדי להנקם ממנו או כדי שילך וילוה מן </w:t>
      </w:r>
      <w:r w:rsidR="00FF457E">
        <w:rPr>
          <w:rFonts w:cs="Arial" w:hint="cs"/>
          <w:rtl/>
        </w:rPr>
        <w:t>הגוי</w:t>
      </w:r>
      <w:r w:rsidRPr="00DB3ECA">
        <w:rPr>
          <w:rFonts w:cs="Arial"/>
          <w:rtl/>
        </w:rPr>
        <w:t>ם או יקח נכסי אשתו ויתן לזה עד שינצל משבועה זו, יראה לי שאסור לדיין ירא שמים להשביעו שבועה זו ואם השביעו ביטל לא תעשה של תורה לא תהיה לו כנושה</w:t>
      </w:r>
      <w:r w:rsidR="00FF457E">
        <w:rPr>
          <w:rFonts w:cs="Arial" w:hint="cs"/>
          <w:rtl/>
        </w:rPr>
        <w:t>.</w:t>
      </w:r>
      <w:r w:rsidRPr="00DB3ECA">
        <w:rPr>
          <w:rFonts w:cs="Arial"/>
          <w:rtl/>
        </w:rPr>
        <w:t xml:space="preserve"> ולא עוד אלא ראוי לדיין לגעור בתובע ולטרדו מפני שהוא נוטר והולך בשרירות לבו, שלא תקנו הגאונים תקנה זו אלא מפני הרמאין והרי נאמר עד דרוש אחיך אותו דרשהו אם רמאי הוא או אינו רמאי ומאחר שהוחזק זה שהוא עני ושאינו רמאי אסור להשביעו</w:t>
      </w:r>
      <w:r>
        <w:rPr>
          <w:rFonts w:cs="Arial" w:hint="cs"/>
          <w:rtl/>
        </w:rPr>
        <w:t>.</w:t>
      </w:r>
      <w:r w:rsidRPr="00DB3ECA">
        <w:rPr>
          <w:rFonts w:cs="Arial"/>
          <w:rtl/>
        </w:rPr>
        <w:t xml:space="preserve"> וכן אני אומר שמי שהוחזק רמאי ודרכיו מקולקלין במשאו ומתנו והרי הוא אמוד שיש לו ממון וטען שאין לו כלום והרי הוא רץ להשבע בתקנה זו </w:t>
      </w:r>
      <w:r w:rsidR="00FF457E">
        <w:rPr>
          <w:rFonts w:cs="Arial" w:hint="cs"/>
          <w:rtl/>
        </w:rPr>
        <w:t xml:space="preserve">- </w:t>
      </w:r>
      <w:r w:rsidRPr="00DB3ECA">
        <w:rPr>
          <w:rFonts w:cs="Arial"/>
          <w:rtl/>
        </w:rPr>
        <w:t>שאין ראוי להשביעו</w:t>
      </w:r>
      <w:r w:rsidR="00FF457E">
        <w:rPr>
          <w:rFonts w:cs="Arial" w:hint="cs"/>
          <w:rtl/>
        </w:rPr>
        <w:t>,</w:t>
      </w:r>
      <w:r w:rsidRPr="00DB3ECA">
        <w:rPr>
          <w:rFonts w:cs="Arial"/>
          <w:rtl/>
        </w:rPr>
        <w:t xml:space="preserve"> אלא אם יש כח בדיין לעשותו עד שיפרע בעל חובו או לנדותו עד שיתן יעשה מאחר שהוא אמוד</w:t>
      </w:r>
      <w:r w:rsidR="00FF457E">
        <w:rPr>
          <w:rFonts w:cs="Arial" w:hint="cs"/>
          <w:rtl/>
        </w:rPr>
        <w:t>,</w:t>
      </w:r>
      <w:r w:rsidRPr="00DB3ECA">
        <w:rPr>
          <w:rFonts w:cs="Arial"/>
          <w:rtl/>
        </w:rPr>
        <w:t xml:space="preserve"> שפריעת בעל חוב מצוה</w:t>
      </w:r>
      <w:r w:rsidR="00FF457E">
        <w:rPr>
          <w:rFonts w:cs="Arial" w:hint="cs"/>
          <w:rtl/>
        </w:rPr>
        <w:t>.</w:t>
      </w:r>
      <w:r w:rsidRPr="00DB3ECA">
        <w:rPr>
          <w:rFonts w:cs="Arial"/>
          <w:rtl/>
        </w:rPr>
        <w:t xml:space="preserve"> כללו של דבר כל שיעשה הדיין מדברים אלו וכוונתו לרדוף הצדק בלבד שנצטוינו לרדפו ולא לעבור הדין על אחד מבעלי דינין ה"ז מורשה לעשות ומקבל שכר, והוא שיהיו מעשיו לשם שמים.</w:t>
      </w:r>
    </w:p>
    <w:p w14:paraId="61E3C1DE" w14:textId="77777777" w:rsidR="0000353D" w:rsidRDefault="0000353D" w:rsidP="004B0475">
      <w:pPr>
        <w:pStyle w:val="ac"/>
        <w:numPr>
          <w:ilvl w:val="0"/>
          <w:numId w:val="17"/>
        </w:numPr>
        <w:rPr>
          <w:rtl/>
        </w:rPr>
      </w:pPr>
      <w:r w:rsidRPr="00AE57FF">
        <w:rPr>
          <w:rFonts w:cs="Arial"/>
          <w:rtl/>
        </w:rPr>
        <w:t xml:space="preserve">ריב"ש </w:t>
      </w:r>
      <w:r w:rsidR="00015162" w:rsidRPr="00AE57FF">
        <w:rPr>
          <w:rFonts w:cs="Arial" w:hint="cs"/>
          <w:sz w:val="16"/>
          <w:szCs w:val="16"/>
          <w:rtl/>
        </w:rPr>
        <w:t>(</w:t>
      </w:r>
      <w:r w:rsidRPr="00AE57FF">
        <w:rPr>
          <w:rFonts w:cs="Arial"/>
          <w:sz w:val="16"/>
          <w:szCs w:val="16"/>
          <w:rtl/>
        </w:rPr>
        <w:t>סי</w:t>
      </w:r>
      <w:r w:rsidR="00015162" w:rsidRPr="00AE57FF">
        <w:rPr>
          <w:rFonts w:cs="Arial" w:hint="cs"/>
          <w:sz w:val="16"/>
          <w:szCs w:val="16"/>
          <w:rtl/>
        </w:rPr>
        <w:t>'</w:t>
      </w:r>
      <w:r w:rsidRPr="00AE57FF">
        <w:rPr>
          <w:rFonts w:cs="Arial"/>
          <w:sz w:val="16"/>
          <w:szCs w:val="16"/>
          <w:rtl/>
        </w:rPr>
        <w:t xml:space="preserve"> שצב </w:t>
      </w:r>
      <w:r w:rsidR="00015162" w:rsidRPr="00AE57FF">
        <w:rPr>
          <w:rFonts w:cs="Arial" w:hint="cs"/>
          <w:sz w:val="16"/>
          <w:szCs w:val="16"/>
          <w:rtl/>
        </w:rPr>
        <w:t>ב</w:t>
      </w:r>
      <w:r w:rsidRPr="00AE57FF">
        <w:rPr>
          <w:rFonts w:cs="Arial"/>
          <w:sz w:val="16"/>
          <w:szCs w:val="16"/>
          <w:rtl/>
        </w:rPr>
        <w:t>סוף הסימן)</w:t>
      </w:r>
      <w:r w:rsidR="00AE57FF" w:rsidRPr="00AE57FF">
        <w:rPr>
          <w:rFonts w:cs="Arial" w:hint="cs"/>
          <w:rtl/>
        </w:rPr>
        <w:t xml:space="preserve">- </w:t>
      </w:r>
      <w:r w:rsidR="00AE57FF">
        <w:rPr>
          <w:rStyle w:val="ab"/>
          <w:rFonts w:cs="Arial"/>
          <w:rtl/>
        </w:rPr>
        <w:footnoteReference w:id="874"/>
      </w:r>
      <w:r w:rsidRPr="00AE57FF">
        <w:rPr>
          <w:rFonts w:cs="Arial"/>
          <w:rtl/>
        </w:rPr>
        <w:t>כתבו האחרונים שאין לכל בית דין כח בזה אא</w:t>
      </w:r>
      <w:r w:rsidR="00AE57FF" w:rsidRPr="00AE57FF">
        <w:rPr>
          <w:rFonts w:cs="Arial" w:hint="cs"/>
          <w:rtl/>
        </w:rPr>
        <w:t>"</w:t>
      </w:r>
      <w:r w:rsidRPr="00AE57FF">
        <w:rPr>
          <w:rFonts w:cs="Arial"/>
          <w:rtl/>
        </w:rPr>
        <w:t>כ הוא בית דין חשוב ומוחזק בחכמה ובחסידות</w:t>
      </w:r>
      <w:r w:rsidR="00AE57FF" w:rsidRPr="00AE57FF">
        <w:rPr>
          <w:rFonts w:cs="Arial" w:hint="cs"/>
          <w:rtl/>
        </w:rPr>
        <w:t>,</w:t>
      </w:r>
      <w:r w:rsidRPr="00AE57FF">
        <w:rPr>
          <w:rFonts w:cs="Arial"/>
          <w:rtl/>
        </w:rPr>
        <w:t xml:space="preserve"> ומשרבו הדיינים שאינם מומחים יש לחוש שלא יהא כל אחד פורץ לעשות לו דרך לרצונו</w:t>
      </w:r>
      <w:r w:rsidR="00AE57FF" w:rsidRPr="00AE57FF">
        <w:rPr>
          <w:rFonts w:cs="Arial" w:hint="cs"/>
          <w:rtl/>
        </w:rPr>
        <w:t>.</w:t>
      </w:r>
    </w:p>
    <w:p w14:paraId="79915542" w14:textId="77777777" w:rsidR="0014565D" w:rsidRPr="00263239" w:rsidRDefault="00DB3ECA" w:rsidP="0014565D">
      <w:r>
        <w:rPr>
          <w:rFonts w:cs="Arial" w:hint="cs"/>
          <w:u w:val="single"/>
          <w:rtl/>
        </w:rPr>
        <w:t xml:space="preserve">ענישה שלא מן הדין עד שיתברר הדבר כשיש אומדנא דמוכח שבעל הדין </w:t>
      </w:r>
      <w:r w:rsidR="00C748F6">
        <w:rPr>
          <w:rFonts w:cs="Arial" w:hint="cs"/>
          <w:u w:val="single"/>
          <w:rtl/>
        </w:rPr>
        <w:t>עשה/עושה שלא כדין:</w:t>
      </w:r>
      <w:r w:rsidR="0014565D">
        <w:rPr>
          <w:rFonts w:cs="Arial" w:hint="cs"/>
          <w:rtl/>
        </w:rPr>
        <w:t xml:space="preserve">  </w:t>
      </w:r>
      <w:r w:rsidR="0014565D" w:rsidRPr="00263239">
        <w:rPr>
          <w:rFonts w:cs="Arial"/>
          <w:sz w:val="16"/>
          <w:szCs w:val="16"/>
          <w:rtl/>
        </w:rPr>
        <w:t>(</w:t>
      </w:r>
      <w:r w:rsidR="0014565D" w:rsidRPr="00263239">
        <w:rPr>
          <w:rFonts w:cs="Arial" w:hint="cs"/>
          <w:sz w:val="16"/>
          <w:szCs w:val="16"/>
          <w:rtl/>
        </w:rPr>
        <w:t xml:space="preserve">דרכ"מ אות </w:t>
      </w:r>
      <w:r w:rsidR="0014565D" w:rsidRPr="00263239">
        <w:rPr>
          <w:rFonts w:cs="Arial"/>
          <w:sz w:val="16"/>
          <w:szCs w:val="16"/>
          <w:rtl/>
        </w:rPr>
        <w:t>ה)</w:t>
      </w:r>
      <w:r w:rsidR="0014565D" w:rsidRPr="00263239">
        <w:rPr>
          <w:rFonts w:cs="Arial"/>
          <w:rtl/>
        </w:rPr>
        <w:t xml:space="preserve"> </w:t>
      </w:r>
    </w:p>
    <w:p w14:paraId="5780CF98" w14:textId="77777777" w:rsidR="0014565D" w:rsidRPr="0000353D" w:rsidRDefault="0014565D" w:rsidP="004B0475">
      <w:pPr>
        <w:pStyle w:val="ac"/>
        <w:numPr>
          <w:ilvl w:val="0"/>
          <w:numId w:val="14"/>
        </w:numPr>
        <w:rPr>
          <w:rtl/>
        </w:rPr>
      </w:pPr>
      <w:r w:rsidRPr="0000353D">
        <w:rPr>
          <w:rFonts w:cs="Arial"/>
          <w:rtl/>
        </w:rPr>
        <w:t xml:space="preserve">מהרא"י </w:t>
      </w:r>
      <w:r w:rsidRPr="00263239">
        <w:rPr>
          <w:rFonts w:cs="Arial" w:hint="cs"/>
          <w:sz w:val="16"/>
          <w:szCs w:val="16"/>
          <w:rtl/>
        </w:rPr>
        <w:t>(</w:t>
      </w:r>
      <w:r w:rsidRPr="00263239">
        <w:rPr>
          <w:rFonts w:cs="Arial"/>
          <w:sz w:val="16"/>
          <w:szCs w:val="16"/>
          <w:rtl/>
        </w:rPr>
        <w:t>בפסקיו סי</w:t>
      </w:r>
      <w:r w:rsidRPr="00263239">
        <w:rPr>
          <w:rFonts w:cs="Arial" w:hint="cs"/>
          <w:sz w:val="16"/>
          <w:szCs w:val="16"/>
          <w:rtl/>
        </w:rPr>
        <w:t>'</w:t>
      </w:r>
      <w:r w:rsidRPr="00263239">
        <w:rPr>
          <w:rFonts w:cs="Arial"/>
          <w:sz w:val="16"/>
          <w:szCs w:val="16"/>
          <w:rtl/>
        </w:rPr>
        <w:t xml:space="preserve"> רס ורסא</w:t>
      </w:r>
      <w:r w:rsidRPr="00263239">
        <w:rPr>
          <w:rFonts w:cs="Arial" w:hint="cs"/>
          <w:sz w:val="16"/>
          <w:szCs w:val="16"/>
          <w:rtl/>
        </w:rPr>
        <w:t>)</w:t>
      </w:r>
      <w:r>
        <w:rPr>
          <w:rFonts w:cs="Arial" w:hint="cs"/>
          <w:rtl/>
        </w:rPr>
        <w:t>-</w:t>
      </w:r>
      <w:r w:rsidRPr="0000353D">
        <w:rPr>
          <w:rFonts w:cs="Arial"/>
          <w:rtl/>
        </w:rPr>
        <w:t xml:space="preserve"> אשה שתפסה ממון בעלה לאחר מותו והיתה מוחזקת בממון שלא כדין כי היו אומדנות מוכיחות שהיו פקדון ביד בעל</w:t>
      </w:r>
      <w:r>
        <w:rPr>
          <w:rFonts w:cs="Arial" w:hint="cs"/>
          <w:rtl/>
        </w:rPr>
        <w:t>ה...</w:t>
      </w:r>
      <w:r w:rsidRPr="0000353D">
        <w:rPr>
          <w:rFonts w:cs="Arial"/>
          <w:rtl/>
        </w:rPr>
        <w:t xml:space="preserve"> ג</w:t>
      </w:r>
      <w:r>
        <w:rPr>
          <w:rFonts w:cs="Arial" w:hint="cs"/>
          <w:rtl/>
        </w:rPr>
        <w:t>ו</w:t>
      </w:r>
      <w:r w:rsidRPr="0000353D">
        <w:rPr>
          <w:rFonts w:cs="Arial"/>
          <w:rtl/>
        </w:rPr>
        <w:t xml:space="preserve">זר </w:t>
      </w:r>
      <w:r>
        <w:rPr>
          <w:rFonts w:cs="Arial" w:hint="cs"/>
          <w:rtl/>
        </w:rPr>
        <w:t xml:space="preserve">אני עליה </w:t>
      </w:r>
      <w:r w:rsidRPr="0000353D">
        <w:rPr>
          <w:rFonts w:cs="Arial"/>
          <w:rtl/>
        </w:rPr>
        <w:t>שלא תנשא לאיש עד שתתברר</w:t>
      </w:r>
      <w:r>
        <w:rPr>
          <w:rFonts w:cs="Arial" w:hint="cs"/>
          <w:rtl/>
        </w:rPr>
        <w:t>,</w:t>
      </w:r>
      <w:r w:rsidRPr="0000353D">
        <w:rPr>
          <w:rFonts w:cs="Arial"/>
          <w:rtl/>
        </w:rPr>
        <w:t xml:space="preserve"> וג</w:t>
      </w:r>
      <w:r>
        <w:rPr>
          <w:rFonts w:cs="Arial" w:hint="cs"/>
          <w:rtl/>
        </w:rPr>
        <w:t>ו</w:t>
      </w:r>
      <w:r w:rsidRPr="0000353D">
        <w:rPr>
          <w:rFonts w:cs="Arial"/>
          <w:rtl/>
        </w:rPr>
        <w:t>זר</w:t>
      </w:r>
      <w:r>
        <w:rPr>
          <w:rFonts w:cs="Arial" w:hint="cs"/>
          <w:rtl/>
        </w:rPr>
        <w:t xml:space="preserve"> אני</w:t>
      </w:r>
      <w:r w:rsidRPr="0000353D">
        <w:rPr>
          <w:rFonts w:cs="Arial"/>
          <w:rtl/>
        </w:rPr>
        <w:t xml:space="preserve"> חרם על איש הנושאה או המדבר לה שידוכין קודם לזה</w:t>
      </w:r>
      <w:r>
        <w:rPr>
          <w:rFonts w:cs="Arial" w:hint="cs"/>
          <w:rtl/>
        </w:rPr>
        <w:t>.</w:t>
      </w:r>
      <w:r w:rsidRPr="00DE2FD3">
        <w:rPr>
          <w:rFonts w:cs="Arial" w:hint="cs"/>
          <w:color w:val="00B0F0"/>
          <w:rtl/>
        </w:rPr>
        <w:t xml:space="preserve"> </w:t>
      </w:r>
      <w:r w:rsidRPr="00263239">
        <w:rPr>
          <w:rFonts w:cs="Arial" w:hint="cs"/>
          <w:color w:val="00B0F0"/>
          <w:rtl/>
        </w:rPr>
        <w:t>(וכ"פ הרמ"א)</w:t>
      </w:r>
    </w:p>
    <w:p w14:paraId="03A8D58F" w14:textId="77777777" w:rsidR="0048466C" w:rsidRPr="0048466C" w:rsidRDefault="0048466C" w:rsidP="0048466C">
      <w:pPr>
        <w:rPr>
          <w:rFonts w:cs="Arial"/>
          <w:rtl/>
        </w:rPr>
      </w:pPr>
      <w:r w:rsidRPr="0048466C">
        <w:rPr>
          <w:rFonts w:cs="Arial"/>
          <w:b/>
          <w:bCs/>
          <w:rtl/>
        </w:rPr>
        <w:t xml:space="preserve">ירושלמי </w:t>
      </w:r>
      <w:r w:rsidRPr="0048466C">
        <w:rPr>
          <w:rFonts w:cs="Arial" w:hint="cs"/>
          <w:b/>
          <w:bCs/>
          <w:sz w:val="16"/>
          <w:szCs w:val="16"/>
          <w:rtl/>
        </w:rPr>
        <w:t xml:space="preserve">(וילנא) </w:t>
      </w:r>
      <w:r w:rsidRPr="0048466C">
        <w:rPr>
          <w:rFonts w:cs="Arial"/>
          <w:b/>
          <w:bCs/>
          <w:rtl/>
        </w:rPr>
        <w:t>ב</w:t>
      </w:r>
      <w:r w:rsidRPr="0048466C">
        <w:rPr>
          <w:rFonts w:cs="Arial" w:hint="cs"/>
          <w:b/>
          <w:bCs/>
          <w:rtl/>
        </w:rPr>
        <w:t xml:space="preserve">בא </w:t>
      </w:r>
      <w:r w:rsidRPr="0048466C">
        <w:rPr>
          <w:rFonts w:cs="Arial"/>
          <w:b/>
          <w:bCs/>
          <w:rtl/>
        </w:rPr>
        <w:t>מ</w:t>
      </w:r>
      <w:r w:rsidRPr="0048466C">
        <w:rPr>
          <w:rFonts w:cs="Arial" w:hint="cs"/>
          <w:b/>
          <w:bCs/>
          <w:rtl/>
        </w:rPr>
        <w:t>ציעא</w:t>
      </w:r>
      <w:r w:rsidRPr="0048466C">
        <w:rPr>
          <w:rFonts w:cs="Arial"/>
          <w:b/>
          <w:bCs/>
          <w:rtl/>
        </w:rPr>
        <w:t xml:space="preserve"> פ"ח ה"ט</w:t>
      </w:r>
      <w:r w:rsidRPr="0048466C">
        <w:rPr>
          <w:rFonts w:cs="Arial" w:hint="cs"/>
          <w:b/>
          <w:bCs/>
          <w:rtl/>
        </w:rPr>
        <w:t>:</w:t>
      </w:r>
      <w:r w:rsidRPr="0048466C">
        <w:rPr>
          <w:rFonts w:cs="Arial"/>
          <w:rtl/>
        </w:rPr>
        <w:t xml:space="preserve"> המשכיר בית לחבירו וביקש למוכרו. </w:t>
      </w:r>
      <w:r w:rsidRPr="0048466C">
        <w:rPr>
          <w:rFonts w:cs="Arial"/>
          <w:u w:val="single"/>
          <w:rtl/>
        </w:rPr>
        <w:t>א"ר אמי</w:t>
      </w:r>
      <w:r w:rsidRPr="0048466C">
        <w:rPr>
          <w:rFonts w:cs="Arial" w:hint="cs"/>
          <w:rtl/>
        </w:rPr>
        <w:t>:</w:t>
      </w:r>
      <w:r w:rsidRPr="0048466C">
        <w:rPr>
          <w:rFonts w:cs="Arial"/>
          <w:rtl/>
        </w:rPr>
        <w:t xml:space="preserve"> לא על דעת שזה ימות ברעב</w:t>
      </w:r>
      <w:r>
        <w:rPr>
          <w:rStyle w:val="ab"/>
          <w:rFonts w:cs="Arial"/>
          <w:rtl/>
        </w:rPr>
        <w:footnoteReference w:id="875"/>
      </w:r>
      <w:r w:rsidRPr="0048466C">
        <w:rPr>
          <w:rFonts w:cs="Arial"/>
          <w:rtl/>
        </w:rPr>
        <w:t xml:space="preserve">. </w:t>
      </w:r>
      <w:r w:rsidRPr="0048466C">
        <w:rPr>
          <w:rFonts w:cs="Arial"/>
          <w:u w:val="single"/>
          <w:rtl/>
        </w:rPr>
        <w:t>רבי זירא ור' הילא תריהון מרין</w:t>
      </w:r>
      <w:r w:rsidRPr="0048466C">
        <w:rPr>
          <w:rFonts w:cs="Arial" w:hint="cs"/>
          <w:rtl/>
        </w:rPr>
        <w:t>:</w:t>
      </w:r>
      <w:r w:rsidRPr="0048466C">
        <w:rPr>
          <w:rFonts w:cs="Arial"/>
          <w:rtl/>
        </w:rPr>
        <w:t xml:space="preserve"> מכל מקום קני לו</w:t>
      </w:r>
      <w:r w:rsidRPr="0048466C">
        <w:rPr>
          <w:rFonts w:cs="Arial" w:hint="cs"/>
          <w:rtl/>
        </w:rPr>
        <w:t>?</w:t>
      </w:r>
      <w:r w:rsidRPr="0048466C">
        <w:rPr>
          <w:rFonts w:cs="Arial"/>
          <w:rtl/>
        </w:rPr>
        <w:t xml:space="preserve"> אלא דו א"ל</w:t>
      </w:r>
      <w:r w:rsidR="0014565D">
        <w:rPr>
          <w:rFonts w:cs="Arial" w:hint="cs"/>
          <w:rtl/>
        </w:rPr>
        <w:t xml:space="preserve">: </w:t>
      </w:r>
      <w:r w:rsidRPr="0048466C">
        <w:rPr>
          <w:rFonts w:cs="Arial"/>
          <w:rtl/>
        </w:rPr>
        <w:t>שיבקיה דשרי עד ימלא אנקלווסים דידיה</w:t>
      </w:r>
      <w:r w:rsidR="0014565D">
        <w:rPr>
          <w:rStyle w:val="ab"/>
          <w:rFonts w:cs="Arial"/>
          <w:rtl/>
        </w:rPr>
        <w:footnoteReference w:id="876"/>
      </w:r>
      <w:r w:rsidRPr="0048466C">
        <w:rPr>
          <w:rFonts w:cs="Arial"/>
          <w:rtl/>
        </w:rPr>
        <w:t>. אתא עובדא קומי רבי ניסי ולא קביל</w:t>
      </w:r>
      <w:r w:rsidR="0014565D">
        <w:rPr>
          <w:rStyle w:val="ab"/>
          <w:rFonts w:cs="Arial"/>
          <w:rtl/>
        </w:rPr>
        <w:footnoteReference w:id="877"/>
      </w:r>
      <w:r w:rsidRPr="0048466C">
        <w:rPr>
          <w:rFonts w:cs="Arial"/>
          <w:rtl/>
        </w:rPr>
        <w:t>. מה פליג</w:t>
      </w:r>
      <w:r w:rsidR="0014565D">
        <w:rPr>
          <w:rStyle w:val="ab"/>
          <w:rFonts w:cs="Arial"/>
          <w:rtl/>
        </w:rPr>
        <w:footnoteReference w:id="878"/>
      </w:r>
      <w:r w:rsidRPr="0048466C">
        <w:rPr>
          <w:rFonts w:cs="Arial" w:hint="cs"/>
          <w:rtl/>
        </w:rPr>
        <w:t xml:space="preserve">? </w:t>
      </w:r>
      <w:r w:rsidRPr="0048466C">
        <w:rPr>
          <w:rFonts w:cs="Arial"/>
          <w:rtl/>
        </w:rPr>
        <w:t>אמרי</w:t>
      </w:r>
      <w:r w:rsidR="0014565D">
        <w:rPr>
          <w:rStyle w:val="ab"/>
          <w:rFonts w:cs="Arial"/>
          <w:rtl/>
        </w:rPr>
        <w:footnoteReference w:id="879"/>
      </w:r>
      <w:r w:rsidRPr="0048466C">
        <w:rPr>
          <w:rFonts w:cs="Arial" w:hint="cs"/>
          <w:rtl/>
        </w:rPr>
        <w:t>:</w:t>
      </w:r>
      <w:r w:rsidRPr="0048466C">
        <w:rPr>
          <w:rFonts w:cs="Arial"/>
          <w:rtl/>
        </w:rPr>
        <w:t xml:space="preserve"> ברתיה הוות ממשכנה גבי חד רומי</w:t>
      </w:r>
      <w:r w:rsidRPr="0048466C">
        <w:rPr>
          <w:rFonts w:cs="Arial" w:hint="cs"/>
          <w:rtl/>
        </w:rPr>
        <w:t>,</w:t>
      </w:r>
      <w:r w:rsidRPr="0048466C">
        <w:rPr>
          <w:rFonts w:cs="Arial"/>
          <w:rtl/>
        </w:rPr>
        <w:t xml:space="preserve"> בגין כן הורי כרבי אימי</w:t>
      </w:r>
      <w:r w:rsidRPr="0048466C">
        <w:rPr>
          <w:rFonts w:cs="Arial" w:hint="cs"/>
          <w:rtl/>
        </w:rPr>
        <w:t>.</w:t>
      </w:r>
    </w:p>
    <w:p w14:paraId="7F159288" w14:textId="77777777" w:rsidR="0048466C" w:rsidRDefault="0048466C" w:rsidP="0000353D">
      <w:pPr>
        <w:rPr>
          <w:rFonts w:cs="Arial"/>
          <w:rtl/>
        </w:rPr>
      </w:pPr>
      <w:r w:rsidRPr="0048466C">
        <w:rPr>
          <w:rFonts w:cs="Arial" w:hint="cs"/>
          <w:u w:val="single"/>
          <w:rtl/>
        </w:rPr>
        <w:t xml:space="preserve">האם על הדיין לדון ע"פ מה שנתאמת אצלו או ע"פ הטענות </w:t>
      </w:r>
      <w:r w:rsidRPr="0048466C">
        <w:rPr>
          <w:rFonts w:cs="Arial" w:hint="cs"/>
          <w:sz w:val="16"/>
          <w:szCs w:val="16"/>
          <w:u w:val="single"/>
          <w:rtl/>
        </w:rPr>
        <w:t>(אע"פ שהם מכחישות את האמת שנתבררה אצלו)</w:t>
      </w:r>
      <w:r w:rsidRPr="0048466C">
        <w:rPr>
          <w:rFonts w:cs="Arial" w:hint="cs"/>
          <w:u w:val="single"/>
          <w:rtl/>
        </w:rPr>
        <w:t>:</w:t>
      </w:r>
    </w:p>
    <w:p w14:paraId="79A36576" w14:textId="77777777" w:rsidR="00AE57FF" w:rsidRPr="0048466C" w:rsidRDefault="00AE57FF" w:rsidP="004B0475">
      <w:pPr>
        <w:pStyle w:val="ac"/>
        <w:numPr>
          <w:ilvl w:val="0"/>
          <w:numId w:val="17"/>
        </w:numPr>
        <w:rPr>
          <w:rFonts w:cs="Arial"/>
          <w:rtl/>
        </w:rPr>
      </w:pPr>
      <w:r w:rsidRPr="0048466C">
        <w:rPr>
          <w:rFonts w:cs="Arial" w:hint="cs"/>
          <w:rtl/>
        </w:rPr>
        <w:t xml:space="preserve">מהרי"ק </w:t>
      </w:r>
      <w:r w:rsidRPr="0048466C">
        <w:rPr>
          <w:rFonts w:cs="Arial" w:hint="cs"/>
          <w:sz w:val="16"/>
          <w:szCs w:val="16"/>
          <w:rtl/>
        </w:rPr>
        <w:t>(</w:t>
      </w:r>
      <w:r w:rsidR="0000353D" w:rsidRPr="0048466C">
        <w:rPr>
          <w:rFonts w:cs="Arial"/>
          <w:sz w:val="16"/>
          <w:szCs w:val="16"/>
          <w:rtl/>
        </w:rPr>
        <w:t>סי</w:t>
      </w:r>
      <w:r w:rsidRPr="0048466C">
        <w:rPr>
          <w:rFonts w:cs="Arial" w:hint="cs"/>
          <w:sz w:val="16"/>
          <w:szCs w:val="16"/>
          <w:rtl/>
        </w:rPr>
        <w:t>'</w:t>
      </w:r>
      <w:r w:rsidR="0000353D" w:rsidRPr="0048466C">
        <w:rPr>
          <w:rFonts w:cs="Arial"/>
          <w:sz w:val="16"/>
          <w:szCs w:val="16"/>
          <w:rtl/>
        </w:rPr>
        <w:t xml:space="preserve"> ק</w:t>
      </w:r>
      <w:r w:rsidRPr="0048466C">
        <w:rPr>
          <w:rFonts w:cs="Arial" w:hint="cs"/>
          <w:sz w:val="16"/>
          <w:szCs w:val="16"/>
          <w:rtl/>
        </w:rPr>
        <w:t>י</w:t>
      </w:r>
      <w:r w:rsidR="0000353D" w:rsidRPr="0048466C">
        <w:rPr>
          <w:rFonts w:cs="Arial"/>
          <w:sz w:val="16"/>
          <w:szCs w:val="16"/>
          <w:rtl/>
        </w:rPr>
        <w:t>ח</w:t>
      </w:r>
      <w:r w:rsidRPr="0048466C">
        <w:rPr>
          <w:rFonts w:cs="Arial" w:hint="cs"/>
          <w:sz w:val="16"/>
          <w:szCs w:val="16"/>
          <w:rtl/>
        </w:rPr>
        <w:t xml:space="preserve"> </w:t>
      </w:r>
      <w:r w:rsidR="0000353D" w:rsidRPr="0048466C">
        <w:rPr>
          <w:rFonts w:cs="Arial"/>
          <w:sz w:val="16"/>
          <w:szCs w:val="16"/>
          <w:rtl/>
        </w:rPr>
        <w:t>ענף ז)</w:t>
      </w:r>
      <w:r w:rsidRPr="0048466C">
        <w:rPr>
          <w:rFonts w:cs="Arial" w:hint="cs"/>
          <w:rtl/>
        </w:rPr>
        <w:t>-</w:t>
      </w:r>
      <w:r w:rsidR="0000353D" w:rsidRPr="0048466C">
        <w:rPr>
          <w:rFonts w:cs="Arial"/>
          <w:rtl/>
        </w:rPr>
        <w:t xml:space="preserve"> ואשר שאלת אם יש לדיין לדון על פי טענה כאשר בקש ממנו שמעון</w:t>
      </w:r>
      <w:r w:rsidR="00FF457E">
        <w:rPr>
          <w:rFonts w:cs="Arial" w:hint="cs"/>
          <w:rtl/>
        </w:rPr>
        <w:t>,</w:t>
      </w:r>
      <w:r w:rsidR="0000353D" w:rsidRPr="0048466C">
        <w:rPr>
          <w:rFonts w:cs="Arial"/>
          <w:rtl/>
        </w:rPr>
        <w:t xml:space="preserve"> או אם יש לדון על פי מה שנתבאר לו מפי שמעון ואם כי לא רצה לבאר בתוך הטענות</w:t>
      </w:r>
      <w:r w:rsidRPr="0048466C">
        <w:rPr>
          <w:rFonts w:cs="Arial" w:hint="cs"/>
          <w:rtl/>
        </w:rPr>
        <w:t>.</w:t>
      </w:r>
      <w:r w:rsidR="0000353D" w:rsidRPr="0048466C">
        <w:rPr>
          <w:rFonts w:cs="Arial"/>
          <w:rtl/>
        </w:rPr>
        <w:t xml:space="preserve"> נראה דבר פשוט שעל הדיין מוטל לדון על פי האמת שנתאמת אצלו ולא על פי הטענות אם הם מכחישות האמת</w:t>
      </w:r>
      <w:r w:rsidR="0000353D">
        <w:rPr>
          <w:rStyle w:val="ab"/>
          <w:rFonts w:cs="Arial"/>
          <w:rtl/>
        </w:rPr>
        <w:footnoteReference w:id="880"/>
      </w:r>
      <w:r w:rsidRPr="0048466C">
        <w:rPr>
          <w:rFonts w:cs="Arial" w:hint="cs"/>
          <w:rtl/>
        </w:rPr>
        <w:t>.</w:t>
      </w:r>
      <w:r w:rsidR="0000353D" w:rsidRPr="0048466C">
        <w:rPr>
          <w:rFonts w:cs="Arial"/>
          <w:rtl/>
        </w:rPr>
        <w:t xml:space="preserve"> </w:t>
      </w:r>
      <w:r w:rsidR="004301AD">
        <w:rPr>
          <w:rFonts w:cs="Arial" w:hint="cs"/>
          <w:rtl/>
        </w:rPr>
        <w:t>(וכ"פ הסמ"ע</w:t>
      </w:r>
      <w:r w:rsidR="004301AD">
        <w:rPr>
          <w:rFonts w:cs="Arial" w:hint="cs"/>
          <w:sz w:val="16"/>
          <w:szCs w:val="16"/>
          <w:rtl/>
        </w:rPr>
        <w:t xml:space="preserve"> [סקט"ו]</w:t>
      </w:r>
      <w:r w:rsidR="004301AD">
        <w:rPr>
          <w:rFonts w:cs="Arial" w:hint="cs"/>
          <w:rtl/>
        </w:rPr>
        <w:t>)</w:t>
      </w:r>
    </w:p>
    <w:p w14:paraId="0C785C07" w14:textId="77777777" w:rsidR="00E137BC" w:rsidRPr="00576D5C" w:rsidRDefault="00E137BC" w:rsidP="00576D5C">
      <w:pPr>
        <w:rPr>
          <w:rFonts w:asciiTheme="minorBidi" w:hAnsiTheme="minorBidi"/>
          <w:b/>
          <w:bCs/>
          <w:color w:val="000000"/>
          <w:sz w:val="28"/>
          <w:szCs w:val="28"/>
          <w:u w:val="single"/>
          <w:rtl/>
        </w:rPr>
      </w:pPr>
      <w:r w:rsidRPr="00576D5C">
        <w:rPr>
          <w:rFonts w:asciiTheme="minorBidi" w:hAnsiTheme="minorBidi"/>
          <w:b/>
          <w:bCs/>
          <w:color w:val="000000"/>
          <w:sz w:val="28"/>
          <w:szCs w:val="28"/>
          <w:u w:val="single"/>
          <w:rtl/>
        </w:rPr>
        <w:t>שו"ע:</w:t>
      </w:r>
    </w:p>
    <w:p w14:paraId="006F2B46" w14:textId="77777777" w:rsidR="00E137BC" w:rsidRPr="00576D5C" w:rsidRDefault="00E137BC" w:rsidP="00576D5C">
      <w:pPr>
        <w:rPr>
          <w:rFonts w:asciiTheme="minorBidi" w:hAnsiTheme="minorBidi"/>
          <w:rtl/>
        </w:rPr>
      </w:pPr>
      <w:r w:rsidRPr="00576D5C">
        <w:rPr>
          <w:rFonts w:asciiTheme="minorBidi" w:hAnsiTheme="minorBidi"/>
          <w:rtl/>
        </w:rPr>
        <w:t xml:space="preserve">יש לדיין לדון דיני ממונות על פי הדברים שדעתו נוטה להם שהם אמת, והדבר חזק בלבו שהוא כך אף על פי שאין שם ראיה ברורה. ומשרבו בתי דינים שאינם הגונים ובעלי בינה, הסכימו שלא יהפכו שבועה אלא בראיה ברורה, ולא </w:t>
      </w:r>
      <w:r w:rsidRPr="00576D5C">
        <w:rPr>
          <w:rFonts w:asciiTheme="minorBidi" w:hAnsiTheme="minorBidi"/>
          <w:rtl/>
        </w:rPr>
        <w:lastRenderedPageBreak/>
        <w:t>יפגמו שטר ויפסידו חזקתו על פי עדות אשה או קרוב אף על פי שדעתו סומכת על דבריהם, וכן אין מוציאים מהיתומים אלא בראיה ברורה</w:t>
      </w:r>
      <w:r w:rsidR="00B121AF">
        <w:rPr>
          <w:rStyle w:val="ab"/>
          <w:rFonts w:asciiTheme="minorBidi" w:hAnsiTheme="minorBidi"/>
          <w:rtl/>
        </w:rPr>
        <w:footnoteReference w:id="881"/>
      </w:r>
      <w:r w:rsidRPr="00576D5C">
        <w:rPr>
          <w:rFonts w:asciiTheme="minorBidi" w:hAnsiTheme="minorBidi"/>
          <w:rtl/>
        </w:rPr>
        <w:t>, לא בדעת הדיין ולא באומדן המת או הטוען</w:t>
      </w:r>
      <w:r w:rsidR="00B121AF">
        <w:rPr>
          <w:rFonts w:asciiTheme="minorBidi" w:hAnsiTheme="minorBidi" w:hint="cs"/>
          <w:rtl/>
        </w:rPr>
        <w:t>.</w:t>
      </w:r>
      <w:r w:rsidRPr="00576D5C">
        <w:rPr>
          <w:rFonts w:asciiTheme="minorBidi" w:hAnsiTheme="minorBidi"/>
          <w:rtl/>
        </w:rPr>
        <w:t xml:space="preserve"> וא</w:t>
      </w:r>
      <w:r w:rsidR="004B442F">
        <w:rPr>
          <w:rFonts w:asciiTheme="minorBidi" w:hAnsiTheme="minorBidi" w:hint="cs"/>
          <w:rtl/>
        </w:rPr>
        <w:t>ף על פי כן</w:t>
      </w:r>
      <w:r w:rsidRPr="00576D5C">
        <w:rPr>
          <w:rFonts w:asciiTheme="minorBidi" w:hAnsiTheme="minorBidi"/>
          <w:rtl/>
        </w:rPr>
        <w:t xml:space="preserve"> אם העיד אדם נאמן בדבר מכל הדברים ונטתה דעת הדיין שאמת הוא אומר, ממתין בדין ואינו דוחה עדותו, ונושא ונותן עם בעלי דינים עד שיודו לדברי העד, ודורש וחוקר עד שיתברר הדבר או יעשו פשרה, או יסתלק מן הדין כמו שנתבאר. </w:t>
      </w:r>
      <w:r w:rsidRPr="004B442F">
        <w:rPr>
          <w:rFonts w:asciiTheme="minorBidi" w:hAnsiTheme="minorBidi"/>
          <w:sz w:val="18"/>
          <w:szCs w:val="18"/>
          <w:rtl/>
        </w:rPr>
        <w:t>הגה: ואם נראה לב"ד שאחד גוזל חבירו ולא יוכלו להוציא ממנו בדין, יכולין לגזור על שאר בני אדם שלא ישאו ויתנו עמו</w:t>
      </w:r>
      <w:r w:rsidR="00FF457E">
        <w:rPr>
          <w:rFonts w:asciiTheme="minorBidi" w:hAnsiTheme="minorBidi" w:hint="cs"/>
          <w:sz w:val="18"/>
          <w:szCs w:val="18"/>
          <w:rtl/>
        </w:rPr>
        <w:t>.</w:t>
      </w:r>
      <w:r w:rsidRPr="004B442F">
        <w:rPr>
          <w:rFonts w:asciiTheme="minorBidi" w:hAnsiTheme="minorBidi"/>
          <w:sz w:val="18"/>
          <w:szCs w:val="18"/>
          <w:rtl/>
        </w:rPr>
        <w:t xml:space="preserve"> ואם היא אשה שלא תנשא לאיש ולא יעסקו בשידוכיה עד שתוציא מידה שאינו שלה. (פסקי מהרא"י סי</w:t>
      </w:r>
      <w:r w:rsidR="008D1CDF">
        <w:rPr>
          <w:rFonts w:asciiTheme="minorBidi" w:hAnsiTheme="minorBidi" w:hint="cs"/>
          <w:sz w:val="18"/>
          <w:szCs w:val="18"/>
          <w:rtl/>
        </w:rPr>
        <w:t>'</w:t>
      </w:r>
      <w:r w:rsidRPr="004B442F">
        <w:rPr>
          <w:rFonts w:asciiTheme="minorBidi" w:hAnsiTheme="minorBidi"/>
          <w:sz w:val="18"/>
          <w:szCs w:val="18"/>
          <w:rtl/>
        </w:rPr>
        <w:t xml:space="preserve"> רס) וע"ל סימן שנ"ח סעיף ה'.</w:t>
      </w:r>
    </w:p>
    <w:p w14:paraId="43DBCEC8" w14:textId="77777777" w:rsidR="00E137BC" w:rsidRPr="00576D5C" w:rsidRDefault="00E137BC" w:rsidP="00576D5C">
      <w:pPr>
        <w:rPr>
          <w:rFonts w:asciiTheme="minorBidi" w:hAnsiTheme="minorBidi"/>
          <w:rtl/>
        </w:rPr>
        <w:sectPr w:rsidR="00E137BC" w:rsidRPr="00576D5C" w:rsidSect="00AF3AF9">
          <w:headerReference w:type="default" r:id="rId25"/>
          <w:footnotePr>
            <w:numRestart w:val="eachPage"/>
          </w:footnotePr>
          <w:pgSz w:w="11906" w:h="16838"/>
          <w:pgMar w:top="720" w:right="1134" w:bottom="720" w:left="1134" w:header="0" w:footer="0" w:gutter="0"/>
          <w:cols w:space="720"/>
          <w:bidi/>
          <w:rtlGutter/>
          <w:docGrid w:linePitch="360"/>
        </w:sectPr>
      </w:pPr>
    </w:p>
    <w:p w14:paraId="6298AAE4" w14:textId="77777777" w:rsidR="00E137BC" w:rsidRPr="00576D5C" w:rsidRDefault="00E137BC" w:rsidP="006567B0">
      <w:pPr>
        <w:pStyle w:val="1"/>
        <w:rPr>
          <w:rtl/>
        </w:rPr>
      </w:pPr>
      <w:bookmarkStart w:id="134" w:name="_Toc24883618"/>
      <w:r w:rsidRPr="00576D5C">
        <w:rPr>
          <w:rtl/>
        </w:rPr>
        <w:lastRenderedPageBreak/>
        <w:t>סימן טז: כמה זמן נותנין להביא ראיה, ודין הטלת חרם, ובו ה' סעיפים.</w:t>
      </w:r>
      <w:bookmarkEnd w:id="134"/>
      <w:r w:rsidRPr="00576D5C">
        <w:rPr>
          <w:rtl/>
        </w:rPr>
        <w:t xml:space="preserve"> </w:t>
      </w:r>
    </w:p>
    <w:p w14:paraId="15E0E923" w14:textId="77777777" w:rsidR="00E137BC" w:rsidRDefault="00E137BC" w:rsidP="006567B0">
      <w:pPr>
        <w:pStyle w:val="2"/>
        <w:rPr>
          <w:rtl/>
        </w:rPr>
      </w:pPr>
      <w:bookmarkStart w:id="135" w:name="_Toc24883619"/>
      <w:r w:rsidRPr="00576D5C">
        <w:rPr>
          <w:rtl/>
        </w:rPr>
        <w:t>סעיף א</w:t>
      </w:r>
      <w:r w:rsidR="00B121AF">
        <w:rPr>
          <w:rFonts w:hint="cs"/>
          <w:rtl/>
        </w:rPr>
        <w:t>:</w:t>
      </w:r>
      <w:r w:rsidR="00BF5618">
        <w:rPr>
          <w:rFonts w:hint="cs"/>
          <w:rtl/>
        </w:rPr>
        <w:t xml:space="preserve"> בעל דין שטוען שיש לו ראיה אך צריך שיתנו לו זמן.</w:t>
      </w:r>
      <w:bookmarkEnd w:id="135"/>
    </w:p>
    <w:p w14:paraId="705CA44D" w14:textId="77777777" w:rsidR="004946CD" w:rsidRPr="004C1040" w:rsidRDefault="004C1040" w:rsidP="004C1040">
      <w:pPr>
        <w:rPr>
          <w:rFonts w:cs="Arial"/>
          <w:rtl/>
        </w:rPr>
      </w:pPr>
      <w:r w:rsidRPr="004C1040">
        <w:rPr>
          <w:rFonts w:cs="Arial" w:hint="cs"/>
          <w:b/>
          <w:bCs/>
          <w:rtl/>
        </w:rPr>
        <w:t xml:space="preserve">בבא קמא </w:t>
      </w:r>
      <w:r w:rsidRPr="004C1040">
        <w:rPr>
          <w:rFonts w:cs="Arial" w:hint="cs"/>
          <w:b/>
          <w:bCs/>
          <w:sz w:val="16"/>
          <w:szCs w:val="16"/>
          <w:rtl/>
        </w:rPr>
        <w:t>(</w:t>
      </w:r>
      <w:r w:rsidRPr="004C1040">
        <w:rPr>
          <w:rFonts w:cs="Arial"/>
          <w:b/>
          <w:bCs/>
          <w:sz w:val="16"/>
          <w:szCs w:val="16"/>
          <w:rtl/>
        </w:rPr>
        <w:t>פ</w:t>
      </w:r>
      <w:r w:rsidRPr="004C1040">
        <w:rPr>
          <w:rFonts w:cs="Arial" w:hint="cs"/>
          <w:b/>
          <w:bCs/>
          <w:sz w:val="16"/>
          <w:szCs w:val="16"/>
          <w:rtl/>
        </w:rPr>
        <w:t xml:space="preserve">' </w:t>
      </w:r>
      <w:r w:rsidRPr="004C1040">
        <w:rPr>
          <w:rFonts w:cs="Arial"/>
          <w:b/>
          <w:bCs/>
          <w:sz w:val="16"/>
          <w:szCs w:val="16"/>
          <w:rtl/>
        </w:rPr>
        <w:t>הגוזל בתרא</w:t>
      </w:r>
      <w:r>
        <w:rPr>
          <w:rFonts w:cs="Arial" w:hint="cs"/>
          <w:b/>
          <w:bCs/>
          <w:sz w:val="16"/>
          <w:szCs w:val="16"/>
          <w:rtl/>
        </w:rPr>
        <w:t>)</w:t>
      </w:r>
      <w:r w:rsidRPr="004C1040">
        <w:rPr>
          <w:rFonts w:cs="Arial"/>
          <w:b/>
          <w:bCs/>
          <w:sz w:val="16"/>
          <w:szCs w:val="16"/>
          <w:rtl/>
        </w:rPr>
        <w:t xml:space="preserve"> </w:t>
      </w:r>
      <w:r w:rsidRPr="004C1040">
        <w:rPr>
          <w:rFonts w:cs="Arial"/>
          <w:b/>
          <w:bCs/>
          <w:rtl/>
        </w:rPr>
        <w:t>קיב</w:t>
      </w:r>
      <w:r w:rsidR="0055217B">
        <w:rPr>
          <w:rStyle w:val="ab"/>
          <w:rFonts w:cs="Arial"/>
          <w:b/>
          <w:bCs/>
          <w:rtl/>
        </w:rPr>
        <w:footnoteReference w:id="882"/>
      </w:r>
      <w:r w:rsidRPr="004C1040">
        <w:rPr>
          <w:rFonts w:cs="Arial" w:hint="cs"/>
          <w:b/>
          <w:bCs/>
          <w:rtl/>
        </w:rPr>
        <w:t xml:space="preserve"> ע"ב</w:t>
      </w:r>
      <w:r w:rsidRPr="004C1040">
        <w:rPr>
          <w:rFonts w:cs="Arial"/>
          <w:b/>
          <w:bCs/>
          <w:rtl/>
        </w:rPr>
        <w:t>:</w:t>
      </w:r>
      <w:r>
        <w:rPr>
          <w:rFonts w:cs="Arial" w:hint="cs"/>
          <w:rtl/>
        </w:rPr>
        <w:t xml:space="preserve"> </w:t>
      </w:r>
      <w:r w:rsidRPr="004C1040">
        <w:rPr>
          <w:rFonts w:cs="Arial"/>
          <w:u w:val="single"/>
          <w:rtl/>
        </w:rPr>
        <w:t>אמר רבא</w:t>
      </w:r>
      <w:r>
        <w:rPr>
          <w:rFonts w:cs="Arial" w:hint="cs"/>
          <w:rtl/>
        </w:rPr>
        <w:t>:</w:t>
      </w:r>
      <w:r w:rsidRPr="004C1040">
        <w:rPr>
          <w:rFonts w:cs="Arial"/>
          <w:rtl/>
        </w:rPr>
        <w:t xml:space="preserve"> הלכתא</w:t>
      </w:r>
      <w:r>
        <w:rPr>
          <w:rFonts w:cs="Arial" w:hint="cs"/>
          <w:rtl/>
        </w:rPr>
        <w:t>,</w:t>
      </w:r>
      <w:r w:rsidRPr="004C1040">
        <w:rPr>
          <w:rFonts w:cs="Arial"/>
          <w:rtl/>
        </w:rPr>
        <w:t xml:space="preserve"> מקיימין את השטר שלא בפני בעל דין ואפי' עומד וצווח, ואי אמר נקיטו לי זימנא עד דמייתינא סהדי ומרענא ליה לשטרא - נקטינן ליה</w:t>
      </w:r>
      <w:r>
        <w:rPr>
          <w:rFonts w:cs="Arial" w:hint="cs"/>
          <w:rtl/>
        </w:rPr>
        <w:t xml:space="preserve">. </w:t>
      </w:r>
      <w:r w:rsidRPr="004C1040">
        <w:rPr>
          <w:rFonts w:cs="Arial" w:hint="cs"/>
          <w:sz w:val="16"/>
          <w:szCs w:val="16"/>
          <w:rtl/>
        </w:rPr>
        <w:t>(</w:t>
      </w:r>
      <w:r w:rsidR="004946CD" w:rsidRPr="004C1040">
        <w:rPr>
          <w:rFonts w:cs="Arial"/>
          <w:sz w:val="16"/>
          <w:szCs w:val="16"/>
          <w:rtl/>
        </w:rPr>
        <w:t>וכתב הרא"ש (סי' ה) ומדלא פירש התלמוד שיעור זה הזמן בסתמא שלשים יום כשיעור זמן בית דין</w:t>
      </w:r>
      <w:r>
        <w:rPr>
          <w:rFonts w:cs="Arial" w:hint="cs"/>
          <w:sz w:val="16"/>
          <w:szCs w:val="16"/>
          <w:rtl/>
        </w:rPr>
        <w:t>)</w:t>
      </w:r>
    </w:p>
    <w:p w14:paraId="2D180DD8" w14:textId="77777777" w:rsidR="004C1040" w:rsidRDefault="004C1040" w:rsidP="004C1040">
      <w:pPr>
        <w:rPr>
          <w:rFonts w:cs="Arial"/>
          <w:rtl/>
        </w:rPr>
      </w:pPr>
      <w:r w:rsidRPr="004C1040">
        <w:rPr>
          <w:rFonts w:cs="Arial" w:hint="cs"/>
          <w:b/>
          <w:bCs/>
          <w:rtl/>
        </w:rPr>
        <w:t xml:space="preserve">סנהדרין </w:t>
      </w:r>
      <w:r w:rsidRPr="004C1040">
        <w:rPr>
          <w:rFonts w:cs="Arial" w:hint="cs"/>
          <w:b/>
          <w:bCs/>
          <w:sz w:val="16"/>
          <w:szCs w:val="16"/>
          <w:rtl/>
        </w:rPr>
        <w:t>(</w:t>
      </w:r>
      <w:r w:rsidRPr="004C1040">
        <w:rPr>
          <w:rFonts w:cs="Arial"/>
          <w:b/>
          <w:bCs/>
          <w:sz w:val="16"/>
          <w:szCs w:val="16"/>
          <w:rtl/>
        </w:rPr>
        <w:t>ס</w:t>
      </w:r>
      <w:r w:rsidRPr="004C1040">
        <w:rPr>
          <w:rFonts w:cs="Arial" w:hint="cs"/>
          <w:b/>
          <w:bCs/>
          <w:sz w:val="16"/>
          <w:szCs w:val="16"/>
          <w:rtl/>
        </w:rPr>
        <w:t>"</w:t>
      </w:r>
      <w:r w:rsidRPr="004C1040">
        <w:rPr>
          <w:rFonts w:cs="Arial"/>
          <w:b/>
          <w:bCs/>
          <w:sz w:val="16"/>
          <w:szCs w:val="16"/>
          <w:rtl/>
        </w:rPr>
        <w:t>פ זה בורר</w:t>
      </w:r>
      <w:r w:rsidRPr="004C1040">
        <w:rPr>
          <w:rFonts w:cs="Arial" w:hint="cs"/>
          <w:b/>
          <w:bCs/>
          <w:sz w:val="16"/>
          <w:szCs w:val="16"/>
          <w:rtl/>
        </w:rPr>
        <w:t>)</w:t>
      </w:r>
      <w:r w:rsidRPr="004C1040">
        <w:rPr>
          <w:rFonts w:cs="Arial"/>
          <w:b/>
          <w:bCs/>
          <w:sz w:val="16"/>
          <w:szCs w:val="16"/>
          <w:rtl/>
        </w:rPr>
        <w:t xml:space="preserve"> </w:t>
      </w:r>
      <w:r w:rsidRPr="004C1040">
        <w:rPr>
          <w:rFonts w:cs="Arial"/>
          <w:b/>
          <w:bCs/>
          <w:rtl/>
        </w:rPr>
        <w:t>לא</w:t>
      </w:r>
      <w:r w:rsidR="003D697A">
        <w:rPr>
          <w:rStyle w:val="ab"/>
          <w:rFonts w:cs="Arial"/>
          <w:b/>
          <w:bCs/>
          <w:rtl/>
        </w:rPr>
        <w:footnoteReference w:id="883"/>
      </w:r>
      <w:r w:rsidRPr="004C1040">
        <w:rPr>
          <w:rFonts w:cs="Arial" w:hint="cs"/>
          <w:b/>
          <w:bCs/>
          <w:rtl/>
        </w:rPr>
        <w:t xml:space="preserve"> ע"א:</w:t>
      </w:r>
      <w:r>
        <w:rPr>
          <w:rFonts w:cs="Arial" w:hint="cs"/>
          <w:rtl/>
        </w:rPr>
        <w:t xml:space="preserve"> </w:t>
      </w:r>
      <w:r w:rsidRPr="004C1040">
        <w:rPr>
          <w:rFonts w:cs="Arial"/>
          <w:u w:val="double"/>
          <w:rtl/>
        </w:rPr>
        <w:t>משנה</w:t>
      </w:r>
      <w:r>
        <w:rPr>
          <w:rFonts w:cs="Arial" w:hint="cs"/>
          <w:rtl/>
        </w:rPr>
        <w:t>:</w:t>
      </w:r>
      <w:r w:rsidRPr="004C1040">
        <w:rPr>
          <w:rFonts w:cs="Arial"/>
          <w:rtl/>
        </w:rPr>
        <w:t xml:space="preserve"> כל זמן שמביא ראיה - סותר את הדין. אמר לו: כל ראיות שיש לך - הבא מיכן עד שלשים יום, מצא בתוך שלשים יום - סותר, לאחר שלשים יום - אינו סותר. </w:t>
      </w:r>
      <w:r w:rsidRPr="004C1040">
        <w:rPr>
          <w:rFonts w:cs="Arial"/>
          <w:u w:val="single"/>
          <w:rtl/>
        </w:rPr>
        <w:t>אמר רבן שמעון בן גמליאל</w:t>
      </w:r>
      <w:r w:rsidRPr="004C1040">
        <w:rPr>
          <w:rFonts w:cs="Arial"/>
          <w:rtl/>
        </w:rPr>
        <w:t>: מה יעשה זה שלא מצא בתוך שלשים, ומצא לאחר שלשים?</w:t>
      </w:r>
      <w:r w:rsidR="003D697A">
        <w:rPr>
          <w:rFonts w:cs="Arial" w:hint="cs"/>
          <w:rtl/>
        </w:rPr>
        <w:t xml:space="preserve">... </w:t>
      </w:r>
      <w:r w:rsidR="003D697A" w:rsidRPr="003D697A">
        <w:rPr>
          <w:rFonts w:cs="Arial"/>
          <w:u w:val="double"/>
          <w:rtl/>
        </w:rPr>
        <w:t>גמרא</w:t>
      </w:r>
      <w:r w:rsidR="003D697A">
        <w:rPr>
          <w:rFonts w:cs="Arial" w:hint="cs"/>
          <w:rtl/>
        </w:rPr>
        <w:t>:</w:t>
      </w:r>
      <w:r w:rsidR="003D697A" w:rsidRPr="003D697A">
        <w:rPr>
          <w:rFonts w:cs="Arial"/>
          <w:rtl/>
        </w:rPr>
        <w:t xml:space="preserve"> </w:t>
      </w:r>
      <w:r w:rsidR="003D697A" w:rsidRPr="003D697A">
        <w:rPr>
          <w:rFonts w:cs="Arial"/>
          <w:u w:val="single"/>
          <w:rtl/>
        </w:rPr>
        <w:t>אמר רבה בר רב הונא</w:t>
      </w:r>
      <w:r w:rsidR="003D697A" w:rsidRPr="003D697A">
        <w:rPr>
          <w:rFonts w:cs="Arial"/>
          <w:rtl/>
        </w:rPr>
        <w:t xml:space="preserve">: הלכה כרבן שמעון בן גמליאל. </w:t>
      </w:r>
      <w:r w:rsidR="003D697A" w:rsidRPr="003D697A">
        <w:rPr>
          <w:rFonts w:cs="Arial"/>
          <w:u w:val="single"/>
          <w:rtl/>
        </w:rPr>
        <w:t>ואמר רבה בר רב הונא</w:t>
      </w:r>
      <w:r w:rsidR="003D697A" w:rsidRPr="003D697A">
        <w:rPr>
          <w:rFonts w:cs="Arial"/>
          <w:rtl/>
        </w:rPr>
        <w:t>: אין הלכה כדברי חכמים. פשיטא, כיון דאמר הלכה כרבן שמעון בן גמליאל - ממילא ידענא דאין הלכה כחכמים! מהו דתימא: הני מילי - לכתחילה, אבל דיעבד - שפיר דמי, קמ</w:t>
      </w:r>
      <w:r w:rsidR="003D697A">
        <w:rPr>
          <w:rFonts w:cs="Arial" w:hint="cs"/>
          <w:rtl/>
        </w:rPr>
        <w:t>"</w:t>
      </w:r>
      <w:r w:rsidR="003D697A" w:rsidRPr="003D697A">
        <w:rPr>
          <w:rFonts w:cs="Arial"/>
          <w:rtl/>
        </w:rPr>
        <w:t>ל: דאי עביד - מהדרינן ליה.</w:t>
      </w:r>
    </w:p>
    <w:p w14:paraId="0ED7D24A" w14:textId="77777777" w:rsidR="008D1EE2" w:rsidRPr="008D1EE2" w:rsidRDefault="008D1EE2" w:rsidP="008D1EE2">
      <w:pPr>
        <w:rPr>
          <w:rFonts w:cs="Arial"/>
          <w:u w:val="single"/>
          <w:rtl/>
        </w:rPr>
      </w:pPr>
      <w:r w:rsidRPr="008D1EE2">
        <w:rPr>
          <w:rFonts w:cs="Arial"/>
          <w:u w:val="single"/>
          <w:rtl/>
        </w:rPr>
        <w:t xml:space="preserve">אמר אחד מבעלי הדינין </w:t>
      </w:r>
      <w:r w:rsidR="00BF5618">
        <w:rPr>
          <w:rFonts w:cs="Arial" w:hint="cs"/>
          <w:u w:val="single"/>
          <w:rtl/>
        </w:rPr>
        <w:t>'</w:t>
      </w:r>
      <w:r w:rsidRPr="008D1EE2">
        <w:rPr>
          <w:rFonts w:cs="Arial"/>
          <w:u w:val="single"/>
          <w:rtl/>
        </w:rPr>
        <w:t>יש לי עדים</w:t>
      </w:r>
      <w:r w:rsidR="00BF5618">
        <w:rPr>
          <w:rFonts w:cs="Arial" w:hint="cs"/>
          <w:u w:val="single"/>
          <w:rtl/>
        </w:rPr>
        <w:t>/ראיה</w:t>
      </w:r>
      <w:r w:rsidRPr="008D1EE2">
        <w:rPr>
          <w:rFonts w:cs="Arial"/>
          <w:u w:val="single"/>
          <w:rtl/>
        </w:rPr>
        <w:t xml:space="preserve"> </w:t>
      </w:r>
      <w:r w:rsidR="00BF5618">
        <w:rPr>
          <w:rFonts w:cs="Arial" w:hint="cs"/>
          <w:u w:val="single"/>
          <w:rtl/>
        </w:rPr>
        <w:t xml:space="preserve">אך אני צריך זמן </w:t>
      </w:r>
      <w:r w:rsidRPr="008D1EE2">
        <w:rPr>
          <w:rFonts w:cs="Arial"/>
          <w:u w:val="single"/>
          <w:rtl/>
        </w:rPr>
        <w:t>להביאם</w:t>
      </w:r>
      <w:r w:rsidR="00BF5618">
        <w:rPr>
          <w:rFonts w:cs="Arial" w:hint="cs"/>
          <w:u w:val="single"/>
          <w:rtl/>
        </w:rPr>
        <w:t>'</w:t>
      </w:r>
      <w:r w:rsidRPr="008D1EE2">
        <w:rPr>
          <w:rFonts w:cs="Arial" w:hint="cs"/>
          <w:u w:val="single"/>
          <w:rtl/>
        </w:rPr>
        <w:t>:</w:t>
      </w:r>
    </w:p>
    <w:p w14:paraId="08AB2AEA" w14:textId="77777777" w:rsidR="00BF5618" w:rsidRDefault="008D1EE2" w:rsidP="004B0475">
      <w:pPr>
        <w:pStyle w:val="ac"/>
        <w:numPr>
          <w:ilvl w:val="0"/>
          <w:numId w:val="17"/>
        </w:numPr>
        <w:rPr>
          <w:rFonts w:cs="Arial"/>
        </w:rPr>
      </w:pPr>
      <w:r w:rsidRPr="008D1EE2">
        <w:rPr>
          <w:rFonts w:cs="Arial" w:hint="cs"/>
          <w:rtl/>
        </w:rPr>
        <w:t xml:space="preserve">טור- </w:t>
      </w:r>
      <w:r w:rsidRPr="008D1EE2">
        <w:rPr>
          <w:rFonts w:cs="Arial"/>
          <w:rtl/>
        </w:rPr>
        <w:t xml:space="preserve">אמר אחד מבעלי הדינין יש לי עדים ושאל זמן להביאם </w:t>
      </w:r>
      <w:r w:rsidR="0060274F">
        <w:rPr>
          <w:rFonts w:cs="Arial" w:hint="cs"/>
          <w:rtl/>
        </w:rPr>
        <w:t xml:space="preserve">- </w:t>
      </w:r>
      <w:r w:rsidRPr="008D1EE2">
        <w:rPr>
          <w:rFonts w:cs="Arial"/>
          <w:rtl/>
        </w:rPr>
        <w:t>נותנין לו זמן שלשים יום ולא יותר</w:t>
      </w:r>
      <w:r w:rsidRPr="008D1EE2">
        <w:rPr>
          <w:rFonts w:cs="Arial" w:hint="cs"/>
          <w:rtl/>
        </w:rPr>
        <w:t>,</w:t>
      </w:r>
      <w:r w:rsidRPr="008D1EE2">
        <w:rPr>
          <w:rFonts w:cs="Arial"/>
          <w:rtl/>
        </w:rPr>
        <w:t xml:space="preserve"> ולאחר ל' יום פוסקין הדין</w:t>
      </w:r>
      <w:r>
        <w:rPr>
          <w:rStyle w:val="ab"/>
          <w:rFonts w:cs="Arial"/>
          <w:rtl/>
        </w:rPr>
        <w:footnoteReference w:id="884"/>
      </w:r>
      <w:r w:rsidRPr="008D1EE2">
        <w:rPr>
          <w:rFonts w:cs="Arial" w:hint="cs"/>
          <w:rtl/>
        </w:rPr>
        <w:t>,</w:t>
      </w:r>
      <w:r w:rsidRPr="008D1EE2">
        <w:rPr>
          <w:rFonts w:cs="Arial"/>
          <w:rtl/>
        </w:rPr>
        <w:t xml:space="preserve"> ואם מביאן אח"כ יסתור הדין</w:t>
      </w:r>
      <w:r w:rsidRPr="008D1EE2">
        <w:rPr>
          <w:rFonts w:cs="Arial" w:hint="cs"/>
          <w:rtl/>
        </w:rPr>
        <w:t>.</w:t>
      </w:r>
      <w:r w:rsidR="000278EA">
        <w:rPr>
          <w:rFonts w:cs="Arial" w:hint="cs"/>
          <w:rtl/>
        </w:rPr>
        <w:t xml:space="preserve"> </w:t>
      </w:r>
      <w:r w:rsidR="00BF5618" w:rsidRPr="00BF5618">
        <w:rPr>
          <w:rFonts w:cs="Arial" w:hint="cs"/>
          <w:color w:val="E36C0A" w:themeColor="accent6" w:themeShade="BF"/>
          <w:rtl/>
        </w:rPr>
        <w:t>(וכ"פ בשו"ע)</w:t>
      </w:r>
    </w:p>
    <w:p w14:paraId="299A182B" w14:textId="77777777" w:rsidR="001612DC" w:rsidRPr="001612DC" w:rsidRDefault="00A22ACE" w:rsidP="001612DC">
      <w:pPr>
        <w:ind w:left="360"/>
        <w:rPr>
          <w:rFonts w:cs="Arial"/>
          <w:u w:val="dotted"/>
        </w:rPr>
      </w:pPr>
      <w:r>
        <w:rPr>
          <w:rFonts w:cs="Arial" w:hint="cs"/>
          <w:u w:val="dotted"/>
          <w:rtl/>
        </w:rPr>
        <w:t>הא ד</w:t>
      </w:r>
      <w:r w:rsidRPr="001612DC">
        <w:rPr>
          <w:rFonts w:cs="Arial" w:hint="cs"/>
          <w:u w:val="dotted"/>
          <w:rtl/>
        </w:rPr>
        <w:t>נותנים לו ל' יום</w:t>
      </w:r>
      <w:r w:rsidR="00B50800">
        <w:rPr>
          <w:rFonts w:cs="Arial" w:hint="cs"/>
          <w:u w:val="dotted"/>
          <w:rtl/>
        </w:rPr>
        <w:t xml:space="preserve"> </w:t>
      </w:r>
      <w:r>
        <w:rPr>
          <w:rFonts w:cs="Arial"/>
          <w:u w:val="dotted"/>
          <w:rtl/>
        </w:rPr>
        <w:t>–</w:t>
      </w:r>
      <w:r>
        <w:rPr>
          <w:rFonts w:cs="Arial" w:hint="cs"/>
          <w:u w:val="dotted"/>
          <w:rtl/>
        </w:rPr>
        <w:t xml:space="preserve"> </w:t>
      </w:r>
      <w:r w:rsidR="00B50800">
        <w:rPr>
          <w:rFonts w:cs="Arial" w:hint="cs"/>
          <w:u w:val="dotted"/>
          <w:rtl/>
        </w:rPr>
        <w:t>מדובר</w:t>
      </w:r>
      <w:r>
        <w:rPr>
          <w:rFonts w:cs="Arial" w:hint="cs"/>
          <w:u w:val="dotted"/>
          <w:rtl/>
        </w:rPr>
        <w:t xml:space="preserve"> ש</w:t>
      </w:r>
      <w:r w:rsidR="001612DC" w:rsidRPr="001612DC">
        <w:rPr>
          <w:rFonts w:cs="Arial" w:hint="cs"/>
          <w:u w:val="dotted"/>
          <w:rtl/>
        </w:rPr>
        <w:t xml:space="preserve">יש לו ראיה </w:t>
      </w:r>
      <w:r w:rsidR="00BF5618">
        <w:rPr>
          <w:rFonts w:cs="Arial" w:hint="cs"/>
          <w:u w:val="dotted"/>
          <w:rtl/>
        </w:rPr>
        <w:t>ובידו להביאה או אף כשיש</w:t>
      </w:r>
      <w:r w:rsidR="001612DC" w:rsidRPr="001612DC">
        <w:rPr>
          <w:rFonts w:cs="Arial" w:hint="cs"/>
          <w:u w:val="dotted"/>
          <w:rtl/>
        </w:rPr>
        <w:t xml:space="preserve"> ספק אם י</w:t>
      </w:r>
      <w:r w:rsidR="00BF5618">
        <w:rPr>
          <w:rFonts w:cs="Arial" w:hint="cs"/>
          <w:u w:val="dotted"/>
          <w:rtl/>
        </w:rPr>
        <w:t>צליח להביאה</w:t>
      </w:r>
      <w:r>
        <w:rPr>
          <w:rStyle w:val="ab"/>
          <w:rFonts w:cs="Arial"/>
          <w:u w:val="dotted"/>
          <w:rtl/>
        </w:rPr>
        <w:footnoteReference w:id="885"/>
      </w:r>
      <w:r w:rsidR="00BF5618">
        <w:rPr>
          <w:rFonts w:cs="Arial" w:hint="cs"/>
          <w:u w:val="dotted"/>
          <w:rtl/>
        </w:rPr>
        <w:t>:</w:t>
      </w:r>
      <w:r w:rsidR="001612DC" w:rsidRPr="001612DC">
        <w:rPr>
          <w:rFonts w:cs="Arial" w:hint="cs"/>
          <w:u w:val="dotted"/>
          <w:rtl/>
        </w:rPr>
        <w:t xml:space="preserve"> </w:t>
      </w:r>
    </w:p>
    <w:p w14:paraId="179DF633" w14:textId="77777777" w:rsidR="00D27D80" w:rsidRDefault="00D27D80" w:rsidP="004B0475">
      <w:pPr>
        <w:pStyle w:val="ac"/>
        <w:numPr>
          <w:ilvl w:val="0"/>
          <w:numId w:val="17"/>
        </w:numPr>
        <w:rPr>
          <w:rFonts w:cs="Arial"/>
        </w:rPr>
      </w:pPr>
      <w:r w:rsidRPr="00D27D80">
        <w:rPr>
          <w:rFonts w:cs="Arial"/>
          <w:rtl/>
        </w:rPr>
        <w:t xml:space="preserve">ריטב"א </w:t>
      </w:r>
      <w:r w:rsidRPr="00D27D80">
        <w:rPr>
          <w:rFonts w:cs="Arial"/>
          <w:sz w:val="16"/>
          <w:szCs w:val="16"/>
          <w:rtl/>
        </w:rPr>
        <w:t>(שו"ת סי' כו)</w:t>
      </w:r>
      <w:r w:rsidRPr="00D27D80">
        <w:rPr>
          <w:rFonts w:cs="Arial" w:hint="cs"/>
          <w:rtl/>
        </w:rPr>
        <w:t>-</w:t>
      </w:r>
      <w:r w:rsidRPr="00D27D80">
        <w:rPr>
          <w:rFonts w:cs="Arial"/>
          <w:rtl/>
        </w:rPr>
        <w:t xml:space="preserve"> לא אמרו הגאונים לקבוע לו זמן אלא כשטוען בברי ומסיים המקום והעדים</w:t>
      </w:r>
      <w:r w:rsidRPr="00D27D80">
        <w:rPr>
          <w:rFonts w:cs="Arial" w:hint="cs"/>
          <w:rtl/>
        </w:rPr>
        <w:t>,</w:t>
      </w:r>
      <w:r w:rsidRPr="00D27D80">
        <w:rPr>
          <w:rFonts w:cs="Arial"/>
          <w:rtl/>
        </w:rPr>
        <w:t xml:space="preserve"> אבל כשטוען ספק </w:t>
      </w:r>
      <w:r w:rsidR="0060274F">
        <w:rPr>
          <w:rFonts w:cs="Arial" w:hint="cs"/>
          <w:rtl/>
        </w:rPr>
        <w:t xml:space="preserve">- </w:t>
      </w:r>
      <w:r w:rsidRPr="00D27D80">
        <w:rPr>
          <w:rFonts w:cs="Arial"/>
          <w:rtl/>
        </w:rPr>
        <w:t>אין לחוש לדבריו כלל</w:t>
      </w:r>
      <w:r w:rsidR="00A22ACE">
        <w:rPr>
          <w:rStyle w:val="ab"/>
          <w:rFonts w:cs="Arial"/>
          <w:rtl/>
        </w:rPr>
        <w:footnoteReference w:id="886"/>
      </w:r>
      <w:r w:rsidRPr="00D27D80">
        <w:rPr>
          <w:rFonts w:cs="Arial" w:hint="cs"/>
          <w:rtl/>
        </w:rPr>
        <w:t>.</w:t>
      </w:r>
      <w:r w:rsidRPr="00D27D80">
        <w:rPr>
          <w:rFonts w:cs="Arial"/>
          <w:rtl/>
        </w:rPr>
        <w:t xml:space="preserve"> </w:t>
      </w:r>
    </w:p>
    <w:p w14:paraId="21FACE6F" w14:textId="77777777" w:rsidR="00B50800" w:rsidRDefault="00263B3B" w:rsidP="00263B3B">
      <w:pPr>
        <w:rPr>
          <w:rFonts w:cs="Arial"/>
          <w:u w:val="single"/>
          <w:rtl/>
        </w:rPr>
      </w:pPr>
      <w:r w:rsidRPr="00263B3B">
        <w:rPr>
          <w:rFonts w:cs="Arial" w:hint="cs"/>
          <w:u w:val="single"/>
          <w:rtl/>
        </w:rPr>
        <w:t xml:space="preserve">בעל הדין </w:t>
      </w:r>
      <w:r w:rsidR="008261F3">
        <w:rPr>
          <w:rFonts w:cs="Arial" w:hint="cs"/>
          <w:u w:val="single"/>
          <w:rtl/>
        </w:rPr>
        <w:t>ש</w:t>
      </w:r>
      <w:r w:rsidRPr="00263B3B">
        <w:rPr>
          <w:rFonts w:cs="Arial" w:hint="cs"/>
          <w:u w:val="single"/>
          <w:rtl/>
        </w:rPr>
        <w:t xml:space="preserve">מבקש </w:t>
      </w:r>
      <w:r w:rsidR="00B50800">
        <w:rPr>
          <w:rFonts w:cs="Arial" w:hint="cs"/>
          <w:u w:val="single"/>
          <w:rtl/>
        </w:rPr>
        <w:t>ש</w:t>
      </w:r>
      <w:r w:rsidRPr="00263B3B">
        <w:rPr>
          <w:rFonts w:cs="Arial" w:hint="cs"/>
          <w:u w:val="single"/>
          <w:rtl/>
        </w:rPr>
        <w:t xml:space="preserve">יתנו לו </w:t>
      </w:r>
      <w:r w:rsidR="00B50800" w:rsidRPr="00263B3B">
        <w:rPr>
          <w:rFonts w:cs="Arial" w:hint="cs"/>
          <w:u w:val="single"/>
          <w:rtl/>
        </w:rPr>
        <w:t xml:space="preserve">יותר </w:t>
      </w:r>
      <w:r w:rsidRPr="00263B3B">
        <w:rPr>
          <w:rFonts w:cs="Arial" w:hint="cs"/>
          <w:u w:val="single"/>
          <w:rtl/>
        </w:rPr>
        <w:t>זמן משלושים יום</w:t>
      </w:r>
      <w:r w:rsidR="008261F3">
        <w:rPr>
          <w:rFonts w:cs="Arial" w:hint="cs"/>
          <w:u w:val="single"/>
          <w:rtl/>
        </w:rPr>
        <w:t>:</w:t>
      </w:r>
    </w:p>
    <w:p w14:paraId="2DCE2BE0" w14:textId="77777777" w:rsidR="000241A3" w:rsidRPr="00B50800" w:rsidRDefault="00263B3B" w:rsidP="00B50800">
      <w:pPr>
        <w:ind w:left="360"/>
        <w:rPr>
          <w:rFonts w:cs="Arial"/>
          <w:u w:val="dotted"/>
        </w:rPr>
      </w:pPr>
      <w:r w:rsidRPr="00B50800">
        <w:rPr>
          <w:rFonts w:cs="Arial" w:hint="cs"/>
          <w:u w:val="dotted"/>
          <w:rtl/>
        </w:rPr>
        <w:t>משום שהעדים</w:t>
      </w:r>
      <w:r w:rsidR="000241A3" w:rsidRPr="00B50800">
        <w:rPr>
          <w:rFonts w:cs="Arial" w:hint="cs"/>
          <w:u w:val="dotted"/>
          <w:rtl/>
        </w:rPr>
        <w:t xml:space="preserve"> הרחיקו נדוד:</w:t>
      </w:r>
    </w:p>
    <w:p w14:paraId="59760904" w14:textId="77777777" w:rsidR="008D1EE2" w:rsidRPr="000241A3" w:rsidRDefault="008D1EE2" w:rsidP="004B0475">
      <w:pPr>
        <w:pStyle w:val="ac"/>
        <w:numPr>
          <w:ilvl w:val="0"/>
          <w:numId w:val="17"/>
        </w:numPr>
        <w:rPr>
          <w:rFonts w:cs="Arial"/>
          <w:rtl/>
        </w:rPr>
      </w:pPr>
      <w:r w:rsidRPr="000241A3">
        <w:rPr>
          <w:rFonts w:cs="Arial"/>
          <w:rtl/>
        </w:rPr>
        <w:t xml:space="preserve">רא"ש </w:t>
      </w:r>
      <w:r w:rsidRPr="000241A3">
        <w:rPr>
          <w:rFonts w:cs="Arial" w:hint="cs"/>
          <w:sz w:val="16"/>
          <w:szCs w:val="16"/>
          <w:rtl/>
        </w:rPr>
        <w:t>(</w:t>
      </w:r>
      <w:r w:rsidRPr="000241A3">
        <w:rPr>
          <w:rFonts w:cs="Arial"/>
          <w:sz w:val="16"/>
          <w:szCs w:val="16"/>
          <w:rtl/>
        </w:rPr>
        <w:t>כלל פ סי</w:t>
      </w:r>
      <w:r w:rsidRPr="000241A3">
        <w:rPr>
          <w:rFonts w:cs="Arial" w:hint="cs"/>
          <w:sz w:val="16"/>
          <w:szCs w:val="16"/>
          <w:rtl/>
        </w:rPr>
        <w:t>'</w:t>
      </w:r>
      <w:r w:rsidRPr="000241A3">
        <w:rPr>
          <w:rFonts w:cs="Arial"/>
          <w:sz w:val="16"/>
          <w:szCs w:val="16"/>
          <w:rtl/>
        </w:rPr>
        <w:t xml:space="preserve"> ב</w:t>
      </w:r>
      <w:r w:rsidRPr="000241A3">
        <w:rPr>
          <w:rFonts w:cs="Arial" w:hint="cs"/>
          <w:sz w:val="16"/>
          <w:szCs w:val="16"/>
          <w:rtl/>
        </w:rPr>
        <w:t xml:space="preserve">) </w:t>
      </w:r>
      <w:r w:rsidRPr="000241A3">
        <w:rPr>
          <w:rFonts w:cs="Arial" w:hint="cs"/>
          <w:rtl/>
        </w:rPr>
        <w:t>וטור-</w:t>
      </w:r>
      <w:r w:rsidRPr="000241A3">
        <w:rPr>
          <w:rFonts w:cs="Arial"/>
          <w:rtl/>
        </w:rPr>
        <w:t xml:space="preserve"> ואם גלוי וידוע לבית דין שפלוני ופלוני הן עדים בדבר והרחיקו נדוד </w:t>
      </w:r>
      <w:r w:rsidR="00101CCF">
        <w:rPr>
          <w:rFonts w:cs="Arial" w:hint="cs"/>
          <w:rtl/>
        </w:rPr>
        <w:t xml:space="preserve">- </w:t>
      </w:r>
      <w:r w:rsidRPr="000241A3">
        <w:rPr>
          <w:rFonts w:cs="Arial"/>
          <w:rtl/>
        </w:rPr>
        <w:t>נותנין לו זמן עד זמן שיוכל להביא</w:t>
      </w:r>
      <w:r w:rsidRPr="000241A3">
        <w:rPr>
          <w:rFonts w:cs="Arial" w:hint="cs"/>
          <w:rtl/>
        </w:rPr>
        <w:t>.</w:t>
      </w:r>
      <w:r w:rsidR="00BF5618" w:rsidRPr="00BF5618">
        <w:rPr>
          <w:rFonts w:cs="Arial" w:hint="cs"/>
          <w:color w:val="E36C0A" w:themeColor="accent6" w:themeShade="BF"/>
          <w:rtl/>
        </w:rPr>
        <w:t xml:space="preserve"> (וכ"פ בשו"ע)</w:t>
      </w:r>
    </w:p>
    <w:p w14:paraId="2044B3B9" w14:textId="77777777" w:rsidR="002247F4" w:rsidRPr="002247F4" w:rsidRDefault="002247F4" w:rsidP="002247F4">
      <w:pPr>
        <w:ind w:left="360"/>
        <w:rPr>
          <w:rFonts w:cs="Arial"/>
          <w:u w:val="dotted"/>
          <w:rtl/>
        </w:rPr>
      </w:pPr>
      <w:r w:rsidRPr="002247F4">
        <w:rPr>
          <w:rFonts w:cs="Arial" w:hint="cs"/>
          <w:u w:val="dotted"/>
          <w:rtl/>
        </w:rPr>
        <w:t>כשאחד מבעלי הדין הוא אלם:</w:t>
      </w:r>
    </w:p>
    <w:p w14:paraId="06AF8ED0" w14:textId="77777777" w:rsidR="002247F4" w:rsidRPr="000241A3" w:rsidRDefault="002247F4" w:rsidP="004B0475">
      <w:pPr>
        <w:pStyle w:val="ac"/>
        <w:numPr>
          <w:ilvl w:val="0"/>
          <w:numId w:val="17"/>
        </w:numPr>
        <w:rPr>
          <w:rFonts w:cs="Arial"/>
          <w:rtl/>
        </w:rPr>
      </w:pPr>
      <w:r w:rsidRPr="000241A3">
        <w:rPr>
          <w:rFonts w:cs="Arial" w:hint="cs"/>
          <w:rtl/>
        </w:rPr>
        <w:t>רשב"א</w:t>
      </w:r>
      <w:r w:rsidRPr="000241A3">
        <w:rPr>
          <w:rFonts w:cs="Arial"/>
          <w:rtl/>
        </w:rPr>
        <w:t xml:space="preserve"> </w:t>
      </w:r>
      <w:r w:rsidRPr="000241A3">
        <w:rPr>
          <w:rFonts w:cs="Arial"/>
          <w:sz w:val="16"/>
          <w:szCs w:val="16"/>
          <w:rtl/>
        </w:rPr>
        <w:t>(ח"ד סי' טז)</w:t>
      </w:r>
      <w:r w:rsidRPr="000241A3">
        <w:rPr>
          <w:rFonts w:cs="Arial" w:hint="cs"/>
          <w:rtl/>
        </w:rPr>
        <w:t>-</w:t>
      </w:r>
      <w:r w:rsidRPr="000241A3">
        <w:rPr>
          <w:rFonts w:cs="Arial"/>
          <w:rtl/>
        </w:rPr>
        <w:t xml:space="preserve"> לא ידעתי זמן קצוב לבית דין להבאת עדים וראיותיו יותר משלשים יום</w:t>
      </w:r>
      <w:r>
        <w:rPr>
          <w:rStyle w:val="ab"/>
          <w:rFonts w:cs="Arial"/>
          <w:rtl/>
        </w:rPr>
        <w:footnoteReference w:id="887"/>
      </w:r>
      <w:r w:rsidRPr="000241A3">
        <w:rPr>
          <w:rFonts w:cs="Arial" w:hint="cs"/>
          <w:rtl/>
        </w:rPr>
        <w:t>...</w:t>
      </w:r>
      <w:r w:rsidRPr="000241A3">
        <w:rPr>
          <w:rFonts w:cs="Arial"/>
          <w:rtl/>
        </w:rPr>
        <w:t xml:space="preserve"> ומיהו אם התובע גברא אלמא שאם יביא עדים הנתבע לאחר שלשים יום לא יוכל להוציא מהתובע </w:t>
      </w:r>
      <w:r w:rsidR="00101CCF">
        <w:rPr>
          <w:rFonts w:cs="Arial" w:hint="cs"/>
          <w:rtl/>
        </w:rPr>
        <w:t xml:space="preserve">- </w:t>
      </w:r>
      <w:r w:rsidRPr="000241A3">
        <w:rPr>
          <w:rFonts w:cs="Arial"/>
          <w:rtl/>
        </w:rPr>
        <w:t>מסתברא שמאריכין הזמן ואפילו עד י"ב חדש</w:t>
      </w:r>
      <w:r w:rsidR="00101CCF">
        <w:rPr>
          <w:rFonts w:cs="Arial" w:hint="cs"/>
          <w:rtl/>
        </w:rPr>
        <w:t>,</w:t>
      </w:r>
      <w:r w:rsidRPr="000241A3">
        <w:rPr>
          <w:rFonts w:cs="Arial"/>
          <w:rtl/>
        </w:rPr>
        <w:t xml:space="preserve"> כדאמרינן בפרק הגוזל </w:t>
      </w:r>
      <w:r w:rsidRPr="000241A3">
        <w:rPr>
          <w:rFonts w:cs="Arial"/>
          <w:sz w:val="16"/>
          <w:szCs w:val="16"/>
          <w:rtl/>
        </w:rPr>
        <w:t xml:space="preserve">(קיב:) </w:t>
      </w:r>
      <w:r w:rsidRPr="000241A3">
        <w:rPr>
          <w:rFonts w:cs="Arial"/>
          <w:rtl/>
        </w:rPr>
        <w:t>רבינא שהייה למארי אחא בר סמא י"ב חדש משום דגברא אלמא הוה. ואם הלה טוען שיפרש מי הם אותם העדים</w:t>
      </w:r>
      <w:r w:rsidRPr="000241A3">
        <w:rPr>
          <w:rFonts w:cs="Arial" w:hint="cs"/>
          <w:rtl/>
        </w:rPr>
        <w:t>,</w:t>
      </w:r>
      <w:r w:rsidRPr="000241A3">
        <w:rPr>
          <w:rFonts w:cs="Arial"/>
          <w:rtl/>
        </w:rPr>
        <w:t xml:space="preserve"> וזה אומר שאין לו לפרש כי ירא שמא ידבר עמהם שהוא גברא אלמא ויחדלו מלהעיד לו</w:t>
      </w:r>
      <w:r w:rsidRPr="000241A3">
        <w:rPr>
          <w:rFonts w:cs="Arial" w:hint="cs"/>
          <w:rtl/>
        </w:rPr>
        <w:t>,</w:t>
      </w:r>
      <w:r w:rsidRPr="000241A3">
        <w:rPr>
          <w:rFonts w:cs="Arial"/>
          <w:rtl/>
        </w:rPr>
        <w:t xml:space="preserve"> אם לזמן מועט כשלשים יום אפשר שאינו צריך לפרש</w:t>
      </w:r>
      <w:r w:rsidRPr="000241A3">
        <w:rPr>
          <w:rFonts w:cs="Arial" w:hint="cs"/>
          <w:rtl/>
        </w:rPr>
        <w:t>,</w:t>
      </w:r>
      <w:r w:rsidRPr="000241A3">
        <w:rPr>
          <w:rFonts w:cs="Arial"/>
          <w:rtl/>
        </w:rPr>
        <w:t xml:space="preserve"> אבל אם ראו להאריך הזמן מפני שהתובע גברא אלמא </w:t>
      </w:r>
      <w:r w:rsidR="00101CCF">
        <w:rPr>
          <w:rFonts w:cs="Arial" w:hint="cs"/>
          <w:rtl/>
        </w:rPr>
        <w:t xml:space="preserve">- </w:t>
      </w:r>
      <w:r w:rsidRPr="000241A3">
        <w:rPr>
          <w:rFonts w:cs="Arial"/>
          <w:rtl/>
        </w:rPr>
        <w:t>צריך לפרש שלא ידחנו במתכוין עד י"ב חדש</w:t>
      </w:r>
      <w:r w:rsidRPr="000241A3">
        <w:rPr>
          <w:rFonts w:cs="Arial" w:hint="cs"/>
          <w:rtl/>
        </w:rPr>
        <w:t>.</w:t>
      </w:r>
      <w:r w:rsidRPr="000241A3">
        <w:rPr>
          <w:rFonts w:cs="Arial"/>
          <w:rtl/>
        </w:rPr>
        <w:t xml:space="preserve"> </w:t>
      </w:r>
    </w:p>
    <w:p w14:paraId="1806636F" w14:textId="77777777" w:rsidR="0088247B" w:rsidRPr="0088247B" w:rsidRDefault="0088247B" w:rsidP="0088247B">
      <w:pPr>
        <w:ind w:left="360"/>
        <w:rPr>
          <w:rFonts w:cs="Arial"/>
          <w:u w:val="dotted"/>
        </w:rPr>
      </w:pPr>
      <w:r w:rsidRPr="0088247B">
        <w:rPr>
          <w:rFonts w:cs="Arial"/>
          <w:u w:val="dotted"/>
          <w:rtl/>
        </w:rPr>
        <w:t>כשאפשר להביא ראיה בזמן מועט</w:t>
      </w:r>
      <w:r w:rsidRPr="0088247B">
        <w:rPr>
          <w:rFonts w:cs="Arial" w:hint="cs"/>
          <w:u w:val="dotted"/>
          <w:rtl/>
        </w:rPr>
        <w:t>:</w:t>
      </w:r>
    </w:p>
    <w:p w14:paraId="482150B2" w14:textId="77777777" w:rsidR="0088247B" w:rsidRDefault="0088247B" w:rsidP="004B0475">
      <w:pPr>
        <w:pStyle w:val="ac"/>
        <w:numPr>
          <w:ilvl w:val="0"/>
          <w:numId w:val="17"/>
        </w:numPr>
        <w:rPr>
          <w:rFonts w:cs="Arial"/>
        </w:rPr>
      </w:pPr>
      <w:r w:rsidRPr="00D27D80">
        <w:rPr>
          <w:rFonts w:cs="Arial"/>
          <w:rtl/>
        </w:rPr>
        <w:t xml:space="preserve">ריטב"א </w:t>
      </w:r>
      <w:r w:rsidRPr="00D27D80">
        <w:rPr>
          <w:rFonts w:cs="Arial" w:hint="cs"/>
          <w:sz w:val="16"/>
          <w:szCs w:val="16"/>
          <w:rtl/>
        </w:rPr>
        <w:t>(</w:t>
      </w:r>
      <w:r w:rsidRPr="00D27D80">
        <w:rPr>
          <w:rFonts w:cs="Arial"/>
          <w:sz w:val="16"/>
          <w:szCs w:val="16"/>
          <w:rtl/>
        </w:rPr>
        <w:t>ש</w:t>
      </w:r>
      <w:r w:rsidRPr="00D27D80">
        <w:rPr>
          <w:rFonts w:cs="Arial" w:hint="cs"/>
          <w:sz w:val="16"/>
          <w:szCs w:val="16"/>
          <w:rtl/>
        </w:rPr>
        <w:t>ו"ת</w:t>
      </w:r>
      <w:r w:rsidRPr="00D27D80">
        <w:rPr>
          <w:rFonts w:cs="Arial"/>
          <w:sz w:val="16"/>
          <w:szCs w:val="16"/>
          <w:rtl/>
        </w:rPr>
        <w:t xml:space="preserve"> סי' מב)</w:t>
      </w:r>
      <w:r w:rsidRPr="00D27D80">
        <w:rPr>
          <w:rFonts w:cs="Arial" w:hint="cs"/>
          <w:rtl/>
        </w:rPr>
        <w:t>-</w:t>
      </w:r>
      <w:r w:rsidRPr="00D27D80">
        <w:rPr>
          <w:rFonts w:cs="Arial"/>
          <w:rtl/>
        </w:rPr>
        <w:t xml:space="preserve"> נראה לי שאפילו לא יתברר לכם אם זמן </w:t>
      </w:r>
      <w:r w:rsidR="00BF5618">
        <w:rPr>
          <w:rFonts w:cs="Arial" w:hint="cs"/>
          <w:rtl/>
        </w:rPr>
        <w:t>ל'</w:t>
      </w:r>
      <w:r w:rsidRPr="00D27D80">
        <w:rPr>
          <w:rFonts w:cs="Arial"/>
          <w:rtl/>
        </w:rPr>
        <w:t xml:space="preserve"> יום שתובעים בני ראובן הוא להשמטה אם אמת הוא שיורשי שמעון קבעו להם זמן בחצר להראות שטר המתנה ליום נועד אין לכם לקבוע זמן ליורשי ראובן אלא תוך הזמן הקבוע לבני שמעון כדי שלא יפסידו זכותם אצל הגוי בנתיים</w:t>
      </w:r>
      <w:r>
        <w:rPr>
          <w:rFonts w:cs="Arial" w:hint="cs"/>
          <w:rtl/>
        </w:rPr>
        <w:t>...</w:t>
      </w:r>
      <w:r w:rsidRPr="00D27D80">
        <w:rPr>
          <w:rFonts w:cs="Arial"/>
          <w:rtl/>
        </w:rPr>
        <w:t xml:space="preserve"> כל שאפשר להביא ראיה בזמן מועט </w:t>
      </w:r>
      <w:r w:rsidR="00101CCF">
        <w:rPr>
          <w:rFonts w:cs="Arial" w:hint="cs"/>
          <w:rtl/>
        </w:rPr>
        <w:t xml:space="preserve">- </w:t>
      </w:r>
      <w:r w:rsidRPr="00D27D80">
        <w:rPr>
          <w:rFonts w:cs="Arial"/>
          <w:rtl/>
        </w:rPr>
        <w:t>אין מעכבין את הדין לבטלה לתת לו זמן מרובה</w:t>
      </w:r>
      <w:r w:rsidR="00101CCF">
        <w:rPr>
          <w:rFonts w:cs="Arial" w:hint="cs"/>
          <w:rtl/>
        </w:rPr>
        <w:t>,</w:t>
      </w:r>
      <w:r w:rsidRPr="00D27D80">
        <w:rPr>
          <w:rFonts w:cs="Arial"/>
          <w:rtl/>
        </w:rPr>
        <w:t xml:space="preserve"> אפילו בדבר שאין בו פסידא</w:t>
      </w:r>
      <w:r>
        <w:rPr>
          <w:rFonts w:cs="Arial" w:hint="cs"/>
          <w:rtl/>
        </w:rPr>
        <w:t>.</w:t>
      </w:r>
      <w:r w:rsidR="00BF5618" w:rsidRPr="00BF5618">
        <w:rPr>
          <w:rFonts w:cs="Arial" w:hint="cs"/>
          <w:color w:val="00B0F0"/>
          <w:rtl/>
        </w:rPr>
        <w:t xml:space="preserve"> </w:t>
      </w:r>
      <w:r w:rsidR="00BF5618" w:rsidRPr="0088247B">
        <w:rPr>
          <w:rFonts w:cs="Arial" w:hint="cs"/>
          <w:color w:val="00B0F0"/>
          <w:rtl/>
        </w:rPr>
        <w:t>(וכ"פ הרמ"א)</w:t>
      </w:r>
    </w:p>
    <w:p w14:paraId="41219F6B" w14:textId="77777777" w:rsidR="00A30EA9" w:rsidRPr="0088247B" w:rsidRDefault="00A30EA9" w:rsidP="00A30EA9">
      <w:pPr>
        <w:rPr>
          <w:rFonts w:cs="Arial"/>
          <w:u w:val="single"/>
        </w:rPr>
      </w:pPr>
      <w:r w:rsidRPr="0088247B">
        <w:rPr>
          <w:rFonts w:cs="Arial"/>
          <w:u w:val="single"/>
          <w:rtl/>
        </w:rPr>
        <w:lastRenderedPageBreak/>
        <w:t>בית דין שקבעו זמן לשני בעלי דינים לכתוב טענותיהם ולהשיב</w:t>
      </w:r>
      <w:r>
        <w:rPr>
          <w:rFonts w:cs="Arial" w:hint="cs"/>
          <w:u w:val="single"/>
          <w:rtl/>
        </w:rPr>
        <w:t xml:space="preserve"> -</w:t>
      </w:r>
      <w:r w:rsidRPr="0088247B">
        <w:rPr>
          <w:rFonts w:cs="Arial"/>
          <w:u w:val="single"/>
          <w:rtl/>
        </w:rPr>
        <w:t xml:space="preserve"> ואחד מהם לא השיב לזמן הקבוע</w:t>
      </w:r>
      <w:r w:rsidRPr="0088247B">
        <w:rPr>
          <w:rFonts w:cs="Arial" w:hint="cs"/>
          <w:u w:val="single"/>
          <w:rtl/>
        </w:rPr>
        <w:t>:</w:t>
      </w:r>
    </w:p>
    <w:p w14:paraId="41EDB525" w14:textId="77777777" w:rsidR="00A30EA9" w:rsidRPr="00D27D80" w:rsidRDefault="00A30EA9" w:rsidP="004B0475">
      <w:pPr>
        <w:pStyle w:val="ac"/>
        <w:numPr>
          <w:ilvl w:val="0"/>
          <w:numId w:val="17"/>
        </w:numPr>
        <w:rPr>
          <w:rFonts w:cs="Arial"/>
          <w:rtl/>
        </w:rPr>
      </w:pPr>
      <w:r w:rsidRPr="00D27D80">
        <w:rPr>
          <w:rFonts w:cs="Arial" w:hint="cs"/>
          <w:rtl/>
        </w:rPr>
        <w:t xml:space="preserve">רשב"א </w:t>
      </w:r>
      <w:r w:rsidRPr="00D27D80">
        <w:rPr>
          <w:rFonts w:cs="Arial"/>
          <w:sz w:val="16"/>
          <w:szCs w:val="16"/>
          <w:rtl/>
        </w:rPr>
        <w:t>(ח"ב סי' קצב, ובח"א סימן תתצט)</w:t>
      </w:r>
      <w:r w:rsidRPr="00D27D80">
        <w:rPr>
          <w:rFonts w:cs="Arial" w:hint="cs"/>
          <w:rtl/>
        </w:rPr>
        <w:t xml:space="preserve">- </w:t>
      </w:r>
      <w:r w:rsidRPr="00D27D80">
        <w:rPr>
          <w:rFonts w:cs="Arial"/>
          <w:rtl/>
        </w:rPr>
        <w:t>בית דין שקבעו זמן לשני בעלי דינים לכתוב טענותיהם ולהשיב</w:t>
      </w:r>
      <w:r>
        <w:rPr>
          <w:rFonts w:cs="Arial" w:hint="cs"/>
          <w:rtl/>
        </w:rPr>
        <w:t>,</w:t>
      </w:r>
      <w:r w:rsidRPr="00D27D80">
        <w:rPr>
          <w:rFonts w:cs="Arial"/>
          <w:rtl/>
        </w:rPr>
        <w:t xml:space="preserve"> ואחד מהם לא השיב לזמן הקבוע</w:t>
      </w:r>
      <w:r w:rsidR="00101CCF">
        <w:rPr>
          <w:rFonts w:cs="Arial" w:hint="cs"/>
          <w:rtl/>
        </w:rPr>
        <w:t xml:space="preserve"> -</w:t>
      </w:r>
      <w:r w:rsidRPr="00D27D80">
        <w:rPr>
          <w:rFonts w:cs="Arial"/>
          <w:rtl/>
        </w:rPr>
        <w:t xml:space="preserve"> אין לבית דין כח לקבוע זמן שלא יוכל לחזור ולטעון</w:t>
      </w:r>
      <w:r>
        <w:rPr>
          <w:rFonts w:cs="Arial" w:hint="cs"/>
          <w:rtl/>
        </w:rPr>
        <w:t>,</w:t>
      </w:r>
      <w:r w:rsidRPr="00D27D80">
        <w:rPr>
          <w:rFonts w:cs="Arial"/>
          <w:rtl/>
        </w:rPr>
        <w:t xml:space="preserve"> שאפילו במתפיש זכותיה בבית דין אמרו </w:t>
      </w:r>
      <w:r w:rsidRPr="00D27D80">
        <w:rPr>
          <w:rFonts w:cs="Arial"/>
          <w:sz w:val="16"/>
          <w:szCs w:val="16"/>
          <w:rtl/>
        </w:rPr>
        <w:t xml:space="preserve">(נדרים כז.) </w:t>
      </w:r>
      <w:r w:rsidRPr="00D27D80">
        <w:rPr>
          <w:rFonts w:cs="Arial"/>
          <w:rtl/>
        </w:rPr>
        <w:t>דלא מהני אא</w:t>
      </w:r>
      <w:r w:rsidRPr="00D27D80">
        <w:rPr>
          <w:rFonts w:cs="Arial" w:hint="cs"/>
          <w:rtl/>
        </w:rPr>
        <w:t>"</w:t>
      </w:r>
      <w:r w:rsidRPr="00D27D80">
        <w:rPr>
          <w:rFonts w:cs="Arial"/>
          <w:rtl/>
        </w:rPr>
        <w:t>כ קנו ממנו בבית דין חשוב</w:t>
      </w:r>
      <w:r w:rsidRPr="00D27D80">
        <w:rPr>
          <w:rFonts w:cs="Arial" w:hint="cs"/>
          <w:rtl/>
        </w:rPr>
        <w:t>.</w:t>
      </w:r>
      <w:r w:rsidRPr="00F52591">
        <w:rPr>
          <w:rFonts w:hint="cs"/>
          <w:color w:val="00B0F0"/>
          <w:rtl/>
        </w:rPr>
        <w:t xml:space="preserve"> </w:t>
      </w:r>
      <w:r w:rsidRPr="00961B80">
        <w:rPr>
          <w:rFonts w:hint="cs"/>
          <w:color w:val="00B0F0"/>
          <w:rtl/>
        </w:rPr>
        <w:t>(וכ"פ הרמ"א</w:t>
      </w:r>
      <w:r w:rsidRPr="00961B80">
        <w:rPr>
          <w:rFonts w:hint="cs"/>
          <w:color w:val="00B0F0"/>
          <w:sz w:val="16"/>
          <w:szCs w:val="16"/>
          <w:rtl/>
        </w:rPr>
        <w:t xml:space="preserve"> </w:t>
      </w:r>
      <w:r>
        <w:rPr>
          <w:rFonts w:hint="cs"/>
          <w:sz w:val="16"/>
          <w:szCs w:val="16"/>
          <w:rtl/>
        </w:rPr>
        <w:t>[סי' כא]</w:t>
      </w:r>
      <w:r w:rsidRPr="00961B80">
        <w:rPr>
          <w:rFonts w:hint="cs"/>
          <w:color w:val="00B0F0"/>
          <w:rtl/>
        </w:rPr>
        <w:t>)</w:t>
      </w:r>
    </w:p>
    <w:p w14:paraId="574B2E26" w14:textId="77777777" w:rsidR="00A30EA9" w:rsidRPr="0088247B" w:rsidRDefault="00A30EA9" w:rsidP="00A30EA9">
      <w:pPr>
        <w:rPr>
          <w:rFonts w:cs="Arial"/>
          <w:u w:val="single"/>
        </w:rPr>
      </w:pPr>
      <w:r w:rsidRPr="0088247B">
        <w:rPr>
          <w:rFonts w:cs="Arial"/>
          <w:u w:val="single"/>
          <w:rtl/>
        </w:rPr>
        <w:t>קבעו ל</w:t>
      </w:r>
      <w:r w:rsidRPr="0088247B">
        <w:rPr>
          <w:rFonts w:cs="Arial" w:hint="cs"/>
          <w:u w:val="single"/>
          <w:rtl/>
        </w:rPr>
        <w:t>נתבע</w:t>
      </w:r>
      <w:r w:rsidRPr="0088247B">
        <w:rPr>
          <w:rFonts w:cs="Arial"/>
          <w:u w:val="single"/>
          <w:rtl/>
        </w:rPr>
        <w:t xml:space="preserve"> זמן ועבר הזמן ולא הביא</w:t>
      </w:r>
      <w:r w:rsidRPr="0088247B">
        <w:rPr>
          <w:rFonts w:cs="Arial" w:hint="cs"/>
          <w:u w:val="single"/>
          <w:rtl/>
        </w:rPr>
        <w:t xml:space="preserve">, </w:t>
      </w:r>
      <w:r w:rsidRPr="0088247B">
        <w:rPr>
          <w:rFonts w:cs="Arial"/>
          <w:u w:val="single"/>
          <w:rtl/>
        </w:rPr>
        <w:t>וכשרצו ב</w:t>
      </w:r>
      <w:r w:rsidRPr="0088247B">
        <w:rPr>
          <w:rFonts w:cs="Arial" w:hint="cs"/>
          <w:u w:val="single"/>
          <w:rtl/>
        </w:rPr>
        <w:t>"ד</w:t>
      </w:r>
      <w:r w:rsidRPr="0088247B">
        <w:rPr>
          <w:rFonts w:cs="Arial"/>
          <w:u w:val="single"/>
          <w:rtl/>
        </w:rPr>
        <w:t xml:space="preserve"> לפסוק הדין טען שנתן זכותו ל</w:t>
      </w:r>
      <w:r>
        <w:rPr>
          <w:rFonts w:cs="Arial" w:hint="cs"/>
          <w:u w:val="single"/>
          <w:rtl/>
        </w:rPr>
        <w:t>אחר</w:t>
      </w:r>
      <w:r w:rsidRPr="0088247B">
        <w:rPr>
          <w:rFonts w:cs="Arial"/>
          <w:u w:val="single"/>
          <w:rtl/>
        </w:rPr>
        <w:t xml:space="preserve"> ואין לפסוק הדין שלא בפניו</w:t>
      </w:r>
      <w:r w:rsidRPr="0088247B">
        <w:rPr>
          <w:rFonts w:cs="Arial" w:hint="cs"/>
          <w:u w:val="single"/>
          <w:rtl/>
        </w:rPr>
        <w:t>:</w:t>
      </w:r>
    </w:p>
    <w:p w14:paraId="7A363C3F" w14:textId="77777777" w:rsidR="00A30EA9" w:rsidRDefault="00A30EA9" w:rsidP="004B0475">
      <w:pPr>
        <w:pStyle w:val="ac"/>
        <w:numPr>
          <w:ilvl w:val="0"/>
          <w:numId w:val="17"/>
        </w:numPr>
        <w:rPr>
          <w:rFonts w:cs="Arial"/>
        </w:rPr>
      </w:pPr>
      <w:r w:rsidRPr="00D27D80">
        <w:rPr>
          <w:rFonts w:cs="Arial"/>
          <w:rtl/>
        </w:rPr>
        <w:t xml:space="preserve">רשב"א </w:t>
      </w:r>
      <w:r w:rsidRPr="00D27D80">
        <w:rPr>
          <w:rFonts w:cs="Arial"/>
          <w:sz w:val="16"/>
          <w:szCs w:val="16"/>
          <w:rtl/>
        </w:rPr>
        <w:t>(ח"ב סי' קצב)</w:t>
      </w:r>
      <w:r w:rsidRPr="00D27D80">
        <w:rPr>
          <w:rFonts w:cs="Arial" w:hint="cs"/>
          <w:rtl/>
        </w:rPr>
        <w:t>-</w:t>
      </w:r>
      <w:r w:rsidRPr="00D27D80">
        <w:rPr>
          <w:rFonts w:cs="Arial"/>
          <w:rtl/>
        </w:rPr>
        <w:t xml:space="preserve"> נתבע שקבעו לו זמן להביא ראיותיו</w:t>
      </w:r>
      <w:r>
        <w:rPr>
          <w:rFonts w:cs="Arial" w:hint="cs"/>
          <w:rtl/>
        </w:rPr>
        <w:t>,</w:t>
      </w:r>
      <w:r w:rsidRPr="00D27D80">
        <w:rPr>
          <w:rFonts w:cs="Arial"/>
          <w:rtl/>
        </w:rPr>
        <w:t xml:space="preserve"> ועבר הזמן ולא הביא</w:t>
      </w:r>
      <w:r w:rsidR="00101CCF">
        <w:rPr>
          <w:rFonts w:cs="Arial" w:hint="cs"/>
          <w:rtl/>
        </w:rPr>
        <w:t>.</w:t>
      </w:r>
      <w:r w:rsidRPr="00D27D80">
        <w:rPr>
          <w:rFonts w:cs="Arial"/>
          <w:rtl/>
        </w:rPr>
        <w:t xml:space="preserve"> וכשרצו ב</w:t>
      </w:r>
      <w:r>
        <w:rPr>
          <w:rFonts w:cs="Arial" w:hint="cs"/>
          <w:rtl/>
        </w:rPr>
        <w:t>"</w:t>
      </w:r>
      <w:r w:rsidRPr="00D27D80">
        <w:rPr>
          <w:rFonts w:cs="Arial"/>
          <w:rtl/>
        </w:rPr>
        <w:t>ד לפסוק הדין טען שנתן זכותו ללוי ואין לפסוק הדין שלא בפניו</w:t>
      </w:r>
      <w:r>
        <w:rPr>
          <w:rFonts w:cs="Arial" w:hint="cs"/>
          <w:rtl/>
        </w:rPr>
        <w:t>.</w:t>
      </w:r>
      <w:r w:rsidRPr="00D27D80">
        <w:rPr>
          <w:rFonts w:cs="Arial"/>
          <w:rtl/>
        </w:rPr>
        <w:t xml:space="preserve"> מסתברא שכל זמן שלוי במקום קרוב שולחין לו</w:t>
      </w:r>
      <w:r w:rsidRPr="00D27D80">
        <w:rPr>
          <w:rFonts w:cs="Arial" w:hint="cs"/>
          <w:rtl/>
        </w:rPr>
        <w:t>,</w:t>
      </w:r>
      <w:r w:rsidRPr="00D27D80">
        <w:rPr>
          <w:rFonts w:cs="Arial"/>
          <w:rtl/>
        </w:rPr>
        <w:t xml:space="preserve"> אם בא וטען והביא ראיה מיד </w:t>
      </w:r>
      <w:r w:rsidRPr="00D27D80">
        <w:rPr>
          <w:rFonts w:cs="Arial" w:hint="cs"/>
          <w:rtl/>
        </w:rPr>
        <w:t xml:space="preserve">- </w:t>
      </w:r>
      <w:r w:rsidRPr="00D27D80">
        <w:rPr>
          <w:rFonts w:cs="Arial"/>
          <w:rtl/>
        </w:rPr>
        <w:t>שומעין לו</w:t>
      </w:r>
      <w:r w:rsidRPr="00D27D80">
        <w:rPr>
          <w:rFonts w:cs="Arial" w:hint="cs"/>
          <w:rtl/>
        </w:rPr>
        <w:t>,</w:t>
      </w:r>
      <w:r w:rsidRPr="00D27D80">
        <w:rPr>
          <w:rFonts w:cs="Arial"/>
          <w:rtl/>
        </w:rPr>
        <w:t xml:space="preserve"> ואם לא בא או שבא ואמר תנו לי זמן שאביא</w:t>
      </w:r>
      <w:r w:rsidRPr="00D27D80">
        <w:rPr>
          <w:rFonts w:cs="Arial" w:hint="cs"/>
          <w:rtl/>
        </w:rPr>
        <w:t xml:space="preserve"> -</w:t>
      </w:r>
      <w:r w:rsidRPr="00D27D80">
        <w:rPr>
          <w:rFonts w:cs="Arial"/>
          <w:rtl/>
        </w:rPr>
        <w:t xml:space="preserve"> אין שומעין לו</w:t>
      </w:r>
      <w:r w:rsidRPr="00D27D80">
        <w:rPr>
          <w:rFonts w:cs="Arial" w:hint="cs"/>
          <w:rtl/>
        </w:rPr>
        <w:t>,</w:t>
      </w:r>
      <w:r w:rsidRPr="00D27D80">
        <w:rPr>
          <w:rFonts w:cs="Arial"/>
          <w:rtl/>
        </w:rPr>
        <w:t xml:space="preserve"> דלא עדיף מגברא דאתי מחמתיה</w:t>
      </w:r>
      <w:r w:rsidRPr="00D27D80">
        <w:rPr>
          <w:rFonts w:cs="Arial" w:hint="cs"/>
          <w:rtl/>
        </w:rPr>
        <w:t>,</w:t>
      </w:r>
      <w:r w:rsidRPr="00D27D80">
        <w:rPr>
          <w:rFonts w:cs="Arial"/>
          <w:rtl/>
        </w:rPr>
        <w:t xml:space="preserve"> ואע</w:t>
      </w:r>
      <w:r w:rsidRPr="00D27D80">
        <w:rPr>
          <w:rFonts w:cs="Arial" w:hint="cs"/>
          <w:rtl/>
        </w:rPr>
        <w:t>"</w:t>
      </w:r>
      <w:r w:rsidRPr="00D27D80">
        <w:rPr>
          <w:rFonts w:cs="Arial"/>
          <w:rtl/>
        </w:rPr>
        <w:t xml:space="preserve">ג דבפרק שור שנגח </w:t>
      </w:r>
      <w:r w:rsidRPr="00D27D80">
        <w:rPr>
          <w:rFonts w:cs="Arial"/>
          <w:sz w:val="16"/>
          <w:szCs w:val="16"/>
          <w:rtl/>
        </w:rPr>
        <w:t xml:space="preserve">(ב"ק מה.) </w:t>
      </w:r>
      <w:r w:rsidRPr="00D27D80">
        <w:rPr>
          <w:rFonts w:cs="Arial"/>
          <w:rtl/>
        </w:rPr>
        <w:t>אמרינן דאין פוסקין דינו של שור אלא בפניו</w:t>
      </w:r>
      <w:r w:rsidRPr="00D27D80">
        <w:rPr>
          <w:rFonts w:cs="Arial" w:hint="cs"/>
          <w:rtl/>
        </w:rPr>
        <w:t>,</w:t>
      </w:r>
      <w:r w:rsidRPr="00D27D80">
        <w:rPr>
          <w:rFonts w:cs="Arial"/>
          <w:rtl/>
        </w:rPr>
        <w:t xml:space="preserve"> התם גזירת הכתוב הוא אבל בממונא דעלמא מה איכפת לן</w:t>
      </w:r>
      <w:r w:rsidRPr="00D27D80">
        <w:rPr>
          <w:rFonts w:cs="Arial" w:hint="cs"/>
          <w:rtl/>
        </w:rPr>
        <w:t>,</w:t>
      </w:r>
      <w:r w:rsidRPr="00D27D80">
        <w:rPr>
          <w:rFonts w:cs="Arial"/>
          <w:rtl/>
        </w:rPr>
        <w:t xml:space="preserve"> הא כל זמן שמביא ראיה סותר הדין</w:t>
      </w:r>
      <w:r w:rsidRPr="00D27D80">
        <w:rPr>
          <w:rFonts w:cs="Arial" w:hint="cs"/>
          <w:rtl/>
        </w:rPr>
        <w:t>.</w:t>
      </w:r>
      <w:r w:rsidRPr="00D27D80">
        <w:rPr>
          <w:rFonts w:cs="Arial"/>
          <w:rtl/>
        </w:rPr>
        <w:t xml:space="preserve"> </w:t>
      </w:r>
      <w:r>
        <w:rPr>
          <w:rFonts w:cs="Arial" w:hint="cs"/>
          <w:rtl/>
        </w:rPr>
        <w:t>(וכ"פ הסמ"ע</w:t>
      </w:r>
      <w:r>
        <w:rPr>
          <w:rFonts w:cs="Arial" w:hint="cs"/>
          <w:sz w:val="16"/>
          <w:szCs w:val="16"/>
          <w:rtl/>
        </w:rPr>
        <w:t xml:space="preserve"> [סק"ט]</w:t>
      </w:r>
      <w:r>
        <w:rPr>
          <w:rFonts w:cs="Arial" w:hint="cs"/>
          <w:rtl/>
        </w:rPr>
        <w:t>)</w:t>
      </w:r>
    </w:p>
    <w:p w14:paraId="0DB231EE" w14:textId="77777777" w:rsidR="000278EA" w:rsidRPr="000278EA" w:rsidRDefault="000278EA" w:rsidP="000278EA">
      <w:pPr>
        <w:rPr>
          <w:rFonts w:cs="Arial"/>
          <w:u w:val="single"/>
          <w:rtl/>
        </w:rPr>
      </w:pPr>
      <w:r w:rsidRPr="000278EA">
        <w:rPr>
          <w:rFonts w:cs="Arial" w:hint="cs"/>
          <w:u w:val="single"/>
          <w:rtl/>
        </w:rPr>
        <w:t>אדם שטען ש</w:t>
      </w:r>
      <w:r w:rsidR="000241A3">
        <w:rPr>
          <w:rFonts w:cs="Arial" w:hint="cs"/>
          <w:u w:val="single"/>
          <w:rtl/>
        </w:rPr>
        <w:t xml:space="preserve">אמו </w:t>
      </w:r>
      <w:r w:rsidRPr="000278EA">
        <w:rPr>
          <w:rFonts w:cs="Arial" w:hint="cs"/>
          <w:u w:val="single"/>
          <w:rtl/>
        </w:rPr>
        <w:t>נשבע</w:t>
      </w:r>
      <w:r w:rsidR="000241A3">
        <w:rPr>
          <w:rFonts w:cs="Arial" w:hint="cs"/>
          <w:u w:val="single"/>
          <w:rtl/>
        </w:rPr>
        <w:t>ה בב"ד</w:t>
      </w:r>
      <w:r w:rsidRPr="000278EA">
        <w:rPr>
          <w:rFonts w:cs="Arial" w:hint="cs"/>
          <w:u w:val="single"/>
          <w:rtl/>
        </w:rPr>
        <w:t xml:space="preserve"> אך שטר השבועה </w:t>
      </w:r>
      <w:r w:rsidR="000241A3" w:rsidRPr="000278EA">
        <w:rPr>
          <w:rFonts w:cs="Arial" w:hint="cs"/>
          <w:u w:val="single"/>
          <w:rtl/>
        </w:rPr>
        <w:t xml:space="preserve">אבד </w:t>
      </w:r>
      <w:r w:rsidRPr="000278EA">
        <w:rPr>
          <w:rFonts w:cs="Arial" w:hint="cs"/>
          <w:u w:val="single"/>
          <w:rtl/>
        </w:rPr>
        <w:t xml:space="preserve">באונס </w:t>
      </w:r>
      <w:r w:rsidRPr="000278EA">
        <w:rPr>
          <w:rFonts w:cs="Arial" w:hint="cs"/>
          <w:sz w:val="16"/>
          <w:szCs w:val="16"/>
          <w:u w:val="single"/>
          <w:rtl/>
        </w:rPr>
        <w:t>(ואינו יכול להביא עדים</w:t>
      </w:r>
      <w:r>
        <w:rPr>
          <w:rFonts w:cs="Arial" w:hint="cs"/>
          <w:sz w:val="16"/>
          <w:szCs w:val="16"/>
          <w:u w:val="single"/>
          <w:rtl/>
        </w:rPr>
        <w:t>)</w:t>
      </w:r>
      <w:r w:rsidRPr="000278EA">
        <w:rPr>
          <w:rFonts w:cs="Arial" w:hint="cs"/>
          <w:u w:val="single"/>
          <w:rtl/>
        </w:rPr>
        <w:t>:</w:t>
      </w:r>
    </w:p>
    <w:p w14:paraId="08322073" w14:textId="77777777" w:rsidR="000278EA" w:rsidRDefault="004946CD" w:rsidP="004B0475">
      <w:pPr>
        <w:pStyle w:val="ac"/>
        <w:numPr>
          <w:ilvl w:val="0"/>
          <w:numId w:val="17"/>
        </w:numPr>
        <w:rPr>
          <w:rFonts w:cs="Arial"/>
        </w:rPr>
      </w:pPr>
      <w:r w:rsidRPr="000278EA">
        <w:rPr>
          <w:rFonts w:cs="Arial"/>
          <w:rtl/>
        </w:rPr>
        <w:t xml:space="preserve">ריב"ש </w:t>
      </w:r>
      <w:r w:rsidR="004C1040" w:rsidRPr="000241A3">
        <w:rPr>
          <w:rFonts w:cs="Arial" w:hint="cs"/>
          <w:sz w:val="16"/>
          <w:szCs w:val="16"/>
          <w:rtl/>
        </w:rPr>
        <w:t>(</w:t>
      </w:r>
      <w:r w:rsidRPr="000241A3">
        <w:rPr>
          <w:rFonts w:cs="Arial"/>
          <w:sz w:val="16"/>
          <w:szCs w:val="16"/>
          <w:rtl/>
        </w:rPr>
        <w:t>סי</w:t>
      </w:r>
      <w:r w:rsidR="004C1040" w:rsidRPr="000241A3">
        <w:rPr>
          <w:rFonts w:cs="Arial" w:hint="cs"/>
          <w:sz w:val="16"/>
          <w:szCs w:val="16"/>
          <w:rtl/>
        </w:rPr>
        <w:t xml:space="preserve">' </w:t>
      </w:r>
      <w:r w:rsidRPr="000241A3">
        <w:rPr>
          <w:rFonts w:cs="Arial"/>
          <w:sz w:val="16"/>
          <w:szCs w:val="16"/>
          <w:rtl/>
        </w:rPr>
        <w:t>קסט</w:t>
      </w:r>
      <w:r w:rsidR="004C1040" w:rsidRPr="000241A3">
        <w:rPr>
          <w:rFonts w:cs="Arial" w:hint="cs"/>
          <w:sz w:val="16"/>
          <w:szCs w:val="16"/>
          <w:rtl/>
        </w:rPr>
        <w:t>)</w:t>
      </w:r>
      <w:r w:rsidR="004C1040" w:rsidRPr="000278EA">
        <w:rPr>
          <w:rFonts w:cs="Arial" w:hint="cs"/>
          <w:rtl/>
        </w:rPr>
        <w:t>-</w:t>
      </w:r>
      <w:r w:rsidRPr="000278EA">
        <w:rPr>
          <w:rFonts w:cs="Arial"/>
          <w:rtl/>
        </w:rPr>
        <w:t xml:space="preserve"> מי שטען שכבר נשבעה אמו בב</w:t>
      </w:r>
      <w:r w:rsidR="006102CB">
        <w:rPr>
          <w:rFonts w:cs="Arial" w:hint="cs"/>
          <w:rtl/>
        </w:rPr>
        <w:t>"ד</w:t>
      </w:r>
      <w:r w:rsidRPr="000278EA">
        <w:rPr>
          <w:rFonts w:cs="Arial"/>
          <w:rtl/>
        </w:rPr>
        <w:t xml:space="preserve"> ואבד שטר השבועה באונס הגזירה</w:t>
      </w:r>
      <w:r w:rsidR="004C1040" w:rsidRPr="000278EA">
        <w:rPr>
          <w:rFonts w:cs="Arial" w:hint="cs"/>
          <w:rtl/>
        </w:rPr>
        <w:t>,</w:t>
      </w:r>
      <w:r w:rsidRPr="000278EA">
        <w:rPr>
          <w:rFonts w:cs="Arial"/>
          <w:rtl/>
        </w:rPr>
        <w:t xml:space="preserve"> ולריחוק המקום א</w:t>
      </w:r>
      <w:r w:rsidR="006102CB">
        <w:rPr>
          <w:rFonts w:cs="Arial" w:hint="cs"/>
          <w:rtl/>
        </w:rPr>
        <w:t>"</w:t>
      </w:r>
      <w:r w:rsidRPr="000278EA">
        <w:rPr>
          <w:rFonts w:cs="Arial"/>
          <w:rtl/>
        </w:rPr>
        <w:t xml:space="preserve">א לו להביא עדים </w:t>
      </w:r>
      <w:r w:rsidR="00A30EA9">
        <w:rPr>
          <w:rFonts w:cs="Arial" w:hint="cs"/>
          <w:rtl/>
        </w:rPr>
        <w:t xml:space="preserve">- </w:t>
      </w:r>
      <w:r w:rsidRPr="000278EA">
        <w:rPr>
          <w:rFonts w:cs="Arial"/>
          <w:rtl/>
        </w:rPr>
        <w:t>זו אינה טענה</w:t>
      </w:r>
      <w:r w:rsidR="00A30EA9">
        <w:rPr>
          <w:rFonts w:cs="Arial" w:hint="cs"/>
          <w:rtl/>
        </w:rPr>
        <w:t>,</w:t>
      </w:r>
      <w:r w:rsidRPr="000278EA">
        <w:rPr>
          <w:rFonts w:cs="Arial"/>
          <w:rtl/>
        </w:rPr>
        <w:t xml:space="preserve"> שעליו להביא ראיה ואם לא הביא הפסיד ונסתחפה שדהו</w:t>
      </w:r>
      <w:r w:rsidR="004C1040" w:rsidRPr="000278EA">
        <w:rPr>
          <w:rFonts w:cs="Arial" w:hint="cs"/>
          <w:rtl/>
        </w:rPr>
        <w:t>.</w:t>
      </w:r>
      <w:r w:rsidRPr="000278EA">
        <w:rPr>
          <w:rFonts w:cs="Arial"/>
          <w:rtl/>
        </w:rPr>
        <w:t xml:space="preserve"> </w:t>
      </w:r>
      <w:r w:rsidR="006102CB">
        <w:rPr>
          <w:rFonts w:cs="Arial" w:hint="cs"/>
          <w:rtl/>
        </w:rPr>
        <w:t>(וכ"פ סמ"ע</w:t>
      </w:r>
      <w:r w:rsidR="006102CB">
        <w:rPr>
          <w:rFonts w:cs="Arial" w:hint="cs"/>
          <w:sz w:val="16"/>
          <w:szCs w:val="16"/>
          <w:rtl/>
        </w:rPr>
        <w:t xml:space="preserve"> [סק"ז]</w:t>
      </w:r>
      <w:r w:rsidR="006102CB">
        <w:rPr>
          <w:rFonts w:cs="Arial" w:hint="cs"/>
          <w:rtl/>
        </w:rPr>
        <w:t>)</w:t>
      </w:r>
    </w:p>
    <w:p w14:paraId="06139CF8" w14:textId="77777777" w:rsidR="00E137BC" w:rsidRPr="00576D5C" w:rsidRDefault="00E137BC" w:rsidP="00576D5C">
      <w:pPr>
        <w:rPr>
          <w:rFonts w:asciiTheme="minorBidi" w:hAnsiTheme="minorBidi"/>
          <w:b/>
          <w:bCs/>
          <w:color w:val="000000"/>
          <w:sz w:val="28"/>
          <w:szCs w:val="28"/>
          <w:u w:val="single"/>
          <w:rtl/>
        </w:rPr>
      </w:pPr>
      <w:r w:rsidRPr="00576D5C">
        <w:rPr>
          <w:rFonts w:asciiTheme="minorBidi" w:hAnsiTheme="minorBidi"/>
          <w:b/>
          <w:bCs/>
          <w:color w:val="000000"/>
          <w:sz w:val="28"/>
          <w:szCs w:val="28"/>
          <w:u w:val="single"/>
          <w:rtl/>
        </w:rPr>
        <w:t>שו"ע:</w:t>
      </w:r>
    </w:p>
    <w:p w14:paraId="39798A9F" w14:textId="77777777" w:rsidR="00E137BC" w:rsidRDefault="00E137BC" w:rsidP="00576D5C">
      <w:pPr>
        <w:rPr>
          <w:rFonts w:asciiTheme="minorBidi" w:hAnsiTheme="minorBidi"/>
          <w:rtl/>
        </w:rPr>
      </w:pPr>
      <w:r w:rsidRPr="00576D5C">
        <w:rPr>
          <w:rFonts w:asciiTheme="minorBidi" w:hAnsiTheme="minorBidi"/>
          <w:rtl/>
        </w:rPr>
        <w:t>אמר אחד מבעלי הדין</w:t>
      </w:r>
      <w:r w:rsidR="00AA5B65">
        <w:rPr>
          <w:rStyle w:val="ab"/>
          <w:rFonts w:asciiTheme="minorBidi" w:hAnsiTheme="minorBidi"/>
          <w:rtl/>
        </w:rPr>
        <w:footnoteReference w:id="888"/>
      </w:r>
      <w:r w:rsidRPr="00576D5C">
        <w:rPr>
          <w:rFonts w:asciiTheme="minorBidi" w:hAnsiTheme="minorBidi"/>
          <w:rtl/>
        </w:rPr>
        <w:t xml:space="preserve"> יש לי עדים להביא, נותנין לו זמן שלשים יום, ולאחר שלשים יום פוסקין הדין, </w:t>
      </w:r>
      <w:r w:rsidR="0088247B">
        <w:rPr>
          <w:rFonts w:asciiTheme="minorBidi" w:hAnsiTheme="minorBidi" w:hint="cs"/>
          <w:sz w:val="18"/>
          <w:szCs w:val="18"/>
          <w:rtl/>
        </w:rPr>
        <w:t xml:space="preserve">[הגה] </w:t>
      </w:r>
      <w:r w:rsidRPr="00585555">
        <w:rPr>
          <w:rFonts w:asciiTheme="minorBidi" w:hAnsiTheme="minorBidi"/>
          <w:sz w:val="18"/>
          <w:szCs w:val="18"/>
          <w:rtl/>
        </w:rPr>
        <w:t>וצריך לשלם</w:t>
      </w:r>
      <w:r w:rsidR="00AA5B65">
        <w:rPr>
          <w:rStyle w:val="ab"/>
          <w:rFonts w:asciiTheme="minorBidi" w:hAnsiTheme="minorBidi"/>
          <w:sz w:val="18"/>
          <w:szCs w:val="18"/>
          <w:rtl/>
        </w:rPr>
        <w:footnoteReference w:id="889"/>
      </w:r>
      <w:r w:rsidRPr="00585555">
        <w:rPr>
          <w:rFonts w:asciiTheme="minorBidi" w:hAnsiTheme="minorBidi"/>
          <w:sz w:val="18"/>
          <w:szCs w:val="18"/>
          <w:rtl/>
        </w:rPr>
        <w:t xml:space="preserve"> (מרדכי).</w:t>
      </w:r>
      <w:r w:rsidRPr="00576D5C">
        <w:rPr>
          <w:rFonts w:asciiTheme="minorBidi" w:hAnsiTheme="minorBidi"/>
          <w:rtl/>
        </w:rPr>
        <w:t xml:space="preserve"> ואם מביאן אחר כך, יסתור הדין</w:t>
      </w:r>
      <w:r w:rsidR="00BF5618">
        <w:rPr>
          <w:rFonts w:asciiTheme="minorBidi" w:hAnsiTheme="minorBidi" w:hint="cs"/>
          <w:rtl/>
        </w:rPr>
        <w:t>.</w:t>
      </w:r>
      <w:r w:rsidRPr="00576D5C">
        <w:rPr>
          <w:rFonts w:asciiTheme="minorBidi" w:hAnsiTheme="minorBidi"/>
          <w:rtl/>
        </w:rPr>
        <w:t xml:space="preserve"> ואם גלוי וידוע לב</w:t>
      </w:r>
      <w:r w:rsidR="0088247B">
        <w:rPr>
          <w:rFonts w:asciiTheme="minorBidi" w:hAnsiTheme="minorBidi" w:hint="cs"/>
          <w:rtl/>
        </w:rPr>
        <w:t xml:space="preserve">ית </w:t>
      </w:r>
      <w:r w:rsidRPr="00576D5C">
        <w:rPr>
          <w:rFonts w:asciiTheme="minorBidi" w:hAnsiTheme="minorBidi"/>
          <w:rtl/>
        </w:rPr>
        <w:t>ד</w:t>
      </w:r>
      <w:r w:rsidR="0088247B">
        <w:rPr>
          <w:rFonts w:asciiTheme="minorBidi" w:hAnsiTheme="minorBidi" w:hint="cs"/>
          <w:rtl/>
        </w:rPr>
        <w:t>ין</w:t>
      </w:r>
      <w:r w:rsidRPr="00576D5C">
        <w:rPr>
          <w:rFonts w:asciiTheme="minorBidi" w:hAnsiTheme="minorBidi"/>
          <w:rtl/>
        </w:rPr>
        <w:t xml:space="preserve"> שפלוני ופלוני הם עדים בדבר והרחיקו נדוד, נותנין לו זמן עד שיוכל להביא. </w:t>
      </w:r>
      <w:r w:rsidR="00585555">
        <w:rPr>
          <w:rFonts w:asciiTheme="minorBidi" w:hAnsiTheme="minorBidi" w:hint="cs"/>
          <w:sz w:val="18"/>
          <w:szCs w:val="18"/>
          <w:rtl/>
        </w:rPr>
        <w:t xml:space="preserve">[הגה] </w:t>
      </w:r>
      <w:r w:rsidRPr="00585555">
        <w:rPr>
          <w:rFonts w:asciiTheme="minorBidi" w:hAnsiTheme="minorBidi"/>
          <w:sz w:val="18"/>
          <w:szCs w:val="18"/>
          <w:rtl/>
        </w:rPr>
        <w:t>וה</w:t>
      </w:r>
      <w:r w:rsidR="0088247B">
        <w:rPr>
          <w:rFonts w:asciiTheme="minorBidi" w:hAnsiTheme="minorBidi" w:hint="cs"/>
          <w:sz w:val="18"/>
          <w:szCs w:val="18"/>
          <w:rtl/>
        </w:rPr>
        <w:t>"</w:t>
      </w:r>
      <w:r w:rsidRPr="00585555">
        <w:rPr>
          <w:rFonts w:asciiTheme="minorBidi" w:hAnsiTheme="minorBidi"/>
          <w:sz w:val="18"/>
          <w:szCs w:val="18"/>
          <w:rtl/>
        </w:rPr>
        <w:t>ה אם ידוע לב</w:t>
      </w:r>
      <w:r w:rsidR="0088247B">
        <w:rPr>
          <w:rFonts w:asciiTheme="minorBidi" w:hAnsiTheme="minorBidi" w:hint="cs"/>
          <w:sz w:val="18"/>
          <w:szCs w:val="18"/>
          <w:rtl/>
        </w:rPr>
        <w:t>"</w:t>
      </w:r>
      <w:r w:rsidRPr="00585555">
        <w:rPr>
          <w:rFonts w:asciiTheme="minorBidi" w:hAnsiTheme="minorBidi"/>
          <w:sz w:val="18"/>
          <w:szCs w:val="18"/>
          <w:rtl/>
        </w:rPr>
        <w:t xml:space="preserve">ד שיוכל לברר דבריו תוך </w:t>
      </w:r>
      <w:r w:rsidR="0088247B">
        <w:rPr>
          <w:rFonts w:asciiTheme="minorBidi" w:hAnsiTheme="minorBidi" w:hint="cs"/>
          <w:sz w:val="18"/>
          <w:szCs w:val="18"/>
          <w:rtl/>
        </w:rPr>
        <w:t>ל'</w:t>
      </w:r>
      <w:r w:rsidRPr="00585555">
        <w:rPr>
          <w:rFonts w:asciiTheme="minorBidi" w:hAnsiTheme="minorBidi"/>
          <w:sz w:val="18"/>
          <w:szCs w:val="18"/>
          <w:rtl/>
        </w:rPr>
        <w:t>, אין נותנין לו זמן לבטלה</w:t>
      </w:r>
      <w:r w:rsidR="00AA5B65" w:rsidRPr="004C13D4">
        <w:rPr>
          <w:rStyle w:val="ab"/>
          <w:rFonts w:asciiTheme="minorBidi" w:hAnsiTheme="minorBidi"/>
          <w:sz w:val="18"/>
          <w:szCs w:val="18"/>
          <w:rtl/>
        </w:rPr>
        <w:footnoteReference w:id="890"/>
      </w:r>
      <w:r w:rsidRPr="0088247B">
        <w:rPr>
          <w:rFonts w:asciiTheme="minorBidi" w:hAnsiTheme="minorBidi"/>
          <w:sz w:val="16"/>
          <w:szCs w:val="16"/>
          <w:rtl/>
        </w:rPr>
        <w:t xml:space="preserve"> (ריטב"א)</w:t>
      </w:r>
      <w:r w:rsidRPr="00585555">
        <w:rPr>
          <w:rFonts w:asciiTheme="minorBidi" w:hAnsiTheme="minorBidi"/>
          <w:sz w:val="18"/>
          <w:szCs w:val="18"/>
          <w:rtl/>
        </w:rPr>
        <w:t>. וע"ל סי' צח ס</w:t>
      </w:r>
      <w:r w:rsidR="0088247B">
        <w:rPr>
          <w:rFonts w:asciiTheme="minorBidi" w:hAnsiTheme="minorBidi" w:hint="cs"/>
          <w:sz w:val="18"/>
          <w:szCs w:val="18"/>
          <w:rtl/>
        </w:rPr>
        <w:t>"</w:t>
      </w:r>
      <w:r w:rsidRPr="00585555">
        <w:rPr>
          <w:rFonts w:asciiTheme="minorBidi" w:hAnsiTheme="minorBidi"/>
          <w:sz w:val="18"/>
          <w:szCs w:val="18"/>
          <w:rtl/>
        </w:rPr>
        <w:t xml:space="preserve">ד. </w:t>
      </w:r>
    </w:p>
    <w:p w14:paraId="06C7B5E7" w14:textId="77777777" w:rsidR="00585555" w:rsidRPr="00576D5C" w:rsidRDefault="00585555" w:rsidP="00576D5C">
      <w:pPr>
        <w:rPr>
          <w:rFonts w:asciiTheme="minorBidi" w:hAnsiTheme="minorBidi"/>
          <w:rtl/>
        </w:rPr>
      </w:pPr>
    </w:p>
    <w:p w14:paraId="369A24FA" w14:textId="77777777" w:rsidR="00E137BC" w:rsidRDefault="00E137BC" w:rsidP="006567B0">
      <w:pPr>
        <w:pStyle w:val="2"/>
        <w:rPr>
          <w:rtl/>
        </w:rPr>
      </w:pPr>
      <w:bookmarkStart w:id="136" w:name="_Toc24883620"/>
      <w:r w:rsidRPr="00576D5C">
        <w:rPr>
          <w:rtl/>
        </w:rPr>
        <w:t>סעיף ב</w:t>
      </w:r>
      <w:r w:rsidR="00585555">
        <w:rPr>
          <w:rFonts w:hint="cs"/>
          <w:rtl/>
        </w:rPr>
        <w:t>:</w:t>
      </w:r>
      <w:r w:rsidR="00416012">
        <w:rPr>
          <w:rFonts w:hint="cs"/>
          <w:rtl/>
        </w:rPr>
        <w:t xml:space="preserve"> מתי נותנים את הזמן כדלעיל.</w:t>
      </w:r>
      <w:bookmarkEnd w:id="136"/>
    </w:p>
    <w:p w14:paraId="52895E4A" w14:textId="77777777" w:rsidR="00416012" w:rsidRPr="00416012" w:rsidRDefault="00416012" w:rsidP="00416012">
      <w:pPr>
        <w:rPr>
          <w:rFonts w:cs="Arial"/>
          <w:u w:val="single"/>
        </w:rPr>
      </w:pPr>
      <w:r w:rsidRPr="00416012">
        <w:rPr>
          <w:rFonts w:cs="Arial" w:hint="cs"/>
          <w:u w:val="single"/>
          <w:rtl/>
        </w:rPr>
        <w:t>הא</w:t>
      </w:r>
      <w:r w:rsidR="003D3C88">
        <w:rPr>
          <w:rFonts w:cs="Arial" w:hint="cs"/>
          <w:u w:val="single"/>
          <w:rtl/>
        </w:rPr>
        <w:t>ם</w:t>
      </w:r>
      <w:r w:rsidRPr="00416012">
        <w:rPr>
          <w:rFonts w:cs="Arial" w:hint="cs"/>
          <w:u w:val="single"/>
          <w:rtl/>
        </w:rPr>
        <w:t xml:space="preserve"> נותנים לו ל' יום אף כ</w:t>
      </w:r>
      <w:r w:rsidR="003D3C88">
        <w:rPr>
          <w:rFonts w:cs="Arial" w:hint="cs"/>
          <w:u w:val="single"/>
          <w:rtl/>
        </w:rPr>
        <w:t xml:space="preserve">שעדיין </w:t>
      </w:r>
      <w:r w:rsidRPr="00416012">
        <w:rPr>
          <w:rFonts w:cs="Arial" w:hint="cs"/>
          <w:u w:val="single"/>
          <w:rtl/>
        </w:rPr>
        <w:t>שלא התחילו</w:t>
      </w:r>
      <w:r w:rsidR="003D3C88">
        <w:rPr>
          <w:rFonts w:cs="Arial" w:hint="cs"/>
          <w:u w:val="single"/>
          <w:rtl/>
        </w:rPr>
        <w:t xml:space="preserve"> בדין </w:t>
      </w:r>
      <w:r w:rsidR="003D3C88" w:rsidRPr="003D3C88">
        <w:rPr>
          <w:rFonts w:cs="Arial" w:hint="cs"/>
          <w:sz w:val="16"/>
          <w:szCs w:val="16"/>
          <w:u w:val="single"/>
          <w:rtl/>
        </w:rPr>
        <w:t>(וכבר אז בהתחלה אמר 'יש לי ראיה ואני צריך זמן להביאה</w:t>
      </w:r>
      <w:r w:rsidR="003D3C88">
        <w:rPr>
          <w:rFonts w:cs="Arial" w:hint="cs"/>
          <w:sz w:val="16"/>
          <w:szCs w:val="16"/>
          <w:u w:val="single"/>
          <w:rtl/>
        </w:rPr>
        <w:t>'</w:t>
      </w:r>
      <w:r w:rsidR="003D3C88" w:rsidRPr="003D3C88">
        <w:rPr>
          <w:rFonts w:cs="Arial" w:hint="cs"/>
          <w:sz w:val="16"/>
          <w:szCs w:val="16"/>
          <w:u w:val="single"/>
          <w:rtl/>
        </w:rPr>
        <w:t>)</w:t>
      </w:r>
      <w:r w:rsidRPr="00416012">
        <w:rPr>
          <w:rFonts w:cs="Arial" w:hint="cs"/>
          <w:u w:val="single"/>
          <w:rtl/>
        </w:rPr>
        <w:t>:</w:t>
      </w:r>
    </w:p>
    <w:p w14:paraId="7AF3240E" w14:textId="77777777" w:rsidR="00416012" w:rsidRPr="00416012" w:rsidRDefault="00416012" w:rsidP="004B0475">
      <w:pPr>
        <w:pStyle w:val="ac"/>
        <w:numPr>
          <w:ilvl w:val="0"/>
          <w:numId w:val="17"/>
        </w:numPr>
        <w:rPr>
          <w:rFonts w:cs="Arial"/>
          <w:rtl/>
        </w:rPr>
      </w:pPr>
      <w:r>
        <w:rPr>
          <w:rFonts w:cs="Arial" w:hint="cs"/>
          <w:rtl/>
        </w:rPr>
        <w:t xml:space="preserve">טור- </w:t>
      </w:r>
      <w:r w:rsidRPr="00A22ACE">
        <w:rPr>
          <w:rFonts w:cs="Arial"/>
          <w:rtl/>
        </w:rPr>
        <w:t>כתב הר"ר ישעיה הא דיהבינן זמן שלשים יום דוקא כשתבעוהו תחלה בלא ראיה</w:t>
      </w:r>
      <w:r>
        <w:rPr>
          <w:rStyle w:val="ab"/>
          <w:rFonts w:cs="Arial"/>
          <w:rtl/>
        </w:rPr>
        <w:footnoteReference w:id="891"/>
      </w:r>
      <w:r w:rsidR="00B67CFA">
        <w:rPr>
          <w:rFonts w:cs="Arial" w:hint="cs"/>
          <w:rtl/>
        </w:rPr>
        <w:t>,</w:t>
      </w:r>
      <w:r w:rsidRPr="00A22ACE">
        <w:rPr>
          <w:rFonts w:cs="Arial"/>
          <w:rtl/>
        </w:rPr>
        <w:t xml:space="preserve"> וחייבוהו ב"ד שישבע</w:t>
      </w:r>
      <w:r w:rsidR="00B67CFA">
        <w:rPr>
          <w:rFonts w:cs="Arial" w:hint="cs"/>
          <w:rtl/>
        </w:rPr>
        <w:t>,</w:t>
      </w:r>
      <w:r w:rsidRPr="00A22ACE">
        <w:rPr>
          <w:rFonts w:cs="Arial"/>
          <w:rtl/>
        </w:rPr>
        <w:t xml:space="preserve"> וזה </w:t>
      </w:r>
      <w:r>
        <w:rPr>
          <w:rFonts w:cs="Arial" w:hint="cs"/>
          <w:sz w:val="16"/>
          <w:szCs w:val="16"/>
          <w:rtl/>
        </w:rPr>
        <w:t xml:space="preserve">{התובע} </w:t>
      </w:r>
      <w:r w:rsidRPr="00A22ACE">
        <w:rPr>
          <w:rFonts w:cs="Arial"/>
          <w:rtl/>
        </w:rPr>
        <w:t xml:space="preserve">טוען </w:t>
      </w:r>
      <w:r w:rsidR="00B67CFA">
        <w:rPr>
          <w:rFonts w:cs="Arial" w:hint="cs"/>
          <w:rtl/>
        </w:rPr>
        <w:t>'</w:t>
      </w:r>
      <w:r w:rsidRPr="00A22ACE">
        <w:rPr>
          <w:rFonts w:cs="Arial"/>
          <w:rtl/>
        </w:rPr>
        <w:t>יש לי ראיה ואינה מצויה עתה בידי ואיני רוצה לקבל שבועתו</w:t>
      </w:r>
      <w:r w:rsidR="00B67CFA">
        <w:rPr>
          <w:rFonts w:cs="Arial" w:hint="cs"/>
          <w:rtl/>
        </w:rPr>
        <w:t>'</w:t>
      </w:r>
      <w:r>
        <w:rPr>
          <w:rFonts w:cs="Arial" w:hint="cs"/>
          <w:rtl/>
        </w:rPr>
        <w:t xml:space="preserve"> -</w:t>
      </w:r>
      <w:r w:rsidRPr="00A22ACE">
        <w:rPr>
          <w:rFonts w:cs="Arial"/>
          <w:rtl/>
        </w:rPr>
        <w:t xml:space="preserve"> אז נותנין לו זמן ל' יום</w:t>
      </w:r>
      <w:r>
        <w:rPr>
          <w:rStyle w:val="ab"/>
          <w:rFonts w:cs="Arial"/>
          <w:rtl/>
        </w:rPr>
        <w:footnoteReference w:id="892"/>
      </w:r>
      <w:r w:rsidR="00B67CFA">
        <w:rPr>
          <w:rFonts w:cs="Arial" w:hint="cs"/>
          <w:rtl/>
        </w:rPr>
        <w:t>.</w:t>
      </w:r>
      <w:r w:rsidRPr="00A22ACE">
        <w:rPr>
          <w:rFonts w:cs="Arial"/>
          <w:rtl/>
        </w:rPr>
        <w:t xml:space="preserve"> אבל אם טען </w:t>
      </w:r>
      <w:r>
        <w:rPr>
          <w:rFonts w:cs="Arial" w:hint="cs"/>
          <w:sz w:val="16"/>
          <w:szCs w:val="16"/>
          <w:rtl/>
        </w:rPr>
        <w:t xml:space="preserve">{התובע} </w:t>
      </w:r>
      <w:r w:rsidRPr="00A22ACE">
        <w:rPr>
          <w:rFonts w:cs="Arial"/>
          <w:rtl/>
        </w:rPr>
        <w:t>תחלה יש לי ראיה ואינה מצויה עתה בידי</w:t>
      </w:r>
      <w:r w:rsidR="00B67CFA">
        <w:rPr>
          <w:rFonts w:cs="Arial" w:hint="cs"/>
          <w:rtl/>
        </w:rPr>
        <w:t xml:space="preserve"> -</w:t>
      </w:r>
      <w:r w:rsidRPr="00A22ACE">
        <w:rPr>
          <w:rFonts w:cs="Arial"/>
          <w:rtl/>
        </w:rPr>
        <w:t xml:space="preserve"> מה צורך ליתן לו זמן</w:t>
      </w:r>
      <w:r w:rsidRPr="00A22ACE">
        <w:rPr>
          <w:rFonts w:cs="Arial" w:hint="cs"/>
          <w:rtl/>
        </w:rPr>
        <w:t>,</w:t>
      </w:r>
      <w:r w:rsidRPr="00A22ACE">
        <w:rPr>
          <w:rFonts w:cs="Arial"/>
          <w:rtl/>
        </w:rPr>
        <w:t xml:space="preserve"> לכשיביא </w:t>
      </w:r>
      <w:r>
        <w:rPr>
          <w:rFonts w:cs="Arial" w:hint="cs"/>
          <w:sz w:val="16"/>
          <w:szCs w:val="16"/>
          <w:rtl/>
        </w:rPr>
        <w:t xml:space="preserve">{ראיה נתחיל את הדין ואז} </w:t>
      </w:r>
      <w:r w:rsidRPr="00A22ACE">
        <w:rPr>
          <w:rFonts w:cs="Arial"/>
          <w:rtl/>
        </w:rPr>
        <w:t>ישיב לו הנתבע</w:t>
      </w:r>
      <w:r>
        <w:rPr>
          <w:rStyle w:val="ab"/>
          <w:rFonts w:cs="Arial"/>
          <w:rtl/>
        </w:rPr>
        <w:footnoteReference w:id="893"/>
      </w:r>
      <w:r>
        <w:rPr>
          <w:rFonts w:cs="Arial" w:hint="cs"/>
          <w:rtl/>
        </w:rPr>
        <w:t>,</w:t>
      </w:r>
      <w:r w:rsidRPr="00A22ACE">
        <w:rPr>
          <w:rFonts w:cs="Arial"/>
          <w:rtl/>
        </w:rPr>
        <w:t xml:space="preserve"> וכ"ז שלא יביא לא ישיב לו טענה</w:t>
      </w:r>
      <w:r w:rsidR="004C13D4">
        <w:rPr>
          <w:rFonts w:cs="Arial" w:hint="cs"/>
          <w:rtl/>
        </w:rPr>
        <w:t>.</w:t>
      </w:r>
      <w:r w:rsidRPr="00A22ACE">
        <w:rPr>
          <w:rFonts w:cs="Arial"/>
          <w:rtl/>
        </w:rPr>
        <w:t xml:space="preserve"> ואם חזר ואמר אין לי ראיה</w:t>
      </w:r>
      <w:r w:rsidR="00B67CFA">
        <w:rPr>
          <w:rFonts w:cs="Arial" w:hint="cs"/>
          <w:rtl/>
        </w:rPr>
        <w:t xml:space="preserve"> -</w:t>
      </w:r>
      <w:r w:rsidRPr="00A22ACE">
        <w:rPr>
          <w:rFonts w:cs="Arial"/>
          <w:rtl/>
        </w:rPr>
        <w:t xml:space="preserve"> ישיב לו</w:t>
      </w:r>
      <w:r>
        <w:rPr>
          <w:rFonts w:cs="Arial" w:hint="cs"/>
          <w:rtl/>
        </w:rPr>
        <w:t xml:space="preserve"> </w:t>
      </w:r>
      <w:r>
        <w:rPr>
          <w:rFonts w:cs="Arial" w:hint="cs"/>
          <w:sz w:val="16"/>
          <w:szCs w:val="16"/>
          <w:rtl/>
        </w:rPr>
        <w:t>{טענה}</w:t>
      </w:r>
      <w:r w:rsidRPr="00A22ACE">
        <w:rPr>
          <w:rFonts w:cs="Arial"/>
          <w:rtl/>
        </w:rPr>
        <w:t xml:space="preserve"> בלא ראיה ונשבע ונפטר</w:t>
      </w:r>
      <w:r w:rsidRPr="00A22ACE">
        <w:rPr>
          <w:rFonts w:cs="Arial" w:hint="cs"/>
          <w:rtl/>
        </w:rPr>
        <w:t>,</w:t>
      </w:r>
      <w:r w:rsidRPr="00A22ACE">
        <w:rPr>
          <w:rFonts w:cs="Arial"/>
          <w:rtl/>
        </w:rPr>
        <w:t xml:space="preserve"> </w:t>
      </w:r>
      <w:r>
        <w:rPr>
          <w:rStyle w:val="ab"/>
          <w:rFonts w:cs="Arial"/>
          <w:rtl/>
        </w:rPr>
        <w:footnoteReference w:id="894"/>
      </w:r>
      <w:r w:rsidRPr="00A22ACE">
        <w:rPr>
          <w:rFonts w:cs="Arial"/>
          <w:rtl/>
        </w:rPr>
        <w:t>ואינו נאמן עוד להביא ראיה כיון שאמר אין לי ראיה</w:t>
      </w:r>
      <w:r w:rsidRPr="00A22ACE">
        <w:rPr>
          <w:rFonts w:cs="Arial" w:hint="cs"/>
          <w:rtl/>
        </w:rPr>
        <w:t>.</w:t>
      </w:r>
      <w:r>
        <w:rPr>
          <w:rFonts w:cs="Arial" w:hint="cs"/>
          <w:rtl/>
        </w:rPr>
        <w:t xml:space="preserve"> </w:t>
      </w:r>
      <w:r w:rsidRPr="00BF5618">
        <w:rPr>
          <w:rFonts w:cs="Arial" w:hint="cs"/>
          <w:color w:val="E36C0A" w:themeColor="accent6" w:themeShade="BF"/>
          <w:rtl/>
        </w:rPr>
        <w:t>(וכ"פ בשו"ע</w:t>
      </w:r>
      <w:r>
        <w:rPr>
          <w:rStyle w:val="ab"/>
          <w:rFonts w:cs="Arial"/>
          <w:rtl/>
        </w:rPr>
        <w:footnoteReference w:id="895"/>
      </w:r>
      <w:r w:rsidRPr="00BF5618">
        <w:rPr>
          <w:rFonts w:cs="Arial" w:hint="cs"/>
          <w:color w:val="E36C0A" w:themeColor="accent6" w:themeShade="BF"/>
          <w:rtl/>
        </w:rPr>
        <w:t>)</w:t>
      </w:r>
      <w:r>
        <w:rPr>
          <w:rFonts w:cs="Arial" w:hint="cs"/>
          <w:rtl/>
        </w:rPr>
        <w:t xml:space="preserve"> </w:t>
      </w:r>
    </w:p>
    <w:p w14:paraId="5CBB31DC" w14:textId="77777777" w:rsidR="00BF5618" w:rsidRPr="00B87E92" w:rsidRDefault="00BF5618" w:rsidP="00BF5618">
      <w:pPr>
        <w:rPr>
          <w:rFonts w:cs="Arial"/>
          <w:u w:val="single"/>
        </w:rPr>
      </w:pPr>
      <w:r w:rsidRPr="00B87E92">
        <w:rPr>
          <w:rFonts w:cs="Arial"/>
          <w:u w:val="single"/>
          <w:rtl/>
        </w:rPr>
        <w:t>שמעון</w:t>
      </w:r>
      <w:r w:rsidRPr="00B87E92">
        <w:rPr>
          <w:rFonts w:cs="Arial" w:hint="cs"/>
          <w:u w:val="single"/>
          <w:rtl/>
        </w:rPr>
        <w:t xml:space="preserve"> </w:t>
      </w:r>
      <w:r w:rsidRPr="00B87E92">
        <w:rPr>
          <w:rFonts w:cs="Arial" w:hint="cs"/>
          <w:sz w:val="16"/>
          <w:szCs w:val="16"/>
          <w:u w:val="single"/>
          <w:rtl/>
        </w:rPr>
        <w:t>(הנתבע)</w:t>
      </w:r>
      <w:r w:rsidRPr="00B87E92">
        <w:rPr>
          <w:rFonts w:cs="Arial"/>
          <w:u w:val="single"/>
          <w:rtl/>
        </w:rPr>
        <w:t xml:space="preserve"> </w:t>
      </w:r>
      <w:r w:rsidRPr="00B87E92">
        <w:rPr>
          <w:rFonts w:cs="Arial" w:hint="cs"/>
          <w:u w:val="single"/>
          <w:rtl/>
        </w:rPr>
        <w:t xml:space="preserve">מבקש ליתן לו </w:t>
      </w:r>
      <w:r w:rsidRPr="00B87E92">
        <w:rPr>
          <w:rFonts w:cs="Arial"/>
          <w:u w:val="single"/>
          <w:rtl/>
        </w:rPr>
        <w:t xml:space="preserve">זמן </w:t>
      </w:r>
      <w:r w:rsidRPr="00B87E92">
        <w:rPr>
          <w:rFonts w:cs="Arial" w:hint="cs"/>
          <w:u w:val="single"/>
          <w:rtl/>
        </w:rPr>
        <w:t>להשיב</w:t>
      </w:r>
      <w:r w:rsidRPr="00B87E92">
        <w:rPr>
          <w:rFonts w:cs="Arial"/>
          <w:u w:val="single"/>
          <w:rtl/>
        </w:rPr>
        <w:t xml:space="preserve"> על כל </w:t>
      </w:r>
      <w:r w:rsidRPr="00B87E92">
        <w:rPr>
          <w:rFonts w:cs="Arial" w:hint="cs"/>
          <w:u w:val="single"/>
          <w:rtl/>
        </w:rPr>
        <w:t>ה</w:t>
      </w:r>
      <w:r w:rsidRPr="00B87E92">
        <w:rPr>
          <w:rFonts w:cs="Arial"/>
          <w:u w:val="single"/>
          <w:rtl/>
        </w:rPr>
        <w:t>טענות</w:t>
      </w:r>
      <w:r w:rsidRPr="00B87E92">
        <w:rPr>
          <w:rFonts w:cs="Arial" w:hint="cs"/>
          <w:u w:val="single"/>
          <w:rtl/>
        </w:rPr>
        <w:t xml:space="preserve"> שיקבל בכתב</w:t>
      </w:r>
      <w:r w:rsidRPr="00B87E92">
        <w:rPr>
          <w:rFonts w:cs="Arial"/>
          <w:u w:val="single"/>
          <w:rtl/>
        </w:rPr>
        <w:t xml:space="preserve"> </w:t>
      </w:r>
      <w:r w:rsidRPr="00B87E92">
        <w:rPr>
          <w:rFonts w:cs="Arial" w:hint="cs"/>
          <w:u w:val="single"/>
          <w:rtl/>
        </w:rPr>
        <w:t xml:space="preserve">מראובן </w:t>
      </w:r>
      <w:r w:rsidRPr="00B87E92">
        <w:rPr>
          <w:rFonts w:cs="Arial" w:hint="cs"/>
          <w:sz w:val="16"/>
          <w:szCs w:val="16"/>
          <w:u w:val="single"/>
          <w:rtl/>
        </w:rPr>
        <w:t>(התובע)</w:t>
      </w:r>
      <w:r>
        <w:rPr>
          <w:rFonts w:cs="Arial" w:hint="cs"/>
          <w:u w:val="single"/>
          <w:rtl/>
        </w:rPr>
        <w:t xml:space="preserve"> </w:t>
      </w:r>
      <w:r w:rsidRPr="00B87E92">
        <w:rPr>
          <w:rFonts w:cs="Arial"/>
          <w:u w:val="single"/>
          <w:rtl/>
        </w:rPr>
        <w:t>–</w:t>
      </w:r>
      <w:r w:rsidRPr="00B87E92">
        <w:rPr>
          <w:rFonts w:cs="Arial" w:hint="cs"/>
          <w:u w:val="single"/>
          <w:rtl/>
        </w:rPr>
        <w:t xml:space="preserve"> האם נותנים לו זמן: </w:t>
      </w:r>
    </w:p>
    <w:p w14:paraId="147499AB" w14:textId="77777777" w:rsidR="00BF5618" w:rsidRPr="000278EA" w:rsidRDefault="00BF5618" w:rsidP="004B0475">
      <w:pPr>
        <w:pStyle w:val="ac"/>
        <w:numPr>
          <w:ilvl w:val="0"/>
          <w:numId w:val="17"/>
        </w:numPr>
        <w:rPr>
          <w:rFonts w:cs="Arial"/>
          <w:rtl/>
        </w:rPr>
      </w:pPr>
      <w:r w:rsidRPr="000278EA">
        <w:rPr>
          <w:rFonts w:cs="Arial" w:hint="cs"/>
          <w:rtl/>
        </w:rPr>
        <w:t>ר</w:t>
      </w:r>
      <w:r w:rsidRPr="000278EA">
        <w:rPr>
          <w:rFonts w:cs="Arial"/>
          <w:rtl/>
        </w:rPr>
        <w:t xml:space="preserve">שב"א </w:t>
      </w:r>
      <w:r w:rsidRPr="000278EA">
        <w:rPr>
          <w:rFonts w:cs="Arial"/>
          <w:sz w:val="16"/>
          <w:szCs w:val="16"/>
          <w:rtl/>
        </w:rPr>
        <w:t>(ח"ו סי' קפב)</w:t>
      </w:r>
      <w:r w:rsidRPr="000278EA">
        <w:rPr>
          <w:rFonts w:cs="Arial" w:hint="cs"/>
          <w:rtl/>
        </w:rPr>
        <w:t>-</w:t>
      </w:r>
      <w:r w:rsidRPr="000278EA">
        <w:rPr>
          <w:rFonts w:cs="Arial"/>
          <w:rtl/>
        </w:rPr>
        <w:t xml:space="preserve"> שאלת</w:t>
      </w:r>
      <w:r w:rsidR="003D3C88">
        <w:rPr>
          <w:rFonts w:cs="Arial" w:hint="cs"/>
          <w:rtl/>
        </w:rPr>
        <w:t>,</w:t>
      </w:r>
      <w:r w:rsidRPr="000278EA">
        <w:rPr>
          <w:rFonts w:cs="Arial"/>
          <w:rtl/>
        </w:rPr>
        <w:t xml:space="preserve"> ראובן תבע את שמעון בבית דין</w:t>
      </w:r>
      <w:r w:rsidRPr="000278EA">
        <w:rPr>
          <w:rFonts w:cs="Arial" w:hint="cs"/>
          <w:rtl/>
        </w:rPr>
        <w:t>,</w:t>
      </w:r>
      <w:r w:rsidRPr="000278EA">
        <w:rPr>
          <w:rFonts w:cs="Arial"/>
          <w:rtl/>
        </w:rPr>
        <w:t xml:space="preserve"> והשיב שמעון תנו לי זמן ואשיב על כל טענותיו שיתן לי בכתב</w:t>
      </w:r>
      <w:r w:rsidRPr="000278EA">
        <w:rPr>
          <w:rFonts w:cs="Arial" w:hint="cs"/>
          <w:rtl/>
        </w:rPr>
        <w:t>,</w:t>
      </w:r>
      <w:r w:rsidRPr="000278EA">
        <w:rPr>
          <w:rFonts w:cs="Arial"/>
          <w:rtl/>
        </w:rPr>
        <w:t xml:space="preserve"> יש לב</w:t>
      </w:r>
      <w:r w:rsidR="00416012">
        <w:rPr>
          <w:rFonts w:cs="Arial" w:hint="cs"/>
          <w:rtl/>
        </w:rPr>
        <w:t>"</w:t>
      </w:r>
      <w:r w:rsidRPr="000278EA">
        <w:rPr>
          <w:rFonts w:cs="Arial"/>
          <w:rtl/>
        </w:rPr>
        <w:t>ד לתת לו זמן או לאו. תשובה</w:t>
      </w:r>
      <w:r w:rsidR="00416012">
        <w:rPr>
          <w:rFonts w:cs="Arial" w:hint="cs"/>
          <w:rtl/>
        </w:rPr>
        <w:t>,</w:t>
      </w:r>
      <w:r w:rsidRPr="000278EA">
        <w:rPr>
          <w:rFonts w:cs="Arial"/>
          <w:rtl/>
        </w:rPr>
        <w:t xml:space="preserve"> לא שמעתי בזה זמן אבל נראה שזה תלוי בדעת ב</w:t>
      </w:r>
      <w:r w:rsidR="00416012">
        <w:rPr>
          <w:rFonts w:cs="Arial" w:hint="cs"/>
          <w:rtl/>
        </w:rPr>
        <w:t>"ד,</w:t>
      </w:r>
      <w:r w:rsidRPr="000278EA">
        <w:rPr>
          <w:rFonts w:cs="Arial"/>
          <w:rtl/>
        </w:rPr>
        <w:t xml:space="preserve"> אם יראה בעיניהם שאומר כן לרמות לדחות את התובע אין נותנין לו זמן</w:t>
      </w:r>
      <w:r w:rsidRPr="000278EA">
        <w:rPr>
          <w:rFonts w:cs="Arial" w:hint="cs"/>
          <w:rtl/>
        </w:rPr>
        <w:t>,</w:t>
      </w:r>
      <w:r w:rsidRPr="000278EA">
        <w:rPr>
          <w:rFonts w:cs="Arial"/>
          <w:rtl/>
        </w:rPr>
        <w:t xml:space="preserve"> שזו דחיית הרמאות היא ויזקיקוהו </w:t>
      </w:r>
      <w:r w:rsidRPr="000278EA">
        <w:rPr>
          <w:rFonts w:cs="Arial"/>
          <w:rtl/>
        </w:rPr>
        <w:lastRenderedPageBreak/>
        <w:t>להשיב מיד</w:t>
      </w:r>
      <w:r w:rsidRPr="000278EA">
        <w:rPr>
          <w:rFonts w:cs="Arial" w:hint="cs"/>
          <w:rtl/>
        </w:rPr>
        <w:t>,</w:t>
      </w:r>
      <w:r w:rsidRPr="000278EA">
        <w:rPr>
          <w:rFonts w:cs="Arial"/>
          <w:rtl/>
        </w:rPr>
        <w:t xml:space="preserve"> אבל אם יראה בעיניהם שאינו מתכוין בכך אלא שיש עניינים שצריך אדם לחשוב ולשום הדברים על לבו לזכור מה היה בינו ובין חבירו ולבדוק בחשבונותיו וכיוצא בזה</w:t>
      </w:r>
      <w:r w:rsidRPr="000278EA">
        <w:rPr>
          <w:rFonts w:cs="Arial" w:hint="cs"/>
          <w:rtl/>
        </w:rPr>
        <w:t>,</w:t>
      </w:r>
      <w:r w:rsidRPr="000278EA">
        <w:rPr>
          <w:rFonts w:cs="Arial"/>
          <w:rtl/>
        </w:rPr>
        <w:t xml:space="preserve"> לזה ודאי מרויחין קצת זמן כמו שיראה בעיניהם</w:t>
      </w:r>
      <w:r w:rsidR="003D3C88">
        <w:rPr>
          <w:rFonts w:cs="Arial" w:hint="cs"/>
          <w:rtl/>
        </w:rPr>
        <w:t>.</w:t>
      </w:r>
      <w:r w:rsidRPr="000278EA">
        <w:rPr>
          <w:rFonts w:cs="Arial"/>
          <w:rtl/>
        </w:rPr>
        <w:t xml:space="preserve"> והכל לפי מה שהוא ענין שכל זה מדרך האמת הוא וע</w:t>
      </w:r>
      <w:r w:rsidR="00416012">
        <w:rPr>
          <w:rFonts w:cs="Arial" w:hint="cs"/>
          <w:rtl/>
        </w:rPr>
        <w:t>"</w:t>
      </w:r>
      <w:r w:rsidRPr="000278EA">
        <w:rPr>
          <w:rFonts w:cs="Arial"/>
          <w:rtl/>
        </w:rPr>
        <w:t>י כן יצא הדין לאמתו</w:t>
      </w:r>
      <w:r w:rsidRPr="000278EA">
        <w:rPr>
          <w:rFonts w:cs="Arial" w:hint="cs"/>
          <w:rtl/>
        </w:rPr>
        <w:t>.</w:t>
      </w:r>
      <w:r w:rsidRPr="00BF5618">
        <w:rPr>
          <w:rFonts w:cs="Arial" w:hint="cs"/>
          <w:color w:val="00B0F0"/>
          <w:rtl/>
        </w:rPr>
        <w:t xml:space="preserve"> </w:t>
      </w:r>
      <w:r w:rsidRPr="0088247B">
        <w:rPr>
          <w:rFonts w:cs="Arial" w:hint="cs"/>
          <w:color w:val="00B0F0"/>
          <w:rtl/>
        </w:rPr>
        <w:t>(וכ"פ הרמ"א)</w:t>
      </w:r>
    </w:p>
    <w:p w14:paraId="5837F94E" w14:textId="77777777" w:rsidR="00BF5618" w:rsidRPr="000241A3" w:rsidRDefault="00BF5618" w:rsidP="00BF5618">
      <w:pPr>
        <w:rPr>
          <w:rFonts w:cs="Arial"/>
          <w:u w:val="single"/>
          <w:rtl/>
        </w:rPr>
      </w:pPr>
      <w:r w:rsidRPr="000241A3">
        <w:rPr>
          <w:rFonts w:cs="Arial" w:hint="cs"/>
          <w:u w:val="single"/>
          <w:rtl/>
        </w:rPr>
        <w:t>שטר שלא כתוב בו '</w:t>
      </w:r>
      <w:r w:rsidRPr="000241A3">
        <w:rPr>
          <w:rFonts w:cs="Arial"/>
          <w:u w:val="single"/>
          <w:rtl/>
        </w:rPr>
        <w:t>לזמן הקצוב בלי השמטה ובלי תביעת שום זמן בית דין</w:t>
      </w:r>
      <w:r w:rsidRPr="000241A3">
        <w:rPr>
          <w:rFonts w:cs="Arial" w:hint="cs"/>
          <w:u w:val="single"/>
          <w:rtl/>
        </w:rPr>
        <w:t>':</w:t>
      </w:r>
    </w:p>
    <w:p w14:paraId="76640A69" w14:textId="77777777" w:rsidR="00585555" w:rsidRPr="00BF5618" w:rsidRDefault="00BF5618" w:rsidP="004B0475">
      <w:pPr>
        <w:pStyle w:val="ac"/>
        <w:numPr>
          <w:ilvl w:val="0"/>
          <w:numId w:val="17"/>
        </w:numPr>
        <w:rPr>
          <w:rFonts w:cs="Arial"/>
          <w:rtl/>
        </w:rPr>
      </w:pPr>
      <w:r w:rsidRPr="000241A3">
        <w:rPr>
          <w:rFonts w:cs="Arial"/>
          <w:rtl/>
        </w:rPr>
        <w:t xml:space="preserve">ריטב"א </w:t>
      </w:r>
      <w:r w:rsidRPr="000241A3">
        <w:rPr>
          <w:rFonts w:cs="Arial"/>
          <w:sz w:val="16"/>
          <w:szCs w:val="16"/>
          <w:rtl/>
        </w:rPr>
        <w:t>(שו"ת סי' כו)</w:t>
      </w:r>
      <w:r w:rsidRPr="000241A3">
        <w:rPr>
          <w:rFonts w:cs="Arial" w:hint="cs"/>
          <w:rtl/>
        </w:rPr>
        <w:t>-</w:t>
      </w:r>
      <w:r w:rsidRPr="000241A3">
        <w:rPr>
          <w:rFonts w:cs="Arial"/>
          <w:rtl/>
        </w:rPr>
        <w:t xml:space="preserve"> כפי שנראה משאלתכם שאין כתוב בשטר החוב מה שאנו נוהגים לכתוב בשטרות שלנו </w:t>
      </w:r>
      <w:r w:rsidRPr="000241A3">
        <w:rPr>
          <w:rFonts w:cs="Arial" w:hint="cs"/>
          <w:rtl/>
        </w:rPr>
        <w:t>'</w:t>
      </w:r>
      <w:r w:rsidRPr="000241A3">
        <w:rPr>
          <w:rFonts w:cs="Arial"/>
          <w:rtl/>
        </w:rPr>
        <w:t>לזמן הקצוב בלי השמטה ובלי תביעת שום זמן בית דין</w:t>
      </w:r>
      <w:r w:rsidRPr="000241A3">
        <w:rPr>
          <w:rFonts w:cs="Arial" w:hint="cs"/>
          <w:rtl/>
        </w:rPr>
        <w:t>',</w:t>
      </w:r>
      <w:r w:rsidRPr="000241A3">
        <w:rPr>
          <w:rFonts w:cs="Arial"/>
          <w:rtl/>
        </w:rPr>
        <w:t xml:space="preserve"> שאילו היה כתוב בו כן לא היה ספק לפניכם שזה היה תנאי ממון וקיים</w:t>
      </w:r>
      <w:r w:rsidRPr="000241A3">
        <w:rPr>
          <w:rFonts w:cs="Arial" w:hint="cs"/>
          <w:rtl/>
        </w:rPr>
        <w:t>,</w:t>
      </w:r>
      <w:r w:rsidRPr="000241A3">
        <w:rPr>
          <w:rFonts w:cs="Arial"/>
          <w:rtl/>
        </w:rPr>
        <w:t xml:space="preserve"> ואחר שאין התנאי הזה כתוב בשטר נשוב לעיקר הדין ונאמר שאפילו היה טוען שמעון טענותיו בברי אין לכם לקבוע לו זמן</w:t>
      </w:r>
      <w:r w:rsidRPr="000241A3">
        <w:rPr>
          <w:rFonts w:cs="Arial" w:hint="cs"/>
          <w:rtl/>
        </w:rPr>
        <w:t>,</w:t>
      </w:r>
      <w:r w:rsidRPr="000241A3">
        <w:rPr>
          <w:rFonts w:cs="Arial"/>
          <w:rtl/>
        </w:rPr>
        <w:t xml:space="preserve"> שהרי הדברים מראים כי להשמט מן הדין אומר כן</w:t>
      </w:r>
      <w:r w:rsidRPr="000241A3">
        <w:rPr>
          <w:rFonts w:cs="Arial" w:hint="cs"/>
          <w:rtl/>
        </w:rPr>
        <w:t>.</w:t>
      </w:r>
      <w:r w:rsidRPr="000241A3">
        <w:rPr>
          <w:rFonts w:cs="Arial"/>
          <w:rtl/>
        </w:rPr>
        <w:t xml:space="preserve"> </w:t>
      </w:r>
      <w:r w:rsidRPr="0088247B">
        <w:rPr>
          <w:rFonts w:cs="Arial" w:hint="cs"/>
          <w:color w:val="00B0F0"/>
          <w:rtl/>
        </w:rPr>
        <w:t>(וכ"פ הרמ"א)</w:t>
      </w:r>
    </w:p>
    <w:p w14:paraId="76F05F9E" w14:textId="77777777" w:rsidR="00E137BC" w:rsidRPr="00576D5C" w:rsidRDefault="00E137BC" w:rsidP="00576D5C">
      <w:pPr>
        <w:rPr>
          <w:rFonts w:asciiTheme="minorBidi" w:hAnsiTheme="minorBidi"/>
          <w:b/>
          <w:bCs/>
          <w:color w:val="000000"/>
          <w:sz w:val="28"/>
          <w:szCs w:val="28"/>
          <w:u w:val="single"/>
          <w:rtl/>
        </w:rPr>
      </w:pPr>
      <w:r w:rsidRPr="00576D5C">
        <w:rPr>
          <w:rFonts w:asciiTheme="minorBidi" w:hAnsiTheme="minorBidi"/>
          <w:b/>
          <w:bCs/>
          <w:color w:val="000000"/>
          <w:sz w:val="28"/>
          <w:szCs w:val="28"/>
          <w:u w:val="single"/>
          <w:rtl/>
        </w:rPr>
        <w:t>שו"ע:</w:t>
      </w:r>
    </w:p>
    <w:p w14:paraId="7E912BCD" w14:textId="77777777" w:rsidR="00E137BC" w:rsidRDefault="00E137BC" w:rsidP="00576D5C">
      <w:pPr>
        <w:rPr>
          <w:rFonts w:asciiTheme="minorBidi" w:hAnsiTheme="minorBidi"/>
          <w:rtl/>
        </w:rPr>
      </w:pPr>
      <w:r w:rsidRPr="00576D5C">
        <w:rPr>
          <w:rFonts w:asciiTheme="minorBidi" w:hAnsiTheme="minorBidi"/>
          <w:rtl/>
        </w:rPr>
        <w:t>הא דיהבי זמן שלשים יום</w:t>
      </w:r>
      <w:r w:rsidR="00AA5B65">
        <w:rPr>
          <w:rStyle w:val="ab"/>
          <w:rFonts w:asciiTheme="minorBidi" w:hAnsiTheme="minorBidi"/>
          <w:rtl/>
        </w:rPr>
        <w:footnoteReference w:id="896"/>
      </w:r>
      <w:r w:rsidRPr="00576D5C">
        <w:rPr>
          <w:rFonts w:asciiTheme="minorBidi" w:hAnsiTheme="minorBidi"/>
          <w:rtl/>
        </w:rPr>
        <w:t>, דוקא כשתבעוהו תחלה בלא ראיה וחייבוהו ב</w:t>
      </w:r>
      <w:r w:rsidR="00BF5618">
        <w:rPr>
          <w:rFonts w:asciiTheme="minorBidi" w:hAnsiTheme="minorBidi" w:hint="cs"/>
          <w:rtl/>
        </w:rPr>
        <w:t xml:space="preserve">ית </w:t>
      </w:r>
      <w:r w:rsidRPr="00576D5C">
        <w:rPr>
          <w:rFonts w:asciiTheme="minorBidi" w:hAnsiTheme="minorBidi"/>
          <w:rtl/>
        </w:rPr>
        <w:t>ד</w:t>
      </w:r>
      <w:r w:rsidR="00BF5618">
        <w:rPr>
          <w:rFonts w:asciiTheme="minorBidi" w:hAnsiTheme="minorBidi" w:hint="cs"/>
          <w:rtl/>
        </w:rPr>
        <w:t>ין</w:t>
      </w:r>
      <w:r w:rsidRPr="00576D5C">
        <w:rPr>
          <w:rFonts w:asciiTheme="minorBidi" w:hAnsiTheme="minorBidi"/>
          <w:rtl/>
        </w:rPr>
        <w:t xml:space="preserve"> שישבע, וזה טוען: יש לי ראיה ואינה מצויה עתה בידי ואיני רוצה לקבל שבועתו</w:t>
      </w:r>
      <w:r w:rsidR="006102CB">
        <w:rPr>
          <w:rStyle w:val="ab"/>
          <w:rFonts w:asciiTheme="minorBidi" w:hAnsiTheme="minorBidi"/>
          <w:rtl/>
        </w:rPr>
        <w:footnoteReference w:id="897"/>
      </w:r>
      <w:r w:rsidRPr="00576D5C">
        <w:rPr>
          <w:rFonts w:asciiTheme="minorBidi" w:hAnsiTheme="minorBidi"/>
          <w:rtl/>
        </w:rPr>
        <w:t>, אז נותנין לו זמן שלושים יום. אבל אם טען תחלה: יש לי ראיה ואינה מצויה עתה בידי, מה צורך ליתן לו זמן, לכשיביא ישיב לו הנתבע, וכל זמן שלא יביא לא ישיב לו טענה. ואם חזר ואמר: אין לי ראיה, ישיב לו בלא ראיה. יש מי שאומר שנשבע ונפטר</w:t>
      </w:r>
      <w:r w:rsidR="006102CB">
        <w:rPr>
          <w:rStyle w:val="ab"/>
          <w:rFonts w:asciiTheme="minorBidi" w:hAnsiTheme="minorBidi"/>
          <w:rtl/>
        </w:rPr>
        <w:footnoteReference w:id="898"/>
      </w:r>
      <w:r w:rsidRPr="00576D5C">
        <w:rPr>
          <w:rFonts w:asciiTheme="minorBidi" w:hAnsiTheme="minorBidi"/>
          <w:rtl/>
        </w:rPr>
        <w:t xml:space="preserve"> ואינו נאמן להביא עוד ראיה. </w:t>
      </w:r>
      <w:r w:rsidRPr="00585555">
        <w:rPr>
          <w:rFonts w:asciiTheme="minorBidi" w:hAnsiTheme="minorBidi"/>
          <w:sz w:val="18"/>
          <w:szCs w:val="18"/>
          <w:rtl/>
        </w:rPr>
        <w:t>הגה: ואם הנתבע מבקש זמן כדי להשיב על טענות התובע, אם נראה לב"ד שאינו אלא דחייה אין נותנין לו זמן, וצריך להשיב מיד. אבל אם נראה לב"ד שצריך זמן כדי לחשוב ולשום לבו על דברים שבינו לבינו, נותנין לו זמן כפי הצורך (רשב"א). אבל אם כתב בשטר שיפרע לו בלי דחייה, כל תנאי שבממון קיים (ריטב"א).</w:t>
      </w:r>
      <w:r w:rsidRPr="00576D5C">
        <w:rPr>
          <w:rFonts w:asciiTheme="minorBidi" w:hAnsiTheme="minorBidi"/>
          <w:rtl/>
        </w:rPr>
        <w:t xml:space="preserve"> </w:t>
      </w:r>
    </w:p>
    <w:p w14:paraId="224A5DF9" w14:textId="77777777" w:rsidR="00585555" w:rsidRPr="00576D5C" w:rsidRDefault="00585555" w:rsidP="00576D5C">
      <w:pPr>
        <w:rPr>
          <w:rFonts w:asciiTheme="minorBidi" w:hAnsiTheme="minorBidi"/>
          <w:rtl/>
        </w:rPr>
      </w:pPr>
    </w:p>
    <w:p w14:paraId="1A03CEBC" w14:textId="77777777" w:rsidR="00E137BC" w:rsidRDefault="00E137BC" w:rsidP="006567B0">
      <w:pPr>
        <w:pStyle w:val="2"/>
        <w:rPr>
          <w:rtl/>
        </w:rPr>
      </w:pPr>
      <w:bookmarkStart w:id="137" w:name="_Toc24883621"/>
      <w:r w:rsidRPr="00576D5C">
        <w:rPr>
          <w:rtl/>
        </w:rPr>
        <w:t>סעיף ג</w:t>
      </w:r>
      <w:r w:rsidR="00585555">
        <w:rPr>
          <w:rFonts w:hint="cs"/>
          <w:rtl/>
        </w:rPr>
        <w:t>:</w:t>
      </w:r>
      <w:r w:rsidR="00433B17">
        <w:rPr>
          <w:rFonts w:hint="cs"/>
          <w:rtl/>
        </w:rPr>
        <w:t xml:space="preserve"> הטלת חרם שכל היודע זכות לבעל דין - שיאמר.</w:t>
      </w:r>
      <w:bookmarkEnd w:id="137"/>
    </w:p>
    <w:p w14:paraId="1F1EBB65" w14:textId="77777777" w:rsidR="00585555" w:rsidRPr="00433B17" w:rsidRDefault="00433B17" w:rsidP="00585555">
      <w:pPr>
        <w:rPr>
          <w:u w:val="single"/>
          <w:rtl/>
        </w:rPr>
      </w:pPr>
      <w:r w:rsidRPr="00433B17">
        <w:rPr>
          <w:rFonts w:hint="cs"/>
          <w:u w:val="single"/>
          <w:rtl/>
        </w:rPr>
        <w:t>הטלת חרם שכל היודע זכות לבעל דין - שיאמר:</w:t>
      </w:r>
    </w:p>
    <w:p w14:paraId="7907D4E6" w14:textId="77777777" w:rsidR="004946CD" w:rsidRPr="00EA1846" w:rsidRDefault="004946CD" w:rsidP="004B0475">
      <w:pPr>
        <w:pStyle w:val="ac"/>
        <w:numPr>
          <w:ilvl w:val="0"/>
          <w:numId w:val="17"/>
        </w:numPr>
        <w:rPr>
          <w:rFonts w:cs="Arial"/>
          <w:rtl/>
        </w:rPr>
      </w:pPr>
      <w:r w:rsidRPr="00EA1846">
        <w:rPr>
          <w:rFonts w:cs="Arial"/>
          <w:rtl/>
        </w:rPr>
        <w:t xml:space="preserve">רא"ש </w:t>
      </w:r>
      <w:r w:rsidR="006102CB" w:rsidRPr="00EA1846">
        <w:rPr>
          <w:rFonts w:cs="Arial" w:hint="cs"/>
          <w:sz w:val="16"/>
          <w:szCs w:val="16"/>
          <w:rtl/>
        </w:rPr>
        <w:t>(</w:t>
      </w:r>
      <w:r w:rsidR="006102CB" w:rsidRPr="00EA1846">
        <w:rPr>
          <w:rFonts w:cs="Arial"/>
          <w:sz w:val="16"/>
          <w:szCs w:val="16"/>
          <w:rtl/>
        </w:rPr>
        <w:t>כלל ו סי</w:t>
      </w:r>
      <w:r w:rsidR="006102CB" w:rsidRPr="00EA1846">
        <w:rPr>
          <w:rFonts w:cs="Arial" w:hint="cs"/>
          <w:sz w:val="16"/>
          <w:szCs w:val="16"/>
          <w:rtl/>
        </w:rPr>
        <w:t>'</w:t>
      </w:r>
      <w:r w:rsidR="006102CB" w:rsidRPr="00EA1846">
        <w:rPr>
          <w:rFonts w:cs="Arial"/>
          <w:sz w:val="16"/>
          <w:szCs w:val="16"/>
          <w:rtl/>
        </w:rPr>
        <w:t xml:space="preserve"> טו</w:t>
      </w:r>
      <w:r w:rsidR="006102CB" w:rsidRPr="00EA1846">
        <w:rPr>
          <w:rFonts w:cs="Arial" w:hint="cs"/>
          <w:sz w:val="16"/>
          <w:szCs w:val="16"/>
          <w:rtl/>
        </w:rPr>
        <w:t>)</w:t>
      </w:r>
      <w:r w:rsidR="006102CB" w:rsidRPr="00EA1846">
        <w:rPr>
          <w:rFonts w:cs="Arial" w:hint="cs"/>
          <w:rtl/>
        </w:rPr>
        <w:t xml:space="preserve"> וטור-</w:t>
      </w:r>
      <w:r w:rsidRPr="00EA1846">
        <w:rPr>
          <w:rFonts w:cs="Arial"/>
          <w:rtl/>
        </w:rPr>
        <w:t xml:space="preserve"> טען אחד מבעלי הדינין יש לי זכות בעדים או בראיה ואיני יודע ביד מי הוא</w:t>
      </w:r>
      <w:r w:rsidR="00D84529">
        <w:rPr>
          <w:rFonts w:cs="Arial" w:hint="cs"/>
          <w:rtl/>
        </w:rPr>
        <w:t xml:space="preserve"> -</w:t>
      </w:r>
      <w:r w:rsidRPr="00EA1846">
        <w:rPr>
          <w:rFonts w:cs="Arial"/>
          <w:rtl/>
        </w:rPr>
        <w:t xml:space="preserve"> חייב הדיין להטיל חרם כל מי שיודע לו זכות בעדים או בראיה שיראה אותו לדיין</w:t>
      </w:r>
      <w:r w:rsidR="00D84529">
        <w:rPr>
          <w:rFonts w:cs="Arial" w:hint="cs"/>
          <w:rtl/>
        </w:rPr>
        <w:t>.</w:t>
      </w:r>
      <w:r w:rsidRPr="00EA1846">
        <w:rPr>
          <w:rFonts w:cs="Arial"/>
          <w:rtl/>
        </w:rPr>
        <w:t xml:space="preserve"> אפילו אם הזכות של העדים והראיה ביד מי שכנגדו</w:t>
      </w:r>
      <w:r w:rsidR="00433B17" w:rsidRPr="00EA1846">
        <w:rPr>
          <w:rFonts w:cs="Arial" w:hint="cs"/>
          <w:rtl/>
        </w:rPr>
        <w:t>,</w:t>
      </w:r>
      <w:r w:rsidRPr="00EA1846">
        <w:rPr>
          <w:rFonts w:cs="Arial"/>
          <w:rtl/>
        </w:rPr>
        <w:t xml:space="preserve"> דמאי שנא הוא מאחר</w:t>
      </w:r>
      <w:r w:rsidR="00433B17" w:rsidRPr="00EA1846">
        <w:rPr>
          <w:rFonts w:cs="Arial" w:hint="cs"/>
          <w:rtl/>
        </w:rPr>
        <w:t>,</w:t>
      </w:r>
      <w:r w:rsidRPr="00EA1846">
        <w:rPr>
          <w:rFonts w:cs="Arial"/>
          <w:rtl/>
        </w:rPr>
        <w:t xml:space="preserve"> אדרבא כ"ש הוא</w:t>
      </w:r>
      <w:r w:rsidR="00D84529">
        <w:rPr>
          <w:rFonts w:cs="Arial" w:hint="cs"/>
          <w:rtl/>
        </w:rPr>
        <w:t>,</w:t>
      </w:r>
      <w:r w:rsidRPr="00EA1846">
        <w:rPr>
          <w:rFonts w:cs="Arial"/>
          <w:rtl/>
        </w:rPr>
        <w:t xml:space="preserve"> כיון שיש בידו זכותו של כנגדו והוא תובע ממנו שלא כדין היאך יאכילוהו דבר איסור להגבותו ממון שאינו שלו</w:t>
      </w:r>
      <w:r w:rsidR="00433B17" w:rsidRPr="00EA1846">
        <w:rPr>
          <w:rFonts w:cs="Arial" w:hint="cs"/>
          <w:rtl/>
        </w:rPr>
        <w:t>,</w:t>
      </w:r>
      <w:r w:rsidRPr="00EA1846">
        <w:rPr>
          <w:rFonts w:cs="Arial"/>
          <w:rtl/>
        </w:rPr>
        <w:t xml:space="preserve"> אלא מזקיקין אותו להראות כל מה שיש בידו זכות לשכנגדו</w:t>
      </w:r>
      <w:r w:rsidR="006102CB" w:rsidRPr="00EA1846">
        <w:rPr>
          <w:rFonts w:cs="Arial" w:hint="cs"/>
          <w:sz w:val="16"/>
          <w:szCs w:val="16"/>
          <w:rtl/>
        </w:rPr>
        <w:t xml:space="preserve"> (ל' הטור)</w:t>
      </w:r>
      <w:r w:rsidR="006102CB" w:rsidRPr="00EA1846">
        <w:rPr>
          <w:rFonts w:cs="Arial" w:hint="cs"/>
          <w:rtl/>
        </w:rPr>
        <w:t>.</w:t>
      </w:r>
      <w:r w:rsidR="00433B17" w:rsidRPr="00EA1846">
        <w:rPr>
          <w:rFonts w:cs="Arial" w:hint="cs"/>
          <w:color w:val="E36C0A" w:themeColor="accent6" w:themeShade="BF"/>
          <w:rtl/>
        </w:rPr>
        <w:t xml:space="preserve"> (וכ"פ בשו"ע)</w:t>
      </w:r>
    </w:p>
    <w:p w14:paraId="3C7F7923" w14:textId="77777777" w:rsidR="00E137BC" w:rsidRPr="00576D5C" w:rsidRDefault="00E137BC" w:rsidP="00576D5C">
      <w:pPr>
        <w:rPr>
          <w:rFonts w:asciiTheme="minorBidi" w:hAnsiTheme="minorBidi"/>
          <w:b/>
          <w:bCs/>
          <w:color w:val="000000"/>
          <w:sz w:val="28"/>
          <w:szCs w:val="28"/>
          <w:u w:val="single"/>
          <w:rtl/>
        </w:rPr>
      </w:pPr>
      <w:r w:rsidRPr="00576D5C">
        <w:rPr>
          <w:rFonts w:asciiTheme="minorBidi" w:hAnsiTheme="minorBidi"/>
          <w:b/>
          <w:bCs/>
          <w:color w:val="000000"/>
          <w:sz w:val="28"/>
          <w:szCs w:val="28"/>
          <w:u w:val="single"/>
          <w:rtl/>
        </w:rPr>
        <w:t>שו"ע:</w:t>
      </w:r>
    </w:p>
    <w:p w14:paraId="0156F7AE" w14:textId="77777777" w:rsidR="00E137BC" w:rsidRDefault="00E137BC" w:rsidP="00576D5C">
      <w:pPr>
        <w:rPr>
          <w:rFonts w:asciiTheme="minorBidi" w:hAnsiTheme="minorBidi"/>
          <w:sz w:val="18"/>
          <w:szCs w:val="18"/>
          <w:rtl/>
        </w:rPr>
      </w:pPr>
      <w:r w:rsidRPr="00576D5C">
        <w:rPr>
          <w:rFonts w:asciiTheme="minorBidi" w:hAnsiTheme="minorBidi"/>
          <w:rtl/>
        </w:rPr>
        <w:t>טען אחד מבעלי דינים</w:t>
      </w:r>
      <w:r w:rsidR="00433B17">
        <w:rPr>
          <w:rFonts w:asciiTheme="minorBidi" w:hAnsiTheme="minorBidi" w:hint="cs"/>
          <w:rtl/>
        </w:rPr>
        <w:t>,</w:t>
      </w:r>
      <w:r w:rsidRPr="00576D5C">
        <w:rPr>
          <w:rFonts w:asciiTheme="minorBidi" w:hAnsiTheme="minorBidi"/>
          <w:rtl/>
        </w:rPr>
        <w:t xml:space="preserve"> יש לי זכות בעדים או בראיה ואיני יודע ביד מי הוא, חייב הדיין להטיל חרם על כל מי שיודיע לו זכות בעדים או בראיה שיודיע לדיין</w:t>
      </w:r>
      <w:r w:rsidR="00433B17">
        <w:rPr>
          <w:rFonts w:asciiTheme="minorBidi" w:hAnsiTheme="minorBidi" w:hint="cs"/>
          <w:rtl/>
        </w:rPr>
        <w:t>,</w:t>
      </w:r>
      <w:r w:rsidRPr="00576D5C">
        <w:rPr>
          <w:rFonts w:asciiTheme="minorBidi" w:hAnsiTheme="minorBidi"/>
          <w:rtl/>
        </w:rPr>
        <w:t xml:space="preserve"> אפילו אם הזכות של העדים והראיה יודע בהם מי שכנגדו, חייב להגיד. </w:t>
      </w:r>
      <w:r w:rsidRPr="00585555">
        <w:rPr>
          <w:rFonts w:asciiTheme="minorBidi" w:hAnsiTheme="minorBidi"/>
          <w:sz w:val="18"/>
          <w:szCs w:val="18"/>
          <w:rtl/>
        </w:rPr>
        <w:t>הגה: וע"ל סימן ע"א סעיף ז' וח' כיצד נותנים חרם. וע"ל סימן צ"ב סעיף ו' אם טוען שכנגדו הוא פסול לישבע, אם נותנים חרם על זה</w:t>
      </w:r>
      <w:r w:rsidR="00433B17">
        <w:rPr>
          <w:rStyle w:val="ab"/>
          <w:rFonts w:asciiTheme="minorBidi" w:hAnsiTheme="minorBidi"/>
          <w:sz w:val="18"/>
          <w:szCs w:val="18"/>
          <w:rtl/>
        </w:rPr>
        <w:footnoteReference w:id="899"/>
      </w:r>
      <w:r w:rsidRPr="00585555">
        <w:rPr>
          <w:rFonts w:asciiTheme="minorBidi" w:hAnsiTheme="minorBidi"/>
          <w:sz w:val="18"/>
          <w:szCs w:val="18"/>
          <w:rtl/>
        </w:rPr>
        <w:t xml:space="preserve">. </w:t>
      </w:r>
    </w:p>
    <w:p w14:paraId="00687806" w14:textId="77777777" w:rsidR="00585555" w:rsidRPr="00576D5C" w:rsidRDefault="00585555" w:rsidP="00576D5C">
      <w:pPr>
        <w:rPr>
          <w:rFonts w:asciiTheme="minorBidi" w:hAnsiTheme="minorBidi"/>
          <w:rtl/>
        </w:rPr>
      </w:pPr>
    </w:p>
    <w:p w14:paraId="42D13F4B" w14:textId="77777777" w:rsidR="00E137BC" w:rsidRDefault="00E137BC" w:rsidP="006567B0">
      <w:pPr>
        <w:pStyle w:val="2"/>
        <w:rPr>
          <w:rtl/>
        </w:rPr>
      </w:pPr>
      <w:bookmarkStart w:id="138" w:name="_Toc24883622"/>
      <w:r w:rsidRPr="00576D5C">
        <w:rPr>
          <w:rtl/>
        </w:rPr>
        <w:t>סעיף ד</w:t>
      </w:r>
      <w:r w:rsidR="00585555">
        <w:rPr>
          <w:rFonts w:hint="cs"/>
          <w:rtl/>
        </w:rPr>
        <w:t>:</w:t>
      </w:r>
      <w:r w:rsidR="00725DD5" w:rsidRPr="00725DD5">
        <w:rPr>
          <w:rFonts w:cs="Arial"/>
          <w:rtl/>
        </w:rPr>
        <w:t xml:space="preserve"> </w:t>
      </w:r>
      <w:r w:rsidR="00CB562F">
        <w:rPr>
          <w:rFonts w:cs="Arial" w:hint="cs"/>
          <w:rtl/>
        </w:rPr>
        <w:t>האו</w:t>
      </w:r>
      <w:r w:rsidR="00725DD5" w:rsidRPr="004946CD">
        <w:rPr>
          <w:rFonts w:cs="Arial"/>
          <w:rtl/>
        </w:rPr>
        <w:t>מר לחבירו שטר שבידך זכות יש לי בו</w:t>
      </w:r>
      <w:r w:rsidR="00725DD5">
        <w:rPr>
          <w:rFonts w:hint="cs"/>
          <w:rtl/>
        </w:rPr>
        <w:t>.</w:t>
      </w:r>
      <w:bookmarkEnd w:id="138"/>
    </w:p>
    <w:p w14:paraId="7075FFAA" w14:textId="77777777" w:rsidR="00795CD6" w:rsidRDefault="00795CD6" w:rsidP="00795CD6">
      <w:pPr>
        <w:rPr>
          <w:rFonts w:cs="Arial"/>
          <w:rtl/>
        </w:rPr>
      </w:pPr>
      <w:r>
        <w:rPr>
          <w:rFonts w:cs="Arial" w:hint="cs"/>
          <w:u w:val="single"/>
          <w:rtl/>
        </w:rPr>
        <w:t>האו</w:t>
      </w:r>
      <w:r w:rsidRPr="00725DD5">
        <w:rPr>
          <w:rFonts w:cs="Arial"/>
          <w:u w:val="single"/>
          <w:rtl/>
        </w:rPr>
        <w:t xml:space="preserve">מר לחבירו </w:t>
      </w:r>
      <w:r>
        <w:rPr>
          <w:rFonts w:cs="Arial" w:hint="cs"/>
          <w:u w:val="single"/>
          <w:rtl/>
        </w:rPr>
        <w:t>'</w:t>
      </w:r>
      <w:r w:rsidRPr="00725DD5">
        <w:rPr>
          <w:rFonts w:cs="Arial"/>
          <w:u w:val="single"/>
          <w:rtl/>
        </w:rPr>
        <w:t>שטר שבידך זכות יש לי בו</w:t>
      </w:r>
      <w:r>
        <w:rPr>
          <w:rFonts w:cs="Arial" w:hint="cs"/>
          <w:u w:val="single"/>
          <w:rtl/>
        </w:rPr>
        <w:t>'</w:t>
      </w:r>
      <w:r w:rsidRPr="00725DD5">
        <w:rPr>
          <w:rFonts w:cs="Arial"/>
          <w:u w:val="single"/>
          <w:rtl/>
        </w:rPr>
        <w:t xml:space="preserve"> –</w:t>
      </w:r>
      <w:r w:rsidRPr="00725DD5">
        <w:rPr>
          <w:rFonts w:cs="Arial" w:hint="cs"/>
          <w:u w:val="single"/>
          <w:rtl/>
        </w:rPr>
        <w:t xml:space="preserve"> </w:t>
      </w:r>
      <w:r>
        <w:rPr>
          <w:rFonts w:cs="Arial" w:hint="cs"/>
          <w:u w:val="single"/>
          <w:rtl/>
        </w:rPr>
        <w:t xml:space="preserve">וחברו מודה בזה: </w:t>
      </w:r>
    </w:p>
    <w:p w14:paraId="79DE01E8" w14:textId="77777777" w:rsidR="00795CD6" w:rsidRPr="00795CD6" w:rsidRDefault="00795CD6" w:rsidP="004B0475">
      <w:pPr>
        <w:pStyle w:val="ac"/>
        <w:numPr>
          <w:ilvl w:val="0"/>
          <w:numId w:val="17"/>
        </w:numPr>
        <w:rPr>
          <w:rtl/>
        </w:rPr>
      </w:pPr>
      <w:r w:rsidRPr="00795CD6">
        <w:rPr>
          <w:rFonts w:cs="Arial"/>
          <w:rtl/>
        </w:rPr>
        <w:lastRenderedPageBreak/>
        <w:t xml:space="preserve">רשב"א </w:t>
      </w:r>
      <w:r w:rsidRPr="00795CD6">
        <w:rPr>
          <w:rFonts w:cs="Arial" w:hint="cs"/>
          <w:sz w:val="16"/>
          <w:szCs w:val="16"/>
          <w:rtl/>
        </w:rPr>
        <w:t>(</w:t>
      </w:r>
      <w:r w:rsidRPr="00795CD6">
        <w:rPr>
          <w:rFonts w:cs="Arial"/>
          <w:sz w:val="16"/>
          <w:szCs w:val="16"/>
          <w:rtl/>
        </w:rPr>
        <w:t>בתשו</w:t>
      </w:r>
      <w:r w:rsidRPr="00795CD6">
        <w:rPr>
          <w:rFonts w:cs="Arial" w:hint="cs"/>
          <w:sz w:val="16"/>
          <w:szCs w:val="16"/>
          <w:rtl/>
        </w:rPr>
        <w:t>', הביאה הב"י)</w:t>
      </w:r>
      <w:r w:rsidRPr="00795CD6">
        <w:rPr>
          <w:rFonts w:cs="Arial" w:hint="cs"/>
          <w:rtl/>
        </w:rPr>
        <w:t>-</w:t>
      </w:r>
      <w:r w:rsidRPr="00795CD6">
        <w:rPr>
          <w:rFonts w:cs="Arial"/>
          <w:rtl/>
        </w:rPr>
        <w:t xml:space="preserve"> אם שמעון מודה שיש בידו שטר של זכות לראובן בשטר צואה שהשכיב מרע מחלק נכסיו לזה ולזה וכיוצא בזה</w:t>
      </w:r>
      <w:r w:rsidRPr="00795CD6">
        <w:rPr>
          <w:rFonts w:cs="Arial" w:hint="cs"/>
          <w:rtl/>
        </w:rPr>
        <w:t xml:space="preserve"> -</w:t>
      </w:r>
      <w:r w:rsidRPr="00795CD6">
        <w:rPr>
          <w:rFonts w:cs="Arial"/>
          <w:rtl/>
        </w:rPr>
        <w:t xml:space="preserve"> חייב הוא להוציא אותו שטר בבית דין כדי שיזכה בו ראובן שיש לו זכות</w:t>
      </w:r>
      <w:r w:rsidRPr="00795CD6">
        <w:rPr>
          <w:rFonts w:cs="Arial" w:hint="cs"/>
          <w:rtl/>
        </w:rPr>
        <w:t>,</w:t>
      </w:r>
      <w:r w:rsidRPr="00795CD6">
        <w:rPr>
          <w:rFonts w:cs="Arial"/>
          <w:rtl/>
        </w:rPr>
        <w:t xml:space="preserve"> ובית דין מתפיסין לו מה שכתוב בו מזכותו</w:t>
      </w:r>
      <w:r>
        <w:rPr>
          <w:rStyle w:val="ab"/>
          <w:rFonts w:cs="Arial"/>
          <w:rtl/>
        </w:rPr>
        <w:footnoteReference w:id="900"/>
      </w:r>
      <w:r w:rsidRPr="00795CD6">
        <w:rPr>
          <w:rFonts w:cs="Arial" w:hint="cs"/>
          <w:rtl/>
        </w:rPr>
        <w:t>.</w:t>
      </w:r>
      <w:r w:rsidRPr="00795CD6">
        <w:rPr>
          <w:rFonts w:cs="Arial" w:hint="cs"/>
          <w:color w:val="E36C0A" w:themeColor="accent6" w:themeShade="BF"/>
          <w:rtl/>
        </w:rPr>
        <w:t xml:space="preserve"> </w:t>
      </w:r>
      <w:r w:rsidRPr="00EA1846">
        <w:rPr>
          <w:rFonts w:cs="Arial" w:hint="cs"/>
          <w:color w:val="E36C0A" w:themeColor="accent6" w:themeShade="BF"/>
          <w:rtl/>
        </w:rPr>
        <w:t>(וכ"פ בשו"ע)</w:t>
      </w:r>
    </w:p>
    <w:p w14:paraId="54FC29E0" w14:textId="77777777" w:rsidR="00795CD6" w:rsidRPr="00360552" w:rsidRDefault="00360552" w:rsidP="00360552">
      <w:pPr>
        <w:ind w:left="360"/>
        <w:rPr>
          <w:rFonts w:cs="Arial"/>
          <w:u w:val="dotted"/>
        </w:rPr>
      </w:pPr>
      <w:r w:rsidRPr="00360552">
        <w:rPr>
          <w:rFonts w:cs="Arial" w:hint="cs"/>
          <w:u w:val="dotted"/>
          <w:rtl/>
        </w:rPr>
        <w:t xml:space="preserve">ומה הדין אם </w:t>
      </w:r>
      <w:r w:rsidR="00795CD6" w:rsidRPr="00360552">
        <w:rPr>
          <w:rFonts w:cs="Arial" w:hint="cs"/>
          <w:u w:val="dotted"/>
          <w:rtl/>
        </w:rPr>
        <w:t xml:space="preserve">חברו </w:t>
      </w:r>
      <w:r w:rsidR="002928B5">
        <w:rPr>
          <w:rFonts w:cs="Arial" w:hint="cs"/>
          <w:u w:val="dotted"/>
          <w:rtl/>
        </w:rPr>
        <w:t xml:space="preserve">לא מודה בזה </w:t>
      </w:r>
      <w:r w:rsidR="002928B5">
        <w:rPr>
          <w:rFonts w:cs="Arial"/>
          <w:u w:val="dotted"/>
          <w:rtl/>
        </w:rPr>
        <w:t>–</w:t>
      </w:r>
      <w:r w:rsidR="002928B5">
        <w:rPr>
          <w:rFonts w:cs="Arial" w:hint="cs"/>
          <w:u w:val="dotted"/>
          <w:rtl/>
        </w:rPr>
        <w:t xml:space="preserve"> האם כופים אותו להוציא את השטר כדי לראות:</w:t>
      </w:r>
      <w:r w:rsidR="00795CD6" w:rsidRPr="00360552">
        <w:rPr>
          <w:rFonts w:cs="Arial" w:hint="cs"/>
          <w:sz w:val="16"/>
          <w:szCs w:val="16"/>
          <w:u w:val="dotted"/>
          <w:rtl/>
        </w:rPr>
        <w:t xml:space="preserve"> </w:t>
      </w:r>
    </w:p>
    <w:p w14:paraId="68DF554F" w14:textId="77777777" w:rsidR="00807424" w:rsidRDefault="00807424" w:rsidP="004B0475">
      <w:pPr>
        <w:pStyle w:val="ac"/>
        <w:numPr>
          <w:ilvl w:val="0"/>
          <w:numId w:val="17"/>
        </w:numPr>
        <w:rPr>
          <w:rFonts w:cs="Arial"/>
        </w:rPr>
      </w:pPr>
      <w:r w:rsidRPr="00725DD5">
        <w:rPr>
          <w:rFonts w:cs="Arial" w:hint="cs"/>
          <w:rtl/>
        </w:rPr>
        <w:t xml:space="preserve">רא"ש </w:t>
      </w:r>
      <w:r w:rsidR="002928B5" w:rsidRPr="002928B5">
        <w:rPr>
          <w:rFonts w:cs="Arial" w:hint="cs"/>
          <w:sz w:val="16"/>
          <w:szCs w:val="16"/>
          <w:rtl/>
        </w:rPr>
        <w:t>(</w:t>
      </w:r>
      <w:r w:rsidRPr="002928B5">
        <w:rPr>
          <w:rFonts w:cs="Arial"/>
          <w:sz w:val="16"/>
          <w:szCs w:val="16"/>
          <w:rtl/>
        </w:rPr>
        <w:t>כלל סח סי</w:t>
      </w:r>
      <w:r w:rsidRPr="002928B5">
        <w:rPr>
          <w:rFonts w:cs="Arial" w:hint="cs"/>
          <w:sz w:val="16"/>
          <w:szCs w:val="16"/>
          <w:rtl/>
        </w:rPr>
        <w:t xml:space="preserve">' </w:t>
      </w:r>
      <w:r w:rsidRPr="002928B5">
        <w:rPr>
          <w:rFonts w:cs="Arial"/>
          <w:sz w:val="16"/>
          <w:szCs w:val="16"/>
          <w:rtl/>
        </w:rPr>
        <w:t>כה</w:t>
      </w:r>
      <w:r w:rsidR="00B67CFA">
        <w:rPr>
          <w:rFonts w:cs="Arial" w:hint="cs"/>
          <w:sz w:val="16"/>
          <w:szCs w:val="16"/>
          <w:rtl/>
        </w:rPr>
        <w:t>)</w:t>
      </w:r>
      <w:r>
        <w:rPr>
          <w:rFonts w:cs="Arial" w:hint="cs"/>
          <w:rtl/>
        </w:rPr>
        <w:t xml:space="preserve"> וטור</w:t>
      </w:r>
      <w:r w:rsidRPr="00725DD5">
        <w:rPr>
          <w:rFonts w:cs="Arial" w:hint="cs"/>
          <w:rtl/>
        </w:rPr>
        <w:t>-</w:t>
      </w:r>
      <w:r w:rsidR="002928B5">
        <w:rPr>
          <w:rFonts w:cs="Arial" w:hint="cs"/>
          <w:rtl/>
        </w:rPr>
        <w:t xml:space="preserve"> שאלת, </w:t>
      </w:r>
      <w:r w:rsidR="002928B5" w:rsidRPr="00725DD5">
        <w:rPr>
          <w:rFonts w:cs="Arial"/>
          <w:rtl/>
        </w:rPr>
        <w:t>האומר לחבירו שטר שבידך זכות יש לי בו שהורו הגאונים שכופין אותו להוציא</w:t>
      </w:r>
      <w:r w:rsidR="002928B5">
        <w:rPr>
          <w:rFonts w:cs="Arial" w:hint="cs"/>
          <w:rtl/>
        </w:rPr>
        <w:t>,</w:t>
      </w:r>
      <w:r w:rsidR="002928B5" w:rsidRPr="00725DD5">
        <w:rPr>
          <w:rFonts w:cs="Arial"/>
          <w:rtl/>
        </w:rPr>
        <w:t xml:space="preserve"> </w:t>
      </w:r>
      <w:r w:rsidR="002928B5">
        <w:rPr>
          <w:rFonts w:cs="Arial" w:hint="cs"/>
          <w:rtl/>
        </w:rPr>
        <w:t>ה</w:t>
      </w:r>
      <w:r w:rsidR="002928B5" w:rsidRPr="00725DD5">
        <w:rPr>
          <w:rFonts w:cs="Arial"/>
          <w:rtl/>
        </w:rPr>
        <w:t>אם צריך התובע שיאמר בפירוש מה זכות יש לו בשטר או לא</w:t>
      </w:r>
      <w:r w:rsidR="002928B5" w:rsidRPr="00725DD5">
        <w:rPr>
          <w:rFonts w:cs="Arial" w:hint="cs"/>
          <w:rtl/>
        </w:rPr>
        <w:t>.</w:t>
      </w:r>
      <w:r w:rsidR="002928B5" w:rsidRPr="00725DD5">
        <w:rPr>
          <w:rFonts w:cs="Arial"/>
          <w:rtl/>
        </w:rPr>
        <w:t xml:space="preserve"> תשובה</w:t>
      </w:r>
      <w:r w:rsidR="002928B5" w:rsidRPr="00725DD5">
        <w:rPr>
          <w:rFonts w:cs="Arial" w:hint="cs"/>
          <w:rtl/>
        </w:rPr>
        <w:t>,</w:t>
      </w:r>
      <w:r w:rsidR="002928B5" w:rsidRPr="00725DD5">
        <w:rPr>
          <w:rFonts w:cs="Arial"/>
          <w:rtl/>
        </w:rPr>
        <w:t xml:space="preserve"> הוראה זו של הגאונים לא פשטה בארצינו</w:t>
      </w:r>
      <w:r w:rsidR="00B67CFA">
        <w:rPr>
          <w:rFonts w:cs="Arial" w:hint="cs"/>
          <w:rtl/>
        </w:rPr>
        <w:t>,</w:t>
      </w:r>
      <w:r w:rsidR="002928B5" w:rsidRPr="00725DD5">
        <w:rPr>
          <w:rFonts w:cs="Arial"/>
          <w:rtl/>
        </w:rPr>
        <w:t xml:space="preserve"> ואין כופין לשום אדם להראות שטר שבידו בשביל טענת אחד שאמר שיש לו בו זכות</w:t>
      </w:r>
      <w:r w:rsidR="002928B5">
        <w:rPr>
          <w:rFonts w:cs="Arial" w:hint="cs"/>
          <w:rtl/>
        </w:rPr>
        <w:t>,</w:t>
      </w:r>
      <w:r w:rsidR="002928B5" w:rsidRPr="00360552">
        <w:rPr>
          <w:rFonts w:cs="Arial" w:hint="cs"/>
          <w:rtl/>
        </w:rPr>
        <w:t xml:space="preserve"> </w:t>
      </w:r>
      <w:r w:rsidR="002928B5">
        <w:rPr>
          <w:rFonts w:cs="Arial" w:hint="cs"/>
          <w:rtl/>
        </w:rPr>
        <w:t>אם לא ש</w:t>
      </w:r>
      <w:r w:rsidR="002928B5" w:rsidRPr="00725DD5">
        <w:rPr>
          <w:rFonts w:cs="Arial"/>
          <w:rtl/>
        </w:rPr>
        <w:t>אמר בפני ב"ד דברים שיש להם אמתלא</w:t>
      </w:r>
      <w:r w:rsidR="002928B5">
        <w:rPr>
          <w:rFonts w:cs="Arial" w:hint="cs"/>
          <w:rtl/>
        </w:rPr>
        <w:t xml:space="preserve"> -</w:t>
      </w:r>
      <w:r w:rsidR="002928B5" w:rsidRPr="00725DD5">
        <w:rPr>
          <w:rFonts w:cs="Arial"/>
          <w:rtl/>
        </w:rPr>
        <w:t xml:space="preserve"> אז יראה השטר לדיינין ויראו אם ימצאו בשטר הזכות שטען זה</w:t>
      </w:r>
      <w:r w:rsidR="002928B5" w:rsidRPr="00725DD5">
        <w:rPr>
          <w:rFonts w:cs="Arial" w:hint="cs"/>
          <w:rtl/>
        </w:rPr>
        <w:t>,</w:t>
      </w:r>
      <w:r w:rsidR="002928B5" w:rsidRPr="00725DD5">
        <w:rPr>
          <w:rFonts w:cs="Arial"/>
          <w:rtl/>
        </w:rPr>
        <w:t xml:space="preserve"> ובענין אחר אין כופין לאדם להראות שטרו</w:t>
      </w:r>
      <w:r w:rsidR="00B67CFA">
        <w:rPr>
          <w:rFonts w:cs="Arial" w:hint="cs"/>
          <w:rtl/>
        </w:rPr>
        <w:t>,</w:t>
      </w:r>
      <w:r w:rsidR="002928B5" w:rsidRPr="00725DD5">
        <w:rPr>
          <w:rFonts w:cs="Arial"/>
          <w:rtl/>
        </w:rPr>
        <w:t xml:space="preserve"> שאין אדם רוצה להשביע את עצמו שידעו העולם עושרו וממונו</w:t>
      </w:r>
      <w:r w:rsidR="002928B5">
        <w:rPr>
          <w:rFonts w:cs="Arial" w:hint="cs"/>
          <w:rtl/>
        </w:rPr>
        <w:t>.</w:t>
      </w:r>
      <w:r>
        <w:rPr>
          <w:rFonts w:cs="Arial" w:hint="cs"/>
          <w:rtl/>
        </w:rPr>
        <w:t xml:space="preserve"> </w:t>
      </w:r>
    </w:p>
    <w:p w14:paraId="5AD896DB" w14:textId="77777777" w:rsidR="00165F83" w:rsidRDefault="00165F83" w:rsidP="004B0475">
      <w:pPr>
        <w:pStyle w:val="ac"/>
        <w:numPr>
          <w:ilvl w:val="0"/>
          <w:numId w:val="17"/>
        </w:numPr>
        <w:rPr>
          <w:rFonts w:cs="Arial"/>
        </w:rPr>
      </w:pPr>
      <w:r w:rsidRPr="00725DD5">
        <w:rPr>
          <w:rFonts w:cs="Arial"/>
          <w:rtl/>
        </w:rPr>
        <w:t xml:space="preserve">רשב"א </w:t>
      </w:r>
      <w:r w:rsidRPr="00725DD5">
        <w:rPr>
          <w:rFonts w:cs="Arial" w:hint="cs"/>
          <w:sz w:val="16"/>
          <w:szCs w:val="16"/>
          <w:rtl/>
        </w:rPr>
        <w:t>(</w:t>
      </w:r>
      <w:r w:rsidRPr="00725DD5">
        <w:rPr>
          <w:rFonts w:cs="Arial"/>
          <w:sz w:val="16"/>
          <w:szCs w:val="16"/>
          <w:rtl/>
        </w:rPr>
        <w:t>בתשו</w:t>
      </w:r>
      <w:r w:rsidRPr="00725DD5">
        <w:rPr>
          <w:rFonts w:cs="Arial" w:hint="cs"/>
          <w:sz w:val="16"/>
          <w:szCs w:val="16"/>
          <w:rtl/>
        </w:rPr>
        <w:t>', הביאה הב"י)</w:t>
      </w:r>
      <w:r w:rsidRPr="00725DD5">
        <w:rPr>
          <w:rFonts w:cs="Arial" w:hint="cs"/>
          <w:rtl/>
        </w:rPr>
        <w:t>-</w:t>
      </w:r>
      <w:r w:rsidRPr="00725DD5">
        <w:rPr>
          <w:rFonts w:cs="Arial"/>
          <w:rtl/>
        </w:rPr>
        <w:t xml:space="preserve"> אם שמעון טוען שאין בידו שטר שיהיה בו שום זכות לראובן </w:t>
      </w:r>
      <w:r>
        <w:rPr>
          <w:rFonts w:cs="Arial" w:hint="cs"/>
          <w:rtl/>
        </w:rPr>
        <w:t xml:space="preserve">- </w:t>
      </w:r>
      <w:r w:rsidRPr="00725DD5">
        <w:rPr>
          <w:rFonts w:cs="Arial"/>
          <w:rtl/>
        </w:rPr>
        <w:t>אין מחייבין אותו להוציא שטרותיו בפני בית דין</w:t>
      </w:r>
      <w:r>
        <w:rPr>
          <w:rFonts w:cs="Arial" w:hint="cs"/>
          <w:rtl/>
        </w:rPr>
        <w:t>,</w:t>
      </w:r>
      <w:r w:rsidRPr="00725DD5">
        <w:rPr>
          <w:rFonts w:cs="Arial"/>
          <w:rtl/>
        </w:rPr>
        <w:t xml:space="preserve"> שאין אדם רוצה שיעמדו בית דין ולא שום אדם על זכיותיו ועל שטרותיו</w:t>
      </w:r>
      <w:r>
        <w:rPr>
          <w:rFonts w:cs="Arial" w:hint="cs"/>
          <w:rtl/>
        </w:rPr>
        <w:t xml:space="preserve">... </w:t>
      </w:r>
      <w:r w:rsidRPr="00725DD5">
        <w:rPr>
          <w:rFonts w:cs="Arial"/>
          <w:rtl/>
        </w:rPr>
        <w:t>אבל אם ירצה ראובן להחרים חרם סתם כל מי שיש בידו שטר שיש לו בו זכות הרשות בידו.</w:t>
      </w:r>
      <w:r w:rsidRPr="00EA1846">
        <w:rPr>
          <w:rFonts w:cs="Arial" w:hint="cs"/>
          <w:color w:val="E36C0A" w:themeColor="accent6" w:themeShade="BF"/>
          <w:rtl/>
        </w:rPr>
        <w:t xml:space="preserve"> (וכ"פ בשו"ע)</w:t>
      </w:r>
    </w:p>
    <w:p w14:paraId="4220439F" w14:textId="77777777" w:rsidR="00165F83" w:rsidRDefault="00165F83" w:rsidP="004B0475">
      <w:pPr>
        <w:pStyle w:val="ac"/>
        <w:numPr>
          <w:ilvl w:val="0"/>
          <w:numId w:val="17"/>
        </w:numPr>
        <w:rPr>
          <w:rFonts w:cs="Arial"/>
        </w:rPr>
      </w:pPr>
      <w:r w:rsidRPr="003144F8">
        <w:rPr>
          <w:rFonts w:cs="Arial"/>
          <w:rtl/>
        </w:rPr>
        <w:t xml:space="preserve">רמב"ם </w:t>
      </w:r>
      <w:r w:rsidRPr="003144F8">
        <w:rPr>
          <w:rFonts w:cs="Arial" w:hint="cs"/>
          <w:sz w:val="16"/>
          <w:szCs w:val="16"/>
          <w:rtl/>
        </w:rPr>
        <w:t>(</w:t>
      </w:r>
      <w:r w:rsidRPr="003144F8">
        <w:rPr>
          <w:rFonts w:cs="Arial"/>
          <w:sz w:val="16"/>
          <w:szCs w:val="16"/>
          <w:rtl/>
        </w:rPr>
        <w:t>הל</w:t>
      </w:r>
      <w:r w:rsidRPr="003144F8">
        <w:rPr>
          <w:rFonts w:cs="Arial" w:hint="cs"/>
          <w:sz w:val="16"/>
          <w:szCs w:val="16"/>
          <w:rtl/>
        </w:rPr>
        <w:t>'</w:t>
      </w:r>
      <w:r w:rsidRPr="003144F8">
        <w:rPr>
          <w:rFonts w:cs="Arial"/>
          <w:sz w:val="16"/>
          <w:szCs w:val="16"/>
          <w:rtl/>
        </w:rPr>
        <w:t xml:space="preserve"> טוען פ"ה ה"ז</w:t>
      </w:r>
      <w:r>
        <w:rPr>
          <w:rFonts w:cs="Arial" w:hint="cs"/>
          <w:sz w:val="16"/>
          <w:szCs w:val="16"/>
          <w:rtl/>
        </w:rPr>
        <w:t>, הביאוהו הטור והב"י בס"ס ס'</w:t>
      </w:r>
      <w:r w:rsidRPr="003144F8">
        <w:rPr>
          <w:rFonts w:cs="Arial"/>
          <w:sz w:val="16"/>
          <w:szCs w:val="16"/>
          <w:rtl/>
        </w:rPr>
        <w:t>)</w:t>
      </w:r>
      <w:r w:rsidRPr="003144F8">
        <w:rPr>
          <w:rFonts w:cs="Arial" w:hint="cs"/>
          <w:rtl/>
        </w:rPr>
        <w:t xml:space="preserve">- </w:t>
      </w:r>
      <w:r w:rsidRPr="003144F8">
        <w:rPr>
          <w:rFonts w:cs="Arial"/>
          <w:rtl/>
        </w:rPr>
        <w:t xml:space="preserve">האומר לחבירו </w:t>
      </w:r>
      <w:r>
        <w:rPr>
          <w:rFonts w:cs="Arial" w:hint="cs"/>
          <w:rtl/>
        </w:rPr>
        <w:t>'</w:t>
      </w:r>
      <w:r w:rsidRPr="003144F8">
        <w:rPr>
          <w:rFonts w:cs="Arial"/>
          <w:rtl/>
        </w:rPr>
        <w:t>שטר שיש לי בידך זכות יש לי בו</w:t>
      </w:r>
      <w:r>
        <w:rPr>
          <w:rFonts w:cs="Arial" w:hint="cs"/>
          <w:rtl/>
        </w:rPr>
        <w:t>'</w:t>
      </w:r>
      <w:r w:rsidR="00B67CFA">
        <w:rPr>
          <w:rFonts w:cs="Arial" w:hint="cs"/>
          <w:rtl/>
        </w:rPr>
        <w:t>.</w:t>
      </w:r>
      <w:r w:rsidRPr="003144F8">
        <w:rPr>
          <w:rFonts w:cs="Arial"/>
          <w:rtl/>
        </w:rPr>
        <w:t xml:space="preserve"> וזה אומר </w:t>
      </w:r>
      <w:r>
        <w:rPr>
          <w:rFonts w:cs="Arial" w:hint="cs"/>
          <w:rtl/>
        </w:rPr>
        <w:t>'</w:t>
      </w:r>
      <w:r w:rsidRPr="003144F8">
        <w:rPr>
          <w:rFonts w:cs="Arial"/>
          <w:rtl/>
        </w:rPr>
        <w:t>איני מוצ</w:t>
      </w:r>
      <w:r>
        <w:rPr>
          <w:rFonts w:cs="Arial" w:hint="cs"/>
          <w:rtl/>
        </w:rPr>
        <w:t>י</w:t>
      </w:r>
      <w:r w:rsidRPr="003144F8">
        <w:rPr>
          <w:rFonts w:cs="Arial"/>
          <w:rtl/>
        </w:rPr>
        <w:t>א שטרי</w:t>
      </w:r>
      <w:r>
        <w:rPr>
          <w:rFonts w:cs="Arial" w:hint="cs"/>
          <w:rtl/>
        </w:rPr>
        <w:t>'</w:t>
      </w:r>
      <w:r w:rsidRPr="003144F8">
        <w:rPr>
          <w:rFonts w:cs="Arial"/>
          <w:rtl/>
        </w:rPr>
        <w:t xml:space="preserve"> או </w:t>
      </w:r>
      <w:r>
        <w:rPr>
          <w:rFonts w:cs="Arial" w:hint="cs"/>
          <w:rtl/>
        </w:rPr>
        <w:t>'</w:t>
      </w:r>
      <w:r w:rsidRPr="003144F8">
        <w:rPr>
          <w:rFonts w:cs="Arial"/>
          <w:rtl/>
        </w:rPr>
        <w:t>איני יודע אם יש לך בו ראיה או לא</w:t>
      </w:r>
      <w:r>
        <w:rPr>
          <w:rFonts w:cs="Arial" w:hint="cs"/>
          <w:rtl/>
        </w:rPr>
        <w:t>'</w:t>
      </w:r>
      <w:r w:rsidRPr="003144F8">
        <w:rPr>
          <w:rFonts w:cs="Arial"/>
          <w:rtl/>
        </w:rPr>
        <w:t xml:space="preserve"> </w:t>
      </w:r>
      <w:r>
        <w:rPr>
          <w:rFonts w:cs="Arial" w:hint="cs"/>
          <w:rtl/>
        </w:rPr>
        <w:t xml:space="preserve">- </w:t>
      </w:r>
      <w:r w:rsidRPr="003144F8">
        <w:rPr>
          <w:rFonts w:cs="Arial"/>
          <w:rtl/>
        </w:rPr>
        <w:t>כופין אותו להוציאו</w:t>
      </w:r>
      <w:r>
        <w:rPr>
          <w:rFonts w:cs="Arial" w:hint="cs"/>
          <w:rtl/>
        </w:rPr>
        <w:t>.</w:t>
      </w:r>
      <w:r>
        <w:rPr>
          <w:rFonts w:cs="Arial" w:hint="cs"/>
          <w:color w:val="E36C0A" w:themeColor="accent6" w:themeShade="BF"/>
          <w:rtl/>
        </w:rPr>
        <w:t xml:space="preserve"> </w:t>
      </w:r>
      <w:r>
        <w:rPr>
          <w:rFonts w:cs="Arial" w:hint="cs"/>
          <w:rtl/>
        </w:rPr>
        <w:t>(וכ"פ הסמ"ע</w:t>
      </w:r>
      <w:r>
        <w:rPr>
          <w:rStyle w:val="ab"/>
          <w:rFonts w:cs="Arial"/>
          <w:rtl/>
        </w:rPr>
        <w:footnoteReference w:id="901"/>
      </w:r>
      <w:r>
        <w:rPr>
          <w:rFonts w:cs="Arial" w:hint="cs"/>
          <w:sz w:val="16"/>
          <w:szCs w:val="16"/>
          <w:rtl/>
        </w:rPr>
        <w:t xml:space="preserve"> [סקט"ו]</w:t>
      </w:r>
      <w:r>
        <w:rPr>
          <w:rFonts w:cs="Arial" w:hint="cs"/>
          <w:rtl/>
        </w:rPr>
        <w:t>)</w:t>
      </w:r>
    </w:p>
    <w:p w14:paraId="6ACF1276" w14:textId="77777777" w:rsidR="002928B5" w:rsidRPr="002928B5" w:rsidRDefault="002928B5" w:rsidP="002928B5">
      <w:pPr>
        <w:ind w:left="360"/>
        <w:rPr>
          <w:rFonts w:cs="Arial"/>
          <w:u w:val="dotted"/>
        </w:rPr>
      </w:pPr>
      <w:r w:rsidRPr="002928B5">
        <w:rPr>
          <w:rFonts w:cs="Arial" w:hint="cs"/>
          <w:u w:val="dotted"/>
          <w:rtl/>
        </w:rPr>
        <w:t xml:space="preserve">ומה הדין אם חברו טוען </w:t>
      </w:r>
      <w:r w:rsidRPr="002928B5">
        <w:rPr>
          <w:rFonts w:cs="Arial" w:hint="cs"/>
          <w:b/>
          <w:bCs/>
          <w:u w:val="dotted"/>
          <w:rtl/>
        </w:rPr>
        <w:t>ב</w:t>
      </w:r>
      <w:r w:rsidR="00B01E92">
        <w:rPr>
          <w:rFonts w:cs="Arial" w:hint="cs"/>
          <w:b/>
          <w:bCs/>
          <w:u w:val="dotted"/>
          <w:rtl/>
        </w:rPr>
        <w:t>ו</w:t>
      </w:r>
      <w:r w:rsidRPr="002928B5">
        <w:rPr>
          <w:rFonts w:cs="Arial" w:hint="cs"/>
          <w:b/>
          <w:bCs/>
          <w:u w:val="dotted"/>
          <w:rtl/>
        </w:rPr>
        <w:t>ודאי</w:t>
      </w:r>
      <w:r w:rsidRPr="002928B5">
        <w:rPr>
          <w:rFonts w:cs="Arial" w:hint="cs"/>
          <w:u w:val="dotted"/>
          <w:rtl/>
        </w:rPr>
        <w:t xml:space="preserve"> שהשטר שיש לו בו זכות </w:t>
      </w:r>
      <w:r w:rsidR="009C7587">
        <w:rPr>
          <w:rFonts w:cs="Arial" w:hint="cs"/>
          <w:u w:val="dotted"/>
          <w:rtl/>
        </w:rPr>
        <w:t xml:space="preserve">נמצא </w:t>
      </w:r>
      <w:r w:rsidRPr="002928B5">
        <w:rPr>
          <w:rFonts w:cs="Arial" w:hint="cs"/>
          <w:u w:val="dotted"/>
          <w:rtl/>
        </w:rPr>
        <w:t xml:space="preserve">אצלו: </w:t>
      </w:r>
    </w:p>
    <w:p w14:paraId="250421B2" w14:textId="77777777" w:rsidR="009C7587" w:rsidRDefault="009C7587" w:rsidP="004B0475">
      <w:pPr>
        <w:pStyle w:val="ac"/>
        <w:numPr>
          <w:ilvl w:val="0"/>
          <w:numId w:val="17"/>
        </w:numPr>
        <w:rPr>
          <w:rFonts w:cs="Arial"/>
        </w:rPr>
      </w:pPr>
      <w:r w:rsidRPr="00725DD5">
        <w:rPr>
          <w:rFonts w:cs="Arial"/>
          <w:rtl/>
        </w:rPr>
        <w:t xml:space="preserve">רשב"א </w:t>
      </w:r>
      <w:r w:rsidRPr="00725DD5">
        <w:rPr>
          <w:rFonts w:cs="Arial" w:hint="cs"/>
          <w:sz w:val="16"/>
          <w:szCs w:val="16"/>
          <w:rtl/>
        </w:rPr>
        <w:t>(</w:t>
      </w:r>
      <w:r>
        <w:rPr>
          <w:rFonts w:cs="Arial" w:hint="cs"/>
          <w:sz w:val="16"/>
          <w:szCs w:val="16"/>
          <w:rtl/>
        </w:rPr>
        <w:t>שם)</w:t>
      </w:r>
      <w:r w:rsidRPr="00725DD5">
        <w:rPr>
          <w:rFonts w:cs="Arial" w:hint="cs"/>
          <w:rtl/>
        </w:rPr>
        <w:t>-</w:t>
      </w:r>
      <w:r w:rsidRPr="00725DD5">
        <w:rPr>
          <w:rFonts w:cs="Arial"/>
          <w:rtl/>
        </w:rPr>
        <w:t xml:space="preserve"> אע</w:t>
      </w:r>
      <w:r>
        <w:rPr>
          <w:rFonts w:cs="Arial" w:hint="cs"/>
          <w:rtl/>
        </w:rPr>
        <w:t>"</w:t>
      </w:r>
      <w:r w:rsidRPr="00725DD5">
        <w:rPr>
          <w:rFonts w:cs="Arial"/>
          <w:rtl/>
        </w:rPr>
        <w:t>פ שראובן טוען ברי שיש לו זכות בשטר שביד שמעון</w:t>
      </w:r>
      <w:r>
        <w:rPr>
          <w:rFonts w:cs="Arial" w:hint="cs"/>
          <w:rtl/>
        </w:rPr>
        <w:t xml:space="preserve"> -</w:t>
      </w:r>
      <w:r w:rsidRPr="00725DD5">
        <w:rPr>
          <w:rFonts w:cs="Arial"/>
          <w:rtl/>
        </w:rPr>
        <w:t xml:space="preserve"> אין מחייבין אותו להוציא שטרותיו</w:t>
      </w:r>
      <w:r>
        <w:rPr>
          <w:rFonts w:cs="Arial" w:hint="cs"/>
          <w:rtl/>
        </w:rPr>
        <w:t>.</w:t>
      </w:r>
    </w:p>
    <w:p w14:paraId="2A8D61A3" w14:textId="77777777" w:rsidR="00DC4A4F" w:rsidRDefault="003144F8" w:rsidP="004B0475">
      <w:pPr>
        <w:pStyle w:val="ac"/>
        <w:numPr>
          <w:ilvl w:val="0"/>
          <w:numId w:val="17"/>
        </w:numPr>
        <w:rPr>
          <w:rFonts w:cs="Arial"/>
        </w:rPr>
      </w:pPr>
      <w:r w:rsidRPr="003144F8">
        <w:rPr>
          <w:rFonts w:cs="Arial"/>
          <w:rtl/>
        </w:rPr>
        <w:t xml:space="preserve">רמב"ם </w:t>
      </w:r>
      <w:r w:rsidRPr="003144F8">
        <w:rPr>
          <w:rFonts w:cs="Arial" w:hint="cs"/>
          <w:sz w:val="16"/>
          <w:szCs w:val="16"/>
          <w:rtl/>
        </w:rPr>
        <w:t>(</w:t>
      </w:r>
      <w:r w:rsidR="009C7587">
        <w:rPr>
          <w:rFonts w:cs="Arial" w:hint="cs"/>
          <w:sz w:val="16"/>
          <w:szCs w:val="16"/>
          <w:rtl/>
        </w:rPr>
        <w:t>שם ה"ח</w:t>
      </w:r>
      <w:r w:rsidRPr="003144F8">
        <w:rPr>
          <w:rFonts w:cs="Arial"/>
          <w:sz w:val="16"/>
          <w:szCs w:val="16"/>
          <w:rtl/>
        </w:rPr>
        <w:t>)</w:t>
      </w:r>
      <w:r w:rsidRPr="003144F8">
        <w:rPr>
          <w:rFonts w:cs="Arial" w:hint="cs"/>
          <w:rtl/>
        </w:rPr>
        <w:t xml:space="preserve">- </w:t>
      </w:r>
      <w:r w:rsidR="00EC7544" w:rsidRPr="00EC7544">
        <w:rPr>
          <w:rFonts w:cs="Arial"/>
          <w:rtl/>
        </w:rPr>
        <w:t xml:space="preserve">טען </w:t>
      </w:r>
      <w:r w:rsidR="00360552">
        <w:rPr>
          <w:rFonts w:cs="Arial" w:hint="cs"/>
          <w:sz w:val="16"/>
          <w:szCs w:val="16"/>
          <w:rtl/>
        </w:rPr>
        <w:t xml:space="preserve">{הנתבע} </w:t>
      </w:r>
      <w:r w:rsidR="00EC7544" w:rsidRPr="00EC7544">
        <w:rPr>
          <w:rFonts w:cs="Arial"/>
          <w:rtl/>
        </w:rPr>
        <w:t xml:space="preserve">שאבד השטר </w:t>
      </w:r>
      <w:r w:rsidR="00EC7544">
        <w:rPr>
          <w:rFonts w:cs="Arial" w:hint="cs"/>
          <w:rtl/>
        </w:rPr>
        <w:t xml:space="preserve">- </w:t>
      </w:r>
      <w:r w:rsidR="00EC7544" w:rsidRPr="00EC7544">
        <w:rPr>
          <w:rFonts w:cs="Arial"/>
          <w:rtl/>
        </w:rPr>
        <w:t>מחרימין אותו חרם סתם</w:t>
      </w:r>
      <w:r w:rsidR="00EC7544">
        <w:rPr>
          <w:rFonts w:cs="Arial" w:hint="cs"/>
          <w:rtl/>
        </w:rPr>
        <w:t>.</w:t>
      </w:r>
      <w:r w:rsidR="00EC7544" w:rsidRPr="00EC7544">
        <w:rPr>
          <w:rFonts w:cs="Arial"/>
          <w:rtl/>
        </w:rPr>
        <w:t xml:space="preserve"> טען זה שהוא יודע בודאי שהשטר שיש לו בו זכות</w:t>
      </w:r>
      <w:r w:rsidR="009C7587">
        <w:rPr>
          <w:rFonts w:cs="Arial" w:hint="cs"/>
          <w:rtl/>
        </w:rPr>
        <w:t>,</w:t>
      </w:r>
      <w:r w:rsidR="00EC7544" w:rsidRPr="00EC7544">
        <w:rPr>
          <w:rFonts w:cs="Arial"/>
          <w:rtl/>
        </w:rPr>
        <w:t xml:space="preserve"> אצלו </w:t>
      </w:r>
      <w:r w:rsidR="00EC7544">
        <w:rPr>
          <w:rFonts w:cs="Arial" w:hint="cs"/>
          <w:rtl/>
        </w:rPr>
        <w:t xml:space="preserve">- </w:t>
      </w:r>
      <w:r w:rsidR="00EC7544" w:rsidRPr="00EC7544">
        <w:rPr>
          <w:rFonts w:cs="Arial"/>
          <w:rtl/>
        </w:rPr>
        <w:t>הרי זה נשבע היסת שאינו אצלו ושאבד ממנו</w:t>
      </w:r>
      <w:r w:rsidR="00EC7544">
        <w:rPr>
          <w:rFonts w:cs="Arial" w:hint="cs"/>
          <w:rtl/>
        </w:rPr>
        <w:t>.</w:t>
      </w:r>
      <w:r w:rsidR="00EC7544" w:rsidRPr="00EC7544">
        <w:rPr>
          <w:rFonts w:cs="Arial"/>
          <w:rtl/>
        </w:rPr>
        <w:t xml:space="preserve"> וכזה הורו רבותי</w:t>
      </w:r>
      <w:r w:rsidR="00C17801">
        <w:rPr>
          <w:rStyle w:val="ab"/>
          <w:rFonts w:cs="Arial"/>
          <w:rtl/>
        </w:rPr>
        <w:footnoteReference w:id="902"/>
      </w:r>
      <w:r w:rsidRPr="003144F8">
        <w:rPr>
          <w:rFonts w:cs="Arial" w:hint="cs"/>
          <w:rtl/>
        </w:rPr>
        <w:t>.</w:t>
      </w:r>
      <w:r>
        <w:rPr>
          <w:rFonts w:cs="Arial" w:hint="cs"/>
          <w:rtl/>
        </w:rPr>
        <w:t xml:space="preserve"> </w:t>
      </w:r>
      <w:r w:rsidRPr="00EA1846">
        <w:rPr>
          <w:rFonts w:cs="Arial" w:hint="cs"/>
          <w:color w:val="E36C0A" w:themeColor="accent6" w:themeShade="BF"/>
          <w:rtl/>
        </w:rPr>
        <w:t>(וכ"פ בשו"ע)</w:t>
      </w:r>
      <w:r w:rsidR="00795CD6">
        <w:rPr>
          <w:rFonts w:cs="Arial" w:hint="cs"/>
          <w:rtl/>
        </w:rPr>
        <w:t xml:space="preserve"> </w:t>
      </w:r>
    </w:p>
    <w:p w14:paraId="0CE777FE" w14:textId="77777777" w:rsidR="00E137BC" w:rsidRPr="00576D5C" w:rsidRDefault="00E137BC" w:rsidP="00576D5C">
      <w:pPr>
        <w:rPr>
          <w:rFonts w:asciiTheme="minorBidi" w:hAnsiTheme="minorBidi"/>
          <w:b/>
          <w:bCs/>
          <w:color w:val="000000"/>
          <w:sz w:val="28"/>
          <w:szCs w:val="28"/>
          <w:u w:val="single"/>
          <w:rtl/>
        </w:rPr>
      </w:pPr>
      <w:r w:rsidRPr="00576D5C">
        <w:rPr>
          <w:rFonts w:asciiTheme="minorBidi" w:hAnsiTheme="minorBidi"/>
          <w:b/>
          <w:bCs/>
          <w:color w:val="000000"/>
          <w:sz w:val="28"/>
          <w:szCs w:val="28"/>
          <w:u w:val="single"/>
          <w:rtl/>
        </w:rPr>
        <w:t>שו"ע:</w:t>
      </w:r>
    </w:p>
    <w:p w14:paraId="26F31395" w14:textId="77777777" w:rsidR="00E137BC" w:rsidRDefault="00E137BC" w:rsidP="00576D5C">
      <w:pPr>
        <w:rPr>
          <w:rFonts w:asciiTheme="minorBidi" w:hAnsiTheme="minorBidi"/>
          <w:rtl/>
        </w:rPr>
      </w:pPr>
      <w:r w:rsidRPr="00576D5C">
        <w:rPr>
          <w:rFonts w:asciiTheme="minorBidi" w:hAnsiTheme="minorBidi"/>
          <w:rtl/>
        </w:rPr>
        <w:t>האומר לחבירו</w:t>
      </w:r>
      <w:r w:rsidR="00BA0F16">
        <w:rPr>
          <w:rStyle w:val="ab"/>
          <w:rFonts w:asciiTheme="minorBidi" w:hAnsiTheme="minorBidi"/>
          <w:rtl/>
        </w:rPr>
        <w:footnoteReference w:id="903"/>
      </w:r>
      <w:r w:rsidRPr="00576D5C">
        <w:rPr>
          <w:rFonts w:asciiTheme="minorBidi" w:hAnsiTheme="minorBidi"/>
          <w:rtl/>
        </w:rPr>
        <w:t xml:space="preserve"> </w:t>
      </w:r>
      <w:r w:rsidR="007E1505">
        <w:rPr>
          <w:rFonts w:asciiTheme="minorBidi" w:hAnsiTheme="minorBidi" w:hint="cs"/>
          <w:rtl/>
        </w:rPr>
        <w:t>'</w:t>
      </w:r>
      <w:r w:rsidRPr="00576D5C">
        <w:rPr>
          <w:rFonts w:asciiTheme="minorBidi" w:hAnsiTheme="minorBidi"/>
          <w:rtl/>
        </w:rPr>
        <w:t>שטר שבידך זכות יש לי בו</w:t>
      </w:r>
      <w:r w:rsidR="007E1505">
        <w:rPr>
          <w:rFonts w:asciiTheme="minorBidi" w:hAnsiTheme="minorBidi" w:hint="cs"/>
          <w:rtl/>
        </w:rPr>
        <w:t>'.</w:t>
      </w:r>
      <w:r w:rsidRPr="00576D5C">
        <w:rPr>
          <w:rFonts w:asciiTheme="minorBidi" w:hAnsiTheme="minorBidi"/>
          <w:rtl/>
        </w:rPr>
        <w:t xml:space="preserve"> אם הלה מודה שיש לזה בו זכות, חייב להוציאו ב</w:t>
      </w:r>
      <w:r w:rsidR="00725DD5">
        <w:rPr>
          <w:rFonts w:asciiTheme="minorBidi" w:hAnsiTheme="minorBidi" w:hint="cs"/>
          <w:rtl/>
        </w:rPr>
        <w:t xml:space="preserve">בית </w:t>
      </w:r>
      <w:r w:rsidRPr="00576D5C">
        <w:rPr>
          <w:rFonts w:asciiTheme="minorBidi" w:hAnsiTheme="minorBidi"/>
          <w:rtl/>
        </w:rPr>
        <w:t>ד</w:t>
      </w:r>
      <w:r w:rsidR="00725DD5">
        <w:rPr>
          <w:rFonts w:asciiTheme="minorBidi" w:hAnsiTheme="minorBidi" w:hint="cs"/>
          <w:rtl/>
        </w:rPr>
        <w:t>ין</w:t>
      </w:r>
      <w:r w:rsidRPr="00576D5C">
        <w:rPr>
          <w:rFonts w:asciiTheme="minorBidi" w:hAnsiTheme="minorBidi"/>
          <w:rtl/>
        </w:rPr>
        <w:t>, וב</w:t>
      </w:r>
      <w:r w:rsidR="00725DD5">
        <w:rPr>
          <w:rFonts w:asciiTheme="minorBidi" w:hAnsiTheme="minorBidi" w:hint="cs"/>
          <w:rtl/>
        </w:rPr>
        <w:t xml:space="preserve">ית </w:t>
      </w:r>
      <w:r w:rsidRPr="00576D5C">
        <w:rPr>
          <w:rFonts w:asciiTheme="minorBidi" w:hAnsiTheme="minorBidi"/>
          <w:rtl/>
        </w:rPr>
        <w:t>ד</w:t>
      </w:r>
      <w:r w:rsidR="00725DD5">
        <w:rPr>
          <w:rFonts w:asciiTheme="minorBidi" w:hAnsiTheme="minorBidi" w:hint="cs"/>
          <w:rtl/>
        </w:rPr>
        <w:t>ין</w:t>
      </w:r>
      <w:r w:rsidRPr="00576D5C">
        <w:rPr>
          <w:rFonts w:asciiTheme="minorBidi" w:hAnsiTheme="minorBidi"/>
          <w:rtl/>
        </w:rPr>
        <w:t xml:space="preserve"> יעתיקו מה שכתוב בו מזכותו</w:t>
      </w:r>
      <w:r w:rsidR="007E1505">
        <w:rPr>
          <w:rFonts w:asciiTheme="minorBidi" w:hAnsiTheme="minorBidi" w:hint="cs"/>
          <w:rtl/>
        </w:rPr>
        <w:t>.</w:t>
      </w:r>
      <w:r w:rsidRPr="00576D5C">
        <w:rPr>
          <w:rFonts w:asciiTheme="minorBidi" w:hAnsiTheme="minorBidi"/>
          <w:rtl/>
        </w:rPr>
        <w:t xml:space="preserve"> אבל אם הלה אומר שאין בידו שטר שיהא בו שום זכות לזה</w:t>
      </w:r>
      <w:r w:rsidR="007E1505">
        <w:rPr>
          <w:rFonts w:asciiTheme="minorBidi" w:hAnsiTheme="minorBidi" w:hint="cs"/>
          <w:rtl/>
        </w:rPr>
        <w:t>,</w:t>
      </w:r>
      <w:r w:rsidRPr="00576D5C">
        <w:rPr>
          <w:rFonts w:asciiTheme="minorBidi" w:hAnsiTheme="minorBidi"/>
          <w:rtl/>
        </w:rPr>
        <w:t xml:space="preserve"> אין מחייבים אותו להראות שטר לשום אדם. אבל אם ירצה זה להחרים חרם סתם על כל מי שיש בידו שטר שיש לו זכות בו, שיראנו, יחרים</w:t>
      </w:r>
      <w:r w:rsidR="00217659">
        <w:rPr>
          <w:rStyle w:val="ab"/>
          <w:rFonts w:asciiTheme="minorBidi" w:hAnsiTheme="minorBidi"/>
          <w:rtl/>
        </w:rPr>
        <w:footnoteReference w:id="904"/>
      </w:r>
      <w:r w:rsidRPr="00576D5C">
        <w:rPr>
          <w:rFonts w:asciiTheme="minorBidi" w:hAnsiTheme="minorBidi"/>
          <w:rtl/>
        </w:rPr>
        <w:t xml:space="preserve">. ואם טען זה בודאי שהוא יודע שהשטר שיש לו זכות בו הוא אצלו, הרי זה נשבע היסת שאינו אצלו. </w:t>
      </w:r>
    </w:p>
    <w:p w14:paraId="5642F978" w14:textId="77777777" w:rsidR="00585555" w:rsidRPr="00576D5C" w:rsidRDefault="00585555" w:rsidP="00576D5C">
      <w:pPr>
        <w:rPr>
          <w:rFonts w:asciiTheme="minorBidi" w:hAnsiTheme="minorBidi"/>
          <w:rtl/>
        </w:rPr>
      </w:pPr>
    </w:p>
    <w:p w14:paraId="62694F3A" w14:textId="77777777" w:rsidR="00E137BC" w:rsidRDefault="00E137BC" w:rsidP="006567B0">
      <w:pPr>
        <w:pStyle w:val="2"/>
        <w:rPr>
          <w:rtl/>
        </w:rPr>
      </w:pPr>
      <w:bookmarkStart w:id="139" w:name="_Toc24883623"/>
      <w:r w:rsidRPr="00576D5C">
        <w:rPr>
          <w:rtl/>
        </w:rPr>
        <w:lastRenderedPageBreak/>
        <w:t>סעיף ה</w:t>
      </w:r>
      <w:r w:rsidR="00585555">
        <w:rPr>
          <w:rFonts w:hint="cs"/>
          <w:rtl/>
        </w:rPr>
        <w:t>:</w:t>
      </w:r>
      <w:r w:rsidR="006B0BF6">
        <w:rPr>
          <w:rFonts w:hint="cs"/>
          <w:rtl/>
        </w:rPr>
        <w:t xml:space="preserve"> </w:t>
      </w:r>
      <w:r w:rsidR="006B0BF6">
        <w:rPr>
          <w:rFonts w:cs="Arial" w:hint="cs"/>
          <w:rtl/>
        </w:rPr>
        <w:t>בעל דין שטוען שיש זיוף בשטר שהוציאו עליו ולכן מבקש לראותו</w:t>
      </w:r>
      <w:r w:rsidR="006B0BF6">
        <w:rPr>
          <w:rFonts w:hint="cs"/>
          <w:rtl/>
        </w:rPr>
        <w:t>.</w:t>
      </w:r>
      <w:bookmarkEnd w:id="139"/>
    </w:p>
    <w:p w14:paraId="7D114DB7" w14:textId="77777777" w:rsidR="00CB562F" w:rsidRPr="00CB562F" w:rsidRDefault="006B0BF6" w:rsidP="00CB562F">
      <w:pPr>
        <w:rPr>
          <w:rFonts w:cs="Arial"/>
          <w:sz w:val="16"/>
          <w:szCs w:val="16"/>
          <w:u w:val="single"/>
          <w:rtl/>
        </w:rPr>
      </w:pPr>
      <w:r w:rsidRPr="006B0BF6">
        <w:rPr>
          <w:rFonts w:cs="Arial" w:hint="cs"/>
          <w:u w:val="single"/>
          <w:rtl/>
        </w:rPr>
        <w:t xml:space="preserve">בעל דין שטוען שיש זיוף בשטר שהוציאו עליו ולכן </w:t>
      </w:r>
      <w:r>
        <w:rPr>
          <w:rFonts w:cs="Arial" w:hint="cs"/>
          <w:u w:val="single"/>
          <w:rtl/>
        </w:rPr>
        <w:t>מבקש</w:t>
      </w:r>
      <w:r w:rsidRPr="006B0BF6">
        <w:rPr>
          <w:rFonts w:cs="Arial" w:hint="cs"/>
          <w:u w:val="single"/>
          <w:rtl/>
        </w:rPr>
        <w:t xml:space="preserve"> לראותו</w:t>
      </w:r>
      <w:r w:rsidR="00CB562F" w:rsidRPr="00766BF9">
        <w:rPr>
          <w:rFonts w:cs="Arial" w:hint="cs"/>
          <w:u w:val="single"/>
          <w:rtl/>
        </w:rPr>
        <w:t>:</w:t>
      </w:r>
      <w:r w:rsidR="00CB562F" w:rsidRPr="00CB562F">
        <w:rPr>
          <w:rFonts w:cs="Arial" w:hint="cs"/>
          <w:sz w:val="16"/>
          <w:szCs w:val="16"/>
          <w:rtl/>
        </w:rPr>
        <w:t xml:space="preserve">  (ב"י ס"ס ס')</w:t>
      </w:r>
    </w:p>
    <w:p w14:paraId="1BDF6A08" w14:textId="77777777" w:rsidR="00CB562F" w:rsidRDefault="00CB562F" w:rsidP="004B0475">
      <w:pPr>
        <w:pStyle w:val="ac"/>
        <w:numPr>
          <w:ilvl w:val="0"/>
          <w:numId w:val="18"/>
        </w:numPr>
        <w:rPr>
          <w:rFonts w:cs="Arial"/>
        </w:rPr>
      </w:pPr>
      <w:r w:rsidRPr="00CB562F">
        <w:rPr>
          <w:rFonts w:cs="Arial"/>
          <w:rtl/>
        </w:rPr>
        <w:t xml:space="preserve">רא"ש </w:t>
      </w:r>
      <w:r w:rsidRPr="00CB562F">
        <w:rPr>
          <w:rFonts w:cs="Arial" w:hint="cs"/>
          <w:sz w:val="16"/>
          <w:szCs w:val="16"/>
          <w:rtl/>
        </w:rPr>
        <w:t>(</w:t>
      </w:r>
      <w:r w:rsidRPr="00CB562F">
        <w:rPr>
          <w:rFonts w:cs="Arial"/>
          <w:sz w:val="16"/>
          <w:szCs w:val="16"/>
          <w:rtl/>
        </w:rPr>
        <w:t>כלל סח סי</w:t>
      </w:r>
      <w:r w:rsidRPr="00CB562F">
        <w:rPr>
          <w:rFonts w:cs="Arial" w:hint="cs"/>
          <w:sz w:val="16"/>
          <w:szCs w:val="16"/>
          <w:rtl/>
        </w:rPr>
        <w:t>'</w:t>
      </w:r>
      <w:r w:rsidRPr="00CB562F">
        <w:rPr>
          <w:rFonts w:cs="Arial"/>
          <w:sz w:val="16"/>
          <w:szCs w:val="16"/>
          <w:rtl/>
        </w:rPr>
        <w:t xml:space="preserve"> כד</w:t>
      </w:r>
      <w:r w:rsidRPr="00CB562F">
        <w:rPr>
          <w:rFonts w:cs="Arial" w:hint="cs"/>
          <w:sz w:val="16"/>
          <w:szCs w:val="16"/>
          <w:rtl/>
        </w:rPr>
        <w:t>)</w:t>
      </w:r>
      <w:r w:rsidRPr="00CB562F">
        <w:rPr>
          <w:rFonts w:cs="Arial" w:hint="cs"/>
          <w:rtl/>
        </w:rPr>
        <w:t xml:space="preserve">- </w:t>
      </w:r>
      <w:r w:rsidRPr="00CB562F">
        <w:rPr>
          <w:rFonts w:cs="Arial"/>
          <w:rtl/>
        </w:rPr>
        <w:t>מורינו ורבינו שיחיה. מה שהייתי נוהג עתה ולפי מנהג המקומות כל מי שהיה בא לפני לדין ומביא שטר על חבירו והיה בעל דינו תובע הטפסת השטר הייתי מצוה לנתנו לו. שהרבה פעמים מפני נתינת הטופס היה נפסד השטר מעיקרו או מפני זיוף שנמצא בו משום גרד או מחק או בשינוי השמות. והייתי סומך בזה על תשובת שאלה שמצאתי בשם הרמב"ם ז"ל. ויש בכאן מערערים בזה והראו לי פסק לרבינו רשב"א</w:t>
      </w:r>
      <w:r w:rsidR="00C6365B">
        <w:rPr>
          <w:rStyle w:val="ab"/>
          <w:rFonts w:cs="Arial"/>
          <w:rtl/>
        </w:rPr>
        <w:footnoteReference w:id="905"/>
      </w:r>
      <w:r w:rsidRPr="00CB562F">
        <w:rPr>
          <w:rFonts w:cs="Arial" w:hint="cs"/>
          <w:rtl/>
        </w:rPr>
        <w:t>...</w:t>
      </w:r>
      <w:r w:rsidRPr="00CB562F">
        <w:rPr>
          <w:rtl/>
        </w:rPr>
        <w:t xml:space="preserve"> </w:t>
      </w:r>
      <w:r w:rsidRPr="00CB562F">
        <w:rPr>
          <w:rFonts w:cs="Arial"/>
          <w:rtl/>
        </w:rPr>
        <w:t>ועתה אנו ממתינין הכרעת מורינו שיחיה.</w:t>
      </w:r>
      <w:r>
        <w:rPr>
          <w:rFonts w:hint="cs"/>
          <w:rtl/>
        </w:rPr>
        <w:t xml:space="preserve"> תשובה,</w:t>
      </w:r>
      <w:r w:rsidRPr="00CB562F">
        <w:rPr>
          <w:rtl/>
        </w:rPr>
        <w:t xml:space="preserve"> </w:t>
      </w:r>
      <w:r w:rsidRPr="00CB562F">
        <w:rPr>
          <w:rFonts w:cs="Arial"/>
          <w:rtl/>
        </w:rPr>
        <w:t>דע לך כי מנהג פשוט הוא בכל דייני ארץ אשכנז שכל אדם שמוציא שטר על חבירו בב"ד וטוען הנתבע שיתנו לו השטר לדקדק בו</w:t>
      </w:r>
      <w:r w:rsidR="009C7587">
        <w:rPr>
          <w:rFonts w:cs="Arial" w:hint="cs"/>
          <w:rtl/>
        </w:rPr>
        <w:t>ף</w:t>
      </w:r>
      <w:r w:rsidRPr="00CB562F">
        <w:rPr>
          <w:rFonts w:cs="Arial"/>
          <w:rtl/>
        </w:rPr>
        <w:t xml:space="preserve"> והלה אומר שאינו רוצה להאמין שטר בידו </w:t>
      </w:r>
      <w:r w:rsidR="009C7587">
        <w:rPr>
          <w:rFonts w:cs="Arial" w:hint="cs"/>
          <w:rtl/>
        </w:rPr>
        <w:t xml:space="preserve">- </w:t>
      </w:r>
      <w:r w:rsidRPr="00CB562F">
        <w:rPr>
          <w:rFonts w:cs="Arial"/>
          <w:rtl/>
        </w:rPr>
        <w:t>אז בית דין מעתיקים השטר ונותנים העתקה ביד הנתבע ומדקדק בשטר אולי ימצא בו זיוף מחק או גרד</w:t>
      </w:r>
      <w:r w:rsidR="009C7587">
        <w:rPr>
          <w:rFonts w:cs="Arial" w:hint="cs"/>
          <w:rtl/>
        </w:rPr>
        <w:t>.</w:t>
      </w:r>
      <w:r w:rsidRPr="00CB562F">
        <w:rPr>
          <w:rFonts w:cs="Arial"/>
          <w:rtl/>
        </w:rPr>
        <w:t xml:space="preserve"> ודין צדק הוא</w:t>
      </w:r>
      <w:r w:rsidR="009C7587">
        <w:rPr>
          <w:rFonts w:cs="Arial" w:hint="cs"/>
          <w:rtl/>
        </w:rPr>
        <w:t>,</w:t>
      </w:r>
      <w:r w:rsidRPr="00CB562F">
        <w:rPr>
          <w:rFonts w:cs="Arial"/>
          <w:rtl/>
        </w:rPr>
        <w:t xml:space="preserve"> כי מי יחוש לתור לחזור ולבדוק ולפשפש אלא בעל הדבר</w:t>
      </w:r>
      <w:r w:rsidR="009C7587">
        <w:rPr>
          <w:rFonts w:cs="Arial" w:hint="cs"/>
          <w:rtl/>
        </w:rPr>
        <w:t>.</w:t>
      </w:r>
      <w:r w:rsidRPr="00CB562F">
        <w:rPr>
          <w:rFonts w:cs="Arial"/>
          <w:rtl/>
        </w:rPr>
        <w:t xml:space="preserve"> ואם השטר הוא כשר ואמיתי</w:t>
      </w:r>
      <w:r w:rsidR="009C7587">
        <w:rPr>
          <w:rFonts w:cs="Arial" w:hint="cs"/>
          <w:rtl/>
        </w:rPr>
        <w:t>,</w:t>
      </w:r>
      <w:r w:rsidRPr="00CB562F">
        <w:rPr>
          <w:rFonts w:cs="Arial"/>
          <w:rtl/>
        </w:rPr>
        <w:t xml:space="preserve"> מה עול ושקר יוכל לעשות בשביל שהטופס בידו</w:t>
      </w:r>
      <w:r w:rsidR="009C7587">
        <w:rPr>
          <w:rFonts w:cs="Arial" w:hint="cs"/>
          <w:rtl/>
        </w:rPr>
        <w:t>.</w:t>
      </w:r>
      <w:r w:rsidRPr="00CB562F">
        <w:rPr>
          <w:rFonts w:cs="Arial"/>
          <w:rtl/>
        </w:rPr>
        <w:t xml:space="preserve"> ועל זה נאמר צדק צדק תרדוף לדין דין אמת לאמתו, כי הדבר יוכל להתברר יותר על פי בעל הדבר ממה שיוכל להתברר על פי ראות הדיינים</w:t>
      </w:r>
      <w:r w:rsidR="00C6365B">
        <w:rPr>
          <w:rStyle w:val="ab"/>
          <w:rFonts w:cs="Arial"/>
          <w:rtl/>
        </w:rPr>
        <w:footnoteReference w:id="906"/>
      </w:r>
      <w:r w:rsidRPr="00CB562F">
        <w:rPr>
          <w:rFonts w:cs="Arial"/>
          <w:rtl/>
        </w:rPr>
        <w:t>.</w:t>
      </w:r>
      <w:r w:rsidRPr="00CB562F">
        <w:rPr>
          <w:rFonts w:cs="Arial" w:hint="cs"/>
          <w:rtl/>
        </w:rPr>
        <w:t>..</w:t>
      </w:r>
      <w:r w:rsidRPr="00CB562F">
        <w:rPr>
          <w:rFonts w:cs="Arial"/>
          <w:rtl/>
        </w:rPr>
        <w:t xml:space="preserve"> לכך החזק במנהגך ואל תרף ידך כי מנהג הגון הוא ודין צדק הוא</w:t>
      </w:r>
      <w:r>
        <w:rPr>
          <w:rStyle w:val="ab"/>
          <w:rFonts w:cs="Arial"/>
          <w:rtl/>
        </w:rPr>
        <w:footnoteReference w:id="907"/>
      </w:r>
      <w:r w:rsidRPr="00CB562F">
        <w:rPr>
          <w:rFonts w:cs="Arial"/>
          <w:rtl/>
        </w:rPr>
        <w:t xml:space="preserve">. </w:t>
      </w:r>
      <w:r w:rsidR="006B0BF6" w:rsidRPr="00EA1846">
        <w:rPr>
          <w:rFonts w:cs="Arial" w:hint="cs"/>
          <w:color w:val="E36C0A" w:themeColor="accent6" w:themeShade="BF"/>
          <w:rtl/>
        </w:rPr>
        <w:t>(וכ"פ בשו"ע)</w:t>
      </w:r>
    </w:p>
    <w:p w14:paraId="64F374D1" w14:textId="77777777" w:rsidR="00CB562F" w:rsidRDefault="00CB562F" w:rsidP="004B0475">
      <w:pPr>
        <w:pStyle w:val="ac"/>
        <w:numPr>
          <w:ilvl w:val="0"/>
          <w:numId w:val="18"/>
        </w:numPr>
        <w:rPr>
          <w:rFonts w:cs="Arial"/>
        </w:rPr>
      </w:pPr>
      <w:r w:rsidRPr="00CB562F">
        <w:rPr>
          <w:rFonts w:cs="Arial"/>
          <w:rtl/>
        </w:rPr>
        <w:t xml:space="preserve">ריטב"א </w:t>
      </w:r>
      <w:r w:rsidRPr="00CB562F">
        <w:rPr>
          <w:rFonts w:cs="Arial"/>
          <w:sz w:val="16"/>
          <w:szCs w:val="16"/>
          <w:rtl/>
        </w:rPr>
        <w:t>(שם קסח. ד"ה לימא</w:t>
      </w:r>
      <w:r w:rsidRPr="00CB562F">
        <w:rPr>
          <w:rFonts w:cs="Arial" w:hint="cs"/>
          <w:sz w:val="16"/>
          <w:szCs w:val="16"/>
          <w:rtl/>
        </w:rPr>
        <w:t>, כ"כ בשמו הנמוק"י</w:t>
      </w:r>
      <w:r w:rsidRPr="00CB562F">
        <w:rPr>
          <w:rFonts w:cs="Arial"/>
          <w:sz w:val="16"/>
          <w:szCs w:val="16"/>
          <w:rtl/>
        </w:rPr>
        <w:t xml:space="preserve"> </w:t>
      </w:r>
      <w:r w:rsidRPr="00CB562F">
        <w:rPr>
          <w:rFonts w:cs="Arial" w:hint="cs"/>
          <w:sz w:val="16"/>
          <w:szCs w:val="16"/>
          <w:rtl/>
        </w:rPr>
        <w:t>[</w:t>
      </w:r>
      <w:r w:rsidRPr="00CB562F">
        <w:rPr>
          <w:rFonts w:cs="Arial"/>
          <w:sz w:val="16"/>
          <w:szCs w:val="16"/>
          <w:rtl/>
        </w:rPr>
        <w:t>פ</w:t>
      </w:r>
      <w:r w:rsidRPr="00CB562F">
        <w:rPr>
          <w:rFonts w:cs="Arial" w:hint="cs"/>
          <w:sz w:val="16"/>
          <w:szCs w:val="16"/>
          <w:rtl/>
        </w:rPr>
        <w:t>'</w:t>
      </w:r>
      <w:r w:rsidRPr="00CB562F">
        <w:rPr>
          <w:rFonts w:cs="Arial"/>
          <w:sz w:val="16"/>
          <w:szCs w:val="16"/>
          <w:rtl/>
        </w:rPr>
        <w:t xml:space="preserve"> גט פשוט</w:t>
      </w:r>
      <w:r w:rsidRPr="00CB562F">
        <w:rPr>
          <w:rFonts w:cs="Arial" w:hint="cs"/>
          <w:sz w:val="16"/>
          <w:szCs w:val="16"/>
          <w:rtl/>
        </w:rPr>
        <w:t>,</w:t>
      </w:r>
      <w:r w:rsidRPr="00CB562F">
        <w:rPr>
          <w:rFonts w:cs="Arial"/>
          <w:sz w:val="16"/>
          <w:szCs w:val="16"/>
          <w:rtl/>
        </w:rPr>
        <w:t xml:space="preserve"> ב"ב עח.</w:t>
      </w:r>
      <w:r w:rsidRPr="00CB562F">
        <w:rPr>
          <w:rFonts w:cs="Arial" w:hint="cs"/>
          <w:sz w:val="16"/>
          <w:szCs w:val="16"/>
          <w:rtl/>
        </w:rPr>
        <w:t>]</w:t>
      </w:r>
      <w:r w:rsidRPr="00CB562F">
        <w:rPr>
          <w:rFonts w:cs="Arial"/>
          <w:sz w:val="16"/>
          <w:szCs w:val="16"/>
          <w:rtl/>
        </w:rPr>
        <w:t>)</w:t>
      </w:r>
      <w:r w:rsidRPr="00CB562F">
        <w:rPr>
          <w:rFonts w:cs="Arial" w:hint="cs"/>
          <w:rtl/>
        </w:rPr>
        <w:t>-</w:t>
      </w:r>
      <w:r w:rsidRPr="00CB562F">
        <w:rPr>
          <w:rFonts w:cs="Arial"/>
          <w:rtl/>
        </w:rPr>
        <w:t xml:space="preserve"> דעת מורי הרב ומורי הרשב"א שהטוען לחבירו שיתן לו טופס משטרו שמוציא עליו </w:t>
      </w:r>
      <w:r w:rsidR="009C7587">
        <w:rPr>
          <w:rFonts w:cs="Arial" w:hint="cs"/>
          <w:rtl/>
        </w:rPr>
        <w:t xml:space="preserve">- </w:t>
      </w:r>
      <w:r w:rsidRPr="00CB562F">
        <w:rPr>
          <w:rFonts w:cs="Arial"/>
          <w:rtl/>
        </w:rPr>
        <w:t>כו</w:t>
      </w:r>
      <w:r w:rsidR="009C7587">
        <w:rPr>
          <w:rFonts w:cs="Arial" w:hint="cs"/>
          <w:rtl/>
        </w:rPr>
        <w:t>"</w:t>
      </w:r>
      <w:r w:rsidRPr="00CB562F">
        <w:rPr>
          <w:rFonts w:cs="Arial"/>
          <w:rtl/>
        </w:rPr>
        <w:t xml:space="preserve">ע מודו שיכול לומר בעל השטר </w:t>
      </w:r>
      <w:r w:rsidR="009C7587">
        <w:rPr>
          <w:rFonts w:cs="Arial" w:hint="cs"/>
          <w:rtl/>
        </w:rPr>
        <w:t>'</w:t>
      </w:r>
      <w:r w:rsidRPr="00CB562F">
        <w:rPr>
          <w:rFonts w:cs="Arial"/>
          <w:rtl/>
        </w:rPr>
        <w:t>אתה רוצה לבקש עקיפין של שקר על שטר שלי כדי שתפסידני</w:t>
      </w:r>
      <w:r w:rsidR="009C7587">
        <w:rPr>
          <w:rFonts w:cs="Arial" w:hint="cs"/>
          <w:rtl/>
        </w:rPr>
        <w:t>',</w:t>
      </w:r>
      <w:r w:rsidRPr="00CB562F">
        <w:rPr>
          <w:rFonts w:cs="Arial"/>
          <w:rtl/>
        </w:rPr>
        <w:t xml:space="preserve"> וזו טענה גדולה היא</w:t>
      </w:r>
      <w:r w:rsidR="009C7587">
        <w:rPr>
          <w:rFonts w:cs="Arial" w:hint="cs"/>
          <w:rtl/>
        </w:rPr>
        <w:t>.</w:t>
      </w:r>
      <w:r w:rsidRPr="00CB562F">
        <w:rPr>
          <w:rFonts w:cs="Arial"/>
          <w:rtl/>
        </w:rPr>
        <w:t xml:space="preserve"> אבל מראהו לו בבית דין לקרותו ולראותו</w:t>
      </w:r>
      <w:r w:rsidR="009C7587">
        <w:rPr>
          <w:rFonts w:cs="Arial" w:hint="cs"/>
          <w:rtl/>
        </w:rPr>
        <w:t>.</w:t>
      </w:r>
      <w:r w:rsidRPr="00CB562F">
        <w:rPr>
          <w:rFonts w:cs="Arial"/>
          <w:rtl/>
        </w:rPr>
        <w:t xml:space="preserve"> וכן דנתי לפני רבותי פעמים הרבה</w:t>
      </w:r>
      <w:r w:rsidRPr="00CB562F">
        <w:rPr>
          <w:rFonts w:cs="Arial" w:hint="cs"/>
          <w:rtl/>
        </w:rPr>
        <w:t>.</w:t>
      </w:r>
      <w:r w:rsidRPr="00CB562F">
        <w:rPr>
          <w:rFonts w:cs="Arial"/>
          <w:rtl/>
        </w:rPr>
        <w:t xml:space="preserve"> </w:t>
      </w:r>
    </w:p>
    <w:p w14:paraId="6AD573CE" w14:textId="77777777" w:rsidR="00905753" w:rsidRPr="00905753" w:rsidRDefault="00905753" w:rsidP="00905753">
      <w:pPr>
        <w:ind w:left="360"/>
        <w:rPr>
          <w:rFonts w:cs="Arial"/>
          <w:u w:val="dotted"/>
        </w:rPr>
      </w:pPr>
      <w:r w:rsidRPr="00905753">
        <w:rPr>
          <w:rFonts w:cs="Arial" w:hint="cs"/>
          <w:u w:val="dotted"/>
          <w:rtl/>
        </w:rPr>
        <w:t>ומה הדין אם כתוב על הטופס '</w:t>
      </w:r>
      <w:r w:rsidRPr="00905753">
        <w:rPr>
          <w:rFonts w:cs="Arial"/>
          <w:u w:val="dotted"/>
          <w:rtl/>
        </w:rPr>
        <w:t>בלא טפיסת טופס מזה השטר</w:t>
      </w:r>
      <w:r w:rsidRPr="00905753">
        <w:rPr>
          <w:rFonts w:cs="Arial" w:hint="cs"/>
          <w:u w:val="dotted"/>
          <w:rtl/>
        </w:rPr>
        <w:t>':</w:t>
      </w:r>
    </w:p>
    <w:p w14:paraId="19C885AC" w14:textId="77777777" w:rsidR="00905753" w:rsidRPr="00905753" w:rsidRDefault="00905753" w:rsidP="004B0475">
      <w:pPr>
        <w:pStyle w:val="ac"/>
        <w:numPr>
          <w:ilvl w:val="0"/>
          <w:numId w:val="18"/>
        </w:numPr>
        <w:rPr>
          <w:rFonts w:cs="Arial"/>
        </w:rPr>
      </w:pPr>
      <w:r w:rsidRPr="00766BF9">
        <w:rPr>
          <w:rFonts w:cs="Arial"/>
          <w:rtl/>
        </w:rPr>
        <w:t xml:space="preserve">רמב"ם </w:t>
      </w:r>
      <w:r w:rsidRPr="00766BF9">
        <w:rPr>
          <w:rFonts w:cs="Arial"/>
          <w:sz w:val="16"/>
          <w:szCs w:val="16"/>
          <w:rtl/>
        </w:rPr>
        <w:t>(</w:t>
      </w:r>
      <w:r w:rsidRPr="00766BF9">
        <w:rPr>
          <w:rFonts w:cs="Arial" w:hint="cs"/>
          <w:sz w:val="16"/>
          <w:szCs w:val="16"/>
          <w:rtl/>
        </w:rPr>
        <w:t xml:space="preserve">בתשו' </w:t>
      </w:r>
      <w:r w:rsidRPr="00766BF9">
        <w:rPr>
          <w:rFonts w:cs="Arial"/>
          <w:sz w:val="16"/>
          <w:szCs w:val="16"/>
          <w:rtl/>
        </w:rPr>
        <w:t>סי' תיד</w:t>
      </w:r>
      <w:r w:rsidR="001D5A74" w:rsidRPr="001D5A74">
        <w:rPr>
          <w:rFonts w:cs="Arial"/>
          <w:sz w:val="16"/>
          <w:szCs w:val="16"/>
          <w:rtl/>
        </w:rPr>
        <w:t xml:space="preserve"> </w:t>
      </w:r>
      <w:r w:rsidR="001D5A74" w:rsidRPr="00766BF9">
        <w:rPr>
          <w:rFonts w:cs="Arial"/>
          <w:sz w:val="16"/>
          <w:szCs w:val="16"/>
          <w:rtl/>
        </w:rPr>
        <w:t>מהדו' בלאו</w:t>
      </w:r>
      <w:r w:rsidRPr="00766BF9">
        <w:rPr>
          <w:rFonts w:cs="Arial"/>
          <w:sz w:val="16"/>
          <w:szCs w:val="16"/>
          <w:rtl/>
        </w:rPr>
        <w:t>)</w:t>
      </w:r>
      <w:r w:rsidRPr="00766BF9">
        <w:rPr>
          <w:rFonts w:cs="Arial" w:hint="cs"/>
          <w:rtl/>
        </w:rPr>
        <w:t xml:space="preserve">- </w:t>
      </w:r>
      <w:r w:rsidRPr="00766BF9">
        <w:rPr>
          <w:rFonts w:cs="Arial"/>
          <w:rtl/>
        </w:rPr>
        <w:t>שטר שביד ראובן המלוה</w:t>
      </w:r>
      <w:r w:rsidRPr="00766BF9">
        <w:rPr>
          <w:rFonts w:cs="Arial" w:hint="cs"/>
          <w:rtl/>
        </w:rPr>
        <w:t>,</w:t>
      </w:r>
      <w:r w:rsidRPr="00766BF9">
        <w:rPr>
          <w:rFonts w:cs="Arial"/>
          <w:rtl/>
        </w:rPr>
        <w:t xml:space="preserve"> אע</w:t>
      </w:r>
      <w:r w:rsidRPr="00766BF9">
        <w:rPr>
          <w:rFonts w:cs="Arial" w:hint="cs"/>
          <w:rtl/>
        </w:rPr>
        <w:t>"</w:t>
      </w:r>
      <w:r w:rsidRPr="00766BF9">
        <w:rPr>
          <w:rFonts w:cs="Arial"/>
          <w:rtl/>
        </w:rPr>
        <w:t xml:space="preserve">פ שכתוב בו </w:t>
      </w:r>
      <w:r w:rsidRPr="00766BF9">
        <w:rPr>
          <w:rFonts w:cs="Arial" w:hint="cs"/>
          <w:rtl/>
        </w:rPr>
        <w:t>'</w:t>
      </w:r>
      <w:r w:rsidRPr="00766BF9">
        <w:rPr>
          <w:rFonts w:cs="Arial"/>
          <w:rtl/>
        </w:rPr>
        <w:t>בלא טפיסת טופס מזה השטר</w:t>
      </w:r>
      <w:r w:rsidRPr="00766BF9">
        <w:rPr>
          <w:rFonts w:cs="Arial" w:hint="cs"/>
          <w:rtl/>
        </w:rPr>
        <w:t>' -</w:t>
      </w:r>
      <w:r w:rsidRPr="00766BF9">
        <w:rPr>
          <w:rFonts w:cs="Arial"/>
          <w:rtl/>
        </w:rPr>
        <w:t xml:space="preserve"> אין טענה לראובן להמנע מכתיבת הטופס ממנו</w:t>
      </w:r>
      <w:r w:rsidRPr="00766BF9">
        <w:rPr>
          <w:rFonts w:cs="Arial" w:hint="cs"/>
          <w:rtl/>
        </w:rPr>
        <w:t>,</w:t>
      </w:r>
      <w:r w:rsidRPr="00766BF9">
        <w:rPr>
          <w:rFonts w:cs="Arial"/>
          <w:rtl/>
        </w:rPr>
        <w:t xml:space="preserve"> ואפילו התנה זו על טופסו בביאור</w:t>
      </w:r>
      <w:r w:rsidRPr="00766BF9">
        <w:rPr>
          <w:rFonts w:cs="Arial" w:hint="cs"/>
          <w:rtl/>
        </w:rPr>
        <w:t>,</w:t>
      </w:r>
      <w:r w:rsidRPr="00766BF9">
        <w:rPr>
          <w:rFonts w:cs="Arial"/>
          <w:rtl/>
        </w:rPr>
        <w:t xml:space="preserve"> מפני שזה הענין אינו מחייב השהיית הפרעון אלא לאחר בירור ההפסד והזיוף שבשטרו</w:t>
      </w:r>
      <w:r w:rsidRPr="00766BF9">
        <w:rPr>
          <w:rFonts w:cs="Arial" w:hint="cs"/>
          <w:rtl/>
        </w:rPr>
        <w:t>,</w:t>
      </w:r>
      <w:r w:rsidRPr="00766BF9">
        <w:rPr>
          <w:rFonts w:cs="Arial"/>
          <w:rtl/>
        </w:rPr>
        <w:t xml:space="preserve"> א</w:t>
      </w:r>
      <w:r w:rsidRPr="00766BF9">
        <w:rPr>
          <w:rFonts w:cs="Arial" w:hint="cs"/>
          <w:rtl/>
        </w:rPr>
        <w:t>"</w:t>
      </w:r>
      <w:r w:rsidRPr="00766BF9">
        <w:rPr>
          <w:rFonts w:cs="Arial"/>
          <w:rtl/>
        </w:rPr>
        <w:t>כ כל זמן שיראה מן הדין לפי טענת בעלי דינין שיתן לו הטופס בלא זה התנאי</w:t>
      </w:r>
      <w:r w:rsidRPr="00766BF9">
        <w:rPr>
          <w:rFonts w:cs="Arial" w:hint="cs"/>
          <w:rtl/>
        </w:rPr>
        <w:t xml:space="preserve"> -</w:t>
      </w:r>
      <w:r w:rsidRPr="00766BF9">
        <w:rPr>
          <w:rFonts w:cs="Arial"/>
          <w:rtl/>
        </w:rPr>
        <w:t xml:space="preserve"> שלא יועיל זה התנאי לעכב נתינת זה הטופס. </w:t>
      </w:r>
      <w:r w:rsidRPr="00EA1846">
        <w:rPr>
          <w:rFonts w:cs="Arial" w:hint="cs"/>
          <w:color w:val="E36C0A" w:themeColor="accent6" w:themeShade="BF"/>
          <w:rtl/>
        </w:rPr>
        <w:t>(וכ"פ בשו"ע)</w:t>
      </w:r>
    </w:p>
    <w:p w14:paraId="3CBCD740" w14:textId="77777777" w:rsidR="00E137BC" w:rsidRPr="00576D5C" w:rsidRDefault="00E137BC" w:rsidP="00576D5C">
      <w:pPr>
        <w:rPr>
          <w:rFonts w:asciiTheme="minorBidi" w:hAnsiTheme="minorBidi"/>
          <w:b/>
          <w:bCs/>
          <w:color w:val="000000"/>
          <w:sz w:val="28"/>
          <w:szCs w:val="28"/>
          <w:u w:val="single"/>
          <w:rtl/>
        </w:rPr>
      </w:pPr>
      <w:r w:rsidRPr="00576D5C">
        <w:rPr>
          <w:rFonts w:asciiTheme="minorBidi" w:hAnsiTheme="minorBidi"/>
          <w:b/>
          <w:bCs/>
          <w:color w:val="000000"/>
          <w:sz w:val="28"/>
          <w:szCs w:val="28"/>
          <w:u w:val="single"/>
          <w:rtl/>
        </w:rPr>
        <w:t>שו"ע:</w:t>
      </w:r>
    </w:p>
    <w:p w14:paraId="339A7BD5" w14:textId="77777777" w:rsidR="00E137BC" w:rsidRDefault="00E137BC" w:rsidP="00905753">
      <w:pPr>
        <w:rPr>
          <w:rFonts w:asciiTheme="minorBidi" w:hAnsiTheme="minorBidi"/>
          <w:rtl/>
        </w:rPr>
      </w:pPr>
      <w:r w:rsidRPr="00576D5C">
        <w:rPr>
          <w:rFonts w:asciiTheme="minorBidi" w:hAnsiTheme="minorBidi"/>
          <w:rtl/>
        </w:rPr>
        <w:t>המוציא שטר על חבירו, והלה טוען שיש בו זיוף ושאל שיתנו לו הטפסת השטר כדי לדקדק בו, נותנין לו אף על פי שכתוב בו</w:t>
      </w:r>
      <w:r w:rsidR="0092464D">
        <w:rPr>
          <w:rFonts w:asciiTheme="minorBidi" w:hAnsiTheme="minorBidi" w:hint="cs"/>
          <w:rtl/>
        </w:rPr>
        <w:t xml:space="preserve"> '</w:t>
      </w:r>
      <w:r w:rsidRPr="00576D5C">
        <w:rPr>
          <w:rFonts w:asciiTheme="minorBidi" w:hAnsiTheme="minorBidi"/>
          <w:rtl/>
        </w:rPr>
        <w:t>בלא טפיסת טופס מזה השטר</w:t>
      </w:r>
      <w:r w:rsidR="0092464D">
        <w:rPr>
          <w:rFonts w:asciiTheme="minorBidi" w:hAnsiTheme="minorBidi" w:hint="cs"/>
          <w:rtl/>
        </w:rPr>
        <w:t>'</w:t>
      </w:r>
      <w:r w:rsidRPr="00576D5C">
        <w:rPr>
          <w:rFonts w:asciiTheme="minorBidi" w:hAnsiTheme="minorBidi"/>
          <w:rtl/>
        </w:rPr>
        <w:t>.</w:t>
      </w:r>
    </w:p>
    <w:p w14:paraId="488D5C17" w14:textId="77777777" w:rsidR="00905753" w:rsidRPr="00576D5C" w:rsidRDefault="00905753" w:rsidP="00576D5C">
      <w:pPr>
        <w:rPr>
          <w:rFonts w:asciiTheme="minorBidi" w:hAnsiTheme="minorBidi"/>
          <w:rtl/>
        </w:rPr>
        <w:sectPr w:rsidR="00905753" w:rsidRPr="00576D5C" w:rsidSect="00AF3AF9">
          <w:headerReference w:type="default" r:id="rId26"/>
          <w:footnotePr>
            <w:numRestart w:val="eachPage"/>
          </w:footnotePr>
          <w:pgSz w:w="11906" w:h="16838"/>
          <w:pgMar w:top="720" w:right="1134" w:bottom="720" w:left="1134" w:header="0" w:footer="0" w:gutter="0"/>
          <w:cols w:space="720"/>
          <w:bidi/>
          <w:rtlGutter/>
          <w:docGrid w:linePitch="360"/>
        </w:sectPr>
      </w:pPr>
    </w:p>
    <w:p w14:paraId="7212C3A8" w14:textId="77777777" w:rsidR="00E137BC" w:rsidRPr="00576D5C" w:rsidRDefault="00E137BC" w:rsidP="006567B0">
      <w:pPr>
        <w:pStyle w:val="1"/>
        <w:rPr>
          <w:rtl/>
        </w:rPr>
      </w:pPr>
      <w:bookmarkStart w:id="140" w:name="_Toc24883624"/>
      <w:r w:rsidRPr="00576D5C">
        <w:rPr>
          <w:rtl/>
        </w:rPr>
        <w:lastRenderedPageBreak/>
        <w:t>סימן יז: להשוות הבעלי דינין בכל דבר, ובו י"ב סעיפים.</w:t>
      </w:r>
      <w:bookmarkEnd w:id="140"/>
      <w:r w:rsidRPr="00576D5C">
        <w:rPr>
          <w:rtl/>
        </w:rPr>
        <w:t xml:space="preserve"> </w:t>
      </w:r>
    </w:p>
    <w:p w14:paraId="54E8F40C" w14:textId="77777777" w:rsidR="00E137BC" w:rsidRDefault="00E137BC" w:rsidP="006567B0">
      <w:pPr>
        <w:pStyle w:val="2"/>
        <w:rPr>
          <w:rtl/>
        </w:rPr>
      </w:pPr>
      <w:bookmarkStart w:id="141" w:name="_Toc24883625"/>
      <w:r w:rsidRPr="00576D5C">
        <w:rPr>
          <w:rtl/>
        </w:rPr>
        <w:t>סעיף א</w:t>
      </w:r>
      <w:r w:rsidR="00585555">
        <w:rPr>
          <w:rFonts w:hint="cs"/>
          <w:rtl/>
        </w:rPr>
        <w:t>:</w:t>
      </w:r>
      <w:r w:rsidR="00976CDA">
        <w:rPr>
          <w:rFonts w:hint="cs"/>
          <w:rtl/>
        </w:rPr>
        <w:t xml:space="preserve"> השוויה בין הבעלי דינים.</w:t>
      </w:r>
      <w:bookmarkEnd w:id="141"/>
    </w:p>
    <w:p w14:paraId="07E75F7B" w14:textId="77777777" w:rsidR="00E11433" w:rsidRDefault="00E11433" w:rsidP="00E11433">
      <w:pPr>
        <w:rPr>
          <w:rFonts w:cs="Arial"/>
          <w:rtl/>
        </w:rPr>
      </w:pPr>
      <w:r w:rsidRPr="00E11433">
        <w:rPr>
          <w:rFonts w:cs="Arial" w:hint="cs"/>
          <w:b/>
          <w:bCs/>
          <w:rtl/>
        </w:rPr>
        <w:t xml:space="preserve">שבועות </w:t>
      </w:r>
      <w:r w:rsidRPr="00E11433">
        <w:rPr>
          <w:rFonts w:cs="Arial" w:hint="cs"/>
          <w:b/>
          <w:bCs/>
          <w:sz w:val="16"/>
          <w:szCs w:val="16"/>
          <w:rtl/>
        </w:rPr>
        <w:t>(</w:t>
      </w:r>
      <w:r w:rsidR="00874026">
        <w:rPr>
          <w:rFonts w:cs="Arial" w:hint="cs"/>
          <w:b/>
          <w:bCs/>
          <w:sz w:val="16"/>
          <w:szCs w:val="16"/>
          <w:rtl/>
        </w:rPr>
        <w:t>ר"</w:t>
      </w:r>
      <w:r w:rsidRPr="00E11433">
        <w:rPr>
          <w:rFonts w:cs="Arial" w:hint="cs"/>
          <w:b/>
          <w:bCs/>
          <w:sz w:val="16"/>
          <w:szCs w:val="16"/>
          <w:rtl/>
        </w:rPr>
        <w:t xml:space="preserve">פ שבועת העדות) </w:t>
      </w:r>
      <w:r w:rsidRPr="00E11433">
        <w:rPr>
          <w:rFonts w:cs="Arial" w:hint="cs"/>
          <w:b/>
          <w:bCs/>
          <w:rtl/>
        </w:rPr>
        <w:t>ל</w:t>
      </w:r>
      <w:r w:rsidR="003D6377">
        <w:rPr>
          <w:rStyle w:val="ab"/>
          <w:rFonts w:cs="Arial"/>
          <w:b/>
          <w:bCs/>
          <w:rtl/>
        </w:rPr>
        <w:footnoteReference w:id="908"/>
      </w:r>
      <w:r w:rsidRPr="00E11433">
        <w:rPr>
          <w:rFonts w:cs="Arial" w:hint="cs"/>
          <w:b/>
          <w:bCs/>
          <w:rtl/>
        </w:rPr>
        <w:t xml:space="preserve"> ע"א:</w:t>
      </w:r>
      <w:r w:rsidRPr="00E11433">
        <w:rPr>
          <w:rFonts w:cs="Arial"/>
          <w:rtl/>
        </w:rPr>
        <w:t xml:space="preserve"> ת"ר: ועמדו שני האנשים - מצוה לבעלי דינין שיעמדו. </w:t>
      </w:r>
      <w:r w:rsidRPr="00E11433">
        <w:rPr>
          <w:rFonts w:cs="Arial"/>
          <w:u w:val="single"/>
          <w:rtl/>
        </w:rPr>
        <w:t>אמר ר' יהודה</w:t>
      </w:r>
      <w:r w:rsidRPr="00E11433">
        <w:rPr>
          <w:rFonts w:cs="Arial"/>
          <w:rtl/>
        </w:rPr>
        <w:t>: שמעתי, שאם רצו להושיב את שניהם מושיבין, איזהו אסור? שלא יהא אחד עומד ואחד יושב, אחד מדבר כל צרכו ואחד אומר לו קצר דבריך</w:t>
      </w:r>
      <w:r>
        <w:rPr>
          <w:rStyle w:val="ab"/>
          <w:rFonts w:cs="Arial"/>
          <w:rtl/>
        </w:rPr>
        <w:footnoteReference w:id="909"/>
      </w:r>
      <w:r w:rsidRPr="00E11433">
        <w:rPr>
          <w:rFonts w:cs="Arial"/>
          <w:rtl/>
        </w:rPr>
        <w:t>. ת"ר: בצדק תשפוט עמיתך - שלא יהא אחד יושב ואחד עומד</w:t>
      </w:r>
      <w:r>
        <w:rPr>
          <w:rStyle w:val="ab"/>
          <w:rFonts w:cs="Arial"/>
          <w:rtl/>
        </w:rPr>
        <w:footnoteReference w:id="910"/>
      </w:r>
      <w:r w:rsidRPr="00E11433">
        <w:rPr>
          <w:rFonts w:cs="Arial"/>
          <w:rtl/>
        </w:rPr>
        <w:t>, אחד מדבר כל צרכו ואחד אומר לו קצר דבריך.</w:t>
      </w:r>
      <w:r>
        <w:rPr>
          <w:rFonts w:cs="Arial" w:hint="cs"/>
          <w:rtl/>
        </w:rPr>
        <w:t>..</w:t>
      </w:r>
      <w:r w:rsidR="00D57800" w:rsidRPr="00D57800">
        <w:rPr>
          <w:rFonts w:cs="Arial" w:hint="cs"/>
          <w:sz w:val="14"/>
          <w:szCs w:val="14"/>
          <w:rtl/>
        </w:rPr>
        <w:t xml:space="preserve"> </w:t>
      </w:r>
      <w:r w:rsidR="00D57800">
        <w:rPr>
          <w:rFonts w:cs="Arial" w:hint="cs"/>
          <w:sz w:val="14"/>
          <w:szCs w:val="14"/>
          <w:rtl/>
        </w:rPr>
        <w:t>(ל:)</w:t>
      </w:r>
      <w:r w:rsidR="00237733" w:rsidRPr="00237733">
        <w:rPr>
          <w:rtl/>
        </w:rPr>
        <w:t xml:space="preserve"> </w:t>
      </w:r>
      <w:r w:rsidR="00237733" w:rsidRPr="00237733">
        <w:rPr>
          <w:rFonts w:cs="Arial"/>
          <w:u w:val="single"/>
          <w:rtl/>
        </w:rPr>
        <w:t>אמר עולא</w:t>
      </w:r>
      <w:r w:rsidR="00237733" w:rsidRPr="00237733">
        <w:rPr>
          <w:rFonts w:cs="Arial"/>
          <w:rtl/>
        </w:rPr>
        <w:t>: מחלוקת - בבעלי דינין, אבל בעדים - דברי הכל בעמידה, דכתיב: ועמדו שני האנשים.</w:t>
      </w:r>
      <w:r w:rsidR="00D57800" w:rsidRPr="00D57800">
        <w:rPr>
          <w:rtl/>
        </w:rPr>
        <w:t xml:space="preserve"> </w:t>
      </w:r>
      <w:r w:rsidR="00D57800" w:rsidRPr="00D57800">
        <w:rPr>
          <w:rFonts w:cs="Arial"/>
          <w:u w:val="single"/>
          <w:rtl/>
        </w:rPr>
        <w:t>אמר רב הונא</w:t>
      </w:r>
      <w:r w:rsidR="00D57800" w:rsidRPr="00D57800">
        <w:rPr>
          <w:rFonts w:cs="Arial"/>
          <w:rtl/>
        </w:rPr>
        <w:t>: מחלוקת</w:t>
      </w:r>
      <w:r w:rsidR="00D57800">
        <w:rPr>
          <w:rStyle w:val="ab"/>
          <w:rFonts w:cs="Arial"/>
          <w:rtl/>
        </w:rPr>
        <w:footnoteReference w:id="911"/>
      </w:r>
      <w:r w:rsidR="00D57800" w:rsidRPr="00D57800">
        <w:rPr>
          <w:rFonts w:cs="Arial"/>
          <w:rtl/>
        </w:rPr>
        <w:t xml:space="preserve"> - בשעת משא ומתן, אבל בשעת גמר דין - דברי הכל דיינין בישיבה ובעלי דינין בעמידה, דכתיב: וישב משה לשפוט את העם ויעמוד העם.</w:t>
      </w:r>
      <w:r w:rsidR="00D57800">
        <w:rPr>
          <w:rFonts w:cs="Arial" w:hint="cs"/>
          <w:rtl/>
        </w:rPr>
        <w:t>..</w:t>
      </w:r>
      <w:r>
        <w:rPr>
          <w:rFonts w:cs="Arial" w:hint="cs"/>
          <w:sz w:val="14"/>
          <w:szCs w:val="14"/>
          <w:rtl/>
        </w:rPr>
        <w:t xml:space="preserve"> (לא.)</w:t>
      </w:r>
      <w:r w:rsidRPr="00E11433">
        <w:rPr>
          <w:rFonts w:cs="Arial"/>
          <w:rtl/>
        </w:rPr>
        <w:t xml:space="preserve"> מנין לשנים שבאו לדין, אחד לבוש סמרטוטין ואחד לבוש איצטלית בת מאה מנה, שאומרין לו: לבוש כמותו</w:t>
      </w:r>
      <w:r>
        <w:rPr>
          <w:rStyle w:val="ab"/>
          <w:rFonts w:cs="Arial"/>
          <w:rtl/>
        </w:rPr>
        <w:footnoteReference w:id="912"/>
      </w:r>
      <w:r w:rsidRPr="00E11433">
        <w:rPr>
          <w:rFonts w:cs="Arial"/>
          <w:rtl/>
        </w:rPr>
        <w:t xml:space="preserve"> או הלבישהו כמותך? ת"ל: מדבר שקר תרחק</w:t>
      </w:r>
      <w:r>
        <w:rPr>
          <w:rStyle w:val="ab"/>
          <w:rFonts w:cs="Arial"/>
          <w:rtl/>
        </w:rPr>
        <w:footnoteReference w:id="913"/>
      </w:r>
      <w:r w:rsidRPr="00E11433">
        <w:rPr>
          <w:rFonts w:cs="Arial"/>
          <w:rtl/>
        </w:rPr>
        <w:t>.</w:t>
      </w:r>
    </w:p>
    <w:p w14:paraId="5246B378" w14:textId="77777777" w:rsidR="00237733" w:rsidRDefault="00237733" w:rsidP="00E11433">
      <w:pPr>
        <w:rPr>
          <w:rFonts w:cs="Arial"/>
          <w:rtl/>
        </w:rPr>
      </w:pPr>
      <w:r w:rsidRPr="00237733">
        <w:rPr>
          <w:rFonts w:cs="Arial" w:hint="cs"/>
          <w:b/>
          <w:bCs/>
          <w:rtl/>
        </w:rPr>
        <w:t xml:space="preserve">סנהדרין </w:t>
      </w:r>
      <w:r w:rsidRPr="00237733">
        <w:rPr>
          <w:rFonts w:cs="Arial" w:hint="cs"/>
          <w:b/>
          <w:bCs/>
          <w:sz w:val="16"/>
          <w:szCs w:val="16"/>
          <w:rtl/>
        </w:rPr>
        <w:t xml:space="preserve">(פ"ק) </w:t>
      </w:r>
      <w:r w:rsidRPr="00237733">
        <w:rPr>
          <w:rFonts w:cs="Arial" w:hint="cs"/>
          <w:b/>
          <w:bCs/>
          <w:rtl/>
        </w:rPr>
        <w:t>ו</w:t>
      </w:r>
      <w:r w:rsidR="003D6377">
        <w:rPr>
          <w:rStyle w:val="ab"/>
          <w:rFonts w:cs="Arial"/>
          <w:b/>
          <w:bCs/>
          <w:rtl/>
        </w:rPr>
        <w:footnoteReference w:id="914"/>
      </w:r>
      <w:r w:rsidRPr="00237733">
        <w:rPr>
          <w:rFonts w:cs="Arial" w:hint="cs"/>
          <w:b/>
          <w:bCs/>
          <w:rtl/>
        </w:rPr>
        <w:t xml:space="preserve"> ע"ב: </w:t>
      </w:r>
      <w:r w:rsidRPr="00237733">
        <w:rPr>
          <w:rFonts w:cs="Arial"/>
          <w:rtl/>
        </w:rPr>
        <w:t xml:space="preserve">היכי דמי גמר דין? </w:t>
      </w:r>
      <w:r w:rsidRPr="00237733">
        <w:rPr>
          <w:rFonts w:cs="Arial"/>
          <w:u w:val="single"/>
          <w:rtl/>
        </w:rPr>
        <w:t>אמר רב יהודה אמר רב</w:t>
      </w:r>
      <w:r w:rsidRPr="00237733">
        <w:rPr>
          <w:rFonts w:cs="Arial"/>
          <w:rtl/>
        </w:rPr>
        <w:t xml:space="preserve">: איש פלוני אתה חייב, איש פלוני אתה זכאי. </w:t>
      </w:r>
    </w:p>
    <w:p w14:paraId="7D5FEEDD" w14:textId="77777777" w:rsidR="00237733" w:rsidRDefault="00237733" w:rsidP="00E11433">
      <w:pPr>
        <w:rPr>
          <w:rFonts w:cs="Arial"/>
          <w:rtl/>
        </w:rPr>
      </w:pPr>
      <w:r w:rsidRPr="00237733">
        <w:rPr>
          <w:rFonts w:cs="Arial" w:hint="cs"/>
          <w:u w:val="single"/>
          <w:rtl/>
        </w:rPr>
        <w:t>השוויה בין הבעלי דינים:</w:t>
      </w:r>
    </w:p>
    <w:p w14:paraId="645B802E" w14:textId="77777777" w:rsidR="00194389" w:rsidRDefault="00082A51" w:rsidP="004B0475">
      <w:pPr>
        <w:pStyle w:val="ac"/>
        <w:numPr>
          <w:ilvl w:val="0"/>
          <w:numId w:val="18"/>
        </w:numPr>
        <w:rPr>
          <w:rFonts w:cs="Arial"/>
        </w:rPr>
      </w:pPr>
      <w:r w:rsidRPr="00237733">
        <w:rPr>
          <w:rFonts w:cs="Arial" w:hint="cs"/>
          <w:rtl/>
        </w:rPr>
        <w:t>טור-</w:t>
      </w:r>
      <w:r w:rsidR="00194389" w:rsidRPr="00237733">
        <w:rPr>
          <w:rFonts w:cs="Arial"/>
          <w:rtl/>
        </w:rPr>
        <w:t xml:space="preserve"> צריכין הדיינים ליזהר שישוו ב' בעלי הדינין</w:t>
      </w:r>
      <w:r w:rsidR="003D6377">
        <w:rPr>
          <w:rFonts w:cs="Arial" w:hint="cs"/>
          <w:rtl/>
        </w:rPr>
        <w:t>,</w:t>
      </w:r>
      <w:r w:rsidR="00194389" w:rsidRPr="00237733">
        <w:rPr>
          <w:rFonts w:cs="Arial"/>
          <w:rtl/>
        </w:rPr>
        <w:t xml:space="preserve"> ולא יסבירו פנים לאחד יותר מלחבירו</w:t>
      </w:r>
      <w:r w:rsidR="003D6377">
        <w:rPr>
          <w:rFonts w:cs="Arial" w:hint="cs"/>
          <w:rtl/>
        </w:rPr>
        <w:t>,</w:t>
      </w:r>
      <w:r w:rsidR="00194389" w:rsidRPr="00237733">
        <w:rPr>
          <w:rFonts w:cs="Arial"/>
          <w:rtl/>
        </w:rPr>
        <w:t xml:space="preserve"> ולא יאמרו לאחד דבר כל דבריך ולאחר קצר דבריך</w:t>
      </w:r>
      <w:r w:rsidRPr="00237733">
        <w:rPr>
          <w:rFonts w:cs="Arial" w:hint="cs"/>
          <w:rtl/>
        </w:rPr>
        <w:t>.</w:t>
      </w:r>
      <w:r w:rsidR="00194389" w:rsidRPr="00237733">
        <w:rPr>
          <w:rFonts w:cs="Arial"/>
          <w:rtl/>
        </w:rPr>
        <w:t xml:space="preserve"> ואם אחד לבוש בגדים נאים והשני בגדים פחותים ובזויים יאמרו לזה לבוש כמותו או הלבישהו כמותך שלא יסתתמו דבריו שיחשוב שישאו לו פנים בשביל בגדים</w:t>
      </w:r>
      <w:r w:rsidR="00E11433" w:rsidRPr="00237733">
        <w:rPr>
          <w:rFonts w:cs="Arial" w:hint="cs"/>
          <w:rtl/>
        </w:rPr>
        <w:t xml:space="preserve">. </w:t>
      </w:r>
      <w:r w:rsidR="00194389" w:rsidRPr="00237733">
        <w:rPr>
          <w:rFonts w:cs="Arial"/>
          <w:rtl/>
        </w:rPr>
        <w:t>ולא יהא האחד עומד והשני יושב</w:t>
      </w:r>
      <w:r w:rsidR="003D6377">
        <w:rPr>
          <w:rFonts w:cs="Arial" w:hint="cs"/>
          <w:rtl/>
        </w:rPr>
        <w:t>,</w:t>
      </w:r>
      <w:r w:rsidR="00194389" w:rsidRPr="00237733">
        <w:rPr>
          <w:rFonts w:cs="Arial"/>
          <w:rtl/>
        </w:rPr>
        <w:t xml:space="preserve"> אלא שניהם עומדים</w:t>
      </w:r>
      <w:r w:rsidR="003D6377">
        <w:rPr>
          <w:rFonts w:cs="Arial" w:hint="cs"/>
          <w:rtl/>
        </w:rPr>
        <w:t>,</w:t>
      </w:r>
      <w:r w:rsidR="00194389" w:rsidRPr="00237733">
        <w:rPr>
          <w:rFonts w:cs="Arial"/>
          <w:rtl/>
        </w:rPr>
        <w:t xml:space="preserve"> ואם רצו להושיב שניהם מושיבין</w:t>
      </w:r>
      <w:r w:rsidR="00D57800" w:rsidRPr="00237733">
        <w:rPr>
          <w:rFonts w:cs="Arial" w:hint="cs"/>
          <w:rtl/>
        </w:rPr>
        <w:t>.</w:t>
      </w:r>
      <w:r w:rsidR="00194389" w:rsidRPr="00237733">
        <w:rPr>
          <w:rFonts w:cs="Arial"/>
          <w:rtl/>
        </w:rPr>
        <w:t xml:space="preserve"> ולא יהא אחד יושב למעלה והשני למטה</w:t>
      </w:r>
      <w:r w:rsidR="003D6377">
        <w:rPr>
          <w:rFonts w:cs="Arial" w:hint="cs"/>
          <w:rtl/>
        </w:rPr>
        <w:t>,</w:t>
      </w:r>
      <w:r w:rsidR="00194389" w:rsidRPr="00237733">
        <w:rPr>
          <w:rFonts w:cs="Arial"/>
          <w:rtl/>
        </w:rPr>
        <w:t xml:space="preserve"> אלא זה בצד זה וזה בצד זה</w:t>
      </w:r>
      <w:r w:rsidR="00237733">
        <w:rPr>
          <w:rStyle w:val="ab"/>
          <w:rFonts w:cs="Arial"/>
          <w:rtl/>
        </w:rPr>
        <w:footnoteReference w:id="915"/>
      </w:r>
      <w:r w:rsidR="003D6377">
        <w:rPr>
          <w:rFonts w:cs="Arial" w:hint="cs"/>
          <w:rtl/>
        </w:rPr>
        <w:t>.</w:t>
      </w:r>
      <w:r w:rsidR="00194389" w:rsidRPr="00237733">
        <w:rPr>
          <w:rFonts w:cs="Arial"/>
          <w:rtl/>
        </w:rPr>
        <w:t xml:space="preserve"> בד"א בשעת משא ומתן</w:t>
      </w:r>
      <w:r w:rsidR="009D6B6F">
        <w:rPr>
          <w:rFonts w:cs="Arial" w:hint="cs"/>
          <w:rtl/>
        </w:rPr>
        <w:t>,</w:t>
      </w:r>
      <w:r w:rsidR="00194389" w:rsidRPr="00237733">
        <w:rPr>
          <w:rFonts w:cs="Arial"/>
          <w:rtl/>
        </w:rPr>
        <w:t xml:space="preserve"> אבל בשעת גמר דין צריכין להיות שניהם בעמידה</w:t>
      </w:r>
      <w:r w:rsidR="00976CDA">
        <w:rPr>
          <w:rStyle w:val="ab"/>
          <w:rFonts w:cs="Arial"/>
          <w:rtl/>
        </w:rPr>
        <w:footnoteReference w:id="916"/>
      </w:r>
      <w:r w:rsidR="00D57800" w:rsidRPr="00237733">
        <w:rPr>
          <w:rFonts w:cs="Arial" w:hint="cs"/>
          <w:rtl/>
        </w:rPr>
        <w:t>,</w:t>
      </w:r>
      <w:r w:rsidR="00194389" w:rsidRPr="00237733">
        <w:rPr>
          <w:rFonts w:cs="Arial"/>
          <w:rtl/>
        </w:rPr>
        <w:t xml:space="preserve"> ואיזהו גמר דין פ</w:t>
      </w:r>
      <w:r w:rsidR="003D6377">
        <w:rPr>
          <w:rFonts w:cs="Arial" w:hint="cs"/>
          <w:rtl/>
        </w:rPr>
        <w:t>לוני</w:t>
      </w:r>
      <w:r w:rsidR="00194389" w:rsidRPr="00237733">
        <w:rPr>
          <w:rFonts w:cs="Arial"/>
          <w:rtl/>
        </w:rPr>
        <w:t xml:space="preserve"> זכאי ופ</w:t>
      </w:r>
      <w:r w:rsidR="003D6377">
        <w:rPr>
          <w:rFonts w:cs="Arial" w:hint="cs"/>
          <w:rtl/>
        </w:rPr>
        <w:t>לוני</w:t>
      </w:r>
      <w:r w:rsidR="00194389" w:rsidRPr="00237733">
        <w:rPr>
          <w:rFonts w:cs="Arial"/>
          <w:rtl/>
        </w:rPr>
        <w:t xml:space="preserve"> חייב</w:t>
      </w:r>
      <w:r w:rsidR="003D6377">
        <w:rPr>
          <w:rFonts w:cs="Arial" w:hint="cs"/>
          <w:rtl/>
        </w:rPr>
        <w:t>.</w:t>
      </w:r>
      <w:r w:rsidR="00194389" w:rsidRPr="00237733">
        <w:rPr>
          <w:rFonts w:cs="Arial"/>
          <w:rtl/>
        </w:rPr>
        <w:t xml:space="preserve"> והעדים לעולם בעמידה</w:t>
      </w:r>
      <w:r w:rsidR="00D57800" w:rsidRPr="00237733">
        <w:rPr>
          <w:rFonts w:cs="Arial" w:hint="cs"/>
          <w:rtl/>
        </w:rPr>
        <w:t>.</w:t>
      </w:r>
      <w:r w:rsidR="000F3D52" w:rsidRPr="000F3D52">
        <w:rPr>
          <w:rFonts w:cs="Arial" w:hint="cs"/>
          <w:color w:val="E36C0A" w:themeColor="accent6" w:themeShade="BF"/>
          <w:rtl/>
        </w:rPr>
        <w:t xml:space="preserve"> (וכ"פ בשו"ע)</w:t>
      </w:r>
    </w:p>
    <w:p w14:paraId="25515422" w14:textId="77777777" w:rsidR="00694308" w:rsidRPr="00694308" w:rsidRDefault="00694308" w:rsidP="00694308">
      <w:pPr>
        <w:rPr>
          <w:rFonts w:cs="Arial"/>
          <w:rtl/>
        </w:rPr>
      </w:pPr>
      <w:r>
        <w:rPr>
          <w:rFonts w:cs="Arial" w:hint="cs"/>
          <w:b/>
          <w:bCs/>
          <w:rtl/>
        </w:rPr>
        <w:t xml:space="preserve">ירושלמי </w:t>
      </w:r>
      <w:r w:rsidRPr="00694308">
        <w:rPr>
          <w:rFonts w:cs="Arial" w:hint="cs"/>
          <w:b/>
          <w:bCs/>
          <w:sz w:val="16"/>
          <w:szCs w:val="16"/>
          <w:rtl/>
        </w:rPr>
        <w:t xml:space="preserve">(וילנא) </w:t>
      </w:r>
      <w:r>
        <w:rPr>
          <w:rFonts w:cs="Arial" w:hint="cs"/>
          <w:b/>
          <w:bCs/>
          <w:rtl/>
        </w:rPr>
        <w:t>סנהדרין פ"ז ה"ח:</w:t>
      </w:r>
      <w:r w:rsidR="0015028D">
        <w:rPr>
          <w:rFonts w:cs="Arial" w:hint="cs"/>
          <w:rtl/>
        </w:rPr>
        <w:t xml:space="preserve"> </w:t>
      </w:r>
      <w:r w:rsidRPr="00694308">
        <w:rPr>
          <w:rFonts w:cs="Arial"/>
          <w:u w:val="single"/>
          <w:rtl/>
        </w:rPr>
        <w:t>ר' שמעון בן לקיש אמר</w:t>
      </w:r>
      <w:r>
        <w:rPr>
          <w:rFonts w:cs="Arial" w:hint="cs"/>
          <w:rtl/>
        </w:rPr>
        <w:t>:</w:t>
      </w:r>
      <w:r w:rsidRPr="00694308">
        <w:rPr>
          <w:rFonts w:cs="Arial"/>
          <w:rtl/>
        </w:rPr>
        <w:t xml:space="preserve"> מיכן</w:t>
      </w:r>
      <w:r w:rsidR="0015028D">
        <w:rPr>
          <w:rStyle w:val="ab"/>
          <w:rFonts w:cs="Arial"/>
          <w:rtl/>
        </w:rPr>
        <w:footnoteReference w:id="917"/>
      </w:r>
      <w:r w:rsidRPr="00694308">
        <w:rPr>
          <w:rFonts w:cs="Arial"/>
          <w:rtl/>
        </w:rPr>
        <w:t xml:space="preserve"> לדיינין שקיבלו עדות עומדין שדינן דין.</w:t>
      </w:r>
    </w:p>
    <w:p w14:paraId="3C1553A6" w14:textId="77777777" w:rsidR="009D6B6F" w:rsidRPr="000949EA" w:rsidRDefault="009D6B6F" w:rsidP="000949EA">
      <w:pPr>
        <w:rPr>
          <w:rFonts w:cs="Arial"/>
          <w:u w:val="single"/>
          <w:rtl/>
        </w:rPr>
      </w:pPr>
      <w:r w:rsidRPr="000949EA">
        <w:rPr>
          <w:rFonts w:cs="Arial" w:hint="cs"/>
          <w:u w:val="single"/>
          <w:rtl/>
        </w:rPr>
        <w:t xml:space="preserve">בעלי דינים </w:t>
      </w:r>
      <w:r w:rsidR="000949EA" w:rsidRPr="000949EA">
        <w:rPr>
          <w:rFonts w:cs="Arial" w:hint="cs"/>
          <w:u w:val="single"/>
          <w:rtl/>
        </w:rPr>
        <w:t>ש</w:t>
      </w:r>
      <w:r w:rsidR="000949EA">
        <w:rPr>
          <w:rFonts w:cs="Arial" w:hint="cs"/>
          <w:u w:val="single"/>
          <w:rtl/>
        </w:rPr>
        <w:t>ישבו</w:t>
      </w:r>
      <w:r w:rsidR="000949EA" w:rsidRPr="000949EA">
        <w:rPr>
          <w:rFonts w:cs="Arial" w:hint="cs"/>
          <w:u w:val="single"/>
          <w:rtl/>
        </w:rPr>
        <w:t xml:space="preserve"> </w:t>
      </w:r>
      <w:r w:rsidRPr="000949EA">
        <w:rPr>
          <w:rFonts w:cs="Arial" w:hint="cs"/>
          <w:u w:val="single"/>
          <w:rtl/>
        </w:rPr>
        <w:t xml:space="preserve">בגמר </w:t>
      </w:r>
      <w:r w:rsidR="000949EA" w:rsidRPr="000949EA">
        <w:rPr>
          <w:rFonts w:cs="Arial" w:hint="cs"/>
          <w:u w:val="single"/>
          <w:rtl/>
        </w:rPr>
        <w:t>דין</w:t>
      </w:r>
      <w:r w:rsidR="000865C2" w:rsidRPr="000865C2">
        <w:rPr>
          <w:rFonts w:cs="Arial" w:hint="cs"/>
          <w:u w:val="single"/>
          <w:rtl/>
        </w:rPr>
        <w:t>/</w:t>
      </w:r>
      <w:r w:rsidR="000949EA" w:rsidRPr="000865C2">
        <w:rPr>
          <w:rFonts w:cs="Arial" w:hint="cs"/>
          <w:u w:val="single"/>
          <w:rtl/>
        </w:rPr>
        <w:t>דיינים שקבלו עדות כשהם עומדים</w:t>
      </w:r>
      <w:r w:rsidR="000865C2" w:rsidRPr="000865C2">
        <w:rPr>
          <w:rFonts w:cs="Arial" w:hint="cs"/>
          <w:u w:val="single"/>
          <w:rtl/>
        </w:rPr>
        <w:t>/</w:t>
      </w:r>
      <w:r w:rsidR="000949EA" w:rsidRPr="000865C2">
        <w:rPr>
          <w:rFonts w:cs="Arial" w:hint="cs"/>
          <w:u w:val="single"/>
          <w:rtl/>
        </w:rPr>
        <w:t>עדים שהעידו בישיבה</w:t>
      </w:r>
      <w:r w:rsidR="000949EA" w:rsidRPr="000949EA">
        <w:rPr>
          <w:rFonts w:cs="Arial" w:hint="cs"/>
          <w:u w:val="single"/>
          <w:rtl/>
        </w:rPr>
        <w:t xml:space="preserve"> </w:t>
      </w:r>
      <w:r w:rsidR="000865C2">
        <w:rPr>
          <w:rFonts w:cs="Arial"/>
          <w:u w:val="single"/>
          <w:rtl/>
        </w:rPr>
        <w:t>–</w:t>
      </w:r>
      <w:r w:rsidR="000949EA" w:rsidRPr="000949EA">
        <w:rPr>
          <w:rFonts w:cs="Arial" w:hint="cs"/>
          <w:u w:val="single"/>
          <w:rtl/>
        </w:rPr>
        <w:t xml:space="preserve"> </w:t>
      </w:r>
      <w:r w:rsidR="000865C2">
        <w:rPr>
          <w:rFonts w:cs="Arial" w:hint="cs"/>
          <w:u w:val="single"/>
          <w:rtl/>
        </w:rPr>
        <w:t xml:space="preserve">האם  </w:t>
      </w:r>
      <w:r w:rsidR="000949EA">
        <w:rPr>
          <w:rFonts w:cs="Arial" w:hint="cs"/>
          <w:u w:val="single"/>
          <w:rtl/>
        </w:rPr>
        <w:t>מהני</w:t>
      </w:r>
      <w:r w:rsidRPr="000949EA">
        <w:rPr>
          <w:rFonts w:cs="Arial" w:hint="cs"/>
          <w:u w:val="single"/>
          <w:rtl/>
        </w:rPr>
        <w:t xml:space="preserve"> בדיעבד: </w:t>
      </w:r>
    </w:p>
    <w:p w14:paraId="1936E318" w14:textId="77777777" w:rsidR="00A0066C" w:rsidRDefault="00A0066C" w:rsidP="004B0475">
      <w:pPr>
        <w:pStyle w:val="ac"/>
        <w:numPr>
          <w:ilvl w:val="0"/>
          <w:numId w:val="18"/>
        </w:numPr>
        <w:rPr>
          <w:rFonts w:cs="Arial"/>
        </w:rPr>
      </w:pPr>
      <w:r>
        <w:rPr>
          <w:rFonts w:cs="Arial" w:hint="cs"/>
          <w:rtl/>
        </w:rPr>
        <w:t xml:space="preserve">י"א </w:t>
      </w:r>
      <w:r>
        <w:rPr>
          <w:rFonts w:cs="Arial" w:hint="cs"/>
          <w:sz w:val="16"/>
          <w:szCs w:val="16"/>
          <w:rtl/>
        </w:rPr>
        <w:t>(הביא הרא"ש דבריהם)</w:t>
      </w:r>
      <w:r>
        <w:rPr>
          <w:rFonts w:cs="Arial" w:hint="cs"/>
          <w:rtl/>
        </w:rPr>
        <w:t xml:space="preserve">- </w:t>
      </w:r>
      <w:r>
        <w:rPr>
          <w:rFonts w:cs="Arial"/>
          <w:rtl/>
        </w:rPr>
        <w:t xml:space="preserve">אם העידו בישיבה </w:t>
      </w:r>
      <w:r w:rsidR="00FD6A37">
        <w:rPr>
          <w:rFonts w:cs="Arial" w:hint="cs"/>
          <w:rtl/>
        </w:rPr>
        <w:t xml:space="preserve">- </w:t>
      </w:r>
      <w:r>
        <w:rPr>
          <w:rFonts w:cs="Arial"/>
          <w:rtl/>
        </w:rPr>
        <w:t xml:space="preserve">אין עדותן עדות מדאמרינן בפ"ב דזבחים </w:t>
      </w:r>
      <w:r w:rsidRPr="0015028D">
        <w:rPr>
          <w:rFonts w:cs="Arial"/>
          <w:sz w:val="16"/>
          <w:szCs w:val="16"/>
          <w:rtl/>
        </w:rPr>
        <w:t xml:space="preserve">(טז.) </w:t>
      </w:r>
      <w:r>
        <w:rPr>
          <w:rFonts w:cs="Arial"/>
          <w:rtl/>
        </w:rPr>
        <w:t>מה ליושב שכן פסול לעדות</w:t>
      </w:r>
      <w:r w:rsidR="00FD6A37">
        <w:rPr>
          <w:rFonts w:cs="Arial" w:hint="cs"/>
          <w:rtl/>
        </w:rPr>
        <w:t>,</w:t>
      </w:r>
      <w:r>
        <w:rPr>
          <w:rFonts w:cs="Arial"/>
          <w:rtl/>
        </w:rPr>
        <w:t xml:space="preserve"> ומדקאמר פסול משמע אפילו בדיעבד. וכן הדיינים שקבלו העדות כשהם עומדים</w:t>
      </w:r>
      <w:r>
        <w:rPr>
          <w:rStyle w:val="ab"/>
          <w:rFonts w:cs="Arial"/>
          <w:rtl/>
        </w:rPr>
        <w:footnoteReference w:id="918"/>
      </w:r>
      <w:r>
        <w:rPr>
          <w:rFonts w:cs="Arial"/>
          <w:rtl/>
        </w:rPr>
        <w:t>.</w:t>
      </w:r>
    </w:p>
    <w:p w14:paraId="69B2D6C0" w14:textId="77777777" w:rsidR="00976CDA" w:rsidRDefault="0015028D" w:rsidP="004B0475">
      <w:pPr>
        <w:pStyle w:val="ac"/>
        <w:numPr>
          <w:ilvl w:val="0"/>
          <w:numId w:val="18"/>
        </w:numPr>
        <w:rPr>
          <w:rFonts w:cs="Arial"/>
        </w:rPr>
      </w:pPr>
      <w:r w:rsidRPr="0015028D">
        <w:rPr>
          <w:rFonts w:cs="Arial"/>
          <w:rtl/>
        </w:rPr>
        <w:lastRenderedPageBreak/>
        <w:t xml:space="preserve">רשב"א מרדכי רא"ש </w:t>
      </w:r>
      <w:r w:rsidRPr="0015028D">
        <w:rPr>
          <w:rFonts w:cs="Arial" w:hint="cs"/>
          <w:rtl/>
        </w:rPr>
        <w:t>טור</w:t>
      </w:r>
      <w:r w:rsidRPr="0015028D">
        <w:rPr>
          <w:rFonts w:cs="Arial"/>
          <w:rtl/>
        </w:rPr>
        <w:t xml:space="preserve"> ר"ן </w:t>
      </w:r>
      <w:r w:rsidRPr="0015028D">
        <w:rPr>
          <w:rFonts w:cs="Arial" w:hint="cs"/>
          <w:rtl/>
        </w:rPr>
        <w:t>ורי"ו</w:t>
      </w:r>
      <w:r>
        <w:rPr>
          <w:rStyle w:val="ab"/>
          <w:rFonts w:cs="Arial"/>
          <w:rtl/>
        </w:rPr>
        <w:footnoteReference w:id="919"/>
      </w:r>
      <w:r w:rsidR="00194389" w:rsidRPr="0015028D">
        <w:rPr>
          <w:rFonts w:cs="Arial" w:hint="cs"/>
          <w:rtl/>
        </w:rPr>
        <w:t xml:space="preserve">- </w:t>
      </w:r>
      <w:r w:rsidR="00194389" w:rsidRPr="0015028D">
        <w:rPr>
          <w:rFonts w:cs="Arial"/>
          <w:rtl/>
        </w:rPr>
        <w:t>דוקא לכתחלה</w:t>
      </w:r>
      <w:r w:rsidR="00FD6A37">
        <w:rPr>
          <w:rFonts w:cs="Arial" w:hint="cs"/>
          <w:rtl/>
        </w:rPr>
        <w:t>,</w:t>
      </w:r>
      <w:r w:rsidR="00194389" w:rsidRPr="0015028D">
        <w:rPr>
          <w:rFonts w:cs="Arial"/>
          <w:rtl/>
        </w:rPr>
        <w:t xml:space="preserve"> אבל בדיעבד אם ישבו אף בשעת גמר דין או שהעידו העדים בישיבה </w:t>
      </w:r>
      <w:r w:rsidR="00747B31">
        <w:rPr>
          <w:rFonts w:cs="Arial" w:hint="cs"/>
          <w:rtl/>
        </w:rPr>
        <w:t xml:space="preserve">- </w:t>
      </w:r>
      <w:r w:rsidR="00194389" w:rsidRPr="0015028D">
        <w:rPr>
          <w:rFonts w:cs="Arial"/>
          <w:rtl/>
        </w:rPr>
        <w:t>הדין דין</w:t>
      </w:r>
      <w:r>
        <w:rPr>
          <w:rFonts w:cs="Arial" w:hint="cs"/>
          <w:sz w:val="16"/>
          <w:szCs w:val="16"/>
          <w:rtl/>
        </w:rPr>
        <w:t xml:space="preserve"> (ל' הטור)</w:t>
      </w:r>
      <w:r w:rsidR="00237733" w:rsidRPr="0015028D">
        <w:rPr>
          <w:rFonts w:cs="Arial" w:hint="cs"/>
          <w:rtl/>
        </w:rPr>
        <w:t>.</w:t>
      </w:r>
      <w:r w:rsidR="00194389" w:rsidRPr="0015028D">
        <w:rPr>
          <w:rFonts w:cs="Arial"/>
          <w:rtl/>
        </w:rPr>
        <w:t xml:space="preserve"> </w:t>
      </w:r>
      <w:r w:rsidR="000F3D52" w:rsidRPr="000F3D52">
        <w:rPr>
          <w:rFonts w:cs="Arial" w:hint="cs"/>
          <w:color w:val="E36C0A" w:themeColor="accent6" w:themeShade="BF"/>
          <w:rtl/>
        </w:rPr>
        <w:t>(וכ"פ בשו"ע)</w:t>
      </w:r>
    </w:p>
    <w:p w14:paraId="0CE56516" w14:textId="77777777" w:rsidR="00237733" w:rsidRPr="00976CDA" w:rsidRDefault="00237733" w:rsidP="004B0475">
      <w:pPr>
        <w:pStyle w:val="ac"/>
        <w:numPr>
          <w:ilvl w:val="0"/>
          <w:numId w:val="18"/>
        </w:numPr>
        <w:rPr>
          <w:rFonts w:cs="Arial"/>
          <w:rtl/>
        </w:rPr>
      </w:pPr>
      <w:r w:rsidRPr="00976CDA">
        <w:rPr>
          <w:rFonts w:cs="Arial"/>
          <w:rtl/>
        </w:rPr>
        <w:t xml:space="preserve">מרדכי ישן </w:t>
      </w:r>
      <w:r w:rsidRPr="00976CDA">
        <w:rPr>
          <w:rFonts w:cs="Arial"/>
          <w:sz w:val="16"/>
          <w:szCs w:val="16"/>
          <w:rtl/>
        </w:rPr>
        <w:t>(</w:t>
      </w:r>
      <w:r w:rsidR="00694308" w:rsidRPr="00976CDA">
        <w:rPr>
          <w:rFonts w:cs="Arial" w:hint="cs"/>
          <w:sz w:val="16"/>
          <w:szCs w:val="16"/>
          <w:rtl/>
        </w:rPr>
        <w:t>הביאו הב"י בסי' כח ס"ז, ו</w:t>
      </w:r>
      <w:r w:rsidRPr="00976CDA">
        <w:rPr>
          <w:rFonts w:cs="Arial"/>
          <w:sz w:val="16"/>
          <w:szCs w:val="16"/>
          <w:rtl/>
        </w:rPr>
        <w:t>עי' מרדכי שבועות סי' תשסא בהגהה)</w:t>
      </w:r>
      <w:r w:rsidR="00694308" w:rsidRPr="00976CDA">
        <w:rPr>
          <w:rFonts w:cs="Arial" w:hint="cs"/>
          <w:rtl/>
        </w:rPr>
        <w:t xml:space="preserve">- </w:t>
      </w:r>
      <w:r w:rsidR="0015028D" w:rsidRPr="00976CDA">
        <w:rPr>
          <w:rFonts w:cs="Arial"/>
          <w:rtl/>
        </w:rPr>
        <w:t xml:space="preserve">נראה דהא דאמרינן מצוה בבעלי דינין שיעמדו פירוש </w:t>
      </w:r>
      <w:r w:rsidR="003D6377">
        <w:rPr>
          <w:rFonts w:cs="Arial" w:hint="cs"/>
          <w:rtl/>
        </w:rPr>
        <w:t xml:space="preserve">- </w:t>
      </w:r>
      <w:r w:rsidR="0015028D" w:rsidRPr="00976CDA">
        <w:rPr>
          <w:rFonts w:cs="Arial"/>
          <w:rtl/>
        </w:rPr>
        <w:t>כשעומדין אין רשאין לישב</w:t>
      </w:r>
      <w:r w:rsidR="0015028D" w:rsidRPr="00976CDA">
        <w:rPr>
          <w:rFonts w:cs="Arial" w:hint="cs"/>
          <w:rtl/>
        </w:rPr>
        <w:t>,</w:t>
      </w:r>
      <w:r w:rsidR="0015028D" w:rsidRPr="00976CDA">
        <w:rPr>
          <w:rFonts w:cs="Arial"/>
          <w:rtl/>
        </w:rPr>
        <w:t xml:space="preserve"> אבל ישבו קודם </w:t>
      </w:r>
      <w:r w:rsidR="0015028D" w:rsidRPr="00976CDA">
        <w:rPr>
          <w:rFonts w:cs="Arial" w:hint="cs"/>
          <w:rtl/>
        </w:rPr>
        <w:t xml:space="preserve">- </w:t>
      </w:r>
      <w:r w:rsidR="0015028D" w:rsidRPr="00976CDA">
        <w:rPr>
          <w:rFonts w:cs="Arial"/>
          <w:rtl/>
        </w:rPr>
        <w:t>אין צריכין לעמוד</w:t>
      </w:r>
      <w:r w:rsidR="0015028D" w:rsidRPr="00976CDA">
        <w:rPr>
          <w:rFonts w:cs="Arial" w:hint="cs"/>
          <w:rtl/>
        </w:rPr>
        <w:t xml:space="preserve"> </w:t>
      </w:r>
      <w:r w:rsidR="00976CDA" w:rsidRPr="00976CDA">
        <w:rPr>
          <w:rFonts w:cs="Arial" w:hint="cs"/>
          <w:sz w:val="16"/>
          <w:szCs w:val="16"/>
          <w:rtl/>
        </w:rPr>
        <w:t>(</w:t>
      </w:r>
      <w:r w:rsidR="0015028D" w:rsidRPr="00976CDA">
        <w:rPr>
          <w:rFonts w:cs="Arial"/>
          <w:sz w:val="16"/>
          <w:szCs w:val="16"/>
          <w:rtl/>
        </w:rPr>
        <w:t xml:space="preserve">דלא כתיב ויעמוד כדאמרינן בפרק אלו מגלחין </w:t>
      </w:r>
      <w:r w:rsidR="0015028D" w:rsidRPr="00976CDA">
        <w:rPr>
          <w:rFonts w:cs="Arial"/>
          <w:sz w:val="10"/>
          <w:szCs w:val="10"/>
          <w:rtl/>
        </w:rPr>
        <w:t xml:space="preserve">(מו"ק כא.) </w:t>
      </w:r>
      <w:r w:rsidR="0015028D" w:rsidRPr="00976CDA">
        <w:rPr>
          <w:rFonts w:cs="Arial"/>
          <w:sz w:val="16"/>
          <w:szCs w:val="16"/>
          <w:rtl/>
        </w:rPr>
        <w:t xml:space="preserve">וההיא דשמעון בן שטח </w:t>
      </w:r>
      <w:r w:rsidR="0015028D" w:rsidRPr="00976CDA">
        <w:rPr>
          <w:rFonts w:cs="Arial"/>
          <w:sz w:val="10"/>
          <w:szCs w:val="10"/>
          <w:rtl/>
        </w:rPr>
        <w:t xml:space="preserve">(סנהדרין יט.) </w:t>
      </w:r>
      <w:r w:rsidR="0015028D" w:rsidRPr="00976CDA">
        <w:rPr>
          <w:rFonts w:cs="Arial"/>
          <w:sz w:val="16"/>
          <w:szCs w:val="16"/>
          <w:rtl/>
        </w:rPr>
        <w:t>דאמר לינאי עמוד על רגליך ויעידו בך פירוש אל תשב והיינו דקאמר עמוד על רגליך ולא אמר עמוד סתם</w:t>
      </w:r>
      <w:r w:rsidR="00976CDA">
        <w:rPr>
          <w:rFonts w:cs="Arial" w:hint="cs"/>
          <w:sz w:val="16"/>
          <w:szCs w:val="16"/>
          <w:rtl/>
        </w:rPr>
        <w:t>)</w:t>
      </w:r>
      <w:r w:rsidR="00976CDA">
        <w:rPr>
          <w:rStyle w:val="ab"/>
          <w:rFonts w:cs="Arial"/>
          <w:rtl/>
        </w:rPr>
        <w:footnoteReference w:id="920"/>
      </w:r>
      <w:r w:rsidR="00976CDA">
        <w:rPr>
          <w:rFonts w:cs="Arial" w:hint="cs"/>
          <w:rtl/>
        </w:rPr>
        <w:t>.</w:t>
      </w:r>
    </w:p>
    <w:p w14:paraId="5763AE98" w14:textId="77777777" w:rsidR="00E137BC" w:rsidRPr="00576D5C" w:rsidRDefault="00E137BC" w:rsidP="00576D5C">
      <w:pPr>
        <w:rPr>
          <w:rFonts w:asciiTheme="minorBidi" w:hAnsiTheme="minorBidi"/>
          <w:b/>
          <w:bCs/>
          <w:color w:val="000000"/>
          <w:sz w:val="28"/>
          <w:szCs w:val="28"/>
          <w:u w:val="single"/>
          <w:rtl/>
        </w:rPr>
      </w:pPr>
      <w:r w:rsidRPr="00576D5C">
        <w:rPr>
          <w:rFonts w:asciiTheme="minorBidi" w:hAnsiTheme="minorBidi"/>
          <w:b/>
          <w:bCs/>
          <w:color w:val="000000"/>
          <w:sz w:val="28"/>
          <w:szCs w:val="28"/>
          <w:u w:val="single"/>
          <w:rtl/>
        </w:rPr>
        <w:t>שו"ע:</w:t>
      </w:r>
    </w:p>
    <w:p w14:paraId="262DE080" w14:textId="77777777" w:rsidR="00E137BC" w:rsidRDefault="00E137BC" w:rsidP="00576D5C">
      <w:pPr>
        <w:rPr>
          <w:rFonts w:asciiTheme="minorBidi" w:hAnsiTheme="minorBidi"/>
          <w:rtl/>
        </w:rPr>
      </w:pPr>
      <w:r w:rsidRPr="00576D5C">
        <w:rPr>
          <w:rFonts w:asciiTheme="minorBidi" w:hAnsiTheme="minorBidi"/>
          <w:rtl/>
        </w:rPr>
        <w:t>בצדק תשפוט עמיתך, איזהו צדק המשפט, זו השוויית שני הבעלי דינים בכל דבר. לא יהא א</w:t>
      </w:r>
      <w:r w:rsidR="00976CDA">
        <w:rPr>
          <w:rFonts w:asciiTheme="minorBidi" w:hAnsiTheme="minorBidi" w:hint="cs"/>
          <w:rtl/>
        </w:rPr>
        <w:t>חד</w:t>
      </w:r>
      <w:r w:rsidRPr="00576D5C">
        <w:rPr>
          <w:rFonts w:asciiTheme="minorBidi" w:hAnsiTheme="minorBidi"/>
          <w:rtl/>
        </w:rPr>
        <w:t xml:space="preserve"> מדבר כל צרכו ואחד אומר </w:t>
      </w:r>
      <w:r w:rsidRPr="00671718">
        <w:rPr>
          <w:rFonts w:asciiTheme="minorBidi" w:hAnsiTheme="minorBidi"/>
          <w:sz w:val="18"/>
          <w:szCs w:val="18"/>
          <w:rtl/>
        </w:rPr>
        <w:t>(לו)</w:t>
      </w:r>
      <w:r w:rsidRPr="00576D5C">
        <w:rPr>
          <w:rFonts w:asciiTheme="minorBidi" w:hAnsiTheme="minorBidi"/>
          <w:rtl/>
        </w:rPr>
        <w:t>: קצר דברך</w:t>
      </w:r>
      <w:r w:rsidR="00705176">
        <w:rPr>
          <w:rStyle w:val="ab"/>
          <w:rFonts w:asciiTheme="minorBidi" w:hAnsiTheme="minorBidi"/>
          <w:rtl/>
        </w:rPr>
        <w:footnoteReference w:id="921"/>
      </w:r>
      <w:r w:rsidRPr="00576D5C">
        <w:rPr>
          <w:rFonts w:asciiTheme="minorBidi" w:hAnsiTheme="minorBidi"/>
          <w:rtl/>
        </w:rPr>
        <w:t>. ולא יסבירו פנים לאחד וידבר לו רכות, וירע פניו לאחר וידבר לו קשות. ואם היה אחד מהם מלובש בגדים יקרים והשני מלובש בגדים בזויים</w:t>
      </w:r>
      <w:r w:rsidR="00705176">
        <w:rPr>
          <w:rStyle w:val="ab"/>
          <w:rFonts w:asciiTheme="minorBidi" w:hAnsiTheme="minorBidi"/>
          <w:rtl/>
        </w:rPr>
        <w:footnoteReference w:id="922"/>
      </w:r>
      <w:r w:rsidRPr="00576D5C">
        <w:rPr>
          <w:rFonts w:asciiTheme="minorBidi" w:hAnsiTheme="minorBidi"/>
          <w:rtl/>
        </w:rPr>
        <w:t>, אומרים למכובד: או הלבישהו כמותך, או לבוש כמוהו. ולא יהא אחד יושב ואחד עומד, אלא שניהם עומדים</w:t>
      </w:r>
      <w:r w:rsidR="00B668B1">
        <w:rPr>
          <w:rStyle w:val="ab"/>
          <w:rFonts w:asciiTheme="minorBidi" w:hAnsiTheme="minorBidi"/>
          <w:rtl/>
        </w:rPr>
        <w:footnoteReference w:id="923"/>
      </w:r>
      <w:r w:rsidR="00976CDA">
        <w:rPr>
          <w:rFonts w:asciiTheme="minorBidi" w:hAnsiTheme="minorBidi" w:hint="cs"/>
          <w:rtl/>
        </w:rPr>
        <w:t>,</w:t>
      </w:r>
      <w:r w:rsidRPr="00576D5C">
        <w:rPr>
          <w:rFonts w:asciiTheme="minorBidi" w:hAnsiTheme="minorBidi"/>
          <w:rtl/>
        </w:rPr>
        <w:t xml:space="preserve"> ואם רצו ב</w:t>
      </w:r>
      <w:r w:rsidR="00694308">
        <w:rPr>
          <w:rFonts w:asciiTheme="minorBidi" w:hAnsiTheme="minorBidi" w:hint="cs"/>
          <w:rtl/>
        </w:rPr>
        <w:t xml:space="preserve">ית </w:t>
      </w:r>
      <w:r w:rsidRPr="00576D5C">
        <w:rPr>
          <w:rFonts w:asciiTheme="minorBidi" w:hAnsiTheme="minorBidi"/>
          <w:rtl/>
        </w:rPr>
        <w:t>ד</w:t>
      </w:r>
      <w:r w:rsidR="00694308">
        <w:rPr>
          <w:rFonts w:asciiTheme="minorBidi" w:hAnsiTheme="minorBidi" w:hint="cs"/>
          <w:rtl/>
        </w:rPr>
        <w:t>ין</w:t>
      </w:r>
      <w:r w:rsidRPr="00576D5C">
        <w:rPr>
          <w:rFonts w:asciiTheme="minorBidi" w:hAnsiTheme="minorBidi"/>
          <w:rtl/>
        </w:rPr>
        <w:t xml:space="preserve"> להושיב את שניהם, מושיבים. ולא ישב אחד למעלה ואחד למטה</w:t>
      </w:r>
      <w:r w:rsidR="00705176">
        <w:rPr>
          <w:rStyle w:val="ab"/>
          <w:rFonts w:asciiTheme="minorBidi" w:hAnsiTheme="minorBidi"/>
          <w:rtl/>
        </w:rPr>
        <w:footnoteReference w:id="924"/>
      </w:r>
      <w:r w:rsidRPr="00576D5C">
        <w:rPr>
          <w:rFonts w:asciiTheme="minorBidi" w:hAnsiTheme="minorBidi"/>
          <w:rtl/>
        </w:rPr>
        <w:t>, אלא זה בצד זה. ב</w:t>
      </w:r>
      <w:r w:rsidR="00976CDA">
        <w:rPr>
          <w:rFonts w:asciiTheme="minorBidi" w:hAnsiTheme="minorBidi" w:hint="cs"/>
          <w:rtl/>
        </w:rPr>
        <w:t xml:space="preserve">מה דברים </w:t>
      </w:r>
      <w:r w:rsidRPr="00576D5C">
        <w:rPr>
          <w:rFonts w:asciiTheme="minorBidi" w:hAnsiTheme="minorBidi"/>
          <w:rtl/>
        </w:rPr>
        <w:t>א</w:t>
      </w:r>
      <w:r w:rsidR="00976CDA">
        <w:rPr>
          <w:rFonts w:asciiTheme="minorBidi" w:hAnsiTheme="minorBidi" w:hint="cs"/>
          <w:rtl/>
        </w:rPr>
        <w:t>מורים</w:t>
      </w:r>
      <w:r w:rsidRPr="00576D5C">
        <w:rPr>
          <w:rFonts w:asciiTheme="minorBidi" w:hAnsiTheme="minorBidi"/>
          <w:rtl/>
        </w:rPr>
        <w:t>, בשעת משא ומתן</w:t>
      </w:r>
      <w:r w:rsidR="00976CDA">
        <w:rPr>
          <w:rFonts w:asciiTheme="minorBidi" w:hAnsiTheme="minorBidi" w:hint="cs"/>
          <w:rtl/>
        </w:rPr>
        <w:t>,</w:t>
      </w:r>
      <w:r w:rsidRPr="00576D5C">
        <w:rPr>
          <w:rFonts w:asciiTheme="minorBidi" w:hAnsiTheme="minorBidi"/>
          <w:rtl/>
        </w:rPr>
        <w:t xml:space="preserve"> </w:t>
      </w:r>
      <w:r w:rsidR="00976CDA">
        <w:rPr>
          <w:rStyle w:val="ab"/>
          <w:rFonts w:asciiTheme="minorBidi" w:hAnsiTheme="minorBidi"/>
          <w:sz w:val="16"/>
          <w:szCs w:val="16"/>
          <w:rtl/>
        </w:rPr>
        <w:footnoteReference w:id="925"/>
      </w:r>
      <w:r w:rsidRPr="00976CDA">
        <w:rPr>
          <w:rFonts w:asciiTheme="minorBidi" w:hAnsiTheme="minorBidi"/>
          <w:sz w:val="16"/>
          <w:szCs w:val="16"/>
          <w:rtl/>
        </w:rPr>
        <w:t xml:space="preserve">(דהטענות) </w:t>
      </w:r>
      <w:r w:rsidRPr="00576D5C">
        <w:rPr>
          <w:rFonts w:asciiTheme="minorBidi" w:hAnsiTheme="minorBidi"/>
          <w:rtl/>
        </w:rPr>
        <w:t>אבל בשעת גמר דין שניהם בעמידה</w:t>
      </w:r>
      <w:r w:rsidR="00705176">
        <w:rPr>
          <w:rStyle w:val="ab"/>
          <w:rFonts w:asciiTheme="minorBidi" w:hAnsiTheme="minorBidi"/>
          <w:rtl/>
        </w:rPr>
        <w:footnoteReference w:id="926"/>
      </w:r>
      <w:r w:rsidRPr="00576D5C">
        <w:rPr>
          <w:rFonts w:asciiTheme="minorBidi" w:hAnsiTheme="minorBidi"/>
          <w:rtl/>
        </w:rPr>
        <w:t xml:space="preserve"> לכתחלה. איזהו גמר דין, איש פלוני אתה זכאי איש פלו</w:t>
      </w:r>
      <w:r w:rsidR="00976CDA">
        <w:rPr>
          <w:rFonts w:asciiTheme="minorBidi" w:hAnsiTheme="minorBidi" w:hint="cs"/>
          <w:rtl/>
        </w:rPr>
        <w:t>ני</w:t>
      </w:r>
      <w:r w:rsidRPr="00576D5C">
        <w:rPr>
          <w:rFonts w:asciiTheme="minorBidi" w:hAnsiTheme="minorBidi"/>
          <w:rtl/>
        </w:rPr>
        <w:t xml:space="preserve"> אתה חייב</w:t>
      </w:r>
      <w:r w:rsidR="00976CDA">
        <w:rPr>
          <w:rFonts w:asciiTheme="minorBidi" w:hAnsiTheme="minorBidi" w:hint="cs"/>
          <w:rtl/>
        </w:rPr>
        <w:t>.</w:t>
      </w:r>
      <w:r w:rsidRPr="00576D5C">
        <w:rPr>
          <w:rFonts w:asciiTheme="minorBidi" w:hAnsiTheme="minorBidi"/>
          <w:rtl/>
        </w:rPr>
        <w:t xml:space="preserve"> והעדים, לכתחלה, לעולם בעמידה. </w:t>
      </w:r>
      <w:r w:rsidRPr="00585555">
        <w:rPr>
          <w:rFonts w:asciiTheme="minorBidi" w:hAnsiTheme="minorBidi"/>
          <w:sz w:val="18"/>
          <w:szCs w:val="18"/>
          <w:rtl/>
        </w:rPr>
        <w:t>הגה: ועמידה ע"י סמיכה מקרי שפיר עמידה לענין זה</w:t>
      </w:r>
      <w:r w:rsidR="00705176">
        <w:rPr>
          <w:rStyle w:val="ab"/>
          <w:rFonts w:asciiTheme="minorBidi" w:hAnsiTheme="minorBidi"/>
          <w:sz w:val="18"/>
          <w:szCs w:val="18"/>
          <w:rtl/>
        </w:rPr>
        <w:footnoteReference w:id="927"/>
      </w:r>
      <w:r w:rsidRPr="00585555">
        <w:rPr>
          <w:rFonts w:asciiTheme="minorBidi" w:hAnsiTheme="minorBidi"/>
          <w:sz w:val="18"/>
          <w:szCs w:val="18"/>
          <w:rtl/>
        </w:rPr>
        <w:t xml:space="preserve"> (ריב"ש סי</w:t>
      </w:r>
      <w:r w:rsidR="00694308">
        <w:rPr>
          <w:rFonts w:asciiTheme="minorBidi" w:hAnsiTheme="minorBidi" w:hint="cs"/>
          <w:sz w:val="18"/>
          <w:szCs w:val="18"/>
          <w:rtl/>
        </w:rPr>
        <w:t>'</w:t>
      </w:r>
      <w:r w:rsidRPr="00585555">
        <w:rPr>
          <w:rFonts w:asciiTheme="minorBidi" w:hAnsiTheme="minorBidi"/>
          <w:sz w:val="18"/>
          <w:szCs w:val="18"/>
          <w:rtl/>
        </w:rPr>
        <w:t xml:space="preserve"> רסו). ועיין לקמן סי' כ"ח.</w:t>
      </w:r>
      <w:r w:rsidRPr="00576D5C">
        <w:rPr>
          <w:rFonts w:asciiTheme="minorBidi" w:hAnsiTheme="minorBidi"/>
          <w:rtl/>
        </w:rPr>
        <w:t xml:space="preserve"> </w:t>
      </w:r>
    </w:p>
    <w:p w14:paraId="490A5BD3" w14:textId="77777777" w:rsidR="005A202C" w:rsidRPr="00576D5C" w:rsidRDefault="005A202C" w:rsidP="00576D5C">
      <w:pPr>
        <w:rPr>
          <w:rFonts w:asciiTheme="minorBidi" w:hAnsiTheme="minorBidi"/>
          <w:rtl/>
        </w:rPr>
      </w:pPr>
    </w:p>
    <w:p w14:paraId="2D7198E0" w14:textId="77777777" w:rsidR="00082A51" w:rsidRPr="00B668B1" w:rsidRDefault="00E137BC" w:rsidP="00B668B1">
      <w:pPr>
        <w:pStyle w:val="2"/>
        <w:rPr>
          <w:rtl/>
        </w:rPr>
      </w:pPr>
      <w:bookmarkStart w:id="142" w:name="_Toc24883626"/>
      <w:r w:rsidRPr="00576D5C">
        <w:rPr>
          <w:rtl/>
        </w:rPr>
        <w:t>סעיף ב</w:t>
      </w:r>
      <w:r w:rsidR="00585555">
        <w:rPr>
          <w:rFonts w:hint="cs"/>
          <w:rtl/>
        </w:rPr>
        <w:t>:</w:t>
      </w:r>
      <w:r w:rsidR="00874026">
        <w:rPr>
          <w:rFonts w:hint="cs"/>
          <w:rtl/>
        </w:rPr>
        <w:t xml:space="preserve"> ת"ח ועם הארץ שבאו לדין.</w:t>
      </w:r>
      <w:bookmarkEnd w:id="142"/>
    </w:p>
    <w:p w14:paraId="7A02A070" w14:textId="77777777" w:rsidR="00B668B1" w:rsidRDefault="00874026" w:rsidP="00874026">
      <w:pPr>
        <w:rPr>
          <w:rFonts w:cs="Arial"/>
          <w:rtl/>
        </w:rPr>
      </w:pPr>
      <w:r w:rsidRPr="00E11433">
        <w:rPr>
          <w:rFonts w:cs="Arial" w:hint="cs"/>
          <w:b/>
          <w:bCs/>
          <w:rtl/>
        </w:rPr>
        <w:t xml:space="preserve">שבועות </w:t>
      </w:r>
      <w:r w:rsidRPr="00E11433">
        <w:rPr>
          <w:rFonts w:cs="Arial" w:hint="cs"/>
          <w:b/>
          <w:bCs/>
          <w:sz w:val="16"/>
          <w:szCs w:val="16"/>
          <w:rtl/>
        </w:rPr>
        <w:t>(</w:t>
      </w:r>
      <w:r>
        <w:rPr>
          <w:rFonts w:cs="Arial" w:hint="cs"/>
          <w:b/>
          <w:bCs/>
          <w:sz w:val="16"/>
          <w:szCs w:val="16"/>
          <w:rtl/>
        </w:rPr>
        <w:t>ר"</w:t>
      </w:r>
      <w:r w:rsidRPr="00E11433">
        <w:rPr>
          <w:rFonts w:cs="Arial" w:hint="cs"/>
          <w:b/>
          <w:bCs/>
          <w:sz w:val="16"/>
          <w:szCs w:val="16"/>
          <w:rtl/>
        </w:rPr>
        <w:t xml:space="preserve">פ שבועת העדות) </w:t>
      </w:r>
      <w:r w:rsidRPr="00E11433">
        <w:rPr>
          <w:rFonts w:cs="Arial" w:hint="cs"/>
          <w:b/>
          <w:bCs/>
          <w:rtl/>
        </w:rPr>
        <w:t>ל</w:t>
      </w:r>
      <w:r w:rsidR="00D65D80">
        <w:rPr>
          <w:rStyle w:val="ab"/>
          <w:rFonts w:cs="Arial"/>
          <w:b/>
          <w:bCs/>
          <w:rtl/>
        </w:rPr>
        <w:footnoteReference w:id="928"/>
      </w:r>
      <w:r w:rsidRPr="00E11433">
        <w:rPr>
          <w:rFonts w:cs="Arial" w:hint="cs"/>
          <w:b/>
          <w:bCs/>
          <w:rtl/>
        </w:rPr>
        <w:t xml:space="preserve"> ע"</w:t>
      </w:r>
      <w:r>
        <w:rPr>
          <w:rFonts w:cs="Arial" w:hint="cs"/>
          <w:b/>
          <w:bCs/>
          <w:rtl/>
        </w:rPr>
        <w:t>ב</w:t>
      </w:r>
      <w:r w:rsidRPr="00E11433">
        <w:rPr>
          <w:rFonts w:cs="Arial" w:hint="cs"/>
          <w:b/>
          <w:bCs/>
          <w:rtl/>
        </w:rPr>
        <w:t>:</w:t>
      </w:r>
      <w:r>
        <w:rPr>
          <w:rFonts w:cs="Arial" w:hint="cs"/>
          <w:rtl/>
        </w:rPr>
        <w:t xml:space="preserve"> </w:t>
      </w:r>
      <w:r w:rsidR="00980EE0" w:rsidRPr="00980EE0">
        <w:rPr>
          <w:rFonts w:cs="Arial"/>
          <w:u w:val="single"/>
          <w:rtl/>
        </w:rPr>
        <w:t>אמר רבה בר רב הונא</w:t>
      </w:r>
      <w:r w:rsidR="00980EE0" w:rsidRPr="00980EE0">
        <w:rPr>
          <w:rFonts w:cs="Arial"/>
          <w:rtl/>
        </w:rPr>
        <w:t xml:space="preserve">: האי צורבא מרבנן ועם הארץ דאית להו דינא בהדי הדדי, מותבינן ליה לצורבא מרבנן, ולעם הארץ נמי אמרינן ליה תיב, ואי קאי לית לן בה. </w:t>
      </w:r>
      <w:r w:rsidRPr="00A0066C">
        <w:rPr>
          <w:rFonts w:cs="Arial"/>
          <w:u w:val="single"/>
          <w:rtl/>
        </w:rPr>
        <w:t>רב בר שרביא</w:t>
      </w:r>
      <w:r w:rsidRPr="00874026">
        <w:rPr>
          <w:rFonts w:cs="Arial"/>
          <w:rtl/>
        </w:rPr>
        <w:t xml:space="preserve"> הוה ליה דינא קמיה דרב פפא, אותביה ואותיב נמי לבעל דיניה, אתא שליחא דבי דינא בטש</w:t>
      </w:r>
      <w:r>
        <w:rPr>
          <w:rStyle w:val="ab"/>
          <w:rFonts w:cs="Arial"/>
          <w:rtl/>
        </w:rPr>
        <w:footnoteReference w:id="929"/>
      </w:r>
      <w:r w:rsidRPr="00874026">
        <w:rPr>
          <w:rFonts w:cs="Arial"/>
          <w:rtl/>
        </w:rPr>
        <w:t xml:space="preserve"> ביה ואוקמיה לעם הארץ, ולא אמר ליה רב פפא תיב. היכי עביד הכי? והא מסתתמן טענתיה! </w:t>
      </w:r>
      <w:r w:rsidRPr="00612222">
        <w:rPr>
          <w:rFonts w:cs="Arial"/>
          <w:u w:val="single"/>
          <w:rtl/>
        </w:rPr>
        <w:t>אמר רב פפא</w:t>
      </w:r>
      <w:r w:rsidR="00612222">
        <w:rPr>
          <w:rFonts w:cs="Arial" w:hint="cs"/>
          <w:rtl/>
        </w:rPr>
        <w:t>:</w:t>
      </w:r>
      <w:r w:rsidRPr="00874026">
        <w:rPr>
          <w:rFonts w:cs="Arial"/>
          <w:rtl/>
        </w:rPr>
        <w:t xml:space="preserve"> מימר אמר</w:t>
      </w:r>
      <w:r w:rsidR="00612222">
        <w:rPr>
          <w:rFonts w:cs="Arial" w:hint="cs"/>
          <w:rtl/>
        </w:rPr>
        <w:t>-</w:t>
      </w:r>
      <w:r w:rsidRPr="00874026">
        <w:rPr>
          <w:rFonts w:cs="Arial"/>
          <w:rtl/>
        </w:rPr>
        <w:t xml:space="preserve"> איהו הא אותבן, שליחא הוא דלא מפייס מינאי</w:t>
      </w:r>
      <w:r>
        <w:rPr>
          <w:rStyle w:val="ab"/>
          <w:rFonts w:cs="Arial"/>
          <w:rtl/>
        </w:rPr>
        <w:footnoteReference w:id="930"/>
      </w:r>
      <w:r w:rsidRPr="00874026">
        <w:rPr>
          <w:rFonts w:cs="Arial"/>
          <w:rtl/>
        </w:rPr>
        <w:t>.</w:t>
      </w:r>
      <w:r w:rsidR="00B668B1" w:rsidRPr="00B668B1">
        <w:rPr>
          <w:rFonts w:cs="Arial" w:hint="cs"/>
          <w:sz w:val="16"/>
          <w:szCs w:val="16"/>
          <w:rtl/>
        </w:rPr>
        <w:t xml:space="preserve"> </w:t>
      </w:r>
    </w:p>
    <w:p w14:paraId="51D1EB70" w14:textId="77777777" w:rsidR="00B668B1" w:rsidRPr="00B668B1" w:rsidRDefault="00B668B1" w:rsidP="00874026">
      <w:pPr>
        <w:rPr>
          <w:rFonts w:cs="Arial"/>
          <w:u w:val="single"/>
          <w:rtl/>
        </w:rPr>
      </w:pPr>
      <w:r w:rsidRPr="00B668B1">
        <w:rPr>
          <w:rFonts w:cs="Arial"/>
          <w:u w:val="single"/>
          <w:rtl/>
        </w:rPr>
        <w:t>תלמיד חכם ועם הארץ שבאין לדין</w:t>
      </w:r>
      <w:r>
        <w:rPr>
          <w:rFonts w:cs="Arial" w:hint="cs"/>
          <w:u w:val="single"/>
          <w:rtl/>
        </w:rPr>
        <w:t>:</w:t>
      </w:r>
      <w:r w:rsidRPr="00B668B1">
        <w:rPr>
          <w:rFonts w:cs="Arial" w:hint="cs"/>
          <w:u w:val="single"/>
          <w:rtl/>
        </w:rPr>
        <w:t xml:space="preserve"> </w:t>
      </w:r>
    </w:p>
    <w:p w14:paraId="7D42002D" w14:textId="77777777" w:rsidR="00980EE0" w:rsidRDefault="00B668B1" w:rsidP="004B0475">
      <w:pPr>
        <w:pStyle w:val="ac"/>
        <w:numPr>
          <w:ilvl w:val="0"/>
          <w:numId w:val="21"/>
        </w:numPr>
        <w:rPr>
          <w:rFonts w:cs="Arial"/>
        </w:rPr>
      </w:pPr>
      <w:r w:rsidRPr="00B668B1">
        <w:rPr>
          <w:rFonts w:cs="Arial" w:hint="cs"/>
          <w:rtl/>
        </w:rPr>
        <w:t>טור-</w:t>
      </w:r>
      <w:r w:rsidRPr="00B668B1">
        <w:rPr>
          <w:rFonts w:cs="Arial"/>
          <w:rtl/>
        </w:rPr>
        <w:t xml:space="preserve"> תלמיד חכם ועם הארץ שבאין לדין מושיבין לת"ח ואומרים גם לע"ה לישב ואם לא ישב אין מקפידין בכך</w:t>
      </w:r>
      <w:r w:rsidRPr="00B668B1">
        <w:rPr>
          <w:rFonts w:cs="Arial" w:hint="cs"/>
          <w:rtl/>
        </w:rPr>
        <w:t xml:space="preserve">. </w:t>
      </w:r>
      <w:r w:rsidRPr="00B668B1">
        <w:rPr>
          <w:rFonts w:cs="Arial" w:hint="cs"/>
          <w:color w:val="E36C0A" w:themeColor="accent6" w:themeShade="BF"/>
          <w:rtl/>
        </w:rPr>
        <w:t>(וכ"פ בשו"ע)</w:t>
      </w:r>
      <w:r w:rsidR="00874026" w:rsidRPr="00B668B1">
        <w:rPr>
          <w:rFonts w:cs="Arial"/>
          <w:rtl/>
        </w:rPr>
        <w:t xml:space="preserve"> </w:t>
      </w:r>
    </w:p>
    <w:p w14:paraId="680DAC0A" w14:textId="77777777" w:rsidR="00980EE0" w:rsidRPr="00980EE0" w:rsidRDefault="00980EE0" w:rsidP="00980EE0">
      <w:pPr>
        <w:rPr>
          <w:rFonts w:cs="Arial"/>
          <w:sz w:val="16"/>
          <w:szCs w:val="16"/>
        </w:rPr>
      </w:pPr>
      <w:r w:rsidRPr="00980EE0">
        <w:rPr>
          <w:rFonts w:cs="Arial" w:hint="cs"/>
          <w:u w:val="single"/>
          <w:rtl/>
        </w:rPr>
        <w:t>עמידה בפני ת"ח שבא לדין:</w:t>
      </w:r>
      <w:r>
        <w:rPr>
          <w:rFonts w:cs="Arial" w:hint="cs"/>
          <w:sz w:val="16"/>
          <w:szCs w:val="16"/>
          <w:rtl/>
        </w:rPr>
        <w:t xml:space="preserve">  (דרכ"מ אות ג)</w:t>
      </w:r>
    </w:p>
    <w:p w14:paraId="6F8DF8D6" w14:textId="77777777" w:rsidR="00980EE0" w:rsidRDefault="00980EE0" w:rsidP="004B0475">
      <w:pPr>
        <w:pStyle w:val="ac"/>
        <w:numPr>
          <w:ilvl w:val="0"/>
          <w:numId w:val="21"/>
        </w:numPr>
        <w:rPr>
          <w:rFonts w:cs="Arial"/>
        </w:rPr>
      </w:pPr>
      <w:r w:rsidRPr="00980EE0">
        <w:rPr>
          <w:rFonts w:cs="Arial"/>
          <w:rtl/>
        </w:rPr>
        <w:lastRenderedPageBreak/>
        <w:t>ר"ן</w:t>
      </w:r>
      <w:r w:rsidRPr="00980EE0">
        <w:rPr>
          <w:rFonts w:cs="Arial"/>
          <w:sz w:val="16"/>
          <w:szCs w:val="16"/>
          <w:rtl/>
        </w:rPr>
        <w:t xml:space="preserve"> </w:t>
      </w:r>
      <w:r w:rsidRPr="00980EE0">
        <w:rPr>
          <w:rFonts w:cs="Arial" w:hint="cs"/>
          <w:sz w:val="16"/>
          <w:szCs w:val="16"/>
          <w:rtl/>
        </w:rPr>
        <w:t>(</w:t>
      </w:r>
      <w:r w:rsidRPr="00980EE0">
        <w:rPr>
          <w:rFonts w:cs="Arial"/>
          <w:sz w:val="16"/>
          <w:szCs w:val="16"/>
          <w:rtl/>
        </w:rPr>
        <w:t>פ שבועת העדות יד. ד"ה ודאמרינן)</w:t>
      </w:r>
      <w:r>
        <w:rPr>
          <w:rFonts w:cs="Arial" w:hint="cs"/>
          <w:rtl/>
        </w:rPr>
        <w:t xml:space="preserve">- </w:t>
      </w:r>
      <w:r w:rsidR="006A4C09" w:rsidRPr="006A4C09">
        <w:rPr>
          <w:rFonts w:cs="Arial"/>
          <w:rtl/>
        </w:rPr>
        <w:t>יש לומר דעובדא דדביתהו דרב הונא לאחר מיתה דרב הונא הוה</w:t>
      </w:r>
      <w:r w:rsidR="006A4C09">
        <w:rPr>
          <w:rFonts w:cs="Arial" w:hint="cs"/>
          <w:rtl/>
        </w:rPr>
        <w:t>,</w:t>
      </w:r>
      <w:r w:rsidR="006A4C09" w:rsidRPr="006A4C09">
        <w:rPr>
          <w:rFonts w:cs="Arial"/>
          <w:rtl/>
        </w:rPr>
        <w:t xml:space="preserve"> וכן פרש"י ז"ל</w:t>
      </w:r>
      <w:r w:rsidR="006A4C09">
        <w:rPr>
          <w:rFonts w:cs="Arial" w:hint="cs"/>
          <w:rtl/>
        </w:rPr>
        <w:t>,</w:t>
      </w:r>
      <w:r w:rsidR="006A4C09" w:rsidRPr="006A4C09">
        <w:rPr>
          <w:rFonts w:cs="Arial"/>
          <w:rtl/>
        </w:rPr>
        <w:t xml:space="preserve"> ולפיכך לא היה צריך להושיבה</w:t>
      </w:r>
      <w:r w:rsidR="006A4C09">
        <w:rPr>
          <w:rFonts w:cs="Arial" w:hint="cs"/>
          <w:rtl/>
        </w:rPr>
        <w:t>,</w:t>
      </w:r>
      <w:r w:rsidR="006A4C09" w:rsidRPr="006A4C09">
        <w:rPr>
          <w:rFonts w:cs="Arial"/>
          <w:rtl/>
        </w:rPr>
        <w:t xml:space="preserve"> שמן התורה לא היה כאן עשה דכבוד תורה אלא מדרבנן</w:t>
      </w:r>
      <w:r w:rsidR="006A4C09">
        <w:rPr>
          <w:rFonts w:cs="Arial" w:hint="cs"/>
          <w:rtl/>
        </w:rPr>
        <w:t>,</w:t>
      </w:r>
      <w:r w:rsidR="006A4C09" w:rsidRPr="006A4C09">
        <w:rPr>
          <w:rFonts w:cs="Arial"/>
          <w:rtl/>
        </w:rPr>
        <w:t xml:space="preserve"> וכתב הרמב"ן ז"ל שכן ודאי נראה</w:t>
      </w:r>
      <w:r w:rsidR="006A4C09">
        <w:rPr>
          <w:rFonts w:cs="Arial" w:hint="cs"/>
          <w:rtl/>
        </w:rPr>
        <w:t>,</w:t>
      </w:r>
      <w:r w:rsidR="006A4C09" w:rsidRPr="006A4C09">
        <w:rPr>
          <w:rFonts w:cs="Arial"/>
          <w:rtl/>
        </w:rPr>
        <w:t xml:space="preserve"> שאילו בת"ח</w:t>
      </w:r>
      <w:r w:rsidR="006A4C09">
        <w:rPr>
          <w:rFonts w:cs="Arial" w:hint="cs"/>
          <w:rtl/>
        </w:rPr>
        <w:t xml:space="preserve"> -</w:t>
      </w:r>
      <w:r w:rsidR="006A4C09" w:rsidRPr="006A4C09">
        <w:rPr>
          <w:rFonts w:cs="Arial"/>
          <w:rtl/>
        </w:rPr>
        <w:t xml:space="preserve"> לא היה צריך לבר אווזא אלא מיקם הוה קאים להדיא</w:t>
      </w:r>
      <w:r w:rsidR="006A4C09">
        <w:rPr>
          <w:rFonts w:cs="Arial" w:hint="cs"/>
          <w:rtl/>
        </w:rPr>
        <w:t>,</w:t>
      </w:r>
      <w:r w:rsidR="006A4C09" w:rsidRPr="006A4C09">
        <w:rPr>
          <w:rFonts w:cs="Arial"/>
          <w:rtl/>
        </w:rPr>
        <w:t xml:space="preserve"> וליכא משום מסתם טענותא דכ</w:t>
      </w:r>
      <w:r w:rsidR="006A4C09">
        <w:rPr>
          <w:rFonts w:cs="Arial" w:hint="cs"/>
          <w:rtl/>
        </w:rPr>
        <w:t>ו</w:t>
      </w:r>
      <w:r w:rsidR="006A4C09" w:rsidRPr="006A4C09">
        <w:rPr>
          <w:rFonts w:cs="Arial"/>
          <w:rtl/>
        </w:rPr>
        <w:t>"ע ידעי והדרת פני זקן</w:t>
      </w:r>
      <w:r w:rsidRPr="00980EE0">
        <w:rPr>
          <w:rFonts w:cs="Arial"/>
          <w:rtl/>
        </w:rPr>
        <w:t xml:space="preserve">. </w:t>
      </w:r>
      <w:r w:rsidR="006A4C09" w:rsidRPr="006A4C09">
        <w:rPr>
          <w:rFonts w:cs="Arial" w:hint="cs"/>
          <w:color w:val="00B0F0"/>
          <w:rtl/>
        </w:rPr>
        <w:t>(וכ"פ הרמ"א)</w:t>
      </w:r>
    </w:p>
    <w:p w14:paraId="34901797" w14:textId="77777777" w:rsidR="00E137BC" w:rsidRPr="00576D5C" w:rsidRDefault="00E137BC" w:rsidP="00576D5C">
      <w:pPr>
        <w:rPr>
          <w:rFonts w:asciiTheme="minorBidi" w:hAnsiTheme="minorBidi"/>
          <w:b/>
          <w:bCs/>
          <w:color w:val="000000"/>
          <w:sz w:val="28"/>
          <w:szCs w:val="28"/>
          <w:u w:val="single"/>
          <w:rtl/>
        </w:rPr>
      </w:pPr>
      <w:r w:rsidRPr="00576D5C">
        <w:rPr>
          <w:rFonts w:asciiTheme="minorBidi" w:hAnsiTheme="minorBidi"/>
          <w:b/>
          <w:bCs/>
          <w:color w:val="000000"/>
          <w:sz w:val="28"/>
          <w:szCs w:val="28"/>
          <w:u w:val="single"/>
          <w:rtl/>
        </w:rPr>
        <w:t>שו"ע:</w:t>
      </w:r>
    </w:p>
    <w:p w14:paraId="16E5BA6C" w14:textId="77777777" w:rsidR="00E137BC" w:rsidRDefault="00E137BC" w:rsidP="00576D5C">
      <w:pPr>
        <w:rPr>
          <w:rFonts w:asciiTheme="minorBidi" w:hAnsiTheme="minorBidi"/>
          <w:rtl/>
        </w:rPr>
      </w:pPr>
      <w:r w:rsidRPr="00576D5C">
        <w:rPr>
          <w:rFonts w:asciiTheme="minorBidi" w:hAnsiTheme="minorBidi"/>
          <w:rtl/>
        </w:rPr>
        <w:t>תלמיד חכם ועם הארץ שבאו לדין מושיבים את החכם, ואומרים לעם הארץ: שב</w:t>
      </w:r>
      <w:r w:rsidR="00980EE0">
        <w:rPr>
          <w:rFonts w:asciiTheme="minorBidi" w:hAnsiTheme="minorBidi" w:hint="cs"/>
          <w:rtl/>
        </w:rPr>
        <w:t>.</w:t>
      </w:r>
      <w:r w:rsidRPr="00576D5C">
        <w:rPr>
          <w:rFonts w:asciiTheme="minorBidi" w:hAnsiTheme="minorBidi"/>
          <w:rtl/>
        </w:rPr>
        <w:t xml:space="preserve"> ואם לא ישב, אין מקפידין בכך</w:t>
      </w:r>
      <w:r w:rsidR="00980EE0">
        <w:rPr>
          <w:rStyle w:val="ab"/>
          <w:rFonts w:asciiTheme="minorBidi" w:hAnsiTheme="minorBidi"/>
          <w:rtl/>
        </w:rPr>
        <w:footnoteReference w:id="931"/>
      </w:r>
      <w:r w:rsidRPr="00576D5C">
        <w:rPr>
          <w:rFonts w:asciiTheme="minorBidi" w:hAnsiTheme="minorBidi"/>
          <w:rtl/>
        </w:rPr>
        <w:t xml:space="preserve">. </w:t>
      </w:r>
      <w:r w:rsidRPr="00585555">
        <w:rPr>
          <w:rFonts w:asciiTheme="minorBidi" w:hAnsiTheme="minorBidi"/>
          <w:sz w:val="18"/>
          <w:szCs w:val="18"/>
          <w:rtl/>
        </w:rPr>
        <w:t>הגה: ת"ח שבא לדין, מותר לעמוד לפניו ולא חיישינן שיסתתמו טענות כנגדו</w:t>
      </w:r>
      <w:r w:rsidR="00B668B1">
        <w:rPr>
          <w:rStyle w:val="ab"/>
          <w:rFonts w:asciiTheme="minorBidi" w:hAnsiTheme="minorBidi"/>
          <w:sz w:val="18"/>
          <w:szCs w:val="18"/>
          <w:rtl/>
        </w:rPr>
        <w:footnoteReference w:id="932"/>
      </w:r>
      <w:r w:rsidRPr="00585555">
        <w:rPr>
          <w:rFonts w:asciiTheme="minorBidi" w:hAnsiTheme="minorBidi"/>
          <w:sz w:val="18"/>
          <w:szCs w:val="18"/>
          <w:rtl/>
        </w:rPr>
        <w:t xml:space="preserve"> (ר"ן פ</w:t>
      </w:r>
      <w:r w:rsidR="00B668B1">
        <w:rPr>
          <w:rFonts w:asciiTheme="minorBidi" w:hAnsiTheme="minorBidi" w:hint="cs"/>
          <w:sz w:val="18"/>
          <w:szCs w:val="18"/>
          <w:rtl/>
        </w:rPr>
        <w:t>'</w:t>
      </w:r>
      <w:r w:rsidRPr="00585555">
        <w:rPr>
          <w:rFonts w:asciiTheme="minorBidi" w:hAnsiTheme="minorBidi"/>
          <w:sz w:val="18"/>
          <w:szCs w:val="18"/>
          <w:rtl/>
        </w:rPr>
        <w:t xml:space="preserve"> שבועת העדות). </w:t>
      </w:r>
    </w:p>
    <w:p w14:paraId="062D8E6A" w14:textId="77777777" w:rsidR="006A4C09" w:rsidRPr="00576D5C" w:rsidRDefault="006A4C09" w:rsidP="00576D5C">
      <w:pPr>
        <w:rPr>
          <w:rFonts w:asciiTheme="minorBidi" w:hAnsiTheme="minorBidi"/>
          <w:rtl/>
        </w:rPr>
      </w:pPr>
    </w:p>
    <w:p w14:paraId="1CBD2F6F" w14:textId="77777777" w:rsidR="00E137BC" w:rsidRDefault="00E137BC" w:rsidP="006567B0">
      <w:pPr>
        <w:pStyle w:val="2"/>
        <w:rPr>
          <w:rtl/>
        </w:rPr>
      </w:pPr>
      <w:bookmarkStart w:id="143" w:name="_Toc24883627"/>
      <w:r w:rsidRPr="00576D5C">
        <w:rPr>
          <w:rtl/>
        </w:rPr>
        <w:t>סעיף ג</w:t>
      </w:r>
      <w:r w:rsidR="00585555">
        <w:rPr>
          <w:rFonts w:hint="cs"/>
          <w:rtl/>
        </w:rPr>
        <w:t>:</w:t>
      </w:r>
      <w:r w:rsidR="00D20081">
        <w:rPr>
          <w:rFonts w:hint="cs"/>
          <w:rtl/>
        </w:rPr>
        <w:t xml:space="preserve"> הושבת בעלי דינים ועדים בזמה"ז.</w:t>
      </w:r>
      <w:bookmarkEnd w:id="143"/>
    </w:p>
    <w:p w14:paraId="20D16E46" w14:textId="77777777" w:rsidR="00D20081" w:rsidRDefault="00D20081" w:rsidP="00585555">
      <w:pPr>
        <w:rPr>
          <w:rFonts w:cs="Arial"/>
          <w:rtl/>
        </w:rPr>
      </w:pPr>
      <w:r w:rsidRPr="00D20081">
        <w:rPr>
          <w:rFonts w:hint="cs"/>
          <w:u w:val="single"/>
          <w:rtl/>
        </w:rPr>
        <w:t xml:space="preserve">הושבת בעלי דינים ועדים </w:t>
      </w:r>
      <w:r w:rsidRPr="00D65D80">
        <w:rPr>
          <w:rFonts w:hint="cs"/>
          <w:b/>
          <w:bCs/>
          <w:u w:val="single"/>
          <w:rtl/>
        </w:rPr>
        <w:t>בזמה"ז</w:t>
      </w:r>
      <w:r w:rsidRPr="00D20081">
        <w:rPr>
          <w:rFonts w:cs="Arial" w:hint="cs"/>
          <w:u w:val="single"/>
          <w:rtl/>
        </w:rPr>
        <w:t>:</w:t>
      </w:r>
    </w:p>
    <w:p w14:paraId="1D8028B5" w14:textId="77777777" w:rsidR="00082A51" w:rsidRPr="00D20081" w:rsidRDefault="00082A51" w:rsidP="004B0475">
      <w:pPr>
        <w:pStyle w:val="ac"/>
        <w:numPr>
          <w:ilvl w:val="0"/>
          <w:numId w:val="21"/>
        </w:numPr>
        <w:rPr>
          <w:rFonts w:cs="Arial"/>
          <w:rtl/>
        </w:rPr>
      </w:pPr>
      <w:r w:rsidRPr="00D20081">
        <w:rPr>
          <w:rFonts w:cs="Arial"/>
          <w:rtl/>
        </w:rPr>
        <w:t>רמב"ם</w:t>
      </w:r>
      <w:r w:rsidR="0072616C" w:rsidRPr="00D20081">
        <w:rPr>
          <w:rFonts w:cs="Arial" w:hint="cs"/>
          <w:rtl/>
        </w:rPr>
        <w:t xml:space="preserve"> </w:t>
      </w:r>
      <w:r w:rsidR="0072616C" w:rsidRPr="00D20081">
        <w:rPr>
          <w:rFonts w:cs="Arial" w:hint="cs"/>
          <w:sz w:val="16"/>
          <w:szCs w:val="16"/>
          <w:rtl/>
        </w:rPr>
        <w:t xml:space="preserve">(פכ"א ה"ה) </w:t>
      </w:r>
      <w:r w:rsidR="0072616C" w:rsidRPr="00D20081">
        <w:rPr>
          <w:rFonts w:cs="Arial" w:hint="cs"/>
          <w:rtl/>
        </w:rPr>
        <w:t xml:space="preserve">וטור- </w:t>
      </w:r>
      <w:r w:rsidR="0072616C" w:rsidRPr="00D20081">
        <w:rPr>
          <w:rFonts w:cs="Arial"/>
          <w:rtl/>
        </w:rPr>
        <w:t xml:space="preserve">כבר נהגו כל בתי דיני ישראל מאחר הגמרא בכל הישיבות שמושיבין בעלי דינין ומושיבין העדים כדי לסלק המחלוקת, שאין בנו כח להעמיד משפטי הדת על תלם. </w:t>
      </w:r>
      <w:r w:rsidR="00873190" w:rsidRPr="00B668B1">
        <w:rPr>
          <w:rFonts w:cs="Arial" w:hint="cs"/>
          <w:color w:val="E36C0A" w:themeColor="accent6" w:themeShade="BF"/>
          <w:rtl/>
        </w:rPr>
        <w:t>(וכ"פ בשו"ע)</w:t>
      </w:r>
    </w:p>
    <w:p w14:paraId="58A660D9" w14:textId="77777777" w:rsidR="00D20081" w:rsidRDefault="00D20081" w:rsidP="0072616C">
      <w:pPr>
        <w:rPr>
          <w:rFonts w:cs="Arial"/>
          <w:rtl/>
        </w:rPr>
      </w:pPr>
      <w:r w:rsidRPr="00D20081">
        <w:rPr>
          <w:rFonts w:cs="Arial" w:hint="cs"/>
          <w:u w:val="single"/>
          <w:rtl/>
        </w:rPr>
        <w:t xml:space="preserve">טוענין ללוקח או ליורש </w:t>
      </w:r>
      <w:r w:rsidRPr="00D20081">
        <w:rPr>
          <w:rFonts w:cs="Arial"/>
          <w:u w:val="single"/>
          <w:rtl/>
        </w:rPr>
        <w:t>–</w:t>
      </w:r>
      <w:r w:rsidRPr="00D20081">
        <w:rPr>
          <w:rFonts w:cs="Arial" w:hint="cs"/>
          <w:u w:val="single"/>
          <w:rtl/>
        </w:rPr>
        <w:t xml:space="preserve"> בטענה שהוא עצמו טוען:</w:t>
      </w:r>
    </w:p>
    <w:p w14:paraId="01DE4E69" w14:textId="77777777" w:rsidR="00585555" w:rsidRPr="00D20081" w:rsidRDefault="00194389" w:rsidP="004B0475">
      <w:pPr>
        <w:pStyle w:val="ac"/>
        <w:numPr>
          <w:ilvl w:val="0"/>
          <w:numId w:val="21"/>
        </w:numPr>
        <w:rPr>
          <w:rFonts w:cs="Arial"/>
          <w:rtl/>
        </w:rPr>
      </w:pPr>
      <w:r w:rsidRPr="00D20081">
        <w:rPr>
          <w:rFonts w:cs="Arial"/>
          <w:rtl/>
        </w:rPr>
        <w:t>ר</w:t>
      </w:r>
      <w:r w:rsidR="0072616C" w:rsidRPr="00D20081">
        <w:rPr>
          <w:rFonts w:cs="Arial" w:hint="cs"/>
          <w:rtl/>
        </w:rPr>
        <w:t>י"ו</w:t>
      </w:r>
      <w:r w:rsidRPr="00D20081">
        <w:rPr>
          <w:rFonts w:cs="Arial"/>
          <w:rtl/>
        </w:rPr>
        <w:t xml:space="preserve"> </w:t>
      </w:r>
      <w:r w:rsidR="0072616C" w:rsidRPr="00D20081">
        <w:rPr>
          <w:rFonts w:cs="Arial" w:hint="cs"/>
          <w:sz w:val="16"/>
          <w:szCs w:val="16"/>
          <w:rtl/>
        </w:rPr>
        <w:t>(</w:t>
      </w:r>
      <w:r w:rsidRPr="00D20081">
        <w:rPr>
          <w:rFonts w:cs="Arial"/>
          <w:sz w:val="16"/>
          <w:szCs w:val="16"/>
          <w:rtl/>
        </w:rPr>
        <w:t>ני"א ח"ב מישרים לט ע"ד)</w:t>
      </w:r>
      <w:r w:rsidR="0072616C" w:rsidRPr="00D20081">
        <w:rPr>
          <w:rFonts w:cs="Arial" w:hint="cs"/>
          <w:rtl/>
        </w:rPr>
        <w:t>-</w:t>
      </w:r>
      <w:r w:rsidRPr="00D20081">
        <w:rPr>
          <w:rFonts w:cs="Arial"/>
          <w:rtl/>
        </w:rPr>
        <w:t xml:space="preserve"> הא דאמרינן טוענין ללוקח או ליורש </w:t>
      </w:r>
      <w:r w:rsidRPr="00D20081">
        <w:rPr>
          <w:rFonts w:cs="Arial"/>
          <w:sz w:val="16"/>
          <w:szCs w:val="16"/>
          <w:rtl/>
        </w:rPr>
        <w:t>(ב</w:t>
      </w:r>
      <w:r w:rsidR="004118EE">
        <w:rPr>
          <w:rFonts w:cs="Arial" w:hint="cs"/>
          <w:sz w:val="16"/>
          <w:szCs w:val="16"/>
          <w:rtl/>
        </w:rPr>
        <w:t>"</w:t>
      </w:r>
      <w:r w:rsidRPr="00D20081">
        <w:rPr>
          <w:rFonts w:cs="Arial"/>
          <w:sz w:val="16"/>
          <w:szCs w:val="16"/>
          <w:rtl/>
        </w:rPr>
        <w:t xml:space="preserve">ב כג.) </w:t>
      </w:r>
      <w:r w:rsidRPr="00D20081">
        <w:rPr>
          <w:rFonts w:cs="Arial"/>
          <w:rtl/>
        </w:rPr>
        <w:t>דוקא בטענת ספק שאינו טוען הוא אבל בטענה שהוא עצמו טוען אין טוענין לו לבטל טענתו</w:t>
      </w:r>
      <w:r w:rsidR="0072616C" w:rsidRPr="00D20081">
        <w:rPr>
          <w:rFonts w:cs="Arial" w:hint="cs"/>
          <w:rtl/>
        </w:rPr>
        <w:t>,</w:t>
      </w:r>
      <w:r w:rsidRPr="00D20081">
        <w:rPr>
          <w:rFonts w:cs="Arial"/>
          <w:rtl/>
        </w:rPr>
        <w:t xml:space="preserve"> ולפיכך אין טוענין לו עד שנשאל את פיו מהו טענתו שמא יטעון ברי ועליה דנין</w:t>
      </w:r>
      <w:r w:rsidR="0072616C" w:rsidRPr="00D20081">
        <w:rPr>
          <w:rFonts w:cs="Arial" w:hint="cs"/>
          <w:rtl/>
        </w:rPr>
        <w:t>,</w:t>
      </w:r>
      <w:r w:rsidRPr="00D20081">
        <w:rPr>
          <w:rFonts w:cs="Arial"/>
          <w:rtl/>
        </w:rPr>
        <w:t xml:space="preserve"> כך כתבו המפרשים בפרק חזקת וכ</w:t>
      </w:r>
      <w:r w:rsidR="0072616C" w:rsidRPr="00D20081">
        <w:rPr>
          <w:rFonts w:cs="Arial" w:hint="cs"/>
          <w:rtl/>
        </w:rPr>
        <w:t>"כ</w:t>
      </w:r>
      <w:r w:rsidRPr="00D20081">
        <w:rPr>
          <w:rFonts w:cs="Arial"/>
          <w:rtl/>
        </w:rPr>
        <w:t xml:space="preserve"> הרשב"א בתשובה </w:t>
      </w:r>
      <w:r w:rsidRPr="00D20081">
        <w:rPr>
          <w:rFonts w:cs="Arial"/>
          <w:sz w:val="16"/>
          <w:szCs w:val="16"/>
          <w:rtl/>
        </w:rPr>
        <w:t>(סי' אלף כ)</w:t>
      </w:r>
      <w:r w:rsidR="00D20081">
        <w:rPr>
          <w:rStyle w:val="ab"/>
          <w:rFonts w:cs="Arial"/>
          <w:rtl/>
        </w:rPr>
        <w:footnoteReference w:id="933"/>
      </w:r>
      <w:r w:rsidRPr="00D20081">
        <w:rPr>
          <w:rFonts w:cs="Arial"/>
          <w:rtl/>
        </w:rPr>
        <w:t xml:space="preserve">. </w:t>
      </w:r>
    </w:p>
    <w:p w14:paraId="4872C2FF" w14:textId="77777777" w:rsidR="00E137BC" w:rsidRPr="00576D5C" w:rsidRDefault="00E137BC" w:rsidP="00576D5C">
      <w:pPr>
        <w:rPr>
          <w:rFonts w:asciiTheme="minorBidi" w:hAnsiTheme="minorBidi"/>
          <w:b/>
          <w:bCs/>
          <w:color w:val="000000"/>
          <w:sz w:val="28"/>
          <w:szCs w:val="28"/>
          <w:u w:val="single"/>
          <w:rtl/>
        </w:rPr>
      </w:pPr>
      <w:r w:rsidRPr="00576D5C">
        <w:rPr>
          <w:rFonts w:asciiTheme="minorBidi" w:hAnsiTheme="minorBidi"/>
          <w:b/>
          <w:bCs/>
          <w:color w:val="000000"/>
          <w:sz w:val="28"/>
          <w:szCs w:val="28"/>
          <w:u w:val="single"/>
          <w:rtl/>
        </w:rPr>
        <w:t>שו"ע:</w:t>
      </w:r>
    </w:p>
    <w:p w14:paraId="75AF9AF6" w14:textId="77777777" w:rsidR="00E137BC" w:rsidRDefault="00E137BC" w:rsidP="00576D5C">
      <w:pPr>
        <w:rPr>
          <w:rFonts w:asciiTheme="minorBidi" w:hAnsiTheme="minorBidi"/>
          <w:rtl/>
        </w:rPr>
      </w:pPr>
      <w:r w:rsidRPr="00576D5C">
        <w:rPr>
          <w:rFonts w:asciiTheme="minorBidi" w:hAnsiTheme="minorBidi"/>
          <w:rtl/>
        </w:rPr>
        <w:t>כבר נהגו כל בתי דיני ישראל לאחר התלמוד שמושיבין בעלי דינים וגם העדים כדי להסיר המחלוקת, שאין בנו כח להעמיד משפטי הדת על תלם</w:t>
      </w:r>
      <w:bookmarkStart w:id="144" w:name="_Hlk10631428"/>
      <w:r w:rsidR="00671718">
        <w:rPr>
          <w:rStyle w:val="ab"/>
          <w:rFonts w:asciiTheme="minorBidi" w:hAnsiTheme="minorBidi"/>
          <w:rtl/>
        </w:rPr>
        <w:footnoteReference w:id="934"/>
      </w:r>
      <w:bookmarkEnd w:id="144"/>
      <w:r w:rsidRPr="00576D5C">
        <w:rPr>
          <w:rFonts w:asciiTheme="minorBidi" w:hAnsiTheme="minorBidi"/>
          <w:rtl/>
        </w:rPr>
        <w:t xml:space="preserve">. </w:t>
      </w:r>
    </w:p>
    <w:p w14:paraId="6CD8B68B" w14:textId="77777777" w:rsidR="00585555" w:rsidRPr="00576D5C" w:rsidRDefault="00585555" w:rsidP="00576D5C">
      <w:pPr>
        <w:rPr>
          <w:rFonts w:asciiTheme="minorBidi" w:hAnsiTheme="minorBidi"/>
          <w:rtl/>
        </w:rPr>
      </w:pPr>
    </w:p>
    <w:p w14:paraId="50DFD0FB" w14:textId="77777777" w:rsidR="00E137BC" w:rsidRDefault="00E137BC" w:rsidP="006567B0">
      <w:pPr>
        <w:pStyle w:val="2"/>
        <w:rPr>
          <w:rtl/>
        </w:rPr>
      </w:pPr>
      <w:bookmarkStart w:id="145" w:name="_Toc24883628"/>
      <w:r w:rsidRPr="00576D5C">
        <w:rPr>
          <w:rtl/>
        </w:rPr>
        <w:t>סעיף ד</w:t>
      </w:r>
      <w:r w:rsidR="004946CD">
        <w:rPr>
          <w:rFonts w:hint="cs"/>
          <w:rtl/>
        </w:rPr>
        <w:t>:</w:t>
      </w:r>
      <w:r w:rsidR="00D20081">
        <w:rPr>
          <w:rFonts w:hint="cs"/>
          <w:rtl/>
        </w:rPr>
        <w:t xml:space="preserve"> בעל דין שרוצה להושיב את קרוביו ואוהביו אצלו בשעת הדין.</w:t>
      </w:r>
      <w:bookmarkEnd w:id="145"/>
      <w:r w:rsidR="00D20081">
        <w:rPr>
          <w:rFonts w:hint="cs"/>
          <w:rtl/>
        </w:rPr>
        <w:t xml:space="preserve"> </w:t>
      </w:r>
    </w:p>
    <w:p w14:paraId="356108F9" w14:textId="77777777" w:rsidR="00D20081" w:rsidRDefault="00D20081" w:rsidP="004946CD">
      <w:pPr>
        <w:rPr>
          <w:rFonts w:cs="Arial"/>
          <w:rtl/>
        </w:rPr>
      </w:pPr>
      <w:r w:rsidRPr="00D20081">
        <w:rPr>
          <w:rFonts w:hint="cs"/>
          <w:u w:val="single"/>
          <w:rtl/>
        </w:rPr>
        <w:t>בעל דין שרוצה להושיב את קרוביו ואוהביו אצלו בשעת הדין</w:t>
      </w:r>
      <w:r w:rsidRPr="00D20081">
        <w:rPr>
          <w:rFonts w:cs="Arial" w:hint="cs"/>
          <w:u w:val="single"/>
          <w:rtl/>
        </w:rPr>
        <w:t>:</w:t>
      </w:r>
    </w:p>
    <w:p w14:paraId="66A1FF7D" w14:textId="77777777" w:rsidR="00D20081" w:rsidRPr="00D20081" w:rsidRDefault="00935D25" w:rsidP="004B0475">
      <w:pPr>
        <w:pStyle w:val="ac"/>
        <w:numPr>
          <w:ilvl w:val="0"/>
          <w:numId w:val="21"/>
        </w:numPr>
      </w:pPr>
      <w:r>
        <w:rPr>
          <w:rFonts w:cs="Arial" w:hint="cs"/>
          <w:rtl/>
        </w:rPr>
        <w:t>מ</w:t>
      </w:r>
      <w:r w:rsidR="00194389" w:rsidRPr="00D20081">
        <w:rPr>
          <w:rFonts w:cs="Arial"/>
          <w:rtl/>
        </w:rPr>
        <w:t>הר"</w:t>
      </w:r>
      <w:r>
        <w:rPr>
          <w:rFonts w:cs="Arial" w:hint="cs"/>
          <w:rtl/>
        </w:rPr>
        <w:t>ם</w:t>
      </w:r>
      <w:r w:rsidR="00194389" w:rsidRPr="00D20081">
        <w:rPr>
          <w:rFonts w:cs="Arial"/>
          <w:rtl/>
        </w:rPr>
        <w:t xml:space="preserve"> </w:t>
      </w:r>
      <w:r w:rsidR="00194389" w:rsidRPr="00D20081">
        <w:rPr>
          <w:rFonts w:cs="Arial"/>
          <w:sz w:val="16"/>
          <w:szCs w:val="16"/>
          <w:rtl/>
        </w:rPr>
        <w:t>(ד"פ סי' שלג</w:t>
      </w:r>
      <w:r>
        <w:rPr>
          <w:rFonts w:cs="Arial" w:hint="cs"/>
          <w:sz w:val="16"/>
          <w:szCs w:val="16"/>
          <w:rtl/>
        </w:rPr>
        <w:t>,</w:t>
      </w:r>
      <w:r w:rsidRPr="00935D25">
        <w:rPr>
          <w:rFonts w:cs="Arial" w:hint="cs"/>
          <w:sz w:val="16"/>
          <w:szCs w:val="16"/>
          <w:rtl/>
        </w:rPr>
        <w:t xml:space="preserve"> </w:t>
      </w:r>
      <w:r>
        <w:rPr>
          <w:rFonts w:cs="Arial" w:hint="cs"/>
          <w:sz w:val="16"/>
          <w:szCs w:val="16"/>
          <w:rtl/>
        </w:rPr>
        <w:t xml:space="preserve">הביאו ג"כ המרדכי </w:t>
      </w:r>
      <w:r w:rsidRPr="00293CD4">
        <w:rPr>
          <w:rFonts w:cs="Arial" w:hint="cs"/>
          <w:sz w:val="14"/>
          <w:szCs w:val="14"/>
          <w:rtl/>
        </w:rPr>
        <w:t>[</w:t>
      </w:r>
      <w:r w:rsidRPr="00293CD4">
        <w:rPr>
          <w:rFonts w:cs="Arial"/>
          <w:sz w:val="14"/>
          <w:szCs w:val="14"/>
          <w:rtl/>
        </w:rPr>
        <w:t>פ</w:t>
      </w:r>
      <w:r w:rsidRPr="00293CD4">
        <w:rPr>
          <w:rFonts w:cs="Arial" w:hint="cs"/>
          <w:sz w:val="14"/>
          <w:szCs w:val="14"/>
          <w:rtl/>
        </w:rPr>
        <w:t>'</w:t>
      </w:r>
      <w:r w:rsidRPr="00293CD4">
        <w:rPr>
          <w:rFonts w:cs="Arial"/>
          <w:sz w:val="14"/>
          <w:szCs w:val="14"/>
          <w:rtl/>
        </w:rPr>
        <w:t xml:space="preserve"> שבועות העדות סי' תשסא</w:t>
      </w:r>
      <w:r w:rsidRPr="00293CD4">
        <w:rPr>
          <w:rFonts w:cs="Arial" w:hint="cs"/>
          <w:sz w:val="14"/>
          <w:szCs w:val="14"/>
          <w:rtl/>
        </w:rPr>
        <w:t>]</w:t>
      </w:r>
      <w:r w:rsidR="00194389" w:rsidRPr="00D20081">
        <w:rPr>
          <w:rFonts w:cs="Arial"/>
          <w:sz w:val="16"/>
          <w:szCs w:val="16"/>
          <w:rtl/>
        </w:rPr>
        <w:t xml:space="preserve">) </w:t>
      </w:r>
      <w:r>
        <w:rPr>
          <w:rFonts w:cs="Arial" w:hint="cs"/>
          <w:rtl/>
        </w:rPr>
        <w:t>ו</w:t>
      </w:r>
      <w:r w:rsidRPr="00D20081">
        <w:rPr>
          <w:rFonts w:cs="Arial"/>
          <w:rtl/>
        </w:rPr>
        <w:t xml:space="preserve">רשב"א </w:t>
      </w:r>
      <w:r w:rsidRPr="00935D25">
        <w:rPr>
          <w:rFonts w:cs="Arial" w:hint="cs"/>
          <w:sz w:val="16"/>
          <w:szCs w:val="16"/>
          <w:rtl/>
        </w:rPr>
        <w:t>(</w:t>
      </w:r>
      <w:r w:rsidRPr="00935D25">
        <w:rPr>
          <w:rFonts w:cs="Arial"/>
          <w:sz w:val="16"/>
          <w:szCs w:val="16"/>
          <w:rtl/>
        </w:rPr>
        <w:t>סי</w:t>
      </w:r>
      <w:r w:rsidRPr="00935D25">
        <w:rPr>
          <w:rFonts w:cs="Arial" w:hint="cs"/>
          <w:sz w:val="16"/>
          <w:szCs w:val="16"/>
          <w:rtl/>
        </w:rPr>
        <w:t>'</w:t>
      </w:r>
      <w:r w:rsidRPr="00935D25">
        <w:rPr>
          <w:rFonts w:cs="Arial"/>
          <w:sz w:val="16"/>
          <w:szCs w:val="16"/>
          <w:rtl/>
        </w:rPr>
        <w:t xml:space="preserve"> אלף קז</w:t>
      </w:r>
      <w:r w:rsidRPr="00935D25">
        <w:rPr>
          <w:rFonts w:cs="Arial" w:hint="cs"/>
          <w:sz w:val="16"/>
          <w:szCs w:val="16"/>
          <w:rtl/>
        </w:rPr>
        <w:t>)</w:t>
      </w:r>
      <w:r>
        <w:rPr>
          <w:rFonts w:cs="Arial" w:hint="cs"/>
          <w:rtl/>
        </w:rPr>
        <w:t xml:space="preserve">- </w:t>
      </w:r>
      <w:r w:rsidRPr="00935D25">
        <w:rPr>
          <w:rFonts w:cs="Arial"/>
          <w:rtl/>
        </w:rPr>
        <w:t>אשר שאלני אדוני אם שמעון הנתבע אומר רצוני שישבו אהובים אצלי כשאטעון עמכם שלא יסתתמו טענותי כי אתם הרבים? או דילמא השותפין מצו לומר לא מגלינן טענותינו בפני הרבים דדילמא מרמזי לך רמוזי בקריצותיהן וברמיזותיהן לטעון</w:t>
      </w:r>
      <w:r w:rsidR="00293CD4">
        <w:rPr>
          <w:rFonts w:cs="Arial" w:hint="cs"/>
          <w:rtl/>
        </w:rPr>
        <w:t>.</w:t>
      </w:r>
      <w:r w:rsidRPr="00935D25">
        <w:rPr>
          <w:rFonts w:cs="Arial"/>
          <w:rtl/>
        </w:rPr>
        <w:t xml:space="preserve"> נראה בעיני דהשותפין אין לישב כלם כשאחד מחבריהם טוען עם היחיד שכנגדם. דודאי טענתיה טענה היא דהא מסתתמן טענתיה. כי שנים או שלשה יודעים להערים יותר מן האחד ואיכא למיחש בדידהו דילמא מרמזי אהדדי ששמעו טענותיו של הנתבע ויערימו יותר מאלו היה אחד מהם לבדו טוען כדי שיראהו הנתבע וידאג מפניו ויסתתמו טענותיו. ודבר פשוט דלא גרע מאחד לבוש איצטילא ואחד לבוש סמרטוט שאומרים לו לבוש כמותו או הלבישהו כמותך. וכן שלחו פיזמנייכו וחותי לדינא. וחכמי התלמוד לא יכלו לברר כל הדברים הגורמים לסתם טענות הבעלי דינין. אלא כתבו לנו קצת ותן לחכם ויחכם עוד בזה וכיוצא בזה ויחושו לעצמן הדיינין. וכל שכן הכא דקא טען איהו בהדיה דקא מסתתמין טענתיה והדבר ידוע שהוא כך. הילכך השותפין או יבררו להם אחד שיטעון לבדו בשביל כולם. או יטעון כל אחד בפני עצמו וילך לו ושוב יטעון השני וכן השלישי. וקודם שיפסקו הדין יטענו כלם. אם יש טורח לבית דין אחד לזכור כל הטענות יבררו ג' או ד' בתי </w:t>
      </w:r>
      <w:r w:rsidRPr="00935D25">
        <w:rPr>
          <w:rFonts w:cs="Arial"/>
          <w:rtl/>
        </w:rPr>
        <w:lastRenderedPageBreak/>
        <w:t>דינין או בית דין אחד בב' או בג' ימים או יכתבו שטרי טענותיו. והא מילתא לא הוי אטרוחי ב"ד בכדי</w:t>
      </w:r>
      <w:r w:rsidRPr="00935D25">
        <w:rPr>
          <w:rFonts w:cs="Arial" w:hint="cs"/>
          <w:rtl/>
        </w:rPr>
        <w:t>,</w:t>
      </w:r>
      <w:r w:rsidRPr="00935D25">
        <w:rPr>
          <w:rFonts w:cs="Arial"/>
          <w:rtl/>
        </w:rPr>
        <w:t xml:space="preserve"> מטעמא דפרי'. וראובן כמו כן אין לו ליקח אוהביו אצלו כשיטעון</w:t>
      </w:r>
      <w:r w:rsidRPr="00935D25">
        <w:rPr>
          <w:rFonts w:cs="Arial" w:hint="cs"/>
          <w:rtl/>
        </w:rPr>
        <w:t>,</w:t>
      </w:r>
      <w:r w:rsidRPr="00935D25">
        <w:rPr>
          <w:rFonts w:cs="Arial"/>
          <w:rtl/>
        </w:rPr>
        <w:t xml:space="preserve"> מהאי טעמא.</w:t>
      </w:r>
      <w:r w:rsidRPr="00935D25">
        <w:rPr>
          <w:rFonts w:cs="Arial" w:hint="cs"/>
          <w:rtl/>
        </w:rPr>
        <w:t>..</w:t>
      </w:r>
      <w:r>
        <w:rPr>
          <w:rFonts w:hint="cs"/>
          <w:sz w:val="16"/>
          <w:szCs w:val="16"/>
          <w:rtl/>
        </w:rPr>
        <w:t xml:space="preserve"> (ל' הרשב"א</w:t>
      </w:r>
      <w:r>
        <w:rPr>
          <w:rStyle w:val="ab"/>
          <w:sz w:val="16"/>
          <w:szCs w:val="16"/>
          <w:rtl/>
        </w:rPr>
        <w:footnoteReference w:id="935"/>
      </w:r>
      <w:r>
        <w:rPr>
          <w:rFonts w:hint="cs"/>
          <w:sz w:val="16"/>
          <w:szCs w:val="16"/>
          <w:rtl/>
        </w:rPr>
        <w:t>)</w:t>
      </w:r>
      <w:r>
        <w:rPr>
          <w:rFonts w:hint="cs"/>
          <w:rtl/>
        </w:rPr>
        <w:t>.</w:t>
      </w:r>
      <w:r w:rsidR="00873190">
        <w:rPr>
          <w:rFonts w:hint="cs"/>
          <w:rtl/>
        </w:rPr>
        <w:t xml:space="preserve"> </w:t>
      </w:r>
      <w:r w:rsidR="00873190" w:rsidRPr="00B668B1">
        <w:rPr>
          <w:rFonts w:cs="Arial" w:hint="cs"/>
          <w:color w:val="E36C0A" w:themeColor="accent6" w:themeShade="BF"/>
          <w:rtl/>
        </w:rPr>
        <w:t>(וכ"פ בשו"ע)</w:t>
      </w:r>
    </w:p>
    <w:p w14:paraId="6FD33FBD" w14:textId="77777777" w:rsidR="00D20081" w:rsidRPr="00935D25" w:rsidRDefault="00D20081" w:rsidP="00D20081">
      <w:pPr>
        <w:rPr>
          <w:u w:val="single"/>
        </w:rPr>
      </w:pPr>
      <w:r w:rsidRPr="00935D25">
        <w:rPr>
          <w:rFonts w:cs="Arial"/>
          <w:u w:val="single"/>
          <w:rtl/>
        </w:rPr>
        <w:t>שני אחים או שלשה שיש להם דין עם אחד</w:t>
      </w:r>
      <w:r w:rsidRPr="00935D25">
        <w:rPr>
          <w:rFonts w:cs="Arial" w:hint="cs"/>
          <w:u w:val="single"/>
          <w:rtl/>
        </w:rPr>
        <w:t xml:space="preserve"> </w:t>
      </w:r>
      <w:r w:rsidRPr="00935D25">
        <w:rPr>
          <w:rFonts w:cs="Arial"/>
          <w:u w:val="single"/>
          <w:rtl/>
        </w:rPr>
        <w:t>–</w:t>
      </w:r>
      <w:r w:rsidRPr="00935D25">
        <w:rPr>
          <w:rFonts w:cs="Arial" w:hint="cs"/>
          <w:u w:val="single"/>
          <w:rtl/>
        </w:rPr>
        <w:t xml:space="preserve"> מהו </w:t>
      </w:r>
      <w:r w:rsidR="00935D25" w:rsidRPr="00935D25">
        <w:rPr>
          <w:rFonts w:cs="Arial" w:hint="cs"/>
          <w:u w:val="single"/>
          <w:rtl/>
        </w:rPr>
        <w:t xml:space="preserve">שיאמר היחיד </w:t>
      </w:r>
      <w:r w:rsidR="00873190">
        <w:rPr>
          <w:rFonts w:cs="Arial" w:hint="cs"/>
          <w:u w:val="single"/>
          <w:rtl/>
        </w:rPr>
        <w:t>'</w:t>
      </w:r>
      <w:r w:rsidR="00935D25" w:rsidRPr="00935D25">
        <w:rPr>
          <w:rFonts w:cs="Arial" w:hint="cs"/>
          <w:u w:val="single"/>
          <w:rtl/>
        </w:rPr>
        <w:t>תבררו לכ</w:t>
      </w:r>
      <w:r w:rsidR="00873190">
        <w:rPr>
          <w:rFonts w:cs="Arial" w:hint="cs"/>
          <w:u w:val="single"/>
          <w:rtl/>
        </w:rPr>
        <w:t>ם</w:t>
      </w:r>
      <w:r w:rsidR="00935D25" w:rsidRPr="00935D25">
        <w:rPr>
          <w:rFonts w:cs="Arial" w:hint="cs"/>
          <w:u w:val="single"/>
          <w:rtl/>
        </w:rPr>
        <w:t xml:space="preserve"> אחד והוא יתדיין בשבילכם</w:t>
      </w:r>
      <w:r w:rsidR="00873190">
        <w:rPr>
          <w:rFonts w:cs="Arial" w:hint="cs"/>
          <w:u w:val="single"/>
          <w:rtl/>
        </w:rPr>
        <w:t>'</w:t>
      </w:r>
      <w:r w:rsidR="00935D25" w:rsidRPr="00935D25">
        <w:rPr>
          <w:rFonts w:cs="Arial" w:hint="cs"/>
          <w:u w:val="single"/>
          <w:rtl/>
        </w:rPr>
        <w:t>:</w:t>
      </w:r>
      <w:r w:rsidR="00905231" w:rsidRPr="00905231">
        <w:rPr>
          <w:rFonts w:cs="Arial" w:hint="cs"/>
          <w:sz w:val="16"/>
          <w:szCs w:val="16"/>
          <w:rtl/>
        </w:rPr>
        <w:t xml:space="preserve"> </w:t>
      </w:r>
      <w:r w:rsidR="00905231">
        <w:rPr>
          <w:rFonts w:cs="Arial" w:hint="cs"/>
          <w:sz w:val="16"/>
          <w:szCs w:val="16"/>
          <w:rtl/>
        </w:rPr>
        <w:t>(ב"י בבדה"ב</w:t>
      </w:r>
      <w:r w:rsidR="00905231" w:rsidRPr="00D20081">
        <w:rPr>
          <w:rFonts w:cs="Arial"/>
          <w:sz w:val="16"/>
          <w:szCs w:val="16"/>
          <w:rtl/>
        </w:rPr>
        <w:t>)</w:t>
      </w:r>
    </w:p>
    <w:p w14:paraId="164133FE" w14:textId="77777777" w:rsidR="004946CD" w:rsidRPr="004946CD" w:rsidRDefault="00D20081" w:rsidP="004B0475">
      <w:pPr>
        <w:pStyle w:val="ac"/>
        <w:numPr>
          <w:ilvl w:val="0"/>
          <w:numId w:val="21"/>
        </w:numPr>
        <w:rPr>
          <w:rtl/>
        </w:rPr>
      </w:pPr>
      <w:r>
        <w:rPr>
          <w:rFonts w:cs="Arial" w:hint="cs"/>
          <w:rtl/>
        </w:rPr>
        <w:t>הגמ"ר</w:t>
      </w:r>
      <w:r w:rsidRPr="00D20081">
        <w:rPr>
          <w:rFonts w:cs="Arial" w:hint="cs"/>
          <w:sz w:val="16"/>
          <w:szCs w:val="16"/>
          <w:rtl/>
        </w:rPr>
        <w:t xml:space="preserve"> (פ"י</w:t>
      </w:r>
      <w:r w:rsidR="00194389" w:rsidRPr="00D20081">
        <w:rPr>
          <w:rFonts w:cs="Arial"/>
          <w:sz w:val="16"/>
          <w:szCs w:val="16"/>
          <w:rtl/>
        </w:rPr>
        <w:t xml:space="preserve"> דכתובות סי' רצט)</w:t>
      </w:r>
      <w:r>
        <w:rPr>
          <w:rFonts w:cs="Arial" w:hint="cs"/>
          <w:rtl/>
        </w:rPr>
        <w:t xml:space="preserve">- </w:t>
      </w:r>
      <w:r w:rsidR="00194389" w:rsidRPr="00D20081">
        <w:rPr>
          <w:rFonts w:cs="Arial"/>
          <w:rtl/>
        </w:rPr>
        <w:t>נראה לי דשני אחים או שלשה שיש להם דין עם אחד</w:t>
      </w:r>
      <w:r w:rsidR="00632893">
        <w:rPr>
          <w:rFonts w:cs="Arial" w:hint="cs"/>
          <w:rtl/>
        </w:rPr>
        <w:t xml:space="preserve"> -</w:t>
      </w:r>
      <w:r w:rsidR="00194389" w:rsidRPr="00D20081">
        <w:rPr>
          <w:rFonts w:cs="Arial"/>
          <w:rtl/>
        </w:rPr>
        <w:t xml:space="preserve"> אין היחיד יכול לומר יבא אחד מכם וידון בשביל כלכם כי טורח עלי להתדיין עם כולם</w:t>
      </w:r>
      <w:r w:rsidR="00935D25">
        <w:rPr>
          <w:rStyle w:val="ab"/>
          <w:rFonts w:cs="Arial"/>
          <w:rtl/>
        </w:rPr>
        <w:footnoteReference w:id="936"/>
      </w:r>
      <w:r w:rsidR="00194389" w:rsidRPr="00D20081">
        <w:rPr>
          <w:rFonts w:cs="Arial"/>
          <w:sz w:val="16"/>
          <w:szCs w:val="16"/>
          <w:rtl/>
        </w:rPr>
        <w:t xml:space="preserve"> </w:t>
      </w:r>
      <w:r>
        <w:rPr>
          <w:rFonts w:cs="Arial" w:hint="cs"/>
          <w:sz w:val="16"/>
          <w:szCs w:val="16"/>
          <w:rtl/>
        </w:rPr>
        <w:t>{</w:t>
      </w:r>
      <w:r w:rsidR="00194389" w:rsidRPr="00D20081">
        <w:rPr>
          <w:rFonts w:cs="Arial"/>
          <w:sz w:val="16"/>
          <w:szCs w:val="16"/>
          <w:rtl/>
        </w:rPr>
        <w:t>והביא ראיה לדבר</w:t>
      </w:r>
      <w:r>
        <w:rPr>
          <w:rFonts w:cs="Arial" w:hint="cs"/>
          <w:sz w:val="16"/>
          <w:szCs w:val="16"/>
          <w:rtl/>
        </w:rPr>
        <w:t>}</w:t>
      </w:r>
      <w:r w:rsidR="00194389" w:rsidRPr="00D20081">
        <w:rPr>
          <w:rFonts w:cs="Arial"/>
          <w:rtl/>
        </w:rPr>
        <w:t xml:space="preserve">. </w:t>
      </w:r>
      <w:r w:rsidR="00905231" w:rsidRPr="00B668B1">
        <w:rPr>
          <w:rFonts w:cs="Arial" w:hint="cs"/>
          <w:color w:val="E36C0A" w:themeColor="accent6" w:themeShade="BF"/>
          <w:rtl/>
        </w:rPr>
        <w:t>(וכ"פ בשו"ע</w:t>
      </w:r>
      <w:r w:rsidR="00905231">
        <w:rPr>
          <w:rFonts w:cs="Arial" w:hint="cs"/>
          <w:color w:val="000000" w:themeColor="text1"/>
          <w:sz w:val="16"/>
          <w:szCs w:val="16"/>
          <w:rtl/>
        </w:rPr>
        <w:t xml:space="preserve"> [סי' קעו סע' לה]</w:t>
      </w:r>
      <w:r w:rsidR="00905231" w:rsidRPr="00B668B1">
        <w:rPr>
          <w:rFonts w:cs="Arial" w:hint="cs"/>
          <w:color w:val="E36C0A" w:themeColor="accent6" w:themeShade="BF"/>
          <w:rtl/>
        </w:rPr>
        <w:t>)</w:t>
      </w:r>
    </w:p>
    <w:p w14:paraId="5E745457" w14:textId="77777777" w:rsidR="00E137BC" w:rsidRPr="00576D5C" w:rsidRDefault="00E137BC" w:rsidP="00576D5C">
      <w:pPr>
        <w:rPr>
          <w:rFonts w:asciiTheme="minorBidi" w:hAnsiTheme="minorBidi"/>
          <w:b/>
          <w:bCs/>
          <w:color w:val="000000"/>
          <w:sz w:val="28"/>
          <w:szCs w:val="28"/>
          <w:u w:val="single"/>
          <w:rtl/>
        </w:rPr>
      </w:pPr>
      <w:r w:rsidRPr="00576D5C">
        <w:rPr>
          <w:rFonts w:asciiTheme="minorBidi" w:hAnsiTheme="minorBidi"/>
          <w:b/>
          <w:bCs/>
          <w:color w:val="000000"/>
          <w:sz w:val="28"/>
          <w:szCs w:val="28"/>
          <w:u w:val="single"/>
          <w:rtl/>
        </w:rPr>
        <w:t>שו"ע:</w:t>
      </w:r>
    </w:p>
    <w:p w14:paraId="2FD468DF" w14:textId="77777777" w:rsidR="00E137BC" w:rsidRDefault="00E137BC" w:rsidP="00576D5C">
      <w:pPr>
        <w:rPr>
          <w:rFonts w:asciiTheme="minorBidi" w:hAnsiTheme="minorBidi"/>
          <w:rtl/>
        </w:rPr>
      </w:pPr>
      <w:r w:rsidRPr="00576D5C">
        <w:rPr>
          <w:rFonts w:asciiTheme="minorBidi" w:hAnsiTheme="minorBidi"/>
          <w:rtl/>
        </w:rPr>
        <w:t xml:space="preserve">אם </w:t>
      </w:r>
      <w:r w:rsidRPr="00873190">
        <w:rPr>
          <w:rFonts w:asciiTheme="minorBidi" w:hAnsiTheme="minorBidi"/>
          <w:sz w:val="18"/>
          <w:szCs w:val="18"/>
          <w:rtl/>
        </w:rPr>
        <w:t>(התובעים רבים</w:t>
      </w:r>
      <w:r w:rsidR="00873190" w:rsidRPr="00873190">
        <w:rPr>
          <w:rFonts w:asciiTheme="minorBidi" w:hAnsiTheme="minorBidi" w:hint="cs"/>
          <w:sz w:val="18"/>
          <w:szCs w:val="18"/>
          <w:rtl/>
        </w:rPr>
        <w:t xml:space="preserve"> ו</w:t>
      </w:r>
      <w:r w:rsidRPr="00873190">
        <w:rPr>
          <w:rFonts w:asciiTheme="minorBidi" w:hAnsiTheme="minorBidi"/>
          <w:sz w:val="18"/>
          <w:szCs w:val="18"/>
          <w:rtl/>
        </w:rPr>
        <w:t>)</w:t>
      </w:r>
      <w:r w:rsidRPr="00576D5C">
        <w:rPr>
          <w:rFonts w:asciiTheme="minorBidi" w:hAnsiTheme="minorBidi"/>
          <w:rtl/>
        </w:rPr>
        <w:t>הנתבע אומר: אני חפץ שישבו אוהבי וקרובי אצלי כשאני טוען עמכם כדי שלא יסתתמו טענותי, כי אתם הרבים, הדין עמו</w:t>
      </w:r>
      <w:r w:rsidR="00905231">
        <w:rPr>
          <w:rStyle w:val="ab"/>
          <w:rFonts w:asciiTheme="minorBidi" w:hAnsiTheme="minorBidi"/>
          <w:rtl/>
        </w:rPr>
        <w:footnoteReference w:id="937"/>
      </w:r>
      <w:r w:rsidR="00873190">
        <w:rPr>
          <w:rFonts w:asciiTheme="minorBidi" w:hAnsiTheme="minorBidi" w:hint="cs"/>
          <w:rtl/>
        </w:rPr>
        <w:t xml:space="preserve"> </w:t>
      </w:r>
      <w:r w:rsidR="00873190">
        <w:rPr>
          <w:rStyle w:val="ab"/>
          <w:rFonts w:asciiTheme="minorBidi" w:hAnsiTheme="minorBidi"/>
          <w:rtl/>
        </w:rPr>
        <w:footnoteReference w:id="938"/>
      </w:r>
      <w:r w:rsidR="00873190">
        <w:rPr>
          <w:rFonts w:asciiTheme="minorBidi" w:hAnsiTheme="minorBidi" w:hint="cs"/>
          <w:rtl/>
        </w:rPr>
        <w:t>ו</w:t>
      </w:r>
      <w:r w:rsidRPr="00576D5C">
        <w:rPr>
          <w:rFonts w:asciiTheme="minorBidi" w:hAnsiTheme="minorBidi"/>
          <w:rtl/>
        </w:rPr>
        <w:t>השותפים יבררו להם אחד מהם לטעון בשביל כולם, או יטעון כל אחד לעצמו</w:t>
      </w:r>
      <w:r w:rsidR="00905231">
        <w:rPr>
          <w:rStyle w:val="ab"/>
          <w:rFonts w:asciiTheme="minorBidi" w:hAnsiTheme="minorBidi"/>
          <w:rtl/>
        </w:rPr>
        <w:footnoteReference w:id="939"/>
      </w:r>
      <w:r w:rsidRPr="00576D5C">
        <w:rPr>
          <w:rFonts w:asciiTheme="minorBidi" w:hAnsiTheme="minorBidi"/>
          <w:rtl/>
        </w:rPr>
        <w:t xml:space="preserve"> זה אחר זה</w:t>
      </w:r>
      <w:r w:rsidR="00905231">
        <w:rPr>
          <w:rFonts w:asciiTheme="minorBidi" w:hAnsiTheme="minorBidi" w:hint="cs"/>
          <w:rtl/>
        </w:rPr>
        <w:t>,</w:t>
      </w:r>
      <w:r w:rsidRPr="00576D5C">
        <w:rPr>
          <w:rFonts w:asciiTheme="minorBidi" w:hAnsiTheme="minorBidi"/>
          <w:rtl/>
        </w:rPr>
        <w:t xml:space="preserve"> וגם הנתבע לא יקח אוהביו אצלו. </w:t>
      </w:r>
      <w:r w:rsidR="00905231">
        <w:rPr>
          <w:rFonts w:asciiTheme="minorBidi" w:hAnsiTheme="minorBidi" w:hint="cs"/>
          <w:rtl/>
        </w:rPr>
        <w:t xml:space="preserve"> </w:t>
      </w:r>
    </w:p>
    <w:p w14:paraId="02C7EFA2" w14:textId="77777777" w:rsidR="004946CD" w:rsidRPr="00576D5C" w:rsidRDefault="004946CD" w:rsidP="00576D5C">
      <w:pPr>
        <w:rPr>
          <w:rFonts w:asciiTheme="minorBidi" w:hAnsiTheme="minorBidi"/>
          <w:rtl/>
        </w:rPr>
      </w:pPr>
    </w:p>
    <w:p w14:paraId="4B40CB4E" w14:textId="77777777" w:rsidR="00E137BC" w:rsidRDefault="00E137BC" w:rsidP="006567B0">
      <w:pPr>
        <w:pStyle w:val="2"/>
        <w:rPr>
          <w:rtl/>
        </w:rPr>
      </w:pPr>
      <w:bookmarkStart w:id="146" w:name="_Toc24883629"/>
      <w:r w:rsidRPr="00576D5C">
        <w:rPr>
          <w:rtl/>
        </w:rPr>
        <w:t>סעיף ה</w:t>
      </w:r>
      <w:r w:rsidR="00194389">
        <w:rPr>
          <w:rFonts w:hint="cs"/>
          <w:rtl/>
        </w:rPr>
        <w:t>:</w:t>
      </w:r>
      <w:r w:rsidR="00905231">
        <w:rPr>
          <w:rFonts w:hint="cs"/>
          <w:rtl/>
        </w:rPr>
        <w:t xml:space="preserve"> </w:t>
      </w:r>
      <w:r w:rsidR="000E5239" w:rsidRPr="000E5239">
        <w:rPr>
          <w:rFonts w:hint="cs"/>
          <w:rtl/>
        </w:rPr>
        <w:t>שמיעת/השמעת טענות קודם שיבוא בעל הדין השני</w:t>
      </w:r>
      <w:r w:rsidR="000E5239">
        <w:rPr>
          <w:rFonts w:hint="cs"/>
          <w:rtl/>
        </w:rPr>
        <w:t>.</w:t>
      </w:r>
      <w:bookmarkEnd w:id="146"/>
    </w:p>
    <w:p w14:paraId="0FC444AF" w14:textId="77777777" w:rsidR="00905231" w:rsidRDefault="005F69D6" w:rsidP="00194389">
      <w:pPr>
        <w:rPr>
          <w:rFonts w:cs="Arial"/>
          <w:rtl/>
        </w:rPr>
      </w:pPr>
      <w:r w:rsidRPr="00E11433">
        <w:rPr>
          <w:rFonts w:cs="Arial" w:hint="cs"/>
          <w:b/>
          <w:bCs/>
          <w:rtl/>
        </w:rPr>
        <w:t xml:space="preserve">שבועות </w:t>
      </w:r>
      <w:r w:rsidRPr="00E11433">
        <w:rPr>
          <w:rFonts w:cs="Arial" w:hint="cs"/>
          <w:b/>
          <w:bCs/>
          <w:sz w:val="16"/>
          <w:szCs w:val="16"/>
          <w:rtl/>
        </w:rPr>
        <w:t>(</w:t>
      </w:r>
      <w:r>
        <w:rPr>
          <w:rFonts w:cs="Arial" w:hint="cs"/>
          <w:b/>
          <w:bCs/>
          <w:sz w:val="16"/>
          <w:szCs w:val="16"/>
          <w:rtl/>
        </w:rPr>
        <w:t>ר"</w:t>
      </w:r>
      <w:r w:rsidRPr="00E11433">
        <w:rPr>
          <w:rFonts w:cs="Arial" w:hint="cs"/>
          <w:b/>
          <w:bCs/>
          <w:sz w:val="16"/>
          <w:szCs w:val="16"/>
          <w:rtl/>
        </w:rPr>
        <w:t xml:space="preserve">פ שבועת העדות) </w:t>
      </w:r>
      <w:r w:rsidRPr="00E11433">
        <w:rPr>
          <w:rFonts w:cs="Arial" w:hint="cs"/>
          <w:b/>
          <w:bCs/>
          <w:rtl/>
        </w:rPr>
        <w:t>ל</w:t>
      </w:r>
      <w:r>
        <w:rPr>
          <w:rFonts w:cs="Arial" w:hint="cs"/>
          <w:b/>
          <w:bCs/>
          <w:rtl/>
        </w:rPr>
        <w:t>א</w:t>
      </w:r>
      <w:r w:rsidR="008E1F93">
        <w:rPr>
          <w:rStyle w:val="ab"/>
          <w:rFonts w:cs="Arial"/>
          <w:b/>
          <w:bCs/>
          <w:rtl/>
        </w:rPr>
        <w:footnoteReference w:id="940"/>
      </w:r>
      <w:r w:rsidRPr="00E11433">
        <w:rPr>
          <w:rFonts w:cs="Arial" w:hint="cs"/>
          <w:b/>
          <w:bCs/>
          <w:rtl/>
        </w:rPr>
        <w:t xml:space="preserve"> ע"</w:t>
      </w:r>
      <w:r>
        <w:rPr>
          <w:rFonts w:cs="Arial" w:hint="cs"/>
          <w:b/>
          <w:bCs/>
          <w:rtl/>
        </w:rPr>
        <w:t>א</w:t>
      </w:r>
      <w:r w:rsidRPr="00E11433">
        <w:rPr>
          <w:rFonts w:cs="Arial" w:hint="cs"/>
          <w:b/>
          <w:bCs/>
          <w:rtl/>
        </w:rPr>
        <w:t>:</w:t>
      </w:r>
      <w:r>
        <w:rPr>
          <w:rFonts w:cs="Arial" w:hint="cs"/>
          <w:rtl/>
        </w:rPr>
        <w:t xml:space="preserve"> </w:t>
      </w:r>
      <w:r w:rsidRPr="005F69D6">
        <w:rPr>
          <w:rFonts w:cs="Arial"/>
          <w:rtl/>
        </w:rPr>
        <w:t>מנין לדיין שלא ישמע דברי בעל דין (חבירו) קודם שיבא בעל דין חבירו? ת"ל: מדבר שקר תרחק. מנין לבעל דין שלא יטעים דבריו לדיין קודם שיבא בעל דין חבירו? ת"ל: מדבר שקר תרחק. רב כהנא מתני מלא תשא - לא תשיא</w:t>
      </w:r>
      <w:r>
        <w:rPr>
          <w:rStyle w:val="ab"/>
          <w:rFonts w:cs="Arial"/>
          <w:rtl/>
        </w:rPr>
        <w:footnoteReference w:id="941"/>
      </w:r>
      <w:r w:rsidRPr="005F69D6">
        <w:rPr>
          <w:rFonts w:cs="Arial"/>
          <w:rtl/>
        </w:rPr>
        <w:t>.</w:t>
      </w:r>
    </w:p>
    <w:p w14:paraId="778BB3C7" w14:textId="77777777" w:rsidR="00194389" w:rsidRDefault="00194389" w:rsidP="00194389">
      <w:pPr>
        <w:rPr>
          <w:rtl/>
        </w:rPr>
      </w:pPr>
      <w:r w:rsidRPr="00905231">
        <w:rPr>
          <w:rFonts w:cs="Arial"/>
          <w:b/>
          <w:bCs/>
          <w:rtl/>
        </w:rPr>
        <w:t>סנהדרין</w:t>
      </w:r>
      <w:r w:rsidRPr="00905231">
        <w:rPr>
          <w:rFonts w:cs="Arial"/>
          <w:b/>
          <w:bCs/>
          <w:sz w:val="16"/>
          <w:szCs w:val="16"/>
          <w:rtl/>
        </w:rPr>
        <w:t xml:space="preserve"> (</w:t>
      </w:r>
      <w:r w:rsidR="00905231" w:rsidRPr="00905231">
        <w:rPr>
          <w:rFonts w:cs="Arial" w:hint="cs"/>
          <w:b/>
          <w:bCs/>
          <w:sz w:val="16"/>
          <w:szCs w:val="16"/>
          <w:rtl/>
        </w:rPr>
        <w:t>פ"ק)</w:t>
      </w:r>
      <w:r w:rsidR="00905231" w:rsidRPr="00905231">
        <w:rPr>
          <w:rFonts w:cs="Arial" w:hint="cs"/>
          <w:b/>
          <w:bCs/>
          <w:rtl/>
        </w:rPr>
        <w:t xml:space="preserve"> </w:t>
      </w:r>
      <w:r w:rsidRPr="00905231">
        <w:rPr>
          <w:rFonts w:cs="Arial"/>
          <w:b/>
          <w:bCs/>
          <w:rtl/>
        </w:rPr>
        <w:t>ז</w:t>
      </w:r>
      <w:r w:rsidR="00632893">
        <w:rPr>
          <w:rStyle w:val="ab"/>
          <w:rFonts w:cs="Arial"/>
          <w:b/>
          <w:bCs/>
          <w:rtl/>
        </w:rPr>
        <w:footnoteReference w:id="942"/>
      </w:r>
      <w:r w:rsidR="00905231" w:rsidRPr="00905231">
        <w:rPr>
          <w:rFonts w:cs="Arial" w:hint="cs"/>
          <w:b/>
          <w:bCs/>
          <w:rtl/>
        </w:rPr>
        <w:t xml:space="preserve"> ע"ב</w:t>
      </w:r>
      <w:r w:rsidRPr="00905231">
        <w:rPr>
          <w:rFonts w:cs="Arial"/>
          <w:b/>
          <w:bCs/>
          <w:rtl/>
        </w:rPr>
        <w:t>:</w:t>
      </w:r>
      <w:r w:rsidR="00905231" w:rsidRPr="00905231">
        <w:rPr>
          <w:rtl/>
        </w:rPr>
        <w:t xml:space="preserve"> </w:t>
      </w:r>
      <w:r w:rsidR="00905231" w:rsidRPr="00905231">
        <w:rPr>
          <w:rFonts w:cs="Arial"/>
          <w:rtl/>
        </w:rPr>
        <w:t>שמע בין אחיכם</w:t>
      </w:r>
      <w:r w:rsidR="005F69D6">
        <w:rPr>
          <w:rStyle w:val="ab"/>
          <w:rFonts w:cs="Arial"/>
          <w:rtl/>
        </w:rPr>
        <w:footnoteReference w:id="943"/>
      </w:r>
      <w:r w:rsidR="00905231" w:rsidRPr="00905231">
        <w:rPr>
          <w:rFonts w:cs="Arial"/>
          <w:rtl/>
        </w:rPr>
        <w:t xml:space="preserve"> ושפטתם - </w:t>
      </w:r>
      <w:r w:rsidR="00905231" w:rsidRPr="00905231">
        <w:rPr>
          <w:rFonts w:cs="Arial"/>
          <w:u w:val="single"/>
          <w:rtl/>
        </w:rPr>
        <w:t>אמר רבי חנינא</w:t>
      </w:r>
      <w:r w:rsidR="00905231" w:rsidRPr="00905231">
        <w:rPr>
          <w:rFonts w:cs="Arial"/>
          <w:rtl/>
        </w:rPr>
        <w:t>: אזהרה לבית דין שלא ישמע דברי בעל דין קודם שיבא בעל דין חבירו</w:t>
      </w:r>
      <w:r w:rsidR="00905231">
        <w:rPr>
          <w:rFonts w:cs="Arial" w:hint="cs"/>
          <w:rtl/>
        </w:rPr>
        <w:t>.</w:t>
      </w:r>
      <w:r w:rsidR="00905231" w:rsidRPr="00905231">
        <w:rPr>
          <w:rFonts w:cs="Arial"/>
          <w:rtl/>
        </w:rPr>
        <w:t xml:space="preserve"> ואזהרה לבעל דין שלא יטעים דבריו לדיין קודם שיבא בעל דין חבירו, קרי ביה נמי שמע</w:t>
      </w:r>
      <w:r w:rsidR="005F69D6">
        <w:rPr>
          <w:rStyle w:val="ab"/>
          <w:rFonts w:cs="Arial"/>
          <w:rtl/>
        </w:rPr>
        <w:footnoteReference w:id="944"/>
      </w:r>
      <w:r w:rsidR="00905231" w:rsidRPr="00905231">
        <w:rPr>
          <w:rFonts w:cs="Arial"/>
          <w:rtl/>
        </w:rPr>
        <w:t xml:space="preserve"> בין אחיכם. </w:t>
      </w:r>
    </w:p>
    <w:p w14:paraId="457CE110" w14:textId="77777777" w:rsidR="000E5239" w:rsidRPr="000E5239" w:rsidRDefault="000E5239" w:rsidP="00194389">
      <w:pPr>
        <w:rPr>
          <w:u w:val="single"/>
          <w:rtl/>
        </w:rPr>
      </w:pPr>
      <w:r w:rsidRPr="000E5239">
        <w:rPr>
          <w:rFonts w:hint="cs"/>
          <w:u w:val="single"/>
          <w:rtl/>
        </w:rPr>
        <w:t>שמיעת/השמעת טענות קודם שיבוא בעל הדין השני:</w:t>
      </w:r>
    </w:p>
    <w:p w14:paraId="62D301BF" w14:textId="77777777" w:rsidR="005F69D6" w:rsidRPr="005F69D6" w:rsidRDefault="005F69D6" w:rsidP="004B0475">
      <w:pPr>
        <w:pStyle w:val="ac"/>
        <w:numPr>
          <w:ilvl w:val="0"/>
          <w:numId w:val="21"/>
        </w:numPr>
        <w:rPr>
          <w:rFonts w:cs="Arial"/>
          <w:rtl/>
        </w:rPr>
      </w:pPr>
      <w:r w:rsidRPr="005F69D6">
        <w:rPr>
          <w:rFonts w:cs="Arial"/>
          <w:rtl/>
        </w:rPr>
        <w:t>רמב"ם</w:t>
      </w:r>
      <w:r w:rsidRPr="005F69D6">
        <w:rPr>
          <w:rFonts w:cs="Arial" w:hint="cs"/>
          <w:rtl/>
        </w:rPr>
        <w:t xml:space="preserve"> </w:t>
      </w:r>
      <w:r w:rsidRPr="005F69D6">
        <w:rPr>
          <w:rFonts w:cs="Arial" w:hint="cs"/>
          <w:sz w:val="16"/>
          <w:szCs w:val="16"/>
          <w:rtl/>
        </w:rPr>
        <w:t>(פכ"א ה"ז)</w:t>
      </w:r>
      <w:r w:rsidR="000E5239">
        <w:rPr>
          <w:rFonts w:cs="Arial" w:hint="cs"/>
          <w:rtl/>
        </w:rPr>
        <w:t xml:space="preserve"> וטור</w:t>
      </w:r>
      <w:r w:rsidRPr="005F69D6">
        <w:rPr>
          <w:rFonts w:cs="Arial" w:hint="cs"/>
          <w:rtl/>
        </w:rPr>
        <w:t>- א</w:t>
      </w:r>
      <w:r w:rsidRPr="005F69D6">
        <w:rPr>
          <w:rFonts w:cs="Arial"/>
          <w:rtl/>
        </w:rPr>
        <w:t>סור לדיין לשמוע דברי אחד מבעלי דינין קודם שיבא חבירו או שלא בפני חבירו</w:t>
      </w:r>
      <w:r>
        <w:rPr>
          <w:rStyle w:val="ab"/>
          <w:rFonts w:cs="Arial"/>
          <w:rtl/>
        </w:rPr>
        <w:footnoteReference w:id="945"/>
      </w:r>
      <w:r w:rsidR="000A76D7">
        <w:rPr>
          <w:rFonts w:cs="Arial" w:hint="cs"/>
          <w:rtl/>
        </w:rPr>
        <w:t>.</w:t>
      </w:r>
      <w:r w:rsidRPr="005F69D6">
        <w:rPr>
          <w:rFonts w:cs="Arial"/>
          <w:rtl/>
        </w:rPr>
        <w:t xml:space="preserve"> ואפילו דבר אחד אסור</w:t>
      </w:r>
      <w:r w:rsidRPr="005F69D6">
        <w:rPr>
          <w:rFonts w:cs="Arial" w:hint="cs"/>
          <w:rtl/>
        </w:rPr>
        <w:t>,</w:t>
      </w:r>
      <w:r w:rsidRPr="005F69D6">
        <w:rPr>
          <w:rFonts w:cs="Arial"/>
          <w:rtl/>
        </w:rPr>
        <w:t xml:space="preserve"> שנאמר שמוע בין אחיכם</w:t>
      </w:r>
      <w:r w:rsidR="000A76D7">
        <w:rPr>
          <w:rFonts w:cs="Arial" w:hint="cs"/>
          <w:rtl/>
        </w:rPr>
        <w:t>.</w:t>
      </w:r>
      <w:r w:rsidRPr="005F69D6">
        <w:rPr>
          <w:rFonts w:cs="Arial"/>
          <w:rtl/>
        </w:rPr>
        <w:t xml:space="preserve"> וכל השומע מאחד עובר בלא תעשה שנאמר לא תשא שמע שוא</w:t>
      </w:r>
      <w:r w:rsidRPr="005F69D6">
        <w:rPr>
          <w:rFonts w:cs="Arial" w:hint="cs"/>
          <w:rtl/>
        </w:rPr>
        <w:t>,</w:t>
      </w:r>
      <w:r w:rsidRPr="005F69D6">
        <w:rPr>
          <w:rFonts w:cs="Arial"/>
          <w:rtl/>
        </w:rPr>
        <w:t xml:space="preserve"> ובכלל לאו זה אזהרה למקבל לשון הרע ומספר לשון הרע ומעיד עדות שקר, וכן בעל דין מוזהר שלא ישמיע דבריו לדיין קודם שיבא בעל דין חבירו</w:t>
      </w:r>
      <w:r w:rsidR="000A76D7">
        <w:rPr>
          <w:rFonts w:cs="Arial" w:hint="cs"/>
          <w:rtl/>
        </w:rPr>
        <w:t>.</w:t>
      </w:r>
      <w:r w:rsidRPr="005F69D6">
        <w:rPr>
          <w:rFonts w:cs="Arial"/>
          <w:rtl/>
        </w:rPr>
        <w:t xml:space="preserve"> וגם על זה וכיוצא בו נאמר מדבר שקר תרחק</w:t>
      </w:r>
      <w:r w:rsidR="000E5239">
        <w:rPr>
          <w:rFonts w:cs="Arial" w:hint="cs"/>
          <w:sz w:val="16"/>
          <w:szCs w:val="16"/>
          <w:rtl/>
        </w:rPr>
        <w:t xml:space="preserve"> (ל' הרמב"ם)</w:t>
      </w:r>
      <w:r w:rsidRPr="005F69D6">
        <w:rPr>
          <w:rFonts w:cs="Arial"/>
          <w:rtl/>
        </w:rPr>
        <w:t xml:space="preserve">. </w:t>
      </w:r>
      <w:r w:rsidR="000E5239" w:rsidRPr="00B668B1">
        <w:rPr>
          <w:rFonts w:cs="Arial" w:hint="cs"/>
          <w:color w:val="E36C0A" w:themeColor="accent6" w:themeShade="BF"/>
          <w:rtl/>
        </w:rPr>
        <w:t>(וכ"פ בשו"ע)</w:t>
      </w:r>
    </w:p>
    <w:p w14:paraId="53F6DB8B" w14:textId="77777777" w:rsidR="00AF0ED0" w:rsidRPr="00AF0ED0" w:rsidRDefault="00AF0ED0" w:rsidP="00AF0ED0">
      <w:pPr>
        <w:rPr>
          <w:rFonts w:cs="Arial"/>
          <w:rtl/>
        </w:rPr>
      </w:pPr>
      <w:r w:rsidRPr="00AF0ED0">
        <w:rPr>
          <w:rFonts w:cs="Arial" w:hint="cs"/>
          <w:u w:val="single"/>
          <w:rtl/>
        </w:rPr>
        <w:t>מהו שישמע חכם טענות בעל דין</w:t>
      </w:r>
      <w:r>
        <w:rPr>
          <w:rFonts w:cs="Arial" w:hint="cs"/>
          <w:sz w:val="16"/>
          <w:szCs w:val="16"/>
          <w:u w:val="single"/>
          <w:rtl/>
        </w:rPr>
        <w:t xml:space="preserve"> (שלא בפני הבעל דין השני)</w:t>
      </w:r>
      <w:r w:rsidRPr="00AF0ED0">
        <w:rPr>
          <w:rFonts w:cs="Arial" w:hint="cs"/>
          <w:u w:val="single"/>
          <w:rtl/>
        </w:rPr>
        <w:t xml:space="preserve"> </w:t>
      </w:r>
      <w:r w:rsidRPr="00AF0ED0">
        <w:rPr>
          <w:rFonts w:cs="Arial"/>
          <w:u w:val="single"/>
          <w:rtl/>
        </w:rPr>
        <w:t>–</w:t>
      </w:r>
      <w:r w:rsidRPr="00AF0ED0">
        <w:rPr>
          <w:rFonts w:cs="Arial" w:hint="cs"/>
          <w:u w:val="single"/>
          <w:rtl/>
        </w:rPr>
        <w:t xml:space="preserve"> קודם שיד</w:t>
      </w:r>
      <w:r>
        <w:rPr>
          <w:rFonts w:cs="Arial" w:hint="cs"/>
          <w:u w:val="single"/>
          <w:rtl/>
        </w:rPr>
        <w:t>ו</w:t>
      </w:r>
      <w:r w:rsidRPr="00AF0ED0">
        <w:rPr>
          <w:rFonts w:cs="Arial" w:hint="cs"/>
          <w:u w:val="single"/>
          <w:rtl/>
        </w:rPr>
        <w:t xml:space="preserve">ע </w:t>
      </w:r>
      <w:r>
        <w:rPr>
          <w:rFonts w:cs="Arial" w:hint="cs"/>
          <w:u w:val="single"/>
          <w:rtl/>
        </w:rPr>
        <w:t xml:space="preserve">אם </w:t>
      </w:r>
      <w:r w:rsidRPr="00AF0ED0">
        <w:rPr>
          <w:rFonts w:cs="Arial" w:hint="cs"/>
          <w:u w:val="single"/>
          <w:rtl/>
        </w:rPr>
        <w:t xml:space="preserve">הוא יהיה </w:t>
      </w:r>
      <w:r>
        <w:rPr>
          <w:rFonts w:cs="Arial" w:hint="cs"/>
          <w:u w:val="single"/>
          <w:rtl/>
        </w:rPr>
        <w:t>ה</w:t>
      </w:r>
      <w:r w:rsidRPr="00AF0ED0">
        <w:rPr>
          <w:rFonts w:cs="Arial" w:hint="cs"/>
          <w:u w:val="single"/>
          <w:rtl/>
        </w:rPr>
        <w:t>דיין בד</w:t>
      </w:r>
      <w:r>
        <w:rPr>
          <w:rFonts w:cs="Arial" w:hint="cs"/>
          <w:u w:val="single"/>
          <w:rtl/>
        </w:rPr>
        <w:t>ין זה</w:t>
      </w:r>
      <w:r w:rsidRPr="00AF0ED0">
        <w:rPr>
          <w:rFonts w:cs="Arial" w:hint="cs"/>
          <w:u w:val="single"/>
          <w:rtl/>
        </w:rPr>
        <w:t>:</w:t>
      </w:r>
      <w:r>
        <w:rPr>
          <w:rFonts w:cs="Arial" w:hint="cs"/>
          <w:rtl/>
        </w:rPr>
        <w:t xml:space="preserve"> </w:t>
      </w:r>
      <w:r w:rsidRPr="00AF0ED0">
        <w:rPr>
          <w:rFonts w:cs="Arial" w:hint="cs"/>
          <w:sz w:val="16"/>
          <w:szCs w:val="16"/>
          <w:rtl/>
        </w:rPr>
        <w:t>(דרכ"מ אות ד)</w:t>
      </w:r>
    </w:p>
    <w:p w14:paraId="4051578F" w14:textId="77777777" w:rsidR="00AF0ED0" w:rsidRDefault="00AF0ED0" w:rsidP="004B0475">
      <w:pPr>
        <w:pStyle w:val="ac"/>
        <w:numPr>
          <w:ilvl w:val="0"/>
          <w:numId w:val="22"/>
        </w:numPr>
        <w:rPr>
          <w:rFonts w:cs="Arial"/>
        </w:rPr>
      </w:pPr>
      <w:r w:rsidRPr="000E5239">
        <w:rPr>
          <w:rFonts w:cs="Arial"/>
          <w:rtl/>
        </w:rPr>
        <w:t xml:space="preserve">מהרי"ל </w:t>
      </w:r>
      <w:r w:rsidRPr="002E5E3D">
        <w:rPr>
          <w:rFonts w:cs="Arial" w:hint="cs"/>
          <w:sz w:val="16"/>
          <w:szCs w:val="16"/>
          <w:rtl/>
        </w:rPr>
        <w:t>(</w:t>
      </w:r>
      <w:r w:rsidRPr="002E5E3D">
        <w:rPr>
          <w:rFonts w:cs="Arial"/>
          <w:sz w:val="16"/>
          <w:szCs w:val="16"/>
          <w:rtl/>
        </w:rPr>
        <w:t>סי</w:t>
      </w:r>
      <w:r w:rsidRPr="002E5E3D">
        <w:rPr>
          <w:rFonts w:cs="Arial" w:hint="cs"/>
          <w:sz w:val="16"/>
          <w:szCs w:val="16"/>
          <w:rtl/>
        </w:rPr>
        <w:t>'</w:t>
      </w:r>
      <w:r w:rsidRPr="002E5E3D">
        <w:rPr>
          <w:rFonts w:cs="Arial"/>
          <w:sz w:val="16"/>
          <w:szCs w:val="16"/>
          <w:rtl/>
        </w:rPr>
        <w:t xml:space="preserve"> קצה</w:t>
      </w:r>
      <w:r w:rsidRPr="002E5E3D">
        <w:rPr>
          <w:rFonts w:cs="Arial" w:hint="cs"/>
          <w:sz w:val="16"/>
          <w:szCs w:val="16"/>
          <w:rtl/>
        </w:rPr>
        <w:t>)</w:t>
      </w:r>
      <w:r>
        <w:rPr>
          <w:rFonts w:cs="Arial" w:hint="cs"/>
          <w:rtl/>
        </w:rPr>
        <w:t>-</w:t>
      </w:r>
      <w:r w:rsidRPr="000E5239">
        <w:rPr>
          <w:rFonts w:cs="Arial"/>
          <w:rtl/>
        </w:rPr>
        <w:t xml:space="preserve"> הא דאסור לשמוע דבריו היינו שהדיין יודע שהוא יהיה דיין בדבר ובעל דין השני יצטרך לעמוד לפניו לדין</w:t>
      </w:r>
      <w:r>
        <w:rPr>
          <w:rFonts w:cs="Arial" w:hint="cs"/>
          <w:rtl/>
        </w:rPr>
        <w:t>,</w:t>
      </w:r>
      <w:r w:rsidRPr="000E5239">
        <w:rPr>
          <w:rFonts w:cs="Arial"/>
          <w:rtl/>
        </w:rPr>
        <w:t xml:space="preserve"> אבל יכול אחד לשמוע קבילות בעלי הדין אם אינו יודע שיהיה דיין בדבר</w:t>
      </w:r>
      <w:r>
        <w:rPr>
          <w:rFonts w:cs="Arial" w:hint="cs"/>
          <w:rtl/>
        </w:rPr>
        <w:t>,</w:t>
      </w:r>
      <w:r w:rsidRPr="000E5239">
        <w:rPr>
          <w:rFonts w:cs="Arial"/>
          <w:rtl/>
        </w:rPr>
        <w:t xml:space="preserve"> ואם אח"כ ירצה השני לדון לפניו </w:t>
      </w:r>
      <w:r w:rsidR="000A76D7">
        <w:rPr>
          <w:rFonts w:cs="Arial" w:hint="cs"/>
          <w:rtl/>
        </w:rPr>
        <w:t xml:space="preserve">- </w:t>
      </w:r>
      <w:r w:rsidRPr="000E5239">
        <w:rPr>
          <w:rFonts w:cs="Arial"/>
          <w:rtl/>
        </w:rPr>
        <w:t>הרשות בידו</w:t>
      </w:r>
      <w:r>
        <w:rPr>
          <w:rFonts w:cs="Arial" w:hint="cs"/>
          <w:rtl/>
        </w:rPr>
        <w:t>.</w:t>
      </w:r>
      <w:r w:rsidR="00CD5550" w:rsidRPr="00CD5550">
        <w:rPr>
          <w:rFonts w:cs="Arial" w:hint="cs"/>
          <w:color w:val="00B0F0"/>
          <w:rtl/>
        </w:rPr>
        <w:t xml:space="preserve"> </w:t>
      </w:r>
      <w:r w:rsidR="00CD5550" w:rsidRPr="008F0BC8">
        <w:rPr>
          <w:rFonts w:cs="Arial" w:hint="cs"/>
          <w:color w:val="00B0F0"/>
          <w:rtl/>
        </w:rPr>
        <w:t xml:space="preserve">(וכ"פ </w:t>
      </w:r>
      <w:r w:rsidR="00CD5550">
        <w:rPr>
          <w:rFonts w:cs="Arial" w:hint="cs"/>
          <w:color w:val="00B0F0"/>
          <w:rtl/>
        </w:rPr>
        <w:t>הרמ"א</w:t>
      </w:r>
      <w:r w:rsidR="00CD5550" w:rsidRPr="008F0BC8">
        <w:rPr>
          <w:rFonts w:cs="Arial" w:hint="cs"/>
          <w:color w:val="00B0F0"/>
          <w:rtl/>
        </w:rPr>
        <w:t>)</w:t>
      </w:r>
    </w:p>
    <w:p w14:paraId="0B98F0A7" w14:textId="77777777" w:rsidR="005F69D6" w:rsidRDefault="005F69D6" w:rsidP="00194389">
      <w:pPr>
        <w:rPr>
          <w:rFonts w:cs="Arial"/>
          <w:rtl/>
        </w:rPr>
      </w:pPr>
      <w:r w:rsidRPr="00E11433">
        <w:rPr>
          <w:rFonts w:cs="Arial" w:hint="cs"/>
          <w:b/>
          <w:bCs/>
          <w:rtl/>
        </w:rPr>
        <w:lastRenderedPageBreak/>
        <w:t xml:space="preserve">שבועות </w:t>
      </w:r>
      <w:r w:rsidRPr="00E11433">
        <w:rPr>
          <w:rFonts w:cs="Arial" w:hint="cs"/>
          <w:b/>
          <w:bCs/>
          <w:sz w:val="16"/>
          <w:szCs w:val="16"/>
          <w:rtl/>
        </w:rPr>
        <w:t>(</w:t>
      </w:r>
      <w:r>
        <w:rPr>
          <w:rFonts w:cs="Arial" w:hint="cs"/>
          <w:b/>
          <w:bCs/>
          <w:sz w:val="16"/>
          <w:szCs w:val="16"/>
          <w:rtl/>
        </w:rPr>
        <w:t>ר"</w:t>
      </w:r>
      <w:r w:rsidRPr="00E11433">
        <w:rPr>
          <w:rFonts w:cs="Arial" w:hint="cs"/>
          <w:b/>
          <w:bCs/>
          <w:sz w:val="16"/>
          <w:szCs w:val="16"/>
          <w:rtl/>
        </w:rPr>
        <w:t xml:space="preserve">פ שבועת העדות) </w:t>
      </w:r>
      <w:r w:rsidRPr="00E11433">
        <w:rPr>
          <w:rFonts w:cs="Arial" w:hint="cs"/>
          <w:b/>
          <w:bCs/>
          <w:rtl/>
        </w:rPr>
        <w:t>ל</w:t>
      </w:r>
      <w:r w:rsidR="000A76D7">
        <w:rPr>
          <w:rStyle w:val="ab"/>
          <w:rFonts w:cs="Arial"/>
          <w:b/>
          <w:bCs/>
          <w:rtl/>
        </w:rPr>
        <w:footnoteReference w:id="946"/>
      </w:r>
      <w:r w:rsidRPr="00E11433">
        <w:rPr>
          <w:rFonts w:cs="Arial" w:hint="cs"/>
          <w:b/>
          <w:bCs/>
          <w:rtl/>
        </w:rPr>
        <w:t xml:space="preserve"> ע"</w:t>
      </w:r>
      <w:r>
        <w:rPr>
          <w:rFonts w:cs="Arial" w:hint="cs"/>
          <w:b/>
          <w:bCs/>
          <w:rtl/>
        </w:rPr>
        <w:t>ב</w:t>
      </w:r>
      <w:r w:rsidRPr="00E11433">
        <w:rPr>
          <w:rFonts w:cs="Arial" w:hint="cs"/>
          <w:b/>
          <w:bCs/>
          <w:rtl/>
        </w:rPr>
        <w:t>:</w:t>
      </w:r>
      <w:r>
        <w:rPr>
          <w:rFonts w:cs="Arial" w:hint="cs"/>
          <w:rtl/>
        </w:rPr>
        <w:t xml:space="preserve"> </w:t>
      </w:r>
      <w:r w:rsidRPr="005F69D6">
        <w:rPr>
          <w:rFonts w:cs="Arial"/>
          <w:u w:val="single"/>
          <w:rtl/>
        </w:rPr>
        <w:t>ואמר רבה בר רב הונא</w:t>
      </w:r>
      <w:r w:rsidRPr="005F69D6">
        <w:rPr>
          <w:rFonts w:cs="Arial"/>
          <w:rtl/>
        </w:rPr>
        <w:t>: האי צורבא מרבנן ועם הארץ דאית להו דינא בהדי הדדי, לא ליקדום צורבא מרבנן וליתיב</w:t>
      </w:r>
      <w:r>
        <w:rPr>
          <w:rStyle w:val="ab"/>
          <w:rFonts w:cs="Arial"/>
          <w:rtl/>
        </w:rPr>
        <w:footnoteReference w:id="947"/>
      </w:r>
      <w:r w:rsidRPr="005F69D6">
        <w:rPr>
          <w:rFonts w:cs="Arial"/>
          <w:rtl/>
        </w:rPr>
        <w:t>, משום דמיחזי כמאן דסדר ליה</w:t>
      </w:r>
      <w:r>
        <w:rPr>
          <w:rStyle w:val="ab"/>
          <w:rFonts w:cs="Arial"/>
          <w:rtl/>
        </w:rPr>
        <w:footnoteReference w:id="948"/>
      </w:r>
      <w:r w:rsidRPr="005F69D6">
        <w:rPr>
          <w:rFonts w:cs="Arial"/>
          <w:rtl/>
        </w:rPr>
        <w:t xml:space="preserve"> לדיניה. ולא אמרן אלא דלא קביע ליה עידניה, אבל קביע ליה עידניה</w:t>
      </w:r>
      <w:r>
        <w:rPr>
          <w:rStyle w:val="ab"/>
          <w:rFonts w:cs="Arial"/>
          <w:rtl/>
        </w:rPr>
        <w:footnoteReference w:id="949"/>
      </w:r>
      <w:r w:rsidRPr="005F69D6">
        <w:rPr>
          <w:rFonts w:cs="Arial"/>
          <w:rtl/>
        </w:rPr>
        <w:t xml:space="preserve"> לית לן בה, מימר אמר: בעידניה טריד. </w:t>
      </w:r>
    </w:p>
    <w:p w14:paraId="0554F922" w14:textId="77777777" w:rsidR="000E5239" w:rsidRDefault="000E5239" w:rsidP="00194389">
      <w:pPr>
        <w:rPr>
          <w:rFonts w:cs="Arial"/>
          <w:rtl/>
        </w:rPr>
      </w:pPr>
      <w:r>
        <w:rPr>
          <w:rFonts w:hint="cs"/>
          <w:u w:val="single"/>
          <w:rtl/>
        </w:rPr>
        <w:t xml:space="preserve">ת"ח וע"ה שיש להם דין </w:t>
      </w:r>
      <w:r>
        <w:rPr>
          <w:u w:val="single"/>
          <w:rtl/>
        </w:rPr>
        <w:t>–</w:t>
      </w:r>
      <w:r>
        <w:rPr>
          <w:rFonts w:hint="cs"/>
          <w:u w:val="single"/>
          <w:rtl/>
        </w:rPr>
        <w:t xml:space="preserve"> מהו שיקדים הת"ח ויבוא לשבת אצל הדיין</w:t>
      </w:r>
      <w:r w:rsidRPr="000E5239">
        <w:rPr>
          <w:rFonts w:hint="cs"/>
          <w:u w:val="single"/>
          <w:rtl/>
        </w:rPr>
        <w:t>:</w:t>
      </w:r>
    </w:p>
    <w:p w14:paraId="27E64540" w14:textId="77777777" w:rsidR="00082A51" w:rsidRDefault="000E5239" w:rsidP="004B0475">
      <w:pPr>
        <w:pStyle w:val="ac"/>
        <w:numPr>
          <w:ilvl w:val="0"/>
          <w:numId w:val="22"/>
        </w:numPr>
        <w:rPr>
          <w:rFonts w:cs="Arial"/>
        </w:rPr>
      </w:pPr>
      <w:r w:rsidRPr="000E5239">
        <w:rPr>
          <w:rFonts w:cs="Arial" w:hint="cs"/>
          <w:rtl/>
        </w:rPr>
        <w:t xml:space="preserve">רמב"ם </w:t>
      </w:r>
      <w:r w:rsidR="00AF0ED0">
        <w:rPr>
          <w:rFonts w:cs="Arial" w:hint="cs"/>
          <w:sz w:val="16"/>
          <w:szCs w:val="16"/>
          <w:rtl/>
        </w:rPr>
        <w:t xml:space="preserve">(פכ"א ה"ד) </w:t>
      </w:r>
      <w:r w:rsidRPr="000E5239">
        <w:rPr>
          <w:rFonts w:cs="Arial" w:hint="cs"/>
          <w:rtl/>
        </w:rPr>
        <w:t>ו</w:t>
      </w:r>
      <w:r w:rsidR="00082A51" w:rsidRPr="000E5239">
        <w:rPr>
          <w:rFonts w:cs="Arial" w:hint="cs"/>
          <w:rtl/>
        </w:rPr>
        <w:t>טור-</w:t>
      </w:r>
      <w:r w:rsidR="00082A51" w:rsidRPr="000E5239">
        <w:rPr>
          <w:rFonts w:cs="Arial"/>
          <w:rtl/>
        </w:rPr>
        <w:t xml:space="preserve"> לפיכך תלמיד שיש לו דין לפני רבו לא יקדים לבא לפניו קודם בעל דינו שלא יהא נראה כאילו מקדים לסדר טענותיו</w:t>
      </w:r>
      <w:r w:rsidR="000A76D7">
        <w:rPr>
          <w:rFonts w:cs="Arial" w:hint="cs"/>
          <w:rtl/>
        </w:rPr>
        <w:t>.</w:t>
      </w:r>
      <w:r w:rsidR="00082A51" w:rsidRPr="000E5239">
        <w:rPr>
          <w:rFonts w:cs="Arial"/>
          <w:rtl/>
        </w:rPr>
        <w:t xml:space="preserve"> ואם יש לו זמן קבוע לבא לפניו ובא בזמנו מותר</w:t>
      </w:r>
      <w:r w:rsidRPr="000E5239">
        <w:rPr>
          <w:rFonts w:cs="Arial" w:hint="cs"/>
          <w:sz w:val="16"/>
          <w:szCs w:val="16"/>
          <w:rtl/>
        </w:rPr>
        <w:t xml:space="preserve"> (ל' הטור)</w:t>
      </w:r>
      <w:r w:rsidR="005F69D6" w:rsidRPr="000E5239">
        <w:rPr>
          <w:rFonts w:cs="Arial" w:hint="cs"/>
          <w:rtl/>
        </w:rPr>
        <w:t>.</w:t>
      </w:r>
      <w:r w:rsidRPr="000E5239">
        <w:rPr>
          <w:rFonts w:cs="Arial" w:hint="cs"/>
          <w:color w:val="E36C0A" w:themeColor="accent6" w:themeShade="BF"/>
          <w:rtl/>
        </w:rPr>
        <w:t xml:space="preserve"> </w:t>
      </w:r>
      <w:r w:rsidRPr="00B668B1">
        <w:rPr>
          <w:rFonts w:cs="Arial" w:hint="cs"/>
          <w:color w:val="E36C0A" w:themeColor="accent6" w:themeShade="BF"/>
          <w:rtl/>
        </w:rPr>
        <w:t>(וכ"פ בשו"ע)</w:t>
      </w:r>
    </w:p>
    <w:p w14:paraId="47FB6F0F" w14:textId="77777777" w:rsidR="00D60594" w:rsidRPr="00D60594" w:rsidRDefault="00D60594" w:rsidP="00D60594">
      <w:pPr>
        <w:ind w:left="360"/>
        <w:rPr>
          <w:rFonts w:cs="Arial"/>
          <w:u w:val="dotted"/>
        </w:rPr>
      </w:pPr>
      <w:r w:rsidRPr="00D60594">
        <w:rPr>
          <w:rFonts w:cs="Arial" w:hint="cs"/>
          <w:u w:val="dotted"/>
          <w:rtl/>
        </w:rPr>
        <w:t xml:space="preserve">האם הדין כן רק בת"ח </w:t>
      </w:r>
      <w:r>
        <w:rPr>
          <w:rFonts w:cs="Arial" w:hint="cs"/>
          <w:u w:val="dotted"/>
          <w:rtl/>
        </w:rPr>
        <w:t>ש</w:t>
      </w:r>
      <w:r w:rsidR="00C65832">
        <w:rPr>
          <w:rFonts w:cs="Arial" w:hint="cs"/>
          <w:u w:val="dotted"/>
          <w:rtl/>
        </w:rPr>
        <w:t xml:space="preserve">הולך </w:t>
      </w:r>
      <w:r w:rsidRPr="00D60594">
        <w:rPr>
          <w:rFonts w:cs="Arial" w:hint="cs"/>
          <w:u w:val="dotted"/>
          <w:rtl/>
        </w:rPr>
        <w:t xml:space="preserve">אצל רבו או </w:t>
      </w:r>
      <w:r w:rsidR="00C65832">
        <w:rPr>
          <w:rFonts w:cs="Arial" w:hint="cs"/>
          <w:u w:val="dotted"/>
          <w:rtl/>
        </w:rPr>
        <w:t xml:space="preserve">שהוא הדין </w:t>
      </w:r>
      <w:r w:rsidRPr="00D60594">
        <w:rPr>
          <w:rFonts w:cs="Arial" w:hint="cs"/>
          <w:u w:val="dotted"/>
          <w:rtl/>
        </w:rPr>
        <w:t xml:space="preserve">גם אם ילך הת"ח לפני סתם חכם </w:t>
      </w:r>
      <w:r w:rsidRPr="00D60594">
        <w:rPr>
          <w:rFonts w:cs="Arial" w:hint="cs"/>
          <w:sz w:val="16"/>
          <w:szCs w:val="16"/>
          <w:u w:val="dotted"/>
          <w:rtl/>
        </w:rPr>
        <w:t>(שאינו רבו)</w:t>
      </w:r>
      <w:r w:rsidRPr="00D60594">
        <w:rPr>
          <w:rFonts w:cs="Arial" w:hint="cs"/>
          <w:u w:val="dotted"/>
          <w:rtl/>
        </w:rPr>
        <w:t xml:space="preserve">:  </w:t>
      </w:r>
    </w:p>
    <w:p w14:paraId="13E05EE1" w14:textId="77777777" w:rsidR="00D60594" w:rsidRDefault="00D60594" w:rsidP="004B0475">
      <w:pPr>
        <w:pStyle w:val="ac"/>
        <w:numPr>
          <w:ilvl w:val="0"/>
          <w:numId w:val="22"/>
        </w:numPr>
        <w:rPr>
          <w:rFonts w:cs="Arial"/>
        </w:rPr>
      </w:pPr>
      <w:r>
        <w:rPr>
          <w:rFonts w:cs="Arial" w:hint="cs"/>
          <w:rtl/>
        </w:rPr>
        <w:t xml:space="preserve">ב"י- </w:t>
      </w:r>
      <w:r>
        <w:rPr>
          <w:rFonts w:cs="Arial"/>
          <w:rtl/>
        </w:rPr>
        <w:t xml:space="preserve">משמע </w:t>
      </w:r>
      <w:r w:rsidR="00C65832">
        <w:rPr>
          <w:rFonts w:cs="Arial" w:hint="cs"/>
          <w:sz w:val="16"/>
          <w:szCs w:val="16"/>
          <w:rtl/>
        </w:rPr>
        <w:t>{מדברי הרמב"ם והטור שכתבו "לפני רבו"}</w:t>
      </w:r>
      <w:r w:rsidR="00C65832">
        <w:rPr>
          <w:rFonts w:cs="Arial" w:hint="cs"/>
          <w:rtl/>
        </w:rPr>
        <w:t xml:space="preserve"> </w:t>
      </w:r>
      <w:r>
        <w:rPr>
          <w:rFonts w:cs="Arial"/>
          <w:rtl/>
        </w:rPr>
        <w:t>שהוא מפרש דלפני רבו הוא דלא יקדים משום דכיון שיש לו קירוב דעת עמו אתי למימר עם הארץ שהוא מסדר טענותיו לפניו אבל לפני דיין אחר שאינו רבו לא אתי למימר הכי</w:t>
      </w:r>
      <w:r w:rsidR="00C65832">
        <w:rPr>
          <w:rFonts w:cs="Arial" w:hint="cs"/>
          <w:rtl/>
        </w:rPr>
        <w:t>.</w:t>
      </w:r>
      <w:r w:rsidR="00C65832" w:rsidRPr="00C65832">
        <w:rPr>
          <w:rFonts w:cs="Arial" w:hint="cs"/>
          <w:color w:val="E36C0A" w:themeColor="accent6" w:themeShade="BF"/>
          <w:rtl/>
        </w:rPr>
        <w:t xml:space="preserve"> </w:t>
      </w:r>
      <w:r w:rsidR="00C65832" w:rsidRPr="00B668B1">
        <w:rPr>
          <w:rFonts w:cs="Arial" w:hint="cs"/>
          <w:color w:val="E36C0A" w:themeColor="accent6" w:themeShade="BF"/>
          <w:rtl/>
        </w:rPr>
        <w:t>(וכ"</w:t>
      </w:r>
      <w:r w:rsidR="00C65832">
        <w:rPr>
          <w:rFonts w:cs="Arial" w:hint="cs"/>
          <w:color w:val="E36C0A" w:themeColor="accent6" w:themeShade="BF"/>
          <w:rtl/>
        </w:rPr>
        <w:t>כ</w:t>
      </w:r>
      <w:r w:rsidR="00C65832" w:rsidRPr="00B668B1">
        <w:rPr>
          <w:rFonts w:cs="Arial" w:hint="cs"/>
          <w:color w:val="E36C0A" w:themeColor="accent6" w:themeShade="BF"/>
          <w:rtl/>
        </w:rPr>
        <w:t xml:space="preserve"> בשו"ע)</w:t>
      </w:r>
    </w:p>
    <w:p w14:paraId="21A49BB5" w14:textId="77777777" w:rsidR="00D60594" w:rsidRDefault="00C65832" w:rsidP="004B0475">
      <w:pPr>
        <w:pStyle w:val="ac"/>
        <w:numPr>
          <w:ilvl w:val="0"/>
          <w:numId w:val="22"/>
        </w:numPr>
        <w:rPr>
          <w:rFonts w:cs="Arial"/>
        </w:rPr>
      </w:pPr>
      <w:r>
        <w:rPr>
          <w:rFonts w:cs="Arial" w:hint="cs"/>
          <w:rtl/>
        </w:rPr>
        <w:t>סמ"ע</w:t>
      </w:r>
      <w:r w:rsidRPr="00C65832">
        <w:rPr>
          <w:rFonts w:cs="Arial" w:hint="cs"/>
          <w:sz w:val="16"/>
          <w:szCs w:val="16"/>
          <w:rtl/>
        </w:rPr>
        <w:t xml:space="preserve"> (סק</w:t>
      </w:r>
      <w:r w:rsidR="00D60594" w:rsidRPr="00C65832">
        <w:rPr>
          <w:rFonts w:cs="Arial"/>
          <w:sz w:val="16"/>
          <w:szCs w:val="16"/>
          <w:rtl/>
        </w:rPr>
        <w:t>י</w:t>
      </w:r>
      <w:r w:rsidRPr="00C65832">
        <w:rPr>
          <w:rFonts w:cs="Arial" w:hint="cs"/>
          <w:sz w:val="16"/>
          <w:szCs w:val="16"/>
          <w:rtl/>
        </w:rPr>
        <w:t>"</w:t>
      </w:r>
      <w:r w:rsidR="00D60594" w:rsidRPr="00C65832">
        <w:rPr>
          <w:rFonts w:cs="Arial"/>
          <w:sz w:val="16"/>
          <w:szCs w:val="16"/>
          <w:rtl/>
        </w:rPr>
        <w:t>ג</w:t>
      </w:r>
      <w:r w:rsidRPr="00C65832">
        <w:rPr>
          <w:rFonts w:cs="Arial" w:hint="cs"/>
          <w:sz w:val="16"/>
          <w:szCs w:val="16"/>
          <w:rtl/>
        </w:rPr>
        <w:t>, ו</w:t>
      </w:r>
      <w:r>
        <w:rPr>
          <w:rFonts w:cs="Arial" w:hint="cs"/>
          <w:sz w:val="16"/>
          <w:szCs w:val="16"/>
          <w:rtl/>
        </w:rPr>
        <w:t>ב</w:t>
      </w:r>
      <w:r w:rsidRPr="00C65832">
        <w:rPr>
          <w:rFonts w:cs="Arial" w:hint="cs"/>
          <w:sz w:val="16"/>
          <w:szCs w:val="16"/>
          <w:rtl/>
        </w:rPr>
        <w:t>פו"ד סע' ח)</w:t>
      </w:r>
      <w:r>
        <w:rPr>
          <w:rFonts w:cs="Arial" w:hint="cs"/>
          <w:rtl/>
        </w:rPr>
        <w:t>-</w:t>
      </w:r>
      <w:r w:rsidR="00D60594" w:rsidRPr="00D60594">
        <w:rPr>
          <w:rFonts w:cs="Arial"/>
          <w:rtl/>
        </w:rPr>
        <w:t xml:space="preserve"> י"ל דלרבותא נקט תלמיד אע</w:t>
      </w:r>
      <w:r>
        <w:rPr>
          <w:rFonts w:cs="Arial" w:hint="cs"/>
          <w:rtl/>
        </w:rPr>
        <w:t>"</w:t>
      </w:r>
      <w:r w:rsidR="00D60594" w:rsidRPr="00D60594">
        <w:rPr>
          <w:rFonts w:cs="Arial"/>
          <w:rtl/>
        </w:rPr>
        <w:t>פ שאיכא למימר שהלך שם ללמוד, דלפעמים לומד רבו עמו בשעה שהוא פנוי אף בשעה שאינו קבוע לו, אפ"ה אסור, וכל שכן אחר שאין לו עסק אצל הת"ח הדיין, שיש חשד בכניסתו אצלו לבדו</w:t>
      </w:r>
      <w:r>
        <w:rPr>
          <w:rFonts w:cs="Arial" w:hint="cs"/>
          <w:rtl/>
        </w:rPr>
        <w:t>.</w:t>
      </w:r>
    </w:p>
    <w:p w14:paraId="42F62A8C" w14:textId="77777777" w:rsidR="002E5E3D" w:rsidRPr="002E5E3D" w:rsidRDefault="00AF0ED0" w:rsidP="002E5E3D">
      <w:pPr>
        <w:rPr>
          <w:rFonts w:cs="Arial"/>
          <w:u w:val="single"/>
        </w:rPr>
      </w:pPr>
      <w:r w:rsidRPr="002E5E3D">
        <w:rPr>
          <w:rFonts w:cs="Arial" w:hint="cs"/>
          <w:u w:val="single"/>
          <w:rtl/>
        </w:rPr>
        <w:t xml:space="preserve">חכם </w:t>
      </w:r>
      <w:r>
        <w:rPr>
          <w:rFonts w:cs="Arial" w:hint="cs"/>
          <w:u w:val="single"/>
          <w:rtl/>
        </w:rPr>
        <w:t>ש</w:t>
      </w:r>
      <w:r w:rsidR="00C023A5">
        <w:rPr>
          <w:rFonts w:cs="Arial" w:hint="cs"/>
          <w:u w:val="single"/>
          <w:rtl/>
        </w:rPr>
        <w:t xml:space="preserve">נשאל מה הדין במקרה מסויים </w:t>
      </w:r>
      <w:r w:rsidR="00C023A5">
        <w:rPr>
          <w:rFonts w:cs="Arial"/>
          <w:u w:val="single"/>
          <w:rtl/>
        </w:rPr>
        <w:t>–</w:t>
      </w:r>
      <w:r w:rsidR="00C023A5">
        <w:rPr>
          <w:rFonts w:cs="Arial" w:hint="cs"/>
          <w:u w:val="single"/>
          <w:rtl/>
        </w:rPr>
        <w:t xml:space="preserve"> האם יכול</w:t>
      </w:r>
      <w:r>
        <w:rPr>
          <w:rFonts w:cs="Arial" w:hint="cs"/>
          <w:u w:val="single"/>
          <w:rtl/>
        </w:rPr>
        <w:t xml:space="preserve"> ל</w:t>
      </w:r>
      <w:r w:rsidR="002E5E3D" w:rsidRPr="002E5E3D">
        <w:rPr>
          <w:rFonts w:cs="Arial" w:hint="cs"/>
          <w:u w:val="single"/>
          <w:rtl/>
        </w:rPr>
        <w:t>כת</w:t>
      </w:r>
      <w:r>
        <w:rPr>
          <w:rFonts w:cs="Arial" w:hint="cs"/>
          <w:u w:val="single"/>
          <w:rtl/>
        </w:rPr>
        <w:t>ו</w:t>
      </w:r>
      <w:r w:rsidR="002E5E3D" w:rsidRPr="002E5E3D">
        <w:rPr>
          <w:rFonts w:cs="Arial" w:hint="cs"/>
          <w:u w:val="single"/>
          <w:rtl/>
        </w:rPr>
        <w:t xml:space="preserve">ב </w:t>
      </w:r>
      <w:r>
        <w:rPr>
          <w:rFonts w:cs="Arial" w:hint="cs"/>
          <w:u w:val="single"/>
          <w:rtl/>
        </w:rPr>
        <w:t xml:space="preserve">את </w:t>
      </w:r>
      <w:r w:rsidR="002E5E3D" w:rsidRPr="002E5E3D">
        <w:rPr>
          <w:rFonts w:cs="Arial" w:hint="cs"/>
          <w:u w:val="single"/>
          <w:rtl/>
        </w:rPr>
        <w:t>הנראה</w:t>
      </w:r>
      <w:r>
        <w:rPr>
          <w:rFonts w:cs="Arial" w:hint="cs"/>
          <w:u w:val="single"/>
          <w:rtl/>
        </w:rPr>
        <w:t xml:space="preserve"> לו</w:t>
      </w:r>
      <w:r w:rsidR="002E5E3D" w:rsidRPr="002E5E3D">
        <w:rPr>
          <w:rFonts w:cs="Arial" w:hint="cs"/>
          <w:u w:val="single"/>
          <w:rtl/>
        </w:rPr>
        <w:t xml:space="preserve"> לדין קודם שישמע את </w:t>
      </w:r>
      <w:r w:rsidR="00C023A5">
        <w:rPr>
          <w:rFonts w:cs="Arial" w:hint="cs"/>
          <w:u w:val="single"/>
          <w:rtl/>
        </w:rPr>
        <w:t>ב'</w:t>
      </w:r>
      <w:r w:rsidR="002E5E3D" w:rsidRPr="002E5E3D">
        <w:rPr>
          <w:rFonts w:cs="Arial" w:hint="cs"/>
          <w:u w:val="single"/>
          <w:rtl/>
        </w:rPr>
        <w:t xml:space="preserve"> הצדדים:</w:t>
      </w:r>
      <w:r>
        <w:rPr>
          <w:rFonts w:cs="Arial" w:hint="cs"/>
          <w:sz w:val="16"/>
          <w:szCs w:val="16"/>
          <w:rtl/>
        </w:rPr>
        <w:t xml:space="preserve"> </w:t>
      </w:r>
      <w:r w:rsidRPr="00AF0ED0">
        <w:rPr>
          <w:rFonts w:cs="Arial" w:hint="cs"/>
          <w:sz w:val="16"/>
          <w:szCs w:val="16"/>
          <w:rtl/>
        </w:rPr>
        <w:t>(דרכ"מ אות ד)</w:t>
      </w:r>
    </w:p>
    <w:p w14:paraId="78CB14BF" w14:textId="77777777" w:rsidR="000E5239" w:rsidRDefault="002E5E3D" w:rsidP="004B0475">
      <w:pPr>
        <w:pStyle w:val="ac"/>
        <w:numPr>
          <w:ilvl w:val="0"/>
          <w:numId w:val="22"/>
        </w:numPr>
        <w:rPr>
          <w:rFonts w:cs="Arial"/>
        </w:rPr>
      </w:pPr>
      <w:r>
        <w:rPr>
          <w:rFonts w:cs="Arial" w:hint="cs"/>
          <w:rtl/>
        </w:rPr>
        <w:t>רד"ך</w:t>
      </w:r>
      <w:r w:rsidR="000E5239" w:rsidRPr="000E5239">
        <w:rPr>
          <w:rFonts w:cs="Arial"/>
          <w:rtl/>
        </w:rPr>
        <w:t xml:space="preserve"> </w:t>
      </w:r>
      <w:r w:rsidR="000E5239" w:rsidRPr="002E5E3D">
        <w:rPr>
          <w:rFonts w:cs="Arial"/>
          <w:sz w:val="16"/>
          <w:szCs w:val="16"/>
          <w:rtl/>
        </w:rPr>
        <w:t>(בכ</w:t>
      </w:r>
      <w:r w:rsidRPr="002E5E3D">
        <w:rPr>
          <w:rFonts w:cs="Arial" w:hint="cs"/>
          <w:sz w:val="16"/>
          <w:szCs w:val="16"/>
          <w:rtl/>
        </w:rPr>
        <w:t>"</w:t>
      </w:r>
      <w:r w:rsidR="000E5239" w:rsidRPr="002E5E3D">
        <w:rPr>
          <w:rFonts w:cs="Arial"/>
          <w:sz w:val="16"/>
          <w:szCs w:val="16"/>
          <w:rtl/>
        </w:rPr>
        <w:t>ב ח</w:t>
      </w:r>
      <w:r w:rsidRPr="002E5E3D">
        <w:rPr>
          <w:rFonts w:cs="Arial" w:hint="cs"/>
          <w:sz w:val="16"/>
          <w:szCs w:val="16"/>
          <w:rtl/>
        </w:rPr>
        <w:t>"</w:t>
      </w:r>
      <w:r w:rsidR="000E5239" w:rsidRPr="002E5E3D">
        <w:rPr>
          <w:rFonts w:cs="Arial"/>
          <w:sz w:val="16"/>
          <w:szCs w:val="16"/>
          <w:rtl/>
        </w:rPr>
        <w:t>ה ד"ה והנה)</w:t>
      </w:r>
      <w:r>
        <w:rPr>
          <w:rFonts w:cs="Arial" w:hint="cs"/>
          <w:rtl/>
        </w:rPr>
        <w:t>-</w:t>
      </w:r>
      <w:r w:rsidR="000E5239" w:rsidRPr="000E5239">
        <w:rPr>
          <w:rFonts w:cs="Arial"/>
          <w:rtl/>
        </w:rPr>
        <w:t xml:space="preserve"> </w:t>
      </w:r>
      <w:r w:rsidR="008F0BC8" w:rsidRPr="008F0BC8">
        <w:rPr>
          <w:rFonts w:cs="Arial"/>
          <w:rtl/>
        </w:rPr>
        <w:t>אינו מן הנכון ומן הראוי להשיב אם לא אשמע דברי שניכם ובפרט בדברים גדולים כאלה</w:t>
      </w:r>
      <w:r w:rsidR="00C023A5">
        <w:rPr>
          <w:rFonts w:cs="Arial" w:hint="cs"/>
          <w:rtl/>
        </w:rPr>
        <w:t>,</w:t>
      </w:r>
      <w:r w:rsidR="008F0BC8" w:rsidRPr="008F0BC8">
        <w:rPr>
          <w:rFonts w:cs="Arial"/>
          <w:rtl/>
        </w:rPr>
        <w:t xml:space="preserve"> כי אפילו לכתוב הנראה בעיני לאחד מבעלי הדינין אע</w:t>
      </w:r>
      <w:r w:rsidR="008F0BC8">
        <w:rPr>
          <w:rFonts w:cs="Arial" w:hint="cs"/>
          <w:rtl/>
        </w:rPr>
        <w:t>"</w:t>
      </w:r>
      <w:r w:rsidR="008F0BC8" w:rsidRPr="008F0BC8">
        <w:rPr>
          <w:rFonts w:cs="Arial"/>
          <w:rtl/>
        </w:rPr>
        <w:t>פ שאיני פוסק מכל מקום כתב המרדכי ז"ל וז</w:t>
      </w:r>
      <w:r w:rsidR="008F0BC8">
        <w:rPr>
          <w:rFonts w:cs="Arial" w:hint="cs"/>
          <w:rtl/>
        </w:rPr>
        <w:t>"ל</w:t>
      </w:r>
      <w:r w:rsidR="008F0BC8" w:rsidRPr="008F0BC8">
        <w:rPr>
          <w:rFonts w:cs="Arial"/>
          <w:rtl/>
        </w:rPr>
        <w:t xml:space="preserve"> תקנת קהלות שתקן ר"ח ממינא עם גדולי הארץ כל רב שיפסוק דין בלי שמיעת שני בעלי דינין אלא כשיבא אחד אצלו ויאמר תשמע דברי וכתוב לי הנראה בעיניך ויכתוב </w:t>
      </w:r>
      <w:r w:rsidR="008F0BC8">
        <w:rPr>
          <w:rFonts w:cs="Arial" w:hint="cs"/>
          <w:rtl/>
        </w:rPr>
        <w:t xml:space="preserve">- </w:t>
      </w:r>
      <w:r w:rsidR="008F0BC8" w:rsidRPr="008F0BC8">
        <w:rPr>
          <w:rFonts w:cs="Arial"/>
          <w:rtl/>
        </w:rPr>
        <w:t>הדיין ההוא לא ידון שום דין ע</w:t>
      </w:r>
      <w:r w:rsidR="008F0BC8">
        <w:rPr>
          <w:rFonts w:cs="Arial" w:hint="cs"/>
          <w:rtl/>
        </w:rPr>
        <w:t>כ"ל</w:t>
      </w:r>
      <w:r w:rsidR="008F0BC8">
        <w:rPr>
          <w:rFonts w:cs="Arial" w:hint="cs"/>
          <w:sz w:val="16"/>
          <w:szCs w:val="16"/>
          <w:rtl/>
        </w:rPr>
        <w:t xml:space="preserve"> (ל' הרד"ך)</w:t>
      </w:r>
      <w:r>
        <w:rPr>
          <w:rFonts w:cs="Arial" w:hint="cs"/>
          <w:rtl/>
        </w:rPr>
        <w:t>.</w:t>
      </w:r>
      <w:r w:rsidR="00CD5550" w:rsidRPr="00CD5550">
        <w:rPr>
          <w:rFonts w:cs="Arial" w:hint="cs"/>
          <w:color w:val="00B0F0"/>
          <w:rtl/>
        </w:rPr>
        <w:t xml:space="preserve"> </w:t>
      </w:r>
      <w:r w:rsidR="00CD5550" w:rsidRPr="008F0BC8">
        <w:rPr>
          <w:rFonts w:cs="Arial" w:hint="cs"/>
          <w:color w:val="00B0F0"/>
          <w:rtl/>
        </w:rPr>
        <w:t xml:space="preserve">(וכ"פ </w:t>
      </w:r>
      <w:r w:rsidR="00CD5550">
        <w:rPr>
          <w:rFonts w:cs="Arial" w:hint="cs"/>
          <w:color w:val="00B0F0"/>
          <w:rtl/>
        </w:rPr>
        <w:t>הרמ"א</w:t>
      </w:r>
      <w:r w:rsidR="00CD5550" w:rsidRPr="008F0BC8">
        <w:rPr>
          <w:rFonts w:cs="Arial" w:hint="cs"/>
          <w:color w:val="00B0F0"/>
          <w:rtl/>
        </w:rPr>
        <w:t>)</w:t>
      </w:r>
    </w:p>
    <w:p w14:paraId="21E7E610" w14:textId="30DE2D17" w:rsidR="00CD5550" w:rsidRDefault="00CD5550" w:rsidP="004B0475">
      <w:pPr>
        <w:pStyle w:val="ac"/>
        <w:numPr>
          <w:ilvl w:val="0"/>
          <w:numId w:val="22"/>
        </w:numPr>
        <w:rPr>
          <w:rFonts w:cs="Arial"/>
        </w:rPr>
      </w:pPr>
      <w:r>
        <w:rPr>
          <w:rFonts w:cs="Arial" w:hint="cs"/>
          <w:rtl/>
        </w:rPr>
        <w:t xml:space="preserve">ב"ז </w:t>
      </w:r>
      <w:r w:rsidRPr="00CD5550">
        <w:rPr>
          <w:rFonts w:cs="Arial" w:hint="cs"/>
          <w:sz w:val="16"/>
          <w:szCs w:val="16"/>
          <w:rtl/>
        </w:rPr>
        <w:t>(סי' קכו)</w:t>
      </w:r>
      <w:r>
        <w:rPr>
          <w:rFonts w:cs="Arial" w:hint="cs"/>
          <w:rtl/>
        </w:rPr>
        <w:t xml:space="preserve">- </w:t>
      </w:r>
      <w:r w:rsidRPr="00CD5550">
        <w:rPr>
          <w:rFonts w:cs="Arial"/>
          <w:rtl/>
        </w:rPr>
        <w:t>קשה עלי לכתוב בנדון זה כאשר לא שמעתי כת החולק</w:t>
      </w:r>
      <w:r>
        <w:rPr>
          <w:rFonts w:cs="Arial" w:hint="cs"/>
          <w:rtl/>
        </w:rPr>
        <w:t>,</w:t>
      </w:r>
      <w:r w:rsidRPr="00CD5550">
        <w:rPr>
          <w:rFonts w:cs="Arial"/>
          <w:rtl/>
        </w:rPr>
        <w:t xml:space="preserve"> והתורה אמרה שמוע בין אחיכם</w:t>
      </w:r>
      <w:r>
        <w:rPr>
          <w:rFonts w:cs="Arial" w:hint="cs"/>
          <w:rtl/>
        </w:rPr>
        <w:t>,</w:t>
      </w:r>
      <w:r w:rsidRPr="00CD5550">
        <w:rPr>
          <w:rFonts w:cs="Arial"/>
          <w:rtl/>
        </w:rPr>
        <w:t xml:space="preserve"> ואמ' ר' יוחנן פ"ק דסנהדרין אזהרה לדיין שלא לשמוע בעל הדין קודם שיבוא בעל דין חבירו</w:t>
      </w:r>
      <w:r>
        <w:rPr>
          <w:rFonts w:cs="Arial" w:hint="cs"/>
          <w:rtl/>
        </w:rPr>
        <w:t>,</w:t>
      </w:r>
      <w:r w:rsidRPr="00CD5550">
        <w:rPr>
          <w:rFonts w:cs="Arial"/>
          <w:rtl/>
        </w:rPr>
        <w:t xml:space="preserve"> וכן בשבועות פרק שבועות העדות מניין לדיין כו' ת"ל מדבר שקר תרחק</w:t>
      </w:r>
      <w:r>
        <w:rPr>
          <w:rFonts w:cs="Arial" w:hint="cs"/>
          <w:rtl/>
        </w:rPr>
        <w:t>,</w:t>
      </w:r>
      <w:r w:rsidRPr="00CD5550">
        <w:rPr>
          <w:rFonts w:cs="Arial"/>
          <w:rtl/>
        </w:rPr>
        <w:t xml:space="preserve"> מכל מקו</w:t>
      </w:r>
      <w:r>
        <w:rPr>
          <w:rFonts w:cs="Arial" w:hint="cs"/>
          <w:rtl/>
        </w:rPr>
        <w:t>ם</w:t>
      </w:r>
      <w:r w:rsidRPr="00CD5550">
        <w:rPr>
          <w:rFonts w:cs="Arial"/>
          <w:rtl/>
        </w:rPr>
        <w:t xml:space="preserve"> בשקליא וטריא ובאם כן הוא כתבתי מה שכתבתי</w:t>
      </w:r>
      <w:r>
        <w:rPr>
          <w:rFonts w:cs="Arial" w:hint="cs"/>
          <w:rtl/>
        </w:rPr>
        <w:t>,</w:t>
      </w:r>
      <w:r w:rsidRPr="00CD5550">
        <w:rPr>
          <w:rFonts w:cs="Arial"/>
          <w:rtl/>
        </w:rPr>
        <w:t xml:space="preserve"> ואע</w:t>
      </w:r>
      <w:r>
        <w:rPr>
          <w:rFonts w:cs="Arial" w:hint="cs"/>
          <w:rtl/>
        </w:rPr>
        <w:t>"</w:t>
      </w:r>
      <w:r w:rsidRPr="00CD5550">
        <w:rPr>
          <w:rFonts w:cs="Arial"/>
          <w:rtl/>
        </w:rPr>
        <w:t>ג דמצאתי משם אחד הגדולים שכתב דתקנה קדמונית שכל רב שפוסק דין באם כן הוא שאותו הרב לא יורה עוד</w:t>
      </w:r>
      <w:r>
        <w:rPr>
          <w:rFonts w:cs="Arial" w:hint="cs"/>
          <w:rtl/>
        </w:rPr>
        <w:t>,</w:t>
      </w:r>
      <w:r w:rsidRPr="00CD5550">
        <w:rPr>
          <w:rFonts w:cs="Arial"/>
          <w:rtl/>
        </w:rPr>
        <w:t xml:space="preserve"> מ</w:t>
      </w:r>
      <w:r>
        <w:rPr>
          <w:rFonts w:cs="Arial" w:hint="cs"/>
          <w:rtl/>
        </w:rPr>
        <w:t>"מ</w:t>
      </w:r>
      <w:r w:rsidRPr="00CD5550">
        <w:rPr>
          <w:rFonts w:cs="Arial"/>
          <w:rtl/>
        </w:rPr>
        <w:t xml:space="preserve"> כיון שראיתי רבנים אחרים גדולים ונכבדים שכתבו על הנדון אמר לי לבי לכתוב גם אני ואלכה אחרי מאהבי</w:t>
      </w:r>
      <w:r>
        <w:rPr>
          <w:rStyle w:val="ab"/>
          <w:rFonts w:cs="Arial"/>
          <w:rtl/>
        </w:rPr>
        <w:footnoteReference w:id="950"/>
      </w:r>
      <w:r>
        <w:rPr>
          <w:rFonts w:cs="Arial" w:hint="cs"/>
          <w:rtl/>
        </w:rPr>
        <w:t>.</w:t>
      </w:r>
    </w:p>
    <w:p w14:paraId="56748A5E" w14:textId="5DDA34C9" w:rsidR="00DE0217" w:rsidRPr="002E5E3D" w:rsidRDefault="00DE0217" w:rsidP="004B0475">
      <w:pPr>
        <w:pStyle w:val="ac"/>
        <w:numPr>
          <w:ilvl w:val="0"/>
          <w:numId w:val="22"/>
        </w:numPr>
        <w:rPr>
          <w:rFonts w:cs="Arial"/>
          <w:rtl/>
        </w:rPr>
      </w:pPr>
      <w:r>
        <w:rPr>
          <w:rFonts w:cs="Arial" w:hint="cs"/>
          <w:rtl/>
        </w:rPr>
        <w:t xml:space="preserve">רמ"ע מפאנו </w:t>
      </w:r>
      <w:r>
        <w:rPr>
          <w:rFonts w:cs="Arial" w:hint="cs"/>
          <w:sz w:val="16"/>
          <w:szCs w:val="16"/>
          <w:rtl/>
        </w:rPr>
        <w:t>(סי' פט)</w:t>
      </w:r>
      <w:r>
        <w:rPr>
          <w:rFonts w:cs="Arial" w:hint="cs"/>
          <w:rtl/>
        </w:rPr>
        <w:t>-</w:t>
      </w:r>
      <w:r w:rsidRPr="00DE0217">
        <w:rPr>
          <w:rtl/>
        </w:rPr>
        <w:t xml:space="preserve"> </w:t>
      </w:r>
      <w:r w:rsidRPr="00DE0217">
        <w:rPr>
          <w:rFonts w:cs="Arial"/>
          <w:rtl/>
        </w:rPr>
        <w:t>מה אשיב מפני הכבוד שאין מסרבין לגדול אך כנושא ונותן בהלכה בלבד ואנכי לא אהיה כעורכי הדיינים ח"ו וכבר היו נשמרים מזה קדמוננו ז"ל בתשובותיהם שלא לענות על דברי ריבות בדיני ממונות אם לא יהיה נדרשים משני הבעלי דינין או מהדיינים הנבררים על כך וכמו שכתב בעל תרומת הדשן בכתביו סי' ס"ב לכן כתלמיד הדן לפני רבותיו אדון ואשא ואתן כאשר יורוני מן השמים לא שאומר קבלו דעתי לא אל המבוררים ולא לבעלי דינים שהם רשאים ולא אני</w:t>
      </w:r>
      <w:r>
        <w:rPr>
          <w:rFonts w:cs="Arial" w:hint="cs"/>
          <w:rtl/>
        </w:rPr>
        <w:t>.</w:t>
      </w:r>
    </w:p>
    <w:p w14:paraId="5871C542" w14:textId="77777777" w:rsidR="00E137BC" w:rsidRPr="00576D5C" w:rsidRDefault="00E137BC" w:rsidP="00576D5C">
      <w:pPr>
        <w:rPr>
          <w:rFonts w:asciiTheme="minorBidi" w:hAnsiTheme="minorBidi"/>
          <w:b/>
          <w:bCs/>
          <w:color w:val="000000"/>
          <w:sz w:val="28"/>
          <w:szCs w:val="28"/>
          <w:u w:val="single"/>
          <w:rtl/>
        </w:rPr>
      </w:pPr>
      <w:r w:rsidRPr="00576D5C">
        <w:rPr>
          <w:rFonts w:asciiTheme="minorBidi" w:hAnsiTheme="minorBidi"/>
          <w:b/>
          <w:bCs/>
          <w:color w:val="000000"/>
          <w:sz w:val="28"/>
          <w:szCs w:val="28"/>
          <w:u w:val="single"/>
          <w:rtl/>
        </w:rPr>
        <w:t>שו"ע:</w:t>
      </w:r>
    </w:p>
    <w:p w14:paraId="1FA95FD4" w14:textId="77777777" w:rsidR="00C65832" w:rsidRPr="00C65832" w:rsidRDefault="00E137BC" w:rsidP="00C65832">
      <w:pPr>
        <w:rPr>
          <w:rFonts w:asciiTheme="minorBidi" w:hAnsiTheme="minorBidi"/>
          <w:rtl/>
        </w:rPr>
      </w:pPr>
      <w:r w:rsidRPr="00576D5C">
        <w:rPr>
          <w:rFonts w:asciiTheme="minorBidi" w:hAnsiTheme="minorBidi"/>
          <w:rtl/>
        </w:rPr>
        <w:t>אסור לדיין לשמוע דברי בעל דין האחד שלא בפני בעל דין חבירו</w:t>
      </w:r>
      <w:r w:rsidR="00C65832">
        <w:rPr>
          <w:rStyle w:val="ab"/>
          <w:rFonts w:asciiTheme="minorBidi" w:hAnsiTheme="minorBidi"/>
          <w:rtl/>
        </w:rPr>
        <w:footnoteReference w:id="951"/>
      </w:r>
      <w:r w:rsidRPr="00576D5C">
        <w:rPr>
          <w:rFonts w:asciiTheme="minorBidi" w:hAnsiTheme="minorBidi"/>
          <w:rtl/>
        </w:rPr>
        <w:t xml:space="preserve">. </w:t>
      </w:r>
      <w:r w:rsidRPr="004946CD">
        <w:rPr>
          <w:rFonts w:asciiTheme="minorBidi" w:hAnsiTheme="minorBidi"/>
          <w:sz w:val="18"/>
          <w:szCs w:val="18"/>
          <w:rtl/>
        </w:rPr>
        <w:t>הגה: ודוקא שיודע הדיין שיהיה דיין בדבר</w:t>
      </w:r>
      <w:r w:rsidR="00CD5550">
        <w:rPr>
          <w:rStyle w:val="ab"/>
          <w:rFonts w:asciiTheme="minorBidi" w:hAnsiTheme="minorBidi"/>
          <w:sz w:val="18"/>
          <w:szCs w:val="18"/>
          <w:rtl/>
        </w:rPr>
        <w:footnoteReference w:id="952"/>
      </w:r>
      <w:r w:rsidRPr="004946CD">
        <w:rPr>
          <w:rFonts w:asciiTheme="minorBidi" w:hAnsiTheme="minorBidi"/>
          <w:sz w:val="18"/>
          <w:szCs w:val="18"/>
          <w:rtl/>
        </w:rPr>
        <w:t>, אבל אם שמע טענת האחד ואח</w:t>
      </w:r>
      <w:r w:rsidR="008F0BC8">
        <w:rPr>
          <w:rFonts w:asciiTheme="minorBidi" w:hAnsiTheme="minorBidi" w:hint="cs"/>
          <w:sz w:val="18"/>
          <w:szCs w:val="18"/>
          <w:rtl/>
        </w:rPr>
        <w:t>"</w:t>
      </w:r>
      <w:r w:rsidRPr="004946CD">
        <w:rPr>
          <w:rFonts w:asciiTheme="minorBidi" w:hAnsiTheme="minorBidi"/>
          <w:sz w:val="18"/>
          <w:szCs w:val="18"/>
          <w:rtl/>
        </w:rPr>
        <w:t>כ נתרצה השני לדון לפניו, מותר להיות דיין בדבר (תשו</w:t>
      </w:r>
      <w:r w:rsidR="004946CD">
        <w:rPr>
          <w:rFonts w:asciiTheme="minorBidi" w:hAnsiTheme="minorBidi" w:hint="cs"/>
          <w:sz w:val="18"/>
          <w:szCs w:val="18"/>
          <w:rtl/>
        </w:rPr>
        <w:t>'</w:t>
      </w:r>
      <w:r w:rsidRPr="004946CD">
        <w:rPr>
          <w:rFonts w:asciiTheme="minorBidi" w:hAnsiTheme="minorBidi"/>
          <w:sz w:val="18"/>
          <w:szCs w:val="18"/>
          <w:rtl/>
        </w:rPr>
        <w:t xml:space="preserve"> מהרי"ל קצה). ולא יכתוב שום חכם פסק לאחד מבעלי הדינין בדרך </w:t>
      </w:r>
      <w:r w:rsidRPr="004946CD">
        <w:rPr>
          <w:rFonts w:asciiTheme="minorBidi" w:hAnsiTheme="minorBidi"/>
          <w:sz w:val="18"/>
          <w:szCs w:val="18"/>
          <w:rtl/>
        </w:rPr>
        <w:lastRenderedPageBreak/>
        <w:t>א</w:t>
      </w:r>
      <w:r w:rsidR="008F0BC8">
        <w:rPr>
          <w:rFonts w:asciiTheme="minorBidi" w:hAnsiTheme="minorBidi" w:hint="cs"/>
          <w:sz w:val="18"/>
          <w:szCs w:val="18"/>
          <w:rtl/>
        </w:rPr>
        <w:t xml:space="preserve">ם </w:t>
      </w:r>
      <w:r w:rsidRPr="004946CD">
        <w:rPr>
          <w:rFonts w:asciiTheme="minorBidi" w:hAnsiTheme="minorBidi"/>
          <w:sz w:val="18"/>
          <w:szCs w:val="18"/>
          <w:rtl/>
        </w:rPr>
        <w:t>כ</w:t>
      </w:r>
      <w:r w:rsidR="008F0BC8">
        <w:rPr>
          <w:rFonts w:asciiTheme="minorBidi" w:hAnsiTheme="minorBidi" w:hint="cs"/>
          <w:sz w:val="18"/>
          <w:szCs w:val="18"/>
          <w:rtl/>
        </w:rPr>
        <w:t>ן</w:t>
      </w:r>
      <w:r w:rsidR="008F0BC8">
        <w:rPr>
          <w:rStyle w:val="ab"/>
          <w:rFonts w:asciiTheme="minorBidi" w:hAnsiTheme="minorBidi"/>
          <w:sz w:val="18"/>
          <w:szCs w:val="18"/>
          <w:rtl/>
        </w:rPr>
        <w:footnoteReference w:id="953"/>
      </w:r>
      <w:r w:rsidR="008F0BC8">
        <w:rPr>
          <w:rFonts w:asciiTheme="minorBidi" w:hAnsiTheme="minorBidi" w:hint="cs"/>
          <w:sz w:val="18"/>
          <w:szCs w:val="18"/>
          <w:rtl/>
        </w:rPr>
        <w:t xml:space="preserve"> </w:t>
      </w:r>
      <w:r w:rsidR="008F0BC8" w:rsidRPr="008F0BC8">
        <w:rPr>
          <w:rFonts w:asciiTheme="minorBidi" w:hAnsiTheme="minorBidi" w:hint="cs"/>
          <w:sz w:val="16"/>
          <w:szCs w:val="16"/>
          <w:rtl/>
        </w:rPr>
        <w:t>(ד"ע בדרכ"מ)</w:t>
      </w:r>
      <w:r w:rsidR="00CD5550">
        <w:rPr>
          <w:rFonts w:asciiTheme="minorBidi" w:hAnsiTheme="minorBidi" w:hint="cs"/>
          <w:sz w:val="18"/>
          <w:szCs w:val="18"/>
          <w:rtl/>
        </w:rPr>
        <w:t xml:space="preserve">, </w:t>
      </w:r>
      <w:r w:rsidRPr="004946CD">
        <w:rPr>
          <w:rFonts w:asciiTheme="minorBidi" w:hAnsiTheme="minorBidi"/>
          <w:sz w:val="18"/>
          <w:szCs w:val="18"/>
          <w:rtl/>
        </w:rPr>
        <w:t>או שיכתוב לו דעתו בלא פסק</w:t>
      </w:r>
      <w:r w:rsidR="008F0BC8">
        <w:rPr>
          <w:rFonts w:asciiTheme="minorBidi" w:hAnsiTheme="minorBidi" w:hint="cs"/>
          <w:sz w:val="18"/>
          <w:szCs w:val="18"/>
          <w:rtl/>
        </w:rPr>
        <w:t xml:space="preserve"> </w:t>
      </w:r>
      <w:r w:rsidR="008F0BC8" w:rsidRPr="008F0BC8">
        <w:rPr>
          <w:rFonts w:asciiTheme="minorBidi" w:hAnsiTheme="minorBidi" w:hint="cs"/>
          <w:sz w:val="16"/>
          <w:szCs w:val="16"/>
          <w:rtl/>
        </w:rPr>
        <w:t>(רד"ך)</w:t>
      </w:r>
      <w:r w:rsidR="00CD5550">
        <w:rPr>
          <w:rFonts w:asciiTheme="minorBidi" w:hAnsiTheme="minorBidi" w:hint="cs"/>
          <w:sz w:val="18"/>
          <w:szCs w:val="18"/>
          <w:rtl/>
        </w:rPr>
        <w:t xml:space="preserve">, </w:t>
      </w:r>
      <w:r w:rsidRPr="004946CD">
        <w:rPr>
          <w:rFonts w:asciiTheme="minorBidi" w:hAnsiTheme="minorBidi"/>
          <w:sz w:val="18"/>
          <w:szCs w:val="18"/>
          <w:rtl/>
        </w:rPr>
        <w:t>כל זמן שלא שמע דברי שניהם, שמא מתוך דבריו ילמדו לשקר</w:t>
      </w:r>
      <w:r w:rsidR="008F0BC8">
        <w:rPr>
          <w:rFonts w:asciiTheme="minorBidi" w:hAnsiTheme="minorBidi" w:hint="cs"/>
          <w:sz w:val="18"/>
          <w:szCs w:val="18"/>
          <w:rtl/>
        </w:rPr>
        <w:t xml:space="preserve"> </w:t>
      </w:r>
      <w:r w:rsidR="008F0BC8" w:rsidRPr="008F0BC8">
        <w:rPr>
          <w:rFonts w:asciiTheme="minorBidi" w:hAnsiTheme="minorBidi"/>
          <w:sz w:val="16"/>
          <w:szCs w:val="16"/>
          <w:rtl/>
        </w:rPr>
        <w:t>(רשב"א</w:t>
      </w:r>
      <w:r w:rsidR="008F0BC8" w:rsidRPr="008F0BC8">
        <w:rPr>
          <w:rFonts w:asciiTheme="minorBidi" w:hAnsiTheme="minorBidi" w:hint="cs"/>
          <w:sz w:val="16"/>
          <w:szCs w:val="16"/>
          <w:rtl/>
        </w:rPr>
        <w:t>)</w:t>
      </w:r>
      <w:r w:rsidR="008F0BC8">
        <w:rPr>
          <w:rFonts w:asciiTheme="minorBidi" w:hAnsiTheme="minorBidi" w:hint="cs"/>
          <w:sz w:val="18"/>
          <w:szCs w:val="18"/>
          <w:rtl/>
        </w:rPr>
        <w:t>,</w:t>
      </w:r>
      <w:r w:rsidRPr="004946CD">
        <w:rPr>
          <w:rFonts w:asciiTheme="minorBidi" w:hAnsiTheme="minorBidi"/>
          <w:sz w:val="18"/>
          <w:szCs w:val="18"/>
          <w:rtl/>
        </w:rPr>
        <w:t xml:space="preserve"> גם משום שאח"כ יטעון השני בדרך אחר ויצטרך לכתוב להיפך, ואיכא זילותא לחכם </w:t>
      </w:r>
      <w:r w:rsidR="008F0BC8" w:rsidRPr="008F0BC8">
        <w:rPr>
          <w:rFonts w:asciiTheme="minorBidi" w:hAnsiTheme="minorBidi" w:hint="cs"/>
          <w:sz w:val="16"/>
          <w:szCs w:val="16"/>
          <w:rtl/>
        </w:rPr>
        <w:t>(</w:t>
      </w:r>
      <w:r w:rsidRPr="008F0BC8">
        <w:rPr>
          <w:rFonts w:asciiTheme="minorBidi" w:hAnsiTheme="minorBidi"/>
          <w:sz w:val="16"/>
          <w:szCs w:val="16"/>
          <w:rtl/>
        </w:rPr>
        <w:t>ריב"ש)</w:t>
      </w:r>
      <w:r w:rsidRPr="004946CD">
        <w:rPr>
          <w:rFonts w:asciiTheme="minorBidi" w:hAnsiTheme="minorBidi"/>
          <w:sz w:val="18"/>
          <w:szCs w:val="18"/>
          <w:rtl/>
        </w:rPr>
        <w:t>.</w:t>
      </w:r>
      <w:r w:rsidRPr="00576D5C">
        <w:rPr>
          <w:rFonts w:asciiTheme="minorBidi" w:hAnsiTheme="minorBidi"/>
          <w:rtl/>
        </w:rPr>
        <w:t xml:space="preserve"> וכן הבעל דין מוזהר על כך. ותלמיד שיש לו דין לפני רבו, לא יקדים לבא קודם בעל דינו, שלא יהא נראה כמקדים כדי לסדר טענותיו שלא בפני חבירו. ואם יש לו עת קבוע לבא ללמוד לפניו, ובא העת ההיא, מותר. </w:t>
      </w:r>
    </w:p>
    <w:p w14:paraId="3FCDFC3E" w14:textId="77777777" w:rsidR="004946CD" w:rsidRPr="00576D5C" w:rsidRDefault="00D60594" w:rsidP="00576D5C">
      <w:pPr>
        <w:rPr>
          <w:rFonts w:asciiTheme="minorBidi" w:hAnsiTheme="minorBidi"/>
          <w:rtl/>
        </w:rPr>
      </w:pPr>
      <w:r w:rsidRPr="00D60594">
        <w:rPr>
          <w:rFonts w:asciiTheme="minorBidi" w:hAnsiTheme="minorBidi" w:cs="Arial"/>
          <w:rtl/>
        </w:rPr>
        <w:t xml:space="preserve"> </w:t>
      </w:r>
    </w:p>
    <w:p w14:paraId="5C52A127" w14:textId="77777777" w:rsidR="00E137BC" w:rsidRDefault="00E137BC" w:rsidP="006567B0">
      <w:pPr>
        <w:pStyle w:val="2"/>
        <w:rPr>
          <w:rtl/>
        </w:rPr>
      </w:pPr>
      <w:bookmarkStart w:id="147" w:name="_Toc24883630"/>
      <w:r w:rsidRPr="00576D5C">
        <w:rPr>
          <w:rtl/>
        </w:rPr>
        <w:t>סעיף ו</w:t>
      </w:r>
      <w:r w:rsidR="004946CD">
        <w:rPr>
          <w:rFonts w:hint="cs"/>
          <w:rtl/>
        </w:rPr>
        <w:t>:</w:t>
      </w:r>
      <w:r w:rsidR="00E53093">
        <w:rPr>
          <w:rFonts w:hint="cs"/>
          <w:rtl/>
        </w:rPr>
        <w:t xml:space="preserve"> </w:t>
      </w:r>
      <w:r w:rsidR="00990148" w:rsidRPr="00990148">
        <w:rPr>
          <w:rFonts w:cs="Arial" w:hint="cs"/>
          <w:rtl/>
        </w:rPr>
        <w:t>העמדת מתורגמן אצל הדיין</w:t>
      </w:r>
      <w:r w:rsidR="00990148">
        <w:rPr>
          <w:rFonts w:hint="cs"/>
          <w:rtl/>
        </w:rPr>
        <w:t>.</w:t>
      </w:r>
      <w:bookmarkEnd w:id="147"/>
    </w:p>
    <w:p w14:paraId="68FD2BB5" w14:textId="77777777" w:rsidR="00E53093" w:rsidRDefault="00E53093" w:rsidP="004946CD">
      <w:pPr>
        <w:rPr>
          <w:rFonts w:cs="Arial"/>
          <w:rtl/>
        </w:rPr>
      </w:pPr>
      <w:r>
        <w:rPr>
          <w:rFonts w:cs="Arial" w:hint="cs"/>
          <w:b/>
          <w:bCs/>
          <w:rtl/>
        </w:rPr>
        <w:t>מכות</w:t>
      </w:r>
      <w:r w:rsidRPr="00E53093">
        <w:rPr>
          <w:rFonts w:cs="Arial" w:hint="cs"/>
          <w:b/>
          <w:bCs/>
          <w:sz w:val="16"/>
          <w:szCs w:val="16"/>
          <w:rtl/>
        </w:rPr>
        <w:t xml:space="preserve"> (פ"ק) </w:t>
      </w:r>
      <w:r>
        <w:rPr>
          <w:rFonts w:cs="Arial" w:hint="cs"/>
          <w:b/>
          <w:bCs/>
          <w:rtl/>
        </w:rPr>
        <w:t>ו</w:t>
      </w:r>
      <w:r w:rsidR="00335BA4">
        <w:rPr>
          <w:rStyle w:val="ab"/>
          <w:rFonts w:cs="Arial"/>
          <w:b/>
          <w:bCs/>
          <w:rtl/>
        </w:rPr>
        <w:footnoteReference w:id="954"/>
      </w:r>
      <w:r>
        <w:rPr>
          <w:rFonts w:cs="Arial" w:hint="cs"/>
          <w:b/>
          <w:bCs/>
          <w:rtl/>
        </w:rPr>
        <w:t xml:space="preserve"> ע"ב: </w:t>
      </w:r>
      <w:r w:rsidRPr="00E53093">
        <w:rPr>
          <w:rFonts w:cs="Arial" w:hint="cs"/>
          <w:u w:val="double"/>
          <w:rtl/>
        </w:rPr>
        <w:t>מתני':</w:t>
      </w:r>
      <w:r>
        <w:rPr>
          <w:rFonts w:cs="Arial" w:hint="cs"/>
          <w:rtl/>
        </w:rPr>
        <w:t xml:space="preserve">... </w:t>
      </w:r>
      <w:r w:rsidRPr="00E53093">
        <w:rPr>
          <w:rFonts w:cs="Arial"/>
          <w:rtl/>
        </w:rPr>
        <w:t xml:space="preserve">דבר אחר: על פי שנים עדים - שלא תהא סנהדרין שומעת מפי התורגמן. </w:t>
      </w:r>
      <w:r>
        <w:rPr>
          <w:rFonts w:cs="Arial" w:hint="cs"/>
          <w:rtl/>
        </w:rPr>
        <w:t xml:space="preserve">    </w:t>
      </w:r>
      <w:r w:rsidRPr="00E53093">
        <w:rPr>
          <w:rFonts w:cs="Arial" w:hint="cs"/>
          <w:u w:val="double"/>
          <w:rtl/>
        </w:rPr>
        <w:t>גמ':</w:t>
      </w:r>
      <w:r w:rsidRPr="00E53093">
        <w:rPr>
          <w:rFonts w:cs="Arial"/>
          <w:rtl/>
        </w:rPr>
        <w:t xml:space="preserve"> </w:t>
      </w:r>
      <w:r w:rsidR="00990148" w:rsidRPr="00E53093">
        <w:rPr>
          <w:rFonts w:cs="Arial"/>
          <w:rtl/>
        </w:rPr>
        <w:t>דבר אחר על פי שנים</w:t>
      </w:r>
      <w:r w:rsidR="00990148">
        <w:rPr>
          <w:rFonts w:cs="Arial" w:hint="cs"/>
          <w:rtl/>
        </w:rPr>
        <w:t xml:space="preserve">... </w:t>
      </w:r>
      <w:r w:rsidRPr="00E53093">
        <w:rPr>
          <w:rFonts w:cs="Arial"/>
          <w:rtl/>
        </w:rPr>
        <w:t>הנהו לעוזי דאתו לקמיה דרבא, אוקי רבא תורגמן בינייהו. והיכי עביד הכי? והתנן: שלא תהא סנהדרין שומעת מפי התורגמן! רבא מידע הוה ידע מה דהוו אמרי, ואהדורי הוא דלא הוה ידע.</w:t>
      </w:r>
    </w:p>
    <w:p w14:paraId="5382B716" w14:textId="77777777" w:rsidR="00990148" w:rsidRDefault="00990148" w:rsidP="004946CD">
      <w:pPr>
        <w:rPr>
          <w:rFonts w:cs="Arial"/>
          <w:u w:val="single"/>
          <w:rtl/>
        </w:rPr>
      </w:pPr>
      <w:r w:rsidRPr="00990148">
        <w:rPr>
          <w:rFonts w:cs="Arial" w:hint="cs"/>
          <w:u w:val="single"/>
          <w:rtl/>
        </w:rPr>
        <w:t>העמדת מתורגמן אצל הדיין:</w:t>
      </w:r>
    </w:p>
    <w:p w14:paraId="58B6BC41" w14:textId="77777777" w:rsidR="00082A51" w:rsidRPr="00990148" w:rsidRDefault="00082A51" w:rsidP="004B0475">
      <w:pPr>
        <w:pStyle w:val="ac"/>
        <w:numPr>
          <w:ilvl w:val="0"/>
          <w:numId w:val="23"/>
        </w:numPr>
        <w:rPr>
          <w:rFonts w:cs="Arial"/>
          <w:rtl/>
        </w:rPr>
      </w:pPr>
      <w:r w:rsidRPr="00990148">
        <w:rPr>
          <w:rFonts w:cs="Arial"/>
          <w:rtl/>
        </w:rPr>
        <w:t>רמב"ם</w:t>
      </w:r>
      <w:r w:rsidR="00E53093" w:rsidRPr="00990148">
        <w:rPr>
          <w:rFonts w:cs="Arial" w:hint="cs"/>
          <w:sz w:val="16"/>
          <w:szCs w:val="16"/>
          <w:rtl/>
        </w:rPr>
        <w:t xml:space="preserve"> (פכ"א ה"ח)</w:t>
      </w:r>
      <w:r w:rsidR="00990148">
        <w:rPr>
          <w:rFonts w:cs="Arial" w:hint="cs"/>
          <w:rtl/>
        </w:rPr>
        <w:t xml:space="preserve"> וטור</w:t>
      </w:r>
      <w:r w:rsidR="00E53093" w:rsidRPr="00990148">
        <w:rPr>
          <w:rFonts w:cs="Arial" w:hint="cs"/>
          <w:rtl/>
        </w:rPr>
        <w:t>-</w:t>
      </w:r>
      <w:r w:rsidRPr="00990148">
        <w:rPr>
          <w:rFonts w:cs="Arial"/>
          <w:rtl/>
        </w:rPr>
        <w:t xml:space="preserve"> לא יהא הדיין שומע מפי המתורגמן א</w:t>
      </w:r>
      <w:r w:rsidR="00E53093" w:rsidRPr="00990148">
        <w:rPr>
          <w:rFonts w:cs="Arial" w:hint="cs"/>
          <w:rtl/>
        </w:rPr>
        <w:t>לא אם כן</w:t>
      </w:r>
      <w:r w:rsidRPr="00990148">
        <w:rPr>
          <w:rFonts w:cs="Arial"/>
          <w:rtl/>
        </w:rPr>
        <w:t xml:space="preserve"> היה מכיר לשון בעלי הדינין ושומע טענותיהם</w:t>
      </w:r>
      <w:r w:rsidR="00A9050B">
        <w:rPr>
          <w:rFonts w:cs="Arial" w:hint="cs"/>
          <w:rtl/>
        </w:rPr>
        <w:t>.</w:t>
      </w:r>
      <w:r w:rsidRPr="00990148">
        <w:rPr>
          <w:rFonts w:cs="Arial"/>
          <w:rtl/>
        </w:rPr>
        <w:t xml:space="preserve"> ואם אינו מכיר בלשונם כדי להשיב להם </w:t>
      </w:r>
      <w:r w:rsidR="00A9050B">
        <w:rPr>
          <w:rFonts w:cs="Arial" w:hint="cs"/>
          <w:rtl/>
        </w:rPr>
        <w:t xml:space="preserve">- </w:t>
      </w:r>
      <w:r w:rsidRPr="00990148">
        <w:rPr>
          <w:rFonts w:cs="Arial"/>
          <w:rtl/>
        </w:rPr>
        <w:t>יעמיד תורגמן כדי להודיע אותן פסק דין ומאיזה טעם חייב את זה וזיכה את זה</w:t>
      </w:r>
      <w:r w:rsidR="008D71B3">
        <w:rPr>
          <w:rFonts w:cs="Arial" w:hint="cs"/>
          <w:sz w:val="16"/>
          <w:szCs w:val="16"/>
          <w:rtl/>
        </w:rPr>
        <w:t xml:space="preserve"> (ל' הרמב"ם)</w:t>
      </w:r>
      <w:r w:rsidR="00E53093" w:rsidRPr="00990148">
        <w:rPr>
          <w:rFonts w:cs="Arial" w:hint="cs"/>
          <w:rtl/>
        </w:rPr>
        <w:t>.</w:t>
      </w:r>
      <w:r w:rsidR="00990148">
        <w:rPr>
          <w:rFonts w:cs="Arial" w:hint="cs"/>
          <w:rtl/>
        </w:rPr>
        <w:t xml:space="preserve"> </w:t>
      </w:r>
      <w:r w:rsidR="00990148" w:rsidRPr="00990148">
        <w:rPr>
          <w:rFonts w:cs="Arial" w:hint="cs"/>
          <w:color w:val="E36C0A" w:themeColor="accent6" w:themeShade="BF"/>
          <w:rtl/>
        </w:rPr>
        <w:t>(וכ"פ בשו"ע)</w:t>
      </w:r>
    </w:p>
    <w:p w14:paraId="7560EDB7" w14:textId="77777777" w:rsidR="00990148" w:rsidRDefault="00FD4C89" w:rsidP="00990148">
      <w:pPr>
        <w:rPr>
          <w:rFonts w:cs="Arial"/>
          <w:rtl/>
        </w:rPr>
      </w:pPr>
      <w:r w:rsidRPr="00FD4C89">
        <w:rPr>
          <w:rFonts w:cs="Arial" w:hint="cs"/>
          <w:u w:val="single"/>
          <w:rtl/>
        </w:rPr>
        <w:t xml:space="preserve">הטוען בכתב </w:t>
      </w:r>
      <w:r w:rsidRPr="00FD4C89">
        <w:rPr>
          <w:rFonts w:cs="Arial"/>
          <w:u w:val="single"/>
          <w:rtl/>
        </w:rPr>
        <w:t>–</w:t>
      </w:r>
      <w:r w:rsidRPr="00FD4C89">
        <w:rPr>
          <w:rFonts w:cs="Arial" w:hint="cs"/>
          <w:u w:val="single"/>
          <w:rtl/>
        </w:rPr>
        <w:t xml:space="preserve"> מהו שיחזור ויטעון:</w:t>
      </w:r>
      <w:r>
        <w:rPr>
          <w:rFonts w:cs="Arial" w:hint="cs"/>
          <w:sz w:val="16"/>
          <w:szCs w:val="16"/>
          <w:rtl/>
        </w:rPr>
        <w:t xml:space="preserve">   </w:t>
      </w:r>
      <w:r w:rsidR="00990148" w:rsidRPr="00FD4C89">
        <w:rPr>
          <w:rFonts w:cs="Arial"/>
          <w:sz w:val="16"/>
          <w:szCs w:val="16"/>
          <w:rtl/>
        </w:rPr>
        <w:t>(</w:t>
      </w:r>
      <w:r w:rsidRPr="00FD4C89">
        <w:rPr>
          <w:rFonts w:cs="Arial" w:hint="cs"/>
          <w:sz w:val="16"/>
          <w:szCs w:val="16"/>
          <w:rtl/>
        </w:rPr>
        <w:t xml:space="preserve">דרכ"מ אות </w:t>
      </w:r>
      <w:r w:rsidR="00990148" w:rsidRPr="00FD4C89">
        <w:rPr>
          <w:rFonts w:cs="Arial"/>
          <w:sz w:val="16"/>
          <w:szCs w:val="16"/>
          <w:rtl/>
        </w:rPr>
        <w:t>ה)</w:t>
      </w:r>
      <w:r w:rsidR="00990148" w:rsidRPr="00990148">
        <w:rPr>
          <w:rFonts w:cs="Arial"/>
          <w:rtl/>
        </w:rPr>
        <w:t xml:space="preserve"> </w:t>
      </w:r>
    </w:p>
    <w:p w14:paraId="228C7919" w14:textId="77777777" w:rsidR="00990148" w:rsidRPr="00FD4C89" w:rsidRDefault="00990148" w:rsidP="004B0475">
      <w:pPr>
        <w:pStyle w:val="ac"/>
        <w:numPr>
          <w:ilvl w:val="0"/>
          <w:numId w:val="23"/>
        </w:numPr>
        <w:rPr>
          <w:rFonts w:cs="Arial"/>
          <w:rtl/>
        </w:rPr>
      </w:pPr>
      <w:r w:rsidRPr="00FD4C89">
        <w:rPr>
          <w:rFonts w:cs="Arial"/>
          <w:rtl/>
        </w:rPr>
        <w:t>נמוק</w:t>
      </w:r>
      <w:r w:rsidRPr="00FD4C89">
        <w:rPr>
          <w:rFonts w:cs="Arial" w:hint="cs"/>
          <w:rtl/>
        </w:rPr>
        <w:t>"</w:t>
      </w:r>
      <w:r w:rsidRPr="00FD4C89">
        <w:rPr>
          <w:rFonts w:cs="Arial"/>
          <w:rtl/>
        </w:rPr>
        <w:t xml:space="preserve">י </w:t>
      </w:r>
      <w:r w:rsidRPr="00FD4C89">
        <w:rPr>
          <w:rFonts w:cs="Arial" w:hint="cs"/>
          <w:sz w:val="16"/>
          <w:szCs w:val="16"/>
          <w:rtl/>
        </w:rPr>
        <w:t>(</w:t>
      </w:r>
      <w:r w:rsidRPr="00FD4C89">
        <w:rPr>
          <w:rFonts w:cs="Arial"/>
          <w:sz w:val="16"/>
          <w:szCs w:val="16"/>
          <w:rtl/>
        </w:rPr>
        <w:t>פ</w:t>
      </w:r>
      <w:r w:rsidRPr="00FD4C89">
        <w:rPr>
          <w:rFonts w:cs="Arial" w:hint="cs"/>
          <w:sz w:val="16"/>
          <w:szCs w:val="16"/>
          <w:rtl/>
        </w:rPr>
        <w:t>'</w:t>
      </w:r>
      <w:r w:rsidRPr="00FD4C89">
        <w:rPr>
          <w:rFonts w:cs="Arial"/>
          <w:sz w:val="16"/>
          <w:szCs w:val="16"/>
          <w:rtl/>
        </w:rPr>
        <w:t xml:space="preserve"> גט פשוט ב"ב עח</w:t>
      </w:r>
      <w:r w:rsidRPr="00FD4C89">
        <w:rPr>
          <w:rFonts w:cs="Arial" w:hint="cs"/>
          <w:sz w:val="16"/>
          <w:szCs w:val="16"/>
          <w:rtl/>
        </w:rPr>
        <w:t>.</w:t>
      </w:r>
      <w:r w:rsidRPr="00FD4C89">
        <w:rPr>
          <w:rFonts w:cs="Arial"/>
          <w:sz w:val="16"/>
          <w:szCs w:val="16"/>
          <w:rtl/>
        </w:rPr>
        <w:t>)</w:t>
      </w:r>
      <w:r w:rsidRPr="00FD4C89">
        <w:rPr>
          <w:rFonts w:cs="Arial" w:hint="cs"/>
          <w:rtl/>
        </w:rPr>
        <w:t>-</w:t>
      </w:r>
      <w:r w:rsidRPr="00FD4C89">
        <w:rPr>
          <w:rFonts w:cs="Arial"/>
          <w:rtl/>
        </w:rPr>
        <w:t xml:space="preserve"> הטוען בכתב אינו יכול לחזור ולטעון אפילו לא הוכחש בעדים ונותן אמתלא לדבריו לא מהימן</w:t>
      </w:r>
      <w:r w:rsidR="00FD4C89" w:rsidRPr="00FD4C89">
        <w:rPr>
          <w:rFonts w:cs="Arial" w:hint="cs"/>
          <w:rtl/>
        </w:rPr>
        <w:t>,</w:t>
      </w:r>
      <w:r w:rsidRPr="00FD4C89">
        <w:rPr>
          <w:rFonts w:cs="Arial"/>
          <w:rtl/>
        </w:rPr>
        <w:t xml:space="preserve"> ועל כן אין לכוף ולטעון בכתב</w:t>
      </w:r>
      <w:r>
        <w:rPr>
          <w:rStyle w:val="ab"/>
          <w:rFonts w:cs="Arial"/>
          <w:rtl/>
        </w:rPr>
        <w:footnoteReference w:id="955"/>
      </w:r>
      <w:r w:rsidRPr="00FD4C89">
        <w:rPr>
          <w:rFonts w:cs="Arial" w:hint="cs"/>
          <w:rtl/>
        </w:rPr>
        <w:t>.</w:t>
      </w:r>
      <w:r w:rsidRPr="00FD4C89">
        <w:rPr>
          <w:rFonts w:cs="Arial"/>
          <w:rtl/>
        </w:rPr>
        <w:t xml:space="preserve"> </w:t>
      </w:r>
    </w:p>
    <w:p w14:paraId="020E720D" w14:textId="77777777" w:rsidR="00FD4C89" w:rsidRDefault="00FD4C89" w:rsidP="00990148">
      <w:pPr>
        <w:rPr>
          <w:rFonts w:cs="Arial"/>
          <w:rtl/>
        </w:rPr>
      </w:pPr>
      <w:r w:rsidRPr="00FD4C89">
        <w:rPr>
          <w:rFonts w:cs="Arial" w:hint="cs"/>
          <w:u w:val="single"/>
          <w:rtl/>
        </w:rPr>
        <w:t>בעל דין א' רוצה לטעון בלשון מסויימת והבעל דין השני רוצה בלשון אחרת:</w:t>
      </w:r>
      <w:r w:rsidRPr="00FD4C89">
        <w:rPr>
          <w:rFonts w:cs="Arial"/>
          <w:sz w:val="16"/>
          <w:szCs w:val="16"/>
          <w:rtl/>
        </w:rPr>
        <w:t xml:space="preserve"> </w:t>
      </w:r>
      <w:r>
        <w:rPr>
          <w:rFonts w:cs="Arial" w:hint="cs"/>
          <w:sz w:val="16"/>
          <w:szCs w:val="16"/>
          <w:rtl/>
        </w:rPr>
        <w:t xml:space="preserve">  </w:t>
      </w:r>
      <w:r w:rsidRPr="00FD4C89">
        <w:rPr>
          <w:rFonts w:cs="Arial"/>
          <w:sz w:val="16"/>
          <w:szCs w:val="16"/>
          <w:rtl/>
        </w:rPr>
        <w:t>(</w:t>
      </w:r>
      <w:r w:rsidRPr="00FD4C89">
        <w:rPr>
          <w:rFonts w:cs="Arial" w:hint="cs"/>
          <w:sz w:val="16"/>
          <w:szCs w:val="16"/>
          <w:rtl/>
        </w:rPr>
        <w:t xml:space="preserve">דרכ"מ אות </w:t>
      </w:r>
      <w:r w:rsidRPr="00FD4C89">
        <w:rPr>
          <w:rFonts w:cs="Arial"/>
          <w:sz w:val="16"/>
          <w:szCs w:val="16"/>
          <w:rtl/>
        </w:rPr>
        <w:t>ה)</w:t>
      </w:r>
    </w:p>
    <w:p w14:paraId="7F3A1883" w14:textId="77777777" w:rsidR="00990148" w:rsidRPr="00FD4C89" w:rsidRDefault="00990148" w:rsidP="004B0475">
      <w:pPr>
        <w:pStyle w:val="ac"/>
        <w:numPr>
          <w:ilvl w:val="0"/>
          <w:numId w:val="23"/>
        </w:numPr>
        <w:rPr>
          <w:rFonts w:cs="Arial"/>
          <w:rtl/>
        </w:rPr>
      </w:pPr>
      <w:r w:rsidRPr="00FD4C89">
        <w:rPr>
          <w:rFonts w:cs="Arial"/>
          <w:rtl/>
        </w:rPr>
        <w:t>מהרי</w:t>
      </w:r>
      <w:r w:rsidRPr="00FD4C89">
        <w:rPr>
          <w:rFonts w:cs="Arial" w:hint="cs"/>
          <w:rtl/>
        </w:rPr>
        <w:t>"ו</w:t>
      </w:r>
      <w:r w:rsidRPr="00FD4C89">
        <w:rPr>
          <w:rFonts w:cs="Arial"/>
          <w:rtl/>
        </w:rPr>
        <w:t xml:space="preserve"> </w:t>
      </w:r>
      <w:r w:rsidRPr="00FD4C89">
        <w:rPr>
          <w:rFonts w:cs="Arial" w:hint="cs"/>
          <w:sz w:val="16"/>
          <w:szCs w:val="16"/>
          <w:rtl/>
        </w:rPr>
        <w:t>(</w:t>
      </w:r>
      <w:r w:rsidRPr="00FD4C89">
        <w:rPr>
          <w:rFonts w:cs="Arial"/>
          <w:sz w:val="16"/>
          <w:szCs w:val="16"/>
          <w:rtl/>
        </w:rPr>
        <w:t>סי</w:t>
      </w:r>
      <w:r w:rsidRPr="00FD4C89">
        <w:rPr>
          <w:rFonts w:cs="Arial" w:hint="cs"/>
          <w:sz w:val="16"/>
          <w:szCs w:val="16"/>
          <w:rtl/>
        </w:rPr>
        <w:t>'</w:t>
      </w:r>
      <w:r w:rsidRPr="00FD4C89">
        <w:rPr>
          <w:rFonts w:cs="Arial"/>
          <w:sz w:val="16"/>
          <w:szCs w:val="16"/>
          <w:rtl/>
        </w:rPr>
        <w:t xml:space="preserve"> קא</w:t>
      </w:r>
      <w:r w:rsidRPr="00FD4C89">
        <w:rPr>
          <w:rFonts w:cs="Arial" w:hint="cs"/>
          <w:sz w:val="16"/>
          <w:szCs w:val="16"/>
          <w:rtl/>
        </w:rPr>
        <w:t>)</w:t>
      </w:r>
      <w:r w:rsidRPr="00FD4C89">
        <w:rPr>
          <w:rFonts w:cs="Arial" w:hint="cs"/>
          <w:rtl/>
        </w:rPr>
        <w:t>-</w:t>
      </w:r>
      <w:r w:rsidRPr="00FD4C89">
        <w:rPr>
          <w:rFonts w:cs="Arial"/>
          <w:rtl/>
        </w:rPr>
        <w:t xml:space="preserve"> אם אחד מבעלי דינין רוצה לטעון בלשון אשכנז והשני אומר שאין המורשה שלו יודע לטעון בלשון אשכנז</w:t>
      </w:r>
      <w:r w:rsidR="00335BA4">
        <w:rPr>
          <w:rFonts w:cs="Arial" w:hint="cs"/>
          <w:rtl/>
        </w:rPr>
        <w:t xml:space="preserve"> -</w:t>
      </w:r>
      <w:r w:rsidRPr="00FD4C89">
        <w:rPr>
          <w:rFonts w:cs="Arial"/>
          <w:rtl/>
        </w:rPr>
        <w:t xml:space="preserve"> אין יכול לכופו לטעון בלשון אשכנז</w:t>
      </w:r>
      <w:r w:rsidR="00335BA4">
        <w:rPr>
          <w:rFonts w:cs="Arial" w:hint="cs"/>
          <w:rtl/>
        </w:rPr>
        <w:t>,</w:t>
      </w:r>
      <w:r w:rsidRPr="00FD4C89">
        <w:rPr>
          <w:rFonts w:cs="Arial"/>
          <w:rtl/>
        </w:rPr>
        <w:t xml:space="preserve"> אם לא שהיתה תקנה בעיר לטעון בלשון אשכנז</w:t>
      </w:r>
      <w:r w:rsidR="00335BA4">
        <w:rPr>
          <w:rFonts w:cs="Arial" w:hint="cs"/>
          <w:rtl/>
        </w:rPr>
        <w:t>,</w:t>
      </w:r>
      <w:r w:rsidRPr="00FD4C89">
        <w:rPr>
          <w:rFonts w:cs="Arial"/>
          <w:rtl/>
        </w:rPr>
        <w:t xml:space="preserve"> ואז אם המורשה שלו אינו יודע ישכור לו מורשה אחר</w:t>
      </w:r>
      <w:r w:rsidRPr="00FD4C89">
        <w:rPr>
          <w:rFonts w:cs="Arial" w:hint="cs"/>
          <w:rtl/>
        </w:rPr>
        <w:t>.</w:t>
      </w:r>
      <w:r w:rsidR="00FD4C89">
        <w:rPr>
          <w:rFonts w:cs="Arial" w:hint="cs"/>
          <w:rtl/>
        </w:rPr>
        <w:t xml:space="preserve"> </w:t>
      </w:r>
      <w:r w:rsidR="00FD4C89" w:rsidRPr="00FD4C89">
        <w:rPr>
          <w:rFonts w:cs="Arial" w:hint="cs"/>
          <w:color w:val="00B0F0"/>
          <w:rtl/>
        </w:rPr>
        <w:t>(וכ"פ הרמ"א)</w:t>
      </w:r>
    </w:p>
    <w:p w14:paraId="72CB57D8" w14:textId="77777777" w:rsidR="00E137BC" w:rsidRPr="00576D5C" w:rsidRDefault="00E137BC" w:rsidP="00576D5C">
      <w:pPr>
        <w:rPr>
          <w:rFonts w:asciiTheme="minorBidi" w:hAnsiTheme="minorBidi"/>
          <w:b/>
          <w:bCs/>
          <w:color w:val="000000"/>
          <w:sz w:val="28"/>
          <w:szCs w:val="28"/>
          <w:u w:val="single"/>
          <w:rtl/>
        </w:rPr>
      </w:pPr>
      <w:r w:rsidRPr="00576D5C">
        <w:rPr>
          <w:rFonts w:asciiTheme="minorBidi" w:hAnsiTheme="minorBidi"/>
          <w:b/>
          <w:bCs/>
          <w:color w:val="000000"/>
          <w:sz w:val="28"/>
          <w:szCs w:val="28"/>
          <w:u w:val="single"/>
          <w:rtl/>
        </w:rPr>
        <w:t>שו"ע:</w:t>
      </w:r>
    </w:p>
    <w:p w14:paraId="7DF5ECC8" w14:textId="77777777" w:rsidR="00E137BC" w:rsidRDefault="00E137BC" w:rsidP="00576D5C">
      <w:pPr>
        <w:rPr>
          <w:rFonts w:asciiTheme="minorBidi" w:hAnsiTheme="minorBidi"/>
          <w:rtl/>
        </w:rPr>
      </w:pPr>
      <w:r w:rsidRPr="00576D5C">
        <w:rPr>
          <w:rFonts w:asciiTheme="minorBidi" w:hAnsiTheme="minorBidi"/>
          <w:rtl/>
        </w:rPr>
        <w:t>לא יהיה הדיין שומע מפי המתורגמן</w:t>
      </w:r>
      <w:r w:rsidR="00FD4C89">
        <w:rPr>
          <w:rStyle w:val="ab"/>
          <w:rFonts w:asciiTheme="minorBidi" w:hAnsiTheme="minorBidi"/>
          <w:rtl/>
        </w:rPr>
        <w:footnoteReference w:id="956"/>
      </w:r>
      <w:r w:rsidRPr="00576D5C">
        <w:rPr>
          <w:rFonts w:asciiTheme="minorBidi" w:hAnsiTheme="minorBidi"/>
          <w:rtl/>
        </w:rPr>
        <w:t xml:space="preserve"> אם היה מכיר בלשונם ושומע טענותיהם. אבל אם אינו יודע בלשונם כל כך שידע להשיב להם להודיעם פסק הדין, מותר להעמיד מתורגמן. </w:t>
      </w:r>
      <w:r w:rsidRPr="004946CD">
        <w:rPr>
          <w:rFonts w:asciiTheme="minorBidi" w:hAnsiTheme="minorBidi"/>
          <w:sz w:val="18"/>
          <w:szCs w:val="18"/>
          <w:rtl/>
        </w:rPr>
        <w:t>הגה: עיין לעיל סימן י"ג סעי</w:t>
      </w:r>
      <w:r w:rsidR="00E53093">
        <w:rPr>
          <w:rFonts w:asciiTheme="minorBidi" w:hAnsiTheme="minorBidi" w:hint="cs"/>
          <w:sz w:val="18"/>
          <w:szCs w:val="18"/>
          <w:rtl/>
        </w:rPr>
        <w:t>ף</w:t>
      </w:r>
      <w:r w:rsidRPr="004946CD">
        <w:rPr>
          <w:rFonts w:asciiTheme="minorBidi" w:hAnsiTheme="minorBidi"/>
          <w:sz w:val="18"/>
          <w:szCs w:val="18"/>
          <w:rtl/>
        </w:rPr>
        <w:t xml:space="preserve"> ג</w:t>
      </w:r>
      <w:r w:rsidR="00FD4C89">
        <w:rPr>
          <w:rFonts w:asciiTheme="minorBidi" w:hAnsiTheme="minorBidi" w:hint="cs"/>
          <w:sz w:val="18"/>
          <w:szCs w:val="18"/>
          <w:rtl/>
        </w:rPr>
        <w:t>'</w:t>
      </w:r>
      <w:r w:rsidRPr="004946CD">
        <w:rPr>
          <w:rFonts w:asciiTheme="minorBidi" w:hAnsiTheme="minorBidi"/>
          <w:sz w:val="18"/>
          <w:szCs w:val="18"/>
          <w:rtl/>
        </w:rPr>
        <w:t xml:space="preserve"> אם טוענין בכתב</w:t>
      </w:r>
      <w:r w:rsidR="00FD4C89">
        <w:rPr>
          <w:rFonts w:asciiTheme="minorBidi" w:hAnsiTheme="minorBidi" w:hint="cs"/>
          <w:sz w:val="18"/>
          <w:szCs w:val="18"/>
          <w:rtl/>
        </w:rPr>
        <w:t>.</w:t>
      </w:r>
      <w:r w:rsidRPr="004946CD">
        <w:rPr>
          <w:rFonts w:asciiTheme="minorBidi" w:hAnsiTheme="minorBidi"/>
          <w:sz w:val="18"/>
          <w:szCs w:val="18"/>
          <w:rtl/>
        </w:rPr>
        <w:t xml:space="preserve"> אם אחד רוצה לטעון בלשון אחר, והשני בלשון אחר, אין אחד יכול לכוף חבירו (מהרי"ו סי</w:t>
      </w:r>
      <w:r w:rsidR="00E53093">
        <w:rPr>
          <w:rFonts w:asciiTheme="minorBidi" w:hAnsiTheme="minorBidi" w:hint="cs"/>
          <w:sz w:val="18"/>
          <w:szCs w:val="18"/>
          <w:rtl/>
        </w:rPr>
        <w:t>'</w:t>
      </w:r>
      <w:r w:rsidRPr="004946CD">
        <w:rPr>
          <w:rFonts w:asciiTheme="minorBidi" w:hAnsiTheme="minorBidi"/>
          <w:sz w:val="18"/>
          <w:szCs w:val="18"/>
          <w:rtl/>
        </w:rPr>
        <w:t xml:space="preserve"> קא). </w:t>
      </w:r>
    </w:p>
    <w:p w14:paraId="5E89A379" w14:textId="77777777" w:rsidR="004946CD" w:rsidRPr="00576D5C" w:rsidRDefault="004946CD" w:rsidP="00576D5C">
      <w:pPr>
        <w:rPr>
          <w:rFonts w:asciiTheme="minorBidi" w:hAnsiTheme="minorBidi"/>
          <w:rtl/>
        </w:rPr>
      </w:pPr>
    </w:p>
    <w:p w14:paraId="61514BAC" w14:textId="77777777" w:rsidR="00E137BC" w:rsidRDefault="00E137BC" w:rsidP="006567B0">
      <w:pPr>
        <w:pStyle w:val="2"/>
        <w:rPr>
          <w:rtl/>
        </w:rPr>
      </w:pPr>
      <w:bookmarkStart w:id="148" w:name="_Toc24883631"/>
      <w:r w:rsidRPr="00576D5C">
        <w:rPr>
          <w:rtl/>
        </w:rPr>
        <w:t>סעיף ז</w:t>
      </w:r>
      <w:r w:rsidR="004946CD">
        <w:rPr>
          <w:rFonts w:hint="cs"/>
          <w:rtl/>
        </w:rPr>
        <w:t>:</w:t>
      </w:r>
      <w:r w:rsidR="008C2C0D">
        <w:rPr>
          <w:rFonts w:hint="cs"/>
          <w:rtl/>
        </w:rPr>
        <w:t xml:space="preserve"> </w:t>
      </w:r>
      <w:r w:rsidR="006E1083">
        <w:rPr>
          <w:rFonts w:hint="cs"/>
          <w:rtl/>
        </w:rPr>
        <w:t>שינון הטענות וחיתוך הדין.</w:t>
      </w:r>
      <w:bookmarkEnd w:id="148"/>
    </w:p>
    <w:p w14:paraId="06D0E2D9" w14:textId="77777777" w:rsidR="008C2C0D" w:rsidRDefault="006E1083" w:rsidP="00194389">
      <w:pPr>
        <w:rPr>
          <w:rFonts w:cs="Arial"/>
          <w:rtl/>
        </w:rPr>
      </w:pPr>
      <w:r>
        <w:rPr>
          <w:rFonts w:cs="Arial" w:hint="cs"/>
          <w:b/>
          <w:bCs/>
          <w:rtl/>
        </w:rPr>
        <w:t xml:space="preserve">ירושלמי </w:t>
      </w:r>
      <w:r w:rsidRPr="006E1083">
        <w:rPr>
          <w:rFonts w:cs="Arial" w:hint="cs"/>
          <w:b/>
          <w:bCs/>
          <w:sz w:val="16"/>
          <w:szCs w:val="16"/>
          <w:rtl/>
        </w:rPr>
        <w:t xml:space="preserve">(וילנא) </w:t>
      </w:r>
      <w:r>
        <w:rPr>
          <w:rFonts w:cs="Arial" w:hint="cs"/>
          <w:b/>
          <w:bCs/>
          <w:rtl/>
        </w:rPr>
        <w:t xml:space="preserve">סנהדרין פ"ג ה"ח: </w:t>
      </w:r>
      <w:r w:rsidR="008C2C0D" w:rsidRPr="006E1083">
        <w:rPr>
          <w:rFonts w:cs="Arial"/>
          <w:u w:val="single"/>
          <w:rtl/>
        </w:rPr>
        <w:t>אמר רבי סימון</w:t>
      </w:r>
      <w:r>
        <w:rPr>
          <w:rFonts w:cs="Arial" w:hint="cs"/>
          <w:rtl/>
        </w:rPr>
        <w:t>:</w:t>
      </w:r>
      <w:r w:rsidR="008C2C0D" w:rsidRPr="008C2C0D">
        <w:rPr>
          <w:rFonts w:cs="Arial"/>
          <w:rtl/>
        </w:rPr>
        <w:t xml:space="preserve"> צריך הדיין לשנות טענותיהן שנאמר </w:t>
      </w:r>
      <w:r>
        <w:rPr>
          <w:rFonts w:cs="Arial" w:hint="cs"/>
          <w:sz w:val="16"/>
          <w:szCs w:val="16"/>
          <w:rtl/>
        </w:rPr>
        <w:t>(</w:t>
      </w:r>
      <w:r w:rsidR="008C2C0D" w:rsidRPr="006E1083">
        <w:rPr>
          <w:rFonts w:cs="Arial"/>
          <w:sz w:val="16"/>
          <w:szCs w:val="16"/>
          <w:rtl/>
        </w:rPr>
        <w:t>מלכים א ג כג</w:t>
      </w:r>
      <w:r>
        <w:rPr>
          <w:rFonts w:cs="Arial" w:hint="cs"/>
          <w:sz w:val="16"/>
          <w:szCs w:val="16"/>
          <w:rtl/>
        </w:rPr>
        <w:t>)</w:t>
      </w:r>
      <w:r w:rsidR="008C2C0D" w:rsidRPr="006E1083">
        <w:rPr>
          <w:rFonts w:cs="Arial"/>
          <w:sz w:val="16"/>
          <w:szCs w:val="16"/>
          <w:rtl/>
        </w:rPr>
        <w:t xml:space="preserve"> </w:t>
      </w:r>
      <w:r w:rsidR="008C2C0D" w:rsidRPr="008C2C0D">
        <w:rPr>
          <w:rFonts w:cs="Arial"/>
          <w:rtl/>
        </w:rPr>
        <w:t xml:space="preserve">ויאמר המלך זאת אומרת זה בני החי ובנך המת וגו'. </w:t>
      </w:r>
    </w:p>
    <w:p w14:paraId="169B5EC0" w14:textId="77777777" w:rsidR="006E1083" w:rsidRDefault="006E1083" w:rsidP="00194389">
      <w:pPr>
        <w:rPr>
          <w:rFonts w:cs="Arial"/>
          <w:rtl/>
        </w:rPr>
      </w:pPr>
      <w:r w:rsidRPr="00905231">
        <w:rPr>
          <w:rFonts w:cs="Arial"/>
          <w:b/>
          <w:bCs/>
          <w:rtl/>
        </w:rPr>
        <w:t>סנהדרין</w:t>
      </w:r>
      <w:r w:rsidRPr="00905231">
        <w:rPr>
          <w:rFonts w:cs="Arial"/>
          <w:b/>
          <w:bCs/>
          <w:sz w:val="16"/>
          <w:szCs w:val="16"/>
          <w:rtl/>
        </w:rPr>
        <w:t xml:space="preserve"> (</w:t>
      </w:r>
      <w:r w:rsidRPr="00905231">
        <w:rPr>
          <w:rFonts w:cs="Arial" w:hint="cs"/>
          <w:b/>
          <w:bCs/>
          <w:sz w:val="16"/>
          <w:szCs w:val="16"/>
          <w:rtl/>
        </w:rPr>
        <w:t>פ"ק)</w:t>
      </w:r>
      <w:r w:rsidRPr="00905231">
        <w:rPr>
          <w:rFonts w:cs="Arial" w:hint="cs"/>
          <w:b/>
          <w:bCs/>
          <w:rtl/>
        </w:rPr>
        <w:t xml:space="preserve"> </w:t>
      </w:r>
      <w:r w:rsidRPr="00905231">
        <w:rPr>
          <w:rFonts w:cs="Arial"/>
          <w:b/>
          <w:bCs/>
          <w:rtl/>
        </w:rPr>
        <w:t>ז</w:t>
      </w:r>
      <w:r w:rsidR="00A9050B">
        <w:rPr>
          <w:rStyle w:val="ab"/>
          <w:rFonts w:cs="Arial"/>
          <w:b/>
          <w:bCs/>
          <w:rtl/>
        </w:rPr>
        <w:footnoteReference w:id="957"/>
      </w:r>
      <w:r w:rsidRPr="00905231">
        <w:rPr>
          <w:rFonts w:cs="Arial" w:hint="cs"/>
          <w:b/>
          <w:bCs/>
          <w:rtl/>
        </w:rPr>
        <w:t xml:space="preserve"> ע"ב</w:t>
      </w:r>
      <w:r w:rsidRPr="00905231">
        <w:rPr>
          <w:rFonts w:cs="Arial"/>
          <w:b/>
          <w:bCs/>
          <w:rtl/>
        </w:rPr>
        <w:t>:</w:t>
      </w:r>
      <w:r w:rsidRPr="00905231">
        <w:rPr>
          <w:rtl/>
        </w:rPr>
        <w:t xml:space="preserve"> </w:t>
      </w:r>
      <w:r w:rsidRPr="006E1083">
        <w:rPr>
          <w:rFonts w:cs="Arial"/>
          <w:rtl/>
        </w:rPr>
        <w:t xml:space="preserve">ושפטתם צדק, </w:t>
      </w:r>
      <w:r w:rsidRPr="006E1083">
        <w:rPr>
          <w:rFonts w:cs="Arial"/>
          <w:u w:val="single"/>
          <w:rtl/>
        </w:rPr>
        <w:t>אמר ריש לקיש</w:t>
      </w:r>
      <w:r w:rsidRPr="006E1083">
        <w:rPr>
          <w:rFonts w:cs="Arial"/>
          <w:rtl/>
        </w:rPr>
        <w:t>: צדק את הדין ואחר כך חתכהו</w:t>
      </w:r>
      <w:r>
        <w:rPr>
          <w:rFonts w:cs="Arial" w:hint="cs"/>
          <w:rtl/>
        </w:rPr>
        <w:t xml:space="preserve">. </w:t>
      </w:r>
    </w:p>
    <w:p w14:paraId="618E9CE7" w14:textId="77777777" w:rsidR="006E1083" w:rsidRPr="006E1083" w:rsidRDefault="006E1083" w:rsidP="00194389">
      <w:pPr>
        <w:rPr>
          <w:rFonts w:cs="Arial"/>
          <w:u w:val="single"/>
          <w:rtl/>
        </w:rPr>
      </w:pPr>
      <w:r w:rsidRPr="006E1083">
        <w:rPr>
          <w:rFonts w:hint="cs"/>
          <w:u w:val="single"/>
          <w:rtl/>
        </w:rPr>
        <w:t>שינון הטענות וחיתוך הדין:</w:t>
      </w:r>
    </w:p>
    <w:p w14:paraId="372629C1" w14:textId="77777777" w:rsidR="004946CD" w:rsidRPr="006E1083" w:rsidRDefault="006E1083" w:rsidP="004B0475">
      <w:pPr>
        <w:pStyle w:val="ac"/>
        <w:numPr>
          <w:ilvl w:val="0"/>
          <w:numId w:val="23"/>
        </w:numPr>
        <w:rPr>
          <w:rFonts w:cs="Arial"/>
          <w:rtl/>
        </w:rPr>
      </w:pPr>
      <w:r w:rsidRPr="006E1083">
        <w:rPr>
          <w:rFonts w:cs="Arial"/>
          <w:rtl/>
        </w:rPr>
        <w:t>רמב"ם</w:t>
      </w:r>
      <w:r w:rsidRPr="006E1083">
        <w:rPr>
          <w:rFonts w:cs="Arial" w:hint="cs"/>
          <w:sz w:val="16"/>
          <w:szCs w:val="16"/>
          <w:rtl/>
        </w:rPr>
        <w:t xml:space="preserve"> (פכ"א ה"</w:t>
      </w:r>
      <w:r w:rsidR="00D968F2">
        <w:rPr>
          <w:rFonts w:cs="Arial" w:hint="cs"/>
          <w:sz w:val="16"/>
          <w:szCs w:val="16"/>
          <w:rtl/>
        </w:rPr>
        <w:t>ט</w:t>
      </w:r>
      <w:r w:rsidRPr="006E1083">
        <w:rPr>
          <w:rFonts w:cs="Arial" w:hint="cs"/>
          <w:sz w:val="16"/>
          <w:szCs w:val="16"/>
          <w:rtl/>
        </w:rPr>
        <w:t>)</w:t>
      </w:r>
      <w:r w:rsidRPr="006E1083">
        <w:rPr>
          <w:rFonts w:cs="Arial" w:hint="cs"/>
          <w:rtl/>
        </w:rPr>
        <w:t xml:space="preserve"> וטור-</w:t>
      </w:r>
      <w:r w:rsidRPr="006E1083">
        <w:rPr>
          <w:rFonts w:cs="Arial"/>
          <w:rtl/>
        </w:rPr>
        <w:t xml:space="preserve"> </w:t>
      </w:r>
      <w:r>
        <w:rPr>
          <w:rFonts w:cs="Arial" w:hint="cs"/>
          <w:rtl/>
        </w:rPr>
        <w:t>צ</w:t>
      </w:r>
      <w:r w:rsidR="00082A51" w:rsidRPr="006E1083">
        <w:rPr>
          <w:rFonts w:cs="Arial"/>
          <w:rtl/>
        </w:rPr>
        <w:t>ריך הדיין לשמוע דברי בעלי הדינין ולשנות אותם שנאמר ויאמר המלך זאת אומרת בני החי וגו' ומצדיק את הדין בלבו ואחר כך חותכו</w:t>
      </w:r>
      <w:r w:rsidR="008D71B3">
        <w:rPr>
          <w:rFonts w:cs="Arial" w:hint="cs"/>
          <w:sz w:val="16"/>
          <w:szCs w:val="16"/>
          <w:rtl/>
        </w:rPr>
        <w:t xml:space="preserve"> (ל' הרמב"ם)</w:t>
      </w:r>
      <w:r w:rsidRPr="006E1083">
        <w:rPr>
          <w:rFonts w:cs="Arial" w:hint="cs"/>
          <w:rtl/>
        </w:rPr>
        <w:t>.</w:t>
      </w:r>
      <w:r w:rsidR="00766080" w:rsidRPr="00766080">
        <w:rPr>
          <w:rFonts w:cs="Arial" w:hint="cs"/>
          <w:color w:val="E36C0A" w:themeColor="accent6" w:themeShade="BF"/>
          <w:rtl/>
        </w:rPr>
        <w:t xml:space="preserve"> </w:t>
      </w:r>
      <w:r w:rsidR="00766080" w:rsidRPr="00990148">
        <w:rPr>
          <w:rFonts w:cs="Arial" w:hint="cs"/>
          <w:color w:val="E36C0A" w:themeColor="accent6" w:themeShade="BF"/>
          <w:rtl/>
        </w:rPr>
        <w:t>(וכ"פ בשו"ע)</w:t>
      </w:r>
    </w:p>
    <w:p w14:paraId="4E1C90CD" w14:textId="77777777" w:rsidR="00E137BC" w:rsidRPr="00576D5C" w:rsidRDefault="00E137BC" w:rsidP="00576D5C">
      <w:pPr>
        <w:rPr>
          <w:rFonts w:asciiTheme="minorBidi" w:hAnsiTheme="minorBidi"/>
          <w:b/>
          <w:bCs/>
          <w:color w:val="000000"/>
          <w:sz w:val="28"/>
          <w:szCs w:val="28"/>
          <w:u w:val="single"/>
          <w:rtl/>
        </w:rPr>
      </w:pPr>
      <w:r w:rsidRPr="00576D5C">
        <w:rPr>
          <w:rFonts w:asciiTheme="minorBidi" w:hAnsiTheme="minorBidi"/>
          <w:b/>
          <w:bCs/>
          <w:color w:val="000000"/>
          <w:sz w:val="28"/>
          <w:szCs w:val="28"/>
          <w:u w:val="single"/>
          <w:rtl/>
        </w:rPr>
        <w:lastRenderedPageBreak/>
        <w:t>שו"ע:</w:t>
      </w:r>
    </w:p>
    <w:p w14:paraId="38EBF173" w14:textId="77777777" w:rsidR="00E137BC" w:rsidRDefault="00E137BC" w:rsidP="00576D5C">
      <w:pPr>
        <w:rPr>
          <w:rFonts w:asciiTheme="minorBidi" w:hAnsiTheme="minorBidi"/>
          <w:rtl/>
        </w:rPr>
      </w:pPr>
      <w:r w:rsidRPr="00576D5C">
        <w:rPr>
          <w:rFonts w:asciiTheme="minorBidi" w:hAnsiTheme="minorBidi"/>
          <w:rtl/>
        </w:rPr>
        <w:t>צריך הדיין לשמוע דברי הבעלי דינים ולשנות אותם</w:t>
      </w:r>
      <w:r w:rsidR="006E1083">
        <w:rPr>
          <w:rStyle w:val="ab"/>
          <w:rFonts w:asciiTheme="minorBidi" w:hAnsiTheme="minorBidi"/>
          <w:rtl/>
        </w:rPr>
        <w:footnoteReference w:id="958"/>
      </w:r>
      <w:r w:rsidRPr="00576D5C">
        <w:rPr>
          <w:rFonts w:asciiTheme="minorBidi" w:hAnsiTheme="minorBidi"/>
          <w:rtl/>
        </w:rPr>
        <w:t xml:space="preserve">, שנאמר: ויאמר המלך זאת אומרת בני החי וגו' </w:t>
      </w:r>
      <w:r w:rsidRPr="006E1083">
        <w:rPr>
          <w:rFonts w:asciiTheme="minorBidi" w:hAnsiTheme="minorBidi"/>
          <w:sz w:val="16"/>
          <w:szCs w:val="16"/>
          <w:rtl/>
        </w:rPr>
        <w:t>(מלכים א ג, כג)</w:t>
      </w:r>
      <w:r w:rsidRPr="00576D5C">
        <w:rPr>
          <w:rFonts w:asciiTheme="minorBidi" w:hAnsiTheme="minorBidi"/>
          <w:rtl/>
        </w:rPr>
        <w:t>, ומצדיק הדין בלבו</w:t>
      </w:r>
      <w:r w:rsidR="006E1083">
        <w:rPr>
          <w:rStyle w:val="ab"/>
          <w:rFonts w:asciiTheme="minorBidi" w:hAnsiTheme="minorBidi"/>
          <w:rtl/>
        </w:rPr>
        <w:footnoteReference w:id="959"/>
      </w:r>
      <w:r w:rsidRPr="00576D5C">
        <w:rPr>
          <w:rFonts w:asciiTheme="minorBidi" w:hAnsiTheme="minorBidi"/>
          <w:rtl/>
        </w:rPr>
        <w:t xml:space="preserve">, ואחר כך חותכו. </w:t>
      </w:r>
    </w:p>
    <w:p w14:paraId="4E9A8E9C" w14:textId="77777777" w:rsidR="004946CD" w:rsidRPr="00576D5C" w:rsidRDefault="004946CD" w:rsidP="00576D5C">
      <w:pPr>
        <w:rPr>
          <w:rFonts w:asciiTheme="minorBidi" w:hAnsiTheme="minorBidi"/>
          <w:rtl/>
        </w:rPr>
      </w:pPr>
    </w:p>
    <w:p w14:paraId="1A5DDB9A" w14:textId="77777777" w:rsidR="00E137BC" w:rsidRDefault="00E137BC" w:rsidP="006567B0">
      <w:pPr>
        <w:pStyle w:val="2"/>
        <w:rPr>
          <w:rtl/>
        </w:rPr>
      </w:pPr>
      <w:bookmarkStart w:id="149" w:name="_Toc24883632"/>
      <w:r w:rsidRPr="00576D5C">
        <w:rPr>
          <w:rtl/>
        </w:rPr>
        <w:t>סעיף ח</w:t>
      </w:r>
      <w:r w:rsidR="004946CD">
        <w:rPr>
          <w:rFonts w:hint="cs"/>
          <w:rtl/>
        </w:rPr>
        <w:t>:</w:t>
      </w:r>
      <w:r w:rsidR="00DF5A0F">
        <w:rPr>
          <w:rFonts w:hint="cs"/>
          <w:rtl/>
        </w:rPr>
        <w:t xml:space="preserve"> דיין שליבו נוקפו, צידוד בדברי הבעל דין, ולימוד טענות לבעל דין.</w:t>
      </w:r>
      <w:bookmarkEnd w:id="149"/>
    </w:p>
    <w:p w14:paraId="1DBE7020" w14:textId="77777777" w:rsidR="00D968F2" w:rsidRPr="00D968F2" w:rsidRDefault="00D968F2" w:rsidP="00D968F2">
      <w:pPr>
        <w:rPr>
          <w:rtl/>
        </w:rPr>
      </w:pPr>
      <w:r w:rsidRPr="00E11433">
        <w:rPr>
          <w:rFonts w:cs="Arial" w:hint="cs"/>
          <w:b/>
          <w:bCs/>
          <w:rtl/>
        </w:rPr>
        <w:t xml:space="preserve">שבועות </w:t>
      </w:r>
      <w:r w:rsidRPr="00E11433">
        <w:rPr>
          <w:rFonts w:cs="Arial" w:hint="cs"/>
          <w:b/>
          <w:bCs/>
          <w:sz w:val="16"/>
          <w:szCs w:val="16"/>
          <w:rtl/>
        </w:rPr>
        <w:t>(</w:t>
      </w:r>
      <w:r>
        <w:rPr>
          <w:rFonts w:cs="Arial" w:hint="cs"/>
          <w:b/>
          <w:bCs/>
          <w:sz w:val="16"/>
          <w:szCs w:val="16"/>
          <w:rtl/>
        </w:rPr>
        <w:t>ר"</w:t>
      </w:r>
      <w:r w:rsidRPr="00E11433">
        <w:rPr>
          <w:rFonts w:cs="Arial" w:hint="cs"/>
          <w:b/>
          <w:bCs/>
          <w:sz w:val="16"/>
          <w:szCs w:val="16"/>
          <w:rtl/>
        </w:rPr>
        <w:t xml:space="preserve">פ שבועת העדות) </w:t>
      </w:r>
      <w:r w:rsidRPr="00E11433">
        <w:rPr>
          <w:rFonts w:cs="Arial" w:hint="cs"/>
          <w:b/>
          <w:bCs/>
          <w:rtl/>
        </w:rPr>
        <w:t>ל</w:t>
      </w:r>
      <w:r w:rsidR="00C62747">
        <w:rPr>
          <w:rStyle w:val="ab"/>
          <w:rFonts w:cs="Arial"/>
          <w:b/>
          <w:bCs/>
          <w:rtl/>
        </w:rPr>
        <w:footnoteReference w:id="960"/>
      </w:r>
      <w:r w:rsidRPr="00E11433">
        <w:rPr>
          <w:rFonts w:cs="Arial" w:hint="cs"/>
          <w:b/>
          <w:bCs/>
          <w:rtl/>
        </w:rPr>
        <w:t xml:space="preserve"> ע"</w:t>
      </w:r>
      <w:r>
        <w:rPr>
          <w:rFonts w:cs="Arial" w:hint="cs"/>
          <w:b/>
          <w:bCs/>
          <w:rtl/>
        </w:rPr>
        <w:t>ב</w:t>
      </w:r>
      <w:r w:rsidRPr="00E11433">
        <w:rPr>
          <w:rFonts w:cs="Arial" w:hint="cs"/>
          <w:b/>
          <w:bCs/>
          <w:rtl/>
        </w:rPr>
        <w:t>:</w:t>
      </w:r>
      <w:r>
        <w:rPr>
          <w:rFonts w:cs="Arial" w:hint="cs"/>
          <w:rtl/>
        </w:rPr>
        <w:t xml:space="preserve"> </w:t>
      </w:r>
      <w:r w:rsidRPr="00D968F2">
        <w:rPr>
          <w:rFonts w:cs="Arial"/>
          <w:rtl/>
        </w:rPr>
        <w:t>ת"ר: מנין לדיין שלא יעשה סניגרון לדבריו? תלמוד לומר: מדבר שקר תרחק.</w:t>
      </w:r>
    </w:p>
    <w:p w14:paraId="2DE0328D" w14:textId="77777777" w:rsidR="00D968F2" w:rsidRPr="006E1083" w:rsidRDefault="00DF5A0F" w:rsidP="00D968F2">
      <w:pPr>
        <w:rPr>
          <w:rFonts w:cs="Arial"/>
          <w:u w:val="single"/>
          <w:rtl/>
        </w:rPr>
      </w:pPr>
      <w:r>
        <w:rPr>
          <w:rFonts w:cs="Arial" w:hint="cs"/>
          <w:u w:val="single"/>
          <w:rtl/>
        </w:rPr>
        <w:t>'</w:t>
      </w:r>
      <w:r w:rsidRPr="00DF5A0F">
        <w:rPr>
          <w:rFonts w:cs="Arial"/>
          <w:u w:val="single"/>
          <w:rtl/>
        </w:rPr>
        <w:t>מנין לדיין שלא יעשה סניגרון לדבריו</w:t>
      </w:r>
      <w:r>
        <w:rPr>
          <w:rFonts w:hint="cs"/>
          <w:u w:val="single"/>
          <w:rtl/>
        </w:rPr>
        <w:t>'</w:t>
      </w:r>
      <w:r w:rsidRPr="00DF5A0F">
        <w:rPr>
          <w:rFonts w:hint="cs"/>
          <w:u w:val="single"/>
          <w:rtl/>
        </w:rPr>
        <w:t xml:space="preserve"> </w:t>
      </w:r>
      <w:r w:rsidRPr="00DF5A0F">
        <w:rPr>
          <w:u w:val="single"/>
          <w:rtl/>
        </w:rPr>
        <w:t>–</w:t>
      </w:r>
      <w:r w:rsidRPr="00DF5A0F">
        <w:rPr>
          <w:rFonts w:hint="cs"/>
          <w:u w:val="single"/>
          <w:rtl/>
        </w:rPr>
        <w:t xml:space="preserve"> במה מדובר</w:t>
      </w:r>
      <w:r w:rsidR="00D968F2" w:rsidRPr="006E1083">
        <w:rPr>
          <w:rFonts w:hint="cs"/>
          <w:u w:val="single"/>
          <w:rtl/>
        </w:rPr>
        <w:t>:</w:t>
      </w:r>
    </w:p>
    <w:p w14:paraId="0D00042C" w14:textId="77777777" w:rsidR="00DF5A0F" w:rsidRDefault="00DF5A0F" w:rsidP="004B0475">
      <w:pPr>
        <w:pStyle w:val="ac"/>
        <w:numPr>
          <w:ilvl w:val="0"/>
          <w:numId w:val="23"/>
        </w:numPr>
        <w:rPr>
          <w:rFonts w:cs="Arial"/>
        </w:rPr>
      </w:pPr>
      <w:r>
        <w:rPr>
          <w:rFonts w:cs="Arial" w:hint="cs"/>
          <w:rtl/>
        </w:rPr>
        <w:t xml:space="preserve">רש"י- </w:t>
      </w:r>
      <w:r>
        <w:rPr>
          <w:rFonts w:cs="Arial"/>
          <w:rtl/>
        </w:rPr>
        <w:t>אם דן דין ולבו נוקפו לומר שהוא טועה</w:t>
      </w:r>
      <w:r>
        <w:rPr>
          <w:rFonts w:cs="Arial" w:hint="cs"/>
          <w:rtl/>
        </w:rPr>
        <w:t xml:space="preserve"> -</w:t>
      </w:r>
      <w:r>
        <w:rPr>
          <w:rFonts w:cs="Arial"/>
          <w:rtl/>
        </w:rPr>
        <w:t xml:space="preserve"> לא יחזיק דבריו להביא ראיות להעמיד</w:t>
      </w:r>
      <w:r>
        <w:rPr>
          <w:rFonts w:cs="Arial" w:hint="cs"/>
          <w:rtl/>
        </w:rPr>
        <w:t>,</w:t>
      </w:r>
      <w:r>
        <w:rPr>
          <w:rFonts w:cs="Arial"/>
          <w:rtl/>
        </w:rPr>
        <w:t xml:space="preserve"> שהוא בוש לחזור</w:t>
      </w:r>
      <w:r>
        <w:rPr>
          <w:rFonts w:cs="Arial" w:hint="cs"/>
          <w:rtl/>
        </w:rPr>
        <w:t>,</w:t>
      </w:r>
      <w:r>
        <w:rPr>
          <w:rFonts w:cs="Arial"/>
          <w:rtl/>
        </w:rPr>
        <w:t xml:space="preserve"> אלא לכל צדדים יחזור להוציא דין לאמתו</w:t>
      </w:r>
      <w:r>
        <w:rPr>
          <w:rFonts w:cs="Arial" w:hint="cs"/>
          <w:rtl/>
        </w:rPr>
        <w:t>.</w:t>
      </w:r>
      <w:r w:rsidRPr="00DF5A0F">
        <w:rPr>
          <w:rFonts w:cs="Arial" w:hint="cs"/>
          <w:color w:val="E36C0A" w:themeColor="accent6" w:themeShade="BF"/>
          <w:rtl/>
        </w:rPr>
        <w:t xml:space="preserve"> </w:t>
      </w:r>
      <w:r w:rsidRPr="00990148">
        <w:rPr>
          <w:rFonts w:cs="Arial" w:hint="cs"/>
          <w:color w:val="E36C0A" w:themeColor="accent6" w:themeShade="BF"/>
          <w:rtl/>
        </w:rPr>
        <w:t>(וכ"פ בשו"ע)</w:t>
      </w:r>
    </w:p>
    <w:p w14:paraId="54ACC142" w14:textId="77777777" w:rsidR="00082A51" w:rsidRPr="00D968F2" w:rsidRDefault="00D968F2" w:rsidP="004B0475">
      <w:pPr>
        <w:pStyle w:val="ac"/>
        <w:numPr>
          <w:ilvl w:val="0"/>
          <w:numId w:val="23"/>
        </w:numPr>
        <w:rPr>
          <w:rFonts w:cs="Arial"/>
          <w:rtl/>
        </w:rPr>
      </w:pPr>
      <w:r w:rsidRPr="00D968F2">
        <w:rPr>
          <w:rFonts w:cs="Arial"/>
          <w:rtl/>
        </w:rPr>
        <w:t>רמב"ם</w:t>
      </w:r>
      <w:r w:rsidRPr="00D968F2">
        <w:rPr>
          <w:rFonts w:cs="Arial" w:hint="cs"/>
          <w:sz w:val="16"/>
          <w:szCs w:val="16"/>
          <w:rtl/>
        </w:rPr>
        <w:t xml:space="preserve"> (פכ"א ה"</w:t>
      </w:r>
      <w:r>
        <w:rPr>
          <w:rFonts w:cs="Arial" w:hint="cs"/>
          <w:sz w:val="16"/>
          <w:szCs w:val="16"/>
          <w:rtl/>
        </w:rPr>
        <w:t>י</w:t>
      </w:r>
      <w:r w:rsidRPr="00D968F2">
        <w:rPr>
          <w:rFonts w:cs="Arial" w:hint="cs"/>
          <w:sz w:val="16"/>
          <w:szCs w:val="16"/>
          <w:rtl/>
        </w:rPr>
        <w:t>)</w:t>
      </w:r>
      <w:r w:rsidRPr="00D968F2">
        <w:rPr>
          <w:rFonts w:cs="Arial" w:hint="cs"/>
          <w:rtl/>
        </w:rPr>
        <w:t xml:space="preserve"> וטור-</w:t>
      </w:r>
      <w:r w:rsidRPr="00D968F2">
        <w:rPr>
          <w:rFonts w:cs="Arial"/>
          <w:rtl/>
        </w:rPr>
        <w:t xml:space="preserve"> </w:t>
      </w:r>
      <w:r w:rsidR="00082A51" w:rsidRPr="00D968F2">
        <w:rPr>
          <w:rFonts w:cs="Arial"/>
          <w:rtl/>
        </w:rPr>
        <w:t>מניין לדיין שלא יעשה מליץ לדבריו של בעל דין שנאמר מדבר שקר תרחק</w:t>
      </w:r>
      <w:r w:rsidR="00C62747">
        <w:rPr>
          <w:rFonts w:cs="Arial" w:hint="cs"/>
          <w:rtl/>
        </w:rPr>
        <w:t>,</w:t>
      </w:r>
      <w:r w:rsidR="00082A51" w:rsidRPr="00D968F2">
        <w:rPr>
          <w:rFonts w:cs="Arial"/>
          <w:rtl/>
        </w:rPr>
        <w:t xml:space="preserve"> אלא יאמר מה שיראה לו וישתוק</w:t>
      </w:r>
      <w:r w:rsidR="008D71B3">
        <w:rPr>
          <w:rFonts w:cs="Arial" w:hint="cs"/>
          <w:sz w:val="16"/>
          <w:szCs w:val="16"/>
          <w:rtl/>
        </w:rPr>
        <w:t xml:space="preserve"> (ל' הרמב"ם)</w:t>
      </w:r>
      <w:r>
        <w:rPr>
          <w:rFonts w:cs="Arial" w:hint="cs"/>
          <w:rtl/>
        </w:rPr>
        <w:t>.</w:t>
      </w:r>
      <w:r w:rsidR="00766080" w:rsidRPr="00766080">
        <w:rPr>
          <w:rFonts w:cs="Arial" w:hint="cs"/>
          <w:color w:val="E36C0A" w:themeColor="accent6" w:themeShade="BF"/>
          <w:rtl/>
        </w:rPr>
        <w:t xml:space="preserve"> </w:t>
      </w:r>
      <w:r w:rsidR="00766080" w:rsidRPr="00990148">
        <w:rPr>
          <w:rFonts w:cs="Arial" w:hint="cs"/>
          <w:color w:val="E36C0A" w:themeColor="accent6" w:themeShade="BF"/>
          <w:rtl/>
        </w:rPr>
        <w:t>(וכ"פ בשו"ע)</w:t>
      </w:r>
    </w:p>
    <w:p w14:paraId="027EE070" w14:textId="77777777" w:rsidR="008D71B3" w:rsidRPr="008D71B3" w:rsidRDefault="008D71B3" w:rsidP="008D71B3">
      <w:pPr>
        <w:rPr>
          <w:rFonts w:cs="Arial"/>
          <w:rtl/>
        </w:rPr>
      </w:pPr>
      <w:r w:rsidRPr="008D71B3">
        <w:rPr>
          <w:rFonts w:cs="Arial" w:hint="cs"/>
          <w:b/>
          <w:bCs/>
          <w:rtl/>
        </w:rPr>
        <w:t xml:space="preserve">ירושלמי </w:t>
      </w:r>
      <w:r w:rsidRPr="008D71B3">
        <w:rPr>
          <w:rFonts w:cs="Arial" w:hint="cs"/>
          <w:b/>
          <w:bCs/>
          <w:sz w:val="16"/>
          <w:szCs w:val="16"/>
          <w:rtl/>
        </w:rPr>
        <w:t xml:space="preserve">(וילנא) </w:t>
      </w:r>
      <w:r w:rsidRPr="008D71B3">
        <w:rPr>
          <w:rFonts w:cs="Arial" w:hint="cs"/>
          <w:b/>
          <w:bCs/>
          <w:rtl/>
        </w:rPr>
        <w:t xml:space="preserve">סנהדרין פ"ג ה"ח: </w:t>
      </w:r>
      <w:r w:rsidRPr="00C62747">
        <w:rPr>
          <w:rFonts w:cs="Arial"/>
          <w:u w:val="single"/>
          <w:rtl/>
        </w:rPr>
        <w:t>רב הונא</w:t>
      </w:r>
      <w:r w:rsidRPr="008D71B3">
        <w:rPr>
          <w:rFonts w:cs="Arial"/>
          <w:rtl/>
        </w:rPr>
        <w:t xml:space="preserve"> מיקל לדיינא דאמר מקבלין עליכון חד סהיד</w:t>
      </w:r>
      <w:r w:rsidRPr="008D71B3">
        <w:rPr>
          <w:rFonts w:cs="Arial" w:hint="cs"/>
          <w:rtl/>
        </w:rPr>
        <w:t>,</w:t>
      </w:r>
      <w:r w:rsidRPr="008D71B3">
        <w:rPr>
          <w:rFonts w:cs="Arial"/>
          <w:rtl/>
        </w:rPr>
        <w:t xml:space="preserve"> אלא יימרון אינון</w:t>
      </w:r>
      <w:r>
        <w:rPr>
          <w:rStyle w:val="ab"/>
          <w:rFonts w:cs="Arial"/>
          <w:rtl/>
        </w:rPr>
        <w:footnoteReference w:id="961"/>
      </w:r>
      <w:r w:rsidRPr="008D71B3">
        <w:rPr>
          <w:rFonts w:cs="Arial"/>
          <w:rtl/>
        </w:rPr>
        <w:t xml:space="preserve">. </w:t>
      </w:r>
      <w:r w:rsidRPr="008D71B3">
        <w:rPr>
          <w:rFonts w:cs="Arial" w:hint="cs"/>
          <w:sz w:val="16"/>
          <w:szCs w:val="16"/>
          <w:rtl/>
        </w:rPr>
        <w:t>(</w:t>
      </w:r>
      <w:r w:rsidRPr="008D71B3">
        <w:rPr>
          <w:rFonts w:cs="Arial"/>
          <w:sz w:val="16"/>
          <w:szCs w:val="16"/>
          <w:rtl/>
        </w:rPr>
        <w:t>והביאו הרי"ף שם (ח:)</w:t>
      </w:r>
      <w:r w:rsidRPr="008D71B3">
        <w:rPr>
          <w:rFonts w:cs="Arial" w:hint="cs"/>
          <w:sz w:val="16"/>
          <w:szCs w:val="16"/>
          <w:rtl/>
        </w:rPr>
        <w:t>)</w:t>
      </w:r>
    </w:p>
    <w:p w14:paraId="5874EBE6" w14:textId="77777777" w:rsidR="008D71B3" w:rsidRDefault="008D71B3" w:rsidP="00D968F2">
      <w:pPr>
        <w:rPr>
          <w:rFonts w:cs="Arial"/>
          <w:rtl/>
        </w:rPr>
      </w:pPr>
      <w:r w:rsidRPr="008D71B3">
        <w:rPr>
          <w:rFonts w:cs="Arial" w:hint="cs"/>
          <w:u w:val="single"/>
          <w:rtl/>
        </w:rPr>
        <w:t xml:space="preserve">לימוד טענות לבעלי </w:t>
      </w:r>
      <w:r w:rsidR="00076867">
        <w:rPr>
          <w:rFonts w:cs="Arial" w:hint="cs"/>
          <w:u w:val="single"/>
          <w:rtl/>
        </w:rPr>
        <w:t>ה</w:t>
      </w:r>
      <w:r w:rsidRPr="008D71B3">
        <w:rPr>
          <w:rFonts w:cs="Arial" w:hint="cs"/>
          <w:u w:val="single"/>
          <w:rtl/>
        </w:rPr>
        <w:t>דין:</w:t>
      </w:r>
    </w:p>
    <w:p w14:paraId="188AADC7" w14:textId="77777777" w:rsidR="008D71B3" w:rsidRDefault="008D71B3" w:rsidP="004B0475">
      <w:pPr>
        <w:pStyle w:val="ac"/>
        <w:numPr>
          <w:ilvl w:val="0"/>
          <w:numId w:val="23"/>
        </w:numPr>
        <w:rPr>
          <w:rFonts w:cs="Arial"/>
        </w:rPr>
      </w:pPr>
      <w:r w:rsidRPr="008D71B3">
        <w:rPr>
          <w:rFonts w:cs="Arial"/>
          <w:rtl/>
        </w:rPr>
        <w:t>רמב"ם</w:t>
      </w:r>
      <w:r w:rsidRPr="008D71B3">
        <w:rPr>
          <w:rFonts w:cs="Arial" w:hint="cs"/>
          <w:sz w:val="16"/>
          <w:szCs w:val="16"/>
          <w:rtl/>
        </w:rPr>
        <w:t xml:space="preserve"> (פכ"א ה"י)</w:t>
      </w:r>
      <w:r w:rsidR="000B5336">
        <w:rPr>
          <w:rFonts w:cs="Arial" w:hint="cs"/>
          <w:rtl/>
        </w:rPr>
        <w:t xml:space="preserve"> וטור</w:t>
      </w:r>
      <w:r w:rsidRPr="008D71B3">
        <w:rPr>
          <w:rFonts w:cs="Arial" w:hint="cs"/>
          <w:rtl/>
        </w:rPr>
        <w:t>-</w:t>
      </w:r>
      <w:r w:rsidRPr="008D71B3">
        <w:rPr>
          <w:rFonts w:cs="Arial"/>
          <w:rtl/>
        </w:rPr>
        <w:t xml:space="preserve"> ולא ילמד אחד מבעלי דינין טענה כלל, אפילו הביא עד אחד לא יאמר לו </w:t>
      </w:r>
      <w:r w:rsidR="00C62747">
        <w:rPr>
          <w:rFonts w:cs="Arial" w:hint="cs"/>
          <w:rtl/>
        </w:rPr>
        <w:t>'</w:t>
      </w:r>
      <w:r w:rsidRPr="008D71B3">
        <w:rPr>
          <w:rFonts w:cs="Arial"/>
          <w:rtl/>
        </w:rPr>
        <w:t>אין מקבלין עד אחד</w:t>
      </w:r>
      <w:r w:rsidR="00C62747">
        <w:rPr>
          <w:rFonts w:cs="Arial" w:hint="cs"/>
          <w:rtl/>
        </w:rPr>
        <w:t>',</w:t>
      </w:r>
      <w:r w:rsidRPr="008D71B3">
        <w:rPr>
          <w:rFonts w:cs="Arial"/>
          <w:rtl/>
        </w:rPr>
        <w:t xml:space="preserve"> אלא יאמר לנטען </w:t>
      </w:r>
      <w:r w:rsidR="00C62747">
        <w:rPr>
          <w:rFonts w:cs="Arial" w:hint="cs"/>
          <w:rtl/>
        </w:rPr>
        <w:t>'</w:t>
      </w:r>
      <w:r w:rsidRPr="008D71B3">
        <w:rPr>
          <w:rFonts w:cs="Arial"/>
          <w:rtl/>
        </w:rPr>
        <w:t>הרי זה העיד עליך</w:t>
      </w:r>
      <w:r w:rsidR="00C62747">
        <w:rPr>
          <w:rFonts w:cs="Arial" w:hint="cs"/>
          <w:rtl/>
        </w:rPr>
        <w:t>',</w:t>
      </w:r>
      <w:r w:rsidRPr="008D71B3">
        <w:rPr>
          <w:rFonts w:cs="Arial"/>
          <w:rtl/>
        </w:rPr>
        <w:t xml:space="preserve"> הלואי שיודה ויאמר אמת העיד</w:t>
      </w:r>
      <w:r w:rsidR="009E53CF">
        <w:rPr>
          <w:rFonts w:cs="Arial" w:hint="cs"/>
          <w:rtl/>
        </w:rPr>
        <w:t>,</w:t>
      </w:r>
      <w:r w:rsidRPr="008D71B3">
        <w:rPr>
          <w:rFonts w:cs="Arial"/>
          <w:rtl/>
        </w:rPr>
        <w:t xml:space="preserve"> עד שיטעון הוא ויאמר </w:t>
      </w:r>
      <w:r w:rsidR="00C62747">
        <w:rPr>
          <w:rFonts w:cs="Arial" w:hint="cs"/>
          <w:rtl/>
        </w:rPr>
        <w:t>'</w:t>
      </w:r>
      <w:r w:rsidRPr="008D71B3">
        <w:rPr>
          <w:rFonts w:cs="Arial"/>
          <w:rtl/>
        </w:rPr>
        <w:t>עד אחד הוא ואינו נאמן עלי</w:t>
      </w:r>
      <w:r w:rsidR="00C62747">
        <w:rPr>
          <w:rFonts w:cs="Arial" w:hint="cs"/>
          <w:rtl/>
        </w:rPr>
        <w:t>',</w:t>
      </w:r>
      <w:r w:rsidRPr="008D71B3">
        <w:rPr>
          <w:rFonts w:cs="Arial"/>
          <w:rtl/>
        </w:rPr>
        <w:t xml:space="preserve"> וכן כל כיוצא בזה</w:t>
      </w:r>
      <w:r>
        <w:rPr>
          <w:rFonts w:cs="Arial" w:hint="cs"/>
          <w:sz w:val="16"/>
          <w:szCs w:val="16"/>
          <w:rtl/>
        </w:rPr>
        <w:t xml:space="preserve"> (ל' הרמב"ם)</w:t>
      </w:r>
      <w:r w:rsidRPr="008D71B3">
        <w:rPr>
          <w:rFonts w:cs="Arial"/>
          <w:rtl/>
        </w:rPr>
        <w:t>.</w:t>
      </w:r>
      <w:r w:rsidRPr="008D71B3">
        <w:rPr>
          <w:rFonts w:cs="Arial" w:hint="cs"/>
          <w:rtl/>
        </w:rPr>
        <w:t xml:space="preserve"> </w:t>
      </w:r>
      <w:r w:rsidR="00766080" w:rsidRPr="00990148">
        <w:rPr>
          <w:rFonts w:cs="Arial" w:hint="cs"/>
          <w:color w:val="E36C0A" w:themeColor="accent6" w:themeShade="BF"/>
          <w:rtl/>
        </w:rPr>
        <w:t>(וכ"פ בשו"ע)</w:t>
      </w:r>
    </w:p>
    <w:p w14:paraId="1B395FE5" w14:textId="77777777" w:rsidR="00076867" w:rsidRDefault="00076867" w:rsidP="004B0475">
      <w:pPr>
        <w:pStyle w:val="ac"/>
        <w:numPr>
          <w:ilvl w:val="0"/>
          <w:numId w:val="23"/>
        </w:numPr>
        <w:rPr>
          <w:rFonts w:cs="Arial"/>
        </w:rPr>
      </w:pPr>
      <w:r>
        <w:rPr>
          <w:rFonts w:cs="Arial" w:hint="cs"/>
          <w:rtl/>
        </w:rPr>
        <w:t xml:space="preserve">(טור </w:t>
      </w:r>
      <w:r>
        <w:rPr>
          <w:rFonts w:cs="Arial" w:hint="cs"/>
          <w:sz w:val="16"/>
          <w:szCs w:val="16"/>
          <w:rtl/>
        </w:rPr>
        <w:t xml:space="preserve">להב' הסמ"ע </w:t>
      </w:r>
      <w:r w:rsidRPr="00076867">
        <w:rPr>
          <w:rFonts w:cs="Arial" w:hint="cs"/>
          <w:sz w:val="14"/>
          <w:szCs w:val="14"/>
          <w:rtl/>
        </w:rPr>
        <w:t>[סקי"ט]</w:t>
      </w:r>
      <w:r>
        <w:rPr>
          <w:rFonts w:cs="Arial" w:hint="cs"/>
          <w:rtl/>
        </w:rPr>
        <w:t>)-</w:t>
      </w:r>
      <w:r w:rsidRPr="00076867">
        <w:rPr>
          <w:rtl/>
        </w:rPr>
        <w:t xml:space="preserve"> </w:t>
      </w:r>
      <w:r w:rsidRPr="00076867">
        <w:rPr>
          <w:rFonts w:cs="Arial"/>
          <w:rtl/>
        </w:rPr>
        <w:t>נראה דחייב הדיין לטעון אפילו לא יטעון הנתבע, כדי להוציא הדין לאמיתו</w:t>
      </w:r>
      <w:r>
        <w:rPr>
          <w:rStyle w:val="ab"/>
          <w:rFonts w:cs="Arial"/>
          <w:rtl/>
        </w:rPr>
        <w:footnoteReference w:id="962"/>
      </w:r>
      <w:r>
        <w:rPr>
          <w:rFonts w:cs="Arial" w:hint="cs"/>
          <w:sz w:val="16"/>
          <w:szCs w:val="16"/>
          <w:rtl/>
        </w:rPr>
        <w:t xml:space="preserve"> (ל' הטור בסי' מב)</w:t>
      </w:r>
      <w:r>
        <w:rPr>
          <w:rFonts w:cs="Arial" w:hint="cs"/>
          <w:rtl/>
        </w:rPr>
        <w:t xml:space="preserve">. </w:t>
      </w:r>
    </w:p>
    <w:p w14:paraId="03209B4D" w14:textId="77777777" w:rsidR="00766080" w:rsidRPr="00766080" w:rsidRDefault="00766080" w:rsidP="00766080">
      <w:pPr>
        <w:rPr>
          <w:rFonts w:cs="Arial"/>
          <w:u w:val="single"/>
        </w:rPr>
      </w:pPr>
      <w:r w:rsidRPr="00766080">
        <w:rPr>
          <w:rFonts w:cs="Arial" w:hint="cs"/>
          <w:u w:val="single"/>
          <w:rtl/>
        </w:rPr>
        <w:t>בעל דין שטען שהשטר אינו עכשיו ברשותו:</w:t>
      </w:r>
    </w:p>
    <w:p w14:paraId="14F29AEA" w14:textId="77777777" w:rsidR="004946CD" w:rsidRPr="008D71B3" w:rsidRDefault="00194389" w:rsidP="004B0475">
      <w:pPr>
        <w:pStyle w:val="ac"/>
        <w:numPr>
          <w:ilvl w:val="0"/>
          <w:numId w:val="23"/>
        </w:numPr>
        <w:rPr>
          <w:rFonts w:cs="Arial"/>
          <w:rtl/>
        </w:rPr>
      </w:pPr>
      <w:r w:rsidRPr="008D71B3">
        <w:rPr>
          <w:rFonts w:cs="Arial"/>
          <w:rtl/>
        </w:rPr>
        <w:t xml:space="preserve">רשב"א </w:t>
      </w:r>
      <w:r w:rsidRPr="008D71B3">
        <w:rPr>
          <w:rFonts w:cs="Arial"/>
          <w:sz w:val="16"/>
          <w:szCs w:val="16"/>
          <w:rtl/>
        </w:rPr>
        <w:t>(ח"ג סי' צח)</w:t>
      </w:r>
      <w:r w:rsidR="008D71B3" w:rsidRPr="008D71B3">
        <w:rPr>
          <w:rFonts w:cs="Arial" w:hint="cs"/>
          <w:rtl/>
        </w:rPr>
        <w:t>-</w:t>
      </w:r>
      <w:r w:rsidRPr="008D71B3">
        <w:rPr>
          <w:rFonts w:cs="Arial"/>
          <w:rtl/>
        </w:rPr>
        <w:t xml:space="preserve"> מה שטען אחד שהשטר אינו עכשיו ברשותו </w:t>
      </w:r>
      <w:r w:rsidR="009E53CF">
        <w:rPr>
          <w:rFonts w:cs="Arial" w:hint="cs"/>
          <w:rtl/>
        </w:rPr>
        <w:t xml:space="preserve">- </w:t>
      </w:r>
      <w:r w:rsidRPr="008D71B3">
        <w:rPr>
          <w:rFonts w:cs="Arial"/>
          <w:rtl/>
        </w:rPr>
        <w:t>כיון שהודה שהיה בידו צריך הוא לברר היכן הוא ומה נעשה באותו שטר</w:t>
      </w:r>
      <w:r w:rsidR="008D71B3" w:rsidRPr="008D71B3">
        <w:rPr>
          <w:rFonts w:cs="Arial" w:hint="cs"/>
          <w:rtl/>
        </w:rPr>
        <w:t>,</w:t>
      </w:r>
      <w:r w:rsidRPr="008D71B3">
        <w:rPr>
          <w:rFonts w:cs="Arial"/>
          <w:rtl/>
        </w:rPr>
        <w:t xml:space="preserve"> ולפי טענתו דנין הדיינים</w:t>
      </w:r>
      <w:r w:rsidR="008D71B3" w:rsidRPr="008D71B3">
        <w:rPr>
          <w:rFonts w:cs="Arial" w:hint="cs"/>
          <w:rtl/>
        </w:rPr>
        <w:t>,</w:t>
      </w:r>
      <w:r w:rsidRPr="008D71B3">
        <w:rPr>
          <w:rFonts w:cs="Arial"/>
          <w:rtl/>
        </w:rPr>
        <w:t xml:space="preserve"> ואיני רוצה לכתוב כאן במה יתחייב ובמה יפטר שמא מתוך מה שאכתוב ילמדו לשקר</w:t>
      </w:r>
      <w:r w:rsidR="008D71B3" w:rsidRPr="008D71B3">
        <w:rPr>
          <w:rFonts w:cs="Arial" w:hint="cs"/>
          <w:rtl/>
        </w:rPr>
        <w:t>.</w:t>
      </w:r>
    </w:p>
    <w:p w14:paraId="3A2DB07E" w14:textId="77777777" w:rsidR="00E137BC" w:rsidRPr="00576D5C" w:rsidRDefault="00E137BC" w:rsidP="00576D5C">
      <w:pPr>
        <w:rPr>
          <w:rFonts w:asciiTheme="minorBidi" w:hAnsiTheme="minorBidi"/>
          <w:b/>
          <w:bCs/>
          <w:color w:val="000000"/>
          <w:sz w:val="28"/>
          <w:szCs w:val="28"/>
          <w:u w:val="single"/>
          <w:rtl/>
        </w:rPr>
      </w:pPr>
      <w:r w:rsidRPr="00576D5C">
        <w:rPr>
          <w:rFonts w:asciiTheme="minorBidi" w:hAnsiTheme="minorBidi"/>
          <w:b/>
          <w:bCs/>
          <w:color w:val="000000"/>
          <w:sz w:val="28"/>
          <w:szCs w:val="28"/>
          <w:u w:val="single"/>
          <w:rtl/>
        </w:rPr>
        <w:t>שו"ע:</w:t>
      </w:r>
    </w:p>
    <w:p w14:paraId="05D8A612" w14:textId="77777777" w:rsidR="00E137BC" w:rsidRDefault="00E137BC" w:rsidP="00576D5C">
      <w:pPr>
        <w:rPr>
          <w:rFonts w:asciiTheme="minorBidi" w:hAnsiTheme="minorBidi"/>
          <w:rtl/>
        </w:rPr>
      </w:pPr>
      <w:r w:rsidRPr="00576D5C">
        <w:rPr>
          <w:rFonts w:asciiTheme="minorBidi" w:hAnsiTheme="minorBidi"/>
          <w:rtl/>
        </w:rPr>
        <w:t>דיין שדן דין ולבו נוקפו</w:t>
      </w:r>
      <w:r w:rsidR="009E53CF">
        <w:rPr>
          <w:rFonts w:asciiTheme="minorBidi" w:hAnsiTheme="minorBidi" w:hint="cs"/>
          <w:rtl/>
        </w:rPr>
        <w:t xml:space="preserve"> </w:t>
      </w:r>
      <w:r w:rsidRPr="00576D5C">
        <w:rPr>
          <w:rFonts w:asciiTheme="minorBidi" w:hAnsiTheme="minorBidi"/>
          <w:rtl/>
        </w:rPr>
        <w:t>לומר שהוא טועה, לא יחזיק דבריו להביא ראיות להעמידם, שהוא בוש לחזור, אלא לכל הצדדים יחזור להוציא הדין לאמתו. לא יעשה הדיין מליץ לדבריו של בעל דין, אלא יאמר מה שנראה לו וישתוק</w:t>
      </w:r>
      <w:r w:rsidR="005D2450">
        <w:rPr>
          <w:rFonts w:asciiTheme="minorBidi" w:hAnsiTheme="minorBidi" w:hint="cs"/>
          <w:rtl/>
        </w:rPr>
        <w:t>.</w:t>
      </w:r>
      <w:r w:rsidRPr="00576D5C">
        <w:rPr>
          <w:rFonts w:asciiTheme="minorBidi" w:hAnsiTheme="minorBidi"/>
          <w:rtl/>
        </w:rPr>
        <w:t xml:space="preserve"> ולא ילמד לאחד מבעלי הדין כלל</w:t>
      </w:r>
      <w:r w:rsidR="00766080">
        <w:rPr>
          <w:rFonts w:asciiTheme="minorBidi" w:hAnsiTheme="minorBidi" w:hint="cs"/>
          <w:rtl/>
        </w:rPr>
        <w:t>,</w:t>
      </w:r>
      <w:r w:rsidRPr="00576D5C">
        <w:rPr>
          <w:rFonts w:asciiTheme="minorBidi" w:hAnsiTheme="minorBidi"/>
          <w:rtl/>
        </w:rPr>
        <w:t xml:space="preserve"> אפילו הביא אחד מבעלי הדין עד אחד, לא יאמר לו: אין מחייבין ממון ע</w:t>
      </w:r>
      <w:r w:rsidR="00766080">
        <w:rPr>
          <w:rFonts w:asciiTheme="minorBidi" w:hAnsiTheme="minorBidi" w:hint="cs"/>
          <w:rtl/>
        </w:rPr>
        <w:t xml:space="preserve">ל </w:t>
      </w:r>
      <w:r w:rsidRPr="00576D5C">
        <w:rPr>
          <w:rFonts w:asciiTheme="minorBidi" w:hAnsiTheme="minorBidi"/>
          <w:rtl/>
        </w:rPr>
        <w:t>פ</w:t>
      </w:r>
      <w:r w:rsidR="00766080">
        <w:rPr>
          <w:rFonts w:asciiTheme="minorBidi" w:hAnsiTheme="minorBidi" w:hint="cs"/>
          <w:rtl/>
        </w:rPr>
        <w:t>י</w:t>
      </w:r>
      <w:r w:rsidRPr="00576D5C">
        <w:rPr>
          <w:rFonts w:asciiTheme="minorBidi" w:hAnsiTheme="minorBidi"/>
          <w:rtl/>
        </w:rPr>
        <w:t xml:space="preserve"> עד אחד, אלא יאמר לנטען: הרי זה העיד עליך</w:t>
      </w:r>
      <w:r w:rsidR="009E53CF">
        <w:rPr>
          <w:rFonts w:asciiTheme="minorBidi" w:hAnsiTheme="minorBidi" w:hint="cs"/>
          <w:rtl/>
        </w:rPr>
        <w:t>.</w:t>
      </w:r>
      <w:r w:rsidRPr="00576D5C">
        <w:rPr>
          <w:rFonts w:asciiTheme="minorBidi" w:hAnsiTheme="minorBidi"/>
          <w:rtl/>
        </w:rPr>
        <w:t xml:space="preserve"> עד שיטעון ויאמר: עד אחד אינו נאמן עלי, וכן כל כיוצא בזה. </w:t>
      </w:r>
    </w:p>
    <w:p w14:paraId="6367C146" w14:textId="77777777" w:rsidR="00DF5A0F" w:rsidRPr="00576D5C" w:rsidRDefault="00DF5A0F" w:rsidP="00576D5C">
      <w:pPr>
        <w:rPr>
          <w:rFonts w:asciiTheme="minorBidi" w:hAnsiTheme="minorBidi"/>
          <w:rtl/>
        </w:rPr>
      </w:pPr>
    </w:p>
    <w:p w14:paraId="1E6E983D" w14:textId="77777777" w:rsidR="00E137BC" w:rsidRDefault="00E137BC" w:rsidP="006567B0">
      <w:pPr>
        <w:pStyle w:val="2"/>
        <w:rPr>
          <w:rtl/>
        </w:rPr>
      </w:pPr>
      <w:bookmarkStart w:id="150" w:name="_Toc24883633"/>
      <w:r w:rsidRPr="00576D5C">
        <w:rPr>
          <w:rtl/>
        </w:rPr>
        <w:t>סעיף ט</w:t>
      </w:r>
      <w:r w:rsidR="004946CD">
        <w:rPr>
          <w:rFonts w:hint="cs"/>
          <w:rtl/>
        </w:rPr>
        <w:t>:</w:t>
      </w:r>
      <w:r w:rsidR="00E57D84">
        <w:rPr>
          <w:rFonts w:hint="cs"/>
          <w:rtl/>
        </w:rPr>
        <w:t xml:space="preserve"> פתיחה בזכות לבעל דין.</w:t>
      </w:r>
      <w:bookmarkEnd w:id="150"/>
    </w:p>
    <w:p w14:paraId="13D30EAA" w14:textId="77777777" w:rsidR="00DF5A0F" w:rsidRDefault="00DF5A0F" w:rsidP="00194389">
      <w:pPr>
        <w:rPr>
          <w:rFonts w:cs="Arial"/>
          <w:rtl/>
        </w:rPr>
      </w:pPr>
      <w:r w:rsidRPr="008D71B3">
        <w:rPr>
          <w:rFonts w:cs="Arial" w:hint="cs"/>
          <w:b/>
          <w:bCs/>
          <w:rtl/>
        </w:rPr>
        <w:t xml:space="preserve">ירושלמי </w:t>
      </w:r>
      <w:r w:rsidRPr="008D71B3">
        <w:rPr>
          <w:rFonts w:cs="Arial" w:hint="cs"/>
          <w:b/>
          <w:bCs/>
          <w:sz w:val="16"/>
          <w:szCs w:val="16"/>
          <w:rtl/>
        </w:rPr>
        <w:t xml:space="preserve">(וילנא) </w:t>
      </w:r>
      <w:r w:rsidRPr="008D71B3">
        <w:rPr>
          <w:rFonts w:cs="Arial" w:hint="cs"/>
          <w:b/>
          <w:bCs/>
          <w:rtl/>
        </w:rPr>
        <w:t xml:space="preserve">סנהדרין פ"ג ה"ח: </w:t>
      </w:r>
      <w:r w:rsidRPr="009E53CF">
        <w:rPr>
          <w:rFonts w:cs="Arial"/>
          <w:u w:val="single"/>
          <w:rtl/>
        </w:rPr>
        <w:t>רב הונא</w:t>
      </w:r>
      <w:r w:rsidRPr="00DF5A0F">
        <w:rPr>
          <w:rFonts w:cs="Arial"/>
          <w:rtl/>
        </w:rPr>
        <w:t xml:space="preserve"> כד הוה ידע זכו לבר נש בדינא</w:t>
      </w:r>
      <w:r w:rsidR="000C4847">
        <w:rPr>
          <w:rFonts w:cs="Arial" w:hint="cs"/>
          <w:rtl/>
        </w:rPr>
        <w:t>,</w:t>
      </w:r>
      <w:r w:rsidRPr="00DF5A0F">
        <w:rPr>
          <w:rFonts w:cs="Arial"/>
          <w:rtl/>
        </w:rPr>
        <w:t xml:space="preserve"> ולא הוה ידע ליה</w:t>
      </w:r>
      <w:r w:rsidR="000C4847">
        <w:rPr>
          <w:rFonts w:cs="Arial" w:hint="cs"/>
          <w:rtl/>
        </w:rPr>
        <w:t xml:space="preserve"> -</w:t>
      </w:r>
      <w:r w:rsidRPr="00DF5A0F">
        <w:rPr>
          <w:rFonts w:cs="Arial"/>
          <w:rtl/>
        </w:rPr>
        <w:t xml:space="preserve"> הוה פתח ליה</w:t>
      </w:r>
      <w:r w:rsidR="000C4847">
        <w:rPr>
          <w:rFonts w:cs="Arial" w:hint="cs"/>
          <w:rtl/>
        </w:rPr>
        <w:t>,</w:t>
      </w:r>
      <w:r w:rsidRPr="00DF5A0F">
        <w:rPr>
          <w:rFonts w:cs="Arial"/>
          <w:rtl/>
        </w:rPr>
        <w:t xml:space="preserve"> על שם פתח פיך לאלם. </w:t>
      </w:r>
      <w:r w:rsidR="00EB1944">
        <w:rPr>
          <w:rFonts w:cs="Arial" w:hint="cs"/>
          <w:sz w:val="16"/>
          <w:szCs w:val="16"/>
          <w:rtl/>
        </w:rPr>
        <w:t>(</w:t>
      </w:r>
      <w:r w:rsidR="00EB1944" w:rsidRPr="00EB1944">
        <w:rPr>
          <w:rFonts w:cs="Arial"/>
          <w:sz w:val="16"/>
          <w:szCs w:val="16"/>
          <w:rtl/>
        </w:rPr>
        <w:t>וכתבוהו הרי"ף (שם) והרא"ש (סי' לב)</w:t>
      </w:r>
      <w:r w:rsidR="00EB1944">
        <w:rPr>
          <w:rFonts w:cs="Arial" w:hint="cs"/>
          <w:sz w:val="16"/>
          <w:szCs w:val="16"/>
          <w:rtl/>
        </w:rPr>
        <w:t>)</w:t>
      </w:r>
    </w:p>
    <w:p w14:paraId="22E65392" w14:textId="77777777" w:rsidR="00E57D84" w:rsidRDefault="00E57D84" w:rsidP="00EB1944">
      <w:pPr>
        <w:rPr>
          <w:rFonts w:cs="Arial"/>
          <w:rtl/>
        </w:rPr>
      </w:pPr>
      <w:r w:rsidRPr="00E57D84">
        <w:rPr>
          <w:rFonts w:cs="Arial" w:hint="cs"/>
          <w:u w:val="single"/>
          <w:rtl/>
        </w:rPr>
        <w:t>פת</w:t>
      </w:r>
      <w:r>
        <w:rPr>
          <w:rFonts w:cs="Arial" w:hint="cs"/>
          <w:u w:val="single"/>
          <w:rtl/>
        </w:rPr>
        <w:t>י</w:t>
      </w:r>
      <w:r w:rsidRPr="00E57D84">
        <w:rPr>
          <w:rFonts w:cs="Arial" w:hint="cs"/>
          <w:u w:val="single"/>
          <w:rtl/>
        </w:rPr>
        <w:t>חה בזכות לבעל דין:</w:t>
      </w:r>
    </w:p>
    <w:p w14:paraId="7920CA46" w14:textId="77777777" w:rsidR="00EB1944" w:rsidRDefault="00EB1944" w:rsidP="004B0475">
      <w:pPr>
        <w:pStyle w:val="ac"/>
        <w:numPr>
          <w:ilvl w:val="0"/>
          <w:numId w:val="23"/>
        </w:numPr>
        <w:rPr>
          <w:rFonts w:cs="Arial"/>
        </w:rPr>
      </w:pPr>
      <w:r w:rsidRPr="00E57D84">
        <w:rPr>
          <w:rFonts w:cs="Arial"/>
          <w:rtl/>
        </w:rPr>
        <w:t>רמב"ם</w:t>
      </w:r>
      <w:r w:rsidRPr="00E57D84">
        <w:rPr>
          <w:rFonts w:cs="Arial" w:hint="cs"/>
          <w:sz w:val="16"/>
          <w:szCs w:val="16"/>
          <w:rtl/>
        </w:rPr>
        <w:t xml:space="preserve"> (פכ"א ה"י)</w:t>
      </w:r>
      <w:r w:rsidRPr="00E57D84">
        <w:rPr>
          <w:rFonts w:cs="Arial" w:hint="cs"/>
          <w:rtl/>
        </w:rPr>
        <w:t>-</w:t>
      </w:r>
      <w:r w:rsidRPr="00E57D84">
        <w:rPr>
          <w:rFonts w:cs="Arial"/>
          <w:rtl/>
        </w:rPr>
        <w:t xml:space="preserve"> ראה הדיין זכות לאחד מהן</w:t>
      </w:r>
      <w:r w:rsidR="009E53CF">
        <w:rPr>
          <w:rFonts w:cs="Arial" w:hint="cs"/>
          <w:rtl/>
        </w:rPr>
        <w:t>,</w:t>
      </w:r>
      <w:r w:rsidRPr="00E57D84">
        <w:rPr>
          <w:rFonts w:cs="Arial"/>
          <w:rtl/>
        </w:rPr>
        <w:t xml:space="preserve"> ובעל דין מבקש לאמרה ואינו יודע לחבר הדברים, או שראהו מצטער להציל עצמו בטענת אמת ומפני החימה והכעס נסתלק ממנו או נשתבש מפני הסכלות</w:t>
      </w:r>
      <w:r w:rsidR="009E53CF">
        <w:rPr>
          <w:rFonts w:cs="Arial" w:hint="cs"/>
          <w:rtl/>
        </w:rPr>
        <w:t xml:space="preserve"> -</w:t>
      </w:r>
      <w:r w:rsidRPr="00E57D84">
        <w:rPr>
          <w:rFonts w:cs="Arial"/>
          <w:rtl/>
        </w:rPr>
        <w:t xml:space="preserve"> הרי זה מותר לסעדו מעט להבינו תחלת הדבר משום פתח פיך לאלם</w:t>
      </w:r>
      <w:r w:rsidR="009E53CF">
        <w:rPr>
          <w:rFonts w:cs="Arial" w:hint="cs"/>
          <w:rtl/>
        </w:rPr>
        <w:t>.</w:t>
      </w:r>
      <w:r w:rsidRPr="00E57D84">
        <w:rPr>
          <w:rFonts w:cs="Arial"/>
          <w:rtl/>
        </w:rPr>
        <w:t xml:space="preserve"> וצריך להתיישב בדבר זה הרבה שלא יהיה כעורכי הדיינין. </w:t>
      </w:r>
      <w:r w:rsidR="00E57D84" w:rsidRPr="00990148">
        <w:rPr>
          <w:rFonts w:cs="Arial" w:hint="cs"/>
          <w:color w:val="E36C0A" w:themeColor="accent6" w:themeShade="BF"/>
          <w:rtl/>
        </w:rPr>
        <w:t>(וכ"פ בשו"ע)</w:t>
      </w:r>
      <w:r w:rsidR="00E57D84">
        <w:rPr>
          <w:rFonts w:cs="Arial" w:hint="cs"/>
          <w:rtl/>
        </w:rPr>
        <w:t xml:space="preserve"> </w:t>
      </w:r>
    </w:p>
    <w:p w14:paraId="79FCCF25" w14:textId="77777777" w:rsidR="00E57D84" w:rsidRDefault="00076867" w:rsidP="004B0475">
      <w:pPr>
        <w:pStyle w:val="ac"/>
        <w:numPr>
          <w:ilvl w:val="0"/>
          <w:numId w:val="23"/>
        </w:numPr>
        <w:rPr>
          <w:rFonts w:cs="Arial"/>
        </w:rPr>
      </w:pPr>
      <w:r>
        <w:rPr>
          <w:rFonts w:cs="Arial" w:hint="cs"/>
          <w:rtl/>
        </w:rPr>
        <w:t>(</w:t>
      </w:r>
      <w:r w:rsidR="00E57D84">
        <w:rPr>
          <w:rFonts w:cs="Arial" w:hint="cs"/>
          <w:rtl/>
        </w:rPr>
        <w:t>טור</w:t>
      </w:r>
      <w:r w:rsidR="00E57D84">
        <w:rPr>
          <w:rFonts w:cs="Arial" w:hint="cs"/>
          <w:sz w:val="16"/>
          <w:szCs w:val="16"/>
          <w:rtl/>
        </w:rPr>
        <w:t xml:space="preserve"> להב' הב"י</w:t>
      </w:r>
      <w:r>
        <w:rPr>
          <w:rFonts w:cs="Arial" w:hint="cs"/>
          <w:rtl/>
        </w:rPr>
        <w:t>)</w:t>
      </w:r>
      <w:r w:rsidR="00E57D84">
        <w:rPr>
          <w:rFonts w:cs="Arial" w:hint="cs"/>
          <w:rtl/>
        </w:rPr>
        <w:t xml:space="preserve">- </w:t>
      </w:r>
      <w:r w:rsidR="00E57D84">
        <w:rPr>
          <w:rStyle w:val="ab"/>
          <w:rFonts w:cs="Arial"/>
          <w:rtl/>
        </w:rPr>
        <w:footnoteReference w:id="963"/>
      </w:r>
      <w:r w:rsidR="00E57D84">
        <w:rPr>
          <w:rFonts w:cs="Arial"/>
          <w:rtl/>
        </w:rPr>
        <w:t xml:space="preserve">כיון דירושלמי סתמא קאמר דכי הוה חזי זכו לבר נש והוא לא ידע ליה פתח ליה </w:t>
      </w:r>
      <w:r w:rsidR="008B6E97">
        <w:rPr>
          <w:rFonts w:cs="Arial" w:hint="cs"/>
          <w:rtl/>
        </w:rPr>
        <w:t xml:space="preserve">- </w:t>
      </w:r>
      <w:r w:rsidR="00E57D84">
        <w:rPr>
          <w:rFonts w:cs="Arial"/>
          <w:rtl/>
        </w:rPr>
        <w:t>משמע בכל גוונא אפילו לא הוה ידע הבעל דין לההוא זכו כלל</w:t>
      </w:r>
      <w:r w:rsidR="00E57D84">
        <w:rPr>
          <w:rStyle w:val="ab"/>
          <w:rFonts w:cs="Arial"/>
          <w:rtl/>
        </w:rPr>
        <w:footnoteReference w:id="964"/>
      </w:r>
      <w:r w:rsidR="00E57D84">
        <w:rPr>
          <w:rFonts w:cs="Arial" w:hint="cs"/>
          <w:sz w:val="16"/>
          <w:szCs w:val="16"/>
          <w:rtl/>
        </w:rPr>
        <w:t xml:space="preserve"> (ל' הב"י)</w:t>
      </w:r>
      <w:r w:rsidR="00E57D84">
        <w:rPr>
          <w:rFonts w:cs="Arial"/>
          <w:rtl/>
        </w:rPr>
        <w:t>.</w:t>
      </w:r>
    </w:p>
    <w:p w14:paraId="72A3B80C" w14:textId="77777777" w:rsidR="00076867" w:rsidRPr="00E57D84" w:rsidRDefault="00076867" w:rsidP="004B0475">
      <w:pPr>
        <w:pStyle w:val="ac"/>
        <w:numPr>
          <w:ilvl w:val="0"/>
          <w:numId w:val="23"/>
        </w:numPr>
        <w:rPr>
          <w:rFonts w:cs="Arial"/>
          <w:rtl/>
        </w:rPr>
      </w:pPr>
      <w:r>
        <w:rPr>
          <w:rFonts w:cs="Arial" w:hint="cs"/>
          <w:rtl/>
        </w:rPr>
        <w:t>(טור</w:t>
      </w:r>
      <w:r>
        <w:rPr>
          <w:rFonts w:cs="Arial" w:hint="cs"/>
          <w:sz w:val="16"/>
          <w:szCs w:val="16"/>
          <w:rtl/>
        </w:rPr>
        <w:t xml:space="preserve"> להב' הב"ח</w:t>
      </w:r>
      <w:r>
        <w:rPr>
          <w:rFonts w:cs="Arial" w:hint="cs"/>
          <w:rtl/>
        </w:rPr>
        <w:t xml:space="preserve">)- </w:t>
      </w:r>
      <w:r w:rsidRPr="00076867">
        <w:rPr>
          <w:rFonts w:cs="Arial"/>
          <w:rtl/>
        </w:rPr>
        <w:t xml:space="preserve">מדקאמר בסתמא כי הוה חזי זכו </w:t>
      </w:r>
      <w:r w:rsidR="008B6E97">
        <w:rPr>
          <w:rFonts w:cs="Arial" w:hint="cs"/>
          <w:rtl/>
        </w:rPr>
        <w:t xml:space="preserve">- </w:t>
      </w:r>
      <w:r w:rsidRPr="00076867">
        <w:rPr>
          <w:rFonts w:cs="Arial"/>
          <w:rtl/>
        </w:rPr>
        <w:t>משמע דמעשים בכל יום הוה</w:t>
      </w:r>
      <w:r w:rsidR="00F87090">
        <w:rPr>
          <w:rFonts w:cs="Arial" w:hint="cs"/>
          <w:rtl/>
        </w:rPr>
        <w:t>,</w:t>
      </w:r>
      <w:r w:rsidRPr="00076867">
        <w:rPr>
          <w:rFonts w:cs="Arial"/>
          <w:rtl/>
        </w:rPr>
        <w:t xml:space="preserve"> ואינו נראה כלל כעורכי הדיינים כיון דאינו אלא פתיחה בעלמא</w:t>
      </w:r>
      <w:r w:rsidR="008B6E97">
        <w:rPr>
          <w:rFonts w:cs="Arial" w:hint="cs"/>
          <w:rtl/>
        </w:rPr>
        <w:t>,</w:t>
      </w:r>
      <w:r w:rsidRPr="00076867">
        <w:rPr>
          <w:rFonts w:cs="Arial"/>
          <w:rtl/>
        </w:rPr>
        <w:t xml:space="preserve"> ואין צורך להתיישבות בדבר זה לחוש לעורכי הדיינים</w:t>
      </w:r>
      <w:r>
        <w:rPr>
          <w:rFonts w:cs="Arial" w:hint="cs"/>
          <w:rtl/>
        </w:rPr>
        <w:t>.</w:t>
      </w:r>
    </w:p>
    <w:p w14:paraId="0DD89D12" w14:textId="77777777" w:rsidR="00E137BC" w:rsidRPr="00576D5C" w:rsidRDefault="00E137BC" w:rsidP="00576D5C">
      <w:pPr>
        <w:rPr>
          <w:rFonts w:asciiTheme="minorBidi" w:hAnsiTheme="minorBidi"/>
          <w:b/>
          <w:bCs/>
          <w:color w:val="000000"/>
          <w:sz w:val="28"/>
          <w:szCs w:val="28"/>
          <w:u w:val="single"/>
          <w:rtl/>
        </w:rPr>
      </w:pPr>
      <w:r w:rsidRPr="00576D5C">
        <w:rPr>
          <w:rFonts w:asciiTheme="minorBidi" w:hAnsiTheme="minorBidi"/>
          <w:b/>
          <w:bCs/>
          <w:color w:val="000000"/>
          <w:sz w:val="28"/>
          <w:szCs w:val="28"/>
          <w:u w:val="single"/>
          <w:rtl/>
        </w:rPr>
        <w:t>שו"ע:</w:t>
      </w:r>
    </w:p>
    <w:p w14:paraId="4A0E86FE" w14:textId="77777777" w:rsidR="00E137BC" w:rsidRDefault="00E137BC" w:rsidP="00576D5C">
      <w:pPr>
        <w:rPr>
          <w:rFonts w:asciiTheme="minorBidi" w:hAnsiTheme="minorBidi"/>
          <w:rtl/>
        </w:rPr>
      </w:pPr>
      <w:r w:rsidRPr="00576D5C">
        <w:rPr>
          <w:rFonts w:asciiTheme="minorBidi" w:hAnsiTheme="minorBidi"/>
          <w:rtl/>
        </w:rPr>
        <w:t xml:space="preserve">ראה הדיין זכות לאחד מהם, ובעל דין מבקש לאמרו ואינו יודע לחבר הדברים, או שראוהו מצטער להציל עצמו בטענות אמת, ומפני החימה והכעס נסתלקה ממנו, או נשתבש מפני הסכלות, הרי זה מותר לסעדו ולהבינו תחלת הדבר, משום פתח פיך לאלם </w:t>
      </w:r>
      <w:r w:rsidRPr="004946CD">
        <w:rPr>
          <w:rFonts w:asciiTheme="minorBidi" w:hAnsiTheme="minorBidi"/>
          <w:sz w:val="16"/>
          <w:szCs w:val="16"/>
          <w:rtl/>
        </w:rPr>
        <w:t>(משלי לא, ח)</w:t>
      </w:r>
      <w:r w:rsidR="00EB1944">
        <w:rPr>
          <w:rFonts w:asciiTheme="minorBidi" w:hAnsiTheme="minorBidi" w:hint="cs"/>
          <w:rtl/>
        </w:rPr>
        <w:t>,</w:t>
      </w:r>
      <w:r w:rsidRPr="00576D5C">
        <w:rPr>
          <w:rFonts w:asciiTheme="minorBidi" w:hAnsiTheme="minorBidi"/>
          <w:rtl/>
        </w:rPr>
        <w:t xml:space="preserve"> וצריך להתיישב בדבר זה הרבה כדי שלא יהיה כעורכי הדיינים. </w:t>
      </w:r>
    </w:p>
    <w:p w14:paraId="2A5D94BE" w14:textId="77777777" w:rsidR="00EB1944" w:rsidRPr="00576D5C" w:rsidRDefault="00EB1944" w:rsidP="00576D5C">
      <w:pPr>
        <w:rPr>
          <w:rFonts w:asciiTheme="minorBidi" w:hAnsiTheme="minorBidi"/>
          <w:rtl/>
        </w:rPr>
      </w:pPr>
    </w:p>
    <w:p w14:paraId="63200806" w14:textId="77777777" w:rsidR="00082A51" w:rsidRPr="00CB69D3" w:rsidRDefault="00E137BC" w:rsidP="00CB69D3">
      <w:pPr>
        <w:pStyle w:val="2"/>
        <w:rPr>
          <w:rtl/>
        </w:rPr>
      </w:pPr>
      <w:bookmarkStart w:id="151" w:name="_Toc24883634"/>
      <w:r w:rsidRPr="00576D5C">
        <w:rPr>
          <w:rtl/>
        </w:rPr>
        <w:t>סעיף י</w:t>
      </w:r>
      <w:r w:rsidR="004946CD">
        <w:rPr>
          <w:rFonts w:hint="cs"/>
          <w:rtl/>
        </w:rPr>
        <w:t>:</w:t>
      </w:r>
      <w:r w:rsidR="00076867">
        <w:rPr>
          <w:rFonts w:hint="cs"/>
          <w:rtl/>
        </w:rPr>
        <w:t xml:space="preserve"> </w:t>
      </w:r>
      <w:r w:rsidR="00811399">
        <w:rPr>
          <w:rFonts w:hint="cs"/>
          <w:rtl/>
        </w:rPr>
        <w:t>שלא לרחם על דל/ להדר פני גדול /לשער שאחד משקר.</w:t>
      </w:r>
      <w:bookmarkEnd w:id="151"/>
    </w:p>
    <w:p w14:paraId="5EE0C790" w14:textId="77777777" w:rsidR="00E137BC" w:rsidRPr="00576D5C" w:rsidRDefault="00E137BC" w:rsidP="00576D5C">
      <w:pPr>
        <w:rPr>
          <w:rFonts w:asciiTheme="minorBidi" w:hAnsiTheme="minorBidi"/>
          <w:b/>
          <w:bCs/>
          <w:color w:val="000000"/>
          <w:sz w:val="28"/>
          <w:szCs w:val="28"/>
          <w:u w:val="single"/>
          <w:rtl/>
        </w:rPr>
      </w:pPr>
      <w:r w:rsidRPr="00576D5C">
        <w:rPr>
          <w:rFonts w:asciiTheme="minorBidi" w:hAnsiTheme="minorBidi"/>
          <w:b/>
          <w:bCs/>
          <w:color w:val="000000"/>
          <w:sz w:val="28"/>
          <w:szCs w:val="28"/>
          <w:u w:val="single"/>
          <w:rtl/>
        </w:rPr>
        <w:t>שו"ע:</w:t>
      </w:r>
    </w:p>
    <w:p w14:paraId="7054C30A" w14:textId="77777777" w:rsidR="00E137BC" w:rsidRPr="00CB69D3" w:rsidRDefault="00E137BC" w:rsidP="00576D5C">
      <w:pPr>
        <w:rPr>
          <w:rFonts w:asciiTheme="minorBidi" w:hAnsiTheme="minorBidi"/>
          <w:sz w:val="16"/>
          <w:szCs w:val="16"/>
          <w:rtl/>
        </w:rPr>
      </w:pPr>
      <w:r w:rsidRPr="00576D5C">
        <w:rPr>
          <w:rFonts w:asciiTheme="minorBidi" w:hAnsiTheme="minorBidi"/>
          <w:rtl/>
        </w:rPr>
        <w:t>אין לדיין לרחם בדין על דל, שלא יאמר: עני הוא זה ובעל דינו עשיר וחייב לפרנסו, אזכנו בדין ונמצא מתפרנס בכבוד. ולא להדר פני גדול, שאם באו לפניו עשיר וחכם גדול עם עני והדיוט לא יכבדנו</w:t>
      </w:r>
      <w:r w:rsidR="00707A90">
        <w:rPr>
          <w:rStyle w:val="ab"/>
          <w:rFonts w:asciiTheme="minorBidi" w:hAnsiTheme="minorBidi"/>
          <w:rtl/>
        </w:rPr>
        <w:footnoteReference w:id="965"/>
      </w:r>
      <w:r w:rsidRPr="00576D5C">
        <w:rPr>
          <w:rFonts w:asciiTheme="minorBidi" w:hAnsiTheme="minorBidi"/>
          <w:rtl/>
        </w:rPr>
        <w:t xml:space="preserve"> ולא ישאל בשלומו, שלא יסתתמו דברי בעל דינו, ולא יאמר: היאך אחייבנו בדין ונמצא מתבייש אלא אפטרנו </w:t>
      </w:r>
      <w:r w:rsidR="000C4847">
        <w:rPr>
          <w:rFonts w:asciiTheme="minorBidi" w:hAnsiTheme="minorBidi" w:hint="cs"/>
          <w:rtl/>
        </w:rPr>
        <w:t>ו</w:t>
      </w:r>
      <w:r w:rsidRPr="00576D5C">
        <w:rPr>
          <w:rFonts w:asciiTheme="minorBidi" w:hAnsiTheme="minorBidi"/>
          <w:rtl/>
        </w:rPr>
        <w:t>אחר כך אומר לו שיתן לו את שלו, אלא יחתוך הדין מיד לאמיתו. ואם באו לפניו אחד כשר ואחד רשע, לא יאמר: זה רשע וחזקתו משקר וזה בחזקת שאינו משנה בדבורו</w:t>
      </w:r>
      <w:r w:rsidR="00707A90">
        <w:rPr>
          <w:rStyle w:val="ab"/>
          <w:rFonts w:asciiTheme="minorBidi" w:hAnsiTheme="minorBidi"/>
          <w:rtl/>
        </w:rPr>
        <w:footnoteReference w:id="966"/>
      </w:r>
      <w:r w:rsidRPr="00576D5C">
        <w:rPr>
          <w:rFonts w:asciiTheme="minorBidi" w:hAnsiTheme="minorBidi"/>
          <w:rtl/>
        </w:rPr>
        <w:t xml:space="preserve"> אטה הדין על הרשע</w:t>
      </w:r>
      <w:r w:rsidR="000C4847">
        <w:rPr>
          <w:rFonts w:asciiTheme="minorBidi" w:hAnsiTheme="minorBidi" w:hint="cs"/>
          <w:rtl/>
        </w:rPr>
        <w:t>.</w:t>
      </w:r>
      <w:r w:rsidRPr="00576D5C">
        <w:rPr>
          <w:rFonts w:asciiTheme="minorBidi" w:hAnsiTheme="minorBidi"/>
          <w:rtl/>
        </w:rPr>
        <w:t xml:space="preserve"> אלא לעולם יהיו שני בעלי הדין בעיניו כרשעים</w:t>
      </w:r>
      <w:r w:rsidR="00707A90">
        <w:rPr>
          <w:rStyle w:val="ab"/>
          <w:rFonts w:asciiTheme="minorBidi" w:hAnsiTheme="minorBidi"/>
          <w:rtl/>
        </w:rPr>
        <w:footnoteReference w:id="967"/>
      </w:r>
      <w:r w:rsidRPr="00576D5C">
        <w:rPr>
          <w:rFonts w:asciiTheme="minorBidi" w:hAnsiTheme="minorBidi"/>
          <w:rtl/>
        </w:rPr>
        <w:t>, ובחזקת שכל אחד מהם טוען שקר</w:t>
      </w:r>
      <w:r w:rsidR="00707A90">
        <w:rPr>
          <w:rStyle w:val="ab"/>
          <w:rFonts w:asciiTheme="minorBidi" w:hAnsiTheme="minorBidi"/>
          <w:rtl/>
        </w:rPr>
        <w:footnoteReference w:id="968"/>
      </w:r>
      <w:r w:rsidRPr="00576D5C">
        <w:rPr>
          <w:rFonts w:asciiTheme="minorBidi" w:hAnsiTheme="minorBidi"/>
          <w:rtl/>
        </w:rPr>
        <w:t>, וידון לפי מה שיראה לו מהדברים</w:t>
      </w:r>
      <w:r w:rsidR="00F87090">
        <w:rPr>
          <w:rFonts w:asciiTheme="minorBidi" w:hAnsiTheme="minorBidi" w:hint="cs"/>
          <w:rtl/>
        </w:rPr>
        <w:t>.</w:t>
      </w:r>
      <w:r w:rsidRPr="00576D5C">
        <w:rPr>
          <w:rFonts w:asciiTheme="minorBidi" w:hAnsiTheme="minorBidi"/>
          <w:rtl/>
        </w:rPr>
        <w:t xml:space="preserve"> וכשיפטרו מלפניו יהיו בעיניו ככשרים, כשקבלו עליהם את הדין</w:t>
      </w:r>
      <w:r w:rsidR="00811399">
        <w:rPr>
          <w:rFonts w:asciiTheme="minorBidi" w:hAnsiTheme="minorBidi" w:hint="cs"/>
          <w:rtl/>
        </w:rPr>
        <w:t>,</w:t>
      </w:r>
      <w:r w:rsidRPr="00576D5C">
        <w:rPr>
          <w:rFonts w:asciiTheme="minorBidi" w:hAnsiTheme="minorBidi"/>
          <w:rtl/>
        </w:rPr>
        <w:t xml:space="preserve"> וידון כל אחד לכף זכות</w:t>
      </w:r>
      <w:r w:rsidR="00707A90">
        <w:rPr>
          <w:rStyle w:val="ab"/>
          <w:rFonts w:asciiTheme="minorBidi" w:hAnsiTheme="minorBidi"/>
          <w:rtl/>
        </w:rPr>
        <w:footnoteReference w:id="969"/>
      </w:r>
      <w:r w:rsidRPr="00576D5C">
        <w:rPr>
          <w:rFonts w:asciiTheme="minorBidi" w:hAnsiTheme="minorBidi"/>
          <w:rtl/>
        </w:rPr>
        <w:t xml:space="preserve">. </w:t>
      </w:r>
      <w:r w:rsidR="00CB69D3">
        <w:rPr>
          <w:rFonts w:asciiTheme="minorBidi" w:hAnsiTheme="minorBidi" w:hint="cs"/>
          <w:sz w:val="16"/>
          <w:szCs w:val="16"/>
          <w:rtl/>
        </w:rPr>
        <w:t xml:space="preserve">{ל' הטור, וכ"כ הרמב"ם </w:t>
      </w:r>
      <w:r w:rsidR="00CB69D3">
        <w:rPr>
          <w:rFonts w:cs="Arial" w:hint="cs"/>
          <w:sz w:val="14"/>
          <w:szCs w:val="14"/>
          <w:rtl/>
        </w:rPr>
        <w:t>[</w:t>
      </w:r>
      <w:r w:rsidR="00CB69D3" w:rsidRPr="00CB69D3">
        <w:rPr>
          <w:rFonts w:cs="Arial" w:hint="cs"/>
          <w:sz w:val="14"/>
          <w:szCs w:val="14"/>
          <w:rtl/>
        </w:rPr>
        <w:t>פ"כ ה"ד-ה, ופכ"ג ה"י]</w:t>
      </w:r>
      <w:r w:rsidR="00CB69D3">
        <w:rPr>
          <w:rFonts w:cs="Arial" w:hint="cs"/>
          <w:sz w:val="16"/>
          <w:szCs w:val="16"/>
          <w:rtl/>
        </w:rPr>
        <w:t>}</w:t>
      </w:r>
    </w:p>
    <w:p w14:paraId="7ECB4DC4" w14:textId="77777777" w:rsidR="004946CD" w:rsidRPr="00576D5C" w:rsidRDefault="004946CD" w:rsidP="00576D5C">
      <w:pPr>
        <w:rPr>
          <w:rFonts w:asciiTheme="minorBidi" w:hAnsiTheme="minorBidi"/>
          <w:rtl/>
        </w:rPr>
      </w:pPr>
    </w:p>
    <w:p w14:paraId="58735136" w14:textId="77777777" w:rsidR="00E137BC" w:rsidRDefault="00E137BC" w:rsidP="006567B0">
      <w:pPr>
        <w:pStyle w:val="2"/>
        <w:rPr>
          <w:rtl/>
        </w:rPr>
      </w:pPr>
      <w:bookmarkStart w:id="152" w:name="_Toc24883635"/>
      <w:r w:rsidRPr="00576D5C">
        <w:rPr>
          <w:rtl/>
        </w:rPr>
        <w:t>סעיף יא</w:t>
      </w:r>
      <w:r w:rsidR="004946CD">
        <w:rPr>
          <w:rFonts w:hint="cs"/>
          <w:rtl/>
        </w:rPr>
        <w:t>:</w:t>
      </w:r>
      <w:r w:rsidR="00811399">
        <w:rPr>
          <w:rFonts w:hint="cs"/>
          <w:rtl/>
        </w:rPr>
        <w:t xml:space="preserve"> לפסוק הדין מיד כשמתברר.</w:t>
      </w:r>
      <w:bookmarkEnd w:id="152"/>
    </w:p>
    <w:p w14:paraId="5AFF6BF1" w14:textId="77777777" w:rsidR="00E137BC" w:rsidRPr="00576D5C" w:rsidRDefault="00E137BC" w:rsidP="00576D5C">
      <w:pPr>
        <w:rPr>
          <w:rFonts w:asciiTheme="minorBidi" w:hAnsiTheme="minorBidi"/>
          <w:b/>
          <w:bCs/>
          <w:color w:val="000000"/>
          <w:sz w:val="28"/>
          <w:szCs w:val="28"/>
          <w:u w:val="single"/>
          <w:rtl/>
        </w:rPr>
      </w:pPr>
      <w:r w:rsidRPr="00576D5C">
        <w:rPr>
          <w:rFonts w:asciiTheme="minorBidi" w:hAnsiTheme="minorBidi"/>
          <w:b/>
          <w:bCs/>
          <w:color w:val="000000"/>
          <w:sz w:val="28"/>
          <w:szCs w:val="28"/>
          <w:u w:val="single"/>
          <w:rtl/>
        </w:rPr>
        <w:t>שו"ע:</w:t>
      </w:r>
    </w:p>
    <w:p w14:paraId="13DCE8E6" w14:textId="77777777" w:rsidR="00E137BC" w:rsidRDefault="00E137BC" w:rsidP="00576D5C">
      <w:pPr>
        <w:rPr>
          <w:rFonts w:asciiTheme="minorBidi" w:hAnsiTheme="minorBidi"/>
          <w:rtl/>
        </w:rPr>
      </w:pPr>
      <w:r w:rsidRPr="00576D5C">
        <w:rPr>
          <w:rFonts w:asciiTheme="minorBidi" w:hAnsiTheme="minorBidi"/>
          <w:rtl/>
        </w:rPr>
        <w:lastRenderedPageBreak/>
        <w:t xml:space="preserve">צריך הדיין לפסוק הדין מיד אחר שיתברר לו. שאם מענה את הדין ומאריך בדברים הברורים כדי לצער אחד מהבעלי הדינים, הרי זה בכלל לא תעשו עול </w:t>
      </w:r>
      <w:r w:rsidRPr="004946CD">
        <w:rPr>
          <w:rFonts w:asciiTheme="minorBidi" w:hAnsiTheme="minorBidi"/>
          <w:sz w:val="16"/>
          <w:szCs w:val="16"/>
          <w:rtl/>
        </w:rPr>
        <w:t>(ויקרא יט, טו ו - לה)</w:t>
      </w:r>
      <w:r w:rsidRPr="00576D5C">
        <w:rPr>
          <w:rFonts w:asciiTheme="minorBidi" w:hAnsiTheme="minorBidi"/>
          <w:rtl/>
        </w:rPr>
        <w:t xml:space="preserve">. </w:t>
      </w:r>
      <w:r w:rsidR="00811399">
        <w:rPr>
          <w:rFonts w:asciiTheme="minorBidi" w:hAnsiTheme="minorBidi" w:hint="cs"/>
          <w:sz w:val="16"/>
          <w:szCs w:val="16"/>
          <w:rtl/>
        </w:rPr>
        <w:t xml:space="preserve">{ל' הטור, וכ"כ הרמב"ם </w:t>
      </w:r>
      <w:r w:rsidR="00811399">
        <w:rPr>
          <w:rFonts w:cs="Arial" w:hint="cs"/>
          <w:sz w:val="14"/>
          <w:szCs w:val="14"/>
          <w:rtl/>
        </w:rPr>
        <w:t>[</w:t>
      </w:r>
      <w:r w:rsidR="00811399" w:rsidRPr="00CB69D3">
        <w:rPr>
          <w:rFonts w:cs="Arial" w:hint="cs"/>
          <w:sz w:val="14"/>
          <w:szCs w:val="14"/>
          <w:rtl/>
        </w:rPr>
        <w:t>פ"כ ה"</w:t>
      </w:r>
      <w:r w:rsidR="00811399">
        <w:rPr>
          <w:rFonts w:cs="Arial" w:hint="cs"/>
          <w:sz w:val="14"/>
          <w:szCs w:val="14"/>
          <w:rtl/>
        </w:rPr>
        <w:t>ו</w:t>
      </w:r>
      <w:r w:rsidR="00811399" w:rsidRPr="00CB69D3">
        <w:rPr>
          <w:rFonts w:cs="Arial" w:hint="cs"/>
          <w:sz w:val="14"/>
          <w:szCs w:val="14"/>
          <w:rtl/>
        </w:rPr>
        <w:t>]</w:t>
      </w:r>
      <w:r w:rsidR="00811399">
        <w:rPr>
          <w:rFonts w:cs="Arial" w:hint="cs"/>
          <w:sz w:val="16"/>
          <w:szCs w:val="16"/>
          <w:rtl/>
        </w:rPr>
        <w:t>}</w:t>
      </w:r>
    </w:p>
    <w:p w14:paraId="1CDF8C0F" w14:textId="77777777" w:rsidR="004946CD" w:rsidRPr="00576D5C" w:rsidRDefault="004946CD" w:rsidP="00576D5C">
      <w:pPr>
        <w:rPr>
          <w:rFonts w:asciiTheme="minorBidi" w:hAnsiTheme="minorBidi"/>
          <w:rtl/>
        </w:rPr>
      </w:pPr>
    </w:p>
    <w:p w14:paraId="470CE062" w14:textId="77777777" w:rsidR="00E137BC" w:rsidRDefault="00E137BC" w:rsidP="006567B0">
      <w:pPr>
        <w:pStyle w:val="2"/>
        <w:rPr>
          <w:rtl/>
        </w:rPr>
      </w:pPr>
      <w:bookmarkStart w:id="153" w:name="_Toc24883636"/>
      <w:r w:rsidRPr="00576D5C">
        <w:rPr>
          <w:rtl/>
        </w:rPr>
        <w:t>סעיף יב</w:t>
      </w:r>
      <w:r w:rsidR="004946CD">
        <w:rPr>
          <w:rFonts w:hint="cs"/>
          <w:rtl/>
        </w:rPr>
        <w:t>:</w:t>
      </w:r>
      <w:r w:rsidR="00811399">
        <w:rPr>
          <w:rFonts w:hint="cs"/>
          <w:rtl/>
        </w:rPr>
        <w:t xml:space="preserve"> העמדת האמת על תילה כשאחד מהבע"ד משקר לבע"ד השני.</w:t>
      </w:r>
      <w:bookmarkEnd w:id="153"/>
    </w:p>
    <w:p w14:paraId="5408EDA3" w14:textId="77777777" w:rsidR="00CB69D3" w:rsidRPr="00CB69D3" w:rsidRDefault="00CB69D3" w:rsidP="00CB69D3">
      <w:pPr>
        <w:rPr>
          <w:rFonts w:cs="Arial"/>
          <w:rtl/>
        </w:rPr>
      </w:pPr>
      <w:r w:rsidRPr="00C1361E">
        <w:rPr>
          <w:rFonts w:cs="Arial" w:hint="cs"/>
          <w:b/>
          <w:bCs/>
          <w:rtl/>
        </w:rPr>
        <w:t>כתובות</w:t>
      </w:r>
      <w:r w:rsidRPr="00C1361E">
        <w:rPr>
          <w:rFonts w:cs="Arial"/>
          <w:b/>
          <w:bCs/>
          <w:rtl/>
        </w:rPr>
        <w:t xml:space="preserve"> </w:t>
      </w:r>
      <w:r w:rsidRPr="00C1361E">
        <w:rPr>
          <w:rFonts w:cs="Arial" w:hint="cs"/>
          <w:b/>
          <w:bCs/>
          <w:sz w:val="16"/>
          <w:szCs w:val="16"/>
          <w:rtl/>
        </w:rPr>
        <w:t>(</w:t>
      </w:r>
      <w:r w:rsidRPr="00C1361E">
        <w:rPr>
          <w:rFonts w:cs="Arial"/>
          <w:b/>
          <w:bCs/>
          <w:sz w:val="16"/>
          <w:szCs w:val="16"/>
          <w:rtl/>
        </w:rPr>
        <w:t>ס</w:t>
      </w:r>
      <w:r w:rsidRPr="00C1361E">
        <w:rPr>
          <w:rFonts w:cs="Arial" w:hint="cs"/>
          <w:b/>
          <w:bCs/>
          <w:sz w:val="16"/>
          <w:szCs w:val="16"/>
          <w:rtl/>
        </w:rPr>
        <w:t>"פ</w:t>
      </w:r>
      <w:r w:rsidRPr="00C1361E">
        <w:rPr>
          <w:rFonts w:cs="Arial"/>
          <w:b/>
          <w:bCs/>
          <w:sz w:val="16"/>
          <w:szCs w:val="16"/>
          <w:rtl/>
        </w:rPr>
        <w:t xml:space="preserve"> מציאת האשה</w:t>
      </w:r>
      <w:r w:rsidRPr="00C1361E">
        <w:rPr>
          <w:rFonts w:cs="Arial" w:hint="cs"/>
          <w:b/>
          <w:bCs/>
          <w:sz w:val="16"/>
          <w:szCs w:val="16"/>
          <w:rtl/>
        </w:rPr>
        <w:t>)</w:t>
      </w:r>
      <w:r w:rsidRPr="00C1361E">
        <w:rPr>
          <w:rFonts w:cs="Arial"/>
          <w:b/>
          <w:bCs/>
          <w:rtl/>
        </w:rPr>
        <w:t xml:space="preserve"> סט</w:t>
      </w:r>
      <w:r w:rsidR="00C41060">
        <w:rPr>
          <w:rStyle w:val="ab"/>
          <w:rFonts w:cs="Arial"/>
          <w:b/>
          <w:bCs/>
          <w:rtl/>
        </w:rPr>
        <w:footnoteReference w:id="970"/>
      </w:r>
      <w:r w:rsidRPr="00C1361E">
        <w:rPr>
          <w:rFonts w:cs="Arial" w:hint="cs"/>
          <w:b/>
          <w:bCs/>
          <w:rtl/>
        </w:rPr>
        <w:t xml:space="preserve"> ע"א:</w:t>
      </w:r>
      <w:r w:rsidRPr="00194389">
        <w:rPr>
          <w:rFonts w:cs="Arial"/>
          <w:rtl/>
        </w:rPr>
        <w:t xml:space="preserve"> </w:t>
      </w:r>
      <w:r w:rsidRPr="00A5191F">
        <w:rPr>
          <w:rFonts w:cs="Arial"/>
          <w:u w:val="single"/>
          <w:rtl/>
        </w:rPr>
        <w:t>אמר אמימר</w:t>
      </w:r>
      <w:r w:rsidRPr="00C1361E">
        <w:rPr>
          <w:rFonts w:cs="Arial"/>
          <w:rtl/>
        </w:rPr>
        <w:t>: בת - יורשת הויא</w:t>
      </w:r>
      <w:r>
        <w:rPr>
          <w:rStyle w:val="ab"/>
          <w:rFonts w:cs="Arial"/>
          <w:rtl/>
        </w:rPr>
        <w:footnoteReference w:id="971"/>
      </w:r>
      <w:r w:rsidRPr="00C1361E">
        <w:rPr>
          <w:rFonts w:cs="Arial"/>
          <w:rtl/>
        </w:rPr>
        <w:t xml:space="preserve">. </w:t>
      </w:r>
      <w:r w:rsidRPr="00A5191F">
        <w:rPr>
          <w:rFonts w:cs="Arial"/>
          <w:u w:val="single"/>
          <w:rtl/>
        </w:rPr>
        <w:t>אמר ליה רב אשי לאמימר</w:t>
      </w:r>
      <w:r w:rsidRPr="00C1361E">
        <w:rPr>
          <w:rFonts w:cs="Arial"/>
          <w:rtl/>
        </w:rPr>
        <w:t xml:space="preserve">: אילו בעי לסלוקה בזוזי, הכי נמי דלא מצי לסלוקה? </w:t>
      </w:r>
      <w:r w:rsidRPr="00A5191F">
        <w:rPr>
          <w:rFonts w:cs="Arial"/>
          <w:u w:val="single"/>
          <w:rtl/>
        </w:rPr>
        <w:t>אמר ליה</w:t>
      </w:r>
      <w:r w:rsidRPr="00C1361E">
        <w:rPr>
          <w:rFonts w:cs="Arial"/>
          <w:rtl/>
        </w:rPr>
        <w:t>: אין</w:t>
      </w:r>
      <w:r>
        <w:rPr>
          <w:rStyle w:val="ab"/>
          <w:rFonts w:cs="Arial"/>
          <w:rtl/>
        </w:rPr>
        <w:footnoteReference w:id="972"/>
      </w:r>
      <w:r w:rsidRPr="00C1361E">
        <w:rPr>
          <w:rFonts w:cs="Arial"/>
          <w:rtl/>
        </w:rPr>
        <w:t xml:space="preserve">. אי בעי לסלוקה בחדא ארעא, הכי נמי דלא מצי מסלק לה? </w:t>
      </w:r>
      <w:r w:rsidRPr="00A5191F">
        <w:rPr>
          <w:rFonts w:cs="Arial"/>
          <w:u w:val="single"/>
          <w:rtl/>
        </w:rPr>
        <w:t>אמר ליה</w:t>
      </w:r>
      <w:r w:rsidRPr="00C1361E">
        <w:rPr>
          <w:rFonts w:cs="Arial"/>
          <w:rtl/>
        </w:rPr>
        <w:t xml:space="preserve">: אין. </w:t>
      </w:r>
      <w:r w:rsidRPr="00A5191F">
        <w:rPr>
          <w:rFonts w:cs="Arial"/>
          <w:u w:val="single"/>
          <w:rtl/>
        </w:rPr>
        <w:t>רב אשי אמר</w:t>
      </w:r>
      <w:r w:rsidRPr="00C1361E">
        <w:rPr>
          <w:rFonts w:cs="Arial"/>
          <w:rtl/>
        </w:rPr>
        <w:t>: בת - בעלת חוב הויא</w:t>
      </w:r>
      <w:r>
        <w:rPr>
          <w:rStyle w:val="ab"/>
          <w:rFonts w:cs="Arial"/>
          <w:rtl/>
        </w:rPr>
        <w:footnoteReference w:id="973"/>
      </w:r>
      <w:r w:rsidRPr="00C1361E">
        <w:rPr>
          <w:rFonts w:cs="Arial"/>
          <w:rtl/>
        </w:rPr>
        <w:t>. ואף אמימר הדר ביה, דאמר רב מניומי בריה דרב ניחומי</w:t>
      </w:r>
      <w:r>
        <w:rPr>
          <w:rStyle w:val="ab"/>
          <w:rFonts w:cs="Arial"/>
          <w:rtl/>
        </w:rPr>
        <w:footnoteReference w:id="974"/>
      </w:r>
      <w:r w:rsidRPr="00C1361E">
        <w:rPr>
          <w:rFonts w:cs="Arial"/>
          <w:rtl/>
        </w:rPr>
        <w:t>: הוה קאימנא קמיה דאמימר, ואתאי האי איתתא לקמיה דהות קא בעיא עישור נכסים, וחזיתיה לדעתיה דאי בעי לסלוקה בזוזי הוי מסלק לה, דשמעי מאחי דהוו קאמרי לה: אילו הוה לן זוזי סליקנא בזוזי, ואישתיק ולא אמר להו ולא מידי</w:t>
      </w:r>
      <w:r w:rsidRPr="00194389">
        <w:rPr>
          <w:rFonts w:cs="Arial"/>
          <w:rtl/>
        </w:rPr>
        <w:t>.</w:t>
      </w:r>
      <w:r>
        <w:rPr>
          <w:rFonts w:cs="Arial" w:hint="cs"/>
          <w:rtl/>
        </w:rPr>
        <w:t xml:space="preserve"> </w:t>
      </w:r>
      <w:r w:rsidRPr="00C1361E">
        <w:rPr>
          <w:rFonts w:cs="Arial" w:hint="cs"/>
          <w:sz w:val="16"/>
          <w:szCs w:val="16"/>
          <w:rtl/>
        </w:rPr>
        <w:t>(</w:t>
      </w:r>
      <w:r w:rsidRPr="00C1361E">
        <w:rPr>
          <w:rFonts w:cs="Arial"/>
          <w:sz w:val="16"/>
          <w:szCs w:val="16"/>
          <w:rtl/>
        </w:rPr>
        <w:t>וכתבו התוס</w:t>
      </w:r>
      <w:r w:rsidRPr="00C1361E">
        <w:rPr>
          <w:rFonts w:cs="Arial" w:hint="cs"/>
          <w:sz w:val="16"/>
          <w:szCs w:val="16"/>
          <w:rtl/>
        </w:rPr>
        <w:t>'</w:t>
      </w:r>
      <w:r w:rsidRPr="00C1361E">
        <w:rPr>
          <w:rFonts w:cs="Arial"/>
          <w:sz w:val="16"/>
          <w:szCs w:val="16"/>
          <w:rtl/>
        </w:rPr>
        <w:t xml:space="preserve"> </w:t>
      </w:r>
      <w:r w:rsidRPr="00A5191F">
        <w:rPr>
          <w:rFonts w:cs="Arial"/>
          <w:sz w:val="14"/>
          <w:szCs w:val="14"/>
          <w:rtl/>
        </w:rPr>
        <w:t xml:space="preserve">(ד"ה ואישתיק) </w:t>
      </w:r>
      <w:r w:rsidRPr="00C1361E">
        <w:rPr>
          <w:rFonts w:cs="Arial"/>
          <w:sz w:val="16"/>
          <w:szCs w:val="16"/>
          <w:rtl/>
        </w:rPr>
        <w:t>על זה</w:t>
      </w:r>
      <w:r>
        <w:rPr>
          <w:rFonts w:cs="Arial" w:hint="cs"/>
          <w:sz w:val="16"/>
          <w:szCs w:val="16"/>
          <w:rtl/>
        </w:rPr>
        <w:t>-</w:t>
      </w:r>
      <w:r w:rsidRPr="00C1361E">
        <w:rPr>
          <w:rFonts w:cs="Arial"/>
          <w:sz w:val="16"/>
          <w:szCs w:val="16"/>
          <w:rtl/>
        </w:rPr>
        <w:t xml:space="preserve"> מכאן רגיל ר</w:t>
      </w:r>
      <w:r>
        <w:rPr>
          <w:rFonts w:cs="Arial" w:hint="cs"/>
          <w:sz w:val="16"/>
          <w:szCs w:val="16"/>
          <w:rtl/>
        </w:rPr>
        <w:t>"</w:t>
      </w:r>
      <w:r w:rsidRPr="00C1361E">
        <w:rPr>
          <w:rFonts w:cs="Arial"/>
          <w:sz w:val="16"/>
          <w:szCs w:val="16"/>
          <w:rtl/>
        </w:rPr>
        <w:t xml:space="preserve">ת כשהיה יושב בדין ואחד מבעלי דינין מגזים לחבירו ואומר </w:t>
      </w:r>
      <w:r>
        <w:rPr>
          <w:rFonts w:cs="Arial" w:hint="cs"/>
          <w:sz w:val="16"/>
          <w:szCs w:val="16"/>
          <w:rtl/>
        </w:rPr>
        <w:t>'</w:t>
      </w:r>
      <w:r w:rsidRPr="00C1361E">
        <w:rPr>
          <w:rFonts w:cs="Arial"/>
          <w:sz w:val="16"/>
          <w:szCs w:val="16"/>
          <w:rtl/>
        </w:rPr>
        <w:t>כך וכך תתחייב לי בדין</w:t>
      </w:r>
      <w:r>
        <w:rPr>
          <w:rFonts w:cs="Arial" w:hint="cs"/>
          <w:sz w:val="16"/>
          <w:szCs w:val="16"/>
          <w:rtl/>
        </w:rPr>
        <w:t>'</w:t>
      </w:r>
      <w:r w:rsidRPr="00C1361E">
        <w:rPr>
          <w:rFonts w:cs="Arial"/>
          <w:sz w:val="16"/>
          <w:szCs w:val="16"/>
          <w:rtl/>
        </w:rPr>
        <w:t xml:space="preserve"> רגיל היה ר</w:t>
      </w:r>
      <w:r>
        <w:rPr>
          <w:rFonts w:cs="Arial" w:hint="cs"/>
          <w:sz w:val="16"/>
          <w:szCs w:val="16"/>
          <w:rtl/>
        </w:rPr>
        <w:t>"</w:t>
      </w:r>
      <w:r w:rsidRPr="00C1361E">
        <w:rPr>
          <w:rFonts w:cs="Arial"/>
          <w:sz w:val="16"/>
          <w:szCs w:val="16"/>
          <w:rtl/>
        </w:rPr>
        <w:t xml:space="preserve">ת לומר </w:t>
      </w:r>
      <w:r>
        <w:rPr>
          <w:rFonts w:cs="Arial" w:hint="cs"/>
          <w:sz w:val="16"/>
          <w:szCs w:val="16"/>
          <w:rtl/>
        </w:rPr>
        <w:t>'</w:t>
      </w:r>
      <w:r w:rsidRPr="00C1361E">
        <w:rPr>
          <w:rFonts w:cs="Arial"/>
          <w:sz w:val="16"/>
          <w:szCs w:val="16"/>
          <w:rtl/>
        </w:rPr>
        <w:t>שקר אתה דובר כי לא יתחייב</w:t>
      </w:r>
      <w:r>
        <w:rPr>
          <w:rFonts w:cs="Arial" w:hint="cs"/>
          <w:sz w:val="16"/>
          <w:szCs w:val="16"/>
          <w:rtl/>
        </w:rPr>
        <w:t>',</w:t>
      </w:r>
      <w:r w:rsidRPr="00C1361E">
        <w:rPr>
          <w:rFonts w:cs="Arial"/>
          <w:sz w:val="16"/>
          <w:szCs w:val="16"/>
          <w:rtl/>
        </w:rPr>
        <w:t xml:space="preserve"> שאם אין לו לדיין לומר כן מה היה מוכיח רב מניומי מדאשתיק אמימר</w:t>
      </w:r>
      <w:r>
        <w:rPr>
          <w:rFonts w:cs="Arial" w:hint="cs"/>
          <w:sz w:val="16"/>
          <w:szCs w:val="16"/>
          <w:rtl/>
        </w:rPr>
        <w:t>, עכ"ל. הביא</w:t>
      </w:r>
      <w:r w:rsidR="00C41060">
        <w:rPr>
          <w:rFonts w:cs="Arial" w:hint="cs"/>
          <w:sz w:val="16"/>
          <w:szCs w:val="16"/>
          <w:rtl/>
        </w:rPr>
        <w:t>ו</w:t>
      </w:r>
      <w:r>
        <w:rPr>
          <w:rFonts w:cs="Arial" w:hint="cs"/>
          <w:sz w:val="16"/>
          <w:szCs w:val="16"/>
          <w:rtl/>
        </w:rPr>
        <w:t xml:space="preserve"> הב"י. וכ' הדרכ"מ </w:t>
      </w:r>
      <w:r w:rsidRPr="00A5191F">
        <w:rPr>
          <w:rFonts w:cs="Arial" w:hint="cs"/>
          <w:sz w:val="14"/>
          <w:szCs w:val="14"/>
          <w:rtl/>
        </w:rPr>
        <w:t xml:space="preserve">(אות ו) </w:t>
      </w:r>
      <w:r>
        <w:rPr>
          <w:rFonts w:cs="Arial" w:hint="cs"/>
          <w:sz w:val="16"/>
          <w:szCs w:val="16"/>
          <w:rtl/>
        </w:rPr>
        <w:t xml:space="preserve">דכ"ה </w:t>
      </w:r>
      <w:r w:rsidRPr="00A5191F">
        <w:rPr>
          <w:rFonts w:cs="Arial"/>
          <w:sz w:val="16"/>
          <w:szCs w:val="16"/>
          <w:rtl/>
        </w:rPr>
        <w:t xml:space="preserve">במרדכי </w:t>
      </w:r>
      <w:r w:rsidRPr="00A5191F">
        <w:rPr>
          <w:rFonts w:cs="Arial"/>
          <w:sz w:val="14"/>
          <w:szCs w:val="14"/>
          <w:rtl/>
        </w:rPr>
        <w:t>(</w:t>
      </w:r>
      <w:r w:rsidR="00C41060">
        <w:rPr>
          <w:rFonts w:cs="Arial" w:hint="cs"/>
          <w:sz w:val="14"/>
          <w:szCs w:val="14"/>
          <w:rtl/>
        </w:rPr>
        <w:t xml:space="preserve">שם </w:t>
      </w:r>
      <w:r w:rsidRPr="00A5191F">
        <w:rPr>
          <w:rFonts w:cs="Arial"/>
          <w:sz w:val="14"/>
          <w:szCs w:val="14"/>
          <w:rtl/>
        </w:rPr>
        <w:t>סי' קצא)</w:t>
      </w:r>
      <w:r>
        <w:rPr>
          <w:rFonts w:cs="Arial" w:hint="cs"/>
          <w:sz w:val="16"/>
          <w:szCs w:val="16"/>
          <w:rtl/>
        </w:rPr>
        <w:t>)</w:t>
      </w:r>
    </w:p>
    <w:p w14:paraId="75915E7A" w14:textId="77777777" w:rsidR="004946CD" w:rsidRPr="00707A90" w:rsidRDefault="00CB69D3" w:rsidP="00707A90">
      <w:pPr>
        <w:rPr>
          <w:rFonts w:cs="Arial"/>
          <w:rtl/>
        </w:rPr>
      </w:pPr>
      <w:r w:rsidRPr="00811399">
        <w:rPr>
          <w:rFonts w:cs="Arial"/>
          <w:b/>
          <w:bCs/>
          <w:rtl/>
        </w:rPr>
        <w:t xml:space="preserve">בבא בתרא </w:t>
      </w:r>
      <w:r w:rsidRPr="00811399">
        <w:rPr>
          <w:rFonts w:cs="Arial"/>
          <w:b/>
          <w:bCs/>
          <w:sz w:val="16"/>
          <w:szCs w:val="16"/>
          <w:rtl/>
        </w:rPr>
        <w:t>(</w:t>
      </w:r>
      <w:r w:rsidR="00811399" w:rsidRPr="00811399">
        <w:rPr>
          <w:rFonts w:cs="Arial" w:hint="cs"/>
          <w:b/>
          <w:bCs/>
          <w:sz w:val="16"/>
          <w:szCs w:val="16"/>
          <w:rtl/>
        </w:rPr>
        <w:t xml:space="preserve">פ"ק) </w:t>
      </w:r>
      <w:r w:rsidR="00707A90">
        <w:rPr>
          <w:rFonts w:cs="Arial" w:hint="cs"/>
          <w:b/>
          <w:bCs/>
          <w:rtl/>
        </w:rPr>
        <w:t>ד</w:t>
      </w:r>
      <w:r w:rsidR="00E854D7">
        <w:rPr>
          <w:rStyle w:val="ab"/>
          <w:rFonts w:cs="Arial"/>
          <w:b/>
          <w:bCs/>
          <w:rtl/>
        </w:rPr>
        <w:footnoteReference w:id="975"/>
      </w:r>
      <w:r w:rsidR="00811399" w:rsidRPr="00811399">
        <w:rPr>
          <w:rFonts w:cs="Arial" w:hint="cs"/>
          <w:b/>
          <w:bCs/>
          <w:rtl/>
        </w:rPr>
        <w:t xml:space="preserve"> ע"</w:t>
      </w:r>
      <w:r w:rsidR="00707A90">
        <w:rPr>
          <w:rFonts w:cs="Arial" w:hint="cs"/>
          <w:b/>
          <w:bCs/>
          <w:rtl/>
        </w:rPr>
        <w:t>ב</w:t>
      </w:r>
      <w:r w:rsidR="00811399" w:rsidRPr="00811399">
        <w:rPr>
          <w:rFonts w:cs="Arial" w:hint="cs"/>
          <w:b/>
          <w:bCs/>
          <w:rtl/>
        </w:rPr>
        <w:t>:</w:t>
      </w:r>
      <w:r>
        <w:rPr>
          <w:rFonts w:cs="Arial"/>
          <w:rtl/>
        </w:rPr>
        <w:t xml:space="preserve"> </w:t>
      </w:r>
      <w:r w:rsidR="00811399" w:rsidRPr="00707A90">
        <w:rPr>
          <w:rFonts w:cs="Arial"/>
          <w:u w:val="double"/>
          <w:rtl/>
        </w:rPr>
        <w:t>מתני'</w:t>
      </w:r>
      <w:r w:rsidR="00707A90">
        <w:rPr>
          <w:rFonts w:cs="Arial" w:hint="cs"/>
          <w:rtl/>
        </w:rPr>
        <w:t>:</w:t>
      </w:r>
      <w:r w:rsidR="00811399" w:rsidRPr="00811399">
        <w:rPr>
          <w:rFonts w:cs="Arial"/>
          <w:rtl/>
        </w:rPr>
        <w:t xml:space="preserve"> המקיף את חבירו משלש רוחותיו, וגדר את הראשונה ואת השניה ואת השלישית - אין מחייבין אותו; </w:t>
      </w:r>
      <w:r w:rsidR="00811399" w:rsidRPr="005478FD">
        <w:rPr>
          <w:rFonts w:cs="Arial"/>
          <w:u w:val="single"/>
          <w:rtl/>
        </w:rPr>
        <w:t>רבי יוסי אומר</w:t>
      </w:r>
      <w:r w:rsidR="00811399" w:rsidRPr="00811399">
        <w:rPr>
          <w:rFonts w:cs="Arial"/>
          <w:rtl/>
        </w:rPr>
        <w:t>: אם עמד וגדר את הרביעית - מגלגלין עליו את הכל</w:t>
      </w:r>
      <w:r w:rsidR="00811399">
        <w:rPr>
          <w:rStyle w:val="ab"/>
          <w:rFonts w:cs="Arial"/>
          <w:rtl/>
        </w:rPr>
        <w:footnoteReference w:id="976"/>
      </w:r>
      <w:r w:rsidR="00811399" w:rsidRPr="00811399">
        <w:rPr>
          <w:rFonts w:cs="Arial"/>
          <w:rtl/>
        </w:rPr>
        <w:t xml:space="preserve">. </w:t>
      </w:r>
      <w:r w:rsidR="00707A90">
        <w:rPr>
          <w:rFonts w:cs="Arial" w:hint="cs"/>
          <w:rtl/>
        </w:rPr>
        <w:t xml:space="preserve">  </w:t>
      </w:r>
      <w:r w:rsidR="00707A90" w:rsidRPr="00707A90">
        <w:rPr>
          <w:rFonts w:cs="Arial" w:hint="cs"/>
          <w:u w:val="double"/>
          <w:rtl/>
        </w:rPr>
        <w:t>גמ':</w:t>
      </w:r>
      <w:r w:rsidR="00707A90">
        <w:rPr>
          <w:rFonts w:cs="Arial" w:hint="cs"/>
          <w:rtl/>
        </w:rPr>
        <w:t xml:space="preserve"> </w:t>
      </w:r>
      <w:r w:rsidR="00811399" w:rsidRPr="00811399">
        <w:rPr>
          <w:rFonts w:cs="Arial"/>
          <w:rtl/>
        </w:rPr>
        <w:t xml:space="preserve">איתמר, </w:t>
      </w:r>
      <w:r w:rsidR="00811399" w:rsidRPr="00707A90">
        <w:rPr>
          <w:rFonts w:cs="Arial"/>
          <w:u w:val="single"/>
          <w:rtl/>
        </w:rPr>
        <w:t>רב הונא אמר</w:t>
      </w:r>
      <w:r w:rsidR="00811399" w:rsidRPr="00811399">
        <w:rPr>
          <w:rFonts w:cs="Arial"/>
          <w:rtl/>
        </w:rPr>
        <w:t>: הכל - לפי מה שגדר</w:t>
      </w:r>
      <w:r w:rsidR="00707A90">
        <w:rPr>
          <w:rStyle w:val="ab"/>
          <w:rFonts w:cs="Arial"/>
          <w:rtl/>
        </w:rPr>
        <w:footnoteReference w:id="977"/>
      </w:r>
      <w:r w:rsidR="00707A90">
        <w:rPr>
          <w:rFonts w:cs="Arial" w:hint="cs"/>
          <w:rtl/>
        </w:rPr>
        <w:t xml:space="preserve">... </w:t>
      </w:r>
      <w:r w:rsidR="00707A90">
        <w:rPr>
          <w:rFonts w:cs="Arial" w:hint="cs"/>
          <w:sz w:val="16"/>
          <w:szCs w:val="16"/>
          <w:rtl/>
        </w:rPr>
        <w:t xml:space="preserve">(ה.) </w:t>
      </w:r>
      <w:r w:rsidR="00811399" w:rsidRPr="00811399">
        <w:rPr>
          <w:rFonts w:cs="Arial"/>
          <w:rtl/>
        </w:rPr>
        <w:t>רוניא, אקפיה רבינא</w:t>
      </w:r>
      <w:r w:rsidR="00707A90">
        <w:rPr>
          <w:rStyle w:val="ab"/>
          <w:rFonts w:cs="Arial"/>
          <w:rtl/>
        </w:rPr>
        <w:footnoteReference w:id="978"/>
      </w:r>
      <w:r w:rsidR="00811399" w:rsidRPr="00811399">
        <w:rPr>
          <w:rFonts w:cs="Arial"/>
          <w:rtl/>
        </w:rPr>
        <w:t xml:space="preserve"> מארבע רוחותיו. א"ל: הב לי כמה דגדרי</w:t>
      </w:r>
      <w:r w:rsidR="00707A90">
        <w:rPr>
          <w:rStyle w:val="ab"/>
          <w:rFonts w:cs="Arial"/>
          <w:rtl/>
        </w:rPr>
        <w:footnoteReference w:id="979"/>
      </w:r>
      <w:r w:rsidR="00811399" w:rsidRPr="00811399">
        <w:rPr>
          <w:rFonts w:cs="Arial"/>
          <w:rtl/>
        </w:rPr>
        <w:t>, לא יהיב ליה. הב לי לפי קנים בזול, לא יהיב ליה. הב לי אגר נטירותא, לא יהיב ליה. יומא חד הוה קא גדר</w:t>
      </w:r>
      <w:r w:rsidR="00707A90">
        <w:rPr>
          <w:rStyle w:val="ab"/>
          <w:rFonts w:cs="Arial"/>
          <w:rtl/>
        </w:rPr>
        <w:footnoteReference w:id="980"/>
      </w:r>
      <w:r w:rsidR="00811399" w:rsidRPr="00811399">
        <w:rPr>
          <w:rFonts w:cs="Arial"/>
          <w:rtl/>
        </w:rPr>
        <w:t xml:space="preserve"> דיקלי, אמר ליה לאריסיה: זיל שקול מניה קיבורא דאהיני</w:t>
      </w:r>
      <w:r w:rsidR="00707A90">
        <w:rPr>
          <w:rStyle w:val="ab"/>
          <w:rFonts w:cs="Arial"/>
          <w:rtl/>
        </w:rPr>
        <w:footnoteReference w:id="981"/>
      </w:r>
      <w:r w:rsidR="00811399" w:rsidRPr="00811399">
        <w:rPr>
          <w:rFonts w:cs="Arial"/>
          <w:rtl/>
        </w:rPr>
        <w:t>. אזל לאתויי, רמא ביה קלא</w:t>
      </w:r>
      <w:r w:rsidR="00707A90">
        <w:rPr>
          <w:rStyle w:val="ab"/>
          <w:rFonts w:cs="Arial"/>
          <w:rtl/>
        </w:rPr>
        <w:footnoteReference w:id="982"/>
      </w:r>
      <w:r w:rsidR="00811399" w:rsidRPr="00811399">
        <w:rPr>
          <w:rFonts w:cs="Arial"/>
          <w:rtl/>
        </w:rPr>
        <w:t>, א"ל</w:t>
      </w:r>
      <w:r w:rsidR="00707A90">
        <w:rPr>
          <w:rStyle w:val="ab"/>
          <w:rFonts w:cs="Arial"/>
          <w:rtl/>
        </w:rPr>
        <w:footnoteReference w:id="983"/>
      </w:r>
      <w:r w:rsidR="00811399" w:rsidRPr="00811399">
        <w:rPr>
          <w:rFonts w:cs="Arial"/>
          <w:rtl/>
        </w:rPr>
        <w:t>: גלית דעתך דמינח ניחא לך, לא יהא אלא עיזא בעלמא, מי לא בעי נטירותא</w:t>
      </w:r>
      <w:r w:rsidR="00707A90">
        <w:rPr>
          <w:rStyle w:val="ab"/>
          <w:rFonts w:cs="Arial"/>
          <w:rtl/>
        </w:rPr>
        <w:footnoteReference w:id="984"/>
      </w:r>
      <w:r w:rsidR="00811399" w:rsidRPr="00811399">
        <w:rPr>
          <w:rFonts w:cs="Arial"/>
          <w:rtl/>
        </w:rPr>
        <w:t>? א"ל: עיזא בעלמא לאו לאכלויי בעיא. א"ל: ולא גברא בעית דמיכלי לה</w:t>
      </w:r>
      <w:r w:rsidR="00707A90">
        <w:rPr>
          <w:rStyle w:val="ab"/>
          <w:rFonts w:cs="Arial"/>
          <w:rtl/>
        </w:rPr>
        <w:footnoteReference w:id="985"/>
      </w:r>
      <w:r w:rsidR="00811399" w:rsidRPr="00811399">
        <w:rPr>
          <w:rFonts w:cs="Arial"/>
          <w:rtl/>
        </w:rPr>
        <w:t>? אתא לקמיה דרבא, א"ל: זיל פייסיה במאי דאיפייס</w:t>
      </w:r>
      <w:r w:rsidR="00707A90">
        <w:rPr>
          <w:rStyle w:val="ab"/>
          <w:rFonts w:cs="Arial"/>
          <w:rtl/>
        </w:rPr>
        <w:footnoteReference w:id="986"/>
      </w:r>
      <w:r w:rsidR="00811399" w:rsidRPr="00811399">
        <w:rPr>
          <w:rFonts w:cs="Arial"/>
          <w:rtl/>
        </w:rPr>
        <w:t xml:space="preserve">, ואי לא, דאיננא לך דינא כר"ה אליבא דרבי יוסי. </w:t>
      </w:r>
      <w:r w:rsidR="00811399" w:rsidRPr="00811399">
        <w:rPr>
          <w:rFonts w:cs="Arial" w:hint="cs"/>
          <w:sz w:val="16"/>
          <w:szCs w:val="16"/>
          <w:rtl/>
        </w:rPr>
        <w:t xml:space="preserve">(וכתב הדרכ"מ (אות ו)- </w:t>
      </w:r>
      <w:r w:rsidRPr="00811399">
        <w:rPr>
          <w:rFonts w:cs="Arial"/>
          <w:sz w:val="16"/>
          <w:szCs w:val="16"/>
          <w:rtl/>
        </w:rPr>
        <w:t>נראה ללמוד מזו דאם בעל דין תבע חבירו בדבר מועט וראה הדיין שחייב לו יותר על פי הדין שאין צריך לפסוק לו רק כפי מה שתבעו</w:t>
      </w:r>
      <w:r w:rsidR="002601B0">
        <w:rPr>
          <w:rFonts w:cs="Arial" w:hint="cs"/>
          <w:sz w:val="16"/>
          <w:szCs w:val="16"/>
          <w:rtl/>
        </w:rPr>
        <w:t>.</w:t>
      </w:r>
      <w:r w:rsidRPr="00811399">
        <w:rPr>
          <w:rFonts w:cs="Arial"/>
          <w:sz w:val="16"/>
          <w:szCs w:val="16"/>
          <w:rtl/>
        </w:rPr>
        <w:t xml:space="preserve"> ואם פסק לו יותר ממה שתבעו </w:t>
      </w:r>
      <w:r w:rsidR="002601B0">
        <w:rPr>
          <w:rFonts w:cs="Arial" w:hint="cs"/>
          <w:sz w:val="16"/>
          <w:szCs w:val="16"/>
          <w:rtl/>
        </w:rPr>
        <w:t xml:space="preserve">- </w:t>
      </w:r>
      <w:r w:rsidRPr="00811399">
        <w:rPr>
          <w:rFonts w:cs="Arial"/>
          <w:sz w:val="16"/>
          <w:szCs w:val="16"/>
          <w:rtl/>
        </w:rPr>
        <w:t>הוה טעות בדין והדין חוזר</w:t>
      </w:r>
      <w:r w:rsidR="00811399" w:rsidRPr="00811399">
        <w:rPr>
          <w:rFonts w:cs="Arial" w:hint="cs"/>
          <w:sz w:val="16"/>
          <w:szCs w:val="16"/>
          <w:rtl/>
        </w:rPr>
        <w:t>,</w:t>
      </w:r>
      <w:r w:rsidRPr="00811399">
        <w:rPr>
          <w:rFonts w:cs="Arial"/>
          <w:sz w:val="16"/>
          <w:szCs w:val="16"/>
          <w:rtl/>
        </w:rPr>
        <w:t xml:space="preserve"> כ"כ ריב"ש בתשובותיו </w:t>
      </w:r>
      <w:r w:rsidR="005478FD">
        <w:rPr>
          <w:rFonts w:cs="Arial" w:hint="cs"/>
          <w:sz w:val="16"/>
          <w:szCs w:val="16"/>
          <w:rtl/>
        </w:rPr>
        <w:t>(</w:t>
      </w:r>
      <w:r w:rsidRPr="00811399">
        <w:rPr>
          <w:rFonts w:cs="Arial"/>
          <w:sz w:val="16"/>
          <w:szCs w:val="16"/>
          <w:rtl/>
        </w:rPr>
        <w:t>סי</w:t>
      </w:r>
      <w:r w:rsidR="00811399" w:rsidRPr="00811399">
        <w:rPr>
          <w:rFonts w:cs="Arial" w:hint="cs"/>
          <w:sz w:val="16"/>
          <w:szCs w:val="16"/>
          <w:rtl/>
        </w:rPr>
        <w:t>'</w:t>
      </w:r>
      <w:r w:rsidRPr="00811399">
        <w:rPr>
          <w:rFonts w:cs="Arial"/>
          <w:sz w:val="16"/>
          <w:szCs w:val="16"/>
          <w:rtl/>
        </w:rPr>
        <w:t xml:space="preserve"> רכז</w:t>
      </w:r>
      <w:r w:rsidR="005478FD">
        <w:rPr>
          <w:rFonts w:cs="Arial" w:hint="cs"/>
          <w:sz w:val="16"/>
          <w:szCs w:val="16"/>
          <w:rtl/>
        </w:rPr>
        <w:t>),</w:t>
      </w:r>
      <w:r w:rsidRPr="00811399">
        <w:rPr>
          <w:rFonts w:cs="Arial"/>
          <w:sz w:val="16"/>
          <w:szCs w:val="16"/>
          <w:rtl/>
        </w:rPr>
        <w:t xml:space="preserve"> וכתבתי לקמן סימן כ"ה (אות ד)</w:t>
      </w:r>
      <w:r w:rsidR="00811399" w:rsidRPr="00811399">
        <w:rPr>
          <w:rFonts w:cs="Arial" w:hint="cs"/>
          <w:sz w:val="16"/>
          <w:szCs w:val="16"/>
          <w:rtl/>
        </w:rPr>
        <w:t>)</w:t>
      </w:r>
    </w:p>
    <w:p w14:paraId="64E26D79" w14:textId="77777777" w:rsidR="00E137BC" w:rsidRPr="00576D5C" w:rsidRDefault="00E137BC" w:rsidP="00576D5C">
      <w:pPr>
        <w:rPr>
          <w:rFonts w:asciiTheme="minorBidi" w:hAnsiTheme="minorBidi"/>
          <w:b/>
          <w:bCs/>
          <w:color w:val="000000"/>
          <w:sz w:val="28"/>
          <w:szCs w:val="28"/>
          <w:u w:val="single"/>
          <w:rtl/>
        </w:rPr>
      </w:pPr>
      <w:r w:rsidRPr="00576D5C">
        <w:rPr>
          <w:rFonts w:asciiTheme="minorBidi" w:hAnsiTheme="minorBidi"/>
          <w:b/>
          <w:bCs/>
          <w:color w:val="000000"/>
          <w:sz w:val="28"/>
          <w:szCs w:val="28"/>
          <w:u w:val="single"/>
          <w:rtl/>
        </w:rPr>
        <w:t>שו"ע:</w:t>
      </w:r>
    </w:p>
    <w:p w14:paraId="5D8E9E3C" w14:textId="77777777" w:rsidR="004049EA" w:rsidRPr="00E30320" w:rsidRDefault="00E137BC" w:rsidP="00E30320">
      <w:pPr>
        <w:rPr>
          <w:rFonts w:asciiTheme="minorBidi" w:hAnsiTheme="minorBidi"/>
          <w:rtl/>
        </w:rPr>
      </w:pPr>
      <w:r w:rsidRPr="00576D5C">
        <w:rPr>
          <w:rFonts w:asciiTheme="minorBidi" w:hAnsiTheme="minorBidi"/>
          <w:rtl/>
        </w:rPr>
        <w:t>כשאחד מבעלי דינים מגזם לחבירו בפני הדיין ואומר לו: כך וכך תתחייב לי בדין, אם אין הדין כך צריך הדיין לומר לו: שקר אתה דובר</w:t>
      </w:r>
      <w:r w:rsidR="00707A90">
        <w:rPr>
          <w:rStyle w:val="ab"/>
          <w:rFonts w:asciiTheme="minorBidi" w:hAnsiTheme="minorBidi"/>
          <w:rtl/>
        </w:rPr>
        <w:footnoteReference w:id="987"/>
      </w:r>
      <w:r w:rsidRPr="00576D5C">
        <w:rPr>
          <w:rFonts w:asciiTheme="minorBidi" w:hAnsiTheme="minorBidi"/>
          <w:rtl/>
        </w:rPr>
        <w:t xml:space="preserve">. </w:t>
      </w:r>
      <w:r w:rsidRPr="004946CD">
        <w:rPr>
          <w:rFonts w:asciiTheme="minorBidi" w:hAnsiTheme="minorBidi"/>
          <w:sz w:val="18"/>
          <w:szCs w:val="18"/>
          <w:rtl/>
        </w:rPr>
        <w:t>הגה: בעל דין שתבע חבירו בעד דבר מועט, והדיין רואה שיתחייב לו על פי הדין יותר ממה שתבע, אין לו לדיין לפסוק יותר ממה שתבע</w:t>
      </w:r>
      <w:r w:rsidR="00C45D95">
        <w:rPr>
          <w:rStyle w:val="ab"/>
          <w:rFonts w:asciiTheme="minorBidi" w:hAnsiTheme="minorBidi"/>
          <w:sz w:val="18"/>
          <w:szCs w:val="18"/>
          <w:rtl/>
        </w:rPr>
        <w:footnoteReference w:id="988"/>
      </w:r>
      <w:r w:rsidR="00811399">
        <w:rPr>
          <w:rFonts w:asciiTheme="minorBidi" w:hAnsiTheme="minorBidi" w:hint="cs"/>
          <w:sz w:val="18"/>
          <w:szCs w:val="18"/>
          <w:rtl/>
        </w:rPr>
        <w:t>,</w:t>
      </w:r>
      <w:r w:rsidRPr="004946CD">
        <w:rPr>
          <w:rFonts w:asciiTheme="minorBidi" w:hAnsiTheme="minorBidi"/>
          <w:sz w:val="18"/>
          <w:szCs w:val="18"/>
          <w:rtl/>
        </w:rPr>
        <w:t xml:space="preserve"> ואם פסק לו יותר הוי טעות בדין וחוזר</w:t>
      </w:r>
      <w:r w:rsidR="00C45D95">
        <w:rPr>
          <w:rStyle w:val="ab"/>
          <w:rFonts w:asciiTheme="minorBidi" w:hAnsiTheme="minorBidi"/>
          <w:sz w:val="18"/>
          <w:szCs w:val="18"/>
          <w:rtl/>
        </w:rPr>
        <w:footnoteReference w:id="989"/>
      </w:r>
      <w:r w:rsidRPr="004946CD">
        <w:rPr>
          <w:rFonts w:asciiTheme="minorBidi" w:hAnsiTheme="minorBidi"/>
          <w:sz w:val="18"/>
          <w:szCs w:val="18"/>
          <w:rtl/>
        </w:rPr>
        <w:t xml:space="preserve"> (ד</w:t>
      </w:r>
      <w:r w:rsidR="00811399">
        <w:rPr>
          <w:rFonts w:asciiTheme="minorBidi" w:hAnsiTheme="minorBidi" w:hint="cs"/>
          <w:sz w:val="18"/>
          <w:szCs w:val="18"/>
          <w:rtl/>
        </w:rPr>
        <w:t>"</w:t>
      </w:r>
      <w:r w:rsidRPr="004946CD">
        <w:rPr>
          <w:rFonts w:asciiTheme="minorBidi" w:hAnsiTheme="minorBidi"/>
          <w:sz w:val="18"/>
          <w:szCs w:val="18"/>
          <w:rtl/>
        </w:rPr>
        <w:t>ע מפ"ק דב"ב, וכ"כ הריב"ש בסימן רכ"ז).</w:t>
      </w:r>
    </w:p>
    <w:p w14:paraId="4359577C" w14:textId="77777777" w:rsidR="008F03C3" w:rsidRPr="008F03C3" w:rsidRDefault="008F03C3" w:rsidP="008F03C3">
      <w:pPr>
        <w:rPr>
          <w:rtl/>
        </w:rPr>
        <w:sectPr w:rsidR="008F03C3" w:rsidRPr="008F03C3" w:rsidSect="00AF3AF9">
          <w:headerReference w:type="default" r:id="rId27"/>
          <w:footnotePr>
            <w:numRestart w:val="eachPage"/>
          </w:footnotePr>
          <w:pgSz w:w="11906" w:h="16838"/>
          <w:pgMar w:top="720" w:right="1134" w:bottom="720" w:left="1134" w:header="0" w:footer="0" w:gutter="0"/>
          <w:cols w:space="720"/>
          <w:bidi/>
          <w:rtlGutter/>
          <w:docGrid w:linePitch="360"/>
        </w:sectPr>
      </w:pPr>
    </w:p>
    <w:p w14:paraId="557E1B45" w14:textId="77777777" w:rsidR="00E137BC" w:rsidRPr="00576D5C" w:rsidRDefault="00E137BC" w:rsidP="006567B0">
      <w:pPr>
        <w:pStyle w:val="1"/>
        <w:rPr>
          <w:rtl/>
        </w:rPr>
      </w:pPr>
      <w:bookmarkStart w:id="154" w:name="_Toc24883637"/>
      <w:r w:rsidRPr="00576D5C">
        <w:rPr>
          <w:rtl/>
        </w:rPr>
        <w:lastRenderedPageBreak/>
        <w:t>סימן יח: כיצד נושאין ונותנין בדבר, ושהולכים אחר הרוב, ובו ו' סעיפים.</w:t>
      </w:r>
      <w:bookmarkEnd w:id="154"/>
      <w:r w:rsidRPr="00576D5C">
        <w:rPr>
          <w:rtl/>
        </w:rPr>
        <w:t xml:space="preserve"> </w:t>
      </w:r>
    </w:p>
    <w:p w14:paraId="61E8FD22" w14:textId="77777777" w:rsidR="00E137BC" w:rsidRDefault="00E137BC" w:rsidP="006567B0">
      <w:pPr>
        <w:pStyle w:val="2"/>
        <w:rPr>
          <w:rtl/>
        </w:rPr>
      </w:pPr>
      <w:bookmarkStart w:id="155" w:name="_Toc24883638"/>
      <w:r w:rsidRPr="00576D5C">
        <w:rPr>
          <w:rtl/>
        </w:rPr>
        <w:t>סעיף א</w:t>
      </w:r>
      <w:r w:rsidR="00C45D95">
        <w:rPr>
          <w:rFonts w:hint="cs"/>
          <w:rtl/>
        </w:rPr>
        <w:t>:</w:t>
      </w:r>
      <w:r w:rsidR="00E20A71">
        <w:rPr>
          <w:rFonts w:hint="cs"/>
          <w:rtl/>
        </w:rPr>
        <w:t xml:space="preserve"> סדר תהליך הדין.</w:t>
      </w:r>
      <w:bookmarkEnd w:id="155"/>
    </w:p>
    <w:p w14:paraId="4243DDBD" w14:textId="77777777" w:rsidR="00AC4A6F" w:rsidRPr="00535811" w:rsidRDefault="00535811" w:rsidP="00535811">
      <w:pPr>
        <w:rPr>
          <w:rFonts w:cs="Arial"/>
          <w:rtl/>
        </w:rPr>
      </w:pPr>
      <w:r w:rsidRPr="00B27243">
        <w:rPr>
          <w:rFonts w:cs="Arial"/>
          <w:b/>
          <w:bCs/>
          <w:rtl/>
        </w:rPr>
        <w:t xml:space="preserve">סנהדרין </w:t>
      </w:r>
      <w:r w:rsidRPr="00B27243">
        <w:rPr>
          <w:rFonts w:cs="Arial" w:hint="cs"/>
          <w:b/>
          <w:bCs/>
          <w:sz w:val="16"/>
          <w:szCs w:val="16"/>
          <w:rtl/>
        </w:rPr>
        <w:t>(</w:t>
      </w:r>
      <w:r w:rsidRPr="00B27243">
        <w:rPr>
          <w:rFonts w:cs="Arial"/>
          <w:b/>
          <w:bCs/>
          <w:sz w:val="16"/>
          <w:szCs w:val="16"/>
          <w:rtl/>
        </w:rPr>
        <w:t>פ</w:t>
      </w:r>
      <w:r w:rsidRPr="00B27243">
        <w:rPr>
          <w:rFonts w:cs="Arial" w:hint="cs"/>
          <w:b/>
          <w:bCs/>
          <w:sz w:val="16"/>
          <w:szCs w:val="16"/>
          <w:rtl/>
        </w:rPr>
        <w:t>'</w:t>
      </w:r>
      <w:r w:rsidRPr="00B27243">
        <w:rPr>
          <w:rFonts w:cs="Arial"/>
          <w:b/>
          <w:bCs/>
          <w:sz w:val="16"/>
          <w:szCs w:val="16"/>
          <w:rtl/>
        </w:rPr>
        <w:t xml:space="preserve"> זה בורר</w:t>
      </w:r>
      <w:r w:rsidRPr="00B27243">
        <w:rPr>
          <w:rFonts w:cs="Arial" w:hint="cs"/>
          <w:b/>
          <w:bCs/>
          <w:sz w:val="16"/>
          <w:szCs w:val="16"/>
          <w:rtl/>
        </w:rPr>
        <w:t>)</w:t>
      </w:r>
      <w:r w:rsidRPr="00B27243">
        <w:rPr>
          <w:rFonts w:cs="Arial"/>
          <w:b/>
          <w:bCs/>
          <w:sz w:val="16"/>
          <w:szCs w:val="16"/>
          <w:rtl/>
        </w:rPr>
        <w:t xml:space="preserve"> </w:t>
      </w:r>
      <w:r>
        <w:rPr>
          <w:rFonts w:cs="Arial" w:hint="cs"/>
          <w:b/>
          <w:bCs/>
          <w:rtl/>
        </w:rPr>
        <w:t>כט</w:t>
      </w:r>
      <w:r w:rsidR="009B1EBC">
        <w:rPr>
          <w:rStyle w:val="ab"/>
          <w:rFonts w:cs="Arial"/>
          <w:b/>
          <w:bCs/>
          <w:rtl/>
        </w:rPr>
        <w:footnoteReference w:id="990"/>
      </w:r>
      <w:r w:rsidRPr="00B27243">
        <w:rPr>
          <w:rFonts w:cs="Arial" w:hint="cs"/>
          <w:b/>
          <w:bCs/>
          <w:rtl/>
        </w:rPr>
        <w:t xml:space="preserve"> ע"א:</w:t>
      </w:r>
      <w:r w:rsidRPr="00B27243">
        <w:rPr>
          <w:rtl/>
        </w:rPr>
        <w:t xml:space="preserve"> </w:t>
      </w:r>
      <w:r w:rsidRPr="00B27243">
        <w:rPr>
          <w:rFonts w:cs="Arial"/>
          <w:u w:val="double"/>
          <w:rtl/>
        </w:rPr>
        <w:t>משנה</w:t>
      </w:r>
      <w:r>
        <w:rPr>
          <w:rFonts w:cs="Arial" w:hint="cs"/>
          <w:rtl/>
        </w:rPr>
        <w:t>:</w:t>
      </w:r>
      <w:r w:rsidRPr="00B27243">
        <w:rPr>
          <w:rFonts w:cs="Arial"/>
          <w:rtl/>
        </w:rPr>
        <w:t xml:space="preserve"> כיצד בודקים את העדים? היו מכניסין אותן לחדר, ומאיימין עליהן. ומוציאין את כל האדם לחוץ, ומשיירין את הגדול שבהן</w:t>
      </w:r>
      <w:r>
        <w:rPr>
          <w:rFonts w:cs="Arial" w:hint="cs"/>
          <w:rtl/>
        </w:rPr>
        <w:t>..</w:t>
      </w:r>
      <w:r w:rsidRPr="00B27243">
        <w:rPr>
          <w:rFonts w:cs="Arial"/>
          <w:rtl/>
        </w:rPr>
        <w:t>. ואחר כך מכניסין את השני, ובודקין אותו. אם נמצאו דבריהן מכוונין - נושאין ונותנין בדבר. שנים אומרים זכאי ואחד אומר חייב - זכאי. שנים אומרים חייב ואחד אומר זכאי - חייב. אחד אומר חייב, ואחד אומר זכאי, אפילו שנים מזכין או שנים מחייבין ואחד אומר איני יודע</w:t>
      </w:r>
      <w:r>
        <w:rPr>
          <w:rStyle w:val="ab"/>
          <w:rFonts w:cs="Arial"/>
          <w:rtl/>
        </w:rPr>
        <w:footnoteReference w:id="991"/>
      </w:r>
      <w:r w:rsidRPr="00B27243">
        <w:rPr>
          <w:rFonts w:cs="Arial"/>
          <w:rtl/>
        </w:rPr>
        <w:t xml:space="preserve"> - יוסיפו הדיינין</w:t>
      </w:r>
      <w:r>
        <w:rPr>
          <w:rStyle w:val="ab"/>
          <w:rFonts w:cs="Arial"/>
          <w:rtl/>
        </w:rPr>
        <w:footnoteReference w:id="992"/>
      </w:r>
      <w:r w:rsidRPr="00B27243">
        <w:rPr>
          <w:rFonts w:cs="Arial"/>
          <w:rtl/>
        </w:rPr>
        <w:t>.</w:t>
      </w:r>
      <w:r>
        <w:rPr>
          <w:rFonts w:cs="Arial" w:hint="cs"/>
          <w:rtl/>
        </w:rPr>
        <w:t>.</w:t>
      </w:r>
      <w:r w:rsidRPr="00B27243">
        <w:rPr>
          <w:rFonts w:cs="Arial"/>
          <w:rtl/>
        </w:rPr>
        <w:t xml:space="preserve">. </w:t>
      </w:r>
      <w:r>
        <w:rPr>
          <w:rFonts w:cs="Arial" w:hint="cs"/>
          <w:sz w:val="14"/>
          <w:szCs w:val="14"/>
          <w:rtl/>
        </w:rPr>
        <w:t>(ל.)</w:t>
      </w:r>
      <w:r>
        <w:rPr>
          <w:rFonts w:cs="Arial" w:hint="cs"/>
          <w:rtl/>
        </w:rPr>
        <w:t xml:space="preserve"> גמרו את הדבר היו מכניסין... לבעלי דינין, ורבי נחמיה היא, ד</w:t>
      </w:r>
      <w:r w:rsidR="00B27243" w:rsidRPr="00B27243">
        <w:rPr>
          <w:rFonts w:cs="Arial"/>
          <w:rtl/>
        </w:rPr>
        <w:t xml:space="preserve">תניא, </w:t>
      </w:r>
      <w:r w:rsidR="00B27243" w:rsidRPr="00440B72">
        <w:rPr>
          <w:rFonts w:cs="Arial"/>
          <w:u w:val="single"/>
          <w:rtl/>
        </w:rPr>
        <w:t>רבי נחמיה אומר</w:t>
      </w:r>
      <w:r w:rsidR="00B27243" w:rsidRPr="00B27243">
        <w:rPr>
          <w:rFonts w:cs="Arial"/>
          <w:rtl/>
        </w:rPr>
        <w:t>: כך היה מנהגן של נקיי הדעת שבירושלים: מכניסין לבעלי דינין ושומעין דבריהן, ומכניסין את העדים ושומעין דבריהם, ומוציאין אותן לחוץ ונושאין ונותנין בדבר.</w:t>
      </w:r>
    </w:p>
    <w:p w14:paraId="409E7413" w14:textId="77777777" w:rsidR="0091271D" w:rsidRPr="0091271D" w:rsidRDefault="0091271D" w:rsidP="0066473E">
      <w:pPr>
        <w:rPr>
          <w:rFonts w:cs="Arial"/>
          <w:u w:val="single"/>
          <w:rtl/>
        </w:rPr>
      </w:pPr>
      <w:r w:rsidRPr="0091271D">
        <w:rPr>
          <w:u w:val="single"/>
          <w:rtl/>
        </w:rPr>
        <w:t xml:space="preserve">כיצד </w:t>
      </w:r>
      <w:r>
        <w:rPr>
          <w:rFonts w:hint="cs"/>
          <w:u w:val="single"/>
          <w:rtl/>
        </w:rPr>
        <w:t>תהליך הדין</w:t>
      </w:r>
      <w:r w:rsidRPr="0091271D">
        <w:rPr>
          <w:rFonts w:cs="Arial" w:hint="cs"/>
          <w:u w:val="single"/>
          <w:rtl/>
        </w:rPr>
        <w:t>:</w:t>
      </w:r>
    </w:p>
    <w:p w14:paraId="19D7E3A2" w14:textId="77777777" w:rsidR="0066473E" w:rsidRDefault="0066473E" w:rsidP="004B0475">
      <w:pPr>
        <w:pStyle w:val="ac"/>
        <w:numPr>
          <w:ilvl w:val="0"/>
          <w:numId w:val="25"/>
        </w:numPr>
      </w:pPr>
      <w:r w:rsidRPr="0091271D">
        <w:rPr>
          <w:rFonts w:cs="Arial" w:hint="cs"/>
          <w:rtl/>
        </w:rPr>
        <w:t>טור-</w:t>
      </w:r>
      <w:r w:rsidRPr="0091271D">
        <w:rPr>
          <w:rFonts w:cs="Arial"/>
          <w:rtl/>
        </w:rPr>
        <w:t xml:space="preserve"> הביא אחד מבעלי דינין עדים לדבריו</w:t>
      </w:r>
      <w:r w:rsidR="00D05AD1">
        <w:rPr>
          <w:rFonts w:cs="Arial" w:hint="cs"/>
          <w:rtl/>
        </w:rPr>
        <w:t>,</w:t>
      </w:r>
      <w:r w:rsidRPr="0091271D">
        <w:rPr>
          <w:rFonts w:cs="Arial"/>
          <w:rtl/>
        </w:rPr>
        <w:t xml:space="preserve"> מכניסין העדים</w:t>
      </w:r>
      <w:r w:rsidR="0091271D">
        <w:rPr>
          <w:rStyle w:val="ab"/>
          <w:rFonts w:cs="Arial"/>
          <w:rtl/>
        </w:rPr>
        <w:footnoteReference w:id="993"/>
      </w:r>
      <w:r w:rsidRPr="0091271D">
        <w:rPr>
          <w:rFonts w:cs="Arial"/>
          <w:rtl/>
        </w:rPr>
        <w:t xml:space="preserve"> ומקבלין עדות כראוי כאשר יתברר בהלכות עדות</w:t>
      </w:r>
      <w:r w:rsidR="00D05AD1">
        <w:rPr>
          <w:rFonts w:cs="Arial" w:hint="cs"/>
          <w:rtl/>
        </w:rPr>
        <w:t>.</w:t>
      </w:r>
      <w:r w:rsidRPr="0091271D">
        <w:rPr>
          <w:rFonts w:cs="Arial"/>
          <w:rtl/>
        </w:rPr>
        <w:t xml:space="preserve"> ולאחר שמקבל עדותן יוציא כל אדם לחוץ</w:t>
      </w:r>
      <w:r w:rsidR="00D05AD1">
        <w:rPr>
          <w:rFonts w:cs="Arial" w:hint="cs"/>
          <w:rtl/>
        </w:rPr>
        <w:t>,</w:t>
      </w:r>
      <w:r w:rsidRPr="0091271D">
        <w:rPr>
          <w:rFonts w:cs="Arial"/>
          <w:rtl/>
        </w:rPr>
        <w:t xml:space="preserve"> וישאו ויתנו בדבר</w:t>
      </w:r>
      <w:r w:rsidR="00D05AD1">
        <w:rPr>
          <w:rFonts w:cs="Arial" w:hint="cs"/>
          <w:rtl/>
        </w:rPr>
        <w:t>.</w:t>
      </w:r>
      <w:r w:rsidRPr="0091271D">
        <w:rPr>
          <w:rFonts w:cs="Arial"/>
          <w:rtl/>
        </w:rPr>
        <w:t xml:space="preserve"> אם יסכימו לדעת אחד מוטב</w:t>
      </w:r>
      <w:r w:rsidR="00D05AD1">
        <w:rPr>
          <w:rFonts w:cs="Arial" w:hint="cs"/>
          <w:rtl/>
        </w:rPr>
        <w:t>,</w:t>
      </w:r>
      <w:r w:rsidRPr="0091271D">
        <w:rPr>
          <w:rFonts w:cs="Arial"/>
          <w:rtl/>
        </w:rPr>
        <w:t xml:space="preserve"> ואם לא</w:t>
      </w:r>
      <w:r w:rsidRPr="0091271D">
        <w:rPr>
          <w:rFonts w:cs="Arial" w:hint="cs"/>
          <w:rtl/>
        </w:rPr>
        <w:t xml:space="preserve"> </w:t>
      </w:r>
      <w:r w:rsidRPr="0091271D">
        <w:rPr>
          <w:rFonts w:cs="Arial"/>
          <w:rtl/>
        </w:rPr>
        <w:t>ילכו אחר הרוב</w:t>
      </w:r>
      <w:r w:rsidR="00D05AD1">
        <w:rPr>
          <w:rFonts w:cs="Arial" w:hint="cs"/>
          <w:rtl/>
        </w:rPr>
        <w:t>.</w:t>
      </w:r>
      <w:r w:rsidRPr="0091271D">
        <w:rPr>
          <w:rFonts w:cs="Arial"/>
          <w:rtl/>
        </w:rPr>
        <w:t xml:space="preserve"> ב' אומרים זכאי ואחד אומר חייב</w:t>
      </w:r>
      <w:r w:rsidR="00D05AD1">
        <w:rPr>
          <w:rFonts w:cs="Arial" w:hint="cs"/>
          <w:rtl/>
        </w:rPr>
        <w:t xml:space="preserve"> </w:t>
      </w:r>
      <w:r w:rsidR="00D05AD1">
        <w:rPr>
          <w:rFonts w:cs="Arial"/>
          <w:rtl/>
        </w:rPr>
        <w:t>–</w:t>
      </w:r>
      <w:r w:rsidRPr="0091271D">
        <w:rPr>
          <w:rFonts w:cs="Arial"/>
          <w:rtl/>
        </w:rPr>
        <w:t xml:space="preserve"> זכאי</w:t>
      </w:r>
      <w:r w:rsidR="00D05AD1">
        <w:rPr>
          <w:rFonts w:cs="Arial" w:hint="cs"/>
          <w:rtl/>
        </w:rPr>
        <w:t>.</w:t>
      </w:r>
      <w:r w:rsidRPr="0091271D">
        <w:rPr>
          <w:rFonts w:cs="Arial"/>
          <w:rtl/>
        </w:rPr>
        <w:t xml:space="preserve"> שנים אומרים חייב ואחד אומר זכאי</w:t>
      </w:r>
      <w:r w:rsidR="00D05AD1">
        <w:rPr>
          <w:rFonts w:cs="Arial" w:hint="cs"/>
          <w:rtl/>
        </w:rPr>
        <w:t xml:space="preserve"> </w:t>
      </w:r>
      <w:r w:rsidR="00D05AD1">
        <w:rPr>
          <w:rFonts w:cs="Arial"/>
          <w:rtl/>
        </w:rPr>
        <w:t>–</w:t>
      </w:r>
      <w:r w:rsidRPr="0091271D">
        <w:rPr>
          <w:rFonts w:cs="Arial"/>
          <w:rtl/>
        </w:rPr>
        <w:t xml:space="preserve"> חייב</w:t>
      </w:r>
      <w:r w:rsidR="00D05AD1">
        <w:rPr>
          <w:rFonts w:cs="Arial" w:hint="cs"/>
          <w:rtl/>
        </w:rPr>
        <w:t>.</w:t>
      </w:r>
      <w:r w:rsidRPr="0091271D">
        <w:rPr>
          <w:rFonts w:cs="Arial" w:hint="cs"/>
          <w:rtl/>
        </w:rPr>
        <w:t xml:space="preserve"> </w:t>
      </w:r>
      <w:r w:rsidRPr="0091271D">
        <w:rPr>
          <w:rFonts w:cs="Arial"/>
          <w:rtl/>
        </w:rPr>
        <w:t>אמר א' זכאי ואחד אומר חייב ואחד אומר איני יודע</w:t>
      </w:r>
      <w:r w:rsidR="00D05AD1">
        <w:rPr>
          <w:rFonts w:cs="Arial" w:hint="cs"/>
          <w:rtl/>
        </w:rPr>
        <w:t>,</w:t>
      </w:r>
      <w:r w:rsidRPr="0091271D">
        <w:rPr>
          <w:rFonts w:cs="Arial"/>
          <w:rtl/>
        </w:rPr>
        <w:t xml:space="preserve"> או אפילו ב' מזכין או שנים מחייבין ואחד אומר איני יודע </w:t>
      </w:r>
      <w:r w:rsidR="00D05AD1">
        <w:rPr>
          <w:rFonts w:cs="Arial" w:hint="cs"/>
          <w:rtl/>
        </w:rPr>
        <w:t xml:space="preserve">- </w:t>
      </w:r>
      <w:r w:rsidRPr="0091271D">
        <w:rPr>
          <w:rFonts w:cs="Arial"/>
          <w:rtl/>
        </w:rPr>
        <w:t>יוסיפו שני דיינין ונמצאו שהם חמשה נושאים ונותנים בדבר</w:t>
      </w:r>
      <w:r w:rsidR="00D05AD1">
        <w:rPr>
          <w:rFonts w:cs="Arial" w:hint="cs"/>
          <w:rtl/>
        </w:rPr>
        <w:t>.</w:t>
      </w:r>
      <w:r w:rsidRPr="0091271D">
        <w:rPr>
          <w:rFonts w:cs="Arial"/>
          <w:rtl/>
        </w:rPr>
        <w:t xml:space="preserve"> אם ג' מזכין ושנים מחייבין </w:t>
      </w:r>
      <w:r w:rsidR="00D05AD1">
        <w:rPr>
          <w:rFonts w:cs="Arial"/>
          <w:rtl/>
        </w:rPr>
        <w:t>–</w:t>
      </w:r>
      <w:r w:rsidR="00D05AD1">
        <w:rPr>
          <w:rFonts w:cs="Arial" w:hint="cs"/>
          <w:rtl/>
        </w:rPr>
        <w:t xml:space="preserve"> </w:t>
      </w:r>
      <w:r w:rsidRPr="0091271D">
        <w:rPr>
          <w:rFonts w:cs="Arial"/>
          <w:rtl/>
        </w:rPr>
        <w:t>זכאי</w:t>
      </w:r>
      <w:r w:rsidR="00D05AD1">
        <w:rPr>
          <w:rFonts w:cs="Arial" w:hint="cs"/>
          <w:rtl/>
        </w:rPr>
        <w:t>.</w:t>
      </w:r>
      <w:r w:rsidRPr="0091271D">
        <w:rPr>
          <w:rFonts w:cs="Arial"/>
          <w:rtl/>
        </w:rPr>
        <w:t xml:space="preserve"> ואם ג' מחייבין וב' מזכין </w:t>
      </w:r>
      <w:r w:rsidR="00D05AD1">
        <w:rPr>
          <w:rFonts w:cs="Arial"/>
          <w:rtl/>
        </w:rPr>
        <w:t>–</w:t>
      </w:r>
      <w:r w:rsidR="00D05AD1">
        <w:rPr>
          <w:rFonts w:cs="Arial" w:hint="cs"/>
          <w:rtl/>
        </w:rPr>
        <w:t xml:space="preserve"> </w:t>
      </w:r>
      <w:r w:rsidRPr="0091271D">
        <w:rPr>
          <w:rFonts w:cs="Arial"/>
          <w:rtl/>
        </w:rPr>
        <w:t>חייב</w:t>
      </w:r>
      <w:r w:rsidR="00D05AD1">
        <w:rPr>
          <w:rFonts w:cs="Arial" w:hint="cs"/>
          <w:rtl/>
        </w:rPr>
        <w:t>.</w:t>
      </w:r>
      <w:r w:rsidRPr="0091271D">
        <w:rPr>
          <w:rFonts w:cs="Arial"/>
          <w:rtl/>
        </w:rPr>
        <w:t xml:space="preserve"> ב' אומרים זכאי ושנים אומרים חייב וא' אומר איני יודע </w:t>
      </w:r>
      <w:r w:rsidR="00D05AD1">
        <w:rPr>
          <w:rFonts w:cs="Arial" w:hint="cs"/>
          <w:rtl/>
        </w:rPr>
        <w:t xml:space="preserve">- </w:t>
      </w:r>
      <w:r w:rsidRPr="0091271D">
        <w:rPr>
          <w:rFonts w:cs="Arial"/>
          <w:rtl/>
        </w:rPr>
        <w:t>יוסיפו עוד הדיינין. כתב הרמב"ם אבל ד' אומרים זכאי או חייב ואחד אומר איני יודע</w:t>
      </w:r>
      <w:r w:rsidR="00D05AD1">
        <w:rPr>
          <w:rFonts w:cs="Arial" w:hint="cs"/>
          <w:rtl/>
        </w:rPr>
        <w:t>,</w:t>
      </w:r>
      <w:r w:rsidRPr="0091271D">
        <w:rPr>
          <w:rFonts w:cs="Arial"/>
          <w:rtl/>
        </w:rPr>
        <w:t xml:space="preserve"> או שאומרים ג' זכאי ואחד חייב ואמר אחד איני יודע</w:t>
      </w:r>
      <w:r w:rsidR="00D05AD1">
        <w:rPr>
          <w:rFonts w:cs="Arial" w:hint="cs"/>
          <w:rtl/>
        </w:rPr>
        <w:t>,</w:t>
      </w:r>
      <w:r w:rsidRPr="0091271D">
        <w:rPr>
          <w:rFonts w:cs="Arial"/>
          <w:rtl/>
        </w:rPr>
        <w:t xml:space="preserve"> בין שהיה זה שהוא אמר איני יודע תחלה בין שאמר אח</w:t>
      </w:r>
      <w:r w:rsidR="00D05AD1">
        <w:rPr>
          <w:rFonts w:cs="Arial" w:hint="cs"/>
          <w:rtl/>
        </w:rPr>
        <w:t>ר</w:t>
      </w:r>
      <w:r w:rsidRPr="0091271D">
        <w:rPr>
          <w:rFonts w:cs="Arial"/>
          <w:rtl/>
        </w:rPr>
        <w:t xml:space="preserve"> </w:t>
      </w:r>
      <w:r w:rsidR="00D05AD1">
        <w:rPr>
          <w:rFonts w:cs="Arial"/>
          <w:rtl/>
        </w:rPr>
        <w:t>–</w:t>
      </w:r>
      <w:r w:rsidR="00D05AD1">
        <w:rPr>
          <w:rFonts w:cs="Arial" w:hint="cs"/>
          <w:rtl/>
        </w:rPr>
        <w:t xml:space="preserve"> </w:t>
      </w:r>
      <w:r w:rsidRPr="0091271D">
        <w:rPr>
          <w:rFonts w:cs="Arial"/>
          <w:rtl/>
        </w:rPr>
        <w:t>הולכים אחר הרוב</w:t>
      </w:r>
      <w:r>
        <w:rPr>
          <w:rStyle w:val="ab"/>
          <w:rFonts w:cs="Arial"/>
          <w:rtl/>
        </w:rPr>
        <w:footnoteReference w:id="994"/>
      </w:r>
      <w:r w:rsidR="00D05AD1">
        <w:rPr>
          <w:rFonts w:cs="Arial" w:hint="cs"/>
          <w:rtl/>
        </w:rPr>
        <w:t xml:space="preserve"> </w:t>
      </w:r>
      <w:r w:rsidR="005A5E18">
        <w:rPr>
          <w:rFonts w:cs="Arial" w:hint="cs"/>
          <w:sz w:val="16"/>
          <w:szCs w:val="16"/>
          <w:rtl/>
        </w:rPr>
        <w:t>(ל' הטור)</w:t>
      </w:r>
      <w:r w:rsidRPr="0091271D">
        <w:rPr>
          <w:rFonts w:cs="Arial" w:hint="cs"/>
          <w:rtl/>
        </w:rPr>
        <w:t>.</w:t>
      </w:r>
      <w:r w:rsidR="00953772" w:rsidRPr="00953772">
        <w:rPr>
          <w:rFonts w:hint="cs"/>
          <w:color w:val="E36C0A" w:themeColor="accent6" w:themeShade="BF"/>
          <w:rtl/>
        </w:rPr>
        <w:t xml:space="preserve"> </w:t>
      </w:r>
      <w:r w:rsidR="00953772" w:rsidRPr="005A5E18">
        <w:rPr>
          <w:rFonts w:hint="cs"/>
          <w:color w:val="E36C0A" w:themeColor="accent6" w:themeShade="BF"/>
          <w:rtl/>
        </w:rPr>
        <w:t>(וכ"פ בשו"ע)</w:t>
      </w:r>
    </w:p>
    <w:p w14:paraId="0A447274" w14:textId="77777777" w:rsidR="005A5E18" w:rsidRPr="005A5E18" w:rsidRDefault="005A5E18" w:rsidP="005A5E18">
      <w:pPr>
        <w:ind w:left="360"/>
        <w:rPr>
          <w:u w:val="dotted"/>
        </w:rPr>
      </w:pPr>
      <w:r>
        <w:rPr>
          <w:rFonts w:hint="cs"/>
          <w:u w:val="dotted"/>
          <w:rtl/>
        </w:rPr>
        <w:t xml:space="preserve">דיין אחד שאמר 'איני יודע' </w:t>
      </w:r>
      <w:r>
        <w:rPr>
          <w:u w:val="dotted"/>
          <w:rtl/>
        </w:rPr>
        <w:t>–</w:t>
      </w:r>
      <w:r>
        <w:rPr>
          <w:rFonts w:hint="cs"/>
          <w:u w:val="dotted"/>
          <w:rtl/>
        </w:rPr>
        <w:t xml:space="preserve"> האם לאחר שהוסיפו דיינים יכול לשוב ולטעון עם כולם: </w:t>
      </w:r>
    </w:p>
    <w:p w14:paraId="7EE7933E" w14:textId="77777777" w:rsidR="005A5E18" w:rsidRDefault="005A5E18" w:rsidP="004B0475">
      <w:pPr>
        <w:pStyle w:val="ac"/>
        <w:numPr>
          <w:ilvl w:val="0"/>
          <w:numId w:val="25"/>
        </w:numPr>
      </w:pPr>
      <w:r>
        <w:rPr>
          <w:rFonts w:cs="Arial" w:hint="cs"/>
          <w:rtl/>
        </w:rPr>
        <w:t xml:space="preserve">רמב"ם </w:t>
      </w:r>
      <w:r>
        <w:rPr>
          <w:rFonts w:cs="Arial" w:hint="cs"/>
          <w:sz w:val="16"/>
          <w:szCs w:val="16"/>
          <w:rtl/>
        </w:rPr>
        <w:t xml:space="preserve">(פ"ח מהל' סנהדרין ה"ב) </w:t>
      </w:r>
      <w:r>
        <w:rPr>
          <w:rFonts w:cs="Arial" w:hint="cs"/>
          <w:rtl/>
        </w:rPr>
        <w:t xml:space="preserve">וטור- </w:t>
      </w:r>
      <w:r w:rsidRPr="005A5E18">
        <w:rPr>
          <w:rFonts w:cs="Arial"/>
          <w:rtl/>
        </w:rPr>
        <w:t>אחד אומר זכאי ואחד אומר חייב ואחד אומר איני יודע, או שאמרו שנים זכאי או חייב והשלישי אומר איני יודע יוסיפו הדיינים שנים, נמצאו חמשה נושאים ונותנים בדבר</w:t>
      </w:r>
      <w:r>
        <w:rPr>
          <w:rFonts w:cs="Arial" w:hint="cs"/>
          <w:sz w:val="16"/>
          <w:szCs w:val="16"/>
          <w:rtl/>
        </w:rPr>
        <w:t xml:space="preserve"> (ל' הרמב"ם)</w:t>
      </w:r>
      <w:r>
        <w:rPr>
          <w:rFonts w:cs="Arial" w:hint="cs"/>
          <w:rtl/>
        </w:rPr>
        <w:t>.</w:t>
      </w:r>
      <w:r w:rsidRPr="0091271D">
        <w:rPr>
          <w:rFonts w:cs="Arial"/>
          <w:rtl/>
        </w:rPr>
        <w:t xml:space="preserve"> </w:t>
      </w:r>
      <w:r w:rsidRPr="005A5E18">
        <w:rPr>
          <w:rFonts w:hint="cs"/>
          <w:color w:val="E36C0A" w:themeColor="accent6" w:themeShade="BF"/>
          <w:rtl/>
        </w:rPr>
        <w:t>(וכ"פ בשו"ע)</w:t>
      </w:r>
    </w:p>
    <w:p w14:paraId="1508C031" w14:textId="77777777" w:rsidR="005A5E18" w:rsidRDefault="005A5E18" w:rsidP="004B0475">
      <w:pPr>
        <w:pStyle w:val="ac"/>
        <w:numPr>
          <w:ilvl w:val="0"/>
          <w:numId w:val="25"/>
        </w:numPr>
        <w:rPr>
          <w:rtl/>
        </w:rPr>
      </w:pPr>
      <w:r>
        <w:rPr>
          <w:rFonts w:hint="cs"/>
          <w:rtl/>
        </w:rPr>
        <w:t xml:space="preserve">ראב"ד </w:t>
      </w:r>
      <w:r>
        <w:rPr>
          <w:rFonts w:hint="cs"/>
          <w:sz w:val="16"/>
          <w:szCs w:val="16"/>
          <w:rtl/>
        </w:rPr>
        <w:t xml:space="preserve">(בהשגות שם) </w:t>
      </w:r>
      <w:r>
        <w:rPr>
          <w:rFonts w:hint="cs"/>
          <w:rtl/>
        </w:rPr>
        <w:t xml:space="preserve">ורשב"א </w:t>
      </w:r>
      <w:r w:rsidRPr="005A5E18">
        <w:rPr>
          <w:rFonts w:cs="Arial"/>
          <w:sz w:val="16"/>
          <w:szCs w:val="16"/>
          <w:rtl/>
        </w:rPr>
        <w:t>(ח"ג סי' שנו</w:t>
      </w:r>
      <w:r>
        <w:rPr>
          <w:rFonts w:cs="Arial" w:hint="cs"/>
          <w:sz w:val="16"/>
          <w:szCs w:val="16"/>
          <w:rtl/>
        </w:rPr>
        <w:t>, כ"כ הב"י בשמו</w:t>
      </w:r>
      <w:r w:rsidRPr="005A5E18">
        <w:rPr>
          <w:rFonts w:cs="Arial"/>
          <w:sz w:val="16"/>
          <w:szCs w:val="16"/>
          <w:rtl/>
        </w:rPr>
        <w:t>)</w:t>
      </w:r>
      <w:r>
        <w:rPr>
          <w:rFonts w:hint="cs"/>
          <w:rtl/>
        </w:rPr>
        <w:t>-</w:t>
      </w:r>
      <w:r>
        <w:rPr>
          <w:rFonts w:cs="Arial"/>
          <w:rtl/>
        </w:rPr>
        <w:t xml:space="preserve"> אני רואה בגמרא שאותו שאמר איני יודע אינו מן המנין ואי אמר טעמא לא שמעינן ליה נמצא לאחר שהוסיפו אינם אלא ארבעה</w:t>
      </w:r>
      <w:r>
        <w:rPr>
          <w:rFonts w:cs="Arial" w:hint="cs"/>
          <w:sz w:val="16"/>
          <w:szCs w:val="16"/>
          <w:rtl/>
        </w:rPr>
        <w:t xml:space="preserve"> (ל' הראב"ד)</w:t>
      </w:r>
      <w:r>
        <w:rPr>
          <w:rStyle w:val="ab"/>
          <w:rFonts w:cs="Arial"/>
          <w:rtl/>
        </w:rPr>
        <w:footnoteReference w:id="995"/>
      </w:r>
      <w:r>
        <w:rPr>
          <w:rFonts w:cs="Arial" w:hint="cs"/>
          <w:rtl/>
        </w:rPr>
        <w:t>.</w:t>
      </w:r>
      <w:r>
        <w:rPr>
          <w:rFonts w:cs="Arial"/>
          <w:rtl/>
        </w:rPr>
        <w:t xml:space="preserve"> </w:t>
      </w:r>
    </w:p>
    <w:p w14:paraId="0BC1C549" w14:textId="77777777" w:rsidR="00F209AB" w:rsidRPr="0066473E" w:rsidRDefault="00F209AB" w:rsidP="00F209AB">
      <w:pPr>
        <w:rPr>
          <w:rFonts w:cs="Arial"/>
          <w:u w:val="single"/>
          <w:rtl/>
        </w:rPr>
      </w:pPr>
      <w:r w:rsidRPr="0066473E">
        <w:rPr>
          <w:rFonts w:cs="Arial"/>
          <w:u w:val="single"/>
          <w:rtl/>
        </w:rPr>
        <w:t>שלשה שישבו לדין וסילק האחד עצמו</w:t>
      </w:r>
      <w:r w:rsidRPr="0066473E">
        <w:rPr>
          <w:rFonts w:cs="Arial" w:hint="cs"/>
          <w:u w:val="single"/>
          <w:rtl/>
        </w:rPr>
        <w:t>:</w:t>
      </w:r>
      <w:r w:rsidRPr="0066473E">
        <w:rPr>
          <w:rFonts w:cs="Arial"/>
          <w:u w:val="single"/>
          <w:rtl/>
        </w:rPr>
        <w:t xml:space="preserve"> </w:t>
      </w:r>
    </w:p>
    <w:p w14:paraId="23BA3ED0" w14:textId="77777777" w:rsidR="0066473E" w:rsidRPr="00E20A71" w:rsidRDefault="00F209AB" w:rsidP="004B0475">
      <w:pPr>
        <w:pStyle w:val="ac"/>
        <w:numPr>
          <w:ilvl w:val="0"/>
          <w:numId w:val="24"/>
        </w:numPr>
        <w:rPr>
          <w:rtl/>
        </w:rPr>
      </w:pPr>
      <w:r w:rsidRPr="0066473E">
        <w:rPr>
          <w:rFonts w:cs="Arial"/>
          <w:rtl/>
        </w:rPr>
        <w:t>הג</w:t>
      </w:r>
      <w:r w:rsidRPr="0066473E">
        <w:rPr>
          <w:rFonts w:cs="Arial" w:hint="cs"/>
          <w:rtl/>
        </w:rPr>
        <w:t>"</w:t>
      </w:r>
      <w:r w:rsidRPr="0066473E">
        <w:rPr>
          <w:rFonts w:cs="Arial"/>
          <w:rtl/>
        </w:rPr>
        <w:t xml:space="preserve">א </w:t>
      </w:r>
      <w:r w:rsidRPr="0066473E">
        <w:rPr>
          <w:rFonts w:cs="Arial" w:hint="cs"/>
          <w:sz w:val="16"/>
          <w:szCs w:val="16"/>
          <w:rtl/>
        </w:rPr>
        <w:t>(</w:t>
      </w:r>
      <w:r w:rsidRPr="0066473E">
        <w:rPr>
          <w:rFonts w:cs="Arial"/>
          <w:sz w:val="16"/>
          <w:szCs w:val="16"/>
          <w:rtl/>
        </w:rPr>
        <w:t>פ</w:t>
      </w:r>
      <w:r w:rsidRPr="0066473E">
        <w:rPr>
          <w:rFonts w:cs="Arial" w:hint="cs"/>
          <w:sz w:val="16"/>
          <w:szCs w:val="16"/>
          <w:rtl/>
        </w:rPr>
        <w:t>"</w:t>
      </w:r>
      <w:r w:rsidRPr="0066473E">
        <w:rPr>
          <w:rFonts w:cs="Arial"/>
          <w:sz w:val="16"/>
          <w:szCs w:val="16"/>
          <w:rtl/>
        </w:rPr>
        <w:t>ק דסנהדרין סי' ו)</w:t>
      </w:r>
      <w:r w:rsidRPr="0066473E">
        <w:rPr>
          <w:rFonts w:cs="Arial" w:hint="cs"/>
          <w:rtl/>
        </w:rPr>
        <w:t>-</w:t>
      </w:r>
      <w:r w:rsidRPr="0066473E">
        <w:rPr>
          <w:rFonts w:cs="Arial"/>
          <w:rtl/>
        </w:rPr>
        <w:t xml:space="preserve"> שלשה שישבו לדין וסילק האחד עצמו </w:t>
      </w:r>
      <w:r w:rsidR="00953772">
        <w:rPr>
          <w:rFonts w:cs="Arial" w:hint="cs"/>
          <w:rtl/>
        </w:rPr>
        <w:t xml:space="preserve">- </w:t>
      </w:r>
      <w:r w:rsidRPr="0066473E">
        <w:rPr>
          <w:rFonts w:cs="Arial"/>
          <w:rtl/>
        </w:rPr>
        <w:t>אין השנים יכולים לגמור הדין כיון דמעיקרא אדעתא דתלתא יתבי</w:t>
      </w:r>
      <w:r>
        <w:rPr>
          <w:rStyle w:val="ab"/>
          <w:rFonts w:cs="Arial"/>
          <w:rtl/>
        </w:rPr>
        <w:footnoteReference w:id="996"/>
      </w:r>
      <w:r w:rsidRPr="0066473E">
        <w:rPr>
          <w:rFonts w:cs="Arial" w:hint="cs"/>
          <w:rtl/>
        </w:rPr>
        <w:t>.</w:t>
      </w:r>
      <w:r w:rsidR="00E20A71">
        <w:rPr>
          <w:rFonts w:hint="cs"/>
          <w:rtl/>
        </w:rPr>
        <w:t xml:space="preserve"> </w:t>
      </w:r>
    </w:p>
    <w:p w14:paraId="3B087B5E" w14:textId="77777777" w:rsidR="00E137BC" w:rsidRPr="00576D5C" w:rsidRDefault="00E137BC" w:rsidP="00576D5C">
      <w:pPr>
        <w:rPr>
          <w:rFonts w:asciiTheme="minorBidi" w:hAnsiTheme="minorBidi"/>
          <w:b/>
          <w:bCs/>
          <w:color w:val="000000"/>
          <w:sz w:val="28"/>
          <w:szCs w:val="28"/>
          <w:u w:val="single"/>
          <w:rtl/>
        </w:rPr>
      </w:pPr>
      <w:r w:rsidRPr="00576D5C">
        <w:rPr>
          <w:rFonts w:asciiTheme="minorBidi" w:hAnsiTheme="minorBidi"/>
          <w:b/>
          <w:bCs/>
          <w:color w:val="000000"/>
          <w:sz w:val="28"/>
          <w:szCs w:val="28"/>
          <w:u w:val="single"/>
          <w:rtl/>
        </w:rPr>
        <w:t>שו"ע:</w:t>
      </w:r>
    </w:p>
    <w:p w14:paraId="4F719BC4" w14:textId="77777777" w:rsidR="00E137BC" w:rsidRDefault="00E137BC" w:rsidP="00576D5C">
      <w:pPr>
        <w:rPr>
          <w:rFonts w:asciiTheme="minorBidi" w:hAnsiTheme="minorBidi"/>
          <w:rtl/>
        </w:rPr>
      </w:pPr>
      <w:r w:rsidRPr="00576D5C">
        <w:rPr>
          <w:rFonts w:asciiTheme="minorBidi" w:hAnsiTheme="minorBidi"/>
          <w:rtl/>
        </w:rPr>
        <w:lastRenderedPageBreak/>
        <w:t>הביא אחד מהבעלי דינים עדים לדבריו, מכניסין העדים ומקבלים עדותם כראוי, כמו שיתבאר בסימן כ"ח, ולאחר שיקבלו עדותם יוציאו כל אדם לחוץ</w:t>
      </w:r>
      <w:r w:rsidR="002B44AD">
        <w:rPr>
          <w:rStyle w:val="ab"/>
          <w:rFonts w:asciiTheme="minorBidi" w:hAnsiTheme="minorBidi"/>
          <w:rtl/>
        </w:rPr>
        <w:footnoteReference w:id="997"/>
      </w:r>
      <w:r w:rsidRPr="00576D5C">
        <w:rPr>
          <w:rFonts w:asciiTheme="minorBidi" w:hAnsiTheme="minorBidi"/>
          <w:rtl/>
        </w:rPr>
        <w:t xml:space="preserve">, וישאו ויתנו בדבר. </w:t>
      </w:r>
      <w:r w:rsidR="00AC4A6F" w:rsidRPr="00AC4A6F">
        <w:rPr>
          <w:rFonts w:asciiTheme="minorBidi" w:hAnsiTheme="minorBidi" w:hint="cs"/>
          <w:sz w:val="18"/>
          <w:szCs w:val="18"/>
          <w:rtl/>
        </w:rPr>
        <w:t xml:space="preserve">[הגה] </w:t>
      </w:r>
      <w:r w:rsidRPr="00AC4A6F">
        <w:rPr>
          <w:rFonts w:asciiTheme="minorBidi" w:hAnsiTheme="minorBidi"/>
          <w:sz w:val="18"/>
          <w:szCs w:val="18"/>
          <w:rtl/>
        </w:rPr>
        <w:t>יש אומרים דטוב להתחיל מן הקטן</w:t>
      </w:r>
      <w:r w:rsidR="0091271D">
        <w:rPr>
          <w:rStyle w:val="ab"/>
          <w:rFonts w:asciiTheme="minorBidi" w:hAnsiTheme="minorBidi"/>
          <w:sz w:val="18"/>
          <w:szCs w:val="18"/>
          <w:rtl/>
        </w:rPr>
        <w:footnoteReference w:id="998"/>
      </w:r>
      <w:r w:rsidRPr="00AC4A6F">
        <w:rPr>
          <w:rFonts w:asciiTheme="minorBidi" w:hAnsiTheme="minorBidi"/>
          <w:sz w:val="18"/>
          <w:szCs w:val="18"/>
          <w:rtl/>
        </w:rPr>
        <w:t xml:space="preserve"> (נמוק</w:t>
      </w:r>
      <w:r w:rsidR="00AC4A6F">
        <w:rPr>
          <w:rFonts w:asciiTheme="minorBidi" w:hAnsiTheme="minorBidi" w:hint="cs"/>
          <w:sz w:val="18"/>
          <w:szCs w:val="18"/>
          <w:rtl/>
        </w:rPr>
        <w:t>"</w:t>
      </w:r>
      <w:r w:rsidRPr="00AC4A6F">
        <w:rPr>
          <w:rFonts w:asciiTheme="minorBidi" w:hAnsiTheme="minorBidi"/>
          <w:sz w:val="18"/>
          <w:szCs w:val="18"/>
          <w:rtl/>
        </w:rPr>
        <w:t>י)</w:t>
      </w:r>
      <w:r w:rsidR="00AC4A6F">
        <w:rPr>
          <w:rFonts w:asciiTheme="minorBidi" w:hAnsiTheme="minorBidi" w:hint="cs"/>
          <w:sz w:val="18"/>
          <w:szCs w:val="18"/>
          <w:rtl/>
        </w:rPr>
        <w:t>,</w:t>
      </w:r>
      <w:r w:rsidRPr="00576D5C">
        <w:rPr>
          <w:rFonts w:asciiTheme="minorBidi" w:hAnsiTheme="minorBidi"/>
          <w:rtl/>
        </w:rPr>
        <w:t xml:space="preserve"> אם יסכימו לדעת אחת, מוטב</w:t>
      </w:r>
      <w:r w:rsidR="002B44AD">
        <w:rPr>
          <w:rFonts w:asciiTheme="minorBidi" w:hAnsiTheme="minorBidi" w:hint="cs"/>
          <w:rtl/>
        </w:rPr>
        <w:t>,</w:t>
      </w:r>
      <w:r w:rsidRPr="00576D5C">
        <w:rPr>
          <w:rFonts w:asciiTheme="minorBidi" w:hAnsiTheme="minorBidi"/>
          <w:rtl/>
        </w:rPr>
        <w:t xml:space="preserve"> ואם לאו, ילכו אחר הרוב. שנים אומרים זכאי, ואחד אומר חייב, זכאי</w:t>
      </w:r>
      <w:r w:rsidR="002B44AD">
        <w:rPr>
          <w:rStyle w:val="ab"/>
          <w:rFonts w:asciiTheme="minorBidi" w:hAnsiTheme="minorBidi"/>
          <w:rtl/>
        </w:rPr>
        <w:footnoteReference w:id="999"/>
      </w:r>
      <w:r w:rsidRPr="00576D5C">
        <w:rPr>
          <w:rFonts w:asciiTheme="minorBidi" w:hAnsiTheme="minorBidi"/>
          <w:rtl/>
        </w:rPr>
        <w:t>. שנים אומרים חייב, ואחד אומר זכאי, חייב. אחד אומר זכאי, ואחד אומר חייב, ואחד אומר: איני יודע, ואפי' שנים אומרים זכאי או חייב, ואחד אומר איני יודע, יוסיפו</w:t>
      </w:r>
      <w:r w:rsidR="00554082">
        <w:rPr>
          <w:rStyle w:val="ab"/>
          <w:rFonts w:asciiTheme="minorBidi" w:hAnsiTheme="minorBidi"/>
          <w:rtl/>
        </w:rPr>
        <w:footnoteReference w:id="1000"/>
      </w:r>
      <w:r w:rsidRPr="00576D5C">
        <w:rPr>
          <w:rFonts w:asciiTheme="minorBidi" w:hAnsiTheme="minorBidi"/>
          <w:rtl/>
        </w:rPr>
        <w:t xml:space="preserve"> שני דיינים, ונמצא שהם חמשה נושאים ונותנים בדבר, אם שלשה מזכים ושנים מחייבים, זכאי. ואם שלשה מחייבים ושנים מזכים, חייב. שנים אומרים זכאי, ושנים אומרים חייב, ואחד אומר איני יודע, יוסיפו עוד דיינים</w:t>
      </w:r>
      <w:r w:rsidR="00554082">
        <w:rPr>
          <w:rStyle w:val="ab"/>
          <w:rFonts w:asciiTheme="minorBidi" w:hAnsiTheme="minorBidi"/>
          <w:rtl/>
        </w:rPr>
        <w:footnoteReference w:id="1001"/>
      </w:r>
      <w:r w:rsidRPr="00576D5C">
        <w:rPr>
          <w:rFonts w:asciiTheme="minorBidi" w:hAnsiTheme="minorBidi"/>
          <w:rtl/>
        </w:rPr>
        <w:t>, אבל ארבעה אומרים זכאי או חייב, ואחד אומר איני יודע, או שאמרו שלשה זכאי, ואחד אומר חייב, ואחד אומר איני יודע, בין שהוא אותו שאמר תחלה איני יודע, בין שהוא אחר</w:t>
      </w:r>
      <w:r w:rsidR="00554082">
        <w:rPr>
          <w:rStyle w:val="ab"/>
          <w:rFonts w:asciiTheme="minorBidi" w:hAnsiTheme="minorBidi"/>
          <w:rtl/>
        </w:rPr>
        <w:footnoteReference w:id="1002"/>
      </w:r>
      <w:r w:rsidRPr="00576D5C">
        <w:rPr>
          <w:rFonts w:asciiTheme="minorBidi" w:hAnsiTheme="minorBidi"/>
          <w:rtl/>
        </w:rPr>
        <w:t>, הולכים אחר הרוב</w:t>
      </w:r>
      <w:r w:rsidR="00554082">
        <w:rPr>
          <w:rStyle w:val="ab"/>
          <w:rFonts w:asciiTheme="minorBidi" w:hAnsiTheme="minorBidi"/>
          <w:rtl/>
        </w:rPr>
        <w:footnoteReference w:id="1003"/>
      </w:r>
      <w:r w:rsidRPr="00576D5C">
        <w:rPr>
          <w:rFonts w:asciiTheme="minorBidi" w:hAnsiTheme="minorBidi"/>
          <w:rtl/>
        </w:rPr>
        <w:t xml:space="preserve">. </w:t>
      </w:r>
      <w:r w:rsidRPr="00AC4A6F">
        <w:rPr>
          <w:rFonts w:asciiTheme="minorBidi" w:hAnsiTheme="minorBidi"/>
          <w:sz w:val="18"/>
          <w:szCs w:val="18"/>
          <w:rtl/>
        </w:rPr>
        <w:t>הגה: וכן נ"ל עיקר, דלא כמו שכתב לעיל סימן י"ג סעיף ז' בהיפך, והוא דעת החולקים. ואפשר דעתו לחלק בין אם נתברר תחלה יותר מג' ובין ירדו מתחלה לג', אך אינו נ"ל, רק שחולקים, הא' דעת הרמב"ם, והשני דעת הרשב"א</w:t>
      </w:r>
      <w:r w:rsidR="00143BB6">
        <w:rPr>
          <w:rStyle w:val="ab"/>
          <w:rFonts w:asciiTheme="minorBidi" w:hAnsiTheme="minorBidi"/>
          <w:sz w:val="18"/>
          <w:szCs w:val="18"/>
          <w:rtl/>
        </w:rPr>
        <w:footnoteReference w:id="1004"/>
      </w:r>
      <w:r w:rsidRPr="00AC4A6F">
        <w:rPr>
          <w:rFonts w:asciiTheme="minorBidi" w:hAnsiTheme="minorBidi"/>
          <w:sz w:val="18"/>
          <w:szCs w:val="18"/>
          <w:rtl/>
        </w:rPr>
        <w:t>. קהל שבררו ד' או ה' בירורים, אין הולכים אחר הרוב, שאין רוב אלא בבית דין</w:t>
      </w:r>
      <w:r w:rsidR="00143BB6">
        <w:rPr>
          <w:rStyle w:val="ab"/>
          <w:rFonts w:asciiTheme="minorBidi" w:hAnsiTheme="minorBidi"/>
          <w:sz w:val="18"/>
          <w:szCs w:val="18"/>
          <w:rtl/>
        </w:rPr>
        <w:footnoteReference w:id="1005"/>
      </w:r>
      <w:r w:rsidRPr="00AC4A6F">
        <w:rPr>
          <w:rFonts w:asciiTheme="minorBidi" w:hAnsiTheme="minorBidi"/>
          <w:sz w:val="18"/>
          <w:szCs w:val="18"/>
          <w:rtl/>
        </w:rPr>
        <w:t>. ואם אמרו הקהל שילכו אחר הרוב, והם שקולים, אין אומרים שיבאו אחרים ויכריעו, שהרי הקהל לא לקחו רק אלו המבוררים, אבל אלו המבוררים יכולים לשאול לאחרים ויפסקו על פיהם מה שירצו (ב"י ס</w:t>
      </w:r>
      <w:r w:rsidR="0066473E">
        <w:rPr>
          <w:rFonts w:asciiTheme="minorBidi" w:hAnsiTheme="minorBidi" w:hint="cs"/>
          <w:sz w:val="18"/>
          <w:szCs w:val="18"/>
          <w:rtl/>
        </w:rPr>
        <w:t>"</w:t>
      </w:r>
      <w:r w:rsidRPr="00AC4A6F">
        <w:rPr>
          <w:rFonts w:asciiTheme="minorBidi" w:hAnsiTheme="minorBidi"/>
          <w:sz w:val="18"/>
          <w:szCs w:val="18"/>
          <w:rtl/>
        </w:rPr>
        <w:t>ס י"ג בשם תשובת הרשב"א).</w:t>
      </w:r>
      <w:r w:rsidRPr="00576D5C">
        <w:rPr>
          <w:rFonts w:asciiTheme="minorBidi" w:hAnsiTheme="minorBidi"/>
          <w:rtl/>
        </w:rPr>
        <w:t xml:space="preserve"> </w:t>
      </w:r>
    </w:p>
    <w:p w14:paraId="54718724" w14:textId="77777777" w:rsidR="00C45D95" w:rsidRPr="00576D5C" w:rsidRDefault="00C45D95" w:rsidP="00576D5C">
      <w:pPr>
        <w:rPr>
          <w:rFonts w:asciiTheme="minorBidi" w:hAnsiTheme="minorBidi"/>
          <w:rtl/>
        </w:rPr>
      </w:pPr>
    </w:p>
    <w:p w14:paraId="225A6139" w14:textId="77777777" w:rsidR="00E137BC" w:rsidRDefault="00E137BC" w:rsidP="006567B0">
      <w:pPr>
        <w:pStyle w:val="2"/>
        <w:rPr>
          <w:rtl/>
        </w:rPr>
      </w:pPr>
      <w:bookmarkStart w:id="156" w:name="_Toc24883639"/>
      <w:r w:rsidRPr="00576D5C">
        <w:rPr>
          <w:rtl/>
        </w:rPr>
        <w:t>סעיף ב</w:t>
      </w:r>
      <w:r w:rsidR="00C45D95">
        <w:rPr>
          <w:rFonts w:hint="cs"/>
          <w:rtl/>
        </w:rPr>
        <w:t>:</w:t>
      </w:r>
      <w:r w:rsidR="00596A51">
        <w:rPr>
          <w:rFonts w:hint="cs"/>
          <w:rtl/>
        </w:rPr>
        <w:t xml:space="preserve"> היו הדיינים מחצה על מחצה ואחד אומר 'איני יודע'.</w:t>
      </w:r>
      <w:bookmarkEnd w:id="156"/>
    </w:p>
    <w:p w14:paraId="005085D4" w14:textId="77777777" w:rsidR="00596A51" w:rsidRPr="00596A51" w:rsidRDefault="00596A51" w:rsidP="00596A51">
      <w:pPr>
        <w:rPr>
          <w:sz w:val="16"/>
          <w:szCs w:val="16"/>
          <w:rtl/>
        </w:rPr>
      </w:pPr>
      <w:r w:rsidRPr="00596A51">
        <w:rPr>
          <w:rFonts w:cs="Arial" w:hint="cs"/>
          <w:b/>
          <w:bCs/>
          <w:rtl/>
        </w:rPr>
        <w:t xml:space="preserve">סנהדרין </w:t>
      </w:r>
      <w:r w:rsidRPr="00596A51">
        <w:rPr>
          <w:rFonts w:cs="Arial" w:hint="cs"/>
          <w:b/>
          <w:bCs/>
          <w:sz w:val="16"/>
          <w:szCs w:val="16"/>
          <w:rtl/>
        </w:rPr>
        <w:t>(</w:t>
      </w:r>
      <w:r>
        <w:rPr>
          <w:rFonts w:cs="Arial" w:hint="cs"/>
          <w:b/>
          <w:bCs/>
          <w:sz w:val="16"/>
          <w:szCs w:val="16"/>
          <w:rtl/>
        </w:rPr>
        <w:t>ר"</w:t>
      </w:r>
      <w:r w:rsidRPr="00596A51">
        <w:rPr>
          <w:rFonts w:cs="Arial"/>
          <w:b/>
          <w:bCs/>
          <w:sz w:val="16"/>
          <w:szCs w:val="16"/>
          <w:rtl/>
        </w:rPr>
        <w:t>פ היו בודקין</w:t>
      </w:r>
      <w:r w:rsidRPr="00596A51">
        <w:rPr>
          <w:rFonts w:cs="Arial" w:hint="cs"/>
          <w:b/>
          <w:bCs/>
          <w:sz w:val="16"/>
          <w:szCs w:val="16"/>
          <w:rtl/>
        </w:rPr>
        <w:t>)</w:t>
      </w:r>
      <w:r w:rsidRPr="00596A51">
        <w:rPr>
          <w:rFonts w:cs="Arial"/>
          <w:b/>
          <w:bCs/>
          <w:sz w:val="16"/>
          <w:szCs w:val="16"/>
          <w:rtl/>
        </w:rPr>
        <w:t xml:space="preserve"> </w:t>
      </w:r>
      <w:r w:rsidRPr="00596A51">
        <w:rPr>
          <w:rFonts w:cs="Arial"/>
          <w:b/>
          <w:bCs/>
          <w:rtl/>
        </w:rPr>
        <w:t>מ</w:t>
      </w:r>
      <w:r w:rsidR="009B1EBC">
        <w:rPr>
          <w:rStyle w:val="ab"/>
          <w:rFonts w:cs="Arial"/>
          <w:b/>
          <w:bCs/>
          <w:rtl/>
        </w:rPr>
        <w:footnoteReference w:id="1006"/>
      </w:r>
      <w:r w:rsidRPr="00596A51">
        <w:rPr>
          <w:rFonts w:cs="Arial" w:hint="cs"/>
          <w:b/>
          <w:bCs/>
          <w:rtl/>
        </w:rPr>
        <w:t xml:space="preserve"> ע"א</w:t>
      </w:r>
      <w:r w:rsidRPr="00596A51">
        <w:rPr>
          <w:rFonts w:cs="Arial"/>
          <w:b/>
          <w:bCs/>
          <w:rtl/>
        </w:rPr>
        <w:t>:</w:t>
      </w:r>
      <w:r w:rsidRPr="00596A51">
        <w:rPr>
          <w:b/>
          <w:bCs/>
          <w:rtl/>
        </w:rPr>
        <w:t xml:space="preserve"> </w:t>
      </w:r>
      <w:r w:rsidRPr="00596A51">
        <w:rPr>
          <w:rFonts w:cs="Arial" w:hint="cs"/>
          <w:u w:val="double"/>
          <w:rtl/>
        </w:rPr>
        <w:t>משנה</w:t>
      </w:r>
      <w:r>
        <w:rPr>
          <w:rFonts w:cs="Arial" w:hint="cs"/>
          <w:rtl/>
        </w:rPr>
        <w:t xml:space="preserve">: היו בודקין אותן... </w:t>
      </w:r>
      <w:r w:rsidRPr="00596A51">
        <w:rPr>
          <w:rFonts w:cs="Arial"/>
          <w:rtl/>
        </w:rPr>
        <w:t>שנים עשר מחייבין ואחד עשר מזכין, ואפילו אחד עשר מזכין ואחד עשר מחייבין. ואחד אומר איני יודע, ואפילו עשרים ושנים מזכין או מחייבין ואחד אומר איני יודע - יוסיפו הדיינין. וכמה מוסיפין - שנים שנים, עד שבעים ואחד. שלשים וששה מזכין ושלשים וחמשה מחייבין - זכאי. שלשים וששה מחייבין ושלשים וחמשה מזכין - דנין אלו כנגד אלו, עד שיראה אחד מן המחייבין דברי המזכין.</w:t>
      </w:r>
      <w:r>
        <w:rPr>
          <w:rFonts w:hint="cs"/>
          <w:sz w:val="16"/>
          <w:szCs w:val="16"/>
          <w:rtl/>
        </w:rPr>
        <w:t xml:space="preserve"> (</w:t>
      </w:r>
      <w:r>
        <w:rPr>
          <w:rFonts w:cs="Arial" w:hint="cs"/>
          <w:sz w:val="16"/>
          <w:szCs w:val="16"/>
          <w:rtl/>
        </w:rPr>
        <w:t>וכל זה בדיני נפשות, ולמד מכאן הרמב"ם גם לדיני ממונות, ע"פ ב"י)</w:t>
      </w:r>
    </w:p>
    <w:p w14:paraId="2C2AB962" w14:textId="77777777" w:rsidR="00596A51" w:rsidRDefault="00596A51" w:rsidP="00AC4A6F">
      <w:pPr>
        <w:rPr>
          <w:rFonts w:cs="Arial"/>
          <w:rtl/>
        </w:rPr>
      </w:pPr>
      <w:r w:rsidRPr="00596A51">
        <w:rPr>
          <w:rFonts w:hint="cs"/>
          <w:u w:val="single"/>
          <w:rtl/>
        </w:rPr>
        <w:lastRenderedPageBreak/>
        <w:t>היו הדיינים מחצה על מחצה ואחד אומר 'איני יודע'</w:t>
      </w:r>
      <w:r w:rsidRPr="00596A51">
        <w:rPr>
          <w:rFonts w:cs="Arial" w:hint="cs"/>
          <w:u w:val="single"/>
          <w:rtl/>
        </w:rPr>
        <w:t>:</w:t>
      </w:r>
    </w:p>
    <w:p w14:paraId="7E16B440" w14:textId="77777777" w:rsidR="00596A51" w:rsidRPr="00596A51" w:rsidRDefault="00596A51" w:rsidP="004B0475">
      <w:pPr>
        <w:pStyle w:val="ac"/>
        <w:numPr>
          <w:ilvl w:val="0"/>
          <w:numId w:val="24"/>
        </w:numPr>
      </w:pPr>
      <w:r w:rsidRPr="00596A51">
        <w:rPr>
          <w:rFonts w:cs="Arial" w:hint="cs"/>
          <w:rtl/>
        </w:rPr>
        <w:t>רמב"ם</w:t>
      </w:r>
      <w:r>
        <w:rPr>
          <w:rFonts w:cs="Arial" w:hint="cs"/>
          <w:sz w:val="16"/>
          <w:szCs w:val="16"/>
          <w:rtl/>
        </w:rPr>
        <w:t xml:space="preserve"> (פ"ח ה"ב)</w:t>
      </w:r>
      <w:r w:rsidRPr="00596A51">
        <w:rPr>
          <w:rFonts w:cs="Arial" w:hint="cs"/>
          <w:rtl/>
        </w:rPr>
        <w:t xml:space="preserve"> וטור- </w:t>
      </w:r>
      <w:r w:rsidRPr="00596A51">
        <w:rPr>
          <w:rFonts w:cs="Arial"/>
          <w:rtl/>
        </w:rPr>
        <w:t xml:space="preserve">היו מחצה על מחצה ואחד אומר איני יודע </w:t>
      </w:r>
      <w:r w:rsidR="00466F21">
        <w:rPr>
          <w:rFonts w:cs="Arial" w:hint="cs"/>
          <w:rtl/>
        </w:rPr>
        <w:t xml:space="preserve">- </w:t>
      </w:r>
      <w:r w:rsidRPr="00596A51">
        <w:rPr>
          <w:rFonts w:cs="Arial"/>
          <w:rtl/>
        </w:rPr>
        <w:t>הרי אלו מוסיפין ב' אחרים</w:t>
      </w:r>
      <w:r w:rsidR="00466F21">
        <w:rPr>
          <w:rFonts w:cs="Arial" w:hint="cs"/>
          <w:rtl/>
        </w:rPr>
        <w:t>.</w:t>
      </w:r>
      <w:r w:rsidRPr="00596A51">
        <w:rPr>
          <w:rFonts w:cs="Arial"/>
          <w:rtl/>
        </w:rPr>
        <w:t xml:space="preserve"> וכן אם נסתפק הדבר מוסיפין והולכין עד שיגיע לע"א</w:t>
      </w:r>
      <w:r w:rsidR="00466F21">
        <w:rPr>
          <w:rFonts w:cs="Arial" w:hint="cs"/>
          <w:rtl/>
        </w:rPr>
        <w:t>.</w:t>
      </w:r>
      <w:r w:rsidRPr="00596A51">
        <w:rPr>
          <w:rFonts w:cs="Arial"/>
          <w:rtl/>
        </w:rPr>
        <w:t xml:space="preserve"> הגיעו לע"א</w:t>
      </w:r>
      <w:r w:rsidR="00466F21">
        <w:rPr>
          <w:rFonts w:cs="Arial" w:hint="cs"/>
          <w:rtl/>
        </w:rPr>
        <w:t>,</w:t>
      </w:r>
      <w:r w:rsidRPr="00596A51">
        <w:rPr>
          <w:rFonts w:cs="Arial"/>
          <w:rtl/>
        </w:rPr>
        <w:t xml:space="preserve"> ול"ה אומרים זכאי ול"ה אומרים חייב ואחד אומר איני יודע </w:t>
      </w:r>
      <w:r w:rsidR="00466F21">
        <w:rPr>
          <w:rFonts w:cs="Arial" w:hint="cs"/>
          <w:rtl/>
        </w:rPr>
        <w:t xml:space="preserve">- </w:t>
      </w:r>
      <w:r w:rsidRPr="00596A51">
        <w:rPr>
          <w:rFonts w:cs="Arial"/>
          <w:rtl/>
        </w:rPr>
        <w:t>נושאים ונותנין עמו עד שיחזור לצד האחד ונמצא ל"ו מזכין או מחייבים</w:t>
      </w:r>
      <w:r w:rsidRPr="00596A51">
        <w:rPr>
          <w:rFonts w:cs="Arial" w:hint="cs"/>
          <w:rtl/>
        </w:rPr>
        <w:t>,</w:t>
      </w:r>
      <w:r w:rsidRPr="00596A51">
        <w:rPr>
          <w:rFonts w:cs="Arial"/>
          <w:rtl/>
        </w:rPr>
        <w:t xml:space="preserve"> לא חזר לא הוא ולא אחד מהם נמצא הדבר ספק ומעמידין הממון בחזקת בעליו</w:t>
      </w:r>
      <w:r w:rsidRPr="00596A51">
        <w:rPr>
          <w:rFonts w:cs="Arial" w:hint="cs"/>
          <w:sz w:val="16"/>
          <w:szCs w:val="16"/>
          <w:rtl/>
        </w:rPr>
        <w:t xml:space="preserve"> (ל' הטור)</w:t>
      </w:r>
      <w:r w:rsidRPr="00596A51">
        <w:rPr>
          <w:rFonts w:cs="Arial" w:hint="cs"/>
          <w:rtl/>
        </w:rPr>
        <w:t xml:space="preserve">. </w:t>
      </w:r>
      <w:r w:rsidR="006E4626" w:rsidRPr="005A5E18">
        <w:rPr>
          <w:rFonts w:hint="cs"/>
          <w:color w:val="E36C0A" w:themeColor="accent6" w:themeShade="BF"/>
          <w:rtl/>
        </w:rPr>
        <w:t>(וכ"פ בשו"ע)</w:t>
      </w:r>
    </w:p>
    <w:p w14:paraId="480DE6B2" w14:textId="77777777" w:rsidR="00E137BC" w:rsidRPr="00576D5C" w:rsidRDefault="00E137BC" w:rsidP="00576D5C">
      <w:pPr>
        <w:rPr>
          <w:rFonts w:asciiTheme="minorBidi" w:hAnsiTheme="minorBidi"/>
          <w:b/>
          <w:bCs/>
          <w:color w:val="000000"/>
          <w:sz w:val="28"/>
          <w:szCs w:val="28"/>
          <w:u w:val="single"/>
          <w:rtl/>
        </w:rPr>
      </w:pPr>
      <w:r w:rsidRPr="00576D5C">
        <w:rPr>
          <w:rFonts w:asciiTheme="minorBidi" w:hAnsiTheme="minorBidi"/>
          <w:b/>
          <w:bCs/>
          <w:color w:val="000000"/>
          <w:sz w:val="28"/>
          <w:szCs w:val="28"/>
          <w:u w:val="single"/>
          <w:rtl/>
        </w:rPr>
        <w:t>שו"ע:</w:t>
      </w:r>
    </w:p>
    <w:p w14:paraId="585826C9" w14:textId="77777777" w:rsidR="00E137BC" w:rsidRDefault="00E137BC" w:rsidP="00576D5C">
      <w:pPr>
        <w:rPr>
          <w:rFonts w:asciiTheme="minorBidi" w:hAnsiTheme="minorBidi"/>
          <w:rtl/>
        </w:rPr>
      </w:pPr>
      <w:r w:rsidRPr="00576D5C">
        <w:rPr>
          <w:rFonts w:asciiTheme="minorBidi" w:hAnsiTheme="minorBidi"/>
          <w:rtl/>
        </w:rPr>
        <w:t xml:space="preserve">היו מחצה על מחצה, ואחד אומר איני יודע, הרי אלו מוסיפין שנים אחרים. וכן אם נסתפק הדבר, מוסיפין והולכים עד ע"א. הגיעו לע"א ואמרו ל"ה זכאי, ול"ה חייב, ואחד אומר איני יודע, נושאים ונותנים עמו עד שיחזור לצד האחד ונמצא ל"ו מזכין או מחייבין. ואם לא חזר לא הוא ולא אחד מהם, הרי הממון ספק ומעמידים הממון בחזקת בעליו. </w:t>
      </w:r>
    </w:p>
    <w:p w14:paraId="48D4CAFB" w14:textId="77777777" w:rsidR="00C45D95" w:rsidRPr="00576D5C" w:rsidRDefault="00C45D95" w:rsidP="00576D5C">
      <w:pPr>
        <w:rPr>
          <w:rFonts w:asciiTheme="minorBidi" w:hAnsiTheme="minorBidi"/>
          <w:rtl/>
        </w:rPr>
      </w:pPr>
    </w:p>
    <w:p w14:paraId="267BD07C" w14:textId="77777777" w:rsidR="00E137BC" w:rsidRDefault="00E137BC" w:rsidP="006567B0">
      <w:pPr>
        <w:pStyle w:val="2"/>
        <w:rPr>
          <w:rtl/>
        </w:rPr>
      </w:pPr>
      <w:bookmarkStart w:id="157" w:name="_Toc24883640"/>
      <w:r w:rsidRPr="00576D5C">
        <w:rPr>
          <w:rtl/>
        </w:rPr>
        <w:t>סעיף ג</w:t>
      </w:r>
      <w:r w:rsidR="00C45D95">
        <w:rPr>
          <w:rFonts w:hint="cs"/>
          <w:rtl/>
        </w:rPr>
        <w:t>:</w:t>
      </w:r>
      <w:r w:rsidR="0026699A">
        <w:rPr>
          <w:rFonts w:hint="cs"/>
          <w:rtl/>
        </w:rPr>
        <w:t xml:space="preserve"> דיין שאמר 'איני יודע' אינו צריך צריך להסביר למה.</w:t>
      </w:r>
      <w:bookmarkEnd w:id="157"/>
    </w:p>
    <w:p w14:paraId="76F9DB97" w14:textId="77777777" w:rsidR="00596A51" w:rsidRDefault="0026699A" w:rsidP="00596A51">
      <w:pPr>
        <w:rPr>
          <w:rFonts w:cs="Arial"/>
          <w:rtl/>
        </w:rPr>
      </w:pPr>
      <w:r>
        <w:rPr>
          <w:rFonts w:hint="cs"/>
          <w:u w:val="single"/>
          <w:rtl/>
        </w:rPr>
        <w:t>דיין ש</w:t>
      </w:r>
      <w:r w:rsidR="00596A51" w:rsidRPr="00596A51">
        <w:rPr>
          <w:rFonts w:hint="cs"/>
          <w:u w:val="single"/>
          <w:rtl/>
        </w:rPr>
        <w:t>אמר 'איני יודע'</w:t>
      </w:r>
      <w:r>
        <w:rPr>
          <w:rFonts w:cs="Arial" w:hint="cs"/>
          <w:u w:val="single"/>
          <w:rtl/>
        </w:rPr>
        <w:t xml:space="preserve"> </w:t>
      </w:r>
      <w:r>
        <w:rPr>
          <w:rFonts w:cs="Arial"/>
          <w:u w:val="single"/>
          <w:rtl/>
        </w:rPr>
        <w:t>–</w:t>
      </w:r>
      <w:r>
        <w:rPr>
          <w:rFonts w:cs="Arial" w:hint="cs"/>
          <w:u w:val="single"/>
          <w:rtl/>
        </w:rPr>
        <w:t xml:space="preserve"> האם צר</w:t>
      </w:r>
      <w:r w:rsidR="006E4626">
        <w:rPr>
          <w:rFonts w:cs="Arial" w:hint="cs"/>
          <w:u w:val="single"/>
          <w:rtl/>
        </w:rPr>
        <w:t>י</w:t>
      </w:r>
      <w:r>
        <w:rPr>
          <w:rFonts w:cs="Arial" w:hint="cs"/>
          <w:u w:val="single"/>
          <w:rtl/>
        </w:rPr>
        <w:t>ך ליתן טעם לדבריו</w:t>
      </w:r>
      <w:r w:rsidR="00596A51" w:rsidRPr="00596A51">
        <w:rPr>
          <w:rFonts w:cs="Arial" w:hint="cs"/>
          <w:u w:val="single"/>
          <w:rtl/>
        </w:rPr>
        <w:t>:</w:t>
      </w:r>
    </w:p>
    <w:p w14:paraId="6A6A390C" w14:textId="77777777" w:rsidR="00596A51" w:rsidRPr="00C45D95" w:rsidRDefault="00596A51" w:rsidP="004B0475">
      <w:pPr>
        <w:pStyle w:val="ac"/>
        <w:numPr>
          <w:ilvl w:val="0"/>
          <w:numId w:val="24"/>
        </w:numPr>
        <w:rPr>
          <w:rtl/>
        </w:rPr>
      </w:pPr>
      <w:r w:rsidRPr="00596A51">
        <w:rPr>
          <w:rFonts w:cs="Arial" w:hint="cs"/>
          <w:rtl/>
        </w:rPr>
        <w:t>רמב"ם</w:t>
      </w:r>
      <w:r w:rsidRPr="00596A51">
        <w:rPr>
          <w:rFonts w:cs="Arial" w:hint="cs"/>
          <w:sz w:val="16"/>
          <w:szCs w:val="16"/>
          <w:rtl/>
        </w:rPr>
        <w:t xml:space="preserve"> (פ"ח ה"</w:t>
      </w:r>
      <w:r>
        <w:rPr>
          <w:rFonts w:cs="Arial" w:hint="cs"/>
          <w:sz w:val="16"/>
          <w:szCs w:val="16"/>
          <w:rtl/>
        </w:rPr>
        <w:t>ג</w:t>
      </w:r>
      <w:r w:rsidRPr="00596A51">
        <w:rPr>
          <w:rFonts w:cs="Arial" w:hint="cs"/>
          <w:sz w:val="16"/>
          <w:szCs w:val="16"/>
          <w:rtl/>
        </w:rPr>
        <w:t>)</w:t>
      </w:r>
      <w:r w:rsidRPr="00596A51">
        <w:rPr>
          <w:rFonts w:cs="Arial" w:hint="cs"/>
          <w:rtl/>
        </w:rPr>
        <w:t xml:space="preserve"> וטור-</w:t>
      </w:r>
      <w:r>
        <w:rPr>
          <w:rFonts w:hint="cs"/>
          <w:rtl/>
        </w:rPr>
        <w:t xml:space="preserve"> </w:t>
      </w:r>
      <w:r w:rsidRPr="00596A51">
        <w:rPr>
          <w:rFonts w:cs="Arial"/>
          <w:rtl/>
        </w:rPr>
        <w:t xml:space="preserve">כל מי שאומר איני יודע </w:t>
      </w:r>
      <w:r w:rsidR="00535811">
        <w:rPr>
          <w:rFonts w:cs="Arial" w:hint="cs"/>
          <w:rtl/>
        </w:rPr>
        <w:t xml:space="preserve">- </w:t>
      </w:r>
      <w:r w:rsidRPr="00596A51">
        <w:rPr>
          <w:rFonts w:cs="Arial"/>
          <w:rtl/>
        </w:rPr>
        <w:t>א</w:t>
      </w:r>
      <w:r w:rsidR="0026699A">
        <w:rPr>
          <w:rFonts w:cs="Arial" w:hint="cs"/>
          <w:rtl/>
        </w:rPr>
        <w:t xml:space="preserve">ינו </w:t>
      </w:r>
      <w:r w:rsidRPr="00596A51">
        <w:rPr>
          <w:rFonts w:cs="Arial"/>
          <w:rtl/>
        </w:rPr>
        <w:t>צ</w:t>
      </w:r>
      <w:r w:rsidR="0026699A">
        <w:rPr>
          <w:rFonts w:cs="Arial" w:hint="cs"/>
          <w:rtl/>
        </w:rPr>
        <w:t>ריך</w:t>
      </w:r>
      <w:r w:rsidRPr="00596A51">
        <w:rPr>
          <w:rFonts w:cs="Arial"/>
          <w:rtl/>
        </w:rPr>
        <w:t xml:space="preserve"> ליתן טעם לדבריו ולהודיע מאיזה טעם בא לו הספק כדרך שמראה המזכה מאיזה טעם מזכה והמחייב מאיזה טעם מחייב</w:t>
      </w:r>
      <w:r w:rsidRPr="00596A51">
        <w:rPr>
          <w:rFonts w:cs="Arial" w:hint="cs"/>
          <w:sz w:val="16"/>
          <w:szCs w:val="16"/>
          <w:rtl/>
        </w:rPr>
        <w:t xml:space="preserve"> (ל' הטור)</w:t>
      </w:r>
      <w:r w:rsidRPr="00596A51">
        <w:rPr>
          <w:rFonts w:cs="Arial" w:hint="cs"/>
          <w:rtl/>
        </w:rPr>
        <w:t>.</w:t>
      </w:r>
      <w:r w:rsidR="006E4626" w:rsidRPr="006E4626">
        <w:rPr>
          <w:rFonts w:hint="cs"/>
          <w:color w:val="E36C0A" w:themeColor="accent6" w:themeShade="BF"/>
          <w:rtl/>
        </w:rPr>
        <w:t xml:space="preserve"> </w:t>
      </w:r>
      <w:r w:rsidR="006E4626" w:rsidRPr="005A5E18">
        <w:rPr>
          <w:rFonts w:hint="cs"/>
          <w:color w:val="E36C0A" w:themeColor="accent6" w:themeShade="BF"/>
          <w:rtl/>
        </w:rPr>
        <w:t>(וכ"פ בשו"ע)</w:t>
      </w:r>
    </w:p>
    <w:p w14:paraId="081B71AE" w14:textId="77777777" w:rsidR="00E137BC" w:rsidRPr="00576D5C" w:rsidRDefault="00E137BC" w:rsidP="00576D5C">
      <w:pPr>
        <w:rPr>
          <w:rFonts w:asciiTheme="minorBidi" w:hAnsiTheme="minorBidi"/>
          <w:b/>
          <w:bCs/>
          <w:color w:val="000000"/>
          <w:sz w:val="28"/>
          <w:szCs w:val="28"/>
          <w:u w:val="single"/>
          <w:rtl/>
        </w:rPr>
      </w:pPr>
      <w:r w:rsidRPr="00576D5C">
        <w:rPr>
          <w:rFonts w:asciiTheme="minorBidi" w:hAnsiTheme="minorBidi"/>
          <w:b/>
          <w:bCs/>
          <w:color w:val="000000"/>
          <w:sz w:val="28"/>
          <w:szCs w:val="28"/>
          <w:u w:val="single"/>
          <w:rtl/>
        </w:rPr>
        <w:t>שו"ע:</w:t>
      </w:r>
    </w:p>
    <w:p w14:paraId="1FE4DE67" w14:textId="77777777" w:rsidR="00E137BC" w:rsidRDefault="00E137BC" w:rsidP="00576D5C">
      <w:pPr>
        <w:rPr>
          <w:rFonts w:asciiTheme="minorBidi" w:hAnsiTheme="minorBidi"/>
          <w:rtl/>
        </w:rPr>
      </w:pPr>
      <w:r w:rsidRPr="00576D5C">
        <w:rPr>
          <w:rFonts w:asciiTheme="minorBidi" w:hAnsiTheme="minorBidi"/>
          <w:rtl/>
        </w:rPr>
        <w:t xml:space="preserve">כל מי שאומר איני יודע, אינו צריך לתת טעם לדבריו ולהודיע מאיזה טעם בא לו הספק כדרך שמראה המזכה מאיזה טעם מזכה והמחייב מאיזה טעם מחייב. </w:t>
      </w:r>
    </w:p>
    <w:p w14:paraId="2A34E61E" w14:textId="77777777" w:rsidR="00C45D95" w:rsidRPr="00576D5C" w:rsidRDefault="00C45D95" w:rsidP="00576D5C">
      <w:pPr>
        <w:rPr>
          <w:rFonts w:asciiTheme="minorBidi" w:hAnsiTheme="minorBidi"/>
          <w:rtl/>
        </w:rPr>
      </w:pPr>
    </w:p>
    <w:p w14:paraId="4A6CD86D" w14:textId="77777777" w:rsidR="00E137BC" w:rsidRDefault="00E137BC" w:rsidP="006567B0">
      <w:pPr>
        <w:pStyle w:val="2"/>
        <w:rPr>
          <w:rtl/>
        </w:rPr>
      </w:pPr>
      <w:bookmarkStart w:id="158" w:name="_Toc24883641"/>
      <w:r w:rsidRPr="00576D5C">
        <w:rPr>
          <w:rtl/>
        </w:rPr>
        <w:t>סעיף ד</w:t>
      </w:r>
      <w:r w:rsidR="00C45D95">
        <w:rPr>
          <w:rFonts w:hint="cs"/>
          <w:rtl/>
        </w:rPr>
        <w:t>:</w:t>
      </w:r>
      <w:r w:rsidR="0026699A">
        <w:rPr>
          <w:rFonts w:hint="cs"/>
          <w:rtl/>
        </w:rPr>
        <w:t xml:space="preserve"> ג' שישבו לדין וסילק א' מהם עצמו.</w:t>
      </w:r>
      <w:bookmarkEnd w:id="158"/>
    </w:p>
    <w:p w14:paraId="4CB7AB08" w14:textId="77777777" w:rsidR="0066473E" w:rsidRPr="0066473E" w:rsidRDefault="0066473E" w:rsidP="0066473E">
      <w:pPr>
        <w:rPr>
          <w:rFonts w:cs="Arial"/>
          <w:u w:val="single"/>
          <w:rtl/>
        </w:rPr>
      </w:pPr>
      <w:r w:rsidRPr="0066473E">
        <w:rPr>
          <w:rFonts w:cs="Arial"/>
          <w:u w:val="single"/>
          <w:rtl/>
        </w:rPr>
        <w:t>שלשה שישבו לדין וסילק האחד עצמו</w:t>
      </w:r>
      <w:r w:rsidRPr="0066473E">
        <w:rPr>
          <w:rFonts w:cs="Arial" w:hint="cs"/>
          <w:u w:val="single"/>
          <w:rtl/>
        </w:rPr>
        <w:t>:</w:t>
      </w:r>
      <w:r w:rsidRPr="0066473E">
        <w:rPr>
          <w:rFonts w:cs="Arial"/>
          <w:u w:val="single"/>
          <w:rtl/>
        </w:rPr>
        <w:t xml:space="preserve"> </w:t>
      </w:r>
    </w:p>
    <w:p w14:paraId="3D293F27" w14:textId="77777777" w:rsidR="00C45D95" w:rsidRPr="00C45D95" w:rsidRDefault="0066473E" w:rsidP="004B0475">
      <w:pPr>
        <w:pStyle w:val="ac"/>
        <w:numPr>
          <w:ilvl w:val="0"/>
          <w:numId w:val="24"/>
        </w:numPr>
        <w:rPr>
          <w:rtl/>
        </w:rPr>
      </w:pPr>
      <w:r w:rsidRPr="0066473E">
        <w:rPr>
          <w:rFonts w:cs="Arial"/>
          <w:rtl/>
        </w:rPr>
        <w:t>הג</w:t>
      </w:r>
      <w:r w:rsidRPr="0066473E">
        <w:rPr>
          <w:rFonts w:cs="Arial" w:hint="cs"/>
          <w:rtl/>
        </w:rPr>
        <w:t>"</w:t>
      </w:r>
      <w:r w:rsidRPr="0066473E">
        <w:rPr>
          <w:rFonts w:cs="Arial"/>
          <w:rtl/>
        </w:rPr>
        <w:t xml:space="preserve">א </w:t>
      </w:r>
      <w:r w:rsidRPr="0066473E">
        <w:rPr>
          <w:rFonts w:cs="Arial" w:hint="cs"/>
          <w:sz w:val="16"/>
          <w:szCs w:val="16"/>
          <w:rtl/>
        </w:rPr>
        <w:t>(</w:t>
      </w:r>
      <w:r w:rsidRPr="0066473E">
        <w:rPr>
          <w:rFonts w:cs="Arial"/>
          <w:sz w:val="16"/>
          <w:szCs w:val="16"/>
          <w:rtl/>
        </w:rPr>
        <w:t>פ</w:t>
      </w:r>
      <w:r w:rsidRPr="0066473E">
        <w:rPr>
          <w:rFonts w:cs="Arial" w:hint="cs"/>
          <w:sz w:val="16"/>
          <w:szCs w:val="16"/>
          <w:rtl/>
        </w:rPr>
        <w:t>"</w:t>
      </w:r>
      <w:r w:rsidRPr="0066473E">
        <w:rPr>
          <w:rFonts w:cs="Arial"/>
          <w:sz w:val="16"/>
          <w:szCs w:val="16"/>
          <w:rtl/>
        </w:rPr>
        <w:t>ק דסנהדרין סי' ו)</w:t>
      </w:r>
      <w:r w:rsidRPr="0066473E">
        <w:rPr>
          <w:rFonts w:cs="Arial" w:hint="cs"/>
          <w:rtl/>
        </w:rPr>
        <w:t>-</w:t>
      </w:r>
      <w:r w:rsidRPr="0066473E">
        <w:rPr>
          <w:rFonts w:cs="Arial"/>
          <w:rtl/>
        </w:rPr>
        <w:t xml:space="preserve"> שלשה שישבו לדין וסילק האחד עצמו אין השנים יכולים לגמור הדין כיון דמעיקרא אדעתא דתלתא יתבי</w:t>
      </w:r>
      <w:r>
        <w:rPr>
          <w:rStyle w:val="ab"/>
          <w:rFonts w:cs="Arial"/>
          <w:rtl/>
        </w:rPr>
        <w:footnoteReference w:id="1007"/>
      </w:r>
      <w:r w:rsidRPr="0066473E">
        <w:rPr>
          <w:rFonts w:cs="Arial" w:hint="cs"/>
          <w:rtl/>
        </w:rPr>
        <w:t>.</w:t>
      </w:r>
      <w:r w:rsidR="006E4626">
        <w:rPr>
          <w:rFonts w:hint="cs"/>
          <w:color w:val="E36C0A" w:themeColor="accent6" w:themeShade="BF"/>
          <w:rtl/>
        </w:rPr>
        <w:t xml:space="preserve"> </w:t>
      </w:r>
      <w:r w:rsidR="006E4626" w:rsidRPr="005A5E18">
        <w:rPr>
          <w:rFonts w:hint="cs"/>
          <w:color w:val="E36C0A" w:themeColor="accent6" w:themeShade="BF"/>
          <w:rtl/>
        </w:rPr>
        <w:t>(וכ"פ בשו"ע)</w:t>
      </w:r>
    </w:p>
    <w:p w14:paraId="72688E8F" w14:textId="77777777" w:rsidR="00E137BC" w:rsidRPr="00576D5C" w:rsidRDefault="00E137BC" w:rsidP="00576D5C">
      <w:pPr>
        <w:rPr>
          <w:rFonts w:asciiTheme="minorBidi" w:hAnsiTheme="minorBidi"/>
          <w:b/>
          <w:bCs/>
          <w:color w:val="000000"/>
          <w:sz w:val="28"/>
          <w:szCs w:val="28"/>
          <w:u w:val="single"/>
          <w:rtl/>
        </w:rPr>
      </w:pPr>
      <w:r w:rsidRPr="00576D5C">
        <w:rPr>
          <w:rFonts w:asciiTheme="minorBidi" w:hAnsiTheme="minorBidi"/>
          <w:b/>
          <w:bCs/>
          <w:color w:val="000000"/>
          <w:sz w:val="28"/>
          <w:szCs w:val="28"/>
          <w:u w:val="single"/>
          <w:rtl/>
        </w:rPr>
        <w:t>שו"ע:</w:t>
      </w:r>
    </w:p>
    <w:p w14:paraId="30320A86" w14:textId="77777777" w:rsidR="00E137BC" w:rsidRDefault="00E137BC" w:rsidP="00576D5C">
      <w:pPr>
        <w:rPr>
          <w:rFonts w:asciiTheme="minorBidi" w:hAnsiTheme="minorBidi"/>
          <w:rtl/>
        </w:rPr>
      </w:pPr>
      <w:r w:rsidRPr="00576D5C">
        <w:rPr>
          <w:rFonts w:asciiTheme="minorBidi" w:hAnsiTheme="minorBidi"/>
          <w:rtl/>
        </w:rPr>
        <w:t>שלשה שישבו לדין, וסלק אחד מהם עצמו, אין השנים יכולים לגמור הדין</w:t>
      </w:r>
      <w:r w:rsidR="0026699A">
        <w:rPr>
          <w:rStyle w:val="ab"/>
          <w:rFonts w:asciiTheme="minorBidi" w:hAnsiTheme="minorBidi"/>
          <w:rtl/>
        </w:rPr>
        <w:footnoteReference w:id="1008"/>
      </w:r>
      <w:r w:rsidRPr="00576D5C">
        <w:rPr>
          <w:rFonts w:asciiTheme="minorBidi" w:hAnsiTheme="minorBidi"/>
          <w:rtl/>
        </w:rPr>
        <w:t xml:space="preserve">. </w:t>
      </w:r>
      <w:r w:rsidRPr="00C45D95">
        <w:rPr>
          <w:rFonts w:asciiTheme="minorBidi" w:hAnsiTheme="minorBidi"/>
          <w:sz w:val="18"/>
          <w:szCs w:val="18"/>
          <w:rtl/>
        </w:rPr>
        <w:t>הגה: והוא הדין אם נבררו מתחלה יותר משלשה ונסתלק אחד כמו שנתבאר לעיל סוף סימן י"ג</w:t>
      </w:r>
      <w:r w:rsidR="0026699A">
        <w:rPr>
          <w:rStyle w:val="ab"/>
          <w:rFonts w:asciiTheme="minorBidi" w:hAnsiTheme="minorBidi"/>
          <w:sz w:val="18"/>
          <w:szCs w:val="18"/>
          <w:rtl/>
        </w:rPr>
        <w:footnoteReference w:id="1009"/>
      </w:r>
      <w:r w:rsidRPr="00C45D95">
        <w:rPr>
          <w:rFonts w:asciiTheme="minorBidi" w:hAnsiTheme="minorBidi"/>
          <w:sz w:val="18"/>
          <w:szCs w:val="18"/>
          <w:rtl/>
        </w:rPr>
        <w:t>.</w:t>
      </w:r>
      <w:r w:rsidRPr="00576D5C">
        <w:rPr>
          <w:rFonts w:asciiTheme="minorBidi" w:hAnsiTheme="minorBidi"/>
          <w:rtl/>
        </w:rPr>
        <w:t xml:space="preserve"> </w:t>
      </w:r>
    </w:p>
    <w:p w14:paraId="0ACA72DA" w14:textId="77777777" w:rsidR="00C45D95" w:rsidRPr="00576D5C" w:rsidRDefault="00C45D95" w:rsidP="00576D5C">
      <w:pPr>
        <w:rPr>
          <w:rFonts w:asciiTheme="minorBidi" w:hAnsiTheme="minorBidi"/>
          <w:rtl/>
        </w:rPr>
      </w:pPr>
    </w:p>
    <w:p w14:paraId="13A4C334" w14:textId="77777777" w:rsidR="00E137BC" w:rsidRDefault="00E137BC" w:rsidP="006567B0">
      <w:pPr>
        <w:pStyle w:val="2"/>
        <w:rPr>
          <w:rtl/>
        </w:rPr>
      </w:pPr>
      <w:bookmarkStart w:id="159" w:name="_Toc24883642"/>
      <w:r w:rsidRPr="00576D5C">
        <w:rPr>
          <w:rtl/>
        </w:rPr>
        <w:lastRenderedPageBreak/>
        <w:t>סעיף ה</w:t>
      </w:r>
      <w:r w:rsidR="00C45D95">
        <w:rPr>
          <w:rFonts w:hint="cs"/>
          <w:rtl/>
        </w:rPr>
        <w:t>:</w:t>
      </w:r>
      <w:r w:rsidR="002D2FEF">
        <w:rPr>
          <w:rFonts w:hint="cs"/>
          <w:rtl/>
        </w:rPr>
        <w:t xml:space="preserve"> רב ותלמידו </w:t>
      </w:r>
      <w:r w:rsidR="002D2FEF">
        <w:rPr>
          <w:rtl/>
        </w:rPr>
        <w:t>–</w:t>
      </w:r>
      <w:r w:rsidR="00402C19">
        <w:rPr>
          <w:rFonts w:hint="cs"/>
          <w:rtl/>
        </w:rPr>
        <w:t xml:space="preserve"> מתי </w:t>
      </w:r>
      <w:r w:rsidR="002D2FEF">
        <w:rPr>
          <w:rFonts w:hint="cs"/>
          <w:rtl/>
        </w:rPr>
        <w:t xml:space="preserve">חשיבי </w:t>
      </w:r>
      <w:r w:rsidR="00402C19">
        <w:rPr>
          <w:rFonts w:hint="cs"/>
          <w:rtl/>
        </w:rPr>
        <w:t>כ</w:t>
      </w:r>
      <w:r w:rsidR="002D2FEF">
        <w:rPr>
          <w:rFonts w:hint="cs"/>
          <w:rtl/>
        </w:rPr>
        <w:t>שניים</w:t>
      </w:r>
      <w:r w:rsidR="00402C19">
        <w:rPr>
          <w:rFonts w:hint="cs"/>
          <w:rtl/>
        </w:rPr>
        <w:t xml:space="preserve"> ומתי חשיבי כאחד</w:t>
      </w:r>
      <w:r w:rsidR="002D2FEF">
        <w:rPr>
          <w:rFonts w:hint="cs"/>
          <w:rtl/>
        </w:rPr>
        <w:t>.</w:t>
      </w:r>
      <w:bookmarkEnd w:id="159"/>
    </w:p>
    <w:p w14:paraId="32E16999" w14:textId="77777777" w:rsidR="002D2FEF" w:rsidRPr="002D2FEF" w:rsidRDefault="002D2FEF" w:rsidP="002D2FEF">
      <w:pPr>
        <w:rPr>
          <w:rtl/>
        </w:rPr>
      </w:pPr>
      <w:r>
        <w:rPr>
          <w:rFonts w:cs="Arial" w:hint="cs"/>
          <w:b/>
          <w:bCs/>
          <w:rtl/>
        </w:rPr>
        <w:t xml:space="preserve">סנהדרין </w:t>
      </w:r>
      <w:r>
        <w:rPr>
          <w:rFonts w:cs="Arial" w:hint="cs"/>
          <w:b/>
          <w:bCs/>
          <w:sz w:val="16"/>
          <w:szCs w:val="16"/>
          <w:rtl/>
        </w:rPr>
        <w:t>(פ' אחד דיני ממונות)</w:t>
      </w:r>
      <w:r>
        <w:rPr>
          <w:rFonts w:cs="Arial" w:hint="cs"/>
          <w:b/>
          <w:bCs/>
          <w:rtl/>
        </w:rPr>
        <w:t xml:space="preserve"> לו</w:t>
      </w:r>
      <w:r w:rsidR="00104A24">
        <w:rPr>
          <w:rStyle w:val="ab"/>
          <w:rFonts w:cs="Arial"/>
          <w:b/>
          <w:bCs/>
          <w:rtl/>
        </w:rPr>
        <w:footnoteReference w:id="1010"/>
      </w:r>
      <w:r>
        <w:rPr>
          <w:rFonts w:cs="Arial" w:hint="cs"/>
          <w:b/>
          <w:bCs/>
          <w:rtl/>
        </w:rPr>
        <w:t xml:space="preserve"> ע"א: </w:t>
      </w:r>
      <w:r w:rsidRPr="00402C19">
        <w:rPr>
          <w:rFonts w:cs="Arial"/>
          <w:u w:val="single"/>
          <w:rtl/>
        </w:rPr>
        <w:t>אמר רב</w:t>
      </w:r>
      <w:r w:rsidRPr="002D2FEF">
        <w:rPr>
          <w:rFonts w:cs="Arial"/>
          <w:rtl/>
        </w:rPr>
        <w:t>: שונה אדם לתלמידו</w:t>
      </w:r>
      <w:r w:rsidR="00402C19">
        <w:rPr>
          <w:rStyle w:val="ab"/>
          <w:rFonts w:cs="Arial"/>
          <w:rtl/>
        </w:rPr>
        <w:footnoteReference w:id="1011"/>
      </w:r>
      <w:r w:rsidRPr="002D2FEF">
        <w:rPr>
          <w:rFonts w:cs="Arial"/>
          <w:rtl/>
        </w:rPr>
        <w:t>, ודן עמו בדיני נפשות. מיתיבי: הטהרות והטמאות</w:t>
      </w:r>
      <w:r w:rsidR="00402C19">
        <w:rPr>
          <w:rStyle w:val="ab"/>
          <w:rFonts w:cs="Arial"/>
          <w:rtl/>
        </w:rPr>
        <w:footnoteReference w:id="1012"/>
      </w:r>
      <w:r w:rsidRPr="002D2FEF">
        <w:rPr>
          <w:rFonts w:cs="Arial"/>
          <w:rtl/>
        </w:rPr>
        <w:t>, האב ובנו, הרב ותלמידו - מונין להם שנים. דיני ממונות ודיני נפשות ודיני מכות, קידוש החדש ועיבור שנה - אב ובנו, הרב ותלמידו אין מונין להן אלא אחד!</w:t>
      </w:r>
      <w:r w:rsidR="00402C19">
        <w:rPr>
          <w:rFonts w:hint="cs"/>
          <w:sz w:val="16"/>
          <w:szCs w:val="16"/>
          <w:rtl/>
        </w:rPr>
        <w:t xml:space="preserve"> </w:t>
      </w:r>
      <w:r w:rsidR="00402C19">
        <w:rPr>
          <w:rFonts w:hint="cs"/>
          <w:sz w:val="14"/>
          <w:szCs w:val="14"/>
          <w:rtl/>
        </w:rPr>
        <w:t>(לו:)</w:t>
      </w:r>
      <w:r w:rsidR="00402C19" w:rsidRPr="00402C19">
        <w:rPr>
          <w:rtl/>
        </w:rPr>
        <w:t xml:space="preserve"> </w:t>
      </w:r>
      <w:r w:rsidR="00402C19" w:rsidRPr="00402C19">
        <w:rPr>
          <w:rFonts w:cs="Arial"/>
          <w:rtl/>
        </w:rPr>
        <w:t>כי קאמר רב</w:t>
      </w:r>
      <w:r w:rsidR="00402C19">
        <w:rPr>
          <w:rStyle w:val="ab"/>
          <w:rFonts w:cs="Arial"/>
          <w:rtl/>
        </w:rPr>
        <w:footnoteReference w:id="1013"/>
      </w:r>
      <w:r w:rsidR="00402C19" w:rsidRPr="00402C19">
        <w:rPr>
          <w:rFonts w:cs="Arial"/>
          <w:rtl/>
        </w:rPr>
        <w:t xml:space="preserve"> - כגון רב כהנא ורב אסי, דלגמריה דרב הוו צריכי, ולסבריה דרב לא הוו צריכי.</w:t>
      </w:r>
    </w:p>
    <w:p w14:paraId="0C9CE5E8" w14:textId="77777777" w:rsidR="002D2FEF" w:rsidRDefault="002D2FEF" w:rsidP="00C45D95">
      <w:pPr>
        <w:rPr>
          <w:rFonts w:cs="Arial"/>
          <w:rtl/>
        </w:rPr>
      </w:pPr>
      <w:r w:rsidRPr="002D2FEF">
        <w:rPr>
          <w:rFonts w:cs="Arial" w:hint="cs"/>
          <w:u w:val="single"/>
          <w:rtl/>
        </w:rPr>
        <w:t xml:space="preserve">רב ותלמידו </w:t>
      </w:r>
      <w:r w:rsidRPr="002D2FEF">
        <w:rPr>
          <w:rFonts w:cs="Arial"/>
          <w:u w:val="single"/>
          <w:rtl/>
        </w:rPr>
        <w:t>–</w:t>
      </w:r>
      <w:r w:rsidRPr="002D2FEF">
        <w:rPr>
          <w:rFonts w:cs="Arial" w:hint="cs"/>
          <w:u w:val="single"/>
          <w:rtl/>
        </w:rPr>
        <w:t xml:space="preserve"> לעניין </w:t>
      </w:r>
      <w:r>
        <w:rPr>
          <w:rFonts w:cs="Arial" w:hint="cs"/>
          <w:u w:val="single"/>
          <w:rtl/>
        </w:rPr>
        <w:t xml:space="preserve">דיני </w:t>
      </w:r>
      <w:r w:rsidR="00402C19">
        <w:rPr>
          <w:rFonts w:cs="Arial" w:hint="cs"/>
          <w:u w:val="single"/>
          <w:rtl/>
        </w:rPr>
        <w:t>נפשות ו</w:t>
      </w:r>
      <w:r>
        <w:rPr>
          <w:rFonts w:cs="Arial" w:hint="cs"/>
          <w:u w:val="single"/>
          <w:rtl/>
        </w:rPr>
        <w:t>ממונות</w:t>
      </w:r>
      <w:r w:rsidRPr="002D2FEF">
        <w:rPr>
          <w:rFonts w:cs="Arial" w:hint="cs"/>
          <w:u w:val="single"/>
          <w:rtl/>
        </w:rPr>
        <w:t>:</w:t>
      </w:r>
      <w:r>
        <w:rPr>
          <w:rFonts w:cs="Arial" w:hint="cs"/>
          <w:rtl/>
        </w:rPr>
        <w:t xml:space="preserve">   </w:t>
      </w:r>
    </w:p>
    <w:p w14:paraId="7A2CA828" w14:textId="77777777" w:rsidR="002D2FEF" w:rsidRPr="002D2FEF" w:rsidRDefault="00AC4A6F" w:rsidP="004B0475">
      <w:pPr>
        <w:pStyle w:val="ac"/>
        <w:numPr>
          <w:ilvl w:val="0"/>
          <w:numId w:val="24"/>
        </w:numPr>
        <w:rPr>
          <w:rFonts w:cs="Arial"/>
          <w:rtl/>
        </w:rPr>
      </w:pPr>
      <w:r w:rsidRPr="002D2FEF">
        <w:rPr>
          <w:rFonts w:cs="Arial"/>
          <w:rtl/>
        </w:rPr>
        <w:t xml:space="preserve">מרדכי </w:t>
      </w:r>
      <w:r w:rsidR="002D2FEF" w:rsidRPr="002D2FEF">
        <w:rPr>
          <w:rFonts w:cs="Arial" w:hint="cs"/>
          <w:sz w:val="16"/>
          <w:szCs w:val="16"/>
          <w:rtl/>
        </w:rPr>
        <w:t>(ס"פ אד"מ</w:t>
      </w:r>
      <w:r w:rsidRPr="002D2FEF">
        <w:rPr>
          <w:rFonts w:cs="Arial"/>
          <w:sz w:val="16"/>
          <w:szCs w:val="16"/>
          <w:rtl/>
        </w:rPr>
        <w:t xml:space="preserve"> סי' תשטו)</w:t>
      </w:r>
      <w:r w:rsidR="002D2FEF" w:rsidRPr="002D2FEF">
        <w:rPr>
          <w:rFonts w:cs="Arial" w:hint="cs"/>
          <w:rtl/>
        </w:rPr>
        <w:t xml:space="preserve">- </w:t>
      </w:r>
      <w:r w:rsidRPr="002D2FEF">
        <w:rPr>
          <w:rFonts w:cs="Arial"/>
          <w:rtl/>
        </w:rPr>
        <w:t xml:space="preserve">הא דאמרינן </w:t>
      </w:r>
      <w:r w:rsidRPr="002D2FEF">
        <w:rPr>
          <w:rFonts w:cs="Arial"/>
          <w:sz w:val="16"/>
          <w:szCs w:val="16"/>
          <w:rtl/>
        </w:rPr>
        <w:t xml:space="preserve">(סנהדרין לו.) </w:t>
      </w:r>
      <w:r w:rsidRPr="002D2FEF">
        <w:rPr>
          <w:rFonts w:cs="Arial"/>
          <w:rtl/>
        </w:rPr>
        <w:t>הרב ותלמידו אין מונין להם אלא אחד היינו דוקא כדאמר רב שונה אדם לתלמידו ודן עמו</w:t>
      </w:r>
      <w:r w:rsidR="002D2FEF" w:rsidRPr="002D2FEF">
        <w:rPr>
          <w:rFonts w:cs="Arial" w:hint="cs"/>
          <w:rtl/>
        </w:rPr>
        <w:t>,</w:t>
      </w:r>
      <w:r w:rsidRPr="002D2FEF">
        <w:rPr>
          <w:rFonts w:cs="Arial"/>
          <w:rtl/>
        </w:rPr>
        <w:t xml:space="preserve"> שעתה מלמדו הדין ועל פיו סומך</w:t>
      </w:r>
      <w:r w:rsidR="002D2FEF" w:rsidRPr="002D2FEF">
        <w:rPr>
          <w:rFonts w:cs="Arial" w:hint="cs"/>
          <w:rtl/>
        </w:rPr>
        <w:t>,</w:t>
      </w:r>
      <w:r w:rsidRPr="002D2FEF">
        <w:rPr>
          <w:rFonts w:cs="Arial"/>
          <w:rtl/>
        </w:rPr>
        <w:t xml:space="preserve"> ואפילו כי האי גוונא אם הוא תלמיד כרב כהנא ורב אסי דלגמריה דרב הוו צריכי ולסבריה לא הוו צריכי </w:t>
      </w:r>
      <w:r w:rsidR="006E4626">
        <w:rPr>
          <w:rFonts w:cs="Arial" w:hint="cs"/>
          <w:rtl/>
        </w:rPr>
        <w:t xml:space="preserve">- </w:t>
      </w:r>
      <w:r w:rsidRPr="002D2FEF">
        <w:rPr>
          <w:rFonts w:cs="Arial"/>
          <w:rtl/>
        </w:rPr>
        <w:t>יכול ללמדו בשעת הדין ודן עמו. אבל אם אין מלמדו עתה הדין בשעת הדין אע</w:t>
      </w:r>
      <w:r w:rsidR="002D2FEF" w:rsidRPr="002D2FEF">
        <w:rPr>
          <w:rFonts w:cs="Arial" w:hint="cs"/>
          <w:rtl/>
        </w:rPr>
        <w:t>"</w:t>
      </w:r>
      <w:r w:rsidRPr="002D2FEF">
        <w:rPr>
          <w:rFonts w:cs="Arial"/>
          <w:rtl/>
        </w:rPr>
        <w:t>פ שהוא תלמידו</w:t>
      </w:r>
      <w:r w:rsidR="006C3442">
        <w:rPr>
          <w:rFonts w:cs="Arial" w:hint="cs"/>
          <w:rtl/>
        </w:rPr>
        <w:t xml:space="preserve"> -</w:t>
      </w:r>
      <w:r w:rsidRPr="002D2FEF">
        <w:rPr>
          <w:rFonts w:cs="Arial"/>
          <w:rtl/>
        </w:rPr>
        <w:t xml:space="preserve"> נראה שיכול לישב עמו בדין</w:t>
      </w:r>
      <w:r w:rsidR="006C3442">
        <w:rPr>
          <w:rFonts w:cs="Arial" w:hint="cs"/>
          <w:rtl/>
        </w:rPr>
        <w:t>,</w:t>
      </w:r>
      <w:r w:rsidRPr="002D2FEF">
        <w:rPr>
          <w:rFonts w:cs="Arial"/>
          <w:rtl/>
        </w:rPr>
        <w:t xml:space="preserve"> רק שיהא לו קצת סברא להבין קצת לישא וליתן כדי שלא יסמוך עליו לגמרי</w:t>
      </w:r>
      <w:r w:rsidR="002D2FEF" w:rsidRPr="002D2FEF">
        <w:rPr>
          <w:rFonts w:cs="Arial" w:hint="cs"/>
          <w:rtl/>
        </w:rPr>
        <w:t>.</w:t>
      </w:r>
      <w:r w:rsidRPr="00402C19">
        <w:rPr>
          <w:rFonts w:cs="Arial"/>
          <w:color w:val="E36C0A" w:themeColor="accent6" w:themeShade="BF"/>
          <w:rtl/>
        </w:rPr>
        <w:t xml:space="preserve"> </w:t>
      </w:r>
      <w:r w:rsidR="00402C19" w:rsidRPr="00402C19">
        <w:rPr>
          <w:rFonts w:cs="Arial" w:hint="cs"/>
          <w:color w:val="E36C0A" w:themeColor="accent6" w:themeShade="BF"/>
          <w:rtl/>
        </w:rPr>
        <w:t>(וכ"פ בשו"ע)</w:t>
      </w:r>
    </w:p>
    <w:p w14:paraId="1E3BED2F" w14:textId="77777777" w:rsidR="00402C19" w:rsidRDefault="00402C19" w:rsidP="00402C19">
      <w:pPr>
        <w:rPr>
          <w:rFonts w:cs="Arial"/>
          <w:rtl/>
        </w:rPr>
      </w:pPr>
      <w:r w:rsidRPr="002D2FEF">
        <w:rPr>
          <w:rFonts w:cs="Arial" w:hint="cs"/>
          <w:u w:val="single"/>
          <w:rtl/>
        </w:rPr>
        <w:t xml:space="preserve">רב ותלמידו </w:t>
      </w:r>
      <w:r w:rsidRPr="002D2FEF">
        <w:rPr>
          <w:rFonts w:cs="Arial"/>
          <w:u w:val="single"/>
          <w:rtl/>
        </w:rPr>
        <w:t>–</w:t>
      </w:r>
      <w:r w:rsidRPr="002D2FEF">
        <w:rPr>
          <w:rFonts w:cs="Arial" w:hint="cs"/>
          <w:u w:val="single"/>
          <w:rtl/>
        </w:rPr>
        <w:t xml:space="preserve"> לעניין</w:t>
      </w:r>
      <w:r>
        <w:rPr>
          <w:rFonts w:cs="Arial" w:hint="cs"/>
          <w:u w:val="single"/>
          <w:rtl/>
        </w:rPr>
        <w:t xml:space="preserve"> טהרה וטומאה ו</w:t>
      </w:r>
      <w:r w:rsidRPr="002D2FEF">
        <w:rPr>
          <w:rFonts w:cs="Arial" w:hint="cs"/>
          <w:u w:val="single"/>
          <w:rtl/>
        </w:rPr>
        <w:t>איסור והיתר:</w:t>
      </w:r>
      <w:r>
        <w:rPr>
          <w:rFonts w:cs="Arial" w:hint="cs"/>
          <w:rtl/>
        </w:rPr>
        <w:t xml:space="preserve">   </w:t>
      </w:r>
      <w:r w:rsidRPr="002D2FEF">
        <w:rPr>
          <w:rFonts w:cs="Arial"/>
          <w:sz w:val="16"/>
          <w:szCs w:val="16"/>
          <w:rtl/>
        </w:rPr>
        <w:t>(</w:t>
      </w:r>
      <w:r w:rsidRPr="002D2FEF">
        <w:rPr>
          <w:rFonts w:cs="Arial" w:hint="cs"/>
          <w:sz w:val="16"/>
          <w:szCs w:val="16"/>
          <w:rtl/>
        </w:rPr>
        <w:t xml:space="preserve">דרכ"מ אות </w:t>
      </w:r>
      <w:r w:rsidRPr="002D2FEF">
        <w:rPr>
          <w:rFonts w:cs="Arial"/>
          <w:sz w:val="16"/>
          <w:szCs w:val="16"/>
          <w:rtl/>
        </w:rPr>
        <w:t>ג)</w:t>
      </w:r>
    </w:p>
    <w:p w14:paraId="7C06F837" w14:textId="77777777" w:rsidR="00402C19" w:rsidRPr="002D2FEF" w:rsidRDefault="00402C19" w:rsidP="004B0475">
      <w:pPr>
        <w:pStyle w:val="ac"/>
        <w:numPr>
          <w:ilvl w:val="0"/>
          <w:numId w:val="24"/>
        </w:numPr>
        <w:rPr>
          <w:rFonts w:cs="Arial"/>
          <w:rtl/>
        </w:rPr>
      </w:pPr>
      <w:r w:rsidRPr="002D2FEF">
        <w:rPr>
          <w:rFonts w:cs="Arial" w:hint="cs"/>
          <w:rtl/>
        </w:rPr>
        <w:t>נמוק"י</w:t>
      </w:r>
      <w:r w:rsidRPr="002D2FEF">
        <w:rPr>
          <w:rFonts w:cs="Arial"/>
          <w:sz w:val="16"/>
          <w:szCs w:val="16"/>
          <w:rtl/>
        </w:rPr>
        <w:t xml:space="preserve"> (שם)</w:t>
      </w:r>
      <w:r w:rsidRPr="002D2FEF">
        <w:rPr>
          <w:rFonts w:cs="Arial" w:hint="cs"/>
          <w:rtl/>
        </w:rPr>
        <w:t>-</w:t>
      </w:r>
      <w:r w:rsidRPr="002D2FEF">
        <w:rPr>
          <w:rFonts w:cs="Arial"/>
          <w:rtl/>
        </w:rPr>
        <w:t xml:space="preserve"> דוקא לענין דיני נפשות או ממון רב ותלמידו אינם נמנין לשנים אבל לענין טהרה וטומאה ולאיסור והיתר נמנין לשנים אע</w:t>
      </w:r>
      <w:r w:rsidRPr="002D2FEF">
        <w:rPr>
          <w:rFonts w:cs="Arial" w:hint="cs"/>
          <w:rtl/>
        </w:rPr>
        <w:t>"</w:t>
      </w:r>
      <w:r w:rsidRPr="002D2FEF">
        <w:rPr>
          <w:rFonts w:cs="Arial"/>
          <w:rtl/>
        </w:rPr>
        <w:t>ג דצריך אף לסברתיה כו'</w:t>
      </w:r>
      <w:r w:rsidRPr="002D2FEF">
        <w:rPr>
          <w:rFonts w:cs="Arial" w:hint="cs"/>
          <w:rtl/>
        </w:rPr>
        <w:t>.</w:t>
      </w:r>
      <w:r w:rsidRPr="00402C19">
        <w:rPr>
          <w:rFonts w:hint="cs"/>
          <w:color w:val="00B0F0"/>
          <w:rtl/>
        </w:rPr>
        <w:t xml:space="preserve"> (וכ"פ הרמ"א)</w:t>
      </w:r>
    </w:p>
    <w:p w14:paraId="326D5582" w14:textId="77777777" w:rsidR="002D2FEF" w:rsidRPr="002D2FEF" w:rsidRDefault="002D2FEF" w:rsidP="00C45D95">
      <w:pPr>
        <w:rPr>
          <w:rFonts w:cs="Arial"/>
          <w:u w:val="single"/>
          <w:rtl/>
        </w:rPr>
      </w:pPr>
      <w:r w:rsidRPr="002D2FEF">
        <w:rPr>
          <w:rFonts w:cs="Arial"/>
          <w:u w:val="single"/>
          <w:rtl/>
        </w:rPr>
        <w:t>היכא דלא אשכחן סוגיין דעלמא דמכרעא כחד</w:t>
      </w:r>
      <w:r w:rsidRPr="002D2FEF">
        <w:rPr>
          <w:rFonts w:cs="Arial" w:hint="cs"/>
          <w:u w:val="single"/>
          <w:rtl/>
        </w:rPr>
        <w:t>:</w:t>
      </w:r>
    </w:p>
    <w:p w14:paraId="27763C10" w14:textId="77777777" w:rsidR="00C45D95" w:rsidRDefault="00AC4A6F" w:rsidP="004B0475">
      <w:pPr>
        <w:pStyle w:val="ac"/>
        <w:numPr>
          <w:ilvl w:val="0"/>
          <w:numId w:val="24"/>
        </w:numPr>
        <w:rPr>
          <w:rtl/>
        </w:rPr>
      </w:pPr>
      <w:r w:rsidRPr="002D2FEF">
        <w:rPr>
          <w:rFonts w:cs="Arial"/>
          <w:rtl/>
        </w:rPr>
        <w:t>נמוק</w:t>
      </w:r>
      <w:r w:rsidR="002D2FEF" w:rsidRPr="002D2FEF">
        <w:rPr>
          <w:rFonts w:cs="Arial" w:hint="cs"/>
          <w:rtl/>
        </w:rPr>
        <w:t xml:space="preserve">"י </w:t>
      </w:r>
      <w:r w:rsidR="002D2FEF" w:rsidRPr="002D2FEF">
        <w:rPr>
          <w:rFonts w:cs="Arial" w:hint="cs"/>
          <w:sz w:val="16"/>
          <w:szCs w:val="16"/>
          <w:rtl/>
        </w:rPr>
        <w:t xml:space="preserve">(ר"פ </w:t>
      </w:r>
      <w:r w:rsidRPr="002D2FEF">
        <w:rPr>
          <w:rFonts w:cs="Arial"/>
          <w:sz w:val="16"/>
          <w:szCs w:val="16"/>
          <w:rtl/>
        </w:rPr>
        <w:t>המוכר את הבית ב"ב לד.)</w:t>
      </w:r>
      <w:r w:rsidR="002D2FEF" w:rsidRPr="002D2FEF">
        <w:rPr>
          <w:rFonts w:cs="Arial" w:hint="cs"/>
          <w:rtl/>
        </w:rPr>
        <w:t>-</w:t>
      </w:r>
      <w:r w:rsidRPr="002D2FEF">
        <w:rPr>
          <w:rFonts w:cs="Arial"/>
          <w:rtl/>
        </w:rPr>
        <w:t xml:space="preserve"> כתב ה"ר יונה </w:t>
      </w:r>
      <w:r w:rsidRPr="002D2FEF">
        <w:rPr>
          <w:rFonts w:cs="Arial"/>
          <w:sz w:val="16"/>
          <w:szCs w:val="16"/>
          <w:rtl/>
        </w:rPr>
        <w:t xml:space="preserve">(עליות דרבינו יונה שם סב: ד"ה איתמר) </w:t>
      </w:r>
      <w:r w:rsidRPr="002D2FEF">
        <w:rPr>
          <w:rFonts w:cs="Arial"/>
          <w:rtl/>
        </w:rPr>
        <w:t>בשם רבינו יצחק היכא דלא אשכחן סוגיין דעלמא דמכרעא כחד</w:t>
      </w:r>
      <w:r w:rsidR="003C632E">
        <w:rPr>
          <w:rFonts w:cs="Arial" w:hint="cs"/>
          <w:rtl/>
        </w:rPr>
        <w:t xml:space="preserve"> -</w:t>
      </w:r>
      <w:r w:rsidRPr="002D2FEF">
        <w:rPr>
          <w:rFonts w:cs="Arial"/>
          <w:rtl/>
        </w:rPr>
        <w:t xml:space="preserve"> יש לדיין לדון כפי מה שדעתו נוטה</w:t>
      </w:r>
      <w:r w:rsidR="002D2FEF" w:rsidRPr="002D2FEF">
        <w:rPr>
          <w:rFonts w:cs="Arial" w:hint="cs"/>
          <w:rtl/>
        </w:rPr>
        <w:t>.</w:t>
      </w:r>
    </w:p>
    <w:p w14:paraId="7DEAF180" w14:textId="77777777" w:rsidR="00E137BC" w:rsidRPr="00576D5C" w:rsidRDefault="00E137BC" w:rsidP="00576D5C">
      <w:pPr>
        <w:rPr>
          <w:rFonts w:asciiTheme="minorBidi" w:hAnsiTheme="minorBidi"/>
          <w:b/>
          <w:bCs/>
          <w:color w:val="000000"/>
          <w:sz w:val="28"/>
          <w:szCs w:val="28"/>
          <w:u w:val="single"/>
          <w:rtl/>
        </w:rPr>
      </w:pPr>
      <w:r w:rsidRPr="00576D5C">
        <w:rPr>
          <w:rFonts w:asciiTheme="minorBidi" w:hAnsiTheme="minorBidi"/>
          <w:b/>
          <w:bCs/>
          <w:color w:val="000000"/>
          <w:sz w:val="28"/>
          <w:szCs w:val="28"/>
          <w:u w:val="single"/>
          <w:rtl/>
        </w:rPr>
        <w:t>שו"ע:</w:t>
      </w:r>
    </w:p>
    <w:p w14:paraId="393FA47A" w14:textId="77777777" w:rsidR="00E137BC" w:rsidRDefault="00E137BC" w:rsidP="00576D5C">
      <w:pPr>
        <w:rPr>
          <w:rFonts w:asciiTheme="minorBidi" w:hAnsiTheme="minorBidi"/>
          <w:rtl/>
        </w:rPr>
      </w:pPr>
      <w:r w:rsidRPr="00576D5C">
        <w:rPr>
          <w:rFonts w:asciiTheme="minorBidi" w:hAnsiTheme="minorBidi"/>
          <w:rtl/>
        </w:rPr>
        <w:t xml:space="preserve">הא דאמרינן בגמרא הרב ותלמידו אין מונים להם אלא אחד, היינו דוקא בשעה שמלמדו הרב הדין ועל פיו סומך, ואפילו בכהאי גוונא אם הוא תלמיד כרב אמי ורב אסי דלגמריה דרב הוו צריכי ולסבריה לא הוו צריכי יכול ללמדו בשעת הדין ודן עמו. אבל אם אין מלמדו בשעת הדין, אף על פי שהוא תלמידו, מונים להם שנים, רק שיהיה לו קצת סברא להבין לישא וליתן. </w:t>
      </w:r>
      <w:r w:rsidRPr="00AC4A6F">
        <w:rPr>
          <w:rFonts w:asciiTheme="minorBidi" w:hAnsiTheme="minorBidi"/>
          <w:sz w:val="18"/>
          <w:szCs w:val="18"/>
          <w:rtl/>
        </w:rPr>
        <w:t>הגה: ולענין איסור והיתר או דיני טומאה וטהרה, אפי</w:t>
      </w:r>
      <w:r w:rsidR="00402C19">
        <w:rPr>
          <w:rFonts w:asciiTheme="minorBidi" w:hAnsiTheme="minorBidi" w:hint="cs"/>
          <w:sz w:val="18"/>
          <w:szCs w:val="18"/>
          <w:rtl/>
        </w:rPr>
        <w:t>לו</w:t>
      </w:r>
      <w:r w:rsidRPr="00AC4A6F">
        <w:rPr>
          <w:rFonts w:asciiTheme="minorBidi" w:hAnsiTheme="minorBidi"/>
          <w:sz w:val="18"/>
          <w:szCs w:val="18"/>
          <w:rtl/>
        </w:rPr>
        <w:t xml:space="preserve"> צריך לסברתיה מונים להם שנים (נ</w:t>
      </w:r>
      <w:r w:rsidR="00402C19">
        <w:rPr>
          <w:rFonts w:asciiTheme="minorBidi" w:hAnsiTheme="minorBidi" w:hint="cs"/>
          <w:sz w:val="18"/>
          <w:szCs w:val="18"/>
          <w:rtl/>
        </w:rPr>
        <w:t>מוק</w:t>
      </w:r>
      <w:r w:rsidRPr="00AC4A6F">
        <w:rPr>
          <w:rFonts w:asciiTheme="minorBidi" w:hAnsiTheme="minorBidi"/>
          <w:sz w:val="18"/>
          <w:szCs w:val="18"/>
          <w:rtl/>
        </w:rPr>
        <w:t>"י).</w:t>
      </w:r>
      <w:r w:rsidRPr="00576D5C">
        <w:rPr>
          <w:rFonts w:asciiTheme="minorBidi" w:hAnsiTheme="minorBidi"/>
          <w:rtl/>
        </w:rPr>
        <w:t xml:space="preserve"> </w:t>
      </w:r>
    </w:p>
    <w:p w14:paraId="5995A23A" w14:textId="77777777" w:rsidR="00C45D95" w:rsidRPr="00576D5C" w:rsidRDefault="00C45D95" w:rsidP="00576D5C">
      <w:pPr>
        <w:rPr>
          <w:rFonts w:asciiTheme="minorBidi" w:hAnsiTheme="minorBidi"/>
          <w:rtl/>
        </w:rPr>
      </w:pPr>
    </w:p>
    <w:p w14:paraId="5C7D76F7" w14:textId="77777777" w:rsidR="00AC4A6F" w:rsidRDefault="00E137BC" w:rsidP="00530C88">
      <w:pPr>
        <w:pStyle w:val="2"/>
        <w:rPr>
          <w:rtl/>
        </w:rPr>
      </w:pPr>
      <w:bookmarkStart w:id="160" w:name="_Toc24883643"/>
      <w:r w:rsidRPr="00576D5C">
        <w:rPr>
          <w:rtl/>
        </w:rPr>
        <w:t>סעיף ו</w:t>
      </w:r>
      <w:r w:rsidR="00AC4A6F">
        <w:rPr>
          <w:rFonts w:hint="cs"/>
          <w:rtl/>
        </w:rPr>
        <w:t>:</w:t>
      </w:r>
      <w:r w:rsidR="00530C88">
        <w:rPr>
          <w:rFonts w:hint="cs"/>
          <w:rtl/>
        </w:rPr>
        <w:t xml:space="preserve"> פסיקה שלא בפני בעל דין - בדיני ממונות.</w:t>
      </w:r>
      <w:bookmarkEnd w:id="160"/>
    </w:p>
    <w:p w14:paraId="5449D126" w14:textId="77777777" w:rsidR="00530C88" w:rsidRDefault="00530C88" w:rsidP="00530C88">
      <w:pPr>
        <w:rPr>
          <w:rFonts w:cs="Arial"/>
          <w:rtl/>
        </w:rPr>
      </w:pPr>
      <w:r w:rsidRPr="00530C88">
        <w:rPr>
          <w:rFonts w:hint="cs"/>
          <w:u w:val="single"/>
          <w:rtl/>
        </w:rPr>
        <w:t>פסיקה שלא בפני בעל דין - בדיני ממונות</w:t>
      </w:r>
      <w:r w:rsidRPr="00530C88">
        <w:rPr>
          <w:rFonts w:cs="Arial" w:hint="cs"/>
          <w:u w:val="single"/>
          <w:rtl/>
        </w:rPr>
        <w:t>:</w:t>
      </w:r>
    </w:p>
    <w:p w14:paraId="2EE97C77" w14:textId="77777777" w:rsidR="00530C88" w:rsidRPr="00530C88" w:rsidRDefault="00530C88" w:rsidP="004B0475">
      <w:pPr>
        <w:pStyle w:val="ac"/>
        <w:numPr>
          <w:ilvl w:val="0"/>
          <w:numId w:val="24"/>
        </w:numPr>
        <w:rPr>
          <w:rtl/>
        </w:rPr>
      </w:pPr>
      <w:r w:rsidRPr="00530C88">
        <w:rPr>
          <w:rFonts w:cs="Arial" w:hint="cs"/>
          <w:rtl/>
        </w:rPr>
        <w:t xml:space="preserve">רשב"א </w:t>
      </w:r>
      <w:r w:rsidRPr="00530C88">
        <w:rPr>
          <w:rFonts w:cs="Arial" w:hint="cs"/>
          <w:sz w:val="16"/>
          <w:szCs w:val="16"/>
          <w:rtl/>
        </w:rPr>
        <w:t xml:space="preserve">(סי' אלף קיח </w:t>
      </w:r>
      <w:r w:rsidRPr="006C3442">
        <w:rPr>
          <w:rFonts w:cs="Arial" w:hint="cs"/>
          <w:sz w:val="14"/>
          <w:szCs w:val="14"/>
          <w:rtl/>
        </w:rPr>
        <w:t xml:space="preserve">[הביאו הב"י בסי' הבא] </w:t>
      </w:r>
      <w:r>
        <w:rPr>
          <w:rFonts w:cs="Arial" w:hint="cs"/>
          <w:sz w:val="16"/>
          <w:szCs w:val="16"/>
          <w:rtl/>
        </w:rPr>
        <w:t>וכן בח"ב סי' קצב</w:t>
      </w:r>
      <w:r w:rsidRPr="00530C88">
        <w:rPr>
          <w:rFonts w:cs="Arial" w:hint="cs"/>
          <w:sz w:val="16"/>
          <w:szCs w:val="16"/>
          <w:rtl/>
        </w:rPr>
        <w:t>)</w:t>
      </w:r>
      <w:r w:rsidRPr="00530C88">
        <w:rPr>
          <w:rFonts w:cs="Arial" w:hint="cs"/>
          <w:rtl/>
        </w:rPr>
        <w:t xml:space="preserve">- </w:t>
      </w:r>
      <w:r w:rsidRPr="00530C88">
        <w:rPr>
          <w:rFonts w:cs="Arial"/>
          <w:rtl/>
        </w:rPr>
        <w:t>בית דין פוסקין ואפילו שלא בפני בעל דין</w:t>
      </w:r>
      <w:r w:rsidR="006C3442">
        <w:rPr>
          <w:rFonts w:cs="Arial" w:hint="cs"/>
          <w:rtl/>
        </w:rPr>
        <w:t>.</w:t>
      </w:r>
      <w:r w:rsidRPr="00530C88">
        <w:rPr>
          <w:rFonts w:cs="Arial"/>
          <w:rtl/>
        </w:rPr>
        <w:t xml:space="preserve"> ואע</w:t>
      </w:r>
      <w:r>
        <w:rPr>
          <w:rFonts w:cs="Arial" w:hint="cs"/>
          <w:rtl/>
        </w:rPr>
        <w:t>"</w:t>
      </w:r>
      <w:r w:rsidRPr="00530C88">
        <w:rPr>
          <w:rFonts w:cs="Arial"/>
          <w:rtl/>
        </w:rPr>
        <w:t xml:space="preserve">פ שנחלקו בשלהי שור שנגח ארבעה וחמשה </w:t>
      </w:r>
      <w:r w:rsidRPr="00530C88">
        <w:rPr>
          <w:rFonts w:cs="Arial"/>
          <w:sz w:val="16"/>
          <w:szCs w:val="16"/>
          <w:rtl/>
        </w:rPr>
        <w:t>(</w:t>
      </w:r>
      <w:r w:rsidR="00104A24">
        <w:rPr>
          <w:rFonts w:cs="Arial" w:hint="cs"/>
          <w:sz w:val="16"/>
          <w:szCs w:val="16"/>
          <w:rtl/>
        </w:rPr>
        <w:t xml:space="preserve">ב"ק </w:t>
      </w:r>
      <w:r w:rsidRPr="00530C88">
        <w:rPr>
          <w:rFonts w:cs="Arial"/>
          <w:sz w:val="16"/>
          <w:szCs w:val="16"/>
          <w:rtl/>
        </w:rPr>
        <w:t>מה</w:t>
      </w:r>
      <w:r w:rsidRPr="00530C88">
        <w:rPr>
          <w:rFonts w:cs="Arial" w:hint="cs"/>
          <w:sz w:val="16"/>
          <w:szCs w:val="16"/>
          <w:rtl/>
        </w:rPr>
        <w:t>.</w:t>
      </w:r>
      <w:r w:rsidRPr="00530C88">
        <w:rPr>
          <w:rFonts w:cs="Arial"/>
          <w:sz w:val="16"/>
          <w:szCs w:val="16"/>
          <w:rtl/>
        </w:rPr>
        <w:t xml:space="preserve">) </w:t>
      </w:r>
      <w:r w:rsidRPr="00530C88">
        <w:rPr>
          <w:rFonts w:cs="Arial"/>
          <w:rtl/>
        </w:rPr>
        <w:t>שאין גומרין דין השור אלא בפניו</w:t>
      </w:r>
      <w:r w:rsidR="006C3442">
        <w:rPr>
          <w:rFonts w:cs="Arial" w:hint="cs"/>
          <w:rtl/>
        </w:rPr>
        <w:t xml:space="preserve"> -</w:t>
      </w:r>
      <w:r w:rsidRPr="00530C88">
        <w:rPr>
          <w:rFonts w:cs="Arial"/>
          <w:rtl/>
        </w:rPr>
        <w:t xml:space="preserve"> הני מילי בדינו של שור משום דכתיב </w:t>
      </w:r>
      <w:r w:rsidRPr="00530C88">
        <w:rPr>
          <w:rFonts w:cs="Arial"/>
          <w:sz w:val="16"/>
          <w:szCs w:val="16"/>
          <w:rtl/>
        </w:rPr>
        <w:t xml:space="preserve">(שמות כא) </w:t>
      </w:r>
      <w:r w:rsidRPr="00530C88">
        <w:rPr>
          <w:rFonts w:cs="Arial"/>
          <w:rtl/>
        </w:rPr>
        <w:t>השור יסקל וגם בעליו יומת</w:t>
      </w:r>
      <w:r w:rsidR="006C3442">
        <w:rPr>
          <w:rFonts w:cs="Arial" w:hint="cs"/>
          <w:rtl/>
        </w:rPr>
        <w:t>,</w:t>
      </w:r>
      <w:r w:rsidRPr="00530C88">
        <w:rPr>
          <w:rFonts w:cs="Arial"/>
          <w:rtl/>
        </w:rPr>
        <w:t xml:space="preserve"> כמיתת בעלים כך מיתת השור</w:t>
      </w:r>
      <w:r w:rsidR="006C3442">
        <w:rPr>
          <w:rFonts w:cs="Arial" w:hint="cs"/>
          <w:rtl/>
        </w:rPr>
        <w:t>,</w:t>
      </w:r>
      <w:r w:rsidRPr="00530C88">
        <w:rPr>
          <w:rFonts w:cs="Arial"/>
          <w:rtl/>
        </w:rPr>
        <w:t xml:space="preserve"> מה בעלים בפניו אף השור בפניו</w:t>
      </w:r>
      <w:r w:rsidR="006C3442">
        <w:rPr>
          <w:rFonts w:cs="Arial" w:hint="cs"/>
          <w:rtl/>
        </w:rPr>
        <w:t>,</w:t>
      </w:r>
      <w:r w:rsidRPr="00530C88">
        <w:rPr>
          <w:rFonts w:cs="Arial"/>
          <w:rtl/>
        </w:rPr>
        <w:t xml:space="preserve"> אבל בממונא בעלמא מה איכפת לן הא כל זמן שמביא ראיה סותר את הדין. הילכך חותכין דינו היום</w:t>
      </w:r>
      <w:r w:rsidR="006C3442">
        <w:rPr>
          <w:rFonts w:cs="Arial" w:hint="cs"/>
          <w:rtl/>
        </w:rPr>
        <w:t>,</w:t>
      </w:r>
      <w:r w:rsidRPr="00530C88">
        <w:rPr>
          <w:rFonts w:cs="Arial"/>
          <w:rtl/>
        </w:rPr>
        <w:t xml:space="preserve"> ושומעין דבריו למחר אם מביא ראיות לסתור את הדין.</w:t>
      </w:r>
      <w:r w:rsidR="00104A24" w:rsidRPr="00104A24">
        <w:rPr>
          <w:rFonts w:hint="cs"/>
          <w:color w:val="E36C0A" w:themeColor="accent6" w:themeShade="BF"/>
          <w:rtl/>
        </w:rPr>
        <w:t xml:space="preserve"> </w:t>
      </w:r>
      <w:r w:rsidR="00104A24" w:rsidRPr="005A5E18">
        <w:rPr>
          <w:rFonts w:hint="cs"/>
          <w:color w:val="E36C0A" w:themeColor="accent6" w:themeShade="BF"/>
          <w:rtl/>
        </w:rPr>
        <w:t>(וכ"פ בשו"ע)</w:t>
      </w:r>
    </w:p>
    <w:p w14:paraId="4E58BD04" w14:textId="77777777" w:rsidR="00E137BC" w:rsidRPr="00576D5C" w:rsidRDefault="00E137BC" w:rsidP="00576D5C">
      <w:pPr>
        <w:rPr>
          <w:rFonts w:asciiTheme="minorBidi" w:hAnsiTheme="minorBidi"/>
          <w:b/>
          <w:bCs/>
          <w:color w:val="000000"/>
          <w:sz w:val="28"/>
          <w:szCs w:val="28"/>
          <w:u w:val="single"/>
          <w:rtl/>
        </w:rPr>
      </w:pPr>
      <w:r w:rsidRPr="00576D5C">
        <w:rPr>
          <w:rFonts w:asciiTheme="minorBidi" w:hAnsiTheme="minorBidi"/>
          <w:b/>
          <w:bCs/>
          <w:color w:val="000000"/>
          <w:sz w:val="28"/>
          <w:szCs w:val="28"/>
          <w:u w:val="single"/>
          <w:rtl/>
        </w:rPr>
        <w:t>שו"ע:</w:t>
      </w:r>
    </w:p>
    <w:p w14:paraId="3D582FD9" w14:textId="77777777" w:rsidR="00E137BC" w:rsidRPr="00576D5C" w:rsidRDefault="00E137BC" w:rsidP="00576D5C">
      <w:pPr>
        <w:rPr>
          <w:rFonts w:asciiTheme="minorBidi" w:hAnsiTheme="minorBidi"/>
          <w:rtl/>
        </w:rPr>
      </w:pPr>
      <w:r w:rsidRPr="00576D5C">
        <w:rPr>
          <w:rFonts w:asciiTheme="minorBidi" w:hAnsiTheme="minorBidi"/>
          <w:rtl/>
        </w:rPr>
        <w:lastRenderedPageBreak/>
        <w:t>בית דין פוסקים בדיני ממונות שלא בפני בעל דין</w:t>
      </w:r>
      <w:r w:rsidR="00530C88">
        <w:rPr>
          <w:rStyle w:val="ab"/>
          <w:rFonts w:asciiTheme="minorBidi" w:hAnsiTheme="minorBidi"/>
          <w:rtl/>
        </w:rPr>
        <w:footnoteReference w:id="1014"/>
      </w:r>
      <w:r w:rsidRPr="00576D5C">
        <w:rPr>
          <w:rFonts w:asciiTheme="minorBidi" w:hAnsiTheme="minorBidi"/>
          <w:rtl/>
        </w:rPr>
        <w:t>.</w:t>
      </w:r>
    </w:p>
    <w:p w14:paraId="7B307929" w14:textId="77777777" w:rsidR="00E137BC" w:rsidRPr="00576D5C" w:rsidRDefault="00E137BC" w:rsidP="00576D5C">
      <w:pPr>
        <w:rPr>
          <w:rFonts w:asciiTheme="minorBidi" w:hAnsiTheme="minorBidi"/>
          <w:rtl/>
        </w:rPr>
        <w:sectPr w:rsidR="00E137BC" w:rsidRPr="00576D5C" w:rsidSect="00AF3AF9">
          <w:headerReference w:type="default" r:id="rId28"/>
          <w:footnotePr>
            <w:numRestart w:val="eachPage"/>
          </w:footnotePr>
          <w:pgSz w:w="11906" w:h="16838"/>
          <w:pgMar w:top="720" w:right="1134" w:bottom="720" w:left="1134" w:header="0" w:footer="0" w:gutter="0"/>
          <w:cols w:space="720"/>
          <w:bidi/>
          <w:rtlGutter/>
          <w:docGrid w:linePitch="360"/>
        </w:sectPr>
      </w:pPr>
    </w:p>
    <w:p w14:paraId="0DA5183A" w14:textId="77777777" w:rsidR="00E137BC" w:rsidRPr="00576D5C" w:rsidRDefault="00E137BC" w:rsidP="006567B0">
      <w:pPr>
        <w:pStyle w:val="1"/>
        <w:rPr>
          <w:rtl/>
        </w:rPr>
      </w:pPr>
      <w:bookmarkStart w:id="161" w:name="_Toc24883644"/>
      <w:r w:rsidRPr="00576D5C">
        <w:rPr>
          <w:rtl/>
        </w:rPr>
        <w:lastRenderedPageBreak/>
        <w:t>סימן יט: כיצד נותנין הפסק, וסדר כתיבתו, ובו ג' סעיפים.</w:t>
      </w:r>
      <w:bookmarkEnd w:id="161"/>
      <w:r w:rsidRPr="00576D5C">
        <w:rPr>
          <w:rtl/>
        </w:rPr>
        <w:t xml:space="preserve"> </w:t>
      </w:r>
    </w:p>
    <w:p w14:paraId="119F2624" w14:textId="77777777" w:rsidR="00E137BC" w:rsidRDefault="00E137BC" w:rsidP="006567B0">
      <w:pPr>
        <w:pStyle w:val="2"/>
        <w:rPr>
          <w:rtl/>
        </w:rPr>
      </w:pPr>
      <w:bookmarkStart w:id="162" w:name="_Toc24883645"/>
      <w:r w:rsidRPr="00576D5C">
        <w:rPr>
          <w:rtl/>
        </w:rPr>
        <w:t>סעיף א</w:t>
      </w:r>
      <w:r w:rsidR="00530C88">
        <w:rPr>
          <w:rFonts w:hint="cs"/>
          <w:rtl/>
        </w:rPr>
        <w:t>:</w:t>
      </w:r>
      <w:r w:rsidR="007E4CBF">
        <w:rPr>
          <w:rFonts w:hint="cs"/>
          <w:rtl/>
        </w:rPr>
        <w:t xml:space="preserve"> הודעת פסק הדין.</w:t>
      </w:r>
      <w:bookmarkEnd w:id="162"/>
    </w:p>
    <w:p w14:paraId="2186E7FB" w14:textId="77777777" w:rsidR="001F34A8" w:rsidRDefault="00D9753E" w:rsidP="001F34A8">
      <w:pPr>
        <w:rPr>
          <w:rFonts w:cs="Arial"/>
          <w:rtl/>
        </w:rPr>
      </w:pPr>
      <w:r w:rsidRPr="00B27243">
        <w:rPr>
          <w:rFonts w:cs="Arial"/>
          <w:b/>
          <w:bCs/>
          <w:rtl/>
        </w:rPr>
        <w:t xml:space="preserve">סנהדרין </w:t>
      </w:r>
      <w:r w:rsidRPr="00B27243">
        <w:rPr>
          <w:rFonts w:cs="Arial" w:hint="cs"/>
          <w:b/>
          <w:bCs/>
          <w:sz w:val="16"/>
          <w:szCs w:val="16"/>
          <w:rtl/>
        </w:rPr>
        <w:t>(</w:t>
      </w:r>
      <w:r w:rsidRPr="00B27243">
        <w:rPr>
          <w:rFonts w:cs="Arial"/>
          <w:b/>
          <w:bCs/>
          <w:sz w:val="16"/>
          <w:szCs w:val="16"/>
          <w:rtl/>
        </w:rPr>
        <w:t>פ</w:t>
      </w:r>
      <w:r w:rsidRPr="00B27243">
        <w:rPr>
          <w:rFonts w:cs="Arial" w:hint="cs"/>
          <w:b/>
          <w:bCs/>
          <w:sz w:val="16"/>
          <w:szCs w:val="16"/>
          <w:rtl/>
        </w:rPr>
        <w:t>'</w:t>
      </w:r>
      <w:r w:rsidRPr="00B27243">
        <w:rPr>
          <w:rFonts w:cs="Arial"/>
          <w:b/>
          <w:bCs/>
          <w:sz w:val="16"/>
          <w:szCs w:val="16"/>
          <w:rtl/>
        </w:rPr>
        <w:t xml:space="preserve"> זה בורר</w:t>
      </w:r>
      <w:r w:rsidRPr="00B27243">
        <w:rPr>
          <w:rFonts w:cs="Arial" w:hint="cs"/>
          <w:b/>
          <w:bCs/>
          <w:sz w:val="16"/>
          <w:szCs w:val="16"/>
          <w:rtl/>
        </w:rPr>
        <w:t>)</w:t>
      </w:r>
      <w:r w:rsidRPr="00B27243">
        <w:rPr>
          <w:rFonts w:cs="Arial"/>
          <w:b/>
          <w:bCs/>
          <w:sz w:val="16"/>
          <w:szCs w:val="16"/>
          <w:rtl/>
        </w:rPr>
        <w:t xml:space="preserve"> </w:t>
      </w:r>
      <w:r>
        <w:rPr>
          <w:rFonts w:cs="Arial" w:hint="cs"/>
          <w:b/>
          <w:bCs/>
          <w:rtl/>
        </w:rPr>
        <w:t>כט</w:t>
      </w:r>
      <w:r w:rsidR="001F34A8">
        <w:rPr>
          <w:rStyle w:val="ab"/>
          <w:rFonts w:cs="Arial"/>
          <w:b/>
          <w:bCs/>
          <w:rtl/>
        </w:rPr>
        <w:footnoteReference w:id="1015"/>
      </w:r>
      <w:r w:rsidRPr="00B27243">
        <w:rPr>
          <w:rFonts w:cs="Arial" w:hint="cs"/>
          <w:b/>
          <w:bCs/>
          <w:rtl/>
        </w:rPr>
        <w:t xml:space="preserve"> ע"א:</w:t>
      </w:r>
      <w:r w:rsidRPr="00B27243">
        <w:rPr>
          <w:rtl/>
        </w:rPr>
        <w:t xml:space="preserve"> </w:t>
      </w:r>
      <w:r w:rsidRPr="00B27243">
        <w:rPr>
          <w:rFonts w:cs="Arial"/>
          <w:u w:val="double"/>
          <w:rtl/>
        </w:rPr>
        <w:t>משנה</w:t>
      </w:r>
      <w:r>
        <w:rPr>
          <w:rFonts w:cs="Arial" w:hint="cs"/>
          <w:rtl/>
        </w:rPr>
        <w:t>:</w:t>
      </w:r>
      <w:r w:rsidRPr="00B27243">
        <w:rPr>
          <w:rFonts w:cs="Arial"/>
          <w:rtl/>
        </w:rPr>
        <w:t xml:space="preserve"> כיצד בודקים את העדים? היו מכניסין אותן לחדר, ומאיימין עליהן. ומוציאין את כל האדם לחוץ, ומשיירין את הגדול שבהן</w:t>
      </w:r>
      <w:r>
        <w:rPr>
          <w:rFonts w:cs="Arial" w:hint="cs"/>
          <w:rtl/>
        </w:rPr>
        <w:t>..</w:t>
      </w:r>
      <w:r w:rsidRPr="00B27243">
        <w:rPr>
          <w:rFonts w:cs="Arial"/>
          <w:rtl/>
        </w:rPr>
        <w:t xml:space="preserve">. </w:t>
      </w:r>
      <w:r w:rsidR="00B80545" w:rsidRPr="00B80545">
        <w:rPr>
          <w:rFonts w:cs="Arial"/>
          <w:rtl/>
        </w:rPr>
        <w:t>גמרו את הדבר, היו מכניסין אותן. הגדול שבדיינין אומר: איש פלוני אתה זכאי, איש פלוני אתה חייב. ומניין לכשיצא לא יאמר אני מזכה וחביריי מחייבים אבל מה אעשה שחביריי רבו עלי - על זה נאמר לא תלך רכיל בעמיך</w:t>
      </w:r>
      <w:r w:rsidR="001F34A8">
        <w:rPr>
          <w:rFonts w:cs="Arial" w:hint="cs"/>
          <w:rtl/>
        </w:rPr>
        <w:t>,</w:t>
      </w:r>
      <w:r w:rsidR="00B80545" w:rsidRPr="00B80545">
        <w:rPr>
          <w:rFonts w:cs="Arial"/>
          <w:rtl/>
        </w:rPr>
        <w:t xml:space="preserve"> ואומר הולך רכיל מגלה סוד</w:t>
      </w:r>
      <w:r w:rsidRPr="00B27243">
        <w:rPr>
          <w:rFonts w:cs="Arial"/>
          <w:rtl/>
        </w:rPr>
        <w:t>.</w:t>
      </w:r>
      <w:r w:rsidR="00B80545">
        <w:rPr>
          <w:rFonts w:cs="Arial" w:hint="cs"/>
          <w:rtl/>
        </w:rPr>
        <w:t xml:space="preserve">     </w:t>
      </w:r>
      <w:r w:rsidR="00B80545" w:rsidRPr="00B80545">
        <w:rPr>
          <w:rFonts w:cs="Arial" w:hint="cs"/>
          <w:u w:val="double"/>
          <w:rtl/>
        </w:rPr>
        <w:t>גמרא</w:t>
      </w:r>
      <w:r w:rsidR="00B80545">
        <w:rPr>
          <w:rFonts w:cs="Arial" w:hint="cs"/>
          <w:sz w:val="14"/>
          <w:szCs w:val="14"/>
          <w:u w:val="double"/>
          <w:rtl/>
        </w:rPr>
        <w:t xml:space="preserve"> </w:t>
      </w:r>
      <w:r w:rsidR="00B80545" w:rsidRPr="00B80545">
        <w:rPr>
          <w:rFonts w:cs="Arial" w:hint="cs"/>
          <w:sz w:val="14"/>
          <w:szCs w:val="14"/>
          <w:u w:val="double"/>
          <w:rtl/>
        </w:rPr>
        <w:t>(ל.)</w:t>
      </w:r>
      <w:r w:rsidR="00B80545" w:rsidRPr="00B80545">
        <w:rPr>
          <w:rFonts w:cs="Arial" w:hint="cs"/>
          <w:u w:val="double"/>
          <w:rtl/>
        </w:rPr>
        <w:t>:</w:t>
      </w:r>
      <w:r w:rsidR="00B80545" w:rsidRPr="00B80545">
        <w:rPr>
          <w:rtl/>
        </w:rPr>
        <w:t xml:space="preserve"> </w:t>
      </w:r>
      <w:r w:rsidR="00B80545" w:rsidRPr="00B80545">
        <w:rPr>
          <w:rFonts w:cs="Arial"/>
          <w:rtl/>
        </w:rPr>
        <w:t>גמרו את הדבר היו מכניסין כו'. למאן? אילימא לבעלי דינין - התם קיימי</w:t>
      </w:r>
      <w:r w:rsidR="00B80545">
        <w:rPr>
          <w:rStyle w:val="ab"/>
          <w:rFonts w:cs="Arial"/>
          <w:rtl/>
        </w:rPr>
        <w:footnoteReference w:id="1016"/>
      </w:r>
      <w:r w:rsidR="00B80545" w:rsidRPr="00B80545">
        <w:rPr>
          <w:rFonts w:cs="Arial"/>
          <w:rtl/>
        </w:rPr>
        <w:t>!</w:t>
      </w:r>
      <w:r w:rsidR="00B80545">
        <w:rPr>
          <w:rFonts w:cs="Arial" w:hint="cs"/>
          <w:rtl/>
        </w:rPr>
        <w:t xml:space="preserve">... </w:t>
      </w:r>
      <w:r w:rsidR="00B80545" w:rsidRPr="00B80545">
        <w:rPr>
          <w:rFonts w:cs="Arial"/>
          <w:rtl/>
        </w:rPr>
        <w:t>לעולם לבעלי דינין, ורבי נחמיה היא</w:t>
      </w:r>
      <w:r w:rsidR="00B80545">
        <w:rPr>
          <w:rStyle w:val="ab"/>
          <w:rFonts w:cs="Arial"/>
          <w:rtl/>
        </w:rPr>
        <w:footnoteReference w:id="1017"/>
      </w:r>
      <w:r w:rsidR="00B80545" w:rsidRPr="00B80545">
        <w:rPr>
          <w:rFonts w:cs="Arial"/>
          <w:rtl/>
        </w:rPr>
        <w:t>. דתניא, רבי נחמיה אומר: כך היה מנהגן של נקיי הדעת שבירושלים: מכניסין לבעלי דינין ושומעין דבריהן, ומכניסין את העדים ושומעין דבריהם, ומוציאין אותן לחוץ ונושאין ונותנין בדבר.</w:t>
      </w:r>
    </w:p>
    <w:p w14:paraId="4F7E44CD" w14:textId="77777777" w:rsidR="001F34A8" w:rsidRPr="001F34A8" w:rsidRDefault="001F34A8" w:rsidP="001F34A8">
      <w:pPr>
        <w:rPr>
          <w:rFonts w:cs="Arial"/>
          <w:u w:val="single"/>
          <w:rtl/>
        </w:rPr>
      </w:pPr>
      <w:r w:rsidRPr="001F34A8">
        <w:rPr>
          <w:rFonts w:cs="Arial" w:hint="cs"/>
          <w:u w:val="single"/>
          <w:rtl/>
        </w:rPr>
        <w:t xml:space="preserve">הודעת פסק הדין </w:t>
      </w:r>
      <w:r w:rsidRPr="001F34A8">
        <w:rPr>
          <w:rFonts w:cs="Arial"/>
          <w:u w:val="single"/>
          <w:rtl/>
        </w:rPr>
        <w:t>–</w:t>
      </w:r>
      <w:r w:rsidRPr="001F34A8">
        <w:rPr>
          <w:rFonts w:cs="Arial" w:hint="cs"/>
          <w:u w:val="single"/>
          <w:rtl/>
        </w:rPr>
        <w:t xml:space="preserve"> כיצד:</w:t>
      </w:r>
    </w:p>
    <w:p w14:paraId="3A22444A" w14:textId="77777777" w:rsidR="00530C88" w:rsidRPr="001F34A8" w:rsidRDefault="00B80545" w:rsidP="004B0475">
      <w:pPr>
        <w:pStyle w:val="ac"/>
        <w:numPr>
          <w:ilvl w:val="0"/>
          <w:numId w:val="24"/>
        </w:numPr>
        <w:rPr>
          <w:rFonts w:cs="Arial"/>
          <w:rtl/>
        </w:rPr>
      </w:pPr>
      <w:r w:rsidRPr="001F34A8">
        <w:rPr>
          <w:rFonts w:cs="Arial" w:hint="cs"/>
          <w:rtl/>
        </w:rPr>
        <w:t xml:space="preserve">טור- </w:t>
      </w:r>
      <w:r w:rsidR="00530C88" w:rsidRPr="001F34A8">
        <w:rPr>
          <w:rFonts w:cs="Arial"/>
          <w:rtl/>
        </w:rPr>
        <w:t>אחר שנשאו ונתנו בדבר מכניסין בעלי הדינין</w:t>
      </w:r>
      <w:r w:rsidR="001F34A8" w:rsidRPr="001F34A8">
        <w:rPr>
          <w:rFonts w:cs="Arial" w:hint="cs"/>
          <w:rtl/>
        </w:rPr>
        <w:t>,</w:t>
      </w:r>
      <w:r w:rsidR="00530C88" w:rsidRPr="001F34A8">
        <w:rPr>
          <w:rFonts w:cs="Arial"/>
          <w:rtl/>
        </w:rPr>
        <w:t xml:space="preserve"> והגדול שבדיינין אומר </w:t>
      </w:r>
      <w:r w:rsidR="001F34A8" w:rsidRPr="001F34A8">
        <w:rPr>
          <w:rFonts w:cs="Arial" w:hint="cs"/>
          <w:rtl/>
        </w:rPr>
        <w:t>'</w:t>
      </w:r>
      <w:r w:rsidR="00530C88" w:rsidRPr="001F34A8">
        <w:rPr>
          <w:rFonts w:cs="Arial"/>
          <w:rtl/>
        </w:rPr>
        <w:t>איש פלוני אתה זכאי איש פלוני אתה חייב</w:t>
      </w:r>
      <w:r w:rsidR="001F34A8" w:rsidRPr="001F34A8">
        <w:rPr>
          <w:rFonts w:cs="Arial" w:hint="cs"/>
          <w:rtl/>
        </w:rPr>
        <w:t>'</w:t>
      </w:r>
      <w:r w:rsidRPr="001F34A8">
        <w:rPr>
          <w:rFonts w:cs="Arial" w:hint="cs"/>
          <w:rtl/>
        </w:rPr>
        <w:t>,</w:t>
      </w:r>
      <w:r w:rsidR="00530C88" w:rsidRPr="001F34A8">
        <w:rPr>
          <w:rFonts w:cs="Arial"/>
          <w:rtl/>
        </w:rPr>
        <w:t xml:space="preserve"> כדי</w:t>
      </w:r>
      <w:r w:rsidRPr="001F34A8">
        <w:rPr>
          <w:rStyle w:val="ab"/>
          <w:rFonts w:cs="Arial"/>
          <w:rtl/>
        </w:rPr>
        <w:footnoteReference w:id="1018"/>
      </w:r>
      <w:r w:rsidR="00530C88" w:rsidRPr="001F34A8">
        <w:rPr>
          <w:rFonts w:cs="Arial"/>
          <w:rtl/>
        </w:rPr>
        <w:t xml:space="preserve"> שלא ידע אחד מבעלי הדינין איזה דיין חייב ואיזה דיין זיכה</w:t>
      </w:r>
      <w:r w:rsidRPr="001F34A8">
        <w:rPr>
          <w:rFonts w:cs="Arial" w:hint="cs"/>
          <w:rtl/>
        </w:rPr>
        <w:t xml:space="preserve">. </w:t>
      </w:r>
      <w:r w:rsidR="00530C88" w:rsidRPr="001F34A8">
        <w:rPr>
          <w:rFonts w:cs="Arial"/>
          <w:rtl/>
        </w:rPr>
        <w:t>ואסור לדיין לומר כשיוצא מב"ד אני הייתי מזכה אבל חבירי רבו עלי</w:t>
      </w:r>
      <w:r w:rsidRPr="001F34A8">
        <w:rPr>
          <w:rFonts w:cs="Arial" w:hint="cs"/>
          <w:rtl/>
        </w:rPr>
        <w:t>,</w:t>
      </w:r>
      <w:r w:rsidR="00530C88" w:rsidRPr="001F34A8">
        <w:rPr>
          <w:rFonts w:cs="Arial"/>
          <w:rtl/>
        </w:rPr>
        <w:t xml:space="preserve"> והעושה כן הוא בכלל הולך רכיל ומגלה סו</w:t>
      </w:r>
      <w:r w:rsidRPr="001F34A8">
        <w:rPr>
          <w:rFonts w:cs="Arial" w:hint="cs"/>
          <w:rtl/>
        </w:rPr>
        <w:t xml:space="preserve">ד. </w:t>
      </w:r>
      <w:r w:rsidR="001F34A8" w:rsidRPr="001F34A8">
        <w:rPr>
          <w:rFonts w:cs="Arial" w:hint="cs"/>
          <w:color w:val="E36C0A" w:themeColor="accent6" w:themeShade="BF"/>
          <w:rtl/>
        </w:rPr>
        <w:t>(</w:t>
      </w:r>
      <w:r w:rsidRPr="001F34A8">
        <w:rPr>
          <w:rFonts w:cs="Arial" w:hint="cs"/>
          <w:color w:val="E36C0A" w:themeColor="accent6" w:themeShade="BF"/>
          <w:rtl/>
        </w:rPr>
        <w:t>וכ"פ בשו"ע</w:t>
      </w:r>
      <w:r w:rsidR="001F34A8" w:rsidRPr="001F34A8">
        <w:rPr>
          <w:rFonts w:cs="Arial" w:hint="cs"/>
          <w:color w:val="E36C0A" w:themeColor="accent6" w:themeShade="BF"/>
          <w:rtl/>
        </w:rPr>
        <w:t>)</w:t>
      </w:r>
    </w:p>
    <w:p w14:paraId="4FA2A03A" w14:textId="77777777" w:rsidR="00E137BC" w:rsidRPr="00576D5C" w:rsidRDefault="00E137BC" w:rsidP="00576D5C">
      <w:pPr>
        <w:rPr>
          <w:rFonts w:asciiTheme="minorBidi" w:hAnsiTheme="minorBidi"/>
          <w:b/>
          <w:bCs/>
          <w:color w:val="000000"/>
          <w:sz w:val="28"/>
          <w:szCs w:val="28"/>
          <w:u w:val="single"/>
          <w:rtl/>
        </w:rPr>
      </w:pPr>
      <w:r w:rsidRPr="00576D5C">
        <w:rPr>
          <w:rFonts w:asciiTheme="minorBidi" w:hAnsiTheme="minorBidi"/>
          <w:b/>
          <w:bCs/>
          <w:color w:val="000000"/>
          <w:sz w:val="28"/>
          <w:szCs w:val="28"/>
          <w:u w:val="single"/>
          <w:rtl/>
        </w:rPr>
        <w:t>שו"ע:</w:t>
      </w:r>
    </w:p>
    <w:p w14:paraId="2CE9A6A4" w14:textId="77777777" w:rsidR="00E137BC" w:rsidRDefault="00E137BC" w:rsidP="00576D5C">
      <w:pPr>
        <w:rPr>
          <w:rFonts w:asciiTheme="minorBidi" w:hAnsiTheme="minorBidi"/>
          <w:rtl/>
        </w:rPr>
      </w:pPr>
      <w:r w:rsidRPr="00576D5C">
        <w:rPr>
          <w:rFonts w:asciiTheme="minorBidi" w:hAnsiTheme="minorBidi"/>
          <w:rtl/>
        </w:rPr>
        <w:t>אחר שנשאו ונתנו בדבר מכניסים הבעלי הדינים, וגדול שבדיינים אומר: איש פלוני אתה זכאי, איש פלוני אתה חייב. ואסור לדיין לומר כשיצא מבית דין: אני הייתי מזכה, אבל חבירי רבו עלי</w:t>
      </w:r>
      <w:r w:rsidR="00530C88">
        <w:rPr>
          <w:rFonts w:asciiTheme="minorBidi" w:hAnsiTheme="minorBidi" w:hint="cs"/>
          <w:rtl/>
        </w:rPr>
        <w:t>.</w:t>
      </w:r>
      <w:r w:rsidRPr="00576D5C">
        <w:rPr>
          <w:rFonts w:asciiTheme="minorBidi" w:hAnsiTheme="minorBidi"/>
          <w:rtl/>
        </w:rPr>
        <w:t xml:space="preserve"> והעושה כן הרי הוא מכלל הולך רכיל מגלה סוד</w:t>
      </w:r>
      <w:r w:rsidR="007E4CBF">
        <w:rPr>
          <w:rStyle w:val="ab"/>
          <w:rFonts w:asciiTheme="minorBidi" w:hAnsiTheme="minorBidi"/>
          <w:rtl/>
        </w:rPr>
        <w:footnoteReference w:id="1019"/>
      </w:r>
      <w:r w:rsidRPr="00576D5C">
        <w:rPr>
          <w:rFonts w:asciiTheme="minorBidi" w:hAnsiTheme="minorBidi"/>
          <w:rtl/>
        </w:rPr>
        <w:t xml:space="preserve"> </w:t>
      </w:r>
      <w:r w:rsidRPr="00530C88">
        <w:rPr>
          <w:rFonts w:asciiTheme="minorBidi" w:hAnsiTheme="minorBidi"/>
          <w:sz w:val="16"/>
          <w:szCs w:val="16"/>
          <w:rtl/>
        </w:rPr>
        <w:t>(משלי יא, יג)</w:t>
      </w:r>
      <w:r w:rsidRPr="00576D5C">
        <w:rPr>
          <w:rFonts w:asciiTheme="minorBidi" w:hAnsiTheme="minorBidi"/>
          <w:rtl/>
        </w:rPr>
        <w:t>.</w:t>
      </w:r>
    </w:p>
    <w:p w14:paraId="1AAAA5B1" w14:textId="77777777" w:rsidR="00530C88" w:rsidRPr="00576D5C" w:rsidRDefault="00530C88" w:rsidP="00576D5C">
      <w:pPr>
        <w:rPr>
          <w:rFonts w:asciiTheme="minorBidi" w:hAnsiTheme="minorBidi"/>
          <w:rtl/>
        </w:rPr>
      </w:pPr>
    </w:p>
    <w:p w14:paraId="1FA32F0D" w14:textId="77777777" w:rsidR="00E137BC" w:rsidRDefault="00E137BC" w:rsidP="006567B0">
      <w:pPr>
        <w:pStyle w:val="2"/>
        <w:rPr>
          <w:rtl/>
        </w:rPr>
      </w:pPr>
      <w:bookmarkStart w:id="163" w:name="_Toc24883646"/>
      <w:r w:rsidRPr="00576D5C">
        <w:rPr>
          <w:rtl/>
        </w:rPr>
        <w:t>סעיף ב</w:t>
      </w:r>
      <w:r w:rsidR="00530C88">
        <w:rPr>
          <w:rFonts w:hint="cs"/>
          <w:rtl/>
        </w:rPr>
        <w:t>:</w:t>
      </w:r>
      <w:r w:rsidR="007E4CBF">
        <w:rPr>
          <w:rFonts w:hint="cs"/>
          <w:rtl/>
        </w:rPr>
        <w:t xml:space="preserve"> כתיבת פסק הדין</w:t>
      </w:r>
      <w:r w:rsidR="007169E0" w:rsidRPr="007169E0">
        <w:rPr>
          <w:rFonts w:hint="cs"/>
          <w:sz w:val="20"/>
          <w:szCs w:val="20"/>
          <w:rtl/>
        </w:rPr>
        <w:t xml:space="preserve"> (במקרה שבעל הדין ביקש זאת)</w:t>
      </w:r>
      <w:r w:rsidR="007E4CBF">
        <w:rPr>
          <w:rFonts w:hint="cs"/>
          <w:rtl/>
        </w:rPr>
        <w:t>.</w:t>
      </w:r>
      <w:bookmarkEnd w:id="163"/>
    </w:p>
    <w:p w14:paraId="5250BE98" w14:textId="77777777" w:rsidR="007169E0" w:rsidRDefault="007E4CBF" w:rsidP="007169E0">
      <w:pPr>
        <w:rPr>
          <w:rFonts w:cs="Arial"/>
          <w:sz w:val="16"/>
          <w:szCs w:val="16"/>
          <w:rtl/>
        </w:rPr>
      </w:pPr>
      <w:r w:rsidRPr="00B27243">
        <w:rPr>
          <w:rFonts w:cs="Arial"/>
          <w:b/>
          <w:bCs/>
          <w:rtl/>
        </w:rPr>
        <w:t xml:space="preserve">סנהדרין </w:t>
      </w:r>
      <w:r w:rsidRPr="00B27243">
        <w:rPr>
          <w:rFonts w:cs="Arial" w:hint="cs"/>
          <w:b/>
          <w:bCs/>
          <w:sz w:val="16"/>
          <w:szCs w:val="16"/>
          <w:rtl/>
        </w:rPr>
        <w:t>(</w:t>
      </w:r>
      <w:r w:rsidRPr="00B27243">
        <w:rPr>
          <w:rFonts w:cs="Arial"/>
          <w:b/>
          <w:bCs/>
          <w:sz w:val="16"/>
          <w:szCs w:val="16"/>
          <w:rtl/>
        </w:rPr>
        <w:t>פ</w:t>
      </w:r>
      <w:r w:rsidRPr="00B27243">
        <w:rPr>
          <w:rFonts w:cs="Arial" w:hint="cs"/>
          <w:b/>
          <w:bCs/>
          <w:sz w:val="16"/>
          <w:szCs w:val="16"/>
          <w:rtl/>
        </w:rPr>
        <w:t>'</w:t>
      </w:r>
      <w:r w:rsidRPr="00B27243">
        <w:rPr>
          <w:rFonts w:cs="Arial"/>
          <w:b/>
          <w:bCs/>
          <w:sz w:val="16"/>
          <w:szCs w:val="16"/>
          <w:rtl/>
        </w:rPr>
        <w:t xml:space="preserve"> זה בורר</w:t>
      </w:r>
      <w:r w:rsidRPr="00B27243">
        <w:rPr>
          <w:rFonts w:cs="Arial" w:hint="cs"/>
          <w:b/>
          <w:bCs/>
          <w:sz w:val="16"/>
          <w:szCs w:val="16"/>
          <w:rtl/>
        </w:rPr>
        <w:t>)</w:t>
      </w:r>
      <w:r w:rsidRPr="00B27243">
        <w:rPr>
          <w:rFonts w:cs="Arial"/>
          <w:b/>
          <w:bCs/>
          <w:sz w:val="16"/>
          <w:szCs w:val="16"/>
          <w:rtl/>
        </w:rPr>
        <w:t xml:space="preserve"> </w:t>
      </w:r>
      <w:r w:rsidR="007169E0">
        <w:rPr>
          <w:rFonts w:cs="Arial" w:hint="cs"/>
          <w:b/>
          <w:bCs/>
          <w:rtl/>
        </w:rPr>
        <w:t>ל</w:t>
      </w:r>
      <w:r w:rsidR="007169E0">
        <w:rPr>
          <w:rStyle w:val="ab"/>
          <w:rFonts w:cs="Arial"/>
          <w:b/>
          <w:bCs/>
          <w:rtl/>
        </w:rPr>
        <w:footnoteReference w:id="1020"/>
      </w:r>
      <w:r w:rsidRPr="00B27243">
        <w:rPr>
          <w:rFonts w:cs="Arial" w:hint="cs"/>
          <w:b/>
          <w:bCs/>
          <w:rtl/>
        </w:rPr>
        <w:t xml:space="preserve"> ע"א:</w:t>
      </w:r>
      <w:r w:rsidRPr="00B27243">
        <w:rPr>
          <w:rtl/>
        </w:rPr>
        <w:t xml:space="preserve"> </w:t>
      </w:r>
      <w:r w:rsidRPr="007E4CBF">
        <w:rPr>
          <w:rFonts w:cs="Arial"/>
          <w:rtl/>
        </w:rPr>
        <w:t>מיכתב היכי כתבי</w:t>
      </w:r>
      <w:r w:rsidR="00637B27">
        <w:rPr>
          <w:rStyle w:val="ab"/>
          <w:rFonts w:cs="Arial"/>
          <w:rtl/>
        </w:rPr>
        <w:footnoteReference w:id="1021"/>
      </w:r>
      <w:r w:rsidRPr="007E4CBF">
        <w:rPr>
          <w:rFonts w:cs="Arial"/>
          <w:rtl/>
        </w:rPr>
        <w:t xml:space="preserve">? </w:t>
      </w:r>
      <w:r w:rsidRPr="00637B27">
        <w:rPr>
          <w:rFonts w:cs="Arial"/>
          <w:u w:val="single"/>
          <w:rtl/>
        </w:rPr>
        <w:t>רבי יוחנן אמר</w:t>
      </w:r>
      <w:r w:rsidRPr="007E4CBF">
        <w:rPr>
          <w:rFonts w:cs="Arial"/>
          <w:rtl/>
        </w:rPr>
        <w:t>: זכאי</w:t>
      </w:r>
      <w:r w:rsidR="00637B27">
        <w:rPr>
          <w:rStyle w:val="ab"/>
          <w:rFonts w:cs="Arial"/>
          <w:rtl/>
        </w:rPr>
        <w:footnoteReference w:id="1022"/>
      </w:r>
      <w:r w:rsidRPr="007E4CBF">
        <w:rPr>
          <w:rFonts w:cs="Arial"/>
          <w:rtl/>
        </w:rPr>
        <w:t xml:space="preserve">. </w:t>
      </w:r>
      <w:r w:rsidRPr="00637B27">
        <w:rPr>
          <w:rFonts w:cs="Arial"/>
          <w:u w:val="single"/>
          <w:rtl/>
        </w:rPr>
        <w:t>ריש לקיש אמר</w:t>
      </w:r>
      <w:r w:rsidRPr="007E4CBF">
        <w:rPr>
          <w:rFonts w:cs="Arial"/>
          <w:rtl/>
        </w:rPr>
        <w:t xml:space="preserve">: פלוני ופלוני מזכין, ופלוני מחייב. </w:t>
      </w:r>
      <w:r w:rsidRPr="00637B27">
        <w:rPr>
          <w:rFonts w:cs="Arial"/>
          <w:u w:val="single"/>
          <w:rtl/>
        </w:rPr>
        <w:t>רבי אלעז</w:t>
      </w:r>
      <w:r w:rsidRPr="00637B27">
        <w:rPr>
          <w:rFonts w:cs="Arial" w:hint="cs"/>
          <w:u w:val="single"/>
          <w:rtl/>
        </w:rPr>
        <w:t>ר</w:t>
      </w:r>
      <w:r w:rsidRPr="00637B27">
        <w:rPr>
          <w:rFonts w:cs="Arial"/>
          <w:u w:val="single"/>
          <w:rtl/>
        </w:rPr>
        <w:t xml:space="preserve"> אמר</w:t>
      </w:r>
      <w:r w:rsidRPr="007E4CBF">
        <w:rPr>
          <w:rFonts w:cs="Arial"/>
          <w:rtl/>
        </w:rPr>
        <w:t>: מדבריהן נזדכה</w:t>
      </w:r>
      <w:r w:rsidR="00637B27">
        <w:rPr>
          <w:rStyle w:val="ab"/>
          <w:rFonts w:cs="Arial"/>
          <w:rtl/>
        </w:rPr>
        <w:footnoteReference w:id="1023"/>
      </w:r>
      <w:r w:rsidRPr="007E4CBF">
        <w:rPr>
          <w:rFonts w:cs="Arial"/>
          <w:rtl/>
        </w:rPr>
        <w:t xml:space="preserve"> פלוני. מאי בינייהו?</w:t>
      </w:r>
      <w:r w:rsidR="00637B27">
        <w:rPr>
          <w:rFonts w:cs="Arial" w:hint="cs"/>
          <w:rtl/>
        </w:rPr>
        <w:t>...</w:t>
      </w:r>
      <w:r w:rsidRPr="007E4CBF">
        <w:rPr>
          <w:rFonts w:cs="Arial"/>
          <w:rtl/>
        </w:rPr>
        <w:t xml:space="preserve"> איכא בינייהו משום לא תלך רכיל בעמיך. </w:t>
      </w:r>
      <w:r w:rsidRPr="00637B27">
        <w:rPr>
          <w:rFonts w:cs="Arial"/>
          <w:u w:val="single"/>
          <w:rtl/>
        </w:rPr>
        <w:t>רבי יוחנן אמר</w:t>
      </w:r>
      <w:r w:rsidRPr="007E4CBF">
        <w:rPr>
          <w:rFonts w:cs="Arial"/>
          <w:rtl/>
        </w:rPr>
        <w:t xml:space="preserve">: זכאי - משום לא תלך רכיל. </w:t>
      </w:r>
      <w:r w:rsidRPr="00637B27">
        <w:rPr>
          <w:rFonts w:cs="Arial"/>
          <w:u w:val="single"/>
          <w:rtl/>
        </w:rPr>
        <w:t>ריש לקיש אמר</w:t>
      </w:r>
      <w:r w:rsidRPr="007E4CBF">
        <w:rPr>
          <w:rFonts w:cs="Arial"/>
          <w:rtl/>
        </w:rPr>
        <w:t>: פלוני ופלוני מזכין ופלוני פלוני מחייבין - משום דמיחזי כשיקרא</w:t>
      </w:r>
      <w:r w:rsidR="00637B27">
        <w:rPr>
          <w:rStyle w:val="ab"/>
          <w:rFonts w:cs="Arial"/>
          <w:rtl/>
        </w:rPr>
        <w:footnoteReference w:id="1024"/>
      </w:r>
      <w:r w:rsidRPr="007E4CBF">
        <w:rPr>
          <w:rFonts w:cs="Arial"/>
          <w:rtl/>
        </w:rPr>
        <w:t xml:space="preserve">. </w:t>
      </w:r>
      <w:r w:rsidRPr="00637B27">
        <w:rPr>
          <w:rFonts w:cs="Arial"/>
          <w:u w:val="single"/>
          <w:rtl/>
        </w:rPr>
        <w:lastRenderedPageBreak/>
        <w:t>ורבי אלעזר</w:t>
      </w:r>
      <w:r w:rsidRPr="007E4CBF">
        <w:rPr>
          <w:rFonts w:cs="Arial"/>
          <w:rtl/>
        </w:rPr>
        <w:t xml:space="preserve"> אית ליה דמר, ואית ליה דמר. הלכך כתבי הכי: מדבריהם נזדכה פלוני</w:t>
      </w:r>
      <w:r w:rsidR="00637B27">
        <w:rPr>
          <w:rStyle w:val="ab"/>
          <w:rFonts w:cs="Arial"/>
          <w:rtl/>
        </w:rPr>
        <w:footnoteReference w:id="1025"/>
      </w:r>
      <w:r w:rsidRPr="007E4CBF">
        <w:rPr>
          <w:rFonts w:cs="Arial"/>
          <w:rtl/>
        </w:rPr>
        <w:t xml:space="preserve">. </w:t>
      </w:r>
      <w:r w:rsidR="00637B27" w:rsidRPr="00637B27">
        <w:rPr>
          <w:rFonts w:cs="Arial" w:hint="cs"/>
          <w:sz w:val="16"/>
          <w:szCs w:val="16"/>
          <w:rtl/>
        </w:rPr>
        <w:t>(</w:t>
      </w:r>
      <w:r w:rsidR="00530C88" w:rsidRPr="00637B27">
        <w:rPr>
          <w:rFonts w:cs="Arial"/>
          <w:sz w:val="16"/>
          <w:szCs w:val="16"/>
          <w:rtl/>
        </w:rPr>
        <w:t>והלכתא כרבי אלעזר דאית ליה כתרווייהו ומסתבר טעמיה</w:t>
      </w:r>
      <w:r w:rsidR="007169E0">
        <w:rPr>
          <w:rFonts w:cs="Arial" w:hint="cs"/>
          <w:sz w:val="16"/>
          <w:szCs w:val="16"/>
          <w:rtl/>
        </w:rPr>
        <w:t>,</w:t>
      </w:r>
      <w:r w:rsidR="007169E0" w:rsidRPr="007169E0">
        <w:rPr>
          <w:rFonts w:cs="Arial"/>
          <w:sz w:val="16"/>
          <w:szCs w:val="16"/>
          <w:rtl/>
        </w:rPr>
        <w:t xml:space="preserve"> </w:t>
      </w:r>
      <w:r w:rsidR="007169E0" w:rsidRPr="00637B27">
        <w:rPr>
          <w:rFonts w:cs="Arial"/>
          <w:sz w:val="16"/>
          <w:szCs w:val="16"/>
          <w:rtl/>
        </w:rPr>
        <w:t>רא"ש (סי' לג)</w:t>
      </w:r>
      <w:r w:rsidR="007169E0">
        <w:rPr>
          <w:rFonts w:cs="Arial" w:hint="cs"/>
          <w:sz w:val="16"/>
          <w:szCs w:val="16"/>
          <w:rtl/>
        </w:rPr>
        <w:t>)</w:t>
      </w:r>
      <w:r w:rsidR="00530C88" w:rsidRPr="00637B27">
        <w:rPr>
          <w:rFonts w:cs="Arial"/>
          <w:sz w:val="16"/>
          <w:szCs w:val="16"/>
          <w:rtl/>
        </w:rPr>
        <w:t xml:space="preserve"> </w:t>
      </w:r>
    </w:p>
    <w:p w14:paraId="7EACA1E2" w14:textId="77777777" w:rsidR="007169E0" w:rsidRPr="007169E0" w:rsidRDefault="007169E0" w:rsidP="00637B27">
      <w:pPr>
        <w:rPr>
          <w:rFonts w:cs="Arial"/>
          <w:rtl/>
        </w:rPr>
      </w:pPr>
      <w:r w:rsidRPr="007169E0">
        <w:rPr>
          <w:rFonts w:cs="Arial" w:hint="cs"/>
          <w:u w:val="single"/>
          <w:rtl/>
        </w:rPr>
        <w:t xml:space="preserve">בעל דין שביקש שיכתבו לו את פסק הדין </w:t>
      </w:r>
      <w:r w:rsidRPr="007169E0">
        <w:rPr>
          <w:rFonts w:cs="Arial"/>
          <w:u w:val="single"/>
          <w:rtl/>
        </w:rPr>
        <w:t>–</w:t>
      </w:r>
      <w:r w:rsidRPr="007169E0">
        <w:rPr>
          <w:rFonts w:cs="Arial" w:hint="cs"/>
          <w:u w:val="single"/>
          <w:rtl/>
        </w:rPr>
        <w:t xml:space="preserve"> כיצד כותבים לו:</w:t>
      </w:r>
    </w:p>
    <w:p w14:paraId="3FCB650B" w14:textId="77777777" w:rsidR="00530C88" w:rsidRPr="007169E0" w:rsidRDefault="00530C88" w:rsidP="004B0475">
      <w:pPr>
        <w:pStyle w:val="ac"/>
        <w:numPr>
          <w:ilvl w:val="0"/>
          <w:numId w:val="24"/>
        </w:numPr>
        <w:rPr>
          <w:rFonts w:cs="Arial"/>
          <w:rtl/>
        </w:rPr>
      </w:pPr>
      <w:r w:rsidRPr="007169E0">
        <w:rPr>
          <w:rFonts w:cs="Arial"/>
          <w:rtl/>
        </w:rPr>
        <w:t>רמב"ם</w:t>
      </w:r>
      <w:r w:rsidRPr="007169E0">
        <w:rPr>
          <w:rFonts w:cs="Arial"/>
          <w:sz w:val="16"/>
          <w:szCs w:val="16"/>
          <w:rtl/>
        </w:rPr>
        <w:t xml:space="preserve"> </w:t>
      </w:r>
      <w:r w:rsidR="007169E0" w:rsidRPr="007169E0">
        <w:rPr>
          <w:rFonts w:cs="Arial" w:hint="cs"/>
          <w:sz w:val="16"/>
          <w:szCs w:val="16"/>
          <w:rtl/>
        </w:rPr>
        <w:t>(</w:t>
      </w:r>
      <w:r w:rsidRPr="007169E0">
        <w:rPr>
          <w:rFonts w:cs="Arial"/>
          <w:sz w:val="16"/>
          <w:szCs w:val="16"/>
          <w:rtl/>
        </w:rPr>
        <w:t>פכ"ב מהל</w:t>
      </w:r>
      <w:r w:rsidR="00637B27" w:rsidRPr="007169E0">
        <w:rPr>
          <w:rFonts w:cs="Arial" w:hint="cs"/>
          <w:sz w:val="16"/>
          <w:szCs w:val="16"/>
          <w:rtl/>
        </w:rPr>
        <w:t>'</w:t>
      </w:r>
      <w:r w:rsidRPr="007169E0">
        <w:rPr>
          <w:rFonts w:cs="Arial"/>
          <w:sz w:val="16"/>
          <w:szCs w:val="16"/>
          <w:rtl/>
        </w:rPr>
        <w:t xml:space="preserve"> סנהדרין ה"ח)</w:t>
      </w:r>
      <w:r w:rsidR="007169E0">
        <w:rPr>
          <w:rFonts w:cs="Arial" w:hint="cs"/>
          <w:rtl/>
        </w:rPr>
        <w:t xml:space="preserve"> רא"ש</w:t>
      </w:r>
      <w:r w:rsidR="007169E0">
        <w:rPr>
          <w:rFonts w:cs="Arial" w:hint="cs"/>
          <w:sz w:val="16"/>
          <w:szCs w:val="16"/>
          <w:rtl/>
        </w:rPr>
        <w:t xml:space="preserve"> (סי' לג)</w:t>
      </w:r>
      <w:r w:rsidR="007169E0" w:rsidRPr="007169E0">
        <w:rPr>
          <w:rFonts w:cs="Arial" w:hint="cs"/>
          <w:rtl/>
        </w:rPr>
        <w:t xml:space="preserve"> </w:t>
      </w:r>
      <w:r w:rsidR="007169E0">
        <w:rPr>
          <w:rFonts w:cs="Arial" w:hint="cs"/>
          <w:rtl/>
        </w:rPr>
        <w:t>ו</w:t>
      </w:r>
      <w:r w:rsidR="00637B27" w:rsidRPr="007169E0">
        <w:rPr>
          <w:rFonts w:cs="Arial" w:hint="cs"/>
          <w:rtl/>
        </w:rPr>
        <w:t>טור-</w:t>
      </w:r>
      <w:r w:rsidR="00637B27" w:rsidRPr="007169E0">
        <w:rPr>
          <w:rFonts w:cs="Arial"/>
          <w:rtl/>
        </w:rPr>
        <w:t xml:space="preserve"> שאל אחד מבעלי הדינין שיכתבו לו הפסק דין </w:t>
      </w:r>
      <w:r w:rsidR="007169E0">
        <w:rPr>
          <w:rFonts w:cs="Arial" w:hint="cs"/>
          <w:rtl/>
        </w:rPr>
        <w:t xml:space="preserve">- </w:t>
      </w:r>
      <w:r w:rsidR="00637B27" w:rsidRPr="007169E0">
        <w:rPr>
          <w:rFonts w:cs="Arial"/>
          <w:rtl/>
        </w:rPr>
        <w:t xml:space="preserve">אין מזכירין שם המזכין ולא שם המחייבים אלא כותבין סתם </w:t>
      </w:r>
      <w:r w:rsidR="007169E0">
        <w:rPr>
          <w:rFonts w:cs="Arial" w:hint="cs"/>
          <w:rtl/>
        </w:rPr>
        <w:t>'</w:t>
      </w:r>
      <w:r w:rsidR="00637B27" w:rsidRPr="007169E0">
        <w:rPr>
          <w:rFonts w:cs="Arial"/>
          <w:rtl/>
        </w:rPr>
        <w:t>פלוני בא עם פלוני בעל דינו לפני ב"ד ומדבריהם יצא פלוני זכאי ופלוני חייב</w:t>
      </w:r>
      <w:r w:rsidR="007169E0">
        <w:rPr>
          <w:rFonts w:cs="Arial" w:hint="cs"/>
          <w:rtl/>
        </w:rPr>
        <w:t xml:space="preserve">' </w:t>
      </w:r>
      <w:r w:rsidR="007169E0">
        <w:rPr>
          <w:rFonts w:cs="Arial" w:hint="cs"/>
          <w:sz w:val="16"/>
          <w:szCs w:val="16"/>
          <w:rtl/>
        </w:rPr>
        <w:t>(ל' הטור)</w:t>
      </w:r>
      <w:r w:rsidR="00637B27" w:rsidRPr="007169E0">
        <w:rPr>
          <w:rFonts w:cs="Arial" w:hint="cs"/>
          <w:rtl/>
        </w:rPr>
        <w:t xml:space="preserve">. </w:t>
      </w:r>
      <w:r w:rsidR="007169E0">
        <w:rPr>
          <w:rFonts w:cs="Arial" w:hint="cs"/>
          <w:color w:val="E36C0A" w:themeColor="accent6" w:themeShade="BF"/>
          <w:rtl/>
        </w:rPr>
        <w:t>(</w:t>
      </w:r>
      <w:r w:rsidR="00637B27" w:rsidRPr="007169E0">
        <w:rPr>
          <w:rFonts w:cs="Arial" w:hint="cs"/>
          <w:color w:val="E36C0A" w:themeColor="accent6" w:themeShade="BF"/>
          <w:rtl/>
        </w:rPr>
        <w:t>וכ"פ בשו"ע</w:t>
      </w:r>
      <w:r w:rsidR="007169E0">
        <w:rPr>
          <w:rFonts w:cs="Arial" w:hint="cs"/>
          <w:color w:val="E36C0A" w:themeColor="accent6" w:themeShade="BF"/>
          <w:rtl/>
        </w:rPr>
        <w:t>)</w:t>
      </w:r>
    </w:p>
    <w:p w14:paraId="78F04044" w14:textId="77777777" w:rsidR="00E137BC" w:rsidRPr="00576D5C" w:rsidRDefault="00E137BC" w:rsidP="00576D5C">
      <w:pPr>
        <w:rPr>
          <w:rFonts w:asciiTheme="minorBidi" w:hAnsiTheme="minorBidi"/>
          <w:b/>
          <w:bCs/>
          <w:color w:val="000000"/>
          <w:sz w:val="28"/>
          <w:szCs w:val="28"/>
          <w:u w:val="single"/>
          <w:rtl/>
        </w:rPr>
      </w:pPr>
      <w:r w:rsidRPr="00576D5C">
        <w:rPr>
          <w:rFonts w:asciiTheme="minorBidi" w:hAnsiTheme="minorBidi"/>
          <w:b/>
          <w:bCs/>
          <w:color w:val="000000"/>
          <w:sz w:val="28"/>
          <w:szCs w:val="28"/>
          <w:u w:val="single"/>
          <w:rtl/>
        </w:rPr>
        <w:t>שו"ע:</w:t>
      </w:r>
    </w:p>
    <w:p w14:paraId="33DE78C6" w14:textId="77777777" w:rsidR="00E137BC" w:rsidRDefault="00E137BC" w:rsidP="00576D5C">
      <w:pPr>
        <w:rPr>
          <w:rFonts w:asciiTheme="minorBidi" w:hAnsiTheme="minorBidi"/>
          <w:rtl/>
        </w:rPr>
      </w:pPr>
      <w:r w:rsidRPr="00576D5C">
        <w:rPr>
          <w:rFonts w:asciiTheme="minorBidi" w:hAnsiTheme="minorBidi"/>
          <w:rtl/>
        </w:rPr>
        <w:t xml:space="preserve">שאל אחד מבעלי הדין שיכתבו לו הפסק דין </w:t>
      </w:r>
      <w:r w:rsidR="00767307">
        <w:rPr>
          <w:rFonts w:asciiTheme="minorBidi" w:hAnsiTheme="minorBidi" w:hint="cs"/>
          <w:sz w:val="18"/>
          <w:szCs w:val="18"/>
          <w:rtl/>
        </w:rPr>
        <w:t xml:space="preserve">[הגה] </w:t>
      </w:r>
      <w:r w:rsidR="00767307" w:rsidRPr="00767307">
        <w:rPr>
          <w:rFonts w:asciiTheme="minorBidi" w:hAnsiTheme="minorBidi" w:hint="cs"/>
          <w:sz w:val="18"/>
          <w:szCs w:val="18"/>
          <w:rtl/>
        </w:rPr>
        <w:t>ב</w:t>
      </w:r>
      <w:r w:rsidRPr="00767307">
        <w:rPr>
          <w:rFonts w:asciiTheme="minorBidi" w:hAnsiTheme="minorBidi"/>
          <w:sz w:val="18"/>
          <w:szCs w:val="18"/>
          <w:rtl/>
        </w:rPr>
        <w:t>דרך שנתבאר לעיל סימן י"ד סעיף ד</w:t>
      </w:r>
      <w:r w:rsidR="00767307">
        <w:rPr>
          <w:rStyle w:val="ab"/>
          <w:rFonts w:asciiTheme="minorBidi" w:hAnsiTheme="minorBidi"/>
          <w:sz w:val="18"/>
          <w:szCs w:val="18"/>
          <w:rtl/>
        </w:rPr>
        <w:footnoteReference w:id="1026"/>
      </w:r>
      <w:r w:rsidRPr="00576D5C">
        <w:rPr>
          <w:rFonts w:asciiTheme="minorBidi" w:hAnsiTheme="minorBidi"/>
          <w:rtl/>
        </w:rPr>
        <w:t xml:space="preserve">, אין מזכירין שם המזכים ולא שם המחייבים, אלא כותבים סתם: פלוני בא עם פלוני בעל דינו לפני בית דין ומדבריהם יצא פלוני זכאי ופלוני חייב. </w:t>
      </w:r>
    </w:p>
    <w:p w14:paraId="78CC185F" w14:textId="77777777" w:rsidR="00530C88" w:rsidRPr="00767307" w:rsidRDefault="00767307" w:rsidP="00576D5C">
      <w:pPr>
        <w:rPr>
          <w:rFonts w:asciiTheme="minorBidi" w:hAnsiTheme="minorBidi"/>
          <w:u w:val="single"/>
          <w:rtl/>
        </w:rPr>
      </w:pPr>
      <w:r w:rsidRPr="00767307">
        <w:rPr>
          <w:rFonts w:asciiTheme="minorBidi" w:hAnsiTheme="minorBidi" w:hint="cs"/>
          <w:u w:val="single"/>
          <w:rtl/>
        </w:rPr>
        <w:t xml:space="preserve">פסק דין שכל הדיינים הסכימו שצריך לחייב/לזכות את פלוני </w:t>
      </w:r>
      <w:r w:rsidRPr="00767307">
        <w:rPr>
          <w:rFonts w:asciiTheme="minorBidi" w:hAnsiTheme="minorBidi"/>
          <w:u w:val="single"/>
          <w:rtl/>
        </w:rPr>
        <w:t>–</w:t>
      </w:r>
      <w:r w:rsidRPr="00767307">
        <w:rPr>
          <w:rFonts w:asciiTheme="minorBidi" w:hAnsiTheme="minorBidi" w:hint="cs"/>
          <w:u w:val="single"/>
          <w:rtl/>
        </w:rPr>
        <w:t xml:space="preserve"> האם כותבים כנ"ל:</w:t>
      </w:r>
    </w:p>
    <w:p w14:paraId="48CFE98D" w14:textId="77777777" w:rsidR="00767307" w:rsidRPr="00767307" w:rsidRDefault="00767307" w:rsidP="004B0475">
      <w:pPr>
        <w:pStyle w:val="ac"/>
        <w:numPr>
          <w:ilvl w:val="0"/>
          <w:numId w:val="24"/>
        </w:numPr>
        <w:rPr>
          <w:rFonts w:asciiTheme="minorBidi" w:hAnsiTheme="minorBidi" w:cs="Arial"/>
          <w:rtl/>
        </w:rPr>
      </w:pPr>
      <w:r w:rsidRPr="00767307">
        <w:rPr>
          <w:rFonts w:asciiTheme="minorBidi" w:hAnsiTheme="minorBidi" w:cs="Arial" w:hint="cs"/>
          <w:rtl/>
        </w:rPr>
        <w:t>סמ"ע</w:t>
      </w:r>
      <w:r>
        <w:rPr>
          <w:rFonts w:asciiTheme="minorBidi" w:hAnsiTheme="minorBidi" w:cs="Arial" w:hint="cs"/>
          <w:rtl/>
        </w:rPr>
        <w:t xml:space="preserve"> </w:t>
      </w:r>
      <w:r w:rsidRPr="00767307">
        <w:rPr>
          <w:rFonts w:asciiTheme="minorBidi" w:hAnsiTheme="minorBidi" w:cs="Arial" w:hint="cs"/>
          <w:sz w:val="16"/>
          <w:szCs w:val="16"/>
          <w:rtl/>
        </w:rPr>
        <w:t>(סק"ג)</w:t>
      </w:r>
      <w:r w:rsidRPr="00767307">
        <w:rPr>
          <w:rFonts w:asciiTheme="minorBidi" w:hAnsiTheme="minorBidi" w:cs="Arial" w:hint="cs"/>
          <w:rtl/>
        </w:rPr>
        <w:t xml:space="preserve">- </w:t>
      </w:r>
      <w:r w:rsidRPr="00767307">
        <w:rPr>
          <w:rFonts w:asciiTheme="minorBidi" w:hAnsiTheme="minorBidi" w:cs="Arial"/>
          <w:rtl/>
        </w:rPr>
        <w:t>אם השוו בדעה אחת לזכות זה ולחייב זה, אין כותבין לשון ומדבריהן, דמשמע דהיתה ביניהם מחלוקת ומיחזי כשיקרא</w:t>
      </w:r>
      <w:r>
        <w:rPr>
          <w:rFonts w:asciiTheme="minorBidi" w:hAnsiTheme="minorBidi" w:cs="Arial" w:hint="cs"/>
          <w:rtl/>
        </w:rPr>
        <w:t>.</w:t>
      </w:r>
    </w:p>
    <w:p w14:paraId="6B3F9592" w14:textId="77777777" w:rsidR="00767307" w:rsidRPr="00767307" w:rsidRDefault="00767307" w:rsidP="004B0475">
      <w:pPr>
        <w:pStyle w:val="ac"/>
        <w:numPr>
          <w:ilvl w:val="0"/>
          <w:numId w:val="24"/>
        </w:numPr>
        <w:rPr>
          <w:rFonts w:asciiTheme="minorBidi" w:hAnsiTheme="minorBidi"/>
          <w:rtl/>
        </w:rPr>
      </w:pPr>
      <w:r w:rsidRPr="00767307">
        <w:rPr>
          <w:rFonts w:asciiTheme="minorBidi" w:hAnsiTheme="minorBidi" w:cs="Arial" w:hint="cs"/>
          <w:rtl/>
        </w:rPr>
        <w:t xml:space="preserve">אורים </w:t>
      </w:r>
      <w:r w:rsidRPr="00767307">
        <w:rPr>
          <w:rFonts w:asciiTheme="minorBidi" w:hAnsiTheme="minorBidi" w:cs="Arial"/>
          <w:sz w:val="16"/>
          <w:szCs w:val="16"/>
          <w:rtl/>
        </w:rPr>
        <w:t>(</w:t>
      </w:r>
      <w:r w:rsidRPr="00767307">
        <w:rPr>
          <w:rFonts w:asciiTheme="minorBidi" w:hAnsiTheme="minorBidi" w:cs="Arial" w:hint="cs"/>
          <w:sz w:val="16"/>
          <w:szCs w:val="16"/>
          <w:rtl/>
        </w:rPr>
        <w:t>סק"</w:t>
      </w:r>
      <w:r w:rsidRPr="00767307">
        <w:rPr>
          <w:rFonts w:asciiTheme="minorBidi" w:hAnsiTheme="minorBidi" w:cs="Arial"/>
          <w:sz w:val="16"/>
          <w:szCs w:val="16"/>
          <w:rtl/>
        </w:rPr>
        <w:t>ד)</w:t>
      </w:r>
      <w:r w:rsidRPr="00767307">
        <w:rPr>
          <w:rFonts w:asciiTheme="minorBidi" w:hAnsiTheme="minorBidi" w:cs="Arial" w:hint="cs"/>
          <w:rtl/>
        </w:rPr>
        <w:t>-</w:t>
      </w:r>
      <w:r w:rsidRPr="00767307">
        <w:rPr>
          <w:rFonts w:asciiTheme="minorBidi" w:hAnsiTheme="minorBidi" w:cs="Arial"/>
          <w:rtl/>
        </w:rPr>
        <w:t xml:space="preserve"> </w:t>
      </w:r>
      <w:r w:rsidR="00384C8F">
        <w:rPr>
          <w:rStyle w:val="ab"/>
          <w:rFonts w:asciiTheme="minorBidi" w:hAnsiTheme="minorBidi" w:cs="Arial"/>
          <w:rtl/>
        </w:rPr>
        <w:footnoteReference w:id="1027"/>
      </w:r>
      <w:r w:rsidRPr="00767307">
        <w:rPr>
          <w:rFonts w:asciiTheme="minorBidi" w:hAnsiTheme="minorBidi" w:cs="Arial"/>
          <w:rtl/>
        </w:rPr>
        <w:t>ודאי דכותבין בכל פס"ד נוסח שוה לבל יכיר הבע"ד אם הושוו כולם או לא.</w:t>
      </w:r>
    </w:p>
    <w:p w14:paraId="0159E998" w14:textId="77777777" w:rsidR="00B06193" w:rsidRPr="00B06193" w:rsidRDefault="00B06193" w:rsidP="00767307">
      <w:pPr>
        <w:rPr>
          <w:rFonts w:asciiTheme="minorBidi" w:hAnsiTheme="minorBidi" w:cs="Arial"/>
          <w:u w:val="single"/>
          <w:rtl/>
        </w:rPr>
      </w:pPr>
      <w:r w:rsidRPr="00B06193">
        <w:rPr>
          <w:rFonts w:asciiTheme="minorBidi" w:hAnsiTheme="minorBidi" w:cs="Arial"/>
          <w:u w:val="single"/>
          <w:rtl/>
        </w:rPr>
        <w:t>אחד מהדיינים אינו רוצה לחתום באמרו שטעו</w:t>
      </w:r>
      <w:r w:rsidR="008209F1">
        <w:rPr>
          <w:rFonts w:asciiTheme="minorBidi" w:hAnsiTheme="minorBidi" w:cs="Arial" w:hint="cs"/>
          <w:u w:val="single"/>
          <w:rtl/>
        </w:rPr>
        <w:t xml:space="preserve"> הדיינים האחרים</w:t>
      </w:r>
      <w:r w:rsidRPr="00B06193">
        <w:rPr>
          <w:rFonts w:asciiTheme="minorBidi" w:hAnsiTheme="minorBidi" w:cs="Arial" w:hint="cs"/>
          <w:u w:val="single"/>
          <w:rtl/>
        </w:rPr>
        <w:t>:</w:t>
      </w:r>
      <w:r w:rsidR="006F40F3">
        <w:rPr>
          <w:rFonts w:asciiTheme="minorBidi" w:hAnsiTheme="minorBidi" w:cs="Arial" w:hint="cs"/>
          <w:sz w:val="16"/>
          <w:szCs w:val="16"/>
          <w:rtl/>
        </w:rPr>
        <w:t xml:space="preserve"> </w:t>
      </w:r>
      <w:r>
        <w:rPr>
          <w:rFonts w:asciiTheme="minorBidi" w:hAnsiTheme="minorBidi" w:cs="Arial" w:hint="cs"/>
          <w:sz w:val="16"/>
          <w:szCs w:val="16"/>
          <w:rtl/>
        </w:rPr>
        <w:t xml:space="preserve">  </w:t>
      </w:r>
      <w:r w:rsidRPr="00B06193">
        <w:rPr>
          <w:rFonts w:asciiTheme="minorBidi" w:hAnsiTheme="minorBidi" w:cs="Arial"/>
          <w:sz w:val="16"/>
          <w:szCs w:val="16"/>
          <w:rtl/>
        </w:rPr>
        <w:t>(</w:t>
      </w:r>
      <w:r>
        <w:rPr>
          <w:rFonts w:asciiTheme="minorBidi" w:hAnsiTheme="minorBidi" w:cs="Arial" w:hint="cs"/>
          <w:sz w:val="16"/>
          <w:szCs w:val="16"/>
          <w:rtl/>
        </w:rPr>
        <w:t>אורים סק"ד)</w:t>
      </w:r>
    </w:p>
    <w:p w14:paraId="716320E4" w14:textId="77777777" w:rsidR="00384C8F" w:rsidRPr="00384C8F" w:rsidRDefault="008209F1" w:rsidP="004B0475">
      <w:pPr>
        <w:pStyle w:val="ac"/>
        <w:numPr>
          <w:ilvl w:val="0"/>
          <w:numId w:val="26"/>
        </w:numPr>
        <w:rPr>
          <w:rFonts w:asciiTheme="minorBidi" w:hAnsiTheme="minorBidi"/>
        </w:rPr>
      </w:pPr>
      <w:r>
        <w:rPr>
          <w:rFonts w:asciiTheme="minorBidi" w:hAnsiTheme="minorBidi" w:cs="Arial" w:hint="cs"/>
          <w:rtl/>
        </w:rPr>
        <w:t xml:space="preserve">מהרי"ק </w:t>
      </w:r>
      <w:r>
        <w:rPr>
          <w:rFonts w:asciiTheme="minorBidi" w:hAnsiTheme="minorBidi" w:cs="Arial" w:hint="cs"/>
          <w:sz w:val="16"/>
          <w:szCs w:val="16"/>
          <w:rtl/>
        </w:rPr>
        <w:t xml:space="preserve">(כ"כ האורים בשמו) </w:t>
      </w:r>
      <w:r w:rsidR="00767307" w:rsidRPr="00B06193">
        <w:rPr>
          <w:rFonts w:asciiTheme="minorBidi" w:hAnsiTheme="minorBidi" w:cs="Arial"/>
          <w:rtl/>
        </w:rPr>
        <w:t xml:space="preserve">חות יאיר </w:t>
      </w:r>
      <w:r w:rsidR="00767307" w:rsidRPr="00B06193">
        <w:rPr>
          <w:rFonts w:asciiTheme="minorBidi" w:hAnsiTheme="minorBidi" w:cs="Arial"/>
          <w:sz w:val="16"/>
          <w:szCs w:val="16"/>
          <w:rtl/>
        </w:rPr>
        <w:t>(סי</w:t>
      </w:r>
      <w:r w:rsidR="00B06193">
        <w:rPr>
          <w:rFonts w:asciiTheme="minorBidi" w:hAnsiTheme="minorBidi" w:cs="Arial" w:hint="cs"/>
          <w:sz w:val="16"/>
          <w:szCs w:val="16"/>
          <w:rtl/>
        </w:rPr>
        <w:t>'</w:t>
      </w:r>
      <w:r w:rsidR="00767307" w:rsidRPr="00B06193">
        <w:rPr>
          <w:rFonts w:asciiTheme="minorBidi" w:hAnsiTheme="minorBidi" w:cs="Arial"/>
          <w:sz w:val="16"/>
          <w:szCs w:val="16"/>
          <w:rtl/>
        </w:rPr>
        <w:t xml:space="preserve"> קמז</w:t>
      </w:r>
      <w:r w:rsidR="00B06193">
        <w:rPr>
          <w:rFonts w:asciiTheme="minorBidi" w:hAnsiTheme="minorBidi" w:cs="Arial" w:hint="cs"/>
          <w:sz w:val="16"/>
          <w:szCs w:val="16"/>
          <w:rtl/>
        </w:rPr>
        <w:t>)</w:t>
      </w:r>
      <w:r w:rsidR="00384C8F" w:rsidRPr="00384C8F">
        <w:rPr>
          <w:rFonts w:asciiTheme="minorBidi" w:hAnsiTheme="minorBidi" w:cs="Arial"/>
          <w:rtl/>
        </w:rPr>
        <w:t xml:space="preserve"> </w:t>
      </w:r>
      <w:r w:rsidR="00384C8F">
        <w:rPr>
          <w:rFonts w:asciiTheme="minorBidi" w:hAnsiTheme="minorBidi" w:cs="Arial" w:hint="cs"/>
          <w:rtl/>
        </w:rPr>
        <w:t>ו</w:t>
      </w:r>
      <w:r w:rsidR="00384C8F" w:rsidRPr="00B06193">
        <w:rPr>
          <w:rFonts w:asciiTheme="minorBidi" w:hAnsiTheme="minorBidi" w:cs="Arial"/>
          <w:rtl/>
        </w:rPr>
        <w:t xml:space="preserve">ב"י </w:t>
      </w:r>
      <w:r w:rsidR="00384C8F" w:rsidRPr="008209F1">
        <w:rPr>
          <w:rFonts w:asciiTheme="minorBidi" w:hAnsiTheme="minorBidi" w:cs="Arial"/>
          <w:sz w:val="16"/>
          <w:szCs w:val="16"/>
          <w:rtl/>
        </w:rPr>
        <w:t>(בשו"ת אבקת רוכל סי' יט)</w:t>
      </w:r>
      <w:r w:rsidR="00384C8F">
        <w:rPr>
          <w:rFonts w:asciiTheme="minorBidi" w:hAnsiTheme="minorBidi" w:cs="Arial" w:hint="cs"/>
          <w:rtl/>
        </w:rPr>
        <w:t>-</w:t>
      </w:r>
      <w:r w:rsidR="00767307" w:rsidRPr="00B06193">
        <w:rPr>
          <w:rFonts w:asciiTheme="minorBidi" w:hAnsiTheme="minorBidi" w:cs="Arial"/>
          <w:rtl/>
        </w:rPr>
        <w:t xml:space="preserve"> אם אחד מהדיינים אינו רוצה לחתום באמרו שטעו רק הם היו הרוב ומ"מ איך יחתום בדברי טעות, אין שומעין לו ומחויב לחתום</w:t>
      </w:r>
      <w:r>
        <w:rPr>
          <w:rStyle w:val="ab"/>
          <w:rFonts w:asciiTheme="minorBidi" w:hAnsiTheme="minorBidi" w:cs="Arial"/>
          <w:rtl/>
        </w:rPr>
        <w:footnoteReference w:id="1028"/>
      </w:r>
      <w:r w:rsidR="00767307" w:rsidRPr="00B06193">
        <w:rPr>
          <w:rFonts w:asciiTheme="minorBidi" w:hAnsiTheme="minorBidi" w:cs="Arial"/>
          <w:rtl/>
        </w:rPr>
        <w:t>.</w:t>
      </w:r>
    </w:p>
    <w:p w14:paraId="02F1BF46" w14:textId="77777777" w:rsidR="00384C8F" w:rsidRPr="00384C8F" w:rsidRDefault="00767307" w:rsidP="004B0475">
      <w:pPr>
        <w:pStyle w:val="ac"/>
        <w:numPr>
          <w:ilvl w:val="0"/>
          <w:numId w:val="26"/>
        </w:numPr>
        <w:rPr>
          <w:rFonts w:asciiTheme="minorBidi" w:hAnsiTheme="minorBidi"/>
        </w:rPr>
      </w:pPr>
      <w:r w:rsidRPr="00B06193">
        <w:rPr>
          <w:rFonts w:asciiTheme="minorBidi" w:hAnsiTheme="minorBidi" w:cs="Arial"/>
          <w:rtl/>
        </w:rPr>
        <w:t xml:space="preserve">מבי"ט </w:t>
      </w:r>
      <w:r w:rsidR="00384C8F" w:rsidRPr="008209F1">
        <w:rPr>
          <w:rFonts w:asciiTheme="minorBidi" w:hAnsiTheme="minorBidi" w:cs="Arial" w:hint="cs"/>
          <w:sz w:val="16"/>
          <w:szCs w:val="16"/>
          <w:rtl/>
        </w:rPr>
        <w:t>(</w:t>
      </w:r>
      <w:r w:rsidRPr="008209F1">
        <w:rPr>
          <w:rFonts w:asciiTheme="minorBidi" w:hAnsiTheme="minorBidi" w:cs="Arial"/>
          <w:sz w:val="16"/>
          <w:szCs w:val="16"/>
          <w:rtl/>
        </w:rPr>
        <w:t xml:space="preserve">ח"ב סי' </w:t>
      </w:r>
      <w:r w:rsidR="00384C8F" w:rsidRPr="008209F1">
        <w:rPr>
          <w:rFonts w:asciiTheme="minorBidi" w:hAnsiTheme="minorBidi" w:cs="Arial" w:hint="cs"/>
          <w:sz w:val="16"/>
          <w:szCs w:val="16"/>
          <w:rtl/>
        </w:rPr>
        <w:t>קעב)</w:t>
      </w:r>
      <w:r w:rsidR="00384C8F">
        <w:rPr>
          <w:rFonts w:asciiTheme="minorBidi" w:hAnsiTheme="minorBidi" w:cs="Arial" w:hint="cs"/>
          <w:rtl/>
        </w:rPr>
        <w:t>-</w:t>
      </w:r>
      <w:r w:rsidR="00384C8F" w:rsidRPr="00B06193">
        <w:rPr>
          <w:rFonts w:asciiTheme="minorBidi" w:hAnsiTheme="minorBidi" w:cs="Arial"/>
          <w:rtl/>
        </w:rPr>
        <w:t xml:space="preserve"> </w:t>
      </w:r>
      <w:r w:rsidRPr="00B06193">
        <w:rPr>
          <w:rFonts w:asciiTheme="minorBidi" w:hAnsiTheme="minorBidi" w:cs="Arial"/>
          <w:rtl/>
        </w:rPr>
        <w:t>אי</w:t>
      </w:r>
      <w:r w:rsidR="00384C8F">
        <w:rPr>
          <w:rFonts w:asciiTheme="minorBidi" w:hAnsiTheme="minorBidi" w:cs="Arial" w:hint="cs"/>
          <w:rtl/>
        </w:rPr>
        <w:t>נו חייב</w:t>
      </w:r>
      <w:r w:rsidRPr="00B06193">
        <w:rPr>
          <w:rFonts w:asciiTheme="minorBidi" w:hAnsiTheme="minorBidi" w:cs="Arial"/>
          <w:rtl/>
        </w:rPr>
        <w:t xml:space="preserve"> לחתום</w:t>
      </w:r>
      <w:r w:rsidR="00384C8F">
        <w:rPr>
          <w:rFonts w:asciiTheme="minorBidi" w:hAnsiTheme="minorBidi" w:cs="Arial" w:hint="cs"/>
          <w:rtl/>
        </w:rPr>
        <w:t>,</w:t>
      </w:r>
      <w:r w:rsidR="00384C8F" w:rsidRPr="00384C8F">
        <w:rPr>
          <w:rFonts w:asciiTheme="minorBidi" w:hAnsiTheme="minorBidi" w:cs="Arial" w:hint="cs"/>
          <w:rtl/>
        </w:rPr>
        <w:t xml:space="preserve"> </w:t>
      </w:r>
      <w:r w:rsidR="00384C8F">
        <w:rPr>
          <w:rFonts w:asciiTheme="minorBidi" w:hAnsiTheme="minorBidi" w:cs="Arial" w:hint="cs"/>
          <w:rtl/>
        </w:rPr>
        <w:t xml:space="preserve">אלא </w:t>
      </w:r>
      <w:r w:rsidR="00384C8F" w:rsidRPr="00B06193">
        <w:rPr>
          <w:rFonts w:asciiTheme="minorBidi" w:hAnsiTheme="minorBidi" w:cs="Arial"/>
          <w:rtl/>
        </w:rPr>
        <w:t>יכתבו סופרי דיינים הפס"ד, ויכתבו מדבריהם נזכה פלוני</w:t>
      </w:r>
      <w:r w:rsidR="008209F1">
        <w:rPr>
          <w:rStyle w:val="ab"/>
          <w:rFonts w:asciiTheme="minorBidi" w:hAnsiTheme="minorBidi"/>
          <w:rtl/>
        </w:rPr>
        <w:footnoteReference w:id="1029"/>
      </w:r>
      <w:r w:rsidR="00384C8F">
        <w:rPr>
          <w:rFonts w:asciiTheme="minorBidi" w:hAnsiTheme="minorBidi" w:hint="cs"/>
          <w:rtl/>
        </w:rPr>
        <w:t>.</w:t>
      </w:r>
    </w:p>
    <w:p w14:paraId="0F43836D" w14:textId="77777777" w:rsidR="004C2B2A" w:rsidRPr="004C2B2A" w:rsidRDefault="00767307" w:rsidP="004B0475">
      <w:pPr>
        <w:pStyle w:val="ac"/>
        <w:numPr>
          <w:ilvl w:val="0"/>
          <w:numId w:val="26"/>
        </w:numPr>
        <w:rPr>
          <w:rFonts w:asciiTheme="minorBidi" w:hAnsiTheme="minorBidi"/>
        </w:rPr>
      </w:pPr>
      <w:r w:rsidRPr="00B06193">
        <w:rPr>
          <w:rFonts w:asciiTheme="minorBidi" w:hAnsiTheme="minorBidi" w:cs="Arial"/>
          <w:rtl/>
        </w:rPr>
        <w:t xml:space="preserve">רדב"ז </w:t>
      </w:r>
      <w:r w:rsidRPr="008209F1">
        <w:rPr>
          <w:rFonts w:asciiTheme="minorBidi" w:hAnsiTheme="minorBidi" w:cs="Arial"/>
          <w:sz w:val="16"/>
          <w:szCs w:val="16"/>
          <w:rtl/>
        </w:rPr>
        <w:t>(סי' קעב)</w:t>
      </w:r>
      <w:r w:rsidR="00384C8F">
        <w:rPr>
          <w:rFonts w:asciiTheme="minorBidi" w:hAnsiTheme="minorBidi" w:cs="Arial" w:hint="cs"/>
          <w:rtl/>
        </w:rPr>
        <w:t xml:space="preserve">- </w:t>
      </w:r>
      <w:r w:rsidRPr="00B06193">
        <w:rPr>
          <w:rFonts w:asciiTheme="minorBidi" w:hAnsiTheme="minorBidi" w:cs="Arial"/>
          <w:rtl/>
        </w:rPr>
        <w:t xml:space="preserve">אם אין ביטול מעשה במניעת החתימה אין לכוף להדיין לחתום במה דלא ס"ל, אבל אם יש ביטול מעשה מחויב לחתום. </w:t>
      </w:r>
    </w:p>
    <w:p w14:paraId="2C159969" w14:textId="77777777" w:rsidR="004C2B2A" w:rsidRPr="004C2B2A" w:rsidRDefault="004C2B2A" w:rsidP="004C2B2A">
      <w:pPr>
        <w:rPr>
          <w:rFonts w:asciiTheme="minorBidi" w:hAnsiTheme="minorBidi"/>
        </w:rPr>
      </w:pPr>
      <w:r>
        <w:rPr>
          <w:rFonts w:asciiTheme="minorBidi" w:hAnsiTheme="minorBidi" w:cs="Arial" w:hint="cs"/>
          <w:u w:val="single"/>
          <w:rtl/>
        </w:rPr>
        <w:t>בעל דין שיצא חייב ורוצה ללכת עם בעל דינו לבית דין אחר שידונו שוב בדינם</w:t>
      </w:r>
      <w:r w:rsidRPr="00B06193">
        <w:rPr>
          <w:rFonts w:asciiTheme="minorBidi" w:hAnsiTheme="minorBidi" w:cs="Arial" w:hint="cs"/>
          <w:u w:val="single"/>
          <w:rtl/>
        </w:rPr>
        <w:t>:</w:t>
      </w:r>
      <w:r>
        <w:rPr>
          <w:rFonts w:asciiTheme="minorBidi" w:hAnsiTheme="minorBidi" w:cs="Arial" w:hint="cs"/>
          <w:sz w:val="16"/>
          <w:szCs w:val="16"/>
          <w:rtl/>
        </w:rPr>
        <w:t xml:space="preserve">   </w:t>
      </w:r>
      <w:r w:rsidRPr="00B06193">
        <w:rPr>
          <w:rFonts w:asciiTheme="minorBidi" w:hAnsiTheme="minorBidi" w:cs="Arial"/>
          <w:sz w:val="16"/>
          <w:szCs w:val="16"/>
          <w:rtl/>
        </w:rPr>
        <w:t>(</w:t>
      </w:r>
      <w:r>
        <w:rPr>
          <w:rFonts w:asciiTheme="minorBidi" w:hAnsiTheme="minorBidi" w:cs="Arial" w:hint="cs"/>
          <w:sz w:val="16"/>
          <w:szCs w:val="16"/>
          <w:rtl/>
        </w:rPr>
        <w:t>סמ"ע סק"ב בהגה)</w:t>
      </w:r>
    </w:p>
    <w:p w14:paraId="53AB0D16" w14:textId="77777777" w:rsidR="00767307" w:rsidRPr="004C2B2A" w:rsidRDefault="0081724A" w:rsidP="004B0475">
      <w:pPr>
        <w:pStyle w:val="ac"/>
        <w:numPr>
          <w:ilvl w:val="0"/>
          <w:numId w:val="26"/>
        </w:numPr>
        <w:rPr>
          <w:rFonts w:asciiTheme="minorBidi" w:hAnsiTheme="minorBidi"/>
          <w:rtl/>
        </w:rPr>
      </w:pPr>
      <w:r>
        <w:rPr>
          <w:rFonts w:cs="Arial" w:hint="cs"/>
          <w:rtl/>
        </w:rPr>
        <w:lastRenderedPageBreak/>
        <w:t xml:space="preserve">ב"י </w:t>
      </w:r>
      <w:r>
        <w:rPr>
          <w:rFonts w:cs="Arial" w:hint="cs"/>
          <w:sz w:val="16"/>
          <w:szCs w:val="16"/>
          <w:rtl/>
        </w:rPr>
        <w:t xml:space="preserve">(ס"ס יב) </w:t>
      </w:r>
      <w:r>
        <w:rPr>
          <w:rFonts w:cs="Arial" w:hint="cs"/>
          <w:rtl/>
        </w:rPr>
        <w:t>ו</w:t>
      </w:r>
      <w:r w:rsidR="00767307" w:rsidRPr="004C2B2A">
        <w:rPr>
          <w:rFonts w:cs="Arial"/>
          <w:rtl/>
        </w:rPr>
        <w:t>ד</w:t>
      </w:r>
      <w:r w:rsidR="008209F1" w:rsidRPr="004C2B2A">
        <w:rPr>
          <w:rFonts w:cs="Arial" w:hint="cs"/>
          <w:rtl/>
        </w:rPr>
        <w:t>רכ</w:t>
      </w:r>
      <w:r w:rsidR="00767307" w:rsidRPr="004C2B2A">
        <w:rPr>
          <w:rFonts w:cs="Arial"/>
          <w:rtl/>
        </w:rPr>
        <w:t xml:space="preserve">"מ </w:t>
      </w:r>
      <w:r w:rsidR="008209F1" w:rsidRPr="004C2B2A">
        <w:rPr>
          <w:rFonts w:cs="Arial" w:hint="cs"/>
          <w:sz w:val="16"/>
          <w:szCs w:val="16"/>
          <w:rtl/>
        </w:rPr>
        <w:t>(</w:t>
      </w:r>
      <w:r w:rsidR="00767307" w:rsidRPr="004C2B2A">
        <w:rPr>
          <w:rFonts w:cs="Arial"/>
          <w:sz w:val="16"/>
          <w:szCs w:val="16"/>
          <w:rtl/>
        </w:rPr>
        <w:t>ס</w:t>
      </w:r>
      <w:r>
        <w:rPr>
          <w:rFonts w:cs="Arial" w:hint="cs"/>
          <w:sz w:val="16"/>
          <w:szCs w:val="16"/>
          <w:rtl/>
        </w:rPr>
        <w:t>'</w:t>
      </w:r>
      <w:r w:rsidR="008209F1" w:rsidRPr="004C2B2A">
        <w:rPr>
          <w:rFonts w:cs="Arial" w:hint="cs"/>
          <w:sz w:val="16"/>
          <w:szCs w:val="16"/>
          <w:rtl/>
        </w:rPr>
        <w:t xml:space="preserve"> </w:t>
      </w:r>
      <w:r>
        <w:rPr>
          <w:rFonts w:cs="Arial" w:hint="cs"/>
          <w:sz w:val="16"/>
          <w:szCs w:val="16"/>
          <w:rtl/>
        </w:rPr>
        <w:t>כ אות ב</w:t>
      </w:r>
      <w:r w:rsidR="008209F1" w:rsidRPr="004C2B2A">
        <w:rPr>
          <w:rFonts w:cs="Arial" w:hint="cs"/>
          <w:sz w:val="16"/>
          <w:szCs w:val="16"/>
          <w:rtl/>
        </w:rPr>
        <w:t>,</w:t>
      </w:r>
      <w:r w:rsidR="00767307" w:rsidRPr="004C2B2A">
        <w:rPr>
          <w:rFonts w:cs="Arial"/>
          <w:sz w:val="16"/>
          <w:szCs w:val="16"/>
          <w:rtl/>
        </w:rPr>
        <w:t xml:space="preserve"> בשם תשובה שבסוף חזה התנופה </w:t>
      </w:r>
      <w:r w:rsidR="008209F1" w:rsidRPr="004C2B2A">
        <w:rPr>
          <w:rFonts w:cs="Arial" w:hint="cs"/>
          <w:sz w:val="16"/>
          <w:szCs w:val="16"/>
          <w:rtl/>
        </w:rPr>
        <w:t>[</w:t>
      </w:r>
      <w:r w:rsidR="00767307" w:rsidRPr="004C2B2A">
        <w:rPr>
          <w:rFonts w:cs="Arial"/>
          <w:sz w:val="16"/>
          <w:szCs w:val="16"/>
          <w:rtl/>
        </w:rPr>
        <w:t xml:space="preserve">סי' </w:t>
      </w:r>
      <w:r w:rsidR="008209F1" w:rsidRPr="004C2B2A">
        <w:rPr>
          <w:rFonts w:cs="Arial" w:hint="cs"/>
          <w:sz w:val="16"/>
          <w:szCs w:val="16"/>
          <w:rtl/>
        </w:rPr>
        <w:t>מ], הביאוהו הסמ"ע [סק"ב בהגה] והש"ך [סק"ג בהגה])</w:t>
      </w:r>
      <w:r w:rsidR="008209F1" w:rsidRPr="004C2B2A">
        <w:rPr>
          <w:rFonts w:cs="Arial" w:hint="cs"/>
          <w:rtl/>
        </w:rPr>
        <w:t>-</w:t>
      </w:r>
      <w:r w:rsidR="00767307" w:rsidRPr="004C2B2A">
        <w:rPr>
          <w:rFonts w:cs="Arial"/>
          <w:rtl/>
        </w:rPr>
        <w:t xml:space="preserve"> ראובן ושמעון שבאו לדין ויצא אחד מהם זכאי, ושוב חזר בעל דינו ותבעו בפני ב"ד אחר</w:t>
      </w:r>
      <w:r w:rsidR="001A748B">
        <w:rPr>
          <w:rFonts w:cs="Arial" w:hint="cs"/>
          <w:rtl/>
        </w:rPr>
        <w:t xml:space="preserve"> -</w:t>
      </w:r>
      <w:r w:rsidR="00767307" w:rsidRPr="004C2B2A">
        <w:rPr>
          <w:rFonts w:cs="Arial"/>
          <w:rtl/>
        </w:rPr>
        <w:t xml:space="preserve"> אין זקוק לו לירד עמו לדין ולא להשיב על טענתו, וגם אין הב"ד רשאים לשמוע דבריו כלל אחר שכבר יצא זכאי מב"ד הראשון</w:t>
      </w:r>
      <w:r w:rsidR="008209F1">
        <w:rPr>
          <w:rStyle w:val="ab"/>
          <w:rFonts w:cs="Arial"/>
          <w:rtl/>
        </w:rPr>
        <w:footnoteReference w:id="1030"/>
      </w:r>
      <w:r w:rsidR="00767307" w:rsidRPr="004C2B2A">
        <w:rPr>
          <w:rFonts w:cs="Arial"/>
          <w:rtl/>
        </w:rPr>
        <w:t xml:space="preserve">. </w:t>
      </w:r>
    </w:p>
    <w:p w14:paraId="6421EAD1" w14:textId="77777777" w:rsidR="00384C8F" w:rsidRPr="00576D5C" w:rsidRDefault="00384C8F" w:rsidP="00767307">
      <w:pPr>
        <w:rPr>
          <w:rFonts w:asciiTheme="minorBidi" w:hAnsiTheme="minorBidi"/>
          <w:rtl/>
        </w:rPr>
      </w:pPr>
    </w:p>
    <w:p w14:paraId="043A4E5D" w14:textId="77777777" w:rsidR="00E137BC" w:rsidRDefault="00E137BC" w:rsidP="006567B0">
      <w:pPr>
        <w:pStyle w:val="2"/>
        <w:rPr>
          <w:rtl/>
        </w:rPr>
      </w:pPr>
      <w:bookmarkStart w:id="164" w:name="_Toc24883647"/>
      <w:r w:rsidRPr="00576D5C">
        <w:rPr>
          <w:rtl/>
        </w:rPr>
        <w:t>סעיף ג</w:t>
      </w:r>
      <w:r w:rsidR="00530C88">
        <w:rPr>
          <w:rFonts w:hint="cs"/>
          <w:rtl/>
        </w:rPr>
        <w:t>:</w:t>
      </w:r>
      <w:r w:rsidR="00976680" w:rsidRPr="00976680">
        <w:rPr>
          <w:rFonts w:cs="Arial" w:hint="cs"/>
          <w:rtl/>
        </w:rPr>
        <w:t xml:space="preserve"> בעלי דינים שקיבלו את הדין ואמרו לאחד לשלם ולא שילם</w:t>
      </w:r>
      <w:r w:rsidR="00976680">
        <w:rPr>
          <w:rFonts w:hint="cs"/>
          <w:rtl/>
        </w:rPr>
        <w:t>.</w:t>
      </w:r>
      <w:bookmarkEnd w:id="164"/>
    </w:p>
    <w:p w14:paraId="4BDCF19E" w14:textId="77777777" w:rsidR="00FD4944" w:rsidRDefault="00FD4944" w:rsidP="00530C88">
      <w:pPr>
        <w:rPr>
          <w:rFonts w:cs="Arial"/>
          <w:rtl/>
        </w:rPr>
      </w:pPr>
      <w:r w:rsidRPr="00FD4944">
        <w:rPr>
          <w:rFonts w:cs="Arial" w:hint="cs"/>
          <w:b/>
          <w:bCs/>
          <w:rtl/>
        </w:rPr>
        <w:t xml:space="preserve">בבא קמא </w:t>
      </w:r>
      <w:r w:rsidRPr="00FD4944">
        <w:rPr>
          <w:rFonts w:cs="Arial" w:hint="cs"/>
          <w:b/>
          <w:bCs/>
          <w:sz w:val="16"/>
          <w:szCs w:val="16"/>
          <w:rtl/>
        </w:rPr>
        <w:t>(</w:t>
      </w:r>
      <w:r w:rsidRPr="00FD4944">
        <w:rPr>
          <w:rFonts w:cs="Arial"/>
          <w:b/>
          <w:bCs/>
          <w:sz w:val="16"/>
          <w:szCs w:val="16"/>
          <w:rtl/>
        </w:rPr>
        <w:t>ר</w:t>
      </w:r>
      <w:r w:rsidRPr="00FD4944">
        <w:rPr>
          <w:rFonts w:cs="Arial" w:hint="cs"/>
          <w:b/>
          <w:bCs/>
          <w:sz w:val="16"/>
          <w:szCs w:val="16"/>
          <w:rtl/>
        </w:rPr>
        <w:t>"</w:t>
      </w:r>
      <w:r w:rsidRPr="00FD4944">
        <w:rPr>
          <w:rFonts w:cs="Arial"/>
          <w:b/>
          <w:bCs/>
          <w:sz w:val="16"/>
          <w:szCs w:val="16"/>
          <w:rtl/>
        </w:rPr>
        <w:t>פ הגוזל בתרא</w:t>
      </w:r>
      <w:r w:rsidRPr="00FD4944">
        <w:rPr>
          <w:rFonts w:cs="Arial" w:hint="cs"/>
          <w:b/>
          <w:bCs/>
          <w:sz w:val="16"/>
          <w:szCs w:val="16"/>
          <w:rtl/>
        </w:rPr>
        <w:t>)</w:t>
      </w:r>
      <w:r w:rsidRPr="00FD4944">
        <w:rPr>
          <w:rFonts w:cs="Arial"/>
          <w:b/>
          <w:bCs/>
          <w:sz w:val="16"/>
          <w:szCs w:val="16"/>
          <w:rtl/>
        </w:rPr>
        <w:t xml:space="preserve"> </w:t>
      </w:r>
      <w:r w:rsidRPr="00FD4944">
        <w:rPr>
          <w:rFonts w:cs="Arial"/>
          <w:b/>
          <w:bCs/>
          <w:rtl/>
        </w:rPr>
        <w:t>קיב</w:t>
      </w:r>
      <w:r w:rsidR="00403D64">
        <w:rPr>
          <w:rStyle w:val="ab"/>
          <w:rFonts w:cs="Arial"/>
          <w:b/>
          <w:bCs/>
          <w:rtl/>
        </w:rPr>
        <w:footnoteReference w:id="1031"/>
      </w:r>
      <w:r w:rsidRPr="00FD4944">
        <w:rPr>
          <w:rFonts w:cs="Arial" w:hint="cs"/>
          <w:b/>
          <w:bCs/>
          <w:rtl/>
        </w:rPr>
        <w:t xml:space="preserve"> ע"ב</w:t>
      </w:r>
      <w:r w:rsidRPr="00FD4944">
        <w:rPr>
          <w:rFonts w:cs="Arial"/>
          <w:b/>
          <w:bCs/>
          <w:rtl/>
        </w:rPr>
        <w:t>:</w:t>
      </w:r>
      <w:r>
        <w:rPr>
          <w:rFonts w:cs="Arial" w:hint="cs"/>
          <w:rtl/>
        </w:rPr>
        <w:t xml:space="preserve"> </w:t>
      </w:r>
      <w:r w:rsidRPr="00FD4944">
        <w:rPr>
          <w:rFonts w:cs="Arial"/>
          <w:u w:val="single"/>
          <w:rtl/>
        </w:rPr>
        <w:t>אמר רבא</w:t>
      </w:r>
      <w:r w:rsidRPr="00FD4944">
        <w:rPr>
          <w:rFonts w:cs="Arial"/>
          <w:rtl/>
        </w:rPr>
        <w:t>, הלכתא: מקיימין את השטר שלא בפני בעל דין ואפי' עומד</w:t>
      </w:r>
      <w:r w:rsidR="009D6039">
        <w:rPr>
          <w:rStyle w:val="ab"/>
          <w:rFonts w:cs="Arial"/>
          <w:rtl/>
        </w:rPr>
        <w:footnoteReference w:id="1032"/>
      </w:r>
      <w:r w:rsidRPr="00FD4944">
        <w:rPr>
          <w:rFonts w:cs="Arial"/>
          <w:rtl/>
        </w:rPr>
        <w:t xml:space="preserve"> וצווח</w:t>
      </w:r>
      <w:r w:rsidR="00251136">
        <w:rPr>
          <w:rFonts w:cs="Arial" w:hint="cs"/>
          <w:rtl/>
        </w:rPr>
        <w:t>.</w:t>
      </w:r>
      <w:r w:rsidRPr="00FD4944">
        <w:rPr>
          <w:rFonts w:cs="Arial"/>
          <w:rtl/>
        </w:rPr>
        <w:t xml:space="preserve"> ואי אמר נקיטו לי זימנא עד דמייתינא סהדי ומרענא ליה לשטרא - נקטינן ליה</w:t>
      </w:r>
      <w:r w:rsidR="009D6039">
        <w:rPr>
          <w:rFonts w:cs="Arial" w:hint="cs"/>
          <w:rtl/>
        </w:rPr>
        <w:t>,</w:t>
      </w:r>
      <w:r w:rsidRPr="00FD4944">
        <w:rPr>
          <w:rFonts w:cs="Arial"/>
          <w:rtl/>
        </w:rPr>
        <w:t xml:space="preserve"> אי אתא - אתא, אי לא אתא - נטרינן ליה בה"ב, אי לא אתא - כתבינן פתיחא עלויה</w:t>
      </w:r>
      <w:r>
        <w:rPr>
          <w:rStyle w:val="ab"/>
          <w:rFonts w:cs="Arial"/>
          <w:rtl/>
        </w:rPr>
        <w:footnoteReference w:id="1033"/>
      </w:r>
      <w:r>
        <w:rPr>
          <w:rFonts w:cs="Arial" w:hint="cs"/>
          <w:rtl/>
        </w:rPr>
        <w:t>.</w:t>
      </w:r>
    </w:p>
    <w:p w14:paraId="762E1E33" w14:textId="77777777" w:rsidR="00684015" w:rsidRDefault="00684015" w:rsidP="00530C88">
      <w:pPr>
        <w:rPr>
          <w:rFonts w:cs="Arial"/>
          <w:rtl/>
        </w:rPr>
      </w:pPr>
      <w:r>
        <w:rPr>
          <w:rFonts w:cs="Arial" w:hint="cs"/>
          <w:b/>
          <w:bCs/>
          <w:rtl/>
        </w:rPr>
        <w:t xml:space="preserve">מועד קטן </w:t>
      </w:r>
      <w:r w:rsidRPr="00684015">
        <w:rPr>
          <w:rFonts w:cs="Arial" w:hint="cs"/>
          <w:b/>
          <w:bCs/>
          <w:sz w:val="16"/>
          <w:szCs w:val="16"/>
          <w:rtl/>
        </w:rPr>
        <w:t>(פ</w:t>
      </w:r>
      <w:r>
        <w:rPr>
          <w:rFonts w:cs="Arial" w:hint="cs"/>
          <w:b/>
          <w:bCs/>
          <w:sz w:val="16"/>
          <w:szCs w:val="16"/>
          <w:rtl/>
        </w:rPr>
        <w:t>' אלו מגלחין</w:t>
      </w:r>
      <w:r w:rsidRPr="00684015">
        <w:rPr>
          <w:rFonts w:cs="Arial" w:hint="cs"/>
          <w:b/>
          <w:bCs/>
          <w:sz w:val="16"/>
          <w:szCs w:val="16"/>
          <w:rtl/>
        </w:rPr>
        <w:t xml:space="preserve">) </w:t>
      </w:r>
      <w:r>
        <w:rPr>
          <w:rFonts w:cs="Arial" w:hint="cs"/>
          <w:b/>
          <w:bCs/>
          <w:rtl/>
        </w:rPr>
        <w:t>טז</w:t>
      </w:r>
      <w:r w:rsidR="00841E81">
        <w:rPr>
          <w:rStyle w:val="ab"/>
          <w:rFonts w:cs="Arial"/>
          <w:b/>
          <w:bCs/>
          <w:rtl/>
        </w:rPr>
        <w:footnoteReference w:id="1034"/>
      </w:r>
      <w:r>
        <w:rPr>
          <w:rFonts w:cs="Arial" w:hint="cs"/>
          <w:b/>
          <w:bCs/>
          <w:rtl/>
        </w:rPr>
        <w:t xml:space="preserve"> ע"א: </w:t>
      </w:r>
      <w:r w:rsidRPr="00684015">
        <w:rPr>
          <w:rFonts w:cs="Arial"/>
          <w:rtl/>
        </w:rPr>
        <w:t xml:space="preserve">מנלן דכפתינן ואסרינן ועבדינן הרדפה - דכתיב הן למות הן לשרושי הן לענש נכסין ולאסורין. מאי לשרושי? </w:t>
      </w:r>
      <w:r w:rsidRPr="00684015">
        <w:rPr>
          <w:rFonts w:cs="Arial"/>
          <w:u w:val="single"/>
          <w:rtl/>
        </w:rPr>
        <w:t>אמר אדא מרי אמר נחמיה בר ברוך אמר רב חייא בר אבין אמר רב יהודה</w:t>
      </w:r>
      <w:r w:rsidRPr="00684015">
        <w:rPr>
          <w:rFonts w:cs="Arial"/>
          <w:rtl/>
        </w:rPr>
        <w:t xml:space="preserve">: הרדפה. מאי הרדפה? </w:t>
      </w:r>
      <w:r w:rsidRPr="00684015">
        <w:rPr>
          <w:rFonts w:cs="Arial"/>
          <w:u w:val="single"/>
          <w:rtl/>
        </w:rPr>
        <w:t>אמר רב יהודה בריה דרב שמואל בר שילת משמיה דרב</w:t>
      </w:r>
      <w:r w:rsidRPr="00684015">
        <w:rPr>
          <w:rFonts w:cs="Arial"/>
          <w:rtl/>
        </w:rPr>
        <w:t xml:space="preserve">: מנדין לאלתר, ושונין לאחר שלשים, ומחרימין לאחר ששים. </w:t>
      </w:r>
      <w:r w:rsidRPr="00684015">
        <w:rPr>
          <w:rFonts w:cs="Arial"/>
          <w:u w:val="single"/>
          <w:rtl/>
        </w:rPr>
        <w:t>אמר ליה רב הונא בר חיננא</w:t>
      </w:r>
      <w:r w:rsidRPr="00684015">
        <w:rPr>
          <w:rFonts w:cs="Arial"/>
          <w:rtl/>
        </w:rPr>
        <w:t>: הכי אמר רב חסדא, מתרין ביה שני וחמישי ושני. הני מילי - לממונא, אבל לאפקירותא - לאלתר.</w:t>
      </w:r>
    </w:p>
    <w:p w14:paraId="624988A1" w14:textId="77777777" w:rsidR="00976680" w:rsidRPr="00976680" w:rsidRDefault="00976680" w:rsidP="00530C88">
      <w:pPr>
        <w:rPr>
          <w:rFonts w:cs="Arial"/>
          <w:u w:val="single"/>
          <w:rtl/>
        </w:rPr>
      </w:pPr>
      <w:r w:rsidRPr="00976680">
        <w:rPr>
          <w:rFonts w:cs="Arial" w:hint="cs"/>
          <w:u w:val="single"/>
          <w:rtl/>
        </w:rPr>
        <w:t>בעלי דינים שקיבלו את הדין ו</w:t>
      </w:r>
      <w:r w:rsidR="009D6039">
        <w:rPr>
          <w:rFonts w:cs="Arial" w:hint="cs"/>
          <w:u w:val="single"/>
          <w:rtl/>
        </w:rPr>
        <w:t xml:space="preserve">נאמר </w:t>
      </w:r>
      <w:r w:rsidRPr="00976680">
        <w:rPr>
          <w:rFonts w:cs="Arial" w:hint="cs"/>
          <w:u w:val="single"/>
          <w:rtl/>
        </w:rPr>
        <w:t>לאחד לשלם ולא שילם:</w:t>
      </w:r>
    </w:p>
    <w:p w14:paraId="3A0B7D4D" w14:textId="77777777" w:rsidR="00976680" w:rsidRDefault="00976680" w:rsidP="004B0475">
      <w:pPr>
        <w:pStyle w:val="ac"/>
        <w:numPr>
          <w:ilvl w:val="0"/>
          <w:numId w:val="26"/>
        </w:numPr>
      </w:pPr>
      <w:r w:rsidRPr="00976680">
        <w:rPr>
          <w:rFonts w:cs="Arial" w:hint="cs"/>
          <w:rtl/>
        </w:rPr>
        <w:t xml:space="preserve">רמב"ם </w:t>
      </w:r>
      <w:r w:rsidRPr="00976680">
        <w:rPr>
          <w:rFonts w:cs="Arial" w:hint="cs"/>
          <w:sz w:val="16"/>
          <w:szCs w:val="16"/>
          <w:rtl/>
        </w:rPr>
        <w:t xml:space="preserve">(פכ"ה הי"א) </w:t>
      </w:r>
      <w:r w:rsidRPr="00976680">
        <w:rPr>
          <w:rFonts w:cs="Arial" w:hint="cs"/>
          <w:rtl/>
        </w:rPr>
        <w:t>וטור-</w:t>
      </w:r>
      <w:r w:rsidR="00FD4944" w:rsidRPr="00976680">
        <w:rPr>
          <w:rFonts w:cs="Arial"/>
          <w:rtl/>
        </w:rPr>
        <w:t xml:space="preserve"> אחר שקבלו הדין</w:t>
      </w:r>
      <w:r w:rsidR="00684015">
        <w:rPr>
          <w:rStyle w:val="ab"/>
          <w:rFonts w:cs="Arial"/>
          <w:rtl/>
        </w:rPr>
        <w:footnoteReference w:id="1035"/>
      </w:r>
      <w:r w:rsidR="00FD4944" w:rsidRPr="00976680">
        <w:rPr>
          <w:rFonts w:cs="Arial"/>
          <w:rtl/>
        </w:rPr>
        <w:t xml:space="preserve"> ואמרו לו </w:t>
      </w:r>
      <w:r w:rsidR="00641679">
        <w:rPr>
          <w:rFonts w:cs="Arial" w:hint="cs"/>
          <w:rtl/>
        </w:rPr>
        <w:t>'</w:t>
      </w:r>
      <w:r w:rsidR="00FD4944" w:rsidRPr="00976680">
        <w:rPr>
          <w:rFonts w:cs="Arial"/>
          <w:rtl/>
        </w:rPr>
        <w:t>לך ושלם</w:t>
      </w:r>
      <w:r w:rsidR="00641679">
        <w:rPr>
          <w:rFonts w:cs="Arial" w:hint="cs"/>
          <w:rtl/>
        </w:rPr>
        <w:t>',</w:t>
      </w:r>
      <w:r w:rsidR="00FD4944" w:rsidRPr="00976680">
        <w:rPr>
          <w:rFonts w:cs="Arial"/>
          <w:rtl/>
        </w:rPr>
        <w:t xml:space="preserve"> הלך ולא שילם </w:t>
      </w:r>
      <w:r w:rsidR="00641679">
        <w:rPr>
          <w:rFonts w:cs="Arial" w:hint="cs"/>
          <w:rtl/>
        </w:rPr>
        <w:t xml:space="preserve">- </w:t>
      </w:r>
      <w:r w:rsidR="00FD4944" w:rsidRPr="00976680">
        <w:rPr>
          <w:rFonts w:cs="Arial"/>
          <w:rtl/>
        </w:rPr>
        <w:t>ממתינין לו בה"ב</w:t>
      </w:r>
      <w:r w:rsidR="00641679">
        <w:rPr>
          <w:rFonts w:cs="Arial" w:hint="cs"/>
          <w:rtl/>
        </w:rPr>
        <w:t>.</w:t>
      </w:r>
      <w:r w:rsidR="00FD4944" w:rsidRPr="00976680">
        <w:rPr>
          <w:rFonts w:cs="Arial"/>
          <w:rtl/>
        </w:rPr>
        <w:t xml:space="preserve"> לא בא לשלם </w:t>
      </w:r>
      <w:r w:rsidR="00641679">
        <w:rPr>
          <w:rFonts w:cs="Arial" w:hint="cs"/>
          <w:rtl/>
        </w:rPr>
        <w:t xml:space="preserve">- </w:t>
      </w:r>
      <w:r w:rsidR="00FD4944" w:rsidRPr="00976680">
        <w:rPr>
          <w:rFonts w:cs="Arial"/>
          <w:rtl/>
        </w:rPr>
        <w:t>מנדין אותו עד שיתן מה שחייבוהו</w:t>
      </w:r>
      <w:r w:rsidR="00641679">
        <w:rPr>
          <w:rFonts w:cs="Arial" w:hint="cs"/>
          <w:rtl/>
        </w:rPr>
        <w:t>.</w:t>
      </w:r>
      <w:r w:rsidR="00FD4944" w:rsidRPr="00976680">
        <w:rPr>
          <w:rFonts w:cs="Arial"/>
          <w:rtl/>
        </w:rPr>
        <w:t xml:space="preserve"> עמד בנדוי שלשים יום ולא בא להתיר נידויו </w:t>
      </w:r>
      <w:r w:rsidR="00641679">
        <w:rPr>
          <w:rFonts w:cs="Arial" w:hint="cs"/>
          <w:rtl/>
        </w:rPr>
        <w:t xml:space="preserve">- </w:t>
      </w:r>
      <w:r w:rsidR="00FD4944" w:rsidRPr="00976680">
        <w:rPr>
          <w:rFonts w:cs="Arial"/>
          <w:rtl/>
        </w:rPr>
        <w:t>מחרימין אותו</w:t>
      </w:r>
      <w:r>
        <w:rPr>
          <w:rStyle w:val="ab"/>
          <w:rFonts w:cs="Arial"/>
          <w:rtl/>
        </w:rPr>
        <w:footnoteReference w:id="1036"/>
      </w:r>
      <w:r w:rsidR="00FD4944" w:rsidRPr="00976680">
        <w:rPr>
          <w:rFonts w:cs="Arial" w:hint="cs"/>
          <w:rtl/>
        </w:rPr>
        <w:t>.</w:t>
      </w:r>
      <w:r w:rsidR="009D6039">
        <w:rPr>
          <w:rFonts w:hint="cs"/>
          <w:rtl/>
        </w:rPr>
        <w:t xml:space="preserve"> </w:t>
      </w:r>
      <w:r w:rsidR="009D6039" w:rsidRPr="009D6039">
        <w:rPr>
          <w:rFonts w:hint="cs"/>
          <w:color w:val="E36C0A" w:themeColor="accent6" w:themeShade="BF"/>
          <w:rtl/>
        </w:rPr>
        <w:t>(וכ"פ בשו"ע)</w:t>
      </w:r>
    </w:p>
    <w:p w14:paraId="65D2D3A1" w14:textId="77777777" w:rsidR="00254F62" w:rsidRPr="00254F62" w:rsidRDefault="00254F62" w:rsidP="00254F62">
      <w:pPr>
        <w:rPr>
          <w:u w:val="single"/>
        </w:rPr>
      </w:pPr>
      <w:r w:rsidRPr="00254F62">
        <w:rPr>
          <w:rFonts w:cs="Arial"/>
          <w:u w:val="single"/>
          <w:rtl/>
        </w:rPr>
        <w:t xml:space="preserve">מי שהתנה בפני בית דין שאם לא ישלים ליום פלוני שיתנו השטרות לשכנגדו </w:t>
      </w:r>
      <w:r w:rsidR="00BC3853">
        <w:rPr>
          <w:rFonts w:cs="Arial" w:hint="cs"/>
          <w:u w:val="single"/>
          <w:rtl/>
        </w:rPr>
        <w:t xml:space="preserve">- </w:t>
      </w:r>
      <w:r w:rsidRPr="00254F62">
        <w:rPr>
          <w:rFonts w:cs="Arial"/>
          <w:u w:val="single"/>
          <w:rtl/>
        </w:rPr>
        <w:t>ועבר היום ולא השלים</w:t>
      </w:r>
      <w:r w:rsidRPr="00254F62">
        <w:rPr>
          <w:rFonts w:hint="cs"/>
          <w:u w:val="single"/>
          <w:rtl/>
        </w:rPr>
        <w:t>:</w:t>
      </w:r>
    </w:p>
    <w:p w14:paraId="640DAD77" w14:textId="77777777" w:rsidR="00254F62" w:rsidRDefault="00530C88" w:rsidP="004B0475">
      <w:pPr>
        <w:pStyle w:val="ac"/>
        <w:numPr>
          <w:ilvl w:val="0"/>
          <w:numId w:val="26"/>
        </w:numPr>
      </w:pPr>
      <w:r w:rsidRPr="00976680">
        <w:rPr>
          <w:rFonts w:cs="Arial"/>
          <w:rtl/>
        </w:rPr>
        <w:t>רשב"א</w:t>
      </w:r>
      <w:r w:rsidRPr="00976680">
        <w:rPr>
          <w:rFonts w:cs="Arial"/>
          <w:sz w:val="16"/>
          <w:szCs w:val="16"/>
          <w:rtl/>
        </w:rPr>
        <w:t xml:space="preserve"> (סי' תתקלג)</w:t>
      </w:r>
      <w:r w:rsidR="00976680">
        <w:rPr>
          <w:rFonts w:cs="Arial" w:hint="cs"/>
          <w:rtl/>
        </w:rPr>
        <w:t>-</w:t>
      </w:r>
      <w:r w:rsidRPr="00976680">
        <w:rPr>
          <w:rFonts w:cs="Arial"/>
          <w:rtl/>
        </w:rPr>
        <w:t xml:space="preserve"> </w:t>
      </w:r>
      <w:r w:rsidR="00976680">
        <w:rPr>
          <w:rFonts w:cs="Arial" w:hint="cs"/>
          <w:rtl/>
        </w:rPr>
        <w:t>שאלת</w:t>
      </w:r>
      <w:r w:rsidR="004B2515">
        <w:rPr>
          <w:rFonts w:cs="Arial" w:hint="cs"/>
          <w:rtl/>
        </w:rPr>
        <w:t>,</w:t>
      </w:r>
      <w:r w:rsidRPr="00976680">
        <w:rPr>
          <w:rFonts w:cs="Arial"/>
          <w:rtl/>
        </w:rPr>
        <w:t xml:space="preserve"> מי שהתנה בפני ב</w:t>
      </w:r>
      <w:r w:rsidR="00BC3853">
        <w:rPr>
          <w:rFonts w:cs="Arial" w:hint="cs"/>
          <w:rtl/>
        </w:rPr>
        <w:t>"</w:t>
      </w:r>
      <w:r w:rsidRPr="00976680">
        <w:rPr>
          <w:rFonts w:cs="Arial"/>
          <w:rtl/>
        </w:rPr>
        <w:t>ד שאם לא ישלים ליום פלוני</w:t>
      </w:r>
      <w:r w:rsidR="004B2515">
        <w:rPr>
          <w:rFonts w:cs="Arial" w:hint="cs"/>
          <w:rtl/>
        </w:rPr>
        <w:t xml:space="preserve"> -</w:t>
      </w:r>
      <w:r w:rsidRPr="00976680">
        <w:rPr>
          <w:rFonts w:cs="Arial"/>
          <w:rtl/>
        </w:rPr>
        <w:t xml:space="preserve"> שיתנו השטרות לשכנגדו</w:t>
      </w:r>
      <w:r w:rsidR="004B2515">
        <w:rPr>
          <w:rFonts w:cs="Arial" w:hint="cs"/>
          <w:rtl/>
        </w:rPr>
        <w:t>.</w:t>
      </w:r>
      <w:r w:rsidRPr="00976680">
        <w:rPr>
          <w:rFonts w:cs="Arial"/>
          <w:rtl/>
        </w:rPr>
        <w:t xml:space="preserve"> ועבר היום ולא השלים</w:t>
      </w:r>
      <w:r w:rsidR="004B2515">
        <w:rPr>
          <w:rFonts w:cs="Arial" w:hint="cs"/>
          <w:rtl/>
        </w:rPr>
        <w:t>,</w:t>
      </w:r>
      <w:r w:rsidRPr="00976680">
        <w:rPr>
          <w:rFonts w:cs="Arial"/>
          <w:rtl/>
        </w:rPr>
        <w:t xml:space="preserve"> והוא בענין שאין בו משום אסמכתא</w:t>
      </w:r>
      <w:r w:rsidR="004B2515">
        <w:rPr>
          <w:rFonts w:cs="Arial" w:hint="cs"/>
          <w:rtl/>
        </w:rPr>
        <w:t>,</w:t>
      </w:r>
      <w:r w:rsidRPr="00976680">
        <w:rPr>
          <w:rFonts w:cs="Arial"/>
          <w:rtl/>
        </w:rPr>
        <w:t xml:space="preserve"> וזה תובע שיתנו לו השטרות</w:t>
      </w:r>
      <w:r w:rsidR="004B2515">
        <w:rPr>
          <w:rFonts w:cs="Arial" w:hint="cs"/>
          <w:rtl/>
        </w:rPr>
        <w:t>,</w:t>
      </w:r>
      <w:r w:rsidRPr="00976680">
        <w:rPr>
          <w:rFonts w:cs="Arial"/>
          <w:rtl/>
        </w:rPr>
        <w:t xml:space="preserve"> והלה טוען שיש לבית דין ליתן לו זמן</w:t>
      </w:r>
      <w:r w:rsidR="00254F62">
        <w:rPr>
          <w:rFonts w:cs="Arial" w:hint="cs"/>
          <w:rtl/>
        </w:rPr>
        <w:t>.</w:t>
      </w:r>
      <w:r w:rsidRPr="00976680">
        <w:rPr>
          <w:rFonts w:cs="Arial"/>
          <w:rtl/>
        </w:rPr>
        <w:t xml:space="preserve"> </w:t>
      </w:r>
      <w:r w:rsidR="00254F62">
        <w:rPr>
          <w:rFonts w:cs="Arial" w:hint="cs"/>
          <w:rtl/>
        </w:rPr>
        <w:t>תשובה,</w:t>
      </w:r>
      <w:r w:rsidRPr="00976680">
        <w:rPr>
          <w:rFonts w:cs="Arial"/>
          <w:rtl/>
        </w:rPr>
        <w:t xml:space="preserve"> לא שייך בהא נתינת זמן אלא מיד יתנו השטרות לשכנגדו</w:t>
      </w:r>
      <w:r w:rsidR="00254F62">
        <w:rPr>
          <w:rFonts w:cs="Arial" w:hint="cs"/>
          <w:rtl/>
        </w:rPr>
        <w:t>.</w:t>
      </w:r>
      <w:r w:rsidR="00961B80">
        <w:rPr>
          <w:rFonts w:hint="cs"/>
          <w:rtl/>
        </w:rPr>
        <w:t xml:space="preserve"> </w:t>
      </w:r>
      <w:r w:rsidR="00961B80" w:rsidRPr="00961B80">
        <w:rPr>
          <w:rFonts w:hint="cs"/>
          <w:color w:val="00B0F0"/>
          <w:rtl/>
        </w:rPr>
        <w:t>(וכ"פ הרמ"א</w:t>
      </w:r>
      <w:r w:rsidR="00961B80" w:rsidRPr="00F52591">
        <w:rPr>
          <w:rStyle w:val="ab"/>
          <w:rtl/>
        </w:rPr>
        <w:footnoteReference w:id="1037"/>
      </w:r>
      <w:r w:rsidR="00961B80" w:rsidRPr="00961B80">
        <w:rPr>
          <w:rFonts w:hint="cs"/>
          <w:color w:val="00B0F0"/>
          <w:sz w:val="16"/>
          <w:szCs w:val="16"/>
          <w:rtl/>
        </w:rPr>
        <w:t xml:space="preserve"> </w:t>
      </w:r>
      <w:r w:rsidR="00961B80">
        <w:rPr>
          <w:rFonts w:hint="cs"/>
          <w:sz w:val="16"/>
          <w:szCs w:val="16"/>
          <w:rtl/>
        </w:rPr>
        <w:t>[סי' כא]</w:t>
      </w:r>
      <w:r w:rsidR="00961B80" w:rsidRPr="00961B80">
        <w:rPr>
          <w:rFonts w:hint="cs"/>
          <w:color w:val="00B0F0"/>
          <w:rtl/>
        </w:rPr>
        <w:t>)</w:t>
      </w:r>
    </w:p>
    <w:p w14:paraId="7BC4903C" w14:textId="77777777" w:rsidR="00684015" w:rsidRPr="00684015" w:rsidRDefault="00684015" w:rsidP="00684015">
      <w:r w:rsidRPr="00684015">
        <w:rPr>
          <w:rFonts w:cs="Arial"/>
          <w:u w:val="single"/>
          <w:rtl/>
        </w:rPr>
        <w:t>אדם שנתחייב לחבירו בבית דין ועבר על גזירת בית דין</w:t>
      </w:r>
      <w:r w:rsidRPr="00684015">
        <w:rPr>
          <w:rFonts w:cs="Arial" w:hint="cs"/>
          <w:u w:val="single"/>
          <w:rtl/>
        </w:rPr>
        <w:t>:</w:t>
      </w:r>
      <w:r>
        <w:rPr>
          <w:rFonts w:cs="Arial" w:hint="cs"/>
          <w:sz w:val="16"/>
          <w:szCs w:val="16"/>
          <w:rtl/>
        </w:rPr>
        <w:t xml:space="preserve">    </w:t>
      </w:r>
      <w:r w:rsidRPr="00684015">
        <w:rPr>
          <w:rFonts w:cs="Arial"/>
          <w:sz w:val="16"/>
          <w:szCs w:val="16"/>
          <w:rtl/>
        </w:rPr>
        <w:t>(</w:t>
      </w:r>
      <w:r w:rsidRPr="00684015">
        <w:rPr>
          <w:rFonts w:cs="Arial" w:hint="cs"/>
          <w:sz w:val="16"/>
          <w:szCs w:val="16"/>
          <w:rtl/>
        </w:rPr>
        <w:t xml:space="preserve">דרכ"מ אות </w:t>
      </w:r>
      <w:r w:rsidRPr="00684015">
        <w:rPr>
          <w:rFonts w:cs="Arial"/>
          <w:sz w:val="16"/>
          <w:szCs w:val="16"/>
          <w:rtl/>
        </w:rPr>
        <w:t>א)</w:t>
      </w:r>
      <w:r w:rsidRPr="00684015">
        <w:rPr>
          <w:rFonts w:cs="Arial"/>
          <w:rtl/>
        </w:rPr>
        <w:t xml:space="preserve"> </w:t>
      </w:r>
    </w:p>
    <w:p w14:paraId="3EDE3E1D" w14:textId="77777777" w:rsidR="00684015" w:rsidRPr="00530C88" w:rsidRDefault="00684015" w:rsidP="004B0475">
      <w:pPr>
        <w:pStyle w:val="ac"/>
        <w:numPr>
          <w:ilvl w:val="0"/>
          <w:numId w:val="26"/>
        </w:numPr>
        <w:rPr>
          <w:rtl/>
        </w:rPr>
      </w:pPr>
      <w:r>
        <w:rPr>
          <w:rFonts w:cs="Arial" w:hint="cs"/>
          <w:rtl/>
        </w:rPr>
        <w:t>נמוק"י</w:t>
      </w:r>
      <w:r w:rsidRPr="00976680">
        <w:rPr>
          <w:rFonts w:cs="Arial"/>
          <w:rtl/>
        </w:rPr>
        <w:t xml:space="preserve"> </w:t>
      </w:r>
      <w:r w:rsidRPr="00684015">
        <w:rPr>
          <w:rFonts w:cs="Arial" w:hint="cs"/>
          <w:sz w:val="16"/>
          <w:szCs w:val="16"/>
          <w:rtl/>
        </w:rPr>
        <w:t>(</w:t>
      </w:r>
      <w:r w:rsidRPr="00684015">
        <w:rPr>
          <w:rFonts w:cs="Arial"/>
          <w:sz w:val="16"/>
          <w:szCs w:val="16"/>
          <w:rtl/>
        </w:rPr>
        <w:t>פ</w:t>
      </w:r>
      <w:r w:rsidRPr="00684015">
        <w:rPr>
          <w:rFonts w:cs="Arial" w:hint="cs"/>
          <w:sz w:val="16"/>
          <w:szCs w:val="16"/>
          <w:rtl/>
        </w:rPr>
        <w:t>'</w:t>
      </w:r>
      <w:r w:rsidRPr="00684015">
        <w:rPr>
          <w:rFonts w:cs="Arial"/>
          <w:sz w:val="16"/>
          <w:szCs w:val="16"/>
          <w:rtl/>
        </w:rPr>
        <w:t xml:space="preserve"> הגוזל בתרא לט: ד"ה כתב הר"ף) </w:t>
      </w:r>
      <w:r w:rsidRPr="00976680">
        <w:rPr>
          <w:rFonts w:cs="Arial"/>
          <w:rtl/>
        </w:rPr>
        <w:t>בשם רב פלטוי גאון</w:t>
      </w:r>
      <w:r>
        <w:rPr>
          <w:rFonts w:cs="Arial" w:hint="cs"/>
          <w:rtl/>
        </w:rPr>
        <w:t>-</w:t>
      </w:r>
      <w:r w:rsidRPr="00976680">
        <w:rPr>
          <w:rFonts w:cs="Arial"/>
          <w:rtl/>
        </w:rPr>
        <w:t xml:space="preserve"> אדם שנתחייב לחבירו בבית דין ועבר על גזירת בית דין </w:t>
      </w:r>
      <w:r w:rsidR="00D1558E">
        <w:rPr>
          <w:rFonts w:cs="Arial" w:hint="cs"/>
          <w:rtl/>
        </w:rPr>
        <w:t xml:space="preserve">- </w:t>
      </w:r>
      <w:r w:rsidRPr="00976680">
        <w:rPr>
          <w:rFonts w:cs="Arial"/>
          <w:rtl/>
        </w:rPr>
        <w:t xml:space="preserve">כותבין לקהילות ישראל </w:t>
      </w:r>
      <w:r w:rsidR="00D1558E">
        <w:rPr>
          <w:rFonts w:cs="Arial" w:hint="cs"/>
          <w:rtl/>
        </w:rPr>
        <w:t>'</w:t>
      </w:r>
      <w:r w:rsidRPr="00976680">
        <w:rPr>
          <w:rFonts w:cs="Arial"/>
          <w:rtl/>
        </w:rPr>
        <w:t>פלוני גזרנו עליו דין וסירב ולא השגיח והחרמנו אותו שלא יתפללו עמו בעשרה ולא יזמנו עמו ולא ימולו לו בן ולא יקברו לו מת ויוציאו בניו מבית הספר ואשתו מבית הכנסת עד שיקבל עליו הדין</w:t>
      </w:r>
      <w:r w:rsidR="00D1558E">
        <w:rPr>
          <w:rFonts w:cs="Arial" w:hint="cs"/>
          <w:rtl/>
        </w:rPr>
        <w:t>'</w:t>
      </w:r>
      <w:r w:rsidR="00BC3853">
        <w:rPr>
          <w:rFonts w:cs="Arial" w:hint="cs"/>
          <w:rtl/>
        </w:rPr>
        <w:t>.</w:t>
      </w:r>
      <w:r w:rsidRPr="00976680">
        <w:rPr>
          <w:rFonts w:cs="Arial"/>
          <w:rtl/>
        </w:rPr>
        <w:t xml:space="preserve"> וזו מיקרי פתיחא</w:t>
      </w:r>
      <w:r>
        <w:rPr>
          <w:rFonts w:cs="Arial" w:hint="cs"/>
          <w:rtl/>
        </w:rPr>
        <w:t>.</w:t>
      </w:r>
      <w:r>
        <w:rPr>
          <w:rFonts w:hint="cs"/>
          <w:rtl/>
        </w:rPr>
        <w:t xml:space="preserve"> </w:t>
      </w:r>
      <w:r w:rsidR="00623E78">
        <w:rPr>
          <w:rFonts w:hint="cs"/>
          <w:rtl/>
        </w:rPr>
        <w:t xml:space="preserve">(וכ"כ הסמ"ע </w:t>
      </w:r>
      <w:r w:rsidR="00623E78">
        <w:rPr>
          <w:rFonts w:hint="cs"/>
          <w:sz w:val="16"/>
          <w:szCs w:val="16"/>
          <w:rtl/>
        </w:rPr>
        <w:t>[סק"ו]</w:t>
      </w:r>
      <w:r w:rsidR="00623E78">
        <w:rPr>
          <w:rFonts w:hint="cs"/>
          <w:rtl/>
        </w:rPr>
        <w:t xml:space="preserve"> והש"ך </w:t>
      </w:r>
      <w:r w:rsidR="00623E78">
        <w:rPr>
          <w:rFonts w:hint="cs"/>
          <w:sz w:val="16"/>
          <w:szCs w:val="16"/>
          <w:rtl/>
        </w:rPr>
        <w:t>[סק"ה]</w:t>
      </w:r>
      <w:r w:rsidR="00623E78">
        <w:rPr>
          <w:rFonts w:hint="cs"/>
          <w:rtl/>
        </w:rPr>
        <w:t>)</w:t>
      </w:r>
    </w:p>
    <w:p w14:paraId="6F01C329" w14:textId="77777777" w:rsidR="00976680" w:rsidRPr="00976680" w:rsidRDefault="00684015" w:rsidP="00684015">
      <w:r w:rsidRPr="00684015">
        <w:rPr>
          <w:rFonts w:cs="Arial" w:hint="cs"/>
          <w:b/>
          <w:bCs/>
          <w:rtl/>
        </w:rPr>
        <w:t xml:space="preserve">גיטין </w:t>
      </w:r>
      <w:r w:rsidRPr="00684015">
        <w:rPr>
          <w:rFonts w:cs="Arial" w:hint="cs"/>
          <w:b/>
          <w:bCs/>
          <w:sz w:val="16"/>
          <w:szCs w:val="16"/>
          <w:rtl/>
        </w:rPr>
        <w:t xml:space="preserve">(פ"ב) </w:t>
      </w:r>
      <w:r w:rsidRPr="00684015">
        <w:rPr>
          <w:rFonts w:cs="Arial" w:hint="cs"/>
          <w:b/>
          <w:bCs/>
          <w:rtl/>
        </w:rPr>
        <w:t xml:space="preserve">יח ע"א: </w:t>
      </w:r>
      <w:r w:rsidR="00254F62" w:rsidRPr="00684015">
        <w:rPr>
          <w:rFonts w:cs="Arial"/>
          <w:u w:val="single"/>
          <w:rtl/>
        </w:rPr>
        <w:t>אמר שמואל</w:t>
      </w:r>
      <w:r w:rsidR="00254F62" w:rsidRPr="00254F62">
        <w:rPr>
          <w:rFonts w:cs="Arial"/>
          <w:rtl/>
        </w:rPr>
        <w:t xml:space="preserve">: כתובה כמעשה ב"ד דמיא, מה מעשה ב"ד נכתבין ביום ונחתמין בלילה, אף כתובה נכתבת ביום ונחתמת בלילה. </w:t>
      </w:r>
      <w:r w:rsidRPr="00684015">
        <w:rPr>
          <w:rFonts w:hint="cs"/>
          <w:sz w:val="16"/>
          <w:szCs w:val="16"/>
          <w:rtl/>
        </w:rPr>
        <w:t>(</w:t>
      </w:r>
      <w:r w:rsidR="00530C88" w:rsidRPr="00684015">
        <w:rPr>
          <w:rFonts w:cs="Arial"/>
          <w:sz w:val="16"/>
          <w:szCs w:val="16"/>
          <w:rtl/>
        </w:rPr>
        <w:t>מעשה ב</w:t>
      </w:r>
      <w:r w:rsidR="00D1558E">
        <w:rPr>
          <w:rFonts w:cs="Arial" w:hint="cs"/>
          <w:sz w:val="16"/>
          <w:szCs w:val="16"/>
          <w:rtl/>
        </w:rPr>
        <w:t>"</w:t>
      </w:r>
      <w:r w:rsidR="00530C88" w:rsidRPr="00684015">
        <w:rPr>
          <w:rFonts w:cs="Arial"/>
          <w:sz w:val="16"/>
          <w:szCs w:val="16"/>
          <w:rtl/>
        </w:rPr>
        <w:t xml:space="preserve">ד </w:t>
      </w:r>
      <w:r w:rsidR="00BC3853">
        <w:rPr>
          <w:rFonts w:cs="Arial" w:hint="cs"/>
          <w:sz w:val="16"/>
          <w:szCs w:val="16"/>
          <w:rtl/>
        </w:rPr>
        <w:t>ש</w:t>
      </w:r>
      <w:r w:rsidR="00530C88" w:rsidRPr="00684015">
        <w:rPr>
          <w:rFonts w:cs="Arial"/>
          <w:sz w:val="16"/>
          <w:szCs w:val="16"/>
          <w:rtl/>
        </w:rPr>
        <w:t xml:space="preserve">נכתב ביום ונחתם בלילה </w:t>
      </w:r>
      <w:r w:rsidR="00BC3853">
        <w:rPr>
          <w:rFonts w:cs="Arial"/>
          <w:sz w:val="16"/>
          <w:szCs w:val="16"/>
          <w:rtl/>
        </w:rPr>
        <w:t>–</w:t>
      </w:r>
      <w:r w:rsidR="00BC3853">
        <w:rPr>
          <w:rFonts w:cs="Arial" w:hint="cs"/>
          <w:sz w:val="16"/>
          <w:szCs w:val="16"/>
          <w:rtl/>
        </w:rPr>
        <w:t xml:space="preserve"> </w:t>
      </w:r>
      <w:r w:rsidR="00530C88" w:rsidRPr="00684015">
        <w:rPr>
          <w:rFonts w:cs="Arial"/>
          <w:sz w:val="16"/>
          <w:szCs w:val="16"/>
          <w:rtl/>
        </w:rPr>
        <w:t>כשר</w:t>
      </w:r>
      <w:r w:rsidR="00BC3853">
        <w:rPr>
          <w:rFonts w:cs="Arial" w:hint="cs"/>
          <w:sz w:val="16"/>
          <w:szCs w:val="16"/>
          <w:rtl/>
        </w:rPr>
        <w:t>,</w:t>
      </w:r>
      <w:r w:rsidR="00530C88" w:rsidRPr="00684015">
        <w:rPr>
          <w:rFonts w:cs="Arial"/>
          <w:sz w:val="16"/>
          <w:szCs w:val="16"/>
          <w:rtl/>
        </w:rPr>
        <w:t xml:space="preserve"> דמשעת פסק דין משתעבדי ואינו מוקדם</w:t>
      </w:r>
      <w:r w:rsidRPr="00684015">
        <w:rPr>
          <w:rFonts w:cs="Arial" w:hint="cs"/>
          <w:sz w:val="16"/>
          <w:szCs w:val="16"/>
          <w:rtl/>
        </w:rPr>
        <w:t>, וכתבו רי"ו</w:t>
      </w:r>
      <w:r w:rsidR="00530C88" w:rsidRPr="00684015">
        <w:rPr>
          <w:rFonts w:cs="Arial"/>
          <w:sz w:val="16"/>
          <w:szCs w:val="16"/>
          <w:rtl/>
        </w:rPr>
        <w:t xml:space="preserve"> </w:t>
      </w:r>
      <w:r w:rsidRPr="00684015">
        <w:rPr>
          <w:rFonts w:cs="Arial" w:hint="cs"/>
          <w:sz w:val="14"/>
          <w:szCs w:val="14"/>
          <w:rtl/>
        </w:rPr>
        <w:t>(</w:t>
      </w:r>
      <w:r w:rsidR="00530C88" w:rsidRPr="00684015">
        <w:rPr>
          <w:rFonts w:cs="Arial"/>
          <w:sz w:val="14"/>
          <w:szCs w:val="14"/>
          <w:rtl/>
        </w:rPr>
        <w:t>נ</w:t>
      </w:r>
      <w:r w:rsidRPr="00684015">
        <w:rPr>
          <w:rFonts w:cs="Arial" w:hint="cs"/>
          <w:sz w:val="14"/>
          <w:szCs w:val="14"/>
          <w:rtl/>
        </w:rPr>
        <w:t>"</w:t>
      </w:r>
      <w:r w:rsidR="00530C88" w:rsidRPr="00684015">
        <w:rPr>
          <w:rFonts w:cs="Arial"/>
          <w:sz w:val="14"/>
          <w:szCs w:val="14"/>
          <w:rtl/>
        </w:rPr>
        <w:t>ד ח</w:t>
      </w:r>
      <w:r w:rsidRPr="00684015">
        <w:rPr>
          <w:rFonts w:cs="Arial" w:hint="cs"/>
          <w:sz w:val="14"/>
          <w:szCs w:val="14"/>
          <w:rtl/>
        </w:rPr>
        <w:t>"</w:t>
      </w:r>
      <w:r w:rsidR="00530C88" w:rsidRPr="00684015">
        <w:rPr>
          <w:rFonts w:cs="Arial"/>
          <w:sz w:val="14"/>
          <w:szCs w:val="14"/>
          <w:rtl/>
        </w:rPr>
        <w:t>ג מישרים כ.)</w:t>
      </w:r>
      <w:r w:rsidR="00D1558E">
        <w:rPr>
          <w:rFonts w:cs="Arial" w:hint="cs"/>
          <w:sz w:val="16"/>
          <w:szCs w:val="16"/>
          <w:rtl/>
        </w:rPr>
        <w:t>, ב"י</w:t>
      </w:r>
      <w:r>
        <w:rPr>
          <w:rFonts w:cs="Arial" w:hint="cs"/>
          <w:sz w:val="16"/>
          <w:szCs w:val="16"/>
          <w:rtl/>
        </w:rPr>
        <w:t>)</w:t>
      </w:r>
    </w:p>
    <w:p w14:paraId="31A8F9ED" w14:textId="77777777" w:rsidR="00E137BC" w:rsidRPr="00576D5C" w:rsidRDefault="00E137BC" w:rsidP="00576D5C">
      <w:pPr>
        <w:rPr>
          <w:rFonts w:asciiTheme="minorBidi" w:hAnsiTheme="minorBidi"/>
          <w:b/>
          <w:bCs/>
          <w:color w:val="000000"/>
          <w:sz w:val="28"/>
          <w:szCs w:val="28"/>
          <w:u w:val="single"/>
          <w:rtl/>
        </w:rPr>
      </w:pPr>
      <w:r w:rsidRPr="00576D5C">
        <w:rPr>
          <w:rFonts w:asciiTheme="minorBidi" w:hAnsiTheme="minorBidi"/>
          <w:b/>
          <w:bCs/>
          <w:color w:val="000000"/>
          <w:sz w:val="28"/>
          <w:szCs w:val="28"/>
          <w:u w:val="single"/>
          <w:rtl/>
        </w:rPr>
        <w:t>שו"ע:</w:t>
      </w:r>
    </w:p>
    <w:p w14:paraId="3A88C0A8" w14:textId="77777777" w:rsidR="00E137BC" w:rsidRPr="00576D5C" w:rsidRDefault="00E137BC" w:rsidP="00576D5C">
      <w:pPr>
        <w:rPr>
          <w:rFonts w:asciiTheme="minorBidi" w:hAnsiTheme="minorBidi"/>
          <w:rtl/>
        </w:rPr>
      </w:pPr>
      <w:r w:rsidRPr="00576D5C">
        <w:rPr>
          <w:rFonts w:asciiTheme="minorBidi" w:hAnsiTheme="minorBidi"/>
          <w:rtl/>
        </w:rPr>
        <w:lastRenderedPageBreak/>
        <w:t xml:space="preserve">קיבל עליו את הדין ואמרו לו לשלם והלך ולא שלם, אין מנדין אותו עד שיתרו בו </w:t>
      </w:r>
      <w:r w:rsidR="001F2D3C">
        <w:rPr>
          <w:rFonts w:asciiTheme="minorBidi" w:hAnsiTheme="minorBidi" w:hint="cs"/>
          <w:rtl/>
        </w:rPr>
        <w:t>שני וחמישי ושני</w:t>
      </w:r>
      <w:r w:rsidRPr="00576D5C">
        <w:rPr>
          <w:rFonts w:asciiTheme="minorBidi" w:hAnsiTheme="minorBidi"/>
          <w:rtl/>
        </w:rPr>
        <w:t>, ואחר כך מנדין אותו עד שיתן מה שהוא חייב</w:t>
      </w:r>
      <w:r w:rsidR="00976680">
        <w:rPr>
          <w:rFonts w:asciiTheme="minorBidi" w:hAnsiTheme="minorBidi" w:hint="cs"/>
          <w:rtl/>
        </w:rPr>
        <w:t>.</w:t>
      </w:r>
      <w:r w:rsidRPr="00576D5C">
        <w:rPr>
          <w:rFonts w:asciiTheme="minorBidi" w:hAnsiTheme="minorBidi"/>
          <w:rtl/>
        </w:rPr>
        <w:t xml:space="preserve"> ואם עמד שלשים יום ולא תבע נידויו, מחרימין אותו</w:t>
      </w:r>
      <w:r w:rsidR="00623E78">
        <w:rPr>
          <w:rStyle w:val="ab"/>
          <w:rFonts w:asciiTheme="minorBidi" w:hAnsiTheme="minorBidi"/>
          <w:rtl/>
        </w:rPr>
        <w:footnoteReference w:id="1038"/>
      </w:r>
      <w:r w:rsidRPr="00576D5C">
        <w:rPr>
          <w:rFonts w:asciiTheme="minorBidi" w:hAnsiTheme="minorBidi"/>
          <w:rtl/>
        </w:rPr>
        <w:t xml:space="preserve">. </w:t>
      </w:r>
      <w:r w:rsidRPr="00530C88">
        <w:rPr>
          <w:rFonts w:asciiTheme="minorBidi" w:hAnsiTheme="minorBidi"/>
          <w:sz w:val="18"/>
          <w:szCs w:val="18"/>
          <w:rtl/>
        </w:rPr>
        <w:t>הגה: ואם אינו רוצה לקבל עליו הדין, מנדין אותו מיד</w:t>
      </w:r>
      <w:r w:rsidR="00417208">
        <w:rPr>
          <w:rStyle w:val="ab"/>
          <w:rFonts w:asciiTheme="minorBidi" w:hAnsiTheme="minorBidi"/>
          <w:sz w:val="18"/>
          <w:szCs w:val="18"/>
          <w:rtl/>
        </w:rPr>
        <w:footnoteReference w:id="1039"/>
      </w:r>
      <w:r w:rsidRPr="00530C88">
        <w:rPr>
          <w:rFonts w:asciiTheme="minorBidi" w:hAnsiTheme="minorBidi"/>
          <w:sz w:val="18"/>
          <w:szCs w:val="18"/>
          <w:rtl/>
        </w:rPr>
        <w:t xml:space="preserve"> (ב"י). ועיין לקמן סימן ע"ט אם אומר אח"כ: פרעתי</w:t>
      </w:r>
      <w:r w:rsidR="00C91A39">
        <w:rPr>
          <w:rStyle w:val="ab"/>
          <w:rFonts w:asciiTheme="minorBidi" w:hAnsiTheme="minorBidi"/>
          <w:sz w:val="18"/>
          <w:szCs w:val="18"/>
          <w:rtl/>
        </w:rPr>
        <w:footnoteReference w:id="1040"/>
      </w:r>
      <w:r w:rsidRPr="00530C88">
        <w:rPr>
          <w:rFonts w:asciiTheme="minorBidi" w:hAnsiTheme="minorBidi"/>
          <w:sz w:val="18"/>
          <w:szCs w:val="18"/>
          <w:rtl/>
        </w:rPr>
        <w:t>.</w:t>
      </w:r>
    </w:p>
    <w:p w14:paraId="2B53B26B" w14:textId="77777777" w:rsidR="00E137BC" w:rsidRDefault="00E137BC" w:rsidP="00576D5C">
      <w:pPr>
        <w:rPr>
          <w:rFonts w:asciiTheme="minorBidi" w:hAnsiTheme="minorBidi"/>
          <w:rtl/>
        </w:rPr>
      </w:pPr>
    </w:p>
    <w:p w14:paraId="44F06DFD" w14:textId="77777777" w:rsidR="00530C88" w:rsidRPr="00576D5C" w:rsidRDefault="00530C88" w:rsidP="00576D5C">
      <w:pPr>
        <w:rPr>
          <w:rFonts w:asciiTheme="minorBidi" w:hAnsiTheme="minorBidi"/>
          <w:rtl/>
        </w:rPr>
        <w:sectPr w:rsidR="00530C88" w:rsidRPr="00576D5C" w:rsidSect="00AF3AF9">
          <w:headerReference w:type="default" r:id="rId29"/>
          <w:footnotePr>
            <w:numRestart w:val="eachPage"/>
          </w:footnotePr>
          <w:pgSz w:w="11906" w:h="16838"/>
          <w:pgMar w:top="720" w:right="1134" w:bottom="720" w:left="1134" w:header="0" w:footer="0" w:gutter="0"/>
          <w:cols w:space="720"/>
          <w:bidi/>
          <w:rtlGutter/>
          <w:docGrid w:linePitch="360"/>
        </w:sectPr>
      </w:pPr>
    </w:p>
    <w:p w14:paraId="56B868D0" w14:textId="77777777" w:rsidR="00E137BC" w:rsidRPr="00576D5C" w:rsidRDefault="00E137BC" w:rsidP="006567B0">
      <w:pPr>
        <w:pStyle w:val="1"/>
        <w:rPr>
          <w:rtl/>
        </w:rPr>
      </w:pPr>
      <w:bookmarkStart w:id="165" w:name="_Toc24883648"/>
      <w:r w:rsidRPr="00576D5C">
        <w:rPr>
          <w:rtl/>
        </w:rPr>
        <w:lastRenderedPageBreak/>
        <w:t>סימן כ: עד מתי יכול להביא ראיה לסתור הדין, ובו סעיף אחד.</w:t>
      </w:r>
      <w:bookmarkEnd w:id="165"/>
      <w:r w:rsidRPr="00576D5C">
        <w:rPr>
          <w:rtl/>
        </w:rPr>
        <w:t xml:space="preserve"> </w:t>
      </w:r>
    </w:p>
    <w:p w14:paraId="7B99CE99" w14:textId="77777777" w:rsidR="00E137BC" w:rsidRDefault="00E137BC" w:rsidP="006567B0">
      <w:pPr>
        <w:pStyle w:val="2"/>
        <w:rPr>
          <w:rtl/>
        </w:rPr>
      </w:pPr>
      <w:bookmarkStart w:id="166" w:name="_Toc24883649"/>
      <w:r w:rsidRPr="00576D5C">
        <w:rPr>
          <w:rtl/>
        </w:rPr>
        <w:t>סעיף א</w:t>
      </w:r>
      <w:bookmarkEnd w:id="166"/>
    </w:p>
    <w:p w14:paraId="5697B805" w14:textId="77777777" w:rsidR="006B4D51" w:rsidRPr="005447A9" w:rsidRDefault="006B4D51" w:rsidP="006B4D51">
      <w:pPr>
        <w:rPr>
          <w:rFonts w:cs="Arial"/>
          <w:u w:val="single"/>
          <w:rtl/>
        </w:rPr>
      </w:pPr>
      <w:r>
        <w:rPr>
          <w:rFonts w:cs="Arial" w:hint="cs"/>
          <w:b/>
          <w:bCs/>
          <w:rtl/>
        </w:rPr>
        <w:t xml:space="preserve">סנהדרין </w:t>
      </w:r>
      <w:r w:rsidRPr="005447A9">
        <w:rPr>
          <w:rFonts w:cs="Arial" w:hint="cs"/>
          <w:b/>
          <w:bCs/>
          <w:sz w:val="16"/>
          <w:szCs w:val="16"/>
          <w:rtl/>
        </w:rPr>
        <w:t>(</w:t>
      </w:r>
      <w:r w:rsidR="00DC645A">
        <w:rPr>
          <w:rFonts w:cs="Arial" w:hint="cs"/>
          <w:b/>
          <w:bCs/>
          <w:sz w:val="16"/>
          <w:szCs w:val="16"/>
          <w:rtl/>
        </w:rPr>
        <w:t>ס"</w:t>
      </w:r>
      <w:r w:rsidRPr="005447A9">
        <w:rPr>
          <w:rFonts w:cs="Arial" w:hint="cs"/>
          <w:b/>
          <w:bCs/>
          <w:sz w:val="16"/>
          <w:szCs w:val="16"/>
          <w:rtl/>
        </w:rPr>
        <w:t>פ זה בורר)</w:t>
      </w:r>
      <w:r>
        <w:rPr>
          <w:rFonts w:cs="Arial" w:hint="cs"/>
          <w:b/>
          <w:bCs/>
          <w:rtl/>
        </w:rPr>
        <w:t xml:space="preserve"> לא</w:t>
      </w:r>
      <w:r w:rsidR="00DC645A">
        <w:rPr>
          <w:rStyle w:val="ab"/>
          <w:rFonts w:cs="Arial"/>
          <w:b/>
          <w:bCs/>
          <w:rtl/>
        </w:rPr>
        <w:footnoteReference w:id="1041"/>
      </w:r>
      <w:r>
        <w:rPr>
          <w:rFonts w:cs="Arial" w:hint="cs"/>
          <w:b/>
          <w:bCs/>
          <w:rtl/>
        </w:rPr>
        <w:t xml:space="preserve"> ע"א: </w:t>
      </w:r>
      <w:r w:rsidRPr="005447A9">
        <w:rPr>
          <w:rFonts w:cs="Arial"/>
          <w:u w:val="double"/>
          <w:rtl/>
        </w:rPr>
        <w:t>משנה</w:t>
      </w:r>
      <w:r>
        <w:rPr>
          <w:rFonts w:cs="Arial" w:hint="cs"/>
          <w:u w:val="double"/>
          <w:rtl/>
        </w:rPr>
        <w:t>:</w:t>
      </w:r>
      <w:r w:rsidRPr="005447A9">
        <w:rPr>
          <w:rFonts w:cs="Arial"/>
          <w:rtl/>
        </w:rPr>
        <w:t xml:space="preserve"> כל זמן שמביא ראיה - סותר את הדין. אמר לו: כל ראיות שיש לך הבא מיכן עד שלשים יום</w:t>
      </w:r>
      <w:r w:rsidR="00D1558E">
        <w:rPr>
          <w:rFonts w:cs="Arial" w:hint="cs"/>
          <w:rtl/>
        </w:rPr>
        <w:t>;</w:t>
      </w:r>
      <w:r w:rsidRPr="005447A9">
        <w:rPr>
          <w:rFonts w:cs="Arial"/>
          <w:rtl/>
        </w:rPr>
        <w:t xml:space="preserve"> מצא בתוך שלשים יום - סותר, לאחר שלשים יום - אינו סותר. </w:t>
      </w:r>
      <w:r w:rsidRPr="005447A9">
        <w:rPr>
          <w:rFonts w:cs="Arial"/>
          <w:u w:val="single"/>
          <w:rtl/>
        </w:rPr>
        <w:t>אמר רבן שמעון בן גמליאל</w:t>
      </w:r>
      <w:r w:rsidRPr="005447A9">
        <w:rPr>
          <w:rFonts w:cs="Arial"/>
          <w:rtl/>
        </w:rPr>
        <w:t>: מה יעשה זה שלא מצא בתוך שלשים, ומצא לאחר שלשים</w:t>
      </w:r>
      <w:r>
        <w:rPr>
          <w:rStyle w:val="ab"/>
          <w:rFonts w:cs="Arial"/>
          <w:rtl/>
        </w:rPr>
        <w:footnoteReference w:id="1042"/>
      </w:r>
      <w:r w:rsidRPr="005447A9">
        <w:rPr>
          <w:rFonts w:cs="Arial"/>
          <w:rtl/>
        </w:rPr>
        <w:t>?</w:t>
      </w:r>
      <w:r w:rsidR="002F088D">
        <w:rPr>
          <w:rFonts w:cs="Arial" w:hint="cs"/>
          <w:rtl/>
        </w:rPr>
        <w:t>.</w:t>
      </w:r>
      <w:r w:rsidRPr="005447A9">
        <w:rPr>
          <w:rFonts w:cs="Arial"/>
          <w:rtl/>
        </w:rPr>
        <w:t xml:space="preserve"> אמר לו הבא עדים, ואמר: אין לי עדים. אמר: הבא ראיה, ואמר: אין לי ראיה. ולאחר זמן הביא ראיה, ומצא עדים - הרי זה אינו כלום. </w:t>
      </w:r>
      <w:r w:rsidRPr="005447A9">
        <w:rPr>
          <w:rFonts w:cs="Arial"/>
          <w:u w:val="single"/>
          <w:rtl/>
        </w:rPr>
        <w:t>אמר רבן שמעון בן גמליאל</w:t>
      </w:r>
      <w:r w:rsidRPr="005447A9">
        <w:rPr>
          <w:rFonts w:cs="Arial"/>
          <w:rtl/>
        </w:rPr>
        <w:t>: מה יעשה זה שלא היה יודע שיש לו עדים, ומצא עדים. לא היה יודע שיש לו ראיה, ומצא ראיה</w:t>
      </w:r>
      <w:r>
        <w:rPr>
          <w:rStyle w:val="ab"/>
          <w:rFonts w:cs="Arial"/>
          <w:rtl/>
        </w:rPr>
        <w:footnoteReference w:id="1043"/>
      </w:r>
      <w:r w:rsidRPr="005447A9">
        <w:rPr>
          <w:rFonts w:cs="Arial"/>
          <w:rtl/>
        </w:rPr>
        <w:t>. ראה שמתחייב בדין ואמר: קרבו פלוני ופלוני ויעידוני, או שהוציא ראיה מתחת פונדתו - הרי זה אינו כלום</w:t>
      </w:r>
      <w:r>
        <w:rPr>
          <w:rStyle w:val="ab"/>
          <w:rFonts w:cs="Arial"/>
          <w:rtl/>
        </w:rPr>
        <w:footnoteReference w:id="1044"/>
      </w:r>
      <w:r w:rsidRPr="005447A9">
        <w:rPr>
          <w:rFonts w:cs="Arial"/>
          <w:rtl/>
        </w:rPr>
        <w:t xml:space="preserve">. </w:t>
      </w:r>
      <w:r>
        <w:rPr>
          <w:rFonts w:cs="Arial" w:hint="cs"/>
          <w:rtl/>
        </w:rPr>
        <w:t xml:space="preserve">    </w:t>
      </w:r>
      <w:r w:rsidRPr="005447A9">
        <w:rPr>
          <w:rFonts w:cs="Arial" w:hint="cs"/>
          <w:u w:val="double"/>
          <w:rtl/>
        </w:rPr>
        <w:t>גמרא:</w:t>
      </w:r>
      <w:r w:rsidR="002F088D">
        <w:rPr>
          <w:rFonts w:hint="cs"/>
          <w:rtl/>
        </w:rPr>
        <w:t>...</w:t>
      </w:r>
      <w:r w:rsidRPr="005447A9">
        <w:rPr>
          <w:rtl/>
        </w:rPr>
        <w:t xml:space="preserve"> </w:t>
      </w:r>
      <w:r w:rsidRPr="005447A9">
        <w:rPr>
          <w:rFonts w:cs="Arial"/>
          <w:rtl/>
        </w:rPr>
        <w:t xml:space="preserve">ההוא ינוקא דתבעוהו לדינא קמיה דרב נחמן. </w:t>
      </w:r>
      <w:r w:rsidRPr="005447A9">
        <w:rPr>
          <w:rFonts w:cs="Arial"/>
          <w:u w:val="single"/>
          <w:rtl/>
        </w:rPr>
        <w:t>אמר ליה</w:t>
      </w:r>
      <w:r w:rsidRPr="005447A9">
        <w:rPr>
          <w:rFonts w:cs="Arial"/>
          <w:rtl/>
        </w:rPr>
        <w:t xml:space="preserve">: אית לך סהדי? אמר ליה: לא. אית לך ראיה? אמר ליה: לא. חייביה רב נחמן. הוה קא בכי ואזיל. שמעוהו הנך אינשי, אמרו ליה: אנן ידעינן במילי דאבוך. </w:t>
      </w:r>
      <w:r w:rsidRPr="005447A9">
        <w:rPr>
          <w:rFonts w:cs="Arial"/>
          <w:u w:val="single"/>
          <w:rtl/>
        </w:rPr>
        <w:t>אמר רב נחמן</w:t>
      </w:r>
      <w:r w:rsidRPr="005447A9">
        <w:rPr>
          <w:rFonts w:cs="Arial"/>
          <w:rtl/>
        </w:rPr>
        <w:t>: בהא - אפילו רבנן מודו, דינוקא במילי דאבוה לא ידע</w:t>
      </w:r>
      <w:r>
        <w:rPr>
          <w:rFonts w:cs="Arial" w:hint="cs"/>
          <w:rtl/>
        </w:rPr>
        <w:t>..</w:t>
      </w:r>
      <w:r w:rsidRPr="005447A9">
        <w:rPr>
          <w:rFonts w:cs="Arial"/>
          <w:rtl/>
        </w:rPr>
        <w:t>.</w:t>
      </w:r>
      <w:r>
        <w:rPr>
          <w:rFonts w:cs="Arial" w:hint="cs"/>
          <w:rtl/>
        </w:rPr>
        <w:t xml:space="preserve"> </w:t>
      </w:r>
      <w:r>
        <w:rPr>
          <w:rFonts w:cs="Arial" w:hint="cs"/>
          <w:sz w:val="14"/>
          <w:szCs w:val="14"/>
          <w:rtl/>
        </w:rPr>
        <w:t xml:space="preserve">(לא:) </w:t>
      </w:r>
      <w:r w:rsidRPr="005447A9">
        <w:rPr>
          <w:rFonts w:cs="Arial"/>
          <w:u w:val="single"/>
          <w:rtl/>
        </w:rPr>
        <w:t>כי אתא רב שמואל בר יהודה אמר רבי יוחנן</w:t>
      </w:r>
      <w:r w:rsidRPr="005447A9">
        <w:rPr>
          <w:rFonts w:cs="Arial"/>
          <w:rtl/>
        </w:rPr>
        <w:t>: לעולם מביא ראיה וסותר, עד שיסתתם טענותיו, ויאמרו לו: הבא עדים! ואומר: אין לי עדים! הבא ראיה! ואומר: אין לי ראיה. אבל באו עדים ממדינת הים, או שהיתה דיסקיא</w:t>
      </w:r>
      <w:r>
        <w:rPr>
          <w:rStyle w:val="ab"/>
          <w:rFonts w:cs="Arial"/>
          <w:rtl/>
        </w:rPr>
        <w:footnoteReference w:id="1045"/>
      </w:r>
      <w:r w:rsidRPr="005447A9">
        <w:rPr>
          <w:rFonts w:cs="Arial"/>
          <w:rtl/>
        </w:rPr>
        <w:t xml:space="preserve"> של אביו מופקדת ביד אחר - הרי זה מביא ראיה וסותר</w:t>
      </w:r>
      <w:r w:rsidR="00523C4A">
        <w:rPr>
          <w:rStyle w:val="ab"/>
          <w:rFonts w:cs="Arial"/>
          <w:rtl/>
        </w:rPr>
        <w:footnoteReference w:id="1046"/>
      </w:r>
      <w:r w:rsidRPr="005447A9">
        <w:rPr>
          <w:rFonts w:cs="Arial"/>
          <w:rtl/>
        </w:rPr>
        <w:t>.</w:t>
      </w:r>
    </w:p>
    <w:p w14:paraId="157B7C26" w14:textId="77777777" w:rsidR="00D87EA6" w:rsidRDefault="00D87EA6" w:rsidP="001F2D3C">
      <w:pPr>
        <w:rPr>
          <w:rFonts w:cs="Arial"/>
          <w:rtl/>
        </w:rPr>
      </w:pPr>
      <w:r>
        <w:rPr>
          <w:rFonts w:hint="cs"/>
          <w:u w:val="single"/>
          <w:rtl/>
        </w:rPr>
        <w:t xml:space="preserve">בעל דין שתחייב בדין - </w:t>
      </w:r>
      <w:r w:rsidRPr="00D87EA6">
        <w:rPr>
          <w:u w:val="single"/>
          <w:rtl/>
        </w:rPr>
        <w:t>עד מתי יכול להביא ראיה לסתור הדין</w:t>
      </w:r>
      <w:r w:rsidRPr="00D87EA6">
        <w:rPr>
          <w:rFonts w:cs="Arial" w:hint="cs"/>
          <w:u w:val="single"/>
          <w:rtl/>
        </w:rPr>
        <w:t>:</w:t>
      </w:r>
    </w:p>
    <w:p w14:paraId="3D567999" w14:textId="77777777" w:rsidR="00D87EA6" w:rsidRDefault="001F2D3C" w:rsidP="004B0475">
      <w:pPr>
        <w:pStyle w:val="ac"/>
        <w:numPr>
          <w:ilvl w:val="0"/>
          <w:numId w:val="26"/>
        </w:numPr>
      </w:pPr>
      <w:r w:rsidRPr="00D87EA6">
        <w:rPr>
          <w:rFonts w:cs="Arial" w:hint="cs"/>
          <w:rtl/>
        </w:rPr>
        <w:t>טור-</w:t>
      </w:r>
      <w:r w:rsidRPr="00D87EA6">
        <w:rPr>
          <w:rFonts w:cs="Arial"/>
          <w:rtl/>
        </w:rPr>
        <w:t xml:space="preserve"> מי שנתחייב בדין ומצא אח"כ עדים או ראיה לזכותו מביא וסותר הדין</w:t>
      </w:r>
      <w:r w:rsidR="00D87EA6">
        <w:rPr>
          <w:rFonts w:cs="Arial" w:hint="cs"/>
          <w:rtl/>
        </w:rPr>
        <w:t>,</w:t>
      </w:r>
      <w:r w:rsidRPr="00D87EA6">
        <w:rPr>
          <w:rFonts w:cs="Arial"/>
          <w:rtl/>
        </w:rPr>
        <w:t xml:space="preserve"> אפילו אחר כמה ימים</w:t>
      </w:r>
      <w:r w:rsidR="00D87EA6">
        <w:rPr>
          <w:rFonts w:cs="Arial" w:hint="cs"/>
          <w:rtl/>
        </w:rPr>
        <w:t>,</w:t>
      </w:r>
      <w:r w:rsidRPr="00D87EA6">
        <w:rPr>
          <w:rFonts w:cs="Arial"/>
          <w:rtl/>
        </w:rPr>
        <w:t xml:space="preserve"> אפילו אם פרע כבר</w:t>
      </w:r>
      <w:r w:rsidR="00D87EA6">
        <w:rPr>
          <w:rFonts w:cs="Arial" w:hint="cs"/>
          <w:rtl/>
        </w:rPr>
        <w:t>,</w:t>
      </w:r>
      <w:r w:rsidRPr="00D87EA6">
        <w:rPr>
          <w:rFonts w:cs="Arial"/>
          <w:rtl/>
        </w:rPr>
        <w:t xml:space="preserve"> אפילו אם אמר לו הדיין כל זכות שיש לך הבא תוך שלשים יום ולא הביאו אלא אחר שלשים יום</w:t>
      </w:r>
      <w:r w:rsidR="00D87EA6">
        <w:rPr>
          <w:rFonts w:cs="Arial" w:hint="cs"/>
          <w:rtl/>
        </w:rPr>
        <w:t xml:space="preserve"> - </w:t>
      </w:r>
      <w:r w:rsidRPr="00D87EA6">
        <w:rPr>
          <w:rFonts w:cs="Arial"/>
          <w:rtl/>
        </w:rPr>
        <w:t xml:space="preserve"> סותר הדין</w:t>
      </w:r>
      <w:r w:rsidR="002F088D">
        <w:rPr>
          <w:rFonts w:cs="Arial" w:hint="cs"/>
          <w:rtl/>
        </w:rPr>
        <w:t>.</w:t>
      </w:r>
      <w:r w:rsidRPr="00D87EA6">
        <w:rPr>
          <w:rFonts w:cs="Arial"/>
          <w:rtl/>
        </w:rPr>
        <w:t xml:space="preserve"> אבל אם אמר לו להביא עדים או ראיה</w:t>
      </w:r>
      <w:r w:rsidR="002F088D">
        <w:rPr>
          <w:rFonts w:cs="Arial" w:hint="cs"/>
          <w:rtl/>
        </w:rPr>
        <w:t>,</w:t>
      </w:r>
      <w:r w:rsidRPr="00D87EA6">
        <w:rPr>
          <w:rFonts w:cs="Arial"/>
          <w:rtl/>
        </w:rPr>
        <w:t xml:space="preserve"> ואמר אין לי </w:t>
      </w:r>
      <w:r w:rsidR="00D87EA6">
        <w:rPr>
          <w:rFonts w:cs="Arial" w:hint="cs"/>
          <w:rtl/>
        </w:rPr>
        <w:t xml:space="preserve">- </w:t>
      </w:r>
      <w:r w:rsidRPr="00D87EA6">
        <w:rPr>
          <w:rFonts w:cs="Arial"/>
          <w:rtl/>
        </w:rPr>
        <w:t>א</w:t>
      </w:r>
      <w:r w:rsidR="00D87EA6">
        <w:rPr>
          <w:rFonts w:cs="Arial" w:hint="cs"/>
          <w:rtl/>
        </w:rPr>
        <w:t xml:space="preserve">ע"פ </w:t>
      </w:r>
      <w:r w:rsidRPr="00D87EA6">
        <w:rPr>
          <w:rFonts w:cs="Arial"/>
          <w:rtl/>
        </w:rPr>
        <w:t>שמצאם אח"כ לאו כלום הוא</w:t>
      </w:r>
      <w:r w:rsidR="00D87EA6">
        <w:rPr>
          <w:rFonts w:cs="Arial" w:hint="cs"/>
          <w:rtl/>
        </w:rPr>
        <w:t>,</w:t>
      </w:r>
      <w:r w:rsidRPr="00D87EA6">
        <w:rPr>
          <w:rFonts w:cs="Arial"/>
          <w:rtl/>
        </w:rPr>
        <w:t xml:space="preserve"> ואצ"ל אם לאחר שאמר אין לי וכשרואה שמתחייב אומר לפלוני ופלוני קרבו והעידוני או שהוציא ראייתו מכיסו שאינו כלום</w:t>
      </w:r>
      <w:r w:rsidR="00D87EA6">
        <w:rPr>
          <w:rFonts w:cs="Arial" w:hint="cs"/>
          <w:rtl/>
        </w:rPr>
        <w:t>.</w:t>
      </w:r>
      <w:r w:rsidRPr="00D87EA6">
        <w:rPr>
          <w:rFonts w:cs="Arial"/>
          <w:rtl/>
        </w:rPr>
        <w:t xml:space="preserve"> בד"א שהיה הראיה אצלו והעדים עמו במדינה</w:t>
      </w:r>
      <w:r w:rsidR="002F088D">
        <w:rPr>
          <w:rFonts w:cs="Arial" w:hint="cs"/>
          <w:rtl/>
        </w:rPr>
        <w:t>,</w:t>
      </w:r>
      <w:r w:rsidRPr="00D87EA6">
        <w:rPr>
          <w:rFonts w:cs="Arial"/>
          <w:rtl/>
        </w:rPr>
        <w:t xml:space="preserve"> אבל אם אינו עמו ואח</w:t>
      </w:r>
      <w:r w:rsidR="00D87EA6">
        <w:rPr>
          <w:rFonts w:cs="Arial" w:hint="cs"/>
          <w:rtl/>
        </w:rPr>
        <w:t>"</w:t>
      </w:r>
      <w:r w:rsidRPr="00D87EA6">
        <w:rPr>
          <w:rFonts w:cs="Arial"/>
          <w:rtl/>
        </w:rPr>
        <w:t>כ באו לו עדים ממדינת הים או שהיו שטרותיו</w:t>
      </w:r>
      <w:r w:rsidR="00882ABB">
        <w:rPr>
          <w:rStyle w:val="ab"/>
          <w:rFonts w:cs="Arial"/>
          <w:rtl/>
        </w:rPr>
        <w:footnoteReference w:id="1047"/>
      </w:r>
      <w:r w:rsidRPr="00D87EA6">
        <w:rPr>
          <w:rFonts w:cs="Arial"/>
          <w:rtl/>
        </w:rPr>
        <w:t xml:space="preserve"> מופקדים ביד אחרים ובאו אלו שהיו מופקדים בידם והוציאו לו ראיותיו</w:t>
      </w:r>
      <w:r w:rsidR="00D87EA6">
        <w:rPr>
          <w:rFonts w:cs="Arial" w:hint="cs"/>
          <w:rtl/>
        </w:rPr>
        <w:t xml:space="preserve"> -</w:t>
      </w:r>
      <w:r w:rsidRPr="00D87EA6">
        <w:rPr>
          <w:rFonts w:cs="Arial"/>
          <w:rtl/>
        </w:rPr>
        <w:t xml:space="preserve"> סותר הדין</w:t>
      </w:r>
      <w:r w:rsidR="00D87EA6">
        <w:rPr>
          <w:rFonts w:cs="Arial" w:hint="cs"/>
          <w:rtl/>
        </w:rPr>
        <w:t>,</w:t>
      </w:r>
      <w:r w:rsidRPr="00D87EA6">
        <w:rPr>
          <w:rFonts w:cs="Arial"/>
          <w:rtl/>
        </w:rPr>
        <w:t xml:space="preserve"> שמה שאמר אין לי עדים וראיה </w:t>
      </w:r>
      <w:r w:rsidR="00DC645A">
        <w:rPr>
          <w:rFonts w:cs="Arial" w:hint="cs"/>
          <w:rtl/>
        </w:rPr>
        <w:t xml:space="preserve">- </w:t>
      </w:r>
      <w:r w:rsidRPr="00D87EA6">
        <w:rPr>
          <w:rFonts w:cs="Arial"/>
          <w:rtl/>
        </w:rPr>
        <w:t>רצה לומר אין לי עדים וראיה מצויין בידי</w:t>
      </w:r>
      <w:r w:rsidR="00D87EA6">
        <w:rPr>
          <w:rFonts w:cs="Arial" w:hint="cs"/>
          <w:rtl/>
        </w:rPr>
        <w:t>,</w:t>
      </w:r>
      <w:r w:rsidRPr="00D87EA6">
        <w:rPr>
          <w:rFonts w:cs="Arial"/>
          <w:rtl/>
        </w:rPr>
        <w:t xml:space="preserve"> לפיכך אם פירש דבריו אין לי עדים וראיה כלל לא כאן ולא במדינה אחרת ולא בידי ולא ביד אחרים אינו יכול לסתור הדין</w:t>
      </w:r>
      <w:r w:rsidR="005447A9">
        <w:rPr>
          <w:rStyle w:val="ab"/>
          <w:rFonts w:cs="Arial"/>
          <w:rtl/>
        </w:rPr>
        <w:footnoteReference w:id="1048"/>
      </w:r>
      <w:r w:rsidR="005447A9" w:rsidRPr="00D87EA6">
        <w:rPr>
          <w:rFonts w:cs="Arial" w:hint="cs"/>
          <w:rtl/>
        </w:rPr>
        <w:t>.</w:t>
      </w:r>
      <w:r w:rsidRPr="00D87EA6">
        <w:rPr>
          <w:rFonts w:cs="Arial"/>
          <w:rtl/>
        </w:rPr>
        <w:t xml:space="preserve"> ודוקא בגדול הוא שאינו יכול לסתור הדין אחר שאמרו לו הבא ראיה ואמר אין לי</w:t>
      </w:r>
      <w:r w:rsidR="00D87EA6">
        <w:rPr>
          <w:rFonts w:cs="Arial" w:hint="cs"/>
          <w:rtl/>
        </w:rPr>
        <w:t>,</w:t>
      </w:r>
      <w:r w:rsidRPr="00D87EA6">
        <w:rPr>
          <w:rFonts w:cs="Arial"/>
          <w:rtl/>
        </w:rPr>
        <w:t xml:space="preserve"> אבל קטן </w:t>
      </w:r>
      <w:r w:rsidR="00DC645A">
        <w:rPr>
          <w:rFonts w:cs="Arial" w:hint="cs"/>
          <w:rtl/>
        </w:rPr>
        <w:t xml:space="preserve">- </w:t>
      </w:r>
      <w:r w:rsidRPr="00D87EA6">
        <w:rPr>
          <w:rFonts w:cs="Arial"/>
          <w:rtl/>
        </w:rPr>
        <w:t>אפילו בכ</w:t>
      </w:r>
      <w:r w:rsidR="00D87EA6">
        <w:rPr>
          <w:rFonts w:cs="Arial" w:hint="cs"/>
          <w:rtl/>
        </w:rPr>
        <w:t>ה"ג</w:t>
      </w:r>
      <w:r w:rsidRPr="00D87EA6">
        <w:rPr>
          <w:rFonts w:cs="Arial"/>
          <w:rtl/>
        </w:rPr>
        <w:t xml:space="preserve"> יכול לסתור הדין</w:t>
      </w:r>
      <w:r w:rsidR="00DC645A">
        <w:rPr>
          <w:rFonts w:cs="Arial" w:hint="cs"/>
          <w:rtl/>
        </w:rPr>
        <w:t>,</w:t>
      </w:r>
      <w:r w:rsidRPr="00D87EA6">
        <w:rPr>
          <w:rFonts w:cs="Arial"/>
          <w:rtl/>
        </w:rPr>
        <w:t xml:space="preserve"> דמה שאמר אין לי ראיה מפני שלא ידע בעניני אביו ואח</w:t>
      </w:r>
      <w:r w:rsidR="00D87EA6">
        <w:rPr>
          <w:rFonts w:cs="Arial" w:hint="cs"/>
          <w:rtl/>
        </w:rPr>
        <w:t>"</w:t>
      </w:r>
      <w:r w:rsidRPr="00D87EA6">
        <w:rPr>
          <w:rFonts w:cs="Arial"/>
          <w:rtl/>
        </w:rPr>
        <w:t xml:space="preserve">כ מצא. </w:t>
      </w:r>
      <w:r w:rsidR="00D87EA6" w:rsidRPr="00D87EA6">
        <w:rPr>
          <w:rFonts w:cs="Arial" w:hint="cs"/>
          <w:color w:val="E36C0A" w:themeColor="accent6" w:themeShade="BF"/>
          <w:rtl/>
        </w:rPr>
        <w:t>(וכ"פ בשו"ע)</w:t>
      </w:r>
    </w:p>
    <w:p w14:paraId="3983BA79" w14:textId="77777777" w:rsidR="009161C2" w:rsidRPr="009161C2" w:rsidRDefault="009161C2" w:rsidP="009161C2">
      <w:pPr>
        <w:ind w:left="360"/>
        <w:rPr>
          <w:u w:val="dotted"/>
        </w:rPr>
      </w:pPr>
      <w:r w:rsidRPr="009161C2">
        <w:rPr>
          <w:rFonts w:hint="cs"/>
          <w:u w:val="dotted"/>
          <w:rtl/>
        </w:rPr>
        <w:t xml:space="preserve">הא דקטן יכול חזור ולסתור </w:t>
      </w:r>
      <w:r w:rsidRPr="009161C2">
        <w:rPr>
          <w:u w:val="dotted"/>
          <w:rtl/>
        </w:rPr>
        <w:t>–</w:t>
      </w:r>
      <w:r w:rsidRPr="009161C2">
        <w:rPr>
          <w:rFonts w:hint="cs"/>
          <w:u w:val="dotted"/>
          <w:rtl/>
        </w:rPr>
        <w:t xml:space="preserve"> מדובר במקרה שהיה קטן בשעת הדין או במיתת אביו:</w:t>
      </w:r>
    </w:p>
    <w:p w14:paraId="0D959046" w14:textId="77777777" w:rsidR="009161C2" w:rsidRPr="009161C2" w:rsidRDefault="008B0C77" w:rsidP="004B0475">
      <w:pPr>
        <w:pStyle w:val="ac"/>
        <w:numPr>
          <w:ilvl w:val="0"/>
          <w:numId w:val="26"/>
        </w:numPr>
      </w:pPr>
      <w:r>
        <w:rPr>
          <w:rFonts w:cs="Arial" w:hint="cs"/>
          <w:rtl/>
        </w:rPr>
        <w:t>ה"ר מאיר</w:t>
      </w:r>
      <w:r w:rsidR="009161C2">
        <w:rPr>
          <w:rFonts w:cs="Arial" w:hint="cs"/>
          <w:sz w:val="16"/>
          <w:szCs w:val="16"/>
          <w:rtl/>
        </w:rPr>
        <w:t xml:space="preserve"> (כ"כ הרא"ש </w:t>
      </w:r>
      <w:r w:rsidR="0081724A">
        <w:rPr>
          <w:rFonts w:cs="Arial" w:hint="cs"/>
          <w:sz w:val="16"/>
          <w:szCs w:val="16"/>
          <w:rtl/>
        </w:rPr>
        <w:t xml:space="preserve">[סי' לז] </w:t>
      </w:r>
      <w:r w:rsidR="009161C2">
        <w:rPr>
          <w:rFonts w:cs="Arial" w:hint="cs"/>
          <w:sz w:val="16"/>
          <w:szCs w:val="16"/>
          <w:rtl/>
        </w:rPr>
        <w:t>הטור בשמו)</w:t>
      </w:r>
      <w:r w:rsidR="009161C2" w:rsidRPr="009161C2">
        <w:rPr>
          <w:rFonts w:cs="Arial"/>
          <w:rtl/>
        </w:rPr>
        <w:t xml:space="preserve"> </w:t>
      </w:r>
      <w:r w:rsidR="009161C2">
        <w:rPr>
          <w:rFonts w:cs="Arial" w:hint="cs"/>
          <w:rtl/>
        </w:rPr>
        <w:t>ו</w:t>
      </w:r>
      <w:r w:rsidR="009161C2" w:rsidRPr="00D87EA6">
        <w:rPr>
          <w:rFonts w:cs="Arial"/>
          <w:rtl/>
        </w:rPr>
        <w:t>רמב"ם</w:t>
      </w:r>
      <w:r w:rsidR="009161C2">
        <w:rPr>
          <w:rFonts w:cs="Arial" w:hint="cs"/>
          <w:rtl/>
        </w:rPr>
        <w:t xml:space="preserve"> </w:t>
      </w:r>
      <w:r w:rsidR="009161C2" w:rsidRPr="009161C2">
        <w:rPr>
          <w:rFonts w:cs="Arial" w:hint="cs"/>
          <w:sz w:val="16"/>
          <w:szCs w:val="16"/>
          <w:rtl/>
        </w:rPr>
        <w:t>(פ"ז ה"ט)</w:t>
      </w:r>
      <w:r w:rsidR="009161C2">
        <w:rPr>
          <w:rFonts w:cs="Arial" w:hint="cs"/>
          <w:rtl/>
        </w:rPr>
        <w:t>-</w:t>
      </w:r>
      <w:r w:rsidR="001F2D3C" w:rsidRPr="00D87EA6">
        <w:rPr>
          <w:rFonts w:cs="Arial"/>
          <w:rtl/>
        </w:rPr>
        <w:t xml:space="preserve"> אפילו הוא גדול בשעת העמדתו בדין כיון שהיה קטן כשמת אביו אינו יודע בענין אבי</w:t>
      </w:r>
      <w:r w:rsidR="009161C2">
        <w:rPr>
          <w:rFonts w:cs="Arial" w:hint="cs"/>
          <w:rtl/>
        </w:rPr>
        <w:t>ו.</w:t>
      </w:r>
      <w:r w:rsidR="001F2D3C" w:rsidRPr="00D87EA6">
        <w:rPr>
          <w:rFonts w:cs="Arial"/>
          <w:rtl/>
        </w:rPr>
        <w:t xml:space="preserve"> </w:t>
      </w:r>
      <w:r w:rsidR="00882ABB" w:rsidRPr="009D6039">
        <w:rPr>
          <w:rFonts w:hint="cs"/>
          <w:color w:val="E36C0A" w:themeColor="accent6" w:themeShade="BF"/>
          <w:rtl/>
        </w:rPr>
        <w:t>(וכ"פ בשו"ע)</w:t>
      </w:r>
    </w:p>
    <w:p w14:paraId="3DCC7884" w14:textId="77777777" w:rsidR="0066757C" w:rsidRDefault="00175240" w:rsidP="004B0475">
      <w:pPr>
        <w:pStyle w:val="ac"/>
        <w:numPr>
          <w:ilvl w:val="0"/>
          <w:numId w:val="26"/>
        </w:numPr>
      </w:pPr>
      <w:r w:rsidRPr="0081724A">
        <w:rPr>
          <w:rFonts w:cs="Arial" w:hint="cs"/>
          <w:rtl/>
        </w:rPr>
        <w:t>רא"ש</w:t>
      </w:r>
      <w:r w:rsidR="0081724A">
        <w:rPr>
          <w:rFonts w:cs="Arial" w:hint="cs"/>
          <w:rtl/>
        </w:rPr>
        <w:t xml:space="preserve"> </w:t>
      </w:r>
      <w:r w:rsidR="0081724A">
        <w:rPr>
          <w:rFonts w:cs="Arial" w:hint="cs"/>
          <w:sz w:val="16"/>
          <w:szCs w:val="16"/>
          <w:rtl/>
        </w:rPr>
        <w:t>(סי' לז)</w:t>
      </w:r>
      <w:r w:rsidRPr="0081724A">
        <w:rPr>
          <w:rFonts w:cs="Arial" w:hint="cs"/>
          <w:rtl/>
        </w:rPr>
        <w:t>-</w:t>
      </w:r>
      <w:r w:rsidR="001F2D3C" w:rsidRPr="0081724A">
        <w:rPr>
          <w:rFonts w:cs="Arial"/>
          <w:rtl/>
        </w:rPr>
        <w:t xml:space="preserve"> נראה דאין לנו אלא כי האי עובדא דרב נחמן שבא קטן לבית דין</w:t>
      </w:r>
      <w:r w:rsidR="0081724A">
        <w:rPr>
          <w:rFonts w:cs="Arial" w:hint="cs"/>
          <w:rtl/>
        </w:rPr>
        <w:t xml:space="preserve">, </w:t>
      </w:r>
      <w:r w:rsidR="001F2D3C" w:rsidRPr="0081724A">
        <w:rPr>
          <w:rFonts w:cs="Arial"/>
          <w:rtl/>
        </w:rPr>
        <w:t xml:space="preserve">אבל גדול בשעת העמדה בדין </w:t>
      </w:r>
      <w:r w:rsidR="0081724A">
        <w:rPr>
          <w:rFonts w:cs="Arial" w:hint="cs"/>
          <w:rtl/>
        </w:rPr>
        <w:t xml:space="preserve">- </w:t>
      </w:r>
      <w:r w:rsidR="001F2D3C" w:rsidRPr="0081724A">
        <w:rPr>
          <w:rFonts w:cs="Arial"/>
          <w:rtl/>
        </w:rPr>
        <w:t>או ידע קודם בואו לדין או חקר אחר שתבעוהו לדין כיון דבר דעת הוא דינו כאחר כדמשמע בשמעתין שאין סותר אא</w:t>
      </w:r>
      <w:r w:rsidR="0081724A">
        <w:rPr>
          <w:rFonts w:cs="Arial" w:hint="cs"/>
          <w:rtl/>
        </w:rPr>
        <w:t>"</w:t>
      </w:r>
      <w:r w:rsidR="001F2D3C" w:rsidRPr="0081724A">
        <w:rPr>
          <w:rFonts w:cs="Arial"/>
          <w:rtl/>
        </w:rPr>
        <w:t>כ יודע שדסקיא היתה מופקדת ביד אחרים</w:t>
      </w:r>
      <w:r w:rsidR="0081724A">
        <w:rPr>
          <w:rStyle w:val="ab"/>
          <w:rFonts w:cs="Arial"/>
          <w:rtl/>
        </w:rPr>
        <w:footnoteReference w:id="1049"/>
      </w:r>
      <w:r w:rsidR="001F2D3C" w:rsidRPr="0081724A">
        <w:rPr>
          <w:rFonts w:cs="Arial"/>
          <w:rtl/>
        </w:rPr>
        <w:t xml:space="preserve">. </w:t>
      </w:r>
      <w:r w:rsidR="00711B3B" w:rsidRPr="00711B3B">
        <w:rPr>
          <w:rFonts w:hint="cs"/>
          <w:color w:val="00B0F0"/>
          <w:rtl/>
        </w:rPr>
        <w:t>(וכ"פ הרמ"א</w:t>
      </w:r>
      <w:r w:rsidR="00711B3B" w:rsidRPr="00711B3B">
        <w:rPr>
          <w:rFonts w:hint="cs"/>
          <w:color w:val="00B0F0"/>
          <w:sz w:val="16"/>
          <w:szCs w:val="16"/>
          <w:rtl/>
        </w:rPr>
        <w:t xml:space="preserve"> </w:t>
      </w:r>
      <w:r w:rsidR="00711B3B">
        <w:rPr>
          <w:rFonts w:hint="cs"/>
          <w:sz w:val="16"/>
          <w:szCs w:val="16"/>
          <w:rtl/>
        </w:rPr>
        <w:t>[עי' אורים סק"י]</w:t>
      </w:r>
      <w:r w:rsidR="00711B3B" w:rsidRPr="00711B3B">
        <w:rPr>
          <w:rFonts w:hint="cs"/>
          <w:color w:val="00B0F0"/>
          <w:rtl/>
        </w:rPr>
        <w:t>)</w:t>
      </w:r>
    </w:p>
    <w:p w14:paraId="6838246F" w14:textId="77777777" w:rsidR="00523C4A" w:rsidRPr="00523C4A" w:rsidRDefault="00523C4A" w:rsidP="00523C4A">
      <w:pPr>
        <w:rPr>
          <w:u w:val="single"/>
        </w:rPr>
      </w:pPr>
      <w:r w:rsidRPr="00523C4A">
        <w:rPr>
          <w:rFonts w:cs="Arial" w:hint="cs"/>
          <w:u w:val="single"/>
          <w:rtl/>
        </w:rPr>
        <w:t>קטן</w:t>
      </w:r>
      <w:r w:rsidRPr="00523C4A">
        <w:rPr>
          <w:rFonts w:cs="Arial"/>
          <w:u w:val="single"/>
          <w:rtl/>
        </w:rPr>
        <w:t xml:space="preserve"> </w:t>
      </w:r>
      <w:r w:rsidRPr="00523C4A">
        <w:rPr>
          <w:rFonts w:cs="Arial" w:hint="cs"/>
          <w:u w:val="single"/>
          <w:rtl/>
        </w:rPr>
        <w:t>ש</w:t>
      </w:r>
      <w:r w:rsidRPr="00523C4A">
        <w:rPr>
          <w:rFonts w:cs="Arial"/>
          <w:u w:val="single"/>
          <w:rtl/>
        </w:rPr>
        <w:t xml:space="preserve">היו </w:t>
      </w:r>
      <w:r w:rsidRPr="00523C4A">
        <w:rPr>
          <w:rFonts w:cs="Arial" w:hint="cs"/>
          <w:u w:val="single"/>
          <w:rtl/>
        </w:rPr>
        <w:t>ה</w:t>
      </w:r>
      <w:r w:rsidRPr="00523C4A">
        <w:rPr>
          <w:rFonts w:cs="Arial"/>
          <w:u w:val="single"/>
          <w:rtl/>
        </w:rPr>
        <w:t>שטרות של אביו ברשותו</w:t>
      </w:r>
      <w:r w:rsidRPr="00523C4A">
        <w:rPr>
          <w:rFonts w:cs="Arial" w:hint="cs"/>
          <w:u w:val="single"/>
          <w:rtl/>
        </w:rPr>
        <w:t>:</w:t>
      </w:r>
    </w:p>
    <w:p w14:paraId="4CDAB746" w14:textId="77777777" w:rsidR="00523C4A" w:rsidRDefault="00523C4A" w:rsidP="004B0475">
      <w:pPr>
        <w:pStyle w:val="ac"/>
        <w:numPr>
          <w:ilvl w:val="0"/>
          <w:numId w:val="26"/>
        </w:numPr>
      </w:pPr>
      <w:r w:rsidRPr="0066757C">
        <w:rPr>
          <w:rFonts w:cs="Arial"/>
          <w:rtl/>
        </w:rPr>
        <w:t xml:space="preserve">מרדכי </w:t>
      </w:r>
      <w:r w:rsidRPr="0066757C">
        <w:rPr>
          <w:rFonts w:cs="Arial"/>
          <w:sz w:val="16"/>
          <w:szCs w:val="16"/>
          <w:rtl/>
        </w:rPr>
        <w:t>(סי' תשו)</w:t>
      </w:r>
      <w:r>
        <w:rPr>
          <w:rFonts w:cs="Arial" w:hint="cs"/>
          <w:rtl/>
        </w:rPr>
        <w:t xml:space="preserve">- </w:t>
      </w:r>
      <w:r w:rsidRPr="00523C4A">
        <w:rPr>
          <w:rFonts w:cs="Arial"/>
          <w:rtl/>
        </w:rPr>
        <w:t>אע</w:t>
      </w:r>
      <w:r>
        <w:rPr>
          <w:rFonts w:cs="Arial" w:hint="cs"/>
          <w:rtl/>
        </w:rPr>
        <w:t>"</w:t>
      </w:r>
      <w:r w:rsidRPr="00523C4A">
        <w:rPr>
          <w:rFonts w:cs="Arial"/>
          <w:rtl/>
        </w:rPr>
        <w:t xml:space="preserve">ג דינוקא במילי דאבוה לא ידע מצינן למימר דאם היו שטרות של אביו ברשותו </w:t>
      </w:r>
      <w:r w:rsidR="00DC645A">
        <w:rPr>
          <w:rFonts w:cs="Arial" w:hint="cs"/>
          <w:rtl/>
        </w:rPr>
        <w:t xml:space="preserve">- </w:t>
      </w:r>
      <w:r w:rsidRPr="00523C4A">
        <w:rPr>
          <w:rFonts w:cs="Arial"/>
          <w:rtl/>
        </w:rPr>
        <w:t>דליכא למימר הכי</w:t>
      </w:r>
      <w:r>
        <w:rPr>
          <w:rFonts w:cs="Arial" w:hint="cs"/>
          <w:rtl/>
        </w:rPr>
        <w:t>,</w:t>
      </w:r>
      <w:r w:rsidRPr="00523C4A">
        <w:rPr>
          <w:rFonts w:cs="Arial"/>
          <w:rtl/>
        </w:rPr>
        <w:t xml:space="preserve"> דהוה ליה למידע מאחר שהיה ברשות</w:t>
      </w:r>
      <w:r w:rsidR="00C6349C">
        <w:rPr>
          <w:rFonts w:cs="Arial" w:hint="cs"/>
          <w:rtl/>
        </w:rPr>
        <w:t>ו,</w:t>
      </w:r>
      <w:r w:rsidRPr="00523C4A">
        <w:rPr>
          <w:rFonts w:cs="Arial"/>
          <w:rtl/>
        </w:rPr>
        <w:t xml:space="preserve"> ולא היה ליה למימר אין לי</w:t>
      </w:r>
      <w:r w:rsidR="00C6349C">
        <w:rPr>
          <w:rFonts w:cs="Arial" w:hint="cs"/>
          <w:rtl/>
        </w:rPr>
        <w:t>.</w:t>
      </w:r>
      <w:r w:rsidRPr="00523C4A">
        <w:rPr>
          <w:rFonts w:cs="Arial"/>
          <w:rtl/>
        </w:rPr>
        <w:t xml:space="preserve"> והיינו דאמרינן לקמן </w:t>
      </w:r>
      <w:r w:rsidR="00C6349C">
        <w:rPr>
          <w:rFonts w:cs="Arial" w:hint="cs"/>
          <w:rtl/>
        </w:rPr>
        <w:t>'</w:t>
      </w:r>
      <w:r w:rsidRPr="00523C4A">
        <w:rPr>
          <w:rFonts w:cs="Arial"/>
          <w:rtl/>
        </w:rPr>
        <w:t xml:space="preserve">או </w:t>
      </w:r>
      <w:r w:rsidRPr="00523C4A">
        <w:rPr>
          <w:rFonts w:cs="Arial"/>
          <w:rtl/>
        </w:rPr>
        <w:lastRenderedPageBreak/>
        <w:t>שהיתה דיסקיא של אביו מופקדת ביד אחר</w:t>
      </w:r>
      <w:r w:rsidR="00C6349C">
        <w:rPr>
          <w:rFonts w:cs="Arial" w:hint="cs"/>
          <w:rtl/>
        </w:rPr>
        <w:t>'</w:t>
      </w:r>
      <w:r w:rsidRPr="00523C4A">
        <w:rPr>
          <w:rFonts w:cs="Arial"/>
          <w:rtl/>
        </w:rPr>
        <w:t xml:space="preserve"> דהיינו כמו עדים</w:t>
      </w:r>
      <w:r>
        <w:rPr>
          <w:rFonts w:cs="Arial" w:hint="cs"/>
          <w:rtl/>
        </w:rPr>
        <w:t>,</w:t>
      </w:r>
      <w:r w:rsidRPr="00523C4A">
        <w:rPr>
          <w:rFonts w:cs="Arial"/>
          <w:rtl/>
        </w:rPr>
        <w:t xml:space="preserve"> אבל אם הניח לו כך וכך ברשותו כיון דאמר אין לי ראיה</w:t>
      </w:r>
      <w:r w:rsidR="008B0C77">
        <w:rPr>
          <w:rFonts w:cs="Arial" w:hint="cs"/>
          <w:rtl/>
        </w:rPr>
        <w:t xml:space="preserve"> -</w:t>
      </w:r>
      <w:r w:rsidRPr="00523C4A">
        <w:rPr>
          <w:rFonts w:cs="Arial"/>
          <w:rtl/>
        </w:rPr>
        <w:t xml:space="preserve"> שוב אינו מביא וסותר</w:t>
      </w:r>
      <w:r w:rsidR="008B0C77">
        <w:rPr>
          <w:rFonts w:cs="Arial" w:hint="cs"/>
          <w:rtl/>
        </w:rPr>
        <w:t>.</w:t>
      </w:r>
      <w:r w:rsidRPr="00523C4A">
        <w:rPr>
          <w:rFonts w:cs="Arial"/>
          <w:rtl/>
        </w:rPr>
        <w:t xml:space="preserve"> ואפילו הכי לא איתבריר ליה כולי האי</w:t>
      </w:r>
      <w:r w:rsidR="00DC645A">
        <w:rPr>
          <w:rFonts w:cs="Arial" w:hint="cs"/>
          <w:rtl/>
        </w:rPr>
        <w:t>,</w:t>
      </w:r>
      <w:r w:rsidRPr="00523C4A">
        <w:rPr>
          <w:rFonts w:cs="Arial"/>
          <w:rtl/>
        </w:rPr>
        <w:t xml:space="preserve"> ואני דנתי בעצמי לפני מורי וקבלה</w:t>
      </w:r>
      <w:r>
        <w:rPr>
          <w:rStyle w:val="ab"/>
          <w:rFonts w:cs="Arial"/>
          <w:rtl/>
        </w:rPr>
        <w:footnoteReference w:id="1050"/>
      </w:r>
      <w:r>
        <w:rPr>
          <w:rFonts w:cs="Arial" w:hint="cs"/>
          <w:rtl/>
        </w:rPr>
        <w:t>.</w:t>
      </w:r>
      <w:r w:rsidRPr="0066757C">
        <w:rPr>
          <w:rFonts w:cs="Arial"/>
          <w:rtl/>
        </w:rPr>
        <w:t xml:space="preserve"> </w:t>
      </w:r>
      <w:r w:rsidR="00B441C7" w:rsidRPr="00882ABB">
        <w:rPr>
          <w:rFonts w:hint="cs"/>
          <w:color w:val="00B0F0"/>
          <w:rtl/>
        </w:rPr>
        <w:t xml:space="preserve"> (וכ"פ הרמ"א)</w:t>
      </w:r>
    </w:p>
    <w:p w14:paraId="7DB5E96B" w14:textId="77777777" w:rsidR="00523C4A" w:rsidRPr="00523C4A" w:rsidRDefault="00523C4A" w:rsidP="00523C4A">
      <w:pPr>
        <w:rPr>
          <w:u w:val="single"/>
        </w:rPr>
      </w:pPr>
      <w:r w:rsidRPr="00523C4A">
        <w:rPr>
          <w:rFonts w:cs="Arial"/>
          <w:u w:val="single"/>
          <w:rtl/>
        </w:rPr>
        <w:t>גדול</w:t>
      </w:r>
      <w:r w:rsidRPr="00523C4A">
        <w:rPr>
          <w:rFonts w:cs="Arial" w:hint="cs"/>
          <w:u w:val="single"/>
          <w:rtl/>
        </w:rPr>
        <w:t xml:space="preserve"> שהביא</w:t>
      </w:r>
      <w:r w:rsidRPr="00523C4A">
        <w:rPr>
          <w:rFonts w:cs="Arial"/>
          <w:u w:val="single"/>
          <w:rtl/>
        </w:rPr>
        <w:t xml:space="preserve"> עדים שלא ידע מתחלה באותם עדים</w:t>
      </w:r>
      <w:r w:rsidRPr="00523C4A">
        <w:rPr>
          <w:rFonts w:cs="Arial" w:hint="cs"/>
          <w:u w:val="single"/>
          <w:rtl/>
        </w:rPr>
        <w:t>:</w:t>
      </w:r>
    </w:p>
    <w:p w14:paraId="46C8AAC7" w14:textId="77777777" w:rsidR="00523C4A" w:rsidRDefault="00523C4A" w:rsidP="004B0475">
      <w:pPr>
        <w:pStyle w:val="ac"/>
        <w:numPr>
          <w:ilvl w:val="0"/>
          <w:numId w:val="26"/>
        </w:numPr>
      </w:pPr>
      <w:r w:rsidRPr="0066757C">
        <w:rPr>
          <w:rFonts w:cs="Arial"/>
          <w:rtl/>
        </w:rPr>
        <w:t xml:space="preserve">מרדכי </w:t>
      </w:r>
      <w:r w:rsidRPr="0066757C">
        <w:rPr>
          <w:rFonts w:cs="Arial"/>
          <w:sz w:val="16"/>
          <w:szCs w:val="16"/>
          <w:rtl/>
        </w:rPr>
        <w:t>(סי' תשו)</w:t>
      </w:r>
      <w:r>
        <w:rPr>
          <w:rFonts w:cs="Arial" w:hint="cs"/>
          <w:rtl/>
        </w:rPr>
        <w:t xml:space="preserve"> </w:t>
      </w:r>
      <w:r w:rsidRPr="0066757C">
        <w:rPr>
          <w:rFonts w:cs="Arial"/>
          <w:rtl/>
        </w:rPr>
        <w:t>בשם ספר חפץ</w:t>
      </w:r>
      <w:r>
        <w:rPr>
          <w:rFonts w:cs="Arial" w:hint="cs"/>
          <w:rtl/>
        </w:rPr>
        <w:t xml:space="preserve">- </w:t>
      </w:r>
      <w:r w:rsidRPr="0066757C">
        <w:rPr>
          <w:rFonts w:cs="Arial"/>
          <w:rtl/>
        </w:rPr>
        <w:t xml:space="preserve">אם הביא הגדול עדים שלא ידע מתחלה באותם עדים </w:t>
      </w:r>
      <w:r w:rsidR="008B0C77">
        <w:rPr>
          <w:rFonts w:cs="Arial" w:hint="cs"/>
          <w:rtl/>
        </w:rPr>
        <w:t xml:space="preserve">- </w:t>
      </w:r>
      <w:r w:rsidRPr="0066757C">
        <w:rPr>
          <w:rFonts w:cs="Arial"/>
          <w:rtl/>
        </w:rPr>
        <w:t>דינו כקטן</w:t>
      </w:r>
      <w:r>
        <w:rPr>
          <w:rFonts w:cs="Arial" w:hint="cs"/>
          <w:rtl/>
        </w:rPr>
        <w:t>.</w:t>
      </w:r>
      <w:r w:rsidR="00B441C7" w:rsidRPr="00882ABB">
        <w:rPr>
          <w:rFonts w:hint="cs"/>
          <w:color w:val="00B0F0"/>
          <w:rtl/>
        </w:rPr>
        <w:t xml:space="preserve"> (וכ"פ הרמ"א)</w:t>
      </w:r>
    </w:p>
    <w:p w14:paraId="1B4C6658" w14:textId="77777777" w:rsidR="0066757C" w:rsidRPr="0066757C" w:rsidRDefault="0066757C" w:rsidP="0066757C">
      <w:pPr>
        <w:rPr>
          <w:u w:val="single"/>
        </w:rPr>
      </w:pPr>
      <w:r w:rsidRPr="0066757C">
        <w:rPr>
          <w:rFonts w:hint="cs"/>
          <w:u w:val="single"/>
          <w:rtl/>
        </w:rPr>
        <w:t>ראובן תבע לשמעון</w:t>
      </w:r>
      <w:r w:rsidR="00B17DFA">
        <w:rPr>
          <w:rFonts w:hint="cs"/>
          <w:u w:val="single"/>
          <w:rtl/>
        </w:rPr>
        <w:t>,</w:t>
      </w:r>
      <w:r w:rsidRPr="0066757C">
        <w:rPr>
          <w:rFonts w:hint="cs"/>
          <w:u w:val="single"/>
          <w:rtl/>
        </w:rPr>
        <w:t xml:space="preserve"> וביקש ראובן זמן מב"ד ועבר הזמן ולא הביא</w:t>
      </w:r>
      <w:r w:rsidR="00B17DFA">
        <w:rPr>
          <w:rFonts w:hint="cs"/>
          <w:u w:val="single"/>
          <w:rtl/>
        </w:rPr>
        <w:t>,</w:t>
      </w:r>
      <w:r w:rsidRPr="0066757C">
        <w:rPr>
          <w:rFonts w:hint="cs"/>
          <w:u w:val="single"/>
          <w:rtl/>
        </w:rPr>
        <w:t xml:space="preserve"> וכשרצו ב"ד לפסוק טען ראובן שנתן זכותו ללוי:</w:t>
      </w:r>
    </w:p>
    <w:p w14:paraId="5CFEED79" w14:textId="77777777" w:rsidR="0066757C" w:rsidRDefault="001F2D3C" w:rsidP="004B0475">
      <w:pPr>
        <w:pStyle w:val="ac"/>
        <w:numPr>
          <w:ilvl w:val="0"/>
          <w:numId w:val="26"/>
        </w:numPr>
      </w:pPr>
      <w:r w:rsidRPr="0066757C">
        <w:rPr>
          <w:rFonts w:cs="Arial"/>
          <w:rtl/>
        </w:rPr>
        <w:t xml:space="preserve">רשב"א </w:t>
      </w:r>
      <w:r w:rsidRPr="0066757C">
        <w:rPr>
          <w:rFonts w:cs="Arial"/>
          <w:sz w:val="16"/>
          <w:szCs w:val="16"/>
          <w:rtl/>
        </w:rPr>
        <w:t>(ח"ב סי' קצב)</w:t>
      </w:r>
      <w:r w:rsidR="0066757C">
        <w:rPr>
          <w:rFonts w:cs="Arial" w:hint="cs"/>
          <w:rtl/>
        </w:rPr>
        <w:t>-</w:t>
      </w:r>
      <w:r w:rsidRPr="0066757C">
        <w:rPr>
          <w:rFonts w:cs="Arial"/>
          <w:rtl/>
        </w:rPr>
        <w:t xml:space="preserve"> ש</w:t>
      </w:r>
      <w:r w:rsidR="0066757C">
        <w:rPr>
          <w:rFonts w:cs="Arial" w:hint="cs"/>
          <w:rtl/>
        </w:rPr>
        <w:t>אלת,</w:t>
      </w:r>
      <w:r w:rsidRPr="0066757C">
        <w:rPr>
          <w:rFonts w:cs="Arial"/>
          <w:rtl/>
        </w:rPr>
        <w:t xml:space="preserve"> ראובן שתבע משמעון שיחלוק עמו קרקע שהיה לאביהם והוא מוחזק עכשיו ביד שמעון</w:t>
      </w:r>
      <w:r w:rsidR="00B17DFA">
        <w:rPr>
          <w:rFonts w:cs="Arial" w:hint="cs"/>
          <w:rtl/>
        </w:rPr>
        <w:t>.</w:t>
      </w:r>
      <w:r w:rsidRPr="0066757C">
        <w:rPr>
          <w:rFonts w:cs="Arial"/>
          <w:rtl/>
        </w:rPr>
        <w:t xml:space="preserve"> וטען שמעון שהוא שלו</w:t>
      </w:r>
      <w:r w:rsidR="00B17DFA">
        <w:rPr>
          <w:rFonts w:cs="Arial" w:hint="cs"/>
          <w:rtl/>
        </w:rPr>
        <w:t>.</w:t>
      </w:r>
      <w:r w:rsidRPr="0066757C">
        <w:rPr>
          <w:rFonts w:cs="Arial"/>
          <w:rtl/>
        </w:rPr>
        <w:t xml:space="preserve"> וטענו בפני ב"ד</w:t>
      </w:r>
      <w:r w:rsidR="00B17DFA">
        <w:rPr>
          <w:rFonts w:cs="Arial" w:hint="cs"/>
          <w:rtl/>
        </w:rPr>
        <w:t>.</w:t>
      </w:r>
      <w:r w:rsidRPr="0066757C">
        <w:rPr>
          <w:rFonts w:cs="Arial"/>
          <w:rtl/>
        </w:rPr>
        <w:t xml:space="preserve"> ועוד תבע ראובן מב</w:t>
      </w:r>
      <w:r w:rsidR="0066757C">
        <w:rPr>
          <w:rFonts w:cs="Arial" w:hint="cs"/>
          <w:rtl/>
        </w:rPr>
        <w:t>"</w:t>
      </w:r>
      <w:r w:rsidRPr="0066757C">
        <w:rPr>
          <w:rFonts w:cs="Arial"/>
          <w:rtl/>
        </w:rPr>
        <w:t>ד זמן להביא עוד ראיה</w:t>
      </w:r>
      <w:r w:rsidR="00B17DFA">
        <w:rPr>
          <w:rFonts w:cs="Arial" w:hint="cs"/>
          <w:rtl/>
        </w:rPr>
        <w:t>,</w:t>
      </w:r>
      <w:r w:rsidRPr="0066757C">
        <w:rPr>
          <w:rFonts w:cs="Arial"/>
          <w:rtl/>
        </w:rPr>
        <w:t xml:space="preserve"> ונתנו לו</w:t>
      </w:r>
      <w:r w:rsidR="00B17DFA">
        <w:rPr>
          <w:rFonts w:cs="Arial" w:hint="cs"/>
          <w:rtl/>
        </w:rPr>
        <w:t>,</w:t>
      </w:r>
      <w:r w:rsidRPr="0066757C">
        <w:rPr>
          <w:rFonts w:cs="Arial"/>
          <w:rtl/>
        </w:rPr>
        <w:t xml:space="preserve"> וחייבוהו להביא כל ראיות שיש לו עד אותו זמן ואם לא יביא שבטלו זכיותיו</w:t>
      </w:r>
      <w:r w:rsidR="0066757C">
        <w:rPr>
          <w:rFonts w:cs="Arial" w:hint="cs"/>
          <w:rtl/>
        </w:rPr>
        <w:t>,</w:t>
      </w:r>
      <w:r w:rsidRPr="0066757C">
        <w:rPr>
          <w:rFonts w:cs="Arial"/>
          <w:rtl/>
        </w:rPr>
        <w:t xml:space="preserve"> וקבל</w:t>
      </w:r>
      <w:r w:rsidR="00B17DFA">
        <w:rPr>
          <w:rFonts w:cs="Arial" w:hint="cs"/>
          <w:rtl/>
        </w:rPr>
        <w:t>.</w:t>
      </w:r>
      <w:r w:rsidRPr="0066757C">
        <w:rPr>
          <w:rFonts w:cs="Arial"/>
          <w:rtl/>
        </w:rPr>
        <w:t xml:space="preserve"> ועבר הזמן ולא הביא</w:t>
      </w:r>
      <w:r w:rsidR="00B17DFA">
        <w:rPr>
          <w:rFonts w:cs="Arial" w:hint="cs"/>
          <w:rtl/>
        </w:rPr>
        <w:t>.</w:t>
      </w:r>
      <w:r w:rsidRPr="0066757C">
        <w:rPr>
          <w:rFonts w:cs="Arial"/>
          <w:rtl/>
        </w:rPr>
        <w:t xml:space="preserve"> וכשרצו ב</w:t>
      </w:r>
      <w:r w:rsidR="0066757C">
        <w:rPr>
          <w:rFonts w:cs="Arial" w:hint="cs"/>
          <w:rtl/>
        </w:rPr>
        <w:t>"</w:t>
      </w:r>
      <w:r w:rsidRPr="0066757C">
        <w:rPr>
          <w:rFonts w:cs="Arial"/>
          <w:rtl/>
        </w:rPr>
        <w:t>ד לפסוק הדין ע</w:t>
      </w:r>
      <w:r w:rsidR="0066757C">
        <w:rPr>
          <w:rFonts w:cs="Arial" w:hint="cs"/>
          <w:rtl/>
        </w:rPr>
        <w:t>"</w:t>
      </w:r>
      <w:r w:rsidRPr="0066757C">
        <w:rPr>
          <w:rFonts w:cs="Arial"/>
          <w:rtl/>
        </w:rPr>
        <w:t xml:space="preserve">פ טענותיהם וראיותיהם הראשונות טען ראובן שנתן זכותו ללוי ואין להם לפסוק הדין שלא בפניו. </w:t>
      </w:r>
      <w:r w:rsidR="0066757C">
        <w:rPr>
          <w:rFonts w:cs="Arial" w:hint="cs"/>
          <w:rtl/>
        </w:rPr>
        <w:t xml:space="preserve">תשובה, </w:t>
      </w:r>
      <w:r w:rsidRPr="0066757C">
        <w:rPr>
          <w:rFonts w:cs="Arial"/>
          <w:rtl/>
        </w:rPr>
        <w:t>אע</w:t>
      </w:r>
      <w:r w:rsidR="0066757C">
        <w:rPr>
          <w:rFonts w:cs="Arial" w:hint="cs"/>
          <w:rtl/>
        </w:rPr>
        <w:t>"</w:t>
      </w:r>
      <w:r w:rsidRPr="0066757C">
        <w:rPr>
          <w:rFonts w:cs="Arial"/>
          <w:rtl/>
        </w:rPr>
        <w:t>פ שב</w:t>
      </w:r>
      <w:r w:rsidR="0066757C">
        <w:rPr>
          <w:rFonts w:cs="Arial" w:hint="cs"/>
          <w:rtl/>
        </w:rPr>
        <w:t>"</w:t>
      </w:r>
      <w:r w:rsidRPr="0066757C">
        <w:rPr>
          <w:rFonts w:cs="Arial"/>
          <w:rtl/>
        </w:rPr>
        <w:t>ד קובעים זמן להביא כל ראיות שלו</w:t>
      </w:r>
      <w:r w:rsidR="00B17DFA">
        <w:rPr>
          <w:rFonts w:cs="Arial" w:hint="cs"/>
          <w:rtl/>
        </w:rPr>
        <w:t>,</w:t>
      </w:r>
      <w:r w:rsidRPr="0066757C">
        <w:rPr>
          <w:rFonts w:cs="Arial"/>
          <w:rtl/>
        </w:rPr>
        <w:t xml:space="preserve"> אם לא מצא בתוך הזמן ומצא לאחר זמן </w:t>
      </w:r>
      <w:r w:rsidR="00B17DFA">
        <w:rPr>
          <w:rFonts w:cs="Arial" w:hint="cs"/>
          <w:rtl/>
        </w:rPr>
        <w:t xml:space="preserve">- </w:t>
      </w:r>
      <w:r w:rsidRPr="0066757C">
        <w:rPr>
          <w:rFonts w:cs="Arial"/>
          <w:rtl/>
        </w:rPr>
        <w:t>כל זמן שמביא ראיה סותר הדין</w:t>
      </w:r>
      <w:r w:rsidR="00B17DFA">
        <w:rPr>
          <w:rFonts w:cs="Arial" w:hint="cs"/>
          <w:rtl/>
        </w:rPr>
        <w:t>,</w:t>
      </w:r>
      <w:r w:rsidRPr="0066757C">
        <w:rPr>
          <w:rFonts w:cs="Arial"/>
          <w:rtl/>
        </w:rPr>
        <w:t xml:space="preserve"> ואפילו התפיס זכותיה בבית דין ואמר אי לא אתינא עד זמן פלוני ליבטלן זכוותי</w:t>
      </w:r>
      <w:r w:rsidR="00B17DFA">
        <w:rPr>
          <w:rFonts w:cs="Arial" w:hint="cs"/>
          <w:rtl/>
        </w:rPr>
        <w:t>,</w:t>
      </w:r>
      <w:r w:rsidRPr="0066757C">
        <w:rPr>
          <w:rFonts w:cs="Arial"/>
          <w:rtl/>
        </w:rPr>
        <w:t xml:space="preserve"> הא אסיקנא בפרק ארבעה נדרים </w:t>
      </w:r>
      <w:r w:rsidRPr="0066757C">
        <w:rPr>
          <w:rFonts w:cs="Arial"/>
          <w:sz w:val="16"/>
          <w:szCs w:val="16"/>
          <w:rtl/>
        </w:rPr>
        <w:t xml:space="preserve">(נדרים כז:) </w:t>
      </w:r>
      <w:r w:rsidRPr="0066757C">
        <w:rPr>
          <w:rFonts w:cs="Arial"/>
          <w:rtl/>
        </w:rPr>
        <w:t>והוא דקנו בבית דין חשוב</w:t>
      </w:r>
      <w:r w:rsidR="0066757C">
        <w:rPr>
          <w:rFonts w:cs="Arial" w:hint="cs"/>
          <w:rtl/>
        </w:rPr>
        <w:t>,</w:t>
      </w:r>
      <w:r w:rsidRPr="0066757C">
        <w:rPr>
          <w:rFonts w:cs="Arial"/>
          <w:rtl/>
        </w:rPr>
        <w:t xml:space="preserve"> כלומר דאלימי לאפקועי ממונא</w:t>
      </w:r>
      <w:r w:rsidR="0066757C">
        <w:rPr>
          <w:rFonts w:cs="Arial" w:hint="cs"/>
          <w:rtl/>
        </w:rPr>
        <w:t>,</w:t>
      </w:r>
      <w:r w:rsidRPr="0066757C">
        <w:rPr>
          <w:rFonts w:cs="Arial"/>
          <w:rtl/>
        </w:rPr>
        <w:t xml:space="preserve"> </w:t>
      </w:r>
      <w:r w:rsidR="0066757C">
        <w:rPr>
          <w:rFonts w:cs="Arial" w:hint="cs"/>
          <w:rtl/>
        </w:rPr>
        <w:t>הל</w:t>
      </w:r>
      <w:r w:rsidRPr="0066757C">
        <w:rPr>
          <w:rFonts w:cs="Arial"/>
          <w:rtl/>
        </w:rPr>
        <w:t>א</w:t>
      </w:r>
      <w:r w:rsidR="0066757C">
        <w:rPr>
          <w:rFonts w:cs="Arial" w:hint="cs"/>
          <w:rtl/>
        </w:rPr>
        <w:t>"</w:t>
      </w:r>
      <w:r w:rsidRPr="0066757C">
        <w:rPr>
          <w:rFonts w:cs="Arial"/>
          <w:rtl/>
        </w:rPr>
        <w:t>ה לא קנה וא</w:t>
      </w:r>
      <w:r w:rsidR="0066757C">
        <w:rPr>
          <w:rFonts w:cs="Arial" w:hint="cs"/>
          <w:rtl/>
        </w:rPr>
        <w:t>ע"</w:t>
      </w:r>
      <w:r w:rsidRPr="0066757C">
        <w:rPr>
          <w:rFonts w:cs="Arial"/>
          <w:rtl/>
        </w:rPr>
        <w:t>ג דאמר מעכשיו</w:t>
      </w:r>
      <w:r w:rsidR="00B17DFA">
        <w:rPr>
          <w:rFonts w:cs="Arial" w:hint="cs"/>
          <w:rtl/>
        </w:rPr>
        <w:t>.</w:t>
      </w:r>
      <w:r w:rsidRPr="0066757C">
        <w:rPr>
          <w:rFonts w:cs="Arial"/>
          <w:rtl/>
        </w:rPr>
        <w:t xml:space="preserve"> ולפיכך בין ראובן בין לוי זה מקבל מתנתו </w:t>
      </w:r>
      <w:r w:rsidR="00B17DFA">
        <w:rPr>
          <w:rFonts w:cs="Arial" w:hint="cs"/>
          <w:rtl/>
        </w:rPr>
        <w:t xml:space="preserve">- </w:t>
      </w:r>
      <w:r w:rsidRPr="0066757C">
        <w:rPr>
          <w:rFonts w:cs="Arial"/>
          <w:rtl/>
        </w:rPr>
        <w:t>כל זמן שמביאין ראיה סותרים את הדין</w:t>
      </w:r>
      <w:r w:rsidR="00261803">
        <w:rPr>
          <w:rStyle w:val="ab"/>
          <w:rFonts w:asciiTheme="minorBidi" w:hAnsiTheme="minorBidi"/>
          <w:rtl/>
        </w:rPr>
        <w:footnoteReference w:id="1051"/>
      </w:r>
      <w:r w:rsidRPr="0066757C">
        <w:rPr>
          <w:rFonts w:cs="Arial"/>
          <w:rtl/>
        </w:rPr>
        <w:t>. ולפסוק הדין ע</w:t>
      </w:r>
      <w:r w:rsidR="0066757C">
        <w:rPr>
          <w:rFonts w:cs="Arial" w:hint="cs"/>
          <w:rtl/>
        </w:rPr>
        <w:t>"</w:t>
      </w:r>
      <w:r w:rsidRPr="0066757C">
        <w:rPr>
          <w:rFonts w:cs="Arial"/>
          <w:rtl/>
        </w:rPr>
        <w:t>פ טענות הראשונות שלא בפני לוי</w:t>
      </w:r>
      <w:r w:rsidR="00B17DFA">
        <w:rPr>
          <w:rFonts w:cs="Arial" w:hint="cs"/>
          <w:rtl/>
        </w:rPr>
        <w:t>,</w:t>
      </w:r>
      <w:r w:rsidRPr="0066757C">
        <w:rPr>
          <w:rFonts w:cs="Arial"/>
          <w:rtl/>
        </w:rPr>
        <w:t xml:space="preserve"> מסתברא שכל זמן שלוי במקום קרוב שולחין לו</w:t>
      </w:r>
      <w:r w:rsidR="00B17DFA">
        <w:rPr>
          <w:rFonts w:cs="Arial" w:hint="cs"/>
          <w:rtl/>
        </w:rPr>
        <w:t>.</w:t>
      </w:r>
      <w:r w:rsidRPr="0066757C">
        <w:rPr>
          <w:rFonts w:cs="Arial"/>
          <w:rtl/>
        </w:rPr>
        <w:t xml:space="preserve"> אם לא בא</w:t>
      </w:r>
      <w:r w:rsidR="00B17DFA">
        <w:rPr>
          <w:rFonts w:cs="Arial" w:hint="cs"/>
          <w:rtl/>
        </w:rPr>
        <w:t>,</w:t>
      </w:r>
      <w:r w:rsidRPr="0066757C">
        <w:rPr>
          <w:rFonts w:cs="Arial"/>
          <w:rtl/>
        </w:rPr>
        <w:t xml:space="preserve"> או שבא ואמר תנו לי זמן שאביא ראיה </w:t>
      </w:r>
      <w:r w:rsidR="00B17DFA">
        <w:rPr>
          <w:rFonts w:cs="Arial" w:hint="cs"/>
          <w:rtl/>
        </w:rPr>
        <w:t xml:space="preserve">- </w:t>
      </w:r>
      <w:r w:rsidRPr="0066757C">
        <w:rPr>
          <w:rFonts w:cs="Arial"/>
          <w:rtl/>
        </w:rPr>
        <w:t>אין שומעין לו</w:t>
      </w:r>
      <w:r w:rsidR="00B17DFA">
        <w:rPr>
          <w:rFonts w:cs="Arial" w:hint="cs"/>
          <w:rtl/>
        </w:rPr>
        <w:t>,</w:t>
      </w:r>
      <w:r w:rsidRPr="0066757C">
        <w:rPr>
          <w:rFonts w:cs="Arial"/>
          <w:rtl/>
        </w:rPr>
        <w:t xml:space="preserve"> דלא עדיף מגברא דאתי מחמתיה</w:t>
      </w:r>
      <w:r w:rsidR="00B17DFA">
        <w:rPr>
          <w:rFonts w:cs="Arial" w:hint="cs"/>
          <w:rtl/>
        </w:rPr>
        <w:t>,</w:t>
      </w:r>
      <w:r w:rsidRPr="0066757C">
        <w:rPr>
          <w:rFonts w:cs="Arial"/>
          <w:rtl/>
        </w:rPr>
        <w:t xml:space="preserve"> אלא פוסקין את הדין ואפילו שלא בפניו</w:t>
      </w:r>
      <w:r w:rsidR="00B17DFA">
        <w:rPr>
          <w:rFonts w:cs="Arial" w:hint="cs"/>
          <w:rtl/>
        </w:rPr>
        <w:t>.</w:t>
      </w:r>
      <w:r w:rsidRPr="0066757C">
        <w:rPr>
          <w:rFonts w:cs="Arial"/>
          <w:rtl/>
        </w:rPr>
        <w:t xml:space="preserve"> ואע</w:t>
      </w:r>
      <w:r w:rsidR="0066757C">
        <w:rPr>
          <w:rFonts w:cs="Arial" w:hint="cs"/>
          <w:rtl/>
        </w:rPr>
        <w:t>"</w:t>
      </w:r>
      <w:r w:rsidRPr="0066757C">
        <w:rPr>
          <w:rFonts w:cs="Arial"/>
          <w:rtl/>
        </w:rPr>
        <w:t>פ שנחלקו רבנן ורבי יעקב ב</w:t>
      </w:r>
      <w:r w:rsidR="0066757C">
        <w:rPr>
          <w:rFonts w:cs="Arial" w:hint="cs"/>
          <w:rtl/>
        </w:rPr>
        <w:t>ס"פ</w:t>
      </w:r>
      <w:r w:rsidRPr="0066757C">
        <w:rPr>
          <w:rFonts w:cs="Arial"/>
          <w:rtl/>
        </w:rPr>
        <w:t xml:space="preserve"> ארבעה וחמשה </w:t>
      </w:r>
      <w:r w:rsidRPr="0066757C">
        <w:rPr>
          <w:rFonts w:cs="Arial"/>
          <w:sz w:val="16"/>
          <w:szCs w:val="16"/>
          <w:rtl/>
        </w:rPr>
        <w:t xml:space="preserve">(ב"ק מה.) </w:t>
      </w:r>
      <w:r w:rsidRPr="0066757C">
        <w:rPr>
          <w:rFonts w:cs="Arial"/>
          <w:rtl/>
        </w:rPr>
        <w:t>דרבנן סברי אין גומרין דינו של שור שלא בפניו הנ</w:t>
      </w:r>
      <w:r w:rsidR="0066757C">
        <w:rPr>
          <w:rFonts w:cs="Arial" w:hint="cs"/>
          <w:rtl/>
        </w:rPr>
        <w:t>"</w:t>
      </w:r>
      <w:r w:rsidRPr="0066757C">
        <w:rPr>
          <w:rFonts w:cs="Arial"/>
          <w:rtl/>
        </w:rPr>
        <w:t xml:space="preserve">מ בדינו של שור ומשום דכתיב </w:t>
      </w:r>
      <w:r w:rsidRPr="0066757C">
        <w:rPr>
          <w:rFonts w:cs="Arial"/>
          <w:sz w:val="16"/>
          <w:szCs w:val="16"/>
          <w:rtl/>
        </w:rPr>
        <w:t xml:space="preserve">(שמות כא כט) </w:t>
      </w:r>
      <w:r w:rsidRPr="0066757C">
        <w:rPr>
          <w:rFonts w:cs="Arial"/>
          <w:rtl/>
        </w:rPr>
        <w:t>וגם בעליו יומת כמיתת הבעלים כך מיתת השור דגזירת הכתוב הוא אבל בממונא בעלמא מה איכפת לן הא כל זמן שמביא ראיה סותר הדין</w:t>
      </w:r>
      <w:r w:rsidR="00B17DFA">
        <w:rPr>
          <w:rFonts w:cs="Arial" w:hint="cs"/>
          <w:rtl/>
        </w:rPr>
        <w:t>.</w:t>
      </w:r>
      <w:r w:rsidRPr="0066757C">
        <w:rPr>
          <w:rFonts w:cs="Arial"/>
          <w:rtl/>
        </w:rPr>
        <w:t xml:space="preserve"> הילכך חותכין דינו ושומעין דבריו למחר אם יביא ראיות יסתור הדין</w:t>
      </w:r>
      <w:r w:rsidR="0066757C">
        <w:rPr>
          <w:rFonts w:cs="Arial" w:hint="cs"/>
          <w:rtl/>
        </w:rPr>
        <w:t>,</w:t>
      </w:r>
      <w:r w:rsidRPr="0066757C">
        <w:rPr>
          <w:rFonts w:cs="Arial"/>
          <w:rtl/>
        </w:rPr>
        <w:t xml:space="preserve"> וכן דעת בהעי</w:t>
      </w:r>
      <w:r w:rsidR="0066757C">
        <w:rPr>
          <w:rFonts w:cs="Arial" w:hint="cs"/>
          <w:rtl/>
        </w:rPr>
        <w:t>"</w:t>
      </w:r>
      <w:r w:rsidRPr="0066757C">
        <w:rPr>
          <w:rFonts w:cs="Arial"/>
          <w:rtl/>
        </w:rPr>
        <w:t xml:space="preserve">ט </w:t>
      </w:r>
      <w:r w:rsidRPr="0066757C">
        <w:rPr>
          <w:rFonts w:cs="Arial"/>
          <w:sz w:val="16"/>
          <w:szCs w:val="16"/>
          <w:rtl/>
        </w:rPr>
        <w:t>(אות ק קבלת עדות נו:)</w:t>
      </w:r>
      <w:r w:rsidR="0066757C">
        <w:rPr>
          <w:rStyle w:val="ab"/>
          <w:rFonts w:cs="Arial"/>
          <w:rtl/>
        </w:rPr>
        <w:footnoteReference w:id="1052"/>
      </w:r>
      <w:r w:rsidR="0066757C">
        <w:rPr>
          <w:rFonts w:cs="Arial" w:hint="cs"/>
          <w:rtl/>
        </w:rPr>
        <w:t>.</w:t>
      </w:r>
      <w:r w:rsidRPr="0066757C">
        <w:rPr>
          <w:rFonts w:cs="Arial"/>
          <w:rtl/>
        </w:rPr>
        <w:t xml:space="preserve"> </w:t>
      </w:r>
    </w:p>
    <w:p w14:paraId="3AE91AF1" w14:textId="77777777" w:rsidR="0066757C" w:rsidRPr="0066757C" w:rsidRDefault="0066757C" w:rsidP="0066757C">
      <w:pPr>
        <w:rPr>
          <w:u w:val="single"/>
        </w:rPr>
      </w:pPr>
      <w:r w:rsidRPr="0066757C">
        <w:rPr>
          <w:rFonts w:cs="Arial"/>
          <w:u w:val="single"/>
          <w:rtl/>
        </w:rPr>
        <w:t>אחד שהודה שהכותל של שכנגדו</w:t>
      </w:r>
      <w:r w:rsidRPr="0066757C">
        <w:rPr>
          <w:rFonts w:cs="Arial" w:hint="cs"/>
          <w:u w:val="single"/>
          <w:rtl/>
        </w:rPr>
        <w:t>,</w:t>
      </w:r>
      <w:r w:rsidRPr="0066757C">
        <w:rPr>
          <w:rFonts w:cs="Arial"/>
          <w:u w:val="single"/>
          <w:rtl/>
        </w:rPr>
        <w:t xml:space="preserve"> ועכשיו טוען שאמרו לו שהוא של מורישו</w:t>
      </w:r>
      <w:r w:rsidRPr="0066757C">
        <w:rPr>
          <w:rFonts w:cs="Arial" w:hint="cs"/>
          <w:u w:val="single"/>
          <w:rtl/>
        </w:rPr>
        <w:t>:</w:t>
      </w:r>
    </w:p>
    <w:p w14:paraId="1BBB5D2E" w14:textId="77777777" w:rsidR="00523C4A" w:rsidRDefault="00523C4A" w:rsidP="004B0475">
      <w:pPr>
        <w:pStyle w:val="ac"/>
        <w:numPr>
          <w:ilvl w:val="0"/>
          <w:numId w:val="26"/>
        </w:numPr>
      </w:pPr>
      <w:r w:rsidRPr="0066757C">
        <w:rPr>
          <w:rFonts w:cs="Arial"/>
          <w:rtl/>
        </w:rPr>
        <w:t xml:space="preserve">מרדכי </w:t>
      </w:r>
      <w:r w:rsidRPr="0066757C">
        <w:rPr>
          <w:rFonts w:cs="Arial"/>
          <w:sz w:val="16"/>
          <w:szCs w:val="16"/>
          <w:rtl/>
        </w:rPr>
        <w:t>(סי' תשו)</w:t>
      </w:r>
      <w:r>
        <w:rPr>
          <w:rFonts w:cs="Arial" w:hint="cs"/>
          <w:rtl/>
        </w:rPr>
        <w:t xml:space="preserve"> ו</w:t>
      </w:r>
      <w:r w:rsidR="001F2D3C" w:rsidRPr="0066757C">
        <w:rPr>
          <w:rFonts w:cs="Arial"/>
          <w:rtl/>
        </w:rPr>
        <w:t>תשו</w:t>
      </w:r>
      <w:r w:rsidR="0066757C">
        <w:rPr>
          <w:rFonts w:cs="Arial" w:hint="cs"/>
          <w:rtl/>
        </w:rPr>
        <w:t>'</w:t>
      </w:r>
      <w:r w:rsidR="001F2D3C" w:rsidRPr="0066757C">
        <w:rPr>
          <w:rFonts w:cs="Arial"/>
          <w:rtl/>
        </w:rPr>
        <w:t xml:space="preserve"> מיימון </w:t>
      </w:r>
      <w:r w:rsidR="0066757C" w:rsidRPr="0066757C">
        <w:rPr>
          <w:rFonts w:cs="Arial" w:hint="cs"/>
          <w:sz w:val="16"/>
          <w:szCs w:val="16"/>
          <w:rtl/>
        </w:rPr>
        <w:t>(</w:t>
      </w:r>
      <w:r w:rsidR="001F2D3C" w:rsidRPr="0066757C">
        <w:rPr>
          <w:rFonts w:cs="Arial"/>
          <w:sz w:val="16"/>
          <w:szCs w:val="16"/>
          <w:rtl/>
        </w:rPr>
        <w:t>ספר משפטים סי</w:t>
      </w:r>
      <w:r w:rsidR="0066757C" w:rsidRPr="0066757C">
        <w:rPr>
          <w:rFonts w:cs="Arial" w:hint="cs"/>
          <w:sz w:val="16"/>
          <w:szCs w:val="16"/>
          <w:rtl/>
        </w:rPr>
        <w:t>'</w:t>
      </w:r>
      <w:r w:rsidR="001F2D3C" w:rsidRPr="0066757C">
        <w:rPr>
          <w:rFonts w:cs="Arial"/>
          <w:sz w:val="16"/>
          <w:szCs w:val="16"/>
          <w:rtl/>
        </w:rPr>
        <w:t xml:space="preserve"> נ</w:t>
      </w:r>
      <w:r w:rsidR="0066757C" w:rsidRPr="0066757C">
        <w:rPr>
          <w:rFonts w:cs="Arial" w:hint="cs"/>
          <w:sz w:val="16"/>
          <w:szCs w:val="16"/>
          <w:rtl/>
        </w:rPr>
        <w:t>)</w:t>
      </w:r>
      <w:r w:rsidR="0066757C">
        <w:rPr>
          <w:rFonts w:cs="Arial" w:hint="cs"/>
          <w:rtl/>
        </w:rPr>
        <w:t>-</w:t>
      </w:r>
      <w:r w:rsidR="001F2D3C" w:rsidRPr="0066757C">
        <w:rPr>
          <w:rFonts w:cs="Arial"/>
          <w:rtl/>
        </w:rPr>
        <w:t xml:space="preserve"> אחד שהודה שהכותל של שכנגדו</w:t>
      </w:r>
      <w:r w:rsidR="0066757C">
        <w:rPr>
          <w:rFonts w:cs="Arial" w:hint="cs"/>
          <w:rtl/>
        </w:rPr>
        <w:t>,</w:t>
      </w:r>
      <w:r w:rsidR="001F2D3C" w:rsidRPr="0066757C">
        <w:rPr>
          <w:rFonts w:cs="Arial"/>
          <w:rtl/>
        </w:rPr>
        <w:t xml:space="preserve"> ועכשיו טוען שאמרו לו שהוא של מורישו</w:t>
      </w:r>
      <w:r w:rsidR="0066757C">
        <w:rPr>
          <w:rFonts w:cs="Arial" w:hint="cs"/>
          <w:rtl/>
        </w:rPr>
        <w:t>.</w:t>
      </w:r>
      <w:r w:rsidR="001F2D3C" w:rsidRPr="0066757C">
        <w:rPr>
          <w:rFonts w:cs="Arial"/>
          <w:rtl/>
        </w:rPr>
        <w:t xml:space="preserve"> נ"ל הואיל והודה כמאה עדים דמי ולא מצי למהדר ביה כיון דגדול היה כשמת מורישו. </w:t>
      </w:r>
    </w:p>
    <w:p w14:paraId="7DF26814" w14:textId="77777777" w:rsidR="00523C4A" w:rsidRPr="00882ABB" w:rsidRDefault="00FF190F" w:rsidP="00523C4A">
      <w:pPr>
        <w:rPr>
          <w:sz w:val="16"/>
          <w:szCs w:val="16"/>
        </w:rPr>
      </w:pPr>
      <w:r>
        <w:rPr>
          <w:rFonts w:hint="cs"/>
          <w:u w:val="single"/>
          <w:rtl/>
        </w:rPr>
        <w:t>הבאת ראיות</w:t>
      </w:r>
      <w:r w:rsidRPr="00FF190F">
        <w:rPr>
          <w:rFonts w:hint="cs"/>
          <w:u w:val="single"/>
          <w:rtl/>
        </w:rPr>
        <w:t xml:space="preserve"> לאחר גמר </w:t>
      </w:r>
      <w:r w:rsidR="00B17DFA">
        <w:rPr>
          <w:rFonts w:hint="cs"/>
          <w:u w:val="single"/>
          <w:rtl/>
        </w:rPr>
        <w:t>ה</w:t>
      </w:r>
      <w:r w:rsidRPr="00FF190F">
        <w:rPr>
          <w:rFonts w:hint="cs"/>
          <w:u w:val="single"/>
          <w:rtl/>
        </w:rPr>
        <w:t>דין:</w:t>
      </w:r>
      <w:r w:rsidR="00882ABB">
        <w:rPr>
          <w:rFonts w:hint="cs"/>
          <w:sz w:val="16"/>
          <w:szCs w:val="16"/>
          <w:rtl/>
        </w:rPr>
        <w:t xml:space="preserve">  (ב"י ודרכ"מ [אות א])</w:t>
      </w:r>
    </w:p>
    <w:p w14:paraId="578FB436" w14:textId="77777777" w:rsidR="001F2D3C" w:rsidRPr="001F2D3C" w:rsidRDefault="001F2D3C" w:rsidP="004B0475">
      <w:pPr>
        <w:pStyle w:val="ac"/>
        <w:numPr>
          <w:ilvl w:val="0"/>
          <w:numId w:val="26"/>
        </w:numPr>
        <w:rPr>
          <w:rtl/>
        </w:rPr>
      </w:pPr>
      <w:r w:rsidRPr="0066757C">
        <w:rPr>
          <w:rFonts w:cs="Arial"/>
          <w:rtl/>
        </w:rPr>
        <w:t xml:space="preserve">רא"ש </w:t>
      </w:r>
      <w:r w:rsidR="0066757C" w:rsidRPr="00523C4A">
        <w:rPr>
          <w:rFonts w:cs="Arial" w:hint="cs"/>
          <w:sz w:val="16"/>
          <w:szCs w:val="16"/>
          <w:rtl/>
        </w:rPr>
        <w:t>(</w:t>
      </w:r>
      <w:r w:rsidRPr="00523C4A">
        <w:rPr>
          <w:rFonts w:cs="Arial"/>
          <w:sz w:val="16"/>
          <w:szCs w:val="16"/>
          <w:rtl/>
        </w:rPr>
        <w:t>כלל ו סי</w:t>
      </w:r>
      <w:r w:rsidR="0066757C" w:rsidRPr="00523C4A">
        <w:rPr>
          <w:rFonts w:cs="Arial" w:hint="cs"/>
          <w:sz w:val="16"/>
          <w:szCs w:val="16"/>
          <w:rtl/>
        </w:rPr>
        <w:t>'</w:t>
      </w:r>
      <w:r w:rsidRPr="00523C4A">
        <w:rPr>
          <w:rFonts w:cs="Arial"/>
          <w:sz w:val="16"/>
          <w:szCs w:val="16"/>
          <w:rtl/>
        </w:rPr>
        <w:t xml:space="preserve"> טו ד"ה עוד טענו)</w:t>
      </w:r>
      <w:r w:rsidR="00523C4A">
        <w:rPr>
          <w:rFonts w:cs="Arial" w:hint="cs"/>
          <w:rtl/>
        </w:rPr>
        <w:t>-</w:t>
      </w:r>
      <w:r w:rsidRPr="0066757C">
        <w:rPr>
          <w:rFonts w:cs="Arial"/>
          <w:rtl/>
        </w:rPr>
        <w:t xml:space="preserve"> מה שהשיב ר' מנחם ש</w:t>
      </w:r>
      <w:r w:rsidR="00B17DFA">
        <w:rPr>
          <w:rFonts w:cs="Arial" w:hint="cs"/>
          <w:rtl/>
        </w:rPr>
        <w:t>-'</w:t>
      </w:r>
      <w:r w:rsidRPr="0066757C">
        <w:rPr>
          <w:rFonts w:cs="Arial"/>
          <w:rtl/>
        </w:rPr>
        <w:t>אותם תנאים שאומרים הקהל שעשו עמו כיון שלא הראום לדיינים שפסקו ביניהם ופטרום אינם יכולים להראותם עתה כי נתבטלו כי אין לאחר גמר דין כלום</w:t>
      </w:r>
      <w:r w:rsidR="00B17DFA">
        <w:rPr>
          <w:rFonts w:cs="Arial" w:hint="cs"/>
          <w:rtl/>
        </w:rPr>
        <w:t>'</w:t>
      </w:r>
      <w:r w:rsidR="008B0C77">
        <w:rPr>
          <w:rFonts w:cs="Arial" w:hint="cs"/>
          <w:rtl/>
        </w:rPr>
        <w:t xml:space="preserve"> -</w:t>
      </w:r>
      <w:r w:rsidRPr="0066757C">
        <w:rPr>
          <w:rFonts w:cs="Arial"/>
          <w:rtl/>
        </w:rPr>
        <w:t xml:space="preserve"> אין טענתו טענה</w:t>
      </w:r>
      <w:r w:rsidR="00B17DFA">
        <w:rPr>
          <w:rFonts w:cs="Arial" w:hint="cs"/>
          <w:rtl/>
        </w:rPr>
        <w:t>,</w:t>
      </w:r>
      <w:r w:rsidRPr="0066757C">
        <w:rPr>
          <w:rFonts w:cs="Arial"/>
          <w:rtl/>
        </w:rPr>
        <w:t xml:space="preserve"> כיון שלא שאלום הדיינים יש לכם עדים יש לכם ראיה ואמרו אין לנו ראיה יכולים להביא לעולם ראיה</w:t>
      </w:r>
      <w:r w:rsidR="00B17DFA">
        <w:rPr>
          <w:rFonts w:cs="Arial" w:hint="cs"/>
          <w:rtl/>
        </w:rPr>
        <w:t>.</w:t>
      </w:r>
      <w:r w:rsidRPr="0066757C">
        <w:rPr>
          <w:rFonts w:cs="Arial"/>
          <w:rtl/>
        </w:rPr>
        <w:t xml:space="preserve"> וכל זמן שאין הדיינים אומרים ששאלו להם ואמרו לא ממילא יכולים להביא</w:t>
      </w:r>
      <w:r w:rsidR="00FF190F">
        <w:rPr>
          <w:rStyle w:val="ab"/>
          <w:rFonts w:cs="Arial"/>
          <w:rtl/>
        </w:rPr>
        <w:footnoteReference w:id="1053"/>
      </w:r>
      <w:r w:rsidRPr="0066757C">
        <w:rPr>
          <w:rFonts w:cs="Arial"/>
          <w:rtl/>
        </w:rPr>
        <w:t>.</w:t>
      </w:r>
      <w:r w:rsidR="00882ABB" w:rsidRPr="00882ABB">
        <w:rPr>
          <w:rFonts w:hint="cs"/>
          <w:color w:val="00B0F0"/>
          <w:rtl/>
        </w:rPr>
        <w:t xml:space="preserve"> (וכ"פ הרמ"א)</w:t>
      </w:r>
      <w:r w:rsidR="00B441C7">
        <w:rPr>
          <w:rFonts w:hint="cs"/>
          <w:rtl/>
        </w:rPr>
        <w:t xml:space="preserve"> </w:t>
      </w:r>
    </w:p>
    <w:p w14:paraId="3F0159A7" w14:textId="77777777" w:rsidR="00E137BC" w:rsidRPr="00576D5C" w:rsidRDefault="00E137BC" w:rsidP="00576D5C">
      <w:pPr>
        <w:rPr>
          <w:rFonts w:asciiTheme="minorBidi" w:hAnsiTheme="minorBidi"/>
          <w:b/>
          <w:bCs/>
          <w:color w:val="000000"/>
          <w:sz w:val="28"/>
          <w:szCs w:val="28"/>
          <w:u w:val="single"/>
          <w:rtl/>
        </w:rPr>
      </w:pPr>
      <w:r w:rsidRPr="00576D5C">
        <w:rPr>
          <w:rFonts w:asciiTheme="minorBidi" w:hAnsiTheme="minorBidi"/>
          <w:b/>
          <w:bCs/>
          <w:color w:val="000000"/>
          <w:sz w:val="28"/>
          <w:szCs w:val="28"/>
          <w:u w:val="single"/>
          <w:rtl/>
        </w:rPr>
        <w:t>שו"ע:</w:t>
      </w:r>
    </w:p>
    <w:p w14:paraId="31D933EF" w14:textId="77777777" w:rsidR="00E137BC" w:rsidRPr="00576D5C" w:rsidRDefault="00E137BC" w:rsidP="00576D5C">
      <w:pPr>
        <w:rPr>
          <w:rFonts w:asciiTheme="minorBidi" w:hAnsiTheme="minorBidi"/>
          <w:rtl/>
        </w:rPr>
      </w:pPr>
      <w:r w:rsidRPr="00576D5C">
        <w:rPr>
          <w:rFonts w:asciiTheme="minorBidi" w:hAnsiTheme="minorBidi"/>
          <w:rtl/>
        </w:rPr>
        <w:t>מי שנתחייב בב</w:t>
      </w:r>
      <w:r w:rsidR="00417208">
        <w:rPr>
          <w:rFonts w:asciiTheme="minorBidi" w:hAnsiTheme="minorBidi" w:hint="cs"/>
          <w:rtl/>
        </w:rPr>
        <w:t xml:space="preserve">ית </w:t>
      </w:r>
      <w:r w:rsidRPr="00576D5C">
        <w:rPr>
          <w:rFonts w:asciiTheme="minorBidi" w:hAnsiTheme="minorBidi"/>
          <w:rtl/>
        </w:rPr>
        <w:t>ד</w:t>
      </w:r>
      <w:r w:rsidR="00417208">
        <w:rPr>
          <w:rFonts w:asciiTheme="minorBidi" w:hAnsiTheme="minorBidi" w:hint="cs"/>
          <w:rtl/>
        </w:rPr>
        <w:t>ין</w:t>
      </w:r>
      <w:r w:rsidRPr="00576D5C">
        <w:rPr>
          <w:rFonts w:asciiTheme="minorBidi" w:hAnsiTheme="minorBidi"/>
          <w:rtl/>
        </w:rPr>
        <w:t xml:space="preserve"> והביא עדים או ראיה לזכותו, סותר הדין וחוזר אף על פי שכבר נגמר</w:t>
      </w:r>
      <w:r w:rsidR="00522B73">
        <w:rPr>
          <w:rFonts w:asciiTheme="minorBidi" w:hAnsiTheme="minorBidi" w:hint="cs"/>
          <w:rtl/>
        </w:rPr>
        <w:t>.</w:t>
      </w:r>
      <w:r w:rsidRPr="00576D5C">
        <w:rPr>
          <w:rFonts w:asciiTheme="minorBidi" w:hAnsiTheme="minorBidi"/>
          <w:rtl/>
        </w:rPr>
        <w:t xml:space="preserve"> ואפילו אם פרע כבר, כל זמן שהוא מביא ראי</w:t>
      </w:r>
      <w:r w:rsidR="00522B73">
        <w:rPr>
          <w:rFonts w:asciiTheme="minorBidi" w:hAnsiTheme="minorBidi" w:hint="cs"/>
          <w:rtl/>
        </w:rPr>
        <w:t>ה</w:t>
      </w:r>
      <w:r w:rsidRPr="00576D5C">
        <w:rPr>
          <w:rFonts w:asciiTheme="minorBidi" w:hAnsiTheme="minorBidi"/>
          <w:rtl/>
        </w:rPr>
        <w:t xml:space="preserve">, סותר. אמרו לו הדיינים: כל ראיות שיש לך הבא מכאן ועד </w:t>
      </w:r>
      <w:r w:rsidR="001F2D3C">
        <w:rPr>
          <w:rFonts w:asciiTheme="minorBidi" w:hAnsiTheme="minorBidi" w:hint="cs"/>
          <w:rtl/>
        </w:rPr>
        <w:t>שלשים</w:t>
      </w:r>
      <w:r w:rsidRPr="00576D5C">
        <w:rPr>
          <w:rFonts w:asciiTheme="minorBidi" w:hAnsiTheme="minorBidi"/>
          <w:rtl/>
        </w:rPr>
        <w:t xml:space="preserve"> יום, אף על פי שהביא ראיה לאחר שלשים יום, סותר את הדין, שא</w:t>
      </w:r>
      <w:r w:rsidR="001F2D3C">
        <w:rPr>
          <w:rFonts w:asciiTheme="minorBidi" w:hAnsiTheme="minorBidi" w:hint="cs"/>
          <w:rtl/>
        </w:rPr>
        <w:t xml:space="preserve">ם </w:t>
      </w:r>
      <w:r w:rsidRPr="00576D5C">
        <w:rPr>
          <w:rFonts w:asciiTheme="minorBidi" w:hAnsiTheme="minorBidi"/>
          <w:rtl/>
        </w:rPr>
        <w:t>ל</w:t>
      </w:r>
      <w:r w:rsidR="001F2D3C">
        <w:rPr>
          <w:rFonts w:asciiTheme="minorBidi" w:hAnsiTheme="minorBidi" w:hint="cs"/>
          <w:rtl/>
        </w:rPr>
        <w:t xml:space="preserve">א </w:t>
      </w:r>
      <w:r w:rsidRPr="00576D5C">
        <w:rPr>
          <w:rFonts w:asciiTheme="minorBidi" w:hAnsiTheme="minorBidi"/>
          <w:rtl/>
        </w:rPr>
        <w:t>כ</w:t>
      </w:r>
      <w:r w:rsidR="001F2D3C">
        <w:rPr>
          <w:rFonts w:asciiTheme="minorBidi" w:hAnsiTheme="minorBidi" w:hint="cs"/>
          <w:rtl/>
        </w:rPr>
        <w:t>ן</w:t>
      </w:r>
      <w:r w:rsidRPr="00576D5C">
        <w:rPr>
          <w:rFonts w:asciiTheme="minorBidi" w:hAnsiTheme="minorBidi"/>
          <w:rtl/>
        </w:rPr>
        <w:t xml:space="preserve"> מה יעשה אם לא מצא בתוך </w:t>
      </w:r>
      <w:r w:rsidR="001F2D3C">
        <w:rPr>
          <w:rFonts w:asciiTheme="minorBidi" w:hAnsiTheme="minorBidi" w:hint="cs"/>
          <w:rtl/>
        </w:rPr>
        <w:t>שלשים</w:t>
      </w:r>
      <w:r w:rsidRPr="00576D5C">
        <w:rPr>
          <w:rFonts w:asciiTheme="minorBidi" w:hAnsiTheme="minorBidi"/>
          <w:rtl/>
        </w:rPr>
        <w:t xml:space="preserve"> ומצא לאחר שלשים. אבל אם אמרו לו להביא עדים או ראיה, ואמר: אין לי, אף על פי שמצא אחר כך, אינו כלום</w:t>
      </w:r>
      <w:r w:rsidR="00B441C7">
        <w:rPr>
          <w:rStyle w:val="ab"/>
          <w:rFonts w:asciiTheme="minorBidi" w:hAnsiTheme="minorBidi"/>
          <w:rtl/>
        </w:rPr>
        <w:footnoteReference w:id="1054"/>
      </w:r>
      <w:r w:rsidRPr="00576D5C">
        <w:rPr>
          <w:rFonts w:asciiTheme="minorBidi" w:hAnsiTheme="minorBidi"/>
          <w:rtl/>
        </w:rPr>
        <w:t>. וא</w:t>
      </w:r>
      <w:r w:rsidR="001F2D3C">
        <w:rPr>
          <w:rFonts w:asciiTheme="minorBidi" w:hAnsiTheme="minorBidi" w:hint="cs"/>
          <w:rtl/>
        </w:rPr>
        <w:t xml:space="preserve">ין צריך </w:t>
      </w:r>
      <w:r w:rsidRPr="00576D5C">
        <w:rPr>
          <w:rFonts w:asciiTheme="minorBidi" w:hAnsiTheme="minorBidi"/>
          <w:rtl/>
        </w:rPr>
        <w:t>ל</w:t>
      </w:r>
      <w:r w:rsidR="001F2D3C">
        <w:rPr>
          <w:rFonts w:asciiTheme="minorBidi" w:hAnsiTheme="minorBidi" w:hint="cs"/>
          <w:rtl/>
        </w:rPr>
        <w:t>ומר</w:t>
      </w:r>
      <w:r w:rsidRPr="00576D5C">
        <w:rPr>
          <w:rFonts w:asciiTheme="minorBidi" w:hAnsiTheme="minorBidi"/>
          <w:rtl/>
        </w:rPr>
        <w:t xml:space="preserve"> אם אמרו לו: יש לך עדים, ואמר: אין לי עדים</w:t>
      </w:r>
      <w:r w:rsidR="001F2D3C">
        <w:rPr>
          <w:rFonts w:asciiTheme="minorBidi" w:hAnsiTheme="minorBidi" w:hint="cs"/>
          <w:rtl/>
        </w:rPr>
        <w:t>.</w:t>
      </w:r>
      <w:r w:rsidRPr="00576D5C">
        <w:rPr>
          <w:rFonts w:asciiTheme="minorBidi" w:hAnsiTheme="minorBidi"/>
          <w:rtl/>
        </w:rPr>
        <w:t xml:space="preserve"> יש לך ראיה, אמר: אין לי ראיה, ודנו אותו וחייבוהו, כיון שראה שנתחייב אמר: קרבו איש </w:t>
      </w:r>
      <w:r w:rsidRPr="00576D5C">
        <w:rPr>
          <w:rFonts w:asciiTheme="minorBidi" w:hAnsiTheme="minorBidi"/>
          <w:rtl/>
        </w:rPr>
        <w:lastRenderedPageBreak/>
        <w:t>פלוני ופלוני והעידוני, או שהוציא ראיה מתוך אפונדתו, אין זה כלום</w:t>
      </w:r>
      <w:r w:rsidR="00B441C7">
        <w:rPr>
          <w:rStyle w:val="ab"/>
          <w:rFonts w:asciiTheme="minorBidi" w:hAnsiTheme="minorBidi"/>
          <w:rtl/>
        </w:rPr>
        <w:footnoteReference w:id="1055"/>
      </w:r>
      <w:r w:rsidRPr="00576D5C">
        <w:rPr>
          <w:rFonts w:asciiTheme="minorBidi" w:hAnsiTheme="minorBidi"/>
          <w:rtl/>
        </w:rPr>
        <w:t xml:space="preserve"> ואין משגיחים עליו ועל ראייתו. </w:t>
      </w:r>
      <w:r w:rsidRPr="00623E78">
        <w:rPr>
          <w:rFonts w:asciiTheme="minorBidi" w:hAnsiTheme="minorBidi"/>
          <w:sz w:val="18"/>
          <w:szCs w:val="18"/>
          <w:rtl/>
        </w:rPr>
        <w:t>הגה: אבל אם לא אמר אין לי ראיה, אע</w:t>
      </w:r>
      <w:r w:rsidR="00623E78">
        <w:rPr>
          <w:rFonts w:asciiTheme="minorBidi" w:hAnsiTheme="minorBidi" w:hint="cs"/>
          <w:sz w:val="18"/>
          <w:szCs w:val="18"/>
          <w:rtl/>
        </w:rPr>
        <w:t>"</w:t>
      </w:r>
      <w:r w:rsidRPr="00623E78">
        <w:rPr>
          <w:rFonts w:asciiTheme="minorBidi" w:hAnsiTheme="minorBidi"/>
          <w:sz w:val="18"/>
          <w:szCs w:val="18"/>
          <w:rtl/>
        </w:rPr>
        <w:t>פ ששתק עד שנתחייב בדין, ואחר כך אמר: קרבו פלוני ופלוני והעידו, סותר הדין</w:t>
      </w:r>
      <w:r w:rsidR="008C5238">
        <w:rPr>
          <w:rStyle w:val="ab"/>
          <w:rFonts w:asciiTheme="minorBidi" w:hAnsiTheme="minorBidi"/>
          <w:sz w:val="18"/>
          <w:szCs w:val="18"/>
          <w:rtl/>
        </w:rPr>
        <w:footnoteReference w:id="1056"/>
      </w:r>
      <w:r w:rsidRPr="00623E78">
        <w:rPr>
          <w:rFonts w:asciiTheme="minorBidi" w:hAnsiTheme="minorBidi"/>
          <w:sz w:val="18"/>
          <w:szCs w:val="18"/>
          <w:rtl/>
        </w:rPr>
        <w:t xml:space="preserve"> (תשו</w:t>
      </w:r>
      <w:r w:rsidR="001F2D3C">
        <w:rPr>
          <w:rFonts w:asciiTheme="minorBidi" w:hAnsiTheme="minorBidi" w:hint="cs"/>
          <w:sz w:val="18"/>
          <w:szCs w:val="18"/>
          <w:rtl/>
        </w:rPr>
        <w:t>'</w:t>
      </w:r>
      <w:r w:rsidRPr="00623E78">
        <w:rPr>
          <w:rFonts w:asciiTheme="minorBidi" w:hAnsiTheme="minorBidi"/>
          <w:sz w:val="18"/>
          <w:szCs w:val="18"/>
          <w:rtl/>
        </w:rPr>
        <w:t xml:space="preserve"> הרא"ש).</w:t>
      </w:r>
      <w:r w:rsidRPr="00576D5C">
        <w:rPr>
          <w:rFonts w:asciiTheme="minorBidi" w:hAnsiTheme="minorBidi"/>
          <w:rtl/>
        </w:rPr>
        <w:t xml:space="preserve"> ב</w:t>
      </w:r>
      <w:r w:rsidR="001F2D3C">
        <w:rPr>
          <w:rFonts w:asciiTheme="minorBidi" w:hAnsiTheme="minorBidi" w:hint="cs"/>
          <w:rtl/>
        </w:rPr>
        <w:t xml:space="preserve">מה </w:t>
      </w:r>
      <w:r w:rsidRPr="00576D5C">
        <w:rPr>
          <w:rFonts w:asciiTheme="minorBidi" w:hAnsiTheme="minorBidi"/>
          <w:rtl/>
        </w:rPr>
        <w:t>ד</w:t>
      </w:r>
      <w:r w:rsidR="001F2D3C">
        <w:rPr>
          <w:rFonts w:asciiTheme="minorBidi" w:hAnsiTheme="minorBidi" w:hint="cs"/>
          <w:rtl/>
        </w:rPr>
        <w:t xml:space="preserve">ברים </w:t>
      </w:r>
      <w:r w:rsidRPr="00576D5C">
        <w:rPr>
          <w:rFonts w:asciiTheme="minorBidi" w:hAnsiTheme="minorBidi"/>
          <w:rtl/>
        </w:rPr>
        <w:t>א</w:t>
      </w:r>
      <w:r w:rsidR="001F2D3C">
        <w:rPr>
          <w:rFonts w:asciiTheme="minorBidi" w:hAnsiTheme="minorBidi" w:hint="cs"/>
          <w:rtl/>
        </w:rPr>
        <w:t>מורים</w:t>
      </w:r>
      <w:r w:rsidRPr="00576D5C">
        <w:rPr>
          <w:rFonts w:asciiTheme="minorBidi" w:hAnsiTheme="minorBidi"/>
          <w:rtl/>
        </w:rPr>
        <w:t>, כשהיתה הראיה אצלו</w:t>
      </w:r>
      <w:r w:rsidR="008C5238">
        <w:rPr>
          <w:rStyle w:val="ab"/>
          <w:rFonts w:asciiTheme="minorBidi" w:hAnsiTheme="minorBidi"/>
          <w:rtl/>
        </w:rPr>
        <w:footnoteReference w:id="1057"/>
      </w:r>
      <w:r w:rsidRPr="00576D5C">
        <w:rPr>
          <w:rFonts w:asciiTheme="minorBidi" w:hAnsiTheme="minorBidi"/>
          <w:rtl/>
        </w:rPr>
        <w:t xml:space="preserve"> והעדים עמו במדינה, </w:t>
      </w:r>
      <w:r w:rsidRPr="00261803">
        <w:rPr>
          <w:rFonts w:asciiTheme="minorBidi" w:hAnsiTheme="minorBidi"/>
          <w:rtl/>
        </w:rPr>
        <w:t>א</w:t>
      </w:r>
      <w:r w:rsidR="00261803">
        <w:rPr>
          <w:rFonts w:asciiTheme="minorBidi" w:hAnsiTheme="minorBidi" w:hint="cs"/>
          <w:rtl/>
        </w:rPr>
        <w:t>בל</w:t>
      </w:r>
      <w:r w:rsidRPr="00623E78">
        <w:rPr>
          <w:rFonts w:asciiTheme="minorBidi" w:hAnsiTheme="minorBidi"/>
          <w:sz w:val="18"/>
          <w:szCs w:val="18"/>
          <w:rtl/>
        </w:rPr>
        <w:t xml:space="preserve"> </w:t>
      </w:r>
      <w:r w:rsidRPr="00576D5C">
        <w:rPr>
          <w:rFonts w:asciiTheme="minorBidi" w:hAnsiTheme="minorBidi"/>
          <w:rtl/>
        </w:rPr>
        <w:t>אם אמר: אין לי עדים ואין לי ראיה</w:t>
      </w:r>
      <w:r w:rsidR="00261803">
        <w:rPr>
          <w:rFonts w:asciiTheme="minorBidi" w:hAnsiTheme="minorBidi" w:hint="cs"/>
          <w:rtl/>
        </w:rPr>
        <w:t>,</w:t>
      </w:r>
      <w:r w:rsidRPr="00576D5C">
        <w:rPr>
          <w:rFonts w:asciiTheme="minorBidi" w:hAnsiTheme="minorBidi"/>
          <w:rtl/>
        </w:rPr>
        <w:t xml:space="preserve"> ולאחר מכאן באו לו עדים ממדינת הים</w:t>
      </w:r>
      <w:r w:rsidR="001E2363">
        <w:rPr>
          <w:rFonts w:asciiTheme="minorBidi" w:hAnsiTheme="minorBidi" w:hint="cs"/>
          <w:rtl/>
        </w:rPr>
        <w:t>,</w:t>
      </w:r>
      <w:r w:rsidRPr="00576D5C">
        <w:rPr>
          <w:rFonts w:asciiTheme="minorBidi" w:hAnsiTheme="minorBidi"/>
          <w:rtl/>
        </w:rPr>
        <w:t xml:space="preserve"> או שהיתה דסקיא של אביו שיש שם השטרות מופקדת ביד אחרים</w:t>
      </w:r>
      <w:r w:rsidR="001E2363">
        <w:rPr>
          <w:rStyle w:val="ab"/>
          <w:rFonts w:asciiTheme="minorBidi" w:hAnsiTheme="minorBidi"/>
          <w:rtl/>
        </w:rPr>
        <w:footnoteReference w:id="1058"/>
      </w:r>
      <w:r w:rsidRPr="00576D5C">
        <w:rPr>
          <w:rFonts w:asciiTheme="minorBidi" w:hAnsiTheme="minorBidi"/>
          <w:rtl/>
        </w:rPr>
        <w:t xml:space="preserve"> </w:t>
      </w:r>
      <w:r w:rsidR="001F2D3C">
        <w:rPr>
          <w:rFonts w:asciiTheme="minorBidi" w:hAnsiTheme="minorBidi" w:hint="cs"/>
          <w:sz w:val="18"/>
          <w:szCs w:val="18"/>
          <w:rtl/>
        </w:rPr>
        <w:t xml:space="preserve">[הגה] </w:t>
      </w:r>
      <w:r w:rsidRPr="00623E78">
        <w:rPr>
          <w:rFonts w:asciiTheme="minorBidi" w:hAnsiTheme="minorBidi"/>
          <w:sz w:val="18"/>
          <w:szCs w:val="18"/>
          <w:rtl/>
        </w:rPr>
        <w:t>ויש אומרים</w:t>
      </w:r>
      <w:r w:rsidR="00C6349C">
        <w:rPr>
          <w:rStyle w:val="ab"/>
          <w:rFonts w:asciiTheme="minorBidi" w:hAnsiTheme="minorBidi"/>
          <w:sz w:val="18"/>
          <w:szCs w:val="18"/>
          <w:rtl/>
        </w:rPr>
        <w:footnoteReference w:id="1059"/>
      </w:r>
      <w:r w:rsidRPr="00623E78">
        <w:rPr>
          <w:rFonts w:asciiTheme="minorBidi" w:hAnsiTheme="minorBidi"/>
          <w:sz w:val="18"/>
          <w:szCs w:val="18"/>
          <w:rtl/>
        </w:rPr>
        <w:t xml:space="preserve"> הוא הדין שטרות שלו</w:t>
      </w:r>
      <w:r w:rsidR="00C6349C">
        <w:rPr>
          <w:rStyle w:val="ab"/>
          <w:rFonts w:asciiTheme="minorBidi" w:hAnsiTheme="minorBidi"/>
          <w:sz w:val="18"/>
          <w:szCs w:val="18"/>
          <w:rtl/>
        </w:rPr>
        <w:footnoteReference w:id="1060"/>
      </w:r>
      <w:r w:rsidRPr="00623E78">
        <w:rPr>
          <w:rFonts w:asciiTheme="minorBidi" w:hAnsiTheme="minorBidi"/>
          <w:sz w:val="18"/>
          <w:szCs w:val="18"/>
          <w:rtl/>
        </w:rPr>
        <w:t xml:space="preserve"> (טור)</w:t>
      </w:r>
      <w:r w:rsidRPr="00576D5C">
        <w:rPr>
          <w:rFonts w:asciiTheme="minorBidi" w:hAnsiTheme="minorBidi"/>
          <w:rtl/>
        </w:rPr>
        <w:t>, ובא זה שהפקדון אצלו</w:t>
      </w:r>
      <w:r w:rsidR="0005090B">
        <w:rPr>
          <w:rStyle w:val="ab"/>
          <w:rFonts w:asciiTheme="minorBidi" w:hAnsiTheme="minorBidi"/>
          <w:rtl/>
        </w:rPr>
        <w:footnoteReference w:id="1061"/>
      </w:r>
      <w:r w:rsidRPr="00576D5C">
        <w:rPr>
          <w:rFonts w:asciiTheme="minorBidi" w:hAnsiTheme="minorBidi"/>
          <w:rtl/>
        </w:rPr>
        <w:t xml:space="preserve"> והוציא לו ראיותיו, הרי זה מביא וסותר, מפני שיכול</w:t>
      </w:r>
      <w:r w:rsidR="0005090B">
        <w:rPr>
          <w:rStyle w:val="ab"/>
          <w:rFonts w:asciiTheme="minorBidi" w:hAnsiTheme="minorBidi"/>
          <w:rtl/>
        </w:rPr>
        <w:footnoteReference w:id="1062"/>
      </w:r>
      <w:r w:rsidRPr="00576D5C">
        <w:rPr>
          <w:rFonts w:asciiTheme="minorBidi" w:hAnsiTheme="minorBidi"/>
          <w:rtl/>
        </w:rPr>
        <w:t xml:space="preserve"> לטעון ולומר: זה שאמרתי אין לי עדים ואין לי ראיה מפני שלא היו מצויים אצלי. </w:t>
      </w:r>
      <w:r w:rsidR="001F2D3C">
        <w:rPr>
          <w:rFonts w:asciiTheme="minorBidi" w:hAnsiTheme="minorBidi" w:hint="cs"/>
          <w:sz w:val="18"/>
          <w:szCs w:val="18"/>
          <w:rtl/>
        </w:rPr>
        <w:t xml:space="preserve">[הגה] </w:t>
      </w:r>
      <w:r w:rsidRPr="00623E78">
        <w:rPr>
          <w:rFonts w:asciiTheme="minorBidi" w:hAnsiTheme="minorBidi"/>
          <w:sz w:val="18"/>
          <w:szCs w:val="18"/>
          <w:rtl/>
        </w:rPr>
        <w:t xml:space="preserve">ודוקא שבאו עדים שאותן השטרות היו באותן שטרות המופקדים (מרדכי). </w:t>
      </w:r>
      <w:r w:rsidRPr="00576D5C">
        <w:rPr>
          <w:rFonts w:asciiTheme="minorBidi" w:hAnsiTheme="minorBidi"/>
          <w:rtl/>
        </w:rPr>
        <w:t>וכל זמן שיכול לטעון ולומר: מפני כך וכך אמרתי אין לי עדים ואין לי ראיה, והיה ממש בדבריו, הרי זה לא סתר טענותיו, וסותר. לפיכך אם פירש ואמר: אין לי עדים כלל לא הנה ולא במדינת הים ולא ראיה כלל לא בידי ולא ביד אחרים, אינו יכול לסתור. ב</w:t>
      </w:r>
      <w:r w:rsidR="001F2D3C">
        <w:rPr>
          <w:rFonts w:asciiTheme="minorBidi" w:hAnsiTheme="minorBidi" w:hint="cs"/>
          <w:rtl/>
        </w:rPr>
        <w:t xml:space="preserve">מה דברים </w:t>
      </w:r>
      <w:r w:rsidRPr="00576D5C">
        <w:rPr>
          <w:rFonts w:asciiTheme="minorBidi" w:hAnsiTheme="minorBidi"/>
          <w:rtl/>
        </w:rPr>
        <w:t>א</w:t>
      </w:r>
      <w:r w:rsidR="001F2D3C">
        <w:rPr>
          <w:rFonts w:asciiTheme="minorBidi" w:hAnsiTheme="minorBidi" w:hint="cs"/>
          <w:rtl/>
        </w:rPr>
        <w:t>מורים</w:t>
      </w:r>
      <w:r w:rsidRPr="00576D5C">
        <w:rPr>
          <w:rFonts w:asciiTheme="minorBidi" w:hAnsiTheme="minorBidi"/>
          <w:rtl/>
        </w:rPr>
        <w:t xml:space="preserve"> בגדול, אבל יורש שהיה קטן כשמת מורישו, ובאו עליו טענות מחמת מורישו אחר שהגדיל, ואמר: אין לי עדים ואין לי ראיה, ואחר שיצא מבית דין חייב אמרו לו אחרים: אנו יודעים לאביך עדות שתסתור בה דין זה, או שאמר ליה אחר: מורישך הפקיד ראיה זו, הרי זה מביא מיד וסותר, שאין היורש קטן יודע כל ראיות מורישו. </w:t>
      </w:r>
      <w:r w:rsidRPr="00623E78">
        <w:rPr>
          <w:rFonts w:asciiTheme="minorBidi" w:hAnsiTheme="minorBidi"/>
          <w:sz w:val="18"/>
          <w:szCs w:val="18"/>
          <w:rtl/>
        </w:rPr>
        <w:t>הגה: וכל זה בסתמא, אבל אם הביא הגדול אח</w:t>
      </w:r>
      <w:r w:rsidR="001F2D3C">
        <w:rPr>
          <w:rFonts w:asciiTheme="minorBidi" w:hAnsiTheme="minorBidi" w:hint="cs"/>
          <w:sz w:val="18"/>
          <w:szCs w:val="18"/>
          <w:rtl/>
        </w:rPr>
        <w:t>"</w:t>
      </w:r>
      <w:r w:rsidRPr="00623E78">
        <w:rPr>
          <w:rFonts w:asciiTheme="minorBidi" w:hAnsiTheme="minorBidi"/>
          <w:sz w:val="18"/>
          <w:szCs w:val="18"/>
          <w:rtl/>
        </w:rPr>
        <w:t>כ ראיה ועדים שלא ידע מאלו עדים שהביא אח</w:t>
      </w:r>
      <w:r w:rsidR="001F2D3C">
        <w:rPr>
          <w:rFonts w:asciiTheme="minorBidi" w:hAnsiTheme="minorBidi" w:hint="cs"/>
          <w:sz w:val="18"/>
          <w:szCs w:val="18"/>
          <w:rtl/>
        </w:rPr>
        <w:t>"</w:t>
      </w:r>
      <w:r w:rsidRPr="00623E78">
        <w:rPr>
          <w:rFonts w:asciiTheme="minorBidi" w:hAnsiTheme="minorBidi"/>
          <w:sz w:val="18"/>
          <w:szCs w:val="18"/>
          <w:rtl/>
        </w:rPr>
        <w:t>כ, או</w:t>
      </w:r>
      <w:r w:rsidR="00961B80">
        <w:rPr>
          <w:rFonts w:asciiTheme="minorBidi" w:hAnsiTheme="minorBidi" w:hint="cs"/>
          <w:sz w:val="18"/>
          <w:szCs w:val="18"/>
          <w:rtl/>
        </w:rPr>
        <w:t xml:space="preserve"> </w:t>
      </w:r>
      <w:r w:rsidR="00261803">
        <w:rPr>
          <w:rFonts w:asciiTheme="minorBidi" w:hAnsiTheme="minorBidi" w:hint="cs"/>
          <w:sz w:val="18"/>
          <w:szCs w:val="18"/>
          <w:rtl/>
        </w:rPr>
        <w:t xml:space="preserve">קטן </w:t>
      </w:r>
      <w:r w:rsidRPr="00623E78">
        <w:rPr>
          <w:rFonts w:asciiTheme="minorBidi" w:hAnsiTheme="minorBidi"/>
          <w:sz w:val="18"/>
          <w:szCs w:val="18"/>
          <w:rtl/>
        </w:rPr>
        <w:t>שבאו עדים</w:t>
      </w:r>
      <w:r w:rsidR="00A70DA8">
        <w:rPr>
          <w:rStyle w:val="ab"/>
          <w:rFonts w:asciiTheme="minorBidi" w:hAnsiTheme="minorBidi"/>
          <w:sz w:val="18"/>
          <w:szCs w:val="18"/>
          <w:rtl/>
        </w:rPr>
        <w:footnoteReference w:id="1063"/>
      </w:r>
      <w:r w:rsidRPr="00623E78">
        <w:rPr>
          <w:rFonts w:asciiTheme="minorBidi" w:hAnsiTheme="minorBidi"/>
          <w:sz w:val="18"/>
          <w:szCs w:val="18"/>
          <w:rtl/>
        </w:rPr>
        <w:t xml:space="preserve"> ואומרים ששטרות של אביו היו בידו וידע בהן כשירד לדין</w:t>
      </w:r>
      <w:r w:rsidR="006115E1">
        <w:rPr>
          <w:rStyle w:val="ab"/>
          <w:rFonts w:asciiTheme="minorBidi" w:hAnsiTheme="minorBidi"/>
          <w:sz w:val="18"/>
          <w:szCs w:val="18"/>
          <w:rtl/>
        </w:rPr>
        <w:footnoteReference w:id="1064"/>
      </w:r>
      <w:r w:rsidRPr="00623E78">
        <w:rPr>
          <w:rFonts w:asciiTheme="minorBidi" w:hAnsiTheme="minorBidi"/>
          <w:sz w:val="18"/>
          <w:szCs w:val="18"/>
          <w:rtl/>
        </w:rPr>
        <w:t>, הולכים אחריהם</w:t>
      </w:r>
      <w:r w:rsidR="006115E1">
        <w:rPr>
          <w:rStyle w:val="ab"/>
          <w:rFonts w:asciiTheme="minorBidi" w:hAnsiTheme="minorBidi"/>
          <w:sz w:val="18"/>
          <w:szCs w:val="18"/>
          <w:rtl/>
        </w:rPr>
        <w:footnoteReference w:id="1065"/>
      </w:r>
      <w:r w:rsidRPr="00623E78">
        <w:rPr>
          <w:rFonts w:asciiTheme="minorBidi" w:hAnsiTheme="minorBidi"/>
          <w:sz w:val="18"/>
          <w:szCs w:val="18"/>
          <w:rtl/>
        </w:rPr>
        <w:t xml:space="preserve"> (מרדכי ס"פ זה בורר).</w:t>
      </w:r>
    </w:p>
    <w:p w14:paraId="74AA309D" w14:textId="77777777" w:rsidR="00E137BC" w:rsidRPr="00576D5C" w:rsidRDefault="00E137BC" w:rsidP="00576D5C">
      <w:pPr>
        <w:rPr>
          <w:rFonts w:asciiTheme="minorBidi" w:hAnsiTheme="minorBidi"/>
          <w:rtl/>
        </w:rPr>
        <w:sectPr w:rsidR="00E137BC" w:rsidRPr="00576D5C" w:rsidSect="00AF3AF9">
          <w:headerReference w:type="default" r:id="rId30"/>
          <w:footnotePr>
            <w:numRestart w:val="eachPage"/>
          </w:footnotePr>
          <w:pgSz w:w="11906" w:h="16838"/>
          <w:pgMar w:top="720" w:right="1134" w:bottom="720" w:left="1134" w:header="0" w:footer="0" w:gutter="0"/>
          <w:cols w:space="720"/>
          <w:bidi/>
          <w:rtlGutter/>
          <w:docGrid w:linePitch="360"/>
        </w:sectPr>
      </w:pPr>
    </w:p>
    <w:p w14:paraId="4017DA3E" w14:textId="77777777" w:rsidR="00E137BC" w:rsidRPr="00576D5C" w:rsidRDefault="00E137BC" w:rsidP="006567B0">
      <w:pPr>
        <w:pStyle w:val="1"/>
        <w:rPr>
          <w:rtl/>
        </w:rPr>
      </w:pPr>
      <w:bookmarkStart w:id="167" w:name="_Toc24883650"/>
      <w:r w:rsidRPr="00576D5C">
        <w:rPr>
          <w:rtl/>
        </w:rPr>
        <w:lastRenderedPageBreak/>
        <w:t>סימן כא: מי שקבל עליו להשלים הדין ליום ידוע, ונאנס, ובו סעיף אחד.</w:t>
      </w:r>
      <w:bookmarkEnd w:id="167"/>
      <w:r w:rsidRPr="00576D5C">
        <w:rPr>
          <w:rtl/>
        </w:rPr>
        <w:t xml:space="preserve"> </w:t>
      </w:r>
    </w:p>
    <w:p w14:paraId="6E1C42E1" w14:textId="77777777" w:rsidR="00E137BC" w:rsidRDefault="00E137BC" w:rsidP="006567B0">
      <w:pPr>
        <w:pStyle w:val="2"/>
        <w:rPr>
          <w:rtl/>
        </w:rPr>
      </w:pPr>
      <w:bookmarkStart w:id="168" w:name="_Toc24883651"/>
      <w:r w:rsidRPr="00576D5C">
        <w:rPr>
          <w:rtl/>
        </w:rPr>
        <w:t>סעיף א</w:t>
      </w:r>
      <w:bookmarkEnd w:id="168"/>
    </w:p>
    <w:p w14:paraId="4D3EA115" w14:textId="77777777" w:rsidR="00143FD2" w:rsidRPr="00143FD2" w:rsidRDefault="00143FD2" w:rsidP="00143FD2">
      <w:pPr>
        <w:rPr>
          <w:sz w:val="16"/>
          <w:szCs w:val="16"/>
          <w:rtl/>
        </w:rPr>
      </w:pPr>
      <w:r>
        <w:rPr>
          <w:rFonts w:cs="Arial" w:hint="cs"/>
          <w:b/>
          <w:bCs/>
          <w:rtl/>
        </w:rPr>
        <w:t xml:space="preserve">נדרים </w:t>
      </w:r>
      <w:r>
        <w:rPr>
          <w:rFonts w:cs="Arial" w:hint="cs"/>
          <w:b/>
          <w:bCs/>
          <w:sz w:val="16"/>
          <w:szCs w:val="16"/>
          <w:rtl/>
        </w:rPr>
        <w:t>(פ' ארבעה נדרים)</w:t>
      </w:r>
      <w:r>
        <w:rPr>
          <w:rFonts w:cs="Arial" w:hint="cs"/>
          <w:b/>
          <w:bCs/>
          <w:rtl/>
        </w:rPr>
        <w:t xml:space="preserve"> כז</w:t>
      </w:r>
      <w:r w:rsidR="009739B1">
        <w:rPr>
          <w:rStyle w:val="ab"/>
          <w:rFonts w:cs="Arial"/>
          <w:b/>
          <w:bCs/>
          <w:rtl/>
        </w:rPr>
        <w:footnoteReference w:id="1066"/>
      </w:r>
      <w:r>
        <w:rPr>
          <w:rFonts w:cs="Arial" w:hint="cs"/>
          <w:b/>
          <w:bCs/>
          <w:rtl/>
        </w:rPr>
        <w:t xml:space="preserve"> ע"א: </w:t>
      </w:r>
      <w:r w:rsidRPr="00143FD2">
        <w:rPr>
          <w:rFonts w:cs="Arial"/>
          <w:rtl/>
        </w:rPr>
        <w:t>ההוא גברא דאתפיס זכוותא בבי דינא, ואמר: אי לא אתינא עד תלתין יומין ליבטלון הני זכוותאי</w:t>
      </w:r>
      <w:r w:rsidR="007A2B20">
        <w:rPr>
          <w:rFonts w:cs="Arial" w:hint="cs"/>
          <w:rtl/>
        </w:rPr>
        <w:t>.</w:t>
      </w:r>
      <w:r w:rsidRPr="00143FD2">
        <w:rPr>
          <w:rFonts w:cs="Arial"/>
          <w:rtl/>
        </w:rPr>
        <w:t xml:space="preserve"> איתניס ולא אתא, </w:t>
      </w:r>
      <w:r w:rsidRPr="00143FD2">
        <w:rPr>
          <w:rFonts w:cs="Arial"/>
          <w:u w:val="single"/>
          <w:rtl/>
        </w:rPr>
        <w:t>אמר רב הונא</w:t>
      </w:r>
      <w:r w:rsidRPr="00143FD2">
        <w:rPr>
          <w:rFonts w:cs="Arial"/>
          <w:rtl/>
        </w:rPr>
        <w:t xml:space="preserve">: בטיל זכוותיה. </w:t>
      </w:r>
      <w:r w:rsidRPr="00143FD2">
        <w:rPr>
          <w:rFonts w:cs="Arial"/>
          <w:u w:val="single"/>
          <w:rtl/>
        </w:rPr>
        <w:t>אמר ליה רבא</w:t>
      </w:r>
      <w:r w:rsidRPr="00143FD2">
        <w:rPr>
          <w:rFonts w:cs="Arial"/>
          <w:rtl/>
        </w:rPr>
        <w:t>: אנוס הוא, ואנוס רחמנא פטריה, דכתיב: ולנערה לא תעשה דבר!</w:t>
      </w:r>
      <w:r>
        <w:rPr>
          <w:rFonts w:hint="cs"/>
          <w:rtl/>
        </w:rPr>
        <w:t xml:space="preserve">... </w:t>
      </w:r>
      <w:r>
        <w:rPr>
          <w:rFonts w:hint="cs"/>
          <w:sz w:val="14"/>
          <w:szCs w:val="14"/>
          <w:rtl/>
        </w:rPr>
        <w:t>(כז:)</w:t>
      </w:r>
      <w:r w:rsidRPr="00143FD2">
        <w:rPr>
          <w:rFonts w:cs="Arial"/>
          <w:rtl/>
        </w:rPr>
        <w:t xml:space="preserve"> והלכתא: אסמכתא קניא; והוא דלא אניס, והוא דקנו מיניה בב"ד חשוב.</w:t>
      </w:r>
      <w:r>
        <w:rPr>
          <w:rFonts w:hint="cs"/>
          <w:sz w:val="16"/>
          <w:szCs w:val="16"/>
          <w:rtl/>
        </w:rPr>
        <w:t xml:space="preserve"> (הש"ך (סק"ג) הביא גמרא זו, ותמה על הב"י שלא הביאה) </w:t>
      </w:r>
    </w:p>
    <w:p w14:paraId="76B67978" w14:textId="77777777" w:rsidR="00961B80" w:rsidRPr="00961B80" w:rsidRDefault="00961B80" w:rsidP="00961B80">
      <w:pPr>
        <w:rPr>
          <w:rFonts w:cs="Arial"/>
          <w:u w:val="single"/>
          <w:rtl/>
        </w:rPr>
      </w:pPr>
      <w:r w:rsidRPr="00961B80">
        <w:rPr>
          <w:u w:val="single"/>
          <w:rtl/>
        </w:rPr>
        <w:t>מי שקבל עליו להשלים הדין ליום ידוע ונאנס</w:t>
      </w:r>
      <w:r w:rsidRPr="00961B80">
        <w:rPr>
          <w:rFonts w:cs="Arial" w:hint="cs"/>
          <w:u w:val="single"/>
          <w:rtl/>
        </w:rPr>
        <w:t>:</w:t>
      </w:r>
    </w:p>
    <w:p w14:paraId="515EDE70" w14:textId="77777777" w:rsidR="00961B80" w:rsidRPr="00961B80" w:rsidRDefault="00961B80" w:rsidP="004B0475">
      <w:pPr>
        <w:pStyle w:val="ac"/>
        <w:numPr>
          <w:ilvl w:val="0"/>
          <w:numId w:val="26"/>
        </w:numPr>
        <w:rPr>
          <w:rtl/>
        </w:rPr>
      </w:pPr>
      <w:r w:rsidRPr="00961B80">
        <w:rPr>
          <w:rFonts w:cs="Arial"/>
          <w:rtl/>
        </w:rPr>
        <w:t xml:space="preserve">רמב"ם </w:t>
      </w:r>
      <w:r w:rsidRPr="00961B80">
        <w:rPr>
          <w:rFonts w:cs="Arial" w:hint="cs"/>
          <w:sz w:val="16"/>
          <w:szCs w:val="16"/>
          <w:rtl/>
        </w:rPr>
        <w:t>(</w:t>
      </w:r>
      <w:r w:rsidRPr="00961B80">
        <w:rPr>
          <w:rFonts w:cs="Arial"/>
          <w:sz w:val="16"/>
          <w:szCs w:val="16"/>
          <w:rtl/>
        </w:rPr>
        <w:t>פ"ז מהל</w:t>
      </w:r>
      <w:r w:rsidRPr="00961B80">
        <w:rPr>
          <w:rFonts w:cs="Arial" w:hint="cs"/>
          <w:sz w:val="16"/>
          <w:szCs w:val="16"/>
          <w:rtl/>
        </w:rPr>
        <w:t xml:space="preserve">' </w:t>
      </w:r>
      <w:r w:rsidRPr="00961B80">
        <w:rPr>
          <w:rFonts w:cs="Arial"/>
          <w:sz w:val="16"/>
          <w:szCs w:val="16"/>
          <w:rtl/>
        </w:rPr>
        <w:t>סנהדרין ה"ו)</w:t>
      </w:r>
      <w:r w:rsidRPr="00961B80">
        <w:rPr>
          <w:rFonts w:cs="Arial" w:hint="cs"/>
          <w:rtl/>
        </w:rPr>
        <w:t xml:space="preserve"> וטור- </w:t>
      </w:r>
      <w:r w:rsidRPr="00961B80">
        <w:rPr>
          <w:rFonts w:cs="Arial"/>
          <w:rtl/>
        </w:rPr>
        <w:t>מי שקנו מידו</w:t>
      </w:r>
      <w:r>
        <w:rPr>
          <w:rStyle w:val="ab"/>
          <w:rFonts w:cs="Arial"/>
          <w:rtl/>
        </w:rPr>
        <w:footnoteReference w:id="1067"/>
      </w:r>
      <w:r w:rsidRPr="00961B80">
        <w:rPr>
          <w:rFonts w:cs="Arial"/>
          <w:rtl/>
        </w:rPr>
        <w:t xml:space="preserve"> שאם לא יבא ליום פלוני וישבע שיהא חבירו נאמן בטענותיו ויטול כל מה שטען בלא שבועה</w:t>
      </w:r>
      <w:r w:rsidR="00B16E39">
        <w:rPr>
          <w:rFonts w:cs="Arial" w:hint="cs"/>
          <w:rtl/>
        </w:rPr>
        <w:t>,</w:t>
      </w:r>
      <w:r w:rsidRPr="00961B80">
        <w:rPr>
          <w:rFonts w:cs="Arial"/>
          <w:rtl/>
        </w:rPr>
        <w:t xml:space="preserve"> או שאם לא יבא ליום פלוני וישבע ויטול אבד כל זכותו ויפטור חבירו</w:t>
      </w:r>
      <w:r w:rsidR="00B16E39">
        <w:rPr>
          <w:rFonts w:cs="Arial" w:hint="cs"/>
          <w:rtl/>
        </w:rPr>
        <w:t>,</w:t>
      </w:r>
      <w:r w:rsidRPr="00961B80">
        <w:rPr>
          <w:rFonts w:cs="Arial"/>
          <w:rtl/>
        </w:rPr>
        <w:t xml:space="preserve"> ועבר היום ולא בא</w:t>
      </w:r>
      <w:r w:rsidR="00B16E39">
        <w:rPr>
          <w:rFonts w:cs="Arial" w:hint="cs"/>
          <w:rtl/>
        </w:rPr>
        <w:t xml:space="preserve"> -</w:t>
      </w:r>
      <w:r w:rsidRPr="00961B80">
        <w:rPr>
          <w:rFonts w:cs="Arial"/>
          <w:rtl/>
        </w:rPr>
        <w:t xml:space="preserve"> נתקיימו התנאים ואבד כל זכותו</w:t>
      </w:r>
      <w:r w:rsidR="00B16E39">
        <w:rPr>
          <w:rFonts w:cs="Arial" w:hint="cs"/>
          <w:rtl/>
        </w:rPr>
        <w:t>.</w:t>
      </w:r>
      <w:r w:rsidRPr="00961B80">
        <w:rPr>
          <w:rFonts w:cs="Arial"/>
          <w:rtl/>
        </w:rPr>
        <w:t xml:space="preserve"> ואם הביא ראיה שהיה אנוס באותו יום</w:t>
      </w:r>
      <w:r w:rsidR="00B16E39">
        <w:rPr>
          <w:rFonts w:cs="Arial" w:hint="cs"/>
          <w:rtl/>
        </w:rPr>
        <w:t xml:space="preserve"> -</w:t>
      </w:r>
      <w:r w:rsidRPr="00961B80">
        <w:rPr>
          <w:rFonts w:cs="Arial"/>
          <w:rtl/>
        </w:rPr>
        <w:t xml:space="preserve"> הרי זה פטור מקנין זה וישבע כשיתבענו חבירו כמו שהיה מקודם</w:t>
      </w:r>
      <w:r w:rsidR="00B16E39">
        <w:rPr>
          <w:rFonts w:cs="Arial" w:hint="cs"/>
          <w:rtl/>
        </w:rPr>
        <w:t>.</w:t>
      </w:r>
      <w:r w:rsidRPr="00961B80">
        <w:rPr>
          <w:rFonts w:cs="Arial"/>
          <w:rtl/>
        </w:rPr>
        <w:t xml:space="preserve"> וכן כל כיוצא בזה</w:t>
      </w:r>
      <w:r>
        <w:rPr>
          <w:rStyle w:val="ab"/>
          <w:rFonts w:cs="Arial"/>
          <w:rtl/>
        </w:rPr>
        <w:footnoteReference w:id="1068"/>
      </w:r>
      <w:r>
        <w:rPr>
          <w:rFonts w:cs="Arial" w:hint="cs"/>
          <w:rtl/>
        </w:rPr>
        <w:t>.</w:t>
      </w:r>
      <w:r w:rsidR="00F52591">
        <w:rPr>
          <w:rFonts w:cs="Arial" w:hint="cs"/>
          <w:rtl/>
        </w:rPr>
        <w:t xml:space="preserve"> </w:t>
      </w:r>
      <w:r w:rsidR="00F52591" w:rsidRPr="00D87EA6">
        <w:rPr>
          <w:rFonts w:cs="Arial" w:hint="cs"/>
          <w:color w:val="E36C0A" w:themeColor="accent6" w:themeShade="BF"/>
          <w:rtl/>
        </w:rPr>
        <w:t>(וכ"פ בשו"ע)</w:t>
      </w:r>
    </w:p>
    <w:p w14:paraId="3F88539E" w14:textId="77777777" w:rsidR="00E137BC" w:rsidRPr="00576D5C" w:rsidRDefault="00E137BC" w:rsidP="00576D5C">
      <w:pPr>
        <w:rPr>
          <w:rFonts w:asciiTheme="minorBidi" w:hAnsiTheme="minorBidi"/>
          <w:b/>
          <w:bCs/>
          <w:color w:val="000000"/>
          <w:sz w:val="28"/>
          <w:szCs w:val="28"/>
          <w:u w:val="single"/>
          <w:rtl/>
        </w:rPr>
      </w:pPr>
      <w:r w:rsidRPr="00576D5C">
        <w:rPr>
          <w:rFonts w:asciiTheme="minorBidi" w:hAnsiTheme="minorBidi"/>
          <w:b/>
          <w:bCs/>
          <w:color w:val="000000"/>
          <w:sz w:val="28"/>
          <w:szCs w:val="28"/>
          <w:u w:val="single"/>
          <w:rtl/>
        </w:rPr>
        <w:t>שו"ע:</w:t>
      </w:r>
    </w:p>
    <w:p w14:paraId="6BFCA192" w14:textId="77777777" w:rsidR="00E137BC" w:rsidRPr="00576D5C" w:rsidRDefault="00E137BC" w:rsidP="00B14E42">
      <w:pPr>
        <w:rPr>
          <w:rFonts w:asciiTheme="minorBidi" w:hAnsiTheme="minorBidi"/>
          <w:rtl/>
        </w:rPr>
        <w:sectPr w:rsidR="00E137BC" w:rsidRPr="00576D5C" w:rsidSect="00AF3AF9">
          <w:headerReference w:type="default" r:id="rId31"/>
          <w:footnotePr>
            <w:numRestart w:val="eachPage"/>
          </w:footnotePr>
          <w:pgSz w:w="11906" w:h="16838"/>
          <w:pgMar w:top="720" w:right="1134" w:bottom="720" w:left="1134" w:header="0" w:footer="0" w:gutter="0"/>
          <w:cols w:space="720"/>
          <w:bidi/>
          <w:rtlGutter/>
          <w:docGrid w:linePitch="360"/>
        </w:sectPr>
      </w:pPr>
      <w:r w:rsidRPr="00576D5C">
        <w:rPr>
          <w:rFonts w:asciiTheme="minorBidi" w:hAnsiTheme="minorBidi"/>
          <w:rtl/>
        </w:rPr>
        <w:t>מי שקנו מידו שאם לא יבא ביום פלוני וישבע יהיה חבירו נאמן בטענותיו ויטול כל מה שטען בלא שבועה, או שאם לא יבא ביום פלוני וישבע ויטול אבד זכותו ואין לו כלום ויפטר חבירו, ועבר היום ולא בא, נתקיימו התנאים ואבד זכותו</w:t>
      </w:r>
      <w:r w:rsidR="00485247">
        <w:rPr>
          <w:rStyle w:val="ab"/>
          <w:rFonts w:asciiTheme="minorBidi" w:hAnsiTheme="minorBidi"/>
          <w:rtl/>
        </w:rPr>
        <w:footnoteReference w:id="1069"/>
      </w:r>
      <w:r w:rsidRPr="00576D5C">
        <w:rPr>
          <w:rFonts w:asciiTheme="minorBidi" w:hAnsiTheme="minorBidi"/>
          <w:rtl/>
        </w:rPr>
        <w:t xml:space="preserve"> </w:t>
      </w:r>
      <w:r w:rsidR="001F2D3C" w:rsidRPr="001F2D3C">
        <w:rPr>
          <w:rFonts w:asciiTheme="minorBidi" w:hAnsiTheme="minorBidi" w:hint="cs"/>
          <w:sz w:val="18"/>
          <w:szCs w:val="18"/>
          <w:rtl/>
        </w:rPr>
        <w:t xml:space="preserve">[הגה] </w:t>
      </w:r>
      <w:r w:rsidRPr="001F2D3C">
        <w:rPr>
          <w:rFonts w:asciiTheme="minorBidi" w:hAnsiTheme="minorBidi"/>
          <w:sz w:val="18"/>
          <w:szCs w:val="18"/>
          <w:rtl/>
        </w:rPr>
        <w:t>מיד, ואין נותנים לו זמן יותר</w:t>
      </w:r>
      <w:r w:rsidR="009F33FC">
        <w:rPr>
          <w:rStyle w:val="ab"/>
          <w:rFonts w:asciiTheme="minorBidi" w:hAnsiTheme="minorBidi"/>
          <w:sz w:val="18"/>
          <w:szCs w:val="18"/>
          <w:rtl/>
        </w:rPr>
        <w:footnoteReference w:id="1070"/>
      </w:r>
      <w:r w:rsidRPr="001F2D3C">
        <w:rPr>
          <w:rFonts w:asciiTheme="minorBidi" w:hAnsiTheme="minorBidi"/>
          <w:sz w:val="18"/>
          <w:szCs w:val="18"/>
          <w:rtl/>
        </w:rPr>
        <w:t xml:space="preserve"> (ב"י בסי' יט בשם הרשב"א).</w:t>
      </w:r>
      <w:r w:rsidRPr="00576D5C">
        <w:rPr>
          <w:rFonts w:asciiTheme="minorBidi" w:hAnsiTheme="minorBidi"/>
          <w:rtl/>
        </w:rPr>
        <w:t xml:space="preserve"> ואם הביא ראיה שהיה אנוס באותו היום, ה</w:t>
      </w:r>
      <w:r w:rsidR="001F2D3C">
        <w:rPr>
          <w:rFonts w:asciiTheme="minorBidi" w:hAnsiTheme="minorBidi" w:hint="cs"/>
          <w:rtl/>
        </w:rPr>
        <w:t xml:space="preserve">רי </w:t>
      </w:r>
      <w:r w:rsidRPr="00576D5C">
        <w:rPr>
          <w:rFonts w:asciiTheme="minorBidi" w:hAnsiTheme="minorBidi"/>
          <w:rtl/>
        </w:rPr>
        <w:t>ז</w:t>
      </w:r>
      <w:r w:rsidR="001F2D3C">
        <w:rPr>
          <w:rFonts w:asciiTheme="minorBidi" w:hAnsiTheme="minorBidi" w:hint="cs"/>
          <w:rtl/>
        </w:rPr>
        <w:t>ה</w:t>
      </w:r>
      <w:r w:rsidRPr="00576D5C">
        <w:rPr>
          <w:rFonts w:asciiTheme="minorBidi" w:hAnsiTheme="minorBidi"/>
          <w:rtl/>
        </w:rPr>
        <w:t xml:space="preserve"> פטור מקנין זה</w:t>
      </w:r>
      <w:r w:rsidR="009F33FC">
        <w:rPr>
          <w:rStyle w:val="ab"/>
          <w:rFonts w:asciiTheme="minorBidi" w:hAnsiTheme="minorBidi"/>
          <w:rtl/>
        </w:rPr>
        <w:footnoteReference w:id="1071"/>
      </w:r>
      <w:r w:rsidRPr="00576D5C">
        <w:rPr>
          <w:rFonts w:asciiTheme="minorBidi" w:hAnsiTheme="minorBidi"/>
          <w:rtl/>
        </w:rPr>
        <w:t>, וישבע כשיתבענו חבירו</w:t>
      </w:r>
      <w:r w:rsidR="009F33FC">
        <w:rPr>
          <w:rStyle w:val="ab"/>
          <w:rFonts w:asciiTheme="minorBidi" w:hAnsiTheme="minorBidi"/>
          <w:rtl/>
        </w:rPr>
        <w:footnoteReference w:id="1072"/>
      </w:r>
      <w:r w:rsidRPr="00576D5C">
        <w:rPr>
          <w:rFonts w:asciiTheme="minorBidi" w:hAnsiTheme="minorBidi"/>
          <w:rtl/>
        </w:rPr>
        <w:t xml:space="preserve"> כמו שהיה מקודם, וכן כל כיוצא בזה. </w:t>
      </w:r>
      <w:r w:rsidR="001F2D3C" w:rsidRPr="001F2D3C">
        <w:rPr>
          <w:rFonts w:asciiTheme="minorBidi" w:hAnsiTheme="minorBidi" w:hint="cs"/>
          <w:sz w:val="18"/>
          <w:szCs w:val="18"/>
          <w:rtl/>
        </w:rPr>
        <w:t xml:space="preserve">[הגה] </w:t>
      </w:r>
      <w:r w:rsidRPr="001F2D3C">
        <w:rPr>
          <w:rFonts w:asciiTheme="minorBidi" w:hAnsiTheme="minorBidi"/>
          <w:sz w:val="18"/>
          <w:szCs w:val="18"/>
          <w:rtl/>
        </w:rPr>
        <w:t>וכל זה כשקנו מידו</w:t>
      </w:r>
      <w:r w:rsidR="009F33FC">
        <w:rPr>
          <w:rStyle w:val="ab"/>
          <w:rFonts w:asciiTheme="minorBidi" w:hAnsiTheme="minorBidi"/>
          <w:sz w:val="18"/>
          <w:szCs w:val="18"/>
          <w:rtl/>
        </w:rPr>
        <w:footnoteReference w:id="1073"/>
      </w:r>
      <w:r w:rsidRPr="001F2D3C">
        <w:rPr>
          <w:rFonts w:asciiTheme="minorBidi" w:hAnsiTheme="minorBidi"/>
          <w:sz w:val="18"/>
          <w:szCs w:val="18"/>
          <w:rtl/>
        </w:rPr>
        <w:t>, אבל בלאו הכי, לא, דהוי אסמכתא (מרדכי ריש סנהדרין ותשו</w:t>
      </w:r>
      <w:r w:rsidR="00F52591">
        <w:rPr>
          <w:rFonts w:asciiTheme="minorBidi" w:hAnsiTheme="minorBidi" w:hint="cs"/>
          <w:sz w:val="18"/>
          <w:szCs w:val="18"/>
          <w:rtl/>
        </w:rPr>
        <w:t>'</w:t>
      </w:r>
      <w:r w:rsidRPr="001F2D3C">
        <w:rPr>
          <w:rFonts w:asciiTheme="minorBidi" w:hAnsiTheme="minorBidi"/>
          <w:sz w:val="18"/>
          <w:szCs w:val="18"/>
          <w:rtl/>
        </w:rPr>
        <w:t xml:space="preserve"> הרשב"א סי</w:t>
      </w:r>
      <w:r w:rsidR="00F52591">
        <w:rPr>
          <w:rFonts w:asciiTheme="minorBidi" w:hAnsiTheme="minorBidi" w:hint="cs"/>
          <w:sz w:val="18"/>
          <w:szCs w:val="18"/>
          <w:rtl/>
        </w:rPr>
        <w:t>'</w:t>
      </w:r>
      <w:r w:rsidRPr="001F2D3C">
        <w:rPr>
          <w:rFonts w:asciiTheme="minorBidi" w:hAnsiTheme="minorBidi"/>
          <w:sz w:val="18"/>
          <w:szCs w:val="18"/>
          <w:rtl/>
        </w:rPr>
        <w:t xml:space="preserve"> תתצט ועי</w:t>
      </w:r>
      <w:r w:rsidR="00F52591">
        <w:rPr>
          <w:rFonts w:asciiTheme="minorBidi" w:hAnsiTheme="minorBidi" w:hint="cs"/>
          <w:sz w:val="18"/>
          <w:szCs w:val="18"/>
          <w:rtl/>
        </w:rPr>
        <w:t>'</w:t>
      </w:r>
      <w:r w:rsidRPr="001F2D3C">
        <w:rPr>
          <w:rFonts w:asciiTheme="minorBidi" w:hAnsiTheme="minorBidi"/>
          <w:sz w:val="18"/>
          <w:szCs w:val="18"/>
          <w:rtl/>
        </w:rPr>
        <w:t xml:space="preserve"> לקמן סי</w:t>
      </w:r>
      <w:r w:rsidR="00F52591">
        <w:rPr>
          <w:rFonts w:asciiTheme="minorBidi" w:hAnsiTheme="minorBidi" w:hint="cs"/>
          <w:sz w:val="18"/>
          <w:szCs w:val="18"/>
          <w:rtl/>
        </w:rPr>
        <w:t>'</w:t>
      </w:r>
      <w:r w:rsidRPr="001F2D3C">
        <w:rPr>
          <w:rFonts w:asciiTheme="minorBidi" w:hAnsiTheme="minorBidi"/>
          <w:sz w:val="18"/>
          <w:szCs w:val="18"/>
          <w:rtl/>
        </w:rPr>
        <w:t xml:space="preserve"> רז).</w:t>
      </w:r>
    </w:p>
    <w:p w14:paraId="55CF61B0" w14:textId="77777777" w:rsidR="00E137BC" w:rsidRPr="00576D5C" w:rsidRDefault="00E137BC" w:rsidP="006567B0">
      <w:pPr>
        <w:pStyle w:val="1"/>
        <w:rPr>
          <w:rtl/>
        </w:rPr>
      </w:pPr>
      <w:bookmarkStart w:id="169" w:name="_Toc24883652"/>
      <w:r w:rsidRPr="00576D5C">
        <w:rPr>
          <w:rtl/>
        </w:rPr>
        <w:lastRenderedPageBreak/>
        <w:t>סימן כ</w:t>
      </w:r>
      <w:r w:rsidR="00915840">
        <w:rPr>
          <w:rFonts w:hint="cs"/>
          <w:rtl/>
        </w:rPr>
        <w:t>ב</w:t>
      </w:r>
      <w:r w:rsidRPr="00576D5C">
        <w:rPr>
          <w:rtl/>
        </w:rPr>
        <w:t>: מי שקבל עליו קרוב ופסול, ודין שבועה והפוכה, ובו ג' סעיפים.</w:t>
      </w:r>
      <w:bookmarkEnd w:id="169"/>
      <w:r w:rsidRPr="00576D5C">
        <w:rPr>
          <w:rtl/>
        </w:rPr>
        <w:t xml:space="preserve"> </w:t>
      </w:r>
    </w:p>
    <w:p w14:paraId="0FE37C53" w14:textId="77777777" w:rsidR="00E137BC" w:rsidRDefault="00E137BC" w:rsidP="006567B0">
      <w:pPr>
        <w:pStyle w:val="2"/>
        <w:rPr>
          <w:rtl/>
        </w:rPr>
      </w:pPr>
      <w:bookmarkStart w:id="170" w:name="_Toc24883653"/>
      <w:r w:rsidRPr="00576D5C">
        <w:rPr>
          <w:rtl/>
        </w:rPr>
        <w:t>סעיף א</w:t>
      </w:r>
      <w:r w:rsidR="009E7277">
        <w:rPr>
          <w:rFonts w:hint="cs"/>
          <w:rtl/>
        </w:rPr>
        <w:t>:</w:t>
      </w:r>
      <w:r w:rsidR="00F51149">
        <w:rPr>
          <w:rFonts w:hint="cs"/>
          <w:rtl/>
        </w:rPr>
        <w:t xml:space="preserve"> קיבל עליו קרוב או פסול.</w:t>
      </w:r>
      <w:bookmarkEnd w:id="170"/>
    </w:p>
    <w:p w14:paraId="25253866" w14:textId="77777777" w:rsidR="00AE02DA" w:rsidRDefault="00ED5DE7" w:rsidP="00ED5DE7">
      <w:pPr>
        <w:rPr>
          <w:rFonts w:cs="Arial"/>
          <w:sz w:val="16"/>
          <w:szCs w:val="16"/>
          <w:rtl/>
        </w:rPr>
      </w:pPr>
      <w:r w:rsidRPr="00AC714E">
        <w:rPr>
          <w:rFonts w:cs="Arial"/>
          <w:b/>
          <w:bCs/>
          <w:rtl/>
        </w:rPr>
        <w:t>סנהדרין</w:t>
      </w:r>
      <w:r w:rsidRPr="00AC714E">
        <w:rPr>
          <w:rFonts w:cs="Arial"/>
          <w:b/>
          <w:bCs/>
          <w:sz w:val="16"/>
          <w:szCs w:val="16"/>
          <w:rtl/>
        </w:rPr>
        <w:t xml:space="preserve"> </w:t>
      </w:r>
      <w:r w:rsidRPr="00AC714E">
        <w:rPr>
          <w:rFonts w:cs="Arial" w:hint="cs"/>
          <w:b/>
          <w:bCs/>
          <w:sz w:val="16"/>
          <w:szCs w:val="16"/>
          <w:rtl/>
        </w:rPr>
        <w:t>(</w:t>
      </w:r>
      <w:r w:rsidRPr="00AC714E">
        <w:rPr>
          <w:rFonts w:cs="Arial"/>
          <w:b/>
          <w:bCs/>
          <w:sz w:val="16"/>
          <w:szCs w:val="16"/>
          <w:rtl/>
        </w:rPr>
        <w:t>פ</w:t>
      </w:r>
      <w:r w:rsidRPr="00AC714E">
        <w:rPr>
          <w:rFonts w:cs="Arial" w:hint="cs"/>
          <w:b/>
          <w:bCs/>
          <w:sz w:val="16"/>
          <w:szCs w:val="16"/>
          <w:rtl/>
        </w:rPr>
        <w:t>'</w:t>
      </w:r>
      <w:r w:rsidRPr="00AC714E">
        <w:rPr>
          <w:rFonts w:cs="Arial"/>
          <w:b/>
          <w:bCs/>
          <w:sz w:val="16"/>
          <w:szCs w:val="16"/>
          <w:rtl/>
        </w:rPr>
        <w:t xml:space="preserve"> זה בורר</w:t>
      </w:r>
      <w:r w:rsidRPr="00AC714E">
        <w:rPr>
          <w:rFonts w:cs="Arial" w:hint="cs"/>
          <w:b/>
          <w:bCs/>
          <w:sz w:val="16"/>
          <w:szCs w:val="16"/>
          <w:rtl/>
        </w:rPr>
        <w:t>)</w:t>
      </w:r>
      <w:r w:rsidRPr="00AC714E">
        <w:rPr>
          <w:rFonts w:cs="Arial"/>
          <w:b/>
          <w:bCs/>
          <w:sz w:val="16"/>
          <w:szCs w:val="16"/>
          <w:rtl/>
        </w:rPr>
        <w:t xml:space="preserve"> </w:t>
      </w:r>
      <w:r w:rsidRPr="00AC714E">
        <w:rPr>
          <w:rFonts w:cs="Arial"/>
          <w:b/>
          <w:bCs/>
          <w:rtl/>
        </w:rPr>
        <w:t>כד</w:t>
      </w:r>
      <w:r w:rsidR="00A071A5">
        <w:rPr>
          <w:rStyle w:val="ab"/>
          <w:rFonts w:cs="Arial"/>
          <w:b/>
          <w:bCs/>
          <w:rtl/>
        </w:rPr>
        <w:footnoteReference w:id="1074"/>
      </w:r>
      <w:r w:rsidRPr="00AC714E">
        <w:rPr>
          <w:rFonts w:cs="Arial" w:hint="cs"/>
          <w:b/>
          <w:bCs/>
          <w:rtl/>
        </w:rPr>
        <w:t xml:space="preserve"> ע"א:</w:t>
      </w:r>
      <w:r w:rsidRPr="009E27FD">
        <w:rPr>
          <w:rFonts w:cs="Arial"/>
          <w:rtl/>
        </w:rPr>
        <w:t xml:space="preserve"> </w:t>
      </w:r>
      <w:r w:rsidRPr="00AC714E">
        <w:rPr>
          <w:rFonts w:cs="Arial"/>
          <w:u w:val="double"/>
          <w:rtl/>
        </w:rPr>
        <w:t>משנה</w:t>
      </w:r>
      <w:r>
        <w:rPr>
          <w:rFonts w:cs="Arial" w:hint="cs"/>
          <w:u w:val="double"/>
          <w:rtl/>
        </w:rPr>
        <w:t>:</w:t>
      </w:r>
      <w:r w:rsidRPr="00AC714E">
        <w:rPr>
          <w:rFonts w:cs="Arial"/>
          <w:rtl/>
        </w:rPr>
        <w:t xml:space="preserve"> אמר לו: נאמן עלי אבא, נאמן עלי אביך נאמנים עלי שלשה רועי בקר, </w:t>
      </w:r>
      <w:r w:rsidRPr="00AC714E">
        <w:rPr>
          <w:rFonts w:cs="Arial"/>
          <w:u w:val="single"/>
          <w:rtl/>
        </w:rPr>
        <w:t>רבי מאיר</w:t>
      </w:r>
      <w:r w:rsidRPr="00AC714E">
        <w:rPr>
          <w:rFonts w:cs="Arial"/>
          <w:rtl/>
        </w:rPr>
        <w:t xml:space="preserve"> </w:t>
      </w:r>
      <w:r w:rsidRPr="00AC714E">
        <w:rPr>
          <w:rFonts w:cs="Arial"/>
          <w:u w:val="single"/>
          <w:rtl/>
        </w:rPr>
        <w:t>אומר</w:t>
      </w:r>
      <w:r w:rsidRPr="00AC714E">
        <w:rPr>
          <w:rFonts w:cs="Arial"/>
          <w:rtl/>
        </w:rPr>
        <w:t xml:space="preserve">: יכול לחזור בו, </w:t>
      </w:r>
      <w:r w:rsidRPr="00AC714E">
        <w:rPr>
          <w:rFonts w:cs="Arial"/>
          <w:u w:val="single"/>
          <w:rtl/>
        </w:rPr>
        <w:t>וחכמים אומרים</w:t>
      </w:r>
      <w:r w:rsidRPr="00AC714E">
        <w:rPr>
          <w:rFonts w:cs="Arial"/>
          <w:rtl/>
        </w:rPr>
        <w:t>: אינו יכול לחזור בו.</w:t>
      </w:r>
      <w:r>
        <w:rPr>
          <w:rFonts w:cs="Arial" w:hint="cs"/>
          <w:rtl/>
        </w:rPr>
        <w:t>..</w:t>
      </w:r>
      <w:r w:rsidRPr="00AC714E">
        <w:rPr>
          <w:rFonts w:cs="Arial"/>
          <w:rtl/>
        </w:rPr>
        <w:t xml:space="preserve"> </w:t>
      </w:r>
      <w:r>
        <w:rPr>
          <w:rFonts w:cs="Arial" w:hint="cs"/>
          <w:rtl/>
        </w:rPr>
        <w:t xml:space="preserve">    </w:t>
      </w:r>
      <w:r w:rsidRPr="00AC714E">
        <w:rPr>
          <w:rFonts w:cs="Arial" w:hint="cs"/>
          <w:u w:val="double"/>
          <w:rtl/>
        </w:rPr>
        <w:t>גמרא:</w:t>
      </w:r>
      <w:r w:rsidR="00F05402">
        <w:rPr>
          <w:rFonts w:cs="Arial" w:hint="cs"/>
          <w:rtl/>
        </w:rPr>
        <w:t xml:space="preserve">... </w:t>
      </w:r>
      <w:r w:rsidRPr="00AC714E">
        <w:rPr>
          <w:rFonts w:cs="Arial"/>
          <w:u w:val="single"/>
          <w:rtl/>
        </w:rPr>
        <w:t>אמר רב יהודה אמר שמואל</w:t>
      </w:r>
      <w:r w:rsidRPr="00AC714E">
        <w:rPr>
          <w:rFonts w:cs="Arial"/>
          <w:rtl/>
        </w:rPr>
        <w:t>: מחלוקת במחול לך</w:t>
      </w:r>
      <w:r>
        <w:rPr>
          <w:rStyle w:val="ab"/>
          <w:rFonts w:cs="Arial"/>
          <w:rtl/>
        </w:rPr>
        <w:footnoteReference w:id="1075"/>
      </w:r>
      <w:r w:rsidRPr="00AC714E">
        <w:rPr>
          <w:rFonts w:cs="Arial"/>
          <w:rtl/>
        </w:rPr>
        <w:t>, אבל באתן לך</w:t>
      </w:r>
      <w:r>
        <w:rPr>
          <w:rStyle w:val="ab"/>
          <w:rFonts w:cs="Arial"/>
          <w:rtl/>
        </w:rPr>
        <w:footnoteReference w:id="1076"/>
      </w:r>
      <w:r w:rsidRPr="00AC714E">
        <w:rPr>
          <w:rFonts w:cs="Arial"/>
          <w:rtl/>
        </w:rPr>
        <w:t xml:space="preserve"> - דברי הכל יכול לחזור בו. </w:t>
      </w:r>
      <w:r w:rsidRPr="00AC714E">
        <w:rPr>
          <w:rFonts w:cs="Arial"/>
          <w:u w:val="single"/>
          <w:rtl/>
        </w:rPr>
        <w:t>ורבי יוחנן אמר</w:t>
      </w:r>
      <w:r w:rsidRPr="00AC714E">
        <w:rPr>
          <w:rFonts w:cs="Arial"/>
          <w:rtl/>
        </w:rPr>
        <w:t>: באתן לך מחלוקת.</w:t>
      </w:r>
      <w:r>
        <w:rPr>
          <w:rFonts w:cs="Arial" w:hint="cs"/>
          <w:rtl/>
        </w:rPr>
        <w:t xml:space="preserve">.. </w:t>
      </w:r>
      <w:r>
        <w:rPr>
          <w:rFonts w:cs="Arial" w:hint="cs"/>
          <w:sz w:val="14"/>
          <w:szCs w:val="14"/>
          <w:rtl/>
        </w:rPr>
        <w:t xml:space="preserve">(כד:) </w:t>
      </w:r>
      <w:r w:rsidRPr="00AC714E">
        <w:rPr>
          <w:rFonts w:cs="Arial"/>
          <w:u w:val="single"/>
          <w:rtl/>
        </w:rPr>
        <w:t>אמר ריש לקיש</w:t>
      </w:r>
      <w:r w:rsidRPr="00AC714E">
        <w:rPr>
          <w:rFonts w:cs="Arial"/>
          <w:rtl/>
        </w:rPr>
        <w:t>: מחלוקת לפני גמר דין</w:t>
      </w:r>
      <w:r>
        <w:rPr>
          <w:rStyle w:val="ab"/>
          <w:rFonts w:cs="Arial"/>
          <w:rtl/>
        </w:rPr>
        <w:footnoteReference w:id="1077"/>
      </w:r>
      <w:r w:rsidRPr="00AC714E">
        <w:rPr>
          <w:rFonts w:cs="Arial"/>
          <w:rtl/>
        </w:rPr>
        <w:t>, אבל לאחר גמר דין - דברי הכל אין יכול לחזור בו</w:t>
      </w:r>
      <w:r>
        <w:rPr>
          <w:rStyle w:val="ab"/>
          <w:rFonts w:cs="Arial"/>
          <w:rtl/>
        </w:rPr>
        <w:footnoteReference w:id="1078"/>
      </w:r>
      <w:r w:rsidRPr="00AC714E">
        <w:rPr>
          <w:rFonts w:cs="Arial"/>
          <w:rtl/>
        </w:rPr>
        <w:t xml:space="preserve">. </w:t>
      </w:r>
      <w:r w:rsidRPr="00AC714E">
        <w:rPr>
          <w:rFonts w:cs="Arial"/>
          <w:u w:val="single"/>
          <w:rtl/>
        </w:rPr>
        <w:t>ורבי יוחנן אמר</w:t>
      </w:r>
      <w:r w:rsidRPr="00AC714E">
        <w:rPr>
          <w:rFonts w:cs="Arial"/>
          <w:rtl/>
        </w:rPr>
        <w:t>: לאחר גמר דין מחלוקת</w:t>
      </w:r>
      <w:r>
        <w:rPr>
          <w:rFonts w:cs="Arial" w:hint="cs"/>
          <w:rtl/>
        </w:rPr>
        <w:t>..</w:t>
      </w:r>
      <w:r w:rsidRPr="00AC714E">
        <w:rPr>
          <w:rFonts w:cs="Arial"/>
          <w:rtl/>
        </w:rPr>
        <w:t xml:space="preserve">. </w:t>
      </w:r>
      <w:r w:rsidRPr="004F6F69">
        <w:rPr>
          <w:rFonts w:cs="Arial"/>
          <w:u w:val="single"/>
          <w:rtl/>
        </w:rPr>
        <w:t>שלח ליה רב נחמן בר רב רב יצחק לרב נחמן בר יעקב</w:t>
      </w:r>
      <w:r w:rsidRPr="00AC714E">
        <w:rPr>
          <w:rFonts w:cs="Arial"/>
          <w:rtl/>
        </w:rPr>
        <w:t xml:space="preserve">: ילמדנו רבינו, לפני גמר דין מחלוקת או לאחר גמר דין מחלוקת, והלכה כדברי מי? </w:t>
      </w:r>
      <w:r w:rsidRPr="004F6F69">
        <w:rPr>
          <w:rFonts w:cs="Arial"/>
          <w:u w:val="single"/>
          <w:rtl/>
        </w:rPr>
        <w:t>שלח ליה</w:t>
      </w:r>
      <w:r w:rsidRPr="00AC714E">
        <w:rPr>
          <w:rFonts w:cs="Arial"/>
          <w:rtl/>
        </w:rPr>
        <w:t xml:space="preserve">: לאחר גמר דין מחלוקת והלכה כדברי חכמים. </w:t>
      </w:r>
      <w:r w:rsidRPr="004F6F69">
        <w:rPr>
          <w:rFonts w:cs="Arial"/>
          <w:u w:val="single"/>
          <w:rtl/>
        </w:rPr>
        <w:t>רב אשי אמר</w:t>
      </w:r>
      <w:r w:rsidRPr="00AC714E">
        <w:rPr>
          <w:rFonts w:cs="Arial"/>
          <w:rtl/>
        </w:rPr>
        <w:t xml:space="preserve">: הכי שלח ליה: באתן לך מחלוקת או במחול לך מחלוקת, והלכה כדברי מי? </w:t>
      </w:r>
      <w:r w:rsidRPr="004F6F69">
        <w:rPr>
          <w:rFonts w:cs="Arial"/>
          <w:u w:val="single"/>
          <w:rtl/>
        </w:rPr>
        <w:t>שלח ליה</w:t>
      </w:r>
      <w:r w:rsidRPr="00AC714E">
        <w:rPr>
          <w:rFonts w:cs="Arial"/>
          <w:rtl/>
        </w:rPr>
        <w:t xml:space="preserve">: באתן לך מחלוקת, והלכה כדברי חכמים. </w:t>
      </w:r>
      <w:r>
        <w:rPr>
          <w:rStyle w:val="ab"/>
          <w:rFonts w:cs="Arial"/>
          <w:rtl/>
        </w:rPr>
        <w:footnoteReference w:id="1079"/>
      </w:r>
      <w:r>
        <w:rPr>
          <w:rFonts w:cs="Arial" w:hint="cs"/>
          <w:rtl/>
        </w:rPr>
        <w:t>[</w:t>
      </w:r>
      <w:r w:rsidRPr="00AC714E">
        <w:rPr>
          <w:rFonts w:cs="Arial"/>
          <w:rtl/>
        </w:rPr>
        <w:t xml:space="preserve">בסורא מתני הכי. בפומבדיתא מתני הכי: </w:t>
      </w:r>
      <w:r w:rsidRPr="0036335A">
        <w:rPr>
          <w:rFonts w:cs="Arial"/>
          <w:u w:val="single"/>
          <w:rtl/>
        </w:rPr>
        <w:t>אמר רבי חנינא בר שלמיה</w:t>
      </w:r>
      <w:r w:rsidRPr="00AC714E">
        <w:rPr>
          <w:rFonts w:cs="Arial"/>
          <w:rtl/>
        </w:rPr>
        <w:t>:</w:t>
      </w:r>
      <w:r>
        <w:rPr>
          <w:rFonts w:cs="Arial" w:hint="cs"/>
          <w:rtl/>
        </w:rPr>
        <w:t>]</w:t>
      </w:r>
      <w:r w:rsidRPr="00AC714E">
        <w:rPr>
          <w:rFonts w:cs="Arial"/>
          <w:rtl/>
        </w:rPr>
        <w:t xml:space="preserve"> </w:t>
      </w:r>
      <w:r w:rsidRPr="004F6F69">
        <w:rPr>
          <w:rFonts w:cs="Arial"/>
          <w:u w:val="single"/>
          <w:rtl/>
        </w:rPr>
        <w:t>שלחו ליה מבי רב לשמואל</w:t>
      </w:r>
      <w:r w:rsidRPr="00AC714E">
        <w:rPr>
          <w:rFonts w:cs="Arial"/>
          <w:rtl/>
        </w:rPr>
        <w:t>: ילמדנו רבינו, לפני גמר דין וקנו מידו</w:t>
      </w:r>
      <w:r>
        <w:rPr>
          <w:rStyle w:val="ab"/>
          <w:rFonts w:cs="Arial"/>
          <w:rtl/>
        </w:rPr>
        <w:footnoteReference w:id="1080"/>
      </w:r>
      <w:r w:rsidRPr="00AC714E">
        <w:rPr>
          <w:rFonts w:cs="Arial"/>
          <w:rtl/>
        </w:rPr>
        <w:t xml:space="preserve"> מאי? </w:t>
      </w:r>
      <w:r w:rsidRPr="004F6F69">
        <w:rPr>
          <w:rFonts w:cs="Arial"/>
          <w:u w:val="single"/>
          <w:rtl/>
        </w:rPr>
        <w:t>שלח להו</w:t>
      </w:r>
      <w:r>
        <w:rPr>
          <w:rFonts w:cs="Arial" w:hint="cs"/>
          <w:rtl/>
        </w:rPr>
        <w:t>:</w:t>
      </w:r>
      <w:r w:rsidRPr="00AC714E">
        <w:rPr>
          <w:rFonts w:cs="Arial"/>
          <w:rtl/>
        </w:rPr>
        <w:t xml:space="preserve"> אין לאחר קניין כלום. </w:t>
      </w:r>
      <w:r w:rsidRPr="00B10EEA">
        <w:rPr>
          <w:rFonts w:cs="Arial" w:hint="cs"/>
          <w:sz w:val="16"/>
          <w:szCs w:val="16"/>
          <w:rtl/>
        </w:rPr>
        <w:t>(וכתבו ה</w:t>
      </w:r>
      <w:r w:rsidRPr="00B10EEA">
        <w:rPr>
          <w:rFonts w:cs="Arial"/>
          <w:sz w:val="16"/>
          <w:szCs w:val="16"/>
          <w:rtl/>
        </w:rPr>
        <w:t xml:space="preserve">רי"ף (ד:) </w:t>
      </w:r>
      <w:r w:rsidRPr="00B10EEA">
        <w:rPr>
          <w:rFonts w:cs="Arial" w:hint="cs"/>
          <w:sz w:val="16"/>
          <w:szCs w:val="16"/>
          <w:rtl/>
        </w:rPr>
        <w:t>וה</w:t>
      </w:r>
      <w:r w:rsidRPr="00B10EEA">
        <w:rPr>
          <w:rFonts w:cs="Arial"/>
          <w:sz w:val="16"/>
          <w:szCs w:val="16"/>
          <w:rtl/>
        </w:rPr>
        <w:t>רא"ש (סי' ד-ה)</w:t>
      </w:r>
      <w:r w:rsidRPr="00B10EEA">
        <w:rPr>
          <w:rFonts w:cs="Arial" w:hint="cs"/>
          <w:sz w:val="16"/>
          <w:szCs w:val="16"/>
          <w:rtl/>
        </w:rPr>
        <w:t xml:space="preserve"> ד</w:t>
      </w:r>
      <w:r w:rsidRPr="00B10EEA">
        <w:rPr>
          <w:rFonts w:cs="Arial"/>
          <w:sz w:val="16"/>
          <w:szCs w:val="16"/>
          <w:rtl/>
        </w:rPr>
        <w:t>קיי</w:t>
      </w:r>
      <w:r w:rsidRPr="00B10EEA">
        <w:rPr>
          <w:rFonts w:cs="Arial" w:hint="cs"/>
          <w:sz w:val="16"/>
          <w:szCs w:val="16"/>
          <w:rtl/>
        </w:rPr>
        <w:t>"</w:t>
      </w:r>
      <w:r w:rsidRPr="00B10EEA">
        <w:rPr>
          <w:rFonts w:cs="Arial"/>
          <w:sz w:val="16"/>
          <w:szCs w:val="16"/>
          <w:rtl/>
        </w:rPr>
        <w:t>ל כהני תרי לישני דרב נחמן בר יעקב</w:t>
      </w:r>
      <w:r w:rsidRPr="00B10EEA">
        <w:rPr>
          <w:rFonts w:cs="Arial" w:hint="cs"/>
          <w:sz w:val="16"/>
          <w:szCs w:val="16"/>
          <w:rtl/>
        </w:rPr>
        <w:t xml:space="preserve"> </w:t>
      </w:r>
      <w:r w:rsidRPr="00B10EEA">
        <w:rPr>
          <w:rFonts w:cs="Arial" w:hint="cs"/>
          <w:sz w:val="12"/>
          <w:szCs w:val="12"/>
          <w:rtl/>
        </w:rPr>
        <w:t>(ל' הרי"ף והרא"ש)</w:t>
      </w:r>
      <w:r w:rsidRPr="00B10EEA">
        <w:rPr>
          <w:rFonts w:cs="Arial"/>
          <w:sz w:val="16"/>
          <w:szCs w:val="16"/>
          <w:rtl/>
        </w:rPr>
        <w:t xml:space="preserve"> דבאתן לך ולאחר גמר דין מחלוקת</w:t>
      </w:r>
      <w:r>
        <w:rPr>
          <w:rFonts w:cs="Arial" w:hint="cs"/>
          <w:sz w:val="16"/>
          <w:szCs w:val="16"/>
          <w:rtl/>
        </w:rPr>
        <w:t>,</w:t>
      </w:r>
      <w:r w:rsidRPr="00B10EEA">
        <w:rPr>
          <w:rFonts w:cs="Arial"/>
          <w:sz w:val="16"/>
          <w:szCs w:val="16"/>
          <w:rtl/>
        </w:rPr>
        <w:t xml:space="preserve"> אבל במחול לך ולפני גמר דין גם לרבנן יכול לחזור בו</w:t>
      </w:r>
      <w:r>
        <w:rPr>
          <w:rStyle w:val="ab"/>
          <w:rFonts w:cs="Arial"/>
          <w:sz w:val="16"/>
          <w:szCs w:val="16"/>
          <w:rtl/>
        </w:rPr>
        <w:footnoteReference w:id="1081"/>
      </w:r>
      <w:r w:rsidRPr="00B10EEA">
        <w:rPr>
          <w:rFonts w:cs="Arial"/>
          <w:sz w:val="16"/>
          <w:szCs w:val="16"/>
          <w:rtl/>
        </w:rPr>
        <w:t xml:space="preserve"> </w:t>
      </w:r>
      <w:r w:rsidRPr="00B10EEA">
        <w:rPr>
          <w:rFonts w:cs="Arial" w:hint="cs"/>
          <w:sz w:val="12"/>
          <w:szCs w:val="12"/>
          <w:rtl/>
        </w:rPr>
        <w:t>(ל' הרא"ש)</w:t>
      </w:r>
      <w:r w:rsidRPr="00B10EEA">
        <w:rPr>
          <w:rFonts w:cs="Arial" w:hint="cs"/>
          <w:sz w:val="16"/>
          <w:szCs w:val="16"/>
          <w:rtl/>
        </w:rPr>
        <w:t>.</w:t>
      </w:r>
      <w:r w:rsidRPr="00B10EEA">
        <w:rPr>
          <w:rFonts w:cs="Arial"/>
          <w:sz w:val="16"/>
          <w:szCs w:val="16"/>
          <w:rtl/>
        </w:rPr>
        <w:t xml:space="preserve"> </w:t>
      </w:r>
      <w:r>
        <w:rPr>
          <w:rFonts w:cs="Arial" w:hint="cs"/>
          <w:sz w:val="16"/>
          <w:szCs w:val="16"/>
          <w:rtl/>
        </w:rPr>
        <w:t>ו</w:t>
      </w:r>
      <w:r w:rsidRPr="00B10EEA">
        <w:rPr>
          <w:rFonts w:cs="Arial" w:hint="cs"/>
          <w:sz w:val="16"/>
          <w:szCs w:val="16"/>
          <w:rtl/>
        </w:rPr>
        <w:t>כ</w:t>
      </w:r>
      <w:r>
        <w:rPr>
          <w:rFonts w:cs="Arial" w:hint="cs"/>
          <w:sz w:val="16"/>
          <w:szCs w:val="16"/>
          <w:rtl/>
        </w:rPr>
        <w:t>'</w:t>
      </w:r>
      <w:r w:rsidRPr="00B10EEA">
        <w:rPr>
          <w:rFonts w:cs="Arial" w:hint="cs"/>
          <w:sz w:val="16"/>
          <w:szCs w:val="16"/>
          <w:rtl/>
        </w:rPr>
        <w:t xml:space="preserve"> הב"י </w:t>
      </w:r>
      <w:r>
        <w:rPr>
          <w:rFonts w:cs="Arial" w:hint="cs"/>
          <w:sz w:val="16"/>
          <w:szCs w:val="16"/>
          <w:rtl/>
        </w:rPr>
        <w:t>(</w:t>
      </w:r>
      <w:r w:rsidRPr="00B10EEA">
        <w:rPr>
          <w:rFonts w:cs="Arial" w:hint="cs"/>
          <w:sz w:val="16"/>
          <w:szCs w:val="16"/>
          <w:rtl/>
        </w:rPr>
        <w:t>בבדה"ב)</w:t>
      </w:r>
      <w:r>
        <w:rPr>
          <w:rFonts w:cs="Arial" w:hint="cs"/>
          <w:sz w:val="16"/>
          <w:szCs w:val="16"/>
          <w:rtl/>
        </w:rPr>
        <w:t xml:space="preserve"> דכן דעת ה</w:t>
      </w:r>
      <w:r w:rsidRPr="00B10EEA">
        <w:rPr>
          <w:rFonts w:cs="Arial" w:hint="cs"/>
          <w:sz w:val="16"/>
          <w:szCs w:val="16"/>
          <w:rtl/>
        </w:rPr>
        <w:t>רמב"ם (פ"ז מהל' סנהדרין ה"ב</w:t>
      </w:r>
      <w:r>
        <w:rPr>
          <w:rFonts w:cs="Arial" w:hint="cs"/>
          <w:sz w:val="16"/>
          <w:szCs w:val="16"/>
          <w:rtl/>
        </w:rPr>
        <w:t>)</w:t>
      </w:r>
      <w:r w:rsidR="00AE02DA">
        <w:rPr>
          <w:rFonts w:cs="Arial" w:hint="cs"/>
          <w:sz w:val="16"/>
          <w:szCs w:val="16"/>
          <w:rtl/>
        </w:rPr>
        <w:t>)</w:t>
      </w:r>
    </w:p>
    <w:p w14:paraId="1FF15608" w14:textId="77777777" w:rsidR="00AE02DA" w:rsidRPr="00AE02DA" w:rsidRDefault="00AE02DA" w:rsidP="00ED5DE7">
      <w:pPr>
        <w:rPr>
          <w:rFonts w:cs="Arial"/>
          <w:u w:val="single"/>
          <w:rtl/>
        </w:rPr>
      </w:pPr>
      <w:r w:rsidRPr="00AE02DA">
        <w:rPr>
          <w:rFonts w:cs="Arial" w:hint="cs"/>
          <w:u w:val="single"/>
          <w:rtl/>
        </w:rPr>
        <w:t>המ</w:t>
      </w:r>
      <w:r w:rsidRPr="00AE02DA">
        <w:rPr>
          <w:rFonts w:cs="Arial"/>
          <w:u w:val="single"/>
          <w:rtl/>
        </w:rPr>
        <w:t>קבל עליו קרוב או פסול</w:t>
      </w:r>
      <w:r w:rsidRPr="00AE02DA">
        <w:rPr>
          <w:rFonts w:cs="Arial" w:hint="cs"/>
          <w:u w:val="single"/>
          <w:rtl/>
        </w:rPr>
        <w:t xml:space="preserve"> </w:t>
      </w:r>
      <w:r w:rsidRPr="00AE02DA">
        <w:rPr>
          <w:rFonts w:cs="Arial"/>
          <w:u w:val="single"/>
          <w:rtl/>
        </w:rPr>
        <w:t>–</w:t>
      </w:r>
      <w:r w:rsidRPr="00AE02DA">
        <w:rPr>
          <w:rFonts w:cs="Arial" w:hint="cs"/>
          <w:u w:val="single"/>
          <w:rtl/>
        </w:rPr>
        <w:t xml:space="preserve"> מתי יכול לחזור בו:</w:t>
      </w:r>
    </w:p>
    <w:p w14:paraId="087E347F" w14:textId="77777777" w:rsidR="009E27FD" w:rsidRDefault="00AE02DA" w:rsidP="004B0475">
      <w:pPr>
        <w:pStyle w:val="ac"/>
        <w:numPr>
          <w:ilvl w:val="0"/>
          <w:numId w:val="26"/>
        </w:numPr>
        <w:rPr>
          <w:rFonts w:cs="Arial"/>
        </w:rPr>
      </w:pPr>
      <w:r w:rsidRPr="00AE02DA">
        <w:rPr>
          <w:rFonts w:cs="Arial" w:hint="cs"/>
          <w:rtl/>
        </w:rPr>
        <w:t xml:space="preserve">רי"ף </w:t>
      </w:r>
      <w:r w:rsidRPr="00B10EEA">
        <w:rPr>
          <w:rFonts w:cs="Arial"/>
          <w:sz w:val="16"/>
          <w:szCs w:val="16"/>
          <w:rtl/>
        </w:rPr>
        <w:t xml:space="preserve">(ד:) </w:t>
      </w:r>
      <w:r w:rsidRPr="00AE02DA">
        <w:rPr>
          <w:rFonts w:cs="Arial" w:hint="cs"/>
          <w:rtl/>
        </w:rPr>
        <w:t xml:space="preserve">רמב"ם </w:t>
      </w:r>
      <w:r w:rsidRPr="00B10EEA">
        <w:rPr>
          <w:rFonts w:cs="Arial" w:hint="cs"/>
          <w:sz w:val="16"/>
          <w:szCs w:val="16"/>
          <w:rtl/>
        </w:rPr>
        <w:t>(פ"ז מהל' סנהדרין ה"ב</w:t>
      </w:r>
      <w:r>
        <w:rPr>
          <w:rFonts w:cs="Arial" w:hint="cs"/>
          <w:sz w:val="16"/>
          <w:szCs w:val="16"/>
          <w:rtl/>
        </w:rPr>
        <w:t xml:space="preserve">) </w:t>
      </w:r>
      <w:r w:rsidRPr="00AE02DA">
        <w:rPr>
          <w:rFonts w:cs="Arial" w:hint="cs"/>
          <w:rtl/>
        </w:rPr>
        <w:t xml:space="preserve">רא"ש </w:t>
      </w:r>
      <w:r w:rsidRPr="00B10EEA">
        <w:rPr>
          <w:rFonts w:cs="Arial"/>
          <w:sz w:val="16"/>
          <w:szCs w:val="16"/>
          <w:rtl/>
        </w:rPr>
        <w:t>(סי' ד-ה)</w:t>
      </w:r>
      <w:r w:rsidRPr="00B10EEA">
        <w:rPr>
          <w:rFonts w:cs="Arial" w:hint="cs"/>
          <w:sz w:val="16"/>
          <w:szCs w:val="16"/>
          <w:rtl/>
        </w:rPr>
        <w:t xml:space="preserve"> </w:t>
      </w:r>
      <w:r w:rsidRPr="00AE02DA">
        <w:rPr>
          <w:rFonts w:cs="Arial" w:hint="cs"/>
          <w:rtl/>
        </w:rPr>
        <w:t>ו</w:t>
      </w:r>
      <w:r w:rsidR="00ED5DE7" w:rsidRPr="00AE02DA">
        <w:rPr>
          <w:rFonts w:cs="Arial" w:hint="cs"/>
          <w:rtl/>
        </w:rPr>
        <w:t>טור-</w:t>
      </w:r>
      <w:r w:rsidR="00ED5DE7" w:rsidRPr="00AE02DA">
        <w:rPr>
          <w:rFonts w:cs="Arial"/>
          <w:rtl/>
        </w:rPr>
        <w:t xml:space="preserve"> מי שקבל עליו קרוב או פסול</w:t>
      </w:r>
      <w:r>
        <w:rPr>
          <w:rFonts w:cs="Arial" w:hint="cs"/>
          <w:rtl/>
        </w:rPr>
        <w:t>,</w:t>
      </w:r>
      <w:r w:rsidR="00ED5DE7" w:rsidRPr="00AE02DA">
        <w:rPr>
          <w:rFonts w:cs="Arial"/>
          <w:rtl/>
        </w:rPr>
        <w:t xml:space="preserve"> בין אם קבלו התובע לקבל דינו לפטור לנתבע בכל מה שידון עליו שיפטר</w:t>
      </w:r>
      <w:r>
        <w:rPr>
          <w:rFonts w:cs="Arial" w:hint="cs"/>
          <w:rtl/>
        </w:rPr>
        <w:t>,</w:t>
      </w:r>
      <w:r w:rsidR="00ED5DE7" w:rsidRPr="00AE02DA">
        <w:rPr>
          <w:rFonts w:cs="Arial"/>
          <w:rtl/>
        </w:rPr>
        <w:t xml:space="preserve"> בין אם קבלו הנתבע לקבל דינו ליתן לתובע בכל מה שידון עליו ליתן לו</w:t>
      </w:r>
      <w:r>
        <w:rPr>
          <w:rFonts w:cs="Arial" w:hint="cs"/>
          <w:rtl/>
        </w:rPr>
        <w:t>,</w:t>
      </w:r>
      <w:r w:rsidR="00ED5DE7" w:rsidRPr="00AE02DA">
        <w:rPr>
          <w:rFonts w:cs="Arial"/>
          <w:rtl/>
        </w:rPr>
        <w:t xml:space="preserve"> אם קנו מידו </w:t>
      </w:r>
      <w:r>
        <w:rPr>
          <w:rFonts w:cs="Arial" w:hint="cs"/>
          <w:rtl/>
        </w:rPr>
        <w:t xml:space="preserve">- </w:t>
      </w:r>
      <w:r w:rsidR="00ED5DE7" w:rsidRPr="00AE02DA">
        <w:rPr>
          <w:rFonts w:cs="Arial"/>
          <w:rtl/>
        </w:rPr>
        <w:t>אינו יכול לחזור בו</w:t>
      </w:r>
      <w:r>
        <w:rPr>
          <w:rFonts w:cs="Arial" w:hint="cs"/>
          <w:rtl/>
        </w:rPr>
        <w:t>,</w:t>
      </w:r>
      <w:r w:rsidR="00ED5DE7" w:rsidRPr="00AE02DA">
        <w:rPr>
          <w:rFonts w:cs="Arial"/>
          <w:rtl/>
        </w:rPr>
        <w:t xml:space="preserve"> ואם לא קנו מידו </w:t>
      </w:r>
      <w:r>
        <w:rPr>
          <w:rFonts w:cs="Arial" w:hint="cs"/>
          <w:rtl/>
        </w:rPr>
        <w:t xml:space="preserve">- </w:t>
      </w:r>
      <w:r w:rsidR="00ED5DE7" w:rsidRPr="00AE02DA">
        <w:rPr>
          <w:rFonts w:cs="Arial"/>
          <w:rtl/>
        </w:rPr>
        <w:t>יכול לחזור בו</w:t>
      </w:r>
      <w:r>
        <w:rPr>
          <w:rFonts w:cs="Arial" w:hint="cs"/>
          <w:rtl/>
        </w:rPr>
        <w:t>.</w:t>
      </w:r>
      <w:r w:rsidR="00ED5DE7" w:rsidRPr="00AE02DA">
        <w:rPr>
          <w:rFonts w:cs="Arial"/>
          <w:rtl/>
        </w:rPr>
        <w:t xml:space="preserve"> בד"א</w:t>
      </w:r>
      <w:r>
        <w:rPr>
          <w:rFonts w:cs="Arial" w:hint="cs"/>
          <w:rtl/>
        </w:rPr>
        <w:t>,</w:t>
      </w:r>
      <w:r w:rsidR="00ED5DE7" w:rsidRPr="00AE02DA">
        <w:rPr>
          <w:rFonts w:cs="Arial"/>
          <w:rtl/>
        </w:rPr>
        <w:t xml:space="preserve"> קודם ג"ד</w:t>
      </w:r>
      <w:r>
        <w:rPr>
          <w:rFonts w:cs="Arial" w:hint="cs"/>
          <w:rtl/>
        </w:rPr>
        <w:t>,</w:t>
      </w:r>
      <w:r w:rsidR="00ED5DE7" w:rsidRPr="00AE02DA">
        <w:rPr>
          <w:rFonts w:cs="Arial"/>
          <w:rtl/>
        </w:rPr>
        <w:t xml:space="preserve"> אז יכול לחזור בו אפילו במחול לך</w:t>
      </w:r>
      <w:r>
        <w:rPr>
          <w:rFonts w:cs="Arial" w:hint="cs"/>
          <w:rtl/>
        </w:rPr>
        <w:t>,</w:t>
      </w:r>
      <w:r w:rsidR="00ED5DE7" w:rsidRPr="00AE02DA">
        <w:rPr>
          <w:rFonts w:cs="Arial"/>
          <w:rtl/>
        </w:rPr>
        <w:t xml:space="preserve"> אבל לאחר גמר דין אפילו לא קנו מידו אינו יכול לחזור בו אפילו באתן לך</w:t>
      </w:r>
      <w:r w:rsidRPr="00AE02DA">
        <w:rPr>
          <w:rFonts w:cs="Arial" w:hint="cs"/>
          <w:rtl/>
        </w:rPr>
        <w:t xml:space="preserve"> </w:t>
      </w:r>
      <w:r w:rsidRPr="00AE02DA">
        <w:rPr>
          <w:rFonts w:cs="Arial" w:hint="cs"/>
          <w:sz w:val="16"/>
          <w:szCs w:val="16"/>
          <w:rtl/>
        </w:rPr>
        <w:t>(ל' הטור)</w:t>
      </w:r>
      <w:r w:rsidR="00ED5DE7" w:rsidRPr="00AE02DA">
        <w:rPr>
          <w:rFonts w:cs="Arial" w:hint="cs"/>
          <w:rtl/>
        </w:rPr>
        <w:t xml:space="preserve">. </w:t>
      </w:r>
      <w:r w:rsidRPr="00AE02DA">
        <w:rPr>
          <w:rFonts w:cs="Arial" w:hint="cs"/>
          <w:color w:val="E36C0A" w:themeColor="accent6" w:themeShade="BF"/>
          <w:rtl/>
        </w:rPr>
        <w:t>(</w:t>
      </w:r>
      <w:r w:rsidR="00ED5DE7" w:rsidRPr="00AE02DA">
        <w:rPr>
          <w:rFonts w:cs="Arial" w:hint="cs"/>
          <w:color w:val="E36C0A" w:themeColor="accent6" w:themeShade="BF"/>
          <w:rtl/>
        </w:rPr>
        <w:t>וכ"פ בשו"ע</w:t>
      </w:r>
      <w:r w:rsidRPr="00AE02DA">
        <w:rPr>
          <w:rFonts w:cs="Arial" w:hint="cs"/>
          <w:color w:val="E36C0A" w:themeColor="accent6" w:themeShade="BF"/>
          <w:rtl/>
        </w:rPr>
        <w:t>)</w:t>
      </w:r>
    </w:p>
    <w:p w14:paraId="6CB09977" w14:textId="77777777" w:rsidR="007D6C9F" w:rsidRPr="00A0439D" w:rsidRDefault="007D6C9F" w:rsidP="007D6C9F">
      <w:pPr>
        <w:rPr>
          <w:rFonts w:cs="Arial"/>
          <w:sz w:val="16"/>
          <w:szCs w:val="16"/>
          <w:rtl/>
        </w:rPr>
      </w:pPr>
      <w:r w:rsidRPr="007D6C9F">
        <w:rPr>
          <w:rFonts w:cs="Arial" w:hint="cs"/>
          <w:b/>
          <w:bCs/>
          <w:rtl/>
        </w:rPr>
        <w:t>ב</w:t>
      </w:r>
      <w:r w:rsidR="00A0439D">
        <w:rPr>
          <w:rFonts w:cs="Arial" w:hint="cs"/>
          <w:b/>
          <w:bCs/>
          <w:rtl/>
        </w:rPr>
        <w:t xml:space="preserve">בא </w:t>
      </w:r>
      <w:r w:rsidRPr="007D6C9F">
        <w:rPr>
          <w:rFonts w:cs="Arial" w:hint="cs"/>
          <w:b/>
          <w:bCs/>
          <w:rtl/>
        </w:rPr>
        <w:t>ק</w:t>
      </w:r>
      <w:r w:rsidR="00A0439D">
        <w:rPr>
          <w:rFonts w:cs="Arial" w:hint="cs"/>
          <w:b/>
          <w:bCs/>
          <w:rtl/>
        </w:rPr>
        <w:t>מא</w:t>
      </w:r>
      <w:r w:rsidRPr="007D6C9F">
        <w:rPr>
          <w:rFonts w:cs="Arial" w:hint="cs"/>
          <w:b/>
          <w:bCs/>
          <w:rtl/>
        </w:rPr>
        <w:t xml:space="preserve"> </w:t>
      </w:r>
      <w:r>
        <w:rPr>
          <w:rFonts w:cs="Arial" w:hint="cs"/>
          <w:b/>
          <w:bCs/>
          <w:sz w:val="16"/>
          <w:szCs w:val="16"/>
          <w:rtl/>
        </w:rPr>
        <w:t>(פ' מרובה)</w:t>
      </w:r>
      <w:r>
        <w:rPr>
          <w:rFonts w:cs="Arial" w:hint="cs"/>
          <w:b/>
          <w:bCs/>
          <w:rtl/>
        </w:rPr>
        <w:t xml:space="preserve"> </w:t>
      </w:r>
      <w:r w:rsidRPr="007D6C9F">
        <w:rPr>
          <w:rFonts w:cs="Arial" w:hint="cs"/>
          <w:b/>
          <w:bCs/>
          <w:rtl/>
        </w:rPr>
        <w:t xml:space="preserve">סח ע"ב: </w:t>
      </w:r>
      <w:r w:rsidRPr="007D6C9F">
        <w:rPr>
          <w:rFonts w:cs="Arial"/>
          <w:u w:val="single"/>
          <w:rtl/>
        </w:rPr>
        <w:t>אמר רבא</w:t>
      </w:r>
      <w:r w:rsidRPr="007D6C9F">
        <w:rPr>
          <w:rFonts w:cs="Arial"/>
          <w:rtl/>
        </w:rPr>
        <w:t>: צא תן לו, טבח ומכר - פטור, מ"ט? כיון דפסקוה למילתיה וטבח ומכר הוה ליה גזלן, וגזלן אינו משלם תשלומי ארבעה וחמשה;</w:t>
      </w:r>
      <w:r w:rsidRPr="007D6C9F">
        <w:rPr>
          <w:rtl/>
        </w:rPr>
        <w:t xml:space="preserve"> </w:t>
      </w:r>
      <w:r w:rsidRPr="007D6C9F">
        <w:rPr>
          <w:rFonts w:cs="Arial"/>
          <w:rtl/>
        </w:rPr>
        <w:t>חייב אתה ליתן לו, טבח ומכר - משלם תשלומי ארבעה וחמשה, מ"ט? כיון דלא פסקה מילתא אכתי גנב הוא!</w:t>
      </w:r>
      <w:r w:rsidR="00A0439D">
        <w:rPr>
          <w:rFonts w:cs="Arial" w:hint="cs"/>
          <w:sz w:val="16"/>
          <w:szCs w:val="16"/>
          <w:rtl/>
        </w:rPr>
        <w:t xml:space="preserve"> (הב"י לא הביא גמ' זו אבל כיון שדברי התוס' יוצאים מגמ' זו - הבאתיה)</w:t>
      </w:r>
    </w:p>
    <w:p w14:paraId="4DFC6650" w14:textId="77777777" w:rsidR="00ED5DE7" w:rsidRPr="00ED5DE7" w:rsidRDefault="00A0439D" w:rsidP="00ED5DE7">
      <w:pPr>
        <w:rPr>
          <w:rFonts w:cs="Arial"/>
        </w:rPr>
      </w:pPr>
      <w:r w:rsidRPr="00E95309">
        <w:rPr>
          <w:rFonts w:cs="Arial" w:hint="cs"/>
          <w:u w:val="single"/>
          <w:rtl/>
        </w:rPr>
        <w:t xml:space="preserve">מתי חשיב גמר דין לעניין שאינו יכול לחזור בו </w:t>
      </w:r>
      <w:r w:rsidRPr="00E95309">
        <w:rPr>
          <w:rFonts w:cs="Arial"/>
          <w:u w:val="single"/>
          <w:rtl/>
        </w:rPr>
        <w:t>–</w:t>
      </w:r>
      <w:r w:rsidRPr="00E95309">
        <w:rPr>
          <w:rFonts w:cs="Arial" w:hint="cs"/>
          <w:u w:val="single"/>
          <w:rtl/>
        </w:rPr>
        <w:t xml:space="preserve"> בקיבלו עליהם </w:t>
      </w:r>
      <w:r w:rsidRPr="00A0439D">
        <w:rPr>
          <w:rFonts w:cs="Arial" w:hint="cs"/>
          <w:b/>
          <w:bCs/>
          <w:u w:val="single"/>
          <w:rtl/>
        </w:rPr>
        <w:t>דיינים</w:t>
      </w:r>
      <w:r>
        <w:rPr>
          <w:rFonts w:cs="Arial" w:hint="cs"/>
          <w:u w:val="single"/>
          <w:rtl/>
        </w:rPr>
        <w:t xml:space="preserve"> פסולים/קרובים</w:t>
      </w:r>
      <w:r w:rsidR="001D5351">
        <w:rPr>
          <w:rFonts w:cs="Arial" w:hint="cs"/>
          <w:u w:val="single"/>
          <w:rtl/>
        </w:rPr>
        <w:t>:</w:t>
      </w:r>
      <w:r w:rsidR="005052E0">
        <w:rPr>
          <w:rFonts w:cs="Arial" w:hint="cs"/>
          <w:sz w:val="16"/>
          <w:szCs w:val="16"/>
          <w:rtl/>
        </w:rPr>
        <w:t xml:space="preserve">   </w:t>
      </w:r>
      <w:r w:rsidR="005052E0" w:rsidRPr="005052E0">
        <w:rPr>
          <w:rFonts w:cs="Arial"/>
          <w:sz w:val="16"/>
          <w:szCs w:val="16"/>
          <w:rtl/>
        </w:rPr>
        <w:t>(</w:t>
      </w:r>
      <w:r w:rsidR="005052E0">
        <w:rPr>
          <w:rFonts w:cs="Arial" w:hint="cs"/>
          <w:sz w:val="16"/>
          <w:szCs w:val="16"/>
          <w:rtl/>
        </w:rPr>
        <w:t xml:space="preserve">טור ב"י </w:t>
      </w:r>
      <w:r w:rsidR="005052E0" w:rsidRPr="005052E0">
        <w:rPr>
          <w:rFonts w:cs="Arial" w:hint="cs"/>
          <w:sz w:val="16"/>
          <w:szCs w:val="16"/>
          <w:rtl/>
        </w:rPr>
        <w:t xml:space="preserve">דרכ"מ </w:t>
      </w:r>
      <w:r w:rsidR="007D6C9F">
        <w:rPr>
          <w:rFonts w:cs="Arial" w:hint="cs"/>
          <w:sz w:val="16"/>
          <w:szCs w:val="16"/>
          <w:rtl/>
        </w:rPr>
        <w:t>[</w:t>
      </w:r>
      <w:r w:rsidR="005052E0" w:rsidRPr="005052E0">
        <w:rPr>
          <w:rFonts w:cs="Arial" w:hint="cs"/>
          <w:sz w:val="16"/>
          <w:szCs w:val="16"/>
          <w:rtl/>
        </w:rPr>
        <w:t xml:space="preserve">אות </w:t>
      </w:r>
      <w:r w:rsidR="005052E0" w:rsidRPr="005052E0">
        <w:rPr>
          <w:rFonts w:cs="Arial"/>
          <w:sz w:val="16"/>
          <w:szCs w:val="16"/>
          <w:rtl/>
        </w:rPr>
        <w:t>ב</w:t>
      </w:r>
      <w:r w:rsidR="007D6C9F">
        <w:rPr>
          <w:rFonts w:cs="Arial" w:hint="cs"/>
          <w:sz w:val="16"/>
          <w:szCs w:val="16"/>
          <w:rtl/>
        </w:rPr>
        <w:t>] וש"ך [סק"ה]</w:t>
      </w:r>
      <w:r w:rsidR="005052E0" w:rsidRPr="005052E0">
        <w:rPr>
          <w:rFonts w:cs="Arial"/>
          <w:sz w:val="16"/>
          <w:szCs w:val="16"/>
          <w:rtl/>
        </w:rPr>
        <w:t>)</w:t>
      </w:r>
    </w:p>
    <w:p w14:paraId="66EDDD1B" w14:textId="77777777" w:rsidR="00E95309" w:rsidRDefault="00E95309" w:rsidP="004B0475">
      <w:pPr>
        <w:pStyle w:val="ac"/>
        <w:numPr>
          <w:ilvl w:val="0"/>
          <w:numId w:val="26"/>
        </w:numPr>
        <w:rPr>
          <w:rFonts w:cs="Arial"/>
        </w:rPr>
      </w:pPr>
      <w:r>
        <w:rPr>
          <w:rFonts w:cs="Arial" w:hint="cs"/>
          <w:rtl/>
        </w:rPr>
        <w:t xml:space="preserve">טור- </w:t>
      </w:r>
      <w:r w:rsidRPr="00ED5DE7">
        <w:rPr>
          <w:rFonts w:cs="Arial"/>
          <w:rtl/>
        </w:rPr>
        <w:t xml:space="preserve">אפילו לא הוציא ממון רק שאמר </w:t>
      </w:r>
      <w:r>
        <w:rPr>
          <w:rFonts w:cs="Arial" w:hint="cs"/>
          <w:rtl/>
        </w:rPr>
        <w:t>'</w:t>
      </w:r>
      <w:r w:rsidRPr="00ED5DE7">
        <w:rPr>
          <w:rFonts w:cs="Arial"/>
          <w:rtl/>
        </w:rPr>
        <w:t>פלוני חייב</w:t>
      </w:r>
      <w:r>
        <w:rPr>
          <w:rFonts w:cs="Arial" w:hint="cs"/>
          <w:rtl/>
        </w:rPr>
        <w:t>'</w:t>
      </w:r>
      <w:r w:rsidRPr="00ED5DE7">
        <w:rPr>
          <w:rFonts w:cs="Arial"/>
          <w:rtl/>
        </w:rPr>
        <w:t xml:space="preserve"> </w:t>
      </w:r>
      <w:r w:rsidR="00C84EA5">
        <w:rPr>
          <w:rFonts w:cs="Arial" w:hint="cs"/>
          <w:rtl/>
        </w:rPr>
        <w:t xml:space="preserve">- </w:t>
      </w:r>
      <w:r w:rsidRPr="00ED5DE7">
        <w:rPr>
          <w:rFonts w:cs="Arial"/>
          <w:rtl/>
        </w:rPr>
        <w:t>נקרא גמר דין ואינו יכול לחזור ב</w:t>
      </w:r>
      <w:r>
        <w:rPr>
          <w:rFonts w:cs="Arial" w:hint="cs"/>
          <w:rtl/>
        </w:rPr>
        <w:t>ו</w:t>
      </w:r>
      <w:r>
        <w:rPr>
          <w:rStyle w:val="ab"/>
          <w:rFonts w:cs="Arial"/>
          <w:rtl/>
        </w:rPr>
        <w:footnoteReference w:id="1082"/>
      </w:r>
      <w:r>
        <w:rPr>
          <w:rFonts w:cs="Arial" w:hint="cs"/>
          <w:rtl/>
        </w:rPr>
        <w:t>.</w:t>
      </w:r>
      <w:r w:rsidR="001D5351">
        <w:rPr>
          <w:rFonts w:cs="Arial" w:hint="cs"/>
          <w:rtl/>
        </w:rPr>
        <w:t xml:space="preserve"> </w:t>
      </w:r>
    </w:p>
    <w:p w14:paraId="4E48510A" w14:textId="77777777" w:rsidR="005052E0" w:rsidRDefault="00B10EEA" w:rsidP="004B0475">
      <w:pPr>
        <w:pStyle w:val="ac"/>
        <w:numPr>
          <w:ilvl w:val="0"/>
          <w:numId w:val="26"/>
        </w:numPr>
        <w:rPr>
          <w:rFonts w:cs="Arial"/>
        </w:rPr>
      </w:pPr>
      <w:r w:rsidRPr="00ED5DE7">
        <w:rPr>
          <w:rFonts w:cs="Arial"/>
          <w:rtl/>
        </w:rPr>
        <w:t xml:space="preserve">רמב"ם </w:t>
      </w:r>
      <w:r w:rsidRPr="005052E0">
        <w:rPr>
          <w:rFonts w:cs="Arial"/>
          <w:sz w:val="16"/>
          <w:szCs w:val="16"/>
          <w:rtl/>
        </w:rPr>
        <w:t>(פ"ז ה"ב)</w:t>
      </w:r>
      <w:r w:rsidR="005052E0">
        <w:rPr>
          <w:rFonts w:cs="Arial" w:hint="cs"/>
          <w:rtl/>
        </w:rPr>
        <w:t xml:space="preserve">- </w:t>
      </w:r>
      <w:r w:rsidRPr="00ED5DE7">
        <w:rPr>
          <w:rFonts w:cs="Arial"/>
          <w:rtl/>
        </w:rPr>
        <w:t xml:space="preserve">נגמר הדין והוציא ממון בדין הפסול הזה </w:t>
      </w:r>
      <w:r w:rsidR="00C84EA5">
        <w:rPr>
          <w:rFonts w:cs="Arial" w:hint="cs"/>
          <w:rtl/>
        </w:rPr>
        <w:t xml:space="preserve">- </w:t>
      </w:r>
      <w:r w:rsidRPr="00ED5DE7">
        <w:rPr>
          <w:rFonts w:cs="Arial"/>
          <w:rtl/>
        </w:rPr>
        <w:t>אינו יכול לחזור בו</w:t>
      </w:r>
      <w:r w:rsidR="005052E0">
        <w:rPr>
          <w:rStyle w:val="ab"/>
          <w:rFonts w:cs="Arial"/>
          <w:rtl/>
        </w:rPr>
        <w:footnoteReference w:id="1083"/>
      </w:r>
      <w:r w:rsidR="005052E0">
        <w:rPr>
          <w:rFonts w:cs="Arial" w:hint="cs"/>
          <w:rtl/>
        </w:rPr>
        <w:t>.</w:t>
      </w:r>
    </w:p>
    <w:p w14:paraId="4759CC9E" w14:textId="77777777" w:rsidR="007D6C9F" w:rsidRPr="005052E0" w:rsidRDefault="007D6C9F" w:rsidP="004B0475">
      <w:pPr>
        <w:pStyle w:val="ac"/>
        <w:numPr>
          <w:ilvl w:val="0"/>
          <w:numId w:val="26"/>
        </w:numPr>
        <w:rPr>
          <w:rFonts w:cs="Arial"/>
          <w:rtl/>
        </w:rPr>
      </w:pPr>
      <w:r>
        <w:rPr>
          <w:rFonts w:cs="Arial" w:hint="cs"/>
          <w:rtl/>
        </w:rPr>
        <w:t xml:space="preserve">תוס' </w:t>
      </w:r>
      <w:r w:rsidRPr="00A0439D">
        <w:rPr>
          <w:rFonts w:cs="Arial" w:hint="cs"/>
          <w:sz w:val="16"/>
          <w:szCs w:val="16"/>
          <w:rtl/>
        </w:rPr>
        <w:t>(ב"ק סט. ד"ה חייב</w:t>
      </w:r>
      <w:r w:rsidR="00A0439D">
        <w:rPr>
          <w:rFonts w:cs="Arial" w:hint="cs"/>
          <w:sz w:val="16"/>
          <w:szCs w:val="16"/>
          <w:rtl/>
        </w:rPr>
        <w:t>, וכן ב</w:t>
      </w:r>
      <w:r w:rsidR="00A0439D" w:rsidRPr="00A0439D">
        <w:rPr>
          <w:rFonts w:cs="Arial"/>
          <w:sz w:val="16"/>
          <w:szCs w:val="16"/>
          <w:rtl/>
        </w:rPr>
        <w:t>ב"מ יז. ד"ה חייב</w:t>
      </w:r>
      <w:r w:rsidRPr="00A0439D">
        <w:rPr>
          <w:rFonts w:cs="Arial" w:hint="cs"/>
          <w:sz w:val="16"/>
          <w:szCs w:val="16"/>
          <w:rtl/>
        </w:rPr>
        <w:t>)</w:t>
      </w:r>
      <w:r w:rsidR="00A0439D">
        <w:rPr>
          <w:rFonts w:cs="Arial" w:hint="cs"/>
          <w:rtl/>
        </w:rPr>
        <w:t xml:space="preserve"> ונמוק"י </w:t>
      </w:r>
      <w:r w:rsidR="00A0439D">
        <w:rPr>
          <w:rFonts w:cs="Arial" w:hint="cs"/>
          <w:sz w:val="16"/>
          <w:szCs w:val="16"/>
          <w:rtl/>
        </w:rPr>
        <w:t>(ב"ק כז. מדפה"ר)</w:t>
      </w:r>
      <w:r>
        <w:rPr>
          <w:rFonts w:cs="Arial" w:hint="cs"/>
          <w:rtl/>
        </w:rPr>
        <w:t>-</w:t>
      </w:r>
      <w:r w:rsidR="00A0439D">
        <w:rPr>
          <w:rFonts w:cs="Arial" w:hint="cs"/>
          <w:rtl/>
        </w:rPr>
        <w:t xml:space="preserve"> </w:t>
      </w:r>
      <w:r w:rsidR="00A0439D" w:rsidRPr="00A0439D">
        <w:rPr>
          <w:rFonts w:cs="Arial"/>
          <w:rtl/>
        </w:rPr>
        <w:t>משמע דחייב אתה ליתן לו לא הוי גמר דין עד שיאמר צא תן לו</w:t>
      </w:r>
      <w:r w:rsidR="00A0439D">
        <w:rPr>
          <w:rStyle w:val="ab"/>
          <w:rFonts w:cs="Arial"/>
          <w:rtl/>
        </w:rPr>
        <w:footnoteReference w:id="1084"/>
      </w:r>
      <w:r w:rsidR="00A0439D">
        <w:rPr>
          <w:rFonts w:cs="Arial" w:hint="cs"/>
          <w:rtl/>
        </w:rPr>
        <w:t>.</w:t>
      </w:r>
      <w:r w:rsidR="00A0439D" w:rsidRPr="00A0439D">
        <w:rPr>
          <w:rFonts w:cs="Arial"/>
          <w:rtl/>
        </w:rPr>
        <w:t xml:space="preserve"> </w:t>
      </w:r>
      <w:r w:rsidR="00A0439D">
        <w:rPr>
          <w:rFonts w:cs="Arial" w:hint="cs"/>
          <w:rtl/>
        </w:rPr>
        <w:t xml:space="preserve">(וכ"פ ב"ח </w:t>
      </w:r>
      <w:r w:rsidR="00A0439D">
        <w:rPr>
          <w:rFonts w:cs="Arial" w:hint="cs"/>
          <w:sz w:val="16"/>
          <w:szCs w:val="16"/>
          <w:rtl/>
        </w:rPr>
        <w:t>[סע' א]</w:t>
      </w:r>
      <w:r w:rsidR="00A0439D">
        <w:rPr>
          <w:rFonts w:cs="Arial" w:hint="cs"/>
          <w:rtl/>
        </w:rPr>
        <w:t xml:space="preserve"> וש"ך</w:t>
      </w:r>
      <w:r w:rsidR="00A0439D">
        <w:rPr>
          <w:rFonts w:cs="Arial" w:hint="cs"/>
          <w:sz w:val="16"/>
          <w:szCs w:val="16"/>
          <w:rtl/>
        </w:rPr>
        <w:t xml:space="preserve"> [סק"ה]</w:t>
      </w:r>
      <w:r w:rsidR="00A0439D">
        <w:rPr>
          <w:rFonts w:cs="Arial" w:hint="cs"/>
          <w:rtl/>
        </w:rPr>
        <w:t>)</w:t>
      </w:r>
    </w:p>
    <w:p w14:paraId="5B0B9706" w14:textId="77777777" w:rsidR="00E95309" w:rsidRPr="00E95309" w:rsidRDefault="00E95309" w:rsidP="00E95309">
      <w:pPr>
        <w:rPr>
          <w:rFonts w:cs="Arial"/>
        </w:rPr>
      </w:pPr>
      <w:r w:rsidRPr="00E95309">
        <w:rPr>
          <w:rFonts w:cs="Arial" w:hint="cs"/>
          <w:u w:val="single"/>
          <w:rtl/>
        </w:rPr>
        <w:t xml:space="preserve">מתי חשיב גמר דין לעניין שאינו יכול לחזור בו </w:t>
      </w:r>
      <w:r w:rsidRPr="00E95309">
        <w:rPr>
          <w:rFonts w:cs="Arial"/>
          <w:u w:val="single"/>
          <w:rtl/>
        </w:rPr>
        <w:t>–</w:t>
      </w:r>
      <w:r w:rsidRPr="00E95309">
        <w:rPr>
          <w:rFonts w:cs="Arial" w:hint="cs"/>
          <w:u w:val="single"/>
          <w:rtl/>
        </w:rPr>
        <w:t xml:space="preserve"> בקיבלו עליהם </w:t>
      </w:r>
      <w:r w:rsidRPr="00A0439D">
        <w:rPr>
          <w:rFonts w:cs="Arial" w:hint="cs"/>
          <w:b/>
          <w:bCs/>
          <w:u w:val="single"/>
          <w:rtl/>
        </w:rPr>
        <w:t>עדים</w:t>
      </w:r>
      <w:r w:rsidR="00A0439D" w:rsidRPr="00A0439D">
        <w:rPr>
          <w:rFonts w:cs="Arial" w:hint="cs"/>
          <w:u w:val="single"/>
          <w:rtl/>
        </w:rPr>
        <w:t xml:space="preserve"> </w:t>
      </w:r>
      <w:r w:rsidR="00A0439D">
        <w:rPr>
          <w:rFonts w:cs="Arial" w:hint="cs"/>
          <w:u w:val="single"/>
          <w:rtl/>
        </w:rPr>
        <w:t>פסולים/קרובים</w:t>
      </w:r>
      <w:r w:rsidRPr="00E95309">
        <w:rPr>
          <w:rFonts w:cs="Arial" w:hint="cs"/>
          <w:u w:val="single"/>
          <w:rtl/>
        </w:rPr>
        <w:t>:</w:t>
      </w:r>
      <w:r w:rsidRPr="00E95309">
        <w:rPr>
          <w:rFonts w:cs="Arial" w:hint="cs"/>
          <w:sz w:val="16"/>
          <w:szCs w:val="16"/>
          <w:rtl/>
        </w:rPr>
        <w:t xml:space="preserve">     </w:t>
      </w:r>
      <w:r w:rsidRPr="00E95309">
        <w:rPr>
          <w:rFonts w:cs="Arial"/>
          <w:sz w:val="16"/>
          <w:szCs w:val="16"/>
          <w:rtl/>
        </w:rPr>
        <w:t>(</w:t>
      </w:r>
      <w:r w:rsidRPr="00E95309">
        <w:rPr>
          <w:rFonts w:cs="Arial" w:hint="cs"/>
          <w:sz w:val="16"/>
          <w:szCs w:val="16"/>
          <w:rtl/>
        </w:rPr>
        <w:t xml:space="preserve">דרכ"מ אות </w:t>
      </w:r>
      <w:r w:rsidRPr="00E95309">
        <w:rPr>
          <w:rFonts w:cs="Arial"/>
          <w:sz w:val="16"/>
          <w:szCs w:val="16"/>
          <w:rtl/>
        </w:rPr>
        <w:t>ב)</w:t>
      </w:r>
    </w:p>
    <w:p w14:paraId="66ADA1E9" w14:textId="77777777" w:rsidR="005052E0" w:rsidRPr="005052E0" w:rsidRDefault="001D5E21" w:rsidP="004B0475">
      <w:pPr>
        <w:pStyle w:val="ac"/>
        <w:numPr>
          <w:ilvl w:val="0"/>
          <w:numId w:val="26"/>
        </w:numPr>
        <w:rPr>
          <w:rFonts w:cs="Arial"/>
          <w:rtl/>
        </w:rPr>
      </w:pPr>
      <w:r>
        <w:rPr>
          <w:rFonts w:cs="Arial" w:hint="cs"/>
          <w:rtl/>
        </w:rPr>
        <w:lastRenderedPageBreak/>
        <w:t xml:space="preserve">רשב"א </w:t>
      </w:r>
      <w:r>
        <w:rPr>
          <w:rFonts w:cs="Arial" w:hint="cs"/>
          <w:sz w:val="16"/>
          <w:szCs w:val="16"/>
          <w:rtl/>
        </w:rPr>
        <w:t xml:space="preserve">(ח"א סי' תתסח) </w:t>
      </w:r>
      <w:r w:rsidR="005052E0" w:rsidRPr="005052E0">
        <w:rPr>
          <w:rFonts w:cs="Arial"/>
          <w:rtl/>
        </w:rPr>
        <w:t xml:space="preserve">מרדכי </w:t>
      </w:r>
      <w:r w:rsidR="005052E0" w:rsidRPr="00E95309">
        <w:rPr>
          <w:rFonts w:cs="Arial"/>
          <w:sz w:val="16"/>
          <w:szCs w:val="16"/>
          <w:rtl/>
        </w:rPr>
        <w:t>(סי' תרפח)</w:t>
      </w:r>
      <w:r w:rsidR="00E95309" w:rsidRPr="00E95309">
        <w:rPr>
          <w:rFonts w:cs="Arial" w:hint="cs"/>
          <w:rtl/>
        </w:rPr>
        <w:t xml:space="preserve"> </w:t>
      </w:r>
      <w:r w:rsidR="00E95309">
        <w:rPr>
          <w:rFonts w:cs="Arial" w:hint="cs"/>
          <w:rtl/>
        </w:rPr>
        <w:t xml:space="preserve">וריב"ש </w:t>
      </w:r>
      <w:r w:rsidR="00E95309" w:rsidRPr="00E95309">
        <w:rPr>
          <w:rFonts w:cs="Arial" w:hint="cs"/>
          <w:sz w:val="16"/>
          <w:szCs w:val="16"/>
          <w:rtl/>
        </w:rPr>
        <w:t>(</w:t>
      </w:r>
      <w:r w:rsidR="00E95309" w:rsidRPr="00E95309">
        <w:rPr>
          <w:rFonts w:cs="Arial"/>
          <w:sz w:val="16"/>
          <w:szCs w:val="16"/>
          <w:rtl/>
        </w:rPr>
        <w:t>סי</w:t>
      </w:r>
      <w:r w:rsidR="00E95309" w:rsidRPr="00E95309">
        <w:rPr>
          <w:rFonts w:cs="Arial" w:hint="cs"/>
          <w:sz w:val="16"/>
          <w:szCs w:val="16"/>
          <w:rtl/>
        </w:rPr>
        <w:t>'</w:t>
      </w:r>
      <w:r w:rsidR="00E95309" w:rsidRPr="00E95309">
        <w:rPr>
          <w:rFonts w:cs="Arial"/>
          <w:sz w:val="16"/>
          <w:szCs w:val="16"/>
          <w:rtl/>
        </w:rPr>
        <w:t xml:space="preserve"> תצ</w:t>
      </w:r>
      <w:r w:rsidR="00E95309" w:rsidRPr="00E95309">
        <w:rPr>
          <w:rFonts w:cs="Arial" w:hint="cs"/>
          <w:sz w:val="16"/>
          <w:szCs w:val="16"/>
          <w:rtl/>
        </w:rPr>
        <w:t>)</w:t>
      </w:r>
      <w:r w:rsidR="00E95309">
        <w:rPr>
          <w:rFonts w:cs="Arial" w:hint="cs"/>
          <w:rtl/>
        </w:rPr>
        <w:t xml:space="preserve">- </w:t>
      </w:r>
      <w:r w:rsidR="005052E0" w:rsidRPr="005052E0">
        <w:rPr>
          <w:rFonts w:cs="Arial"/>
          <w:rtl/>
        </w:rPr>
        <w:t xml:space="preserve">אם קבלו עליהם קרוב או פסול להעיד והעידו </w:t>
      </w:r>
      <w:r w:rsidR="000E793C">
        <w:rPr>
          <w:rFonts w:cs="Arial" w:hint="cs"/>
          <w:rtl/>
        </w:rPr>
        <w:t xml:space="preserve">- </w:t>
      </w:r>
      <w:r w:rsidR="005052E0" w:rsidRPr="005052E0">
        <w:rPr>
          <w:rFonts w:cs="Arial"/>
          <w:rtl/>
        </w:rPr>
        <w:t>שוב אינו יכול לחזור</w:t>
      </w:r>
      <w:r w:rsidR="00E95309">
        <w:rPr>
          <w:rFonts w:cs="Arial" w:hint="cs"/>
          <w:rtl/>
        </w:rPr>
        <w:t>.</w:t>
      </w:r>
      <w:r w:rsidR="005052E0" w:rsidRPr="005052E0">
        <w:rPr>
          <w:rFonts w:cs="Arial"/>
          <w:rtl/>
        </w:rPr>
        <w:t xml:space="preserve"> </w:t>
      </w:r>
      <w:r w:rsidR="00E40993" w:rsidRPr="00E40993">
        <w:rPr>
          <w:rFonts w:cs="Arial" w:hint="cs"/>
          <w:color w:val="00B0F0"/>
          <w:rtl/>
        </w:rPr>
        <w:t>(וכ"פ הרמ"א)</w:t>
      </w:r>
    </w:p>
    <w:p w14:paraId="2E295497" w14:textId="77777777" w:rsidR="00ED5DE7" w:rsidRDefault="000D0CEE" w:rsidP="00ED5DE7">
      <w:pPr>
        <w:rPr>
          <w:rFonts w:cs="Arial"/>
          <w:rtl/>
        </w:rPr>
      </w:pPr>
      <w:r>
        <w:rPr>
          <w:rFonts w:cs="Arial" w:hint="cs"/>
          <w:u w:val="single"/>
          <w:rtl/>
        </w:rPr>
        <w:t xml:space="preserve">קיבלו עליהם דיינים </w:t>
      </w:r>
      <w:r w:rsidR="009947AA">
        <w:rPr>
          <w:rFonts w:cs="Arial" w:hint="cs"/>
          <w:sz w:val="16"/>
          <w:szCs w:val="16"/>
          <w:u w:val="single"/>
          <w:rtl/>
        </w:rPr>
        <w:t xml:space="preserve">(פסולים כאביו וכדו') </w:t>
      </w:r>
      <w:r w:rsidR="00587271">
        <w:rPr>
          <w:rFonts w:cs="Arial" w:hint="cs"/>
          <w:u w:val="single"/>
          <w:rtl/>
        </w:rPr>
        <w:t xml:space="preserve">שלא בקנין </w:t>
      </w:r>
      <w:r>
        <w:rPr>
          <w:rFonts w:cs="Arial" w:hint="cs"/>
          <w:u w:val="single"/>
          <w:rtl/>
        </w:rPr>
        <w:t xml:space="preserve">ונגמר הדין - </w:t>
      </w:r>
      <w:r w:rsidR="00ED5DE7" w:rsidRPr="00ED5DE7">
        <w:rPr>
          <w:rFonts w:cs="Arial" w:hint="cs"/>
          <w:u w:val="single"/>
          <w:rtl/>
        </w:rPr>
        <w:t>מה הדין אם טעו:</w:t>
      </w:r>
      <w:r w:rsidR="00ED5DE7">
        <w:rPr>
          <w:rFonts w:cs="Arial" w:hint="cs"/>
          <w:rtl/>
        </w:rPr>
        <w:t xml:space="preserve">   </w:t>
      </w:r>
      <w:r w:rsidR="00ED5DE7" w:rsidRPr="00ED5DE7">
        <w:rPr>
          <w:rFonts w:cs="Arial"/>
          <w:sz w:val="16"/>
          <w:szCs w:val="16"/>
          <w:rtl/>
        </w:rPr>
        <w:t>(</w:t>
      </w:r>
      <w:r w:rsidR="009947AA">
        <w:rPr>
          <w:rFonts w:cs="Arial" w:hint="cs"/>
          <w:sz w:val="16"/>
          <w:szCs w:val="16"/>
          <w:rtl/>
        </w:rPr>
        <w:t>ב"י ו</w:t>
      </w:r>
      <w:r w:rsidR="00ED5DE7" w:rsidRPr="00ED5DE7">
        <w:rPr>
          <w:rFonts w:cs="Arial" w:hint="cs"/>
          <w:sz w:val="16"/>
          <w:szCs w:val="16"/>
          <w:rtl/>
        </w:rPr>
        <w:t xml:space="preserve">דרכ"מ אות </w:t>
      </w:r>
      <w:r w:rsidR="00ED5DE7" w:rsidRPr="00ED5DE7">
        <w:rPr>
          <w:rFonts w:cs="Arial"/>
          <w:sz w:val="16"/>
          <w:szCs w:val="16"/>
          <w:rtl/>
        </w:rPr>
        <w:t xml:space="preserve">א) </w:t>
      </w:r>
    </w:p>
    <w:p w14:paraId="029F02BF" w14:textId="77777777" w:rsidR="000D0CEE" w:rsidRDefault="00ED5DE7" w:rsidP="004B0475">
      <w:pPr>
        <w:pStyle w:val="ac"/>
        <w:numPr>
          <w:ilvl w:val="0"/>
          <w:numId w:val="26"/>
        </w:numPr>
        <w:rPr>
          <w:rFonts w:cs="Arial"/>
        </w:rPr>
      </w:pPr>
      <w:r w:rsidRPr="00ED5DE7">
        <w:rPr>
          <w:rFonts w:cs="Arial"/>
          <w:rtl/>
        </w:rPr>
        <w:t xml:space="preserve">מרדכי </w:t>
      </w:r>
      <w:r w:rsidRPr="000D0CEE">
        <w:rPr>
          <w:rFonts w:cs="Arial" w:hint="cs"/>
          <w:sz w:val="16"/>
          <w:szCs w:val="16"/>
          <w:rtl/>
        </w:rPr>
        <w:t>(</w:t>
      </w:r>
      <w:r w:rsidRPr="000D0CEE">
        <w:rPr>
          <w:rFonts w:cs="Arial"/>
          <w:sz w:val="16"/>
          <w:szCs w:val="16"/>
          <w:rtl/>
        </w:rPr>
        <w:t xml:space="preserve">ריש זה בורר סי' תרפו) </w:t>
      </w:r>
      <w:r w:rsidR="00F05402">
        <w:rPr>
          <w:rFonts w:cs="Arial" w:hint="cs"/>
          <w:rtl/>
        </w:rPr>
        <w:t>ו</w:t>
      </w:r>
      <w:r w:rsidR="00F05402" w:rsidRPr="00F05402">
        <w:rPr>
          <w:rFonts w:cs="Arial" w:hint="cs"/>
          <w:rtl/>
        </w:rPr>
        <w:t>תשובת מיימוני</w:t>
      </w:r>
      <w:r w:rsidR="00F05402">
        <w:rPr>
          <w:rFonts w:cs="Arial" w:hint="cs"/>
          <w:sz w:val="16"/>
          <w:szCs w:val="16"/>
          <w:rtl/>
        </w:rPr>
        <w:t xml:space="preserve"> </w:t>
      </w:r>
      <w:r w:rsidR="00F05402" w:rsidRPr="00F05402">
        <w:rPr>
          <w:rFonts w:cs="Arial" w:hint="cs"/>
          <w:sz w:val="16"/>
          <w:szCs w:val="16"/>
          <w:rtl/>
        </w:rPr>
        <w:t>(</w:t>
      </w:r>
      <w:r w:rsidR="00F05402" w:rsidRPr="00F05402">
        <w:rPr>
          <w:rFonts w:cs="Arial"/>
          <w:sz w:val="16"/>
          <w:szCs w:val="16"/>
          <w:rtl/>
        </w:rPr>
        <w:t>סוף ספר שופטים סי' י</w:t>
      </w:r>
      <w:r w:rsidR="00F05402" w:rsidRPr="000D0CEE">
        <w:rPr>
          <w:rFonts w:cs="Arial"/>
          <w:sz w:val="16"/>
          <w:szCs w:val="16"/>
          <w:rtl/>
        </w:rPr>
        <w:t>)</w:t>
      </w:r>
      <w:r w:rsidRPr="00ED5DE7">
        <w:rPr>
          <w:rFonts w:cs="Arial" w:hint="cs"/>
          <w:rtl/>
        </w:rPr>
        <w:t>-</w:t>
      </w:r>
      <w:r w:rsidR="00D75A08">
        <w:rPr>
          <w:rFonts w:cs="Arial" w:hint="cs"/>
          <w:rtl/>
        </w:rPr>
        <w:t xml:space="preserve"> וכתב רבינו מאיר</w:t>
      </w:r>
      <w:r w:rsidRPr="00ED5DE7">
        <w:rPr>
          <w:rFonts w:cs="Arial" w:hint="cs"/>
          <w:rtl/>
        </w:rPr>
        <w:t xml:space="preserve"> </w:t>
      </w:r>
      <w:r w:rsidR="00D75A08" w:rsidRPr="009947AA">
        <w:rPr>
          <w:rFonts w:cs="Arial"/>
          <w:sz w:val="16"/>
          <w:szCs w:val="16"/>
          <w:rtl/>
        </w:rPr>
        <w:t>(ד"ק סי' רל)</w:t>
      </w:r>
      <w:r w:rsidR="00D75A08">
        <w:rPr>
          <w:rFonts w:cs="Arial" w:hint="cs"/>
          <w:sz w:val="16"/>
          <w:szCs w:val="16"/>
          <w:rtl/>
        </w:rPr>
        <w:t xml:space="preserve"> </w:t>
      </w:r>
      <w:r w:rsidR="00D75A08">
        <w:rPr>
          <w:rFonts w:cs="Arial" w:hint="cs"/>
          <w:rtl/>
        </w:rPr>
        <w:t>הא דאמר נאמנים עלי שלשה רועי בקר אינו יכול לחזור בו - ה"מ דלא נודע דטעו,</w:t>
      </w:r>
      <w:r w:rsidRPr="00ED5DE7">
        <w:rPr>
          <w:rFonts w:cs="Arial"/>
          <w:rtl/>
        </w:rPr>
        <w:t xml:space="preserve"> אבל אם נודע שטעו </w:t>
      </w:r>
      <w:r w:rsidR="00D75A08">
        <w:rPr>
          <w:rFonts w:cs="Arial" w:hint="cs"/>
          <w:rtl/>
        </w:rPr>
        <w:t xml:space="preserve">- </w:t>
      </w:r>
      <w:r w:rsidRPr="00ED5DE7">
        <w:rPr>
          <w:rFonts w:cs="Arial"/>
          <w:rtl/>
        </w:rPr>
        <w:t>יכול לחזור בו</w:t>
      </w:r>
      <w:r w:rsidR="000D0CEE">
        <w:rPr>
          <w:rFonts w:cs="Arial" w:hint="cs"/>
          <w:rtl/>
        </w:rPr>
        <w:t>,</w:t>
      </w:r>
      <w:r w:rsidRPr="00ED5DE7">
        <w:rPr>
          <w:rFonts w:cs="Arial"/>
          <w:rtl/>
        </w:rPr>
        <w:t xml:space="preserve"> דלא עדיף מפשרה דיכולין לחזור אף לאחר שהגידו הפשרה אם לא קנו מידו אע</w:t>
      </w:r>
      <w:r w:rsidR="000D0CEE">
        <w:rPr>
          <w:rFonts w:cs="Arial" w:hint="cs"/>
          <w:rtl/>
        </w:rPr>
        <w:t>"</w:t>
      </w:r>
      <w:r w:rsidRPr="00ED5DE7">
        <w:rPr>
          <w:rFonts w:cs="Arial"/>
          <w:rtl/>
        </w:rPr>
        <w:t>ג דקבלינהו עליו לפשרה</w:t>
      </w:r>
      <w:r w:rsidR="000D0CEE">
        <w:rPr>
          <w:rFonts w:cs="Arial" w:hint="cs"/>
          <w:rtl/>
        </w:rPr>
        <w:t>,</w:t>
      </w:r>
      <w:r w:rsidRPr="00ED5DE7">
        <w:rPr>
          <w:rFonts w:cs="Arial"/>
          <w:rtl/>
        </w:rPr>
        <w:t xml:space="preserve"> וה</w:t>
      </w:r>
      <w:r w:rsidR="000D0CEE">
        <w:rPr>
          <w:rFonts w:cs="Arial" w:hint="cs"/>
          <w:rtl/>
        </w:rPr>
        <w:t>"</w:t>
      </w:r>
      <w:r w:rsidRPr="00ED5DE7">
        <w:rPr>
          <w:rFonts w:cs="Arial"/>
          <w:rtl/>
        </w:rPr>
        <w:t>ה כאן אע</w:t>
      </w:r>
      <w:r w:rsidR="000D0CEE">
        <w:rPr>
          <w:rFonts w:cs="Arial" w:hint="cs"/>
          <w:rtl/>
        </w:rPr>
        <w:t>"</w:t>
      </w:r>
      <w:r w:rsidRPr="00ED5DE7">
        <w:rPr>
          <w:rFonts w:cs="Arial"/>
          <w:rtl/>
        </w:rPr>
        <w:t>ג דקבלינהו עליו לא קבלינהו לענין אם טעו דלא מקרי דין</w:t>
      </w:r>
      <w:r w:rsidR="00F12ECD">
        <w:rPr>
          <w:rStyle w:val="ab"/>
          <w:rFonts w:cs="Arial"/>
          <w:rtl/>
        </w:rPr>
        <w:footnoteReference w:id="1085"/>
      </w:r>
      <w:r w:rsidRPr="00ED5DE7">
        <w:rPr>
          <w:rFonts w:cs="Arial"/>
          <w:rtl/>
        </w:rPr>
        <w:t xml:space="preserve"> </w:t>
      </w:r>
      <w:r w:rsidR="00F05402">
        <w:rPr>
          <w:rFonts w:cs="Arial" w:hint="cs"/>
          <w:sz w:val="16"/>
          <w:szCs w:val="16"/>
          <w:rtl/>
        </w:rPr>
        <w:t>(ל' המרדכי)</w:t>
      </w:r>
      <w:r w:rsidR="000D0CEE">
        <w:rPr>
          <w:rFonts w:cs="Arial" w:hint="cs"/>
          <w:rtl/>
        </w:rPr>
        <w:t>.</w:t>
      </w:r>
      <w:r w:rsidRPr="00ED5DE7">
        <w:rPr>
          <w:rFonts w:cs="Arial"/>
          <w:rtl/>
        </w:rPr>
        <w:t xml:space="preserve"> </w:t>
      </w:r>
      <w:r w:rsidR="009947AA" w:rsidRPr="009947AA">
        <w:rPr>
          <w:rFonts w:cs="Arial" w:hint="cs"/>
          <w:color w:val="E36C0A" w:themeColor="accent6" w:themeShade="BF"/>
          <w:rtl/>
        </w:rPr>
        <w:t>(וכ"פ בשו"ע)</w:t>
      </w:r>
    </w:p>
    <w:p w14:paraId="2938FD5B" w14:textId="77777777" w:rsidR="000D0CEE" w:rsidRPr="009947AA" w:rsidRDefault="000D0CEE" w:rsidP="000D0CEE">
      <w:pPr>
        <w:ind w:left="360"/>
        <w:rPr>
          <w:rFonts w:cs="Arial"/>
          <w:u w:val="dotted"/>
        </w:rPr>
      </w:pPr>
      <w:r w:rsidRPr="009947AA">
        <w:rPr>
          <w:rFonts w:cs="Arial" w:hint="cs"/>
          <w:u w:val="dotted"/>
          <w:rtl/>
        </w:rPr>
        <w:t>ומה הדין אם קיבל</w:t>
      </w:r>
      <w:r w:rsidR="00F05402">
        <w:rPr>
          <w:rFonts w:cs="Arial" w:hint="cs"/>
          <w:u w:val="dotted"/>
          <w:rtl/>
        </w:rPr>
        <w:t>ו</w:t>
      </w:r>
      <w:r w:rsidRPr="009947AA">
        <w:rPr>
          <w:rFonts w:cs="Arial" w:hint="cs"/>
          <w:u w:val="dotted"/>
          <w:rtl/>
        </w:rPr>
        <w:t xml:space="preserve"> </w:t>
      </w:r>
      <w:r w:rsidR="00F05402">
        <w:rPr>
          <w:rFonts w:cs="Arial" w:hint="cs"/>
          <w:u w:val="dotted"/>
          <w:rtl/>
        </w:rPr>
        <w:t>עליהם את</w:t>
      </w:r>
      <w:r w:rsidR="009947AA" w:rsidRPr="009947AA">
        <w:rPr>
          <w:rFonts w:cs="Arial" w:hint="cs"/>
          <w:u w:val="dotted"/>
          <w:rtl/>
        </w:rPr>
        <w:t xml:space="preserve"> ראשי הקהל</w:t>
      </w:r>
      <w:r w:rsidR="00F05402">
        <w:rPr>
          <w:rFonts w:cs="Arial" w:hint="cs"/>
          <w:u w:val="dotted"/>
          <w:rtl/>
        </w:rPr>
        <w:t xml:space="preserve"> - וטעו</w:t>
      </w:r>
      <w:r w:rsidR="009947AA" w:rsidRPr="009947AA">
        <w:rPr>
          <w:rFonts w:cs="Arial" w:hint="cs"/>
          <w:u w:val="dotted"/>
          <w:rtl/>
        </w:rPr>
        <w:t>:</w:t>
      </w:r>
    </w:p>
    <w:p w14:paraId="0A5C46BC" w14:textId="77777777" w:rsidR="00F05402" w:rsidRPr="006A5565" w:rsidRDefault="00F05402" w:rsidP="004B0475">
      <w:pPr>
        <w:pStyle w:val="ac"/>
        <w:numPr>
          <w:ilvl w:val="0"/>
          <w:numId w:val="26"/>
        </w:numPr>
        <w:rPr>
          <w:rFonts w:cs="Arial"/>
          <w:rtl/>
        </w:rPr>
      </w:pPr>
      <w:r w:rsidRPr="006A5565">
        <w:rPr>
          <w:rFonts w:cs="Arial"/>
          <w:rtl/>
        </w:rPr>
        <w:t xml:space="preserve">תשובת מיימוני </w:t>
      </w:r>
      <w:r w:rsidRPr="006A5565">
        <w:rPr>
          <w:rFonts w:cs="Arial" w:hint="cs"/>
          <w:sz w:val="16"/>
          <w:szCs w:val="16"/>
          <w:rtl/>
        </w:rPr>
        <w:t>(</w:t>
      </w:r>
      <w:r w:rsidRPr="009947AA">
        <w:rPr>
          <w:rFonts w:cs="Arial"/>
          <w:sz w:val="16"/>
          <w:szCs w:val="16"/>
          <w:rtl/>
        </w:rPr>
        <w:t>סוף ספר שופטים סי' י</w:t>
      </w:r>
      <w:r w:rsidRPr="006A5565">
        <w:rPr>
          <w:rFonts w:cs="Arial" w:hint="cs"/>
          <w:sz w:val="16"/>
          <w:szCs w:val="16"/>
          <w:rtl/>
        </w:rPr>
        <w:t>, תשובות דשייכי להלכות סנהדרין</w:t>
      </w:r>
      <w:r w:rsidRPr="006A5565">
        <w:rPr>
          <w:rFonts w:cs="Arial"/>
          <w:sz w:val="16"/>
          <w:szCs w:val="16"/>
          <w:rtl/>
        </w:rPr>
        <w:t>)</w:t>
      </w:r>
      <w:r w:rsidRPr="006A5565">
        <w:rPr>
          <w:rFonts w:cs="Arial" w:hint="cs"/>
          <w:rtl/>
        </w:rPr>
        <w:t>-</w:t>
      </w:r>
      <w:r w:rsidRPr="006A5565">
        <w:rPr>
          <w:rFonts w:cs="Arial"/>
          <w:rtl/>
        </w:rPr>
        <w:t xml:space="preserve"> בפ</w:t>
      </w:r>
      <w:r>
        <w:rPr>
          <w:rFonts w:cs="Arial" w:hint="cs"/>
          <w:rtl/>
        </w:rPr>
        <w:t>'</w:t>
      </w:r>
      <w:r w:rsidRPr="006A5565">
        <w:rPr>
          <w:rFonts w:cs="Arial"/>
          <w:rtl/>
        </w:rPr>
        <w:t xml:space="preserve"> זה בורר</w:t>
      </w:r>
      <w:r w:rsidRPr="006A5565">
        <w:rPr>
          <w:rFonts w:cs="Arial"/>
          <w:sz w:val="16"/>
          <w:szCs w:val="16"/>
          <w:rtl/>
        </w:rPr>
        <w:t xml:space="preserve"> </w:t>
      </w:r>
      <w:r w:rsidRPr="006A5565">
        <w:rPr>
          <w:rFonts w:cs="Arial" w:hint="cs"/>
          <w:sz w:val="16"/>
          <w:szCs w:val="16"/>
          <w:rtl/>
        </w:rPr>
        <w:t>(כד.)</w:t>
      </w:r>
      <w:r w:rsidRPr="006A5565">
        <w:rPr>
          <w:rFonts w:cs="Arial"/>
          <w:rtl/>
        </w:rPr>
        <w:t xml:space="preserve"> תנן נאמנים עלי שלשה רועי בקר וכו'</w:t>
      </w:r>
      <w:r w:rsidR="00F12ECD">
        <w:rPr>
          <w:rFonts w:cs="Arial" w:hint="cs"/>
          <w:rtl/>
        </w:rPr>
        <w:t>,</w:t>
      </w:r>
      <w:r w:rsidRPr="006A5565">
        <w:rPr>
          <w:rFonts w:cs="Arial"/>
          <w:rtl/>
        </w:rPr>
        <w:t xml:space="preserve"> הוא הדין לשנים שקבלו עליהם כל מה שיפסקו עליהם ראשי הקהל</w:t>
      </w:r>
      <w:r w:rsidR="0003484F">
        <w:rPr>
          <w:rFonts w:cs="Arial" w:hint="cs"/>
          <w:rtl/>
        </w:rPr>
        <w:t>,</w:t>
      </w:r>
      <w:r w:rsidRPr="006A5565">
        <w:rPr>
          <w:rFonts w:cs="Arial"/>
          <w:rtl/>
        </w:rPr>
        <w:t xml:space="preserve"> ועשה אחד על פיהם</w:t>
      </w:r>
      <w:r w:rsidR="0003484F">
        <w:rPr>
          <w:rFonts w:cs="Arial" w:hint="cs"/>
          <w:rtl/>
        </w:rPr>
        <w:t>,</w:t>
      </w:r>
      <w:r w:rsidRPr="006A5565">
        <w:rPr>
          <w:rFonts w:cs="Arial"/>
          <w:rtl/>
        </w:rPr>
        <w:t xml:space="preserve"> שאין לשני עליו כלום</w:t>
      </w:r>
      <w:r w:rsidR="0003484F">
        <w:rPr>
          <w:rFonts w:cs="Arial" w:hint="cs"/>
          <w:rtl/>
        </w:rPr>
        <w:t>.</w:t>
      </w:r>
      <w:r w:rsidRPr="006A5565">
        <w:rPr>
          <w:rFonts w:cs="Arial"/>
          <w:rtl/>
        </w:rPr>
        <w:t xml:space="preserve"> ואע</w:t>
      </w:r>
      <w:r w:rsidRPr="006A5565">
        <w:rPr>
          <w:rFonts w:cs="Arial" w:hint="cs"/>
          <w:rtl/>
        </w:rPr>
        <w:t>"</w:t>
      </w:r>
      <w:r w:rsidRPr="006A5565">
        <w:rPr>
          <w:rFonts w:cs="Arial"/>
          <w:rtl/>
        </w:rPr>
        <w:t>ג דנראה דהא דנאמנים עלי שלשה רועי בקר שאם נודע שטעו שיכול לחזור בו אפילו לאחר גמר דין דלא עדיף מפשרה בלא קנין שיכול לחזור בו כל שכן הכא דקבלינהו עלייהו לעשות דין דכל דין של טעות אינו דין</w:t>
      </w:r>
      <w:r w:rsidR="0003484F">
        <w:rPr>
          <w:rFonts w:cs="Arial" w:hint="cs"/>
          <w:rtl/>
        </w:rPr>
        <w:t>,</w:t>
      </w:r>
      <w:r w:rsidRPr="006A5565">
        <w:rPr>
          <w:rFonts w:cs="Arial"/>
          <w:rtl/>
        </w:rPr>
        <w:t xml:space="preserve"> אפילו הכי</w:t>
      </w:r>
      <w:r w:rsidR="00D75A08">
        <w:rPr>
          <w:rFonts w:cs="Arial" w:hint="cs"/>
          <w:rtl/>
        </w:rPr>
        <w:t>,</w:t>
      </w:r>
      <w:r w:rsidRPr="006A5565">
        <w:rPr>
          <w:rFonts w:cs="Arial"/>
          <w:rtl/>
        </w:rPr>
        <w:t xml:space="preserve"> בנדון זה שהניחו על טובי העיר ועל ראשי הקהל </w:t>
      </w:r>
      <w:r w:rsidR="0003484F">
        <w:rPr>
          <w:rFonts w:cs="Arial" w:hint="cs"/>
          <w:rtl/>
        </w:rPr>
        <w:t xml:space="preserve">- </w:t>
      </w:r>
      <w:r w:rsidRPr="006A5565">
        <w:rPr>
          <w:rFonts w:cs="Arial"/>
          <w:rtl/>
        </w:rPr>
        <w:t>מנהג הוא בכל מלכותינו דכל מה שאדם מקבל בפני ראשי הקהל שנבררו מדעת הקהל שאין יכול לחזור בו. וכ</w:t>
      </w:r>
      <w:r>
        <w:rPr>
          <w:rFonts w:cs="Arial" w:hint="cs"/>
          <w:rtl/>
        </w:rPr>
        <w:t>"</w:t>
      </w:r>
      <w:r w:rsidRPr="006A5565">
        <w:rPr>
          <w:rFonts w:cs="Arial"/>
          <w:rtl/>
        </w:rPr>
        <w:t>כ ר</w:t>
      </w:r>
      <w:r>
        <w:rPr>
          <w:rFonts w:cs="Arial" w:hint="cs"/>
          <w:rtl/>
        </w:rPr>
        <w:t>"</w:t>
      </w:r>
      <w:r w:rsidRPr="006A5565">
        <w:rPr>
          <w:rFonts w:cs="Arial"/>
          <w:rtl/>
        </w:rPr>
        <w:t>ת בתשו</w:t>
      </w:r>
      <w:r>
        <w:rPr>
          <w:rFonts w:cs="Arial" w:hint="cs"/>
          <w:rtl/>
        </w:rPr>
        <w:t xml:space="preserve">' </w:t>
      </w:r>
      <w:r w:rsidRPr="006A5565">
        <w:rPr>
          <w:rFonts w:cs="Arial"/>
          <w:rtl/>
        </w:rPr>
        <w:t>דרשאין בני העיר להסיע על קיצתן אפילו בדברים דלא שייכי לכל הקהל אלא ליחידים</w:t>
      </w:r>
      <w:r w:rsidR="0003484F">
        <w:rPr>
          <w:rFonts w:cs="Arial" w:hint="cs"/>
          <w:rtl/>
        </w:rPr>
        <w:t>,</w:t>
      </w:r>
      <w:r w:rsidRPr="006A5565">
        <w:rPr>
          <w:rFonts w:cs="Arial"/>
          <w:rtl/>
        </w:rPr>
        <w:t xml:space="preserve"> אם מתחילה קיבלו עליהם אין יכולין לחזור בהן</w:t>
      </w:r>
      <w:r>
        <w:rPr>
          <w:rFonts w:cs="Arial" w:hint="cs"/>
          <w:rtl/>
        </w:rPr>
        <w:t>.</w:t>
      </w:r>
      <w:r w:rsidR="00E40993">
        <w:rPr>
          <w:rFonts w:cs="Arial"/>
          <w:rtl/>
        </w:rPr>
        <w:t xml:space="preserve"> </w:t>
      </w:r>
      <w:r w:rsidR="00E40993" w:rsidRPr="00E40993">
        <w:rPr>
          <w:rFonts w:cs="Arial" w:hint="cs"/>
          <w:color w:val="00B0F0"/>
          <w:rtl/>
        </w:rPr>
        <w:t>(וכ"פ הרמ"א)</w:t>
      </w:r>
    </w:p>
    <w:p w14:paraId="11124708" w14:textId="77777777" w:rsidR="00A20576" w:rsidRPr="00A20576" w:rsidRDefault="00561C20" w:rsidP="00A20576">
      <w:pPr>
        <w:rPr>
          <w:rFonts w:cs="Arial"/>
          <w:u w:val="single"/>
        </w:rPr>
      </w:pPr>
      <w:r>
        <w:rPr>
          <w:rFonts w:cs="Arial" w:hint="cs"/>
          <w:u w:val="single"/>
          <w:rtl/>
        </w:rPr>
        <w:t>האם קבלת הקרובים/הפסולים עליהם צריכה להתבצע בפני בית דין כשר</w:t>
      </w:r>
      <w:r w:rsidR="00A20576">
        <w:rPr>
          <w:rFonts w:cs="Arial" w:hint="cs"/>
          <w:u w:val="single"/>
          <w:rtl/>
        </w:rPr>
        <w:t>:</w:t>
      </w:r>
    </w:p>
    <w:p w14:paraId="053BC23F" w14:textId="77777777" w:rsidR="00A20576" w:rsidRDefault="00A20576" w:rsidP="004B0475">
      <w:pPr>
        <w:pStyle w:val="ac"/>
        <w:numPr>
          <w:ilvl w:val="0"/>
          <w:numId w:val="26"/>
        </w:numPr>
        <w:rPr>
          <w:rFonts w:cs="Arial"/>
        </w:rPr>
      </w:pPr>
      <w:r>
        <w:rPr>
          <w:rFonts w:cs="Arial" w:hint="cs"/>
          <w:rtl/>
        </w:rPr>
        <w:t xml:space="preserve">הג"א </w:t>
      </w:r>
      <w:r w:rsidRPr="00A20576">
        <w:rPr>
          <w:rFonts w:cs="Arial" w:hint="cs"/>
          <w:sz w:val="16"/>
          <w:szCs w:val="16"/>
          <w:rtl/>
        </w:rPr>
        <w:t>(</w:t>
      </w:r>
      <w:r w:rsidR="00561C20" w:rsidRPr="00A20576">
        <w:rPr>
          <w:rFonts w:cs="Arial"/>
          <w:sz w:val="16"/>
          <w:szCs w:val="16"/>
          <w:rtl/>
        </w:rPr>
        <w:t>פרק זה בורר סי</w:t>
      </w:r>
      <w:r w:rsidRPr="00A20576">
        <w:rPr>
          <w:rFonts w:cs="Arial" w:hint="cs"/>
          <w:sz w:val="16"/>
          <w:szCs w:val="16"/>
          <w:rtl/>
        </w:rPr>
        <w:t>'</w:t>
      </w:r>
      <w:r w:rsidR="00561C20" w:rsidRPr="00A20576">
        <w:rPr>
          <w:rFonts w:cs="Arial"/>
          <w:sz w:val="16"/>
          <w:szCs w:val="16"/>
          <w:rtl/>
        </w:rPr>
        <w:t xml:space="preserve"> ה</w:t>
      </w:r>
      <w:r w:rsidRPr="00A20576">
        <w:rPr>
          <w:rFonts w:cs="Arial" w:hint="cs"/>
          <w:sz w:val="16"/>
          <w:szCs w:val="16"/>
          <w:rtl/>
        </w:rPr>
        <w:t>)</w:t>
      </w:r>
      <w:r>
        <w:rPr>
          <w:rFonts w:cs="Arial" w:hint="cs"/>
          <w:rtl/>
        </w:rPr>
        <w:t xml:space="preserve"> מאו"ז</w:t>
      </w:r>
      <w:r w:rsidR="00556503" w:rsidRPr="00556503">
        <w:rPr>
          <w:rFonts w:cs="Arial"/>
          <w:rtl/>
        </w:rPr>
        <w:t xml:space="preserve"> </w:t>
      </w:r>
      <w:r w:rsidR="00556503">
        <w:rPr>
          <w:rFonts w:cs="Arial" w:hint="cs"/>
          <w:rtl/>
        </w:rPr>
        <w:t>ו</w:t>
      </w:r>
      <w:r w:rsidR="00556503" w:rsidRPr="00AD2135">
        <w:rPr>
          <w:rFonts w:cs="Arial"/>
          <w:rtl/>
        </w:rPr>
        <w:t>ריב"ש</w:t>
      </w:r>
      <w:r w:rsidR="00556503">
        <w:rPr>
          <w:rStyle w:val="ab"/>
          <w:rFonts w:cs="Arial"/>
          <w:rtl/>
        </w:rPr>
        <w:footnoteReference w:id="1086"/>
      </w:r>
      <w:r w:rsidR="00556503" w:rsidRPr="00AD2135">
        <w:rPr>
          <w:rFonts w:cs="Arial"/>
          <w:sz w:val="16"/>
          <w:szCs w:val="16"/>
          <w:rtl/>
        </w:rPr>
        <w:t xml:space="preserve"> </w:t>
      </w:r>
      <w:r w:rsidR="00556503" w:rsidRPr="00AD2135">
        <w:rPr>
          <w:rFonts w:cs="Arial" w:hint="cs"/>
          <w:sz w:val="16"/>
          <w:szCs w:val="16"/>
          <w:rtl/>
        </w:rPr>
        <w:t>(</w:t>
      </w:r>
      <w:r w:rsidR="00556503" w:rsidRPr="00AD2135">
        <w:rPr>
          <w:rFonts w:cs="Arial"/>
          <w:sz w:val="16"/>
          <w:szCs w:val="16"/>
          <w:rtl/>
        </w:rPr>
        <w:t>סי</w:t>
      </w:r>
      <w:r w:rsidR="00556503" w:rsidRPr="00AD2135">
        <w:rPr>
          <w:rFonts w:cs="Arial" w:hint="cs"/>
          <w:sz w:val="16"/>
          <w:szCs w:val="16"/>
          <w:rtl/>
        </w:rPr>
        <w:t>'</w:t>
      </w:r>
      <w:r w:rsidR="00556503" w:rsidRPr="00AD2135">
        <w:rPr>
          <w:rFonts w:cs="Arial"/>
          <w:sz w:val="16"/>
          <w:szCs w:val="16"/>
          <w:rtl/>
        </w:rPr>
        <w:t xml:space="preserve"> שיא</w:t>
      </w:r>
      <w:r w:rsidR="00556503" w:rsidRPr="00AD2135">
        <w:rPr>
          <w:rFonts w:cs="Arial" w:hint="cs"/>
          <w:sz w:val="16"/>
          <w:szCs w:val="16"/>
          <w:rtl/>
        </w:rPr>
        <w:t>)</w:t>
      </w:r>
      <w:r>
        <w:rPr>
          <w:rFonts w:cs="Arial" w:hint="cs"/>
          <w:rtl/>
        </w:rPr>
        <w:t>-</w:t>
      </w:r>
      <w:r w:rsidR="00561C20" w:rsidRPr="00561C20">
        <w:rPr>
          <w:rFonts w:cs="Arial"/>
          <w:rtl/>
        </w:rPr>
        <w:t xml:space="preserve"> </w:t>
      </w:r>
      <w:r w:rsidRPr="00A20576">
        <w:rPr>
          <w:rFonts w:cs="Arial"/>
          <w:rtl/>
        </w:rPr>
        <w:t>כולה מתניתין מיירי</w:t>
      </w:r>
      <w:r w:rsidR="00224839">
        <w:rPr>
          <w:rFonts w:cs="Arial" w:hint="cs"/>
          <w:rtl/>
        </w:rPr>
        <w:t>,</w:t>
      </w:r>
      <w:r w:rsidRPr="00A20576">
        <w:rPr>
          <w:rFonts w:cs="Arial"/>
          <w:rtl/>
        </w:rPr>
        <w:t xml:space="preserve"> שקבל עליו אבא ואביך</w:t>
      </w:r>
      <w:r w:rsidR="00224839">
        <w:rPr>
          <w:rFonts w:cs="Arial" w:hint="cs"/>
          <w:rtl/>
        </w:rPr>
        <w:t>,</w:t>
      </w:r>
      <w:r w:rsidRPr="00A20576">
        <w:rPr>
          <w:rFonts w:cs="Arial"/>
          <w:rtl/>
        </w:rPr>
        <w:t xml:space="preserve"> ודור לי בחיי ראשך</w:t>
      </w:r>
      <w:r w:rsidR="00224839">
        <w:rPr>
          <w:rFonts w:cs="Arial" w:hint="cs"/>
          <w:rtl/>
        </w:rPr>
        <w:t>,</w:t>
      </w:r>
      <w:r w:rsidRPr="00A20576">
        <w:rPr>
          <w:rFonts w:cs="Arial"/>
          <w:rtl/>
        </w:rPr>
        <w:t xml:space="preserve"> וגם קבל עליו קרוב או פסול </w:t>
      </w:r>
      <w:r>
        <w:rPr>
          <w:rFonts w:cs="Arial" w:hint="cs"/>
          <w:rtl/>
        </w:rPr>
        <w:t xml:space="preserve">- </w:t>
      </w:r>
      <w:r w:rsidRPr="00A20576">
        <w:rPr>
          <w:rFonts w:cs="Arial"/>
          <w:rtl/>
        </w:rPr>
        <w:t>היינו כשקבל עליו בב"ד</w:t>
      </w:r>
      <w:r>
        <w:rPr>
          <w:rFonts w:cs="Arial" w:hint="cs"/>
          <w:rtl/>
        </w:rPr>
        <w:t>,</w:t>
      </w:r>
      <w:r w:rsidRPr="00A20576">
        <w:rPr>
          <w:rFonts w:cs="Arial"/>
          <w:rtl/>
        </w:rPr>
        <w:t xml:space="preserve"> דאי חוץ לב"ד ולא קנו מיניה אפילו לאחר גמר דין חוזר לכ</w:t>
      </w:r>
      <w:r>
        <w:rPr>
          <w:rFonts w:cs="Arial" w:hint="cs"/>
          <w:rtl/>
        </w:rPr>
        <w:t>ו</w:t>
      </w:r>
      <w:r w:rsidRPr="00A20576">
        <w:rPr>
          <w:rFonts w:cs="Arial"/>
          <w:rtl/>
        </w:rPr>
        <w:t>"ע</w:t>
      </w:r>
      <w:r w:rsidR="00556503">
        <w:rPr>
          <w:rFonts w:cs="Arial" w:hint="cs"/>
          <w:sz w:val="16"/>
          <w:szCs w:val="16"/>
          <w:rtl/>
        </w:rPr>
        <w:t xml:space="preserve"> (ל' ההג"א)</w:t>
      </w:r>
      <w:r w:rsidRPr="00A20576">
        <w:rPr>
          <w:rFonts w:cs="Arial"/>
          <w:rtl/>
        </w:rPr>
        <w:t>.</w:t>
      </w:r>
      <w:r w:rsidRPr="00A20576">
        <w:rPr>
          <w:rFonts w:cs="Arial" w:hint="cs"/>
          <w:rtl/>
        </w:rPr>
        <w:t xml:space="preserve"> </w:t>
      </w:r>
      <w:r>
        <w:rPr>
          <w:rFonts w:cs="Arial" w:hint="cs"/>
          <w:rtl/>
        </w:rPr>
        <w:t xml:space="preserve">(וכ"פ הש"ך </w:t>
      </w:r>
      <w:r>
        <w:rPr>
          <w:rFonts w:cs="Arial" w:hint="cs"/>
          <w:sz w:val="16"/>
          <w:szCs w:val="16"/>
          <w:rtl/>
        </w:rPr>
        <w:t>[</w:t>
      </w:r>
      <w:r w:rsidRPr="00561C20">
        <w:rPr>
          <w:rFonts w:cs="Arial" w:hint="cs"/>
          <w:sz w:val="16"/>
          <w:szCs w:val="16"/>
          <w:rtl/>
        </w:rPr>
        <w:t>סק"</w:t>
      </w:r>
      <w:r w:rsidRPr="00561C20">
        <w:rPr>
          <w:rFonts w:cs="Arial"/>
          <w:sz w:val="16"/>
          <w:szCs w:val="16"/>
          <w:rtl/>
        </w:rPr>
        <w:t>א</w:t>
      </w:r>
      <w:r>
        <w:rPr>
          <w:rFonts w:cs="Arial" w:hint="cs"/>
          <w:sz w:val="16"/>
          <w:szCs w:val="16"/>
          <w:rtl/>
        </w:rPr>
        <w:t>]</w:t>
      </w:r>
      <w:r>
        <w:rPr>
          <w:rFonts w:cs="Arial" w:hint="cs"/>
          <w:rtl/>
        </w:rPr>
        <w:t>)</w:t>
      </w:r>
    </w:p>
    <w:p w14:paraId="6097912C" w14:textId="77777777" w:rsidR="00561C20" w:rsidRDefault="00561C20" w:rsidP="004B0475">
      <w:pPr>
        <w:pStyle w:val="ac"/>
        <w:numPr>
          <w:ilvl w:val="0"/>
          <w:numId w:val="26"/>
        </w:numPr>
        <w:rPr>
          <w:rFonts w:cs="Arial"/>
        </w:rPr>
      </w:pPr>
      <w:r w:rsidRPr="00561C20">
        <w:rPr>
          <w:rFonts w:cs="Arial"/>
          <w:rtl/>
        </w:rPr>
        <w:t>נ</w:t>
      </w:r>
      <w:r w:rsidR="00A20576">
        <w:rPr>
          <w:rFonts w:cs="Arial" w:hint="cs"/>
          <w:rtl/>
        </w:rPr>
        <w:t>מוק</w:t>
      </w:r>
      <w:r w:rsidRPr="00561C20">
        <w:rPr>
          <w:rFonts w:cs="Arial"/>
          <w:rtl/>
        </w:rPr>
        <w:t>"י</w:t>
      </w:r>
      <w:r w:rsidR="00A20576">
        <w:rPr>
          <w:rStyle w:val="ab"/>
          <w:rFonts w:cs="Arial"/>
          <w:rtl/>
        </w:rPr>
        <w:footnoteReference w:id="1087"/>
      </w:r>
      <w:r w:rsidRPr="00A20576">
        <w:rPr>
          <w:rFonts w:cs="Arial"/>
          <w:sz w:val="16"/>
          <w:szCs w:val="16"/>
          <w:rtl/>
        </w:rPr>
        <w:t xml:space="preserve"> </w:t>
      </w:r>
      <w:r w:rsidR="00A20576" w:rsidRPr="00A20576">
        <w:rPr>
          <w:rFonts w:cs="Arial" w:hint="cs"/>
          <w:sz w:val="16"/>
          <w:szCs w:val="16"/>
          <w:rtl/>
        </w:rPr>
        <w:t>(</w:t>
      </w:r>
      <w:r w:rsidRPr="00A20576">
        <w:rPr>
          <w:rFonts w:cs="Arial"/>
          <w:sz w:val="16"/>
          <w:szCs w:val="16"/>
          <w:rtl/>
        </w:rPr>
        <w:t>פרק יש נוחלין נו</w:t>
      </w:r>
      <w:r w:rsidR="00A20576" w:rsidRPr="00A20576">
        <w:rPr>
          <w:rFonts w:cs="Arial" w:hint="cs"/>
          <w:sz w:val="16"/>
          <w:szCs w:val="16"/>
          <w:rtl/>
        </w:rPr>
        <w:t>:</w:t>
      </w:r>
      <w:r w:rsidRPr="00A20576">
        <w:rPr>
          <w:rFonts w:cs="Arial"/>
          <w:sz w:val="16"/>
          <w:szCs w:val="16"/>
          <w:rtl/>
        </w:rPr>
        <w:t xml:space="preserve"> מדפ</w:t>
      </w:r>
      <w:r w:rsidR="00A20576" w:rsidRPr="00A20576">
        <w:rPr>
          <w:rFonts w:cs="Arial" w:hint="cs"/>
          <w:sz w:val="16"/>
          <w:szCs w:val="16"/>
          <w:rtl/>
        </w:rPr>
        <w:t>ה"ר</w:t>
      </w:r>
      <w:r w:rsidRPr="00A20576">
        <w:rPr>
          <w:rFonts w:cs="Arial"/>
          <w:sz w:val="16"/>
          <w:szCs w:val="16"/>
          <w:rtl/>
        </w:rPr>
        <w:t xml:space="preserve"> ד"ה שלח</w:t>
      </w:r>
      <w:r w:rsidR="00A20576" w:rsidRPr="00A20576">
        <w:rPr>
          <w:rFonts w:cs="Arial" w:hint="cs"/>
          <w:sz w:val="16"/>
          <w:szCs w:val="16"/>
          <w:rtl/>
        </w:rPr>
        <w:t>)</w:t>
      </w:r>
      <w:r w:rsidR="00A20576">
        <w:rPr>
          <w:rFonts w:cs="Arial" w:hint="cs"/>
          <w:rtl/>
        </w:rPr>
        <w:t xml:space="preserve">- </w:t>
      </w:r>
      <w:r w:rsidRPr="00561C20">
        <w:rPr>
          <w:rFonts w:cs="Arial"/>
          <w:rtl/>
        </w:rPr>
        <w:t>מיירי שלא קיבל בפני ב"ד</w:t>
      </w:r>
      <w:r w:rsidR="007C61C3">
        <w:rPr>
          <w:rStyle w:val="ab"/>
          <w:rFonts w:cs="Arial"/>
          <w:rtl/>
        </w:rPr>
        <w:footnoteReference w:id="1088"/>
      </w:r>
      <w:r w:rsidR="007C61C3">
        <w:rPr>
          <w:rFonts w:cs="Arial" w:hint="cs"/>
          <w:rtl/>
        </w:rPr>
        <w:t>.</w:t>
      </w:r>
      <w:r w:rsidRPr="00561C20">
        <w:rPr>
          <w:rFonts w:cs="Arial"/>
          <w:rtl/>
        </w:rPr>
        <w:t xml:space="preserve"> אבל קיבל בפני ב"ד קרוב או פסול</w:t>
      </w:r>
      <w:r w:rsidR="00693EB9">
        <w:rPr>
          <w:rFonts w:cs="Arial" w:hint="cs"/>
          <w:rtl/>
        </w:rPr>
        <w:t xml:space="preserve"> -</w:t>
      </w:r>
      <w:r w:rsidRPr="00561C20">
        <w:rPr>
          <w:rFonts w:cs="Arial"/>
          <w:rtl/>
        </w:rPr>
        <w:t xml:space="preserve"> אפילו קודם גמר דין אינו יכול לחזור</w:t>
      </w:r>
      <w:r w:rsidR="001C149C" w:rsidRPr="001C149C">
        <w:rPr>
          <w:rStyle w:val="ab"/>
          <w:rFonts w:cs="Arial"/>
          <w:rtl/>
        </w:rPr>
        <w:footnoteReference w:id="1089"/>
      </w:r>
      <w:r w:rsidR="00A20576">
        <w:rPr>
          <w:rFonts w:cs="Arial" w:hint="cs"/>
          <w:sz w:val="16"/>
          <w:szCs w:val="16"/>
          <w:rtl/>
        </w:rPr>
        <w:t xml:space="preserve"> (ל' הש"ך בשם הנמוק"י)</w:t>
      </w:r>
      <w:r w:rsidRPr="00561C20">
        <w:rPr>
          <w:rFonts w:cs="Arial"/>
          <w:rtl/>
        </w:rPr>
        <w:t xml:space="preserve">. </w:t>
      </w:r>
      <w:r w:rsidR="001C149C">
        <w:rPr>
          <w:rFonts w:cs="Arial" w:hint="cs"/>
          <w:rtl/>
        </w:rPr>
        <w:t xml:space="preserve">(וכ"פ או"ת </w:t>
      </w:r>
      <w:r w:rsidR="001C149C">
        <w:rPr>
          <w:rFonts w:cs="Arial" w:hint="cs"/>
          <w:sz w:val="16"/>
          <w:szCs w:val="16"/>
          <w:rtl/>
        </w:rPr>
        <w:t>[</w:t>
      </w:r>
      <w:r w:rsidR="001C149C" w:rsidRPr="00561C20">
        <w:rPr>
          <w:rFonts w:cs="Arial" w:hint="cs"/>
          <w:sz w:val="16"/>
          <w:szCs w:val="16"/>
          <w:rtl/>
        </w:rPr>
        <w:t>סק"</w:t>
      </w:r>
      <w:r w:rsidR="001C149C" w:rsidRPr="00561C20">
        <w:rPr>
          <w:rFonts w:cs="Arial"/>
          <w:sz w:val="16"/>
          <w:szCs w:val="16"/>
          <w:rtl/>
        </w:rPr>
        <w:t>א</w:t>
      </w:r>
      <w:r w:rsidR="001C149C">
        <w:rPr>
          <w:rFonts w:cs="Arial" w:hint="cs"/>
          <w:sz w:val="16"/>
          <w:szCs w:val="16"/>
          <w:rtl/>
        </w:rPr>
        <w:t>]</w:t>
      </w:r>
      <w:r w:rsidR="001C149C">
        <w:rPr>
          <w:rFonts w:cs="Arial" w:hint="cs"/>
          <w:rtl/>
        </w:rPr>
        <w:t xml:space="preserve"> ונתיבות </w:t>
      </w:r>
      <w:r w:rsidR="001C149C">
        <w:rPr>
          <w:rFonts w:cs="Arial" w:hint="cs"/>
          <w:sz w:val="16"/>
          <w:szCs w:val="16"/>
          <w:rtl/>
        </w:rPr>
        <w:t>[סק"א]</w:t>
      </w:r>
      <w:r w:rsidR="001C149C">
        <w:rPr>
          <w:rFonts w:cs="Arial" w:hint="cs"/>
          <w:rtl/>
        </w:rPr>
        <w:t>)</w:t>
      </w:r>
    </w:p>
    <w:p w14:paraId="31A93E38" w14:textId="77777777" w:rsidR="000D0CEE" w:rsidRDefault="000D0CEE" w:rsidP="000D0CEE">
      <w:pPr>
        <w:rPr>
          <w:rFonts w:cs="Arial"/>
          <w:rtl/>
        </w:rPr>
      </w:pPr>
      <w:r w:rsidRPr="00ED5DE7">
        <w:rPr>
          <w:rFonts w:cs="Arial"/>
          <w:u w:val="single"/>
          <w:rtl/>
        </w:rPr>
        <w:t>ק</w:t>
      </w:r>
      <w:r>
        <w:rPr>
          <w:rFonts w:cs="Arial" w:hint="cs"/>
          <w:u w:val="single"/>
          <w:rtl/>
        </w:rPr>
        <w:t>י</w:t>
      </w:r>
      <w:r w:rsidRPr="00ED5DE7">
        <w:rPr>
          <w:rFonts w:cs="Arial"/>
          <w:u w:val="single"/>
          <w:rtl/>
        </w:rPr>
        <w:t xml:space="preserve">בלו </w:t>
      </w:r>
      <w:r>
        <w:rPr>
          <w:rFonts w:cs="Arial" w:hint="cs"/>
          <w:u w:val="single"/>
          <w:rtl/>
        </w:rPr>
        <w:t xml:space="preserve">עליהם </w:t>
      </w:r>
      <w:r>
        <w:rPr>
          <w:rFonts w:cs="Arial" w:hint="cs"/>
          <w:sz w:val="16"/>
          <w:szCs w:val="16"/>
          <w:u w:val="single"/>
          <w:rtl/>
        </w:rPr>
        <w:t>(קרוב או פסול)</w:t>
      </w:r>
      <w:r>
        <w:rPr>
          <w:rFonts w:cs="Arial" w:hint="cs"/>
          <w:u w:val="single"/>
          <w:rtl/>
        </w:rPr>
        <w:t xml:space="preserve"> </w:t>
      </w:r>
      <w:r w:rsidRPr="00ED5DE7">
        <w:rPr>
          <w:rFonts w:cs="Arial"/>
          <w:u w:val="single"/>
          <w:rtl/>
        </w:rPr>
        <w:t xml:space="preserve">בפני </w:t>
      </w:r>
      <w:r w:rsidR="0003484F">
        <w:rPr>
          <w:rFonts w:cs="Arial" w:hint="cs"/>
          <w:u w:val="single"/>
          <w:rtl/>
        </w:rPr>
        <w:t xml:space="preserve">ג' </w:t>
      </w:r>
      <w:r w:rsidR="0003484F" w:rsidRPr="00A071A5">
        <w:rPr>
          <w:rFonts w:cs="Arial" w:hint="cs"/>
          <w:b/>
          <w:bCs/>
          <w:u w:val="single"/>
          <w:rtl/>
        </w:rPr>
        <w:t>טובי העיר</w:t>
      </w:r>
      <w:r w:rsidRPr="00ED5DE7">
        <w:rPr>
          <w:rFonts w:cs="Arial"/>
          <w:u w:val="single"/>
          <w:rtl/>
        </w:rPr>
        <w:t xml:space="preserve"> </w:t>
      </w:r>
      <w:r w:rsidRPr="00ED5DE7">
        <w:rPr>
          <w:rFonts w:cs="Arial" w:hint="cs"/>
          <w:u w:val="single"/>
          <w:rtl/>
        </w:rPr>
        <w:t>- ה</w:t>
      </w:r>
      <w:r w:rsidRPr="00ED5DE7">
        <w:rPr>
          <w:rFonts w:cs="Arial"/>
          <w:u w:val="single"/>
          <w:rtl/>
        </w:rPr>
        <w:t>אם צריך קנין</w:t>
      </w:r>
      <w:r w:rsidRPr="00ED5DE7">
        <w:rPr>
          <w:rFonts w:cs="Arial" w:hint="cs"/>
          <w:u w:val="single"/>
          <w:rtl/>
        </w:rPr>
        <w:t>:</w:t>
      </w:r>
    </w:p>
    <w:p w14:paraId="44C4C023" w14:textId="77777777" w:rsidR="000D0CEE" w:rsidRDefault="000D0CEE" w:rsidP="004B0475">
      <w:pPr>
        <w:pStyle w:val="ac"/>
        <w:numPr>
          <w:ilvl w:val="0"/>
          <w:numId w:val="26"/>
        </w:numPr>
        <w:rPr>
          <w:rFonts w:cs="Arial"/>
        </w:rPr>
      </w:pPr>
      <w:r>
        <w:rPr>
          <w:rFonts w:cs="Arial" w:hint="cs"/>
          <w:rtl/>
        </w:rPr>
        <w:t>הגמ"ר</w:t>
      </w:r>
      <w:r w:rsidRPr="00ED5DE7">
        <w:rPr>
          <w:rFonts w:cs="Arial"/>
          <w:rtl/>
        </w:rPr>
        <w:t xml:space="preserve"> </w:t>
      </w:r>
      <w:r w:rsidRPr="00ED5DE7">
        <w:rPr>
          <w:rFonts w:cs="Arial" w:hint="cs"/>
          <w:sz w:val="16"/>
          <w:szCs w:val="16"/>
          <w:rtl/>
        </w:rPr>
        <w:t>(ב"</w:t>
      </w:r>
      <w:r w:rsidRPr="00ED5DE7">
        <w:rPr>
          <w:rFonts w:cs="Arial"/>
          <w:sz w:val="16"/>
          <w:szCs w:val="16"/>
          <w:rtl/>
        </w:rPr>
        <w:t>מ סי' תנח)</w:t>
      </w:r>
      <w:r w:rsidRPr="00ED5DE7">
        <w:rPr>
          <w:rFonts w:cs="Arial" w:hint="cs"/>
          <w:rtl/>
        </w:rPr>
        <w:t>-</w:t>
      </w:r>
      <w:r w:rsidRPr="00ED5DE7">
        <w:rPr>
          <w:rFonts w:cs="Arial"/>
          <w:rtl/>
        </w:rPr>
        <w:t xml:space="preserve"> נהגו שכל דבר הנעשה ברבים אין צריך קנין במקום שיחיד צריך קנין</w:t>
      </w:r>
      <w:r w:rsidR="0003484F">
        <w:rPr>
          <w:rFonts w:cs="Arial" w:hint="cs"/>
          <w:rtl/>
        </w:rPr>
        <w:t>,</w:t>
      </w:r>
      <w:r w:rsidRPr="00ED5DE7">
        <w:rPr>
          <w:rFonts w:cs="Arial"/>
          <w:rtl/>
        </w:rPr>
        <w:t xml:space="preserve"> ושלשה טובי העיר חשובים כמו כל העיר</w:t>
      </w:r>
      <w:r w:rsidRPr="00ED5DE7">
        <w:rPr>
          <w:rFonts w:cs="Arial" w:hint="cs"/>
          <w:rtl/>
        </w:rPr>
        <w:t>,</w:t>
      </w:r>
      <w:r w:rsidRPr="00ED5DE7">
        <w:rPr>
          <w:rFonts w:cs="Arial"/>
          <w:rtl/>
        </w:rPr>
        <w:t xml:space="preserve"> כדאמרינן פ"ב דמגילה בירושלמי</w:t>
      </w:r>
      <w:r w:rsidRPr="00ED5DE7">
        <w:rPr>
          <w:rFonts w:cs="Arial" w:hint="cs"/>
          <w:rtl/>
        </w:rPr>
        <w:t>,</w:t>
      </w:r>
      <w:r w:rsidRPr="00ED5DE7">
        <w:rPr>
          <w:rFonts w:cs="Arial"/>
          <w:rtl/>
        </w:rPr>
        <w:t xml:space="preserve"> וכל דבר תנאי וקנין די בג' טובי העיר</w:t>
      </w:r>
      <w:r w:rsidRPr="00ED5DE7">
        <w:rPr>
          <w:rFonts w:cs="Arial" w:hint="cs"/>
          <w:rtl/>
        </w:rPr>
        <w:t>,</w:t>
      </w:r>
      <w:r w:rsidRPr="00ED5DE7">
        <w:rPr>
          <w:rFonts w:cs="Arial"/>
          <w:rtl/>
        </w:rPr>
        <w:t xml:space="preserve"> כדאמרינן בנדרים פ' השותפין גבי ההוא דאמר זכוותא לב"ד</w:t>
      </w:r>
      <w:r w:rsidR="007C61C3">
        <w:rPr>
          <w:rFonts w:cs="Arial" w:hint="cs"/>
          <w:rtl/>
        </w:rPr>
        <w:t>,</w:t>
      </w:r>
      <w:r w:rsidRPr="00ED5DE7">
        <w:rPr>
          <w:rFonts w:cs="Arial"/>
          <w:rtl/>
        </w:rPr>
        <w:t xml:space="preserve"> וכן פ"ק דב"ב גבי הנהו תרי טבחי כו'</w:t>
      </w:r>
      <w:r w:rsidR="007C61C3">
        <w:rPr>
          <w:rFonts w:cs="Arial" w:hint="cs"/>
          <w:rtl/>
        </w:rPr>
        <w:t>,</w:t>
      </w:r>
      <w:r w:rsidRPr="00ED5DE7">
        <w:rPr>
          <w:rFonts w:cs="Arial"/>
          <w:rtl/>
        </w:rPr>
        <w:t xml:space="preserve"> והרבה יש בתלמוד</w:t>
      </w:r>
      <w:r w:rsidR="007C61C3">
        <w:rPr>
          <w:rFonts w:cs="Arial" w:hint="cs"/>
          <w:rtl/>
        </w:rPr>
        <w:t>.</w:t>
      </w:r>
      <w:r w:rsidRPr="00ED5DE7">
        <w:rPr>
          <w:rFonts w:cs="Arial"/>
          <w:rtl/>
        </w:rPr>
        <w:t xml:space="preserve"> ומה שמצריך תלמוד ז' טובי העיר היינו דברים גדולים כגון להוציא בית הכנסת מקדושתו וכיוצא בו</w:t>
      </w:r>
      <w:r w:rsidRPr="00ED5DE7">
        <w:rPr>
          <w:rFonts w:cs="Arial" w:hint="cs"/>
          <w:rtl/>
        </w:rPr>
        <w:t>...</w:t>
      </w:r>
      <w:r w:rsidRPr="00ED5DE7">
        <w:rPr>
          <w:rFonts w:cs="Arial"/>
          <w:rtl/>
        </w:rPr>
        <w:t xml:space="preserve"> </w:t>
      </w:r>
      <w:r w:rsidR="00C86E8A">
        <w:rPr>
          <w:rFonts w:cs="Arial" w:hint="cs"/>
          <w:rtl/>
        </w:rPr>
        <w:t xml:space="preserve">(וכ"פ </w:t>
      </w:r>
      <w:r w:rsidR="00D60F1A">
        <w:rPr>
          <w:rFonts w:cs="Arial" w:hint="cs"/>
          <w:rtl/>
        </w:rPr>
        <w:t xml:space="preserve">עיר שושן </w:t>
      </w:r>
      <w:r w:rsidR="00D60F1A">
        <w:rPr>
          <w:rFonts w:cs="Arial" w:hint="cs"/>
          <w:sz w:val="16"/>
          <w:szCs w:val="16"/>
          <w:rtl/>
        </w:rPr>
        <w:t xml:space="preserve">[סע' א] </w:t>
      </w:r>
      <w:r w:rsidR="00C86E8A">
        <w:rPr>
          <w:rFonts w:cs="Arial" w:hint="cs"/>
          <w:rtl/>
        </w:rPr>
        <w:t xml:space="preserve">סמ"ע </w:t>
      </w:r>
      <w:r w:rsidR="00C86E8A">
        <w:rPr>
          <w:rFonts w:cs="Arial" w:hint="cs"/>
          <w:sz w:val="16"/>
          <w:szCs w:val="16"/>
          <w:rtl/>
        </w:rPr>
        <w:t>[סקי"ב]</w:t>
      </w:r>
      <w:r w:rsidR="00D60F1A">
        <w:rPr>
          <w:rFonts w:cs="Arial" w:hint="cs"/>
          <w:rtl/>
        </w:rPr>
        <w:t xml:space="preserve"> וש"ך </w:t>
      </w:r>
      <w:r w:rsidR="00D60F1A">
        <w:rPr>
          <w:rFonts w:cs="Arial" w:hint="cs"/>
          <w:sz w:val="16"/>
          <w:szCs w:val="16"/>
          <w:rtl/>
        </w:rPr>
        <w:t>[סקי"ב]</w:t>
      </w:r>
      <w:r w:rsidR="00C86E8A">
        <w:rPr>
          <w:rFonts w:cs="Arial" w:hint="cs"/>
          <w:rtl/>
        </w:rPr>
        <w:t>)</w:t>
      </w:r>
    </w:p>
    <w:p w14:paraId="4B0BD7BB" w14:textId="77777777" w:rsidR="00561C20" w:rsidRPr="009947AA" w:rsidRDefault="00561C20" w:rsidP="00561C20">
      <w:pPr>
        <w:rPr>
          <w:rFonts w:cs="Arial"/>
          <w:u w:val="single"/>
        </w:rPr>
      </w:pPr>
      <w:r>
        <w:rPr>
          <w:rFonts w:cs="Arial" w:hint="cs"/>
          <w:u w:val="single"/>
          <w:rtl/>
        </w:rPr>
        <w:lastRenderedPageBreak/>
        <w:t>בעל דין ש</w:t>
      </w:r>
      <w:r w:rsidRPr="009947AA">
        <w:rPr>
          <w:rFonts w:cs="Arial"/>
          <w:u w:val="single"/>
          <w:rtl/>
        </w:rPr>
        <w:t xml:space="preserve">כפר ואמר </w:t>
      </w:r>
      <w:r>
        <w:rPr>
          <w:rFonts w:cs="Arial" w:hint="cs"/>
          <w:u w:val="single"/>
          <w:rtl/>
        </w:rPr>
        <w:t>'</w:t>
      </w:r>
      <w:r w:rsidRPr="009947AA">
        <w:rPr>
          <w:rFonts w:cs="Arial"/>
          <w:u w:val="single"/>
          <w:rtl/>
        </w:rPr>
        <w:t>לא קבלתיו עלי לדון</w:t>
      </w:r>
      <w:r>
        <w:rPr>
          <w:rFonts w:cs="Arial" w:hint="cs"/>
          <w:u w:val="single"/>
          <w:rtl/>
        </w:rPr>
        <w:t>'</w:t>
      </w:r>
      <w:r w:rsidRPr="009947AA">
        <w:rPr>
          <w:rFonts w:cs="Arial" w:hint="cs"/>
          <w:u w:val="single"/>
          <w:rtl/>
        </w:rPr>
        <w:t>:</w:t>
      </w:r>
    </w:p>
    <w:p w14:paraId="205FF2AF" w14:textId="77777777" w:rsidR="00561C20" w:rsidRPr="009947AA" w:rsidRDefault="00561C20" w:rsidP="004B0475">
      <w:pPr>
        <w:pStyle w:val="ac"/>
        <w:numPr>
          <w:ilvl w:val="0"/>
          <w:numId w:val="26"/>
        </w:numPr>
        <w:rPr>
          <w:rFonts w:cs="Arial"/>
          <w:rtl/>
        </w:rPr>
      </w:pPr>
      <w:r w:rsidRPr="009947AA">
        <w:rPr>
          <w:rFonts w:cs="Arial"/>
          <w:rtl/>
        </w:rPr>
        <w:t xml:space="preserve">רא"ש </w:t>
      </w:r>
      <w:r w:rsidRPr="009947AA">
        <w:rPr>
          <w:rFonts w:cs="Arial" w:hint="cs"/>
          <w:sz w:val="16"/>
          <w:szCs w:val="16"/>
          <w:rtl/>
        </w:rPr>
        <w:t>(כלל</w:t>
      </w:r>
      <w:r w:rsidRPr="009947AA">
        <w:rPr>
          <w:rFonts w:cs="Arial"/>
          <w:sz w:val="16"/>
          <w:szCs w:val="16"/>
          <w:rtl/>
        </w:rPr>
        <w:t xml:space="preserve"> נו סי</w:t>
      </w:r>
      <w:r w:rsidRPr="009947AA">
        <w:rPr>
          <w:rFonts w:cs="Arial" w:hint="cs"/>
          <w:sz w:val="16"/>
          <w:szCs w:val="16"/>
          <w:rtl/>
        </w:rPr>
        <w:t>'</w:t>
      </w:r>
      <w:r w:rsidRPr="009947AA">
        <w:rPr>
          <w:rFonts w:cs="Arial"/>
          <w:sz w:val="16"/>
          <w:szCs w:val="16"/>
          <w:rtl/>
        </w:rPr>
        <w:t xml:space="preserve"> א</w:t>
      </w:r>
      <w:r w:rsidRPr="009947AA">
        <w:rPr>
          <w:rFonts w:cs="Arial" w:hint="cs"/>
          <w:sz w:val="16"/>
          <w:szCs w:val="16"/>
          <w:rtl/>
        </w:rPr>
        <w:t xml:space="preserve">) </w:t>
      </w:r>
      <w:r w:rsidRPr="009947AA">
        <w:rPr>
          <w:rFonts w:cs="Arial" w:hint="cs"/>
          <w:rtl/>
        </w:rPr>
        <w:t>וטור-</w:t>
      </w:r>
      <w:r w:rsidRPr="009947AA">
        <w:rPr>
          <w:rFonts w:cs="Arial"/>
          <w:rtl/>
        </w:rPr>
        <w:t xml:space="preserve"> אם כפר ואמר לא קבלתיו עלי לדון ואין עדים בדבר </w:t>
      </w:r>
      <w:r>
        <w:rPr>
          <w:rFonts w:cs="Arial" w:hint="cs"/>
          <w:rtl/>
        </w:rPr>
        <w:t xml:space="preserve">- </w:t>
      </w:r>
      <w:r w:rsidRPr="009947AA">
        <w:rPr>
          <w:rFonts w:cs="Arial"/>
          <w:rtl/>
        </w:rPr>
        <w:t>ישבע שלא קבלו עליו</w:t>
      </w:r>
      <w:r>
        <w:rPr>
          <w:rFonts w:cs="Arial" w:hint="cs"/>
          <w:rtl/>
        </w:rPr>
        <w:t>.</w:t>
      </w:r>
      <w:r w:rsidRPr="009947AA">
        <w:rPr>
          <w:rFonts w:cs="Arial"/>
          <w:rtl/>
        </w:rPr>
        <w:t xml:space="preserve"> אפילו אם הדיין מכחישו ואמר שקבלו עליו</w:t>
      </w:r>
      <w:r>
        <w:rPr>
          <w:rStyle w:val="ab"/>
          <w:rFonts w:cs="Arial"/>
          <w:rtl/>
        </w:rPr>
        <w:footnoteReference w:id="1090"/>
      </w:r>
      <w:r w:rsidRPr="009947AA">
        <w:rPr>
          <w:rFonts w:cs="Arial" w:hint="cs"/>
          <w:rtl/>
        </w:rPr>
        <w:t>.</w:t>
      </w:r>
      <w:r>
        <w:rPr>
          <w:rFonts w:cs="Arial" w:hint="cs"/>
          <w:rtl/>
        </w:rPr>
        <w:t xml:space="preserve"> </w:t>
      </w:r>
      <w:r w:rsidRPr="009947AA">
        <w:rPr>
          <w:rFonts w:cs="Arial" w:hint="cs"/>
          <w:color w:val="E36C0A" w:themeColor="accent6" w:themeShade="BF"/>
          <w:rtl/>
        </w:rPr>
        <w:t>(וכ"פ בשו"ע)</w:t>
      </w:r>
    </w:p>
    <w:p w14:paraId="1BEDDD92" w14:textId="77777777" w:rsidR="00561C20" w:rsidRPr="000D0CEE" w:rsidRDefault="00561C20" w:rsidP="00561C20">
      <w:pPr>
        <w:rPr>
          <w:rFonts w:cs="Arial"/>
          <w:u w:val="single"/>
          <w:rtl/>
        </w:rPr>
      </w:pPr>
      <w:r w:rsidRPr="000D0CEE">
        <w:rPr>
          <w:rFonts w:cs="Arial"/>
          <w:u w:val="single"/>
          <w:rtl/>
        </w:rPr>
        <w:t>ק</w:t>
      </w:r>
      <w:r>
        <w:rPr>
          <w:rFonts w:cs="Arial" w:hint="cs"/>
          <w:u w:val="single"/>
          <w:rtl/>
        </w:rPr>
        <w:t>י</w:t>
      </w:r>
      <w:r w:rsidRPr="000D0CEE">
        <w:rPr>
          <w:rFonts w:cs="Arial"/>
          <w:u w:val="single"/>
          <w:rtl/>
        </w:rPr>
        <w:t>בל על</w:t>
      </w:r>
      <w:r>
        <w:rPr>
          <w:rFonts w:cs="Arial" w:hint="cs"/>
          <w:u w:val="single"/>
          <w:rtl/>
        </w:rPr>
        <w:t>יו</w:t>
      </w:r>
      <w:r w:rsidRPr="000D0CEE">
        <w:rPr>
          <w:rFonts w:cs="Arial"/>
          <w:u w:val="single"/>
          <w:rtl/>
        </w:rPr>
        <w:t xml:space="preserve"> דיין אחד ונגמר הדין </w:t>
      </w:r>
      <w:r>
        <w:rPr>
          <w:rFonts w:cs="Arial"/>
          <w:u w:val="single"/>
          <w:rtl/>
        </w:rPr>
        <w:t>–</w:t>
      </w:r>
      <w:r>
        <w:rPr>
          <w:rFonts w:cs="Arial" w:hint="cs"/>
          <w:u w:val="single"/>
          <w:rtl/>
        </w:rPr>
        <w:t xml:space="preserve"> האם</w:t>
      </w:r>
      <w:r w:rsidRPr="000D0CEE">
        <w:rPr>
          <w:rFonts w:cs="Arial"/>
          <w:u w:val="single"/>
          <w:rtl/>
        </w:rPr>
        <w:t xml:space="preserve"> יכולים לחזור בהם </w:t>
      </w:r>
      <w:r>
        <w:rPr>
          <w:rFonts w:cs="Arial" w:hint="cs"/>
          <w:u w:val="single"/>
          <w:rtl/>
        </w:rPr>
        <w:t>כש</w:t>
      </w:r>
      <w:r w:rsidRPr="000D0CEE">
        <w:rPr>
          <w:rFonts w:cs="Arial"/>
          <w:u w:val="single"/>
          <w:rtl/>
        </w:rPr>
        <w:t>שניהם מתרצים</w:t>
      </w:r>
      <w:r w:rsidRPr="000D0CEE">
        <w:rPr>
          <w:rFonts w:cs="Arial" w:hint="cs"/>
          <w:u w:val="single"/>
          <w:rtl/>
        </w:rPr>
        <w:t>:</w:t>
      </w:r>
    </w:p>
    <w:p w14:paraId="0F59F425" w14:textId="77777777" w:rsidR="00561C20" w:rsidRPr="000D0CEE" w:rsidRDefault="00561C20" w:rsidP="004B0475">
      <w:pPr>
        <w:pStyle w:val="ac"/>
        <w:numPr>
          <w:ilvl w:val="0"/>
          <w:numId w:val="26"/>
        </w:numPr>
        <w:rPr>
          <w:rFonts w:cs="Arial"/>
          <w:rtl/>
        </w:rPr>
      </w:pPr>
      <w:r w:rsidRPr="000D0CEE">
        <w:rPr>
          <w:rFonts w:cs="Arial"/>
          <w:rtl/>
        </w:rPr>
        <w:t>רא"ש</w:t>
      </w:r>
      <w:r w:rsidRPr="000D0CEE">
        <w:rPr>
          <w:rFonts w:cs="Arial"/>
          <w:sz w:val="16"/>
          <w:szCs w:val="16"/>
          <w:rtl/>
        </w:rPr>
        <w:t xml:space="preserve"> </w:t>
      </w:r>
      <w:r w:rsidRPr="000D0CEE">
        <w:rPr>
          <w:rFonts w:cs="Arial" w:hint="cs"/>
          <w:sz w:val="16"/>
          <w:szCs w:val="16"/>
          <w:rtl/>
        </w:rPr>
        <w:t>(ב</w:t>
      </w:r>
      <w:r w:rsidRPr="000D0CEE">
        <w:rPr>
          <w:rFonts w:cs="Arial"/>
          <w:sz w:val="16"/>
          <w:szCs w:val="16"/>
          <w:rtl/>
        </w:rPr>
        <w:t>תשו</w:t>
      </w:r>
      <w:r w:rsidRPr="000D0CEE">
        <w:rPr>
          <w:rFonts w:cs="Arial" w:hint="cs"/>
          <w:sz w:val="16"/>
          <w:szCs w:val="16"/>
          <w:rtl/>
        </w:rPr>
        <w:t>'</w:t>
      </w:r>
      <w:r w:rsidRPr="000D0CEE">
        <w:rPr>
          <w:rFonts w:cs="Arial"/>
          <w:sz w:val="16"/>
          <w:szCs w:val="16"/>
          <w:rtl/>
        </w:rPr>
        <w:t xml:space="preserve"> סי</w:t>
      </w:r>
      <w:r w:rsidRPr="000D0CEE">
        <w:rPr>
          <w:rFonts w:cs="Arial" w:hint="cs"/>
          <w:sz w:val="16"/>
          <w:szCs w:val="16"/>
          <w:rtl/>
        </w:rPr>
        <w:t>'</w:t>
      </w:r>
      <w:r w:rsidRPr="000D0CEE">
        <w:rPr>
          <w:rFonts w:cs="Arial"/>
          <w:sz w:val="16"/>
          <w:szCs w:val="16"/>
          <w:rtl/>
        </w:rPr>
        <w:t xml:space="preserve"> ח כלל הדיינים </w:t>
      </w:r>
      <w:r w:rsidRPr="000D0CEE">
        <w:rPr>
          <w:rFonts w:cs="Arial" w:hint="cs"/>
          <w:sz w:val="16"/>
          <w:szCs w:val="16"/>
          <w:rtl/>
        </w:rPr>
        <w:t>[</w:t>
      </w:r>
      <w:r w:rsidRPr="000D0CEE">
        <w:rPr>
          <w:rFonts w:cs="Arial"/>
          <w:sz w:val="16"/>
          <w:szCs w:val="16"/>
          <w:rtl/>
        </w:rPr>
        <w:t>כלל נו</w:t>
      </w:r>
      <w:r w:rsidRPr="000D0CEE">
        <w:rPr>
          <w:rFonts w:cs="Arial" w:hint="cs"/>
          <w:sz w:val="16"/>
          <w:szCs w:val="16"/>
          <w:rtl/>
        </w:rPr>
        <w:t>]</w:t>
      </w:r>
      <w:r w:rsidRPr="000D0CEE">
        <w:rPr>
          <w:rFonts w:cs="Arial"/>
          <w:sz w:val="16"/>
          <w:szCs w:val="16"/>
          <w:rtl/>
        </w:rPr>
        <w:t>)</w:t>
      </w:r>
      <w:r w:rsidRPr="000D0CEE">
        <w:rPr>
          <w:rFonts w:cs="Arial" w:hint="cs"/>
          <w:rtl/>
        </w:rPr>
        <w:t>-</w:t>
      </w:r>
      <w:r w:rsidRPr="000D0CEE">
        <w:rPr>
          <w:rFonts w:cs="Arial"/>
          <w:rtl/>
        </w:rPr>
        <w:t xml:space="preserve"> מי שקבל עליו דיין אחד ונגמר הדין </w:t>
      </w:r>
      <w:r w:rsidR="007C61C3">
        <w:rPr>
          <w:rFonts w:cs="Arial" w:hint="cs"/>
          <w:rtl/>
        </w:rPr>
        <w:t xml:space="preserve">- </w:t>
      </w:r>
      <w:r w:rsidRPr="000D0CEE">
        <w:rPr>
          <w:rFonts w:cs="Arial"/>
          <w:rtl/>
        </w:rPr>
        <w:t>אין יכולים לחזור בהם אע</w:t>
      </w:r>
      <w:r w:rsidRPr="000D0CEE">
        <w:rPr>
          <w:rFonts w:cs="Arial" w:hint="cs"/>
          <w:rtl/>
        </w:rPr>
        <w:t>"</w:t>
      </w:r>
      <w:r w:rsidRPr="000D0CEE">
        <w:rPr>
          <w:rFonts w:cs="Arial"/>
          <w:rtl/>
        </w:rPr>
        <w:t>פ ששניהם מתרצים בכך</w:t>
      </w:r>
      <w:r>
        <w:rPr>
          <w:rStyle w:val="ab"/>
          <w:rFonts w:cs="Arial"/>
          <w:rtl/>
        </w:rPr>
        <w:footnoteReference w:id="1091"/>
      </w:r>
      <w:r w:rsidRPr="000D0CEE">
        <w:rPr>
          <w:rFonts w:cs="Arial" w:hint="cs"/>
          <w:rtl/>
        </w:rPr>
        <w:t>.</w:t>
      </w:r>
    </w:p>
    <w:p w14:paraId="08F7FB92" w14:textId="77777777" w:rsidR="00B351C3" w:rsidRDefault="00F05402" w:rsidP="009E27FD">
      <w:pPr>
        <w:rPr>
          <w:rFonts w:cs="Arial"/>
          <w:sz w:val="16"/>
          <w:szCs w:val="16"/>
          <w:rtl/>
        </w:rPr>
      </w:pPr>
      <w:r w:rsidRPr="00AC714E">
        <w:rPr>
          <w:rFonts w:cs="Arial"/>
          <w:b/>
          <w:bCs/>
          <w:rtl/>
        </w:rPr>
        <w:t>סנהדרין</w:t>
      </w:r>
      <w:r w:rsidRPr="00AC714E">
        <w:rPr>
          <w:rFonts w:cs="Arial"/>
          <w:b/>
          <w:bCs/>
          <w:sz w:val="16"/>
          <w:szCs w:val="16"/>
          <w:rtl/>
        </w:rPr>
        <w:t xml:space="preserve"> </w:t>
      </w:r>
      <w:r w:rsidRPr="00AC714E">
        <w:rPr>
          <w:rFonts w:cs="Arial" w:hint="cs"/>
          <w:b/>
          <w:bCs/>
          <w:sz w:val="16"/>
          <w:szCs w:val="16"/>
          <w:rtl/>
        </w:rPr>
        <w:t>(</w:t>
      </w:r>
      <w:r w:rsidRPr="00AC714E">
        <w:rPr>
          <w:rFonts w:cs="Arial"/>
          <w:b/>
          <w:bCs/>
          <w:sz w:val="16"/>
          <w:szCs w:val="16"/>
          <w:rtl/>
        </w:rPr>
        <w:t>פ</w:t>
      </w:r>
      <w:r w:rsidRPr="00AC714E">
        <w:rPr>
          <w:rFonts w:cs="Arial" w:hint="cs"/>
          <w:b/>
          <w:bCs/>
          <w:sz w:val="16"/>
          <w:szCs w:val="16"/>
          <w:rtl/>
        </w:rPr>
        <w:t>'</w:t>
      </w:r>
      <w:r w:rsidRPr="00AC714E">
        <w:rPr>
          <w:rFonts w:cs="Arial"/>
          <w:b/>
          <w:bCs/>
          <w:sz w:val="16"/>
          <w:szCs w:val="16"/>
          <w:rtl/>
        </w:rPr>
        <w:t xml:space="preserve"> זה בורר</w:t>
      </w:r>
      <w:r w:rsidRPr="00AC714E">
        <w:rPr>
          <w:rFonts w:cs="Arial" w:hint="cs"/>
          <w:b/>
          <w:bCs/>
          <w:sz w:val="16"/>
          <w:szCs w:val="16"/>
          <w:rtl/>
        </w:rPr>
        <w:t>)</w:t>
      </w:r>
      <w:r w:rsidRPr="00AC714E">
        <w:rPr>
          <w:rFonts w:cs="Arial"/>
          <w:b/>
          <w:bCs/>
          <w:sz w:val="16"/>
          <w:szCs w:val="16"/>
          <w:rtl/>
        </w:rPr>
        <w:t xml:space="preserve"> </w:t>
      </w:r>
      <w:r w:rsidRPr="00AC714E">
        <w:rPr>
          <w:rFonts w:cs="Arial"/>
          <w:b/>
          <w:bCs/>
          <w:rtl/>
        </w:rPr>
        <w:t>כד</w:t>
      </w:r>
      <w:r w:rsidRPr="00AC714E">
        <w:rPr>
          <w:rFonts w:cs="Arial" w:hint="cs"/>
          <w:b/>
          <w:bCs/>
          <w:rtl/>
        </w:rPr>
        <w:t xml:space="preserve"> ע"א:</w:t>
      </w:r>
      <w:r w:rsidRPr="00F05402">
        <w:rPr>
          <w:rtl/>
        </w:rPr>
        <w:t xml:space="preserve"> </w:t>
      </w:r>
      <w:r w:rsidRPr="00AC714E">
        <w:rPr>
          <w:rFonts w:cs="Arial"/>
          <w:u w:val="double"/>
          <w:rtl/>
        </w:rPr>
        <w:t>משנה</w:t>
      </w:r>
      <w:r>
        <w:rPr>
          <w:rFonts w:cs="Arial" w:hint="cs"/>
          <w:u w:val="double"/>
          <w:rtl/>
        </w:rPr>
        <w:t>:</w:t>
      </w:r>
      <w:r w:rsidRPr="00AC714E">
        <w:rPr>
          <w:rFonts w:cs="Arial"/>
          <w:rtl/>
        </w:rPr>
        <w:t xml:space="preserve"> אמר לו: נאמן עלי אבא, נאמן עלי אביך נאמנים עלי שלשה רועי בקר, </w:t>
      </w:r>
      <w:r w:rsidRPr="00AC714E">
        <w:rPr>
          <w:rFonts w:cs="Arial"/>
          <w:u w:val="single"/>
          <w:rtl/>
        </w:rPr>
        <w:t>רבי מאיר</w:t>
      </w:r>
      <w:r w:rsidRPr="00AC714E">
        <w:rPr>
          <w:rFonts w:cs="Arial"/>
          <w:rtl/>
        </w:rPr>
        <w:t xml:space="preserve"> </w:t>
      </w:r>
      <w:r w:rsidRPr="00AC714E">
        <w:rPr>
          <w:rFonts w:cs="Arial"/>
          <w:u w:val="single"/>
          <w:rtl/>
        </w:rPr>
        <w:t>אומר</w:t>
      </w:r>
      <w:r w:rsidRPr="00AC714E">
        <w:rPr>
          <w:rFonts w:cs="Arial"/>
          <w:rtl/>
        </w:rPr>
        <w:t xml:space="preserve">: יכול לחזור בו, </w:t>
      </w:r>
      <w:r w:rsidRPr="00AC714E">
        <w:rPr>
          <w:rFonts w:cs="Arial"/>
          <w:u w:val="single"/>
          <w:rtl/>
        </w:rPr>
        <w:t>וחכמים אומרים</w:t>
      </w:r>
      <w:r w:rsidRPr="00AC714E">
        <w:rPr>
          <w:rFonts w:cs="Arial"/>
          <w:rtl/>
        </w:rPr>
        <w:t>: אינו יכול לחזור בו.</w:t>
      </w:r>
      <w:r>
        <w:rPr>
          <w:rFonts w:cs="Arial" w:hint="cs"/>
          <w:rtl/>
        </w:rPr>
        <w:t xml:space="preserve">..    </w:t>
      </w:r>
      <w:r w:rsidRPr="00AC714E">
        <w:rPr>
          <w:rFonts w:cs="Arial" w:hint="cs"/>
          <w:u w:val="double"/>
          <w:rtl/>
        </w:rPr>
        <w:t>גמרא:</w:t>
      </w:r>
      <w:r>
        <w:rPr>
          <w:rFonts w:cs="Arial" w:hint="cs"/>
          <w:rtl/>
        </w:rPr>
        <w:t xml:space="preserve"> </w:t>
      </w:r>
      <w:r w:rsidRPr="00F05402">
        <w:rPr>
          <w:rFonts w:cs="Arial"/>
          <w:u w:val="single"/>
          <w:rtl/>
        </w:rPr>
        <w:t>אמר רב דימי בריה דרב נחמן בריה דרב יוסף</w:t>
      </w:r>
      <w:r w:rsidRPr="00F05402">
        <w:rPr>
          <w:rFonts w:cs="Arial"/>
          <w:rtl/>
        </w:rPr>
        <w:t>: כגון דקבליה עליה בחד.</w:t>
      </w:r>
      <w:r w:rsidR="00D112C7" w:rsidRPr="00D112C7">
        <w:rPr>
          <w:rFonts w:cs="Arial"/>
          <w:sz w:val="16"/>
          <w:szCs w:val="16"/>
          <w:rtl/>
        </w:rPr>
        <w:t xml:space="preserve"> </w:t>
      </w:r>
      <w:r w:rsidR="008A4A2D">
        <w:rPr>
          <w:rFonts w:hint="cs"/>
          <w:sz w:val="16"/>
          <w:szCs w:val="16"/>
          <w:rtl/>
        </w:rPr>
        <w:t>(</w:t>
      </w:r>
      <w:r w:rsidR="008A4A2D" w:rsidRPr="008A4A2D">
        <w:rPr>
          <w:rFonts w:hint="cs"/>
          <w:sz w:val="16"/>
          <w:szCs w:val="16"/>
          <w:rtl/>
        </w:rPr>
        <w:t xml:space="preserve">רש"י פירש </w:t>
      </w:r>
      <w:r w:rsidR="008A4A2D" w:rsidRPr="008A4A2D">
        <w:rPr>
          <w:rFonts w:cs="Arial"/>
          <w:sz w:val="16"/>
          <w:szCs w:val="16"/>
          <w:rtl/>
        </w:rPr>
        <w:t>דקבליה עליה בחד דיינא</w:t>
      </w:r>
      <w:r w:rsidR="008A4A2D" w:rsidRPr="008A4A2D">
        <w:rPr>
          <w:rFonts w:cs="Arial" w:hint="cs"/>
          <w:sz w:val="16"/>
          <w:szCs w:val="16"/>
          <w:rtl/>
        </w:rPr>
        <w:t>,</w:t>
      </w:r>
      <w:r w:rsidR="008A4A2D" w:rsidRPr="008A4A2D">
        <w:rPr>
          <w:rFonts w:cs="Arial"/>
          <w:sz w:val="16"/>
          <w:szCs w:val="16"/>
          <w:rtl/>
        </w:rPr>
        <w:t xml:space="preserve"> ואע</w:t>
      </w:r>
      <w:r w:rsidR="008A4A2D" w:rsidRPr="008A4A2D">
        <w:rPr>
          <w:rFonts w:cs="Arial" w:hint="cs"/>
          <w:sz w:val="16"/>
          <w:szCs w:val="16"/>
          <w:rtl/>
        </w:rPr>
        <w:t>"</w:t>
      </w:r>
      <w:r w:rsidR="008A4A2D" w:rsidRPr="008A4A2D">
        <w:rPr>
          <w:rFonts w:cs="Arial"/>
          <w:sz w:val="16"/>
          <w:szCs w:val="16"/>
          <w:rtl/>
        </w:rPr>
        <w:t>ג דאיכא תרי אחריני בהדיה אמר רבי מאיר יכול לחזור בו</w:t>
      </w:r>
      <w:r w:rsidR="008A4A2D" w:rsidRPr="008A4A2D">
        <w:rPr>
          <w:rFonts w:cs="Arial" w:hint="cs"/>
          <w:sz w:val="16"/>
          <w:szCs w:val="16"/>
          <w:rtl/>
        </w:rPr>
        <w:t xml:space="preserve">. </w:t>
      </w:r>
      <w:r w:rsidR="008A4A2D" w:rsidRPr="008A4A2D">
        <w:rPr>
          <w:rFonts w:cs="Arial"/>
          <w:sz w:val="16"/>
          <w:szCs w:val="16"/>
          <w:rtl/>
        </w:rPr>
        <w:t>וכתבו התוס</w:t>
      </w:r>
      <w:r w:rsidR="008A4A2D" w:rsidRPr="008A4A2D">
        <w:rPr>
          <w:rFonts w:cs="Arial" w:hint="cs"/>
          <w:sz w:val="16"/>
          <w:szCs w:val="16"/>
          <w:rtl/>
        </w:rPr>
        <w:t>'</w:t>
      </w:r>
      <w:r w:rsidR="008A4A2D" w:rsidRPr="008A4A2D">
        <w:rPr>
          <w:rFonts w:cs="Arial"/>
          <w:sz w:val="16"/>
          <w:szCs w:val="16"/>
          <w:rtl/>
        </w:rPr>
        <w:t xml:space="preserve"> (ד"ה אמר) ולא נהירא דכיון דלרבותא נקטיה הוה ליה למימר לא צריכא וכו' ומדקאמר כגון משמע דדוקא קאמר כגון דקבליה עליה בחד</w:t>
      </w:r>
      <w:r w:rsidR="00180D50">
        <w:rPr>
          <w:rFonts w:cs="Arial" w:hint="cs"/>
          <w:sz w:val="16"/>
          <w:szCs w:val="16"/>
          <w:rtl/>
        </w:rPr>
        <w:t>.</w:t>
      </w:r>
      <w:r w:rsidR="008A4A2D" w:rsidRPr="008A4A2D">
        <w:rPr>
          <w:rFonts w:cs="Arial"/>
          <w:sz w:val="16"/>
          <w:szCs w:val="16"/>
          <w:rtl/>
        </w:rPr>
        <w:t xml:space="preserve"> על כן נראה דאמילתייהו דרבנן קאי דדוקא כגון דקבלוה עליה בחד</w:t>
      </w:r>
      <w:r w:rsidR="008A677F">
        <w:rPr>
          <w:rStyle w:val="ab"/>
          <w:rFonts w:cs="Arial"/>
          <w:sz w:val="16"/>
          <w:szCs w:val="16"/>
          <w:rtl/>
        </w:rPr>
        <w:footnoteReference w:id="1092"/>
      </w:r>
      <w:r w:rsidR="008A4A2D" w:rsidRPr="008A4A2D">
        <w:rPr>
          <w:rFonts w:cs="Arial" w:hint="cs"/>
          <w:sz w:val="16"/>
          <w:szCs w:val="16"/>
          <w:rtl/>
        </w:rPr>
        <w:t>,</w:t>
      </w:r>
      <w:r w:rsidR="008A4A2D" w:rsidRPr="008A4A2D">
        <w:rPr>
          <w:rFonts w:cs="Arial"/>
          <w:sz w:val="16"/>
          <w:szCs w:val="16"/>
          <w:rtl/>
        </w:rPr>
        <w:t xml:space="preserve"> דחדא לריעותא</w:t>
      </w:r>
      <w:r w:rsidR="008A4A2D" w:rsidRPr="008A4A2D">
        <w:rPr>
          <w:rFonts w:cs="Arial" w:hint="cs"/>
          <w:sz w:val="16"/>
          <w:szCs w:val="16"/>
          <w:rtl/>
        </w:rPr>
        <w:t xml:space="preserve"> -</w:t>
      </w:r>
      <w:r w:rsidR="008A4A2D" w:rsidRPr="008A4A2D">
        <w:rPr>
          <w:rFonts w:cs="Arial"/>
          <w:sz w:val="16"/>
          <w:szCs w:val="16"/>
          <w:rtl/>
        </w:rPr>
        <w:t xml:space="preserve"> הוא דאיכא קאמרי רבנן דאינו יכול לחזור בו</w:t>
      </w:r>
      <w:r w:rsidR="008A4A2D" w:rsidRPr="008A4A2D">
        <w:rPr>
          <w:rFonts w:cs="Arial" w:hint="cs"/>
          <w:sz w:val="16"/>
          <w:szCs w:val="16"/>
          <w:rtl/>
        </w:rPr>
        <w:t>,</w:t>
      </w:r>
      <w:r w:rsidR="008A4A2D" w:rsidRPr="008A4A2D">
        <w:rPr>
          <w:rFonts w:cs="Arial"/>
          <w:sz w:val="16"/>
          <w:szCs w:val="16"/>
          <w:rtl/>
        </w:rPr>
        <w:t xml:space="preserve"> אבל אי קבליה עליה כבי תרי יכול לחזור בו אף לרבנן כיון דאיכא תרתי לריעותא</w:t>
      </w:r>
      <w:r w:rsidR="008A677F">
        <w:rPr>
          <w:rStyle w:val="ab"/>
          <w:sz w:val="16"/>
          <w:szCs w:val="16"/>
          <w:rtl/>
        </w:rPr>
        <w:footnoteReference w:id="1093"/>
      </w:r>
      <w:r w:rsidR="008A4A2D">
        <w:rPr>
          <w:rFonts w:hint="cs"/>
          <w:sz w:val="16"/>
          <w:szCs w:val="16"/>
          <w:rtl/>
        </w:rPr>
        <w:t>)</w:t>
      </w:r>
    </w:p>
    <w:p w14:paraId="2C7AD87F" w14:textId="77777777" w:rsidR="00B351C3" w:rsidRPr="00B351C3" w:rsidRDefault="008A677F" w:rsidP="00B351C3">
      <w:pPr>
        <w:rPr>
          <w:rFonts w:cs="Arial"/>
        </w:rPr>
      </w:pPr>
      <w:r>
        <w:rPr>
          <w:rFonts w:cs="Arial" w:hint="cs"/>
          <w:u w:val="single"/>
          <w:rtl/>
        </w:rPr>
        <w:t xml:space="preserve">קיבלו עליהם אחד פסול כבי תרי/תלתא - </w:t>
      </w:r>
      <w:r w:rsidR="00B351C3" w:rsidRPr="00B351C3">
        <w:rPr>
          <w:rFonts w:cs="Arial" w:hint="cs"/>
          <w:u w:val="single"/>
          <w:rtl/>
        </w:rPr>
        <w:t xml:space="preserve">האם </w:t>
      </w:r>
      <w:r>
        <w:rPr>
          <w:rFonts w:cs="Arial" w:hint="cs"/>
          <w:u w:val="single"/>
          <w:rtl/>
        </w:rPr>
        <w:t xml:space="preserve">גם בזה </w:t>
      </w:r>
      <w:r w:rsidR="00B351C3" w:rsidRPr="00B351C3">
        <w:rPr>
          <w:rFonts w:cs="Arial" w:hint="cs"/>
          <w:u w:val="single"/>
          <w:rtl/>
        </w:rPr>
        <w:t>אי</w:t>
      </w:r>
      <w:r>
        <w:rPr>
          <w:rFonts w:cs="Arial" w:hint="cs"/>
          <w:u w:val="single"/>
          <w:rtl/>
        </w:rPr>
        <w:t>נו</w:t>
      </w:r>
      <w:r w:rsidR="00B351C3" w:rsidRPr="00B351C3">
        <w:rPr>
          <w:rFonts w:cs="Arial" w:hint="cs"/>
          <w:u w:val="single"/>
          <w:rtl/>
        </w:rPr>
        <w:t xml:space="preserve"> יכול לחזור בו</w:t>
      </w:r>
      <w:r w:rsidR="00B63CA9">
        <w:rPr>
          <w:rFonts w:cs="Arial" w:hint="cs"/>
          <w:u w:val="single"/>
          <w:rtl/>
        </w:rPr>
        <w:t xml:space="preserve"> לאחר גמר דין</w:t>
      </w:r>
      <w:r>
        <w:rPr>
          <w:rFonts w:cs="Arial" w:hint="cs"/>
          <w:u w:val="single"/>
          <w:rtl/>
        </w:rPr>
        <w:t>:</w:t>
      </w:r>
      <w:r w:rsidR="00B351C3" w:rsidRPr="00B351C3">
        <w:rPr>
          <w:rFonts w:cs="Arial" w:hint="cs"/>
          <w:rtl/>
        </w:rPr>
        <w:t xml:space="preserve"> </w:t>
      </w:r>
    </w:p>
    <w:p w14:paraId="7FD04C69" w14:textId="77777777" w:rsidR="003F5648" w:rsidRDefault="003F5648" w:rsidP="004B0475">
      <w:pPr>
        <w:pStyle w:val="ac"/>
        <w:numPr>
          <w:ilvl w:val="0"/>
          <w:numId w:val="26"/>
        </w:numPr>
        <w:rPr>
          <w:rFonts w:cs="Arial"/>
        </w:rPr>
      </w:pPr>
      <w:r w:rsidRPr="00B351C3">
        <w:rPr>
          <w:rFonts w:cs="Arial"/>
          <w:rtl/>
        </w:rPr>
        <w:t>רי"ף</w:t>
      </w:r>
      <w:r w:rsidRPr="00B351C3">
        <w:rPr>
          <w:rStyle w:val="ab"/>
          <w:rFonts w:cs="Arial"/>
          <w:rtl/>
        </w:rPr>
        <w:footnoteReference w:id="1094"/>
      </w:r>
      <w:r w:rsidRPr="00B351C3">
        <w:rPr>
          <w:rFonts w:cs="Arial"/>
          <w:rtl/>
        </w:rPr>
        <w:t xml:space="preserve"> </w:t>
      </w:r>
      <w:r w:rsidRPr="003F5648">
        <w:rPr>
          <w:rFonts w:cs="Arial"/>
          <w:sz w:val="16"/>
          <w:szCs w:val="16"/>
          <w:rtl/>
        </w:rPr>
        <w:t>(ד.)</w:t>
      </w:r>
      <w:r w:rsidRPr="003F5648">
        <w:rPr>
          <w:rFonts w:cs="Arial" w:hint="cs"/>
          <w:sz w:val="16"/>
          <w:szCs w:val="16"/>
          <w:rtl/>
        </w:rPr>
        <w:t xml:space="preserve"> </w:t>
      </w:r>
      <w:r w:rsidR="00D112C7" w:rsidRPr="00B351C3">
        <w:rPr>
          <w:rFonts w:cs="Arial"/>
          <w:rtl/>
        </w:rPr>
        <w:t>תוס</w:t>
      </w:r>
      <w:r w:rsidR="00D112C7" w:rsidRPr="00B351C3">
        <w:rPr>
          <w:rFonts w:cs="Arial" w:hint="cs"/>
          <w:rtl/>
        </w:rPr>
        <w:t>'</w:t>
      </w:r>
      <w:r w:rsidR="00D112C7" w:rsidRPr="00B351C3">
        <w:rPr>
          <w:rFonts w:cs="Arial"/>
          <w:rtl/>
        </w:rPr>
        <w:t xml:space="preserve"> </w:t>
      </w:r>
      <w:r w:rsidR="00D112C7" w:rsidRPr="003F5648">
        <w:rPr>
          <w:rFonts w:cs="Arial"/>
          <w:sz w:val="16"/>
          <w:szCs w:val="16"/>
          <w:rtl/>
        </w:rPr>
        <w:t>(ד"ה אמר)</w:t>
      </w:r>
      <w:r>
        <w:rPr>
          <w:rFonts w:cs="Arial" w:hint="cs"/>
          <w:rtl/>
        </w:rPr>
        <w:t xml:space="preserve"> </w:t>
      </w:r>
      <w:r w:rsidRPr="00B351C3">
        <w:rPr>
          <w:rFonts w:cs="Arial"/>
          <w:rtl/>
        </w:rPr>
        <w:t xml:space="preserve">מרדכי </w:t>
      </w:r>
      <w:r w:rsidR="008A4A2D" w:rsidRPr="008A4A2D">
        <w:rPr>
          <w:rFonts w:cs="Arial"/>
          <w:sz w:val="16"/>
          <w:szCs w:val="16"/>
          <w:rtl/>
        </w:rPr>
        <w:t>(סי' תרפט</w:t>
      </w:r>
      <w:r w:rsidR="008A4A2D">
        <w:rPr>
          <w:rFonts w:cs="Arial" w:hint="cs"/>
          <w:sz w:val="16"/>
          <w:szCs w:val="16"/>
          <w:rtl/>
        </w:rPr>
        <w:t>, בתשו' מהר"ם</w:t>
      </w:r>
      <w:r w:rsidR="008A4A2D" w:rsidRPr="008A4A2D">
        <w:rPr>
          <w:rFonts w:cs="Arial"/>
          <w:sz w:val="16"/>
          <w:szCs w:val="16"/>
          <w:rtl/>
        </w:rPr>
        <w:t xml:space="preserve">) </w:t>
      </w:r>
      <w:r w:rsidRPr="00B351C3">
        <w:rPr>
          <w:rFonts w:cs="Arial"/>
          <w:rtl/>
        </w:rPr>
        <w:t xml:space="preserve">רא"ש </w:t>
      </w:r>
      <w:r w:rsidRPr="003F5648">
        <w:rPr>
          <w:rFonts w:cs="Arial"/>
          <w:sz w:val="16"/>
          <w:szCs w:val="16"/>
          <w:rtl/>
        </w:rPr>
        <w:t>(סי' ד-ה)</w:t>
      </w:r>
      <w:r>
        <w:rPr>
          <w:rFonts w:cs="Arial" w:hint="cs"/>
          <w:rtl/>
        </w:rPr>
        <w:t xml:space="preserve"> וטור- </w:t>
      </w:r>
      <w:r w:rsidR="008A4A2D">
        <w:rPr>
          <w:rFonts w:cs="Arial"/>
          <w:rtl/>
        </w:rPr>
        <w:t>הא דמהני קבלת פסול דווקא שקבלו במקום אחד דליכא אלא חדא לריעותא</w:t>
      </w:r>
      <w:r w:rsidR="008A4A2D">
        <w:rPr>
          <w:rStyle w:val="ab"/>
          <w:rFonts w:cs="Arial"/>
          <w:rtl/>
        </w:rPr>
        <w:footnoteReference w:id="1095"/>
      </w:r>
      <w:r w:rsidR="008A4A2D">
        <w:rPr>
          <w:rFonts w:cs="Arial" w:hint="cs"/>
          <w:rtl/>
        </w:rPr>
        <w:t>...</w:t>
      </w:r>
      <w:r w:rsidR="008A4A2D">
        <w:rPr>
          <w:rFonts w:hint="cs"/>
          <w:rtl/>
        </w:rPr>
        <w:t xml:space="preserve"> </w:t>
      </w:r>
      <w:r w:rsidR="008A4A2D">
        <w:rPr>
          <w:rFonts w:cs="Arial"/>
          <w:rtl/>
        </w:rPr>
        <w:t xml:space="preserve">אבל קבל עליו פסול אחד במקום שנים כשרים דאיכא תרתי לריעותא אפילו נגמר הדין על פיו </w:t>
      </w:r>
      <w:r w:rsidR="007C61C3">
        <w:rPr>
          <w:rFonts w:cs="Arial" w:hint="cs"/>
          <w:rtl/>
        </w:rPr>
        <w:t xml:space="preserve">- </w:t>
      </w:r>
      <w:r w:rsidR="008A4A2D">
        <w:rPr>
          <w:rFonts w:cs="Arial"/>
          <w:rtl/>
        </w:rPr>
        <w:t>יכול לחזור בו</w:t>
      </w:r>
      <w:r w:rsidR="008A677F">
        <w:rPr>
          <w:rFonts w:cs="Arial" w:hint="cs"/>
          <w:sz w:val="16"/>
          <w:szCs w:val="16"/>
          <w:rtl/>
        </w:rPr>
        <w:t xml:space="preserve"> (ל' הטור)</w:t>
      </w:r>
      <w:r w:rsidR="008A4A2D">
        <w:rPr>
          <w:rFonts w:cs="Arial" w:hint="cs"/>
          <w:rtl/>
        </w:rPr>
        <w:t>.</w:t>
      </w:r>
      <w:r w:rsidR="008A4A2D">
        <w:rPr>
          <w:rFonts w:cs="Arial"/>
          <w:rtl/>
        </w:rPr>
        <w:t xml:space="preserve"> </w:t>
      </w:r>
      <w:r w:rsidR="00E40993" w:rsidRPr="00E40993">
        <w:rPr>
          <w:rFonts w:cs="Arial" w:hint="cs"/>
          <w:color w:val="00B0F0"/>
          <w:rtl/>
        </w:rPr>
        <w:t>(וכ"פ הרמ"א)</w:t>
      </w:r>
    </w:p>
    <w:p w14:paraId="751054E6" w14:textId="77777777" w:rsidR="008A4A2D" w:rsidRDefault="00D112C7" w:rsidP="004B0475">
      <w:pPr>
        <w:pStyle w:val="ac"/>
        <w:numPr>
          <w:ilvl w:val="0"/>
          <w:numId w:val="26"/>
        </w:numPr>
        <w:rPr>
          <w:rFonts w:cs="Arial"/>
        </w:rPr>
      </w:pPr>
      <w:r w:rsidRPr="00B351C3">
        <w:rPr>
          <w:rFonts w:cs="Arial"/>
          <w:rtl/>
        </w:rPr>
        <w:t>רמב"ם</w:t>
      </w:r>
      <w:r w:rsidR="003F5648">
        <w:rPr>
          <w:rFonts w:cs="Arial" w:hint="cs"/>
          <w:rtl/>
        </w:rPr>
        <w:t xml:space="preserve"> </w:t>
      </w:r>
      <w:r w:rsidR="003F5648" w:rsidRPr="003F5648">
        <w:rPr>
          <w:rFonts w:cs="Arial" w:hint="cs"/>
          <w:sz w:val="16"/>
          <w:szCs w:val="16"/>
          <w:rtl/>
        </w:rPr>
        <w:t>(</w:t>
      </w:r>
      <w:r w:rsidRPr="003F5648">
        <w:rPr>
          <w:rFonts w:cs="Arial"/>
          <w:sz w:val="16"/>
          <w:szCs w:val="16"/>
          <w:rtl/>
        </w:rPr>
        <w:t>פ"ז מהל</w:t>
      </w:r>
      <w:r w:rsidR="00B351C3" w:rsidRPr="003F5648">
        <w:rPr>
          <w:rFonts w:cs="Arial" w:hint="cs"/>
          <w:sz w:val="16"/>
          <w:szCs w:val="16"/>
          <w:rtl/>
        </w:rPr>
        <w:t>'</w:t>
      </w:r>
      <w:r w:rsidRPr="003F5648">
        <w:rPr>
          <w:rFonts w:cs="Arial"/>
          <w:sz w:val="16"/>
          <w:szCs w:val="16"/>
          <w:rtl/>
        </w:rPr>
        <w:t xml:space="preserve"> סנהדרין ה"ב)</w:t>
      </w:r>
      <w:r w:rsidR="00F31EBA" w:rsidRPr="00F31EBA">
        <w:rPr>
          <w:rFonts w:cs="Arial" w:hint="cs"/>
          <w:rtl/>
        </w:rPr>
        <w:t xml:space="preserve"> </w:t>
      </w:r>
      <w:r w:rsidR="00F31EBA">
        <w:rPr>
          <w:rFonts w:cs="Arial" w:hint="cs"/>
          <w:rtl/>
        </w:rPr>
        <w:t>ר</w:t>
      </w:r>
      <w:r w:rsidR="00F31EBA" w:rsidRPr="009E27FD">
        <w:rPr>
          <w:rFonts w:cs="Arial"/>
          <w:rtl/>
        </w:rPr>
        <w:t xml:space="preserve">מב"ן </w:t>
      </w:r>
      <w:r w:rsidR="00F31EBA" w:rsidRPr="00F31EBA">
        <w:rPr>
          <w:rFonts w:cs="Arial" w:hint="cs"/>
          <w:sz w:val="16"/>
          <w:szCs w:val="16"/>
          <w:rtl/>
        </w:rPr>
        <w:t>(</w:t>
      </w:r>
      <w:r w:rsidR="00F31EBA" w:rsidRPr="00F31EBA">
        <w:rPr>
          <w:rFonts w:cs="Arial"/>
          <w:sz w:val="16"/>
          <w:szCs w:val="16"/>
          <w:rtl/>
        </w:rPr>
        <w:t>פ</w:t>
      </w:r>
      <w:r w:rsidR="00F31EBA" w:rsidRPr="00F31EBA">
        <w:rPr>
          <w:rFonts w:cs="Arial" w:hint="cs"/>
          <w:sz w:val="16"/>
          <w:szCs w:val="16"/>
          <w:rtl/>
        </w:rPr>
        <w:t>'</w:t>
      </w:r>
      <w:r w:rsidR="00F31EBA" w:rsidRPr="00F31EBA">
        <w:rPr>
          <w:rFonts w:cs="Arial"/>
          <w:sz w:val="16"/>
          <w:szCs w:val="16"/>
          <w:rtl/>
        </w:rPr>
        <w:t xml:space="preserve"> יש נוחלין</w:t>
      </w:r>
      <w:r w:rsidR="00F31EBA" w:rsidRPr="00F31EBA">
        <w:rPr>
          <w:rFonts w:cs="Arial" w:hint="cs"/>
          <w:sz w:val="16"/>
          <w:szCs w:val="16"/>
          <w:rtl/>
        </w:rPr>
        <w:t xml:space="preserve"> </w:t>
      </w:r>
      <w:r w:rsidR="00F31EBA" w:rsidRPr="00F31EBA">
        <w:rPr>
          <w:rFonts w:cs="Arial"/>
          <w:sz w:val="16"/>
          <w:szCs w:val="16"/>
          <w:rtl/>
        </w:rPr>
        <w:t>ב"ב קכח. ד"ה הכי גרסינן</w:t>
      </w:r>
      <w:r w:rsidR="00F31EBA" w:rsidRPr="00F31EBA">
        <w:rPr>
          <w:rFonts w:cs="Arial" w:hint="cs"/>
          <w:sz w:val="16"/>
          <w:szCs w:val="16"/>
          <w:rtl/>
        </w:rPr>
        <w:t>, הביאו הריב"ש</w:t>
      </w:r>
      <w:r w:rsidR="00F31EBA" w:rsidRPr="00F31EBA">
        <w:rPr>
          <w:rFonts w:cs="Arial"/>
          <w:sz w:val="16"/>
          <w:szCs w:val="16"/>
          <w:rtl/>
        </w:rPr>
        <w:t xml:space="preserve">) </w:t>
      </w:r>
      <w:r w:rsidR="00F31EBA">
        <w:rPr>
          <w:rFonts w:cs="Arial" w:hint="cs"/>
          <w:rtl/>
        </w:rPr>
        <w:t>ו</w:t>
      </w:r>
      <w:r w:rsidR="00F31EBA" w:rsidRPr="009E27FD">
        <w:rPr>
          <w:rFonts w:cs="Arial"/>
          <w:rtl/>
        </w:rPr>
        <w:t>ריב"ש</w:t>
      </w:r>
      <w:r w:rsidR="00F31EBA">
        <w:rPr>
          <w:rStyle w:val="ab"/>
          <w:rFonts w:cs="Arial"/>
          <w:rtl/>
        </w:rPr>
        <w:footnoteReference w:id="1096"/>
      </w:r>
      <w:r w:rsidR="00F31EBA" w:rsidRPr="009E27FD">
        <w:rPr>
          <w:rFonts w:cs="Arial"/>
          <w:rtl/>
        </w:rPr>
        <w:t xml:space="preserve"> </w:t>
      </w:r>
      <w:r w:rsidR="00F31EBA" w:rsidRPr="00F31EBA">
        <w:rPr>
          <w:rFonts w:cs="Arial" w:hint="cs"/>
          <w:sz w:val="16"/>
          <w:szCs w:val="16"/>
          <w:rtl/>
        </w:rPr>
        <w:t>(</w:t>
      </w:r>
      <w:r w:rsidR="00F31EBA" w:rsidRPr="00F31EBA">
        <w:rPr>
          <w:rFonts w:cs="Arial"/>
          <w:sz w:val="16"/>
          <w:szCs w:val="16"/>
          <w:rtl/>
        </w:rPr>
        <w:t>סי</w:t>
      </w:r>
      <w:r w:rsidR="00F31EBA" w:rsidRPr="00F31EBA">
        <w:rPr>
          <w:rFonts w:cs="Arial" w:hint="cs"/>
          <w:sz w:val="16"/>
          <w:szCs w:val="16"/>
          <w:rtl/>
        </w:rPr>
        <w:t>'</w:t>
      </w:r>
      <w:r w:rsidR="00F31EBA" w:rsidRPr="00F31EBA">
        <w:rPr>
          <w:rFonts w:cs="Arial"/>
          <w:sz w:val="16"/>
          <w:szCs w:val="16"/>
          <w:rtl/>
        </w:rPr>
        <w:t xml:space="preserve"> שי</w:t>
      </w:r>
      <w:r w:rsidR="00F31EBA" w:rsidRPr="00F31EBA">
        <w:rPr>
          <w:rFonts w:cs="Arial" w:hint="cs"/>
          <w:sz w:val="16"/>
          <w:szCs w:val="16"/>
          <w:rtl/>
        </w:rPr>
        <w:t>א)</w:t>
      </w:r>
      <w:r w:rsidR="003F5648">
        <w:rPr>
          <w:rFonts w:cs="Arial" w:hint="cs"/>
          <w:rtl/>
        </w:rPr>
        <w:t>-</w:t>
      </w:r>
      <w:r w:rsidRPr="00B351C3">
        <w:rPr>
          <w:rFonts w:cs="Arial"/>
          <w:rtl/>
        </w:rPr>
        <w:t xml:space="preserve"> אפילו קבל עליו אחד מהפסולים בעבירה כשלשה בית דין מומחין לדון לו מהני דאם נגמר הדין על פיו </w:t>
      </w:r>
      <w:r w:rsidR="007C61C3">
        <w:rPr>
          <w:rFonts w:cs="Arial" w:hint="cs"/>
          <w:rtl/>
        </w:rPr>
        <w:t xml:space="preserve">- </w:t>
      </w:r>
      <w:r w:rsidRPr="00B351C3">
        <w:rPr>
          <w:rFonts w:cs="Arial"/>
          <w:rtl/>
        </w:rPr>
        <w:t>אינו יכול לחזור בו</w:t>
      </w:r>
      <w:r w:rsidR="00F31EBA">
        <w:rPr>
          <w:rStyle w:val="ab"/>
          <w:rFonts w:cs="Arial"/>
          <w:rtl/>
        </w:rPr>
        <w:footnoteReference w:id="1097"/>
      </w:r>
      <w:r w:rsidR="008A4A2D">
        <w:rPr>
          <w:rFonts w:cs="Arial" w:hint="cs"/>
          <w:sz w:val="16"/>
          <w:szCs w:val="16"/>
          <w:rtl/>
        </w:rPr>
        <w:t xml:space="preserve"> (ל' הב"י בשמ</w:t>
      </w:r>
      <w:r w:rsidR="00F31EBA">
        <w:rPr>
          <w:rFonts w:cs="Arial" w:hint="cs"/>
          <w:sz w:val="16"/>
          <w:szCs w:val="16"/>
          <w:rtl/>
        </w:rPr>
        <w:t>ם הרמב"ם</w:t>
      </w:r>
      <w:r w:rsidR="008A4A2D">
        <w:rPr>
          <w:rFonts w:cs="Arial" w:hint="cs"/>
          <w:sz w:val="16"/>
          <w:szCs w:val="16"/>
          <w:rtl/>
        </w:rPr>
        <w:t>)</w:t>
      </w:r>
      <w:r w:rsidR="003F5648">
        <w:rPr>
          <w:rFonts w:cs="Arial" w:hint="cs"/>
          <w:rtl/>
        </w:rPr>
        <w:t>.</w:t>
      </w:r>
      <w:r w:rsidR="00E40993">
        <w:rPr>
          <w:rFonts w:cs="Arial" w:hint="cs"/>
          <w:rtl/>
        </w:rPr>
        <w:t xml:space="preserve"> </w:t>
      </w:r>
      <w:r w:rsidR="00E40993" w:rsidRPr="009947AA">
        <w:rPr>
          <w:rFonts w:cs="Arial" w:hint="cs"/>
          <w:color w:val="E36C0A" w:themeColor="accent6" w:themeShade="BF"/>
          <w:rtl/>
        </w:rPr>
        <w:t>(וכ"פ בשו"ע)</w:t>
      </w:r>
    </w:p>
    <w:p w14:paraId="0E95E608" w14:textId="77777777" w:rsidR="00F31EBA" w:rsidRPr="00F31EBA" w:rsidRDefault="00F31EBA" w:rsidP="00F31EBA">
      <w:pPr>
        <w:ind w:left="360"/>
        <w:rPr>
          <w:rFonts w:cs="Arial"/>
          <w:u w:val="dotted"/>
        </w:rPr>
      </w:pPr>
      <w:r w:rsidRPr="00F31EBA">
        <w:rPr>
          <w:rFonts w:cs="Arial" w:hint="cs"/>
          <w:u w:val="dotted"/>
          <w:rtl/>
        </w:rPr>
        <w:t>ל</w:t>
      </w:r>
      <w:r w:rsidR="002A399E">
        <w:rPr>
          <w:rFonts w:cs="Arial" w:hint="cs"/>
          <w:u w:val="dotted"/>
          <w:rtl/>
        </w:rPr>
        <w:t>אומרים</w:t>
      </w:r>
      <w:r w:rsidR="002A399E" w:rsidRPr="002A399E">
        <w:rPr>
          <w:rFonts w:cs="Arial" w:hint="cs"/>
          <w:u w:val="dotted"/>
          <w:rtl/>
        </w:rPr>
        <w:t xml:space="preserve"> דלא מהני תרתי לריעותא</w:t>
      </w:r>
      <w:r w:rsidR="002A399E">
        <w:rPr>
          <w:rFonts w:cs="Arial" w:hint="cs"/>
          <w:u w:val="dotted"/>
          <w:rtl/>
        </w:rPr>
        <w:t xml:space="preserve"> </w:t>
      </w:r>
      <w:r w:rsidR="002A399E">
        <w:rPr>
          <w:rFonts w:cs="Arial" w:hint="cs"/>
          <w:sz w:val="16"/>
          <w:szCs w:val="16"/>
          <w:u w:val="dotted"/>
          <w:rtl/>
        </w:rPr>
        <w:t xml:space="preserve">(רי"ף תוס' </w:t>
      </w:r>
      <w:r w:rsidR="008A677F">
        <w:rPr>
          <w:rFonts w:cs="Arial" w:hint="cs"/>
          <w:sz w:val="16"/>
          <w:szCs w:val="16"/>
          <w:u w:val="dotted"/>
          <w:rtl/>
        </w:rPr>
        <w:t xml:space="preserve">מרדכי </w:t>
      </w:r>
      <w:r w:rsidR="002A399E">
        <w:rPr>
          <w:rFonts w:cs="Arial" w:hint="cs"/>
          <w:sz w:val="16"/>
          <w:szCs w:val="16"/>
          <w:u w:val="dotted"/>
          <w:rtl/>
        </w:rPr>
        <w:t>רא"ש וכו')</w:t>
      </w:r>
      <w:r w:rsidR="00AD2135">
        <w:rPr>
          <w:rStyle w:val="ab"/>
          <w:rFonts w:cs="Arial"/>
          <w:u w:val="dotted"/>
          <w:rtl/>
        </w:rPr>
        <w:footnoteReference w:id="1098"/>
      </w:r>
      <w:r w:rsidRPr="00F31EBA">
        <w:rPr>
          <w:rFonts w:cs="Arial" w:hint="cs"/>
          <w:u w:val="dotted"/>
          <w:rtl/>
        </w:rPr>
        <w:t xml:space="preserve"> </w:t>
      </w:r>
      <w:r w:rsidRPr="00F31EBA">
        <w:rPr>
          <w:rFonts w:cs="Arial"/>
          <w:u w:val="dotted"/>
          <w:rtl/>
        </w:rPr>
        <w:t>–</w:t>
      </w:r>
      <w:r w:rsidRPr="00F31EBA">
        <w:rPr>
          <w:rFonts w:cs="Arial" w:hint="cs"/>
          <w:u w:val="dotted"/>
          <w:rtl/>
        </w:rPr>
        <w:t xml:space="preserve"> מה הדין אם קנו מידו: </w:t>
      </w:r>
    </w:p>
    <w:p w14:paraId="27A678BB" w14:textId="77777777" w:rsidR="00F51149" w:rsidRDefault="007509C8" w:rsidP="004B0475">
      <w:pPr>
        <w:pStyle w:val="ac"/>
        <w:numPr>
          <w:ilvl w:val="0"/>
          <w:numId w:val="26"/>
        </w:numPr>
        <w:rPr>
          <w:rFonts w:cs="Arial"/>
        </w:rPr>
      </w:pPr>
      <w:r w:rsidRPr="002A399E">
        <w:rPr>
          <w:rFonts w:cs="Arial"/>
          <w:rtl/>
        </w:rPr>
        <w:t>רי"ף</w:t>
      </w:r>
      <w:r w:rsidRPr="002A399E">
        <w:rPr>
          <w:rFonts w:cs="Arial"/>
          <w:sz w:val="16"/>
          <w:szCs w:val="16"/>
          <w:rtl/>
        </w:rPr>
        <w:t xml:space="preserve"> (שם</w:t>
      </w:r>
      <w:r>
        <w:rPr>
          <w:rFonts w:cs="Arial" w:hint="cs"/>
          <w:sz w:val="16"/>
          <w:szCs w:val="16"/>
          <w:rtl/>
        </w:rPr>
        <w:t>, וכ"כ גם בשם רבוותא אחריני</w:t>
      </w:r>
      <w:r w:rsidRPr="002A399E">
        <w:rPr>
          <w:rFonts w:cs="Arial"/>
          <w:sz w:val="16"/>
          <w:szCs w:val="16"/>
          <w:rtl/>
        </w:rPr>
        <w:t>)</w:t>
      </w:r>
      <w:r>
        <w:rPr>
          <w:rFonts w:cs="Arial" w:hint="cs"/>
          <w:rtl/>
        </w:rPr>
        <w:t xml:space="preserve"> </w:t>
      </w:r>
      <w:r w:rsidR="002A399E" w:rsidRPr="00B351C3">
        <w:rPr>
          <w:rFonts w:cs="Arial"/>
          <w:rtl/>
        </w:rPr>
        <w:t xml:space="preserve">רא"ש </w:t>
      </w:r>
      <w:r w:rsidR="002A399E" w:rsidRPr="003F5648">
        <w:rPr>
          <w:rFonts w:cs="Arial"/>
          <w:sz w:val="16"/>
          <w:szCs w:val="16"/>
          <w:rtl/>
        </w:rPr>
        <w:t>(סי' ד-ה)</w:t>
      </w:r>
      <w:r w:rsidR="002A399E">
        <w:rPr>
          <w:rFonts w:cs="Arial" w:hint="cs"/>
          <w:rtl/>
        </w:rPr>
        <w:t xml:space="preserve"> וטור</w:t>
      </w:r>
      <w:r w:rsidR="00F31EBA">
        <w:rPr>
          <w:rFonts w:cs="Arial" w:hint="cs"/>
          <w:rtl/>
        </w:rPr>
        <w:t xml:space="preserve">- </w:t>
      </w:r>
      <w:r w:rsidR="00F31EBA">
        <w:rPr>
          <w:rFonts w:cs="Arial"/>
          <w:rtl/>
        </w:rPr>
        <w:t>אם קנו</w:t>
      </w:r>
      <w:r w:rsidR="00F31EBA">
        <w:rPr>
          <w:rStyle w:val="ab"/>
          <w:rFonts w:cs="Arial"/>
          <w:rtl/>
        </w:rPr>
        <w:footnoteReference w:id="1099"/>
      </w:r>
      <w:r w:rsidR="00F31EBA">
        <w:rPr>
          <w:rFonts w:cs="Arial"/>
          <w:rtl/>
        </w:rPr>
        <w:t xml:space="preserve"> מידו אינו יכול לחזור בו אפילו שקבל עליו הפסול במקום שנים</w:t>
      </w:r>
      <w:r w:rsidR="00F31EBA">
        <w:rPr>
          <w:rFonts w:cs="Arial" w:hint="cs"/>
          <w:sz w:val="16"/>
          <w:szCs w:val="16"/>
          <w:rtl/>
        </w:rPr>
        <w:t xml:space="preserve"> (ל' הטור)</w:t>
      </w:r>
      <w:r w:rsidR="00F51149">
        <w:rPr>
          <w:rStyle w:val="ab"/>
          <w:rFonts w:cs="Arial"/>
          <w:rtl/>
        </w:rPr>
        <w:footnoteReference w:id="1100"/>
      </w:r>
      <w:r w:rsidR="002A399E">
        <w:rPr>
          <w:rFonts w:cs="Arial" w:hint="cs"/>
          <w:rtl/>
        </w:rPr>
        <w:t>.</w:t>
      </w:r>
      <w:r w:rsidR="00E40993" w:rsidRPr="00E40993">
        <w:rPr>
          <w:rFonts w:cs="Arial" w:hint="cs"/>
          <w:color w:val="00B0F0"/>
          <w:rtl/>
        </w:rPr>
        <w:t xml:space="preserve"> (וכ"פ הרמ"א)</w:t>
      </w:r>
    </w:p>
    <w:p w14:paraId="38725DC6" w14:textId="77777777" w:rsidR="002A399E" w:rsidRPr="00F51149" w:rsidRDefault="007509C8" w:rsidP="004B0475">
      <w:pPr>
        <w:pStyle w:val="ac"/>
        <w:numPr>
          <w:ilvl w:val="0"/>
          <w:numId w:val="26"/>
        </w:numPr>
        <w:rPr>
          <w:rFonts w:cs="Arial"/>
          <w:rtl/>
        </w:rPr>
      </w:pPr>
      <w:r>
        <w:rPr>
          <w:rFonts w:cs="Arial" w:hint="cs"/>
          <w:rtl/>
        </w:rPr>
        <w:lastRenderedPageBreak/>
        <w:t>גאון</w:t>
      </w:r>
      <w:r>
        <w:rPr>
          <w:rFonts w:cs="Arial" w:hint="cs"/>
          <w:sz w:val="16"/>
          <w:szCs w:val="16"/>
          <w:rtl/>
        </w:rPr>
        <w:t xml:space="preserve"> (כ"כ הרי"ף בשמו</w:t>
      </w:r>
      <w:r w:rsidR="00EA04C2">
        <w:rPr>
          <w:rFonts w:cs="Arial" w:hint="cs"/>
          <w:sz w:val="16"/>
          <w:szCs w:val="16"/>
          <w:rtl/>
        </w:rPr>
        <w:t>, עי' תשובות הגאונים הרכבי סי' מט</w:t>
      </w:r>
      <w:r>
        <w:rPr>
          <w:rFonts w:cs="Arial" w:hint="cs"/>
          <w:sz w:val="16"/>
          <w:szCs w:val="16"/>
          <w:rtl/>
        </w:rPr>
        <w:t>)</w:t>
      </w:r>
      <w:r>
        <w:rPr>
          <w:rFonts w:cs="Arial" w:hint="cs"/>
          <w:rtl/>
        </w:rPr>
        <w:t>-</w:t>
      </w:r>
      <w:r w:rsidR="002A399E">
        <w:rPr>
          <w:rFonts w:cs="Arial" w:hint="cs"/>
          <w:rtl/>
        </w:rPr>
        <w:t xml:space="preserve"> </w:t>
      </w:r>
      <w:r w:rsidR="009E27FD" w:rsidRPr="002A399E">
        <w:rPr>
          <w:rFonts w:cs="Arial"/>
          <w:rtl/>
        </w:rPr>
        <w:t>היכא דקביל עליה קרוב או פסול כבי תר</w:t>
      </w:r>
      <w:r>
        <w:rPr>
          <w:rFonts w:cs="Arial" w:hint="cs"/>
          <w:rtl/>
        </w:rPr>
        <w:t xml:space="preserve">י... </w:t>
      </w:r>
      <w:r w:rsidR="009E27FD" w:rsidRPr="002A399E">
        <w:rPr>
          <w:rFonts w:cs="Arial"/>
          <w:rtl/>
        </w:rPr>
        <w:t xml:space="preserve">אפילו קנו מיניה בבית דין </w:t>
      </w:r>
      <w:r w:rsidR="00EA04C2">
        <w:rPr>
          <w:rFonts w:cs="Arial" w:hint="cs"/>
          <w:rtl/>
        </w:rPr>
        <w:t xml:space="preserve">- </w:t>
      </w:r>
      <w:r w:rsidR="009E27FD" w:rsidRPr="002A399E">
        <w:rPr>
          <w:rFonts w:cs="Arial"/>
          <w:rtl/>
        </w:rPr>
        <w:t>מצי הדר ביה</w:t>
      </w:r>
      <w:r w:rsidR="00EA04C2">
        <w:rPr>
          <w:rFonts w:cs="Arial" w:hint="cs"/>
          <w:rtl/>
        </w:rPr>
        <w:t>,</w:t>
      </w:r>
      <w:r w:rsidR="009E27FD" w:rsidRPr="002A399E">
        <w:rPr>
          <w:rFonts w:cs="Arial"/>
          <w:rtl/>
        </w:rPr>
        <w:t xml:space="preserve"> דקנין בטעות הוא דרחמנא אמר </w:t>
      </w:r>
      <w:r w:rsidR="009E27FD" w:rsidRPr="002A399E">
        <w:rPr>
          <w:rFonts w:cs="Arial"/>
          <w:sz w:val="16"/>
          <w:szCs w:val="16"/>
          <w:rtl/>
        </w:rPr>
        <w:t xml:space="preserve">(דברים יט טו) </w:t>
      </w:r>
      <w:r w:rsidR="009E27FD" w:rsidRPr="002A399E">
        <w:rPr>
          <w:rFonts w:cs="Arial"/>
          <w:rtl/>
        </w:rPr>
        <w:t>על פי שנים עדים</w:t>
      </w:r>
      <w:r>
        <w:rPr>
          <w:rFonts w:cs="Arial" w:hint="cs"/>
          <w:rtl/>
        </w:rPr>
        <w:t>.</w:t>
      </w:r>
      <w:r w:rsidR="009E27FD" w:rsidRPr="002A399E">
        <w:rPr>
          <w:rFonts w:cs="Arial"/>
          <w:rtl/>
        </w:rPr>
        <w:t xml:space="preserve"> </w:t>
      </w:r>
      <w:r w:rsidR="009E27FD" w:rsidRPr="00F51149">
        <w:rPr>
          <w:rFonts w:cs="Arial"/>
          <w:rtl/>
        </w:rPr>
        <w:t xml:space="preserve">  </w:t>
      </w:r>
    </w:p>
    <w:p w14:paraId="1684457B" w14:textId="77777777" w:rsidR="00AD2135" w:rsidRDefault="00AD2135" w:rsidP="00AD2135">
      <w:pPr>
        <w:rPr>
          <w:rFonts w:cs="Arial"/>
          <w:rtl/>
        </w:rPr>
      </w:pPr>
      <w:r w:rsidRPr="00AD2135">
        <w:rPr>
          <w:rFonts w:cs="Arial" w:hint="cs"/>
          <w:u w:val="single"/>
          <w:rtl/>
        </w:rPr>
        <w:t>האם מסירת הממון לדיין</w:t>
      </w:r>
      <w:r>
        <w:rPr>
          <w:rFonts w:cs="Arial" w:hint="cs"/>
          <w:sz w:val="16"/>
          <w:szCs w:val="16"/>
          <w:u w:val="single"/>
          <w:rtl/>
        </w:rPr>
        <w:t xml:space="preserve"> (לערבון)</w:t>
      </w:r>
      <w:r w:rsidRPr="00AD2135">
        <w:rPr>
          <w:rFonts w:cs="Arial" w:hint="cs"/>
          <w:u w:val="single"/>
          <w:rtl/>
        </w:rPr>
        <w:t xml:space="preserve"> הוי כקבלת </w:t>
      </w:r>
      <w:r>
        <w:rPr>
          <w:rFonts w:cs="Arial" w:hint="cs"/>
          <w:u w:val="single"/>
          <w:rtl/>
        </w:rPr>
        <w:t>ה</w:t>
      </w:r>
      <w:r w:rsidRPr="00AD2135">
        <w:rPr>
          <w:rFonts w:cs="Arial" w:hint="cs"/>
          <w:u w:val="single"/>
          <w:rtl/>
        </w:rPr>
        <w:t>דיין לדון בניהם:</w:t>
      </w:r>
    </w:p>
    <w:p w14:paraId="6B6A3D46" w14:textId="77777777" w:rsidR="00AD2135" w:rsidRDefault="009E27FD" w:rsidP="004B0475">
      <w:pPr>
        <w:pStyle w:val="ac"/>
        <w:numPr>
          <w:ilvl w:val="0"/>
          <w:numId w:val="29"/>
        </w:numPr>
        <w:rPr>
          <w:rFonts w:cs="Arial"/>
        </w:rPr>
      </w:pPr>
      <w:r w:rsidRPr="00AD2135">
        <w:rPr>
          <w:rFonts w:cs="Arial"/>
          <w:rtl/>
        </w:rPr>
        <w:t>ריב"ש</w:t>
      </w:r>
      <w:r w:rsidRPr="00AD2135">
        <w:rPr>
          <w:rFonts w:cs="Arial"/>
          <w:sz w:val="16"/>
          <w:szCs w:val="16"/>
          <w:rtl/>
        </w:rPr>
        <w:t xml:space="preserve"> </w:t>
      </w:r>
      <w:r w:rsidR="00AD2135" w:rsidRPr="00AD2135">
        <w:rPr>
          <w:rFonts w:cs="Arial" w:hint="cs"/>
          <w:sz w:val="16"/>
          <w:szCs w:val="16"/>
          <w:rtl/>
        </w:rPr>
        <w:t>(</w:t>
      </w:r>
      <w:r w:rsidRPr="00AD2135">
        <w:rPr>
          <w:rFonts w:cs="Arial"/>
          <w:sz w:val="16"/>
          <w:szCs w:val="16"/>
          <w:rtl/>
        </w:rPr>
        <w:t>סי</w:t>
      </w:r>
      <w:r w:rsidR="00AD2135" w:rsidRPr="00AD2135">
        <w:rPr>
          <w:rFonts w:cs="Arial" w:hint="cs"/>
          <w:sz w:val="16"/>
          <w:szCs w:val="16"/>
          <w:rtl/>
        </w:rPr>
        <w:t>'</w:t>
      </w:r>
      <w:r w:rsidRPr="00AD2135">
        <w:rPr>
          <w:rFonts w:cs="Arial"/>
          <w:sz w:val="16"/>
          <w:szCs w:val="16"/>
          <w:rtl/>
        </w:rPr>
        <w:t xml:space="preserve"> שיא</w:t>
      </w:r>
      <w:r w:rsidR="00AD2135" w:rsidRPr="00AD2135">
        <w:rPr>
          <w:rFonts w:cs="Arial" w:hint="cs"/>
          <w:sz w:val="16"/>
          <w:szCs w:val="16"/>
          <w:rtl/>
        </w:rPr>
        <w:t>)</w:t>
      </w:r>
      <w:r w:rsidR="00AD2135" w:rsidRPr="00AD2135">
        <w:rPr>
          <w:rFonts w:cs="Arial" w:hint="cs"/>
          <w:rtl/>
        </w:rPr>
        <w:t>-</w:t>
      </w:r>
      <w:r w:rsidRPr="00AD2135">
        <w:rPr>
          <w:rFonts w:cs="Arial"/>
          <w:rtl/>
        </w:rPr>
        <w:t xml:space="preserve"> נראה שמסירת המעות ביד לוי הדיין קרוב בעל דינו </w:t>
      </w:r>
      <w:r w:rsidR="00EA04C2">
        <w:rPr>
          <w:rFonts w:cs="Arial" w:hint="cs"/>
          <w:rtl/>
        </w:rPr>
        <w:t xml:space="preserve">- </w:t>
      </w:r>
      <w:r w:rsidRPr="00AD2135">
        <w:rPr>
          <w:rFonts w:cs="Arial"/>
          <w:rtl/>
        </w:rPr>
        <w:t>לא הוי כאילו קבלו עליו לדיין</w:t>
      </w:r>
      <w:r w:rsidR="00B63CA9">
        <w:rPr>
          <w:rFonts w:cs="Arial" w:hint="cs"/>
          <w:rtl/>
        </w:rPr>
        <w:t>,</w:t>
      </w:r>
      <w:r w:rsidRPr="00AD2135">
        <w:rPr>
          <w:rFonts w:cs="Arial"/>
          <w:rtl/>
        </w:rPr>
        <w:t xml:space="preserve"> שאם האמינו לקבל המעות ההם לא האמינו שידון ביניהם</w:t>
      </w:r>
      <w:r w:rsidR="00B63CA9">
        <w:rPr>
          <w:rFonts w:cs="Arial" w:hint="cs"/>
          <w:rtl/>
        </w:rPr>
        <w:t>.</w:t>
      </w:r>
      <w:r w:rsidR="00556503">
        <w:rPr>
          <w:rFonts w:cs="Arial" w:hint="cs"/>
          <w:rtl/>
        </w:rPr>
        <w:t>.</w:t>
      </w:r>
      <w:r w:rsidRPr="00AD2135">
        <w:rPr>
          <w:rFonts w:cs="Arial"/>
          <w:rtl/>
        </w:rPr>
        <w:t>. גם מה שאמר מפני שקבלוהו הקהל עליהם</w:t>
      </w:r>
      <w:r w:rsidR="00B63CA9">
        <w:rPr>
          <w:rFonts w:cs="Arial" w:hint="cs"/>
          <w:rtl/>
        </w:rPr>
        <w:t>,</w:t>
      </w:r>
      <w:r w:rsidRPr="00AD2135">
        <w:rPr>
          <w:rFonts w:cs="Arial"/>
          <w:rtl/>
        </w:rPr>
        <w:t xml:space="preserve"> מעולם לא שמענו כזאת שיקבלו הקהל עליהם דיין שיוכל לדון לקרוביו</w:t>
      </w:r>
      <w:r>
        <w:rPr>
          <w:rStyle w:val="ab"/>
          <w:rFonts w:cs="Arial"/>
          <w:rtl/>
        </w:rPr>
        <w:footnoteReference w:id="1101"/>
      </w:r>
      <w:r w:rsidR="00B63CA9">
        <w:rPr>
          <w:rFonts w:cs="Arial" w:hint="cs"/>
          <w:rtl/>
        </w:rPr>
        <w:t>.</w:t>
      </w:r>
      <w:r w:rsidRPr="00AD2135">
        <w:rPr>
          <w:rFonts w:cs="Arial"/>
          <w:rtl/>
        </w:rPr>
        <w:t xml:space="preserve"> והרשב"א לא כתב אלא בעניינים הכוללים לומר דלא בעינן סילוק משום דלא איפשר</w:t>
      </w:r>
      <w:r w:rsidR="00AD2135" w:rsidRPr="00AD2135">
        <w:rPr>
          <w:rFonts w:cs="Arial" w:hint="cs"/>
          <w:rtl/>
        </w:rPr>
        <w:t>.</w:t>
      </w:r>
      <w:r w:rsidRPr="00AD2135">
        <w:rPr>
          <w:rFonts w:cs="Arial"/>
          <w:rtl/>
        </w:rPr>
        <w:t xml:space="preserve"> </w:t>
      </w:r>
      <w:r w:rsidR="00E40993" w:rsidRPr="00E40993">
        <w:rPr>
          <w:rFonts w:cs="Arial" w:hint="cs"/>
          <w:color w:val="00B0F0"/>
          <w:rtl/>
        </w:rPr>
        <w:t>(וכ"פ הרמ"א)</w:t>
      </w:r>
    </w:p>
    <w:p w14:paraId="65BD8C1B" w14:textId="77777777" w:rsidR="00AD2135" w:rsidRPr="00AD2135" w:rsidRDefault="00AD2135" w:rsidP="00AD2135">
      <w:pPr>
        <w:rPr>
          <w:rFonts w:cs="Arial"/>
          <w:u w:val="single"/>
        </w:rPr>
      </w:pPr>
      <w:r>
        <w:rPr>
          <w:rFonts w:cs="Arial" w:hint="cs"/>
          <w:u w:val="single"/>
          <w:rtl/>
        </w:rPr>
        <w:t>שנים שקיבלו עליהם דיין ועשו שטר</w:t>
      </w:r>
      <w:r w:rsidR="007509C8">
        <w:rPr>
          <w:rFonts w:cs="Arial" w:hint="cs"/>
          <w:u w:val="single"/>
          <w:rtl/>
        </w:rPr>
        <w:t xml:space="preserve"> בירורין וקנו מידם וטענו בפניו </w:t>
      </w:r>
      <w:r w:rsidR="007509C8">
        <w:rPr>
          <w:rFonts w:cs="Arial"/>
          <w:u w:val="single"/>
          <w:rtl/>
        </w:rPr>
        <w:t>–</w:t>
      </w:r>
      <w:r w:rsidR="007509C8">
        <w:rPr>
          <w:rFonts w:cs="Arial" w:hint="cs"/>
          <w:u w:val="single"/>
          <w:rtl/>
        </w:rPr>
        <w:t xml:space="preserve"> ורוצה אחד מהם לחזור בו:</w:t>
      </w:r>
    </w:p>
    <w:p w14:paraId="33B4D461" w14:textId="77777777" w:rsidR="009E27FD" w:rsidRPr="00AD2135" w:rsidRDefault="009E27FD" w:rsidP="004B0475">
      <w:pPr>
        <w:pStyle w:val="ac"/>
        <w:numPr>
          <w:ilvl w:val="0"/>
          <w:numId w:val="29"/>
        </w:numPr>
        <w:rPr>
          <w:rFonts w:cs="Arial"/>
          <w:rtl/>
        </w:rPr>
      </w:pPr>
      <w:r w:rsidRPr="00AD2135">
        <w:rPr>
          <w:rFonts w:cs="Arial"/>
          <w:rtl/>
        </w:rPr>
        <w:t xml:space="preserve">רשב"א </w:t>
      </w:r>
      <w:r w:rsidR="00AD2135" w:rsidRPr="00AD2135">
        <w:rPr>
          <w:rFonts w:cs="Arial" w:hint="cs"/>
          <w:sz w:val="16"/>
          <w:szCs w:val="16"/>
          <w:rtl/>
        </w:rPr>
        <w:t>(</w:t>
      </w:r>
      <w:r w:rsidRPr="00AD2135">
        <w:rPr>
          <w:rFonts w:cs="Arial"/>
          <w:sz w:val="16"/>
          <w:szCs w:val="16"/>
          <w:rtl/>
        </w:rPr>
        <w:t>סי</w:t>
      </w:r>
      <w:r w:rsidR="00AD2135" w:rsidRPr="00AD2135">
        <w:rPr>
          <w:rFonts w:cs="Arial" w:hint="cs"/>
          <w:sz w:val="16"/>
          <w:szCs w:val="16"/>
          <w:rtl/>
        </w:rPr>
        <w:t>'</w:t>
      </w:r>
      <w:r w:rsidRPr="00AD2135">
        <w:rPr>
          <w:rFonts w:cs="Arial"/>
          <w:sz w:val="16"/>
          <w:szCs w:val="16"/>
          <w:rtl/>
        </w:rPr>
        <w:t xml:space="preserve"> אלף קכו</w:t>
      </w:r>
      <w:r w:rsidR="00AD2135" w:rsidRPr="00AD2135">
        <w:rPr>
          <w:rFonts w:cs="Arial" w:hint="cs"/>
          <w:sz w:val="16"/>
          <w:szCs w:val="16"/>
          <w:rtl/>
        </w:rPr>
        <w:t>)</w:t>
      </w:r>
      <w:r w:rsidR="00AD2135">
        <w:rPr>
          <w:rFonts w:cs="Arial" w:hint="cs"/>
          <w:rtl/>
        </w:rPr>
        <w:t>-</w:t>
      </w:r>
      <w:r w:rsidRPr="00AD2135">
        <w:rPr>
          <w:rFonts w:cs="Arial"/>
          <w:rtl/>
        </w:rPr>
        <w:t xml:space="preserve"> שנים שקבלו עליהם חכם אחד לדיין ועשו שטרי בירורין וקנו מידם וטענו בפניו ואח"כ רצה אחד מהם לחזור בו </w:t>
      </w:r>
      <w:r w:rsidR="00556503">
        <w:rPr>
          <w:rFonts w:cs="Arial" w:hint="cs"/>
          <w:rtl/>
        </w:rPr>
        <w:t xml:space="preserve">- </w:t>
      </w:r>
      <w:r w:rsidRPr="00AD2135">
        <w:rPr>
          <w:rFonts w:cs="Arial"/>
          <w:rtl/>
        </w:rPr>
        <w:t>אינו יכול לחזור</w:t>
      </w:r>
      <w:r w:rsidR="00AD2135">
        <w:rPr>
          <w:rStyle w:val="ab"/>
          <w:rFonts w:cs="Arial"/>
          <w:rtl/>
        </w:rPr>
        <w:footnoteReference w:id="1102"/>
      </w:r>
      <w:r w:rsidR="00AD2135">
        <w:rPr>
          <w:rFonts w:cs="Arial" w:hint="cs"/>
          <w:rtl/>
        </w:rPr>
        <w:t>...</w:t>
      </w:r>
      <w:r w:rsidRPr="00AD2135">
        <w:rPr>
          <w:rFonts w:cs="Arial"/>
          <w:rtl/>
        </w:rPr>
        <w:t xml:space="preserve"> ואם יעמוד בבית דין אחר הרי הוא דן על פי הטענות וההודאות שנאמרו בפני בית דין הראשון</w:t>
      </w:r>
      <w:r w:rsidR="00AD2135">
        <w:rPr>
          <w:rFonts w:cs="Arial" w:hint="cs"/>
          <w:rtl/>
        </w:rPr>
        <w:t>.</w:t>
      </w:r>
    </w:p>
    <w:p w14:paraId="3B446EA5" w14:textId="77777777" w:rsidR="00E137BC" w:rsidRPr="00576D5C" w:rsidRDefault="00E137BC" w:rsidP="00576D5C">
      <w:pPr>
        <w:rPr>
          <w:rFonts w:asciiTheme="minorBidi" w:hAnsiTheme="minorBidi"/>
          <w:b/>
          <w:bCs/>
          <w:color w:val="000000"/>
          <w:sz w:val="28"/>
          <w:szCs w:val="28"/>
          <w:u w:val="single"/>
          <w:rtl/>
        </w:rPr>
      </w:pPr>
      <w:r w:rsidRPr="00576D5C">
        <w:rPr>
          <w:rFonts w:asciiTheme="minorBidi" w:hAnsiTheme="minorBidi"/>
          <w:b/>
          <w:bCs/>
          <w:color w:val="000000"/>
          <w:sz w:val="28"/>
          <w:szCs w:val="28"/>
          <w:u w:val="single"/>
          <w:rtl/>
        </w:rPr>
        <w:t>שו"ע:</w:t>
      </w:r>
    </w:p>
    <w:p w14:paraId="4B558EE0" w14:textId="77777777" w:rsidR="008167D4" w:rsidRDefault="00E137BC" w:rsidP="008167D4">
      <w:pPr>
        <w:rPr>
          <w:rFonts w:asciiTheme="minorBidi" w:hAnsiTheme="minorBidi"/>
          <w:rtl/>
        </w:rPr>
      </w:pPr>
      <w:r w:rsidRPr="00576D5C">
        <w:rPr>
          <w:rFonts w:asciiTheme="minorBidi" w:hAnsiTheme="minorBidi"/>
          <w:rtl/>
        </w:rPr>
        <w:t xml:space="preserve">מי שקבל עליו קרוב או פסול בין להיותו דיין בין להיותו עד עליו, </w:t>
      </w:r>
      <w:r w:rsidRPr="009E7277">
        <w:rPr>
          <w:rFonts w:asciiTheme="minorBidi" w:hAnsiTheme="minorBidi"/>
          <w:sz w:val="18"/>
          <w:szCs w:val="18"/>
          <w:rtl/>
        </w:rPr>
        <w:t>הגה: ולא מקרי קבלה אא</w:t>
      </w:r>
      <w:r w:rsidR="00915840">
        <w:rPr>
          <w:rFonts w:asciiTheme="minorBidi" w:hAnsiTheme="minorBidi" w:hint="cs"/>
          <w:sz w:val="18"/>
          <w:szCs w:val="18"/>
          <w:rtl/>
        </w:rPr>
        <w:t>"</w:t>
      </w:r>
      <w:r w:rsidRPr="009E7277">
        <w:rPr>
          <w:rFonts w:asciiTheme="minorBidi" w:hAnsiTheme="minorBidi"/>
          <w:sz w:val="18"/>
          <w:szCs w:val="18"/>
          <w:rtl/>
        </w:rPr>
        <w:t>כ קבלו לדונו, אבל אם השליש בידו מעות שדנין עליו לא מקרי קבלה</w:t>
      </w:r>
      <w:r w:rsidR="009A4DBA">
        <w:rPr>
          <w:rStyle w:val="ab"/>
          <w:rFonts w:asciiTheme="minorBidi" w:hAnsiTheme="minorBidi"/>
          <w:sz w:val="18"/>
          <w:szCs w:val="18"/>
          <w:rtl/>
        </w:rPr>
        <w:footnoteReference w:id="1103"/>
      </w:r>
      <w:r w:rsidRPr="009E7277">
        <w:rPr>
          <w:rFonts w:asciiTheme="minorBidi" w:hAnsiTheme="minorBidi"/>
          <w:sz w:val="18"/>
          <w:szCs w:val="18"/>
          <w:rtl/>
        </w:rPr>
        <w:t xml:space="preserve"> </w:t>
      </w:r>
      <w:r w:rsidRPr="00556503">
        <w:rPr>
          <w:rFonts w:asciiTheme="minorBidi" w:hAnsiTheme="minorBidi"/>
          <w:sz w:val="16"/>
          <w:szCs w:val="16"/>
          <w:rtl/>
        </w:rPr>
        <w:t>(ריב"ש סי</w:t>
      </w:r>
      <w:r w:rsidR="00915840" w:rsidRPr="00556503">
        <w:rPr>
          <w:rFonts w:asciiTheme="minorBidi" w:hAnsiTheme="minorBidi" w:hint="cs"/>
          <w:sz w:val="16"/>
          <w:szCs w:val="16"/>
          <w:rtl/>
        </w:rPr>
        <w:t>'</w:t>
      </w:r>
      <w:r w:rsidRPr="00556503">
        <w:rPr>
          <w:rFonts w:asciiTheme="minorBidi" w:hAnsiTheme="minorBidi"/>
          <w:sz w:val="16"/>
          <w:szCs w:val="16"/>
          <w:rtl/>
        </w:rPr>
        <w:t xml:space="preserve"> שיא)</w:t>
      </w:r>
      <w:r w:rsidRPr="009E7277">
        <w:rPr>
          <w:rFonts w:asciiTheme="minorBidi" w:hAnsiTheme="minorBidi"/>
          <w:sz w:val="18"/>
          <w:szCs w:val="18"/>
          <w:rtl/>
        </w:rPr>
        <w:t>.</w:t>
      </w:r>
      <w:r w:rsidRPr="00576D5C">
        <w:rPr>
          <w:rFonts w:asciiTheme="minorBidi" w:hAnsiTheme="minorBidi"/>
          <w:rtl/>
        </w:rPr>
        <w:t xml:space="preserve"> אפילו קבל אחד מהפסולים בעבירה כשני עדים כשרים להעיד עליו, או כ</w:t>
      </w:r>
      <w:r w:rsidR="00915840">
        <w:rPr>
          <w:rFonts w:asciiTheme="minorBidi" w:hAnsiTheme="minorBidi" w:hint="cs"/>
          <w:rtl/>
        </w:rPr>
        <w:t>שלשה</w:t>
      </w:r>
      <w:r w:rsidRPr="00576D5C">
        <w:rPr>
          <w:rFonts w:asciiTheme="minorBidi" w:hAnsiTheme="minorBidi"/>
          <w:rtl/>
        </w:rPr>
        <w:t xml:space="preserve"> בית דין מומחים לדון לו, </w:t>
      </w:r>
      <w:r w:rsidRPr="00915840">
        <w:rPr>
          <w:rFonts w:asciiTheme="minorBidi" w:hAnsiTheme="minorBidi"/>
          <w:sz w:val="18"/>
          <w:szCs w:val="18"/>
          <w:rtl/>
        </w:rPr>
        <w:t>הגה: ויש חולקים וס"ל דדוקא אם קבל קרוב או פסול בדיין אחד או בעד אחד, אבל אם קבלו כתרי, דאיכא תרתי לריעותא</w:t>
      </w:r>
      <w:r w:rsidR="008167D4">
        <w:rPr>
          <w:rStyle w:val="ab"/>
          <w:rFonts w:asciiTheme="minorBidi" w:hAnsiTheme="minorBidi"/>
          <w:sz w:val="18"/>
          <w:szCs w:val="18"/>
          <w:rtl/>
        </w:rPr>
        <w:footnoteReference w:id="1104"/>
      </w:r>
      <w:r w:rsidRPr="00915840">
        <w:rPr>
          <w:rFonts w:asciiTheme="minorBidi" w:hAnsiTheme="minorBidi"/>
          <w:sz w:val="18"/>
          <w:szCs w:val="18"/>
          <w:rtl/>
        </w:rPr>
        <w:t>, אפילו אחר גמר דין יכול לחזור בו, וכן הסכמת רוב הפוסקים</w:t>
      </w:r>
      <w:r w:rsidR="008167D4">
        <w:rPr>
          <w:rStyle w:val="ab"/>
          <w:rFonts w:asciiTheme="minorBidi" w:hAnsiTheme="minorBidi"/>
          <w:sz w:val="18"/>
          <w:szCs w:val="18"/>
          <w:rtl/>
        </w:rPr>
        <w:footnoteReference w:id="1105"/>
      </w:r>
      <w:r w:rsidRPr="00915840">
        <w:rPr>
          <w:rFonts w:asciiTheme="minorBidi" w:hAnsiTheme="minorBidi"/>
          <w:sz w:val="18"/>
          <w:szCs w:val="18"/>
          <w:rtl/>
        </w:rPr>
        <w:t>, אבל אם קנו מידו בכל ענין לא יכול לחזור,</w:t>
      </w:r>
      <w:r w:rsidRPr="00576D5C">
        <w:rPr>
          <w:rFonts w:asciiTheme="minorBidi" w:hAnsiTheme="minorBidi"/>
          <w:rtl/>
        </w:rPr>
        <w:t xml:space="preserve"> בין שקבל על עצמו לאבד זכיותיו ולמחול מה שהיה טוען על פיהם, בין שקבל עליו שיתן כל מה שיטעון עליו חבירו בעדות זה הפסול או בדינו, אם קנו מידו על זה</w:t>
      </w:r>
      <w:r w:rsidR="00CB596A">
        <w:rPr>
          <w:rStyle w:val="ab"/>
          <w:rFonts w:asciiTheme="minorBidi" w:hAnsiTheme="minorBidi"/>
          <w:rtl/>
        </w:rPr>
        <w:footnoteReference w:id="1106"/>
      </w:r>
      <w:r w:rsidRPr="00576D5C">
        <w:rPr>
          <w:rFonts w:asciiTheme="minorBidi" w:hAnsiTheme="minorBidi"/>
          <w:rtl/>
        </w:rPr>
        <w:t xml:space="preserve">, אינו יכול לחזור בו. ואם לא קנו מידו, יכול לחזור בו עד שיגמור הדין. </w:t>
      </w:r>
      <w:r w:rsidR="009E7277" w:rsidRPr="009E7277">
        <w:rPr>
          <w:rFonts w:asciiTheme="minorBidi" w:hAnsiTheme="minorBidi" w:hint="cs"/>
          <w:sz w:val="18"/>
          <w:szCs w:val="18"/>
          <w:rtl/>
        </w:rPr>
        <w:t xml:space="preserve">[הגה] </w:t>
      </w:r>
      <w:r w:rsidRPr="009E7277">
        <w:rPr>
          <w:rFonts w:asciiTheme="minorBidi" w:hAnsiTheme="minorBidi"/>
          <w:sz w:val="18"/>
          <w:szCs w:val="18"/>
          <w:rtl/>
        </w:rPr>
        <w:t>ולעיל סי' י"ב סעיף ב' נתבאר איזה מקרי גמר דין</w:t>
      </w:r>
      <w:r w:rsidR="005A60E1">
        <w:rPr>
          <w:rStyle w:val="ab"/>
          <w:rFonts w:asciiTheme="minorBidi" w:hAnsiTheme="minorBidi"/>
          <w:sz w:val="18"/>
          <w:szCs w:val="18"/>
          <w:rtl/>
        </w:rPr>
        <w:footnoteReference w:id="1107"/>
      </w:r>
      <w:r w:rsidRPr="009E7277">
        <w:rPr>
          <w:rFonts w:asciiTheme="minorBidi" w:hAnsiTheme="minorBidi"/>
          <w:sz w:val="18"/>
          <w:szCs w:val="18"/>
          <w:rtl/>
        </w:rPr>
        <w:t>, ולענין עדות מיד שהעידו לא יכול לחזור בו</w:t>
      </w:r>
      <w:r w:rsidR="001F4D22">
        <w:rPr>
          <w:rStyle w:val="ab"/>
          <w:rFonts w:asciiTheme="minorBidi" w:hAnsiTheme="minorBidi"/>
          <w:sz w:val="18"/>
          <w:szCs w:val="18"/>
          <w:rtl/>
        </w:rPr>
        <w:footnoteReference w:id="1108"/>
      </w:r>
      <w:r w:rsidRPr="009E7277">
        <w:rPr>
          <w:rFonts w:asciiTheme="minorBidi" w:hAnsiTheme="minorBidi"/>
          <w:sz w:val="18"/>
          <w:szCs w:val="18"/>
          <w:rtl/>
        </w:rPr>
        <w:t xml:space="preserve"> </w:t>
      </w:r>
      <w:r w:rsidRPr="00556503">
        <w:rPr>
          <w:rFonts w:asciiTheme="minorBidi" w:hAnsiTheme="minorBidi"/>
          <w:sz w:val="16"/>
          <w:szCs w:val="16"/>
          <w:rtl/>
        </w:rPr>
        <w:t>(ריב"ש סי</w:t>
      </w:r>
      <w:r w:rsidR="00915840" w:rsidRPr="00556503">
        <w:rPr>
          <w:rFonts w:asciiTheme="minorBidi" w:hAnsiTheme="minorBidi" w:hint="cs"/>
          <w:sz w:val="16"/>
          <w:szCs w:val="16"/>
          <w:rtl/>
        </w:rPr>
        <w:t>'</w:t>
      </w:r>
      <w:r w:rsidRPr="00556503">
        <w:rPr>
          <w:rFonts w:asciiTheme="minorBidi" w:hAnsiTheme="minorBidi"/>
          <w:sz w:val="16"/>
          <w:szCs w:val="16"/>
          <w:rtl/>
        </w:rPr>
        <w:t xml:space="preserve"> ת</w:t>
      </w:r>
      <w:r w:rsidR="00915840" w:rsidRPr="00556503">
        <w:rPr>
          <w:rFonts w:asciiTheme="minorBidi" w:hAnsiTheme="minorBidi" w:hint="cs"/>
          <w:sz w:val="16"/>
          <w:szCs w:val="16"/>
          <w:rtl/>
        </w:rPr>
        <w:t>צ</w:t>
      </w:r>
      <w:r w:rsidRPr="00556503">
        <w:rPr>
          <w:rFonts w:asciiTheme="minorBidi" w:hAnsiTheme="minorBidi"/>
          <w:sz w:val="16"/>
          <w:szCs w:val="16"/>
          <w:rtl/>
        </w:rPr>
        <w:t xml:space="preserve"> ומרדכי)</w:t>
      </w:r>
      <w:r w:rsidRPr="009E7277">
        <w:rPr>
          <w:rFonts w:asciiTheme="minorBidi" w:hAnsiTheme="minorBidi"/>
          <w:sz w:val="18"/>
          <w:szCs w:val="18"/>
          <w:rtl/>
        </w:rPr>
        <w:t>.</w:t>
      </w:r>
      <w:r w:rsidRPr="00576D5C">
        <w:rPr>
          <w:rFonts w:asciiTheme="minorBidi" w:hAnsiTheme="minorBidi"/>
          <w:rtl/>
        </w:rPr>
        <w:t xml:space="preserve"> נגמר הדין, אינו יכול לחזור בו, והוא שלא נודע שטעו</w:t>
      </w:r>
      <w:r w:rsidR="00C86E8A">
        <w:rPr>
          <w:rStyle w:val="ab"/>
          <w:rFonts w:asciiTheme="minorBidi" w:hAnsiTheme="minorBidi"/>
          <w:rtl/>
        </w:rPr>
        <w:footnoteReference w:id="1109"/>
      </w:r>
      <w:r w:rsidRPr="00576D5C">
        <w:rPr>
          <w:rFonts w:asciiTheme="minorBidi" w:hAnsiTheme="minorBidi"/>
          <w:rtl/>
        </w:rPr>
        <w:t xml:space="preserve"> </w:t>
      </w:r>
      <w:r w:rsidR="009E7277" w:rsidRPr="009E7277">
        <w:rPr>
          <w:rFonts w:asciiTheme="minorBidi" w:hAnsiTheme="minorBidi" w:hint="cs"/>
          <w:sz w:val="18"/>
          <w:szCs w:val="18"/>
          <w:rtl/>
        </w:rPr>
        <w:t xml:space="preserve">[הגה] </w:t>
      </w:r>
      <w:r w:rsidRPr="009E7277">
        <w:rPr>
          <w:rFonts w:asciiTheme="minorBidi" w:hAnsiTheme="minorBidi"/>
          <w:sz w:val="18"/>
          <w:szCs w:val="18"/>
          <w:rtl/>
        </w:rPr>
        <w:t>מיהו אם הם ממונים בעיר או טובי העיר לא יכול לחזור</w:t>
      </w:r>
      <w:r w:rsidR="00860EF5">
        <w:rPr>
          <w:rStyle w:val="ab"/>
          <w:rFonts w:asciiTheme="minorBidi" w:hAnsiTheme="minorBidi"/>
          <w:sz w:val="18"/>
          <w:szCs w:val="18"/>
          <w:rtl/>
        </w:rPr>
        <w:footnoteReference w:id="1110"/>
      </w:r>
      <w:r w:rsidRPr="009E7277">
        <w:rPr>
          <w:rFonts w:asciiTheme="minorBidi" w:hAnsiTheme="minorBidi"/>
          <w:sz w:val="18"/>
          <w:szCs w:val="18"/>
          <w:rtl/>
        </w:rPr>
        <w:t xml:space="preserve">, כי כן נוהגים דכל מה שאדם מקבל לפני ראשי </w:t>
      </w:r>
      <w:r w:rsidRPr="009E7277">
        <w:rPr>
          <w:rFonts w:asciiTheme="minorBidi" w:hAnsiTheme="minorBidi"/>
          <w:sz w:val="18"/>
          <w:szCs w:val="18"/>
          <w:rtl/>
        </w:rPr>
        <w:lastRenderedPageBreak/>
        <w:t>העיר</w:t>
      </w:r>
      <w:r w:rsidR="00C86E8A">
        <w:rPr>
          <w:rStyle w:val="ab"/>
          <w:rFonts w:asciiTheme="minorBidi" w:hAnsiTheme="minorBidi"/>
          <w:sz w:val="18"/>
          <w:szCs w:val="18"/>
          <w:rtl/>
        </w:rPr>
        <w:footnoteReference w:id="1111"/>
      </w:r>
      <w:r w:rsidRPr="009E7277">
        <w:rPr>
          <w:rFonts w:asciiTheme="minorBidi" w:hAnsiTheme="minorBidi"/>
          <w:sz w:val="18"/>
          <w:szCs w:val="18"/>
          <w:rtl/>
        </w:rPr>
        <w:t xml:space="preserve"> שלא יוכל לחזור בו </w:t>
      </w:r>
      <w:r w:rsidRPr="00556503">
        <w:rPr>
          <w:rFonts w:asciiTheme="minorBidi" w:hAnsiTheme="minorBidi"/>
          <w:sz w:val="16"/>
          <w:szCs w:val="16"/>
          <w:rtl/>
        </w:rPr>
        <w:t>(תשו</w:t>
      </w:r>
      <w:r w:rsidR="00915840" w:rsidRPr="00556503">
        <w:rPr>
          <w:rFonts w:asciiTheme="minorBidi" w:hAnsiTheme="minorBidi" w:hint="cs"/>
          <w:sz w:val="16"/>
          <w:szCs w:val="16"/>
          <w:rtl/>
        </w:rPr>
        <w:t>'</w:t>
      </w:r>
      <w:r w:rsidRPr="00556503">
        <w:rPr>
          <w:rFonts w:asciiTheme="minorBidi" w:hAnsiTheme="minorBidi"/>
          <w:sz w:val="16"/>
          <w:szCs w:val="16"/>
          <w:rtl/>
        </w:rPr>
        <w:t xml:space="preserve"> מימוני)</w:t>
      </w:r>
      <w:r w:rsidRPr="009E7277">
        <w:rPr>
          <w:rFonts w:asciiTheme="minorBidi" w:hAnsiTheme="minorBidi"/>
          <w:sz w:val="18"/>
          <w:szCs w:val="18"/>
          <w:rtl/>
        </w:rPr>
        <w:t>.</w:t>
      </w:r>
      <w:r w:rsidRPr="00576D5C">
        <w:rPr>
          <w:rFonts w:asciiTheme="minorBidi" w:hAnsiTheme="minorBidi"/>
          <w:rtl/>
        </w:rPr>
        <w:t xml:space="preserve"> ואם כופר ואומר: לא קבלתיו עלי לדון, ואין עדים בדבר, ישבע</w:t>
      </w:r>
      <w:r w:rsidR="00C86E8A">
        <w:rPr>
          <w:rStyle w:val="ab"/>
          <w:rFonts w:asciiTheme="minorBidi" w:hAnsiTheme="minorBidi"/>
          <w:rtl/>
        </w:rPr>
        <w:footnoteReference w:id="1112"/>
      </w:r>
      <w:r w:rsidRPr="00576D5C">
        <w:rPr>
          <w:rFonts w:asciiTheme="minorBidi" w:hAnsiTheme="minorBidi"/>
          <w:rtl/>
        </w:rPr>
        <w:t xml:space="preserve"> שלא קבלו עליו, אפילו אם הדיין מכחישו ואמר שקבלו עליו.</w:t>
      </w:r>
      <w:r w:rsidRPr="009E7277">
        <w:rPr>
          <w:rFonts w:asciiTheme="minorBidi" w:hAnsiTheme="minorBidi"/>
          <w:sz w:val="18"/>
          <w:szCs w:val="18"/>
          <w:rtl/>
        </w:rPr>
        <w:t xml:space="preserve"> </w:t>
      </w:r>
      <w:r w:rsidR="009E7277" w:rsidRPr="009E7277">
        <w:rPr>
          <w:rFonts w:asciiTheme="minorBidi" w:hAnsiTheme="minorBidi" w:hint="cs"/>
          <w:sz w:val="18"/>
          <w:szCs w:val="18"/>
          <w:rtl/>
        </w:rPr>
        <w:t xml:space="preserve">[הגה] </w:t>
      </w:r>
      <w:r w:rsidRPr="009E7277">
        <w:rPr>
          <w:rFonts w:asciiTheme="minorBidi" w:hAnsiTheme="minorBidi"/>
          <w:sz w:val="18"/>
          <w:szCs w:val="18"/>
          <w:rtl/>
        </w:rPr>
        <w:t xml:space="preserve">רבים שהמחו עליהם דיינים דלא גמירי, אין בעלי דינין יכולים לעכב </w:t>
      </w:r>
      <w:r w:rsidRPr="00556503">
        <w:rPr>
          <w:rFonts w:asciiTheme="minorBidi" w:hAnsiTheme="minorBidi"/>
          <w:sz w:val="16"/>
          <w:szCs w:val="16"/>
          <w:rtl/>
        </w:rPr>
        <w:t>(ר</w:t>
      </w:r>
      <w:r w:rsidR="009E7277" w:rsidRPr="00556503">
        <w:rPr>
          <w:rFonts w:asciiTheme="minorBidi" w:hAnsiTheme="minorBidi" w:hint="cs"/>
          <w:sz w:val="16"/>
          <w:szCs w:val="16"/>
          <w:rtl/>
        </w:rPr>
        <w:t>י"</w:t>
      </w:r>
      <w:r w:rsidRPr="00556503">
        <w:rPr>
          <w:rFonts w:asciiTheme="minorBidi" w:hAnsiTheme="minorBidi"/>
          <w:sz w:val="16"/>
          <w:szCs w:val="16"/>
          <w:rtl/>
        </w:rPr>
        <w:t>ו נ"ב חי"ג)</w:t>
      </w:r>
      <w:r w:rsidRPr="009E7277">
        <w:rPr>
          <w:rFonts w:asciiTheme="minorBidi" w:hAnsiTheme="minorBidi"/>
          <w:sz w:val="18"/>
          <w:szCs w:val="18"/>
          <w:rtl/>
        </w:rPr>
        <w:t>.</w:t>
      </w:r>
      <w:r w:rsidRPr="00576D5C">
        <w:rPr>
          <w:rFonts w:asciiTheme="minorBidi" w:hAnsiTheme="minorBidi"/>
          <w:rtl/>
        </w:rPr>
        <w:t xml:space="preserve"> </w:t>
      </w:r>
    </w:p>
    <w:p w14:paraId="2C570689" w14:textId="77777777" w:rsidR="008167D4" w:rsidRPr="008167D4" w:rsidRDefault="008167D4" w:rsidP="008167D4">
      <w:pPr>
        <w:rPr>
          <w:rFonts w:asciiTheme="minorBidi" w:hAnsiTheme="minorBidi"/>
          <w:rtl/>
        </w:rPr>
      </w:pPr>
    </w:p>
    <w:p w14:paraId="21A28379" w14:textId="77777777" w:rsidR="00E137BC" w:rsidRDefault="00E137BC" w:rsidP="006567B0">
      <w:pPr>
        <w:pStyle w:val="2"/>
        <w:rPr>
          <w:rtl/>
        </w:rPr>
      </w:pPr>
      <w:bookmarkStart w:id="171" w:name="_Toc24883654"/>
      <w:r w:rsidRPr="00576D5C">
        <w:rPr>
          <w:rtl/>
        </w:rPr>
        <w:t>סעיף ב</w:t>
      </w:r>
      <w:r w:rsidR="009E7277">
        <w:rPr>
          <w:rFonts w:hint="cs"/>
          <w:rtl/>
        </w:rPr>
        <w:t>:</w:t>
      </w:r>
      <w:r w:rsidR="00D60F1A">
        <w:rPr>
          <w:rFonts w:hint="cs"/>
          <w:rtl/>
        </w:rPr>
        <w:t xml:space="preserve"> קיבל עליו גוי.</w:t>
      </w:r>
      <w:bookmarkEnd w:id="171"/>
    </w:p>
    <w:p w14:paraId="729A7A4B" w14:textId="77777777" w:rsidR="00D60F1A" w:rsidRPr="00D60F1A" w:rsidRDefault="00D60F1A" w:rsidP="009947AA">
      <w:pPr>
        <w:rPr>
          <w:rFonts w:cs="Arial"/>
          <w:u w:val="single"/>
          <w:rtl/>
        </w:rPr>
      </w:pPr>
      <w:r w:rsidRPr="00D60F1A">
        <w:rPr>
          <w:rFonts w:cs="Arial" w:hint="cs"/>
          <w:u w:val="single"/>
          <w:rtl/>
        </w:rPr>
        <w:t>קיבל עליו גוי:</w:t>
      </w:r>
    </w:p>
    <w:p w14:paraId="2B527813" w14:textId="77777777" w:rsidR="001D5E21" w:rsidRPr="009E7277" w:rsidRDefault="001D5E21" w:rsidP="004B0475">
      <w:pPr>
        <w:pStyle w:val="ac"/>
        <w:numPr>
          <w:ilvl w:val="0"/>
          <w:numId w:val="29"/>
        </w:numPr>
        <w:rPr>
          <w:rtl/>
        </w:rPr>
      </w:pPr>
      <w:r>
        <w:rPr>
          <w:rFonts w:cs="Arial" w:hint="cs"/>
          <w:rtl/>
        </w:rPr>
        <w:t xml:space="preserve">מהר"ם </w:t>
      </w:r>
      <w:r w:rsidR="002B2939">
        <w:rPr>
          <w:rFonts w:cs="Arial" w:hint="cs"/>
          <w:sz w:val="16"/>
          <w:szCs w:val="16"/>
          <w:rtl/>
        </w:rPr>
        <w:t>(ד</w:t>
      </w:r>
      <w:r w:rsidR="00B320BB">
        <w:rPr>
          <w:rFonts w:cs="Arial" w:hint="cs"/>
          <w:sz w:val="16"/>
          <w:szCs w:val="16"/>
          <w:rtl/>
        </w:rPr>
        <w:t xml:space="preserve">פוס </w:t>
      </w:r>
      <w:r w:rsidR="002B2939">
        <w:rPr>
          <w:rFonts w:cs="Arial" w:hint="cs"/>
          <w:sz w:val="16"/>
          <w:szCs w:val="16"/>
          <w:rtl/>
        </w:rPr>
        <w:t>ק</w:t>
      </w:r>
      <w:r w:rsidR="00B320BB">
        <w:rPr>
          <w:rFonts w:cs="Arial" w:hint="cs"/>
          <w:sz w:val="16"/>
          <w:szCs w:val="16"/>
          <w:rtl/>
        </w:rPr>
        <w:t>רימונה</w:t>
      </w:r>
      <w:r w:rsidR="002B2939">
        <w:rPr>
          <w:rFonts w:cs="Arial" w:hint="cs"/>
          <w:sz w:val="16"/>
          <w:szCs w:val="16"/>
          <w:rtl/>
        </w:rPr>
        <w:t xml:space="preserve"> סי' רמה)</w:t>
      </w:r>
      <w:r w:rsidR="002B2939">
        <w:rPr>
          <w:rFonts w:cs="Arial" w:hint="cs"/>
          <w:rtl/>
        </w:rPr>
        <w:t xml:space="preserve">- </w:t>
      </w:r>
      <w:r>
        <w:rPr>
          <w:rFonts w:cs="Arial"/>
          <w:rtl/>
        </w:rPr>
        <w:t xml:space="preserve">אשר שאל אדוני על ראובן שטען על שמעון ולא היו לו עדים יהודים אלא גוים, ואמר שמעון נאמן עלי אותו גוי וקנו מידו, וכשהרגיש שהיה מטה דבריו וקבל שוחד חזר בו שמעון. </w:t>
      </w:r>
      <w:r w:rsidRPr="001D5E21">
        <w:rPr>
          <w:rFonts w:cs="Arial"/>
          <w:rtl/>
        </w:rPr>
        <w:t xml:space="preserve">ודאי כן הוא כמו שכתב האלפסי </w:t>
      </w:r>
      <w:r w:rsidR="002B2939" w:rsidRPr="002B2939">
        <w:rPr>
          <w:rFonts w:cs="Arial" w:hint="cs"/>
          <w:sz w:val="16"/>
          <w:szCs w:val="16"/>
          <w:rtl/>
        </w:rPr>
        <w:t>(</w:t>
      </w:r>
      <w:r w:rsidRPr="002B2939">
        <w:rPr>
          <w:rFonts w:cs="Arial"/>
          <w:sz w:val="16"/>
          <w:szCs w:val="16"/>
          <w:rtl/>
        </w:rPr>
        <w:t>סנהדרין ד</w:t>
      </w:r>
      <w:r w:rsidR="002B2939" w:rsidRPr="002B2939">
        <w:rPr>
          <w:rFonts w:cs="Arial" w:hint="cs"/>
          <w:sz w:val="16"/>
          <w:szCs w:val="16"/>
          <w:rtl/>
        </w:rPr>
        <w:t>.)</w:t>
      </w:r>
      <w:r w:rsidRPr="002B2939">
        <w:rPr>
          <w:rFonts w:cs="Arial"/>
          <w:sz w:val="16"/>
          <w:szCs w:val="16"/>
          <w:rtl/>
        </w:rPr>
        <w:t xml:space="preserve"> </w:t>
      </w:r>
      <w:r w:rsidRPr="001D5E21">
        <w:rPr>
          <w:rFonts w:cs="Arial"/>
          <w:rtl/>
        </w:rPr>
        <w:t>דאם קבל עליו קרוב או פסול כבי תרי ואפילו לעדות וקנו מיניה</w:t>
      </w:r>
      <w:r w:rsidR="002B2939">
        <w:rPr>
          <w:rFonts w:cs="Arial" w:hint="cs"/>
          <w:rtl/>
        </w:rPr>
        <w:t xml:space="preserve"> -</w:t>
      </w:r>
      <w:r w:rsidRPr="001D5E21">
        <w:rPr>
          <w:rFonts w:cs="Arial"/>
          <w:rtl/>
        </w:rPr>
        <w:t xml:space="preserve"> לא מצי הדר ביה, כדאמרינן פרק שבועת הדיינין </w:t>
      </w:r>
      <w:r w:rsidR="002B2939" w:rsidRPr="002B2939">
        <w:rPr>
          <w:rFonts w:cs="Arial" w:hint="cs"/>
          <w:sz w:val="16"/>
          <w:szCs w:val="16"/>
          <w:rtl/>
        </w:rPr>
        <w:t>(</w:t>
      </w:r>
      <w:r w:rsidRPr="002B2939">
        <w:rPr>
          <w:rFonts w:cs="Arial"/>
          <w:sz w:val="16"/>
          <w:szCs w:val="16"/>
          <w:rtl/>
        </w:rPr>
        <w:t>שבועות מב</w:t>
      </w:r>
      <w:r w:rsidR="002B2939" w:rsidRPr="002B2939">
        <w:rPr>
          <w:rFonts w:cs="Arial" w:hint="cs"/>
          <w:sz w:val="16"/>
          <w:szCs w:val="16"/>
          <w:rtl/>
        </w:rPr>
        <w:t>.)</w:t>
      </w:r>
      <w:r w:rsidRPr="002B2939">
        <w:rPr>
          <w:rFonts w:cs="Arial"/>
          <w:sz w:val="16"/>
          <w:szCs w:val="16"/>
          <w:rtl/>
        </w:rPr>
        <w:t xml:space="preserve"> </w:t>
      </w:r>
      <w:r w:rsidRPr="001D5E21">
        <w:rPr>
          <w:rFonts w:cs="Arial"/>
          <w:rtl/>
        </w:rPr>
        <w:t>ההוא דאמר ליה לחבריה מהימנת לי כבי תרי כל היכא דאמרת לא פרענא, דאפילו פרעיה באפי תלתא מהימן מלוה לומר לא פרענא.</w:t>
      </w:r>
      <w:r w:rsidR="002B2939">
        <w:rPr>
          <w:rFonts w:cs="Arial" w:hint="cs"/>
          <w:rtl/>
        </w:rPr>
        <w:t>.</w:t>
      </w:r>
      <w:r w:rsidRPr="001D5E21">
        <w:rPr>
          <w:rFonts w:cs="Arial"/>
          <w:rtl/>
        </w:rPr>
        <w:t xml:space="preserve">. וכמו שפירש רבינו אלפס כך פירש רבינו משה אבן מיימון זצ"ל </w:t>
      </w:r>
      <w:r w:rsidRPr="002B2939">
        <w:rPr>
          <w:rFonts w:cs="Arial" w:hint="cs"/>
          <w:sz w:val="16"/>
          <w:szCs w:val="16"/>
          <w:rtl/>
        </w:rPr>
        <w:t xml:space="preserve">(הל' </w:t>
      </w:r>
      <w:r w:rsidRPr="002B2939">
        <w:rPr>
          <w:rFonts w:cs="Arial"/>
          <w:sz w:val="16"/>
          <w:szCs w:val="16"/>
          <w:rtl/>
        </w:rPr>
        <w:t xml:space="preserve">סנהדרין </w:t>
      </w:r>
      <w:r w:rsidRPr="002B2939">
        <w:rPr>
          <w:rFonts w:cs="Arial" w:hint="cs"/>
          <w:sz w:val="16"/>
          <w:szCs w:val="16"/>
          <w:rtl/>
        </w:rPr>
        <w:t>פ"</w:t>
      </w:r>
      <w:r w:rsidRPr="002B2939">
        <w:rPr>
          <w:rFonts w:cs="Arial"/>
          <w:sz w:val="16"/>
          <w:szCs w:val="16"/>
          <w:rtl/>
        </w:rPr>
        <w:t xml:space="preserve">ז </w:t>
      </w:r>
      <w:r w:rsidRPr="002B2939">
        <w:rPr>
          <w:rFonts w:cs="Arial" w:hint="cs"/>
          <w:sz w:val="16"/>
          <w:szCs w:val="16"/>
          <w:rtl/>
        </w:rPr>
        <w:t>ה"</w:t>
      </w:r>
      <w:r w:rsidRPr="002B2939">
        <w:rPr>
          <w:rFonts w:cs="Arial"/>
          <w:sz w:val="16"/>
          <w:szCs w:val="16"/>
          <w:rtl/>
        </w:rPr>
        <w:t>ב</w:t>
      </w:r>
      <w:r w:rsidRPr="002B2939">
        <w:rPr>
          <w:rFonts w:cs="Arial" w:hint="cs"/>
          <w:sz w:val="16"/>
          <w:szCs w:val="16"/>
          <w:rtl/>
        </w:rPr>
        <w:t>)</w:t>
      </w:r>
      <w:r w:rsidR="002B2939">
        <w:rPr>
          <w:rStyle w:val="ab"/>
          <w:rFonts w:cs="Arial"/>
          <w:rtl/>
        </w:rPr>
        <w:footnoteReference w:id="1113"/>
      </w:r>
      <w:r w:rsidRPr="001D5E21">
        <w:rPr>
          <w:rFonts w:cs="Arial" w:hint="cs"/>
          <w:rtl/>
        </w:rPr>
        <w:t>.</w:t>
      </w:r>
      <w:r w:rsidR="002B2939">
        <w:rPr>
          <w:rFonts w:hint="cs"/>
          <w:rtl/>
        </w:rPr>
        <w:t xml:space="preserve"> </w:t>
      </w:r>
      <w:r w:rsidR="002B2939" w:rsidRPr="002B2939">
        <w:rPr>
          <w:rFonts w:hint="cs"/>
          <w:color w:val="E36C0A" w:themeColor="accent6" w:themeShade="BF"/>
          <w:rtl/>
        </w:rPr>
        <w:t>(וכ"פ בשו"ע)</w:t>
      </w:r>
    </w:p>
    <w:p w14:paraId="15D528E0" w14:textId="77777777" w:rsidR="00E137BC" w:rsidRPr="00576D5C" w:rsidRDefault="00E137BC" w:rsidP="00576D5C">
      <w:pPr>
        <w:rPr>
          <w:rFonts w:asciiTheme="minorBidi" w:hAnsiTheme="minorBidi"/>
          <w:b/>
          <w:bCs/>
          <w:color w:val="000000"/>
          <w:sz w:val="28"/>
          <w:szCs w:val="28"/>
          <w:u w:val="single"/>
          <w:rtl/>
        </w:rPr>
      </w:pPr>
      <w:r w:rsidRPr="00576D5C">
        <w:rPr>
          <w:rFonts w:asciiTheme="minorBidi" w:hAnsiTheme="minorBidi"/>
          <w:b/>
          <w:bCs/>
          <w:color w:val="000000"/>
          <w:sz w:val="28"/>
          <w:szCs w:val="28"/>
          <w:u w:val="single"/>
          <w:rtl/>
        </w:rPr>
        <w:t>שו"ע:</w:t>
      </w:r>
    </w:p>
    <w:p w14:paraId="2D8DE727" w14:textId="77777777" w:rsidR="00D60F1A" w:rsidRDefault="00E137BC" w:rsidP="00951F34">
      <w:pPr>
        <w:rPr>
          <w:rFonts w:asciiTheme="minorBidi" w:hAnsiTheme="minorBidi"/>
          <w:rtl/>
        </w:rPr>
      </w:pPr>
      <w:r w:rsidRPr="00576D5C">
        <w:rPr>
          <w:rFonts w:asciiTheme="minorBidi" w:hAnsiTheme="minorBidi"/>
          <w:rtl/>
        </w:rPr>
        <w:t xml:space="preserve">אם קבל עליו עדות </w:t>
      </w:r>
      <w:r w:rsidR="009E7277">
        <w:rPr>
          <w:rFonts w:asciiTheme="minorBidi" w:hAnsiTheme="minorBidi" w:hint="cs"/>
          <w:rtl/>
        </w:rPr>
        <w:t>גוי</w:t>
      </w:r>
      <w:r w:rsidRPr="00576D5C">
        <w:rPr>
          <w:rFonts w:asciiTheme="minorBidi" w:hAnsiTheme="minorBidi"/>
          <w:rtl/>
        </w:rPr>
        <w:t xml:space="preserve">, כמי שקיבל עליו עדות אחד מהפסולים. אבל אם קבל עליו </w:t>
      </w:r>
      <w:r w:rsidR="009E7277">
        <w:rPr>
          <w:rFonts w:asciiTheme="minorBidi" w:hAnsiTheme="minorBidi" w:hint="cs"/>
          <w:rtl/>
        </w:rPr>
        <w:t>גוי</w:t>
      </w:r>
      <w:r w:rsidRPr="00576D5C">
        <w:rPr>
          <w:rFonts w:asciiTheme="minorBidi" w:hAnsiTheme="minorBidi"/>
          <w:rtl/>
        </w:rPr>
        <w:t xml:space="preserve"> לדיין, אפילו קנו מיניה, אין הקנין כלום</w:t>
      </w:r>
      <w:r w:rsidR="00D60F1A">
        <w:rPr>
          <w:rStyle w:val="ab"/>
          <w:rFonts w:asciiTheme="minorBidi" w:hAnsiTheme="minorBidi"/>
          <w:rtl/>
        </w:rPr>
        <w:footnoteReference w:id="1114"/>
      </w:r>
      <w:r w:rsidRPr="00576D5C">
        <w:rPr>
          <w:rFonts w:asciiTheme="minorBidi" w:hAnsiTheme="minorBidi"/>
          <w:rtl/>
        </w:rPr>
        <w:t xml:space="preserve"> ואסור לידון לפניו. </w:t>
      </w:r>
      <w:r w:rsidR="009E7277" w:rsidRPr="009E7277">
        <w:rPr>
          <w:rFonts w:asciiTheme="minorBidi" w:hAnsiTheme="minorBidi" w:hint="cs"/>
          <w:sz w:val="18"/>
          <w:szCs w:val="18"/>
          <w:rtl/>
        </w:rPr>
        <w:t xml:space="preserve">[הגה] </w:t>
      </w:r>
      <w:r w:rsidRPr="009E7277">
        <w:rPr>
          <w:rFonts w:asciiTheme="minorBidi" w:hAnsiTheme="minorBidi"/>
          <w:sz w:val="18"/>
          <w:szCs w:val="18"/>
          <w:rtl/>
        </w:rPr>
        <w:t>אבל אם כבר דן לפניו, לא יכול לחזור בו</w:t>
      </w:r>
      <w:r w:rsidR="00951F34">
        <w:rPr>
          <w:rStyle w:val="ab"/>
          <w:rFonts w:asciiTheme="minorBidi" w:hAnsiTheme="minorBidi"/>
          <w:sz w:val="18"/>
          <w:szCs w:val="18"/>
          <w:rtl/>
        </w:rPr>
        <w:footnoteReference w:id="1115"/>
      </w:r>
      <w:r w:rsidRPr="009E7277">
        <w:rPr>
          <w:rFonts w:asciiTheme="minorBidi" w:hAnsiTheme="minorBidi"/>
          <w:sz w:val="18"/>
          <w:szCs w:val="18"/>
          <w:rtl/>
        </w:rPr>
        <w:t>.</w:t>
      </w:r>
      <w:r w:rsidRPr="00576D5C">
        <w:rPr>
          <w:rFonts w:asciiTheme="minorBidi" w:hAnsiTheme="minorBidi"/>
          <w:rtl/>
        </w:rPr>
        <w:t xml:space="preserve"> </w:t>
      </w:r>
    </w:p>
    <w:p w14:paraId="37E98B79" w14:textId="77777777" w:rsidR="009E7277" w:rsidRPr="00576D5C" w:rsidRDefault="009E7277" w:rsidP="00576D5C">
      <w:pPr>
        <w:rPr>
          <w:rFonts w:asciiTheme="minorBidi" w:hAnsiTheme="minorBidi"/>
          <w:rtl/>
        </w:rPr>
      </w:pPr>
    </w:p>
    <w:p w14:paraId="159885AA" w14:textId="77777777" w:rsidR="00E137BC" w:rsidRDefault="00E137BC" w:rsidP="006567B0">
      <w:pPr>
        <w:pStyle w:val="2"/>
        <w:rPr>
          <w:rtl/>
        </w:rPr>
      </w:pPr>
      <w:bookmarkStart w:id="172" w:name="_Toc24883655"/>
      <w:r w:rsidRPr="00576D5C">
        <w:rPr>
          <w:rtl/>
        </w:rPr>
        <w:t>סעיף ג</w:t>
      </w:r>
      <w:r w:rsidR="009E7277">
        <w:rPr>
          <w:rFonts w:hint="cs"/>
          <w:rtl/>
        </w:rPr>
        <w:t>:</w:t>
      </w:r>
      <w:r w:rsidR="00BE7A8A">
        <w:rPr>
          <w:rFonts w:hint="cs"/>
          <w:rtl/>
        </w:rPr>
        <w:t xml:space="preserve"> אמר 'אשבע ואפטר' או 'תשבע ותפטר' </w:t>
      </w:r>
      <w:r w:rsidR="00BE7A8A">
        <w:rPr>
          <w:rtl/>
        </w:rPr>
        <w:t>–</w:t>
      </w:r>
      <w:r w:rsidR="00BE7A8A">
        <w:rPr>
          <w:rFonts w:hint="cs"/>
          <w:rtl/>
        </w:rPr>
        <w:t xml:space="preserve"> עד מתי יכול לחזור בו.</w:t>
      </w:r>
      <w:bookmarkEnd w:id="172"/>
    </w:p>
    <w:p w14:paraId="174C8308" w14:textId="77777777" w:rsidR="0084531C" w:rsidRDefault="0084531C" w:rsidP="009E27FD">
      <w:pPr>
        <w:rPr>
          <w:rFonts w:cs="Arial"/>
          <w:rtl/>
        </w:rPr>
      </w:pPr>
      <w:r w:rsidRPr="00AC714E">
        <w:rPr>
          <w:rFonts w:cs="Arial"/>
          <w:b/>
          <w:bCs/>
          <w:rtl/>
        </w:rPr>
        <w:t>סנהדרין</w:t>
      </w:r>
      <w:r w:rsidRPr="00AC714E">
        <w:rPr>
          <w:rFonts w:cs="Arial"/>
          <w:b/>
          <w:bCs/>
          <w:sz w:val="16"/>
          <w:szCs w:val="16"/>
          <w:rtl/>
        </w:rPr>
        <w:t xml:space="preserve"> </w:t>
      </w:r>
      <w:r w:rsidRPr="00AC714E">
        <w:rPr>
          <w:rFonts w:cs="Arial" w:hint="cs"/>
          <w:b/>
          <w:bCs/>
          <w:sz w:val="16"/>
          <w:szCs w:val="16"/>
          <w:rtl/>
        </w:rPr>
        <w:t>(</w:t>
      </w:r>
      <w:r w:rsidRPr="00AC714E">
        <w:rPr>
          <w:rFonts w:cs="Arial"/>
          <w:b/>
          <w:bCs/>
          <w:sz w:val="16"/>
          <w:szCs w:val="16"/>
          <w:rtl/>
        </w:rPr>
        <w:t>פ</w:t>
      </w:r>
      <w:r w:rsidRPr="00AC714E">
        <w:rPr>
          <w:rFonts w:cs="Arial" w:hint="cs"/>
          <w:b/>
          <w:bCs/>
          <w:sz w:val="16"/>
          <w:szCs w:val="16"/>
          <w:rtl/>
        </w:rPr>
        <w:t>'</w:t>
      </w:r>
      <w:r w:rsidRPr="00AC714E">
        <w:rPr>
          <w:rFonts w:cs="Arial"/>
          <w:b/>
          <w:bCs/>
          <w:sz w:val="16"/>
          <w:szCs w:val="16"/>
          <w:rtl/>
        </w:rPr>
        <w:t xml:space="preserve"> זה בורר</w:t>
      </w:r>
      <w:r w:rsidRPr="00AC714E">
        <w:rPr>
          <w:rFonts w:cs="Arial" w:hint="cs"/>
          <w:b/>
          <w:bCs/>
          <w:sz w:val="16"/>
          <w:szCs w:val="16"/>
          <w:rtl/>
        </w:rPr>
        <w:t>)</w:t>
      </w:r>
      <w:r w:rsidRPr="00AC714E">
        <w:rPr>
          <w:rFonts w:cs="Arial"/>
          <w:b/>
          <w:bCs/>
          <w:sz w:val="16"/>
          <w:szCs w:val="16"/>
          <w:rtl/>
        </w:rPr>
        <w:t xml:space="preserve"> </w:t>
      </w:r>
      <w:r w:rsidRPr="00AC714E">
        <w:rPr>
          <w:rFonts w:cs="Arial"/>
          <w:b/>
          <w:bCs/>
          <w:rtl/>
        </w:rPr>
        <w:t>כד</w:t>
      </w:r>
      <w:r w:rsidR="00B320BB">
        <w:rPr>
          <w:rStyle w:val="ab"/>
          <w:rFonts w:cs="Arial"/>
          <w:b/>
          <w:bCs/>
          <w:rtl/>
        </w:rPr>
        <w:footnoteReference w:id="1116"/>
      </w:r>
      <w:r w:rsidRPr="00AC714E">
        <w:rPr>
          <w:rFonts w:cs="Arial" w:hint="cs"/>
          <w:b/>
          <w:bCs/>
          <w:rtl/>
        </w:rPr>
        <w:t xml:space="preserve"> ע"א:</w:t>
      </w:r>
      <w:r w:rsidRPr="00F05402">
        <w:rPr>
          <w:rtl/>
        </w:rPr>
        <w:t xml:space="preserve"> </w:t>
      </w:r>
      <w:r w:rsidRPr="00AC714E">
        <w:rPr>
          <w:rFonts w:cs="Arial"/>
          <w:u w:val="double"/>
          <w:rtl/>
        </w:rPr>
        <w:t>משנה</w:t>
      </w:r>
      <w:r>
        <w:rPr>
          <w:rFonts w:cs="Arial" w:hint="cs"/>
          <w:u w:val="double"/>
          <w:rtl/>
        </w:rPr>
        <w:t>:</w:t>
      </w:r>
      <w:r w:rsidRPr="0084531C">
        <w:rPr>
          <w:rFonts w:cs="Arial"/>
          <w:rtl/>
        </w:rPr>
        <w:t xml:space="preserve"> </w:t>
      </w:r>
      <w:r w:rsidRPr="00AC714E">
        <w:rPr>
          <w:rFonts w:cs="Arial"/>
          <w:rtl/>
        </w:rPr>
        <w:t>אמר לו: נאמן עלי אבא</w:t>
      </w:r>
      <w:r>
        <w:rPr>
          <w:rFonts w:cs="Arial" w:hint="cs"/>
          <w:rtl/>
        </w:rPr>
        <w:t>...</w:t>
      </w:r>
      <w:r w:rsidRPr="0084531C">
        <w:rPr>
          <w:rtl/>
        </w:rPr>
        <w:t xml:space="preserve"> </w:t>
      </w:r>
      <w:r w:rsidRPr="0084531C">
        <w:rPr>
          <w:rFonts w:cs="Arial"/>
          <w:rtl/>
        </w:rPr>
        <w:t>היה חייב לחבירו שבועה, ואמר לו: דור לי</w:t>
      </w:r>
      <w:r>
        <w:rPr>
          <w:rStyle w:val="ab"/>
          <w:rFonts w:cs="Arial"/>
          <w:rtl/>
        </w:rPr>
        <w:footnoteReference w:id="1117"/>
      </w:r>
      <w:r w:rsidRPr="0084531C">
        <w:rPr>
          <w:rFonts w:cs="Arial"/>
          <w:rtl/>
        </w:rPr>
        <w:t xml:space="preserve"> בחיי ראשך </w:t>
      </w:r>
      <w:r w:rsidRPr="0084531C">
        <w:rPr>
          <w:rFonts w:cs="Arial"/>
          <w:u w:val="single"/>
          <w:rtl/>
        </w:rPr>
        <w:t>רבי מאיר אומר</w:t>
      </w:r>
      <w:r w:rsidRPr="0084531C">
        <w:rPr>
          <w:rFonts w:cs="Arial"/>
          <w:rtl/>
        </w:rPr>
        <w:t xml:space="preserve">: יכול לחזור בו, </w:t>
      </w:r>
      <w:r w:rsidRPr="0084531C">
        <w:rPr>
          <w:rFonts w:cs="Arial"/>
          <w:u w:val="single"/>
          <w:rtl/>
        </w:rPr>
        <w:t>וחכמים אומרים</w:t>
      </w:r>
      <w:r w:rsidRPr="0084531C">
        <w:rPr>
          <w:rFonts w:cs="Arial"/>
          <w:rtl/>
        </w:rPr>
        <w:t>: אין יכול לחזור בו</w:t>
      </w:r>
      <w:r>
        <w:rPr>
          <w:rFonts w:cs="Arial" w:hint="cs"/>
          <w:rtl/>
        </w:rPr>
        <w:t>.</w:t>
      </w:r>
      <w:r w:rsidRPr="0084531C">
        <w:rPr>
          <w:rFonts w:cs="Arial"/>
          <w:sz w:val="16"/>
          <w:szCs w:val="16"/>
          <w:rtl/>
        </w:rPr>
        <w:t xml:space="preserve"> </w:t>
      </w:r>
      <w:r>
        <w:rPr>
          <w:rFonts w:cs="Arial" w:hint="cs"/>
          <w:sz w:val="16"/>
          <w:szCs w:val="16"/>
          <w:rtl/>
        </w:rPr>
        <w:t>(</w:t>
      </w:r>
      <w:r w:rsidRPr="0084531C">
        <w:rPr>
          <w:rFonts w:cs="Arial"/>
          <w:sz w:val="16"/>
          <w:szCs w:val="16"/>
          <w:rtl/>
        </w:rPr>
        <w:t>ומאי דאיתמר בגמרא על פלוגתא דרבי מאיר ורבנן במי שקבל עליו קרוב או פסול קאי נמי אהא פלוגתא דדור לי בחיי ראשך</w:t>
      </w:r>
      <w:r w:rsidR="00416479">
        <w:rPr>
          <w:rFonts w:cs="Arial" w:hint="cs"/>
          <w:sz w:val="16"/>
          <w:szCs w:val="16"/>
          <w:rtl/>
        </w:rPr>
        <w:t>,</w:t>
      </w:r>
      <w:r w:rsidRPr="0084531C">
        <w:rPr>
          <w:rFonts w:cs="Arial"/>
          <w:sz w:val="16"/>
          <w:szCs w:val="16"/>
          <w:rtl/>
        </w:rPr>
        <w:t xml:space="preserve"> וכבר נתבאר (ס"א) דלאחר גמר דין מחלוקת ובאתן לך מחלוקת והלכה כחכמים</w:t>
      </w:r>
      <w:r w:rsidR="00416479">
        <w:rPr>
          <w:rFonts w:cs="Arial" w:hint="cs"/>
          <w:sz w:val="16"/>
          <w:szCs w:val="16"/>
          <w:rtl/>
        </w:rPr>
        <w:t>,</w:t>
      </w:r>
      <w:r w:rsidRPr="0084531C">
        <w:rPr>
          <w:rFonts w:cs="Arial"/>
          <w:sz w:val="16"/>
          <w:szCs w:val="16"/>
          <w:rtl/>
        </w:rPr>
        <w:t xml:space="preserve"> ולפני גמר דין וקנו מידו אין לאחר קנין כלום</w:t>
      </w:r>
      <w:r w:rsidR="00B320BB">
        <w:rPr>
          <w:rFonts w:cs="Arial" w:hint="cs"/>
          <w:sz w:val="16"/>
          <w:szCs w:val="16"/>
          <w:rtl/>
        </w:rPr>
        <w:t>, ב"י</w:t>
      </w:r>
      <w:r>
        <w:rPr>
          <w:rFonts w:cs="Arial" w:hint="cs"/>
          <w:sz w:val="16"/>
          <w:szCs w:val="16"/>
          <w:rtl/>
        </w:rPr>
        <w:t>)</w:t>
      </w:r>
      <w:r>
        <w:rPr>
          <w:rFonts w:cs="Arial" w:hint="cs"/>
          <w:rtl/>
        </w:rPr>
        <w:t xml:space="preserve"> </w:t>
      </w:r>
    </w:p>
    <w:p w14:paraId="6D4B8D30" w14:textId="77777777" w:rsidR="00A5530C" w:rsidRDefault="00A5530C" w:rsidP="00A5530C">
      <w:pPr>
        <w:rPr>
          <w:rtl/>
        </w:rPr>
      </w:pPr>
      <w:r>
        <w:rPr>
          <w:rFonts w:cs="Arial" w:hint="cs"/>
          <w:b/>
          <w:bCs/>
          <w:rtl/>
        </w:rPr>
        <w:lastRenderedPageBreak/>
        <w:t>בבא בתרא</w:t>
      </w:r>
      <w:r>
        <w:rPr>
          <w:rFonts w:cs="Arial" w:hint="cs"/>
          <w:b/>
          <w:bCs/>
          <w:sz w:val="16"/>
          <w:szCs w:val="16"/>
          <w:rtl/>
        </w:rPr>
        <w:t xml:space="preserve"> (פ' יש נוחלין)</w:t>
      </w:r>
      <w:r>
        <w:rPr>
          <w:rFonts w:cs="Arial" w:hint="cs"/>
          <w:b/>
          <w:bCs/>
          <w:rtl/>
        </w:rPr>
        <w:t xml:space="preserve"> קכז</w:t>
      </w:r>
      <w:r w:rsidR="00B352DF">
        <w:rPr>
          <w:rStyle w:val="ab"/>
          <w:rFonts w:cs="Arial"/>
          <w:b/>
          <w:bCs/>
          <w:rtl/>
        </w:rPr>
        <w:footnoteReference w:id="1118"/>
      </w:r>
      <w:r>
        <w:rPr>
          <w:rFonts w:cs="Arial" w:hint="cs"/>
          <w:b/>
          <w:bCs/>
          <w:rtl/>
        </w:rPr>
        <w:t xml:space="preserve"> ע"ב: </w:t>
      </w:r>
      <w:r w:rsidRPr="00F2448D">
        <w:rPr>
          <w:rFonts w:cs="Arial"/>
          <w:u w:val="single"/>
          <w:rtl/>
        </w:rPr>
        <w:t>שלח ליה ר' אבא לרב יוסף בר חמא</w:t>
      </w:r>
      <w:r w:rsidRPr="00F2448D">
        <w:rPr>
          <w:rFonts w:cs="Arial"/>
          <w:rtl/>
        </w:rPr>
        <w:t>: האומר לחבירו עבדי גנבת, והוא אומר לא גנבתי, מה טיבו אצלך? אתה מכרתו לי,</w:t>
      </w:r>
      <w:r w:rsidRPr="00F2448D">
        <w:rPr>
          <w:rtl/>
        </w:rPr>
        <w:t xml:space="preserve"> </w:t>
      </w:r>
      <w:r>
        <w:rPr>
          <w:rFonts w:hint="cs"/>
          <w:sz w:val="14"/>
          <w:szCs w:val="14"/>
          <w:rtl/>
        </w:rPr>
        <w:t>(קכח.)</w:t>
      </w:r>
      <w:r>
        <w:rPr>
          <w:rFonts w:cs="Arial" w:hint="cs"/>
          <w:rtl/>
        </w:rPr>
        <w:t xml:space="preserve"> </w:t>
      </w:r>
      <w:r w:rsidRPr="00F2448D">
        <w:rPr>
          <w:rFonts w:cs="Arial"/>
          <w:rtl/>
        </w:rPr>
        <w:t xml:space="preserve">אתה נתתו לי במתנה, רצונך השבע וטול, </w:t>
      </w:r>
      <w:r>
        <w:rPr>
          <w:rStyle w:val="ab"/>
          <w:rFonts w:cs="Arial"/>
          <w:rtl/>
        </w:rPr>
        <w:footnoteReference w:id="1119"/>
      </w:r>
      <w:r w:rsidRPr="00F2448D">
        <w:rPr>
          <w:rFonts w:cs="Arial"/>
          <w:rtl/>
        </w:rPr>
        <w:t>ונשבע אינו יכול לחזור בו.</w:t>
      </w:r>
    </w:p>
    <w:p w14:paraId="06746EFD" w14:textId="77777777" w:rsidR="00384843" w:rsidRPr="00384843" w:rsidRDefault="00384843" w:rsidP="009E27FD">
      <w:pPr>
        <w:rPr>
          <w:rFonts w:cs="Arial"/>
          <w:u w:val="single"/>
          <w:rtl/>
        </w:rPr>
      </w:pPr>
      <w:r w:rsidRPr="00384843">
        <w:rPr>
          <w:rFonts w:cs="Arial"/>
          <w:u w:val="single"/>
          <w:rtl/>
        </w:rPr>
        <w:t>נתחייב לחבירו שבועה בב"ד</w:t>
      </w:r>
      <w:r w:rsidRPr="00384843">
        <w:rPr>
          <w:rFonts w:cs="Arial" w:hint="cs"/>
          <w:u w:val="single"/>
          <w:rtl/>
        </w:rPr>
        <w:t xml:space="preserve"> ואמר 'השבע לי בחיי ראשך וה</w:t>
      </w:r>
      <w:r w:rsidR="002B48D5">
        <w:rPr>
          <w:rFonts w:cs="Arial" w:hint="cs"/>
          <w:u w:val="single"/>
          <w:rtl/>
        </w:rPr>
        <w:t>י</w:t>
      </w:r>
      <w:r w:rsidRPr="00384843">
        <w:rPr>
          <w:rFonts w:cs="Arial" w:hint="cs"/>
          <w:u w:val="single"/>
          <w:rtl/>
        </w:rPr>
        <w:t>פטר/ואתן לך</w:t>
      </w:r>
      <w:r w:rsidR="004D4602">
        <w:rPr>
          <w:rFonts w:cs="Arial" w:hint="cs"/>
          <w:u w:val="single"/>
          <w:rtl/>
        </w:rPr>
        <w:t xml:space="preserve">' </w:t>
      </w:r>
      <w:r w:rsidR="004D4602">
        <w:rPr>
          <w:rFonts w:cs="Arial"/>
          <w:u w:val="single"/>
          <w:rtl/>
        </w:rPr>
        <w:t>–</w:t>
      </w:r>
      <w:r w:rsidR="004D4602">
        <w:rPr>
          <w:rFonts w:cs="Arial" w:hint="cs"/>
          <w:u w:val="single"/>
          <w:rtl/>
        </w:rPr>
        <w:t xml:space="preserve"> עד מתי יכול לחזור בו</w:t>
      </w:r>
      <w:r w:rsidRPr="00384843">
        <w:rPr>
          <w:rFonts w:cs="Arial" w:hint="cs"/>
          <w:u w:val="single"/>
          <w:rtl/>
        </w:rPr>
        <w:t>:</w:t>
      </w:r>
      <w:r w:rsidRPr="00384843">
        <w:rPr>
          <w:rFonts w:cs="Arial"/>
          <w:u w:val="single"/>
          <w:rtl/>
        </w:rPr>
        <w:t xml:space="preserve"> </w:t>
      </w:r>
    </w:p>
    <w:p w14:paraId="3BD29FD3" w14:textId="77777777" w:rsidR="008006DC" w:rsidRPr="004D4602" w:rsidRDefault="004E5AF3" w:rsidP="004B0475">
      <w:pPr>
        <w:pStyle w:val="ac"/>
        <w:numPr>
          <w:ilvl w:val="0"/>
          <w:numId w:val="29"/>
        </w:numPr>
      </w:pPr>
      <w:r w:rsidRPr="002C300A">
        <w:rPr>
          <w:rFonts w:cs="Arial"/>
          <w:rtl/>
        </w:rPr>
        <w:t>ר</w:t>
      </w:r>
      <w:r w:rsidRPr="002C300A">
        <w:rPr>
          <w:rFonts w:cs="Arial" w:hint="cs"/>
          <w:rtl/>
        </w:rPr>
        <w:t>"</w:t>
      </w:r>
      <w:r w:rsidRPr="002C300A">
        <w:rPr>
          <w:rFonts w:cs="Arial"/>
          <w:rtl/>
        </w:rPr>
        <w:t>ת</w:t>
      </w:r>
      <w:r w:rsidR="00322162">
        <w:rPr>
          <w:rStyle w:val="ab"/>
          <w:rFonts w:cs="Arial"/>
          <w:rtl/>
        </w:rPr>
        <w:footnoteReference w:id="1120"/>
      </w:r>
      <w:r w:rsidRPr="00741E92">
        <w:rPr>
          <w:rFonts w:cs="Arial" w:hint="cs"/>
          <w:sz w:val="16"/>
          <w:szCs w:val="16"/>
          <w:rtl/>
        </w:rPr>
        <w:t xml:space="preserve"> </w:t>
      </w:r>
      <w:r>
        <w:rPr>
          <w:rFonts w:cs="Arial" w:hint="cs"/>
          <w:sz w:val="16"/>
          <w:szCs w:val="16"/>
          <w:rtl/>
        </w:rPr>
        <w:t>(כ"כ הר"ן בשמו)</w:t>
      </w:r>
      <w:r>
        <w:rPr>
          <w:rFonts w:cs="Arial" w:hint="cs"/>
          <w:rtl/>
        </w:rPr>
        <w:t xml:space="preserve"> </w:t>
      </w:r>
      <w:r w:rsidR="008006DC" w:rsidRPr="004D4602">
        <w:rPr>
          <w:rFonts w:cs="Arial"/>
          <w:rtl/>
        </w:rPr>
        <w:t xml:space="preserve">רמב"ם </w:t>
      </w:r>
      <w:r w:rsidR="008006DC" w:rsidRPr="004D4602">
        <w:rPr>
          <w:rFonts w:cs="Arial" w:hint="cs"/>
          <w:sz w:val="16"/>
          <w:szCs w:val="16"/>
          <w:rtl/>
        </w:rPr>
        <w:t>(</w:t>
      </w:r>
      <w:r w:rsidR="008006DC" w:rsidRPr="004D4602">
        <w:rPr>
          <w:rFonts w:cs="Arial"/>
          <w:sz w:val="16"/>
          <w:szCs w:val="16"/>
          <w:rtl/>
        </w:rPr>
        <w:t>פ"ז דסנהדרין ה"ג-ה)</w:t>
      </w:r>
      <w:r w:rsidR="008006DC">
        <w:rPr>
          <w:rFonts w:cs="Arial" w:hint="cs"/>
          <w:rtl/>
        </w:rPr>
        <w:t xml:space="preserve"> </w:t>
      </w:r>
      <w:r w:rsidR="004D4602" w:rsidRPr="004D4602">
        <w:rPr>
          <w:rFonts w:cs="Arial"/>
          <w:rtl/>
        </w:rPr>
        <w:t>רא"ש</w:t>
      </w:r>
      <w:r w:rsidR="008006DC">
        <w:rPr>
          <w:rStyle w:val="ab"/>
          <w:rFonts w:cs="Arial"/>
          <w:rtl/>
        </w:rPr>
        <w:footnoteReference w:id="1121"/>
      </w:r>
      <w:r w:rsidR="004D4602" w:rsidRPr="004D4602">
        <w:rPr>
          <w:rFonts w:cs="Arial"/>
          <w:rtl/>
        </w:rPr>
        <w:t xml:space="preserve"> </w:t>
      </w:r>
      <w:r w:rsidR="004D4602" w:rsidRPr="004D4602">
        <w:rPr>
          <w:rFonts w:cs="Arial"/>
          <w:sz w:val="16"/>
          <w:szCs w:val="16"/>
          <w:rtl/>
        </w:rPr>
        <w:t>(</w:t>
      </w:r>
      <w:r w:rsidR="004D4602" w:rsidRPr="004D4602">
        <w:rPr>
          <w:rFonts w:cs="Arial" w:hint="cs"/>
          <w:sz w:val="16"/>
          <w:szCs w:val="16"/>
          <w:rtl/>
        </w:rPr>
        <w:t xml:space="preserve">פ' זה בורר </w:t>
      </w:r>
      <w:r w:rsidR="004D4602" w:rsidRPr="004D4602">
        <w:rPr>
          <w:rFonts w:cs="Arial"/>
          <w:sz w:val="16"/>
          <w:szCs w:val="16"/>
          <w:rtl/>
        </w:rPr>
        <w:t>סי' ה-ו)</w:t>
      </w:r>
      <w:r w:rsidR="004D4602">
        <w:rPr>
          <w:rFonts w:cs="Arial" w:hint="cs"/>
          <w:rtl/>
        </w:rPr>
        <w:t xml:space="preserve"> ו</w:t>
      </w:r>
      <w:r w:rsidR="002D7DC1" w:rsidRPr="00384843">
        <w:rPr>
          <w:rFonts w:cs="Arial" w:hint="cs"/>
          <w:rtl/>
        </w:rPr>
        <w:t>טור</w:t>
      </w:r>
      <w:r w:rsidR="008006DC">
        <w:rPr>
          <w:rStyle w:val="ab"/>
          <w:rFonts w:cs="Arial"/>
          <w:rtl/>
        </w:rPr>
        <w:footnoteReference w:id="1122"/>
      </w:r>
      <w:r w:rsidR="008006DC" w:rsidRPr="008006DC">
        <w:rPr>
          <w:rFonts w:cs="Arial" w:hint="cs"/>
          <w:rtl/>
        </w:rPr>
        <w:t xml:space="preserve">- </w:t>
      </w:r>
      <w:r w:rsidR="008006DC" w:rsidRPr="008006DC">
        <w:rPr>
          <w:rFonts w:cs="Arial"/>
          <w:rtl/>
        </w:rPr>
        <w:t xml:space="preserve">מי שנתחייב לחברו שבועה בבית דין ואמר לו </w:t>
      </w:r>
      <w:r w:rsidR="00113B43">
        <w:rPr>
          <w:rFonts w:cs="Arial" w:hint="cs"/>
          <w:rtl/>
        </w:rPr>
        <w:t>'</w:t>
      </w:r>
      <w:r w:rsidR="008006DC" w:rsidRPr="008006DC">
        <w:rPr>
          <w:rFonts w:cs="Arial"/>
          <w:rtl/>
        </w:rPr>
        <w:t>השבע לי בחיי ראשך והפטר</w:t>
      </w:r>
      <w:r w:rsidR="00113B43">
        <w:rPr>
          <w:rFonts w:cs="Arial" w:hint="cs"/>
          <w:rtl/>
        </w:rPr>
        <w:t>'</w:t>
      </w:r>
      <w:r w:rsidR="008006DC" w:rsidRPr="008006DC">
        <w:rPr>
          <w:rFonts w:cs="Arial"/>
          <w:rtl/>
        </w:rPr>
        <w:t xml:space="preserve"> או </w:t>
      </w:r>
      <w:r w:rsidR="00113B43">
        <w:rPr>
          <w:rFonts w:cs="Arial" w:hint="cs"/>
          <w:rtl/>
        </w:rPr>
        <w:t>'</w:t>
      </w:r>
      <w:r w:rsidR="008006DC" w:rsidRPr="008006DC">
        <w:rPr>
          <w:rFonts w:cs="Arial"/>
          <w:rtl/>
        </w:rPr>
        <w:t>השבע לי בחיי ראשך ואתן לך כל מה שתטעון</w:t>
      </w:r>
      <w:r w:rsidR="00113B43">
        <w:rPr>
          <w:rFonts w:cs="Arial" w:hint="cs"/>
          <w:rtl/>
        </w:rPr>
        <w:t>'</w:t>
      </w:r>
      <w:r w:rsidR="008006DC" w:rsidRPr="008006DC">
        <w:rPr>
          <w:rFonts w:cs="Arial" w:hint="cs"/>
          <w:rtl/>
        </w:rPr>
        <w:t>,</w:t>
      </w:r>
      <w:r w:rsidR="008006DC" w:rsidRPr="008006DC">
        <w:rPr>
          <w:rFonts w:cs="Arial"/>
          <w:rtl/>
        </w:rPr>
        <w:t xml:space="preserve"> אם קנו מידו</w:t>
      </w:r>
      <w:r w:rsidR="006E1986">
        <w:rPr>
          <w:rFonts w:cs="Arial" w:hint="cs"/>
          <w:rtl/>
        </w:rPr>
        <w:t xml:space="preserve"> -</w:t>
      </w:r>
      <w:r w:rsidR="008006DC" w:rsidRPr="008006DC">
        <w:rPr>
          <w:rFonts w:cs="Arial"/>
          <w:rtl/>
        </w:rPr>
        <w:t xml:space="preserve"> אינו יכול לחזור בו</w:t>
      </w:r>
      <w:r w:rsidR="00113B43">
        <w:rPr>
          <w:rFonts w:cs="Arial" w:hint="cs"/>
          <w:rtl/>
        </w:rPr>
        <w:t>.</w:t>
      </w:r>
      <w:r w:rsidR="008006DC" w:rsidRPr="008006DC">
        <w:rPr>
          <w:rFonts w:cs="Arial"/>
          <w:rtl/>
        </w:rPr>
        <w:t xml:space="preserve"> ואם לא קנו מידו </w:t>
      </w:r>
      <w:r w:rsidR="006E1986">
        <w:rPr>
          <w:rFonts w:cs="Arial" w:hint="cs"/>
          <w:rtl/>
        </w:rPr>
        <w:t xml:space="preserve">- </w:t>
      </w:r>
      <w:r w:rsidR="008006DC" w:rsidRPr="008006DC">
        <w:rPr>
          <w:rFonts w:cs="Arial"/>
          <w:rtl/>
        </w:rPr>
        <w:t>יכול לחזור בו עד שיגמר הדין</w:t>
      </w:r>
      <w:r w:rsidR="00113B43">
        <w:rPr>
          <w:rFonts w:cs="Arial" w:hint="cs"/>
          <w:rtl/>
        </w:rPr>
        <w:t>.</w:t>
      </w:r>
      <w:r w:rsidR="008006DC" w:rsidRPr="008006DC">
        <w:rPr>
          <w:rFonts w:cs="Arial"/>
          <w:rtl/>
        </w:rPr>
        <w:t xml:space="preserve"> נגמר הדין ונשבע כמו שאמר לו </w:t>
      </w:r>
      <w:r w:rsidR="008006DC" w:rsidRPr="008006DC">
        <w:rPr>
          <w:rFonts w:cs="Arial" w:hint="cs"/>
          <w:rtl/>
        </w:rPr>
        <w:t xml:space="preserve">- </w:t>
      </w:r>
      <w:r w:rsidR="008006DC" w:rsidRPr="008006DC">
        <w:rPr>
          <w:rFonts w:cs="Arial"/>
          <w:rtl/>
        </w:rPr>
        <w:t>אינו יכול לחזור וחייב לשלם</w:t>
      </w:r>
      <w:r>
        <w:rPr>
          <w:rStyle w:val="ab"/>
          <w:rFonts w:cs="Arial"/>
          <w:rtl/>
        </w:rPr>
        <w:footnoteReference w:id="1123"/>
      </w:r>
      <w:r w:rsidR="008006DC" w:rsidRPr="008006DC">
        <w:rPr>
          <w:rFonts w:cs="Arial"/>
          <w:rtl/>
        </w:rPr>
        <w:t>. והוא הדין למי שנתחייב שבועת היסת והפכה</w:t>
      </w:r>
      <w:r w:rsidR="006E1986">
        <w:rPr>
          <w:rFonts w:cs="Arial" w:hint="cs"/>
          <w:rtl/>
        </w:rPr>
        <w:t>,</w:t>
      </w:r>
      <w:r w:rsidR="008006DC" w:rsidRPr="008006DC">
        <w:rPr>
          <w:rFonts w:cs="Arial"/>
          <w:rtl/>
        </w:rPr>
        <w:t xml:space="preserve"> אם קנו מידו או נשבע זה שנהפכה עליו </w:t>
      </w:r>
      <w:r w:rsidR="006E1986">
        <w:rPr>
          <w:rFonts w:cs="Arial" w:hint="cs"/>
          <w:rtl/>
        </w:rPr>
        <w:t xml:space="preserve">- </w:t>
      </w:r>
      <w:r w:rsidR="008006DC" w:rsidRPr="008006DC">
        <w:rPr>
          <w:rFonts w:cs="Arial"/>
          <w:rtl/>
        </w:rPr>
        <w:t>אינו יכול לחזור בו. והוא הדין במי שלא היה חייב שבועה ואמר אשבע לך שבועה</w:t>
      </w:r>
      <w:r w:rsidR="008006DC" w:rsidRPr="008006DC">
        <w:rPr>
          <w:rFonts w:cs="Arial" w:hint="cs"/>
          <w:rtl/>
        </w:rPr>
        <w:t>,</w:t>
      </w:r>
      <w:r w:rsidR="008006DC" w:rsidRPr="008006DC">
        <w:rPr>
          <w:rFonts w:cs="Arial"/>
          <w:rtl/>
        </w:rPr>
        <w:t xml:space="preserve"> אם קנו מידו </w:t>
      </w:r>
      <w:r w:rsidR="006E1986">
        <w:rPr>
          <w:rFonts w:cs="Arial" w:hint="cs"/>
          <w:rtl/>
        </w:rPr>
        <w:t xml:space="preserve">- </w:t>
      </w:r>
      <w:r w:rsidR="008006DC" w:rsidRPr="008006DC">
        <w:rPr>
          <w:rFonts w:cs="Arial"/>
          <w:rtl/>
        </w:rPr>
        <w:t>אינו יכול לחזור בו</w:t>
      </w:r>
      <w:r w:rsidR="00113B43">
        <w:rPr>
          <w:rFonts w:cs="Arial" w:hint="cs"/>
          <w:rtl/>
        </w:rPr>
        <w:t>.</w:t>
      </w:r>
      <w:r w:rsidR="008006DC" w:rsidRPr="008006DC">
        <w:rPr>
          <w:rFonts w:cs="Arial"/>
          <w:rtl/>
        </w:rPr>
        <w:t xml:space="preserve"> ואם לא קנו מידו אע</w:t>
      </w:r>
      <w:r w:rsidR="006E1986">
        <w:rPr>
          <w:rFonts w:cs="Arial" w:hint="cs"/>
          <w:rtl/>
        </w:rPr>
        <w:t>"</w:t>
      </w:r>
      <w:r w:rsidR="008006DC" w:rsidRPr="008006DC">
        <w:rPr>
          <w:rFonts w:cs="Arial"/>
          <w:rtl/>
        </w:rPr>
        <w:t>פ שקבל בבית דין</w:t>
      </w:r>
      <w:r w:rsidR="006E1986">
        <w:rPr>
          <w:rFonts w:cs="Arial" w:hint="cs"/>
          <w:rtl/>
        </w:rPr>
        <w:t xml:space="preserve"> -</w:t>
      </w:r>
      <w:r w:rsidR="008006DC" w:rsidRPr="008006DC">
        <w:rPr>
          <w:rFonts w:cs="Arial"/>
          <w:rtl/>
        </w:rPr>
        <w:t xml:space="preserve"> חוזר עד שיגמר הדין וישבע</w:t>
      </w:r>
      <w:r w:rsidR="008006DC">
        <w:rPr>
          <w:rFonts w:cs="Arial" w:hint="cs"/>
          <w:sz w:val="16"/>
          <w:szCs w:val="16"/>
          <w:rtl/>
        </w:rPr>
        <w:t xml:space="preserve"> (ל' הרמב"ם)</w:t>
      </w:r>
      <w:r w:rsidR="008006DC" w:rsidRPr="008006DC">
        <w:rPr>
          <w:rFonts w:cs="Arial"/>
          <w:rtl/>
        </w:rPr>
        <w:t xml:space="preserve">. </w:t>
      </w:r>
      <w:r w:rsidR="008006DC" w:rsidRPr="008006DC">
        <w:rPr>
          <w:rFonts w:hint="cs"/>
          <w:color w:val="E36C0A" w:themeColor="accent6" w:themeShade="BF"/>
          <w:rtl/>
        </w:rPr>
        <w:t>(וכ"פ בשו"ע)</w:t>
      </w:r>
    </w:p>
    <w:p w14:paraId="1A4A392C" w14:textId="77777777" w:rsidR="004E5AF3" w:rsidRDefault="008006DC" w:rsidP="004B0475">
      <w:pPr>
        <w:pStyle w:val="ac"/>
        <w:numPr>
          <w:ilvl w:val="0"/>
          <w:numId w:val="30"/>
        </w:numPr>
        <w:rPr>
          <w:rFonts w:cs="Arial"/>
        </w:rPr>
      </w:pPr>
      <w:r w:rsidRPr="00A50EA4">
        <w:rPr>
          <w:rFonts w:cs="Arial"/>
          <w:rtl/>
        </w:rPr>
        <w:t>רי"ף</w:t>
      </w:r>
      <w:r w:rsidR="00A50EA4" w:rsidRPr="007F1C7A">
        <w:rPr>
          <w:rStyle w:val="ab"/>
          <w:rFonts w:cs="Arial"/>
          <w:rtl/>
        </w:rPr>
        <w:footnoteReference w:id="1124"/>
      </w:r>
      <w:r w:rsidR="00A50EA4" w:rsidRPr="00A50EA4">
        <w:rPr>
          <w:rFonts w:cs="Arial"/>
          <w:rtl/>
        </w:rPr>
        <w:t xml:space="preserve"> </w:t>
      </w:r>
      <w:r w:rsidR="004E5AF3" w:rsidRPr="00A50EA4">
        <w:rPr>
          <w:rFonts w:cs="Arial" w:hint="cs"/>
          <w:rtl/>
        </w:rPr>
        <w:t xml:space="preserve">(רש"י </w:t>
      </w:r>
      <w:r w:rsidR="004E5AF3" w:rsidRPr="00A50EA4">
        <w:rPr>
          <w:rFonts w:cs="Arial" w:hint="cs"/>
          <w:sz w:val="16"/>
          <w:szCs w:val="16"/>
          <w:rtl/>
        </w:rPr>
        <w:t>להב' הר"ן</w:t>
      </w:r>
      <w:r w:rsidR="00322162">
        <w:rPr>
          <w:rStyle w:val="ab"/>
          <w:rFonts w:cs="Arial"/>
          <w:rtl/>
        </w:rPr>
        <w:footnoteReference w:id="1125"/>
      </w:r>
      <w:r w:rsidR="004E5AF3" w:rsidRPr="00A50EA4">
        <w:rPr>
          <w:rFonts w:cs="Arial" w:hint="cs"/>
          <w:rtl/>
        </w:rPr>
        <w:t xml:space="preserve">) </w:t>
      </w:r>
      <w:r w:rsidR="00A50EA4" w:rsidRPr="00A50EA4">
        <w:rPr>
          <w:rFonts w:cs="Arial"/>
          <w:rtl/>
        </w:rPr>
        <w:t>רמב"ן רשב"א</w:t>
      </w:r>
      <w:r w:rsidR="00A50EA4" w:rsidRPr="00A50EA4">
        <w:rPr>
          <w:rFonts w:cs="Arial"/>
          <w:sz w:val="16"/>
          <w:szCs w:val="16"/>
          <w:rtl/>
        </w:rPr>
        <w:t xml:space="preserve"> </w:t>
      </w:r>
      <w:r w:rsidR="00A5530C" w:rsidRPr="00A50EA4">
        <w:rPr>
          <w:rFonts w:cs="Arial"/>
          <w:rtl/>
        </w:rPr>
        <w:t>ר"ן נמוק</w:t>
      </w:r>
      <w:r w:rsidR="00A5530C" w:rsidRPr="00A50EA4">
        <w:rPr>
          <w:rFonts w:cs="Arial" w:hint="cs"/>
          <w:rtl/>
        </w:rPr>
        <w:t>"</w:t>
      </w:r>
      <w:r w:rsidR="00A5530C" w:rsidRPr="00A50EA4">
        <w:rPr>
          <w:rFonts w:cs="Arial"/>
          <w:rtl/>
        </w:rPr>
        <w:t xml:space="preserve">י </w:t>
      </w:r>
      <w:r w:rsidR="00304869">
        <w:rPr>
          <w:rStyle w:val="ab"/>
          <w:rFonts w:cs="Arial"/>
          <w:rtl/>
        </w:rPr>
        <w:footnoteReference w:id="1126"/>
      </w:r>
      <w:r w:rsidR="004E5AF3">
        <w:rPr>
          <w:rFonts w:cs="Arial" w:hint="cs"/>
          <w:rtl/>
        </w:rPr>
        <w:t>ו</w:t>
      </w:r>
      <w:r w:rsidR="004E5AF3" w:rsidRPr="00A50EA4">
        <w:rPr>
          <w:rFonts w:cs="Arial"/>
          <w:rtl/>
        </w:rPr>
        <w:t>ריב"ש</w:t>
      </w:r>
      <w:r w:rsidR="00304869">
        <w:rPr>
          <w:rStyle w:val="ab"/>
          <w:rFonts w:cs="Arial"/>
          <w:rtl/>
        </w:rPr>
        <w:footnoteReference w:id="1127"/>
      </w:r>
      <w:r w:rsidR="004E5AF3">
        <w:rPr>
          <w:rFonts w:cs="Arial" w:hint="cs"/>
          <w:rtl/>
        </w:rPr>
        <w:t>-</w:t>
      </w:r>
      <w:r w:rsidR="00304869">
        <w:rPr>
          <w:rFonts w:cs="Arial" w:hint="cs"/>
          <w:rtl/>
        </w:rPr>
        <w:t xml:space="preserve"> </w:t>
      </w:r>
      <w:r w:rsidR="00A5530C">
        <w:rPr>
          <w:rStyle w:val="ab"/>
          <w:rFonts w:cs="Arial"/>
          <w:rtl/>
        </w:rPr>
        <w:footnoteReference w:id="1128"/>
      </w:r>
      <w:r w:rsidR="00A5530C" w:rsidRPr="00A50EA4">
        <w:rPr>
          <w:rFonts w:cs="Arial"/>
          <w:rtl/>
        </w:rPr>
        <w:t xml:space="preserve">כיון דאמר כן בבית דין </w:t>
      </w:r>
      <w:r w:rsidR="00C97BCF">
        <w:rPr>
          <w:rFonts w:cs="Arial" w:hint="cs"/>
          <w:rtl/>
        </w:rPr>
        <w:t xml:space="preserve">- </w:t>
      </w:r>
      <w:r w:rsidR="00A5530C" w:rsidRPr="00A50EA4">
        <w:rPr>
          <w:rFonts w:cs="Arial"/>
          <w:rtl/>
        </w:rPr>
        <w:t>שוב אינו יכול לחזור בו וסמכה דעתיה</w:t>
      </w:r>
      <w:r w:rsidR="00304869">
        <w:rPr>
          <w:rFonts w:cs="Arial" w:hint="cs"/>
          <w:sz w:val="16"/>
          <w:szCs w:val="16"/>
          <w:rtl/>
        </w:rPr>
        <w:t xml:space="preserve"> (ל' הנמוק"י)</w:t>
      </w:r>
      <w:r w:rsidR="00A5530C">
        <w:rPr>
          <w:rStyle w:val="ab"/>
          <w:rFonts w:cs="Arial"/>
          <w:rtl/>
        </w:rPr>
        <w:footnoteReference w:id="1129"/>
      </w:r>
      <w:r w:rsidR="004E5AF3">
        <w:rPr>
          <w:rFonts w:cs="Arial" w:hint="cs"/>
          <w:rtl/>
        </w:rPr>
        <w:t>.</w:t>
      </w:r>
      <w:r w:rsidR="00A5530C" w:rsidRPr="00A50EA4">
        <w:rPr>
          <w:rFonts w:cs="Arial"/>
          <w:rtl/>
        </w:rPr>
        <w:t xml:space="preserve"> </w:t>
      </w:r>
      <w:r w:rsidR="004D3578">
        <w:rPr>
          <w:rFonts w:cs="Arial" w:hint="cs"/>
          <w:rtl/>
        </w:rPr>
        <w:t>(וכ"פ הש"ך</w:t>
      </w:r>
      <w:r w:rsidR="004D3578">
        <w:rPr>
          <w:rFonts w:cs="Arial" w:hint="cs"/>
          <w:sz w:val="16"/>
          <w:szCs w:val="16"/>
          <w:rtl/>
        </w:rPr>
        <w:t xml:space="preserve"> [סקט"ז]</w:t>
      </w:r>
      <w:r w:rsidR="004D3578">
        <w:rPr>
          <w:rFonts w:cs="Arial" w:hint="cs"/>
          <w:rtl/>
        </w:rPr>
        <w:t>)</w:t>
      </w:r>
    </w:p>
    <w:p w14:paraId="2C800675" w14:textId="77777777" w:rsidR="00304869" w:rsidRPr="00183806" w:rsidRDefault="00183806" w:rsidP="00183806">
      <w:pPr>
        <w:ind w:left="360"/>
        <w:rPr>
          <w:u w:val="dotted"/>
        </w:rPr>
      </w:pPr>
      <w:r>
        <w:rPr>
          <w:rFonts w:hint="cs"/>
          <w:u w:val="dotted"/>
          <w:rtl/>
        </w:rPr>
        <w:t xml:space="preserve">ומה הדין אם </w:t>
      </w:r>
      <w:r w:rsidR="00304869" w:rsidRPr="00183806">
        <w:rPr>
          <w:rFonts w:hint="cs"/>
          <w:u w:val="dotted"/>
          <w:rtl/>
        </w:rPr>
        <w:t xml:space="preserve">אמר 'איני רוצה להשבע אלא לשלם' </w:t>
      </w:r>
      <w:r w:rsidR="00304869" w:rsidRPr="00183806">
        <w:rPr>
          <w:u w:val="dotted"/>
          <w:rtl/>
        </w:rPr>
        <w:t>–</w:t>
      </w:r>
      <w:r w:rsidR="00304869" w:rsidRPr="00183806">
        <w:rPr>
          <w:rFonts w:hint="cs"/>
          <w:u w:val="dotted"/>
          <w:rtl/>
        </w:rPr>
        <w:t xml:space="preserve"> עד מתי יכול לחזור בו:</w:t>
      </w:r>
    </w:p>
    <w:p w14:paraId="46847631" w14:textId="77777777" w:rsidR="00304869" w:rsidRDefault="00304869" w:rsidP="004B0475">
      <w:pPr>
        <w:pStyle w:val="ac"/>
        <w:numPr>
          <w:ilvl w:val="0"/>
          <w:numId w:val="30"/>
        </w:numPr>
      </w:pPr>
      <w:r w:rsidRPr="004D4602">
        <w:rPr>
          <w:rFonts w:cs="Arial"/>
          <w:rtl/>
        </w:rPr>
        <w:t xml:space="preserve">רא"ש </w:t>
      </w:r>
      <w:r w:rsidRPr="004D4602">
        <w:rPr>
          <w:rFonts w:cs="Arial"/>
          <w:sz w:val="16"/>
          <w:szCs w:val="16"/>
          <w:rtl/>
        </w:rPr>
        <w:t>(</w:t>
      </w:r>
      <w:r w:rsidRPr="004D4602">
        <w:rPr>
          <w:rFonts w:cs="Arial" w:hint="cs"/>
          <w:sz w:val="16"/>
          <w:szCs w:val="16"/>
          <w:rtl/>
        </w:rPr>
        <w:t xml:space="preserve">פ' זה בורר </w:t>
      </w:r>
      <w:r w:rsidRPr="004D4602">
        <w:rPr>
          <w:rFonts w:cs="Arial"/>
          <w:sz w:val="16"/>
          <w:szCs w:val="16"/>
          <w:rtl/>
        </w:rPr>
        <w:t>סי' ה-ו)</w:t>
      </w:r>
      <w:r>
        <w:rPr>
          <w:rFonts w:cs="Arial" w:hint="cs"/>
          <w:rtl/>
        </w:rPr>
        <w:t xml:space="preserve"> ו</w:t>
      </w:r>
      <w:r w:rsidRPr="00384843">
        <w:rPr>
          <w:rFonts w:cs="Arial" w:hint="cs"/>
          <w:rtl/>
        </w:rPr>
        <w:t xml:space="preserve">טור- וכן </w:t>
      </w:r>
      <w:r w:rsidRPr="00384843">
        <w:rPr>
          <w:rFonts w:cs="Arial"/>
          <w:rtl/>
        </w:rPr>
        <w:t xml:space="preserve">מי שנתחייב שבועה בב"ד ואמר איני רוצה לישבע אלא לשלם </w:t>
      </w:r>
      <w:r w:rsidR="00C54B68">
        <w:rPr>
          <w:rFonts w:cs="Arial" w:hint="cs"/>
          <w:rtl/>
        </w:rPr>
        <w:t xml:space="preserve">- </w:t>
      </w:r>
      <w:r w:rsidRPr="00384843">
        <w:rPr>
          <w:rFonts w:cs="Arial"/>
          <w:rtl/>
        </w:rPr>
        <w:t xml:space="preserve">יכול לחזור בו כל זמן שלא שילם </w:t>
      </w:r>
      <w:r>
        <w:rPr>
          <w:rFonts w:cs="Arial" w:hint="cs"/>
          <w:sz w:val="16"/>
          <w:szCs w:val="16"/>
          <w:rtl/>
        </w:rPr>
        <w:t>(ל' הטור)</w:t>
      </w:r>
      <w:r>
        <w:rPr>
          <w:rFonts w:cs="Arial" w:hint="cs"/>
          <w:rtl/>
        </w:rPr>
        <w:t>.</w:t>
      </w:r>
    </w:p>
    <w:p w14:paraId="62B71EC6" w14:textId="77777777" w:rsidR="00304869" w:rsidRDefault="00304869" w:rsidP="004B0475">
      <w:pPr>
        <w:pStyle w:val="ac"/>
        <w:numPr>
          <w:ilvl w:val="0"/>
          <w:numId w:val="30"/>
        </w:numPr>
      </w:pPr>
      <w:r w:rsidRPr="00A50EA4">
        <w:rPr>
          <w:rFonts w:cs="Arial"/>
          <w:rtl/>
        </w:rPr>
        <w:t xml:space="preserve">ר"ן </w:t>
      </w:r>
      <w:r w:rsidRPr="00A50EA4">
        <w:rPr>
          <w:rFonts w:cs="Arial"/>
          <w:sz w:val="16"/>
          <w:szCs w:val="16"/>
          <w:rtl/>
        </w:rPr>
        <w:t>(ר</w:t>
      </w:r>
      <w:r w:rsidRPr="00A50EA4">
        <w:rPr>
          <w:rFonts w:cs="Arial" w:hint="cs"/>
          <w:sz w:val="16"/>
          <w:szCs w:val="16"/>
          <w:rtl/>
        </w:rPr>
        <w:t>"</w:t>
      </w:r>
      <w:r w:rsidRPr="00A50EA4">
        <w:rPr>
          <w:rFonts w:cs="Arial"/>
          <w:sz w:val="16"/>
          <w:szCs w:val="16"/>
          <w:rtl/>
        </w:rPr>
        <w:t xml:space="preserve">פ המפקיד חי' לד:) </w:t>
      </w:r>
      <w:r>
        <w:rPr>
          <w:rFonts w:cs="Arial" w:hint="cs"/>
          <w:rtl/>
        </w:rPr>
        <w:t>ו</w:t>
      </w:r>
      <w:r w:rsidRPr="00A50EA4">
        <w:rPr>
          <w:rFonts w:cs="Arial"/>
          <w:rtl/>
        </w:rPr>
        <w:t>נמוק</w:t>
      </w:r>
      <w:r w:rsidRPr="00A50EA4">
        <w:rPr>
          <w:rFonts w:cs="Arial" w:hint="cs"/>
          <w:rtl/>
        </w:rPr>
        <w:t>"</w:t>
      </w:r>
      <w:r w:rsidRPr="00A50EA4">
        <w:rPr>
          <w:rFonts w:cs="Arial"/>
          <w:rtl/>
        </w:rPr>
        <w:t xml:space="preserve">י </w:t>
      </w:r>
      <w:r w:rsidRPr="00A50EA4">
        <w:rPr>
          <w:rFonts w:cs="Arial"/>
          <w:sz w:val="16"/>
          <w:szCs w:val="16"/>
          <w:rtl/>
        </w:rPr>
        <w:t>(ר</w:t>
      </w:r>
      <w:r w:rsidRPr="00A50EA4">
        <w:rPr>
          <w:rFonts w:cs="Arial" w:hint="cs"/>
          <w:sz w:val="16"/>
          <w:szCs w:val="16"/>
          <w:rtl/>
        </w:rPr>
        <w:t>"</w:t>
      </w:r>
      <w:r w:rsidRPr="00A50EA4">
        <w:rPr>
          <w:rFonts w:cs="Arial"/>
          <w:sz w:val="16"/>
          <w:szCs w:val="16"/>
          <w:rtl/>
        </w:rPr>
        <w:t>פ המפקיד יח:)</w:t>
      </w:r>
      <w:r>
        <w:rPr>
          <w:rFonts w:cs="Arial" w:hint="cs"/>
          <w:rtl/>
        </w:rPr>
        <w:t xml:space="preserve">- </w:t>
      </w:r>
      <w:r w:rsidRPr="00A50EA4">
        <w:rPr>
          <w:rFonts w:cs="Arial"/>
          <w:rtl/>
        </w:rPr>
        <w:t>כיון דאמר כן בבית דין שוב אינו יכול לחזור בו וסמכה דעתיה</w:t>
      </w:r>
      <w:r>
        <w:rPr>
          <w:rFonts w:hint="cs"/>
          <w:rtl/>
        </w:rPr>
        <w:t>.</w:t>
      </w:r>
    </w:p>
    <w:p w14:paraId="26247E21" w14:textId="77777777" w:rsidR="004E5AF3" w:rsidRDefault="004E5AF3" w:rsidP="004E5AF3">
      <w:pPr>
        <w:rPr>
          <w:rtl/>
        </w:rPr>
      </w:pPr>
      <w:r w:rsidRPr="004E5AF3">
        <w:rPr>
          <w:rFonts w:cs="Arial" w:hint="cs"/>
          <w:b/>
          <w:bCs/>
          <w:rtl/>
        </w:rPr>
        <w:t>שבועות לט</w:t>
      </w:r>
      <w:r w:rsidR="00107824">
        <w:rPr>
          <w:rStyle w:val="ab"/>
          <w:rFonts w:cs="Arial"/>
          <w:b/>
          <w:bCs/>
          <w:rtl/>
        </w:rPr>
        <w:footnoteReference w:id="1130"/>
      </w:r>
      <w:r w:rsidRPr="004E5AF3">
        <w:rPr>
          <w:rFonts w:cs="Arial" w:hint="cs"/>
          <w:b/>
          <w:bCs/>
          <w:rtl/>
        </w:rPr>
        <w:t xml:space="preserve"> ע"א: </w:t>
      </w:r>
      <w:r w:rsidRPr="004E5AF3">
        <w:rPr>
          <w:rFonts w:cs="Arial"/>
          <w:rtl/>
        </w:rPr>
        <w:t>אם אמר איני נשבע - פוטרין אותו מיד</w:t>
      </w:r>
      <w:r>
        <w:rPr>
          <w:rStyle w:val="ab"/>
          <w:rFonts w:cs="Arial"/>
          <w:rtl/>
        </w:rPr>
        <w:footnoteReference w:id="1131"/>
      </w:r>
      <w:r w:rsidRPr="004E5AF3">
        <w:rPr>
          <w:rFonts w:cs="Arial" w:hint="cs"/>
          <w:rtl/>
        </w:rPr>
        <w:t>.</w:t>
      </w:r>
    </w:p>
    <w:p w14:paraId="6107768D" w14:textId="77777777" w:rsidR="004E5AF3" w:rsidRPr="007F1C7A" w:rsidRDefault="004E5AF3" w:rsidP="004E5AF3">
      <w:pPr>
        <w:rPr>
          <w:u w:val="single"/>
        </w:rPr>
      </w:pPr>
      <w:r w:rsidRPr="007F1C7A">
        <w:rPr>
          <w:rFonts w:hint="cs"/>
          <w:u w:val="single"/>
          <w:rtl/>
        </w:rPr>
        <w:t xml:space="preserve">לרי"ף וסיעתו </w:t>
      </w:r>
      <w:r w:rsidRPr="007F1C7A">
        <w:rPr>
          <w:u w:val="single"/>
          <w:rtl/>
        </w:rPr>
        <w:t>–</w:t>
      </w:r>
      <w:r w:rsidRPr="007F1C7A">
        <w:rPr>
          <w:rFonts w:hint="cs"/>
          <w:u w:val="single"/>
          <w:rtl/>
        </w:rPr>
        <w:t xml:space="preserve"> האם </w:t>
      </w:r>
      <w:r w:rsidR="007B12F6">
        <w:rPr>
          <w:rFonts w:hint="cs"/>
          <w:u w:val="single"/>
          <w:rtl/>
        </w:rPr>
        <w:t xml:space="preserve">בית הדין </w:t>
      </w:r>
      <w:r w:rsidRPr="007F1C7A">
        <w:rPr>
          <w:rFonts w:hint="cs"/>
          <w:u w:val="single"/>
          <w:rtl/>
        </w:rPr>
        <w:t>צריך לעסוק בדברים אחרים כדי ש</w:t>
      </w:r>
      <w:r w:rsidR="007F1C7A" w:rsidRPr="007F1C7A">
        <w:rPr>
          <w:rFonts w:hint="cs"/>
          <w:u w:val="single"/>
          <w:rtl/>
        </w:rPr>
        <w:t>לא יוכל לחזור בו:</w:t>
      </w:r>
    </w:p>
    <w:p w14:paraId="765BF2C2" w14:textId="77777777" w:rsidR="00A5530C" w:rsidRPr="004E5AF3" w:rsidRDefault="00304869" w:rsidP="004B0475">
      <w:pPr>
        <w:pStyle w:val="ac"/>
        <w:numPr>
          <w:ilvl w:val="0"/>
          <w:numId w:val="30"/>
        </w:numPr>
        <w:rPr>
          <w:rFonts w:cs="Arial"/>
        </w:rPr>
      </w:pPr>
      <w:r w:rsidRPr="00A50EA4">
        <w:rPr>
          <w:rFonts w:cs="Arial" w:hint="cs"/>
          <w:rtl/>
        </w:rPr>
        <w:t xml:space="preserve">(רש"י </w:t>
      </w:r>
      <w:r w:rsidRPr="00A50EA4">
        <w:rPr>
          <w:rFonts w:cs="Arial" w:hint="cs"/>
          <w:sz w:val="16"/>
          <w:szCs w:val="16"/>
          <w:rtl/>
        </w:rPr>
        <w:t>[שבועות לט. ד"ה פוטרין] להב' הר"ן</w:t>
      </w:r>
      <w:r>
        <w:rPr>
          <w:rStyle w:val="ab"/>
          <w:rFonts w:cs="Arial"/>
          <w:sz w:val="16"/>
          <w:szCs w:val="16"/>
          <w:rtl/>
        </w:rPr>
        <w:footnoteReference w:id="1132"/>
      </w:r>
      <w:r w:rsidRPr="00A50EA4">
        <w:rPr>
          <w:rFonts w:cs="Arial" w:hint="cs"/>
          <w:rtl/>
        </w:rPr>
        <w:t>)</w:t>
      </w:r>
      <w:r>
        <w:rPr>
          <w:rFonts w:cs="Arial" w:hint="cs"/>
          <w:rtl/>
        </w:rPr>
        <w:t xml:space="preserve"> </w:t>
      </w:r>
      <w:r w:rsidR="004E5AF3">
        <w:rPr>
          <w:rFonts w:cs="Arial" w:hint="cs"/>
          <w:rtl/>
        </w:rPr>
        <w:t xml:space="preserve">נמוק"י </w:t>
      </w:r>
      <w:r w:rsidR="007F1C7A" w:rsidRPr="00A50EA4">
        <w:rPr>
          <w:rFonts w:cs="Arial"/>
          <w:sz w:val="16"/>
          <w:szCs w:val="16"/>
          <w:rtl/>
        </w:rPr>
        <w:t>(ר</w:t>
      </w:r>
      <w:r w:rsidR="007F1C7A" w:rsidRPr="00A50EA4">
        <w:rPr>
          <w:rFonts w:cs="Arial" w:hint="cs"/>
          <w:sz w:val="16"/>
          <w:szCs w:val="16"/>
          <w:rtl/>
        </w:rPr>
        <w:t>"</w:t>
      </w:r>
      <w:r w:rsidR="007F1C7A" w:rsidRPr="00A50EA4">
        <w:rPr>
          <w:rFonts w:cs="Arial"/>
          <w:sz w:val="16"/>
          <w:szCs w:val="16"/>
          <w:rtl/>
        </w:rPr>
        <w:t>פ המפקיד יח:</w:t>
      </w:r>
      <w:r w:rsidR="007F1C7A">
        <w:rPr>
          <w:rFonts w:cs="Arial" w:hint="cs"/>
          <w:sz w:val="16"/>
          <w:szCs w:val="16"/>
          <w:rtl/>
        </w:rPr>
        <w:t xml:space="preserve"> שם)</w:t>
      </w:r>
      <w:r w:rsidR="007F1C7A">
        <w:rPr>
          <w:rFonts w:cs="Arial" w:hint="cs"/>
          <w:rtl/>
        </w:rPr>
        <w:t xml:space="preserve"> </w:t>
      </w:r>
      <w:r w:rsidR="004E5AF3">
        <w:rPr>
          <w:rFonts w:cs="Arial" w:hint="cs"/>
          <w:rtl/>
        </w:rPr>
        <w:t>ור"ן</w:t>
      </w:r>
      <w:r w:rsidR="007F1C7A" w:rsidRPr="007F1C7A">
        <w:rPr>
          <w:rFonts w:cs="Arial" w:hint="cs"/>
          <w:sz w:val="16"/>
          <w:szCs w:val="16"/>
          <w:rtl/>
        </w:rPr>
        <w:t xml:space="preserve"> </w:t>
      </w:r>
      <w:r w:rsidR="007F1C7A">
        <w:rPr>
          <w:rFonts w:cs="Arial" w:hint="cs"/>
          <w:sz w:val="16"/>
          <w:szCs w:val="16"/>
          <w:rtl/>
        </w:rPr>
        <w:t>(שם)</w:t>
      </w:r>
      <w:r w:rsidR="004E5AF3">
        <w:rPr>
          <w:rFonts w:cs="Arial" w:hint="cs"/>
          <w:rtl/>
        </w:rPr>
        <w:t xml:space="preserve">- </w:t>
      </w:r>
      <w:r w:rsidR="00A5530C" w:rsidRPr="00A50EA4">
        <w:rPr>
          <w:rFonts w:cs="Arial"/>
          <w:rtl/>
        </w:rPr>
        <w:t>יש להם לעסוק תכף בדברים אחרים כדי שלא יהיו עסוקים באותו ענין ולא יוכל לחזור בו</w:t>
      </w:r>
      <w:r w:rsidR="00A5530C" w:rsidRPr="00A50EA4">
        <w:rPr>
          <w:rFonts w:cs="Arial" w:hint="cs"/>
          <w:rtl/>
        </w:rPr>
        <w:t xml:space="preserve"> </w:t>
      </w:r>
      <w:r w:rsidR="00A5530C" w:rsidRPr="00A50EA4">
        <w:rPr>
          <w:rFonts w:cs="Arial" w:hint="cs"/>
          <w:sz w:val="16"/>
          <w:szCs w:val="16"/>
          <w:rtl/>
        </w:rPr>
        <w:t>(ל' הנמוק"י)</w:t>
      </w:r>
      <w:r w:rsidR="004E5AF3">
        <w:rPr>
          <w:rFonts w:cs="Arial" w:hint="cs"/>
          <w:rtl/>
        </w:rPr>
        <w:t>.</w:t>
      </w:r>
      <w:r w:rsidR="00A5530C" w:rsidRPr="004E5AF3">
        <w:rPr>
          <w:rFonts w:cs="Arial"/>
          <w:rtl/>
        </w:rPr>
        <w:t xml:space="preserve"> </w:t>
      </w:r>
    </w:p>
    <w:p w14:paraId="407D0020" w14:textId="77777777" w:rsidR="004A7623" w:rsidRPr="00A5530C" w:rsidRDefault="00A5530C" w:rsidP="004B0475">
      <w:pPr>
        <w:pStyle w:val="ac"/>
        <w:numPr>
          <w:ilvl w:val="0"/>
          <w:numId w:val="30"/>
        </w:numPr>
        <w:rPr>
          <w:rFonts w:cs="Arial"/>
        </w:rPr>
      </w:pPr>
      <w:r>
        <w:rPr>
          <w:rFonts w:cs="Arial" w:hint="cs"/>
          <w:rtl/>
        </w:rPr>
        <w:lastRenderedPageBreak/>
        <w:t xml:space="preserve">(רי"ף </w:t>
      </w:r>
      <w:r>
        <w:rPr>
          <w:rFonts w:cs="Arial" w:hint="cs"/>
          <w:sz w:val="16"/>
          <w:szCs w:val="16"/>
          <w:rtl/>
        </w:rPr>
        <w:t>[שם] להב' רי"ו [שם]</w:t>
      </w:r>
      <w:r>
        <w:rPr>
          <w:rFonts w:cs="Arial" w:hint="cs"/>
          <w:rtl/>
        </w:rPr>
        <w:t>)-</w:t>
      </w:r>
      <w:r w:rsidRPr="004A7623">
        <w:rPr>
          <w:rFonts w:cs="Arial" w:hint="cs"/>
          <w:rtl/>
        </w:rPr>
        <w:t xml:space="preserve"> </w:t>
      </w:r>
      <w:r>
        <w:rPr>
          <w:rFonts w:cs="Arial" w:hint="cs"/>
          <w:rtl/>
        </w:rPr>
        <w:t xml:space="preserve">אין </w:t>
      </w:r>
      <w:r w:rsidRPr="002C300A">
        <w:rPr>
          <w:rFonts w:cs="Arial"/>
          <w:rtl/>
        </w:rPr>
        <w:t>חיל</w:t>
      </w:r>
      <w:r>
        <w:rPr>
          <w:rFonts w:cs="Arial" w:hint="cs"/>
          <w:rtl/>
        </w:rPr>
        <w:t>ו</w:t>
      </w:r>
      <w:r w:rsidRPr="002C300A">
        <w:rPr>
          <w:rFonts w:cs="Arial"/>
          <w:rtl/>
        </w:rPr>
        <w:t>ק בין עסוקין באותו ענין לשאינם עסוקים</w:t>
      </w:r>
      <w:r>
        <w:rPr>
          <w:rFonts w:cs="Arial" w:hint="cs"/>
          <w:rtl/>
        </w:rPr>
        <w:t xml:space="preserve">, אלא </w:t>
      </w:r>
      <w:r w:rsidRPr="002C300A">
        <w:rPr>
          <w:rFonts w:cs="Arial"/>
          <w:rtl/>
        </w:rPr>
        <w:t>אינו יכול לחזור בו אפילו לא יצא מבית דין</w:t>
      </w:r>
      <w:r w:rsidR="00C54B68">
        <w:rPr>
          <w:rFonts w:cs="Arial" w:hint="cs"/>
          <w:rtl/>
        </w:rPr>
        <w:t>,</w:t>
      </w:r>
      <w:r w:rsidRPr="002C300A">
        <w:rPr>
          <w:rFonts w:cs="Arial"/>
          <w:rtl/>
        </w:rPr>
        <w:t xml:space="preserve"> שאחר שאמרו לו בית דין </w:t>
      </w:r>
      <w:r>
        <w:rPr>
          <w:rFonts w:cs="Arial" w:hint="cs"/>
          <w:rtl/>
        </w:rPr>
        <w:t>'</w:t>
      </w:r>
      <w:r w:rsidRPr="002C300A">
        <w:rPr>
          <w:rFonts w:cs="Arial"/>
          <w:rtl/>
        </w:rPr>
        <w:t>השבע כמו שאמרת</w:t>
      </w:r>
      <w:r>
        <w:rPr>
          <w:rFonts w:cs="Arial" w:hint="cs"/>
          <w:rtl/>
        </w:rPr>
        <w:t>'</w:t>
      </w:r>
      <w:r w:rsidRPr="002C300A">
        <w:rPr>
          <w:rFonts w:cs="Arial"/>
          <w:rtl/>
        </w:rPr>
        <w:t xml:space="preserve"> הוי גמר דין</w:t>
      </w:r>
      <w:r>
        <w:rPr>
          <w:rFonts w:cs="Arial" w:hint="cs"/>
          <w:rtl/>
        </w:rPr>
        <w:t xml:space="preserve">. </w:t>
      </w:r>
    </w:p>
    <w:p w14:paraId="167AAB03" w14:textId="77777777" w:rsidR="00304869" w:rsidRDefault="00304869" w:rsidP="004B0475">
      <w:pPr>
        <w:pStyle w:val="ac"/>
        <w:numPr>
          <w:ilvl w:val="0"/>
          <w:numId w:val="30"/>
        </w:numPr>
        <w:rPr>
          <w:rFonts w:cs="Arial"/>
        </w:rPr>
      </w:pPr>
      <w:r>
        <w:rPr>
          <w:rFonts w:cs="Arial" w:hint="cs"/>
          <w:rtl/>
        </w:rPr>
        <w:t xml:space="preserve">(רש"י </w:t>
      </w:r>
      <w:r>
        <w:rPr>
          <w:rFonts w:cs="Arial" w:hint="cs"/>
          <w:sz w:val="16"/>
          <w:szCs w:val="16"/>
          <w:rtl/>
        </w:rPr>
        <w:t>[שם] להב' רי"ו [</w:t>
      </w:r>
      <w:r w:rsidRPr="002C300A">
        <w:rPr>
          <w:rFonts w:cs="Arial"/>
          <w:sz w:val="16"/>
          <w:szCs w:val="16"/>
          <w:rtl/>
        </w:rPr>
        <w:t>נ</w:t>
      </w:r>
      <w:r w:rsidRPr="002C300A">
        <w:rPr>
          <w:rFonts w:cs="Arial" w:hint="cs"/>
          <w:sz w:val="16"/>
          <w:szCs w:val="16"/>
          <w:rtl/>
        </w:rPr>
        <w:t>"</w:t>
      </w:r>
      <w:r w:rsidRPr="002C300A">
        <w:rPr>
          <w:rFonts w:cs="Arial"/>
          <w:sz w:val="16"/>
          <w:szCs w:val="16"/>
          <w:rtl/>
        </w:rPr>
        <w:t>ג ח"ג יז ע"ג</w:t>
      </w:r>
      <w:r>
        <w:rPr>
          <w:rFonts w:cs="Arial" w:hint="cs"/>
          <w:sz w:val="16"/>
          <w:szCs w:val="16"/>
          <w:rtl/>
        </w:rPr>
        <w:t>]</w:t>
      </w:r>
      <w:r>
        <w:rPr>
          <w:rFonts w:cs="Arial" w:hint="cs"/>
          <w:rtl/>
        </w:rPr>
        <w:t xml:space="preserve">)- אין </w:t>
      </w:r>
      <w:r w:rsidRPr="002C300A">
        <w:rPr>
          <w:rFonts w:cs="Arial"/>
          <w:rtl/>
        </w:rPr>
        <w:t>חיל</w:t>
      </w:r>
      <w:r>
        <w:rPr>
          <w:rFonts w:cs="Arial" w:hint="cs"/>
          <w:rtl/>
        </w:rPr>
        <w:t>ו</w:t>
      </w:r>
      <w:r w:rsidRPr="002C300A">
        <w:rPr>
          <w:rFonts w:cs="Arial"/>
          <w:rtl/>
        </w:rPr>
        <w:t>ק בין עסוקין באותו ענין לשאינם עסוקים</w:t>
      </w:r>
      <w:r>
        <w:rPr>
          <w:rFonts w:cs="Arial" w:hint="cs"/>
          <w:rtl/>
        </w:rPr>
        <w:t xml:space="preserve">, אלא </w:t>
      </w:r>
      <w:r w:rsidRPr="002C300A">
        <w:rPr>
          <w:rFonts w:cs="Arial"/>
          <w:rtl/>
        </w:rPr>
        <w:t>כל זמן שלא יצא מבית דין יכול לחזור</w:t>
      </w:r>
      <w:r w:rsidR="00901312">
        <w:rPr>
          <w:rStyle w:val="ab"/>
          <w:rFonts w:cs="Arial"/>
          <w:rtl/>
        </w:rPr>
        <w:footnoteReference w:id="1133"/>
      </w:r>
      <w:r>
        <w:rPr>
          <w:rFonts w:cs="Arial" w:hint="cs"/>
          <w:rtl/>
        </w:rPr>
        <w:t xml:space="preserve">. </w:t>
      </w:r>
    </w:p>
    <w:p w14:paraId="7AFF4E54" w14:textId="77777777" w:rsidR="00901312" w:rsidRPr="004D4602" w:rsidRDefault="00901312" w:rsidP="00901312">
      <w:r w:rsidRPr="00384843">
        <w:rPr>
          <w:rFonts w:cs="Arial"/>
          <w:u w:val="single"/>
          <w:rtl/>
        </w:rPr>
        <w:t xml:space="preserve">נתחייב שבועה בב"ד </w:t>
      </w:r>
      <w:r w:rsidRPr="00C54B68">
        <w:rPr>
          <w:rFonts w:cs="Arial" w:hint="cs"/>
          <w:b/>
          <w:bCs/>
          <w:u w:val="single"/>
          <w:rtl/>
        </w:rPr>
        <w:t>ויצא</w:t>
      </w:r>
      <w:r>
        <w:rPr>
          <w:rFonts w:cs="Arial" w:hint="cs"/>
          <w:u w:val="single"/>
          <w:rtl/>
        </w:rPr>
        <w:t xml:space="preserve"> </w:t>
      </w:r>
      <w:r w:rsidRPr="00C54B68">
        <w:rPr>
          <w:rFonts w:cs="Arial" w:hint="cs"/>
          <w:b/>
          <w:bCs/>
          <w:u w:val="single"/>
          <w:rtl/>
        </w:rPr>
        <w:t>מ</w:t>
      </w:r>
      <w:r w:rsidR="00C54B68" w:rsidRPr="00C54B68">
        <w:rPr>
          <w:rFonts w:cs="Arial" w:hint="cs"/>
          <w:b/>
          <w:bCs/>
          <w:u w:val="single"/>
          <w:rtl/>
        </w:rPr>
        <w:t>בית הדין</w:t>
      </w:r>
      <w:r>
        <w:rPr>
          <w:rFonts w:cs="Arial" w:hint="cs"/>
          <w:u w:val="single"/>
          <w:rtl/>
        </w:rPr>
        <w:t xml:space="preserve"> </w:t>
      </w:r>
      <w:r>
        <w:rPr>
          <w:rFonts w:cs="Arial"/>
          <w:u w:val="single"/>
          <w:rtl/>
        </w:rPr>
        <w:t>–</w:t>
      </w:r>
      <w:r>
        <w:rPr>
          <w:rFonts w:cs="Arial" w:hint="cs"/>
          <w:u w:val="single"/>
          <w:rtl/>
        </w:rPr>
        <w:t xml:space="preserve"> האם </w:t>
      </w:r>
      <w:r w:rsidR="0029013F">
        <w:rPr>
          <w:rFonts w:cs="Arial" w:hint="cs"/>
          <w:u w:val="single"/>
          <w:rtl/>
        </w:rPr>
        <w:t>הוי כגמר דין</w:t>
      </w:r>
      <w:r w:rsidR="0029013F" w:rsidRPr="0029013F">
        <w:rPr>
          <w:rFonts w:cs="Arial" w:hint="cs"/>
          <w:sz w:val="16"/>
          <w:szCs w:val="16"/>
          <w:u w:val="single"/>
          <w:rtl/>
        </w:rPr>
        <w:t xml:space="preserve"> (לעניין דאינו </w:t>
      </w:r>
      <w:r w:rsidRPr="0029013F">
        <w:rPr>
          <w:rFonts w:cs="Arial" w:hint="cs"/>
          <w:sz w:val="16"/>
          <w:szCs w:val="16"/>
          <w:u w:val="single"/>
          <w:rtl/>
        </w:rPr>
        <w:t>יכול לחזור בו</w:t>
      </w:r>
      <w:r w:rsidR="0029013F" w:rsidRPr="0029013F">
        <w:rPr>
          <w:rFonts w:cs="Arial" w:hint="cs"/>
          <w:sz w:val="16"/>
          <w:szCs w:val="16"/>
          <w:u w:val="single"/>
          <w:rtl/>
        </w:rPr>
        <w:t>)</w:t>
      </w:r>
      <w:r w:rsidRPr="00384843">
        <w:rPr>
          <w:rFonts w:cs="Arial" w:hint="cs"/>
          <w:u w:val="single"/>
          <w:rtl/>
        </w:rPr>
        <w:t>:</w:t>
      </w:r>
    </w:p>
    <w:p w14:paraId="2F6CEE38" w14:textId="77777777" w:rsidR="000379A8" w:rsidRPr="000379A8" w:rsidRDefault="00901312" w:rsidP="004B0475">
      <w:pPr>
        <w:pStyle w:val="ac"/>
        <w:numPr>
          <w:ilvl w:val="0"/>
          <w:numId w:val="29"/>
        </w:numPr>
      </w:pPr>
      <w:r w:rsidRPr="004D4602">
        <w:rPr>
          <w:rFonts w:cs="Arial"/>
          <w:rtl/>
        </w:rPr>
        <w:t xml:space="preserve">רא"ש </w:t>
      </w:r>
      <w:r w:rsidRPr="004D4602">
        <w:rPr>
          <w:rFonts w:cs="Arial"/>
          <w:sz w:val="16"/>
          <w:szCs w:val="16"/>
          <w:rtl/>
        </w:rPr>
        <w:t>(</w:t>
      </w:r>
      <w:r w:rsidRPr="004D4602">
        <w:rPr>
          <w:rFonts w:cs="Arial" w:hint="cs"/>
          <w:sz w:val="16"/>
          <w:szCs w:val="16"/>
          <w:rtl/>
        </w:rPr>
        <w:t xml:space="preserve">פ' זה בורר </w:t>
      </w:r>
      <w:r w:rsidRPr="004D4602">
        <w:rPr>
          <w:rFonts w:cs="Arial"/>
          <w:sz w:val="16"/>
          <w:szCs w:val="16"/>
          <w:rtl/>
        </w:rPr>
        <w:t>סי' ה-ו)</w:t>
      </w:r>
      <w:r>
        <w:rPr>
          <w:rFonts w:cs="Arial" w:hint="cs"/>
          <w:rtl/>
        </w:rPr>
        <w:t xml:space="preserve"> ו</w:t>
      </w:r>
      <w:r w:rsidRPr="00384843">
        <w:rPr>
          <w:rFonts w:cs="Arial" w:hint="cs"/>
          <w:rtl/>
        </w:rPr>
        <w:t xml:space="preserve">טור- </w:t>
      </w:r>
      <w:r w:rsidRPr="004D4602">
        <w:rPr>
          <w:rFonts w:cs="Arial"/>
          <w:rtl/>
        </w:rPr>
        <w:t xml:space="preserve">מתוך פירוש רש"י דהתם משמע דאחר שיצא מלפני בית דין </w:t>
      </w:r>
      <w:r w:rsidR="00C54B68">
        <w:rPr>
          <w:rFonts w:cs="Arial" w:hint="cs"/>
          <w:rtl/>
        </w:rPr>
        <w:t xml:space="preserve">- </w:t>
      </w:r>
      <w:r w:rsidRPr="004D4602">
        <w:rPr>
          <w:rFonts w:cs="Arial"/>
          <w:rtl/>
        </w:rPr>
        <w:t>אין יכול לחזור בו</w:t>
      </w:r>
      <w:r w:rsidR="000379A8">
        <w:rPr>
          <w:rFonts w:cs="Arial" w:hint="cs"/>
          <w:rtl/>
        </w:rPr>
        <w:t>,</w:t>
      </w:r>
      <w:r w:rsidRPr="004D4602">
        <w:rPr>
          <w:rFonts w:cs="Arial"/>
          <w:rtl/>
        </w:rPr>
        <w:t xml:space="preserve"> ומה שקבל עליו בפני בית דין ונפטר מלפניהם בלא חזרה הוי כגמר דין</w:t>
      </w:r>
      <w:r w:rsidR="000379A8">
        <w:rPr>
          <w:rFonts w:cs="Arial" w:hint="cs"/>
          <w:rtl/>
        </w:rPr>
        <w:t>,</w:t>
      </w:r>
      <w:r w:rsidRPr="004D4602">
        <w:rPr>
          <w:rFonts w:cs="Arial"/>
          <w:rtl/>
        </w:rPr>
        <w:t xml:space="preserve"> ומסתבר הכי</w:t>
      </w:r>
      <w:r>
        <w:rPr>
          <w:rStyle w:val="ab"/>
          <w:rFonts w:cs="Arial"/>
          <w:rtl/>
        </w:rPr>
        <w:footnoteReference w:id="1134"/>
      </w:r>
      <w:r>
        <w:rPr>
          <w:rFonts w:cs="Arial" w:hint="cs"/>
          <w:sz w:val="16"/>
          <w:szCs w:val="16"/>
          <w:rtl/>
        </w:rPr>
        <w:t xml:space="preserve"> (ל' הרא"ש)</w:t>
      </w:r>
      <w:r w:rsidRPr="004D4602">
        <w:rPr>
          <w:rFonts w:cs="Arial"/>
          <w:rtl/>
        </w:rPr>
        <w:t xml:space="preserve">. </w:t>
      </w:r>
      <w:r w:rsidR="0029013F" w:rsidRPr="0029013F">
        <w:rPr>
          <w:rFonts w:hint="cs"/>
          <w:color w:val="00B0F0"/>
          <w:rtl/>
        </w:rPr>
        <w:t>(וכ"פ הרמ"א</w:t>
      </w:r>
      <w:r w:rsidR="0029013F" w:rsidRPr="0029013F">
        <w:rPr>
          <w:rFonts w:hint="cs"/>
          <w:color w:val="00B0F0"/>
          <w:sz w:val="16"/>
          <w:szCs w:val="16"/>
          <w:rtl/>
        </w:rPr>
        <w:t xml:space="preserve"> </w:t>
      </w:r>
      <w:r w:rsidR="0029013F">
        <w:rPr>
          <w:rFonts w:hint="cs"/>
          <w:sz w:val="16"/>
          <w:szCs w:val="16"/>
          <w:rtl/>
        </w:rPr>
        <w:t>[עי' סמ"ע סקי"ז]</w:t>
      </w:r>
      <w:r w:rsidR="0029013F" w:rsidRPr="0029013F">
        <w:rPr>
          <w:rFonts w:hint="cs"/>
          <w:color w:val="00B0F0"/>
          <w:rtl/>
        </w:rPr>
        <w:t>)</w:t>
      </w:r>
    </w:p>
    <w:p w14:paraId="00FB9E02" w14:textId="77777777" w:rsidR="000379A8" w:rsidRPr="000379A8" w:rsidRDefault="000379A8" w:rsidP="000379A8">
      <w:pPr>
        <w:ind w:left="360"/>
        <w:rPr>
          <w:u w:val="dotted"/>
        </w:rPr>
      </w:pPr>
      <w:r w:rsidRPr="000379A8">
        <w:rPr>
          <w:rFonts w:hint="cs"/>
          <w:u w:val="dotted"/>
          <w:rtl/>
        </w:rPr>
        <w:t>ומה הדין אם לא אמר כלום אלא שתק ולאחר שיצא מבית דין חזר ואמר שרוצה להפוך את השבועה על שכנגדו:</w:t>
      </w:r>
    </w:p>
    <w:p w14:paraId="4FE96707" w14:textId="77777777" w:rsidR="00901312" w:rsidRDefault="000379A8" w:rsidP="004B0475">
      <w:pPr>
        <w:pStyle w:val="ac"/>
        <w:numPr>
          <w:ilvl w:val="0"/>
          <w:numId w:val="29"/>
        </w:numPr>
      </w:pPr>
      <w:r>
        <w:rPr>
          <w:rFonts w:cs="Arial" w:hint="cs"/>
          <w:rtl/>
        </w:rPr>
        <w:t xml:space="preserve">טור- </w:t>
      </w:r>
      <w:r w:rsidR="006C5925" w:rsidRPr="00A5530C">
        <w:rPr>
          <w:rFonts w:cs="Arial"/>
          <w:rtl/>
        </w:rPr>
        <w:t>אפילו לפ"ז נראה מי שנתחייב בבית דין שבועה דרבנן ושתק ולא אמר שירצה להפכה על שכנגדו ויצא מבית דין ואח</w:t>
      </w:r>
      <w:r w:rsidR="006C5925">
        <w:rPr>
          <w:rFonts w:cs="Arial" w:hint="cs"/>
          <w:rtl/>
        </w:rPr>
        <w:t>"</w:t>
      </w:r>
      <w:r w:rsidR="006C5925" w:rsidRPr="00A5530C">
        <w:rPr>
          <w:rFonts w:cs="Arial"/>
          <w:rtl/>
        </w:rPr>
        <w:t xml:space="preserve">כ אמר שירצה להפכה על שכנגדו </w:t>
      </w:r>
      <w:r w:rsidR="00C54B68">
        <w:rPr>
          <w:rFonts w:cs="Arial" w:hint="cs"/>
          <w:rtl/>
        </w:rPr>
        <w:t xml:space="preserve">- </w:t>
      </w:r>
      <w:r w:rsidR="006C5925" w:rsidRPr="00A5530C">
        <w:rPr>
          <w:rFonts w:cs="Arial"/>
          <w:rtl/>
        </w:rPr>
        <w:t>הרשות בידו</w:t>
      </w:r>
      <w:r w:rsidR="006C5925">
        <w:rPr>
          <w:rStyle w:val="ab"/>
          <w:rFonts w:cs="Arial"/>
          <w:rtl/>
        </w:rPr>
        <w:footnoteReference w:id="1135"/>
      </w:r>
      <w:r w:rsidR="006C5925">
        <w:rPr>
          <w:rFonts w:cs="Arial" w:hint="cs"/>
          <w:sz w:val="16"/>
          <w:szCs w:val="16"/>
          <w:rtl/>
        </w:rPr>
        <w:t xml:space="preserve"> (ל' הטור)</w:t>
      </w:r>
      <w:r w:rsidR="006C5925">
        <w:rPr>
          <w:rFonts w:cs="Arial" w:hint="cs"/>
          <w:rtl/>
        </w:rPr>
        <w:t>.</w:t>
      </w:r>
    </w:p>
    <w:p w14:paraId="48224924" w14:textId="77777777" w:rsidR="002B48D5" w:rsidRPr="004E5AF3" w:rsidRDefault="002B48D5" w:rsidP="004E5AF3">
      <w:pPr>
        <w:rPr>
          <w:rFonts w:cs="Arial"/>
          <w:u w:val="single"/>
        </w:rPr>
      </w:pPr>
      <w:r w:rsidRPr="004E5AF3">
        <w:rPr>
          <w:rFonts w:cs="Arial" w:hint="cs"/>
          <w:u w:val="single"/>
          <w:rtl/>
        </w:rPr>
        <w:t>קבל עליו שלא בפני בית דין</w:t>
      </w:r>
      <w:r w:rsidR="000379A8">
        <w:rPr>
          <w:rFonts w:cs="Arial" w:hint="cs"/>
          <w:u w:val="single"/>
          <w:rtl/>
        </w:rPr>
        <w:t>, ונשבע - האם יכול לחזור בו</w:t>
      </w:r>
      <w:r w:rsidRPr="004E5AF3">
        <w:rPr>
          <w:rFonts w:cs="Arial" w:hint="cs"/>
          <w:u w:val="single"/>
          <w:rtl/>
        </w:rPr>
        <w:t>:</w:t>
      </w:r>
    </w:p>
    <w:p w14:paraId="665CC7F6" w14:textId="77777777" w:rsidR="002B48D5" w:rsidRDefault="002B48D5" w:rsidP="004B0475">
      <w:pPr>
        <w:pStyle w:val="ac"/>
        <w:numPr>
          <w:ilvl w:val="0"/>
          <w:numId w:val="30"/>
        </w:numPr>
        <w:rPr>
          <w:rFonts w:cs="Arial"/>
        </w:rPr>
      </w:pPr>
      <w:r w:rsidRPr="002C300A">
        <w:rPr>
          <w:rFonts w:cs="Arial"/>
          <w:rtl/>
        </w:rPr>
        <w:t>הג</w:t>
      </w:r>
      <w:r w:rsidRPr="002C300A">
        <w:rPr>
          <w:rFonts w:cs="Arial" w:hint="cs"/>
          <w:rtl/>
        </w:rPr>
        <w:t xml:space="preserve">"א </w:t>
      </w:r>
      <w:r w:rsidRPr="002C300A">
        <w:rPr>
          <w:rFonts w:cs="Arial" w:hint="cs"/>
          <w:sz w:val="16"/>
          <w:szCs w:val="16"/>
          <w:rtl/>
        </w:rPr>
        <w:t>(</w:t>
      </w:r>
      <w:r w:rsidRPr="002C300A">
        <w:rPr>
          <w:rFonts w:cs="Arial"/>
          <w:sz w:val="16"/>
          <w:szCs w:val="16"/>
          <w:rtl/>
        </w:rPr>
        <w:t>פ</w:t>
      </w:r>
      <w:r w:rsidR="009F094B">
        <w:rPr>
          <w:rFonts w:cs="Arial" w:hint="cs"/>
          <w:sz w:val="16"/>
          <w:szCs w:val="16"/>
          <w:rtl/>
        </w:rPr>
        <w:t>"ג</w:t>
      </w:r>
      <w:r w:rsidRPr="002C300A">
        <w:rPr>
          <w:rFonts w:cs="Arial"/>
          <w:sz w:val="16"/>
          <w:szCs w:val="16"/>
          <w:rtl/>
        </w:rPr>
        <w:t xml:space="preserve"> סי' </w:t>
      </w:r>
      <w:r w:rsidR="009F094B">
        <w:rPr>
          <w:rFonts w:cs="Arial" w:hint="cs"/>
          <w:sz w:val="16"/>
          <w:szCs w:val="16"/>
          <w:rtl/>
        </w:rPr>
        <w:t>ד</w:t>
      </w:r>
      <w:r w:rsidRPr="002C300A">
        <w:rPr>
          <w:rFonts w:cs="Arial"/>
          <w:sz w:val="16"/>
          <w:szCs w:val="16"/>
          <w:rtl/>
        </w:rPr>
        <w:t>)</w:t>
      </w:r>
      <w:r w:rsidRPr="002C300A">
        <w:rPr>
          <w:rFonts w:cs="Arial" w:hint="cs"/>
          <w:rtl/>
        </w:rPr>
        <w:t>-</w:t>
      </w:r>
      <w:r w:rsidRPr="002C300A">
        <w:rPr>
          <w:rFonts w:cs="Arial"/>
          <w:rtl/>
        </w:rPr>
        <w:t xml:space="preserve"> כולה מתניתין מיירי שקבל עליו אבא ואביך ודור לי בחיי ראשך וגם שקבל עליו או קרוב או פסול </w:t>
      </w:r>
      <w:r w:rsidR="00224839">
        <w:rPr>
          <w:rFonts w:cs="Arial" w:hint="cs"/>
          <w:rtl/>
        </w:rPr>
        <w:t xml:space="preserve">- </w:t>
      </w:r>
      <w:r w:rsidRPr="002C300A">
        <w:rPr>
          <w:rFonts w:cs="Arial"/>
          <w:rtl/>
        </w:rPr>
        <w:t>היינו כשקבל עליו בב</w:t>
      </w:r>
      <w:r w:rsidR="009F094B">
        <w:rPr>
          <w:rFonts w:cs="Arial" w:hint="cs"/>
          <w:rtl/>
        </w:rPr>
        <w:t>"</w:t>
      </w:r>
      <w:r w:rsidRPr="002C300A">
        <w:rPr>
          <w:rFonts w:cs="Arial"/>
          <w:rtl/>
        </w:rPr>
        <w:t>ד</w:t>
      </w:r>
      <w:r w:rsidR="009F094B">
        <w:rPr>
          <w:rFonts w:cs="Arial" w:hint="cs"/>
          <w:rtl/>
        </w:rPr>
        <w:t>,</w:t>
      </w:r>
      <w:r w:rsidRPr="002C300A">
        <w:rPr>
          <w:rFonts w:cs="Arial"/>
          <w:rtl/>
        </w:rPr>
        <w:t xml:space="preserve"> דאי חוץ לב</w:t>
      </w:r>
      <w:r w:rsidR="009F094B">
        <w:rPr>
          <w:rFonts w:cs="Arial" w:hint="cs"/>
          <w:rtl/>
        </w:rPr>
        <w:t>"</w:t>
      </w:r>
      <w:r w:rsidRPr="002C300A">
        <w:rPr>
          <w:rFonts w:cs="Arial"/>
          <w:rtl/>
        </w:rPr>
        <w:t>ד ולא קנו מיניה אפילו לאחר גמר דין חוזר לכו</w:t>
      </w:r>
      <w:r>
        <w:rPr>
          <w:rFonts w:cs="Arial" w:hint="cs"/>
          <w:rtl/>
        </w:rPr>
        <w:t>"ע</w:t>
      </w:r>
      <w:r w:rsidRPr="002C300A">
        <w:rPr>
          <w:rFonts w:cs="Arial"/>
          <w:rtl/>
        </w:rPr>
        <w:t xml:space="preserve">. </w:t>
      </w:r>
      <w:r w:rsidR="004D3578">
        <w:rPr>
          <w:rFonts w:cs="Arial" w:hint="cs"/>
          <w:rtl/>
        </w:rPr>
        <w:t>(וכ"פ הש"ך</w:t>
      </w:r>
      <w:r w:rsidR="004D3578">
        <w:rPr>
          <w:rFonts w:cs="Arial" w:hint="cs"/>
          <w:sz w:val="16"/>
          <w:szCs w:val="16"/>
          <w:rtl/>
        </w:rPr>
        <w:t xml:space="preserve"> [סק"א]</w:t>
      </w:r>
      <w:r w:rsidR="004D3578">
        <w:rPr>
          <w:rFonts w:cs="Arial" w:hint="cs"/>
          <w:rtl/>
        </w:rPr>
        <w:t>)</w:t>
      </w:r>
    </w:p>
    <w:p w14:paraId="10701910" w14:textId="77777777" w:rsidR="00556503" w:rsidRPr="008131C8" w:rsidRDefault="002B48D5" w:rsidP="004B0475">
      <w:pPr>
        <w:pStyle w:val="ac"/>
        <w:numPr>
          <w:ilvl w:val="0"/>
          <w:numId w:val="30"/>
        </w:numPr>
        <w:rPr>
          <w:rFonts w:cs="Arial"/>
        </w:rPr>
      </w:pPr>
      <w:r w:rsidRPr="002C300A">
        <w:rPr>
          <w:rFonts w:cs="Arial" w:hint="cs"/>
          <w:rtl/>
        </w:rPr>
        <w:t xml:space="preserve">רי"ו </w:t>
      </w:r>
      <w:r w:rsidRPr="002C300A">
        <w:rPr>
          <w:rFonts w:cs="Arial" w:hint="cs"/>
          <w:sz w:val="16"/>
          <w:szCs w:val="16"/>
          <w:rtl/>
        </w:rPr>
        <w:t>(</w:t>
      </w:r>
      <w:r w:rsidRPr="002C300A">
        <w:rPr>
          <w:rFonts w:cs="Arial"/>
          <w:sz w:val="16"/>
          <w:szCs w:val="16"/>
          <w:rtl/>
        </w:rPr>
        <w:t>נ</w:t>
      </w:r>
      <w:r w:rsidRPr="002C300A">
        <w:rPr>
          <w:rFonts w:cs="Arial" w:hint="cs"/>
          <w:sz w:val="16"/>
          <w:szCs w:val="16"/>
          <w:rtl/>
        </w:rPr>
        <w:t>"</w:t>
      </w:r>
      <w:r w:rsidRPr="002C300A">
        <w:rPr>
          <w:rFonts w:cs="Arial"/>
          <w:sz w:val="16"/>
          <w:szCs w:val="16"/>
          <w:rtl/>
        </w:rPr>
        <w:t>ג ח"ג יז ע"ג)</w:t>
      </w:r>
      <w:r w:rsidR="00224839" w:rsidRPr="00224839">
        <w:rPr>
          <w:rFonts w:cs="Arial"/>
          <w:rtl/>
        </w:rPr>
        <w:t xml:space="preserve"> </w:t>
      </w:r>
      <w:r w:rsidR="00224839">
        <w:rPr>
          <w:rFonts w:cs="Arial" w:hint="cs"/>
          <w:rtl/>
        </w:rPr>
        <w:t>ו</w:t>
      </w:r>
      <w:r w:rsidR="00224839" w:rsidRPr="00561C20">
        <w:rPr>
          <w:rFonts w:cs="Arial"/>
          <w:rtl/>
        </w:rPr>
        <w:t>נ</w:t>
      </w:r>
      <w:r w:rsidR="00224839">
        <w:rPr>
          <w:rFonts w:cs="Arial" w:hint="cs"/>
          <w:rtl/>
        </w:rPr>
        <w:t>מוק</w:t>
      </w:r>
      <w:r w:rsidR="00224839" w:rsidRPr="00561C20">
        <w:rPr>
          <w:rFonts w:cs="Arial"/>
          <w:rtl/>
        </w:rPr>
        <w:t>"י</w:t>
      </w:r>
      <w:r w:rsidR="00224839">
        <w:rPr>
          <w:rStyle w:val="ab"/>
          <w:rFonts w:cs="Arial"/>
          <w:rtl/>
        </w:rPr>
        <w:footnoteReference w:id="1136"/>
      </w:r>
      <w:r w:rsidR="00224839" w:rsidRPr="00A20576">
        <w:rPr>
          <w:rFonts w:cs="Arial"/>
          <w:sz w:val="16"/>
          <w:szCs w:val="16"/>
          <w:rtl/>
        </w:rPr>
        <w:t xml:space="preserve"> </w:t>
      </w:r>
      <w:r w:rsidR="00224839" w:rsidRPr="00A20576">
        <w:rPr>
          <w:rFonts w:cs="Arial" w:hint="cs"/>
          <w:sz w:val="16"/>
          <w:szCs w:val="16"/>
          <w:rtl/>
        </w:rPr>
        <w:t>(</w:t>
      </w:r>
      <w:r w:rsidR="00224839" w:rsidRPr="00A20576">
        <w:rPr>
          <w:rFonts w:cs="Arial"/>
          <w:sz w:val="16"/>
          <w:szCs w:val="16"/>
          <w:rtl/>
        </w:rPr>
        <w:t>פרק יש נוחלין נו</w:t>
      </w:r>
      <w:r w:rsidR="00224839" w:rsidRPr="00A20576">
        <w:rPr>
          <w:rFonts w:cs="Arial" w:hint="cs"/>
          <w:sz w:val="16"/>
          <w:szCs w:val="16"/>
          <w:rtl/>
        </w:rPr>
        <w:t>:</w:t>
      </w:r>
      <w:r w:rsidR="00224839" w:rsidRPr="00A20576">
        <w:rPr>
          <w:rFonts w:cs="Arial"/>
          <w:sz w:val="16"/>
          <w:szCs w:val="16"/>
          <w:rtl/>
        </w:rPr>
        <w:t xml:space="preserve"> מדפ</w:t>
      </w:r>
      <w:r w:rsidR="00224839" w:rsidRPr="00A20576">
        <w:rPr>
          <w:rFonts w:cs="Arial" w:hint="cs"/>
          <w:sz w:val="16"/>
          <w:szCs w:val="16"/>
          <w:rtl/>
        </w:rPr>
        <w:t>ה"ר</w:t>
      </w:r>
      <w:r w:rsidR="00224839" w:rsidRPr="00A20576">
        <w:rPr>
          <w:rFonts w:cs="Arial"/>
          <w:sz w:val="16"/>
          <w:szCs w:val="16"/>
          <w:rtl/>
        </w:rPr>
        <w:t xml:space="preserve"> ד"ה שלח</w:t>
      </w:r>
      <w:r w:rsidR="00224839" w:rsidRPr="00A20576">
        <w:rPr>
          <w:rFonts w:cs="Arial" w:hint="cs"/>
          <w:sz w:val="16"/>
          <w:szCs w:val="16"/>
          <w:rtl/>
        </w:rPr>
        <w:t>)</w:t>
      </w:r>
      <w:r w:rsidRPr="002C300A">
        <w:rPr>
          <w:rFonts w:cs="Arial" w:hint="cs"/>
          <w:rtl/>
        </w:rPr>
        <w:t>-</w:t>
      </w:r>
      <w:r w:rsidRPr="002C300A">
        <w:rPr>
          <w:rFonts w:cs="Arial"/>
          <w:rtl/>
        </w:rPr>
        <w:t xml:space="preserve"> </w:t>
      </w:r>
      <w:r w:rsidR="00A444F9" w:rsidRPr="00A444F9">
        <w:rPr>
          <w:rFonts w:cs="Arial"/>
          <w:rtl/>
        </w:rPr>
        <w:t xml:space="preserve">אם אמר כן חוץ לבית דין </w:t>
      </w:r>
      <w:r w:rsidR="008131C8">
        <w:rPr>
          <w:rFonts w:cs="Arial" w:hint="cs"/>
          <w:rtl/>
        </w:rPr>
        <w:t xml:space="preserve">- </w:t>
      </w:r>
      <w:r w:rsidR="00A444F9" w:rsidRPr="00A444F9">
        <w:rPr>
          <w:rFonts w:cs="Arial"/>
          <w:rtl/>
        </w:rPr>
        <w:t>יכול לחזור בו</w:t>
      </w:r>
      <w:r w:rsidR="008131C8">
        <w:rPr>
          <w:rFonts w:cs="Arial" w:hint="cs"/>
          <w:rtl/>
        </w:rPr>
        <w:t>,</w:t>
      </w:r>
      <w:r w:rsidR="00A444F9" w:rsidRPr="00A444F9">
        <w:rPr>
          <w:rFonts w:cs="Arial"/>
          <w:rtl/>
        </w:rPr>
        <w:t xml:space="preserve"> אבל אם נשבע </w:t>
      </w:r>
      <w:r w:rsidR="008131C8">
        <w:rPr>
          <w:rFonts w:cs="Arial" w:hint="cs"/>
          <w:rtl/>
        </w:rPr>
        <w:t xml:space="preserve">- </w:t>
      </w:r>
      <w:r w:rsidR="00A444F9" w:rsidRPr="00A444F9">
        <w:rPr>
          <w:rFonts w:cs="Arial"/>
          <w:rtl/>
        </w:rPr>
        <w:t>אינו יכול לחזור בו אפי' אמר כן חוץ לב"ד</w:t>
      </w:r>
      <w:r w:rsidR="008131C8">
        <w:rPr>
          <w:rFonts w:cs="Arial" w:hint="cs"/>
          <w:rtl/>
        </w:rPr>
        <w:t>,</w:t>
      </w:r>
      <w:r w:rsidR="00A444F9" w:rsidRPr="00A444F9">
        <w:rPr>
          <w:rFonts w:cs="Arial"/>
          <w:rtl/>
        </w:rPr>
        <w:t xml:space="preserve"> מאחר שנשבע</w:t>
      </w:r>
      <w:r w:rsidR="00224839">
        <w:rPr>
          <w:rFonts w:cs="Arial" w:hint="cs"/>
          <w:sz w:val="16"/>
          <w:szCs w:val="16"/>
          <w:rtl/>
        </w:rPr>
        <w:t xml:space="preserve"> (ל' רי"ו)</w:t>
      </w:r>
      <w:r>
        <w:rPr>
          <w:rStyle w:val="ab"/>
          <w:rFonts w:cs="Arial"/>
          <w:rtl/>
        </w:rPr>
        <w:footnoteReference w:id="1137"/>
      </w:r>
      <w:r w:rsidRPr="002C300A">
        <w:rPr>
          <w:rFonts w:cs="Arial"/>
          <w:rtl/>
        </w:rPr>
        <w:t>.</w:t>
      </w:r>
      <w:r w:rsidRPr="00A444F9">
        <w:rPr>
          <w:rFonts w:cs="Arial"/>
          <w:color w:val="FF0000"/>
          <w:rtl/>
        </w:rPr>
        <w:t xml:space="preserve"> </w:t>
      </w:r>
    </w:p>
    <w:p w14:paraId="377E357B" w14:textId="77777777" w:rsidR="004829F2" w:rsidRPr="003A627F" w:rsidRDefault="003A627F" w:rsidP="004829F2">
      <w:pPr>
        <w:rPr>
          <w:rFonts w:cs="Arial"/>
          <w:u w:val="single"/>
        </w:rPr>
      </w:pPr>
      <w:r w:rsidRPr="003A627F">
        <w:rPr>
          <w:rFonts w:cs="Arial" w:hint="cs"/>
          <w:u w:val="single"/>
          <w:rtl/>
        </w:rPr>
        <w:t>קבעו זמן לדיין שבו יוכל להזמינם לדין ושאם לא יזמינם לא יהא רשאי להזמינם עוד:</w:t>
      </w:r>
    </w:p>
    <w:p w14:paraId="7FD69223" w14:textId="77777777" w:rsidR="004829F2" w:rsidRDefault="009E27FD" w:rsidP="004B0475">
      <w:pPr>
        <w:pStyle w:val="ac"/>
        <w:numPr>
          <w:ilvl w:val="0"/>
          <w:numId w:val="30"/>
        </w:numPr>
        <w:rPr>
          <w:rFonts w:cs="Arial"/>
        </w:rPr>
      </w:pPr>
      <w:r w:rsidRPr="004829F2">
        <w:rPr>
          <w:rFonts w:cs="Arial"/>
          <w:rtl/>
        </w:rPr>
        <w:lastRenderedPageBreak/>
        <w:t xml:space="preserve">מרדכי </w:t>
      </w:r>
      <w:r w:rsidR="004829F2" w:rsidRPr="004829F2">
        <w:rPr>
          <w:rFonts w:cs="Arial" w:hint="cs"/>
          <w:sz w:val="16"/>
          <w:szCs w:val="16"/>
          <w:rtl/>
        </w:rPr>
        <w:t>(</w:t>
      </w:r>
      <w:r w:rsidRPr="004829F2">
        <w:rPr>
          <w:rFonts w:cs="Arial"/>
          <w:sz w:val="16"/>
          <w:szCs w:val="16"/>
          <w:rtl/>
        </w:rPr>
        <w:t>פ</w:t>
      </w:r>
      <w:r w:rsidR="004829F2" w:rsidRPr="004829F2">
        <w:rPr>
          <w:rFonts w:cs="Arial" w:hint="cs"/>
          <w:sz w:val="16"/>
          <w:szCs w:val="16"/>
          <w:rtl/>
        </w:rPr>
        <w:t>"</w:t>
      </w:r>
      <w:r w:rsidRPr="004829F2">
        <w:rPr>
          <w:rFonts w:cs="Arial"/>
          <w:sz w:val="16"/>
          <w:szCs w:val="16"/>
          <w:rtl/>
        </w:rPr>
        <w:t>ק דסנהדרין סי' תרעז)</w:t>
      </w:r>
      <w:r w:rsidR="004829F2" w:rsidRPr="004829F2">
        <w:rPr>
          <w:rFonts w:cs="Arial" w:hint="cs"/>
          <w:rtl/>
        </w:rPr>
        <w:t>-</w:t>
      </w:r>
      <w:r w:rsidRPr="004829F2">
        <w:rPr>
          <w:rFonts w:cs="Arial"/>
          <w:rtl/>
        </w:rPr>
        <w:t xml:space="preserve"> </w:t>
      </w:r>
      <w:r w:rsidR="003A627F" w:rsidRPr="003A627F">
        <w:rPr>
          <w:rFonts w:cs="Arial"/>
          <w:rtl/>
        </w:rPr>
        <w:t xml:space="preserve">מה שאמרתם שקבעתם לו זמן להזמינם לדין וקבל עליו שאם לא יזמינם עד אותו זמן שלא יהא רשאי להזמינם עוד והעביר המועד </w:t>
      </w:r>
      <w:r w:rsidR="00B63507">
        <w:rPr>
          <w:rFonts w:cs="Arial" w:hint="cs"/>
          <w:rtl/>
        </w:rPr>
        <w:t xml:space="preserve">- </w:t>
      </w:r>
      <w:r w:rsidR="003A627F" w:rsidRPr="003A627F">
        <w:rPr>
          <w:rFonts w:cs="Arial"/>
          <w:rtl/>
        </w:rPr>
        <w:t>נ"ל דמאחר שלא קבל עליו בקנין כ"א בדברים בעלמא דיכול לחזור בו</w:t>
      </w:r>
      <w:r w:rsidR="003A627F">
        <w:rPr>
          <w:rStyle w:val="ab"/>
          <w:rFonts w:cs="Arial"/>
          <w:rtl/>
        </w:rPr>
        <w:footnoteReference w:id="1138"/>
      </w:r>
      <w:r w:rsidR="004829F2" w:rsidRPr="004829F2">
        <w:rPr>
          <w:rFonts w:cs="Arial" w:hint="cs"/>
          <w:rtl/>
        </w:rPr>
        <w:t>.</w:t>
      </w:r>
    </w:p>
    <w:p w14:paraId="65B13C7A" w14:textId="77777777" w:rsidR="004829F2" w:rsidRPr="004829F2" w:rsidRDefault="00B445B8" w:rsidP="004829F2">
      <w:pPr>
        <w:rPr>
          <w:rFonts w:cs="Arial"/>
          <w:u w:val="single"/>
        </w:rPr>
      </w:pPr>
      <w:r>
        <w:rPr>
          <w:rFonts w:cs="Arial" w:hint="cs"/>
          <w:u w:val="single"/>
          <w:rtl/>
        </w:rPr>
        <w:t>נתבע ש</w:t>
      </w:r>
      <w:r w:rsidR="004829F2" w:rsidRPr="004829F2">
        <w:rPr>
          <w:rFonts w:cs="Arial"/>
          <w:u w:val="single"/>
          <w:rtl/>
        </w:rPr>
        <w:t>נתחייב שבועה ל</w:t>
      </w:r>
      <w:r>
        <w:rPr>
          <w:rFonts w:cs="Arial" w:hint="cs"/>
          <w:u w:val="single"/>
          <w:rtl/>
        </w:rPr>
        <w:t>תובע,</w:t>
      </w:r>
      <w:r w:rsidR="004829F2" w:rsidRPr="004829F2">
        <w:rPr>
          <w:rFonts w:cs="Arial"/>
          <w:u w:val="single"/>
          <w:rtl/>
        </w:rPr>
        <w:t xml:space="preserve"> ופייסו </w:t>
      </w:r>
      <w:r>
        <w:rPr>
          <w:rFonts w:cs="Arial" w:hint="cs"/>
          <w:u w:val="single"/>
          <w:rtl/>
        </w:rPr>
        <w:t xml:space="preserve">את </w:t>
      </w:r>
      <w:r w:rsidR="004829F2" w:rsidRPr="004829F2">
        <w:rPr>
          <w:rFonts w:cs="Arial"/>
          <w:u w:val="single"/>
          <w:rtl/>
        </w:rPr>
        <w:t xml:space="preserve">התובע למחול ואמר </w:t>
      </w:r>
      <w:r w:rsidR="004829F2">
        <w:rPr>
          <w:rFonts w:cs="Arial" w:hint="cs"/>
          <w:u w:val="single"/>
          <w:rtl/>
        </w:rPr>
        <w:t>'</w:t>
      </w:r>
      <w:r w:rsidR="004829F2" w:rsidRPr="004829F2">
        <w:rPr>
          <w:rFonts w:cs="Arial"/>
          <w:u w:val="single"/>
          <w:rtl/>
        </w:rPr>
        <w:t>יהי כדברך</w:t>
      </w:r>
      <w:r w:rsidR="004829F2">
        <w:rPr>
          <w:rFonts w:cs="Arial" w:hint="cs"/>
          <w:u w:val="single"/>
          <w:rtl/>
        </w:rPr>
        <w:t>'</w:t>
      </w:r>
      <w:r>
        <w:rPr>
          <w:rFonts w:cs="Arial" w:hint="cs"/>
          <w:u w:val="single"/>
          <w:rtl/>
        </w:rPr>
        <w:t xml:space="preserve"> - ואח"כ חזר בו</w:t>
      </w:r>
      <w:r w:rsidR="004829F2" w:rsidRPr="004829F2">
        <w:rPr>
          <w:rFonts w:cs="Arial" w:hint="cs"/>
          <w:u w:val="single"/>
          <w:rtl/>
        </w:rPr>
        <w:t>:</w:t>
      </w:r>
    </w:p>
    <w:p w14:paraId="5B6A0696" w14:textId="77777777" w:rsidR="004829F2" w:rsidRDefault="004829F2" w:rsidP="004B0475">
      <w:pPr>
        <w:pStyle w:val="ac"/>
        <w:numPr>
          <w:ilvl w:val="0"/>
          <w:numId w:val="30"/>
        </w:numPr>
        <w:rPr>
          <w:rFonts w:cs="Arial"/>
        </w:rPr>
      </w:pPr>
      <w:r w:rsidRPr="004829F2">
        <w:rPr>
          <w:rFonts w:cs="Arial" w:hint="cs"/>
          <w:rtl/>
        </w:rPr>
        <w:t>מרדכי</w:t>
      </w:r>
      <w:r w:rsidR="009E27FD" w:rsidRPr="004829F2">
        <w:rPr>
          <w:rFonts w:cs="Arial"/>
          <w:rtl/>
        </w:rPr>
        <w:t xml:space="preserve"> </w:t>
      </w:r>
      <w:r w:rsidR="009E27FD" w:rsidRPr="004829F2">
        <w:rPr>
          <w:rFonts w:cs="Arial"/>
          <w:sz w:val="16"/>
          <w:szCs w:val="16"/>
          <w:rtl/>
        </w:rPr>
        <w:t>(סי' תרפא)</w:t>
      </w:r>
      <w:r w:rsidRPr="004829F2">
        <w:rPr>
          <w:rFonts w:cs="Arial" w:hint="cs"/>
          <w:rtl/>
        </w:rPr>
        <w:t>-</w:t>
      </w:r>
      <w:r w:rsidR="009E27FD" w:rsidRPr="004829F2">
        <w:rPr>
          <w:rFonts w:cs="Arial"/>
          <w:rtl/>
        </w:rPr>
        <w:t xml:space="preserve"> </w:t>
      </w:r>
      <w:r w:rsidR="00B63507" w:rsidRPr="00B63507">
        <w:rPr>
          <w:rFonts w:cs="Arial"/>
          <w:rtl/>
        </w:rPr>
        <w:t>מעשה בא לפני ראב"ן באחד שנתחייב שבועה לחבירו</w:t>
      </w:r>
      <w:r w:rsidR="00B445B8">
        <w:rPr>
          <w:rFonts w:cs="Arial" w:hint="cs"/>
          <w:rtl/>
        </w:rPr>
        <w:t>,</w:t>
      </w:r>
      <w:r w:rsidR="00B63507" w:rsidRPr="00B63507">
        <w:rPr>
          <w:rFonts w:cs="Arial"/>
          <w:rtl/>
        </w:rPr>
        <w:t xml:space="preserve"> ופייסו את התובע למחול</w:t>
      </w:r>
      <w:r w:rsidR="00B445B8">
        <w:rPr>
          <w:rFonts w:cs="Arial" w:hint="cs"/>
          <w:rtl/>
        </w:rPr>
        <w:t>,</w:t>
      </w:r>
      <w:r w:rsidR="00B63507" w:rsidRPr="00B63507">
        <w:rPr>
          <w:rFonts w:cs="Arial"/>
          <w:rtl/>
        </w:rPr>
        <w:t xml:space="preserve"> ואמר יהי כדבריך</w:t>
      </w:r>
      <w:r w:rsidR="00B445B8">
        <w:rPr>
          <w:rFonts w:cs="Arial" w:hint="cs"/>
          <w:rtl/>
        </w:rPr>
        <w:t>.</w:t>
      </w:r>
      <w:r w:rsidR="00B63507" w:rsidRPr="00B63507">
        <w:rPr>
          <w:rFonts w:cs="Arial"/>
          <w:rtl/>
        </w:rPr>
        <w:t xml:space="preserve"> ושוב תפס התובע משכונו של זה ואמר מחילתי אינה מחילה כי לא אמרתי מחול לך גם לא היה קנין בדבר</w:t>
      </w:r>
      <w:r w:rsidR="00B445B8">
        <w:rPr>
          <w:rFonts w:cs="Arial" w:hint="cs"/>
          <w:rtl/>
        </w:rPr>
        <w:t>.</w:t>
      </w:r>
      <w:r w:rsidR="00B63507" w:rsidRPr="00B63507">
        <w:rPr>
          <w:rFonts w:cs="Arial"/>
          <w:rtl/>
        </w:rPr>
        <w:t xml:space="preserve"> ופסק ראב"ן דמחילה גמורה היא ואינה צריכה קנין וכשאמר יהי כדבריך הוי כאילו פירש בהדיא מחול לך</w:t>
      </w:r>
      <w:r w:rsidR="00D155C0">
        <w:rPr>
          <w:rFonts w:cs="Arial" w:hint="cs"/>
          <w:rtl/>
        </w:rPr>
        <w:t>.</w:t>
      </w:r>
      <w:r w:rsidR="00B63507" w:rsidRPr="00B63507">
        <w:rPr>
          <w:rFonts w:cs="Arial"/>
          <w:rtl/>
        </w:rPr>
        <w:t xml:space="preserve"> כדתניא פ"ק דקדושין </w:t>
      </w:r>
      <w:r w:rsidR="00B63507" w:rsidRPr="00B445B8">
        <w:rPr>
          <w:rFonts w:cs="Arial" w:hint="cs"/>
          <w:sz w:val="16"/>
          <w:szCs w:val="16"/>
          <w:rtl/>
        </w:rPr>
        <w:t>(</w:t>
      </w:r>
      <w:r w:rsidR="00B63507" w:rsidRPr="00B445B8">
        <w:rPr>
          <w:rFonts w:cs="Arial"/>
          <w:sz w:val="16"/>
          <w:szCs w:val="16"/>
          <w:rtl/>
        </w:rPr>
        <w:t>ו.</w:t>
      </w:r>
      <w:r w:rsidR="00B63507" w:rsidRPr="00B445B8">
        <w:rPr>
          <w:rFonts w:cs="Arial" w:hint="cs"/>
          <w:sz w:val="16"/>
          <w:szCs w:val="16"/>
          <w:rtl/>
        </w:rPr>
        <w:t>)</w:t>
      </w:r>
      <w:r w:rsidR="00B63507" w:rsidRPr="00B445B8">
        <w:rPr>
          <w:rFonts w:cs="Arial"/>
          <w:sz w:val="16"/>
          <w:szCs w:val="16"/>
          <w:rtl/>
        </w:rPr>
        <w:t xml:space="preserve"> </w:t>
      </w:r>
      <w:r w:rsidR="00B63507" w:rsidRPr="00B63507">
        <w:rPr>
          <w:rFonts w:cs="Arial"/>
          <w:rtl/>
        </w:rPr>
        <w:t>היה מדבר עמה על עסקי גיטה וקדושיה ונתן לה רבי יוסי אומר דיו והלכה כר' יוסי</w:t>
      </w:r>
      <w:r w:rsidR="00D155C0">
        <w:rPr>
          <w:rFonts w:cs="Arial" w:hint="cs"/>
          <w:rtl/>
        </w:rPr>
        <w:t>.</w:t>
      </w:r>
      <w:r w:rsidR="00B63507" w:rsidRPr="00B63507">
        <w:rPr>
          <w:rFonts w:cs="Arial"/>
          <w:rtl/>
        </w:rPr>
        <w:t xml:space="preserve"> וכן גבי נזיר נמי תנא </w:t>
      </w:r>
      <w:r w:rsidR="00B445B8" w:rsidRPr="00B445B8">
        <w:rPr>
          <w:rFonts w:cs="Arial" w:hint="cs"/>
          <w:sz w:val="16"/>
          <w:szCs w:val="16"/>
          <w:rtl/>
        </w:rPr>
        <w:t>(</w:t>
      </w:r>
      <w:r w:rsidR="00B63507" w:rsidRPr="00B445B8">
        <w:rPr>
          <w:rFonts w:cs="Arial"/>
          <w:sz w:val="16"/>
          <w:szCs w:val="16"/>
          <w:rtl/>
        </w:rPr>
        <w:t>כ:</w:t>
      </w:r>
      <w:r w:rsidR="00B445B8" w:rsidRPr="00B445B8">
        <w:rPr>
          <w:rFonts w:cs="Arial" w:hint="cs"/>
          <w:sz w:val="16"/>
          <w:szCs w:val="16"/>
          <w:rtl/>
        </w:rPr>
        <w:t>)</w:t>
      </w:r>
      <w:r w:rsidR="00B63507" w:rsidRPr="00B445B8">
        <w:rPr>
          <w:rFonts w:cs="Arial"/>
          <w:sz w:val="16"/>
          <w:szCs w:val="16"/>
          <w:rtl/>
        </w:rPr>
        <w:t xml:space="preserve"> </w:t>
      </w:r>
      <w:r w:rsidR="00B63507" w:rsidRPr="00B63507">
        <w:rPr>
          <w:rFonts w:cs="Arial"/>
          <w:rtl/>
        </w:rPr>
        <w:t>האומר הריני נזיר ושמע חבירו ואמר ואני ושמע חבירו ואמר ואני כולם נזירים ואע</w:t>
      </w:r>
      <w:r w:rsidR="00B445B8">
        <w:rPr>
          <w:rFonts w:cs="Arial" w:hint="cs"/>
          <w:rtl/>
        </w:rPr>
        <w:t>"</w:t>
      </w:r>
      <w:r w:rsidR="00B63507" w:rsidRPr="00B63507">
        <w:rPr>
          <w:rFonts w:cs="Arial"/>
          <w:rtl/>
        </w:rPr>
        <w:t>ג דלא פירש ואני נזיר</w:t>
      </w:r>
      <w:r w:rsidR="00B445B8">
        <w:rPr>
          <w:rFonts w:cs="Arial" w:hint="cs"/>
          <w:rtl/>
        </w:rPr>
        <w:t>.</w:t>
      </w:r>
      <w:r w:rsidR="00B63507" w:rsidRPr="00B63507">
        <w:rPr>
          <w:rFonts w:cs="Arial"/>
          <w:rtl/>
        </w:rPr>
        <w:t xml:space="preserve"> ועוד שאדם מסכים דעתו לדעת ב"ד</w:t>
      </w:r>
      <w:r w:rsidRPr="004829F2">
        <w:rPr>
          <w:rFonts w:cs="Arial" w:hint="cs"/>
          <w:rtl/>
        </w:rPr>
        <w:t>.</w:t>
      </w:r>
      <w:r w:rsidR="009E27FD" w:rsidRPr="004829F2">
        <w:rPr>
          <w:rFonts w:cs="Arial"/>
          <w:rtl/>
        </w:rPr>
        <w:t xml:space="preserve"> </w:t>
      </w:r>
    </w:p>
    <w:p w14:paraId="0D8B8269" w14:textId="77777777" w:rsidR="003A627F" w:rsidRPr="003A627F" w:rsidRDefault="003A627F" w:rsidP="003A627F">
      <w:pPr>
        <w:rPr>
          <w:rFonts w:cs="Arial"/>
          <w:u w:val="single"/>
        </w:rPr>
      </w:pPr>
      <w:r w:rsidRPr="003A627F">
        <w:rPr>
          <w:rFonts w:cs="Arial" w:hint="cs"/>
          <w:u w:val="single"/>
          <w:rtl/>
        </w:rPr>
        <w:t>א</w:t>
      </w:r>
      <w:r>
        <w:rPr>
          <w:rFonts w:cs="Arial" w:hint="cs"/>
          <w:u w:val="single"/>
          <w:rtl/>
        </w:rPr>
        <w:t>חד</w:t>
      </w:r>
      <w:r w:rsidRPr="003A627F">
        <w:rPr>
          <w:rFonts w:cs="Arial" w:hint="cs"/>
          <w:u w:val="single"/>
          <w:rtl/>
        </w:rPr>
        <w:t xml:space="preserve"> </w:t>
      </w:r>
      <w:r w:rsidR="002E4FCB">
        <w:rPr>
          <w:rFonts w:cs="Arial" w:hint="cs"/>
          <w:u w:val="single"/>
          <w:rtl/>
        </w:rPr>
        <w:t>ש</w:t>
      </w:r>
      <w:r w:rsidRPr="003A627F">
        <w:rPr>
          <w:rFonts w:cs="Arial" w:hint="cs"/>
          <w:u w:val="single"/>
          <w:rtl/>
        </w:rPr>
        <w:t>הביא שטרו פקדונו לב</w:t>
      </w:r>
      <w:r>
        <w:rPr>
          <w:rFonts w:cs="Arial" w:hint="cs"/>
          <w:u w:val="single"/>
          <w:rtl/>
        </w:rPr>
        <w:t>"</w:t>
      </w:r>
      <w:r w:rsidRPr="003A627F">
        <w:rPr>
          <w:rFonts w:cs="Arial" w:hint="cs"/>
          <w:u w:val="single"/>
          <w:rtl/>
        </w:rPr>
        <w:t xml:space="preserve">ד </w:t>
      </w:r>
      <w:r w:rsidR="002E4FCB" w:rsidRPr="002E4FCB">
        <w:rPr>
          <w:rFonts w:cs="Arial" w:hint="cs"/>
          <w:u w:val="single"/>
          <w:rtl/>
        </w:rPr>
        <w:t xml:space="preserve">ע"מ </w:t>
      </w:r>
      <w:r w:rsidRPr="002E4FCB">
        <w:rPr>
          <w:rFonts w:cs="Arial" w:hint="cs"/>
          <w:u w:val="single"/>
          <w:rtl/>
        </w:rPr>
        <w:t xml:space="preserve">להוכיח </w:t>
      </w:r>
      <w:r w:rsidR="002E4FCB">
        <w:rPr>
          <w:rFonts w:cs="Arial" w:hint="cs"/>
          <w:u w:val="single"/>
          <w:rtl/>
        </w:rPr>
        <w:t>שבצדק תובע את פקדונו</w:t>
      </w:r>
      <w:r w:rsidRPr="003A627F">
        <w:rPr>
          <w:rFonts w:cs="Arial" w:hint="cs"/>
          <w:u w:val="single"/>
          <w:rtl/>
        </w:rPr>
        <w:t xml:space="preserve"> </w:t>
      </w:r>
      <w:r w:rsidR="002E4FCB">
        <w:rPr>
          <w:rFonts w:cs="Arial" w:hint="cs"/>
          <w:u w:val="single"/>
          <w:rtl/>
        </w:rPr>
        <w:t xml:space="preserve">ולאחר שהתחילו לדון </w:t>
      </w:r>
      <w:r w:rsidRPr="003A627F">
        <w:rPr>
          <w:rFonts w:cs="Arial" w:hint="cs"/>
          <w:u w:val="single"/>
          <w:rtl/>
        </w:rPr>
        <w:t>ביקש שיחזירו לו שטרו:</w:t>
      </w:r>
    </w:p>
    <w:p w14:paraId="3C16A86C" w14:textId="77777777" w:rsidR="009E7277" w:rsidRDefault="009E27FD" w:rsidP="004B0475">
      <w:pPr>
        <w:pStyle w:val="ac"/>
        <w:numPr>
          <w:ilvl w:val="0"/>
          <w:numId w:val="30"/>
        </w:numPr>
        <w:rPr>
          <w:rFonts w:cs="Arial"/>
        </w:rPr>
      </w:pPr>
      <w:r w:rsidRPr="004829F2">
        <w:rPr>
          <w:rFonts w:cs="Arial"/>
          <w:rtl/>
        </w:rPr>
        <w:t xml:space="preserve">רשב"א </w:t>
      </w:r>
      <w:r w:rsidRPr="004829F2">
        <w:rPr>
          <w:rFonts w:cs="Arial"/>
          <w:sz w:val="16"/>
          <w:szCs w:val="16"/>
          <w:rtl/>
        </w:rPr>
        <w:t>(שו"ת ח"ד סי' סז)</w:t>
      </w:r>
      <w:r w:rsidR="004829F2" w:rsidRPr="004829F2">
        <w:rPr>
          <w:rFonts w:cs="Arial" w:hint="cs"/>
          <w:rtl/>
        </w:rPr>
        <w:t>-</w:t>
      </w:r>
      <w:r w:rsidRPr="004829F2">
        <w:rPr>
          <w:rFonts w:cs="Arial"/>
          <w:rtl/>
        </w:rPr>
        <w:t xml:space="preserve"> נפתלי שתבע מראובן בבית דין פקדונו</w:t>
      </w:r>
      <w:r w:rsidR="00706040">
        <w:rPr>
          <w:rFonts w:cs="Arial" w:hint="cs"/>
          <w:rtl/>
        </w:rPr>
        <w:t>,</w:t>
      </w:r>
      <w:r w:rsidRPr="004829F2">
        <w:rPr>
          <w:rFonts w:cs="Arial"/>
          <w:rtl/>
        </w:rPr>
        <w:t xml:space="preserve"> ומסר לאחד מהדיינים שטר הפקדון</w:t>
      </w:r>
      <w:r w:rsidR="00706040">
        <w:rPr>
          <w:rFonts w:cs="Arial" w:hint="cs"/>
          <w:rtl/>
        </w:rPr>
        <w:t>.</w:t>
      </w:r>
      <w:r w:rsidR="003A627F">
        <w:rPr>
          <w:rFonts w:cs="Arial" w:hint="cs"/>
          <w:rtl/>
        </w:rPr>
        <w:t xml:space="preserve"> והשיב</w:t>
      </w:r>
      <w:r w:rsidRPr="004829F2">
        <w:rPr>
          <w:rFonts w:cs="Arial"/>
          <w:rtl/>
        </w:rPr>
        <w:t xml:space="preserve"> ראובן לתביעתו</w:t>
      </w:r>
      <w:r w:rsidR="00706040">
        <w:rPr>
          <w:rFonts w:cs="Arial" w:hint="cs"/>
          <w:rtl/>
        </w:rPr>
        <w:t>,</w:t>
      </w:r>
      <w:r w:rsidRPr="004829F2">
        <w:rPr>
          <w:rFonts w:cs="Arial"/>
          <w:rtl/>
        </w:rPr>
        <w:t xml:space="preserve"> וחשש נפתלי שמא יחייבוהו בית דין ורצה להסתלק מן התביעה ותבע שטר הפקדון מהדיין שמסרו לו שיחזירנו לידו</w:t>
      </w:r>
      <w:r w:rsidR="00706040">
        <w:rPr>
          <w:rFonts w:cs="Arial" w:hint="cs"/>
          <w:rtl/>
        </w:rPr>
        <w:t>.</w:t>
      </w:r>
      <w:r w:rsidRPr="004829F2">
        <w:rPr>
          <w:rFonts w:cs="Arial"/>
          <w:rtl/>
        </w:rPr>
        <w:t xml:space="preserve"> ובית דין משיבין שאין להן להחזירו לו מפני שכבר מסרו לאחד מהם לפסוק עליו הדין</w:t>
      </w:r>
      <w:r w:rsidR="00706040">
        <w:rPr>
          <w:rFonts w:cs="Arial" w:hint="cs"/>
          <w:rtl/>
        </w:rPr>
        <w:t>.</w:t>
      </w:r>
      <w:r w:rsidRPr="004829F2">
        <w:rPr>
          <w:rFonts w:cs="Arial"/>
          <w:rtl/>
        </w:rPr>
        <w:t xml:space="preserve"> ונפתלי טוען שלא מסרו אלא דרך פקדון ורוצה שיחזירנו לו ויסתלק עכשיו מתביעתו</w:t>
      </w:r>
      <w:r w:rsidR="00706040">
        <w:rPr>
          <w:rFonts w:cs="Arial" w:hint="cs"/>
          <w:rtl/>
        </w:rPr>
        <w:t>.</w:t>
      </w:r>
      <w:r w:rsidRPr="004829F2">
        <w:rPr>
          <w:rFonts w:cs="Arial"/>
          <w:rtl/>
        </w:rPr>
        <w:t xml:space="preserve"> והבית דין טוען שאין יכול להסתלק מחמת שראובן טוען שרוצה לצאת מדינו משום דזילי נכסי ובכי הא נזקקין לנתבע. </w:t>
      </w:r>
      <w:r w:rsidR="004829F2" w:rsidRPr="004829F2">
        <w:rPr>
          <w:rFonts w:cs="Arial" w:hint="cs"/>
          <w:rtl/>
        </w:rPr>
        <w:t>תשובה,</w:t>
      </w:r>
      <w:r w:rsidRPr="004829F2">
        <w:rPr>
          <w:rFonts w:cs="Arial"/>
          <w:rtl/>
        </w:rPr>
        <w:t xml:space="preserve"> הדין עם נפתלי</w:t>
      </w:r>
      <w:r w:rsidR="00706040">
        <w:rPr>
          <w:rFonts w:cs="Arial" w:hint="cs"/>
          <w:rtl/>
        </w:rPr>
        <w:t>,</w:t>
      </w:r>
      <w:r w:rsidRPr="004829F2">
        <w:rPr>
          <w:rFonts w:cs="Arial"/>
          <w:rtl/>
        </w:rPr>
        <w:t xml:space="preserve"> כי כל מוסר שטרותיו לבית דין סתם אינו מזכה אותם לבעל דינו ואינו מוסר שיתבטלו זכיותיו לכשיגמרו הבית דין את הדין</w:t>
      </w:r>
      <w:r w:rsidR="003A627F">
        <w:rPr>
          <w:rFonts w:cs="Arial" w:hint="cs"/>
          <w:rtl/>
        </w:rPr>
        <w:t>,</w:t>
      </w:r>
      <w:r w:rsidRPr="004829F2">
        <w:rPr>
          <w:rFonts w:cs="Arial"/>
          <w:rtl/>
        </w:rPr>
        <w:t xml:space="preserve"> אא</w:t>
      </w:r>
      <w:r w:rsidR="003A627F">
        <w:rPr>
          <w:rFonts w:cs="Arial" w:hint="cs"/>
          <w:rtl/>
        </w:rPr>
        <w:t>"</w:t>
      </w:r>
      <w:r w:rsidRPr="004829F2">
        <w:rPr>
          <w:rFonts w:cs="Arial"/>
          <w:rtl/>
        </w:rPr>
        <w:t xml:space="preserve">כ מסרם ביד בית דין כן בפירוש כההוא דפרק ארבעה נדרים </w:t>
      </w:r>
      <w:r w:rsidRPr="004829F2">
        <w:rPr>
          <w:rFonts w:cs="Arial"/>
          <w:sz w:val="16"/>
          <w:szCs w:val="16"/>
          <w:rtl/>
        </w:rPr>
        <w:t xml:space="preserve">(כז.) </w:t>
      </w:r>
      <w:r w:rsidRPr="004829F2">
        <w:rPr>
          <w:rFonts w:cs="Arial"/>
          <w:rtl/>
        </w:rPr>
        <w:t>דאתפיס זכוותיה בבית דין ואמר אי לא אתינא עד תלתין יומין ליבטלן זכוותאי</w:t>
      </w:r>
      <w:r w:rsidR="00706040">
        <w:rPr>
          <w:rFonts w:cs="Arial" w:hint="cs"/>
          <w:rtl/>
        </w:rPr>
        <w:t>.</w:t>
      </w:r>
      <w:r w:rsidRPr="004829F2">
        <w:rPr>
          <w:rFonts w:cs="Arial"/>
          <w:rtl/>
        </w:rPr>
        <w:t xml:space="preserve"> אבל מוסר שטרו ביד בית דין כזה שמסרו שיראו את דינו מתוך שטרו </w:t>
      </w:r>
      <w:r w:rsidR="00706040">
        <w:rPr>
          <w:rFonts w:cs="Arial" w:hint="cs"/>
          <w:rtl/>
        </w:rPr>
        <w:t xml:space="preserve">- </w:t>
      </w:r>
      <w:r w:rsidRPr="004829F2">
        <w:rPr>
          <w:rFonts w:cs="Arial"/>
          <w:rtl/>
        </w:rPr>
        <w:t>אין לבית דין לעכב שטרו</w:t>
      </w:r>
      <w:r w:rsidR="00706040">
        <w:rPr>
          <w:rFonts w:cs="Arial" w:hint="cs"/>
          <w:rtl/>
        </w:rPr>
        <w:t>,</w:t>
      </w:r>
      <w:r w:rsidRPr="004829F2">
        <w:rPr>
          <w:rFonts w:cs="Arial"/>
          <w:rtl/>
        </w:rPr>
        <w:t xml:space="preserve"> אלא יחזירוהו לו ואם ירצה להסתלק מדינו עד שלא נגמר הדין רשאי</w:t>
      </w:r>
      <w:r w:rsidR="00706040">
        <w:rPr>
          <w:rFonts w:cs="Arial" w:hint="cs"/>
          <w:rtl/>
        </w:rPr>
        <w:t>,</w:t>
      </w:r>
      <w:r w:rsidRPr="004829F2">
        <w:rPr>
          <w:rFonts w:cs="Arial"/>
          <w:rtl/>
        </w:rPr>
        <w:t xml:space="preserve"> ואע</w:t>
      </w:r>
      <w:r w:rsidR="004829F2" w:rsidRPr="004829F2">
        <w:rPr>
          <w:rFonts w:cs="Arial" w:hint="cs"/>
          <w:rtl/>
        </w:rPr>
        <w:t>"</w:t>
      </w:r>
      <w:r w:rsidRPr="004829F2">
        <w:rPr>
          <w:rFonts w:cs="Arial"/>
          <w:rtl/>
        </w:rPr>
        <w:t>פ שקבלו עליהם בית דין זה בקנין</w:t>
      </w:r>
      <w:r w:rsidR="003A627F">
        <w:rPr>
          <w:rFonts w:cs="Arial" w:hint="cs"/>
          <w:rtl/>
        </w:rPr>
        <w:t>,</w:t>
      </w:r>
      <w:r w:rsidRPr="004829F2">
        <w:rPr>
          <w:rFonts w:cs="Arial"/>
          <w:rtl/>
        </w:rPr>
        <w:t xml:space="preserve"> שלא אמרו אין לאחר קנין כלום אלא שאם ויתר האחד על דינו ואמר נאמן עלי אבא או אביך וקנו מידו אינו יכול לחזור בו</w:t>
      </w:r>
      <w:r w:rsidR="002E4FCB">
        <w:rPr>
          <w:rFonts w:cs="Arial" w:hint="cs"/>
          <w:rtl/>
        </w:rPr>
        <w:t>,</w:t>
      </w:r>
      <w:r w:rsidRPr="004829F2">
        <w:rPr>
          <w:rFonts w:cs="Arial"/>
          <w:rtl/>
        </w:rPr>
        <w:t xml:space="preserve"> אבל אם רצה להסתלק מדינו לגמרי ושלא לתבוע עכשיו </w:t>
      </w:r>
      <w:r w:rsidR="002E4FCB">
        <w:rPr>
          <w:rFonts w:cs="Arial" w:hint="cs"/>
          <w:rtl/>
        </w:rPr>
        <w:t xml:space="preserve">- </w:t>
      </w:r>
      <w:r w:rsidRPr="004829F2">
        <w:rPr>
          <w:rFonts w:cs="Arial"/>
          <w:rtl/>
        </w:rPr>
        <w:t>הרשות בידו אע</w:t>
      </w:r>
      <w:r w:rsidR="004829F2" w:rsidRPr="004829F2">
        <w:rPr>
          <w:rFonts w:cs="Arial" w:hint="cs"/>
          <w:rtl/>
        </w:rPr>
        <w:t>"</w:t>
      </w:r>
      <w:r w:rsidRPr="004829F2">
        <w:rPr>
          <w:rFonts w:cs="Arial"/>
          <w:rtl/>
        </w:rPr>
        <w:t>פ שתובע הנתבע שיגמרו לו את דינו</w:t>
      </w:r>
      <w:r w:rsidR="002E4FCB">
        <w:rPr>
          <w:rFonts w:cs="Arial" w:hint="cs"/>
          <w:rtl/>
        </w:rPr>
        <w:t>,</w:t>
      </w:r>
      <w:r w:rsidRPr="004829F2">
        <w:rPr>
          <w:rFonts w:cs="Arial"/>
          <w:rtl/>
        </w:rPr>
        <w:t xml:space="preserve"> לפי שאין נזקקין לנתבע תחלה</w:t>
      </w:r>
      <w:r w:rsidR="003A627F">
        <w:rPr>
          <w:rFonts w:cs="Arial" w:hint="cs"/>
          <w:rtl/>
        </w:rPr>
        <w:t>.</w:t>
      </w:r>
      <w:r w:rsidRPr="004829F2">
        <w:rPr>
          <w:rFonts w:cs="Arial"/>
          <w:rtl/>
        </w:rPr>
        <w:t xml:space="preserve"> ומכל מקום אם ראובן טוען דזילי נכסיה ורואים בית דין שהוא טוען כך באמת ושלא יהא הערמה במה שהוא טוען </w:t>
      </w:r>
      <w:r w:rsidR="002E4FCB">
        <w:rPr>
          <w:rFonts w:cs="Arial" w:hint="cs"/>
          <w:rtl/>
        </w:rPr>
        <w:t xml:space="preserve">- </w:t>
      </w:r>
      <w:r w:rsidRPr="004829F2">
        <w:rPr>
          <w:rFonts w:cs="Arial"/>
          <w:rtl/>
        </w:rPr>
        <w:t>נזקקין לו</w:t>
      </w:r>
      <w:r w:rsidR="002E4FCB">
        <w:rPr>
          <w:rFonts w:cs="Arial" w:hint="cs"/>
          <w:rtl/>
        </w:rPr>
        <w:t>,</w:t>
      </w:r>
      <w:r w:rsidRPr="004829F2">
        <w:rPr>
          <w:rFonts w:cs="Arial"/>
          <w:rtl/>
        </w:rPr>
        <w:t xml:space="preserve"> כדעת מקצת גדולי המורים שפרשו כן בההיא דפעמים שנזקקין לנתבע תחלה </w:t>
      </w:r>
      <w:r w:rsidRPr="004829F2">
        <w:rPr>
          <w:rFonts w:cs="Arial"/>
          <w:sz w:val="16"/>
          <w:szCs w:val="16"/>
          <w:rtl/>
        </w:rPr>
        <w:t>(ב"ק מו:)</w:t>
      </w:r>
      <w:r w:rsidR="002E4FCB">
        <w:rPr>
          <w:rFonts w:cs="Arial" w:hint="cs"/>
          <w:rtl/>
        </w:rPr>
        <w:t>.</w:t>
      </w:r>
      <w:r w:rsidR="003A627F">
        <w:rPr>
          <w:rFonts w:cs="Arial" w:hint="cs"/>
          <w:rtl/>
        </w:rPr>
        <w:t xml:space="preserve"> </w:t>
      </w:r>
      <w:r w:rsidRPr="004829F2">
        <w:rPr>
          <w:rFonts w:cs="Arial"/>
          <w:rtl/>
        </w:rPr>
        <w:t xml:space="preserve">אבל אם ראו בית דין שאינו טוען כן באמת ושלא יזולו נכסיו על זה </w:t>
      </w:r>
      <w:r w:rsidR="002E4FCB">
        <w:rPr>
          <w:rFonts w:cs="Arial" w:hint="cs"/>
          <w:rtl/>
        </w:rPr>
        <w:t xml:space="preserve">- </w:t>
      </w:r>
      <w:r w:rsidRPr="004829F2">
        <w:rPr>
          <w:rFonts w:cs="Arial"/>
          <w:rtl/>
        </w:rPr>
        <w:t>אין נזקקין לו</w:t>
      </w:r>
      <w:r w:rsidR="004829F2" w:rsidRPr="004829F2">
        <w:rPr>
          <w:rFonts w:cs="Arial" w:hint="cs"/>
          <w:rtl/>
        </w:rPr>
        <w:t>.</w:t>
      </w:r>
    </w:p>
    <w:p w14:paraId="4C480C81" w14:textId="77777777" w:rsidR="00E137BC" w:rsidRPr="00576D5C" w:rsidRDefault="00E137BC" w:rsidP="00576D5C">
      <w:pPr>
        <w:rPr>
          <w:rFonts w:asciiTheme="minorBidi" w:hAnsiTheme="minorBidi"/>
          <w:b/>
          <w:bCs/>
          <w:color w:val="000000"/>
          <w:sz w:val="28"/>
          <w:szCs w:val="28"/>
          <w:u w:val="single"/>
          <w:rtl/>
        </w:rPr>
      </w:pPr>
      <w:r w:rsidRPr="00576D5C">
        <w:rPr>
          <w:rFonts w:asciiTheme="minorBidi" w:hAnsiTheme="minorBidi"/>
          <w:b/>
          <w:bCs/>
          <w:color w:val="000000"/>
          <w:sz w:val="28"/>
          <w:szCs w:val="28"/>
          <w:u w:val="single"/>
          <w:rtl/>
        </w:rPr>
        <w:t>שו"ע:</w:t>
      </w:r>
    </w:p>
    <w:p w14:paraId="03147F78" w14:textId="77777777" w:rsidR="00E137BC" w:rsidRPr="00576D5C" w:rsidRDefault="00E137BC" w:rsidP="00576D5C">
      <w:pPr>
        <w:rPr>
          <w:rFonts w:asciiTheme="minorBidi" w:hAnsiTheme="minorBidi"/>
          <w:rtl/>
        </w:rPr>
      </w:pPr>
      <w:r w:rsidRPr="00576D5C">
        <w:rPr>
          <w:rFonts w:asciiTheme="minorBidi" w:hAnsiTheme="minorBidi"/>
          <w:rtl/>
        </w:rPr>
        <w:t>מי שנתחייב לחבירו שבועה בב</w:t>
      </w:r>
      <w:r w:rsidR="00A5530C">
        <w:rPr>
          <w:rFonts w:asciiTheme="minorBidi" w:hAnsiTheme="minorBidi" w:hint="cs"/>
          <w:rtl/>
        </w:rPr>
        <w:t xml:space="preserve">ית </w:t>
      </w:r>
      <w:r w:rsidRPr="00576D5C">
        <w:rPr>
          <w:rFonts w:asciiTheme="minorBidi" w:hAnsiTheme="minorBidi"/>
          <w:rtl/>
        </w:rPr>
        <w:t>ד</w:t>
      </w:r>
      <w:r w:rsidR="00A5530C">
        <w:rPr>
          <w:rFonts w:asciiTheme="minorBidi" w:hAnsiTheme="minorBidi" w:hint="cs"/>
          <w:rtl/>
        </w:rPr>
        <w:t>ין</w:t>
      </w:r>
      <w:r w:rsidR="0029013F">
        <w:rPr>
          <w:rStyle w:val="ab"/>
          <w:rFonts w:asciiTheme="minorBidi" w:hAnsiTheme="minorBidi"/>
          <w:rtl/>
        </w:rPr>
        <w:footnoteReference w:id="1139"/>
      </w:r>
      <w:r w:rsidRPr="00576D5C">
        <w:rPr>
          <w:rFonts w:asciiTheme="minorBidi" w:hAnsiTheme="minorBidi"/>
          <w:rtl/>
        </w:rPr>
        <w:t>, ואמר ליה: השבע לי בחיי ראשך והפטר, או השבע לי בחיי ראשך ואתן לך כל מה שתטעון, אם קנו מידו</w:t>
      </w:r>
      <w:r w:rsidR="00FC48EC">
        <w:rPr>
          <w:rFonts w:asciiTheme="minorBidi" w:hAnsiTheme="minorBidi" w:hint="cs"/>
          <w:rtl/>
        </w:rPr>
        <w:t xml:space="preserve"> </w:t>
      </w:r>
      <w:r w:rsidRPr="00576D5C">
        <w:rPr>
          <w:rFonts w:asciiTheme="minorBidi" w:hAnsiTheme="minorBidi"/>
          <w:rtl/>
        </w:rPr>
        <w:t>אינו יכול לחזור בו</w:t>
      </w:r>
      <w:r w:rsidR="00FC48EC">
        <w:rPr>
          <w:rFonts w:asciiTheme="minorBidi" w:hAnsiTheme="minorBidi" w:hint="cs"/>
          <w:rtl/>
        </w:rPr>
        <w:t>,</w:t>
      </w:r>
      <w:r w:rsidRPr="00576D5C">
        <w:rPr>
          <w:rFonts w:asciiTheme="minorBidi" w:hAnsiTheme="minorBidi"/>
          <w:rtl/>
        </w:rPr>
        <w:t xml:space="preserve"> ואם לא קנו מידו יכול לחזור בו עד שיגמר הדין. נגמר הדין ונשבע כמו שאמר ליה, אינו יכול לחזור בו וחייב לשלם. וה</w:t>
      </w:r>
      <w:r w:rsidR="00A5530C">
        <w:rPr>
          <w:rFonts w:asciiTheme="minorBidi" w:hAnsiTheme="minorBidi" w:hint="cs"/>
          <w:rtl/>
        </w:rPr>
        <w:t xml:space="preserve">וא </w:t>
      </w:r>
      <w:r w:rsidRPr="00576D5C">
        <w:rPr>
          <w:rFonts w:asciiTheme="minorBidi" w:hAnsiTheme="minorBidi"/>
          <w:rtl/>
        </w:rPr>
        <w:t>ה</w:t>
      </w:r>
      <w:r w:rsidR="00A5530C">
        <w:rPr>
          <w:rFonts w:asciiTheme="minorBidi" w:hAnsiTheme="minorBidi" w:hint="cs"/>
          <w:rtl/>
        </w:rPr>
        <w:t>דין</w:t>
      </w:r>
      <w:r w:rsidRPr="00576D5C">
        <w:rPr>
          <w:rFonts w:asciiTheme="minorBidi" w:hAnsiTheme="minorBidi"/>
          <w:rtl/>
        </w:rPr>
        <w:t xml:space="preserve"> למי שנתחייב שבועת היסת והפכה</w:t>
      </w:r>
      <w:r w:rsidR="0029013F">
        <w:rPr>
          <w:rStyle w:val="ab"/>
          <w:rFonts w:asciiTheme="minorBidi" w:hAnsiTheme="minorBidi"/>
          <w:rtl/>
        </w:rPr>
        <w:footnoteReference w:id="1140"/>
      </w:r>
      <w:r w:rsidRPr="00576D5C">
        <w:rPr>
          <w:rFonts w:asciiTheme="minorBidi" w:hAnsiTheme="minorBidi"/>
          <w:rtl/>
        </w:rPr>
        <w:t>, אם קנו מידו או אם נשבע זה שנהפכה עליו אינו יכול לחזור בו. וה</w:t>
      </w:r>
      <w:r w:rsidR="00A5530C">
        <w:rPr>
          <w:rFonts w:asciiTheme="minorBidi" w:hAnsiTheme="minorBidi" w:hint="cs"/>
          <w:rtl/>
        </w:rPr>
        <w:t xml:space="preserve">וא </w:t>
      </w:r>
      <w:r w:rsidRPr="00576D5C">
        <w:rPr>
          <w:rFonts w:asciiTheme="minorBidi" w:hAnsiTheme="minorBidi"/>
          <w:rtl/>
        </w:rPr>
        <w:t>ה</w:t>
      </w:r>
      <w:r w:rsidR="00A5530C">
        <w:rPr>
          <w:rFonts w:asciiTheme="minorBidi" w:hAnsiTheme="minorBidi" w:hint="cs"/>
          <w:rtl/>
        </w:rPr>
        <w:t>דין</w:t>
      </w:r>
      <w:r w:rsidRPr="00576D5C">
        <w:rPr>
          <w:rFonts w:asciiTheme="minorBidi" w:hAnsiTheme="minorBidi"/>
          <w:rtl/>
        </w:rPr>
        <w:t xml:space="preserve"> במי שלא היה חייב שבועה, ואמר: אשבע לך שבועה, אם קנו מידו אינו יכול לחזור בו, ואם לא קנו מידו, אף על פי שקבל בב</w:t>
      </w:r>
      <w:r w:rsidR="00A5530C">
        <w:rPr>
          <w:rFonts w:asciiTheme="minorBidi" w:hAnsiTheme="minorBidi" w:hint="cs"/>
          <w:rtl/>
        </w:rPr>
        <w:t xml:space="preserve">ית </w:t>
      </w:r>
      <w:r w:rsidRPr="00576D5C">
        <w:rPr>
          <w:rFonts w:asciiTheme="minorBidi" w:hAnsiTheme="minorBidi"/>
          <w:rtl/>
        </w:rPr>
        <w:t>ד</w:t>
      </w:r>
      <w:r w:rsidR="00A5530C">
        <w:rPr>
          <w:rFonts w:asciiTheme="minorBidi" w:hAnsiTheme="minorBidi" w:hint="cs"/>
          <w:rtl/>
        </w:rPr>
        <w:t>ין</w:t>
      </w:r>
      <w:r w:rsidRPr="00576D5C">
        <w:rPr>
          <w:rFonts w:asciiTheme="minorBidi" w:hAnsiTheme="minorBidi"/>
          <w:rtl/>
        </w:rPr>
        <w:t xml:space="preserve">, חוזר עד שיגמור הדין וישבע. </w:t>
      </w:r>
      <w:r w:rsidRPr="009E7277">
        <w:rPr>
          <w:rFonts w:asciiTheme="minorBidi" w:hAnsiTheme="minorBidi"/>
          <w:sz w:val="18"/>
          <w:szCs w:val="18"/>
          <w:rtl/>
        </w:rPr>
        <w:t>הגה: מי שמחוייב לישבע, ואמר לפני ב"ד אינו רוצה לישבע אלא הריני משלם, ויצא חוץ לבית דין</w:t>
      </w:r>
      <w:r w:rsidR="004D3578">
        <w:rPr>
          <w:rStyle w:val="ab"/>
          <w:rFonts w:asciiTheme="minorBidi" w:hAnsiTheme="minorBidi"/>
          <w:sz w:val="18"/>
          <w:szCs w:val="18"/>
          <w:rtl/>
        </w:rPr>
        <w:footnoteReference w:id="1141"/>
      </w:r>
      <w:r w:rsidRPr="009E7277">
        <w:rPr>
          <w:rFonts w:asciiTheme="minorBidi" w:hAnsiTheme="minorBidi"/>
          <w:sz w:val="18"/>
          <w:szCs w:val="18"/>
          <w:rtl/>
        </w:rPr>
        <w:t>, אינו יכול לחזור בו דזה הוי גמר דין דידיה</w:t>
      </w:r>
      <w:r w:rsidR="009C0A10">
        <w:rPr>
          <w:rFonts w:asciiTheme="minorBidi" w:hAnsiTheme="minorBidi" w:hint="cs"/>
          <w:sz w:val="18"/>
          <w:szCs w:val="18"/>
          <w:rtl/>
        </w:rPr>
        <w:t xml:space="preserve"> (רא"ש וטור)</w:t>
      </w:r>
      <w:r w:rsidRPr="009E7277">
        <w:rPr>
          <w:rFonts w:asciiTheme="minorBidi" w:hAnsiTheme="minorBidi"/>
          <w:sz w:val="18"/>
          <w:szCs w:val="18"/>
          <w:rtl/>
        </w:rPr>
        <w:t>. ויש חולקין</w:t>
      </w:r>
      <w:r w:rsidR="004D3578">
        <w:rPr>
          <w:rStyle w:val="ab"/>
          <w:rFonts w:asciiTheme="minorBidi" w:hAnsiTheme="minorBidi"/>
          <w:sz w:val="18"/>
          <w:szCs w:val="18"/>
          <w:rtl/>
        </w:rPr>
        <w:footnoteReference w:id="1142"/>
      </w:r>
      <w:r w:rsidRPr="009E7277">
        <w:rPr>
          <w:rFonts w:asciiTheme="minorBidi" w:hAnsiTheme="minorBidi"/>
          <w:sz w:val="18"/>
          <w:szCs w:val="18"/>
          <w:rtl/>
        </w:rPr>
        <w:t xml:space="preserve"> (עיין בטור)</w:t>
      </w:r>
      <w:r w:rsidR="0029013F">
        <w:rPr>
          <w:rFonts w:asciiTheme="minorBidi" w:hAnsiTheme="minorBidi" w:hint="cs"/>
          <w:sz w:val="18"/>
          <w:szCs w:val="18"/>
          <w:rtl/>
        </w:rPr>
        <w:t>.</w:t>
      </w:r>
      <w:r w:rsidRPr="009E7277">
        <w:rPr>
          <w:rFonts w:asciiTheme="minorBidi" w:hAnsiTheme="minorBidi"/>
          <w:sz w:val="18"/>
          <w:szCs w:val="18"/>
          <w:rtl/>
        </w:rPr>
        <w:t xml:space="preserve"> מי שנתחייב לחבירו שבועה דאורייתא, ואמר לחבירו: השבע וטול, ונשבע בלא נטילת חפץ, לא יוכל לחזור בו</w:t>
      </w:r>
      <w:r w:rsidR="00515138">
        <w:rPr>
          <w:rStyle w:val="ab"/>
          <w:rFonts w:asciiTheme="minorBidi" w:hAnsiTheme="minorBidi"/>
          <w:sz w:val="18"/>
          <w:szCs w:val="18"/>
          <w:rtl/>
        </w:rPr>
        <w:footnoteReference w:id="1143"/>
      </w:r>
      <w:r w:rsidRPr="009E7277">
        <w:rPr>
          <w:rFonts w:asciiTheme="minorBidi" w:hAnsiTheme="minorBidi"/>
          <w:sz w:val="18"/>
          <w:szCs w:val="18"/>
          <w:rtl/>
        </w:rPr>
        <w:t xml:space="preserve"> (ב</w:t>
      </w:r>
      <w:r w:rsidR="00FC48EC">
        <w:rPr>
          <w:rFonts w:asciiTheme="minorBidi" w:hAnsiTheme="minorBidi" w:hint="cs"/>
          <w:sz w:val="18"/>
          <w:szCs w:val="18"/>
          <w:rtl/>
        </w:rPr>
        <w:t>"י</w:t>
      </w:r>
      <w:r w:rsidRPr="009E7277">
        <w:rPr>
          <w:rFonts w:asciiTheme="minorBidi" w:hAnsiTheme="minorBidi"/>
          <w:sz w:val="18"/>
          <w:szCs w:val="18"/>
          <w:rtl/>
        </w:rPr>
        <w:t>).</w:t>
      </w:r>
    </w:p>
    <w:p w14:paraId="446AC076" w14:textId="77777777" w:rsidR="00E137BC" w:rsidRPr="00576D5C" w:rsidRDefault="00E137BC" w:rsidP="00576D5C">
      <w:pPr>
        <w:rPr>
          <w:rFonts w:asciiTheme="minorBidi" w:hAnsiTheme="minorBidi"/>
          <w:rtl/>
        </w:rPr>
        <w:sectPr w:rsidR="00E137BC" w:rsidRPr="00576D5C" w:rsidSect="00AF3AF9">
          <w:headerReference w:type="default" r:id="rId32"/>
          <w:footnotePr>
            <w:numRestart w:val="eachPage"/>
          </w:footnotePr>
          <w:pgSz w:w="11906" w:h="16838"/>
          <w:pgMar w:top="720" w:right="1134" w:bottom="720" w:left="1134" w:header="0" w:footer="0" w:gutter="0"/>
          <w:cols w:space="720"/>
          <w:bidi/>
          <w:rtlGutter/>
          <w:docGrid w:linePitch="360"/>
        </w:sectPr>
      </w:pPr>
    </w:p>
    <w:p w14:paraId="4E664C9B" w14:textId="77777777" w:rsidR="00E137BC" w:rsidRPr="00576D5C" w:rsidRDefault="00E137BC" w:rsidP="006567B0">
      <w:pPr>
        <w:pStyle w:val="1"/>
        <w:rPr>
          <w:rtl/>
        </w:rPr>
      </w:pPr>
      <w:bookmarkStart w:id="173" w:name="_Toc24883656"/>
      <w:r w:rsidRPr="00576D5C">
        <w:rPr>
          <w:rtl/>
        </w:rPr>
        <w:lastRenderedPageBreak/>
        <w:t>סימן כג: עד מתי נאמן הדיין לומר לזה זכיתי, ובו סעיף אחד.</w:t>
      </w:r>
      <w:bookmarkEnd w:id="173"/>
      <w:r w:rsidRPr="00576D5C">
        <w:rPr>
          <w:rtl/>
        </w:rPr>
        <w:t xml:space="preserve"> </w:t>
      </w:r>
    </w:p>
    <w:p w14:paraId="4595A9B4" w14:textId="77777777" w:rsidR="00E137BC" w:rsidRDefault="00E137BC" w:rsidP="006567B0">
      <w:pPr>
        <w:pStyle w:val="2"/>
        <w:rPr>
          <w:rtl/>
        </w:rPr>
      </w:pPr>
      <w:bookmarkStart w:id="174" w:name="_Toc24883657"/>
      <w:r w:rsidRPr="00576D5C">
        <w:rPr>
          <w:rtl/>
        </w:rPr>
        <w:t>סעיף א</w:t>
      </w:r>
      <w:bookmarkEnd w:id="174"/>
    </w:p>
    <w:p w14:paraId="199C3E9A" w14:textId="77777777" w:rsidR="0047398A" w:rsidRDefault="0019431C" w:rsidP="0019431C">
      <w:pPr>
        <w:rPr>
          <w:rFonts w:cs="Arial"/>
          <w:rtl/>
        </w:rPr>
      </w:pPr>
      <w:r w:rsidRPr="0047398A">
        <w:rPr>
          <w:rFonts w:cs="Arial"/>
          <w:b/>
          <w:bCs/>
          <w:rtl/>
        </w:rPr>
        <w:t xml:space="preserve">קידושין </w:t>
      </w:r>
      <w:r w:rsidR="0047398A" w:rsidRPr="0047398A">
        <w:rPr>
          <w:rFonts w:cs="Arial" w:hint="cs"/>
          <w:b/>
          <w:bCs/>
          <w:sz w:val="16"/>
          <w:szCs w:val="16"/>
          <w:rtl/>
        </w:rPr>
        <w:t>(</w:t>
      </w:r>
      <w:r w:rsidR="0047398A" w:rsidRPr="0047398A">
        <w:rPr>
          <w:rFonts w:cs="Arial"/>
          <w:b/>
          <w:bCs/>
          <w:sz w:val="16"/>
          <w:szCs w:val="16"/>
          <w:rtl/>
        </w:rPr>
        <w:t>פ</w:t>
      </w:r>
      <w:r w:rsidR="0047398A" w:rsidRPr="0047398A">
        <w:rPr>
          <w:rFonts w:cs="Arial" w:hint="cs"/>
          <w:b/>
          <w:bCs/>
          <w:sz w:val="16"/>
          <w:szCs w:val="16"/>
          <w:rtl/>
        </w:rPr>
        <w:t>'</w:t>
      </w:r>
      <w:r w:rsidR="0047398A" w:rsidRPr="0047398A">
        <w:rPr>
          <w:rFonts w:cs="Arial"/>
          <w:b/>
          <w:bCs/>
          <w:sz w:val="16"/>
          <w:szCs w:val="16"/>
          <w:rtl/>
        </w:rPr>
        <w:t xml:space="preserve"> עשרה יוחסין</w:t>
      </w:r>
      <w:r w:rsidR="0047398A" w:rsidRPr="0047398A">
        <w:rPr>
          <w:rFonts w:cs="Arial" w:hint="cs"/>
          <w:b/>
          <w:bCs/>
          <w:sz w:val="16"/>
          <w:szCs w:val="16"/>
          <w:rtl/>
        </w:rPr>
        <w:t xml:space="preserve">) </w:t>
      </w:r>
      <w:r w:rsidRPr="0047398A">
        <w:rPr>
          <w:rFonts w:cs="Arial"/>
          <w:b/>
          <w:bCs/>
          <w:rtl/>
        </w:rPr>
        <w:t>עד</w:t>
      </w:r>
      <w:r w:rsidR="003C6CA0">
        <w:rPr>
          <w:rStyle w:val="ab"/>
          <w:rFonts w:cs="Arial"/>
          <w:b/>
          <w:bCs/>
          <w:rtl/>
        </w:rPr>
        <w:footnoteReference w:id="1144"/>
      </w:r>
      <w:r w:rsidR="0047398A" w:rsidRPr="0047398A">
        <w:rPr>
          <w:rFonts w:cs="Arial" w:hint="cs"/>
          <w:b/>
          <w:bCs/>
          <w:rtl/>
        </w:rPr>
        <w:t xml:space="preserve"> ע"א:</w:t>
      </w:r>
      <w:r>
        <w:rPr>
          <w:rFonts w:cs="Arial"/>
          <w:rtl/>
        </w:rPr>
        <w:t xml:space="preserve"> </w:t>
      </w:r>
      <w:r w:rsidR="0047398A" w:rsidRPr="0047398A">
        <w:rPr>
          <w:rFonts w:cs="Arial"/>
          <w:rtl/>
        </w:rPr>
        <w:t>נאמן דיין לומר לזה זכיתי ולזה חייבתי; במה דברים אמורים - שבעלי דינים עומדים לפניו</w:t>
      </w:r>
      <w:r w:rsidR="00E32C48">
        <w:rPr>
          <w:rStyle w:val="ab"/>
          <w:rFonts w:cs="Arial"/>
          <w:rtl/>
        </w:rPr>
        <w:footnoteReference w:id="1145"/>
      </w:r>
      <w:r w:rsidR="0047398A" w:rsidRPr="0047398A">
        <w:rPr>
          <w:rFonts w:cs="Arial"/>
          <w:rtl/>
        </w:rPr>
        <w:t>, אבל אין בעלי דינים עומדים לפניו - אינו נאמן. וניחזי זכותא מאן נקיט</w:t>
      </w:r>
      <w:r w:rsidR="00E32C48">
        <w:rPr>
          <w:rStyle w:val="ab"/>
          <w:rFonts w:cs="Arial"/>
          <w:rtl/>
        </w:rPr>
        <w:footnoteReference w:id="1146"/>
      </w:r>
      <w:r w:rsidR="0047398A" w:rsidRPr="0047398A">
        <w:rPr>
          <w:rFonts w:cs="Arial"/>
          <w:rtl/>
        </w:rPr>
        <w:t>? לא צריכא דקריע זכותייהו. וניהדר ונידיינינהו</w:t>
      </w:r>
      <w:r w:rsidR="00E32C48">
        <w:rPr>
          <w:rStyle w:val="ab"/>
          <w:rFonts w:cs="Arial"/>
          <w:rtl/>
        </w:rPr>
        <w:footnoteReference w:id="1147"/>
      </w:r>
      <w:r w:rsidR="0047398A" w:rsidRPr="0047398A">
        <w:rPr>
          <w:rFonts w:cs="Arial"/>
          <w:rtl/>
        </w:rPr>
        <w:t xml:space="preserve">! בשודא דדייני. </w:t>
      </w:r>
    </w:p>
    <w:p w14:paraId="1A1A561E" w14:textId="77777777" w:rsidR="00E32C48" w:rsidRPr="00E32C48" w:rsidRDefault="00E32C48" w:rsidP="00E32C48">
      <w:pPr>
        <w:rPr>
          <w:rFonts w:cs="Arial"/>
          <w:u w:val="single"/>
          <w:rtl/>
        </w:rPr>
      </w:pPr>
      <w:r w:rsidRPr="00E32C48">
        <w:rPr>
          <w:u w:val="single"/>
          <w:rtl/>
        </w:rPr>
        <w:t>עד מתי נאמן הדיין לומר לזה זכיתי</w:t>
      </w:r>
      <w:r w:rsidRPr="00E32C48">
        <w:rPr>
          <w:rFonts w:cs="Arial" w:hint="cs"/>
          <w:u w:val="single"/>
          <w:rtl/>
        </w:rPr>
        <w:t>:</w:t>
      </w:r>
    </w:p>
    <w:p w14:paraId="7F666AE7" w14:textId="77777777" w:rsidR="00E32C48" w:rsidRPr="00E32C48" w:rsidRDefault="00E32C48" w:rsidP="004B0475">
      <w:pPr>
        <w:pStyle w:val="ac"/>
        <w:numPr>
          <w:ilvl w:val="0"/>
          <w:numId w:val="30"/>
        </w:numPr>
      </w:pPr>
      <w:r w:rsidRPr="00E32C48">
        <w:rPr>
          <w:rFonts w:cs="Arial" w:hint="cs"/>
          <w:rtl/>
        </w:rPr>
        <w:t>טור-</w:t>
      </w:r>
      <w:r w:rsidRPr="00E32C48">
        <w:rPr>
          <w:rFonts w:cs="Arial"/>
          <w:rtl/>
        </w:rPr>
        <w:t xml:space="preserve"> כל זמן שבעלי הדינין עומדין לפני הדיין נאמן לומר לזה חייבתי ולזה זכיתי</w:t>
      </w:r>
      <w:r w:rsidR="00CE5827">
        <w:rPr>
          <w:rFonts w:cs="Arial" w:hint="cs"/>
          <w:rtl/>
        </w:rPr>
        <w:t>.</w:t>
      </w:r>
      <w:r w:rsidRPr="00E32C48">
        <w:rPr>
          <w:rFonts w:cs="Arial"/>
          <w:rtl/>
        </w:rPr>
        <w:t xml:space="preserve"> נסתלקו מלפניו אינו נאמן אם אין בידו פסק דין</w:t>
      </w:r>
      <w:r w:rsidR="00CE5827">
        <w:rPr>
          <w:rFonts w:cs="Arial" w:hint="cs"/>
          <w:rtl/>
        </w:rPr>
        <w:t>.</w:t>
      </w:r>
      <w:r w:rsidRPr="00E32C48">
        <w:rPr>
          <w:rFonts w:cs="Arial"/>
          <w:rtl/>
        </w:rPr>
        <w:t xml:space="preserve"> ודוקא בשודא דדייני בשאינו תלוי בטענות אלא בראות הדיין ליתנו למי שיראה לו</w:t>
      </w:r>
      <w:r w:rsidR="00CE5827">
        <w:rPr>
          <w:rFonts w:cs="Arial" w:hint="cs"/>
          <w:rtl/>
        </w:rPr>
        <w:t>,</w:t>
      </w:r>
      <w:r w:rsidRPr="00E32C48">
        <w:rPr>
          <w:rFonts w:cs="Arial"/>
          <w:rtl/>
        </w:rPr>
        <w:t xml:space="preserve"> שדעת הנותן היתה קרובה אליו יותר בהא חיישינן שמא נשתנה דעת הדיין ממה שהיה כבר</w:t>
      </w:r>
      <w:r w:rsidR="00572BA1">
        <w:rPr>
          <w:rFonts w:cs="Arial" w:hint="cs"/>
          <w:rtl/>
        </w:rPr>
        <w:t>.</w:t>
      </w:r>
      <w:r w:rsidRPr="00E32C48">
        <w:rPr>
          <w:rFonts w:cs="Arial"/>
          <w:rtl/>
        </w:rPr>
        <w:t xml:space="preserve"> אבל דין התלוי בטענות לא שייך בו נאמנות</w:t>
      </w:r>
      <w:r w:rsidR="00CE5827">
        <w:rPr>
          <w:rFonts w:cs="Arial" w:hint="cs"/>
          <w:rtl/>
        </w:rPr>
        <w:t>,</w:t>
      </w:r>
      <w:r w:rsidRPr="00E32C48">
        <w:rPr>
          <w:rFonts w:cs="Arial"/>
          <w:rtl/>
        </w:rPr>
        <w:t xml:space="preserve"> שלפי הטענות שטענו יזכה לזוכה ובלבד שלא יסתור טענות הראשונות</w:t>
      </w:r>
      <w:r>
        <w:rPr>
          <w:rFonts w:cs="Arial" w:hint="cs"/>
          <w:rtl/>
        </w:rPr>
        <w:t>.</w:t>
      </w:r>
      <w:r w:rsidR="00CE5827" w:rsidRPr="008006DC">
        <w:rPr>
          <w:rFonts w:cs="Arial"/>
          <w:rtl/>
        </w:rPr>
        <w:t xml:space="preserve"> </w:t>
      </w:r>
      <w:r w:rsidR="00CE5827" w:rsidRPr="008006DC">
        <w:rPr>
          <w:rFonts w:hint="cs"/>
          <w:color w:val="E36C0A" w:themeColor="accent6" w:themeShade="BF"/>
          <w:rtl/>
        </w:rPr>
        <w:t>(וכ"פ בשו"ע)</w:t>
      </w:r>
    </w:p>
    <w:p w14:paraId="17200DFE" w14:textId="77777777" w:rsidR="00E32C48" w:rsidRPr="00CE5827" w:rsidRDefault="00E32C48" w:rsidP="00E32C48">
      <w:pPr>
        <w:ind w:left="360"/>
        <w:rPr>
          <w:u w:val="dotted"/>
        </w:rPr>
      </w:pPr>
      <w:r w:rsidRPr="00CE5827">
        <w:rPr>
          <w:rFonts w:hint="cs"/>
          <w:u w:val="dotted"/>
          <w:rtl/>
        </w:rPr>
        <w:t>האם הדין כן גם כששני דיינים אומרים כן:</w:t>
      </w:r>
    </w:p>
    <w:p w14:paraId="43C5764E" w14:textId="77777777" w:rsidR="00CE5827" w:rsidRDefault="00E32C48" w:rsidP="004B0475">
      <w:pPr>
        <w:pStyle w:val="ac"/>
        <w:numPr>
          <w:ilvl w:val="0"/>
          <w:numId w:val="30"/>
        </w:numPr>
      </w:pPr>
      <w:r>
        <w:rPr>
          <w:rFonts w:cs="Arial"/>
          <w:rtl/>
        </w:rPr>
        <w:t>רא"</w:t>
      </w:r>
      <w:r>
        <w:rPr>
          <w:rFonts w:cs="Arial" w:hint="cs"/>
          <w:rtl/>
        </w:rPr>
        <w:t>ש</w:t>
      </w:r>
      <w:r w:rsidR="00CE5827">
        <w:rPr>
          <w:rStyle w:val="ab"/>
          <w:rFonts w:cs="Arial"/>
          <w:rtl/>
        </w:rPr>
        <w:footnoteReference w:id="1148"/>
      </w:r>
      <w:r>
        <w:rPr>
          <w:rFonts w:cs="Arial" w:hint="cs"/>
          <w:rtl/>
        </w:rPr>
        <w:t xml:space="preserve"> </w:t>
      </w:r>
      <w:r w:rsidRPr="00E32C48">
        <w:rPr>
          <w:rFonts w:cs="Arial" w:hint="cs"/>
          <w:sz w:val="16"/>
          <w:szCs w:val="16"/>
          <w:rtl/>
        </w:rPr>
        <w:t>(</w:t>
      </w:r>
      <w:r w:rsidRPr="00E32C48">
        <w:rPr>
          <w:rFonts w:cs="Arial"/>
          <w:sz w:val="16"/>
          <w:szCs w:val="16"/>
          <w:rtl/>
        </w:rPr>
        <w:t>כלל ו סי</w:t>
      </w:r>
      <w:r w:rsidRPr="00E32C48">
        <w:rPr>
          <w:rFonts w:cs="Arial" w:hint="cs"/>
          <w:sz w:val="16"/>
          <w:szCs w:val="16"/>
          <w:rtl/>
        </w:rPr>
        <w:t>'</w:t>
      </w:r>
      <w:r w:rsidRPr="00E32C48">
        <w:rPr>
          <w:rFonts w:cs="Arial"/>
          <w:sz w:val="16"/>
          <w:szCs w:val="16"/>
          <w:rtl/>
        </w:rPr>
        <w:t xml:space="preserve"> טו</w:t>
      </w:r>
      <w:r w:rsidRPr="00E32C48">
        <w:rPr>
          <w:rFonts w:cs="Arial" w:hint="cs"/>
          <w:sz w:val="16"/>
          <w:szCs w:val="16"/>
          <w:rtl/>
        </w:rPr>
        <w:t>)</w:t>
      </w:r>
      <w:r>
        <w:rPr>
          <w:rFonts w:cs="Arial" w:hint="cs"/>
          <w:rtl/>
        </w:rPr>
        <w:t xml:space="preserve"> טור וריב"ש</w:t>
      </w:r>
      <w:r w:rsidR="00CE5827">
        <w:rPr>
          <w:rFonts w:cs="Arial" w:hint="cs"/>
          <w:sz w:val="16"/>
          <w:szCs w:val="16"/>
          <w:rtl/>
        </w:rPr>
        <w:t xml:space="preserve"> (סי' ש וסי' תד)</w:t>
      </w:r>
      <w:r>
        <w:rPr>
          <w:rFonts w:cs="Arial" w:hint="cs"/>
          <w:rtl/>
        </w:rPr>
        <w:t xml:space="preserve">- </w:t>
      </w:r>
      <w:r w:rsidRPr="00E32C48">
        <w:rPr>
          <w:rFonts w:cs="Arial"/>
          <w:rtl/>
        </w:rPr>
        <w:t>כל זה דוקא בדיין אחד</w:t>
      </w:r>
      <w:r w:rsidR="006365AC">
        <w:rPr>
          <w:rFonts w:cs="Arial" w:hint="cs"/>
          <w:rtl/>
        </w:rPr>
        <w:t>,</w:t>
      </w:r>
      <w:r w:rsidRPr="00E32C48">
        <w:rPr>
          <w:rFonts w:cs="Arial"/>
          <w:rtl/>
        </w:rPr>
        <w:t xml:space="preserve"> כמו מומחה או יחיד וקבלו עליו</w:t>
      </w:r>
      <w:r w:rsidR="006365AC">
        <w:rPr>
          <w:rFonts w:cs="Arial" w:hint="cs"/>
          <w:rtl/>
        </w:rPr>
        <w:t>,</w:t>
      </w:r>
      <w:r w:rsidRPr="00E32C48">
        <w:rPr>
          <w:rFonts w:cs="Arial"/>
          <w:rtl/>
        </w:rPr>
        <w:t xml:space="preserve"> אבל שנים נאמנים לעולם</w:t>
      </w:r>
      <w:r w:rsidR="00572BA1">
        <w:rPr>
          <w:rFonts w:cs="Arial" w:hint="cs"/>
          <w:rtl/>
        </w:rPr>
        <w:t>,</w:t>
      </w:r>
      <w:r w:rsidRPr="00E32C48">
        <w:rPr>
          <w:rFonts w:cs="Arial"/>
          <w:rtl/>
        </w:rPr>
        <w:t xml:space="preserve"> שאינם חשובים נוגעים בדבר</w:t>
      </w:r>
      <w:r w:rsidR="00CE5827">
        <w:rPr>
          <w:rFonts w:cs="Arial" w:hint="cs"/>
          <w:rtl/>
        </w:rPr>
        <w:t>.</w:t>
      </w:r>
      <w:r w:rsidR="00CE5827" w:rsidRPr="008006DC">
        <w:rPr>
          <w:rFonts w:cs="Arial"/>
          <w:rtl/>
        </w:rPr>
        <w:t xml:space="preserve"> </w:t>
      </w:r>
      <w:r w:rsidR="00CE5827" w:rsidRPr="008006DC">
        <w:rPr>
          <w:rFonts w:hint="cs"/>
          <w:color w:val="E36C0A" w:themeColor="accent6" w:themeShade="BF"/>
          <w:rtl/>
        </w:rPr>
        <w:t>(וכ"פ בשו"ע)</w:t>
      </w:r>
      <w:r w:rsidR="00CE5827">
        <w:rPr>
          <w:rFonts w:hint="cs"/>
          <w:rtl/>
        </w:rPr>
        <w:t xml:space="preserve"> </w:t>
      </w:r>
    </w:p>
    <w:p w14:paraId="09586E8C" w14:textId="77777777" w:rsidR="00CE5827" w:rsidRPr="00CE5827" w:rsidRDefault="00CE5827" w:rsidP="00CE5827">
      <w:pPr>
        <w:ind w:left="360"/>
        <w:rPr>
          <w:u w:val="dotted"/>
        </w:rPr>
      </w:pPr>
      <w:r>
        <w:rPr>
          <w:rFonts w:hint="cs"/>
          <w:u w:val="dotted"/>
          <w:rtl/>
        </w:rPr>
        <w:t>ומה הדין אם יש שני עדים שמכחישים דבריהם:</w:t>
      </w:r>
    </w:p>
    <w:p w14:paraId="2095AD07" w14:textId="77777777" w:rsidR="00E32C48" w:rsidRDefault="00CE5827" w:rsidP="004B0475">
      <w:pPr>
        <w:pStyle w:val="ac"/>
        <w:numPr>
          <w:ilvl w:val="0"/>
          <w:numId w:val="30"/>
        </w:numPr>
      </w:pPr>
      <w:r>
        <w:rPr>
          <w:rFonts w:cs="Arial"/>
          <w:rtl/>
        </w:rPr>
        <w:t xml:space="preserve">רא"ש </w:t>
      </w:r>
      <w:r>
        <w:rPr>
          <w:rFonts w:cs="Arial" w:hint="cs"/>
          <w:sz w:val="16"/>
          <w:szCs w:val="16"/>
          <w:rtl/>
        </w:rPr>
        <w:t>(</w:t>
      </w:r>
      <w:r w:rsidRPr="00CE5827">
        <w:rPr>
          <w:rFonts w:cs="Arial"/>
          <w:sz w:val="16"/>
          <w:szCs w:val="16"/>
          <w:rtl/>
        </w:rPr>
        <w:t>כלל הדיינים</w:t>
      </w:r>
      <w:r w:rsidRPr="006365AC">
        <w:rPr>
          <w:rFonts w:cs="Arial"/>
          <w:sz w:val="14"/>
          <w:szCs w:val="14"/>
          <w:rtl/>
        </w:rPr>
        <w:t xml:space="preserve"> </w:t>
      </w:r>
      <w:r w:rsidRPr="006365AC">
        <w:rPr>
          <w:rFonts w:cs="Arial" w:hint="cs"/>
          <w:sz w:val="14"/>
          <w:szCs w:val="14"/>
          <w:rtl/>
        </w:rPr>
        <w:t>[</w:t>
      </w:r>
      <w:r w:rsidRPr="006365AC">
        <w:rPr>
          <w:rFonts w:cs="Arial"/>
          <w:sz w:val="14"/>
          <w:szCs w:val="14"/>
          <w:rtl/>
        </w:rPr>
        <w:t>כלל נו</w:t>
      </w:r>
      <w:r w:rsidRPr="006365AC">
        <w:rPr>
          <w:rFonts w:cs="Arial" w:hint="cs"/>
          <w:sz w:val="14"/>
          <w:szCs w:val="14"/>
          <w:rtl/>
        </w:rPr>
        <w:t>]</w:t>
      </w:r>
      <w:r w:rsidRPr="00CE5827">
        <w:rPr>
          <w:rFonts w:cs="Arial"/>
          <w:sz w:val="16"/>
          <w:szCs w:val="16"/>
          <w:rtl/>
        </w:rPr>
        <w:t xml:space="preserve"> סי</w:t>
      </w:r>
      <w:r w:rsidR="006365AC">
        <w:rPr>
          <w:rFonts w:cs="Arial" w:hint="cs"/>
          <w:sz w:val="16"/>
          <w:szCs w:val="16"/>
          <w:rtl/>
        </w:rPr>
        <w:t>'</w:t>
      </w:r>
      <w:r w:rsidRPr="00CE5827">
        <w:rPr>
          <w:rFonts w:cs="Arial"/>
          <w:sz w:val="16"/>
          <w:szCs w:val="16"/>
          <w:rtl/>
        </w:rPr>
        <w:t xml:space="preserve"> </w:t>
      </w:r>
      <w:r w:rsidR="006365AC">
        <w:rPr>
          <w:rFonts w:cs="Arial" w:hint="cs"/>
          <w:sz w:val="16"/>
          <w:szCs w:val="16"/>
          <w:rtl/>
        </w:rPr>
        <w:t>ו</w:t>
      </w:r>
      <w:r w:rsidRPr="00CE5827">
        <w:rPr>
          <w:rFonts w:cs="Arial" w:hint="cs"/>
          <w:sz w:val="16"/>
          <w:szCs w:val="16"/>
          <w:rtl/>
        </w:rPr>
        <w:t>)</w:t>
      </w:r>
      <w:r>
        <w:rPr>
          <w:rFonts w:cs="Arial" w:hint="cs"/>
          <w:rtl/>
        </w:rPr>
        <w:t xml:space="preserve"> וטור- </w:t>
      </w:r>
      <w:r w:rsidR="00E32C48" w:rsidRPr="00E32C48">
        <w:rPr>
          <w:rFonts w:cs="Arial"/>
          <w:rtl/>
        </w:rPr>
        <w:t xml:space="preserve">אפילו יש </w:t>
      </w:r>
      <w:r w:rsidR="006365AC">
        <w:rPr>
          <w:rFonts w:cs="Arial" w:hint="cs"/>
          <w:rtl/>
        </w:rPr>
        <w:t>ב'</w:t>
      </w:r>
      <w:r w:rsidR="00E32C48" w:rsidRPr="00E32C48">
        <w:rPr>
          <w:rFonts w:cs="Arial"/>
          <w:rtl/>
        </w:rPr>
        <w:t xml:space="preserve"> עדים שמכחישין אותם הם נאמנים יותר מהעדים</w:t>
      </w:r>
      <w:r w:rsidR="00E32C48">
        <w:rPr>
          <w:rFonts w:cs="Arial" w:hint="cs"/>
          <w:rtl/>
        </w:rPr>
        <w:t>.</w:t>
      </w:r>
      <w:r w:rsidRPr="008006DC">
        <w:rPr>
          <w:rFonts w:cs="Arial"/>
          <w:rtl/>
        </w:rPr>
        <w:t xml:space="preserve"> </w:t>
      </w:r>
      <w:r w:rsidRPr="008006DC">
        <w:rPr>
          <w:rFonts w:hint="cs"/>
          <w:color w:val="E36C0A" w:themeColor="accent6" w:themeShade="BF"/>
          <w:rtl/>
        </w:rPr>
        <w:t>(וכ"פ בשו"ע)</w:t>
      </w:r>
    </w:p>
    <w:p w14:paraId="291BB9EA" w14:textId="77777777" w:rsidR="0044790D" w:rsidRPr="0044790D" w:rsidRDefault="0044790D" w:rsidP="0044790D">
      <w:pPr>
        <w:rPr>
          <w:rFonts w:cs="Arial"/>
          <w:sz w:val="16"/>
          <w:szCs w:val="16"/>
          <w:u w:val="single"/>
        </w:rPr>
      </w:pPr>
      <w:r w:rsidRPr="004A54B8">
        <w:rPr>
          <w:rFonts w:cs="Arial" w:hint="cs"/>
          <w:u w:val="single"/>
          <w:rtl/>
        </w:rPr>
        <w:t>פשרה שנעשתה בהסכמת שני הצדדים אך חלק מהמידע היה מוסתר מהפשרן ומאחד הצדדים:</w:t>
      </w:r>
      <w:r w:rsidRPr="0044790D">
        <w:rPr>
          <w:rFonts w:cs="Arial" w:hint="cs"/>
          <w:rtl/>
        </w:rPr>
        <w:t xml:space="preserve"> </w:t>
      </w:r>
      <w:r w:rsidRPr="0044790D">
        <w:rPr>
          <w:rFonts w:cs="Arial" w:hint="cs"/>
          <w:sz w:val="16"/>
          <w:szCs w:val="16"/>
          <w:rtl/>
        </w:rPr>
        <w:t>(</w:t>
      </w:r>
      <w:r>
        <w:rPr>
          <w:rFonts w:cs="Arial" w:hint="cs"/>
          <w:sz w:val="16"/>
          <w:szCs w:val="16"/>
          <w:rtl/>
        </w:rPr>
        <w:t xml:space="preserve">הועתק מסי' יב </w:t>
      </w:r>
      <w:r w:rsidR="00EE1AB6">
        <w:rPr>
          <w:rFonts w:cs="Arial" w:hint="cs"/>
          <w:sz w:val="16"/>
          <w:szCs w:val="16"/>
          <w:rtl/>
        </w:rPr>
        <w:t xml:space="preserve">סע' </w:t>
      </w:r>
      <w:r>
        <w:rPr>
          <w:rFonts w:cs="Arial" w:hint="cs"/>
          <w:sz w:val="16"/>
          <w:szCs w:val="16"/>
          <w:rtl/>
        </w:rPr>
        <w:t>ט</w:t>
      </w:r>
      <w:r w:rsidR="00EE1AB6">
        <w:rPr>
          <w:rFonts w:cs="Arial" w:hint="cs"/>
          <w:sz w:val="16"/>
          <w:szCs w:val="16"/>
          <w:rtl/>
        </w:rPr>
        <w:t>)</w:t>
      </w:r>
    </w:p>
    <w:p w14:paraId="27B80DB7" w14:textId="77777777" w:rsidR="0044790D" w:rsidRPr="0044790D" w:rsidRDefault="0044790D" w:rsidP="00C704CB">
      <w:pPr>
        <w:pStyle w:val="ac"/>
        <w:numPr>
          <w:ilvl w:val="0"/>
          <w:numId w:val="8"/>
        </w:numPr>
        <w:rPr>
          <w:rFonts w:cs="Arial"/>
        </w:rPr>
      </w:pPr>
      <w:r w:rsidRPr="003B55A3">
        <w:rPr>
          <w:rFonts w:cs="Arial" w:hint="cs"/>
          <w:rtl/>
        </w:rPr>
        <w:t>רשב"א</w:t>
      </w:r>
      <w:r w:rsidRPr="003B55A3">
        <w:rPr>
          <w:rFonts w:cs="Arial"/>
          <w:rtl/>
        </w:rPr>
        <w:t xml:space="preserve"> </w:t>
      </w:r>
      <w:r w:rsidRPr="003B55A3">
        <w:rPr>
          <w:rFonts w:cs="Arial"/>
          <w:sz w:val="16"/>
          <w:szCs w:val="16"/>
          <w:rtl/>
        </w:rPr>
        <w:t>(ח"ג סימן רז)</w:t>
      </w:r>
      <w:r>
        <w:rPr>
          <w:rFonts w:cs="Arial" w:hint="cs"/>
          <w:rtl/>
        </w:rPr>
        <w:t>-</w:t>
      </w:r>
      <w:r w:rsidRPr="003B55A3">
        <w:rPr>
          <w:rFonts w:cs="Arial"/>
          <w:rtl/>
        </w:rPr>
        <w:t xml:space="preserve"> ראובן שנתן לשמעון שטרי חוב שחייבים לו גויים</w:t>
      </w:r>
      <w:r w:rsidR="006365AC">
        <w:rPr>
          <w:rFonts w:cs="Arial" w:hint="cs"/>
          <w:rtl/>
        </w:rPr>
        <w:t>,</w:t>
      </w:r>
      <w:r w:rsidRPr="003B55A3">
        <w:rPr>
          <w:rFonts w:cs="Arial"/>
          <w:rtl/>
        </w:rPr>
        <w:t xml:space="preserve"> ועשה לו מתנה כהוגן</w:t>
      </w:r>
      <w:r w:rsidR="006365AC">
        <w:rPr>
          <w:rFonts w:cs="Arial" w:hint="cs"/>
          <w:rtl/>
        </w:rPr>
        <w:t>,</w:t>
      </w:r>
      <w:r w:rsidRPr="003B55A3">
        <w:rPr>
          <w:rFonts w:cs="Arial"/>
          <w:rtl/>
        </w:rPr>
        <w:t xml:space="preserve"> ונשבע לו שלא יגבה לעצמו מכל אותם חובות כלום לעולם</w:t>
      </w:r>
      <w:r w:rsidR="006365AC">
        <w:rPr>
          <w:rFonts w:cs="Arial" w:hint="cs"/>
          <w:rtl/>
        </w:rPr>
        <w:t>.</w:t>
      </w:r>
      <w:r w:rsidRPr="003B55A3">
        <w:rPr>
          <w:rFonts w:cs="Arial"/>
          <w:rtl/>
        </w:rPr>
        <w:t xml:space="preserve"> ואח</w:t>
      </w:r>
      <w:r>
        <w:rPr>
          <w:rFonts w:cs="Arial" w:hint="cs"/>
          <w:rtl/>
        </w:rPr>
        <w:t>"</w:t>
      </w:r>
      <w:r w:rsidRPr="003B55A3">
        <w:rPr>
          <w:rFonts w:cs="Arial"/>
          <w:rtl/>
        </w:rPr>
        <w:t>כ נתגלגלו תרעומות ותביעות בין ראובן ושמעון</w:t>
      </w:r>
      <w:r w:rsidR="006365AC">
        <w:rPr>
          <w:rFonts w:cs="Arial" w:hint="cs"/>
          <w:rtl/>
        </w:rPr>
        <w:t>,</w:t>
      </w:r>
      <w:r w:rsidRPr="003B55A3">
        <w:rPr>
          <w:rFonts w:cs="Arial"/>
          <w:rtl/>
        </w:rPr>
        <w:t xml:space="preserve"> וקבלו עליהם פשרן אחד שכל מה שיגזור ביניהם תוך זמן פלוני יהיה קיים</w:t>
      </w:r>
      <w:r w:rsidR="006365AC">
        <w:rPr>
          <w:rFonts w:cs="Arial" w:hint="cs"/>
          <w:rtl/>
        </w:rPr>
        <w:t>.</w:t>
      </w:r>
      <w:r w:rsidRPr="003B55A3">
        <w:rPr>
          <w:rFonts w:cs="Arial"/>
          <w:rtl/>
        </w:rPr>
        <w:t xml:space="preserve"> ופשר ביניהם שימחול זה לזה בשטר</w:t>
      </w:r>
      <w:r w:rsidR="006365AC">
        <w:rPr>
          <w:rFonts w:cs="Arial" w:hint="cs"/>
          <w:rtl/>
        </w:rPr>
        <w:t>,</w:t>
      </w:r>
      <w:r w:rsidRPr="003B55A3">
        <w:rPr>
          <w:rFonts w:cs="Arial"/>
          <w:rtl/>
        </w:rPr>
        <w:t xml:space="preserve"> חוץ משטרי המתנה הנזכרת שישארו בתקפן כמו שהם היום</w:t>
      </w:r>
      <w:r>
        <w:rPr>
          <w:rFonts w:cs="Arial" w:hint="cs"/>
          <w:rtl/>
        </w:rPr>
        <w:t>.</w:t>
      </w:r>
      <w:r w:rsidRPr="003B55A3">
        <w:rPr>
          <w:rFonts w:cs="Arial"/>
          <w:rtl/>
        </w:rPr>
        <w:t xml:space="preserve"> לימים נתגלה שראובן לקח מעות מאותם שטרות</w:t>
      </w:r>
      <w:r w:rsidR="006365AC">
        <w:rPr>
          <w:rFonts w:cs="Arial" w:hint="cs"/>
          <w:rtl/>
        </w:rPr>
        <w:t>.</w:t>
      </w:r>
      <w:r w:rsidRPr="003B55A3">
        <w:rPr>
          <w:rFonts w:cs="Arial"/>
          <w:rtl/>
        </w:rPr>
        <w:t xml:space="preserve"> ושמעון תובע ממנו מה שלקח</w:t>
      </w:r>
      <w:r w:rsidR="006365AC">
        <w:rPr>
          <w:rFonts w:cs="Arial" w:hint="cs"/>
          <w:rtl/>
        </w:rPr>
        <w:t>.</w:t>
      </w:r>
      <w:r w:rsidRPr="003B55A3">
        <w:rPr>
          <w:rFonts w:cs="Arial"/>
          <w:rtl/>
        </w:rPr>
        <w:t xml:space="preserve"> וראובן השיב שהוא פטור לפי שהפשרן פסק שימחלו זה לזה וקודם המחילה לקח</w:t>
      </w:r>
      <w:r>
        <w:rPr>
          <w:rFonts w:cs="Arial" w:hint="cs"/>
          <w:rtl/>
        </w:rPr>
        <w:t>,</w:t>
      </w:r>
      <w:r w:rsidRPr="003B55A3">
        <w:rPr>
          <w:rFonts w:cs="Arial"/>
          <w:rtl/>
        </w:rPr>
        <w:t xml:space="preserve"> ואע</w:t>
      </w:r>
      <w:r>
        <w:rPr>
          <w:rFonts w:cs="Arial" w:hint="cs"/>
          <w:rtl/>
        </w:rPr>
        <w:t>"</w:t>
      </w:r>
      <w:r w:rsidRPr="003B55A3">
        <w:rPr>
          <w:rFonts w:cs="Arial"/>
          <w:rtl/>
        </w:rPr>
        <w:t>פ שהוציא מכלל הפשרה השטרות שנתן לו שישארו בחזקתן מ</w:t>
      </w:r>
      <w:r>
        <w:rPr>
          <w:rFonts w:cs="Arial" w:hint="cs"/>
          <w:rtl/>
        </w:rPr>
        <w:t>"</w:t>
      </w:r>
      <w:r w:rsidRPr="003B55A3">
        <w:rPr>
          <w:rFonts w:cs="Arial"/>
          <w:rtl/>
        </w:rPr>
        <w:t xml:space="preserve">מ שם כתוב </w:t>
      </w:r>
      <w:r>
        <w:rPr>
          <w:rFonts w:cs="Arial" w:hint="cs"/>
          <w:rtl/>
        </w:rPr>
        <w:t>'</w:t>
      </w:r>
      <w:r w:rsidRPr="003B55A3">
        <w:rPr>
          <w:rFonts w:cs="Arial"/>
          <w:rtl/>
        </w:rPr>
        <w:t>כמו שהם חיים היום</w:t>
      </w:r>
      <w:r>
        <w:rPr>
          <w:rFonts w:cs="Arial" w:hint="cs"/>
          <w:rtl/>
        </w:rPr>
        <w:t>'</w:t>
      </w:r>
      <w:r w:rsidRPr="003B55A3">
        <w:rPr>
          <w:rFonts w:cs="Arial"/>
          <w:rtl/>
        </w:rPr>
        <w:t xml:space="preserve"> לומר במה שחייבים היום</w:t>
      </w:r>
      <w:r w:rsidR="006365AC">
        <w:rPr>
          <w:rFonts w:cs="Arial" w:hint="cs"/>
          <w:rtl/>
        </w:rPr>
        <w:t>.</w:t>
      </w:r>
      <w:r w:rsidRPr="003B55A3">
        <w:rPr>
          <w:rFonts w:cs="Arial"/>
          <w:rtl/>
        </w:rPr>
        <w:t xml:space="preserve"> ונשאל הפשרן על זה ואמר שכך היתה כונתו</w:t>
      </w:r>
      <w:r w:rsidR="006365AC">
        <w:rPr>
          <w:rFonts w:cs="Arial" w:hint="cs"/>
          <w:rtl/>
        </w:rPr>
        <w:t>.</w:t>
      </w:r>
      <w:r w:rsidRPr="003B55A3">
        <w:rPr>
          <w:rFonts w:cs="Arial"/>
          <w:rtl/>
        </w:rPr>
        <w:t xml:space="preserve"> ושמעון אומר לא כי כל השטרות נשארו בחזקתן ובתקפן. </w:t>
      </w:r>
      <w:r>
        <w:rPr>
          <w:rFonts w:cs="Arial" w:hint="cs"/>
          <w:rtl/>
        </w:rPr>
        <w:t>תשובה</w:t>
      </w:r>
      <w:r w:rsidR="003C6CA0">
        <w:rPr>
          <w:rFonts w:cs="Arial" w:hint="cs"/>
          <w:rtl/>
        </w:rPr>
        <w:t>,</w:t>
      </w:r>
      <w:r w:rsidRPr="003B55A3">
        <w:rPr>
          <w:rFonts w:cs="Arial"/>
          <w:rtl/>
        </w:rPr>
        <w:t xml:space="preserve"> מסתברא שהדין עם שמעון שהרי בשעה ששמו תביעותיהם ביד הפשרן לא נודע שלקח ראובן מאותם שטרות כלום</w:t>
      </w:r>
      <w:r w:rsidR="006365AC">
        <w:rPr>
          <w:rFonts w:cs="Arial" w:hint="cs"/>
          <w:rtl/>
        </w:rPr>
        <w:t>,</w:t>
      </w:r>
      <w:r w:rsidRPr="003B55A3">
        <w:rPr>
          <w:rFonts w:cs="Arial"/>
          <w:rtl/>
        </w:rPr>
        <w:t xml:space="preserve"> ואדרבה בחזקת שלא נטל כלום הוא כיון שנשבע שלא יטול כלום לעולם</w:t>
      </w:r>
      <w:r w:rsidR="006365AC">
        <w:rPr>
          <w:rFonts w:cs="Arial" w:hint="cs"/>
          <w:rtl/>
        </w:rPr>
        <w:t>.</w:t>
      </w:r>
      <w:r w:rsidRPr="003B55A3">
        <w:rPr>
          <w:rFonts w:cs="Arial"/>
          <w:rtl/>
        </w:rPr>
        <w:t xml:space="preserve"> א</w:t>
      </w:r>
      <w:r>
        <w:rPr>
          <w:rFonts w:cs="Arial" w:hint="cs"/>
          <w:rtl/>
        </w:rPr>
        <w:t>"כ</w:t>
      </w:r>
      <w:r w:rsidRPr="003B55A3">
        <w:rPr>
          <w:rFonts w:cs="Arial"/>
          <w:rtl/>
        </w:rPr>
        <w:t xml:space="preserve"> היאך אפשר שהכניס הפשרן זה בכלל המחילה</w:t>
      </w:r>
      <w:r w:rsidR="006365AC">
        <w:rPr>
          <w:rFonts w:cs="Arial" w:hint="cs"/>
          <w:rtl/>
        </w:rPr>
        <w:t>.</w:t>
      </w:r>
      <w:r w:rsidRPr="003B55A3">
        <w:rPr>
          <w:rFonts w:cs="Arial"/>
          <w:rtl/>
        </w:rPr>
        <w:t xml:space="preserve"> ומה שהפשרן אומר עכשיו </w:t>
      </w:r>
      <w:r w:rsidR="006365AC">
        <w:rPr>
          <w:rFonts w:cs="Arial" w:hint="cs"/>
          <w:rtl/>
        </w:rPr>
        <w:t xml:space="preserve">- </w:t>
      </w:r>
      <w:r w:rsidRPr="003B55A3">
        <w:rPr>
          <w:rFonts w:cs="Arial"/>
          <w:rtl/>
        </w:rPr>
        <w:t>אין בדבריו כלום כיון שלא אמר בשעה שבעלי הדין עומדים לפניו</w:t>
      </w:r>
      <w:r>
        <w:rPr>
          <w:rFonts w:cs="Arial" w:hint="cs"/>
          <w:rtl/>
        </w:rPr>
        <w:t>,</w:t>
      </w:r>
      <w:r w:rsidRPr="003B55A3">
        <w:rPr>
          <w:rFonts w:cs="Arial"/>
          <w:rtl/>
        </w:rPr>
        <w:t xml:space="preserve"> וכאותה ששנינו </w:t>
      </w:r>
      <w:r w:rsidRPr="003B55A3">
        <w:rPr>
          <w:rFonts w:cs="Arial"/>
          <w:sz w:val="16"/>
          <w:szCs w:val="16"/>
          <w:rtl/>
        </w:rPr>
        <w:t>(קידושין עד.)</w:t>
      </w:r>
      <w:r w:rsidRPr="003B55A3">
        <w:rPr>
          <w:rFonts w:cs="Arial"/>
          <w:rtl/>
        </w:rPr>
        <w:t xml:space="preserve"> נאמן הדיין לומר לזה זכיתי לזה חייבתי</w:t>
      </w:r>
      <w:r>
        <w:rPr>
          <w:rFonts w:cs="Arial" w:hint="cs"/>
          <w:rtl/>
        </w:rPr>
        <w:t>,</w:t>
      </w:r>
      <w:r w:rsidRPr="003B55A3">
        <w:rPr>
          <w:rFonts w:cs="Arial"/>
          <w:rtl/>
        </w:rPr>
        <w:t xml:space="preserve"> אימתי</w:t>
      </w:r>
      <w:r>
        <w:rPr>
          <w:rFonts w:cs="Arial" w:hint="cs"/>
          <w:rtl/>
        </w:rPr>
        <w:t>,</w:t>
      </w:r>
      <w:r w:rsidRPr="003B55A3">
        <w:rPr>
          <w:rFonts w:cs="Arial"/>
          <w:rtl/>
        </w:rPr>
        <w:t xml:space="preserve"> בזמן שבעלי הדין עומדים לפניו</w:t>
      </w:r>
      <w:r>
        <w:rPr>
          <w:rFonts w:cs="Arial" w:hint="cs"/>
          <w:rtl/>
        </w:rPr>
        <w:t>.</w:t>
      </w:r>
      <w:r w:rsidRPr="003B55A3">
        <w:rPr>
          <w:rFonts w:cs="Arial"/>
          <w:rtl/>
        </w:rPr>
        <w:t xml:space="preserve"> ואפילו אמר תוך הזמן אין משגיחין בו</w:t>
      </w:r>
      <w:r>
        <w:rPr>
          <w:rFonts w:cs="Arial" w:hint="cs"/>
          <w:rtl/>
        </w:rPr>
        <w:t>,</w:t>
      </w:r>
      <w:r w:rsidRPr="003B55A3">
        <w:rPr>
          <w:rFonts w:cs="Arial"/>
          <w:rtl/>
        </w:rPr>
        <w:t xml:space="preserve"> שאין הזמן אלא ליתן לו זמן שיפסוק מה שיפסוק תוך אותו זמן אבל אחר שפסק וכתב ונתן שוב אין לו רשות להוסיף ולגרוע אפילו תוך אותו זמן</w:t>
      </w:r>
      <w:r>
        <w:rPr>
          <w:rFonts w:cs="Arial" w:hint="cs"/>
          <w:rtl/>
        </w:rPr>
        <w:t>.</w:t>
      </w:r>
      <w:r w:rsidR="00625502">
        <w:rPr>
          <w:rFonts w:cs="Arial" w:hint="cs"/>
          <w:rtl/>
        </w:rPr>
        <w:t xml:space="preserve"> </w:t>
      </w:r>
      <w:r w:rsidR="00625502" w:rsidRPr="00625502">
        <w:rPr>
          <w:rFonts w:cs="Arial" w:hint="cs"/>
          <w:color w:val="00B0F0"/>
          <w:rtl/>
        </w:rPr>
        <w:t>(וכ"פ הרמ"א)</w:t>
      </w:r>
    </w:p>
    <w:p w14:paraId="5AF2F8CD" w14:textId="77777777" w:rsidR="00E137BC" w:rsidRPr="00576D5C" w:rsidRDefault="00E137BC" w:rsidP="00576D5C">
      <w:pPr>
        <w:rPr>
          <w:rFonts w:asciiTheme="minorBidi" w:hAnsiTheme="minorBidi"/>
          <w:b/>
          <w:bCs/>
          <w:color w:val="000000"/>
          <w:sz w:val="28"/>
          <w:szCs w:val="28"/>
          <w:u w:val="single"/>
          <w:rtl/>
        </w:rPr>
      </w:pPr>
      <w:r w:rsidRPr="00576D5C">
        <w:rPr>
          <w:rFonts w:asciiTheme="minorBidi" w:hAnsiTheme="minorBidi"/>
          <w:b/>
          <w:bCs/>
          <w:color w:val="000000"/>
          <w:sz w:val="28"/>
          <w:szCs w:val="28"/>
          <w:u w:val="single"/>
          <w:rtl/>
        </w:rPr>
        <w:t>שו"ע:</w:t>
      </w:r>
    </w:p>
    <w:p w14:paraId="363FA9B7" w14:textId="77777777" w:rsidR="00E137BC" w:rsidRPr="00576D5C" w:rsidRDefault="00E137BC" w:rsidP="00576D5C">
      <w:pPr>
        <w:rPr>
          <w:rFonts w:asciiTheme="minorBidi" w:hAnsiTheme="minorBidi"/>
          <w:rtl/>
        </w:rPr>
      </w:pPr>
      <w:r w:rsidRPr="00576D5C">
        <w:rPr>
          <w:rFonts w:asciiTheme="minorBidi" w:hAnsiTheme="minorBidi"/>
          <w:rtl/>
        </w:rPr>
        <w:lastRenderedPageBreak/>
        <w:t>כל זמן שבעלי דינים עומדים לפני הדיין, נאמן לומר לזה חייבתי ולזה זכיתי. נסתלקו מלפניו, אינו נאמן אם אין בידו פסק דין</w:t>
      </w:r>
      <w:r w:rsidR="002202D5">
        <w:rPr>
          <w:rStyle w:val="ab"/>
          <w:rFonts w:asciiTheme="minorBidi" w:hAnsiTheme="minorBidi"/>
          <w:rtl/>
        </w:rPr>
        <w:footnoteReference w:id="1149"/>
      </w:r>
      <w:r w:rsidR="006365AC">
        <w:rPr>
          <w:rFonts w:asciiTheme="minorBidi" w:hAnsiTheme="minorBidi" w:hint="cs"/>
          <w:rtl/>
        </w:rPr>
        <w:t>.</w:t>
      </w:r>
      <w:r w:rsidRPr="00576D5C">
        <w:rPr>
          <w:rFonts w:asciiTheme="minorBidi" w:hAnsiTheme="minorBidi"/>
          <w:rtl/>
        </w:rPr>
        <w:t xml:space="preserve"> ודוקא בשודא דדייני</w:t>
      </w:r>
      <w:r w:rsidR="00CE5827">
        <w:rPr>
          <w:rStyle w:val="ab"/>
          <w:rFonts w:asciiTheme="minorBidi" w:hAnsiTheme="minorBidi"/>
          <w:rtl/>
        </w:rPr>
        <w:footnoteReference w:id="1150"/>
      </w:r>
      <w:r w:rsidRPr="00576D5C">
        <w:rPr>
          <w:rFonts w:asciiTheme="minorBidi" w:hAnsiTheme="minorBidi"/>
          <w:rtl/>
        </w:rPr>
        <w:t>, אבל דין התלוי בטענות לא שייך בו נאמנות</w:t>
      </w:r>
      <w:r w:rsidR="0044790D">
        <w:rPr>
          <w:rStyle w:val="ab"/>
          <w:rFonts w:asciiTheme="minorBidi" w:hAnsiTheme="minorBidi"/>
          <w:rtl/>
        </w:rPr>
        <w:footnoteReference w:id="1151"/>
      </w:r>
      <w:r w:rsidRPr="00576D5C">
        <w:rPr>
          <w:rFonts w:asciiTheme="minorBidi" w:hAnsiTheme="minorBidi"/>
          <w:rtl/>
        </w:rPr>
        <w:t>, שלפי הטענות יזכה הזוכה, ובלבד שלא יסתור טענות הראשונות</w:t>
      </w:r>
      <w:r w:rsidR="0044790D">
        <w:rPr>
          <w:rStyle w:val="ab"/>
          <w:rFonts w:asciiTheme="minorBidi" w:hAnsiTheme="minorBidi"/>
          <w:rtl/>
        </w:rPr>
        <w:footnoteReference w:id="1152"/>
      </w:r>
      <w:r w:rsidRPr="00576D5C">
        <w:rPr>
          <w:rFonts w:asciiTheme="minorBidi" w:hAnsiTheme="minorBidi"/>
          <w:rtl/>
        </w:rPr>
        <w:t>. וכל זה דוקא בדיין אחד, אבל שנים נאמנים לעולם</w:t>
      </w:r>
      <w:r w:rsidR="0044790D">
        <w:rPr>
          <w:rStyle w:val="ab"/>
          <w:rFonts w:asciiTheme="minorBidi" w:hAnsiTheme="minorBidi"/>
          <w:rtl/>
        </w:rPr>
        <w:footnoteReference w:id="1153"/>
      </w:r>
      <w:r w:rsidRPr="00576D5C">
        <w:rPr>
          <w:rFonts w:asciiTheme="minorBidi" w:hAnsiTheme="minorBidi"/>
          <w:rtl/>
        </w:rPr>
        <w:t>, ואפילו אם יש שני</w:t>
      </w:r>
      <w:r w:rsidR="0044790D">
        <w:rPr>
          <w:rStyle w:val="ab"/>
          <w:rFonts w:asciiTheme="minorBidi" w:hAnsiTheme="minorBidi"/>
          <w:rtl/>
        </w:rPr>
        <w:footnoteReference w:id="1154"/>
      </w:r>
      <w:r w:rsidRPr="00576D5C">
        <w:rPr>
          <w:rFonts w:asciiTheme="minorBidi" w:hAnsiTheme="minorBidi"/>
          <w:rtl/>
        </w:rPr>
        <w:t xml:space="preserve"> עדים שמכחישים</w:t>
      </w:r>
      <w:r w:rsidR="0044790D">
        <w:rPr>
          <w:rStyle w:val="ab"/>
          <w:rFonts w:asciiTheme="minorBidi" w:hAnsiTheme="minorBidi"/>
          <w:rtl/>
        </w:rPr>
        <w:footnoteReference w:id="1155"/>
      </w:r>
      <w:r w:rsidRPr="00576D5C">
        <w:rPr>
          <w:rFonts w:asciiTheme="minorBidi" w:hAnsiTheme="minorBidi"/>
          <w:rtl/>
        </w:rPr>
        <w:t xml:space="preserve"> אותם. </w:t>
      </w:r>
      <w:r w:rsidRPr="009E7277">
        <w:rPr>
          <w:rFonts w:asciiTheme="minorBidi" w:hAnsiTheme="minorBidi"/>
          <w:sz w:val="18"/>
          <w:szCs w:val="18"/>
          <w:rtl/>
        </w:rPr>
        <w:t>הגה: וה"ה אם קבלו עליהם פשרן לזמן, כל מה שאומר תוך הזמן נאמן</w:t>
      </w:r>
      <w:r w:rsidR="00572BA1">
        <w:rPr>
          <w:rFonts w:asciiTheme="minorBidi" w:hAnsiTheme="minorBidi" w:hint="cs"/>
          <w:sz w:val="18"/>
          <w:szCs w:val="18"/>
          <w:rtl/>
        </w:rPr>
        <w:t>.</w:t>
      </w:r>
      <w:r w:rsidRPr="009E7277">
        <w:rPr>
          <w:rFonts w:asciiTheme="minorBidi" w:hAnsiTheme="minorBidi"/>
          <w:sz w:val="18"/>
          <w:szCs w:val="18"/>
          <w:rtl/>
        </w:rPr>
        <w:t xml:space="preserve"> אבל אם כבר כתב ונתן להן הפשרה אין לו רשות להוסיף או לגרוע </w:t>
      </w:r>
      <w:r w:rsidR="0044790D">
        <w:rPr>
          <w:rStyle w:val="ab"/>
          <w:rFonts w:asciiTheme="minorBidi" w:hAnsiTheme="minorBidi"/>
          <w:sz w:val="16"/>
          <w:szCs w:val="16"/>
          <w:rtl/>
        </w:rPr>
        <w:footnoteReference w:id="1156"/>
      </w:r>
      <w:r w:rsidRPr="0044790D">
        <w:rPr>
          <w:rFonts w:asciiTheme="minorBidi" w:hAnsiTheme="minorBidi"/>
          <w:sz w:val="16"/>
          <w:szCs w:val="16"/>
          <w:rtl/>
        </w:rPr>
        <w:t>(אפילו תוך הזמן)</w:t>
      </w:r>
      <w:r w:rsidR="005464F3">
        <w:rPr>
          <w:rStyle w:val="ab"/>
          <w:rFonts w:asciiTheme="minorBidi" w:hAnsiTheme="minorBidi"/>
          <w:sz w:val="18"/>
          <w:szCs w:val="18"/>
          <w:rtl/>
        </w:rPr>
        <w:footnoteReference w:id="1157"/>
      </w:r>
      <w:r w:rsidRPr="009E7277">
        <w:rPr>
          <w:rFonts w:asciiTheme="minorBidi" w:hAnsiTheme="minorBidi"/>
          <w:sz w:val="18"/>
          <w:szCs w:val="18"/>
          <w:rtl/>
        </w:rPr>
        <w:t>, אע</w:t>
      </w:r>
      <w:r w:rsidR="0019431C">
        <w:rPr>
          <w:rFonts w:asciiTheme="minorBidi" w:hAnsiTheme="minorBidi" w:hint="cs"/>
          <w:sz w:val="18"/>
          <w:szCs w:val="18"/>
          <w:rtl/>
        </w:rPr>
        <w:t>"</w:t>
      </w:r>
      <w:r w:rsidRPr="009E7277">
        <w:rPr>
          <w:rFonts w:asciiTheme="minorBidi" w:hAnsiTheme="minorBidi"/>
          <w:sz w:val="18"/>
          <w:szCs w:val="18"/>
          <w:rtl/>
        </w:rPr>
        <w:t>פ שאומר שכך היתה כוונתו (ב"י בשם רשב"א).</w:t>
      </w:r>
    </w:p>
    <w:p w14:paraId="435E91C5" w14:textId="77777777" w:rsidR="002202D5" w:rsidRPr="002202D5" w:rsidRDefault="002202D5" w:rsidP="00576D5C">
      <w:pPr>
        <w:rPr>
          <w:rFonts w:asciiTheme="minorBidi" w:hAnsiTheme="minorBidi" w:cs="Arial"/>
          <w:u w:val="single"/>
          <w:rtl/>
        </w:rPr>
      </w:pPr>
      <w:r w:rsidRPr="002202D5">
        <w:rPr>
          <w:rFonts w:asciiTheme="minorBidi" w:hAnsiTheme="minorBidi" w:cs="Arial"/>
          <w:u w:val="single"/>
          <w:rtl/>
        </w:rPr>
        <w:t xml:space="preserve">כתוב בפסק דין </w:t>
      </w:r>
      <w:r w:rsidRPr="002202D5">
        <w:rPr>
          <w:rFonts w:asciiTheme="minorBidi" w:hAnsiTheme="minorBidi" w:cs="Arial" w:hint="cs"/>
          <w:u w:val="single"/>
          <w:rtl/>
        </w:rPr>
        <w:t>'</w:t>
      </w:r>
      <w:r w:rsidRPr="002202D5">
        <w:rPr>
          <w:rFonts w:asciiTheme="minorBidi" w:hAnsiTheme="minorBidi" w:cs="Arial"/>
          <w:u w:val="single"/>
          <w:rtl/>
        </w:rPr>
        <w:t>קרקע פלוני היא שלך</w:t>
      </w:r>
      <w:r w:rsidRPr="002202D5">
        <w:rPr>
          <w:rFonts w:asciiTheme="minorBidi" w:hAnsiTheme="minorBidi" w:cs="Arial" w:hint="cs"/>
          <w:u w:val="single"/>
          <w:rtl/>
        </w:rPr>
        <w:t>'</w:t>
      </w:r>
      <w:r w:rsidRPr="002202D5">
        <w:rPr>
          <w:rFonts w:asciiTheme="minorBidi" w:hAnsiTheme="minorBidi" w:cs="Arial"/>
          <w:u w:val="single"/>
          <w:rtl/>
        </w:rPr>
        <w:t xml:space="preserve"> והפסק ביד א</w:t>
      </w:r>
      <w:r w:rsidRPr="002202D5">
        <w:rPr>
          <w:rFonts w:asciiTheme="minorBidi" w:hAnsiTheme="minorBidi" w:cs="Arial" w:hint="cs"/>
          <w:u w:val="single"/>
          <w:rtl/>
        </w:rPr>
        <w:t>'</w:t>
      </w:r>
      <w:r w:rsidRPr="002202D5">
        <w:rPr>
          <w:rFonts w:asciiTheme="minorBidi" w:hAnsiTheme="minorBidi" w:cs="Arial"/>
          <w:u w:val="single"/>
          <w:rtl/>
        </w:rPr>
        <w:t xml:space="preserve"> מהן והאחר טוען אני הוא שזכיתי בדין וממני נפל ואתה מצאתו</w:t>
      </w:r>
      <w:r w:rsidRPr="002202D5">
        <w:rPr>
          <w:rFonts w:asciiTheme="minorBidi" w:hAnsiTheme="minorBidi" w:cs="Arial" w:hint="cs"/>
          <w:u w:val="single"/>
          <w:rtl/>
        </w:rPr>
        <w:t>:</w:t>
      </w:r>
    </w:p>
    <w:p w14:paraId="1E0B0690" w14:textId="77777777" w:rsidR="00E137BC" w:rsidRPr="002202D5" w:rsidRDefault="002202D5" w:rsidP="00C704CB">
      <w:pPr>
        <w:pStyle w:val="ac"/>
        <w:numPr>
          <w:ilvl w:val="0"/>
          <w:numId w:val="8"/>
        </w:numPr>
        <w:rPr>
          <w:rFonts w:asciiTheme="minorBidi" w:hAnsiTheme="minorBidi"/>
          <w:rtl/>
        </w:rPr>
      </w:pPr>
      <w:r w:rsidRPr="002202D5">
        <w:rPr>
          <w:rFonts w:asciiTheme="minorBidi" w:hAnsiTheme="minorBidi" w:cs="Arial"/>
          <w:rtl/>
        </w:rPr>
        <w:t>ב"ח</w:t>
      </w:r>
      <w:r w:rsidRPr="002202D5">
        <w:rPr>
          <w:rFonts w:asciiTheme="minorBidi" w:hAnsiTheme="minorBidi" w:cs="Arial"/>
          <w:sz w:val="16"/>
          <w:szCs w:val="16"/>
          <w:rtl/>
        </w:rPr>
        <w:t xml:space="preserve"> </w:t>
      </w:r>
      <w:r w:rsidRPr="002202D5">
        <w:rPr>
          <w:rFonts w:asciiTheme="minorBidi" w:hAnsiTheme="minorBidi" w:cs="Arial" w:hint="cs"/>
          <w:sz w:val="16"/>
          <w:szCs w:val="16"/>
          <w:rtl/>
        </w:rPr>
        <w:t>(</w:t>
      </w:r>
      <w:r w:rsidRPr="002202D5">
        <w:rPr>
          <w:rFonts w:asciiTheme="minorBidi" w:hAnsiTheme="minorBidi" w:cs="Arial"/>
          <w:sz w:val="16"/>
          <w:szCs w:val="16"/>
          <w:rtl/>
        </w:rPr>
        <w:t>סע</w:t>
      </w:r>
      <w:r w:rsidRPr="002202D5">
        <w:rPr>
          <w:rFonts w:asciiTheme="minorBidi" w:hAnsiTheme="minorBidi" w:cs="Arial" w:hint="cs"/>
          <w:sz w:val="16"/>
          <w:szCs w:val="16"/>
          <w:rtl/>
        </w:rPr>
        <w:t>'</w:t>
      </w:r>
      <w:r w:rsidRPr="002202D5">
        <w:rPr>
          <w:rFonts w:asciiTheme="minorBidi" w:hAnsiTheme="minorBidi" w:cs="Arial"/>
          <w:sz w:val="16"/>
          <w:szCs w:val="16"/>
          <w:rtl/>
        </w:rPr>
        <w:t xml:space="preserve"> א ד"ה כל זמן</w:t>
      </w:r>
      <w:r w:rsidRPr="002202D5">
        <w:rPr>
          <w:rFonts w:asciiTheme="minorBidi" w:hAnsiTheme="minorBidi" w:cs="Arial" w:hint="cs"/>
          <w:sz w:val="16"/>
          <w:szCs w:val="16"/>
          <w:rtl/>
        </w:rPr>
        <w:t>)</w:t>
      </w:r>
      <w:r w:rsidRPr="002202D5">
        <w:rPr>
          <w:rFonts w:asciiTheme="minorBidi" w:hAnsiTheme="minorBidi" w:cs="Arial" w:hint="cs"/>
          <w:rtl/>
        </w:rPr>
        <w:t xml:space="preserve">- </w:t>
      </w:r>
      <w:r w:rsidRPr="002202D5">
        <w:rPr>
          <w:rFonts w:asciiTheme="minorBidi" w:hAnsiTheme="minorBidi" w:cs="Arial"/>
          <w:rtl/>
        </w:rPr>
        <w:t xml:space="preserve">היכא דכתוב בפסק דין בסתם </w:t>
      </w:r>
      <w:r w:rsidR="00C91EB5">
        <w:rPr>
          <w:rFonts w:asciiTheme="minorBidi" w:hAnsiTheme="minorBidi" w:cs="Arial" w:hint="cs"/>
          <w:rtl/>
        </w:rPr>
        <w:t>'</w:t>
      </w:r>
      <w:r w:rsidRPr="002202D5">
        <w:rPr>
          <w:rFonts w:asciiTheme="minorBidi" w:hAnsiTheme="minorBidi" w:cs="Arial"/>
          <w:rtl/>
        </w:rPr>
        <w:t>קרקע פלוני היא שלך</w:t>
      </w:r>
      <w:r w:rsidR="00C91EB5">
        <w:rPr>
          <w:rFonts w:asciiTheme="minorBidi" w:hAnsiTheme="minorBidi" w:cs="Arial" w:hint="cs"/>
          <w:rtl/>
        </w:rPr>
        <w:t>',</w:t>
      </w:r>
      <w:r w:rsidRPr="002202D5">
        <w:rPr>
          <w:rFonts w:asciiTheme="minorBidi" w:hAnsiTheme="minorBidi" w:cs="Arial"/>
          <w:rtl/>
        </w:rPr>
        <w:t xml:space="preserve"> והפסק ביד אחד מהן</w:t>
      </w:r>
      <w:r w:rsidR="00C91EB5">
        <w:rPr>
          <w:rFonts w:asciiTheme="minorBidi" w:hAnsiTheme="minorBidi" w:cs="Arial" w:hint="cs"/>
          <w:rtl/>
        </w:rPr>
        <w:t>.</w:t>
      </w:r>
      <w:r w:rsidRPr="002202D5">
        <w:rPr>
          <w:rFonts w:asciiTheme="minorBidi" w:hAnsiTheme="minorBidi" w:cs="Arial"/>
          <w:rtl/>
        </w:rPr>
        <w:t xml:space="preserve"> והאחר טוען אני הוא שזכיתי בדין וממני נפל</w:t>
      </w:r>
      <w:r w:rsidR="00C91EB5">
        <w:rPr>
          <w:rFonts w:asciiTheme="minorBidi" w:hAnsiTheme="minorBidi" w:cs="Arial" w:hint="cs"/>
          <w:rtl/>
        </w:rPr>
        <w:t>,</w:t>
      </w:r>
      <w:r w:rsidRPr="002202D5">
        <w:rPr>
          <w:rFonts w:asciiTheme="minorBidi" w:hAnsiTheme="minorBidi" w:cs="Arial"/>
          <w:rtl/>
        </w:rPr>
        <w:t xml:space="preserve"> ואתה מצאתו או לקחתו מידי וכיוצא בזה</w:t>
      </w:r>
      <w:r w:rsidR="00C91EB5">
        <w:rPr>
          <w:rFonts w:asciiTheme="minorBidi" w:hAnsiTheme="minorBidi" w:cs="Arial" w:hint="cs"/>
          <w:rtl/>
        </w:rPr>
        <w:t xml:space="preserve"> -</w:t>
      </w:r>
      <w:r w:rsidRPr="002202D5">
        <w:rPr>
          <w:rFonts w:asciiTheme="minorBidi" w:hAnsiTheme="minorBidi" w:cs="Arial"/>
          <w:rtl/>
        </w:rPr>
        <w:t xml:space="preserve"> נאמן הדיין לומר </w:t>
      </w:r>
      <w:r w:rsidR="00C91EB5">
        <w:rPr>
          <w:rFonts w:asciiTheme="minorBidi" w:hAnsiTheme="minorBidi" w:cs="Arial" w:hint="cs"/>
          <w:rtl/>
        </w:rPr>
        <w:t>'</w:t>
      </w:r>
      <w:r w:rsidRPr="002202D5">
        <w:rPr>
          <w:rFonts w:asciiTheme="minorBidi" w:hAnsiTheme="minorBidi" w:cs="Arial"/>
          <w:rtl/>
        </w:rPr>
        <w:t>זה שהפסק בידו זיכיתי</w:t>
      </w:r>
      <w:r w:rsidR="00C91EB5">
        <w:rPr>
          <w:rFonts w:asciiTheme="minorBidi" w:hAnsiTheme="minorBidi" w:cs="Arial" w:hint="cs"/>
          <w:rtl/>
        </w:rPr>
        <w:t>'</w:t>
      </w:r>
      <w:r w:rsidRPr="002202D5">
        <w:rPr>
          <w:rFonts w:asciiTheme="minorBidi" w:hAnsiTheme="minorBidi" w:cs="Arial"/>
          <w:rtl/>
        </w:rPr>
        <w:t>, וא"צ אפילו היסת כההיא עובדא דשני טוביה כו'</w:t>
      </w:r>
      <w:r w:rsidRPr="00C91EB5">
        <w:rPr>
          <w:rFonts w:asciiTheme="minorBidi" w:hAnsiTheme="minorBidi" w:cs="Arial"/>
          <w:sz w:val="16"/>
          <w:szCs w:val="16"/>
          <w:rtl/>
        </w:rPr>
        <w:t xml:space="preserve"> </w:t>
      </w:r>
      <w:r w:rsidRPr="00C91EB5">
        <w:rPr>
          <w:rFonts w:asciiTheme="minorBidi" w:hAnsiTheme="minorBidi" w:cs="Arial" w:hint="cs"/>
          <w:sz w:val="16"/>
          <w:szCs w:val="16"/>
          <w:rtl/>
        </w:rPr>
        <w:t>(</w:t>
      </w:r>
      <w:r w:rsidRPr="00C91EB5">
        <w:rPr>
          <w:rFonts w:asciiTheme="minorBidi" w:hAnsiTheme="minorBidi" w:cs="Arial"/>
          <w:sz w:val="16"/>
          <w:szCs w:val="16"/>
          <w:rtl/>
        </w:rPr>
        <w:t>כתובות פה</w:t>
      </w:r>
      <w:r w:rsidRPr="00C91EB5">
        <w:rPr>
          <w:rFonts w:asciiTheme="minorBidi" w:hAnsiTheme="minorBidi" w:cs="Arial" w:hint="cs"/>
          <w:sz w:val="16"/>
          <w:szCs w:val="16"/>
          <w:rtl/>
        </w:rPr>
        <w:t>:)</w:t>
      </w:r>
      <w:r w:rsidR="00572BA1">
        <w:rPr>
          <w:rFonts w:asciiTheme="minorBidi" w:hAnsiTheme="minorBidi" w:cs="Arial" w:hint="cs"/>
          <w:rtl/>
        </w:rPr>
        <w:t>.</w:t>
      </w:r>
      <w:r w:rsidRPr="002202D5">
        <w:rPr>
          <w:rFonts w:asciiTheme="minorBidi" w:hAnsiTheme="minorBidi" w:cs="Arial"/>
          <w:rtl/>
        </w:rPr>
        <w:t xml:space="preserve"> אבל אם אין פסק דין בידו, או שאומר לזה שהפס"ד אינו בידו זיכיתי</w:t>
      </w:r>
      <w:r w:rsidR="00C91EB5">
        <w:rPr>
          <w:rFonts w:asciiTheme="minorBidi" w:hAnsiTheme="minorBidi" w:cs="Arial" w:hint="cs"/>
          <w:rtl/>
        </w:rPr>
        <w:t xml:space="preserve"> -</w:t>
      </w:r>
      <w:r w:rsidRPr="002202D5">
        <w:rPr>
          <w:rFonts w:asciiTheme="minorBidi" w:hAnsiTheme="minorBidi" w:cs="Arial"/>
          <w:rtl/>
        </w:rPr>
        <w:t xml:space="preserve"> אינו נאמן, דאינו נאמן אלא כשמסייע לאותו שהפסק דין בידו לפוטרו משבועה</w:t>
      </w:r>
      <w:r>
        <w:rPr>
          <w:rStyle w:val="ab"/>
          <w:rFonts w:asciiTheme="minorBidi" w:hAnsiTheme="minorBidi" w:cs="Arial"/>
          <w:rtl/>
        </w:rPr>
        <w:footnoteReference w:id="1158"/>
      </w:r>
      <w:r w:rsidRPr="002202D5">
        <w:rPr>
          <w:rFonts w:asciiTheme="minorBidi" w:hAnsiTheme="minorBidi" w:cs="Arial"/>
          <w:rtl/>
        </w:rPr>
        <w:t xml:space="preserve">. </w:t>
      </w:r>
    </w:p>
    <w:p w14:paraId="28078D8B" w14:textId="77777777" w:rsidR="006737AA" w:rsidRPr="00576D5C" w:rsidRDefault="006737AA" w:rsidP="00576D5C">
      <w:pPr>
        <w:rPr>
          <w:rFonts w:asciiTheme="minorBidi" w:hAnsiTheme="minorBidi"/>
          <w:rtl/>
        </w:rPr>
        <w:sectPr w:rsidR="006737AA" w:rsidRPr="00576D5C" w:rsidSect="00AF3AF9">
          <w:headerReference w:type="default" r:id="rId33"/>
          <w:footnotePr>
            <w:numRestart w:val="eachPage"/>
          </w:footnotePr>
          <w:pgSz w:w="11906" w:h="16838"/>
          <w:pgMar w:top="720" w:right="1134" w:bottom="720" w:left="1134" w:header="0" w:footer="0" w:gutter="0"/>
          <w:cols w:space="720"/>
          <w:bidi/>
          <w:rtlGutter/>
          <w:docGrid w:linePitch="360"/>
        </w:sectPr>
      </w:pPr>
    </w:p>
    <w:p w14:paraId="44CDCF0F" w14:textId="77777777" w:rsidR="00E137BC" w:rsidRPr="00576D5C" w:rsidRDefault="00E137BC" w:rsidP="006567B0">
      <w:pPr>
        <w:pStyle w:val="1"/>
        <w:rPr>
          <w:rtl/>
        </w:rPr>
      </w:pPr>
      <w:bookmarkStart w:id="175" w:name="_Toc24883658"/>
      <w:r w:rsidRPr="00576D5C">
        <w:rPr>
          <w:rtl/>
        </w:rPr>
        <w:lastRenderedPageBreak/>
        <w:t>סימן כד: שנזקקין לתובע תחלה, ובו סעיף אחד.</w:t>
      </w:r>
      <w:bookmarkEnd w:id="175"/>
      <w:r w:rsidRPr="00576D5C">
        <w:rPr>
          <w:rtl/>
        </w:rPr>
        <w:t xml:space="preserve"> </w:t>
      </w:r>
    </w:p>
    <w:p w14:paraId="268D49D1" w14:textId="77777777" w:rsidR="00E137BC" w:rsidRDefault="00E137BC" w:rsidP="006567B0">
      <w:pPr>
        <w:pStyle w:val="2"/>
        <w:rPr>
          <w:rtl/>
        </w:rPr>
      </w:pPr>
      <w:bookmarkStart w:id="176" w:name="_Toc24883659"/>
      <w:r w:rsidRPr="00576D5C">
        <w:rPr>
          <w:rtl/>
        </w:rPr>
        <w:t>סעיף א</w:t>
      </w:r>
      <w:bookmarkEnd w:id="176"/>
    </w:p>
    <w:p w14:paraId="1555A8D3" w14:textId="77777777" w:rsidR="00D41E20" w:rsidRDefault="006B5524" w:rsidP="006B5524">
      <w:pPr>
        <w:rPr>
          <w:sz w:val="16"/>
          <w:szCs w:val="16"/>
          <w:rtl/>
        </w:rPr>
      </w:pPr>
      <w:r w:rsidRPr="00AA1C5C">
        <w:rPr>
          <w:rFonts w:cs="Arial" w:hint="cs"/>
          <w:b/>
          <w:bCs/>
          <w:rtl/>
        </w:rPr>
        <w:t xml:space="preserve">בבא קמא </w:t>
      </w:r>
      <w:r w:rsidRPr="00AA1C5C">
        <w:rPr>
          <w:rFonts w:cs="Arial" w:hint="cs"/>
          <w:b/>
          <w:bCs/>
          <w:sz w:val="16"/>
          <w:szCs w:val="16"/>
          <w:rtl/>
        </w:rPr>
        <w:t>(ר"פ</w:t>
      </w:r>
      <w:r w:rsidRPr="00AA1C5C">
        <w:rPr>
          <w:rFonts w:cs="Arial"/>
          <w:b/>
          <w:bCs/>
          <w:sz w:val="16"/>
          <w:szCs w:val="16"/>
          <w:rtl/>
        </w:rPr>
        <w:t xml:space="preserve"> הפרה</w:t>
      </w:r>
      <w:r w:rsidRPr="00AA1C5C">
        <w:rPr>
          <w:rFonts w:cs="Arial" w:hint="cs"/>
          <w:b/>
          <w:bCs/>
          <w:sz w:val="16"/>
          <w:szCs w:val="16"/>
          <w:rtl/>
        </w:rPr>
        <w:t>)</w:t>
      </w:r>
      <w:r w:rsidRPr="00AA1C5C">
        <w:rPr>
          <w:rFonts w:cs="Arial"/>
          <w:b/>
          <w:bCs/>
          <w:sz w:val="16"/>
          <w:szCs w:val="16"/>
          <w:rtl/>
        </w:rPr>
        <w:t xml:space="preserve"> </w:t>
      </w:r>
      <w:r w:rsidRPr="00AA1C5C">
        <w:rPr>
          <w:rFonts w:cs="Arial"/>
          <w:b/>
          <w:bCs/>
          <w:rtl/>
        </w:rPr>
        <w:t>מו</w:t>
      </w:r>
      <w:r w:rsidR="00D41E20">
        <w:rPr>
          <w:rStyle w:val="ab"/>
          <w:rFonts w:cs="Arial"/>
          <w:b/>
          <w:bCs/>
          <w:rtl/>
        </w:rPr>
        <w:footnoteReference w:id="1159"/>
      </w:r>
      <w:r w:rsidRPr="00AA1C5C">
        <w:rPr>
          <w:rFonts w:cs="Arial" w:hint="cs"/>
          <w:b/>
          <w:bCs/>
          <w:rtl/>
        </w:rPr>
        <w:t xml:space="preserve"> ע"ב</w:t>
      </w:r>
      <w:r w:rsidRPr="00AA1C5C">
        <w:rPr>
          <w:rFonts w:cs="Arial"/>
          <w:b/>
          <w:bCs/>
          <w:rtl/>
        </w:rPr>
        <w:t>:</w:t>
      </w:r>
      <w:r w:rsidRPr="00AA1C5C">
        <w:rPr>
          <w:rtl/>
        </w:rPr>
        <w:t xml:space="preserve"> </w:t>
      </w:r>
      <w:r w:rsidRPr="00AA1C5C">
        <w:rPr>
          <w:rFonts w:cs="Arial"/>
          <w:u w:val="single"/>
          <w:rtl/>
        </w:rPr>
        <w:t>אמר רב נחמן אמר רבה בר אבוה</w:t>
      </w:r>
      <w:r w:rsidRPr="00AA1C5C">
        <w:rPr>
          <w:rFonts w:cs="Arial"/>
          <w:rtl/>
        </w:rPr>
        <w:t xml:space="preserve">: מניין שאין נזקקין אלא לתובע תחלה? שנאמר: מי בעל דברים יגש אליהם, יגיש דבריו אליהם. </w:t>
      </w:r>
      <w:r w:rsidRPr="00AA1C5C">
        <w:rPr>
          <w:rFonts w:cs="Arial"/>
          <w:u w:val="single"/>
          <w:rtl/>
        </w:rPr>
        <w:t>אמרי נהרדעי</w:t>
      </w:r>
      <w:r w:rsidRPr="00AA1C5C">
        <w:rPr>
          <w:rFonts w:cs="Arial"/>
          <w:rtl/>
        </w:rPr>
        <w:t xml:space="preserve">: פעמים שנזקקין לנתבע תחלה, והיכי דמי? דקא זילי </w:t>
      </w:r>
      <w:r w:rsidRPr="00934E16">
        <w:rPr>
          <w:rFonts w:cs="Arial"/>
          <w:rtl/>
        </w:rPr>
        <w:t>נכסיה.</w:t>
      </w:r>
      <w:r w:rsidR="00934E16" w:rsidRPr="00934E16">
        <w:rPr>
          <w:rFonts w:hint="cs"/>
          <w:rtl/>
        </w:rPr>
        <w:t xml:space="preserve"> </w:t>
      </w:r>
    </w:p>
    <w:p w14:paraId="123A6E96" w14:textId="77777777" w:rsidR="00D41E20" w:rsidRPr="00D41E20" w:rsidRDefault="00D41E20" w:rsidP="006B5524">
      <w:pPr>
        <w:rPr>
          <w:rtl/>
        </w:rPr>
      </w:pPr>
      <w:r w:rsidRPr="00D41E20">
        <w:rPr>
          <w:rFonts w:hint="cs"/>
          <w:u w:val="single"/>
          <w:rtl/>
        </w:rPr>
        <w:t xml:space="preserve">תובע ונתבע </w:t>
      </w:r>
      <w:r w:rsidRPr="00D41E20">
        <w:rPr>
          <w:u w:val="single"/>
          <w:rtl/>
        </w:rPr>
        <w:t>–</w:t>
      </w:r>
      <w:r w:rsidRPr="00D41E20">
        <w:rPr>
          <w:rFonts w:hint="cs"/>
          <w:u w:val="single"/>
          <w:rtl/>
        </w:rPr>
        <w:t xml:space="preserve"> למי נזקקין תחילה:</w:t>
      </w:r>
    </w:p>
    <w:p w14:paraId="66B1325A" w14:textId="77777777" w:rsidR="006B5524" w:rsidRPr="00D41E20" w:rsidRDefault="00934E16" w:rsidP="004B0475">
      <w:pPr>
        <w:pStyle w:val="ac"/>
        <w:numPr>
          <w:ilvl w:val="0"/>
          <w:numId w:val="24"/>
        </w:numPr>
        <w:rPr>
          <w:rFonts w:cs="Arial"/>
          <w:rtl/>
        </w:rPr>
      </w:pPr>
      <w:r w:rsidRPr="00D41E20">
        <w:rPr>
          <w:rFonts w:hint="cs"/>
          <w:rtl/>
        </w:rPr>
        <w:t>טור-</w:t>
      </w:r>
      <w:r w:rsidRPr="00D41E20">
        <w:rPr>
          <w:rFonts w:cs="Arial"/>
          <w:rtl/>
        </w:rPr>
        <w:t xml:space="preserve"> אין נזקקין אלא לתובע תחלה</w:t>
      </w:r>
      <w:r w:rsidR="00CC0844">
        <w:rPr>
          <w:rFonts w:cs="Arial" w:hint="cs"/>
          <w:rtl/>
        </w:rPr>
        <w:t>.</w:t>
      </w:r>
      <w:r w:rsidRPr="00D41E20">
        <w:rPr>
          <w:rFonts w:cs="Arial"/>
          <w:rtl/>
        </w:rPr>
        <w:t xml:space="preserve"> ואי זיילי נכסי דנתבע נזקקין לו תחלה</w:t>
      </w:r>
      <w:r w:rsidR="00551720" w:rsidRPr="00D41E20">
        <w:rPr>
          <w:rFonts w:cs="Arial" w:hint="cs"/>
          <w:rtl/>
        </w:rPr>
        <w:t xml:space="preserve">. </w:t>
      </w:r>
      <w:r w:rsidR="00D41E20" w:rsidRPr="00D41E20">
        <w:rPr>
          <w:rFonts w:cs="Arial" w:hint="cs"/>
          <w:color w:val="E36C0A" w:themeColor="accent6" w:themeShade="BF"/>
          <w:rtl/>
        </w:rPr>
        <w:t>(</w:t>
      </w:r>
      <w:r w:rsidR="00551720" w:rsidRPr="00D41E20">
        <w:rPr>
          <w:rFonts w:cs="Arial" w:hint="cs"/>
          <w:color w:val="E36C0A" w:themeColor="accent6" w:themeShade="BF"/>
          <w:rtl/>
        </w:rPr>
        <w:t>וכ"פ בשו"ע</w:t>
      </w:r>
      <w:r w:rsidR="00D41E20" w:rsidRPr="00D41E20">
        <w:rPr>
          <w:rFonts w:cs="Arial" w:hint="cs"/>
          <w:color w:val="E36C0A" w:themeColor="accent6" w:themeShade="BF"/>
          <w:rtl/>
        </w:rPr>
        <w:t>)</w:t>
      </w:r>
    </w:p>
    <w:p w14:paraId="36E599F0" w14:textId="77777777" w:rsidR="0038323D" w:rsidRPr="00D41E20" w:rsidRDefault="000C451F" w:rsidP="00D41E20">
      <w:pPr>
        <w:ind w:left="360"/>
        <w:rPr>
          <w:rFonts w:cs="Arial"/>
          <w:u w:val="dotted"/>
          <w:rtl/>
        </w:rPr>
      </w:pPr>
      <w:r w:rsidRPr="00D41E20">
        <w:rPr>
          <w:rFonts w:cs="Arial" w:hint="cs"/>
          <w:u w:val="dotted"/>
          <w:rtl/>
        </w:rPr>
        <w:t>הא ד</w:t>
      </w:r>
      <w:r w:rsidR="00B51FEB" w:rsidRPr="00D41E20">
        <w:rPr>
          <w:rFonts w:cs="Arial"/>
          <w:u w:val="dotted"/>
          <w:rtl/>
        </w:rPr>
        <w:t>נזקקין לתובע תחלה</w:t>
      </w:r>
      <w:r w:rsidR="00B51FEB" w:rsidRPr="00D41E20">
        <w:rPr>
          <w:rFonts w:cs="Arial"/>
          <w:sz w:val="16"/>
          <w:szCs w:val="16"/>
          <w:u w:val="dotted"/>
          <w:rtl/>
        </w:rPr>
        <w:t xml:space="preserve"> </w:t>
      </w:r>
      <w:r w:rsidR="00934E16" w:rsidRPr="00D41E20">
        <w:rPr>
          <w:rFonts w:cs="Arial" w:hint="cs"/>
          <w:sz w:val="16"/>
          <w:szCs w:val="16"/>
          <w:u w:val="dotted"/>
          <w:rtl/>
        </w:rPr>
        <w:t>(או לנתבע א</w:t>
      </w:r>
      <w:r w:rsidR="00D41E20">
        <w:rPr>
          <w:rFonts w:cs="Arial" w:hint="cs"/>
          <w:sz w:val="16"/>
          <w:szCs w:val="16"/>
          <w:u w:val="dotted"/>
          <w:rtl/>
        </w:rPr>
        <w:t>י</w:t>
      </w:r>
      <w:r w:rsidR="00934E16" w:rsidRPr="00D41E20">
        <w:rPr>
          <w:rFonts w:cs="Arial" w:hint="cs"/>
          <w:sz w:val="16"/>
          <w:szCs w:val="16"/>
          <w:u w:val="dotted"/>
          <w:rtl/>
        </w:rPr>
        <w:t xml:space="preserve"> זיילי נכסי</w:t>
      </w:r>
      <w:r w:rsidR="004C433D" w:rsidRPr="00D41E20">
        <w:rPr>
          <w:rFonts w:cs="Arial" w:hint="cs"/>
          <w:sz w:val="16"/>
          <w:szCs w:val="16"/>
          <w:u w:val="dotted"/>
          <w:rtl/>
        </w:rPr>
        <w:t>ו</w:t>
      </w:r>
      <w:r w:rsidR="00934E16" w:rsidRPr="00D41E20">
        <w:rPr>
          <w:rFonts w:cs="Arial" w:hint="cs"/>
          <w:sz w:val="16"/>
          <w:szCs w:val="16"/>
          <w:u w:val="dotted"/>
          <w:rtl/>
        </w:rPr>
        <w:t>)</w:t>
      </w:r>
      <w:r w:rsidRPr="00D41E20">
        <w:rPr>
          <w:rFonts w:cs="Arial" w:hint="cs"/>
          <w:u w:val="dotted"/>
          <w:rtl/>
        </w:rPr>
        <w:t xml:space="preserve"> </w:t>
      </w:r>
      <w:r w:rsidRPr="00D41E20">
        <w:rPr>
          <w:rFonts w:cs="Arial"/>
          <w:u w:val="dotted"/>
          <w:rtl/>
        </w:rPr>
        <w:t>–</w:t>
      </w:r>
      <w:r w:rsidRPr="00D41E20">
        <w:rPr>
          <w:rFonts w:cs="Arial" w:hint="cs"/>
          <w:u w:val="dotted"/>
          <w:rtl/>
        </w:rPr>
        <w:t xml:space="preserve"> היכי דמי</w:t>
      </w:r>
      <w:r w:rsidR="006B5524" w:rsidRPr="00D41E20">
        <w:rPr>
          <w:rFonts w:cs="Arial" w:hint="cs"/>
          <w:u w:val="dotted"/>
          <w:rtl/>
        </w:rPr>
        <w:t>:</w:t>
      </w:r>
      <w:r w:rsidR="00B51FEB" w:rsidRPr="00D41E20">
        <w:rPr>
          <w:rFonts w:cs="Arial"/>
          <w:u w:val="dotted"/>
          <w:rtl/>
        </w:rPr>
        <w:t xml:space="preserve"> </w:t>
      </w:r>
    </w:p>
    <w:p w14:paraId="214F4D9A" w14:textId="77777777" w:rsidR="0038323D" w:rsidRPr="00737311" w:rsidRDefault="00737311" w:rsidP="00C704CB">
      <w:pPr>
        <w:pStyle w:val="ac"/>
        <w:numPr>
          <w:ilvl w:val="0"/>
          <w:numId w:val="8"/>
        </w:numPr>
        <w:rPr>
          <w:rFonts w:cs="Arial"/>
          <w:rtl/>
        </w:rPr>
      </w:pPr>
      <w:r w:rsidRPr="0038323D">
        <w:rPr>
          <w:rFonts w:cs="Arial"/>
          <w:rtl/>
        </w:rPr>
        <w:t>רש"י</w:t>
      </w:r>
      <w:r>
        <w:rPr>
          <w:rFonts w:cs="Arial" w:hint="cs"/>
          <w:rtl/>
        </w:rPr>
        <w:t xml:space="preserve"> </w:t>
      </w:r>
      <w:r w:rsidR="00B913C4">
        <w:rPr>
          <w:rFonts w:cs="Arial" w:hint="cs"/>
          <w:sz w:val="16"/>
          <w:szCs w:val="16"/>
          <w:rtl/>
        </w:rPr>
        <w:t xml:space="preserve">(ד"ה שאין וד"ה דקא, הביא הרא"ש </w:t>
      </w:r>
      <w:r w:rsidR="00B913C4" w:rsidRPr="009F6DE3">
        <w:rPr>
          <w:rFonts w:cs="Arial" w:hint="cs"/>
          <w:sz w:val="14"/>
          <w:szCs w:val="14"/>
          <w:rtl/>
        </w:rPr>
        <w:t xml:space="preserve">[פ"ה סי' א] </w:t>
      </w:r>
      <w:r w:rsidR="00A65BD6">
        <w:rPr>
          <w:rFonts w:cs="Arial" w:hint="cs"/>
          <w:sz w:val="16"/>
          <w:szCs w:val="16"/>
          <w:rtl/>
        </w:rPr>
        <w:t>חלק מדבריו</w:t>
      </w:r>
      <w:r w:rsidR="00B913C4">
        <w:rPr>
          <w:rFonts w:cs="Arial" w:hint="cs"/>
          <w:sz w:val="16"/>
          <w:szCs w:val="16"/>
          <w:rtl/>
        </w:rPr>
        <w:t>)</w:t>
      </w:r>
      <w:r>
        <w:rPr>
          <w:rFonts w:cs="Arial" w:hint="cs"/>
          <w:rtl/>
        </w:rPr>
        <w:t>-</w:t>
      </w:r>
      <w:r w:rsidRPr="0038323D">
        <w:rPr>
          <w:rFonts w:cs="Arial"/>
          <w:rtl/>
        </w:rPr>
        <w:t xml:space="preserve"> </w:t>
      </w:r>
      <w:r w:rsidR="00A65BD6">
        <w:rPr>
          <w:rFonts w:cs="Arial" w:hint="cs"/>
          <w:rtl/>
        </w:rPr>
        <w:t xml:space="preserve">'אין נזקקין אלא לתובע תחילה' - </w:t>
      </w:r>
      <w:r w:rsidR="00FB541F" w:rsidRPr="00FB541F">
        <w:rPr>
          <w:rFonts w:cs="Arial"/>
          <w:rtl/>
        </w:rPr>
        <w:t xml:space="preserve">כגון ראובן תובע משמעון מנה שהלוהו </w:t>
      </w:r>
      <w:r w:rsidR="00B7236C">
        <w:rPr>
          <w:rFonts w:cs="Arial" w:hint="cs"/>
          <w:rtl/>
        </w:rPr>
        <w:t>[</w:t>
      </w:r>
      <w:r w:rsidR="00FB541F" w:rsidRPr="00FB541F">
        <w:rPr>
          <w:rFonts w:cs="Arial"/>
          <w:rtl/>
        </w:rPr>
        <w:t>בעדים או בשטר</w:t>
      </w:r>
      <w:r w:rsidR="00B7236C">
        <w:rPr>
          <w:rFonts w:cs="Arial" w:hint="cs"/>
          <w:rtl/>
        </w:rPr>
        <w:t>]</w:t>
      </w:r>
      <w:r w:rsidR="00FB541F">
        <w:rPr>
          <w:rStyle w:val="ab"/>
          <w:rFonts w:cs="Arial"/>
          <w:rtl/>
        </w:rPr>
        <w:footnoteReference w:id="1160"/>
      </w:r>
      <w:r w:rsidR="009F6DE3">
        <w:rPr>
          <w:rFonts w:cs="Arial" w:hint="cs"/>
          <w:rtl/>
        </w:rPr>
        <w:t>.</w:t>
      </w:r>
      <w:r w:rsidR="00FB541F" w:rsidRPr="00FB541F">
        <w:rPr>
          <w:rFonts w:cs="Arial"/>
          <w:rtl/>
        </w:rPr>
        <w:t xml:space="preserve"> ושמעון משיבו </w:t>
      </w:r>
      <w:r w:rsidR="009F6DE3">
        <w:rPr>
          <w:rFonts w:cs="Arial" w:hint="cs"/>
          <w:rtl/>
        </w:rPr>
        <w:t>'</w:t>
      </w:r>
      <w:r w:rsidR="00FB541F" w:rsidRPr="00FB541F">
        <w:rPr>
          <w:rFonts w:cs="Arial"/>
          <w:rtl/>
        </w:rPr>
        <w:t>תפסת משלי החזר לי מה שתפסת</w:t>
      </w:r>
      <w:r w:rsidR="009F6DE3">
        <w:rPr>
          <w:rFonts w:cs="Arial" w:hint="cs"/>
          <w:rtl/>
        </w:rPr>
        <w:t>'</w:t>
      </w:r>
      <w:r w:rsidR="00FB541F" w:rsidRPr="00FB541F">
        <w:rPr>
          <w:rFonts w:cs="Arial"/>
          <w:rtl/>
        </w:rPr>
        <w:t xml:space="preserve"> או </w:t>
      </w:r>
      <w:r w:rsidR="009F6DE3">
        <w:rPr>
          <w:rFonts w:cs="Arial" w:hint="cs"/>
          <w:rtl/>
        </w:rPr>
        <w:t>'</w:t>
      </w:r>
      <w:r w:rsidR="00FB541F" w:rsidRPr="00FB541F">
        <w:rPr>
          <w:rFonts w:cs="Arial"/>
          <w:rtl/>
        </w:rPr>
        <w:t>משכון היה בידך ונפחת מדמיו שנשתמשת בו</w:t>
      </w:r>
      <w:r w:rsidR="009F6DE3">
        <w:rPr>
          <w:rFonts w:cs="Arial" w:hint="cs"/>
          <w:rtl/>
        </w:rPr>
        <w:t>',</w:t>
      </w:r>
      <w:r w:rsidR="00FB541F" w:rsidRPr="00FB541F">
        <w:rPr>
          <w:rFonts w:cs="Arial"/>
          <w:rtl/>
        </w:rPr>
        <w:t xml:space="preserve"> בתחילה נזקקין לטענת ראובן ומוציאים לו המנה משמעון</w:t>
      </w:r>
      <w:r>
        <w:rPr>
          <w:rStyle w:val="ab"/>
          <w:rFonts w:cs="Arial"/>
          <w:rtl/>
        </w:rPr>
        <w:footnoteReference w:id="1161"/>
      </w:r>
      <w:r w:rsidR="00BD41BE">
        <w:rPr>
          <w:rFonts w:cs="Arial" w:hint="cs"/>
          <w:rtl/>
        </w:rPr>
        <w:t>,</w:t>
      </w:r>
      <w:r w:rsidR="00FB541F" w:rsidRPr="00FB541F">
        <w:rPr>
          <w:rFonts w:cs="Arial"/>
          <w:rtl/>
        </w:rPr>
        <w:t xml:space="preserve"> ואח</w:t>
      </w:r>
      <w:r w:rsidR="009F6DE3">
        <w:rPr>
          <w:rFonts w:cs="Arial" w:hint="cs"/>
          <w:rtl/>
        </w:rPr>
        <w:t>"</w:t>
      </w:r>
      <w:r w:rsidR="00FB541F" w:rsidRPr="00FB541F">
        <w:rPr>
          <w:rFonts w:cs="Arial"/>
          <w:rtl/>
        </w:rPr>
        <w:t>כ נזקקין לו לטענת שמעון לדון על דבר התפיסה והמשכון.</w:t>
      </w:r>
      <w:r w:rsidR="00FB541F">
        <w:rPr>
          <w:rFonts w:cs="Arial" w:hint="cs"/>
          <w:rtl/>
        </w:rPr>
        <w:t xml:space="preserve"> </w:t>
      </w:r>
      <w:r w:rsidR="00A65BD6">
        <w:rPr>
          <w:rFonts w:cs="Arial" w:hint="cs"/>
          <w:rtl/>
        </w:rPr>
        <w:t>'פעמים שנזקקין לנתבע תחילה, והיכי דמי? דקא</w:t>
      </w:r>
      <w:r w:rsidR="00FB541F">
        <w:rPr>
          <w:rFonts w:cs="Arial" w:hint="cs"/>
          <w:rtl/>
        </w:rPr>
        <w:t xml:space="preserve"> </w:t>
      </w:r>
      <w:r w:rsidR="00FB541F" w:rsidRPr="00FB541F">
        <w:rPr>
          <w:rFonts w:cs="Arial"/>
          <w:rtl/>
        </w:rPr>
        <w:t>זילי נכסיה</w:t>
      </w:r>
      <w:r w:rsidR="00A65BD6">
        <w:rPr>
          <w:rFonts w:cs="Arial" w:hint="cs"/>
          <w:rtl/>
        </w:rPr>
        <w:t>' -</w:t>
      </w:r>
      <w:r w:rsidR="00FB541F">
        <w:rPr>
          <w:rFonts w:cs="Arial" w:hint="cs"/>
          <w:rtl/>
        </w:rPr>
        <w:t xml:space="preserve"> </w:t>
      </w:r>
      <w:r w:rsidR="00FB541F" w:rsidRPr="00FB541F">
        <w:rPr>
          <w:rFonts w:cs="Arial"/>
          <w:rtl/>
        </w:rPr>
        <w:t>שיש כאן תגרין שיקנוהו בדמים יקרים ומחר ילכו להם</w:t>
      </w:r>
      <w:r w:rsidR="009F6DE3">
        <w:rPr>
          <w:rFonts w:cs="Arial" w:hint="cs"/>
          <w:rtl/>
        </w:rPr>
        <w:t>,</w:t>
      </w:r>
      <w:r w:rsidR="00FB541F" w:rsidRPr="00FB541F">
        <w:rPr>
          <w:rFonts w:cs="Arial"/>
          <w:rtl/>
        </w:rPr>
        <w:t xml:space="preserve"> אי נמי שקרקעותיו זלות ע"י תביעה זו שרואין אותו דחוק ואם יוציאו לו תפיסתו או משכונו ימכרם וישלם לו מהן</w:t>
      </w:r>
      <w:r>
        <w:rPr>
          <w:rFonts w:cs="Arial" w:hint="cs"/>
          <w:sz w:val="16"/>
          <w:szCs w:val="16"/>
          <w:rtl/>
        </w:rPr>
        <w:t xml:space="preserve"> (ל' רש"י</w:t>
      </w:r>
      <w:r w:rsidR="0042291A">
        <w:rPr>
          <w:rFonts w:cs="Arial" w:hint="cs"/>
          <w:sz w:val="16"/>
          <w:szCs w:val="16"/>
          <w:rtl/>
        </w:rPr>
        <w:t>)</w:t>
      </w:r>
      <w:r w:rsidR="006B5524">
        <w:rPr>
          <w:rStyle w:val="ab"/>
          <w:rFonts w:cs="Arial"/>
          <w:rtl/>
        </w:rPr>
        <w:footnoteReference w:id="1162"/>
      </w:r>
      <w:r w:rsidR="0038323D" w:rsidRPr="00737311">
        <w:rPr>
          <w:rFonts w:cs="Arial" w:hint="cs"/>
          <w:rtl/>
        </w:rPr>
        <w:t>.</w:t>
      </w:r>
    </w:p>
    <w:p w14:paraId="7A60D65F" w14:textId="77777777" w:rsidR="0038323D" w:rsidRPr="0038323D" w:rsidRDefault="00B51FEB" w:rsidP="00C704CB">
      <w:pPr>
        <w:pStyle w:val="ac"/>
        <w:numPr>
          <w:ilvl w:val="0"/>
          <w:numId w:val="8"/>
        </w:numPr>
        <w:rPr>
          <w:rFonts w:cs="Arial"/>
          <w:rtl/>
        </w:rPr>
      </w:pPr>
      <w:r w:rsidRPr="0038323D">
        <w:rPr>
          <w:rFonts w:cs="Arial"/>
          <w:rtl/>
        </w:rPr>
        <w:t>ריב"א</w:t>
      </w:r>
      <w:r w:rsidR="0042291A">
        <w:rPr>
          <w:rFonts w:cs="Arial" w:hint="cs"/>
          <w:sz w:val="16"/>
          <w:szCs w:val="16"/>
          <w:rtl/>
        </w:rPr>
        <w:t xml:space="preserve"> (כ"כ </w:t>
      </w:r>
      <w:r w:rsidR="00CC0844">
        <w:rPr>
          <w:rFonts w:cs="Arial" w:hint="cs"/>
          <w:sz w:val="16"/>
          <w:szCs w:val="16"/>
          <w:rtl/>
        </w:rPr>
        <w:t xml:space="preserve">הרא"ש (שם) </w:t>
      </w:r>
      <w:r w:rsidR="0042291A">
        <w:rPr>
          <w:rFonts w:cs="Arial" w:hint="cs"/>
          <w:sz w:val="16"/>
          <w:szCs w:val="16"/>
          <w:rtl/>
        </w:rPr>
        <w:t>בשמו)</w:t>
      </w:r>
      <w:r w:rsidR="00286395">
        <w:rPr>
          <w:rFonts w:cs="Arial" w:hint="cs"/>
          <w:rtl/>
        </w:rPr>
        <w:t xml:space="preserve">- </w:t>
      </w:r>
      <w:r w:rsidRPr="0038323D">
        <w:rPr>
          <w:rFonts w:cs="Arial"/>
          <w:rtl/>
        </w:rPr>
        <w:t>נזקקין לתובע תחלה מיירי כדי לשמוע דבריו ולקבל עדותו תחלה</w:t>
      </w:r>
      <w:r w:rsidR="00D76404">
        <w:rPr>
          <w:rStyle w:val="ab"/>
          <w:rFonts w:cs="Arial"/>
          <w:rtl/>
        </w:rPr>
        <w:footnoteReference w:id="1163"/>
      </w:r>
      <w:r w:rsidR="00286395">
        <w:rPr>
          <w:rFonts w:cs="Arial" w:hint="cs"/>
          <w:rtl/>
        </w:rPr>
        <w:t>,</w:t>
      </w:r>
      <w:r w:rsidRPr="0038323D">
        <w:rPr>
          <w:rFonts w:cs="Arial"/>
          <w:rtl/>
        </w:rPr>
        <w:t xml:space="preserve"> ונפקא מינה אפילו ימותו עדיו של נתבע או ילכו למדינת הים בעוד שמקבלין עדותו של תובע</w:t>
      </w:r>
      <w:r w:rsidR="0042291A">
        <w:rPr>
          <w:rStyle w:val="ab"/>
          <w:rFonts w:cs="Arial"/>
          <w:rtl/>
        </w:rPr>
        <w:footnoteReference w:id="1164"/>
      </w:r>
      <w:r w:rsidR="0038323D">
        <w:rPr>
          <w:rFonts w:cs="Arial" w:hint="cs"/>
          <w:rtl/>
        </w:rPr>
        <w:t>.</w:t>
      </w:r>
      <w:r w:rsidR="0016490B">
        <w:rPr>
          <w:rFonts w:cs="Arial" w:hint="cs"/>
          <w:rtl/>
        </w:rPr>
        <w:t xml:space="preserve"> (וכ"פ הש"ך </w:t>
      </w:r>
      <w:r w:rsidR="0016490B">
        <w:rPr>
          <w:rFonts w:cs="Arial" w:hint="cs"/>
          <w:sz w:val="16"/>
          <w:szCs w:val="16"/>
          <w:rtl/>
        </w:rPr>
        <w:t>[סק"א]</w:t>
      </w:r>
      <w:r w:rsidR="0016490B">
        <w:rPr>
          <w:rStyle w:val="ab"/>
          <w:rFonts w:cs="Arial"/>
          <w:rtl/>
        </w:rPr>
        <w:footnoteReference w:id="1165"/>
      </w:r>
      <w:r w:rsidR="0016490B">
        <w:rPr>
          <w:rFonts w:cs="Arial" w:hint="cs"/>
          <w:rtl/>
        </w:rPr>
        <w:t>)</w:t>
      </w:r>
    </w:p>
    <w:p w14:paraId="700CFB03" w14:textId="77777777" w:rsidR="005464F3" w:rsidRDefault="00B51FEB" w:rsidP="00C704CB">
      <w:pPr>
        <w:pStyle w:val="ac"/>
        <w:numPr>
          <w:ilvl w:val="0"/>
          <w:numId w:val="8"/>
        </w:numPr>
      </w:pPr>
      <w:r w:rsidRPr="0038323D">
        <w:rPr>
          <w:rFonts w:cs="Arial"/>
          <w:rtl/>
        </w:rPr>
        <w:t>ראב"ד</w:t>
      </w:r>
      <w:r w:rsidR="0042291A">
        <w:rPr>
          <w:rFonts w:cs="Arial" w:hint="cs"/>
          <w:sz w:val="16"/>
          <w:szCs w:val="16"/>
          <w:rtl/>
        </w:rPr>
        <w:t xml:space="preserve"> (כ"כ </w:t>
      </w:r>
      <w:r w:rsidR="00B913C4">
        <w:rPr>
          <w:rFonts w:cs="Arial" w:hint="cs"/>
          <w:sz w:val="16"/>
          <w:szCs w:val="16"/>
          <w:rtl/>
        </w:rPr>
        <w:t xml:space="preserve">הרא"ש </w:t>
      </w:r>
      <w:r w:rsidR="00CC0844">
        <w:rPr>
          <w:rFonts w:cs="Arial" w:hint="cs"/>
          <w:sz w:val="16"/>
          <w:szCs w:val="16"/>
          <w:rtl/>
        </w:rPr>
        <w:t>(שם)</w:t>
      </w:r>
      <w:r w:rsidR="0042291A">
        <w:rPr>
          <w:rFonts w:cs="Arial" w:hint="cs"/>
          <w:sz w:val="16"/>
          <w:szCs w:val="16"/>
          <w:rtl/>
        </w:rPr>
        <w:t xml:space="preserve"> בשמו)</w:t>
      </w:r>
      <w:r w:rsidR="00286395">
        <w:rPr>
          <w:rFonts w:cs="Arial" w:hint="cs"/>
          <w:rtl/>
        </w:rPr>
        <w:t>-</w:t>
      </w:r>
      <w:r w:rsidRPr="0038323D">
        <w:rPr>
          <w:rFonts w:cs="Arial"/>
          <w:rtl/>
        </w:rPr>
        <w:t xml:space="preserve"> נזקקין לתובע תחלה כגון ראובן שתבע שמעון לדין ולא מצא עדים לדבריו</w:t>
      </w:r>
      <w:r w:rsidR="00472B46">
        <w:rPr>
          <w:rFonts w:cs="Arial" w:hint="cs"/>
          <w:rtl/>
        </w:rPr>
        <w:t>,</w:t>
      </w:r>
      <w:r w:rsidRPr="0038323D">
        <w:rPr>
          <w:rFonts w:cs="Arial"/>
          <w:rtl/>
        </w:rPr>
        <w:t xml:space="preserve"> והדין נוטה לדברי שמעון לזכותו</w:t>
      </w:r>
      <w:r w:rsidR="00472B46">
        <w:rPr>
          <w:rFonts w:cs="Arial" w:hint="cs"/>
          <w:rtl/>
        </w:rPr>
        <w:t>,</w:t>
      </w:r>
      <w:r w:rsidRPr="0038323D">
        <w:rPr>
          <w:rFonts w:cs="Arial"/>
          <w:rtl/>
        </w:rPr>
        <w:t xml:space="preserve"> ואמר ראובן שאינו רוצה שיפסקו הדין כי שמא היום או מחר ימצא עדים או שמעון יודה לו</w:t>
      </w:r>
      <w:r w:rsidR="00472B46">
        <w:rPr>
          <w:rFonts w:cs="Arial" w:hint="cs"/>
          <w:rtl/>
        </w:rPr>
        <w:t>,</w:t>
      </w:r>
      <w:r w:rsidRPr="0038323D">
        <w:rPr>
          <w:rFonts w:cs="Arial"/>
          <w:rtl/>
        </w:rPr>
        <w:t xml:space="preserve"> ושמעון תובע שיפסקו הדין </w:t>
      </w:r>
      <w:r w:rsidR="00472B46">
        <w:rPr>
          <w:rFonts w:cs="Arial" w:hint="cs"/>
          <w:rtl/>
        </w:rPr>
        <w:t xml:space="preserve">- </w:t>
      </w:r>
      <w:r w:rsidRPr="0038323D">
        <w:rPr>
          <w:rFonts w:cs="Arial"/>
          <w:rtl/>
        </w:rPr>
        <w:t>נזקקין לראובן שתבע תחלה ושומעין לו שלא לפסוק הדין</w:t>
      </w:r>
      <w:r w:rsidR="00750E13">
        <w:rPr>
          <w:rStyle w:val="ab"/>
          <w:rFonts w:cs="Arial"/>
          <w:rtl/>
        </w:rPr>
        <w:footnoteReference w:id="1166"/>
      </w:r>
      <w:r w:rsidR="0042291A">
        <w:rPr>
          <w:rFonts w:cs="Arial" w:hint="cs"/>
          <w:rtl/>
        </w:rPr>
        <w:t>.</w:t>
      </w:r>
      <w:r w:rsidRPr="0038323D">
        <w:rPr>
          <w:rFonts w:cs="Arial"/>
          <w:rtl/>
        </w:rPr>
        <w:t xml:space="preserve"> ואי זיילי נכסיה מחמת שהוציא עליו קול שחייב לו </w:t>
      </w:r>
      <w:r w:rsidR="00472B46">
        <w:rPr>
          <w:rFonts w:cs="Arial" w:hint="cs"/>
          <w:rtl/>
        </w:rPr>
        <w:t xml:space="preserve">- </w:t>
      </w:r>
      <w:r w:rsidRPr="0038323D">
        <w:rPr>
          <w:rFonts w:cs="Arial"/>
          <w:rtl/>
        </w:rPr>
        <w:t>נזקקין לשמעון לפסוק הדין לפוטרו לבטל הקול מעליו</w:t>
      </w:r>
      <w:r w:rsidR="0038323D">
        <w:rPr>
          <w:rFonts w:cs="Arial" w:hint="cs"/>
          <w:rtl/>
        </w:rPr>
        <w:t>.</w:t>
      </w:r>
    </w:p>
    <w:p w14:paraId="3D068FB6" w14:textId="77777777" w:rsidR="000E3D40" w:rsidRPr="000E3D40" w:rsidRDefault="00CC0844" w:rsidP="00C704CB">
      <w:pPr>
        <w:pStyle w:val="ac"/>
        <w:numPr>
          <w:ilvl w:val="0"/>
          <w:numId w:val="8"/>
        </w:numPr>
      </w:pPr>
      <w:r>
        <w:rPr>
          <w:rFonts w:cs="Arial" w:hint="cs"/>
          <w:rtl/>
        </w:rPr>
        <w:lastRenderedPageBreak/>
        <w:t>יש מפרשים</w:t>
      </w:r>
      <w:r w:rsidR="00B51FEB" w:rsidRPr="00F45FD2">
        <w:rPr>
          <w:rFonts w:cs="Arial"/>
          <w:rtl/>
        </w:rPr>
        <w:t xml:space="preserve"> </w:t>
      </w:r>
      <w:r w:rsidR="00F45FD2">
        <w:rPr>
          <w:rFonts w:cs="Arial" w:hint="cs"/>
          <w:sz w:val="16"/>
          <w:szCs w:val="16"/>
          <w:rtl/>
        </w:rPr>
        <w:t>(</w:t>
      </w:r>
      <w:r>
        <w:rPr>
          <w:rFonts w:cs="Arial" w:hint="cs"/>
          <w:sz w:val="16"/>
          <w:szCs w:val="16"/>
          <w:rtl/>
        </w:rPr>
        <w:t>הביאום התוס' [</w:t>
      </w:r>
      <w:r w:rsidR="000E3D40">
        <w:rPr>
          <w:rFonts w:cs="Arial" w:hint="cs"/>
          <w:sz w:val="16"/>
          <w:szCs w:val="16"/>
          <w:rtl/>
        </w:rPr>
        <w:t>מו: סד"ה שאין נזקקין</w:t>
      </w:r>
      <w:r>
        <w:rPr>
          <w:rFonts w:cs="Arial" w:hint="cs"/>
          <w:sz w:val="16"/>
          <w:szCs w:val="16"/>
          <w:rtl/>
        </w:rPr>
        <w:t>]</w:t>
      </w:r>
      <w:r w:rsidR="000E3D40">
        <w:rPr>
          <w:rFonts w:cs="Arial" w:hint="cs"/>
          <w:sz w:val="16"/>
          <w:szCs w:val="16"/>
          <w:rtl/>
        </w:rPr>
        <w:t xml:space="preserve"> </w:t>
      </w:r>
      <w:r>
        <w:rPr>
          <w:rFonts w:cs="Arial" w:hint="cs"/>
          <w:sz w:val="16"/>
          <w:szCs w:val="16"/>
          <w:rtl/>
        </w:rPr>
        <w:t>ו</w:t>
      </w:r>
      <w:r w:rsidR="00F45FD2">
        <w:rPr>
          <w:rFonts w:cs="Arial" w:hint="cs"/>
          <w:sz w:val="16"/>
          <w:szCs w:val="16"/>
          <w:rtl/>
        </w:rPr>
        <w:t>הרא"ש [סי' א])</w:t>
      </w:r>
      <w:r w:rsidR="00F45FD2">
        <w:rPr>
          <w:rFonts w:cs="Arial" w:hint="cs"/>
          <w:rtl/>
        </w:rPr>
        <w:t xml:space="preserve">- </w:t>
      </w:r>
      <w:r w:rsidR="000E3D40">
        <w:rPr>
          <w:rStyle w:val="ab"/>
          <w:rFonts w:cs="Arial"/>
          <w:rtl/>
        </w:rPr>
        <w:footnoteReference w:id="1167"/>
      </w:r>
      <w:r w:rsidR="000E3D40" w:rsidRPr="000E3D40">
        <w:rPr>
          <w:rFonts w:cs="Arial"/>
          <w:rtl/>
        </w:rPr>
        <w:t xml:space="preserve">כגון שזה </w:t>
      </w:r>
      <w:r w:rsidR="00472B46">
        <w:rPr>
          <w:rFonts w:cs="Arial" w:hint="cs"/>
          <w:sz w:val="16"/>
          <w:szCs w:val="16"/>
          <w:rtl/>
        </w:rPr>
        <w:t xml:space="preserve">{ראובן} </w:t>
      </w:r>
      <w:r w:rsidR="000E3D40" w:rsidRPr="000E3D40">
        <w:rPr>
          <w:rFonts w:cs="Arial"/>
          <w:rtl/>
        </w:rPr>
        <w:t>תובע שחבל בו</w:t>
      </w:r>
      <w:r w:rsidR="00472B46">
        <w:rPr>
          <w:rFonts w:cs="Arial" w:hint="cs"/>
          <w:rtl/>
        </w:rPr>
        <w:t>,</w:t>
      </w:r>
      <w:r w:rsidR="000E3D40" w:rsidRPr="000E3D40">
        <w:rPr>
          <w:rFonts w:cs="Arial"/>
          <w:rtl/>
        </w:rPr>
        <w:t xml:space="preserve"> ושמעון אומר יש לי שאר תביעות עליו </w:t>
      </w:r>
      <w:r w:rsidR="00472B46">
        <w:rPr>
          <w:rFonts w:cs="Arial" w:hint="cs"/>
          <w:rtl/>
        </w:rPr>
        <w:t xml:space="preserve">- </w:t>
      </w:r>
      <w:r w:rsidR="000E3D40" w:rsidRPr="000E3D40">
        <w:rPr>
          <w:rFonts w:cs="Arial"/>
          <w:rtl/>
        </w:rPr>
        <w:t>ומגבינן לראובן דמי חבלתו אע</w:t>
      </w:r>
      <w:r w:rsidR="00472B46">
        <w:rPr>
          <w:rFonts w:cs="Arial" w:hint="cs"/>
          <w:rtl/>
        </w:rPr>
        <w:t>"</w:t>
      </w:r>
      <w:r w:rsidR="000E3D40" w:rsidRPr="000E3D40">
        <w:rPr>
          <w:rFonts w:cs="Arial"/>
          <w:rtl/>
        </w:rPr>
        <w:t>פ ששמעון אומר שהיום או למחר יביא עדים ואין ממתינין לו כלל</w:t>
      </w:r>
      <w:r w:rsidR="000E3D40">
        <w:rPr>
          <w:rStyle w:val="ab"/>
          <w:rFonts w:cs="Arial"/>
          <w:rtl/>
        </w:rPr>
        <w:footnoteReference w:id="1168"/>
      </w:r>
      <w:r w:rsidR="000E3D40">
        <w:rPr>
          <w:rFonts w:cs="Arial" w:hint="cs"/>
          <w:rtl/>
        </w:rPr>
        <w:t>,</w:t>
      </w:r>
      <w:r w:rsidR="000E3D40" w:rsidRPr="000E3D40">
        <w:rPr>
          <w:rFonts w:cs="Arial"/>
          <w:rtl/>
        </w:rPr>
        <w:t xml:space="preserve"> דקי"ל בהחובל </w:t>
      </w:r>
      <w:r w:rsidR="000E3D40" w:rsidRPr="000E3D40">
        <w:rPr>
          <w:rFonts w:cs="Arial"/>
          <w:sz w:val="16"/>
          <w:szCs w:val="16"/>
          <w:rtl/>
        </w:rPr>
        <w:t xml:space="preserve">(צא.) </w:t>
      </w:r>
      <w:r w:rsidR="000E3D40" w:rsidRPr="000E3D40">
        <w:rPr>
          <w:rFonts w:cs="Arial"/>
          <w:rtl/>
        </w:rPr>
        <w:t>דאין נותנין זמן לחבלות</w:t>
      </w:r>
      <w:r w:rsidR="009F6DE3">
        <w:rPr>
          <w:rStyle w:val="ab"/>
          <w:rFonts w:cs="Arial"/>
          <w:rtl/>
        </w:rPr>
        <w:footnoteReference w:id="1169"/>
      </w:r>
      <w:r w:rsidR="000E3D40" w:rsidRPr="000E3D40">
        <w:rPr>
          <w:rFonts w:cs="Arial"/>
          <w:rtl/>
        </w:rPr>
        <w:t xml:space="preserve">. </w:t>
      </w:r>
    </w:p>
    <w:p w14:paraId="3FC40911" w14:textId="77777777" w:rsidR="000C451F" w:rsidRDefault="000C451F" w:rsidP="00C704CB">
      <w:pPr>
        <w:pStyle w:val="ac"/>
        <w:numPr>
          <w:ilvl w:val="1"/>
          <w:numId w:val="8"/>
        </w:numPr>
      </w:pPr>
      <w:r>
        <w:rPr>
          <w:rFonts w:hint="cs"/>
          <w:rtl/>
        </w:rPr>
        <w:t xml:space="preserve">רא"ש </w:t>
      </w:r>
      <w:r>
        <w:rPr>
          <w:rFonts w:hint="cs"/>
          <w:sz w:val="16"/>
          <w:szCs w:val="16"/>
          <w:rtl/>
        </w:rPr>
        <w:t>(שם)</w:t>
      </w:r>
      <w:r>
        <w:rPr>
          <w:rFonts w:hint="cs"/>
          <w:rtl/>
        </w:rPr>
        <w:t xml:space="preserve">- </w:t>
      </w:r>
      <w:r w:rsidRPr="000C451F">
        <w:rPr>
          <w:rFonts w:cs="Arial"/>
          <w:rtl/>
        </w:rPr>
        <w:t>וכל הני פירושי סלקי אליבא דהלכה דסברות גדולות הם</w:t>
      </w:r>
      <w:r>
        <w:rPr>
          <w:rFonts w:cs="Arial" w:hint="cs"/>
          <w:rtl/>
        </w:rPr>
        <w:t>.</w:t>
      </w:r>
      <w:r>
        <w:rPr>
          <w:rFonts w:cs="Arial" w:hint="cs"/>
          <w:color w:val="00B0F0"/>
          <w:rtl/>
        </w:rPr>
        <w:t xml:space="preserve"> </w:t>
      </w:r>
      <w:r w:rsidRPr="00551720">
        <w:rPr>
          <w:rFonts w:cs="Arial" w:hint="cs"/>
          <w:color w:val="00B0F0"/>
          <w:rtl/>
        </w:rPr>
        <w:t>(וכ"פ הרמ"א</w:t>
      </w:r>
      <w:r>
        <w:rPr>
          <w:rStyle w:val="ab"/>
          <w:rtl/>
        </w:rPr>
        <w:footnoteReference w:id="1170"/>
      </w:r>
      <w:r w:rsidRPr="00551720">
        <w:rPr>
          <w:rFonts w:cs="Arial" w:hint="cs"/>
          <w:color w:val="00B0F0"/>
          <w:rtl/>
        </w:rPr>
        <w:t>)</w:t>
      </w:r>
      <w:r w:rsidR="00F86802">
        <w:rPr>
          <w:rFonts w:hint="cs"/>
          <w:rtl/>
        </w:rPr>
        <w:t xml:space="preserve"> (וכ"פ הב"ח)</w:t>
      </w:r>
    </w:p>
    <w:p w14:paraId="5E9CA3BF" w14:textId="77777777" w:rsidR="00FF7683" w:rsidRPr="00750E13" w:rsidRDefault="00750E13" w:rsidP="00FF7683">
      <w:pPr>
        <w:rPr>
          <w:color w:val="000000" w:themeColor="text1"/>
          <w:u w:val="single"/>
        </w:rPr>
      </w:pPr>
      <w:r>
        <w:rPr>
          <w:rFonts w:hint="cs"/>
          <w:color w:val="000000" w:themeColor="text1"/>
          <w:u w:val="single"/>
          <w:rtl/>
        </w:rPr>
        <w:t xml:space="preserve">מספר </w:t>
      </w:r>
      <w:r w:rsidRPr="00750E13">
        <w:rPr>
          <w:rFonts w:hint="cs"/>
          <w:color w:val="000000" w:themeColor="text1"/>
          <w:u w:val="single"/>
          <w:rtl/>
        </w:rPr>
        <w:t>מקרים בהם יש דיון</w:t>
      </w:r>
      <w:r>
        <w:rPr>
          <w:rFonts w:hint="cs"/>
          <w:color w:val="000000" w:themeColor="text1"/>
          <w:u w:val="single"/>
          <w:rtl/>
        </w:rPr>
        <w:t xml:space="preserve"> למי להיזקק תחילה</w:t>
      </w:r>
      <w:r w:rsidRPr="00750E13">
        <w:rPr>
          <w:rFonts w:hint="cs"/>
          <w:color w:val="000000" w:themeColor="text1"/>
          <w:u w:val="single"/>
          <w:rtl/>
        </w:rPr>
        <w:t>:</w:t>
      </w:r>
    </w:p>
    <w:p w14:paraId="3A42B6AC" w14:textId="77777777" w:rsidR="00750E13" w:rsidRPr="0016490B" w:rsidRDefault="007D7860" w:rsidP="00C704CB">
      <w:pPr>
        <w:pStyle w:val="ac"/>
        <w:numPr>
          <w:ilvl w:val="0"/>
          <w:numId w:val="8"/>
        </w:numPr>
        <w:rPr>
          <w:rFonts w:cs="Arial"/>
        </w:rPr>
      </w:pPr>
      <w:r w:rsidRPr="00761D57">
        <w:rPr>
          <w:rFonts w:cs="Arial" w:hint="cs"/>
          <w:rtl/>
        </w:rPr>
        <w:t>מהרי"ו</w:t>
      </w:r>
      <w:r w:rsidR="00B51FEB" w:rsidRPr="00761D57">
        <w:rPr>
          <w:rFonts w:cs="Arial"/>
          <w:sz w:val="16"/>
          <w:szCs w:val="16"/>
          <w:rtl/>
        </w:rPr>
        <w:t xml:space="preserve"> (סי' קמז</w:t>
      </w:r>
      <w:r w:rsidRPr="00761D57">
        <w:rPr>
          <w:rFonts w:cs="Arial" w:hint="cs"/>
          <w:sz w:val="16"/>
          <w:szCs w:val="16"/>
          <w:rtl/>
        </w:rPr>
        <w:t>,</w:t>
      </w:r>
      <w:r w:rsidRPr="00761D57">
        <w:rPr>
          <w:rFonts w:cs="Arial"/>
          <w:sz w:val="16"/>
          <w:szCs w:val="16"/>
          <w:rtl/>
        </w:rPr>
        <w:t xml:space="preserve"> </w:t>
      </w:r>
      <w:r w:rsidRPr="00761D57">
        <w:rPr>
          <w:rFonts w:cs="Arial" w:hint="cs"/>
          <w:sz w:val="16"/>
          <w:szCs w:val="16"/>
          <w:rtl/>
        </w:rPr>
        <w:t xml:space="preserve">הביאו הב"י בשם </w:t>
      </w:r>
      <w:r w:rsidRPr="00761D57">
        <w:rPr>
          <w:rFonts w:cs="Arial"/>
          <w:sz w:val="16"/>
          <w:szCs w:val="16"/>
          <w:rtl/>
        </w:rPr>
        <w:t>מצאתי כתוב</w:t>
      </w:r>
      <w:r w:rsidR="00B51FEB" w:rsidRPr="00761D57">
        <w:rPr>
          <w:rFonts w:cs="Arial"/>
          <w:sz w:val="16"/>
          <w:szCs w:val="16"/>
          <w:rtl/>
        </w:rPr>
        <w:t>)</w:t>
      </w:r>
      <w:r w:rsidRPr="00761D57">
        <w:rPr>
          <w:rFonts w:cs="Arial" w:hint="cs"/>
          <w:rtl/>
        </w:rPr>
        <w:t>-</w:t>
      </w:r>
      <w:r w:rsidR="0016490B">
        <w:rPr>
          <w:rFonts w:cs="Arial"/>
        </w:rPr>
        <w:t xml:space="preserve"> </w:t>
      </w:r>
      <w:r w:rsidR="00750E13" w:rsidRPr="0016490B">
        <w:rPr>
          <w:rFonts w:cs="Arial"/>
          <w:rtl/>
        </w:rPr>
        <w:t>אחד שתבע לחבירו</w:t>
      </w:r>
      <w:r w:rsidR="0006622D">
        <w:rPr>
          <w:rFonts w:cs="Arial" w:hint="cs"/>
          <w:rtl/>
        </w:rPr>
        <w:t>,</w:t>
      </w:r>
      <w:r w:rsidR="00750E13" w:rsidRPr="0016490B">
        <w:rPr>
          <w:rFonts w:cs="Arial"/>
          <w:rtl/>
        </w:rPr>
        <w:t xml:space="preserve"> ולא רצה להשיב לו</w:t>
      </w:r>
      <w:r w:rsidR="0006622D">
        <w:rPr>
          <w:rFonts w:cs="Arial" w:hint="cs"/>
          <w:rtl/>
        </w:rPr>
        <w:t>.</w:t>
      </w:r>
      <w:r w:rsidR="00750E13" w:rsidRPr="0016490B">
        <w:rPr>
          <w:rFonts w:cs="Arial"/>
          <w:rtl/>
        </w:rPr>
        <w:t xml:space="preserve"> ואח"כ חזר הנתבע ותבע את התובע מחמת דברים אחרים </w:t>
      </w:r>
      <w:r w:rsidR="0006622D">
        <w:rPr>
          <w:rFonts w:cs="Arial" w:hint="cs"/>
          <w:rtl/>
        </w:rPr>
        <w:t xml:space="preserve">- </w:t>
      </w:r>
      <w:r w:rsidR="00750E13" w:rsidRPr="0016490B">
        <w:rPr>
          <w:rFonts w:cs="Arial"/>
          <w:rtl/>
        </w:rPr>
        <w:t>גם הוא א</w:t>
      </w:r>
      <w:r w:rsidR="0006622D">
        <w:rPr>
          <w:rFonts w:cs="Arial" w:hint="cs"/>
          <w:rtl/>
        </w:rPr>
        <w:t>"</w:t>
      </w:r>
      <w:r w:rsidR="00750E13" w:rsidRPr="0016490B">
        <w:rPr>
          <w:rFonts w:cs="Arial"/>
          <w:rtl/>
        </w:rPr>
        <w:t>צ להשיב לו הואיל והוא היה התובע הראשון</w:t>
      </w:r>
      <w:r w:rsidR="0016490B">
        <w:rPr>
          <w:rFonts w:cs="Arial" w:hint="cs"/>
          <w:sz w:val="16"/>
          <w:szCs w:val="16"/>
          <w:rtl/>
        </w:rPr>
        <w:t xml:space="preserve"> (ל' הדרכ"מ בשם מהרי"ו)</w:t>
      </w:r>
      <w:r w:rsidR="0016490B" w:rsidRPr="0016490B">
        <w:rPr>
          <w:rFonts w:cs="Arial" w:hint="cs"/>
          <w:rtl/>
        </w:rPr>
        <w:t>.</w:t>
      </w:r>
    </w:p>
    <w:p w14:paraId="2C66A79F" w14:textId="77777777" w:rsidR="0038323D" w:rsidRDefault="00B51FEB" w:rsidP="00C704CB">
      <w:pPr>
        <w:pStyle w:val="ac"/>
        <w:numPr>
          <w:ilvl w:val="0"/>
          <w:numId w:val="8"/>
        </w:numPr>
        <w:rPr>
          <w:rFonts w:cs="Arial"/>
        </w:rPr>
      </w:pPr>
      <w:r w:rsidRPr="00761D57">
        <w:rPr>
          <w:rFonts w:cs="Arial"/>
          <w:rtl/>
        </w:rPr>
        <w:t xml:space="preserve">רשב"א </w:t>
      </w:r>
      <w:r w:rsidRPr="001E73BA">
        <w:rPr>
          <w:rFonts w:cs="Arial"/>
          <w:sz w:val="16"/>
          <w:szCs w:val="16"/>
          <w:rtl/>
        </w:rPr>
        <w:t>(שו"ת ח"ג סי' כח)</w:t>
      </w:r>
      <w:r w:rsidR="00761D57" w:rsidRPr="00761D57">
        <w:rPr>
          <w:rFonts w:cs="Arial" w:hint="cs"/>
          <w:rtl/>
        </w:rPr>
        <w:t xml:space="preserve">- </w:t>
      </w:r>
      <w:r w:rsidRPr="00761D57">
        <w:rPr>
          <w:rFonts w:cs="Arial"/>
          <w:rtl/>
        </w:rPr>
        <w:t>ראובן נתחייב לשמעון במאתים</w:t>
      </w:r>
      <w:r w:rsidR="00761D57" w:rsidRPr="00761D57">
        <w:rPr>
          <w:rFonts w:cs="Arial" w:hint="cs"/>
          <w:rtl/>
        </w:rPr>
        <w:t>,</w:t>
      </w:r>
      <w:r w:rsidRPr="00761D57">
        <w:rPr>
          <w:rFonts w:cs="Arial"/>
          <w:rtl/>
        </w:rPr>
        <w:t xml:space="preserve"> ושמעון לראובן מנה</w:t>
      </w:r>
      <w:r w:rsidR="0006622D">
        <w:rPr>
          <w:rFonts w:cs="Arial" w:hint="cs"/>
          <w:rtl/>
        </w:rPr>
        <w:t>.</w:t>
      </w:r>
      <w:r w:rsidRPr="00761D57">
        <w:rPr>
          <w:rFonts w:cs="Arial"/>
          <w:rtl/>
        </w:rPr>
        <w:t xml:space="preserve"> ושמעון עמד כבר בדין עם ראובן על המנה</w:t>
      </w:r>
      <w:r w:rsidR="0006622D">
        <w:rPr>
          <w:rFonts w:cs="Arial" w:hint="cs"/>
          <w:rtl/>
        </w:rPr>
        <w:t>,</w:t>
      </w:r>
      <w:r w:rsidRPr="00761D57">
        <w:rPr>
          <w:rFonts w:cs="Arial"/>
          <w:rtl/>
        </w:rPr>
        <w:t xml:space="preserve"> ונתחייב</w:t>
      </w:r>
      <w:r w:rsidR="0006622D">
        <w:rPr>
          <w:rFonts w:cs="Arial" w:hint="cs"/>
          <w:rtl/>
        </w:rPr>
        <w:t xml:space="preserve"> </w:t>
      </w:r>
      <w:r w:rsidR="0006622D">
        <w:rPr>
          <w:rFonts w:cs="Arial" w:hint="cs"/>
          <w:sz w:val="16"/>
          <w:szCs w:val="16"/>
          <w:rtl/>
        </w:rPr>
        <w:t>{ראובן}</w:t>
      </w:r>
      <w:r w:rsidRPr="00761D57">
        <w:rPr>
          <w:rFonts w:cs="Arial"/>
          <w:rtl/>
        </w:rPr>
        <w:t xml:space="preserve"> בבית דין</w:t>
      </w:r>
      <w:r w:rsidR="0006622D">
        <w:rPr>
          <w:rFonts w:cs="Arial" w:hint="cs"/>
          <w:rtl/>
        </w:rPr>
        <w:t>.</w:t>
      </w:r>
      <w:r w:rsidRPr="00761D57">
        <w:rPr>
          <w:rFonts w:cs="Arial"/>
          <w:rtl/>
        </w:rPr>
        <w:t xml:space="preserve"> אמר שמעון </w:t>
      </w:r>
      <w:r w:rsidR="0006622D">
        <w:rPr>
          <w:rFonts w:cs="Arial" w:hint="cs"/>
          <w:rtl/>
        </w:rPr>
        <w:t>'</w:t>
      </w:r>
      <w:r w:rsidRPr="00761D57">
        <w:rPr>
          <w:rFonts w:cs="Arial"/>
          <w:rtl/>
        </w:rPr>
        <w:t xml:space="preserve">אתה חייב לי מאתים </w:t>
      </w:r>
      <w:r w:rsidR="0006622D">
        <w:rPr>
          <w:rFonts w:cs="Arial" w:hint="cs"/>
          <w:rtl/>
        </w:rPr>
        <w:t xml:space="preserve">- </w:t>
      </w:r>
      <w:r w:rsidRPr="00761D57">
        <w:rPr>
          <w:rFonts w:cs="Arial"/>
          <w:rtl/>
        </w:rPr>
        <w:t>תחסר מהם מאה</w:t>
      </w:r>
      <w:r w:rsidR="0006622D">
        <w:rPr>
          <w:rFonts w:cs="Arial" w:hint="cs"/>
          <w:rtl/>
        </w:rPr>
        <w:t>'.</w:t>
      </w:r>
      <w:r w:rsidRPr="00761D57">
        <w:rPr>
          <w:rFonts w:cs="Arial"/>
          <w:rtl/>
        </w:rPr>
        <w:t xml:space="preserve"> </w:t>
      </w:r>
      <w:r w:rsidR="003E3D86">
        <w:rPr>
          <w:rFonts w:cs="Arial" w:hint="cs"/>
          <w:rtl/>
        </w:rPr>
        <w:t>ו</w:t>
      </w:r>
      <w:r w:rsidRPr="00761D57">
        <w:rPr>
          <w:rFonts w:cs="Arial"/>
          <w:rtl/>
        </w:rPr>
        <w:t xml:space="preserve">השיב ראובן </w:t>
      </w:r>
      <w:r w:rsidR="0006622D">
        <w:rPr>
          <w:rFonts w:cs="Arial" w:hint="cs"/>
          <w:rtl/>
        </w:rPr>
        <w:t>'</w:t>
      </w:r>
      <w:r w:rsidRPr="00761D57">
        <w:rPr>
          <w:rFonts w:cs="Arial"/>
          <w:rtl/>
        </w:rPr>
        <w:t>אני לא עמדתי עמך בבית דין על המאתים וכמדומה לי שיש לי ראיות שאני פטור</w:t>
      </w:r>
      <w:r w:rsidR="0006622D">
        <w:rPr>
          <w:rFonts w:cs="Arial" w:hint="cs"/>
          <w:rtl/>
        </w:rPr>
        <w:t>'.</w:t>
      </w:r>
      <w:r w:rsidRPr="00761D57">
        <w:rPr>
          <w:rFonts w:cs="Arial"/>
          <w:rtl/>
        </w:rPr>
        <w:t xml:space="preserve"> </w:t>
      </w:r>
      <w:r w:rsidR="003E3D86">
        <w:rPr>
          <w:rFonts w:cs="Arial" w:hint="cs"/>
          <w:rtl/>
        </w:rPr>
        <w:t>ו</w:t>
      </w:r>
      <w:r w:rsidRPr="00761D57">
        <w:rPr>
          <w:rFonts w:cs="Arial"/>
          <w:rtl/>
        </w:rPr>
        <w:t xml:space="preserve">השיב </w:t>
      </w:r>
      <w:r w:rsidR="003E3D86">
        <w:rPr>
          <w:rFonts w:cs="Arial" w:hint="cs"/>
          <w:rtl/>
        </w:rPr>
        <w:t xml:space="preserve">לו </w:t>
      </w:r>
      <w:r w:rsidRPr="00761D57">
        <w:rPr>
          <w:rFonts w:cs="Arial"/>
          <w:rtl/>
        </w:rPr>
        <w:t>שמעון שאין בדבריו כלום שיביא אותם הראיות. תשובה. אם שטרו של שמעון מקויים הדין עמו שלא יפרע לו ואח</w:t>
      </w:r>
      <w:r w:rsidR="0006622D">
        <w:rPr>
          <w:rFonts w:cs="Arial" w:hint="cs"/>
          <w:rtl/>
        </w:rPr>
        <w:t>"</w:t>
      </w:r>
      <w:r w:rsidRPr="00761D57">
        <w:rPr>
          <w:rFonts w:cs="Arial"/>
          <w:rtl/>
        </w:rPr>
        <w:t>כ יחזר אחריו</w:t>
      </w:r>
      <w:r w:rsidR="0006622D">
        <w:rPr>
          <w:rFonts w:cs="Arial" w:hint="cs"/>
          <w:rtl/>
        </w:rPr>
        <w:t>,</w:t>
      </w:r>
      <w:r w:rsidRPr="00761D57">
        <w:rPr>
          <w:rFonts w:cs="Arial"/>
          <w:rtl/>
        </w:rPr>
        <w:t xml:space="preserve"> ובכי הא מסתברא שנזקקין לנתבע תחלה</w:t>
      </w:r>
      <w:r w:rsidR="00761D57" w:rsidRPr="00761D57">
        <w:rPr>
          <w:rFonts w:cs="Arial" w:hint="cs"/>
          <w:rtl/>
        </w:rPr>
        <w:t>,</w:t>
      </w:r>
      <w:r w:rsidRPr="00761D57">
        <w:rPr>
          <w:rFonts w:cs="Arial"/>
          <w:rtl/>
        </w:rPr>
        <w:t xml:space="preserve"> שאם האמת כמו שטוען שמעון שראובן חייב לו המאתים והגיע זמנן יכול הוא לומר לו יש לי בידך כנגדן</w:t>
      </w:r>
      <w:r w:rsidR="0006622D">
        <w:rPr>
          <w:rFonts w:cs="Arial" w:hint="cs"/>
          <w:rtl/>
        </w:rPr>
        <w:t>,</w:t>
      </w:r>
      <w:r w:rsidRPr="00761D57">
        <w:rPr>
          <w:rFonts w:cs="Arial"/>
          <w:rtl/>
        </w:rPr>
        <w:t xml:space="preserve"> ואפילו היו בידו כסות או כלים כדאיתא בתוספתא </w:t>
      </w:r>
      <w:r w:rsidRPr="003E3D86">
        <w:rPr>
          <w:rFonts w:cs="Arial"/>
          <w:sz w:val="16"/>
          <w:szCs w:val="16"/>
          <w:rtl/>
        </w:rPr>
        <w:t>(שבועות פ"ה ה"ה)</w:t>
      </w:r>
      <w:r w:rsidR="0006622D">
        <w:rPr>
          <w:rFonts w:cs="Arial" w:hint="cs"/>
          <w:rtl/>
        </w:rPr>
        <w:t xml:space="preserve">. </w:t>
      </w:r>
      <w:r w:rsidRPr="00761D57">
        <w:rPr>
          <w:rFonts w:cs="Arial"/>
          <w:rtl/>
        </w:rPr>
        <w:t>וכל שכן שטענתו של ראובן מסופקת ומראה בעצמה שאינה אלא דחייה בעלמא</w:t>
      </w:r>
      <w:r w:rsidR="00761D57" w:rsidRPr="00761D57">
        <w:rPr>
          <w:rFonts w:cs="Arial" w:hint="cs"/>
          <w:rtl/>
        </w:rPr>
        <w:t>.</w:t>
      </w:r>
    </w:p>
    <w:p w14:paraId="79394F02" w14:textId="77777777" w:rsidR="00761D57" w:rsidRDefault="00761D57" w:rsidP="00C704CB">
      <w:pPr>
        <w:pStyle w:val="ac"/>
        <w:numPr>
          <w:ilvl w:val="0"/>
          <w:numId w:val="8"/>
        </w:numPr>
        <w:rPr>
          <w:rFonts w:cs="Arial"/>
        </w:rPr>
      </w:pPr>
      <w:r w:rsidRPr="00761D57">
        <w:rPr>
          <w:rFonts w:cs="Arial" w:hint="cs"/>
          <w:rtl/>
        </w:rPr>
        <w:t>רשב"</w:t>
      </w:r>
      <w:r w:rsidR="0006622D">
        <w:rPr>
          <w:rFonts w:cs="Arial" w:hint="cs"/>
          <w:rtl/>
        </w:rPr>
        <w:t>ץ</w:t>
      </w:r>
      <w:r w:rsidR="00B51FEB" w:rsidRPr="00761D57">
        <w:rPr>
          <w:rFonts w:cs="Arial"/>
          <w:rtl/>
        </w:rPr>
        <w:t xml:space="preserve"> </w:t>
      </w:r>
      <w:r w:rsidR="00B51FEB" w:rsidRPr="001E73BA">
        <w:rPr>
          <w:rFonts w:cs="Arial"/>
          <w:sz w:val="16"/>
          <w:szCs w:val="16"/>
          <w:rtl/>
        </w:rPr>
        <w:t>(ח"ב סי' ב)</w:t>
      </w:r>
      <w:r w:rsidRPr="00761D57">
        <w:rPr>
          <w:rFonts w:cs="Arial" w:hint="cs"/>
          <w:rtl/>
        </w:rPr>
        <w:t>-</w:t>
      </w:r>
      <w:r w:rsidR="00B51FEB" w:rsidRPr="00761D57">
        <w:rPr>
          <w:rFonts w:cs="Arial"/>
          <w:rtl/>
        </w:rPr>
        <w:t xml:space="preserve"> האומר שיש לו תביעות הרבה על חבירו אלא שאינו רוצה לתבעם עתה</w:t>
      </w:r>
      <w:r w:rsidR="0006622D">
        <w:rPr>
          <w:rFonts w:cs="Arial" w:hint="cs"/>
          <w:rtl/>
        </w:rPr>
        <w:t>.</w:t>
      </w:r>
      <w:r w:rsidR="00B51FEB" w:rsidRPr="00761D57">
        <w:rPr>
          <w:rFonts w:cs="Arial"/>
          <w:rtl/>
        </w:rPr>
        <w:t xml:space="preserve"> והאחר אומר </w:t>
      </w:r>
      <w:r w:rsidR="0006622D">
        <w:rPr>
          <w:rFonts w:cs="Arial" w:hint="cs"/>
          <w:rtl/>
        </w:rPr>
        <w:t>'</w:t>
      </w:r>
      <w:r w:rsidR="00B51FEB" w:rsidRPr="00761D57">
        <w:rPr>
          <w:rFonts w:cs="Arial"/>
          <w:rtl/>
        </w:rPr>
        <w:t>טעון מה שיש לך לטעון כי מפני דבריך אלה יש לי הפסד גדול</w:t>
      </w:r>
      <w:r w:rsidR="0006622D">
        <w:rPr>
          <w:rFonts w:cs="Arial" w:hint="cs"/>
          <w:rtl/>
        </w:rPr>
        <w:t>',</w:t>
      </w:r>
      <w:r w:rsidRPr="00761D57">
        <w:rPr>
          <w:rFonts w:cs="Arial" w:hint="cs"/>
          <w:rtl/>
        </w:rPr>
        <w:t xml:space="preserve"> </w:t>
      </w:r>
      <w:r w:rsidR="00B51FEB" w:rsidRPr="00761D57">
        <w:rPr>
          <w:rFonts w:cs="Arial"/>
          <w:rtl/>
        </w:rPr>
        <w:t>אע</w:t>
      </w:r>
      <w:r w:rsidRPr="00761D57">
        <w:rPr>
          <w:rFonts w:cs="Arial" w:hint="cs"/>
          <w:rtl/>
        </w:rPr>
        <w:t>"</w:t>
      </w:r>
      <w:r w:rsidR="00B51FEB" w:rsidRPr="00761D57">
        <w:rPr>
          <w:rFonts w:cs="Arial"/>
          <w:rtl/>
        </w:rPr>
        <w:t>ג דאין נזקקין אלא לתובע</w:t>
      </w:r>
      <w:r w:rsidR="0006622D">
        <w:rPr>
          <w:rFonts w:cs="Arial" w:hint="cs"/>
          <w:rtl/>
        </w:rPr>
        <w:t>,</w:t>
      </w:r>
      <w:r w:rsidR="00B51FEB" w:rsidRPr="00761D57">
        <w:rPr>
          <w:rFonts w:cs="Arial"/>
          <w:rtl/>
        </w:rPr>
        <w:t xml:space="preserve"> אי זילי נכסיה </w:t>
      </w:r>
      <w:r w:rsidR="0006622D">
        <w:rPr>
          <w:rFonts w:cs="Arial" w:hint="cs"/>
          <w:rtl/>
        </w:rPr>
        <w:t xml:space="preserve">- </w:t>
      </w:r>
      <w:r w:rsidR="00B51FEB" w:rsidRPr="00761D57">
        <w:rPr>
          <w:rFonts w:cs="Arial"/>
          <w:rtl/>
        </w:rPr>
        <w:t>נזקקין לנתבע</w:t>
      </w:r>
      <w:r w:rsidR="0006622D">
        <w:rPr>
          <w:rFonts w:cs="Arial" w:hint="cs"/>
          <w:rtl/>
        </w:rPr>
        <w:t>,</w:t>
      </w:r>
      <w:r w:rsidR="00B51FEB" w:rsidRPr="00761D57">
        <w:rPr>
          <w:rFonts w:cs="Arial"/>
          <w:rtl/>
        </w:rPr>
        <w:t xml:space="preserve"> וכופין את התובע לסדר טענותיו</w:t>
      </w:r>
      <w:r w:rsidRPr="00761D57">
        <w:rPr>
          <w:rFonts w:cs="Arial" w:hint="cs"/>
          <w:rtl/>
        </w:rPr>
        <w:t>.</w:t>
      </w:r>
      <w:r w:rsidR="00551720">
        <w:rPr>
          <w:rFonts w:cs="Arial" w:hint="cs"/>
          <w:rtl/>
        </w:rPr>
        <w:t xml:space="preserve"> </w:t>
      </w:r>
    </w:p>
    <w:p w14:paraId="2698EE2C" w14:textId="77777777" w:rsidR="00551720" w:rsidRDefault="00B51FEB" w:rsidP="00C704CB">
      <w:pPr>
        <w:pStyle w:val="ac"/>
        <w:numPr>
          <w:ilvl w:val="0"/>
          <w:numId w:val="8"/>
        </w:numPr>
        <w:rPr>
          <w:rFonts w:cs="Arial"/>
        </w:rPr>
      </w:pPr>
      <w:r w:rsidRPr="00761D57">
        <w:rPr>
          <w:rFonts w:cs="Arial"/>
          <w:rtl/>
        </w:rPr>
        <w:t xml:space="preserve">רשב"א </w:t>
      </w:r>
      <w:r w:rsidRPr="001E73BA">
        <w:rPr>
          <w:rFonts w:cs="Arial"/>
          <w:sz w:val="16"/>
          <w:szCs w:val="16"/>
          <w:rtl/>
        </w:rPr>
        <w:t>(ח"א סימן אלף וע"ז</w:t>
      </w:r>
      <w:r w:rsidR="00761D57" w:rsidRPr="001E73BA">
        <w:rPr>
          <w:rFonts w:cs="Arial" w:hint="cs"/>
          <w:sz w:val="16"/>
          <w:szCs w:val="16"/>
          <w:rtl/>
        </w:rPr>
        <w:t>)</w:t>
      </w:r>
      <w:r w:rsidR="00761D57" w:rsidRPr="00761D57">
        <w:rPr>
          <w:rFonts w:cs="Arial" w:hint="cs"/>
          <w:rtl/>
        </w:rPr>
        <w:t>-</w:t>
      </w:r>
      <w:r w:rsidRPr="00761D57">
        <w:rPr>
          <w:rFonts w:cs="Arial"/>
          <w:rtl/>
        </w:rPr>
        <w:t xml:space="preserve"> מי שיש לו זכות על קרקע חבירו</w:t>
      </w:r>
      <w:r w:rsidR="0006622D">
        <w:rPr>
          <w:rFonts w:cs="Arial" w:hint="cs"/>
          <w:rtl/>
        </w:rPr>
        <w:t>,</w:t>
      </w:r>
      <w:r w:rsidRPr="00761D57">
        <w:rPr>
          <w:rFonts w:cs="Arial"/>
          <w:rtl/>
        </w:rPr>
        <w:t xml:space="preserve"> והראה לבית דין ושתק</w:t>
      </w:r>
      <w:r w:rsidR="0006622D">
        <w:rPr>
          <w:rFonts w:cs="Arial" w:hint="cs"/>
          <w:rtl/>
        </w:rPr>
        <w:t xml:space="preserve"> -</w:t>
      </w:r>
      <w:r w:rsidRPr="00761D57">
        <w:rPr>
          <w:rFonts w:cs="Arial"/>
          <w:rtl/>
        </w:rPr>
        <w:t xml:space="preserve"> אינו יכול להסתלק אלא לדון</w:t>
      </w:r>
      <w:r w:rsidR="0006622D">
        <w:rPr>
          <w:rFonts w:cs="Arial" w:hint="cs"/>
          <w:rtl/>
        </w:rPr>
        <w:t>,</w:t>
      </w:r>
      <w:r w:rsidRPr="00761D57">
        <w:rPr>
          <w:rFonts w:cs="Arial"/>
          <w:rtl/>
        </w:rPr>
        <w:t xml:space="preserve"> כי יאמר הנתבע יגמור טענתו דזילי נכסיה</w:t>
      </w:r>
      <w:r w:rsidR="00761D57" w:rsidRPr="00761D57">
        <w:rPr>
          <w:rFonts w:cs="Arial" w:hint="cs"/>
          <w:rtl/>
        </w:rPr>
        <w:t>.</w:t>
      </w:r>
    </w:p>
    <w:p w14:paraId="53F5DDEF" w14:textId="77777777" w:rsidR="00E137BC" w:rsidRPr="00576D5C" w:rsidRDefault="00E137BC" w:rsidP="00576D5C">
      <w:pPr>
        <w:rPr>
          <w:rFonts w:asciiTheme="minorBidi" w:hAnsiTheme="minorBidi"/>
          <w:b/>
          <w:bCs/>
          <w:color w:val="000000"/>
          <w:sz w:val="28"/>
          <w:szCs w:val="28"/>
          <w:u w:val="single"/>
          <w:rtl/>
        </w:rPr>
      </w:pPr>
      <w:r w:rsidRPr="00576D5C">
        <w:rPr>
          <w:rFonts w:asciiTheme="minorBidi" w:hAnsiTheme="minorBidi"/>
          <w:b/>
          <w:bCs/>
          <w:color w:val="000000"/>
          <w:sz w:val="28"/>
          <w:szCs w:val="28"/>
          <w:u w:val="single"/>
          <w:rtl/>
        </w:rPr>
        <w:t>שו"ע:</w:t>
      </w:r>
    </w:p>
    <w:p w14:paraId="1A4FEC66" w14:textId="77777777" w:rsidR="00E137BC" w:rsidRPr="00576D5C" w:rsidRDefault="00E137BC" w:rsidP="00576D5C">
      <w:pPr>
        <w:rPr>
          <w:rFonts w:asciiTheme="minorBidi" w:hAnsiTheme="minorBidi"/>
          <w:rtl/>
        </w:rPr>
      </w:pPr>
      <w:r w:rsidRPr="00576D5C">
        <w:rPr>
          <w:rFonts w:asciiTheme="minorBidi" w:hAnsiTheme="minorBidi"/>
          <w:rtl/>
        </w:rPr>
        <w:t xml:space="preserve">אין נזקקין אלא לתובע תחלה. ואם זיילי נכסי דנתבע נזקקין לו תחלה. </w:t>
      </w:r>
      <w:r w:rsidRPr="005464F3">
        <w:rPr>
          <w:rFonts w:asciiTheme="minorBidi" w:hAnsiTheme="minorBidi"/>
          <w:sz w:val="18"/>
          <w:szCs w:val="18"/>
          <w:rtl/>
        </w:rPr>
        <w:t>הגה: פירוש</w:t>
      </w:r>
      <w:r w:rsidR="0006622D">
        <w:rPr>
          <w:rFonts w:asciiTheme="minorBidi" w:hAnsiTheme="minorBidi" w:hint="cs"/>
          <w:sz w:val="18"/>
          <w:szCs w:val="18"/>
          <w:rtl/>
        </w:rPr>
        <w:t>,</w:t>
      </w:r>
      <w:r w:rsidRPr="005464F3">
        <w:rPr>
          <w:rFonts w:asciiTheme="minorBidi" w:hAnsiTheme="minorBidi"/>
          <w:sz w:val="18"/>
          <w:szCs w:val="18"/>
          <w:rtl/>
        </w:rPr>
        <w:t xml:space="preserve"> ראובן תובע שמעון בענין שלא יוכל לומר פרעתי</w:t>
      </w:r>
      <w:r w:rsidR="000C451F">
        <w:rPr>
          <w:rStyle w:val="ab"/>
          <w:rFonts w:asciiTheme="minorBidi" w:hAnsiTheme="minorBidi"/>
          <w:sz w:val="18"/>
          <w:szCs w:val="18"/>
          <w:rtl/>
        </w:rPr>
        <w:footnoteReference w:id="1171"/>
      </w:r>
      <w:r w:rsidRPr="005464F3">
        <w:rPr>
          <w:rFonts w:asciiTheme="minorBidi" w:hAnsiTheme="minorBidi"/>
          <w:sz w:val="18"/>
          <w:szCs w:val="18"/>
          <w:rtl/>
        </w:rPr>
        <w:t>, ושמעון משיב: יש לך משלי כל כך, ומבקש זמן להביא עדים יותר מל' יום</w:t>
      </w:r>
      <w:r w:rsidR="00B32A80">
        <w:rPr>
          <w:rStyle w:val="ab"/>
          <w:rFonts w:asciiTheme="minorBidi" w:hAnsiTheme="minorBidi"/>
          <w:sz w:val="18"/>
          <w:szCs w:val="18"/>
          <w:rtl/>
        </w:rPr>
        <w:footnoteReference w:id="1172"/>
      </w:r>
      <w:r w:rsidRPr="005464F3">
        <w:rPr>
          <w:rFonts w:asciiTheme="minorBidi" w:hAnsiTheme="minorBidi"/>
          <w:sz w:val="18"/>
          <w:szCs w:val="18"/>
          <w:rtl/>
        </w:rPr>
        <w:t xml:space="preserve"> שהוא זמן בית דין, אע</w:t>
      </w:r>
      <w:r w:rsidR="00551720">
        <w:rPr>
          <w:rFonts w:asciiTheme="minorBidi" w:hAnsiTheme="minorBidi" w:hint="cs"/>
          <w:sz w:val="18"/>
          <w:szCs w:val="18"/>
          <w:rtl/>
        </w:rPr>
        <w:t>"</w:t>
      </w:r>
      <w:r w:rsidRPr="005464F3">
        <w:rPr>
          <w:rFonts w:asciiTheme="minorBidi" w:hAnsiTheme="minorBidi"/>
          <w:sz w:val="18"/>
          <w:szCs w:val="18"/>
          <w:rtl/>
        </w:rPr>
        <w:t>פ שאנו יודעים שיש לו עדים שיודעים בדבר, נזקקים לתובע וצריך לשלם לו מיד</w:t>
      </w:r>
      <w:r w:rsidR="00B32A80">
        <w:rPr>
          <w:rStyle w:val="ab"/>
          <w:rFonts w:asciiTheme="minorBidi" w:hAnsiTheme="minorBidi"/>
          <w:sz w:val="18"/>
          <w:szCs w:val="18"/>
          <w:rtl/>
        </w:rPr>
        <w:footnoteReference w:id="1173"/>
      </w:r>
      <w:r w:rsidRPr="005464F3">
        <w:rPr>
          <w:rFonts w:asciiTheme="minorBidi" w:hAnsiTheme="minorBidi"/>
          <w:sz w:val="18"/>
          <w:szCs w:val="18"/>
          <w:rtl/>
        </w:rPr>
        <w:t>, אם לא שזיילי נכסיה</w:t>
      </w:r>
      <w:r w:rsidR="00B32A80">
        <w:rPr>
          <w:rStyle w:val="ab"/>
          <w:rFonts w:asciiTheme="minorBidi" w:hAnsiTheme="minorBidi"/>
          <w:sz w:val="18"/>
          <w:szCs w:val="18"/>
          <w:rtl/>
        </w:rPr>
        <w:footnoteReference w:id="1174"/>
      </w:r>
      <w:r w:rsidRPr="005464F3">
        <w:rPr>
          <w:rFonts w:asciiTheme="minorBidi" w:hAnsiTheme="minorBidi"/>
          <w:sz w:val="18"/>
          <w:szCs w:val="18"/>
          <w:rtl/>
        </w:rPr>
        <w:t xml:space="preserve"> ויש היזק בזה לנתבע</w:t>
      </w:r>
      <w:r w:rsidR="0006622D">
        <w:rPr>
          <w:rFonts w:asciiTheme="minorBidi" w:hAnsiTheme="minorBidi" w:hint="cs"/>
          <w:sz w:val="18"/>
          <w:szCs w:val="18"/>
          <w:rtl/>
        </w:rPr>
        <w:t xml:space="preserve"> </w:t>
      </w:r>
      <w:r w:rsidR="0006622D" w:rsidRPr="00320DF9">
        <w:rPr>
          <w:rFonts w:asciiTheme="minorBidi" w:hAnsiTheme="minorBidi" w:hint="cs"/>
          <w:sz w:val="16"/>
          <w:szCs w:val="16"/>
          <w:rtl/>
        </w:rPr>
        <w:t>(רש"י)</w:t>
      </w:r>
      <w:r w:rsidRPr="005464F3">
        <w:rPr>
          <w:rFonts w:asciiTheme="minorBidi" w:hAnsiTheme="minorBidi"/>
          <w:sz w:val="18"/>
          <w:szCs w:val="18"/>
          <w:rtl/>
        </w:rPr>
        <w:t>. וה"ה אם התובע רוצה שישמעו דבריו תחלה קודם שישמעו דבריו של נתבע</w:t>
      </w:r>
      <w:r w:rsidR="0006622D">
        <w:rPr>
          <w:rFonts w:asciiTheme="minorBidi" w:hAnsiTheme="minorBidi" w:hint="cs"/>
          <w:sz w:val="18"/>
          <w:szCs w:val="18"/>
          <w:rtl/>
        </w:rPr>
        <w:t xml:space="preserve"> </w:t>
      </w:r>
      <w:r w:rsidR="0006622D" w:rsidRPr="00320DF9">
        <w:rPr>
          <w:rFonts w:asciiTheme="minorBidi" w:hAnsiTheme="minorBidi"/>
          <w:sz w:val="16"/>
          <w:szCs w:val="16"/>
          <w:rtl/>
        </w:rPr>
        <w:t>(ר</w:t>
      </w:r>
      <w:r w:rsidR="0006622D" w:rsidRPr="00320DF9">
        <w:rPr>
          <w:rFonts w:asciiTheme="minorBidi" w:hAnsiTheme="minorBidi" w:hint="cs"/>
          <w:sz w:val="16"/>
          <w:szCs w:val="16"/>
          <w:rtl/>
        </w:rPr>
        <w:t>י</w:t>
      </w:r>
      <w:r w:rsidR="0006622D" w:rsidRPr="00320DF9">
        <w:rPr>
          <w:rFonts w:asciiTheme="minorBidi" w:hAnsiTheme="minorBidi"/>
          <w:sz w:val="16"/>
          <w:szCs w:val="16"/>
          <w:rtl/>
        </w:rPr>
        <w:t>ב"</w:t>
      </w:r>
      <w:r w:rsidR="0006622D" w:rsidRPr="00320DF9">
        <w:rPr>
          <w:rFonts w:asciiTheme="minorBidi" w:hAnsiTheme="minorBidi" w:hint="cs"/>
          <w:sz w:val="16"/>
          <w:szCs w:val="16"/>
          <w:rtl/>
        </w:rPr>
        <w:t>א</w:t>
      </w:r>
      <w:r w:rsidR="0006622D" w:rsidRPr="00320DF9">
        <w:rPr>
          <w:rFonts w:asciiTheme="minorBidi" w:hAnsiTheme="minorBidi"/>
          <w:sz w:val="16"/>
          <w:szCs w:val="16"/>
          <w:rtl/>
        </w:rPr>
        <w:t>)</w:t>
      </w:r>
      <w:r w:rsidR="0006622D">
        <w:rPr>
          <w:rFonts w:asciiTheme="minorBidi" w:hAnsiTheme="minorBidi" w:hint="cs"/>
          <w:sz w:val="18"/>
          <w:szCs w:val="18"/>
          <w:rtl/>
        </w:rPr>
        <w:t>.</w:t>
      </w:r>
      <w:r w:rsidRPr="005464F3">
        <w:rPr>
          <w:rFonts w:asciiTheme="minorBidi" w:hAnsiTheme="minorBidi"/>
          <w:sz w:val="18"/>
          <w:szCs w:val="18"/>
          <w:rtl/>
        </w:rPr>
        <w:t xml:space="preserve"> או שמבקש מהב"ד שלא יפסקו לו הדין עכשיו אלא כשירצה הוא </w:t>
      </w:r>
      <w:r w:rsidRPr="00320DF9">
        <w:rPr>
          <w:rFonts w:asciiTheme="minorBidi" w:hAnsiTheme="minorBidi"/>
          <w:sz w:val="16"/>
          <w:szCs w:val="16"/>
          <w:rtl/>
        </w:rPr>
        <w:t>(ראב"ד)</w:t>
      </w:r>
      <w:r w:rsidR="0006622D">
        <w:rPr>
          <w:rFonts w:asciiTheme="minorBidi" w:hAnsiTheme="minorBidi" w:hint="cs"/>
          <w:sz w:val="18"/>
          <w:szCs w:val="18"/>
          <w:rtl/>
        </w:rPr>
        <w:t>.</w:t>
      </w:r>
      <w:r w:rsidRPr="005464F3">
        <w:rPr>
          <w:rFonts w:asciiTheme="minorBidi" w:hAnsiTheme="minorBidi"/>
          <w:sz w:val="18"/>
          <w:szCs w:val="18"/>
          <w:rtl/>
        </w:rPr>
        <w:t xml:space="preserve"> או שהנתבע חייב לו שבועה </w:t>
      </w:r>
      <w:r w:rsidRPr="005464F3">
        <w:rPr>
          <w:rFonts w:asciiTheme="minorBidi" w:hAnsiTheme="minorBidi"/>
          <w:sz w:val="18"/>
          <w:szCs w:val="18"/>
          <w:rtl/>
        </w:rPr>
        <w:lastRenderedPageBreak/>
        <w:t>ואומר התובע שאינו רוצה שישבע לו עכשיו</w:t>
      </w:r>
      <w:r w:rsidR="00750E13">
        <w:rPr>
          <w:rStyle w:val="ab"/>
          <w:rFonts w:asciiTheme="minorBidi" w:hAnsiTheme="minorBidi"/>
          <w:sz w:val="18"/>
          <w:szCs w:val="18"/>
          <w:rtl/>
        </w:rPr>
        <w:footnoteReference w:id="1175"/>
      </w:r>
      <w:r w:rsidRPr="005464F3">
        <w:rPr>
          <w:rFonts w:asciiTheme="minorBidi" w:hAnsiTheme="minorBidi"/>
          <w:sz w:val="18"/>
          <w:szCs w:val="18"/>
          <w:rtl/>
        </w:rPr>
        <w:t xml:space="preserve"> רק כשירצה </w:t>
      </w:r>
      <w:r w:rsidRPr="00320DF9">
        <w:rPr>
          <w:rFonts w:asciiTheme="minorBidi" w:hAnsiTheme="minorBidi"/>
          <w:sz w:val="16"/>
          <w:szCs w:val="16"/>
          <w:rtl/>
        </w:rPr>
        <w:t>(נ</w:t>
      </w:r>
      <w:r w:rsidR="00B51FEB" w:rsidRPr="00320DF9">
        <w:rPr>
          <w:rFonts w:asciiTheme="minorBidi" w:hAnsiTheme="minorBidi" w:hint="cs"/>
          <w:sz w:val="16"/>
          <w:szCs w:val="16"/>
          <w:rtl/>
        </w:rPr>
        <w:t>מוק</w:t>
      </w:r>
      <w:r w:rsidRPr="00320DF9">
        <w:rPr>
          <w:rFonts w:asciiTheme="minorBidi" w:hAnsiTheme="minorBidi"/>
          <w:sz w:val="16"/>
          <w:szCs w:val="16"/>
          <w:rtl/>
        </w:rPr>
        <w:t>"י)</w:t>
      </w:r>
      <w:r w:rsidR="0006622D">
        <w:rPr>
          <w:rFonts w:asciiTheme="minorBidi" w:hAnsiTheme="minorBidi" w:hint="cs"/>
          <w:sz w:val="18"/>
          <w:szCs w:val="18"/>
          <w:rtl/>
        </w:rPr>
        <w:t>.</w:t>
      </w:r>
      <w:r w:rsidRPr="005464F3">
        <w:rPr>
          <w:rFonts w:asciiTheme="minorBidi" w:hAnsiTheme="minorBidi"/>
          <w:sz w:val="18"/>
          <w:szCs w:val="18"/>
          <w:rtl/>
        </w:rPr>
        <w:t xml:space="preserve"> וכל כיוצא בזה, כגון שאומר שיש לו הרבה טענות על זה ואינו רוצה לטעון עכשיו</w:t>
      </w:r>
      <w:r w:rsidR="005A52DD">
        <w:rPr>
          <w:rStyle w:val="ab"/>
          <w:rFonts w:asciiTheme="minorBidi" w:hAnsiTheme="minorBidi"/>
          <w:sz w:val="18"/>
          <w:szCs w:val="18"/>
          <w:rtl/>
        </w:rPr>
        <w:footnoteReference w:id="1176"/>
      </w:r>
      <w:r w:rsidRPr="005464F3">
        <w:rPr>
          <w:rFonts w:asciiTheme="minorBidi" w:hAnsiTheme="minorBidi"/>
          <w:sz w:val="18"/>
          <w:szCs w:val="18"/>
          <w:rtl/>
        </w:rPr>
        <w:t xml:space="preserve">, שומעין לתובע, אם לא שזיילי נכסי הנתבע </w:t>
      </w:r>
      <w:r w:rsidRPr="00320DF9">
        <w:rPr>
          <w:rFonts w:asciiTheme="minorBidi" w:hAnsiTheme="minorBidi"/>
          <w:sz w:val="16"/>
          <w:szCs w:val="16"/>
          <w:rtl/>
        </w:rPr>
        <w:t>(רשב"ץ)</w:t>
      </w:r>
      <w:r w:rsidRPr="005464F3">
        <w:rPr>
          <w:rFonts w:asciiTheme="minorBidi" w:hAnsiTheme="minorBidi"/>
          <w:sz w:val="18"/>
          <w:szCs w:val="18"/>
          <w:rtl/>
        </w:rPr>
        <w:t>, או שיש לנתבע היזק</w:t>
      </w:r>
      <w:r w:rsidR="0016490B">
        <w:rPr>
          <w:rStyle w:val="ab"/>
          <w:rFonts w:asciiTheme="minorBidi" w:hAnsiTheme="minorBidi"/>
          <w:sz w:val="18"/>
          <w:szCs w:val="18"/>
          <w:rtl/>
        </w:rPr>
        <w:footnoteReference w:id="1177"/>
      </w:r>
      <w:r w:rsidRPr="005464F3">
        <w:rPr>
          <w:rFonts w:asciiTheme="minorBidi" w:hAnsiTheme="minorBidi"/>
          <w:sz w:val="18"/>
          <w:szCs w:val="18"/>
          <w:rtl/>
        </w:rPr>
        <w:t xml:space="preserve"> בזה כפי ראות עיני הדיינים.</w:t>
      </w:r>
    </w:p>
    <w:p w14:paraId="072CBEFA" w14:textId="77777777" w:rsidR="00E137BC" w:rsidRPr="00576D5C" w:rsidRDefault="00E137BC" w:rsidP="00576D5C">
      <w:pPr>
        <w:rPr>
          <w:rFonts w:asciiTheme="minorBidi" w:hAnsiTheme="minorBidi"/>
          <w:rtl/>
        </w:rPr>
        <w:sectPr w:rsidR="00E137BC" w:rsidRPr="00576D5C" w:rsidSect="00AF3AF9">
          <w:headerReference w:type="default" r:id="rId34"/>
          <w:footnotePr>
            <w:numRestart w:val="eachPage"/>
          </w:footnotePr>
          <w:pgSz w:w="11906" w:h="16838"/>
          <w:pgMar w:top="720" w:right="1134" w:bottom="720" w:left="1134" w:header="0" w:footer="0" w:gutter="0"/>
          <w:cols w:space="720"/>
          <w:bidi/>
          <w:rtlGutter/>
          <w:docGrid w:linePitch="360"/>
        </w:sectPr>
      </w:pPr>
    </w:p>
    <w:p w14:paraId="5AA73FF4" w14:textId="77777777" w:rsidR="00E137BC" w:rsidRPr="00576D5C" w:rsidRDefault="00E137BC" w:rsidP="006567B0">
      <w:pPr>
        <w:pStyle w:val="1"/>
        <w:rPr>
          <w:rtl/>
        </w:rPr>
      </w:pPr>
      <w:bookmarkStart w:id="177" w:name="_Toc24883660"/>
      <w:r w:rsidRPr="00576D5C">
        <w:rPr>
          <w:rtl/>
        </w:rPr>
        <w:lastRenderedPageBreak/>
        <w:t>סימן כה: דיין שטעה, מתי חוזר ומתי משלם, ובו ה' סעיפים.</w:t>
      </w:r>
      <w:bookmarkEnd w:id="177"/>
      <w:r w:rsidRPr="00576D5C">
        <w:rPr>
          <w:rtl/>
        </w:rPr>
        <w:t xml:space="preserve"> </w:t>
      </w:r>
    </w:p>
    <w:p w14:paraId="5D4D6A40" w14:textId="77777777" w:rsidR="00E137BC" w:rsidRDefault="00E137BC" w:rsidP="006567B0">
      <w:pPr>
        <w:pStyle w:val="2"/>
        <w:rPr>
          <w:rtl/>
        </w:rPr>
      </w:pPr>
      <w:bookmarkStart w:id="178" w:name="_Toc24883661"/>
      <w:r w:rsidRPr="00576D5C">
        <w:rPr>
          <w:rtl/>
        </w:rPr>
        <w:t>סעיף א</w:t>
      </w:r>
      <w:r w:rsidR="00F86802">
        <w:rPr>
          <w:rFonts w:hint="cs"/>
          <w:rtl/>
        </w:rPr>
        <w:t>:</w:t>
      </w:r>
      <w:r w:rsidR="007E745D">
        <w:rPr>
          <w:rFonts w:hint="cs"/>
          <w:rtl/>
        </w:rPr>
        <w:t xml:space="preserve"> טעות בדבר משנה.</w:t>
      </w:r>
      <w:bookmarkEnd w:id="178"/>
    </w:p>
    <w:p w14:paraId="7DF207B1" w14:textId="77777777" w:rsidR="007E745D" w:rsidRDefault="007E745D" w:rsidP="007E745D">
      <w:pPr>
        <w:rPr>
          <w:rFonts w:cs="Arial"/>
          <w:rtl/>
        </w:rPr>
      </w:pPr>
      <w:r>
        <w:rPr>
          <w:rFonts w:cs="Arial" w:hint="cs"/>
          <w:b/>
          <w:bCs/>
          <w:rtl/>
        </w:rPr>
        <w:t xml:space="preserve">בכורות </w:t>
      </w:r>
      <w:r w:rsidRPr="00206F0C">
        <w:rPr>
          <w:rFonts w:cs="Arial" w:hint="cs"/>
          <w:b/>
          <w:bCs/>
          <w:sz w:val="16"/>
          <w:szCs w:val="16"/>
          <w:rtl/>
        </w:rPr>
        <w:t>(פ' עד כמה)</w:t>
      </w:r>
      <w:r>
        <w:rPr>
          <w:rFonts w:cs="Arial" w:hint="cs"/>
          <w:b/>
          <w:bCs/>
          <w:rtl/>
        </w:rPr>
        <w:t xml:space="preserve"> כח</w:t>
      </w:r>
      <w:r w:rsidR="00253347">
        <w:rPr>
          <w:rStyle w:val="ab"/>
          <w:rFonts w:cs="Arial"/>
          <w:b/>
          <w:bCs/>
          <w:rtl/>
        </w:rPr>
        <w:footnoteReference w:id="1178"/>
      </w:r>
      <w:r>
        <w:rPr>
          <w:rFonts w:cs="Arial" w:hint="cs"/>
          <w:b/>
          <w:bCs/>
          <w:rtl/>
        </w:rPr>
        <w:t xml:space="preserve"> ע"ב: </w:t>
      </w:r>
      <w:r w:rsidRPr="00206F0C">
        <w:rPr>
          <w:rFonts w:cs="Arial"/>
          <w:u w:val="double"/>
          <w:rtl/>
        </w:rPr>
        <w:t>מתני'</w:t>
      </w:r>
      <w:r>
        <w:rPr>
          <w:rFonts w:cs="Arial" w:hint="cs"/>
          <w:rtl/>
        </w:rPr>
        <w:t>:</w:t>
      </w:r>
      <w:r w:rsidRPr="00206F0C">
        <w:rPr>
          <w:rFonts w:cs="Arial"/>
          <w:rtl/>
        </w:rPr>
        <w:t xml:space="preserve"> דן את הדין, זיכה את החייב וחייב את הזכאי, טימא את הטהור וטיהר את הטמא - מה שעשה עשוי, וישלם מביתו, ואם היה מומחה לב"ד - פטור מלשלם. </w:t>
      </w:r>
      <w:r>
        <w:rPr>
          <w:rFonts w:cs="Arial" w:hint="cs"/>
          <w:rtl/>
        </w:rPr>
        <w:t xml:space="preserve">    </w:t>
      </w:r>
      <w:r w:rsidRPr="00206F0C">
        <w:rPr>
          <w:rFonts w:cs="Arial"/>
          <w:u w:val="double"/>
          <w:rtl/>
        </w:rPr>
        <w:t>גמ'</w:t>
      </w:r>
      <w:r>
        <w:rPr>
          <w:rFonts w:cs="Arial" w:hint="cs"/>
          <w:rtl/>
        </w:rPr>
        <w:t>:</w:t>
      </w:r>
      <w:r w:rsidRPr="00206F0C">
        <w:rPr>
          <w:rFonts w:cs="Arial"/>
          <w:rtl/>
        </w:rPr>
        <w:t xml:space="preserve"> לימא תנן סתמא כר' מאיר דדאין דינא דגרמי? </w:t>
      </w:r>
      <w:r w:rsidRPr="00206F0C">
        <w:rPr>
          <w:rFonts w:cs="Arial"/>
          <w:u w:val="single"/>
          <w:rtl/>
        </w:rPr>
        <w:t>א"ר אילעא אמר רב</w:t>
      </w:r>
      <w:r w:rsidRPr="00206F0C">
        <w:rPr>
          <w:rFonts w:cs="Arial"/>
          <w:rtl/>
        </w:rPr>
        <w:t>: כגון שנשא ונתן ביד</w:t>
      </w:r>
      <w:r w:rsidR="00FC4871">
        <w:rPr>
          <w:rFonts w:cs="Arial" w:hint="cs"/>
          <w:rtl/>
        </w:rPr>
        <w:t>.</w:t>
      </w:r>
      <w:r w:rsidRPr="00206F0C">
        <w:rPr>
          <w:rFonts w:cs="Arial"/>
          <w:rtl/>
        </w:rPr>
        <w:t xml:space="preserve"> בשלמא חייב את הזכאי - כגון שנשא ונתן ביד, אלא זיכה את החייב - היכי דמי? אי דאמר ליה פטור אתה - והא לא נשא ונתן ביד! </w:t>
      </w:r>
      <w:r w:rsidRPr="00206F0C">
        <w:rPr>
          <w:rFonts w:cs="Arial"/>
          <w:u w:val="single"/>
          <w:rtl/>
        </w:rPr>
        <w:t>אמר רבינא</w:t>
      </w:r>
      <w:r w:rsidRPr="00206F0C">
        <w:rPr>
          <w:rFonts w:cs="Arial"/>
          <w:rtl/>
        </w:rPr>
        <w:t xml:space="preserve">: כגון שהיה לו משכון ונטלו הימנו. </w:t>
      </w:r>
      <w:r w:rsidRPr="00A3703E">
        <w:rPr>
          <w:rFonts w:cs="Arial"/>
          <w:rtl/>
        </w:rPr>
        <w:t>טימא את הטהור - דאגע בהו שרץ</w:t>
      </w:r>
      <w:r w:rsidR="001E65D2">
        <w:rPr>
          <w:rStyle w:val="ab"/>
          <w:rFonts w:cs="Arial"/>
          <w:rtl/>
        </w:rPr>
        <w:footnoteReference w:id="1179"/>
      </w:r>
      <w:r w:rsidR="001E65D2">
        <w:rPr>
          <w:rFonts w:cs="Arial" w:hint="cs"/>
          <w:rtl/>
        </w:rPr>
        <w:t>.</w:t>
      </w:r>
      <w:r w:rsidRPr="00A3703E">
        <w:rPr>
          <w:rFonts w:cs="Arial"/>
          <w:rtl/>
        </w:rPr>
        <w:t xml:space="preserve"> טיהר את הטמא - שעירבן עם פירותיו</w:t>
      </w:r>
      <w:r>
        <w:rPr>
          <w:rFonts w:cs="Arial" w:hint="cs"/>
          <w:rtl/>
        </w:rPr>
        <w:t>.</w:t>
      </w:r>
    </w:p>
    <w:p w14:paraId="491E0776" w14:textId="77777777" w:rsidR="007E745D" w:rsidRPr="00253347" w:rsidRDefault="007E745D" w:rsidP="007E745D">
      <w:pPr>
        <w:rPr>
          <w:rFonts w:cs="Arial"/>
          <w:color w:val="FF0000"/>
          <w:rtl/>
        </w:rPr>
      </w:pPr>
      <w:r w:rsidRPr="00EC5ADB">
        <w:rPr>
          <w:rFonts w:cs="Arial"/>
          <w:b/>
          <w:bCs/>
          <w:rtl/>
        </w:rPr>
        <w:t xml:space="preserve">סנהדרין </w:t>
      </w:r>
      <w:r w:rsidRPr="00EC5ADB">
        <w:rPr>
          <w:rFonts w:cs="Arial" w:hint="cs"/>
          <w:b/>
          <w:bCs/>
          <w:sz w:val="16"/>
          <w:szCs w:val="16"/>
          <w:rtl/>
        </w:rPr>
        <w:t>(</w:t>
      </w:r>
      <w:r w:rsidRPr="00EC5ADB">
        <w:rPr>
          <w:rFonts w:cs="Arial"/>
          <w:b/>
          <w:bCs/>
          <w:sz w:val="16"/>
          <w:szCs w:val="16"/>
          <w:rtl/>
        </w:rPr>
        <w:t>פ</w:t>
      </w:r>
      <w:r w:rsidRPr="00EC5ADB">
        <w:rPr>
          <w:rFonts w:cs="Arial" w:hint="cs"/>
          <w:b/>
          <w:bCs/>
          <w:sz w:val="16"/>
          <w:szCs w:val="16"/>
          <w:rtl/>
        </w:rPr>
        <w:t>'</w:t>
      </w:r>
      <w:r w:rsidRPr="00EC5ADB">
        <w:rPr>
          <w:rFonts w:cs="Arial"/>
          <w:b/>
          <w:bCs/>
          <w:sz w:val="16"/>
          <w:szCs w:val="16"/>
          <w:rtl/>
        </w:rPr>
        <w:t xml:space="preserve"> אחד דיני ממונות</w:t>
      </w:r>
      <w:r w:rsidRPr="00EC5ADB">
        <w:rPr>
          <w:rFonts w:cs="Arial" w:hint="cs"/>
          <w:b/>
          <w:bCs/>
          <w:sz w:val="16"/>
          <w:szCs w:val="16"/>
          <w:rtl/>
        </w:rPr>
        <w:t>)</w:t>
      </w:r>
      <w:r w:rsidRPr="00EC5ADB">
        <w:rPr>
          <w:rFonts w:cs="Arial"/>
          <w:b/>
          <w:bCs/>
          <w:sz w:val="16"/>
          <w:szCs w:val="16"/>
          <w:rtl/>
        </w:rPr>
        <w:t xml:space="preserve"> </w:t>
      </w:r>
      <w:r w:rsidRPr="00EC5ADB">
        <w:rPr>
          <w:rFonts w:cs="Arial"/>
          <w:b/>
          <w:bCs/>
          <w:rtl/>
        </w:rPr>
        <w:t>לב</w:t>
      </w:r>
      <w:r w:rsidR="00253347">
        <w:rPr>
          <w:rStyle w:val="ab"/>
          <w:rFonts w:cs="Arial"/>
          <w:b/>
          <w:bCs/>
          <w:rtl/>
        </w:rPr>
        <w:footnoteReference w:id="1180"/>
      </w:r>
      <w:r w:rsidRPr="00EC5ADB">
        <w:rPr>
          <w:rFonts w:cs="Arial" w:hint="cs"/>
          <w:b/>
          <w:bCs/>
          <w:rtl/>
        </w:rPr>
        <w:t xml:space="preserve"> ע"א:</w:t>
      </w:r>
      <w:r>
        <w:rPr>
          <w:rFonts w:cs="Arial"/>
          <w:rtl/>
        </w:rPr>
        <w:t xml:space="preserve"> </w:t>
      </w:r>
      <w:r w:rsidRPr="00EC5ADB">
        <w:rPr>
          <w:rFonts w:cs="Arial"/>
          <w:u w:val="double"/>
          <w:rtl/>
        </w:rPr>
        <w:t>משנה</w:t>
      </w:r>
      <w:r>
        <w:rPr>
          <w:rFonts w:cs="Arial" w:hint="cs"/>
          <w:rtl/>
        </w:rPr>
        <w:t>:</w:t>
      </w:r>
      <w:r w:rsidRPr="00EC5ADB">
        <w:rPr>
          <w:rFonts w:cs="Arial"/>
          <w:rtl/>
        </w:rPr>
        <w:t xml:space="preserve"> אחד דיני ממונות</w:t>
      </w:r>
      <w:r>
        <w:rPr>
          <w:rFonts w:cs="Arial" w:hint="cs"/>
          <w:rtl/>
        </w:rPr>
        <w:t>...</w:t>
      </w:r>
      <w:r w:rsidRPr="00EC5ADB">
        <w:rPr>
          <w:rFonts w:cs="Arial"/>
          <w:rtl/>
        </w:rPr>
        <w:t xml:space="preserve"> דיני ממונות - מחזירין</w:t>
      </w:r>
      <w:r>
        <w:rPr>
          <w:rStyle w:val="ab"/>
          <w:rFonts w:cs="Arial"/>
          <w:rtl/>
        </w:rPr>
        <w:footnoteReference w:id="1181"/>
      </w:r>
      <w:r w:rsidRPr="00EC5ADB">
        <w:rPr>
          <w:rFonts w:cs="Arial"/>
          <w:rtl/>
        </w:rPr>
        <w:t xml:space="preserve"> בין לזכות בין לחובה</w:t>
      </w:r>
      <w:r>
        <w:rPr>
          <w:rFonts w:cs="Arial" w:hint="cs"/>
          <w:rtl/>
        </w:rPr>
        <w:t xml:space="preserve">...   </w:t>
      </w:r>
      <w:r w:rsidRPr="00EC5ADB">
        <w:rPr>
          <w:rFonts w:cs="Arial"/>
          <w:u w:val="double"/>
          <w:rtl/>
        </w:rPr>
        <w:t>גמרא</w:t>
      </w:r>
      <w:r w:rsidRPr="00EC5ADB">
        <w:rPr>
          <w:rFonts w:cs="Arial" w:hint="cs"/>
          <w:u w:val="double"/>
          <w:rtl/>
        </w:rPr>
        <w:t xml:space="preserve"> </w:t>
      </w:r>
      <w:r w:rsidRPr="00EC5ADB">
        <w:rPr>
          <w:rFonts w:cs="Arial" w:hint="cs"/>
          <w:sz w:val="14"/>
          <w:szCs w:val="14"/>
          <w:u w:val="double"/>
          <w:rtl/>
        </w:rPr>
        <w:t>(</w:t>
      </w:r>
      <w:r w:rsidRPr="00EC5ADB">
        <w:rPr>
          <w:rFonts w:cs="Arial"/>
          <w:sz w:val="14"/>
          <w:szCs w:val="14"/>
          <w:u w:val="double"/>
          <w:rtl/>
        </w:rPr>
        <w:t>לג.)</w:t>
      </w:r>
      <w:r w:rsidRPr="00EC5ADB">
        <w:rPr>
          <w:rFonts w:cs="Arial" w:hint="cs"/>
          <w:u w:val="double"/>
          <w:rtl/>
        </w:rPr>
        <w:t>:</w:t>
      </w:r>
      <w:r>
        <w:rPr>
          <w:rFonts w:cs="Arial"/>
          <w:rtl/>
        </w:rPr>
        <w:t xml:space="preserve"> </w:t>
      </w:r>
      <w:r w:rsidRPr="00EC5ADB">
        <w:rPr>
          <w:rFonts w:cs="Arial"/>
          <w:rtl/>
        </w:rPr>
        <w:t>דיני ממונות מחזירין כו'. ורמינהו: דן את הדין, זיכה את החייב חייב את הזכאי, טימא את הטהור, טיהר את הטמא - מה שעשה עשוי</w:t>
      </w:r>
      <w:r>
        <w:rPr>
          <w:rStyle w:val="ab"/>
          <w:rFonts w:cs="Arial"/>
          <w:rtl/>
        </w:rPr>
        <w:footnoteReference w:id="1182"/>
      </w:r>
      <w:r w:rsidRPr="00EC5ADB">
        <w:rPr>
          <w:rFonts w:cs="Arial"/>
          <w:rtl/>
        </w:rPr>
        <w:t>, וישלם מבית</w:t>
      </w:r>
      <w:r>
        <w:rPr>
          <w:rFonts w:cs="Arial" w:hint="cs"/>
          <w:rtl/>
        </w:rPr>
        <w:t>ו</w:t>
      </w:r>
      <w:r w:rsidRPr="00EC5ADB">
        <w:rPr>
          <w:rFonts w:cs="Arial"/>
          <w:rtl/>
        </w:rPr>
        <w:t xml:space="preserve">! </w:t>
      </w:r>
      <w:r w:rsidRPr="00EC5ADB">
        <w:rPr>
          <w:rFonts w:cs="Arial"/>
          <w:u w:val="single"/>
          <w:rtl/>
        </w:rPr>
        <w:t>אמר רב יוסף</w:t>
      </w:r>
      <w:r w:rsidRPr="00EC5ADB">
        <w:rPr>
          <w:rFonts w:cs="Arial"/>
          <w:rtl/>
        </w:rPr>
        <w:t>: לא קשיא: כאן - במומחה</w:t>
      </w:r>
      <w:r>
        <w:rPr>
          <w:rStyle w:val="ab"/>
          <w:rFonts w:cs="Arial"/>
          <w:rtl/>
        </w:rPr>
        <w:footnoteReference w:id="1183"/>
      </w:r>
      <w:r w:rsidRPr="00EC5ADB">
        <w:rPr>
          <w:rFonts w:cs="Arial"/>
          <w:rtl/>
        </w:rPr>
        <w:t>, כאן - בשאינו מומחה. ובמומחה מחזירין? והקתני: אם היה מומחה לבית דין - פטור מלשלם</w:t>
      </w:r>
      <w:r>
        <w:rPr>
          <w:rStyle w:val="ab"/>
          <w:rFonts w:cs="Arial"/>
          <w:rtl/>
        </w:rPr>
        <w:footnoteReference w:id="1184"/>
      </w:r>
      <w:r w:rsidRPr="00EC5ADB">
        <w:rPr>
          <w:rFonts w:cs="Arial"/>
          <w:rtl/>
        </w:rPr>
        <w:t xml:space="preserve">! </w:t>
      </w:r>
      <w:r w:rsidRPr="00EC0169">
        <w:rPr>
          <w:rFonts w:cs="Arial"/>
          <w:u w:val="single"/>
          <w:rtl/>
        </w:rPr>
        <w:t>אמר רב נחמן</w:t>
      </w:r>
      <w:r w:rsidRPr="00EC5ADB">
        <w:rPr>
          <w:rFonts w:cs="Arial"/>
          <w:rtl/>
        </w:rPr>
        <w:t>: כאן - שיש גדול הימנו</w:t>
      </w:r>
      <w:r>
        <w:rPr>
          <w:rStyle w:val="ab"/>
          <w:rFonts w:cs="Arial"/>
          <w:rtl/>
        </w:rPr>
        <w:footnoteReference w:id="1185"/>
      </w:r>
      <w:r w:rsidRPr="00EC5ADB">
        <w:rPr>
          <w:rFonts w:cs="Arial"/>
          <w:rtl/>
        </w:rPr>
        <w:t xml:space="preserve"> בחכמה ובמנין, כאן - שאין גדול הימנו</w:t>
      </w:r>
      <w:r>
        <w:rPr>
          <w:rStyle w:val="ab"/>
          <w:rFonts w:cs="Arial"/>
          <w:rtl/>
        </w:rPr>
        <w:footnoteReference w:id="1186"/>
      </w:r>
      <w:r w:rsidRPr="00EC5ADB">
        <w:rPr>
          <w:rFonts w:cs="Arial"/>
          <w:rtl/>
        </w:rPr>
        <w:t xml:space="preserve"> בחכמה ובמנין. </w:t>
      </w:r>
      <w:r w:rsidRPr="00EC0169">
        <w:rPr>
          <w:rFonts w:cs="Arial"/>
          <w:u w:val="single"/>
          <w:rtl/>
        </w:rPr>
        <w:t>רב ששת אמר</w:t>
      </w:r>
      <w:r w:rsidRPr="00EC5ADB">
        <w:rPr>
          <w:rFonts w:cs="Arial"/>
          <w:rtl/>
        </w:rPr>
        <w:t>: כאן - שטעה בדבר משנה</w:t>
      </w:r>
      <w:r>
        <w:rPr>
          <w:rStyle w:val="ab"/>
          <w:rFonts w:cs="Arial"/>
          <w:rtl/>
        </w:rPr>
        <w:footnoteReference w:id="1187"/>
      </w:r>
      <w:r w:rsidRPr="00EC5ADB">
        <w:rPr>
          <w:rFonts w:cs="Arial"/>
          <w:rtl/>
        </w:rPr>
        <w:t>, כאן - שטעה בשיקול הדעת</w:t>
      </w:r>
      <w:r>
        <w:rPr>
          <w:rStyle w:val="ab"/>
          <w:rFonts w:cs="Arial"/>
          <w:rtl/>
        </w:rPr>
        <w:footnoteReference w:id="1188"/>
      </w:r>
      <w:r w:rsidRPr="00EC5ADB">
        <w:rPr>
          <w:rFonts w:cs="Arial"/>
          <w:rtl/>
        </w:rPr>
        <w:t xml:space="preserve">. דאמר רב ששת אמר רב אסי: טעה בדבר משנה - חוזר, טעה בשיקול הדעת - אינו חוזר. </w:t>
      </w:r>
      <w:r w:rsidRPr="00EC0169">
        <w:rPr>
          <w:rFonts w:cs="Arial"/>
          <w:u w:val="single"/>
          <w:rtl/>
        </w:rPr>
        <w:t>אמר ליה רבינא לרב אשי</w:t>
      </w:r>
      <w:r w:rsidRPr="00EC5ADB">
        <w:rPr>
          <w:rFonts w:cs="Arial"/>
          <w:rtl/>
        </w:rPr>
        <w:t>: אפילו טעה ברבי חייא</w:t>
      </w:r>
      <w:r>
        <w:rPr>
          <w:rStyle w:val="ab"/>
          <w:rFonts w:cs="Arial"/>
          <w:rtl/>
        </w:rPr>
        <w:footnoteReference w:id="1189"/>
      </w:r>
      <w:r w:rsidRPr="00EC5ADB">
        <w:rPr>
          <w:rFonts w:cs="Arial"/>
          <w:rtl/>
        </w:rPr>
        <w:t xml:space="preserve"> ורבי אושעיא? </w:t>
      </w:r>
      <w:r w:rsidRPr="00EC0169">
        <w:rPr>
          <w:rFonts w:cs="Arial"/>
          <w:u w:val="single"/>
          <w:rtl/>
        </w:rPr>
        <w:t>אמר ליה</w:t>
      </w:r>
      <w:r w:rsidRPr="00EC5ADB">
        <w:rPr>
          <w:rFonts w:cs="Arial"/>
          <w:rtl/>
        </w:rPr>
        <w:t>: אין. אפילו בדרב ושמואל</w:t>
      </w:r>
      <w:r>
        <w:rPr>
          <w:rStyle w:val="ab"/>
          <w:rFonts w:cs="Arial"/>
          <w:rtl/>
        </w:rPr>
        <w:footnoteReference w:id="1190"/>
      </w:r>
      <w:r w:rsidRPr="00EC5ADB">
        <w:rPr>
          <w:rFonts w:cs="Arial"/>
          <w:rtl/>
        </w:rPr>
        <w:t xml:space="preserve">? </w:t>
      </w:r>
      <w:r w:rsidRPr="00EC0169">
        <w:rPr>
          <w:rFonts w:cs="Arial"/>
          <w:u w:val="single"/>
          <w:rtl/>
        </w:rPr>
        <w:t>אמר ליה</w:t>
      </w:r>
      <w:r w:rsidRPr="00EC5ADB">
        <w:rPr>
          <w:rFonts w:cs="Arial"/>
          <w:rtl/>
        </w:rPr>
        <w:t xml:space="preserve">: אין. אפילו בדידי ודידך? </w:t>
      </w:r>
      <w:r w:rsidRPr="00EC0169">
        <w:rPr>
          <w:rFonts w:cs="Arial"/>
          <w:u w:val="single"/>
          <w:rtl/>
        </w:rPr>
        <w:t>אמר ליה</w:t>
      </w:r>
      <w:r w:rsidRPr="00EC5ADB">
        <w:rPr>
          <w:rFonts w:cs="Arial"/>
          <w:rtl/>
        </w:rPr>
        <w:t>: אטו אנן קטלי קני באגמא אנן</w:t>
      </w:r>
      <w:r>
        <w:rPr>
          <w:rStyle w:val="ab"/>
          <w:rFonts w:cs="Arial"/>
          <w:rtl/>
        </w:rPr>
        <w:footnoteReference w:id="1191"/>
      </w:r>
      <w:r w:rsidRPr="00EC5ADB">
        <w:rPr>
          <w:rFonts w:cs="Arial"/>
          <w:rtl/>
        </w:rPr>
        <w:t>?</w:t>
      </w:r>
      <w:r>
        <w:rPr>
          <w:rFonts w:cs="Arial" w:hint="cs"/>
          <w:rtl/>
        </w:rPr>
        <w:t xml:space="preserve">... </w:t>
      </w:r>
      <w:r w:rsidRPr="00EC5ADB">
        <w:rPr>
          <w:rFonts w:cs="Arial"/>
          <w:u w:val="single"/>
          <w:rtl/>
        </w:rPr>
        <w:t>רב חסדא אמר</w:t>
      </w:r>
      <w:r w:rsidRPr="00EC5ADB">
        <w:rPr>
          <w:rFonts w:cs="Arial"/>
          <w:rtl/>
        </w:rPr>
        <w:t>: כאן - שנטל ונתן ביד</w:t>
      </w:r>
      <w:r>
        <w:rPr>
          <w:rStyle w:val="ab"/>
          <w:rFonts w:cs="Arial"/>
          <w:rtl/>
        </w:rPr>
        <w:footnoteReference w:id="1192"/>
      </w:r>
      <w:r w:rsidRPr="00EC5ADB">
        <w:rPr>
          <w:rFonts w:cs="Arial"/>
          <w:rtl/>
        </w:rPr>
        <w:t>, כאן - שלא נטל ונתן ביד</w:t>
      </w:r>
      <w:r>
        <w:rPr>
          <w:rStyle w:val="ab"/>
          <w:rFonts w:cs="Arial"/>
          <w:rtl/>
        </w:rPr>
        <w:footnoteReference w:id="1193"/>
      </w:r>
      <w:r w:rsidRPr="00EC5ADB">
        <w:rPr>
          <w:rFonts w:cs="Arial"/>
          <w:rtl/>
        </w:rPr>
        <w:t>.</w:t>
      </w:r>
      <w:r w:rsidR="00502486">
        <w:rPr>
          <w:rFonts w:cs="Arial" w:hint="cs"/>
          <w:rtl/>
        </w:rPr>
        <w:t xml:space="preserve">.. </w:t>
      </w:r>
      <w:r w:rsidR="00502486" w:rsidRPr="00502486">
        <w:rPr>
          <w:rFonts w:cs="Arial"/>
          <w:u w:val="single"/>
          <w:rtl/>
        </w:rPr>
        <w:t>רבינא אמר</w:t>
      </w:r>
      <w:r w:rsidR="00502486">
        <w:rPr>
          <w:rStyle w:val="ab"/>
          <w:rFonts w:cs="Arial"/>
          <w:u w:val="single"/>
          <w:rtl/>
        </w:rPr>
        <w:footnoteReference w:id="1194"/>
      </w:r>
      <w:r w:rsidR="00502486" w:rsidRPr="00502486">
        <w:rPr>
          <w:rFonts w:cs="Arial"/>
          <w:rtl/>
        </w:rPr>
        <w:t xml:space="preserve">: כגון שהיה לו בידו משכון ונטלו ממנו, טימא את הטהור - דאגעי ביה שרץ, טיהר את הטמא - שעירבן בין פירותיו. </w:t>
      </w:r>
      <w:r w:rsidRPr="00EC5ADB">
        <w:rPr>
          <w:rFonts w:cs="Arial"/>
          <w:rtl/>
        </w:rPr>
        <w:t xml:space="preserve"> </w:t>
      </w:r>
    </w:p>
    <w:p w14:paraId="201124F1" w14:textId="77777777" w:rsidR="007E745D" w:rsidRDefault="007E745D" w:rsidP="007E745D">
      <w:pPr>
        <w:rPr>
          <w:rFonts w:cs="Arial"/>
          <w:rtl/>
        </w:rPr>
      </w:pPr>
      <w:r w:rsidRPr="00920D31">
        <w:rPr>
          <w:rFonts w:cs="Arial" w:hint="cs"/>
          <w:u w:val="single"/>
          <w:rtl/>
        </w:rPr>
        <w:t>כיצד נפסק:</w:t>
      </w:r>
    </w:p>
    <w:p w14:paraId="4CC2FAAE" w14:textId="77777777" w:rsidR="007E745D" w:rsidRDefault="007E745D" w:rsidP="004B0475">
      <w:pPr>
        <w:pStyle w:val="ac"/>
        <w:numPr>
          <w:ilvl w:val="0"/>
          <w:numId w:val="30"/>
        </w:numPr>
        <w:rPr>
          <w:rFonts w:cs="Arial"/>
        </w:rPr>
      </w:pPr>
      <w:r w:rsidRPr="00920D31">
        <w:rPr>
          <w:rFonts w:cs="Arial"/>
          <w:rtl/>
        </w:rPr>
        <w:t xml:space="preserve">רי"ף </w:t>
      </w:r>
      <w:r w:rsidRPr="00920D31">
        <w:rPr>
          <w:rFonts w:cs="Arial"/>
          <w:sz w:val="16"/>
          <w:szCs w:val="16"/>
          <w:rtl/>
        </w:rPr>
        <w:t>(שם יא:)</w:t>
      </w:r>
      <w:r w:rsidRPr="00920D31">
        <w:rPr>
          <w:rFonts w:cs="Arial" w:hint="cs"/>
          <w:rtl/>
        </w:rPr>
        <w:t>-</w:t>
      </w:r>
      <w:r w:rsidRPr="00920D31">
        <w:rPr>
          <w:rFonts w:cs="Arial"/>
          <w:rtl/>
        </w:rPr>
        <w:t xml:space="preserve"> קיימא לן כרב חסדא</w:t>
      </w:r>
      <w:r>
        <w:rPr>
          <w:rStyle w:val="ab"/>
          <w:rFonts w:cs="Arial"/>
          <w:rtl/>
        </w:rPr>
        <w:footnoteReference w:id="1195"/>
      </w:r>
      <w:r w:rsidR="00C818A0">
        <w:rPr>
          <w:rFonts w:cs="Arial" w:hint="cs"/>
          <w:rtl/>
        </w:rPr>
        <w:t>וכרב ששת</w:t>
      </w:r>
      <w:r w:rsidR="00C818A0">
        <w:rPr>
          <w:rStyle w:val="ab"/>
          <w:rFonts w:cs="Arial"/>
          <w:rtl/>
        </w:rPr>
        <w:footnoteReference w:id="1196"/>
      </w:r>
      <w:r w:rsidR="003B5E7C">
        <w:rPr>
          <w:rFonts w:cs="Arial" w:hint="cs"/>
          <w:rtl/>
        </w:rPr>
        <w:t>.</w:t>
      </w:r>
      <w:r w:rsidR="00C818A0" w:rsidRPr="00C818A0">
        <w:rPr>
          <w:rFonts w:cs="Arial"/>
          <w:rtl/>
        </w:rPr>
        <w:t xml:space="preserve"> </w:t>
      </w:r>
      <w:r w:rsidR="00C818A0">
        <w:rPr>
          <w:rFonts w:cs="Arial"/>
          <w:rtl/>
        </w:rPr>
        <w:t>מיהו אע</w:t>
      </w:r>
      <w:r w:rsidR="00C818A0">
        <w:rPr>
          <w:rFonts w:cs="Arial" w:hint="cs"/>
          <w:rtl/>
        </w:rPr>
        <w:t>"</w:t>
      </w:r>
      <w:r w:rsidR="00C818A0">
        <w:rPr>
          <w:rFonts w:cs="Arial"/>
          <w:rtl/>
        </w:rPr>
        <w:t>ג דקיי</w:t>
      </w:r>
      <w:r w:rsidR="00C818A0">
        <w:rPr>
          <w:rFonts w:cs="Arial" w:hint="cs"/>
          <w:rtl/>
        </w:rPr>
        <w:t>"</w:t>
      </w:r>
      <w:r w:rsidR="00C818A0">
        <w:rPr>
          <w:rFonts w:cs="Arial"/>
          <w:rtl/>
        </w:rPr>
        <w:t xml:space="preserve">ל דטעה בדבר משנה חוזר </w:t>
      </w:r>
      <w:r w:rsidR="003B5E7C">
        <w:rPr>
          <w:rFonts w:cs="Arial" w:hint="cs"/>
          <w:rtl/>
        </w:rPr>
        <w:t xml:space="preserve">- </w:t>
      </w:r>
      <w:r w:rsidR="00C818A0">
        <w:rPr>
          <w:rFonts w:cs="Arial"/>
          <w:rtl/>
        </w:rPr>
        <w:t>פירוקא דהני מתנייתא לא כדפריק רב ששת הוא</w:t>
      </w:r>
      <w:r w:rsidR="003B5E7C">
        <w:rPr>
          <w:rFonts w:cs="Arial" w:hint="cs"/>
          <w:rtl/>
        </w:rPr>
        <w:t>,</w:t>
      </w:r>
      <w:r w:rsidR="00C818A0">
        <w:rPr>
          <w:rFonts w:cs="Arial"/>
          <w:rtl/>
        </w:rPr>
        <w:t xml:space="preserve"> אלא כדפריק רב חסדא הוא</w:t>
      </w:r>
      <w:r w:rsidR="00E705A1" w:rsidRPr="00E705A1">
        <w:rPr>
          <w:rFonts w:cs="Arial"/>
          <w:rtl/>
        </w:rPr>
        <w:t xml:space="preserve"> </w:t>
      </w:r>
      <w:r w:rsidR="00E705A1">
        <w:rPr>
          <w:rFonts w:cs="Arial"/>
          <w:rtl/>
        </w:rPr>
        <w:t>דסבירא ליה דתרתי מתנייתא בשטעה בשיקול הדעת נינהו</w:t>
      </w:r>
      <w:r w:rsidR="00C818A0">
        <w:rPr>
          <w:rStyle w:val="ab"/>
          <w:rFonts w:cs="Arial"/>
          <w:rtl/>
        </w:rPr>
        <w:footnoteReference w:id="1197"/>
      </w:r>
      <w:r w:rsidRPr="00920D31">
        <w:rPr>
          <w:rFonts w:cs="Arial" w:hint="cs"/>
          <w:rtl/>
        </w:rPr>
        <w:t>.</w:t>
      </w:r>
      <w:r w:rsidRPr="00920D31">
        <w:rPr>
          <w:rFonts w:cs="Arial"/>
          <w:rtl/>
        </w:rPr>
        <w:t xml:space="preserve"> </w:t>
      </w:r>
    </w:p>
    <w:p w14:paraId="6F17C9D6" w14:textId="77777777" w:rsidR="007E745D" w:rsidRDefault="007E745D" w:rsidP="004B0475">
      <w:pPr>
        <w:pStyle w:val="ac"/>
        <w:numPr>
          <w:ilvl w:val="0"/>
          <w:numId w:val="30"/>
        </w:numPr>
        <w:rPr>
          <w:rFonts w:cs="Arial"/>
        </w:rPr>
      </w:pPr>
      <w:r w:rsidRPr="006261B9">
        <w:rPr>
          <w:rFonts w:cs="Arial"/>
          <w:rtl/>
        </w:rPr>
        <w:lastRenderedPageBreak/>
        <w:t xml:space="preserve">רא"ש </w:t>
      </w:r>
      <w:r w:rsidRPr="006261B9">
        <w:rPr>
          <w:rFonts w:cs="Arial"/>
          <w:sz w:val="16"/>
          <w:szCs w:val="16"/>
          <w:rtl/>
        </w:rPr>
        <w:t>(סי' ה)</w:t>
      </w:r>
      <w:r w:rsidRPr="006261B9">
        <w:rPr>
          <w:rFonts w:cs="Arial" w:hint="cs"/>
          <w:rtl/>
        </w:rPr>
        <w:t>-</w:t>
      </w:r>
      <w:r w:rsidRPr="006261B9">
        <w:rPr>
          <w:rFonts w:cs="Arial"/>
          <w:rtl/>
        </w:rPr>
        <w:t xml:space="preserve"> </w:t>
      </w:r>
      <w:r>
        <w:rPr>
          <w:rStyle w:val="ab"/>
          <w:rFonts w:cs="Arial"/>
          <w:rtl/>
        </w:rPr>
        <w:footnoteReference w:id="1198"/>
      </w:r>
      <w:r w:rsidRPr="006261B9">
        <w:rPr>
          <w:rFonts w:cs="Arial"/>
          <w:rtl/>
        </w:rPr>
        <w:t>הלכתא כדאוקמוה רב נחמן ורב ששת לפירוקא דהני מתני'</w:t>
      </w:r>
      <w:r>
        <w:rPr>
          <w:rStyle w:val="ab"/>
          <w:rFonts w:cs="Arial"/>
          <w:rtl/>
        </w:rPr>
        <w:footnoteReference w:id="1199"/>
      </w:r>
      <w:r w:rsidR="00E705A1">
        <w:rPr>
          <w:rFonts w:cs="Arial" w:hint="cs"/>
          <w:rtl/>
        </w:rPr>
        <w:t>.</w:t>
      </w:r>
      <w:r w:rsidR="00E705A1" w:rsidRPr="00E705A1">
        <w:rPr>
          <w:rFonts w:cs="Arial"/>
          <w:rtl/>
        </w:rPr>
        <w:t xml:space="preserve"> </w:t>
      </w:r>
      <w:r w:rsidR="00E705A1">
        <w:rPr>
          <w:rFonts w:cs="Arial"/>
          <w:rtl/>
        </w:rPr>
        <w:t>ומתניתין דבכורות כדאוקמא רב יוסף</w:t>
      </w:r>
      <w:r w:rsidR="00E705A1">
        <w:rPr>
          <w:rStyle w:val="ab"/>
          <w:rFonts w:cs="Arial"/>
          <w:rtl/>
        </w:rPr>
        <w:footnoteReference w:id="1200"/>
      </w:r>
      <w:r w:rsidRPr="006261B9">
        <w:rPr>
          <w:rFonts w:cs="Arial" w:hint="cs"/>
          <w:rtl/>
        </w:rPr>
        <w:t>.</w:t>
      </w:r>
      <w:r w:rsidRPr="006261B9">
        <w:rPr>
          <w:rFonts w:cs="Arial"/>
          <w:rtl/>
        </w:rPr>
        <w:t xml:space="preserve"> </w:t>
      </w:r>
    </w:p>
    <w:p w14:paraId="7EA714C5" w14:textId="77777777" w:rsidR="00A3703E" w:rsidRPr="0039781E" w:rsidRDefault="00A3703E" w:rsidP="00A3703E">
      <w:pPr>
        <w:rPr>
          <w:rFonts w:cs="Arial"/>
          <w:u w:val="single"/>
        </w:rPr>
      </w:pPr>
      <w:r w:rsidRPr="0039781E">
        <w:rPr>
          <w:rFonts w:cs="Arial" w:hint="cs"/>
          <w:u w:val="single"/>
          <w:rtl/>
        </w:rPr>
        <w:t>דיין שטעה בדבר משנה:</w:t>
      </w:r>
    </w:p>
    <w:p w14:paraId="6AD4B77C" w14:textId="77777777" w:rsidR="00C818A0" w:rsidRPr="00C818A0" w:rsidRDefault="00C818A0" w:rsidP="004B0475">
      <w:pPr>
        <w:pStyle w:val="ac"/>
        <w:numPr>
          <w:ilvl w:val="0"/>
          <w:numId w:val="30"/>
        </w:numPr>
        <w:rPr>
          <w:rFonts w:cs="Arial"/>
        </w:rPr>
      </w:pPr>
      <w:r>
        <w:rPr>
          <w:rFonts w:cs="Arial" w:hint="cs"/>
          <w:rtl/>
        </w:rPr>
        <w:t xml:space="preserve">רי"ף </w:t>
      </w:r>
      <w:r>
        <w:rPr>
          <w:rFonts w:cs="Arial" w:hint="cs"/>
          <w:sz w:val="16"/>
          <w:szCs w:val="16"/>
          <w:rtl/>
        </w:rPr>
        <w:t xml:space="preserve">(שם) </w:t>
      </w:r>
      <w:r w:rsidRPr="00A3703E">
        <w:rPr>
          <w:rFonts w:cs="Arial"/>
          <w:rtl/>
        </w:rPr>
        <w:t>רמב"ם</w:t>
      </w:r>
      <w:r>
        <w:rPr>
          <w:rFonts w:cs="Arial" w:hint="cs"/>
          <w:sz w:val="16"/>
          <w:szCs w:val="16"/>
          <w:rtl/>
        </w:rPr>
        <w:t xml:space="preserve"> (פ"ו ה"א)</w:t>
      </w:r>
      <w:r w:rsidRPr="00A3703E">
        <w:rPr>
          <w:rFonts w:cs="Arial" w:hint="cs"/>
          <w:rtl/>
        </w:rPr>
        <w:t xml:space="preserve"> </w:t>
      </w:r>
      <w:r>
        <w:rPr>
          <w:rFonts w:cs="Arial" w:hint="cs"/>
          <w:rtl/>
        </w:rPr>
        <w:t xml:space="preserve">רא"ש </w:t>
      </w:r>
      <w:r w:rsidR="00E875EA">
        <w:rPr>
          <w:rFonts w:cs="Arial" w:hint="cs"/>
          <w:sz w:val="16"/>
          <w:szCs w:val="16"/>
          <w:rtl/>
        </w:rPr>
        <w:t xml:space="preserve">(שם) </w:t>
      </w:r>
      <w:r>
        <w:rPr>
          <w:rFonts w:cs="Arial" w:hint="cs"/>
          <w:rtl/>
        </w:rPr>
        <w:t>ו</w:t>
      </w:r>
      <w:r w:rsidR="00EC5ADB" w:rsidRPr="00A3703E">
        <w:rPr>
          <w:rFonts w:cs="Arial" w:hint="cs"/>
          <w:rtl/>
        </w:rPr>
        <w:t xml:space="preserve">טור- </w:t>
      </w:r>
      <w:r w:rsidR="00911D1E" w:rsidRPr="00A3703E">
        <w:rPr>
          <w:rFonts w:cs="Arial"/>
          <w:rtl/>
        </w:rPr>
        <w:t>אם הטעות בדבר פשוט כגון דבר המפורש במשנה בכל ענין חוזר הדין אפילו שלשה מומחין אפילו קבלום עליהם</w:t>
      </w:r>
      <w:r w:rsidR="00E875EA">
        <w:rPr>
          <w:rStyle w:val="ab"/>
          <w:rFonts w:cs="Arial"/>
          <w:rtl/>
        </w:rPr>
        <w:footnoteReference w:id="1201"/>
      </w:r>
      <w:r w:rsidR="00911D1E" w:rsidRPr="00A3703E">
        <w:rPr>
          <w:rFonts w:cs="Arial"/>
          <w:rtl/>
        </w:rPr>
        <w:t xml:space="preserve"> שאין כאן דין כלל כיון שהטעות בדבר הפשוט</w:t>
      </w:r>
      <w:r w:rsidR="00EC5ADB">
        <w:rPr>
          <w:rStyle w:val="ab"/>
          <w:rFonts w:cs="Arial"/>
          <w:rtl/>
        </w:rPr>
        <w:footnoteReference w:id="1202"/>
      </w:r>
      <w:r>
        <w:rPr>
          <w:rFonts w:cs="Arial" w:hint="cs"/>
          <w:sz w:val="16"/>
          <w:szCs w:val="16"/>
          <w:rtl/>
        </w:rPr>
        <w:t xml:space="preserve"> (ל' הטור)</w:t>
      </w:r>
      <w:r w:rsidR="00EC5ADB" w:rsidRPr="00A3703E">
        <w:rPr>
          <w:rFonts w:cs="Arial" w:hint="cs"/>
          <w:rtl/>
        </w:rPr>
        <w:t>.</w:t>
      </w:r>
      <w:r w:rsidR="00F207F5" w:rsidRPr="00F207F5">
        <w:rPr>
          <w:rFonts w:cs="Arial" w:hint="cs"/>
          <w:color w:val="E36C0A" w:themeColor="accent6" w:themeShade="BF"/>
          <w:rtl/>
        </w:rPr>
        <w:t xml:space="preserve"> (וכ"פ בשו"ע)</w:t>
      </w:r>
    </w:p>
    <w:p w14:paraId="7D8FFBDE" w14:textId="77777777" w:rsidR="00E95A8D" w:rsidRPr="00E95A8D" w:rsidRDefault="00911D1E" w:rsidP="00E95A8D">
      <w:pPr>
        <w:ind w:left="360"/>
        <w:rPr>
          <w:rFonts w:cs="Arial"/>
          <w:u w:val="dotted"/>
        </w:rPr>
      </w:pPr>
      <w:r w:rsidRPr="00E95A8D">
        <w:rPr>
          <w:rFonts w:cs="Arial"/>
          <w:u w:val="dotted"/>
          <w:rtl/>
        </w:rPr>
        <w:t>ו</w:t>
      </w:r>
      <w:r w:rsidR="00E95A8D" w:rsidRPr="00E95A8D">
        <w:rPr>
          <w:rFonts w:cs="Arial" w:hint="cs"/>
          <w:u w:val="dotted"/>
          <w:rtl/>
        </w:rPr>
        <w:t xml:space="preserve">מה הדין </w:t>
      </w:r>
      <w:r w:rsidRPr="00E95A8D">
        <w:rPr>
          <w:rFonts w:cs="Arial"/>
          <w:u w:val="dotted"/>
          <w:rtl/>
        </w:rPr>
        <w:t>אם א</w:t>
      </w:r>
      <w:r w:rsidR="00E95A8D" w:rsidRPr="00E95A8D">
        <w:rPr>
          <w:rFonts w:cs="Arial" w:hint="cs"/>
          <w:u w:val="dotted"/>
          <w:rtl/>
        </w:rPr>
        <w:t>"א</w:t>
      </w:r>
      <w:r w:rsidRPr="00E95A8D">
        <w:rPr>
          <w:rFonts w:cs="Arial"/>
          <w:u w:val="dotted"/>
          <w:rtl/>
        </w:rPr>
        <w:t xml:space="preserve"> להחזיר</w:t>
      </w:r>
      <w:r w:rsidR="00E875EA">
        <w:rPr>
          <w:rFonts w:cs="Arial" w:hint="cs"/>
          <w:u w:val="dotted"/>
          <w:rtl/>
        </w:rPr>
        <w:t xml:space="preserve"> </w:t>
      </w:r>
      <w:r w:rsidR="00493AE4" w:rsidRPr="00493AE4">
        <w:rPr>
          <w:rFonts w:cs="Arial" w:hint="cs"/>
          <w:sz w:val="16"/>
          <w:szCs w:val="16"/>
          <w:u w:val="dotted"/>
          <w:rtl/>
        </w:rPr>
        <w:t xml:space="preserve">(את </w:t>
      </w:r>
      <w:r w:rsidR="00E875EA" w:rsidRPr="00493AE4">
        <w:rPr>
          <w:rFonts w:cs="Arial" w:hint="cs"/>
          <w:sz w:val="16"/>
          <w:szCs w:val="16"/>
          <w:u w:val="dotted"/>
          <w:rtl/>
        </w:rPr>
        <w:t>הדין</w:t>
      </w:r>
      <w:r w:rsidR="00493AE4" w:rsidRPr="00493AE4">
        <w:rPr>
          <w:rFonts w:cs="Arial" w:hint="cs"/>
          <w:sz w:val="16"/>
          <w:szCs w:val="16"/>
          <w:u w:val="dotted"/>
          <w:rtl/>
        </w:rPr>
        <w:t>)</w:t>
      </w:r>
      <w:r w:rsidR="00E95A8D">
        <w:rPr>
          <w:rStyle w:val="ab"/>
          <w:rFonts w:cs="Arial"/>
          <w:u w:val="dotted"/>
          <w:rtl/>
        </w:rPr>
        <w:footnoteReference w:id="1203"/>
      </w:r>
      <w:r w:rsidR="00E95A8D" w:rsidRPr="00E95A8D">
        <w:rPr>
          <w:rFonts w:cs="Arial" w:hint="cs"/>
          <w:u w:val="dotted"/>
          <w:rtl/>
        </w:rPr>
        <w:t>:</w:t>
      </w:r>
    </w:p>
    <w:p w14:paraId="17BE5C2D" w14:textId="77777777" w:rsidR="00E95A8D" w:rsidRDefault="00911D1E" w:rsidP="004B0475">
      <w:pPr>
        <w:pStyle w:val="ac"/>
        <w:numPr>
          <w:ilvl w:val="0"/>
          <w:numId w:val="30"/>
        </w:numPr>
        <w:rPr>
          <w:rFonts w:cs="Arial"/>
        </w:rPr>
      </w:pPr>
      <w:r w:rsidRPr="00A3703E">
        <w:rPr>
          <w:rFonts w:cs="Arial"/>
          <w:rtl/>
        </w:rPr>
        <w:t>רמב"ם</w:t>
      </w:r>
      <w:r w:rsidR="00E95A8D">
        <w:rPr>
          <w:rFonts w:cs="Arial" w:hint="cs"/>
          <w:sz w:val="16"/>
          <w:szCs w:val="16"/>
          <w:rtl/>
        </w:rPr>
        <w:t xml:space="preserve"> (פ"ו ה"א, כ"כ הטור בשמו)</w:t>
      </w:r>
      <w:r w:rsidR="00E95A8D">
        <w:rPr>
          <w:rFonts w:cs="Arial" w:hint="cs"/>
          <w:rtl/>
        </w:rPr>
        <w:t>-</w:t>
      </w:r>
      <w:r w:rsidRPr="00A3703E">
        <w:rPr>
          <w:rFonts w:cs="Arial"/>
          <w:rtl/>
        </w:rPr>
        <w:t xml:space="preserve"> </w:t>
      </w:r>
      <w:r w:rsidR="007457F1" w:rsidRPr="007457F1">
        <w:rPr>
          <w:rFonts w:cs="Arial"/>
          <w:rtl/>
        </w:rPr>
        <w:t>אם אי אפשר להחזיר כגון שהלך זה שנטל הממון שלא כדין למדינת הים, או שהיה אלם או שטמא דבר טהור או שהורה בכשרה שהיא טריפה והאכילה לכלבים וכיוצא בזה הרי זה פטור מלשלם</w:t>
      </w:r>
      <w:r w:rsidR="005F50F9">
        <w:rPr>
          <w:rStyle w:val="ab"/>
          <w:rFonts w:cs="Arial"/>
          <w:rtl/>
        </w:rPr>
        <w:footnoteReference w:id="1204"/>
      </w:r>
      <w:r w:rsidR="007457F1" w:rsidRPr="007457F1">
        <w:rPr>
          <w:rFonts w:cs="Arial"/>
          <w:rtl/>
        </w:rPr>
        <w:t>, אף על פי שגרם להזיק לא נתכוון להזיק</w:t>
      </w:r>
      <w:r w:rsidR="007457F1">
        <w:rPr>
          <w:rFonts w:cs="Arial" w:hint="cs"/>
          <w:sz w:val="16"/>
          <w:szCs w:val="16"/>
          <w:rtl/>
        </w:rPr>
        <w:t xml:space="preserve"> (ל' הרמב"ם)</w:t>
      </w:r>
      <w:r w:rsidR="007457F1">
        <w:rPr>
          <w:rStyle w:val="ab"/>
          <w:rFonts w:cs="Arial"/>
          <w:rtl/>
        </w:rPr>
        <w:footnoteReference w:id="1205"/>
      </w:r>
      <w:r w:rsidR="00E95A8D">
        <w:rPr>
          <w:rFonts w:cs="Arial" w:hint="cs"/>
          <w:rtl/>
        </w:rPr>
        <w:t>.</w:t>
      </w:r>
      <w:r w:rsidR="00F207F5" w:rsidRPr="00F207F5">
        <w:rPr>
          <w:rFonts w:cs="Arial" w:hint="cs"/>
          <w:color w:val="E36C0A" w:themeColor="accent6" w:themeShade="BF"/>
          <w:rtl/>
        </w:rPr>
        <w:t xml:space="preserve"> (וכ"פ בשו"ע)</w:t>
      </w:r>
    </w:p>
    <w:p w14:paraId="7CE2ECCE" w14:textId="77777777" w:rsidR="00E95A8D" w:rsidRDefault="00911D1E" w:rsidP="004B0475">
      <w:pPr>
        <w:pStyle w:val="ac"/>
        <w:numPr>
          <w:ilvl w:val="0"/>
          <w:numId w:val="30"/>
        </w:numPr>
        <w:rPr>
          <w:rFonts w:cs="Arial"/>
        </w:rPr>
      </w:pPr>
      <w:r w:rsidRPr="00A3703E">
        <w:rPr>
          <w:rFonts w:cs="Arial"/>
          <w:rtl/>
        </w:rPr>
        <w:t>רמ"ה</w:t>
      </w:r>
      <w:r w:rsidR="00E95A8D">
        <w:rPr>
          <w:rFonts w:cs="Arial" w:hint="cs"/>
          <w:sz w:val="16"/>
          <w:szCs w:val="16"/>
          <w:rtl/>
        </w:rPr>
        <w:t xml:space="preserve"> (כ"כ הטור בשמו)</w:t>
      </w:r>
      <w:r w:rsidR="00E95A8D">
        <w:rPr>
          <w:rFonts w:cs="Arial" w:hint="cs"/>
          <w:rtl/>
        </w:rPr>
        <w:t>-</w:t>
      </w:r>
      <w:r w:rsidRPr="00A3703E">
        <w:rPr>
          <w:rFonts w:cs="Arial"/>
          <w:rtl/>
        </w:rPr>
        <w:t xml:space="preserve"> אם לא נשא ונתן ביד הוא פטור</w:t>
      </w:r>
      <w:r w:rsidR="005F50F9">
        <w:rPr>
          <w:rFonts w:cs="Arial" w:hint="cs"/>
          <w:rtl/>
        </w:rPr>
        <w:t>,</w:t>
      </w:r>
      <w:r w:rsidRPr="00A3703E">
        <w:rPr>
          <w:rFonts w:cs="Arial"/>
          <w:rtl/>
        </w:rPr>
        <w:t xml:space="preserve"> ואי נשא ונתן ביד</w:t>
      </w:r>
      <w:r w:rsidR="005F50F9">
        <w:rPr>
          <w:rFonts w:cs="Arial" w:hint="cs"/>
          <w:rtl/>
        </w:rPr>
        <w:t>,</w:t>
      </w:r>
      <w:r w:rsidRPr="00A3703E">
        <w:rPr>
          <w:rFonts w:cs="Arial"/>
          <w:rtl/>
        </w:rPr>
        <w:t xml:space="preserve"> אם הוא מומחה גמיר וסביר וקבלוהו עלייהו</w:t>
      </w:r>
      <w:r w:rsidR="005F50F9">
        <w:rPr>
          <w:rFonts w:cs="Arial" w:hint="cs"/>
          <w:rtl/>
        </w:rPr>
        <w:t xml:space="preserve"> -</w:t>
      </w:r>
      <w:r w:rsidRPr="00A3703E">
        <w:rPr>
          <w:rFonts w:cs="Arial"/>
          <w:rtl/>
        </w:rPr>
        <w:t xml:space="preserve"> פטור</w:t>
      </w:r>
      <w:r w:rsidR="005F50F9">
        <w:rPr>
          <w:rFonts w:cs="Arial" w:hint="cs"/>
          <w:rtl/>
        </w:rPr>
        <w:t>,</w:t>
      </w:r>
      <w:r w:rsidRPr="00A3703E">
        <w:rPr>
          <w:rFonts w:cs="Arial"/>
          <w:rtl/>
        </w:rPr>
        <w:t xml:space="preserve"> ואי לא </w:t>
      </w:r>
      <w:r w:rsidR="005F50F9">
        <w:rPr>
          <w:rFonts w:cs="Arial" w:hint="cs"/>
          <w:rtl/>
        </w:rPr>
        <w:t xml:space="preserve">- </w:t>
      </w:r>
      <w:r w:rsidRPr="00A3703E">
        <w:rPr>
          <w:rFonts w:cs="Arial"/>
          <w:rtl/>
        </w:rPr>
        <w:t>חייב</w:t>
      </w:r>
      <w:r w:rsidR="005F50F9">
        <w:rPr>
          <w:rFonts w:cs="Arial" w:hint="cs"/>
          <w:rtl/>
        </w:rPr>
        <w:t>.</w:t>
      </w:r>
      <w:r w:rsidRPr="00A3703E">
        <w:rPr>
          <w:rFonts w:cs="Arial"/>
          <w:rtl/>
        </w:rPr>
        <w:t xml:space="preserve"> והדיוט אע</w:t>
      </w:r>
      <w:r w:rsidR="007457F1">
        <w:rPr>
          <w:rFonts w:cs="Arial" w:hint="cs"/>
          <w:rtl/>
        </w:rPr>
        <w:t>"</w:t>
      </w:r>
      <w:r w:rsidRPr="00A3703E">
        <w:rPr>
          <w:rFonts w:cs="Arial"/>
          <w:rtl/>
        </w:rPr>
        <w:t>ג דקבלוהו עלייהו חייב</w:t>
      </w:r>
      <w:r w:rsidR="005F50F9">
        <w:rPr>
          <w:rFonts w:cs="Arial" w:hint="cs"/>
          <w:rtl/>
        </w:rPr>
        <w:t>,</w:t>
      </w:r>
      <w:r w:rsidRPr="00A3703E">
        <w:rPr>
          <w:rFonts w:cs="Arial"/>
          <w:rtl/>
        </w:rPr>
        <w:t xml:space="preserve"> דכל היכא שאם טעה בשיקול הדעת מה שעשה עשוי וחייב לשלם אם טעה בדבר משנה כה</w:t>
      </w:r>
      <w:r w:rsidR="007457F1">
        <w:rPr>
          <w:rFonts w:cs="Arial" w:hint="cs"/>
          <w:rtl/>
        </w:rPr>
        <w:t>"</w:t>
      </w:r>
      <w:r w:rsidRPr="00A3703E">
        <w:rPr>
          <w:rFonts w:cs="Arial"/>
          <w:rtl/>
        </w:rPr>
        <w:t>ג ואית ליה פסידא לבע</w:t>
      </w:r>
      <w:r w:rsidR="007457F1">
        <w:rPr>
          <w:rFonts w:cs="Arial" w:hint="cs"/>
          <w:rtl/>
        </w:rPr>
        <w:t>"</w:t>
      </w:r>
      <w:r w:rsidRPr="00A3703E">
        <w:rPr>
          <w:rFonts w:cs="Arial"/>
          <w:rtl/>
        </w:rPr>
        <w:t>ד אם נשאו ונתנו ביד חייב</w:t>
      </w:r>
      <w:r w:rsidR="00E95A8D">
        <w:rPr>
          <w:rFonts w:cs="Arial" w:hint="cs"/>
          <w:sz w:val="16"/>
          <w:szCs w:val="16"/>
          <w:rtl/>
        </w:rPr>
        <w:t xml:space="preserve"> (ל' הטור בשם הרמ"ה)</w:t>
      </w:r>
      <w:r w:rsidR="00E95A8D">
        <w:rPr>
          <w:rFonts w:cs="Arial" w:hint="cs"/>
          <w:rtl/>
        </w:rPr>
        <w:t>.</w:t>
      </w:r>
    </w:p>
    <w:p w14:paraId="28A39F76" w14:textId="77777777" w:rsidR="00A3703E" w:rsidRDefault="00911D1E" w:rsidP="004B0475">
      <w:pPr>
        <w:pStyle w:val="ac"/>
        <w:numPr>
          <w:ilvl w:val="0"/>
          <w:numId w:val="30"/>
        </w:numPr>
        <w:rPr>
          <w:rFonts w:cs="Arial"/>
        </w:rPr>
      </w:pPr>
      <w:r w:rsidRPr="00A3703E">
        <w:rPr>
          <w:rFonts w:cs="Arial"/>
          <w:rtl/>
        </w:rPr>
        <w:t>רא"</w:t>
      </w:r>
      <w:r w:rsidR="00E95A8D">
        <w:rPr>
          <w:rFonts w:cs="Arial" w:hint="cs"/>
          <w:rtl/>
        </w:rPr>
        <w:t>ש</w:t>
      </w:r>
      <w:r w:rsidR="00E95A8D">
        <w:rPr>
          <w:rFonts w:cs="Arial" w:hint="cs"/>
          <w:sz w:val="16"/>
          <w:szCs w:val="16"/>
          <w:rtl/>
        </w:rPr>
        <w:t xml:space="preserve"> (סי' ה, כ"כ הטור בשמו)</w:t>
      </w:r>
      <w:r w:rsidR="00E95A8D">
        <w:rPr>
          <w:rFonts w:cs="Arial" w:hint="cs"/>
          <w:rtl/>
        </w:rPr>
        <w:t>-</w:t>
      </w:r>
      <w:r w:rsidRPr="00A3703E">
        <w:rPr>
          <w:rFonts w:cs="Arial"/>
          <w:rtl/>
        </w:rPr>
        <w:t xml:space="preserve"> בכל ענין חייב אפילו מומחין ואפילו לא נשאו ונתנו ביד</w:t>
      </w:r>
      <w:r w:rsidR="00E95A8D">
        <w:rPr>
          <w:rFonts w:cs="Arial" w:hint="cs"/>
          <w:sz w:val="16"/>
          <w:szCs w:val="16"/>
          <w:rtl/>
        </w:rPr>
        <w:t xml:space="preserve"> (ל' הטור)</w:t>
      </w:r>
      <w:r w:rsidR="00E95A8D">
        <w:rPr>
          <w:rStyle w:val="ab"/>
          <w:rFonts w:cs="Arial"/>
          <w:rtl/>
        </w:rPr>
        <w:footnoteReference w:id="1206"/>
      </w:r>
      <w:r w:rsidR="00A3703E">
        <w:rPr>
          <w:rFonts w:cs="Arial" w:hint="cs"/>
          <w:rtl/>
        </w:rPr>
        <w:t>.</w:t>
      </w:r>
      <w:r w:rsidR="00F207F5" w:rsidRPr="00F207F5">
        <w:rPr>
          <w:rFonts w:hint="cs"/>
          <w:color w:val="00B0F0"/>
          <w:rtl/>
        </w:rPr>
        <w:t xml:space="preserve"> (וכ"פ הרמ"א)</w:t>
      </w:r>
    </w:p>
    <w:p w14:paraId="282938D3" w14:textId="77777777" w:rsidR="005F50F9" w:rsidRDefault="000E49B4" w:rsidP="004B0475">
      <w:pPr>
        <w:pStyle w:val="ac"/>
        <w:numPr>
          <w:ilvl w:val="0"/>
          <w:numId w:val="30"/>
        </w:numPr>
        <w:rPr>
          <w:rFonts w:cs="Arial"/>
        </w:rPr>
      </w:pPr>
      <w:r w:rsidRPr="00A3703E">
        <w:rPr>
          <w:rFonts w:cs="Arial"/>
          <w:rtl/>
        </w:rPr>
        <w:lastRenderedPageBreak/>
        <w:t xml:space="preserve">רשב"א </w:t>
      </w:r>
      <w:r w:rsidRPr="00E95A8D">
        <w:rPr>
          <w:rFonts w:cs="Arial"/>
          <w:sz w:val="16"/>
          <w:szCs w:val="16"/>
          <w:rtl/>
        </w:rPr>
        <w:t>(ח"ב סי' שע)</w:t>
      </w:r>
      <w:r w:rsidR="00E95A8D">
        <w:rPr>
          <w:rFonts w:cs="Arial" w:hint="cs"/>
          <w:rtl/>
        </w:rPr>
        <w:t xml:space="preserve">- </w:t>
      </w:r>
      <w:r w:rsidRPr="00A3703E">
        <w:rPr>
          <w:rFonts w:cs="Arial"/>
          <w:rtl/>
        </w:rPr>
        <w:t>כל טועה בדבר משנה אפילו נשא ונתן ביד ואפילו א</w:t>
      </w:r>
      <w:r w:rsidR="005F50F9">
        <w:rPr>
          <w:rFonts w:cs="Arial" w:hint="cs"/>
          <w:rtl/>
        </w:rPr>
        <w:t>"</w:t>
      </w:r>
      <w:r w:rsidRPr="00A3703E">
        <w:rPr>
          <w:rFonts w:cs="Arial"/>
          <w:rtl/>
        </w:rPr>
        <w:t>א להחזיר פטור מלשלם</w:t>
      </w:r>
      <w:r w:rsidR="004E6188">
        <w:rPr>
          <w:rFonts w:cs="Arial" w:hint="cs"/>
          <w:rtl/>
        </w:rPr>
        <w:t>,</w:t>
      </w:r>
      <w:r w:rsidRPr="00A3703E">
        <w:rPr>
          <w:rFonts w:cs="Arial"/>
          <w:rtl/>
        </w:rPr>
        <w:t xml:space="preserve"> לא שנא מומחה לא שנא שאינו מומחה</w:t>
      </w:r>
      <w:r w:rsidR="00E95A8D">
        <w:rPr>
          <w:rStyle w:val="ab"/>
          <w:rFonts w:cs="Arial"/>
          <w:rtl/>
        </w:rPr>
        <w:footnoteReference w:id="1207"/>
      </w:r>
      <w:r w:rsidRPr="00A3703E">
        <w:rPr>
          <w:rFonts w:cs="Arial"/>
          <w:rtl/>
        </w:rPr>
        <w:t xml:space="preserve">. </w:t>
      </w:r>
    </w:p>
    <w:p w14:paraId="5075D104" w14:textId="77777777" w:rsidR="00BC54A6" w:rsidRPr="00BC54A6" w:rsidRDefault="00BC54A6" w:rsidP="00BC54A6">
      <w:pPr>
        <w:ind w:left="360"/>
        <w:rPr>
          <w:rFonts w:cs="Arial"/>
          <w:u w:val="dotted"/>
        </w:rPr>
      </w:pPr>
      <w:r w:rsidRPr="00BC54A6">
        <w:rPr>
          <w:rFonts w:cs="Arial" w:hint="cs"/>
          <w:u w:val="dotted"/>
          <w:rtl/>
        </w:rPr>
        <w:t>האם יש עוד דברים שהטועה בהם הוי כטועה בדבר משנה:</w:t>
      </w:r>
    </w:p>
    <w:p w14:paraId="52E0628A" w14:textId="77777777" w:rsidR="00E25462" w:rsidRDefault="00E25462" w:rsidP="004B0475">
      <w:pPr>
        <w:pStyle w:val="ac"/>
        <w:numPr>
          <w:ilvl w:val="0"/>
          <w:numId w:val="30"/>
        </w:numPr>
        <w:rPr>
          <w:rFonts w:cs="Arial"/>
        </w:rPr>
      </w:pPr>
      <w:r w:rsidRPr="00E25462">
        <w:rPr>
          <w:rFonts w:cs="Arial"/>
          <w:rtl/>
        </w:rPr>
        <w:t xml:space="preserve">בעל המאור </w:t>
      </w:r>
      <w:r w:rsidRPr="00E25462">
        <w:rPr>
          <w:rFonts w:cs="Arial"/>
          <w:sz w:val="16"/>
          <w:szCs w:val="16"/>
          <w:rtl/>
        </w:rPr>
        <w:t>(יב. ד"ה בבא רביעאה</w:t>
      </w:r>
      <w:r>
        <w:rPr>
          <w:rFonts w:cs="Arial" w:hint="cs"/>
          <w:sz w:val="16"/>
          <w:szCs w:val="16"/>
          <w:rtl/>
        </w:rPr>
        <w:t>, הביאו הרא"ש</w:t>
      </w:r>
      <w:r w:rsidRPr="00E25462">
        <w:rPr>
          <w:rFonts w:cs="Arial"/>
          <w:sz w:val="16"/>
          <w:szCs w:val="16"/>
          <w:rtl/>
        </w:rPr>
        <w:t>)</w:t>
      </w:r>
      <w:r>
        <w:rPr>
          <w:rFonts w:cs="Arial" w:hint="cs"/>
          <w:rtl/>
        </w:rPr>
        <w:t>-</w:t>
      </w:r>
      <w:r w:rsidRPr="00E25462">
        <w:rPr>
          <w:rFonts w:cs="Arial"/>
          <w:rtl/>
        </w:rPr>
        <w:t xml:space="preserve"> שמעתי משם חכם גדול מחכמי דורנו שלפנינו דהאידנא לית לן טועה בשיקול הדעת שהרי כל ההלכות פסוקות בידינו או מן התלמוד או מן הגאונים שאחר התלמוד הילכך לא משכחת האידנא טועה בשיקול הדעת</w:t>
      </w:r>
      <w:r w:rsidR="006061D4">
        <w:rPr>
          <w:rFonts w:cs="Arial" w:hint="cs"/>
          <w:rtl/>
        </w:rPr>
        <w:t>,</w:t>
      </w:r>
      <w:r w:rsidRPr="00E25462">
        <w:rPr>
          <w:rFonts w:cs="Arial"/>
          <w:rtl/>
        </w:rPr>
        <w:t xml:space="preserve"> אלא כל הטועים בדבר משנה הם טועים. ואני אין נראה לי דברים הללו</w:t>
      </w:r>
      <w:r w:rsidR="006061D4">
        <w:rPr>
          <w:rFonts w:cs="Arial" w:hint="cs"/>
          <w:rtl/>
        </w:rPr>
        <w:t>,</w:t>
      </w:r>
      <w:r w:rsidRPr="00E25462">
        <w:rPr>
          <w:rFonts w:cs="Arial"/>
          <w:rtl/>
        </w:rPr>
        <w:t xml:space="preserve"> אלא כל מי שאין טעותו מתבררת מן המשנה או מן התלמוד מפורש בלי ספק </w:t>
      </w:r>
      <w:r w:rsidR="006061D4">
        <w:rPr>
          <w:rFonts w:cs="Arial" w:hint="cs"/>
          <w:rtl/>
        </w:rPr>
        <w:t xml:space="preserve">- </w:t>
      </w:r>
      <w:r w:rsidRPr="00E25462">
        <w:rPr>
          <w:rFonts w:cs="Arial"/>
          <w:rtl/>
        </w:rPr>
        <w:t>לאו טועה בדבר משנה הוא אלא בשיקול הדעת</w:t>
      </w:r>
      <w:r>
        <w:rPr>
          <w:rFonts w:cs="Arial" w:hint="cs"/>
          <w:rtl/>
        </w:rPr>
        <w:t>,</w:t>
      </w:r>
      <w:r w:rsidRPr="00E25462">
        <w:rPr>
          <w:rFonts w:cs="Arial"/>
          <w:rtl/>
        </w:rPr>
        <w:t xml:space="preserve"> כעין ההיא עובדא </w:t>
      </w:r>
      <w:r w:rsidRPr="00E25462">
        <w:rPr>
          <w:rFonts w:cs="Arial"/>
          <w:sz w:val="16"/>
          <w:szCs w:val="16"/>
          <w:rtl/>
        </w:rPr>
        <w:t xml:space="preserve">(סנהדרין כט:) </w:t>
      </w:r>
      <w:r w:rsidRPr="00E25462">
        <w:rPr>
          <w:rFonts w:cs="Arial"/>
          <w:rtl/>
        </w:rPr>
        <w:t>דהוו קרי ליה עכברא דשכיב אדינרי דאיפליגו ביה רבי ישמעאל ברבי יוסי ורבי חייא</w:t>
      </w:r>
      <w:r w:rsidR="006061D4">
        <w:rPr>
          <w:rFonts w:cs="Arial" w:hint="cs"/>
          <w:rtl/>
        </w:rPr>
        <w:t>,</w:t>
      </w:r>
      <w:r w:rsidRPr="00E25462">
        <w:rPr>
          <w:rFonts w:cs="Arial"/>
          <w:rtl/>
        </w:rPr>
        <w:t xml:space="preserve"> אף כל כיוצא בו שאין לברר טעותו ממשנתנו ומתלמודנו מפורש טועה בשיקול הדעת הוא</w:t>
      </w:r>
      <w:r w:rsidR="006061D4">
        <w:rPr>
          <w:rFonts w:cs="Arial" w:hint="cs"/>
          <w:rtl/>
        </w:rPr>
        <w:t>.</w:t>
      </w:r>
      <w:r w:rsidRPr="00E25462">
        <w:rPr>
          <w:rFonts w:cs="Arial"/>
          <w:rtl/>
        </w:rPr>
        <w:t xml:space="preserve"> ומה שפסקו הגאונים אחר סתימת התלמוד</w:t>
      </w:r>
      <w:r>
        <w:rPr>
          <w:rFonts w:cs="Arial" w:hint="cs"/>
          <w:rtl/>
        </w:rPr>
        <w:t xml:space="preserve"> -</w:t>
      </w:r>
      <w:r w:rsidRPr="00E25462">
        <w:rPr>
          <w:rFonts w:cs="Arial"/>
          <w:rtl/>
        </w:rPr>
        <w:t xml:space="preserve"> מדעת מכרעת</w:t>
      </w:r>
      <w:r w:rsidR="006061D4">
        <w:rPr>
          <w:rFonts w:cs="Arial" w:hint="cs"/>
          <w:rtl/>
        </w:rPr>
        <w:t>,</w:t>
      </w:r>
      <w:r w:rsidRPr="00E25462">
        <w:rPr>
          <w:rFonts w:cs="Arial"/>
          <w:rtl/>
        </w:rPr>
        <w:t xml:space="preserve"> ולא מהלכה ברורה ופסוקה מהתלמוד כסוגיין דעלמא הוי</w:t>
      </w:r>
      <w:r>
        <w:rPr>
          <w:rFonts w:cs="Arial" w:hint="cs"/>
          <w:rtl/>
        </w:rPr>
        <w:t>,</w:t>
      </w:r>
      <w:r w:rsidRPr="00E25462">
        <w:rPr>
          <w:rFonts w:cs="Arial"/>
          <w:rtl/>
        </w:rPr>
        <w:t xml:space="preserve"> ומאן</w:t>
      </w:r>
      <w:r>
        <w:rPr>
          <w:rFonts w:cs="Arial" w:hint="cs"/>
          <w:rtl/>
        </w:rPr>
        <w:t xml:space="preserve"> </w:t>
      </w:r>
      <w:r w:rsidRPr="00E25462">
        <w:rPr>
          <w:rFonts w:cs="Arial"/>
          <w:rtl/>
        </w:rPr>
        <w:t xml:space="preserve">דטעי ביה טעי בשיקול הדעת ולא בדבר משנה. </w:t>
      </w:r>
    </w:p>
    <w:p w14:paraId="05312B0B" w14:textId="77777777" w:rsidR="00E25462" w:rsidRDefault="00E25462" w:rsidP="004B0475">
      <w:pPr>
        <w:pStyle w:val="ac"/>
        <w:numPr>
          <w:ilvl w:val="0"/>
          <w:numId w:val="30"/>
        </w:numPr>
        <w:rPr>
          <w:rFonts w:cs="Arial"/>
        </w:rPr>
      </w:pPr>
      <w:r w:rsidRPr="00E25462">
        <w:rPr>
          <w:rFonts w:cs="Arial"/>
          <w:rtl/>
        </w:rPr>
        <w:t xml:space="preserve">ראב"ד </w:t>
      </w:r>
      <w:r w:rsidRPr="00E25462">
        <w:rPr>
          <w:rFonts w:cs="Arial"/>
          <w:sz w:val="16"/>
          <w:szCs w:val="16"/>
          <w:rtl/>
        </w:rPr>
        <w:t>(ספר כתוב שם עמ' סד</w:t>
      </w:r>
      <w:r>
        <w:rPr>
          <w:rFonts w:cs="Arial" w:hint="cs"/>
          <w:sz w:val="16"/>
          <w:szCs w:val="16"/>
          <w:rtl/>
        </w:rPr>
        <w:t>, הביאו הרא"ש</w:t>
      </w:r>
      <w:r w:rsidR="00F207F5">
        <w:rPr>
          <w:rFonts w:cs="Arial" w:hint="cs"/>
          <w:sz w:val="16"/>
          <w:szCs w:val="16"/>
          <w:rtl/>
        </w:rPr>
        <w:t>, וכ"כ הטור בשמו</w:t>
      </w:r>
      <w:r w:rsidRPr="00E25462">
        <w:rPr>
          <w:rFonts w:cs="Arial"/>
          <w:sz w:val="16"/>
          <w:szCs w:val="16"/>
          <w:rtl/>
        </w:rPr>
        <w:t>)</w:t>
      </w:r>
      <w:r>
        <w:rPr>
          <w:rFonts w:cs="Arial" w:hint="cs"/>
          <w:rtl/>
        </w:rPr>
        <w:t xml:space="preserve">- </w:t>
      </w:r>
      <w:r>
        <w:rPr>
          <w:rStyle w:val="ab"/>
          <w:rFonts w:cs="Arial"/>
          <w:rtl/>
        </w:rPr>
        <w:footnoteReference w:id="1208"/>
      </w:r>
      <w:r w:rsidRPr="00E25462">
        <w:rPr>
          <w:rFonts w:cs="Arial"/>
          <w:rtl/>
        </w:rPr>
        <w:t>אמת אמר החכם שאם טעה בפסקי הגאונים שלא שמע דבריהם ואילו שמע היה חוזר בו באמת ובבירור זהו טועה בדבר משנה</w:t>
      </w:r>
      <w:r w:rsidR="00F207F5">
        <w:rPr>
          <w:rFonts w:cs="Arial" w:hint="cs"/>
          <w:rtl/>
        </w:rPr>
        <w:t>,</w:t>
      </w:r>
      <w:r w:rsidRPr="00E25462">
        <w:rPr>
          <w:rFonts w:cs="Arial"/>
          <w:rtl/>
        </w:rPr>
        <w:t xml:space="preserve"> וקרוב אני לומר שאפילו אם היה חולק על פסק הגאון מטעם שנראה לו לפי דעתו שלא כדעת הגאון ולא כפירושו גם זה טועה בדבר משנה שאין לנו עתה לחלוק על דברי גאון מראיית דעתינו לפרש הענין בדרך אחרת עד שישתנה הדין מדברי הגאון</w:t>
      </w:r>
      <w:r w:rsidR="006061D4">
        <w:rPr>
          <w:rFonts w:cs="Arial" w:hint="cs"/>
          <w:rtl/>
        </w:rPr>
        <w:t>,</w:t>
      </w:r>
      <w:r w:rsidRPr="00E25462">
        <w:rPr>
          <w:rFonts w:cs="Arial"/>
          <w:rtl/>
        </w:rPr>
        <w:t xml:space="preserve"> אם לא בקושיא מפורסמת וזהו דבר שאין נמצא</w:t>
      </w:r>
      <w:r>
        <w:rPr>
          <w:rFonts w:cs="Arial" w:hint="cs"/>
          <w:rtl/>
        </w:rPr>
        <w:t>.</w:t>
      </w:r>
    </w:p>
    <w:p w14:paraId="4A4CEF7B" w14:textId="77777777" w:rsidR="0007145E" w:rsidRDefault="00911D1E" w:rsidP="004B0475">
      <w:pPr>
        <w:pStyle w:val="ac"/>
        <w:numPr>
          <w:ilvl w:val="0"/>
          <w:numId w:val="30"/>
        </w:numPr>
        <w:rPr>
          <w:rFonts w:cs="Arial"/>
        </w:rPr>
      </w:pPr>
      <w:r w:rsidRPr="005F50F9">
        <w:rPr>
          <w:rFonts w:cs="Arial"/>
          <w:rtl/>
        </w:rPr>
        <w:t xml:space="preserve">רא"ש </w:t>
      </w:r>
      <w:r w:rsidR="00E25462" w:rsidRPr="00E25462">
        <w:rPr>
          <w:rFonts w:cs="Arial"/>
          <w:sz w:val="16"/>
          <w:szCs w:val="16"/>
          <w:rtl/>
        </w:rPr>
        <w:t>(</w:t>
      </w:r>
      <w:r w:rsidR="00E25462" w:rsidRPr="00E25462">
        <w:rPr>
          <w:rFonts w:cs="Arial" w:hint="cs"/>
          <w:sz w:val="16"/>
          <w:szCs w:val="16"/>
          <w:rtl/>
        </w:rPr>
        <w:t xml:space="preserve">פ' אד"מ </w:t>
      </w:r>
      <w:r w:rsidR="00E25462" w:rsidRPr="00E25462">
        <w:rPr>
          <w:rFonts w:cs="Arial"/>
          <w:sz w:val="16"/>
          <w:szCs w:val="16"/>
          <w:rtl/>
        </w:rPr>
        <w:t>סי' ו</w:t>
      </w:r>
      <w:r w:rsidR="00E25462">
        <w:rPr>
          <w:rFonts w:cs="Arial" w:hint="cs"/>
          <w:sz w:val="16"/>
          <w:szCs w:val="16"/>
          <w:rtl/>
        </w:rPr>
        <w:t>,</w:t>
      </w:r>
      <w:r w:rsidR="00E25462" w:rsidRPr="00E25462">
        <w:rPr>
          <w:rFonts w:cs="Arial"/>
          <w:sz w:val="16"/>
          <w:szCs w:val="16"/>
          <w:rtl/>
        </w:rPr>
        <w:t xml:space="preserve"> </w:t>
      </w:r>
      <w:r w:rsidR="005F50F9">
        <w:rPr>
          <w:rFonts w:cs="Arial" w:hint="cs"/>
          <w:sz w:val="16"/>
          <w:szCs w:val="16"/>
          <w:rtl/>
        </w:rPr>
        <w:t>כ"כ הטור בשמו)</w:t>
      </w:r>
      <w:r w:rsidR="005F50F9">
        <w:rPr>
          <w:rFonts w:cs="Arial" w:hint="cs"/>
          <w:rtl/>
        </w:rPr>
        <w:t xml:space="preserve">- </w:t>
      </w:r>
      <w:r w:rsidRPr="005F50F9">
        <w:rPr>
          <w:rFonts w:cs="Arial"/>
          <w:rtl/>
        </w:rPr>
        <w:t xml:space="preserve">ודאי מי שטועה בדברי הגאונים שלא שמע דבריהם וכשאמרו לו פסק הגאונים ישר בעיניו </w:t>
      </w:r>
      <w:r w:rsidR="006061D4">
        <w:rPr>
          <w:rFonts w:cs="Arial" w:hint="cs"/>
          <w:rtl/>
        </w:rPr>
        <w:t xml:space="preserve">- </w:t>
      </w:r>
      <w:r w:rsidRPr="005F50F9">
        <w:rPr>
          <w:rFonts w:cs="Arial"/>
          <w:rtl/>
        </w:rPr>
        <w:t>טועה בדבר משנה הוא</w:t>
      </w:r>
      <w:r w:rsidR="006061D4">
        <w:rPr>
          <w:rFonts w:cs="Arial" w:hint="cs"/>
          <w:rtl/>
        </w:rPr>
        <w:t>.</w:t>
      </w:r>
      <w:r w:rsidRPr="005F50F9">
        <w:rPr>
          <w:rFonts w:cs="Arial"/>
          <w:rtl/>
        </w:rPr>
        <w:t xml:space="preserve"> ולא מיבעיא בפסקי הגאונים אלא אפילו חכמי כל דור ודור שאחר הגאונים לאו קטלי קניא באגמי הוו ואם פסק הדיין שלא כדבריהם וכששמע דבריהם ישרו בעיניו והודה שטעה </w:t>
      </w:r>
      <w:r w:rsidR="006061D4">
        <w:rPr>
          <w:rFonts w:cs="Arial" w:hint="cs"/>
          <w:rtl/>
        </w:rPr>
        <w:t xml:space="preserve">- </w:t>
      </w:r>
      <w:r w:rsidRPr="005F50F9">
        <w:rPr>
          <w:rFonts w:cs="Arial"/>
          <w:rtl/>
        </w:rPr>
        <w:t>טועה בדבר משנה הוא וחוזר</w:t>
      </w:r>
      <w:r w:rsidR="00BC54A6">
        <w:rPr>
          <w:rFonts w:cs="Arial" w:hint="cs"/>
          <w:rtl/>
        </w:rPr>
        <w:t>.</w:t>
      </w:r>
      <w:r w:rsidRPr="005F50F9">
        <w:rPr>
          <w:rFonts w:cs="Arial"/>
          <w:rtl/>
        </w:rPr>
        <w:t xml:space="preserve"> אבל אם לא ישרו בעיניו ומביא ראיה לדבריו המקובלת לאנשי דורו</w:t>
      </w:r>
      <w:r w:rsidR="006061D4">
        <w:rPr>
          <w:rFonts w:cs="Arial" w:hint="cs"/>
          <w:rtl/>
        </w:rPr>
        <w:t xml:space="preserve"> - </w:t>
      </w:r>
      <w:r w:rsidRPr="005F50F9">
        <w:rPr>
          <w:rFonts w:cs="Arial"/>
          <w:rtl/>
        </w:rPr>
        <w:t xml:space="preserve"> יפתח בדורו כשמואל בדורו</w:t>
      </w:r>
      <w:r w:rsidR="006061D4">
        <w:rPr>
          <w:rFonts w:cs="Arial" w:hint="cs"/>
          <w:rtl/>
        </w:rPr>
        <w:t>,</w:t>
      </w:r>
      <w:r w:rsidRPr="005F50F9">
        <w:rPr>
          <w:rFonts w:cs="Arial"/>
          <w:rtl/>
        </w:rPr>
        <w:t xml:space="preserve"> ואין לך אלא כל שופט ושופט אשר יהיה בימים ההם</w:t>
      </w:r>
      <w:r w:rsidR="00385CD1">
        <w:rPr>
          <w:rFonts w:cs="Arial" w:hint="cs"/>
          <w:rtl/>
        </w:rPr>
        <w:t>,</w:t>
      </w:r>
      <w:r w:rsidRPr="005F50F9">
        <w:rPr>
          <w:rFonts w:cs="Arial"/>
          <w:rtl/>
        </w:rPr>
        <w:t xml:space="preserve"> ויכול לסתור דבריהם</w:t>
      </w:r>
      <w:r w:rsidR="00385CD1">
        <w:rPr>
          <w:rFonts w:cs="Arial" w:hint="cs"/>
          <w:rtl/>
        </w:rPr>
        <w:t>,</w:t>
      </w:r>
      <w:r w:rsidRPr="005F50F9">
        <w:rPr>
          <w:rFonts w:cs="Arial"/>
          <w:rtl/>
        </w:rPr>
        <w:t xml:space="preserve"> כי כל הדברים שאינם מבוארים בתלמוד שסדרו רבינא ורב אשי יכול לסתור ולבנות אפילו לחלוק על דברי הגאונים</w:t>
      </w:r>
      <w:r w:rsidR="000A40BA">
        <w:rPr>
          <w:rStyle w:val="ab"/>
          <w:rFonts w:cs="Arial"/>
          <w:rtl/>
        </w:rPr>
        <w:footnoteReference w:id="1209"/>
      </w:r>
      <w:r w:rsidR="00BC54A6">
        <w:rPr>
          <w:rFonts w:cs="Arial" w:hint="cs"/>
          <w:rtl/>
        </w:rPr>
        <w:t>.</w:t>
      </w:r>
      <w:r w:rsidRPr="005F50F9">
        <w:rPr>
          <w:rFonts w:cs="Arial"/>
          <w:rtl/>
        </w:rPr>
        <w:t xml:space="preserve"> והיכא שנחלקו שני גדולים בפסק הלכה לא יאמר הדיין אפסוק כאיזה מהם שארצה ואם עשה כן זהו דין שקר</w:t>
      </w:r>
      <w:r w:rsidR="00BC54A6">
        <w:rPr>
          <w:rFonts w:cs="Arial" w:hint="cs"/>
          <w:rtl/>
        </w:rPr>
        <w:t>,</w:t>
      </w:r>
      <w:r w:rsidRPr="005F50F9">
        <w:rPr>
          <w:rFonts w:cs="Arial"/>
          <w:rtl/>
        </w:rPr>
        <w:t xml:space="preserve"> אלא</w:t>
      </w:r>
      <w:r w:rsidR="00BC54A6">
        <w:rPr>
          <w:rFonts w:cs="Arial" w:hint="cs"/>
          <w:rtl/>
        </w:rPr>
        <w:t>,</w:t>
      </w:r>
      <w:r w:rsidRPr="005F50F9">
        <w:rPr>
          <w:rFonts w:cs="Arial"/>
          <w:rtl/>
        </w:rPr>
        <w:t xml:space="preserve"> אם הוא חכם גדול וגמיר וסביר ויודע להכריע כדברי האחד בראיות ברורות ונכוחות הרשות בידו</w:t>
      </w:r>
      <w:r w:rsidR="00BC54A6">
        <w:rPr>
          <w:rFonts w:cs="Arial" w:hint="cs"/>
          <w:rtl/>
        </w:rPr>
        <w:t>,</w:t>
      </w:r>
      <w:r w:rsidRPr="005F50F9">
        <w:rPr>
          <w:rFonts w:cs="Arial"/>
          <w:rtl/>
        </w:rPr>
        <w:t xml:space="preserve"> דאפילו אם פסק גדול אחד יכול החכם לסתור דבריו בראיות ברורות ולחלוק עליו כאשר כתבתי למעלה</w:t>
      </w:r>
      <w:r w:rsidR="00385CD1">
        <w:rPr>
          <w:rFonts w:cs="Arial" w:hint="cs"/>
          <w:rtl/>
        </w:rPr>
        <w:t>,</w:t>
      </w:r>
      <w:r w:rsidRPr="005F50F9">
        <w:rPr>
          <w:rFonts w:cs="Arial"/>
          <w:rtl/>
        </w:rPr>
        <w:t xml:space="preserve"> וכ"ש אם יש סיוע מא' מהמחברים החולקים עליו</w:t>
      </w:r>
      <w:r w:rsidR="00385CD1">
        <w:rPr>
          <w:rFonts w:cs="Arial" w:hint="cs"/>
          <w:rtl/>
        </w:rPr>
        <w:t>.</w:t>
      </w:r>
      <w:r w:rsidRPr="005F50F9">
        <w:rPr>
          <w:rFonts w:cs="Arial"/>
          <w:rtl/>
        </w:rPr>
        <w:t xml:space="preserve"> ואם לאו בר הכי הוא לא יוציא ממון מספק</w:t>
      </w:r>
      <w:r w:rsidR="000A40BA">
        <w:rPr>
          <w:rStyle w:val="ab"/>
          <w:rFonts w:cs="Arial"/>
          <w:rtl/>
        </w:rPr>
        <w:footnoteReference w:id="1210"/>
      </w:r>
      <w:r w:rsidRPr="005F50F9">
        <w:rPr>
          <w:rFonts w:cs="Arial"/>
          <w:rtl/>
        </w:rPr>
        <w:t xml:space="preserve"> דכל היכא דאיכא ספיקא דדינא אין מוציאין הממון מיד המוחזק</w:t>
      </w:r>
      <w:r w:rsidR="000A40BA">
        <w:rPr>
          <w:rStyle w:val="ab"/>
          <w:rFonts w:cs="Arial"/>
          <w:rtl/>
        </w:rPr>
        <w:footnoteReference w:id="1211"/>
      </w:r>
      <w:r w:rsidR="00BC54A6">
        <w:rPr>
          <w:rFonts w:cs="Arial" w:hint="cs"/>
          <w:rtl/>
        </w:rPr>
        <w:t>.</w:t>
      </w:r>
      <w:r w:rsidRPr="005F50F9">
        <w:rPr>
          <w:rFonts w:cs="Arial"/>
          <w:rtl/>
        </w:rPr>
        <w:t xml:space="preserve"> ואם לא ידע הספק במחלוקת הגדולים ואח"כ נודע לו ואינו בר הכי שיוכל להכריע או שאינו יודע להכריע </w:t>
      </w:r>
      <w:r w:rsidR="00385CD1">
        <w:rPr>
          <w:rFonts w:cs="Arial" w:hint="cs"/>
          <w:rtl/>
        </w:rPr>
        <w:t xml:space="preserve">- </w:t>
      </w:r>
      <w:r w:rsidRPr="005F50F9">
        <w:rPr>
          <w:rFonts w:cs="Arial"/>
          <w:rtl/>
        </w:rPr>
        <w:t>אם נראין כדברי האחד לרוב החכמים והוא עבד כאידך היינו שיקול הדעת</w:t>
      </w:r>
      <w:r w:rsidR="00BC54A6">
        <w:rPr>
          <w:rFonts w:cs="Arial" w:hint="cs"/>
          <w:rtl/>
        </w:rPr>
        <w:t>,</w:t>
      </w:r>
      <w:r w:rsidRPr="005F50F9">
        <w:rPr>
          <w:rFonts w:cs="Arial"/>
          <w:rtl/>
        </w:rPr>
        <w:t xml:space="preserve"> ואם א"א לעמוד על הדבר אין כאן טעות ומה שפסק פסק</w:t>
      </w:r>
      <w:r w:rsidR="00BC54A6">
        <w:rPr>
          <w:rFonts w:cs="Arial" w:hint="cs"/>
          <w:rtl/>
        </w:rPr>
        <w:t>.</w:t>
      </w:r>
      <w:r w:rsidRPr="005F50F9">
        <w:rPr>
          <w:rFonts w:cs="Arial"/>
          <w:rtl/>
        </w:rPr>
        <w:t xml:space="preserve"> </w:t>
      </w:r>
      <w:r w:rsidR="00F207F5" w:rsidRPr="00F207F5">
        <w:rPr>
          <w:rFonts w:hint="cs"/>
          <w:color w:val="00B0F0"/>
          <w:rtl/>
        </w:rPr>
        <w:t>(וכ"פ הרמ"א</w:t>
      </w:r>
      <w:r w:rsidR="00B30323">
        <w:rPr>
          <w:rFonts w:hint="cs"/>
          <w:color w:val="00B0F0"/>
          <w:sz w:val="16"/>
          <w:szCs w:val="16"/>
          <w:rtl/>
        </w:rPr>
        <w:t xml:space="preserve"> </w:t>
      </w:r>
      <w:r w:rsidR="00B30323">
        <w:rPr>
          <w:rFonts w:hint="cs"/>
          <w:color w:val="000000" w:themeColor="text1"/>
          <w:sz w:val="16"/>
          <w:szCs w:val="16"/>
          <w:rtl/>
        </w:rPr>
        <w:t>[כאן ובס</w:t>
      </w:r>
      <w:r w:rsidR="007E745D">
        <w:rPr>
          <w:rFonts w:hint="cs"/>
          <w:color w:val="000000" w:themeColor="text1"/>
          <w:sz w:val="16"/>
          <w:szCs w:val="16"/>
          <w:rtl/>
        </w:rPr>
        <w:t>ע' ב]</w:t>
      </w:r>
      <w:r w:rsidR="00F207F5" w:rsidRPr="00F207F5">
        <w:rPr>
          <w:rFonts w:hint="cs"/>
          <w:color w:val="00B0F0"/>
          <w:rtl/>
        </w:rPr>
        <w:t>)</w:t>
      </w:r>
    </w:p>
    <w:p w14:paraId="048C1B27" w14:textId="77777777" w:rsidR="00B93470" w:rsidRPr="00B93470" w:rsidRDefault="00B93470" w:rsidP="00D171E2">
      <w:pPr>
        <w:rPr>
          <w:rFonts w:cs="Arial"/>
          <w:u w:val="single"/>
          <w:rtl/>
        </w:rPr>
      </w:pPr>
      <w:r w:rsidRPr="00B93470">
        <w:rPr>
          <w:rFonts w:cs="Arial" w:hint="cs"/>
          <w:u w:val="single"/>
          <w:rtl/>
        </w:rPr>
        <w:t>מורה הוראה שטעה:</w:t>
      </w:r>
    </w:p>
    <w:p w14:paraId="0DFA5600" w14:textId="77777777" w:rsidR="00D171E2" w:rsidRDefault="00D171E2" w:rsidP="004B0475">
      <w:pPr>
        <w:pStyle w:val="ac"/>
        <w:numPr>
          <w:ilvl w:val="0"/>
          <w:numId w:val="33"/>
        </w:numPr>
        <w:rPr>
          <w:rFonts w:cs="Arial"/>
        </w:rPr>
      </w:pPr>
      <w:r w:rsidRPr="00B93470">
        <w:rPr>
          <w:rFonts w:cs="Arial" w:hint="cs"/>
          <w:rtl/>
        </w:rPr>
        <w:t xml:space="preserve">נמוק"י </w:t>
      </w:r>
      <w:r w:rsidRPr="00B93470">
        <w:rPr>
          <w:rFonts w:cs="Arial" w:hint="cs"/>
          <w:sz w:val="16"/>
          <w:szCs w:val="16"/>
          <w:rtl/>
        </w:rPr>
        <w:t xml:space="preserve">(ר"פ אד"מ </w:t>
      </w:r>
      <w:r w:rsidRPr="00B93470">
        <w:rPr>
          <w:rFonts w:cs="Arial"/>
          <w:sz w:val="16"/>
          <w:szCs w:val="16"/>
          <w:rtl/>
        </w:rPr>
        <w:t>יא.)</w:t>
      </w:r>
      <w:r w:rsidRPr="00B93470">
        <w:rPr>
          <w:rFonts w:cs="Arial" w:hint="cs"/>
          <w:rtl/>
        </w:rPr>
        <w:t>-</w:t>
      </w:r>
      <w:r w:rsidRPr="00B93470">
        <w:rPr>
          <w:rFonts w:cs="Arial"/>
          <w:rtl/>
        </w:rPr>
        <w:t xml:space="preserve"> </w:t>
      </w:r>
      <w:r w:rsidR="00417266" w:rsidRPr="00417266">
        <w:rPr>
          <w:rFonts w:cs="Arial"/>
          <w:rtl/>
        </w:rPr>
        <w:t>כל היכא שהוא סמוך שנטל רשות מראש גולה או מב"ד של ישראל או שקבלוהו עליהם בעלי דינים אע</w:t>
      </w:r>
      <w:r w:rsidR="00417266">
        <w:rPr>
          <w:rFonts w:cs="Arial" w:hint="cs"/>
          <w:rtl/>
        </w:rPr>
        <w:t>"</w:t>
      </w:r>
      <w:r w:rsidR="00417266" w:rsidRPr="00417266">
        <w:rPr>
          <w:rFonts w:cs="Arial"/>
          <w:rtl/>
        </w:rPr>
        <w:t xml:space="preserve">פ שאינו סמוך דין אחד להם </w:t>
      </w:r>
      <w:r w:rsidR="00417266">
        <w:rPr>
          <w:rFonts w:cs="Arial" w:hint="cs"/>
          <w:rtl/>
        </w:rPr>
        <w:t xml:space="preserve">- </w:t>
      </w:r>
      <w:r w:rsidR="00417266" w:rsidRPr="00417266">
        <w:rPr>
          <w:rFonts w:cs="Arial"/>
          <w:rtl/>
        </w:rPr>
        <w:t>לפטרו מן התשלומין</w:t>
      </w:r>
      <w:r w:rsidR="00417266">
        <w:rPr>
          <w:rFonts w:cs="Arial" w:hint="cs"/>
          <w:rtl/>
        </w:rPr>
        <w:t>...</w:t>
      </w:r>
      <w:r w:rsidR="00417266" w:rsidRPr="00417266">
        <w:rPr>
          <w:rFonts w:cs="Arial"/>
          <w:rtl/>
        </w:rPr>
        <w:t xml:space="preserve"> והיינו לענין דין</w:t>
      </w:r>
      <w:r w:rsidR="00417266">
        <w:rPr>
          <w:rFonts w:cs="Arial" w:hint="cs"/>
          <w:rtl/>
        </w:rPr>
        <w:t>,</w:t>
      </w:r>
      <w:r w:rsidR="00417266" w:rsidRPr="00417266">
        <w:rPr>
          <w:rFonts w:cs="Arial"/>
          <w:rtl/>
        </w:rPr>
        <w:t xml:space="preserve"> אבל לענין הוראה אפילו אינו סמוך אם הוא מומחה להוראה </w:t>
      </w:r>
      <w:r w:rsidR="00417266">
        <w:rPr>
          <w:rFonts w:cs="Arial" w:hint="cs"/>
          <w:rtl/>
        </w:rPr>
        <w:t xml:space="preserve">- </w:t>
      </w:r>
      <w:r w:rsidR="00417266" w:rsidRPr="00417266">
        <w:rPr>
          <w:rFonts w:cs="Arial"/>
          <w:rtl/>
        </w:rPr>
        <w:t>פטור מלשלם</w:t>
      </w:r>
      <w:r w:rsidR="00417266">
        <w:rPr>
          <w:rFonts w:cs="Arial" w:hint="cs"/>
          <w:rtl/>
        </w:rPr>
        <w:t>,</w:t>
      </w:r>
      <w:r w:rsidR="00417266" w:rsidRPr="00417266">
        <w:rPr>
          <w:rFonts w:cs="Arial"/>
          <w:rtl/>
        </w:rPr>
        <w:t xml:space="preserve"> שהרי חייב הוא להורות מן התורה כדאמרי' במס' ע"ז </w:t>
      </w:r>
      <w:r w:rsidR="00417266" w:rsidRPr="00264B6B">
        <w:rPr>
          <w:rFonts w:cs="Arial"/>
          <w:sz w:val="16"/>
          <w:szCs w:val="16"/>
          <w:rtl/>
        </w:rPr>
        <w:t>(יט</w:t>
      </w:r>
      <w:r w:rsidR="00417266" w:rsidRPr="00264B6B">
        <w:rPr>
          <w:rFonts w:cs="Arial" w:hint="cs"/>
          <w:sz w:val="16"/>
          <w:szCs w:val="16"/>
          <w:rtl/>
        </w:rPr>
        <w:t>:</w:t>
      </w:r>
      <w:r w:rsidR="00417266" w:rsidRPr="00264B6B">
        <w:rPr>
          <w:rFonts w:cs="Arial"/>
          <w:sz w:val="16"/>
          <w:szCs w:val="16"/>
          <w:rtl/>
        </w:rPr>
        <w:t xml:space="preserve">) </w:t>
      </w:r>
      <w:r w:rsidR="00417266" w:rsidRPr="00417266">
        <w:rPr>
          <w:rFonts w:cs="Arial"/>
          <w:rtl/>
        </w:rPr>
        <w:t>דתלמיד שהגיע להוראה היינו דגמיר וסביר וכל שהגיע להוראה חייב להורות כדאמרי' ועצומים כל הרוגיה זה תלמיד שהגיע להוראה ואינו מורה וכל שחייב מן התורה פטור מלשלם</w:t>
      </w:r>
      <w:r>
        <w:rPr>
          <w:rStyle w:val="ab"/>
          <w:rFonts w:cs="Arial"/>
          <w:rtl/>
        </w:rPr>
        <w:footnoteReference w:id="1212"/>
      </w:r>
      <w:r w:rsidR="0007145E" w:rsidRPr="00B93470">
        <w:rPr>
          <w:rFonts w:cs="Arial" w:hint="cs"/>
          <w:rtl/>
        </w:rPr>
        <w:t xml:space="preserve">. </w:t>
      </w:r>
      <w:r w:rsidR="00F207F5" w:rsidRPr="00F207F5">
        <w:rPr>
          <w:rFonts w:hint="cs"/>
          <w:color w:val="00B0F0"/>
          <w:rtl/>
        </w:rPr>
        <w:t>(וכ"פ הרמ"א)</w:t>
      </w:r>
    </w:p>
    <w:p w14:paraId="57C205A1" w14:textId="77777777" w:rsidR="00D01501" w:rsidRPr="00B93470" w:rsidRDefault="00D01501" w:rsidP="004B0475">
      <w:pPr>
        <w:pStyle w:val="ac"/>
        <w:numPr>
          <w:ilvl w:val="0"/>
          <w:numId w:val="33"/>
        </w:numPr>
        <w:rPr>
          <w:rFonts w:cs="Arial"/>
          <w:rtl/>
        </w:rPr>
      </w:pPr>
      <w:r>
        <w:rPr>
          <w:rFonts w:cs="Arial"/>
          <w:rtl/>
        </w:rPr>
        <w:lastRenderedPageBreak/>
        <w:t xml:space="preserve">המאור </w:t>
      </w:r>
      <w:r w:rsidRPr="00D01501">
        <w:rPr>
          <w:rFonts w:cs="Arial" w:hint="cs"/>
          <w:sz w:val="16"/>
          <w:szCs w:val="16"/>
          <w:rtl/>
        </w:rPr>
        <w:t xml:space="preserve">(שם </w:t>
      </w:r>
      <w:r w:rsidRPr="00D01501">
        <w:rPr>
          <w:rFonts w:cs="Arial"/>
          <w:sz w:val="16"/>
          <w:szCs w:val="16"/>
          <w:rtl/>
        </w:rPr>
        <w:t>יא</w:t>
      </w:r>
      <w:r w:rsidRPr="00D01501">
        <w:rPr>
          <w:rFonts w:cs="Arial" w:hint="cs"/>
          <w:sz w:val="16"/>
          <w:szCs w:val="16"/>
          <w:rtl/>
        </w:rPr>
        <w:t>.)</w:t>
      </w:r>
      <w:r w:rsidRPr="00D01501">
        <w:rPr>
          <w:rFonts w:cs="Arial"/>
          <w:sz w:val="16"/>
          <w:szCs w:val="16"/>
          <w:rtl/>
        </w:rPr>
        <w:t xml:space="preserve"> </w:t>
      </w:r>
      <w:r>
        <w:rPr>
          <w:rFonts w:cs="Arial"/>
          <w:rtl/>
        </w:rPr>
        <w:t>תוס</w:t>
      </w:r>
      <w:r>
        <w:rPr>
          <w:rFonts w:cs="Arial" w:hint="cs"/>
          <w:rtl/>
        </w:rPr>
        <w:t>'</w:t>
      </w:r>
      <w:r>
        <w:rPr>
          <w:rFonts w:cs="Arial"/>
          <w:rtl/>
        </w:rPr>
        <w:t xml:space="preserve"> </w:t>
      </w:r>
      <w:r w:rsidRPr="00D01501">
        <w:rPr>
          <w:rFonts w:cs="Arial" w:hint="cs"/>
          <w:sz w:val="16"/>
          <w:szCs w:val="16"/>
          <w:rtl/>
        </w:rPr>
        <w:t>(</w:t>
      </w:r>
      <w:r w:rsidRPr="00D01501">
        <w:rPr>
          <w:rFonts w:cs="Arial"/>
          <w:sz w:val="16"/>
          <w:szCs w:val="16"/>
          <w:rtl/>
        </w:rPr>
        <w:t>רפ"ק דסנהדרין ה</w:t>
      </w:r>
      <w:r w:rsidRPr="00D01501">
        <w:rPr>
          <w:rFonts w:cs="Arial" w:hint="cs"/>
          <w:sz w:val="16"/>
          <w:szCs w:val="16"/>
          <w:rtl/>
        </w:rPr>
        <w:t>: ד"ה אי גמיר)</w:t>
      </w:r>
      <w:r>
        <w:rPr>
          <w:rFonts w:cs="Arial"/>
          <w:rtl/>
        </w:rPr>
        <w:t xml:space="preserve"> </w:t>
      </w:r>
      <w:r>
        <w:rPr>
          <w:rFonts w:cs="Arial" w:hint="cs"/>
          <w:rtl/>
        </w:rPr>
        <w:t>ו</w:t>
      </w:r>
      <w:r>
        <w:rPr>
          <w:rFonts w:cs="Arial"/>
          <w:rtl/>
        </w:rPr>
        <w:t xml:space="preserve">רשב"א </w:t>
      </w:r>
      <w:r w:rsidRPr="00D01501">
        <w:rPr>
          <w:rFonts w:cs="Arial" w:hint="cs"/>
          <w:sz w:val="16"/>
          <w:szCs w:val="16"/>
          <w:rtl/>
        </w:rPr>
        <w:t>(</w:t>
      </w:r>
      <w:r w:rsidRPr="00D01501">
        <w:rPr>
          <w:rFonts w:cs="Arial"/>
          <w:sz w:val="16"/>
          <w:szCs w:val="16"/>
          <w:rtl/>
        </w:rPr>
        <w:t>חידו</w:t>
      </w:r>
      <w:r w:rsidRPr="00D01501">
        <w:rPr>
          <w:rFonts w:cs="Arial" w:hint="cs"/>
          <w:sz w:val="16"/>
          <w:szCs w:val="16"/>
          <w:rtl/>
        </w:rPr>
        <w:t>'</w:t>
      </w:r>
      <w:r w:rsidRPr="00D01501">
        <w:rPr>
          <w:rFonts w:cs="Arial"/>
          <w:sz w:val="16"/>
          <w:szCs w:val="16"/>
          <w:rtl/>
        </w:rPr>
        <w:t xml:space="preserve"> פרק אלו טרפות חולין מג</w:t>
      </w:r>
      <w:r w:rsidRPr="00D01501">
        <w:rPr>
          <w:rFonts w:cs="Arial" w:hint="cs"/>
          <w:sz w:val="16"/>
          <w:szCs w:val="16"/>
          <w:rtl/>
        </w:rPr>
        <w:t>:</w:t>
      </w:r>
      <w:r w:rsidRPr="00D01501">
        <w:rPr>
          <w:rFonts w:cs="Arial"/>
          <w:sz w:val="16"/>
          <w:szCs w:val="16"/>
          <w:rtl/>
        </w:rPr>
        <w:t xml:space="preserve"> ד"ה זילו</w:t>
      </w:r>
      <w:r w:rsidRPr="00D01501">
        <w:rPr>
          <w:rFonts w:cs="Arial" w:hint="cs"/>
          <w:sz w:val="16"/>
          <w:szCs w:val="16"/>
          <w:rtl/>
        </w:rPr>
        <w:t>)</w:t>
      </w:r>
      <w:r>
        <w:rPr>
          <w:rFonts w:hint="cs"/>
          <w:rtl/>
        </w:rPr>
        <w:t xml:space="preserve">- </w:t>
      </w:r>
      <w:r>
        <w:rPr>
          <w:rFonts w:cs="Arial"/>
          <w:rtl/>
        </w:rPr>
        <w:t>אין חילוק בין הוראת איסור והיתר לדיני ממונות, וכי היכי דבדיני ממונות בעינן מומחה ונטילת רשות לענין פטור תשלומין, או מומחה וקיבלו עלייהו, הוא הדין לענין איסור והיתר</w:t>
      </w:r>
      <w:r>
        <w:rPr>
          <w:rFonts w:cs="Arial" w:hint="cs"/>
          <w:sz w:val="16"/>
          <w:szCs w:val="16"/>
          <w:rtl/>
        </w:rPr>
        <w:t xml:space="preserve"> (ל' הש"ך)</w:t>
      </w:r>
      <w:r>
        <w:rPr>
          <w:rFonts w:cs="Arial" w:hint="cs"/>
          <w:rtl/>
        </w:rPr>
        <w:t>. (וכ"פ הש"ך</w:t>
      </w:r>
      <w:r>
        <w:rPr>
          <w:rFonts w:cs="Arial" w:hint="cs"/>
          <w:sz w:val="16"/>
          <w:szCs w:val="16"/>
          <w:rtl/>
        </w:rPr>
        <w:t xml:space="preserve"> [סק"ו]</w:t>
      </w:r>
      <w:r>
        <w:rPr>
          <w:rFonts w:cs="Arial" w:hint="cs"/>
          <w:rtl/>
        </w:rPr>
        <w:t>)</w:t>
      </w:r>
    </w:p>
    <w:p w14:paraId="495EE434" w14:textId="77777777" w:rsidR="007E745D" w:rsidRPr="00484234" w:rsidRDefault="007E745D" w:rsidP="007E745D">
      <w:pPr>
        <w:rPr>
          <w:rFonts w:cs="Arial"/>
          <w:u w:val="single"/>
        </w:rPr>
      </w:pPr>
      <w:r w:rsidRPr="00484234">
        <w:rPr>
          <w:rFonts w:cs="Arial" w:hint="cs"/>
          <w:u w:val="single"/>
          <w:rtl/>
        </w:rPr>
        <w:t>מתי נחשב שקבלוהו בעלי דין, ומה הדין באמרו לו 'דון לנו דין תורה' וטעה:</w:t>
      </w:r>
    </w:p>
    <w:p w14:paraId="58657C40" w14:textId="77777777" w:rsidR="007E745D" w:rsidRPr="00484234" w:rsidRDefault="007E745D" w:rsidP="004B0475">
      <w:pPr>
        <w:pStyle w:val="ac"/>
        <w:numPr>
          <w:ilvl w:val="0"/>
          <w:numId w:val="30"/>
        </w:numPr>
        <w:rPr>
          <w:rFonts w:cs="Arial"/>
          <w:rtl/>
        </w:rPr>
      </w:pPr>
      <w:r w:rsidRPr="00484234">
        <w:rPr>
          <w:rFonts w:cs="Arial"/>
          <w:rtl/>
        </w:rPr>
        <w:t>נמוק</w:t>
      </w:r>
      <w:r w:rsidRPr="00484234">
        <w:rPr>
          <w:rFonts w:cs="Arial" w:hint="cs"/>
          <w:rtl/>
        </w:rPr>
        <w:t xml:space="preserve">"י </w:t>
      </w:r>
      <w:r w:rsidRPr="00484234">
        <w:rPr>
          <w:rFonts w:cs="Arial" w:hint="cs"/>
          <w:sz w:val="16"/>
          <w:szCs w:val="16"/>
          <w:rtl/>
        </w:rPr>
        <w:t>(</w:t>
      </w:r>
      <w:r w:rsidRPr="00484234">
        <w:rPr>
          <w:rFonts w:cs="Arial"/>
          <w:sz w:val="16"/>
          <w:szCs w:val="16"/>
          <w:rtl/>
        </w:rPr>
        <w:t>ס</w:t>
      </w:r>
      <w:r w:rsidRPr="00484234">
        <w:rPr>
          <w:rFonts w:cs="Arial" w:hint="cs"/>
          <w:sz w:val="16"/>
          <w:szCs w:val="16"/>
          <w:rtl/>
        </w:rPr>
        <w:t>נ</w:t>
      </w:r>
      <w:r w:rsidRPr="00484234">
        <w:rPr>
          <w:rFonts w:cs="Arial"/>
          <w:sz w:val="16"/>
          <w:szCs w:val="16"/>
          <w:rtl/>
        </w:rPr>
        <w:t>הדרין א. ד"ה גמרא)</w:t>
      </w:r>
      <w:r w:rsidRPr="00484234">
        <w:rPr>
          <w:rFonts w:cs="Arial" w:hint="cs"/>
          <w:rtl/>
        </w:rPr>
        <w:t>-</w:t>
      </w:r>
      <w:r w:rsidRPr="00484234">
        <w:rPr>
          <w:rFonts w:cs="Arial"/>
          <w:rtl/>
        </w:rPr>
        <w:t xml:space="preserve"> הא </w:t>
      </w:r>
      <w:r w:rsidRPr="00484234">
        <w:rPr>
          <w:rFonts w:cs="Arial"/>
          <w:sz w:val="16"/>
          <w:szCs w:val="16"/>
          <w:rtl/>
        </w:rPr>
        <w:t xml:space="preserve">(ה.) </w:t>
      </w:r>
      <w:r w:rsidRPr="00484234">
        <w:rPr>
          <w:rFonts w:cs="Arial"/>
          <w:rtl/>
        </w:rPr>
        <w:t xml:space="preserve">דאמר ליה אי קבלוך עלייהו לא תשלם הרבה מהאחרונים הסכימו למקצת מפרשים שפירשו אי קבלוך עלייהו שהם באו לפניך לדין לא תשלם ואם לא קבלוך עליהם כלל אלא שאתה כפית אותם לדין זיל שלם. ומיהו אפילו קבלוהו אם אמרו לו בפירוש שידון להם דין תורה וטעה </w:t>
      </w:r>
      <w:r w:rsidR="00385CD1">
        <w:rPr>
          <w:rFonts w:cs="Arial" w:hint="cs"/>
          <w:rtl/>
        </w:rPr>
        <w:t xml:space="preserve">- </w:t>
      </w:r>
      <w:r w:rsidRPr="00484234">
        <w:rPr>
          <w:rFonts w:cs="Arial"/>
          <w:rtl/>
        </w:rPr>
        <w:t>אינו משלם דהא אין דינו דין כלל</w:t>
      </w:r>
      <w:r w:rsidRPr="00484234">
        <w:rPr>
          <w:rFonts w:cs="Arial" w:hint="cs"/>
          <w:rtl/>
        </w:rPr>
        <w:t>.</w:t>
      </w:r>
      <w:r w:rsidRPr="00484234">
        <w:rPr>
          <w:rFonts w:cs="Arial"/>
          <w:rtl/>
        </w:rPr>
        <w:t xml:space="preserve"> ואין דעת רש"י </w:t>
      </w:r>
      <w:r w:rsidRPr="00484234">
        <w:rPr>
          <w:rFonts w:cs="Arial"/>
          <w:sz w:val="16"/>
          <w:szCs w:val="16"/>
          <w:rtl/>
        </w:rPr>
        <w:t xml:space="preserve">(ה.) </w:t>
      </w:r>
      <w:r w:rsidRPr="00484234">
        <w:rPr>
          <w:rFonts w:cs="Arial"/>
          <w:rtl/>
        </w:rPr>
        <w:t>כן אלא היכא דאמרו דיינת לן דין תורה וטעה דינו דין ומשלם. ובהעי</w:t>
      </w:r>
      <w:r w:rsidRPr="00484234">
        <w:rPr>
          <w:rFonts w:cs="Arial" w:hint="cs"/>
          <w:rtl/>
        </w:rPr>
        <w:t>"</w:t>
      </w:r>
      <w:r w:rsidRPr="00484234">
        <w:rPr>
          <w:rFonts w:cs="Arial"/>
          <w:rtl/>
        </w:rPr>
        <w:t xml:space="preserve">ט </w:t>
      </w:r>
      <w:r w:rsidRPr="00484234">
        <w:rPr>
          <w:rFonts w:cs="Arial"/>
          <w:sz w:val="16"/>
          <w:szCs w:val="16"/>
          <w:rtl/>
        </w:rPr>
        <w:t xml:space="preserve">(אות פ פסק דין פ:) </w:t>
      </w:r>
      <w:r w:rsidRPr="00484234">
        <w:rPr>
          <w:rFonts w:cs="Arial"/>
          <w:rtl/>
        </w:rPr>
        <w:t xml:space="preserve">הביא ירושלמי </w:t>
      </w:r>
      <w:r w:rsidRPr="00484234">
        <w:rPr>
          <w:rFonts w:cs="Arial"/>
          <w:sz w:val="16"/>
          <w:szCs w:val="16"/>
          <w:rtl/>
        </w:rPr>
        <w:t xml:space="preserve">(סנהדרין פ"א ה"א) </w:t>
      </w:r>
      <w:r w:rsidRPr="00484234">
        <w:rPr>
          <w:rFonts w:cs="Arial"/>
          <w:rtl/>
        </w:rPr>
        <w:t>שנראה לו שמסייע קצת לפירוש רש"י</w:t>
      </w:r>
      <w:r>
        <w:rPr>
          <w:rFonts w:cs="Arial" w:hint="cs"/>
          <w:rtl/>
        </w:rPr>
        <w:t>.</w:t>
      </w:r>
      <w:r w:rsidRPr="00484234">
        <w:rPr>
          <w:rFonts w:cs="Arial"/>
          <w:rtl/>
        </w:rPr>
        <w:t xml:space="preserve"> ומשמע מתוך פירוש זה דכל היכא דקבילו עלייהו </w:t>
      </w:r>
      <w:r>
        <w:rPr>
          <w:rFonts w:cs="Arial" w:hint="cs"/>
          <w:sz w:val="16"/>
          <w:szCs w:val="16"/>
          <w:rtl/>
        </w:rPr>
        <w:t>{דיין שהוא-}</w:t>
      </w:r>
      <w:r>
        <w:rPr>
          <w:rFonts w:cs="Arial" w:hint="cs"/>
          <w:rtl/>
        </w:rPr>
        <w:t>'</w:t>
      </w:r>
      <w:r w:rsidRPr="00484234">
        <w:rPr>
          <w:rFonts w:cs="Arial"/>
          <w:rtl/>
        </w:rPr>
        <w:t>גמיר וסביר</w:t>
      </w:r>
      <w:r>
        <w:rPr>
          <w:rFonts w:cs="Arial" w:hint="cs"/>
          <w:rtl/>
        </w:rPr>
        <w:t>'</w:t>
      </w:r>
      <w:r w:rsidRPr="00484234">
        <w:rPr>
          <w:rFonts w:cs="Arial"/>
          <w:rtl/>
        </w:rPr>
        <w:t xml:space="preserve"> לא מצי למימר ליה </w:t>
      </w:r>
      <w:r w:rsidR="00385CD1">
        <w:rPr>
          <w:rFonts w:cs="Arial" w:hint="cs"/>
          <w:rtl/>
        </w:rPr>
        <w:t>'</w:t>
      </w:r>
      <w:r w:rsidRPr="00484234">
        <w:rPr>
          <w:rFonts w:cs="Arial"/>
          <w:rtl/>
        </w:rPr>
        <w:t>כי קבלוך אדעתא למידן דין תורה קבלינך</w:t>
      </w:r>
      <w:r w:rsidR="00385CD1">
        <w:rPr>
          <w:rFonts w:cs="Arial" w:hint="cs"/>
          <w:rtl/>
        </w:rPr>
        <w:t>'</w:t>
      </w:r>
      <w:r w:rsidRPr="00484234">
        <w:rPr>
          <w:rFonts w:cs="Arial" w:hint="cs"/>
          <w:rtl/>
        </w:rPr>
        <w:t>,</w:t>
      </w:r>
      <w:r w:rsidRPr="00484234">
        <w:rPr>
          <w:rFonts w:cs="Arial"/>
          <w:rtl/>
        </w:rPr>
        <w:t xml:space="preserve"> דלא אמרינן הכי לקמן </w:t>
      </w:r>
      <w:r w:rsidRPr="00484234">
        <w:rPr>
          <w:rFonts w:cs="Arial"/>
          <w:sz w:val="16"/>
          <w:szCs w:val="16"/>
          <w:rtl/>
        </w:rPr>
        <w:t xml:space="preserve">(ו.) </w:t>
      </w:r>
      <w:r w:rsidRPr="00484234">
        <w:rPr>
          <w:rFonts w:cs="Arial"/>
          <w:rtl/>
        </w:rPr>
        <w:t>אלא להדיוט דגמיר ולא סביר. ויש אומרים דהוא הדין שאם קבלו עליהם יושבי קרנות שדינם דין</w:t>
      </w:r>
      <w:r w:rsidR="00385CD1">
        <w:rPr>
          <w:rFonts w:cs="Arial" w:hint="cs"/>
          <w:rtl/>
        </w:rPr>
        <w:t>,</w:t>
      </w:r>
      <w:r w:rsidRPr="00484234">
        <w:rPr>
          <w:rFonts w:cs="Arial"/>
          <w:rtl/>
        </w:rPr>
        <w:t xml:space="preserve"> ואפילו טעו אינם חייבים לשלם דהא לא מצי אמרי להו דאדעתא דלידיינו להו דין תורה קבלום דהא מידע ידעי שאינם יודעים דין תורה</w:t>
      </w:r>
      <w:r>
        <w:rPr>
          <w:rStyle w:val="ab"/>
          <w:rFonts w:cs="Arial"/>
          <w:rtl/>
        </w:rPr>
        <w:footnoteReference w:id="1213"/>
      </w:r>
      <w:r w:rsidRPr="00484234">
        <w:rPr>
          <w:rFonts w:cs="Arial" w:hint="cs"/>
          <w:rtl/>
        </w:rPr>
        <w:t>.</w:t>
      </w:r>
      <w:r w:rsidRPr="00484234">
        <w:rPr>
          <w:rFonts w:cs="Arial"/>
          <w:rtl/>
        </w:rPr>
        <w:t xml:space="preserve"> </w:t>
      </w:r>
    </w:p>
    <w:p w14:paraId="485C8987" w14:textId="77777777" w:rsidR="00B93470" w:rsidRDefault="00B93470" w:rsidP="00B93470">
      <w:pPr>
        <w:rPr>
          <w:rFonts w:cs="Arial"/>
          <w:rtl/>
        </w:rPr>
      </w:pPr>
      <w:r w:rsidRPr="00B93470">
        <w:rPr>
          <w:rFonts w:cs="Arial" w:hint="cs"/>
          <w:b/>
          <w:bCs/>
          <w:rtl/>
        </w:rPr>
        <w:t>בבא בתרא</w:t>
      </w:r>
      <w:r w:rsidRPr="00B93470">
        <w:rPr>
          <w:rFonts w:cs="Arial" w:hint="cs"/>
          <w:b/>
          <w:bCs/>
          <w:sz w:val="16"/>
          <w:szCs w:val="16"/>
          <w:rtl/>
        </w:rPr>
        <w:t xml:space="preserve"> (פ' יש נוחלין)</w:t>
      </w:r>
      <w:r w:rsidRPr="00B93470">
        <w:rPr>
          <w:rFonts w:cs="Arial" w:hint="cs"/>
          <w:b/>
          <w:bCs/>
          <w:rtl/>
        </w:rPr>
        <w:t xml:space="preserve"> קל</w:t>
      </w:r>
      <w:r w:rsidR="006A2153">
        <w:rPr>
          <w:rStyle w:val="ab"/>
          <w:rFonts w:cs="Arial"/>
          <w:b/>
          <w:bCs/>
          <w:rtl/>
        </w:rPr>
        <w:footnoteReference w:id="1214"/>
      </w:r>
      <w:r w:rsidRPr="00B93470">
        <w:rPr>
          <w:rFonts w:cs="Arial" w:hint="cs"/>
          <w:b/>
          <w:bCs/>
          <w:rtl/>
        </w:rPr>
        <w:t xml:space="preserve"> ע"ב:</w:t>
      </w:r>
      <w:r>
        <w:rPr>
          <w:rFonts w:cs="Arial" w:hint="cs"/>
          <w:rtl/>
        </w:rPr>
        <w:t xml:space="preserve"> </w:t>
      </w:r>
      <w:r w:rsidRPr="00B93470">
        <w:rPr>
          <w:rFonts w:cs="Arial"/>
          <w:u w:val="single"/>
          <w:rtl/>
        </w:rPr>
        <w:t>אמר להו רבא לרב פפא ולרב הונא בריה דרב יהושע</w:t>
      </w:r>
      <w:r w:rsidRPr="00B93470">
        <w:rPr>
          <w:rFonts w:cs="Arial"/>
          <w:rtl/>
        </w:rPr>
        <w:t>: כי אתי פסקא דדינא דידי לקמייכו וחזיתו ביה פירכא, לא תקרעוהו עד דאתיתו לקמאי, אי אית לי טעמא אמינא לכו, ואי לא - הדרנא בי</w:t>
      </w:r>
      <w:r>
        <w:rPr>
          <w:rFonts w:cs="Arial" w:hint="cs"/>
          <w:rtl/>
        </w:rPr>
        <w:t>.</w:t>
      </w:r>
      <w:r w:rsidRPr="00B93470">
        <w:rPr>
          <w:rFonts w:cs="Arial"/>
          <w:rtl/>
        </w:rPr>
        <w:t xml:space="preserve"> לאחר מיתה, לא מיקרע תקרעוהו ומגמר נמי לא תגמרו מיניה, לא מיקרע תקרעיניה - דאי הואי התם דלמא הוה אמינא לכו טעמא, מגמר נמי לא תגמרו מיניה - דאין לדיין אלא מה שעיניו רואות.</w:t>
      </w:r>
      <w:r>
        <w:rPr>
          <w:rFonts w:cs="Arial" w:hint="cs"/>
          <w:rtl/>
        </w:rPr>
        <w:t xml:space="preserve"> </w:t>
      </w:r>
    </w:p>
    <w:p w14:paraId="2114D790" w14:textId="77777777" w:rsidR="00B93470" w:rsidRDefault="00B93470" w:rsidP="00B93470">
      <w:pPr>
        <w:rPr>
          <w:rFonts w:cs="Arial"/>
          <w:rtl/>
        </w:rPr>
      </w:pPr>
      <w:r w:rsidRPr="00B93470">
        <w:rPr>
          <w:rFonts w:cs="Arial" w:hint="cs"/>
          <w:u w:val="single"/>
          <w:rtl/>
        </w:rPr>
        <w:t>קריעת פסק דין כדי שיראו התלמידים שהוא שלא מן הדין:</w:t>
      </w:r>
    </w:p>
    <w:p w14:paraId="379E68C9" w14:textId="77777777" w:rsidR="00B93470" w:rsidRDefault="00B93470" w:rsidP="004B0475">
      <w:pPr>
        <w:pStyle w:val="ac"/>
        <w:numPr>
          <w:ilvl w:val="0"/>
          <w:numId w:val="33"/>
        </w:numPr>
        <w:rPr>
          <w:rFonts w:cs="Arial"/>
        </w:rPr>
      </w:pPr>
      <w:r w:rsidRPr="00B93470">
        <w:rPr>
          <w:rFonts w:cs="Arial" w:hint="cs"/>
          <w:rtl/>
        </w:rPr>
        <w:t xml:space="preserve">רי"ו </w:t>
      </w:r>
      <w:r w:rsidRPr="00B93470">
        <w:rPr>
          <w:rFonts w:cs="Arial" w:hint="cs"/>
          <w:sz w:val="16"/>
          <w:szCs w:val="16"/>
          <w:rtl/>
        </w:rPr>
        <w:t>(</w:t>
      </w:r>
      <w:r w:rsidR="00D171E2" w:rsidRPr="00B93470">
        <w:rPr>
          <w:rFonts w:cs="Arial"/>
          <w:sz w:val="16"/>
          <w:szCs w:val="16"/>
          <w:rtl/>
        </w:rPr>
        <w:t>מישרים נ</w:t>
      </w:r>
      <w:r w:rsidR="00D171E2" w:rsidRPr="00B93470">
        <w:rPr>
          <w:rFonts w:cs="Arial" w:hint="cs"/>
          <w:sz w:val="16"/>
          <w:szCs w:val="16"/>
          <w:rtl/>
        </w:rPr>
        <w:t>"</w:t>
      </w:r>
      <w:r w:rsidR="00D171E2" w:rsidRPr="00B93470">
        <w:rPr>
          <w:rFonts w:cs="Arial"/>
          <w:sz w:val="16"/>
          <w:szCs w:val="16"/>
          <w:rtl/>
        </w:rPr>
        <w:t>א חי"א י:)</w:t>
      </w:r>
      <w:r w:rsidRPr="00B93470">
        <w:rPr>
          <w:rFonts w:cs="Arial" w:hint="cs"/>
          <w:rtl/>
        </w:rPr>
        <w:t>-</w:t>
      </w:r>
      <w:r w:rsidR="00D171E2" w:rsidRPr="00B93470">
        <w:rPr>
          <w:rFonts w:cs="Arial"/>
          <w:rtl/>
        </w:rPr>
        <w:t xml:space="preserve"> פסק דין אין רשאין לקרעו אפילו שיראו התלמידים שהוא שלא מן הדין עד שיבא הרב שעשאו שיודע יותר מהם</w:t>
      </w:r>
      <w:r w:rsidRPr="00B93470">
        <w:rPr>
          <w:rFonts w:cs="Arial" w:hint="cs"/>
          <w:rtl/>
        </w:rPr>
        <w:t>.</w:t>
      </w:r>
    </w:p>
    <w:p w14:paraId="5326A6B5" w14:textId="77777777" w:rsidR="00B93470" w:rsidRDefault="00B93470" w:rsidP="00B93470">
      <w:pPr>
        <w:rPr>
          <w:rFonts w:cs="Arial"/>
          <w:rtl/>
        </w:rPr>
      </w:pPr>
      <w:r w:rsidRPr="00B93470">
        <w:rPr>
          <w:rFonts w:cs="Arial" w:hint="cs"/>
          <w:b/>
          <w:bCs/>
          <w:rtl/>
        </w:rPr>
        <w:t>בבא בתרא</w:t>
      </w:r>
      <w:r w:rsidRPr="00B93470">
        <w:rPr>
          <w:rFonts w:cs="Arial" w:hint="cs"/>
          <w:b/>
          <w:bCs/>
          <w:sz w:val="16"/>
          <w:szCs w:val="16"/>
          <w:rtl/>
        </w:rPr>
        <w:t xml:space="preserve"> (פ' </w:t>
      </w:r>
      <w:r>
        <w:rPr>
          <w:rFonts w:cs="Arial" w:hint="cs"/>
          <w:b/>
          <w:bCs/>
          <w:sz w:val="16"/>
          <w:szCs w:val="16"/>
          <w:rtl/>
        </w:rPr>
        <w:t>בתרא)</w:t>
      </w:r>
      <w:r w:rsidRPr="00B93470">
        <w:rPr>
          <w:rFonts w:cs="Arial" w:hint="cs"/>
          <w:b/>
          <w:bCs/>
          <w:rtl/>
        </w:rPr>
        <w:t xml:space="preserve"> ק</w:t>
      </w:r>
      <w:r>
        <w:rPr>
          <w:rFonts w:cs="Arial" w:hint="cs"/>
          <w:b/>
          <w:bCs/>
          <w:rtl/>
        </w:rPr>
        <w:t>עד</w:t>
      </w:r>
      <w:r w:rsidR="006A2153">
        <w:rPr>
          <w:rStyle w:val="ab"/>
          <w:rFonts w:cs="Arial"/>
          <w:b/>
          <w:bCs/>
          <w:rtl/>
        </w:rPr>
        <w:footnoteReference w:id="1215"/>
      </w:r>
      <w:r w:rsidRPr="00B93470">
        <w:rPr>
          <w:rFonts w:cs="Arial" w:hint="cs"/>
          <w:b/>
          <w:bCs/>
          <w:rtl/>
        </w:rPr>
        <w:t xml:space="preserve"> ע"</w:t>
      </w:r>
      <w:r>
        <w:rPr>
          <w:rFonts w:cs="Arial" w:hint="cs"/>
          <w:b/>
          <w:bCs/>
          <w:rtl/>
        </w:rPr>
        <w:t>א</w:t>
      </w:r>
      <w:r w:rsidRPr="00B93470">
        <w:rPr>
          <w:rFonts w:cs="Arial" w:hint="cs"/>
          <w:b/>
          <w:bCs/>
          <w:rtl/>
        </w:rPr>
        <w:t>:</w:t>
      </w:r>
      <w:r>
        <w:rPr>
          <w:rFonts w:cs="Arial" w:hint="cs"/>
          <w:rtl/>
        </w:rPr>
        <w:t xml:space="preserve"> </w:t>
      </w:r>
      <w:r w:rsidRPr="00B93470">
        <w:rPr>
          <w:rFonts w:cs="Arial"/>
          <w:rtl/>
        </w:rPr>
        <w:t xml:space="preserve">ההוא דיינא דאחתיה למלוה לנכסי דלוה מקמי דלתבעיה ללוה, סלקיה רב חנין בריה דרב ייבא. </w:t>
      </w:r>
      <w:r w:rsidRPr="00C2032A">
        <w:rPr>
          <w:rFonts w:cs="Arial"/>
          <w:u w:val="single"/>
          <w:rtl/>
        </w:rPr>
        <w:t>אמר רבא</w:t>
      </w:r>
      <w:r w:rsidRPr="00B93470">
        <w:rPr>
          <w:rFonts w:cs="Arial"/>
          <w:rtl/>
        </w:rPr>
        <w:t>: מאן חכים למעבד כי הא מילתא, אי לאו רב חנין בריה דרב ייבא! קסבר: נכסיה דבר איניש אינון מערבין יתיה, ותנן: המלוה את חבירו ע"י ערב - לא יפרע מן הערב, וקי"ל: לא יתבע ערב תחלה.</w:t>
      </w:r>
    </w:p>
    <w:p w14:paraId="0CD656BB" w14:textId="77777777" w:rsidR="00B93470" w:rsidRPr="00B93470" w:rsidRDefault="00B93470" w:rsidP="00B93470">
      <w:pPr>
        <w:rPr>
          <w:rFonts w:cs="Arial"/>
          <w:u w:val="single"/>
        </w:rPr>
      </w:pPr>
      <w:r w:rsidRPr="00B93470">
        <w:rPr>
          <w:rFonts w:cs="Arial" w:hint="cs"/>
          <w:u w:val="single"/>
          <w:rtl/>
        </w:rPr>
        <w:t>דיין שטעה והוריד מלוה לנכסי ערב קודם שיתבע מהלוה:</w:t>
      </w:r>
    </w:p>
    <w:p w14:paraId="15CA09C5" w14:textId="77777777" w:rsidR="00D171E2" w:rsidRPr="00B93470" w:rsidRDefault="00B93470" w:rsidP="004B0475">
      <w:pPr>
        <w:pStyle w:val="ac"/>
        <w:numPr>
          <w:ilvl w:val="0"/>
          <w:numId w:val="33"/>
        </w:numPr>
        <w:rPr>
          <w:rFonts w:cs="Arial"/>
          <w:rtl/>
        </w:rPr>
      </w:pPr>
      <w:r w:rsidRPr="00B93470">
        <w:rPr>
          <w:rFonts w:cs="Arial" w:hint="cs"/>
          <w:rtl/>
        </w:rPr>
        <w:t xml:space="preserve">רי"ו </w:t>
      </w:r>
      <w:r w:rsidRPr="00B93470">
        <w:rPr>
          <w:rFonts w:cs="Arial" w:hint="cs"/>
          <w:sz w:val="16"/>
          <w:szCs w:val="16"/>
          <w:rtl/>
        </w:rPr>
        <w:t>(</w:t>
      </w:r>
      <w:r w:rsidRPr="00B93470">
        <w:rPr>
          <w:rFonts w:cs="Arial"/>
          <w:sz w:val="16"/>
          <w:szCs w:val="16"/>
          <w:rtl/>
        </w:rPr>
        <w:t>מישרים נ</w:t>
      </w:r>
      <w:r w:rsidRPr="00B93470">
        <w:rPr>
          <w:rFonts w:cs="Arial" w:hint="cs"/>
          <w:sz w:val="16"/>
          <w:szCs w:val="16"/>
          <w:rtl/>
        </w:rPr>
        <w:t>"</w:t>
      </w:r>
      <w:r w:rsidRPr="00B93470">
        <w:rPr>
          <w:rFonts w:cs="Arial"/>
          <w:sz w:val="16"/>
          <w:szCs w:val="16"/>
          <w:rtl/>
        </w:rPr>
        <w:t>א חי"א י:)</w:t>
      </w:r>
      <w:r w:rsidRPr="00B93470">
        <w:rPr>
          <w:rFonts w:cs="Arial" w:hint="cs"/>
          <w:rtl/>
        </w:rPr>
        <w:t>-</w:t>
      </w:r>
      <w:r w:rsidRPr="00B93470">
        <w:rPr>
          <w:rFonts w:cs="Arial"/>
          <w:rtl/>
        </w:rPr>
        <w:t xml:space="preserve"> </w:t>
      </w:r>
      <w:r w:rsidR="00D171E2" w:rsidRPr="00B93470">
        <w:rPr>
          <w:rFonts w:cs="Arial"/>
          <w:rtl/>
        </w:rPr>
        <w:t xml:space="preserve">דיין שטעה והוריד מלוה לנכסי ערב קודם שיתבע הלוה </w:t>
      </w:r>
      <w:r w:rsidR="006A2153">
        <w:rPr>
          <w:rFonts w:cs="Arial" w:hint="cs"/>
          <w:rtl/>
        </w:rPr>
        <w:t xml:space="preserve">- </w:t>
      </w:r>
      <w:r w:rsidR="00D171E2" w:rsidRPr="00B93470">
        <w:rPr>
          <w:rFonts w:cs="Arial"/>
          <w:rtl/>
        </w:rPr>
        <w:t>מסלקין אותו</w:t>
      </w:r>
      <w:r>
        <w:rPr>
          <w:rFonts w:cs="Arial" w:hint="cs"/>
          <w:rtl/>
        </w:rPr>
        <w:t>.</w:t>
      </w:r>
    </w:p>
    <w:p w14:paraId="02E58923" w14:textId="77777777" w:rsidR="00E6390A" w:rsidRPr="00E6390A" w:rsidRDefault="00E6390A" w:rsidP="00E6390A">
      <w:pPr>
        <w:rPr>
          <w:u w:val="single"/>
        </w:rPr>
      </w:pPr>
      <w:r w:rsidRPr="00E6390A">
        <w:rPr>
          <w:rFonts w:hint="cs"/>
          <w:u w:val="single"/>
          <w:rtl/>
        </w:rPr>
        <w:t>כח להקל כנגד החיבורים שנתפשטו ברוב ישראל</w:t>
      </w:r>
      <w:r w:rsidR="00B35B48">
        <w:rPr>
          <w:rFonts w:hint="cs"/>
          <w:u w:val="single"/>
          <w:rtl/>
        </w:rPr>
        <w:t xml:space="preserve"> והחמירו</w:t>
      </w:r>
      <w:r w:rsidRPr="00E6390A">
        <w:rPr>
          <w:rFonts w:hint="cs"/>
          <w:u w:val="single"/>
          <w:rtl/>
        </w:rPr>
        <w:t>:</w:t>
      </w:r>
      <w:r w:rsidRPr="00E6390A">
        <w:rPr>
          <w:rFonts w:cs="Arial" w:hint="cs"/>
          <w:sz w:val="16"/>
          <w:szCs w:val="16"/>
          <w:rtl/>
        </w:rPr>
        <w:t xml:space="preserve"> </w:t>
      </w:r>
      <w:r>
        <w:rPr>
          <w:rFonts w:cs="Arial" w:hint="cs"/>
          <w:sz w:val="16"/>
          <w:szCs w:val="16"/>
          <w:rtl/>
        </w:rPr>
        <w:t xml:space="preserve">  </w:t>
      </w:r>
      <w:r w:rsidRPr="000A40BA">
        <w:rPr>
          <w:rFonts w:cs="Arial" w:hint="cs"/>
          <w:sz w:val="16"/>
          <w:szCs w:val="16"/>
          <w:rtl/>
        </w:rPr>
        <w:t xml:space="preserve">(דרכ"מ אות </w:t>
      </w:r>
      <w:r>
        <w:rPr>
          <w:rFonts w:cs="Arial" w:hint="cs"/>
          <w:sz w:val="16"/>
          <w:szCs w:val="16"/>
          <w:rtl/>
        </w:rPr>
        <w:t>ד</w:t>
      </w:r>
      <w:r w:rsidRPr="000A40BA">
        <w:rPr>
          <w:rFonts w:cs="Arial" w:hint="cs"/>
          <w:sz w:val="16"/>
          <w:szCs w:val="16"/>
          <w:rtl/>
        </w:rPr>
        <w:t>)</w:t>
      </w:r>
    </w:p>
    <w:p w14:paraId="3ACAAA87" w14:textId="77777777" w:rsidR="00E6390A" w:rsidRDefault="000A40BA" w:rsidP="004B0475">
      <w:pPr>
        <w:pStyle w:val="ac"/>
        <w:numPr>
          <w:ilvl w:val="0"/>
          <w:numId w:val="35"/>
        </w:numPr>
      </w:pPr>
      <w:r w:rsidRPr="00E6390A">
        <w:rPr>
          <w:rFonts w:cs="Arial"/>
          <w:rtl/>
        </w:rPr>
        <w:t xml:space="preserve">מהרא"י </w:t>
      </w:r>
      <w:r w:rsidR="00407944" w:rsidRPr="00E6390A">
        <w:rPr>
          <w:rFonts w:cs="Arial" w:hint="cs"/>
          <w:sz w:val="16"/>
          <w:szCs w:val="16"/>
          <w:rtl/>
        </w:rPr>
        <w:t>(</w:t>
      </w:r>
      <w:r w:rsidRPr="00E6390A">
        <w:rPr>
          <w:rFonts w:cs="Arial"/>
          <w:sz w:val="16"/>
          <w:szCs w:val="16"/>
          <w:rtl/>
        </w:rPr>
        <w:t>בפסקיו סי</w:t>
      </w:r>
      <w:r w:rsidR="00407944" w:rsidRPr="00E6390A">
        <w:rPr>
          <w:rFonts w:cs="Arial" w:hint="cs"/>
          <w:sz w:val="16"/>
          <w:szCs w:val="16"/>
          <w:rtl/>
        </w:rPr>
        <w:t>'</w:t>
      </w:r>
      <w:r w:rsidRPr="00E6390A">
        <w:rPr>
          <w:rFonts w:cs="Arial"/>
          <w:sz w:val="16"/>
          <w:szCs w:val="16"/>
          <w:rtl/>
        </w:rPr>
        <w:t xml:space="preserve"> רמא</w:t>
      </w:r>
      <w:r w:rsidR="00407944" w:rsidRPr="00E6390A">
        <w:rPr>
          <w:rFonts w:cs="Arial" w:hint="cs"/>
          <w:sz w:val="16"/>
          <w:szCs w:val="16"/>
          <w:rtl/>
        </w:rPr>
        <w:t>)</w:t>
      </w:r>
      <w:r w:rsidR="00407944" w:rsidRPr="00E6390A">
        <w:rPr>
          <w:rFonts w:cs="Arial" w:hint="cs"/>
          <w:rtl/>
        </w:rPr>
        <w:t>-</w:t>
      </w:r>
      <w:r w:rsidRPr="00E6390A">
        <w:rPr>
          <w:rFonts w:cs="Arial"/>
          <w:rtl/>
        </w:rPr>
        <w:t xml:space="preserve"> אין כח ביד אחד בזמן הזה לחלוק להקל בדבר שהחמירו בו החבורים שנתפשטו ברוב ישראל</w:t>
      </w:r>
      <w:r w:rsidR="006A2153">
        <w:rPr>
          <w:rFonts w:cs="Arial" w:hint="cs"/>
          <w:rtl/>
        </w:rPr>
        <w:t>,</w:t>
      </w:r>
      <w:r w:rsidRPr="00E6390A">
        <w:rPr>
          <w:rFonts w:cs="Arial"/>
          <w:rtl/>
        </w:rPr>
        <w:t xml:space="preserve"> אא</w:t>
      </w:r>
      <w:r w:rsidR="00407944" w:rsidRPr="00E6390A">
        <w:rPr>
          <w:rFonts w:cs="Arial" w:hint="cs"/>
          <w:rtl/>
        </w:rPr>
        <w:t>"</w:t>
      </w:r>
      <w:r w:rsidRPr="00E6390A">
        <w:rPr>
          <w:rFonts w:cs="Arial"/>
          <w:rtl/>
        </w:rPr>
        <w:t>כ יש קבלה בידו שאין נוהגין כאותו החיבור</w:t>
      </w:r>
      <w:r w:rsidR="00407944" w:rsidRPr="00E6390A">
        <w:rPr>
          <w:rFonts w:cs="Arial" w:hint="cs"/>
          <w:rtl/>
        </w:rPr>
        <w:t>.</w:t>
      </w:r>
      <w:r w:rsidRPr="00F207F5">
        <w:rPr>
          <w:rFonts w:cs="Arial"/>
          <w:color w:val="00B0F0"/>
          <w:rtl/>
        </w:rPr>
        <w:t xml:space="preserve"> </w:t>
      </w:r>
      <w:r w:rsidR="00F207F5" w:rsidRPr="00F207F5">
        <w:rPr>
          <w:rFonts w:hint="cs"/>
          <w:color w:val="00B0F0"/>
          <w:rtl/>
        </w:rPr>
        <w:t>(וכ"פ הרמ"א)</w:t>
      </w:r>
    </w:p>
    <w:p w14:paraId="0BFCDA56" w14:textId="77777777" w:rsidR="00E137BC" w:rsidRPr="00576D5C" w:rsidRDefault="00E137BC" w:rsidP="00576D5C">
      <w:pPr>
        <w:rPr>
          <w:rFonts w:asciiTheme="minorBidi" w:hAnsiTheme="minorBidi"/>
          <w:b/>
          <w:bCs/>
          <w:color w:val="000000"/>
          <w:sz w:val="28"/>
          <w:szCs w:val="28"/>
          <w:u w:val="single"/>
          <w:rtl/>
        </w:rPr>
      </w:pPr>
      <w:r w:rsidRPr="00576D5C">
        <w:rPr>
          <w:rFonts w:asciiTheme="minorBidi" w:hAnsiTheme="minorBidi"/>
          <w:b/>
          <w:bCs/>
          <w:color w:val="000000"/>
          <w:sz w:val="28"/>
          <w:szCs w:val="28"/>
          <w:u w:val="single"/>
          <w:rtl/>
        </w:rPr>
        <w:t>שו"ע:</w:t>
      </w:r>
    </w:p>
    <w:p w14:paraId="7E50BED3" w14:textId="77777777" w:rsidR="00E137BC" w:rsidRDefault="00E137BC" w:rsidP="00576D5C">
      <w:pPr>
        <w:rPr>
          <w:rFonts w:asciiTheme="minorBidi" w:hAnsiTheme="minorBidi"/>
          <w:rtl/>
        </w:rPr>
      </w:pPr>
      <w:r w:rsidRPr="00576D5C">
        <w:rPr>
          <w:rFonts w:asciiTheme="minorBidi" w:hAnsiTheme="minorBidi"/>
          <w:rtl/>
        </w:rPr>
        <w:t xml:space="preserve">כל דיין שדן דיני ממונות וטעה, אם טעה בדברים הגלויים והידועים, כגון דינים המפורשים במשנה או בגמרא או בדברי הפוסקים, חוזר הדין ודנין אותו כהלכה. </w:t>
      </w:r>
      <w:r w:rsidRPr="000E49B4">
        <w:rPr>
          <w:rFonts w:asciiTheme="minorBidi" w:hAnsiTheme="minorBidi"/>
          <w:sz w:val="18"/>
          <w:szCs w:val="18"/>
          <w:rtl/>
        </w:rPr>
        <w:t>הגה: מיהו י"א דאם נראה לדיין ולבני דורו מכח ראיות מוכרחות שאין הדין כמו שהוזכר בפוסקים, יכול לחלוק עליו</w:t>
      </w:r>
      <w:r w:rsidR="008046C2">
        <w:rPr>
          <w:rStyle w:val="ab"/>
          <w:rFonts w:asciiTheme="minorBidi" w:hAnsiTheme="minorBidi"/>
          <w:sz w:val="18"/>
          <w:szCs w:val="18"/>
          <w:rtl/>
        </w:rPr>
        <w:footnoteReference w:id="1216"/>
      </w:r>
      <w:r w:rsidRPr="000E49B4">
        <w:rPr>
          <w:rFonts w:asciiTheme="minorBidi" w:hAnsiTheme="minorBidi"/>
          <w:sz w:val="18"/>
          <w:szCs w:val="18"/>
          <w:rtl/>
        </w:rPr>
        <w:t xml:space="preserve">, מאחר שאינו נזכר בגמרא </w:t>
      </w:r>
      <w:r w:rsidRPr="00F207F5">
        <w:rPr>
          <w:rFonts w:asciiTheme="minorBidi" w:hAnsiTheme="minorBidi"/>
          <w:sz w:val="16"/>
          <w:szCs w:val="16"/>
          <w:rtl/>
        </w:rPr>
        <w:t>(טור בשם הרא"ש)</w:t>
      </w:r>
      <w:r w:rsidRPr="000E49B4">
        <w:rPr>
          <w:rFonts w:asciiTheme="minorBidi" w:hAnsiTheme="minorBidi"/>
          <w:sz w:val="18"/>
          <w:szCs w:val="18"/>
          <w:rtl/>
        </w:rPr>
        <w:t>. מכל מקום אין להקל</w:t>
      </w:r>
      <w:r w:rsidR="001E65D2">
        <w:rPr>
          <w:rStyle w:val="ab"/>
          <w:rFonts w:asciiTheme="minorBidi" w:hAnsiTheme="minorBidi"/>
          <w:sz w:val="18"/>
          <w:szCs w:val="18"/>
          <w:rtl/>
        </w:rPr>
        <w:footnoteReference w:id="1217"/>
      </w:r>
      <w:r w:rsidRPr="000E49B4">
        <w:rPr>
          <w:rFonts w:asciiTheme="minorBidi" w:hAnsiTheme="minorBidi"/>
          <w:sz w:val="18"/>
          <w:szCs w:val="18"/>
          <w:rtl/>
        </w:rPr>
        <w:t xml:space="preserve"> בדבר שהחמירו בו החבורים שנתפשטו ברוב ישראל, אם לא שקבל מרבותיו שאין נוהגין כאותה חומרא </w:t>
      </w:r>
      <w:r w:rsidRPr="00F207F5">
        <w:rPr>
          <w:rFonts w:asciiTheme="minorBidi" w:hAnsiTheme="minorBidi"/>
          <w:sz w:val="16"/>
          <w:szCs w:val="16"/>
          <w:rtl/>
        </w:rPr>
        <w:t>(מהרא"י סי</w:t>
      </w:r>
      <w:r w:rsidR="00F207F5">
        <w:rPr>
          <w:rFonts w:asciiTheme="minorBidi" w:hAnsiTheme="minorBidi" w:hint="cs"/>
          <w:sz w:val="16"/>
          <w:szCs w:val="16"/>
          <w:rtl/>
        </w:rPr>
        <w:t>'</w:t>
      </w:r>
      <w:r w:rsidRPr="00F207F5">
        <w:rPr>
          <w:rFonts w:asciiTheme="minorBidi" w:hAnsiTheme="minorBidi"/>
          <w:sz w:val="16"/>
          <w:szCs w:val="16"/>
          <w:rtl/>
        </w:rPr>
        <w:t xml:space="preserve"> רמא)</w:t>
      </w:r>
      <w:r w:rsidRPr="000E49B4">
        <w:rPr>
          <w:rFonts w:asciiTheme="minorBidi" w:hAnsiTheme="minorBidi"/>
          <w:sz w:val="18"/>
          <w:szCs w:val="18"/>
          <w:rtl/>
        </w:rPr>
        <w:t>.</w:t>
      </w:r>
      <w:r w:rsidRPr="00576D5C">
        <w:rPr>
          <w:rFonts w:asciiTheme="minorBidi" w:hAnsiTheme="minorBidi"/>
          <w:rtl/>
        </w:rPr>
        <w:t xml:space="preserve"> ואם אי אפשר לחזור, כגון שהלך זה שנטל הממון שלא כדין למדינת הים, או שהוא אלם, או שטימא דבר הטהור או שהורה בכשרה שהיא טרפה והאכילוה לכלבים וכיוצא </w:t>
      </w:r>
      <w:r w:rsidRPr="00576D5C">
        <w:rPr>
          <w:rFonts w:asciiTheme="minorBidi" w:hAnsiTheme="minorBidi"/>
          <w:rtl/>
        </w:rPr>
        <w:lastRenderedPageBreak/>
        <w:t>בזה, הרי זה פטור מלשלם</w:t>
      </w:r>
      <w:r w:rsidR="00F207F5">
        <w:rPr>
          <w:rFonts w:asciiTheme="minorBidi" w:hAnsiTheme="minorBidi" w:hint="cs"/>
          <w:rtl/>
        </w:rPr>
        <w:t>,</w:t>
      </w:r>
      <w:r w:rsidRPr="00576D5C">
        <w:rPr>
          <w:rFonts w:asciiTheme="minorBidi" w:hAnsiTheme="minorBidi"/>
          <w:rtl/>
        </w:rPr>
        <w:t xml:space="preserve"> אף על פי שגרם להזיק</w:t>
      </w:r>
      <w:r w:rsidR="001E65D2">
        <w:rPr>
          <w:rStyle w:val="ab"/>
          <w:rFonts w:asciiTheme="minorBidi" w:hAnsiTheme="minorBidi"/>
          <w:rtl/>
        </w:rPr>
        <w:footnoteReference w:id="1218"/>
      </w:r>
      <w:r w:rsidRPr="00576D5C">
        <w:rPr>
          <w:rFonts w:asciiTheme="minorBidi" w:hAnsiTheme="minorBidi"/>
          <w:rtl/>
        </w:rPr>
        <w:t>, לא נתכוין להזיק</w:t>
      </w:r>
      <w:r w:rsidR="001E65D2">
        <w:rPr>
          <w:rStyle w:val="ab"/>
          <w:rFonts w:asciiTheme="minorBidi" w:hAnsiTheme="minorBidi"/>
          <w:rtl/>
        </w:rPr>
        <w:footnoteReference w:id="1219"/>
      </w:r>
      <w:r w:rsidRPr="00576D5C">
        <w:rPr>
          <w:rFonts w:asciiTheme="minorBidi" w:hAnsiTheme="minorBidi"/>
          <w:rtl/>
        </w:rPr>
        <w:t xml:space="preserve">. </w:t>
      </w:r>
      <w:r w:rsidRPr="000E49B4">
        <w:rPr>
          <w:rFonts w:asciiTheme="minorBidi" w:hAnsiTheme="minorBidi"/>
          <w:sz w:val="18"/>
          <w:szCs w:val="18"/>
          <w:rtl/>
        </w:rPr>
        <w:t>הגה: ויש חולקין</w:t>
      </w:r>
      <w:r w:rsidR="000134EB">
        <w:rPr>
          <w:rStyle w:val="ab"/>
          <w:rFonts w:asciiTheme="minorBidi" w:hAnsiTheme="minorBidi"/>
          <w:sz w:val="18"/>
          <w:szCs w:val="18"/>
          <w:rtl/>
        </w:rPr>
        <w:footnoteReference w:id="1220"/>
      </w:r>
      <w:r w:rsidRPr="000E49B4">
        <w:rPr>
          <w:rFonts w:asciiTheme="minorBidi" w:hAnsiTheme="minorBidi"/>
          <w:sz w:val="18"/>
          <w:szCs w:val="18"/>
          <w:rtl/>
        </w:rPr>
        <w:t xml:space="preserve"> </w:t>
      </w:r>
      <w:r w:rsidRPr="00F207F5">
        <w:rPr>
          <w:rFonts w:asciiTheme="minorBidi" w:hAnsiTheme="minorBidi"/>
          <w:sz w:val="16"/>
          <w:szCs w:val="16"/>
          <w:rtl/>
        </w:rPr>
        <w:t>(טור בשם הרא"ש</w:t>
      </w:r>
      <w:r w:rsidR="00F207F5" w:rsidRPr="00F207F5">
        <w:rPr>
          <w:rFonts w:asciiTheme="minorBidi" w:hAnsiTheme="minorBidi" w:hint="cs"/>
          <w:sz w:val="16"/>
          <w:szCs w:val="16"/>
          <w:rtl/>
        </w:rPr>
        <w:t xml:space="preserve"> </w:t>
      </w:r>
      <w:r w:rsidRPr="00F207F5">
        <w:rPr>
          <w:rFonts w:asciiTheme="minorBidi" w:hAnsiTheme="minorBidi"/>
          <w:sz w:val="16"/>
          <w:szCs w:val="16"/>
          <w:rtl/>
        </w:rPr>
        <w:t>ועוד פוסקים</w:t>
      </w:r>
      <w:r w:rsidR="00F207F5" w:rsidRPr="00F207F5">
        <w:rPr>
          <w:rFonts w:asciiTheme="minorBidi" w:hAnsiTheme="minorBidi" w:hint="cs"/>
          <w:sz w:val="16"/>
          <w:szCs w:val="16"/>
          <w:rtl/>
        </w:rPr>
        <w:t>)</w:t>
      </w:r>
      <w:r w:rsidRPr="000E49B4">
        <w:rPr>
          <w:rFonts w:asciiTheme="minorBidi" w:hAnsiTheme="minorBidi"/>
          <w:sz w:val="18"/>
          <w:szCs w:val="18"/>
          <w:rtl/>
        </w:rPr>
        <w:t>. ולענין הוראת איסור והיתר, אם הגיע להוראה, אע</w:t>
      </w:r>
      <w:r w:rsidR="00F207F5">
        <w:rPr>
          <w:rFonts w:asciiTheme="minorBidi" w:hAnsiTheme="minorBidi" w:hint="cs"/>
          <w:sz w:val="18"/>
          <w:szCs w:val="18"/>
          <w:rtl/>
        </w:rPr>
        <w:t>"</w:t>
      </w:r>
      <w:r w:rsidRPr="000E49B4">
        <w:rPr>
          <w:rFonts w:asciiTheme="minorBidi" w:hAnsiTheme="minorBidi"/>
          <w:sz w:val="18"/>
          <w:szCs w:val="18"/>
          <w:rtl/>
        </w:rPr>
        <w:t>פ</w:t>
      </w:r>
      <w:r w:rsidR="00F207F5">
        <w:rPr>
          <w:rFonts w:asciiTheme="minorBidi" w:hAnsiTheme="minorBidi" w:hint="cs"/>
          <w:sz w:val="18"/>
          <w:szCs w:val="18"/>
          <w:rtl/>
        </w:rPr>
        <w:t xml:space="preserve"> </w:t>
      </w:r>
      <w:r w:rsidRPr="000E49B4">
        <w:rPr>
          <w:rFonts w:asciiTheme="minorBidi" w:hAnsiTheme="minorBidi"/>
          <w:sz w:val="18"/>
          <w:szCs w:val="18"/>
          <w:rtl/>
        </w:rPr>
        <w:t>שאינו סמוך דינו כמומחה</w:t>
      </w:r>
      <w:r w:rsidR="000134EB">
        <w:rPr>
          <w:rStyle w:val="ab"/>
          <w:rFonts w:asciiTheme="minorBidi" w:hAnsiTheme="minorBidi"/>
          <w:sz w:val="18"/>
          <w:szCs w:val="18"/>
          <w:rtl/>
        </w:rPr>
        <w:footnoteReference w:id="1221"/>
      </w:r>
      <w:r w:rsidRPr="000E49B4">
        <w:rPr>
          <w:rFonts w:asciiTheme="minorBidi" w:hAnsiTheme="minorBidi"/>
          <w:sz w:val="18"/>
          <w:szCs w:val="18"/>
          <w:rtl/>
        </w:rPr>
        <w:t xml:space="preserve"> </w:t>
      </w:r>
      <w:r w:rsidRPr="00F207F5">
        <w:rPr>
          <w:rFonts w:asciiTheme="minorBidi" w:hAnsiTheme="minorBidi"/>
          <w:sz w:val="16"/>
          <w:szCs w:val="16"/>
          <w:rtl/>
        </w:rPr>
        <w:t>(נ</w:t>
      </w:r>
      <w:r w:rsidR="00F207F5" w:rsidRPr="00F207F5">
        <w:rPr>
          <w:rFonts w:asciiTheme="minorBidi" w:hAnsiTheme="minorBidi" w:hint="cs"/>
          <w:sz w:val="16"/>
          <w:szCs w:val="16"/>
          <w:rtl/>
        </w:rPr>
        <w:t>מוק</w:t>
      </w:r>
      <w:r w:rsidRPr="00F207F5">
        <w:rPr>
          <w:rFonts w:asciiTheme="minorBidi" w:hAnsiTheme="minorBidi"/>
          <w:sz w:val="16"/>
          <w:szCs w:val="16"/>
          <w:rtl/>
        </w:rPr>
        <w:t>"י)</w:t>
      </w:r>
      <w:r w:rsidRPr="000E49B4">
        <w:rPr>
          <w:rFonts w:asciiTheme="minorBidi" w:hAnsiTheme="minorBidi"/>
          <w:sz w:val="18"/>
          <w:szCs w:val="18"/>
          <w:rtl/>
        </w:rPr>
        <w:t>. ועיין בי</w:t>
      </w:r>
      <w:r w:rsidR="00F207F5">
        <w:rPr>
          <w:rFonts w:asciiTheme="minorBidi" w:hAnsiTheme="minorBidi" w:hint="cs"/>
          <w:sz w:val="18"/>
          <w:szCs w:val="18"/>
          <w:rtl/>
        </w:rPr>
        <w:t>ו</w:t>
      </w:r>
      <w:r w:rsidRPr="000E49B4">
        <w:rPr>
          <w:rFonts w:asciiTheme="minorBidi" w:hAnsiTheme="minorBidi"/>
          <w:sz w:val="18"/>
          <w:szCs w:val="18"/>
          <w:rtl/>
        </w:rPr>
        <w:t>"ד סי' רמ"ב מדין הסמיכות בזמן הזה.</w:t>
      </w:r>
      <w:r w:rsidRPr="00576D5C">
        <w:rPr>
          <w:rFonts w:asciiTheme="minorBidi" w:hAnsiTheme="minorBidi"/>
          <w:rtl/>
        </w:rPr>
        <w:t xml:space="preserve"> </w:t>
      </w:r>
    </w:p>
    <w:p w14:paraId="7AB59D95" w14:textId="77777777" w:rsidR="000E49B4" w:rsidRPr="00576D5C" w:rsidRDefault="000E49B4" w:rsidP="00576D5C">
      <w:pPr>
        <w:rPr>
          <w:rFonts w:asciiTheme="minorBidi" w:hAnsiTheme="minorBidi"/>
          <w:rtl/>
        </w:rPr>
      </w:pPr>
    </w:p>
    <w:p w14:paraId="246B63ED" w14:textId="77777777" w:rsidR="00E137BC" w:rsidRDefault="00E137BC" w:rsidP="006567B0">
      <w:pPr>
        <w:pStyle w:val="2"/>
        <w:rPr>
          <w:rtl/>
        </w:rPr>
      </w:pPr>
      <w:bookmarkStart w:id="179" w:name="_Toc24883662"/>
      <w:r w:rsidRPr="00576D5C">
        <w:rPr>
          <w:rtl/>
        </w:rPr>
        <w:t>סעיף ב</w:t>
      </w:r>
      <w:r w:rsidR="000E49B4">
        <w:rPr>
          <w:rFonts w:hint="cs"/>
          <w:rtl/>
        </w:rPr>
        <w:t>:</w:t>
      </w:r>
      <w:r w:rsidR="007E745D">
        <w:rPr>
          <w:rFonts w:hint="cs"/>
          <w:rtl/>
        </w:rPr>
        <w:t xml:space="preserve"> </w:t>
      </w:r>
      <w:r w:rsidR="00443258">
        <w:rPr>
          <w:rFonts w:hint="cs"/>
          <w:rtl/>
        </w:rPr>
        <w:t xml:space="preserve">טעות בשיקול הדעת </w:t>
      </w:r>
      <w:r w:rsidR="00443258">
        <w:rPr>
          <w:rtl/>
        </w:rPr>
        <w:t>–</w:t>
      </w:r>
      <w:r w:rsidR="00443258">
        <w:rPr>
          <w:rFonts w:hint="cs"/>
          <w:rtl/>
        </w:rPr>
        <w:t xml:space="preserve"> במומחה שנטל רשותא או שקיבלוהו עלייהו</w:t>
      </w:r>
      <w:r w:rsidR="007E745D">
        <w:rPr>
          <w:rFonts w:hint="cs"/>
          <w:rtl/>
        </w:rPr>
        <w:t>.</w:t>
      </w:r>
      <w:bookmarkEnd w:id="179"/>
    </w:p>
    <w:p w14:paraId="46E54C3F" w14:textId="77777777" w:rsidR="00F207F5" w:rsidRPr="002008FD" w:rsidRDefault="00F207F5" w:rsidP="00F207F5">
      <w:pPr>
        <w:rPr>
          <w:rtl/>
        </w:rPr>
      </w:pPr>
      <w:bookmarkStart w:id="180" w:name="_Hlk18942640"/>
      <w:r w:rsidRPr="00EC5ADB">
        <w:rPr>
          <w:rFonts w:cs="Arial"/>
          <w:b/>
          <w:bCs/>
          <w:rtl/>
        </w:rPr>
        <w:t xml:space="preserve">סנהדרין </w:t>
      </w:r>
      <w:r w:rsidRPr="00EC5ADB">
        <w:rPr>
          <w:rFonts w:cs="Arial" w:hint="cs"/>
          <w:b/>
          <w:bCs/>
          <w:sz w:val="16"/>
          <w:szCs w:val="16"/>
          <w:rtl/>
        </w:rPr>
        <w:t>(</w:t>
      </w:r>
      <w:r w:rsidRPr="00EC5ADB">
        <w:rPr>
          <w:rFonts w:cs="Arial"/>
          <w:b/>
          <w:bCs/>
          <w:sz w:val="16"/>
          <w:szCs w:val="16"/>
          <w:rtl/>
        </w:rPr>
        <w:t>פ</w:t>
      </w:r>
      <w:r>
        <w:rPr>
          <w:rFonts w:cs="Arial" w:hint="cs"/>
          <w:b/>
          <w:bCs/>
          <w:sz w:val="16"/>
          <w:szCs w:val="16"/>
          <w:rtl/>
        </w:rPr>
        <w:t>"ק</w:t>
      </w:r>
      <w:r w:rsidRPr="00EC5ADB">
        <w:rPr>
          <w:rFonts w:cs="Arial" w:hint="cs"/>
          <w:b/>
          <w:bCs/>
          <w:sz w:val="16"/>
          <w:szCs w:val="16"/>
          <w:rtl/>
        </w:rPr>
        <w:t>)</w:t>
      </w:r>
      <w:r w:rsidRPr="00EC5ADB">
        <w:rPr>
          <w:rFonts w:cs="Arial"/>
          <w:b/>
          <w:bCs/>
          <w:sz w:val="16"/>
          <w:szCs w:val="16"/>
          <w:rtl/>
        </w:rPr>
        <w:t xml:space="preserve"> </w:t>
      </w:r>
      <w:r>
        <w:rPr>
          <w:rFonts w:cs="Arial" w:hint="cs"/>
          <w:b/>
          <w:bCs/>
          <w:rtl/>
        </w:rPr>
        <w:t>ה</w:t>
      </w:r>
      <w:r w:rsidR="00AC7A89">
        <w:rPr>
          <w:rStyle w:val="ab"/>
          <w:rFonts w:cs="Arial"/>
          <w:b/>
          <w:bCs/>
          <w:rtl/>
        </w:rPr>
        <w:footnoteReference w:id="1222"/>
      </w:r>
      <w:r w:rsidRPr="00EC5ADB">
        <w:rPr>
          <w:rFonts w:cs="Arial" w:hint="cs"/>
          <w:b/>
          <w:bCs/>
          <w:rtl/>
        </w:rPr>
        <w:t xml:space="preserve"> ע"א:</w:t>
      </w:r>
      <w:r>
        <w:rPr>
          <w:rFonts w:cs="Arial"/>
          <w:rtl/>
        </w:rPr>
        <w:t xml:space="preserve"> </w:t>
      </w:r>
      <w:bookmarkEnd w:id="180"/>
      <w:r>
        <w:rPr>
          <w:rFonts w:cs="Arial"/>
          <w:rtl/>
        </w:rPr>
        <w:t xml:space="preserve">ואם היה מומחה לרבים - דן אפילו יחידי. </w:t>
      </w:r>
      <w:r w:rsidRPr="002008FD">
        <w:rPr>
          <w:rFonts w:cs="Arial"/>
          <w:u w:val="single"/>
          <w:rtl/>
        </w:rPr>
        <w:t>אמר רב נחמן</w:t>
      </w:r>
      <w:r>
        <w:rPr>
          <w:rFonts w:cs="Arial"/>
          <w:rtl/>
        </w:rPr>
        <w:t xml:space="preserve">: כגון אנא דן דיני ממונות ביחידי. </w:t>
      </w:r>
      <w:r w:rsidRPr="002008FD">
        <w:rPr>
          <w:rFonts w:cs="Arial"/>
          <w:u w:val="single"/>
          <w:rtl/>
        </w:rPr>
        <w:t>וכן</w:t>
      </w:r>
      <w:r>
        <w:rPr>
          <w:rFonts w:cs="Arial"/>
          <w:rtl/>
        </w:rPr>
        <w:t xml:space="preserve"> </w:t>
      </w:r>
      <w:r w:rsidRPr="002008FD">
        <w:rPr>
          <w:rFonts w:cs="Arial"/>
          <w:u w:val="single"/>
          <w:rtl/>
        </w:rPr>
        <w:t>אמר רבי חייא</w:t>
      </w:r>
      <w:r>
        <w:rPr>
          <w:rFonts w:cs="Arial"/>
          <w:rtl/>
        </w:rPr>
        <w:t>: כגון אנא דן דיני ממונות ביחידי. איבעיא להו: כגון אנא - דגמירנא וסבירנא, ונקיטנא רשותא</w:t>
      </w:r>
      <w:r w:rsidR="008D25DD">
        <w:rPr>
          <w:rFonts w:cs="Arial" w:hint="cs"/>
          <w:rtl/>
        </w:rPr>
        <w:t>.</w:t>
      </w:r>
      <w:r>
        <w:rPr>
          <w:rFonts w:cs="Arial"/>
          <w:rtl/>
        </w:rPr>
        <w:t xml:space="preserve"> אבל לא נקיט רשותא - דיניה לא דינא. או דילמא: אף על גב דלא נקיט רשותא דיניה דינא? תא שמע: דמר זוטרא בריה דרב נחמן דן דינא וטעה, אתא לקמיה דרב יוסף, אמר לו: אם קיבלוך עלייהו - לא תשלם, ואי לא - זיל שלים. שמע מינה: כי לא נקיט רשותא - דיניה דינא, שמע מינה. </w:t>
      </w:r>
      <w:r w:rsidRPr="002008FD">
        <w:rPr>
          <w:rFonts w:cs="Arial"/>
          <w:u w:val="single"/>
          <w:rtl/>
        </w:rPr>
        <w:t>אמר רב</w:t>
      </w:r>
      <w:r>
        <w:rPr>
          <w:rFonts w:cs="Arial"/>
          <w:rtl/>
        </w:rPr>
        <w:t xml:space="preserve">: האי מאן דבעי למידן דינא, ואי טעה מיבעי למיפטרא - לישקול רשותא מבי ריש גלותא. </w:t>
      </w:r>
      <w:r w:rsidRPr="002008FD">
        <w:rPr>
          <w:rFonts w:cs="Arial"/>
          <w:u w:val="single"/>
          <w:rtl/>
        </w:rPr>
        <w:t>וכן אמר שמואל</w:t>
      </w:r>
      <w:r>
        <w:rPr>
          <w:rFonts w:cs="Arial"/>
          <w:rtl/>
        </w:rPr>
        <w:t>: לשקול רשותא מבי ריש גלותא.</w:t>
      </w:r>
      <w:r w:rsidR="00AC7A89">
        <w:rPr>
          <w:rFonts w:hint="cs"/>
          <w:rtl/>
        </w:rPr>
        <w:t xml:space="preserve"> </w:t>
      </w:r>
    </w:p>
    <w:p w14:paraId="65AADBDC" w14:textId="77777777" w:rsidR="00F207F5" w:rsidRPr="00AC7A89" w:rsidRDefault="00F207F5" w:rsidP="00AC7A89">
      <w:pPr>
        <w:rPr>
          <w:rtl/>
        </w:rPr>
      </w:pPr>
      <w:bookmarkStart w:id="181" w:name="_Hlk18942646"/>
      <w:r>
        <w:rPr>
          <w:rFonts w:cs="Arial" w:hint="cs"/>
          <w:b/>
          <w:bCs/>
          <w:rtl/>
        </w:rPr>
        <w:t xml:space="preserve">בכורות </w:t>
      </w:r>
      <w:r w:rsidRPr="00206F0C">
        <w:rPr>
          <w:rFonts w:cs="Arial" w:hint="cs"/>
          <w:b/>
          <w:bCs/>
          <w:sz w:val="16"/>
          <w:szCs w:val="16"/>
          <w:rtl/>
        </w:rPr>
        <w:t>(פ' עד כמה)</w:t>
      </w:r>
      <w:r>
        <w:rPr>
          <w:rFonts w:cs="Arial" w:hint="cs"/>
          <w:b/>
          <w:bCs/>
          <w:rtl/>
        </w:rPr>
        <w:t xml:space="preserve"> כח</w:t>
      </w:r>
      <w:r w:rsidR="00AC7A89">
        <w:rPr>
          <w:rStyle w:val="ab"/>
          <w:rFonts w:cs="Arial"/>
          <w:b/>
          <w:bCs/>
          <w:rtl/>
        </w:rPr>
        <w:footnoteReference w:id="1223"/>
      </w:r>
      <w:r>
        <w:rPr>
          <w:rFonts w:cs="Arial" w:hint="cs"/>
          <w:b/>
          <w:bCs/>
          <w:rtl/>
        </w:rPr>
        <w:t xml:space="preserve"> ע"ב: </w:t>
      </w:r>
      <w:bookmarkEnd w:id="181"/>
      <w:r w:rsidRPr="00206F0C">
        <w:rPr>
          <w:rFonts w:cs="Arial"/>
          <w:u w:val="double"/>
          <w:rtl/>
        </w:rPr>
        <w:t>מתני'</w:t>
      </w:r>
      <w:r>
        <w:rPr>
          <w:rFonts w:cs="Arial" w:hint="cs"/>
          <w:rtl/>
        </w:rPr>
        <w:t>:</w:t>
      </w:r>
      <w:r w:rsidRPr="00206F0C">
        <w:rPr>
          <w:rFonts w:cs="Arial"/>
          <w:rtl/>
        </w:rPr>
        <w:t xml:space="preserve"> דן את הדין, זיכה את החייב וחייב את הזכאי, טימא את הטהור וטיהר את הטמא - מה שעשה עשוי, וישלם מביתו, ואם היה מומחה לב"ד - פטור מלשלם. </w:t>
      </w:r>
      <w:r>
        <w:rPr>
          <w:rFonts w:cs="Arial" w:hint="cs"/>
          <w:rtl/>
        </w:rPr>
        <w:t xml:space="preserve">    </w:t>
      </w:r>
      <w:r w:rsidRPr="00206F0C">
        <w:rPr>
          <w:rFonts w:cs="Arial"/>
          <w:u w:val="double"/>
          <w:rtl/>
        </w:rPr>
        <w:t>גמ'</w:t>
      </w:r>
      <w:r>
        <w:rPr>
          <w:rFonts w:cs="Arial" w:hint="cs"/>
          <w:rtl/>
        </w:rPr>
        <w:t>:</w:t>
      </w:r>
      <w:r w:rsidRPr="00206F0C">
        <w:rPr>
          <w:rFonts w:cs="Arial"/>
          <w:rtl/>
        </w:rPr>
        <w:t xml:space="preserve"> לימא תנן סתמא כר' מאיר דדאין דינא דגרמי? </w:t>
      </w:r>
      <w:r w:rsidRPr="00206F0C">
        <w:rPr>
          <w:rFonts w:cs="Arial"/>
          <w:u w:val="single"/>
          <w:rtl/>
        </w:rPr>
        <w:t>א"ר אילעא אמר רב</w:t>
      </w:r>
      <w:r w:rsidRPr="00206F0C">
        <w:rPr>
          <w:rFonts w:cs="Arial"/>
          <w:rtl/>
        </w:rPr>
        <w:t xml:space="preserve">: כגון שנשא ונתן ביד; בשלמא חייב את הזכאי - כגון שנשא ונתן ביד, אלא זיכה את החייב - היכי דמי? אי דאמר ליה פטור אתה - והא לא נשא ונתן ביד! </w:t>
      </w:r>
      <w:r w:rsidRPr="00206F0C">
        <w:rPr>
          <w:rFonts w:cs="Arial"/>
          <w:u w:val="single"/>
          <w:rtl/>
        </w:rPr>
        <w:t>אמר רבינא</w:t>
      </w:r>
      <w:r w:rsidRPr="00206F0C">
        <w:rPr>
          <w:rFonts w:cs="Arial"/>
          <w:rtl/>
        </w:rPr>
        <w:t xml:space="preserve">: כגון שהיה לו משכון ונטלו הימנו. </w:t>
      </w:r>
      <w:r w:rsidRPr="00A3703E">
        <w:rPr>
          <w:rFonts w:cs="Arial"/>
          <w:rtl/>
        </w:rPr>
        <w:t>טימא את הטהור - דאגע בהו שרץ טיהר את הטמא - שעירבן עם פירותיו</w:t>
      </w:r>
      <w:r>
        <w:rPr>
          <w:rFonts w:cs="Arial" w:hint="cs"/>
          <w:rtl/>
        </w:rPr>
        <w:t>.</w:t>
      </w:r>
    </w:p>
    <w:p w14:paraId="66C171FE" w14:textId="77777777" w:rsidR="00F207F5" w:rsidRDefault="00F207F5" w:rsidP="00F207F5">
      <w:pPr>
        <w:rPr>
          <w:rFonts w:cs="Arial"/>
          <w:rtl/>
        </w:rPr>
      </w:pPr>
      <w:bookmarkStart w:id="182" w:name="_Hlk18942653"/>
      <w:r w:rsidRPr="00EC5ADB">
        <w:rPr>
          <w:rFonts w:cs="Arial"/>
          <w:b/>
          <w:bCs/>
          <w:rtl/>
        </w:rPr>
        <w:t xml:space="preserve">סנהדרין </w:t>
      </w:r>
      <w:r w:rsidRPr="00EC5ADB">
        <w:rPr>
          <w:rFonts w:cs="Arial" w:hint="cs"/>
          <w:b/>
          <w:bCs/>
          <w:sz w:val="16"/>
          <w:szCs w:val="16"/>
          <w:rtl/>
        </w:rPr>
        <w:t>(</w:t>
      </w:r>
      <w:r w:rsidRPr="00EC5ADB">
        <w:rPr>
          <w:rFonts w:cs="Arial"/>
          <w:b/>
          <w:bCs/>
          <w:sz w:val="16"/>
          <w:szCs w:val="16"/>
          <w:rtl/>
        </w:rPr>
        <w:t>פ</w:t>
      </w:r>
      <w:r w:rsidRPr="00EC5ADB">
        <w:rPr>
          <w:rFonts w:cs="Arial" w:hint="cs"/>
          <w:b/>
          <w:bCs/>
          <w:sz w:val="16"/>
          <w:szCs w:val="16"/>
          <w:rtl/>
        </w:rPr>
        <w:t>'</w:t>
      </w:r>
      <w:r w:rsidRPr="00EC5ADB">
        <w:rPr>
          <w:rFonts w:cs="Arial"/>
          <w:b/>
          <w:bCs/>
          <w:sz w:val="16"/>
          <w:szCs w:val="16"/>
          <w:rtl/>
        </w:rPr>
        <w:t xml:space="preserve"> אחד דיני ממונות</w:t>
      </w:r>
      <w:r w:rsidRPr="00EC5ADB">
        <w:rPr>
          <w:rFonts w:cs="Arial" w:hint="cs"/>
          <w:b/>
          <w:bCs/>
          <w:sz w:val="16"/>
          <w:szCs w:val="16"/>
          <w:rtl/>
        </w:rPr>
        <w:t>)</w:t>
      </w:r>
      <w:r w:rsidRPr="00EC5ADB">
        <w:rPr>
          <w:rFonts w:cs="Arial"/>
          <w:b/>
          <w:bCs/>
          <w:sz w:val="16"/>
          <w:szCs w:val="16"/>
          <w:rtl/>
        </w:rPr>
        <w:t xml:space="preserve"> </w:t>
      </w:r>
      <w:r w:rsidRPr="00EC5ADB">
        <w:rPr>
          <w:rFonts w:cs="Arial"/>
          <w:b/>
          <w:bCs/>
          <w:rtl/>
        </w:rPr>
        <w:t>לב</w:t>
      </w:r>
      <w:r w:rsidR="00AC7A89">
        <w:rPr>
          <w:rStyle w:val="ab"/>
          <w:rFonts w:cs="Arial"/>
          <w:b/>
          <w:bCs/>
          <w:rtl/>
        </w:rPr>
        <w:footnoteReference w:id="1224"/>
      </w:r>
      <w:r w:rsidRPr="00EC5ADB">
        <w:rPr>
          <w:rFonts w:cs="Arial" w:hint="cs"/>
          <w:b/>
          <w:bCs/>
          <w:rtl/>
        </w:rPr>
        <w:t xml:space="preserve"> ע"א:</w:t>
      </w:r>
      <w:r>
        <w:rPr>
          <w:rFonts w:cs="Arial"/>
          <w:rtl/>
        </w:rPr>
        <w:t xml:space="preserve"> </w:t>
      </w:r>
      <w:bookmarkEnd w:id="182"/>
      <w:r w:rsidRPr="00EC5ADB">
        <w:rPr>
          <w:rFonts w:cs="Arial"/>
          <w:u w:val="double"/>
          <w:rtl/>
        </w:rPr>
        <w:t>משנה</w:t>
      </w:r>
      <w:r>
        <w:rPr>
          <w:rFonts w:cs="Arial" w:hint="cs"/>
          <w:rtl/>
        </w:rPr>
        <w:t>:</w:t>
      </w:r>
      <w:r w:rsidRPr="00EC5ADB">
        <w:rPr>
          <w:rFonts w:cs="Arial"/>
          <w:rtl/>
        </w:rPr>
        <w:t xml:space="preserve"> אחד דיני ממונות</w:t>
      </w:r>
      <w:r>
        <w:rPr>
          <w:rFonts w:cs="Arial" w:hint="cs"/>
          <w:rtl/>
        </w:rPr>
        <w:t>...</w:t>
      </w:r>
      <w:r w:rsidRPr="00EC5ADB">
        <w:rPr>
          <w:rFonts w:cs="Arial"/>
          <w:rtl/>
        </w:rPr>
        <w:t xml:space="preserve"> דיני ממונות - מחזירין</w:t>
      </w:r>
      <w:r>
        <w:rPr>
          <w:rStyle w:val="ab"/>
          <w:rFonts w:cs="Arial"/>
          <w:rtl/>
        </w:rPr>
        <w:footnoteReference w:id="1225"/>
      </w:r>
      <w:r w:rsidRPr="00EC5ADB">
        <w:rPr>
          <w:rFonts w:cs="Arial"/>
          <w:rtl/>
        </w:rPr>
        <w:t xml:space="preserve"> בין לזכות בין לחובה</w:t>
      </w:r>
      <w:r>
        <w:rPr>
          <w:rFonts w:cs="Arial" w:hint="cs"/>
          <w:rtl/>
        </w:rPr>
        <w:t xml:space="preserve">...   </w:t>
      </w:r>
      <w:r w:rsidRPr="00EC5ADB">
        <w:rPr>
          <w:rFonts w:cs="Arial"/>
          <w:u w:val="double"/>
          <w:rtl/>
        </w:rPr>
        <w:t>גמרא</w:t>
      </w:r>
      <w:r w:rsidRPr="00EC5ADB">
        <w:rPr>
          <w:rFonts w:cs="Arial" w:hint="cs"/>
          <w:u w:val="double"/>
          <w:rtl/>
        </w:rPr>
        <w:t xml:space="preserve"> </w:t>
      </w:r>
      <w:r w:rsidRPr="00EC5ADB">
        <w:rPr>
          <w:rFonts w:cs="Arial" w:hint="cs"/>
          <w:sz w:val="14"/>
          <w:szCs w:val="14"/>
          <w:u w:val="double"/>
          <w:rtl/>
        </w:rPr>
        <w:t>(</w:t>
      </w:r>
      <w:r w:rsidRPr="00EC5ADB">
        <w:rPr>
          <w:rFonts w:cs="Arial"/>
          <w:sz w:val="14"/>
          <w:szCs w:val="14"/>
          <w:u w:val="double"/>
          <w:rtl/>
        </w:rPr>
        <w:t>לג.)</w:t>
      </w:r>
      <w:r w:rsidRPr="00EC5ADB">
        <w:rPr>
          <w:rFonts w:cs="Arial" w:hint="cs"/>
          <w:u w:val="double"/>
          <w:rtl/>
        </w:rPr>
        <w:t>:</w:t>
      </w:r>
      <w:r>
        <w:rPr>
          <w:rFonts w:cs="Arial"/>
          <w:rtl/>
        </w:rPr>
        <w:t xml:space="preserve"> </w:t>
      </w:r>
      <w:r w:rsidRPr="00EC5ADB">
        <w:rPr>
          <w:rFonts w:cs="Arial"/>
          <w:rtl/>
        </w:rPr>
        <w:t>דיני ממונות מחזירין כו'. ורמינהו</w:t>
      </w:r>
      <w:r>
        <w:rPr>
          <w:rFonts w:cs="Arial" w:hint="cs"/>
          <w:sz w:val="14"/>
          <w:szCs w:val="14"/>
          <w:rtl/>
        </w:rPr>
        <w:t xml:space="preserve"> </w:t>
      </w:r>
      <w:r w:rsidRPr="00EC5ADB">
        <w:rPr>
          <w:rFonts w:cs="Arial"/>
          <w:sz w:val="14"/>
          <w:szCs w:val="14"/>
          <w:rtl/>
        </w:rPr>
        <w:t>(בכורות כח:)</w:t>
      </w:r>
      <w:r w:rsidRPr="00EC5ADB">
        <w:rPr>
          <w:rFonts w:cs="Arial"/>
          <w:rtl/>
        </w:rPr>
        <w:t>: דן את הדין, זיכה את החייב חייב את הזכאי, טימא את הטהור, טיהר את הטמא - מה שעשה עשוי</w:t>
      </w:r>
      <w:r>
        <w:rPr>
          <w:rStyle w:val="ab"/>
          <w:rFonts w:cs="Arial"/>
          <w:rtl/>
        </w:rPr>
        <w:footnoteReference w:id="1226"/>
      </w:r>
      <w:r w:rsidRPr="00EC5ADB">
        <w:rPr>
          <w:rFonts w:cs="Arial"/>
          <w:rtl/>
        </w:rPr>
        <w:t>, וישלם מבית</w:t>
      </w:r>
      <w:r>
        <w:rPr>
          <w:rFonts w:cs="Arial" w:hint="cs"/>
          <w:rtl/>
        </w:rPr>
        <w:t>ו</w:t>
      </w:r>
      <w:r w:rsidRPr="00EC5ADB">
        <w:rPr>
          <w:rFonts w:cs="Arial"/>
          <w:rtl/>
        </w:rPr>
        <w:t xml:space="preserve">! </w:t>
      </w:r>
      <w:r w:rsidRPr="00EC5ADB">
        <w:rPr>
          <w:rFonts w:cs="Arial"/>
          <w:u w:val="single"/>
          <w:rtl/>
        </w:rPr>
        <w:t>אמר רב יוסף</w:t>
      </w:r>
      <w:r w:rsidRPr="00EC5ADB">
        <w:rPr>
          <w:rFonts w:cs="Arial"/>
          <w:rtl/>
        </w:rPr>
        <w:t>: לא קשיא: כאן - במומחה</w:t>
      </w:r>
      <w:r>
        <w:rPr>
          <w:rStyle w:val="ab"/>
          <w:rFonts w:cs="Arial"/>
          <w:rtl/>
        </w:rPr>
        <w:footnoteReference w:id="1227"/>
      </w:r>
      <w:r w:rsidRPr="00EC5ADB">
        <w:rPr>
          <w:rFonts w:cs="Arial"/>
          <w:rtl/>
        </w:rPr>
        <w:t>, כאן - בשאינו מומחה. ובמומחה מחזירין? והקתני: אם היה מומחה לבית דין - פטור מלשלם</w:t>
      </w:r>
      <w:r>
        <w:rPr>
          <w:rStyle w:val="ab"/>
          <w:rFonts w:cs="Arial"/>
          <w:rtl/>
        </w:rPr>
        <w:footnoteReference w:id="1228"/>
      </w:r>
      <w:r w:rsidRPr="00EC5ADB">
        <w:rPr>
          <w:rFonts w:cs="Arial"/>
          <w:rtl/>
        </w:rPr>
        <w:t xml:space="preserve">! </w:t>
      </w:r>
      <w:r w:rsidRPr="00EC0169">
        <w:rPr>
          <w:rFonts w:cs="Arial"/>
          <w:u w:val="single"/>
          <w:rtl/>
        </w:rPr>
        <w:t>אמר רב נחמן</w:t>
      </w:r>
      <w:r w:rsidRPr="00EC5ADB">
        <w:rPr>
          <w:rFonts w:cs="Arial"/>
          <w:rtl/>
        </w:rPr>
        <w:t>: כאן - שיש גדול הימנו</w:t>
      </w:r>
      <w:r>
        <w:rPr>
          <w:rStyle w:val="ab"/>
          <w:rFonts w:cs="Arial"/>
          <w:rtl/>
        </w:rPr>
        <w:footnoteReference w:id="1229"/>
      </w:r>
      <w:r w:rsidRPr="00EC5ADB">
        <w:rPr>
          <w:rFonts w:cs="Arial"/>
          <w:rtl/>
        </w:rPr>
        <w:t xml:space="preserve"> בחכמה ובמנין, כאן - שאין גדול הימנו</w:t>
      </w:r>
      <w:r>
        <w:rPr>
          <w:rStyle w:val="ab"/>
          <w:rFonts w:cs="Arial"/>
          <w:rtl/>
        </w:rPr>
        <w:footnoteReference w:id="1230"/>
      </w:r>
      <w:r w:rsidRPr="00EC5ADB">
        <w:rPr>
          <w:rFonts w:cs="Arial"/>
          <w:rtl/>
        </w:rPr>
        <w:t xml:space="preserve"> בחכמה ובמנין. </w:t>
      </w:r>
      <w:r w:rsidRPr="00EC0169">
        <w:rPr>
          <w:rFonts w:cs="Arial"/>
          <w:u w:val="single"/>
          <w:rtl/>
        </w:rPr>
        <w:t>רב ששת אמר</w:t>
      </w:r>
      <w:r w:rsidRPr="00EC5ADB">
        <w:rPr>
          <w:rFonts w:cs="Arial"/>
          <w:rtl/>
        </w:rPr>
        <w:t>: כאן - שטעה בדבר משנה</w:t>
      </w:r>
      <w:r>
        <w:rPr>
          <w:rStyle w:val="ab"/>
          <w:rFonts w:cs="Arial"/>
          <w:rtl/>
        </w:rPr>
        <w:footnoteReference w:id="1231"/>
      </w:r>
      <w:r w:rsidRPr="00EC5ADB">
        <w:rPr>
          <w:rFonts w:cs="Arial"/>
          <w:rtl/>
        </w:rPr>
        <w:t xml:space="preserve">, כאן - שטעה בשיקול הדעת. דאמר רב ששת אמר רב אסי: טעה בדבר משנה - חוזר, טעה בשיקול הדעת - אינו חוזר. </w:t>
      </w:r>
      <w:r w:rsidRPr="00EC0169">
        <w:rPr>
          <w:rFonts w:cs="Arial"/>
          <w:u w:val="single"/>
          <w:rtl/>
        </w:rPr>
        <w:t xml:space="preserve">אמר ליה </w:t>
      </w:r>
      <w:r w:rsidRPr="00EC0169">
        <w:rPr>
          <w:rFonts w:cs="Arial"/>
          <w:u w:val="single"/>
          <w:rtl/>
        </w:rPr>
        <w:lastRenderedPageBreak/>
        <w:t>רבינא לרב אשי</w:t>
      </w:r>
      <w:r w:rsidRPr="00EC5ADB">
        <w:rPr>
          <w:rFonts w:cs="Arial"/>
          <w:rtl/>
        </w:rPr>
        <w:t>: אפילו טעה ברבי חייא</w:t>
      </w:r>
      <w:r>
        <w:rPr>
          <w:rStyle w:val="ab"/>
          <w:rFonts w:cs="Arial"/>
          <w:rtl/>
        </w:rPr>
        <w:footnoteReference w:id="1232"/>
      </w:r>
      <w:r w:rsidRPr="00EC5ADB">
        <w:rPr>
          <w:rFonts w:cs="Arial"/>
          <w:rtl/>
        </w:rPr>
        <w:t xml:space="preserve"> ורבי אושעיא? </w:t>
      </w:r>
      <w:r w:rsidRPr="00EC0169">
        <w:rPr>
          <w:rFonts w:cs="Arial"/>
          <w:u w:val="single"/>
          <w:rtl/>
        </w:rPr>
        <w:t>אמר ליה</w:t>
      </w:r>
      <w:r w:rsidRPr="00EC5ADB">
        <w:rPr>
          <w:rFonts w:cs="Arial"/>
          <w:rtl/>
        </w:rPr>
        <w:t>: אין. אפילו בדרב ושמואל</w:t>
      </w:r>
      <w:r>
        <w:rPr>
          <w:rStyle w:val="ab"/>
          <w:rFonts w:cs="Arial"/>
          <w:rtl/>
        </w:rPr>
        <w:footnoteReference w:id="1233"/>
      </w:r>
      <w:r w:rsidRPr="00EC5ADB">
        <w:rPr>
          <w:rFonts w:cs="Arial"/>
          <w:rtl/>
        </w:rPr>
        <w:t xml:space="preserve">? </w:t>
      </w:r>
      <w:r w:rsidRPr="00EC0169">
        <w:rPr>
          <w:rFonts w:cs="Arial"/>
          <w:u w:val="single"/>
          <w:rtl/>
        </w:rPr>
        <w:t>אמר ליה</w:t>
      </w:r>
      <w:r w:rsidRPr="00EC5ADB">
        <w:rPr>
          <w:rFonts w:cs="Arial"/>
          <w:rtl/>
        </w:rPr>
        <w:t xml:space="preserve">: אין. אפילו בדידי ודידך? </w:t>
      </w:r>
      <w:r w:rsidRPr="00EC0169">
        <w:rPr>
          <w:rFonts w:cs="Arial"/>
          <w:u w:val="single"/>
          <w:rtl/>
        </w:rPr>
        <w:t>אמר ליה</w:t>
      </w:r>
      <w:r w:rsidRPr="00EC5ADB">
        <w:rPr>
          <w:rFonts w:cs="Arial"/>
          <w:rtl/>
        </w:rPr>
        <w:t>: אטו אנן קטלי קני באגמא אנן</w:t>
      </w:r>
      <w:r>
        <w:rPr>
          <w:rStyle w:val="ab"/>
          <w:rFonts w:cs="Arial"/>
          <w:rtl/>
        </w:rPr>
        <w:footnoteReference w:id="1234"/>
      </w:r>
      <w:r w:rsidRPr="00EC5ADB">
        <w:rPr>
          <w:rFonts w:cs="Arial"/>
          <w:rtl/>
        </w:rPr>
        <w:t xml:space="preserve">? היכי דמי שיקול הדעת? </w:t>
      </w:r>
      <w:r w:rsidRPr="00EC0169">
        <w:rPr>
          <w:rFonts w:cs="Arial"/>
          <w:u w:val="single"/>
          <w:rtl/>
        </w:rPr>
        <w:t>אמר רב פפא</w:t>
      </w:r>
      <w:r w:rsidRPr="00EC5ADB">
        <w:rPr>
          <w:rFonts w:cs="Arial"/>
          <w:rtl/>
        </w:rPr>
        <w:t xml:space="preserve">: כגון תרי תנאי או תרי אמוראי דפליגי אהדדי, ולא איתמר הלכתא לא כמר ולא כמר, ואיקרי ועבד כחד מינייהו, </w:t>
      </w:r>
      <w:r>
        <w:rPr>
          <w:rStyle w:val="ab"/>
          <w:rFonts w:cs="Arial"/>
          <w:rtl/>
        </w:rPr>
        <w:footnoteReference w:id="1235"/>
      </w:r>
      <w:r w:rsidRPr="00EC5ADB">
        <w:rPr>
          <w:rFonts w:cs="Arial"/>
          <w:rtl/>
        </w:rPr>
        <w:t>וסוגיא דשמעתא אזלי כאידך - היינו שיקול הדעת</w:t>
      </w:r>
      <w:r w:rsidR="00976785">
        <w:rPr>
          <w:rStyle w:val="ab"/>
          <w:rFonts w:cs="Arial"/>
          <w:rtl/>
        </w:rPr>
        <w:footnoteReference w:id="1236"/>
      </w:r>
      <w:r w:rsidRPr="00EC5ADB">
        <w:rPr>
          <w:rFonts w:cs="Arial"/>
          <w:rtl/>
        </w:rPr>
        <w:t>.</w:t>
      </w:r>
      <w:r>
        <w:rPr>
          <w:rFonts w:cs="Arial" w:hint="cs"/>
          <w:rtl/>
        </w:rPr>
        <w:t xml:space="preserve">.. </w:t>
      </w:r>
      <w:r w:rsidRPr="00EC5ADB">
        <w:rPr>
          <w:rFonts w:cs="Arial"/>
          <w:u w:val="single"/>
          <w:rtl/>
        </w:rPr>
        <w:t>רב חסדא אמר</w:t>
      </w:r>
      <w:r w:rsidRPr="00EC5ADB">
        <w:rPr>
          <w:rFonts w:cs="Arial"/>
          <w:rtl/>
        </w:rPr>
        <w:t>: כאן - שנטל ונתן ביד</w:t>
      </w:r>
      <w:r>
        <w:rPr>
          <w:rStyle w:val="ab"/>
          <w:rFonts w:cs="Arial"/>
          <w:rtl/>
        </w:rPr>
        <w:footnoteReference w:id="1237"/>
      </w:r>
      <w:r w:rsidRPr="00EC5ADB">
        <w:rPr>
          <w:rFonts w:cs="Arial"/>
          <w:rtl/>
        </w:rPr>
        <w:t>, כאן - שלא נטל ונתן ביד</w:t>
      </w:r>
      <w:r>
        <w:rPr>
          <w:rStyle w:val="ab"/>
          <w:rFonts w:cs="Arial"/>
          <w:rtl/>
        </w:rPr>
        <w:footnoteReference w:id="1238"/>
      </w:r>
      <w:r w:rsidR="001E6D81">
        <w:rPr>
          <w:rFonts w:cs="Arial" w:hint="cs"/>
          <w:rtl/>
        </w:rPr>
        <w:t>.</w:t>
      </w:r>
    </w:p>
    <w:p w14:paraId="263F0CC5" w14:textId="77777777" w:rsidR="00F207F5" w:rsidRPr="00206F0C" w:rsidRDefault="00136811" w:rsidP="00F207F5">
      <w:pPr>
        <w:rPr>
          <w:rFonts w:cs="Arial"/>
          <w:u w:val="single"/>
          <w:rtl/>
        </w:rPr>
      </w:pPr>
      <w:r>
        <w:rPr>
          <w:rFonts w:cs="Arial" w:hint="cs"/>
          <w:u w:val="single"/>
          <w:rtl/>
        </w:rPr>
        <w:t>יחיד</w:t>
      </w:r>
      <w:r w:rsidR="00F207F5" w:rsidRPr="00206F0C">
        <w:rPr>
          <w:rFonts w:cs="Arial" w:hint="cs"/>
          <w:u w:val="single"/>
          <w:rtl/>
        </w:rPr>
        <w:t xml:space="preserve"> </w:t>
      </w:r>
      <w:r w:rsidR="00F207F5" w:rsidRPr="00136811">
        <w:rPr>
          <w:rFonts w:cs="Arial" w:hint="cs"/>
          <w:b/>
          <w:bCs/>
          <w:u w:val="single"/>
          <w:rtl/>
        </w:rPr>
        <w:t>מומחה</w:t>
      </w:r>
      <w:r w:rsidR="00F207F5" w:rsidRPr="00206F0C">
        <w:rPr>
          <w:rFonts w:cs="Arial" w:hint="cs"/>
          <w:u w:val="single"/>
          <w:rtl/>
        </w:rPr>
        <w:t xml:space="preserve"> שטע</w:t>
      </w:r>
      <w:r w:rsidR="00F207F5">
        <w:rPr>
          <w:rFonts w:cs="Arial" w:hint="cs"/>
          <w:u w:val="single"/>
          <w:rtl/>
        </w:rPr>
        <w:t xml:space="preserve">ה בשיקול הדעת </w:t>
      </w:r>
      <w:r w:rsidR="00F207F5" w:rsidRPr="00206F0C">
        <w:rPr>
          <w:rFonts w:cs="Arial" w:hint="cs"/>
          <w:sz w:val="16"/>
          <w:szCs w:val="16"/>
          <w:u w:val="single"/>
          <w:rtl/>
        </w:rPr>
        <w:t>(</w:t>
      </w:r>
      <w:r w:rsidR="00F207F5">
        <w:rPr>
          <w:rFonts w:cs="Arial" w:hint="cs"/>
          <w:sz w:val="16"/>
          <w:szCs w:val="16"/>
          <w:u w:val="single"/>
          <w:rtl/>
        </w:rPr>
        <w:t>וכן</w:t>
      </w:r>
      <w:r w:rsidR="00F207F5" w:rsidRPr="00206F0C">
        <w:rPr>
          <w:rFonts w:cs="Arial" w:hint="cs"/>
          <w:sz w:val="16"/>
          <w:szCs w:val="16"/>
          <w:u w:val="single"/>
          <w:rtl/>
        </w:rPr>
        <w:t xml:space="preserve"> שלשה הדיוטות</w:t>
      </w:r>
      <w:r w:rsidR="00F207F5">
        <w:rPr>
          <w:rFonts w:cs="Arial" w:hint="cs"/>
          <w:sz w:val="16"/>
          <w:szCs w:val="16"/>
          <w:u w:val="single"/>
          <w:rtl/>
        </w:rPr>
        <w:t xml:space="preserve"> שטעו</w:t>
      </w:r>
      <w:r w:rsidR="00F207F5" w:rsidRPr="00206F0C">
        <w:rPr>
          <w:rFonts w:cs="Arial" w:hint="cs"/>
          <w:sz w:val="16"/>
          <w:szCs w:val="16"/>
          <w:u w:val="single"/>
          <w:rtl/>
        </w:rPr>
        <w:t>)</w:t>
      </w:r>
      <w:r w:rsidR="00F207F5" w:rsidRPr="00206F0C">
        <w:rPr>
          <w:rFonts w:cs="Arial" w:hint="cs"/>
          <w:u w:val="single"/>
          <w:rtl/>
        </w:rPr>
        <w:t>:</w:t>
      </w:r>
    </w:p>
    <w:p w14:paraId="5BD99FD5" w14:textId="77777777" w:rsidR="00F207F5" w:rsidRPr="00A670B5" w:rsidRDefault="00F207F5" w:rsidP="00F207F5">
      <w:pPr>
        <w:ind w:left="360"/>
        <w:rPr>
          <w:rFonts w:cs="Arial"/>
          <w:u w:val="dotted"/>
          <w:rtl/>
        </w:rPr>
      </w:pPr>
      <w:r w:rsidRPr="00A670B5">
        <w:rPr>
          <w:rFonts w:cs="Arial"/>
          <w:u w:val="dotted"/>
          <w:rtl/>
        </w:rPr>
        <w:t>נקט רשותא מריש גלותא</w:t>
      </w:r>
      <w:r>
        <w:rPr>
          <w:rFonts w:cs="Arial" w:hint="cs"/>
          <w:u w:val="dotted"/>
          <w:rtl/>
        </w:rPr>
        <w:t>:</w:t>
      </w:r>
    </w:p>
    <w:p w14:paraId="46D5860B" w14:textId="77777777" w:rsidR="00F207F5" w:rsidRDefault="00F207F5" w:rsidP="004B0475">
      <w:pPr>
        <w:pStyle w:val="ac"/>
        <w:numPr>
          <w:ilvl w:val="0"/>
          <w:numId w:val="30"/>
        </w:numPr>
        <w:rPr>
          <w:rFonts w:cs="Arial"/>
        </w:rPr>
      </w:pPr>
      <w:r w:rsidRPr="00920D31">
        <w:rPr>
          <w:rFonts w:cs="Arial"/>
          <w:rtl/>
        </w:rPr>
        <w:t xml:space="preserve">רי"ף </w:t>
      </w:r>
      <w:r w:rsidRPr="00920D31">
        <w:rPr>
          <w:rFonts w:cs="Arial"/>
          <w:sz w:val="16"/>
          <w:szCs w:val="16"/>
          <w:rtl/>
        </w:rPr>
        <w:t>(שם י</w:t>
      </w:r>
      <w:r>
        <w:rPr>
          <w:rFonts w:cs="Arial" w:hint="cs"/>
          <w:sz w:val="16"/>
          <w:szCs w:val="16"/>
          <w:rtl/>
        </w:rPr>
        <w:t>ב.</w:t>
      </w:r>
      <w:r w:rsidRPr="00920D31">
        <w:rPr>
          <w:rFonts w:cs="Arial"/>
          <w:sz w:val="16"/>
          <w:szCs w:val="16"/>
          <w:rtl/>
        </w:rPr>
        <w:t>)</w:t>
      </w:r>
      <w:r w:rsidRPr="002D7131">
        <w:rPr>
          <w:rFonts w:cs="Arial"/>
          <w:rtl/>
        </w:rPr>
        <w:t xml:space="preserve"> </w:t>
      </w:r>
      <w:r>
        <w:rPr>
          <w:rFonts w:cs="Arial" w:hint="cs"/>
          <w:rtl/>
        </w:rPr>
        <w:t>ו</w:t>
      </w:r>
      <w:r w:rsidRPr="001E251C">
        <w:rPr>
          <w:rFonts w:cs="Arial"/>
          <w:rtl/>
        </w:rPr>
        <w:t>רמב"ם</w:t>
      </w:r>
      <w:r>
        <w:rPr>
          <w:rFonts w:cs="Arial" w:hint="cs"/>
          <w:rtl/>
        </w:rPr>
        <w:t xml:space="preserve"> </w:t>
      </w:r>
      <w:r w:rsidRPr="001D2F65">
        <w:rPr>
          <w:rFonts w:cs="Arial" w:hint="cs"/>
          <w:sz w:val="16"/>
          <w:szCs w:val="16"/>
          <w:rtl/>
        </w:rPr>
        <w:t>(</w:t>
      </w:r>
      <w:r w:rsidRPr="001D2F65">
        <w:rPr>
          <w:rFonts w:cs="Arial"/>
          <w:sz w:val="16"/>
          <w:szCs w:val="16"/>
          <w:rtl/>
        </w:rPr>
        <w:t>פ</w:t>
      </w:r>
      <w:r w:rsidRPr="001D2F65">
        <w:rPr>
          <w:rFonts w:cs="Arial" w:hint="cs"/>
          <w:sz w:val="16"/>
          <w:szCs w:val="16"/>
          <w:rtl/>
        </w:rPr>
        <w:t>"</w:t>
      </w:r>
      <w:r w:rsidRPr="001D2F65">
        <w:rPr>
          <w:rFonts w:cs="Arial"/>
          <w:sz w:val="16"/>
          <w:szCs w:val="16"/>
          <w:rtl/>
        </w:rPr>
        <w:t>ו מהל</w:t>
      </w:r>
      <w:r w:rsidRPr="001D2F65">
        <w:rPr>
          <w:rFonts w:cs="Arial" w:hint="cs"/>
          <w:sz w:val="16"/>
          <w:szCs w:val="16"/>
          <w:rtl/>
        </w:rPr>
        <w:t>'</w:t>
      </w:r>
      <w:r w:rsidRPr="001D2F65">
        <w:rPr>
          <w:rFonts w:cs="Arial"/>
          <w:sz w:val="16"/>
          <w:szCs w:val="16"/>
          <w:rtl/>
        </w:rPr>
        <w:t xml:space="preserve"> סנהדרין הל' ב</w:t>
      </w:r>
      <w:r>
        <w:rPr>
          <w:rFonts w:cs="Arial" w:hint="cs"/>
          <w:sz w:val="16"/>
          <w:szCs w:val="16"/>
          <w:rtl/>
        </w:rPr>
        <w:t>)</w:t>
      </w:r>
      <w:r w:rsidRPr="00920D31">
        <w:rPr>
          <w:rFonts w:cs="Arial" w:hint="cs"/>
          <w:rtl/>
        </w:rPr>
        <w:t>-</w:t>
      </w:r>
      <w:r w:rsidRPr="00920D31">
        <w:rPr>
          <w:rFonts w:cs="Arial"/>
          <w:rtl/>
        </w:rPr>
        <w:t xml:space="preserve"> כד הוי דיינא מומחה ונקט רשותא מריש גלותא וטעה בשיקול הדעת לא שנא נשא ונתן ביד ולא שנא לא נשא ונתן ביד פטור מלשלם</w:t>
      </w:r>
      <w:r>
        <w:rPr>
          <w:rStyle w:val="ab"/>
          <w:rFonts w:cs="Arial"/>
          <w:rtl/>
        </w:rPr>
        <w:footnoteReference w:id="1239"/>
      </w:r>
      <w:r w:rsidRPr="00920D31">
        <w:rPr>
          <w:rFonts w:cs="Arial" w:hint="cs"/>
          <w:rtl/>
        </w:rPr>
        <w:t>,</w:t>
      </w:r>
      <w:r>
        <w:rPr>
          <w:rFonts w:cs="Arial" w:hint="cs"/>
          <w:rtl/>
        </w:rPr>
        <w:t xml:space="preserve"> </w:t>
      </w:r>
      <w:r w:rsidRPr="00920D31">
        <w:rPr>
          <w:rFonts w:cs="Arial"/>
          <w:rtl/>
        </w:rPr>
        <w:t>וכיון דהוא פטור מלשלם הדר דינא</w:t>
      </w:r>
      <w:r>
        <w:rPr>
          <w:rStyle w:val="ab"/>
          <w:rFonts w:cs="Arial"/>
          <w:rtl/>
        </w:rPr>
        <w:footnoteReference w:id="1240"/>
      </w:r>
      <w:r>
        <w:rPr>
          <w:rFonts w:cs="Arial" w:hint="cs"/>
          <w:sz w:val="16"/>
          <w:szCs w:val="16"/>
          <w:rtl/>
        </w:rPr>
        <w:t xml:space="preserve"> (ל' הרי"ף)</w:t>
      </w:r>
      <w:r w:rsidRPr="00920D31">
        <w:rPr>
          <w:rFonts w:cs="Arial" w:hint="cs"/>
          <w:rtl/>
        </w:rPr>
        <w:t>.</w:t>
      </w:r>
      <w:r w:rsidRPr="00920D31">
        <w:rPr>
          <w:rFonts w:cs="Arial"/>
          <w:rtl/>
        </w:rPr>
        <w:t xml:space="preserve"> </w:t>
      </w:r>
      <w:r w:rsidR="00811C7B" w:rsidRPr="00811C7B">
        <w:rPr>
          <w:rFonts w:cs="Arial" w:hint="cs"/>
          <w:color w:val="E36C0A" w:themeColor="accent6" w:themeShade="BF"/>
          <w:rtl/>
        </w:rPr>
        <w:t>(וכ"פ בשו"ע)</w:t>
      </w:r>
    </w:p>
    <w:p w14:paraId="088441C5" w14:textId="77777777" w:rsidR="00F207F5" w:rsidRPr="00A670B5" w:rsidRDefault="00F207F5" w:rsidP="00F207F5">
      <w:pPr>
        <w:ind w:left="360"/>
        <w:rPr>
          <w:rFonts w:cs="Arial"/>
          <w:u w:val="dotted"/>
        </w:rPr>
      </w:pPr>
      <w:r w:rsidRPr="00A670B5">
        <w:rPr>
          <w:rFonts w:cs="Arial"/>
          <w:u w:val="dotted"/>
          <w:rtl/>
        </w:rPr>
        <w:t>לא נקיט רשותא אבל קבלוהו בעלי דינ</w:t>
      </w:r>
      <w:r>
        <w:rPr>
          <w:rFonts w:cs="Arial" w:hint="cs"/>
          <w:u w:val="dotted"/>
          <w:rtl/>
        </w:rPr>
        <w:t>א</w:t>
      </w:r>
      <w:r w:rsidRPr="00A670B5">
        <w:rPr>
          <w:rFonts w:cs="Arial" w:hint="cs"/>
          <w:u w:val="dotted"/>
          <w:rtl/>
        </w:rPr>
        <w:t>:</w:t>
      </w:r>
    </w:p>
    <w:p w14:paraId="54DBDA03" w14:textId="77777777" w:rsidR="00F207F5" w:rsidRDefault="00F207F5" w:rsidP="004B0475">
      <w:pPr>
        <w:pStyle w:val="ac"/>
        <w:numPr>
          <w:ilvl w:val="0"/>
          <w:numId w:val="30"/>
        </w:numPr>
        <w:rPr>
          <w:rFonts w:cs="Arial"/>
        </w:rPr>
      </w:pPr>
      <w:r w:rsidRPr="00920D31">
        <w:rPr>
          <w:rFonts w:cs="Arial"/>
          <w:rtl/>
        </w:rPr>
        <w:t xml:space="preserve">רי"ף </w:t>
      </w:r>
      <w:r w:rsidRPr="00920D31">
        <w:rPr>
          <w:rFonts w:cs="Arial"/>
          <w:sz w:val="16"/>
          <w:szCs w:val="16"/>
          <w:rtl/>
        </w:rPr>
        <w:t>(שם י</w:t>
      </w:r>
      <w:r>
        <w:rPr>
          <w:rFonts w:cs="Arial" w:hint="cs"/>
          <w:sz w:val="16"/>
          <w:szCs w:val="16"/>
          <w:rtl/>
        </w:rPr>
        <w:t>ב.</w:t>
      </w:r>
      <w:r w:rsidRPr="00920D31">
        <w:rPr>
          <w:rFonts w:cs="Arial"/>
          <w:sz w:val="16"/>
          <w:szCs w:val="16"/>
          <w:rtl/>
        </w:rPr>
        <w:t>)</w:t>
      </w:r>
      <w:r w:rsidRPr="002D7131">
        <w:rPr>
          <w:rFonts w:cs="Arial" w:hint="cs"/>
          <w:rtl/>
        </w:rPr>
        <w:t xml:space="preserve"> </w:t>
      </w:r>
      <w:r>
        <w:rPr>
          <w:rFonts w:cs="Arial" w:hint="cs"/>
          <w:rtl/>
        </w:rPr>
        <w:t>ו</w:t>
      </w:r>
      <w:r w:rsidRPr="001E251C">
        <w:rPr>
          <w:rFonts w:cs="Arial"/>
          <w:rtl/>
        </w:rPr>
        <w:t>רמב"ם</w:t>
      </w:r>
      <w:r>
        <w:rPr>
          <w:rFonts w:cs="Arial" w:hint="cs"/>
          <w:rtl/>
        </w:rPr>
        <w:t xml:space="preserve"> </w:t>
      </w:r>
      <w:r w:rsidRPr="001D2F65">
        <w:rPr>
          <w:rFonts w:cs="Arial" w:hint="cs"/>
          <w:sz w:val="16"/>
          <w:szCs w:val="16"/>
          <w:rtl/>
        </w:rPr>
        <w:t>(</w:t>
      </w:r>
      <w:r w:rsidRPr="001D2F65">
        <w:rPr>
          <w:rFonts w:cs="Arial"/>
          <w:sz w:val="16"/>
          <w:szCs w:val="16"/>
          <w:rtl/>
        </w:rPr>
        <w:t>פ</w:t>
      </w:r>
      <w:r w:rsidRPr="001D2F65">
        <w:rPr>
          <w:rFonts w:cs="Arial" w:hint="cs"/>
          <w:sz w:val="16"/>
          <w:szCs w:val="16"/>
          <w:rtl/>
        </w:rPr>
        <w:t>"</w:t>
      </w:r>
      <w:r w:rsidRPr="001D2F65">
        <w:rPr>
          <w:rFonts w:cs="Arial"/>
          <w:sz w:val="16"/>
          <w:szCs w:val="16"/>
          <w:rtl/>
        </w:rPr>
        <w:t>ו מהל</w:t>
      </w:r>
      <w:r w:rsidRPr="001D2F65">
        <w:rPr>
          <w:rFonts w:cs="Arial" w:hint="cs"/>
          <w:sz w:val="16"/>
          <w:szCs w:val="16"/>
          <w:rtl/>
        </w:rPr>
        <w:t>'</w:t>
      </w:r>
      <w:r w:rsidRPr="001D2F65">
        <w:rPr>
          <w:rFonts w:cs="Arial"/>
          <w:sz w:val="16"/>
          <w:szCs w:val="16"/>
          <w:rtl/>
        </w:rPr>
        <w:t xml:space="preserve"> סנהדרין הל' ב</w:t>
      </w:r>
      <w:r>
        <w:rPr>
          <w:rFonts w:cs="Arial" w:hint="cs"/>
          <w:sz w:val="16"/>
          <w:szCs w:val="16"/>
          <w:rtl/>
        </w:rPr>
        <w:t>)</w:t>
      </w:r>
      <w:r w:rsidRPr="00920D31">
        <w:rPr>
          <w:rFonts w:cs="Arial" w:hint="cs"/>
          <w:rtl/>
        </w:rPr>
        <w:t>-</w:t>
      </w:r>
      <w:r w:rsidRPr="00920D31">
        <w:rPr>
          <w:rFonts w:cs="Arial"/>
          <w:rtl/>
        </w:rPr>
        <w:t xml:space="preserve"> מומחה דלא נקיט רשותא מבי ריש גלותא אבל קבלוהו עלייהו בעלי דינא דיניה נמי כמאן דנקיט רשותא מריש גלותא ואי טעי חוזר ואינו משלם</w:t>
      </w:r>
      <w:r w:rsidR="00976785">
        <w:rPr>
          <w:rFonts w:cs="Arial" w:hint="cs"/>
          <w:rtl/>
        </w:rPr>
        <w:t>,</w:t>
      </w:r>
      <w:r w:rsidRPr="00920D31">
        <w:rPr>
          <w:rFonts w:cs="Arial"/>
          <w:rtl/>
        </w:rPr>
        <w:t xml:space="preserve"> לא שנא נשא ונתן ביד לא שנא לא נשא ונתן ביד</w:t>
      </w:r>
      <w:r>
        <w:rPr>
          <w:rStyle w:val="ab"/>
          <w:rFonts w:cs="Arial"/>
          <w:rtl/>
        </w:rPr>
        <w:footnoteReference w:id="1241"/>
      </w:r>
      <w:r>
        <w:rPr>
          <w:rFonts w:cs="Arial" w:hint="cs"/>
          <w:sz w:val="16"/>
          <w:szCs w:val="16"/>
          <w:rtl/>
        </w:rPr>
        <w:t xml:space="preserve"> (ל' הרי"ף)</w:t>
      </w:r>
      <w:r w:rsidRPr="00920D31">
        <w:rPr>
          <w:rFonts w:cs="Arial" w:hint="cs"/>
          <w:rtl/>
        </w:rPr>
        <w:t>.</w:t>
      </w:r>
      <w:r w:rsidRPr="00920D31">
        <w:rPr>
          <w:rFonts w:cs="Arial"/>
          <w:rtl/>
        </w:rPr>
        <w:t xml:space="preserve"> </w:t>
      </w:r>
      <w:r w:rsidR="00811C7B" w:rsidRPr="00811C7B">
        <w:rPr>
          <w:rFonts w:cs="Arial" w:hint="cs"/>
          <w:color w:val="E36C0A" w:themeColor="accent6" w:themeShade="BF"/>
          <w:rtl/>
        </w:rPr>
        <w:t>(וכ"פ בשו"ע)</w:t>
      </w:r>
      <w:r w:rsidR="00811C7B">
        <w:rPr>
          <w:rFonts w:cs="Arial" w:hint="cs"/>
          <w:rtl/>
        </w:rPr>
        <w:t xml:space="preserve"> </w:t>
      </w:r>
    </w:p>
    <w:p w14:paraId="11478ED1" w14:textId="77777777" w:rsidR="00F207F5" w:rsidRDefault="00F207F5" w:rsidP="004B0475">
      <w:pPr>
        <w:pStyle w:val="ac"/>
        <w:numPr>
          <w:ilvl w:val="0"/>
          <w:numId w:val="30"/>
        </w:numPr>
        <w:rPr>
          <w:rFonts w:cs="Arial"/>
        </w:rPr>
      </w:pPr>
      <w:r w:rsidRPr="006261B9">
        <w:rPr>
          <w:rFonts w:cs="Arial"/>
          <w:rtl/>
        </w:rPr>
        <w:t xml:space="preserve">רא"ש </w:t>
      </w:r>
      <w:r w:rsidRPr="006261B9">
        <w:rPr>
          <w:rFonts w:cs="Arial"/>
          <w:sz w:val="16"/>
          <w:szCs w:val="16"/>
          <w:rtl/>
        </w:rPr>
        <w:t>(סי' ה)</w:t>
      </w:r>
      <w:r>
        <w:rPr>
          <w:rFonts w:cs="Arial" w:hint="cs"/>
          <w:rtl/>
        </w:rPr>
        <w:t xml:space="preserve"> וטור</w:t>
      </w:r>
      <w:r w:rsidRPr="006261B9">
        <w:rPr>
          <w:rFonts w:cs="Arial" w:hint="cs"/>
          <w:rtl/>
        </w:rPr>
        <w:t>-</w:t>
      </w:r>
      <w:r>
        <w:rPr>
          <w:rFonts w:cs="Arial" w:hint="cs"/>
          <w:rtl/>
        </w:rPr>
        <w:t xml:space="preserve"> </w:t>
      </w:r>
      <w:r w:rsidRPr="006261B9">
        <w:rPr>
          <w:rFonts w:cs="Arial"/>
          <w:rtl/>
        </w:rPr>
        <w:t xml:space="preserve">יחיד מומחה או שני מומחין </w:t>
      </w:r>
      <w:r w:rsidR="004D7082">
        <w:rPr>
          <w:rFonts w:cs="Arial" w:hint="cs"/>
          <w:sz w:val="16"/>
          <w:szCs w:val="16"/>
          <w:rtl/>
        </w:rPr>
        <w:t>(או שלשה הדיוטות</w:t>
      </w:r>
      <w:r w:rsidR="004D7082" w:rsidRPr="004D7082">
        <w:rPr>
          <w:rStyle w:val="ab"/>
          <w:rFonts w:cs="Arial"/>
          <w:sz w:val="16"/>
          <w:szCs w:val="16"/>
          <w:rtl/>
        </w:rPr>
        <w:footnoteReference w:id="1242"/>
      </w:r>
      <w:r w:rsidR="004D7082">
        <w:rPr>
          <w:rFonts w:cs="Arial" w:hint="cs"/>
          <w:sz w:val="16"/>
          <w:szCs w:val="16"/>
          <w:rtl/>
        </w:rPr>
        <w:t xml:space="preserve">) </w:t>
      </w:r>
      <w:r w:rsidRPr="006261B9">
        <w:rPr>
          <w:rFonts w:cs="Arial"/>
          <w:rtl/>
        </w:rPr>
        <w:t>דקבלום עלייהו אע</w:t>
      </w:r>
      <w:r>
        <w:rPr>
          <w:rFonts w:cs="Arial" w:hint="cs"/>
          <w:rtl/>
        </w:rPr>
        <w:t>"</w:t>
      </w:r>
      <w:r w:rsidRPr="006261B9">
        <w:rPr>
          <w:rFonts w:cs="Arial"/>
          <w:rtl/>
        </w:rPr>
        <w:t>ג דלא נקיט רשותא מריש גלותא וטעו בשקול הדעת</w:t>
      </w:r>
      <w:r>
        <w:rPr>
          <w:rFonts w:cs="Arial" w:hint="cs"/>
          <w:rtl/>
        </w:rPr>
        <w:t xml:space="preserve"> ו</w:t>
      </w:r>
      <w:r w:rsidRPr="006261B9">
        <w:rPr>
          <w:rFonts w:cs="Arial"/>
          <w:rtl/>
        </w:rPr>
        <w:t xml:space="preserve">אפילו </w:t>
      </w:r>
      <w:r>
        <w:rPr>
          <w:rFonts w:cs="Arial" w:hint="cs"/>
          <w:rtl/>
        </w:rPr>
        <w:t xml:space="preserve">יש </w:t>
      </w:r>
      <w:r w:rsidRPr="006261B9">
        <w:rPr>
          <w:rFonts w:cs="Arial"/>
          <w:rtl/>
        </w:rPr>
        <w:t xml:space="preserve">גדול ממנו </w:t>
      </w:r>
      <w:r w:rsidR="00976785">
        <w:rPr>
          <w:rFonts w:cs="Arial" w:hint="cs"/>
          <w:rtl/>
        </w:rPr>
        <w:t xml:space="preserve">- </w:t>
      </w:r>
      <w:r w:rsidRPr="006261B9">
        <w:rPr>
          <w:rFonts w:cs="Arial"/>
          <w:rtl/>
        </w:rPr>
        <w:t>אין מחזירין</w:t>
      </w:r>
      <w:r w:rsidR="00976785">
        <w:rPr>
          <w:rFonts w:cs="Arial" w:hint="cs"/>
          <w:rtl/>
        </w:rPr>
        <w:t>,</w:t>
      </w:r>
      <w:r w:rsidRPr="006261B9">
        <w:rPr>
          <w:rFonts w:cs="Arial"/>
          <w:rtl/>
        </w:rPr>
        <w:t xml:space="preserve"> אלא </w:t>
      </w:r>
      <w:r w:rsidRPr="00976785">
        <w:rPr>
          <w:rFonts w:cs="Arial"/>
          <w:b/>
          <w:bCs/>
          <w:rtl/>
        </w:rPr>
        <w:t>קם דינא</w:t>
      </w:r>
      <w:r w:rsidRPr="006261B9">
        <w:rPr>
          <w:rFonts w:cs="Arial"/>
          <w:rtl/>
        </w:rPr>
        <w:t xml:space="preserve"> ולא משלם</w:t>
      </w:r>
      <w:r>
        <w:rPr>
          <w:rFonts w:cs="Arial" w:hint="cs"/>
          <w:sz w:val="16"/>
          <w:szCs w:val="16"/>
          <w:rtl/>
        </w:rPr>
        <w:t xml:space="preserve"> (ל' הרא"ש)</w:t>
      </w:r>
      <w:r w:rsidRPr="005377B4">
        <w:rPr>
          <w:rFonts w:cs="Arial" w:hint="cs"/>
          <w:rtl/>
        </w:rPr>
        <w:t>.</w:t>
      </w:r>
      <w:r w:rsidRPr="005377B4">
        <w:rPr>
          <w:rFonts w:cs="Arial"/>
          <w:rtl/>
        </w:rPr>
        <w:t xml:space="preserve"> </w:t>
      </w:r>
    </w:p>
    <w:p w14:paraId="013EA6B8" w14:textId="77777777" w:rsidR="00F207F5" w:rsidRPr="00BF3002" w:rsidRDefault="00F207F5" w:rsidP="00F207F5">
      <w:pPr>
        <w:ind w:left="360"/>
        <w:rPr>
          <w:rFonts w:cs="Arial"/>
          <w:u w:val="dotted"/>
        </w:rPr>
      </w:pPr>
      <w:r w:rsidRPr="00BF3002">
        <w:rPr>
          <w:rFonts w:cs="Arial"/>
          <w:b/>
          <w:bCs/>
          <w:u w:val="dotted"/>
          <w:rtl/>
        </w:rPr>
        <w:t>שלשה</w:t>
      </w:r>
      <w:r w:rsidRPr="00BF3002">
        <w:rPr>
          <w:rFonts w:cs="Arial"/>
          <w:u w:val="dotted"/>
          <w:rtl/>
        </w:rPr>
        <w:t xml:space="preserve"> </w:t>
      </w:r>
      <w:r w:rsidRPr="00BF3002">
        <w:rPr>
          <w:rFonts w:cs="Arial"/>
          <w:b/>
          <w:bCs/>
          <w:u w:val="dotted"/>
          <w:rtl/>
        </w:rPr>
        <w:t>מומחין</w:t>
      </w:r>
      <w:r w:rsidRPr="00BF3002">
        <w:rPr>
          <w:rFonts w:cs="Arial"/>
          <w:u w:val="dotted"/>
          <w:rtl/>
        </w:rPr>
        <w:t xml:space="preserve"> </w:t>
      </w:r>
      <w:r w:rsidRPr="00BF3002">
        <w:rPr>
          <w:rFonts w:cs="Arial" w:hint="cs"/>
          <w:u w:val="dotted"/>
          <w:rtl/>
        </w:rPr>
        <w:t>ו</w:t>
      </w:r>
      <w:r w:rsidRPr="00BF3002">
        <w:rPr>
          <w:rFonts w:cs="Arial"/>
          <w:u w:val="dotted"/>
          <w:rtl/>
        </w:rPr>
        <w:t>לא קבלום עליהם</w:t>
      </w:r>
      <w:r w:rsidRPr="00BF3002">
        <w:rPr>
          <w:rFonts w:cs="Arial" w:hint="cs"/>
          <w:u w:val="dotted"/>
          <w:rtl/>
        </w:rPr>
        <w:t>:</w:t>
      </w:r>
    </w:p>
    <w:p w14:paraId="5B8E9C8F" w14:textId="77777777" w:rsidR="00F207F5" w:rsidRDefault="00F207F5" w:rsidP="004B0475">
      <w:pPr>
        <w:pStyle w:val="ac"/>
        <w:numPr>
          <w:ilvl w:val="0"/>
          <w:numId w:val="30"/>
        </w:numPr>
        <w:rPr>
          <w:rFonts w:cs="Arial"/>
        </w:rPr>
      </w:pPr>
      <w:r>
        <w:rPr>
          <w:rFonts w:cs="Arial" w:hint="cs"/>
          <w:rtl/>
        </w:rPr>
        <w:t>טור-</w:t>
      </w:r>
      <w:r w:rsidRPr="00D30FB6">
        <w:rPr>
          <w:rFonts w:cs="Arial"/>
          <w:rtl/>
        </w:rPr>
        <w:t xml:space="preserve"> </w:t>
      </w:r>
      <w:r>
        <w:rPr>
          <w:rFonts w:cs="Arial" w:hint="cs"/>
          <w:rtl/>
        </w:rPr>
        <w:t>ו</w:t>
      </w:r>
      <w:r w:rsidRPr="00D30FB6">
        <w:rPr>
          <w:rFonts w:cs="Arial"/>
          <w:rtl/>
        </w:rPr>
        <w:t>בשלשה מומחין אפילו לא קבלום עליהם פטורין מלשלם</w:t>
      </w:r>
      <w:r w:rsidRPr="00D30FB6">
        <w:rPr>
          <w:rFonts w:cs="Arial" w:hint="cs"/>
          <w:rtl/>
        </w:rPr>
        <w:t xml:space="preserve"> </w:t>
      </w:r>
      <w:r w:rsidRPr="00D30FB6">
        <w:rPr>
          <w:rFonts w:cs="Arial"/>
          <w:rtl/>
        </w:rPr>
        <w:t>אפילו נשאו ונתנו ביד אפילו יש גדול מהם אין מחזירין אלא קם דינא ופטורים</w:t>
      </w:r>
      <w:r w:rsidRPr="00D30FB6">
        <w:rPr>
          <w:rFonts w:cs="Arial" w:hint="cs"/>
          <w:rtl/>
        </w:rPr>
        <w:t>.</w:t>
      </w:r>
      <w:r w:rsidR="00136811" w:rsidRPr="00136811">
        <w:rPr>
          <w:rFonts w:cs="Arial"/>
          <w:rtl/>
        </w:rPr>
        <w:t xml:space="preserve"> </w:t>
      </w:r>
      <w:r w:rsidR="00136811" w:rsidRPr="00D30FB6">
        <w:rPr>
          <w:rFonts w:cs="Arial"/>
          <w:rtl/>
        </w:rPr>
        <w:t>וכ</w:t>
      </w:r>
      <w:r w:rsidR="00136811">
        <w:rPr>
          <w:rFonts w:cs="Arial" w:hint="cs"/>
          <w:rtl/>
        </w:rPr>
        <w:t>'</w:t>
      </w:r>
      <w:r w:rsidR="00136811" w:rsidRPr="00D30FB6">
        <w:rPr>
          <w:rFonts w:cs="Arial"/>
          <w:rtl/>
        </w:rPr>
        <w:t xml:space="preserve"> הרמ"ה ודוקא שהיו סמוכים בענין שהם ראויים לדין מן התורה אבל אם אינם סמוכין אפי</w:t>
      </w:r>
      <w:r w:rsidR="00136811">
        <w:rPr>
          <w:rFonts w:cs="Arial" w:hint="cs"/>
          <w:rtl/>
        </w:rPr>
        <w:t>'</w:t>
      </w:r>
      <w:r w:rsidR="00136811" w:rsidRPr="00D30FB6">
        <w:rPr>
          <w:rFonts w:cs="Arial"/>
          <w:rtl/>
        </w:rPr>
        <w:t xml:space="preserve"> אי גמירי וסבירי צריכים לשלם</w:t>
      </w:r>
      <w:r w:rsidR="00136811">
        <w:rPr>
          <w:rFonts w:cs="Arial" w:hint="cs"/>
          <w:rtl/>
        </w:rPr>
        <w:t>.</w:t>
      </w:r>
      <w:r w:rsidRPr="00D30FB6">
        <w:rPr>
          <w:rFonts w:cs="Arial"/>
          <w:rtl/>
        </w:rPr>
        <w:t xml:space="preserve"> </w:t>
      </w:r>
    </w:p>
    <w:p w14:paraId="0919113D" w14:textId="77777777" w:rsidR="00F207F5" w:rsidRPr="00A670B5" w:rsidRDefault="00F207F5" w:rsidP="00F207F5">
      <w:pPr>
        <w:ind w:left="360"/>
        <w:rPr>
          <w:rFonts w:cs="Arial"/>
          <w:u w:val="dotted"/>
        </w:rPr>
      </w:pPr>
      <w:r w:rsidRPr="00A670B5">
        <w:rPr>
          <w:rFonts w:cs="Arial"/>
          <w:u w:val="dotted"/>
          <w:rtl/>
        </w:rPr>
        <w:t>לא נקיט רשותא ולא קבלוהו בעלי דינא</w:t>
      </w:r>
      <w:r>
        <w:rPr>
          <w:rFonts w:cs="Arial" w:hint="cs"/>
          <w:u w:val="dotted"/>
          <w:rtl/>
        </w:rPr>
        <w:t>:</w:t>
      </w:r>
    </w:p>
    <w:p w14:paraId="21B716B2" w14:textId="77777777" w:rsidR="00F207F5" w:rsidRDefault="00F207F5" w:rsidP="004B0475">
      <w:pPr>
        <w:pStyle w:val="ac"/>
        <w:numPr>
          <w:ilvl w:val="0"/>
          <w:numId w:val="30"/>
        </w:numPr>
        <w:rPr>
          <w:rFonts w:cs="Arial"/>
        </w:rPr>
      </w:pPr>
      <w:r w:rsidRPr="00920D31">
        <w:rPr>
          <w:rFonts w:cs="Arial"/>
          <w:rtl/>
        </w:rPr>
        <w:t xml:space="preserve">רי"ף </w:t>
      </w:r>
      <w:r w:rsidRPr="00920D31">
        <w:rPr>
          <w:rFonts w:cs="Arial"/>
          <w:sz w:val="16"/>
          <w:szCs w:val="16"/>
          <w:rtl/>
        </w:rPr>
        <w:t>(שם י</w:t>
      </w:r>
      <w:r>
        <w:rPr>
          <w:rFonts w:cs="Arial" w:hint="cs"/>
          <w:sz w:val="16"/>
          <w:szCs w:val="16"/>
          <w:rtl/>
        </w:rPr>
        <w:t>ב.</w:t>
      </w:r>
      <w:r w:rsidRPr="00920D31">
        <w:rPr>
          <w:rFonts w:cs="Arial"/>
          <w:sz w:val="16"/>
          <w:szCs w:val="16"/>
          <w:rtl/>
        </w:rPr>
        <w:t>)</w:t>
      </w:r>
      <w:r w:rsidRPr="002D7131">
        <w:rPr>
          <w:rFonts w:cs="Arial"/>
          <w:rtl/>
        </w:rPr>
        <w:t xml:space="preserve"> </w:t>
      </w:r>
      <w:r>
        <w:rPr>
          <w:rFonts w:cs="Arial" w:hint="cs"/>
          <w:rtl/>
        </w:rPr>
        <w:t>ו</w:t>
      </w:r>
      <w:r w:rsidRPr="001E251C">
        <w:rPr>
          <w:rFonts w:cs="Arial"/>
          <w:rtl/>
        </w:rPr>
        <w:t>רמב"ם</w:t>
      </w:r>
      <w:r>
        <w:rPr>
          <w:rFonts w:cs="Arial" w:hint="cs"/>
          <w:rtl/>
        </w:rPr>
        <w:t xml:space="preserve"> </w:t>
      </w:r>
      <w:r w:rsidRPr="001D2F65">
        <w:rPr>
          <w:rFonts w:cs="Arial" w:hint="cs"/>
          <w:sz w:val="16"/>
          <w:szCs w:val="16"/>
          <w:rtl/>
        </w:rPr>
        <w:t>(</w:t>
      </w:r>
      <w:r w:rsidRPr="001D2F65">
        <w:rPr>
          <w:rFonts w:cs="Arial"/>
          <w:sz w:val="16"/>
          <w:szCs w:val="16"/>
          <w:rtl/>
        </w:rPr>
        <w:t>פ</w:t>
      </w:r>
      <w:r w:rsidRPr="001D2F65">
        <w:rPr>
          <w:rFonts w:cs="Arial" w:hint="cs"/>
          <w:sz w:val="16"/>
          <w:szCs w:val="16"/>
          <w:rtl/>
        </w:rPr>
        <w:t>"</w:t>
      </w:r>
      <w:r w:rsidRPr="001D2F65">
        <w:rPr>
          <w:rFonts w:cs="Arial"/>
          <w:sz w:val="16"/>
          <w:szCs w:val="16"/>
          <w:rtl/>
        </w:rPr>
        <w:t>ו מהל</w:t>
      </w:r>
      <w:r w:rsidRPr="001D2F65">
        <w:rPr>
          <w:rFonts w:cs="Arial" w:hint="cs"/>
          <w:sz w:val="16"/>
          <w:szCs w:val="16"/>
          <w:rtl/>
        </w:rPr>
        <w:t>'</w:t>
      </w:r>
      <w:r w:rsidRPr="001D2F65">
        <w:rPr>
          <w:rFonts w:cs="Arial"/>
          <w:sz w:val="16"/>
          <w:szCs w:val="16"/>
          <w:rtl/>
        </w:rPr>
        <w:t xml:space="preserve"> סנהדרין הל' ג)</w:t>
      </w:r>
      <w:r w:rsidRPr="00920D31">
        <w:rPr>
          <w:rFonts w:cs="Arial" w:hint="cs"/>
          <w:rtl/>
        </w:rPr>
        <w:t>-</w:t>
      </w:r>
      <w:r w:rsidRPr="00920D31">
        <w:rPr>
          <w:rFonts w:cs="Arial"/>
          <w:rtl/>
        </w:rPr>
        <w:t xml:space="preserve"> מומחה דלא נקיט רשותא ולא קבלוהו עלייהו בעלי דינא ודן וטעה בשיקול הדעת אם נשא ונתן ביד משלם ואינו חוזר</w:t>
      </w:r>
      <w:r>
        <w:rPr>
          <w:rStyle w:val="ab"/>
          <w:rFonts w:cs="Arial"/>
          <w:rtl/>
        </w:rPr>
        <w:footnoteReference w:id="1243"/>
      </w:r>
      <w:r>
        <w:rPr>
          <w:rFonts w:cs="Arial" w:hint="cs"/>
          <w:rtl/>
        </w:rPr>
        <w:t xml:space="preserve">, </w:t>
      </w:r>
      <w:r w:rsidRPr="00920D31">
        <w:rPr>
          <w:rFonts w:cs="Arial"/>
          <w:rtl/>
        </w:rPr>
        <w:t>ואי לא נשא ונתן ביד הדר דינא</w:t>
      </w:r>
      <w:r>
        <w:rPr>
          <w:rStyle w:val="ab"/>
          <w:rFonts w:cs="Arial"/>
          <w:rtl/>
        </w:rPr>
        <w:footnoteReference w:id="1244"/>
      </w:r>
      <w:r w:rsidRPr="00920D31">
        <w:rPr>
          <w:rFonts w:cs="Arial"/>
          <w:rtl/>
        </w:rPr>
        <w:t xml:space="preserve"> ואינו משלם</w:t>
      </w:r>
      <w:r>
        <w:rPr>
          <w:rStyle w:val="ab"/>
          <w:rFonts w:cs="Arial"/>
          <w:rtl/>
        </w:rPr>
        <w:footnoteReference w:id="1245"/>
      </w:r>
      <w:r w:rsidRPr="00920D31">
        <w:rPr>
          <w:rFonts w:cs="Arial" w:hint="cs"/>
          <w:rtl/>
        </w:rPr>
        <w:t>.</w:t>
      </w:r>
      <w:r w:rsidRPr="00920D31">
        <w:rPr>
          <w:rFonts w:cs="Arial"/>
          <w:rtl/>
        </w:rPr>
        <w:t xml:space="preserve"> </w:t>
      </w:r>
      <w:r w:rsidR="0053709B" w:rsidRPr="0053709B">
        <w:rPr>
          <w:rFonts w:cs="Arial" w:hint="cs"/>
          <w:color w:val="E36C0A" w:themeColor="accent6" w:themeShade="BF"/>
          <w:rtl/>
        </w:rPr>
        <w:t>(וכ"פ בשו"ע</w:t>
      </w:r>
      <w:r w:rsidR="0053709B">
        <w:rPr>
          <w:rFonts w:cs="Arial" w:hint="cs"/>
          <w:color w:val="E36C0A" w:themeColor="accent6" w:themeShade="BF"/>
          <w:sz w:val="16"/>
          <w:szCs w:val="16"/>
          <w:rtl/>
        </w:rPr>
        <w:t xml:space="preserve"> </w:t>
      </w:r>
      <w:r w:rsidR="0053709B">
        <w:rPr>
          <w:rFonts w:cs="Arial" w:hint="cs"/>
          <w:color w:val="000000" w:themeColor="text1"/>
          <w:sz w:val="16"/>
          <w:szCs w:val="16"/>
          <w:rtl/>
        </w:rPr>
        <w:t>[סע' ג]</w:t>
      </w:r>
      <w:r w:rsidR="0053709B" w:rsidRPr="0053709B">
        <w:rPr>
          <w:rFonts w:cs="Arial" w:hint="cs"/>
          <w:color w:val="E36C0A" w:themeColor="accent6" w:themeShade="BF"/>
          <w:rtl/>
        </w:rPr>
        <w:t>)</w:t>
      </w:r>
    </w:p>
    <w:p w14:paraId="07EE73B9" w14:textId="77777777" w:rsidR="00F207F5" w:rsidRDefault="00F207F5" w:rsidP="004B0475">
      <w:pPr>
        <w:pStyle w:val="ac"/>
        <w:numPr>
          <w:ilvl w:val="0"/>
          <w:numId w:val="30"/>
        </w:numPr>
        <w:rPr>
          <w:rFonts w:cs="Arial"/>
        </w:rPr>
      </w:pPr>
      <w:r w:rsidRPr="006261B9">
        <w:rPr>
          <w:rFonts w:cs="Arial"/>
          <w:rtl/>
        </w:rPr>
        <w:lastRenderedPageBreak/>
        <w:t xml:space="preserve">רא"ש </w:t>
      </w:r>
      <w:r w:rsidRPr="006261B9">
        <w:rPr>
          <w:rFonts w:cs="Arial"/>
          <w:sz w:val="16"/>
          <w:szCs w:val="16"/>
          <w:rtl/>
        </w:rPr>
        <w:t>(סי' ה)</w:t>
      </w:r>
      <w:r>
        <w:rPr>
          <w:rFonts w:cs="Arial" w:hint="cs"/>
          <w:rtl/>
        </w:rPr>
        <w:t xml:space="preserve"> וטור</w:t>
      </w:r>
      <w:r w:rsidRPr="006261B9">
        <w:rPr>
          <w:rFonts w:cs="Arial" w:hint="cs"/>
          <w:rtl/>
        </w:rPr>
        <w:t>-</w:t>
      </w:r>
      <w:r>
        <w:rPr>
          <w:rFonts w:cs="Arial" w:hint="cs"/>
          <w:rtl/>
        </w:rPr>
        <w:t xml:space="preserve"> </w:t>
      </w:r>
      <w:r w:rsidRPr="006261B9">
        <w:rPr>
          <w:rFonts w:cs="Arial"/>
          <w:rtl/>
        </w:rPr>
        <w:t xml:space="preserve">יחיד מומחה או שני מומחין </w:t>
      </w:r>
      <w:r>
        <w:rPr>
          <w:rFonts w:cs="Arial" w:hint="cs"/>
          <w:rtl/>
        </w:rPr>
        <w:t>ד</w:t>
      </w:r>
      <w:r w:rsidRPr="006261B9">
        <w:rPr>
          <w:rFonts w:cs="Arial"/>
          <w:rtl/>
        </w:rPr>
        <w:t>לא קבלוהו עלייהו ולא נקיט רשותא מריש גלותא וטעה בשקול הדעת מה שעשה עשוי וישלם מביתו ואפילו לא נשא ונתן ביד</w:t>
      </w:r>
      <w:r>
        <w:rPr>
          <w:rStyle w:val="ab"/>
          <w:rFonts w:cs="Arial"/>
          <w:rtl/>
        </w:rPr>
        <w:footnoteReference w:id="1246"/>
      </w:r>
      <w:r>
        <w:rPr>
          <w:rFonts w:cs="Arial" w:hint="cs"/>
          <w:rtl/>
        </w:rPr>
        <w:t>.</w:t>
      </w:r>
      <w:r w:rsidRPr="006261B9">
        <w:rPr>
          <w:rFonts w:cs="Arial"/>
          <w:rtl/>
        </w:rPr>
        <w:t xml:space="preserve"> </w:t>
      </w:r>
      <w:r w:rsidRPr="005377B4">
        <w:rPr>
          <w:rFonts w:cs="Arial" w:hint="cs"/>
          <w:color w:val="000000" w:themeColor="text1"/>
          <w:rtl/>
        </w:rPr>
        <w:t xml:space="preserve">וכן </w:t>
      </w:r>
      <w:r w:rsidRPr="006261B9">
        <w:rPr>
          <w:rFonts w:cs="Arial"/>
          <w:rtl/>
        </w:rPr>
        <w:t>שלשה הדיוטות דלא נקטו רשותא ולא קבילו עלייהו וטעו בשקול הדעת לא שנא נשאו ונתנו ביד לא שנא לא נשאו ונתנו ביד מה שעשו עשוי דכיון דתלתא אינון אית להו רשותא לדון את האדם בעל כרחו הילכך קם דינא ומשלמין מביתם</w:t>
      </w:r>
      <w:r>
        <w:rPr>
          <w:rStyle w:val="ab"/>
          <w:rFonts w:cs="Arial"/>
          <w:rtl/>
        </w:rPr>
        <w:footnoteReference w:id="1247"/>
      </w:r>
      <w:r>
        <w:rPr>
          <w:rFonts w:cs="Arial" w:hint="cs"/>
          <w:sz w:val="16"/>
          <w:szCs w:val="16"/>
          <w:rtl/>
        </w:rPr>
        <w:t xml:space="preserve"> (ל' הרא"ש)</w:t>
      </w:r>
      <w:r>
        <w:rPr>
          <w:rFonts w:cs="Arial" w:hint="cs"/>
          <w:rtl/>
        </w:rPr>
        <w:t>.</w:t>
      </w:r>
      <w:r w:rsidRPr="006261B9">
        <w:rPr>
          <w:rFonts w:cs="Arial"/>
          <w:rtl/>
        </w:rPr>
        <w:t xml:space="preserve"> </w:t>
      </w:r>
      <w:r w:rsidR="0053709B" w:rsidRPr="0053709B">
        <w:rPr>
          <w:rFonts w:cs="Arial" w:hint="cs"/>
          <w:color w:val="00B0F0"/>
          <w:rtl/>
        </w:rPr>
        <w:t xml:space="preserve">(וכ"פ הרמ"א </w:t>
      </w:r>
      <w:r w:rsidR="0053709B">
        <w:rPr>
          <w:rFonts w:cs="Arial" w:hint="cs"/>
          <w:color w:val="000000" w:themeColor="text1"/>
          <w:sz w:val="16"/>
          <w:szCs w:val="16"/>
          <w:rtl/>
        </w:rPr>
        <w:t>[סע' ג]</w:t>
      </w:r>
      <w:r w:rsidR="0053709B" w:rsidRPr="0053709B">
        <w:rPr>
          <w:rFonts w:cs="Arial" w:hint="cs"/>
          <w:color w:val="00B0F0"/>
          <w:rtl/>
        </w:rPr>
        <w:t>)</w:t>
      </w:r>
    </w:p>
    <w:p w14:paraId="61DA3781" w14:textId="77777777" w:rsidR="00F207F5" w:rsidRPr="00206F0C" w:rsidRDefault="00136811" w:rsidP="00F207F5">
      <w:pPr>
        <w:rPr>
          <w:rFonts w:cs="Arial"/>
          <w:u w:val="single"/>
          <w:rtl/>
        </w:rPr>
      </w:pPr>
      <w:r>
        <w:rPr>
          <w:rFonts w:cs="Arial" w:hint="cs"/>
          <w:u w:val="single"/>
          <w:rtl/>
        </w:rPr>
        <w:t>יחיד</w:t>
      </w:r>
      <w:r w:rsidR="00F207F5" w:rsidRPr="00206F0C">
        <w:rPr>
          <w:rFonts w:cs="Arial" w:hint="cs"/>
          <w:u w:val="single"/>
          <w:rtl/>
        </w:rPr>
        <w:t xml:space="preserve"> </w:t>
      </w:r>
      <w:r w:rsidR="00F207F5" w:rsidRPr="00206F0C">
        <w:rPr>
          <w:rFonts w:cs="Arial" w:hint="cs"/>
          <w:b/>
          <w:bCs/>
          <w:u w:val="single"/>
          <w:rtl/>
        </w:rPr>
        <w:t>שאינו</w:t>
      </w:r>
      <w:r w:rsidR="00F207F5">
        <w:rPr>
          <w:rFonts w:cs="Arial" w:hint="cs"/>
          <w:u w:val="single"/>
          <w:rtl/>
        </w:rPr>
        <w:t xml:space="preserve"> </w:t>
      </w:r>
      <w:r w:rsidR="00F207F5" w:rsidRPr="00206F0C">
        <w:rPr>
          <w:rFonts w:cs="Arial" w:hint="cs"/>
          <w:u w:val="single"/>
          <w:rtl/>
        </w:rPr>
        <w:t>מומחה שטעה</w:t>
      </w:r>
      <w:r w:rsidR="00F207F5">
        <w:rPr>
          <w:rFonts w:cs="Arial" w:hint="cs"/>
          <w:u w:val="single"/>
          <w:rtl/>
        </w:rPr>
        <w:t xml:space="preserve"> בשיקול הדעת </w:t>
      </w:r>
      <w:r w:rsidR="00F207F5" w:rsidRPr="00206F0C">
        <w:rPr>
          <w:rFonts w:cs="Arial" w:hint="cs"/>
          <w:sz w:val="16"/>
          <w:szCs w:val="16"/>
          <w:u w:val="single"/>
          <w:rtl/>
        </w:rPr>
        <w:t>(</w:t>
      </w:r>
      <w:r w:rsidR="00F207F5">
        <w:rPr>
          <w:rFonts w:cs="Arial" w:hint="cs"/>
          <w:sz w:val="16"/>
          <w:szCs w:val="16"/>
          <w:u w:val="single"/>
          <w:rtl/>
        </w:rPr>
        <w:t>וכן</w:t>
      </w:r>
      <w:r w:rsidR="00F207F5" w:rsidRPr="00206F0C">
        <w:rPr>
          <w:rFonts w:cs="Arial" w:hint="cs"/>
          <w:sz w:val="16"/>
          <w:szCs w:val="16"/>
          <w:u w:val="single"/>
          <w:rtl/>
        </w:rPr>
        <w:t xml:space="preserve"> ש</w:t>
      </w:r>
      <w:r w:rsidR="00F207F5">
        <w:rPr>
          <w:rFonts w:cs="Arial" w:hint="cs"/>
          <w:sz w:val="16"/>
          <w:szCs w:val="16"/>
          <w:u w:val="single"/>
          <w:rtl/>
        </w:rPr>
        <w:t>ני</w:t>
      </w:r>
      <w:r w:rsidR="00F207F5" w:rsidRPr="00206F0C">
        <w:rPr>
          <w:rFonts w:cs="Arial" w:hint="cs"/>
          <w:sz w:val="16"/>
          <w:szCs w:val="16"/>
          <w:u w:val="single"/>
          <w:rtl/>
        </w:rPr>
        <w:t xml:space="preserve"> הדיוטות</w:t>
      </w:r>
      <w:r w:rsidR="00F207F5">
        <w:rPr>
          <w:rFonts w:cs="Arial" w:hint="cs"/>
          <w:sz w:val="16"/>
          <w:szCs w:val="16"/>
          <w:u w:val="single"/>
          <w:rtl/>
        </w:rPr>
        <w:t xml:space="preserve"> שטעו</w:t>
      </w:r>
      <w:r w:rsidR="00F207F5" w:rsidRPr="00206F0C">
        <w:rPr>
          <w:rFonts w:cs="Arial" w:hint="cs"/>
          <w:sz w:val="16"/>
          <w:szCs w:val="16"/>
          <w:u w:val="single"/>
          <w:rtl/>
        </w:rPr>
        <w:t>)</w:t>
      </w:r>
      <w:r w:rsidR="00F207F5" w:rsidRPr="00206F0C">
        <w:rPr>
          <w:rFonts w:cs="Arial" w:hint="cs"/>
          <w:u w:val="single"/>
          <w:rtl/>
        </w:rPr>
        <w:t>:</w:t>
      </w:r>
    </w:p>
    <w:p w14:paraId="0B902BA7" w14:textId="77777777" w:rsidR="00F207F5" w:rsidRPr="00A670B5" w:rsidRDefault="00F207F5" w:rsidP="00F207F5">
      <w:pPr>
        <w:ind w:left="360"/>
        <w:rPr>
          <w:rFonts w:cs="Arial"/>
          <w:u w:val="dotted"/>
        </w:rPr>
      </w:pPr>
      <w:r w:rsidRPr="00A670B5">
        <w:rPr>
          <w:rFonts w:cs="Arial"/>
          <w:u w:val="dotted"/>
          <w:rtl/>
        </w:rPr>
        <w:t>קבלוהו עלייהו בעלי דינ</w:t>
      </w:r>
      <w:r>
        <w:rPr>
          <w:rFonts w:cs="Arial" w:hint="cs"/>
          <w:u w:val="dotted"/>
          <w:rtl/>
        </w:rPr>
        <w:t>א</w:t>
      </w:r>
      <w:r w:rsidRPr="00A670B5">
        <w:rPr>
          <w:rFonts w:cs="Arial" w:hint="cs"/>
          <w:u w:val="dotted"/>
          <w:rtl/>
        </w:rPr>
        <w:t>:</w:t>
      </w:r>
    </w:p>
    <w:p w14:paraId="34E76CB3" w14:textId="77777777" w:rsidR="00F207F5" w:rsidRDefault="00F207F5" w:rsidP="004B0475">
      <w:pPr>
        <w:pStyle w:val="ac"/>
        <w:numPr>
          <w:ilvl w:val="0"/>
          <w:numId w:val="30"/>
        </w:numPr>
        <w:rPr>
          <w:rFonts w:cs="Arial"/>
        </w:rPr>
      </w:pPr>
      <w:r w:rsidRPr="00920D31">
        <w:rPr>
          <w:rFonts w:cs="Arial"/>
          <w:rtl/>
        </w:rPr>
        <w:t xml:space="preserve">רי"ף </w:t>
      </w:r>
      <w:r w:rsidRPr="00920D31">
        <w:rPr>
          <w:rFonts w:cs="Arial"/>
          <w:sz w:val="16"/>
          <w:szCs w:val="16"/>
          <w:rtl/>
        </w:rPr>
        <w:t>(שם י</w:t>
      </w:r>
      <w:r>
        <w:rPr>
          <w:rFonts w:cs="Arial" w:hint="cs"/>
          <w:sz w:val="16"/>
          <w:szCs w:val="16"/>
          <w:rtl/>
        </w:rPr>
        <w:t>ב.</w:t>
      </w:r>
      <w:r w:rsidRPr="00920D31">
        <w:rPr>
          <w:rFonts w:cs="Arial"/>
          <w:sz w:val="16"/>
          <w:szCs w:val="16"/>
          <w:rtl/>
        </w:rPr>
        <w:t>)</w:t>
      </w:r>
      <w:r w:rsidRPr="002D7131">
        <w:rPr>
          <w:rFonts w:cs="Arial"/>
          <w:rtl/>
        </w:rPr>
        <w:t xml:space="preserve"> </w:t>
      </w:r>
      <w:r>
        <w:rPr>
          <w:rFonts w:cs="Arial" w:hint="cs"/>
          <w:rtl/>
        </w:rPr>
        <w:t>ו</w:t>
      </w:r>
      <w:r w:rsidRPr="001E251C">
        <w:rPr>
          <w:rFonts w:cs="Arial"/>
          <w:rtl/>
        </w:rPr>
        <w:t>רמב"ם</w:t>
      </w:r>
      <w:r>
        <w:rPr>
          <w:rFonts w:cs="Arial" w:hint="cs"/>
          <w:rtl/>
        </w:rPr>
        <w:t xml:space="preserve"> </w:t>
      </w:r>
      <w:r w:rsidRPr="001D2F65">
        <w:rPr>
          <w:rFonts w:cs="Arial" w:hint="cs"/>
          <w:sz w:val="16"/>
          <w:szCs w:val="16"/>
          <w:rtl/>
        </w:rPr>
        <w:t>(</w:t>
      </w:r>
      <w:r w:rsidRPr="001D2F65">
        <w:rPr>
          <w:rFonts w:cs="Arial"/>
          <w:sz w:val="16"/>
          <w:szCs w:val="16"/>
          <w:rtl/>
        </w:rPr>
        <w:t>פ</w:t>
      </w:r>
      <w:r w:rsidRPr="001D2F65">
        <w:rPr>
          <w:rFonts w:cs="Arial" w:hint="cs"/>
          <w:sz w:val="16"/>
          <w:szCs w:val="16"/>
          <w:rtl/>
        </w:rPr>
        <w:t>"</w:t>
      </w:r>
      <w:r w:rsidRPr="001D2F65">
        <w:rPr>
          <w:rFonts w:cs="Arial"/>
          <w:sz w:val="16"/>
          <w:szCs w:val="16"/>
          <w:rtl/>
        </w:rPr>
        <w:t>ו מהל</w:t>
      </w:r>
      <w:r w:rsidRPr="001D2F65">
        <w:rPr>
          <w:rFonts w:cs="Arial" w:hint="cs"/>
          <w:sz w:val="16"/>
          <w:szCs w:val="16"/>
          <w:rtl/>
        </w:rPr>
        <w:t>'</w:t>
      </w:r>
      <w:r w:rsidRPr="001D2F65">
        <w:rPr>
          <w:rFonts w:cs="Arial"/>
          <w:sz w:val="16"/>
          <w:szCs w:val="16"/>
          <w:rtl/>
        </w:rPr>
        <w:t xml:space="preserve"> סנהדרין הל' ג)</w:t>
      </w:r>
      <w:r w:rsidRPr="00920D31">
        <w:rPr>
          <w:rFonts w:cs="Arial" w:hint="cs"/>
          <w:rtl/>
        </w:rPr>
        <w:t>-</w:t>
      </w:r>
      <w:r w:rsidRPr="00920D31">
        <w:rPr>
          <w:rFonts w:cs="Arial"/>
          <w:rtl/>
        </w:rPr>
        <w:t xml:space="preserve"> דליתיה מומחה וקבלוהו עלייהו בעלי דינים וטעה בשיקול הדעת ונשא ונתן ביד מה שעשה עשוי וישלם מביתו</w:t>
      </w:r>
      <w:r>
        <w:rPr>
          <w:rStyle w:val="ab"/>
          <w:rFonts w:cs="Arial"/>
          <w:rtl/>
        </w:rPr>
        <w:footnoteReference w:id="1248"/>
      </w:r>
      <w:r w:rsidRPr="00920D31">
        <w:rPr>
          <w:rFonts w:cs="Arial" w:hint="cs"/>
          <w:rtl/>
        </w:rPr>
        <w:t>,</w:t>
      </w:r>
      <w:r w:rsidRPr="00920D31">
        <w:rPr>
          <w:rFonts w:cs="Arial"/>
          <w:rtl/>
        </w:rPr>
        <w:t xml:space="preserve"> ואם לא נשא ונתן ביד פטור מלשלם</w:t>
      </w:r>
      <w:r>
        <w:rPr>
          <w:rStyle w:val="ab"/>
          <w:rFonts w:cs="Arial"/>
          <w:rtl/>
        </w:rPr>
        <w:footnoteReference w:id="1249"/>
      </w:r>
      <w:r w:rsidRPr="00920D31">
        <w:rPr>
          <w:rFonts w:cs="Arial"/>
          <w:rtl/>
        </w:rPr>
        <w:t xml:space="preserve"> והדר דינא</w:t>
      </w:r>
      <w:r>
        <w:rPr>
          <w:rStyle w:val="ab"/>
          <w:rFonts w:cs="Arial"/>
          <w:rtl/>
        </w:rPr>
        <w:footnoteReference w:id="1250"/>
      </w:r>
      <w:r w:rsidRPr="00920D31">
        <w:rPr>
          <w:rFonts w:cs="Arial" w:hint="cs"/>
          <w:rtl/>
        </w:rPr>
        <w:t>.</w:t>
      </w:r>
      <w:r w:rsidRPr="00920D31">
        <w:rPr>
          <w:rFonts w:cs="Arial"/>
          <w:rtl/>
        </w:rPr>
        <w:t xml:space="preserve"> </w:t>
      </w:r>
      <w:r w:rsidR="0053709B" w:rsidRPr="0053709B">
        <w:rPr>
          <w:rFonts w:cs="Arial" w:hint="cs"/>
          <w:color w:val="E36C0A" w:themeColor="accent6" w:themeShade="BF"/>
          <w:rtl/>
        </w:rPr>
        <w:t>(וכ"פ בשו"ע</w:t>
      </w:r>
      <w:r w:rsidR="0053709B">
        <w:rPr>
          <w:rFonts w:cs="Arial" w:hint="cs"/>
          <w:color w:val="E36C0A" w:themeColor="accent6" w:themeShade="BF"/>
          <w:sz w:val="16"/>
          <w:szCs w:val="16"/>
          <w:rtl/>
        </w:rPr>
        <w:t xml:space="preserve"> </w:t>
      </w:r>
      <w:r w:rsidR="0053709B">
        <w:rPr>
          <w:rFonts w:cs="Arial" w:hint="cs"/>
          <w:color w:val="000000" w:themeColor="text1"/>
          <w:sz w:val="16"/>
          <w:szCs w:val="16"/>
          <w:rtl/>
        </w:rPr>
        <w:t>[סע' ג]</w:t>
      </w:r>
      <w:r w:rsidR="0053709B" w:rsidRPr="0053709B">
        <w:rPr>
          <w:rFonts w:cs="Arial" w:hint="cs"/>
          <w:color w:val="E36C0A" w:themeColor="accent6" w:themeShade="BF"/>
          <w:rtl/>
        </w:rPr>
        <w:t>)</w:t>
      </w:r>
    </w:p>
    <w:p w14:paraId="2D41F05C" w14:textId="77777777" w:rsidR="00F207F5" w:rsidRDefault="00F207F5" w:rsidP="004B0475">
      <w:pPr>
        <w:pStyle w:val="ac"/>
        <w:numPr>
          <w:ilvl w:val="0"/>
          <w:numId w:val="30"/>
        </w:numPr>
        <w:rPr>
          <w:rFonts w:cs="Arial"/>
        </w:rPr>
      </w:pPr>
      <w:r w:rsidRPr="006261B9">
        <w:rPr>
          <w:rFonts w:cs="Arial"/>
          <w:rtl/>
        </w:rPr>
        <w:t xml:space="preserve">רא"ש </w:t>
      </w:r>
      <w:r w:rsidRPr="006261B9">
        <w:rPr>
          <w:rFonts w:cs="Arial"/>
          <w:sz w:val="16"/>
          <w:szCs w:val="16"/>
          <w:rtl/>
        </w:rPr>
        <w:t>(סי' ה)</w:t>
      </w:r>
      <w:r>
        <w:rPr>
          <w:rFonts w:cs="Arial" w:hint="cs"/>
          <w:rtl/>
        </w:rPr>
        <w:t xml:space="preserve"> וטור</w:t>
      </w:r>
      <w:r w:rsidRPr="006261B9">
        <w:rPr>
          <w:rFonts w:cs="Arial" w:hint="cs"/>
          <w:rtl/>
        </w:rPr>
        <w:t>-</w:t>
      </w:r>
      <w:r w:rsidRPr="006261B9">
        <w:rPr>
          <w:rFonts w:cs="Arial"/>
          <w:rtl/>
        </w:rPr>
        <w:t xml:space="preserve"> אם טעו בשיקול הדעת יחיד שאינו מומחה או שנים שאינם מומחים וקבלום עליהם</w:t>
      </w:r>
      <w:r w:rsidR="00D41D3C">
        <w:rPr>
          <w:rFonts w:cs="Arial" w:hint="cs"/>
          <w:rtl/>
        </w:rPr>
        <w:t xml:space="preserve"> -</w:t>
      </w:r>
      <w:r w:rsidRPr="006261B9">
        <w:rPr>
          <w:rFonts w:cs="Arial"/>
          <w:rtl/>
        </w:rPr>
        <w:t xml:space="preserve"> מה שעשה עשוי וישלם מביתו ואפילו לא נשאו ונתנו ביד</w:t>
      </w:r>
      <w:r>
        <w:rPr>
          <w:rStyle w:val="ab"/>
          <w:rFonts w:cs="Arial"/>
          <w:rtl/>
        </w:rPr>
        <w:footnoteReference w:id="1251"/>
      </w:r>
      <w:r w:rsidRPr="006261B9">
        <w:rPr>
          <w:rFonts w:cs="Arial"/>
          <w:rtl/>
        </w:rPr>
        <w:t>. אבל אם קבלו בעלי דינין עליהם יחיד שאינו מומחה בפירוש בין לדין בין לטעות דיניה דינא אי טעה בשקול הדעת ופטור</w:t>
      </w:r>
      <w:r>
        <w:rPr>
          <w:rStyle w:val="ab"/>
          <w:rFonts w:cs="Arial"/>
          <w:rtl/>
        </w:rPr>
        <w:footnoteReference w:id="1252"/>
      </w:r>
      <w:r>
        <w:rPr>
          <w:rFonts w:cs="Arial" w:hint="cs"/>
          <w:sz w:val="16"/>
          <w:szCs w:val="16"/>
          <w:rtl/>
        </w:rPr>
        <w:t xml:space="preserve"> (ל' הרא"ש)</w:t>
      </w:r>
      <w:r>
        <w:rPr>
          <w:rFonts w:cs="Arial" w:hint="cs"/>
          <w:rtl/>
        </w:rPr>
        <w:t>.</w:t>
      </w:r>
      <w:r w:rsidRPr="006261B9">
        <w:rPr>
          <w:rFonts w:cs="Arial"/>
          <w:rtl/>
        </w:rPr>
        <w:t xml:space="preserve"> </w:t>
      </w:r>
      <w:r w:rsidR="0053709B" w:rsidRPr="0053709B">
        <w:rPr>
          <w:rFonts w:cs="Arial" w:hint="cs"/>
          <w:color w:val="00B0F0"/>
          <w:rtl/>
        </w:rPr>
        <w:t xml:space="preserve">(וכ"פ הרמ"א </w:t>
      </w:r>
      <w:r w:rsidR="0053709B">
        <w:rPr>
          <w:rFonts w:cs="Arial" w:hint="cs"/>
          <w:color w:val="000000" w:themeColor="text1"/>
          <w:sz w:val="16"/>
          <w:szCs w:val="16"/>
          <w:rtl/>
        </w:rPr>
        <w:t>[סע' ג]</w:t>
      </w:r>
      <w:r w:rsidR="0053709B" w:rsidRPr="0053709B">
        <w:rPr>
          <w:rFonts w:cs="Arial" w:hint="cs"/>
          <w:color w:val="00B0F0"/>
          <w:rtl/>
        </w:rPr>
        <w:t>)</w:t>
      </w:r>
    </w:p>
    <w:p w14:paraId="55AED163" w14:textId="77777777" w:rsidR="00F207F5" w:rsidRDefault="00F207F5" w:rsidP="004B0475">
      <w:pPr>
        <w:pStyle w:val="ac"/>
        <w:numPr>
          <w:ilvl w:val="0"/>
          <w:numId w:val="30"/>
        </w:numPr>
        <w:rPr>
          <w:rFonts w:cs="Arial"/>
        </w:rPr>
      </w:pPr>
      <w:r>
        <w:rPr>
          <w:rFonts w:cs="Arial" w:hint="cs"/>
          <w:rtl/>
        </w:rPr>
        <w:t xml:space="preserve">י"א </w:t>
      </w:r>
      <w:r w:rsidRPr="00C451FC">
        <w:rPr>
          <w:rFonts w:cs="Arial" w:hint="cs"/>
          <w:sz w:val="16"/>
          <w:szCs w:val="16"/>
          <w:rtl/>
        </w:rPr>
        <w:t>(הביאם ה</w:t>
      </w:r>
      <w:r w:rsidRPr="00C451FC">
        <w:rPr>
          <w:rFonts w:cs="Arial"/>
          <w:sz w:val="16"/>
          <w:szCs w:val="16"/>
          <w:rtl/>
        </w:rPr>
        <w:t>נמוק</w:t>
      </w:r>
      <w:r w:rsidRPr="00C451FC">
        <w:rPr>
          <w:rFonts w:cs="Arial" w:hint="cs"/>
          <w:sz w:val="16"/>
          <w:szCs w:val="16"/>
          <w:rtl/>
        </w:rPr>
        <w:t>"</w:t>
      </w:r>
      <w:r w:rsidRPr="00C451FC">
        <w:rPr>
          <w:rFonts w:cs="Arial"/>
          <w:sz w:val="16"/>
          <w:szCs w:val="16"/>
          <w:rtl/>
        </w:rPr>
        <w:t>י ריש סנהדרין א. ד"ה גמרא)</w:t>
      </w:r>
      <w:r>
        <w:rPr>
          <w:rFonts w:cs="Arial" w:hint="cs"/>
          <w:rtl/>
        </w:rPr>
        <w:t>-</w:t>
      </w:r>
      <w:r w:rsidRPr="00911D1E">
        <w:rPr>
          <w:rFonts w:cs="Arial"/>
          <w:rtl/>
        </w:rPr>
        <w:t xml:space="preserve"> מהני קבלתן ואפילו טעו אינן חייבים לשלם</w:t>
      </w:r>
      <w:r>
        <w:rPr>
          <w:rFonts w:cs="Arial" w:hint="cs"/>
          <w:rtl/>
        </w:rPr>
        <w:t>.</w:t>
      </w:r>
    </w:p>
    <w:p w14:paraId="2EA3A63F" w14:textId="77777777" w:rsidR="00F207F5" w:rsidRPr="0041227A" w:rsidRDefault="00F207F5" w:rsidP="00F207F5">
      <w:pPr>
        <w:ind w:left="360"/>
        <w:rPr>
          <w:rFonts w:cs="Arial"/>
          <w:u w:val="dotted"/>
          <w:rtl/>
        </w:rPr>
      </w:pPr>
      <w:r w:rsidRPr="0041227A">
        <w:rPr>
          <w:rFonts w:cs="Arial" w:hint="cs"/>
          <w:u w:val="dotted"/>
          <w:rtl/>
        </w:rPr>
        <w:t>נקיט רשותא מריש גלותא</w:t>
      </w:r>
      <w:r>
        <w:rPr>
          <w:rFonts w:cs="Arial" w:hint="cs"/>
          <w:u w:val="dotted"/>
          <w:rtl/>
        </w:rPr>
        <w:t xml:space="preserve"> ולא קיבלוהו בעלי דינא</w:t>
      </w:r>
      <w:r w:rsidRPr="0041227A">
        <w:rPr>
          <w:rFonts w:cs="Arial" w:hint="cs"/>
          <w:u w:val="dotted"/>
          <w:rtl/>
        </w:rPr>
        <w:t>:</w:t>
      </w:r>
    </w:p>
    <w:p w14:paraId="572D8C36" w14:textId="77777777" w:rsidR="00F207F5" w:rsidRPr="006A65B1" w:rsidRDefault="00F207F5" w:rsidP="004B0475">
      <w:pPr>
        <w:pStyle w:val="ac"/>
        <w:numPr>
          <w:ilvl w:val="0"/>
          <w:numId w:val="30"/>
        </w:numPr>
        <w:rPr>
          <w:rFonts w:cs="Arial"/>
        </w:rPr>
      </w:pPr>
      <w:r w:rsidRPr="006261B9">
        <w:rPr>
          <w:rFonts w:cs="Arial"/>
          <w:rtl/>
        </w:rPr>
        <w:t xml:space="preserve">רא"ש </w:t>
      </w:r>
      <w:r w:rsidRPr="006261B9">
        <w:rPr>
          <w:rFonts w:cs="Arial"/>
          <w:sz w:val="16"/>
          <w:szCs w:val="16"/>
          <w:rtl/>
        </w:rPr>
        <w:t>(סי' ה)</w:t>
      </w:r>
      <w:r>
        <w:rPr>
          <w:rFonts w:cs="Arial" w:hint="cs"/>
          <w:rtl/>
        </w:rPr>
        <w:t xml:space="preserve"> וטור</w:t>
      </w:r>
      <w:r w:rsidRPr="006261B9">
        <w:rPr>
          <w:rFonts w:cs="Arial" w:hint="cs"/>
          <w:rtl/>
        </w:rPr>
        <w:t>-</w:t>
      </w:r>
      <w:r w:rsidRPr="006261B9">
        <w:rPr>
          <w:rFonts w:cs="Arial"/>
          <w:rtl/>
        </w:rPr>
        <w:t xml:space="preserve"> יחיד הדיוט או שנים הדיוטות ונקיט רשותא מבי ריש גלותא אע</w:t>
      </w:r>
      <w:r>
        <w:rPr>
          <w:rFonts w:cs="Arial" w:hint="cs"/>
          <w:rtl/>
        </w:rPr>
        <w:t>"פ</w:t>
      </w:r>
      <w:r w:rsidRPr="006261B9">
        <w:rPr>
          <w:rFonts w:cs="Arial"/>
          <w:rtl/>
        </w:rPr>
        <w:t xml:space="preserve"> דלא קבלוהו עלייהו אם טעה בשקול הדעת פטור ואפילו נשא ונתן ביד</w:t>
      </w:r>
      <w:r>
        <w:rPr>
          <w:rStyle w:val="ab"/>
          <w:rFonts w:cs="Arial"/>
          <w:rtl/>
        </w:rPr>
        <w:footnoteReference w:id="1253"/>
      </w:r>
      <w:r>
        <w:rPr>
          <w:rFonts w:cs="Arial" w:hint="cs"/>
          <w:rtl/>
        </w:rPr>
        <w:t>,</w:t>
      </w:r>
      <w:r w:rsidRPr="006261B9">
        <w:rPr>
          <w:rFonts w:cs="Arial"/>
          <w:rtl/>
        </w:rPr>
        <w:t xml:space="preserve"> דכיון דיהבו ליה רשותא כמומחה הוי</w:t>
      </w:r>
      <w:r>
        <w:rPr>
          <w:rFonts w:cs="Arial" w:hint="cs"/>
          <w:rtl/>
        </w:rPr>
        <w:t>,</w:t>
      </w:r>
      <w:r w:rsidRPr="006261B9">
        <w:rPr>
          <w:rFonts w:cs="Arial"/>
          <w:rtl/>
        </w:rPr>
        <w:t xml:space="preserve"> ודוקא דגמיר ולא סביר אבל לא גמיר ולא סביר פסול לדון</w:t>
      </w:r>
      <w:r>
        <w:rPr>
          <w:rStyle w:val="ab"/>
          <w:rFonts w:cs="Arial"/>
          <w:rtl/>
        </w:rPr>
        <w:footnoteReference w:id="1254"/>
      </w:r>
      <w:r>
        <w:rPr>
          <w:rFonts w:cs="Arial" w:hint="cs"/>
          <w:sz w:val="16"/>
          <w:szCs w:val="16"/>
          <w:rtl/>
        </w:rPr>
        <w:t xml:space="preserve"> (ל' הרא"ש)</w:t>
      </w:r>
      <w:r>
        <w:rPr>
          <w:rFonts w:cs="Arial" w:hint="cs"/>
          <w:rtl/>
        </w:rPr>
        <w:t>.</w:t>
      </w:r>
      <w:r w:rsidRPr="006261B9">
        <w:rPr>
          <w:rFonts w:cs="Arial"/>
          <w:rtl/>
        </w:rPr>
        <w:t xml:space="preserve"> </w:t>
      </w:r>
      <w:r>
        <w:rPr>
          <w:rFonts w:cs="Arial" w:hint="cs"/>
          <w:rtl/>
        </w:rPr>
        <w:t xml:space="preserve"> </w:t>
      </w:r>
    </w:p>
    <w:p w14:paraId="0968DED8" w14:textId="77777777" w:rsidR="00F207F5" w:rsidRPr="00A670B5" w:rsidRDefault="00F207F5" w:rsidP="00F207F5">
      <w:pPr>
        <w:ind w:left="360"/>
        <w:rPr>
          <w:rFonts w:cs="Arial"/>
          <w:u w:val="dotted"/>
        </w:rPr>
      </w:pPr>
      <w:r w:rsidRPr="00A670B5">
        <w:rPr>
          <w:rFonts w:cs="Arial"/>
          <w:u w:val="dotted"/>
          <w:rtl/>
        </w:rPr>
        <w:t>לא קבלוהו בעלי דינין</w:t>
      </w:r>
      <w:r w:rsidRPr="00A670B5">
        <w:rPr>
          <w:rFonts w:cs="Arial" w:hint="cs"/>
          <w:u w:val="dotted"/>
          <w:rtl/>
        </w:rPr>
        <w:t>:</w:t>
      </w:r>
    </w:p>
    <w:p w14:paraId="1739B52D" w14:textId="77777777" w:rsidR="00F207F5" w:rsidRDefault="00F207F5" w:rsidP="004B0475">
      <w:pPr>
        <w:pStyle w:val="ac"/>
        <w:numPr>
          <w:ilvl w:val="0"/>
          <w:numId w:val="30"/>
        </w:numPr>
        <w:rPr>
          <w:rFonts w:cs="Arial"/>
        </w:rPr>
      </w:pPr>
      <w:r w:rsidRPr="00920D31">
        <w:rPr>
          <w:rFonts w:cs="Arial"/>
          <w:rtl/>
        </w:rPr>
        <w:lastRenderedPageBreak/>
        <w:t xml:space="preserve">רי"ף </w:t>
      </w:r>
      <w:r w:rsidRPr="00920D31">
        <w:rPr>
          <w:rFonts w:cs="Arial"/>
          <w:sz w:val="16"/>
          <w:szCs w:val="16"/>
          <w:rtl/>
        </w:rPr>
        <w:t>(שם י</w:t>
      </w:r>
      <w:r>
        <w:rPr>
          <w:rFonts w:cs="Arial" w:hint="cs"/>
          <w:sz w:val="16"/>
          <w:szCs w:val="16"/>
          <w:rtl/>
        </w:rPr>
        <w:t>ב.</w:t>
      </w:r>
      <w:r w:rsidRPr="00920D31">
        <w:rPr>
          <w:rFonts w:cs="Arial"/>
          <w:sz w:val="16"/>
          <w:szCs w:val="16"/>
          <w:rtl/>
        </w:rPr>
        <w:t>)</w:t>
      </w:r>
      <w:r w:rsidRPr="00920D31">
        <w:rPr>
          <w:rFonts w:cs="Arial" w:hint="cs"/>
          <w:rtl/>
        </w:rPr>
        <w:t>-</w:t>
      </w:r>
      <w:r w:rsidRPr="00920D31">
        <w:rPr>
          <w:rFonts w:cs="Arial"/>
          <w:rtl/>
        </w:rPr>
        <w:t xml:space="preserve"> דליתיה מומחה ולא קבלוהו בעלי דינין הא ודאי דיניה לאו דין הוא בין טעה בין לא טעה</w:t>
      </w:r>
      <w:r>
        <w:rPr>
          <w:rStyle w:val="ab"/>
          <w:rFonts w:cs="Arial"/>
          <w:rtl/>
        </w:rPr>
        <w:footnoteReference w:id="1255"/>
      </w:r>
      <w:r w:rsidRPr="00920D31">
        <w:rPr>
          <w:rFonts w:cs="Arial" w:hint="cs"/>
          <w:rtl/>
        </w:rPr>
        <w:t>,</w:t>
      </w:r>
      <w:r w:rsidRPr="00920D31">
        <w:rPr>
          <w:rFonts w:cs="Arial"/>
          <w:rtl/>
        </w:rPr>
        <w:t xml:space="preserve"> הילכך אע</w:t>
      </w:r>
      <w:r w:rsidRPr="00920D31">
        <w:rPr>
          <w:rFonts w:cs="Arial" w:hint="cs"/>
          <w:rtl/>
        </w:rPr>
        <w:t>"</w:t>
      </w:r>
      <w:r w:rsidRPr="00920D31">
        <w:rPr>
          <w:rFonts w:cs="Arial"/>
          <w:rtl/>
        </w:rPr>
        <w:t>ג דלא טעה ובעי חד מנייהו למיהדר למידן קמי דיינא דמומחה מצי הדר ביה ולית ליה להאיך לעכובי עלויה</w:t>
      </w:r>
      <w:r w:rsidRPr="00920D31">
        <w:rPr>
          <w:rFonts w:cs="Arial" w:hint="cs"/>
          <w:rtl/>
        </w:rPr>
        <w:t>,</w:t>
      </w:r>
      <w:r w:rsidRPr="00920D31">
        <w:rPr>
          <w:rFonts w:cs="Arial"/>
          <w:rtl/>
        </w:rPr>
        <w:t xml:space="preserve"> ואי טעה וקא אניס לבעל דין ואפיק מיניה ממונא ונשא ונתן ביד מחייב לשלומי מדיליה והדר הוא שקיל מהאיך משום דדינא לאו דינא הוא</w:t>
      </w:r>
      <w:r w:rsidRPr="00920D31">
        <w:rPr>
          <w:rFonts w:cs="Arial" w:hint="cs"/>
          <w:rtl/>
        </w:rPr>
        <w:t>,</w:t>
      </w:r>
      <w:r w:rsidRPr="00920D31">
        <w:rPr>
          <w:rFonts w:cs="Arial"/>
          <w:rtl/>
        </w:rPr>
        <w:t xml:space="preserve"> ואם לא נשא ונתן ביד הדר מרי דינא לחבריה ושקיל מיניה מאי דיהיב ליה ואי ליתיה דלשקול מיניה משלם ליה מדיליה דכיון דלאו דיינא הוא הוי ליה כגורם לאבד ממון חבירו וקיימא לן דדיינינן דינא דגרמי</w:t>
      </w:r>
      <w:r>
        <w:rPr>
          <w:rStyle w:val="ab"/>
          <w:rFonts w:cs="Arial"/>
          <w:rtl/>
        </w:rPr>
        <w:footnoteReference w:id="1256"/>
      </w:r>
      <w:r w:rsidRPr="00920D31">
        <w:rPr>
          <w:rFonts w:cs="Arial" w:hint="cs"/>
          <w:rtl/>
        </w:rPr>
        <w:t>.</w:t>
      </w:r>
      <w:r w:rsidR="00443258">
        <w:rPr>
          <w:rFonts w:cs="Arial" w:hint="cs"/>
          <w:rtl/>
        </w:rPr>
        <w:t xml:space="preserve"> </w:t>
      </w:r>
      <w:r w:rsidR="00443258" w:rsidRPr="00443258">
        <w:rPr>
          <w:rFonts w:cs="Arial" w:hint="cs"/>
          <w:color w:val="E36C0A" w:themeColor="accent6" w:themeShade="BF"/>
          <w:rtl/>
        </w:rPr>
        <w:t>(וכ"פ בשו"</w:t>
      </w:r>
      <w:r w:rsidR="00443258">
        <w:rPr>
          <w:rFonts w:cs="Arial" w:hint="cs"/>
          <w:color w:val="E36C0A" w:themeColor="accent6" w:themeShade="BF"/>
          <w:rtl/>
        </w:rPr>
        <w:t>ע</w:t>
      </w:r>
      <w:r w:rsidR="00443258" w:rsidRPr="0053709B">
        <w:rPr>
          <w:rFonts w:cs="Arial" w:hint="cs"/>
          <w:color w:val="00B0F0"/>
          <w:rtl/>
        </w:rPr>
        <w:t xml:space="preserve"> </w:t>
      </w:r>
      <w:r w:rsidR="00443258">
        <w:rPr>
          <w:rFonts w:cs="Arial" w:hint="cs"/>
          <w:color w:val="000000" w:themeColor="text1"/>
          <w:sz w:val="16"/>
          <w:szCs w:val="16"/>
          <w:rtl/>
        </w:rPr>
        <w:t>[סע' ד]</w:t>
      </w:r>
      <w:r w:rsidR="00443258" w:rsidRPr="00443258">
        <w:rPr>
          <w:rFonts w:cs="Arial" w:hint="cs"/>
          <w:color w:val="E36C0A" w:themeColor="accent6" w:themeShade="BF"/>
          <w:rtl/>
        </w:rPr>
        <w:t>)</w:t>
      </w:r>
    </w:p>
    <w:p w14:paraId="1BE83560" w14:textId="77777777" w:rsidR="00F207F5" w:rsidRDefault="00F207F5" w:rsidP="004B0475">
      <w:pPr>
        <w:pStyle w:val="ac"/>
        <w:numPr>
          <w:ilvl w:val="0"/>
          <w:numId w:val="30"/>
        </w:numPr>
        <w:rPr>
          <w:rFonts w:cs="Arial"/>
        </w:rPr>
      </w:pPr>
      <w:r w:rsidRPr="006261B9">
        <w:rPr>
          <w:rFonts w:cs="Arial"/>
          <w:rtl/>
        </w:rPr>
        <w:t xml:space="preserve">רא"ש </w:t>
      </w:r>
      <w:r w:rsidRPr="006261B9">
        <w:rPr>
          <w:rFonts w:cs="Arial"/>
          <w:sz w:val="16"/>
          <w:szCs w:val="16"/>
          <w:rtl/>
        </w:rPr>
        <w:t>(סי' ה)</w:t>
      </w:r>
      <w:r>
        <w:rPr>
          <w:rFonts w:cs="Arial" w:hint="cs"/>
          <w:rtl/>
        </w:rPr>
        <w:t xml:space="preserve"> וטור</w:t>
      </w:r>
      <w:r w:rsidRPr="006261B9">
        <w:rPr>
          <w:rFonts w:cs="Arial" w:hint="cs"/>
          <w:rtl/>
        </w:rPr>
        <w:t>-</w:t>
      </w:r>
      <w:r w:rsidRPr="006261B9">
        <w:rPr>
          <w:rFonts w:cs="Arial"/>
          <w:rtl/>
        </w:rPr>
        <w:t xml:space="preserve"> יחיד הדיוט או שנים הדיוטות ולא קבלו עלייהו ולא נקטו רשותא</w:t>
      </w:r>
      <w:r w:rsidR="00443258">
        <w:rPr>
          <w:rStyle w:val="ab"/>
          <w:rFonts w:cs="Arial"/>
          <w:rtl/>
        </w:rPr>
        <w:footnoteReference w:id="1257"/>
      </w:r>
      <w:r w:rsidRPr="006261B9">
        <w:rPr>
          <w:rFonts w:cs="Arial"/>
          <w:rtl/>
        </w:rPr>
        <w:t xml:space="preserve"> מבי ריש גלותא אפילו לא טעו אין דיניהם דין</w:t>
      </w:r>
      <w:r>
        <w:rPr>
          <w:rStyle w:val="ab"/>
          <w:rFonts w:cs="Arial"/>
          <w:rtl/>
        </w:rPr>
        <w:footnoteReference w:id="1258"/>
      </w:r>
      <w:r>
        <w:rPr>
          <w:rFonts w:cs="Arial" w:hint="cs"/>
          <w:sz w:val="16"/>
          <w:szCs w:val="16"/>
          <w:rtl/>
        </w:rPr>
        <w:t xml:space="preserve"> (ל' הרא"ש)</w:t>
      </w:r>
      <w:r>
        <w:rPr>
          <w:rFonts w:cs="Arial" w:hint="cs"/>
          <w:rtl/>
        </w:rPr>
        <w:t>.</w:t>
      </w:r>
      <w:r w:rsidRPr="006261B9">
        <w:rPr>
          <w:rFonts w:cs="Arial"/>
          <w:rtl/>
        </w:rPr>
        <w:t xml:space="preserve"> </w:t>
      </w:r>
    </w:p>
    <w:p w14:paraId="365455EE" w14:textId="77777777" w:rsidR="00B8570B" w:rsidRPr="00B8570B" w:rsidRDefault="00B8570B" w:rsidP="00B8570B">
      <w:pPr>
        <w:rPr>
          <w:rFonts w:cs="Arial"/>
          <w:u w:val="single"/>
          <w:rtl/>
        </w:rPr>
      </w:pPr>
      <w:r w:rsidRPr="00B8570B">
        <w:rPr>
          <w:rFonts w:cs="Arial" w:hint="cs"/>
          <w:u w:val="single"/>
          <w:rtl/>
        </w:rPr>
        <w:t xml:space="preserve">דיין שלא ידע שיש דעה במקורות שחולקת על הדעה שהוא הסתמך עליה </w:t>
      </w:r>
      <w:r w:rsidRPr="00B8570B">
        <w:rPr>
          <w:rFonts w:cs="Arial"/>
          <w:u w:val="single"/>
          <w:rtl/>
        </w:rPr>
        <w:t>–</w:t>
      </w:r>
      <w:r w:rsidRPr="00B8570B">
        <w:rPr>
          <w:rFonts w:cs="Arial" w:hint="cs"/>
          <w:u w:val="single"/>
          <w:rtl/>
        </w:rPr>
        <w:t xml:space="preserve"> האם מיקרי טעות בשיקול הדעת: </w:t>
      </w:r>
    </w:p>
    <w:p w14:paraId="5C714BD3" w14:textId="77777777" w:rsidR="00B8570B" w:rsidRPr="00B8570B" w:rsidRDefault="00B8570B" w:rsidP="004B0475">
      <w:pPr>
        <w:pStyle w:val="ac"/>
        <w:numPr>
          <w:ilvl w:val="0"/>
          <w:numId w:val="30"/>
        </w:numPr>
        <w:rPr>
          <w:rFonts w:cs="Arial"/>
          <w:rtl/>
        </w:rPr>
      </w:pPr>
      <w:r w:rsidRPr="0007145E">
        <w:rPr>
          <w:rFonts w:cs="Arial"/>
          <w:rtl/>
        </w:rPr>
        <w:t>הגה</w:t>
      </w:r>
      <w:r w:rsidRPr="0007145E">
        <w:rPr>
          <w:rFonts w:cs="Arial" w:hint="cs"/>
          <w:rtl/>
        </w:rPr>
        <w:t>"מ</w:t>
      </w:r>
      <w:r w:rsidRPr="0007145E">
        <w:rPr>
          <w:rFonts w:cs="Arial"/>
          <w:sz w:val="16"/>
          <w:szCs w:val="16"/>
          <w:rtl/>
        </w:rPr>
        <w:t xml:space="preserve"> </w:t>
      </w:r>
      <w:r w:rsidRPr="0007145E">
        <w:rPr>
          <w:rFonts w:cs="Arial" w:hint="cs"/>
          <w:sz w:val="16"/>
          <w:szCs w:val="16"/>
          <w:rtl/>
        </w:rPr>
        <w:t>(</w:t>
      </w:r>
      <w:r w:rsidRPr="0007145E">
        <w:rPr>
          <w:rFonts w:cs="Arial"/>
          <w:sz w:val="16"/>
          <w:szCs w:val="16"/>
          <w:rtl/>
        </w:rPr>
        <w:t>פ</w:t>
      </w:r>
      <w:r w:rsidRPr="0007145E">
        <w:rPr>
          <w:rFonts w:cs="Arial" w:hint="cs"/>
          <w:sz w:val="16"/>
          <w:szCs w:val="16"/>
          <w:rtl/>
        </w:rPr>
        <w:t>"ה</w:t>
      </w:r>
      <w:r w:rsidRPr="0007145E">
        <w:rPr>
          <w:rFonts w:cs="Arial"/>
          <w:sz w:val="16"/>
          <w:szCs w:val="16"/>
          <w:rtl/>
        </w:rPr>
        <w:t xml:space="preserve"> מהל</w:t>
      </w:r>
      <w:r w:rsidRPr="0007145E">
        <w:rPr>
          <w:rFonts w:cs="Arial" w:hint="cs"/>
          <w:sz w:val="16"/>
          <w:szCs w:val="16"/>
          <w:rtl/>
        </w:rPr>
        <w:t xml:space="preserve">' </w:t>
      </w:r>
      <w:r w:rsidRPr="0007145E">
        <w:rPr>
          <w:rFonts w:cs="Arial"/>
          <w:sz w:val="16"/>
          <w:szCs w:val="16"/>
          <w:rtl/>
        </w:rPr>
        <w:t>סנהדרין</w:t>
      </w:r>
      <w:r w:rsidRPr="0007145E">
        <w:rPr>
          <w:rFonts w:cs="Arial" w:hint="cs"/>
          <w:sz w:val="16"/>
          <w:szCs w:val="16"/>
          <w:rtl/>
        </w:rPr>
        <w:t>, ראה גם ב</w:t>
      </w:r>
      <w:r w:rsidRPr="0007145E">
        <w:rPr>
          <w:rFonts w:cs="Arial"/>
          <w:sz w:val="16"/>
          <w:szCs w:val="16"/>
          <w:rtl/>
        </w:rPr>
        <w:t>תשובות מיימוני שופטים סי' ח)</w:t>
      </w:r>
      <w:r w:rsidRPr="0007145E">
        <w:rPr>
          <w:rFonts w:cs="Arial" w:hint="cs"/>
          <w:rtl/>
        </w:rPr>
        <w:t>-</w:t>
      </w:r>
      <w:r w:rsidRPr="0007145E">
        <w:rPr>
          <w:rFonts w:cs="Arial"/>
          <w:rtl/>
        </w:rPr>
        <w:t xml:space="preserve"> היכי דמי שיקול הדעת אמר רב פפא כגון תרי תנאי וכו' אמר הר"ר יהודה הלכה למעשה דדוקא כה</w:t>
      </w:r>
      <w:r>
        <w:rPr>
          <w:rFonts w:cs="Arial" w:hint="cs"/>
          <w:rtl/>
        </w:rPr>
        <w:t>"</w:t>
      </w:r>
      <w:r w:rsidRPr="0007145E">
        <w:rPr>
          <w:rFonts w:cs="Arial"/>
          <w:rtl/>
        </w:rPr>
        <w:t>ג הוי שיקול הדעת אבל היכא דתרי תנאי או תרי אמוראי פליגי והדיין לא ידע כי אם דברי האחד ולא ידע שהשני חולק והורה ודן לא הוי שיקול הדעת ולא ישלם מביתו</w:t>
      </w:r>
      <w:r>
        <w:rPr>
          <w:rFonts w:cs="Arial" w:hint="cs"/>
          <w:rtl/>
        </w:rPr>
        <w:t>.</w:t>
      </w:r>
      <w:r w:rsidRPr="0007145E">
        <w:rPr>
          <w:rFonts w:cs="Arial"/>
          <w:rtl/>
        </w:rPr>
        <w:t xml:space="preserve"> ו</w:t>
      </w:r>
      <w:r>
        <w:rPr>
          <w:rFonts w:cs="Arial" w:hint="cs"/>
          <w:rtl/>
        </w:rPr>
        <w:t>ה"</w:t>
      </w:r>
      <w:r w:rsidRPr="0007145E">
        <w:rPr>
          <w:rFonts w:cs="Arial"/>
          <w:rtl/>
        </w:rPr>
        <w:t>ה אם טעה בדבר שרש"י פירש כך ושאר הגאונים בענין אחר ולא ידע כי אם האחד והורה ודן כאותו פירוש כה</w:t>
      </w:r>
      <w:r>
        <w:rPr>
          <w:rFonts w:cs="Arial" w:hint="cs"/>
          <w:rtl/>
        </w:rPr>
        <w:t>"</w:t>
      </w:r>
      <w:r w:rsidRPr="0007145E">
        <w:rPr>
          <w:rFonts w:cs="Arial"/>
          <w:rtl/>
        </w:rPr>
        <w:t>ג לא הוי שיקול הדעת אלא מה שעשה עשוי ולא ישלם מביתו</w:t>
      </w:r>
      <w:r>
        <w:rPr>
          <w:rFonts w:cs="Arial" w:hint="cs"/>
          <w:rtl/>
        </w:rPr>
        <w:t>.</w:t>
      </w:r>
      <w:r w:rsidRPr="0007145E">
        <w:rPr>
          <w:rFonts w:cs="Arial"/>
          <w:rtl/>
        </w:rPr>
        <w:t xml:space="preserve"> וראיה מעובדא דעכברא דשכיב אדינרי אמר ליה כבר הורה זקן אלמא אע</w:t>
      </w:r>
      <w:r w:rsidRPr="0007145E">
        <w:rPr>
          <w:rFonts w:cs="Arial" w:hint="cs"/>
          <w:rtl/>
        </w:rPr>
        <w:t>"</w:t>
      </w:r>
      <w:r w:rsidRPr="0007145E">
        <w:rPr>
          <w:rFonts w:cs="Arial"/>
          <w:rtl/>
        </w:rPr>
        <w:t>ג דרבי חייא פליג עליה מ</w:t>
      </w:r>
      <w:r>
        <w:rPr>
          <w:rFonts w:cs="Arial" w:hint="cs"/>
          <w:rtl/>
        </w:rPr>
        <w:t>"</w:t>
      </w:r>
      <w:r w:rsidRPr="0007145E">
        <w:rPr>
          <w:rFonts w:cs="Arial"/>
          <w:rtl/>
        </w:rPr>
        <w:t>מ כיון שלא ידע שהיה חולק עליו מה שעשה עשוי ולא ישלם מביתו</w:t>
      </w:r>
      <w:r>
        <w:rPr>
          <w:rStyle w:val="ab"/>
          <w:rFonts w:cs="Arial"/>
          <w:rtl/>
        </w:rPr>
        <w:footnoteReference w:id="1259"/>
      </w:r>
      <w:r w:rsidRPr="0007145E">
        <w:rPr>
          <w:rFonts w:cs="Arial" w:hint="cs"/>
          <w:rtl/>
        </w:rPr>
        <w:t>.</w:t>
      </w:r>
      <w:r>
        <w:rPr>
          <w:rFonts w:cs="Arial" w:hint="cs"/>
          <w:rtl/>
        </w:rPr>
        <w:t xml:space="preserve"> </w:t>
      </w:r>
      <w:r w:rsidR="00C50314">
        <w:rPr>
          <w:rFonts w:cs="Arial" w:hint="cs"/>
          <w:rtl/>
        </w:rPr>
        <w:t xml:space="preserve">(וכ"כ הסמ"ע </w:t>
      </w:r>
      <w:r w:rsidR="00C50314">
        <w:rPr>
          <w:rFonts w:cs="Arial" w:hint="cs"/>
          <w:sz w:val="16"/>
          <w:szCs w:val="16"/>
          <w:rtl/>
        </w:rPr>
        <w:t>[סק"י]</w:t>
      </w:r>
      <w:r w:rsidR="00C50314">
        <w:rPr>
          <w:rFonts w:cs="Arial" w:hint="cs"/>
          <w:rtl/>
        </w:rPr>
        <w:t>)</w:t>
      </w:r>
    </w:p>
    <w:p w14:paraId="0176B89F" w14:textId="77777777" w:rsidR="004D7082" w:rsidRDefault="004D7082" w:rsidP="004D7082">
      <w:pPr>
        <w:rPr>
          <w:rFonts w:cs="Arial"/>
          <w:rtl/>
        </w:rPr>
      </w:pPr>
      <w:r>
        <w:rPr>
          <w:rFonts w:cs="Arial" w:hint="cs"/>
          <w:u w:val="single"/>
          <w:rtl/>
        </w:rPr>
        <w:t xml:space="preserve">בעל דין שטוען </w:t>
      </w:r>
      <w:r w:rsidRPr="00407944">
        <w:rPr>
          <w:rFonts w:cs="Arial" w:hint="cs"/>
          <w:u w:val="single"/>
          <w:rtl/>
        </w:rPr>
        <w:t>קים לי:</w:t>
      </w:r>
      <w:r w:rsidRPr="000A40BA">
        <w:rPr>
          <w:rFonts w:cs="Arial" w:hint="cs"/>
          <w:sz w:val="16"/>
          <w:szCs w:val="16"/>
          <w:rtl/>
        </w:rPr>
        <w:t xml:space="preserve"> </w:t>
      </w:r>
      <w:r>
        <w:rPr>
          <w:rFonts w:cs="Arial" w:hint="cs"/>
          <w:sz w:val="16"/>
          <w:szCs w:val="16"/>
          <w:rtl/>
        </w:rPr>
        <w:t xml:space="preserve">  </w:t>
      </w:r>
      <w:r w:rsidRPr="000A40BA">
        <w:rPr>
          <w:rFonts w:cs="Arial" w:hint="cs"/>
          <w:sz w:val="16"/>
          <w:szCs w:val="16"/>
          <w:rtl/>
        </w:rPr>
        <w:t xml:space="preserve">(דרכ"מ אות </w:t>
      </w:r>
      <w:r>
        <w:rPr>
          <w:rFonts w:cs="Arial" w:hint="cs"/>
          <w:sz w:val="16"/>
          <w:szCs w:val="16"/>
          <w:rtl/>
        </w:rPr>
        <w:t>ד</w:t>
      </w:r>
      <w:r w:rsidRPr="000A40BA">
        <w:rPr>
          <w:rFonts w:cs="Arial" w:hint="cs"/>
          <w:sz w:val="16"/>
          <w:szCs w:val="16"/>
          <w:rtl/>
        </w:rPr>
        <w:t>)</w:t>
      </w:r>
      <w:r>
        <w:rPr>
          <w:rFonts w:cs="Arial"/>
          <w:rtl/>
        </w:rPr>
        <w:t xml:space="preserve"> </w:t>
      </w:r>
    </w:p>
    <w:p w14:paraId="42954C81" w14:textId="77777777" w:rsidR="004D7082" w:rsidRPr="00407944" w:rsidRDefault="004D7082" w:rsidP="004B0475">
      <w:pPr>
        <w:pStyle w:val="ac"/>
        <w:numPr>
          <w:ilvl w:val="0"/>
          <w:numId w:val="33"/>
        </w:numPr>
        <w:rPr>
          <w:rFonts w:cs="Arial"/>
          <w:rtl/>
        </w:rPr>
      </w:pPr>
      <w:r w:rsidRPr="00407944">
        <w:rPr>
          <w:rFonts w:cs="Arial"/>
          <w:rtl/>
        </w:rPr>
        <w:t>הגמ</w:t>
      </w:r>
      <w:r w:rsidRPr="00407944">
        <w:rPr>
          <w:rFonts w:cs="Arial" w:hint="cs"/>
          <w:rtl/>
        </w:rPr>
        <w:t>"</w:t>
      </w:r>
      <w:r w:rsidRPr="00407944">
        <w:rPr>
          <w:rFonts w:cs="Arial"/>
          <w:rtl/>
        </w:rPr>
        <w:t xml:space="preserve">ר </w:t>
      </w:r>
      <w:r w:rsidRPr="00407944">
        <w:rPr>
          <w:rFonts w:cs="Arial" w:hint="cs"/>
          <w:sz w:val="16"/>
          <w:szCs w:val="16"/>
          <w:rtl/>
        </w:rPr>
        <w:t xml:space="preserve">(סוף כתובות </w:t>
      </w:r>
      <w:r w:rsidRPr="00407944">
        <w:rPr>
          <w:rFonts w:cs="Arial"/>
          <w:sz w:val="16"/>
          <w:szCs w:val="16"/>
          <w:rtl/>
        </w:rPr>
        <w:t>סי' רצ</w:t>
      </w:r>
      <w:r w:rsidRPr="00407944">
        <w:rPr>
          <w:rFonts w:cs="Arial" w:hint="cs"/>
          <w:sz w:val="16"/>
          <w:szCs w:val="16"/>
          <w:rtl/>
        </w:rPr>
        <w:t>,</w:t>
      </w:r>
      <w:r w:rsidRPr="00407944">
        <w:rPr>
          <w:rFonts w:cs="Arial"/>
          <w:sz w:val="16"/>
          <w:szCs w:val="16"/>
          <w:rtl/>
        </w:rPr>
        <w:t xml:space="preserve"> </w:t>
      </w:r>
      <w:r w:rsidRPr="00407944">
        <w:rPr>
          <w:rFonts w:cs="Arial" w:hint="cs"/>
          <w:sz w:val="16"/>
          <w:szCs w:val="16"/>
          <w:rtl/>
        </w:rPr>
        <w:t>ו</w:t>
      </w:r>
      <w:r w:rsidRPr="00407944">
        <w:rPr>
          <w:rFonts w:cs="Arial"/>
          <w:sz w:val="16"/>
          <w:szCs w:val="16"/>
          <w:rtl/>
        </w:rPr>
        <w:t>בפרק נערה שנתפתתה סי' קנד)</w:t>
      </w:r>
      <w:r w:rsidRPr="00407944">
        <w:rPr>
          <w:rFonts w:cs="Arial" w:hint="cs"/>
          <w:rtl/>
        </w:rPr>
        <w:t>-</w:t>
      </w:r>
      <w:r w:rsidRPr="00407944">
        <w:rPr>
          <w:rFonts w:cs="Arial"/>
          <w:rtl/>
        </w:rPr>
        <w:t xml:space="preserve"> מצאתי</w:t>
      </w:r>
      <w:r w:rsidR="00D41D3C">
        <w:rPr>
          <w:rFonts w:cs="Arial" w:hint="cs"/>
          <w:rtl/>
        </w:rPr>
        <w:t>,</w:t>
      </w:r>
      <w:r w:rsidRPr="00407944">
        <w:rPr>
          <w:rFonts w:cs="Arial"/>
          <w:rtl/>
        </w:rPr>
        <w:t xml:space="preserve"> מהר"ם היה רגיל לפסוק היכא שגדולים חולקים בדבר אי תפס אחד לא מפקינן מיניה דיכול לומר לזה שכנגדו אייתי ראיה שהלכה כזה שפסק כנגדי</w:t>
      </w:r>
      <w:r w:rsidRPr="00407944">
        <w:rPr>
          <w:rFonts w:cs="Arial" w:hint="cs"/>
          <w:rtl/>
        </w:rPr>
        <w:t>.</w:t>
      </w:r>
    </w:p>
    <w:p w14:paraId="74A4D929" w14:textId="77777777" w:rsidR="004D7082" w:rsidRDefault="004D7082" w:rsidP="004B0475">
      <w:pPr>
        <w:pStyle w:val="ac"/>
        <w:numPr>
          <w:ilvl w:val="0"/>
          <w:numId w:val="33"/>
        </w:numPr>
        <w:rPr>
          <w:rtl/>
        </w:rPr>
      </w:pPr>
      <w:r w:rsidRPr="00407944">
        <w:rPr>
          <w:rFonts w:cs="Arial"/>
          <w:rtl/>
        </w:rPr>
        <w:t xml:space="preserve">מהרי"ק </w:t>
      </w:r>
      <w:r w:rsidRPr="00407944">
        <w:rPr>
          <w:rFonts w:cs="Arial" w:hint="cs"/>
          <w:sz w:val="16"/>
          <w:szCs w:val="16"/>
          <w:rtl/>
        </w:rPr>
        <w:t>(</w:t>
      </w:r>
      <w:r w:rsidRPr="00407944">
        <w:rPr>
          <w:rFonts w:cs="Arial"/>
          <w:sz w:val="16"/>
          <w:szCs w:val="16"/>
          <w:rtl/>
        </w:rPr>
        <w:t>שורש צד ענף ז)</w:t>
      </w:r>
      <w:r w:rsidRPr="00407944">
        <w:rPr>
          <w:rFonts w:cs="Arial" w:hint="cs"/>
          <w:rtl/>
        </w:rPr>
        <w:t xml:space="preserve">- בעל דין </w:t>
      </w:r>
      <w:r w:rsidRPr="00407944">
        <w:rPr>
          <w:rFonts w:cs="Arial"/>
          <w:rtl/>
        </w:rPr>
        <w:t>לא יכול למימר קים לי כפלוני אם לא בנדונית חתנים</w:t>
      </w:r>
      <w:r w:rsidR="00AB1D9E">
        <w:rPr>
          <w:rStyle w:val="ab"/>
          <w:rFonts w:cs="Arial"/>
          <w:rtl/>
        </w:rPr>
        <w:footnoteReference w:id="1260"/>
      </w:r>
      <w:r w:rsidRPr="00407944">
        <w:rPr>
          <w:rFonts w:cs="Arial"/>
          <w:rtl/>
        </w:rPr>
        <w:t xml:space="preserve"> שמתה אשתו אם חוזרת</w:t>
      </w:r>
      <w:r w:rsidR="00D41D3C">
        <w:rPr>
          <w:rFonts w:cs="Arial" w:hint="cs"/>
          <w:rtl/>
        </w:rPr>
        <w:t>,</w:t>
      </w:r>
      <w:r w:rsidRPr="00407944">
        <w:rPr>
          <w:rFonts w:cs="Arial"/>
          <w:rtl/>
        </w:rPr>
        <w:t xml:space="preserve"> או בפסקים שפסקו האחרונים</w:t>
      </w:r>
      <w:r>
        <w:rPr>
          <w:rStyle w:val="ab"/>
          <w:rFonts w:cs="Arial"/>
          <w:rtl/>
        </w:rPr>
        <w:footnoteReference w:id="1261"/>
      </w:r>
      <w:r w:rsidRPr="00407944">
        <w:rPr>
          <w:rFonts w:cs="Arial" w:hint="cs"/>
          <w:rtl/>
        </w:rPr>
        <w:t>.</w:t>
      </w:r>
    </w:p>
    <w:p w14:paraId="732BFF90" w14:textId="77777777" w:rsidR="004D7082" w:rsidRDefault="004D7082" w:rsidP="004D7082">
      <w:pPr>
        <w:rPr>
          <w:rFonts w:cs="Arial"/>
          <w:rtl/>
        </w:rPr>
      </w:pPr>
      <w:r>
        <w:rPr>
          <w:rFonts w:cs="Arial" w:hint="cs"/>
          <w:u w:val="single"/>
          <w:rtl/>
        </w:rPr>
        <w:t>כמי נוהגים לפסוק כשיש דעות לכאן ולכאן:</w:t>
      </w:r>
      <w:r>
        <w:rPr>
          <w:rFonts w:cs="Arial" w:hint="cs"/>
          <w:sz w:val="16"/>
          <w:szCs w:val="16"/>
          <w:rtl/>
        </w:rPr>
        <w:t xml:space="preserve">   </w:t>
      </w:r>
      <w:r w:rsidRPr="000A40BA">
        <w:rPr>
          <w:rFonts w:cs="Arial" w:hint="cs"/>
          <w:sz w:val="16"/>
          <w:szCs w:val="16"/>
          <w:rtl/>
        </w:rPr>
        <w:t>(</w:t>
      </w:r>
      <w:r>
        <w:rPr>
          <w:rFonts w:cs="Arial" w:hint="cs"/>
          <w:sz w:val="16"/>
          <w:szCs w:val="16"/>
          <w:rtl/>
        </w:rPr>
        <w:t>ב"י ו</w:t>
      </w:r>
      <w:r w:rsidRPr="000A40BA">
        <w:rPr>
          <w:rFonts w:cs="Arial" w:hint="cs"/>
          <w:sz w:val="16"/>
          <w:szCs w:val="16"/>
          <w:rtl/>
        </w:rPr>
        <w:t xml:space="preserve">דרכ"מ אות </w:t>
      </w:r>
      <w:r>
        <w:rPr>
          <w:rFonts w:cs="Arial" w:hint="cs"/>
          <w:sz w:val="16"/>
          <w:szCs w:val="16"/>
          <w:rtl/>
        </w:rPr>
        <w:t>ד</w:t>
      </w:r>
      <w:r w:rsidRPr="000A40BA">
        <w:rPr>
          <w:rFonts w:cs="Arial" w:hint="cs"/>
          <w:sz w:val="16"/>
          <w:szCs w:val="16"/>
          <w:rtl/>
        </w:rPr>
        <w:t>)</w:t>
      </w:r>
      <w:r>
        <w:rPr>
          <w:rFonts w:cs="Arial" w:hint="cs"/>
          <w:rtl/>
        </w:rPr>
        <w:t xml:space="preserve"> </w:t>
      </w:r>
    </w:p>
    <w:p w14:paraId="79F8394F" w14:textId="77777777" w:rsidR="004D7082" w:rsidRDefault="004D7082" w:rsidP="004B0475">
      <w:pPr>
        <w:pStyle w:val="ac"/>
        <w:numPr>
          <w:ilvl w:val="0"/>
          <w:numId w:val="35"/>
        </w:numPr>
        <w:rPr>
          <w:rtl/>
        </w:rPr>
      </w:pPr>
      <w:r w:rsidRPr="00E6390A">
        <w:rPr>
          <w:rFonts w:cs="Arial"/>
          <w:rtl/>
        </w:rPr>
        <w:t xml:space="preserve">מרדכי </w:t>
      </w:r>
      <w:r w:rsidRPr="00E6390A">
        <w:rPr>
          <w:rFonts w:cs="Arial" w:hint="cs"/>
          <w:sz w:val="16"/>
          <w:szCs w:val="16"/>
          <w:rtl/>
        </w:rPr>
        <w:t>(</w:t>
      </w:r>
      <w:r w:rsidRPr="00E6390A">
        <w:rPr>
          <w:rFonts w:cs="Arial"/>
          <w:sz w:val="16"/>
          <w:szCs w:val="16"/>
          <w:rtl/>
        </w:rPr>
        <w:t>פרק נערה שנתפתתה סי' קע)</w:t>
      </w:r>
      <w:r w:rsidRPr="00E6390A">
        <w:rPr>
          <w:rFonts w:cs="Arial" w:hint="cs"/>
          <w:rtl/>
        </w:rPr>
        <w:t xml:space="preserve">- </w:t>
      </w:r>
      <w:r w:rsidRPr="00E6390A">
        <w:rPr>
          <w:rFonts w:cs="Arial"/>
          <w:rtl/>
        </w:rPr>
        <w:t>נהגו לפסוק כרב אלפס</w:t>
      </w:r>
      <w:r>
        <w:rPr>
          <w:rStyle w:val="ab"/>
          <w:rFonts w:cs="Arial"/>
          <w:rtl/>
        </w:rPr>
        <w:footnoteReference w:id="1262"/>
      </w:r>
      <w:r w:rsidRPr="00E6390A">
        <w:rPr>
          <w:rFonts w:cs="Arial"/>
          <w:rtl/>
        </w:rPr>
        <w:t xml:space="preserve"> בדבר שלא נחלקו עליו התוס'. </w:t>
      </w:r>
      <w:r>
        <w:rPr>
          <w:rFonts w:hint="cs"/>
          <w:rtl/>
        </w:rPr>
        <w:t>(וכ"כ הסמ"ע</w:t>
      </w:r>
      <w:r>
        <w:rPr>
          <w:rFonts w:hint="cs"/>
          <w:sz w:val="16"/>
          <w:szCs w:val="16"/>
          <w:rtl/>
        </w:rPr>
        <w:t xml:space="preserve"> [סקי"ט]</w:t>
      </w:r>
      <w:r>
        <w:rPr>
          <w:rFonts w:hint="cs"/>
          <w:rtl/>
        </w:rPr>
        <w:t>)</w:t>
      </w:r>
    </w:p>
    <w:p w14:paraId="42BB9199" w14:textId="77777777" w:rsidR="004D7082" w:rsidRDefault="004D7082" w:rsidP="004B0475">
      <w:pPr>
        <w:pStyle w:val="ac"/>
        <w:numPr>
          <w:ilvl w:val="0"/>
          <w:numId w:val="35"/>
        </w:numPr>
      </w:pPr>
      <w:r>
        <w:rPr>
          <w:rFonts w:hint="cs"/>
          <w:rtl/>
        </w:rPr>
        <w:t xml:space="preserve">ב"י </w:t>
      </w:r>
      <w:r w:rsidRPr="00E6390A">
        <w:rPr>
          <w:rFonts w:cs="Arial" w:hint="cs"/>
          <w:sz w:val="16"/>
          <w:szCs w:val="16"/>
          <w:rtl/>
        </w:rPr>
        <w:t>(בבדה"ב)</w:t>
      </w:r>
      <w:r w:rsidRPr="00E6390A">
        <w:rPr>
          <w:rFonts w:cs="Arial" w:hint="cs"/>
          <w:rtl/>
        </w:rPr>
        <w:t>-</w:t>
      </w:r>
      <w:r w:rsidRPr="00E6390A">
        <w:rPr>
          <w:rFonts w:cs="Arial"/>
          <w:rtl/>
        </w:rPr>
        <w:t xml:space="preserve"> אני אומר שבזמן הזה פשט הדבר בכל גלילותינו לפסוק כהרמב"ם זולת בקצת מקומות שהוקשו להם דבריו ולא ירדו לסוף דעתו</w:t>
      </w:r>
      <w:r w:rsidRPr="00E6390A">
        <w:rPr>
          <w:rFonts w:cs="Arial" w:hint="cs"/>
          <w:rtl/>
        </w:rPr>
        <w:t>.</w:t>
      </w:r>
    </w:p>
    <w:p w14:paraId="30CD64D6" w14:textId="77777777" w:rsidR="004D7082" w:rsidRPr="00F207F5" w:rsidRDefault="004D7082" w:rsidP="004D7082">
      <w:pPr>
        <w:rPr>
          <w:u w:val="single"/>
        </w:rPr>
      </w:pPr>
      <w:r>
        <w:rPr>
          <w:rFonts w:hint="cs"/>
          <w:u w:val="single"/>
          <w:rtl/>
        </w:rPr>
        <w:t>תלמיד שרוצה לחלוק על רבו</w:t>
      </w:r>
      <w:r w:rsidRPr="00F207F5">
        <w:rPr>
          <w:rFonts w:hint="cs"/>
          <w:u w:val="single"/>
          <w:rtl/>
        </w:rPr>
        <w:t>:</w:t>
      </w:r>
      <w:r w:rsidRPr="00F207F5">
        <w:rPr>
          <w:rFonts w:cs="Arial" w:hint="cs"/>
          <w:sz w:val="16"/>
          <w:szCs w:val="16"/>
          <w:rtl/>
        </w:rPr>
        <w:t xml:space="preserve">   (דרכ"מ אות ד)</w:t>
      </w:r>
    </w:p>
    <w:p w14:paraId="52A23FCE" w14:textId="77777777" w:rsidR="004D7082" w:rsidRDefault="004D7082" w:rsidP="004B0475">
      <w:pPr>
        <w:pStyle w:val="ac"/>
        <w:numPr>
          <w:ilvl w:val="0"/>
          <w:numId w:val="35"/>
        </w:numPr>
        <w:rPr>
          <w:rtl/>
        </w:rPr>
      </w:pPr>
      <w:r w:rsidRPr="00E6390A">
        <w:rPr>
          <w:rFonts w:cs="Arial"/>
          <w:rtl/>
        </w:rPr>
        <w:t xml:space="preserve">מהרא"י </w:t>
      </w:r>
      <w:r w:rsidRPr="00E6390A">
        <w:rPr>
          <w:rFonts w:cs="Arial" w:hint="cs"/>
          <w:sz w:val="16"/>
          <w:szCs w:val="16"/>
          <w:rtl/>
        </w:rPr>
        <w:t>(</w:t>
      </w:r>
      <w:r w:rsidRPr="00E6390A">
        <w:rPr>
          <w:rFonts w:cs="Arial"/>
          <w:sz w:val="16"/>
          <w:szCs w:val="16"/>
          <w:rtl/>
        </w:rPr>
        <w:t>בפסקיו סי</w:t>
      </w:r>
      <w:r w:rsidRPr="00E6390A">
        <w:rPr>
          <w:rFonts w:cs="Arial" w:hint="cs"/>
          <w:sz w:val="16"/>
          <w:szCs w:val="16"/>
          <w:rtl/>
        </w:rPr>
        <w:t>'</w:t>
      </w:r>
      <w:r w:rsidRPr="00E6390A">
        <w:rPr>
          <w:rFonts w:cs="Arial"/>
          <w:sz w:val="16"/>
          <w:szCs w:val="16"/>
          <w:rtl/>
        </w:rPr>
        <w:t xml:space="preserve"> רלח</w:t>
      </w:r>
      <w:r w:rsidRPr="00E6390A">
        <w:rPr>
          <w:rFonts w:cs="Arial" w:hint="cs"/>
          <w:sz w:val="16"/>
          <w:szCs w:val="16"/>
          <w:rtl/>
        </w:rPr>
        <w:t>)</w:t>
      </w:r>
      <w:r w:rsidRPr="00E6390A">
        <w:rPr>
          <w:rFonts w:cs="Arial" w:hint="cs"/>
          <w:rtl/>
        </w:rPr>
        <w:t>-</w:t>
      </w:r>
      <w:r w:rsidRPr="00E6390A">
        <w:rPr>
          <w:rFonts w:cs="Arial"/>
          <w:rtl/>
        </w:rPr>
        <w:t xml:space="preserve"> תלמיד יכול לחלוק על רבו כדרך שכתב הרא"ש </w:t>
      </w:r>
      <w:r w:rsidRPr="00E6390A">
        <w:rPr>
          <w:rFonts w:cs="Arial"/>
          <w:sz w:val="16"/>
          <w:szCs w:val="16"/>
          <w:rtl/>
        </w:rPr>
        <w:t xml:space="preserve">(סנהדרין פ"ד סי' ו) </w:t>
      </w:r>
      <w:r w:rsidRPr="00E6390A">
        <w:rPr>
          <w:rFonts w:cs="Arial"/>
          <w:rtl/>
        </w:rPr>
        <w:t>אם היה לו ראיות ברורות כו'</w:t>
      </w:r>
      <w:r w:rsidRPr="00E6390A">
        <w:rPr>
          <w:rFonts w:cs="Arial" w:hint="cs"/>
          <w:rtl/>
        </w:rPr>
        <w:t>.</w:t>
      </w:r>
    </w:p>
    <w:p w14:paraId="3576A86A" w14:textId="77777777" w:rsidR="00E137BC" w:rsidRPr="00576D5C" w:rsidRDefault="00E137BC" w:rsidP="00576D5C">
      <w:pPr>
        <w:rPr>
          <w:rFonts w:asciiTheme="minorBidi" w:hAnsiTheme="minorBidi"/>
          <w:b/>
          <w:bCs/>
          <w:color w:val="000000"/>
          <w:sz w:val="28"/>
          <w:szCs w:val="28"/>
          <w:u w:val="single"/>
          <w:rtl/>
        </w:rPr>
      </w:pPr>
      <w:r w:rsidRPr="00576D5C">
        <w:rPr>
          <w:rFonts w:asciiTheme="minorBidi" w:hAnsiTheme="minorBidi"/>
          <w:b/>
          <w:bCs/>
          <w:color w:val="000000"/>
          <w:sz w:val="28"/>
          <w:szCs w:val="28"/>
          <w:u w:val="single"/>
          <w:rtl/>
        </w:rPr>
        <w:t>שו"ע:</w:t>
      </w:r>
    </w:p>
    <w:p w14:paraId="2427B789" w14:textId="77777777" w:rsidR="00E137BC" w:rsidRDefault="00E137BC" w:rsidP="00576D5C">
      <w:pPr>
        <w:rPr>
          <w:rFonts w:asciiTheme="minorBidi" w:hAnsiTheme="minorBidi"/>
          <w:rtl/>
        </w:rPr>
      </w:pPr>
      <w:r w:rsidRPr="00576D5C">
        <w:rPr>
          <w:rFonts w:asciiTheme="minorBidi" w:hAnsiTheme="minorBidi"/>
          <w:rtl/>
        </w:rPr>
        <w:lastRenderedPageBreak/>
        <w:t>טעה בשיקול הדעת, כגון דבר שהיא מחלוקת תנאים או אמוראים ולא נפסקה ההלכה כאחד מהם בפירוש, ועשה כאחד מהם ולא ידע שכבר פשט המעשה בכל העולם</w:t>
      </w:r>
      <w:r w:rsidR="00136A66">
        <w:rPr>
          <w:rStyle w:val="ab"/>
          <w:rFonts w:asciiTheme="minorBidi" w:hAnsiTheme="minorBidi"/>
          <w:rtl/>
        </w:rPr>
        <w:footnoteReference w:id="1263"/>
      </w:r>
      <w:r w:rsidRPr="00576D5C">
        <w:rPr>
          <w:rFonts w:asciiTheme="minorBidi" w:hAnsiTheme="minorBidi"/>
          <w:rtl/>
        </w:rPr>
        <w:t xml:space="preserve"> כדברי האחד</w:t>
      </w:r>
      <w:r w:rsidR="00C50314">
        <w:rPr>
          <w:rStyle w:val="ab"/>
          <w:rFonts w:asciiTheme="minorBidi" w:hAnsiTheme="minorBidi"/>
          <w:rtl/>
        </w:rPr>
        <w:footnoteReference w:id="1264"/>
      </w:r>
      <w:r w:rsidRPr="00576D5C">
        <w:rPr>
          <w:rFonts w:asciiTheme="minorBidi" w:hAnsiTheme="minorBidi"/>
          <w:rtl/>
        </w:rPr>
        <w:t>, אם היה זה דיין מומחה ונטל רשות מריש גלותא</w:t>
      </w:r>
      <w:r w:rsidR="00C50314">
        <w:rPr>
          <w:rStyle w:val="ab"/>
          <w:rFonts w:asciiTheme="minorBidi" w:hAnsiTheme="minorBidi"/>
          <w:rtl/>
        </w:rPr>
        <w:footnoteReference w:id="1265"/>
      </w:r>
      <w:r w:rsidRPr="00576D5C">
        <w:rPr>
          <w:rFonts w:asciiTheme="minorBidi" w:hAnsiTheme="minorBidi"/>
          <w:rtl/>
        </w:rPr>
        <w:t>, או שלא נטל רשות אבל קבלו</w:t>
      </w:r>
      <w:r w:rsidR="00136A66">
        <w:rPr>
          <w:rStyle w:val="ab"/>
          <w:rFonts w:asciiTheme="minorBidi" w:hAnsiTheme="minorBidi"/>
          <w:rtl/>
        </w:rPr>
        <w:footnoteReference w:id="1266"/>
      </w:r>
      <w:r w:rsidRPr="00576D5C">
        <w:rPr>
          <w:rFonts w:asciiTheme="minorBidi" w:hAnsiTheme="minorBidi"/>
          <w:rtl/>
        </w:rPr>
        <w:t xml:space="preserve"> אותו בעלי דינים עליהם, הואיל והוא מומחה חוזר הדין. ואם אי אפשר להחזיר, פטור מלשלם. </w:t>
      </w:r>
      <w:r w:rsidRPr="000E49B4">
        <w:rPr>
          <w:rFonts w:asciiTheme="minorBidi" w:hAnsiTheme="minorBidi"/>
          <w:sz w:val="18"/>
          <w:szCs w:val="18"/>
          <w:rtl/>
        </w:rPr>
        <w:t>הגה: וג' הדיוטות דינם כיחיד מומחה. ועיין לעיל ס</w:t>
      </w:r>
      <w:r w:rsidR="00394830">
        <w:rPr>
          <w:rFonts w:asciiTheme="minorBidi" w:hAnsiTheme="minorBidi" w:hint="cs"/>
          <w:sz w:val="18"/>
          <w:szCs w:val="18"/>
          <w:rtl/>
        </w:rPr>
        <w:t>"</w:t>
      </w:r>
      <w:r w:rsidRPr="000E49B4">
        <w:rPr>
          <w:rFonts w:asciiTheme="minorBidi" w:hAnsiTheme="minorBidi"/>
          <w:sz w:val="18"/>
          <w:szCs w:val="18"/>
          <w:rtl/>
        </w:rPr>
        <w:t>ס ג' כיצד נטילת רשות מן השר מהני, ולא יאמר האדם</w:t>
      </w:r>
      <w:r w:rsidR="00136A66">
        <w:rPr>
          <w:rStyle w:val="ab"/>
          <w:rFonts w:asciiTheme="minorBidi" w:hAnsiTheme="minorBidi"/>
          <w:sz w:val="18"/>
          <w:szCs w:val="18"/>
          <w:rtl/>
        </w:rPr>
        <w:footnoteReference w:id="1267"/>
      </w:r>
      <w:r w:rsidRPr="000E49B4">
        <w:rPr>
          <w:rFonts w:asciiTheme="minorBidi" w:hAnsiTheme="minorBidi"/>
          <w:sz w:val="18"/>
          <w:szCs w:val="18"/>
          <w:rtl/>
        </w:rPr>
        <w:t xml:space="preserve"> אפסוק כמי שארצה בדבר שיש בו מחלוקת, ואם עושה כן הרי זה דין שקר, אלא אם הוא חכם גדול ויודע להכריע בראיות, הרשות בידו</w:t>
      </w:r>
      <w:r w:rsidR="00394830">
        <w:rPr>
          <w:rFonts w:asciiTheme="minorBidi" w:hAnsiTheme="minorBidi" w:hint="cs"/>
          <w:sz w:val="18"/>
          <w:szCs w:val="18"/>
          <w:rtl/>
        </w:rPr>
        <w:t>,</w:t>
      </w:r>
      <w:r w:rsidRPr="000E49B4">
        <w:rPr>
          <w:rFonts w:asciiTheme="minorBidi" w:hAnsiTheme="minorBidi"/>
          <w:sz w:val="18"/>
          <w:szCs w:val="18"/>
          <w:rtl/>
        </w:rPr>
        <w:t xml:space="preserve"> ואי לאו בר הכי הוא לא יוציא ממון מספק, דכל היכא דאיכא ספיקא דדינא אין מוציאין ממון מיד המוחזק</w:t>
      </w:r>
      <w:r w:rsidR="00AB1D9E">
        <w:rPr>
          <w:rStyle w:val="ab"/>
          <w:rFonts w:asciiTheme="minorBidi" w:hAnsiTheme="minorBidi"/>
          <w:sz w:val="18"/>
          <w:szCs w:val="18"/>
          <w:rtl/>
        </w:rPr>
        <w:footnoteReference w:id="1268"/>
      </w:r>
      <w:r w:rsidRPr="000E49B4">
        <w:rPr>
          <w:rFonts w:asciiTheme="minorBidi" w:hAnsiTheme="minorBidi"/>
          <w:sz w:val="18"/>
          <w:szCs w:val="18"/>
          <w:rtl/>
        </w:rPr>
        <w:t xml:space="preserve"> (טור). ואם הוא בהוראת איסור והיתר, והוא דבר איסור דאו</w:t>
      </w:r>
      <w:r w:rsidR="00394830">
        <w:rPr>
          <w:rFonts w:asciiTheme="minorBidi" w:hAnsiTheme="minorBidi" w:hint="cs"/>
          <w:sz w:val="18"/>
          <w:szCs w:val="18"/>
          <w:rtl/>
        </w:rPr>
        <w:t>'</w:t>
      </w:r>
      <w:r w:rsidRPr="000E49B4">
        <w:rPr>
          <w:rFonts w:asciiTheme="minorBidi" w:hAnsiTheme="minorBidi"/>
          <w:sz w:val="18"/>
          <w:szCs w:val="18"/>
          <w:rtl/>
        </w:rPr>
        <w:t xml:space="preserve"> ילך לחומרא</w:t>
      </w:r>
      <w:r w:rsidR="00394830">
        <w:rPr>
          <w:rFonts w:asciiTheme="minorBidi" w:hAnsiTheme="minorBidi" w:hint="cs"/>
          <w:sz w:val="18"/>
          <w:szCs w:val="18"/>
          <w:rtl/>
        </w:rPr>
        <w:t>,</w:t>
      </w:r>
      <w:r w:rsidRPr="000E49B4">
        <w:rPr>
          <w:rFonts w:asciiTheme="minorBidi" w:hAnsiTheme="minorBidi"/>
          <w:sz w:val="18"/>
          <w:szCs w:val="18"/>
          <w:rtl/>
        </w:rPr>
        <w:t xml:space="preserve"> ואי דבר דרבנן ילך אחר המיקל. ודוקא אם ב' החולקים הם שוין, אבל אין סומכין על דברי קטן נגד דברי גדול ממנו בחכמה ובמנין</w:t>
      </w:r>
      <w:r w:rsidR="004D7082">
        <w:rPr>
          <w:rStyle w:val="ab"/>
          <w:rFonts w:asciiTheme="minorBidi" w:hAnsiTheme="minorBidi"/>
          <w:sz w:val="18"/>
          <w:szCs w:val="18"/>
          <w:rtl/>
        </w:rPr>
        <w:footnoteReference w:id="1269"/>
      </w:r>
      <w:r w:rsidRPr="000E49B4">
        <w:rPr>
          <w:rFonts w:asciiTheme="minorBidi" w:hAnsiTheme="minorBidi"/>
          <w:sz w:val="18"/>
          <w:szCs w:val="18"/>
          <w:rtl/>
        </w:rPr>
        <w:t>, אפילו בשעת הדחק, אא</w:t>
      </w:r>
      <w:r w:rsidR="00394830">
        <w:rPr>
          <w:rFonts w:asciiTheme="minorBidi" w:hAnsiTheme="minorBidi" w:hint="cs"/>
          <w:sz w:val="18"/>
          <w:szCs w:val="18"/>
          <w:rtl/>
        </w:rPr>
        <w:t>"</w:t>
      </w:r>
      <w:r w:rsidRPr="000E49B4">
        <w:rPr>
          <w:rFonts w:asciiTheme="minorBidi" w:hAnsiTheme="minorBidi"/>
          <w:sz w:val="18"/>
          <w:szCs w:val="18"/>
          <w:rtl/>
        </w:rPr>
        <w:t>כ היה גם כן הפסד מרובה. וכן אם היה יחיד נגד רבים, הולכים אחר רבים בכל מקום (רשב"א סי</w:t>
      </w:r>
      <w:r w:rsidR="00394830">
        <w:rPr>
          <w:rFonts w:asciiTheme="minorBidi" w:hAnsiTheme="minorBidi" w:hint="cs"/>
          <w:sz w:val="18"/>
          <w:szCs w:val="18"/>
          <w:rtl/>
        </w:rPr>
        <w:t xml:space="preserve">' </w:t>
      </w:r>
      <w:r w:rsidRPr="000E49B4">
        <w:rPr>
          <w:rFonts w:asciiTheme="minorBidi" w:hAnsiTheme="minorBidi"/>
          <w:sz w:val="18"/>
          <w:szCs w:val="18"/>
          <w:rtl/>
        </w:rPr>
        <w:t>רנג), ואפילו אין הרבים מסכימים מטעם אחד, אלא כל אחד יש לו טעם בפני עצמו, הואיל והם מסכימים לענין הדין נקראו רבים ואזלינן בתרייהו (מהרי"ק שורש צד). ואם היה מנהג בעיר להקל מפני שחכם אחד הורה להם כך, הולכין אחר דעתו. ואם חכם אחר בא לאסור מה שהם מתירין, נהוג בו אסור</w:t>
      </w:r>
      <w:r w:rsidR="00136A66">
        <w:rPr>
          <w:rStyle w:val="ab"/>
          <w:rFonts w:asciiTheme="minorBidi" w:hAnsiTheme="minorBidi"/>
          <w:sz w:val="18"/>
          <w:szCs w:val="18"/>
          <w:rtl/>
        </w:rPr>
        <w:footnoteReference w:id="1270"/>
      </w:r>
      <w:r w:rsidRPr="000E49B4">
        <w:rPr>
          <w:rFonts w:asciiTheme="minorBidi" w:hAnsiTheme="minorBidi"/>
          <w:sz w:val="18"/>
          <w:szCs w:val="18"/>
          <w:rtl/>
        </w:rPr>
        <w:t xml:space="preserve"> (רשב"א סי</w:t>
      </w:r>
      <w:r w:rsidR="00394830">
        <w:rPr>
          <w:rFonts w:asciiTheme="minorBidi" w:hAnsiTheme="minorBidi" w:hint="cs"/>
          <w:sz w:val="18"/>
          <w:szCs w:val="18"/>
          <w:rtl/>
        </w:rPr>
        <w:t xml:space="preserve">' </w:t>
      </w:r>
      <w:r w:rsidRPr="000E49B4">
        <w:rPr>
          <w:rFonts w:asciiTheme="minorBidi" w:hAnsiTheme="minorBidi"/>
          <w:sz w:val="18"/>
          <w:szCs w:val="18"/>
          <w:rtl/>
        </w:rPr>
        <w:t>רנג). כל מקום שדברי הראשונים כתובים על ספר והם מפורסמים, והפוסקים האחרונים חולקים עליהם, כמו שלפעמים הפוסקים חולקים על הגאונים, הולכים אחר האחרונים, דהלכה כבתראי מאביי ורבא ואילך</w:t>
      </w:r>
      <w:r w:rsidR="00136A66">
        <w:rPr>
          <w:rStyle w:val="ab"/>
          <w:rFonts w:asciiTheme="minorBidi" w:hAnsiTheme="minorBidi"/>
          <w:sz w:val="18"/>
          <w:szCs w:val="18"/>
          <w:rtl/>
        </w:rPr>
        <w:footnoteReference w:id="1271"/>
      </w:r>
      <w:r w:rsidRPr="000E49B4">
        <w:rPr>
          <w:rFonts w:asciiTheme="minorBidi" w:hAnsiTheme="minorBidi"/>
          <w:sz w:val="18"/>
          <w:szCs w:val="18"/>
          <w:rtl/>
        </w:rPr>
        <w:t xml:space="preserve"> (מהרי"ק שורש פד). אבל אם נמצא לפעמים תשובת גאון ולא עלה זכרונו על ספר, ונמצאו אחרים חולקים עליו, אין צריכים לפסוק כדברי האחרונים, שאפשר שלא ידעו דברי הגאון ואי הוי שמיע להו הוי הדרי בהו (מהרי"ק שורש</w:t>
      </w:r>
      <w:r w:rsidR="00394830">
        <w:rPr>
          <w:rFonts w:asciiTheme="minorBidi" w:hAnsiTheme="minorBidi" w:hint="cs"/>
          <w:sz w:val="18"/>
          <w:szCs w:val="18"/>
          <w:rtl/>
        </w:rPr>
        <w:t xml:space="preserve"> </w:t>
      </w:r>
      <w:r w:rsidRPr="000E49B4">
        <w:rPr>
          <w:rFonts w:asciiTheme="minorBidi" w:hAnsiTheme="minorBidi"/>
          <w:sz w:val="18"/>
          <w:szCs w:val="18"/>
          <w:rtl/>
        </w:rPr>
        <w:t>צד)</w:t>
      </w:r>
      <w:r w:rsidR="00394830">
        <w:rPr>
          <w:rFonts w:asciiTheme="minorBidi" w:hAnsiTheme="minorBidi" w:hint="cs"/>
          <w:sz w:val="18"/>
          <w:szCs w:val="18"/>
          <w:rtl/>
        </w:rPr>
        <w:t>.</w:t>
      </w:r>
      <w:r w:rsidRPr="00576D5C">
        <w:rPr>
          <w:rFonts w:asciiTheme="minorBidi" w:hAnsiTheme="minorBidi"/>
          <w:rtl/>
        </w:rPr>
        <w:t xml:space="preserve"> </w:t>
      </w:r>
    </w:p>
    <w:p w14:paraId="22B8D21F" w14:textId="77777777" w:rsidR="000E49B4" w:rsidRPr="00576D5C" w:rsidRDefault="000E49B4" w:rsidP="00576D5C">
      <w:pPr>
        <w:rPr>
          <w:rFonts w:asciiTheme="minorBidi" w:hAnsiTheme="minorBidi"/>
          <w:rtl/>
        </w:rPr>
      </w:pPr>
    </w:p>
    <w:p w14:paraId="2761B073" w14:textId="77777777" w:rsidR="00E137BC" w:rsidRDefault="00E137BC" w:rsidP="006567B0">
      <w:pPr>
        <w:pStyle w:val="2"/>
        <w:rPr>
          <w:rtl/>
        </w:rPr>
      </w:pPr>
      <w:bookmarkStart w:id="183" w:name="_Toc24883663"/>
      <w:r w:rsidRPr="00576D5C">
        <w:rPr>
          <w:rtl/>
        </w:rPr>
        <w:t>סעיף ג</w:t>
      </w:r>
      <w:r w:rsidR="000E49B4">
        <w:rPr>
          <w:rFonts w:hint="cs"/>
          <w:rtl/>
        </w:rPr>
        <w:t>:</w:t>
      </w:r>
      <w:r w:rsidR="00443258">
        <w:rPr>
          <w:rFonts w:hint="cs"/>
          <w:rtl/>
        </w:rPr>
        <w:t xml:space="preserve"> טעות בשיקול הדעת </w:t>
      </w:r>
      <w:r w:rsidR="00443258">
        <w:rPr>
          <w:rtl/>
        </w:rPr>
        <w:t>–</w:t>
      </w:r>
      <w:r w:rsidR="00443258">
        <w:rPr>
          <w:rFonts w:hint="cs"/>
          <w:rtl/>
        </w:rPr>
        <w:t xml:space="preserve"> במומח</w:t>
      </w:r>
      <w:r w:rsidR="008C30CA">
        <w:rPr>
          <w:rFonts w:hint="cs"/>
          <w:rtl/>
        </w:rPr>
        <w:t>ה</w:t>
      </w:r>
      <w:r w:rsidR="00443258">
        <w:rPr>
          <w:rFonts w:hint="cs"/>
          <w:sz w:val="16"/>
          <w:szCs w:val="16"/>
          <w:rtl/>
        </w:rPr>
        <w:t xml:space="preserve"> </w:t>
      </w:r>
      <w:r w:rsidR="00443258">
        <w:rPr>
          <w:rFonts w:hint="cs"/>
          <w:rtl/>
        </w:rPr>
        <w:t>או בשאינו מומחה אך קיבלוהו עלייהו.</w:t>
      </w:r>
      <w:bookmarkEnd w:id="183"/>
    </w:p>
    <w:p w14:paraId="69BB06AA" w14:textId="77777777" w:rsidR="007E745D" w:rsidRPr="00D06934" w:rsidRDefault="007E745D" w:rsidP="007E745D">
      <w:pPr>
        <w:rPr>
          <w:rFonts w:cs="Arial"/>
        </w:rPr>
      </w:pPr>
      <w:r>
        <w:rPr>
          <w:rFonts w:cs="Arial" w:hint="cs"/>
          <w:u w:val="single"/>
          <w:rtl/>
        </w:rPr>
        <w:t xml:space="preserve">במקרה שהדיינים צריכים לשלם - </w:t>
      </w:r>
      <w:r w:rsidRPr="00D06934">
        <w:rPr>
          <w:rFonts w:cs="Arial" w:hint="cs"/>
          <w:u w:val="single"/>
          <w:rtl/>
        </w:rPr>
        <w:t>כיצד מתחלק התשלום בין הדיינים:</w:t>
      </w:r>
    </w:p>
    <w:p w14:paraId="46FB8E42" w14:textId="77777777" w:rsidR="007E745D" w:rsidRDefault="007E745D" w:rsidP="004B0475">
      <w:pPr>
        <w:pStyle w:val="ac"/>
        <w:numPr>
          <w:ilvl w:val="0"/>
          <w:numId w:val="30"/>
        </w:numPr>
        <w:rPr>
          <w:rFonts w:cs="Arial"/>
        </w:rPr>
      </w:pPr>
      <w:r>
        <w:rPr>
          <w:rFonts w:cs="Arial" w:hint="cs"/>
          <w:rtl/>
        </w:rPr>
        <w:t xml:space="preserve">רא"ש </w:t>
      </w:r>
      <w:r w:rsidRPr="006261B9">
        <w:rPr>
          <w:rFonts w:cs="Arial"/>
          <w:sz w:val="16"/>
          <w:szCs w:val="16"/>
          <w:rtl/>
        </w:rPr>
        <w:t>(סי' ה)</w:t>
      </w:r>
      <w:r>
        <w:rPr>
          <w:rFonts w:cs="Arial" w:hint="cs"/>
          <w:rtl/>
        </w:rPr>
        <w:t xml:space="preserve"> וטור- </w:t>
      </w:r>
      <w:r w:rsidRPr="006261B9">
        <w:rPr>
          <w:rFonts w:cs="Arial"/>
          <w:rtl/>
        </w:rPr>
        <w:t xml:space="preserve">אם הסכימו כאחד וטעו </w:t>
      </w:r>
      <w:r w:rsidR="0071796E">
        <w:rPr>
          <w:rFonts w:cs="Arial" w:hint="cs"/>
          <w:rtl/>
        </w:rPr>
        <w:t xml:space="preserve">- </w:t>
      </w:r>
      <w:r w:rsidRPr="006261B9">
        <w:rPr>
          <w:rFonts w:cs="Arial"/>
          <w:rtl/>
        </w:rPr>
        <w:t>משלשין ביניהם</w:t>
      </w:r>
      <w:r>
        <w:rPr>
          <w:rFonts w:cs="Arial" w:hint="cs"/>
          <w:rtl/>
        </w:rPr>
        <w:t>.</w:t>
      </w:r>
      <w:r w:rsidRPr="006261B9">
        <w:rPr>
          <w:rFonts w:cs="Arial"/>
          <w:rtl/>
        </w:rPr>
        <w:t xml:space="preserve"> ואי גמיר דינא בתר תרי מינייהו וטעו </w:t>
      </w:r>
      <w:r w:rsidR="0071796E">
        <w:rPr>
          <w:rFonts w:cs="Arial" w:hint="cs"/>
          <w:rtl/>
        </w:rPr>
        <w:t xml:space="preserve">- </w:t>
      </w:r>
      <w:r w:rsidRPr="006261B9">
        <w:rPr>
          <w:rFonts w:cs="Arial"/>
          <w:rtl/>
        </w:rPr>
        <w:t>משלמי תרי תלתי</w:t>
      </w:r>
      <w:r w:rsidR="0071796E">
        <w:rPr>
          <w:rFonts w:cs="Arial" w:hint="cs"/>
          <w:rtl/>
        </w:rPr>
        <w:t>,</w:t>
      </w:r>
      <w:r w:rsidRPr="006261B9">
        <w:rPr>
          <w:rFonts w:cs="Arial"/>
          <w:rtl/>
        </w:rPr>
        <w:t xml:space="preserve"> ואידך תילתא מפסיד בעל דין</w:t>
      </w:r>
      <w:r>
        <w:rPr>
          <w:rStyle w:val="ab"/>
          <w:rFonts w:cs="Arial"/>
          <w:rtl/>
        </w:rPr>
        <w:footnoteReference w:id="1272"/>
      </w:r>
      <w:r>
        <w:rPr>
          <w:rFonts w:cs="Arial" w:hint="cs"/>
          <w:rtl/>
        </w:rPr>
        <w:t xml:space="preserve">. </w:t>
      </w:r>
      <w:r w:rsidRPr="006261B9">
        <w:rPr>
          <w:rFonts w:cs="Arial"/>
          <w:rtl/>
        </w:rPr>
        <w:t xml:space="preserve">ואי הוו ארבעה או חמשה וגמר דינא בתלתא וטעו </w:t>
      </w:r>
      <w:r w:rsidR="0071796E">
        <w:rPr>
          <w:rFonts w:cs="Arial" w:hint="cs"/>
          <w:rtl/>
        </w:rPr>
        <w:t xml:space="preserve">- </w:t>
      </w:r>
      <w:r w:rsidRPr="006261B9">
        <w:rPr>
          <w:rFonts w:cs="Arial"/>
          <w:rtl/>
        </w:rPr>
        <w:t>מסתברא דהנך משלמי כולה</w:t>
      </w:r>
      <w:r w:rsidR="0071796E">
        <w:rPr>
          <w:rFonts w:cs="Arial" w:hint="cs"/>
          <w:rtl/>
        </w:rPr>
        <w:t>,</w:t>
      </w:r>
      <w:r w:rsidRPr="006261B9">
        <w:rPr>
          <w:rFonts w:cs="Arial"/>
          <w:rtl/>
        </w:rPr>
        <w:t xml:space="preserve"> דלא מצי למימר אי לאו אתון לא הוה סליק דינא בדידן</w:t>
      </w:r>
      <w:r w:rsidR="0071796E">
        <w:rPr>
          <w:rFonts w:cs="Arial" w:hint="cs"/>
          <w:rtl/>
        </w:rPr>
        <w:t>,</w:t>
      </w:r>
      <w:r w:rsidRPr="006261B9">
        <w:rPr>
          <w:rFonts w:cs="Arial"/>
          <w:rtl/>
        </w:rPr>
        <w:t xml:space="preserve"> דשלשה דנין את האדם בעל כרחו</w:t>
      </w:r>
      <w:r w:rsidR="0071796E">
        <w:rPr>
          <w:rFonts w:cs="Arial" w:hint="cs"/>
          <w:rtl/>
        </w:rPr>
        <w:t>.</w:t>
      </w:r>
      <w:r w:rsidRPr="006261B9">
        <w:rPr>
          <w:rFonts w:cs="Arial"/>
          <w:rtl/>
        </w:rPr>
        <w:t xml:space="preserve"> וכן נמי בתלתא וגמר דינא בתרי וחד מהני תרי מומחה </w:t>
      </w:r>
      <w:r w:rsidR="0071796E">
        <w:rPr>
          <w:rFonts w:cs="Arial" w:hint="cs"/>
          <w:rtl/>
        </w:rPr>
        <w:t xml:space="preserve">- </w:t>
      </w:r>
      <w:r w:rsidRPr="006261B9">
        <w:rPr>
          <w:rFonts w:cs="Arial"/>
          <w:rtl/>
        </w:rPr>
        <w:t>משלמי הני תרי כולה</w:t>
      </w:r>
      <w:r w:rsidR="0071796E">
        <w:rPr>
          <w:rFonts w:cs="Arial" w:hint="cs"/>
          <w:rtl/>
        </w:rPr>
        <w:t>,</w:t>
      </w:r>
      <w:r w:rsidRPr="006261B9">
        <w:rPr>
          <w:rFonts w:cs="Arial"/>
          <w:rtl/>
        </w:rPr>
        <w:t xml:space="preserve"> דמצי דינא למיגמר בהני תרי דכיון דחד מנייהו מומחה מצי למידן בעל כרחם</w:t>
      </w:r>
      <w:r>
        <w:rPr>
          <w:rFonts w:cs="Arial" w:hint="cs"/>
          <w:sz w:val="16"/>
          <w:szCs w:val="16"/>
          <w:rtl/>
        </w:rPr>
        <w:t xml:space="preserve"> (ל' הרא"ש)</w:t>
      </w:r>
      <w:r>
        <w:rPr>
          <w:rFonts w:cs="Arial" w:hint="cs"/>
          <w:rtl/>
        </w:rPr>
        <w:t>.</w:t>
      </w:r>
      <w:r w:rsidR="00443258" w:rsidRPr="00443258">
        <w:rPr>
          <w:rFonts w:cs="Arial" w:hint="cs"/>
          <w:color w:val="00B0F0"/>
          <w:rtl/>
        </w:rPr>
        <w:t xml:space="preserve"> </w:t>
      </w:r>
      <w:r w:rsidR="00443258" w:rsidRPr="0053709B">
        <w:rPr>
          <w:rFonts w:cs="Arial" w:hint="cs"/>
          <w:color w:val="00B0F0"/>
          <w:rtl/>
        </w:rPr>
        <w:t>(וכ"פ הרמ"א)</w:t>
      </w:r>
    </w:p>
    <w:p w14:paraId="3B8D6666" w14:textId="77777777" w:rsidR="00B35B48" w:rsidRDefault="00B35B48" w:rsidP="00B35B48">
      <w:pPr>
        <w:rPr>
          <w:rFonts w:cs="Arial"/>
          <w:u w:val="single"/>
          <w:rtl/>
        </w:rPr>
      </w:pPr>
      <w:r>
        <w:rPr>
          <w:rFonts w:cs="Arial" w:hint="cs"/>
          <w:u w:val="single"/>
          <w:rtl/>
        </w:rPr>
        <w:t xml:space="preserve">האם הדיין יכול </w:t>
      </w:r>
      <w:r w:rsidRPr="0039781E">
        <w:rPr>
          <w:rFonts w:cs="Arial" w:hint="cs"/>
          <w:u w:val="single"/>
          <w:rtl/>
        </w:rPr>
        <w:t xml:space="preserve">לומר </w:t>
      </w:r>
      <w:r w:rsidRPr="0039781E">
        <w:rPr>
          <w:rFonts w:cs="Arial"/>
          <w:u w:val="single"/>
          <w:rtl/>
        </w:rPr>
        <w:t xml:space="preserve">לבעל דין </w:t>
      </w:r>
      <w:r w:rsidRPr="0039781E">
        <w:rPr>
          <w:rFonts w:cs="Arial" w:hint="cs"/>
          <w:u w:val="single"/>
          <w:rtl/>
        </w:rPr>
        <w:t>'</w:t>
      </w:r>
      <w:r w:rsidRPr="0039781E">
        <w:rPr>
          <w:rFonts w:cs="Arial"/>
          <w:u w:val="single"/>
          <w:rtl/>
        </w:rPr>
        <w:t>החזר מה שנתן לך כי טעיתי</w:t>
      </w:r>
      <w:r w:rsidRPr="0039781E">
        <w:rPr>
          <w:rFonts w:cs="Arial" w:hint="cs"/>
          <w:u w:val="single"/>
          <w:rtl/>
        </w:rPr>
        <w:t>':</w:t>
      </w:r>
    </w:p>
    <w:p w14:paraId="3A9E2A87" w14:textId="77777777" w:rsidR="00B35B48" w:rsidRDefault="00B35B48" w:rsidP="004B0475">
      <w:pPr>
        <w:pStyle w:val="ac"/>
        <w:numPr>
          <w:ilvl w:val="0"/>
          <w:numId w:val="30"/>
        </w:numPr>
        <w:rPr>
          <w:rFonts w:cs="Arial"/>
        </w:rPr>
      </w:pPr>
      <w:r w:rsidRPr="006261B9">
        <w:rPr>
          <w:rFonts w:cs="Arial"/>
          <w:rtl/>
        </w:rPr>
        <w:lastRenderedPageBreak/>
        <w:t xml:space="preserve">רא"ש </w:t>
      </w:r>
      <w:r w:rsidRPr="006261B9">
        <w:rPr>
          <w:rFonts w:cs="Arial"/>
          <w:sz w:val="16"/>
          <w:szCs w:val="16"/>
          <w:rtl/>
        </w:rPr>
        <w:t>(סי' ה)</w:t>
      </w:r>
      <w:r>
        <w:rPr>
          <w:rFonts w:cs="Arial" w:hint="cs"/>
          <w:rtl/>
        </w:rPr>
        <w:t xml:space="preserve"> וטור</w:t>
      </w:r>
      <w:r w:rsidRPr="006261B9">
        <w:rPr>
          <w:rFonts w:cs="Arial" w:hint="cs"/>
          <w:rtl/>
        </w:rPr>
        <w:t>-</w:t>
      </w:r>
      <w:r>
        <w:rPr>
          <w:rFonts w:cs="Arial" w:hint="cs"/>
          <w:rtl/>
        </w:rPr>
        <w:t xml:space="preserve"> </w:t>
      </w:r>
      <w:r w:rsidRPr="001E251C">
        <w:rPr>
          <w:rFonts w:cs="Arial"/>
          <w:rtl/>
        </w:rPr>
        <w:t>כל היכא דדינא שישלם מביתו כגון יחיד שאינו מומחה</w:t>
      </w:r>
      <w:r>
        <w:rPr>
          <w:rStyle w:val="ab"/>
          <w:rFonts w:cs="Arial"/>
          <w:rtl/>
        </w:rPr>
        <w:footnoteReference w:id="1273"/>
      </w:r>
      <w:r w:rsidRPr="001E251C">
        <w:rPr>
          <w:rFonts w:cs="Arial"/>
          <w:rtl/>
        </w:rPr>
        <w:t xml:space="preserve"> וקבלוהו עליהם</w:t>
      </w:r>
      <w:r>
        <w:rPr>
          <w:rFonts w:cs="Arial" w:hint="cs"/>
          <w:rtl/>
        </w:rPr>
        <w:t>,</w:t>
      </w:r>
      <w:r w:rsidRPr="001E251C">
        <w:rPr>
          <w:rFonts w:cs="Arial"/>
          <w:rtl/>
        </w:rPr>
        <w:t xml:space="preserve"> או יחיד מומחה ולא קבלוהו עליהם או ג' הדיוטות ולא קבלו עליהם</w:t>
      </w:r>
      <w:r>
        <w:rPr>
          <w:rFonts w:cs="Arial" w:hint="cs"/>
          <w:rtl/>
        </w:rPr>
        <w:t>,</w:t>
      </w:r>
      <w:r w:rsidRPr="001E251C">
        <w:rPr>
          <w:rFonts w:cs="Arial"/>
          <w:rtl/>
        </w:rPr>
        <w:t xml:space="preserve"> בכלהו אפילו אם הבעל דין לפנינו ויש לו לשלם </w:t>
      </w:r>
      <w:r>
        <w:rPr>
          <w:rFonts w:cs="Arial" w:hint="cs"/>
          <w:rtl/>
        </w:rPr>
        <w:t xml:space="preserve">- </w:t>
      </w:r>
      <w:r w:rsidRPr="001E251C">
        <w:rPr>
          <w:rFonts w:cs="Arial"/>
          <w:rtl/>
        </w:rPr>
        <w:t>אינם יכולין לחזור ולהוציאה ממנו</w:t>
      </w:r>
      <w:r>
        <w:rPr>
          <w:rFonts w:cs="Arial" w:hint="cs"/>
          <w:rtl/>
        </w:rPr>
        <w:t>,</w:t>
      </w:r>
      <w:r w:rsidRPr="001E251C">
        <w:rPr>
          <w:rFonts w:cs="Arial"/>
          <w:rtl/>
        </w:rPr>
        <w:t xml:space="preserve"> אלא קם דינא וישלמו מביתם</w:t>
      </w:r>
      <w:r>
        <w:rPr>
          <w:rStyle w:val="ab"/>
          <w:rFonts w:cs="Arial"/>
          <w:rtl/>
        </w:rPr>
        <w:footnoteReference w:id="1274"/>
      </w:r>
      <w:r>
        <w:rPr>
          <w:rFonts w:cs="Arial" w:hint="cs"/>
          <w:sz w:val="16"/>
          <w:szCs w:val="16"/>
          <w:rtl/>
        </w:rPr>
        <w:t xml:space="preserve"> (ל' הטור בשם הרא"ש)</w:t>
      </w:r>
      <w:r>
        <w:rPr>
          <w:rFonts w:cs="Arial" w:hint="cs"/>
          <w:rtl/>
        </w:rPr>
        <w:t xml:space="preserve">. </w:t>
      </w:r>
    </w:p>
    <w:p w14:paraId="60D23DDB" w14:textId="77777777" w:rsidR="00B35B48" w:rsidRDefault="00B35B48" w:rsidP="004B0475">
      <w:pPr>
        <w:pStyle w:val="ac"/>
        <w:numPr>
          <w:ilvl w:val="0"/>
          <w:numId w:val="30"/>
        </w:numPr>
        <w:rPr>
          <w:rFonts w:cs="Arial"/>
        </w:rPr>
      </w:pPr>
      <w:r w:rsidRPr="0039781E">
        <w:rPr>
          <w:rFonts w:cs="Arial"/>
          <w:rtl/>
        </w:rPr>
        <w:t>בהעי</w:t>
      </w:r>
      <w:r>
        <w:rPr>
          <w:rFonts w:cs="Arial" w:hint="cs"/>
          <w:rtl/>
        </w:rPr>
        <w:t>"</w:t>
      </w:r>
      <w:r w:rsidRPr="0039781E">
        <w:rPr>
          <w:rFonts w:cs="Arial"/>
          <w:rtl/>
        </w:rPr>
        <w:t xml:space="preserve">ט </w:t>
      </w:r>
      <w:r w:rsidRPr="0039781E">
        <w:rPr>
          <w:rFonts w:cs="Arial"/>
          <w:sz w:val="16"/>
          <w:szCs w:val="16"/>
          <w:rtl/>
        </w:rPr>
        <w:t>(אות פ פסק דין פ:)</w:t>
      </w:r>
      <w:r w:rsidRPr="0039781E">
        <w:rPr>
          <w:rFonts w:cs="Arial"/>
          <w:rtl/>
        </w:rPr>
        <w:t xml:space="preserve"> בשם רב האי גאון</w:t>
      </w:r>
      <w:r>
        <w:rPr>
          <w:rFonts w:cs="Arial" w:hint="cs"/>
          <w:rtl/>
        </w:rPr>
        <w:t>-</w:t>
      </w:r>
      <w:r w:rsidRPr="0039781E">
        <w:rPr>
          <w:rFonts w:cs="Arial"/>
          <w:rtl/>
        </w:rPr>
        <w:t xml:space="preserve"> יחיד שאינו מומחה וקבלוהו עלייהו ואפילו נשא ונתן ביד אם ישנו לבעל לדין שנטל מה שלא היה לו ליטול </w:t>
      </w:r>
      <w:r w:rsidR="0071796E">
        <w:rPr>
          <w:rFonts w:cs="Arial" w:hint="cs"/>
          <w:rtl/>
        </w:rPr>
        <w:t xml:space="preserve">- </w:t>
      </w:r>
      <w:r w:rsidRPr="0039781E">
        <w:rPr>
          <w:rFonts w:cs="Arial"/>
          <w:rtl/>
        </w:rPr>
        <w:t>יש לו להחזיר מן הדין ולהוציא ממנו</w:t>
      </w:r>
      <w:r w:rsidR="0071796E">
        <w:rPr>
          <w:rFonts w:cs="Arial" w:hint="cs"/>
          <w:rtl/>
        </w:rPr>
        <w:t>,</w:t>
      </w:r>
      <w:r w:rsidRPr="0039781E">
        <w:rPr>
          <w:rFonts w:cs="Arial"/>
          <w:rtl/>
        </w:rPr>
        <w:t xml:space="preserve"> ואם איננו או שישנו ואין לו כח להחזיר משלם הוא מביתו</w:t>
      </w:r>
      <w:r>
        <w:rPr>
          <w:rStyle w:val="ab"/>
          <w:rFonts w:cs="Arial"/>
          <w:rtl/>
        </w:rPr>
        <w:footnoteReference w:id="1275"/>
      </w:r>
      <w:r w:rsidRPr="0039781E">
        <w:rPr>
          <w:rFonts w:cs="Arial" w:hint="cs"/>
          <w:rtl/>
        </w:rPr>
        <w:t>.</w:t>
      </w:r>
    </w:p>
    <w:p w14:paraId="7C9BD8F7" w14:textId="77777777" w:rsidR="00857F21" w:rsidRDefault="00857F21" w:rsidP="000E49B4">
      <w:pPr>
        <w:rPr>
          <w:rFonts w:cs="Arial"/>
          <w:rtl/>
        </w:rPr>
      </w:pPr>
      <w:r w:rsidRPr="00857F21">
        <w:rPr>
          <w:rFonts w:cs="Arial" w:hint="cs"/>
          <w:u w:val="single"/>
          <w:rtl/>
        </w:rPr>
        <w:t>בעל דין שרוצה לערער על הדיינים ולהזמינם לדין:</w:t>
      </w:r>
    </w:p>
    <w:p w14:paraId="01DF76D7" w14:textId="77777777" w:rsidR="000E49B4" w:rsidRDefault="000E49B4" w:rsidP="004B0475">
      <w:pPr>
        <w:pStyle w:val="ac"/>
        <w:numPr>
          <w:ilvl w:val="0"/>
          <w:numId w:val="36"/>
        </w:numPr>
        <w:rPr>
          <w:rtl/>
        </w:rPr>
      </w:pPr>
      <w:r w:rsidRPr="00857F21">
        <w:rPr>
          <w:rFonts w:cs="Arial"/>
          <w:rtl/>
        </w:rPr>
        <w:t xml:space="preserve">מרדכי </w:t>
      </w:r>
      <w:r w:rsidR="00857F21" w:rsidRPr="00857F21">
        <w:rPr>
          <w:rFonts w:cs="Arial" w:hint="cs"/>
          <w:sz w:val="16"/>
          <w:szCs w:val="16"/>
          <w:rtl/>
        </w:rPr>
        <w:t>(</w:t>
      </w:r>
      <w:r w:rsidRPr="00857F21">
        <w:rPr>
          <w:rFonts w:cs="Arial"/>
          <w:sz w:val="16"/>
          <w:szCs w:val="16"/>
          <w:rtl/>
        </w:rPr>
        <w:t>סנהדרין סי' תרעו-ז)</w:t>
      </w:r>
      <w:r w:rsidR="00857F21">
        <w:rPr>
          <w:rFonts w:cs="Arial" w:hint="cs"/>
          <w:rtl/>
        </w:rPr>
        <w:t>-</w:t>
      </w:r>
      <w:r w:rsidRPr="00857F21">
        <w:rPr>
          <w:rFonts w:cs="Arial"/>
          <w:rtl/>
        </w:rPr>
        <w:t xml:space="preserve"> נשאל לרבינו מאיר </w:t>
      </w:r>
      <w:r w:rsidRPr="00857F21">
        <w:rPr>
          <w:rFonts w:cs="Arial"/>
          <w:sz w:val="16"/>
          <w:szCs w:val="16"/>
          <w:rtl/>
        </w:rPr>
        <w:t xml:space="preserve">(שו"ת ד"פ סי' תשטו, תשיח) </w:t>
      </w:r>
      <w:r w:rsidRPr="00857F21">
        <w:rPr>
          <w:rFonts w:cs="Arial"/>
          <w:rtl/>
        </w:rPr>
        <w:t>אם יכול לערער על הדיינים ולהזמינם לדין</w:t>
      </w:r>
      <w:r w:rsidR="0071796E">
        <w:rPr>
          <w:rFonts w:cs="Arial" w:hint="cs"/>
          <w:rtl/>
        </w:rPr>
        <w:t>,</w:t>
      </w:r>
      <w:r w:rsidRPr="00857F21">
        <w:rPr>
          <w:rFonts w:cs="Arial"/>
          <w:rtl/>
        </w:rPr>
        <w:t xml:space="preserve"> והשיב </w:t>
      </w:r>
      <w:r w:rsidR="0071796E">
        <w:rPr>
          <w:rFonts w:cs="Arial" w:hint="cs"/>
          <w:rtl/>
        </w:rPr>
        <w:t xml:space="preserve">- </w:t>
      </w:r>
      <w:r w:rsidRPr="00857F21">
        <w:rPr>
          <w:rFonts w:cs="Arial"/>
          <w:rtl/>
        </w:rPr>
        <w:t>נראה לי שיכול</w:t>
      </w:r>
      <w:r w:rsidR="0071796E">
        <w:rPr>
          <w:rFonts w:cs="Arial" w:hint="cs"/>
          <w:rtl/>
        </w:rPr>
        <w:t>,</w:t>
      </w:r>
      <w:r w:rsidRPr="00857F21">
        <w:rPr>
          <w:rFonts w:cs="Arial"/>
          <w:rtl/>
        </w:rPr>
        <w:t xml:space="preserve"> דאי משום דאמרינן </w:t>
      </w:r>
      <w:r w:rsidRPr="00857F21">
        <w:rPr>
          <w:rFonts w:cs="Arial"/>
          <w:sz w:val="16"/>
          <w:szCs w:val="16"/>
          <w:rtl/>
        </w:rPr>
        <w:t xml:space="preserve">(ו.) </w:t>
      </w:r>
      <w:r w:rsidRPr="00857F21">
        <w:rPr>
          <w:rFonts w:cs="Arial"/>
          <w:rtl/>
        </w:rPr>
        <w:t>הכא במאי עסקינן דקבילו עלייהו אי הכי אמאי משלם דאמרו ליה דון לנו דין תורה</w:t>
      </w:r>
      <w:r w:rsidR="0071796E">
        <w:rPr>
          <w:rFonts w:cs="Arial" w:hint="cs"/>
          <w:rtl/>
        </w:rPr>
        <w:t>,</w:t>
      </w:r>
      <w:r w:rsidRPr="00857F21">
        <w:rPr>
          <w:rFonts w:cs="Arial"/>
          <w:rtl/>
        </w:rPr>
        <w:t xml:space="preserve"> משמע הא כל היכא דקבילו עלייהו בסתם לא ישלמו </w:t>
      </w:r>
      <w:r w:rsidR="0071796E">
        <w:rPr>
          <w:rFonts w:cs="Arial" w:hint="cs"/>
          <w:rtl/>
        </w:rPr>
        <w:t xml:space="preserve">- </w:t>
      </w:r>
      <w:r w:rsidRPr="00857F21">
        <w:rPr>
          <w:rFonts w:cs="Arial"/>
          <w:rtl/>
        </w:rPr>
        <w:t>אין להביא ראיה משם</w:t>
      </w:r>
      <w:r w:rsidR="00857F21">
        <w:rPr>
          <w:rFonts w:cs="Arial" w:hint="cs"/>
          <w:rtl/>
        </w:rPr>
        <w:t>,</w:t>
      </w:r>
      <w:r w:rsidRPr="00857F21">
        <w:rPr>
          <w:rFonts w:cs="Arial"/>
          <w:rtl/>
        </w:rPr>
        <w:t xml:space="preserve"> חדא דמצינו לפרושי מסתמא על דעת כן קבלוהו שידון דין תורה והיינו דקא מסיק דאמרו ליה דון לנו דין תורה</w:t>
      </w:r>
      <w:r w:rsidR="00857F21">
        <w:rPr>
          <w:rFonts w:cs="Arial" w:hint="cs"/>
          <w:rtl/>
        </w:rPr>
        <w:t>,</w:t>
      </w:r>
      <w:r w:rsidRPr="00857F21">
        <w:rPr>
          <w:rFonts w:cs="Arial"/>
          <w:rtl/>
        </w:rPr>
        <w:t xml:space="preserve"> ועוד דהתם מיירי דליכא אלא חד דיין וכו' אבל היכא דאיכא דיינים ובמשפט ובדין תורה אם טעו ישלמו</w:t>
      </w:r>
      <w:r w:rsidR="00857F21">
        <w:rPr>
          <w:rFonts w:cs="Arial" w:hint="cs"/>
          <w:rtl/>
        </w:rPr>
        <w:t>,</w:t>
      </w:r>
      <w:r w:rsidRPr="00857F21">
        <w:rPr>
          <w:rFonts w:cs="Arial"/>
          <w:rtl/>
        </w:rPr>
        <w:t xml:space="preserve"> ואפילו אם באנו לחלוק ולומר דן את הדין מה שעשה עשוי וישלם מביתו זהו דוקא בימיהם כשהיו דנים ומכריחים את העולם לדון בפניהם אבל בזמן הזה שמכריחים את הדיינים לישב בדין על פי חרם הקהילות על כן אם טעו לא ישלמו ומה יש להם לעשות</w:t>
      </w:r>
      <w:r w:rsidR="00857F21">
        <w:rPr>
          <w:rFonts w:cs="Arial" w:hint="cs"/>
          <w:rtl/>
        </w:rPr>
        <w:t xml:space="preserve"> -</w:t>
      </w:r>
      <w:r w:rsidRPr="00857F21">
        <w:rPr>
          <w:rFonts w:cs="Arial"/>
          <w:rtl/>
        </w:rPr>
        <w:t xml:space="preserve"> מכל מקום יש להם לחזור כשדנו שלא כדין ואם אינם רוצים ישלמו. ומה שאמרתם שקבעתם לו זמן להזמינם לדין וקבל עליו שאם לא יזמינם עד אותו זמן שלא יהא רשאי להזמינם עוד והעביר המועד נראה לי שמאחר שלא קבל עליו בקנין שיכול לחזור בו</w:t>
      </w:r>
      <w:r w:rsidR="00857F21">
        <w:rPr>
          <w:rFonts w:cs="Arial" w:hint="cs"/>
          <w:rtl/>
        </w:rPr>
        <w:t>.</w:t>
      </w:r>
      <w:r w:rsidR="00443258" w:rsidRPr="00857F21">
        <w:rPr>
          <w:rFonts w:cs="Arial" w:hint="cs"/>
          <w:color w:val="00B0F0"/>
          <w:rtl/>
        </w:rPr>
        <w:t xml:space="preserve"> (וכ"פ הרמ"א </w:t>
      </w:r>
      <w:r w:rsidR="00443258" w:rsidRPr="00857F21">
        <w:rPr>
          <w:rFonts w:cs="Arial" w:hint="cs"/>
          <w:color w:val="000000" w:themeColor="text1"/>
          <w:sz w:val="16"/>
          <w:szCs w:val="16"/>
          <w:rtl/>
        </w:rPr>
        <w:t>[סע' ג]</w:t>
      </w:r>
      <w:r w:rsidR="00443258" w:rsidRPr="00857F21">
        <w:rPr>
          <w:rFonts w:cs="Arial" w:hint="cs"/>
          <w:color w:val="00B0F0"/>
          <w:rtl/>
        </w:rPr>
        <w:t>)</w:t>
      </w:r>
    </w:p>
    <w:p w14:paraId="74DEDA5D" w14:textId="77777777" w:rsidR="0086776C" w:rsidRDefault="0086776C" w:rsidP="00911D1E">
      <w:pPr>
        <w:rPr>
          <w:rFonts w:cs="Arial"/>
          <w:rtl/>
        </w:rPr>
      </w:pPr>
      <w:bookmarkStart w:id="184" w:name="_Hlk18942628"/>
      <w:r>
        <w:rPr>
          <w:rFonts w:cs="Arial" w:hint="cs"/>
          <w:b/>
          <w:bCs/>
          <w:rtl/>
        </w:rPr>
        <w:t xml:space="preserve">סנהדרין </w:t>
      </w:r>
      <w:r w:rsidRPr="0086776C">
        <w:rPr>
          <w:rFonts w:cs="Arial" w:hint="cs"/>
          <w:b/>
          <w:bCs/>
          <w:sz w:val="16"/>
          <w:szCs w:val="16"/>
          <w:rtl/>
        </w:rPr>
        <w:t>(פ' זה בורר)</w:t>
      </w:r>
      <w:r>
        <w:rPr>
          <w:rFonts w:cs="Arial" w:hint="cs"/>
          <w:b/>
          <w:bCs/>
          <w:rtl/>
        </w:rPr>
        <w:t xml:space="preserve"> כט</w:t>
      </w:r>
      <w:r w:rsidR="00320DE4">
        <w:rPr>
          <w:rStyle w:val="ab"/>
          <w:rFonts w:cs="Arial"/>
          <w:b/>
          <w:bCs/>
          <w:rtl/>
        </w:rPr>
        <w:footnoteReference w:id="1276"/>
      </w:r>
      <w:r>
        <w:rPr>
          <w:rFonts w:cs="Arial" w:hint="cs"/>
          <w:b/>
          <w:bCs/>
          <w:rtl/>
        </w:rPr>
        <w:t xml:space="preserve"> ע"ב:</w:t>
      </w:r>
      <w:bookmarkEnd w:id="184"/>
      <w:r>
        <w:rPr>
          <w:rFonts w:cs="Arial" w:hint="cs"/>
          <w:b/>
          <w:bCs/>
          <w:rtl/>
        </w:rPr>
        <w:t xml:space="preserve"> </w:t>
      </w:r>
      <w:r w:rsidRPr="0086776C">
        <w:rPr>
          <w:rFonts w:cs="Arial"/>
          <w:rtl/>
        </w:rPr>
        <w:t>ההוא דהוה קרו ליה קב רשו</w:t>
      </w:r>
      <w:r>
        <w:rPr>
          <w:rStyle w:val="ab"/>
          <w:rFonts w:cs="Arial"/>
          <w:rtl/>
        </w:rPr>
        <w:footnoteReference w:id="1277"/>
      </w:r>
      <w:r w:rsidRPr="0086776C">
        <w:rPr>
          <w:rFonts w:cs="Arial"/>
          <w:rtl/>
        </w:rPr>
        <w:t>, אמר: מאן מסיק בי</w:t>
      </w:r>
      <w:r>
        <w:rPr>
          <w:rStyle w:val="ab"/>
          <w:rFonts w:cs="Arial"/>
          <w:rtl/>
        </w:rPr>
        <w:footnoteReference w:id="1278"/>
      </w:r>
      <w:r w:rsidRPr="0086776C">
        <w:rPr>
          <w:rFonts w:cs="Arial"/>
          <w:rtl/>
        </w:rPr>
        <w:t xml:space="preserve"> אלא פלוני ופלוני. אתו תבעוהו לדינא קמיה דרב נחמן. אמר רב נחמן: אדם עשוי</w:t>
      </w:r>
      <w:r>
        <w:rPr>
          <w:rStyle w:val="ab"/>
          <w:rFonts w:cs="Arial"/>
          <w:rtl/>
        </w:rPr>
        <w:footnoteReference w:id="1279"/>
      </w:r>
      <w:r w:rsidRPr="0086776C">
        <w:rPr>
          <w:rFonts w:cs="Arial"/>
          <w:rtl/>
        </w:rPr>
        <w:t xml:space="preserve"> שלא </w:t>
      </w:r>
      <w:r w:rsidR="000A29C2" w:rsidRPr="00E133FD">
        <w:rPr>
          <w:rFonts w:cs="Arial"/>
          <w:rtl/>
        </w:rPr>
        <w:t>ל</w:t>
      </w:r>
      <w:r w:rsidR="000A29C2" w:rsidRPr="00E133FD">
        <w:rPr>
          <w:rFonts w:cs="Arial" w:hint="cs"/>
          <w:rtl/>
        </w:rPr>
        <w:t>ֵ</w:t>
      </w:r>
      <w:r w:rsidR="000A29C2" w:rsidRPr="00E133FD">
        <w:rPr>
          <w:rFonts w:cs="Arial"/>
          <w:rtl/>
        </w:rPr>
        <w:t>ה</w:t>
      </w:r>
      <w:r w:rsidR="000A29C2" w:rsidRPr="00E133FD">
        <w:rPr>
          <w:rFonts w:cs="Arial" w:hint="cs"/>
          <w:rtl/>
        </w:rPr>
        <w:t>ַ</w:t>
      </w:r>
      <w:r w:rsidR="000A29C2" w:rsidRPr="00E133FD">
        <w:rPr>
          <w:rFonts w:cs="Arial"/>
          <w:rtl/>
        </w:rPr>
        <w:t>ש</w:t>
      </w:r>
      <w:r w:rsidR="000A29C2" w:rsidRPr="00E133FD">
        <w:rPr>
          <w:rFonts w:cs="Arial" w:hint="cs"/>
          <w:rtl/>
        </w:rPr>
        <w:t>ְׂ</w:t>
      </w:r>
      <w:r w:rsidR="000A29C2" w:rsidRPr="00E133FD">
        <w:rPr>
          <w:rFonts w:cs="Arial"/>
          <w:rtl/>
        </w:rPr>
        <w:t>ב</w:t>
      </w:r>
      <w:r w:rsidR="000A29C2" w:rsidRPr="00E133FD">
        <w:rPr>
          <w:rFonts w:cs="Arial" w:hint="cs"/>
          <w:rtl/>
        </w:rPr>
        <w:t>ִּ</w:t>
      </w:r>
      <w:r w:rsidR="000A29C2" w:rsidRPr="00E133FD">
        <w:rPr>
          <w:rFonts w:cs="Arial"/>
          <w:rtl/>
        </w:rPr>
        <w:t>יע</w:t>
      </w:r>
      <w:r w:rsidR="00FE45F2">
        <w:rPr>
          <w:rStyle w:val="ab"/>
          <w:rFonts w:cs="Arial"/>
          <w:rtl/>
        </w:rPr>
        <w:footnoteReference w:id="1280"/>
      </w:r>
      <w:r w:rsidRPr="0086776C">
        <w:rPr>
          <w:rFonts w:cs="Arial"/>
          <w:rtl/>
        </w:rPr>
        <w:t xml:space="preserve"> את עצמו. ההוא דהוו קרו ליה עכברא דשכיב אדינרי</w:t>
      </w:r>
      <w:r>
        <w:rPr>
          <w:rStyle w:val="ab"/>
          <w:rFonts w:cs="Arial"/>
          <w:rtl/>
        </w:rPr>
        <w:footnoteReference w:id="1281"/>
      </w:r>
      <w:r w:rsidRPr="0086776C">
        <w:rPr>
          <w:rFonts w:cs="Arial"/>
          <w:rtl/>
        </w:rPr>
        <w:t xml:space="preserve">, כי קא שכיב אמר: פלניא ופלניא מסקו בי זוזי. בתר דשכיב אתו תבעינהו ליורשין. </w:t>
      </w:r>
      <w:r w:rsidRPr="00FE45F2">
        <w:rPr>
          <w:rFonts w:cs="Arial"/>
          <w:u w:val="single"/>
          <w:rtl/>
        </w:rPr>
        <w:t>אתו לקמיה דרבי ישמעאל ברבי יוסי אמר להו</w:t>
      </w:r>
      <w:r w:rsidRPr="0086776C">
        <w:rPr>
          <w:rFonts w:cs="Arial"/>
          <w:rtl/>
        </w:rPr>
        <w:t xml:space="preserve">: כי אמרינן אדם עשוי שלא להשביע את עצמו - הני מילי מחיים. אבל לאחר מיתה - לא. פרעו פלגא. תבעינהו לדינא לאידך פלגא. </w:t>
      </w:r>
      <w:r w:rsidRPr="00FE45F2">
        <w:rPr>
          <w:rFonts w:cs="Arial"/>
          <w:u w:val="single"/>
          <w:rtl/>
        </w:rPr>
        <w:t>אתו לקמיה דרבי חייא, אמר להו</w:t>
      </w:r>
      <w:r w:rsidRPr="0086776C">
        <w:rPr>
          <w:rFonts w:cs="Arial"/>
          <w:rtl/>
        </w:rPr>
        <w:t xml:space="preserve">: כשם שאדם עשוי שלא להשביע את עצמו - כך אדם עשוי שלא להשביע את בניו. </w:t>
      </w:r>
      <w:r w:rsidRPr="00FE45F2">
        <w:rPr>
          <w:rFonts w:cs="Arial"/>
          <w:u w:val="single"/>
          <w:rtl/>
        </w:rPr>
        <w:t>אמרו ליה</w:t>
      </w:r>
      <w:r w:rsidRPr="0086776C">
        <w:rPr>
          <w:rFonts w:cs="Arial"/>
          <w:rtl/>
        </w:rPr>
        <w:t>: ניזיל וניהדר</w:t>
      </w:r>
      <w:r>
        <w:rPr>
          <w:rStyle w:val="ab"/>
          <w:rFonts w:cs="Arial"/>
          <w:rtl/>
        </w:rPr>
        <w:footnoteReference w:id="1282"/>
      </w:r>
      <w:r w:rsidRPr="0086776C">
        <w:rPr>
          <w:rFonts w:cs="Arial"/>
          <w:rtl/>
        </w:rPr>
        <w:t xml:space="preserve">! </w:t>
      </w:r>
      <w:r w:rsidRPr="00FE45F2">
        <w:rPr>
          <w:rFonts w:cs="Arial"/>
          <w:u w:val="single"/>
          <w:rtl/>
        </w:rPr>
        <w:t>אמר להו</w:t>
      </w:r>
      <w:r w:rsidRPr="0086776C">
        <w:rPr>
          <w:rFonts w:cs="Arial"/>
          <w:rtl/>
        </w:rPr>
        <w:t>: כבר הורה זקן</w:t>
      </w:r>
      <w:r>
        <w:rPr>
          <w:rStyle w:val="ab"/>
          <w:rFonts w:cs="Arial"/>
          <w:rtl/>
        </w:rPr>
        <w:footnoteReference w:id="1283"/>
      </w:r>
      <w:r w:rsidRPr="0086776C">
        <w:rPr>
          <w:rFonts w:cs="Arial"/>
          <w:rtl/>
        </w:rPr>
        <w:t xml:space="preserve">. </w:t>
      </w:r>
    </w:p>
    <w:p w14:paraId="246C0DD6" w14:textId="77777777" w:rsidR="00857F21" w:rsidRPr="006030CB" w:rsidRDefault="006030CB" w:rsidP="00911D1E">
      <w:pPr>
        <w:rPr>
          <w:rFonts w:cs="Arial"/>
          <w:u w:val="single"/>
          <w:rtl/>
        </w:rPr>
      </w:pPr>
      <w:r w:rsidRPr="006030CB">
        <w:rPr>
          <w:rFonts w:cs="Arial" w:hint="cs"/>
          <w:u w:val="single"/>
          <w:rtl/>
        </w:rPr>
        <w:t>דיין שטעה ועדיין לא הספיק התובע להוציא מהנתבע</w:t>
      </w:r>
      <w:r>
        <w:rPr>
          <w:rFonts w:cs="Arial" w:hint="cs"/>
          <w:u w:val="single"/>
          <w:rtl/>
        </w:rPr>
        <w:t xml:space="preserve"> עד שנתברר שטעה</w:t>
      </w:r>
      <w:r w:rsidRPr="006030CB">
        <w:rPr>
          <w:rFonts w:cs="Arial" w:hint="cs"/>
          <w:u w:val="single"/>
          <w:rtl/>
        </w:rPr>
        <w:t>:</w:t>
      </w:r>
    </w:p>
    <w:p w14:paraId="605B9272" w14:textId="77777777" w:rsidR="00857F21" w:rsidRPr="004E5603" w:rsidRDefault="00911D1E" w:rsidP="004B0475">
      <w:pPr>
        <w:pStyle w:val="ac"/>
        <w:numPr>
          <w:ilvl w:val="0"/>
          <w:numId w:val="36"/>
        </w:numPr>
        <w:rPr>
          <w:rFonts w:cs="Arial"/>
          <w:rtl/>
        </w:rPr>
      </w:pPr>
      <w:r w:rsidRPr="004E5603">
        <w:rPr>
          <w:rFonts w:cs="Arial"/>
          <w:rtl/>
        </w:rPr>
        <w:t xml:space="preserve">רמ"ה </w:t>
      </w:r>
      <w:r w:rsidR="00857F21" w:rsidRPr="004E5603">
        <w:rPr>
          <w:rFonts w:cs="Arial"/>
          <w:sz w:val="16"/>
          <w:szCs w:val="16"/>
          <w:rtl/>
        </w:rPr>
        <w:t>(סנהדרין לג. ד"ה ברם</w:t>
      </w:r>
      <w:r w:rsidR="00857F21" w:rsidRPr="004E5603">
        <w:rPr>
          <w:rFonts w:cs="Arial" w:hint="cs"/>
          <w:sz w:val="16"/>
          <w:szCs w:val="16"/>
          <w:rtl/>
        </w:rPr>
        <w:t>, כ"כ הטור בשמו</w:t>
      </w:r>
      <w:r w:rsidR="00857F21" w:rsidRPr="004E5603">
        <w:rPr>
          <w:rFonts w:cs="Arial"/>
          <w:sz w:val="16"/>
          <w:szCs w:val="16"/>
          <w:rtl/>
        </w:rPr>
        <w:t>)</w:t>
      </w:r>
      <w:r w:rsidR="00857F21" w:rsidRPr="004E5603">
        <w:rPr>
          <w:rFonts w:cs="Arial" w:hint="cs"/>
          <w:rtl/>
        </w:rPr>
        <w:t xml:space="preserve">- </w:t>
      </w:r>
      <w:r w:rsidRPr="004E5603">
        <w:rPr>
          <w:rFonts w:cs="Arial"/>
          <w:rtl/>
        </w:rPr>
        <w:t>דיינא דטעה ולא הספיק תובע לאפוקיה מיניה דנתבע עד דאיתברר דטעה</w:t>
      </w:r>
      <w:r w:rsidR="007C262A">
        <w:rPr>
          <w:rFonts w:cs="Arial" w:hint="cs"/>
          <w:rtl/>
        </w:rPr>
        <w:t>,</w:t>
      </w:r>
      <w:r w:rsidRPr="004E5603">
        <w:rPr>
          <w:rFonts w:cs="Arial"/>
          <w:rtl/>
        </w:rPr>
        <w:t xml:space="preserve"> ל"ש הדיוט ול"ש מומחה ל"ש טעה בדבר משנה ל"ש טעה בשיקול הדעת</w:t>
      </w:r>
      <w:r w:rsidR="00B71E51">
        <w:rPr>
          <w:rFonts w:cs="Arial" w:hint="cs"/>
          <w:rtl/>
        </w:rPr>
        <w:t xml:space="preserve"> -</w:t>
      </w:r>
      <w:r w:rsidRPr="004E5603">
        <w:rPr>
          <w:rFonts w:cs="Arial"/>
          <w:rtl/>
        </w:rPr>
        <w:t xml:space="preserve"> כל כמה דלא זכי תובע בממונו הדר דינא</w:t>
      </w:r>
      <w:r w:rsidR="007C262A">
        <w:rPr>
          <w:rFonts w:cs="Arial" w:hint="cs"/>
          <w:rtl/>
        </w:rPr>
        <w:t>.</w:t>
      </w:r>
      <w:r w:rsidRPr="004E5603">
        <w:rPr>
          <w:rFonts w:cs="Arial"/>
          <w:rtl/>
        </w:rPr>
        <w:t xml:space="preserve"> ואפילו זכי בפלגא ופש פלגא גבי אידך</w:t>
      </w:r>
      <w:r w:rsidR="007C262A">
        <w:rPr>
          <w:rFonts w:cs="Arial" w:hint="cs"/>
          <w:rtl/>
        </w:rPr>
        <w:t xml:space="preserve"> -</w:t>
      </w:r>
      <w:r w:rsidRPr="004E5603">
        <w:rPr>
          <w:rFonts w:cs="Arial"/>
          <w:rtl/>
        </w:rPr>
        <w:t xml:space="preserve"> ההוא פלגא דזכי ביה אם טעה בשיקול הדעת זכה לפום הנך אנפי דפרישנא בטועה בשיקול הדעת</w:t>
      </w:r>
      <w:r w:rsidR="007C262A">
        <w:rPr>
          <w:rFonts w:cs="Arial" w:hint="cs"/>
          <w:rtl/>
        </w:rPr>
        <w:t>,</w:t>
      </w:r>
      <w:r w:rsidRPr="004E5603">
        <w:rPr>
          <w:rFonts w:cs="Arial"/>
          <w:rtl/>
        </w:rPr>
        <w:t xml:space="preserve"> ואידך פלגא דפש גביה</w:t>
      </w:r>
      <w:r w:rsidR="007C262A">
        <w:rPr>
          <w:rFonts w:cs="Arial" w:hint="cs"/>
          <w:rtl/>
        </w:rPr>
        <w:t>,</w:t>
      </w:r>
      <w:r w:rsidRPr="004E5603">
        <w:rPr>
          <w:rFonts w:cs="Arial"/>
          <w:rtl/>
        </w:rPr>
        <w:t xml:space="preserve"> ל"ש טעה בדבר משנה ל"ש טעה בשיקול הדעת ל"ש מומחה ול"ש הדיוט</w:t>
      </w:r>
      <w:r w:rsidR="00B71E51">
        <w:rPr>
          <w:rFonts w:cs="Arial" w:hint="cs"/>
          <w:rtl/>
        </w:rPr>
        <w:t xml:space="preserve"> -</w:t>
      </w:r>
      <w:r w:rsidRPr="004E5603">
        <w:rPr>
          <w:rFonts w:cs="Arial"/>
          <w:rtl/>
        </w:rPr>
        <w:t xml:space="preserve"> לא מפקינן מיניה</w:t>
      </w:r>
      <w:r w:rsidR="00AA69EC" w:rsidRPr="004E5603">
        <w:rPr>
          <w:rFonts w:cs="Arial" w:hint="cs"/>
          <w:sz w:val="16"/>
          <w:szCs w:val="16"/>
          <w:rtl/>
        </w:rPr>
        <w:t xml:space="preserve"> </w:t>
      </w:r>
      <w:r w:rsidR="004E5603" w:rsidRPr="004E5603">
        <w:rPr>
          <w:rFonts w:cs="Arial" w:hint="cs"/>
          <w:sz w:val="16"/>
          <w:szCs w:val="16"/>
          <w:rtl/>
        </w:rPr>
        <w:t>{והוכיח דבריו מ</w:t>
      </w:r>
      <w:r w:rsidR="007C262A">
        <w:rPr>
          <w:rFonts w:cs="Arial" w:hint="cs"/>
          <w:sz w:val="16"/>
          <w:szCs w:val="16"/>
          <w:rtl/>
        </w:rPr>
        <w:t>עובדא ד</w:t>
      </w:r>
      <w:r w:rsidR="004E5603" w:rsidRPr="004E5603">
        <w:rPr>
          <w:rFonts w:cs="Arial" w:hint="cs"/>
          <w:sz w:val="16"/>
          <w:szCs w:val="16"/>
          <w:rtl/>
        </w:rPr>
        <w:t>ההו דקרו ליה עכברא דשכיב אדינרי}</w:t>
      </w:r>
      <w:r w:rsidRPr="004E5603">
        <w:rPr>
          <w:rFonts w:cs="Arial"/>
          <w:rtl/>
        </w:rPr>
        <w:t xml:space="preserve">. </w:t>
      </w:r>
    </w:p>
    <w:p w14:paraId="340E1919" w14:textId="77777777" w:rsidR="003A4388" w:rsidRPr="003A4388" w:rsidRDefault="003A4388" w:rsidP="004B0475">
      <w:pPr>
        <w:pStyle w:val="ac"/>
        <w:numPr>
          <w:ilvl w:val="0"/>
          <w:numId w:val="36"/>
        </w:numPr>
        <w:rPr>
          <w:rFonts w:cs="Arial"/>
          <w:rtl/>
        </w:rPr>
      </w:pPr>
      <w:r w:rsidRPr="003A4388">
        <w:rPr>
          <w:rFonts w:cs="Arial" w:hint="cs"/>
          <w:rtl/>
        </w:rPr>
        <w:t xml:space="preserve">רא"ש </w:t>
      </w:r>
      <w:r w:rsidRPr="003A4388">
        <w:rPr>
          <w:rFonts w:cs="Arial" w:hint="cs"/>
          <w:sz w:val="16"/>
          <w:szCs w:val="16"/>
          <w:rtl/>
        </w:rPr>
        <w:t>(להב' הטור)</w:t>
      </w:r>
      <w:r w:rsidRPr="003A4388">
        <w:rPr>
          <w:rFonts w:cs="Arial" w:hint="cs"/>
          <w:rtl/>
        </w:rPr>
        <w:t xml:space="preserve">- </w:t>
      </w:r>
      <w:r>
        <w:rPr>
          <w:rStyle w:val="ab"/>
          <w:rFonts w:cs="Arial"/>
          <w:rtl/>
        </w:rPr>
        <w:footnoteReference w:id="1284"/>
      </w:r>
      <w:r w:rsidR="00911D1E" w:rsidRPr="003A4388">
        <w:rPr>
          <w:rFonts w:cs="Arial"/>
          <w:rtl/>
        </w:rPr>
        <w:t xml:space="preserve">אם היה הטעות בשיקול הדעת </w:t>
      </w:r>
      <w:r w:rsidR="00B71E51">
        <w:rPr>
          <w:rFonts w:cs="Arial" w:hint="cs"/>
          <w:rtl/>
        </w:rPr>
        <w:t xml:space="preserve">- </w:t>
      </w:r>
      <w:r w:rsidR="00911D1E" w:rsidRPr="003A4388">
        <w:rPr>
          <w:rFonts w:cs="Arial"/>
          <w:rtl/>
        </w:rPr>
        <w:t>מיד כשפסק הדין אע</w:t>
      </w:r>
      <w:r w:rsidR="004E5603" w:rsidRPr="003A4388">
        <w:rPr>
          <w:rFonts w:cs="Arial" w:hint="cs"/>
          <w:rtl/>
        </w:rPr>
        <w:t>"</w:t>
      </w:r>
      <w:r w:rsidR="00911D1E" w:rsidRPr="003A4388">
        <w:rPr>
          <w:rFonts w:cs="Arial"/>
          <w:rtl/>
        </w:rPr>
        <w:t>פ שעדיין לא הוציאו מיד המתחייב קם דינא</w:t>
      </w:r>
      <w:r w:rsidR="00B71E51">
        <w:rPr>
          <w:rStyle w:val="ab"/>
          <w:rFonts w:cs="Arial"/>
          <w:rtl/>
        </w:rPr>
        <w:footnoteReference w:id="1285"/>
      </w:r>
      <w:r w:rsidR="00B71E51">
        <w:rPr>
          <w:rFonts w:cs="Arial" w:hint="cs"/>
          <w:rtl/>
        </w:rPr>
        <w:t>,</w:t>
      </w:r>
      <w:r w:rsidR="00911D1E" w:rsidRPr="003A4388">
        <w:rPr>
          <w:rFonts w:cs="Arial"/>
          <w:rtl/>
        </w:rPr>
        <w:t xml:space="preserve"> ומה שעשה עשוי וחייב הדיין כל אחד לפי מה שהוא על הדרך שפירשתי למעלה</w:t>
      </w:r>
      <w:r>
        <w:rPr>
          <w:rFonts w:cs="Arial" w:hint="cs"/>
          <w:rtl/>
        </w:rPr>
        <w:t>,</w:t>
      </w:r>
      <w:r w:rsidR="00911D1E" w:rsidRPr="003A4388">
        <w:rPr>
          <w:rFonts w:cs="Arial"/>
          <w:rtl/>
        </w:rPr>
        <w:t xml:space="preserve"> והכא היינו </w:t>
      </w:r>
      <w:r w:rsidR="00911D1E" w:rsidRPr="003A4388">
        <w:rPr>
          <w:rFonts w:cs="Arial"/>
          <w:rtl/>
        </w:rPr>
        <w:lastRenderedPageBreak/>
        <w:t>טעמא כיון שלא היו חולקין אלא בסברא מה שדן רבי ישמעאל והוציא בכח סברתו אין להחזיר אבל מה שלא הוציא עדיין אין להוציא כיון שרבי חייא חולק על סברתו</w:t>
      </w:r>
      <w:r>
        <w:rPr>
          <w:rStyle w:val="ab"/>
          <w:rFonts w:cs="Arial"/>
          <w:rtl/>
        </w:rPr>
        <w:footnoteReference w:id="1286"/>
      </w:r>
      <w:r w:rsidR="004E5603" w:rsidRPr="003A4388">
        <w:rPr>
          <w:rFonts w:cs="Arial" w:hint="cs"/>
          <w:rtl/>
        </w:rPr>
        <w:t>.</w:t>
      </w:r>
    </w:p>
    <w:p w14:paraId="1BE5AD53" w14:textId="77777777" w:rsidR="006030CB" w:rsidRDefault="006030CB" w:rsidP="006030CB">
      <w:pPr>
        <w:rPr>
          <w:rFonts w:cs="Arial"/>
          <w:rtl/>
        </w:rPr>
      </w:pPr>
      <w:r w:rsidRPr="00E6390A">
        <w:rPr>
          <w:rFonts w:cs="Arial" w:hint="cs"/>
          <w:u w:val="single"/>
          <w:rtl/>
        </w:rPr>
        <w:t>דיינים שפסקו לתובע יותר ממה שתבע:</w:t>
      </w:r>
      <w:r>
        <w:rPr>
          <w:rFonts w:cs="Arial" w:hint="cs"/>
          <w:sz w:val="16"/>
          <w:szCs w:val="16"/>
          <w:rtl/>
        </w:rPr>
        <w:t xml:space="preserve">   </w:t>
      </w:r>
      <w:r w:rsidRPr="000A40BA">
        <w:rPr>
          <w:rFonts w:cs="Arial" w:hint="cs"/>
          <w:sz w:val="16"/>
          <w:szCs w:val="16"/>
          <w:rtl/>
        </w:rPr>
        <w:t>(</w:t>
      </w:r>
      <w:r>
        <w:rPr>
          <w:rFonts w:cs="Arial" w:hint="cs"/>
          <w:sz w:val="16"/>
          <w:szCs w:val="16"/>
          <w:rtl/>
        </w:rPr>
        <w:t>ב"י ו</w:t>
      </w:r>
      <w:r w:rsidRPr="000A40BA">
        <w:rPr>
          <w:rFonts w:cs="Arial" w:hint="cs"/>
          <w:sz w:val="16"/>
          <w:szCs w:val="16"/>
          <w:rtl/>
        </w:rPr>
        <w:t xml:space="preserve">דרכ"מ אות </w:t>
      </w:r>
      <w:r>
        <w:rPr>
          <w:rFonts w:cs="Arial" w:hint="cs"/>
          <w:sz w:val="16"/>
          <w:szCs w:val="16"/>
          <w:rtl/>
        </w:rPr>
        <w:t>ד</w:t>
      </w:r>
      <w:r w:rsidRPr="000A40BA">
        <w:rPr>
          <w:rFonts w:cs="Arial" w:hint="cs"/>
          <w:sz w:val="16"/>
          <w:szCs w:val="16"/>
          <w:rtl/>
        </w:rPr>
        <w:t>)</w:t>
      </w:r>
      <w:r>
        <w:rPr>
          <w:rFonts w:cs="Arial" w:hint="cs"/>
          <w:rtl/>
        </w:rPr>
        <w:t xml:space="preserve"> </w:t>
      </w:r>
    </w:p>
    <w:p w14:paraId="55370971" w14:textId="77777777" w:rsidR="00911D1E" w:rsidRPr="000E49B4" w:rsidRDefault="006030CB" w:rsidP="004B0475">
      <w:pPr>
        <w:pStyle w:val="ac"/>
        <w:numPr>
          <w:ilvl w:val="0"/>
          <w:numId w:val="34"/>
        </w:numPr>
        <w:rPr>
          <w:rtl/>
        </w:rPr>
      </w:pPr>
      <w:r w:rsidRPr="00E6390A">
        <w:rPr>
          <w:rFonts w:cs="Arial"/>
          <w:rtl/>
        </w:rPr>
        <w:t>ריב"ש</w:t>
      </w:r>
      <w:r w:rsidRPr="00E6390A">
        <w:rPr>
          <w:rFonts w:cs="Arial"/>
          <w:sz w:val="16"/>
          <w:szCs w:val="16"/>
          <w:rtl/>
        </w:rPr>
        <w:t xml:space="preserve"> </w:t>
      </w:r>
      <w:r w:rsidRPr="00E6390A">
        <w:rPr>
          <w:rFonts w:cs="Arial" w:hint="cs"/>
          <w:sz w:val="16"/>
          <w:szCs w:val="16"/>
          <w:rtl/>
        </w:rPr>
        <w:t>(</w:t>
      </w:r>
      <w:r w:rsidRPr="00E6390A">
        <w:rPr>
          <w:rFonts w:cs="Arial"/>
          <w:sz w:val="16"/>
          <w:szCs w:val="16"/>
          <w:rtl/>
        </w:rPr>
        <w:t>סי</w:t>
      </w:r>
      <w:r w:rsidRPr="00E6390A">
        <w:rPr>
          <w:rFonts w:cs="Arial" w:hint="cs"/>
          <w:sz w:val="16"/>
          <w:szCs w:val="16"/>
          <w:rtl/>
        </w:rPr>
        <w:t>'</w:t>
      </w:r>
      <w:r w:rsidRPr="00E6390A">
        <w:rPr>
          <w:rFonts w:cs="Arial"/>
          <w:sz w:val="16"/>
          <w:szCs w:val="16"/>
          <w:rtl/>
        </w:rPr>
        <w:t xml:space="preserve"> רכז</w:t>
      </w:r>
      <w:r w:rsidRPr="00E6390A">
        <w:rPr>
          <w:rFonts w:cs="Arial" w:hint="cs"/>
          <w:sz w:val="16"/>
          <w:szCs w:val="16"/>
          <w:rtl/>
        </w:rPr>
        <w:t>)</w:t>
      </w:r>
      <w:r w:rsidRPr="00E6390A">
        <w:rPr>
          <w:rFonts w:cs="Arial" w:hint="cs"/>
          <w:rtl/>
        </w:rPr>
        <w:t>-</w:t>
      </w:r>
      <w:r w:rsidRPr="00E6390A">
        <w:rPr>
          <w:rFonts w:cs="Arial"/>
          <w:rtl/>
        </w:rPr>
        <w:t xml:space="preserve"> </w:t>
      </w:r>
      <w:r w:rsidR="007C262A" w:rsidRPr="006030CB">
        <w:rPr>
          <w:rFonts w:cs="Arial"/>
          <w:rtl/>
        </w:rPr>
        <w:t>ראוי לסתור דינם מפני שלא עיינו בתביעת ראובן ונתנו לו יותר ממה שתבע</w:t>
      </w:r>
      <w:r w:rsidR="00B71E51">
        <w:rPr>
          <w:rFonts w:cs="Arial" w:hint="cs"/>
          <w:rtl/>
        </w:rPr>
        <w:t>.</w:t>
      </w:r>
      <w:r w:rsidR="007C262A" w:rsidRPr="006030CB">
        <w:rPr>
          <w:rFonts w:cs="Arial"/>
          <w:rtl/>
        </w:rPr>
        <w:t xml:space="preserve"> שהוא בתביעתו נתן לשמעון הבחירה אם בחלוקת השכירות וכו'</w:t>
      </w:r>
      <w:r w:rsidR="00B71E51">
        <w:rPr>
          <w:rFonts w:cs="Arial" w:hint="cs"/>
          <w:rtl/>
        </w:rPr>
        <w:t>,</w:t>
      </w:r>
      <w:r w:rsidR="007C262A" w:rsidRPr="006030CB">
        <w:rPr>
          <w:rFonts w:cs="Arial"/>
          <w:rtl/>
        </w:rPr>
        <w:t xml:space="preserve"> ולזה אף אם יהיה הדין דחלוקת שכירות עדיפא</w:t>
      </w:r>
      <w:r w:rsidR="00B71E51">
        <w:rPr>
          <w:rFonts w:cs="Arial" w:hint="cs"/>
          <w:rtl/>
        </w:rPr>
        <w:t>,</w:t>
      </w:r>
      <w:r w:rsidR="007C262A" w:rsidRPr="006030CB">
        <w:rPr>
          <w:rFonts w:cs="Arial"/>
          <w:rtl/>
        </w:rPr>
        <w:t xml:space="preserve"> כיון שהוא ויתר לשמעון בפני בית דין ונתן לו הבחירה </w:t>
      </w:r>
      <w:r w:rsidR="00B71E51">
        <w:rPr>
          <w:rFonts w:cs="Arial" w:hint="cs"/>
          <w:rtl/>
        </w:rPr>
        <w:t xml:space="preserve">- </w:t>
      </w:r>
      <w:r w:rsidR="007C262A" w:rsidRPr="006030CB">
        <w:rPr>
          <w:rFonts w:cs="Arial"/>
          <w:rtl/>
        </w:rPr>
        <w:t>היה ראוי לדיינים לפסוק הדין כפי תביעתו</w:t>
      </w:r>
      <w:r w:rsidR="00B71E51">
        <w:rPr>
          <w:rFonts w:cs="Arial" w:hint="cs"/>
          <w:rtl/>
        </w:rPr>
        <w:t>.</w:t>
      </w:r>
      <w:r w:rsidR="007C262A" w:rsidRPr="006030CB">
        <w:rPr>
          <w:rFonts w:cs="Arial"/>
          <w:rtl/>
        </w:rPr>
        <w:t xml:space="preserve"> ואע</w:t>
      </w:r>
      <w:r w:rsidR="00B71E51">
        <w:rPr>
          <w:rFonts w:cs="Arial" w:hint="cs"/>
          <w:rtl/>
        </w:rPr>
        <w:t>"</w:t>
      </w:r>
      <w:r w:rsidR="007C262A" w:rsidRPr="006030CB">
        <w:rPr>
          <w:rFonts w:cs="Arial"/>
          <w:rtl/>
        </w:rPr>
        <w:t>פ שנחלקו המפרשים אם יכול לחזור בו קודם שנגמר הדין מכל מקום ראובן לא חזר בו לפני הדיינים</w:t>
      </w:r>
      <w:r w:rsidR="00B71E51">
        <w:rPr>
          <w:rFonts w:cs="Arial" w:hint="cs"/>
          <w:rtl/>
        </w:rPr>
        <w:t>.</w:t>
      </w:r>
      <w:r w:rsidR="007C262A" w:rsidRPr="006030CB">
        <w:rPr>
          <w:rFonts w:cs="Arial"/>
          <w:rtl/>
        </w:rPr>
        <w:t xml:space="preserve"> ואע</w:t>
      </w:r>
      <w:r w:rsidR="00B71E51">
        <w:rPr>
          <w:rFonts w:cs="Arial" w:hint="cs"/>
          <w:rtl/>
        </w:rPr>
        <w:t>"</w:t>
      </w:r>
      <w:r w:rsidR="007C262A" w:rsidRPr="006030CB">
        <w:rPr>
          <w:rFonts w:cs="Arial"/>
          <w:rtl/>
        </w:rPr>
        <w:t>פ ששמעון לא קבל דבריו</w:t>
      </w:r>
      <w:r w:rsidR="00B71E51">
        <w:rPr>
          <w:rFonts w:cs="Arial" w:hint="cs"/>
          <w:rtl/>
        </w:rPr>
        <w:t>,</w:t>
      </w:r>
      <w:r w:rsidR="007C262A" w:rsidRPr="006030CB">
        <w:rPr>
          <w:rFonts w:cs="Arial"/>
          <w:rtl/>
        </w:rPr>
        <w:t xml:space="preserve"> מכל מקום כיון ששמעון עמד בתביעתו לא היה להם לחייב את שמעון ביותר מתביעתו של ראובן שנתן לשמעון הבחירה באחד משני הדרכים</w:t>
      </w:r>
      <w:r>
        <w:rPr>
          <w:rFonts w:cs="Arial" w:hint="cs"/>
          <w:rtl/>
        </w:rPr>
        <w:t xml:space="preserve"> </w:t>
      </w:r>
      <w:r w:rsidRPr="00E6390A">
        <w:rPr>
          <w:rFonts w:cs="Arial" w:hint="cs"/>
          <w:sz w:val="16"/>
          <w:szCs w:val="16"/>
          <w:rtl/>
        </w:rPr>
        <w:t>(</w:t>
      </w:r>
      <w:r w:rsidRPr="00E6390A">
        <w:rPr>
          <w:rFonts w:cs="Arial"/>
          <w:sz w:val="16"/>
          <w:szCs w:val="16"/>
          <w:rtl/>
        </w:rPr>
        <w:t>ועי</w:t>
      </w:r>
      <w:r w:rsidRPr="00E6390A">
        <w:rPr>
          <w:rFonts w:cs="Arial" w:hint="cs"/>
          <w:sz w:val="16"/>
          <w:szCs w:val="16"/>
          <w:rtl/>
        </w:rPr>
        <w:t>'</w:t>
      </w:r>
      <w:r w:rsidRPr="00E6390A">
        <w:rPr>
          <w:rFonts w:cs="Arial"/>
          <w:sz w:val="16"/>
          <w:szCs w:val="16"/>
          <w:rtl/>
        </w:rPr>
        <w:t xml:space="preserve"> במהרי"ק שורש י ענף יא</w:t>
      </w:r>
      <w:r>
        <w:rPr>
          <w:rFonts w:cs="Arial" w:hint="cs"/>
          <w:sz w:val="16"/>
          <w:szCs w:val="16"/>
          <w:rtl/>
        </w:rPr>
        <w:t>, דרכ"מ</w:t>
      </w:r>
      <w:r w:rsidRPr="00E6390A">
        <w:rPr>
          <w:rFonts w:cs="Arial"/>
          <w:sz w:val="16"/>
          <w:szCs w:val="16"/>
          <w:rtl/>
        </w:rPr>
        <w:t>)</w:t>
      </w:r>
      <w:r>
        <w:rPr>
          <w:rFonts w:cs="Arial" w:hint="cs"/>
          <w:rtl/>
        </w:rPr>
        <w:t>.</w:t>
      </w:r>
    </w:p>
    <w:p w14:paraId="3B72080C" w14:textId="77777777" w:rsidR="00E137BC" w:rsidRPr="00576D5C" w:rsidRDefault="00E137BC" w:rsidP="00576D5C">
      <w:pPr>
        <w:rPr>
          <w:rFonts w:asciiTheme="minorBidi" w:hAnsiTheme="minorBidi"/>
          <w:b/>
          <w:bCs/>
          <w:color w:val="000000"/>
          <w:sz w:val="28"/>
          <w:szCs w:val="28"/>
          <w:u w:val="single"/>
          <w:rtl/>
        </w:rPr>
      </w:pPr>
      <w:r w:rsidRPr="00576D5C">
        <w:rPr>
          <w:rFonts w:asciiTheme="minorBidi" w:hAnsiTheme="minorBidi"/>
          <w:b/>
          <w:bCs/>
          <w:color w:val="000000"/>
          <w:sz w:val="28"/>
          <w:szCs w:val="28"/>
          <w:u w:val="single"/>
          <w:rtl/>
        </w:rPr>
        <w:t>שו"ע:</w:t>
      </w:r>
    </w:p>
    <w:p w14:paraId="20AB7F97" w14:textId="77777777" w:rsidR="00E137BC" w:rsidRDefault="00E137BC" w:rsidP="00576D5C">
      <w:pPr>
        <w:rPr>
          <w:rFonts w:asciiTheme="minorBidi" w:hAnsiTheme="minorBidi"/>
          <w:rtl/>
        </w:rPr>
      </w:pPr>
      <w:r w:rsidRPr="00576D5C">
        <w:rPr>
          <w:rFonts w:asciiTheme="minorBidi" w:hAnsiTheme="minorBidi"/>
          <w:rtl/>
        </w:rPr>
        <w:t>היה הטועה מומחה בית דין</w:t>
      </w:r>
      <w:r w:rsidR="00AB1D9E">
        <w:rPr>
          <w:rStyle w:val="ab"/>
          <w:rFonts w:asciiTheme="minorBidi" w:hAnsiTheme="minorBidi"/>
          <w:rtl/>
        </w:rPr>
        <w:footnoteReference w:id="1287"/>
      </w:r>
      <w:r w:rsidRPr="00576D5C">
        <w:rPr>
          <w:rFonts w:asciiTheme="minorBidi" w:hAnsiTheme="minorBidi"/>
          <w:rtl/>
        </w:rPr>
        <w:t>, ולא נטל רשות ולא קבלו אותו בעלי דינין עליהם, או שלא היה מומחה אבל קבלו</w:t>
      </w:r>
      <w:r w:rsidR="00AB1D9E">
        <w:rPr>
          <w:rStyle w:val="ab"/>
          <w:rFonts w:asciiTheme="minorBidi" w:hAnsiTheme="minorBidi"/>
          <w:rtl/>
        </w:rPr>
        <w:footnoteReference w:id="1288"/>
      </w:r>
      <w:r w:rsidRPr="00576D5C">
        <w:rPr>
          <w:rFonts w:asciiTheme="minorBidi" w:hAnsiTheme="minorBidi"/>
          <w:rtl/>
        </w:rPr>
        <w:t xml:space="preserve"> אותו</w:t>
      </w:r>
      <w:r w:rsidR="008C30CA">
        <w:rPr>
          <w:rStyle w:val="ab"/>
          <w:rFonts w:asciiTheme="minorBidi" w:hAnsiTheme="minorBidi"/>
          <w:rtl/>
        </w:rPr>
        <w:footnoteReference w:id="1289"/>
      </w:r>
      <w:r w:rsidRPr="00576D5C">
        <w:rPr>
          <w:rFonts w:asciiTheme="minorBidi" w:hAnsiTheme="minorBidi"/>
          <w:rtl/>
        </w:rPr>
        <w:t xml:space="preserve"> בעלי דינים עליהם לדון להם בדין, וטעה בשיקול הדעת, אם נשא ונתן ביד, מה שעשה עשוי וישלם מביתו</w:t>
      </w:r>
      <w:r w:rsidR="00B15850">
        <w:rPr>
          <w:rFonts w:asciiTheme="minorBidi" w:hAnsiTheme="minorBidi" w:hint="cs"/>
          <w:rtl/>
        </w:rPr>
        <w:t>.</w:t>
      </w:r>
      <w:r w:rsidRPr="00576D5C">
        <w:rPr>
          <w:rFonts w:asciiTheme="minorBidi" w:hAnsiTheme="minorBidi"/>
          <w:rtl/>
        </w:rPr>
        <w:t xml:space="preserve"> ואם לא נשא ונתן ביד, יחזור הדין, ואם אי אפשר להחזיר, ישלם מביתו. </w:t>
      </w:r>
      <w:r w:rsidRPr="000E49B4">
        <w:rPr>
          <w:rFonts w:asciiTheme="minorBidi" w:hAnsiTheme="minorBidi"/>
          <w:sz w:val="18"/>
          <w:szCs w:val="18"/>
          <w:rtl/>
        </w:rPr>
        <w:t>הגה: וי"א דאפילו לא נשא ונתן ביד מה שעשה עשוי וישלם מביתו ואין הדין חוזר</w:t>
      </w:r>
      <w:r w:rsidR="00AB1D9E">
        <w:rPr>
          <w:rStyle w:val="ab"/>
          <w:rFonts w:asciiTheme="minorBidi" w:hAnsiTheme="minorBidi"/>
          <w:sz w:val="18"/>
          <w:szCs w:val="18"/>
          <w:rtl/>
        </w:rPr>
        <w:footnoteReference w:id="1290"/>
      </w:r>
      <w:r w:rsidRPr="000E49B4">
        <w:rPr>
          <w:rFonts w:asciiTheme="minorBidi" w:hAnsiTheme="minorBidi"/>
          <w:sz w:val="18"/>
          <w:szCs w:val="18"/>
          <w:rtl/>
        </w:rPr>
        <w:t xml:space="preserve"> (הרא"ש וטור ועוד הרבה פוסקים). וכל זה כשלא קבלם עליהם בין לדין בין לטעות, אבל אם קבלם עליהם בין לדין בין לטעות (טור והרא"ש), או בזמן הזה בשמכריחין</w:t>
      </w:r>
      <w:r w:rsidR="002258C8">
        <w:rPr>
          <w:rStyle w:val="ab"/>
          <w:rFonts w:asciiTheme="minorBidi" w:hAnsiTheme="minorBidi"/>
          <w:sz w:val="18"/>
          <w:szCs w:val="18"/>
          <w:rtl/>
        </w:rPr>
        <w:footnoteReference w:id="1291"/>
      </w:r>
      <w:r w:rsidRPr="000E49B4">
        <w:rPr>
          <w:rFonts w:asciiTheme="minorBidi" w:hAnsiTheme="minorBidi"/>
          <w:sz w:val="18"/>
          <w:szCs w:val="18"/>
          <w:rtl/>
        </w:rPr>
        <w:t xml:space="preserve"> הקהל הדיינים על פי החרם שיהיו דיינים בעל כרחם, לא ישלמו אפילו טעו, דמה להם לעשות</w:t>
      </w:r>
      <w:r w:rsidR="00A02E1D">
        <w:rPr>
          <w:rStyle w:val="ab"/>
          <w:rFonts w:asciiTheme="minorBidi" w:hAnsiTheme="minorBidi"/>
          <w:sz w:val="18"/>
          <w:szCs w:val="18"/>
          <w:rtl/>
        </w:rPr>
        <w:footnoteReference w:id="1292"/>
      </w:r>
      <w:r w:rsidR="008046C2">
        <w:rPr>
          <w:rFonts w:asciiTheme="minorBidi" w:hAnsiTheme="minorBidi" w:hint="cs"/>
          <w:sz w:val="18"/>
          <w:szCs w:val="18"/>
          <w:rtl/>
        </w:rPr>
        <w:t>,</w:t>
      </w:r>
      <w:r w:rsidRPr="000E49B4">
        <w:rPr>
          <w:rFonts w:asciiTheme="minorBidi" w:hAnsiTheme="minorBidi"/>
          <w:sz w:val="18"/>
          <w:szCs w:val="18"/>
          <w:rtl/>
        </w:rPr>
        <w:t xml:space="preserve"> מ</w:t>
      </w:r>
      <w:r w:rsidR="00AB1D9E">
        <w:rPr>
          <w:rFonts w:asciiTheme="minorBidi" w:hAnsiTheme="minorBidi" w:hint="cs"/>
          <w:sz w:val="18"/>
          <w:szCs w:val="18"/>
          <w:rtl/>
        </w:rPr>
        <w:t>"</w:t>
      </w:r>
      <w:r w:rsidRPr="000E49B4">
        <w:rPr>
          <w:rFonts w:asciiTheme="minorBidi" w:hAnsiTheme="minorBidi"/>
          <w:sz w:val="18"/>
          <w:szCs w:val="18"/>
          <w:rtl/>
        </w:rPr>
        <w:t>מ</w:t>
      </w:r>
      <w:r w:rsidR="00E055B2">
        <w:rPr>
          <w:rStyle w:val="ab"/>
          <w:rFonts w:asciiTheme="minorBidi" w:hAnsiTheme="minorBidi"/>
          <w:sz w:val="18"/>
          <w:szCs w:val="18"/>
          <w:rtl/>
        </w:rPr>
        <w:footnoteReference w:id="1293"/>
      </w:r>
      <w:r w:rsidR="00E055B2">
        <w:rPr>
          <w:rFonts w:asciiTheme="minorBidi" w:hAnsiTheme="minorBidi" w:hint="cs"/>
          <w:sz w:val="18"/>
          <w:szCs w:val="18"/>
          <w:rtl/>
        </w:rPr>
        <w:t xml:space="preserve"> </w:t>
      </w:r>
      <w:r w:rsidRPr="000E49B4">
        <w:rPr>
          <w:rFonts w:asciiTheme="minorBidi" w:hAnsiTheme="minorBidi"/>
          <w:sz w:val="18"/>
          <w:szCs w:val="18"/>
          <w:rtl/>
        </w:rPr>
        <w:t>יש להם לחזור</w:t>
      </w:r>
      <w:r w:rsidR="00E055B2">
        <w:rPr>
          <w:rStyle w:val="ab"/>
          <w:rFonts w:asciiTheme="minorBidi" w:hAnsiTheme="minorBidi"/>
          <w:sz w:val="18"/>
          <w:szCs w:val="18"/>
          <w:rtl/>
        </w:rPr>
        <w:footnoteReference w:id="1294"/>
      </w:r>
      <w:r w:rsidRPr="000E49B4">
        <w:rPr>
          <w:rFonts w:asciiTheme="minorBidi" w:hAnsiTheme="minorBidi"/>
          <w:sz w:val="18"/>
          <w:szCs w:val="18"/>
          <w:rtl/>
        </w:rPr>
        <w:t xml:space="preserve"> אם טעו</w:t>
      </w:r>
      <w:r w:rsidR="00B15850">
        <w:rPr>
          <w:rFonts w:asciiTheme="minorBidi" w:hAnsiTheme="minorBidi" w:hint="cs"/>
          <w:sz w:val="18"/>
          <w:szCs w:val="18"/>
          <w:rtl/>
        </w:rPr>
        <w:t>,</w:t>
      </w:r>
      <w:r w:rsidRPr="000E49B4">
        <w:rPr>
          <w:rFonts w:asciiTheme="minorBidi" w:hAnsiTheme="minorBidi"/>
          <w:sz w:val="18"/>
          <w:szCs w:val="18"/>
          <w:rtl/>
        </w:rPr>
        <w:t xml:space="preserve"> ואם אינם רוצים לחזור צריכין לשלם (מרדכי ריש סנהדרין). וכשטעו ומשלמין, אם הסכימו כל הדיינים ביחד, כולם משלמין. ואם היו הדיינים רק שלשה והלכו אחר שנים שבהם</w:t>
      </w:r>
      <w:r w:rsidR="008046C2">
        <w:rPr>
          <w:rStyle w:val="ab"/>
          <w:rFonts w:asciiTheme="minorBidi" w:hAnsiTheme="minorBidi"/>
          <w:sz w:val="18"/>
          <w:szCs w:val="18"/>
          <w:rtl/>
        </w:rPr>
        <w:footnoteReference w:id="1295"/>
      </w:r>
      <w:r w:rsidRPr="000E49B4">
        <w:rPr>
          <w:rFonts w:asciiTheme="minorBidi" w:hAnsiTheme="minorBidi"/>
          <w:sz w:val="18"/>
          <w:szCs w:val="18"/>
          <w:rtl/>
        </w:rPr>
        <w:t>, הם משלמין ב' חלקים, והחלק השלישי מפסיד הבעל דין. אבל אם היו הדיינים חמשה, והלכו אחר שלשה שהם הרוב, צריכים לשלם הכל (טור).</w:t>
      </w:r>
      <w:r w:rsidRPr="00576D5C">
        <w:rPr>
          <w:rFonts w:asciiTheme="minorBidi" w:hAnsiTheme="minorBidi"/>
          <w:rtl/>
        </w:rPr>
        <w:t xml:space="preserve"> </w:t>
      </w:r>
    </w:p>
    <w:p w14:paraId="6E4A856A" w14:textId="77777777" w:rsidR="000E49B4" w:rsidRPr="00576D5C" w:rsidRDefault="000E49B4" w:rsidP="00576D5C">
      <w:pPr>
        <w:rPr>
          <w:rFonts w:asciiTheme="minorBidi" w:hAnsiTheme="minorBidi"/>
          <w:rtl/>
        </w:rPr>
      </w:pPr>
    </w:p>
    <w:p w14:paraId="3BED313D" w14:textId="77777777" w:rsidR="000E49B4" w:rsidRDefault="00E137BC" w:rsidP="00FC4871">
      <w:pPr>
        <w:pStyle w:val="2"/>
        <w:rPr>
          <w:rtl/>
        </w:rPr>
      </w:pPr>
      <w:bookmarkStart w:id="185" w:name="_Toc24883664"/>
      <w:r w:rsidRPr="00576D5C">
        <w:rPr>
          <w:rtl/>
        </w:rPr>
        <w:t>סעיף ד</w:t>
      </w:r>
      <w:r w:rsidR="000E49B4">
        <w:rPr>
          <w:rFonts w:hint="cs"/>
          <w:rtl/>
        </w:rPr>
        <w:t>:</w:t>
      </w:r>
      <w:r w:rsidR="00443258">
        <w:rPr>
          <w:rFonts w:hint="cs"/>
          <w:rtl/>
        </w:rPr>
        <w:t xml:space="preserve"> טעות בשיקול הדעת </w:t>
      </w:r>
      <w:r w:rsidR="00443258">
        <w:rPr>
          <w:rtl/>
        </w:rPr>
        <w:t>–</w:t>
      </w:r>
      <w:r w:rsidR="00443258">
        <w:rPr>
          <w:rFonts w:hint="cs"/>
          <w:rtl/>
        </w:rPr>
        <w:t xml:space="preserve"> בשאינו מומחה ולא קיבלוהו עלייהו.</w:t>
      </w:r>
      <w:bookmarkEnd w:id="185"/>
    </w:p>
    <w:p w14:paraId="1586C336" w14:textId="77777777" w:rsidR="00FC4871" w:rsidRPr="00FC4871" w:rsidRDefault="00FC4871" w:rsidP="00FC4871">
      <w:pPr>
        <w:rPr>
          <w:rtl/>
        </w:rPr>
      </w:pPr>
      <w:r>
        <w:rPr>
          <w:rFonts w:hint="cs"/>
          <w:rtl/>
        </w:rPr>
        <w:t>עיין במקורות בסעיף ב.</w:t>
      </w:r>
    </w:p>
    <w:p w14:paraId="6DFB9E1F" w14:textId="77777777" w:rsidR="006567B0" w:rsidRPr="00576D5C" w:rsidRDefault="006567B0" w:rsidP="006567B0">
      <w:pPr>
        <w:rPr>
          <w:rFonts w:asciiTheme="minorBidi" w:hAnsiTheme="minorBidi"/>
          <w:b/>
          <w:bCs/>
          <w:color w:val="000000"/>
          <w:sz w:val="28"/>
          <w:szCs w:val="28"/>
          <w:u w:val="single"/>
          <w:rtl/>
        </w:rPr>
      </w:pPr>
      <w:r w:rsidRPr="00576D5C">
        <w:rPr>
          <w:rFonts w:asciiTheme="minorBidi" w:hAnsiTheme="minorBidi"/>
          <w:b/>
          <w:bCs/>
          <w:color w:val="000000"/>
          <w:sz w:val="28"/>
          <w:szCs w:val="28"/>
          <w:u w:val="single"/>
          <w:rtl/>
        </w:rPr>
        <w:t>שו"ע:</w:t>
      </w:r>
    </w:p>
    <w:p w14:paraId="68EDEB3E" w14:textId="77777777" w:rsidR="00E137BC" w:rsidRDefault="00E137BC" w:rsidP="00576D5C">
      <w:pPr>
        <w:rPr>
          <w:rFonts w:asciiTheme="minorBidi" w:hAnsiTheme="minorBidi"/>
          <w:rtl/>
        </w:rPr>
      </w:pPr>
      <w:r w:rsidRPr="00576D5C">
        <w:rPr>
          <w:rFonts w:asciiTheme="minorBidi" w:hAnsiTheme="minorBidi"/>
          <w:rtl/>
        </w:rPr>
        <w:t>אבל מי שאינו מומחה</w:t>
      </w:r>
      <w:r w:rsidR="008046C2">
        <w:rPr>
          <w:rStyle w:val="ab"/>
          <w:rFonts w:asciiTheme="minorBidi" w:hAnsiTheme="minorBidi"/>
          <w:rtl/>
        </w:rPr>
        <w:footnoteReference w:id="1296"/>
      </w:r>
      <w:r w:rsidRPr="00576D5C">
        <w:rPr>
          <w:rFonts w:asciiTheme="minorBidi" w:hAnsiTheme="minorBidi"/>
          <w:rtl/>
        </w:rPr>
        <w:t xml:space="preserve"> ולא קבלו אותו בעלי דינים, אף על פי שנטל רשות, ה</w:t>
      </w:r>
      <w:r w:rsidR="00443258">
        <w:rPr>
          <w:rFonts w:asciiTheme="minorBidi" w:hAnsiTheme="minorBidi" w:hint="cs"/>
          <w:rtl/>
        </w:rPr>
        <w:t xml:space="preserve">רי </w:t>
      </w:r>
      <w:r w:rsidRPr="00576D5C">
        <w:rPr>
          <w:rFonts w:asciiTheme="minorBidi" w:hAnsiTheme="minorBidi"/>
          <w:rtl/>
        </w:rPr>
        <w:t>ז</w:t>
      </w:r>
      <w:r w:rsidR="00443258">
        <w:rPr>
          <w:rFonts w:asciiTheme="minorBidi" w:hAnsiTheme="minorBidi" w:hint="cs"/>
          <w:rtl/>
        </w:rPr>
        <w:t>ה</w:t>
      </w:r>
      <w:r w:rsidRPr="00576D5C">
        <w:rPr>
          <w:rFonts w:asciiTheme="minorBidi" w:hAnsiTheme="minorBidi"/>
          <w:rtl/>
        </w:rPr>
        <w:t xml:space="preserve"> בכלל בעל זרוע, ואינו בכלל הדיינים, לפיכך אין דינו דין בין טעה בין לא טעה, וכל אחד מבעלי דינים אם רצה חוזר ודן בפני ב</w:t>
      </w:r>
      <w:r w:rsidR="00443258">
        <w:rPr>
          <w:rFonts w:asciiTheme="minorBidi" w:hAnsiTheme="minorBidi" w:hint="cs"/>
          <w:rtl/>
        </w:rPr>
        <w:t xml:space="preserve">ית </w:t>
      </w:r>
      <w:r w:rsidRPr="00576D5C">
        <w:rPr>
          <w:rFonts w:asciiTheme="minorBidi" w:hAnsiTheme="minorBidi"/>
          <w:rtl/>
        </w:rPr>
        <w:t>ד</w:t>
      </w:r>
      <w:r w:rsidR="00443258">
        <w:rPr>
          <w:rFonts w:asciiTheme="minorBidi" w:hAnsiTheme="minorBidi" w:hint="cs"/>
          <w:rtl/>
        </w:rPr>
        <w:t>ין</w:t>
      </w:r>
      <w:r w:rsidRPr="00576D5C">
        <w:rPr>
          <w:rFonts w:asciiTheme="minorBidi" w:hAnsiTheme="minorBidi"/>
          <w:rtl/>
        </w:rPr>
        <w:t>. ואם טעה ונשא ונתן ביד, חייב לשלם מביתו, וחוזר ולוקח מבעל דין שנתן לו שלא כהלכה</w:t>
      </w:r>
      <w:r w:rsidR="00443258">
        <w:rPr>
          <w:rFonts w:asciiTheme="minorBidi" w:hAnsiTheme="minorBidi" w:hint="cs"/>
          <w:rtl/>
        </w:rPr>
        <w:t>,</w:t>
      </w:r>
      <w:r w:rsidRPr="00576D5C">
        <w:rPr>
          <w:rFonts w:asciiTheme="minorBidi" w:hAnsiTheme="minorBidi"/>
          <w:rtl/>
        </w:rPr>
        <w:t xml:space="preserve"> ואם אין לו להחזיר, או שטימא, או שהאכיל דבר המותר לכלבים, ישלם כדין כל גורם להזיק, שזה מתכוין להזיק הוא. </w:t>
      </w:r>
    </w:p>
    <w:p w14:paraId="0A669D97" w14:textId="77777777" w:rsidR="000E49B4" w:rsidRPr="00576D5C" w:rsidRDefault="000E49B4" w:rsidP="00576D5C">
      <w:pPr>
        <w:rPr>
          <w:rFonts w:asciiTheme="minorBidi" w:hAnsiTheme="minorBidi"/>
          <w:rtl/>
        </w:rPr>
      </w:pPr>
    </w:p>
    <w:p w14:paraId="1DB86B32" w14:textId="77777777" w:rsidR="00E137BC" w:rsidRDefault="00E137BC" w:rsidP="006567B0">
      <w:pPr>
        <w:pStyle w:val="2"/>
        <w:rPr>
          <w:rtl/>
        </w:rPr>
      </w:pPr>
      <w:bookmarkStart w:id="186" w:name="_Toc24883665"/>
      <w:r w:rsidRPr="00576D5C">
        <w:rPr>
          <w:rtl/>
        </w:rPr>
        <w:t>סעיף ה</w:t>
      </w:r>
      <w:r w:rsidR="000E49B4">
        <w:rPr>
          <w:rFonts w:hint="cs"/>
          <w:rtl/>
        </w:rPr>
        <w:t>:</w:t>
      </w:r>
      <w:r w:rsidR="00443258">
        <w:rPr>
          <w:rFonts w:hint="cs"/>
          <w:rtl/>
        </w:rPr>
        <w:t xml:space="preserve"> דיין שטעה וחייב שבועה.</w:t>
      </w:r>
      <w:bookmarkEnd w:id="186"/>
    </w:p>
    <w:p w14:paraId="46F51FA0" w14:textId="77777777" w:rsidR="00B15850" w:rsidRPr="006030CB" w:rsidRDefault="00B15850" w:rsidP="00B15850">
      <w:pPr>
        <w:rPr>
          <w:u w:val="single"/>
        </w:rPr>
      </w:pPr>
      <w:r w:rsidRPr="006030CB">
        <w:rPr>
          <w:rFonts w:cs="Arial"/>
          <w:u w:val="single"/>
          <w:rtl/>
        </w:rPr>
        <w:t>דיין שטעה וחייב שבועה למי שאינו חייב בה</w:t>
      </w:r>
      <w:r>
        <w:rPr>
          <w:rFonts w:hint="cs"/>
          <w:u w:val="single"/>
          <w:rtl/>
        </w:rPr>
        <w:t xml:space="preserve"> ועשה זה פשרה עם בעל דינו כדי שלא ישבע</w:t>
      </w:r>
      <w:r w:rsidRPr="006030CB">
        <w:rPr>
          <w:rFonts w:hint="cs"/>
          <w:u w:val="single"/>
          <w:rtl/>
        </w:rPr>
        <w:t>:</w:t>
      </w:r>
    </w:p>
    <w:p w14:paraId="44CB1B63" w14:textId="77777777" w:rsidR="00B15850" w:rsidRDefault="00B15850" w:rsidP="004B0475">
      <w:pPr>
        <w:pStyle w:val="ac"/>
        <w:numPr>
          <w:ilvl w:val="0"/>
          <w:numId w:val="36"/>
        </w:numPr>
        <w:rPr>
          <w:rFonts w:cs="Arial"/>
        </w:rPr>
      </w:pPr>
      <w:r w:rsidRPr="007C262A">
        <w:rPr>
          <w:rFonts w:cs="Arial"/>
          <w:rtl/>
        </w:rPr>
        <w:t>רמב"ם</w:t>
      </w:r>
      <w:r>
        <w:rPr>
          <w:rFonts w:cs="Arial" w:hint="cs"/>
          <w:rtl/>
        </w:rPr>
        <w:t xml:space="preserve"> </w:t>
      </w:r>
      <w:r>
        <w:rPr>
          <w:rFonts w:cs="Arial" w:hint="cs"/>
          <w:sz w:val="16"/>
          <w:szCs w:val="16"/>
          <w:rtl/>
        </w:rPr>
        <w:t xml:space="preserve">(פ"ו ה"ה) </w:t>
      </w:r>
      <w:r w:rsidR="0099591C" w:rsidRPr="00B15850">
        <w:rPr>
          <w:rFonts w:cs="Arial"/>
          <w:rtl/>
        </w:rPr>
        <w:t>רי"ף</w:t>
      </w:r>
      <w:r w:rsidR="0099591C" w:rsidRPr="00DE06B6">
        <w:rPr>
          <w:rFonts w:cs="Arial"/>
          <w:sz w:val="16"/>
          <w:szCs w:val="16"/>
          <w:rtl/>
        </w:rPr>
        <w:t xml:space="preserve"> (סי' קמה)</w:t>
      </w:r>
      <w:r w:rsidR="0099591C">
        <w:rPr>
          <w:rFonts w:cs="Arial" w:hint="cs"/>
          <w:rtl/>
        </w:rPr>
        <w:t xml:space="preserve"> בהעי"ט</w:t>
      </w:r>
      <w:r w:rsidR="0099591C" w:rsidRPr="00B15850">
        <w:rPr>
          <w:rFonts w:cs="Arial"/>
          <w:rtl/>
        </w:rPr>
        <w:t xml:space="preserve"> </w:t>
      </w:r>
      <w:r w:rsidR="0099591C" w:rsidRPr="00DE06B6">
        <w:rPr>
          <w:rFonts w:cs="Arial"/>
          <w:sz w:val="16"/>
          <w:szCs w:val="16"/>
          <w:rtl/>
        </w:rPr>
        <w:t>(אות פ פשרה עה ע"ג)</w:t>
      </w:r>
      <w:r w:rsidR="0099591C">
        <w:rPr>
          <w:rFonts w:cs="Arial" w:hint="cs"/>
          <w:rtl/>
        </w:rPr>
        <w:t xml:space="preserve"> </w:t>
      </w:r>
      <w:r>
        <w:rPr>
          <w:rFonts w:cs="Arial" w:hint="cs"/>
          <w:rtl/>
        </w:rPr>
        <w:t xml:space="preserve">וטור- </w:t>
      </w:r>
      <w:r w:rsidRPr="00B15850">
        <w:rPr>
          <w:rFonts w:cs="Arial"/>
          <w:rtl/>
        </w:rPr>
        <w:t>דיין שטעה וחייב שבועה למי שאינו חייב בה</w:t>
      </w:r>
      <w:r w:rsidR="0099591C">
        <w:rPr>
          <w:rFonts w:cs="Arial" w:hint="cs"/>
          <w:rtl/>
        </w:rPr>
        <w:t>,</w:t>
      </w:r>
      <w:r w:rsidRPr="00B15850">
        <w:rPr>
          <w:rFonts w:cs="Arial"/>
          <w:rtl/>
        </w:rPr>
        <w:t xml:space="preserve"> ועשה זה פשרה עם בעל דינו כדי שלא ישבע</w:t>
      </w:r>
      <w:r w:rsidR="0099591C">
        <w:rPr>
          <w:rFonts w:cs="Arial" w:hint="cs"/>
          <w:rtl/>
        </w:rPr>
        <w:t>,</w:t>
      </w:r>
      <w:r w:rsidRPr="00B15850">
        <w:rPr>
          <w:rFonts w:cs="Arial"/>
          <w:rtl/>
        </w:rPr>
        <w:t xml:space="preserve"> ואח</w:t>
      </w:r>
      <w:r w:rsidR="0099591C">
        <w:rPr>
          <w:rFonts w:cs="Arial" w:hint="cs"/>
          <w:rtl/>
        </w:rPr>
        <w:t>"</w:t>
      </w:r>
      <w:r w:rsidRPr="00B15850">
        <w:rPr>
          <w:rFonts w:cs="Arial"/>
          <w:rtl/>
        </w:rPr>
        <w:t>כ ידע שאינו בן שבועה</w:t>
      </w:r>
      <w:r w:rsidR="0099591C">
        <w:rPr>
          <w:rFonts w:cs="Arial" w:hint="cs"/>
          <w:rtl/>
        </w:rPr>
        <w:t xml:space="preserve"> -</w:t>
      </w:r>
      <w:r w:rsidRPr="00B15850">
        <w:rPr>
          <w:rFonts w:cs="Arial"/>
          <w:rtl/>
        </w:rPr>
        <w:t xml:space="preserve"> אע</w:t>
      </w:r>
      <w:r w:rsidR="0099591C">
        <w:rPr>
          <w:rFonts w:cs="Arial" w:hint="cs"/>
          <w:rtl/>
        </w:rPr>
        <w:t>"</w:t>
      </w:r>
      <w:r w:rsidRPr="00B15850">
        <w:rPr>
          <w:rFonts w:cs="Arial"/>
          <w:rtl/>
        </w:rPr>
        <w:t>פ שקנו מידו על הפשרה אינה כלום</w:t>
      </w:r>
      <w:r w:rsidR="0099591C">
        <w:rPr>
          <w:rFonts w:cs="Arial" w:hint="cs"/>
          <w:rtl/>
        </w:rPr>
        <w:t>,</w:t>
      </w:r>
      <w:r w:rsidRPr="00B15850">
        <w:rPr>
          <w:rFonts w:cs="Arial"/>
          <w:rtl/>
        </w:rPr>
        <w:t xml:space="preserve"> שלא קבל עליו ליתן לו או למחול לו אלא כדי שיפטר משבועה שחייבו בה הטועה</w:t>
      </w:r>
      <w:r w:rsidRPr="00B15850">
        <w:rPr>
          <w:rFonts w:cs="Arial" w:hint="cs"/>
          <w:rtl/>
        </w:rPr>
        <w:t>,</w:t>
      </w:r>
      <w:r w:rsidRPr="00B15850">
        <w:rPr>
          <w:rFonts w:cs="Arial"/>
          <w:rtl/>
        </w:rPr>
        <w:t xml:space="preserve"> וכל קניין בטעות חוזר</w:t>
      </w:r>
      <w:r w:rsidR="0099591C">
        <w:rPr>
          <w:rFonts w:cs="Arial" w:hint="cs"/>
          <w:rtl/>
        </w:rPr>
        <w:t>.</w:t>
      </w:r>
      <w:r w:rsidRPr="00B15850">
        <w:rPr>
          <w:rFonts w:cs="Arial"/>
          <w:rtl/>
        </w:rPr>
        <w:t xml:space="preserve"> וכן כל כיוצא בזה</w:t>
      </w:r>
      <w:r w:rsidR="0099591C">
        <w:rPr>
          <w:rFonts w:cs="Arial" w:hint="cs"/>
          <w:sz w:val="16"/>
          <w:szCs w:val="16"/>
          <w:rtl/>
        </w:rPr>
        <w:t xml:space="preserve"> (ל' הרמב"ם)</w:t>
      </w:r>
      <w:r w:rsidRPr="00B15850">
        <w:rPr>
          <w:rFonts w:cs="Arial"/>
          <w:rtl/>
        </w:rPr>
        <w:t>.</w:t>
      </w:r>
      <w:r w:rsidR="004B22DA" w:rsidRPr="004B22DA">
        <w:rPr>
          <w:rFonts w:cs="Arial" w:hint="cs"/>
          <w:color w:val="E36C0A" w:themeColor="accent6" w:themeShade="BF"/>
          <w:rtl/>
        </w:rPr>
        <w:t xml:space="preserve"> (וכ"פ בשו"ע)</w:t>
      </w:r>
    </w:p>
    <w:p w14:paraId="3EE66BC6" w14:textId="77777777" w:rsidR="0099591C" w:rsidRPr="006374D1" w:rsidRDefault="006374D1" w:rsidP="006374D1">
      <w:pPr>
        <w:rPr>
          <w:rFonts w:cs="Arial"/>
          <w:u w:val="single"/>
        </w:rPr>
      </w:pPr>
      <w:r>
        <w:rPr>
          <w:rFonts w:cs="Arial" w:hint="cs"/>
          <w:u w:val="single"/>
          <w:rtl/>
        </w:rPr>
        <w:t>שמעון חייב שבועה ל</w:t>
      </w:r>
      <w:r w:rsidRPr="006374D1">
        <w:rPr>
          <w:rFonts w:cs="Arial"/>
          <w:u w:val="single"/>
          <w:rtl/>
        </w:rPr>
        <w:t>ראובן</w:t>
      </w:r>
      <w:r>
        <w:rPr>
          <w:rFonts w:cs="Arial" w:hint="cs"/>
          <w:u w:val="single"/>
          <w:rtl/>
        </w:rPr>
        <w:t>,</w:t>
      </w:r>
      <w:r w:rsidRPr="006374D1">
        <w:rPr>
          <w:rFonts w:cs="Arial"/>
          <w:u w:val="single"/>
          <w:rtl/>
        </w:rPr>
        <w:t xml:space="preserve"> ונתן לו </w:t>
      </w:r>
      <w:r>
        <w:rPr>
          <w:rFonts w:cs="Arial" w:hint="cs"/>
          <w:u w:val="single"/>
          <w:rtl/>
        </w:rPr>
        <w:t xml:space="preserve">שמעון </w:t>
      </w:r>
      <w:r w:rsidRPr="006374D1">
        <w:rPr>
          <w:rFonts w:cs="Arial"/>
          <w:u w:val="single"/>
          <w:rtl/>
        </w:rPr>
        <w:t xml:space="preserve">קצת ממון </w:t>
      </w:r>
      <w:r>
        <w:rPr>
          <w:rFonts w:cs="Arial" w:hint="cs"/>
          <w:u w:val="single"/>
          <w:rtl/>
        </w:rPr>
        <w:t>ב</w:t>
      </w:r>
      <w:r w:rsidRPr="006374D1">
        <w:rPr>
          <w:rFonts w:cs="Arial"/>
          <w:u w:val="single"/>
          <w:rtl/>
        </w:rPr>
        <w:t xml:space="preserve">פשרה </w:t>
      </w:r>
      <w:r>
        <w:rPr>
          <w:rFonts w:cs="Arial" w:hint="cs"/>
          <w:u w:val="single"/>
          <w:rtl/>
        </w:rPr>
        <w:t xml:space="preserve">כדי </w:t>
      </w:r>
      <w:r w:rsidRPr="006374D1">
        <w:rPr>
          <w:rFonts w:cs="Arial"/>
          <w:u w:val="single"/>
          <w:rtl/>
        </w:rPr>
        <w:t>שלא ישבע</w:t>
      </w:r>
      <w:r w:rsidRPr="006374D1">
        <w:rPr>
          <w:rFonts w:cs="Arial" w:hint="cs"/>
          <w:u w:val="single"/>
          <w:rtl/>
        </w:rPr>
        <w:t>,</w:t>
      </w:r>
      <w:r w:rsidRPr="006374D1">
        <w:rPr>
          <w:rFonts w:cs="Arial"/>
          <w:u w:val="single"/>
          <w:rtl/>
        </w:rPr>
        <w:t xml:space="preserve"> </w:t>
      </w:r>
      <w:r>
        <w:rPr>
          <w:rFonts w:cs="Arial" w:hint="cs"/>
          <w:u w:val="single"/>
          <w:rtl/>
        </w:rPr>
        <w:t xml:space="preserve">ואח"כ </w:t>
      </w:r>
      <w:r w:rsidRPr="006374D1">
        <w:rPr>
          <w:rFonts w:cs="Arial"/>
          <w:u w:val="single"/>
          <w:rtl/>
        </w:rPr>
        <w:t>נתגלה ראיה לראובן</w:t>
      </w:r>
      <w:r>
        <w:rPr>
          <w:rFonts w:cs="Arial" w:hint="cs"/>
          <w:u w:val="single"/>
          <w:rtl/>
        </w:rPr>
        <w:t>:</w:t>
      </w:r>
    </w:p>
    <w:p w14:paraId="28C1575C" w14:textId="77777777" w:rsidR="000E49B4" w:rsidRPr="0099591C" w:rsidRDefault="0099591C" w:rsidP="004B0475">
      <w:pPr>
        <w:pStyle w:val="ac"/>
        <w:numPr>
          <w:ilvl w:val="0"/>
          <w:numId w:val="36"/>
        </w:numPr>
        <w:rPr>
          <w:rFonts w:cs="Arial"/>
        </w:rPr>
      </w:pPr>
      <w:r w:rsidRPr="00B15850">
        <w:rPr>
          <w:rFonts w:cs="Arial"/>
          <w:rtl/>
        </w:rPr>
        <w:t>רי"ף</w:t>
      </w:r>
      <w:r w:rsidRPr="00DE06B6">
        <w:rPr>
          <w:rFonts w:cs="Arial"/>
          <w:sz w:val="16"/>
          <w:szCs w:val="16"/>
          <w:rtl/>
        </w:rPr>
        <w:t xml:space="preserve"> (</w:t>
      </w:r>
      <w:r>
        <w:rPr>
          <w:rFonts w:cs="Arial" w:hint="cs"/>
          <w:sz w:val="16"/>
          <w:szCs w:val="16"/>
          <w:rtl/>
        </w:rPr>
        <w:t>סי' קכד</w:t>
      </w:r>
      <w:r w:rsidRPr="00DE06B6">
        <w:rPr>
          <w:rFonts w:cs="Arial"/>
          <w:sz w:val="16"/>
          <w:szCs w:val="16"/>
          <w:rtl/>
        </w:rPr>
        <w:t>)</w:t>
      </w:r>
      <w:r>
        <w:rPr>
          <w:rFonts w:cs="Arial" w:hint="cs"/>
          <w:rtl/>
        </w:rPr>
        <w:t xml:space="preserve"> ובהעי"ט</w:t>
      </w:r>
      <w:r w:rsidRPr="00B15850">
        <w:rPr>
          <w:rFonts w:cs="Arial"/>
          <w:rtl/>
        </w:rPr>
        <w:t xml:space="preserve"> </w:t>
      </w:r>
      <w:r w:rsidRPr="00DE06B6">
        <w:rPr>
          <w:rFonts w:cs="Arial"/>
          <w:sz w:val="16"/>
          <w:szCs w:val="16"/>
          <w:rtl/>
        </w:rPr>
        <w:t>(</w:t>
      </w:r>
      <w:r>
        <w:rPr>
          <w:rFonts w:cs="Arial" w:hint="cs"/>
          <w:sz w:val="16"/>
          <w:szCs w:val="16"/>
          <w:rtl/>
        </w:rPr>
        <w:t>שם</w:t>
      </w:r>
      <w:r w:rsidRPr="00DE06B6">
        <w:rPr>
          <w:rFonts w:cs="Arial"/>
          <w:sz w:val="16"/>
          <w:szCs w:val="16"/>
          <w:rtl/>
        </w:rPr>
        <w:t>)</w:t>
      </w:r>
      <w:r>
        <w:rPr>
          <w:rFonts w:cs="Arial" w:hint="cs"/>
          <w:rtl/>
        </w:rPr>
        <w:t xml:space="preserve">- </w:t>
      </w:r>
      <w:r w:rsidRPr="0099591C">
        <w:rPr>
          <w:rFonts w:cs="Arial"/>
          <w:rtl/>
        </w:rPr>
        <w:t>שאלה</w:t>
      </w:r>
      <w:r>
        <w:rPr>
          <w:rFonts w:cs="Arial" w:hint="cs"/>
          <w:rtl/>
        </w:rPr>
        <w:t>,</w:t>
      </w:r>
      <w:r w:rsidRPr="0099591C">
        <w:rPr>
          <w:rFonts w:cs="Arial"/>
          <w:rtl/>
        </w:rPr>
        <w:t xml:space="preserve"> ראובן היה לו חייב שמעון שבועה</w:t>
      </w:r>
      <w:r>
        <w:rPr>
          <w:rFonts w:cs="Arial" w:hint="cs"/>
          <w:rtl/>
        </w:rPr>
        <w:t>,</w:t>
      </w:r>
      <w:r w:rsidRPr="0099591C">
        <w:rPr>
          <w:rFonts w:cs="Arial"/>
          <w:rtl/>
        </w:rPr>
        <w:t xml:space="preserve"> וקנה ממנו שמעון השבועה ונתן לו קצת הממון שטוען על דרך הפשרה שלא ישבע</w:t>
      </w:r>
      <w:r w:rsidR="006374D1">
        <w:rPr>
          <w:rFonts w:cs="Arial" w:hint="cs"/>
          <w:rtl/>
        </w:rPr>
        <w:t>,</w:t>
      </w:r>
      <w:r w:rsidRPr="0099591C">
        <w:rPr>
          <w:rFonts w:cs="Arial"/>
          <w:rtl/>
        </w:rPr>
        <w:t xml:space="preserve"> והעידו על עצמו בכך</w:t>
      </w:r>
      <w:r w:rsidR="006374D1">
        <w:rPr>
          <w:rFonts w:cs="Arial" w:hint="cs"/>
          <w:rtl/>
        </w:rPr>
        <w:t>.</w:t>
      </w:r>
      <w:r w:rsidRPr="0099591C">
        <w:rPr>
          <w:rFonts w:cs="Arial"/>
          <w:rtl/>
        </w:rPr>
        <w:t xml:space="preserve"> לאחר כך נתגלה ראיה לראובן באותו ממון כלו</w:t>
      </w:r>
      <w:r w:rsidR="006374D1">
        <w:rPr>
          <w:rFonts w:cs="Arial" w:hint="cs"/>
          <w:rtl/>
        </w:rPr>
        <w:t>.</w:t>
      </w:r>
      <w:r w:rsidRPr="0099591C">
        <w:rPr>
          <w:rFonts w:cs="Arial"/>
          <w:rtl/>
        </w:rPr>
        <w:t xml:space="preserve"> פשרה זו קיימת היא או לא. תשובה</w:t>
      </w:r>
      <w:r>
        <w:rPr>
          <w:rFonts w:cs="Arial" w:hint="cs"/>
          <w:rtl/>
        </w:rPr>
        <w:t>,</w:t>
      </w:r>
      <w:r w:rsidRPr="0099591C">
        <w:rPr>
          <w:rFonts w:cs="Arial"/>
          <w:rtl/>
        </w:rPr>
        <w:t xml:space="preserve"> פשרה זו בטלה היא</w:t>
      </w:r>
      <w:r w:rsidR="006374D1">
        <w:rPr>
          <w:rFonts w:cs="Arial" w:hint="cs"/>
          <w:rtl/>
        </w:rPr>
        <w:t>,</w:t>
      </w:r>
      <w:r w:rsidRPr="0099591C">
        <w:rPr>
          <w:rFonts w:cs="Arial"/>
          <w:rtl/>
        </w:rPr>
        <w:t xml:space="preserve"> משום שכשמכר לו ראובן השבועה היה שמעון מחוייב בה</w:t>
      </w:r>
      <w:r w:rsidR="006374D1">
        <w:rPr>
          <w:rFonts w:cs="Arial" w:hint="cs"/>
          <w:rtl/>
        </w:rPr>
        <w:t>,</w:t>
      </w:r>
      <w:r w:rsidRPr="0099591C">
        <w:rPr>
          <w:rFonts w:cs="Arial"/>
          <w:rtl/>
        </w:rPr>
        <w:t xml:space="preserve"> אבל עכשיו שהביא ראיה בממון שבועה אין כאן מכירת שבועה אין כאן</w:t>
      </w:r>
      <w:r w:rsidR="006374D1">
        <w:rPr>
          <w:rFonts w:cs="Arial" w:hint="cs"/>
          <w:rtl/>
        </w:rPr>
        <w:t>.</w:t>
      </w:r>
      <w:r w:rsidRPr="0099591C">
        <w:rPr>
          <w:rFonts w:cs="Arial"/>
          <w:rtl/>
        </w:rPr>
        <w:t xml:space="preserve"> אבל אילו עשו ביניהם כתקונה ולא הזכירו השבועה </w:t>
      </w:r>
      <w:r w:rsidR="006374D1">
        <w:rPr>
          <w:rFonts w:cs="Arial" w:hint="cs"/>
          <w:rtl/>
        </w:rPr>
        <w:t xml:space="preserve">- </w:t>
      </w:r>
      <w:r w:rsidRPr="0099591C">
        <w:rPr>
          <w:rFonts w:cs="Arial"/>
          <w:rtl/>
        </w:rPr>
        <w:t>הפשרה קיימת דאמרינן עביד איניש דזבין ומזבין דיניה</w:t>
      </w:r>
      <w:r>
        <w:rPr>
          <w:rFonts w:cs="Arial" w:hint="cs"/>
          <w:sz w:val="16"/>
          <w:szCs w:val="16"/>
          <w:rtl/>
        </w:rPr>
        <w:t xml:space="preserve"> (ל' הרי"ף)</w:t>
      </w:r>
      <w:r w:rsidR="00911D1E">
        <w:rPr>
          <w:rStyle w:val="ab"/>
          <w:rFonts w:cs="Arial"/>
          <w:rtl/>
        </w:rPr>
        <w:footnoteReference w:id="1297"/>
      </w:r>
      <w:r w:rsidR="00DE06B6" w:rsidRPr="0099591C">
        <w:rPr>
          <w:rFonts w:cs="Arial" w:hint="cs"/>
          <w:rtl/>
        </w:rPr>
        <w:t>.</w:t>
      </w:r>
      <w:r w:rsidR="004B22DA" w:rsidRPr="0099591C">
        <w:rPr>
          <w:rFonts w:cs="Arial" w:hint="cs"/>
          <w:rtl/>
        </w:rPr>
        <w:t xml:space="preserve"> </w:t>
      </w:r>
      <w:r w:rsidR="004B22DA" w:rsidRPr="0099591C">
        <w:rPr>
          <w:rFonts w:cs="Arial" w:hint="cs"/>
          <w:color w:val="00B0F0"/>
          <w:rtl/>
        </w:rPr>
        <w:t>(וכ"פ הרמ"א)</w:t>
      </w:r>
    </w:p>
    <w:p w14:paraId="1C412264" w14:textId="77777777" w:rsidR="004B22DA" w:rsidRDefault="004B22DA" w:rsidP="004B0475">
      <w:pPr>
        <w:pStyle w:val="ac"/>
        <w:numPr>
          <w:ilvl w:val="0"/>
          <w:numId w:val="36"/>
        </w:numPr>
        <w:rPr>
          <w:rFonts w:cs="Arial"/>
        </w:rPr>
      </w:pPr>
      <w:r>
        <w:rPr>
          <w:rFonts w:cs="Arial" w:hint="cs"/>
          <w:rtl/>
        </w:rPr>
        <w:t>נמוק"י</w:t>
      </w:r>
      <w:r w:rsidRPr="004B22DA">
        <w:rPr>
          <w:rFonts w:cs="Arial" w:hint="cs"/>
          <w:sz w:val="16"/>
          <w:szCs w:val="16"/>
          <w:rtl/>
        </w:rPr>
        <w:t xml:space="preserve"> (</w:t>
      </w:r>
      <w:r w:rsidRPr="004B22DA">
        <w:rPr>
          <w:rFonts w:cs="Arial"/>
          <w:sz w:val="16"/>
          <w:szCs w:val="16"/>
          <w:rtl/>
        </w:rPr>
        <w:t>סנהדרין א: ד"ה אמר</w:t>
      </w:r>
      <w:r w:rsidRPr="004B22DA">
        <w:rPr>
          <w:rFonts w:cs="Arial" w:hint="cs"/>
          <w:sz w:val="16"/>
          <w:szCs w:val="16"/>
          <w:rtl/>
        </w:rPr>
        <w:t>, כ"כ הדרכ"מ [אות ה] בשמו</w:t>
      </w:r>
      <w:r w:rsidRPr="004B22DA">
        <w:rPr>
          <w:rFonts w:cs="Arial"/>
          <w:sz w:val="16"/>
          <w:szCs w:val="16"/>
          <w:rtl/>
        </w:rPr>
        <w:t>)</w:t>
      </w:r>
      <w:r>
        <w:rPr>
          <w:rFonts w:cs="Arial" w:hint="cs"/>
          <w:rtl/>
        </w:rPr>
        <w:t>-</w:t>
      </w:r>
      <w:r w:rsidRPr="004B22DA">
        <w:rPr>
          <w:rFonts w:cs="Arial"/>
          <w:rtl/>
        </w:rPr>
        <w:t xml:space="preserve"> אחר קנין בפשרה לא מצי למיטען קנין בטעות עשיתי</w:t>
      </w:r>
      <w:r w:rsidR="0099591C">
        <w:rPr>
          <w:rFonts w:cs="Arial" w:hint="cs"/>
          <w:rtl/>
        </w:rPr>
        <w:t>.</w:t>
      </w:r>
      <w:r w:rsidRPr="004B22DA">
        <w:rPr>
          <w:rFonts w:cs="Arial"/>
          <w:rtl/>
        </w:rPr>
        <w:t xml:space="preserve"> אבל פשרה שעושין מפני שאין לו שטר או ראיה ואח"כ מצא הראיה ההיא ודאי קנין בטעות הוא וחוזר</w:t>
      </w:r>
      <w:r>
        <w:rPr>
          <w:rStyle w:val="ab"/>
          <w:rFonts w:cs="Arial"/>
          <w:rtl/>
        </w:rPr>
        <w:footnoteReference w:id="1298"/>
      </w:r>
      <w:r>
        <w:rPr>
          <w:rFonts w:cs="Arial" w:hint="cs"/>
          <w:rtl/>
        </w:rPr>
        <w:t>.</w:t>
      </w:r>
      <w:r w:rsidRPr="004B22DA">
        <w:rPr>
          <w:rFonts w:cs="Arial"/>
          <w:rtl/>
        </w:rPr>
        <w:t xml:space="preserve"> </w:t>
      </w:r>
    </w:p>
    <w:p w14:paraId="09D11220" w14:textId="77777777" w:rsidR="004B22DA" w:rsidRPr="00FC4871" w:rsidRDefault="004B22DA" w:rsidP="004B22DA">
      <w:pPr>
        <w:rPr>
          <w:rFonts w:cs="Arial"/>
          <w:u w:val="single"/>
          <w:rtl/>
        </w:rPr>
      </w:pPr>
      <w:r w:rsidRPr="00FC4871">
        <w:rPr>
          <w:rFonts w:cs="Arial" w:hint="cs"/>
          <w:u w:val="single"/>
          <w:rtl/>
        </w:rPr>
        <w:t>מקרים של פשרה בטעות</w:t>
      </w:r>
      <w:r w:rsidR="00FC4871" w:rsidRPr="00FC4871">
        <w:rPr>
          <w:rFonts w:cs="Arial" w:hint="cs"/>
          <w:u w:val="single"/>
          <w:rtl/>
        </w:rPr>
        <w:t>:</w:t>
      </w:r>
    </w:p>
    <w:p w14:paraId="34B10727" w14:textId="77777777" w:rsidR="004B22DA" w:rsidRPr="004B22DA" w:rsidRDefault="004B22DA" w:rsidP="004B0475">
      <w:pPr>
        <w:pStyle w:val="ac"/>
        <w:numPr>
          <w:ilvl w:val="0"/>
          <w:numId w:val="36"/>
        </w:numPr>
        <w:rPr>
          <w:rFonts w:cs="Arial"/>
          <w:rtl/>
        </w:rPr>
      </w:pPr>
      <w:r w:rsidRPr="004B22DA">
        <w:rPr>
          <w:rFonts w:cs="Arial"/>
          <w:rtl/>
        </w:rPr>
        <w:t xml:space="preserve">מהרי"ק </w:t>
      </w:r>
      <w:r w:rsidRPr="004B22DA">
        <w:rPr>
          <w:rFonts w:cs="Arial" w:hint="cs"/>
          <w:sz w:val="16"/>
          <w:szCs w:val="16"/>
          <w:rtl/>
        </w:rPr>
        <w:t>(</w:t>
      </w:r>
      <w:r w:rsidRPr="004B22DA">
        <w:rPr>
          <w:rFonts w:cs="Arial"/>
          <w:sz w:val="16"/>
          <w:szCs w:val="16"/>
          <w:rtl/>
        </w:rPr>
        <w:t>שורש קיא</w:t>
      </w:r>
      <w:r w:rsidRPr="004B22DA">
        <w:rPr>
          <w:rFonts w:cs="Arial" w:hint="cs"/>
          <w:sz w:val="16"/>
          <w:szCs w:val="16"/>
          <w:rtl/>
        </w:rPr>
        <w:t>)</w:t>
      </w:r>
      <w:r>
        <w:rPr>
          <w:rFonts w:cs="Arial" w:hint="cs"/>
          <w:rtl/>
        </w:rPr>
        <w:t>-</w:t>
      </w:r>
      <w:r w:rsidRPr="004B22DA">
        <w:rPr>
          <w:rFonts w:cs="Arial"/>
          <w:rtl/>
        </w:rPr>
        <w:t xml:space="preserve"> אחד שנתפשר בחלק ירושתו בדבר מועט כי אמרו לו שלא היו נכסים מרובים</w:t>
      </w:r>
      <w:r w:rsidR="006374D1">
        <w:rPr>
          <w:rFonts w:cs="Arial" w:hint="cs"/>
          <w:rtl/>
        </w:rPr>
        <w:t xml:space="preserve">. </w:t>
      </w:r>
      <w:r w:rsidRPr="004B22DA">
        <w:rPr>
          <w:rFonts w:cs="Arial"/>
          <w:rtl/>
        </w:rPr>
        <w:t xml:space="preserve">ואח"כ נודע לו שהיו נכסים מרובים ושהיה מגיע לחלקו כמעט כפליים </w:t>
      </w:r>
      <w:r w:rsidR="006374D1">
        <w:rPr>
          <w:rFonts w:cs="Arial" w:hint="cs"/>
          <w:rtl/>
        </w:rPr>
        <w:t xml:space="preserve">- </w:t>
      </w:r>
      <w:r w:rsidRPr="004B22DA">
        <w:rPr>
          <w:rFonts w:cs="Arial"/>
          <w:rtl/>
        </w:rPr>
        <w:t>הוה פשרה בטעות</w:t>
      </w:r>
      <w:r>
        <w:rPr>
          <w:rFonts w:cs="Arial" w:hint="cs"/>
          <w:rtl/>
        </w:rPr>
        <w:t>.</w:t>
      </w:r>
    </w:p>
    <w:p w14:paraId="066C3F7C" w14:textId="77777777" w:rsidR="004B22DA" w:rsidRPr="004B22DA" w:rsidRDefault="004B22DA" w:rsidP="004B0475">
      <w:pPr>
        <w:pStyle w:val="ac"/>
        <w:numPr>
          <w:ilvl w:val="0"/>
          <w:numId w:val="36"/>
        </w:numPr>
        <w:rPr>
          <w:rFonts w:cs="Arial"/>
          <w:rtl/>
        </w:rPr>
      </w:pPr>
      <w:r w:rsidRPr="004B22DA">
        <w:rPr>
          <w:rFonts w:cs="Arial"/>
          <w:rtl/>
        </w:rPr>
        <w:t>רשב"א</w:t>
      </w:r>
      <w:r w:rsidRPr="004B22DA">
        <w:rPr>
          <w:rFonts w:cs="Arial" w:hint="cs"/>
          <w:sz w:val="16"/>
          <w:szCs w:val="16"/>
          <w:rtl/>
        </w:rPr>
        <w:t xml:space="preserve"> (הביאוהו הב"</w:t>
      </w:r>
      <w:r>
        <w:rPr>
          <w:rFonts w:cs="Arial" w:hint="cs"/>
          <w:sz w:val="16"/>
          <w:szCs w:val="16"/>
          <w:rtl/>
        </w:rPr>
        <w:t>י</w:t>
      </w:r>
      <w:r w:rsidRPr="004B22DA">
        <w:rPr>
          <w:rFonts w:cs="Arial" w:hint="cs"/>
          <w:sz w:val="16"/>
          <w:szCs w:val="16"/>
          <w:rtl/>
        </w:rPr>
        <w:t xml:space="preserve"> [סי' יב מחודש ז] והדרכ"מ [אות ה])</w:t>
      </w:r>
      <w:r>
        <w:rPr>
          <w:rFonts w:cs="Arial" w:hint="cs"/>
          <w:rtl/>
        </w:rPr>
        <w:t>-</w:t>
      </w:r>
      <w:r w:rsidRPr="004B22DA">
        <w:rPr>
          <w:rFonts w:cs="Arial"/>
          <w:rtl/>
        </w:rPr>
        <w:t xml:space="preserve"> ראובן שהיה לו דין עם שמעון ולוי</w:t>
      </w:r>
      <w:r w:rsidR="006374D1">
        <w:rPr>
          <w:rFonts w:cs="Arial" w:hint="cs"/>
          <w:rtl/>
        </w:rPr>
        <w:t xml:space="preserve">, </w:t>
      </w:r>
      <w:r w:rsidRPr="004B22DA">
        <w:rPr>
          <w:rFonts w:cs="Arial"/>
          <w:rtl/>
        </w:rPr>
        <w:t>ועשה פשרה עם לוי ומת שמעון, ויורשיו תובעין חלקו, וראובן משיב שאין חייב כלום ואף ללוי נתן בחנם אינו חייב כלום וטענתו טענה</w:t>
      </w:r>
      <w:r>
        <w:rPr>
          <w:rFonts w:cs="Arial" w:hint="cs"/>
          <w:rtl/>
        </w:rPr>
        <w:t xml:space="preserve">. </w:t>
      </w:r>
    </w:p>
    <w:p w14:paraId="01CC2323" w14:textId="77777777" w:rsidR="00E137BC" w:rsidRPr="00576D5C" w:rsidRDefault="00E137BC" w:rsidP="00576D5C">
      <w:pPr>
        <w:rPr>
          <w:rFonts w:asciiTheme="minorBidi" w:hAnsiTheme="minorBidi"/>
          <w:b/>
          <w:bCs/>
          <w:color w:val="000000"/>
          <w:sz w:val="28"/>
          <w:szCs w:val="28"/>
          <w:u w:val="single"/>
          <w:rtl/>
        </w:rPr>
      </w:pPr>
      <w:r w:rsidRPr="00576D5C">
        <w:rPr>
          <w:rFonts w:asciiTheme="minorBidi" w:hAnsiTheme="minorBidi"/>
          <w:b/>
          <w:bCs/>
          <w:color w:val="000000"/>
          <w:sz w:val="28"/>
          <w:szCs w:val="28"/>
          <w:u w:val="single"/>
          <w:rtl/>
        </w:rPr>
        <w:t>שו"ע:</w:t>
      </w:r>
    </w:p>
    <w:p w14:paraId="0F6C93D7" w14:textId="77777777" w:rsidR="00E137BC" w:rsidRDefault="00E137BC" w:rsidP="00E055B2">
      <w:pPr>
        <w:rPr>
          <w:rFonts w:asciiTheme="minorBidi" w:hAnsiTheme="minorBidi"/>
          <w:rtl/>
        </w:rPr>
      </w:pPr>
      <w:r w:rsidRPr="00576D5C">
        <w:rPr>
          <w:rFonts w:asciiTheme="minorBidi" w:hAnsiTheme="minorBidi"/>
          <w:rtl/>
        </w:rPr>
        <w:t xml:space="preserve">דיין שטעה וחייב שבועה למי שאינו חייב בה, ועשה זה פשרה עם בעל דינו כדי שלא ישבע, ואחר כך ידע שאינו בן שבועה, אף על פי שקנו מידו על הפשרה, אינה כלום, דקנין בטעות הוא, וחוזר. </w:t>
      </w:r>
      <w:r w:rsidR="00B35B48">
        <w:rPr>
          <w:rFonts w:asciiTheme="minorBidi" w:hAnsiTheme="minorBidi" w:hint="cs"/>
          <w:sz w:val="18"/>
          <w:szCs w:val="18"/>
          <w:rtl/>
        </w:rPr>
        <w:t xml:space="preserve">[הגה] </w:t>
      </w:r>
      <w:r w:rsidRPr="000E49B4">
        <w:rPr>
          <w:rFonts w:asciiTheme="minorBidi" w:hAnsiTheme="minorBidi"/>
          <w:sz w:val="18"/>
          <w:szCs w:val="18"/>
          <w:rtl/>
        </w:rPr>
        <w:t>וכן כל כיוצא בזה. ודוקא שגילה דעתו שעשה הפשרה משום השבועה, או כדומה לזה (</w:t>
      </w:r>
      <w:r w:rsidR="00B35B48">
        <w:rPr>
          <w:rFonts w:asciiTheme="minorBidi" w:hAnsiTheme="minorBidi" w:hint="cs"/>
          <w:sz w:val="18"/>
          <w:szCs w:val="18"/>
          <w:rtl/>
        </w:rPr>
        <w:t>בה</w:t>
      </w:r>
      <w:r w:rsidRPr="000E49B4">
        <w:rPr>
          <w:rFonts w:asciiTheme="minorBidi" w:hAnsiTheme="minorBidi"/>
          <w:sz w:val="18"/>
          <w:szCs w:val="18"/>
          <w:rtl/>
        </w:rPr>
        <w:t>עי</w:t>
      </w:r>
      <w:r w:rsidR="00B35B48">
        <w:rPr>
          <w:rFonts w:asciiTheme="minorBidi" w:hAnsiTheme="minorBidi" w:hint="cs"/>
          <w:sz w:val="18"/>
          <w:szCs w:val="18"/>
          <w:rtl/>
        </w:rPr>
        <w:t>"</w:t>
      </w:r>
      <w:r w:rsidRPr="000E49B4">
        <w:rPr>
          <w:rFonts w:asciiTheme="minorBidi" w:hAnsiTheme="minorBidi"/>
          <w:sz w:val="18"/>
          <w:szCs w:val="18"/>
          <w:rtl/>
        </w:rPr>
        <w:t>ט בשם הרי"ף).</w:t>
      </w:r>
    </w:p>
    <w:p w14:paraId="53705355" w14:textId="77777777" w:rsidR="00E137BC" w:rsidRPr="00576D5C" w:rsidRDefault="00E137BC" w:rsidP="006567B0">
      <w:pPr>
        <w:pStyle w:val="1"/>
        <w:rPr>
          <w:rtl/>
        </w:rPr>
      </w:pPr>
      <w:bookmarkStart w:id="187" w:name="_Toc24883666"/>
      <w:r w:rsidRPr="00576D5C">
        <w:rPr>
          <w:rtl/>
        </w:rPr>
        <w:lastRenderedPageBreak/>
        <w:t xml:space="preserve">סימן כו: שלא לדון בדיני </w:t>
      </w:r>
      <w:r w:rsidR="00E055B2">
        <w:rPr>
          <w:rFonts w:hint="cs"/>
          <w:rtl/>
        </w:rPr>
        <w:t>גוים</w:t>
      </w:r>
      <w:r w:rsidRPr="00576D5C">
        <w:rPr>
          <w:rtl/>
        </w:rPr>
        <w:t>, ובו ד' סעיפים.</w:t>
      </w:r>
      <w:bookmarkEnd w:id="187"/>
      <w:r w:rsidRPr="00576D5C">
        <w:rPr>
          <w:rtl/>
        </w:rPr>
        <w:t xml:space="preserve"> </w:t>
      </w:r>
    </w:p>
    <w:p w14:paraId="1739C583" w14:textId="77777777" w:rsidR="00E137BC" w:rsidRDefault="00E137BC" w:rsidP="006567B0">
      <w:pPr>
        <w:pStyle w:val="2"/>
        <w:rPr>
          <w:rtl/>
        </w:rPr>
      </w:pPr>
      <w:bookmarkStart w:id="188" w:name="_Toc24883667"/>
      <w:r w:rsidRPr="00576D5C">
        <w:rPr>
          <w:rtl/>
        </w:rPr>
        <w:t>סעיף א</w:t>
      </w:r>
      <w:r w:rsidR="005A48CF">
        <w:rPr>
          <w:rFonts w:hint="cs"/>
          <w:rtl/>
        </w:rPr>
        <w:t>:</w:t>
      </w:r>
      <w:r w:rsidR="00A45C01">
        <w:rPr>
          <w:rFonts w:hint="cs"/>
          <w:rtl/>
        </w:rPr>
        <w:t xml:space="preserve"> לדון בדיני גוים.</w:t>
      </w:r>
      <w:bookmarkEnd w:id="188"/>
      <w:r w:rsidR="00A45C01">
        <w:rPr>
          <w:rFonts w:hint="cs"/>
        </w:rPr>
        <w:t xml:space="preserve"> </w:t>
      </w:r>
    </w:p>
    <w:p w14:paraId="1E5B0011" w14:textId="77777777" w:rsidR="009A0D68" w:rsidRPr="009A0D68" w:rsidRDefault="009A0D68" w:rsidP="009A0D68">
      <w:pPr>
        <w:rPr>
          <w:rtl/>
        </w:rPr>
      </w:pPr>
      <w:r>
        <w:rPr>
          <w:rFonts w:cs="Arial" w:hint="cs"/>
          <w:b/>
          <w:bCs/>
          <w:rtl/>
        </w:rPr>
        <w:t xml:space="preserve">שמות </w:t>
      </w:r>
      <w:r>
        <w:rPr>
          <w:rFonts w:cs="Arial" w:hint="cs"/>
          <w:b/>
          <w:bCs/>
          <w:sz w:val="16"/>
          <w:szCs w:val="16"/>
          <w:rtl/>
        </w:rPr>
        <w:t xml:space="preserve">(פרשת משפטים) </w:t>
      </w:r>
      <w:r>
        <w:rPr>
          <w:rFonts w:cs="Arial" w:hint="cs"/>
          <w:b/>
          <w:bCs/>
          <w:rtl/>
        </w:rPr>
        <w:t xml:space="preserve">כא א: </w:t>
      </w:r>
      <w:r w:rsidRPr="009A0D68">
        <w:rPr>
          <w:rFonts w:cs="Arial"/>
          <w:rtl/>
        </w:rPr>
        <w:t>וְאֵלֶּה הַמִּשְׁפָּטִים אֲשֶׁר תָּשִׂים לִפְנֵיהֶם</w:t>
      </w:r>
      <w:r>
        <w:rPr>
          <w:rStyle w:val="ab"/>
          <w:rFonts w:cs="Arial"/>
          <w:rtl/>
        </w:rPr>
        <w:footnoteReference w:id="1299"/>
      </w:r>
      <w:r>
        <w:rPr>
          <w:rFonts w:cs="Arial" w:hint="cs"/>
          <w:rtl/>
        </w:rPr>
        <w:t>.</w:t>
      </w:r>
    </w:p>
    <w:p w14:paraId="241E5EF9" w14:textId="77777777" w:rsidR="00353EED" w:rsidRDefault="009A0D68" w:rsidP="00555915">
      <w:pPr>
        <w:rPr>
          <w:rFonts w:cs="Arial"/>
          <w:rtl/>
        </w:rPr>
      </w:pPr>
      <w:r>
        <w:rPr>
          <w:rFonts w:cs="Arial" w:hint="cs"/>
          <w:b/>
          <w:bCs/>
          <w:rtl/>
        </w:rPr>
        <w:t xml:space="preserve">גיטין </w:t>
      </w:r>
      <w:r w:rsidRPr="009A0D68">
        <w:rPr>
          <w:rFonts w:cs="Arial" w:hint="cs"/>
          <w:b/>
          <w:bCs/>
          <w:sz w:val="16"/>
          <w:szCs w:val="16"/>
          <w:rtl/>
        </w:rPr>
        <w:t>(פ' המגרש [פ' בתרא])</w:t>
      </w:r>
      <w:r>
        <w:rPr>
          <w:rFonts w:cs="Arial" w:hint="cs"/>
          <w:b/>
          <w:bCs/>
          <w:rtl/>
        </w:rPr>
        <w:t xml:space="preserve"> פח</w:t>
      </w:r>
      <w:r w:rsidR="00D36D06">
        <w:rPr>
          <w:rStyle w:val="ab"/>
          <w:rFonts w:cs="Arial"/>
          <w:b/>
          <w:bCs/>
          <w:rtl/>
        </w:rPr>
        <w:footnoteReference w:id="1300"/>
      </w:r>
      <w:r>
        <w:rPr>
          <w:rFonts w:cs="Arial" w:hint="cs"/>
          <w:b/>
          <w:bCs/>
          <w:rtl/>
        </w:rPr>
        <w:t xml:space="preserve"> ע"ב: </w:t>
      </w:r>
      <w:r w:rsidR="00353EED" w:rsidRPr="00353EED">
        <w:rPr>
          <w:rFonts w:cs="Arial"/>
          <w:rtl/>
        </w:rPr>
        <w:t xml:space="preserve">תניא, </w:t>
      </w:r>
      <w:r w:rsidR="00353EED" w:rsidRPr="009A0D68">
        <w:rPr>
          <w:rFonts w:cs="Arial"/>
          <w:u w:val="single"/>
          <w:rtl/>
        </w:rPr>
        <w:t>היה ר"ט אומר</w:t>
      </w:r>
      <w:r w:rsidR="00353EED" w:rsidRPr="00353EED">
        <w:rPr>
          <w:rFonts w:cs="Arial"/>
          <w:rtl/>
        </w:rPr>
        <w:t>: כל מקום שאתה מוצא אגוריאות של עובדי כוכבים, אף על פי שדיניהם כדיני ישראל, אי אתה רשאי להיזקק להם, שנאמר: ואלה המשפטים אשר תשים לפניהם, לפניהם ולא לפני עובדי כוכבים</w:t>
      </w:r>
      <w:r w:rsidR="00353EED">
        <w:rPr>
          <w:rFonts w:cs="Arial" w:hint="cs"/>
          <w:rtl/>
        </w:rPr>
        <w:t>.</w:t>
      </w:r>
      <w:r>
        <w:rPr>
          <w:rFonts w:cs="Arial" w:hint="cs"/>
          <w:rtl/>
        </w:rPr>
        <w:t xml:space="preserve"> </w:t>
      </w:r>
    </w:p>
    <w:p w14:paraId="3C2E4548" w14:textId="77777777" w:rsidR="009A0D68" w:rsidRPr="009A0D68" w:rsidRDefault="009A0D68" w:rsidP="00555915">
      <w:pPr>
        <w:rPr>
          <w:rFonts w:cs="Arial"/>
          <w:u w:val="single"/>
          <w:rtl/>
        </w:rPr>
      </w:pPr>
      <w:r w:rsidRPr="009A0D68">
        <w:rPr>
          <w:rFonts w:cs="Arial" w:hint="cs"/>
          <w:u w:val="single"/>
          <w:rtl/>
        </w:rPr>
        <w:t>דין בפני גוים</w:t>
      </w:r>
      <w:r w:rsidR="00FF3942">
        <w:rPr>
          <w:rFonts w:cs="Arial" w:hint="cs"/>
          <w:sz w:val="16"/>
          <w:szCs w:val="16"/>
          <w:u w:val="single"/>
          <w:rtl/>
        </w:rPr>
        <w:t xml:space="preserve"> (ערכאות)</w:t>
      </w:r>
      <w:r w:rsidRPr="009A0D68">
        <w:rPr>
          <w:rFonts w:cs="Arial" w:hint="cs"/>
          <w:u w:val="single"/>
          <w:rtl/>
        </w:rPr>
        <w:t>:</w:t>
      </w:r>
    </w:p>
    <w:p w14:paraId="5624B84B" w14:textId="77777777" w:rsidR="009A0D68" w:rsidRDefault="009A0D68" w:rsidP="004B0475">
      <w:pPr>
        <w:pStyle w:val="ac"/>
        <w:numPr>
          <w:ilvl w:val="0"/>
          <w:numId w:val="37"/>
        </w:numPr>
        <w:rPr>
          <w:rFonts w:cs="Arial"/>
        </w:rPr>
      </w:pPr>
      <w:r w:rsidRPr="009A0D68">
        <w:rPr>
          <w:rFonts w:cs="Arial" w:hint="cs"/>
          <w:rtl/>
        </w:rPr>
        <w:t xml:space="preserve">רמב"ם </w:t>
      </w:r>
      <w:r w:rsidRPr="009A0D68">
        <w:rPr>
          <w:rFonts w:cs="Arial" w:hint="cs"/>
          <w:sz w:val="16"/>
          <w:szCs w:val="16"/>
          <w:rtl/>
        </w:rPr>
        <w:t>(פכ"ו ה"ז)</w:t>
      </w:r>
      <w:r>
        <w:rPr>
          <w:rFonts w:cs="Arial" w:hint="cs"/>
          <w:rtl/>
        </w:rPr>
        <w:t xml:space="preserve"> וטור</w:t>
      </w:r>
      <w:r w:rsidRPr="009A0D68">
        <w:rPr>
          <w:rFonts w:cs="Arial" w:hint="cs"/>
          <w:rtl/>
        </w:rPr>
        <w:t xml:space="preserve">- </w:t>
      </w:r>
      <w:r w:rsidRPr="009A0D68">
        <w:rPr>
          <w:rFonts w:cs="Arial"/>
          <w:rtl/>
        </w:rPr>
        <w:t xml:space="preserve">כל הדן בדייני </w:t>
      </w:r>
      <w:r w:rsidR="00D36D06">
        <w:rPr>
          <w:rFonts w:cs="Arial" w:hint="cs"/>
          <w:rtl/>
        </w:rPr>
        <w:t>גוי</w:t>
      </w:r>
      <w:r w:rsidRPr="009A0D68">
        <w:rPr>
          <w:rFonts w:cs="Arial"/>
          <w:rtl/>
        </w:rPr>
        <w:t>ם ובערכאות שלהן אע</w:t>
      </w:r>
      <w:r w:rsidR="00D36D06">
        <w:rPr>
          <w:rFonts w:cs="Arial" w:hint="cs"/>
          <w:rtl/>
        </w:rPr>
        <w:t>"</w:t>
      </w:r>
      <w:r w:rsidRPr="009A0D68">
        <w:rPr>
          <w:rFonts w:cs="Arial"/>
          <w:rtl/>
        </w:rPr>
        <w:t>פ שהיו דיניהם כדיני ישראל</w:t>
      </w:r>
      <w:r w:rsidR="00D36D06">
        <w:rPr>
          <w:rFonts w:cs="Arial" w:hint="cs"/>
          <w:rtl/>
        </w:rPr>
        <w:t xml:space="preserve"> -</w:t>
      </w:r>
      <w:r w:rsidRPr="009A0D68">
        <w:rPr>
          <w:rFonts w:cs="Arial"/>
          <w:rtl/>
        </w:rPr>
        <w:t xml:space="preserve"> הרי זה רשע וכאילו חרף וגדף והרים יד בתורת משה רבינו</w:t>
      </w:r>
      <w:r w:rsidR="00D36D06">
        <w:rPr>
          <w:rFonts w:cs="Arial" w:hint="cs"/>
          <w:rtl/>
        </w:rPr>
        <w:t>,</w:t>
      </w:r>
      <w:r w:rsidRPr="009A0D68">
        <w:rPr>
          <w:rFonts w:cs="Arial"/>
          <w:rtl/>
        </w:rPr>
        <w:t xml:space="preserve"> שנאמר ואלה המשפטים אשר תשים לפניהם לפניהם ולא לפני </w:t>
      </w:r>
      <w:r w:rsidR="00D36D06">
        <w:rPr>
          <w:rFonts w:cs="Arial" w:hint="cs"/>
          <w:rtl/>
        </w:rPr>
        <w:t>גוי</w:t>
      </w:r>
      <w:r w:rsidRPr="009A0D68">
        <w:rPr>
          <w:rFonts w:cs="Arial"/>
          <w:rtl/>
        </w:rPr>
        <w:t>ם</w:t>
      </w:r>
      <w:r>
        <w:rPr>
          <w:rFonts w:cs="Arial" w:hint="cs"/>
          <w:sz w:val="16"/>
          <w:szCs w:val="16"/>
          <w:rtl/>
        </w:rPr>
        <w:t xml:space="preserve"> (ל' הרמב"ם)</w:t>
      </w:r>
      <w:r>
        <w:rPr>
          <w:rFonts w:cs="Arial" w:hint="cs"/>
          <w:rtl/>
        </w:rPr>
        <w:t>.</w:t>
      </w:r>
      <w:r w:rsidR="004730AC">
        <w:rPr>
          <w:rFonts w:cs="Arial" w:hint="cs"/>
          <w:rtl/>
        </w:rPr>
        <w:t xml:space="preserve"> </w:t>
      </w:r>
      <w:r w:rsidR="004730AC" w:rsidRPr="004730AC">
        <w:rPr>
          <w:rFonts w:cs="Arial" w:hint="cs"/>
          <w:color w:val="E36C0A" w:themeColor="accent6" w:themeShade="BF"/>
          <w:rtl/>
        </w:rPr>
        <w:t>(וכ"פ בשו"ע)</w:t>
      </w:r>
    </w:p>
    <w:p w14:paraId="59BEE69E" w14:textId="77777777" w:rsidR="009A0D68" w:rsidRPr="009A0D68" w:rsidRDefault="009A0D68" w:rsidP="009A0D68">
      <w:pPr>
        <w:ind w:left="360"/>
        <w:rPr>
          <w:rFonts w:cs="Arial"/>
          <w:u w:val="dotted"/>
        </w:rPr>
      </w:pPr>
      <w:r w:rsidRPr="009A0D68">
        <w:rPr>
          <w:rFonts w:cs="Arial" w:hint="cs"/>
          <w:u w:val="dotted"/>
          <w:rtl/>
        </w:rPr>
        <w:t>ומה הדין אם נתרצו שני הבעלי דין לדון בפני הגוים:</w:t>
      </w:r>
    </w:p>
    <w:p w14:paraId="0BA21F48" w14:textId="77777777" w:rsidR="009A0D68" w:rsidRPr="009A0D68" w:rsidRDefault="00555915" w:rsidP="004B0475">
      <w:pPr>
        <w:pStyle w:val="ac"/>
        <w:numPr>
          <w:ilvl w:val="0"/>
          <w:numId w:val="37"/>
        </w:numPr>
        <w:rPr>
          <w:rFonts w:cs="Arial"/>
          <w:rtl/>
        </w:rPr>
      </w:pPr>
      <w:r w:rsidRPr="009A0D68">
        <w:rPr>
          <w:rFonts w:cs="Arial"/>
          <w:rtl/>
        </w:rPr>
        <w:t xml:space="preserve">רמב"ן </w:t>
      </w:r>
      <w:r w:rsidR="009A0D68" w:rsidRPr="009A0D68">
        <w:rPr>
          <w:rFonts w:cs="Arial" w:hint="cs"/>
          <w:sz w:val="16"/>
          <w:szCs w:val="16"/>
          <w:rtl/>
        </w:rPr>
        <w:t>(שמות כא א</w:t>
      </w:r>
      <w:r w:rsidRPr="009A0D68">
        <w:rPr>
          <w:rFonts w:cs="Arial"/>
          <w:sz w:val="16"/>
          <w:szCs w:val="16"/>
          <w:rtl/>
        </w:rPr>
        <w:t>)</w:t>
      </w:r>
      <w:r w:rsidR="009A0D68" w:rsidRPr="009A0D68">
        <w:rPr>
          <w:rFonts w:cs="Arial" w:hint="cs"/>
          <w:sz w:val="16"/>
          <w:szCs w:val="16"/>
          <w:rtl/>
        </w:rPr>
        <w:t xml:space="preserve"> </w:t>
      </w:r>
      <w:r w:rsidR="009A0D68">
        <w:rPr>
          <w:rFonts w:cs="Arial" w:hint="cs"/>
          <w:rtl/>
        </w:rPr>
        <w:t>ו</w:t>
      </w:r>
      <w:r w:rsidR="009A0D68" w:rsidRPr="009A0D68">
        <w:rPr>
          <w:rFonts w:cs="Arial"/>
          <w:rtl/>
        </w:rPr>
        <w:t>רשב"א</w:t>
      </w:r>
      <w:r w:rsidR="009A0D68" w:rsidRPr="009A0D68">
        <w:rPr>
          <w:rFonts w:cs="Arial"/>
          <w:sz w:val="16"/>
          <w:szCs w:val="16"/>
          <w:rtl/>
        </w:rPr>
        <w:t xml:space="preserve"> (ח"ו סי' רנד)</w:t>
      </w:r>
      <w:r w:rsidR="009A0D68">
        <w:rPr>
          <w:rFonts w:cs="Arial" w:hint="cs"/>
          <w:rtl/>
        </w:rPr>
        <w:t>-</w:t>
      </w:r>
      <w:r w:rsidRPr="009A0D68">
        <w:rPr>
          <w:rFonts w:cs="Arial"/>
          <w:rtl/>
        </w:rPr>
        <w:t xml:space="preserve"> אפילו נתרצו שני הבעלי דינים לילך לפני דייני גוים </w:t>
      </w:r>
      <w:r w:rsidR="00D36D06">
        <w:rPr>
          <w:rFonts w:cs="Arial"/>
          <w:rtl/>
        </w:rPr>
        <w:t>–</w:t>
      </w:r>
      <w:r w:rsidR="00D36D06">
        <w:rPr>
          <w:rFonts w:cs="Arial" w:hint="cs"/>
          <w:rtl/>
        </w:rPr>
        <w:t xml:space="preserve"> </w:t>
      </w:r>
      <w:r w:rsidRPr="009A0D68">
        <w:rPr>
          <w:rFonts w:cs="Arial"/>
          <w:rtl/>
        </w:rPr>
        <w:t>אסור</w:t>
      </w:r>
      <w:r w:rsidR="00D36D06">
        <w:rPr>
          <w:rFonts w:cs="Arial" w:hint="cs"/>
          <w:rtl/>
        </w:rPr>
        <w:t>,</w:t>
      </w:r>
      <w:r w:rsidRPr="009A0D68">
        <w:rPr>
          <w:rFonts w:cs="Arial"/>
          <w:rtl/>
        </w:rPr>
        <w:t xml:space="preserve"> אפילו בדין שדינם כדיננו</w:t>
      </w:r>
      <w:r w:rsidR="00FF3942">
        <w:rPr>
          <w:rStyle w:val="ab"/>
          <w:rFonts w:cs="Arial"/>
          <w:rtl/>
        </w:rPr>
        <w:footnoteReference w:id="1301"/>
      </w:r>
      <w:r w:rsidRPr="009A0D68">
        <w:rPr>
          <w:rFonts w:cs="Arial"/>
          <w:rtl/>
        </w:rPr>
        <w:t xml:space="preserve">. </w:t>
      </w:r>
      <w:r w:rsidR="004730AC" w:rsidRPr="004730AC">
        <w:rPr>
          <w:rFonts w:cs="Arial" w:hint="cs"/>
          <w:color w:val="E36C0A" w:themeColor="accent6" w:themeShade="BF"/>
          <w:rtl/>
        </w:rPr>
        <w:t>(וכ"פ בשו"ע)</w:t>
      </w:r>
    </w:p>
    <w:p w14:paraId="6596C580" w14:textId="77777777" w:rsidR="009A0D68" w:rsidRDefault="009A0D68" w:rsidP="00555915">
      <w:pPr>
        <w:rPr>
          <w:rFonts w:cs="Arial"/>
          <w:rtl/>
        </w:rPr>
      </w:pPr>
      <w:r w:rsidRPr="009A0D68">
        <w:rPr>
          <w:rFonts w:cs="Arial" w:hint="cs"/>
          <w:u w:val="single"/>
          <w:rtl/>
        </w:rPr>
        <w:t xml:space="preserve">אחד מבעלי הדין רוצה לדון בערכאות </w:t>
      </w:r>
      <w:r w:rsidRPr="009A0D68">
        <w:rPr>
          <w:rFonts w:cs="Arial"/>
          <w:u w:val="single"/>
          <w:rtl/>
        </w:rPr>
        <w:t>–</w:t>
      </w:r>
      <w:r w:rsidRPr="009A0D68">
        <w:rPr>
          <w:rFonts w:cs="Arial" w:hint="cs"/>
          <w:u w:val="single"/>
          <w:rtl/>
        </w:rPr>
        <w:t xml:space="preserve"> מה דינו:</w:t>
      </w:r>
    </w:p>
    <w:p w14:paraId="6423B01E" w14:textId="77777777" w:rsidR="00FF3942" w:rsidRPr="00FF3942" w:rsidRDefault="009A0D68" w:rsidP="004B0475">
      <w:pPr>
        <w:pStyle w:val="ac"/>
        <w:numPr>
          <w:ilvl w:val="0"/>
          <w:numId w:val="37"/>
        </w:numPr>
      </w:pPr>
      <w:r w:rsidRPr="009A0D68">
        <w:rPr>
          <w:rFonts w:cs="Arial" w:hint="cs"/>
          <w:rtl/>
        </w:rPr>
        <w:t xml:space="preserve">רי"ו </w:t>
      </w:r>
      <w:r>
        <w:rPr>
          <w:rFonts w:cs="Arial" w:hint="cs"/>
          <w:sz w:val="16"/>
          <w:szCs w:val="16"/>
          <w:rtl/>
        </w:rPr>
        <w:t>(מ</w:t>
      </w:r>
      <w:r w:rsidR="00555915" w:rsidRPr="009A0D68">
        <w:rPr>
          <w:rFonts w:cs="Arial"/>
          <w:sz w:val="16"/>
          <w:szCs w:val="16"/>
          <w:rtl/>
        </w:rPr>
        <w:t>ישרים נ"א חלק י"ג יא.)</w:t>
      </w:r>
      <w:r>
        <w:rPr>
          <w:rFonts w:cs="Arial" w:hint="cs"/>
          <w:rtl/>
        </w:rPr>
        <w:t>-</w:t>
      </w:r>
      <w:r w:rsidR="00555915" w:rsidRPr="009A0D68">
        <w:rPr>
          <w:rFonts w:cs="Arial"/>
          <w:rtl/>
        </w:rPr>
        <w:t xml:space="preserve"> אחד מבעלי דינים שרוצה לדון בערכאות של גוים</w:t>
      </w:r>
      <w:r w:rsidR="00F91803">
        <w:rPr>
          <w:rFonts w:cs="Arial" w:hint="cs"/>
          <w:rtl/>
        </w:rPr>
        <w:t xml:space="preserve"> -</w:t>
      </w:r>
      <w:r w:rsidR="00555915" w:rsidRPr="009A0D68">
        <w:rPr>
          <w:rFonts w:cs="Arial"/>
          <w:rtl/>
        </w:rPr>
        <w:t xml:space="preserve"> אין שומעין לו</w:t>
      </w:r>
      <w:r w:rsidR="00D36D06">
        <w:rPr>
          <w:rFonts w:cs="Arial" w:hint="cs"/>
          <w:rtl/>
        </w:rPr>
        <w:t>,</w:t>
      </w:r>
      <w:r w:rsidR="00555915" w:rsidRPr="009A0D68">
        <w:rPr>
          <w:rFonts w:cs="Arial"/>
          <w:rtl/>
        </w:rPr>
        <w:t xml:space="preserve"> וכתב רב אלפס בתשובה </w:t>
      </w:r>
      <w:r w:rsidR="00555915" w:rsidRPr="00FF3942">
        <w:rPr>
          <w:rFonts w:cs="Arial"/>
          <w:sz w:val="16"/>
          <w:szCs w:val="16"/>
          <w:rtl/>
        </w:rPr>
        <w:t xml:space="preserve">(מהד' לייטר סי' רכא) </w:t>
      </w:r>
      <w:r w:rsidR="00555915" w:rsidRPr="009A0D68">
        <w:rPr>
          <w:rFonts w:cs="Arial"/>
          <w:rtl/>
        </w:rPr>
        <w:t>שצריך לנדותו</w:t>
      </w:r>
      <w:r w:rsidR="00FF3942">
        <w:rPr>
          <w:rFonts w:cs="Arial" w:hint="cs"/>
          <w:rtl/>
        </w:rPr>
        <w:t>.</w:t>
      </w:r>
      <w:r w:rsidR="00555915" w:rsidRPr="009A0D68">
        <w:rPr>
          <w:rFonts w:cs="Arial"/>
          <w:rtl/>
        </w:rPr>
        <w:t xml:space="preserve"> </w:t>
      </w:r>
    </w:p>
    <w:p w14:paraId="482848F6" w14:textId="77777777" w:rsidR="00FF3942" w:rsidRPr="00FF3942" w:rsidRDefault="00FF3942" w:rsidP="00FF3942">
      <w:pPr>
        <w:rPr>
          <w:u w:val="single"/>
        </w:rPr>
      </w:pPr>
      <w:r w:rsidRPr="00FF3942">
        <w:rPr>
          <w:rFonts w:hint="cs"/>
          <w:u w:val="single"/>
          <w:rtl/>
        </w:rPr>
        <w:t xml:space="preserve">המחזיק ביד ההולך לדון </w:t>
      </w:r>
      <w:r w:rsidRPr="009A0D68">
        <w:rPr>
          <w:rFonts w:cs="Arial" w:hint="cs"/>
          <w:u w:val="single"/>
          <w:rtl/>
        </w:rPr>
        <w:t>בערכאות</w:t>
      </w:r>
      <w:r w:rsidRPr="00FF3942">
        <w:rPr>
          <w:rFonts w:hint="cs"/>
          <w:u w:val="single"/>
          <w:rtl/>
        </w:rPr>
        <w:t>:</w:t>
      </w:r>
    </w:p>
    <w:p w14:paraId="4C83EBF2" w14:textId="77777777" w:rsidR="00E055B2" w:rsidRDefault="00555915" w:rsidP="004B0475">
      <w:pPr>
        <w:pStyle w:val="ac"/>
        <w:numPr>
          <w:ilvl w:val="0"/>
          <w:numId w:val="37"/>
        </w:numPr>
      </w:pPr>
      <w:r w:rsidRPr="009A0D68">
        <w:rPr>
          <w:rFonts w:cs="Arial"/>
          <w:rtl/>
        </w:rPr>
        <w:t xml:space="preserve">ריב"ש </w:t>
      </w:r>
      <w:r w:rsidR="00FF3942" w:rsidRPr="00FF3942">
        <w:rPr>
          <w:rFonts w:cs="Arial" w:hint="cs"/>
          <w:sz w:val="16"/>
          <w:szCs w:val="16"/>
          <w:rtl/>
        </w:rPr>
        <w:t>(</w:t>
      </w:r>
      <w:r w:rsidRPr="00FF3942">
        <w:rPr>
          <w:rFonts w:cs="Arial"/>
          <w:sz w:val="16"/>
          <w:szCs w:val="16"/>
          <w:rtl/>
        </w:rPr>
        <w:t>סי</w:t>
      </w:r>
      <w:r w:rsidR="00FF3942" w:rsidRPr="00FF3942">
        <w:rPr>
          <w:rFonts w:cs="Arial" w:hint="cs"/>
          <w:sz w:val="16"/>
          <w:szCs w:val="16"/>
          <w:rtl/>
        </w:rPr>
        <w:t>'</w:t>
      </w:r>
      <w:r w:rsidRPr="00FF3942">
        <w:rPr>
          <w:rFonts w:cs="Arial"/>
          <w:sz w:val="16"/>
          <w:szCs w:val="16"/>
          <w:rtl/>
        </w:rPr>
        <w:t xml:space="preserve"> קב ד"ה ומה)</w:t>
      </w:r>
      <w:r w:rsidR="00FF3942">
        <w:rPr>
          <w:rFonts w:cs="Arial" w:hint="cs"/>
          <w:rtl/>
        </w:rPr>
        <w:t>-</w:t>
      </w:r>
      <w:r w:rsidRPr="009A0D68">
        <w:rPr>
          <w:rFonts w:cs="Arial"/>
          <w:rtl/>
        </w:rPr>
        <w:t xml:space="preserve"> </w:t>
      </w:r>
      <w:r w:rsidR="00FF3942">
        <w:rPr>
          <w:rFonts w:cs="Arial" w:hint="cs"/>
          <w:rtl/>
        </w:rPr>
        <w:t xml:space="preserve">יש </w:t>
      </w:r>
      <w:r w:rsidRPr="009A0D68">
        <w:rPr>
          <w:rFonts w:cs="Arial"/>
          <w:rtl/>
        </w:rPr>
        <w:t>להחרים ולנדות המחזיק ביד ההולך לדון בדיני גוים</w:t>
      </w:r>
      <w:r w:rsidR="009A0D68" w:rsidRPr="009A0D68">
        <w:rPr>
          <w:rFonts w:cs="Arial" w:hint="cs"/>
          <w:rtl/>
        </w:rPr>
        <w:t>.</w:t>
      </w:r>
      <w:r w:rsidR="004730AC">
        <w:rPr>
          <w:rFonts w:hint="cs"/>
          <w:rtl/>
        </w:rPr>
        <w:t xml:space="preserve"> </w:t>
      </w:r>
      <w:r w:rsidR="004730AC" w:rsidRPr="004730AC">
        <w:rPr>
          <w:rFonts w:hint="cs"/>
          <w:color w:val="00B0F0"/>
          <w:rtl/>
        </w:rPr>
        <w:t>(וכ"פ הרמ"א)</w:t>
      </w:r>
    </w:p>
    <w:p w14:paraId="7BFF6FF0" w14:textId="77777777" w:rsidR="00FF3942" w:rsidRPr="00FF3942" w:rsidRDefault="00FF3942" w:rsidP="00FF3942">
      <w:pPr>
        <w:rPr>
          <w:u w:val="single"/>
        </w:rPr>
      </w:pPr>
      <w:r w:rsidRPr="00FF3942">
        <w:rPr>
          <w:rFonts w:hint="cs"/>
          <w:u w:val="single"/>
          <w:rtl/>
        </w:rPr>
        <w:t xml:space="preserve">כפיה בדיני גוים </w:t>
      </w:r>
      <w:r w:rsidRPr="00FF3942">
        <w:rPr>
          <w:u w:val="single"/>
          <w:rtl/>
        </w:rPr>
        <w:t>–</w:t>
      </w:r>
      <w:r w:rsidRPr="00FF3942">
        <w:rPr>
          <w:rFonts w:hint="cs"/>
          <w:u w:val="single"/>
          <w:rtl/>
        </w:rPr>
        <w:t xml:space="preserve"> בדבר דמותר למיעבד דינא לנפשיה:</w:t>
      </w:r>
      <w:r>
        <w:rPr>
          <w:rFonts w:hint="cs"/>
          <w:sz w:val="16"/>
          <w:szCs w:val="16"/>
          <w:rtl/>
        </w:rPr>
        <w:t xml:space="preserve">  (</w:t>
      </w:r>
      <w:r w:rsidRPr="00FF3942">
        <w:rPr>
          <w:rFonts w:hint="cs"/>
          <w:sz w:val="16"/>
          <w:szCs w:val="16"/>
          <w:rtl/>
        </w:rPr>
        <w:t>דרכ"מ אות א)</w:t>
      </w:r>
    </w:p>
    <w:p w14:paraId="11763FE7" w14:textId="77777777" w:rsidR="00FF3942" w:rsidRDefault="00FF3942" w:rsidP="004B0475">
      <w:pPr>
        <w:pStyle w:val="ac"/>
        <w:numPr>
          <w:ilvl w:val="0"/>
          <w:numId w:val="37"/>
        </w:numPr>
        <w:rPr>
          <w:rtl/>
        </w:rPr>
      </w:pPr>
      <w:r w:rsidRPr="00555915">
        <w:rPr>
          <w:rFonts w:cs="Arial"/>
          <w:rtl/>
        </w:rPr>
        <w:t>תרוה</w:t>
      </w:r>
      <w:r>
        <w:rPr>
          <w:rFonts w:cs="Arial" w:hint="cs"/>
          <w:rtl/>
        </w:rPr>
        <w:t>"</w:t>
      </w:r>
      <w:r w:rsidRPr="00555915">
        <w:rPr>
          <w:rFonts w:cs="Arial"/>
          <w:rtl/>
        </w:rPr>
        <w:t>ד</w:t>
      </w:r>
      <w:r>
        <w:rPr>
          <w:rFonts w:cs="Arial" w:hint="cs"/>
          <w:rtl/>
        </w:rPr>
        <w:t xml:space="preserve"> </w:t>
      </w:r>
      <w:r w:rsidRPr="00FF3942">
        <w:rPr>
          <w:rFonts w:cs="Arial" w:hint="cs"/>
          <w:sz w:val="16"/>
          <w:szCs w:val="16"/>
          <w:rtl/>
        </w:rPr>
        <w:t>(</w:t>
      </w:r>
      <w:r w:rsidRPr="00FF3942">
        <w:rPr>
          <w:rFonts w:cs="Arial"/>
          <w:sz w:val="16"/>
          <w:szCs w:val="16"/>
          <w:rtl/>
        </w:rPr>
        <w:t>סי</w:t>
      </w:r>
      <w:r w:rsidRPr="00FF3942">
        <w:rPr>
          <w:rFonts w:cs="Arial" w:hint="cs"/>
          <w:sz w:val="16"/>
          <w:szCs w:val="16"/>
          <w:rtl/>
        </w:rPr>
        <w:t>'</w:t>
      </w:r>
      <w:r w:rsidRPr="00FF3942">
        <w:rPr>
          <w:rFonts w:cs="Arial"/>
          <w:sz w:val="16"/>
          <w:szCs w:val="16"/>
          <w:rtl/>
        </w:rPr>
        <w:t xml:space="preserve"> דש</w:t>
      </w:r>
      <w:r w:rsidRPr="00FF3942">
        <w:rPr>
          <w:rFonts w:cs="Arial" w:hint="cs"/>
          <w:sz w:val="16"/>
          <w:szCs w:val="16"/>
          <w:rtl/>
        </w:rPr>
        <w:t>)</w:t>
      </w:r>
      <w:r>
        <w:rPr>
          <w:rFonts w:cs="Arial" w:hint="cs"/>
          <w:rtl/>
        </w:rPr>
        <w:t>-</w:t>
      </w:r>
      <w:r w:rsidRPr="00555915">
        <w:rPr>
          <w:rFonts w:cs="Arial"/>
          <w:rtl/>
        </w:rPr>
        <w:t xml:space="preserve"> אף בדבר דמותר למיעבד דינא לנפשיה מ</w:t>
      </w:r>
      <w:r>
        <w:rPr>
          <w:rFonts w:cs="Arial" w:hint="cs"/>
          <w:rtl/>
        </w:rPr>
        <w:t>"</w:t>
      </w:r>
      <w:r w:rsidRPr="00555915">
        <w:rPr>
          <w:rFonts w:cs="Arial"/>
          <w:rtl/>
        </w:rPr>
        <w:t>מ אסור לכופו ע</w:t>
      </w:r>
      <w:r>
        <w:rPr>
          <w:rFonts w:cs="Arial" w:hint="cs"/>
          <w:rtl/>
        </w:rPr>
        <w:t>"</w:t>
      </w:r>
      <w:r w:rsidRPr="00555915">
        <w:rPr>
          <w:rFonts w:cs="Arial"/>
          <w:rtl/>
        </w:rPr>
        <w:t>י גוים</w:t>
      </w:r>
      <w:r>
        <w:rPr>
          <w:rFonts w:hint="cs"/>
          <w:rtl/>
        </w:rPr>
        <w:t>.</w:t>
      </w:r>
      <w:r w:rsidR="003272F8" w:rsidRPr="003272F8">
        <w:rPr>
          <w:rFonts w:hint="cs"/>
          <w:color w:val="00B0F0"/>
          <w:rtl/>
        </w:rPr>
        <w:t xml:space="preserve"> </w:t>
      </w:r>
      <w:r w:rsidR="003272F8" w:rsidRPr="004730AC">
        <w:rPr>
          <w:rFonts w:hint="cs"/>
          <w:color w:val="00B0F0"/>
          <w:rtl/>
        </w:rPr>
        <w:t>(וכ"פ הרמ"א</w:t>
      </w:r>
      <w:r w:rsidR="003272F8">
        <w:rPr>
          <w:rFonts w:hint="cs"/>
          <w:color w:val="000000" w:themeColor="text1"/>
          <w:sz w:val="16"/>
          <w:szCs w:val="16"/>
          <w:rtl/>
        </w:rPr>
        <w:t xml:space="preserve"> [סי' ד]</w:t>
      </w:r>
      <w:r w:rsidR="003272F8" w:rsidRPr="004730AC">
        <w:rPr>
          <w:rFonts w:hint="cs"/>
          <w:color w:val="00B0F0"/>
          <w:rtl/>
        </w:rPr>
        <w:t>)</w:t>
      </w:r>
    </w:p>
    <w:p w14:paraId="007E422F" w14:textId="77777777" w:rsidR="00AF1D25" w:rsidRPr="00AF1D25" w:rsidRDefault="00555915" w:rsidP="00555915">
      <w:pPr>
        <w:rPr>
          <w:rFonts w:cs="Arial"/>
          <w:u w:val="single"/>
          <w:rtl/>
        </w:rPr>
      </w:pPr>
      <w:r w:rsidRPr="00AF1D25">
        <w:rPr>
          <w:rFonts w:cs="Arial"/>
          <w:u w:val="single"/>
          <w:rtl/>
        </w:rPr>
        <w:t>ישראל שהוליך את חבירו לפני הערכאות וחייבו לאותו שהוליך את חבירו וכשראה כן חזר ותבעו בדיני ישראל</w:t>
      </w:r>
      <w:r w:rsidR="00AF1D25" w:rsidRPr="00AF1D25">
        <w:rPr>
          <w:rFonts w:cs="Arial" w:hint="cs"/>
          <w:u w:val="single"/>
          <w:rtl/>
        </w:rPr>
        <w:t>:</w:t>
      </w:r>
    </w:p>
    <w:p w14:paraId="06BDC092" w14:textId="77777777" w:rsidR="00FF3942" w:rsidRDefault="00AF1D25" w:rsidP="004B0475">
      <w:pPr>
        <w:pStyle w:val="ac"/>
        <w:numPr>
          <w:ilvl w:val="0"/>
          <w:numId w:val="37"/>
        </w:numPr>
        <w:rPr>
          <w:rFonts w:cs="Arial"/>
        </w:rPr>
      </w:pPr>
      <w:r w:rsidRPr="00AF1D25">
        <w:rPr>
          <w:rFonts w:cs="Arial" w:hint="cs"/>
          <w:rtl/>
        </w:rPr>
        <w:t>ב"י-</w:t>
      </w:r>
      <w:r w:rsidR="00555915" w:rsidRPr="00AF1D25">
        <w:rPr>
          <w:rFonts w:cs="Arial"/>
          <w:rtl/>
        </w:rPr>
        <w:t xml:space="preserve"> היה ראוי לומר שאין נזקקין לו אם זוכה בדיני ישראל</w:t>
      </w:r>
      <w:r w:rsidR="009952F0">
        <w:rPr>
          <w:rFonts w:cs="Arial" w:hint="cs"/>
          <w:rtl/>
        </w:rPr>
        <w:t>,</w:t>
      </w:r>
      <w:r w:rsidR="00555915" w:rsidRPr="00AF1D25">
        <w:rPr>
          <w:rFonts w:cs="Arial"/>
          <w:rtl/>
        </w:rPr>
        <w:t xml:space="preserve"> וגדולה מזו משמע במהרי"ק </w:t>
      </w:r>
      <w:r w:rsidR="00FF3942" w:rsidRPr="00AF1D25">
        <w:rPr>
          <w:rFonts w:cs="Arial" w:hint="cs"/>
          <w:sz w:val="16"/>
          <w:szCs w:val="16"/>
          <w:rtl/>
        </w:rPr>
        <w:t>(</w:t>
      </w:r>
      <w:r w:rsidR="00555915" w:rsidRPr="00AF1D25">
        <w:rPr>
          <w:rFonts w:cs="Arial"/>
          <w:sz w:val="16"/>
          <w:szCs w:val="16"/>
          <w:rtl/>
        </w:rPr>
        <w:t>שורש קפז</w:t>
      </w:r>
      <w:r w:rsidR="00FF3942" w:rsidRPr="00AF1D25">
        <w:rPr>
          <w:rFonts w:cs="Arial" w:hint="cs"/>
          <w:sz w:val="16"/>
          <w:szCs w:val="16"/>
          <w:rtl/>
        </w:rPr>
        <w:t>)</w:t>
      </w:r>
      <w:r w:rsidR="00555915" w:rsidRPr="00AF1D25">
        <w:rPr>
          <w:rFonts w:cs="Arial"/>
          <w:rtl/>
        </w:rPr>
        <w:t xml:space="preserve"> בשם רבינו יצחק בר פרץ</w:t>
      </w:r>
      <w:r w:rsidR="003272F8">
        <w:rPr>
          <w:rStyle w:val="ab"/>
          <w:rFonts w:cs="Arial"/>
          <w:rtl/>
        </w:rPr>
        <w:footnoteReference w:id="1302"/>
      </w:r>
      <w:r w:rsidR="009952F0">
        <w:rPr>
          <w:rFonts w:cs="Arial" w:hint="cs"/>
          <w:rtl/>
        </w:rPr>
        <w:t>.</w:t>
      </w:r>
      <w:r w:rsidR="00555915" w:rsidRPr="00AF1D25">
        <w:rPr>
          <w:rFonts w:cs="Arial"/>
          <w:rtl/>
        </w:rPr>
        <w:t xml:space="preserve"> אבל לא משמע הכי בההוא עובדא שהביא המרדכי</w:t>
      </w:r>
      <w:r>
        <w:rPr>
          <w:rStyle w:val="ab"/>
          <w:rFonts w:cs="Arial"/>
          <w:rtl/>
        </w:rPr>
        <w:footnoteReference w:id="1303"/>
      </w:r>
      <w:r w:rsidR="00555915" w:rsidRPr="00AF1D25">
        <w:rPr>
          <w:rFonts w:cs="Arial"/>
          <w:rtl/>
        </w:rPr>
        <w:t xml:space="preserve"> בסוף קמא </w:t>
      </w:r>
      <w:r w:rsidR="00555915" w:rsidRPr="00AF1D25">
        <w:rPr>
          <w:rFonts w:cs="Arial"/>
          <w:sz w:val="16"/>
          <w:szCs w:val="16"/>
          <w:rtl/>
        </w:rPr>
        <w:t xml:space="preserve">(ב"ק סי' קצה) </w:t>
      </w:r>
      <w:r w:rsidR="00555915" w:rsidRPr="00AF1D25">
        <w:rPr>
          <w:rFonts w:cs="Arial"/>
          <w:rtl/>
        </w:rPr>
        <w:t xml:space="preserve">ותשובות מימוניות </w:t>
      </w:r>
      <w:r w:rsidRPr="00AF1D25">
        <w:rPr>
          <w:rFonts w:cs="Arial" w:hint="cs"/>
          <w:sz w:val="16"/>
          <w:szCs w:val="16"/>
          <w:rtl/>
        </w:rPr>
        <w:t>(</w:t>
      </w:r>
      <w:r w:rsidR="00555915" w:rsidRPr="00AF1D25">
        <w:rPr>
          <w:rFonts w:cs="Arial"/>
          <w:sz w:val="16"/>
          <w:szCs w:val="16"/>
          <w:rtl/>
        </w:rPr>
        <w:t>בספר נזיקין סי</w:t>
      </w:r>
      <w:r w:rsidRPr="00AF1D25">
        <w:rPr>
          <w:rFonts w:cs="Arial" w:hint="cs"/>
          <w:sz w:val="16"/>
          <w:szCs w:val="16"/>
          <w:rtl/>
        </w:rPr>
        <w:t xml:space="preserve">' </w:t>
      </w:r>
      <w:r w:rsidR="00555915" w:rsidRPr="00AF1D25">
        <w:rPr>
          <w:rFonts w:cs="Arial"/>
          <w:sz w:val="16"/>
          <w:szCs w:val="16"/>
          <w:rtl/>
        </w:rPr>
        <w:t>טו</w:t>
      </w:r>
      <w:r w:rsidRPr="00AF1D25">
        <w:rPr>
          <w:rFonts w:cs="Arial" w:hint="cs"/>
          <w:sz w:val="16"/>
          <w:szCs w:val="16"/>
          <w:rtl/>
        </w:rPr>
        <w:t>)</w:t>
      </w:r>
      <w:r w:rsidR="00555915" w:rsidRPr="00AF1D25">
        <w:rPr>
          <w:rFonts w:cs="Arial"/>
          <w:sz w:val="16"/>
          <w:szCs w:val="16"/>
          <w:rtl/>
        </w:rPr>
        <w:t xml:space="preserve"> </w:t>
      </w:r>
      <w:r w:rsidR="00555915" w:rsidRPr="00AF1D25">
        <w:rPr>
          <w:rFonts w:cs="Arial"/>
          <w:rtl/>
        </w:rPr>
        <w:t>מרבי יואל ורבי אפרים</w:t>
      </w:r>
      <w:r w:rsidR="00FF3942" w:rsidRPr="00AF1D25">
        <w:rPr>
          <w:rFonts w:cs="Arial" w:hint="cs"/>
          <w:rtl/>
        </w:rPr>
        <w:t>.</w:t>
      </w:r>
    </w:p>
    <w:p w14:paraId="38915D0F" w14:textId="77777777" w:rsidR="00AF1D25" w:rsidRPr="00AF1D25" w:rsidRDefault="00AF1D25" w:rsidP="00AF1D25">
      <w:pPr>
        <w:rPr>
          <w:rFonts w:cs="Arial"/>
          <w:u w:val="single"/>
        </w:rPr>
      </w:pPr>
      <w:r w:rsidRPr="00AF1D25">
        <w:rPr>
          <w:rFonts w:cs="Arial" w:hint="cs"/>
          <w:u w:val="single"/>
          <w:rtl/>
        </w:rPr>
        <w:t xml:space="preserve">הלך לדיני גוים והפסיד והוכה </w:t>
      </w:r>
      <w:r w:rsidRPr="00AF1D25">
        <w:rPr>
          <w:rFonts w:cs="Arial"/>
          <w:u w:val="single"/>
          <w:rtl/>
        </w:rPr>
        <w:t>–</w:t>
      </w:r>
      <w:r w:rsidRPr="00AF1D25">
        <w:rPr>
          <w:rFonts w:cs="Arial" w:hint="cs"/>
          <w:u w:val="single"/>
          <w:rtl/>
        </w:rPr>
        <w:t xml:space="preserve"> האם יש להענ</w:t>
      </w:r>
      <w:r>
        <w:rPr>
          <w:rFonts w:cs="Arial" w:hint="cs"/>
          <w:u w:val="single"/>
          <w:rtl/>
        </w:rPr>
        <w:t>י</w:t>
      </w:r>
      <w:r w:rsidRPr="00AF1D25">
        <w:rPr>
          <w:rFonts w:cs="Arial" w:hint="cs"/>
          <w:u w:val="single"/>
          <w:rtl/>
        </w:rPr>
        <w:t>שו עוד בדיני ישראל:</w:t>
      </w:r>
      <w:r>
        <w:rPr>
          <w:rFonts w:hint="cs"/>
          <w:sz w:val="16"/>
          <w:szCs w:val="16"/>
          <w:rtl/>
        </w:rPr>
        <w:t xml:space="preserve">  (</w:t>
      </w:r>
      <w:r w:rsidRPr="00FF3942">
        <w:rPr>
          <w:rFonts w:hint="cs"/>
          <w:sz w:val="16"/>
          <w:szCs w:val="16"/>
          <w:rtl/>
        </w:rPr>
        <w:t xml:space="preserve">דרכ"מ אות </w:t>
      </w:r>
      <w:r>
        <w:rPr>
          <w:rFonts w:hint="cs"/>
          <w:sz w:val="16"/>
          <w:szCs w:val="16"/>
          <w:rtl/>
        </w:rPr>
        <w:t>ג</w:t>
      </w:r>
      <w:r w:rsidRPr="00FF3942">
        <w:rPr>
          <w:rFonts w:hint="cs"/>
          <w:sz w:val="16"/>
          <w:szCs w:val="16"/>
          <w:rtl/>
        </w:rPr>
        <w:t>)</w:t>
      </w:r>
    </w:p>
    <w:p w14:paraId="3BABDA62" w14:textId="77777777" w:rsidR="00AF1D25" w:rsidRPr="00AF1D25" w:rsidRDefault="00AF1D25" w:rsidP="004B0475">
      <w:pPr>
        <w:pStyle w:val="ac"/>
        <w:numPr>
          <w:ilvl w:val="0"/>
          <w:numId w:val="37"/>
        </w:numPr>
        <w:rPr>
          <w:rFonts w:cs="Arial"/>
          <w:rtl/>
        </w:rPr>
      </w:pPr>
      <w:r w:rsidRPr="00B650A7">
        <w:rPr>
          <w:rFonts w:cs="Arial"/>
          <w:rtl/>
        </w:rPr>
        <w:t xml:space="preserve">מהר"ם מריזבורק </w:t>
      </w:r>
      <w:r w:rsidRPr="00AF1D25">
        <w:rPr>
          <w:rFonts w:cs="Arial"/>
          <w:sz w:val="16"/>
          <w:szCs w:val="16"/>
          <w:rtl/>
        </w:rPr>
        <w:t>(שו"ת מהר"י ווייל עמ' קעד)</w:t>
      </w:r>
      <w:r>
        <w:rPr>
          <w:rFonts w:cs="Arial" w:hint="cs"/>
          <w:rtl/>
        </w:rPr>
        <w:t>-</w:t>
      </w:r>
      <w:r w:rsidRPr="00B650A7">
        <w:rPr>
          <w:rFonts w:cs="Arial"/>
          <w:rtl/>
        </w:rPr>
        <w:t xml:space="preserve"> על דבר ההכאות אם הפסיד המכה בדיני גוים </w:t>
      </w:r>
      <w:r w:rsidR="00F91803">
        <w:rPr>
          <w:rFonts w:cs="Arial" w:hint="cs"/>
          <w:rtl/>
        </w:rPr>
        <w:t xml:space="preserve">- </w:t>
      </w:r>
      <w:r w:rsidRPr="00B650A7">
        <w:rPr>
          <w:rFonts w:cs="Arial"/>
          <w:rtl/>
        </w:rPr>
        <w:t>אז אין להענישו טפי</w:t>
      </w:r>
      <w:r w:rsidR="009952F0">
        <w:rPr>
          <w:rFonts w:cs="Arial" w:hint="cs"/>
          <w:rtl/>
        </w:rPr>
        <w:t>,</w:t>
      </w:r>
      <w:r w:rsidRPr="00B650A7">
        <w:rPr>
          <w:rFonts w:cs="Arial"/>
          <w:rtl/>
        </w:rPr>
        <w:t xml:space="preserve"> דבתרי קטלא לא קטלינן ליה</w:t>
      </w:r>
      <w:r w:rsidR="009952F0">
        <w:rPr>
          <w:rFonts w:cs="Arial" w:hint="cs"/>
          <w:rtl/>
        </w:rPr>
        <w:t>.</w:t>
      </w:r>
      <w:r w:rsidRPr="00B650A7">
        <w:rPr>
          <w:rFonts w:cs="Arial"/>
          <w:rtl/>
        </w:rPr>
        <w:t xml:space="preserve"> ואם לא הפסיד על ידי קבלותו </w:t>
      </w:r>
      <w:r w:rsidR="00F91803">
        <w:rPr>
          <w:rFonts w:cs="Arial" w:hint="cs"/>
          <w:rtl/>
        </w:rPr>
        <w:t xml:space="preserve">- </w:t>
      </w:r>
      <w:r w:rsidRPr="00B650A7">
        <w:rPr>
          <w:rFonts w:cs="Arial"/>
          <w:rtl/>
        </w:rPr>
        <w:t>אז יעשה לו דין</w:t>
      </w:r>
      <w:r>
        <w:rPr>
          <w:rFonts w:cs="Arial" w:hint="cs"/>
          <w:rtl/>
        </w:rPr>
        <w:t>.</w:t>
      </w:r>
      <w:r w:rsidR="003272F8" w:rsidRPr="003272F8">
        <w:rPr>
          <w:rFonts w:hint="cs"/>
          <w:color w:val="00B0F0"/>
          <w:rtl/>
        </w:rPr>
        <w:t xml:space="preserve"> </w:t>
      </w:r>
      <w:r w:rsidR="003272F8" w:rsidRPr="004730AC">
        <w:rPr>
          <w:rFonts w:hint="cs"/>
          <w:color w:val="00B0F0"/>
          <w:rtl/>
        </w:rPr>
        <w:t>(וכ"פ הרמ"א)</w:t>
      </w:r>
    </w:p>
    <w:p w14:paraId="4AE5C029" w14:textId="77777777" w:rsidR="00AF1D25" w:rsidRPr="00AF1D25" w:rsidRDefault="00AF1D25" w:rsidP="00555915">
      <w:pPr>
        <w:rPr>
          <w:rFonts w:cs="Arial"/>
          <w:u w:val="single"/>
          <w:rtl/>
        </w:rPr>
      </w:pPr>
      <w:r w:rsidRPr="00AF1D25">
        <w:rPr>
          <w:rFonts w:cs="Arial"/>
          <w:u w:val="single"/>
          <w:rtl/>
        </w:rPr>
        <w:t>גוי שיש לו שטר חוב על ישראל ומסרו הגוי לישראל אחר</w:t>
      </w:r>
      <w:r w:rsidRPr="00AF1D25">
        <w:rPr>
          <w:rFonts w:cs="Arial" w:hint="cs"/>
          <w:u w:val="single"/>
          <w:rtl/>
        </w:rPr>
        <w:t>:</w:t>
      </w:r>
    </w:p>
    <w:p w14:paraId="6B09C793" w14:textId="77777777" w:rsidR="003E06B7" w:rsidRDefault="00AF1D25" w:rsidP="004B0475">
      <w:pPr>
        <w:pStyle w:val="ac"/>
        <w:numPr>
          <w:ilvl w:val="0"/>
          <w:numId w:val="37"/>
        </w:numPr>
        <w:rPr>
          <w:rFonts w:cs="Arial"/>
        </w:rPr>
      </w:pPr>
      <w:r w:rsidRPr="00AF1D25">
        <w:rPr>
          <w:rFonts w:cs="Arial"/>
          <w:rtl/>
        </w:rPr>
        <w:lastRenderedPageBreak/>
        <w:t>רא"ש</w:t>
      </w:r>
      <w:r w:rsidRPr="00AF1D25">
        <w:rPr>
          <w:rFonts w:cs="Arial"/>
          <w:sz w:val="16"/>
          <w:szCs w:val="16"/>
          <w:rtl/>
        </w:rPr>
        <w:t xml:space="preserve"> </w:t>
      </w:r>
      <w:r w:rsidRPr="00AF1D25">
        <w:rPr>
          <w:rFonts w:cs="Arial" w:hint="cs"/>
          <w:sz w:val="16"/>
          <w:szCs w:val="16"/>
          <w:rtl/>
        </w:rPr>
        <w:t>(</w:t>
      </w:r>
      <w:r w:rsidRPr="00AF1D25">
        <w:rPr>
          <w:rFonts w:cs="Arial"/>
          <w:sz w:val="16"/>
          <w:szCs w:val="16"/>
          <w:rtl/>
        </w:rPr>
        <w:t>כלל יח סי</w:t>
      </w:r>
      <w:r w:rsidRPr="00AF1D25">
        <w:rPr>
          <w:rFonts w:cs="Arial" w:hint="cs"/>
          <w:sz w:val="16"/>
          <w:szCs w:val="16"/>
          <w:rtl/>
        </w:rPr>
        <w:t>'</w:t>
      </w:r>
      <w:r w:rsidRPr="00AF1D25">
        <w:rPr>
          <w:rFonts w:cs="Arial"/>
          <w:sz w:val="16"/>
          <w:szCs w:val="16"/>
          <w:rtl/>
        </w:rPr>
        <w:t xml:space="preserve"> א</w:t>
      </w:r>
      <w:r w:rsidRPr="00AF1D25">
        <w:rPr>
          <w:rFonts w:cs="Arial" w:hint="cs"/>
          <w:sz w:val="16"/>
          <w:szCs w:val="16"/>
          <w:rtl/>
        </w:rPr>
        <w:t>)</w:t>
      </w:r>
      <w:r w:rsidRPr="00AF1D25">
        <w:rPr>
          <w:rFonts w:cs="Arial" w:hint="cs"/>
          <w:rtl/>
        </w:rPr>
        <w:t>-</w:t>
      </w:r>
      <w:r w:rsidRPr="00AF1D25">
        <w:rPr>
          <w:rFonts w:cs="Arial"/>
          <w:rtl/>
        </w:rPr>
        <w:t xml:space="preserve"> </w:t>
      </w:r>
      <w:r w:rsidR="00555915" w:rsidRPr="00AF1D25">
        <w:rPr>
          <w:rFonts w:cs="Arial"/>
          <w:rtl/>
        </w:rPr>
        <w:t>גוי שיש לו שטר חוב על ישראל ומסרו הגוי לישראל אחר</w:t>
      </w:r>
      <w:r w:rsidR="009952F0">
        <w:rPr>
          <w:rFonts w:cs="Arial" w:hint="cs"/>
          <w:rtl/>
        </w:rPr>
        <w:t xml:space="preserve"> -</w:t>
      </w:r>
      <w:r w:rsidR="00555915" w:rsidRPr="00AF1D25">
        <w:rPr>
          <w:rFonts w:cs="Arial"/>
          <w:rtl/>
        </w:rPr>
        <w:t xml:space="preserve"> אינו יכול לתבעו בדיניהם</w:t>
      </w:r>
      <w:r w:rsidR="009952F0">
        <w:rPr>
          <w:rFonts w:cs="Arial" w:hint="cs"/>
          <w:rtl/>
        </w:rPr>
        <w:t>,</w:t>
      </w:r>
      <w:r w:rsidR="00555915" w:rsidRPr="00AF1D25">
        <w:rPr>
          <w:rFonts w:cs="Arial"/>
          <w:rtl/>
        </w:rPr>
        <w:t xml:space="preserve"> </w:t>
      </w:r>
      <w:r w:rsidRPr="00AF1D25">
        <w:rPr>
          <w:rFonts w:cs="Arial" w:hint="cs"/>
          <w:rtl/>
        </w:rPr>
        <w:t xml:space="preserve">מיהו </w:t>
      </w:r>
      <w:r w:rsidRPr="00AF1D25">
        <w:rPr>
          <w:rFonts w:cs="Arial"/>
          <w:rtl/>
        </w:rPr>
        <w:t xml:space="preserve">כל זכיות שהיה הגוי יכול לזכות על ראובן בפני דייני גוים בדינא דמלכותא </w:t>
      </w:r>
      <w:r w:rsidR="00F91803">
        <w:rPr>
          <w:rFonts w:cs="Arial" w:hint="cs"/>
          <w:rtl/>
        </w:rPr>
        <w:t xml:space="preserve">- </w:t>
      </w:r>
      <w:r w:rsidRPr="00AF1D25">
        <w:rPr>
          <w:rFonts w:cs="Arial"/>
          <w:rtl/>
        </w:rPr>
        <w:t>צריכים בית דין לפסוק לשמעון</w:t>
      </w:r>
      <w:r w:rsidR="00F91803">
        <w:rPr>
          <w:rFonts w:cs="Arial" w:hint="cs"/>
          <w:rtl/>
        </w:rPr>
        <w:t>,</w:t>
      </w:r>
      <w:r w:rsidRPr="00AF1D25">
        <w:rPr>
          <w:rFonts w:cs="Arial"/>
          <w:rtl/>
        </w:rPr>
        <w:t xml:space="preserve"> אע</w:t>
      </w:r>
      <w:r w:rsidRPr="00AF1D25">
        <w:rPr>
          <w:rFonts w:cs="Arial" w:hint="cs"/>
          <w:rtl/>
        </w:rPr>
        <w:t>"</w:t>
      </w:r>
      <w:r w:rsidRPr="00AF1D25">
        <w:rPr>
          <w:rFonts w:cs="Arial"/>
          <w:rtl/>
        </w:rPr>
        <w:t>פ שאין דיני ישראל כך</w:t>
      </w:r>
      <w:r w:rsidR="009952F0">
        <w:rPr>
          <w:rFonts w:cs="Arial" w:hint="cs"/>
          <w:rtl/>
        </w:rPr>
        <w:t>,</w:t>
      </w:r>
      <w:r w:rsidRPr="00AF1D25">
        <w:rPr>
          <w:rFonts w:cs="Arial"/>
          <w:rtl/>
        </w:rPr>
        <w:t xml:space="preserve"> משום שיכול שמעון למימר אחזיר השטר לגוי</w:t>
      </w:r>
      <w:r w:rsidRPr="00AF1D25">
        <w:rPr>
          <w:rFonts w:cs="Arial" w:hint="cs"/>
          <w:rtl/>
        </w:rPr>
        <w:t>.</w:t>
      </w:r>
    </w:p>
    <w:p w14:paraId="713A34B5" w14:textId="77777777" w:rsidR="003E06B7" w:rsidRPr="00D21DCC" w:rsidRDefault="003E06B7" w:rsidP="003E06B7">
      <w:pPr>
        <w:rPr>
          <w:rFonts w:cs="Arial"/>
          <w:u w:val="single"/>
        </w:rPr>
      </w:pPr>
      <w:r w:rsidRPr="00D21DCC">
        <w:rPr>
          <w:rFonts w:cs="Arial" w:hint="cs"/>
          <w:u w:val="single"/>
          <w:rtl/>
        </w:rPr>
        <w:t xml:space="preserve">הרוצה לתבוע בעל דינו בערכאות </w:t>
      </w:r>
      <w:r w:rsidR="00D21DCC" w:rsidRPr="00D21DCC">
        <w:rPr>
          <w:rFonts w:cs="Arial" w:hint="cs"/>
          <w:u w:val="single"/>
          <w:rtl/>
        </w:rPr>
        <w:t>מחמת שהתנו כן מתחילה וכך נהוג במקומם:</w:t>
      </w:r>
    </w:p>
    <w:p w14:paraId="6104E994" w14:textId="77777777" w:rsidR="003E06B7" w:rsidRDefault="00555915" w:rsidP="004B0475">
      <w:pPr>
        <w:pStyle w:val="ac"/>
        <w:numPr>
          <w:ilvl w:val="0"/>
          <w:numId w:val="37"/>
        </w:numPr>
        <w:rPr>
          <w:rFonts w:cs="Arial"/>
        </w:rPr>
      </w:pPr>
      <w:r w:rsidRPr="003E06B7">
        <w:rPr>
          <w:rFonts w:cs="Arial"/>
          <w:rtl/>
        </w:rPr>
        <w:t xml:space="preserve">רשב"א </w:t>
      </w:r>
      <w:r w:rsidRPr="003E06B7">
        <w:rPr>
          <w:rFonts w:cs="Arial"/>
          <w:sz w:val="16"/>
          <w:szCs w:val="16"/>
          <w:rtl/>
        </w:rPr>
        <w:t>(ח"ו סי' רנד)</w:t>
      </w:r>
      <w:r w:rsidR="003E06B7">
        <w:rPr>
          <w:rFonts w:cs="Arial" w:hint="cs"/>
          <w:rtl/>
        </w:rPr>
        <w:t>-</w:t>
      </w:r>
      <w:r w:rsidRPr="003E06B7">
        <w:rPr>
          <w:rFonts w:cs="Arial"/>
          <w:rtl/>
        </w:rPr>
        <w:t xml:space="preserve"> ש</w:t>
      </w:r>
      <w:r w:rsidR="003E06B7">
        <w:rPr>
          <w:rFonts w:cs="Arial" w:hint="cs"/>
          <w:rtl/>
        </w:rPr>
        <w:t>אלה,</w:t>
      </w:r>
      <w:r w:rsidRPr="003E06B7">
        <w:rPr>
          <w:rFonts w:cs="Arial"/>
          <w:rtl/>
        </w:rPr>
        <w:t xml:space="preserve"> אחד שמתה בתו</w:t>
      </w:r>
      <w:r w:rsidR="009952F0">
        <w:rPr>
          <w:rFonts w:cs="Arial" w:hint="cs"/>
          <w:rtl/>
        </w:rPr>
        <w:t>,</w:t>
      </w:r>
      <w:r w:rsidRPr="003E06B7">
        <w:rPr>
          <w:rFonts w:cs="Arial"/>
          <w:rtl/>
        </w:rPr>
        <w:t xml:space="preserve"> ותבע את חתנו בערכאות הגוים שיחזיר לו כל הנדוניא בטענה שאע</w:t>
      </w:r>
      <w:r w:rsidR="003E06B7">
        <w:rPr>
          <w:rFonts w:cs="Arial" w:hint="cs"/>
          <w:rtl/>
        </w:rPr>
        <w:t>"</w:t>
      </w:r>
      <w:r w:rsidRPr="003E06B7">
        <w:rPr>
          <w:rFonts w:cs="Arial"/>
          <w:rtl/>
        </w:rPr>
        <w:t xml:space="preserve">פ שבדיני ישראל הבעל יורש את אשתו </w:t>
      </w:r>
      <w:r w:rsidRPr="003E06B7">
        <w:rPr>
          <w:rFonts w:cs="Arial"/>
          <w:sz w:val="16"/>
          <w:szCs w:val="16"/>
          <w:rtl/>
        </w:rPr>
        <w:t xml:space="preserve">(ב"ב קח.) </w:t>
      </w:r>
      <w:r w:rsidRPr="003E06B7">
        <w:rPr>
          <w:rFonts w:cs="Arial"/>
          <w:rtl/>
        </w:rPr>
        <w:t>כיון שהכל יודעים שהם הולכים בדיני הגוים הרי כל הנושא אשה שם כאלו התנה כן</w:t>
      </w:r>
      <w:r w:rsidR="009952F0">
        <w:rPr>
          <w:rFonts w:cs="Arial" w:hint="cs"/>
          <w:rtl/>
        </w:rPr>
        <w:t>,</w:t>
      </w:r>
      <w:r w:rsidRPr="003E06B7">
        <w:rPr>
          <w:rFonts w:cs="Arial"/>
          <w:rtl/>
        </w:rPr>
        <w:t xml:space="preserve"> וכמו שאמרו </w:t>
      </w:r>
      <w:r w:rsidRPr="003E06B7">
        <w:rPr>
          <w:rFonts w:cs="Arial"/>
          <w:sz w:val="16"/>
          <w:szCs w:val="16"/>
          <w:rtl/>
        </w:rPr>
        <w:t xml:space="preserve">(כתובות סז.) </w:t>
      </w:r>
      <w:r w:rsidRPr="003E06B7">
        <w:rPr>
          <w:rFonts w:cs="Arial"/>
          <w:rtl/>
        </w:rPr>
        <w:t>גמלי דערביא אשה גובה פורנא מהן לפי שסומכת עליהם</w:t>
      </w:r>
      <w:r w:rsidR="003E06B7">
        <w:rPr>
          <w:rFonts w:cs="Arial" w:hint="cs"/>
          <w:rtl/>
        </w:rPr>
        <w:t>.</w:t>
      </w:r>
      <w:r w:rsidRPr="003E06B7">
        <w:rPr>
          <w:rFonts w:cs="Arial"/>
          <w:rtl/>
        </w:rPr>
        <w:t xml:space="preserve"> </w:t>
      </w:r>
      <w:r w:rsidR="003E06B7">
        <w:rPr>
          <w:rFonts w:cs="Arial" w:hint="cs"/>
          <w:rtl/>
        </w:rPr>
        <w:t>תשובה,</w:t>
      </w:r>
      <w:r w:rsidRPr="003E06B7">
        <w:rPr>
          <w:rFonts w:cs="Arial"/>
          <w:rtl/>
        </w:rPr>
        <w:t xml:space="preserve"> כל דבר שבממון תנאו קיים </w:t>
      </w:r>
      <w:r w:rsidRPr="003E06B7">
        <w:rPr>
          <w:rFonts w:cs="Arial"/>
          <w:sz w:val="16"/>
          <w:szCs w:val="16"/>
          <w:rtl/>
        </w:rPr>
        <w:t xml:space="preserve">(כתובות נו.) </w:t>
      </w:r>
      <w:r w:rsidRPr="003E06B7">
        <w:rPr>
          <w:rFonts w:cs="Arial"/>
          <w:rtl/>
        </w:rPr>
        <w:t xml:space="preserve">ובאמת אמרו </w:t>
      </w:r>
      <w:r w:rsidRPr="003E06B7">
        <w:rPr>
          <w:rFonts w:cs="Arial"/>
          <w:sz w:val="16"/>
          <w:szCs w:val="16"/>
          <w:rtl/>
        </w:rPr>
        <w:t xml:space="preserve">(ירושלמי כתובות פ"ט ה"א) </w:t>
      </w:r>
      <w:r w:rsidRPr="003E06B7">
        <w:rPr>
          <w:rFonts w:cs="Arial"/>
          <w:rtl/>
        </w:rPr>
        <w:t>שמתנין בכענין זה</w:t>
      </w:r>
      <w:r w:rsidR="003E06B7">
        <w:rPr>
          <w:rFonts w:cs="Arial" w:hint="cs"/>
          <w:rtl/>
        </w:rPr>
        <w:t>,</w:t>
      </w:r>
      <w:r w:rsidRPr="003E06B7">
        <w:rPr>
          <w:rFonts w:cs="Arial"/>
          <w:rtl/>
        </w:rPr>
        <w:t xml:space="preserve"> אבל לנהוג כן מפני שהוא משפט הגוים באמת נראה לי דאסור לפי שהוא מחקה את הגוים וזהו שהזהירה התורה לפניהם ולא לפני גוים</w:t>
      </w:r>
      <w:r w:rsidR="004730AC">
        <w:rPr>
          <w:rFonts w:cs="Arial" w:hint="cs"/>
          <w:rtl/>
        </w:rPr>
        <w:t>,</w:t>
      </w:r>
      <w:r w:rsidRPr="003E06B7">
        <w:rPr>
          <w:rFonts w:cs="Arial"/>
          <w:rtl/>
        </w:rPr>
        <w:t xml:space="preserve"> ואע</w:t>
      </w:r>
      <w:r w:rsidR="003E06B7">
        <w:rPr>
          <w:rFonts w:cs="Arial" w:hint="cs"/>
          <w:rtl/>
        </w:rPr>
        <w:t>"</w:t>
      </w:r>
      <w:r w:rsidRPr="003E06B7">
        <w:rPr>
          <w:rFonts w:cs="Arial"/>
          <w:rtl/>
        </w:rPr>
        <w:t>פ ששניהם רוצים בכך והוא דבר שבממון שלא הניחה תורה את העם שהוא לנחלה לו על רצונם שייקרו חוקות הגוים ודיניהם ולא אפילו לעמוד לפניהם לדין אפילו בדבר שדיניהם כדיני ישראל</w:t>
      </w:r>
      <w:r w:rsidR="0034349C">
        <w:rPr>
          <w:rFonts w:cs="Arial" w:hint="cs"/>
          <w:rtl/>
        </w:rPr>
        <w:t>.</w:t>
      </w:r>
      <w:r w:rsidRPr="003E06B7">
        <w:rPr>
          <w:rFonts w:cs="Arial"/>
          <w:rtl/>
        </w:rPr>
        <w:t xml:space="preserve"> והמביא ראיה לזה מגמלי דערביא טועה</w:t>
      </w:r>
      <w:r w:rsidR="004730AC">
        <w:rPr>
          <w:rFonts w:cs="Arial" w:hint="cs"/>
          <w:rtl/>
        </w:rPr>
        <w:t>,</w:t>
      </w:r>
      <w:r w:rsidRPr="003E06B7">
        <w:rPr>
          <w:rFonts w:cs="Arial"/>
          <w:rtl/>
        </w:rPr>
        <w:t xml:space="preserve"> דכתובה מן הדין היה לגבות ממטלטלי דמיניה ואפילו מגלימא דאכתפיה אלא ששמו רבנן שאין סמיכת האשה עליהם משום שגבייתה לזמן מרובה</w:t>
      </w:r>
      <w:r w:rsidR="004730AC">
        <w:rPr>
          <w:rFonts w:cs="Arial" w:hint="cs"/>
          <w:rtl/>
        </w:rPr>
        <w:t>,</w:t>
      </w:r>
      <w:r w:rsidRPr="003E06B7">
        <w:rPr>
          <w:rFonts w:cs="Arial"/>
          <w:rtl/>
        </w:rPr>
        <w:t xml:space="preserve"> ובערביא שכל עסקיהם בגמלים סמיכתה עליהם</w:t>
      </w:r>
      <w:r w:rsidR="003E06B7">
        <w:rPr>
          <w:rFonts w:cs="Arial" w:hint="cs"/>
          <w:rtl/>
        </w:rPr>
        <w:t>,</w:t>
      </w:r>
      <w:r w:rsidRPr="003E06B7">
        <w:rPr>
          <w:rFonts w:cs="Arial"/>
          <w:rtl/>
        </w:rPr>
        <w:t xml:space="preserve"> אבל ללמוד מזה לילך בדרכי הגוים ומשפטיהם </w:t>
      </w:r>
      <w:r w:rsidR="009952F0">
        <w:rPr>
          <w:rFonts w:cs="Arial" w:hint="cs"/>
          <w:rtl/>
        </w:rPr>
        <w:t xml:space="preserve">- </w:t>
      </w:r>
      <w:r w:rsidRPr="003E06B7">
        <w:rPr>
          <w:rFonts w:cs="Arial"/>
          <w:rtl/>
        </w:rPr>
        <w:t>חס ושלום לעם קדוש לנהוג ככה</w:t>
      </w:r>
      <w:r w:rsidR="003E06B7">
        <w:rPr>
          <w:rFonts w:cs="Arial" w:hint="cs"/>
          <w:rtl/>
        </w:rPr>
        <w:t>,</w:t>
      </w:r>
      <w:r w:rsidRPr="003E06B7">
        <w:rPr>
          <w:rFonts w:cs="Arial"/>
          <w:rtl/>
        </w:rPr>
        <w:t xml:space="preserve"> וכל שכן אם עתה יוסיפו לחטוא לעקור נחלה הסומך על משענת קנה הרצוץ הזה ועושה אלה מפיל חומות התורה ועוקר שרש וענף</w:t>
      </w:r>
      <w:r w:rsidR="003E06B7">
        <w:rPr>
          <w:rFonts w:cs="Arial" w:hint="cs"/>
          <w:rtl/>
        </w:rPr>
        <w:t>,</w:t>
      </w:r>
      <w:r w:rsidRPr="003E06B7">
        <w:rPr>
          <w:rFonts w:cs="Arial"/>
          <w:rtl/>
        </w:rPr>
        <w:t xml:space="preserve"> והתורה מידו תבקש</w:t>
      </w:r>
      <w:r w:rsidR="003E06B7">
        <w:rPr>
          <w:rFonts w:cs="Arial" w:hint="cs"/>
          <w:rtl/>
        </w:rPr>
        <w:t>,</w:t>
      </w:r>
      <w:r w:rsidRPr="003E06B7">
        <w:rPr>
          <w:rFonts w:cs="Arial"/>
          <w:rtl/>
        </w:rPr>
        <w:t xml:space="preserve"> ואומר אני שכל הסומך בזה לומר שמותר משום דינא דמלכותא טועה וגזלן הוא ואפילו גזלה ישיב רשע מקרי כדאיתא בפרק הכונס </w:t>
      </w:r>
      <w:r w:rsidRPr="003E06B7">
        <w:rPr>
          <w:rFonts w:cs="Arial"/>
          <w:sz w:val="16"/>
          <w:szCs w:val="16"/>
          <w:rtl/>
        </w:rPr>
        <w:t xml:space="preserve">(ב"ק ס:) </w:t>
      </w:r>
      <w:r w:rsidRPr="003E06B7">
        <w:rPr>
          <w:rFonts w:cs="Arial"/>
          <w:rtl/>
        </w:rPr>
        <w:t>ובכלל עוקר כל דיני התורה השלימה</w:t>
      </w:r>
      <w:r w:rsidR="003E06B7">
        <w:rPr>
          <w:rFonts w:cs="Arial" w:hint="cs"/>
          <w:rtl/>
        </w:rPr>
        <w:t>,</w:t>
      </w:r>
      <w:r w:rsidRPr="003E06B7">
        <w:rPr>
          <w:rFonts w:cs="Arial"/>
          <w:rtl/>
        </w:rPr>
        <w:t xml:space="preserve"> ומה לנו לספרי הקודש המקודשים שחברו לנו רבי ואחריו רבינא ורב אשי ילמדו את בניהם דיני הגוים ויבנו להם במות טלואות בבית מדרסי הגוים</w:t>
      </w:r>
      <w:r w:rsidR="009952F0">
        <w:rPr>
          <w:rFonts w:cs="Arial" w:hint="cs"/>
          <w:rtl/>
        </w:rPr>
        <w:t>,</w:t>
      </w:r>
      <w:r w:rsidRPr="003E06B7">
        <w:rPr>
          <w:rFonts w:cs="Arial"/>
          <w:rtl/>
        </w:rPr>
        <w:t xml:space="preserve"> חלילה לא תהא כזאת בישראל חס ושלום שמא תחגור התורה שק עליהם</w:t>
      </w:r>
      <w:r w:rsidR="003E06B7">
        <w:rPr>
          <w:rStyle w:val="ab"/>
          <w:rFonts w:cs="Arial"/>
          <w:rtl/>
        </w:rPr>
        <w:footnoteReference w:id="1304"/>
      </w:r>
      <w:r w:rsidR="003E06B7">
        <w:rPr>
          <w:rFonts w:cs="Arial" w:hint="cs"/>
          <w:rtl/>
        </w:rPr>
        <w:t>.</w:t>
      </w:r>
      <w:r w:rsidRPr="003E06B7">
        <w:rPr>
          <w:rFonts w:cs="Arial"/>
          <w:rtl/>
        </w:rPr>
        <w:t xml:space="preserve"> </w:t>
      </w:r>
    </w:p>
    <w:p w14:paraId="1481CD47" w14:textId="77777777" w:rsidR="003E06B7" w:rsidRPr="004730AC" w:rsidRDefault="004730AC" w:rsidP="003E06B7">
      <w:pPr>
        <w:rPr>
          <w:rFonts w:cs="Arial"/>
          <w:u w:val="single"/>
        </w:rPr>
      </w:pPr>
      <w:r>
        <w:rPr>
          <w:rFonts w:cs="Arial" w:hint="cs"/>
          <w:u w:val="single"/>
          <w:rtl/>
        </w:rPr>
        <w:t>לדון ב</w:t>
      </w:r>
      <w:r w:rsidRPr="004730AC">
        <w:rPr>
          <w:rFonts w:cs="Arial" w:hint="cs"/>
          <w:u w:val="single"/>
          <w:rtl/>
        </w:rPr>
        <w:t>די</w:t>
      </w:r>
      <w:r>
        <w:rPr>
          <w:rFonts w:cs="Arial" w:hint="cs"/>
          <w:u w:val="single"/>
          <w:rtl/>
        </w:rPr>
        <w:t>ני</w:t>
      </w:r>
      <w:r w:rsidRPr="004730AC">
        <w:rPr>
          <w:rFonts w:cs="Arial" w:hint="cs"/>
          <w:u w:val="single"/>
          <w:rtl/>
        </w:rPr>
        <w:t xml:space="preserve"> ערכאות </w:t>
      </w:r>
      <w:r>
        <w:rPr>
          <w:rFonts w:cs="Arial" w:hint="cs"/>
          <w:u w:val="single"/>
          <w:rtl/>
        </w:rPr>
        <w:t>מכיון</w:t>
      </w:r>
      <w:r w:rsidRPr="004730AC">
        <w:rPr>
          <w:rFonts w:cs="Arial" w:hint="cs"/>
          <w:u w:val="single"/>
          <w:rtl/>
        </w:rPr>
        <w:t xml:space="preserve"> </w:t>
      </w:r>
      <w:r>
        <w:rPr>
          <w:rFonts w:cs="Arial" w:hint="cs"/>
          <w:u w:val="single"/>
          <w:rtl/>
        </w:rPr>
        <w:t>ד</w:t>
      </w:r>
      <w:r w:rsidRPr="004730AC">
        <w:rPr>
          <w:rFonts w:cs="Arial" w:hint="cs"/>
          <w:u w:val="single"/>
          <w:rtl/>
        </w:rPr>
        <w:t>דינא דמלכותא</w:t>
      </w:r>
      <w:r>
        <w:rPr>
          <w:rFonts w:cs="Arial" w:hint="cs"/>
          <w:u w:val="single"/>
          <w:rtl/>
        </w:rPr>
        <w:t xml:space="preserve"> דינא</w:t>
      </w:r>
      <w:r w:rsidRPr="004730AC">
        <w:rPr>
          <w:rFonts w:cs="Arial" w:hint="cs"/>
          <w:u w:val="single"/>
          <w:rtl/>
        </w:rPr>
        <w:t>:</w:t>
      </w:r>
    </w:p>
    <w:p w14:paraId="52ACCF98" w14:textId="77777777" w:rsidR="00555915" w:rsidRPr="003E06B7" w:rsidRDefault="00555915" w:rsidP="004B0475">
      <w:pPr>
        <w:pStyle w:val="ac"/>
        <w:numPr>
          <w:ilvl w:val="0"/>
          <w:numId w:val="37"/>
        </w:numPr>
        <w:rPr>
          <w:rFonts w:cs="Arial"/>
          <w:rtl/>
        </w:rPr>
      </w:pPr>
      <w:r w:rsidRPr="003E06B7">
        <w:rPr>
          <w:rFonts w:cs="Arial"/>
          <w:rtl/>
        </w:rPr>
        <w:t xml:space="preserve">רשב"א </w:t>
      </w:r>
      <w:r w:rsidR="003E06B7" w:rsidRPr="003E06B7">
        <w:rPr>
          <w:rFonts w:cs="Arial" w:hint="cs"/>
          <w:sz w:val="16"/>
          <w:szCs w:val="16"/>
          <w:rtl/>
        </w:rPr>
        <w:t>(</w:t>
      </w:r>
      <w:r w:rsidRPr="003E06B7">
        <w:rPr>
          <w:rFonts w:cs="Arial"/>
          <w:sz w:val="16"/>
          <w:szCs w:val="16"/>
          <w:rtl/>
        </w:rPr>
        <w:t>ח"ג סי' קט)</w:t>
      </w:r>
      <w:r w:rsidR="003E06B7">
        <w:rPr>
          <w:rFonts w:cs="Arial" w:hint="cs"/>
          <w:rtl/>
        </w:rPr>
        <w:t>-</w:t>
      </w:r>
      <w:r w:rsidRPr="003E06B7">
        <w:rPr>
          <w:rFonts w:cs="Arial"/>
          <w:rtl/>
        </w:rPr>
        <w:t xml:space="preserve"> לענין דינא דמלכותא דינא דע שלא אמרו אלא במאי דאיכא הורמנא דמלכא ובדברים שהם מדיני המלכות</w:t>
      </w:r>
      <w:r w:rsidR="009952F0">
        <w:rPr>
          <w:rFonts w:cs="Arial" w:hint="cs"/>
          <w:rtl/>
        </w:rPr>
        <w:t>,</w:t>
      </w:r>
      <w:r w:rsidRPr="003E06B7">
        <w:rPr>
          <w:rFonts w:cs="Arial"/>
          <w:rtl/>
        </w:rPr>
        <w:t xml:space="preserve"> כי כמו שיש לנו משפטי מלוכה כמו שאמר שמואל לישראל</w:t>
      </w:r>
      <w:r w:rsidRPr="003E06B7">
        <w:rPr>
          <w:rFonts w:cs="Arial"/>
          <w:sz w:val="16"/>
          <w:szCs w:val="16"/>
          <w:rtl/>
        </w:rPr>
        <w:t xml:space="preserve"> (שמואל א' ח' י-יא)</w:t>
      </w:r>
      <w:r w:rsidRPr="003E06B7">
        <w:rPr>
          <w:rFonts w:cs="Arial"/>
          <w:rtl/>
        </w:rPr>
        <w:t xml:space="preserve"> כך בשאר האומות דינים ידועים יש למלכות ועליהם אמרו דדיניהם דין</w:t>
      </w:r>
      <w:r w:rsidR="009952F0">
        <w:rPr>
          <w:rFonts w:cs="Arial" w:hint="cs"/>
          <w:rtl/>
        </w:rPr>
        <w:t>,</w:t>
      </w:r>
      <w:r w:rsidRPr="003E06B7">
        <w:rPr>
          <w:rFonts w:cs="Arial"/>
          <w:rtl/>
        </w:rPr>
        <w:t xml:space="preserve"> אבל דינים שדנים בערכאות אין אלו ממשפטי המלוכה אלא הערכאות דנין לעצמם כמו שימצאו בספרי הדיינים</w:t>
      </w:r>
      <w:r w:rsidR="009952F0">
        <w:rPr>
          <w:rFonts w:cs="Arial" w:hint="cs"/>
          <w:rtl/>
        </w:rPr>
        <w:t>,</w:t>
      </w:r>
      <w:r w:rsidRPr="003E06B7">
        <w:rPr>
          <w:rFonts w:cs="Arial"/>
          <w:rtl/>
        </w:rPr>
        <w:t xml:space="preserve"> שאם אי אתה אומר כן בטלת חס ושלום דיני ישראל</w:t>
      </w:r>
      <w:r w:rsidR="003E06B7">
        <w:rPr>
          <w:rStyle w:val="ab"/>
          <w:rFonts w:cs="Arial"/>
          <w:rtl/>
        </w:rPr>
        <w:footnoteReference w:id="1305"/>
      </w:r>
      <w:r w:rsidRPr="003E06B7">
        <w:rPr>
          <w:rFonts w:cs="Arial"/>
          <w:rtl/>
        </w:rPr>
        <w:t>.</w:t>
      </w:r>
    </w:p>
    <w:p w14:paraId="4AA4D9E7" w14:textId="77777777" w:rsidR="00E137BC" w:rsidRPr="00576D5C" w:rsidRDefault="00E137BC" w:rsidP="00576D5C">
      <w:pPr>
        <w:rPr>
          <w:rFonts w:asciiTheme="minorBidi" w:hAnsiTheme="minorBidi"/>
          <w:b/>
          <w:bCs/>
          <w:color w:val="000000"/>
          <w:sz w:val="28"/>
          <w:szCs w:val="28"/>
          <w:u w:val="single"/>
          <w:rtl/>
        </w:rPr>
      </w:pPr>
      <w:r w:rsidRPr="00576D5C">
        <w:rPr>
          <w:rFonts w:asciiTheme="minorBidi" w:hAnsiTheme="minorBidi"/>
          <w:b/>
          <w:bCs/>
          <w:color w:val="000000"/>
          <w:sz w:val="28"/>
          <w:szCs w:val="28"/>
          <w:u w:val="single"/>
          <w:rtl/>
        </w:rPr>
        <w:t>שו"ע:</w:t>
      </w:r>
    </w:p>
    <w:p w14:paraId="31484B09" w14:textId="77777777" w:rsidR="00E137BC" w:rsidRDefault="00E137BC" w:rsidP="00576D5C">
      <w:pPr>
        <w:rPr>
          <w:rFonts w:asciiTheme="minorBidi" w:hAnsiTheme="minorBidi"/>
          <w:rtl/>
        </w:rPr>
      </w:pPr>
      <w:r w:rsidRPr="00576D5C">
        <w:rPr>
          <w:rFonts w:asciiTheme="minorBidi" w:hAnsiTheme="minorBidi"/>
          <w:rtl/>
        </w:rPr>
        <w:t xml:space="preserve">אסור לדון בפני דייני </w:t>
      </w:r>
      <w:r w:rsidR="00E055B2">
        <w:rPr>
          <w:rFonts w:asciiTheme="minorBidi" w:hAnsiTheme="minorBidi" w:hint="cs"/>
          <w:rtl/>
        </w:rPr>
        <w:t>גוים</w:t>
      </w:r>
      <w:r w:rsidRPr="00576D5C">
        <w:rPr>
          <w:rFonts w:asciiTheme="minorBidi" w:hAnsiTheme="minorBidi"/>
          <w:rtl/>
        </w:rPr>
        <w:t xml:space="preserve"> ובערכאות שלהם, אפילו בדין שדנים בדיני ישראל, ואפילו נתרצו </w:t>
      </w:r>
      <w:r w:rsidR="00E055B2">
        <w:rPr>
          <w:rFonts w:asciiTheme="minorBidi" w:hAnsiTheme="minorBidi" w:hint="cs"/>
          <w:rtl/>
        </w:rPr>
        <w:t xml:space="preserve">שני </w:t>
      </w:r>
      <w:r w:rsidRPr="00576D5C">
        <w:rPr>
          <w:rFonts w:asciiTheme="minorBidi" w:hAnsiTheme="minorBidi"/>
          <w:rtl/>
        </w:rPr>
        <w:t>בעלי דינים לדון בפניהם אסור. וכל הבא לידון בפניהם הרי זה רשע וכאילו חרף וגדף והרים יד בתורת מ</w:t>
      </w:r>
      <w:r w:rsidR="00E055B2">
        <w:rPr>
          <w:rFonts w:asciiTheme="minorBidi" w:hAnsiTheme="minorBidi" w:hint="cs"/>
          <w:rtl/>
        </w:rPr>
        <w:t xml:space="preserve">שה </w:t>
      </w:r>
      <w:r w:rsidRPr="00576D5C">
        <w:rPr>
          <w:rFonts w:asciiTheme="minorBidi" w:hAnsiTheme="minorBidi"/>
          <w:rtl/>
        </w:rPr>
        <w:t>ר</w:t>
      </w:r>
      <w:r w:rsidR="00E055B2">
        <w:rPr>
          <w:rFonts w:asciiTheme="minorBidi" w:hAnsiTheme="minorBidi" w:hint="cs"/>
          <w:rtl/>
        </w:rPr>
        <w:t xml:space="preserve">בנו </w:t>
      </w:r>
      <w:r w:rsidRPr="00576D5C">
        <w:rPr>
          <w:rFonts w:asciiTheme="minorBidi" w:hAnsiTheme="minorBidi"/>
          <w:rtl/>
        </w:rPr>
        <w:t>ע</w:t>
      </w:r>
      <w:r w:rsidR="00E055B2">
        <w:rPr>
          <w:rFonts w:asciiTheme="minorBidi" w:hAnsiTheme="minorBidi" w:hint="cs"/>
          <w:rtl/>
        </w:rPr>
        <w:t xml:space="preserve">ליו </w:t>
      </w:r>
      <w:r w:rsidRPr="00576D5C">
        <w:rPr>
          <w:rFonts w:asciiTheme="minorBidi" w:hAnsiTheme="minorBidi"/>
          <w:rtl/>
        </w:rPr>
        <w:t>ה</w:t>
      </w:r>
      <w:r w:rsidR="00E055B2">
        <w:rPr>
          <w:rFonts w:asciiTheme="minorBidi" w:hAnsiTheme="minorBidi" w:hint="cs"/>
          <w:rtl/>
        </w:rPr>
        <w:t>שלום</w:t>
      </w:r>
      <w:r w:rsidRPr="00576D5C">
        <w:rPr>
          <w:rFonts w:asciiTheme="minorBidi" w:hAnsiTheme="minorBidi"/>
          <w:rtl/>
        </w:rPr>
        <w:t xml:space="preserve">. </w:t>
      </w:r>
      <w:r w:rsidRPr="00E055B2">
        <w:rPr>
          <w:rFonts w:asciiTheme="minorBidi" w:hAnsiTheme="minorBidi"/>
          <w:sz w:val="18"/>
          <w:szCs w:val="18"/>
          <w:rtl/>
        </w:rPr>
        <w:t xml:space="preserve">הגה: ויש ביד בית דין לנדותו ולהחרימו עד שיסלק יד </w:t>
      </w:r>
      <w:r w:rsidR="00E055B2">
        <w:rPr>
          <w:rFonts w:asciiTheme="minorBidi" w:hAnsiTheme="minorBidi" w:hint="cs"/>
          <w:sz w:val="18"/>
          <w:szCs w:val="18"/>
          <w:rtl/>
        </w:rPr>
        <w:t>הגוים</w:t>
      </w:r>
      <w:r w:rsidRPr="00E055B2">
        <w:rPr>
          <w:rFonts w:asciiTheme="minorBidi" w:hAnsiTheme="minorBidi"/>
          <w:sz w:val="18"/>
          <w:szCs w:val="18"/>
          <w:rtl/>
        </w:rPr>
        <w:t xml:space="preserve"> מעל חבירו (מהרי"ק שורש קנד). וכן היו מחרימין המחזיק ביד ההולך לפני </w:t>
      </w:r>
      <w:r w:rsidR="00E055B2">
        <w:rPr>
          <w:rFonts w:asciiTheme="minorBidi" w:hAnsiTheme="minorBidi" w:hint="cs"/>
          <w:sz w:val="18"/>
          <w:szCs w:val="18"/>
          <w:rtl/>
        </w:rPr>
        <w:t>גוים</w:t>
      </w:r>
      <w:r w:rsidRPr="00E055B2">
        <w:rPr>
          <w:rFonts w:asciiTheme="minorBidi" w:hAnsiTheme="minorBidi"/>
          <w:sz w:val="18"/>
          <w:szCs w:val="18"/>
          <w:rtl/>
        </w:rPr>
        <w:t xml:space="preserve"> (ריב"ש סי' קב). ואפילו אינו דן לפני </w:t>
      </w:r>
      <w:r w:rsidR="00E055B2">
        <w:rPr>
          <w:rFonts w:asciiTheme="minorBidi" w:hAnsiTheme="minorBidi" w:hint="cs"/>
          <w:sz w:val="18"/>
          <w:szCs w:val="18"/>
          <w:rtl/>
        </w:rPr>
        <w:t>גוי</w:t>
      </w:r>
      <w:r w:rsidRPr="00E055B2">
        <w:rPr>
          <w:rFonts w:asciiTheme="minorBidi" w:hAnsiTheme="minorBidi"/>
          <w:sz w:val="18"/>
          <w:szCs w:val="18"/>
          <w:rtl/>
        </w:rPr>
        <w:t>ם, רק שכופהו ע</w:t>
      </w:r>
      <w:r w:rsidR="00E055B2">
        <w:rPr>
          <w:rFonts w:asciiTheme="minorBidi" w:hAnsiTheme="minorBidi" w:hint="cs"/>
          <w:sz w:val="18"/>
          <w:szCs w:val="18"/>
          <w:rtl/>
        </w:rPr>
        <w:t>"</w:t>
      </w:r>
      <w:r w:rsidRPr="00E055B2">
        <w:rPr>
          <w:rFonts w:asciiTheme="minorBidi" w:hAnsiTheme="minorBidi"/>
          <w:sz w:val="18"/>
          <w:szCs w:val="18"/>
          <w:rtl/>
        </w:rPr>
        <w:t xml:space="preserve">י </w:t>
      </w:r>
      <w:r w:rsidR="00E055B2">
        <w:rPr>
          <w:rFonts w:asciiTheme="minorBidi" w:hAnsiTheme="minorBidi" w:hint="cs"/>
          <w:sz w:val="18"/>
          <w:szCs w:val="18"/>
          <w:rtl/>
        </w:rPr>
        <w:t>גו</w:t>
      </w:r>
      <w:r w:rsidRPr="00E055B2">
        <w:rPr>
          <w:rFonts w:asciiTheme="minorBidi" w:hAnsiTheme="minorBidi"/>
          <w:sz w:val="18"/>
          <w:szCs w:val="18"/>
          <w:rtl/>
        </w:rPr>
        <w:t>ים שיעמוד עמו לדין ישראל, ראוי למתחו על העמוד</w:t>
      </w:r>
      <w:r w:rsidR="003272F8">
        <w:rPr>
          <w:rStyle w:val="ab"/>
          <w:rFonts w:asciiTheme="minorBidi" w:hAnsiTheme="minorBidi"/>
          <w:sz w:val="18"/>
          <w:szCs w:val="18"/>
          <w:rtl/>
        </w:rPr>
        <w:footnoteReference w:id="1306"/>
      </w:r>
      <w:r w:rsidRPr="00E055B2">
        <w:rPr>
          <w:rFonts w:asciiTheme="minorBidi" w:hAnsiTheme="minorBidi"/>
          <w:sz w:val="18"/>
          <w:szCs w:val="18"/>
          <w:rtl/>
        </w:rPr>
        <w:t xml:space="preserve"> (מרדכי פ' הגוזל קמא). וע"ל סימן שפ"ח. מי שהלך בערכאות של </w:t>
      </w:r>
      <w:r w:rsidR="00E055B2">
        <w:rPr>
          <w:rFonts w:asciiTheme="minorBidi" w:hAnsiTheme="minorBidi" w:hint="cs"/>
          <w:sz w:val="18"/>
          <w:szCs w:val="18"/>
          <w:rtl/>
        </w:rPr>
        <w:t>גו</w:t>
      </w:r>
      <w:r w:rsidRPr="00E055B2">
        <w:rPr>
          <w:rFonts w:asciiTheme="minorBidi" w:hAnsiTheme="minorBidi"/>
          <w:sz w:val="18"/>
          <w:szCs w:val="18"/>
          <w:rtl/>
        </w:rPr>
        <w:t>ים ונתחייב בדיניהם, ואח</w:t>
      </w:r>
      <w:r w:rsidR="00E055B2">
        <w:rPr>
          <w:rFonts w:asciiTheme="minorBidi" w:hAnsiTheme="minorBidi" w:hint="cs"/>
          <w:sz w:val="18"/>
          <w:szCs w:val="18"/>
          <w:rtl/>
        </w:rPr>
        <w:t>"</w:t>
      </w:r>
      <w:r w:rsidRPr="00E055B2">
        <w:rPr>
          <w:rFonts w:asciiTheme="minorBidi" w:hAnsiTheme="minorBidi"/>
          <w:sz w:val="18"/>
          <w:szCs w:val="18"/>
          <w:rtl/>
        </w:rPr>
        <w:t>כ חזר ותבעו לפני דייני ישראל, יש אומרים שאין נזקקין לו (מהרי"ק שורש קפז)</w:t>
      </w:r>
      <w:r w:rsidR="00E055B2">
        <w:rPr>
          <w:rFonts w:asciiTheme="minorBidi" w:hAnsiTheme="minorBidi" w:hint="cs"/>
          <w:sz w:val="18"/>
          <w:szCs w:val="18"/>
          <w:rtl/>
        </w:rPr>
        <w:t>.</w:t>
      </w:r>
      <w:r w:rsidRPr="00E055B2">
        <w:rPr>
          <w:rFonts w:asciiTheme="minorBidi" w:hAnsiTheme="minorBidi"/>
          <w:sz w:val="18"/>
          <w:szCs w:val="18"/>
          <w:rtl/>
        </w:rPr>
        <w:t xml:space="preserve"> ויש אומרים דנזקקין לו (מרדכי בפ' הגוזל בתרא), אם לא שגרם הפסד לבעל דינו לפני </w:t>
      </w:r>
      <w:r w:rsidR="00E055B2">
        <w:rPr>
          <w:rFonts w:asciiTheme="minorBidi" w:hAnsiTheme="minorBidi" w:hint="cs"/>
          <w:sz w:val="18"/>
          <w:szCs w:val="18"/>
          <w:rtl/>
        </w:rPr>
        <w:t>גוים</w:t>
      </w:r>
      <w:r w:rsidR="00A45C01">
        <w:rPr>
          <w:rStyle w:val="ab"/>
          <w:rFonts w:asciiTheme="minorBidi" w:hAnsiTheme="minorBidi"/>
          <w:sz w:val="18"/>
          <w:szCs w:val="18"/>
          <w:rtl/>
        </w:rPr>
        <w:footnoteReference w:id="1307"/>
      </w:r>
      <w:r w:rsidRPr="00E055B2">
        <w:rPr>
          <w:rFonts w:asciiTheme="minorBidi" w:hAnsiTheme="minorBidi"/>
          <w:sz w:val="18"/>
          <w:szCs w:val="18"/>
          <w:rtl/>
        </w:rPr>
        <w:t xml:space="preserve"> (מהר"מ מירזברק). והסברא ראשונה נראה לי עיקר.</w:t>
      </w:r>
      <w:r w:rsidRPr="00576D5C">
        <w:rPr>
          <w:rFonts w:asciiTheme="minorBidi" w:hAnsiTheme="minorBidi"/>
          <w:rtl/>
        </w:rPr>
        <w:t xml:space="preserve"> </w:t>
      </w:r>
    </w:p>
    <w:p w14:paraId="3D736320" w14:textId="77777777" w:rsidR="005A48CF" w:rsidRPr="00576D5C" w:rsidRDefault="005A48CF" w:rsidP="00576D5C">
      <w:pPr>
        <w:rPr>
          <w:rFonts w:asciiTheme="minorBidi" w:hAnsiTheme="minorBidi"/>
          <w:rtl/>
        </w:rPr>
      </w:pPr>
    </w:p>
    <w:p w14:paraId="0EAE87B6" w14:textId="77777777" w:rsidR="00E137BC" w:rsidRDefault="00E137BC" w:rsidP="006567B0">
      <w:pPr>
        <w:pStyle w:val="2"/>
        <w:rPr>
          <w:rtl/>
        </w:rPr>
      </w:pPr>
      <w:bookmarkStart w:id="189" w:name="_Toc24883668"/>
      <w:r w:rsidRPr="00576D5C">
        <w:rPr>
          <w:rtl/>
        </w:rPr>
        <w:t>סעיף ב</w:t>
      </w:r>
      <w:r w:rsidR="005A48CF">
        <w:rPr>
          <w:rFonts w:hint="cs"/>
          <w:rtl/>
        </w:rPr>
        <w:t>:</w:t>
      </w:r>
      <w:r w:rsidR="00A45C01">
        <w:rPr>
          <w:rFonts w:hint="cs"/>
          <w:rtl/>
        </w:rPr>
        <w:t xml:space="preserve"> כשבעל דינו אלם.</w:t>
      </w:r>
      <w:bookmarkEnd w:id="189"/>
    </w:p>
    <w:p w14:paraId="589916B9" w14:textId="77777777" w:rsidR="00A45C01" w:rsidRDefault="00A45C01" w:rsidP="00A45C01">
      <w:pPr>
        <w:rPr>
          <w:rFonts w:cs="Arial"/>
          <w:rtl/>
        </w:rPr>
      </w:pPr>
      <w:r w:rsidRPr="00A45C01">
        <w:rPr>
          <w:rFonts w:cs="Arial" w:hint="cs"/>
          <w:b/>
          <w:bCs/>
          <w:rtl/>
        </w:rPr>
        <w:t xml:space="preserve">בבא קמא </w:t>
      </w:r>
      <w:r w:rsidRPr="00A45C01">
        <w:rPr>
          <w:rFonts w:cs="Arial" w:hint="cs"/>
          <w:b/>
          <w:bCs/>
          <w:sz w:val="16"/>
          <w:szCs w:val="16"/>
          <w:rtl/>
        </w:rPr>
        <w:t>(</w:t>
      </w:r>
      <w:r w:rsidR="00555915" w:rsidRPr="00A45C01">
        <w:rPr>
          <w:rFonts w:cs="Arial"/>
          <w:b/>
          <w:bCs/>
          <w:sz w:val="16"/>
          <w:szCs w:val="16"/>
          <w:rtl/>
        </w:rPr>
        <w:t>ס</w:t>
      </w:r>
      <w:r w:rsidRPr="00A45C01">
        <w:rPr>
          <w:rFonts w:cs="Arial" w:hint="cs"/>
          <w:b/>
          <w:bCs/>
          <w:sz w:val="16"/>
          <w:szCs w:val="16"/>
          <w:rtl/>
        </w:rPr>
        <w:t>"</w:t>
      </w:r>
      <w:r w:rsidR="00555915" w:rsidRPr="00A45C01">
        <w:rPr>
          <w:rFonts w:cs="Arial"/>
          <w:b/>
          <w:bCs/>
          <w:sz w:val="16"/>
          <w:szCs w:val="16"/>
          <w:rtl/>
        </w:rPr>
        <w:t>פ החובל)</w:t>
      </w:r>
      <w:r w:rsidRPr="00A45C01">
        <w:rPr>
          <w:rFonts w:cs="Arial" w:hint="cs"/>
          <w:b/>
          <w:bCs/>
          <w:rtl/>
        </w:rPr>
        <w:t xml:space="preserve"> צב</w:t>
      </w:r>
      <w:r w:rsidR="003A7491">
        <w:rPr>
          <w:rStyle w:val="ab"/>
          <w:rFonts w:cs="Arial"/>
          <w:b/>
          <w:bCs/>
          <w:rtl/>
        </w:rPr>
        <w:footnoteReference w:id="1308"/>
      </w:r>
      <w:r w:rsidRPr="00A45C01">
        <w:rPr>
          <w:rFonts w:cs="Arial" w:hint="cs"/>
          <w:b/>
          <w:bCs/>
          <w:rtl/>
        </w:rPr>
        <w:t xml:space="preserve"> ע"ב:</w:t>
      </w:r>
      <w:r w:rsidR="00555915" w:rsidRPr="00A45C01">
        <w:rPr>
          <w:rFonts w:cs="Arial"/>
          <w:b/>
          <w:bCs/>
          <w:rtl/>
        </w:rPr>
        <w:t xml:space="preserve"> </w:t>
      </w:r>
      <w:r w:rsidRPr="00A75BAD">
        <w:rPr>
          <w:rFonts w:cs="Arial"/>
          <w:u w:val="single"/>
          <w:rtl/>
        </w:rPr>
        <w:t>אמר ליה רבא לרבה בר מרי</w:t>
      </w:r>
      <w:r w:rsidR="00A75BAD" w:rsidRPr="00A75BAD">
        <w:rPr>
          <w:rFonts w:cs="Arial" w:hint="cs"/>
          <w:u w:val="single"/>
          <w:rtl/>
        </w:rPr>
        <w:t>:</w:t>
      </w:r>
      <w:r w:rsidRPr="00A45C01">
        <w:rPr>
          <w:rFonts w:cs="Arial"/>
          <w:rtl/>
        </w:rPr>
        <w:t xml:space="preserve"> מנא הא מילתא דאמרי אינשי: קרית חברך ולא ענך, רמי גודא רבה שדי ביה</w:t>
      </w:r>
      <w:r w:rsidR="00556F98">
        <w:rPr>
          <w:rStyle w:val="ab"/>
          <w:rFonts w:cs="Arial"/>
          <w:rtl/>
        </w:rPr>
        <w:footnoteReference w:id="1309"/>
      </w:r>
      <w:r w:rsidRPr="00A45C01">
        <w:rPr>
          <w:rFonts w:cs="Arial"/>
          <w:rtl/>
        </w:rPr>
        <w:t>? א"ל: יען טהרתיך ולא טהרת מטומאתך לא תטהרי עוד</w:t>
      </w:r>
      <w:r>
        <w:rPr>
          <w:rFonts w:cs="Arial" w:hint="cs"/>
          <w:rtl/>
        </w:rPr>
        <w:t xml:space="preserve"> </w:t>
      </w:r>
      <w:r w:rsidRPr="00A45C01">
        <w:rPr>
          <w:rFonts w:cs="Arial"/>
          <w:sz w:val="16"/>
          <w:szCs w:val="16"/>
          <w:rtl/>
        </w:rPr>
        <w:t>(יחזקאל כד יג)</w:t>
      </w:r>
      <w:r w:rsidRPr="00A45C01">
        <w:rPr>
          <w:rFonts w:cs="Arial"/>
          <w:rtl/>
        </w:rPr>
        <w:t xml:space="preserve">. </w:t>
      </w:r>
    </w:p>
    <w:p w14:paraId="0409AD99" w14:textId="77777777" w:rsidR="007D4DBE" w:rsidRPr="003A7491" w:rsidRDefault="007D4DBE" w:rsidP="007D4DBE">
      <w:pPr>
        <w:rPr>
          <w:sz w:val="16"/>
          <w:szCs w:val="16"/>
          <w:rtl/>
        </w:rPr>
      </w:pPr>
      <w:r>
        <w:rPr>
          <w:rFonts w:cs="Arial" w:hint="cs"/>
          <w:b/>
          <w:bCs/>
          <w:rtl/>
        </w:rPr>
        <w:lastRenderedPageBreak/>
        <w:t xml:space="preserve">גיטין </w:t>
      </w:r>
      <w:r w:rsidRPr="009A0D68">
        <w:rPr>
          <w:rFonts w:cs="Arial" w:hint="cs"/>
          <w:b/>
          <w:bCs/>
          <w:sz w:val="16"/>
          <w:szCs w:val="16"/>
          <w:rtl/>
        </w:rPr>
        <w:t>(פ' המגרש [פ' בתרא])</w:t>
      </w:r>
      <w:r>
        <w:rPr>
          <w:rFonts w:cs="Arial" w:hint="cs"/>
          <w:b/>
          <w:bCs/>
          <w:rtl/>
        </w:rPr>
        <w:t xml:space="preserve"> פח</w:t>
      </w:r>
      <w:r>
        <w:rPr>
          <w:rStyle w:val="ab"/>
          <w:rFonts w:cs="Arial"/>
          <w:b/>
          <w:bCs/>
          <w:rtl/>
        </w:rPr>
        <w:footnoteReference w:id="1310"/>
      </w:r>
      <w:r>
        <w:rPr>
          <w:rFonts w:cs="Arial" w:hint="cs"/>
          <w:b/>
          <w:bCs/>
          <w:rtl/>
        </w:rPr>
        <w:t xml:space="preserve"> ע"ב:</w:t>
      </w:r>
      <w:r w:rsidRPr="003A7491">
        <w:rPr>
          <w:rtl/>
        </w:rPr>
        <w:t xml:space="preserve"> </w:t>
      </w:r>
      <w:r w:rsidRPr="003A7491">
        <w:rPr>
          <w:rFonts w:cs="Arial"/>
          <w:u w:val="double"/>
          <w:rtl/>
        </w:rPr>
        <w:t>מתני'</w:t>
      </w:r>
      <w:r>
        <w:rPr>
          <w:rFonts w:cs="Arial" w:hint="cs"/>
          <w:rtl/>
        </w:rPr>
        <w:t>:</w:t>
      </w:r>
      <w:r w:rsidRPr="003A7491">
        <w:rPr>
          <w:rFonts w:cs="Arial"/>
          <w:rtl/>
        </w:rPr>
        <w:t xml:space="preserve"> גט מעושה, בישראל - כשר, ובעובדי כוכבים </w:t>
      </w:r>
      <w:r>
        <w:rPr>
          <w:rFonts w:cs="Arial"/>
          <w:rtl/>
        </w:rPr>
        <w:t>–</w:t>
      </w:r>
      <w:r w:rsidRPr="003A7491">
        <w:rPr>
          <w:rFonts w:cs="Arial"/>
          <w:rtl/>
        </w:rPr>
        <w:t xml:space="preserve"> פסול</w:t>
      </w:r>
      <w:r>
        <w:rPr>
          <w:rFonts w:cs="Arial" w:hint="cs"/>
          <w:rtl/>
        </w:rPr>
        <w:t>.</w:t>
      </w:r>
      <w:r w:rsidRPr="003A7491">
        <w:rPr>
          <w:rFonts w:cs="Arial"/>
          <w:rtl/>
        </w:rPr>
        <w:t xml:space="preserve"> ובעובדי כוכבים חובטין אותו ואומרים לו עשה מה שישראל אומרים לך (וכשר).</w:t>
      </w:r>
      <w:r>
        <w:rPr>
          <w:rFonts w:hint="cs"/>
          <w:sz w:val="16"/>
          <w:szCs w:val="16"/>
          <w:rtl/>
        </w:rPr>
        <w:t xml:space="preserve"> (הגר"א ציין למשנה זו, אך הב"י לא הביאה כאן, צ"ע למה)</w:t>
      </w:r>
    </w:p>
    <w:p w14:paraId="025579C3" w14:textId="77777777" w:rsidR="00A45C01" w:rsidRPr="009F18BE" w:rsidRDefault="009F18BE" w:rsidP="00A45C01">
      <w:pPr>
        <w:rPr>
          <w:rFonts w:cs="Arial"/>
          <w:u w:val="single"/>
          <w:rtl/>
        </w:rPr>
      </w:pPr>
      <w:r w:rsidRPr="009F18BE">
        <w:rPr>
          <w:rFonts w:cs="Arial" w:hint="cs"/>
          <w:u w:val="single"/>
          <w:rtl/>
        </w:rPr>
        <w:t>לדון בדיני גוים כשבעל דינו אלם:</w:t>
      </w:r>
    </w:p>
    <w:p w14:paraId="242CE3A4" w14:textId="77777777" w:rsidR="00A45C01" w:rsidRPr="00A45C01" w:rsidRDefault="00555915" w:rsidP="004B0475">
      <w:pPr>
        <w:pStyle w:val="ac"/>
        <w:numPr>
          <w:ilvl w:val="0"/>
          <w:numId w:val="37"/>
        </w:numPr>
        <w:rPr>
          <w:rFonts w:cs="Arial"/>
          <w:rtl/>
        </w:rPr>
      </w:pPr>
      <w:r w:rsidRPr="00A45C01">
        <w:rPr>
          <w:rFonts w:cs="Arial"/>
          <w:rtl/>
        </w:rPr>
        <w:t xml:space="preserve">רא"ש </w:t>
      </w:r>
      <w:r w:rsidRPr="009F18BE">
        <w:rPr>
          <w:rFonts w:cs="Arial"/>
          <w:sz w:val="16"/>
          <w:szCs w:val="16"/>
          <w:rtl/>
        </w:rPr>
        <w:t>(שם סי' יז)</w:t>
      </w:r>
      <w:r w:rsidR="00A75BAD">
        <w:rPr>
          <w:rFonts w:cs="Arial" w:hint="cs"/>
          <w:rtl/>
        </w:rPr>
        <w:t>-</w:t>
      </w:r>
      <w:r w:rsidRPr="00A45C01">
        <w:rPr>
          <w:rFonts w:cs="Arial"/>
          <w:rtl/>
        </w:rPr>
        <w:t xml:space="preserve"> מכאן</w:t>
      </w:r>
      <w:r w:rsidRPr="009F18BE">
        <w:rPr>
          <w:rFonts w:cs="Arial"/>
          <w:sz w:val="16"/>
          <w:szCs w:val="16"/>
          <w:rtl/>
        </w:rPr>
        <w:t xml:space="preserve"> </w:t>
      </w:r>
      <w:r w:rsidR="009F18BE" w:rsidRPr="009F18BE">
        <w:rPr>
          <w:rFonts w:cs="Arial" w:hint="cs"/>
          <w:sz w:val="16"/>
          <w:szCs w:val="16"/>
          <w:rtl/>
        </w:rPr>
        <w:t>{מ</w:t>
      </w:r>
      <w:r w:rsidR="008B42E3">
        <w:rPr>
          <w:rFonts w:cs="Arial" w:hint="cs"/>
          <w:sz w:val="16"/>
          <w:szCs w:val="16"/>
          <w:rtl/>
        </w:rPr>
        <w:t>ב"ק צב:</w:t>
      </w:r>
      <w:r w:rsidR="009F18BE" w:rsidRPr="009F18BE">
        <w:rPr>
          <w:rFonts w:cs="Arial" w:hint="cs"/>
          <w:sz w:val="16"/>
          <w:szCs w:val="16"/>
          <w:rtl/>
        </w:rPr>
        <w:t xml:space="preserve">} </w:t>
      </w:r>
      <w:r w:rsidRPr="00A45C01">
        <w:rPr>
          <w:rFonts w:cs="Arial"/>
          <w:rtl/>
        </w:rPr>
        <w:t>פסק רב פלטוי</w:t>
      </w:r>
      <w:r w:rsidR="00556F98">
        <w:rPr>
          <w:rStyle w:val="ab"/>
          <w:rFonts w:cs="Arial"/>
          <w:rtl/>
        </w:rPr>
        <w:footnoteReference w:id="1311"/>
      </w:r>
      <w:r w:rsidRPr="00A45C01">
        <w:rPr>
          <w:rFonts w:cs="Arial"/>
          <w:rtl/>
        </w:rPr>
        <w:t xml:space="preserve"> ז"ל ראובן שיש לו תביעה על שמעון ומסרב לבא עמו לבית דין שרשאי להביאו לערכאות של גוים כדי להוציא את שלו מתחת ידו</w:t>
      </w:r>
      <w:r w:rsidR="00A75BAD">
        <w:rPr>
          <w:rStyle w:val="ab"/>
          <w:rFonts w:cs="Arial"/>
          <w:rtl/>
        </w:rPr>
        <w:footnoteReference w:id="1312"/>
      </w:r>
      <w:r w:rsidRPr="00A45C01">
        <w:rPr>
          <w:rFonts w:cs="Arial"/>
          <w:rtl/>
        </w:rPr>
        <w:t>.</w:t>
      </w:r>
    </w:p>
    <w:p w14:paraId="6925CE17" w14:textId="77777777" w:rsidR="007D4DBE" w:rsidRPr="007D4DBE" w:rsidRDefault="007D4DBE" w:rsidP="004B0475">
      <w:pPr>
        <w:pStyle w:val="ac"/>
        <w:numPr>
          <w:ilvl w:val="0"/>
          <w:numId w:val="37"/>
        </w:numPr>
        <w:rPr>
          <w:rFonts w:cs="Arial"/>
        </w:rPr>
      </w:pPr>
      <w:r>
        <w:rPr>
          <w:rFonts w:cs="Arial" w:hint="cs"/>
          <w:rtl/>
        </w:rPr>
        <w:t>רמב"ם</w:t>
      </w:r>
      <w:r>
        <w:rPr>
          <w:rFonts w:cs="Arial" w:hint="cs"/>
          <w:sz w:val="16"/>
          <w:szCs w:val="16"/>
          <w:rtl/>
        </w:rPr>
        <w:t xml:space="preserve"> (פכ"ו ה"ז)</w:t>
      </w:r>
      <w:r>
        <w:rPr>
          <w:rFonts w:cs="Arial" w:hint="cs"/>
          <w:rtl/>
        </w:rPr>
        <w:t xml:space="preserve"> וטור- </w:t>
      </w:r>
      <w:r w:rsidRPr="00A75BAD">
        <w:rPr>
          <w:rFonts w:cs="Arial"/>
          <w:rtl/>
        </w:rPr>
        <w:t>היתה יד ה</w:t>
      </w:r>
      <w:r>
        <w:rPr>
          <w:rFonts w:cs="Arial" w:hint="cs"/>
          <w:rtl/>
        </w:rPr>
        <w:t>גוים</w:t>
      </w:r>
      <w:r w:rsidRPr="00A75BAD">
        <w:rPr>
          <w:rFonts w:cs="Arial"/>
          <w:rtl/>
        </w:rPr>
        <w:t xml:space="preserve"> תקיפה ובעל דינו אלם ואינו יכול להוציא ממנו בדייני ישראל יתבענו לדייני ישראל תחלה</w:t>
      </w:r>
      <w:r w:rsidR="00D04EF0">
        <w:rPr>
          <w:rFonts w:cs="Arial" w:hint="cs"/>
          <w:rtl/>
        </w:rPr>
        <w:t>,</w:t>
      </w:r>
      <w:r w:rsidRPr="00A75BAD">
        <w:rPr>
          <w:rFonts w:cs="Arial"/>
          <w:rtl/>
        </w:rPr>
        <w:t xml:space="preserve"> אם לא רצה לבא נוטל רשות מבית דין</w:t>
      </w:r>
      <w:r>
        <w:rPr>
          <w:rStyle w:val="ab"/>
          <w:rFonts w:cs="Arial"/>
          <w:rtl/>
        </w:rPr>
        <w:footnoteReference w:id="1313"/>
      </w:r>
      <w:r w:rsidRPr="00A75BAD">
        <w:rPr>
          <w:rFonts w:cs="Arial"/>
          <w:rtl/>
        </w:rPr>
        <w:t xml:space="preserve"> ומציל בדיני </w:t>
      </w:r>
      <w:r>
        <w:rPr>
          <w:rFonts w:cs="Arial" w:hint="cs"/>
          <w:rtl/>
        </w:rPr>
        <w:t>גוים</w:t>
      </w:r>
      <w:r w:rsidRPr="00A75BAD">
        <w:rPr>
          <w:rFonts w:cs="Arial"/>
          <w:rtl/>
        </w:rPr>
        <w:t xml:space="preserve"> מיד בעל דינו</w:t>
      </w:r>
      <w:r w:rsidR="00D04EF0">
        <w:rPr>
          <w:rFonts w:cs="Arial" w:hint="cs"/>
          <w:sz w:val="16"/>
          <w:szCs w:val="16"/>
          <w:rtl/>
        </w:rPr>
        <w:t xml:space="preserve"> (ל' הרמב"ם)</w:t>
      </w:r>
      <w:r w:rsidRPr="00A75BAD">
        <w:rPr>
          <w:rFonts w:cs="Arial"/>
          <w:rtl/>
        </w:rPr>
        <w:t>.</w:t>
      </w:r>
      <w:r w:rsidRPr="009A0D68">
        <w:rPr>
          <w:rFonts w:cs="Arial"/>
          <w:rtl/>
        </w:rPr>
        <w:t xml:space="preserve"> </w:t>
      </w:r>
      <w:r w:rsidRPr="004730AC">
        <w:rPr>
          <w:rFonts w:cs="Arial" w:hint="cs"/>
          <w:color w:val="E36C0A" w:themeColor="accent6" w:themeShade="BF"/>
          <w:rtl/>
        </w:rPr>
        <w:t>(וכ"פ בשו"ע)</w:t>
      </w:r>
    </w:p>
    <w:p w14:paraId="6A602C15" w14:textId="77777777" w:rsidR="007D4DBE" w:rsidRDefault="00555915" w:rsidP="004B0475">
      <w:pPr>
        <w:pStyle w:val="ac"/>
        <w:numPr>
          <w:ilvl w:val="0"/>
          <w:numId w:val="37"/>
        </w:numPr>
        <w:rPr>
          <w:rFonts w:cs="Arial"/>
        </w:rPr>
      </w:pPr>
      <w:r w:rsidRPr="00A45C01">
        <w:rPr>
          <w:rFonts w:cs="Arial"/>
          <w:rtl/>
        </w:rPr>
        <w:t xml:space="preserve">ספר התרומות </w:t>
      </w:r>
      <w:r w:rsidR="00A75BAD" w:rsidRPr="009F18BE">
        <w:rPr>
          <w:rFonts w:cs="Arial" w:hint="cs"/>
          <w:sz w:val="16"/>
          <w:szCs w:val="16"/>
          <w:rtl/>
        </w:rPr>
        <w:t>(</w:t>
      </w:r>
      <w:r w:rsidRPr="009F18BE">
        <w:rPr>
          <w:rFonts w:cs="Arial"/>
          <w:sz w:val="16"/>
          <w:szCs w:val="16"/>
          <w:rtl/>
        </w:rPr>
        <w:t xml:space="preserve">שער סב </w:t>
      </w:r>
      <w:r w:rsidR="00627720">
        <w:rPr>
          <w:rFonts w:cs="Arial" w:hint="cs"/>
          <w:sz w:val="16"/>
          <w:szCs w:val="16"/>
          <w:rtl/>
        </w:rPr>
        <w:t>אות</w:t>
      </w:r>
      <w:r w:rsidRPr="009F18BE">
        <w:rPr>
          <w:rFonts w:cs="Arial"/>
          <w:sz w:val="16"/>
          <w:szCs w:val="16"/>
          <w:rtl/>
        </w:rPr>
        <w:t xml:space="preserve"> ג)</w:t>
      </w:r>
      <w:r w:rsidR="00A75BAD">
        <w:rPr>
          <w:rFonts w:cs="Arial" w:hint="cs"/>
          <w:rtl/>
        </w:rPr>
        <w:t>-</w:t>
      </w:r>
      <w:r w:rsidRPr="00A45C01">
        <w:rPr>
          <w:rFonts w:cs="Arial"/>
          <w:rtl/>
        </w:rPr>
        <w:t xml:space="preserve"> הא דאמרינן דאין המלוה רשאי לכוף בפני גוים דוקא דליתיה אלם ורוצה לקבל דינו לפי מה שידונו עליו דייני ישראל</w:t>
      </w:r>
      <w:r w:rsidR="00A75BAD">
        <w:rPr>
          <w:rFonts w:cs="Arial" w:hint="cs"/>
          <w:rtl/>
        </w:rPr>
        <w:t>,</w:t>
      </w:r>
      <w:r w:rsidRPr="00A45C01">
        <w:rPr>
          <w:rFonts w:cs="Arial"/>
          <w:rtl/>
        </w:rPr>
        <w:t xml:space="preserve"> ואפילו אם היה אלם ולא רצה לבא לבית דין אסור להביאו לדייני גוים</w:t>
      </w:r>
      <w:r w:rsidR="00AF1F1D">
        <w:rPr>
          <w:rFonts w:cs="Arial" w:hint="cs"/>
          <w:rtl/>
        </w:rPr>
        <w:t>,</w:t>
      </w:r>
      <w:r w:rsidRPr="00A45C01">
        <w:rPr>
          <w:rFonts w:cs="Arial"/>
          <w:rtl/>
        </w:rPr>
        <w:t xml:space="preserve"> אלא</w:t>
      </w:r>
      <w:r w:rsidR="00AF1F1D">
        <w:rPr>
          <w:rFonts w:cs="Arial" w:hint="cs"/>
          <w:rtl/>
        </w:rPr>
        <w:t>,</w:t>
      </w:r>
      <w:r w:rsidRPr="00A45C01">
        <w:rPr>
          <w:rFonts w:cs="Arial"/>
          <w:rtl/>
        </w:rPr>
        <w:t xml:space="preserve"> לאחר סירובו בית דין של ישראל כותבין אדרכתא על נכסיו ואם הוצרך לכך יבא לפני גוים </w:t>
      </w:r>
      <w:r w:rsidRPr="00A75BAD">
        <w:rPr>
          <w:rFonts w:cs="Arial"/>
          <w:b/>
          <w:bCs/>
          <w:rtl/>
        </w:rPr>
        <w:t>והם מכריחין אותו למה שדנו לו דייני ישראל</w:t>
      </w:r>
      <w:r w:rsidR="00AF1F1D">
        <w:rPr>
          <w:rFonts w:cs="Arial" w:hint="cs"/>
          <w:rtl/>
        </w:rPr>
        <w:t>,</w:t>
      </w:r>
      <w:r w:rsidRPr="00A45C01">
        <w:rPr>
          <w:rFonts w:cs="Arial"/>
          <w:rtl/>
        </w:rPr>
        <w:t xml:space="preserve"> דכה</w:t>
      </w:r>
      <w:r w:rsidR="00D62F53">
        <w:rPr>
          <w:rFonts w:cs="Arial" w:hint="cs"/>
          <w:rtl/>
        </w:rPr>
        <w:t>"</w:t>
      </w:r>
      <w:r w:rsidRPr="00A45C01">
        <w:rPr>
          <w:rFonts w:cs="Arial"/>
          <w:rtl/>
        </w:rPr>
        <w:t xml:space="preserve">ג ליכא משום לפניהם ולא לפני גוים כדאמרינן </w:t>
      </w:r>
      <w:r w:rsidRPr="009F18BE">
        <w:rPr>
          <w:rFonts w:cs="Arial"/>
          <w:sz w:val="16"/>
          <w:szCs w:val="16"/>
          <w:rtl/>
        </w:rPr>
        <w:t>(גיטין פח:</w:t>
      </w:r>
      <w:r w:rsidR="00AF1F1D">
        <w:rPr>
          <w:rFonts w:cs="Arial" w:hint="cs"/>
          <w:sz w:val="16"/>
          <w:szCs w:val="16"/>
          <w:rtl/>
        </w:rPr>
        <w:t>, ע"ש בתוס' ד"ה ובעובדי כוכבים</w:t>
      </w:r>
      <w:r w:rsidRPr="009F18BE">
        <w:rPr>
          <w:rFonts w:cs="Arial"/>
          <w:sz w:val="16"/>
          <w:szCs w:val="16"/>
          <w:rtl/>
        </w:rPr>
        <w:t xml:space="preserve">) </w:t>
      </w:r>
      <w:r w:rsidRPr="00A45C01">
        <w:rPr>
          <w:rFonts w:cs="Arial"/>
          <w:rtl/>
        </w:rPr>
        <w:t>בעישוי דגט</w:t>
      </w:r>
      <w:r w:rsidR="00A75BAD">
        <w:rPr>
          <w:rFonts w:cs="Arial" w:hint="cs"/>
          <w:rtl/>
        </w:rPr>
        <w:t>,</w:t>
      </w:r>
      <w:r w:rsidRPr="00A45C01">
        <w:rPr>
          <w:rFonts w:cs="Arial"/>
          <w:rtl/>
        </w:rPr>
        <w:t xml:space="preserve"> אבל אם היה אנס או אלם ובית דין של ישראל מתייראים ממנו מלכתוב עליו אדרכתא </w:t>
      </w:r>
      <w:r w:rsidR="00AF1F1D">
        <w:rPr>
          <w:rFonts w:cs="Arial" w:hint="cs"/>
          <w:rtl/>
        </w:rPr>
        <w:t xml:space="preserve">- </w:t>
      </w:r>
      <w:r w:rsidRPr="00A45C01">
        <w:rPr>
          <w:rFonts w:cs="Arial"/>
          <w:rtl/>
        </w:rPr>
        <w:t>זה בכלל רשעי ישראל הוא ומתרעם ממנו ואינו חושש</w:t>
      </w:r>
      <w:r w:rsidR="00A75BAD">
        <w:rPr>
          <w:rFonts w:cs="Arial" w:hint="cs"/>
          <w:rtl/>
        </w:rPr>
        <w:t>,</w:t>
      </w:r>
      <w:r w:rsidRPr="00A45C01">
        <w:rPr>
          <w:rFonts w:cs="Arial"/>
          <w:rtl/>
        </w:rPr>
        <w:t xml:space="preserve"> וכן פסק הרמב"ם ז"ל בסוף הלכות סנהדרין </w:t>
      </w:r>
      <w:r w:rsidRPr="009F18BE">
        <w:rPr>
          <w:rFonts w:cs="Arial"/>
          <w:sz w:val="16"/>
          <w:szCs w:val="16"/>
          <w:rtl/>
        </w:rPr>
        <w:t>(שם)</w:t>
      </w:r>
      <w:r w:rsidR="00627720" w:rsidRPr="00627720">
        <w:rPr>
          <w:rtl/>
        </w:rPr>
        <w:t xml:space="preserve"> </w:t>
      </w:r>
      <w:r w:rsidR="00627720" w:rsidRPr="00627720">
        <w:rPr>
          <w:rFonts w:cs="Arial"/>
          <w:rtl/>
        </w:rPr>
        <w:t>וז"ל, היתה יד גוים</w:t>
      </w:r>
      <w:r w:rsidR="00627720">
        <w:rPr>
          <w:rFonts w:cs="Arial" w:hint="cs"/>
          <w:rtl/>
        </w:rPr>
        <w:t xml:space="preserve"> תקיפה</w:t>
      </w:r>
      <w:r w:rsidR="00A75BAD">
        <w:rPr>
          <w:rFonts w:cs="Arial" w:hint="cs"/>
          <w:rtl/>
        </w:rPr>
        <w:t>.</w:t>
      </w:r>
      <w:r w:rsidR="00627720">
        <w:rPr>
          <w:rFonts w:cs="Arial" w:hint="cs"/>
          <w:rtl/>
        </w:rPr>
        <w:t xml:space="preserve">.. ע"כ. </w:t>
      </w:r>
    </w:p>
    <w:p w14:paraId="068818C5" w14:textId="77777777" w:rsidR="007D4DBE" w:rsidRPr="007D4DBE" w:rsidRDefault="007D4DBE" w:rsidP="007D4DBE">
      <w:pPr>
        <w:rPr>
          <w:rFonts w:cs="Arial"/>
          <w:rtl/>
        </w:rPr>
      </w:pPr>
      <w:r w:rsidRPr="007D4DBE">
        <w:rPr>
          <w:rFonts w:cs="Arial" w:hint="cs"/>
          <w:b/>
          <w:bCs/>
          <w:rtl/>
        </w:rPr>
        <w:t xml:space="preserve">בבא קמא </w:t>
      </w:r>
      <w:r w:rsidRPr="007D4DBE">
        <w:rPr>
          <w:rFonts w:cs="Arial" w:hint="cs"/>
          <w:b/>
          <w:bCs/>
          <w:sz w:val="16"/>
          <w:szCs w:val="16"/>
          <w:rtl/>
        </w:rPr>
        <w:t>(פ' הגוזל ומאכיל</w:t>
      </w:r>
      <w:r w:rsidRPr="007D4DBE">
        <w:rPr>
          <w:rFonts w:cs="Arial"/>
          <w:b/>
          <w:bCs/>
          <w:sz w:val="16"/>
          <w:szCs w:val="16"/>
          <w:rtl/>
        </w:rPr>
        <w:t>)</w:t>
      </w:r>
      <w:r w:rsidRPr="007D4DBE">
        <w:rPr>
          <w:rFonts w:cs="Arial" w:hint="cs"/>
          <w:b/>
          <w:bCs/>
          <w:rtl/>
        </w:rPr>
        <w:t xml:space="preserve"> קיג</w:t>
      </w:r>
      <w:r>
        <w:rPr>
          <w:rStyle w:val="ab"/>
          <w:rFonts w:cs="Arial"/>
          <w:b/>
          <w:bCs/>
          <w:rtl/>
        </w:rPr>
        <w:footnoteReference w:id="1314"/>
      </w:r>
      <w:r w:rsidRPr="007D4DBE">
        <w:rPr>
          <w:rFonts w:cs="Arial" w:hint="cs"/>
          <w:b/>
          <w:bCs/>
          <w:rtl/>
        </w:rPr>
        <w:t xml:space="preserve"> ע"ב:</w:t>
      </w:r>
      <w:r w:rsidRPr="007D4DBE">
        <w:rPr>
          <w:rFonts w:cs="Arial"/>
          <w:b/>
          <w:bCs/>
          <w:rtl/>
        </w:rPr>
        <w:t xml:space="preserve"> </w:t>
      </w:r>
      <w:r w:rsidRPr="007D4DBE">
        <w:rPr>
          <w:rFonts w:cs="Arial"/>
          <w:rtl/>
        </w:rPr>
        <w:t>מכריז רבא, ואיתימא רב הונא, דסלקין לעילא ודנחתין לתתא: האי בר ישראל דידע סהדותא לכותי ולא תבעו מיניה, ואזל ואסהיד ליה בדיני דכותי על ישראל חבריה - משמתינן ליה. מאי טעמא? דאינהו מפקי ממונא</w:t>
      </w:r>
      <w:r w:rsidRPr="009F18BE">
        <w:rPr>
          <w:rtl/>
        </w:rPr>
        <w:t xml:space="preserve"> </w:t>
      </w:r>
      <w:r w:rsidRPr="007D4DBE">
        <w:rPr>
          <w:rFonts w:hint="cs"/>
          <w:sz w:val="14"/>
          <w:szCs w:val="14"/>
          <w:rtl/>
        </w:rPr>
        <w:t xml:space="preserve">(קיד.) </w:t>
      </w:r>
      <w:r w:rsidRPr="007D4DBE">
        <w:rPr>
          <w:rFonts w:cs="Arial"/>
          <w:rtl/>
        </w:rPr>
        <w:t>אפומא דחד. ולא אמרן אלא חד</w:t>
      </w:r>
      <w:r>
        <w:rPr>
          <w:rStyle w:val="ab"/>
          <w:rFonts w:cs="Arial"/>
          <w:rtl/>
        </w:rPr>
        <w:footnoteReference w:id="1315"/>
      </w:r>
      <w:r w:rsidRPr="007D4DBE">
        <w:rPr>
          <w:rFonts w:cs="Arial"/>
          <w:rtl/>
        </w:rPr>
        <w:t>, אבל בתרי לא; וחד נמי לא אמרן אלא בדיני דמגיסתא</w:t>
      </w:r>
      <w:r>
        <w:rPr>
          <w:rStyle w:val="ab"/>
          <w:rFonts w:cs="Arial"/>
          <w:rtl/>
        </w:rPr>
        <w:footnoteReference w:id="1316"/>
      </w:r>
      <w:r w:rsidRPr="007D4DBE">
        <w:rPr>
          <w:rFonts w:cs="Arial"/>
          <w:rtl/>
        </w:rPr>
        <w:t>, אבל בי דוואר, אינהו נמי חד אמומתא שדו ליה</w:t>
      </w:r>
      <w:r>
        <w:rPr>
          <w:rStyle w:val="ab"/>
          <w:rFonts w:cs="Arial"/>
          <w:rtl/>
        </w:rPr>
        <w:footnoteReference w:id="1317"/>
      </w:r>
      <w:r w:rsidRPr="007D4DBE">
        <w:rPr>
          <w:rFonts w:cs="Arial"/>
          <w:rtl/>
        </w:rPr>
        <w:t>.</w:t>
      </w:r>
    </w:p>
    <w:p w14:paraId="2E2AE9B3" w14:textId="77777777" w:rsidR="007D4DBE" w:rsidRPr="007D4DBE" w:rsidRDefault="007D4DBE" w:rsidP="007D4DBE">
      <w:pPr>
        <w:rPr>
          <w:rFonts w:cs="Arial"/>
          <w:u w:val="single"/>
        </w:rPr>
      </w:pPr>
      <w:r w:rsidRPr="007D4DBE">
        <w:rPr>
          <w:rFonts w:cs="Arial" w:hint="cs"/>
          <w:u w:val="single"/>
          <w:rtl/>
        </w:rPr>
        <w:t>להעיד על ישראל בפני ערכאות:</w:t>
      </w:r>
    </w:p>
    <w:p w14:paraId="3F545158" w14:textId="77777777" w:rsidR="00AD30C8" w:rsidRPr="00627720" w:rsidRDefault="00555915" w:rsidP="004B0475">
      <w:pPr>
        <w:pStyle w:val="ac"/>
        <w:numPr>
          <w:ilvl w:val="0"/>
          <w:numId w:val="37"/>
        </w:numPr>
        <w:rPr>
          <w:rFonts w:cs="Arial"/>
        </w:rPr>
      </w:pPr>
      <w:r w:rsidRPr="00627720">
        <w:rPr>
          <w:rFonts w:cs="Arial"/>
          <w:rtl/>
        </w:rPr>
        <w:t>רב שרירא גאון</w:t>
      </w:r>
      <w:r w:rsidR="007D4DBE" w:rsidRPr="007D4DBE">
        <w:rPr>
          <w:rFonts w:cs="Arial"/>
          <w:rtl/>
        </w:rPr>
        <w:t xml:space="preserve"> </w:t>
      </w:r>
      <w:r w:rsidR="007D4DBE" w:rsidRPr="009F18BE">
        <w:rPr>
          <w:rFonts w:cs="Arial" w:hint="cs"/>
          <w:sz w:val="16"/>
          <w:szCs w:val="16"/>
          <w:rtl/>
        </w:rPr>
        <w:t>(</w:t>
      </w:r>
      <w:r w:rsidR="007D4DBE">
        <w:rPr>
          <w:rFonts w:cs="Arial" w:hint="cs"/>
          <w:sz w:val="16"/>
          <w:szCs w:val="16"/>
          <w:rtl/>
        </w:rPr>
        <w:t>כ"כ ספר התרומות [שם] בשמו)</w:t>
      </w:r>
      <w:r w:rsidR="007D4DBE">
        <w:rPr>
          <w:rFonts w:cs="Arial" w:hint="cs"/>
          <w:rtl/>
        </w:rPr>
        <w:t>-</w:t>
      </w:r>
      <w:r w:rsidRPr="00627720">
        <w:rPr>
          <w:rFonts w:cs="Arial"/>
          <w:rtl/>
        </w:rPr>
        <w:t xml:space="preserve"> מי שחייבוהו בחוב או פקדון ואינם יכולים להוציא ממנו ויש ביניהם מקום בי דואר</w:t>
      </w:r>
      <w:r w:rsidR="009F18BE" w:rsidRPr="00627720">
        <w:rPr>
          <w:rFonts w:cs="Arial" w:hint="cs"/>
          <w:sz w:val="16"/>
          <w:szCs w:val="16"/>
          <w:rtl/>
        </w:rPr>
        <w:t xml:space="preserve"> {</w:t>
      </w:r>
      <w:r w:rsidR="009F18BE" w:rsidRPr="00627720">
        <w:rPr>
          <w:rFonts w:cs="Arial"/>
          <w:sz w:val="16"/>
          <w:szCs w:val="16"/>
          <w:rtl/>
        </w:rPr>
        <w:t>בית משפט של מלכ</w:t>
      </w:r>
      <w:r w:rsidR="002F464A" w:rsidRPr="00627720">
        <w:rPr>
          <w:rFonts w:cs="Arial" w:hint="cs"/>
          <w:sz w:val="16"/>
          <w:szCs w:val="16"/>
          <w:rtl/>
        </w:rPr>
        <w:t>ות</w:t>
      </w:r>
      <w:r w:rsidR="009F18BE" w:rsidRPr="00627720">
        <w:rPr>
          <w:rFonts w:cs="Arial" w:hint="cs"/>
          <w:sz w:val="16"/>
          <w:szCs w:val="16"/>
          <w:rtl/>
        </w:rPr>
        <w:t>}</w:t>
      </w:r>
      <w:r w:rsidRPr="00627720">
        <w:rPr>
          <w:rFonts w:cs="Arial"/>
          <w:rtl/>
        </w:rPr>
        <w:t xml:space="preserve"> של גוים שאינו לוקח שוחד ומקבל עדות מישראל על חבירו</w:t>
      </w:r>
      <w:r w:rsidR="009F18BE" w:rsidRPr="00627720">
        <w:rPr>
          <w:rFonts w:cs="Arial" w:hint="cs"/>
          <w:rtl/>
        </w:rPr>
        <w:t>,</w:t>
      </w:r>
      <w:r w:rsidRPr="00627720">
        <w:rPr>
          <w:rFonts w:cs="Arial"/>
          <w:rtl/>
        </w:rPr>
        <w:t xml:space="preserve"> יש רשות לזקנים ותלמידים שילכו לפני השופט ויעידו שזה חייב לזה</w:t>
      </w:r>
      <w:r w:rsidR="009F18BE" w:rsidRPr="00627720">
        <w:rPr>
          <w:rFonts w:cs="Arial" w:hint="cs"/>
          <w:rtl/>
        </w:rPr>
        <w:t>,</w:t>
      </w:r>
      <w:r w:rsidRPr="00627720">
        <w:rPr>
          <w:rFonts w:cs="Arial"/>
          <w:rtl/>
        </w:rPr>
        <w:t xml:space="preserve"> ומצוה לעשות כן</w:t>
      </w:r>
      <w:r w:rsidR="00400855">
        <w:rPr>
          <w:rFonts w:cs="Arial" w:hint="cs"/>
          <w:rtl/>
        </w:rPr>
        <w:t>,</w:t>
      </w:r>
      <w:r w:rsidRPr="00627720">
        <w:rPr>
          <w:rFonts w:cs="Arial"/>
          <w:rtl/>
        </w:rPr>
        <w:t xml:space="preserve"> דאפילו נגזל גוי וגזלן ישראל עדים מעידים אצל השופט שאינו חומס ושופטו</w:t>
      </w:r>
      <w:r w:rsidR="003B4E8A" w:rsidRPr="00627720">
        <w:rPr>
          <w:rFonts w:cs="Arial" w:hint="cs"/>
          <w:rtl/>
        </w:rPr>
        <w:t xml:space="preserve">, </w:t>
      </w:r>
      <w:r w:rsidRPr="00627720">
        <w:rPr>
          <w:rFonts w:cs="Arial"/>
          <w:rtl/>
        </w:rPr>
        <w:t xml:space="preserve">כדאמרינן </w:t>
      </w:r>
      <w:r w:rsidRPr="00627720">
        <w:rPr>
          <w:rFonts w:cs="Arial"/>
          <w:sz w:val="16"/>
          <w:szCs w:val="16"/>
          <w:rtl/>
        </w:rPr>
        <w:t xml:space="preserve">(בבא קמא קיג:) </w:t>
      </w:r>
      <w:r w:rsidRPr="00627720">
        <w:rPr>
          <w:rFonts w:cs="Arial"/>
          <w:rtl/>
        </w:rPr>
        <w:t>מכריז רבא האי בר ישראל דידע סהדותא וכו'</w:t>
      </w:r>
      <w:r w:rsidR="00400855">
        <w:rPr>
          <w:rFonts w:cs="Arial" w:hint="cs"/>
          <w:rtl/>
        </w:rPr>
        <w:t>.</w:t>
      </w:r>
      <w:r w:rsidRPr="00627720">
        <w:rPr>
          <w:rFonts w:cs="Arial"/>
          <w:rtl/>
        </w:rPr>
        <w:t xml:space="preserve"> וכל המורד בדין מתרים בו תחלה התראה מפורסמת</w:t>
      </w:r>
      <w:r w:rsidR="00AF1F1D">
        <w:rPr>
          <w:rFonts w:cs="Arial" w:hint="cs"/>
          <w:rtl/>
        </w:rPr>
        <w:t>,</w:t>
      </w:r>
      <w:r w:rsidRPr="00627720">
        <w:rPr>
          <w:rFonts w:cs="Arial"/>
          <w:rtl/>
        </w:rPr>
        <w:t xml:space="preserve"> ואם אינו מקבל מעידין עליו וגובין ממנו בדיני גוים</w:t>
      </w:r>
      <w:r w:rsidR="00400855">
        <w:rPr>
          <w:rFonts w:cs="Arial" w:hint="cs"/>
          <w:rtl/>
        </w:rPr>
        <w:t>.</w:t>
      </w:r>
      <w:r w:rsidRPr="00627720">
        <w:rPr>
          <w:rFonts w:cs="Arial"/>
          <w:rtl/>
        </w:rPr>
        <w:t xml:space="preserve"> ומנהג שלנו לעכב שלשה פעמים בבית הכנסת ואח</w:t>
      </w:r>
      <w:r w:rsidR="009F18BE" w:rsidRPr="00627720">
        <w:rPr>
          <w:rFonts w:cs="Arial" w:hint="cs"/>
          <w:rtl/>
        </w:rPr>
        <w:t>"</w:t>
      </w:r>
      <w:r w:rsidRPr="00627720">
        <w:rPr>
          <w:rFonts w:cs="Arial"/>
          <w:rtl/>
        </w:rPr>
        <w:t>כ מתירין לו</w:t>
      </w:r>
      <w:r w:rsidR="007D4DBE">
        <w:rPr>
          <w:rFonts w:cs="Arial" w:hint="cs"/>
          <w:sz w:val="16"/>
          <w:szCs w:val="16"/>
          <w:rtl/>
        </w:rPr>
        <w:t xml:space="preserve"> (ל' רב שרירא)</w:t>
      </w:r>
      <w:r w:rsidR="009F18BE" w:rsidRPr="00627720">
        <w:rPr>
          <w:rFonts w:cs="Arial" w:hint="cs"/>
          <w:rtl/>
        </w:rPr>
        <w:t>.</w:t>
      </w:r>
      <w:r w:rsidRPr="00627720">
        <w:rPr>
          <w:rFonts w:cs="Arial"/>
          <w:rtl/>
        </w:rPr>
        <w:t xml:space="preserve"> </w:t>
      </w:r>
      <w:r w:rsidR="007D4DBE" w:rsidRPr="004730AC">
        <w:rPr>
          <w:rFonts w:hint="cs"/>
          <w:color w:val="00B0F0"/>
          <w:rtl/>
        </w:rPr>
        <w:t>(וכ"פ הרמ"א)</w:t>
      </w:r>
    </w:p>
    <w:p w14:paraId="20C1643A" w14:textId="77777777" w:rsidR="003B4E8A" w:rsidRPr="003B4E8A" w:rsidRDefault="003B4E8A" w:rsidP="003B4E8A">
      <w:pPr>
        <w:rPr>
          <w:u w:val="single"/>
        </w:rPr>
      </w:pPr>
      <w:r w:rsidRPr="003B4E8A">
        <w:rPr>
          <w:rFonts w:hint="cs"/>
          <w:u w:val="single"/>
          <w:rtl/>
        </w:rPr>
        <w:t xml:space="preserve">מהו לדון בדיני הגוים </w:t>
      </w:r>
      <w:r>
        <w:rPr>
          <w:rFonts w:hint="cs"/>
          <w:u w:val="single"/>
          <w:rtl/>
        </w:rPr>
        <w:t>ב</w:t>
      </w:r>
      <w:r w:rsidRPr="003B4E8A">
        <w:rPr>
          <w:rFonts w:hint="cs"/>
          <w:u w:val="single"/>
          <w:rtl/>
        </w:rPr>
        <w:t>דינים שאינם מסורים לנו בזמה"ז:</w:t>
      </w:r>
    </w:p>
    <w:p w14:paraId="362ED4F2" w14:textId="77777777" w:rsidR="005A48CF" w:rsidRDefault="00555915" w:rsidP="004B0475">
      <w:pPr>
        <w:pStyle w:val="ac"/>
        <w:numPr>
          <w:ilvl w:val="0"/>
          <w:numId w:val="37"/>
        </w:numPr>
      </w:pPr>
      <w:r w:rsidRPr="00A45C01">
        <w:rPr>
          <w:rFonts w:cs="Arial"/>
          <w:rtl/>
        </w:rPr>
        <w:t xml:space="preserve">בעל התרומות </w:t>
      </w:r>
      <w:r w:rsidRPr="009F18BE">
        <w:rPr>
          <w:rFonts w:cs="Arial"/>
          <w:sz w:val="16"/>
          <w:szCs w:val="16"/>
          <w:rtl/>
        </w:rPr>
        <w:t>(</w:t>
      </w:r>
      <w:r w:rsidR="003B4E8A">
        <w:rPr>
          <w:rFonts w:cs="Arial" w:hint="cs"/>
          <w:sz w:val="16"/>
          <w:szCs w:val="16"/>
          <w:rtl/>
        </w:rPr>
        <w:t xml:space="preserve">שם </w:t>
      </w:r>
      <w:r w:rsidRPr="009F18BE">
        <w:rPr>
          <w:rFonts w:cs="Arial"/>
          <w:sz w:val="16"/>
          <w:szCs w:val="16"/>
          <w:rtl/>
        </w:rPr>
        <w:t>ח"א סי' ה-ו)</w:t>
      </w:r>
      <w:r w:rsidR="003B4E8A">
        <w:rPr>
          <w:rFonts w:cs="Arial" w:hint="cs"/>
          <w:rtl/>
        </w:rPr>
        <w:t xml:space="preserve">- </w:t>
      </w:r>
      <w:r w:rsidRPr="00A45C01">
        <w:rPr>
          <w:rFonts w:cs="Arial"/>
          <w:rtl/>
        </w:rPr>
        <w:t>אפילו דיני חבלות שאינם מסורים לנו בזמן הזה</w:t>
      </w:r>
      <w:r w:rsidR="00C435E8">
        <w:rPr>
          <w:rFonts w:cs="Arial" w:hint="cs"/>
          <w:rtl/>
        </w:rPr>
        <w:t xml:space="preserve"> - </w:t>
      </w:r>
      <w:r w:rsidRPr="00A45C01">
        <w:rPr>
          <w:rFonts w:cs="Arial"/>
          <w:rtl/>
        </w:rPr>
        <w:t>אסור למסור בידי גוים</w:t>
      </w:r>
      <w:r w:rsidR="00AD30C8">
        <w:rPr>
          <w:rFonts w:cs="Arial" w:hint="cs"/>
          <w:rtl/>
        </w:rPr>
        <w:t>,</w:t>
      </w:r>
      <w:r w:rsidRPr="00A45C01">
        <w:rPr>
          <w:rFonts w:cs="Arial"/>
          <w:rtl/>
        </w:rPr>
        <w:t xml:space="preserve"> ומ</w:t>
      </w:r>
      <w:r w:rsidR="00AD30C8">
        <w:rPr>
          <w:rFonts w:cs="Arial" w:hint="cs"/>
          <w:rtl/>
        </w:rPr>
        <w:t>"</w:t>
      </w:r>
      <w:r w:rsidRPr="00A45C01">
        <w:rPr>
          <w:rFonts w:cs="Arial"/>
          <w:rtl/>
        </w:rPr>
        <w:t>מ אע</w:t>
      </w:r>
      <w:r w:rsidR="00AD30C8">
        <w:rPr>
          <w:rFonts w:cs="Arial" w:hint="cs"/>
          <w:rtl/>
        </w:rPr>
        <w:t>"</w:t>
      </w:r>
      <w:r w:rsidRPr="00A45C01">
        <w:rPr>
          <w:rFonts w:cs="Arial"/>
          <w:rtl/>
        </w:rPr>
        <w:t>פ שאין דנין דיני קנסות בבבל יש לדיינים לענוש ולקנוס האדם כפי צורך שעתם ולנדותם אם שנו ושלשו</w:t>
      </w:r>
      <w:r w:rsidR="00A45C01">
        <w:rPr>
          <w:rFonts w:cs="Arial" w:hint="cs"/>
          <w:rtl/>
        </w:rPr>
        <w:t>.</w:t>
      </w:r>
    </w:p>
    <w:p w14:paraId="3DAC1384" w14:textId="77777777" w:rsidR="00AD30C8" w:rsidRDefault="00AD30C8" w:rsidP="00AD30C8">
      <w:pPr>
        <w:rPr>
          <w:rFonts w:cs="Arial"/>
          <w:rtl/>
        </w:rPr>
      </w:pPr>
      <w:r w:rsidRPr="00AD30C8">
        <w:rPr>
          <w:rFonts w:hint="cs"/>
          <w:u w:val="single"/>
          <w:rtl/>
        </w:rPr>
        <w:t>נת</w:t>
      </w:r>
      <w:r w:rsidR="003A7491">
        <w:rPr>
          <w:rFonts w:hint="cs"/>
          <w:u w:val="single"/>
          <w:rtl/>
        </w:rPr>
        <w:t>י</w:t>
      </w:r>
      <w:r w:rsidRPr="00AD30C8">
        <w:rPr>
          <w:rFonts w:hint="cs"/>
          <w:u w:val="single"/>
          <w:rtl/>
        </w:rPr>
        <w:t>נת רשות לדון בדיני גוים כששני בעלי הדין צייתי דינא:</w:t>
      </w:r>
      <w:r>
        <w:rPr>
          <w:rFonts w:cs="Arial" w:hint="cs"/>
          <w:rtl/>
        </w:rPr>
        <w:t xml:space="preserve">  </w:t>
      </w:r>
      <w:r w:rsidR="00A45C01" w:rsidRPr="00AD30C8">
        <w:rPr>
          <w:rFonts w:cs="Arial"/>
          <w:sz w:val="16"/>
          <w:szCs w:val="16"/>
          <w:rtl/>
        </w:rPr>
        <w:t>(</w:t>
      </w:r>
      <w:r w:rsidRPr="00AD30C8">
        <w:rPr>
          <w:rFonts w:cs="Arial" w:hint="cs"/>
          <w:sz w:val="16"/>
          <w:szCs w:val="16"/>
          <w:rtl/>
        </w:rPr>
        <w:t xml:space="preserve">דרכ"מ אות </w:t>
      </w:r>
      <w:r w:rsidR="00A45C01" w:rsidRPr="00AD30C8">
        <w:rPr>
          <w:rFonts w:cs="Arial"/>
          <w:sz w:val="16"/>
          <w:szCs w:val="16"/>
          <w:rtl/>
        </w:rPr>
        <w:t>ב)</w:t>
      </w:r>
      <w:r w:rsidR="00A45C01" w:rsidRPr="00555915">
        <w:rPr>
          <w:rFonts w:cs="Arial"/>
          <w:rtl/>
        </w:rPr>
        <w:t xml:space="preserve"> </w:t>
      </w:r>
    </w:p>
    <w:p w14:paraId="0D75935C" w14:textId="77777777" w:rsidR="00A45C01" w:rsidRPr="00AD30C8" w:rsidRDefault="00A45C01" w:rsidP="004B0475">
      <w:pPr>
        <w:pStyle w:val="ac"/>
        <w:numPr>
          <w:ilvl w:val="0"/>
          <w:numId w:val="37"/>
        </w:numPr>
        <w:rPr>
          <w:rFonts w:cs="Arial"/>
          <w:rtl/>
        </w:rPr>
      </w:pPr>
      <w:r w:rsidRPr="00AD30C8">
        <w:rPr>
          <w:rFonts w:cs="Arial"/>
          <w:rtl/>
        </w:rPr>
        <w:t>מהרי"ק</w:t>
      </w:r>
      <w:r w:rsidRPr="00AD30C8">
        <w:rPr>
          <w:rFonts w:cs="Arial"/>
          <w:sz w:val="16"/>
          <w:szCs w:val="16"/>
          <w:rtl/>
        </w:rPr>
        <w:t xml:space="preserve"> </w:t>
      </w:r>
      <w:r w:rsidR="00AD30C8" w:rsidRPr="00AD30C8">
        <w:rPr>
          <w:rFonts w:cs="Arial" w:hint="cs"/>
          <w:sz w:val="16"/>
          <w:szCs w:val="16"/>
          <w:rtl/>
        </w:rPr>
        <w:t>(</w:t>
      </w:r>
      <w:r w:rsidRPr="00AD30C8">
        <w:rPr>
          <w:rFonts w:cs="Arial"/>
          <w:sz w:val="16"/>
          <w:szCs w:val="16"/>
          <w:rtl/>
        </w:rPr>
        <w:t>שורש א</w:t>
      </w:r>
      <w:r w:rsidR="00AD30C8" w:rsidRPr="00AD30C8">
        <w:rPr>
          <w:rFonts w:cs="Arial" w:hint="cs"/>
          <w:sz w:val="16"/>
          <w:szCs w:val="16"/>
          <w:rtl/>
        </w:rPr>
        <w:t>)</w:t>
      </w:r>
      <w:r w:rsidR="00AD30C8">
        <w:rPr>
          <w:rFonts w:cs="Arial" w:hint="cs"/>
          <w:rtl/>
        </w:rPr>
        <w:t>-</w:t>
      </w:r>
      <w:r w:rsidRPr="00AD30C8">
        <w:rPr>
          <w:rFonts w:cs="Arial"/>
          <w:rtl/>
        </w:rPr>
        <w:t xml:space="preserve"> אין כח לשום דיין לתת כח ללכת בערכאות של גוים כל זמן שהנתבע רצה להיות ציית דין</w:t>
      </w:r>
      <w:r w:rsidRPr="00AD30C8">
        <w:rPr>
          <w:rFonts w:cs="Arial" w:hint="cs"/>
          <w:rtl/>
        </w:rPr>
        <w:t>.</w:t>
      </w:r>
      <w:r w:rsidR="00AD30C8" w:rsidRPr="003272F8">
        <w:rPr>
          <w:rFonts w:hint="cs"/>
          <w:color w:val="00B0F0"/>
          <w:rtl/>
        </w:rPr>
        <w:t xml:space="preserve"> </w:t>
      </w:r>
      <w:r w:rsidR="00AD30C8" w:rsidRPr="004730AC">
        <w:rPr>
          <w:rFonts w:hint="cs"/>
          <w:color w:val="00B0F0"/>
          <w:rtl/>
        </w:rPr>
        <w:t>(וכ"פ הרמ"א)</w:t>
      </w:r>
    </w:p>
    <w:p w14:paraId="72A2F32E" w14:textId="77777777" w:rsidR="00E137BC" w:rsidRPr="00576D5C" w:rsidRDefault="00E137BC" w:rsidP="00576D5C">
      <w:pPr>
        <w:rPr>
          <w:rFonts w:asciiTheme="minorBidi" w:hAnsiTheme="minorBidi"/>
          <w:b/>
          <w:bCs/>
          <w:color w:val="000000"/>
          <w:sz w:val="28"/>
          <w:szCs w:val="28"/>
          <w:u w:val="single"/>
          <w:rtl/>
        </w:rPr>
      </w:pPr>
      <w:r w:rsidRPr="00576D5C">
        <w:rPr>
          <w:rFonts w:asciiTheme="minorBidi" w:hAnsiTheme="minorBidi"/>
          <w:b/>
          <w:bCs/>
          <w:color w:val="000000"/>
          <w:sz w:val="28"/>
          <w:szCs w:val="28"/>
          <w:u w:val="single"/>
          <w:rtl/>
        </w:rPr>
        <w:t>שו"ע:</w:t>
      </w:r>
    </w:p>
    <w:p w14:paraId="705825D7" w14:textId="77777777" w:rsidR="00E137BC" w:rsidRDefault="00E137BC" w:rsidP="00576D5C">
      <w:pPr>
        <w:rPr>
          <w:rFonts w:asciiTheme="minorBidi" w:hAnsiTheme="minorBidi"/>
          <w:rtl/>
        </w:rPr>
      </w:pPr>
      <w:r w:rsidRPr="00576D5C">
        <w:rPr>
          <w:rFonts w:asciiTheme="minorBidi" w:hAnsiTheme="minorBidi"/>
          <w:rtl/>
        </w:rPr>
        <w:lastRenderedPageBreak/>
        <w:t xml:space="preserve">היתה יד </w:t>
      </w:r>
      <w:r w:rsidR="005A48CF">
        <w:rPr>
          <w:rFonts w:asciiTheme="minorBidi" w:hAnsiTheme="minorBidi" w:hint="cs"/>
          <w:rtl/>
        </w:rPr>
        <w:t>גוים</w:t>
      </w:r>
      <w:r w:rsidRPr="00576D5C">
        <w:rPr>
          <w:rFonts w:asciiTheme="minorBidi" w:hAnsiTheme="minorBidi"/>
          <w:rtl/>
        </w:rPr>
        <w:t xml:space="preserve"> תקיפה, ובעל דינו אלם, ואינו יכול להציל ממנו בדייני ישראל, יתבענו לדייני ישראל תחלה</w:t>
      </w:r>
      <w:r w:rsidR="005A48CF">
        <w:rPr>
          <w:rFonts w:asciiTheme="minorBidi" w:hAnsiTheme="minorBidi" w:hint="cs"/>
          <w:rtl/>
        </w:rPr>
        <w:t>,</w:t>
      </w:r>
      <w:r w:rsidRPr="00576D5C">
        <w:rPr>
          <w:rFonts w:asciiTheme="minorBidi" w:hAnsiTheme="minorBidi"/>
          <w:rtl/>
        </w:rPr>
        <w:t xml:space="preserve"> אם לא רצה לבא, נוטל רשות מבית דין ומציל בדייני </w:t>
      </w:r>
      <w:r w:rsidR="005A48CF">
        <w:rPr>
          <w:rFonts w:asciiTheme="minorBidi" w:hAnsiTheme="minorBidi" w:hint="cs"/>
          <w:rtl/>
        </w:rPr>
        <w:t>גוי</w:t>
      </w:r>
      <w:r w:rsidRPr="00576D5C">
        <w:rPr>
          <w:rFonts w:asciiTheme="minorBidi" w:hAnsiTheme="minorBidi"/>
          <w:rtl/>
        </w:rPr>
        <w:t xml:space="preserve">ם מיד בעל דינו. </w:t>
      </w:r>
      <w:r w:rsidRPr="005A48CF">
        <w:rPr>
          <w:rFonts w:asciiTheme="minorBidi" w:hAnsiTheme="minorBidi"/>
          <w:sz w:val="18"/>
          <w:szCs w:val="18"/>
          <w:rtl/>
        </w:rPr>
        <w:t xml:space="preserve">הגה: ויש רשות לבית דין לילך לפני </w:t>
      </w:r>
      <w:r w:rsidR="005A48CF">
        <w:rPr>
          <w:rFonts w:asciiTheme="minorBidi" w:hAnsiTheme="minorBidi" w:hint="cs"/>
          <w:sz w:val="18"/>
          <w:szCs w:val="18"/>
          <w:rtl/>
        </w:rPr>
        <w:t>גוים</w:t>
      </w:r>
      <w:r w:rsidRPr="005A48CF">
        <w:rPr>
          <w:rFonts w:asciiTheme="minorBidi" w:hAnsiTheme="minorBidi"/>
          <w:sz w:val="18"/>
          <w:szCs w:val="18"/>
          <w:rtl/>
        </w:rPr>
        <w:t xml:space="preserve"> ולהעיד שזה חייב לזה</w:t>
      </w:r>
      <w:r w:rsidR="00627720">
        <w:rPr>
          <w:rStyle w:val="ab"/>
          <w:rFonts w:asciiTheme="minorBidi" w:hAnsiTheme="minorBidi"/>
          <w:sz w:val="18"/>
          <w:szCs w:val="18"/>
          <w:rtl/>
        </w:rPr>
        <w:footnoteReference w:id="1318"/>
      </w:r>
      <w:r w:rsidRPr="005A48CF">
        <w:rPr>
          <w:rFonts w:asciiTheme="minorBidi" w:hAnsiTheme="minorBidi"/>
          <w:sz w:val="18"/>
          <w:szCs w:val="18"/>
          <w:rtl/>
        </w:rPr>
        <w:t xml:space="preserve"> (בה"ת בשם ר' שרירא). וכל זה דווקא כשאינו רוצה להיות ציית דין, אבל בלאו הכי אסור לבית דין להרשות לדון לפני </w:t>
      </w:r>
      <w:r w:rsidR="005A48CF">
        <w:rPr>
          <w:rFonts w:asciiTheme="minorBidi" w:hAnsiTheme="minorBidi" w:hint="cs"/>
          <w:sz w:val="18"/>
          <w:szCs w:val="18"/>
          <w:rtl/>
        </w:rPr>
        <w:t>גוים</w:t>
      </w:r>
      <w:r w:rsidRPr="005A48CF">
        <w:rPr>
          <w:rFonts w:asciiTheme="minorBidi" w:hAnsiTheme="minorBidi"/>
          <w:sz w:val="18"/>
          <w:szCs w:val="18"/>
          <w:rtl/>
        </w:rPr>
        <w:t xml:space="preserve"> (מהרי"ק שורש א').</w:t>
      </w:r>
      <w:r w:rsidRPr="00576D5C">
        <w:rPr>
          <w:rFonts w:asciiTheme="minorBidi" w:hAnsiTheme="minorBidi"/>
          <w:rtl/>
        </w:rPr>
        <w:t xml:space="preserve"> </w:t>
      </w:r>
    </w:p>
    <w:p w14:paraId="00B0AC4F" w14:textId="77777777" w:rsidR="005A48CF" w:rsidRPr="00576D5C" w:rsidRDefault="005A48CF" w:rsidP="00576D5C">
      <w:pPr>
        <w:rPr>
          <w:rFonts w:asciiTheme="minorBidi" w:hAnsiTheme="minorBidi"/>
          <w:rtl/>
        </w:rPr>
      </w:pPr>
    </w:p>
    <w:p w14:paraId="14CF0847" w14:textId="77777777" w:rsidR="00555915" w:rsidRPr="00154C40" w:rsidRDefault="00E137BC" w:rsidP="00154C40">
      <w:pPr>
        <w:pStyle w:val="2"/>
        <w:rPr>
          <w:rtl/>
        </w:rPr>
      </w:pPr>
      <w:bookmarkStart w:id="190" w:name="_Toc24883669"/>
      <w:r w:rsidRPr="00576D5C">
        <w:rPr>
          <w:rtl/>
        </w:rPr>
        <w:t>סעיף ג</w:t>
      </w:r>
      <w:r w:rsidR="005A48CF">
        <w:rPr>
          <w:rFonts w:hint="cs"/>
          <w:rtl/>
        </w:rPr>
        <w:t>:</w:t>
      </w:r>
      <w:r w:rsidR="00865312">
        <w:rPr>
          <w:rFonts w:hint="cs"/>
          <w:rtl/>
        </w:rPr>
        <w:t xml:space="preserve"> המקבל על עצמו בקניין לדון עם חבירו בדיני הגוים.</w:t>
      </w:r>
      <w:bookmarkEnd w:id="190"/>
    </w:p>
    <w:p w14:paraId="657D3A66" w14:textId="77777777" w:rsidR="00865312" w:rsidRDefault="00865312" w:rsidP="00154C40">
      <w:pPr>
        <w:rPr>
          <w:rFonts w:cs="Arial"/>
          <w:rtl/>
        </w:rPr>
      </w:pPr>
      <w:r w:rsidRPr="00865312">
        <w:rPr>
          <w:rFonts w:cs="Arial" w:hint="cs"/>
          <w:u w:val="single"/>
          <w:rtl/>
        </w:rPr>
        <w:t xml:space="preserve">המקבל על עצמו בקניין לדון עם </w:t>
      </w:r>
      <w:r>
        <w:rPr>
          <w:rFonts w:cs="Arial" w:hint="cs"/>
          <w:u w:val="single"/>
          <w:rtl/>
        </w:rPr>
        <w:t>חבירו</w:t>
      </w:r>
      <w:r w:rsidRPr="00865312">
        <w:rPr>
          <w:rFonts w:cs="Arial" w:hint="cs"/>
          <w:u w:val="single"/>
          <w:rtl/>
        </w:rPr>
        <w:t xml:space="preserve"> בדיני הגוים:</w:t>
      </w:r>
    </w:p>
    <w:p w14:paraId="10363FA6" w14:textId="77777777" w:rsidR="00865312" w:rsidRDefault="00555915" w:rsidP="004B0475">
      <w:pPr>
        <w:pStyle w:val="ac"/>
        <w:numPr>
          <w:ilvl w:val="0"/>
          <w:numId w:val="37"/>
        </w:numPr>
        <w:rPr>
          <w:rFonts w:cs="Arial"/>
        </w:rPr>
      </w:pPr>
      <w:r w:rsidRPr="00865312">
        <w:rPr>
          <w:rFonts w:cs="Arial"/>
          <w:rtl/>
        </w:rPr>
        <w:t xml:space="preserve">בעל התרומות </w:t>
      </w:r>
      <w:r w:rsidR="00263159" w:rsidRPr="00865312">
        <w:rPr>
          <w:rFonts w:cs="Arial" w:hint="cs"/>
          <w:sz w:val="16"/>
          <w:szCs w:val="16"/>
          <w:rtl/>
        </w:rPr>
        <w:t>(</w:t>
      </w:r>
      <w:r w:rsidRPr="00865312">
        <w:rPr>
          <w:rFonts w:cs="Arial"/>
          <w:sz w:val="16"/>
          <w:szCs w:val="16"/>
          <w:rtl/>
        </w:rPr>
        <w:t xml:space="preserve">שער סב </w:t>
      </w:r>
      <w:r w:rsidR="00263159" w:rsidRPr="00865312">
        <w:rPr>
          <w:rFonts w:cs="Arial" w:hint="cs"/>
          <w:sz w:val="16"/>
          <w:szCs w:val="16"/>
          <w:rtl/>
        </w:rPr>
        <w:t>אות</w:t>
      </w:r>
      <w:r w:rsidRPr="00865312">
        <w:rPr>
          <w:rFonts w:cs="Arial"/>
          <w:sz w:val="16"/>
          <w:szCs w:val="16"/>
          <w:rtl/>
        </w:rPr>
        <w:t xml:space="preserve"> ד)</w:t>
      </w:r>
      <w:r w:rsidR="00263159" w:rsidRPr="00865312">
        <w:rPr>
          <w:rFonts w:cs="Arial" w:hint="cs"/>
          <w:rtl/>
        </w:rPr>
        <w:t>-</w:t>
      </w:r>
      <w:r w:rsidRPr="00865312">
        <w:rPr>
          <w:rFonts w:cs="Arial"/>
          <w:rtl/>
        </w:rPr>
        <w:t xml:space="preserve"> יש לברר לוה שקבל על עצמו לדון עם המלוה בפני גוים אם מועיל לו תנאו</w:t>
      </w:r>
      <w:r w:rsidR="00865312">
        <w:rPr>
          <w:rFonts w:cs="Arial" w:hint="cs"/>
          <w:rtl/>
        </w:rPr>
        <w:t>,</w:t>
      </w:r>
      <w:r w:rsidRPr="00865312">
        <w:rPr>
          <w:rFonts w:cs="Arial"/>
          <w:rtl/>
        </w:rPr>
        <w:t xml:space="preserve"> וכן נמי אם חייב עצמו בממון אם לא ילך עמו לפניהם מה דינו. על זה השיב הרב אלפסי ז"ל כך וזהו טופסו</w:t>
      </w:r>
      <w:r w:rsidR="00911E8A">
        <w:rPr>
          <w:rFonts w:cs="Arial" w:hint="cs"/>
          <w:rtl/>
        </w:rPr>
        <w:t>,</w:t>
      </w:r>
      <w:r w:rsidRPr="00865312">
        <w:rPr>
          <w:rFonts w:cs="Arial"/>
          <w:rtl/>
        </w:rPr>
        <w:t xml:space="preserve"> מה ששאלתם המקבל על עצמו בקנין לילך לדון עם בעל דינו לשופט של ישמעאל יכול לחזור בו או לא</w:t>
      </w:r>
      <w:r w:rsidR="0016795E" w:rsidRPr="00865312">
        <w:rPr>
          <w:rFonts w:cs="Arial" w:hint="cs"/>
          <w:rtl/>
        </w:rPr>
        <w:t>,</w:t>
      </w:r>
      <w:r w:rsidRPr="00865312">
        <w:rPr>
          <w:rFonts w:cs="Arial"/>
          <w:rtl/>
        </w:rPr>
        <w:t xml:space="preserve"> ועוד אם קבל על עצמו בעדים שאם לא ילך לפניהם לדון עם בעל דינו שיהא עליו לעניים או לבית הכנסת או לישיבות או לכמות אלו</w:t>
      </w:r>
      <w:r w:rsidR="0016795E" w:rsidRPr="00865312">
        <w:rPr>
          <w:rFonts w:cs="Arial" w:hint="cs"/>
          <w:rtl/>
        </w:rPr>
        <w:t>,</w:t>
      </w:r>
      <w:r w:rsidRPr="00865312">
        <w:rPr>
          <w:rFonts w:cs="Arial"/>
          <w:rtl/>
        </w:rPr>
        <w:t xml:space="preserve"> וחזר בו ואמר לא אלך לדיני גוים</w:t>
      </w:r>
      <w:r w:rsidR="0016795E" w:rsidRPr="00865312">
        <w:rPr>
          <w:rFonts w:cs="Arial" w:hint="cs"/>
          <w:rtl/>
        </w:rPr>
        <w:t>,</w:t>
      </w:r>
      <w:r w:rsidRPr="00865312">
        <w:rPr>
          <w:rFonts w:cs="Arial"/>
          <w:rtl/>
        </w:rPr>
        <w:t xml:space="preserve"> יש לו רשות להוציא ממנו מה שפסק על עצמו. כך ראינו כי זה יכול לחזור</w:t>
      </w:r>
      <w:r w:rsidR="004C53CE">
        <w:rPr>
          <w:rFonts w:cs="Arial" w:hint="cs"/>
          <w:rtl/>
        </w:rPr>
        <w:t>,</w:t>
      </w:r>
      <w:r w:rsidRPr="00865312">
        <w:rPr>
          <w:rFonts w:cs="Arial"/>
          <w:rtl/>
        </w:rPr>
        <w:t xml:space="preserve"> ואינו חייב ואף אינו רשאי לילך עם בעל דינו אל הגוים, ולא מיבעיא כה</w:t>
      </w:r>
      <w:r w:rsidR="004C53CE">
        <w:rPr>
          <w:rFonts w:cs="Arial" w:hint="cs"/>
          <w:rtl/>
        </w:rPr>
        <w:t>"</w:t>
      </w:r>
      <w:r w:rsidRPr="00865312">
        <w:rPr>
          <w:rFonts w:cs="Arial"/>
          <w:rtl/>
        </w:rPr>
        <w:t xml:space="preserve">ג דקא עקר מצוה וכדאמר רבי טרפון </w:t>
      </w:r>
      <w:r w:rsidRPr="00BF2449">
        <w:rPr>
          <w:rFonts w:cs="Arial"/>
          <w:sz w:val="16"/>
          <w:szCs w:val="16"/>
          <w:rtl/>
        </w:rPr>
        <w:t xml:space="preserve">(גיטין פח:) </w:t>
      </w:r>
      <w:r w:rsidRPr="00865312">
        <w:rPr>
          <w:rFonts w:cs="Arial"/>
          <w:rtl/>
        </w:rPr>
        <w:t xml:space="preserve">אלא אפילו לדבר הרשות מאן דקנו מיניה במילתא דעביד </w:t>
      </w:r>
      <w:r w:rsidR="00911E8A">
        <w:rPr>
          <w:rFonts w:cs="Arial" w:hint="cs"/>
          <w:rtl/>
        </w:rPr>
        <w:t xml:space="preserve">- </w:t>
      </w:r>
      <w:r w:rsidRPr="00865312">
        <w:rPr>
          <w:rFonts w:cs="Arial"/>
          <w:rtl/>
        </w:rPr>
        <w:t>קנין דברים הוא ואית ליה למיהדר</w:t>
      </w:r>
      <w:r w:rsidR="0016795E" w:rsidRPr="00865312">
        <w:rPr>
          <w:rFonts w:cs="Arial" w:hint="cs"/>
          <w:rtl/>
        </w:rPr>
        <w:t>,</w:t>
      </w:r>
      <w:r w:rsidRPr="00865312">
        <w:rPr>
          <w:rFonts w:cs="Arial"/>
          <w:rtl/>
        </w:rPr>
        <w:t xml:space="preserve"> אבל אי מקבל עילויה סהדותא דגוים וקנו מיניה </w:t>
      </w:r>
      <w:r w:rsidR="00911E8A">
        <w:rPr>
          <w:rFonts w:cs="Arial" w:hint="cs"/>
          <w:rtl/>
        </w:rPr>
        <w:t xml:space="preserve">- </w:t>
      </w:r>
      <w:r w:rsidRPr="00865312">
        <w:rPr>
          <w:rFonts w:cs="Arial"/>
          <w:rtl/>
        </w:rPr>
        <w:t xml:space="preserve">לאו דברים בעלמא נינהו כדאמרינן </w:t>
      </w:r>
      <w:r w:rsidRPr="00BF2449">
        <w:rPr>
          <w:rFonts w:cs="Arial"/>
          <w:sz w:val="16"/>
          <w:szCs w:val="16"/>
          <w:rtl/>
        </w:rPr>
        <w:t xml:space="preserve">(סנהדרין כד.) </w:t>
      </w:r>
      <w:r w:rsidRPr="00865312">
        <w:rPr>
          <w:rFonts w:cs="Arial"/>
          <w:rtl/>
        </w:rPr>
        <w:t>נאמן עלי אבא נאמן עלי אביך אינו יכול לחזור בו שאין לאחר קנין כלום. ולענין ששאלתם שאם לא ילך שיהיה עליו להקדש כך וכך ראינו מן הדין שיש לו לומר כן</w:t>
      </w:r>
      <w:r w:rsidR="00BF2449">
        <w:rPr>
          <w:rFonts w:cs="Arial" w:hint="cs"/>
          <w:rtl/>
        </w:rPr>
        <w:t>,</w:t>
      </w:r>
      <w:r w:rsidRPr="00865312">
        <w:rPr>
          <w:rFonts w:cs="Arial"/>
          <w:rtl/>
        </w:rPr>
        <w:t xml:space="preserve"> ויש על בית דין ולזקני המקום למנוע בעל דינו מלתבעו בכך</w:t>
      </w:r>
      <w:r w:rsidR="00BF2449">
        <w:rPr>
          <w:rFonts w:cs="Arial" w:hint="cs"/>
          <w:rtl/>
        </w:rPr>
        <w:t>,</w:t>
      </w:r>
      <w:r w:rsidRPr="00865312">
        <w:rPr>
          <w:rFonts w:cs="Arial"/>
          <w:rtl/>
        </w:rPr>
        <w:t xml:space="preserve"> שדבר אסור הוא</w:t>
      </w:r>
      <w:r w:rsidR="00BF2449">
        <w:rPr>
          <w:rFonts w:cs="Arial" w:hint="cs"/>
          <w:rtl/>
        </w:rPr>
        <w:t>,</w:t>
      </w:r>
      <w:r w:rsidRPr="00865312">
        <w:rPr>
          <w:rFonts w:cs="Arial"/>
          <w:rtl/>
        </w:rPr>
        <w:t xml:space="preserve"> ואם נמנע</w:t>
      </w:r>
      <w:r w:rsidR="004F5254">
        <w:rPr>
          <w:rFonts w:cs="Arial" w:hint="cs"/>
          <w:rtl/>
        </w:rPr>
        <w:t xml:space="preserve"> -</w:t>
      </w:r>
      <w:r w:rsidRPr="00865312">
        <w:rPr>
          <w:rFonts w:cs="Arial"/>
          <w:rtl/>
        </w:rPr>
        <w:t xml:space="preserve"> כבר בטל הנדר</w:t>
      </w:r>
      <w:r w:rsidR="00BF2449">
        <w:rPr>
          <w:rFonts w:cs="Arial" w:hint="cs"/>
          <w:rtl/>
        </w:rPr>
        <w:t>,</w:t>
      </w:r>
      <w:r w:rsidRPr="00865312">
        <w:rPr>
          <w:rFonts w:cs="Arial"/>
          <w:rtl/>
        </w:rPr>
        <w:t xml:space="preserve"> שהדבר מוכיח שלא קבל על עצמו לילך לפני הגוים אלא עם התובע</w:t>
      </w:r>
      <w:r w:rsidR="004F5254">
        <w:rPr>
          <w:rFonts w:cs="Arial" w:hint="cs"/>
          <w:rtl/>
        </w:rPr>
        <w:t>.</w:t>
      </w:r>
      <w:r w:rsidRPr="00865312">
        <w:rPr>
          <w:rFonts w:cs="Arial"/>
          <w:rtl/>
        </w:rPr>
        <w:t xml:space="preserve"> ואם לא נמנע התובע</w:t>
      </w:r>
      <w:r w:rsidR="004F5254">
        <w:rPr>
          <w:rFonts w:cs="Arial" w:hint="cs"/>
          <w:rtl/>
        </w:rPr>
        <w:t>,</w:t>
      </w:r>
      <w:r w:rsidRPr="00865312">
        <w:rPr>
          <w:rFonts w:cs="Arial"/>
          <w:rtl/>
        </w:rPr>
        <w:t xml:space="preserve"> והנתבע לא הלך עמו לגוים </w:t>
      </w:r>
      <w:r w:rsidR="004F5254">
        <w:rPr>
          <w:rFonts w:cs="Arial" w:hint="cs"/>
          <w:rtl/>
        </w:rPr>
        <w:t xml:space="preserve">- </w:t>
      </w:r>
      <w:r w:rsidRPr="00865312">
        <w:rPr>
          <w:rFonts w:cs="Arial"/>
          <w:rtl/>
        </w:rPr>
        <w:t>אין בית דין מוציאין ממנו לא לעניים ולא להקדש אלא מודיעין אותו כי חל הנדר עליו ואומרים לו שעליך לתת מדעתך מה שפסקת על עצמך כי זה נדר הוא</w:t>
      </w:r>
      <w:r w:rsidR="00BF2449">
        <w:rPr>
          <w:rFonts w:cs="Arial" w:hint="cs"/>
          <w:rtl/>
        </w:rPr>
        <w:t>,</w:t>
      </w:r>
      <w:r w:rsidRPr="00865312">
        <w:rPr>
          <w:rFonts w:cs="Arial"/>
          <w:rtl/>
        </w:rPr>
        <w:t xml:space="preserve"> ונמצא כנודר שאם לא יחלל שבת שיתן מנה לעניים שהוא חייב לשומרו ולקיים נדרו</w:t>
      </w:r>
      <w:r w:rsidR="00BF2449">
        <w:rPr>
          <w:rFonts w:cs="Arial" w:hint="cs"/>
          <w:rtl/>
        </w:rPr>
        <w:t>,</w:t>
      </w:r>
      <w:r w:rsidRPr="00865312">
        <w:rPr>
          <w:rFonts w:cs="Arial"/>
          <w:rtl/>
        </w:rPr>
        <w:t xml:space="preserve"> ודבר זה שנוי במשנתינו </w:t>
      </w:r>
      <w:r w:rsidRPr="00BF2449">
        <w:rPr>
          <w:rFonts w:cs="Arial"/>
          <w:sz w:val="16"/>
          <w:szCs w:val="16"/>
          <w:rtl/>
        </w:rPr>
        <w:t xml:space="preserve">(נדרים טז.) </w:t>
      </w:r>
      <w:r w:rsidRPr="00865312">
        <w:rPr>
          <w:rFonts w:cs="Arial"/>
          <w:rtl/>
        </w:rPr>
        <w:t>חומר בנדרים מבשבועות אמר סוכה שאיני עושה לולב שאיני נוטל בנדרים אסור ובשבועות מותר וכו' וזה ששנינו בנדרים אסור</w:t>
      </w:r>
      <w:r w:rsidR="00911E8A">
        <w:rPr>
          <w:rFonts w:cs="Arial" w:hint="cs"/>
          <w:rtl/>
        </w:rPr>
        <w:t>,</w:t>
      </w:r>
      <w:r w:rsidRPr="00865312">
        <w:rPr>
          <w:rFonts w:cs="Arial"/>
          <w:rtl/>
        </w:rPr>
        <w:t xml:space="preserve"> אסור זה ר"ל כמו זה שאמרנו שאם נדר בצדקה לקיים מצוה חייב באותה צדקה אבל בית דין אין מוציאין ממנו</w:t>
      </w:r>
      <w:r w:rsidR="00154C40">
        <w:rPr>
          <w:rStyle w:val="ab"/>
          <w:rFonts w:cs="Arial"/>
          <w:rtl/>
        </w:rPr>
        <w:footnoteReference w:id="1319"/>
      </w:r>
      <w:r w:rsidRPr="00865312">
        <w:rPr>
          <w:rFonts w:cs="Arial"/>
          <w:rtl/>
        </w:rPr>
        <w:t xml:space="preserve">. </w:t>
      </w:r>
      <w:r w:rsidR="00F53C23" w:rsidRPr="004730AC">
        <w:rPr>
          <w:rFonts w:cs="Arial" w:hint="cs"/>
          <w:color w:val="E36C0A" w:themeColor="accent6" w:themeShade="BF"/>
          <w:rtl/>
        </w:rPr>
        <w:t>(וכ"פ בשו"ע)</w:t>
      </w:r>
    </w:p>
    <w:p w14:paraId="0C348459" w14:textId="77777777" w:rsidR="00865312" w:rsidRPr="00865312" w:rsidRDefault="00865312" w:rsidP="00865312">
      <w:pPr>
        <w:ind w:left="360"/>
        <w:rPr>
          <w:rFonts w:cs="Arial"/>
          <w:u w:val="dotted"/>
        </w:rPr>
      </w:pPr>
      <w:r>
        <w:rPr>
          <w:rFonts w:cs="Arial" w:hint="cs"/>
          <w:u w:val="dotted"/>
          <w:rtl/>
        </w:rPr>
        <w:t xml:space="preserve">ומה דין </w:t>
      </w:r>
      <w:r w:rsidRPr="00865312">
        <w:rPr>
          <w:rFonts w:cs="Arial" w:hint="cs"/>
          <w:u w:val="dotted"/>
          <w:rtl/>
        </w:rPr>
        <w:t>המקבל על עצמו בשטר שיוכל לגבות חובו בין בדיני ישראל ובין בדיני גוים:</w:t>
      </w:r>
    </w:p>
    <w:p w14:paraId="55C5F0EB" w14:textId="77777777" w:rsidR="00865312" w:rsidRDefault="00F53C23" w:rsidP="004B0475">
      <w:pPr>
        <w:pStyle w:val="ac"/>
        <w:numPr>
          <w:ilvl w:val="0"/>
          <w:numId w:val="37"/>
        </w:numPr>
        <w:rPr>
          <w:rFonts w:cs="Arial"/>
        </w:rPr>
      </w:pPr>
      <w:r w:rsidRPr="00865312">
        <w:rPr>
          <w:rFonts w:cs="Arial"/>
          <w:rtl/>
        </w:rPr>
        <w:t xml:space="preserve">בעל התרומות </w:t>
      </w:r>
      <w:r w:rsidRPr="00865312">
        <w:rPr>
          <w:rFonts w:cs="Arial" w:hint="cs"/>
          <w:sz w:val="16"/>
          <w:szCs w:val="16"/>
          <w:rtl/>
        </w:rPr>
        <w:t>(</w:t>
      </w:r>
      <w:r>
        <w:rPr>
          <w:rFonts w:cs="Arial" w:hint="cs"/>
          <w:sz w:val="16"/>
          <w:szCs w:val="16"/>
          <w:rtl/>
        </w:rPr>
        <w:t>להב' הטור</w:t>
      </w:r>
      <w:r w:rsidRPr="00865312">
        <w:rPr>
          <w:rFonts w:cs="Arial"/>
          <w:sz w:val="16"/>
          <w:szCs w:val="16"/>
          <w:rtl/>
        </w:rPr>
        <w:t>)</w:t>
      </w:r>
      <w:r w:rsidR="00555915" w:rsidRPr="00865312">
        <w:rPr>
          <w:rFonts w:cs="Arial" w:hint="cs"/>
          <w:rtl/>
        </w:rPr>
        <w:t>-</w:t>
      </w:r>
      <w:r w:rsidR="007C1CCE" w:rsidRPr="00865312">
        <w:rPr>
          <w:rFonts w:cs="Arial" w:hint="cs"/>
          <w:rtl/>
        </w:rPr>
        <w:t xml:space="preserve"> </w:t>
      </w:r>
      <w:r w:rsidR="00555915" w:rsidRPr="00865312">
        <w:rPr>
          <w:rFonts w:cs="Arial"/>
          <w:rtl/>
        </w:rPr>
        <w:t>ומכאן</w:t>
      </w:r>
      <w:r w:rsidR="00865312">
        <w:rPr>
          <w:rStyle w:val="ab"/>
          <w:rFonts w:cs="Arial"/>
          <w:rtl/>
        </w:rPr>
        <w:footnoteReference w:id="1320"/>
      </w:r>
      <w:r w:rsidR="00555915" w:rsidRPr="00865312">
        <w:rPr>
          <w:rFonts w:cs="Arial"/>
          <w:rtl/>
        </w:rPr>
        <w:t xml:space="preserve"> אני אומר הואיל וכותבין בשטרי חוב שיוכל לגבות חובו בין בדיני ישראל בין בדיני </w:t>
      </w:r>
      <w:r w:rsidR="00BF2449">
        <w:rPr>
          <w:rFonts w:cs="Arial" w:hint="cs"/>
          <w:rtl/>
        </w:rPr>
        <w:t>גוים</w:t>
      </w:r>
      <w:r w:rsidR="00555915" w:rsidRPr="00865312">
        <w:rPr>
          <w:rFonts w:cs="Arial"/>
          <w:rtl/>
        </w:rPr>
        <w:t xml:space="preserve"> </w:t>
      </w:r>
      <w:r w:rsidR="00071047">
        <w:rPr>
          <w:rFonts w:cs="Arial" w:hint="cs"/>
          <w:rtl/>
        </w:rPr>
        <w:t xml:space="preserve">- </w:t>
      </w:r>
      <w:r w:rsidR="00555915" w:rsidRPr="00865312">
        <w:rPr>
          <w:rFonts w:cs="Arial"/>
          <w:rtl/>
        </w:rPr>
        <w:t xml:space="preserve">רשאי להביא לפני דייני </w:t>
      </w:r>
      <w:r w:rsidR="00BF2449">
        <w:rPr>
          <w:rFonts w:cs="Arial" w:hint="cs"/>
          <w:rtl/>
        </w:rPr>
        <w:t>גוים</w:t>
      </w:r>
      <w:r w:rsidR="00555915" w:rsidRPr="00865312">
        <w:rPr>
          <w:rFonts w:cs="Arial"/>
          <w:rtl/>
        </w:rPr>
        <w:t xml:space="preserve"> בזמן שאינו יכול לכופו בדיני ישראל</w:t>
      </w:r>
      <w:r w:rsidR="00BF2449">
        <w:rPr>
          <w:rFonts w:cs="Arial" w:hint="cs"/>
          <w:rtl/>
        </w:rPr>
        <w:t>,</w:t>
      </w:r>
      <w:r w:rsidR="00555915" w:rsidRPr="00865312">
        <w:rPr>
          <w:rFonts w:cs="Arial"/>
          <w:rtl/>
        </w:rPr>
        <w:t xml:space="preserve"> כגון שעברה עליו שמיטה וכיוצא בזה</w:t>
      </w:r>
      <w:r w:rsidR="007C1CCE" w:rsidRPr="00865312">
        <w:rPr>
          <w:rFonts w:cs="Arial" w:hint="cs"/>
          <w:rtl/>
        </w:rPr>
        <w:t>,</w:t>
      </w:r>
      <w:r w:rsidR="00555915" w:rsidRPr="00865312">
        <w:rPr>
          <w:rFonts w:cs="Arial"/>
          <w:rtl/>
        </w:rPr>
        <w:t xml:space="preserve"> שהרי קנו מידו</w:t>
      </w:r>
      <w:r w:rsidR="00071047">
        <w:rPr>
          <w:rFonts w:cs="Arial" w:hint="cs"/>
          <w:rtl/>
        </w:rPr>
        <w:t>.</w:t>
      </w:r>
      <w:r w:rsidR="00555915" w:rsidRPr="00865312">
        <w:rPr>
          <w:rFonts w:cs="Arial"/>
          <w:rtl/>
        </w:rPr>
        <w:t xml:space="preserve"> אבל בזמן שיכול לכופו בדיני ישראל כמו בדיני </w:t>
      </w:r>
      <w:r w:rsidR="00BF2449">
        <w:rPr>
          <w:rFonts w:cs="Arial" w:hint="cs"/>
          <w:rtl/>
        </w:rPr>
        <w:t>גוי</w:t>
      </w:r>
      <w:r w:rsidR="00555915" w:rsidRPr="00865312">
        <w:rPr>
          <w:rFonts w:cs="Arial"/>
          <w:rtl/>
        </w:rPr>
        <w:t>ם היה</w:t>
      </w:r>
      <w:r w:rsidR="00071047">
        <w:rPr>
          <w:rFonts w:cs="Arial" w:hint="cs"/>
          <w:rtl/>
        </w:rPr>
        <w:t xml:space="preserve"> -</w:t>
      </w:r>
      <w:r w:rsidR="00555915" w:rsidRPr="00865312">
        <w:rPr>
          <w:rFonts w:cs="Arial"/>
          <w:rtl/>
        </w:rPr>
        <w:t xml:space="preserve"> אסור להביאו בפני </w:t>
      </w:r>
      <w:r w:rsidR="00BF2449">
        <w:rPr>
          <w:rFonts w:cs="Arial" w:hint="cs"/>
          <w:rtl/>
        </w:rPr>
        <w:t>גוי</w:t>
      </w:r>
      <w:r w:rsidR="00555915" w:rsidRPr="00865312">
        <w:rPr>
          <w:rFonts w:cs="Arial"/>
          <w:rtl/>
        </w:rPr>
        <w:t>ם</w:t>
      </w:r>
      <w:r w:rsidR="007C1CCE" w:rsidRPr="00865312">
        <w:rPr>
          <w:rFonts w:cs="Arial" w:hint="cs"/>
          <w:rtl/>
        </w:rPr>
        <w:t>,</w:t>
      </w:r>
      <w:r w:rsidR="00555915" w:rsidRPr="00865312">
        <w:rPr>
          <w:rFonts w:cs="Arial"/>
          <w:rtl/>
        </w:rPr>
        <w:t xml:space="preserve"> והקנין אינו כלום שאינו אלא קנין דברים</w:t>
      </w:r>
      <w:r w:rsidR="007C1CCE">
        <w:rPr>
          <w:rStyle w:val="ab"/>
          <w:rFonts w:cs="Arial"/>
          <w:rtl/>
        </w:rPr>
        <w:footnoteReference w:id="1321"/>
      </w:r>
      <w:r w:rsidR="007C1CCE" w:rsidRPr="00865312">
        <w:rPr>
          <w:rFonts w:cs="Arial" w:hint="cs"/>
          <w:rtl/>
        </w:rPr>
        <w:t>,</w:t>
      </w:r>
      <w:r w:rsidR="00555915" w:rsidRPr="00865312">
        <w:rPr>
          <w:rFonts w:cs="Arial"/>
          <w:rtl/>
        </w:rPr>
        <w:t xml:space="preserve"> וכמו שהקנין אינו כלום גם הקנס שהתנה על עצמו בשביל הקנין אינו כלום ואין מוציאים ממנו בב"ד</w:t>
      </w:r>
      <w:r w:rsidR="00071047">
        <w:rPr>
          <w:rFonts w:cs="Arial" w:hint="cs"/>
          <w:rtl/>
        </w:rPr>
        <w:t>.</w:t>
      </w:r>
      <w:r w:rsidR="00555915" w:rsidRPr="00865312">
        <w:rPr>
          <w:rFonts w:cs="Arial"/>
          <w:rtl/>
        </w:rPr>
        <w:t xml:space="preserve"> אלא שאם התנה על עצמו להתחייב כך וכך לעניים או לב"ה מודיעין אותו שחל הנדר עליו</w:t>
      </w:r>
      <w:r w:rsidR="00071047">
        <w:rPr>
          <w:rFonts w:cs="Arial" w:hint="cs"/>
          <w:rtl/>
        </w:rPr>
        <w:t>,</w:t>
      </w:r>
      <w:r w:rsidR="00555915" w:rsidRPr="00865312">
        <w:rPr>
          <w:rFonts w:cs="Arial"/>
          <w:rtl/>
        </w:rPr>
        <w:t xml:space="preserve"> ואומרים לו עליך ליתן מדעתך מה שפסקת על עצמך</w:t>
      </w:r>
      <w:r w:rsidR="00071047">
        <w:rPr>
          <w:rFonts w:cs="Arial" w:hint="cs"/>
          <w:rtl/>
        </w:rPr>
        <w:t>.</w:t>
      </w:r>
      <w:r w:rsidR="00555915" w:rsidRPr="00865312">
        <w:rPr>
          <w:rFonts w:cs="Arial"/>
          <w:rtl/>
        </w:rPr>
        <w:t xml:space="preserve"> כי זה הוא כמו נדר שאם לא יחלל שבת יתן מנה לעניים</w:t>
      </w:r>
      <w:r w:rsidR="00071047">
        <w:rPr>
          <w:rFonts w:cs="Arial" w:hint="cs"/>
          <w:rtl/>
        </w:rPr>
        <w:t>,</w:t>
      </w:r>
      <w:r w:rsidR="00555915" w:rsidRPr="00865312">
        <w:rPr>
          <w:rFonts w:cs="Arial"/>
          <w:rtl/>
        </w:rPr>
        <w:t xml:space="preserve"> שהוא חייב לשמור את השבת וליתן מנה לעניים</w:t>
      </w:r>
      <w:r w:rsidR="00071047">
        <w:rPr>
          <w:rFonts w:cs="Arial" w:hint="cs"/>
          <w:rtl/>
        </w:rPr>
        <w:t>.</w:t>
      </w:r>
      <w:r w:rsidR="00555915" w:rsidRPr="00865312">
        <w:rPr>
          <w:rFonts w:cs="Arial"/>
          <w:rtl/>
        </w:rPr>
        <w:t xml:space="preserve"> בקיום מצוה חייב באותו מנה אבל אין בית דין מחייבין אותו ע</w:t>
      </w:r>
      <w:r w:rsidR="007C1CCE" w:rsidRPr="00865312">
        <w:rPr>
          <w:rFonts w:cs="Arial" w:hint="cs"/>
          <w:rtl/>
        </w:rPr>
        <w:t xml:space="preserve">ל </w:t>
      </w:r>
      <w:r w:rsidR="00555915" w:rsidRPr="00865312">
        <w:rPr>
          <w:rFonts w:cs="Arial"/>
          <w:rtl/>
        </w:rPr>
        <w:t>כ</w:t>
      </w:r>
      <w:r w:rsidR="007C1CCE" w:rsidRPr="00865312">
        <w:rPr>
          <w:rFonts w:cs="Arial" w:hint="cs"/>
          <w:rtl/>
        </w:rPr>
        <w:t>ורחו</w:t>
      </w:r>
      <w:r>
        <w:rPr>
          <w:rFonts w:cs="Arial" w:hint="cs"/>
          <w:sz w:val="16"/>
          <w:szCs w:val="16"/>
          <w:rtl/>
        </w:rPr>
        <w:t xml:space="preserve"> (ל' הטור בהב' דברי בעל התרומות)</w:t>
      </w:r>
      <w:r w:rsidR="007C1CCE" w:rsidRPr="00865312">
        <w:rPr>
          <w:rFonts w:cs="Arial" w:hint="cs"/>
          <w:rtl/>
        </w:rPr>
        <w:t>.</w:t>
      </w:r>
    </w:p>
    <w:p w14:paraId="25B8561E" w14:textId="77777777" w:rsidR="00555915" w:rsidRPr="00865312" w:rsidRDefault="00555915" w:rsidP="004B0475">
      <w:pPr>
        <w:pStyle w:val="ac"/>
        <w:numPr>
          <w:ilvl w:val="0"/>
          <w:numId w:val="37"/>
        </w:numPr>
        <w:rPr>
          <w:rFonts w:cs="Arial"/>
          <w:rtl/>
        </w:rPr>
      </w:pPr>
      <w:r w:rsidRPr="00865312">
        <w:rPr>
          <w:rFonts w:cs="Arial"/>
          <w:rtl/>
        </w:rPr>
        <w:lastRenderedPageBreak/>
        <w:t>רא"ש</w:t>
      </w:r>
      <w:r w:rsidR="00071047">
        <w:rPr>
          <w:rFonts w:cs="Arial" w:hint="cs"/>
          <w:rtl/>
        </w:rPr>
        <w:t xml:space="preserve"> טור</w:t>
      </w:r>
      <w:r w:rsidRPr="00865312">
        <w:rPr>
          <w:rFonts w:cs="Arial"/>
          <w:rtl/>
        </w:rPr>
        <w:t xml:space="preserve"> </w:t>
      </w:r>
      <w:r w:rsidR="007C1CCE" w:rsidRPr="00865312">
        <w:rPr>
          <w:rFonts w:cs="Arial"/>
          <w:rtl/>
        </w:rPr>
        <w:t xml:space="preserve">ר"ן </w:t>
      </w:r>
      <w:r w:rsidR="003A121C">
        <w:rPr>
          <w:rFonts w:cs="Arial" w:hint="cs"/>
          <w:rtl/>
        </w:rPr>
        <w:t>ותרוה"ד</w:t>
      </w:r>
      <w:r w:rsidR="003A121C">
        <w:rPr>
          <w:rStyle w:val="ab"/>
          <w:rFonts w:cs="Arial"/>
          <w:rtl/>
        </w:rPr>
        <w:footnoteReference w:id="1322"/>
      </w:r>
      <w:r w:rsidR="007C1CCE" w:rsidRPr="00865312">
        <w:rPr>
          <w:rFonts w:cs="Arial" w:hint="cs"/>
          <w:rtl/>
        </w:rPr>
        <w:t xml:space="preserve">- </w:t>
      </w:r>
      <w:r w:rsidR="00F24358">
        <w:rPr>
          <w:rStyle w:val="ab"/>
          <w:rFonts w:cs="Arial"/>
          <w:rtl/>
        </w:rPr>
        <w:footnoteReference w:id="1323"/>
      </w:r>
      <w:r w:rsidRPr="00865312">
        <w:rPr>
          <w:rFonts w:cs="Arial"/>
          <w:rtl/>
        </w:rPr>
        <w:t>א</w:t>
      </w:r>
      <w:r w:rsidR="007C1CCE" w:rsidRPr="00865312">
        <w:rPr>
          <w:rFonts w:cs="Arial" w:hint="cs"/>
          <w:rtl/>
        </w:rPr>
        <w:t>ע"פ</w:t>
      </w:r>
      <w:r w:rsidRPr="00865312">
        <w:rPr>
          <w:rFonts w:cs="Arial"/>
          <w:rtl/>
        </w:rPr>
        <w:t xml:space="preserve"> שכתב בשטר לדון בדיני </w:t>
      </w:r>
      <w:r w:rsidR="00865312" w:rsidRPr="00865312">
        <w:rPr>
          <w:rFonts w:cs="Arial" w:hint="cs"/>
          <w:rtl/>
        </w:rPr>
        <w:t>גוי</w:t>
      </w:r>
      <w:r w:rsidRPr="00865312">
        <w:rPr>
          <w:rFonts w:cs="Arial"/>
          <w:rtl/>
        </w:rPr>
        <w:t>ם אין בכלל זה שלא ישמט</w:t>
      </w:r>
      <w:r w:rsidR="003A121C" w:rsidRPr="003A121C">
        <w:rPr>
          <w:rStyle w:val="ab"/>
          <w:rFonts w:cs="Arial"/>
          <w:rtl/>
        </w:rPr>
        <w:footnoteReference w:id="1324"/>
      </w:r>
      <w:r w:rsidR="00865312" w:rsidRPr="00865312">
        <w:rPr>
          <w:rFonts w:cs="Arial" w:hint="cs"/>
          <w:rtl/>
        </w:rPr>
        <w:t>,</w:t>
      </w:r>
      <w:r w:rsidRPr="00865312">
        <w:rPr>
          <w:rFonts w:cs="Arial"/>
          <w:rtl/>
        </w:rPr>
        <w:t xml:space="preserve"> שאין הכוונה בזה אלא שאם הוא אלם ולא ציית דינא שמקבל על עצמו </w:t>
      </w:r>
      <w:r w:rsidR="00865312" w:rsidRPr="00865312">
        <w:rPr>
          <w:rFonts w:cs="Arial" w:hint="cs"/>
          <w:rtl/>
        </w:rPr>
        <w:t xml:space="preserve">- </w:t>
      </w:r>
      <w:r w:rsidRPr="00865312">
        <w:rPr>
          <w:rFonts w:cs="Arial"/>
          <w:rtl/>
        </w:rPr>
        <w:t xml:space="preserve">שיכריחוהו בדיני </w:t>
      </w:r>
      <w:r w:rsidR="00865312" w:rsidRPr="00865312">
        <w:rPr>
          <w:rFonts w:cs="Arial" w:hint="cs"/>
          <w:rtl/>
        </w:rPr>
        <w:t>גוי</w:t>
      </w:r>
      <w:r w:rsidRPr="00865312">
        <w:rPr>
          <w:rFonts w:cs="Arial"/>
          <w:rtl/>
        </w:rPr>
        <w:t>ם</w:t>
      </w:r>
      <w:r w:rsidR="00865312" w:rsidRPr="00865312">
        <w:rPr>
          <w:rFonts w:cs="Arial" w:hint="cs"/>
          <w:rtl/>
        </w:rPr>
        <w:t>,</w:t>
      </w:r>
      <w:r w:rsidRPr="00865312">
        <w:rPr>
          <w:rFonts w:cs="Arial"/>
          <w:rtl/>
        </w:rPr>
        <w:t xml:space="preserve"> אבל לא שיעבור על דברי התורה</w:t>
      </w:r>
      <w:r w:rsidR="00071047">
        <w:rPr>
          <w:rFonts w:cs="Arial" w:hint="cs"/>
          <w:sz w:val="16"/>
          <w:szCs w:val="16"/>
          <w:rtl/>
        </w:rPr>
        <w:t xml:space="preserve"> (ל' הטור בשם הרא"ש)</w:t>
      </w:r>
      <w:r w:rsidR="007C1CCE" w:rsidRPr="00865312">
        <w:rPr>
          <w:rFonts w:cs="Arial" w:hint="cs"/>
          <w:rtl/>
        </w:rPr>
        <w:t>.</w:t>
      </w:r>
      <w:r w:rsidR="004F5254">
        <w:rPr>
          <w:rFonts w:cs="Arial" w:hint="cs"/>
          <w:rtl/>
        </w:rPr>
        <w:t xml:space="preserve"> </w:t>
      </w:r>
      <w:r w:rsidR="004F5254" w:rsidRPr="001F7EF8">
        <w:rPr>
          <w:rFonts w:hint="cs"/>
          <w:color w:val="E36C0A" w:themeColor="accent6" w:themeShade="BF"/>
          <w:rtl/>
        </w:rPr>
        <w:t>(וכ"פ בשו"ע</w:t>
      </w:r>
      <w:r w:rsidR="004F5254" w:rsidRPr="004F5254">
        <w:rPr>
          <w:rFonts w:hint="cs"/>
          <w:color w:val="000000" w:themeColor="text1"/>
          <w:sz w:val="16"/>
          <w:szCs w:val="16"/>
          <w:rtl/>
        </w:rPr>
        <w:t xml:space="preserve"> [בסע' הבא]</w:t>
      </w:r>
      <w:r w:rsidR="004F5254" w:rsidRPr="001F7EF8">
        <w:rPr>
          <w:rFonts w:hint="cs"/>
          <w:color w:val="E36C0A" w:themeColor="accent6" w:themeShade="BF"/>
          <w:rtl/>
        </w:rPr>
        <w:t>)</w:t>
      </w:r>
    </w:p>
    <w:p w14:paraId="2BCC8235" w14:textId="77777777" w:rsidR="00E137BC" w:rsidRPr="00576D5C" w:rsidRDefault="00E137BC" w:rsidP="00576D5C">
      <w:pPr>
        <w:rPr>
          <w:rFonts w:asciiTheme="minorBidi" w:hAnsiTheme="minorBidi"/>
          <w:b/>
          <w:bCs/>
          <w:color w:val="000000"/>
          <w:sz w:val="28"/>
          <w:szCs w:val="28"/>
          <w:u w:val="single"/>
          <w:rtl/>
        </w:rPr>
      </w:pPr>
      <w:r w:rsidRPr="00576D5C">
        <w:rPr>
          <w:rFonts w:asciiTheme="minorBidi" w:hAnsiTheme="minorBidi"/>
          <w:b/>
          <w:bCs/>
          <w:color w:val="000000"/>
          <w:sz w:val="28"/>
          <w:szCs w:val="28"/>
          <w:u w:val="single"/>
          <w:rtl/>
        </w:rPr>
        <w:t>שו"ע:</w:t>
      </w:r>
    </w:p>
    <w:p w14:paraId="5FAC05C4" w14:textId="77777777" w:rsidR="00E137BC" w:rsidRDefault="00E137BC" w:rsidP="00576D5C">
      <w:pPr>
        <w:rPr>
          <w:rFonts w:asciiTheme="minorBidi" w:hAnsiTheme="minorBidi"/>
          <w:rtl/>
        </w:rPr>
      </w:pPr>
      <w:r w:rsidRPr="00576D5C">
        <w:rPr>
          <w:rFonts w:asciiTheme="minorBidi" w:hAnsiTheme="minorBidi"/>
          <w:rtl/>
        </w:rPr>
        <w:t>המקבל עליו בקנין לידון</w:t>
      </w:r>
      <w:r w:rsidR="00B75297">
        <w:rPr>
          <w:rStyle w:val="ab"/>
          <w:rFonts w:asciiTheme="minorBidi" w:hAnsiTheme="minorBidi"/>
          <w:rtl/>
        </w:rPr>
        <w:footnoteReference w:id="1325"/>
      </w:r>
      <w:r w:rsidRPr="00576D5C">
        <w:rPr>
          <w:rFonts w:asciiTheme="minorBidi" w:hAnsiTheme="minorBidi"/>
          <w:rtl/>
        </w:rPr>
        <w:t xml:space="preserve"> עם חבירו לפני </w:t>
      </w:r>
      <w:r w:rsidR="005A48CF">
        <w:rPr>
          <w:rFonts w:asciiTheme="minorBidi" w:hAnsiTheme="minorBidi" w:hint="cs"/>
          <w:rtl/>
        </w:rPr>
        <w:t>גוים</w:t>
      </w:r>
      <w:r w:rsidR="00071047">
        <w:rPr>
          <w:rFonts w:asciiTheme="minorBidi" w:hAnsiTheme="minorBidi" w:hint="cs"/>
          <w:rtl/>
        </w:rPr>
        <w:t>,</w:t>
      </w:r>
      <w:r w:rsidRPr="00576D5C">
        <w:rPr>
          <w:rFonts w:asciiTheme="minorBidi" w:hAnsiTheme="minorBidi"/>
          <w:rtl/>
        </w:rPr>
        <w:t xml:space="preserve"> אינו כלום, ואסור לידון בפניהם</w:t>
      </w:r>
      <w:r w:rsidR="003A121C">
        <w:rPr>
          <w:rStyle w:val="ab"/>
          <w:rFonts w:asciiTheme="minorBidi" w:hAnsiTheme="minorBidi"/>
          <w:rtl/>
        </w:rPr>
        <w:footnoteReference w:id="1326"/>
      </w:r>
      <w:r w:rsidRPr="00576D5C">
        <w:rPr>
          <w:rFonts w:asciiTheme="minorBidi" w:hAnsiTheme="minorBidi"/>
          <w:rtl/>
        </w:rPr>
        <w:t xml:space="preserve">. ואם קבל עליו שאם לא ילך בפניהם יהיה עליו כך וכך לעניים, אסור לילך לדון עמו לפני </w:t>
      </w:r>
      <w:r w:rsidR="005A48CF">
        <w:rPr>
          <w:rFonts w:asciiTheme="minorBidi" w:hAnsiTheme="minorBidi" w:hint="cs"/>
          <w:rtl/>
        </w:rPr>
        <w:t>גוים</w:t>
      </w:r>
      <w:r w:rsidRPr="00576D5C">
        <w:rPr>
          <w:rFonts w:asciiTheme="minorBidi" w:hAnsiTheme="minorBidi"/>
          <w:rtl/>
        </w:rPr>
        <w:t xml:space="preserve"> וחייב ליתן מה שקיבל עליו לעניים</w:t>
      </w:r>
      <w:r w:rsidR="003A121C">
        <w:rPr>
          <w:rStyle w:val="ab"/>
          <w:rFonts w:asciiTheme="minorBidi" w:hAnsiTheme="minorBidi"/>
          <w:rtl/>
        </w:rPr>
        <w:footnoteReference w:id="1327"/>
      </w:r>
      <w:r w:rsidRPr="00576D5C">
        <w:rPr>
          <w:rFonts w:asciiTheme="minorBidi" w:hAnsiTheme="minorBidi"/>
          <w:rtl/>
        </w:rPr>
        <w:t>. ויש מי שאומר</w:t>
      </w:r>
      <w:r w:rsidR="003A121C">
        <w:rPr>
          <w:rStyle w:val="ab"/>
          <w:rFonts w:asciiTheme="minorBidi" w:hAnsiTheme="minorBidi"/>
          <w:rtl/>
        </w:rPr>
        <w:footnoteReference w:id="1328"/>
      </w:r>
      <w:r w:rsidRPr="00576D5C">
        <w:rPr>
          <w:rFonts w:asciiTheme="minorBidi" w:hAnsiTheme="minorBidi"/>
          <w:rtl/>
        </w:rPr>
        <w:t xml:space="preserve"> שאין בית דין מוציאין ממנו, אלא מודיעין אותו שחל הנדר עליו. </w:t>
      </w:r>
    </w:p>
    <w:p w14:paraId="65661A3A" w14:textId="77777777" w:rsidR="005A48CF" w:rsidRPr="00576D5C" w:rsidRDefault="005A48CF" w:rsidP="00576D5C">
      <w:pPr>
        <w:rPr>
          <w:rFonts w:asciiTheme="minorBidi" w:hAnsiTheme="minorBidi"/>
          <w:rtl/>
        </w:rPr>
      </w:pPr>
    </w:p>
    <w:p w14:paraId="1908FDBC" w14:textId="77777777" w:rsidR="00E137BC" w:rsidRDefault="00E137BC" w:rsidP="006567B0">
      <w:pPr>
        <w:pStyle w:val="2"/>
        <w:rPr>
          <w:rtl/>
        </w:rPr>
      </w:pPr>
      <w:bookmarkStart w:id="191" w:name="_Toc24883670"/>
      <w:r w:rsidRPr="00576D5C">
        <w:rPr>
          <w:rtl/>
        </w:rPr>
        <w:t>סעיף ד</w:t>
      </w:r>
      <w:r w:rsidR="005A48CF">
        <w:rPr>
          <w:rFonts w:hint="cs"/>
          <w:rtl/>
        </w:rPr>
        <w:t>:</w:t>
      </w:r>
      <w:r w:rsidR="004E0716" w:rsidRPr="004E0716">
        <w:rPr>
          <w:rFonts w:asciiTheme="minorBidi" w:hAnsiTheme="minorBidi"/>
          <w:rtl/>
        </w:rPr>
        <w:t xml:space="preserve"> </w:t>
      </w:r>
      <w:r w:rsidR="004E0716" w:rsidRPr="00576D5C">
        <w:rPr>
          <w:rFonts w:asciiTheme="minorBidi" w:hAnsiTheme="minorBidi"/>
          <w:rtl/>
        </w:rPr>
        <w:t xml:space="preserve">שטר שכתוב שיוכל לתבעו בדיני </w:t>
      </w:r>
      <w:r w:rsidR="004E0716">
        <w:rPr>
          <w:rFonts w:asciiTheme="minorBidi" w:hAnsiTheme="minorBidi" w:hint="cs"/>
          <w:rtl/>
        </w:rPr>
        <w:t>הגוים</w:t>
      </w:r>
      <w:r w:rsidR="004E0716">
        <w:rPr>
          <w:rFonts w:hint="cs"/>
          <w:rtl/>
        </w:rPr>
        <w:t>.</w:t>
      </w:r>
      <w:bookmarkEnd w:id="191"/>
    </w:p>
    <w:p w14:paraId="08FAE6E6" w14:textId="77777777" w:rsidR="001F7EF8" w:rsidRPr="001F7EF8" w:rsidRDefault="001F7EF8" w:rsidP="001F7EF8">
      <w:pPr>
        <w:rPr>
          <w:rFonts w:cs="Arial"/>
          <w:u w:val="single"/>
          <w:rtl/>
        </w:rPr>
      </w:pPr>
      <w:r w:rsidRPr="001F7EF8">
        <w:rPr>
          <w:rFonts w:cs="Arial"/>
          <w:u w:val="single"/>
          <w:rtl/>
        </w:rPr>
        <w:t xml:space="preserve">שטרות שמקבלין על עצמן הלוה למלוה לדון ולהתחייב בדיני </w:t>
      </w:r>
      <w:r w:rsidRPr="001F7EF8">
        <w:rPr>
          <w:rFonts w:cs="Arial" w:hint="cs"/>
          <w:u w:val="single"/>
          <w:rtl/>
        </w:rPr>
        <w:t>הגוים</w:t>
      </w:r>
      <w:r w:rsidRPr="001F7EF8">
        <w:rPr>
          <w:rFonts w:cs="Arial"/>
          <w:u w:val="single"/>
          <w:rtl/>
        </w:rPr>
        <w:t xml:space="preserve"> ודין המלכות לענוש נכסין בכפל וכיוצ</w:t>
      </w:r>
      <w:r w:rsidRPr="001F7EF8">
        <w:rPr>
          <w:rFonts w:cs="Arial" w:hint="cs"/>
          <w:u w:val="single"/>
          <w:rtl/>
        </w:rPr>
        <w:t>"ב:</w:t>
      </w:r>
    </w:p>
    <w:p w14:paraId="1C78B19D" w14:textId="77777777" w:rsidR="00EF731B" w:rsidRPr="001F7EF8" w:rsidRDefault="00EF731B" w:rsidP="004B0475">
      <w:pPr>
        <w:pStyle w:val="ac"/>
        <w:numPr>
          <w:ilvl w:val="0"/>
          <w:numId w:val="39"/>
        </w:numPr>
        <w:rPr>
          <w:rFonts w:cs="Arial"/>
          <w:rtl/>
        </w:rPr>
      </w:pPr>
      <w:r w:rsidRPr="001F7EF8">
        <w:rPr>
          <w:rFonts w:cs="Arial" w:hint="cs"/>
          <w:rtl/>
        </w:rPr>
        <w:t xml:space="preserve">רא"ש </w:t>
      </w:r>
      <w:r w:rsidRPr="001F7EF8">
        <w:rPr>
          <w:rFonts w:cs="Arial" w:hint="cs"/>
          <w:sz w:val="16"/>
          <w:szCs w:val="16"/>
          <w:rtl/>
        </w:rPr>
        <w:t>(כלל יח סי' ד)</w:t>
      </w:r>
      <w:r w:rsidRPr="001F7EF8">
        <w:rPr>
          <w:rFonts w:cs="Arial" w:hint="cs"/>
          <w:rtl/>
        </w:rPr>
        <w:t xml:space="preserve">- </w:t>
      </w:r>
      <w:r w:rsidRPr="001F7EF8">
        <w:rPr>
          <w:rFonts w:cs="Arial"/>
          <w:rtl/>
        </w:rPr>
        <w:t>וששאלתם על השטרות שמקבלין על עצמן הלוה למלוה לדון ולהתחייב בדיני ישמעאלים</w:t>
      </w:r>
      <w:r w:rsidR="00071047">
        <w:rPr>
          <w:rFonts w:cs="Arial" w:hint="cs"/>
          <w:rtl/>
        </w:rPr>
        <w:t>.</w:t>
      </w:r>
      <w:r w:rsidRPr="001F7EF8">
        <w:rPr>
          <w:rFonts w:cs="Arial"/>
          <w:rtl/>
        </w:rPr>
        <w:t xml:space="preserve"> ודין המלכות לענוש נכסין בכפל וכיוצא בו ולאסרו עד זמן הפריעות. ועושין שטרות באלו התנאין בגופן של ישראל</w:t>
      </w:r>
      <w:r w:rsidR="00071047">
        <w:rPr>
          <w:rFonts w:cs="Arial" w:hint="cs"/>
          <w:rtl/>
        </w:rPr>
        <w:t>,</w:t>
      </w:r>
      <w:r w:rsidRPr="001F7EF8">
        <w:rPr>
          <w:rFonts w:cs="Arial"/>
          <w:rtl/>
        </w:rPr>
        <w:t xml:space="preserve"> ובאין באלו השטרות לפנינו לדין על הלווין כמו שקבלו על עצמם בתנאים אלו. אם נאמר שאין ראוי לדיין ישראל להכניס עצמו לדון שלא כדת ושישלחם לפני </w:t>
      </w:r>
      <w:r w:rsidR="001F7EF8">
        <w:rPr>
          <w:rFonts w:cs="Arial" w:hint="cs"/>
          <w:rtl/>
        </w:rPr>
        <w:t>גוים</w:t>
      </w:r>
      <w:r w:rsidRPr="001F7EF8">
        <w:rPr>
          <w:rFonts w:cs="Arial"/>
          <w:rtl/>
        </w:rPr>
        <w:t xml:space="preserve"> לערכאות שלהם להשלים מה שקבלו על עצמן בדיניהם</w:t>
      </w:r>
      <w:r w:rsidR="004F5254">
        <w:rPr>
          <w:rFonts w:cs="Arial" w:hint="cs"/>
          <w:rtl/>
        </w:rPr>
        <w:t>,</w:t>
      </w:r>
      <w:r w:rsidRPr="001F7EF8">
        <w:rPr>
          <w:rFonts w:cs="Arial"/>
          <w:rtl/>
        </w:rPr>
        <w:t xml:space="preserve"> או אם יש יכולת בידינו להכריחם לדון בדיני ישראל לדחות כל התנאים שהתנו הלווין על עצמן כיון שאינו ע</w:t>
      </w:r>
      <w:r w:rsidR="001F7EF8">
        <w:rPr>
          <w:rFonts w:cs="Arial" w:hint="cs"/>
          <w:rtl/>
        </w:rPr>
        <w:t>"</w:t>
      </w:r>
      <w:r w:rsidRPr="001F7EF8">
        <w:rPr>
          <w:rFonts w:cs="Arial"/>
          <w:rtl/>
        </w:rPr>
        <w:t>פ התורה. תשובה</w:t>
      </w:r>
      <w:r w:rsidR="001F7EF8" w:rsidRPr="001F7EF8">
        <w:rPr>
          <w:rFonts w:cs="Arial" w:hint="cs"/>
          <w:rtl/>
        </w:rPr>
        <w:t>,</w:t>
      </w:r>
      <w:r w:rsidRPr="001F7EF8">
        <w:rPr>
          <w:rFonts w:cs="Arial"/>
          <w:rtl/>
        </w:rPr>
        <w:t xml:space="preserve"> דעו לכם שכתבתי כמה פעמים על שטרות שכתוב בהן בין בדיני ישראל בין בדיני </w:t>
      </w:r>
      <w:r w:rsidR="001F7EF8" w:rsidRPr="001F7EF8">
        <w:rPr>
          <w:rFonts w:cs="Arial" w:hint="cs"/>
          <w:rtl/>
        </w:rPr>
        <w:t>הגוים</w:t>
      </w:r>
      <w:r w:rsidRPr="001F7EF8">
        <w:rPr>
          <w:rFonts w:cs="Arial"/>
          <w:rtl/>
        </w:rPr>
        <w:t xml:space="preserve"> שלא נעשה תנאי זה אלא אם ידחה הנתבע עצמו שלא לירד עמו לדיני ישראל ויצטרך התובע לטרוח ולכופו ע"י דייני ישראל שיעשה לו דין</w:t>
      </w:r>
      <w:r w:rsidR="004D28E8">
        <w:rPr>
          <w:rFonts w:cs="Arial" w:hint="cs"/>
          <w:rtl/>
        </w:rPr>
        <w:t xml:space="preserve"> -</w:t>
      </w:r>
      <w:r w:rsidRPr="001F7EF8">
        <w:rPr>
          <w:rFonts w:cs="Arial"/>
          <w:rtl/>
        </w:rPr>
        <w:t xml:space="preserve"> אז יש לו רשות לתבעו בדיני </w:t>
      </w:r>
      <w:r w:rsidR="001F7EF8" w:rsidRPr="001F7EF8">
        <w:rPr>
          <w:rFonts w:cs="Arial" w:hint="cs"/>
          <w:rtl/>
        </w:rPr>
        <w:t>הגוים</w:t>
      </w:r>
      <w:r w:rsidRPr="001F7EF8">
        <w:rPr>
          <w:rFonts w:cs="Arial"/>
          <w:rtl/>
        </w:rPr>
        <w:t xml:space="preserve">. אבל כל זמן שאומר הנתבע אני מזומן לירד עמך בדיני ישראל ולעשות ככל אשר יצווני </w:t>
      </w:r>
      <w:r w:rsidR="004D28E8">
        <w:rPr>
          <w:rFonts w:cs="Arial" w:hint="cs"/>
          <w:rtl/>
        </w:rPr>
        <w:t xml:space="preserve">- </w:t>
      </w:r>
      <w:r w:rsidRPr="001F7EF8">
        <w:rPr>
          <w:rFonts w:cs="Arial"/>
          <w:rtl/>
        </w:rPr>
        <w:t xml:space="preserve">אין התובע רשאי להביאו לפני הערכאות. כי רבותינו תקנו לשון זה לשופרא דשטרא שלא יצטרך התובע להוציא מנה על מנה כדי לכופו שיעשה לו דין, אבל בעודו מזומן לעשות דין לפני דייני ישראל אין התובע רשאי להביאו לפני ערכאות. וגם דייני ישראל לא ידונו לו אלא דין תורה. </w:t>
      </w:r>
      <w:r w:rsidR="001F7EF8" w:rsidRPr="001F7EF8">
        <w:rPr>
          <w:rFonts w:hint="cs"/>
          <w:color w:val="E36C0A" w:themeColor="accent6" w:themeShade="BF"/>
          <w:rtl/>
        </w:rPr>
        <w:t>(וכ"פ בשו"ע)</w:t>
      </w:r>
    </w:p>
    <w:p w14:paraId="5D42A661" w14:textId="77777777" w:rsidR="00EF731B" w:rsidRPr="00EF731B" w:rsidRDefault="00EF731B" w:rsidP="00EF731B">
      <w:pPr>
        <w:rPr>
          <w:rFonts w:cs="Arial"/>
          <w:u w:val="single"/>
          <w:rtl/>
        </w:rPr>
      </w:pPr>
      <w:r w:rsidRPr="00EF731B">
        <w:rPr>
          <w:rFonts w:cs="Arial" w:hint="cs"/>
          <w:u w:val="single"/>
          <w:rtl/>
        </w:rPr>
        <w:t>ל</w:t>
      </w:r>
      <w:r w:rsidRPr="00EF731B">
        <w:rPr>
          <w:rFonts w:cs="Arial"/>
          <w:u w:val="single"/>
          <w:rtl/>
        </w:rPr>
        <w:t>ראובן</w:t>
      </w:r>
      <w:r w:rsidRPr="00EF731B">
        <w:rPr>
          <w:rFonts w:cs="Arial" w:hint="cs"/>
          <w:u w:val="single"/>
          <w:rtl/>
        </w:rPr>
        <w:t xml:space="preserve"> יש שטר חוב על </w:t>
      </w:r>
      <w:r w:rsidRPr="00EF731B">
        <w:rPr>
          <w:rFonts w:cs="Arial"/>
          <w:u w:val="single"/>
          <w:rtl/>
        </w:rPr>
        <w:t xml:space="preserve">שמעון וכתוב בו שיוכל לתובעו בין בדיני ישראל בין בדיני </w:t>
      </w:r>
      <w:r w:rsidRPr="00EF731B">
        <w:rPr>
          <w:rFonts w:cs="Arial" w:hint="cs"/>
          <w:u w:val="single"/>
          <w:rtl/>
        </w:rPr>
        <w:t>הגוים</w:t>
      </w:r>
      <w:r w:rsidRPr="00EF731B">
        <w:rPr>
          <w:rFonts w:cs="Arial"/>
          <w:u w:val="single"/>
          <w:rtl/>
        </w:rPr>
        <w:t xml:space="preserve">, </w:t>
      </w:r>
      <w:r w:rsidRPr="00EF731B">
        <w:rPr>
          <w:rFonts w:cs="Arial" w:hint="cs"/>
          <w:u w:val="single"/>
          <w:rtl/>
        </w:rPr>
        <w:t xml:space="preserve">והביא ראובן שטר זה לגוי: </w:t>
      </w:r>
    </w:p>
    <w:p w14:paraId="60F5C8FA" w14:textId="77777777" w:rsidR="005A48CF" w:rsidRPr="005A48CF" w:rsidRDefault="00EF731B" w:rsidP="004B0475">
      <w:pPr>
        <w:pStyle w:val="ac"/>
        <w:numPr>
          <w:ilvl w:val="0"/>
          <w:numId w:val="38"/>
        </w:numPr>
        <w:rPr>
          <w:rtl/>
        </w:rPr>
      </w:pPr>
      <w:r w:rsidRPr="00EF731B">
        <w:rPr>
          <w:rFonts w:cs="Arial" w:hint="cs"/>
          <w:rtl/>
        </w:rPr>
        <w:lastRenderedPageBreak/>
        <w:t xml:space="preserve">רא"ש </w:t>
      </w:r>
      <w:r w:rsidRPr="00EF731B">
        <w:rPr>
          <w:rFonts w:cs="Arial" w:hint="cs"/>
          <w:sz w:val="16"/>
          <w:szCs w:val="16"/>
          <w:rtl/>
        </w:rPr>
        <w:t>(כלל יח סי' ה)</w:t>
      </w:r>
      <w:r>
        <w:rPr>
          <w:rFonts w:cs="Arial" w:hint="cs"/>
          <w:rtl/>
        </w:rPr>
        <w:t xml:space="preserve"> וטור</w:t>
      </w:r>
      <w:r w:rsidRPr="00EF731B">
        <w:rPr>
          <w:rFonts w:cs="Arial" w:hint="cs"/>
          <w:rtl/>
        </w:rPr>
        <w:t xml:space="preserve">- </w:t>
      </w:r>
      <w:r w:rsidRPr="00EF731B">
        <w:rPr>
          <w:rFonts w:cs="Arial"/>
          <w:rtl/>
        </w:rPr>
        <w:t>שאלה</w:t>
      </w:r>
      <w:r w:rsidR="001F7EF8">
        <w:rPr>
          <w:rFonts w:cs="Arial" w:hint="cs"/>
          <w:rtl/>
        </w:rPr>
        <w:t>,</w:t>
      </w:r>
      <w:r w:rsidRPr="00EF731B">
        <w:rPr>
          <w:rFonts w:cs="Arial"/>
          <w:rtl/>
        </w:rPr>
        <w:t xml:space="preserve"> ראובן הי</w:t>
      </w:r>
      <w:r>
        <w:rPr>
          <w:rFonts w:cs="Arial" w:hint="cs"/>
          <w:rtl/>
        </w:rPr>
        <w:t>ה</w:t>
      </w:r>
      <w:r w:rsidRPr="00EF731B">
        <w:rPr>
          <w:rFonts w:cs="Arial"/>
          <w:rtl/>
        </w:rPr>
        <w:t xml:space="preserve"> לו שטר על שמעון וכתוב בו שיוכל לתובעו בין בדיני ישראל בין בדיני </w:t>
      </w:r>
      <w:r w:rsidRPr="00EF731B">
        <w:rPr>
          <w:rFonts w:cs="Arial" w:hint="cs"/>
          <w:rtl/>
        </w:rPr>
        <w:t>הגוים</w:t>
      </w:r>
      <w:r w:rsidR="004D28E8">
        <w:rPr>
          <w:rFonts w:cs="Arial" w:hint="cs"/>
          <w:rtl/>
        </w:rPr>
        <w:t>.</w:t>
      </w:r>
      <w:r w:rsidRPr="00EF731B">
        <w:rPr>
          <w:rFonts w:cs="Arial"/>
          <w:rtl/>
        </w:rPr>
        <w:t xml:space="preserve"> והיה על ראובן שטר חוב שנתחייב לכותי והלך ראובן ומסר שטרו שהיה לו על שמעון בפרעון שטרו. </w:t>
      </w:r>
      <w:r w:rsidRPr="00EF731B">
        <w:rPr>
          <w:rFonts w:cs="Arial" w:hint="cs"/>
          <w:rtl/>
        </w:rPr>
        <w:t>תשובה</w:t>
      </w:r>
      <w:r w:rsidR="001F7EF8">
        <w:rPr>
          <w:rFonts w:cs="Arial" w:hint="cs"/>
          <w:rtl/>
        </w:rPr>
        <w:t>,</w:t>
      </w:r>
      <w:r w:rsidRPr="00EF731B">
        <w:rPr>
          <w:rFonts w:cs="Arial" w:hint="cs"/>
          <w:rtl/>
        </w:rPr>
        <w:t xml:space="preserve"> </w:t>
      </w:r>
      <w:r w:rsidRPr="00EF731B">
        <w:rPr>
          <w:rFonts w:cs="Arial"/>
          <w:rtl/>
        </w:rPr>
        <w:t>יראה אע</w:t>
      </w:r>
      <w:r w:rsidRPr="00EF731B">
        <w:rPr>
          <w:rFonts w:cs="Arial" w:hint="cs"/>
          <w:rtl/>
        </w:rPr>
        <w:t>"</w:t>
      </w:r>
      <w:r w:rsidRPr="00EF731B">
        <w:rPr>
          <w:rFonts w:cs="Arial"/>
          <w:rtl/>
        </w:rPr>
        <w:t xml:space="preserve">פ שנהגו הסופרים לכתוב בשטרות בין בדיני ישראל בין בדיני </w:t>
      </w:r>
      <w:r w:rsidRPr="00EF731B">
        <w:rPr>
          <w:rFonts w:cs="Arial" w:hint="cs"/>
          <w:rtl/>
        </w:rPr>
        <w:t>הגוים</w:t>
      </w:r>
      <w:r w:rsidRPr="00EF731B">
        <w:rPr>
          <w:rFonts w:cs="Arial"/>
          <w:rtl/>
        </w:rPr>
        <w:t xml:space="preserve"> </w:t>
      </w:r>
      <w:r w:rsidR="004D28E8">
        <w:rPr>
          <w:rFonts w:cs="Arial" w:hint="cs"/>
          <w:rtl/>
        </w:rPr>
        <w:t xml:space="preserve">- </w:t>
      </w:r>
      <w:r w:rsidRPr="00EF731B">
        <w:rPr>
          <w:rFonts w:cs="Arial"/>
          <w:rtl/>
        </w:rPr>
        <w:t>כל כה</w:t>
      </w:r>
      <w:r w:rsidRPr="00EF731B">
        <w:rPr>
          <w:rFonts w:cs="Arial" w:hint="cs"/>
          <w:rtl/>
        </w:rPr>
        <w:t>"</w:t>
      </w:r>
      <w:r w:rsidRPr="00EF731B">
        <w:rPr>
          <w:rFonts w:cs="Arial"/>
          <w:rtl/>
        </w:rPr>
        <w:t xml:space="preserve">ג לא דרשינן לשון הדיוט ולומר שיוכל לתבעו בערכאות </w:t>
      </w:r>
      <w:r w:rsidRPr="00EF731B">
        <w:rPr>
          <w:rFonts w:cs="Arial" w:hint="cs"/>
          <w:rtl/>
        </w:rPr>
        <w:t>הגוים,</w:t>
      </w:r>
      <w:r w:rsidRPr="00EF731B">
        <w:rPr>
          <w:rFonts w:cs="Arial"/>
          <w:rtl/>
        </w:rPr>
        <w:t xml:space="preserve"> משום דעברה היא, אפילו בדין שדנין כמו ישראל ההולך לפני דייני </w:t>
      </w:r>
      <w:r w:rsidR="001F7EF8">
        <w:rPr>
          <w:rFonts w:cs="Arial" w:hint="cs"/>
          <w:rtl/>
        </w:rPr>
        <w:t>הגוים</w:t>
      </w:r>
      <w:r w:rsidRPr="00EF731B">
        <w:rPr>
          <w:rFonts w:cs="Arial"/>
          <w:rtl/>
        </w:rPr>
        <w:t xml:space="preserve"> מחלל שם שמים ומייקר שם עבודת אלילים. הילכך צריך לתבעו בדיני ישראל ואם הוא ציית דינא אין לו לילך לפני ערכאותיהם. ואם הוא ימסור שטרו להם הוא צריך לקבל עליו כל אונסא דמתיליד ללוה</w:t>
      </w:r>
      <w:r>
        <w:rPr>
          <w:rStyle w:val="ab"/>
          <w:rFonts w:cs="Arial"/>
          <w:rtl/>
        </w:rPr>
        <w:footnoteReference w:id="1329"/>
      </w:r>
      <w:r w:rsidRPr="00EF731B">
        <w:rPr>
          <w:rFonts w:cs="Arial"/>
          <w:rtl/>
        </w:rPr>
        <w:t xml:space="preserve"> אם יעבור עליו ה</w:t>
      </w:r>
      <w:r>
        <w:rPr>
          <w:rFonts w:cs="Arial" w:hint="cs"/>
          <w:rtl/>
        </w:rPr>
        <w:t>גוי</w:t>
      </w:r>
      <w:r w:rsidRPr="00EF731B">
        <w:rPr>
          <w:rFonts w:cs="Arial"/>
          <w:rtl/>
        </w:rPr>
        <w:t xml:space="preserve"> את הדרך ויוציא ממנו יותר ממה שהיה הישראל יכול להוציא ממנו בכח אותו השטר. וכן אם בא לו היזק לשמעון מזה שהוצרך ליקח מליץ שיטעון בעדו צריך ראובן לסלק</w:t>
      </w:r>
      <w:r>
        <w:rPr>
          <w:rStyle w:val="ab"/>
          <w:rFonts w:cs="Arial"/>
          <w:rtl/>
        </w:rPr>
        <w:footnoteReference w:id="1330"/>
      </w:r>
      <w:r>
        <w:rPr>
          <w:rFonts w:hint="cs"/>
          <w:sz w:val="16"/>
          <w:szCs w:val="16"/>
          <w:rtl/>
        </w:rPr>
        <w:t xml:space="preserve"> (ל' הרא"ש)</w:t>
      </w:r>
      <w:r>
        <w:rPr>
          <w:rFonts w:hint="cs"/>
          <w:rtl/>
        </w:rPr>
        <w:t>.</w:t>
      </w:r>
      <w:r w:rsidR="001F7EF8">
        <w:rPr>
          <w:rFonts w:hint="cs"/>
          <w:rtl/>
        </w:rPr>
        <w:t xml:space="preserve"> </w:t>
      </w:r>
      <w:r w:rsidR="001F7EF8" w:rsidRPr="001F7EF8">
        <w:rPr>
          <w:rFonts w:hint="cs"/>
          <w:color w:val="E36C0A" w:themeColor="accent6" w:themeShade="BF"/>
          <w:rtl/>
        </w:rPr>
        <w:t>(וכ"פ בשו"ע)</w:t>
      </w:r>
    </w:p>
    <w:p w14:paraId="502C14AF" w14:textId="77777777" w:rsidR="00E137BC" w:rsidRPr="00576D5C" w:rsidRDefault="00E137BC" w:rsidP="00576D5C">
      <w:pPr>
        <w:rPr>
          <w:rFonts w:asciiTheme="minorBidi" w:hAnsiTheme="minorBidi"/>
          <w:b/>
          <w:bCs/>
          <w:color w:val="000000"/>
          <w:sz w:val="28"/>
          <w:szCs w:val="28"/>
          <w:u w:val="single"/>
          <w:rtl/>
        </w:rPr>
      </w:pPr>
      <w:r w:rsidRPr="00576D5C">
        <w:rPr>
          <w:rFonts w:asciiTheme="minorBidi" w:hAnsiTheme="minorBidi"/>
          <w:b/>
          <w:bCs/>
          <w:color w:val="000000"/>
          <w:sz w:val="28"/>
          <w:szCs w:val="28"/>
          <w:u w:val="single"/>
          <w:rtl/>
        </w:rPr>
        <w:t>שו"ע:</w:t>
      </w:r>
    </w:p>
    <w:p w14:paraId="46224CB3" w14:textId="77777777" w:rsidR="00E137BC" w:rsidRPr="00576D5C" w:rsidRDefault="00E137BC" w:rsidP="00576D5C">
      <w:pPr>
        <w:rPr>
          <w:rFonts w:asciiTheme="minorBidi" w:hAnsiTheme="minorBidi"/>
          <w:rtl/>
        </w:rPr>
      </w:pPr>
      <w:r w:rsidRPr="00576D5C">
        <w:rPr>
          <w:rFonts w:asciiTheme="minorBidi" w:hAnsiTheme="minorBidi"/>
          <w:rtl/>
        </w:rPr>
        <w:t xml:space="preserve">שטר שכתוב שיוכל לתבעו בדיני </w:t>
      </w:r>
      <w:r w:rsidR="005A48CF">
        <w:rPr>
          <w:rFonts w:asciiTheme="minorBidi" w:hAnsiTheme="minorBidi" w:hint="cs"/>
          <w:rtl/>
        </w:rPr>
        <w:t>הגוים</w:t>
      </w:r>
      <w:r w:rsidRPr="00576D5C">
        <w:rPr>
          <w:rFonts w:asciiTheme="minorBidi" w:hAnsiTheme="minorBidi"/>
          <w:rtl/>
        </w:rPr>
        <w:t xml:space="preserve">, אינו רשאי לתבעו בפניהם. ואם מסר השטר </w:t>
      </w:r>
      <w:r w:rsidR="005A48CF">
        <w:rPr>
          <w:rFonts w:asciiTheme="minorBidi" w:hAnsiTheme="minorBidi" w:hint="cs"/>
          <w:rtl/>
        </w:rPr>
        <w:t>לגוי</w:t>
      </w:r>
      <w:r w:rsidRPr="00576D5C">
        <w:rPr>
          <w:rFonts w:asciiTheme="minorBidi" w:hAnsiTheme="minorBidi"/>
          <w:rtl/>
        </w:rPr>
        <w:t xml:space="preserve"> שיתבענו בדיניהם, חייב לשלם לו כל מה שהפסיד יותר ממה שהוא חייב בדיני ישראל. </w:t>
      </w:r>
      <w:r w:rsidRPr="005A48CF">
        <w:rPr>
          <w:rFonts w:asciiTheme="minorBidi" w:hAnsiTheme="minorBidi"/>
          <w:sz w:val="18"/>
          <w:szCs w:val="18"/>
          <w:rtl/>
        </w:rPr>
        <w:t xml:space="preserve">הגה: וכל זה שיכול לכופו בדין ישראל, אבל אם הלוה אלם, מותר למסרו </w:t>
      </w:r>
      <w:r w:rsidR="005A48CF">
        <w:rPr>
          <w:rFonts w:asciiTheme="minorBidi" w:hAnsiTheme="minorBidi" w:hint="cs"/>
          <w:sz w:val="18"/>
          <w:szCs w:val="18"/>
          <w:rtl/>
        </w:rPr>
        <w:t>לגוים</w:t>
      </w:r>
      <w:r w:rsidRPr="005A48CF">
        <w:rPr>
          <w:rFonts w:asciiTheme="minorBidi" w:hAnsiTheme="minorBidi"/>
          <w:sz w:val="18"/>
          <w:szCs w:val="18"/>
          <w:rtl/>
        </w:rPr>
        <w:t xml:space="preserve"> </w:t>
      </w:r>
      <w:r w:rsidRPr="001F7EF8">
        <w:rPr>
          <w:rFonts w:asciiTheme="minorBidi" w:hAnsiTheme="minorBidi"/>
          <w:sz w:val="16"/>
          <w:szCs w:val="16"/>
          <w:rtl/>
        </w:rPr>
        <w:t xml:space="preserve">(ב"י </w:t>
      </w:r>
      <w:r w:rsidR="001F7EF8">
        <w:rPr>
          <w:rFonts w:asciiTheme="minorBidi" w:hAnsiTheme="minorBidi" w:hint="cs"/>
          <w:sz w:val="16"/>
          <w:szCs w:val="16"/>
          <w:rtl/>
        </w:rPr>
        <w:t xml:space="preserve">סי' </w:t>
      </w:r>
      <w:r w:rsidRPr="001F7EF8">
        <w:rPr>
          <w:rFonts w:asciiTheme="minorBidi" w:hAnsiTheme="minorBidi"/>
          <w:sz w:val="16"/>
          <w:szCs w:val="16"/>
          <w:rtl/>
        </w:rPr>
        <w:t>סו בשם ריטב"א)</w:t>
      </w:r>
      <w:r w:rsidRPr="005A48CF">
        <w:rPr>
          <w:rFonts w:asciiTheme="minorBidi" w:hAnsiTheme="minorBidi"/>
          <w:sz w:val="18"/>
          <w:szCs w:val="18"/>
          <w:rtl/>
        </w:rPr>
        <w:t>. וע"ל ס</w:t>
      </w:r>
      <w:r w:rsidR="001F7EF8">
        <w:rPr>
          <w:rFonts w:asciiTheme="minorBidi" w:hAnsiTheme="minorBidi" w:hint="cs"/>
          <w:sz w:val="18"/>
          <w:szCs w:val="18"/>
          <w:rtl/>
        </w:rPr>
        <w:t>"</w:t>
      </w:r>
      <w:r w:rsidRPr="005A48CF">
        <w:rPr>
          <w:rFonts w:asciiTheme="minorBidi" w:hAnsiTheme="minorBidi"/>
          <w:sz w:val="18"/>
          <w:szCs w:val="18"/>
          <w:rtl/>
        </w:rPr>
        <w:t xml:space="preserve">ס שסט </w:t>
      </w:r>
      <w:r w:rsidR="001F7EF8" w:rsidRPr="001F7EF8">
        <w:rPr>
          <w:rFonts w:asciiTheme="minorBidi" w:hAnsiTheme="minorBidi" w:hint="cs"/>
          <w:sz w:val="16"/>
          <w:szCs w:val="16"/>
          <w:rtl/>
        </w:rPr>
        <w:t>(</w:t>
      </w:r>
      <w:r w:rsidRPr="001F7EF8">
        <w:rPr>
          <w:rFonts w:asciiTheme="minorBidi" w:hAnsiTheme="minorBidi"/>
          <w:sz w:val="16"/>
          <w:szCs w:val="16"/>
          <w:rtl/>
        </w:rPr>
        <w:t>רא"ש כלל יח סי' א)</w:t>
      </w:r>
      <w:r w:rsidRPr="005A48CF">
        <w:rPr>
          <w:rFonts w:asciiTheme="minorBidi" w:hAnsiTheme="minorBidi"/>
          <w:sz w:val="18"/>
          <w:szCs w:val="18"/>
          <w:rtl/>
        </w:rPr>
        <w:t xml:space="preserve"> מדין </w:t>
      </w:r>
      <w:r w:rsidR="005A48CF">
        <w:rPr>
          <w:rFonts w:asciiTheme="minorBidi" w:hAnsiTheme="minorBidi" w:hint="cs"/>
          <w:sz w:val="18"/>
          <w:szCs w:val="18"/>
          <w:rtl/>
        </w:rPr>
        <w:t>גוי</w:t>
      </w:r>
      <w:r w:rsidRPr="005A48CF">
        <w:rPr>
          <w:rFonts w:asciiTheme="minorBidi" w:hAnsiTheme="minorBidi"/>
          <w:sz w:val="18"/>
          <w:szCs w:val="18"/>
          <w:rtl/>
        </w:rPr>
        <w:t xml:space="preserve"> המוכר שטר חוב לישראל על ישראל אחר אם דן הוא בדין </w:t>
      </w:r>
      <w:r w:rsidR="005A48CF">
        <w:rPr>
          <w:rFonts w:asciiTheme="minorBidi" w:hAnsiTheme="minorBidi" w:hint="cs"/>
          <w:sz w:val="18"/>
          <w:szCs w:val="18"/>
          <w:rtl/>
        </w:rPr>
        <w:t>גוים</w:t>
      </w:r>
      <w:r w:rsidRPr="005A48CF">
        <w:rPr>
          <w:rFonts w:asciiTheme="minorBidi" w:hAnsiTheme="minorBidi"/>
          <w:sz w:val="18"/>
          <w:szCs w:val="18"/>
          <w:rtl/>
        </w:rPr>
        <w:t>.</w:t>
      </w:r>
    </w:p>
    <w:p w14:paraId="2CE541AD" w14:textId="77777777" w:rsidR="00E137BC" w:rsidRPr="00576D5C" w:rsidRDefault="00E137BC" w:rsidP="00576D5C">
      <w:pPr>
        <w:rPr>
          <w:rFonts w:asciiTheme="minorBidi" w:hAnsiTheme="minorBidi"/>
          <w:rtl/>
        </w:rPr>
        <w:sectPr w:rsidR="00E137BC" w:rsidRPr="00576D5C" w:rsidSect="00AF3AF9">
          <w:headerReference w:type="default" r:id="rId35"/>
          <w:footnotePr>
            <w:numRestart w:val="eachPage"/>
          </w:footnotePr>
          <w:pgSz w:w="11906" w:h="16838"/>
          <w:pgMar w:top="720" w:right="1134" w:bottom="720" w:left="1134" w:header="0" w:footer="0" w:gutter="0"/>
          <w:cols w:space="720"/>
          <w:bidi/>
          <w:rtlGutter/>
          <w:docGrid w:linePitch="360"/>
        </w:sectPr>
      </w:pPr>
    </w:p>
    <w:p w14:paraId="72154ABC" w14:textId="77777777" w:rsidR="00E137BC" w:rsidRPr="00576D5C" w:rsidRDefault="00E137BC" w:rsidP="006567B0">
      <w:pPr>
        <w:pStyle w:val="1"/>
        <w:rPr>
          <w:rtl/>
        </w:rPr>
      </w:pPr>
      <w:bookmarkStart w:id="192" w:name="_Toc24883671"/>
      <w:r w:rsidRPr="00576D5C">
        <w:rPr>
          <w:rtl/>
        </w:rPr>
        <w:lastRenderedPageBreak/>
        <w:t>סימן כז: שלא לקלל דיין ולא שום א' מישראל, ובו ב' סעיפים.</w:t>
      </w:r>
      <w:bookmarkEnd w:id="192"/>
      <w:r w:rsidRPr="00576D5C">
        <w:rPr>
          <w:rtl/>
        </w:rPr>
        <w:t xml:space="preserve"> </w:t>
      </w:r>
    </w:p>
    <w:p w14:paraId="35E0F3AD" w14:textId="77777777" w:rsidR="00E137BC" w:rsidRPr="00A4009C" w:rsidRDefault="00E137BC" w:rsidP="006567B0">
      <w:pPr>
        <w:pStyle w:val="2"/>
        <w:rPr>
          <w:sz w:val="20"/>
          <w:szCs w:val="20"/>
          <w:rtl/>
        </w:rPr>
      </w:pPr>
      <w:bookmarkStart w:id="193" w:name="_Toc24883672"/>
      <w:r w:rsidRPr="00576D5C">
        <w:rPr>
          <w:rtl/>
        </w:rPr>
        <w:t>סעיף א</w:t>
      </w:r>
      <w:r w:rsidR="005A48CF">
        <w:rPr>
          <w:rFonts w:hint="cs"/>
          <w:rtl/>
        </w:rPr>
        <w:t>:</w:t>
      </w:r>
      <w:r w:rsidR="001F7EF8">
        <w:rPr>
          <w:rFonts w:hint="cs"/>
          <w:rtl/>
        </w:rPr>
        <w:t xml:space="preserve"> </w:t>
      </w:r>
      <w:r w:rsidR="00A4009C">
        <w:rPr>
          <w:rFonts w:hint="cs"/>
          <w:rtl/>
        </w:rPr>
        <w:t>המקלל אחד מישראל או דיין או את עצמו</w:t>
      </w:r>
      <w:bookmarkEnd w:id="193"/>
    </w:p>
    <w:p w14:paraId="11F1048C" w14:textId="77777777" w:rsidR="00237109" w:rsidRDefault="00237109" w:rsidP="00237109">
      <w:pPr>
        <w:rPr>
          <w:rFonts w:cs="Arial"/>
          <w:rtl/>
        </w:rPr>
      </w:pPr>
      <w:r>
        <w:rPr>
          <w:rFonts w:cs="Arial" w:hint="cs"/>
          <w:b/>
          <w:bCs/>
          <w:rtl/>
        </w:rPr>
        <w:t xml:space="preserve">סנהדרין </w:t>
      </w:r>
      <w:r w:rsidRPr="00237109">
        <w:rPr>
          <w:rFonts w:cs="Arial" w:hint="cs"/>
          <w:b/>
          <w:bCs/>
          <w:sz w:val="16"/>
          <w:szCs w:val="16"/>
          <w:rtl/>
        </w:rPr>
        <w:t xml:space="preserve">(פ' ארבע מיתות) </w:t>
      </w:r>
      <w:r>
        <w:rPr>
          <w:rFonts w:cs="Arial" w:hint="cs"/>
          <w:b/>
          <w:bCs/>
          <w:rtl/>
        </w:rPr>
        <w:t>סו</w:t>
      </w:r>
      <w:r w:rsidR="00C17F6A">
        <w:rPr>
          <w:rStyle w:val="ab"/>
          <w:rFonts w:cs="Arial"/>
          <w:b/>
          <w:bCs/>
          <w:rtl/>
        </w:rPr>
        <w:footnoteReference w:id="1331"/>
      </w:r>
      <w:r>
        <w:rPr>
          <w:rFonts w:cs="Arial" w:hint="cs"/>
          <w:b/>
          <w:bCs/>
          <w:rtl/>
        </w:rPr>
        <w:t xml:space="preserve"> ע"א: </w:t>
      </w:r>
      <w:r w:rsidRPr="00237109">
        <w:rPr>
          <w:rFonts w:cs="Arial"/>
          <w:rtl/>
        </w:rPr>
        <w:t>אלהים לא תקלל וגו'.</w:t>
      </w:r>
      <w:r>
        <w:rPr>
          <w:rFonts w:cs="Arial" w:hint="cs"/>
          <w:rtl/>
        </w:rPr>
        <w:t xml:space="preserve">.. </w:t>
      </w:r>
      <w:r w:rsidRPr="00237109">
        <w:rPr>
          <w:rFonts w:cs="Arial"/>
          <w:rtl/>
        </w:rPr>
        <w:t>תניא: אלהים - חול</w:t>
      </w:r>
      <w:r>
        <w:rPr>
          <w:rStyle w:val="ab"/>
          <w:rFonts w:cs="Arial"/>
          <w:rtl/>
        </w:rPr>
        <w:footnoteReference w:id="1332"/>
      </w:r>
      <w:r w:rsidRPr="00237109">
        <w:rPr>
          <w:rFonts w:cs="Arial"/>
          <w:rtl/>
        </w:rPr>
        <w:t xml:space="preserve">, </w:t>
      </w:r>
      <w:r w:rsidRPr="00237109">
        <w:rPr>
          <w:rFonts w:cs="Arial"/>
          <w:u w:val="single"/>
          <w:rtl/>
        </w:rPr>
        <w:t>דברי רבי ישמעאל</w:t>
      </w:r>
      <w:r w:rsidRPr="00237109">
        <w:rPr>
          <w:rFonts w:cs="Arial"/>
          <w:rtl/>
        </w:rPr>
        <w:t xml:space="preserve">. </w:t>
      </w:r>
      <w:r w:rsidRPr="00237109">
        <w:rPr>
          <w:rFonts w:cs="Arial"/>
          <w:u w:val="single"/>
          <w:rtl/>
        </w:rPr>
        <w:t>רבי עקיבא אומר</w:t>
      </w:r>
      <w:r w:rsidRPr="00237109">
        <w:rPr>
          <w:rFonts w:cs="Arial"/>
          <w:rtl/>
        </w:rPr>
        <w:t>: אלהים קודש</w:t>
      </w:r>
      <w:r>
        <w:rPr>
          <w:rStyle w:val="ab"/>
          <w:rFonts w:cs="Arial"/>
          <w:rtl/>
        </w:rPr>
        <w:footnoteReference w:id="1333"/>
      </w:r>
      <w:r w:rsidRPr="00237109">
        <w:rPr>
          <w:rFonts w:cs="Arial"/>
          <w:rtl/>
        </w:rPr>
        <w:t xml:space="preserve">. ותניא, </w:t>
      </w:r>
      <w:r w:rsidRPr="00237109">
        <w:rPr>
          <w:rFonts w:cs="Arial"/>
          <w:u w:val="single"/>
          <w:rtl/>
        </w:rPr>
        <w:t>רבי אליעזר בן יעקב אומר</w:t>
      </w:r>
      <w:r w:rsidRPr="00237109">
        <w:rPr>
          <w:rFonts w:cs="Arial"/>
          <w:rtl/>
        </w:rPr>
        <w:t xml:space="preserve">: אזהרה למברך את השם מניין - תלמוד לומר אלהים לא תקלל. למאן דאמר אלהים חול - גמר קודש מחול, למאן דאמר אלהים קודש - גמרינן חול מקודש. בשלמא למאן דאמר אלהים חול - גמר קודש מחול, אלא למאן דאמר אלהים קודש גמר חול מקודש? דילמא אקודש אזהר אחול לא אזהר! אם כן לכתוב קרא לא תקל, </w:t>
      </w:r>
      <w:r>
        <w:rPr>
          <w:rFonts w:cs="Arial" w:hint="cs"/>
          <w:sz w:val="14"/>
          <w:szCs w:val="14"/>
          <w:rtl/>
        </w:rPr>
        <w:t xml:space="preserve">(סו:) </w:t>
      </w:r>
      <w:r w:rsidRPr="00237109">
        <w:rPr>
          <w:rFonts w:cs="Arial"/>
          <w:rtl/>
        </w:rPr>
        <w:t xml:space="preserve">מאי לא תקלל - שמע מינה תרתי. </w:t>
      </w:r>
    </w:p>
    <w:p w14:paraId="66483A63" w14:textId="77777777" w:rsidR="00237109" w:rsidRDefault="00237109" w:rsidP="001F7EF8">
      <w:pPr>
        <w:rPr>
          <w:rFonts w:cs="Arial"/>
          <w:rtl/>
        </w:rPr>
      </w:pPr>
      <w:r>
        <w:rPr>
          <w:rFonts w:cs="Arial" w:hint="cs"/>
          <w:b/>
          <w:bCs/>
          <w:rtl/>
        </w:rPr>
        <w:t>שבועות</w:t>
      </w:r>
      <w:r w:rsidRPr="009A7B94">
        <w:rPr>
          <w:rFonts w:cs="Arial" w:hint="cs"/>
          <w:b/>
          <w:bCs/>
          <w:sz w:val="16"/>
          <w:szCs w:val="16"/>
          <w:rtl/>
        </w:rPr>
        <w:t xml:space="preserve"> </w:t>
      </w:r>
      <w:r w:rsidR="009A7B94" w:rsidRPr="009A7B94">
        <w:rPr>
          <w:rFonts w:cs="Arial" w:hint="cs"/>
          <w:b/>
          <w:bCs/>
          <w:sz w:val="16"/>
          <w:szCs w:val="16"/>
          <w:rtl/>
        </w:rPr>
        <w:t xml:space="preserve">(פ' שבועת העדות) </w:t>
      </w:r>
      <w:r w:rsidR="009A7B94">
        <w:rPr>
          <w:rFonts w:cs="Arial" w:hint="cs"/>
          <w:b/>
          <w:bCs/>
          <w:rtl/>
        </w:rPr>
        <w:t>לה</w:t>
      </w:r>
      <w:r w:rsidR="00793A9A">
        <w:rPr>
          <w:rStyle w:val="ab"/>
          <w:rFonts w:cs="Arial"/>
          <w:b/>
          <w:bCs/>
          <w:rtl/>
        </w:rPr>
        <w:footnoteReference w:id="1334"/>
      </w:r>
      <w:r w:rsidR="009A7B94">
        <w:rPr>
          <w:rFonts w:cs="Arial" w:hint="cs"/>
          <w:b/>
          <w:bCs/>
          <w:rtl/>
        </w:rPr>
        <w:t xml:space="preserve"> ע"א: </w:t>
      </w:r>
      <w:r w:rsidRPr="009A7B94">
        <w:rPr>
          <w:rFonts w:cs="Arial"/>
          <w:u w:val="double"/>
          <w:rtl/>
        </w:rPr>
        <w:t>מתני'</w:t>
      </w:r>
      <w:r w:rsidR="009A7B94" w:rsidRPr="009A7B94">
        <w:rPr>
          <w:rFonts w:cs="Arial" w:hint="cs"/>
          <w:u w:val="double"/>
          <w:rtl/>
        </w:rPr>
        <w:t>:</w:t>
      </w:r>
      <w:r w:rsidRPr="00237109">
        <w:rPr>
          <w:rFonts w:cs="Arial"/>
          <w:rtl/>
        </w:rPr>
        <w:t xml:space="preserve"> משביעני עליכם, מצוה אני עליכם, אוסרכם אני - הרי אלו חייבין; בשמים ובארץ - הרי אלו פטורין; באלף דלת, ביוד הי, בשדי, בצבאות, בחנון ורחום, בארך אפים, ברב חסד, ובכל הכנויין - הרי אלו חייבין.</w:t>
      </w:r>
      <w:r w:rsidR="00A3447E">
        <w:rPr>
          <w:rFonts w:cs="Arial" w:hint="cs"/>
          <w:rtl/>
        </w:rPr>
        <w:t>..</w:t>
      </w:r>
      <w:r w:rsidRPr="00237109">
        <w:rPr>
          <w:rFonts w:cs="Arial"/>
          <w:rtl/>
        </w:rPr>
        <w:t xml:space="preserve"> המקלל עצמו וחבירו בכולן - עובר בלא תעשה</w:t>
      </w:r>
      <w:r w:rsidR="00A4009C">
        <w:rPr>
          <w:rStyle w:val="ab"/>
          <w:rFonts w:cs="Arial"/>
          <w:rtl/>
        </w:rPr>
        <w:footnoteReference w:id="1335"/>
      </w:r>
      <w:r w:rsidRPr="00237109">
        <w:rPr>
          <w:rFonts w:cs="Arial"/>
          <w:rtl/>
        </w:rPr>
        <w:t>. יככה ה' אלהים, וכן יככה אלהים - זו היא אלה הכתובה בתורה. אל יכך</w:t>
      </w:r>
      <w:r w:rsidR="00A4009C">
        <w:rPr>
          <w:rStyle w:val="ab"/>
          <w:rFonts w:cs="Arial"/>
          <w:rtl/>
        </w:rPr>
        <w:footnoteReference w:id="1336"/>
      </w:r>
      <w:r w:rsidRPr="00237109">
        <w:rPr>
          <w:rFonts w:cs="Arial"/>
          <w:rtl/>
        </w:rPr>
        <w:t>, ויברכך, וייטיב לך - ר"מ מחייב</w:t>
      </w:r>
      <w:r w:rsidR="00A4009C">
        <w:rPr>
          <w:rStyle w:val="ab"/>
          <w:rFonts w:cs="Arial"/>
          <w:rtl/>
        </w:rPr>
        <w:footnoteReference w:id="1337"/>
      </w:r>
      <w:r w:rsidRPr="00237109">
        <w:rPr>
          <w:rFonts w:cs="Arial"/>
          <w:rtl/>
        </w:rPr>
        <w:t>, וחכמים פוטרין</w:t>
      </w:r>
      <w:r w:rsidR="00D419EE">
        <w:rPr>
          <w:rStyle w:val="ab"/>
          <w:rFonts w:cs="Arial"/>
          <w:rtl/>
        </w:rPr>
        <w:footnoteReference w:id="1338"/>
      </w:r>
      <w:r w:rsidRPr="00237109">
        <w:rPr>
          <w:rFonts w:cs="Arial"/>
          <w:rtl/>
        </w:rPr>
        <w:t>.</w:t>
      </w:r>
      <w:r w:rsidR="009A7B94">
        <w:rPr>
          <w:rFonts w:cs="Arial" w:hint="cs"/>
          <w:rtl/>
        </w:rPr>
        <w:t xml:space="preserve"> </w:t>
      </w:r>
      <w:r w:rsidR="00C17F6A">
        <w:rPr>
          <w:rFonts w:cs="Arial" w:hint="cs"/>
          <w:rtl/>
        </w:rPr>
        <w:t xml:space="preserve">   </w:t>
      </w:r>
      <w:r w:rsidR="009A7B94" w:rsidRPr="009A7B94">
        <w:rPr>
          <w:rFonts w:cs="Arial" w:hint="cs"/>
          <w:u w:val="double"/>
          <w:rtl/>
        </w:rPr>
        <w:t>גמ'</w:t>
      </w:r>
      <w:r w:rsidR="009A7B94" w:rsidRPr="009A7B94">
        <w:rPr>
          <w:rFonts w:cs="Arial" w:hint="cs"/>
          <w:sz w:val="14"/>
          <w:szCs w:val="14"/>
          <w:u w:val="double"/>
          <w:rtl/>
        </w:rPr>
        <w:t xml:space="preserve"> (לו.)</w:t>
      </w:r>
      <w:r w:rsidR="009A7B94" w:rsidRPr="009A7B94">
        <w:rPr>
          <w:rFonts w:cs="Arial" w:hint="cs"/>
          <w:u w:val="double"/>
          <w:rtl/>
        </w:rPr>
        <w:t>:</w:t>
      </w:r>
      <w:r w:rsidR="009A7B94" w:rsidRPr="009A7B94">
        <w:rPr>
          <w:rtl/>
        </w:rPr>
        <w:t xml:space="preserve"> </w:t>
      </w:r>
      <w:r w:rsidR="009A7B94" w:rsidRPr="009A7B94">
        <w:rPr>
          <w:rFonts w:cs="Arial"/>
          <w:rtl/>
        </w:rPr>
        <w:t xml:space="preserve">והמקלל עצמו וחבירו כו'. </w:t>
      </w:r>
      <w:r w:rsidR="009A7B94" w:rsidRPr="009A7B94">
        <w:rPr>
          <w:rFonts w:cs="Arial"/>
          <w:u w:val="single"/>
          <w:rtl/>
        </w:rPr>
        <w:t>אמר רבי ינאי</w:t>
      </w:r>
      <w:r w:rsidR="009A7B94" w:rsidRPr="009A7B94">
        <w:rPr>
          <w:rFonts w:cs="Arial"/>
          <w:rtl/>
        </w:rPr>
        <w:t xml:space="preserve">: ודברי הכל. עצמו, דכתיב: רק השמר לך ושמור נפשך מאד, </w:t>
      </w:r>
      <w:r w:rsidR="009A7B94" w:rsidRPr="0015646B">
        <w:rPr>
          <w:rFonts w:cs="Arial"/>
          <w:u w:val="single"/>
          <w:rtl/>
        </w:rPr>
        <w:t>כדרבי אבין אמר רבי אילעא</w:t>
      </w:r>
      <w:r w:rsidR="009A7B94" w:rsidRPr="009A7B94">
        <w:rPr>
          <w:rFonts w:cs="Arial"/>
          <w:rtl/>
        </w:rPr>
        <w:t>, דאמר: כל מקום שנאמר השמר פן ואל - אינו אלא לא תעשה. וחבירו, דכתיב: לא תקלל חרש.</w:t>
      </w:r>
      <w:r w:rsidR="00A4009C">
        <w:rPr>
          <w:rFonts w:cs="Arial" w:hint="cs"/>
          <w:rtl/>
        </w:rPr>
        <w:t xml:space="preserve"> </w:t>
      </w:r>
    </w:p>
    <w:p w14:paraId="7BF4C566" w14:textId="77777777" w:rsidR="00F205B4" w:rsidRDefault="00F205B4" w:rsidP="00F205B4">
      <w:pPr>
        <w:rPr>
          <w:rFonts w:cs="Arial"/>
          <w:rtl/>
        </w:rPr>
      </w:pPr>
      <w:r w:rsidRPr="00F205B4">
        <w:rPr>
          <w:rFonts w:cs="Arial" w:hint="cs"/>
          <w:u w:val="single"/>
          <w:rtl/>
        </w:rPr>
        <w:t xml:space="preserve">המקלל </w:t>
      </w:r>
      <w:r w:rsidR="00A3447E">
        <w:rPr>
          <w:rFonts w:cs="Arial" w:hint="cs"/>
          <w:u w:val="single"/>
          <w:rtl/>
        </w:rPr>
        <w:t xml:space="preserve">- </w:t>
      </w:r>
      <w:r w:rsidRPr="00F205B4">
        <w:rPr>
          <w:rFonts w:cs="Arial" w:hint="cs"/>
          <w:u w:val="single"/>
          <w:rtl/>
        </w:rPr>
        <w:t>אחד מישראל</w:t>
      </w:r>
      <w:r w:rsidR="00A3447E">
        <w:rPr>
          <w:rFonts w:cs="Arial" w:hint="cs"/>
          <w:u w:val="single"/>
          <w:rtl/>
        </w:rPr>
        <w:t>/דיין/את עצמו</w:t>
      </w:r>
      <w:r w:rsidRPr="00F205B4">
        <w:rPr>
          <w:rFonts w:cs="Arial" w:hint="cs"/>
          <w:u w:val="single"/>
          <w:rtl/>
        </w:rPr>
        <w:t>:</w:t>
      </w:r>
    </w:p>
    <w:p w14:paraId="7845C74C" w14:textId="77777777" w:rsidR="00A3447E" w:rsidRDefault="00E03292" w:rsidP="004B0475">
      <w:pPr>
        <w:pStyle w:val="ac"/>
        <w:numPr>
          <w:ilvl w:val="0"/>
          <w:numId w:val="38"/>
        </w:numPr>
      </w:pPr>
      <w:r w:rsidRPr="00F205B4">
        <w:rPr>
          <w:rFonts w:cs="Arial"/>
          <w:rtl/>
        </w:rPr>
        <w:t xml:space="preserve">רמב"ם </w:t>
      </w:r>
      <w:r w:rsidRPr="00F205B4">
        <w:rPr>
          <w:rFonts w:cs="Arial" w:hint="cs"/>
          <w:sz w:val="16"/>
          <w:szCs w:val="16"/>
          <w:rtl/>
        </w:rPr>
        <w:t>(פכ"ו ה"א</w:t>
      </w:r>
      <w:r w:rsidR="00A3447E">
        <w:rPr>
          <w:rFonts w:cs="Arial" w:hint="cs"/>
          <w:sz w:val="16"/>
          <w:szCs w:val="16"/>
          <w:rtl/>
        </w:rPr>
        <w:t>, ה"ג</w:t>
      </w:r>
      <w:r w:rsidRPr="00F205B4">
        <w:rPr>
          <w:rFonts w:cs="Arial" w:hint="cs"/>
          <w:sz w:val="16"/>
          <w:szCs w:val="16"/>
          <w:rtl/>
        </w:rPr>
        <w:t xml:space="preserve">) </w:t>
      </w:r>
      <w:r w:rsidR="00F205B4" w:rsidRPr="00F205B4">
        <w:rPr>
          <w:rFonts w:cs="Arial" w:hint="cs"/>
          <w:rtl/>
        </w:rPr>
        <w:t>וטור-</w:t>
      </w:r>
      <w:r w:rsidR="00F205B4">
        <w:rPr>
          <w:rFonts w:hint="cs"/>
          <w:rtl/>
        </w:rPr>
        <w:t xml:space="preserve"> </w:t>
      </w:r>
      <w:r w:rsidRPr="00F205B4">
        <w:rPr>
          <w:rFonts w:cs="Arial"/>
          <w:rtl/>
        </w:rPr>
        <w:t>כל המקלל דיין מדייני ישראל עובר בלא תעשה שנאמר אלהים לא תקלל</w:t>
      </w:r>
      <w:r w:rsidRPr="00F205B4">
        <w:rPr>
          <w:rFonts w:cs="Arial" w:hint="cs"/>
          <w:rtl/>
        </w:rPr>
        <w:t xml:space="preserve">... </w:t>
      </w:r>
      <w:r w:rsidRPr="00F205B4">
        <w:rPr>
          <w:rFonts w:cs="Arial"/>
          <w:rtl/>
        </w:rPr>
        <w:t xml:space="preserve">ולא דיין ונשיא בלבד אלא כל המקלל אחד מישראל לוקה שנאמר לא תקלל חרש, ולמה נאמר חרש שאפילו זה שהוא אינו שומע ולא נצטער בקללה זו לוקה על קללתו, ויראה לי שהמקלל את </w:t>
      </w:r>
      <w:r w:rsidRPr="00F205B4">
        <w:rPr>
          <w:rFonts w:cs="Arial" w:hint="cs"/>
          <w:rtl/>
        </w:rPr>
        <w:t>[</w:t>
      </w:r>
      <w:r w:rsidRPr="00F205B4">
        <w:rPr>
          <w:rFonts w:cs="Arial"/>
          <w:rtl/>
        </w:rPr>
        <w:t>ה</w:t>
      </w:r>
      <w:r w:rsidR="00C554EA">
        <w:rPr>
          <w:rFonts w:cs="Arial" w:hint="cs"/>
          <w:rtl/>
        </w:rPr>
        <w:t>קטן</w:t>
      </w:r>
      <w:r>
        <w:rPr>
          <w:rStyle w:val="ab"/>
          <w:rFonts w:cs="Arial"/>
          <w:rtl/>
        </w:rPr>
        <w:footnoteReference w:id="1339"/>
      </w:r>
      <w:r w:rsidRPr="00F205B4">
        <w:rPr>
          <w:rFonts w:cs="Arial" w:hint="cs"/>
          <w:rtl/>
        </w:rPr>
        <w:t>]</w:t>
      </w:r>
      <w:r w:rsidRPr="00F205B4">
        <w:rPr>
          <w:rFonts w:cs="Arial"/>
          <w:rtl/>
        </w:rPr>
        <w:t xml:space="preserve"> לוקה</w:t>
      </w:r>
      <w:r w:rsidRPr="00F205B4">
        <w:rPr>
          <w:rFonts w:cs="Arial" w:hint="cs"/>
          <w:rtl/>
        </w:rPr>
        <w:t>,</w:t>
      </w:r>
      <w:r w:rsidRPr="00F205B4">
        <w:rPr>
          <w:rFonts w:cs="Arial"/>
          <w:rtl/>
        </w:rPr>
        <w:t xml:space="preserve"> הרי הוא כחרש</w:t>
      </w:r>
      <w:r w:rsidR="00A3447E">
        <w:rPr>
          <w:rFonts w:cs="Arial" w:hint="cs"/>
          <w:rtl/>
        </w:rPr>
        <w:t>...</w:t>
      </w:r>
      <w:r w:rsidR="00A3447E" w:rsidRPr="00A3447E">
        <w:rPr>
          <w:rtl/>
        </w:rPr>
        <w:t xml:space="preserve"> </w:t>
      </w:r>
      <w:r w:rsidR="00A3447E" w:rsidRPr="00A3447E">
        <w:rPr>
          <w:rFonts w:cs="Arial"/>
          <w:rtl/>
        </w:rPr>
        <w:t>המקלל עצמו לוקה כמו שקלל אחרים שנאמר השמר לך ושמור נפשך</w:t>
      </w:r>
      <w:r w:rsidR="00A3447E">
        <w:rPr>
          <w:rFonts w:cs="Arial" w:hint="cs"/>
          <w:rtl/>
        </w:rPr>
        <w:t xml:space="preserve"> </w:t>
      </w:r>
      <w:r w:rsidR="00A3447E" w:rsidRPr="00F205B4">
        <w:rPr>
          <w:rFonts w:cs="Arial" w:hint="cs"/>
          <w:sz w:val="16"/>
          <w:szCs w:val="16"/>
          <w:rtl/>
        </w:rPr>
        <w:t>(ל' הרמב"ם)</w:t>
      </w:r>
      <w:r w:rsidR="00A3447E">
        <w:rPr>
          <w:rFonts w:cs="Arial" w:hint="cs"/>
          <w:rtl/>
        </w:rPr>
        <w:t>.</w:t>
      </w:r>
      <w:r w:rsidR="00A3447E" w:rsidRPr="00A3447E">
        <w:rPr>
          <w:rtl/>
        </w:rPr>
        <w:t xml:space="preserve"> </w:t>
      </w:r>
      <w:r w:rsidR="00A4009C" w:rsidRPr="00A4009C">
        <w:rPr>
          <w:rFonts w:hint="cs"/>
          <w:color w:val="E36C0A" w:themeColor="accent6" w:themeShade="BF"/>
          <w:rtl/>
        </w:rPr>
        <w:t>(וכ"פ בשו"ע)</w:t>
      </w:r>
    </w:p>
    <w:p w14:paraId="27FBA885" w14:textId="77777777" w:rsidR="00A3447E" w:rsidRPr="00A3447E" w:rsidRDefault="00A3447E" w:rsidP="00A3447E">
      <w:pPr>
        <w:ind w:left="360"/>
        <w:rPr>
          <w:u w:val="dotted"/>
        </w:rPr>
      </w:pPr>
      <w:r w:rsidRPr="00A3447E">
        <w:rPr>
          <w:rFonts w:hint="cs"/>
          <w:u w:val="dotted"/>
          <w:rtl/>
        </w:rPr>
        <w:t>מתי לוקה על הקללה:</w:t>
      </w:r>
    </w:p>
    <w:p w14:paraId="7C7CBE2B" w14:textId="77777777" w:rsidR="00E03292" w:rsidRDefault="00A3447E" w:rsidP="004B0475">
      <w:pPr>
        <w:pStyle w:val="ac"/>
        <w:numPr>
          <w:ilvl w:val="0"/>
          <w:numId w:val="38"/>
        </w:numPr>
      </w:pPr>
      <w:r w:rsidRPr="00F205B4">
        <w:rPr>
          <w:rFonts w:cs="Arial"/>
          <w:rtl/>
        </w:rPr>
        <w:t xml:space="preserve">רמב"ם </w:t>
      </w:r>
      <w:r w:rsidRPr="00F205B4">
        <w:rPr>
          <w:rFonts w:cs="Arial" w:hint="cs"/>
          <w:sz w:val="16"/>
          <w:szCs w:val="16"/>
          <w:rtl/>
        </w:rPr>
        <w:t>(פכ"ו</w:t>
      </w:r>
      <w:r>
        <w:rPr>
          <w:rFonts w:cs="Arial" w:hint="cs"/>
          <w:sz w:val="16"/>
          <w:szCs w:val="16"/>
          <w:rtl/>
        </w:rPr>
        <w:t xml:space="preserve"> ה"ג</w:t>
      </w:r>
      <w:r w:rsidRPr="00F205B4">
        <w:rPr>
          <w:rFonts w:cs="Arial" w:hint="cs"/>
          <w:sz w:val="16"/>
          <w:szCs w:val="16"/>
          <w:rtl/>
        </w:rPr>
        <w:t xml:space="preserve">) </w:t>
      </w:r>
      <w:r w:rsidRPr="00F205B4">
        <w:rPr>
          <w:rFonts w:cs="Arial" w:hint="cs"/>
          <w:rtl/>
        </w:rPr>
        <w:t>וטור-</w:t>
      </w:r>
      <w:r>
        <w:rPr>
          <w:rFonts w:hint="cs"/>
          <w:rtl/>
        </w:rPr>
        <w:t xml:space="preserve"> </w:t>
      </w:r>
      <w:r w:rsidRPr="00A3447E">
        <w:rPr>
          <w:rFonts w:cs="Arial"/>
          <w:rtl/>
        </w:rPr>
        <w:t>ואחד המקלל עצמו או חבירו או נשיא או דיין אינו לוקה עד שיקלל בשם מן השמות, כגון יה ואלהים ושדי וכיוצא בהן, או בכנוי מן הכנויים כגון חנון וקנא וכיוצא בהן</w:t>
      </w:r>
      <w:r w:rsidR="00793A9A">
        <w:rPr>
          <w:rFonts w:cs="Arial" w:hint="cs"/>
          <w:rtl/>
        </w:rPr>
        <w:t>.</w:t>
      </w:r>
      <w:r w:rsidRPr="00A3447E">
        <w:rPr>
          <w:rFonts w:cs="Arial"/>
          <w:rtl/>
        </w:rPr>
        <w:t xml:space="preserve"> הואיל והוא חייב אם קלל בכל הכנויים כך אם קלל בכל לשון חייב</w:t>
      </w:r>
      <w:r w:rsidR="00793A9A">
        <w:rPr>
          <w:rFonts w:cs="Arial" w:hint="cs"/>
          <w:rtl/>
        </w:rPr>
        <w:t>,</w:t>
      </w:r>
      <w:r w:rsidRPr="00A3447E">
        <w:rPr>
          <w:rFonts w:cs="Arial"/>
          <w:rtl/>
        </w:rPr>
        <w:t xml:space="preserve"> שהשמות שקוראין בהן הגוים להקב"ה הרי הן ככל הכנויים </w:t>
      </w:r>
      <w:r w:rsidR="00F205B4" w:rsidRPr="00F205B4">
        <w:rPr>
          <w:rFonts w:cs="Arial" w:hint="cs"/>
          <w:sz w:val="16"/>
          <w:szCs w:val="16"/>
          <w:rtl/>
        </w:rPr>
        <w:t>(ל' הרמב"ם)</w:t>
      </w:r>
      <w:r w:rsidR="00E03292" w:rsidRPr="00F205B4">
        <w:rPr>
          <w:rFonts w:cs="Arial"/>
          <w:rtl/>
        </w:rPr>
        <w:t xml:space="preserve">. </w:t>
      </w:r>
      <w:r w:rsidR="00A4009C" w:rsidRPr="00A4009C">
        <w:rPr>
          <w:rFonts w:hint="cs"/>
          <w:color w:val="E36C0A" w:themeColor="accent6" w:themeShade="BF"/>
          <w:rtl/>
        </w:rPr>
        <w:t>(וכ"פ בשו"ע)</w:t>
      </w:r>
    </w:p>
    <w:p w14:paraId="58987F3D" w14:textId="77777777" w:rsidR="00D83325" w:rsidRPr="00D83325" w:rsidRDefault="00A3447E" w:rsidP="004B0475">
      <w:pPr>
        <w:pStyle w:val="ac"/>
        <w:numPr>
          <w:ilvl w:val="0"/>
          <w:numId w:val="38"/>
        </w:numPr>
      </w:pPr>
      <w:r w:rsidRPr="00A3447E">
        <w:rPr>
          <w:rFonts w:cs="Arial"/>
          <w:rtl/>
        </w:rPr>
        <w:t xml:space="preserve">ראב"ד </w:t>
      </w:r>
      <w:r w:rsidRPr="00A3447E">
        <w:rPr>
          <w:rFonts w:cs="Arial" w:hint="cs"/>
          <w:sz w:val="16"/>
          <w:szCs w:val="16"/>
          <w:rtl/>
        </w:rPr>
        <w:t>(בהשגות על סע' ג)</w:t>
      </w:r>
      <w:r>
        <w:rPr>
          <w:rFonts w:cs="Arial" w:hint="cs"/>
          <w:rtl/>
        </w:rPr>
        <w:t xml:space="preserve">- </w:t>
      </w:r>
      <w:r w:rsidRPr="00A3447E">
        <w:rPr>
          <w:rFonts w:cs="Arial"/>
          <w:rtl/>
        </w:rPr>
        <w:t>אינו לוקה אלא בשם המיוחד והכי איתא בירושלמי</w:t>
      </w:r>
      <w:r>
        <w:rPr>
          <w:rFonts w:cs="Arial" w:hint="cs"/>
          <w:rtl/>
        </w:rPr>
        <w:t>.</w:t>
      </w:r>
      <w:r w:rsidRPr="00F205B4">
        <w:rPr>
          <w:rFonts w:cs="Arial" w:hint="cs"/>
          <w:sz w:val="16"/>
          <w:szCs w:val="16"/>
          <w:rtl/>
        </w:rPr>
        <w:t xml:space="preserve"> </w:t>
      </w:r>
    </w:p>
    <w:p w14:paraId="6D563EAB" w14:textId="77777777" w:rsidR="00D83325" w:rsidRPr="00D83325" w:rsidRDefault="00D83325" w:rsidP="00D83325">
      <w:r>
        <w:rPr>
          <w:rFonts w:cs="Arial" w:hint="cs"/>
          <w:b/>
          <w:bCs/>
          <w:rtl/>
        </w:rPr>
        <w:t>שבועות</w:t>
      </w:r>
      <w:r w:rsidRPr="009A7B94">
        <w:rPr>
          <w:rFonts w:cs="Arial" w:hint="cs"/>
          <w:b/>
          <w:bCs/>
          <w:sz w:val="16"/>
          <w:szCs w:val="16"/>
          <w:rtl/>
        </w:rPr>
        <w:t xml:space="preserve"> (</w:t>
      </w:r>
      <w:r>
        <w:rPr>
          <w:rFonts w:cs="Arial" w:hint="cs"/>
          <w:b/>
          <w:bCs/>
          <w:sz w:val="16"/>
          <w:szCs w:val="16"/>
          <w:rtl/>
        </w:rPr>
        <w:t>ס"</w:t>
      </w:r>
      <w:r w:rsidRPr="009A7B94">
        <w:rPr>
          <w:rFonts w:cs="Arial" w:hint="cs"/>
          <w:b/>
          <w:bCs/>
          <w:sz w:val="16"/>
          <w:szCs w:val="16"/>
          <w:rtl/>
        </w:rPr>
        <w:t xml:space="preserve">פ שבועת העדות) </w:t>
      </w:r>
      <w:r>
        <w:rPr>
          <w:rFonts w:cs="Arial" w:hint="cs"/>
          <w:b/>
          <w:bCs/>
          <w:rtl/>
        </w:rPr>
        <w:t>לו</w:t>
      </w:r>
      <w:r w:rsidR="003C4F59">
        <w:rPr>
          <w:rFonts w:cs="Arial" w:hint="cs"/>
          <w:b/>
          <w:bCs/>
          <w:rtl/>
        </w:rPr>
        <w:t xml:space="preserve"> </w:t>
      </w:r>
      <w:r>
        <w:rPr>
          <w:rFonts w:cs="Arial" w:hint="cs"/>
          <w:b/>
          <w:bCs/>
          <w:rtl/>
        </w:rPr>
        <w:t>ע"א:</w:t>
      </w:r>
      <w:r w:rsidRPr="00D83325">
        <w:rPr>
          <w:rtl/>
        </w:rPr>
        <w:t xml:space="preserve"> </w:t>
      </w:r>
      <w:r w:rsidRPr="00D83325">
        <w:rPr>
          <w:rFonts w:cs="Arial"/>
          <w:rtl/>
        </w:rPr>
        <w:t>תנא: ארור - בו נידוי, בו קללה, בו שבועה</w:t>
      </w:r>
      <w:r w:rsidR="00A4009C">
        <w:rPr>
          <w:rStyle w:val="ab"/>
          <w:rFonts w:cs="Arial"/>
          <w:rtl/>
        </w:rPr>
        <w:footnoteReference w:id="1340"/>
      </w:r>
      <w:r w:rsidR="00A4009C">
        <w:rPr>
          <w:rFonts w:cs="Arial" w:hint="cs"/>
          <w:rtl/>
        </w:rPr>
        <w:t>..</w:t>
      </w:r>
      <w:r w:rsidRPr="00D83325">
        <w:rPr>
          <w:rFonts w:cs="Arial"/>
          <w:rtl/>
        </w:rPr>
        <w:t>.</w:t>
      </w:r>
    </w:p>
    <w:p w14:paraId="20AF1B76" w14:textId="77777777" w:rsidR="00A4009C" w:rsidRPr="00A4009C" w:rsidRDefault="00A4009C" w:rsidP="00A4009C">
      <w:pPr>
        <w:rPr>
          <w:u w:val="single"/>
        </w:rPr>
      </w:pPr>
      <w:r w:rsidRPr="00A4009C">
        <w:rPr>
          <w:rFonts w:hint="cs"/>
          <w:u w:val="single"/>
          <w:rtl/>
        </w:rPr>
        <w:t>האומר 'ארור יהא':</w:t>
      </w:r>
    </w:p>
    <w:p w14:paraId="78BD42B9" w14:textId="77777777" w:rsidR="00A4009C" w:rsidRDefault="00D83325" w:rsidP="004B0475">
      <w:pPr>
        <w:pStyle w:val="ac"/>
        <w:numPr>
          <w:ilvl w:val="0"/>
          <w:numId w:val="38"/>
        </w:numPr>
      </w:pPr>
      <w:r w:rsidRPr="00D83325">
        <w:rPr>
          <w:rFonts w:cs="Arial"/>
          <w:rtl/>
        </w:rPr>
        <w:t xml:space="preserve">רמב"ם </w:t>
      </w:r>
      <w:r w:rsidRPr="00D83325">
        <w:rPr>
          <w:rFonts w:cs="Arial" w:hint="cs"/>
          <w:sz w:val="16"/>
          <w:szCs w:val="16"/>
          <w:rtl/>
        </w:rPr>
        <w:t xml:space="preserve">(פכ"ו ה"ג) </w:t>
      </w:r>
      <w:r w:rsidRPr="00D83325">
        <w:rPr>
          <w:rFonts w:cs="Arial" w:hint="cs"/>
          <w:rtl/>
        </w:rPr>
        <w:t>וטור-</w:t>
      </w:r>
      <w:r>
        <w:rPr>
          <w:rFonts w:hint="cs"/>
          <w:rtl/>
        </w:rPr>
        <w:t xml:space="preserve"> </w:t>
      </w:r>
      <w:r w:rsidR="00A3447E" w:rsidRPr="00D83325">
        <w:rPr>
          <w:rFonts w:cs="Arial"/>
          <w:rtl/>
        </w:rPr>
        <w:t xml:space="preserve">אם אמר ארור יהא </w:t>
      </w:r>
      <w:r w:rsidR="003C4F59">
        <w:rPr>
          <w:rFonts w:cs="Arial" w:hint="cs"/>
          <w:rtl/>
        </w:rPr>
        <w:t xml:space="preserve">- </w:t>
      </w:r>
      <w:r w:rsidR="00A3447E" w:rsidRPr="00D83325">
        <w:rPr>
          <w:rFonts w:cs="Arial"/>
          <w:rtl/>
        </w:rPr>
        <w:t>הוי קללה</w:t>
      </w:r>
      <w:r w:rsidR="003C4F59">
        <w:rPr>
          <w:rFonts w:cs="Arial" w:hint="cs"/>
          <w:rtl/>
        </w:rPr>
        <w:t>,</w:t>
      </w:r>
      <w:r w:rsidR="00A3447E" w:rsidRPr="00D83325">
        <w:rPr>
          <w:rFonts w:cs="Arial"/>
          <w:rtl/>
        </w:rPr>
        <w:t xml:space="preserve"> כי ארור בו נידוי בו שבועה בו קללה</w:t>
      </w:r>
      <w:r w:rsidR="00A4009C">
        <w:rPr>
          <w:rFonts w:cs="Arial" w:hint="cs"/>
          <w:sz w:val="16"/>
          <w:szCs w:val="16"/>
          <w:rtl/>
        </w:rPr>
        <w:t xml:space="preserve"> (ל' הטור)</w:t>
      </w:r>
      <w:r w:rsidR="00A4009C">
        <w:rPr>
          <w:rFonts w:cs="Arial" w:hint="cs"/>
          <w:rtl/>
        </w:rPr>
        <w:t>.</w:t>
      </w:r>
      <w:r w:rsidR="00A3447E" w:rsidRPr="00D83325">
        <w:rPr>
          <w:rFonts w:cs="Arial"/>
          <w:rtl/>
        </w:rPr>
        <w:t xml:space="preserve"> </w:t>
      </w:r>
      <w:r w:rsidR="00A4009C" w:rsidRPr="00A4009C">
        <w:rPr>
          <w:rFonts w:hint="cs"/>
          <w:color w:val="E36C0A" w:themeColor="accent6" w:themeShade="BF"/>
          <w:rtl/>
        </w:rPr>
        <w:t>(וכ"פ בשו"ע)</w:t>
      </w:r>
    </w:p>
    <w:p w14:paraId="0FB5B0A4" w14:textId="77777777" w:rsidR="00E137BC" w:rsidRPr="00576D5C" w:rsidRDefault="00E137BC" w:rsidP="00576D5C">
      <w:pPr>
        <w:rPr>
          <w:rFonts w:asciiTheme="minorBidi" w:hAnsiTheme="minorBidi"/>
          <w:b/>
          <w:bCs/>
          <w:color w:val="000000"/>
          <w:sz w:val="28"/>
          <w:szCs w:val="28"/>
          <w:u w:val="single"/>
          <w:rtl/>
        </w:rPr>
      </w:pPr>
      <w:r w:rsidRPr="00576D5C">
        <w:rPr>
          <w:rFonts w:asciiTheme="minorBidi" w:hAnsiTheme="minorBidi"/>
          <w:b/>
          <w:bCs/>
          <w:color w:val="000000"/>
          <w:sz w:val="28"/>
          <w:szCs w:val="28"/>
          <w:u w:val="single"/>
          <w:rtl/>
        </w:rPr>
        <w:t>שו"ע:</w:t>
      </w:r>
    </w:p>
    <w:p w14:paraId="484639C0" w14:textId="77777777" w:rsidR="00E137BC" w:rsidRDefault="00E137BC" w:rsidP="00576D5C">
      <w:pPr>
        <w:rPr>
          <w:rFonts w:asciiTheme="minorBidi" w:hAnsiTheme="minorBidi"/>
          <w:rtl/>
        </w:rPr>
      </w:pPr>
      <w:r w:rsidRPr="00576D5C">
        <w:rPr>
          <w:rFonts w:asciiTheme="minorBidi" w:hAnsiTheme="minorBidi"/>
          <w:rtl/>
        </w:rPr>
        <w:lastRenderedPageBreak/>
        <w:t xml:space="preserve">המקלל אחד מישראל </w:t>
      </w:r>
      <w:r w:rsidR="005A48CF" w:rsidRPr="005A48CF">
        <w:rPr>
          <w:rFonts w:asciiTheme="minorBidi" w:hAnsiTheme="minorBidi" w:hint="cs"/>
          <w:sz w:val="18"/>
          <w:szCs w:val="18"/>
          <w:rtl/>
        </w:rPr>
        <w:t xml:space="preserve">[הגה] </w:t>
      </w:r>
      <w:r w:rsidRPr="005A48CF">
        <w:rPr>
          <w:rFonts w:asciiTheme="minorBidi" w:hAnsiTheme="minorBidi"/>
          <w:sz w:val="18"/>
          <w:szCs w:val="18"/>
          <w:rtl/>
        </w:rPr>
        <w:t>ואפילו מקלל עצמו (טור)</w:t>
      </w:r>
      <w:r w:rsidRPr="00576D5C">
        <w:rPr>
          <w:rFonts w:asciiTheme="minorBidi" w:hAnsiTheme="minorBidi"/>
          <w:rtl/>
        </w:rPr>
        <w:t xml:space="preserve">, בשם או בכינוי או באחד מהשמות שקורים הגוים להקב"ה, אם היה בעדים והתראה, לוקה אחת משום לא תקלל חרש </w:t>
      </w:r>
      <w:r w:rsidRPr="005A48CF">
        <w:rPr>
          <w:rFonts w:asciiTheme="minorBidi" w:hAnsiTheme="minorBidi"/>
          <w:sz w:val="16"/>
          <w:szCs w:val="16"/>
          <w:rtl/>
        </w:rPr>
        <w:t>(ויקרא יט, יד)</w:t>
      </w:r>
      <w:r w:rsidR="00C23BD3">
        <w:rPr>
          <w:rFonts w:asciiTheme="minorBidi" w:hAnsiTheme="minorBidi" w:hint="cs"/>
          <w:rtl/>
        </w:rPr>
        <w:t xml:space="preserve">. </w:t>
      </w:r>
      <w:r w:rsidRPr="00576D5C">
        <w:rPr>
          <w:rFonts w:asciiTheme="minorBidi" w:hAnsiTheme="minorBidi"/>
          <w:rtl/>
        </w:rPr>
        <w:t>ואם היה דיין, לוקה עוד אחרת</w:t>
      </w:r>
      <w:r w:rsidR="00565A38">
        <w:rPr>
          <w:rStyle w:val="ab"/>
          <w:rFonts w:asciiTheme="minorBidi" w:hAnsiTheme="minorBidi"/>
          <w:rtl/>
        </w:rPr>
        <w:footnoteReference w:id="1341"/>
      </w:r>
      <w:r w:rsidRPr="00576D5C">
        <w:rPr>
          <w:rFonts w:asciiTheme="minorBidi" w:hAnsiTheme="minorBidi"/>
          <w:rtl/>
        </w:rPr>
        <w:t xml:space="preserve"> משום אלהים לא תקלל </w:t>
      </w:r>
      <w:r w:rsidRPr="005A48CF">
        <w:rPr>
          <w:rFonts w:asciiTheme="minorBidi" w:hAnsiTheme="minorBidi"/>
          <w:sz w:val="16"/>
          <w:szCs w:val="16"/>
          <w:rtl/>
        </w:rPr>
        <w:t>(שמות כב, כז)</w:t>
      </w:r>
      <w:r w:rsidRPr="00576D5C">
        <w:rPr>
          <w:rFonts w:asciiTheme="minorBidi" w:hAnsiTheme="minorBidi"/>
          <w:rtl/>
        </w:rPr>
        <w:t>. וארור הוי לשון קללה</w:t>
      </w:r>
      <w:r w:rsidR="00565A38">
        <w:rPr>
          <w:rStyle w:val="ab"/>
          <w:rFonts w:asciiTheme="minorBidi" w:hAnsiTheme="minorBidi"/>
          <w:rtl/>
        </w:rPr>
        <w:footnoteReference w:id="1342"/>
      </w:r>
      <w:r w:rsidRPr="00576D5C">
        <w:rPr>
          <w:rFonts w:asciiTheme="minorBidi" w:hAnsiTheme="minorBidi"/>
          <w:rtl/>
        </w:rPr>
        <w:t xml:space="preserve">. </w:t>
      </w:r>
    </w:p>
    <w:p w14:paraId="4922611A" w14:textId="77777777" w:rsidR="005A48CF" w:rsidRPr="00576D5C" w:rsidRDefault="005A48CF" w:rsidP="00576D5C">
      <w:pPr>
        <w:rPr>
          <w:rFonts w:asciiTheme="minorBidi" w:hAnsiTheme="minorBidi"/>
          <w:rtl/>
        </w:rPr>
      </w:pPr>
    </w:p>
    <w:p w14:paraId="46F400EE" w14:textId="77777777" w:rsidR="00E137BC" w:rsidRDefault="00E137BC" w:rsidP="006567B0">
      <w:pPr>
        <w:pStyle w:val="2"/>
        <w:rPr>
          <w:rtl/>
        </w:rPr>
      </w:pPr>
      <w:bookmarkStart w:id="195" w:name="_Toc24883673"/>
      <w:r w:rsidRPr="00576D5C">
        <w:rPr>
          <w:rtl/>
        </w:rPr>
        <w:t>סעיף ב</w:t>
      </w:r>
      <w:r w:rsidR="005A48CF">
        <w:rPr>
          <w:rFonts w:hint="cs"/>
          <w:rtl/>
        </w:rPr>
        <w:t>:</w:t>
      </w:r>
      <w:r w:rsidR="00E0370C">
        <w:rPr>
          <w:rFonts w:hint="cs"/>
          <w:rtl/>
        </w:rPr>
        <w:t xml:space="preserve"> מקלל שאינו לוקה </w:t>
      </w:r>
      <w:r w:rsidR="00E0370C">
        <w:rPr>
          <w:rtl/>
        </w:rPr>
        <w:t>–</w:t>
      </w:r>
      <w:r w:rsidR="00E0370C">
        <w:rPr>
          <w:rFonts w:hint="cs"/>
          <w:rtl/>
        </w:rPr>
        <w:t xml:space="preserve"> כיצד</w:t>
      </w:r>
      <w:r w:rsidR="0021091A">
        <w:rPr>
          <w:rFonts w:hint="cs"/>
          <w:rtl/>
        </w:rPr>
        <w:t>,</w:t>
      </w:r>
      <w:r w:rsidR="00E0370C">
        <w:rPr>
          <w:rFonts w:hint="cs"/>
          <w:rtl/>
        </w:rPr>
        <w:t xml:space="preserve"> והאם מענישים אותו בצורה אחרת.</w:t>
      </w:r>
      <w:bookmarkEnd w:id="195"/>
    </w:p>
    <w:p w14:paraId="19D4862D" w14:textId="77777777" w:rsidR="00C23BD3" w:rsidRPr="00A4009C" w:rsidRDefault="00C23BD3" w:rsidP="00C23BD3">
      <w:pPr>
        <w:rPr>
          <w:u w:val="single"/>
        </w:rPr>
      </w:pPr>
      <w:r>
        <w:rPr>
          <w:rFonts w:hint="cs"/>
          <w:u w:val="single"/>
          <w:rtl/>
        </w:rPr>
        <w:t>בכל הנ"ל</w:t>
      </w:r>
      <w:r>
        <w:rPr>
          <w:rFonts w:hint="cs"/>
          <w:sz w:val="16"/>
          <w:szCs w:val="16"/>
          <w:u w:val="single"/>
          <w:rtl/>
        </w:rPr>
        <w:t xml:space="preserve"> {המקלל או האומר ארור יהא}</w:t>
      </w:r>
      <w:r>
        <w:rPr>
          <w:rFonts w:hint="cs"/>
          <w:u w:val="single"/>
          <w:rtl/>
        </w:rPr>
        <w:t xml:space="preserve"> - </w:t>
      </w:r>
      <w:r w:rsidRPr="00A4009C">
        <w:rPr>
          <w:rFonts w:hint="cs"/>
          <w:u w:val="single"/>
          <w:rtl/>
        </w:rPr>
        <w:t>האם כדי להלקות צריך עדים:</w:t>
      </w:r>
    </w:p>
    <w:p w14:paraId="092C2C6A" w14:textId="77777777" w:rsidR="00C23BD3" w:rsidRPr="00D83325" w:rsidRDefault="00C23BD3" w:rsidP="004B0475">
      <w:pPr>
        <w:pStyle w:val="ac"/>
        <w:numPr>
          <w:ilvl w:val="0"/>
          <w:numId w:val="38"/>
        </w:numPr>
        <w:rPr>
          <w:rtl/>
        </w:rPr>
      </w:pPr>
      <w:r w:rsidRPr="00D83325">
        <w:rPr>
          <w:rFonts w:cs="Arial"/>
          <w:rtl/>
        </w:rPr>
        <w:t xml:space="preserve">רמב"ם </w:t>
      </w:r>
      <w:r w:rsidRPr="00D83325">
        <w:rPr>
          <w:rFonts w:cs="Arial" w:hint="cs"/>
          <w:sz w:val="16"/>
          <w:szCs w:val="16"/>
          <w:rtl/>
        </w:rPr>
        <w:t xml:space="preserve">(פכ"ו ה"ד) </w:t>
      </w:r>
      <w:r w:rsidRPr="00D83325">
        <w:rPr>
          <w:rFonts w:cs="Arial" w:hint="cs"/>
          <w:rtl/>
        </w:rPr>
        <w:t>וטור-</w:t>
      </w:r>
      <w:r>
        <w:rPr>
          <w:rFonts w:hint="cs"/>
          <w:rtl/>
        </w:rPr>
        <w:t xml:space="preserve"> </w:t>
      </w:r>
      <w:r w:rsidRPr="00D83325">
        <w:rPr>
          <w:rFonts w:cs="Arial"/>
          <w:rtl/>
        </w:rPr>
        <w:t>ובכל אלו אינו חייב מלקות עד שיתרו בו בפני עדים</w:t>
      </w:r>
      <w:r>
        <w:rPr>
          <w:rStyle w:val="ab"/>
          <w:rFonts w:cs="Arial"/>
          <w:rtl/>
        </w:rPr>
        <w:footnoteReference w:id="1343"/>
      </w:r>
      <w:r w:rsidRPr="00D83325">
        <w:rPr>
          <w:rFonts w:cs="Arial"/>
          <w:rtl/>
        </w:rPr>
        <w:t xml:space="preserve"> ככל חייבי לאוין</w:t>
      </w:r>
      <w:r>
        <w:rPr>
          <w:rFonts w:cs="Arial" w:hint="cs"/>
          <w:rtl/>
        </w:rPr>
        <w:t>,</w:t>
      </w:r>
      <w:r w:rsidRPr="00D83325">
        <w:rPr>
          <w:rFonts w:cs="Arial"/>
          <w:rtl/>
        </w:rPr>
        <w:t xml:space="preserve"> אבל אם לא היה שם התראה</w:t>
      </w:r>
      <w:r>
        <w:rPr>
          <w:rFonts w:cs="Arial" w:hint="cs"/>
          <w:rtl/>
        </w:rPr>
        <w:t>,</w:t>
      </w:r>
      <w:r w:rsidRPr="00D83325">
        <w:rPr>
          <w:rFonts w:cs="Arial"/>
          <w:rtl/>
        </w:rPr>
        <w:t xml:space="preserve"> או שקלל בלא שם ובלא כינוי</w:t>
      </w:r>
      <w:r>
        <w:rPr>
          <w:rFonts w:cs="Arial" w:hint="cs"/>
          <w:rtl/>
        </w:rPr>
        <w:t>,</w:t>
      </w:r>
      <w:r w:rsidRPr="00D83325">
        <w:rPr>
          <w:rFonts w:cs="Arial"/>
          <w:rtl/>
        </w:rPr>
        <w:t xml:space="preserve"> כגון שאמר </w:t>
      </w:r>
      <w:r>
        <w:rPr>
          <w:rFonts w:cs="Arial" w:hint="cs"/>
          <w:rtl/>
        </w:rPr>
        <w:t>'</w:t>
      </w:r>
      <w:r w:rsidRPr="00D83325">
        <w:rPr>
          <w:rFonts w:cs="Arial"/>
          <w:rtl/>
        </w:rPr>
        <w:t>ארור פלוני</w:t>
      </w:r>
      <w:r>
        <w:rPr>
          <w:rFonts w:cs="Arial" w:hint="cs"/>
          <w:rtl/>
        </w:rPr>
        <w:t>'</w:t>
      </w:r>
      <w:r w:rsidRPr="00D83325">
        <w:rPr>
          <w:rFonts w:cs="Arial"/>
          <w:rtl/>
        </w:rPr>
        <w:t xml:space="preserve"> או שהקללה באה מכלל הדברים כגון שאמר אל יהי פלוני ברוך לה' או אל יברכהו ה' וכיוצא כאלו </w:t>
      </w:r>
      <w:r>
        <w:rPr>
          <w:rFonts w:cs="Arial" w:hint="cs"/>
          <w:rtl/>
        </w:rPr>
        <w:t xml:space="preserve">- </w:t>
      </w:r>
      <w:r w:rsidRPr="00D83325">
        <w:rPr>
          <w:rFonts w:cs="Arial"/>
          <w:rtl/>
        </w:rPr>
        <w:t>אינו לוקה</w:t>
      </w:r>
      <w:r w:rsidRPr="00D83325">
        <w:rPr>
          <w:rFonts w:cs="Arial" w:hint="cs"/>
          <w:rtl/>
        </w:rPr>
        <w:t>,</w:t>
      </w:r>
      <w:r w:rsidRPr="00D83325">
        <w:rPr>
          <w:rFonts w:cs="Arial"/>
          <w:rtl/>
        </w:rPr>
        <w:t xml:space="preserve"> אבל איסורא מיהא איכא</w:t>
      </w:r>
      <w:r>
        <w:rPr>
          <w:rStyle w:val="ab"/>
          <w:rFonts w:cs="Arial"/>
          <w:rtl/>
        </w:rPr>
        <w:footnoteReference w:id="1344"/>
      </w:r>
      <w:r w:rsidRPr="00D83325">
        <w:rPr>
          <w:rFonts w:cs="Arial"/>
          <w:rtl/>
        </w:rPr>
        <w:t xml:space="preserve"> אע</w:t>
      </w:r>
      <w:r>
        <w:rPr>
          <w:rFonts w:cs="Arial" w:hint="cs"/>
          <w:rtl/>
        </w:rPr>
        <w:t>"</w:t>
      </w:r>
      <w:r w:rsidRPr="00D83325">
        <w:rPr>
          <w:rFonts w:cs="Arial"/>
          <w:rtl/>
        </w:rPr>
        <w:t>פ שאינו לוקה</w:t>
      </w:r>
      <w:r w:rsidRPr="00D83325">
        <w:rPr>
          <w:rFonts w:cs="Arial" w:hint="cs"/>
          <w:sz w:val="16"/>
          <w:szCs w:val="16"/>
          <w:rtl/>
        </w:rPr>
        <w:t xml:space="preserve"> (ל' הטור)</w:t>
      </w:r>
      <w:r w:rsidRPr="00D83325">
        <w:rPr>
          <w:rFonts w:cs="Arial" w:hint="cs"/>
          <w:rtl/>
        </w:rPr>
        <w:t>.</w:t>
      </w:r>
      <w:r w:rsidRPr="00D83325">
        <w:rPr>
          <w:rFonts w:cs="Arial"/>
          <w:rtl/>
        </w:rPr>
        <w:t xml:space="preserve"> </w:t>
      </w:r>
      <w:r w:rsidRPr="00A4009C">
        <w:rPr>
          <w:rFonts w:hint="cs"/>
          <w:color w:val="E36C0A" w:themeColor="accent6" w:themeShade="BF"/>
          <w:rtl/>
        </w:rPr>
        <w:t>(וכ"פ בשו"ע)</w:t>
      </w:r>
    </w:p>
    <w:p w14:paraId="7EB09D98" w14:textId="77777777" w:rsidR="00E0370C" w:rsidRDefault="00E0370C" w:rsidP="00D419EE">
      <w:pPr>
        <w:rPr>
          <w:rFonts w:cs="Arial"/>
          <w:rtl/>
        </w:rPr>
      </w:pPr>
      <w:r w:rsidRPr="00E0370C">
        <w:rPr>
          <w:rFonts w:cs="Arial" w:hint="cs"/>
          <w:u w:val="single"/>
          <w:rtl/>
        </w:rPr>
        <w:t>המקלל את המת:</w:t>
      </w:r>
    </w:p>
    <w:p w14:paraId="589ACE2C" w14:textId="77777777" w:rsidR="001F7EF8" w:rsidRDefault="00E0370C" w:rsidP="004B0475">
      <w:pPr>
        <w:pStyle w:val="ac"/>
        <w:numPr>
          <w:ilvl w:val="0"/>
          <w:numId w:val="38"/>
        </w:numPr>
      </w:pPr>
      <w:r w:rsidRPr="00E0370C">
        <w:rPr>
          <w:rFonts w:cs="Arial" w:hint="cs"/>
          <w:rtl/>
        </w:rPr>
        <w:t xml:space="preserve">רמב"ם </w:t>
      </w:r>
      <w:r w:rsidRPr="00E0370C">
        <w:rPr>
          <w:rFonts w:cs="Arial" w:hint="cs"/>
          <w:sz w:val="16"/>
          <w:szCs w:val="16"/>
          <w:rtl/>
        </w:rPr>
        <w:t>(פכ"ו ה"ב)</w:t>
      </w:r>
      <w:r w:rsidRPr="00E0370C">
        <w:rPr>
          <w:rFonts w:cs="Arial" w:hint="cs"/>
          <w:rtl/>
        </w:rPr>
        <w:t xml:space="preserve"> </w:t>
      </w:r>
      <w:r w:rsidR="00E33AB2" w:rsidRPr="001F7EF8">
        <w:rPr>
          <w:rFonts w:cs="Arial"/>
          <w:rtl/>
        </w:rPr>
        <w:t>סמ"ג</w:t>
      </w:r>
      <w:r w:rsidR="00E33AB2" w:rsidRPr="00E33AB2">
        <w:rPr>
          <w:rFonts w:cs="Arial"/>
          <w:sz w:val="16"/>
          <w:szCs w:val="16"/>
          <w:rtl/>
        </w:rPr>
        <w:t xml:space="preserve"> (לאוין ריא סה ע"ד)</w:t>
      </w:r>
      <w:r w:rsidR="00E33AB2" w:rsidRPr="00E33AB2">
        <w:rPr>
          <w:rFonts w:cs="Arial" w:hint="cs"/>
          <w:sz w:val="16"/>
          <w:szCs w:val="16"/>
          <w:rtl/>
        </w:rPr>
        <w:t xml:space="preserve"> </w:t>
      </w:r>
      <w:r w:rsidRPr="00E0370C">
        <w:rPr>
          <w:rFonts w:cs="Arial" w:hint="cs"/>
          <w:rtl/>
        </w:rPr>
        <w:t xml:space="preserve">וטור- </w:t>
      </w:r>
      <w:r w:rsidR="001F7EF8" w:rsidRPr="00E0370C">
        <w:rPr>
          <w:rFonts w:cs="Arial"/>
          <w:rtl/>
        </w:rPr>
        <w:t>המקלל את המת פטור</w:t>
      </w:r>
      <w:r>
        <w:rPr>
          <w:rStyle w:val="ab"/>
          <w:rFonts w:cs="Arial"/>
          <w:rtl/>
        </w:rPr>
        <w:footnoteReference w:id="1345"/>
      </w:r>
      <w:r w:rsidR="001F7EF8" w:rsidRPr="00E0370C">
        <w:rPr>
          <w:rFonts w:cs="Arial"/>
          <w:rtl/>
        </w:rPr>
        <w:t xml:space="preserve">. </w:t>
      </w:r>
      <w:r w:rsidR="00E33AB2" w:rsidRPr="00E33AB2">
        <w:rPr>
          <w:rFonts w:hint="cs"/>
          <w:color w:val="00B0F0"/>
          <w:rtl/>
        </w:rPr>
        <w:t>(וכ"פ הרמ"א)</w:t>
      </w:r>
    </w:p>
    <w:p w14:paraId="45E454DC" w14:textId="77777777" w:rsidR="00E0370C" w:rsidRPr="00E0370C" w:rsidRDefault="00E0370C" w:rsidP="00E0370C">
      <w:pPr>
        <w:rPr>
          <w:u w:val="single"/>
          <w:rtl/>
        </w:rPr>
      </w:pPr>
      <w:r w:rsidRPr="00E0370C">
        <w:rPr>
          <w:rFonts w:hint="cs"/>
          <w:u w:val="single"/>
          <w:rtl/>
        </w:rPr>
        <w:t>מקלל שאינו לוקה</w:t>
      </w:r>
      <w:r w:rsidRPr="00E0370C">
        <w:rPr>
          <w:rFonts w:hint="cs"/>
          <w:sz w:val="16"/>
          <w:szCs w:val="16"/>
          <w:u w:val="single"/>
          <w:rtl/>
        </w:rPr>
        <w:t xml:space="preserve"> (כגון שלא התרו בו</w:t>
      </w:r>
      <w:r>
        <w:rPr>
          <w:rFonts w:hint="cs"/>
          <w:sz w:val="16"/>
          <w:szCs w:val="16"/>
          <w:u w:val="single"/>
          <w:rtl/>
        </w:rPr>
        <w:t xml:space="preserve"> וכדו'</w:t>
      </w:r>
      <w:r w:rsidRPr="00E0370C">
        <w:rPr>
          <w:rFonts w:hint="cs"/>
          <w:sz w:val="16"/>
          <w:szCs w:val="16"/>
          <w:u w:val="single"/>
          <w:rtl/>
        </w:rPr>
        <w:t>)</w:t>
      </w:r>
      <w:r w:rsidRPr="00E0370C">
        <w:rPr>
          <w:rFonts w:hint="cs"/>
          <w:u w:val="single"/>
          <w:rtl/>
        </w:rPr>
        <w:t xml:space="preserve"> </w:t>
      </w:r>
      <w:r w:rsidRPr="00E0370C">
        <w:rPr>
          <w:u w:val="single"/>
          <w:rtl/>
        </w:rPr>
        <w:t>–</w:t>
      </w:r>
      <w:r w:rsidRPr="00E0370C">
        <w:rPr>
          <w:rFonts w:hint="cs"/>
          <w:u w:val="single"/>
          <w:rtl/>
        </w:rPr>
        <w:t xml:space="preserve"> האם עונשין אותו בדרך אחרת:</w:t>
      </w:r>
    </w:p>
    <w:p w14:paraId="639864D2" w14:textId="77777777" w:rsidR="00D419EE" w:rsidRDefault="00D419EE" w:rsidP="004B0475">
      <w:pPr>
        <w:pStyle w:val="ac"/>
        <w:numPr>
          <w:ilvl w:val="0"/>
          <w:numId w:val="38"/>
        </w:numPr>
        <w:rPr>
          <w:rFonts w:cs="Arial"/>
        </w:rPr>
      </w:pPr>
      <w:r w:rsidRPr="0039222D">
        <w:rPr>
          <w:rFonts w:cs="Arial" w:hint="cs"/>
          <w:rtl/>
        </w:rPr>
        <w:t xml:space="preserve">רמב"ם </w:t>
      </w:r>
      <w:r w:rsidRPr="0039222D">
        <w:rPr>
          <w:rFonts w:cs="Arial" w:hint="cs"/>
          <w:sz w:val="16"/>
          <w:szCs w:val="16"/>
          <w:rtl/>
        </w:rPr>
        <w:t>(פכ"ו ה"ו)</w:t>
      </w:r>
      <w:r w:rsidRPr="0039222D">
        <w:rPr>
          <w:rFonts w:cs="Arial" w:hint="cs"/>
          <w:rtl/>
        </w:rPr>
        <w:t xml:space="preserve"> וטור- </w:t>
      </w:r>
      <w:r w:rsidRPr="0039222D">
        <w:rPr>
          <w:rFonts w:cs="Arial"/>
          <w:rtl/>
        </w:rPr>
        <w:t>אע</w:t>
      </w:r>
      <w:r w:rsidR="00C23BD3">
        <w:rPr>
          <w:rFonts w:cs="Arial" w:hint="cs"/>
          <w:rtl/>
        </w:rPr>
        <w:t>"</w:t>
      </w:r>
      <w:r w:rsidRPr="0039222D">
        <w:rPr>
          <w:rFonts w:cs="Arial"/>
          <w:rtl/>
        </w:rPr>
        <w:t>פ שאינו לוקה אם חרף תלמיד חכם</w:t>
      </w:r>
      <w:r w:rsidR="00E33AB2">
        <w:rPr>
          <w:rFonts w:cs="Arial" w:hint="cs"/>
          <w:rtl/>
        </w:rPr>
        <w:t xml:space="preserve"> -</w:t>
      </w:r>
      <w:r w:rsidRPr="0039222D">
        <w:rPr>
          <w:rFonts w:cs="Arial"/>
          <w:rtl/>
        </w:rPr>
        <w:t xml:space="preserve"> מנדין אותו</w:t>
      </w:r>
      <w:r w:rsidR="00E33AB2">
        <w:rPr>
          <w:rFonts w:cs="Arial" w:hint="cs"/>
          <w:rtl/>
        </w:rPr>
        <w:t>.</w:t>
      </w:r>
      <w:r w:rsidRPr="0039222D">
        <w:rPr>
          <w:rFonts w:cs="Arial"/>
          <w:rtl/>
        </w:rPr>
        <w:t xml:space="preserve"> ואם רצו הדיינים להכותו מכת מרדות </w:t>
      </w:r>
      <w:r w:rsidR="00E33AB2">
        <w:rPr>
          <w:rFonts w:cs="Arial" w:hint="cs"/>
          <w:rtl/>
        </w:rPr>
        <w:t xml:space="preserve">- </w:t>
      </w:r>
      <w:r w:rsidRPr="0039222D">
        <w:rPr>
          <w:rFonts w:cs="Arial"/>
          <w:rtl/>
        </w:rPr>
        <w:t>מכין ועונשין אותו כפי מה שיראו</w:t>
      </w:r>
      <w:r w:rsidR="00E33AB2">
        <w:rPr>
          <w:rFonts w:cs="Arial" w:hint="cs"/>
          <w:rtl/>
        </w:rPr>
        <w:t>,</w:t>
      </w:r>
      <w:r w:rsidRPr="0039222D">
        <w:rPr>
          <w:rFonts w:cs="Arial"/>
          <w:rtl/>
        </w:rPr>
        <w:t xml:space="preserve"> שהרי בזה את הזקן</w:t>
      </w:r>
      <w:r w:rsidR="00E33AB2">
        <w:rPr>
          <w:rFonts w:cs="Arial" w:hint="cs"/>
          <w:rtl/>
        </w:rPr>
        <w:t>.</w:t>
      </w:r>
      <w:r w:rsidRPr="0039222D">
        <w:rPr>
          <w:rFonts w:cs="Arial"/>
          <w:rtl/>
        </w:rPr>
        <w:t xml:space="preserve"> ואם חרף עם הארץ </w:t>
      </w:r>
      <w:r w:rsidR="00E33AB2">
        <w:rPr>
          <w:rFonts w:cs="Arial" w:hint="cs"/>
          <w:rtl/>
        </w:rPr>
        <w:t xml:space="preserve">- </w:t>
      </w:r>
      <w:r w:rsidRPr="0039222D">
        <w:rPr>
          <w:rFonts w:cs="Arial"/>
          <w:rtl/>
        </w:rPr>
        <w:t>עונשין הדיינים בדבר כפי מה שהשעה צריכה לו לפי המחרף ולפי זה שנתחרף</w:t>
      </w:r>
      <w:r w:rsidR="00C23BD3" w:rsidRPr="00D83325">
        <w:rPr>
          <w:rFonts w:cs="Arial" w:hint="cs"/>
          <w:sz w:val="16"/>
          <w:szCs w:val="16"/>
          <w:rtl/>
        </w:rPr>
        <w:t xml:space="preserve"> (ל' </w:t>
      </w:r>
      <w:r w:rsidR="00C23BD3">
        <w:rPr>
          <w:rFonts w:cs="Arial" w:hint="cs"/>
          <w:sz w:val="16"/>
          <w:szCs w:val="16"/>
          <w:rtl/>
        </w:rPr>
        <w:t>הרמב"ם</w:t>
      </w:r>
      <w:r w:rsidR="00C23BD3" w:rsidRPr="00D83325">
        <w:rPr>
          <w:rFonts w:cs="Arial" w:hint="cs"/>
          <w:sz w:val="16"/>
          <w:szCs w:val="16"/>
          <w:rtl/>
        </w:rPr>
        <w:t>)</w:t>
      </w:r>
      <w:r w:rsidRPr="0039222D">
        <w:rPr>
          <w:rFonts w:cs="Arial"/>
          <w:rtl/>
        </w:rPr>
        <w:t xml:space="preserve">. </w:t>
      </w:r>
      <w:r w:rsidR="00E33AB2" w:rsidRPr="00A4009C">
        <w:rPr>
          <w:rFonts w:hint="cs"/>
          <w:color w:val="E36C0A" w:themeColor="accent6" w:themeShade="BF"/>
          <w:rtl/>
        </w:rPr>
        <w:t>(וכ"פ בשו"ע)</w:t>
      </w:r>
    </w:p>
    <w:p w14:paraId="6860B184" w14:textId="77777777" w:rsidR="00E0370C" w:rsidRPr="00E0370C" w:rsidRDefault="00E0370C" w:rsidP="00E0370C">
      <w:pPr>
        <w:rPr>
          <w:rFonts w:cs="Arial"/>
          <w:u w:val="single"/>
          <w:rtl/>
        </w:rPr>
      </w:pPr>
      <w:r w:rsidRPr="00E0370C">
        <w:rPr>
          <w:rFonts w:cs="Arial" w:hint="cs"/>
          <w:u w:val="single"/>
          <w:rtl/>
        </w:rPr>
        <w:t>האם המתקלל יכול למחול למקלל על קללתו:</w:t>
      </w:r>
    </w:p>
    <w:p w14:paraId="6086FE00" w14:textId="77777777" w:rsidR="0039222D" w:rsidRDefault="00D419EE" w:rsidP="004B0475">
      <w:pPr>
        <w:pStyle w:val="ac"/>
        <w:numPr>
          <w:ilvl w:val="0"/>
          <w:numId w:val="38"/>
        </w:numPr>
        <w:rPr>
          <w:rFonts w:cs="Arial"/>
        </w:rPr>
      </w:pPr>
      <w:r w:rsidRPr="00D419EE">
        <w:rPr>
          <w:rFonts w:cs="Arial" w:hint="cs"/>
          <w:rtl/>
        </w:rPr>
        <w:t xml:space="preserve">רמב"ם </w:t>
      </w:r>
      <w:r w:rsidRPr="00D419EE">
        <w:rPr>
          <w:rFonts w:cs="Arial" w:hint="cs"/>
          <w:sz w:val="16"/>
          <w:szCs w:val="16"/>
          <w:rtl/>
        </w:rPr>
        <w:t>(פכ"ו ה"ו)</w:t>
      </w:r>
      <w:r w:rsidRPr="00D419EE">
        <w:rPr>
          <w:rFonts w:cs="Arial" w:hint="cs"/>
          <w:rtl/>
        </w:rPr>
        <w:t xml:space="preserve">- </w:t>
      </w:r>
      <w:r w:rsidRPr="00D419EE">
        <w:rPr>
          <w:rFonts w:cs="Arial"/>
          <w:rtl/>
        </w:rPr>
        <w:t>אע</w:t>
      </w:r>
      <w:r w:rsidR="00E33AB2">
        <w:rPr>
          <w:rFonts w:cs="Arial" w:hint="cs"/>
          <w:rtl/>
        </w:rPr>
        <w:t>"</w:t>
      </w:r>
      <w:r w:rsidRPr="00D419EE">
        <w:rPr>
          <w:rFonts w:cs="Arial"/>
          <w:rtl/>
        </w:rPr>
        <w:t xml:space="preserve">פ שיש לו לדיין או לנשיא למחול על כבודו </w:t>
      </w:r>
      <w:r w:rsidR="00E33AB2">
        <w:rPr>
          <w:rFonts w:cs="Arial" w:hint="cs"/>
          <w:rtl/>
        </w:rPr>
        <w:t xml:space="preserve">- </w:t>
      </w:r>
      <w:r w:rsidRPr="00D419EE">
        <w:rPr>
          <w:rFonts w:cs="Arial"/>
          <w:rtl/>
        </w:rPr>
        <w:t>אינו יכול למחול על קללתו</w:t>
      </w:r>
      <w:r w:rsidR="00E33AB2">
        <w:rPr>
          <w:rFonts w:cs="Arial" w:hint="cs"/>
          <w:rtl/>
        </w:rPr>
        <w:t>.</w:t>
      </w:r>
      <w:r w:rsidRPr="00D419EE">
        <w:rPr>
          <w:rFonts w:cs="Arial"/>
          <w:rtl/>
        </w:rPr>
        <w:t xml:space="preserve"> וכן שאר העם אע</w:t>
      </w:r>
      <w:r w:rsidR="00E33AB2">
        <w:rPr>
          <w:rFonts w:cs="Arial" w:hint="cs"/>
          <w:rtl/>
        </w:rPr>
        <w:t>"</w:t>
      </w:r>
      <w:r w:rsidRPr="00D419EE">
        <w:rPr>
          <w:rFonts w:cs="Arial"/>
          <w:rtl/>
        </w:rPr>
        <w:t xml:space="preserve">פ שמחל המקולל </w:t>
      </w:r>
      <w:r w:rsidR="00E33AB2">
        <w:rPr>
          <w:rFonts w:cs="Arial" w:hint="cs"/>
          <w:rtl/>
        </w:rPr>
        <w:t xml:space="preserve">- </w:t>
      </w:r>
      <w:r w:rsidRPr="00D419EE">
        <w:rPr>
          <w:rFonts w:cs="Arial"/>
          <w:rtl/>
        </w:rPr>
        <w:t>מלקין את המקלל שכבר חטא ונתחייב</w:t>
      </w:r>
      <w:r w:rsidR="0039222D">
        <w:rPr>
          <w:rStyle w:val="ab"/>
          <w:rFonts w:cs="Arial"/>
          <w:rtl/>
        </w:rPr>
        <w:footnoteReference w:id="1346"/>
      </w:r>
      <w:r w:rsidRPr="00D419EE">
        <w:rPr>
          <w:rFonts w:cs="Arial" w:hint="cs"/>
          <w:rtl/>
        </w:rPr>
        <w:t>.</w:t>
      </w:r>
      <w:r w:rsidR="007E07DF">
        <w:rPr>
          <w:rFonts w:cs="Arial" w:hint="cs"/>
          <w:rtl/>
        </w:rPr>
        <w:t xml:space="preserve"> </w:t>
      </w:r>
      <w:r w:rsidR="007E07DF" w:rsidRPr="00E33AB2">
        <w:rPr>
          <w:rFonts w:hint="cs"/>
          <w:color w:val="00B0F0"/>
          <w:rtl/>
        </w:rPr>
        <w:t>(וכ"פ הרמ"א)</w:t>
      </w:r>
    </w:p>
    <w:p w14:paraId="35CB392A" w14:textId="77777777" w:rsidR="00E0370C" w:rsidRPr="00E0370C" w:rsidRDefault="00E0370C" w:rsidP="00E0370C">
      <w:pPr>
        <w:ind w:left="360"/>
        <w:rPr>
          <w:rFonts w:cs="Arial"/>
          <w:u w:val="dotted"/>
        </w:rPr>
      </w:pPr>
      <w:r w:rsidRPr="00E0370C">
        <w:rPr>
          <w:rFonts w:cs="Arial" w:hint="cs"/>
          <w:u w:val="dotted"/>
          <w:rtl/>
        </w:rPr>
        <w:t>מחילה למי שנתחייב נידוי:</w:t>
      </w:r>
    </w:p>
    <w:p w14:paraId="505CE111" w14:textId="77777777" w:rsidR="00D419EE" w:rsidRPr="0039222D" w:rsidRDefault="00D419EE" w:rsidP="004B0475">
      <w:pPr>
        <w:pStyle w:val="ac"/>
        <w:numPr>
          <w:ilvl w:val="0"/>
          <w:numId w:val="38"/>
        </w:numPr>
        <w:rPr>
          <w:rFonts w:cs="Arial"/>
          <w:rtl/>
        </w:rPr>
      </w:pPr>
      <w:r w:rsidRPr="0039222D">
        <w:rPr>
          <w:rFonts w:cs="Arial" w:hint="cs"/>
          <w:rtl/>
        </w:rPr>
        <w:t xml:space="preserve">רמב"ם </w:t>
      </w:r>
      <w:r w:rsidRPr="0039222D">
        <w:rPr>
          <w:rFonts w:cs="Arial" w:hint="cs"/>
          <w:sz w:val="16"/>
          <w:szCs w:val="16"/>
          <w:rtl/>
        </w:rPr>
        <w:t>(פכ"ו ה"ו)</w:t>
      </w:r>
      <w:r w:rsidRPr="0039222D">
        <w:rPr>
          <w:rFonts w:cs="Arial" w:hint="cs"/>
          <w:rtl/>
        </w:rPr>
        <w:t xml:space="preserve"> וטור- </w:t>
      </w:r>
      <w:r w:rsidRPr="0039222D">
        <w:rPr>
          <w:rFonts w:cs="Arial"/>
          <w:rtl/>
        </w:rPr>
        <w:t xml:space="preserve">אבל מי שנתחייב נידוי מפני שהפקיר בבית דין ורצו בית דין למחול על כבודן ולא נדוהו </w:t>
      </w:r>
      <w:r w:rsidR="00E33AB2">
        <w:rPr>
          <w:rFonts w:cs="Arial" w:hint="cs"/>
          <w:rtl/>
        </w:rPr>
        <w:t xml:space="preserve">- </w:t>
      </w:r>
      <w:r w:rsidRPr="0039222D">
        <w:rPr>
          <w:rFonts w:cs="Arial"/>
          <w:rtl/>
        </w:rPr>
        <w:t xml:space="preserve">הרשות בידן, והוא שלא יהיה בדבר הפסד בכבוד הבורא, כגון שהיו העם מבעטין בדברי תורה ובדיינים, הואיל ופקרו העם בדבר </w:t>
      </w:r>
      <w:r w:rsidR="00E33AB2">
        <w:rPr>
          <w:rFonts w:cs="Arial" w:hint="cs"/>
          <w:rtl/>
        </w:rPr>
        <w:t xml:space="preserve">- </w:t>
      </w:r>
      <w:r w:rsidRPr="0039222D">
        <w:rPr>
          <w:rFonts w:cs="Arial"/>
          <w:rtl/>
        </w:rPr>
        <w:t>צריכין לחזק ולענוש כפי מה שיראה להם</w:t>
      </w:r>
      <w:r w:rsidRPr="0039222D">
        <w:rPr>
          <w:rFonts w:cs="Arial" w:hint="cs"/>
          <w:sz w:val="16"/>
          <w:szCs w:val="16"/>
          <w:rtl/>
        </w:rPr>
        <w:t xml:space="preserve"> (ל' הרמב"ם)</w:t>
      </w:r>
      <w:r w:rsidRPr="0039222D">
        <w:rPr>
          <w:rFonts w:cs="Arial"/>
          <w:rtl/>
        </w:rPr>
        <w:t>.</w:t>
      </w:r>
      <w:r w:rsidR="007E07DF" w:rsidRPr="007E07DF">
        <w:rPr>
          <w:rFonts w:hint="cs"/>
          <w:color w:val="E36C0A" w:themeColor="accent6" w:themeShade="BF"/>
          <w:rtl/>
        </w:rPr>
        <w:t xml:space="preserve"> </w:t>
      </w:r>
      <w:r w:rsidR="007E07DF" w:rsidRPr="00A4009C">
        <w:rPr>
          <w:rFonts w:hint="cs"/>
          <w:color w:val="E36C0A" w:themeColor="accent6" w:themeShade="BF"/>
          <w:rtl/>
        </w:rPr>
        <w:t>(וכ"פ בשו"ע)</w:t>
      </w:r>
    </w:p>
    <w:p w14:paraId="163316BB" w14:textId="77777777" w:rsidR="00E137BC" w:rsidRPr="00576D5C" w:rsidRDefault="00E137BC" w:rsidP="00576D5C">
      <w:pPr>
        <w:rPr>
          <w:rFonts w:asciiTheme="minorBidi" w:hAnsiTheme="minorBidi"/>
          <w:b/>
          <w:bCs/>
          <w:color w:val="000000"/>
          <w:sz w:val="28"/>
          <w:szCs w:val="28"/>
          <w:u w:val="single"/>
          <w:rtl/>
        </w:rPr>
      </w:pPr>
      <w:r w:rsidRPr="00576D5C">
        <w:rPr>
          <w:rFonts w:asciiTheme="minorBidi" w:hAnsiTheme="minorBidi"/>
          <w:b/>
          <w:bCs/>
          <w:color w:val="000000"/>
          <w:sz w:val="28"/>
          <w:szCs w:val="28"/>
          <w:u w:val="single"/>
          <w:rtl/>
        </w:rPr>
        <w:t>שו"ע:</w:t>
      </w:r>
    </w:p>
    <w:p w14:paraId="40FBB756" w14:textId="77777777" w:rsidR="00E137BC" w:rsidRDefault="00E137BC" w:rsidP="00576D5C">
      <w:pPr>
        <w:rPr>
          <w:rFonts w:asciiTheme="minorBidi" w:hAnsiTheme="minorBidi"/>
          <w:rtl/>
        </w:rPr>
      </w:pPr>
      <w:r w:rsidRPr="00576D5C">
        <w:rPr>
          <w:rFonts w:asciiTheme="minorBidi" w:hAnsiTheme="minorBidi"/>
          <w:rtl/>
        </w:rPr>
        <w:t>אם לא היתה שם התראה, או שקלל בלא שם ובלא כינוי, או שהיתה הקללה באה מכלל הדברים כגון שאמר: אל יהי פלוני ברוך לה'</w:t>
      </w:r>
      <w:r w:rsidR="00565A38">
        <w:rPr>
          <w:rStyle w:val="ab"/>
          <w:rFonts w:asciiTheme="minorBidi" w:hAnsiTheme="minorBidi"/>
          <w:rtl/>
        </w:rPr>
        <w:footnoteReference w:id="1347"/>
      </w:r>
      <w:r w:rsidRPr="00576D5C">
        <w:rPr>
          <w:rFonts w:asciiTheme="minorBidi" w:hAnsiTheme="minorBidi"/>
          <w:rtl/>
        </w:rPr>
        <w:t>, אינו לוקה.</w:t>
      </w:r>
      <w:r w:rsidR="005A48CF">
        <w:rPr>
          <w:rFonts w:asciiTheme="minorBidi" w:hAnsiTheme="minorBidi" w:hint="cs"/>
          <w:sz w:val="18"/>
          <w:szCs w:val="18"/>
          <w:rtl/>
        </w:rPr>
        <w:t xml:space="preserve"> </w:t>
      </w:r>
      <w:r w:rsidR="005A48CF" w:rsidRPr="005A48CF">
        <w:rPr>
          <w:rFonts w:asciiTheme="minorBidi" w:hAnsiTheme="minorBidi" w:hint="cs"/>
          <w:sz w:val="18"/>
          <w:szCs w:val="18"/>
          <w:rtl/>
        </w:rPr>
        <w:t xml:space="preserve">[הגה] </w:t>
      </w:r>
      <w:r w:rsidRPr="005A48CF">
        <w:rPr>
          <w:rFonts w:asciiTheme="minorBidi" w:hAnsiTheme="minorBidi"/>
          <w:sz w:val="18"/>
          <w:szCs w:val="18"/>
          <w:rtl/>
        </w:rPr>
        <w:t xml:space="preserve">וה"ה המקלל את המת, פטור (טור), </w:t>
      </w:r>
      <w:r w:rsidRPr="00576D5C">
        <w:rPr>
          <w:rFonts w:asciiTheme="minorBidi" w:hAnsiTheme="minorBidi"/>
          <w:rtl/>
        </w:rPr>
        <w:t>אבל איסורא מיהא איכא. ואם חרף תלמיד חכם, מנדין אותו</w:t>
      </w:r>
      <w:r w:rsidR="0021091A">
        <w:rPr>
          <w:rFonts w:asciiTheme="minorBidi" w:hAnsiTheme="minorBidi" w:hint="cs"/>
          <w:rtl/>
        </w:rPr>
        <w:t>,</w:t>
      </w:r>
      <w:r w:rsidRPr="00576D5C">
        <w:rPr>
          <w:rFonts w:asciiTheme="minorBidi" w:hAnsiTheme="minorBidi"/>
          <w:rtl/>
        </w:rPr>
        <w:t xml:space="preserve"> ואם רצו הדיינין להכותו</w:t>
      </w:r>
      <w:r w:rsidR="00565A38">
        <w:rPr>
          <w:rStyle w:val="ab"/>
          <w:rFonts w:asciiTheme="minorBidi" w:hAnsiTheme="minorBidi"/>
          <w:rtl/>
        </w:rPr>
        <w:footnoteReference w:id="1348"/>
      </w:r>
      <w:r w:rsidRPr="00576D5C">
        <w:rPr>
          <w:rFonts w:asciiTheme="minorBidi" w:hAnsiTheme="minorBidi"/>
          <w:rtl/>
        </w:rPr>
        <w:t xml:space="preserve"> מכת מרדות, מכין ועונשין אותו במה שיראו. ואם חרף ע</w:t>
      </w:r>
      <w:r w:rsidR="00E0370C">
        <w:rPr>
          <w:rFonts w:asciiTheme="minorBidi" w:hAnsiTheme="minorBidi" w:hint="cs"/>
          <w:rtl/>
        </w:rPr>
        <w:t xml:space="preserve">ם </w:t>
      </w:r>
      <w:r w:rsidRPr="00576D5C">
        <w:rPr>
          <w:rFonts w:asciiTheme="minorBidi" w:hAnsiTheme="minorBidi"/>
          <w:rtl/>
        </w:rPr>
        <w:t>ה</w:t>
      </w:r>
      <w:r w:rsidR="00E0370C">
        <w:rPr>
          <w:rFonts w:asciiTheme="minorBidi" w:hAnsiTheme="minorBidi" w:hint="cs"/>
          <w:rtl/>
        </w:rPr>
        <w:t>ארץ</w:t>
      </w:r>
      <w:r w:rsidRPr="00576D5C">
        <w:rPr>
          <w:rFonts w:asciiTheme="minorBidi" w:hAnsiTheme="minorBidi"/>
          <w:rtl/>
        </w:rPr>
        <w:t xml:space="preserve">, עונשין אותו כפי </w:t>
      </w:r>
      <w:r w:rsidRPr="00576D5C">
        <w:rPr>
          <w:rFonts w:asciiTheme="minorBidi" w:hAnsiTheme="minorBidi"/>
          <w:rtl/>
        </w:rPr>
        <w:lastRenderedPageBreak/>
        <w:t xml:space="preserve">שהשעה צריכה. </w:t>
      </w:r>
      <w:r w:rsidR="005A48CF" w:rsidRPr="005A48CF">
        <w:rPr>
          <w:rFonts w:asciiTheme="minorBidi" w:hAnsiTheme="minorBidi" w:hint="cs"/>
          <w:sz w:val="18"/>
          <w:szCs w:val="18"/>
          <w:rtl/>
        </w:rPr>
        <w:t xml:space="preserve">[הגה] </w:t>
      </w:r>
      <w:r w:rsidRPr="005A48CF">
        <w:rPr>
          <w:rFonts w:asciiTheme="minorBidi" w:hAnsiTheme="minorBidi"/>
          <w:sz w:val="18"/>
          <w:szCs w:val="18"/>
          <w:rtl/>
        </w:rPr>
        <w:t xml:space="preserve">אפילו מחל </w:t>
      </w:r>
      <w:r w:rsidR="0021091A">
        <w:rPr>
          <w:rFonts w:asciiTheme="minorBidi" w:hAnsiTheme="minorBidi" w:hint="cs"/>
          <w:sz w:val="18"/>
          <w:szCs w:val="18"/>
          <w:rtl/>
        </w:rPr>
        <w:t>[</w:t>
      </w:r>
      <w:r w:rsidRPr="005A48CF">
        <w:rPr>
          <w:rFonts w:asciiTheme="minorBidi" w:hAnsiTheme="minorBidi"/>
          <w:sz w:val="18"/>
          <w:szCs w:val="18"/>
          <w:rtl/>
        </w:rPr>
        <w:t>המתקלל</w:t>
      </w:r>
      <w:r w:rsidR="0021091A">
        <w:rPr>
          <w:rStyle w:val="ab"/>
          <w:rFonts w:asciiTheme="minorBidi" w:hAnsiTheme="minorBidi"/>
          <w:sz w:val="18"/>
          <w:szCs w:val="18"/>
          <w:rtl/>
        </w:rPr>
        <w:footnoteReference w:id="1349"/>
      </w:r>
      <w:r w:rsidR="0021091A">
        <w:rPr>
          <w:rFonts w:asciiTheme="minorBidi" w:hAnsiTheme="minorBidi" w:hint="cs"/>
          <w:sz w:val="18"/>
          <w:szCs w:val="18"/>
          <w:rtl/>
        </w:rPr>
        <w:t>]</w:t>
      </w:r>
      <w:r w:rsidRPr="005A48CF">
        <w:rPr>
          <w:rFonts w:asciiTheme="minorBidi" w:hAnsiTheme="minorBidi"/>
          <w:sz w:val="18"/>
          <w:szCs w:val="18"/>
          <w:rtl/>
        </w:rPr>
        <w:t>, עונשין אותו, שכבר חטא ונתחייב (טור).</w:t>
      </w:r>
      <w:r w:rsidRPr="00576D5C">
        <w:rPr>
          <w:rFonts w:asciiTheme="minorBidi" w:hAnsiTheme="minorBidi"/>
          <w:rtl/>
        </w:rPr>
        <w:t xml:space="preserve"> מי שנתחייב נדוי מפני שהפקיר בב</w:t>
      </w:r>
      <w:r w:rsidR="005A48CF">
        <w:rPr>
          <w:rFonts w:asciiTheme="minorBidi" w:hAnsiTheme="minorBidi" w:hint="cs"/>
          <w:rtl/>
        </w:rPr>
        <w:t xml:space="preserve">ית </w:t>
      </w:r>
      <w:r w:rsidRPr="00576D5C">
        <w:rPr>
          <w:rFonts w:asciiTheme="minorBidi" w:hAnsiTheme="minorBidi"/>
          <w:rtl/>
        </w:rPr>
        <w:t>ד</w:t>
      </w:r>
      <w:r w:rsidR="005A48CF">
        <w:rPr>
          <w:rFonts w:asciiTheme="minorBidi" w:hAnsiTheme="minorBidi" w:hint="cs"/>
          <w:rtl/>
        </w:rPr>
        <w:t>ין</w:t>
      </w:r>
      <w:r w:rsidRPr="00576D5C">
        <w:rPr>
          <w:rFonts w:asciiTheme="minorBidi" w:hAnsiTheme="minorBidi"/>
          <w:rtl/>
        </w:rPr>
        <w:t>, ורצו ב</w:t>
      </w:r>
      <w:r w:rsidR="005A48CF">
        <w:rPr>
          <w:rFonts w:asciiTheme="minorBidi" w:hAnsiTheme="minorBidi" w:hint="cs"/>
          <w:rtl/>
        </w:rPr>
        <w:t xml:space="preserve">ית </w:t>
      </w:r>
      <w:r w:rsidRPr="00576D5C">
        <w:rPr>
          <w:rFonts w:asciiTheme="minorBidi" w:hAnsiTheme="minorBidi"/>
          <w:rtl/>
        </w:rPr>
        <w:t>ד</w:t>
      </w:r>
      <w:r w:rsidR="005A48CF">
        <w:rPr>
          <w:rFonts w:asciiTheme="minorBidi" w:hAnsiTheme="minorBidi" w:hint="cs"/>
          <w:rtl/>
        </w:rPr>
        <w:t>ין</w:t>
      </w:r>
      <w:r w:rsidRPr="00576D5C">
        <w:rPr>
          <w:rFonts w:asciiTheme="minorBidi" w:hAnsiTheme="minorBidi"/>
          <w:rtl/>
        </w:rPr>
        <w:t xml:space="preserve"> למחול על כבודם ולא נידוהו, הרשות בידם</w:t>
      </w:r>
      <w:r w:rsidR="005A48CF">
        <w:rPr>
          <w:rFonts w:asciiTheme="minorBidi" w:hAnsiTheme="minorBidi" w:hint="cs"/>
          <w:rtl/>
        </w:rPr>
        <w:t>,</w:t>
      </w:r>
      <w:r w:rsidRPr="00576D5C">
        <w:rPr>
          <w:rFonts w:asciiTheme="minorBidi" w:hAnsiTheme="minorBidi"/>
          <w:rtl/>
        </w:rPr>
        <w:t xml:space="preserve"> והוא שלא יהיה בדבר הפסד בכבוד הבורא, כגון שהיו העם מבעטין בכבוד התורה ובדיינים, הואיל ופקרו העם בדבר, צריכים לחזק ולענוש כפי מה שיראה להם.</w:t>
      </w:r>
    </w:p>
    <w:p w14:paraId="13B528F3" w14:textId="77777777" w:rsidR="004B607F" w:rsidRDefault="004B607F" w:rsidP="004B607F">
      <w:pPr>
        <w:rPr>
          <w:b/>
          <w:bCs/>
          <w:sz w:val="40"/>
          <w:szCs w:val="40"/>
          <w:u w:val="single"/>
          <w:rtl/>
        </w:rPr>
        <w:sectPr w:rsidR="004B607F" w:rsidSect="004B607F">
          <w:headerReference w:type="default" r:id="rId36"/>
          <w:footerReference w:type="default" r:id="rId37"/>
          <w:footnotePr>
            <w:numRestart w:val="eachPage"/>
          </w:footnotePr>
          <w:pgSz w:w="11906" w:h="16838"/>
          <w:pgMar w:top="720" w:right="1134" w:bottom="720" w:left="1134" w:header="0" w:footer="0" w:gutter="0"/>
          <w:cols w:space="720"/>
          <w:bidi/>
          <w:rtlGutter/>
          <w:docGrid w:linePitch="360"/>
        </w:sectPr>
      </w:pPr>
    </w:p>
    <w:p w14:paraId="27F0A96D" w14:textId="77777777" w:rsidR="004B607F" w:rsidRDefault="004B607F" w:rsidP="004B607F">
      <w:pPr>
        <w:rPr>
          <w:b/>
          <w:bCs/>
          <w:sz w:val="40"/>
          <w:szCs w:val="40"/>
          <w:u w:val="single"/>
          <w:rtl/>
        </w:rPr>
      </w:pPr>
      <w:r>
        <w:rPr>
          <w:rFonts w:hint="cs"/>
          <w:b/>
          <w:bCs/>
          <w:sz w:val="40"/>
          <w:szCs w:val="40"/>
          <w:u w:val="single"/>
          <w:rtl/>
        </w:rPr>
        <w:lastRenderedPageBreak/>
        <w:t>הלכות עדות:</w:t>
      </w:r>
    </w:p>
    <w:p w14:paraId="56A08872" w14:textId="77777777" w:rsidR="004B607F" w:rsidRDefault="004B607F" w:rsidP="004B607F">
      <w:pPr>
        <w:pStyle w:val="1"/>
        <w:rPr>
          <w:rtl/>
        </w:rPr>
      </w:pPr>
      <w:bookmarkStart w:id="196" w:name="_Toc24883674"/>
      <w:r>
        <w:rPr>
          <w:rFonts w:hint="cs"/>
          <w:rtl/>
        </w:rPr>
        <w:t xml:space="preserve">סימן כח: </w:t>
      </w:r>
      <w:r>
        <w:rPr>
          <w:rtl/>
        </w:rPr>
        <w:t>כיצד מאיימין העדים, ואין מקבלין עדות שלא בפני בעל דין, ובו כ"ו סעיפים.</w:t>
      </w:r>
      <w:bookmarkEnd w:id="196"/>
      <w:r>
        <w:rPr>
          <w:rtl/>
        </w:rPr>
        <w:t xml:space="preserve"> </w:t>
      </w:r>
    </w:p>
    <w:p w14:paraId="679F730D" w14:textId="77777777" w:rsidR="004B607F" w:rsidRPr="00230720" w:rsidRDefault="004B607F" w:rsidP="004B607F">
      <w:pPr>
        <w:pStyle w:val="2"/>
        <w:rPr>
          <w:rtl/>
        </w:rPr>
      </w:pPr>
      <w:bookmarkStart w:id="197" w:name="_Toc24883675"/>
      <w:r>
        <w:rPr>
          <w:rtl/>
        </w:rPr>
        <w:t>סעיף א</w:t>
      </w:r>
      <w:r>
        <w:rPr>
          <w:rFonts w:hint="cs"/>
          <w:rtl/>
        </w:rPr>
        <w:t>: מתי חובה להעיד.</w:t>
      </w:r>
      <w:bookmarkEnd w:id="197"/>
    </w:p>
    <w:p w14:paraId="6B0D9A4E" w14:textId="77777777" w:rsidR="004B607F" w:rsidRDefault="004B607F" w:rsidP="004B607F">
      <w:pPr>
        <w:rPr>
          <w:rFonts w:cs="Arial"/>
          <w:rtl/>
        </w:rPr>
      </w:pPr>
      <w:r w:rsidRPr="00230720">
        <w:rPr>
          <w:rFonts w:cs="Arial" w:hint="cs"/>
          <w:b/>
          <w:bCs/>
          <w:rtl/>
        </w:rPr>
        <w:t>ויקרא ה</w:t>
      </w:r>
      <w:r>
        <w:rPr>
          <w:rFonts w:cs="Arial" w:hint="cs"/>
          <w:b/>
          <w:bCs/>
          <w:rtl/>
        </w:rPr>
        <w:t>:</w:t>
      </w:r>
      <w:r w:rsidRPr="00230720">
        <w:rPr>
          <w:rFonts w:cs="Arial" w:hint="cs"/>
          <w:b/>
          <w:bCs/>
          <w:rtl/>
        </w:rPr>
        <w:t xml:space="preserve"> </w:t>
      </w:r>
      <w:r>
        <w:rPr>
          <w:rFonts w:cs="Arial" w:hint="cs"/>
          <w:b/>
          <w:bCs/>
          <w:rtl/>
        </w:rPr>
        <w:t>[</w:t>
      </w:r>
      <w:r w:rsidRPr="00230720">
        <w:rPr>
          <w:rFonts w:cs="Arial" w:hint="cs"/>
          <w:b/>
          <w:bCs/>
          <w:rtl/>
        </w:rPr>
        <w:t>א</w:t>
      </w:r>
      <w:r>
        <w:rPr>
          <w:rFonts w:cs="Arial" w:hint="cs"/>
          <w:b/>
          <w:bCs/>
          <w:rtl/>
        </w:rPr>
        <w:t>]</w:t>
      </w:r>
      <w:r>
        <w:rPr>
          <w:rFonts w:cs="Arial" w:hint="cs"/>
          <w:rtl/>
        </w:rPr>
        <w:t xml:space="preserve"> </w:t>
      </w:r>
      <w:r w:rsidRPr="00594404">
        <w:rPr>
          <w:rFonts w:cs="Arial"/>
          <w:rtl/>
        </w:rPr>
        <w:t>וְנֶפֶשׁ כִּי תֶחֱטָא וְשָׁמְעָה קוֹל אָלָה וְהוּא עֵד אוֹ רָאָה אוֹ יָדָע אִם לוֹא יַגִּיד וְנָשָׂא עֲוֹנוֹ</w:t>
      </w:r>
      <w:r>
        <w:rPr>
          <w:rFonts w:cs="Arial" w:hint="cs"/>
          <w:rtl/>
        </w:rPr>
        <w:t>.</w:t>
      </w:r>
      <w:r>
        <w:rPr>
          <w:rFonts w:hint="cs"/>
          <w:rtl/>
        </w:rPr>
        <w:t>..</w:t>
      </w:r>
      <w:r w:rsidRPr="003731DF">
        <w:rPr>
          <w:rtl/>
        </w:rPr>
        <w:t xml:space="preserve"> </w:t>
      </w:r>
      <w:r w:rsidRPr="003731DF">
        <w:rPr>
          <w:rFonts w:cs="Arial" w:hint="cs"/>
          <w:b/>
          <w:bCs/>
          <w:rtl/>
        </w:rPr>
        <w:t>[</w:t>
      </w:r>
      <w:r w:rsidRPr="003731DF">
        <w:rPr>
          <w:rFonts w:cs="Arial"/>
          <w:b/>
          <w:bCs/>
          <w:rtl/>
        </w:rPr>
        <w:t>ה</w:t>
      </w:r>
      <w:r w:rsidRPr="003731DF">
        <w:rPr>
          <w:rFonts w:cs="Arial" w:hint="cs"/>
          <w:b/>
          <w:bCs/>
          <w:rtl/>
        </w:rPr>
        <w:t>]</w:t>
      </w:r>
      <w:r w:rsidRPr="003731DF">
        <w:rPr>
          <w:rFonts w:cs="Arial"/>
          <w:rtl/>
        </w:rPr>
        <w:t xml:space="preserve"> וְהָיָה כִי יֶאְשַׁם לְאַחַת מֵאֵלֶּה וְהִתְוַדָּה אֲשֶׁר חָטָא עָלֶיהָ</w:t>
      </w:r>
      <w:r>
        <w:rPr>
          <w:rFonts w:cs="Arial" w:hint="cs"/>
          <w:rtl/>
        </w:rPr>
        <w:t>.</w:t>
      </w:r>
      <w:r w:rsidRPr="003731DF">
        <w:rPr>
          <w:rFonts w:cs="Arial"/>
          <w:rtl/>
        </w:rPr>
        <w:t xml:space="preserve"> </w:t>
      </w:r>
      <w:r w:rsidRPr="003731DF">
        <w:rPr>
          <w:rFonts w:cs="Arial" w:hint="cs"/>
          <w:b/>
          <w:bCs/>
          <w:rtl/>
        </w:rPr>
        <w:t>[</w:t>
      </w:r>
      <w:r w:rsidRPr="003731DF">
        <w:rPr>
          <w:rFonts w:cs="Arial"/>
          <w:b/>
          <w:bCs/>
          <w:rtl/>
        </w:rPr>
        <w:t>ו</w:t>
      </w:r>
      <w:r w:rsidRPr="003731DF">
        <w:rPr>
          <w:rFonts w:cs="Arial" w:hint="cs"/>
          <w:b/>
          <w:bCs/>
          <w:rtl/>
        </w:rPr>
        <w:t>]</w:t>
      </w:r>
      <w:r w:rsidRPr="003731DF">
        <w:rPr>
          <w:rFonts w:cs="Arial"/>
          <w:rtl/>
        </w:rPr>
        <w:t xml:space="preserve"> וְהֵבִיא אֶת אֲשָׁמוֹ לַיקֹוָק עַל חַטָּאתוֹ אֲשֶׁר חָטָא נְקֵבָה מִן הַצֹּאן כִּשְׂבָּה אוֹ שְׂעִירַת עִזִּים לְחַטָּאת וְכִפֶּר עָלָיו הַכֹּהֵן מֵחַטָּאתוֹ</w:t>
      </w:r>
      <w:r>
        <w:rPr>
          <w:rFonts w:cs="Arial" w:hint="cs"/>
          <w:rtl/>
        </w:rPr>
        <w:t>.</w:t>
      </w:r>
      <w:r w:rsidRPr="003731DF">
        <w:rPr>
          <w:rFonts w:cs="Arial"/>
          <w:rtl/>
        </w:rPr>
        <w:t xml:space="preserve">  </w:t>
      </w:r>
    </w:p>
    <w:p w14:paraId="03E58159" w14:textId="77777777" w:rsidR="004B607F" w:rsidRDefault="004B607F" w:rsidP="004B607F">
      <w:pPr>
        <w:rPr>
          <w:rFonts w:cs="Arial"/>
          <w:rtl/>
        </w:rPr>
      </w:pPr>
      <w:r>
        <w:rPr>
          <w:rFonts w:cs="Arial" w:hint="cs"/>
          <w:b/>
          <w:bCs/>
          <w:rtl/>
        </w:rPr>
        <w:t xml:space="preserve">בבא קמא </w:t>
      </w:r>
      <w:r w:rsidRPr="002A61B9">
        <w:rPr>
          <w:rFonts w:cs="Arial" w:hint="cs"/>
          <w:b/>
          <w:bCs/>
          <w:sz w:val="16"/>
          <w:szCs w:val="16"/>
          <w:rtl/>
        </w:rPr>
        <w:t>(ר"פ הכונס)</w:t>
      </w:r>
      <w:r>
        <w:rPr>
          <w:rFonts w:cs="Arial" w:hint="cs"/>
          <w:b/>
          <w:bCs/>
          <w:rtl/>
        </w:rPr>
        <w:t xml:space="preserve"> נה</w:t>
      </w:r>
      <w:r>
        <w:rPr>
          <w:rStyle w:val="ab"/>
          <w:rFonts w:cs="Arial"/>
          <w:b/>
          <w:bCs/>
          <w:rtl/>
        </w:rPr>
        <w:footnoteReference w:id="1350"/>
      </w:r>
      <w:r>
        <w:rPr>
          <w:rFonts w:cs="Arial" w:hint="cs"/>
          <w:b/>
          <w:bCs/>
          <w:rtl/>
        </w:rPr>
        <w:t xml:space="preserve"> ע"ב: </w:t>
      </w:r>
      <w:r w:rsidRPr="002A61B9">
        <w:rPr>
          <w:rFonts w:cs="Arial"/>
          <w:rtl/>
        </w:rPr>
        <w:t xml:space="preserve">תניא, </w:t>
      </w:r>
      <w:r w:rsidRPr="002A61B9">
        <w:rPr>
          <w:rFonts w:cs="Arial"/>
          <w:u w:val="single"/>
          <w:rtl/>
        </w:rPr>
        <w:t>אמר ר' יהושע</w:t>
      </w:r>
      <w:r w:rsidRPr="002A61B9">
        <w:rPr>
          <w:rFonts w:cs="Arial"/>
          <w:rtl/>
        </w:rPr>
        <w:t>: ארבעה דברים, העושה אותן פטור מדיני אדם וחייב בדיני שמים, ואלו הן:</w:t>
      </w:r>
      <w:r>
        <w:rPr>
          <w:rFonts w:cs="Arial" w:hint="cs"/>
          <w:rtl/>
        </w:rPr>
        <w:t xml:space="preserve">.. </w:t>
      </w:r>
      <w:r w:rsidRPr="002A61B9">
        <w:rPr>
          <w:rFonts w:cs="Arial"/>
          <w:rtl/>
        </w:rPr>
        <w:t>והיודע עדות לחבירו ואינו מעיד לו.</w:t>
      </w:r>
      <w:r>
        <w:rPr>
          <w:rFonts w:cs="Arial" w:hint="cs"/>
          <w:rtl/>
        </w:rPr>
        <w:t xml:space="preserve">.. </w:t>
      </w:r>
      <w:r>
        <w:rPr>
          <w:rFonts w:cs="Arial" w:hint="cs"/>
          <w:sz w:val="14"/>
          <w:szCs w:val="14"/>
          <w:rtl/>
        </w:rPr>
        <w:t xml:space="preserve">(נו.) </w:t>
      </w:r>
      <w:r w:rsidRPr="002A61B9">
        <w:rPr>
          <w:rFonts w:cs="Arial"/>
          <w:rtl/>
        </w:rPr>
        <w:t>במאי עסקינן? אילימא בבי תרי, פשיטא</w:t>
      </w:r>
      <w:r>
        <w:rPr>
          <w:rStyle w:val="ab"/>
          <w:rFonts w:cs="Arial"/>
          <w:rtl/>
        </w:rPr>
        <w:footnoteReference w:id="1351"/>
      </w:r>
      <w:r w:rsidRPr="002A61B9">
        <w:rPr>
          <w:rFonts w:cs="Arial"/>
          <w:rtl/>
        </w:rPr>
        <w:t xml:space="preserve"> דאורייתא הוא</w:t>
      </w:r>
      <w:r>
        <w:rPr>
          <w:rStyle w:val="ab"/>
          <w:rFonts w:cs="Arial"/>
          <w:rtl/>
        </w:rPr>
        <w:footnoteReference w:id="1352"/>
      </w:r>
      <w:r w:rsidRPr="002A61B9">
        <w:rPr>
          <w:rFonts w:cs="Arial"/>
          <w:rtl/>
        </w:rPr>
        <w:t>, אם לא יגיד</w:t>
      </w:r>
      <w:r>
        <w:rPr>
          <w:rStyle w:val="ab"/>
          <w:rFonts w:cs="Arial"/>
          <w:rtl/>
        </w:rPr>
        <w:footnoteReference w:id="1353"/>
      </w:r>
      <w:r w:rsidRPr="002A61B9">
        <w:rPr>
          <w:rFonts w:cs="Arial"/>
          <w:rtl/>
        </w:rPr>
        <w:t xml:space="preserve"> ונשא עונו! אלא בחד</w:t>
      </w:r>
      <w:r>
        <w:rPr>
          <w:rStyle w:val="ab"/>
          <w:rFonts w:cs="Arial"/>
          <w:rtl/>
        </w:rPr>
        <w:footnoteReference w:id="1354"/>
      </w:r>
      <w:r w:rsidRPr="002A61B9">
        <w:rPr>
          <w:rFonts w:cs="Arial"/>
          <w:rtl/>
        </w:rPr>
        <w:t xml:space="preserve">. </w:t>
      </w:r>
    </w:p>
    <w:p w14:paraId="169FF319" w14:textId="77777777" w:rsidR="004B607F" w:rsidRPr="001122E1" w:rsidRDefault="004B607F" w:rsidP="004B607F">
      <w:pPr>
        <w:rPr>
          <w:rFonts w:cs="Arial"/>
          <w:rtl/>
        </w:rPr>
      </w:pPr>
      <w:bookmarkStart w:id="198" w:name="_Hlk19009882"/>
      <w:r>
        <w:rPr>
          <w:rFonts w:cs="Arial" w:hint="cs"/>
          <w:b/>
          <w:bCs/>
          <w:rtl/>
        </w:rPr>
        <w:t xml:space="preserve">פסחים </w:t>
      </w:r>
      <w:r>
        <w:rPr>
          <w:rFonts w:cs="Arial" w:hint="cs"/>
          <w:b/>
          <w:bCs/>
          <w:sz w:val="16"/>
          <w:szCs w:val="16"/>
          <w:rtl/>
        </w:rPr>
        <w:t>(פ' הכונס)</w:t>
      </w:r>
      <w:r>
        <w:rPr>
          <w:rFonts w:cs="Arial" w:hint="cs"/>
          <w:b/>
          <w:bCs/>
          <w:sz w:val="16"/>
          <w:szCs w:val="16"/>
        </w:rPr>
        <w:t xml:space="preserve"> </w:t>
      </w:r>
      <w:r>
        <w:rPr>
          <w:rFonts w:cs="Arial" w:hint="cs"/>
          <w:b/>
          <w:bCs/>
          <w:rtl/>
        </w:rPr>
        <w:t>קיג</w:t>
      </w:r>
      <w:r>
        <w:rPr>
          <w:rStyle w:val="ab"/>
          <w:rFonts w:cs="Arial"/>
          <w:b/>
          <w:bCs/>
          <w:rtl/>
        </w:rPr>
        <w:footnoteReference w:id="1355"/>
      </w:r>
      <w:r>
        <w:rPr>
          <w:rFonts w:cs="Arial" w:hint="cs"/>
          <w:b/>
          <w:bCs/>
          <w:rtl/>
        </w:rPr>
        <w:t xml:space="preserve"> ע"ב: </w:t>
      </w:r>
      <w:r w:rsidRPr="009D2D8B">
        <w:rPr>
          <w:rFonts w:cs="Arial"/>
          <w:rtl/>
        </w:rPr>
        <w:t>שלשה הקדוש ברוך הוא שונאן, המדבר אחד בפה ואחד בלב, והיודע עדות בחבירו ואינו מעיד לו, והרואה דבר ערוה בחבירו ומעיד בו יחידי. כי הא דטוביה חטא ואתא זיגוד לחודיה ואסהיד ביה קמיה דרב פפא. נגדיה לזיגוד. אמר ליה: טוביה חטא וזיגוד מינגד? אמר ליה: אין, דכתיב לא יקום עד אחד באיש ואת לחודך אסהדת ביה - שם רע בעלמא קא מפקת ביה.</w:t>
      </w:r>
    </w:p>
    <w:bookmarkEnd w:id="198"/>
    <w:p w14:paraId="113DCFAA" w14:textId="77777777" w:rsidR="004B607F" w:rsidRDefault="004B607F" w:rsidP="004B607F">
      <w:pPr>
        <w:rPr>
          <w:rFonts w:cs="Arial"/>
          <w:rtl/>
        </w:rPr>
      </w:pPr>
      <w:r w:rsidRPr="00EF2082">
        <w:rPr>
          <w:rFonts w:cs="Arial" w:hint="cs"/>
          <w:b/>
          <w:bCs/>
          <w:rtl/>
        </w:rPr>
        <w:t xml:space="preserve">שבועות </w:t>
      </w:r>
      <w:r w:rsidRPr="00EF2082">
        <w:rPr>
          <w:rFonts w:cs="Arial" w:hint="cs"/>
          <w:b/>
          <w:bCs/>
          <w:sz w:val="16"/>
          <w:szCs w:val="16"/>
          <w:rtl/>
        </w:rPr>
        <w:t xml:space="preserve">(פ' שבועת העדות) </w:t>
      </w:r>
      <w:r w:rsidRPr="00EF2082">
        <w:rPr>
          <w:rFonts w:cs="Arial" w:hint="cs"/>
          <w:b/>
          <w:bCs/>
          <w:rtl/>
        </w:rPr>
        <w:t>לה</w:t>
      </w:r>
      <w:r>
        <w:rPr>
          <w:rStyle w:val="ab"/>
          <w:rFonts w:cs="Arial"/>
          <w:b/>
          <w:bCs/>
          <w:rtl/>
        </w:rPr>
        <w:footnoteReference w:id="1356"/>
      </w:r>
      <w:r w:rsidRPr="00EF2082">
        <w:rPr>
          <w:rFonts w:cs="Arial" w:hint="cs"/>
          <w:b/>
          <w:bCs/>
          <w:rtl/>
        </w:rPr>
        <w:t xml:space="preserve"> ע"א: </w:t>
      </w:r>
      <w:r w:rsidRPr="00EF2082">
        <w:rPr>
          <w:rFonts w:cs="Arial"/>
          <w:u w:val="double"/>
          <w:rtl/>
        </w:rPr>
        <w:t>מתני'</w:t>
      </w:r>
      <w:r w:rsidRPr="00EF2082">
        <w:rPr>
          <w:rFonts w:cs="Arial" w:hint="cs"/>
          <w:u w:val="double"/>
          <w:rtl/>
        </w:rPr>
        <w:t>:</w:t>
      </w:r>
      <w:r>
        <w:rPr>
          <w:rFonts w:cs="Arial" w:hint="cs"/>
          <w:rtl/>
        </w:rPr>
        <w:t>...</w:t>
      </w:r>
      <w:r w:rsidRPr="00EF2082">
        <w:rPr>
          <w:rFonts w:cs="Arial"/>
          <w:rtl/>
        </w:rPr>
        <w:t xml:space="preserve"> עמד בבית הכנסת ואמר משביע אני עליכם שאם אתם יודעין לי עדות שתבואו ותעידוני - הרי אלו פטורין (עד שיהא מתכוין להם). אמר לשנים משביע אני עליכם איש פלוני ופלוני שאם אתם יודעין לי עדות שתבואו ותעידוני, שבועה שאין אנו יודעין לך עדות, והם יודעין לו עדות עד מפי עד, או שהיה אחד מהן קרוב או פסול - הרי אלו פטורין. שלח ביד עבדו, או שאמר להן הנתבע, משביע אני עליכם שאם אתם יודעין לו עדות שתבואו ותעידוהו - הרי אלו פטורין, עד שישמעו מפי התובע. </w:t>
      </w:r>
    </w:p>
    <w:p w14:paraId="0B546E79" w14:textId="77777777" w:rsidR="004B607F" w:rsidRDefault="004B607F" w:rsidP="004B607F">
      <w:pPr>
        <w:rPr>
          <w:rFonts w:cs="Arial"/>
          <w:rtl/>
        </w:rPr>
      </w:pPr>
      <w:r w:rsidRPr="00230720">
        <w:rPr>
          <w:rFonts w:cs="Arial" w:hint="cs"/>
          <w:u w:val="single"/>
          <w:rtl/>
        </w:rPr>
        <w:t>היודע עדות לחברו:</w:t>
      </w:r>
    </w:p>
    <w:p w14:paraId="411ED6E6" w14:textId="77777777" w:rsidR="004B607F" w:rsidRPr="00A71A4B" w:rsidRDefault="004B607F" w:rsidP="004B0475">
      <w:pPr>
        <w:pStyle w:val="ac"/>
        <w:numPr>
          <w:ilvl w:val="0"/>
          <w:numId w:val="69"/>
        </w:numPr>
        <w:rPr>
          <w:rFonts w:cs="Arial"/>
        </w:rPr>
      </w:pPr>
      <w:r w:rsidRPr="00230720">
        <w:rPr>
          <w:rFonts w:cs="Arial" w:hint="cs"/>
          <w:rtl/>
        </w:rPr>
        <w:t xml:space="preserve">טור- </w:t>
      </w:r>
      <w:r w:rsidRPr="00230720">
        <w:rPr>
          <w:rFonts w:cs="Arial"/>
          <w:rtl/>
        </w:rPr>
        <w:t>כל מי שיודע עדות לחבירו</w:t>
      </w:r>
      <w:r>
        <w:rPr>
          <w:rStyle w:val="ab"/>
          <w:rFonts w:cs="Arial"/>
          <w:rtl/>
        </w:rPr>
        <w:footnoteReference w:id="1357"/>
      </w:r>
      <w:r w:rsidRPr="00230720">
        <w:rPr>
          <w:rFonts w:cs="Arial"/>
          <w:rtl/>
        </w:rPr>
        <w:t xml:space="preserve"> וראוי להעידו</w:t>
      </w:r>
      <w:r>
        <w:rPr>
          <w:rStyle w:val="ab"/>
          <w:rFonts w:cs="Arial"/>
          <w:rtl/>
        </w:rPr>
        <w:footnoteReference w:id="1358"/>
      </w:r>
      <w:r w:rsidRPr="00230720">
        <w:rPr>
          <w:rFonts w:cs="Arial"/>
          <w:rtl/>
        </w:rPr>
        <w:t xml:space="preserve"> ויש לחבירו תועלת בעדותו</w:t>
      </w:r>
      <w:r>
        <w:rPr>
          <w:rStyle w:val="ab"/>
          <w:rFonts w:cs="Arial"/>
          <w:rtl/>
        </w:rPr>
        <w:footnoteReference w:id="1359"/>
      </w:r>
      <w:r w:rsidRPr="00230720">
        <w:rPr>
          <w:rFonts w:cs="Arial"/>
          <w:rtl/>
        </w:rPr>
        <w:t xml:space="preserve"> </w:t>
      </w:r>
      <w:r>
        <w:rPr>
          <w:rFonts w:cs="Arial" w:hint="cs"/>
          <w:rtl/>
        </w:rPr>
        <w:t xml:space="preserve">- </w:t>
      </w:r>
      <w:r w:rsidRPr="00230720">
        <w:rPr>
          <w:rFonts w:cs="Arial"/>
          <w:rtl/>
        </w:rPr>
        <w:t>חייב להעיד לו בין אם הוא לבדו יודע בעדותו בין אם יש אחר עמו</w:t>
      </w:r>
      <w:r>
        <w:rPr>
          <w:rFonts w:cs="Arial" w:hint="cs"/>
          <w:rtl/>
        </w:rPr>
        <w:t>,</w:t>
      </w:r>
      <w:r w:rsidRPr="00230720">
        <w:rPr>
          <w:rFonts w:cs="Arial"/>
          <w:rtl/>
        </w:rPr>
        <w:t xml:space="preserve"> שכשם שב' העדים מחייבין ממון כך האחד מחייבו שבועה</w:t>
      </w:r>
      <w:r>
        <w:rPr>
          <w:rFonts w:cs="Arial" w:hint="cs"/>
          <w:rtl/>
        </w:rPr>
        <w:t>,</w:t>
      </w:r>
      <w:r w:rsidRPr="00230720">
        <w:rPr>
          <w:rFonts w:cs="Arial"/>
          <w:rtl/>
        </w:rPr>
        <w:t xml:space="preserve"> ואולי ישלם ולא ישבע ונמצא מרויח זה בעדותו</w:t>
      </w:r>
      <w:r>
        <w:rPr>
          <w:rFonts w:cs="Arial" w:hint="cs"/>
          <w:rtl/>
        </w:rPr>
        <w:t>..</w:t>
      </w:r>
      <w:r w:rsidRPr="00230720">
        <w:rPr>
          <w:rFonts w:cs="Arial" w:hint="cs"/>
          <w:rtl/>
        </w:rPr>
        <w:t>.</w:t>
      </w:r>
      <w:r w:rsidRPr="00216FD9">
        <w:rPr>
          <w:rFonts w:cs="Arial"/>
          <w:rtl/>
        </w:rPr>
        <w:t xml:space="preserve"> </w:t>
      </w:r>
      <w:r w:rsidRPr="00FB3387">
        <w:rPr>
          <w:rFonts w:cs="Arial"/>
          <w:rtl/>
        </w:rPr>
        <w:t>ואם כבש עדותו ולא העיד פטור מדיני אדם וחייב בדיני שמים</w:t>
      </w:r>
      <w:r w:rsidRPr="00BB1BC0">
        <w:rPr>
          <w:rStyle w:val="ab"/>
          <w:rFonts w:cs="Arial"/>
          <w:color w:val="000000" w:themeColor="text1"/>
          <w:rtl/>
        </w:rPr>
        <w:footnoteReference w:id="1360"/>
      </w:r>
      <w:r>
        <w:rPr>
          <w:rFonts w:cs="Arial" w:hint="cs"/>
          <w:rtl/>
        </w:rPr>
        <w:t>.</w:t>
      </w:r>
      <w:r w:rsidRPr="008A71CA">
        <w:rPr>
          <w:rFonts w:cs="Arial" w:hint="cs"/>
          <w:color w:val="E36C0A" w:themeColor="accent6" w:themeShade="BF"/>
          <w:rtl/>
        </w:rPr>
        <w:t xml:space="preserve"> (וכ"פ בשו"ע)</w:t>
      </w:r>
      <w:r w:rsidRPr="00A71A4B">
        <w:rPr>
          <w:rFonts w:cs="Arial"/>
          <w:color w:val="000000" w:themeColor="text1"/>
          <w:rtl/>
        </w:rPr>
        <w:t xml:space="preserve"> </w:t>
      </w:r>
    </w:p>
    <w:p w14:paraId="5726FF35" w14:textId="77777777" w:rsidR="004B607F" w:rsidRPr="00A87493" w:rsidRDefault="004B607F" w:rsidP="004B607F">
      <w:pPr>
        <w:ind w:left="360"/>
        <w:rPr>
          <w:rFonts w:cs="Arial"/>
          <w:rtl/>
        </w:rPr>
      </w:pPr>
      <w:r w:rsidRPr="006163C5">
        <w:rPr>
          <w:rFonts w:cs="Arial" w:hint="cs"/>
          <w:u w:val="dotted"/>
          <w:rtl/>
        </w:rPr>
        <w:t xml:space="preserve">האם </w:t>
      </w:r>
      <w:r>
        <w:rPr>
          <w:rFonts w:cs="Arial" w:hint="cs"/>
          <w:u w:val="dotted"/>
          <w:rtl/>
        </w:rPr>
        <w:t xml:space="preserve">העדים </w:t>
      </w:r>
      <w:r>
        <w:rPr>
          <w:rFonts w:cs="Arial" w:hint="cs"/>
          <w:sz w:val="16"/>
          <w:szCs w:val="16"/>
          <w:u w:val="dotted"/>
          <w:rtl/>
        </w:rPr>
        <w:t xml:space="preserve">(בין הם שנים בין אחד </w:t>
      </w:r>
      <w:r w:rsidRPr="007420B5">
        <w:rPr>
          <w:rFonts w:cs="Arial" w:hint="cs"/>
          <w:sz w:val="14"/>
          <w:szCs w:val="14"/>
          <w:u w:val="dotted"/>
          <w:rtl/>
        </w:rPr>
        <w:t>[שיכול לחייב שבועה]</w:t>
      </w:r>
      <w:r>
        <w:rPr>
          <w:rFonts w:cs="Arial" w:hint="cs"/>
          <w:sz w:val="16"/>
          <w:szCs w:val="16"/>
          <w:u w:val="dotted"/>
          <w:rtl/>
        </w:rPr>
        <w:t>)</w:t>
      </w:r>
      <w:r>
        <w:rPr>
          <w:rFonts w:cs="Arial" w:hint="cs"/>
          <w:u w:val="dotted"/>
          <w:rtl/>
        </w:rPr>
        <w:t xml:space="preserve"> </w:t>
      </w:r>
      <w:r w:rsidRPr="006163C5">
        <w:rPr>
          <w:rFonts w:cs="Arial" w:hint="cs"/>
          <w:u w:val="dotted"/>
          <w:rtl/>
        </w:rPr>
        <w:t>חייב</w:t>
      </w:r>
      <w:r>
        <w:rPr>
          <w:rFonts w:cs="Arial" w:hint="cs"/>
          <w:u w:val="dotted"/>
          <w:rtl/>
        </w:rPr>
        <w:t>ים</w:t>
      </w:r>
      <w:r w:rsidRPr="006163C5">
        <w:rPr>
          <w:rFonts w:cs="Arial" w:hint="cs"/>
          <w:u w:val="dotted"/>
          <w:rtl/>
        </w:rPr>
        <w:t xml:space="preserve"> להעיד </w:t>
      </w:r>
      <w:r>
        <w:rPr>
          <w:rFonts w:cs="Arial" w:hint="cs"/>
          <w:u w:val="dotted"/>
          <w:rtl/>
        </w:rPr>
        <w:t xml:space="preserve">אע"ג </w:t>
      </w:r>
      <w:r w:rsidRPr="006163C5">
        <w:rPr>
          <w:rFonts w:cs="Arial" w:hint="cs"/>
          <w:u w:val="dotted"/>
          <w:rtl/>
        </w:rPr>
        <w:t>ש</w:t>
      </w:r>
      <w:r>
        <w:rPr>
          <w:rFonts w:cs="Arial" w:hint="cs"/>
          <w:u w:val="dotted"/>
          <w:rtl/>
        </w:rPr>
        <w:t>הבעל דין</w:t>
      </w:r>
      <w:r w:rsidRPr="006163C5">
        <w:rPr>
          <w:rFonts w:cs="Arial" w:hint="cs"/>
          <w:u w:val="dotted"/>
          <w:rtl/>
        </w:rPr>
        <w:t xml:space="preserve"> </w:t>
      </w:r>
      <w:r>
        <w:rPr>
          <w:rFonts w:cs="Arial" w:hint="cs"/>
          <w:u w:val="dotted"/>
          <w:rtl/>
        </w:rPr>
        <w:t xml:space="preserve">לא </w:t>
      </w:r>
      <w:r w:rsidRPr="006163C5">
        <w:rPr>
          <w:rFonts w:cs="Arial" w:hint="cs"/>
          <w:u w:val="dotted"/>
          <w:rtl/>
        </w:rPr>
        <w:t xml:space="preserve">תבע </w:t>
      </w:r>
      <w:r>
        <w:rPr>
          <w:rFonts w:cs="Arial" w:hint="cs"/>
          <w:u w:val="dotted"/>
          <w:rtl/>
        </w:rPr>
        <w:t>מהם לבוא להעיד</w:t>
      </w:r>
      <w:r w:rsidRPr="006163C5">
        <w:rPr>
          <w:rFonts w:cs="Arial" w:hint="cs"/>
          <w:u w:val="dotted"/>
          <w:rtl/>
        </w:rPr>
        <w:t>:</w:t>
      </w:r>
      <w:r w:rsidRPr="00A87493">
        <w:rPr>
          <w:rFonts w:cs="Arial" w:hint="cs"/>
          <w:sz w:val="16"/>
          <w:szCs w:val="16"/>
          <w:rtl/>
        </w:rPr>
        <w:t xml:space="preserve">  </w:t>
      </w:r>
    </w:p>
    <w:p w14:paraId="0E19834D" w14:textId="77777777" w:rsidR="004B607F" w:rsidRPr="00EF2082" w:rsidRDefault="004B607F" w:rsidP="004B0475">
      <w:pPr>
        <w:pStyle w:val="ac"/>
        <w:numPr>
          <w:ilvl w:val="0"/>
          <w:numId w:val="69"/>
        </w:numPr>
        <w:rPr>
          <w:rFonts w:cs="Arial"/>
          <w:rtl/>
        </w:rPr>
      </w:pPr>
      <w:r>
        <w:rPr>
          <w:rFonts w:cs="Arial" w:hint="cs"/>
          <w:rtl/>
        </w:rPr>
        <w:lastRenderedPageBreak/>
        <w:t>רמב"ם</w:t>
      </w:r>
      <w:r>
        <w:rPr>
          <w:rStyle w:val="ab"/>
          <w:rFonts w:cs="Arial"/>
          <w:rtl/>
        </w:rPr>
        <w:footnoteReference w:id="1361"/>
      </w:r>
      <w:r>
        <w:rPr>
          <w:rFonts w:cs="Arial" w:hint="cs"/>
          <w:rtl/>
        </w:rPr>
        <w:t xml:space="preserve"> </w:t>
      </w:r>
      <w:r>
        <w:rPr>
          <w:rFonts w:cs="Arial" w:hint="cs"/>
          <w:sz w:val="16"/>
          <w:szCs w:val="16"/>
          <w:rtl/>
        </w:rPr>
        <w:t xml:space="preserve">(עדות פ"א ה"א) </w:t>
      </w:r>
      <w:r>
        <w:rPr>
          <w:rFonts w:cs="Arial" w:hint="cs"/>
          <w:rtl/>
        </w:rPr>
        <w:t xml:space="preserve">חינוך </w:t>
      </w:r>
      <w:r>
        <w:rPr>
          <w:rFonts w:cs="Arial" w:hint="cs"/>
          <w:sz w:val="16"/>
          <w:szCs w:val="16"/>
          <w:rtl/>
        </w:rPr>
        <w:t>(מצוה קכב ד"ה ואולם חילוק)</w:t>
      </w:r>
      <w:r>
        <w:rPr>
          <w:rFonts w:cs="Arial" w:hint="cs"/>
          <w:rtl/>
        </w:rPr>
        <w:t xml:space="preserve"> ו</w:t>
      </w:r>
      <w:r w:rsidRPr="00EF2082">
        <w:rPr>
          <w:rFonts w:cs="Arial" w:hint="cs"/>
          <w:rtl/>
        </w:rPr>
        <w:t xml:space="preserve">טור- </w:t>
      </w:r>
      <w:r w:rsidRPr="00EF2082">
        <w:rPr>
          <w:rFonts w:cs="Arial"/>
          <w:rtl/>
        </w:rPr>
        <w:t>אינו חייב להעיד עד שיתבענו שיעיד לו</w:t>
      </w:r>
      <w:r>
        <w:rPr>
          <w:rStyle w:val="ab"/>
          <w:rFonts w:cs="Arial"/>
          <w:rtl/>
        </w:rPr>
        <w:footnoteReference w:id="1362"/>
      </w:r>
      <w:r w:rsidRPr="00EF2082">
        <w:rPr>
          <w:rFonts w:cs="Arial" w:hint="cs"/>
          <w:rtl/>
        </w:rPr>
        <w:t>.</w:t>
      </w:r>
      <w:r>
        <w:rPr>
          <w:rFonts w:cs="Arial" w:hint="cs"/>
          <w:rtl/>
        </w:rPr>
        <w:t xml:space="preserve"> </w:t>
      </w:r>
      <w:r w:rsidRPr="008A71CA">
        <w:rPr>
          <w:rFonts w:cs="Arial" w:hint="cs"/>
          <w:color w:val="E36C0A" w:themeColor="accent6" w:themeShade="BF"/>
          <w:rtl/>
        </w:rPr>
        <w:t>(וכ"פ בשו"ע)</w:t>
      </w:r>
    </w:p>
    <w:p w14:paraId="03CEDBCC" w14:textId="77777777" w:rsidR="004B607F" w:rsidRPr="000C377E" w:rsidRDefault="004B607F" w:rsidP="004B607F">
      <w:pPr>
        <w:ind w:left="720"/>
        <w:rPr>
          <w:rFonts w:cs="Arial"/>
          <w:u w:val="wave"/>
        </w:rPr>
      </w:pPr>
      <w:r w:rsidRPr="000C377E">
        <w:rPr>
          <w:rFonts w:cs="Arial" w:hint="cs"/>
          <w:u w:val="wave"/>
          <w:rtl/>
        </w:rPr>
        <w:t>ומה הדין אם לא תבעו בפרטות לבוא להעיד אלא החרים בבית הכנסת:</w:t>
      </w:r>
    </w:p>
    <w:p w14:paraId="31D2C4C7" w14:textId="77777777" w:rsidR="004B607F" w:rsidRDefault="004B607F" w:rsidP="004B0475">
      <w:pPr>
        <w:pStyle w:val="ac"/>
        <w:numPr>
          <w:ilvl w:val="0"/>
          <w:numId w:val="69"/>
        </w:numPr>
        <w:rPr>
          <w:rFonts w:cs="Arial"/>
        </w:rPr>
      </w:pPr>
      <w:r w:rsidRPr="00EF2082">
        <w:rPr>
          <w:rFonts w:cs="Arial"/>
          <w:rtl/>
        </w:rPr>
        <w:t xml:space="preserve">רשב"א </w:t>
      </w:r>
      <w:r>
        <w:rPr>
          <w:rFonts w:cs="Arial" w:hint="cs"/>
          <w:sz w:val="16"/>
          <w:szCs w:val="16"/>
          <w:rtl/>
        </w:rPr>
        <w:t>(</w:t>
      </w:r>
      <w:r w:rsidRPr="00A87493">
        <w:rPr>
          <w:rFonts w:cs="Arial"/>
          <w:sz w:val="16"/>
          <w:szCs w:val="16"/>
          <w:rtl/>
        </w:rPr>
        <w:t>סי</w:t>
      </w:r>
      <w:r w:rsidRPr="00A87493">
        <w:rPr>
          <w:rFonts w:cs="Arial" w:hint="cs"/>
          <w:sz w:val="16"/>
          <w:szCs w:val="16"/>
          <w:rtl/>
        </w:rPr>
        <w:t>'</w:t>
      </w:r>
      <w:r w:rsidRPr="00A87493">
        <w:rPr>
          <w:rFonts w:cs="Arial"/>
          <w:sz w:val="16"/>
          <w:szCs w:val="16"/>
          <w:rtl/>
        </w:rPr>
        <w:t xml:space="preserve"> תרנח</w:t>
      </w:r>
      <w:r>
        <w:rPr>
          <w:rFonts w:cs="Arial" w:hint="cs"/>
          <w:sz w:val="16"/>
          <w:szCs w:val="16"/>
          <w:rtl/>
        </w:rPr>
        <w:t>)</w:t>
      </w:r>
      <w:r w:rsidRPr="00A87493">
        <w:rPr>
          <w:rFonts w:cs="Arial"/>
          <w:sz w:val="16"/>
          <w:szCs w:val="16"/>
          <w:rtl/>
        </w:rPr>
        <w:t xml:space="preserve"> </w:t>
      </w:r>
      <w:r>
        <w:rPr>
          <w:rFonts w:cs="Arial" w:hint="cs"/>
          <w:rtl/>
        </w:rPr>
        <w:t xml:space="preserve">- </w:t>
      </w:r>
      <w:r w:rsidRPr="00051F0B">
        <w:rPr>
          <w:rFonts w:cs="Arial"/>
          <w:rtl/>
        </w:rPr>
        <w:t>שאלת עוד</w:t>
      </w:r>
      <w:r>
        <w:rPr>
          <w:rFonts w:cs="Arial" w:hint="cs"/>
          <w:rtl/>
        </w:rPr>
        <w:t>,</w:t>
      </w:r>
      <w:r w:rsidRPr="00051F0B">
        <w:rPr>
          <w:rFonts w:cs="Arial"/>
          <w:rtl/>
        </w:rPr>
        <w:t xml:space="preserve"> אחד שהחרים בבית הכנסת בפני העדים</w:t>
      </w:r>
      <w:r>
        <w:rPr>
          <w:rFonts w:cs="Arial" w:hint="cs"/>
          <w:rtl/>
        </w:rPr>
        <w:t>,</w:t>
      </w:r>
      <w:r w:rsidRPr="00051F0B">
        <w:rPr>
          <w:rFonts w:cs="Arial"/>
          <w:rtl/>
        </w:rPr>
        <w:t xml:space="preserve"> אם יוכל להשביעם עוד</w:t>
      </w:r>
      <w:r>
        <w:rPr>
          <w:rFonts w:cs="Arial" w:hint="cs"/>
          <w:rtl/>
        </w:rPr>
        <w:t>?...</w:t>
      </w:r>
      <w:r w:rsidRPr="00051F0B">
        <w:rPr>
          <w:rFonts w:cs="Arial"/>
          <w:rtl/>
        </w:rPr>
        <w:t xml:space="preserve"> תשובה</w:t>
      </w:r>
      <w:r>
        <w:rPr>
          <w:rFonts w:cs="Arial" w:hint="cs"/>
          <w:rtl/>
        </w:rPr>
        <w:t>,</w:t>
      </w:r>
      <w:r w:rsidRPr="00051F0B">
        <w:rPr>
          <w:rFonts w:cs="Arial"/>
          <w:rtl/>
        </w:rPr>
        <w:t xml:space="preserve"> לא מצינו שיוכל אדם להשביע עדיו </w:t>
      </w:r>
      <w:r>
        <w:rPr>
          <w:rFonts w:cs="Arial" w:hint="cs"/>
          <w:sz w:val="16"/>
          <w:szCs w:val="16"/>
          <w:rtl/>
        </w:rPr>
        <w:t>{על ספק}</w:t>
      </w:r>
      <w:r>
        <w:rPr>
          <w:rFonts w:cs="Arial" w:hint="cs"/>
          <w:rtl/>
        </w:rPr>
        <w:t xml:space="preserve">, </w:t>
      </w:r>
      <w:r w:rsidRPr="00051F0B">
        <w:rPr>
          <w:rFonts w:cs="Arial"/>
          <w:rtl/>
        </w:rPr>
        <w:t>ר"ל שישבעו לו אם יודעים לו עדות אם לאו.</w:t>
      </w:r>
      <w:r>
        <w:rPr>
          <w:rFonts w:cs="Arial" w:hint="cs"/>
          <w:rtl/>
        </w:rPr>
        <w:t>..</w:t>
      </w:r>
      <w:r w:rsidRPr="00051F0B">
        <w:rPr>
          <w:rFonts w:cs="Arial"/>
          <w:rtl/>
        </w:rPr>
        <w:t xml:space="preserve"> אבל מ"מ </w:t>
      </w:r>
      <w:r>
        <w:rPr>
          <w:rFonts w:cs="Arial" w:hint="cs"/>
          <w:sz w:val="16"/>
          <w:szCs w:val="16"/>
          <w:rtl/>
        </w:rPr>
        <w:t>{אם החרים על מי שיודע לו שבועה}</w:t>
      </w:r>
      <w:r>
        <w:rPr>
          <w:rFonts w:cs="Arial" w:hint="cs"/>
          <w:rtl/>
        </w:rPr>
        <w:t xml:space="preserve"> </w:t>
      </w:r>
      <w:r w:rsidRPr="00051F0B">
        <w:rPr>
          <w:rFonts w:cs="Arial"/>
          <w:rtl/>
        </w:rPr>
        <w:t xml:space="preserve">הרי הן חייבין להגיד </w:t>
      </w:r>
      <w:r w:rsidRPr="00A94C09">
        <w:rPr>
          <w:rFonts w:cs="Arial"/>
          <w:b/>
          <w:bCs/>
          <w:rtl/>
        </w:rPr>
        <w:t>מחמת שהחרים</w:t>
      </w:r>
      <w:r w:rsidRPr="00051F0B">
        <w:rPr>
          <w:rFonts w:cs="Arial"/>
          <w:rtl/>
        </w:rPr>
        <w:t>.</w:t>
      </w:r>
    </w:p>
    <w:p w14:paraId="7DD3CB73" w14:textId="77777777" w:rsidR="004B607F" w:rsidRPr="00614AC6" w:rsidRDefault="004B607F" w:rsidP="004B607F">
      <w:pPr>
        <w:ind w:left="360"/>
        <w:rPr>
          <w:rFonts w:cs="Arial"/>
        </w:rPr>
      </w:pPr>
      <w:r>
        <w:rPr>
          <w:rStyle w:val="ab"/>
          <w:rFonts w:cs="Arial"/>
          <w:u w:val="dotted"/>
          <w:rtl/>
        </w:rPr>
        <w:footnoteReference w:id="1363"/>
      </w:r>
      <w:r>
        <w:rPr>
          <w:rFonts w:cs="Arial" w:hint="cs"/>
          <w:u w:val="dotted"/>
          <w:rtl/>
        </w:rPr>
        <w:t>האם יש איזו מידת חסידות או הנהגה טובה ללכת להעיד אע"ג שאינו חייב:</w:t>
      </w:r>
    </w:p>
    <w:p w14:paraId="4130EDB8" w14:textId="77777777" w:rsidR="004B607F" w:rsidRPr="00051F0B" w:rsidRDefault="004B607F" w:rsidP="004B0475">
      <w:pPr>
        <w:pStyle w:val="ac"/>
        <w:numPr>
          <w:ilvl w:val="0"/>
          <w:numId w:val="69"/>
        </w:numPr>
        <w:rPr>
          <w:rFonts w:cs="Arial"/>
        </w:rPr>
      </w:pPr>
      <w:r>
        <w:rPr>
          <w:rFonts w:cs="Arial" w:hint="cs"/>
          <w:rtl/>
        </w:rPr>
        <w:t xml:space="preserve">רמב"ם </w:t>
      </w:r>
      <w:r>
        <w:rPr>
          <w:rFonts w:cs="Arial" w:hint="cs"/>
          <w:sz w:val="16"/>
          <w:szCs w:val="16"/>
          <w:rtl/>
        </w:rPr>
        <w:t>(סהמ"צ מצוה רצז)</w:t>
      </w:r>
      <w:r>
        <w:rPr>
          <w:rFonts w:cs="Arial" w:hint="cs"/>
          <w:rtl/>
        </w:rPr>
        <w:t xml:space="preserve">- </w:t>
      </w:r>
      <w:r w:rsidRPr="007420B5">
        <w:rPr>
          <w:rFonts w:cs="Arial"/>
          <w:rtl/>
        </w:rPr>
        <w:t>והמצוה הרצ"ז היא שהזהירנו מהתרשל בהצלת נפש אחד מישראל כשנראהו בסכנת המות או ההפסד ויהיה לנו יכולת להצילו.</w:t>
      </w:r>
      <w:r>
        <w:rPr>
          <w:rFonts w:cs="Arial" w:hint="cs"/>
          <w:rtl/>
        </w:rPr>
        <w:t>..</w:t>
      </w:r>
      <w:r w:rsidRPr="007420B5">
        <w:rPr>
          <w:rFonts w:cs="Arial"/>
          <w:rtl/>
        </w:rPr>
        <w:t xml:space="preserve"> באמרו יתעלה </w:t>
      </w:r>
      <w:r w:rsidRPr="007420B5">
        <w:rPr>
          <w:rFonts w:cs="Arial"/>
          <w:sz w:val="16"/>
          <w:szCs w:val="16"/>
          <w:rtl/>
        </w:rPr>
        <w:t xml:space="preserve">(קדושים יט) </w:t>
      </w:r>
      <w:r w:rsidRPr="007420B5">
        <w:rPr>
          <w:rFonts w:cs="Arial"/>
          <w:rtl/>
        </w:rPr>
        <w:t>לא תעמוד על דם רעך. וכבר אמרו שמי שיכבוש עדות תכללהו גם כן זאת האזהרה כי הוא רואה ממון חבירו אובד והוא יכול להחזירו אליו באמרו האמת</w:t>
      </w:r>
      <w:r>
        <w:rPr>
          <w:rFonts w:cs="Arial" w:hint="cs"/>
          <w:rtl/>
        </w:rPr>
        <w:t>.</w:t>
      </w:r>
      <w:r w:rsidRPr="007420B5">
        <w:rPr>
          <w:rFonts w:cs="Arial"/>
          <w:rtl/>
        </w:rPr>
        <w:t xml:space="preserve"> וכבר בא בזה הענין גם כן </w:t>
      </w:r>
      <w:r w:rsidRPr="007420B5">
        <w:rPr>
          <w:rFonts w:cs="Arial"/>
          <w:sz w:val="16"/>
          <w:szCs w:val="16"/>
          <w:rtl/>
        </w:rPr>
        <w:t>(ויקרא ה</w:t>
      </w:r>
      <w:r>
        <w:rPr>
          <w:rFonts w:cs="Arial" w:hint="cs"/>
          <w:sz w:val="16"/>
          <w:szCs w:val="16"/>
          <w:rtl/>
        </w:rPr>
        <w:t>.</w:t>
      </w:r>
      <w:r w:rsidRPr="007420B5">
        <w:rPr>
          <w:rFonts w:cs="Arial"/>
          <w:sz w:val="16"/>
          <w:szCs w:val="16"/>
          <w:rtl/>
        </w:rPr>
        <w:t xml:space="preserve"> הוב</w:t>
      </w:r>
      <w:r>
        <w:rPr>
          <w:rFonts w:cs="Arial" w:hint="cs"/>
          <w:sz w:val="16"/>
          <w:szCs w:val="16"/>
          <w:rtl/>
        </w:rPr>
        <w:t>א</w:t>
      </w:r>
      <w:r w:rsidRPr="007420B5">
        <w:rPr>
          <w:rFonts w:cs="Arial"/>
          <w:sz w:val="16"/>
          <w:szCs w:val="16"/>
          <w:rtl/>
        </w:rPr>
        <w:t xml:space="preserve"> במ"ע</w:t>
      </w:r>
      <w:r>
        <w:rPr>
          <w:rFonts w:cs="Arial" w:hint="cs"/>
          <w:sz w:val="16"/>
          <w:szCs w:val="16"/>
          <w:rtl/>
        </w:rPr>
        <w:t xml:space="preserve"> </w:t>
      </w:r>
      <w:r w:rsidRPr="007420B5">
        <w:rPr>
          <w:rFonts w:cs="Arial"/>
          <w:sz w:val="16"/>
          <w:szCs w:val="16"/>
          <w:rtl/>
        </w:rPr>
        <w:t xml:space="preserve">קעח) </w:t>
      </w:r>
      <w:r w:rsidRPr="007420B5">
        <w:rPr>
          <w:rFonts w:cs="Arial"/>
          <w:rtl/>
        </w:rPr>
        <w:t>אם לא יגיד ונשא עונו</w:t>
      </w:r>
      <w:r>
        <w:rPr>
          <w:rFonts w:cs="Arial" w:hint="cs"/>
          <w:rtl/>
        </w:rPr>
        <w:t>.</w:t>
      </w:r>
      <w:r w:rsidRPr="007420B5">
        <w:rPr>
          <w:rFonts w:cs="Arial"/>
          <w:rtl/>
        </w:rPr>
        <w:t xml:space="preserve"> ולשון ספרא מניין אם אתה יודע לו עדות שאין אתה רשאי לשתוק עליה </w:t>
      </w:r>
      <w:r>
        <w:rPr>
          <w:rFonts w:cs="Arial" w:hint="cs"/>
          <w:rtl/>
        </w:rPr>
        <w:t xml:space="preserve">- </w:t>
      </w:r>
      <w:r w:rsidRPr="007420B5">
        <w:rPr>
          <w:rFonts w:cs="Arial"/>
          <w:rtl/>
        </w:rPr>
        <w:t>תלמוד לומר לא תעמוד על דם רעך</w:t>
      </w:r>
      <w:r>
        <w:rPr>
          <w:rFonts w:cs="Arial" w:hint="cs"/>
          <w:rtl/>
        </w:rPr>
        <w:t>,</w:t>
      </w:r>
      <w:r w:rsidRPr="007420B5">
        <w:rPr>
          <w:rFonts w:cs="Arial"/>
          <w:rtl/>
        </w:rPr>
        <w:t xml:space="preserve"> ומניין אם ראית אותו טובע בנהר או לסטים באים עליו או חיה רעה באה עליו אתה חייב להצילו </w:t>
      </w:r>
      <w:r>
        <w:rPr>
          <w:rFonts w:cs="Arial" w:hint="cs"/>
          <w:rtl/>
        </w:rPr>
        <w:t xml:space="preserve">- </w:t>
      </w:r>
      <w:r w:rsidRPr="007420B5">
        <w:rPr>
          <w:rFonts w:cs="Arial"/>
          <w:rtl/>
        </w:rPr>
        <w:t>תלמוד לומר לא תעמוד על דם רעך</w:t>
      </w:r>
      <w:r>
        <w:rPr>
          <w:rFonts w:cs="Arial" w:hint="cs"/>
          <w:rtl/>
        </w:rPr>
        <w:t>,</w:t>
      </w:r>
      <w:r w:rsidRPr="007420B5">
        <w:rPr>
          <w:rFonts w:cs="Arial"/>
          <w:rtl/>
        </w:rPr>
        <w:t xml:space="preserve"> ומניין לרודף אחר חבירו להרגו שאתה חייב להצילו בנפשו </w:t>
      </w:r>
      <w:r>
        <w:rPr>
          <w:rFonts w:cs="Arial" w:hint="cs"/>
          <w:rtl/>
        </w:rPr>
        <w:t xml:space="preserve">- </w:t>
      </w:r>
      <w:r w:rsidRPr="007420B5">
        <w:rPr>
          <w:rFonts w:cs="Arial"/>
          <w:rtl/>
        </w:rPr>
        <w:t xml:space="preserve">תלמוד לומר לא תעמוד על דם רעך. וכבר התבארו משפטי מצוה זו במסכת סנהדרין </w:t>
      </w:r>
      <w:r w:rsidRPr="007420B5">
        <w:rPr>
          <w:rFonts w:cs="Arial"/>
          <w:sz w:val="16"/>
          <w:szCs w:val="16"/>
          <w:rtl/>
        </w:rPr>
        <w:t>(עב</w:t>
      </w:r>
      <w:r w:rsidRPr="007420B5">
        <w:rPr>
          <w:rFonts w:cs="Arial" w:hint="cs"/>
          <w:sz w:val="16"/>
          <w:szCs w:val="16"/>
          <w:rtl/>
        </w:rPr>
        <w:t>.</w:t>
      </w:r>
      <w:r>
        <w:rPr>
          <w:rFonts w:cs="Arial" w:hint="cs"/>
          <w:sz w:val="16"/>
          <w:szCs w:val="16"/>
          <w:rtl/>
        </w:rPr>
        <w:t>-</w:t>
      </w:r>
      <w:r w:rsidRPr="007420B5">
        <w:rPr>
          <w:rFonts w:cs="Arial"/>
          <w:sz w:val="16"/>
          <w:szCs w:val="16"/>
          <w:rtl/>
        </w:rPr>
        <w:t>עד</w:t>
      </w:r>
      <w:r w:rsidRPr="007420B5">
        <w:rPr>
          <w:rFonts w:cs="Arial" w:hint="cs"/>
          <w:sz w:val="16"/>
          <w:szCs w:val="16"/>
          <w:rtl/>
        </w:rPr>
        <w:t>.</w:t>
      </w:r>
      <w:r w:rsidRPr="007420B5">
        <w:rPr>
          <w:rFonts w:cs="Arial"/>
          <w:sz w:val="16"/>
          <w:szCs w:val="16"/>
          <w:rtl/>
        </w:rPr>
        <w:t>)</w:t>
      </w:r>
      <w:r>
        <w:rPr>
          <w:rFonts w:cs="Arial" w:hint="cs"/>
          <w:rtl/>
        </w:rPr>
        <w:t>.</w:t>
      </w:r>
    </w:p>
    <w:p w14:paraId="0D1C77E6" w14:textId="77777777" w:rsidR="004B607F" w:rsidRPr="00A71A4B" w:rsidRDefault="004B607F" w:rsidP="004B607F">
      <w:pPr>
        <w:rPr>
          <w:rFonts w:cs="Arial"/>
          <w:u w:val="single"/>
        </w:rPr>
      </w:pPr>
      <w:r w:rsidRPr="00A71A4B">
        <w:rPr>
          <w:rFonts w:cs="Arial" w:hint="cs"/>
          <w:u w:val="single"/>
          <w:rtl/>
        </w:rPr>
        <w:t xml:space="preserve">אדם שתפס ב' עדים ומנע מהם להעיד עדותם </w:t>
      </w:r>
      <w:r w:rsidRPr="00A71A4B">
        <w:rPr>
          <w:rFonts w:cs="Arial"/>
          <w:u w:val="single"/>
          <w:rtl/>
        </w:rPr>
        <w:t>–</w:t>
      </w:r>
      <w:r w:rsidRPr="00A71A4B">
        <w:rPr>
          <w:rFonts w:cs="Arial" w:hint="cs"/>
          <w:u w:val="single"/>
          <w:rtl/>
        </w:rPr>
        <w:t xml:space="preserve"> האם מתחייב בכך:</w:t>
      </w:r>
    </w:p>
    <w:p w14:paraId="1830740B" w14:textId="77777777" w:rsidR="004B607F" w:rsidRPr="00792099" w:rsidRDefault="004B607F" w:rsidP="004B0475">
      <w:pPr>
        <w:pStyle w:val="ac"/>
        <w:numPr>
          <w:ilvl w:val="0"/>
          <w:numId w:val="69"/>
        </w:numPr>
        <w:rPr>
          <w:rFonts w:cs="Arial"/>
          <w:rtl/>
        </w:rPr>
      </w:pPr>
      <w:r>
        <w:rPr>
          <w:rFonts w:cs="Arial" w:hint="cs"/>
          <w:rtl/>
        </w:rPr>
        <w:t xml:space="preserve">רמב"ן </w:t>
      </w:r>
      <w:r>
        <w:rPr>
          <w:rFonts w:cs="Arial" w:hint="cs"/>
          <w:sz w:val="16"/>
          <w:szCs w:val="16"/>
          <w:rtl/>
        </w:rPr>
        <w:t>(קונטרס דינא דגרמי ד"ה אבל מאן דצייר)</w:t>
      </w:r>
      <w:r>
        <w:rPr>
          <w:rFonts w:cs="Arial" w:hint="cs"/>
          <w:rtl/>
        </w:rPr>
        <w:t xml:space="preserve">- אבל </w:t>
      </w:r>
      <w:r w:rsidRPr="00BB1BC0">
        <w:rPr>
          <w:rFonts w:cs="Arial"/>
          <w:rtl/>
        </w:rPr>
        <w:t>מאן דצייר פומהון דסהדי דלא יסהדון</w:t>
      </w:r>
      <w:r>
        <w:rPr>
          <w:rFonts w:cs="Arial" w:hint="cs"/>
          <w:rtl/>
        </w:rPr>
        <w:t>,</w:t>
      </w:r>
      <w:r w:rsidRPr="00BB1BC0">
        <w:rPr>
          <w:rFonts w:cs="Arial"/>
          <w:rtl/>
        </w:rPr>
        <w:t xml:space="preserve"> כגון שראה עדים מגלגלין ובאין להעיד עדות לפלוני והרזקינהו באינדרונא </w:t>
      </w:r>
      <w:r>
        <w:rPr>
          <w:rFonts w:cs="Arial" w:hint="cs"/>
          <w:sz w:val="16"/>
          <w:szCs w:val="16"/>
          <w:rtl/>
        </w:rPr>
        <w:t>{היינו סגר אותם בחדר}</w:t>
      </w:r>
      <w:r w:rsidRPr="00BB1BC0">
        <w:rPr>
          <w:rFonts w:cs="Arial"/>
          <w:sz w:val="16"/>
          <w:szCs w:val="16"/>
          <w:rtl/>
        </w:rPr>
        <w:t xml:space="preserve"> </w:t>
      </w:r>
      <w:r>
        <w:rPr>
          <w:rFonts w:cs="Arial" w:hint="cs"/>
          <w:rtl/>
        </w:rPr>
        <w:t xml:space="preserve">- </w:t>
      </w:r>
      <w:r w:rsidRPr="00BB1BC0">
        <w:rPr>
          <w:rFonts w:cs="Arial"/>
          <w:rtl/>
        </w:rPr>
        <w:t>י"ל שהוא חייב למאן דדאין דינא דגרמי</w:t>
      </w:r>
      <w:r>
        <w:rPr>
          <w:rFonts w:cs="Arial" w:hint="cs"/>
          <w:rtl/>
        </w:rPr>
        <w:t>.</w:t>
      </w:r>
      <w:r w:rsidRPr="00BB1BC0">
        <w:rPr>
          <w:rFonts w:cs="Arial"/>
          <w:rtl/>
        </w:rPr>
        <w:t xml:space="preserve"> ומאי דסיימי באותו ירושלמי שכתבתי למעלה דפטור, משום דלא דייני דינא דגרמי, אבל אנן דדיינינן מיחייב, שהוא דומה לשורף שטרותיו של חברו</w:t>
      </w:r>
      <w:r>
        <w:rPr>
          <w:rFonts w:cs="Arial" w:hint="cs"/>
          <w:rtl/>
        </w:rPr>
        <w:t>.</w:t>
      </w:r>
      <w:r w:rsidRPr="00BB1BC0">
        <w:rPr>
          <w:rFonts w:cs="Arial"/>
          <w:rtl/>
        </w:rPr>
        <w:t xml:space="preserve"> כדאמרינן התם בירושלמי במקרע שטרות חוץ מדעתו שהוא דומה לאיניש דצייר פומהון דסהדי דלא יסהדון, ומאן דצייר פומהון דסהדי דומה למקרע שטרות הילכך חייב</w:t>
      </w:r>
      <w:r>
        <w:rPr>
          <w:rFonts w:cs="Arial" w:hint="cs"/>
          <w:rtl/>
        </w:rPr>
        <w:t>.</w:t>
      </w:r>
      <w:r w:rsidRPr="00BB1BC0">
        <w:rPr>
          <w:rFonts w:cs="Arial"/>
          <w:rtl/>
        </w:rPr>
        <w:t xml:space="preserve"> ויש לומר שהוא פטור</w:t>
      </w:r>
      <w:r>
        <w:rPr>
          <w:rFonts w:cs="Arial" w:hint="cs"/>
          <w:rtl/>
        </w:rPr>
        <w:t>,</w:t>
      </w:r>
      <w:r w:rsidRPr="00BB1BC0">
        <w:rPr>
          <w:rFonts w:cs="Arial"/>
          <w:rtl/>
        </w:rPr>
        <w:t xml:space="preserve"> דמי יימר דמסהדי</w:t>
      </w:r>
      <w:r>
        <w:rPr>
          <w:rFonts w:cs="Arial" w:hint="cs"/>
          <w:rtl/>
        </w:rPr>
        <w:t>,</w:t>
      </w:r>
      <w:r w:rsidRPr="00BB1BC0">
        <w:rPr>
          <w:rFonts w:cs="Arial"/>
          <w:rtl/>
        </w:rPr>
        <w:t xml:space="preserve"> דילמא הדרי בהו</w:t>
      </w:r>
      <w:r>
        <w:rPr>
          <w:rFonts w:cs="Arial" w:hint="cs"/>
          <w:rtl/>
        </w:rPr>
        <w:t>,</w:t>
      </w:r>
      <w:r w:rsidRPr="00BB1BC0">
        <w:rPr>
          <w:rFonts w:cs="Arial"/>
          <w:rtl/>
        </w:rPr>
        <w:t xml:space="preserve"> ולא ברי היזיקא</w:t>
      </w:r>
      <w:r>
        <w:rPr>
          <w:rFonts w:cs="Arial" w:hint="cs"/>
          <w:rtl/>
        </w:rPr>
        <w:t>.</w:t>
      </w:r>
      <w:r w:rsidRPr="00BB1BC0">
        <w:rPr>
          <w:rFonts w:cs="Arial"/>
          <w:rtl/>
        </w:rPr>
        <w:t xml:space="preserve"> וא"ת אי הכי מסור נמי דילמא לא שקלי ליה, איכא למימר</w:t>
      </w:r>
      <w:r>
        <w:rPr>
          <w:rFonts w:cs="Arial" w:hint="cs"/>
          <w:rtl/>
        </w:rPr>
        <w:t xml:space="preserve"> -</w:t>
      </w:r>
      <w:r w:rsidRPr="00BB1BC0">
        <w:rPr>
          <w:rFonts w:cs="Arial"/>
          <w:rtl/>
        </w:rPr>
        <w:t xml:space="preserve"> התם כי שקול מיהא מחמת גרמתו שקל</w:t>
      </w:r>
      <w:r>
        <w:rPr>
          <w:rFonts w:cs="Arial" w:hint="cs"/>
          <w:rtl/>
        </w:rPr>
        <w:t>,</w:t>
      </w:r>
      <w:r w:rsidRPr="00BB1BC0">
        <w:rPr>
          <w:rFonts w:cs="Arial"/>
          <w:rtl/>
        </w:rPr>
        <w:t xml:space="preserve"> וכמאן דקלייה דמי, אבל הכא דילמא הדרי בהו</w:t>
      </w:r>
      <w:r>
        <w:rPr>
          <w:rFonts w:cs="Arial" w:hint="cs"/>
          <w:rtl/>
        </w:rPr>
        <w:t>.</w:t>
      </w:r>
      <w:r w:rsidRPr="00BB1BC0">
        <w:rPr>
          <w:rFonts w:cs="Arial"/>
          <w:rtl/>
        </w:rPr>
        <w:t xml:space="preserve"> ועוד שהם גמילות חסדים הוא דקא עבדי גביה</w:t>
      </w:r>
      <w:r>
        <w:rPr>
          <w:rFonts w:cs="Arial" w:hint="cs"/>
          <w:rtl/>
        </w:rPr>
        <w:t>,</w:t>
      </w:r>
      <w:r w:rsidRPr="00BB1BC0">
        <w:rPr>
          <w:rFonts w:cs="Arial"/>
          <w:rtl/>
        </w:rPr>
        <w:t xml:space="preserve"> ומי שראה חברו רוצה ליתן מתנה לפלוני או הולך להציל ממונו והוא מעכבו, אין מן הדין לחייבו, שאין זה גורם היזק אלא מונע וההיזק בא ממילא</w:t>
      </w:r>
      <w:r>
        <w:rPr>
          <w:rFonts w:cs="Arial" w:hint="cs"/>
          <w:rtl/>
        </w:rPr>
        <w:t>.</w:t>
      </w:r>
      <w:r w:rsidRPr="00BB1BC0">
        <w:rPr>
          <w:rFonts w:cs="Arial"/>
          <w:rtl/>
        </w:rPr>
        <w:t xml:space="preserve"> וכן עיקר.</w:t>
      </w:r>
    </w:p>
    <w:p w14:paraId="15E09A66" w14:textId="77777777" w:rsidR="004B607F" w:rsidRPr="00A87493" w:rsidRDefault="004B607F" w:rsidP="004B607F">
      <w:pPr>
        <w:rPr>
          <w:rFonts w:cs="Arial"/>
          <w:rtl/>
        </w:rPr>
      </w:pPr>
      <w:r w:rsidRPr="00A87493">
        <w:rPr>
          <w:rFonts w:cs="Arial" w:hint="cs"/>
          <w:u w:val="single"/>
          <w:rtl/>
        </w:rPr>
        <w:t>ה</w:t>
      </w:r>
      <w:r>
        <w:rPr>
          <w:rFonts w:cs="Arial" w:hint="cs"/>
          <w:u w:val="single"/>
          <w:rtl/>
        </w:rPr>
        <w:t>אם בעל דין יכול לה</w:t>
      </w:r>
      <w:r w:rsidRPr="00A87493">
        <w:rPr>
          <w:rFonts w:cs="Arial" w:hint="cs"/>
          <w:u w:val="single"/>
          <w:rtl/>
        </w:rPr>
        <w:t>שב</w:t>
      </w:r>
      <w:r>
        <w:rPr>
          <w:rFonts w:cs="Arial" w:hint="cs"/>
          <w:u w:val="single"/>
          <w:rtl/>
        </w:rPr>
        <w:t>י</w:t>
      </w:r>
      <w:r w:rsidRPr="00A87493">
        <w:rPr>
          <w:rFonts w:cs="Arial" w:hint="cs"/>
          <w:u w:val="single"/>
          <w:rtl/>
        </w:rPr>
        <w:t>ע</w:t>
      </w:r>
      <w:r>
        <w:rPr>
          <w:rFonts w:cs="Arial" w:hint="cs"/>
          <w:u w:val="single"/>
          <w:rtl/>
        </w:rPr>
        <w:t xml:space="preserve"> בני אדם על ספק</w:t>
      </w:r>
      <w:r w:rsidRPr="00A87493">
        <w:rPr>
          <w:rFonts w:cs="Arial" w:hint="cs"/>
          <w:sz w:val="16"/>
          <w:szCs w:val="16"/>
          <w:u w:val="single"/>
          <w:rtl/>
        </w:rPr>
        <w:t xml:space="preserve"> (היינו ספק אם יודע</w:t>
      </w:r>
      <w:r>
        <w:rPr>
          <w:rFonts w:cs="Arial" w:hint="cs"/>
          <w:sz w:val="16"/>
          <w:szCs w:val="16"/>
          <w:u w:val="single"/>
          <w:rtl/>
        </w:rPr>
        <w:t>ים</w:t>
      </w:r>
      <w:r w:rsidRPr="00A87493">
        <w:rPr>
          <w:rFonts w:cs="Arial" w:hint="cs"/>
          <w:sz w:val="16"/>
          <w:szCs w:val="16"/>
          <w:u w:val="single"/>
          <w:rtl/>
        </w:rPr>
        <w:t xml:space="preserve"> לו עדות)</w:t>
      </w:r>
      <w:r w:rsidRPr="00A87493">
        <w:rPr>
          <w:rFonts w:cs="Arial" w:hint="cs"/>
          <w:u w:val="single"/>
          <w:rtl/>
        </w:rPr>
        <w:t>:</w:t>
      </w:r>
      <w:r>
        <w:rPr>
          <w:rFonts w:cs="Arial" w:hint="cs"/>
          <w:sz w:val="16"/>
          <w:szCs w:val="16"/>
          <w:rtl/>
        </w:rPr>
        <w:t xml:space="preserve"> </w:t>
      </w:r>
      <w:r w:rsidRPr="00A87493">
        <w:rPr>
          <w:rFonts w:cs="Arial" w:hint="cs"/>
          <w:sz w:val="16"/>
          <w:szCs w:val="16"/>
          <w:rtl/>
        </w:rPr>
        <w:t xml:space="preserve"> (דרכ"מ אות ד)</w:t>
      </w:r>
    </w:p>
    <w:p w14:paraId="648FEAB5" w14:textId="77777777" w:rsidR="004B607F" w:rsidRDefault="004B607F" w:rsidP="004B0475">
      <w:pPr>
        <w:pStyle w:val="ac"/>
        <w:numPr>
          <w:ilvl w:val="0"/>
          <w:numId w:val="69"/>
        </w:numPr>
        <w:rPr>
          <w:rFonts w:cs="Arial"/>
        </w:rPr>
      </w:pPr>
      <w:r>
        <w:rPr>
          <w:rFonts w:cs="Arial" w:hint="cs"/>
          <w:rtl/>
        </w:rPr>
        <w:t>מקצת רבותינו הצרפתים</w:t>
      </w:r>
      <w:r w:rsidRPr="00EF2082">
        <w:rPr>
          <w:rFonts w:cs="Arial"/>
          <w:rtl/>
        </w:rPr>
        <w:t xml:space="preserve"> </w:t>
      </w:r>
      <w:r w:rsidRPr="00A87493">
        <w:rPr>
          <w:rFonts w:cs="Arial" w:hint="cs"/>
          <w:sz w:val="16"/>
          <w:szCs w:val="16"/>
          <w:rtl/>
        </w:rPr>
        <w:t>(</w:t>
      </w:r>
      <w:r>
        <w:rPr>
          <w:rFonts w:cs="Arial" w:hint="cs"/>
          <w:sz w:val="16"/>
          <w:szCs w:val="16"/>
          <w:rtl/>
        </w:rPr>
        <w:t xml:space="preserve">כ"כ הרשב"א בשמם, הביא הר"ן דבריו </w:t>
      </w:r>
      <w:r w:rsidRPr="00A94C09">
        <w:rPr>
          <w:rFonts w:cs="Arial" w:hint="cs"/>
          <w:sz w:val="14"/>
          <w:szCs w:val="14"/>
          <w:rtl/>
        </w:rPr>
        <w:t>[</w:t>
      </w:r>
      <w:r w:rsidRPr="00A94C09">
        <w:rPr>
          <w:rFonts w:cs="Arial"/>
          <w:sz w:val="14"/>
          <w:szCs w:val="14"/>
          <w:rtl/>
        </w:rPr>
        <w:t>פרק שבועת העדות טו. ד"ה וגרסינן</w:t>
      </w:r>
      <w:r w:rsidRPr="00A94C09">
        <w:rPr>
          <w:rFonts w:cs="Arial" w:hint="cs"/>
          <w:sz w:val="14"/>
          <w:szCs w:val="14"/>
          <w:rtl/>
        </w:rPr>
        <w:t>]</w:t>
      </w:r>
      <w:r w:rsidRPr="00A87493">
        <w:rPr>
          <w:rFonts w:cs="Arial"/>
          <w:sz w:val="16"/>
          <w:szCs w:val="16"/>
          <w:rtl/>
        </w:rPr>
        <w:t>)</w:t>
      </w:r>
      <w:r>
        <w:rPr>
          <w:rFonts w:cs="Arial" w:hint="cs"/>
          <w:rtl/>
        </w:rPr>
        <w:t xml:space="preserve">- </w:t>
      </w:r>
      <w:r w:rsidRPr="00EF2082">
        <w:rPr>
          <w:rFonts w:cs="Arial"/>
          <w:rtl/>
        </w:rPr>
        <w:t>יכול אדם להשביע את חבירו מן הספק אם יודע לו עדות אם לא</w:t>
      </w:r>
      <w:r>
        <w:rPr>
          <w:rFonts w:cs="Arial" w:hint="cs"/>
          <w:rtl/>
        </w:rPr>
        <w:t>.</w:t>
      </w:r>
      <w:r w:rsidRPr="00EF2082">
        <w:rPr>
          <w:rFonts w:cs="Arial"/>
          <w:rtl/>
        </w:rPr>
        <w:t xml:space="preserve"> </w:t>
      </w:r>
    </w:p>
    <w:p w14:paraId="002C0FAE" w14:textId="77777777" w:rsidR="004B607F" w:rsidRDefault="004B607F" w:rsidP="004B0475">
      <w:pPr>
        <w:pStyle w:val="ac"/>
        <w:numPr>
          <w:ilvl w:val="0"/>
          <w:numId w:val="69"/>
        </w:numPr>
        <w:rPr>
          <w:rFonts w:cs="Arial"/>
        </w:rPr>
      </w:pPr>
      <w:r w:rsidRPr="00EF2082">
        <w:rPr>
          <w:rFonts w:cs="Arial"/>
          <w:rtl/>
        </w:rPr>
        <w:t xml:space="preserve">רשב"א </w:t>
      </w:r>
      <w:r w:rsidRPr="00A87493">
        <w:rPr>
          <w:rFonts w:cs="Arial" w:hint="cs"/>
          <w:sz w:val="16"/>
          <w:szCs w:val="16"/>
          <w:rtl/>
        </w:rPr>
        <w:t>(</w:t>
      </w:r>
      <w:r w:rsidRPr="00A87493">
        <w:rPr>
          <w:rFonts w:cs="Arial"/>
          <w:sz w:val="16"/>
          <w:szCs w:val="16"/>
          <w:rtl/>
        </w:rPr>
        <w:t>סי</w:t>
      </w:r>
      <w:r w:rsidRPr="00A87493">
        <w:rPr>
          <w:rFonts w:cs="Arial" w:hint="cs"/>
          <w:sz w:val="16"/>
          <w:szCs w:val="16"/>
          <w:rtl/>
        </w:rPr>
        <w:t>'</w:t>
      </w:r>
      <w:r w:rsidRPr="00A87493">
        <w:rPr>
          <w:rFonts w:cs="Arial"/>
          <w:sz w:val="16"/>
          <w:szCs w:val="16"/>
          <w:rtl/>
        </w:rPr>
        <w:t xml:space="preserve"> תרנח</w:t>
      </w:r>
      <w:r w:rsidRPr="00A87493">
        <w:rPr>
          <w:rFonts w:cs="Arial" w:hint="cs"/>
          <w:sz w:val="16"/>
          <w:szCs w:val="16"/>
          <w:rtl/>
        </w:rPr>
        <w:t>)</w:t>
      </w:r>
      <w:r>
        <w:rPr>
          <w:rFonts w:cs="Arial" w:hint="cs"/>
          <w:rtl/>
        </w:rPr>
        <w:t>-</w:t>
      </w:r>
      <w:r w:rsidRPr="00EF2082">
        <w:rPr>
          <w:rFonts w:cs="Arial"/>
          <w:rtl/>
        </w:rPr>
        <w:t xml:space="preserve"> לא מצינו שיוכל אדם להשביע עדיו אם יודעין לו עדות</w:t>
      </w:r>
      <w:r>
        <w:rPr>
          <w:rFonts w:cs="Arial" w:hint="cs"/>
          <w:rtl/>
        </w:rPr>
        <w:t xml:space="preserve"> אם לאו.</w:t>
      </w:r>
      <w:r w:rsidRPr="00792099">
        <w:rPr>
          <w:rFonts w:cs="Arial"/>
          <w:rtl/>
        </w:rPr>
        <w:t xml:space="preserve"> </w:t>
      </w:r>
    </w:p>
    <w:p w14:paraId="3562253B" w14:textId="77777777" w:rsidR="004B607F" w:rsidRPr="00792099" w:rsidRDefault="004B607F" w:rsidP="004B607F">
      <w:pPr>
        <w:rPr>
          <w:rFonts w:cs="Arial"/>
          <w:rtl/>
        </w:rPr>
      </w:pPr>
      <w:r w:rsidRPr="00EF2082">
        <w:rPr>
          <w:rFonts w:cs="Arial" w:hint="cs"/>
          <w:b/>
          <w:bCs/>
          <w:rtl/>
        </w:rPr>
        <w:t xml:space="preserve">שבועות </w:t>
      </w:r>
      <w:r w:rsidRPr="00EF2082">
        <w:rPr>
          <w:rFonts w:cs="Arial" w:hint="cs"/>
          <w:b/>
          <w:bCs/>
          <w:sz w:val="16"/>
          <w:szCs w:val="16"/>
          <w:rtl/>
        </w:rPr>
        <w:t xml:space="preserve">(פ' שבועת העדות) </w:t>
      </w:r>
      <w:r w:rsidRPr="00EF2082">
        <w:rPr>
          <w:rFonts w:cs="Arial" w:hint="cs"/>
          <w:b/>
          <w:bCs/>
          <w:rtl/>
        </w:rPr>
        <w:t>ל</w:t>
      </w:r>
      <w:r>
        <w:rPr>
          <w:rFonts w:cs="Arial" w:hint="cs"/>
          <w:b/>
          <w:bCs/>
          <w:rtl/>
        </w:rPr>
        <w:t>א</w:t>
      </w:r>
      <w:r>
        <w:rPr>
          <w:rStyle w:val="ab"/>
          <w:rFonts w:cs="Arial"/>
          <w:b/>
          <w:bCs/>
          <w:rtl/>
        </w:rPr>
        <w:footnoteReference w:id="1364"/>
      </w:r>
      <w:r w:rsidRPr="00EF2082">
        <w:rPr>
          <w:rFonts w:cs="Arial" w:hint="cs"/>
          <w:b/>
          <w:bCs/>
          <w:rtl/>
        </w:rPr>
        <w:t xml:space="preserve"> ע"א: </w:t>
      </w:r>
      <w:r w:rsidRPr="00792099">
        <w:rPr>
          <w:rFonts w:cs="Arial"/>
          <w:rtl/>
        </w:rPr>
        <w:t xml:space="preserve">מנין לתלמיד שאמר לו רבו: יודע אתה בי שאם נותנין לי מאה מנה איני מבדה, מנה יש לי אצל פלוני ואין לי עליו אלא עד אחד, מנין שלא יצטרף עמו? תלמוד לומר: מדבר שקר תרחק. האי מדבר שקר תרחק נפקא? הא ודאי שקורי קא משקר, ורחמנא אמר: לא תענה ברעך עד שקר! אלא כגון דאמר ליה: ודאי חד סהדא אית לי, ותא אתה קום התם ולא תימא ולא מידי, דהא לא מפקת מפומך שקרא, אפי' הכי אסור, משום שנאמר: מדבר שקר תרחק. </w:t>
      </w:r>
    </w:p>
    <w:p w14:paraId="113B29EC" w14:textId="77777777" w:rsidR="004B607F" w:rsidRDefault="004B607F" w:rsidP="004B607F">
      <w:pPr>
        <w:rPr>
          <w:rFonts w:cs="Arial"/>
          <w:rtl/>
        </w:rPr>
      </w:pPr>
      <w:r w:rsidRPr="00792099">
        <w:rPr>
          <w:rFonts w:cs="Arial" w:hint="cs"/>
          <w:u w:val="single"/>
          <w:rtl/>
        </w:rPr>
        <w:t>רב האומר לתלמידו לבוא להעיד לו על פי זה שמאמין לדבריו:</w:t>
      </w:r>
      <w:r>
        <w:rPr>
          <w:rFonts w:cs="Arial" w:hint="cs"/>
          <w:rtl/>
        </w:rPr>
        <w:t xml:space="preserve"> </w:t>
      </w:r>
    </w:p>
    <w:p w14:paraId="25C3EA4C" w14:textId="77777777" w:rsidR="004B607F" w:rsidRDefault="004B607F" w:rsidP="004B0475">
      <w:pPr>
        <w:pStyle w:val="ac"/>
        <w:numPr>
          <w:ilvl w:val="0"/>
          <w:numId w:val="70"/>
        </w:numPr>
        <w:rPr>
          <w:rFonts w:cs="Arial"/>
        </w:rPr>
      </w:pPr>
      <w:r w:rsidRPr="00792099">
        <w:rPr>
          <w:rFonts w:cs="Arial" w:hint="cs"/>
          <w:rtl/>
        </w:rPr>
        <w:lastRenderedPageBreak/>
        <w:t xml:space="preserve">טור- </w:t>
      </w:r>
      <w:r w:rsidRPr="00792099">
        <w:rPr>
          <w:rFonts w:cs="Arial"/>
          <w:rtl/>
        </w:rPr>
        <w:t xml:space="preserve">אפילו תלמיד שאמר לו רבו </w:t>
      </w:r>
      <w:r>
        <w:rPr>
          <w:rFonts w:cs="Arial" w:hint="cs"/>
          <w:rtl/>
        </w:rPr>
        <w:t>'</w:t>
      </w:r>
      <w:r w:rsidRPr="00792099">
        <w:rPr>
          <w:rFonts w:cs="Arial"/>
          <w:rtl/>
        </w:rPr>
        <w:t>אתה יודע שאם נותנים לי כל ממון שבעולם איני משקר</w:t>
      </w:r>
      <w:r>
        <w:rPr>
          <w:rFonts w:cs="Arial" w:hint="cs"/>
          <w:rtl/>
        </w:rPr>
        <w:t>,</w:t>
      </w:r>
      <w:r w:rsidRPr="00792099">
        <w:rPr>
          <w:rFonts w:cs="Arial"/>
          <w:rtl/>
        </w:rPr>
        <w:t xml:space="preserve"> מנה יש לי אצל פלוני ויש לי עד אחד בא והצטרף עמו</w:t>
      </w:r>
      <w:r>
        <w:rPr>
          <w:rFonts w:cs="Arial" w:hint="cs"/>
          <w:rtl/>
        </w:rPr>
        <w:t>' -</w:t>
      </w:r>
      <w:r w:rsidRPr="00792099">
        <w:rPr>
          <w:rFonts w:cs="Arial"/>
          <w:rtl/>
        </w:rPr>
        <w:t xml:space="preserve"> לא יעשה</w:t>
      </w:r>
      <w:r>
        <w:rPr>
          <w:rFonts w:cs="Arial" w:hint="cs"/>
          <w:rtl/>
        </w:rPr>
        <w:t>.</w:t>
      </w:r>
      <w:r w:rsidRPr="00792099">
        <w:rPr>
          <w:rFonts w:cs="Arial"/>
          <w:rtl/>
        </w:rPr>
        <w:t xml:space="preserve"> ואפילו אמר לו </w:t>
      </w:r>
      <w:r>
        <w:rPr>
          <w:rFonts w:cs="Arial" w:hint="cs"/>
          <w:rtl/>
        </w:rPr>
        <w:t>'</w:t>
      </w:r>
      <w:r w:rsidRPr="00792099">
        <w:rPr>
          <w:rFonts w:cs="Arial"/>
          <w:rtl/>
        </w:rPr>
        <w:t>בא ועמוד עם העד האחד ולא תעיד אלא כדי שיראה הלוה ויפחד שיסבור שיש לי שני עדים ויודה</w:t>
      </w:r>
      <w:r>
        <w:rPr>
          <w:rFonts w:cs="Arial" w:hint="cs"/>
          <w:rtl/>
        </w:rPr>
        <w:t>' -</w:t>
      </w:r>
      <w:r w:rsidRPr="00792099">
        <w:rPr>
          <w:rFonts w:cs="Arial"/>
          <w:rtl/>
        </w:rPr>
        <w:t xml:space="preserve"> לא ישמע לו</w:t>
      </w:r>
      <w:r>
        <w:rPr>
          <w:rFonts w:cs="Arial" w:hint="cs"/>
          <w:rtl/>
        </w:rPr>
        <w:t>.</w:t>
      </w:r>
      <w:r w:rsidRPr="00792099">
        <w:rPr>
          <w:rFonts w:cs="Arial" w:hint="cs"/>
          <w:rtl/>
        </w:rPr>
        <w:t xml:space="preserve"> </w:t>
      </w:r>
      <w:r w:rsidRPr="008A71CA">
        <w:rPr>
          <w:rFonts w:cs="Arial" w:hint="cs"/>
          <w:color w:val="00B0F0"/>
          <w:rtl/>
        </w:rPr>
        <w:t>(וכ"פ הרמ"א)</w:t>
      </w:r>
    </w:p>
    <w:p w14:paraId="68003BDA" w14:textId="77777777" w:rsidR="004B607F" w:rsidRPr="00A6576C" w:rsidRDefault="004B607F" w:rsidP="004B607F">
      <w:pPr>
        <w:rPr>
          <w:rFonts w:cs="Arial"/>
          <w:sz w:val="16"/>
          <w:szCs w:val="16"/>
        </w:rPr>
      </w:pPr>
      <w:r w:rsidRPr="00A6576C">
        <w:rPr>
          <w:rFonts w:cs="Arial" w:hint="cs"/>
          <w:u w:val="single"/>
          <w:rtl/>
        </w:rPr>
        <w:t>עד שאמר שאינו רשאי להעיד מחמת שקיבל עליו בסוד שלא לגלות הדבר:</w:t>
      </w:r>
      <w:r>
        <w:rPr>
          <w:rFonts w:cs="Arial" w:hint="cs"/>
          <w:sz w:val="16"/>
          <w:szCs w:val="16"/>
          <w:rtl/>
        </w:rPr>
        <w:t xml:space="preserve">   (דרכ"מ אות א)</w:t>
      </w:r>
    </w:p>
    <w:p w14:paraId="6C04F6A8" w14:textId="77777777" w:rsidR="004B607F" w:rsidRDefault="004B607F" w:rsidP="004B0475">
      <w:pPr>
        <w:pStyle w:val="ac"/>
        <w:numPr>
          <w:ilvl w:val="0"/>
          <w:numId w:val="69"/>
        </w:numPr>
        <w:rPr>
          <w:rFonts w:cs="Arial"/>
        </w:rPr>
      </w:pPr>
      <w:r w:rsidRPr="00815AC9">
        <w:rPr>
          <w:rFonts w:cs="Arial"/>
          <w:rtl/>
        </w:rPr>
        <w:t>מהר</w:t>
      </w:r>
      <w:r>
        <w:rPr>
          <w:rFonts w:cs="Arial" w:hint="cs"/>
          <w:rtl/>
        </w:rPr>
        <w:t>י"</w:t>
      </w:r>
      <w:r w:rsidRPr="00815AC9">
        <w:rPr>
          <w:rFonts w:cs="Arial"/>
          <w:rtl/>
        </w:rPr>
        <w:t xml:space="preserve">ו </w:t>
      </w:r>
      <w:r w:rsidRPr="00A6576C">
        <w:rPr>
          <w:rFonts w:cs="Arial" w:hint="cs"/>
          <w:sz w:val="16"/>
          <w:szCs w:val="16"/>
          <w:rtl/>
        </w:rPr>
        <w:t>(</w:t>
      </w:r>
      <w:r w:rsidRPr="00A6576C">
        <w:rPr>
          <w:rFonts w:cs="Arial"/>
          <w:sz w:val="16"/>
          <w:szCs w:val="16"/>
          <w:rtl/>
        </w:rPr>
        <w:t>סי</w:t>
      </w:r>
      <w:r w:rsidRPr="00A6576C">
        <w:rPr>
          <w:rFonts w:cs="Arial" w:hint="cs"/>
          <w:sz w:val="16"/>
          <w:szCs w:val="16"/>
          <w:rtl/>
        </w:rPr>
        <w:t>'</w:t>
      </w:r>
      <w:r w:rsidRPr="00A6576C">
        <w:rPr>
          <w:rFonts w:cs="Arial"/>
          <w:sz w:val="16"/>
          <w:szCs w:val="16"/>
          <w:rtl/>
        </w:rPr>
        <w:t xml:space="preserve"> מב</w:t>
      </w:r>
      <w:r w:rsidRPr="00A6576C">
        <w:rPr>
          <w:rFonts w:cs="Arial" w:hint="cs"/>
          <w:sz w:val="16"/>
          <w:szCs w:val="16"/>
          <w:rtl/>
        </w:rPr>
        <w:t>)</w:t>
      </w:r>
      <w:r>
        <w:rPr>
          <w:rFonts w:cs="Arial" w:hint="cs"/>
          <w:rtl/>
        </w:rPr>
        <w:t>-</w:t>
      </w:r>
      <w:r w:rsidRPr="00815AC9">
        <w:rPr>
          <w:rFonts w:cs="Arial"/>
          <w:rtl/>
        </w:rPr>
        <w:t xml:space="preserve"> אם שום עד אמר שאינו רשאי להגיד עדות מחמת שקבל עליו בסוד שלא לגלות הדבר</w:t>
      </w:r>
      <w:r>
        <w:rPr>
          <w:rFonts w:cs="Arial" w:hint="cs"/>
          <w:rtl/>
        </w:rPr>
        <w:t xml:space="preserve"> -</w:t>
      </w:r>
      <w:r w:rsidRPr="00815AC9">
        <w:rPr>
          <w:rFonts w:cs="Arial"/>
          <w:rtl/>
        </w:rPr>
        <w:t xml:space="preserve"> אז בעלי דינים יתירו לאותו עד לגלות הדבר</w:t>
      </w:r>
      <w:r>
        <w:rPr>
          <w:rFonts w:cs="Arial" w:hint="cs"/>
          <w:rtl/>
        </w:rPr>
        <w:t>. (וכ"כ הסמ"ע</w:t>
      </w:r>
      <w:r>
        <w:rPr>
          <w:rFonts w:cs="Arial" w:hint="cs"/>
          <w:sz w:val="16"/>
          <w:szCs w:val="16"/>
          <w:rtl/>
        </w:rPr>
        <w:t xml:space="preserve"> [סק"א]</w:t>
      </w:r>
      <w:r>
        <w:rPr>
          <w:rFonts w:cs="Arial" w:hint="cs"/>
          <w:rtl/>
        </w:rPr>
        <w:t>)</w:t>
      </w:r>
    </w:p>
    <w:p w14:paraId="15776A6B" w14:textId="77777777" w:rsidR="004B607F" w:rsidRPr="00EC147E" w:rsidRDefault="004B607F" w:rsidP="004B607F">
      <w:pPr>
        <w:rPr>
          <w:rFonts w:cs="Arial"/>
          <w:u w:val="single"/>
        </w:rPr>
      </w:pPr>
      <w:r>
        <w:rPr>
          <w:rFonts w:cs="Arial" w:hint="cs"/>
          <w:u w:val="single"/>
          <w:rtl/>
        </w:rPr>
        <w:t xml:space="preserve">עד היודע עדות לבדו - </w:t>
      </w:r>
      <w:r w:rsidRPr="00EC147E">
        <w:rPr>
          <w:rFonts w:cs="Arial" w:hint="cs"/>
          <w:u w:val="single"/>
          <w:rtl/>
        </w:rPr>
        <w:t>האם צריך להעיד</w:t>
      </w:r>
      <w:r>
        <w:rPr>
          <w:rFonts w:cs="Arial" w:hint="cs"/>
          <w:u w:val="single"/>
          <w:rtl/>
        </w:rPr>
        <w:t xml:space="preserve"> </w:t>
      </w:r>
      <w:r w:rsidRPr="00EC147E">
        <w:rPr>
          <w:rFonts w:cs="Arial" w:hint="cs"/>
          <w:u w:val="single"/>
          <w:rtl/>
        </w:rPr>
        <w:t>רק ב</w:t>
      </w:r>
      <w:r>
        <w:rPr>
          <w:rFonts w:cs="Arial" w:hint="cs"/>
          <w:u w:val="single"/>
          <w:rtl/>
        </w:rPr>
        <w:t>מידה</w:t>
      </w:r>
      <w:r w:rsidRPr="00EC147E">
        <w:rPr>
          <w:rFonts w:cs="Arial" w:hint="cs"/>
          <w:u w:val="single"/>
          <w:rtl/>
        </w:rPr>
        <w:t xml:space="preserve"> </w:t>
      </w:r>
      <w:r>
        <w:rPr>
          <w:rFonts w:cs="Arial" w:hint="cs"/>
          <w:u w:val="single"/>
          <w:rtl/>
        </w:rPr>
        <w:t>ו</w:t>
      </w:r>
      <w:r w:rsidRPr="00EC147E">
        <w:rPr>
          <w:rFonts w:cs="Arial" w:hint="cs"/>
          <w:u w:val="single"/>
          <w:rtl/>
        </w:rPr>
        <w:t>מחייב שבועה</w:t>
      </w:r>
      <w:r>
        <w:rPr>
          <w:rFonts w:cs="Arial" w:hint="cs"/>
          <w:u w:val="single"/>
          <w:rtl/>
        </w:rPr>
        <w:t xml:space="preserve"> בעדותו</w:t>
      </w:r>
      <w:r w:rsidRPr="00EC147E">
        <w:rPr>
          <w:rFonts w:cs="Arial" w:hint="cs"/>
          <w:u w:val="single"/>
          <w:rtl/>
        </w:rPr>
        <w:t xml:space="preserve"> או לא:</w:t>
      </w:r>
      <w:r w:rsidRPr="00EC147E">
        <w:rPr>
          <w:rFonts w:cs="Arial" w:hint="cs"/>
          <w:sz w:val="16"/>
          <w:szCs w:val="16"/>
          <w:rtl/>
        </w:rPr>
        <w:t xml:space="preserve">  (דרכ"מ אות ב</w:t>
      </w:r>
      <w:r w:rsidRPr="00EC147E">
        <w:rPr>
          <w:rFonts w:cs="Arial"/>
          <w:sz w:val="16"/>
          <w:szCs w:val="16"/>
          <w:rtl/>
        </w:rPr>
        <w:t>)</w:t>
      </w:r>
    </w:p>
    <w:p w14:paraId="213A4731" w14:textId="77777777" w:rsidR="004B607F" w:rsidRPr="002C40EE" w:rsidRDefault="004B607F" w:rsidP="004B0475">
      <w:pPr>
        <w:pStyle w:val="ac"/>
        <w:numPr>
          <w:ilvl w:val="0"/>
          <w:numId w:val="69"/>
        </w:numPr>
        <w:rPr>
          <w:rFonts w:cs="Arial"/>
        </w:rPr>
      </w:pPr>
      <w:r>
        <w:rPr>
          <w:rFonts w:cs="Arial" w:hint="cs"/>
          <w:rtl/>
        </w:rPr>
        <w:t xml:space="preserve">הגה"מ </w:t>
      </w:r>
      <w:r w:rsidRPr="00260C07">
        <w:rPr>
          <w:rFonts w:cs="Arial" w:hint="cs"/>
          <w:sz w:val="16"/>
          <w:szCs w:val="16"/>
          <w:rtl/>
        </w:rPr>
        <w:t>(</w:t>
      </w:r>
      <w:r w:rsidRPr="00260C07">
        <w:rPr>
          <w:rFonts w:cs="Arial"/>
          <w:sz w:val="16"/>
          <w:szCs w:val="16"/>
          <w:rtl/>
        </w:rPr>
        <w:t>פ"ה דהל</w:t>
      </w:r>
      <w:r w:rsidRPr="00260C07">
        <w:rPr>
          <w:rFonts w:cs="Arial" w:hint="cs"/>
          <w:sz w:val="16"/>
          <w:szCs w:val="16"/>
          <w:rtl/>
        </w:rPr>
        <w:t>'</w:t>
      </w:r>
      <w:r w:rsidRPr="00260C07">
        <w:rPr>
          <w:rFonts w:cs="Arial"/>
          <w:sz w:val="16"/>
          <w:szCs w:val="16"/>
          <w:rtl/>
        </w:rPr>
        <w:t xml:space="preserve"> עדות אות א)</w:t>
      </w:r>
      <w:r>
        <w:rPr>
          <w:rFonts w:cs="Arial" w:hint="cs"/>
          <w:rtl/>
        </w:rPr>
        <w:t>-</w:t>
      </w:r>
      <w:r w:rsidRPr="00FB3387">
        <w:rPr>
          <w:rFonts w:cs="Arial"/>
          <w:rtl/>
        </w:rPr>
        <w:t xml:space="preserve"> דוקא במקום דאיכא שבועה</w:t>
      </w:r>
      <w:r>
        <w:rPr>
          <w:rFonts w:cs="Arial" w:hint="cs"/>
          <w:rtl/>
        </w:rPr>
        <w:t>,</w:t>
      </w:r>
      <w:r w:rsidRPr="00FB3387">
        <w:rPr>
          <w:rFonts w:cs="Arial"/>
          <w:rtl/>
        </w:rPr>
        <w:t xml:space="preserve"> אבל בדבר עון שאין ראוי להשביע </w:t>
      </w:r>
      <w:r>
        <w:rPr>
          <w:rFonts w:cs="Arial" w:hint="cs"/>
          <w:rtl/>
        </w:rPr>
        <w:t xml:space="preserve">- </w:t>
      </w:r>
      <w:r w:rsidRPr="00FB3387">
        <w:rPr>
          <w:rFonts w:cs="Arial"/>
          <w:rtl/>
        </w:rPr>
        <w:t>לא יעיד עליו</w:t>
      </w:r>
      <w:r>
        <w:rPr>
          <w:rFonts w:cs="Arial" w:hint="cs"/>
          <w:rtl/>
        </w:rPr>
        <w:t>,</w:t>
      </w:r>
      <w:r w:rsidRPr="00FB3387">
        <w:rPr>
          <w:rFonts w:cs="Arial"/>
          <w:rtl/>
        </w:rPr>
        <w:t xml:space="preserve"> ואם העיד </w:t>
      </w:r>
      <w:r>
        <w:rPr>
          <w:rFonts w:cs="Arial" w:hint="cs"/>
          <w:rtl/>
        </w:rPr>
        <w:t xml:space="preserve">- </w:t>
      </w:r>
      <w:r w:rsidRPr="00FB3387">
        <w:rPr>
          <w:rFonts w:cs="Arial"/>
          <w:rtl/>
        </w:rPr>
        <w:t>לוקה משום דהוציא שם רע על חבירו</w:t>
      </w:r>
      <w:r>
        <w:rPr>
          <w:rFonts w:cs="Arial" w:hint="cs"/>
          <w:rtl/>
        </w:rPr>
        <w:t>,</w:t>
      </w:r>
      <w:r w:rsidRPr="00FB3387">
        <w:rPr>
          <w:rFonts w:cs="Arial"/>
          <w:rtl/>
        </w:rPr>
        <w:t xml:space="preserve"> כדאמרינן בפסחים </w:t>
      </w:r>
      <w:r w:rsidRPr="00260C07">
        <w:rPr>
          <w:rFonts w:cs="Arial"/>
          <w:sz w:val="16"/>
          <w:szCs w:val="16"/>
          <w:rtl/>
        </w:rPr>
        <w:t>(קיג</w:t>
      </w:r>
      <w:r w:rsidRPr="00260C07">
        <w:rPr>
          <w:rFonts w:cs="Arial" w:hint="cs"/>
          <w:sz w:val="16"/>
          <w:szCs w:val="16"/>
          <w:rtl/>
        </w:rPr>
        <w:t>:</w:t>
      </w:r>
      <w:r w:rsidRPr="00260C07">
        <w:rPr>
          <w:rFonts w:cs="Arial"/>
          <w:sz w:val="16"/>
          <w:szCs w:val="16"/>
          <w:rtl/>
        </w:rPr>
        <w:t>)</w:t>
      </w:r>
      <w:r w:rsidRPr="00FB3387">
        <w:rPr>
          <w:rFonts w:cs="Arial"/>
          <w:rtl/>
        </w:rPr>
        <w:t xml:space="preserve"> טוביה חטא וזיגוד מינגד</w:t>
      </w:r>
      <w:r>
        <w:rPr>
          <w:rFonts w:cs="Arial" w:hint="cs"/>
          <w:rtl/>
        </w:rPr>
        <w:t>.</w:t>
      </w:r>
      <w:r w:rsidRPr="00815AC9">
        <w:rPr>
          <w:rFonts w:cs="Arial"/>
          <w:rtl/>
        </w:rPr>
        <w:t xml:space="preserve"> </w:t>
      </w:r>
      <w:r>
        <w:rPr>
          <w:rFonts w:cs="Arial" w:hint="cs"/>
          <w:rtl/>
        </w:rPr>
        <w:t xml:space="preserve">אבל </w:t>
      </w:r>
      <w:r w:rsidRPr="00FB3387">
        <w:rPr>
          <w:rFonts w:cs="Arial"/>
          <w:rtl/>
        </w:rPr>
        <w:t>לאפרושי מאיסורא שריא כדאמר</w:t>
      </w:r>
      <w:r>
        <w:rPr>
          <w:rFonts w:cs="Arial" w:hint="cs"/>
          <w:rtl/>
        </w:rPr>
        <w:t>ינן</w:t>
      </w:r>
      <w:r w:rsidRPr="00FB3387">
        <w:rPr>
          <w:rFonts w:cs="Arial"/>
          <w:rtl/>
        </w:rPr>
        <w:t xml:space="preserve"> בקידושין </w:t>
      </w:r>
      <w:r w:rsidRPr="00260C07">
        <w:rPr>
          <w:rFonts w:cs="Arial"/>
          <w:sz w:val="16"/>
          <w:szCs w:val="16"/>
          <w:rtl/>
        </w:rPr>
        <w:t>(סו</w:t>
      </w:r>
      <w:r w:rsidRPr="00260C07">
        <w:rPr>
          <w:rFonts w:cs="Arial" w:hint="cs"/>
          <w:sz w:val="16"/>
          <w:szCs w:val="16"/>
          <w:rtl/>
        </w:rPr>
        <w:t>.</w:t>
      </w:r>
      <w:r w:rsidRPr="00260C07">
        <w:rPr>
          <w:rFonts w:cs="Arial"/>
          <w:sz w:val="16"/>
          <w:szCs w:val="16"/>
          <w:rtl/>
        </w:rPr>
        <w:t xml:space="preserve">) </w:t>
      </w:r>
      <w:r w:rsidRPr="00FB3387">
        <w:rPr>
          <w:rFonts w:cs="Arial"/>
          <w:rtl/>
        </w:rPr>
        <w:t>במעשה דההוא סמיא דאמר שליח אשתך זנתה</w:t>
      </w:r>
      <w:r>
        <w:rPr>
          <w:rStyle w:val="ab"/>
          <w:rFonts w:cs="Arial"/>
          <w:rtl/>
        </w:rPr>
        <w:footnoteReference w:id="1365"/>
      </w:r>
      <w:r w:rsidRPr="00FB3387">
        <w:rPr>
          <w:rFonts w:cs="Arial"/>
          <w:rtl/>
        </w:rPr>
        <w:t>.</w:t>
      </w:r>
      <w:r w:rsidRPr="008A71CA">
        <w:rPr>
          <w:rFonts w:cs="Arial" w:hint="cs"/>
          <w:color w:val="00B0F0"/>
          <w:rtl/>
        </w:rPr>
        <w:t xml:space="preserve"> (וכ"פ הרמ"א</w:t>
      </w:r>
      <w:r>
        <w:rPr>
          <w:rFonts w:cs="Arial" w:hint="cs"/>
          <w:color w:val="00B0F0"/>
          <w:rtl/>
        </w:rPr>
        <w:t>)</w:t>
      </w:r>
      <w:r w:rsidRPr="002C40EE">
        <w:rPr>
          <w:rFonts w:cs="Arial"/>
          <w:rtl/>
        </w:rPr>
        <w:t xml:space="preserve"> </w:t>
      </w:r>
      <w:r w:rsidRPr="002C40EE">
        <w:rPr>
          <w:rFonts w:cs="Arial" w:hint="cs"/>
          <w:rtl/>
        </w:rPr>
        <w:t xml:space="preserve"> </w:t>
      </w:r>
    </w:p>
    <w:p w14:paraId="53C9DEBE" w14:textId="77777777" w:rsidR="004B607F" w:rsidRPr="003024E5" w:rsidRDefault="004B607F" w:rsidP="004B607F">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027304DB" w14:textId="77777777" w:rsidR="004B607F" w:rsidRDefault="004B607F" w:rsidP="004B607F">
      <w:pPr>
        <w:rPr>
          <w:rtl/>
        </w:rPr>
      </w:pPr>
      <w:r>
        <w:rPr>
          <w:rFonts w:cs="Arial"/>
          <w:rtl/>
        </w:rPr>
        <w:t>כל מי שיודע עדות לחבירו וראוי להעידו</w:t>
      </w:r>
      <w:r>
        <w:rPr>
          <w:rStyle w:val="ab"/>
          <w:rFonts w:cs="Arial"/>
          <w:rtl/>
        </w:rPr>
        <w:footnoteReference w:id="1366"/>
      </w:r>
      <w:r>
        <w:rPr>
          <w:rFonts w:cs="Arial"/>
          <w:rtl/>
        </w:rPr>
        <w:t>, ויש לחבירו תועלת בעדותו</w:t>
      </w:r>
      <w:r>
        <w:rPr>
          <w:rStyle w:val="ab"/>
          <w:rFonts w:cs="Arial"/>
          <w:rtl/>
        </w:rPr>
        <w:footnoteReference w:id="1367"/>
      </w:r>
      <w:r>
        <w:rPr>
          <w:rFonts w:cs="Arial"/>
          <w:rtl/>
        </w:rPr>
        <w:t>, חייב להעיד, אם יתבענו</w:t>
      </w:r>
      <w:r>
        <w:rPr>
          <w:rStyle w:val="ab"/>
          <w:rFonts w:cs="Arial"/>
          <w:rtl/>
        </w:rPr>
        <w:footnoteReference w:id="1368"/>
      </w:r>
      <w:r>
        <w:rPr>
          <w:rFonts w:cs="Arial"/>
          <w:rtl/>
        </w:rPr>
        <w:t xml:space="preserve"> שיעיד לו </w:t>
      </w:r>
      <w:r>
        <w:rPr>
          <w:rFonts w:cs="Arial" w:hint="cs"/>
          <w:sz w:val="18"/>
          <w:szCs w:val="18"/>
          <w:rtl/>
        </w:rPr>
        <w:t xml:space="preserve">[הגה] </w:t>
      </w:r>
      <w:r w:rsidRPr="00221BFB">
        <w:rPr>
          <w:rFonts w:cs="Arial"/>
          <w:sz w:val="18"/>
          <w:szCs w:val="18"/>
          <w:rtl/>
        </w:rPr>
        <w:t>בב"ד</w:t>
      </w:r>
      <w:r>
        <w:rPr>
          <w:rStyle w:val="ab"/>
          <w:rFonts w:cs="Arial"/>
          <w:sz w:val="18"/>
          <w:szCs w:val="18"/>
          <w:rtl/>
        </w:rPr>
        <w:footnoteReference w:id="1369"/>
      </w:r>
      <w:r w:rsidRPr="00221BFB">
        <w:rPr>
          <w:rFonts w:cs="Arial"/>
          <w:sz w:val="18"/>
          <w:szCs w:val="18"/>
          <w:rtl/>
        </w:rPr>
        <w:t xml:space="preserve"> </w:t>
      </w:r>
      <w:r>
        <w:rPr>
          <w:rFonts w:cs="Arial" w:hint="cs"/>
          <w:sz w:val="18"/>
          <w:szCs w:val="18"/>
          <w:rtl/>
        </w:rPr>
        <w:t>(</w:t>
      </w:r>
      <w:r w:rsidRPr="00221BFB">
        <w:rPr>
          <w:rFonts w:cs="Arial"/>
          <w:sz w:val="18"/>
          <w:szCs w:val="18"/>
          <w:rtl/>
        </w:rPr>
        <w:t>תוס' וב"י)</w:t>
      </w:r>
      <w:r>
        <w:rPr>
          <w:rFonts w:cs="Arial"/>
          <w:rtl/>
        </w:rPr>
        <w:t>, בין שיש עד אחד עמו בין שהוא לבדו</w:t>
      </w:r>
      <w:r>
        <w:rPr>
          <w:rFonts w:cs="Arial" w:hint="cs"/>
          <w:rtl/>
        </w:rPr>
        <w:t>.</w:t>
      </w:r>
      <w:r>
        <w:rPr>
          <w:rFonts w:cs="Arial"/>
          <w:rtl/>
        </w:rPr>
        <w:t xml:space="preserve"> ואם כבש עדותו, פטור מדיני אדם</w:t>
      </w:r>
      <w:r>
        <w:rPr>
          <w:rStyle w:val="ab"/>
          <w:rFonts w:cs="Arial"/>
          <w:rtl/>
        </w:rPr>
        <w:footnoteReference w:id="1370"/>
      </w:r>
      <w:r>
        <w:rPr>
          <w:rFonts w:cs="Arial"/>
          <w:rtl/>
        </w:rPr>
        <w:t xml:space="preserve"> וחייב בדיני שמים. </w:t>
      </w:r>
      <w:r w:rsidRPr="00221BFB">
        <w:rPr>
          <w:rFonts w:cs="Arial"/>
          <w:sz w:val="18"/>
          <w:szCs w:val="18"/>
          <w:rtl/>
        </w:rPr>
        <w:t>הגה: ועד אחד לא יעיד אלא בדבר ממון שמביא אחד לידי שבועה, או בדבר אסור ואפרושי מאיסורא</w:t>
      </w:r>
      <w:r>
        <w:rPr>
          <w:rFonts w:cs="Arial" w:hint="cs"/>
          <w:sz w:val="18"/>
          <w:szCs w:val="18"/>
          <w:rtl/>
        </w:rPr>
        <w:t>,</w:t>
      </w:r>
      <w:r w:rsidRPr="00221BFB">
        <w:rPr>
          <w:rFonts w:cs="Arial"/>
          <w:sz w:val="18"/>
          <w:szCs w:val="18"/>
          <w:rtl/>
        </w:rPr>
        <w:t xml:space="preserve"> אבל אם כבר נעשה האסור לא יעיד, דאינו אלא כמוציא שם רע על חבירו (הגה</w:t>
      </w:r>
      <w:r>
        <w:rPr>
          <w:rFonts w:cs="Arial" w:hint="cs"/>
          <w:sz w:val="18"/>
          <w:szCs w:val="18"/>
          <w:rtl/>
        </w:rPr>
        <w:t>"</w:t>
      </w:r>
      <w:r w:rsidRPr="00221BFB">
        <w:rPr>
          <w:rFonts w:cs="Arial"/>
          <w:sz w:val="18"/>
          <w:szCs w:val="18"/>
          <w:rtl/>
        </w:rPr>
        <w:t>מ פ</w:t>
      </w:r>
      <w:r>
        <w:rPr>
          <w:rFonts w:cs="Arial" w:hint="cs"/>
          <w:sz w:val="18"/>
          <w:szCs w:val="18"/>
          <w:rtl/>
        </w:rPr>
        <w:t>"ה</w:t>
      </w:r>
      <w:r w:rsidRPr="00221BFB">
        <w:rPr>
          <w:rFonts w:cs="Arial"/>
          <w:sz w:val="18"/>
          <w:szCs w:val="18"/>
          <w:rtl/>
        </w:rPr>
        <w:t>). ואסור לאדם להעיד בדבר שאינו יודע אע</w:t>
      </w:r>
      <w:r>
        <w:rPr>
          <w:rFonts w:cs="Arial" w:hint="cs"/>
          <w:sz w:val="18"/>
          <w:szCs w:val="18"/>
          <w:rtl/>
        </w:rPr>
        <w:t>"</w:t>
      </w:r>
      <w:r w:rsidRPr="00221BFB">
        <w:rPr>
          <w:rFonts w:cs="Arial"/>
          <w:sz w:val="18"/>
          <w:szCs w:val="18"/>
          <w:rtl/>
        </w:rPr>
        <w:t>פ שאמר לו אדם שיודע בו שאינו משקר</w:t>
      </w:r>
      <w:r>
        <w:rPr>
          <w:rStyle w:val="ab"/>
          <w:rFonts w:cs="Arial"/>
          <w:sz w:val="18"/>
          <w:szCs w:val="18"/>
          <w:rtl/>
        </w:rPr>
        <w:footnoteReference w:id="1371"/>
      </w:r>
      <w:r>
        <w:rPr>
          <w:rFonts w:cs="Arial" w:hint="cs"/>
          <w:sz w:val="18"/>
          <w:szCs w:val="18"/>
          <w:rtl/>
        </w:rPr>
        <w:t>.</w:t>
      </w:r>
      <w:r w:rsidRPr="00221BFB">
        <w:rPr>
          <w:rFonts w:cs="Arial"/>
          <w:sz w:val="18"/>
          <w:szCs w:val="18"/>
          <w:rtl/>
        </w:rPr>
        <w:t xml:space="preserve"> ואפילו אמר לו בא ועמוד עם עד אחד שיש לי ולא תעיד, רק שיפחד בעל חובי ויסבור שיש לי שני עדים ויודה לי, לא ישמע לו (טור).</w:t>
      </w:r>
      <w:r>
        <w:rPr>
          <w:rFonts w:cs="Arial"/>
          <w:rtl/>
        </w:rPr>
        <w:t xml:space="preserve"> </w:t>
      </w:r>
    </w:p>
    <w:p w14:paraId="118DF345" w14:textId="77777777" w:rsidR="004B607F" w:rsidRDefault="004B607F" w:rsidP="004B607F">
      <w:pPr>
        <w:rPr>
          <w:rtl/>
        </w:rPr>
      </w:pPr>
    </w:p>
    <w:p w14:paraId="0DBA49E8" w14:textId="77777777" w:rsidR="004B607F" w:rsidRDefault="004B607F" w:rsidP="004B607F">
      <w:pPr>
        <w:pStyle w:val="2"/>
        <w:rPr>
          <w:rtl/>
        </w:rPr>
      </w:pPr>
      <w:bookmarkStart w:id="199" w:name="_Toc24883676"/>
      <w:r>
        <w:rPr>
          <w:rtl/>
        </w:rPr>
        <w:t>סעיף ב</w:t>
      </w:r>
      <w:r>
        <w:rPr>
          <w:rFonts w:hint="cs"/>
          <w:rtl/>
        </w:rPr>
        <w:t>: החרמה בבית הכנסת שמי שיודע עדות שיעיד.</w:t>
      </w:r>
      <w:bookmarkEnd w:id="199"/>
    </w:p>
    <w:p w14:paraId="3EB1F75D" w14:textId="77777777" w:rsidR="004B607F" w:rsidRDefault="004B607F" w:rsidP="004B607F">
      <w:pPr>
        <w:rPr>
          <w:rFonts w:cs="Arial"/>
          <w:rtl/>
        </w:rPr>
      </w:pPr>
      <w:r w:rsidRPr="00EF2082">
        <w:rPr>
          <w:rFonts w:cs="Arial" w:hint="cs"/>
          <w:b/>
          <w:bCs/>
          <w:rtl/>
        </w:rPr>
        <w:t xml:space="preserve">שבועות </w:t>
      </w:r>
      <w:r w:rsidRPr="00EF2082">
        <w:rPr>
          <w:rFonts w:cs="Arial" w:hint="cs"/>
          <w:b/>
          <w:bCs/>
          <w:sz w:val="16"/>
          <w:szCs w:val="16"/>
          <w:rtl/>
        </w:rPr>
        <w:t xml:space="preserve">(פ' שבועת העדות) </w:t>
      </w:r>
      <w:r w:rsidRPr="00EF2082">
        <w:rPr>
          <w:rFonts w:cs="Arial" w:hint="cs"/>
          <w:b/>
          <w:bCs/>
          <w:rtl/>
        </w:rPr>
        <w:t>לה</w:t>
      </w:r>
      <w:r>
        <w:rPr>
          <w:rStyle w:val="ab"/>
          <w:rFonts w:cs="Arial"/>
          <w:b/>
          <w:bCs/>
          <w:rtl/>
        </w:rPr>
        <w:footnoteReference w:id="1372"/>
      </w:r>
      <w:r w:rsidRPr="00EF2082">
        <w:rPr>
          <w:rFonts w:cs="Arial" w:hint="cs"/>
          <w:b/>
          <w:bCs/>
          <w:rtl/>
        </w:rPr>
        <w:t xml:space="preserve"> ע"א: </w:t>
      </w:r>
      <w:r w:rsidRPr="00EF2082">
        <w:rPr>
          <w:rFonts w:cs="Arial"/>
          <w:u w:val="double"/>
          <w:rtl/>
        </w:rPr>
        <w:t>מתני'</w:t>
      </w:r>
      <w:r w:rsidRPr="00EF2082">
        <w:rPr>
          <w:rFonts w:cs="Arial" w:hint="cs"/>
          <w:u w:val="double"/>
          <w:rtl/>
        </w:rPr>
        <w:t>:</w:t>
      </w:r>
      <w:r>
        <w:rPr>
          <w:rFonts w:cs="Arial" w:hint="cs"/>
          <w:rtl/>
        </w:rPr>
        <w:t>...</w:t>
      </w:r>
      <w:r w:rsidRPr="00EF2082">
        <w:rPr>
          <w:rFonts w:cs="Arial"/>
          <w:rtl/>
        </w:rPr>
        <w:t xml:space="preserve"> עמד בבית הכנסת ואמר משביע אני עליכם שאם אתם יודעין לי עדות שתבואו ותעידוני - הרי אלו פטורין (עד שיהא מתכוין להם).</w:t>
      </w:r>
      <w:r>
        <w:rPr>
          <w:rFonts w:cs="Arial" w:hint="cs"/>
          <w:rtl/>
        </w:rPr>
        <w:t xml:space="preserve">..       </w:t>
      </w:r>
      <w:r>
        <w:rPr>
          <w:rFonts w:cs="Arial" w:hint="cs"/>
          <w:u w:val="double"/>
          <w:rtl/>
        </w:rPr>
        <w:t>גמ</w:t>
      </w:r>
      <w:r w:rsidRPr="00EF2082">
        <w:rPr>
          <w:rFonts w:cs="Arial"/>
          <w:u w:val="double"/>
          <w:rtl/>
        </w:rPr>
        <w:t>'</w:t>
      </w:r>
      <w:r w:rsidRPr="00EF2082">
        <w:rPr>
          <w:rFonts w:cs="Arial" w:hint="cs"/>
          <w:u w:val="double"/>
          <w:rtl/>
        </w:rPr>
        <w:t>:</w:t>
      </w:r>
      <w:r>
        <w:rPr>
          <w:rFonts w:cs="Arial" w:hint="cs"/>
          <w:u w:val="double"/>
          <w:rtl/>
        </w:rPr>
        <w:t xml:space="preserve"> </w:t>
      </w:r>
      <w:r w:rsidRPr="008A71CA">
        <w:rPr>
          <w:rFonts w:cs="Arial"/>
          <w:rtl/>
        </w:rPr>
        <w:t xml:space="preserve">עמד בבית הכנסת ואמר משביעני עליכם. </w:t>
      </w:r>
      <w:r w:rsidRPr="008A71CA">
        <w:rPr>
          <w:rFonts w:cs="Arial"/>
          <w:u w:val="single"/>
          <w:rtl/>
        </w:rPr>
        <w:t>אמר שמואל</w:t>
      </w:r>
      <w:r w:rsidRPr="008A71CA">
        <w:rPr>
          <w:rFonts w:cs="Arial"/>
          <w:rtl/>
        </w:rPr>
        <w:t>: אפילו עדיו ביניהן. פשיטא</w:t>
      </w:r>
      <w:r>
        <w:rPr>
          <w:rStyle w:val="ab"/>
          <w:rFonts w:cs="Arial"/>
          <w:rtl/>
        </w:rPr>
        <w:footnoteReference w:id="1373"/>
      </w:r>
      <w:r w:rsidRPr="008A71CA">
        <w:rPr>
          <w:rFonts w:cs="Arial"/>
          <w:rtl/>
        </w:rPr>
        <w:t>! לא צריכא דקאי עילויהו</w:t>
      </w:r>
      <w:r>
        <w:rPr>
          <w:rStyle w:val="ab"/>
          <w:rFonts w:cs="Arial"/>
          <w:rtl/>
        </w:rPr>
        <w:footnoteReference w:id="1374"/>
      </w:r>
      <w:r w:rsidRPr="008A71CA">
        <w:rPr>
          <w:rFonts w:cs="Arial"/>
          <w:rtl/>
        </w:rPr>
        <w:t>, מהו דתימא</w:t>
      </w:r>
      <w:r>
        <w:rPr>
          <w:rStyle w:val="ab"/>
          <w:rFonts w:cs="Arial"/>
          <w:rtl/>
        </w:rPr>
        <w:footnoteReference w:id="1375"/>
      </w:r>
      <w:r w:rsidRPr="008A71CA">
        <w:rPr>
          <w:rFonts w:cs="Arial"/>
          <w:rtl/>
        </w:rPr>
        <w:t xml:space="preserve"> כמאן דאמר להו דמי, קמ"ל. תניא נמי הכי: ראה סיעה של בני אדם עומדין ועדיו ביניהן, ואמר להן משביעני עליכם אם אתם יודעין לי עדות שתבואו ותעידוני, </w:t>
      </w:r>
      <w:r w:rsidRPr="008A71CA">
        <w:rPr>
          <w:rFonts w:cs="Arial"/>
          <w:rtl/>
        </w:rPr>
        <w:lastRenderedPageBreak/>
        <w:t>יכול יהו חייבין? ת"ל: והוא עד, והרי לא ייחד עדיו. יכול אפילו אמר כל העומדין כאן? תלמוד לומר: והוא עד, והרי ייחד עדיו</w:t>
      </w:r>
      <w:r>
        <w:rPr>
          <w:rStyle w:val="ab"/>
          <w:rFonts w:cs="Arial"/>
          <w:rtl/>
        </w:rPr>
        <w:footnoteReference w:id="1376"/>
      </w:r>
      <w:r w:rsidRPr="008A71CA">
        <w:rPr>
          <w:rFonts w:cs="Arial"/>
          <w:rtl/>
        </w:rPr>
        <w:t>.</w:t>
      </w:r>
      <w:r>
        <w:rPr>
          <w:rFonts w:cs="Arial" w:hint="cs"/>
          <w:rtl/>
        </w:rPr>
        <w:t xml:space="preserve"> </w:t>
      </w:r>
    </w:p>
    <w:p w14:paraId="4C6B7976" w14:textId="77777777" w:rsidR="004B607F" w:rsidRPr="00894D3F" w:rsidRDefault="004B607F" w:rsidP="004B607F">
      <w:pPr>
        <w:rPr>
          <w:rFonts w:cs="Arial"/>
          <w:u w:val="single"/>
          <w:rtl/>
        </w:rPr>
      </w:pPr>
      <w:r>
        <w:rPr>
          <w:rFonts w:cs="Arial" w:hint="cs"/>
          <w:u w:val="single"/>
          <w:rtl/>
        </w:rPr>
        <w:t>א'</w:t>
      </w:r>
      <w:r w:rsidRPr="00894D3F">
        <w:rPr>
          <w:rFonts w:cs="Arial"/>
          <w:u w:val="single"/>
          <w:rtl/>
        </w:rPr>
        <w:t xml:space="preserve"> החרים בב</w:t>
      </w:r>
      <w:r w:rsidRPr="00894D3F">
        <w:rPr>
          <w:rFonts w:cs="Arial" w:hint="cs"/>
          <w:u w:val="single"/>
          <w:rtl/>
        </w:rPr>
        <w:t>הכ</w:t>
      </w:r>
      <w:r>
        <w:rPr>
          <w:rFonts w:cs="Arial" w:hint="cs"/>
          <w:u w:val="single"/>
          <w:rtl/>
        </w:rPr>
        <w:t>"נ</w:t>
      </w:r>
      <w:r w:rsidRPr="00894D3F">
        <w:rPr>
          <w:rFonts w:cs="Arial"/>
          <w:u w:val="single"/>
          <w:rtl/>
        </w:rPr>
        <w:t xml:space="preserve"> שכל </w:t>
      </w:r>
      <w:r w:rsidRPr="00894D3F">
        <w:rPr>
          <w:rFonts w:cs="Arial" w:hint="cs"/>
          <w:u w:val="single"/>
          <w:rtl/>
        </w:rPr>
        <w:t>ה</w:t>
      </w:r>
      <w:r w:rsidRPr="00894D3F">
        <w:rPr>
          <w:rFonts w:cs="Arial"/>
          <w:u w:val="single"/>
          <w:rtl/>
        </w:rPr>
        <w:t>יודע לו עדות</w:t>
      </w:r>
      <w:r>
        <w:rPr>
          <w:rFonts w:cs="Arial" w:hint="cs"/>
          <w:u w:val="single"/>
          <w:rtl/>
        </w:rPr>
        <w:t xml:space="preserve"> שיבוא לה</w:t>
      </w:r>
      <w:r w:rsidRPr="00894D3F">
        <w:rPr>
          <w:rFonts w:cs="Arial" w:hint="cs"/>
          <w:u w:val="single"/>
          <w:rtl/>
        </w:rPr>
        <w:t>עיד</w:t>
      </w:r>
      <w:r w:rsidRPr="00894D3F">
        <w:rPr>
          <w:rFonts w:cs="Arial"/>
          <w:u w:val="single"/>
          <w:rtl/>
        </w:rPr>
        <w:t xml:space="preserve"> </w:t>
      </w:r>
      <w:r>
        <w:rPr>
          <w:rFonts w:cs="Arial"/>
          <w:u w:val="single"/>
          <w:rtl/>
        </w:rPr>
        <w:t>–</w:t>
      </w:r>
      <w:r w:rsidRPr="00894D3F">
        <w:rPr>
          <w:rFonts w:cs="Arial"/>
          <w:u w:val="single"/>
          <w:rtl/>
        </w:rPr>
        <w:t xml:space="preserve"> </w:t>
      </w:r>
      <w:r>
        <w:rPr>
          <w:rFonts w:cs="Arial" w:hint="cs"/>
          <w:u w:val="single"/>
          <w:rtl/>
        </w:rPr>
        <w:t xml:space="preserve">וכמה שאינם ראויים להעיד </w:t>
      </w:r>
      <w:r w:rsidRPr="00894D3F">
        <w:rPr>
          <w:rFonts w:cs="Arial" w:hint="cs"/>
          <w:u w:val="single"/>
          <w:rtl/>
        </w:rPr>
        <w:t xml:space="preserve">רוצים </w:t>
      </w:r>
      <w:r w:rsidRPr="00894D3F">
        <w:rPr>
          <w:rFonts w:cs="Arial"/>
          <w:u w:val="single"/>
          <w:rtl/>
        </w:rPr>
        <w:t>שיוציאם מן החרם</w:t>
      </w:r>
      <w:r w:rsidRPr="00894D3F">
        <w:rPr>
          <w:rFonts w:cs="Arial" w:hint="cs"/>
          <w:u w:val="single"/>
          <w:rtl/>
        </w:rPr>
        <w:t>:</w:t>
      </w:r>
      <w:r w:rsidRPr="00894D3F">
        <w:rPr>
          <w:rFonts w:cs="Arial"/>
          <w:u w:val="single"/>
          <w:rtl/>
        </w:rPr>
        <w:t xml:space="preserve"> </w:t>
      </w:r>
    </w:p>
    <w:p w14:paraId="521F7311" w14:textId="77777777" w:rsidR="004B607F" w:rsidRDefault="004B607F" w:rsidP="004B0475">
      <w:pPr>
        <w:pStyle w:val="ac"/>
        <w:numPr>
          <w:ilvl w:val="0"/>
          <w:numId w:val="69"/>
        </w:numPr>
        <w:rPr>
          <w:rFonts w:cs="Arial"/>
        </w:rPr>
      </w:pPr>
      <w:r w:rsidRPr="00894D3F">
        <w:rPr>
          <w:rFonts w:cs="Arial"/>
          <w:rtl/>
        </w:rPr>
        <w:t xml:space="preserve">רשב"א </w:t>
      </w:r>
      <w:r w:rsidRPr="00894D3F">
        <w:rPr>
          <w:rFonts w:cs="Arial"/>
          <w:sz w:val="16"/>
          <w:szCs w:val="16"/>
          <w:rtl/>
        </w:rPr>
        <w:t>(ח"א סימן תרנז)</w:t>
      </w:r>
      <w:r w:rsidRPr="00894D3F">
        <w:rPr>
          <w:rFonts w:cs="Arial"/>
          <w:rtl/>
        </w:rPr>
        <w:t xml:space="preserve"> רא"ש </w:t>
      </w:r>
      <w:r w:rsidRPr="00894D3F">
        <w:rPr>
          <w:rFonts w:cs="Arial" w:hint="cs"/>
          <w:sz w:val="16"/>
          <w:szCs w:val="16"/>
          <w:rtl/>
        </w:rPr>
        <w:t>(</w:t>
      </w:r>
      <w:r w:rsidRPr="00894D3F">
        <w:rPr>
          <w:rFonts w:cs="Arial"/>
          <w:sz w:val="16"/>
          <w:szCs w:val="16"/>
          <w:rtl/>
        </w:rPr>
        <w:t>כלל ו ס</w:t>
      </w:r>
      <w:r w:rsidRPr="00894D3F">
        <w:rPr>
          <w:rFonts w:cs="Arial" w:hint="cs"/>
          <w:sz w:val="16"/>
          <w:szCs w:val="16"/>
          <w:rtl/>
        </w:rPr>
        <w:t>י'</w:t>
      </w:r>
      <w:r w:rsidRPr="00894D3F">
        <w:rPr>
          <w:rFonts w:cs="Arial"/>
          <w:sz w:val="16"/>
          <w:szCs w:val="16"/>
          <w:rtl/>
        </w:rPr>
        <w:t xml:space="preserve"> כא</w:t>
      </w:r>
      <w:r w:rsidRPr="00894D3F">
        <w:rPr>
          <w:rFonts w:cs="Arial" w:hint="cs"/>
          <w:sz w:val="16"/>
          <w:szCs w:val="16"/>
          <w:rtl/>
        </w:rPr>
        <w:t>)</w:t>
      </w:r>
      <w:r>
        <w:rPr>
          <w:rFonts w:cs="Arial" w:hint="cs"/>
          <w:rtl/>
        </w:rPr>
        <w:t xml:space="preserve"> והג"א </w:t>
      </w:r>
      <w:r>
        <w:rPr>
          <w:rFonts w:cs="Arial" w:hint="cs"/>
          <w:sz w:val="16"/>
          <w:szCs w:val="16"/>
          <w:rtl/>
        </w:rPr>
        <w:t xml:space="preserve">(ס"פ שבועת העדות) </w:t>
      </w:r>
      <w:r>
        <w:rPr>
          <w:rFonts w:cs="Arial" w:hint="cs"/>
          <w:rtl/>
        </w:rPr>
        <w:t>בשם או"ז-</w:t>
      </w:r>
      <w:r w:rsidRPr="00894D3F">
        <w:rPr>
          <w:rFonts w:cs="Arial"/>
          <w:rtl/>
        </w:rPr>
        <w:t xml:space="preserve"> שאלת</w:t>
      </w:r>
      <w:r>
        <w:rPr>
          <w:rFonts w:cs="Arial" w:hint="cs"/>
          <w:rtl/>
        </w:rPr>
        <w:t>,</w:t>
      </w:r>
      <w:r w:rsidRPr="00894D3F">
        <w:rPr>
          <w:rFonts w:cs="Arial"/>
          <w:rtl/>
        </w:rPr>
        <w:t xml:space="preserve"> ראובן שרצה להחרים בבית הכנסת שכל מי שיודע לו עדות שפרע לשמעון שטר חוב פלוני</w:t>
      </w:r>
      <w:r>
        <w:rPr>
          <w:rFonts w:cs="Arial" w:hint="cs"/>
          <w:rtl/>
        </w:rPr>
        <w:t>.</w:t>
      </w:r>
      <w:r w:rsidRPr="00894D3F">
        <w:rPr>
          <w:rFonts w:cs="Arial"/>
          <w:rtl/>
        </w:rPr>
        <w:t xml:space="preserve"> מהו שיאמרו לו קרובי שמעון שיוציאם מן החרם כיון שאינם ראויים להעיד</w:t>
      </w:r>
      <w:r>
        <w:rPr>
          <w:rFonts w:cs="Arial" w:hint="cs"/>
          <w:rtl/>
        </w:rPr>
        <w:t>?</w:t>
      </w:r>
      <w:r w:rsidRPr="00894D3F">
        <w:rPr>
          <w:rFonts w:cs="Arial"/>
          <w:rtl/>
        </w:rPr>
        <w:t>. תשובה</w:t>
      </w:r>
      <w:r>
        <w:rPr>
          <w:rFonts w:cs="Arial" w:hint="cs"/>
          <w:rtl/>
        </w:rPr>
        <w:t>,</w:t>
      </w:r>
      <w:r w:rsidRPr="00894D3F">
        <w:rPr>
          <w:rFonts w:cs="Arial"/>
          <w:rtl/>
        </w:rPr>
        <w:t xml:space="preserve"> מחרים סתם</w:t>
      </w:r>
      <w:r>
        <w:rPr>
          <w:rFonts w:cs="Arial" w:hint="cs"/>
          <w:rtl/>
        </w:rPr>
        <w:t>,</w:t>
      </w:r>
      <w:r w:rsidRPr="00894D3F">
        <w:rPr>
          <w:rFonts w:cs="Arial"/>
          <w:rtl/>
        </w:rPr>
        <w:t xml:space="preserve"> ומה בכך</w:t>
      </w:r>
      <w:r>
        <w:rPr>
          <w:rFonts w:cs="Arial" w:hint="cs"/>
          <w:rtl/>
        </w:rPr>
        <w:t>,</w:t>
      </w:r>
      <w:r w:rsidRPr="00894D3F">
        <w:rPr>
          <w:rFonts w:cs="Arial"/>
          <w:rtl/>
        </w:rPr>
        <w:t xml:space="preserve"> שהרי אין הקרובים בכלל החרם</w:t>
      </w:r>
      <w:r>
        <w:rPr>
          <w:rStyle w:val="ab"/>
          <w:rFonts w:cs="Arial"/>
          <w:rtl/>
        </w:rPr>
        <w:footnoteReference w:id="1377"/>
      </w:r>
      <w:r w:rsidRPr="00894D3F">
        <w:rPr>
          <w:rFonts w:cs="Arial"/>
          <w:rtl/>
        </w:rPr>
        <w:t xml:space="preserve"> מן הסתם</w:t>
      </w:r>
      <w:r>
        <w:rPr>
          <w:rFonts w:cs="Arial" w:hint="cs"/>
          <w:rtl/>
        </w:rPr>
        <w:t>,</w:t>
      </w:r>
      <w:r w:rsidRPr="00894D3F">
        <w:rPr>
          <w:rFonts w:cs="Arial"/>
          <w:rtl/>
        </w:rPr>
        <w:t xml:space="preserve"> דעדות אינה בקרובים</w:t>
      </w:r>
      <w:r>
        <w:rPr>
          <w:rFonts w:cs="Arial" w:hint="cs"/>
          <w:rtl/>
        </w:rPr>
        <w:t>,</w:t>
      </w:r>
      <w:r w:rsidRPr="00894D3F">
        <w:rPr>
          <w:rFonts w:cs="Arial"/>
          <w:rtl/>
        </w:rPr>
        <w:t xml:space="preserve"> וכיון שאינם בכלל למה יוציאם בפירוש</w:t>
      </w:r>
      <w:r>
        <w:rPr>
          <w:rFonts w:cs="Arial" w:hint="cs"/>
          <w:sz w:val="16"/>
          <w:szCs w:val="16"/>
          <w:rtl/>
        </w:rPr>
        <w:t xml:space="preserve"> (ל' הרשב"א)</w:t>
      </w:r>
      <w:r w:rsidRPr="00894D3F">
        <w:rPr>
          <w:rFonts w:cs="Arial"/>
          <w:rtl/>
        </w:rPr>
        <w:t xml:space="preserve">. </w:t>
      </w:r>
      <w:r w:rsidRPr="00CD5B6C">
        <w:rPr>
          <w:rFonts w:cs="Arial" w:hint="cs"/>
          <w:color w:val="00B0F0"/>
          <w:rtl/>
        </w:rPr>
        <w:t>(וכ"פ הרמ"א)</w:t>
      </w:r>
    </w:p>
    <w:p w14:paraId="1B8E2CCB" w14:textId="77777777" w:rsidR="004B607F" w:rsidRPr="00A6576C" w:rsidRDefault="004B607F" w:rsidP="004B0475">
      <w:pPr>
        <w:pStyle w:val="ac"/>
        <w:numPr>
          <w:ilvl w:val="0"/>
          <w:numId w:val="69"/>
        </w:numPr>
        <w:rPr>
          <w:rFonts w:cs="Arial"/>
          <w:rtl/>
        </w:rPr>
      </w:pPr>
      <w:r w:rsidRPr="00894D3F">
        <w:rPr>
          <w:rFonts w:cs="Arial"/>
          <w:rtl/>
        </w:rPr>
        <w:t xml:space="preserve">מרדכי </w:t>
      </w:r>
      <w:r w:rsidRPr="00894D3F">
        <w:rPr>
          <w:rFonts w:cs="Arial" w:hint="cs"/>
          <w:sz w:val="16"/>
          <w:szCs w:val="16"/>
          <w:rtl/>
        </w:rPr>
        <w:t>(</w:t>
      </w:r>
      <w:r w:rsidRPr="00894D3F">
        <w:rPr>
          <w:rFonts w:cs="Arial"/>
          <w:sz w:val="16"/>
          <w:szCs w:val="16"/>
          <w:rtl/>
        </w:rPr>
        <w:t>פ</w:t>
      </w:r>
      <w:r>
        <w:rPr>
          <w:rFonts w:cs="Arial" w:hint="cs"/>
          <w:sz w:val="16"/>
          <w:szCs w:val="16"/>
          <w:rtl/>
        </w:rPr>
        <w:t>'</w:t>
      </w:r>
      <w:r w:rsidRPr="00894D3F">
        <w:rPr>
          <w:rFonts w:cs="Arial"/>
          <w:sz w:val="16"/>
          <w:szCs w:val="16"/>
          <w:rtl/>
        </w:rPr>
        <w:t xml:space="preserve"> שבועת העדות סי' תשס</w:t>
      </w:r>
      <w:r>
        <w:rPr>
          <w:rFonts w:cs="Arial" w:hint="cs"/>
          <w:sz w:val="16"/>
          <w:szCs w:val="16"/>
          <w:rtl/>
        </w:rPr>
        <w:t>, הביאו הדרכ"מ אות א</w:t>
      </w:r>
      <w:r w:rsidRPr="00894D3F">
        <w:rPr>
          <w:rFonts w:cs="Arial"/>
          <w:sz w:val="16"/>
          <w:szCs w:val="16"/>
          <w:rtl/>
        </w:rPr>
        <w:t xml:space="preserve">) </w:t>
      </w:r>
      <w:r w:rsidRPr="00894D3F">
        <w:rPr>
          <w:rFonts w:cs="Arial"/>
          <w:rtl/>
        </w:rPr>
        <w:t>בשם ראב"ן ובשם ריב"א הלוי</w:t>
      </w:r>
      <w:r>
        <w:rPr>
          <w:rFonts w:cs="Arial" w:hint="cs"/>
          <w:rtl/>
        </w:rPr>
        <w:t>-</w:t>
      </w:r>
      <w:r w:rsidRPr="00894D3F">
        <w:rPr>
          <w:rFonts w:cs="Arial"/>
          <w:rtl/>
        </w:rPr>
        <w:t xml:space="preserve"> כשגוזרין החרם סתם </w:t>
      </w:r>
      <w:r>
        <w:rPr>
          <w:rFonts w:cs="Arial" w:hint="cs"/>
          <w:rtl/>
        </w:rPr>
        <w:t xml:space="preserve">- </w:t>
      </w:r>
      <w:r w:rsidRPr="00894D3F">
        <w:rPr>
          <w:rFonts w:cs="Arial"/>
          <w:rtl/>
        </w:rPr>
        <w:t>על כל בר ישראל להעיד</w:t>
      </w:r>
      <w:r>
        <w:rPr>
          <w:rFonts w:cs="Arial" w:hint="cs"/>
          <w:rtl/>
        </w:rPr>
        <w:t>,</w:t>
      </w:r>
      <w:r w:rsidRPr="00894D3F">
        <w:rPr>
          <w:rFonts w:cs="Arial"/>
          <w:rtl/>
        </w:rPr>
        <w:t xml:space="preserve"> שהחרם חל אף על שאינם ראויים להעיד דלב בית דין מתנה עליהם </w:t>
      </w:r>
      <w:r w:rsidRPr="00260C07">
        <w:rPr>
          <w:rFonts w:cs="Arial"/>
          <w:sz w:val="16"/>
          <w:szCs w:val="16"/>
          <w:rtl/>
        </w:rPr>
        <w:t xml:space="preserve">(שבועות יא.) </w:t>
      </w:r>
      <w:r w:rsidRPr="00894D3F">
        <w:rPr>
          <w:rFonts w:cs="Arial"/>
          <w:rtl/>
        </w:rPr>
        <w:t>כדי לחקור האמת ולהתרחק מעונש שבועת שקר</w:t>
      </w:r>
      <w:r>
        <w:rPr>
          <w:rFonts w:cs="Arial" w:hint="cs"/>
          <w:rtl/>
        </w:rPr>
        <w:t>,</w:t>
      </w:r>
      <w:r w:rsidRPr="00894D3F">
        <w:rPr>
          <w:rFonts w:cs="Arial"/>
          <w:rtl/>
        </w:rPr>
        <w:t xml:space="preserve"> ונהי דלא מפקינן ממון על פי פסולים מ</w:t>
      </w:r>
      <w:r>
        <w:rPr>
          <w:rFonts w:cs="Arial" w:hint="cs"/>
          <w:rtl/>
        </w:rPr>
        <w:t>"</w:t>
      </w:r>
      <w:r w:rsidRPr="00894D3F">
        <w:rPr>
          <w:rFonts w:cs="Arial"/>
          <w:rtl/>
        </w:rPr>
        <w:t>מ הם מחמיצים את הדין</w:t>
      </w:r>
      <w:r>
        <w:rPr>
          <w:rStyle w:val="ab"/>
          <w:rFonts w:cs="Arial"/>
          <w:rtl/>
        </w:rPr>
        <w:footnoteReference w:id="1378"/>
      </w:r>
      <w:r>
        <w:rPr>
          <w:rFonts w:cs="Arial" w:hint="cs"/>
          <w:rtl/>
        </w:rPr>
        <w:t>.</w:t>
      </w:r>
    </w:p>
    <w:p w14:paraId="38592484" w14:textId="77777777" w:rsidR="004B607F" w:rsidRPr="00096827" w:rsidRDefault="004B607F" w:rsidP="004B607F">
      <w:pPr>
        <w:rPr>
          <w:rFonts w:cs="Arial"/>
          <w:u w:val="single"/>
        </w:rPr>
      </w:pPr>
      <w:r w:rsidRPr="00096827">
        <w:rPr>
          <w:rFonts w:cs="Arial" w:hint="cs"/>
          <w:u w:val="single"/>
          <w:rtl/>
        </w:rPr>
        <w:t xml:space="preserve">בעל דין שרוצה להחרים בבית הכנסת </w:t>
      </w:r>
      <w:r>
        <w:rPr>
          <w:rFonts w:cs="Arial" w:hint="cs"/>
          <w:u w:val="single"/>
          <w:rtl/>
        </w:rPr>
        <w:t>האם מישהו היה עד לכך שבעל דינו חשוד על השבועה</w:t>
      </w:r>
      <w:r w:rsidRPr="00096827">
        <w:rPr>
          <w:rFonts w:cs="Arial" w:hint="cs"/>
          <w:u w:val="single"/>
          <w:rtl/>
        </w:rPr>
        <w:t xml:space="preserve">: </w:t>
      </w:r>
    </w:p>
    <w:p w14:paraId="4EDA9B58" w14:textId="77777777" w:rsidR="004B607F" w:rsidRPr="00A6576C" w:rsidRDefault="004B607F" w:rsidP="004B0475">
      <w:pPr>
        <w:pStyle w:val="ac"/>
        <w:numPr>
          <w:ilvl w:val="0"/>
          <w:numId w:val="69"/>
        </w:numPr>
        <w:rPr>
          <w:rFonts w:cs="Arial"/>
          <w:rtl/>
        </w:rPr>
      </w:pPr>
      <w:r w:rsidRPr="00894D3F">
        <w:rPr>
          <w:rFonts w:cs="Arial"/>
          <w:rtl/>
        </w:rPr>
        <w:t xml:space="preserve">רא"ש </w:t>
      </w:r>
      <w:r w:rsidRPr="00A6576C">
        <w:rPr>
          <w:rFonts w:cs="Arial" w:hint="cs"/>
          <w:sz w:val="16"/>
          <w:szCs w:val="16"/>
          <w:rtl/>
        </w:rPr>
        <w:t>(</w:t>
      </w:r>
      <w:r w:rsidRPr="00A6576C">
        <w:rPr>
          <w:rFonts w:cs="Arial"/>
          <w:sz w:val="16"/>
          <w:szCs w:val="16"/>
          <w:rtl/>
        </w:rPr>
        <w:t>כלל ז סי</w:t>
      </w:r>
      <w:r w:rsidRPr="00A6576C">
        <w:rPr>
          <w:rFonts w:cs="Arial" w:hint="cs"/>
          <w:sz w:val="16"/>
          <w:szCs w:val="16"/>
          <w:rtl/>
        </w:rPr>
        <w:t>'</w:t>
      </w:r>
      <w:r w:rsidRPr="00A6576C">
        <w:rPr>
          <w:rFonts w:cs="Arial"/>
          <w:sz w:val="16"/>
          <w:szCs w:val="16"/>
          <w:rtl/>
        </w:rPr>
        <w:t xml:space="preserve"> ז</w:t>
      </w:r>
      <w:r w:rsidRPr="00A6576C">
        <w:rPr>
          <w:rFonts w:cs="Arial" w:hint="cs"/>
          <w:sz w:val="16"/>
          <w:szCs w:val="16"/>
          <w:rtl/>
        </w:rPr>
        <w:t>, וכתבה הטור ב</w:t>
      </w:r>
      <w:r w:rsidRPr="00A6576C">
        <w:rPr>
          <w:rFonts w:cs="Arial"/>
          <w:sz w:val="16"/>
          <w:szCs w:val="16"/>
          <w:rtl/>
        </w:rPr>
        <w:t>סי</w:t>
      </w:r>
      <w:r w:rsidRPr="00A6576C">
        <w:rPr>
          <w:rFonts w:cs="Arial" w:hint="cs"/>
          <w:sz w:val="16"/>
          <w:szCs w:val="16"/>
          <w:rtl/>
        </w:rPr>
        <w:t>'</w:t>
      </w:r>
      <w:r w:rsidRPr="00A6576C">
        <w:rPr>
          <w:rFonts w:cs="Arial"/>
          <w:sz w:val="16"/>
          <w:szCs w:val="16"/>
          <w:rtl/>
        </w:rPr>
        <w:t xml:space="preserve"> צב ס"ט</w:t>
      </w:r>
      <w:r w:rsidRPr="00A6576C">
        <w:rPr>
          <w:rFonts w:cs="Arial" w:hint="cs"/>
          <w:sz w:val="16"/>
          <w:szCs w:val="16"/>
          <w:rtl/>
        </w:rPr>
        <w:t>)</w:t>
      </w:r>
      <w:r>
        <w:rPr>
          <w:rFonts w:cs="Arial" w:hint="cs"/>
          <w:rtl/>
        </w:rPr>
        <w:t>-</w:t>
      </w:r>
      <w:r w:rsidRPr="00894D3F">
        <w:rPr>
          <w:rFonts w:cs="Arial"/>
          <w:rtl/>
        </w:rPr>
        <w:t xml:space="preserve"> ראובן שנתחייב לשמעון שבועה</w:t>
      </w:r>
      <w:r>
        <w:rPr>
          <w:rFonts w:cs="Arial" w:hint="cs"/>
          <w:rtl/>
        </w:rPr>
        <w:t>.</w:t>
      </w:r>
      <w:r w:rsidRPr="00894D3F">
        <w:rPr>
          <w:rFonts w:cs="Arial"/>
          <w:rtl/>
        </w:rPr>
        <w:t xml:space="preserve"> ושאל שמעון לדיינים שיחרימו בבית הכנסת אם שום אדם יודע שעבר ראובן שבועה</w:t>
      </w:r>
      <w:r>
        <w:rPr>
          <w:rFonts w:cs="Arial" w:hint="cs"/>
          <w:rtl/>
        </w:rPr>
        <w:t>,</w:t>
      </w:r>
      <w:r w:rsidRPr="00894D3F">
        <w:rPr>
          <w:rFonts w:cs="Arial"/>
          <w:rtl/>
        </w:rPr>
        <w:t xml:space="preserve"> כדי שיפסלהו</w:t>
      </w:r>
      <w:r>
        <w:rPr>
          <w:rFonts w:cs="Arial" w:hint="cs"/>
          <w:rtl/>
        </w:rPr>
        <w:t>.</w:t>
      </w:r>
      <w:r w:rsidRPr="00894D3F">
        <w:rPr>
          <w:rFonts w:cs="Arial"/>
          <w:rtl/>
        </w:rPr>
        <w:t xml:space="preserve"> חלילה וחס לא תהא כזאת בישראל לבייש בן ברית ברבים</w:t>
      </w:r>
      <w:r>
        <w:rPr>
          <w:rFonts w:cs="Arial" w:hint="cs"/>
          <w:rtl/>
        </w:rPr>
        <w:t>,</w:t>
      </w:r>
      <w:r w:rsidRPr="00894D3F">
        <w:rPr>
          <w:rFonts w:cs="Arial"/>
          <w:rtl/>
        </w:rPr>
        <w:t xml:space="preserve"> ואף התובע החרם ראוי לנזיפה שמוציא קול ולעז עליו שהזכיר עליו שום פיסול</w:t>
      </w:r>
      <w:r>
        <w:rPr>
          <w:rFonts w:cs="Arial" w:hint="cs"/>
          <w:rtl/>
        </w:rPr>
        <w:t>,</w:t>
      </w:r>
      <w:r w:rsidRPr="00894D3F">
        <w:rPr>
          <w:rFonts w:cs="Arial"/>
          <w:rtl/>
        </w:rPr>
        <w:t xml:space="preserve"> אלא</w:t>
      </w:r>
      <w:r>
        <w:rPr>
          <w:rFonts w:cs="Arial" w:hint="cs"/>
          <w:rtl/>
        </w:rPr>
        <w:t>,</w:t>
      </w:r>
      <w:r w:rsidRPr="00894D3F">
        <w:rPr>
          <w:rFonts w:cs="Arial"/>
          <w:rtl/>
        </w:rPr>
        <w:t xml:space="preserve"> אם יש לו עדים יביא ויעידו אבל לא נצוה להחרים לו</w:t>
      </w:r>
      <w:r>
        <w:rPr>
          <w:rFonts w:cs="Arial" w:hint="cs"/>
          <w:rtl/>
        </w:rPr>
        <w:t>.</w:t>
      </w:r>
    </w:p>
    <w:p w14:paraId="33864C12" w14:textId="77777777" w:rsidR="004B607F" w:rsidRDefault="004B607F" w:rsidP="004B0475">
      <w:pPr>
        <w:pStyle w:val="ac"/>
        <w:numPr>
          <w:ilvl w:val="0"/>
          <w:numId w:val="69"/>
        </w:numPr>
        <w:rPr>
          <w:rFonts w:cs="Arial"/>
        </w:rPr>
      </w:pPr>
      <w:r w:rsidRPr="00894D3F">
        <w:rPr>
          <w:rFonts w:cs="Arial"/>
          <w:rtl/>
        </w:rPr>
        <w:t xml:space="preserve">רשב"א </w:t>
      </w:r>
      <w:r w:rsidRPr="00CE7043">
        <w:rPr>
          <w:rFonts w:cs="Arial"/>
          <w:sz w:val="16"/>
          <w:szCs w:val="16"/>
          <w:rtl/>
        </w:rPr>
        <w:t>(ח"ג סי' צג)</w:t>
      </w:r>
      <w:r>
        <w:rPr>
          <w:rFonts w:cs="Arial" w:hint="cs"/>
          <w:rtl/>
        </w:rPr>
        <w:t>-</w:t>
      </w:r>
      <w:r w:rsidRPr="00894D3F">
        <w:rPr>
          <w:rFonts w:cs="Arial"/>
          <w:rtl/>
        </w:rPr>
        <w:t xml:space="preserve"> שאלת</w:t>
      </w:r>
      <w:r>
        <w:rPr>
          <w:rFonts w:cs="Arial" w:hint="cs"/>
          <w:rtl/>
        </w:rPr>
        <w:t>,</w:t>
      </w:r>
      <w:r w:rsidRPr="00894D3F">
        <w:rPr>
          <w:rFonts w:cs="Arial"/>
          <w:rtl/>
        </w:rPr>
        <w:t xml:space="preserve"> מי שהוא חייב שבועת התורה לחבירו והתובע אומר שאין לבית דין לקבל שבועתו שחשוד הוא על השבועה</w:t>
      </w:r>
      <w:r>
        <w:rPr>
          <w:rFonts w:cs="Arial" w:hint="cs"/>
          <w:rtl/>
        </w:rPr>
        <w:t>.</w:t>
      </w:r>
      <w:r w:rsidRPr="00894D3F">
        <w:rPr>
          <w:rFonts w:cs="Arial"/>
          <w:rtl/>
        </w:rPr>
        <w:t xml:space="preserve"> ואמרו לו בית דין שיביא עדים על כך</w:t>
      </w:r>
      <w:r>
        <w:rPr>
          <w:rFonts w:cs="Arial" w:hint="cs"/>
          <w:rtl/>
        </w:rPr>
        <w:t>.</w:t>
      </w:r>
      <w:r w:rsidRPr="00894D3F">
        <w:rPr>
          <w:rFonts w:cs="Arial"/>
          <w:rtl/>
        </w:rPr>
        <w:t xml:space="preserve"> ומצא עדים שיודעים ואינם רוצים להעיד אא</w:t>
      </w:r>
      <w:r>
        <w:rPr>
          <w:rFonts w:cs="Arial" w:hint="cs"/>
          <w:rtl/>
        </w:rPr>
        <w:t>"</w:t>
      </w:r>
      <w:r w:rsidRPr="00894D3F">
        <w:rPr>
          <w:rFonts w:cs="Arial"/>
          <w:rtl/>
        </w:rPr>
        <w:t>כ יחרימו סתם בבית הכנסת כל מי שיודע עדות שהוא חשוד יבא ויעיד. תשובה</w:t>
      </w:r>
      <w:r>
        <w:rPr>
          <w:rFonts w:cs="Arial" w:hint="cs"/>
          <w:rtl/>
        </w:rPr>
        <w:t>,</w:t>
      </w:r>
      <w:r w:rsidRPr="00894D3F">
        <w:rPr>
          <w:rFonts w:cs="Arial"/>
          <w:rtl/>
        </w:rPr>
        <w:t xml:space="preserve"> החשוד על השבועה שכנגדו נשבע ונוטל ועדים אלו שאינן רוצים להעיד גורמין איסור שימסרו בית דין שבועה לחשוד</w:t>
      </w:r>
      <w:r>
        <w:rPr>
          <w:rFonts w:cs="Arial" w:hint="cs"/>
          <w:rtl/>
        </w:rPr>
        <w:t>,</w:t>
      </w:r>
      <w:r w:rsidRPr="00894D3F">
        <w:rPr>
          <w:rFonts w:cs="Arial"/>
          <w:rtl/>
        </w:rPr>
        <w:t xml:space="preserve"> ומפסידין ממונו של זה בכבישת עדותן</w:t>
      </w:r>
      <w:r>
        <w:rPr>
          <w:rFonts w:cs="Arial" w:hint="cs"/>
          <w:rtl/>
        </w:rPr>
        <w:t>,</w:t>
      </w:r>
      <w:r w:rsidRPr="00894D3F">
        <w:rPr>
          <w:rFonts w:cs="Arial"/>
          <w:rtl/>
        </w:rPr>
        <w:t xml:space="preserve"> ואם אינם מעידים לו </w:t>
      </w:r>
      <w:r>
        <w:rPr>
          <w:rFonts w:cs="Arial" w:hint="cs"/>
          <w:rtl/>
        </w:rPr>
        <w:t xml:space="preserve">- </w:t>
      </w:r>
      <w:r w:rsidRPr="00894D3F">
        <w:rPr>
          <w:rFonts w:cs="Arial"/>
          <w:rtl/>
        </w:rPr>
        <w:t>חייבין בדיני שמים</w:t>
      </w:r>
      <w:r>
        <w:rPr>
          <w:rFonts w:cs="Arial" w:hint="cs"/>
          <w:rtl/>
        </w:rPr>
        <w:t>.</w:t>
      </w:r>
      <w:r w:rsidRPr="00894D3F">
        <w:rPr>
          <w:rFonts w:cs="Arial"/>
          <w:rtl/>
        </w:rPr>
        <w:t xml:space="preserve"> ואם אינם רוצים </w:t>
      </w:r>
      <w:r>
        <w:rPr>
          <w:rFonts w:cs="Arial" w:hint="cs"/>
          <w:rtl/>
        </w:rPr>
        <w:t xml:space="preserve">- </w:t>
      </w:r>
      <w:r w:rsidRPr="00894D3F">
        <w:rPr>
          <w:rFonts w:cs="Arial"/>
          <w:rtl/>
        </w:rPr>
        <w:t>יכול התובע להשביע בבית הכנסת כל מי שיודע עדות בכך יבא ויעידני</w:t>
      </w:r>
      <w:r>
        <w:rPr>
          <w:rStyle w:val="ab"/>
          <w:rFonts w:cs="Arial"/>
          <w:rtl/>
        </w:rPr>
        <w:footnoteReference w:id="1379"/>
      </w:r>
      <w:r>
        <w:rPr>
          <w:rFonts w:cs="Arial" w:hint="cs"/>
          <w:rtl/>
        </w:rPr>
        <w:t>.</w:t>
      </w:r>
      <w:r w:rsidRPr="00894D3F">
        <w:rPr>
          <w:rFonts w:cs="Arial"/>
          <w:rtl/>
        </w:rPr>
        <w:t xml:space="preserve"> </w:t>
      </w:r>
    </w:p>
    <w:p w14:paraId="422124DB" w14:textId="77777777" w:rsidR="004B607F" w:rsidRPr="00096827" w:rsidRDefault="004B607F" w:rsidP="004B607F">
      <w:pPr>
        <w:ind w:left="360"/>
        <w:rPr>
          <w:rFonts w:cs="Arial"/>
          <w:u w:val="dotted"/>
          <w:rtl/>
        </w:rPr>
      </w:pPr>
      <w:r w:rsidRPr="00096827">
        <w:rPr>
          <w:rFonts w:cs="Arial" w:hint="cs"/>
          <w:u w:val="dotted"/>
          <w:rtl/>
        </w:rPr>
        <w:t>בעל דין</w:t>
      </w:r>
      <w:r w:rsidRPr="00096827">
        <w:rPr>
          <w:rFonts w:cs="Arial"/>
          <w:u w:val="dotted"/>
          <w:rtl/>
        </w:rPr>
        <w:t xml:space="preserve"> שהחרים בבית הכנסת </w:t>
      </w:r>
      <w:r w:rsidRPr="00096827">
        <w:rPr>
          <w:rFonts w:cs="Arial" w:hint="cs"/>
          <w:u w:val="dotted"/>
          <w:rtl/>
        </w:rPr>
        <w:t>כנ"ל</w:t>
      </w:r>
      <w:r>
        <w:rPr>
          <w:rFonts w:cs="Arial" w:hint="cs"/>
          <w:u w:val="dotted"/>
          <w:rtl/>
        </w:rPr>
        <w:t xml:space="preserve"> ולא בא אף אחד להעיד לו</w:t>
      </w:r>
      <w:r w:rsidRPr="00096827">
        <w:rPr>
          <w:rFonts w:cs="Arial"/>
          <w:u w:val="dotted"/>
          <w:rtl/>
        </w:rPr>
        <w:t xml:space="preserve"> –</w:t>
      </w:r>
      <w:r w:rsidRPr="00096827">
        <w:rPr>
          <w:rFonts w:cs="Arial" w:hint="cs"/>
          <w:u w:val="dotted"/>
          <w:rtl/>
        </w:rPr>
        <w:t xml:space="preserve"> ורוצה עתה</w:t>
      </w:r>
      <w:r w:rsidRPr="00096827">
        <w:rPr>
          <w:rFonts w:cs="Arial"/>
          <w:u w:val="dotted"/>
          <w:rtl/>
        </w:rPr>
        <w:t xml:space="preserve"> להשביעם</w:t>
      </w:r>
      <w:r w:rsidRPr="00096827">
        <w:rPr>
          <w:rFonts w:cs="Arial" w:hint="cs"/>
          <w:u w:val="dotted"/>
          <w:rtl/>
        </w:rPr>
        <w:t>:</w:t>
      </w:r>
    </w:p>
    <w:p w14:paraId="0C8FC8FE" w14:textId="77777777" w:rsidR="004B607F" w:rsidRDefault="004B607F" w:rsidP="004B0475">
      <w:pPr>
        <w:pStyle w:val="ac"/>
        <w:numPr>
          <w:ilvl w:val="0"/>
          <w:numId w:val="69"/>
        </w:numPr>
        <w:rPr>
          <w:rFonts w:cs="Arial"/>
        </w:rPr>
      </w:pPr>
      <w:r w:rsidRPr="00894D3F">
        <w:rPr>
          <w:rFonts w:cs="Arial"/>
          <w:rtl/>
        </w:rPr>
        <w:t>רשב"א</w:t>
      </w:r>
      <w:r w:rsidRPr="00CE7043">
        <w:rPr>
          <w:rFonts w:cs="Arial"/>
          <w:sz w:val="16"/>
          <w:szCs w:val="16"/>
          <w:rtl/>
        </w:rPr>
        <w:t xml:space="preserve"> (ח"א סי</w:t>
      </w:r>
      <w:r>
        <w:rPr>
          <w:rFonts w:cs="Arial" w:hint="cs"/>
          <w:sz w:val="16"/>
          <w:szCs w:val="16"/>
          <w:rtl/>
        </w:rPr>
        <w:t>'</w:t>
      </w:r>
      <w:r w:rsidRPr="00CE7043">
        <w:rPr>
          <w:rFonts w:cs="Arial"/>
          <w:sz w:val="16"/>
          <w:szCs w:val="16"/>
          <w:rtl/>
        </w:rPr>
        <w:t xml:space="preserve"> תרנח)</w:t>
      </w:r>
      <w:r>
        <w:rPr>
          <w:rFonts w:cs="Arial" w:hint="cs"/>
          <w:rtl/>
        </w:rPr>
        <w:t>-</w:t>
      </w:r>
      <w:r w:rsidRPr="00894D3F">
        <w:rPr>
          <w:rFonts w:cs="Arial"/>
          <w:rtl/>
        </w:rPr>
        <w:t xml:space="preserve"> שאלת</w:t>
      </w:r>
      <w:r>
        <w:rPr>
          <w:rFonts w:cs="Arial" w:hint="cs"/>
          <w:rtl/>
        </w:rPr>
        <w:t>,</w:t>
      </w:r>
      <w:r w:rsidRPr="00894D3F">
        <w:rPr>
          <w:rFonts w:cs="Arial"/>
          <w:rtl/>
        </w:rPr>
        <w:t xml:space="preserve"> אחד שהחרים בבית הכנסת בפני העדים</w:t>
      </w:r>
      <w:r>
        <w:rPr>
          <w:rFonts w:cs="Arial" w:hint="cs"/>
          <w:rtl/>
        </w:rPr>
        <w:t>,</w:t>
      </w:r>
      <w:r w:rsidRPr="00894D3F">
        <w:rPr>
          <w:rFonts w:cs="Arial"/>
          <w:rtl/>
        </w:rPr>
        <w:t xml:space="preserve"> אם יוכל להשביעם. תשובה לא מצינו שיוכל אדם להשביע עדיו אם יודעים לו עדות</w:t>
      </w:r>
      <w:r>
        <w:rPr>
          <w:rFonts w:cs="Arial" w:hint="cs"/>
          <w:rtl/>
        </w:rPr>
        <w:t>.</w:t>
      </w:r>
      <w:r w:rsidRPr="00894D3F">
        <w:rPr>
          <w:rFonts w:cs="Arial"/>
          <w:rtl/>
        </w:rPr>
        <w:t xml:space="preserve"> אלא שאם השביען וכפרו חייבים קרבן</w:t>
      </w:r>
      <w:r>
        <w:rPr>
          <w:rFonts w:cs="Arial" w:hint="cs"/>
          <w:rtl/>
        </w:rPr>
        <w:t>,</w:t>
      </w:r>
      <w:r w:rsidRPr="00894D3F">
        <w:rPr>
          <w:rFonts w:cs="Arial"/>
          <w:rtl/>
        </w:rPr>
        <w:t xml:space="preserve"> ומי שיודע עדות לחבירו אע</w:t>
      </w:r>
      <w:r>
        <w:rPr>
          <w:rFonts w:cs="Arial" w:hint="cs"/>
          <w:rtl/>
        </w:rPr>
        <w:t>"</w:t>
      </w:r>
      <w:r w:rsidRPr="00894D3F">
        <w:rPr>
          <w:rFonts w:cs="Arial"/>
          <w:rtl/>
        </w:rPr>
        <w:t>פ שלא השביעו חייב הוא להעידו</w:t>
      </w:r>
      <w:r>
        <w:rPr>
          <w:rFonts w:cs="Arial" w:hint="cs"/>
          <w:rtl/>
        </w:rPr>
        <w:t>,</w:t>
      </w:r>
      <w:r w:rsidRPr="00894D3F">
        <w:rPr>
          <w:rFonts w:cs="Arial"/>
          <w:rtl/>
        </w:rPr>
        <w:t xml:space="preserve"> אבל לקבל שבועה בעל כרחו זו לא שמענו</w:t>
      </w:r>
      <w:r>
        <w:rPr>
          <w:rFonts w:cs="Arial" w:hint="cs"/>
          <w:rtl/>
        </w:rPr>
        <w:t>,</w:t>
      </w:r>
      <w:r w:rsidRPr="00894D3F">
        <w:rPr>
          <w:rFonts w:cs="Arial"/>
          <w:rtl/>
        </w:rPr>
        <w:t xml:space="preserve"> אבל מ</w:t>
      </w:r>
      <w:r>
        <w:rPr>
          <w:rFonts w:cs="Arial" w:hint="cs"/>
          <w:rtl/>
        </w:rPr>
        <w:t>"</w:t>
      </w:r>
      <w:r w:rsidRPr="00894D3F">
        <w:rPr>
          <w:rFonts w:cs="Arial"/>
          <w:rtl/>
        </w:rPr>
        <w:t>מ ה</w:t>
      </w:r>
      <w:r>
        <w:rPr>
          <w:rFonts w:cs="Arial" w:hint="cs"/>
          <w:rtl/>
        </w:rPr>
        <w:t>ר</w:t>
      </w:r>
      <w:r w:rsidRPr="00894D3F">
        <w:rPr>
          <w:rFonts w:cs="Arial"/>
          <w:rtl/>
        </w:rPr>
        <w:t>י הם חייבים להגיד מחמת שהחרים זה כל מי שיודע לו שיבא ויעיד</w:t>
      </w:r>
      <w:r>
        <w:rPr>
          <w:rFonts w:cs="Arial" w:hint="cs"/>
          <w:rtl/>
        </w:rPr>
        <w:t>.</w:t>
      </w:r>
      <w:r w:rsidRPr="00894D3F">
        <w:rPr>
          <w:rFonts w:cs="Arial"/>
          <w:rtl/>
        </w:rPr>
        <w:t xml:space="preserve"> ולפיכך אם החרים פעם אחת ורצה להחרים פעם אחרת ולייחד עדיו</w:t>
      </w:r>
      <w:r>
        <w:rPr>
          <w:rFonts w:cs="Arial" w:hint="cs"/>
          <w:rtl/>
        </w:rPr>
        <w:t>,</w:t>
      </w:r>
      <w:r w:rsidRPr="00894D3F">
        <w:rPr>
          <w:rFonts w:cs="Arial"/>
          <w:rtl/>
        </w:rPr>
        <w:t xml:space="preserve"> אם רצו העדים לומר כבר החרמת כל מי שיודע לך עדות שיבא ויעיד אע</w:t>
      </w:r>
      <w:r>
        <w:rPr>
          <w:rFonts w:cs="Arial" w:hint="cs"/>
          <w:rtl/>
        </w:rPr>
        <w:t>"</w:t>
      </w:r>
      <w:r w:rsidRPr="00894D3F">
        <w:rPr>
          <w:rFonts w:cs="Arial"/>
          <w:rtl/>
        </w:rPr>
        <w:t>פ</w:t>
      </w:r>
      <w:r>
        <w:rPr>
          <w:rFonts w:cs="Arial" w:hint="cs"/>
          <w:rtl/>
        </w:rPr>
        <w:t xml:space="preserve"> </w:t>
      </w:r>
      <w:r w:rsidRPr="00894D3F">
        <w:rPr>
          <w:rFonts w:cs="Arial"/>
          <w:rtl/>
        </w:rPr>
        <w:t xml:space="preserve">שלא ייחדתנו כיון ששמענו אין לך להחרים יותר שמכח החרם הראשון אנו חייבים להגיד לך אם ידענו לך עדות </w:t>
      </w:r>
      <w:r>
        <w:rPr>
          <w:rFonts w:cs="Arial" w:hint="cs"/>
          <w:rtl/>
        </w:rPr>
        <w:t xml:space="preserve">- </w:t>
      </w:r>
      <w:r w:rsidRPr="00894D3F">
        <w:rPr>
          <w:rFonts w:cs="Arial"/>
          <w:rtl/>
        </w:rPr>
        <w:t>הרשות בידם</w:t>
      </w:r>
      <w:r>
        <w:rPr>
          <w:rFonts w:cs="Arial" w:hint="cs"/>
          <w:rtl/>
        </w:rPr>
        <w:t xml:space="preserve">. </w:t>
      </w:r>
      <w:r w:rsidRPr="00CD5B6C">
        <w:rPr>
          <w:rFonts w:cs="Arial" w:hint="cs"/>
          <w:color w:val="00B0F0"/>
          <w:rtl/>
        </w:rPr>
        <w:t>(וכ"פ הרמ"א)</w:t>
      </w:r>
    </w:p>
    <w:p w14:paraId="031E6D2D" w14:textId="77777777" w:rsidR="004B607F" w:rsidRDefault="004B607F" w:rsidP="004B0475">
      <w:pPr>
        <w:pStyle w:val="ac"/>
        <w:numPr>
          <w:ilvl w:val="1"/>
          <w:numId w:val="69"/>
        </w:numPr>
        <w:rPr>
          <w:rFonts w:cs="Arial"/>
        </w:rPr>
      </w:pPr>
      <w:r>
        <w:rPr>
          <w:rFonts w:cs="Arial" w:hint="cs"/>
          <w:rtl/>
        </w:rPr>
        <w:t xml:space="preserve">ב"י- </w:t>
      </w:r>
      <w:r w:rsidRPr="00894D3F">
        <w:rPr>
          <w:rFonts w:cs="Arial"/>
          <w:rtl/>
        </w:rPr>
        <w:t>ומדברי כולם נלמוד שאדם רשאי להחרים בבית הכנסת על כל מי שיודע לו עדות שיבא ויעיד</w:t>
      </w:r>
      <w:r>
        <w:rPr>
          <w:rStyle w:val="ab"/>
          <w:rFonts w:cs="Arial"/>
          <w:rtl/>
        </w:rPr>
        <w:footnoteReference w:id="1380"/>
      </w:r>
      <w:r>
        <w:rPr>
          <w:rFonts w:cs="Arial" w:hint="cs"/>
          <w:rtl/>
        </w:rPr>
        <w:t>.</w:t>
      </w:r>
      <w:r w:rsidRPr="00CD5B6C">
        <w:rPr>
          <w:rFonts w:cs="Arial" w:hint="cs"/>
          <w:color w:val="E36C0A" w:themeColor="accent6" w:themeShade="BF"/>
          <w:rtl/>
        </w:rPr>
        <w:t xml:space="preserve"> </w:t>
      </w:r>
      <w:r w:rsidRPr="008A71CA">
        <w:rPr>
          <w:rFonts w:cs="Arial" w:hint="cs"/>
          <w:color w:val="E36C0A" w:themeColor="accent6" w:themeShade="BF"/>
          <w:rtl/>
        </w:rPr>
        <w:t>(וכ"פ בשו"ע)</w:t>
      </w:r>
      <w:r>
        <w:rPr>
          <w:rFonts w:cs="Arial" w:hint="cs"/>
          <w:rtl/>
        </w:rPr>
        <w:t xml:space="preserve"> </w:t>
      </w:r>
    </w:p>
    <w:p w14:paraId="414F13F7" w14:textId="77777777" w:rsidR="004B607F" w:rsidRPr="00096827" w:rsidRDefault="004B607F" w:rsidP="004B607F">
      <w:pPr>
        <w:rPr>
          <w:rFonts w:cs="Arial"/>
          <w:u w:val="single"/>
        </w:rPr>
      </w:pPr>
      <w:r w:rsidRPr="00096827">
        <w:rPr>
          <w:rFonts w:cs="Arial" w:hint="cs"/>
          <w:u w:val="single"/>
          <w:rtl/>
        </w:rPr>
        <w:t xml:space="preserve">בעל דין שהחרים </w:t>
      </w:r>
      <w:r w:rsidRPr="00096827">
        <w:rPr>
          <w:rFonts w:cs="Arial" w:hint="cs"/>
          <w:sz w:val="16"/>
          <w:szCs w:val="16"/>
          <w:u w:val="single"/>
          <w:rtl/>
        </w:rPr>
        <w:t>(ולא עזר</w:t>
      </w:r>
      <w:r>
        <w:rPr>
          <w:rFonts w:cs="Arial" w:hint="cs"/>
          <w:sz w:val="16"/>
          <w:szCs w:val="16"/>
          <w:u w:val="single"/>
          <w:rtl/>
        </w:rPr>
        <w:t xml:space="preserve"> לו)</w:t>
      </w:r>
      <w:r w:rsidRPr="00096827">
        <w:rPr>
          <w:rFonts w:cs="Arial" w:hint="cs"/>
          <w:u w:val="single"/>
          <w:rtl/>
        </w:rPr>
        <w:t xml:space="preserve"> ועכשיו רוצה להחרים לגבי אותו דין רק בעניין אחר:</w:t>
      </w:r>
    </w:p>
    <w:p w14:paraId="11BDC28D" w14:textId="77777777" w:rsidR="004B607F" w:rsidRPr="00BD5B3C" w:rsidRDefault="004B607F" w:rsidP="004B0475">
      <w:pPr>
        <w:pStyle w:val="ac"/>
        <w:numPr>
          <w:ilvl w:val="0"/>
          <w:numId w:val="69"/>
        </w:numPr>
        <w:rPr>
          <w:rFonts w:cs="Arial"/>
          <w:rtl/>
        </w:rPr>
      </w:pPr>
      <w:r w:rsidRPr="00894D3F">
        <w:rPr>
          <w:rFonts w:cs="Arial"/>
          <w:rtl/>
        </w:rPr>
        <w:t xml:space="preserve">רשב"א </w:t>
      </w:r>
      <w:r w:rsidRPr="008325A9">
        <w:rPr>
          <w:rFonts w:cs="Arial"/>
          <w:sz w:val="16"/>
          <w:szCs w:val="16"/>
          <w:rtl/>
        </w:rPr>
        <w:t>(ח"ב סי' רכט)</w:t>
      </w:r>
      <w:r>
        <w:rPr>
          <w:rFonts w:cs="Arial" w:hint="cs"/>
          <w:rtl/>
        </w:rPr>
        <w:t>-</w:t>
      </w:r>
      <w:r w:rsidRPr="00894D3F">
        <w:rPr>
          <w:rFonts w:cs="Arial"/>
          <w:rtl/>
        </w:rPr>
        <w:t xml:space="preserve"> מה שתבע לתת לו רשות להחרים על כל מי שיודע לו עדות שיש לו עדים להזים מקצת הראשונים גם לברר שלא היה שם תנאי</w:t>
      </w:r>
      <w:r>
        <w:rPr>
          <w:rFonts w:cs="Arial" w:hint="cs"/>
          <w:rtl/>
        </w:rPr>
        <w:t xml:space="preserve"> -</w:t>
      </w:r>
      <w:r w:rsidRPr="00894D3F">
        <w:rPr>
          <w:rFonts w:cs="Arial"/>
          <w:rtl/>
        </w:rPr>
        <w:t xml:space="preserve"> הרי כבר החרימו על מי שנודע לו עדות מן המכירה שיעיד ליום נועד</w:t>
      </w:r>
      <w:r>
        <w:rPr>
          <w:rFonts w:cs="Arial" w:hint="cs"/>
          <w:rtl/>
        </w:rPr>
        <w:t>,</w:t>
      </w:r>
      <w:r w:rsidRPr="00894D3F">
        <w:rPr>
          <w:rFonts w:cs="Arial"/>
          <w:rtl/>
        </w:rPr>
        <w:t xml:space="preserve"> ושוב אין להחרים שנית</w:t>
      </w:r>
      <w:r>
        <w:rPr>
          <w:rFonts w:cs="Arial" w:hint="cs"/>
          <w:rtl/>
        </w:rPr>
        <w:t>.</w:t>
      </w:r>
      <w:r w:rsidRPr="00894D3F">
        <w:rPr>
          <w:rFonts w:cs="Arial"/>
          <w:rtl/>
        </w:rPr>
        <w:t xml:space="preserve"> דחרם עדות זו אינו תורה</w:t>
      </w:r>
      <w:r>
        <w:rPr>
          <w:rFonts w:cs="Arial" w:hint="cs"/>
          <w:rtl/>
        </w:rPr>
        <w:t>,</w:t>
      </w:r>
      <w:r w:rsidRPr="00894D3F">
        <w:rPr>
          <w:rFonts w:cs="Arial"/>
          <w:rtl/>
        </w:rPr>
        <w:t xml:space="preserve"> כי על בעל העדים להטפל ולהביא עדיו כדאיתא במציעא </w:t>
      </w:r>
      <w:r w:rsidRPr="008325A9">
        <w:rPr>
          <w:rFonts w:cs="Arial"/>
          <w:sz w:val="16"/>
          <w:szCs w:val="16"/>
          <w:rtl/>
        </w:rPr>
        <w:t>(לט:)</w:t>
      </w:r>
      <w:r>
        <w:rPr>
          <w:rFonts w:cs="Arial" w:hint="cs"/>
          <w:rtl/>
        </w:rPr>
        <w:t xml:space="preserve">, </w:t>
      </w:r>
      <w:r w:rsidRPr="00894D3F">
        <w:rPr>
          <w:rFonts w:cs="Arial"/>
          <w:rtl/>
        </w:rPr>
        <w:t>אלא מנהג בעלמא ודי בחרם אחד</w:t>
      </w:r>
      <w:r>
        <w:rPr>
          <w:rFonts w:cs="Arial" w:hint="cs"/>
          <w:rtl/>
        </w:rPr>
        <w:t>.</w:t>
      </w:r>
      <w:r w:rsidRPr="00894D3F">
        <w:rPr>
          <w:rFonts w:cs="Arial"/>
          <w:rtl/>
        </w:rPr>
        <w:t xml:space="preserve"> </w:t>
      </w:r>
      <w:r>
        <w:rPr>
          <w:rFonts w:cs="Arial" w:hint="cs"/>
          <w:rtl/>
        </w:rPr>
        <w:t>(וכ"כ הש"ך</w:t>
      </w:r>
      <w:r>
        <w:rPr>
          <w:rFonts w:cs="Arial" w:hint="cs"/>
          <w:sz w:val="16"/>
          <w:szCs w:val="16"/>
          <w:rtl/>
        </w:rPr>
        <w:t xml:space="preserve"> [סק"ג]</w:t>
      </w:r>
      <w:r>
        <w:rPr>
          <w:rFonts w:cs="Arial" w:hint="cs"/>
          <w:rtl/>
        </w:rPr>
        <w:t>)</w:t>
      </w:r>
    </w:p>
    <w:p w14:paraId="37DD6135" w14:textId="77777777" w:rsidR="004B607F" w:rsidRPr="00095B40" w:rsidRDefault="004B607F" w:rsidP="004B607F">
      <w:pPr>
        <w:rPr>
          <w:rFonts w:cs="Arial"/>
          <w:u w:val="single"/>
        </w:rPr>
      </w:pPr>
      <w:r w:rsidRPr="00095B40">
        <w:rPr>
          <w:rFonts w:cs="Arial" w:hint="cs"/>
          <w:u w:val="single"/>
          <w:rtl/>
        </w:rPr>
        <w:lastRenderedPageBreak/>
        <w:t>השבעת עדים שיעידו האמת:</w:t>
      </w:r>
    </w:p>
    <w:p w14:paraId="42E6FAC1" w14:textId="77777777" w:rsidR="004B607F" w:rsidRPr="00894D3F" w:rsidRDefault="004B607F" w:rsidP="004B0475">
      <w:pPr>
        <w:pStyle w:val="ac"/>
        <w:numPr>
          <w:ilvl w:val="0"/>
          <w:numId w:val="69"/>
        </w:numPr>
        <w:rPr>
          <w:rFonts w:cs="Arial"/>
          <w:rtl/>
        </w:rPr>
      </w:pPr>
      <w:r>
        <w:rPr>
          <w:rFonts w:cs="Arial" w:hint="cs"/>
          <w:rtl/>
        </w:rPr>
        <w:t>רשב"ץ</w:t>
      </w:r>
      <w:r w:rsidRPr="00894D3F">
        <w:rPr>
          <w:rFonts w:cs="Arial"/>
          <w:rtl/>
        </w:rPr>
        <w:t xml:space="preserve"> </w:t>
      </w:r>
      <w:r w:rsidRPr="00415936">
        <w:rPr>
          <w:rFonts w:cs="Arial"/>
          <w:sz w:val="16"/>
          <w:szCs w:val="16"/>
          <w:rtl/>
        </w:rPr>
        <w:t>(שו"ת תשב"ץ ח"ג סי</w:t>
      </w:r>
      <w:r w:rsidRPr="00415936">
        <w:rPr>
          <w:rFonts w:cs="Arial" w:hint="cs"/>
          <w:sz w:val="16"/>
          <w:szCs w:val="16"/>
          <w:rtl/>
        </w:rPr>
        <w:t>'</w:t>
      </w:r>
      <w:r w:rsidRPr="00415936">
        <w:rPr>
          <w:rFonts w:cs="Arial"/>
          <w:sz w:val="16"/>
          <w:szCs w:val="16"/>
          <w:rtl/>
        </w:rPr>
        <w:t xml:space="preserve"> טו)</w:t>
      </w:r>
      <w:r>
        <w:rPr>
          <w:rFonts w:cs="Arial" w:hint="cs"/>
          <w:rtl/>
        </w:rPr>
        <w:t>-</w:t>
      </w:r>
      <w:r w:rsidRPr="00894D3F">
        <w:rPr>
          <w:rFonts w:cs="Arial"/>
          <w:rtl/>
        </w:rPr>
        <w:t xml:space="preserve"> מה שנוהגים בארצות אדום להשביע העדים </w:t>
      </w:r>
      <w:r>
        <w:rPr>
          <w:rFonts w:cs="Arial" w:hint="cs"/>
          <w:rtl/>
        </w:rPr>
        <w:t xml:space="preserve">- </w:t>
      </w:r>
      <w:r w:rsidRPr="00894D3F">
        <w:rPr>
          <w:rFonts w:cs="Arial"/>
          <w:rtl/>
        </w:rPr>
        <w:t>גם בעיני יפלא</w:t>
      </w:r>
      <w:r>
        <w:rPr>
          <w:rFonts w:cs="Arial" w:hint="cs"/>
          <w:rtl/>
        </w:rPr>
        <w:t>,</w:t>
      </w:r>
      <w:r w:rsidRPr="00894D3F">
        <w:rPr>
          <w:rFonts w:cs="Arial"/>
          <w:rtl/>
        </w:rPr>
        <w:t xml:space="preserve"> ואם ראית </w:t>
      </w:r>
      <w:r>
        <w:rPr>
          <w:rFonts w:cs="Arial" w:hint="cs"/>
          <w:rtl/>
        </w:rPr>
        <w:t xml:space="preserve">- </w:t>
      </w:r>
      <w:r w:rsidRPr="00894D3F">
        <w:rPr>
          <w:rFonts w:cs="Arial"/>
          <w:rtl/>
        </w:rPr>
        <w:t>רבים ונכבדים נוהגים כן</w:t>
      </w:r>
      <w:r>
        <w:rPr>
          <w:rFonts w:cs="Arial" w:hint="cs"/>
          <w:rtl/>
        </w:rPr>
        <w:t>,</w:t>
      </w:r>
      <w:r w:rsidRPr="00894D3F">
        <w:rPr>
          <w:rFonts w:cs="Arial"/>
          <w:rtl/>
        </w:rPr>
        <w:t xml:space="preserve"> וגם אני מעיד כמוך שהריב"ש היה נוהג כן במקום הזה</w:t>
      </w:r>
      <w:r>
        <w:rPr>
          <w:rFonts w:cs="Arial" w:hint="cs"/>
          <w:rtl/>
        </w:rPr>
        <w:t>,</w:t>
      </w:r>
      <w:r w:rsidRPr="00894D3F">
        <w:rPr>
          <w:rFonts w:cs="Arial"/>
          <w:rtl/>
        </w:rPr>
        <w:t xml:space="preserve"> ואמרו לי ג"כ שעל עדות שנמסרה בברצלונ"א היה אומר הר"ן אני רוצה שבועה בעדות זו</w:t>
      </w:r>
      <w:r>
        <w:rPr>
          <w:rFonts w:cs="Arial" w:hint="cs"/>
          <w:rtl/>
        </w:rPr>
        <w:t>.</w:t>
      </w:r>
      <w:r w:rsidRPr="00894D3F">
        <w:rPr>
          <w:rFonts w:cs="Arial"/>
          <w:rtl/>
        </w:rPr>
        <w:t xml:space="preserve"> ובאמת שאין זו שבועת העדות שנזכרה בתורה ובדברי חז"ל</w:t>
      </w:r>
      <w:r>
        <w:rPr>
          <w:rFonts w:cs="Arial" w:hint="cs"/>
          <w:rtl/>
        </w:rPr>
        <w:t>,</w:t>
      </w:r>
      <w:r w:rsidRPr="00894D3F">
        <w:rPr>
          <w:rFonts w:cs="Arial"/>
          <w:rtl/>
        </w:rPr>
        <w:t xml:space="preserve"> דההיא בנשבע שאינו יודע עדות והוא יודע. ונראה שאע</w:t>
      </w:r>
      <w:r>
        <w:rPr>
          <w:rFonts w:cs="Arial" w:hint="cs"/>
          <w:rtl/>
        </w:rPr>
        <w:t>"פ</w:t>
      </w:r>
      <w:r w:rsidRPr="00894D3F">
        <w:rPr>
          <w:rFonts w:cs="Arial"/>
          <w:rtl/>
        </w:rPr>
        <w:t xml:space="preserve"> שאינם חייבים לישבע</w:t>
      </w:r>
      <w:r>
        <w:rPr>
          <w:rFonts w:cs="Arial" w:hint="cs"/>
          <w:rtl/>
        </w:rPr>
        <w:t>,</w:t>
      </w:r>
      <w:r w:rsidRPr="00894D3F">
        <w:rPr>
          <w:rFonts w:cs="Arial"/>
          <w:rtl/>
        </w:rPr>
        <w:t xml:space="preserve"> כשנשבעים להעיד אמת </w:t>
      </w:r>
      <w:r>
        <w:rPr>
          <w:rFonts w:cs="Arial" w:hint="cs"/>
          <w:rtl/>
        </w:rPr>
        <w:t xml:space="preserve">- </w:t>
      </w:r>
      <w:r w:rsidRPr="00894D3F">
        <w:rPr>
          <w:rFonts w:cs="Arial"/>
          <w:rtl/>
        </w:rPr>
        <w:t>אינה שבועה שאינה צריכה</w:t>
      </w:r>
      <w:r>
        <w:rPr>
          <w:rFonts w:cs="Arial" w:hint="cs"/>
          <w:rtl/>
        </w:rPr>
        <w:t>,</w:t>
      </w:r>
      <w:r w:rsidRPr="00894D3F">
        <w:rPr>
          <w:rFonts w:cs="Arial"/>
          <w:rtl/>
        </w:rPr>
        <w:t xml:space="preserve"> דהא קיי</w:t>
      </w:r>
      <w:r>
        <w:rPr>
          <w:rFonts w:cs="Arial" w:hint="cs"/>
          <w:rtl/>
        </w:rPr>
        <w:t>"</w:t>
      </w:r>
      <w:r w:rsidRPr="00894D3F">
        <w:rPr>
          <w:rFonts w:cs="Arial"/>
          <w:rtl/>
        </w:rPr>
        <w:t xml:space="preserve">ל דנשבעים לקיים את המצוה כדאיתא בנדרים </w:t>
      </w:r>
      <w:r w:rsidRPr="00415936">
        <w:rPr>
          <w:rFonts w:cs="Arial"/>
          <w:sz w:val="16"/>
          <w:szCs w:val="16"/>
          <w:rtl/>
        </w:rPr>
        <w:t xml:space="preserve">(ח.) </w:t>
      </w:r>
      <w:r w:rsidRPr="00894D3F">
        <w:rPr>
          <w:rFonts w:cs="Arial"/>
          <w:rtl/>
        </w:rPr>
        <w:t xml:space="preserve">ותמורה </w:t>
      </w:r>
      <w:r w:rsidRPr="00415936">
        <w:rPr>
          <w:rFonts w:cs="Arial"/>
          <w:sz w:val="16"/>
          <w:szCs w:val="16"/>
          <w:rtl/>
        </w:rPr>
        <w:t>(ג:)</w:t>
      </w:r>
      <w:r w:rsidRPr="00894D3F">
        <w:rPr>
          <w:rFonts w:cs="Arial"/>
          <w:rtl/>
        </w:rPr>
        <w:t>. ועוד אני מוסיף שיכולין להשביע אם רואים שהעם מקילין בעדות שקר ואינם מקילין בשבועה</w:t>
      </w:r>
      <w:r>
        <w:rPr>
          <w:rFonts w:cs="Arial" w:hint="cs"/>
          <w:rtl/>
        </w:rPr>
        <w:t>.</w:t>
      </w:r>
      <w:r w:rsidRPr="00894D3F">
        <w:rPr>
          <w:rFonts w:cs="Arial"/>
          <w:rtl/>
        </w:rPr>
        <w:t xml:space="preserve"> ואני איני משביע העדים</w:t>
      </w:r>
      <w:r>
        <w:rPr>
          <w:rFonts w:cs="Arial" w:hint="cs"/>
          <w:rtl/>
        </w:rPr>
        <w:t>,</w:t>
      </w:r>
      <w:r w:rsidRPr="00894D3F">
        <w:rPr>
          <w:rFonts w:cs="Arial"/>
          <w:rtl/>
        </w:rPr>
        <w:t xml:space="preserve"> אא</w:t>
      </w:r>
      <w:r>
        <w:rPr>
          <w:rFonts w:cs="Arial" w:hint="cs"/>
          <w:rtl/>
        </w:rPr>
        <w:t>"</w:t>
      </w:r>
      <w:r w:rsidRPr="00894D3F">
        <w:rPr>
          <w:rFonts w:cs="Arial"/>
          <w:rtl/>
        </w:rPr>
        <w:t xml:space="preserve">כ תבע התובע </w:t>
      </w:r>
      <w:r>
        <w:rPr>
          <w:rFonts w:cs="Arial" w:hint="cs"/>
          <w:sz w:val="16"/>
          <w:szCs w:val="16"/>
          <w:rtl/>
        </w:rPr>
        <w:t xml:space="preserve">{שישבע העד} </w:t>
      </w:r>
      <w:r w:rsidRPr="00894D3F">
        <w:rPr>
          <w:rFonts w:cs="Arial"/>
          <w:rtl/>
        </w:rPr>
        <w:t>ושתק העד</w:t>
      </w:r>
      <w:r>
        <w:rPr>
          <w:rFonts w:cs="Arial" w:hint="cs"/>
          <w:rtl/>
        </w:rPr>
        <w:t>,</w:t>
      </w:r>
      <w:r w:rsidRPr="00894D3F">
        <w:rPr>
          <w:rFonts w:cs="Arial"/>
          <w:rtl/>
        </w:rPr>
        <w:t xml:space="preserve"> כי הגדלים בארץ הזאת קשה להם כמנהג האומה הזאת</w:t>
      </w:r>
      <w:r>
        <w:rPr>
          <w:rFonts w:cs="Arial" w:hint="cs"/>
          <w:rtl/>
        </w:rPr>
        <w:t>.</w:t>
      </w:r>
      <w:r w:rsidRPr="00894D3F">
        <w:rPr>
          <w:rFonts w:cs="Arial"/>
          <w:rtl/>
        </w:rPr>
        <w:t xml:space="preserve"> ובארץ אדום נהגו להשביע העדים כמנהג האומה ההיא</w:t>
      </w:r>
      <w:r>
        <w:rPr>
          <w:rFonts w:cs="Arial" w:hint="cs"/>
          <w:rtl/>
        </w:rPr>
        <w:t>,</w:t>
      </w:r>
      <w:r w:rsidRPr="00894D3F">
        <w:rPr>
          <w:rFonts w:cs="Arial"/>
          <w:rtl/>
        </w:rPr>
        <w:t xml:space="preserve"> לא שמותר ללכת בחוקותיהם אלא לפי מחשבת העדים שגדלו ביניהם וחשבוהו תורה</w:t>
      </w:r>
      <w:r>
        <w:rPr>
          <w:rStyle w:val="ab"/>
          <w:rFonts w:cs="Arial"/>
          <w:rtl/>
        </w:rPr>
        <w:footnoteReference w:id="1381"/>
      </w:r>
      <w:r>
        <w:rPr>
          <w:rFonts w:cs="Arial" w:hint="cs"/>
          <w:rtl/>
        </w:rPr>
        <w:t xml:space="preserve">. </w:t>
      </w:r>
      <w:r w:rsidRPr="00CD5B6C">
        <w:rPr>
          <w:rFonts w:cs="Arial" w:hint="cs"/>
          <w:color w:val="00B0F0"/>
          <w:rtl/>
        </w:rPr>
        <w:t>(וכ"פ הרמ"א)</w:t>
      </w:r>
    </w:p>
    <w:p w14:paraId="322EA969" w14:textId="77777777" w:rsidR="004B607F" w:rsidRPr="003024E5" w:rsidRDefault="004B607F" w:rsidP="004B607F">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4325FF2E" w14:textId="77777777" w:rsidR="004B607F" w:rsidRDefault="004B607F" w:rsidP="004B607F">
      <w:pPr>
        <w:rPr>
          <w:rtl/>
        </w:rPr>
      </w:pPr>
      <w:r>
        <w:rPr>
          <w:rFonts w:cs="Arial"/>
          <w:rtl/>
        </w:rPr>
        <w:t xml:space="preserve">אדם רשאי להחרים בבית הכנסת על כל מי שיודע לו עדות שיבא ויעיד. </w:t>
      </w:r>
      <w:r w:rsidRPr="00221BFB">
        <w:rPr>
          <w:rFonts w:cs="Arial"/>
          <w:sz w:val="18"/>
          <w:szCs w:val="18"/>
          <w:rtl/>
        </w:rPr>
        <w:t>הגה: אבל לא יוכל להשביען</w:t>
      </w:r>
      <w:r>
        <w:rPr>
          <w:rStyle w:val="ab"/>
          <w:rFonts w:cs="Arial"/>
          <w:sz w:val="18"/>
          <w:szCs w:val="18"/>
          <w:rtl/>
        </w:rPr>
        <w:footnoteReference w:id="1382"/>
      </w:r>
      <w:r>
        <w:rPr>
          <w:rFonts w:cs="Arial" w:hint="cs"/>
          <w:sz w:val="18"/>
          <w:szCs w:val="18"/>
          <w:rtl/>
        </w:rPr>
        <w:t>,</w:t>
      </w:r>
      <w:r w:rsidRPr="00221BFB">
        <w:rPr>
          <w:rFonts w:cs="Arial"/>
          <w:sz w:val="18"/>
          <w:szCs w:val="18"/>
          <w:rtl/>
        </w:rPr>
        <w:t xml:space="preserve"> אלא</w:t>
      </w:r>
      <w:r>
        <w:rPr>
          <w:rFonts w:cs="Arial" w:hint="cs"/>
          <w:sz w:val="18"/>
          <w:szCs w:val="18"/>
          <w:rtl/>
        </w:rPr>
        <w:t>,</w:t>
      </w:r>
      <w:r w:rsidRPr="00221BFB">
        <w:rPr>
          <w:rFonts w:cs="Arial"/>
          <w:sz w:val="18"/>
          <w:szCs w:val="18"/>
          <w:rtl/>
        </w:rPr>
        <w:t xml:space="preserve"> אם לא יגיד ונשא עונו </w:t>
      </w:r>
      <w:r w:rsidRPr="00CD5B6C">
        <w:rPr>
          <w:rFonts w:cs="Arial"/>
          <w:sz w:val="16"/>
          <w:szCs w:val="16"/>
          <w:rtl/>
        </w:rPr>
        <w:t>(רשב"א סי' תרנח)</w:t>
      </w:r>
      <w:r w:rsidRPr="00221BFB">
        <w:rPr>
          <w:rFonts w:cs="Arial"/>
          <w:sz w:val="18"/>
          <w:szCs w:val="18"/>
          <w:rtl/>
        </w:rPr>
        <w:t xml:space="preserve">. מיהו אם נראה לב"ד צורך שעה להשביען שיגידו האמת, הרשות </w:t>
      </w:r>
      <w:r w:rsidRPr="00BB7341">
        <w:rPr>
          <w:rFonts w:cs="Arial"/>
          <w:color w:val="000000" w:themeColor="text1"/>
          <w:sz w:val="18"/>
          <w:szCs w:val="18"/>
          <w:rtl/>
        </w:rPr>
        <w:t xml:space="preserve">בידן </w:t>
      </w:r>
      <w:r w:rsidRPr="00BB7341">
        <w:rPr>
          <w:rFonts w:cs="Arial"/>
          <w:color w:val="000000" w:themeColor="text1"/>
          <w:sz w:val="16"/>
          <w:szCs w:val="16"/>
          <w:rtl/>
        </w:rPr>
        <w:t>(ב"י בשם הרש</w:t>
      </w:r>
      <w:r w:rsidRPr="00BB7341">
        <w:rPr>
          <w:rFonts w:cs="Arial" w:hint="cs"/>
          <w:color w:val="000000" w:themeColor="text1"/>
          <w:sz w:val="16"/>
          <w:szCs w:val="16"/>
          <w:rtl/>
        </w:rPr>
        <w:t>ב</w:t>
      </w:r>
      <w:r>
        <w:rPr>
          <w:rFonts w:cs="Arial" w:hint="cs"/>
          <w:sz w:val="16"/>
          <w:szCs w:val="16"/>
          <w:rtl/>
        </w:rPr>
        <w:t>"ץ</w:t>
      </w:r>
      <w:r w:rsidRPr="00BB7341">
        <w:rPr>
          <w:rFonts w:cs="Arial"/>
          <w:color w:val="000000" w:themeColor="text1"/>
          <w:sz w:val="16"/>
          <w:szCs w:val="16"/>
          <w:rtl/>
        </w:rPr>
        <w:t>)</w:t>
      </w:r>
      <w:r w:rsidRPr="00BB7341">
        <w:rPr>
          <w:rFonts w:cs="Arial"/>
          <w:color w:val="000000" w:themeColor="text1"/>
          <w:sz w:val="18"/>
          <w:szCs w:val="18"/>
          <w:rtl/>
        </w:rPr>
        <w:t>. וע</w:t>
      </w:r>
      <w:r>
        <w:rPr>
          <w:rFonts w:cs="Arial" w:hint="cs"/>
          <w:color w:val="000000" w:themeColor="text1"/>
          <w:sz w:val="18"/>
          <w:szCs w:val="18"/>
          <w:rtl/>
        </w:rPr>
        <w:t>"ל</w:t>
      </w:r>
      <w:r w:rsidRPr="00BB7341">
        <w:rPr>
          <w:rFonts w:cs="Arial"/>
          <w:color w:val="000000" w:themeColor="text1"/>
          <w:sz w:val="18"/>
          <w:szCs w:val="18"/>
          <w:rtl/>
        </w:rPr>
        <w:t xml:space="preserve"> סי</w:t>
      </w:r>
      <w:r>
        <w:rPr>
          <w:rFonts w:cs="Arial" w:hint="cs"/>
          <w:color w:val="000000" w:themeColor="text1"/>
          <w:sz w:val="18"/>
          <w:szCs w:val="18"/>
          <w:rtl/>
        </w:rPr>
        <w:t>'</w:t>
      </w:r>
      <w:r w:rsidRPr="00BB7341">
        <w:rPr>
          <w:rFonts w:cs="Arial"/>
          <w:color w:val="000000" w:themeColor="text1"/>
          <w:sz w:val="18"/>
          <w:szCs w:val="18"/>
          <w:rtl/>
        </w:rPr>
        <w:t xml:space="preserve"> ע"ז סע</w:t>
      </w:r>
      <w:r>
        <w:rPr>
          <w:rFonts w:cs="Arial" w:hint="cs"/>
          <w:color w:val="000000" w:themeColor="text1"/>
          <w:sz w:val="18"/>
          <w:szCs w:val="18"/>
          <w:rtl/>
        </w:rPr>
        <w:t>'</w:t>
      </w:r>
      <w:r w:rsidRPr="00BB7341">
        <w:rPr>
          <w:rFonts w:cs="Arial"/>
          <w:color w:val="000000" w:themeColor="text1"/>
          <w:sz w:val="18"/>
          <w:szCs w:val="18"/>
          <w:rtl/>
        </w:rPr>
        <w:t xml:space="preserve"> ג</w:t>
      </w:r>
      <w:r>
        <w:rPr>
          <w:rFonts w:cs="Arial" w:hint="cs"/>
          <w:color w:val="000000" w:themeColor="text1"/>
          <w:sz w:val="18"/>
          <w:szCs w:val="18"/>
          <w:rtl/>
        </w:rPr>
        <w:t>'</w:t>
      </w:r>
      <w:r w:rsidRPr="00BB7341">
        <w:rPr>
          <w:rFonts w:cs="Arial"/>
          <w:color w:val="000000" w:themeColor="text1"/>
          <w:sz w:val="18"/>
          <w:szCs w:val="18"/>
          <w:rtl/>
        </w:rPr>
        <w:t xml:space="preserve"> ולקמן סי</w:t>
      </w:r>
      <w:r>
        <w:rPr>
          <w:rFonts w:cs="Arial" w:hint="cs"/>
          <w:color w:val="000000" w:themeColor="text1"/>
          <w:sz w:val="18"/>
          <w:szCs w:val="18"/>
          <w:rtl/>
        </w:rPr>
        <w:t>'</w:t>
      </w:r>
      <w:r w:rsidRPr="00BB7341">
        <w:rPr>
          <w:rFonts w:cs="Arial"/>
          <w:color w:val="000000" w:themeColor="text1"/>
          <w:sz w:val="18"/>
          <w:szCs w:val="18"/>
          <w:rtl/>
        </w:rPr>
        <w:t xml:space="preserve"> ע"א סע</w:t>
      </w:r>
      <w:r>
        <w:rPr>
          <w:rFonts w:cs="Arial" w:hint="cs"/>
          <w:color w:val="000000" w:themeColor="text1"/>
          <w:sz w:val="18"/>
          <w:szCs w:val="18"/>
          <w:rtl/>
        </w:rPr>
        <w:t>'</w:t>
      </w:r>
      <w:r w:rsidRPr="00BB7341">
        <w:rPr>
          <w:rFonts w:cs="Arial"/>
          <w:color w:val="000000" w:themeColor="text1"/>
          <w:sz w:val="18"/>
          <w:szCs w:val="18"/>
          <w:rtl/>
        </w:rPr>
        <w:t xml:space="preserve"> ז' ח'. י"א </w:t>
      </w:r>
      <w:r w:rsidRPr="00221BFB">
        <w:rPr>
          <w:rFonts w:cs="Arial"/>
          <w:sz w:val="18"/>
          <w:szCs w:val="18"/>
          <w:rtl/>
        </w:rPr>
        <w:t xml:space="preserve">כשנותנים חרם בעדות, אף הקרובים צריכים להעידו </w:t>
      </w:r>
      <w:r w:rsidRPr="00CD5B6C">
        <w:rPr>
          <w:rFonts w:cs="Arial"/>
          <w:sz w:val="16"/>
          <w:szCs w:val="16"/>
          <w:rtl/>
        </w:rPr>
        <w:t>(מרדכי ר</w:t>
      </w:r>
      <w:r w:rsidRPr="00CD5B6C">
        <w:rPr>
          <w:rFonts w:cs="Arial" w:hint="cs"/>
          <w:sz w:val="16"/>
          <w:szCs w:val="16"/>
          <w:rtl/>
        </w:rPr>
        <w:t>"</w:t>
      </w:r>
      <w:r w:rsidRPr="00CD5B6C">
        <w:rPr>
          <w:rFonts w:cs="Arial"/>
          <w:sz w:val="16"/>
          <w:szCs w:val="16"/>
          <w:rtl/>
        </w:rPr>
        <w:t>פ שבועת העדות)</w:t>
      </w:r>
      <w:r w:rsidRPr="00221BFB">
        <w:rPr>
          <w:rFonts w:cs="Arial"/>
          <w:sz w:val="18"/>
          <w:szCs w:val="18"/>
          <w:rtl/>
        </w:rPr>
        <w:t xml:space="preserve">, ואפילו בעל דבר בעצמו צריך להעיד </w:t>
      </w:r>
      <w:r w:rsidRPr="00CD5B6C">
        <w:rPr>
          <w:rFonts w:cs="Arial"/>
          <w:sz w:val="16"/>
          <w:szCs w:val="16"/>
          <w:rtl/>
        </w:rPr>
        <w:t>(טור סי</w:t>
      </w:r>
      <w:r w:rsidRPr="00CD5B6C">
        <w:rPr>
          <w:rFonts w:cs="Arial" w:hint="cs"/>
          <w:sz w:val="16"/>
          <w:szCs w:val="16"/>
          <w:rtl/>
        </w:rPr>
        <w:t>'</w:t>
      </w:r>
      <w:r w:rsidRPr="00CD5B6C">
        <w:rPr>
          <w:rFonts w:cs="Arial"/>
          <w:sz w:val="16"/>
          <w:szCs w:val="16"/>
          <w:rtl/>
        </w:rPr>
        <w:t xml:space="preserve"> עז)</w:t>
      </w:r>
      <w:r w:rsidRPr="00221BFB">
        <w:rPr>
          <w:rFonts w:cs="Arial"/>
          <w:sz w:val="18"/>
          <w:szCs w:val="18"/>
          <w:rtl/>
        </w:rPr>
        <w:t xml:space="preserve">. ויש חולקים </w:t>
      </w:r>
      <w:r w:rsidRPr="00CD5B6C">
        <w:rPr>
          <w:rFonts w:cs="Arial"/>
          <w:sz w:val="16"/>
          <w:szCs w:val="16"/>
          <w:rtl/>
        </w:rPr>
        <w:t>(רשב"א סי</w:t>
      </w:r>
      <w:r w:rsidRPr="00CD5B6C">
        <w:rPr>
          <w:rFonts w:cs="Arial" w:hint="cs"/>
          <w:sz w:val="16"/>
          <w:szCs w:val="16"/>
          <w:rtl/>
        </w:rPr>
        <w:t>'</w:t>
      </w:r>
      <w:r w:rsidRPr="00CD5B6C">
        <w:rPr>
          <w:rFonts w:cs="Arial"/>
          <w:sz w:val="16"/>
          <w:szCs w:val="16"/>
          <w:rtl/>
        </w:rPr>
        <w:t xml:space="preserve"> תרכז ורא"ש כלל ו סי' כא)</w:t>
      </w:r>
      <w:r>
        <w:rPr>
          <w:rFonts w:cs="Arial" w:hint="cs"/>
          <w:sz w:val="18"/>
          <w:szCs w:val="18"/>
          <w:rtl/>
        </w:rPr>
        <w:t xml:space="preserve">, </w:t>
      </w:r>
      <w:r w:rsidRPr="00221BFB">
        <w:rPr>
          <w:rFonts w:cs="Arial"/>
          <w:sz w:val="18"/>
          <w:szCs w:val="18"/>
          <w:rtl/>
        </w:rPr>
        <w:t>וכן עיקר</w:t>
      </w:r>
      <w:r>
        <w:rPr>
          <w:rStyle w:val="ab"/>
          <w:rFonts w:cs="Arial"/>
          <w:sz w:val="18"/>
          <w:szCs w:val="18"/>
          <w:rtl/>
        </w:rPr>
        <w:footnoteReference w:id="1383"/>
      </w:r>
      <w:r w:rsidRPr="00221BFB">
        <w:rPr>
          <w:rFonts w:cs="Arial"/>
          <w:sz w:val="18"/>
          <w:szCs w:val="18"/>
          <w:rtl/>
        </w:rPr>
        <w:t>. ועיין בי</w:t>
      </w:r>
      <w:r>
        <w:rPr>
          <w:rFonts w:cs="Arial" w:hint="cs"/>
          <w:sz w:val="18"/>
          <w:szCs w:val="18"/>
          <w:rtl/>
        </w:rPr>
        <w:t>ו</w:t>
      </w:r>
      <w:r w:rsidRPr="00221BFB">
        <w:rPr>
          <w:rFonts w:cs="Arial"/>
          <w:sz w:val="18"/>
          <w:szCs w:val="18"/>
          <w:rtl/>
        </w:rPr>
        <w:t>"ד סי' רל"ב שר שצוה לתת חרם בעדות.</w:t>
      </w:r>
      <w:r>
        <w:rPr>
          <w:rFonts w:cs="Arial"/>
          <w:rtl/>
        </w:rPr>
        <w:t xml:space="preserve"> </w:t>
      </w:r>
    </w:p>
    <w:p w14:paraId="23BB5FFB" w14:textId="77777777" w:rsidR="004B607F" w:rsidRDefault="004B607F" w:rsidP="004B607F">
      <w:pPr>
        <w:rPr>
          <w:rtl/>
        </w:rPr>
      </w:pPr>
    </w:p>
    <w:p w14:paraId="665DD29C" w14:textId="77777777" w:rsidR="004B607F" w:rsidRDefault="004B607F" w:rsidP="004B607F">
      <w:pPr>
        <w:pStyle w:val="2"/>
        <w:rPr>
          <w:rtl/>
        </w:rPr>
      </w:pPr>
      <w:bookmarkStart w:id="200" w:name="_Toc24883677"/>
      <w:r>
        <w:rPr>
          <w:rtl/>
        </w:rPr>
        <w:t>סעיף ג</w:t>
      </w:r>
      <w:r>
        <w:rPr>
          <w:rFonts w:hint="cs"/>
          <w:rtl/>
        </w:rPr>
        <w:t>:</w:t>
      </w:r>
      <w:r w:rsidRPr="003948B6">
        <w:rPr>
          <w:rFonts w:cs="Arial" w:hint="cs"/>
          <w:rtl/>
        </w:rPr>
        <w:t xml:space="preserve"> </w:t>
      </w:r>
      <w:r>
        <w:rPr>
          <w:rFonts w:cs="Arial" w:hint="cs"/>
          <w:rtl/>
        </w:rPr>
        <w:t>גוי</w:t>
      </w:r>
      <w:r>
        <w:rPr>
          <w:rFonts w:cs="Arial"/>
          <w:rtl/>
        </w:rPr>
        <w:t xml:space="preserve"> </w:t>
      </w:r>
      <w:r>
        <w:rPr>
          <w:rFonts w:cs="Arial" w:hint="cs"/>
          <w:rtl/>
        </w:rPr>
        <w:t>ש</w:t>
      </w:r>
      <w:r>
        <w:rPr>
          <w:rFonts w:cs="Arial"/>
          <w:rtl/>
        </w:rPr>
        <w:t xml:space="preserve">תובע לישראל ויש ישראל </w:t>
      </w:r>
      <w:r>
        <w:rPr>
          <w:rFonts w:cs="Arial" w:hint="cs"/>
          <w:rtl/>
        </w:rPr>
        <w:t xml:space="preserve">שיודע </w:t>
      </w:r>
      <w:r>
        <w:rPr>
          <w:rFonts w:cs="Arial"/>
          <w:rtl/>
        </w:rPr>
        <w:t xml:space="preserve">עדות </w:t>
      </w:r>
      <w:r>
        <w:rPr>
          <w:rFonts w:cs="Arial" w:hint="cs"/>
          <w:rtl/>
        </w:rPr>
        <w:t>לגוי</w:t>
      </w:r>
      <w:r>
        <w:rPr>
          <w:rFonts w:cs="Arial"/>
          <w:rtl/>
        </w:rPr>
        <w:t xml:space="preserve"> נג</w:t>
      </w:r>
      <w:r>
        <w:rPr>
          <w:rFonts w:cs="Arial" w:hint="cs"/>
          <w:rtl/>
        </w:rPr>
        <w:t xml:space="preserve">ד הישראל </w:t>
      </w:r>
      <w:r>
        <w:rPr>
          <w:rFonts w:cs="Arial"/>
          <w:rtl/>
        </w:rPr>
        <w:t>–</w:t>
      </w:r>
      <w:r>
        <w:rPr>
          <w:rFonts w:cs="Arial" w:hint="cs"/>
          <w:rtl/>
        </w:rPr>
        <w:t xml:space="preserve"> והוא יחידי.</w:t>
      </w:r>
      <w:bookmarkEnd w:id="200"/>
    </w:p>
    <w:p w14:paraId="38658DE1" w14:textId="77777777" w:rsidR="004B607F" w:rsidRDefault="004B607F" w:rsidP="004B607F">
      <w:pPr>
        <w:rPr>
          <w:rFonts w:cs="Arial"/>
          <w:rtl/>
        </w:rPr>
      </w:pPr>
      <w:r>
        <w:rPr>
          <w:rFonts w:cs="Arial" w:hint="cs"/>
          <w:b/>
          <w:bCs/>
          <w:rtl/>
        </w:rPr>
        <w:t xml:space="preserve">בבא קמא </w:t>
      </w:r>
      <w:r w:rsidRPr="001222C0">
        <w:rPr>
          <w:rFonts w:cs="Arial" w:hint="cs"/>
          <w:b/>
          <w:bCs/>
          <w:sz w:val="16"/>
          <w:szCs w:val="16"/>
          <w:rtl/>
        </w:rPr>
        <w:t xml:space="preserve">(פ' בתרא) </w:t>
      </w:r>
      <w:r>
        <w:rPr>
          <w:rFonts w:cs="Arial" w:hint="cs"/>
          <w:b/>
          <w:bCs/>
          <w:rtl/>
        </w:rPr>
        <w:t>קיג</w:t>
      </w:r>
      <w:r>
        <w:rPr>
          <w:rStyle w:val="ab"/>
          <w:rFonts w:cs="Arial"/>
          <w:b/>
          <w:bCs/>
          <w:rtl/>
        </w:rPr>
        <w:footnoteReference w:id="1384"/>
      </w:r>
      <w:r>
        <w:rPr>
          <w:rFonts w:cs="Arial" w:hint="cs"/>
          <w:b/>
          <w:bCs/>
          <w:rtl/>
        </w:rPr>
        <w:t xml:space="preserve"> ע"ב: </w:t>
      </w:r>
      <w:r w:rsidRPr="008F275E">
        <w:rPr>
          <w:rFonts w:cs="Arial"/>
          <w:u w:val="single"/>
          <w:rtl/>
        </w:rPr>
        <w:t>מכריז רבא, ואיתימא רב הונא</w:t>
      </w:r>
      <w:r>
        <w:rPr>
          <w:rFonts w:cs="Arial" w:hint="cs"/>
          <w:rtl/>
        </w:rPr>
        <w:t>:</w:t>
      </w:r>
      <w:r w:rsidRPr="008D7BCF">
        <w:rPr>
          <w:rFonts w:cs="Arial"/>
          <w:rtl/>
        </w:rPr>
        <w:t xml:space="preserve"> דסלקין לעילא ודנחתין לתתא</w:t>
      </w:r>
      <w:r>
        <w:rPr>
          <w:rFonts w:cs="Arial" w:hint="cs"/>
          <w:rtl/>
        </w:rPr>
        <w:t>,</w:t>
      </w:r>
      <w:r w:rsidRPr="008D7BCF">
        <w:rPr>
          <w:rFonts w:cs="Arial"/>
          <w:rtl/>
        </w:rPr>
        <w:t xml:space="preserve"> האי בר ישראל דידע סהדותא לכותי ולא תבעו מיניה, ואזל ואסהיד ליה בדיני דכותי על ישראל חבריה - משמתינן ליה. מאי טעמא? דאינהו מפקי ממונא אפומא דחד</w:t>
      </w:r>
      <w:r>
        <w:rPr>
          <w:rStyle w:val="ab"/>
          <w:rFonts w:cs="Arial"/>
          <w:rtl/>
        </w:rPr>
        <w:footnoteReference w:id="1385"/>
      </w:r>
      <w:r w:rsidRPr="008D7BCF">
        <w:rPr>
          <w:rFonts w:cs="Arial"/>
          <w:rtl/>
        </w:rPr>
        <w:t>. ולא אמרן אלא חד, אבל בתרי לא</w:t>
      </w:r>
      <w:r>
        <w:rPr>
          <w:rFonts w:cs="Arial" w:hint="cs"/>
          <w:rtl/>
        </w:rPr>
        <w:t>.</w:t>
      </w:r>
      <w:r w:rsidRPr="001222C0">
        <w:rPr>
          <w:rtl/>
        </w:rPr>
        <w:t xml:space="preserve"> </w:t>
      </w:r>
      <w:r w:rsidRPr="001222C0">
        <w:rPr>
          <w:rFonts w:cs="Arial"/>
          <w:rtl/>
        </w:rPr>
        <w:t>וחד נמי לא אמרן אלא בדיני דמגיסתא</w:t>
      </w:r>
      <w:r>
        <w:rPr>
          <w:rStyle w:val="ab"/>
          <w:rFonts w:cs="Arial"/>
          <w:rtl/>
        </w:rPr>
        <w:footnoteReference w:id="1386"/>
      </w:r>
      <w:r w:rsidRPr="001222C0">
        <w:rPr>
          <w:rFonts w:cs="Arial"/>
          <w:rtl/>
        </w:rPr>
        <w:t>, אבל בי דוואר</w:t>
      </w:r>
      <w:r>
        <w:rPr>
          <w:rStyle w:val="ab"/>
          <w:rFonts w:cs="Arial"/>
          <w:rtl/>
        </w:rPr>
        <w:footnoteReference w:id="1387"/>
      </w:r>
      <w:r w:rsidRPr="001222C0">
        <w:rPr>
          <w:rFonts w:cs="Arial"/>
          <w:rtl/>
        </w:rPr>
        <w:t>, אינהו נמי חד אמומתא שדו ליה</w:t>
      </w:r>
      <w:r>
        <w:rPr>
          <w:rStyle w:val="ab"/>
          <w:rFonts w:cs="Arial"/>
          <w:rtl/>
        </w:rPr>
        <w:footnoteReference w:id="1388"/>
      </w:r>
      <w:r w:rsidRPr="001222C0">
        <w:rPr>
          <w:rFonts w:cs="Arial"/>
          <w:rtl/>
        </w:rPr>
        <w:t>.</w:t>
      </w:r>
      <w:r w:rsidRPr="008F275E">
        <w:rPr>
          <w:rFonts w:cs="Arial"/>
          <w:rtl/>
        </w:rPr>
        <w:t xml:space="preserve"> </w:t>
      </w:r>
      <w:r w:rsidRPr="008F275E">
        <w:rPr>
          <w:rFonts w:cs="Arial"/>
          <w:u w:val="single"/>
          <w:rtl/>
        </w:rPr>
        <w:t>אמר רב אשי</w:t>
      </w:r>
      <w:r>
        <w:rPr>
          <w:rFonts w:cs="Arial" w:hint="cs"/>
          <w:rtl/>
        </w:rPr>
        <w:t>:</w:t>
      </w:r>
      <w:r w:rsidRPr="008F275E">
        <w:rPr>
          <w:rFonts w:cs="Arial"/>
          <w:rtl/>
        </w:rPr>
        <w:t xml:space="preserve"> כי הוינא בי רב הונא איבעיא לן</w:t>
      </w:r>
      <w:r>
        <w:rPr>
          <w:rFonts w:cs="Arial" w:hint="cs"/>
          <w:rtl/>
        </w:rPr>
        <w:t>,</w:t>
      </w:r>
      <w:r w:rsidRPr="008F275E">
        <w:rPr>
          <w:rFonts w:cs="Arial"/>
          <w:rtl/>
        </w:rPr>
        <w:t xml:space="preserve"> אדם חשוב דסמכי עליה כבי תרי, מפקי ממונא אפומיה ולא איבעי ליה לאסהודי, או דלמא כיון דאדם חשוב הוא, לא מצי משתמיט להו ומצי לאסהודי? תיקו.</w:t>
      </w:r>
      <w:r>
        <w:rPr>
          <w:rFonts w:cs="Arial" w:hint="cs"/>
          <w:rtl/>
        </w:rPr>
        <w:t xml:space="preserve"> </w:t>
      </w:r>
    </w:p>
    <w:p w14:paraId="2B00B719" w14:textId="77777777" w:rsidR="004B607F" w:rsidRPr="00AF0707" w:rsidRDefault="004B607F" w:rsidP="004B607F">
      <w:pPr>
        <w:rPr>
          <w:rFonts w:cs="Arial"/>
          <w:u w:val="single"/>
          <w:rtl/>
        </w:rPr>
      </w:pPr>
      <w:r w:rsidRPr="00322687">
        <w:rPr>
          <w:rFonts w:cs="Arial" w:hint="cs"/>
          <w:b/>
          <w:bCs/>
          <w:u w:val="single"/>
          <w:rtl/>
        </w:rPr>
        <w:t>עד יחיד</w:t>
      </w:r>
      <w:r>
        <w:rPr>
          <w:rFonts w:cs="Arial" w:hint="cs"/>
          <w:u w:val="single"/>
          <w:rtl/>
        </w:rPr>
        <w:t xml:space="preserve"> מ</w:t>
      </w:r>
      <w:r w:rsidRPr="00AF0707">
        <w:rPr>
          <w:rFonts w:cs="Arial" w:hint="cs"/>
          <w:u w:val="single"/>
          <w:rtl/>
        </w:rPr>
        <w:t xml:space="preserve">ישראל שנתבקש ע"י גוי להעיד על ישראל </w:t>
      </w:r>
      <w:r>
        <w:rPr>
          <w:rFonts w:cs="Arial" w:hint="cs"/>
          <w:u w:val="single"/>
          <w:rtl/>
        </w:rPr>
        <w:t xml:space="preserve">חברו </w:t>
      </w:r>
      <w:r w:rsidRPr="00AF0707">
        <w:rPr>
          <w:rFonts w:cs="Arial" w:hint="cs"/>
          <w:u w:val="single"/>
          <w:rtl/>
        </w:rPr>
        <w:t xml:space="preserve">בדיני </w:t>
      </w:r>
      <w:r w:rsidRPr="00322687">
        <w:rPr>
          <w:rFonts w:cs="Arial" w:hint="cs"/>
          <w:b/>
          <w:bCs/>
          <w:u w:val="single"/>
          <w:rtl/>
        </w:rPr>
        <w:t>דמגיסתא</w:t>
      </w:r>
      <w:r w:rsidRPr="00AF0707">
        <w:rPr>
          <w:rFonts w:cs="Arial" w:hint="cs"/>
          <w:u w:val="single"/>
          <w:rtl/>
        </w:rPr>
        <w:t xml:space="preserve">: </w:t>
      </w:r>
    </w:p>
    <w:p w14:paraId="557D0310" w14:textId="77777777" w:rsidR="004B607F" w:rsidRPr="00536C59" w:rsidRDefault="004B607F" w:rsidP="004B0475">
      <w:pPr>
        <w:pStyle w:val="ac"/>
        <w:numPr>
          <w:ilvl w:val="0"/>
          <w:numId w:val="69"/>
        </w:numPr>
        <w:rPr>
          <w:rFonts w:cs="Arial"/>
          <w:rtl/>
        </w:rPr>
      </w:pPr>
      <w:r w:rsidRPr="00536C59">
        <w:rPr>
          <w:rFonts w:cs="Arial" w:hint="cs"/>
          <w:rtl/>
        </w:rPr>
        <w:t xml:space="preserve">טור- </w:t>
      </w:r>
      <w:r w:rsidRPr="00536C59">
        <w:rPr>
          <w:rFonts w:cs="Arial"/>
          <w:rtl/>
        </w:rPr>
        <w:t xml:space="preserve">בד"א </w:t>
      </w:r>
      <w:r w:rsidRPr="00536C59">
        <w:rPr>
          <w:rFonts w:cs="Arial" w:hint="cs"/>
          <w:sz w:val="16"/>
          <w:szCs w:val="16"/>
          <w:rtl/>
        </w:rPr>
        <w:t>{שישראל חייב להעיד לחברו אפילו הוא יחיד}</w:t>
      </w:r>
      <w:r>
        <w:rPr>
          <w:rFonts w:cs="Arial" w:hint="cs"/>
          <w:rtl/>
        </w:rPr>
        <w:t xml:space="preserve">, </w:t>
      </w:r>
      <w:r w:rsidRPr="00536C59">
        <w:rPr>
          <w:rFonts w:cs="Arial"/>
          <w:rtl/>
        </w:rPr>
        <w:t>בדין שבין ישראל לחבירו</w:t>
      </w:r>
      <w:r>
        <w:rPr>
          <w:rFonts w:cs="Arial" w:hint="cs"/>
          <w:rtl/>
        </w:rPr>
        <w:t>,</w:t>
      </w:r>
      <w:r w:rsidRPr="00536C59">
        <w:rPr>
          <w:rFonts w:cs="Arial"/>
          <w:rtl/>
        </w:rPr>
        <w:t xml:space="preserve"> אבל ב</w:t>
      </w:r>
      <w:r>
        <w:rPr>
          <w:rFonts w:cs="Arial" w:hint="cs"/>
          <w:rtl/>
        </w:rPr>
        <w:t>גוי</w:t>
      </w:r>
      <w:r w:rsidRPr="00536C59">
        <w:rPr>
          <w:rFonts w:cs="Arial"/>
          <w:rtl/>
        </w:rPr>
        <w:t xml:space="preserve"> שתובע לישראל ויש לו ל</w:t>
      </w:r>
      <w:r>
        <w:rPr>
          <w:rFonts w:cs="Arial" w:hint="cs"/>
          <w:rtl/>
        </w:rPr>
        <w:t>גוי</w:t>
      </w:r>
      <w:r w:rsidRPr="00536C59">
        <w:rPr>
          <w:rFonts w:cs="Arial"/>
          <w:rtl/>
        </w:rPr>
        <w:t xml:space="preserve"> עד אחד</w:t>
      </w:r>
      <w:r>
        <w:rPr>
          <w:rFonts w:cs="Arial" w:hint="cs"/>
          <w:rtl/>
        </w:rPr>
        <w:t xml:space="preserve"> -</w:t>
      </w:r>
      <w:r w:rsidRPr="00536C59">
        <w:rPr>
          <w:rFonts w:cs="Arial"/>
          <w:rtl/>
        </w:rPr>
        <w:t xml:space="preserve"> אסור להעידו</w:t>
      </w:r>
      <w:r>
        <w:rPr>
          <w:rFonts w:cs="Arial" w:hint="cs"/>
          <w:rtl/>
        </w:rPr>
        <w:t>,</w:t>
      </w:r>
      <w:r w:rsidRPr="00536C59">
        <w:rPr>
          <w:rFonts w:cs="Arial"/>
          <w:rtl/>
        </w:rPr>
        <w:t xml:space="preserve"> מפני שמפסידו לישראל שלא כדין שה</w:t>
      </w:r>
      <w:r>
        <w:rPr>
          <w:rFonts w:cs="Arial" w:hint="cs"/>
          <w:rtl/>
        </w:rPr>
        <w:t>גוים</w:t>
      </w:r>
      <w:r w:rsidRPr="00536C59">
        <w:rPr>
          <w:rFonts w:cs="Arial"/>
          <w:rtl/>
        </w:rPr>
        <w:t xml:space="preserve"> מוציאין ממון ע</w:t>
      </w:r>
      <w:r>
        <w:rPr>
          <w:rFonts w:cs="Arial" w:hint="cs"/>
          <w:rtl/>
        </w:rPr>
        <w:t>"</w:t>
      </w:r>
      <w:r w:rsidRPr="00536C59">
        <w:rPr>
          <w:rFonts w:cs="Arial"/>
          <w:rtl/>
        </w:rPr>
        <w:t xml:space="preserve">פ עד אחד. </w:t>
      </w:r>
      <w:r w:rsidRPr="008845D0">
        <w:rPr>
          <w:rFonts w:cs="Arial" w:hint="cs"/>
          <w:color w:val="E36C0A" w:themeColor="accent6" w:themeShade="BF"/>
          <w:rtl/>
        </w:rPr>
        <w:t>(וכ"פ בשו"ע)</w:t>
      </w:r>
    </w:p>
    <w:p w14:paraId="37EB5381" w14:textId="77777777" w:rsidR="004B607F" w:rsidRPr="00536C59" w:rsidRDefault="004B607F" w:rsidP="004B607F">
      <w:pPr>
        <w:ind w:left="360"/>
        <w:rPr>
          <w:rFonts w:cs="Arial"/>
          <w:u w:val="dotted"/>
        </w:rPr>
      </w:pPr>
      <w:r w:rsidRPr="00536C59">
        <w:rPr>
          <w:rFonts w:cs="Arial" w:hint="cs"/>
          <w:u w:val="dotted"/>
          <w:rtl/>
        </w:rPr>
        <w:t xml:space="preserve">ומה הדין אם העיד בכל זאת </w:t>
      </w:r>
      <w:r w:rsidRPr="00536C59">
        <w:rPr>
          <w:rFonts w:cs="Arial"/>
          <w:u w:val="dotted"/>
          <w:rtl/>
        </w:rPr>
        <w:t>–</w:t>
      </w:r>
      <w:r w:rsidRPr="00536C59">
        <w:rPr>
          <w:rFonts w:cs="Arial" w:hint="cs"/>
          <w:u w:val="dotted"/>
          <w:rtl/>
        </w:rPr>
        <w:t xml:space="preserve"> האם קונסים אותו ל</w:t>
      </w:r>
      <w:r>
        <w:rPr>
          <w:rFonts w:cs="Arial" w:hint="cs"/>
          <w:u w:val="dotted"/>
          <w:rtl/>
        </w:rPr>
        <w:t>שלם</w:t>
      </w:r>
      <w:r w:rsidRPr="00536C59">
        <w:rPr>
          <w:rFonts w:cs="Arial" w:hint="cs"/>
          <w:u w:val="dotted"/>
          <w:rtl/>
        </w:rPr>
        <w:t xml:space="preserve"> את הממון:</w:t>
      </w:r>
    </w:p>
    <w:p w14:paraId="59EF5BC5" w14:textId="77777777" w:rsidR="004B607F" w:rsidRDefault="004B607F" w:rsidP="004B0475">
      <w:pPr>
        <w:pStyle w:val="ac"/>
        <w:numPr>
          <w:ilvl w:val="0"/>
          <w:numId w:val="69"/>
        </w:numPr>
        <w:rPr>
          <w:rFonts w:cs="Arial"/>
        </w:rPr>
      </w:pPr>
      <w:r w:rsidRPr="00536C59">
        <w:rPr>
          <w:rFonts w:cs="Arial"/>
          <w:rtl/>
        </w:rPr>
        <w:t>הגמ</w:t>
      </w:r>
      <w:r w:rsidRPr="00536C59">
        <w:rPr>
          <w:rFonts w:cs="Arial" w:hint="cs"/>
          <w:rtl/>
        </w:rPr>
        <w:t>"</w:t>
      </w:r>
      <w:r w:rsidRPr="00536C59">
        <w:rPr>
          <w:rFonts w:cs="Arial"/>
          <w:rtl/>
        </w:rPr>
        <w:t xml:space="preserve">ר </w:t>
      </w:r>
      <w:r w:rsidRPr="00536C59">
        <w:rPr>
          <w:rFonts w:cs="Arial" w:hint="cs"/>
          <w:sz w:val="16"/>
          <w:szCs w:val="16"/>
          <w:rtl/>
        </w:rPr>
        <w:t>(</w:t>
      </w:r>
      <w:r w:rsidRPr="00536C59">
        <w:rPr>
          <w:rFonts w:cs="Arial"/>
          <w:sz w:val="16"/>
          <w:szCs w:val="16"/>
          <w:rtl/>
        </w:rPr>
        <w:t>פ</w:t>
      </w:r>
      <w:r w:rsidRPr="00536C59">
        <w:rPr>
          <w:rFonts w:cs="Arial" w:hint="cs"/>
          <w:sz w:val="16"/>
          <w:szCs w:val="16"/>
          <w:rtl/>
        </w:rPr>
        <w:t>"</w:t>
      </w:r>
      <w:r w:rsidRPr="00536C59">
        <w:rPr>
          <w:rFonts w:cs="Arial"/>
          <w:sz w:val="16"/>
          <w:szCs w:val="16"/>
          <w:rtl/>
        </w:rPr>
        <w:t>ט ד</w:t>
      </w:r>
      <w:r w:rsidRPr="00536C59">
        <w:rPr>
          <w:rFonts w:cs="Arial" w:hint="cs"/>
          <w:sz w:val="16"/>
          <w:szCs w:val="16"/>
          <w:rtl/>
        </w:rPr>
        <w:t>ב"ק</w:t>
      </w:r>
      <w:r w:rsidRPr="00536C59">
        <w:rPr>
          <w:rFonts w:cs="Arial"/>
          <w:sz w:val="16"/>
          <w:szCs w:val="16"/>
          <w:rtl/>
        </w:rPr>
        <w:t xml:space="preserve"> סי' ריב)</w:t>
      </w:r>
      <w:r w:rsidRPr="00536C59">
        <w:rPr>
          <w:rFonts w:cs="Arial" w:hint="cs"/>
          <w:rtl/>
        </w:rPr>
        <w:t xml:space="preserve">- </w:t>
      </w:r>
      <w:r w:rsidRPr="00536C59">
        <w:rPr>
          <w:rFonts w:cs="Arial"/>
          <w:rtl/>
        </w:rPr>
        <w:t xml:space="preserve">משמע מהאי סוגיא שאם העיד עד אחד באתרא דמפקי ממונא אפומא דחד סהדא </w:t>
      </w:r>
      <w:r>
        <w:rPr>
          <w:rFonts w:cs="Arial" w:hint="cs"/>
          <w:rtl/>
        </w:rPr>
        <w:t xml:space="preserve">- </w:t>
      </w:r>
      <w:r w:rsidRPr="00536C59">
        <w:rPr>
          <w:rFonts w:cs="Arial"/>
          <w:rtl/>
        </w:rPr>
        <w:t>לא קנסינן ליה לשלם ממון</w:t>
      </w:r>
      <w:r>
        <w:rPr>
          <w:rFonts w:cs="Arial" w:hint="cs"/>
          <w:rtl/>
        </w:rPr>
        <w:t>,</w:t>
      </w:r>
      <w:r w:rsidRPr="00536C59">
        <w:rPr>
          <w:rFonts w:cs="Arial"/>
          <w:rtl/>
        </w:rPr>
        <w:t xml:space="preserve"> אלא משמתינן ליה בשביל דחציף</w:t>
      </w:r>
      <w:r>
        <w:rPr>
          <w:rStyle w:val="ab"/>
          <w:rFonts w:cs="Arial"/>
          <w:rtl/>
        </w:rPr>
        <w:footnoteReference w:id="1389"/>
      </w:r>
      <w:r w:rsidRPr="00536C59">
        <w:rPr>
          <w:rFonts w:cs="Arial" w:hint="cs"/>
          <w:rtl/>
        </w:rPr>
        <w:t>.</w:t>
      </w:r>
      <w:r>
        <w:rPr>
          <w:rFonts w:cs="Arial" w:hint="cs"/>
          <w:rtl/>
        </w:rPr>
        <w:t xml:space="preserve"> </w:t>
      </w:r>
      <w:r w:rsidRPr="008845D0">
        <w:rPr>
          <w:rFonts w:cs="Arial" w:hint="cs"/>
          <w:color w:val="00B0F0"/>
          <w:rtl/>
        </w:rPr>
        <w:t>(וכ"פ הרמ"א)</w:t>
      </w:r>
    </w:p>
    <w:p w14:paraId="4EA08196" w14:textId="77777777" w:rsidR="004B607F" w:rsidRPr="00D879F3" w:rsidRDefault="004B607F" w:rsidP="004B607F">
      <w:pPr>
        <w:rPr>
          <w:rFonts w:cs="Arial"/>
        </w:rPr>
      </w:pPr>
      <w:r w:rsidRPr="00322687">
        <w:rPr>
          <w:rFonts w:cs="Arial" w:hint="cs"/>
          <w:b/>
          <w:bCs/>
          <w:u w:val="single"/>
          <w:rtl/>
        </w:rPr>
        <w:lastRenderedPageBreak/>
        <w:t>עד יחיד</w:t>
      </w:r>
      <w:r>
        <w:rPr>
          <w:rFonts w:cs="Arial" w:hint="cs"/>
          <w:u w:val="single"/>
          <w:rtl/>
        </w:rPr>
        <w:t xml:space="preserve"> מ</w:t>
      </w:r>
      <w:r w:rsidRPr="00AF0707">
        <w:rPr>
          <w:rFonts w:cs="Arial" w:hint="cs"/>
          <w:u w:val="single"/>
          <w:rtl/>
        </w:rPr>
        <w:t xml:space="preserve">ישראל שנתבקש ע"י גוי להעיד על ישראל </w:t>
      </w:r>
      <w:r>
        <w:rPr>
          <w:rFonts w:cs="Arial" w:hint="cs"/>
          <w:u w:val="single"/>
          <w:rtl/>
        </w:rPr>
        <w:t xml:space="preserve">חברו </w:t>
      </w:r>
      <w:r w:rsidRPr="00AF0707">
        <w:rPr>
          <w:rFonts w:cs="Arial" w:hint="cs"/>
          <w:u w:val="single"/>
          <w:rtl/>
        </w:rPr>
        <w:t xml:space="preserve">בדיני </w:t>
      </w:r>
      <w:r>
        <w:rPr>
          <w:rFonts w:cs="Arial" w:hint="cs"/>
          <w:b/>
          <w:bCs/>
          <w:u w:val="single"/>
          <w:rtl/>
        </w:rPr>
        <w:t>בי דוואר</w:t>
      </w:r>
      <w:r w:rsidRPr="00AF0707">
        <w:rPr>
          <w:rFonts w:cs="Arial" w:hint="cs"/>
          <w:u w:val="single"/>
          <w:rtl/>
        </w:rPr>
        <w:t>:</w:t>
      </w:r>
    </w:p>
    <w:p w14:paraId="7E983C58" w14:textId="77777777" w:rsidR="004B607F" w:rsidRPr="00536C59" w:rsidRDefault="004B607F" w:rsidP="004B0475">
      <w:pPr>
        <w:pStyle w:val="ac"/>
        <w:numPr>
          <w:ilvl w:val="0"/>
          <w:numId w:val="69"/>
        </w:numPr>
        <w:rPr>
          <w:rFonts w:cs="Arial"/>
          <w:rtl/>
        </w:rPr>
      </w:pPr>
      <w:r w:rsidRPr="00835355">
        <w:rPr>
          <w:rFonts w:cs="Arial"/>
          <w:rtl/>
        </w:rPr>
        <w:t xml:space="preserve">רא"ש </w:t>
      </w:r>
      <w:r w:rsidRPr="00835355">
        <w:rPr>
          <w:rFonts w:cs="Arial"/>
          <w:sz w:val="16"/>
          <w:szCs w:val="16"/>
          <w:rtl/>
        </w:rPr>
        <w:t>(סי' יד)</w:t>
      </w:r>
      <w:r>
        <w:rPr>
          <w:rFonts w:cs="Arial" w:hint="cs"/>
          <w:rtl/>
        </w:rPr>
        <w:t>- ו</w:t>
      </w:r>
      <w:r w:rsidRPr="00D879F3">
        <w:rPr>
          <w:rFonts w:cs="Arial"/>
          <w:rtl/>
        </w:rPr>
        <w:t xml:space="preserve">ה"מ </w:t>
      </w:r>
      <w:r>
        <w:rPr>
          <w:rFonts w:cs="Arial" w:hint="cs"/>
          <w:sz w:val="16"/>
          <w:szCs w:val="16"/>
          <w:rtl/>
        </w:rPr>
        <w:t xml:space="preserve">{שאסור לו להעיד לגוי היינו-} </w:t>
      </w:r>
      <w:r w:rsidRPr="00D879F3">
        <w:rPr>
          <w:rFonts w:cs="Arial"/>
          <w:rtl/>
        </w:rPr>
        <w:t>במגיסתא אבל בי דוואר אינהו נמי אמומתא שדי להו.</w:t>
      </w:r>
      <w:r w:rsidRPr="00D879F3">
        <w:rPr>
          <w:rFonts w:cs="Arial" w:hint="cs"/>
          <w:color w:val="E36C0A" w:themeColor="accent6" w:themeShade="BF"/>
          <w:rtl/>
        </w:rPr>
        <w:t xml:space="preserve"> </w:t>
      </w:r>
      <w:r w:rsidRPr="008845D0">
        <w:rPr>
          <w:rFonts w:cs="Arial" w:hint="cs"/>
          <w:color w:val="E36C0A" w:themeColor="accent6" w:themeShade="BF"/>
          <w:rtl/>
        </w:rPr>
        <w:t>(וכ"פ בשו"ע)</w:t>
      </w:r>
      <w:r w:rsidRPr="008F73E6">
        <w:rPr>
          <w:rFonts w:cs="Arial" w:hint="cs"/>
          <w:color w:val="00B0F0"/>
          <w:rtl/>
        </w:rPr>
        <w:t xml:space="preserve"> </w:t>
      </w:r>
      <w:r w:rsidRPr="008845D0">
        <w:rPr>
          <w:rFonts w:cs="Arial" w:hint="cs"/>
          <w:color w:val="00B0F0"/>
          <w:rtl/>
        </w:rPr>
        <w:t>(וכ"פ הרמ"א</w:t>
      </w:r>
      <w:r>
        <w:rPr>
          <w:rFonts w:cs="Arial" w:hint="cs"/>
          <w:color w:val="00B0F0"/>
          <w:sz w:val="16"/>
          <w:szCs w:val="16"/>
          <w:rtl/>
        </w:rPr>
        <w:t xml:space="preserve"> </w:t>
      </w:r>
      <w:r>
        <w:rPr>
          <w:rFonts w:cs="Arial" w:hint="cs"/>
          <w:color w:val="000000" w:themeColor="text1"/>
          <w:sz w:val="16"/>
          <w:szCs w:val="16"/>
          <w:rtl/>
        </w:rPr>
        <w:t>[בסע' הבא]</w:t>
      </w:r>
      <w:r w:rsidRPr="008845D0">
        <w:rPr>
          <w:rFonts w:cs="Arial" w:hint="cs"/>
          <w:color w:val="00B0F0"/>
          <w:rtl/>
        </w:rPr>
        <w:t>)</w:t>
      </w:r>
    </w:p>
    <w:p w14:paraId="314FE88B" w14:textId="77777777" w:rsidR="004B607F" w:rsidRDefault="004B607F" w:rsidP="004B607F">
      <w:pPr>
        <w:rPr>
          <w:rFonts w:cs="Arial"/>
          <w:rtl/>
        </w:rPr>
      </w:pPr>
      <w:r w:rsidRPr="00835355">
        <w:rPr>
          <w:rFonts w:cs="Arial" w:hint="cs"/>
          <w:u w:val="single"/>
          <w:rtl/>
        </w:rPr>
        <w:t xml:space="preserve">אדם חשוב שהגוים סומכים עליו כשנים </w:t>
      </w:r>
      <w:r w:rsidRPr="00835355">
        <w:rPr>
          <w:rFonts w:cs="Arial"/>
          <w:u w:val="single"/>
          <w:rtl/>
        </w:rPr>
        <w:t>–</w:t>
      </w:r>
      <w:r w:rsidRPr="00835355">
        <w:rPr>
          <w:rFonts w:cs="Arial" w:hint="cs"/>
          <w:u w:val="single"/>
          <w:rtl/>
        </w:rPr>
        <w:t xml:space="preserve"> האם </w:t>
      </w:r>
      <w:r>
        <w:rPr>
          <w:rFonts w:cs="Arial" w:hint="cs"/>
          <w:u w:val="single"/>
          <w:rtl/>
        </w:rPr>
        <w:t>יכול</w:t>
      </w:r>
      <w:r w:rsidRPr="00835355">
        <w:rPr>
          <w:rFonts w:cs="Arial" w:hint="cs"/>
          <w:u w:val="single"/>
          <w:rtl/>
        </w:rPr>
        <w:t xml:space="preserve"> להעיד אצלם כשקו</w:t>
      </w:r>
      <w:r>
        <w:rPr>
          <w:rFonts w:cs="Arial" w:hint="cs"/>
          <w:u w:val="single"/>
          <w:rtl/>
        </w:rPr>
        <w:t>ר</w:t>
      </w:r>
      <w:r w:rsidRPr="00835355">
        <w:rPr>
          <w:rFonts w:cs="Arial" w:hint="cs"/>
          <w:u w:val="single"/>
          <w:rtl/>
        </w:rPr>
        <w:t>אים לו</w:t>
      </w:r>
      <w:r>
        <w:rPr>
          <w:rFonts w:cs="Arial" w:hint="cs"/>
          <w:u w:val="single"/>
          <w:rtl/>
        </w:rPr>
        <w:t xml:space="preserve"> להעיד</w:t>
      </w:r>
      <w:r w:rsidRPr="00835355">
        <w:rPr>
          <w:rFonts w:cs="Arial" w:hint="cs"/>
          <w:u w:val="single"/>
          <w:rtl/>
        </w:rPr>
        <w:t>:</w:t>
      </w:r>
    </w:p>
    <w:p w14:paraId="6198D79D" w14:textId="77777777" w:rsidR="004B607F" w:rsidRDefault="004B607F" w:rsidP="004B0475">
      <w:pPr>
        <w:pStyle w:val="ac"/>
        <w:numPr>
          <w:ilvl w:val="0"/>
          <w:numId w:val="69"/>
        </w:numPr>
        <w:rPr>
          <w:rFonts w:cs="Arial"/>
        </w:rPr>
      </w:pPr>
      <w:r w:rsidRPr="00835355">
        <w:rPr>
          <w:rFonts w:cs="Arial"/>
          <w:rtl/>
        </w:rPr>
        <w:t xml:space="preserve">רא"ש </w:t>
      </w:r>
      <w:r w:rsidRPr="00835355">
        <w:rPr>
          <w:rFonts w:cs="Arial"/>
          <w:sz w:val="16"/>
          <w:szCs w:val="16"/>
          <w:rtl/>
        </w:rPr>
        <w:t>(סי' יד)</w:t>
      </w:r>
      <w:r>
        <w:rPr>
          <w:rFonts w:cs="Arial" w:hint="cs"/>
          <w:rtl/>
        </w:rPr>
        <w:t xml:space="preserve"> וטור</w:t>
      </w:r>
      <w:r>
        <w:rPr>
          <w:rFonts w:cs="Arial" w:hint="cs"/>
          <w:sz w:val="16"/>
          <w:szCs w:val="16"/>
          <w:rtl/>
        </w:rPr>
        <w:t xml:space="preserve"> (כ"כ הב"י בשמו)</w:t>
      </w:r>
      <w:r w:rsidRPr="00835355">
        <w:rPr>
          <w:rFonts w:cs="Arial" w:hint="cs"/>
          <w:rtl/>
        </w:rPr>
        <w:t>-</w:t>
      </w:r>
      <w:r w:rsidRPr="00835355">
        <w:rPr>
          <w:rFonts w:cs="Arial"/>
          <w:rtl/>
        </w:rPr>
        <w:t xml:space="preserve"> כיון דלא איפשיטא </w:t>
      </w:r>
      <w:r>
        <w:rPr>
          <w:rFonts w:cs="Arial" w:hint="cs"/>
          <w:rtl/>
        </w:rPr>
        <w:t xml:space="preserve">- </w:t>
      </w:r>
      <w:r w:rsidRPr="00835355">
        <w:rPr>
          <w:rFonts w:cs="Arial"/>
          <w:rtl/>
        </w:rPr>
        <w:t>אזיל ומסהיד</w:t>
      </w:r>
      <w:r>
        <w:rPr>
          <w:rFonts w:cs="Arial" w:hint="cs"/>
          <w:sz w:val="16"/>
          <w:szCs w:val="16"/>
          <w:rtl/>
        </w:rPr>
        <w:t xml:space="preserve"> (ל' הרא"ש)</w:t>
      </w:r>
      <w:r>
        <w:rPr>
          <w:rStyle w:val="ab"/>
          <w:rFonts w:cs="Arial"/>
          <w:rtl/>
        </w:rPr>
        <w:footnoteReference w:id="1390"/>
      </w:r>
      <w:r w:rsidRPr="00835355">
        <w:rPr>
          <w:rFonts w:cs="Arial"/>
          <w:rtl/>
        </w:rPr>
        <w:t>.</w:t>
      </w:r>
      <w:r>
        <w:rPr>
          <w:rFonts w:cs="Arial" w:hint="cs"/>
          <w:rtl/>
        </w:rPr>
        <w:t xml:space="preserve"> (וכ"כ הסמ"ע</w:t>
      </w:r>
      <w:r>
        <w:rPr>
          <w:rStyle w:val="ab"/>
          <w:rFonts w:cs="Arial"/>
          <w:rtl/>
        </w:rPr>
        <w:footnoteReference w:id="1391"/>
      </w:r>
      <w:r>
        <w:rPr>
          <w:rFonts w:cs="Arial" w:hint="cs"/>
          <w:sz w:val="16"/>
          <w:szCs w:val="16"/>
          <w:rtl/>
        </w:rPr>
        <w:t xml:space="preserve"> [סקכ"ה]</w:t>
      </w:r>
      <w:r>
        <w:rPr>
          <w:rFonts w:cs="Arial" w:hint="cs"/>
          <w:rtl/>
        </w:rPr>
        <w:t>)</w:t>
      </w:r>
    </w:p>
    <w:p w14:paraId="3F9487F0" w14:textId="77777777" w:rsidR="004B607F" w:rsidRDefault="004B607F" w:rsidP="004B607F">
      <w:pPr>
        <w:rPr>
          <w:rFonts w:cs="Arial"/>
          <w:rtl/>
        </w:rPr>
      </w:pPr>
      <w:r w:rsidRPr="00F62FD6">
        <w:rPr>
          <w:rFonts w:cs="Arial" w:hint="cs"/>
          <w:u w:val="single"/>
          <w:rtl/>
        </w:rPr>
        <w:t xml:space="preserve">גוי שייחד </w:t>
      </w:r>
      <w:r>
        <w:rPr>
          <w:rFonts w:cs="Arial" w:hint="cs"/>
          <w:u w:val="single"/>
          <w:rtl/>
        </w:rPr>
        <w:t>ל</w:t>
      </w:r>
      <w:r w:rsidRPr="00F62FD6">
        <w:rPr>
          <w:rFonts w:cs="Arial" w:hint="cs"/>
          <w:u w:val="single"/>
          <w:rtl/>
        </w:rPr>
        <w:t>ישראל לה</w:t>
      </w:r>
      <w:r>
        <w:rPr>
          <w:rFonts w:cs="Arial" w:hint="cs"/>
          <w:u w:val="single"/>
          <w:rtl/>
        </w:rPr>
        <w:t>יות</w:t>
      </w:r>
      <w:r w:rsidRPr="00F62FD6">
        <w:rPr>
          <w:rFonts w:cs="Arial" w:hint="cs"/>
          <w:u w:val="single"/>
          <w:rtl/>
        </w:rPr>
        <w:t xml:space="preserve"> לו</w:t>
      </w:r>
      <w:r>
        <w:rPr>
          <w:rFonts w:cs="Arial" w:hint="cs"/>
          <w:u w:val="single"/>
          <w:rtl/>
        </w:rPr>
        <w:t xml:space="preserve"> עד </w:t>
      </w:r>
      <w:r>
        <w:rPr>
          <w:rFonts w:cs="Arial"/>
          <w:u w:val="single"/>
          <w:rtl/>
        </w:rPr>
        <w:t>–</w:t>
      </w:r>
      <w:r>
        <w:rPr>
          <w:rFonts w:cs="Arial" w:hint="cs"/>
          <w:u w:val="single"/>
          <w:rtl/>
        </w:rPr>
        <w:t xml:space="preserve"> ואין עוד עד מלבדו</w:t>
      </w:r>
      <w:r w:rsidRPr="00F62FD6">
        <w:rPr>
          <w:rFonts w:cs="Arial" w:hint="cs"/>
          <w:u w:val="single"/>
          <w:rtl/>
        </w:rPr>
        <w:t>:</w:t>
      </w:r>
    </w:p>
    <w:p w14:paraId="402FDD3A" w14:textId="77777777" w:rsidR="004B607F" w:rsidRDefault="004B607F" w:rsidP="004B0475">
      <w:pPr>
        <w:pStyle w:val="ac"/>
        <w:numPr>
          <w:ilvl w:val="0"/>
          <w:numId w:val="69"/>
        </w:numPr>
        <w:rPr>
          <w:rFonts w:cs="Arial"/>
        </w:rPr>
      </w:pPr>
      <w:r w:rsidRPr="00F62FD6">
        <w:rPr>
          <w:rFonts w:cs="Arial" w:hint="cs"/>
          <w:rtl/>
        </w:rPr>
        <w:t>רא"ש</w:t>
      </w:r>
      <w:r w:rsidRPr="00F62FD6">
        <w:rPr>
          <w:rFonts w:cs="Arial" w:hint="cs"/>
          <w:sz w:val="16"/>
          <w:szCs w:val="16"/>
          <w:rtl/>
        </w:rPr>
        <w:t xml:space="preserve"> (שם)</w:t>
      </w:r>
      <w:r w:rsidRPr="00F62FD6">
        <w:rPr>
          <w:rFonts w:cs="Arial" w:hint="cs"/>
          <w:rtl/>
        </w:rPr>
        <w:t xml:space="preserve"> וטור- </w:t>
      </w:r>
      <w:r w:rsidRPr="00F62FD6">
        <w:rPr>
          <w:rFonts w:cs="Arial"/>
          <w:rtl/>
        </w:rPr>
        <w:t>כל זה בשלא יחדו ה</w:t>
      </w:r>
      <w:r w:rsidRPr="00F62FD6">
        <w:rPr>
          <w:rFonts w:cs="Arial" w:hint="cs"/>
          <w:rtl/>
        </w:rPr>
        <w:t>גוי</w:t>
      </w:r>
      <w:r w:rsidRPr="00F62FD6">
        <w:rPr>
          <w:rFonts w:cs="Arial"/>
          <w:rtl/>
        </w:rPr>
        <w:t xml:space="preserve"> אותו לעד</w:t>
      </w:r>
      <w:r>
        <w:rPr>
          <w:rFonts w:cs="Arial" w:hint="cs"/>
          <w:rtl/>
        </w:rPr>
        <w:t>,</w:t>
      </w:r>
      <w:r w:rsidRPr="00F62FD6">
        <w:rPr>
          <w:rFonts w:cs="Arial"/>
          <w:rtl/>
        </w:rPr>
        <w:t xml:space="preserve"> אבל אם מתחיל</w:t>
      </w:r>
      <w:r w:rsidRPr="00F62FD6">
        <w:rPr>
          <w:rFonts w:cs="Arial" w:hint="cs"/>
          <w:rtl/>
        </w:rPr>
        <w:t>ה</w:t>
      </w:r>
      <w:r w:rsidRPr="00F62FD6">
        <w:rPr>
          <w:rFonts w:cs="Arial"/>
          <w:rtl/>
        </w:rPr>
        <w:t xml:space="preserve"> יחד ה</w:t>
      </w:r>
      <w:r w:rsidRPr="00F62FD6">
        <w:rPr>
          <w:rFonts w:cs="Arial" w:hint="cs"/>
          <w:rtl/>
        </w:rPr>
        <w:t>גוי</w:t>
      </w:r>
      <w:r w:rsidRPr="00F62FD6">
        <w:rPr>
          <w:rFonts w:cs="Arial"/>
          <w:rtl/>
        </w:rPr>
        <w:t xml:space="preserve"> לישראל להיות עד </w:t>
      </w:r>
      <w:r>
        <w:rPr>
          <w:rFonts w:cs="Arial" w:hint="cs"/>
          <w:rtl/>
        </w:rPr>
        <w:t xml:space="preserve">- </w:t>
      </w:r>
      <w:r w:rsidRPr="00F62FD6">
        <w:rPr>
          <w:rFonts w:cs="Arial"/>
          <w:rtl/>
        </w:rPr>
        <w:t xml:space="preserve">איכא חלול </w:t>
      </w:r>
      <w:r>
        <w:rPr>
          <w:rFonts w:cs="Arial" w:hint="cs"/>
          <w:rtl/>
        </w:rPr>
        <w:t>ה'</w:t>
      </w:r>
      <w:r w:rsidRPr="00F62FD6">
        <w:rPr>
          <w:rFonts w:cs="Arial"/>
          <w:rtl/>
        </w:rPr>
        <w:t xml:space="preserve"> אם לא יעידו</w:t>
      </w:r>
      <w:r>
        <w:rPr>
          <w:rFonts w:cs="Arial" w:hint="cs"/>
          <w:rtl/>
        </w:rPr>
        <w:t>.</w:t>
      </w:r>
      <w:r w:rsidRPr="00F62FD6">
        <w:rPr>
          <w:rFonts w:cs="Arial"/>
          <w:rtl/>
        </w:rPr>
        <w:t xml:space="preserve"> כ"ש בזה</w:t>
      </w:r>
      <w:r>
        <w:rPr>
          <w:rFonts w:cs="Arial" w:hint="cs"/>
          <w:rtl/>
        </w:rPr>
        <w:t>"</w:t>
      </w:r>
      <w:r w:rsidRPr="00F62FD6">
        <w:rPr>
          <w:rFonts w:cs="Arial"/>
          <w:rtl/>
        </w:rPr>
        <w:t xml:space="preserve">ז שחק לישראל הוא שאין </w:t>
      </w:r>
      <w:r w:rsidRPr="00F62FD6">
        <w:rPr>
          <w:rFonts w:cs="Arial" w:hint="cs"/>
          <w:rtl/>
        </w:rPr>
        <w:t>גוי</w:t>
      </w:r>
      <w:r w:rsidRPr="00F62FD6">
        <w:rPr>
          <w:rFonts w:cs="Arial"/>
          <w:rtl/>
        </w:rPr>
        <w:t xml:space="preserve"> נאמן להעיד על ישראל אם לא שיהיה ישראל עמו</w:t>
      </w:r>
      <w:r>
        <w:rPr>
          <w:rFonts w:cs="Arial" w:hint="cs"/>
          <w:rtl/>
        </w:rPr>
        <w:t>,</w:t>
      </w:r>
      <w:r w:rsidRPr="00F62FD6">
        <w:rPr>
          <w:rFonts w:cs="Arial"/>
          <w:rtl/>
        </w:rPr>
        <w:t xml:space="preserve"> ואם ישראל יכחד עדותו יבטלו זה החק ויאמינו ל</w:t>
      </w:r>
      <w:r>
        <w:rPr>
          <w:rFonts w:cs="Arial" w:hint="cs"/>
          <w:rtl/>
        </w:rPr>
        <w:t>גוי</w:t>
      </w:r>
      <w:r w:rsidRPr="00F62FD6">
        <w:rPr>
          <w:rFonts w:cs="Arial"/>
          <w:rtl/>
        </w:rPr>
        <w:t xml:space="preserve"> להעיד על ישראל</w:t>
      </w:r>
      <w:r>
        <w:rPr>
          <w:rFonts w:cs="Arial" w:hint="cs"/>
          <w:sz w:val="16"/>
          <w:szCs w:val="16"/>
          <w:rtl/>
        </w:rPr>
        <w:t xml:space="preserve"> (ל' הטור)</w:t>
      </w:r>
      <w:r w:rsidRPr="00F62FD6">
        <w:rPr>
          <w:rFonts w:cs="Arial" w:hint="cs"/>
          <w:rtl/>
        </w:rPr>
        <w:t>.</w:t>
      </w:r>
      <w:r w:rsidRPr="00F62FD6">
        <w:rPr>
          <w:rFonts w:cs="Arial"/>
          <w:rtl/>
        </w:rPr>
        <w:t xml:space="preserve"> </w:t>
      </w:r>
      <w:r w:rsidRPr="008845D0">
        <w:rPr>
          <w:rFonts w:cs="Arial" w:hint="cs"/>
          <w:color w:val="E36C0A" w:themeColor="accent6" w:themeShade="BF"/>
          <w:rtl/>
        </w:rPr>
        <w:t>(וכ"פ בשו"ע)</w:t>
      </w:r>
      <w:r>
        <w:rPr>
          <w:rFonts w:cs="Arial" w:hint="cs"/>
          <w:color w:val="00B0F0"/>
          <w:rtl/>
        </w:rPr>
        <w:t xml:space="preserve"> </w:t>
      </w:r>
      <w:r w:rsidRPr="008845D0">
        <w:rPr>
          <w:rFonts w:cs="Arial" w:hint="cs"/>
          <w:color w:val="00B0F0"/>
          <w:rtl/>
        </w:rPr>
        <w:t>(וכ"פ הרמ"א)</w:t>
      </w:r>
    </w:p>
    <w:p w14:paraId="0746C826" w14:textId="77777777" w:rsidR="004B607F" w:rsidRPr="008845D0" w:rsidRDefault="004B607F" w:rsidP="004B607F">
      <w:pPr>
        <w:rPr>
          <w:rFonts w:cs="Arial"/>
        </w:rPr>
      </w:pPr>
      <w:r w:rsidRPr="008845D0">
        <w:rPr>
          <w:rFonts w:cs="Arial"/>
          <w:u w:val="single"/>
          <w:rtl/>
        </w:rPr>
        <w:t>שני יהודים שהכו זה את זה</w:t>
      </w:r>
      <w:r>
        <w:rPr>
          <w:rFonts w:cs="Arial" w:hint="cs"/>
          <w:u w:val="single"/>
          <w:rtl/>
        </w:rPr>
        <w:t>,</w:t>
      </w:r>
      <w:r w:rsidRPr="008845D0">
        <w:rPr>
          <w:rFonts w:cs="Arial"/>
          <w:u w:val="single"/>
          <w:rtl/>
        </w:rPr>
        <w:t xml:space="preserve"> והלך השלטון בבית הכנסת וצוה לקהל לגזור חרם</w:t>
      </w:r>
      <w:r w:rsidRPr="008845D0">
        <w:rPr>
          <w:rFonts w:cs="Arial" w:hint="cs"/>
          <w:u w:val="single"/>
          <w:rtl/>
        </w:rPr>
        <w:t>:</w:t>
      </w:r>
      <w:r>
        <w:rPr>
          <w:rFonts w:cs="Arial" w:hint="cs"/>
          <w:rtl/>
        </w:rPr>
        <w:t xml:space="preserve"> </w:t>
      </w:r>
      <w:r w:rsidRPr="008845D0">
        <w:rPr>
          <w:rFonts w:cs="Arial" w:hint="cs"/>
          <w:sz w:val="16"/>
          <w:szCs w:val="16"/>
          <w:rtl/>
        </w:rPr>
        <w:t>(דרכ"מ אות ה)</w:t>
      </w:r>
    </w:p>
    <w:p w14:paraId="4179179F" w14:textId="77777777" w:rsidR="004B607F" w:rsidRPr="00F62FD6" w:rsidRDefault="004B607F" w:rsidP="004B0475">
      <w:pPr>
        <w:pStyle w:val="ac"/>
        <w:numPr>
          <w:ilvl w:val="0"/>
          <w:numId w:val="69"/>
        </w:numPr>
        <w:rPr>
          <w:rFonts w:cs="Arial"/>
          <w:rtl/>
        </w:rPr>
      </w:pPr>
      <w:r w:rsidRPr="008A4067">
        <w:rPr>
          <w:rFonts w:cs="Arial"/>
          <w:rtl/>
        </w:rPr>
        <w:t xml:space="preserve">אגודה </w:t>
      </w:r>
      <w:r w:rsidRPr="008845D0">
        <w:rPr>
          <w:rFonts w:cs="Arial"/>
          <w:sz w:val="16"/>
          <w:szCs w:val="16"/>
          <w:rtl/>
        </w:rPr>
        <w:t>(</w:t>
      </w:r>
      <w:r w:rsidRPr="008845D0">
        <w:rPr>
          <w:rFonts w:cs="Arial" w:hint="cs"/>
          <w:sz w:val="16"/>
          <w:szCs w:val="16"/>
          <w:rtl/>
        </w:rPr>
        <w:t xml:space="preserve">פ' </w:t>
      </w:r>
      <w:r w:rsidRPr="008845D0">
        <w:rPr>
          <w:rFonts w:cs="Arial"/>
          <w:sz w:val="16"/>
          <w:szCs w:val="16"/>
          <w:rtl/>
        </w:rPr>
        <w:t>הגוזל בתרא</w:t>
      </w:r>
      <w:r w:rsidRPr="008845D0">
        <w:rPr>
          <w:rFonts w:cs="Arial" w:hint="cs"/>
          <w:sz w:val="16"/>
          <w:szCs w:val="16"/>
          <w:rtl/>
        </w:rPr>
        <w:t xml:space="preserve">, חידושים </w:t>
      </w:r>
      <w:r w:rsidRPr="008845D0">
        <w:rPr>
          <w:rFonts w:cs="Arial"/>
          <w:sz w:val="16"/>
          <w:szCs w:val="16"/>
          <w:rtl/>
        </w:rPr>
        <w:t>סי' קלז)</w:t>
      </w:r>
      <w:r>
        <w:rPr>
          <w:rFonts w:cs="Arial" w:hint="cs"/>
          <w:rtl/>
        </w:rPr>
        <w:t xml:space="preserve">- </w:t>
      </w:r>
      <w:r w:rsidRPr="008845D0">
        <w:rPr>
          <w:rFonts w:cs="Arial"/>
          <w:rtl/>
        </w:rPr>
        <w:t xml:space="preserve">נמצא בשם הרבי מאיר </w:t>
      </w:r>
      <w:r w:rsidRPr="008845D0">
        <w:rPr>
          <w:rFonts w:cs="Arial" w:hint="cs"/>
          <w:sz w:val="16"/>
          <w:szCs w:val="16"/>
          <w:rtl/>
        </w:rPr>
        <w:t>(</w:t>
      </w:r>
      <w:r w:rsidRPr="008845D0">
        <w:rPr>
          <w:rFonts w:cs="Arial"/>
          <w:sz w:val="16"/>
          <w:szCs w:val="16"/>
          <w:rtl/>
        </w:rPr>
        <w:t>נוסח מהר</w:t>
      </w:r>
      <w:r>
        <w:rPr>
          <w:rFonts w:cs="Arial" w:hint="cs"/>
          <w:sz w:val="16"/>
          <w:szCs w:val="16"/>
          <w:rtl/>
        </w:rPr>
        <w:t>י"ו</w:t>
      </w:r>
      <w:r w:rsidRPr="008845D0">
        <w:rPr>
          <w:rFonts w:cs="Arial"/>
          <w:sz w:val="16"/>
          <w:szCs w:val="16"/>
          <w:rtl/>
        </w:rPr>
        <w:t>, נמצא בשם גדולים</w:t>
      </w:r>
      <w:r>
        <w:rPr>
          <w:rFonts w:cs="Arial" w:hint="cs"/>
          <w:sz w:val="16"/>
          <w:szCs w:val="16"/>
          <w:rtl/>
        </w:rPr>
        <w:t>)</w:t>
      </w:r>
      <w:r w:rsidRPr="008845D0">
        <w:rPr>
          <w:rFonts w:cs="Arial"/>
          <w:rtl/>
        </w:rPr>
        <w:t xml:space="preserve"> שני יהודים שהכו זה את זה</w:t>
      </w:r>
      <w:r>
        <w:rPr>
          <w:rFonts w:cs="Arial" w:hint="cs"/>
          <w:rtl/>
        </w:rPr>
        <w:t>,</w:t>
      </w:r>
      <w:r w:rsidRPr="008845D0">
        <w:rPr>
          <w:rFonts w:cs="Arial"/>
          <w:rtl/>
        </w:rPr>
        <w:t xml:space="preserve"> והלך השלטון בבית הכנסת וצוה לקהל לגזור חרם</w:t>
      </w:r>
      <w:r>
        <w:rPr>
          <w:rFonts w:cs="Arial" w:hint="cs"/>
          <w:sz w:val="16"/>
          <w:szCs w:val="16"/>
          <w:rtl/>
        </w:rPr>
        <w:t xml:space="preserve"> {שמי שיודע עדות בדבר, שיעיד}</w:t>
      </w:r>
      <w:r w:rsidRPr="008845D0">
        <w:rPr>
          <w:rFonts w:cs="Arial"/>
          <w:rtl/>
        </w:rPr>
        <w:t xml:space="preserve"> </w:t>
      </w:r>
      <w:r>
        <w:rPr>
          <w:rFonts w:cs="Arial" w:hint="cs"/>
          <w:rtl/>
        </w:rPr>
        <w:t xml:space="preserve">- </w:t>
      </w:r>
      <w:r w:rsidRPr="008845D0">
        <w:rPr>
          <w:rFonts w:cs="Arial"/>
          <w:rtl/>
        </w:rPr>
        <w:t xml:space="preserve">אין להם לגזור </w:t>
      </w:r>
      <w:r>
        <w:rPr>
          <w:rFonts w:cs="Arial" w:hint="cs"/>
          <w:sz w:val="16"/>
          <w:szCs w:val="16"/>
          <w:rtl/>
        </w:rPr>
        <w:t>{חרם, משום שאם יחרימו יבואו מי מהם להעיד בפני השלטון, ואז השלטון יחייב את אלו שהכו זא"ז בממון שלא כדין, ויצא שהעדים העידו כדי}</w:t>
      </w:r>
      <w:r w:rsidRPr="008845D0">
        <w:rPr>
          <w:rFonts w:cs="Arial"/>
          <w:rtl/>
        </w:rPr>
        <w:t xml:space="preserve"> להציל עצמם </w:t>
      </w:r>
      <w:r>
        <w:rPr>
          <w:rFonts w:cs="Arial" w:hint="cs"/>
          <w:sz w:val="16"/>
          <w:szCs w:val="16"/>
          <w:rtl/>
        </w:rPr>
        <w:t xml:space="preserve">{מהחרם} </w:t>
      </w:r>
      <w:r w:rsidRPr="008845D0">
        <w:rPr>
          <w:rFonts w:cs="Arial"/>
          <w:rtl/>
        </w:rPr>
        <w:t>בממון אחרים אם יכולים בשום פנים להתפשר</w:t>
      </w:r>
      <w:r>
        <w:rPr>
          <w:rFonts w:cs="Arial" w:hint="cs"/>
          <w:rtl/>
        </w:rPr>
        <w:t>.</w:t>
      </w:r>
      <w:r w:rsidRPr="008845D0">
        <w:rPr>
          <w:rFonts w:cs="Arial"/>
          <w:rtl/>
        </w:rPr>
        <w:t xml:space="preserve"> ואם אינם יכולים </w:t>
      </w:r>
      <w:r>
        <w:rPr>
          <w:rFonts w:cs="Arial" w:hint="cs"/>
          <w:rtl/>
        </w:rPr>
        <w:t xml:space="preserve">- </w:t>
      </w:r>
      <w:r w:rsidRPr="008845D0">
        <w:rPr>
          <w:rFonts w:cs="Arial"/>
          <w:rtl/>
        </w:rPr>
        <w:t>יעידו ויפרעו לניזק כל הזיקו.</w:t>
      </w:r>
      <w:r>
        <w:rPr>
          <w:rFonts w:cs="Arial" w:hint="cs"/>
          <w:rtl/>
        </w:rPr>
        <w:t xml:space="preserve"> </w:t>
      </w:r>
    </w:p>
    <w:p w14:paraId="5D8C02FB" w14:textId="77777777" w:rsidR="004B607F" w:rsidRPr="003024E5" w:rsidRDefault="004B607F" w:rsidP="004B607F">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5F5B3751" w14:textId="77777777" w:rsidR="004B607F" w:rsidRDefault="004B607F" w:rsidP="004B607F">
      <w:pPr>
        <w:rPr>
          <w:rtl/>
        </w:rPr>
      </w:pPr>
      <w:r>
        <w:rPr>
          <w:rFonts w:cs="Arial"/>
          <w:rtl/>
        </w:rPr>
        <w:t xml:space="preserve">אם </w:t>
      </w:r>
      <w:r>
        <w:rPr>
          <w:rFonts w:cs="Arial" w:hint="cs"/>
          <w:rtl/>
        </w:rPr>
        <w:t>גוי</w:t>
      </w:r>
      <w:r>
        <w:rPr>
          <w:rFonts w:cs="Arial"/>
          <w:rtl/>
        </w:rPr>
        <w:t xml:space="preserve"> תובע לישראל, ויש ישראל יודע עדות </w:t>
      </w:r>
      <w:r>
        <w:rPr>
          <w:rFonts w:cs="Arial" w:hint="cs"/>
          <w:rtl/>
        </w:rPr>
        <w:t>לגוי</w:t>
      </w:r>
      <w:r>
        <w:rPr>
          <w:rStyle w:val="ab"/>
          <w:rFonts w:cs="Arial"/>
          <w:rtl/>
        </w:rPr>
        <w:footnoteReference w:id="1392"/>
      </w:r>
      <w:r>
        <w:rPr>
          <w:rFonts w:cs="Arial"/>
          <w:rtl/>
        </w:rPr>
        <w:t xml:space="preserve"> נגד ישראל, ואין עד אלא הוא</w:t>
      </w:r>
      <w:r>
        <w:rPr>
          <w:rFonts w:cs="Arial" w:hint="cs"/>
          <w:rtl/>
        </w:rPr>
        <w:t>.</w:t>
      </w:r>
      <w:r>
        <w:rPr>
          <w:rFonts w:cs="Arial"/>
          <w:rtl/>
        </w:rPr>
        <w:t xml:space="preserve"> </w:t>
      </w:r>
      <w:r>
        <w:rPr>
          <w:rFonts w:cs="Arial" w:hint="cs"/>
          <w:rtl/>
        </w:rPr>
        <w:t>והגוי</w:t>
      </w:r>
      <w:r>
        <w:rPr>
          <w:rFonts w:cs="Arial"/>
          <w:rtl/>
        </w:rPr>
        <w:t xml:space="preserve"> תובעו שיעיד לו במקום שדיני </w:t>
      </w:r>
      <w:r>
        <w:rPr>
          <w:rFonts w:cs="Arial" w:hint="cs"/>
          <w:rtl/>
        </w:rPr>
        <w:t>הגוים</w:t>
      </w:r>
      <w:r>
        <w:rPr>
          <w:rFonts w:cs="Arial"/>
          <w:rtl/>
        </w:rPr>
        <w:t xml:space="preserve"> לחייב ממון ע</w:t>
      </w:r>
      <w:r>
        <w:rPr>
          <w:rFonts w:cs="Arial" w:hint="cs"/>
          <w:rtl/>
        </w:rPr>
        <w:t xml:space="preserve">ל </w:t>
      </w:r>
      <w:r>
        <w:rPr>
          <w:rFonts w:cs="Arial"/>
          <w:rtl/>
        </w:rPr>
        <w:t>פ</w:t>
      </w:r>
      <w:r>
        <w:rPr>
          <w:rFonts w:cs="Arial" w:hint="cs"/>
          <w:rtl/>
        </w:rPr>
        <w:t>י</w:t>
      </w:r>
      <w:r>
        <w:rPr>
          <w:rFonts w:cs="Arial"/>
          <w:rtl/>
        </w:rPr>
        <w:t xml:space="preserve"> עד אחד, אסור להעיד לו</w:t>
      </w:r>
      <w:r>
        <w:rPr>
          <w:rFonts w:cs="Arial" w:hint="cs"/>
          <w:rtl/>
        </w:rPr>
        <w:t>.</w:t>
      </w:r>
      <w:r>
        <w:rPr>
          <w:rFonts w:cs="Arial"/>
          <w:rtl/>
        </w:rPr>
        <w:t xml:space="preserve"> ואם העיד, משמתין אותו</w:t>
      </w:r>
      <w:r>
        <w:rPr>
          <w:rStyle w:val="ab"/>
          <w:rFonts w:cs="Arial"/>
          <w:rtl/>
        </w:rPr>
        <w:footnoteReference w:id="1393"/>
      </w:r>
      <w:r>
        <w:rPr>
          <w:rFonts w:cs="Arial"/>
          <w:rtl/>
        </w:rPr>
        <w:t xml:space="preserve">. </w:t>
      </w:r>
      <w:r w:rsidRPr="00221BFB">
        <w:rPr>
          <w:rFonts w:cs="Arial"/>
          <w:sz w:val="18"/>
          <w:szCs w:val="18"/>
          <w:rtl/>
        </w:rPr>
        <w:t>הגה: אבל אינו חייב לשלם</w:t>
      </w:r>
      <w:r>
        <w:rPr>
          <w:rStyle w:val="ab"/>
          <w:rFonts w:cs="Arial"/>
          <w:sz w:val="18"/>
          <w:szCs w:val="18"/>
          <w:rtl/>
        </w:rPr>
        <w:footnoteReference w:id="1394"/>
      </w:r>
      <w:r w:rsidRPr="00221BFB">
        <w:rPr>
          <w:rFonts w:cs="Arial"/>
          <w:sz w:val="18"/>
          <w:szCs w:val="18"/>
          <w:rtl/>
        </w:rPr>
        <w:t>, דיכול לומר: אמת העדתי. אבל אם יש לברר ששקר העיד, חייב לשלם</w:t>
      </w:r>
      <w:r>
        <w:rPr>
          <w:rStyle w:val="ab"/>
          <w:rFonts w:cs="Arial"/>
          <w:sz w:val="18"/>
          <w:szCs w:val="18"/>
          <w:rtl/>
        </w:rPr>
        <w:footnoteReference w:id="1395"/>
      </w:r>
      <w:r w:rsidRPr="00221BFB">
        <w:rPr>
          <w:rFonts w:cs="Arial"/>
          <w:sz w:val="18"/>
          <w:szCs w:val="18"/>
          <w:rtl/>
        </w:rPr>
        <w:t>. ואם בעל דבר מודה שאמת העיד, אין משמתין אותו (הגמ</w:t>
      </w:r>
      <w:r>
        <w:rPr>
          <w:rFonts w:cs="Arial" w:hint="cs"/>
          <w:sz w:val="18"/>
          <w:szCs w:val="18"/>
          <w:rtl/>
        </w:rPr>
        <w:t>"</w:t>
      </w:r>
      <w:r w:rsidRPr="00221BFB">
        <w:rPr>
          <w:rFonts w:cs="Arial"/>
          <w:sz w:val="18"/>
          <w:szCs w:val="18"/>
          <w:rtl/>
        </w:rPr>
        <w:t>ר).</w:t>
      </w:r>
      <w:r>
        <w:rPr>
          <w:rFonts w:cs="Arial"/>
          <w:rtl/>
        </w:rPr>
        <w:t xml:space="preserve"> ואם מתחלה יחדו </w:t>
      </w:r>
      <w:r>
        <w:rPr>
          <w:rFonts w:cs="Arial" w:hint="cs"/>
          <w:rtl/>
        </w:rPr>
        <w:t>הגוי</w:t>
      </w:r>
      <w:r>
        <w:rPr>
          <w:rFonts w:cs="Arial"/>
          <w:rtl/>
        </w:rPr>
        <w:t xml:space="preserve"> לישראל להיות עד</w:t>
      </w:r>
      <w:r>
        <w:rPr>
          <w:rStyle w:val="ab"/>
          <w:rFonts w:cs="Arial"/>
          <w:rtl/>
        </w:rPr>
        <w:footnoteReference w:id="1396"/>
      </w:r>
      <w:r>
        <w:rPr>
          <w:rFonts w:cs="Arial"/>
          <w:rtl/>
        </w:rPr>
        <w:t xml:space="preserve">, איכא חילול ה' אם לא יעיד לו </w:t>
      </w:r>
      <w:r>
        <w:rPr>
          <w:rFonts w:cs="Arial" w:hint="cs"/>
          <w:sz w:val="18"/>
          <w:szCs w:val="18"/>
          <w:rtl/>
        </w:rPr>
        <w:t xml:space="preserve">[הגה] </w:t>
      </w:r>
      <w:r w:rsidRPr="00221BFB">
        <w:rPr>
          <w:rFonts w:cs="Arial"/>
          <w:sz w:val="18"/>
          <w:szCs w:val="18"/>
          <w:rtl/>
        </w:rPr>
        <w:t>ויעיד לו</w:t>
      </w:r>
      <w:r>
        <w:rPr>
          <w:rFonts w:cs="Arial"/>
          <w:rtl/>
        </w:rPr>
        <w:t xml:space="preserve">. </w:t>
      </w:r>
    </w:p>
    <w:p w14:paraId="4965F9FD" w14:textId="77777777" w:rsidR="004B607F" w:rsidRDefault="004B607F" w:rsidP="004B607F">
      <w:pPr>
        <w:rPr>
          <w:rtl/>
        </w:rPr>
      </w:pPr>
    </w:p>
    <w:p w14:paraId="68343766" w14:textId="77777777" w:rsidR="004B607F" w:rsidRDefault="004B607F" w:rsidP="004B607F">
      <w:pPr>
        <w:pStyle w:val="2"/>
        <w:rPr>
          <w:rtl/>
        </w:rPr>
      </w:pPr>
      <w:bookmarkStart w:id="201" w:name="_Toc24883678"/>
      <w:r>
        <w:rPr>
          <w:rtl/>
        </w:rPr>
        <w:t>סעיף ד</w:t>
      </w:r>
      <w:r>
        <w:rPr>
          <w:rFonts w:hint="cs"/>
          <w:rtl/>
        </w:rPr>
        <w:t>:</w:t>
      </w:r>
      <w:r w:rsidRPr="003948B6">
        <w:rPr>
          <w:rFonts w:cs="Arial"/>
          <w:rtl/>
        </w:rPr>
        <w:t xml:space="preserve"> </w:t>
      </w:r>
      <w:r>
        <w:rPr>
          <w:rFonts w:cs="Arial"/>
          <w:rtl/>
        </w:rPr>
        <w:t xml:space="preserve">ישראל התובע </w:t>
      </w:r>
      <w:r>
        <w:rPr>
          <w:rFonts w:cs="Arial" w:hint="cs"/>
          <w:rtl/>
        </w:rPr>
        <w:t>לגוי</w:t>
      </w:r>
      <w:r>
        <w:rPr>
          <w:rFonts w:cs="Arial"/>
          <w:rtl/>
        </w:rPr>
        <w:t xml:space="preserve"> וכופר ויש </w:t>
      </w:r>
      <w:r>
        <w:rPr>
          <w:rFonts w:cs="Arial" w:hint="cs"/>
          <w:rtl/>
        </w:rPr>
        <w:t>לגוי</w:t>
      </w:r>
      <w:r>
        <w:rPr>
          <w:rFonts w:cs="Arial"/>
          <w:rtl/>
        </w:rPr>
        <w:t xml:space="preserve"> עד אחד</w:t>
      </w:r>
      <w:r>
        <w:rPr>
          <w:rFonts w:hint="cs"/>
          <w:rtl/>
        </w:rPr>
        <w:t>.</w:t>
      </w:r>
      <w:bookmarkEnd w:id="201"/>
    </w:p>
    <w:p w14:paraId="363E31C0" w14:textId="77777777" w:rsidR="004B607F" w:rsidRPr="00233DDC" w:rsidRDefault="004B607F" w:rsidP="004B607F">
      <w:pPr>
        <w:rPr>
          <w:rFonts w:cs="Arial"/>
          <w:u w:val="single"/>
          <w:rtl/>
        </w:rPr>
      </w:pPr>
      <w:r w:rsidRPr="00233DDC">
        <w:rPr>
          <w:rFonts w:cs="Arial"/>
          <w:u w:val="single"/>
          <w:rtl/>
        </w:rPr>
        <w:t xml:space="preserve">ישראל התובע מעות מן הגוי ואמר </w:t>
      </w:r>
      <w:r>
        <w:rPr>
          <w:rFonts w:cs="Arial" w:hint="cs"/>
          <w:u w:val="single"/>
          <w:rtl/>
        </w:rPr>
        <w:t xml:space="preserve">הגוי </w:t>
      </w:r>
      <w:r w:rsidRPr="00233DDC">
        <w:rPr>
          <w:rFonts w:cs="Arial"/>
          <w:u w:val="single"/>
          <w:rtl/>
        </w:rPr>
        <w:t xml:space="preserve">פרעתי </w:t>
      </w:r>
      <w:r w:rsidRPr="00233DDC">
        <w:rPr>
          <w:rFonts w:cs="Arial" w:hint="cs"/>
          <w:sz w:val="16"/>
          <w:szCs w:val="16"/>
          <w:u w:val="single"/>
          <w:rtl/>
        </w:rPr>
        <w:t>(</w:t>
      </w:r>
      <w:r w:rsidRPr="00233DDC">
        <w:rPr>
          <w:rFonts w:cs="Arial"/>
          <w:sz w:val="16"/>
          <w:szCs w:val="16"/>
          <w:u w:val="single"/>
          <w:rtl/>
        </w:rPr>
        <w:t>או כופר הכל</w:t>
      </w:r>
      <w:r>
        <w:rPr>
          <w:rFonts w:cs="Arial" w:hint="cs"/>
          <w:sz w:val="16"/>
          <w:szCs w:val="16"/>
          <w:u w:val="single"/>
          <w:rtl/>
        </w:rPr>
        <w:t>)</w:t>
      </w:r>
      <w:r w:rsidRPr="00233DDC">
        <w:rPr>
          <w:rFonts w:cs="Arial"/>
          <w:u w:val="single"/>
          <w:rtl/>
        </w:rPr>
        <w:t xml:space="preserve"> </w:t>
      </w:r>
      <w:r>
        <w:rPr>
          <w:rFonts w:cs="Arial"/>
          <w:u w:val="single"/>
          <w:rtl/>
        </w:rPr>
        <w:t>–</w:t>
      </w:r>
      <w:r>
        <w:rPr>
          <w:rFonts w:cs="Arial" w:hint="cs"/>
          <w:u w:val="single"/>
          <w:rtl/>
        </w:rPr>
        <w:t xml:space="preserve"> האם י</w:t>
      </w:r>
      <w:r w:rsidRPr="00233DDC">
        <w:rPr>
          <w:rFonts w:cs="Arial"/>
          <w:u w:val="single"/>
          <w:rtl/>
        </w:rPr>
        <w:t>כול</w:t>
      </w:r>
      <w:r>
        <w:rPr>
          <w:rFonts w:cs="Arial" w:hint="cs"/>
          <w:u w:val="single"/>
          <w:rtl/>
        </w:rPr>
        <w:t xml:space="preserve"> ישראל אחר</w:t>
      </w:r>
      <w:r w:rsidRPr="00233DDC">
        <w:rPr>
          <w:rFonts w:cs="Arial"/>
          <w:u w:val="single"/>
          <w:rtl/>
        </w:rPr>
        <w:t xml:space="preserve"> להעיד</w:t>
      </w:r>
      <w:r>
        <w:rPr>
          <w:rFonts w:cs="Arial" w:hint="cs"/>
          <w:u w:val="single"/>
          <w:rtl/>
        </w:rPr>
        <w:t xml:space="preserve"> </w:t>
      </w:r>
      <w:r w:rsidRPr="003A6C40">
        <w:rPr>
          <w:rFonts w:cs="Arial" w:hint="cs"/>
          <w:b/>
          <w:bCs/>
          <w:u w:val="single"/>
          <w:rtl/>
        </w:rPr>
        <w:t>יחידי</w:t>
      </w:r>
      <w:r>
        <w:rPr>
          <w:rFonts w:cs="Arial" w:hint="cs"/>
          <w:u w:val="single"/>
          <w:rtl/>
        </w:rPr>
        <w:t xml:space="preserve"> בעד הגוי</w:t>
      </w:r>
      <w:r w:rsidRPr="00233DDC">
        <w:rPr>
          <w:rFonts w:cs="Arial" w:hint="cs"/>
          <w:u w:val="single"/>
          <w:rtl/>
        </w:rPr>
        <w:t>:</w:t>
      </w:r>
      <w:r w:rsidRPr="00233DDC">
        <w:rPr>
          <w:rFonts w:cs="Arial"/>
          <w:u w:val="single"/>
          <w:rtl/>
        </w:rPr>
        <w:t xml:space="preserve"> </w:t>
      </w:r>
    </w:p>
    <w:p w14:paraId="0B076998" w14:textId="77777777" w:rsidR="004B607F" w:rsidRPr="003948B6" w:rsidRDefault="004B607F" w:rsidP="004B0475">
      <w:pPr>
        <w:pStyle w:val="ac"/>
        <w:numPr>
          <w:ilvl w:val="0"/>
          <w:numId w:val="69"/>
        </w:numPr>
        <w:rPr>
          <w:rFonts w:cs="Arial"/>
          <w:rtl/>
        </w:rPr>
      </w:pPr>
      <w:r w:rsidRPr="00233DDC">
        <w:rPr>
          <w:rFonts w:cs="Arial"/>
          <w:rtl/>
        </w:rPr>
        <w:t xml:space="preserve">רא"ש </w:t>
      </w:r>
      <w:r w:rsidRPr="00233DDC">
        <w:rPr>
          <w:rFonts w:cs="Arial" w:hint="cs"/>
          <w:sz w:val="16"/>
          <w:szCs w:val="16"/>
          <w:rtl/>
        </w:rPr>
        <w:t>(</w:t>
      </w:r>
      <w:r w:rsidRPr="00233DDC">
        <w:rPr>
          <w:rFonts w:cs="Arial"/>
          <w:sz w:val="16"/>
          <w:szCs w:val="16"/>
          <w:rtl/>
        </w:rPr>
        <w:t>פ</w:t>
      </w:r>
      <w:r w:rsidRPr="00233DDC">
        <w:rPr>
          <w:rFonts w:cs="Arial" w:hint="cs"/>
          <w:sz w:val="16"/>
          <w:szCs w:val="16"/>
          <w:rtl/>
        </w:rPr>
        <w:t>'</w:t>
      </w:r>
      <w:r w:rsidRPr="00233DDC">
        <w:rPr>
          <w:rFonts w:cs="Arial"/>
          <w:sz w:val="16"/>
          <w:szCs w:val="16"/>
          <w:rtl/>
        </w:rPr>
        <w:t xml:space="preserve"> בתרא דקמא </w:t>
      </w:r>
      <w:r w:rsidRPr="00233DDC">
        <w:rPr>
          <w:rFonts w:cs="Arial" w:hint="cs"/>
          <w:sz w:val="16"/>
          <w:szCs w:val="16"/>
          <w:rtl/>
        </w:rPr>
        <w:t>סי' יד)</w:t>
      </w:r>
      <w:r>
        <w:rPr>
          <w:rFonts w:cs="Arial" w:hint="cs"/>
          <w:rtl/>
        </w:rPr>
        <w:t xml:space="preserve"> וטור</w:t>
      </w:r>
      <w:r w:rsidRPr="00233DDC">
        <w:rPr>
          <w:rFonts w:cs="Arial" w:hint="cs"/>
          <w:rtl/>
        </w:rPr>
        <w:t>-</w:t>
      </w:r>
      <w:r w:rsidRPr="00233DDC">
        <w:rPr>
          <w:rFonts w:cs="Arial"/>
          <w:rtl/>
        </w:rPr>
        <w:t xml:space="preserve"> ישראל התובע מעות מן הגוי ואמר פרעתי או כופר הכל </w:t>
      </w:r>
      <w:r>
        <w:rPr>
          <w:rFonts w:cs="Arial" w:hint="cs"/>
          <w:rtl/>
        </w:rPr>
        <w:t xml:space="preserve">- </w:t>
      </w:r>
      <w:r w:rsidRPr="00233DDC">
        <w:rPr>
          <w:rFonts w:cs="Arial"/>
          <w:rtl/>
        </w:rPr>
        <w:t>יכול להעיד</w:t>
      </w:r>
      <w:r w:rsidRPr="00A36822">
        <w:rPr>
          <w:rFonts w:cs="Arial" w:hint="cs"/>
          <w:sz w:val="16"/>
          <w:szCs w:val="16"/>
          <w:rtl/>
        </w:rPr>
        <w:t xml:space="preserve"> {לגוי}</w:t>
      </w:r>
      <w:r>
        <w:rPr>
          <w:rFonts w:cs="Arial" w:hint="cs"/>
          <w:rtl/>
        </w:rPr>
        <w:t>,</w:t>
      </w:r>
      <w:r w:rsidRPr="00233DDC">
        <w:rPr>
          <w:rFonts w:cs="Arial"/>
          <w:rtl/>
        </w:rPr>
        <w:t xml:space="preserve"> שהרי גם בדין ישראל היה פוטר עצמו בטענת פרעתי</w:t>
      </w:r>
      <w:r>
        <w:rPr>
          <w:rFonts w:cs="Arial" w:hint="cs"/>
          <w:rtl/>
        </w:rPr>
        <w:t>,</w:t>
      </w:r>
      <w:r w:rsidRPr="00233DDC">
        <w:rPr>
          <w:rFonts w:cs="Arial"/>
          <w:rtl/>
        </w:rPr>
        <w:t xml:space="preserve"> וכיון דבדיני ישראל יכול לפטור עצמו שרי לאסהודי</w:t>
      </w:r>
      <w:r>
        <w:rPr>
          <w:rFonts w:cs="Arial" w:hint="cs"/>
          <w:rtl/>
        </w:rPr>
        <w:t>,</w:t>
      </w:r>
      <w:r w:rsidRPr="00233DDC">
        <w:rPr>
          <w:rFonts w:cs="Arial"/>
          <w:rtl/>
        </w:rPr>
        <w:t xml:space="preserve"> מידי דהוה אתרי שיכולין להעיד</w:t>
      </w:r>
      <w:r>
        <w:rPr>
          <w:rFonts w:cs="Arial" w:hint="cs"/>
          <w:sz w:val="16"/>
          <w:szCs w:val="16"/>
          <w:rtl/>
        </w:rPr>
        <w:t xml:space="preserve"> (ל' הרא"ש)</w:t>
      </w:r>
      <w:r>
        <w:rPr>
          <w:rStyle w:val="ab"/>
          <w:rFonts w:cs="Arial"/>
          <w:rtl/>
        </w:rPr>
        <w:footnoteReference w:id="1397"/>
      </w:r>
      <w:r w:rsidRPr="00233DDC">
        <w:rPr>
          <w:rFonts w:cs="Arial"/>
          <w:rtl/>
        </w:rPr>
        <w:t xml:space="preserve">. </w:t>
      </w:r>
      <w:r w:rsidRPr="008845D0">
        <w:rPr>
          <w:rFonts w:cs="Arial" w:hint="cs"/>
          <w:color w:val="E36C0A" w:themeColor="accent6" w:themeShade="BF"/>
          <w:rtl/>
        </w:rPr>
        <w:t>(וכ"פ בשו"ע)</w:t>
      </w:r>
    </w:p>
    <w:p w14:paraId="366AB3B4" w14:textId="77777777" w:rsidR="004B607F" w:rsidRPr="00536C59" w:rsidRDefault="004B607F" w:rsidP="004B607F">
      <w:pPr>
        <w:rPr>
          <w:rFonts w:cs="Arial"/>
        </w:rPr>
      </w:pPr>
      <w:r w:rsidRPr="00536C59">
        <w:rPr>
          <w:rFonts w:cs="Arial" w:hint="cs"/>
          <w:u w:val="single"/>
          <w:rtl/>
        </w:rPr>
        <w:lastRenderedPageBreak/>
        <w:t>שני קרובים שנקראו להעיד אצל הגוים</w:t>
      </w:r>
      <w:r w:rsidRPr="00835355">
        <w:rPr>
          <w:rFonts w:cs="Arial" w:hint="cs"/>
          <w:u w:val="single"/>
          <w:rtl/>
        </w:rPr>
        <w:t xml:space="preserve"> </w:t>
      </w:r>
      <w:r w:rsidRPr="00835355">
        <w:rPr>
          <w:rFonts w:cs="Arial"/>
          <w:u w:val="single"/>
          <w:rtl/>
        </w:rPr>
        <w:t>–</w:t>
      </w:r>
      <w:r w:rsidRPr="00835355">
        <w:rPr>
          <w:rFonts w:cs="Arial" w:hint="cs"/>
          <w:u w:val="single"/>
          <w:rtl/>
        </w:rPr>
        <w:t xml:space="preserve"> האם </w:t>
      </w:r>
      <w:r>
        <w:rPr>
          <w:rFonts w:cs="Arial" w:hint="cs"/>
          <w:u w:val="single"/>
          <w:rtl/>
        </w:rPr>
        <w:t>יכול</w:t>
      </w:r>
      <w:r w:rsidRPr="00835355">
        <w:rPr>
          <w:rFonts w:cs="Arial" w:hint="cs"/>
          <w:u w:val="single"/>
          <w:rtl/>
        </w:rPr>
        <w:t xml:space="preserve"> להעיד אצלם:</w:t>
      </w:r>
    </w:p>
    <w:p w14:paraId="367CBECF" w14:textId="77777777" w:rsidR="004B607F" w:rsidRPr="00536C59" w:rsidRDefault="004B607F" w:rsidP="004B0475">
      <w:pPr>
        <w:pStyle w:val="ac"/>
        <w:numPr>
          <w:ilvl w:val="0"/>
          <w:numId w:val="69"/>
        </w:numPr>
        <w:rPr>
          <w:rFonts w:cs="Arial"/>
          <w:rtl/>
        </w:rPr>
      </w:pPr>
      <w:r w:rsidRPr="00536C59">
        <w:rPr>
          <w:rFonts w:cs="Arial"/>
          <w:rtl/>
        </w:rPr>
        <w:t xml:space="preserve">מרדכי </w:t>
      </w:r>
      <w:r w:rsidRPr="00536C59">
        <w:rPr>
          <w:rFonts w:cs="Arial"/>
          <w:sz w:val="16"/>
          <w:szCs w:val="16"/>
          <w:rtl/>
        </w:rPr>
        <w:t xml:space="preserve">(סי' קנז) </w:t>
      </w:r>
      <w:r w:rsidRPr="00536C59">
        <w:rPr>
          <w:rFonts w:cs="Arial" w:hint="cs"/>
          <w:rtl/>
        </w:rPr>
        <w:t xml:space="preserve">והגמ"ר </w:t>
      </w:r>
      <w:r w:rsidRPr="00536C59">
        <w:rPr>
          <w:rFonts w:cs="Arial" w:hint="cs"/>
          <w:sz w:val="16"/>
          <w:szCs w:val="16"/>
          <w:rtl/>
        </w:rPr>
        <w:t>(שם)</w:t>
      </w:r>
      <w:r w:rsidRPr="00536C59">
        <w:rPr>
          <w:rFonts w:cs="Arial" w:hint="cs"/>
          <w:rtl/>
        </w:rPr>
        <w:t xml:space="preserve">- </w:t>
      </w:r>
      <w:r w:rsidRPr="00536C59">
        <w:rPr>
          <w:rFonts w:cs="Arial"/>
          <w:rtl/>
        </w:rPr>
        <w:t>נ"ל דתרי קרובים לא חשיבי אלא כחד</w:t>
      </w:r>
      <w:r>
        <w:rPr>
          <w:rFonts w:cs="Arial" w:hint="cs"/>
          <w:rtl/>
        </w:rPr>
        <w:t>,</w:t>
      </w:r>
      <w:r w:rsidRPr="00536C59">
        <w:rPr>
          <w:rFonts w:cs="Arial"/>
          <w:rtl/>
        </w:rPr>
        <w:t xml:space="preserve"> דהא בדיניהם מוציאין על פי קרובים</w:t>
      </w:r>
      <w:r w:rsidRPr="00536C59">
        <w:rPr>
          <w:rFonts w:cs="Arial" w:hint="cs"/>
          <w:rtl/>
        </w:rPr>
        <w:t>.</w:t>
      </w:r>
      <w:r w:rsidRPr="008F73E6">
        <w:rPr>
          <w:rFonts w:cs="Arial" w:hint="cs"/>
          <w:color w:val="00B0F0"/>
          <w:rtl/>
        </w:rPr>
        <w:t xml:space="preserve"> </w:t>
      </w:r>
      <w:r w:rsidRPr="008845D0">
        <w:rPr>
          <w:rFonts w:cs="Arial" w:hint="cs"/>
          <w:color w:val="00B0F0"/>
          <w:rtl/>
        </w:rPr>
        <w:t>(וכ"פ הרמ"א)</w:t>
      </w:r>
    </w:p>
    <w:p w14:paraId="6AB0CA70" w14:textId="77777777" w:rsidR="004B607F" w:rsidRPr="003024E5" w:rsidRDefault="004B607F" w:rsidP="004B607F">
      <w:pPr>
        <w:rPr>
          <w:rFonts w:asciiTheme="minorBidi" w:hAnsiTheme="minorBidi"/>
          <w:b/>
          <w:bCs/>
          <w:color w:val="000000"/>
          <w:sz w:val="28"/>
          <w:szCs w:val="28"/>
          <w:u w:val="single"/>
          <w:rtl/>
        </w:rPr>
      </w:pPr>
      <w:bookmarkStart w:id="202" w:name="_Hlk526789235"/>
      <w:r w:rsidRPr="003024E5">
        <w:rPr>
          <w:rFonts w:asciiTheme="minorBidi" w:hAnsiTheme="minorBidi"/>
          <w:b/>
          <w:bCs/>
          <w:color w:val="000000"/>
          <w:sz w:val="28"/>
          <w:szCs w:val="28"/>
          <w:u w:val="single"/>
          <w:rtl/>
        </w:rPr>
        <w:t>שו"ע:</w:t>
      </w:r>
    </w:p>
    <w:bookmarkEnd w:id="202"/>
    <w:p w14:paraId="1B531038" w14:textId="77777777" w:rsidR="004B607F" w:rsidRDefault="004B607F" w:rsidP="004B607F">
      <w:pPr>
        <w:rPr>
          <w:rtl/>
        </w:rPr>
      </w:pPr>
      <w:r>
        <w:rPr>
          <w:rFonts w:cs="Arial"/>
          <w:rtl/>
        </w:rPr>
        <w:t xml:space="preserve">ישראל התובע </w:t>
      </w:r>
      <w:r>
        <w:rPr>
          <w:rFonts w:cs="Arial" w:hint="cs"/>
          <w:rtl/>
        </w:rPr>
        <w:t>לגוי</w:t>
      </w:r>
      <w:r>
        <w:rPr>
          <w:rFonts w:cs="Arial"/>
          <w:rtl/>
        </w:rPr>
        <w:t xml:space="preserve">, וכופר, ויש </w:t>
      </w:r>
      <w:r>
        <w:rPr>
          <w:rFonts w:cs="Arial" w:hint="cs"/>
          <w:rtl/>
        </w:rPr>
        <w:t>לגוי</w:t>
      </w:r>
      <w:r>
        <w:rPr>
          <w:rFonts w:cs="Arial"/>
          <w:rtl/>
        </w:rPr>
        <w:t xml:space="preserve"> עד אחד, מותר להעיד לו אם יתבעהו</w:t>
      </w:r>
      <w:r>
        <w:rPr>
          <w:rStyle w:val="ab"/>
          <w:rFonts w:cs="Arial"/>
          <w:rtl/>
        </w:rPr>
        <w:footnoteReference w:id="1398"/>
      </w:r>
      <w:r>
        <w:rPr>
          <w:rFonts w:cs="Arial"/>
          <w:rtl/>
        </w:rPr>
        <w:t xml:space="preserve">. </w:t>
      </w:r>
      <w:r w:rsidRPr="00221BFB">
        <w:rPr>
          <w:rFonts w:cs="Arial"/>
          <w:sz w:val="18"/>
          <w:szCs w:val="18"/>
          <w:rtl/>
        </w:rPr>
        <w:t>הגה: וכל שכן שב' עדים יכולין להעיד</w:t>
      </w:r>
      <w:r>
        <w:rPr>
          <w:rStyle w:val="ab"/>
          <w:rFonts w:cs="Arial"/>
          <w:sz w:val="18"/>
          <w:szCs w:val="18"/>
          <w:rtl/>
        </w:rPr>
        <w:footnoteReference w:id="1399"/>
      </w:r>
      <w:r w:rsidRPr="00221BFB">
        <w:rPr>
          <w:rFonts w:cs="Arial"/>
          <w:sz w:val="18"/>
          <w:szCs w:val="18"/>
          <w:rtl/>
        </w:rPr>
        <w:t>, שהרי גם בדין ישראל יתחייב על פיהם. וכן במקום שאין מוציאין ממון על פי עד אחד, יכול להעיד</w:t>
      </w:r>
      <w:r>
        <w:rPr>
          <w:rStyle w:val="ab"/>
          <w:rFonts w:cs="Arial"/>
          <w:sz w:val="18"/>
          <w:szCs w:val="18"/>
          <w:rtl/>
        </w:rPr>
        <w:footnoteReference w:id="1400"/>
      </w:r>
      <w:r w:rsidRPr="00221BFB">
        <w:rPr>
          <w:rFonts w:cs="Arial"/>
          <w:sz w:val="18"/>
          <w:szCs w:val="18"/>
          <w:rtl/>
        </w:rPr>
        <w:t xml:space="preserve"> (שם בגמרא). ב' קרובים הרי הם כעד אחד, דהרי בדינינו אין אנו מוציאין ממון על</w:t>
      </w:r>
      <w:r>
        <w:rPr>
          <w:rFonts w:cs="Arial" w:hint="cs"/>
          <w:sz w:val="18"/>
          <w:szCs w:val="18"/>
          <w:rtl/>
        </w:rPr>
        <w:t xml:space="preserve"> [ידן, כעל]</w:t>
      </w:r>
      <w:r>
        <w:rPr>
          <w:rStyle w:val="ab"/>
          <w:rFonts w:cs="Arial"/>
          <w:sz w:val="18"/>
          <w:szCs w:val="18"/>
          <w:rtl/>
        </w:rPr>
        <w:footnoteReference w:id="1401"/>
      </w:r>
      <w:r w:rsidRPr="00221BFB">
        <w:rPr>
          <w:rFonts w:cs="Arial"/>
          <w:sz w:val="18"/>
          <w:szCs w:val="18"/>
          <w:rtl/>
        </w:rPr>
        <w:t xml:space="preserve"> פי עד אחד (הגמ</w:t>
      </w:r>
      <w:r>
        <w:rPr>
          <w:rFonts w:cs="Arial" w:hint="cs"/>
          <w:sz w:val="18"/>
          <w:szCs w:val="18"/>
          <w:rtl/>
        </w:rPr>
        <w:t>"</w:t>
      </w:r>
      <w:r w:rsidRPr="00221BFB">
        <w:rPr>
          <w:rFonts w:cs="Arial"/>
          <w:sz w:val="18"/>
          <w:szCs w:val="18"/>
          <w:rtl/>
        </w:rPr>
        <w:t>ר דב"ק).</w:t>
      </w:r>
      <w:r>
        <w:rPr>
          <w:rFonts w:cs="Arial"/>
          <w:rtl/>
        </w:rPr>
        <w:t xml:space="preserve"> </w:t>
      </w:r>
    </w:p>
    <w:p w14:paraId="5CA1EC8A" w14:textId="77777777" w:rsidR="004B607F" w:rsidRDefault="004B607F" w:rsidP="004B607F">
      <w:pPr>
        <w:rPr>
          <w:rtl/>
        </w:rPr>
      </w:pPr>
    </w:p>
    <w:p w14:paraId="4AFC4CD0" w14:textId="77777777" w:rsidR="004B607F" w:rsidRDefault="004B607F" w:rsidP="004B607F">
      <w:pPr>
        <w:pStyle w:val="2"/>
        <w:rPr>
          <w:rtl/>
        </w:rPr>
      </w:pPr>
      <w:bookmarkStart w:id="203" w:name="_Toc24883679"/>
      <w:r>
        <w:rPr>
          <w:rtl/>
        </w:rPr>
        <w:t>סעיף ה</w:t>
      </w:r>
      <w:r>
        <w:rPr>
          <w:rFonts w:hint="cs"/>
          <w:rtl/>
        </w:rPr>
        <w:t>: ת"ח שנתבקש להעיד. עדות כשבעל הדין אלם.</w:t>
      </w:r>
      <w:bookmarkEnd w:id="203"/>
    </w:p>
    <w:p w14:paraId="4C1BA9DE" w14:textId="77777777" w:rsidR="004B607F" w:rsidRDefault="004B607F" w:rsidP="004B607F">
      <w:pPr>
        <w:rPr>
          <w:rFonts w:cs="Arial"/>
          <w:rtl/>
        </w:rPr>
      </w:pPr>
      <w:r w:rsidRPr="003948B6">
        <w:rPr>
          <w:rFonts w:cs="Arial" w:hint="cs"/>
          <w:b/>
          <w:bCs/>
          <w:rtl/>
        </w:rPr>
        <w:t xml:space="preserve">שבועות </w:t>
      </w:r>
      <w:r w:rsidRPr="003948B6">
        <w:rPr>
          <w:rFonts w:cs="Arial" w:hint="cs"/>
          <w:b/>
          <w:bCs/>
          <w:sz w:val="16"/>
          <w:szCs w:val="16"/>
          <w:rtl/>
        </w:rPr>
        <w:t xml:space="preserve">(פ' שבועת העדות) </w:t>
      </w:r>
      <w:r w:rsidRPr="003948B6">
        <w:rPr>
          <w:rFonts w:cs="Arial" w:hint="cs"/>
          <w:b/>
          <w:bCs/>
          <w:rtl/>
        </w:rPr>
        <w:t>ל</w:t>
      </w:r>
      <w:r>
        <w:rPr>
          <w:rStyle w:val="ab"/>
          <w:rFonts w:cs="Arial"/>
          <w:b/>
          <w:bCs/>
          <w:rtl/>
        </w:rPr>
        <w:footnoteReference w:id="1402"/>
      </w:r>
      <w:r w:rsidRPr="003948B6">
        <w:rPr>
          <w:rFonts w:cs="Arial" w:hint="cs"/>
          <w:b/>
          <w:bCs/>
          <w:rtl/>
        </w:rPr>
        <w:t xml:space="preserve"> ע"ב:</w:t>
      </w:r>
      <w:r>
        <w:rPr>
          <w:rFonts w:cs="Arial" w:hint="cs"/>
          <w:rtl/>
        </w:rPr>
        <w:t xml:space="preserve"> </w:t>
      </w:r>
      <w:r w:rsidRPr="005A578F">
        <w:rPr>
          <w:rFonts w:cs="Arial"/>
          <w:u w:val="single"/>
          <w:rtl/>
        </w:rPr>
        <w:t>אמר רבה בר רב הונא</w:t>
      </w:r>
      <w:r w:rsidRPr="003948B6">
        <w:rPr>
          <w:rFonts w:cs="Arial"/>
          <w:rtl/>
        </w:rPr>
        <w:t xml:space="preserve">: האי צורבא מרבנן דידע בסהדותא, וזילא ביה מילתא למיזל לבי דיינא דזוטר מיניה לאסהודי קמיה, לא ליזיל. </w:t>
      </w:r>
      <w:r w:rsidRPr="005A578F">
        <w:rPr>
          <w:rFonts w:cs="Arial"/>
          <w:u w:val="single"/>
          <w:rtl/>
        </w:rPr>
        <w:t>אמר רב שישא בריה דרב אידי</w:t>
      </w:r>
      <w:r>
        <w:rPr>
          <w:rFonts w:cs="Arial" w:hint="cs"/>
          <w:rtl/>
        </w:rPr>
        <w:t>:</w:t>
      </w:r>
      <w:r w:rsidRPr="003948B6">
        <w:rPr>
          <w:rFonts w:cs="Arial"/>
          <w:rtl/>
        </w:rPr>
        <w:t xml:space="preserve"> אף אנן נמי תנינא</w:t>
      </w:r>
      <w:r>
        <w:rPr>
          <w:rFonts w:cs="Arial" w:hint="cs"/>
          <w:rtl/>
        </w:rPr>
        <w:t>:</w:t>
      </w:r>
      <w:r w:rsidRPr="003948B6">
        <w:rPr>
          <w:rFonts w:cs="Arial"/>
          <w:rtl/>
        </w:rPr>
        <w:t xml:space="preserve"> מצא שק או קופה ואין דרכו ליטול - הרי זה לא יטול. הני מילי בממונא, אבל באיסורא</w:t>
      </w:r>
      <w:r>
        <w:rPr>
          <w:rStyle w:val="ab"/>
          <w:rFonts w:cs="Arial"/>
          <w:rtl/>
        </w:rPr>
        <w:footnoteReference w:id="1403"/>
      </w:r>
      <w:r w:rsidRPr="003948B6">
        <w:rPr>
          <w:rFonts w:cs="Arial"/>
          <w:rtl/>
        </w:rPr>
        <w:t xml:space="preserve"> - אין חכמה ואין תבונה ואין עצה לנגד ה', כל מקום שיש בו חלול ה' - אין חולקין כבוד לרב. </w:t>
      </w:r>
    </w:p>
    <w:p w14:paraId="5C508F79" w14:textId="77777777" w:rsidR="004B607F" w:rsidRDefault="004B607F" w:rsidP="004B607F">
      <w:pPr>
        <w:rPr>
          <w:rFonts w:cs="Arial"/>
          <w:rtl/>
        </w:rPr>
      </w:pPr>
      <w:r w:rsidRPr="005A578F">
        <w:rPr>
          <w:rFonts w:cs="Arial" w:hint="cs"/>
          <w:u w:val="single"/>
          <w:rtl/>
        </w:rPr>
        <w:t>ת"ח שנקרא להעיד בפני בית דין שקטן ממנו:</w:t>
      </w:r>
    </w:p>
    <w:p w14:paraId="199D0F64" w14:textId="77777777" w:rsidR="004B607F" w:rsidRDefault="004B607F" w:rsidP="004B0475">
      <w:pPr>
        <w:pStyle w:val="ac"/>
        <w:numPr>
          <w:ilvl w:val="0"/>
          <w:numId w:val="69"/>
        </w:numPr>
        <w:rPr>
          <w:rFonts w:cs="Arial"/>
        </w:rPr>
      </w:pPr>
      <w:r w:rsidRPr="005A578F">
        <w:rPr>
          <w:rFonts w:cs="Arial" w:hint="cs"/>
          <w:rtl/>
        </w:rPr>
        <w:t xml:space="preserve">טור- </w:t>
      </w:r>
      <w:r w:rsidRPr="005A578F">
        <w:rPr>
          <w:rFonts w:cs="Arial"/>
          <w:rtl/>
        </w:rPr>
        <w:t>אם העד ת"ח</w:t>
      </w:r>
      <w:r>
        <w:rPr>
          <w:rFonts w:cs="Arial" w:hint="cs"/>
          <w:rtl/>
        </w:rPr>
        <w:t>,</w:t>
      </w:r>
      <w:r w:rsidRPr="005A578F">
        <w:rPr>
          <w:rFonts w:cs="Arial"/>
          <w:rtl/>
        </w:rPr>
        <w:t xml:space="preserve"> וגנאי לו לילך אצל ב"ד הקטן ממנו </w:t>
      </w:r>
      <w:r>
        <w:rPr>
          <w:rFonts w:cs="Arial" w:hint="cs"/>
          <w:rtl/>
        </w:rPr>
        <w:t xml:space="preserve">- </w:t>
      </w:r>
      <w:r w:rsidRPr="005A578F">
        <w:rPr>
          <w:rFonts w:cs="Arial"/>
          <w:rtl/>
        </w:rPr>
        <w:t>אינו חייב לילך</w:t>
      </w:r>
      <w:r>
        <w:rPr>
          <w:rStyle w:val="ab"/>
          <w:rFonts w:cs="Arial"/>
          <w:rtl/>
        </w:rPr>
        <w:footnoteReference w:id="1404"/>
      </w:r>
      <w:r w:rsidRPr="005A578F">
        <w:rPr>
          <w:rFonts w:cs="Arial"/>
          <w:rtl/>
        </w:rPr>
        <w:t>. בד"א בעדות ממון</w:t>
      </w:r>
      <w:r>
        <w:rPr>
          <w:rFonts w:cs="Arial" w:hint="cs"/>
          <w:rtl/>
        </w:rPr>
        <w:t>,</w:t>
      </w:r>
      <w:r w:rsidRPr="005A578F">
        <w:rPr>
          <w:rFonts w:cs="Arial"/>
          <w:rtl/>
        </w:rPr>
        <w:t xml:space="preserve"> אבל בעדות שיש בו צד אפרושי מאיסורא </w:t>
      </w:r>
      <w:r>
        <w:rPr>
          <w:rFonts w:cs="Arial" w:hint="cs"/>
          <w:rtl/>
        </w:rPr>
        <w:t xml:space="preserve">- </w:t>
      </w:r>
      <w:r w:rsidRPr="005A578F">
        <w:rPr>
          <w:rFonts w:cs="Arial"/>
          <w:rtl/>
        </w:rPr>
        <w:t>חייב לילך</w:t>
      </w:r>
      <w:r>
        <w:rPr>
          <w:rFonts w:cs="Arial" w:hint="cs"/>
          <w:rtl/>
        </w:rPr>
        <w:t>,</w:t>
      </w:r>
      <w:r w:rsidRPr="005A578F">
        <w:rPr>
          <w:rFonts w:cs="Arial"/>
          <w:rtl/>
        </w:rPr>
        <w:t xml:space="preserve"> שאין חכמה ואין תבונה נגד ה'</w:t>
      </w:r>
      <w:r w:rsidRPr="005A578F">
        <w:rPr>
          <w:rFonts w:cs="Arial" w:hint="cs"/>
          <w:rtl/>
        </w:rPr>
        <w:t>.</w:t>
      </w:r>
      <w:r w:rsidRPr="005A578F">
        <w:rPr>
          <w:rFonts w:cs="Arial" w:hint="cs"/>
          <w:color w:val="E36C0A" w:themeColor="accent6" w:themeShade="BF"/>
          <w:rtl/>
        </w:rPr>
        <w:t xml:space="preserve"> </w:t>
      </w:r>
      <w:r w:rsidRPr="008845D0">
        <w:rPr>
          <w:rFonts w:cs="Arial" w:hint="cs"/>
          <w:color w:val="E36C0A" w:themeColor="accent6" w:themeShade="BF"/>
          <w:rtl/>
        </w:rPr>
        <w:t>(וכ"פ בשו"ע)</w:t>
      </w:r>
    </w:p>
    <w:p w14:paraId="39644186" w14:textId="77777777" w:rsidR="004B607F" w:rsidRPr="00033DCE" w:rsidRDefault="004B607F" w:rsidP="004B607F">
      <w:pPr>
        <w:ind w:left="360"/>
        <w:rPr>
          <w:rFonts w:cs="Arial"/>
          <w:u w:val="dotted"/>
        </w:rPr>
      </w:pPr>
      <w:r w:rsidRPr="00033DCE">
        <w:rPr>
          <w:rFonts w:cs="Arial" w:hint="cs"/>
          <w:u w:val="dotted"/>
          <w:rtl/>
        </w:rPr>
        <w:t>ומכל מקום כיצד גובים ממנו עדותו:</w:t>
      </w:r>
    </w:p>
    <w:p w14:paraId="5632957C" w14:textId="77777777" w:rsidR="004B607F" w:rsidRPr="005A578F" w:rsidRDefault="004B607F" w:rsidP="004B0475">
      <w:pPr>
        <w:pStyle w:val="ac"/>
        <w:numPr>
          <w:ilvl w:val="0"/>
          <w:numId w:val="69"/>
        </w:numPr>
        <w:rPr>
          <w:rFonts w:cs="Arial"/>
          <w:rtl/>
        </w:rPr>
      </w:pPr>
      <w:r>
        <w:rPr>
          <w:rFonts w:cs="Arial"/>
          <w:rtl/>
        </w:rPr>
        <w:t>ר</w:t>
      </w:r>
      <w:r>
        <w:rPr>
          <w:rFonts w:cs="Arial" w:hint="cs"/>
          <w:rtl/>
        </w:rPr>
        <w:t>י"ו</w:t>
      </w:r>
      <w:r>
        <w:rPr>
          <w:rFonts w:cs="Arial"/>
          <w:rtl/>
        </w:rPr>
        <w:t xml:space="preserve"> </w:t>
      </w:r>
      <w:r w:rsidRPr="00033DCE">
        <w:rPr>
          <w:rFonts w:cs="Arial" w:hint="cs"/>
          <w:sz w:val="16"/>
          <w:szCs w:val="16"/>
          <w:rtl/>
        </w:rPr>
        <w:t>(</w:t>
      </w:r>
      <w:r w:rsidRPr="00033DCE">
        <w:rPr>
          <w:rFonts w:cs="Arial"/>
          <w:sz w:val="16"/>
          <w:szCs w:val="16"/>
          <w:rtl/>
        </w:rPr>
        <w:t>נ"ב ח"ב יא ע"ד</w:t>
      </w:r>
      <w:r w:rsidRPr="00033DCE">
        <w:rPr>
          <w:rFonts w:cs="Arial" w:hint="cs"/>
          <w:sz w:val="16"/>
          <w:szCs w:val="16"/>
          <w:rtl/>
        </w:rPr>
        <w:t>, הביאו הב"י</w:t>
      </w:r>
      <w:r w:rsidRPr="00033DCE">
        <w:rPr>
          <w:rFonts w:cs="Arial"/>
          <w:sz w:val="16"/>
          <w:szCs w:val="16"/>
          <w:rtl/>
        </w:rPr>
        <w:t>)</w:t>
      </w:r>
      <w:r>
        <w:rPr>
          <w:rFonts w:cs="Arial" w:hint="cs"/>
          <w:rtl/>
        </w:rPr>
        <w:t xml:space="preserve">- </w:t>
      </w:r>
      <w:r>
        <w:rPr>
          <w:rFonts w:cs="Arial"/>
          <w:rtl/>
        </w:rPr>
        <w:t>שולחין לו ומעיד בפני הבית דין או בפני שלוחם</w:t>
      </w:r>
      <w:r>
        <w:rPr>
          <w:rFonts w:cs="Arial" w:hint="cs"/>
          <w:rtl/>
        </w:rPr>
        <w:t>.</w:t>
      </w:r>
      <w:r w:rsidRPr="005A578F">
        <w:rPr>
          <w:rFonts w:cs="Arial" w:hint="cs"/>
          <w:color w:val="00B0F0"/>
          <w:rtl/>
        </w:rPr>
        <w:t xml:space="preserve"> </w:t>
      </w:r>
      <w:r w:rsidRPr="008845D0">
        <w:rPr>
          <w:rFonts w:cs="Arial" w:hint="cs"/>
          <w:color w:val="00B0F0"/>
          <w:rtl/>
        </w:rPr>
        <w:t>(וכ"פ הרמ"א)</w:t>
      </w:r>
    </w:p>
    <w:p w14:paraId="6D9D8DC9" w14:textId="77777777" w:rsidR="004B607F" w:rsidRDefault="004B607F" w:rsidP="004B607F">
      <w:pPr>
        <w:rPr>
          <w:rFonts w:cs="Arial"/>
          <w:rtl/>
        </w:rPr>
      </w:pPr>
      <w:bookmarkStart w:id="204" w:name="_Hlk19029718"/>
      <w:r>
        <w:rPr>
          <w:rFonts w:cs="Arial" w:hint="cs"/>
          <w:b/>
          <w:bCs/>
          <w:rtl/>
        </w:rPr>
        <w:t>בבא מציעא</w:t>
      </w:r>
      <w:r w:rsidRPr="00F22DBE">
        <w:rPr>
          <w:rFonts w:cs="Arial" w:hint="cs"/>
          <w:b/>
          <w:bCs/>
          <w:sz w:val="16"/>
          <w:szCs w:val="16"/>
          <w:rtl/>
        </w:rPr>
        <w:t xml:space="preserve"> (פ</w:t>
      </w:r>
      <w:r>
        <w:rPr>
          <w:rFonts w:cs="Arial" w:hint="cs"/>
          <w:b/>
          <w:bCs/>
          <w:sz w:val="16"/>
          <w:szCs w:val="16"/>
          <w:rtl/>
        </w:rPr>
        <w:t>' המפקיד</w:t>
      </w:r>
      <w:r w:rsidRPr="00F22DBE">
        <w:rPr>
          <w:rFonts w:cs="Arial" w:hint="cs"/>
          <w:b/>
          <w:bCs/>
          <w:sz w:val="16"/>
          <w:szCs w:val="16"/>
          <w:rtl/>
        </w:rPr>
        <w:t>)</w:t>
      </w:r>
      <w:r>
        <w:rPr>
          <w:rFonts w:cs="Arial" w:hint="cs"/>
          <w:b/>
          <w:bCs/>
          <w:rtl/>
        </w:rPr>
        <w:t xml:space="preserve"> לט</w:t>
      </w:r>
      <w:r>
        <w:rPr>
          <w:rStyle w:val="ab"/>
          <w:rFonts w:cs="Arial"/>
          <w:b/>
          <w:bCs/>
          <w:rtl/>
        </w:rPr>
        <w:footnoteReference w:id="1405"/>
      </w:r>
      <w:r>
        <w:rPr>
          <w:rFonts w:cs="Arial" w:hint="cs"/>
          <w:b/>
          <w:bCs/>
          <w:rtl/>
        </w:rPr>
        <w:t xml:space="preserve"> ע"ב</w:t>
      </w:r>
      <w:bookmarkEnd w:id="204"/>
      <w:r>
        <w:rPr>
          <w:rFonts w:cs="Arial" w:hint="cs"/>
          <w:b/>
          <w:bCs/>
          <w:rtl/>
        </w:rPr>
        <w:t xml:space="preserve">: </w:t>
      </w:r>
      <w:r w:rsidRPr="00F22DBE">
        <w:rPr>
          <w:rFonts w:cs="Arial"/>
          <w:rtl/>
        </w:rPr>
        <w:t>מרי בר איסק אתא ליה אחא מבי חוזאי</w:t>
      </w:r>
      <w:r>
        <w:rPr>
          <w:rStyle w:val="ab"/>
          <w:rFonts w:cs="Arial"/>
          <w:rtl/>
        </w:rPr>
        <w:footnoteReference w:id="1406"/>
      </w:r>
      <w:r w:rsidRPr="00F22DBE">
        <w:rPr>
          <w:rFonts w:cs="Arial"/>
          <w:rtl/>
        </w:rPr>
        <w:t>. אמר ליה: פלוג לי! אמר ליה: לא ידענא לך. אתא לקמיה דרב חסדא. אמר ליה: שפיר קאמר לך</w:t>
      </w:r>
      <w:r>
        <w:rPr>
          <w:rStyle w:val="ab"/>
          <w:rFonts w:cs="Arial"/>
          <w:rtl/>
        </w:rPr>
        <w:footnoteReference w:id="1407"/>
      </w:r>
      <w:r w:rsidRPr="00F22DBE">
        <w:rPr>
          <w:rFonts w:cs="Arial"/>
          <w:rtl/>
        </w:rPr>
        <w:t>, שנאמר ויכר יוסף את אחיו והם לא הכרוהו מלמד שיצא בלא חתימת זקן ובא בחתימת זקן</w:t>
      </w:r>
      <w:r>
        <w:rPr>
          <w:rFonts w:cs="Arial" w:hint="cs"/>
          <w:rtl/>
        </w:rPr>
        <w:t>,</w:t>
      </w:r>
      <w:r w:rsidRPr="00F22DBE">
        <w:rPr>
          <w:rFonts w:cs="Arial"/>
          <w:rtl/>
        </w:rPr>
        <w:t xml:space="preserve"> אמר ליה: זיל אייתי סהדי דאחוה את. אמר ליה: אית לי סהדי ודחלי מיניה</w:t>
      </w:r>
      <w:r>
        <w:rPr>
          <w:rFonts w:cs="Arial" w:hint="cs"/>
          <w:rtl/>
        </w:rPr>
        <w:t>,</w:t>
      </w:r>
      <w:r w:rsidRPr="00F22DBE">
        <w:rPr>
          <w:rFonts w:cs="Arial"/>
          <w:rtl/>
        </w:rPr>
        <w:t xml:space="preserve"> דגברא אלימא הוא. אמר ליה לדידיה: זיל אנת אייתי סהדי דלאו אחוך הוא</w:t>
      </w:r>
      <w:r>
        <w:rPr>
          <w:rStyle w:val="ab"/>
          <w:rFonts w:cs="Arial"/>
          <w:rtl/>
        </w:rPr>
        <w:footnoteReference w:id="1408"/>
      </w:r>
      <w:r w:rsidRPr="00F22DBE">
        <w:rPr>
          <w:rFonts w:cs="Arial"/>
          <w:rtl/>
        </w:rPr>
        <w:t xml:space="preserve">. אמר ליה: דינא הכי? המוציא מחבירו עליו </w:t>
      </w:r>
      <w:r w:rsidRPr="00F22DBE">
        <w:rPr>
          <w:rFonts w:cs="Arial"/>
          <w:rtl/>
        </w:rPr>
        <w:lastRenderedPageBreak/>
        <w:t>הראיה! אמר ליה: הכי דיינינא לך ולכל אלימי דחברך. אמר ליה</w:t>
      </w:r>
      <w:r>
        <w:rPr>
          <w:rStyle w:val="ab"/>
          <w:rFonts w:cs="Arial"/>
          <w:rtl/>
        </w:rPr>
        <w:footnoteReference w:id="1409"/>
      </w:r>
      <w:r w:rsidRPr="00F22DBE">
        <w:rPr>
          <w:rFonts w:cs="Arial"/>
          <w:rtl/>
        </w:rPr>
        <w:t>: סוף סוף אתו סהדי ולא מסהדי</w:t>
      </w:r>
      <w:r>
        <w:rPr>
          <w:rStyle w:val="ab"/>
          <w:rFonts w:cs="Arial"/>
          <w:rtl/>
        </w:rPr>
        <w:footnoteReference w:id="1410"/>
      </w:r>
      <w:r w:rsidRPr="00F22DBE">
        <w:rPr>
          <w:rFonts w:cs="Arial"/>
          <w:rtl/>
        </w:rPr>
        <w:t>! אמר ליה: תרתי לא עבדי</w:t>
      </w:r>
      <w:r>
        <w:rPr>
          <w:rStyle w:val="ab"/>
          <w:rFonts w:cs="Arial"/>
          <w:rtl/>
        </w:rPr>
        <w:footnoteReference w:id="1411"/>
      </w:r>
      <w:r w:rsidRPr="00F22DBE">
        <w:rPr>
          <w:rFonts w:cs="Arial"/>
          <w:rtl/>
        </w:rPr>
        <w:t xml:space="preserve">. </w:t>
      </w:r>
      <w:r w:rsidRPr="005A578F">
        <w:rPr>
          <w:rFonts w:cs="Arial"/>
          <w:rtl/>
        </w:rPr>
        <w:t xml:space="preserve"> </w:t>
      </w:r>
    </w:p>
    <w:p w14:paraId="50554CC2" w14:textId="77777777" w:rsidR="004B607F" w:rsidRDefault="004B607F" w:rsidP="004B607F">
      <w:pPr>
        <w:rPr>
          <w:rFonts w:cs="Arial"/>
          <w:rtl/>
        </w:rPr>
      </w:pPr>
      <w:r>
        <w:rPr>
          <w:rFonts w:cs="Arial" w:hint="cs"/>
          <w:u w:val="single"/>
          <w:rtl/>
        </w:rPr>
        <w:t>אדם שתובע אלם לדין והעדים מפחדים להעיד:</w:t>
      </w:r>
    </w:p>
    <w:p w14:paraId="736E8850" w14:textId="77777777" w:rsidR="004B607F" w:rsidRPr="00C8698E" w:rsidRDefault="004B607F" w:rsidP="004B0475">
      <w:pPr>
        <w:pStyle w:val="ac"/>
        <w:numPr>
          <w:ilvl w:val="0"/>
          <w:numId w:val="69"/>
        </w:numPr>
        <w:rPr>
          <w:rFonts w:cs="Arial"/>
          <w:rtl/>
        </w:rPr>
      </w:pPr>
      <w:r w:rsidRPr="00C8698E">
        <w:rPr>
          <w:rFonts w:cs="Arial" w:hint="cs"/>
          <w:rtl/>
        </w:rPr>
        <w:t xml:space="preserve">טור- </w:t>
      </w:r>
      <w:r w:rsidRPr="00C8698E">
        <w:rPr>
          <w:rFonts w:cs="Arial"/>
          <w:rtl/>
        </w:rPr>
        <w:t>אם הבעל דין אלם</w:t>
      </w:r>
      <w:r w:rsidRPr="00C8698E">
        <w:rPr>
          <w:rFonts w:cs="Arial" w:hint="cs"/>
          <w:rtl/>
        </w:rPr>
        <w:t>,</w:t>
      </w:r>
      <w:r w:rsidRPr="00C8698E">
        <w:rPr>
          <w:rFonts w:cs="Arial"/>
          <w:rtl/>
        </w:rPr>
        <w:t xml:space="preserve"> ובא מי שיש לו תביעה עליו לב"ד ואמר </w:t>
      </w:r>
      <w:r>
        <w:rPr>
          <w:rFonts w:cs="Arial" w:hint="cs"/>
          <w:rtl/>
        </w:rPr>
        <w:t>'</w:t>
      </w:r>
      <w:r w:rsidRPr="00C8698E">
        <w:rPr>
          <w:rFonts w:cs="Arial"/>
          <w:rtl/>
        </w:rPr>
        <w:t>פלוני בעל דיני אלם ויש לי עדים עליו ואינם רשאים להעיד מפני אלמותו</w:t>
      </w:r>
      <w:r>
        <w:rPr>
          <w:rFonts w:cs="Arial" w:hint="cs"/>
          <w:rtl/>
        </w:rPr>
        <w:t>' -</w:t>
      </w:r>
      <w:r w:rsidRPr="00C8698E">
        <w:rPr>
          <w:rFonts w:cs="Arial"/>
          <w:rtl/>
        </w:rPr>
        <w:t xml:space="preserve"> ב"ד כופין את האלם שיביא אותן העדים שאומר אותו שכנגדו שיודעין בדבר</w:t>
      </w:r>
      <w:r w:rsidRPr="00C8698E">
        <w:rPr>
          <w:rFonts w:cs="Arial" w:hint="cs"/>
          <w:rtl/>
        </w:rPr>
        <w:t>.</w:t>
      </w:r>
    </w:p>
    <w:p w14:paraId="72705D18" w14:textId="77777777" w:rsidR="004B607F" w:rsidRPr="00C8698E" w:rsidRDefault="004B607F" w:rsidP="004B607F">
      <w:pPr>
        <w:ind w:left="360"/>
        <w:rPr>
          <w:rFonts w:cs="Arial"/>
          <w:u w:val="dotted"/>
          <w:rtl/>
        </w:rPr>
      </w:pPr>
      <w:r w:rsidRPr="00C8698E">
        <w:rPr>
          <w:rFonts w:cs="Arial" w:hint="cs"/>
          <w:u w:val="dotted"/>
          <w:rtl/>
        </w:rPr>
        <w:t xml:space="preserve">מתי מחייבים את האלם שיביא הוא את העדים </w:t>
      </w:r>
      <w:r w:rsidRPr="00263138">
        <w:rPr>
          <w:rFonts w:cs="Arial" w:hint="cs"/>
          <w:sz w:val="16"/>
          <w:szCs w:val="16"/>
          <w:u w:val="dotted"/>
          <w:rtl/>
        </w:rPr>
        <w:t>(אע"פ שהוא הנתבע</w:t>
      </w:r>
      <w:r>
        <w:rPr>
          <w:rFonts w:cs="Arial" w:hint="cs"/>
          <w:sz w:val="16"/>
          <w:szCs w:val="16"/>
          <w:u w:val="dotted"/>
          <w:rtl/>
        </w:rPr>
        <w:t>)</w:t>
      </w:r>
      <w:r w:rsidRPr="00C8698E">
        <w:rPr>
          <w:rFonts w:cs="Arial" w:hint="cs"/>
          <w:u w:val="dotted"/>
          <w:rtl/>
        </w:rPr>
        <w:t>:</w:t>
      </w:r>
    </w:p>
    <w:p w14:paraId="5BB0619F" w14:textId="77777777" w:rsidR="004B607F" w:rsidRDefault="004B607F" w:rsidP="004B0475">
      <w:pPr>
        <w:pStyle w:val="ac"/>
        <w:numPr>
          <w:ilvl w:val="0"/>
          <w:numId w:val="69"/>
        </w:numPr>
        <w:rPr>
          <w:rFonts w:cs="Arial"/>
        </w:rPr>
      </w:pPr>
      <w:r w:rsidRPr="00C76ADF">
        <w:rPr>
          <w:rFonts w:cs="Arial"/>
          <w:rtl/>
        </w:rPr>
        <w:t>תוס</w:t>
      </w:r>
      <w:r w:rsidRPr="00C76ADF">
        <w:rPr>
          <w:rFonts w:cs="Arial" w:hint="cs"/>
          <w:rtl/>
        </w:rPr>
        <w:t>'</w:t>
      </w:r>
      <w:r>
        <w:rPr>
          <w:rStyle w:val="ab"/>
          <w:rFonts w:cs="Arial"/>
          <w:rtl/>
        </w:rPr>
        <w:footnoteReference w:id="1412"/>
      </w:r>
      <w:r w:rsidRPr="00C76ADF">
        <w:rPr>
          <w:rFonts w:cs="Arial"/>
          <w:rtl/>
        </w:rPr>
        <w:t xml:space="preserve"> </w:t>
      </w:r>
      <w:r w:rsidRPr="00C76ADF">
        <w:rPr>
          <w:rFonts w:cs="Arial" w:hint="cs"/>
          <w:sz w:val="16"/>
          <w:szCs w:val="16"/>
          <w:rtl/>
        </w:rPr>
        <w:t>(</w:t>
      </w:r>
      <w:r w:rsidRPr="00C76ADF">
        <w:rPr>
          <w:rFonts w:cs="Arial"/>
          <w:sz w:val="16"/>
          <w:szCs w:val="16"/>
          <w:rtl/>
        </w:rPr>
        <w:t>בהמפקיד ד"ה זיל)</w:t>
      </w:r>
      <w:r w:rsidRPr="00C76ADF">
        <w:rPr>
          <w:rFonts w:cs="Arial" w:hint="cs"/>
          <w:sz w:val="16"/>
          <w:szCs w:val="16"/>
          <w:rtl/>
        </w:rPr>
        <w:t xml:space="preserve"> </w:t>
      </w:r>
      <w:r w:rsidRPr="00C76ADF">
        <w:rPr>
          <w:rFonts w:cs="Arial"/>
          <w:rtl/>
        </w:rPr>
        <w:t xml:space="preserve">רא"ש </w:t>
      </w:r>
      <w:r w:rsidRPr="00C76ADF">
        <w:rPr>
          <w:rFonts w:cs="Arial"/>
          <w:sz w:val="16"/>
          <w:szCs w:val="16"/>
          <w:rtl/>
        </w:rPr>
        <w:t>(שם סי' יד)</w:t>
      </w:r>
      <w:r w:rsidRPr="00C76ADF">
        <w:rPr>
          <w:rFonts w:cs="Arial"/>
          <w:rtl/>
        </w:rPr>
        <w:t xml:space="preserve"> הגמ</w:t>
      </w:r>
      <w:r w:rsidRPr="00C76ADF">
        <w:rPr>
          <w:rFonts w:cs="Arial" w:hint="cs"/>
          <w:rtl/>
        </w:rPr>
        <w:t>"</w:t>
      </w:r>
      <w:r w:rsidRPr="00C76ADF">
        <w:rPr>
          <w:rFonts w:cs="Arial"/>
          <w:rtl/>
        </w:rPr>
        <w:t xml:space="preserve">ר </w:t>
      </w:r>
      <w:r w:rsidRPr="00C76ADF">
        <w:rPr>
          <w:rFonts w:cs="Arial"/>
          <w:sz w:val="16"/>
          <w:szCs w:val="16"/>
          <w:rtl/>
        </w:rPr>
        <w:t>(ב"מ סי' תלא)</w:t>
      </w:r>
      <w:r>
        <w:rPr>
          <w:rFonts w:cs="Arial" w:hint="cs"/>
          <w:rtl/>
        </w:rPr>
        <w:t xml:space="preserve"> וטור</w:t>
      </w:r>
      <w:r w:rsidRPr="00C76ADF">
        <w:rPr>
          <w:rFonts w:cs="Arial" w:hint="cs"/>
          <w:rtl/>
        </w:rPr>
        <w:t xml:space="preserve">- </w:t>
      </w:r>
      <w:r w:rsidRPr="00F22DBE">
        <w:rPr>
          <w:rFonts w:cs="Arial"/>
          <w:rtl/>
        </w:rPr>
        <w:t>דוקא שיש הוכחה שהעדים יודעין אלא שיראים להעיד</w:t>
      </w:r>
      <w:r>
        <w:rPr>
          <w:rFonts w:cs="Arial" w:hint="cs"/>
          <w:rtl/>
        </w:rPr>
        <w:t>,</w:t>
      </w:r>
      <w:r w:rsidRPr="00F22DBE">
        <w:rPr>
          <w:rFonts w:cs="Arial"/>
          <w:rtl/>
        </w:rPr>
        <w:t xml:space="preserve"> כגון שאומרים מה לנו ולצרה שנכניס עצמינו על זה או דברים כיוצא באלו</w:t>
      </w:r>
      <w:r>
        <w:rPr>
          <w:rFonts w:cs="Arial" w:hint="cs"/>
          <w:rtl/>
        </w:rPr>
        <w:t>.</w:t>
      </w:r>
      <w:r w:rsidRPr="00F22DBE">
        <w:rPr>
          <w:rFonts w:cs="Arial"/>
          <w:rtl/>
        </w:rPr>
        <w:t xml:space="preserve"> אבל אם אין רגלים לדבר </w:t>
      </w:r>
      <w:r>
        <w:rPr>
          <w:rFonts w:cs="Arial" w:hint="cs"/>
          <w:rtl/>
        </w:rPr>
        <w:t xml:space="preserve">- </w:t>
      </w:r>
      <w:r w:rsidRPr="00F22DBE">
        <w:rPr>
          <w:rFonts w:cs="Arial"/>
          <w:rtl/>
        </w:rPr>
        <w:t>לא</w:t>
      </w:r>
      <w:r>
        <w:rPr>
          <w:rFonts w:cs="Arial" w:hint="cs"/>
          <w:rtl/>
        </w:rPr>
        <w:t>,</w:t>
      </w:r>
      <w:r w:rsidRPr="00F22DBE">
        <w:rPr>
          <w:rFonts w:cs="Arial"/>
          <w:rtl/>
        </w:rPr>
        <w:t xml:space="preserve"> דאל</w:t>
      </w:r>
      <w:r>
        <w:rPr>
          <w:rFonts w:cs="Arial" w:hint="cs"/>
          <w:rtl/>
        </w:rPr>
        <w:t>"</w:t>
      </w:r>
      <w:r w:rsidRPr="00F22DBE">
        <w:rPr>
          <w:rFonts w:cs="Arial"/>
          <w:rtl/>
        </w:rPr>
        <w:t>כ כל מי שיש לו דין עם אלם יאמר כן כדי שנחייב האלם להביא העדים</w:t>
      </w:r>
      <w:r>
        <w:rPr>
          <w:rFonts w:cs="Arial" w:hint="cs"/>
          <w:sz w:val="16"/>
          <w:szCs w:val="16"/>
          <w:rtl/>
        </w:rPr>
        <w:t xml:space="preserve"> (ל' הטור)</w:t>
      </w:r>
      <w:r w:rsidRPr="00F22DBE">
        <w:rPr>
          <w:rFonts w:cs="Arial" w:hint="cs"/>
          <w:rtl/>
        </w:rPr>
        <w:t>.</w:t>
      </w:r>
      <w:r>
        <w:rPr>
          <w:rFonts w:cs="Arial" w:hint="cs"/>
          <w:rtl/>
        </w:rPr>
        <w:t xml:space="preserve"> </w:t>
      </w:r>
      <w:r w:rsidRPr="008845D0">
        <w:rPr>
          <w:rFonts w:cs="Arial" w:hint="cs"/>
          <w:color w:val="00B0F0"/>
          <w:rtl/>
        </w:rPr>
        <w:t>(וכ"פ הרמ"א)</w:t>
      </w:r>
    </w:p>
    <w:p w14:paraId="189DED00" w14:textId="77777777" w:rsidR="004B607F" w:rsidRDefault="004B607F" w:rsidP="004B0475">
      <w:pPr>
        <w:pStyle w:val="ac"/>
        <w:numPr>
          <w:ilvl w:val="0"/>
          <w:numId w:val="69"/>
        </w:numPr>
        <w:rPr>
          <w:rFonts w:cs="Arial"/>
        </w:rPr>
      </w:pPr>
      <w:r w:rsidRPr="00C76ADF">
        <w:rPr>
          <w:rFonts w:cs="Arial"/>
          <w:rtl/>
        </w:rPr>
        <w:t xml:space="preserve">רש"י </w:t>
      </w:r>
      <w:r w:rsidRPr="00C76ADF">
        <w:rPr>
          <w:rFonts w:cs="Arial"/>
          <w:sz w:val="16"/>
          <w:szCs w:val="16"/>
          <w:rtl/>
        </w:rPr>
        <w:t>(ב"מ שם</w:t>
      </w:r>
      <w:r>
        <w:rPr>
          <w:rFonts w:cs="Arial" w:hint="cs"/>
          <w:sz w:val="16"/>
          <w:szCs w:val="16"/>
          <w:rtl/>
        </w:rPr>
        <w:t>, להב' הב"י</w:t>
      </w:r>
      <w:r w:rsidRPr="00C76ADF">
        <w:rPr>
          <w:rFonts w:cs="Arial"/>
          <w:sz w:val="16"/>
          <w:szCs w:val="16"/>
          <w:rtl/>
        </w:rPr>
        <w:t>)</w:t>
      </w:r>
      <w:r w:rsidRPr="00C76ADF">
        <w:rPr>
          <w:rFonts w:cs="Arial"/>
          <w:rtl/>
        </w:rPr>
        <w:t xml:space="preserve"> </w:t>
      </w:r>
      <w:r>
        <w:rPr>
          <w:rFonts w:cs="Arial" w:hint="cs"/>
          <w:rtl/>
        </w:rPr>
        <w:t>ו</w:t>
      </w:r>
      <w:r w:rsidRPr="00C76ADF">
        <w:rPr>
          <w:rFonts w:cs="Arial"/>
          <w:rtl/>
        </w:rPr>
        <w:t>רמב"ם</w:t>
      </w:r>
      <w:r>
        <w:rPr>
          <w:rStyle w:val="ab"/>
          <w:rFonts w:cs="Arial"/>
          <w:rtl/>
        </w:rPr>
        <w:footnoteReference w:id="1413"/>
      </w:r>
      <w:r w:rsidRPr="00C76ADF">
        <w:rPr>
          <w:rFonts w:cs="Arial"/>
          <w:sz w:val="16"/>
          <w:szCs w:val="16"/>
          <w:rtl/>
        </w:rPr>
        <w:t xml:space="preserve"> </w:t>
      </w:r>
      <w:r w:rsidRPr="00C76ADF">
        <w:rPr>
          <w:rFonts w:cs="Arial" w:hint="cs"/>
          <w:sz w:val="16"/>
          <w:szCs w:val="16"/>
          <w:rtl/>
        </w:rPr>
        <w:t>(</w:t>
      </w:r>
      <w:r w:rsidRPr="00C76ADF">
        <w:rPr>
          <w:rFonts w:cs="Arial"/>
          <w:sz w:val="16"/>
          <w:szCs w:val="16"/>
          <w:rtl/>
        </w:rPr>
        <w:t>פ"ג מהל</w:t>
      </w:r>
      <w:r w:rsidRPr="00C76ADF">
        <w:rPr>
          <w:rFonts w:cs="Arial" w:hint="cs"/>
          <w:sz w:val="16"/>
          <w:szCs w:val="16"/>
          <w:rtl/>
        </w:rPr>
        <w:t>'</w:t>
      </w:r>
      <w:r w:rsidRPr="00C76ADF">
        <w:rPr>
          <w:rFonts w:cs="Arial"/>
          <w:sz w:val="16"/>
          <w:szCs w:val="16"/>
          <w:rtl/>
        </w:rPr>
        <w:t xml:space="preserve"> עדות הי"ב</w:t>
      </w:r>
      <w:r>
        <w:rPr>
          <w:rFonts w:cs="Arial" w:hint="cs"/>
          <w:sz w:val="16"/>
          <w:szCs w:val="16"/>
          <w:rtl/>
        </w:rPr>
        <w:t>, להב' הב"י</w:t>
      </w:r>
      <w:r w:rsidRPr="00C76ADF">
        <w:rPr>
          <w:rFonts w:cs="Arial"/>
          <w:sz w:val="16"/>
          <w:szCs w:val="16"/>
          <w:rtl/>
        </w:rPr>
        <w:t>)</w:t>
      </w:r>
      <w:r>
        <w:rPr>
          <w:rFonts w:cs="Arial" w:hint="cs"/>
          <w:rtl/>
        </w:rPr>
        <w:t xml:space="preserve">- </w:t>
      </w:r>
      <w:r>
        <w:rPr>
          <w:rStyle w:val="ab"/>
          <w:rFonts w:cs="Arial"/>
          <w:rtl/>
        </w:rPr>
        <w:footnoteReference w:id="1414"/>
      </w:r>
      <w:r w:rsidRPr="00C76ADF">
        <w:rPr>
          <w:rFonts w:cs="Arial"/>
          <w:rtl/>
        </w:rPr>
        <w:t>אע</w:t>
      </w:r>
      <w:r w:rsidRPr="00C76ADF">
        <w:rPr>
          <w:rFonts w:cs="Arial" w:hint="cs"/>
          <w:rtl/>
        </w:rPr>
        <w:t>"</w:t>
      </w:r>
      <w:r w:rsidRPr="00C76ADF">
        <w:rPr>
          <w:rFonts w:cs="Arial"/>
          <w:rtl/>
        </w:rPr>
        <w:t xml:space="preserve">ג דאין רגלים לדבר כל היכא דאמר דמסתפו סהדי מיניה דגברא אלמא הוא אמרינן ליה </w:t>
      </w:r>
      <w:r>
        <w:rPr>
          <w:rFonts w:cs="Arial" w:hint="cs"/>
          <w:rtl/>
        </w:rPr>
        <w:t>'</w:t>
      </w:r>
      <w:r w:rsidRPr="00C76ADF">
        <w:rPr>
          <w:rFonts w:cs="Arial"/>
          <w:rtl/>
        </w:rPr>
        <w:t>זיל אייתינהו את</w:t>
      </w:r>
      <w:r>
        <w:rPr>
          <w:rFonts w:cs="Arial" w:hint="cs"/>
          <w:rtl/>
        </w:rPr>
        <w:t>'.</w:t>
      </w:r>
      <w:r w:rsidRPr="00C76ADF">
        <w:rPr>
          <w:rFonts w:cs="Arial"/>
          <w:rtl/>
        </w:rPr>
        <w:t xml:space="preserve"> וליכא למימר לא שבקת חיי שאין זה מסור לבעל דין לבד אלא גם לבית דין אם מוחזק להו באלמא</w:t>
      </w:r>
      <w:r>
        <w:rPr>
          <w:rFonts w:cs="Arial" w:hint="cs"/>
          <w:rtl/>
        </w:rPr>
        <w:t xml:space="preserve">. לפיכך </w:t>
      </w:r>
      <w:r w:rsidRPr="00C76ADF">
        <w:rPr>
          <w:rFonts w:cs="Arial"/>
          <w:rtl/>
        </w:rPr>
        <w:t>תרתי בעינן</w:t>
      </w:r>
      <w:r>
        <w:rPr>
          <w:rFonts w:cs="Arial" w:hint="cs"/>
          <w:rtl/>
        </w:rPr>
        <w:t>,</w:t>
      </w:r>
      <w:r w:rsidRPr="00C76ADF">
        <w:rPr>
          <w:rFonts w:cs="Arial"/>
          <w:rtl/>
        </w:rPr>
        <w:t xml:space="preserve"> שידעו בית דין שהוא אלם</w:t>
      </w:r>
      <w:r>
        <w:rPr>
          <w:rFonts w:cs="Arial" w:hint="cs"/>
          <w:rtl/>
        </w:rPr>
        <w:t>,</w:t>
      </w:r>
      <w:r w:rsidRPr="00C76ADF">
        <w:rPr>
          <w:rFonts w:cs="Arial"/>
          <w:rtl/>
        </w:rPr>
        <w:t xml:space="preserve"> ושיטעון התובע שהעדים מתפחדים</w:t>
      </w:r>
      <w:r>
        <w:rPr>
          <w:rFonts w:cs="Arial" w:hint="cs"/>
          <w:sz w:val="16"/>
          <w:szCs w:val="16"/>
          <w:rtl/>
        </w:rPr>
        <w:t xml:space="preserve"> (ל' הב"י)</w:t>
      </w:r>
      <w:r>
        <w:rPr>
          <w:rStyle w:val="ab"/>
          <w:rFonts w:cs="Arial"/>
          <w:rtl/>
        </w:rPr>
        <w:footnoteReference w:id="1415"/>
      </w:r>
      <w:r w:rsidRPr="00C76ADF">
        <w:rPr>
          <w:rFonts w:cs="Arial"/>
          <w:rtl/>
        </w:rPr>
        <w:t>.</w:t>
      </w:r>
      <w:r w:rsidRPr="005A578F">
        <w:rPr>
          <w:rFonts w:cs="Arial" w:hint="cs"/>
          <w:color w:val="E36C0A" w:themeColor="accent6" w:themeShade="BF"/>
          <w:rtl/>
        </w:rPr>
        <w:t xml:space="preserve"> </w:t>
      </w:r>
      <w:r w:rsidRPr="008845D0">
        <w:rPr>
          <w:rFonts w:cs="Arial" w:hint="cs"/>
          <w:color w:val="E36C0A" w:themeColor="accent6" w:themeShade="BF"/>
          <w:rtl/>
        </w:rPr>
        <w:t>(וכ"פ בשו"ע)</w:t>
      </w:r>
    </w:p>
    <w:p w14:paraId="7D99E37A" w14:textId="77777777" w:rsidR="004B607F" w:rsidRPr="00C8698E" w:rsidRDefault="004B607F" w:rsidP="004B0475">
      <w:pPr>
        <w:pStyle w:val="ac"/>
        <w:numPr>
          <w:ilvl w:val="0"/>
          <w:numId w:val="69"/>
        </w:numPr>
        <w:rPr>
          <w:rFonts w:cs="Arial"/>
          <w:rtl/>
        </w:rPr>
      </w:pPr>
      <w:r w:rsidRPr="00C76ADF">
        <w:rPr>
          <w:rFonts w:cs="Arial"/>
          <w:rtl/>
        </w:rPr>
        <w:t>נמוק</w:t>
      </w:r>
      <w:r w:rsidRPr="00C76ADF">
        <w:rPr>
          <w:rFonts w:cs="Arial" w:hint="cs"/>
          <w:rtl/>
        </w:rPr>
        <w:t>"</w:t>
      </w:r>
      <w:r w:rsidRPr="00C76ADF">
        <w:rPr>
          <w:rFonts w:cs="Arial"/>
          <w:rtl/>
        </w:rPr>
        <w:t xml:space="preserve">י </w:t>
      </w:r>
      <w:r w:rsidRPr="00C76ADF">
        <w:rPr>
          <w:rFonts w:cs="Arial"/>
          <w:sz w:val="16"/>
          <w:szCs w:val="16"/>
          <w:rtl/>
        </w:rPr>
        <w:t>(ב"מ כב: ד"ה מארי</w:t>
      </w:r>
      <w:r>
        <w:rPr>
          <w:rFonts w:cs="Arial" w:hint="cs"/>
          <w:sz w:val="16"/>
          <w:szCs w:val="16"/>
          <w:rtl/>
        </w:rPr>
        <w:t>, להב' הב"י</w:t>
      </w:r>
      <w:r w:rsidRPr="00C76ADF">
        <w:rPr>
          <w:rFonts w:cs="Arial"/>
          <w:sz w:val="16"/>
          <w:szCs w:val="16"/>
          <w:rtl/>
        </w:rPr>
        <w:t>)</w:t>
      </w:r>
      <w:r>
        <w:rPr>
          <w:rFonts w:cs="Arial" w:hint="cs"/>
          <w:rtl/>
        </w:rPr>
        <w:t xml:space="preserve">- </w:t>
      </w:r>
      <w:r>
        <w:rPr>
          <w:rStyle w:val="ab"/>
          <w:rFonts w:cs="Arial"/>
          <w:rtl/>
        </w:rPr>
        <w:footnoteReference w:id="1416"/>
      </w:r>
      <w:r w:rsidRPr="00C8698E">
        <w:rPr>
          <w:rFonts w:cs="Arial"/>
          <w:rtl/>
        </w:rPr>
        <w:t>דוקא היכא שיש רגלים לדבר שהאלם טוען שקר הוא דאמרינן ליה אייתי סהדי ואע</w:t>
      </w:r>
      <w:r w:rsidRPr="00C8698E">
        <w:rPr>
          <w:rFonts w:cs="Arial" w:hint="cs"/>
          <w:rtl/>
        </w:rPr>
        <w:t>"</w:t>
      </w:r>
      <w:r w:rsidRPr="00C8698E">
        <w:rPr>
          <w:rFonts w:cs="Arial"/>
          <w:rtl/>
        </w:rPr>
        <w:t>פ שלא אמרו העדים מה לנו ולצרה וכו'</w:t>
      </w:r>
      <w:r>
        <w:rPr>
          <w:rFonts w:cs="Arial" w:hint="cs"/>
          <w:rtl/>
        </w:rPr>
        <w:t>,</w:t>
      </w:r>
      <w:r w:rsidRPr="00C8698E">
        <w:rPr>
          <w:rFonts w:cs="Arial"/>
          <w:rtl/>
        </w:rPr>
        <w:t xml:space="preserve"> אבל היכא דאין רגלים שטוען שקר אע</w:t>
      </w:r>
      <w:r w:rsidRPr="00C8698E">
        <w:rPr>
          <w:rFonts w:cs="Arial" w:hint="cs"/>
          <w:rtl/>
        </w:rPr>
        <w:t>"</w:t>
      </w:r>
      <w:r w:rsidRPr="00C8698E">
        <w:rPr>
          <w:rFonts w:cs="Arial"/>
          <w:rtl/>
        </w:rPr>
        <w:t xml:space="preserve">פ שהעדים אמרו מה לנו ולצרה או כיוצא בזה </w:t>
      </w:r>
      <w:r>
        <w:rPr>
          <w:rFonts w:cs="Arial" w:hint="cs"/>
          <w:rtl/>
        </w:rPr>
        <w:t xml:space="preserve">- </w:t>
      </w:r>
      <w:r w:rsidRPr="00C8698E">
        <w:rPr>
          <w:rFonts w:cs="Arial"/>
          <w:rtl/>
        </w:rPr>
        <w:t>אין מחייבין אותו להביא עדים</w:t>
      </w:r>
      <w:r>
        <w:rPr>
          <w:rFonts w:cs="Arial" w:hint="cs"/>
          <w:rtl/>
        </w:rPr>
        <w:t>.</w:t>
      </w:r>
      <w:r w:rsidRPr="00C8698E">
        <w:rPr>
          <w:rFonts w:cs="Arial"/>
          <w:rtl/>
        </w:rPr>
        <w:t xml:space="preserve"> </w:t>
      </w:r>
    </w:p>
    <w:p w14:paraId="13B8AE4B" w14:textId="77777777" w:rsidR="004B607F" w:rsidRDefault="004B607F" w:rsidP="004B607F">
      <w:pPr>
        <w:rPr>
          <w:rFonts w:cs="Arial"/>
          <w:rtl/>
        </w:rPr>
      </w:pPr>
      <w:r w:rsidRPr="003948B6">
        <w:rPr>
          <w:rFonts w:cs="Arial" w:hint="cs"/>
          <w:b/>
          <w:bCs/>
          <w:rtl/>
        </w:rPr>
        <w:t xml:space="preserve">שבועות </w:t>
      </w:r>
      <w:r w:rsidRPr="003948B6">
        <w:rPr>
          <w:rFonts w:cs="Arial" w:hint="cs"/>
          <w:b/>
          <w:bCs/>
          <w:sz w:val="16"/>
          <w:szCs w:val="16"/>
          <w:rtl/>
        </w:rPr>
        <w:t xml:space="preserve">(פ' שבועת העדות) </w:t>
      </w:r>
      <w:r w:rsidRPr="003948B6">
        <w:rPr>
          <w:rFonts w:cs="Arial" w:hint="cs"/>
          <w:b/>
          <w:bCs/>
          <w:rtl/>
        </w:rPr>
        <w:t>ל</w:t>
      </w:r>
      <w:r>
        <w:rPr>
          <w:rStyle w:val="ab"/>
          <w:rFonts w:cs="Arial"/>
          <w:b/>
          <w:bCs/>
          <w:rtl/>
        </w:rPr>
        <w:footnoteReference w:id="1417"/>
      </w:r>
      <w:r w:rsidRPr="003948B6">
        <w:rPr>
          <w:rFonts w:cs="Arial" w:hint="cs"/>
          <w:b/>
          <w:bCs/>
          <w:rtl/>
        </w:rPr>
        <w:t xml:space="preserve"> ע"ב:</w:t>
      </w:r>
      <w:r>
        <w:rPr>
          <w:rFonts w:cs="Arial" w:hint="cs"/>
          <w:rtl/>
        </w:rPr>
        <w:t xml:space="preserve"> </w:t>
      </w:r>
      <w:r w:rsidRPr="000A0D0C">
        <w:rPr>
          <w:rFonts w:cs="Arial"/>
          <w:u w:val="single"/>
          <w:rtl/>
        </w:rPr>
        <w:t>אמר עולא</w:t>
      </w:r>
      <w:r w:rsidRPr="00B4202F">
        <w:rPr>
          <w:rFonts w:cs="Arial"/>
          <w:rtl/>
        </w:rPr>
        <w:t>: מחלוקת - בבעלי דינין, אבל בעדים - דברי הכל בעמידה, דכתיב: ועמדו</w:t>
      </w:r>
      <w:r>
        <w:rPr>
          <w:rStyle w:val="ab"/>
          <w:rFonts w:cs="Arial"/>
          <w:rtl/>
        </w:rPr>
        <w:footnoteReference w:id="1418"/>
      </w:r>
      <w:r w:rsidRPr="00B4202F">
        <w:rPr>
          <w:rFonts w:cs="Arial"/>
          <w:rtl/>
        </w:rPr>
        <w:t xml:space="preserve"> שני האנשים.</w:t>
      </w:r>
    </w:p>
    <w:p w14:paraId="2F03272C" w14:textId="77777777" w:rsidR="004B607F" w:rsidRPr="008F255B" w:rsidRDefault="004B607F" w:rsidP="004B607F">
      <w:pPr>
        <w:rPr>
          <w:rFonts w:cs="Arial"/>
          <w:u w:val="single"/>
          <w:rtl/>
        </w:rPr>
      </w:pPr>
      <w:r>
        <w:rPr>
          <w:rFonts w:cs="Arial" w:hint="cs"/>
          <w:u w:val="single"/>
          <w:rtl/>
        </w:rPr>
        <w:t>ל</w:t>
      </w:r>
      <w:r w:rsidRPr="008F255B">
        <w:rPr>
          <w:rFonts w:cs="Arial" w:hint="cs"/>
          <w:u w:val="single"/>
          <w:rtl/>
        </w:rPr>
        <w:t xml:space="preserve">דברי הכל </w:t>
      </w:r>
      <w:r w:rsidRPr="008F255B">
        <w:rPr>
          <w:rFonts w:cs="Arial"/>
          <w:u w:val="single"/>
          <w:rtl/>
        </w:rPr>
        <w:t>צריך שיעידו העדים מעומד</w:t>
      </w:r>
      <w:r w:rsidRPr="008F255B">
        <w:rPr>
          <w:rFonts w:cs="Arial" w:hint="cs"/>
          <w:u w:val="single"/>
          <w:rtl/>
        </w:rPr>
        <w:t xml:space="preserve"> </w:t>
      </w:r>
      <w:r w:rsidRPr="008F255B">
        <w:rPr>
          <w:rFonts w:cs="Arial"/>
          <w:u w:val="single"/>
          <w:rtl/>
        </w:rPr>
        <w:t>–</w:t>
      </w:r>
      <w:r w:rsidRPr="008F255B">
        <w:rPr>
          <w:rFonts w:cs="Arial" w:hint="cs"/>
          <w:u w:val="single"/>
          <w:rtl/>
        </w:rPr>
        <w:t xml:space="preserve"> מה הדין אם העידו בישיבה:</w:t>
      </w:r>
    </w:p>
    <w:p w14:paraId="2702981B" w14:textId="77777777" w:rsidR="004B607F" w:rsidRPr="008F255B" w:rsidRDefault="004B607F" w:rsidP="004B0475">
      <w:pPr>
        <w:pStyle w:val="ac"/>
        <w:numPr>
          <w:ilvl w:val="0"/>
          <w:numId w:val="71"/>
        </w:numPr>
        <w:rPr>
          <w:rFonts w:cs="Arial"/>
          <w:rtl/>
        </w:rPr>
      </w:pPr>
      <w:r w:rsidRPr="008F255B">
        <w:rPr>
          <w:rFonts w:cs="Arial" w:hint="cs"/>
          <w:rtl/>
        </w:rPr>
        <w:t>י</w:t>
      </w:r>
      <w:r w:rsidRPr="008F255B">
        <w:rPr>
          <w:rFonts w:cs="Arial"/>
          <w:rtl/>
        </w:rPr>
        <w:t>"א</w:t>
      </w:r>
      <w:r w:rsidRPr="008F255B">
        <w:rPr>
          <w:rFonts w:cs="Arial" w:hint="cs"/>
          <w:rtl/>
        </w:rPr>
        <w:t xml:space="preserve"> </w:t>
      </w:r>
      <w:r w:rsidRPr="007829D7">
        <w:rPr>
          <w:rFonts w:cs="Arial" w:hint="cs"/>
          <w:sz w:val="16"/>
          <w:szCs w:val="16"/>
          <w:rtl/>
        </w:rPr>
        <w:t>(הביא</w:t>
      </w:r>
      <w:r>
        <w:rPr>
          <w:rFonts w:cs="Arial" w:hint="cs"/>
          <w:sz w:val="16"/>
          <w:szCs w:val="16"/>
          <w:rtl/>
        </w:rPr>
        <w:t>ום</w:t>
      </w:r>
      <w:r w:rsidRPr="007829D7">
        <w:rPr>
          <w:rFonts w:cs="Arial" w:hint="cs"/>
          <w:sz w:val="16"/>
          <w:szCs w:val="16"/>
          <w:rtl/>
        </w:rPr>
        <w:t xml:space="preserve"> הרא"ש</w:t>
      </w:r>
      <w:r>
        <w:rPr>
          <w:rFonts w:cs="Arial" w:hint="cs"/>
          <w:sz w:val="16"/>
          <w:szCs w:val="16"/>
          <w:rtl/>
        </w:rPr>
        <w:t xml:space="preserve"> הטור והר"ן</w:t>
      </w:r>
      <w:r w:rsidRPr="007829D7">
        <w:rPr>
          <w:rFonts w:cs="Arial" w:hint="cs"/>
          <w:sz w:val="16"/>
          <w:szCs w:val="16"/>
          <w:rtl/>
        </w:rPr>
        <w:t>)</w:t>
      </w:r>
      <w:r w:rsidRPr="008F255B">
        <w:rPr>
          <w:rFonts w:cs="Arial" w:hint="cs"/>
          <w:rtl/>
        </w:rPr>
        <w:t xml:space="preserve">- </w:t>
      </w:r>
      <w:r w:rsidRPr="008F255B">
        <w:rPr>
          <w:rFonts w:cs="Arial"/>
          <w:rtl/>
        </w:rPr>
        <w:t>אם העידו מיושב אינו עדות ואין דנין על פיו</w:t>
      </w:r>
      <w:r>
        <w:rPr>
          <w:rStyle w:val="ab"/>
          <w:rFonts w:cs="Arial"/>
          <w:rtl/>
        </w:rPr>
        <w:footnoteReference w:id="1419"/>
      </w:r>
      <w:r w:rsidRPr="008F255B">
        <w:rPr>
          <w:rFonts w:cs="Arial" w:hint="cs"/>
          <w:rtl/>
        </w:rPr>
        <w:t>.</w:t>
      </w:r>
    </w:p>
    <w:p w14:paraId="29920479" w14:textId="77777777" w:rsidR="004B607F" w:rsidRDefault="004B607F" w:rsidP="004B0475">
      <w:pPr>
        <w:pStyle w:val="ac"/>
        <w:numPr>
          <w:ilvl w:val="0"/>
          <w:numId w:val="71"/>
        </w:numPr>
        <w:rPr>
          <w:rFonts w:cs="Arial"/>
        </w:rPr>
      </w:pPr>
      <w:r>
        <w:rPr>
          <w:rFonts w:cs="Arial"/>
          <w:rtl/>
        </w:rPr>
        <w:t>ריב"א</w:t>
      </w:r>
      <w:r>
        <w:rPr>
          <w:rFonts w:cs="Arial" w:hint="cs"/>
          <w:rtl/>
        </w:rPr>
        <w:t xml:space="preserve"> מהר"ם</w:t>
      </w:r>
      <w:r>
        <w:rPr>
          <w:rFonts w:cs="Arial"/>
          <w:rtl/>
        </w:rPr>
        <w:t xml:space="preserve"> רשב"א </w:t>
      </w:r>
      <w:r w:rsidRPr="008F255B">
        <w:rPr>
          <w:rFonts w:cs="Arial"/>
          <w:rtl/>
        </w:rPr>
        <w:t>רא"ש</w:t>
      </w:r>
      <w:r>
        <w:rPr>
          <w:rFonts w:cs="Arial" w:hint="cs"/>
          <w:rtl/>
        </w:rPr>
        <w:t xml:space="preserve"> </w:t>
      </w:r>
      <w:r>
        <w:rPr>
          <w:rFonts w:cs="Arial"/>
          <w:rtl/>
        </w:rPr>
        <w:t>הג</w:t>
      </w:r>
      <w:r>
        <w:rPr>
          <w:rFonts w:cs="Arial" w:hint="cs"/>
          <w:rtl/>
        </w:rPr>
        <w:t>ה"מ</w:t>
      </w:r>
      <w:r>
        <w:rPr>
          <w:rFonts w:cs="Arial"/>
          <w:rtl/>
        </w:rPr>
        <w:t xml:space="preserve"> </w:t>
      </w:r>
      <w:r>
        <w:rPr>
          <w:rFonts w:cs="Arial" w:hint="cs"/>
          <w:rtl/>
        </w:rPr>
        <w:t>רי"ו ו</w:t>
      </w:r>
      <w:r w:rsidRPr="008F255B">
        <w:rPr>
          <w:rFonts w:cs="Arial"/>
          <w:rtl/>
        </w:rPr>
        <w:t>ר"ן</w:t>
      </w:r>
      <w:r>
        <w:rPr>
          <w:rStyle w:val="ab"/>
          <w:rFonts w:cs="Arial"/>
          <w:rtl/>
        </w:rPr>
        <w:footnoteReference w:id="1420"/>
      </w:r>
      <w:r>
        <w:rPr>
          <w:rFonts w:cs="Arial" w:hint="cs"/>
          <w:rtl/>
        </w:rPr>
        <w:t xml:space="preserve">- </w:t>
      </w:r>
      <w:r>
        <w:rPr>
          <w:rFonts w:cs="Arial"/>
          <w:rtl/>
        </w:rPr>
        <w:t>בדיעבד עדותן עדות</w:t>
      </w:r>
      <w:r>
        <w:rPr>
          <w:rStyle w:val="ab"/>
          <w:rFonts w:cs="Arial"/>
          <w:rtl/>
        </w:rPr>
        <w:footnoteReference w:id="1421"/>
      </w:r>
      <w:r>
        <w:rPr>
          <w:rFonts w:cs="Arial" w:hint="cs"/>
          <w:rtl/>
        </w:rPr>
        <w:t>.</w:t>
      </w:r>
      <w:r w:rsidRPr="005A578F">
        <w:rPr>
          <w:rFonts w:cs="Arial" w:hint="cs"/>
          <w:color w:val="E36C0A" w:themeColor="accent6" w:themeShade="BF"/>
          <w:rtl/>
        </w:rPr>
        <w:t xml:space="preserve"> </w:t>
      </w:r>
      <w:r w:rsidRPr="008845D0">
        <w:rPr>
          <w:rFonts w:cs="Arial" w:hint="cs"/>
          <w:color w:val="E36C0A" w:themeColor="accent6" w:themeShade="BF"/>
          <w:rtl/>
        </w:rPr>
        <w:t>(וכ"פ בשו"ע)</w:t>
      </w:r>
    </w:p>
    <w:p w14:paraId="61C2666E" w14:textId="77777777" w:rsidR="004B607F" w:rsidRDefault="004B607F" w:rsidP="004B0475">
      <w:pPr>
        <w:pStyle w:val="ac"/>
        <w:numPr>
          <w:ilvl w:val="0"/>
          <w:numId w:val="71"/>
        </w:numPr>
        <w:rPr>
          <w:rFonts w:cs="Arial"/>
        </w:rPr>
      </w:pPr>
      <w:r w:rsidRPr="007829D7">
        <w:rPr>
          <w:rFonts w:cs="Arial"/>
          <w:rtl/>
        </w:rPr>
        <w:lastRenderedPageBreak/>
        <w:t xml:space="preserve">מרדכי ישן </w:t>
      </w:r>
      <w:r w:rsidRPr="007829D7">
        <w:rPr>
          <w:rFonts w:cs="Arial" w:hint="cs"/>
          <w:sz w:val="16"/>
          <w:szCs w:val="16"/>
          <w:rtl/>
        </w:rPr>
        <w:t>(הביאו הב"י)</w:t>
      </w:r>
      <w:r>
        <w:rPr>
          <w:rFonts w:cs="Arial" w:hint="cs"/>
          <w:rtl/>
        </w:rPr>
        <w:t>-</w:t>
      </w:r>
      <w:r w:rsidRPr="007829D7">
        <w:rPr>
          <w:rFonts w:cs="Arial"/>
          <w:rtl/>
        </w:rPr>
        <w:t xml:space="preserve"> נראה דהא דאמרינן מצוה בבעלי דינין שיעמדו פירוש כשעומדין אין רשאין לישב אבל ישבו קודם אין צריכין לעמוד דלא כתיב ויעמוד</w:t>
      </w:r>
      <w:r>
        <w:rPr>
          <w:rStyle w:val="ab"/>
          <w:rFonts w:cs="Arial"/>
          <w:rtl/>
        </w:rPr>
        <w:footnoteReference w:id="1422"/>
      </w:r>
      <w:r>
        <w:rPr>
          <w:rFonts w:cs="Arial" w:hint="cs"/>
          <w:rtl/>
        </w:rPr>
        <w:t>.</w:t>
      </w:r>
    </w:p>
    <w:p w14:paraId="79E066F2" w14:textId="77777777" w:rsidR="004B607F" w:rsidRDefault="004B607F" w:rsidP="004B0475">
      <w:pPr>
        <w:pStyle w:val="ac"/>
        <w:numPr>
          <w:ilvl w:val="0"/>
          <w:numId w:val="71"/>
        </w:numPr>
        <w:rPr>
          <w:rFonts w:cs="Arial"/>
        </w:rPr>
      </w:pPr>
      <w:r w:rsidRPr="007829D7">
        <w:rPr>
          <w:rFonts w:cs="Arial"/>
          <w:rtl/>
        </w:rPr>
        <w:t xml:space="preserve">רמב"ם </w:t>
      </w:r>
      <w:r w:rsidRPr="007829D7">
        <w:rPr>
          <w:rFonts w:cs="Arial" w:hint="cs"/>
          <w:sz w:val="16"/>
          <w:szCs w:val="16"/>
          <w:rtl/>
        </w:rPr>
        <w:t>(</w:t>
      </w:r>
      <w:r w:rsidRPr="007829D7">
        <w:rPr>
          <w:rFonts w:cs="Arial"/>
          <w:sz w:val="16"/>
          <w:szCs w:val="16"/>
          <w:rtl/>
        </w:rPr>
        <w:t>פכ"א מהל</w:t>
      </w:r>
      <w:r w:rsidRPr="007829D7">
        <w:rPr>
          <w:rFonts w:cs="Arial" w:hint="cs"/>
          <w:sz w:val="16"/>
          <w:szCs w:val="16"/>
          <w:rtl/>
        </w:rPr>
        <w:t>'</w:t>
      </w:r>
      <w:r w:rsidRPr="007829D7">
        <w:rPr>
          <w:rFonts w:cs="Arial"/>
          <w:sz w:val="16"/>
          <w:szCs w:val="16"/>
          <w:rtl/>
        </w:rPr>
        <w:t xml:space="preserve"> סנהדרין ה"ה)</w:t>
      </w:r>
      <w:r>
        <w:rPr>
          <w:rFonts w:cs="Arial" w:hint="cs"/>
          <w:rtl/>
        </w:rPr>
        <w:t>-</w:t>
      </w:r>
      <w:r w:rsidRPr="007829D7">
        <w:rPr>
          <w:rFonts w:cs="Arial"/>
          <w:rtl/>
        </w:rPr>
        <w:t xml:space="preserve"> כבר נהגו כל בתי דיני ישראל שאחר התלמוד בכל הישיבות מושיבין בעלי דינין ומושיבין העדים כדי לסלק המחלוקת שאין בנו כח להעמיד משפטי הדת על תלם. </w:t>
      </w:r>
      <w:r w:rsidRPr="004F5DDE">
        <w:rPr>
          <w:rFonts w:asciiTheme="minorBidi" w:hAnsiTheme="minorBidi" w:hint="cs"/>
          <w:color w:val="E36C0A" w:themeColor="accent6" w:themeShade="BF"/>
          <w:rtl/>
        </w:rPr>
        <w:t>(וכ"פ בשו"ע</w:t>
      </w:r>
      <w:r>
        <w:rPr>
          <w:rStyle w:val="ab"/>
          <w:rFonts w:asciiTheme="minorBidi" w:hAnsiTheme="minorBidi"/>
          <w:rtl/>
        </w:rPr>
        <w:footnoteReference w:id="1423"/>
      </w:r>
      <w:r w:rsidRPr="004F5DDE">
        <w:rPr>
          <w:rFonts w:asciiTheme="minorBidi" w:hAnsiTheme="minorBidi" w:hint="cs"/>
          <w:color w:val="E36C0A" w:themeColor="accent6" w:themeShade="BF"/>
          <w:sz w:val="16"/>
          <w:szCs w:val="16"/>
          <w:rtl/>
        </w:rPr>
        <w:t xml:space="preserve"> </w:t>
      </w:r>
      <w:r w:rsidRPr="004F5DDE">
        <w:rPr>
          <w:rFonts w:asciiTheme="minorBidi" w:hAnsiTheme="minorBidi" w:hint="cs"/>
          <w:sz w:val="16"/>
          <w:szCs w:val="16"/>
          <w:rtl/>
        </w:rPr>
        <w:t>[סי'</w:t>
      </w:r>
      <w:r>
        <w:rPr>
          <w:rFonts w:asciiTheme="minorBidi" w:hAnsiTheme="minorBidi" w:hint="cs"/>
          <w:sz w:val="16"/>
          <w:szCs w:val="16"/>
          <w:rtl/>
        </w:rPr>
        <w:t xml:space="preserve"> יז סע' ג</w:t>
      </w:r>
      <w:r w:rsidRPr="004F5DDE">
        <w:rPr>
          <w:rFonts w:asciiTheme="minorBidi" w:hAnsiTheme="minorBidi" w:hint="cs"/>
          <w:sz w:val="16"/>
          <w:szCs w:val="16"/>
          <w:rtl/>
        </w:rPr>
        <w:t>]</w:t>
      </w:r>
      <w:r w:rsidRPr="004F5DDE">
        <w:rPr>
          <w:rFonts w:asciiTheme="minorBidi" w:hAnsiTheme="minorBidi" w:hint="cs"/>
          <w:color w:val="E36C0A" w:themeColor="accent6" w:themeShade="BF"/>
          <w:rtl/>
        </w:rPr>
        <w:t>)</w:t>
      </w:r>
    </w:p>
    <w:p w14:paraId="30DA3BB7" w14:textId="77777777" w:rsidR="004B607F" w:rsidRDefault="004B607F" w:rsidP="004B0475">
      <w:pPr>
        <w:pStyle w:val="ac"/>
        <w:numPr>
          <w:ilvl w:val="0"/>
          <w:numId w:val="71"/>
        </w:numPr>
        <w:rPr>
          <w:rFonts w:cs="Arial"/>
        </w:rPr>
      </w:pPr>
      <w:r>
        <w:rPr>
          <w:rFonts w:cs="Arial"/>
          <w:rtl/>
        </w:rPr>
        <w:t xml:space="preserve">רבינו אליעזר ברבי שמשון </w:t>
      </w:r>
      <w:r>
        <w:rPr>
          <w:rFonts w:cs="Arial" w:hint="cs"/>
          <w:sz w:val="16"/>
          <w:szCs w:val="16"/>
          <w:rtl/>
        </w:rPr>
        <w:t>(כ"כ המרדכי בשמו)</w:t>
      </w:r>
      <w:r>
        <w:rPr>
          <w:rFonts w:cs="Arial" w:hint="cs"/>
          <w:rtl/>
        </w:rPr>
        <w:t>-</w:t>
      </w:r>
      <w:r>
        <w:rPr>
          <w:rFonts w:cs="Arial"/>
          <w:rtl/>
        </w:rPr>
        <w:t xml:space="preserve"> עמידה דוקא לפני מומחין הוא משום דכתיב ועמדו שני האנשים וכו' לפני ה'</w:t>
      </w:r>
      <w:r>
        <w:rPr>
          <w:rFonts w:cs="Arial" w:hint="cs"/>
          <w:rtl/>
        </w:rPr>
        <w:t>,</w:t>
      </w:r>
      <w:r>
        <w:rPr>
          <w:rFonts w:cs="Arial"/>
          <w:rtl/>
        </w:rPr>
        <w:t xml:space="preserve"> והאידנא ליכא מומחין</w:t>
      </w:r>
      <w:r>
        <w:rPr>
          <w:rFonts w:cs="Arial" w:hint="cs"/>
          <w:rtl/>
        </w:rPr>
        <w:t xml:space="preserve"> </w:t>
      </w:r>
      <w:r>
        <w:rPr>
          <w:rFonts w:cs="Arial"/>
          <w:rtl/>
        </w:rPr>
        <w:t>ומשום הכי נהגו בישיבה בין עדים בין בעלי דין אפילו בגמר דין</w:t>
      </w:r>
      <w:r>
        <w:rPr>
          <w:rFonts w:cs="Arial" w:hint="cs"/>
          <w:rtl/>
        </w:rPr>
        <w:t>.</w:t>
      </w:r>
    </w:p>
    <w:p w14:paraId="3F31A13D" w14:textId="77777777" w:rsidR="004B607F" w:rsidRPr="003568ED" w:rsidRDefault="004B607F" w:rsidP="004B607F">
      <w:pPr>
        <w:ind w:left="360"/>
        <w:rPr>
          <w:rFonts w:cs="Arial"/>
          <w:u w:val="dotted"/>
        </w:rPr>
      </w:pPr>
      <w:r w:rsidRPr="003568ED">
        <w:rPr>
          <w:rFonts w:cs="Arial" w:hint="cs"/>
          <w:u w:val="dotted"/>
          <w:rtl/>
        </w:rPr>
        <w:t xml:space="preserve">לסוברים דבדיעבד עדותן עדות </w:t>
      </w:r>
      <w:r w:rsidRPr="003568ED">
        <w:rPr>
          <w:rFonts w:cs="Arial"/>
          <w:u w:val="dotted"/>
          <w:rtl/>
        </w:rPr>
        <w:t>–</w:t>
      </w:r>
      <w:r w:rsidRPr="003568ED">
        <w:rPr>
          <w:rFonts w:cs="Arial" w:hint="cs"/>
          <w:u w:val="dotted"/>
          <w:rtl/>
        </w:rPr>
        <w:t xml:space="preserve"> מה הדין בעדות בגט אשה:</w:t>
      </w:r>
    </w:p>
    <w:p w14:paraId="6E037F1E" w14:textId="77777777" w:rsidR="004B607F" w:rsidRDefault="004B607F" w:rsidP="004B0475">
      <w:pPr>
        <w:pStyle w:val="ac"/>
        <w:numPr>
          <w:ilvl w:val="0"/>
          <w:numId w:val="71"/>
        </w:numPr>
        <w:rPr>
          <w:rFonts w:cs="Arial"/>
        </w:rPr>
      </w:pPr>
      <w:r w:rsidRPr="007829D7">
        <w:rPr>
          <w:rFonts w:cs="Arial"/>
          <w:rtl/>
        </w:rPr>
        <w:t>ר</w:t>
      </w:r>
      <w:r>
        <w:rPr>
          <w:rFonts w:cs="Arial" w:hint="cs"/>
          <w:rtl/>
        </w:rPr>
        <w:t>י"ו</w:t>
      </w:r>
      <w:r w:rsidRPr="007829D7">
        <w:rPr>
          <w:rFonts w:cs="Arial"/>
          <w:rtl/>
        </w:rPr>
        <w:t xml:space="preserve"> </w:t>
      </w:r>
      <w:r w:rsidRPr="007829D7">
        <w:rPr>
          <w:rFonts w:cs="Arial"/>
          <w:sz w:val="16"/>
          <w:szCs w:val="16"/>
          <w:rtl/>
        </w:rPr>
        <w:t xml:space="preserve">(שם יא ע"ד) </w:t>
      </w:r>
      <w:r w:rsidRPr="007829D7">
        <w:rPr>
          <w:rFonts w:cs="Arial"/>
          <w:rtl/>
        </w:rPr>
        <w:t xml:space="preserve">בשם סמ"ג </w:t>
      </w:r>
      <w:r w:rsidRPr="007829D7">
        <w:rPr>
          <w:rFonts w:cs="Arial"/>
          <w:sz w:val="16"/>
          <w:szCs w:val="16"/>
          <w:rtl/>
        </w:rPr>
        <w:t>(עשין קו)</w:t>
      </w:r>
      <w:r>
        <w:rPr>
          <w:rFonts w:cs="Arial" w:hint="cs"/>
          <w:rtl/>
        </w:rPr>
        <w:t xml:space="preserve">- </w:t>
      </w:r>
      <w:r w:rsidRPr="007829D7">
        <w:rPr>
          <w:rFonts w:cs="Arial"/>
          <w:rtl/>
        </w:rPr>
        <w:t>בגט אשה וכיוצא בו צריך ליזהר שיהיה מעומד</w:t>
      </w:r>
      <w:r>
        <w:rPr>
          <w:rFonts w:cs="Arial" w:hint="cs"/>
          <w:rtl/>
        </w:rPr>
        <w:t>.</w:t>
      </w:r>
      <w:r w:rsidRPr="007829D7">
        <w:rPr>
          <w:rFonts w:cs="Arial"/>
          <w:rtl/>
        </w:rPr>
        <w:t xml:space="preserve"> </w:t>
      </w:r>
    </w:p>
    <w:p w14:paraId="17309990" w14:textId="77777777" w:rsidR="004B607F" w:rsidRPr="007829D7" w:rsidRDefault="004B607F" w:rsidP="004B0475">
      <w:pPr>
        <w:pStyle w:val="ac"/>
        <w:numPr>
          <w:ilvl w:val="0"/>
          <w:numId w:val="71"/>
        </w:numPr>
        <w:rPr>
          <w:rFonts w:cs="Arial"/>
          <w:rtl/>
        </w:rPr>
      </w:pPr>
      <w:r w:rsidRPr="007829D7">
        <w:rPr>
          <w:rFonts w:cs="Arial"/>
          <w:rtl/>
        </w:rPr>
        <w:t>הגה</w:t>
      </w:r>
      <w:r>
        <w:rPr>
          <w:rFonts w:cs="Arial" w:hint="cs"/>
          <w:rtl/>
        </w:rPr>
        <w:t>"מ</w:t>
      </w:r>
      <w:r w:rsidRPr="007829D7">
        <w:rPr>
          <w:rFonts w:cs="Arial"/>
          <w:rtl/>
        </w:rPr>
        <w:t xml:space="preserve"> </w:t>
      </w:r>
      <w:r w:rsidRPr="007829D7">
        <w:rPr>
          <w:rFonts w:cs="Arial"/>
          <w:sz w:val="16"/>
          <w:szCs w:val="16"/>
          <w:rtl/>
        </w:rPr>
        <w:t>(שם)</w:t>
      </w:r>
      <w:r>
        <w:rPr>
          <w:rFonts w:cs="Arial" w:hint="cs"/>
          <w:rtl/>
        </w:rPr>
        <w:t xml:space="preserve">- גם בזה </w:t>
      </w:r>
      <w:r w:rsidRPr="007829D7">
        <w:rPr>
          <w:rFonts w:cs="Arial"/>
          <w:rtl/>
        </w:rPr>
        <w:t>היינו דוקא לכתחלה</w:t>
      </w:r>
      <w:r>
        <w:rPr>
          <w:rFonts w:cs="Arial" w:hint="cs"/>
          <w:rtl/>
        </w:rPr>
        <w:t xml:space="preserve"> אבל בדיעבד עדון עדות</w:t>
      </w:r>
      <w:r w:rsidRPr="007829D7">
        <w:rPr>
          <w:rFonts w:cs="Arial" w:hint="cs"/>
          <w:rtl/>
        </w:rPr>
        <w:t>.</w:t>
      </w:r>
    </w:p>
    <w:p w14:paraId="3E7FDFF0" w14:textId="77777777" w:rsidR="004B607F" w:rsidRDefault="004B607F" w:rsidP="004B607F">
      <w:pPr>
        <w:rPr>
          <w:rFonts w:cs="Arial"/>
          <w:sz w:val="16"/>
          <w:szCs w:val="16"/>
          <w:rtl/>
        </w:rPr>
      </w:pPr>
      <w:r w:rsidRPr="007829D7">
        <w:rPr>
          <w:rFonts w:cs="Arial" w:hint="cs"/>
          <w:b/>
          <w:bCs/>
          <w:rtl/>
        </w:rPr>
        <w:t xml:space="preserve">שבועות </w:t>
      </w:r>
      <w:r w:rsidRPr="007829D7">
        <w:rPr>
          <w:rFonts w:cs="Arial" w:hint="cs"/>
          <w:b/>
          <w:bCs/>
          <w:sz w:val="16"/>
          <w:szCs w:val="16"/>
          <w:rtl/>
        </w:rPr>
        <w:t xml:space="preserve">(פ' שבועת העדות) </w:t>
      </w:r>
      <w:r w:rsidRPr="007829D7">
        <w:rPr>
          <w:rFonts w:cs="Arial" w:hint="cs"/>
          <w:b/>
          <w:bCs/>
          <w:rtl/>
        </w:rPr>
        <w:t>ל</w:t>
      </w:r>
      <w:r>
        <w:rPr>
          <w:rStyle w:val="ab"/>
          <w:rFonts w:cs="Arial"/>
          <w:b/>
          <w:bCs/>
          <w:rtl/>
        </w:rPr>
        <w:footnoteReference w:id="1424"/>
      </w:r>
      <w:r w:rsidRPr="007829D7">
        <w:rPr>
          <w:rFonts w:cs="Arial" w:hint="cs"/>
          <w:b/>
          <w:bCs/>
          <w:rtl/>
        </w:rPr>
        <w:t xml:space="preserve"> ע"ב:</w:t>
      </w:r>
      <w:r w:rsidRPr="007829D7">
        <w:rPr>
          <w:rFonts w:cs="Arial" w:hint="cs"/>
          <w:rtl/>
        </w:rPr>
        <w:t xml:space="preserve"> </w:t>
      </w:r>
      <w:r w:rsidRPr="007829D7">
        <w:rPr>
          <w:rFonts w:cs="Arial"/>
          <w:rtl/>
        </w:rPr>
        <w:t xml:space="preserve">רב יימר הוה ידע ליה סהדותא למר זוטרא, אתא לקמיה דאמימר, אותבינהו לכולהו. </w:t>
      </w:r>
      <w:r w:rsidRPr="007829D7">
        <w:rPr>
          <w:rFonts w:cs="Arial"/>
          <w:u w:val="single"/>
          <w:rtl/>
        </w:rPr>
        <w:t>אמר ליה רב אשי לאמימר</w:t>
      </w:r>
      <w:r w:rsidRPr="007829D7">
        <w:rPr>
          <w:rFonts w:cs="Arial" w:hint="cs"/>
          <w:rtl/>
        </w:rPr>
        <w:t>:</w:t>
      </w:r>
      <w:r w:rsidRPr="007829D7">
        <w:rPr>
          <w:rFonts w:cs="Arial"/>
          <w:rtl/>
        </w:rPr>
        <w:t xml:space="preserve"> והאמר עולא</w:t>
      </w:r>
      <w:r w:rsidRPr="007829D7">
        <w:rPr>
          <w:rFonts w:cs="Arial" w:hint="cs"/>
          <w:rtl/>
        </w:rPr>
        <w:t>,</w:t>
      </w:r>
      <w:r w:rsidRPr="007829D7">
        <w:rPr>
          <w:rFonts w:cs="Arial"/>
          <w:rtl/>
        </w:rPr>
        <w:t xml:space="preserve"> מחלוקת - בבעלי דינין, אבל בעדים - דברי הכל בעמידה! </w:t>
      </w:r>
      <w:r w:rsidRPr="007829D7">
        <w:rPr>
          <w:rFonts w:cs="Arial"/>
          <w:u w:val="single"/>
          <w:rtl/>
        </w:rPr>
        <w:t>א"ל</w:t>
      </w:r>
      <w:r w:rsidRPr="007829D7">
        <w:rPr>
          <w:rFonts w:cs="Arial"/>
          <w:rtl/>
        </w:rPr>
        <w:t>: האי עשה והאי עשה</w:t>
      </w:r>
      <w:r>
        <w:rPr>
          <w:rStyle w:val="ab"/>
          <w:rFonts w:cs="Arial"/>
          <w:rtl/>
        </w:rPr>
        <w:footnoteReference w:id="1425"/>
      </w:r>
      <w:r w:rsidRPr="007829D7">
        <w:rPr>
          <w:rFonts w:cs="Arial"/>
          <w:rtl/>
        </w:rPr>
        <w:t>, עשה דכבוד תורה עדיף.</w:t>
      </w:r>
      <w:r>
        <w:rPr>
          <w:rFonts w:cs="Arial" w:hint="cs"/>
          <w:rtl/>
        </w:rPr>
        <w:t xml:space="preserve"> </w:t>
      </w:r>
    </w:p>
    <w:p w14:paraId="4ABEBD9F" w14:textId="77777777" w:rsidR="004B607F" w:rsidRPr="00D56909" w:rsidRDefault="004B607F" w:rsidP="004B607F">
      <w:pPr>
        <w:rPr>
          <w:rFonts w:cs="Arial"/>
          <w:rtl/>
        </w:rPr>
      </w:pPr>
      <w:r w:rsidRPr="00D56909">
        <w:rPr>
          <w:rFonts w:cs="Arial" w:hint="cs"/>
          <w:u w:val="single"/>
          <w:rtl/>
        </w:rPr>
        <w:t xml:space="preserve">עד שהוא ת"ח </w:t>
      </w:r>
      <w:r w:rsidRPr="00D56909">
        <w:rPr>
          <w:rFonts w:cs="Arial"/>
          <w:u w:val="single"/>
          <w:rtl/>
        </w:rPr>
        <w:t>–</w:t>
      </w:r>
      <w:r w:rsidRPr="00D56909">
        <w:rPr>
          <w:rFonts w:cs="Arial" w:hint="cs"/>
          <w:u w:val="single"/>
          <w:rtl/>
        </w:rPr>
        <w:t xml:space="preserve"> האם צריך לעמוד בזמן עדותו:</w:t>
      </w:r>
    </w:p>
    <w:p w14:paraId="127D68E3" w14:textId="77777777" w:rsidR="004B607F" w:rsidRPr="00D56909" w:rsidRDefault="004B607F" w:rsidP="004B0475">
      <w:pPr>
        <w:pStyle w:val="ac"/>
        <w:numPr>
          <w:ilvl w:val="0"/>
          <w:numId w:val="199"/>
        </w:numPr>
        <w:rPr>
          <w:rFonts w:cs="Arial"/>
          <w:rtl/>
        </w:rPr>
      </w:pPr>
      <w:r w:rsidRPr="00D56909">
        <w:rPr>
          <w:rFonts w:cs="Arial" w:hint="cs"/>
          <w:rtl/>
        </w:rPr>
        <w:t xml:space="preserve">טור- </w:t>
      </w:r>
      <w:r w:rsidRPr="00D56909">
        <w:rPr>
          <w:rFonts w:cs="Arial"/>
          <w:rtl/>
        </w:rPr>
        <w:t xml:space="preserve">אם העד ת"ח </w:t>
      </w:r>
      <w:r>
        <w:rPr>
          <w:rFonts w:cs="Arial"/>
          <w:rtl/>
        </w:rPr>
        <w:t>–</w:t>
      </w:r>
      <w:r>
        <w:rPr>
          <w:rFonts w:cs="Arial" w:hint="cs"/>
          <w:rtl/>
        </w:rPr>
        <w:t xml:space="preserve"> </w:t>
      </w:r>
      <w:r w:rsidRPr="00D56909">
        <w:rPr>
          <w:rFonts w:cs="Arial"/>
          <w:rtl/>
        </w:rPr>
        <w:t>מעיד מיושב לכתחילה</w:t>
      </w:r>
      <w:r>
        <w:rPr>
          <w:rFonts w:cs="Arial" w:hint="cs"/>
          <w:rtl/>
        </w:rPr>
        <w:t>,</w:t>
      </w:r>
      <w:r w:rsidRPr="00D56909">
        <w:rPr>
          <w:rFonts w:cs="Arial"/>
          <w:rtl/>
        </w:rPr>
        <w:t xml:space="preserve"> לכבוד תורתו</w:t>
      </w:r>
      <w:r w:rsidRPr="00D56909">
        <w:rPr>
          <w:rFonts w:cs="Arial" w:hint="cs"/>
          <w:rtl/>
        </w:rPr>
        <w:t>.</w:t>
      </w:r>
      <w:r w:rsidRPr="00D56909">
        <w:rPr>
          <w:rFonts w:cs="Arial" w:hint="cs"/>
          <w:color w:val="E36C0A" w:themeColor="accent6" w:themeShade="BF"/>
          <w:rtl/>
        </w:rPr>
        <w:t xml:space="preserve"> (וכ"פ בשו"ע)</w:t>
      </w:r>
      <w:r w:rsidRPr="00D56909">
        <w:rPr>
          <w:rFonts w:cs="Arial"/>
          <w:rtl/>
        </w:rPr>
        <w:t xml:space="preserve"> </w:t>
      </w:r>
      <w:r w:rsidRPr="00D56909">
        <w:rPr>
          <w:rFonts w:cs="Arial" w:hint="cs"/>
          <w:rtl/>
        </w:rPr>
        <w:t xml:space="preserve"> </w:t>
      </w:r>
    </w:p>
    <w:p w14:paraId="702D840F" w14:textId="77777777" w:rsidR="004B607F" w:rsidRPr="003024E5" w:rsidRDefault="004B607F" w:rsidP="004B607F">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1D302B1D" w14:textId="77777777" w:rsidR="004B607F" w:rsidRDefault="004B607F" w:rsidP="004B607F">
      <w:pPr>
        <w:rPr>
          <w:rtl/>
        </w:rPr>
      </w:pPr>
      <w:r>
        <w:rPr>
          <w:rFonts w:cs="Arial"/>
          <w:rtl/>
        </w:rPr>
        <w:t>ת</w:t>
      </w:r>
      <w:r>
        <w:rPr>
          <w:rFonts w:cs="Arial" w:hint="cs"/>
          <w:rtl/>
        </w:rPr>
        <w:t xml:space="preserve">למיד </w:t>
      </w:r>
      <w:r>
        <w:rPr>
          <w:rFonts w:cs="Arial"/>
          <w:rtl/>
        </w:rPr>
        <w:t>ח</w:t>
      </w:r>
      <w:r>
        <w:rPr>
          <w:rFonts w:cs="Arial" w:hint="cs"/>
          <w:rtl/>
        </w:rPr>
        <w:t>כם</w:t>
      </w:r>
      <w:r>
        <w:rPr>
          <w:rFonts w:cs="Arial"/>
          <w:rtl/>
        </w:rPr>
        <w:t xml:space="preserve"> שיודע עדות לישראל, ותבעו שיעיד לפני ב</w:t>
      </w:r>
      <w:r>
        <w:rPr>
          <w:rFonts w:cs="Arial" w:hint="cs"/>
          <w:rtl/>
        </w:rPr>
        <w:t xml:space="preserve">ית </w:t>
      </w:r>
      <w:r>
        <w:rPr>
          <w:rFonts w:cs="Arial"/>
          <w:rtl/>
        </w:rPr>
        <w:t>ד</w:t>
      </w:r>
      <w:r>
        <w:rPr>
          <w:rFonts w:cs="Arial" w:hint="cs"/>
          <w:rtl/>
        </w:rPr>
        <w:t>ין</w:t>
      </w:r>
      <w:r>
        <w:rPr>
          <w:rFonts w:cs="Arial"/>
          <w:rtl/>
        </w:rPr>
        <w:t xml:space="preserve"> קטן ממנו, אם הוא עדות ממון אינו חייב לילך להעיד, </w:t>
      </w:r>
      <w:r>
        <w:rPr>
          <w:rFonts w:cs="Arial" w:hint="cs"/>
          <w:sz w:val="18"/>
          <w:szCs w:val="18"/>
          <w:rtl/>
        </w:rPr>
        <w:t xml:space="preserve">[הגה] </w:t>
      </w:r>
      <w:r w:rsidRPr="00221BFB">
        <w:rPr>
          <w:rFonts w:cs="Arial"/>
          <w:sz w:val="18"/>
          <w:szCs w:val="18"/>
          <w:rtl/>
        </w:rPr>
        <w:t>אלא הם שולחין אליו</w:t>
      </w:r>
      <w:r>
        <w:rPr>
          <w:rStyle w:val="ab"/>
          <w:rFonts w:cs="Arial"/>
          <w:sz w:val="18"/>
          <w:szCs w:val="18"/>
          <w:rtl/>
        </w:rPr>
        <w:footnoteReference w:id="1426"/>
      </w:r>
      <w:r w:rsidRPr="00221BFB">
        <w:rPr>
          <w:rFonts w:cs="Arial"/>
          <w:sz w:val="18"/>
          <w:szCs w:val="18"/>
          <w:rtl/>
        </w:rPr>
        <w:t xml:space="preserve"> ומעיד (ר</w:t>
      </w:r>
      <w:r>
        <w:rPr>
          <w:rFonts w:cs="Arial" w:hint="cs"/>
          <w:sz w:val="18"/>
          <w:szCs w:val="18"/>
          <w:rtl/>
        </w:rPr>
        <w:t>י"ו</w:t>
      </w:r>
      <w:r w:rsidRPr="00221BFB">
        <w:rPr>
          <w:rFonts w:cs="Arial"/>
          <w:sz w:val="18"/>
          <w:szCs w:val="18"/>
          <w:rtl/>
        </w:rPr>
        <w:t xml:space="preserve"> נ</w:t>
      </w:r>
      <w:r>
        <w:rPr>
          <w:rFonts w:cs="Arial" w:hint="cs"/>
          <w:sz w:val="18"/>
          <w:szCs w:val="18"/>
          <w:rtl/>
        </w:rPr>
        <w:t>"</w:t>
      </w:r>
      <w:r w:rsidRPr="00221BFB">
        <w:rPr>
          <w:rFonts w:cs="Arial"/>
          <w:sz w:val="18"/>
          <w:szCs w:val="18"/>
          <w:rtl/>
        </w:rPr>
        <w:t>ב ח</w:t>
      </w:r>
      <w:r>
        <w:rPr>
          <w:rFonts w:cs="Arial" w:hint="cs"/>
          <w:sz w:val="18"/>
          <w:szCs w:val="18"/>
          <w:rtl/>
        </w:rPr>
        <w:t>"</w:t>
      </w:r>
      <w:r w:rsidRPr="00221BFB">
        <w:rPr>
          <w:rFonts w:cs="Arial"/>
          <w:sz w:val="18"/>
          <w:szCs w:val="18"/>
          <w:rtl/>
        </w:rPr>
        <w:t>ב).</w:t>
      </w:r>
      <w:r>
        <w:rPr>
          <w:rFonts w:cs="Arial"/>
          <w:rtl/>
        </w:rPr>
        <w:t xml:space="preserve"> אבל אם יש בו צד אפרושי מאיסורא חייב לילך ולהעיד</w:t>
      </w:r>
      <w:r>
        <w:rPr>
          <w:rFonts w:cs="Arial" w:hint="cs"/>
          <w:rtl/>
        </w:rPr>
        <w:t>.</w:t>
      </w:r>
      <w:r>
        <w:rPr>
          <w:rFonts w:cs="Arial"/>
          <w:rtl/>
        </w:rPr>
        <w:t xml:space="preserve"> וכל מי שיש לו ראיה בעדים, מטפל בהם להביאם לב</w:t>
      </w:r>
      <w:r>
        <w:rPr>
          <w:rFonts w:cs="Arial" w:hint="cs"/>
          <w:rtl/>
        </w:rPr>
        <w:t xml:space="preserve">ית </w:t>
      </w:r>
      <w:r>
        <w:rPr>
          <w:rFonts w:cs="Arial"/>
          <w:rtl/>
        </w:rPr>
        <w:t>ד</w:t>
      </w:r>
      <w:r>
        <w:rPr>
          <w:rFonts w:cs="Arial" w:hint="cs"/>
          <w:rtl/>
        </w:rPr>
        <w:t>ין</w:t>
      </w:r>
      <w:r>
        <w:rPr>
          <w:rFonts w:cs="Arial"/>
          <w:rtl/>
        </w:rPr>
        <w:t>. ואם ידעו ב</w:t>
      </w:r>
      <w:r>
        <w:rPr>
          <w:rFonts w:cs="Arial" w:hint="cs"/>
          <w:rtl/>
        </w:rPr>
        <w:t xml:space="preserve">ית </w:t>
      </w:r>
      <w:r>
        <w:rPr>
          <w:rFonts w:cs="Arial"/>
          <w:rtl/>
        </w:rPr>
        <w:t>ד</w:t>
      </w:r>
      <w:r>
        <w:rPr>
          <w:rFonts w:cs="Arial" w:hint="cs"/>
          <w:rtl/>
        </w:rPr>
        <w:t>ין</w:t>
      </w:r>
      <w:r>
        <w:rPr>
          <w:rFonts w:cs="Arial"/>
          <w:rtl/>
        </w:rPr>
        <w:t xml:space="preserve"> שבעל דינו אלם, וטען התובע שהעדים מפחדים מבעל דינו לבא להעיד, </w:t>
      </w:r>
      <w:r>
        <w:rPr>
          <w:rFonts w:cs="Arial" w:hint="cs"/>
          <w:sz w:val="18"/>
          <w:szCs w:val="18"/>
          <w:rtl/>
        </w:rPr>
        <w:t xml:space="preserve">[הגה] </w:t>
      </w:r>
      <w:r w:rsidRPr="00221BFB">
        <w:rPr>
          <w:rFonts w:cs="Arial"/>
          <w:sz w:val="18"/>
          <w:szCs w:val="18"/>
          <w:rtl/>
        </w:rPr>
        <w:t>ויש הוכחה לדבריו</w:t>
      </w:r>
      <w:r>
        <w:rPr>
          <w:rStyle w:val="ab"/>
          <w:rFonts w:cs="Arial"/>
          <w:sz w:val="18"/>
          <w:szCs w:val="18"/>
          <w:rtl/>
        </w:rPr>
        <w:footnoteReference w:id="1427"/>
      </w:r>
      <w:r w:rsidRPr="00221BFB">
        <w:rPr>
          <w:rFonts w:cs="Arial"/>
          <w:sz w:val="18"/>
          <w:szCs w:val="18"/>
          <w:rtl/>
        </w:rPr>
        <w:t xml:space="preserve"> (טור), </w:t>
      </w:r>
      <w:r>
        <w:rPr>
          <w:rFonts w:cs="Arial"/>
          <w:rtl/>
        </w:rPr>
        <w:t>הרי ב</w:t>
      </w:r>
      <w:r>
        <w:rPr>
          <w:rFonts w:cs="Arial" w:hint="cs"/>
          <w:rtl/>
        </w:rPr>
        <w:t xml:space="preserve">ית </w:t>
      </w:r>
      <w:r>
        <w:rPr>
          <w:rFonts w:cs="Arial"/>
          <w:rtl/>
        </w:rPr>
        <w:t>ד</w:t>
      </w:r>
      <w:r>
        <w:rPr>
          <w:rFonts w:cs="Arial" w:hint="cs"/>
          <w:rtl/>
        </w:rPr>
        <w:t>ין</w:t>
      </w:r>
      <w:r>
        <w:rPr>
          <w:rFonts w:cs="Arial"/>
          <w:rtl/>
        </w:rPr>
        <w:t xml:space="preserve"> כופין את בעל דינו שיביא הוא העדים</w:t>
      </w:r>
      <w:r>
        <w:rPr>
          <w:rFonts w:cs="Arial" w:hint="cs"/>
          <w:rtl/>
        </w:rPr>
        <w:t>,</w:t>
      </w:r>
      <w:r>
        <w:rPr>
          <w:rFonts w:cs="Arial"/>
          <w:rtl/>
        </w:rPr>
        <w:t xml:space="preserve"> וכן כל כיוצא בדברים אלו דנין בהם לאלם. צריכים העדים לכתחלה להעיד מעומד</w:t>
      </w:r>
      <w:r>
        <w:rPr>
          <w:rFonts w:cs="Arial" w:hint="cs"/>
          <w:rtl/>
        </w:rPr>
        <w:t>.</w:t>
      </w:r>
      <w:r>
        <w:rPr>
          <w:rFonts w:cs="Arial"/>
          <w:rtl/>
        </w:rPr>
        <w:t xml:space="preserve"> ואם העד ת</w:t>
      </w:r>
      <w:r>
        <w:rPr>
          <w:rFonts w:cs="Arial" w:hint="cs"/>
          <w:rtl/>
        </w:rPr>
        <w:t xml:space="preserve">למיד </w:t>
      </w:r>
      <w:r>
        <w:rPr>
          <w:rFonts w:cs="Arial"/>
          <w:rtl/>
        </w:rPr>
        <w:t>ח</w:t>
      </w:r>
      <w:r>
        <w:rPr>
          <w:rFonts w:cs="Arial" w:hint="cs"/>
          <w:rtl/>
        </w:rPr>
        <w:t>כם</w:t>
      </w:r>
      <w:r>
        <w:rPr>
          <w:rFonts w:cs="Arial"/>
          <w:rtl/>
        </w:rPr>
        <w:t xml:space="preserve"> מושיבין אותו</w:t>
      </w:r>
      <w:r>
        <w:rPr>
          <w:rFonts w:cs="Arial" w:hint="cs"/>
          <w:rtl/>
        </w:rPr>
        <w:t>.</w:t>
      </w:r>
      <w:r>
        <w:rPr>
          <w:rFonts w:cs="Arial"/>
          <w:rtl/>
        </w:rPr>
        <w:t xml:space="preserve"> </w:t>
      </w:r>
      <w:r>
        <w:rPr>
          <w:rFonts w:cs="Arial" w:hint="cs"/>
          <w:sz w:val="18"/>
          <w:szCs w:val="18"/>
          <w:rtl/>
        </w:rPr>
        <w:t xml:space="preserve">[הגה] </w:t>
      </w:r>
      <w:r w:rsidRPr="00221BFB">
        <w:rPr>
          <w:rFonts w:cs="Arial"/>
          <w:sz w:val="18"/>
          <w:szCs w:val="18"/>
          <w:rtl/>
        </w:rPr>
        <w:t>וע</w:t>
      </w:r>
      <w:r>
        <w:rPr>
          <w:rFonts w:cs="Arial" w:hint="cs"/>
          <w:sz w:val="18"/>
          <w:szCs w:val="18"/>
          <w:rtl/>
        </w:rPr>
        <w:t xml:space="preserve">יין </w:t>
      </w:r>
      <w:r w:rsidRPr="00221BFB">
        <w:rPr>
          <w:rFonts w:cs="Arial"/>
          <w:sz w:val="18"/>
          <w:szCs w:val="18"/>
          <w:rtl/>
        </w:rPr>
        <w:t>ל</w:t>
      </w:r>
      <w:r>
        <w:rPr>
          <w:rFonts w:cs="Arial" w:hint="cs"/>
          <w:sz w:val="18"/>
          <w:szCs w:val="18"/>
          <w:rtl/>
        </w:rPr>
        <w:t>קמן</w:t>
      </w:r>
      <w:r w:rsidRPr="00221BFB">
        <w:rPr>
          <w:rFonts w:cs="Arial"/>
          <w:sz w:val="18"/>
          <w:szCs w:val="18"/>
          <w:rtl/>
        </w:rPr>
        <w:t xml:space="preserve"> ס</w:t>
      </w:r>
      <w:r>
        <w:rPr>
          <w:rFonts w:cs="Arial" w:hint="cs"/>
          <w:sz w:val="18"/>
          <w:szCs w:val="18"/>
          <w:rtl/>
        </w:rPr>
        <w:t>"</w:t>
      </w:r>
      <w:r w:rsidRPr="00221BFB">
        <w:rPr>
          <w:rFonts w:cs="Arial"/>
          <w:sz w:val="18"/>
          <w:szCs w:val="18"/>
          <w:rtl/>
        </w:rPr>
        <w:t>ס זה</w:t>
      </w:r>
      <w:r>
        <w:rPr>
          <w:rStyle w:val="ab"/>
          <w:rFonts w:cs="Arial"/>
          <w:sz w:val="18"/>
          <w:szCs w:val="18"/>
          <w:rtl/>
        </w:rPr>
        <w:footnoteReference w:id="1428"/>
      </w:r>
      <w:r w:rsidRPr="00221BFB">
        <w:rPr>
          <w:rFonts w:cs="Arial"/>
          <w:sz w:val="18"/>
          <w:szCs w:val="18"/>
          <w:rtl/>
        </w:rPr>
        <w:t>.</w:t>
      </w:r>
      <w:r>
        <w:rPr>
          <w:rFonts w:cs="Arial"/>
          <w:rtl/>
        </w:rPr>
        <w:t xml:space="preserve"> </w:t>
      </w:r>
    </w:p>
    <w:p w14:paraId="5BF2AE28" w14:textId="77777777" w:rsidR="004B607F" w:rsidRDefault="004B607F" w:rsidP="004B607F">
      <w:pPr>
        <w:rPr>
          <w:rtl/>
        </w:rPr>
      </w:pPr>
    </w:p>
    <w:p w14:paraId="08101E55" w14:textId="77777777" w:rsidR="004B607F" w:rsidRDefault="004B607F" w:rsidP="004B607F">
      <w:pPr>
        <w:pStyle w:val="2"/>
        <w:rPr>
          <w:rtl/>
        </w:rPr>
      </w:pPr>
      <w:bookmarkStart w:id="205" w:name="_Toc24883680"/>
      <w:r>
        <w:rPr>
          <w:rtl/>
        </w:rPr>
        <w:t>סעיף ו</w:t>
      </w:r>
      <w:r>
        <w:rPr>
          <w:rFonts w:hint="cs"/>
          <w:rtl/>
        </w:rPr>
        <w:t>: קבלת עדות בישיבה. העמדת מתורגמן בין הדיינים לעדים.</w:t>
      </w:r>
      <w:bookmarkEnd w:id="205"/>
    </w:p>
    <w:p w14:paraId="6D6868A2" w14:textId="77777777" w:rsidR="004B607F" w:rsidRDefault="004B607F" w:rsidP="004B607F">
      <w:pPr>
        <w:rPr>
          <w:rFonts w:cs="Arial"/>
          <w:rtl/>
        </w:rPr>
      </w:pPr>
      <w:r>
        <w:rPr>
          <w:rFonts w:cs="Arial" w:hint="cs"/>
          <w:b/>
          <w:bCs/>
          <w:rtl/>
        </w:rPr>
        <w:t xml:space="preserve">מכות </w:t>
      </w:r>
      <w:r w:rsidRPr="00E257F1">
        <w:rPr>
          <w:rFonts w:cs="Arial" w:hint="cs"/>
          <w:b/>
          <w:bCs/>
          <w:sz w:val="16"/>
          <w:szCs w:val="16"/>
          <w:rtl/>
        </w:rPr>
        <w:t xml:space="preserve">(פ"ק) </w:t>
      </w:r>
      <w:r>
        <w:rPr>
          <w:rFonts w:cs="Arial" w:hint="cs"/>
          <w:b/>
          <w:bCs/>
          <w:rtl/>
        </w:rPr>
        <w:t>ו</w:t>
      </w:r>
      <w:r>
        <w:rPr>
          <w:rStyle w:val="ab"/>
          <w:rFonts w:cs="Arial"/>
          <w:b/>
          <w:bCs/>
          <w:rtl/>
        </w:rPr>
        <w:footnoteReference w:id="1429"/>
      </w:r>
      <w:r>
        <w:rPr>
          <w:rFonts w:cs="Arial" w:hint="cs"/>
          <w:b/>
          <w:bCs/>
          <w:rtl/>
        </w:rPr>
        <w:t xml:space="preserve"> ע"ב: </w:t>
      </w:r>
      <w:r w:rsidRPr="004423C5">
        <w:rPr>
          <w:rFonts w:cs="Arial" w:hint="cs"/>
          <w:u w:val="double"/>
          <w:rtl/>
        </w:rPr>
        <w:t>מתני':</w:t>
      </w:r>
      <w:r>
        <w:rPr>
          <w:rFonts w:cs="Arial" w:hint="cs"/>
          <w:rtl/>
        </w:rPr>
        <w:t xml:space="preserve"> </w:t>
      </w:r>
      <w:r w:rsidRPr="00263138">
        <w:rPr>
          <w:rFonts w:cs="Arial"/>
          <w:rtl/>
        </w:rPr>
        <w:t xml:space="preserve">על פי שנים עדים - שלא תהא סנהדרין שומעת מפי התורגמן. </w:t>
      </w:r>
      <w:r>
        <w:rPr>
          <w:rFonts w:cs="Arial" w:hint="cs"/>
          <w:rtl/>
        </w:rPr>
        <w:t xml:space="preserve">   </w:t>
      </w:r>
      <w:r w:rsidRPr="004423C5">
        <w:rPr>
          <w:rFonts w:cs="Arial" w:hint="cs"/>
          <w:u w:val="double"/>
          <w:rtl/>
        </w:rPr>
        <w:t>גמ':</w:t>
      </w:r>
      <w:r w:rsidRPr="004423C5">
        <w:rPr>
          <w:rtl/>
        </w:rPr>
        <w:t xml:space="preserve"> </w:t>
      </w:r>
      <w:r w:rsidRPr="004423C5">
        <w:rPr>
          <w:rFonts w:cs="Arial"/>
          <w:rtl/>
        </w:rPr>
        <w:t>הנהו לעוזי דאתו לקמיה דרבא, אוקי רבא תורגמן בינייהו. והיכי עביד הכי? והתנן: שלא תהא סנהדרין שומעת מפי התורגמן! רבא מידע הוה ידע מה דהוו אמרי, ואהדורי הוא דלא הוה ידע</w:t>
      </w:r>
      <w:r>
        <w:rPr>
          <w:rStyle w:val="ab"/>
          <w:rFonts w:cs="Arial"/>
          <w:rtl/>
        </w:rPr>
        <w:footnoteReference w:id="1430"/>
      </w:r>
      <w:r w:rsidRPr="004423C5">
        <w:rPr>
          <w:rFonts w:cs="Arial"/>
          <w:rtl/>
        </w:rPr>
        <w:t>.</w:t>
      </w:r>
      <w:r>
        <w:rPr>
          <w:rFonts w:cs="Arial" w:hint="cs"/>
          <w:rtl/>
        </w:rPr>
        <w:t xml:space="preserve"> </w:t>
      </w:r>
    </w:p>
    <w:p w14:paraId="5983132C" w14:textId="77777777" w:rsidR="004B607F" w:rsidRDefault="004B607F" w:rsidP="004B607F">
      <w:pPr>
        <w:rPr>
          <w:rFonts w:cs="Arial"/>
          <w:rtl/>
        </w:rPr>
      </w:pPr>
      <w:r w:rsidRPr="00CF4F76">
        <w:rPr>
          <w:rFonts w:cs="Arial" w:hint="cs"/>
          <w:u w:val="single"/>
          <w:rtl/>
        </w:rPr>
        <w:t>העמדת מתורגמן בין הדיינים לעדים:</w:t>
      </w:r>
    </w:p>
    <w:p w14:paraId="148376CC" w14:textId="77777777" w:rsidR="004B607F" w:rsidRPr="00CF4F76" w:rsidRDefault="004B607F" w:rsidP="004B0475">
      <w:pPr>
        <w:pStyle w:val="ac"/>
        <w:numPr>
          <w:ilvl w:val="0"/>
          <w:numId w:val="72"/>
        </w:numPr>
        <w:rPr>
          <w:rFonts w:cs="Arial"/>
          <w:rtl/>
        </w:rPr>
      </w:pPr>
      <w:r w:rsidRPr="00CF4F76">
        <w:rPr>
          <w:rFonts w:cs="Arial" w:hint="cs"/>
          <w:rtl/>
        </w:rPr>
        <w:lastRenderedPageBreak/>
        <w:t xml:space="preserve">טור- </w:t>
      </w:r>
      <w:r w:rsidRPr="00CF4F76">
        <w:rPr>
          <w:rFonts w:cs="Arial"/>
          <w:rtl/>
        </w:rPr>
        <w:t>צריך שיבינו הדיינין לשון העדים שלא ישמעו מפי התורגמן</w:t>
      </w:r>
      <w:r>
        <w:rPr>
          <w:rFonts w:cs="Arial" w:hint="cs"/>
          <w:rtl/>
        </w:rPr>
        <w:t>.</w:t>
      </w:r>
      <w:r w:rsidRPr="00CF4F76">
        <w:rPr>
          <w:rFonts w:cs="Arial"/>
          <w:rtl/>
        </w:rPr>
        <w:t xml:space="preserve"> ומיהו אם מכירין לשונם</w:t>
      </w:r>
      <w:r>
        <w:rPr>
          <w:rFonts w:cs="Arial" w:hint="cs"/>
          <w:rtl/>
        </w:rPr>
        <w:t>,</w:t>
      </w:r>
      <w:r w:rsidRPr="00CF4F76">
        <w:rPr>
          <w:rFonts w:cs="Arial"/>
          <w:rtl/>
        </w:rPr>
        <w:t xml:space="preserve"> אפילו אם אינם יודעין להשיב להם</w:t>
      </w:r>
      <w:r>
        <w:rPr>
          <w:rFonts w:cs="Arial" w:hint="cs"/>
          <w:rtl/>
        </w:rPr>
        <w:t xml:space="preserve"> -</w:t>
      </w:r>
      <w:r w:rsidRPr="00CF4F76">
        <w:rPr>
          <w:rFonts w:cs="Arial"/>
          <w:rtl/>
        </w:rPr>
        <w:t xml:space="preserve"> שפיר דמי</w:t>
      </w:r>
      <w:r w:rsidRPr="00CF4F76">
        <w:rPr>
          <w:rFonts w:cs="Arial" w:hint="cs"/>
          <w:rtl/>
        </w:rPr>
        <w:t>.</w:t>
      </w:r>
      <w:r>
        <w:rPr>
          <w:rFonts w:cs="Arial" w:hint="cs"/>
          <w:rtl/>
        </w:rPr>
        <w:t xml:space="preserve"> </w:t>
      </w:r>
      <w:r w:rsidRPr="008845D0">
        <w:rPr>
          <w:rFonts w:cs="Arial" w:hint="cs"/>
          <w:color w:val="E36C0A" w:themeColor="accent6" w:themeShade="BF"/>
          <w:rtl/>
        </w:rPr>
        <w:t>(וכ"פ בשו"ע)</w:t>
      </w:r>
    </w:p>
    <w:p w14:paraId="12713499" w14:textId="77777777" w:rsidR="004B607F" w:rsidRDefault="004B607F" w:rsidP="004B607F">
      <w:pPr>
        <w:rPr>
          <w:rFonts w:cs="Arial"/>
          <w:rtl/>
        </w:rPr>
      </w:pPr>
      <w:r w:rsidRPr="00CF4F76">
        <w:rPr>
          <w:rFonts w:cs="Arial" w:hint="cs"/>
          <w:u w:val="single"/>
          <w:rtl/>
        </w:rPr>
        <w:t xml:space="preserve">קבלת עדות </w:t>
      </w:r>
      <w:r w:rsidRPr="00CF4F76">
        <w:rPr>
          <w:rFonts w:cs="Arial"/>
          <w:u w:val="single"/>
          <w:rtl/>
        </w:rPr>
        <w:t>–</w:t>
      </w:r>
      <w:r w:rsidRPr="00CF4F76">
        <w:rPr>
          <w:rFonts w:cs="Arial" w:hint="cs"/>
          <w:u w:val="single"/>
          <w:rtl/>
        </w:rPr>
        <w:t xml:space="preserve"> בישיבה או בעמידה:</w:t>
      </w:r>
    </w:p>
    <w:p w14:paraId="1BFB85CF" w14:textId="77777777" w:rsidR="004B607F" w:rsidRDefault="004B607F" w:rsidP="004B0475">
      <w:pPr>
        <w:pStyle w:val="ac"/>
        <w:numPr>
          <w:ilvl w:val="0"/>
          <w:numId w:val="72"/>
        </w:numPr>
      </w:pPr>
      <w:r w:rsidRPr="00CF4F76">
        <w:rPr>
          <w:rFonts w:cs="Arial" w:hint="cs"/>
          <w:rtl/>
        </w:rPr>
        <w:t>רי"ו</w:t>
      </w:r>
      <w:r w:rsidRPr="00CF4F76">
        <w:rPr>
          <w:rFonts w:cs="Arial" w:hint="cs"/>
          <w:sz w:val="16"/>
          <w:szCs w:val="16"/>
          <w:rtl/>
        </w:rPr>
        <w:t xml:space="preserve"> (</w:t>
      </w:r>
      <w:r w:rsidRPr="00CF4F76">
        <w:rPr>
          <w:rFonts w:cs="Arial"/>
          <w:sz w:val="16"/>
          <w:szCs w:val="16"/>
          <w:rtl/>
        </w:rPr>
        <w:t>מישרים נ"ב ח"ב יא ע"ג)</w:t>
      </w:r>
      <w:r w:rsidRPr="00CF4F76">
        <w:rPr>
          <w:rFonts w:cs="Arial" w:hint="cs"/>
          <w:rtl/>
        </w:rPr>
        <w:t>-</w:t>
      </w:r>
      <w:r w:rsidRPr="00CF4F76">
        <w:rPr>
          <w:rFonts w:cs="Arial"/>
          <w:rtl/>
        </w:rPr>
        <w:t xml:space="preserve"> נחלקו הפוסקים על הדיינים שקבלו עדות כשהם עומדים והעיקר שכשרה בפ"ד דשבועות</w:t>
      </w:r>
      <w:r w:rsidRPr="00CF4F76">
        <w:rPr>
          <w:rFonts w:cs="Arial" w:hint="cs"/>
          <w:rtl/>
        </w:rPr>
        <w:t>.</w:t>
      </w:r>
      <w:r>
        <w:rPr>
          <w:rFonts w:hint="cs"/>
          <w:rtl/>
        </w:rPr>
        <w:t xml:space="preserve"> </w:t>
      </w:r>
      <w:r w:rsidRPr="008845D0">
        <w:rPr>
          <w:rFonts w:cs="Arial" w:hint="cs"/>
          <w:color w:val="E36C0A" w:themeColor="accent6" w:themeShade="BF"/>
          <w:rtl/>
        </w:rPr>
        <w:t>(וכ"פ בשו"ע)</w:t>
      </w:r>
      <w:r>
        <w:rPr>
          <w:rFonts w:cs="Arial" w:hint="cs"/>
          <w:color w:val="E36C0A" w:themeColor="accent6" w:themeShade="BF"/>
          <w:rtl/>
        </w:rPr>
        <w:t xml:space="preserve"> </w:t>
      </w:r>
    </w:p>
    <w:p w14:paraId="1B4920D5" w14:textId="77777777" w:rsidR="004B607F" w:rsidRPr="00A44A5F" w:rsidRDefault="004B607F" w:rsidP="004B607F">
      <w:pPr>
        <w:ind w:left="360"/>
        <w:rPr>
          <w:sz w:val="16"/>
          <w:szCs w:val="16"/>
        </w:rPr>
      </w:pPr>
      <w:r w:rsidRPr="00811A22">
        <w:rPr>
          <w:rFonts w:hint="cs"/>
          <w:u w:val="dotted"/>
          <w:rtl/>
        </w:rPr>
        <w:t xml:space="preserve">ומה הדין אם הדיינים נמצאים שלא במקום ישיבת הדיינים </w:t>
      </w:r>
      <w:r w:rsidRPr="00811A22">
        <w:rPr>
          <w:rFonts w:hint="cs"/>
          <w:sz w:val="16"/>
          <w:szCs w:val="16"/>
          <w:u w:val="dotted"/>
          <w:rtl/>
        </w:rPr>
        <w:t>(כגון בשוק וכדו')</w:t>
      </w:r>
      <w:r w:rsidRPr="00811A22">
        <w:rPr>
          <w:rFonts w:hint="cs"/>
          <w:u w:val="dotted"/>
          <w:rtl/>
        </w:rPr>
        <w:t>:</w:t>
      </w:r>
      <w:r>
        <w:rPr>
          <w:rFonts w:hint="cs"/>
          <w:sz w:val="16"/>
          <w:szCs w:val="16"/>
          <w:rtl/>
        </w:rPr>
        <w:t xml:space="preserve">   (ש"ך [סקי"א])</w:t>
      </w:r>
    </w:p>
    <w:p w14:paraId="5F7D3B8E" w14:textId="77777777" w:rsidR="004B607F" w:rsidRPr="00811A22" w:rsidRDefault="004B607F" w:rsidP="004B0475">
      <w:pPr>
        <w:pStyle w:val="ac"/>
        <w:numPr>
          <w:ilvl w:val="0"/>
          <w:numId w:val="72"/>
        </w:numPr>
      </w:pPr>
      <w:r w:rsidRPr="00811A22">
        <w:rPr>
          <w:rFonts w:cs="Arial"/>
          <w:rtl/>
        </w:rPr>
        <w:t>מבי"ט</w:t>
      </w:r>
      <w:r w:rsidRPr="00811A22">
        <w:rPr>
          <w:rFonts w:cs="Arial"/>
          <w:sz w:val="16"/>
          <w:szCs w:val="16"/>
          <w:rtl/>
        </w:rPr>
        <w:t xml:space="preserve"> </w:t>
      </w:r>
      <w:r w:rsidRPr="00811A22">
        <w:rPr>
          <w:rFonts w:cs="Arial" w:hint="cs"/>
          <w:sz w:val="16"/>
          <w:szCs w:val="16"/>
          <w:rtl/>
        </w:rPr>
        <w:t>(</w:t>
      </w:r>
      <w:r w:rsidRPr="00811A22">
        <w:rPr>
          <w:rFonts w:cs="Arial"/>
          <w:sz w:val="16"/>
          <w:szCs w:val="16"/>
          <w:rtl/>
        </w:rPr>
        <w:t>ח</w:t>
      </w:r>
      <w:r w:rsidRPr="00811A22">
        <w:rPr>
          <w:rFonts w:cs="Arial" w:hint="cs"/>
          <w:sz w:val="16"/>
          <w:szCs w:val="16"/>
          <w:rtl/>
        </w:rPr>
        <w:t>"</w:t>
      </w:r>
      <w:r w:rsidRPr="00811A22">
        <w:rPr>
          <w:rFonts w:cs="Arial"/>
          <w:sz w:val="16"/>
          <w:szCs w:val="16"/>
          <w:rtl/>
        </w:rPr>
        <w:t>ב סי' קטז</w:t>
      </w:r>
      <w:r w:rsidRPr="00811A22">
        <w:rPr>
          <w:rFonts w:cs="Arial" w:hint="cs"/>
          <w:sz w:val="16"/>
          <w:szCs w:val="16"/>
          <w:rtl/>
        </w:rPr>
        <w:t>)</w:t>
      </w:r>
      <w:r>
        <w:rPr>
          <w:rFonts w:cs="Arial" w:hint="cs"/>
          <w:rtl/>
        </w:rPr>
        <w:t>-</w:t>
      </w:r>
      <w:r w:rsidRPr="00811A22">
        <w:rPr>
          <w:rFonts w:cs="Arial"/>
          <w:rtl/>
        </w:rPr>
        <w:t xml:space="preserve"> שלא במקום ישיבת הדיינים כגון בשוק או בדרך וכה"ג</w:t>
      </w:r>
      <w:r>
        <w:rPr>
          <w:rFonts w:cs="Arial" w:hint="cs"/>
          <w:rtl/>
        </w:rPr>
        <w:t xml:space="preserve"> -</w:t>
      </w:r>
      <w:r w:rsidRPr="00811A22">
        <w:rPr>
          <w:rFonts w:cs="Arial"/>
          <w:rtl/>
        </w:rPr>
        <w:t xml:space="preserve"> אפי' בדיעבד לא מהני כשהדיינים עומדין.</w:t>
      </w:r>
    </w:p>
    <w:p w14:paraId="6262AEEB" w14:textId="77777777" w:rsidR="004B607F" w:rsidRDefault="004B607F" w:rsidP="004B0475">
      <w:pPr>
        <w:pStyle w:val="ac"/>
        <w:numPr>
          <w:ilvl w:val="0"/>
          <w:numId w:val="72"/>
        </w:numPr>
        <w:rPr>
          <w:rtl/>
        </w:rPr>
      </w:pPr>
      <w:r w:rsidRPr="00811A22">
        <w:rPr>
          <w:rFonts w:cs="Arial"/>
          <w:rtl/>
        </w:rPr>
        <w:t>ריב"ש</w:t>
      </w:r>
      <w:r>
        <w:rPr>
          <w:rFonts w:cs="Arial" w:hint="cs"/>
          <w:rtl/>
        </w:rPr>
        <w:t xml:space="preserve"> </w:t>
      </w:r>
      <w:r w:rsidRPr="00811A22">
        <w:rPr>
          <w:rFonts w:cs="Arial" w:hint="cs"/>
          <w:sz w:val="16"/>
          <w:szCs w:val="16"/>
          <w:rtl/>
        </w:rPr>
        <w:t xml:space="preserve">(כ"כ מהריב"ל בשמו) </w:t>
      </w:r>
      <w:r>
        <w:rPr>
          <w:rFonts w:cs="Arial" w:hint="cs"/>
          <w:rtl/>
        </w:rPr>
        <w:t>ומהריב"ל</w:t>
      </w:r>
      <w:r w:rsidRPr="00811A22">
        <w:rPr>
          <w:rFonts w:cs="Arial" w:hint="cs"/>
          <w:sz w:val="16"/>
          <w:szCs w:val="16"/>
          <w:rtl/>
        </w:rPr>
        <w:t xml:space="preserve"> (</w:t>
      </w:r>
      <w:r w:rsidRPr="00811A22">
        <w:rPr>
          <w:rFonts w:cs="Arial"/>
          <w:sz w:val="16"/>
          <w:szCs w:val="16"/>
          <w:rtl/>
        </w:rPr>
        <w:t>ריש ספר ד'</w:t>
      </w:r>
      <w:r w:rsidRPr="00811A22">
        <w:rPr>
          <w:rFonts w:cs="Arial" w:hint="cs"/>
          <w:sz w:val="16"/>
          <w:szCs w:val="16"/>
          <w:rtl/>
        </w:rPr>
        <w:t>)</w:t>
      </w:r>
      <w:r>
        <w:rPr>
          <w:rFonts w:cs="Arial" w:hint="cs"/>
          <w:rtl/>
        </w:rPr>
        <w:t xml:space="preserve">- </w:t>
      </w:r>
      <w:r w:rsidRPr="00811A22">
        <w:rPr>
          <w:rFonts w:cs="Arial"/>
          <w:rtl/>
        </w:rPr>
        <w:t>בדיעבד כשר</w:t>
      </w:r>
      <w:r>
        <w:rPr>
          <w:rFonts w:cs="Arial" w:hint="cs"/>
          <w:rtl/>
        </w:rPr>
        <w:t>.</w:t>
      </w:r>
      <w:r w:rsidRPr="00811A22">
        <w:rPr>
          <w:rFonts w:cs="Arial"/>
          <w:rtl/>
        </w:rPr>
        <w:t xml:space="preserve"> </w:t>
      </w:r>
    </w:p>
    <w:p w14:paraId="7EDD62A1" w14:textId="77777777" w:rsidR="004B607F" w:rsidRPr="003024E5" w:rsidRDefault="004B607F" w:rsidP="004B607F">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0E1DC4F6" w14:textId="77777777" w:rsidR="004B607F" w:rsidRDefault="004B607F" w:rsidP="004B607F">
      <w:pPr>
        <w:rPr>
          <w:rtl/>
        </w:rPr>
      </w:pPr>
      <w:r>
        <w:rPr>
          <w:rFonts w:cs="Arial"/>
          <w:rtl/>
        </w:rPr>
        <w:t>צריכים הדיינים לכתחלה להיות יושבים בשעת קבלת העדות</w:t>
      </w:r>
      <w:r>
        <w:rPr>
          <w:rStyle w:val="ab"/>
          <w:rFonts w:cs="Arial"/>
          <w:rtl/>
        </w:rPr>
        <w:footnoteReference w:id="1431"/>
      </w:r>
      <w:r>
        <w:rPr>
          <w:rFonts w:cs="Arial"/>
          <w:rtl/>
        </w:rPr>
        <w:t>. צריך שיבינו הדיינים לשון העדות, שלא ישמעו מפי המתורגמן</w:t>
      </w:r>
      <w:r>
        <w:rPr>
          <w:rStyle w:val="ab"/>
          <w:rFonts w:cs="Arial"/>
          <w:rtl/>
        </w:rPr>
        <w:footnoteReference w:id="1432"/>
      </w:r>
      <w:r>
        <w:rPr>
          <w:rFonts w:cs="Arial"/>
          <w:rtl/>
        </w:rPr>
        <w:t>. ואם מבינים מה שהם אומרים, אפילו אם אינם יודעים להשיב, מותר להעמיד תורגמן ביניהם</w:t>
      </w:r>
      <w:r w:rsidRPr="00221BFB">
        <w:rPr>
          <w:rFonts w:cs="Arial"/>
          <w:sz w:val="18"/>
          <w:szCs w:val="18"/>
          <w:rtl/>
        </w:rPr>
        <w:t xml:space="preserve"> </w:t>
      </w:r>
      <w:r>
        <w:rPr>
          <w:rFonts w:cs="Arial" w:hint="cs"/>
          <w:sz w:val="18"/>
          <w:szCs w:val="18"/>
          <w:rtl/>
        </w:rPr>
        <w:t xml:space="preserve">[הגה] </w:t>
      </w:r>
      <w:r w:rsidRPr="00221BFB">
        <w:rPr>
          <w:rFonts w:cs="Arial"/>
          <w:sz w:val="18"/>
          <w:szCs w:val="18"/>
          <w:rtl/>
        </w:rPr>
        <w:t>וע</w:t>
      </w:r>
      <w:r>
        <w:rPr>
          <w:rFonts w:cs="Arial" w:hint="cs"/>
          <w:sz w:val="18"/>
          <w:szCs w:val="18"/>
          <w:rtl/>
        </w:rPr>
        <w:t xml:space="preserve">יין </w:t>
      </w:r>
      <w:r w:rsidRPr="00221BFB">
        <w:rPr>
          <w:rFonts w:cs="Arial"/>
          <w:sz w:val="18"/>
          <w:szCs w:val="18"/>
          <w:rtl/>
        </w:rPr>
        <w:t>ל</w:t>
      </w:r>
      <w:r>
        <w:rPr>
          <w:rFonts w:cs="Arial" w:hint="cs"/>
          <w:sz w:val="18"/>
          <w:szCs w:val="18"/>
          <w:rtl/>
        </w:rPr>
        <w:t>עיל</w:t>
      </w:r>
      <w:r w:rsidRPr="00221BFB">
        <w:rPr>
          <w:rFonts w:cs="Arial"/>
          <w:sz w:val="18"/>
          <w:szCs w:val="18"/>
          <w:rtl/>
        </w:rPr>
        <w:t xml:space="preserve"> סי</w:t>
      </w:r>
      <w:r>
        <w:rPr>
          <w:rFonts w:cs="Arial" w:hint="cs"/>
          <w:sz w:val="18"/>
          <w:szCs w:val="18"/>
          <w:rtl/>
        </w:rPr>
        <w:t>'</w:t>
      </w:r>
      <w:r w:rsidRPr="00221BFB">
        <w:rPr>
          <w:rFonts w:cs="Arial"/>
          <w:sz w:val="18"/>
          <w:szCs w:val="18"/>
          <w:rtl/>
        </w:rPr>
        <w:t xml:space="preserve"> יז סע</w:t>
      </w:r>
      <w:r>
        <w:rPr>
          <w:rFonts w:cs="Arial" w:hint="cs"/>
          <w:sz w:val="18"/>
          <w:szCs w:val="18"/>
          <w:rtl/>
        </w:rPr>
        <w:t>'</w:t>
      </w:r>
      <w:r w:rsidRPr="00221BFB">
        <w:rPr>
          <w:rFonts w:cs="Arial"/>
          <w:sz w:val="18"/>
          <w:szCs w:val="18"/>
          <w:rtl/>
        </w:rPr>
        <w:t xml:space="preserve"> ו</w:t>
      </w:r>
      <w:r>
        <w:rPr>
          <w:rFonts w:cs="Arial"/>
          <w:rtl/>
        </w:rPr>
        <w:t xml:space="preserve">. </w:t>
      </w:r>
      <w:r>
        <w:rPr>
          <w:rtl/>
        </w:rPr>
        <w:br/>
      </w:r>
    </w:p>
    <w:p w14:paraId="2719B842" w14:textId="77777777" w:rsidR="004B607F" w:rsidRDefault="004B607F" w:rsidP="004B607F">
      <w:pPr>
        <w:pStyle w:val="2"/>
        <w:rPr>
          <w:rtl/>
        </w:rPr>
      </w:pPr>
      <w:bookmarkStart w:id="206" w:name="_Toc24883681"/>
      <w:r>
        <w:rPr>
          <w:rtl/>
        </w:rPr>
        <w:t>סעיף ז</w:t>
      </w:r>
      <w:r>
        <w:rPr>
          <w:rFonts w:hint="cs"/>
          <w:rtl/>
        </w:rPr>
        <w:t>: לאיים על העדים שלא יעידו שקר.</w:t>
      </w:r>
      <w:bookmarkEnd w:id="206"/>
    </w:p>
    <w:p w14:paraId="20BE79DF" w14:textId="77777777" w:rsidR="004B607F" w:rsidRDefault="004B607F" w:rsidP="004B607F">
      <w:pPr>
        <w:rPr>
          <w:rFonts w:cs="Arial"/>
          <w:rtl/>
        </w:rPr>
      </w:pPr>
      <w:r w:rsidRPr="00CF4F76">
        <w:rPr>
          <w:rFonts w:cs="Arial" w:hint="cs"/>
          <w:b/>
          <w:bCs/>
          <w:rtl/>
        </w:rPr>
        <w:t xml:space="preserve">סנהדרין </w:t>
      </w:r>
      <w:r w:rsidRPr="00CF4F76">
        <w:rPr>
          <w:rFonts w:cs="Arial" w:hint="cs"/>
          <w:b/>
          <w:bCs/>
          <w:sz w:val="16"/>
          <w:szCs w:val="16"/>
          <w:rtl/>
        </w:rPr>
        <w:t xml:space="preserve">(פ' זה בורר) </w:t>
      </w:r>
      <w:r w:rsidRPr="00CF4F76">
        <w:rPr>
          <w:rFonts w:cs="Arial" w:hint="cs"/>
          <w:b/>
          <w:bCs/>
          <w:rtl/>
        </w:rPr>
        <w:t>כט</w:t>
      </w:r>
      <w:r>
        <w:rPr>
          <w:rStyle w:val="ab"/>
          <w:rFonts w:cs="Arial"/>
          <w:b/>
          <w:bCs/>
          <w:rtl/>
        </w:rPr>
        <w:footnoteReference w:id="1433"/>
      </w:r>
      <w:r w:rsidRPr="00CF4F76">
        <w:rPr>
          <w:rFonts w:cs="Arial" w:hint="cs"/>
          <w:b/>
          <w:bCs/>
          <w:rtl/>
        </w:rPr>
        <w:t xml:space="preserve"> ע"א: </w:t>
      </w:r>
      <w:r w:rsidRPr="00CF4F76">
        <w:rPr>
          <w:rFonts w:cs="Arial"/>
          <w:u w:val="double"/>
          <w:rtl/>
        </w:rPr>
        <w:t>משנה</w:t>
      </w:r>
      <w:r>
        <w:rPr>
          <w:rFonts w:cs="Arial" w:hint="cs"/>
          <w:rtl/>
        </w:rPr>
        <w:t>:</w:t>
      </w:r>
      <w:r w:rsidRPr="00CF4F76">
        <w:rPr>
          <w:rFonts w:cs="Arial"/>
          <w:rtl/>
        </w:rPr>
        <w:t xml:space="preserve"> כיצד בודקים את העדים? היו מכניסין אותן לחדר, ומאיימין עליהן.</w:t>
      </w:r>
      <w:r>
        <w:rPr>
          <w:rFonts w:cs="Arial" w:hint="cs"/>
          <w:rtl/>
        </w:rPr>
        <w:t xml:space="preserve">..    </w:t>
      </w:r>
      <w:r w:rsidRPr="00CF4F76">
        <w:rPr>
          <w:rFonts w:cs="Arial"/>
          <w:rtl/>
        </w:rPr>
        <w:t xml:space="preserve"> </w:t>
      </w:r>
      <w:r w:rsidRPr="00CF4F76">
        <w:rPr>
          <w:rFonts w:cs="Arial"/>
          <w:u w:val="double"/>
          <w:rtl/>
        </w:rPr>
        <w:t>גמרא</w:t>
      </w:r>
      <w:r>
        <w:rPr>
          <w:rFonts w:cs="Arial" w:hint="cs"/>
          <w:rtl/>
        </w:rPr>
        <w:t>:</w:t>
      </w:r>
      <w:r w:rsidRPr="00CF4F76">
        <w:rPr>
          <w:rFonts w:cs="Arial"/>
          <w:rtl/>
        </w:rPr>
        <w:t xml:space="preserve"> היכי אמרינן להו? </w:t>
      </w:r>
      <w:r w:rsidRPr="00CF4F76">
        <w:rPr>
          <w:rFonts w:cs="Arial"/>
          <w:u w:val="single"/>
          <w:rtl/>
        </w:rPr>
        <w:t>אמר רב יהודה</w:t>
      </w:r>
      <w:r w:rsidRPr="00CF4F76">
        <w:rPr>
          <w:rFonts w:cs="Arial"/>
          <w:rtl/>
        </w:rPr>
        <w:t xml:space="preserve">: הכי אמרינן להו </w:t>
      </w:r>
      <w:r w:rsidRPr="007852A7">
        <w:rPr>
          <w:rFonts w:cs="Arial"/>
          <w:sz w:val="16"/>
          <w:szCs w:val="16"/>
          <w:rtl/>
        </w:rPr>
        <w:t xml:space="preserve">(משלי כה יד) </w:t>
      </w:r>
      <w:r w:rsidRPr="00CF4F76">
        <w:rPr>
          <w:rFonts w:cs="Arial"/>
          <w:rtl/>
        </w:rPr>
        <w:t>נשיאים ורוח וגשם אין איש מתהלל במתת שקר</w:t>
      </w:r>
      <w:r>
        <w:rPr>
          <w:rStyle w:val="ab"/>
          <w:rFonts w:cs="Arial"/>
          <w:rtl/>
        </w:rPr>
        <w:footnoteReference w:id="1434"/>
      </w:r>
      <w:r w:rsidRPr="00CF4F76">
        <w:rPr>
          <w:rFonts w:cs="Arial"/>
          <w:rtl/>
        </w:rPr>
        <w:t xml:space="preserve">. </w:t>
      </w:r>
      <w:r w:rsidRPr="007852A7">
        <w:rPr>
          <w:rFonts w:cs="Arial"/>
          <w:u w:val="single"/>
          <w:rtl/>
        </w:rPr>
        <w:t>אמ</w:t>
      </w:r>
      <w:r>
        <w:rPr>
          <w:rFonts w:cs="Arial" w:hint="cs"/>
          <w:u w:val="single"/>
          <w:rtl/>
        </w:rPr>
        <w:t>ר</w:t>
      </w:r>
      <w:r w:rsidRPr="007852A7">
        <w:rPr>
          <w:rFonts w:cs="Arial"/>
          <w:u w:val="single"/>
          <w:rtl/>
        </w:rPr>
        <w:t xml:space="preserve"> רבא</w:t>
      </w:r>
      <w:r>
        <w:rPr>
          <w:rStyle w:val="ab"/>
          <w:rFonts w:cs="Arial"/>
          <w:u w:val="single"/>
          <w:rtl/>
        </w:rPr>
        <w:footnoteReference w:id="1435"/>
      </w:r>
      <w:r w:rsidRPr="00CF4F76">
        <w:rPr>
          <w:rFonts w:cs="Arial"/>
          <w:rtl/>
        </w:rPr>
        <w:t xml:space="preserve">: יכלי למימר שב שני הוה כפנא ואבבא אומנא לא חליף, </w:t>
      </w:r>
      <w:r w:rsidRPr="007852A7">
        <w:rPr>
          <w:rFonts w:cs="Arial"/>
          <w:u w:val="single"/>
          <w:rtl/>
        </w:rPr>
        <w:t>אלא אמר רבא</w:t>
      </w:r>
      <w:r w:rsidRPr="00CF4F76">
        <w:rPr>
          <w:rFonts w:cs="Arial"/>
          <w:rtl/>
        </w:rPr>
        <w:t>: אמרינן להו</w:t>
      </w:r>
      <w:r>
        <w:rPr>
          <w:rFonts w:cs="Arial" w:hint="cs"/>
          <w:rtl/>
        </w:rPr>
        <w:t xml:space="preserve"> </w:t>
      </w:r>
      <w:r w:rsidRPr="007852A7">
        <w:rPr>
          <w:rFonts w:cs="Arial"/>
          <w:sz w:val="16"/>
          <w:szCs w:val="16"/>
          <w:rtl/>
        </w:rPr>
        <w:t>(שם פסוק יח)</w:t>
      </w:r>
      <w:r w:rsidRPr="00CF4F76">
        <w:rPr>
          <w:rFonts w:cs="Arial"/>
          <w:rtl/>
        </w:rPr>
        <w:t xml:space="preserve"> מפץ וחרב וחץ שנון איש ענה ברעהו עד שקר</w:t>
      </w:r>
      <w:r>
        <w:rPr>
          <w:rStyle w:val="ab"/>
          <w:rFonts w:cs="Arial"/>
          <w:rtl/>
        </w:rPr>
        <w:footnoteReference w:id="1436"/>
      </w:r>
      <w:r w:rsidRPr="00CF4F76">
        <w:rPr>
          <w:rFonts w:cs="Arial"/>
          <w:rtl/>
        </w:rPr>
        <w:t xml:space="preserve">. </w:t>
      </w:r>
      <w:r w:rsidRPr="007852A7">
        <w:rPr>
          <w:rFonts w:cs="Arial"/>
          <w:u w:val="single"/>
          <w:rtl/>
        </w:rPr>
        <w:t>אמר רב אשי</w:t>
      </w:r>
      <w:r w:rsidRPr="00CF4F76">
        <w:rPr>
          <w:rFonts w:cs="Arial"/>
          <w:rtl/>
        </w:rPr>
        <w:t xml:space="preserve">: יכלי למימר שב שני הוה מותנא ואיניש בלא שניה לא שכיב, </w:t>
      </w:r>
      <w:r w:rsidRPr="007852A7">
        <w:rPr>
          <w:rFonts w:cs="Arial"/>
          <w:u w:val="single"/>
          <w:rtl/>
        </w:rPr>
        <w:t>אלא אמר רב אשי</w:t>
      </w:r>
      <w:r w:rsidRPr="00CF4F76">
        <w:rPr>
          <w:rFonts w:cs="Arial"/>
          <w:rtl/>
        </w:rPr>
        <w:t>, אמר לי נתן בר מר זוטרא: אמרינן להו סהדי שקרי אאוגרייהו זילי</w:t>
      </w:r>
      <w:r>
        <w:rPr>
          <w:rStyle w:val="ab"/>
          <w:rFonts w:cs="Arial"/>
          <w:rtl/>
        </w:rPr>
        <w:footnoteReference w:id="1437"/>
      </w:r>
      <w:r w:rsidRPr="00CF4F76">
        <w:rPr>
          <w:rFonts w:cs="Arial"/>
          <w:rtl/>
        </w:rPr>
        <w:t xml:space="preserve">, דכתיב </w:t>
      </w:r>
      <w:r w:rsidRPr="007852A7">
        <w:rPr>
          <w:rFonts w:cs="Arial"/>
          <w:sz w:val="16"/>
          <w:szCs w:val="16"/>
          <w:rtl/>
        </w:rPr>
        <w:t xml:space="preserve">(מ"א כא י-יג) </w:t>
      </w:r>
      <w:r w:rsidRPr="00CF4F76">
        <w:rPr>
          <w:rFonts w:cs="Arial"/>
          <w:rtl/>
        </w:rPr>
        <w:t>והושיבו שנים אנשים בני בליעל</w:t>
      </w:r>
      <w:r>
        <w:rPr>
          <w:rStyle w:val="ab"/>
          <w:rFonts w:cs="Arial"/>
          <w:rtl/>
        </w:rPr>
        <w:footnoteReference w:id="1438"/>
      </w:r>
      <w:r w:rsidRPr="00CF4F76">
        <w:rPr>
          <w:rFonts w:cs="Arial"/>
          <w:rtl/>
        </w:rPr>
        <w:t xml:space="preserve"> נגדו ויעדהו לאמר ברכת אלהים ומלך.</w:t>
      </w:r>
      <w:r w:rsidRPr="007852A7">
        <w:rPr>
          <w:rFonts w:cs="Arial"/>
          <w:sz w:val="16"/>
          <w:szCs w:val="16"/>
          <w:rtl/>
        </w:rPr>
        <w:t xml:space="preserve"> </w:t>
      </w:r>
      <w:r>
        <w:rPr>
          <w:rFonts w:cs="Arial" w:hint="cs"/>
          <w:sz w:val="16"/>
          <w:szCs w:val="16"/>
          <w:rtl/>
        </w:rPr>
        <w:t>(</w:t>
      </w:r>
      <w:r w:rsidRPr="007852A7">
        <w:rPr>
          <w:rFonts w:cs="Arial"/>
          <w:sz w:val="16"/>
          <w:szCs w:val="16"/>
          <w:rtl/>
        </w:rPr>
        <w:t>ו</w:t>
      </w:r>
      <w:r w:rsidRPr="007852A7">
        <w:rPr>
          <w:rFonts w:cs="Arial" w:hint="cs"/>
          <w:sz w:val="16"/>
          <w:szCs w:val="16"/>
          <w:rtl/>
        </w:rPr>
        <w:t>כתב הב"י</w:t>
      </w:r>
      <w:r>
        <w:rPr>
          <w:rFonts w:cs="Arial" w:hint="cs"/>
          <w:sz w:val="16"/>
          <w:szCs w:val="16"/>
          <w:rtl/>
        </w:rPr>
        <w:t xml:space="preserve"> </w:t>
      </w:r>
      <w:r w:rsidRPr="007852A7">
        <w:rPr>
          <w:rFonts w:cs="Arial" w:hint="cs"/>
          <w:sz w:val="16"/>
          <w:szCs w:val="16"/>
          <w:rtl/>
        </w:rPr>
        <w:t>ד</w:t>
      </w:r>
      <w:r w:rsidRPr="007852A7">
        <w:rPr>
          <w:rFonts w:cs="Arial"/>
          <w:sz w:val="16"/>
          <w:szCs w:val="16"/>
          <w:rtl/>
        </w:rPr>
        <w:t xml:space="preserve">משמע דלא היו אומרים להם אלא סהדי שקרי אאוגרייהו זילי. אבל רבינו כתב </w:t>
      </w:r>
      <w:r w:rsidRPr="007852A7">
        <w:rPr>
          <w:rFonts w:cs="Arial" w:hint="cs"/>
          <w:sz w:val="16"/>
          <w:szCs w:val="16"/>
          <w:rtl/>
        </w:rPr>
        <w:t>'</w:t>
      </w:r>
      <w:r w:rsidRPr="00763F81">
        <w:rPr>
          <w:rFonts w:cs="Arial"/>
          <w:sz w:val="16"/>
          <w:szCs w:val="16"/>
          <w:rtl/>
        </w:rPr>
        <w:t>מאיימין על העדים שלא יעידו שקר</w:t>
      </w:r>
      <w:r>
        <w:rPr>
          <w:rFonts w:cs="Arial" w:hint="cs"/>
          <w:sz w:val="16"/>
          <w:szCs w:val="16"/>
          <w:rtl/>
        </w:rPr>
        <w:t>,</w:t>
      </w:r>
      <w:r w:rsidRPr="00763F81">
        <w:rPr>
          <w:rFonts w:cs="Arial"/>
          <w:sz w:val="16"/>
          <w:szCs w:val="16"/>
          <w:rtl/>
        </w:rPr>
        <w:t xml:space="preserve"> ומודיעים להם עונשו של מעיד עדות שקר</w:t>
      </w:r>
      <w:r>
        <w:rPr>
          <w:rFonts w:cs="Arial" w:hint="cs"/>
          <w:sz w:val="16"/>
          <w:szCs w:val="16"/>
          <w:rtl/>
        </w:rPr>
        <w:t>,</w:t>
      </w:r>
      <w:r w:rsidRPr="00763F81">
        <w:rPr>
          <w:rFonts w:cs="Arial"/>
          <w:sz w:val="16"/>
          <w:szCs w:val="16"/>
          <w:rtl/>
        </w:rPr>
        <w:t xml:space="preserve"> ושהוא בזוי בעיני השוכרו</w:t>
      </w:r>
      <w:r w:rsidRPr="007852A7">
        <w:rPr>
          <w:rFonts w:cs="Arial" w:hint="cs"/>
          <w:sz w:val="16"/>
          <w:szCs w:val="16"/>
          <w:rtl/>
        </w:rPr>
        <w:t>'.</w:t>
      </w:r>
      <w:r w:rsidRPr="007852A7">
        <w:rPr>
          <w:rFonts w:cs="Arial"/>
          <w:sz w:val="16"/>
          <w:szCs w:val="16"/>
          <w:rtl/>
        </w:rPr>
        <w:t xml:space="preserve"> גם במישרים נ"ב ח"ב (יא:) כתב </w:t>
      </w:r>
      <w:r w:rsidRPr="007852A7">
        <w:rPr>
          <w:rFonts w:cs="Arial" w:hint="cs"/>
          <w:sz w:val="16"/>
          <w:szCs w:val="16"/>
          <w:rtl/>
        </w:rPr>
        <w:t>'</w:t>
      </w:r>
      <w:r w:rsidRPr="007852A7">
        <w:rPr>
          <w:rFonts w:cs="Arial"/>
          <w:sz w:val="16"/>
          <w:szCs w:val="16"/>
          <w:rtl/>
        </w:rPr>
        <w:t>ומאיימין עליהם ואומרים להם סהדי שקרי אאוגרייהו זילי</w:t>
      </w:r>
      <w:r w:rsidRPr="007852A7">
        <w:rPr>
          <w:rFonts w:cs="Arial" w:hint="cs"/>
          <w:sz w:val="16"/>
          <w:szCs w:val="16"/>
          <w:rtl/>
        </w:rPr>
        <w:t>'.</w:t>
      </w:r>
      <w:r w:rsidRPr="007852A7">
        <w:rPr>
          <w:rFonts w:cs="Arial"/>
          <w:sz w:val="16"/>
          <w:szCs w:val="16"/>
          <w:rtl/>
        </w:rPr>
        <w:t xml:space="preserve"> נראה דתרתי בעינן</w:t>
      </w:r>
      <w:r w:rsidRPr="007852A7">
        <w:rPr>
          <w:rFonts w:cs="Arial" w:hint="cs"/>
          <w:sz w:val="16"/>
          <w:szCs w:val="16"/>
          <w:rtl/>
        </w:rPr>
        <w:t>,</w:t>
      </w:r>
      <w:r w:rsidRPr="007852A7">
        <w:rPr>
          <w:rFonts w:cs="Arial"/>
          <w:sz w:val="16"/>
          <w:szCs w:val="16"/>
          <w:rtl/>
        </w:rPr>
        <w:t xml:space="preserve"> שיאיימו עליהם</w:t>
      </w:r>
      <w:r w:rsidRPr="007852A7">
        <w:rPr>
          <w:rFonts w:cs="Arial" w:hint="cs"/>
          <w:sz w:val="16"/>
          <w:szCs w:val="16"/>
          <w:rtl/>
        </w:rPr>
        <w:t>,</w:t>
      </w:r>
      <w:r w:rsidRPr="007852A7">
        <w:rPr>
          <w:rFonts w:cs="Arial"/>
          <w:sz w:val="16"/>
          <w:szCs w:val="16"/>
          <w:rtl/>
        </w:rPr>
        <w:t xml:space="preserve"> ושיודיעום דסהדי שקרי אאוגרייהו זילי. גם הרמב"ם פי"ז מהל</w:t>
      </w:r>
      <w:r w:rsidRPr="007852A7">
        <w:rPr>
          <w:rFonts w:cs="Arial" w:hint="cs"/>
          <w:sz w:val="16"/>
          <w:szCs w:val="16"/>
          <w:rtl/>
        </w:rPr>
        <w:t>'</w:t>
      </w:r>
      <w:r w:rsidRPr="007852A7">
        <w:rPr>
          <w:rFonts w:cs="Arial"/>
          <w:sz w:val="16"/>
          <w:szCs w:val="16"/>
          <w:rtl/>
        </w:rPr>
        <w:t xml:space="preserve"> עדות (ה"ב) כתב </w:t>
      </w:r>
      <w:r w:rsidRPr="007852A7">
        <w:rPr>
          <w:rFonts w:cs="Arial" w:hint="cs"/>
          <w:sz w:val="16"/>
          <w:szCs w:val="16"/>
          <w:rtl/>
        </w:rPr>
        <w:t>'</w:t>
      </w:r>
      <w:r w:rsidRPr="007852A7">
        <w:rPr>
          <w:rFonts w:cs="Arial"/>
          <w:sz w:val="16"/>
          <w:szCs w:val="16"/>
          <w:rtl/>
        </w:rPr>
        <w:t>ומודיעין אותם כח עדות שקר ובושת המעיד בה בעולם הזה ובעולם הבא</w:t>
      </w:r>
      <w:r w:rsidRPr="007852A7">
        <w:rPr>
          <w:rFonts w:cs="Arial" w:hint="cs"/>
          <w:sz w:val="16"/>
          <w:szCs w:val="16"/>
          <w:rtl/>
        </w:rPr>
        <w:t>',</w:t>
      </w:r>
      <w:r w:rsidRPr="007852A7">
        <w:rPr>
          <w:rFonts w:cs="Arial"/>
          <w:sz w:val="16"/>
          <w:szCs w:val="16"/>
          <w:rtl/>
        </w:rPr>
        <w:t xml:space="preserve"> נראה דסבירא ליה דלא אידחו מימרא דרב יהודה ורבא אלא לענין שלא יאיימו אותם ברע כללי</w:t>
      </w:r>
      <w:r>
        <w:rPr>
          <w:rFonts w:cs="Arial" w:hint="cs"/>
          <w:sz w:val="16"/>
          <w:szCs w:val="16"/>
          <w:rtl/>
        </w:rPr>
        <w:t>,</w:t>
      </w:r>
      <w:r w:rsidRPr="007852A7">
        <w:rPr>
          <w:rFonts w:cs="Arial"/>
          <w:sz w:val="16"/>
          <w:szCs w:val="16"/>
          <w:rtl/>
        </w:rPr>
        <w:t xml:space="preserve"> כי יחשבו שינצלו</w:t>
      </w:r>
      <w:r>
        <w:rPr>
          <w:rFonts w:cs="Arial" w:hint="cs"/>
          <w:sz w:val="16"/>
          <w:szCs w:val="16"/>
          <w:rtl/>
        </w:rPr>
        <w:t>,</w:t>
      </w:r>
      <w:r w:rsidRPr="007852A7">
        <w:rPr>
          <w:rFonts w:cs="Arial"/>
          <w:sz w:val="16"/>
          <w:szCs w:val="16"/>
          <w:rtl/>
        </w:rPr>
        <w:t xml:space="preserve"> אבל ברע פרטי שיגיע להם באותן עון</w:t>
      </w:r>
      <w:r>
        <w:rPr>
          <w:rFonts w:cs="Arial" w:hint="cs"/>
          <w:sz w:val="16"/>
          <w:szCs w:val="16"/>
          <w:rtl/>
        </w:rPr>
        <w:t xml:space="preserve"> </w:t>
      </w:r>
      <w:r w:rsidRPr="007852A7">
        <w:rPr>
          <w:rFonts w:cs="Arial"/>
          <w:sz w:val="16"/>
          <w:szCs w:val="16"/>
          <w:rtl/>
        </w:rPr>
        <w:t>מאיימין עליהם</w:t>
      </w:r>
      <w:r w:rsidRPr="007852A7">
        <w:rPr>
          <w:rFonts w:cs="Arial" w:hint="cs"/>
          <w:sz w:val="16"/>
          <w:szCs w:val="16"/>
          <w:rtl/>
        </w:rPr>
        <w:t>,</w:t>
      </w:r>
      <w:r w:rsidRPr="007852A7">
        <w:rPr>
          <w:rFonts w:cs="Arial"/>
          <w:sz w:val="16"/>
          <w:szCs w:val="16"/>
          <w:rtl/>
        </w:rPr>
        <w:t xml:space="preserve"> והיינו דאמר רב אשי סהדי שקרי אאוגרייהו זילי</w:t>
      </w:r>
      <w:r>
        <w:rPr>
          <w:rFonts w:cs="Arial" w:hint="cs"/>
          <w:sz w:val="16"/>
          <w:szCs w:val="16"/>
          <w:rtl/>
        </w:rPr>
        <w:t>,</w:t>
      </w:r>
      <w:r w:rsidRPr="007852A7">
        <w:rPr>
          <w:rFonts w:cs="Arial"/>
          <w:sz w:val="16"/>
          <w:szCs w:val="16"/>
          <w:rtl/>
        </w:rPr>
        <w:t xml:space="preserve"> שהוא רע נוגע להם בפרט</w:t>
      </w:r>
      <w:r w:rsidRPr="007852A7">
        <w:rPr>
          <w:rFonts w:cs="Arial" w:hint="cs"/>
          <w:sz w:val="16"/>
          <w:szCs w:val="16"/>
          <w:rtl/>
        </w:rPr>
        <w:t>,</w:t>
      </w:r>
      <w:r w:rsidRPr="007852A7">
        <w:rPr>
          <w:rFonts w:cs="Arial"/>
          <w:sz w:val="16"/>
          <w:szCs w:val="16"/>
          <w:rtl/>
        </w:rPr>
        <w:t xml:space="preserve"> והוא הדין לשאר רעות פרטיות שמאיימין עליהם</w:t>
      </w:r>
      <w:r>
        <w:rPr>
          <w:rFonts w:cs="Arial" w:hint="cs"/>
          <w:sz w:val="16"/>
          <w:szCs w:val="16"/>
          <w:rtl/>
        </w:rPr>
        <w:t>)</w:t>
      </w:r>
    </w:p>
    <w:p w14:paraId="465614D6" w14:textId="77777777" w:rsidR="004B607F" w:rsidRDefault="004B607F" w:rsidP="004B607F">
      <w:pPr>
        <w:rPr>
          <w:rFonts w:cs="Arial"/>
          <w:rtl/>
        </w:rPr>
      </w:pPr>
      <w:r w:rsidRPr="00763F81">
        <w:rPr>
          <w:rFonts w:cs="Arial" w:hint="cs"/>
          <w:u w:val="single"/>
          <w:rtl/>
        </w:rPr>
        <w:t>איום על העדים שלא יעידו עדות שקר:</w:t>
      </w:r>
    </w:p>
    <w:p w14:paraId="6F6A31C0" w14:textId="77777777" w:rsidR="004B607F" w:rsidRPr="00763F81" w:rsidRDefault="004B607F" w:rsidP="004B0475">
      <w:pPr>
        <w:pStyle w:val="ac"/>
        <w:numPr>
          <w:ilvl w:val="0"/>
          <w:numId w:val="200"/>
        </w:numPr>
        <w:rPr>
          <w:rFonts w:cs="Arial"/>
          <w:rtl/>
        </w:rPr>
      </w:pPr>
      <w:r w:rsidRPr="00763F81">
        <w:rPr>
          <w:rFonts w:cs="Arial" w:hint="cs"/>
          <w:rtl/>
        </w:rPr>
        <w:t xml:space="preserve">רמב"ם </w:t>
      </w:r>
      <w:r w:rsidRPr="00763F81">
        <w:rPr>
          <w:rFonts w:cs="Arial" w:hint="cs"/>
          <w:sz w:val="16"/>
          <w:szCs w:val="16"/>
          <w:rtl/>
        </w:rPr>
        <w:t>(פי"ז ה"ב)</w:t>
      </w:r>
      <w:r w:rsidRPr="00763F81">
        <w:rPr>
          <w:rFonts w:cs="Arial" w:hint="cs"/>
          <w:rtl/>
        </w:rPr>
        <w:t xml:space="preserve">- </w:t>
      </w:r>
      <w:r w:rsidRPr="00763F81">
        <w:rPr>
          <w:rFonts w:cs="Arial"/>
          <w:rtl/>
        </w:rPr>
        <w:t>מאיימין עליהם בפני הכל, ומודיעין אותן כח עדות שקר ובושת המעיד בה בעולם הזה ובעולם הבא</w:t>
      </w:r>
      <w:r w:rsidRPr="00763F81">
        <w:rPr>
          <w:rFonts w:cs="Arial" w:hint="cs"/>
          <w:rtl/>
        </w:rPr>
        <w:t>.</w:t>
      </w:r>
      <w:r w:rsidRPr="00763F81">
        <w:rPr>
          <w:rFonts w:cs="Arial" w:hint="cs"/>
          <w:color w:val="E36C0A" w:themeColor="accent6" w:themeShade="BF"/>
          <w:rtl/>
        </w:rPr>
        <w:t xml:space="preserve"> </w:t>
      </w:r>
      <w:r w:rsidRPr="008845D0">
        <w:rPr>
          <w:rFonts w:cs="Arial" w:hint="cs"/>
          <w:color w:val="E36C0A" w:themeColor="accent6" w:themeShade="BF"/>
          <w:rtl/>
        </w:rPr>
        <w:t>(וכ"פ בשו"ע)</w:t>
      </w:r>
    </w:p>
    <w:p w14:paraId="5803950D" w14:textId="77777777" w:rsidR="004B607F" w:rsidRPr="003024E5" w:rsidRDefault="004B607F" w:rsidP="004B607F">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1C79E8C5" w14:textId="77777777" w:rsidR="004B607F" w:rsidRDefault="004B607F" w:rsidP="004B607F">
      <w:pPr>
        <w:rPr>
          <w:rtl/>
        </w:rPr>
      </w:pPr>
      <w:r>
        <w:rPr>
          <w:rFonts w:cs="Arial"/>
          <w:rtl/>
        </w:rPr>
        <w:t xml:space="preserve">מאיימין על העדים בפני הכל, ומודיעים אותם כח עדות שקר ובושת המעיד בה בעולם הזה ובעולם הבא ושהוא בזוי בעיני </w:t>
      </w:r>
      <w:r>
        <w:rPr>
          <w:rFonts w:cs="Arial" w:hint="cs"/>
          <w:rtl/>
        </w:rPr>
        <w:t>ה</w:t>
      </w:r>
      <w:r>
        <w:rPr>
          <w:rFonts w:cs="Arial"/>
          <w:rtl/>
        </w:rPr>
        <w:t>שוכר</w:t>
      </w:r>
      <w:r>
        <w:rPr>
          <w:rFonts w:cs="Arial" w:hint="cs"/>
          <w:rtl/>
        </w:rPr>
        <w:t>ו</w:t>
      </w:r>
      <w:r>
        <w:rPr>
          <w:rFonts w:cs="Arial"/>
          <w:rtl/>
        </w:rPr>
        <w:t xml:space="preserve">. </w:t>
      </w:r>
    </w:p>
    <w:p w14:paraId="0BE38744" w14:textId="77777777" w:rsidR="004B607F" w:rsidRDefault="004B607F" w:rsidP="004B607F">
      <w:pPr>
        <w:rPr>
          <w:rtl/>
        </w:rPr>
      </w:pPr>
    </w:p>
    <w:p w14:paraId="32C8E9EF" w14:textId="77777777" w:rsidR="004B607F" w:rsidRDefault="004B607F" w:rsidP="004B607F">
      <w:pPr>
        <w:pStyle w:val="2"/>
        <w:rPr>
          <w:rtl/>
        </w:rPr>
      </w:pPr>
      <w:bookmarkStart w:id="207" w:name="_Toc24883682"/>
      <w:r>
        <w:rPr>
          <w:rtl/>
        </w:rPr>
        <w:t>סעיף ח</w:t>
      </w:r>
      <w:r>
        <w:rPr>
          <w:rFonts w:hint="cs"/>
          <w:rtl/>
        </w:rPr>
        <w:t>: בדיקת העדים בתחילה.</w:t>
      </w:r>
      <w:bookmarkEnd w:id="207"/>
    </w:p>
    <w:p w14:paraId="60C3526F" w14:textId="77777777" w:rsidR="004B607F" w:rsidRDefault="004B607F" w:rsidP="004B607F">
      <w:pPr>
        <w:rPr>
          <w:rFonts w:cs="Arial"/>
          <w:rtl/>
        </w:rPr>
      </w:pPr>
      <w:r w:rsidRPr="00CF4F76">
        <w:rPr>
          <w:rFonts w:cs="Arial" w:hint="cs"/>
          <w:b/>
          <w:bCs/>
          <w:rtl/>
        </w:rPr>
        <w:t xml:space="preserve">סנהדרין </w:t>
      </w:r>
      <w:r w:rsidRPr="00CF4F76">
        <w:rPr>
          <w:rFonts w:cs="Arial" w:hint="cs"/>
          <w:b/>
          <w:bCs/>
          <w:sz w:val="16"/>
          <w:szCs w:val="16"/>
          <w:rtl/>
        </w:rPr>
        <w:t xml:space="preserve">(פ' זה בורר) </w:t>
      </w:r>
      <w:r w:rsidRPr="00CF4F76">
        <w:rPr>
          <w:rFonts w:cs="Arial" w:hint="cs"/>
          <w:b/>
          <w:bCs/>
          <w:rtl/>
        </w:rPr>
        <w:t>כט</w:t>
      </w:r>
      <w:r>
        <w:rPr>
          <w:rStyle w:val="ab"/>
          <w:rFonts w:cs="Arial"/>
          <w:b/>
          <w:bCs/>
          <w:rtl/>
        </w:rPr>
        <w:footnoteReference w:id="1439"/>
      </w:r>
      <w:r w:rsidRPr="00CF4F76">
        <w:rPr>
          <w:rFonts w:cs="Arial" w:hint="cs"/>
          <w:b/>
          <w:bCs/>
          <w:rtl/>
        </w:rPr>
        <w:t xml:space="preserve"> ע"א: </w:t>
      </w:r>
      <w:r w:rsidRPr="00CF4F76">
        <w:rPr>
          <w:rFonts w:cs="Arial"/>
          <w:u w:val="double"/>
          <w:rtl/>
        </w:rPr>
        <w:t>משנה</w:t>
      </w:r>
      <w:r>
        <w:rPr>
          <w:rFonts w:cs="Arial" w:hint="cs"/>
          <w:rtl/>
        </w:rPr>
        <w:t>:</w:t>
      </w:r>
      <w:r w:rsidRPr="00CF4F76">
        <w:rPr>
          <w:rFonts w:cs="Arial"/>
          <w:rtl/>
        </w:rPr>
        <w:t xml:space="preserve"> </w:t>
      </w:r>
      <w:r w:rsidRPr="00E65951">
        <w:rPr>
          <w:rFonts w:cs="Arial"/>
          <w:rtl/>
        </w:rPr>
        <w:t>כיצד בודקים את העדים? היו מכניסין אותן לחדר, ומאיימין עליהן. ומוציאין את כל האדם לחוץ, ומשיירין את הגדול שבהן, ואומרים לו: אמור היאך אתה יודע שזה חייב לזה. אם אמר, הוא אמר לי</w:t>
      </w:r>
      <w:r>
        <w:rPr>
          <w:rStyle w:val="ab"/>
          <w:rFonts w:cs="Arial"/>
          <w:rtl/>
        </w:rPr>
        <w:footnoteReference w:id="1440"/>
      </w:r>
      <w:r w:rsidRPr="00E65951">
        <w:rPr>
          <w:rFonts w:cs="Arial"/>
          <w:rtl/>
        </w:rPr>
        <w:t xml:space="preserve"> שאני חייב לו, איש פלוני אמר לי שהוא חייב לו - לא אמר כלום</w:t>
      </w:r>
      <w:r>
        <w:rPr>
          <w:rStyle w:val="ab"/>
          <w:rFonts w:cs="Arial"/>
          <w:rtl/>
        </w:rPr>
        <w:footnoteReference w:id="1441"/>
      </w:r>
      <w:r w:rsidRPr="00E65951">
        <w:rPr>
          <w:rFonts w:cs="Arial"/>
          <w:rtl/>
        </w:rPr>
        <w:t xml:space="preserve">, עד שיאמר בפנינו הודה לו שהוא חייב לו מאתים זוז. ואחר כך מכניסין את השני, ובודקין אותו. אם נמצאו דבריהן מכוונין - נושאין ונותנין בדבר. </w:t>
      </w:r>
      <w:r>
        <w:rPr>
          <w:rFonts w:cs="Arial" w:hint="cs"/>
          <w:rtl/>
        </w:rPr>
        <w:t xml:space="preserve"> </w:t>
      </w:r>
    </w:p>
    <w:p w14:paraId="403E59A5" w14:textId="77777777" w:rsidR="004B607F" w:rsidRDefault="004B607F" w:rsidP="004B607F">
      <w:pPr>
        <w:rPr>
          <w:rFonts w:cs="Arial"/>
          <w:rtl/>
        </w:rPr>
      </w:pPr>
      <w:r w:rsidRPr="00E65951">
        <w:rPr>
          <w:rFonts w:cs="Arial" w:hint="cs"/>
          <w:u w:val="single"/>
          <w:rtl/>
        </w:rPr>
        <w:t>בדיקת העדי</w:t>
      </w:r>
      <w:r>
        <w:rPr>
          <w:rFonts w:cs="Arial" w:hint="cs"/>
          <w:u w:val="single"/>
          <w:rtl/>
        </w:rPr>
        <w:t>ם</w:t>
      </w:r>
      <w:r w:rsidRPr="00E65951">
        <w:rPr>
          <w:rFonts w:cs="Arial" w:hint="cs"/>
          <w:u w:val="single"/>
          <w:rtl/>
        </w:rPr>
        <w:t xml:space="preserve"> בתחילה </w:t>
      </w:r>
      <w:r>
        <w:rPr>
          <w:rFonts w:cs="Arial" w:hint="cs"/>
          <w:u w:val="single"/>
          <w:rtl/>
        </w:rPr>
        <w:t xml:space="preserve">- </w:t>
      </w:r>
      <w:r w:rsidRPr="00E65951">
        <w:rPr>
          <w:rFonts w:cs="Arial" w:hint="cs"/>
          <w:u w:val="single"/>
          <w:rtl/>
        </w:rPr>
        <w:t>כיצד:</w:t>
      </w:r>
    </w:p>
    <w:p w14:paraId="3301E94E" w14:textId="77777777" w:rsidR="004B607F" w:rsidRPr="00E65951" w:rsidRDefault="004B607F" w:rsidP="004B0475">
      <w:pPr>
        <w:pStyle w:val="ac"/>
        <w:numPr>
          <w:ilvl w:val="0"/>
          <w:numId w:val="72"/>
        </w:numPr>
        <w:rPr>
          <w:rFonts w:cs="Arial"/>
          <w:rtl/>
        </w:rPr>
      </w:pPr>
      <w:r w:rsidRPr="00E65951">
        <w:rPr>
          <w:rFonts w:cs="Arial" w:hint="cs"/>
          <w:rtl/>
        </w:rPr>
        <w:t xml:space="preserve">טור- </w:t>
      </w:r>
      <w:r w:rsidRPr="00E65951">
        <w:rPr>
          <w:rFonts w:cs="Arial"/>
          <w:rtl/>
        </w:rPr>
        <w:t>בודקים כל א' לבדו לומר היאך אתה יודע שזה חייב לזה</w:t>
      </w:r>
      <w:r>
        <w:rPr>
          <w:rFonts w:cs="Arial" w:hint="cs"/>
          <w:rtl/>
        </w:rPr>
        <w:t>,</w:t>
      </w:r>
      <w:r w:rsidRPr="00E65951">
        <w:rPr>
          <w:rFonts w:cs="Arial"/>
          <w:rtl/>
        </w:rPr>
        <w:t xml:space="preserve"> אם יאמר שהמלוה או הלוה אמר לי</w:t>
      </w:r>
      <w:r>
        <w:rPr>
          <w:rFonts w:cs="Arial" w:hint="cs"/>
          <w:rtl/>
        </w:rPr>
        <w:t>,</w:t>
      </w:r>
      <w:r w:rsidRPr="00E65951">
        <w:rPr>
          <w:rFonts w:cs="Arial"/>
          <w:rtl/>
        </w:rPr>
        <w:t xml:space="preserve"> או אדם אחר הכשר לי בעיני ומאמין אני בו הוא אומר לי שראה שהלוה לו </w:t>
      </w:r>
      <w:r>
        <w:rPr>
          <w:rFonts w:cs="Arial" w:hint="cs"/>
          <w:rtl/>
        </w:rPr>
        <w:t xml:space="preserve">- </w:t>
      </w:r>
      <w:r w:rsidRPr="00E65951">
        <w:rPr>
          <w:rFonts w:cs="Arial"/>
          <w:rtl/>
        </w:rPr>
        <w:t>אינו כלום</w:t>
      </w:r>
      <w:r>
        <w:rPr>
          <w:rFonts w:cs="Arial" w:hint="cs"/>
          <w:rtl/>
        </w:rPr>
        <w:t>,</w:t>
      </w:r>
      <w:r w:rsidRPr="00E65951">
        <w:rPr>
          <w:rFonts w:cs="Arial"/>
          <w:rtl/>
        </w:rPr>
        <w:t xml:space="preserve"> עד שיעיד שהוא בעצמו ראה שהלוה לו או שיאמר בפני הודה לו ואמר אתם עדי</w:t>
      </w:r>
      <w:r>
        <w:rPr>
          <w:rFonts w:cs="Arial" w:hint="cs"/>
          <w:rtl/>
        </w:rPr>
        <w:t>,</w:t>
      </w:r>
      <w:r w:rsidRPr="00E65951">
        <w:rPr>
          <w:rFonts w:cs="Arial"/>
          <w:rtl/>
        </w:rPr>
        <w:t xml:space="preserve"> כאשר יתבאר בע"ה</w:t>
      </w:r>
      <w:r w:rsidRPr="00E65951">
        <w:rPr>
          <w:rFonts w:cs="Arial" w:hint="cs"/>
          <w:rtl/>
        </w:rPr>
        <w:t>.</w:t>
      </w:r>
      <w:r w:rsidRPr="007D0663">
        <w:rPr>
          <w:rFonts w:cs="Arial" w:hint="cs"/>
          <w:color w:val="E36C0A" w:themeColor="accent6" w:themeShade="BF"/>
          <w:rtl/>
        </w:rPr>
        <w:t xml:space="preserve"> </w:t>
      </w:r>
      <w:r w:rsidRPr="008845D0">
        <w:rPr>
          <w:rFonts w:cs="Arial" w:hint="cs"/>
          <w:color w:val="E36C0A" w:themeColor="accent6" w:themeShade="BF"/>
          <w:rtl/>
        </w:rPr>
        <w:t>(וכ"פ בשו"ע)</w:t>
      </w:r>
    </w:p>
    <w:p w14:paraId="6B60316C" w14:textId="77777777" w:rsidR="004B607F" w:rsidRPr="003024E5" w:rsidRDefault="004B607F" w:rsidP="004B607F">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6454DF23" w14:textId="77777777" w:rsidR="004B607F" w:rsidRDefault="004B607F" w:rsidP="004B607F">
      <w:pPr>
        <w:rPr>
          <w:rtl/>
        </w:rPr>
      </w:pPr>
      <w:r>
        <w:rPr>
          <w:rFonts w:cs="Arial"/>
          <w:rtl/>
        </w:rPr>
        <w:t>אחר כך מוציאים את כל</w:t>
      </w:r>
      <w:r>
        <w:rPr>
          <w:rStyle w:val="ab"/>
          <w:rFonts w:cs="Arial"/>
          <w:rtl/>
        </w:rPr>
        <w:footnoteReference w:id="1442"/>
      </w:r>
      <w:r>
        <w:rPr>
          <w:rFonts w:cs="Arial"/>
          <w:rtl/>
        </w:rPr>
        <w:t xml:space="preserve"> אדם לחוץ, ומשיירים את הגדול שבעדים, ואומרים לו: אמור היאך אתה יודע שזה חייב לזה. אם אמר: הוא אמר </w:t>
      </w:r>
      <w:r w:rsidRPr="005B347F">
        <w:rPr>
          <w:rFonts w:cs="Arial" w:hint="cs"/>
          <w:sz w:val="16"/>
          <w:szCs w:val="16"/>
          <w:rtl/>
        </w:rPr>
        <w:t>(</w:t>
      </w:r>
      <w:r w:rsidRPr="005B347F">
        <w:rPr>
          <w:rFonts w:cs="Arial"/>
          <w:sz w:val="16"/>
          <w:szCs w:val="16"/>
          <w:rtl/>
        </w:rPr>
        <w:t>לי</w:t>
      </w:r>
      <w:r>
        <w:rPr>
          <w:rStyle w:val="ab"/>
          <w:rFonts w:cs="Arial"/>
          <w:sz w:val="16"/>
          <w:szCs w:val="16"/>
          <w:rtl/>
        </w:rPr>
        <w:footnoteReference w:id="1443"/>
      </w:r>
      <w:r w:rsidRPr="005B347F">
        <w:rPr>
          <w:rFonts w:cs="Arial" w:hint="cs"/>
          <w:sz w:val="16"/>
          <w:szCs w:val="16"/>
          <w:rtl/>
        </w:rPr>
        <w:t>)</w:t>
      </w:r>
      <w:r>
        <w:rPr>
          <w:rFonts w:cs="Arial"/>
          <w:rtl/>
        </w:rPr>
        <w:t xml:space="preserve"> חייב אני לו, או איש פלוני שהוא כשר ונאמן אמר לי שהוא חייב לו, לא אמר כלום, עד שיאמר שהוא בעצמו ראה שהלוה לו, או שיאמר: בפני הודה לו</w:t>
      </w:r>
      <w:r>
        <w:rPr>
          <w:rStyle w:val="ab"/>
          <w:rFonts w:cs="Arial"/>
          <w:rtl/>
        </w:rPr>
        <w:footnoteReference w:id="1444"/>
      </w:r>
      <w:r>
        <w:rPr>
          <w:rFonts w:cs="Arial"/>
          <w:rtl/>
        </w:rPr>
        <w:t xml:space="preserve"> שהוא חייב. </w:t>
      </w:r>
    </w:p>
    <w:p w14:paraId="270138ED" w14:textId="77777777" w:rsidR="004B607F" w:rsidRDefault="004B607F" w:rsidP="004B607F">
      <w:pPr>
        <w:rPr>
          <w:rtl/>
        </w:rPr>
      </w:pPr>
    </w:p>
    <w:p w14:paraId="74F1B58F" w14:textId="77777777" w:rsidR="004B607F" w:rsidRDefault="004B607F" w:rsidP="004B607F">
      <w:pPr>
        <w:pStyle w:val="2"/>
        <w:rPr>
          <w:rtl/>
        </w:rPr>
      </w:pPr>
      <w:bookmarkStart w:id="208" w:name="_Toc24883683"/>
      <w:r>
        <w:rPr>
          <w:rtl/>
        </w:rPr>
        <w:t>סעיף ט</w:t>
      </w:r>
      <w:r>
        <w:rPr>
          <w:rFonts w:hint="cs"/>
          <w:rtl/>
        </w:rPr>
        <w:t>: בדיקת העד הראשון.</w:t>
      </w:r>
      <w:bookmarkEnd w:id="208"/>
    </w:p>
    <w:p w14:paraId="77CF2A81" w14:textId="77777777" w:rsidR="004B607F" w:rsidRPr="004132BA" w:rsidRDefault="004B607F" w:rsidP="004B607F">
      <w:pPr>
        <w:rPr>
          <w:rFonts w:cs="Arial"/>
          <w:rtl/>
        </w:rPr>
      </w:pPr>
      <w:r w:rsidRPr="00CF4F76">
        <w:rPr>
          <w:rFonts w:cs="Arial" w:hint="cs"/>
          <w:b/>
          <w:bCs/>
          <w:rtl/>
        </w:rPr>
        <w:t xml:space="preserve">סנהדרין </w:t>
      </w:r>
      <w:r w:rsidRPr="00CF4F76">
        <w:rPr>
          <w:rFonts w:cs="Arial" w:hint="cs"/>
          <w:b/>
          <w:bCs/>
          <w:sz w:val="16"/>
          <w:szCs w:val="16"/>
          <w:rtl/>
        </w:rPr>
        <w:t xml:space="preserve">(פ' זה בורר) </w:t>
      </w:r>
      <w:r w:rsidRPr="00CF4F76">
        <w:rPr>
          <w:rFonts w:cs="Arial" w:hint="cs"/>
          <w:b/>
          <w:bCs/>
          <w:rtl/>
        </w:rPr>
        <w:t>כט</w:t>
      </w:r>
      <w:r>
        <w:rPr>
          <w:rStyle w:val="ab"/>
          <w:rFonts w:cs="Arial"/>
          <w:b/>
          <w:bCs/>
          <w:rtl/>
        </w:rPr>
        <w:footnoteReference w:id="1445"/>
      </w:r>
      <w:r w:rsidRPr="00CF4F76">
        <w:rPr>
          <w:rFonts w:cs="Arial" w:hint="cs"/>
          <w:b/>
          <w:bCs/>
          <w:rtl/>
        </w:rPr>
        <w:t xml:space="preserve"> ע"א: </w:t>
      </w:r>
      <w:r w:rsidRPr="00CF4F76">
        <w:rPr>
          <w:rFonts w:cs="Arial"/>
          <w:u w:val="double"/>
          <w:rtl/>
        </w:rPr>
        <w:t>משנה</w:t>
      </w:r>
      <w:r>
        <w:rPr>
          <w:rFonts w:cs="Arial" w:hint="cs"/>
          <w:rtl/>
        </w:rPr>
        <w:t>:</w:t>
      </w:r>
      <w:r w:rsidRPr="00CF4F76">
        <w:rPr>
          <w:rFonts w:cs="Arial"/>
          <w:rtl/>
        </w:rPr>
        <w:t xml:space="preserve"> </w:t>
      </w:r>
      <w:r w:rsidRPr="00E65951">
        <w:rPr>
          <w:rFonts w:cs="Arial"/>
          <w:rtl/>
        </w:rPr>
        <w:t>כיצד בודקים את העדים? היו מכניסין אותן לחדר, ומאיימין עליהן. ומוציאין את כל האדם לחוץ, ומשיירין את הגדול שבהן</w:t>
      </w:r>
      <w:r>
        <w:rPr>
          <w:rFonts w:cs="Arial" w:hint="cs"/>
          <w:rtl/>
        </w:rPr>
        <w:t>..</w:t>
      </w:r>
      <w:r w:rsidRPr="00E65951">
        <w:rPr>
          <w:rFonts w:cs="Arial"/>
          <w:rtl/>
        </w:rPr>
        <w:t xml:space="preserve">. ואחר כך מכניסין את השני, ובודקין אותו. אם נמצאו דבריהן מכוונין - נושאין ונותנין בדבר. </w:t>
      </w:r>
      <w:r>
        <w:rPr>
          <w:rFonts w:cs="Arial" w:hint="cs"/>
          <w:rtl/>
        </w:rPr>
        <w:t xml:space="preserve"> </w:t>
      </w:r>
    </w:p>
    <w:p w14:paraId="619E84EE" w14:textId="77777777" w:rsidR="004B607F" w:rsidRPr="004132BA" w:rsidRDefault="004B607F" w:rsidP="004B607F">
      <w:pPr>
        <w:rPr>
          <w:u w:val="single"/>
          <w:rtl/>
        </w:rPr>
      </w:pPr>
      <w:r w:rsidRPr="004132BA">
        <w:rPr>
          <w:rFonts w:hint="cs"/>
          <w:u w:val="single"/>
          <w:rtl/>
        </w:rPr>
        <w:t>בדיקת העד השני:</w:t>
      </w:r>
    </w:p>
    <w:p w14:paraId="195E9839" w14:textId="77777777" w:rsidR="004B607F" w:rsidRPr="00792099" w:rsidRDefault="004B607F" w:rsidP="004B0475">
      <w:pPr>
        <w:pStyle w:val="ac"/>
        <w:numPr>
          <w:ilvl w:val="0"/>
          <w:numId w:val="70"/>
        </w:numPr>
        <w:rPr>
          <w:rFonts w:cs="Arial"/>
          <w:rtl/>
        </w:rPr>
      </w:pPr>
      <w:r>
        <w:rPr>
          <w:rFonts w:cs="Arial" w:hint="cs"/>
          <w:rtl/>
        </w:rPr>
        <w:t xml:space="preserve">טור- </w:t>
      </w:r>
      <w:r w:rsidRPr="00792099">
        <w:rPr>
          <w:rFonts w:cs="Arial"/>
          <w:rtl/>
        </w:rPr>
        <w:t>ואחר שבדקו האחד בודקין גם את השני אם נמצאו דבריהם מכוונים גומרין את הדין על פיהם</w:t>
      </w:r>
      <w:r>
        <w:rPr>
          <w:rFonts w:cs="Arial" w:hint="cs"/>
          <w:rtl/>
        </w:rPr>
        <w:t>.</w:t>
      </w:r>
      <w:r w:rsidRPr="007D0663">
        <w:rPr>
          <w:rFonts w:cs="Arial" w:hint="cs"/>
          <w:color w:val="E36C0A" w:themeColor="accent6" w:themeShade="BF"/>
          <w:rtl/>
        </w:rPr>
        <w:t xml:space="preserve"> </w:t>
      </w:r>
      <w:r w:rsidRPr="008845D0">
        <w:rPr>
          <w:rFonts w:cs="Arial" w:hint="cs"/>
          <w:color w:val="E36C0A" w:themeColor="accent6" w:themeShade="BF"/>
          <w:rtl/>
        </w:rPr>
        <w:t>(וכ"פ בשו"ע)</w:t>
      </w:r>
    </w:p>
    <w:p w14:paraId="5D027C8D" w14:textId="77777777" w:rsidR="004B607F" w:rsidRPr="003024E5" w:rsidRDefault="004B607F" w:rsidP="004B607F">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43710FC1" w14:textId="77777777" w:rsidR="004B607F" w:rsidRDefault="004B607F" w:rsidP="004B607F">
      <w:pPr>
        <w:rPr>
          <w:rtl/>
        </w:rPr>
      </w:pPr>
      <w:r>
        <w:rPr>
          <w:rFonts w:cs="Arial"/>
          <w:rtl/>
        </w:rPr>
        <w:t xml:space="preserve">אחר כך מכניסין העד השני, ובודקין אותו. אם העיד כמו חבירו, נושאים ונותנים בדבר וגומרים הדין. </w:t>
      </w:r>
    </w:p>
    <w:p w14:paraId="6376337B" w14:textId="77777777" w:rsidR="004B607F" w:rsidRDefault="004B607F" w:rsidP="004B607F">
      <w:pPr>
        <w:rPr>
          <w:rtl/>
        </w:rPr>
      </w:pPr>
    </w:p>
    <w:p w14:paraId="48A1E3C1" w14:textId="77777777" w:rsidR="004B607F" w:rsidRDefault="004B607F" w:rsidP="004B607F">
      <w:pPr>
        <w:pStyle w:val="2"/>
        <w:rPr>
          <w:rtl/>
        </w:rPr>
      </w:pPr>
      <w:bookmarkStart w:id="209" w:name="_Toc24883684"/>
      <w:r>
        <w:rPr>
          <w:rtl/>
        </w:rPr>
        <w:t>סעיף י</w:t>
      </w:r>
      <w:r>
        <w:rPr>
          <w:rFonts w:hint="cs"/>
          <w:rtl/>
        </w:rPr>
        <w:t>: ב' עדים שמעידים בלשון אחת. עד שאמר לאחר עדות חבירו 'ואני מעיד כמותו'.</w:t>
      </w:r>
      <w:bookmarkEnd w:id="209"/>
    </w:p>
    <w:p w14:paraId="05AB3670" w14:textId="77777777" w:rsidR="004B607F" w:rsidRDefault="004B607F" w:rsidP="004B607F">
      <w:pPr>
        <w:rPr>
          <w:rFonts w:cs="Arial"/>
          <w:sz w:val="16"/>
          <w:szCs w:val="16"/>
          <w:rtl/>
        </w:rPr>
      </w:pPr>
      <w:r w:rsidRPr="004132BA">
        <w:rPr>
          <w:rFonts w:cs="Arial"/>
          <w:b/>
          <w:bCs/>
          <w:rtl/>
        </w:rPr>
        <w:t xml:space="preserve">ירושלמי </w:t>
      </w:r>
      <w:r w:rsidRPr="004132BA">
        <w:rPr>
          <w:rFonts w:cs="Arial"/>
          <w:b/>
          <w:bCs/>
          <w:sz w:val="16"/>
          <w:szCs w:val="16"/>
          <w:rtl/>
        </w:rPr>
        <w:t>(וילנא)</w:t>
      </w:r>
      <w:r w:rsidRPr="004132BA">
        <w:rPr>
          <w:rFonts w:cs="Arial"/>
          <w:b/>
          <w:bCs/>
          <w:rtl/>
        </w:rPr>
        <w:t xml:space="preserve"> סנהדרין פ</w:t>
      </w:r>
      <w:r w:rsidRPr="004132BA">
        <w:rPr>
          <w:rFonts w:cs="Arial" w:hint="cs"/>
          <w:b/>
          <w:bCs/>
          <w:rtl/>
        </w:rPr>
        <w:t>"</w:t>
      </w:r>
      <w:r w:rsidRPr="004132BA">
        <w:rPr>
          <w:rFonts w:cs="Arial"/>
          <w:b/>
          <w:bCs/>
          <w:rtl/>
        </w:rPr>
        <w:t>ג ה</w:t>
      </w:r>
      <w:r w:rsidRPr="004132BA">
        <w:rPr>
          <w:rFonts w:cs="Arial" w:hint="cs"/>
          <w:b/>
          <w:bCs/>
          <w:rtl/>
        </w:rPr>
        <w:t>"</w:t>
      </w:r>
      <w:r w:rsidRPr="004132BA">
        <w:rPr>
          <w:rFonts w:cs="Arial"/>
          <w:b/>
          <w:bCs/>
          <w:rtl/>
        </w:rPr>
        <w:t>ח</w:t>
      </w:r>
      <w:r>
        <w:rPr>
          <w:rStyle w:val="ab"/>
          <w:rFonts w:cs="Arial"/>
          <w:b/>
          <w:bCs/>
          <w:rtl/>
        </w:rPr>
        <w:footnoteReference w:id="1446"/>
      </w:r>
      <w:r w:rsidRPr="004132BA">
        <w:rPr>
          <w:rFonts w:cs="Arial" w:hint="cs"/>
          <w:b/>
          <w:bCs/>
          <w:rtl/>
        </w:rPr>
        <w:t>:</w:t>
      </w:r>
      <w:r>
        <w:rPr>
          <w:rFonts w:cs="Arial" w:hint="cs"/>
          <w:rtl/>
        </w:rPr>
        <w:t xml:space="preserve"> </w:t>
      </w:r>
      <w:r w:rsidRPr="004132BA">
        <w:rPr>
          <w:rFonts w:cs="Arial"/>
          <w:rtl/>
        </w:rPr>
        <w:t>רב הונא כד הוה חמי סהדי בכוונא</w:t>
      </w:r>
      <w:r>
        <w:rPr>
          <w:rFonts w:cs="Arial" w:hint="cs"/>
          <w:rtl/>
        </w:rPr>
        <w:t xml:space="preserve"> -</w:t>
      </w:r>
      <w:r w:rsidRPr="004132BA">
        <w:rPr>
          <w:rFonts w:cs="Arial"/>
          <w:rtl/>
        </w:rPr>
        <w:t xml:space="preserve"> הוה חקר</w:t>
      </w:r>
      <w:r>
        <w:rPr>
          <w:rFonts w:cs="Arial" w:hint="cs"/>
          <w:rtl/>
        </w:rPr>
        <w:t>,</w:t>
      </w:r>
      <w:r w:rsidRPr="004132BA">
        <w:rPr>
          <w:rFonts w:cs="Arial"/>
          <w:rtl/>
        </w:rPr>
        <w:t xml:space="preserve"> וכד הוה חמי הכן </w:t>
      </w:r>
      <w:r>
        <w:rPr>
          <w:rFonts w:cs="Arial" w:hint="cs"/>
          <w:rtl/>
        </w:rPr>
        <w:t xml:space="preserve">- </w:t>
      </w:r>
      <w:r w:rsidRPr="004132BA">
        <w:rPr>
          <w:rFonts w:cs="Arial"/>
          <w:rtl/>
        </w:rPr>
        <w:t>הוה מכוון.</w:t>
      </w:r>
    </w:p>
    <w:p w14:paraId="14541991" w14:textId="77777777" w:rsidR="004B607F" w:rsidRPr="007D0663" w:rsidRDefault="004B607F" w:rsidP="004B607F">
      <w:pPr>
        <w:rPr>
          <w:rFonts w:cs="Arial"/>
          <w:u w:val="single"/>
          <w:rtl/>
        </w:rPr>
      </w:pPr>
      <w:r w:rsidRPr="007D0663">
        <w:rPr>
          <w:rFonts w:cs="Arial" w:hint="cs"/>
          <w:u w:val="single"/>
          <w:rtl/>
        </w:rPr>
        <w:t>עדים ש</w:t>
      </w:r>
      <w:r>
        <w:rPr>
          <w:rFonts w:cs="Arial" w:hint="cs"/>
          <w:u w:val="single"/>
          <w:rtl/>
        </w:rPr>
        <w:t xml:space="preserve">מעידים </w:t>
      </w:r>
      <w:r w:rsidRPr="007D0663">
        <w:rPr>
          <w:rFonts w:cs="Arial"/>
          <w:u w:val="single"/>
          <w:rtl/>
        </w:rPr>
        <w:t>עדות מכוונת בלשון א</w:t>
      </w:r>
      <w:r w:rsidRPr="007D0663">
        <w:rPr>
          <w:rFonts w:cs="Arial" w:hint="cs"/>
          <w:u w:val="single"/>
          <w:rtl/>
        </w:rPr>
        <w:t>חד</w:t>
      </w:r>
      <w:r w:rsidRPr="007D0663">
        <w:rPr>
          <w:rFonts w:cs="Arial"/>
          <w:u w:val="single"/>
          <w:rtl/>
        </w:rPr>
        <w:t xml:space="preserve"> ממש</w:t>
      </w:r>
      <w:r w:rsidRPr="007D0663">
        <w:rPr>
          <w:rFonts w:cs="Arial" w:hint="cs"/>
          <w:u w:val="single"/>
          <w:rtl/>
        </w:rPr>
        <w:t>:</w:t>
      </w:r>
    </w:p>
    <w:p w14:paraId="79658FF6" w14:textId="77777777" w:rsidR="004B607F" w:rsidRPr="004132BA" w:rsidRDefault="004B607F" w:rsidP="004B0475">
      <w:pPr>
        <w:pStyle w:val="ac"/>
        <w:numPr>
          <w:ilvl w:val="0"/>
          <w:numId w:val="70"/>
        </w:numPr>
        <w:rPr>
          <w:rtl/>
        </w:rPr>
      </w:pPr>
      <w:r w:rsidRPr="007D0663">
        <w:rPr>
          <w:rFonts w:cs="Arial" w:hint="cs"/>
          <w:rtl/>
        </w:rPr>
        <w:t>רא"ש</w:t>
      </w:r>
      <w:r w:rsidRPr="007D0663">
        <w:rPr>
          <w:rFonts w:cs="Arial" w:hint="cs"/>
          <w:sz w:val="16"/>
          <w:szCs w:val="16"/>
          <w:rtl/>
        </w:rPr>
        <w:t xml:space="preserve"> </w:t>
      </w:r>
      <w:r w:rsidRPr="007D0663">
        <w:rPr>
          <w:rFonts w:cs="Arial"/>
          <w:sz w:val="16"/>
          <w:szCs w:val="16"/>
          <w:rtl/>
        </w:rPr>
        <w:t>(</w:t>
      </w:r>
      <w:r w:rsidRPr="007D0663">
        <w:rPr>
          <w:rFonts w:cs="Arial" w:hint="cs"/>
          <w:sz w:val="16"/>
          <w:szCs w:val="16"/>
          <w:rtl/>
        </w:rPr>
        <w:t xml:space="preserve">פ' זה בורר </w:t>
      </w:r>
      <w:r w:rsidRPr="007D0663">
        <w:rPr>
          <w:rFonts w:cs="Arial"/>
          <w:sz w:val="16"/>
          <w:szCs w:val="16"/>
          <w:rtl/>
        </w:rPr>
        <w:t>סי' לב)</w:t>
      </w:r>
      <w:r w:rsidRPr="007D0663">
        <w:rPr>
          <w:rFonts w:cs="Arial" w:hint="cs"/>
          <w:rtl/>
        </w:rPr>
        <w:t xml:space="preserve"> וטור-</w:t>
      </w:r>
      <w:r w:rsidRPr="007D0663">
        <w:rPr>
          <w:rFonts w:cs="Arial"/>
          <w:sz w:val="16"/>
          <w:szCs w:val="16"/>
          <w:rtl/>
        </w:rPr>
        <w:t xml:space="preserve"> </w:t>
      </w:r>
      <w:r w:rsidRPr="007D0663">
        <w:rPr>
          <w:rFonts w:cs="Arial"/>
          <w:rtl/>
        </w:rPr>
        <w:t xml:space="preserve">כשהיה </w:t>
      </w:r>
      <w:r>
        <w:rPr>
          <w:rFonts w:cs="Arial" w:hint="cs"/>
          <w:sz w:val="16"/>
          <w:szCs w:val="16"/>
          <w:rtl/>
        </w:rPr>
        <w:t xml:space="preserve">{רב הונא} </w:t>
      </w:r>
      <w:r w:rsidRPr="007D0663">
        <w:rPr>
          <w:rFonts w:cs="Arial"/>
          <w:rtl/>
        </w:rPr>
        <w:t xml:space="preserve">רואה עדים שהיו אומרים עדותן מכוונים בלשון אחד </w:t>
      </w:r>
      <w:r>
        <w:rPr>
          <w:rFonts w:cs="Arial" w:hint="cs"/>
          <w:rtl/>
        </w:rPr>
        <w:t xml:space="preserve">- </w:t>
      </w:r>
      <w:r w:rsidRPr="007D0663">
        <w:rPr>
          <w:rFonts w:cs="Arial"/>
          <w:rtl/>
        </w:rPr>
        <w:t>היה חושש שמא משקרים ובעצה כיונו לשונם אחת</w:t>
      </w:r>
      <w:r w:rsidRPr="007D0663">
        <w:rPr>
          <w:rFonts w:cs="Arial" w:hint="cs"/>
          <w:rtl/>
        </w:rPr>
        <w:t>,</w:t>
      </w:r>
      <w:r w:rsidRPr="007D0663">
        <w:rPr>
          <w:rFonts w:cs="Arial"/>
          <w:rtl/>
        </w:rPr>
        <w:t xml:space="preserve"> והיה חוקר ודורש אותם</w:t>
      </w:r>
      <w:r>
        <w:rPr>
          <w:rFonts w:cs="Arial" w:hint="cs"/>
          <w:rtl/>
        </w:rPr>
        <w:t>.</w:t>
      </w:r>
      <w:r w:rsidRPr="007D0663">
        <w:rPr>
          <w:rFonts w:cs="Arial"/>
          <w:rtl/>
        </w:rPr>
        <w:t xml:space="preserve"> אבל אם לא היו אומרים ממש בלשון א</w:t>
      </w:r>
      <w:r>
        <w:rPr>
          <w:rFonts w:cs="Arial" w:hint="cs"/>
          <w:rtl/>
        </w:rPr>
        <w:t>חד</w:t>
      </w:r>
      <w:r w:rsidRPr="007D0663">
        <w:rPr>
          <w:rFonts w:cs="Arial"/>
          <w:rtl/>
        </w:rPr>
        <w:t xml:space="preserve"> </w:t>
      </w:r>
      <w:r w:rsidRPr="007D0663">
        <w:rPr>
          <w:rFonts w:cs="Arial"/>
          <w:rtl/>
        </w:rPr>
        <w:lastRenderedPageBreak/>
        <w:t xml:space="preserve">אלא זה אומר בכה וזה אומר בכה רק שתהא עדותן מכוונת בלא הכחשה </w:t>
      </w:r>
      <w:r>
        <w:rPr>
          <w:rFonts w:cs="Arial" w:hint="cs"/>
          <w:rtl/>
        </w:rPr>
        <w:t xml:space="preserve">- </w:t>
      </w:r>
      <w:r w:rsidRPr="007D0663">
        <w:rPr>
          <w:rFonts w:cs="Arial"/>
          <w:rtl/>
        </w:rPr>
        <w:t>לא היה דורש כל כך</w:t>
      </w:r>
      <w:r>
        <w:rPr>
          <w:rFonts w:cs="Arial" w:hint="cs"/>
          <w:sz w:val="16"/>
          <w:szCs w:val="16"/>
          <w:rtl/>
        </w:rPr>
        <w:t xml:space="preserve"> (ל' הטור)</w:t>
      </w:r>
      <w:r w:rsidRPr="007D0663">
        <w:rPr>
          <w:rFonts w:cs="Arial" w:hint="cs"/>
          <w:rtl/>
        </w:rPr>
        <w:t xml:space="preserve">. </w:t>
      </w:r>
      <w:r w:rsidRPr="007D0663">
        <w:rPr>
          <w:rFonts w:cs="Arial" w:hint="cs"/>
          <w:color w:val="E36C0A" w:themeColor="accent6" w:themeShade="BF"/>
          <w:rtl/>
        </w:rPr>
        <w:t>(וכ"פ בשו"ע)</w:t>
      </w:r>
    </w:p>
    <w:p w14:paraId="4850CABA" w14:textId="77777777" w:rsidR="004B607F" w:rsidRDefault="004B607F" w:rsidP="004B607F">
      <w:pPr>
        <w:rPr>
          <w:rFonts w:cs="Arial"/>
          <w:rtl/>
        </w:rPr>
      </w:pPr>
      <w:r w:rsidRPr="004132BA">
        <w:rPr>
          <w:rFonts w:cs="Arial" w:hint="cs"/>
          <w:b/>
          <w:bCs/>
          <w:rtl/>
        </w:rPr>
        <w:t xml:space="preserve">סנהדרין </w:t>
      </w:r>
      <w:r w:rsidRPr="004132BA">
        <w:rPr>
          <w:rFonts w:cs="Arial" w:hint="cs"/>
          <w:b/>
          <w:bCs/>
          <w:sz w:val="16"/>
          <w:szCs w:val="16"/>
          <w:rtl/>
        </w:rPr>
        <w:t>(פ' ארבע מיתות)</w:t>
      </w:r>
      <w:r w:rsidRPr="004132BA">
        <w:rPr>
          <w:rFonts w:cs="Arial" w:hint="cs"/>
          <w:b/>
          <w:bCs/>
          <w:rtl/>
        </w:rPr>
        <w:t xml:space="preserve"> </w:t>
      </w:r>
      <w:r>
        <w:rPr>
          <w:rFonts w:cs="Arial" w:hint="cs"/>
          <w:b/>
          <w:bCs/>
          <w:rtl/>
        </w:rPr>
        <w:t>נה</w:t>
      </w:r>
      <w:r>
        <w:rPr>
          <w:rStyle w:val="ab"/>
          <w:rFonts w:cs="Arial"/>
          <w:b/>
          <w:bCs/>
          <w:rtl/>
        </w:rPr>
        <w:footnoteReference w:id="1447"/>
      </w:r>
      <w:r w:rsidRPr="004132BA">
        <w:rPr>
          <w:rFonts w:cs="Arial" w:hint="cs"/>
          <w:b/>
          <w:bCs/>
          <w:rtl/>
        </w:rPr>
        <w:t xml:space="preserve"> ע"</w:t>
      </w:r>
      <w:r>
        <w:rPr>
          <w:rFonts w:cs="Arial" w:hint="cs"/>
          <w:b/>
          <w:bCs/>
          <w:rtl/>
        </w:rPr>
        <w:t>ב</w:t>
      </w:r>
      <w:r w:rsidRPr="004132BA">
        <w:rPr>
          <w:rFonts w:cs="Arial" w:hint="cs"/>
          <w:b/>
          <w:bCs/>
          <w:rtl/>
        </w:rPr>
        <w:t>:</w:t>
      </w:r>
      <w:r w:rsidRPr="004132BA">
        <w:rPr>
          <w:rtl/>
        </w:rPr>
        <w:t xml:space="preserve"> </w:t>
      </w:r>
      <w:r w:rsidRPr="008C7AC2">
        <w:rPr>
          <w:rFonts w:cs="Arial"/>
          <w:u w:val="double"/>
          <w:rtl/>
        </w:rPr>
        <w:t>משנה</w:t>
      </w:r>
      <w:r>
        <w:rPr>
          <w:rFonts w:cs="Arial" w:hint="cs"/>
          <w:u w:val="double"/>
          <w:rtl/>
        </w:rPr>
        <w:t>:</w:t>
      </w:r>
      <w:r w:rsidRPr="004132BA">
        <w:rPr>
          <w:rFonts w:cs="Arial"/>
          <w:rtl/>
        </w:rPr>
        <w:t xml:space="preserve"> המגדף אינו חייב עד שיפרש השם. </w:t>
      </w:r>
      <w:r w:rsidRPr="007D0663">
        <w:rPr>
          <w:rFonts w:cs="Arial"/>
          <w:u w:val="single"/>
          <w:rtl/>
        </w:rPr>
        <w:t>אמר רבי יהושע בן קרחה</w:t>
      </w:r>
      <w:r w:rsidRPr="004132BA">
        <w:rPr>
          <w:rFonts w:cs="Arial"/>
          <w:rtl/>
        </w:rPr>
        <w:t>: בכל יום דנין את העדים בכינוי יכה יוסי את יוסי. נגמר הדין לא הורגין בכינוי, אלא מוציאין כל אדם לחוץ, שואלין את הגדול שביניהן, ואומר לו: אמור מה ששמעת בפירוש, והוא אומר, והדיינין עומדין על רגליהן וקורעין ולא מאחין. והשני אומר: אף אני כמוהו, והשלישי אומר: אף אני כמוהו.</w:t>
      </w:r>
      <w:r>
        <w:rPr>
          <w:rFonts w:cs="Arial" w:hint="cs"/>
          <w:rtl/>
        </w:rPr>
        <w:t xml:space="preserve">..   </w:t>
      </w:r>
      <w:r w:rsidRPr="008C7AC2">
        <w:rPr>
          <w:rFonts w:cs="Arial" w:hint="cs"/>
          <w:u w:val="double"/>
          <w:rtl/>
        </w:rPr>
        <w:t>גמרא</w:t>
      </w:r>
      <w:r w:rsidRPr="008C7AC2">
        <w:rPr>
          <w:rFonts w:cs="Arial" w:hint="cs"/>
          <w:sz w:val="16"/>
          <w:szCs w:val="16"/>
          <w:u w:val="double"/>
          <w:rtl/>
        </w:rPr>
        <w:t xml:space="preserve"> (ס.)</w:t>
      </w:r>
      <w:r w:rsidRPr="008C7AC2">
        <w:rPr>
          <w:rFonts w:cs="Arial" w:hint="cs"/>
          <w:u w:val="double"/>
          <w:rtl/>
        </w:rPr>
        <w:t>:</w:t>
      </w:r>
      <w:r>
        <w:rPr>
          <w:rFonts w:cs="Arial" w:hint="cs"/>
          <w:rtl/>
        </w:rPr>
        <w:t xml:space="preserve"> </w:t>
      </w:r>
      <w:r w:rsidRPr="004132BA">
        <w:rPr>
          <w:rFonts w:cs="Arial"/>
          <w:rtl/>
        </w:rPr>
        <w:t>השני אומר אף אני כמוהו.</w:t>
      </w:r>
      <w:r>
        <w:rPr>
          <w:rFonts w:cs="Arial" w:hint="cs"/>
          <w:rtl/>
        </w:rPr>
        <w:t xml:space="preserve"> </w:t>
      </w:r>
      <w:r w:rsidRPr="004132BA">
        <w:rPr>
          <w:rFonts w:cs="Arial"/>
          <w:u w:val="single"/>
          <w:rtl/>
        </w:rPr>
        <w:t>אמר ריש לקיש</w:t>
      </w:r>
      <w:r w:rsidRPr="004132BA">
        <w:rPr>
          <w:rFonts w:cs="Arial"/>
          <w:rtl/>
        </w:rPr>
        <w:t xml:space="preserve">: שמע מינה אף אני כמוהו - כשר בדיני ממונות ובדיני נפשות, ומעלה הוא דעביד רבנן, והכא כיון דלא אפשר - אוקמוה רבנן אדאורייתא. </w:t>
      </w:r>
    </w:p>
    <w:p w14:paraId="5E7E0CDF" w14:textId="77777777" w:rsidR="004B607F" w:rsidRPr="00704F2E" w:rsidRDefault="004B607F" w:rsidP="004B607F">
      <w:pPr>
        <w:rPr>
          <w:rFonts w:cs="Arial"/>
          <w:u w:val="single"/>
          <w:rtl/>
        </w:rPr>
      </w:pPr>
      <w:r w:rsidRPr="00704F2E">
        <w:rPr>
          <w:rFonts w:cs="Arial" w:hint="cs"/>
          <w:u w:val="single"/>
          <w:rtl/>
        </w:rPr>
        <w:t>עד אחד העיד ופירש עדותו והשני אמר 'ואני מעיד כמותו</w:t>
      </w:r>
      <w:r>
        <w:rPr>
          <w:rFonts w:cs="Arial" w:hint="cs"/>
          <w:sz w:val="16"/>
          <w:szCs w:val="16"/>
          <w:u w:val="single"/>
          <w:rtl/>
        </w:rPr>
        <w:t xml:space="preserve"> (וכדו')</w:t>
      </w:r>
      <w:r w:rsidRPr="00704F2E">
        <w:rPr>
          <w:rFonts w:cs="Arial" w:hint="cs"/>
          <w:u w:val="single"/>
          <w:rtl/>
        </w:rPr>
        <w:t>':</w:t>
      </w:r>
    </w:p>
    <w:p w14:paraId="24C0B5E8" w14:textId="77777777" w:rsidR="004B607F" w:rsidRPr="008C7AC2" w:rsidRDefault="004B607F" w:rsidP="004B0475">
      <w:pPr>
        <w:pStyle w:val="ac"/>
        <w:numPr>
          <w:ilvl w:val="0"/>
          <w:numId w:val="70"/>
        </w:numPr>
        <w:rPr>
          <w:rFonts w:cs="Arial"/>
          <w:rtl/>
        </w:rPr>
      </w:pPr>
      <w:r w:rsidRPr="008C7AC2">
        <w:rPr>
          <w:rFonts w:cs="Arial"/>
          <w:rtl/>
        </w:rPr>
        <w:t>מרדכי</w:t>
      </w:r>
      <w:r>
        <w:rPr>
          <w:rStyle w:val="ab"/>
          <w:rFonts w:cs="Arial"/>
          <w:rtl/>
        </w:rPr>
        <w:footnoteReference w:id="1448"/>
      </w:r>
      <w:r w:rsidRPr="008C7AC2">
        <w:rPr>
          <w:rFonts w:cs="Arial"/>
          <w:rtl/>
        </w:rPr>
        <w:t xml:space="preserve"> </w:t>
      </w:r>
      <w:r w:rsidRPr="008C7AC2">
        <w:rPr>
          <w:rFonts w:cs="Arial" w:hint="cs"/>
          <w:sz w:val="16"/>
          <w:szCs w:val="16"/>
          <w:rtl/>
        </w:rPr>
        <w:t>(</w:t>
      </w:r>
      <w:r w:rsidRPr="008C7AC2">
        <w:rPr>
          <w:rFonts w:cs="Arial"/>
          <w:sz w:val="16"/>
          <w:szCs w:val="16"/>
          <w:rtl/>
        </w:rPr>
        <w:t>פ</w:t>
      </w:r>
      <w:r w:rsidRPr="008C7AC2">
        <w:rPr>
          <w:rFonts w:cs="Arial" w:hint="cs"/>
          <w:sz w:val="16"/>
          <w:szCs w:val="16"/>
          <w:rtl/>
        </w:rPr>
        <w:t xml:space="preserve">' </w:t>
      </w:r>
      <w:r w:rsidRPr="008C7AC2">
        <w:rPr>
          <w:rFonts w:cs="Arial"/>
          <w:sz w:val="16"/>
          <w:szCs w:val="16"/>
          <w:rtl/>
        </w:rPr>
        <w:t>נגמר הדין סנהדרין סי' תשיח)</w:t>
      </w:r>
      <w:r>
        <w:rPr>
          <w:rFonts w:cs="Arial" w:hint="cs"/>
          <w:rtl/>
        </w:rPr>
        <w:t xml:space="preserve"> טור </w:t>
      </w:r>
      <w:r>
        <w:rPr>
          <w:rFonts w:cs="Arial" w:hint="cs"/>
          <w:sz w:val="16"/>
          <w:szCs w:val="16"/>
          <w:rtl/>
        </w:rPr>
        <w:t>(סי' לח סע' יד, להב' הדרכ"מ [שם אות ג])</w:t>
      </w:r>
      <w:r>
        <w:rPr>
          <w:rFonts w:cs="Arial" w:hint="cs"/>
          <w:rtl/>
        </w:rPr>
        <w:t xml:space="preserve"> ו</w:t>
      </w:r>
      <w:r w:rsidRPr="008C7AC2">
        <w:rPr>
          <w:rFonts w:cs="Arial" w:hint="cs"/>
          <w:rtl/>
        </w:rPr>
        <w:t xml:space="preserve">רי"ו </w:t>
      </w:r>
      <w:r w:rsidRPr="008C7AC2">
        <w:rPr>
          <w:rFonts w:cs="Arial" w:hint="cs"/>
          <w:sz w:val="16"/>
          <w:szCs w:val="16"/>
          <w:rtl/>
        </w:rPr>
        <w:t>(</w:t>
      </w:r>
      <w:r w:rsidRPr="008C7AC2">
        <w:rPr>
          <w:rFonts w:cs="Arial"/>
          <w:sz w:val="16"/>
          <w:szCs w:val="16"/>
          <w:rtl/>
        </w:rPr>
        <w:t>מישרים נ"ב ח"ב יב.)</w:t>
      </w:r>
      <w:r w:rsidRPr="008C7AC2">
        <w:rPr>
          <w:rFonts w:cs="Arial" w:hint="cs"/>
          <w:rtl/>
        </w:rPr>
        <w:t>-</w:t>
      </w:r>
      <w:r w:rsidRPr="008C7AC2">
        <w:rPr>
          <w:rFonts w:cs="Arial"/>
          <w:rtl/>
        </w:rPr>
        <w:t xml:space="preserve"> </w:t>
      </w:r>
      <w:r w:rsidRPr="00704F2E">
        <w:rPr>
          <w:rFonts w:cs="Arial"/>
          <w:rtl/>
        </w:rPr>
        <w:t>צריך כל א' מהעדים לפרש עדותו</w:t>
      </w:r>
      <w:r>
        <w:rPr>
          <w:rFonts w:cs="Arial" w:hint="cs"/>
          <w:rtl/>
        </w:rPr>
        <w:t>,</w:t>
      </w:r>
      <w:r w:rsidRPr="00704F2E">
        <w:rPr>
          <w:rFonts w:cs="Arial"/>
          <w:rtl/>
        </w:rPr>
        <w:t xml:space="preserve"> ואם הגיד הראשון</w:t>
      </w:r>
      <w:r>
        <w:rPr>
          <w:rFonts w:cs="Arial" w:hint="cs"/>
          <w:rtl/>
        </w:rPr>
        <w:t>,</w:t>
      </w:r>
      <w:r w:rsidRPr="00704F2E">
        <w:rPr>
          <w:rFonts w:cs="Arial"/>
          <w:rtl/>
        </w:rPr>
        <w:t xml:space="preserve"> והשני אמר </w:t>
      </w:r>
      <w:r>
        <w:rPr>
          <w:rFonts w:cs="Arial" w:hint="cs"/>
          <w:rtl/>
        </w:rPr>
        <w:t>'</w:t>
      </w:r>
      <w:r w:rsidRPr="00704F2E">
        <w:rPr>
          <w:rFonts w:cs="Arial"/>
          <w:rtl/>
        </w:rPr>
        <w:t>אף אני כמוהו</w:t>
      </w:r>
      <w:r>
        <w:rPr>
          <w:rFonts w:cs="Arial" w:hint="cs"/>
          <w:rtl/>
        </w:rPr>
        <w:t>' -</w:t>
      </w:r>
      <w:r w:rsidRPr="00704F2E">
        <w:rPr>
          <w:rFonts w:cs="Arial"/>
          <w:rtl/>
        </w:rPr>
        <w:t xml:space="preserve"> אין מקבלין אותו</w:t>
      </w:r>
      <w:r>
        <w:rPr>
          <w:rFonts w:cs="Arial" w:hint="cs"/>
          <w:rtl/>
        </w:rPr>
        <w:t>,</w:t>
      </w:r>
      <w:r w:rsidRPr="00704F2E">
        <w:rPr>
          <w:rFonts w:cs="Arial"/>
          <w:rtl/>
        </w:rPr>
        <w:t xml:space="preserve"> ומ"מ היכא דלא איפשר לחזור לקבל עדותו בפירו</w:t>
      </w:r>
      <w:r>
        <w:rPr>
          <w:rFonts w:cs="Arial" w:hint="cs"/>
          <w:rtl/>
        </w:rPr>
        <w:t>ש</w:t>
      </w:r>
      <w:r w:rsidRPr="00704F2E">
        <w:rPr>
          <w:rFonts w:cs="Arial"/>
          <w:rtl/>
        </w:rPr>
        <w:t xml:space="preserve"> כגון שהלך לו </w:t>
      </w:r>
      <w:r>
        <w:rPr>
          <w:rFonts w:cs="Arial" w:hint="cs"/>
          <w:rtl/>
        </w:rPr>
        <w:t xml:space="preserve">- </w:t>
      </w:r>
      <w:r w:rsidRPr="00704F2E">
        <w:rPr>
          <w:rFonts w:cs="Arial"/>
          <w:rtl/>
        </w:rPr>
        <w:t>אינו מפסיד תובע בזה</w:t>
      </w:r>
      <w:r>
        <w:rPr>
          <w:rFonts w:cs="Arial" w:hint="cs"/>
          <w:rtl/>
        </w:rPr>
        <w:t>,</w:t>
      </w:r>
      <w:r w:rsidRPr="00704F2E">
        <w:rPr>
          <w:rFonts w:cs="Arial"/>
          <w:rtl/>
        </w:rPr>
        <w:t xml:space="preserve"> כי תקנת חז"ל היא למעליותא בעלמ'</w:t>
      </w:r>
      <w:r>
        <w:rPr>
          <w:rFonts w:cs="Arial" w:hint="cs"/>
          <w:rtl/>
        </w:rPr>
        <w:t>,</w:t>
      </w:r>
      <w:r w:rsidRPr="00704F2E">
        <w:rPr>
          <w:rFonts w:cs="Arial"/>
          <w:rtl/>
        </w:rPr>
        <w:t xml:space="preserve"> בסנהדרי</w:t>
      </w:r>
      <w:r>
        <w:rPr>
          <w:rFonts w:cs="Arial" w:hint="cs"/>
          <w:rtl/>
        </w:rPr>
        <w:t>ן</w:t>
      </w:r>
      <w:r>
        <w:rPr>
          <w:rFonts w:cs="Arial" w:hint="cs"/>
          <w:sz w:val="16"/>
          <w:szCs w:val="16"/>
          <w:rtl/>
        </w:rPr>
        <w:t xml:space="preserve"> (ל' רי"ו)</w:t>
      </w:r>
      <w:r>
        <w:rPr>
          <w:rFonts w:cs="Arial" w:hint="cs"/>
          <w:rtl/>
        </w:rPr>
        <w:t>.</w:t>
      </w:r>
      <w:r w:rsidRPr="00704F2E">
        <w:rPr>
          <w:rFonts w:cs="Arial"/>
          <w:rtl/>
        </w:rPr>
        <w:t xml:space="preserve"> </w:t>
      </w:r>
      <w:r w:rsidRPr="00704F2E">
        <w:rPr>
          <w:rFonts w:cs="Arial" w:hint="cs"/>
          <w:color w:val="00B0F0"/>
          <w:rtl/>
        </w:rPr>
        <w:t>(וכ"פ הרמ"א)</w:t>
      </w:r>
    </w:p>
    <w:p w14:paraId="100F5888" w14:textId="77777777" w:rsidR="004B607F" w:rsidRDefault="004B607F" w:rsidP="004B0475">
      <w:pPr>
        <w:pStyle w:val="ac"/>
        <w:numPr>
          <w:ilvl w:val="0"/>
          <w:numId w:val="70"/>
        </w:numPr>
      </w:pPr>
      <w:r w:rsidRPr="008C7AC2">
        <w:rPr>
          <w:rFonts w:cs="Arial"/>
          <w:rtl/>
        </w:rPr>
        <w:t xml:space="preserve">ראב"ן </w:t>
      </w:r>
      <w:r w:rsidRPr="008C7AC2">
        <w:rPr>
          <w:rFonts w:cs="Arial"/>
          <w:sz w:val="16"/>
          <w:szCs w:val="16"/>
          <w:rtl/>
        </w:rPr>
        <w:t>(סנהדרין ס. ד"ה אמר ר</w:t>
      </w:r>
      <w:r>
        <w:rPr>
          <w:rFonts w:cs="Arial" w:hint="cs"/>
          <w:sz w:val="16"/>
          <w:szCs w:val="16"/>
          <w:rtl/>
        </w:rPr>
        <w:t>"ל</w:t>
      </w:r>
      <w:r w:rsidRPr="008C7AC2">
        <w:rPr>
          <w:rFonts w:cs="Arial" w:hint="cs"/>
          <w:sz w:val="16"/>
          <w:szCs w:val="16"/>
          <w:rtl/>
        </w:rPr>
        <w:t xml:space="preserve">, </w:t>
      </w:r>
      <w:r>
        <w:rPr>
          <w:rFonts w:cs="Arial" w:hint="cs"/>
          <w:sz w:val="16"/>
          <w:szCs w:val="16"/>
          <w:rtl/>
        </w:rPr>
        <w:t xml:space="preserve">כ"כ </w:t>
      </w:r>
      <w:r w:rsidRPr="008C7AC2">
        <w:rPr>
          <w:rFonts w:cs="Arial" w:hint="cs"/>
          <w:sz w:val="16"/>
          <w:szCs w:val="16"/>
          <w:rtl/>
        </w:rPr>
        <w:t>המרדכי</w:t>
      </w:r>
      <w:r>
        <w:rPr>
          <w:rFonts w:cs="Arial" w:hint="cs"/>
          <w:sz w:val="16"/>
          <w:szCs w:val="16"/>
          <w:rtl/>
        </w:rPr>
        <w:t xml:space="preserve"> בשמו</w:t>
      </w:r>
      <w:r w:rsidRPr="008C7AC2">
        <w:rPr>
          <w:rFonts w:cs="Arial"/>
          <w:sz w:val="16"/>
          <w:szCs w:val="16"/>
          <w:rtl/>
        </w:rPr>
        <w:t>)</w:t>
      </w:r>
      <w:r w:rsidRPr="008C7AC2">
        <w:rPr>
          <w:rFonts w:cs="Arial" w:hint="cs"/>
          <w:rtl/>
        </w:rPr>
        <w:t>-</w:t>
      </w:r>
      <w:r w:rsidRPr="008C7AC2">
        <w:rPr>
          <w:rFonts w:cs="Arial"/>
          <w:rtl/>
        </w:rPr>
        <w:t xml:space="preserve"> </w:t>
      </w:r>
      <w:r w:rsidRPr="00704F2E">
        <w:rPr>
          <w:rFonts w:cs="Arial"/>
          <w:rtl/>
        </w:rPr>
        <w:t xml:space="preserve">כיון דעבוד רבנן מעלה לפרש </w:t>
      </w:r>
      <w:r>
        <w:rPr>
          <w:rFonts w:cs="Arial" w:hint="cs"/>
          <w:rtl/>
        </w:rPr>
        <w:t xml:space="preserve">- </w:t>
      </w:r>
      <w:r w:rsidRPr="00704F2E">
        <w:rPr>
          <w:rFonts w:cs="Arial"/>
          <w:rtl/>
        </w:rPr>
        <w:t>צריך לפרש</w:t>
      </w:r>
      <w:r>
        <w:rPr>
          <w:rFonts w:cs="Arial" w:hint="cs"/>
          <w:rtl/>
        </w:rPr>
        <w:t>,</w:t>
      </w:r>
      <w:r w:rsidRPr="00704F2E">
        <w:rPr>
          <w:rFonts w:cs="Arial"/>
          <w:rtl/>
        </w:rPr>
        <w:t xml:space="preserve"> ואי לא פריש </w:t>
      </w:r>
      <w:r>
        <w:rPr>
          <w:rFonts w:cs="Arial" w:hint="cs"/>
          <w:rtl/>
        </w:rPr>
        <w:t xml:space="preserve">- </w:t>
      </w:r>
      <w:r w:rsidRPr="00704F2E">
        <w:rPr>
          <w:rFonts w:cs="Arial"/>
          <w:rtl/>
        </w:rPr>
        <w:t>לאו עדות הוא</w:t>
      </w:r>
      <w:r>
        <w:rPr>
          <w:rFonts w:cs="Arial" w:hint="cs"/>
          <w:rtl/>
        </w:rPr>
        <w:t>,</w:t>
      </w:r>
      <w:r w:rsidRPr="00704F2E">
        <w:rPr>
          <w:rFonts w:cs="Arial"/>
          <w:rtl/>
        </w:rPr>
        <w:t xml:space="preserve"> דדוקא גבי מגדף משום דלא אפשר אוקמא אדאורייתא</w:t>
      </w:r>
      <w:r>
        <w:rPr>
          <w:rFonts w:cs="Arial" w:hint="cs"/>
          <w:rtl/>
        </w:rPr>
        <w:t>,</w:t>
      </w:r>
      <w:r w:rsidRPr="00704F2E">
        <w:rPr>
          <w:rFonts w:cs="Arial"/>
          <w:rtl/>
        </w:rPr>
        <w:t xml:space="preserve"> אבל גבי דיני ממונות כיון דהזקיקוהו חכמים לפרש יש לו לשמוע דברי כל אחד לבדו</w:t>
      </w:r>
      <w:r w:rsidRPr="008C7AC2">
        <w:rPr>
          <w:rFonts w:cs="Arial" w:hint="cs"/>
          <w:rtl/>
        </w:rPr>
        <w:t>.</w:t>
      </w:r>
    </w:p>
    <w:p w14:paraId="37C40551" w14:textId="77777777" w:rsidR="004B607F" w:rsidRPr="003024E5" w:rsidRDefault="004B607F" w:rsidP="004B607F">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760CB8D5" w14:textId="77777777" w:rsidR="004B607F" w:rsidRDefault="004B607F" w:rsidP="004B607F">
      <w:pPr>
        <w:rPr>
          <w:rFonts w:cs="Arial"/>
          <w:rtl/>
        </w:rPr>
      </w:pPr>
      <w:r>
        <w:rPr>
          <w:rFonts w:cs="Arial"/>
          <w:rtl/>
        </w:rPr>
        <w:t>אם העדים אומרים עדותן מכוונת בלשון א</w:t>
      </w:r>
      <w:r>
        <w:rPr>
          <w:rFonts w:cs="Arial" w:hint="cs"/>
          <w:rtl/>
        </w:rPr>
        <w:t>חד</w:t>
      </w:r>
      <w:r>
        <w:rPr>
          <w:rFonts w:cs="Arial"/>
          <w:rtl/>
        </w:rPr>
        <w:t xml:space="preserve"> ממש יש לחוש שמשקרים ובעצה אחת כיוונו לשונם, וצריך לחקרם ולדרוש אותם. </w:t>
      </w:r>
      <w:r w:rsidRPr="00221BFB">
        <w:rPr>
          <w:rFonts w:cs="Arial"/>
          <w:sz w:val="18"/>
          <w:szCs w:val="18"/>
          <w:rtl/>
        </w:rPr>
        <w:t>הגה: ואם העד הא</w:t>
      </w:r>
      <w:r>
        <w:rPr>
          <w:rFonts w:cs="Arial" w:hint="cs"/>
          <w:sz w:val="18"/>
          <w:szCs w:val="18"/>
          <w:rtl/>
        </w:rPr>
        <w:t>'</w:t>
      </w:r>
      <w:r w:rsidRPr="00221BFB">
        <w:rPr>
          <w:rFonts w:cs="Arial"/>
          <w:sz w:val="18"/>
          <w:szCs w:val="18"/>
          <w:rtl/>
        </w:rPr>
        <w:t xml:space="preserve"> אמר עדותו, והשני אמר אף אני כמוהו ידעתי, לא מהני, אא</w:t>
      </w:r>
      <w:r>
        <w:rPr>
          <w:rFonts w:cs="Arial" w:hint="cs"/>
          <w:sz w:val="18"/>
          <w:szCs w:val="18"/>
          <w:rtl/>
        </w:rPr>
        <w:t>"</w:t>
      </w:r>
      <w:r w:rsidRPr="00221BFB">
        <w:rPr>
          <w:rFonts w:cs="Arial"/>
          <w:sz w:val="18"/>
          <w:szCs w:val="18"/>
          <w:rtl/>
        </w:rPr>
        <w:t>כ הלך למדינת הים</w:t>
      </w:r>
      <w:r>
        <w:rPr>
          <w:rStyle w:val="ab"/>
          <w:rFonts w:cs="Arial"/>
          <w:sz w:val="18"/>
          <w:szCs w:val="18"/>
          <w:rtl/>
        </w:rPr>
        <w:footnoteReference w:id="1449"/>
      </w:r>
      <w:r w:rsidRPr="00221BFB">
        <w:rPr>
          <w:rFonts w:cs="Arial"/>
          <w:sz w:val="18"/>
          <w:szCs w:val="18"/>
          <w:rtl/>
        </w:rPr>
        <w:t xml:space="preserve"> וא"א לו להעיד בפירוש (ר</w:t>
      </w:r>
      <w:r>
        <w:rPr>
          <w:rFonts w:cs="Arial" w:hint="cs"/>
          <w:sz w:val="18"/>
          <w:szCs w:val="18"/>
          <w:rtl/>
        </w:rPr>
        <w:t>י"ו</w:t>
      </w:r>
      <w:r w:rsidRPr="00221BFB">
        <w:rPr>
          <w:rFonts w:cs="Arial"/>
          <w:sz w:val="18"/>
          <w:szCs w:val="18"/>
          <w:rtl/>
        </w:rPr>
        <w:t xml:space="preserve"> ומרדכי).</w:t>
      </w:r>
    </w:p>
    <w:p w14:paraId="611BBD5C" w14:textId="77777777" w:rsidR="004B607F" w:rsidRDefault="004B607F" w:rsidP="004B607F">
      <w:pPr>
        <w:rPr>
          <w:rtl/>
        </w:rPr>
      </w:pPr>
      <w:r>
        <w:rPr>
          <w:rFonts w:cs="Arial"/>
          <w:rtl/>
        </w:rPr>
        <w:t xml:space="preserve"> </w:t>
      </w:r>
    </w:p>
    <w:p w14:paraId="003C678A" w14:textId="77777777" w:rsidR="004B607F" w:rsidRDefault="004B607F" w:rsidP="004B607F">
      <w:pPr>
        <w:pStyle w:val="2"/>
        <w:rPr>
          <w:rtl/>
        </w:rPr>
      </w:pPr>
      <w:bookmarkStart w:id="210" w:name="_Toc24883685"/>
      <w:r>
        <w:rPr>
          <w:rtl/>
        </w:rPr>
        <w:t>סעיף יא</w:t>
      </w:r>
      <w:r>
        <w:rPr>
          <w:rFonts w:hint="cs"/>
          <w:rtl/>
        </w:rPr>
        <w:t>: עד ששלח עדותו בכתב לבית דין.</w:t>
      </w:r>
      <w:bookmarkEnd w:id="210"/>
    </w:p>
    <w:p w14:paraId="285CC8F0" w14:textId="77777777" w:rsidR="004B607F" w:rsidRDefault="004B607F" w:rsidP="004B607F">
      <w:pPr>
        <w:rPr>
          <w:rFonts w:cs="Arial"/>
          <w:rtl/>
        </w:rPr>
      </w:pPr>
      <w:r w:rsidRPr="00A050F9">
        <w:rPr>
          <w:rFonts w:cs="Arial" w:hint="cs"/>
          <w:b/>
          <w:bCs/>
          <w:rtl/>
        </w:rPr>
        <w:t xml:space="preserve">גיטין </w:t>
      </w:r>
      <w:r w:rsidRPr="00A050F9">
        <w:rPr>
          <w:rFonts w:cs="Arial" w:hint="cs"/>
          <w:b/>
          <w:bCs/>
          <w:sz w:val="16"/>
          <w:szCs w:val="16"/>
          <w:rtl/>
        </w:rPr>
        <w:t>(</w:t>
      </w:r>
      <w:r w:rsidRPr="00A050F9">
        <w:rPr>
          <w:rFonts w:cs="Arial"/>
          <w:b/>
          <w:bCs/>
          <w:sz w:val="16"/>
          <w:szCs w:val="16"/>
          <w:rtl/>
        </w:rPr>
        <w:t>פ</w:t>
      </w:r>
      <w:r>
        <w:rPr>
          <w:rFonts w:cs="Arial" w:hint="cs"/>
          <w:b/>
          <w:bCs/>
          <w:sz w:val="16"/>
          <w:szCs w:val="16"/>
          <w:rtl/>
        </w:rPr>
        <w:t>'</w:t>
      </w:r>
      <w:r w:rsidRPr="00A050F9">
        <w:rPr>
          <w:rFonts w:cs="Arial"/>
          <w:b/>
          <w:bCs/>
          <w:sz w:val="16"/>
          <w:szCs w:val="16"/>
          <w:rtl/>
        </w:rPr>
        <w:t xml:space="preserve"> מי שאחזו</w:t>
      </w:r>
      <w:r w:rsidRPr="00A050F9">
        <w:rPr>
          <w:rFonts w:cs="Arial" w:hint="cs"/>
          <w:b/>
          <w:bCs/>
          <w:sz w:val="16"/>
          <w:szCs w:val="16"/>
          <w:rtl/>
        </w:rPr>
        <w:t xml:space="preserve">) </w:t>
      </w:r>
      <w:r w:rsidRPr="00A050F9">
        <w:rPr>
          <w:rFonts w:cs="Arial"/>
          <w:b/>
          <w:bCs/>
          <w:rtl/>
        </w:rPr>
        <w:t>עא</w:t>
      </w:r>
      <w:r>
        <w:rPr>
          <w:rStyle w:val="ab"/>
          <w:rFonts w:cs="Arial"/>
          <w:b/>
          <w:bCs/>
          <w:rtl/>
        </w:rPr>
        <w:footnoteReference w:id="1450"/>
      </w:r>
      <w:r w:rsidRPr="00A050F9">
        <w:rPr>
          <w:rFonts w:cs="Arial" w:hint="cs"/>
          <w:b/>
          <w:bCs/>
          <w:rtl/>
        </w:rPr>
        <w:t xml:space="preserve"> ע"א:</w:t>
      </w:r>
      <w:r w:rsidRPr="00A050F9">
        <w:rPr>
          <w:rFonts w:cs="Arial"/>
          <w:b/>
          <w:bCs/>
          <w:rtl/>
        </w:rPr>
        <w:t xml:space="preserve"> </w:t>
      </w:r>
      <w:r w:rsidRPr="00A5340B">
        <w:rPr>
          <w:rFonts w:cs="Arial"/>
          <w:rtl/>
        </w:rPr>
        <w:t>תניא: אם לא יגיד - פרט לא</w:t>
      </w:r>
      <w:r>
        <w:rPr>
          <w:rFonts w:cs="Arial" w:hint="cs"/>
          <w:rtl/>
        </w:rPr>
        <w:t>ִ</w:t>
      </w:r>
      <w:r w:rsidRPr="00A5340B">
        <w:rPr>
          <w:rFonts w:cs="Arial"/>
          <w:rtl/>
        </w:rPr>
        <w:t>ל</w:t>
      </w:r>
      <w:r>
        <w:rPr>
          <w:rFonts w:cs="Arial" w:hint="cs"/>
          <w:rtl/>
        </w:rPr>
        <w:t>ֵ</w:t>
      </w:r>
      <w:r w:rsidRPr="00A5340B">
        <w:rPr>
          <w:rFonts w:cs="Arial"/>
          <w:rtl/>
        </w:rPr>
        <w:t>ם</w:t>
      </w:r>
      <w:r>
        <w:rPr>
          <w:rStyle w:val="ab"/>
          <w:rFonts w:cs="Arial"/>
          <w:rtl/>
        </w:rPr>
        <w:footnoteReference w:id="1451"/>
      </w:r>
      <w:r w:rsidRPr="00A5340B">
        <w:rPr>
          <w:rFonts w:cs="Arial"/>
          <w:rtl/>
        </w:rPr>
        <w:t xml:space="preserve"> שאינו יכול להגיד; אמאי? הא יכול להגיד מתוך הכתב! </w:t>
      </w:r>
      <w:r w:rsidRPr="00A5340B">
        <w:rPr>
          <w:rFonts w:cs="Arial"/>
          <w:u w:val="single"/>
          <w:rtl/>
        </w:rPr>
        <w:t>אמר ליה אביי:</w:t>
      </w:r>
      <w:r w:rsidRPr="00A5340B">
        <w:rPr>
          <w:rFonts w:cs="Arial"/>
          <w:rtl/>
        </w:rPr>
        <w:t xml:space="preserve"> עדות קאמרת? שאני עדות, דרחמנא אמר: מפיהם - ולא מפי כתבם.</w:t>
      </w:r>
      <w:r>
        <w:rPr>
          <w:rFonts w:cs="Arial" w:hint="cs"/>
          <w:rtl/>
        </w:rPr>
        <w:t xml:space="preserve"> </w:t>
      </w:r>
      <w:r w:rsidRPr="00FC647B">
        <w:rPr>
          <w:rFonts w:cs="Arial" w:hint="cs"/>
          <w:sz w:val="16"/>
          <w:szCs w:val="16"/>
          <w:rtl/>
        </w:rPr>
        <w:t>(</w:t>
      </w:r>
      <w:r w:rsidRPr="00FC647B">
        <w:rPr>
          <w:rFonts w:cs="Arial"/>
          <w:sz w:val="16"/>
          <w:szCs w:val="16"/>
          <w:rtl/>
        </w:rPr>
        <w:t>ואיתא נמי בספרי (דברים פיסקא קפח) על פי שנים עדים מפיהם ולא מפי כתבם</w:t>
      </w:r>
      <w:r>
        <w:rPr>
          <w:rFonts w:cs="Arial" w:hint="cs"/>
          <w:sz w:val="16"/>
          <w:szCs w:val="16"/>
          <w:rtl/>
        </w:rPr>
        <w:t>.</w:t>
      </w:r>
      <w:r w:rsidRPr="00FC647B">
        <w:rPr>
          <w:rFonts w:cs="Arial"/>
          <w:sz w:val="16"/>
          <w:szCs w:val="16"/>
          <w:rtl/>
        </w:rPr>
        <w:t xml:space="preserve"> ובפרק ארבעה אחין (יבמות לא:) נמי אמרינן ורחמנא אמר מפיהם ולא מפי כתבם</w:t>
      </w:r>
      <w:r>
        <w:rPr>
          <w:rFonts w:cs="Arial" w:hint="cs"/>
          <w:sz w:val="16"/>
          <w:szCs w:val="16"/>
          <w:rtl/>
        </w:rPr>
        <w:t>, ב"י)</w:t>
      </w:r>
      <w:r w:rsidRPr="00FC647B">
        <w:rPr>
          <w:rFonts w:cs="Arial"/>
          <w:sz w:val="16"/>
          <w:szCs w:val="16"/>
          <w:rtl/>
        </w:rPr>
        <w:t xml:space="preserve"> </w:t>
      </w:r>
    </w:p>
    <w:p w14:paraId="0A9574B0" w14:textId="77777777" w:rsidR="004B607F" w:rsidRDefault="004B607F" w:rsidP="004B607F">
      <w:pPr>
        <w:rPr>
          <w:rFonts w:cs="Arial"/>
          <w:rtl/>
        </w:rPr>
      </w:pPr>
      <w:r w:rsidRPr="0035673A">
        <w:rPr>
          <w:rFonts w:cs="Arial" w:hint="cs"/>
          <w:b/>
          <w:bCs/>
          <w:rtl/>
        </w:rPr>
        <w:t xml:space="preserve">יבמות </w:t>
      </w:r>
      <w:r w:rsidRPr="0035673A">
        <w:rPr>
          <w:rFonts w:cs="Arial" w:hint="cs"/>
          <w:b/>
          <w:bCs/>
          <w:sz w:val="16"/>
          <w:szCs w:val="16"/>
          <w:rtl/>
        </w:rPr>
        <w:t>(</w:t>
      </w:r>
      <w:r w:rsidRPr="0035673A">
        <w:rPr>
          <w:rFonts w:cs="Arial"/>
          <w:b/>
          <w:bCs/>
          <w:sz w:val="16"/>
          <w:szCs w:val="16"/>
          <w:rtl/>
        </w:rPr>
        <w:t>פ</w:t>
      </w:r>
      <w:r w:rsidRPr="0035673A">
        <w:rPr>
          <w:rFonts w:cs="Arial" w:hint="cs"/>
          <w:b/>
          <w:bCs/>
          <w:sz w:val="16"/>
          <w:szCs w:val="16"/>
          <w:rtl/>
        </w:rPr>
        <w:t>'</w:t>
      </w:r>
      <w:r w:rsidRPr="0035673A">
        <w:rPr>
          <w:rFonts w:cs="Arial"/>
          <w:b/>
          <w:bCs/>
          <w:sz w:val="16"/>
          <w:szCs w:val="16"/>
          <w:rtl/>
        </w:rPr>
        <w:t xml:space="preserve"> </w:t>
      </w:r>
      <w:r w:rsidRPr="0035673A">
        <w:rPr>
          <w:rFonts w:cs="Arial" w:hint="cs"/>
          <w:b/>
          <w:bCs/>
          <w:sz w:val="16"/>
          <w:szCs w:val="16"/>
          <w:rtl/>
        </w:rPr>
        <w:t xml:space="preserve">ארבעה אחין) </w:t>
      </w:r>
      <w:r w:rsidRPr="0035673A">
        <w:rPr>
          <w:rFonts w:cs="Arial" w:hint="cs"/>
          <w:b/>
          <w:bCs/>
          <w:rtl/>
        </w:rPr>
        <w:t>לא</w:t>
      </w:r>
      <w:r>
        <w:rPr>
          <w:rStyle w:val="ab"/>
          <w:rFonts w:cs="Arial"/>
          <w:b/>
          <w:bCs/>
          <w:rtl/>
        </w:rPr>
        <w:footnoteReference w:id="1452"/>
      </w:r>
      <w:r w:rsidRPr="0035673A">
        <w:rPr>
          <w:rFonts w:cs="Arial" w:hint="cs"/>
          <w:b/>
          <w:bCs/>
          <w:rtl/>
        </w:rPr>
        <w:t xml:space="preserve"> ע"ב:</w:t>
      </w:r>
      <w:r>
        <w:rPr>
          <w:rFonts w:cs="Arial" w:hint="cs"/>
          <w:rtl/>
        </w:rPr>
        <w:t xml:space="preserve"> </w:t>
      </w:r>
      <w:r w:rsidRPr="0035673A">
        <w:rPr>
          <w:rFonts w:cs="Arial"/>
          <w:rtl/>
        </w:rPr>
        <w:t>ורחמנא אמר: מפיהם ולא מפי כתבם.</w:t>
      </w:r>
    </w:p>
    <w:p w14:paraId="22AA291B" w14:textId="77777777" w:rsidR="004B607F" w:rsidRPr="00FC647B" w:rsidRDefault="004B607F" w:rsidP="004B607F">
      <w:pPr>
        <w:rPr>
          <w:rFonts w:cs="Arial"/>
          <w:u w:val="single"/>
          <w:rtl/>
        </w:rPr>
      </w:pPr>
      <w:r w:rsidRPr="00FC647B">
        <w:rPr>
          <w:rFonts w:cs="Arial" w:hint="cs"/>
          <w:u w:val="single"/>
          <w:rtl/>
        </w:rPr>
        <w:t xml:space="preserve">עד ששלח עדותו בכתב לבית הדין </w:t>
      </w:r>
      <w:r w:rsidRPr="00FC647B">
        <w:rPr>
          <w:rFonts w:cs="Arial"/>
          <w:u w:val="single"/>
          <w:rtl/>
        </w:rPr>
        <w:t>–</w:t>
      </w:r>
      <w:r w:rsidRPr="00FC647B">
        <w:rPr>
          <w:rFonts w:cs="Arial" w:hint="cs"/>
          <w:u w:val="single"/>
          <w:rtl/>
        </w:rPr>
        <w:t xml:space="preserve"> האם </w:t>
      </w:r>
      <w:r>
        <w:rPr>
          <w:rFonts w:cs="Arial" w:hint="cs"/>
          <w:u w:val="single"/>
          <w:rtl/>
        </w:rPr>
        <w:t>מקרי</w:t>
      </w:r>
      <w:r w:rsidRPr="00FC647B">
        <w:rPr>
          <w:rFonts w:cs="Arial" w:hint="cs"/>
          <w:u w:val="single"/>
          <w:rtl/>
        </w:rPr>
        <w:t xml:space="preserve"> עדות:</w:t>
      </w:r>
    </w:p>
    <w:p w14:paraId="74F7A7E1" w14:textId="77777777" w:rsidR="004B607F" w:rsidRPr="00312B6E" w:rsidRDefault="004B607F" w:rsidP="004B0475">
      <w:pPr>
        <w:pStyle w:val="ac"/>
        <w:numPr>
          <w:ilvl w:val="0"/>
          <w:numId w:val="73"/>
        </w:numPr>
        <w:rPr>
          <w:rFonts w:cs="Arial"/>
        </w:rPr>
      </w:pPr>
      <w:r w:rsidRPr="00FC647B">
        <w:rPr>
          <w:rFonts w:cs="Arial"/>
          <w:rtl/>
        </w:rPr>
        <w:t xml:space="preserve">ר"י </w:t>
      </w:r>
      <w:r w:rsidRPr="00FC647B">
        <w:rPr>
          <w:rFonts w:cs="Arial" w:hint="cs"/>
          <w:rtl/>
        </w:rPr>
        <w:t xml:space="preserve">בשם </w:t>
      </w:r>
      <w:r w:rsidRPr="00FC647B">
        <w:rPr>
          <w:rFonts w:cs="Arial"/>
          <w:rtl/>
        </w:rPr>
        <w:t>ר</w:t>
      </w:r>
      <w:r w:rsidRPr="00FC647B">
        <w:rPr>
          <w:rFonts w:cs="Arial" w:hint="cs"/>
          <w:rtl/>
        </w:rPr>
        <w:t>"</w:t>
      </w:r>
      <w:r w:rsidRPr="00FC647B">
        <w:rPr>
          <w:rFonts w:cs="Arial"/>
          <w:rtl/>
        </w:rPr>
        <w:t>ת</w:t>
      </w:r>
      <w:r w:rsidRPr="00FC647B">
        <w:rPr>
          <w:rFonts w:cs="Arial" w:hint="cs"/>
          <w:rtl/>
        </w:rPr>
        <w:t xml:space="preserve"> </w:t>
      </w:r>
      <w:r w:rsidRPr="00FC647B">
        <w:rPr>
          <w:rFonts w:cs="Arial" w:hint="cs"/>
          <w:sz w:val="16"/>
          <w:szCs w:val="16"/>
          <w:rtl/>
        </w:rPr>
        <w:t>(</w:t>
      </w:r>
      <w:r>
        <w:rPr>
          <w:rFonts w:cs="Arial" w:hint="cs"/>
          <w:sz w:val="16"/>
          <w:szCs w:val="16"/>
          <w:rtl/>
        </w:rPr>
        <w:t>ב</w:t>
      </w:r>
      <w:r w:rsidRPr="005E4612">
        <w:rPr>
          <w:rFonts w:cs="Arial" w:hint="cs"/>
          <w:sz w:val="16"/>
          <w:szCs w:val="16"/>
          <w:rtl/>
        </w:rPr>
        <w:t xml:space="preserve">תוס' </w:t>
      </w:r>
      <w:r w:rsidRPr="005E4612">
        <w:rPr>
          <w:rFonts w:cs="Arial"/>
          <w:sz w:val="16"/>
          <w:szCs w:val="16"/>
          <w:rtl/>
        </w:rPr>
        <w:t>פ"ג דיבמות</w:t>
      </w:r>
      <w:r w:rsidRPr="00FC647B">
        <w:rPr>
          <w:rFonts w:cs="Arial"/>
          <w:sz w:val="14"/>
          <w:szCs w:val="14"/>
          <w:rtl/>
        </w:rPr>
        <w:t xml:space="preserve"> </w:t>
      </w:r>
      <w:r>
        <w:rPr>
          <w:rFonts w:cs="Arial" w:hint="cs"/>
          <w:sz w:val="14"/>
          <w:szCs w:val="14"/>
          <w:rtl/>
        </w:rPr>
        <w:t>[לא:</w:t>
      </w:r>
      <w:r w:rsidRPr="00FC647B">
        <w:rPr>
          <w:rFonts w:cs="Arial"/>
          <w:sz w:val="14"/>
          <w:szCs w:val="14"/>
          <w:rtl/>
        </w:rPr>
        <w:t xml:space="preserve"> ד"ה דחזו</w:t>
      </w:r>
      <w:r w:rsidRPr="00FC647B">
        <w:rPr>
          <w:rFonts w:cs="Arial" w:hint="cs"/>
          <w:sz w:val="14"/>
          <w:szCs w:val="14"/>
          <w:rtl/>
        </w:rPr>
        <w:t>]</w:t>
      </w:r>
      <w:r>
        <w:rPr>
          <w:rFonts w:cs="Arial" w:hint="cs"/>
          <w:sz w:val="16"/>
          <w:szCs w:val="16"/>
          <w:rtl/>
        </w:rPr>
        <w:t>, ו</w:t>
      </w:r>
      <w:r w:rsidRPr="005E4612">
        <w:rPr>
          <w:rFonts w:cs="Arial"/>
          <w:sz w:val="16"/>
          <w:szCs w:val="16"/>
          <w:rtl/>
        </w:rPr>
        <w:t xml:space="preserve">בפ"ג דבתרא </w:t>
      </w:r>
      <w:r>
        <w:rPr>
          <w:rFonts w:cs="Arial" w:hint="cs"/>
          <w:sz w:val="14"/>
          <w:szCs w:val="14"/>
          <w:rtl/>
        </w:rPr>
        <w:t>[</w:t>
      </w:r>
      <w:r w:rsidRPr="00FC647B">
        <w:rPr>
          <w:rFonts w:cs="Arial"/>
          <w:sz w:val="14"/>
          <w:szCs w:val="14"/>
          <w:rtl/>
        </w:rPr>
        <w:t>מ. דיבור ראשון</w:t>
      </w:r>
      <w:r>
        <w:rPr>
          <w:rFonts w:cs="Arial" w:hint="cs"/>
          <w:sz w:val="14"/>
          <w:szCs w:val="14"/>
          <w:rtl/>
        </w:rPr>
        <w:t>]</w:t>
      </w:r>
      <w:r>
        <w:rPr>
          <w:rFonts w:cs="Arial" w:hint="cs"/>
          <w:sz w:val="16"/>
          <w:szCs w:val="16"/>
          <w:rtl/>
        </w:rPr>
        <w:t>. וכ"כ ב</w:t>
      </w:r>
      <w:r w:rsidRPr="005E4612">
        <w:rPr>
          <w:rFonts w:cs="Arial"/>
          <w:sz w:val="16"/>
          <w:szCs w:val="16"/>
          <w:rtl/>
        </w:rPr>
        <w:t>פ</w:t>
      </w:r>
      <w:r w:rsidRPr="005E4612">
        <w:rPr>
          <w:rFonts w:cs="Arial" w:hint="cs"/>
          <w:sz w:val="16"/>
          <w:szCs w:val="16"/>
          <w:rtl/>
        </w:rPr>
        <w:t>"ב</w:t>
      </w:r>
      <w:r w:rsidRPr="005E4612">
        <w:rPr>
          <w:rFonts w:cs="Arial"/>
          <w:sz w:val="16"/>
          <w:szCs w:val="16"/>
          <w:rtl/>
        </w:rPr>
        <w:t xml:space="preserve"> דכתובות </w:t>
      </w:r>
      <w:r>
        <w:rPr>
          <w:rFonts w:cs="Arial" w:hint="cs"/>
          <w:sz w:val="14"/>
          <w:szCs w:val="14"/>
          <w:rtl/>
        </w:rPr>
        <w:t>[</w:t>
      </w:r>
      <w:r w:rsidRPr="00FC647B">
        <w:rPr>
          <w:rFonts w:cs="Arial"/>
          <w:sz w:val="14"/>
          <w:szCs w:val="14"/>
          <w:rtl/>
        </w:rPr>
        <w:t>כ: דיבור ראשון</w:t>
      </w:r>
      <w:r>
        <w:rPr>
          <w:rFonts w:cs="Arial" w:hint="cs"/>
          <w:sz w:val="14"/>
          <w:szCs w:val="14"/>
          <w:rtl/>
        </w:rPr>
        <w:t>]</w:t>
      </w:r>
      <w:r w:rsidRPr="00FC647B">
        <w:rPr>
          <w:rFonts w:cs="Arial" w:hint="cs"/>
          <w:sz w:val="16"/>
          <w:szCs w:val="16"/>
          <w:rtl/>
        </w:rPr>
        <w:t>)</w:t>
      </w:r>
      <w:r w:rsidRPr="00FC647B">
        <w:rPr>
          <w:rFonts w:cs="Arial" w:hint="cs"/>
          <w:rtl/>
        </w:rPr>
        <w:t xml:space="preserve">- </w:t>
      </w:r>
      <w:r w:rsidRPr="005E4612">
        <w:rPr>
          <w:rFonts w:cs="Arial"/>
          <w:rtl/>
        </w:rPr>
        <w:t xml:space="preserve">נוהגין עכשיו ששולחין העדים עדותן בכתב ידם לב"ד ולא קרינן ביה מפיהם ולא מפי כתבם כיון שהם זוכרין עדותן והא דתניא במי שאחזו </w:t>
      </w:r>
      <w:r w:rsidRPr="00312B6E">
        <w:rPr>
          <w:rFonts w:cs="Arial"/>
          <w:sz w:val="14"/>
          <w:szCs w:val="14"/>
          <w:rtl/>
        </w:rPr>
        <w:t xml:space="preserve">(גיטין עא.) </w:t>
      </w:r>
      <w:r w:rsidRPr="005E4612">
        <w:rPr>
          <w:rFonts w:cs="Arial"/>
          <w:rtl/>
        </w:rPr>
        <w:t xml:space="preserve">ואם לא יגיד פרט </w:t>
      </w:r>
      <w:r>
        <w:rPr>
          <w:rFonts w:cs="Arial" w:hint="cs"/>
          <w:rtl/>
        </w:rPr>
        <w:t>ל</w:t>
      </w:r>
      <w:r w:rsidRPr="00FC647B">
        <w:rPr>
          <w:rFonts w:cs="Arial"/>
          <w:rtl/>
        </w:rPr>
        <w:t>א</w:t>
      </w:r>
      <w:r w:rsidRPr="00FC647B">
        <w:rPr>
          <w:rFonts w:cs="Arial" w:hint="cs"/>
          <w:rtl/>
        </w:rPr>
        <w:t>ִ</w:t>
      </w:r>
      <w:r w:rsidRPr="00FC647B">
        <w:rPr>
          <w:rFonts w:cs="Arial"/>
          <w:rtl/>
        </w:rPr>
        <w:t>ל</w:t>
      </w:r>
      <w:r w:rsidRPr="00FC647B">
        <w:rPr>
          <w:rFonts w:cs="Arial" w:hint="cs"/>
          <w:rtl/>
        </w:rPr>
        <w:t>ֵ</w:t>
      </w:r>
      <w:r w:rsidRPr="00FC647B">
        <w:rPr>
          <w:rFonts w:cs="Arial"/>
          <w:rtl/>
        </w:rPr>
        <w:t xml:space="preserve">ם </w:t>
      </w:r>
      <w:r w:rsidRPr="005E4612">
        <w:rPr>
          <w:rFonts w:cs="Arial"/>
          <w:rtl/>
        </w:rPr>
        <w:t xml:space="preserve">שאין יכול לדבר ופריך ואמאי והרי יכול לדבר מתוך הכתב שאני עדות דרחמנא אמר מפיהם ולא מפי כתבם שאני </w:t>
      </w:r>
      <w:r w:rsidRPr="00FC647B">
        <w:rPr>
          <w:rFonts w:cs="Arial"/>
          <w:rtl/>
        </w:rPr>
        <w:t>א</w:t>
      </w:r>
      <w:r w:rsidRPr="00FC647B">
        <w:rPr>
          <w:rFonts w:cs="Arial" w:hint="cs"/>
          <w:rtl/>
        </w:rPr>
        <w:t>ִ</w:t>
      </w:r>
      <w:r w:rsidRPr="00FC647B">
        <w:rPr>
          <w:rFonts w:cs="Arial"/>
          <w:rtl/>
        </w:rPr>
        <w:t>ל</w:t>
      </w:r>
      <w:r w:rsidRPr="00FC647B">
        <w:rPr>
          <w:rFonts w:cs="Arial" w:hint="cs"/>
          <w:rtl/>
        </w:rPr>
        <w:t>ֵ</w:t>
      </w:r>
      <w:r w:rsidRPr="00FC647B">
        <w:rPr>
          <w:rFonts w:cs="Arial"/>
          <w:rtl/>
        </w:rPr>
        <w:t xml:space="preserve">ם </w:t>
      </w:r>
      <w:r w:rsidRPr="005E4612">
        <w:rPr>
          <w:rFonts w:cs="Arial"/>
          <w:rtl/>
        </w:rPr>
        <w:t xml:space="preserve">שאין ראוי להגיד כדאמרינן </w:t>
      </w:r>
      <w:r w:rsidRPr="00312B6E">
        <w:rPr>
          <w:rFonts w:cs="Arial"/>
          <w:sz w:val="16"/>
          <w:szCs w:val="16"/>
          <w:rtl/>
        </w:rPr>
        <w:t xml:space="preserve">(מנחות דף קג:) </w:t>
      </w:r>
      <w:r w:rsidRPr="005E4612">
        <w:rPr>
          <w:rFonts w:cs="Arial"/>
          <w:rtl/>
        </w:rPr>
        <w:t>כל שאין ראוי לבילה כו' אבל אחר מועיל כתב ידו כשזוכר העדות</w:t>
      </w:r>
      <w:r>
        <w:rPr>
          <w:rStyle w:val="ab"/>
          <w:rFonts w:cs="Arial"/>
          <w:rtl/>
        </w:rPr>
        <w:footnoteReference w:id="1453"/>
      </w:r>
      <w:r>
        <w:rPr>
          <w:rFonts w:cs="Arial" w:hint="cs"/>
          <w:rtl/>
        </w:rPr>
        <w:t xml:space="preserve">. (וכ"פ סמ"ע </w:t>
      </w:r>
      <w:r w:rsidRPr="00653CBE">
        <w:rPr>
          <w:rFonts w:cs="Arial" w:hint="cs"/>
          <w:sz w:val="16"/>
          <w:szCs w:val="16"/>
          <w:rtl/>
        </w:rPr>
        <w:t>[סקמ"ב</w:t>
      </w:r>
      <w:r>
        <w:rPr>
          <w:rFonts w:cs="Arial" w:hint="cs"/>
          <w:sz w:val="16"/>
          <w:szCs w:val="16"/>
          <w:rtl/>
        </w:rPr>
        <w:t>]</w:t>
      </w:r>
      <w:r>
        <w:rPr>
          <w:rFonts w:cs="Arial" w:hint="cs"/>
          <w:rtl/>
        </w:rPr>
        <w:t>)</w:t>
      </w:r>
      <w:r w:rsidRPr="005E4612">
        <w:rPr>
          <w:rtl/>
        </w:rPr>
        <w:t xml:space="preserve"> </w:t>
      </w:r>
    </w:p>
    <w:p w14:paraId="5BF04FFB" w14:textId="77777777" w:rsidR="004B607F" w:rsidRDefault="004B607F" w:rsidP="004B0475">
      <w:pPr>
        <w:pStyle w:val="ac"/>
        <w:numPr>
          <w:ilvl w:val="0"/>
          <w:numId w:val="73"/>
        </w:numPr>
        <w:rPr>
          <w:rFonts w:cs="Arial"/>
        </w:rPr>
      </w:pPr>
      <w:r w:rsidRPr="003D0709">
        <w:rPr>
          <w:rFonts w:cs="Arial"/>
          <w:rtl/>
        </w:rPr>
        <w:lastRenderedPageBreak/>
        <w:t>רש"י</w:t>
      </w:r>
      <w:r w:rsidRPr="003D0709">
        <w:rPr>
          <w:rFonts w:cs="Arial"/>
          <w:sz w:val="16"/>
          <w:szCs w:val="16"/>
          <w:rtl/>
        </w:rPr>
        <w:t xml:space="preserve"> (דברים יט טו</w:t>
      </w:r>
      <w:r w:rsidRPr="003D0709">
        <w:rPr>
          <w:rFonts w:cs="Arial" w:hint="cs"/>
          <w:sz w:val="16"/>
          <w:szCs w:val="16"/>
          <w:rtl/>
        </w:rPr>
        <w:t xml:space="preserve">, הביאוהו התוס' </w:t>
      </w:r>
      <w:r w:rsidRPr="005E4612">
        <w:rPr>
          <w:rFonts w:cs="Arial" w:hint="cs"/>
          <w:sz w:val="14"/>
          <w:szCs w:val="14"/>
          <w:rtl/>
        </w:rPr>
        <w:t>[בכל המקורות הנ"ל]</w:t>
      </w:r>
      <w:r w:rsidRPr="003D0709">
        <w:rPr>
          <w:rFonts w:cs="Arial"/>
          <w:sz w:val="16"/>
          <w:szCs w:val="16"/>
          <w:rtl/>
        </w:rPr>
        <w:t>)</w:t>
      </w:r>
      <w:r w:rsidRPr="003D0709">
        <w:rPr>
          <w:rFonts w:cs="Arial"/>
          <w:rtl/>
        </w:rPr>
        <w:t xml:space="preserve"> </w:t>
      </w:r>
      <w:r>
        <w:rPr>
          <w:rFonts w:cs="Arial" w:hint="cs"/>
          <w:rtl/>
        </w:rPr>
        <w:t>ו</w:t>
      </w:r>
      <w:r w:rsidRPr="003D0709">
        <w:rPr>
          <w:rFonts w:cs="Arial"/>
          <w:rtl/>
        </w:rPr>
        <w:t>רמב"ם</w:t>
      </w:r>
      <w:r>
        <w:rPr>
          <w:rStyle w:val="ab"/>
          <w:rFonts w:cs="Arial"/>
          <w:rtl/>
        </w:rPr>
        <w:footnoteReference w:id="1454"/>
      </w:r>
      <w:r w:rsidRPr="003D0709">
        <w:rPr>
          <w:rFonts w:cs="Arial"/>
          <w:rtl/>
        </w:rPr>
        <w:t xml:space="preserve"> </w:t>
      </w:r>
      <w:r w:rsidRPr="003D0709">
        <w:rPr>
          <w:rFonts w:cs="Arial" w:hint="cs"/>
          <w:sz w:val="16"/>
          <w:szCs w:val="16"/>
          <w:rtl/>
        </w:rPr>
        <w:t>(</w:t>
      </w:r>
      <w:r w:rsidRPr="003D0709">
        <w:rPr>
          <w:rFonts w:cs="Arial"/>
          <w:sz w:val="16"/>
          <w:szCs w:val="16"/>
          <w:rtl/>
        </w:rPr>
        <w:t>פ"ג מהל</w:t>
      </w:r>
      <w:r w:rsidRPr="003D0709">
        <w:rPr>
          <w:rFonts w:cs="Arial" w:hint="cs"/>
          <w:sz w:val="16"/>
          <w:szCs w:val="16"/>
          <w:rtl/>
        </w:rPr>
        <w:t>'</w:t>
      </w:r>
      <w:r w:rsidRPr="003D0709">
        <w:rPr>
          <w:rFonts w:cs="Arial"/>
          <w:sz w:val="16"/>
          <w:szCs w:val="16"/>
          <w:rtl/>
        </w:rPr>
        <w:t xml:space="preserve"> עדות ה"ד)</w:t>
      </w:r>
      <w:r w:rsidRPr="003D0709">
        <w:rPr>
          <w:rFonts w:cs="Arial" w:hint="cs"/>
          <w:rtl/>
        </w:rPr>
        <w:t xml:space="preserve">- </w:t>
      </w:r>
      <w:r w:rsidRPr="00EA67AC">
        <w:rPr>
          <w:rFonts w:cs="Arial"/>
          <w:rtl/>
        </w:rPr>
        <w:t>דין תורה שאין מקבלין עדות לא בדיני ממונות ולא בדיני נפשות אלא מפי העדים שנאמר על פי שנים עדים מפיהם ולא מכתב ידן</w:t>
      </w:r>
      <w:r>
        <w:rPr>
          <w:rFonts w:cs="Arial" w:hint="cs"/>
          <w:rtl/>
        </w:rPr>
        <w:t>...</w:t>
      </w:r>
      <w:r w:rsidRPr="00EA67AC">
        <w:rPr>
          <w:rFonts w:cs="Arial"/>
          <w:rtl/>
        </w:rPr>
        <w:t xml:space="preserve"> </w:t>
      </w:r>
      <w:r>
        <w:rPr>
          <w:rFonts w:cs="Arial" w:hint="cs"/>
          <w:sz w:val="16"/>
          <w:szCs w:val="16"/>
          <w:rtl/>
        </w:rPr>
        <w:t>(ל' הרמב"ם)</w:t>
      </w:r>
      <w:r w:rsidRPr="003D0709">
        <w:rPr>
          <w:rFonts w:cs="Arial"/>
          <w:rtl/>
        </w:rPr>
        <w:t>.</w:t>
      </w:r>
      <w:r>
        <w:rPr>
          <w:rFonts w:cs="Arial" w:hint="cs"/>
          <w:rtl/>
        </w:rPr>
        <w:t xml:space="preserve"> </w:t>
      </w:r>
      <w:r w:rsidRPr="006339A7">
        <w:rPr>
          <w:rFonts w:cs="Arial" w:hint="cs"/>
          <w:color w:val="E36C0A" w:themeColor="accent6" w:themeShade="BF"/>
          <w:rtl/>
        </w:rPr>
        <w:t>(וכ"פ בשו"ע)</w:t>
      </w:r>
      <w:r>
        <w:rPr>
          <w:rFonts w:cs="Arial" w:hint="cs"/>
          <w:rtl/>
        </w:rPr>
        <w:t xml:space="preserve"> </w:t>
      </w:r>
      <w:r w:rsidRPr="006339A7">
        <w:rPr>
          <w:rFonts w:cs="Arial" w:hint="cs"/>
          <w:color w:val="00B0F0"/>
          <w:rtl/>
        </w:rPr>
        <w:t>(וכ"פ הרמ"א)</w:t>
      </w:r>
    </w:p>
    <w:p w14:paraId="2D394A18" w14:textId="77777777" w:rsidR="004B607F" w:rsidRPr="00CF52E1" w:rsidRDefault="004B607F" w:rsidP="004B607F">
      <w:pPr>
        <w:ind w:left="360"/>
        <w:rPr>
          <w:rFonts w:cs="Arial"/>
          <w:u w:val="dotted"/>
        </w:rPr>
      </w:pPr>
      <w:r w:rsidRPr="00CF52E1">
        <w:rPr>
          <w:rFonts w:cs="Arial" w:hint="cs"/>
          <w:u w:val="dotted"/>
          <w:rtl/>
        </w:rPr>
        <w:t>לרש"י</w:t>
      </w:r>
      <w:r>
        <w:rPr>
          <w:rFonts w:cs="Arial" w:hint="cs"/>
          <w:u w:val="dotted"/>
          <w:rtl/>
        </w:rPr>
        <w:t xml:space="preserve"> ורמב"ם</w:t>
      </w:r>
      <w:r w:rsidRPr="00CF52E1">
        <w:rPr>
          <w:rFonts w:cs="Arial" w:hint="cs"/>
          <w:u w:val="dotted"/>
          <w:rtl/>
        </w:rPr>
        <w:t xml:space="preserve"> </w:t>
      </w:r>
      <w:r w:rsidRPr="00CF52E1">
        <w:rPr>
          <w:rFonts w:cs="Arial"/>
          <w:u w:val="dotted"/>
          <w:rtl/>
        </w:rPr>
        <w:t>–</w:t>
      </w:r>
      <w:r w:rsidRPr="00CF52E1">
        <w:rPr>
          <w:rFonts w:cs="Arial" w:hint="cs"/>
          <w:u w:val="dotted"/>
          <w:rtl/>
        </w:rPr>
        <w:t xml:space="preserve"> מה הדין אם הלך העד לב"ד ו</w:t>
      </w:r>
      <w:r>
        <w:rPr>
          <w:rFonts w:cs="Arial" w:hint="cs"/>
          <w:u w:val="dotted"/>
          <w:rtl/>
        </w:rPr>
        <w:t xml:space="preserve">לא העיד בפיו אלא </w:t>
      </w:r>
      <w:r w:rsidRPr="00CF52E1">
        <w:rPr>
          <w:rFonts w:cs="Arial" w:hint="cs"/>
          <w:u w:val="dotted"/>
          <w:rtl/>
        </w:rPr>
        <w:t>מסר להם כתב עדותו:</w:t>
      </w:r>
      <w:r w:rsidRPr="00CF52E1">
        <w:rPr>
          <w:rFonts w:cs="Arial" w:hint="cs"/>
          <w:sz w:val="16"/>
          <w:szCs w:val="16"/>
          <w:rtl/>
        </w:rPr>
        <w:t xml:space="preserve"> </w:t>
      </w:r>
      <w:r>
        <w:rPr>
          <w:rFonts w:cs="Arial" w:hint="cs"/>
          <w:sz w:val="16"/>
          <w:szCs w:val="16"/>
          <w:rtl/>
        </w:rPr>
        <w:t xml:space="preserve">  (</w:t>
      </w:r>
      <w:r w:rsidRPr="006339A7">
        <w:rPr>
          <w:rFonts w:cs="Arial" w:hint="cs"/>
          <w:sz w:val="16"/>
          <w:szCs w:val="16"/>
          <w:rtl/>
        </w:rPr>
        <w:t xml:space="preserve">ב"י </w:t>
      </w:r>
      <w:r>
        <w:rPr>
          <w:rFonts w:cs="Arial" w:hint="cs"/>
          <w:sz w:val="16"/>
          <w:szCs w:val="16"/>
          <w:rtl/>
        </w:rPr>
        <w:t>[</w:t>
      </w:r>
      <w:r w:rsidRPr="006339A7">
        <w:rPr>
          <w:rFonts w:cs="Arial" w:hint="cs"/>
          <w:sz w:val="16"/>
          <w:szCs w:val="16"/>
          <w:rtl/>
        </w:rPr>
        <w:t>בבדה"ב</w:t>
      </w:r>
      <w:r>
        <w:rPr>
          <w:rFonts w:cs="Arial" w:hint="cs"/>
          <w:sz w:val="16"/>
          <w:szCs w:val="16"/>
          <w:rtl/>
        </w:rPr>
        <w:t>]</w:t>
      </w:r>
      <w:r w:rsidRPr="006339A7">
        <w:rPr>
          <w:rFonts w:cs="Arial"/>
          <w:sz w:val="16"/>
          <w:szCs w:val="16"/>
          <w:rtl/>
        </w:rPr>
        <w:t>)</w:t>
      </w:r>
    </w:p>
    <w:p w14:paraId="09DC4281" w14:textId="77777777" w:rsidR="004B607F" w:rsidRDefault="004B607F" w:rsidP="004B0475">
      <w:pPr>
        <w:pStyle w:val="ac"/>
        <w:numPr>
          <w:ilvl w:val="0"/>
          <w:numId w:val="73"/>
        </w:numPr>
        <w:rPr>
          <w:rFonts w:cs="Arial"/>
        </w:rPr>
      </w:pPr>
      <w:r w:rsidRPr="006339A7">
        <w:rPr>
          <w:rFonts w:cs="Arial"/>
          <w:rtl/>
        </w:rPr>
        <w:t>ריטב"א</w:t>
      </w:r>
      <w:r w:rsidRPr="006339A7">
        <w:rPr>
          <w:rFonts w:cs="Arial"/>
          <w:sz w:val="16"/>
          <w:szCs w:val="16"/>
          <w:rtl/>
        </w:rPr>
        <w:t xml:space="preserve"> </w:t>
      </w:r>
      <w:r w:rsidRPr="006339A7">
        <w:rPr>
          <w:rFonts w:cs="Arial" w:hint="cs"/>
          <w:sz w:val="16"/>
          <w:szCs w:val="16"/>
          <w:rtl/>
        </w:rPr>
        <w:t>(</w:t>
      </w:r>
      <w:r w:rsidRPr="006339A7">
        <w:rPr>
          <w:rFonts w:cs="Arial"/>
          <w:sz w:val="16"/>
          <w:szCs w:val="16"/>
          <w:rtl/>
        </w:rPr>
        <w:t>פ</w:t>
      </w:r>
      <w:r w:rsidRPr="006339A7">
        <w:rPr>
          <w:rFonts w:cs="Arial" w:hint="cs"/>
          <w:sz w:val="16"/>
          <w:szCs w:val="16"/>
          <w:rtl/>
        </w:rPr>
        <w:t>"ק</w:t>
      </w:r>
      <w:r w:rsidRPr="006339A7">
        <w:rPr>
          <w:rFonts w:cs="Arial"/>
          <w:sz w:val="16"/>
          <w:szCs w:val="16"/>
          <w:rtl/>
        </w:rPr>
        <w:t xml:space="preserve"> דמכות ו: ד"ה שלא תהא</w:t>
      </w:r>
      <w:r>
        <w:rPr>
          <w:rFonts w:cs="Arial" w:hint="cs"/>
          <w:sz w:val="16"/>
          <w:szCs w:val="16"/>
          <w:rtl/>
        </w:rPr>
        <w:t>)</w:t>
      </w:r>
      <w:r>
        <w:rPr>
          <w:rFonts w:cs="Arial" w:hint="cs"/>
          <w:rtl/>
        </w:rPr>
        <w:t>- ל</w:t>
      </w:r>
      <w:r w:rsidRPr="006339A7">
        <w:rPr>
          <w:rFonts w:cs="Arial"/>
          <w:rtl/>
        </w:rPr>
        <w:t>א מיעט רש"י אלא שלא ישלחו עדותם לבית דין באגרת</w:t>
      </w:r>
      <w:r>
        <w:rPr>
          <w:rFonts w:cs="Arial" w:hint="cs"/>
          <w:rtl/>
        </w:rPr>
        <w:t>,</w:t>
      </w:r>
      <w:r w:rsidRPr="006339A7">
        <w:rPr>
          <w:rFonts w:cs="Arial"/>
          <w:rtl/>
        </w:rPr>
        <w:t xml:space="preserve"> הא כל שנותן עדותו כתובה לבית דין ואומר מה שכתוב כאן אני מעיד </w:t>
      </w:r>
      <w:r>
        <w:rPr>
          <w:rFonts w:cs="Arial" w:hint="cs"/>
          <w:rtl/>
        </w:rPr>
        <w:t xml:space="preserve">- </w:t>
      </w:r>
      <w:r w:rsidRPr="006339A7">
        <w:rPr>
          <w:rFonts w:cs="Arial"/>
          <w:rtl/>
        </w:rPr>
        <w:t>מפיהם קרינן ביה</w:t>
      </w:r>
      <w:r>
        <w:rPr>
          <w:rFonts w:cs="Arial" w:hint="cs"/>
          <w:rtl/>
        </w:rPr>
        <w:t>.</w:t>
      </w:r>
      <w:r w:rsidRPr="006339A7">
        <w:rPr>
          <w:rFonts w:cs="Arial"/>
          <w:rtl/>
        </w:rPr>
        <w:t xml:space="preserve"> וכן נהגו</w:t>
      </w:r>
      <w:r>
        <w:rPr>
          <w:rFonts w:cs="Arial" w:hint="cs"/>
          <w:rtl/>
        </w:rPr>
        <w:t>.</w:t>
      </w:r>
      <w:r w:rsidRPr="006339A7">
        <w:rPr>
          <w:rFonts w:cs="Arial"/>
          <w:rtl/>
        </w:rPr>
        <w:t xml:space="preserve"> </w:t>
      </w:r>
    </w:p>
    <w:p w14:paraId="61F002C9" w14:textId="77777777" w:rsidR="004B607F" w:rsidRPr="006339A7" w:rsidRDefault="004B607F" w:rsidP="004B607F">
      <w:pPr>
        <w:rPr>
          <w:rFonts w:cs="Arial"/>
        </w:rPr>
      </w:pPr>
      <w:r w:rsidRPr="00F64B08">
        <w:rPr>
          <w:rFonts w:cs="Arial" w:hint="cs"/>
          <w:u w:val="single"/>
          <w:rtl/>
        </w:rPr>
        <w:t>עד ש</w:t>
      </w:r>
      <w:r>
        <w:rPr>
          <w:rFonts w:cs="Arial" w:hint="cs"/>
          <w:u w:val="single"/>
          <w:rtl/>
        </w:rPr>
        <w:t>כתב לעצמו את עדותו על שטר לזכרון דברים</w:t>
      </w:r>
      <w:r w:rsidRPr="00F64B08">
        <w:rPr>
          <w:rFonts w:cs="Arial" w:hint="cs"/>
          <w:u w:val="single"/>
          <w:rtl/>
        </w:rPr>
        <w:t xml:space="preserve"> </w:t>
      </w:r>
      <w:r w:rsidRPr="00F64B08">
        <w:rPr>
          <w:rFonts w:cs="Arial"/>
          <w:u w:val="single"/>
          <w:rtl/>
        </w:rPr>
        <w:t>–</w:t>
      </w:r>
      <w:r w:rsidRPr="00F64B08">
        <w:rPr>
          <w:rFonts w:cs="Arial" w:hint="cs"/>
          <w:u w:val="single"/>
          <w:rtl/>
        </w:rPr>
        <w:t xml:space="preserve"> האם </w:t>
      </w:r>
      <w:r>
        <w:rPr>
          <w:rFonts w:cs="Arial" w:hint="cs"/>
          <w:u w:val="single"/>
          <w:rtl/>
        </w:rPr>
        <w:t xml:space="preserve">מיקרי שטר </w:t>
      </w:r>
      <w:r w:rsidRPr="006B287F">
        <w:rPr>
          <w:rFonts w:cs="Arial" w:hint="cs"/>
          <w:sz w:val="16"/>
          <w:szCs w:val="16"/>
          <w:u w:val="single"/>
          <w:rtl/>
        </w:rPr>
        <w:t>(ש</w:t>
      </w:r>
      <w:r>
        <w:rPr>
          <w:rFonts w:cs="Arial" w:hint="cs"/>
          <w:sz w:val="16"/>
          <w:szCs w:val="16"/>
          <w:u w:val="single"/>
          <w:rtl/>
        </w:rPr>
        <w:t>אפשר לגבות בו וכדו')</w:t>
      </w:r>
      <w:r w:rsidRPr="00F64B08">
        <w:rPr>
          <w:rFonts w:cs="Arial" w:hint="cs"/>
          <w:u w:val="single"/>
          <w:rtl/>
        </w:rPr>
        <w:t>:</w:t>
      </w:r>
      <w:r>
        <w:rPr>
          <w:rFonts w:cs="Arial" w:hint="cs"/>
          <w:rtl/>
        </w:rPr>
        <w:t xml:space="preserve">  </w:t>
      </w:r>
      <w:r>
        <w:rPr>
          <w:rFonts w:cs="Arial" w:hint="cs"/>
          <w:sz w:val="16"/>
          <w:szCs w:val="16"/>
          <w:rtl/>
        </w:rPr>
        <w:t>(דרכ"מ אות ז-ח)</w:t>
      </w:r>
      <w:r w:rsidRPr="006339A7">
        <w:rPr>
          <w:rFonts w:cs="Arial"/>
          <w:rtl/>
        </w:rPr>
        <w:t xml:space="preserve"> </w:t>
      </w:r>
    </w:p>
    <w:p w14:paraId="4FA7D480" w14:textId="77777777" w:rsidR="004B607F" w:rsidRDefault="004B607F" w:rsidP="004B0475">
      <w:pPr>
        <w:pStyle w:val="ac"/>
        <w:numPr>
          <w:ilvl w:val="0"/>
          <w:numId w:val="73"/>
        </w:numPr>
        <w:rPr>
          <w:rFonts w:cs="Arial"/>
        </w:rPr>
      </w:pPr>
      <w:r w:rsidRPr="00FB3387">
        <w:rPr>
          <w:rFonts w:cs="Arial"/>
          <w:rtl/>
        </w:rPr>
        <w:t xml:space="preserve">ריב"ש </w:t>
      </w:r>
      <w:r w:rsidRPr="00653CBE">
        <w:rPr>
          <w:rFonts w:cs="Arial" w:hint="cs"/>
          <w:sz w:val="16"/>
          <w:szCs w:val="16"/>
          <w:rtl/>
        </w:rPr>
        <w:t>(</w:t>
      </w:r>
      <w:r w:rsidRPr="00653CBE">
        <w:rPr>
          <w:rFonts w:cs="Arial"/>
          <w:sz w:val="16"/>
          <w:szCs w:val="16"/>
          <w:rtl/>
        </w:rPr>
        <w:t>סי</w:t>
      </w:r>
      <w:r w:rsidRPr="00653CBE">
        <w:rPr>
          <w:rFonts w:cs="Arial" w:hint="cs"/>
          <w:sz w:val="16"/>
          <w:szCs w:val="16"/>
          <w:rtl/>
        </w:rPr>
        <w:t>'</w:t>
      </w:r>
      <w:r w:rsidRPr="00653CBE">
        <w:rPr>
          <w:rFonts w:cs="Arial"/>
          <w:sz w:val="16"/>
          <w:szCs w:val="16"/>
          <w:rtl/>
        </w:rPr>
        <w:t xml:space="preserve"> רי</w:t>
      </w:r>
      <w:r w:rsidRPr="00653CBE">
        <w:rPr>
          <w:rFonts w:cs="Arial" w:hint="cs"/>
          <w:sz w:val="16"/>
          <w:szCs w:val="16"/>
          <w:rtl/>
        </w:rPr>
        <w:t>)</w:t>
      </w:r>
      <w:r>
        <w:rPr>
          <w:rFonts w:cs="Arial" w:hint="cs"/>
          <w:rtl/>
        </w:rPr>
        <w:t xml:space="preserve">- </w:t>
      </w:r>
      <w:r w:rsidRPr="00FB3387">
        <w:rPr>
          <w:rFonts w:cs="Arial"/>
          <w:rtl/>
        </w:rPr>
        <w:t xml:space="preserve">עדים שכתבו טופס השטר בפנקס כדי שיכתוב השטר בנוסח ההוא </w:t>
      </w:r>
      <w:r>
        <w:rPr>
          <w:rFonts w:cs="Arial" w:hint="cs"/>
          <w:rtl/>
        </w:rPr>
        <w:t xml:space="preserve">- </w:t>
      </w:r>
      <w:r w:rsidRPr="00FB3387">
        <w:rPr>
          <w:rFonts w:cs="Arial"/>
          <w:rtl/>
        </w:rPr>
        <w:t>אין דנין על פי אותו הטופס</w:t>
      </w:r>
      <w:r>
        <w:rPr>
          <w:rFonts w:cs="Arial" w:hint="cs"/>
          <w:rtl/>
        </w:rPr>
        <w:t>,</w:t>
      </w:r>
      <w:r w:rsidRPr="00FB3387">
        <w:rPr>
          <w:rFonts w:cs="Arial"/>
          <w:rtl/>
        </w:rPr>
        <w:t xml:space="preserve"> דלא הוי אלא כמי שכתבו עדותן בפנקסן לזכרון דברים בעלמא דלא דנין על פי אותו עדות דהוה מפיהן ולא מפי כתבן</w:t>
      </w:r>
      <w:r>
        <w:rPr>
          <w:rFonts w:cs="Arial" w:hint="cs"/>
          <w:rtl/>
        </w:rPr>
        <w:t>,</w:t>
      </w:r>
      <w:r w:rsidRPr="00FB3387">
        <w:rPr>
          <w:rFonts w:cs="Arial"/>
          <w:rtl/>
        </w:rPr>
        <w:t xml:space="preserve"> ולא דמי לשאר שטרות שנמסרו ליד בעלים שחתימתן הוה כאלו נחקרה עדותן בבית דין</w:t>
      </w:r>
      <w:r>
        <w:rPr>
          <w:rFonts w:cs="Arial" w:hint="cs"/>
          <w:rtl/>
        </w:rPr>
        <w:t>,</w:t>
      </w:r>
      <w:r w:rsidRPr="00FB3387">
        <w:rPr>
          <w:rFonts w:cs="Arial"/>
          <w:rtl/>
        </w:rPr>
        <w:t xml:space="preserve"> ואף אם לא נמסרו ליד בעלי הדבר הואיל וחתמו על מנת למסור</w:t>
      </w:r>
      <w:r>
        <w:rPr>
          <w:rFonts w:cs="Arial" w:hint="cs"/>
          <w:rtl/>
        </w:rPr>
        <w:t>,</w:t>
      </w:r>
      <w:r w:rsidRPr="00FB3387">
        <w:rPr>
          <w:rFonts w:cs="Arial"/>
          <w:rtl/>
        </w:rPr>
        <w:t xml:space="preserve"> אבל כתב שעושין העדים לעצמן לזכרון אע</w:t>
      </w:r>
      <w:r>
        <w:rPr>
          <w:rFonts w:cs="Arial" w:hint="cs"/>
          <w:rtl/>
        </w:rPr>
        <w:t>"</w:t>
      </w:r>
      <w:r w:rsidRPr="00FB3387">
        <w:rPr>
          <w:rFonts w:cs="Arial"/>
          <w:rtl/>
        </w:rPr>
        <w:t>פ שחתומין בו כיון שלא נעשה לשם שטר הוי כפנקס בעלמא ואין גובין בו דהוי מפי כתבם</w:t>
      </w:r>
      <w:r>
        <w:rPr>
          <w:rStyle w:val="ab"/>
          <w:rFonts w:cs="Arial"/>
          <w:rtl/>
        </w:rPr>
        <w:footnoteReference w:id="1455"/>
      </w:r>
      <w:r>
        <w:rPr>
          <w:rFonts w:cs="Arial" w:hint="cs"/>
          <w:rtl/>
        </w:rPr>
        <w:t>.</w:t>
      </w:r>
      <w:r w:rsidRPr="00FB3387">
        <w:rPr>
          <w:rFonts w:cs="Arial"/>
          <w:rtl/>
        </w:rPr>
        <w:t xml:space="preserve"> </w:t>
      </w:r>
    </w:p>
    <w:p w14:paraId="74901986" w14:textId="77777777" w:rsidR="004B607F" w:rsidRPr="00F64B08" w:rsidRDefault="004B607F" w:rsidP="004B0475">
      <w:pPr>
        <w:pStyle w:val="ac"/>
        <w:numPr>
          <w:ilvl w:val="0"/>
          <w:numId w:val="73"/>
        </w:numPr>
        <w:rPr>
          <w:rFonts w:cs="Arial"/>
          <w:rtl/>
        </w:rPr>
      </w:pPr>
      <w:r>
        <w:rPr>
          <w:rFonts w:cs="Arial" w:hint="cs"/>
          <w:rtl/>
        </w:rPr>
        <w:t>ר"י</w:t>
      </w:r>
      <w:r w:rsidRPr="00F64B08">
        <w:rPr>
          <w:rFonts w:cs="Arial" w:hint="cs"/>
          <w:sz w:val="16"/>
          <w:szCs w:val="16"/>
          <w:rtl/>
        </w:rPr>
        <w:t xml:space="preserve"> (</w:t>
      </w:r>
      <w:r>
        <w:rPr>
          <w:rFonts w:cs="Arial" w:hint="cs"/>
          <w:sz w:val="14"/>
          <w:szCs w:val="14"/>
          <w:rtl/>
        </w:rPr>
        <w:t>[</w:t>
      </w:r>
      <w:r w:rsidRPr="006B287F">
        <w:rPr>
          <w:rFonts w:cs="Arial" w:hint="cs"/>
          <w:sz w:val="14"/>
          <w:szCs w:val="14"/>
          <w:rtl/>
        </w:rPr>
        <w:t>ב</w:t>
      </w:r>
      <w:r w:rsidRPr="006B287F">
        <w:rPr>
          <w:rFonts w:cs="Arial"/>
          <w:sz w:val="14"/>
          <w:szCs w:val="14"/>
          <w:rtl/>
        </w:rPr>
        <w:t>תוס</w:t>
      </w:r>
      <w:r w:rsidRPr="006B287F">
        <w:rPr>
          <w:rFonts w:cs="Arial" w:hint="cs"/>
          <w:sz w:val="14"/>
          <w:szCs w:val="14"/>
          <w:rtl/>
        </w:rPr>
        <w:t>'</w:t>
      </w:r>
      <w:r w:rsidRPr="006B287F">
        <w:rPr>
          <w:rFonts w:cs="Arial"/>
          <w:sz w:val="14"/>
          <w:szCs w:val="14"/>
          <w:rtl/>
        </w:rPr>
        <w:t xml:space="preserve"> </w:t>
      </w:r>
      <w:r w:rsidRPr="006B287F">
        <w:rPr>
          <w:rFonts w:cs="Arial" w:hint="cs"/>
          <w:sz w:val="14"/>
          <w:szCs w:val="14"/>
          <w:rtl/>
        </w:rPr>
        <w:t xml:space="preserve">כתובות כ. </w:t>
      </w:r>
      <w:r w:rsidRPr="006B287F">
        <w:rPr>
          <w:rFonts w:cs="Arial"/>
          <w:sz w:val="14"/>
          <w:szCs w:val="14"/>
          <w:rtl/>
        </w:rPr>
        <w:t xml:space="preserve">ד"ה </w:t>
      </w:r>
      <w:r w:rsidRPr="006B287F">
        <w:rPr>
          <w:rFonts w:cs="Arial" w:hint="cs"/>
          <w:sz w:val="14"/>
          <w:szCs w:val="14"/>
          <w:rtl/>
        </w:rPr>
        <w:t>ו</w:t>
      </w:r>
      <w:r w:rsidRPr="006B287F">
        <w:rPr>
          <w:rFonts w:cs="Arial"/>
          <w:sz w:val="14"/>
          <w:szCs w:val="14"/>
          <w:rtl/>
        </w:rPr>
        <w:t>ר</w:t>
      </w:r>
      <w:r w:rsidRPr="006B287F">
        <w:rPr>
          <w:rFonts w:cs="Arial" w:hint="cs"/>
          <w:sz w:val="14"/>
          <w:szCs w:val="14"/>
          <w:rtl/>
        </w:rPr>
        <w:t>בי</w:t>
      </w:r>
      <w:r w:rsidRPr="006B287F">
        <w:rPr>
          <w:rFonts w:cs="Arial"/>
          <w:sz w:val="14"/>
          <w:szCs w:val="14"/>
          <w:rtl/>
        </w:rPr>
        <w:t xml:space="preserve"> יוחנן</w:t>
      </w:r>
      <w:r w:rsidRPr="006B287F">
        <w:rPr>
          <w:rFonts w:cs="Arial" w:hint="cs"/>
          <w:sz w:val="14"/>
          <w:szCs w:val="14"/>
          <w:rtl/>
        </w:rPr>
        <w:t>]</w:t>
      </w:r>
      <w:r w:rsidRPr="00F64B08">
        <w:rPr>
          <w:rFonts w:cs="Arial" w:hint="cs"/>
          <w:sz w:val="16"/>
          <w:szCs w:val="16"/>
          <w:rtl/>
        </w:rPr>
        <w:t xml:space="preserve"> להב' הדרכ"מ</w:t>
      </w:r>
      <w:r w:rsidRPr="00F64B08">
        <w:rPr>
          <w:rFonts w:cs="Arial"/>
          <w:sz w:val="16"/>
          <w:szCs w:val="16"/>
          <w:rtl/>
        </w:rPr>
        <w:t>)</w:t>
      </w:r>
      <w:r>
        <w:rPr>
          <w:rFonts w:cs="Arial" w:hint="cs"/>
          <w:rtl/>
        </w:rPr>
        <w:t xml:space="preserve">- </w:t>
      </w:r>
      <w:r>
        <w:rPr>
          <w:rStyle w:val="ab"/>
          <w:rFonts w:cs="Arial"/>
          <w:rtl/>
        </w:rPr>
        <w:footnoteReference w:id="1456"/>
      </w:r>
      <w:r w:rsidRPr="00F64B08">
        <w:rPr>
          <w:rFonts w:cs="Arial"/>
          <w:rtl/>
        </w:rPr>
        <w:t>אי נכתב כסדר השטר הוי מעידין על זה</w:t>
      </w:r>
      <w:r>
        <w:rPr>
          <w:rStyle w:val="ab"/>
          <w:rFonts w:cs="Arial"/>
          <w:rtl/>
        </w:rPr>
        <w:footnoteReference w:id="1457"/>
      </w:r>
      <w:r>
        <w:rPr>
          <w:rFonts w:cs="Arial" w:hint="cs"/>
          <w:rtl/>
        </w:rPr>
        <w:t>.</w:t>
      </w:r>
      <w:r w:rsidRPr="00F64B08">
        <w:rPr>
          <w:rFonts w:cs="Arial"/>
          <w:rtl/>
        </w:rPr>
        <w:t xml:space="preserve"> </w:t>
      </w:r>
    </w:p>
    <w:p w14:paraId="57302084" w14:textId="77777777" w:rsidR="004B607F" w:rsidRPr="00F357EA" w:rsidRDefault="004B607F" w:rsidP="004B607F">
      <w:pPr>
        <w:rPr>
          <w:rFonts w:cs="Arial"/>
        </w:rPr>
      </w:pPr>
      <w:r w:rsidRPr="00F357EA">
        <w:rPr>
          <w:rFonts w:cs="Arial" w:hint="cs"/>
          <w:b/>
          <w:bCs/>
          <w:rtl/>
        </w:rPr>
        <w:t xml:space="preserve">קידושין </w:t>
      </w:r>
      <w:r>
        <w:rPr>
          <w:rFonts w:cs="Arial" w:hint="cs"/>
          <w:b/>
          <w:bCs/>
          <w:sz w:val="16"/>
          <w:szCs w:val="16"/>
          <w:rtl/>
        </w:rPr>
        <w:t xml:space="preserve"> (פרק האומר) </w:t>
      </w:r>
      <w:r w:rsidRPr="00F357EA">
        <w:rPr>
          <w:rFonts w:cs="Arial" w:hint="cs"/>
          <w:b/>
          <w:bCs/>
          <w:rtl/>
        </w:rPr>
        <w:t>ס</w:t>
      </w:r>
      <w:r>
        <w:rPr>
          <w:rFonts w:cs="Arial" w:hint="cs"/>
          <w:b/>
          <w:bCs/>
          <w:rtl/>
        </w:rPr>
        <w:t>ו</w:t>
      </w:r>
      <w:r>
        <w:rPr>
          <w:rStyle w:val="ab"/>
          <w:rFonts w:cs="Arial"/>
          <w:b/>
          <w:bCs/>
          <w:rtl/>
        </w:rPr>
        <w:footnoteReference w:id="1458"/>
      </w:r>
      <w:r w:rsidRPr="00F357EA">
        <w:rPr>
          <w:rFonts w:cs="Arial" w:hint="cs"/>
          <w:b/>
          <w:bCs/>
          <w:rtl/>
        </w:rPr>
        <w:t xml:space="preserve"> ע"</w:t>
      </w:r>
      <w:r>
        <w:rPr>
          <w:rFonts w:cs="Arial" w:hint="cs"/>
          <w:b/>
          <w:bCs/>
          <w:rtl/>
        </w:rPr>
        <w:t>א</w:t>
      </w:r>
      <w:r w:rsidRPr="00F357EA">
        <w:rPr>
          <w:rFonts w:cs="Arial" w:hint="cs"/>
          <w:b/>
          <w:bCs/>
          <w:rtl/>
        </w:rPr>
        <w:t>:</w:t>
      </w:r>
      <w:r>
        <w:rPr>
          <w:rFonts w:cs="Arial" w:hint="cs"/>
          <w:b/>
          <w:bCs/>
          <w:rtl/>
        </w:rPr>
        <w:t xml:space="preserve"> </w:t>
      </w:r>
      <w:r w:rsidRPr="0034036B">
        <w:rPr>
          <w:rFonts w:cs="Arial"/>
          <w:rtl/>
        </w:rPr>
        <w:t xml:space="preserve">איבעיא להו: אשתו זינתה בעד אחד, ושותק, מהו? </w:t>
      </w:r>
      <w:r w:rsidRPr="0034036B">
        <w:rPr>
          <w:rFonts w:cs="Arial"/>
          <w:u w:val="single"/>
          <w:rtl/>
        </w:rPr>
        <w:t>אמר אביי</w:t>
      </w:r>
      <w:r w:rsidRPr="0034036B">
        <w:rPr>
          <w:rFonts w:cs="Arial"/>
          <w:rtl/>
        </w:rPr>
        <w:t xml:space="preserve">: נאמן; </w:t>
      </w:r>
      <w:r w:rsidRPr="0034036B">
        <w:rPr>
          <w:rFonts w:cs="Arial"/>
          <w:u w:val="single"/>
          <w:rtl/>
        </w:rPr>
        <w:t>רבא אמר</w:t>
      </w:r>
      <w:r w:rsidRPr="0034036B">
        <w:rPr>
          <w:rFonts w:cs="Arial"/>
          <w:rtl/>
        </w:rPr>
        <w:t>: אינו נאמן, הוי דבר שבערוה, ואין דבר שבערוה פחות משנים.</w:t>
      </w:r>
      <w:r>
        <w:rPr>
          <w:rFonts w:cs="Arial" w:hint="cs"/>
          <w:rtl/>
        </w:rPr>
        <w:t>..</w:t>
      </w:r>
      <w:r w:rsidRPr="0034036B">
        <w:rPr>
          <w:rtl/>
        </w:rPr>
        <w:t xml:space="preserve"> </w:t>
      </w:r>
      <w:r w:rsidRPr="0034036B">
        <w:rPr>
          <w:rFonts w:cs="Arial"/>
          <w:u w:val="single"/>
          <w:rtl/>
        </w:rPr>
        <w:t>אמר רבא</w:t>
      </w:r>
      <w:r w:rsidRPr="0034036B">
        <w:rPr>
          <w:rFonts w:cs="Arial"/>
          <w:rtl/>
        </w:rPr>
        <w:t>:</w:t>
      </w:r>
      <w:r w:rsidRPr="0034036B">
        <w:rPr>
          <w:rtl/>
        </w:rPr>
        <w:t xml:space="preserve"> </w:t>
      </w:r>
      <w:r w:rsidRPr="0034036B">
        <w:rPr>
          <w:rFonts w:cs="Arial"/>
          <w:rtl/>
        </w:rPr>
        <w:t>מנא אמינא לה? דתנן, אמר ר' שמעון: מעשה במגורה של דסקים ביבנה שהיתה עומדת בחזקת שלימה, ומדדו ונמצאת חסירה, כל טהרות שנעשו על גבה היה ר' טרפון מטהר ור' עקיבא מטמא.</w:t>
      </w:r>
      <w:r w:rsidRPr="0034036B">
        <w:rPr>
          <w:rtl/>
        </w:rPr>
        <w:t xml:space="preserve"> </w:t>
      </w:r>
      <w:r w:rsidRPr="0034036B">
        <w:rPr>
          <w:rFonts w:cs="Arial"/>
          <w:rtl/>
        </w:rPr>
        <w:t>אמר רבי טרפון: מקוה זה בחזקת שלם הוא עומד, מספק אתה בא לחסרו, אל תחסרנו מספק. אמר רבי עקיבא: אדם זה בחזקת טמא הוא עומד, מספק אתה בא לטהרו, אל תטהרנו מספק. אמר רבי טרפון: משל, לעומד ומקריב על גבי המזבח ונודע שהוא בן גרושה או בן חלוצה, שעבודתו כשירה! אמר רבי עקיבא: משל, לעומד ומקריב ע"ג המזבח ונודע שהוא בעל מום, שעבודתו פסולה!</w:t>
      </w:r>
      <w:r>
        <w:rPr>
          <w:rFonts w:cs="Arial" w:hint="cs"/>
          <w:rtl/>
        </w:rPr>
        <w:t>...</w:t>
      </w:r>
      <w:r w:rsidRPr="0034036B">
        <w:rPr>
          <w:rtl/>
        </w:rPr>
        <w:t xml:space="preserve"> </w:t>
      </w:r>
      <w:r w:rsidRPr="0034036B">
        <w:rPr>
          <w:rFonts w:cs="Arial"/>
          <w:rtl/>
        </w:rPr>
        <w:t>אמר ליה ר' טרפון: עקיבא, כל הפורש ממך כפורש מן החיים!</w:t>
      </w:r>
      <w:r>
        <w:rPr>
          <w:rFonts w:cs="Arial" w:hint="cs"/>
          <w:rtl/>
        </w:rPr>
        <w:t>...</w:t>
      </w:r>
      <w:r w:rsidRPr="0034036B">
        <w:rPr>
          <w:rFonts w:cs="Arial"/>
          <w:rtl/>
        </w:rPr>
        <w:t xml:space="preserve"> </w:t>
      </w:r>
      <w:r w:rsidRPr="00F357EA">
        <w:rPr>
          <w:rFonts w:cs="Arial"/>
          <w:rtl/>
        </w:rPr>
        <w:t>האי בעל מום שפסולו ביחיד היכי דמי? אי דקא מכחיש ליה, מי מהימן?</w:t>
      </w:r>
      <w:r w:rsidRPr="0034036B">
        <w:rPr>
          <w:rtl/>
        </w:rPr>
        <w:t xml:space="preserve"> </w:t>
      </w:r>
      <w:r w:rsidRPr="0034036B">
        <w:rPr>
          <w:rFonts w:cs="Arial"/>
          <w:rtl/>
        </w:rPr>
        <w:t>אלא דשתיק, ודכותיה גבי בן גרושה ובן חלוצה דשתיק, וקתני: מקוה פסולו ביחיד, ובעל מום פסולו ביחיד, ואל יוכיח בן גרושה ובן חלוצה שפסולו בשנים.</w:t>
      </w:r>
      <w:r w:rsidRPr="00F357EA">
        <w:rPr>
          <w:rFonts w:cs="Arial"/>
          <w:rtl/>
        </w:rPr>
        <w:t xml:space="preserve"> </w:t>
      </w:r>
      <w:r w:rsidRPr="00F357EA">
        <w:rPr>
          <w:rFonts w:cs="Arial"/>
          <w:u w:val="single"/>
          <w:rtl/>
        </w:rPr>
        <w:t>ואביי אמר</w:t>
      </w:r>
      <w:r w:rsidRPr="00F357EA">
        <w:rPr>
          <w:rFonts w:cs="Arial"/>
          <w:rtl/>
        </w:rPr>
        <w:t>: לעולם דקא מכחיש ליה, ודקאמרת אמאי מהימן? דאמר ליה שלח אחוי</w:t>
      </w:r>
      <w:r>
        <w:rPr>
          <w:rStyle w:val="ab"/>
          <w:rFonts w:cs="Arial"/>
          <w:rtl/>
        </w:rPr>
        <w:footnoteReference w:id="1459"/>
      </w:r>
      <w:r w:rsidRPr="00F357EA">
        <w:rPr>
          <w:rFonts w:cs="Arial"/>
          <w:rtl/>
        </w:rPr>
        <w:t>; והיינו דקתני: מקוה פסולו בגופו, ובעל מום פסולו בגופו</w:t>
      </w:r>
      <w:r>
        <w:rPr>
          <w:rFonts w:cs="Arial" w:hint="cs"/>
          <w:rtl/>
        </w:rPr>
        <w:t>,</w:t>
      </w:r>
      <w:r w:rsidRPr="0034036B">
        <w:rPr>
          <w:rtl/>
        </w:rPr>
        <w:t xml:space="preserve"> </w:t>
      </w:r>
      <w:r w:rsidRPr="0034036B">
        <w:rPr>
          <w:rFonts w:cs="Arial"/>
          <w:rtl/>
        </w:rPr>
        <w:t>ואל יוכיח בן גרושה ובן חלוצה שפסולו מאחרים.</w:t>
      </w:r>
    </w:p>
    <w:p w14:paraId="6C5C4516" w14:textId="77777777" w:rsidR="004B607F" w:rsidRPr="00653CBE" w:rsidRDefault="004B607F" w:rsidP="004B607F">
      <w:pPr>
        <w:rPr>
          <w:rFonts w:cs="Arial"/>
          <w:u w:val="single"/>
        </w:rPr>
      </w:pPr>
      <w:r>
        <w:rPr>
          <w:rFonts w:cs="Arial" w:hint="cs"/>
          <w:u w:val="single"/>
          <w:rtl/>
        </w:rPr>
        <w:t>עד אחד בדבר שיכול להתברר:</w:t>
      </w:r>
    </w:p>
    <w:p w14:paraId="2AD354BB" w14:textId="77777777" w:rsidR="004B607F" w:rsidRPr="006339A7" w:rsidRDefault="004B607F" w:rsidP="004B0475">
      <w:pPr>
        <w:pStyle w:val="ac"/>
        <w:numPr>
          <w:ilvl w:val="0"/>
          <w:numId w:val="73"/>
        </w:numPr>
        <w:rPr>
          <w:rFonts w:cs="Arial"/>
          <w:rtl/>
        </w:rPr>
      </w:pPr>
      <w:r w:rsidRPr="006339A7">
        <w:rPr>
          <w:rFonts w:cs="Arial"/>
          <w:rtl/>
        </w:rPr>
        <w:t>תוס</w:t>
      </w:r>
      <w:r w:rsidRPr="006339A7">
        <w:rPr>
          <w:rFonts w:cs="Arial" w:hint="cs"/>
          <w:rtl/>
        </w:rPr>
        <w:t xml:space="preserve">' </w:t>
      </w:r>
      <w:r w:rsidRPr="006339A7">
        <w:rPr>
          <w:rFonts w:cs="Arial" w:hint="cs"/>
          <w:sz w:val="16"/>
          <w:szCs w:val="16"/>
          <w:rtl/>
        </w:rPr>
        <w:t>(</w:t>
      </w:r>
      <w:r w:rsidRPr="006339A7">
        <w:rPr>
          <w:rFonts w:cs="Arial"/>
          <w:sz w:val="16"/>
          <w:szCs w:val="16"/>
          <w:rtl/>
        </w:rPr>
        <w:t>קדושין פרק האומר סו: ד"ה שלח)</w:t>
      </w:r>
      <w:r w:rsidRPr="006339A7">
        <w:rPr>
          <w:rFonts w:cs="Arial" w:hint="cs"/>
          <w:rtl/>
        </w:rPr>
        <w:t xml:space="preserve"> ו</w:t>
      </w:r>
      <w:r w:rsidRPr="006339A7">
        <w:rPr>
          <w:rFonts w:cs="Arial"/>
          <w:rtl/>
        </w:rPr>
        <w:t xml:space="preserve">מהרי"ק </w:t>
      </w:r>
      <w:r w:rsidRPr="006339A7">
        <w:rPr>
          <w:rFonts w:cs="Arial" w:hint="cs"/>
          <w:sz w:val="16"/>
          <w:szCs w:val="16"/>
          <w:rtl/>
        </w:rPr>
        <w:t>(</w:t>
      </w:r>
      <w:r w:rsidRPr="006339A7">
        <w:rPr>
          <w:rFonts w:cs="Arial"/>
          <w:sz w:val="16"/>
          <w:szCs w:val="16"/>
          <w:rtl/>
        </w:rPr>
        <w:t>שורש א' ענף ב)</w:t>
      </w:r>
      <w:r w:rsidRPr="006339A7">
        <w:rPr>
          <w:rFonts w:cs="Arial" w:hint="cs"/>
          <w:rtl/>
        </w:rPr>
        <w:t xml:space="preserve">- </w:t>
      </w:r>
      <w:r>
        <w:rPr>
          <w:rFonts w:cs="Arial" w:hint="cs"/>
          <w:rtl/>
        </w:rPr>
        <w:t xml:space="preserve">כל דבר שיכול להתברר </w:t>
      </w:r>
      <w:r>
        <w:rPr>
          <w:rFonts w:cs="Arial"/>
          <w:rtl/>
        </w:rPr>
        <w:t>–</w:t>
      </w:r>
      <w:r>
        <w:rPr>
          <w:rFonts w:cs="Arial" w:hint="cs"/>
          <w:rtl/>
        </w:rPr>
        <w:t xml:space="preserve"> עד אחד נאמן עליו</w:t>
      </w:r>
      <w:r>
        <w:rPr>
          <w:rStyle w:val="ab"/>
          <w:rFonts w:cs="Arial"/>
          <w:rtl/>
        </w:rPr>
        <w:footnoteReference w:id="1460"/>
      </w:r>
      <w:r>
        <w:rPr>
          <w:rFonts w:cs="Arial" w:hint="cs"/>
          <w:rtl/>
        </w:rPr>
        <w:t>, ואפילו עד א' מכחישו</w:t>
      </w:r>
      <w:r>
        <w:rPr>
          <w:rFonts w:cs="Arial" w:hint="cs"/>
          <w:sz w:val="16"/>
          <w:szCs w:val="16"/>
          <w:rtl/>
        </w:rPr>
        <w:t xml:space="preserve"> (ל' התוס')</w:t>
      </w:r>
      <w:r w:rsidRPr="006339A7">
        <w:rPr>
          <w:rFonts w:cs="Arial" w:hint="cs"/>
          <w:rtl/>
        </w:rPr>
        <w:t>.</w:t>
      </w:r>
    </w:p>
    <w:p w14:paraId="0866479A" w14:textId="77777777" w:rsidR="004B607F" w:rsidRPr="003024E5" w:rsidRDefault="004B607F" w:rsidP="004B607F">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56D5A53A" w14:textId="77777777" w:rsidR="004B607F" w:rsidRDefault="004B607F" w:rsidP="004B607F">
      <w:pPr>
        <w:rPr>
          <w:rtl/>
        </w:rPr>
      </w:pPr>
      <w:r>
        <w:rPr>
          <w:rFonts w:cs="Arial"/>
          <w:rtl/>
        </w:rPr>
        <w:lastRenderedPageBreak/>
        <w:t>העדים ששלחו עדותן בכתב לבית דין, אינו עדות, דכתיב על פי שנים עדים</w:t>
      </w:r>
      <w:r>
        <w:rPr>
          <w:rFonts w:cs="Arial" w:hint="cs"/>
          <w:rtl/>
        </w:rPr>
        <w:t>,</w:t>
      </w:r>
      <w:r>
        <w:rPr>
          <w:rFonts w:cs="Arial"/>
          <w:rtl/>
        </w:rPr>
        <w:t xml:space="preserve"> מפיהם ולא מפי כתבם. </w:t>
      </w:r>
      <w:r w:rsidRPr="00221BFB">
        <w:rPr>
          <w:rFonts w:cs="Arial"/>
          <w:sz w:val="18"/>
          <w:szCs w:val="18"/>
          <w:rtl/>
        </w:rPr>
        <w:t>הגה: וכן נוהגין</w:t>
      </w:r>
      <w:r>
        <w:rPr>
          <w:rFonts w:cs="Arial" w:hint="cs"/>
          <w:sz w:val="18"/>
          <w:szCs w:val="18"/>
          <w:rtl/>
        </w:rPr>
        <w:t>,</w:t>
      </w:r>
      <w:r w:rsidRPr="00221BFB">
        <w:rPr>
          <w:rFonts w:cs="Arial"/>
          <w:sz w:val="18"/>
          <w:szCs w:val="18"/>
          <w:rtl/>
        </w:rPr>
        <w:t xml:space="preserve"> ודלא כיש מכשירין אם העדים ראויין להעיד ואינם א</w:t>
      </w:r>
      <w:r>
        <w:rPr>
          <w:rFonts w:cs="Arial" w:hint="cs"/>
          <w:sz w:val="18"/>
          <w:szCs w:val="18"/>
          <w:rtl/>
        </w:rPr>
        <w:t>ִ</w:t>
      </w:r>
      <w:r w:rsidRPr="00221BFB">
        <w:rPr>
          <w:rFonts w:cs="Arial"/>
          <w:sz w:val="18"/>
          <w:szCs w:val="18"/>
          <w:rtl/>
        </w:rPr>
        <w:t>ל</w:t>
      </w:r>
      <w:r>
        <w:rPr>
          <w:rFonts w:cs="Arial" w:hint="cs"/>
          <w:sz w:val="18"/>
          <w:szCs w:val="18"/>
          <w:rtl/>
        </w:rPr>
        <w:t>ְ</w:t>
      </w:r>
      <w:r w:rsidRPr="00221BFB">
        <w:rPr>
          <w:rFonts w:cs="Arial"/>
          <w:sz w:val="18"/>
          <w:szCs w:val="18"/>
          <w:rtl/>
        </w:rPr>
        <w:t>מ</w:t>
      </w:r>
      <w:r>
        <w:rPr>
          <w:rFonts w:cs="Arial" w:hint="cs"/>
          <w:sz w:val="18"/>
          <w:szCs w:val="18"/>
          <w:rtl/>
        </w:rPr>
        <w:t>ִ</w:t>
      </w:r>
      <w:r w:rsidRPr="00221BFB">
        <w:rPr>
          <w:rFonts w:cs="Arial"/>
          <w:sz w:val="18"/>
          <w:szCs w:val="18"/>
          <w:rtl/>
        </w:rPr>
        <w:t>ים (טור בשם ר"ת).</w:t>
      </w:r>
      <w:r>
        <w:rPr>
          <w:rFonts w:cs="Arial"/>
          <w:rtl/>
        </w:rPr>
        <w:t xml:space="preserve"> </w:t>
      </w:r>
    </w:p>
    <w:p w14:paraId="5D308A72" w14:textId="77777777" w:rsidR="004B607F" w:rsidRDefault="004B607F" w:rsidP="004B607F">
      <w:pPr>
        <w:rPr>
          <w:rtl/>
        </w:rPr>
      </w:pPr>
    </w:p>
    <w:p w14:paraId="2A3C123B" w14:textId="77777777" w:rsidR="004B607F" w:rsidRDefault="004B607F" w:rsidP="004B607F">
      <w:pPr>
        <w:pStyle w:val="2"/>
        <w:rPr>
          <w:rtl/>
        </w:rPr>
      </w:pPr>
      <w:bookmarkStart w:id="211" w:name="_Toc24883686"/>
      <w:r>
        <w:rPr>
          <w:rtl/>
        </w:rPr>
        <w:t>סעיף יב</w:t>
      </w:r>
      <w:r>
        <w:rPr>
          <w:rFonts w:hint="cs"/>
          <w:rtl/>
        </w:rPr>
        <w:t xml:space="preserve">: עדות שבשטר </w:t>
      </w:r>
      <w:r>
        <w:rPr>
          <w:rtl/>
        </w:rPr>
        <w:t>–</w:t>
      </w:r>
      <w:r>
        <w:rPr>
          <w:rFonts w:hint="cs"/>
          <w:rtl/>
        </w:rPr>
        <w:t xml:space="preserve"> בדיני ממונות.</w:t>
      </w:r>
      <w:bookmarkEnd w:id="211"/>
    </w:p>
    <w:p w14:paraId="5D941A9A" w14:textId="77777777" w:rsidR="004B607F" w:rsidRPr="00EA67AC" w:rsidRDefault="004B607F" w:rsidP="004B607F">
      <w:pPr>
        <w:rPr>
          <w:rFonts w:cs="Arial"/>
          <w:u w:val="single"/>
          <w:rtl/>
        </w:rPr>
      </w:pPr>
      <w:r w:rsidRPr="00EA67AC">
        <w:rPr>
          <w:rFonts w:cs="Arial" w:hint="cs"/>
          <w:u w:val="single"/>
          <w:rtl/>
        </w:rPr>
        <w:t>האם אפשר לחתוך את הדין ב</w:t>
      </w:r>
      <w:r>
        <w:rPr>
          <w:rFonts w:cs="Arial" w:hint="cs"/>
          <w:u w:val="single"/>
          <w:rtl/>
        </w:rPr>
        <w:t>ד</w:t>
      </w:r>
      <w:r w:rsidRPr="00EA67AC">
        <w:rPr>
          <w:rFonts w:cs="Arial" w:hint="cs"/>
          <w:u w:val="single"/>
          <w:rtl/>
        </w:rPr>
        <w:t>יני ממונות ע"פ עדות שב</w:t>
      </w:r>
      <w:r>
        <w:rPr>
          <w:rFonts w:cs="Arial" w:hint="cs"/>
          <w:u w:val="single"/>
          <w:rtl/>
        </w:rPr>
        <w:t>ש</w:t>
      </w:r>
      <w:r w:rsidRPr="00EA67AC">
        <w:rPr>
          <w:rFonts w:cs="Arial" w:hint="cs"/>
          <w:u w:val="single"/>
          <w:rtl/>
        </w:rPr>
        <w:t>טר:</w:t>
      </w:r>
    </w:p>
    <w:p w14:paraId="15CD767E" w14:textId="77777777" w:rsidR="004B607F" w:rsidRPr="00EA67AC" w:rsidRDefault="004B607F" w:rsidP="004B0475">
      <w:pPr>
        <w:pStyle w:val="ac"/>
        <w:numPr>
          <w:ilvl w:val="0"/>
          <w:numId w:val="75"/>
        </w:numPr>
        <w:rPr>
          <w:rFonts w:cs="Arial"/>
        </w:rPr>
      </w:pPr>
      <w:r w:rsidRPr="00EA67AC">
        <w:rPr>
          <w:rFonts w:cs="Arial"/>
          <w:rtl/>
        </w:rPr>
        <w:t xml:space="preserve">רמב"ם </w:t>
      </w:r>
      <w:r w:rsidRPr="00EA67AC">
        <w:rPr>
          <w:rFonts w:cs="Arial" w:hint="cs"/>
          <w:sz w:val="16"/>
          <w:szCs w:val="16"/>
          <w:rtl/>
        </w:rPr>
        <w:t>(</w:t>
      </w:r>
      <w:r w:rsidRPr="00EA67AC">
        <w:rPr>
          <w:rFonts w:cs="Arial"/>
          <w:sz w:val="16"/>
          <w:szCs w:val="16"/>
          <w:rtl/>
        </w:rPr>
        <w:t>פ"ג מהל</w:t>
      </w:r>
      <w:r w:rsidRPr="00EA67AC">
        <w:rPr>
          <w:rFonts w:cs="Arial" w:hint="cs"/>
          <w:sz w:val="16"/>
          <w:szCs w:val="16"/>
          <w:rtl/>
        </w:rPr>
        <w:t>'</w:t>
      </w:r>
      <w:r w:rsidRPr="00EA67AC">
        <w:rPr>
          <w:rFonts w:cs="Arial"/>
          <w:sz w:val="16"/>
          <w:szCs w:val="16"/>
          <w:rtl/>
        </w:rPr>
        <w:t xml:space="preserve"> עדות ה"ד</w:t>
      </w:r>
      <w:r>
        <w:rPr>
          <w:rFonts w:cs="Arial" w:hint="cs"/>
          <w:sz w:val="16"/>
          <w:szCs w:val="16"/>
          <w:rtl/>
        </w:rPr>
        <w:t>, הביאוהו הטור והב"י</w:t>
      </w:r>
      <w:r w:rsidRPr="00EA67AC">
        <w:rPr>
          <w:rFonts w:cs="Arial"/>
          <w:sz w:val="16"/>
          <w:szCs w:val="16"/>
          <w:rtl/>
        </w:rPr>
        <w:t>)</w:t>
      </w:r>
      <w:r w:rsidRPr="00EA67AC">
        <w:rPr>
          <w:rFonts w:cs="Arial" w:hint="cs"/>
          <w:rtl/>
        </w:rPr>
        <w:t xml:space="preserve">- </w:t>
      </w:r>
      <w:r w:rsidRPr="00EA67AC">
        <w:rPr>
          <w:rFonts w:cs="Arial"/>
          <w:rtl/>
        </w:rPr>
        <w:t>דין תורה שאין מקבלין עדות לא בדיני ממונות ולא בדיני נפשות אלא מפי העדים שנאמר על פי שנים עדים מפיהם ולא מכתב ידן</w:t>
      </w:r>
      <w:r>
        <w:rPr>
          <w:rFonts w:cs="Arial" w:hint="cs"/>
          <w:rtl/>
        </w:rPr>
        <w:t>.</w:t>
      </w:r>
      <w:r w:rsidRPr="00EA67AC">
        <w:rPr>
          <w:rFonts w:cs="Arial"/>
          <w:rtl/>
        </w:rPr>
        <w:t xml:space="preserve"> אבל מדברי סופרים</w:t>
      </w:r>
      <w:r>
        <w:rPr>
          <w:rStyle w:val="ab"/>
          <w:rFonts w:cs="Arial"/>
          <w:rtl/>
        </w:rPr>
        <w:footnoteReference w:id="1461"/>
      </w:r>
      <w:r w:rsidRPr="00EA67AC">
        <w:rPr>
          <w:rFonts w:cs="Arial"/>
          <w:rtl/>
        </w:rPr>
        <w:t xml:space="preserve"> שחותכין דיני ממונות בעדות שבשטר אע</w:t>
      </w:r>
      <w:r>
        <w:rPr>
          <w:rFonts w:cs="Arial" w:hint="cs"/>
          <w:rtl/>
        </w:rPr>
        <w:t>"</w:t>
      </w:r>
      <w:r w:rsidRPr="00EA67AC">
        <w:rPr>
          <w:rFonts w:cs="Arial"/>
          <w:rtl/>
        </w:rPr>
        <w:t>פ שאין העדים קיימים כדי שלא תנעול דלת בפני לוין</w:t>
      </w:r>
      <w:r w:rsidRPr="00EA67AC">
        <w:rPr>
          <w:rFonts w:cs="Arial"/>
          <w:rtl/>
        </w:rPr>
        <w:softHyphen/>
      </w:r>
      <w:r w:rsidRPr="00EA67AC">
        <w:rPr>
          <w:rFonts w:cs="Arial" w:hint="cs"/>
          <w:sz w:val="16"/>
          <w:szCs w:val="16"/>
          <w:rtl/>
        </w:rPr>
        <w:t xml:space="preserve"> (ל' הרמב"ם)</w:t>
      </w:r>
      <w:r w:rsidRPr="00EA67AC">
        <w:rPr>
          <w:rFonts w:cs="Arial"/>
          <w:rtl/>
        </w:rPr>
        <w:t>.</w:t>
      </w:r>
      <w:r w:rsidRPr="00EA67AC">
        <w:rPr>
          <w:rFonts w:cs="Arial" w:hint="cs"/>
          <w:rtl/>
        </w:rPr>
        <w:t xml:space="preserve"> </w:t>
      </w:r>
      <w:r w:rsidRPr="00EA67AC">
        <w:rPr>
          <w:rFonts w:cs="Arial" w:hint="cs"/>
          <w:color w:val="E36C0A" w:themeColor="accent6" w:themeShade="BF"/>
          <w:rtl/>
        </w:rPr>
        <w:t>(וכ"פ בשו"ע)</w:t>
      </w:r>
    </w:p>
    <w:p w14:paraId="06476C82" w14:textId="77777777" w:rsidR="004B607F" w:rsidRPr="00F44BCC" w:rsidRDefault="004B607F" w:rsidP="004B0475">
      <w:pPr>
        <w:pStyle w:val="ac"/>
        <w:numPr>
          <w:ilvl w:val="0"/>
          <w:numId w:val="75"/>
        </w:numPr>
        <w:rPr>
          <w:rFonts w:cs="Arial"/>
          <w:rtl/>
        </w:rPr>
      </w:pPr>
      <w:r w:rsidRPr="00EA67AC">
        <w:rPr>
          <w:rFonts w:cs="Arial"/>
          <w:rtl/>
        </w:rPr>
        <w:t>הג</w:t>
      </w:r>
      <w:r w:rsidRPr="00EA67AC">
        <w:rPr>
          <w:rFonts w:cs="Arial" w:hint="cs"/>
          <w:rtl/>
        </w:rPr>
        <w:t>מ"ר</w:t>
      </w:r>
      <w:r w:rsidRPr="00EA67AC">
        <w:rPr>
          <w:rFonts w:cs="Arial"/>
          <w:rtl/>
        </w:rPr>
        <w:t xml:space="preserve"> </w:t>
      </w:r>
      <w:r w:rsidRPr="00EA67AC">
        <w:rPr>
          <w:rFonts w:cs="Arial" w:hint="cs"/>
          <w:sz w:val="16"/>
          <w:szCs w:val="16"/>
          <w:rtl/>
        </w:rPr>
        <w:t>(</w:t>
      </w:r>
      <w:r w:rsidRPr="00EA67AC">
        <w:rPr>
          <w:rFonts w:cs="Arial"/>
          <w:sz w:val="16"/>
          <w:szCs w:val="16"/>
          <w:rtl/>
        </w:rPr>
        <w:t>קדושין סי' תקע</w:t>
      </w:r>
      <w:r w:rsidRPr="00EA67AC">
        <w:rPr>
          <w:rFonts w:cs="Arial" w:hint="cs"/>
          <w:sz w:val="16"/>
          <w:szCs w:val="16"/>
          <w:rtl/>
        </w:rPr>
        <w:t xml:space="preserve">, </w:t>
      </w:r>
      <w:r>
        <w:rPr>
          <w:rFonts w:cs="Arial" w:hint="cs"/>
          <w:sz w:val="16"/>
          <w:szCs w:val="16"/>
          <w:rtl/>
        </w:rPr>
        <w:t>הביאו</w:t>
      </w:r>
      <w:r w:rsidRPr="00EA67AC">
        <w:rPr>
          <w:rFonts w:cs="Arial" w:hint="cs"/>
          <w:sz w:val="16"/>
          <w:szCs w:val="16"/>
          <w:rtl/>
        </w:rPr>
        <w:t xml:space="preserve"> הדרכ"מ [אות ו]</w:t>
      </w:r>
      <w:r w:rsidRPr="00EA67AC">
        <w:rPr>
          <w:rFonts w:cs="Arial"/>
          <w:sz w:val="16"/>
          <w:szCs w:val="16"/>
          <w:rtl/>
        </w:rPr>
        <w:t>)</w:t>
      </w:r>
      <w:r>
        <w:rPr>
          <w:rFonts w:cs="Arial" w:hint="cs"/>
          <w:rtl/>
        </w:rPr>
        <w:t xml:space="preserve"> בשם הרב אביגדור הכהן</w:t>
      </w:r>
      <w:r w:rsidRPr="00EA67AC">
        <w:rPr>
          <w:rFonts w:cs="Arial" w:hint="cs"/>
          <w:rtl/>
        </w:rPr>
        <w:t xml:space="preserve">- </w:t>
      </w:r>
      <w:r>
        <w:rPr>
          <w:rFonts w:cs="Arial" w:hint="cs"/>
          <w:rtl/>
        </w:rPr>
        <w:t>שטרי ממון הן יסוד נביאים ע"פ הגבורה דכתיב כתוב בספר וחתום והעד עדים, עשה הכתוב חתימת השטר כהעדאת עדים בפיהם</w:t>
      </w:r>
      <w:r>
        <w:rPr>
          <w:rStyle w:val="ab"/>
          <w:rFonts w:cs="Arial"/>
          <w:rtl/>
        </w:rPr>
        <w:footnoteReference w:id="1462"/>
      </w:r>
      <w:r w:rsidRPr="00EA67AC">
        <w:rPr>
          <w:rFonts w:cs="Arial" w:hint="cs"/>
          <w:rtl/>
        </w:rPr>
        <w:t>.</w:t>
      </w:r>
      <w:r>
        <w:rPr>
          <w:rFonts w:cs="Arial" w:hint="cs"/>
          <w:rtl/>
        </w:rPr>
        <w:t xml:space="preserve"> (וכ"כ בהגהות הסמ"ע</w:t>
      </w:r>
      <w:r>
        <w:rPr>
          <w:rFonts w:cs="Arial" w:hint="cs"/>
          <w:sz w:val="16"/>
          <w:szCs w:val="16"/>
          <w:rtl/>
        </w:rPr>
        <w:t xml:space="preserve"> [סקמ"ד]</w:t>
      </w:r>
      <w:r>
        <w:rPr>
          <w:rFonts w:cs="Arial" w:hint="cs"/>
          <w:rtl/>
        </w:rPr>
        <w:t>)</w:t>
      </w:r>
    </w:p>
    <w:p w14:paraId="7D1A7B8F" w14:textId="77777777" w:rsidR="004B607F" w:rsidRPr="003024E5" w:rsidRDefault="004B607F" w:rsidP="004B607F">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7C030FF6" w14:textId="77777777" w:rsidR="004B607F" w:rsidRDefault="004B607F" w:rsidP="004B607F">
      <w:pPr>
        <w:rPr>
          <w:rtl/>
        </w:rPr>
      </w:pPr>
      <w:r>
        <w:rPr>
          <w:rFonts w:cs="Arial"/>
          <w:rtl/>
        </w:rPr>
        <w:t>חותכין דיני ממונות בעדות שבשטר</w:t>
      </w:r>
      <w:r>
        <w:rPr>
          <w:rStyle w:val="ab"/>
          <w:rFonts w:cs="Arial"/>
          <w:rtl/>
        </w:rPr>
        <w:footnoteReference w:id="1463"/>
      </w:r>
      <w:r>
        <w:rPr>
          <w:rFonts w:cs="Arial"/>
          <w:rtl/>
        </w:rPr>
        <w:t xml:space="preserve">, אף על פי שאין העדים קיימין, כדי שלא תנעול דלת בפני לוין. </w:t>
      </w:r>
      <w:r>
        <w:rPr>
          <w:rFonts w:cs="Arial" w:hint="cs"/>
          <w:sz w:val="18"/>
          <w:szCs w:val="18"/>
          <w:rtl/>
        </w:rPr>
        <w:t xml:space="preserve">[הגה] </w:t>
      </w:r>
      <w:r w:rsidRPr="00221BFB">
        <w:rPr>
          <w:rFonts w:cs="Arial"/>
          <w:sz w:val="18"/>
          <w:szCs w:val="18"/>
          <w:rtl/>
        </w:rPr>
        <w:t>ועיין לקמן סימן ס"א סעיף ב' איזה דבר מקרי שטר, גם לקמן סימן מ"ו סעיף י'</w:t>
      </w:r>
      <w:r>
        <w:rPr>
          <w:rFonts w:cs="Arial" w:hint="cs"/>
          <w:sz w:val="18"/>
          <w:szCs w:val="18"/>
          <w:rtl/>
        </w:rPr>
        <w:t>.</w:t>
      </w:r>
      <w:r>
        <w:rPr>
          <w:rFonts w:cs="Arial"/>
          <w:rtl/>
        </w:rPr>
        <w:t xml:space="preserve"> </w:t>
      </w:r>
    </w:p>
    <w:p w14:paraId="1C8849AE" w14:textId="77777777" w:rsidR="004B607F" w:rsidRDefault="004B607F" w:rsidP="004B607F">
      <w:pPr>
        <w:rPr>
          <w:rtl/>
        </w:rPr>
      </w:pPr>
    </w:p>
    <w:p w14:paraId="337F4EAF" w14:textId="77777777" w:rsidR="004B607F" w:rsidRDefault="004B607F" w:rsidP="004B607F">
      <w:pPr>
        <w:pStyle w:val="2"/>
        <w:rPr>
          <w:rtl/>
        </w:rPr>
      </w:pPr>
      <w:bookmarkStart w:id="212" w:name="_Toc24883687"/>
      <w:r>
        <w:rPr>
          <w:rtl/>
        </w:rPr>
        <w:t>סעיף יג</w:t>
      </w:r>
      <w:r>
        <w:rPr>
          <w:rFonts w:hint="cs"/>
          <w:rtl/>
        </w:rPr>
        <w:t>:</w:t>
      </w:r>
      <w:r w:rsidRPr="002B07B9">
        <w:rPr>
          <w:rFonts w:cs="Arial" w:hint="cs"/>
          <w:rtl/>
        </w:rPr>
        <w:t xml:space="preserve"> </w:t>
      </w:r>
      <w:r>
        <w:rPr>
          <w:rFonts w:cs="Arial" w:hint="cs"/>
          <w:rtl/>
        </w:rPr>
        <w:t>עד כמה זמן יכול העד להעיד על עדות ישנה</w:t>
      </w:r>
      <w:r>
        <w:rPr>
          <w:rFonts w:hint="cs"/>
          <w:rtl/>
        </w:rPr>
        <w:t>.</w:t>
      </w:r>
      <w:bookmarkEnd w:id="212"/>
    </w:p>
    <w:p w14:paraId="35FA6B70" w14:textId="77777777" w:rsidR="004B607F" w:rsidRDefault="004B607F" w:rsidP="004B607F">
      <w:pPr>
        <w:rPr>
          <w:rFonts w:cs="Arial"/>
          <w:rtl/>
        </w:rPr>
      </w:pPr>
      <w:r>
        <w:rPr>
          <w:rFonts w:cs="Arial" w:hint="cs"/>
          <w:b/>
          <w:bCs/>
          <w:rtl/>
        </w:rPr>
        <w:t>יבמות</w:t>
      </w:r>
      <w:r w:rsidRPr="00175577">
        <w:rPr>
          <w:rFonts w:cs="Arial" w:hint="cs"/>
          <w:b/>
          <w:bCs/>
          <w:sz w:val="16"/>
          <w:szCs w:val="16"/>
          <w:rtl/>
        </w:rPr>
        <w:t xml:space="preserve"> (פ' ארבעה אחין) </w:t>
      </w:r>
      <w:r>
        <w:rPr>
          <w:rFonts w:cs="Arial" w:hint="cs"/>
          <w:b/>
          <w:bCs/>
          <w:rtl/>
        </w:rPr>
        <w:t>לא</w:t>
      </w:r>
      <w:r>
        <w:rPr>
          <w:rStyle w:val="ab"/>
          <w:rFonts w:cs="Arial"/>
          <w:b/>
          <w:bCs/>
          <w:rtl/>
        </w:rPr>
        <w:footnoteReference w:id="1464"/>
      </w:r>
      <w:r>
        <w:rPr>
          <w:rFonts w:cs="Arial" w:hint="cs"/>
          <w:b/>
          <w:bCs/>
          <w:rtl/>
        </w:rPr>
        <w:t xml:space="preserve"> ע"ב: </w:t>
      </w:r>
      <w:r w:rsidRPr="00175577">
        <w:rPr>
          <w:rFonts w:cs="Arial"/>
          <w:rtl/>
        </w:rPr>
        <w:t>ומפני מה לא תקנו זמן בקידושין?</w:t>
      </w:r>
      <w:r>
        <w:rPr>
          <w:rFonts w:cs="Arial" w:hint="cs"/>
          <w:rtl/>
        </w:rPr>
        <w:t>...</w:t>
      </w:r>
      <w:r w:rsidRPr="00175577">
        <w:rPr>
          <w:rFonts w:cs="Arial"/>
          <w:rtl/>
        </w:rPr>
        <w:t xml:space="preserve"> אב"א: משום דלא אפשר, היכי ליעביד? לינחה גבי דידה</w:t>
      </w:r>
      <w:r>
        <w:rPr>
          <w:rFonts w:cs="Arial" w:hint="cs"/>
          <w:rtl/>
        </w:rPr>
        <w:t>?</w:t>
      </w:r>
      <w:r w:rsidRPr="00175577">
        <w:rPr>
          <w:rFonts w:cs="Arial"/>
          <w:rtl/>
        </w:rPr>
        <w:t xml:space="preserve"> מחקה ליה</w:t>
      </w:r>
      <w:r>
        <w:rPr>
          <w:rFonts w:cs="Arial" w:hint="cs"/>
          <w:rtl/>
        </w:rPr>
        <w:t>.</w:t>
      </w:r>
      <w:r w:rsidRPr="00175577">
        <w:rPr>
          <w:rFonts w:cs="Arial"/>
          <w:rtl/>
        </w:rPr>
        <w:t xml:space="preserve"> לינחה גבי דידיה</w:t>
      </w:r>
      <w:r>
        <w:rPr>
          <w:rFonts w:cs="Arial" w:hint="cs"/>
          <w:rtl/>
        </w:rPr>
        <w:t>?</w:t>
      </w:r>
      <w:r w:rsidRPr="00175577">
        <w:rPr>
          <w:rFonts w:cs="Arial"/>
          <w:rtl/>
        </w:rPr>
        <w:t xml:space="preserve"> זמנין דבת אחותו היא ומחפה עלה</w:t>
      </w:r>
      <w:r>
        <w:rPr>
          <w:rFonts w:cs="Arial" w:hint="cs"/>
          <w:rtl/>
        </w:rPr>
        <w:t>.</w:t>
      </w:r>
      <w:r w:rsidRPr="00175577">
        <w:rPr>
          <w:rFonts w:cs="Arial"/>
          <w:rtl/>
        </w:rPr>
        <w:t xml:space="preserve"> לינחה גבי עדים</w:t>
      </w:r>
      <w:r>
        <w:rPr>
          <w:rFonts w:cs="Arial" w:hint="cs"/>
          <w:rtl/>
        </w:rPr>
        <w:t>?</w:t>
      </w:r>
      <w:r w:rsidRPr="00175577">
        <w:rPr>
          <w:rFonts w:cs="Arial"/>
          <w:rtl/>
        </w:rPr>
        <w:t xml:space="preserve"> אי דזכירי ליתו ליסהוד, ואי לא - זמנין דחזו מכתבא ואתו מסהדי, ורחמנא אמר: מפיהם ולא מפי כתבם. </w:t>
      </w:r>
    </w:p>
    <w:p w14:paraId="62F875B0" w14:textId="77777777" w:rsidR="004B607F" w:rsidRDefault="004B607F" w:rsidP="004B607F">
      <w:pPr>
        <w:rPr>
          <w:rFonts w:cs="Arial"/>
          <w:rtl/>
        </w:rPr>
      </w:pPr>
      <w:r>
        <w:rPr>
          <w:rFonts w:cs="Arial" w:hint="cs"/>
          <w:b/>
          <w:bCs/>
          <w:rtl/>
        </w:rPr>
        <w:t>כתובות</w:t>
      </w:r>
      <w:r w:rsidRPr="00B23076">
        <w:rPr>
          <w:rFonts w:cs="Arial" w:hint="cs"/>
          <w:b/>
          <w:bCs/>
          <w:sz w:val="16"/>
          <w:szCs w:val="16"/>
          <w:rtl/>
        </w:rPr>
        <w:t xml:space="preserve"> (פ"ב)</w:t>
      </w:r>
      <w:r>
        <w:rPr>
          <w:rFonts w:cs="Arial" w:hint="cs"/>
          <w:b/>
          <w:bCs/>
          <w:rtl/>
        </w:rPr>
        <w:t xml:space="preserve"> כ</w:t>
      </w:r>
      <w:r>
        <w:rPr>
          <w:rStyle w:val="ab"/>
          <w:rFonts w:cs="Arial"/>
          <w:b/>
          <w:bCs/>
          <w:rtl/>
        </w:rPr>
        <w:footnoteReference w:id="1465"/>
      </w:r>
      <w:r>
        <w:rPr>
          <w:rFonts w:cs="Arial" w:hint="cs"/>
          <w:b/>
          <w:bCs/>
          <w:rtl/>
        </w:rPr>
        <w:t xml:space="preserve"> ע"א:</w:t>
      </w:r>
      <w:r w:rsidRPr="005139C3">
        <w:rPr>
          <w:rFonts w:cs="Arial"/>
          <w:rtl/>
        </w:rPr>
        <w:t xml:space="preserve"> </w:t>
      </w:r>
      <w:r w:rsidRPr="00A73441">
        <w:rPr>
          <w:rFonts w:cs="Arial"/>
          <w:rtl/>
        </w:rPr>
        <w:t>ת"ר: כותב אדם עדותו על השטר, ומעיד</w:t>
      </w:r>
      <w:r>
        <w:rPr>
          <w:rStyle w:val="ab"/>
          <w:rFonts w:cs="Arial"/>
          <w:rtl/>
        </w:rPr>
        <w:footnoteReference w:id="1466"/>
      </w:r>
      <w:r w:rsidRPr="00A73441">
        <w:rPr>
          <w:rFonts w:cs="Arial"/>
          <w:rtl/>
        </w:rPr>
        <w:t xml:space="preserve"> עליה אפילו לאחר כמה שנים. </w:t>
      </w:r>
      <w:r w:rsidRPr="00C06486">
        <w:rPr>
          <w:rFonts w:cs="Arial"/>
          <w:u w:val="single"/>
          <w:rtl/>
        </w:rPr>
        <w:t>אמר רב הונא</w:t>
      </w:r>
      <w:r w:rsidRPr="00A73441">
        <w:rPr>
          <w:rFonts w:cs="Arial"/>
          <w:rtl/>
        </w:rPr>
        <w:t>: והוא, שזוכרה מעצמו</w:t>
      </w:r>
      <w:r>
        <w:rPr>
          <w:rStyle w:val="ab"/>
          <w:rFonts w:cs="Arial"/>
          <w:rtl/>
        </w:rPr>
        <w:footnoteReference w:id="1467"/>
      </w:r>
      <w:r>
        <w:rPr>
          <w:rFonts w:cs="Arial" w:hint="cs"/>
          <w:rtl/>
        </w:rPr>
        <w:t>.</w:t>
      </w:r>
      <w:r w:rsidRPr="00A73441">
        <w:rPr>
          <w:rFonts w:cs="Arial"/>
          <w:rtl/>
        </w:rPr>
        <w:t xml:space="preserve"> </w:t>
      </w:r>
      <w:r w:rsidRPr="00C06486">
        <w:rPr>
          <w:rFonts w:cs="Arial"/>
          <w:u w:val="single"/>
          <w:rtl/>
        </w:rPr>
        <w:t>רבי יוחנן אמר</w:t>
      </w:r>
      <w:r w:rsidRPr="00A73441">
        <w:rPr>
          <w:rFonts w:cs="Arial"/>
          <w:rtl/>
        </w:rPr>
        <w:t>: אף על פי שאין זוכרה מעצמו</w:t>
      </w:r>
      <w:r>
        <w:rPr>
          <w:rStyle w:val="ab"/>
          <w:rFonts w:cs="Arial"/>
          <w:rtl/>
        </w:rPr>
        <w:footnoteReference w:id="1468"/>
      </w:r>
      <w:r w:rsidRPr="00A73441">
        <w:rPr>
          <w:rFonts w:cs="Arial"/>
          <w:rtl/>
        </w:rPr>
        <w:t xml:space="preserve">. </w:t>
      </w:r>
      <w:r w:rsidRPr="00C06486">
        <w:rPr>
          <w:rFonts w:cs="Arial"/>
          <w:u w:val="single"/>
          <w:rtl/>
        </w:rPr>
        <w:t>אמר רבה</w:t>
      </w:r>
      <w:r w:rsidRPr="00A73441">
        <w:rPr>
          <w:rFonts w:cs="Arial"/>
          <w:rtl/>
        </w:rPr>
        <w:t xml:space="preserve">: ש"מ מדרבי יוחנן, הני בי תרי דידעי </w:t>
      </w:r>
      <w:r w:rsidRPr="00A73441">
        <w:rPr>
          <w:rFonts w:cs="Arial"/>
          <w:rtl/>
        </w:rPr>
        <w:lastRenderedPageBreak/>
        <w:t>סהדותא ומנשי חד מנייהו, מדכר חד לחבריה</w:t>
      </w:r>
      <w:r>
        <w:rPr>
          <w:rStyle w:val="ab"/>
          <w:rFonts w:cs="Arial"/>
          <w:rtl/>
        </w:rPr>
        <w:footnoteReference w:id="1469"/>
      </w:r>
      <w:r>
        <w:rPr>
          <w:rFonts w:cs="Arial" w:hint="cs"/>
          <w:rtl/>
        </w:rPr>
        <w:t>...</w:t>
      </w:r>
      <w:r w:rsidRPr="00A73441">
        <w:rPr>
          <w:rFonts w:cs="Arial"/>
          <w:rtl/>
        </w:rPr>
        <w:t xml:space="preserve"> </w:t>
      </w:r>
      <w:r>
        <w:rPr>
          <w:rFonts w:cs="Arial" w:hint="cs"/>
          <w:sz w:val="14"/>
          <w:szCs w:val="14"/>
          <w:rtl/>
        </w:rPr>
        <w:t>(כ:)</w:t>
      </w:r>
      <w:r w:rsidRPr="00C06486">
        <w:rPr>
          <w:rFonts w:cs="Arial"/>
          <w:rtl/>
        </w:rPr>
        <w:t xml:space="preserve"> </w:t>
      </w:r>
      <w:r w:rsidRPr="00E4683B">
        <w:rPr>
          <w:rFonts w:cs="Arial"/>
          <w:rtl/>
        </w:rPr>
        <w:t>תנן התם: התלוליות</w:t>
      </w:r>
      <w:r>
        <w:rPr>
          <w:rStyle w:val="ab"/>
          <w:rFonts w:cs="Arial"/>
          <w:rtl/>
        </w:rPr>
        <w:footnoteReference w:id="1470"/>
      </w:r>
      <w:r w:rsidRPr="00E4683B">
        <w:rPr>
          <w:rFonts w:cs="Arial"/>
          <w:rtl/>
        </w:rPr>
        <w:t xml:space="preserve"> הקרובות, בין לעיר ובין לדרך, אחד חדשות ואחד ישנות </w:t>
      </w:r>
      <w:r>
        <w:rPr>
          <w:rFonts w:cs="Arial"/>
          <w:rtl/>
        </w:rPr>
        <w:t>–</w:t>
      </w:r>
      <w:r w:rsidRPr="00E4683B">
        <w:rPr>
          <w:rFonts w:cs="Arial"/>
          <w:rtl/>
        </w:rPr>
        <w:t xml:space="preserve"> טמאות</w:t>
      </w:r>
      <w:r>
        <w:rPr>
          <w:rFonts w:cs="Arial" w:hint="cs"/>
          <w:rtl/>
        </w:rPr>
        <w:t>.</w:t>
      </w:r>
      <w:r w:rsidRPr="00E4683B">
        <w:rPr>
          <w:rFonts w:cs="Arial"/>
          <w:rtl/>
        </w:rPr>
        <w:t xml:space="preserve"> הרחוקות, חדשות - טהורות, ישנות - טמאות. איזוהי קרובה? חמשים אמה</w:t>
      </w:r>
      <w:r>
        <w:rPr>
          <w:rFonts w:cs="Arial" w:hint="cs"/>
          <w:rtl/>
        </w:rPr>
        <w:t>.</w:t>
      </w:r>
      <w:r w:rsidRPr="00E4683B">
        <w:rPr>
          <w:rFonts w:cs="Arial"/>
          <w:rtl/>
        </w:rPr>
        <w:t xml:space="preserve"> ואיזו היא ישנה? ששים שנה, </w:t>
      </w:r>
      <w:r w:rsidRPr="00B23076">
        <w:rPr>
          <w:rFonts w:cs="Arial"/>
          <w:u w:val="single"/>
          <w:rtl/>
        </w:rPr>
        <w:t>דברי ר"מ</w:t>
      </w:r>
      <w:r>
        <w:rPr>
          <w:rFonts w:cs="Arial" w:hint="cs"/>
          <w:rtl/>
        </w:rPr>
        <w:t>.</w:t>
      </w:r>
      <w:r w:rsidRPr="00E4683B">
        <w:rPr>
          <w:rFonts w:cs="Arial"/>
          <w:rtl/>
        </w:rPr>
        <w:t xml:space="preserve"> </w:t>
      </w:r>
      <w:r w:rsidRPr="00B23076">
        <w:rPr>
          <w:rFonts w:cs="Arial"/>
          <w:u w:val="single"/>
          <w:rtl/>
        </w:rPr>
        <w:t>רבי יהודה אומר</w:t>
      </w:r>
      <w:r w:rsidRPr="00E4683B">
        <w:rPr>
          <w:rFonts w:cs="Arial"/>
          <w:rtl/>
        </w:rPr>
        <w:t>: קרובה - שאין קרובה הימנה</w:t>
      </w:r>
      <w:r>
        <w:rPr>
          <w:rFonts w:cs="Arial" w:hint="cs"/>
          <w:rtl/>
        </w:rPr>
        <w:t>.</w:t>
      </w:r>
      <w:r w:rsidRPr="00E4683B">
        <w:rPr>
          <w:rFonts w:cs="Arial"/>
          <w:rtl/>
        </w:rPr>
        <w:t xml:space="preserve"> ישנה - שאין אדם זוכרה</w:t>
      </w:r>
      <w:r>
        <w:rPr>
          <w:rStyle w:val="ab"/>
          <w:rFonts w:cs="Arial"/>
          <w:rtl/>
        </w:rPr>
        <w:footnoteReference w:id="1471"/>
      </w:r>
      <w:r w:rsidRPr="00E4683B">
        <w:rPr>
          <w:rFonts w:cs="Arial"/>
          <w:rtl/>
        </w:rPr>
        <w:t>.</w:t>
      </w:r>
      <w:r>
        <w:rPr>
          <w:rFonts w:cs="Arial" w:hint="cs"/>
          <w:rtl/>
        </w:rPr>
        <w:t>.</w:t>
      </w:r>
      <w:r w:rsidRPr="00E4683B">
        <w:rPr>
          <w:rFonts w:cs="Arial"/>
          <w:rtl/>
        </w:rPr>
        <w:t xml:space="preserve">. </w:t>
      </w:r>
      <w:r w:rsidRPr="00B23076">
        <w:rPr>
          <w:rFonts w:cs="Arial"/>
          <w:u w:val="single"/>
          <w:rtl/>
        </w:rPr>
        <w:t>אמר רב חסדא</w:t>
      </w:r>
      <w:r w:rsidRPr="00E4683B">
        <w:rPr>
          <w:rFonts w:cs="Arial"/>
          <w:rtl/>
        </w:rPr>
        <w:t>: ש"מ</w:t>
      </w:r>
      <w:r>
        <w:rPr>
          <w:rStyle w:val="ab"/>
          <w:rFonts w:cs="Arial"/>
          <w:rtl/>
        </w:rPr>
        <w:footnoteReference w:id="1472"/>
      </w:r>
      <w:r w:rsidRPr="00E4683B">
        <w:rPr>
          <w:rFonts w:cs="Arial"/>
          <w:rtl/>
        </w:rPr>
        <w:t xml:space="preserve"> מרבי מאיר, האי סהדותא, עד שיתין שנין מידכר, טפי לא מידכר. ולא היא, התם הוא דלא רמיא עליה, אבל הכא</w:t>
      </w:r>
      <w:r>
        <w:rPr>
          <w:rStyle w:val="ab"/>
          <w:rFonts w:cs="Arial"/>
          <w:rtl/>
        </w:rPr>
        <w:footnoteReference w:id="1473"/>
      </w:r>
      <w:r w:rsidRPr="00E4683B">
        <w:rPr>
          <w:rFonts w:cs="Arial"/>
          <w:rtl/>
        </w:rPr>
        <w:t xml:space="preserve"> כיון דרמי עליה - אפילו טובא נמי.</w:t>
      </w:r>
    </w:p>
    <w:p w14:paraId="70C7BE25" w14:textId="77777777" w:rsidR="004B607F" w:rsidRPr="002B07B9" w:rsidRDefault="004B607F" w:rsidP="004B607F">
      <w:pPr>
        <w:rPr>
          <w:rFonts w:cs="Arial"/>
          <w:u w:val="single"/>
          <w:rtl/>
        </w:rPr>
      </w:pPr>
      <w:r w:rsidRPr="002B07B9">
        <w:rPr>
          <w:rFonts w:cs="Arial" w:hint="cs"/>
          <w:u w:val="single"/>
          <w:rtl/>
        </w:rPr>
        <w:t>עד כמה זמן יכול העד להעיד על עדות ישנה:</w:t>
      </w:r>
    </w:p>
    <w:p w14:paraId="39D69025" w14:textId="77777777" w:rsidR="004B607F" w:rsidRDefault="004B607F" w:rsidP="004B0475">
      <w:pPr>
        <w:pStyle w:val="ac"/>
        <w:numPr>
          <w:ilvl w:val="0"/>
          <w:numId w:val="73"/>
        </w:numPr>
        <w:rPr>
          <w:rFonts w:cs="Arial"/>
        </w:rPr>
      </w:pPr>
      <w:r>
        <w:rPr>
          <w:rFonts w:cs="Arial"/>
          <w:rtl/>
        </w:rPr>
        <w:t xml:space="preserve">רא"ש </w:t>
      </w:r>
      <w:r w:rsidRPr="004C7A41">
        <w:rPr>
          <w:rFonts w:cs="Arial" w:hint="cs"/>
          <w:sz w:val="16"/>
          <w:szCs w:val="16"/>
          <w:rtl/>
        </w:rPr>
        <w:t>(</w:t>
      </w:r>
      <w:r w:rsidRPr="004C7A41">
        <w:rPr>
          <w:rFonts w:cs="Arial"/>
          <w:sz w:val="16"/>
          <w:szCs w:val="16"/>
          <w:rtl/>
        </w:rPr>
        <w:t>פ"ב דכתובות סי' טז)</w:t>
      </w:r>
      <w:r>
        <w:rPr>
          <w:rFonts w:cs="Arial" w:hint="cs"/>
          <w:rtl/>
        </w:rPr>
        <w:t xml:space="preserve"> ו</w:t>
      </w:r>
      <w:r w:rsidRPr="002B07B9">
        <w:rPr>
          <w:rFonts w:cs="Arial"/>
          <w:rtl/>
        </w:rPr>
        <w:t>ט</w:t>
      </w:r>
      <w:r w:rsidRPr="002B07B9">
        <w:rPr>
          <w:rFonts w:cs="Arial" w:hint="cs"/>
          <w:rtl/>
        </w:rPr>
        <w:t>ור-</w:t>
      </w:r>
      <w:r w:rsidRPr="002B07B9">
        <w:rPr>
          <w:rFonts w:cs="Arial"/>
          <w:rtl/>
        </w:rPr>
        <w:t xml:space="preserve"> כל זמן שזוכר האדם העדות </w:t>
      </w:r>
      <w:r>
        <w:rPr>
          <w:rFonts w:cs="Arial" w:hint="cs"/>
          <w:rtl/>
        </w:rPr>
        <w:t xml:space="preserve">- </w:t>
      </w:r>
      <w:r w:rsidRPr="002B07B9">
        <w:rPr>
          <w:rFonts w:cs="Arial"/>
          <w:rtl/>
        </w:rPr>
        <w:t>יכול להגיד לעולם</w:t>
      </w:r>
      <w:r>
        <w:rPr>
          <w:rFonts w:cs="Arial" w:hint="cs"/>
          <w:rtl/>
        </w:rPr>
        <w:t>.</w:t>
      </w:r>
      <w:r w:rsidRPr="002B07B9">
        <w:rPr>
          <w:rFonts w:cs="Arial"/>
          <w:rtl/>
        </w:rPr>
        <w:t xml:space="preserve"> ואין לו לחוש אולי נתיישן הדבר ואינו זוכר הדבר על בוריו</w:t>
      </w:r>
      <w:r>
        <w:rPr>
          <w:rFonts w:cs="Arial" w:hint="cs"/>
          <w:rtl/>
        </w:rPr>
        <w:t>,</w:t>
      </w:r>
      <w:r w:rsidRPr="002B07B9">
        <w:rPr>
          <w:rFonts w:cs="Arial"/>
          <w:rtl/>
        </w:rPr>
        <w:t xml:space="preserve"> אלא כל כמה דרמי אנפשיה ומידכר </w:t>
      </w:r>
      <w:r>
        <w:rPr>
          <w:rFonts w:cs="Arial" w:hint="cs"/>
          <w:rtl/>
        </w:rPr>
        <w:t xml:space="preserve">- </w:t>
      </w:r>
      <w:r w:rsidRPr="002B07B9">
        <w:rPr>
          <w:rFonts w:cs="Arial"/>
          <w:rtl/>
        </w:rPr>
        <w:t>יכול להעיד</w:t>
      </w:r>
      <w:r>
        <w:rPr>
          <w:rFonts w:cs="Arial" w:hint="cs"/>
          <w:sz w:val="16"/>
          <w:szCs w:val="16"/>
          <w:rtl/>
        </w:rPr>
        <w:t xml:space="preserve"> (ל' הטור)</w:t>
      </w:r>
      <w:r>
        <w:rPr>
          <w:rStyle w:val="ab"/>
          <w:rFonts w:cs="Arial"/>
          <w:rtl/>
        </w:rPr>
        <w:footnoteReference w:id="1474"/>
      </w:r>
      <w:r w:rsidRPr="002B07B9">
        <w:rPr>
          <w:rFonts w:cs="Arial"/>
          <w:rtl/>
        </w:rPr>
        <w:t>.</w:t>
      </w:r>
      <w:r w:rsidRPr="00EA67AC">
        <w:rPr>
          <w:rFonts w:cs="Arial" w:hint="cs"/>
          <w:color w:val="E36C0A" w:themeColor="accent6" w:themeShade="BF"/>
          <w:rtl/>
        </w:rPr>
        <w:t xml:space="preserve"> (וכ"פ בשו"ע)</w:t>
      </w:r>
    </w:p>
    <w:p w14:paraId="7764BB46" w14:textId="77777777" w:rsidR="004B607F" w:rsidRPr="00F40623" w:rsidRDefault="004B607F" w:rsidP="004B607F">
      <w:pPr>
        <w:ind w:left="360"/>
        <w:rPr>
          <w:rFonts w:cs="Arial"/>
          <w:u w:val="dotted"/>
          <w:rtl/>
        </w:rPr>
      </w:pPr>
      <w:r w:rsidRPr="00F40623">
        <w:rPr>
          <w:rFonts w:cs="Arial" w:hint="cs"/>
          <w:u w:val="dotted"/>
          <w:rtl/>
        </w:rPr>
        <w:t>ומה הדין אם אינו זוכר עדות זו אלא מתוך הכתב:</w:t>
      </w:r>
    </w:p>
    <w:p w14:paraId="6E71527B" w14:textId="77777777" w:rsidR="004B607F" w:rsidRPr="00695DDB" w:rsidRDefault="004B607F" w:rsidP="004B0475">
      <w:pPr>
        <w:pStyle w:val="ac"/>
        <w:numPr>
          <w:ilvl w:val="0"/>
          <w:numId w:val="73"/>
        </w:numPr>
        <w:rPr>
          <w:rFonts w:cs="Arial"/>
          <w:rtl/>
        </w:rPr>
      </w:pPr>
      <w:r w:rsidRPr="00C06486">
        <w:rPr>
          <w:rFonts w:cs="Arial"/>
          <w:rtl/>
        </w:rPr>
        <w:t xml:space="preserve">רש"י </w:t>
      </w:r>
      <w:r>
        <w:rPr>
          <w:rFonts w:cs="Arial" w:hint="cs"/>
          <w:sz w:val="16"/>
          <w:szCs w:val="16"/>
          <w:rtl/>
        </w:rPr>
        <w:t xml:space="preserve">(כתובות כ. ד"ה אע"פ) </w:t>
      </w:r>
      <w:r w:rsidRPr="00C06486">
        <w:rPr>
          <w:rFonts w:cs="Arial"/>
          <w:rtl/>
        </w:rPr>
        <w:t xml:space="preserve">רי"ף </w:t>
      </w:r>
      <w:r w:rsidRPr="00695DDB">
        <w:rPr>
          <w:rFonts w:cs="Arial"/>
          <w:sz w:val="16"/>
          <w:szCs w:val="16"/>
          <w:rtl/>
        </w:rPr>
        <w:t xml:space="preserve">(ז:) </w:t>
      </w:r>
      <w:r w:rsidRPr="00C06486">
        <w:rPr>
          <w:rFonts w:cs="Arial"/>
          <w:rtl/>
        </w:rPr>
        <w:t xml:space="preserve">רא"ש </w:t>
      </w:r>
      <w:r w:rsidRPr="00695DDB">
        <w:rPr>
          <w:rFonts w:cs="Arial"/>
          <w:sz w:val="16"/>
          <w:szCs w:val="16"/>
          <w:rtl/>
        </w:rPr>
        <w:t>(שם)</w:t>
      </w:r>
      <w:r w:rsidRPr="00695DDB">
        <w:rPr>
          <w:rFonts w:cs="Arial" w:hint="cs"/>
          <w:sz w:val="16"/>
          <w:szCs w:val="16"/>
          <w:rtl/>
        </w:rPr>
        <w:t xml:space="preserve"> </w:t>
      </w:r>
      <w:r>
        <w:rPr>
          <w:rFonts w:cs="Arial" w:hint="cs"/>
          <w:rtl/>
        </w:rPr>
        <w:t>וטור-</w:t>
      </w:r>
      <w:r w:rsidRPr="00274C48">
        <w:rPr>
          <w:rFonts w:cs="Arial"/>
          <w:rtl/>
        </w:rPr>
        <w:t xml:space="preserve"> </w:t>
      </w:r>
      <w:r w:rsidRPr="005139C3">
        <w:rPr>
          <w:rFonts w:cs="Arial"/>
          <w:rtl/>
        </w:rPr>
        <w:t>אפילו אינו נזכר לעדות אלא מתוך הכתב</w:t>
      </w:r>
      <w:r>
        <w:rPr>
          <w:rFonts w:cs="Arial" w:hint="cs"/>
          <w:rtl/>
        </w:rPr>
        <w:t xml:space="preserve">, </w:t>
      </w:r>
      <w:r w:rsidRPr="005139C3">
        <w:rPr>
          <w:rFonts w:cs="Arial"/>
          <w:rtl/>
        </w:rPr>
        <w:t>שכשמסרוהו לו כ</w:t>
      </w:r>
      <w:r>
        <w:rPr>
          <w:rFonts w:cs="Arial" w:hint="cs"/>
          <w:rtl/>
        </w:rPr>
        <w:t>ְּ</w:t>
      </w:r>
      <w:r w:rsidRPr="005139C3">
        <w:rPr>
          <w:rFonts w:cs="Arial"/>
          <w:rtl/>
        </w:rPr>
        <w:t>ת</w:t>
      </w:r>
      <w:r>
        <w:rPr>
          <w:rFonts w:cs="Arial" w:hint="cs"/>
          <w:rtl/>
        </w:rPr>
        <w:t>ָ</w:t>
      </w:r>
      <w:r w:rsidRPr="005139C3">
        <w:rPr>
          <w:rFonts w:cs="Arial"/>
          <w:rtl/>
        </w:rPr>
        <w:t>בו</w:t>
      </w:r>
      <w:r>
        <w:rPr>
          <w:rFonts w:cs="Arial" w:hint="cs"/>
          <w:rtl/>
        </w:rPr>
        <w:t>ֹ</w:t>
      </w:r>
      <w:r w:rsidRPr="005139C3">
        <w:rPr>
          <w:rFonts w:cs="Arial"/>
          <w:rtl/>
        </w:rPr>
        <w:t xml:space="preserve"> בפנקסו לזכרון דברים </w:t>
      </w:r>
      <w:r>
        <w:rPr>
          <w:rFonts w:cs="Arial" w:hint="cs"/>
          <w:rtl/>
        </w:rPr>
        <w:t>'</w:t>
      </w:r>
      <w:r w:rsidRPr="005139C3">
        <w:rPr>
          <w:rFonts w:cs="Arial"/>
          <w:rtl/>
        </w:rPr>
        <w:t>פלוני העיד אותי עליו ביום פלוני כך וכך</w:t>
      </w:r>
      <w:r>
        <w:rPr>
          <w:rFonts w:cs="Arial" w:hint="cs"/>
          <w:rtl/>
        </w:rPr>
        <w:t>'</w:t>
      </w:r>
      <w:r w:rsidRPr="005139C3">
        <w:rPr>
          <w:rFonts w:cs="Arial"/>
          <w:rtl/>
        </w:rPr>
        <w:t xml:space="preserve"> ושכח הדבר ואינו נזכר אלא מתוך הכתב </w:t>
      </w:r>
      <w:r>
        <w:rPr>
          <w:rFonts w:cs="Arial" w:hint="cs"/>
          <w:rtl/>
        </w:rPr>
        <w:t xml:space="preserve">- </w:t>
      </w:r>
      <w:r w:rsidRPr="005139C3">
        <w:rPr>
          <w:rFonts w:cs="Arial"/>
          <w:rtl/>
        </w:rPr>
        <w:t>יכול להעיד</w:t>
      </w:r>
      <w:r>
        <w:rPr>
          <w:rStyle w:val="ab"/>
          <w:rFonts w:cs="Arial"/>
          <w:rtl/>
        </w:rPr>
        <w:footnoteReference w:id="1475"/>
      </w:r>
      <w:r>
        <w:rPr>
          <w:rFonts w:cs="Arial" w:hint="cs"/>
          <w:sz w:val="16"/>
          <w:szCs w:val="16"/>
          <w:rtl/>
        </w:rPr>
        <w:t>(ל' הטור)</w:t>
      </w:r>
      <w:r>
        <w:rPr>
          <w:rFonts w:cs="Arial" w:hint="cs"/>
          <w:rtl/>
        </w:rPr>
        <w:t>.</w:t>
      </w:r>
    </w:p>
    <w:p w14:paraId="0C7621D0" w14:textId="77777777" w:rsidR="004B607F" w:rsidRDefault="004B607F" w:rsidP="004B0475">
      <w:pPr>
        <w:pStyle w:val="ac"/>
        <w:numPr>
          <w:ilvl w:val="0"/>
          <w:numId w:val="73"/>
        </w:numPr>
        <w:rPr>
          <w:rFonts w:cs="Arial"/>
        </w:rPr>
      </w:pPr>
      <w:r w:rsidRPr="00C06486">
        <w:rPr>
          <w:rFonts w:cs="Arial"/>
          <w:rtl/>
        </w:rPr>
        <w:t xml:space="preserve">רמב"ם </w:t>
      </w:r>
      <w:r w:rsidRPr="00274C48">
        <w:rPr>
          <w:rFonts w:cs="Arial" w:hint="cs"/>
          <w:sz w:val="16"/>
          <w:szCs w:val="16"/>
          <w:rtl/>
        </w:rPr>
        <w:t>(</w:t>
      </w:r>
      <w:r w:rsidRPr="00274C48">
        <w:rPr>
          <w:rFonts w:cs="Arial"/>
          <w:sz w:val="16"/>
          <w:szCs w:val="16"/>
          <w:rtl/>
        </w:rPr>
        <w:t>פ"ח מהל</w:t>
      </w:r>
      <w:r w:rsidRPr="00274C48">
        <w:rPr>
          <w:rFonts w:cs="Arial" w:hint="cs"/>
          <w:sz w:val="16"/>
          <w:szCs w:val="16"/>
          <w:rtl/>
        </w:rPr>
        <w:t>'</w:t>
      </w:r>
      <w:r w:rsidRPr="00274C48">
        <w:rPr>
          <w:rFonts w:cs="Arial"/>
          <w:sz w:val="16"/>
          <w:szCs w:val="16"/>
          <w:rtl/>
        </w:rPr>
        <w:t xml:space="preserve"> עדות ה"ה)</w:t>
      </w:r>
      <w:r w:rsidRPr="00C06486">
        <w:rPr>
          <w:rFonts w:cs="Arial" w:hint="cs"/>
          <w:rtl/>
        </w:rPr>
        <w:t xml:space="preserve">- </w:t>
      </w:r>
      <w:r w:rsidRPr="00695DDB">
        <w:rPr>
          <w:rFonts w:cs="Arial"/>
          <w:rtl/>
        </w:rPr>
        <w:t xml:space="preserve">אחד הכותב עדותו על השטר, או שנמצא אצלו כתוב בפנקסו בכתב ידו </w:t>
      </w:r>
      <w:r>
        <w:rPr>
          <w:rFonts w:cs="Arial" w:hint="cs"/>
          <w:rtl/>
        </w:rPr>
        <w:t>'</w:t>
      </w:r>
      <w:r w:rsidRPr="00695DDB">
        <w:rPr>
          <w:rFonts w:cs="Arial"/>
          <w:rtl/>
        </w:rPr>
        <w:t>פלוני העיד אותי עליו ביום פלוני בכך וכך</w:t>
      </w:r>
      <w:r>
        <w:rPr>
          <w:rFonts w:cs="Arial" w:hint="cs"/>
          <w:rtl/>
        </w:rPr>
        <w:t>'</w:t>
      </w:r>
      <w:r w:rsidRPr="00695DDB">
        <w:rPr>
          <w:rFonts w:cs="Arial"/>
          <w:rtl/>
        </w:rPr>
        <w:t>, אם זכר מעצמו או הזכירוהו אחרים ונזכר</w:t>
      </w:r>
      <w:r>
        <w:rPr>
          <w:rFonts w:cs="Arial" w:hint="cs"/>
          <w:rtl/>
        </w:rPr>
        <w:t xml:space="preserve"> -</w:t>
      </w:r>
      <w:r w:rsidRPr="00695DDB">
        <w:rPr>
          <w:rFonts w:cs="Arial"/>
          <w:rtl/>
        </w:rPr>
        <w:t xml:space="preserve"> מעיד</w:t>
      </w:r>
      <w:r>
        <w:rPr>
          <w:rFonts w:cs="Arial" w:hint="cs"/>
          <w:rtl/>
        </w:rPr>
        <w:t>,</w:t>
      </w:r>
      <w:r w:rsidRPr="00E75B93">
        <w:rPr>
          <w:rFonts w:cs="Arial"/>
          <w:rtl/>
        </w:rPr>
        <w:t xml:space="preserve"> </w:t>
      </w:r>
      <w:r w:rsidRPr="00695DDB">
        <w:rPr>
          <w:rFonts w:cs="Arial"/>
          <w:rtl/>
        </w:rPr>
        <w:t xml:space="preserve">ואם לאו </w:t>
      </w:r>
      <w:r>
        <w:rPr>
          <w:rFonts w:cs="Arial" w:hint="cs"/>
          <w:rtl/>
        </w:rPr>
        <w:t xml:space="preserve">- </w:t>
      </w:r>
      <w:r w:rsidRPr="00695DDB">
        <w:rPr>
          <w:rFonts w:cs="Arial"/>
          <w:rtl/>
        </w:rPr>
        <w:t xml:space="preserve">אסור להעיד, </w:t>
      </w:r>
      <w:r w:rsidRPr="00695DDB">
        <w:rPr>
          <w:rFonts w:cs="Arial"/>
          <w:rtl/>
        </w:rPr>
        <w:lastRenderedPageBreak/>
        <w:t xml:space="preserve">שאין זה דומה אלא למי שאמר לו אדם נאמן </w:t>
      </w:r>
      <w:r>
        <w:rPr>
          <w:rFonts w:cs="Arial" w:hint="cs"/>
          <w:rtl/>
        </w:rPr>
        <w:t>'</w:t>
      </w:r>
      <w:r w:rsidRPr="00695DDB">
        <w:rPr>
          <w:rFonts w:cs="Arial"/>
          <w:rtl/>
        </w:rPr>
        <w:t>פלוני יש לו אצל פלוני כך וכך</w:t>
      </w:r>
      <w:r>
        <w:rPr>
          <w:rFonts w:cs="Arial" w:hint="cs"/>
          <w:rtl/>
        </w:rPr>
        <w:t>'</w:t>
      </w:r>
      <w:r w:rsidRPr="00695DDB">
        <w:rPr>
          <w:rFonts w:cs="Arial"/>
          <w:rtl/>
        </w:rPr>
        <w:t xml:space="preserve"> והעיד הוא שיש לזה אצל זה והוא אינו יודע מן הדבר כלום אלא מפי האחר שמע והעיד</w:t>
      </w:r>
      <w:r>
        <w:rPr>
          <w:rStyle w:val="ab"/>
          <w:rFonts w:cs="Arial"/>
          <w:rtl/>
        </w:rPr>
        <w:footnoteReference w:id="1476"/>
      </w:r>
      <w:r>
        <w:rPr>
          <w:rFonts w:cs="Arial" w:hint="cs"/>
          <w:rtl/>
        </w:rPr>
        <w:t xml:space="preserve">. </w:t>
      </w:r>
    </w:p>
    <w:p w14:paraId="2AFBD60C" w14:textId="77777777" w:rsidR="004B607F" w:rsidRPr="00F40623" w:rsidRDefault="004B607F" w:rsidP="004B607F">
      <w:pPr>
        <w:ind w:left="360"/>
        <w:rPr>
          <w:rFonts w:cs="Arial"/>
          <w:u w:val="dotted"/>
        </w:rPr>
      </w:pPr>
      <w:r w:rsidRPr="00F40623">
        <w:rPr>
          <w:rFonts w:cs="Arial" w:hint="cs"/>
          <w:u w:val="dotted"/>
          <w:rtl/>
        </w:rPr>
        <w:t xml:space="preserve">ומה הדין אם אינו זוכר עדות זו </w:t>
      </w:r>
      <w:r w:rsidRPr="00F40623">
        <w:rPr>
          <w:rFonts w:cs="Arial" w:hint="cs"/>
          <w:b/>
          <w:bCs/>
          <w:u w:val="dotted"/>
          <w:rtl/>
        </w:rPr>
        <w:t>אפילו</w:t>
      </w:r>
      <w:r w:rsidRPr="00F40623">
        <w:rPr>
          <w:rFonts w:cs="Arial" w:hint="cs"/>
          <w:u w:val="dotted"/>
          <w:rtl/>
        </w:rPr>
        <w:t xml:space="preserve"> מתוך הכתב:</w:t>
      </w:r>
    </w:p>
    <w:p w14:paraId="1A4F47A7" w14:textId="77777777" w:rsidR="004B607F" w:rsidRDefault="004B607F" w:rsidP="004B0475">
      <w:pPr>
        <w:pStyle w:val="ac"/>
        <w:numPr>
          <w:ilvl w:val="0"/>
          <w:numId w:val="73"/>
        </w:numPr>
        <w:rPr>
          <w:rFonts w:cs="Arial"/>
        </w:rPr>
      </w:pPr>
      <w:r>
        <w:rPr>
          <w:rFonts w:cs="Arial" w:hint="cs"/>
          <w:rtl/>
        </w:rPr>
        <w:t xml:space="preserve">רש"י </w:t>
      </w:r>
      <w:r>
        <w:rPr>
          <w:rFonts w:cs="Arial" w:hint="cs"/>
          <w:sz w:val="16"/>
          <w:szCs w:val="16"/>
          <w:rtl/>
        </w:rPr>
        <w:t xml:space="preserve">(שם) </w:t>
      </w:r>
      <w:r>
        <w:rPr>
          <w:rFonts w:cs="Arial" w:hint="cs"/>
          <w:rtl/>
        </w:rPr>
        <w:t xml:space="preserve">רמב"ם </w:t>
      </w:r>
      <w:r>
        <w:rPr>
          <w:rFonts w:cs="Arial" w:hint="cs"/>
          <w:sz w:val="16"/>
          <w:szCs w:val="16"/>
          <w:rtl/>
        </w:rPr>
        <w:t xml:space="preserve">(פ"ח ה"א) </w:t>
      </w:r>
      <w:r>
        <w:rPr>
          <w:rFonts w:cs="Arial"/>
          <w:rtl/>
        </w:rPr>
        <w:t>תוס</w:t>
      </w:r>
      <w:r>
        <w:rPr>
          <w:rFonts w:cs="Arial" w:hint="cs"/>
          <w:rtl/>
        </w:rPr>
        <w:t>'</w:t>
      </w:r>
      <w:r>
        <w:rPr>
          <w:rFonts w:cs="Arial"/>
          <w:rtl/>
        </w:rPr>
        <w:t xml:space="preserve"> </w:t>
      </w:r>
      <w:r w:rsidRPr="00A706C1">
        <w:rPr>
          <w:rFonts w:cs="Arial"/>
          <w:sz w:val="16"/>
          <w:szCs w:val="16"/>
          <w:rtl/>
        </w:rPr>
        <w:t>(ד"ה ר' יוחנן)</w:t>
      </w:r>
      <w:r w:rsidRPr="00A706C1">
        <w:rPr>
          <w:rFonts w:cs="Arial" w:hint="cs"/>
          <w:sz w:val="16"/>
          <w:szCs w:val="16"/>
          <w:rtl/>
        </w:rPr>
        <w:t xml:space="preserve"> </w:t>
      </w:r>
      <w:r>
        <w:rPr>
          <w:rFonts w:cs="Arial" w:hint="cs"/>
          <w:rtl/>
        </w:rPr>
        <w:t>ו</w:t>
      </w:r>
      <w:r w:rsidRPr="00695DDB">
        <w:rPr>
          <w:rFonts w:cs="Arial" w:hint="cs"/>
          <w:rtl/>
        </w:rPr>
        <w:t xml:space="preserve">טור- </w:t>
      </w:r>
      <w:r w:rsidRPr="00695DDB">
        <w:rPr>
          <w:rFonts w:cs="Arial"/>
          <w:rtl/>
        </w:rPr>
        <w:t>ומיהו דוקא כשזוכר הדברים ע"י הכתב</w:t>
      </w:r>
      <w:r>
        <w:rPr>
          <w:rFonts w:cs="Arial" w:hint="cs"/>
          <w:rtl/>
        </w:rPr>
        <w:t>,</w:t>
      </w:r>
      <w:r w:rsidRPr="00695DDB">
        <w:rPr>
          <w:rFonts w:cs="Arial"/>
          <w:rtl/>
        </w:rPr>
        <w:t xml:space="preserve"> אבל אם אינו נזכר לדברים אף מתוך הכתב </w:t>
      </w:r>
      <w:r>
        <w:rPr>
          <w:rFonts w:cs="Arial" w:hint="cs"/>
          <w:rtl/>
        </w:rPr>
        <w:t xml:space="preserve">- </w:t>
      </w:r>
      <w:r w:rsidRPr="00695DDB">
        <w:rPr>
          <w:rFonts w:cs="Arial"/>
          <w:rtl/>
        </w:rPr>
        <w:t>לא יעיד</w:t>
      </w:r>
      <w:r w:rsidRPr="00695DDB">
        <w:rPr>
          <w:rFonts w:cs="Arial" w:hint="cs"/>
          <w:sz w:val="16"/>
          <w:szCs w:val="16"/>
          <w:rtl/>
        </w:rPr>
        <w:t xml:space="preserve"> (ל' הטור)</w:t>
      </w:r>
      <w:r w:rsidRPr="00695DDB">
        <w:rPr>
          <w:rFonts w:cs="Arial" w:hint="cs"/>
          <w:rtl/>
        </w:rPr>
        <w:t>.</w:t>
      </w:r>
      <w:r w:rsidRPr="00695DDB">
        <w:rPr>
          <w:rFonts w:cs="Arial"/>
          <w:rtl/>
        </w:rPr>
        <w:t xml:space="preserve"> </w:t>
      </w:r>
      <w:r w:rsidRPr="00EA67AC">
        <w:rPr>
          <w:rFonts w:cs="Arial" w:hint="cs"/>
          <w:color w:val="E36C0A" w:themeColor="accent6" w:themeShade="BF"/>
          <w:rtl/>
        </w:rPr>
        <w:t>(וכ"פ בשו"ע)</w:t>
      </w:r>
      <w:r>
        <w:rPr>
          <w:rFonts w:cs="Arial" w:hint="cs"/>
          <w:rtl/>
        </w:rPr>
        <w:t xml:space="preserve"> </w:t>
      </w:r>
    </w:p>
    <w:p w14:paraId="6E7C9B78" w14:textId="77777777" w:rsidR="004B607F" w:rsidRPr="006025F1" w:rsidRDefault="004B607F" w:rsidP="004B0475">
      <w:pPr>
        <w:pStyle w:val="ac"/>
        <w:numPr>
          <w:ilvl w:val="0"/>
          <w:numId w:val="73"/>
        </w:numPr>
        <w:rPr>
          <w:rFonts w:cs="Arial"/>
          <w:rtl/>
        </w:rPr>
      </w:pPr>
      <w:r w:rsidRPr="00F64B08">
        <w:rPr>
          <w:rFonts w:cs="Arial"/>
          <w:rtl/>
        </w:rPr>
        <w:t xml:space="preserve">מהר"ם </w:t>
      </w:r>
      <w:r w:rsidRPr="00F64B08">
        <w:rPr>
          <w:rFonts w:cs="Arial"/>
          <w:sz w:val="16"/>
          <w:szCs w:val="16"/>
          <w:rtl/>
        </w:rPr>
        <w:t>(ד"ק סי' רי</w:t>
      </w:r>
      <w:r>
        <w:rPr>
          <w:rFonts w:cs="Arial" w:hint="cs"/>
          <w:sz w:val="16"/>
          <w:szCs w:val="16"/>
          <w:rtl/>
        </w:rPr>
        <w:t>, וכן בספר סיני וליקוטים סי' תכט, הביאוהו ב</w:t>
      </w:r>
      <w:r w:rsidRPr="005E1C8A">
        <w:rPr>
          <w:rFonts w:cs="Arial"/>
          <w:sz w:val="16"/>
          <w:szCs w:val="16"/>
          <w:rtl/>
        </w:rPr>
        <w:t xml:space="preserve">תשובות מיימוניות </w:t>
      </w:r>
      <w:r>
        <w:rPr>
          <w:rFonts w:cs="Arial" w:hint="cs"/>
          <w:sz w:val="16"/>
          <w:szCs w:val="16"/>
          <w:rtl/>
        </w:rPr>
        <w:t>[</w:t>
      </w:r>
      <w:r w:rsidRPr="005E1C8A">
        <w:rPr>
          <w:rFonts w:cs="Arial"/>
          <w:sz w:val="16"/>
          <w:szCs w:val="16"/>
          <w:rtl/>
        </w:rPr>
        <w:t>משפטים סי</w:t>
      </w:r>
      <w:r>
        <w:rPr>
          <w:rFonts w:cs="Arial" w:hint="cs"/>
          <w:sz w:val="16"/>
          <w:szCs w:val="16"/>
          <w:rtl/>
        </w:rPr>
        <w:t>'</w:t>
      </w:r>
      <w:r w:rsidRPr="005E1C8A">
        <w:rPr>
          <w:rFonts w:cs="Arial"/>
          <w:sz w:val="16"/>
          <w:szCs w:val="16"/>
          <w:rtl/>
        </w:rPr>
        <w:t xml:space="preserve"> לט</w:t>
      </w:r>
      <w:r>
        <w:rPr>
          <w:rFonts w:cs="Arial" w:hint="cs"/>
          <w:sz w:val="16"/>
          <w:szCs w:val="16"/>
          <w:rtl/>
        </w:rPr>
        <w:t>] ומהרי"ו [סי' צד]</w:t>
      </w:r>
      <w:r w:rsidRPr="00F64B08">
        <w:rPr>
          <w:rFonts w:cs="Arial"/>
          <w:sz w:val="16"/>
          <w:szCs w:val="16"/>
          <w:rtl/>
        </w:rPr>
        <w:t>)</w:t>
      </w:r>
      <w:r w:rsidRPr="00F64B08">
        <w:rPr>
          <w:rFonts w:cs="Arial" w:hint="cs"/>
          <w:rtl/>
        </w:rPr>
        <w:t>-</w:t>
      </w:r>
      <w:r w:rsidRPr="00F64B08">
        <w:rPr>
          <w:rFonts w:cs="Arial"/>
          <w:rtl/>
        </w:rPr>
        <w:t xml:space="preserve"> </w:t>
      </w:r>
      <w:r w:rsidRPr="006025F1">
        <w:rPr>
          <w:rFonts w:cs="Arial"/>
          <w:rtl/>
        </w:rPr>
        <w:t xml:space="preserve">ושכתבתם כיון שבכתב התנאים אין כתוב בו קניין אינו חשוב שטר, והימניה טפי משטרא. זה אינו מכמה טעמים. חדא דכמה שטרות יש שאין כתוב בהן קנין, שטר קדושין שטרי בירורין ואגרות שום ואגרות מזון וכהנה, איש תבונות ידלנה, וכולן דין שטרות להן. וכן כותב אדם עדותו על השטר ומעיד עליה אחר כמה שנים </w:t>
      </w:r>
      <w:r>
        <w:rPr>
          <w:rFonts w:cs="Arial" w:hint="cs"/>
          <w:sz w:val="16"/>
          <w:szCs w:val="16"/>
          <w:rtl/>
        </w:rPr>
        <w:t>(</w:t>
      </w:r>
      <w:r w:rsidRPr="006025F1">
        <w:rPr>
          <w:rFonts w:cs="Arial"/>
          <w:sz w:val="16"/>
          <w:szCs w:val="16"/>
          <w:rtl/>
        </w:rPr>
        <w:t>כתובות כ</w:t>
      </w:r>
      <w:r w:rsidRPr="006025F1">
        <w:rPr>
          <w:rFonts w:cs="Arial" w:hint="cs"/>
          <w:sz w:val="16"/>
          <w:szCs w:val="16"/>
          <w:rtl/>
        </w:rPr>
        <w:t>.)</w:t>
      </w:r>
      <w:r w:rsidRPr="006025F1">
        <w:rPr>
          <w:rFonts w:cs="Arial"/>
          <w:rtl/>
        </w:rPr>
        <w:t>, ואע</w:t>
      </w:r>
      <w:r>
        <w:rPr>
          <w:rFonts w:cs="Arial" w:hint="cs"/>
          <w:rtl/>
        </w:rPr>
        <w:t>"</w:t>
      </w:r>
      <w:r w:rsidRPr="006025F1">
        <w:rPr>
          <w:rFonts w:cs="Arial"/>
          <w:rtl/>
        </w:rPr>
        <w:t>ג דמסיק והוא שזוכרה מעצמו, הני מילי בעד אחד, אבל בשני עדים חתומים על השטר ונכתב מדעת שניהם כי הכא שטר גמור הוא לכל דבר, ומביאין השטר לבית דין ונאמין לכל דברי השטר אפילו כשאינו זוכרה, וכן פירש ר"י בפרק שני דכתובות</w:t>
      </w:r>
      <w:r>
        <w:rPr>
          <w:rStyle w:val="ab"/>
          <w:rFonts w:cs="Arial"/>
          <w:rtl/>
        </w:rPr>
        <w:footnoteReference w:id="1477"/>
      </w:r>
      <w:r>
        <w:rPr>
          <w:rFonts w:cs="Arial" w:hint="cs"/>
          <w:rtl/>
        </w:rPr>
        <w:t xml:space="preserve">. </w:t>
      </w:r>
    </w:p>
    <w:p w14:paraId="3D654793" w14:textId="77777777" w:rsidR="004B607F" w:rsidRPr="003024E5" w:rsidRDefault="004B607F" w:rsidP="004B607F">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7177AB57" w14:textId="77777777" w:rsidR="004B607F" w:rsidRDefault="004B607F" w:rsidP="004B607F">
      <w:pPr>
        <w:rPr>
          <w:rtl/>
        </w:rPr>
      </w:pPr>
      <w:r>
        <w:rPr>
          <w:rFonts w:cs="Arial"/>
          <w:rtl/>
        </w:rPr>
        <w:t>כל זמן שזוכר האדם, יכול להעיד לעולם</w:t>
      </w:r>
      <w:r>
        <w:rPr>
          <w:rStyle w:val="ab"/>
          <w:rFonts w:cs="Arial"/>
          <w:rtl/>
        </w:rPr>
        <w:footnoteReference w:id="1478"/>
      </w:r>
      <w:r>
        <w:rPr>
          <w:rFonts w:cs="Arial"/>
          <w:rtl/>
        </w:rPr>
        <w:t>, ואינו חושש שמא מתוך שנתיישן הדבר הרבה אינו זוכרו על בוריו. אפילו אינו נזכר לעדות אלא מתוך הכתב, שכשמסרוהו לו כתבו בפנקסו לזכרון דברים, ושכח הדבר ואינו נזכר אלא מתוך הכתב, יכול להעיד</w:t>
      </w:r>
      <w:r>
        <w:rPr>
          <w:rFonts w:cs="Arial" w:hint="cs"/>
          <w:rtl/>
        </w:rPr>
        <w:t>.</w:t>
      </w:r>
      <w:r>
        <w:rPr>
          <w:rFonts w:cs="Arial"/>
          <w:rtl/>
        </w:rPr>
        <w:t xml:space="preserve"> והוא שאחר שראה הכתב נזכר לדבר</w:t>
      </w:r>
      <w:r>
        <w:rPr>
          <w:rFonts w:cs="Arial" w:hint="cs"/>
          <w:rtl/>
        </w:rPr>
        <w:t>.</w:t>
      </w:r>
      <w:r>
        <w:rPr>
          <w:rFonts w:cs="Arial"/>
          <w:rtl/>
        </w:rPr>
        <w:t xml:space="preserve"> </w:t>
      </w:r>
      <w:r>
        <w:rPr>
          <w:rFonts w:cs="Arial" w:hint="cs"/>
          <w:sz w:val="18"/>
          <w:szCs w:val="18"/>
          <w:rtl/>
        </w:rPr>
        <w:t xml:space="preserve">[הגה] </w:t>
      </w:r>
      <w:r w:rsidRPr="00221BFB">
        <w:rPr>
          <w:rFonts w:cs="Arial"/>
          <w:sz w:val="18"/>
          <w:szCs w:val="18"/>
          <w:rtl/>
        </w:rPr>
        <w:t>ועיין לקמן סי' מ"ו סעיף י'</w:t>
      </w:r>
      <w:r>
        <w:rPr>
          <w:rFonts w:cs="Arial"/>
          <w:rtl/>
        </w:rPr>
        <w:t xml:space="preserve">. </w:t>
      </w:r>
    </w:p>
    <w:p w14:paraId="16F519C0" w14:textId="77777777" w:rsidR="004B607F" w:rsidRDefault="004B607F" w:rsidP="004B607F">
      <w:pPr>
        <w:rPr>
          <w:rtl/>
        </w:rPr>
      </w:pPr>
    </w:p>
    <w:p w14:paraId="53E99904" w14:textId="77777777" w:rsidR="004B607F" w:rsidRDefault="004B607F" w:rsidP="004B607F">
      <w:pPr>
        <w:pStyle w:val="2"/>
        <w:rPr>
          <w:rtl/>
        </w:rPr>
      </w:pPr>
      <w:bookmarkStart w:id="213" w:name="_Toc24883688"/>
      <w:r>
        <w:rPr>
          <w:rtl/>
        </w:rPr>
        <w:t>סעיף יד</w:t>
      </w:r>
      <w:r>
        <w:rPr>
          <w:rFonts w:hint="cs"/>
          <w:rtl/>
        </w:rPr>
        <w:t>: עד שנזכר בעדות ע"י אחר או ע"י בעל הדין.</w:t>
      </w:r>
      <w:bookmarkEnd w:id="213"/>
    </w:p>
    <w:p w14:paraId="43A0061F" w14:textId="77777777" w:rsidR="004B607F" w:rsidRDefault="004B607F" w:rsidP="004B607F">
      <w:pPr>
        <w:rPr>
          <w:rFonts w:cs="Arial"/>
          <w:rtl/>
        </w:rPr>
      </w:pPr>
      <w:r>
        <w:rPr>
          <w:rFonts w:cs="Arial" w:hint="cs"/>
          <w:b/>
          <w:bCs/>
          <w:rtl/>
        </w:rPr>
        <w:t>כתובות</w:t>
      </w:r>
      <w:r w:rsidRPr="00B23076">
        <w:rPr>
          <w:rFonts w:cs="Arial" w:hint="cs"/>
          <w:b/>
          <w:bCs/>
          <w:sz w:val="16"/>
          <w:szCs w:val="16"/>
          <w:rtl/>
        </w:rPr>
        <w:t xml:space="preserve"> (פ"ב)</w:t>
      </w:r>
      <w:r>
        <w:rPr>
          <w:rFonts w:cs="Arial" w:hint="cs"/>
          <w:b/>
          <w:bCs/>
          <w:rtl/>
        </w:rPr>
        <w:t xml:space="preserve"> כ</w:t>
      </w:r>
      <w:r>
        <w:rPr>
          <w:rStyle w:val="ab"/>
          <w:rFonts w:cs="Arial"/>
          <w:b/>
          <w:bCs/>
          <w:rtl/>
        </w:rPr>
        <w:footnoteReference w:id="1479"/>
      </w:r>
      <w:r>
        <w:rPr>
          <w:rFonts w:cs="Arial" w:hint="cs"/>
          <w:b/>
          <w:bCs/>
          <w:rtl/>
        </w:rPr>
        <w:t xml:space="preserve"> ע"א:</w:t>
      </w:r>
      <w:r w:rsidRPr="005139C3">
        <w:rPr>
          <w:rFonts w:cs="Arial"/>
          <w:rtl/>
        </w:rPr>
        <w:t xml:space="preserve"> </w:t>
      </w:r>
      <w:r w:rsidRPr="00A73441">
        <w:rPr>
          <w:rFonts w:cs="Arial"/>
          <w:rtl/>
        </w:rPr>
        <w:t xml:space="preserve">ת"ר: כותב אדם עדותו על השטר, ומעיד עליה אפילו לאחר כמה שנים. </w:t>
      </w:r>
      <w:r w:rsidRPr="00C06486">
        <w:rPr>
          <w:rFonts w:cs="Arial"/>
          <w:u w:val="single"/>
          <w:rtl/>
        </w:rPr>
        <w:t>אמר רב הונא</w:t>
      </w:r>
      <w:r w:rsidRPr="00A73441">
        <w:rPr>
          <w:rFonts w:cs="Arial"/>
          <w:rtl/>
        </w:rPr>
        <w:t>: והוא, שזוכרה מעצמו</w:t>
      </w:r>
      <w:r>
        <w:rPr>
          <w:rStyle w:val="ab"/>
          <w:rFonts w:cs="Arial"/>
          <w:rtl/>
        </w:rPr>
        <w:footnoteReference w:id="1480"/>
      </w:r>
      <w:r>
        <w:rPr>
          <w:rFonts w:cs="Arial" w:hint="cs"/>
          <w:rtl/>
        </w:rPr>
        <w:t>.</w:t>
      </w:r>
      <w:r w:rsidRPr="00A73441">
        <w:rPr>
          <w:rFonts w:cs="Arial"/>
          <w:rtl/>
        </w:rPr>
        <w:t xml:space="preserve"> </w:t>
      </w:r>
      <w:r w:rsidRPr="00C06486">
        <w:rPr>
          <w:rFonts w:cs="Arial"/>
          <w:u w:val="single"/>
          <w:rtl/>
        </w:rPr>
        <w:t>רבי יוחנן אמר</w:t>
      </w:r>
      <w:r w:rsidRPr="00A73441">
        <w:rPr>
          <w:rFonts w:cs="Arial"/>
          <w:rtl/>
        </w:rPr>
        <w:t>: אף על פי שאין זוכרה מעצמו</w:t>
      </w:r>
      <w:r>
        <w:rPr>
          <w:rStyle w:val="ab"/>
          <w:rFonts w:cs="Arial"/>
          <w:rtl/>
        </w:rPr>
        <w:footnoteReference w:id="1481"/>
      </w:r>
      <w:r w:rsidRPr="00A73441">
        <w:rPr>
          <w:rFonts w:cs="Arial"/>
          <w:rtl/>
        </w:rPr>
        <w:t xml:space="preserve">. </w:t>
      </w:r>
      <w:r w:rsidRPr="00C06486">
        <w:rPr>
          <w:rFonts w:cs="Arial"/>
          <w:u w:val="single"/>
          <w:rtl/>
        </w:rPr>
        <w:t>אמר רבה</w:t>
      </w:r>
      <w:r w:rsidRPr="00A73441">
        <w:rPr>
          <w:rFonts w:cs="Arial"/>
          <w:rtl/>
        </w:rPr>
        <w:t>: ש"מ מדרבי יוחנן, הני בי תרי דידעי סהדותא ומנשי חד מנייהו, מדכר חד לחבריה. איבעיא להו: עצמו מאי</w:t>
      </w:r>
      <w:r>
        <w:rPr>
          <w:rStyle w:val="ab"/>
          <w:rFonts w:cs="Arial"/>
          <w:rtl/>
        </w:rPr>
        <w:footnoteReference w:id="1482"/>
      </w:r>
      <w:r w:rsidRPr="00A73441">
        <w:rPr>
          <w:rFonts w:cs="Arial"/>
          <w:rtl/>
        </w:rPr>
        <w:t xml:space="preserve">? </w:t>
      </w:r>
      <w:r w:rsidRPr="00274C48">
        <w:rPr>
          <w:rFonts w:cs="Arial"/>
          <w:u w:val="single"/>
          <w:rtl/>
        </w:rPr>
        <w:t>רב חביבא אמר</w:t>
      </w:r>
      <w:r w:rsidRPr="00A73441">
        <w:rPr>
          <w:rFonts w:cs="Arial"/>
          <w:rtl/>
        </w:rPr>
        <w:t xml:space="preserve">: אפילו עצמו, </w:t>
      </w:r>
      <w:r w:rsidRPr="00274C48">
        <w:rPr>
          <w:rFonts w:cs="Arial"/>
          <w:u w:val="single"/>
          <w:rtl/>
        </w:rPr>
        <w:t>מר בריה דרב אשי אמר</w:t>
      </w:r>
      <w:r w:rsidRPr="00A73441">
        <w:rPr>
          <w:rFonts w:cs="Arial"/>
          <w:rtl/>
        </w:rPr>
        <w:t xml:space="preserve">: עצמו לא. והלכתא: עצמו לא. </w:t>
      </w:r>
      <w:r>
        <w:rPr>
          <w:rFonts w:cs="Arial" w:hint="cs"/>
          <w:sz w:val="14"/>
          <w:szCs w:val="14"/>
          <w:rtl/>
        </w:rPr>
        <w:t xml:space="preserve">(כ:) </w:t>
      </w:r>
      <w:r w:rsidRPr="00A73441">
        <w:rPr>
          <w:rFonts w:cs="Arial"/>
          <w:rtl/>
        </w:rPr>
        <w:t>ואי צורבא מרבנן הוא</w:t>
      </w:r>
      <w:r>
        <w:rPr>
          <w:rStyle w:val="ab"/>
          <w:rFonts w:cs="Arial"/>
          <w:rtl/>
        </w:rPr>
        <w:footnoteReference w:id="1483"/>
      </w:r>
      <w:r w:rsidRPr="00A73441">
        <w:rPr>
          <w:rFonts w:cs="Arial"/>
          <w:rtl/>
        </w:rPr>
        <w:t>, אפילו עצמו</w:t>
      </w:r>
      <w:r>
        <w:rPr>
          <w:rStyle w:val="ab"/>
          <w:rFonts w:cs="Arial"/>
          <w:rtl/>
        </w:rPr>
        <w:footnoteReference w:id="1484"/>
      </w:r>
      <w:r w:rsidRPr="00A73441">
        <w:rPr>
          <w:rFonts w:cs="Arial"/>
          <w:rtl/>
        </w:rPr>
        <w:t>. כי הא דרב אשי הוה ידיע ליה בסהדותא לרב כהנא, אמר ליה: מי דכיר מר האי סהדותא? אמר ליה: לא. ולאו הכי והכי הוה? א"ל: לא ידענא. לסוף אידכר רב אשי, אסהיד ליה. חזייה לרב כהנא דהוה מחסם</w:t>
      </w:r>
      <w:r>
        <w:rPr>
          <w:rStyle w:val="ab"/>
          <w:rFonts w:cs="Arial"/>
          <w:rtl/>
        </w:rPr>
        <w:footnoteReference w:id="1485"/>
      </w:r>
      <w:r w:rsidRPr="00A73441">
        <w:rPr>
          <w:rFonts w:cs="Arial"/>
          <w:rtl/>
        </w:rPr>
        <w:t>, א"ל: מי סברת עלך קא סמיכנא? אנא הוא דרמאי אנפשאי ואדכרי.</w:t>
      </w:r>
      <w:r>
        <w:rPr>
          <w:rFonts w:cs="Arial" w:hint="cs"/>
          <w:rtl/>
        </w:rPr>
        <w:t xml:space="preserve"> </w:t>
      </w:r>
    </w:p>
    <w:p w14:paraId="6D179AAA" w14:textId="77777777" w:rsidR="004B607F" w:rsidRPr="00CC688C" w:rsidRDefault="004B607F" w:rsidP="004B607F">
      <w:pPr>
        <w:rPr>
          <w:rFonts w:cs="Arial"/>
          <w:u w:val="single"/>
          <w:rtl/>
        </w:rPr>
      </w:pPr>
      <w:r w:rsidRPr="00CC688C">
        <w:rPr>
          <w:rFonts w:cs="Arial" w:hint="cs"/>
          <w:u w:val="single"/>
          <w:rtl/>
        </w:rPr>
        <w:t>עד שנזכר בעדות ע"י אחר שהזכיר לו:</w:t>
      </w:r>
    </w:p>
    <w:p w14:paraId="3D956FEF" w14:textId="77777777" w:rsidR="004B607F" w:rsidRDefault="004B607F" w:rsidP="004B0475">
      <w:pPr>
        <w:pStyle w:val="ac"/>
        <w:numPr>
          <w:ilvl w:val="0"/>
          <w:numId w:val="76"/>
        </w:numPr>
        <w:rPr>
          <w:rFonts w:cs="Arial"/>
        </w:rPr>
      </w:pPr>
      <w:r>
        <w:rPr>
          <w:rFonts w:cs="Arial" w:hint="cs"/>
          <w:rtl/>
        </w:rPr>
        <w:t xml:space="preserve">רמב"ם </w:t>
      </w:r>
      <w:r>
        <w:rPr>
          <w:rFonts w:cs="Arial" w:hint="cs"/>
          <w:sz w:val="16"/>
          <w:szCs w:val="16"/>
          <w:rtl/>
        </w:rPr>
        <w:t xml:space="preserve">(פ"ח ה"ב) </w:t>
      </w:r>
      <w:r>
        <w:rPr>
          <w:rFonts w:cs="Arial" w:hint="cs"/>
          <w:rtl/>
        </w:rPr>
        <w:t>ו</w:t>
      </w:r>
      <w:r w:rsidRPr="00CC688C">
        <w:rPr>
          <w:rFonts w:cs="Arial" w:hint="cs"/>
          <w:rtl/>
        </w:rPr>
        <w:t xml:space="preserve">טור- </w:t>
      </w:r>
      <w:r w:rsidRPr="00CC688C">
        <w:rPr>
          <w:rFonts w:cs="Arial"/>
          <w:rtl/>
        </w:rPr>
        <w:t xml:space="preserve">אם נזכר לדבר ע"י אחר שהזכירו לו </w:t>
      </w:r>
      <w:r>
        <w:rPr>
          <w:rFonts w:cs="Arial" w:hint="cs"/>
          <w:rtl/>
        </w:rPr>
        <w:t xml:space="preserve">- </w:t>
      </w:r>
      <w:r w:rsidRPr="00CC688C">
        <w:rPr>
          <w:rFonts w:cs="Arial"/>
          <w:rtl/>
        </w:rPr>
        <w:t>יכול להעיד</w:t>
      </w:r>
      <w:r>
        <w:rPr>
          <w:rFonts w:cs="Arial" w:hint="cs"/>
          <w:sz w:val="16"/>
          <w:szCs w:val="16"/>
          <w:rtl/>
        </w:rPr>
        <w:t xml:space="preserve"> (ל' הטור)</w:t>
      </w:r>
      <w:r>
        <w:rPr>
          <w:rFonts w:cs="Arial" w:hint="cs"/>
          <w:rtl/>
        </w:rPr>
        <w:t>.</w:t>
      </w:r>
      <w:r w:rsidRPr="00CC688C">
        <w:rPr>
          <w:rFonts w:cs="Arial"/>
          <w:rtl/>
        </w:rPr>
        <w:t xml:space="preserve"> </w:t>
      </w:r>
      <w:r w:rsidRPr="00CC688C">
        <w:rPr>
          <w:rFonts w:cs="Arial" w:hint="cs"/>
          <w:color w:val="E36C0A" w:themeColor="accent6" w:themeShade="BF"/>
          <w:rtl/>
        </w:rPr>
        <w:t>(וכ"פ בשו"ע)</w:t>
      </w:r>
    </w:p>
    <w:p w14:paraId="28F3E730" w14:textId="77777777" w:rsidR="004B607F" w:rsidRPr="00CC688C" w:rsidRDefault="004B607F" w:rsidP="004B607F">
      <w:pPr>
        <w:rPr>
          <w:rFonts w:cs="Arial"/>
        </w:rPr>
      </w:pPr>
      <w:r w:rsidRPr="00CC688C">
        <w:rPr>
          <w:rFonts w:cs="Arial" w:hint="cs"/>
          <w:u w:val="single"/>
          <w:rtl/>
        </w:rPr>
        <w:lastRenderedPageBreak/>
        <w:t xml:space="preserve">עד שנזכר בעדות ע"י </w:t>
      </w:r>
      <w:r>
        <w:rPr>
          <w:rFonts w:cs="Arial" w:hint="cs"/>
          <w:u w:val="single"/>
          <w:rtl/>
        </w:rPr>
        <w:t>הבעל דין</w:t>
      </w:r>
      <w:r w:rsidRPr="00CC688C">
        <w:rPr>
          <w:rFonts w:cs="Arial" w:hint="cs"/>
          <w:u w:val="single"/>
          <w:rtl/>
        </w:rPr>
        <w:t>:</w:t>
      </w:r>
    </w:p>
    <w:p w14:paraId="2FF8DB3B" w14:textId="77777777" w:rsidR="004B607F" w:rsidRDefault="004B607F" w:rsidP="004B0475">
      <w:pPr>
        <w:pStyle w:val="ac"/>
        <w:numPr>
          <w:ilvl w:val="0"/>
          <w:numId w:val="76"/>
        </w:numPr>
        <w:rPr>
          <w:rFonts w:cs="Arial"/>
        </w:rPr>
      </w:pPr>
      <w:r>
        <w:rPr>
          <w:rFonts w:cs="Arial" w:hint="cs"/>
          <w:rtl/>
        </w:rPr>
        <w:t xml:space="preserve">רמב"ם </w:t>
      </w:r>
      <w:r>
        <w:rPr>
          <w:rFonts w:cs="Arial" w:hint="cs"/>
          <w:sz w:val="16"/>
          <w:szCs w:val="16"/>
          <w:rtl/>
        </w:rPr>
        <w:t xml:space="preserve">(פ"ח ה"ב) </w:t>
      </w:r>
      <w:r>
        <w:rPr>
          <w:rFonts w:cs="Arial" w:hint="cs"/>
          <w:rtl/>
        </w:rPr>
        <w:t>וטור-</w:t>
      </w:r>
      <w:r w:rsidRPr="00CC688C">
        <w:rPr>
          <w:rFonts w:cs="Arial"/>
          <w:rtl/>
        </w:rPr>
        <w:t xml:space="preserve"> אם הבעל דין בעצמו מזכירו ונזכר </w:t>
      </w:r>
      <w:r>
        <w:rPr>
          <w:rFonts w:cs="Arial" w:hint="cs"/>
          <w:rtl/>
        </w:rPr>
        <w:t xml:space="preserve">- </w:t>
      </w:r>
      <w:r w:rsidRPr="00CC688C">
        <w:rPr>
          <w:rFonts w:cs="Arial"/>
          <w:rtl/>
        </w:rPr>
        <w:t>לא יעיד</w:t>
      </w:r>
      <w:r>
        <w:rPr>
          <w:rFonts w:cs="Arial" w:hint="cs"/>
          <w:sz w:val="16"/>
          <w:szCs w:val="16"/>
          <w:rtl/>
        </w:rPr>
        <w:t xml:space="preserve"> (ל' הטור)</w:t>
      </w:r>
      <w:r>
        <w:rPr>
          <w:rFonts w:cs="Arial" w:hint="cs"/>
          <w:rtl/>
        </w:rPr>
        <w:t>.</w:t>
      </w:r>
      <w:r w:rsidRPr="00CC688C">
        <w:rPr>
          <w:rFonts w:cs="Arial"/>
          <w:rtl/>
        </w:rPr>
        <w:t xml:space="preserve"> </w:t>
      </w:r>
      <w:r w:rsidRPr="00CC688C">
        <w:rPr>
          <w:rFonts w:cs="Arial" w:hint="cs"/>
          <w:color w:val="E36C0A" w:themeColor="accent6" w:themeShade="BF"/>
          <w:rtl/>
        </w:rPr>
        <w:t>(וכ"פ בשו"ע)</w:t>
      </w:r>
      <w:r>
        <w:rPr>
          <w:rFonts w:cs="Arial" w:hint="cs"/>
          <w:rtl/>
        </w:rPr>
        <w:t xml:space="preserve"> </w:t>
      </w:r>
    </w:p>
    <w:p w14:paraId="78FF2226" w14:textId="77777777" w:rsidR="004B607F" w:rsidRPr="00CC688C" w:rsidRDefault="004B607F" w:rsidP="004B607F">
      <w:pPr>
        <w:ind w:left="360"/>
        <w:rPr>
          <w:rFonts w:cs="Arial"/>
          <w:u w:val="dotted"/>
        </w:rPr>
      </w:pPr>
      <w:r w:rsidRPr="00CC688C">
        <w:rPr>
          <w:rFonts w:cs="Arial" w:hint="cs"/>
          <w:u w:val="dotted"/>
          <w:rtl/>
        </w:rPr>
        <w:t>ומה הדין אם העד</w:t>
      </w:r>
      <w:r>
        <w:rPr>
          <w:rFonts w:cs="Arial" w:hint="cs"/>
          <w:u w:val="dotted"/>
          <w:rtl/>
        </w:rPr>
        <w:t xml:space="preserve"> או הבע"ד</w:t>
      </w:r>
      <w:r w:rsidRPr="00CC688C">
        <w:rPr>
          <w:rFonts w:cs="Arial" w:hint="cs"/>
          <w:u w:val="dotted"/>
          <w:rtl/>
        </w:rPr>
        <w:t xml:space="preserve"> תלמיד חכם:</w:t>
      </w:r>
    </w:p>
    <w:p w14:paraId="6ECE0317" w14:textId="77777777" w:rsidR="004B607F" w:rsidRPr="00CC688C" w:rsidRDefault="004B607F" w:rsidP="004B0475">
      <w:pPr>
        <w:pStyle w:val="ac"/>
        <w:numPr>
          <w:ilvl w:val="0"/>
          <w:numId w:val="76"/>
        </w:numPr>
        <w:rPr>
          <w:rFonts w:cs="Arial"/>
          <w:rtl/>
        </w:rPr>
      </w:pPr>
      <w:r>
        <w:rPr>
          <w:rFonts w:cs="Arial" w:hint="cs"/>
          <w:rtl/>
        </w:rPr>
        <w:t xml:space="preserve">רש"י- </w:t>
      </w:r>
      <w:r w:rsidRPr="00CC688C">
        <w:rPr>
          <w:rFonts w:cs="Arial"/>
          <w:rtl/>
        </w:rPr>
        <w:t xml:space="preserve">אם </w:t>
      </w:r>
      <w:r w:rsidRPr="002F68C4">
        <w:rPr>
          <w:rFonts w:cs="Arial"/>
          <w:b/>
          <w:bCs/>
          <w:rtl/>
        </w:rPr>
        <w:t>העד</w:t>
      </w:r>
      <w:r w:rsidRPr="00CC688C">
        <w:rPr>
          <w:rFonts w:cs="Arial"/>
          <w:rtl/>
        </w:rPr>
        <w:t xml:space="preserve"> תלמיד חכם אף אם הבעל דין בעצמו מזכירו </w:t>
      </w:r>
      <w:r>
        <w:rPr>
          <w:rFonts w:cs="Arial" w:hint="cs"/>
          <w:rtl/>
        </w:rPr>
        <w:t xml:space="preserve">- </w:t>
      </w:r>
      <w:r w:rsidRPr="00CC688C">
        <w:rPr>
          <w:rFonts w:cs="Arial"/>
          <w:rtl/>
        </w:rPr>
        <w:t>שפיר דמי</w:t>
      </w:r>
      <w:r>
        <w:rPr>
          <w:rFonts w:cs="Arial" w:hint="cs"/>
          <w:rtl/>
        </w:rPr>
        <w:t>,</w:t>
      </w:r>
      <w:r w:rsidRPr="00CC688C">
        <w:rPr>
          <w:rFonts w:cs="Arial"/>
          <w:rtl/>
        </w:rPr>
        <w:t xml:space="preserve"> שודאי לא היה מעיד אם לא שזוכרו מעצמו</w:t>
      </w:r>
      <w:r>
        <w:rPr>
          <w:rFonts w:cs="Arial" w:hint="cs"/>
          <w:sz w:val="16"/>
          <w:szCs w:val="16"/>
          <w:rtl/>
        </w:rPr>
        <w:t xml:space="preserve"> (ל' הטור בשם רש"י)</w:t>
      </w:r>
      <w:r>
        <w:rPr>
          <w:rStyle w:val="ab"/>
          <w:rFonts w:cs="Arial"/>
          <w:rtl/>
        </w:rPr>
        <w:footnoteReference w:id="1486"/>
      </w:r>
      <w:r w:rsidRPr="00CC688C">
        <w:rPr>
          <w:rFonts w:cs="Arial" w:hint="cs"/>
          <w:rtl/>
        </w:rPr>
        <w:t>.</w:t>
      </w:r>
      <w:r w:rsidRPr="00CC688C">
        <w:rPr>
          <w:rFonts w:cs="Arial"/>
          <w:rtl/>
        </w:rPr>
        <w:t xml:space="preserve"> </w:t>
      </w:r>
      <w:r w:rsidRPr="00CC688C">
        <w:rPr>
          <w:rFonts w:cs="Arial" w:hint="cs"/>
          <w:color w:val="E36C0A" w:themeColor="accent6" w:themeShade="BF"/>
          <w:rtl/>
        </w:rPr>
        <w:t>(וכ"פ בשו"ע)</w:t>
      </w:r>
    </w:p>
    <w:p w14:paraId="705969C9" w14:textId="77777777" w:rsidR="004B607F" w:rsidRDefault="004B607F" w:rsidP="004B0475">
      <w:pPr>
        <w:pStyle w:val="ac"/>
        <w:numPr>
          <w:ilvl w:val="0"/>
          <w:numId w:val="76"/>
        </w:numPr>
        <w:rPr>
          <w:rFonts w:cs="Arial"/>
        </w:rPr>
      </w:pPr>
      <w:r w:rsidRPr="00CC688C">
        <w:rPr>
          <w:rFonts w:cs="Arial"/>
          <w:rtl/>
        </w:rPr>
        <w:t>רמב"ם</w:t>
      </w:r>
      <w:r>
        <w:rPr>
          <w:rFonts w:cs="Arial" w:hint="cs"/>
          <w:sz w:val="16"/>
          <w:szCs w:val="16"/>
          <w:rtl/>
        </w:rPr>
        <w:t xml:space="preserve"> (פ"ח ה"ג)</w:t>
      </w:r>
      <w:r>
        <w:rPr>
          <w:rFonts w:cs="Arial" w:hint="cs"/>
          <w:rtl/>
        </w:rPr>
        <w:t>-</w:t>
      </w:r>
      <w:r w:rsidRPr="00CC688C">
        <w:rPr>
          <w:rFonts w:cs="Arial"/>
          <w:rtl/>
        </w:rPr>
        <w:t xml:space="preserve"> אם </w:t>
      </w:r>
      <w:r w:rsidRPr="002F68C4">
        <w:rPr>
          <w:rFonts w:cs="Arial"/>
          <w:b/>
          <w:bCs/>
          <w:rtl/>
        </w:rPr>
        <w:t>הבעל דין</w:t>
      </w:r>
      <w:r>
        <w:rPr>
          <w:rStyle w:val="ab"/>
          <w:rFonts w:cs="Arial"/>
          <w:rtl/>
        </w:rPr>
        <w:footnoteReference w:id="1487"/>
      </w:r>
      <w:r w:rsidRPr="00CC688C">
        <w:rPr>
          <w:rFonts w:cs="Arial"/>
          <w:rtl/>
        </w:rPr>
        <w:t xml:space="preserve"> ת"ח </w:t>
      </w:r>
      <w:r>
        <w:rPr>
          <w:rFonts w:cs="Arial" w:hint="cs"/>
          <w:rtl/>
        </w:rPr>
        <w:t xml:space="preserve">- </w:t>
      </w:r>
      <w:r w:rsidRPr="00CC688C">
        <w:rPr>
          <w:rFonts w:cs="Arial"/>
          <w:rtl/>
        </w:rPr>
        <w:t>שפיר דמי</w:t>
      </w:r>
      <w:r>
        <w:rPr>
          <w:rFonts w:cs="Arial" w:hint="cs"/>
          <w:rtl/>
        </w:rPr>
        <w:t>,</w:t>
      </w:r>
      <w:r w:rsidRPr="00CC688C">
        <w:rPr>
          <w:rFonts w:cs="Arial"/>
          <w:rtl/>
        </w:rPr>
        <w:t xml:space="preserve"> כיון שהוא ת"ח הוא יודע שלא יהא העד מעיד אם לא שזוכרו מעצמו</w:t>
      </w:r>
      <w:r>
        <w:rPr>
          <w:rStyle w:val="ab"/>
          <w:rFonts w:cs="Arial"/>
          <w:rtl/>
        </w:rPr>
        <w:footnoteReference w:id="1488"/>
      </w:r>
      <w:r>
        <w:rPr>
          <w:rFonts w:cs="Arial" w:hint="cs"/>
          <w:sz w:val="16"/>
          <w:szCs w:val="16"/>
          <w:rtl/>
        </w:rPr>
        <w:t xml:space="preserve"> (ל' הטור בשם הרמב"ם)</w:t>
      </w:r>
      <w:r w:rsidRPr="00CC688C">
        <w:rPr>
          <w:rFonts w:cs="Arial" w:hint="cs"/>
          <w:rtl/>
        </w:rPr>
        <w:t>.</w:t>
      </w:r>
      <w:r>
        <w:rPr>
          <w:rFonts w:cs="Arial" w:hint="cs"/>
          <w:rtl/>
        </w:rPr>
        <w:t xml:space="preserve"> </w:t>
      </w:r>
    </w:p>
    <w:p w14:paraId="313C3B88" w14:textId="77777777" w:rsidR="004B607F" w:rsidRPr="000E6DCB" w:rsidRDefault="004B607F" w:rsidP="004B607F">
      <w:pPr>
        <w:ind w:left="360"/>
        <w:rPr>
          <w:rFonts w:cs="Arial"/>
          <w:u w:val="dotted"/>
        </w:rPr>
      </w:pPr>
      <w:r w:rsidRPr="000E6DCB">
        <w:rPr>
          <w:rFonts w:cs="Arial" w:hint="cs"/>
          <w:u w:val="dotted"/>
          <w:rtl/>
        </w:rPr>
        <w:t>האם מספיק ל</w:t>
      </w:r>
      <w:r>
        <w:rPr>
          <w:rFonts w:cs="Arial" w:hint="cs"/>
          <w:u w:val="dotted"/>
          <w:rtl/>
        </w:rPr>
        <w:t>עני</w:t>
      </w:r>
      <w:r w:rsidRPr="000E6DCB">
        <w:rPr>
          <w:rFonts w:cs="Arial" w:hint="cs"/>
          <w:u w:val="dotted"/>
          <w:rtl/>
        </w:rPr>
        <w:t xml:space="preserve">ן זה </w:t>
      </w:r>
      <w:r>
        <w:rPr>
          <w:rFonts w:cs="Arial" w:hint="cs"/>
          <w:u w:val="dotted"/>
          <w:rtl/>
        </w:rPr>
        <w:t>שיהא העד</w:t>
      </w:r>
      <w:r w:rsidRPr="000E6DCB">
        <w:rPr>
          <w:rFonts w:cs="Arial" w:hint="cs"/>
          <w:u w:val="dotted"/>
          <w:rtl/>
        </w:rPr>
        <w:t xml:space="preserve"> ירא שמים וכשר או שצריך</w:t>
      </w:r>
      <w:r>
        <w:rPr>
          <w:rFonts w:cs="Arial" w:hint="cs"/>
          <w:u w:val="dotted"/>
          <w:rtl/>
        </w:rPr>
        <w:t xml:space="preserve"> שיהא</w:t>
      </w:r>
      <w:r w:rsidRPr="000E6DCB">
        <w:rPr>
          <w:rFonts w:cs="Arial" w:hint="cs"/>
          <w:u w:val="dotted"/>
          <w:rtl/>
        </w:rPr>
        <w:t xml:space="preserve"> ת"ח דוקא: </w:t>
      </w:r>
    </w:p>
    <w:p w14:paraId="6EC49F74" w14:textId="77777777" w:rsidR="004B607F" w:rsidRPr="007144F0" w:rsidRDefault="004B607F" w:rsidP="004B0475">
      <w:pPr>
        <w:pStyle w:val="ac"/>
        <w:numPr>
          <w:ilvl w:val="0"/>
          <w:numId w:val="76"/>
        </w:numPr>
        <w:rPr>
          <w:rFonts w:cs="Arial"/>
          <w:rtl/>
        </w:rPr>
      </w:pPr>
      <w:r w:rsidRPr="007144F0">
        <w:rPr>
          <w:rFonts w:cs="Arial"/>
          <w:rtl/>
        </w:rPr>
        <w:t>הגה</w:t>
      </w:r>
      <w:r w:rsidRPr="007144F0">
        <w:rPr>
          <w:rFonts w:cs="Arial" w:hint="cs"/>
          <w:rtl/>
        </w:rPr>
        <w:t>"מ</w:t>
      </w:r>
      <w:r w:rsidRPr="007144F0">
        <w:rPr>
          <w:rFonts w:cs="Arial"/>
          <w:rtl/>
        </w:rPr>
        <w:t xml:space="preserve"> </w:t>
      </w:r>
      <w:r w:rsidRPr="000E6DCB">
        <w:rPr>
          <w:rFonts w:cs="Arial"/>
          <w:sz w:val="16"/>
          <w:szCs w:val="16"/>
          <w:rtl/>
        </w:rPr>
        <w:t xml:space="preserve">(שם) </w:t>
      </w:r>
      <w:r>
        <w:rPr>
          <w:rFonts w:cs="Arial" w:hint="cs"/>
          <w:rtl/>
        </w:rPr>
        <w:t xml:space="preserve">בשם </w:t>
      </w:r>
      <w:r w:rsidRPr="007144F0">
        <w:rPr>
          <w:rFonts w:cs="Arial"/>
          <w:rtl/>
        </w:rPr>
        <w:t>ראבי"ה</w:t>
      </w:r>
      <w:r>
        <w:rPr>
          <w:rFonts w:cs="Arial" w:hint="cs"/>
          <w:rtl/>
        </w:rPr>
        <w:t>- אם העד ת"ח שפיר דמי, ו</w:t>
      </w:r>
      <w:r w:rsidRPr="007144F0">
        <w:rPr>
          <w:rFonts w:cs="Arial"/>
          <w:rtl/>
        </w:rPr>
        <w:t xml:space="preserve">הוא הדין </w:t>
      </w:r>
      <w:r>
        <w:rPr>
          <w:rFonts w:cs="Arial" w:hint="cs"/>
          <w:rtl/>
        </w:rPr>
        <w:t>ל</w:t>
      </w:r>
      <w:r w:rsidRPr="007144F0">
        <w:rPr>
          <w:rFonts w:cs="Arial"/>
          <w:rtl/>
        </w:rPr>
        <w:t>אדם ירא שמים וכשר</w:t>
      </w:r>
      <w:r>
        <w:rPr>
          <w:rStyle w:val="ab"/>
          <w:rFonts w:cs="Arial"/>
          <w:rtl/>
        </w:rPr>
        <w:footnoteReference w:id="1489"/>
      </w:r>
      <w:r w:rsidRPr="007144F0">
        <w:rPr>
          <w:rFonts w:cs="Arial"/>
          <w:rtl/>
        </w:rPr>
        <w:t xml:space="preserve">. </w:t>
      </w:r>
    </w:p>
    <w:p w14:paraId="0826172F" w14:textId="77777777" w:rsidR="004B607F" w:rsidRDefault="004B607F" w:rsidP="004B607F">
      <w:pPr>
        <w:rPr>
          <w:rFonts w:cs="Arial"/>
          <w:rtl/>
        </w:rPr>
      </w:pPr>
      <w:r w:rsidRPr="007144F0">
        <w:rPr>
          <w:rFonts w:cs="Arial" w:hint="cs"/>
          <w:u w:val="single"/>
          <w:rtl/>
        </w:rPr>
        <w:t xml:space="preserve">עד </w:t>
      </w:r>
      <w:r>
        <w:rPr>
          <w:rFonts w:cs="Arial" w:hint="cs"/>
          <w:u w:val="single"/>
          <w:rtl/>
        </w:rPr>
        <w:t xml:space="preserve">שאינו ת"ח </w:t>
      </w:r>
      <w:r w:rsidRPr="007144F0">
        <w:rPr>
          <w:rFonts w:cs="Arial" w:hint="cs"/>
          <w:u w:val="single"/>
          <w:rtl/>
        </w:rPr>
        <w:t xml:space="preserve">שאומר </w:t>
      </w:r>
      <w:r>
        <w:rPr>
          <w:rFonts w:cs="Arial" w:hint="cs"/>
          <w:u w:val="single"/>
          <w:rtl/>
        </w:rPr>
        <w:t>'</w:t>
      </w:r>
      <w:r w:rsidRPr="007144F0">
        <w:rPr>
          <w:rFonts w:cs="Arial" w:hint="cs"/>
          <w:u w:val="single"/>
          <w:rtl/>
        </w:rPr>
        <w:t>נזכרתי מעצמי</w:t>
      </w:r>
      <w:r>
        <w:rPr>
          <w:rFonts w:cs="Arial" w:hint="cs"/>
          <w:u w:val="single"/>
          <w:rtl/>
        </w:rPr>
        <w:t>' לאחר שהזכירו בע"ד</w:t>
      </w:r>
      <w:r w:rsidRPr="007144F0">
        <w:rPr>
          <w:rFonts w:cs="Arial" w:hint="cs"/>
          <w:u w:val="single"/>
          <w:rtl/>
        </w:rPr>
        <w:t>:</w:t>
      </w:r>
      <w:r>
        <w:rPr>
          <w:rFonts w:cs="Arial" w:hint="cs"/>
          <w:color w:val="FF0000"/>
          <w:rtl/>
        </w:rPr>
        <w:t xml:space="preserve">  </w:t>
      </w:r>
    </w:p>
    <w:p w14:paraId="38542B3C" w14:textId="77777777" w:rsidR="004B607F" w:rsidRPr="00221BFB" w:rsidRDefault="004B607F" w:rsidP="004B0475">
      <w:pPr>
        <w:pStyle w:val="ac"/>
        <w:numPr>
          <w:ilvl w:val="0"/>
          <w:numId w:val="77"/>
        </w:numPr>
        <w:rPr>
          <w:rtl/>
        </w:rPr>
      </w:pPr>
      <w:r w:rsidRPr="007144F0">
        <w:rPr>
          <w:rFonts w:cs="Arial" w:hint="cs"/>
          <w:rtl/>
        </w:rPr>
        <w:t xml:space="preserve">ב"י- </w:t>
      </w:r>
      <w:r w:rsidRPr="007144F0">
        <w:rPr>
          <w:rFonts w:cs="Arial"/>
          <w:rtl/>
        </w:rPr>
        <w:t xml:space="preserve">לי נראה דע"כ לא שקלינן וטרינן בגמרא </w:t>
      </w:r>
      <w:r>
        <w:rPr>
          <w:rFonts w:cs="Arial" w:hint="cs"/>
          <w:rtl/>
        </w:rPr>
        <w:t>'</w:t>
      </w:r>
      <w:r w:rsidRPr="007144F0">
        <w:rPr>
          <w:rFonts w:cs="Arial"/>
          <w:rtl/>
        </w:rPr>
        <w:t>לעצמו מאי</w:t>
      </w:r>
      <w:r>
        <w:rPr>
          <w:rFonts w:cs="Arial" w:hint="cs"/>
          <w:rtl/>
        </w:rPr>
        <w:t>'</w:t>
      </w:r>
      <w:r w:rsidRPr="007144F0">
        <w:rPr>
          <w:rFonts w:cs="Arial"/>
          <w:rtl/>
        </w:rPr>
        <w:t xml:space="preserve"> אלא בליתיה לעד קמן דנישייליה</w:t>
      </w:r>
      <w:r w:rsidRPr="007144F0">
        <w:rPr>
          <w:rFonts w:cs="Arial" w:hint="cs"/>
          <w:rtl/>
        </w:rPr>
        <w:t>,</w:t>
      </w:r>
      <w:r w:rsidRPr="007144F0">
        <w:rPr>
          <w:rFonts w:cs="Arial"/>
          <w:rtl/>
        </w:rPr>
        <w:t xml:space="preserve"> אי נמי איתיה ולא ידע אי אידכר או סמיך אמאי דאדכריה תובע</w:t>
      </w:r>
      <w:r>
        <w:rPr>
          <w:rFonts w:cs="Arial" w:hint="cs"/>
          <w:rtl/>
        </w:rPr>
        <w:t>.</w:t>
      </w:r>
      <w:r w:rsidRPr="007144F0">
        <w:rPr>
          <w:rFonts w:cs="Arial"/>
          <w:rtl/>
        </w:rPr>
        <w:t xml:space="preserve"> אבל אי איתיה קמן ואמר אנא רמאי אנפשאי ואדכראי </w:t>
      </w:r>
      <w:r>
        <w:rPr>
          <w:rFonts w:cs="Arial"/>
          <w:rtl/>
        </w:rPr>
        <w:t>–</w:t>
      </w:r>
      <w:r>
        <w:rPr>
          <w:rFonts w:cs="Arial" w:hint="cs"/>
          <w:rtl/>
        </w:rPr>
        <w:t xml:space="preserve"> </w:t>
      </w:r>
      <w:r w:rsidRPr="007144F0">
        <w:rPr>
          <w:rFonts w:cs="Arial"/>
          <w:rtl/>
        </w:rPr>
        <w:t>מהימן</w:t>
      </w:r>
      <w:r>
        <w:rPr>
          <w:rFonts w:cs="Arial" w:hint="cs"/>
          <w:rtl/>
        </w:rPr>
        <w:t>,</w:t>
      </w:r>
      <w:r w:rsidRPr="007144F0">
        <w:rPr>
          <w:rFonts w:cs="Arial"/>
          <w:rtl/>
        </w:rPr>
        <w:t xml:space="preserve"> דכיון דכשר לעדות הוא </w:t>
      </w:r>
      <w:r>
        <w:rPr>
          <w:rFonts w:cs="Arial" w:hint="cs"/>
          <w:rtl/>
        </w:rPr>
        <w:t xml:space="preserve">- </w:t>
      </w:r>
      <w:r w:rsidRPr="007144F0">
        <w:rPr>
          <w:rFonts w:cs="Arial"/>
          <w:rtl/>
        </w:rPr>
        <w:t>בהא נמי מהימנינן ליה</w:t>
      </w:r>
      <w:r w:rsidRPr="007144F0">
        <w:rPr>
          <w:rFonts w:cs="Arial" w:hint="cs"/>
          <w:rtl/>
        </w:rPr>
        <w:t>.</w:t>
      </w:r>
    </w:p>
    <w:p w14:paraId="100B6960" w14:textId="77777777" w:rsidR="004B607F" w:rsidRPr="003024E5" w:rsidRDefault="004B607F" w:rsidP="004B607F">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20D653C8" w14:textId="77777777" w:rsidR="004B607F" w:rsidRDefault="004B607F" w:rsidP="004B607F">
      <w:pPr>
        <w:rPr>
          <w:rtl/>
        </w:rPr>
      </w:pPr>
      <w:r>
        <w:rPr>
          <w:rFonts w:cs="Arial"/>
          <w:rtl/>
        </w:rPr>
        <w:t>וכן אם נזכר לדבר על ידי אחר שהזכירו לו, יכול להעיד, אפילו היה המזכיר העד השני</w:t>
      </w:r>
      <w:r>
        <w:rPr>
          <w:rStyle w:val="ab"/>
          <w:rFonts w:cs="Arial"/>
          <w:rtl/>
        </w:rPr>
        <w:footnoteReference w:id="1490"/>
      </w:r>
      <w:r>
        <w:rPr>
          <w:rFonts w:cs="Arial"/>
          <w:rtl/>
        </w:rPr>
        <w:t>. אבל אם הבעל דין בעצמו מזכירו ונזכר, לא יעיד</w:t>
      </w:r>
      <w:r>
        <w:rPr>
          <w:rFonts w:cs="Arial" w:hint="cs"/>
          <w:rtl/>
        </w:rPr>
        <w:t>.</w:t>
      </w:r>
      <w:r>
        <w:rPr>
          <w:rFonts w:cs="Arial"/>
          <w:rtl/>
        </w:rPr>
        <w:t xml:space="preserve"> ואם העד תלמיד חכם, אף אם הבעל דין בעצמו מזכירו, שפיר דמי, שודאי אי לא היה נזכר לא היה מעיד. </w:t>
      </w:r>
    </w:p>
    <w:p w14:paraId="5958D335" w14:textId="77777777" w:rsidR="004B607F" w:rsidRDefault="004B607F" w:rsidP="004B607F">
      <w:pPr>
        <w:rPr>
          <w:rtl/>
        </w:rPr>
      </w:pPr>
    </w:p>
    <w:p w14:paraId="3FAB70E5" w14:textId="77777777" w:rsidR="004B607F" w:rsidRDefault="004B607F" w:rsidP="004B607F">
      <w:pPr>
        <w:pStyle w:val="2"/>
        <w:rPr>
          <w:rtl/>
        </w:rPr>
      </w:pPr>
      <w:bookmarkStart w:id="214" w:name="_Toc24883689"/>
      <w:r>
        <w:rPr>
          <w:rtl/>
        </w:rPr>
        <w:t>סעיף טו</w:t>
      </w:r>
      <w:r>
        <w:rPr>
          <w:rFonts w:hint="cs"/>
          <w:rtl/>
        </w:rPr>
        <w:t>: קבלת עדות שלא בפני בעל דין ובפני קטן.</w:t>
      </w:r>
      <w:bookmarkEnd w:id="214"/>
    </w:p>
    <w:p w14:paraId="2F16D676" w14:textId="77777777" w:rsidR="004B607F" w:rsidRDefault="004B607F" w:rsidP="004B607F">
      <w:pPr>
        <w:rPr>
          <w:rFonts w:cs="Arial"/>
          <w:rtl/>
        </w:rPr>
      </w:pPr>
      <w:r>
        <w:rPr>
          <w:rFonts w:cs="Arial" w:hint="cs"/>
          <w:b/>
          <w:bCs/>
          <w:rtl/>
        </w:rPr>
        <w:t>בבא קמא</w:t>
      </w:r>
      <w:r w:rsidRPr="007F2F9D">
        <w:rPr>
          <w:rFonts w:cs="Arial" w:hint="cs"/>
          <w:b/>
          <w:bCs/>
          <w:sz w:val="16"/>
          <w:szCs w:val="16"/>
          <w:rtl/>
        </w:rPr>
        <w:t xml:space="preserve"> (פרק בתרא)</w:t>
      </w:r>
      <w:r>
        <w:rPr>
          <w:rFonts w:cs="Arial" w:hint="cs"/>
          <w:b/>
          <w:bCs/>
          <w:rtl/>
        </w:rPr>
        <w:t xml:space="preserve"> קיב</w:t>
      </w:r>
      <w:r>
        <w:rPr>
          <w:rStyle w:val="ab"/>
          <w:rFonts w:cs="Arial"/>
          <w:b/>
          <w:bCs/>
          <w:rtl/>
        </w:rPr>
        <w:footnoteReference w:id="1491"/>
      </w:r>
      <w:r>
        <w:rPr>
          <w:rFonts w:cs="Arial" w:hint="cs"/>
          <w:b/>
          <w:bCs/>
          <w:rtl/>
        </w:rPr>
        <w:t xml:space="preserve"> ע"א: </w:t>
      </w:r>
      <w:r w:rsidRPr="007F2F9D">
        <w:rPr>
          <w:rFonts w:cs="Arial"/>
          <w:rtl/>
        </w:rPr>
        <w:t>בר חמוה דרבי ירמיה</w:t>
      </w:r>
      <w:r>
        <w:rPr>
          <w:rStyle w:val="ab"/>
          <w:rFonts w:cs="Arial"/>
          <w:rtl/>
        </w:rPr>
        <w:footnoteReference w:id="1492"/>
      </w:r>
      <w:r w:rsidRPr="007F2F9D">
        <w:rPr>
          <w:rFonts w:cs="Arial"/>
          <w:rtl/>
        </w:rPr>
        <w:t xml:space="preserve"> טרק גלי</w:t>
      </w:r>
      <w:r>
        <w:rPr>
          <w:rStyle w:val="ab"/>
          <w:rFonts w:cs="Arial"/>
          <w:rtl/>
        </w:rPr>
        <w:footnoteReference w:id="1493"/>
      </w:r>
      <w:r w:rsidRPr="007F2F9D">
        <w:rPr>
          <w:rFonts w:cs="Arial"/>
          <w:rtl/>
        </w:rPr>
        <w:t xml:space="preserve"> באפיה דרבי ירמיה, אתא לקמיה דרבי אבין, </w:t>
      </w:r>
      <w:r w:rsidRPr="00252857">
        <w:rPr>
          <w:rFonts w:cs="Arial"/>
          <w:u w:val="single"/>
          <w:rtl/>
        </w:rPr>
        <w:t>אמר</w:t>
      </w:r>
      <w:r w:rsidRPr="007F2F9D">
        <w:rPr>
          <w:rFonts w:cs="Arial"/>
          <w:rtl/>
        </w:rPr>
        <w:t>: שלו הוא תובע. א"ל: והא מייתינא סהדי דאחזקי ביה בחיי דאבוה</w:t>
      </w:r>
      <w:r>
        <w:rPr>
          <w:rStyle w:val="ab"/>
          <w:rFonts w:cs="Arial"/>
          <w:rtl/>
        </w:rPr>
        <w:footnoteReference w:id="1494"/>
      </w:r>
      <w:r w:rsidRPr="007F2F9D">
        <w:rPr>
          <w:rFonts w:cs="Arial"/>
          <w:rtl/>
        </w:rPr>
        <w:t>! א"ל: וכי מקבלין עדים</w:t>
      </w:r>
      <w:r>
        <w:rPr>
          <w:rFonts w:cs="Arial" w:hint="cs"/>
          <w:rtl/>
        </w:rPr>
        <w:t xml:space="preserve"> </w:t>
      </w:r>
      <w:r w:rsidRPr="007F2F9D">
        <w:rPr>
          <w:rFonts w:cs="Arial" w:hint="cs"/>
          <w:sz w:val="14"/>
          <w:szCs w:val="14"/>
          <w:rtl/>
        </w:rPr>
        <w:t>(קיב:)</w:t>
      </w:r>
      <w:r w:rsidRPr="007F2F9D">
        <w:rPr>
          <w:rFonts w:cs="Arial"/>
          <w:sz w:val="14"/>
          <w:szCs w:val="14"/>
          <w:rtl/>
        </w:rPr>
        <w:t xml:space="preserve"> </w:t>
      </w:r>
      <w:r w:rsidRPr="007F2F9D">
        <w:rPr>
          <w:rFonts w:cs="Arial"/>
          <w:rtl/>
        </w:rPr>
        <w:t>שלא בפני בעל דין</w:t>
      </w:r>
      <w:r>
        <w:rPr>
          <w:rStyle w:val="ab"/>
          <w:rFonts w:cs="Arial"/>
          <w:rtl/>
        </w:rPr>
        <w:footnoteReference w:id="1495"/>
      </w:r>
      <w:r w:rsidRPr="007F2F9D">
        <w:rPr>
          <w:rFonts w:cs="Arial"/>
          <w:rtl/>
        </w:rPr>
        <w:t>?</w:t>
      </w:r>
      <w:r>
        <w:rPr>
          <w:rFonts w:cs="Arial" w:hint="cs"/>
          <w:rtl/>
        </w:rPr>
        <w:t xml:space="preserve">... </w:t>
      </w:r>
      <w:r w:rsidRPr="007F2F9D">
        <w:rPr>
          <w:rFonts w:cs="Arial"/>
          <w:rtl/>
        </w:rPr>
        <w:t xml:space="preserve">אדהכי איגלגל מילתא אתא ומטא לקמיה דרבי אבהו, אמר: לא שמיע לכו הא דרב יוסף בר חמא א"ר אושעיא? </w:t>
      </w:r>
      <w:r w:rsidRPr="00116E49">
        <w:rPr>
          <w:rFonts w:cs="Arial"/>
          <w:u w:val="single"/>
          <w:rtl/>
        </w:rPr>
        <w:t>דאמר רב יוסף בר חמא אמר רבי אושעיא</w:t>
      </w:r>
      <w:r w:rsidRPr="007F2F9D">
        <w:rPr>
          <w:rFonts w:cs="Arial"/>
          <w:rtl/>
        </w:rPr>
        <w:t>: תינוק שתקף בעבדיו</w:t>
      </w:r>
      <w:r>
        <w:rPr>
          <w:rStyle w:val="ab"/>
          <w:rFonts w:cs="Arial"/>
          <w:rtl/>
        </w:rPr>
        <w:footnoteReference w:id="1496"/>
      </w:r>
      <w:r w:rsidRPr="007F2F9D">
        <w:rPr>
          <w:rFonts w:cs="Arial"/>
          <w:rtl/>
        </w:rPr>
        <w:t>, וירד לתוך שדה של חבירו ואמר שלי הוא, אין אומרים נמתין עד שיגדיל, אלא מוציאין מידו מיד, ולכשיגדיל יביא עדים ונראה</w:t>
      </w:r>
      <w:r>
        <w:rPr>
          <w:rStyle w:val="ab"/>
          <w:rFonts w:cs="Arial"/>
          <w:rtl/>
        </w:rPr>
        <w:footnoteReference w:id="1497"/>
      </w:r>
      <w:r w:rsidRPr="007F2F9D">
        <w:rPr>
          <w:rFonts w:cs="Arial"/>
          <w:rtl/>
        </w:rPr>
        <w:t>! מי דמי? התם</w:t>
      </w:r>
      <w:r>
        <w:rPr>
          <w:rStyle w:val="ab"/>
          <w:rFonts w:cs="Arial"/>
          <w:rtl/>
        </w:rPr>
        <w:footnoteReference w:id="1498"/>
      </w:r>
      <w:r w:rsidRPr="007F2F9D">
        <w:rPr>
          <w:rFonts w:cs="Arial"/>
          <w:rtl/>
        </w:rPr>
        <w:t xml:space="preserve"> הוא דמפקינן מיניה - דלא קיימא ליה אחזקה דאבוה, אבל היכא דאית ליה חזקה דאבוה - לא.</w:t>
      </w:r>
    </w:p>
    <w:p w14:paraId="1A2E3B78" w14:textId="77777777" w:rsidR="004B607F" w:rsidRDefault="004B607F" w:rsidP="004B607F">
      <w:pPr>
        <w:rPr>
          <w:rFonts w:cs="Arial"/>
          <w:rtl/>
        </w:rPr>
      </w:pPr>
      <w:r w:rsidRPr="00D50EC3">
        <w:rPr>
          <w:rFonts w:cs="Arial" w:hint="cs"/>
          <w:u w:val="single"/>
          <w:rtl/>
        </w:rPr>
        <w:lastRenderedPageBreak/>
        <w:t>קבלת עדות בפני בעל דין ובפני קטן:</w:t>
      </w:r>
    </w:p>
    <w:p w14:paraId="7AAC32D2" w14:textId="77777777" w:rsidR="004B607F" w:rsidRPr="00D50EC3" w:rsidRDefault="004B607F" w:rsidP="004B0475">
      <w:pPr>
        <w:pStyle w:val="ac"/>
        <w:numPr>
          <w:ilvl w:val="0"/>
          <w:numId w:val="77"/>
        </w:numPr>
        <w:rPr>
          <w:rFonts w:cs="Arial"/>
          <w:rtl/>
        </w:rPr>
      </w:pPr>
      <w:r w:rsidRPr="00D50EC3">
        <w:rPr>
          <w:rFonts w:cs="Arial" w:hint="cs"/>
          <w:rtl/>
        </w:rPr>
        <w:t>טור-</w:t>
      </w:r>
      <w:r w:rsidRPr="00D50EC3">
        <w:rPr>
          <w:rFonts w:cs="Arial"/>
          <w:rtl/>
        </w:rPr>
        <w:t xml:space="preserve"> אין מקבלין את העדות אלא בפני בע"ד</w:t>
      </w:r>
      <w:r>
        <w:rPr>
          <w:rFonts w:cs="Arial" w:hint="cs"/>
          <w:rtl/>
        </w:rPr>
        <w:t>.</w:t>
      </w:r>
      <w:r w:rsidRPr="00D50EC3">
        <w:rPr>
          <w:rFonts w:cs="Arial"/>
          <w:rtl/>
        </w:rPr>
        <w:t xml:space="preserve"> וקטן אפי' בפניו </w:t>
      </w:r>
      <w:r>
        <w:rPr>
          <w:rFonts w:cs="Arial" w:hint="cs"/>
          <w:rtl/>
        </w:rPr>
        <w:t xml:space="preserve">- </w:t>
      </w:r>
      <w:r w:rsidRPr="00D50EC3">
        <w:rPr>
          <w:rFonts w:cs="Arial"/>
          <w:rtl/>
        </w:rPr>
        <w:t>כשלא בפניו דמי</w:t>
      </w:r>
      <w:r>
        <w:rPr>
          <w:rFonts w:cs="Arial" w:hint="cs"/>
          <w:rtl/>
        </w:rPr>
        <w:t>.</w:t>
      </w:r>
      <w:r w:rsidRPr="00D50EC3">
        <w:rPr>
          <w:rFonts w:cs="Arial"/>
          <w:rtl/>
        </w:rPr>
        <w:t xml:space="preserve"> ודוקא בנכסים שהיו בחזקת אביו ובא אחד להחזיק בהם והוציאו הקטן משם</w:t>
      </w:r>
      <w:r>
        <w:rPr>
          <w:rFonts w:cs="Arial" w:hint="cs"/>
          <w:rtl/>
        </w:rPr>
        <w:t>,</w:t>
      </w:r>
      <w:r w:rsidRPr="00D50EC3">
        <w:rPr>
          <w:rFonts w:cs="Arial"/>
          <w:rtl/>
        </w:rPr>
        <w:t xml:space="preserve"> אפילו יש לאחד עדים שהחזיק בהן </w:t>
      </w:r>
      <w:r>
        <w:rPr>
          <w:rFonts w:cs="Arial" w:hint="cs"/>
          <w:rtl/>
        </w:rPr>
        <w:t xml:space="preserve">- </w:t>
      </w:r>
      <w:r w:rsidRPr="00D50EC3">
        <w:rPr>
          <w:rFonts w:cs="Arial"/>
          <w:rtl/>
        </w:rPr>
        <w:t>אין מקבלין אותם. אבל אם אין לקטן חזקת אב</w:t>
      </w:r>
      <w:r>
        <w:rPr>
          <w:rFonts w:cs="Arial" w:hint="cs"/>
          <w:rtl/>
        </w:rPr>
        <w:t xml:space="preserve"> -</w:t>
      </w:r>
      <w:r w:rsidRPr="00D50EC3">
        <w:rPr>
          <w:rFonts w:cs="Arial"/>
          <w:rtl/>
        </w:rPr>
        <w:t xml:space="preserve"> מוציאין מידו</w:t>
      </w:r>
      <w:r w:rsidRPr="00D50EC3">
        <w:rPr>
          <w:rFonts w:cs="Arial" w:hint="cs"/>
          <w:rtl/>
        </w:rPr>
        <w:t>.</w:t>
      </w:r>
      <w:r>
        <w:rPr>
          <w:rFonts w:cs="Arial" w:hint="cs"/>
          <w:rtl/>
        </w:rPr>
        <w:t xml:space="preserve"> </w:t>
      </w:r>
      <w:r w:rsidRPr="00BE0913">
        <w:rPr>
          <w:rFonts w:cs="Arial" w:hint="cs"/>
          <w:color w:val="E36C0A" w:themeColor="accent6" w:themeShade="BF"/>
          <w:rtl/>
        </w:rPr>
        <w:t>(וכ"פ בשו"ע</w:t>
      </w:r>
      <w:r w:rsidRPr="00BE0913">
        <w:rPr>
          <w:rFonts w:cs="Arial" w:hint="cs"/>
          <w:color w:val="E36C0A" w:themeColor="accent6" w:themeShade="BF"/>
          <w:sz w:val="16"/>
          <w:szCs w:val="16"/>
          <w:rtl/>
        </w:rPr>
        <w:t xml:space="preserve"> </w:t>
      </w:r>
      <w:r>
        <w:rPr>
          <w:rFonts w:cs="Arial" w:hint="cs"/>
          <w:sz w:val="16"/>
          <w:szCs w:val="16"/>
          <w:rtl/>
        </w:rPr>
        <w:t>[כאן ובסע' יט]</w:t>
      </w:r>
      <w:r w:rsidRPr="00BE0913">
        <w:rPr>
          <w:rFonts w:cs="Arial" w:hint="cs"/>
          <w:color w:val="E36C0A" w:themeColor="accent6" w:themeShade="BF"/>
          <w:rtl/>
        </w:rPr>
        <w:t>)</w:t>
      </w:r>
      <w:r w:rsidRPr="00D50EC3">
        <w:rPr>
          <w:rFonts w:cs="Arial"/>
          <w:rtl/>
        </w:rPr>
        <w:tab/>
      </w:r>
    </w:p>
    <w:p w14:paraId="3B26A663" w14:textId="77777777" w:rsidR="004B607F" w:rsidRPr="00D50EC3" w:rsidRDefault="004B607F" w:rsidP="004B607F">
      <w:pPr>
        <w:ind w:left="360"/>
        <w:rPr>
          <w:rFonts w:cs="Arial"/>
          <w:u w:val="dotted"/>
          <w:rtl/>
        </w:rPr>
      </w:pPr>
      <w:r>
        <w:rPr>
          <w:rFonts w:cs="Arial" w:hint="cs"/>
          <w:u w:val="dotted"/>
          <w:rtl/>
        </w:rPr>
        <w:t>ו</w:t>
      </w:r>
      <w:r w:rsidRPr="00D50EC3">
        <w:rPr>
          <w:rFonts w:cs="Arial" w:hint="cs"/>
          <w:u w:val="dotted"/>
          <w:rtl/>
        </w:rPr>
        <w:t xml:space="preserve">מה הדין </w:t>
      </w:r>
      <w:r>
        <w:rPr>
          <w:rFonts w:cs="Arial" w:hint="cs"/>
          <w:u w:val="dotted"/>
          <w:rtl/>
        </w:rPr>
        <w:t xml:space="preserve">אם בעל דינו של הקטן </w:t>
      </w:r>
      <w:r w:rsidRPr="00D50EC3">
        <w:rPr>
          <w:rFonts w:cs="Arial" w:hint="cs"/>
          <w:sz w:val="16"/>
          <w:szCs w:val="16"/>
          <w:u w:val="dotted"/>
          <w:rtl/>
        </w:rPr>
        <w:t xml:space="preserve">(רבי ירמיה </w:t>
      </w:r>
      <w:r>
        <w:rPr>
          <w:rFonts w:cs="Arial" w:hint="cs"/>
          <w:sz w:val="16"/>
          <w:szCs w:val="16"/>
          <w:u w:val="dotted"/>
          <w:rtl/>
        </w:rPr>
        <w:t>לדוגמא</w:t>
      </w:r>
      <w:r w:rsidRPr="00D50EC3">
        <w:rPr>
          <w:rFonts w:cs="Arial" w:hint="cs"/>
          <w:sz w:val="16"/>
          <w:szCs w:val="16"/>
          <w:u w:val="dotted"/>
          <w:rtl/>
        </w:rPr>
        <w:t>)</w:t>
      </w:r>
      <w:r w:rsidRPr="00D50EC3">
        <w:rPr>
          <w:rFonts w:cs="Arial" w:hint="cs"/>
          <w:u w:val="dotted"/>
          <w:rtl/>
        </w:rPr>
        <w:t xml:space="preserve"> היה מוחזק </w:t>
      </w:r>
      <w:r>
        <w:rPr>
          <w:rFonts w:cs="Arial" w:hint="cs"/>
          <w:u w:val="dotted"/>
          <w:rtl/>
        </w:rPr>
        <w:t>מנכסיו</w:t>
      </w:r>
      <w:r w:rsidRPr="00D50EC3">
        <w:rPr>
          <w:rFonts w:cs="Arial" w:hint="cs"/>
          <w:u w:val="dotted"/>
          <w:rtl/>
        </w:rPr>
        <w:t>:</w:t>
      </w:r>
    </w:p>
    <w:p w14:paraId="54CA06CB" w14:textId="77777777" w:rsidR="004B607F" w:rsidRPr="002009FE" w:rsidRDefault="004B607F" w:rsidP="004B0475">
      <w:pPr>
        <w:pStyle w:val="ac"/>
        <w:numPr>
          <w:ilvl w:val="0"/>
          <w:numId w:val="77"/>
        </w:numPr>
        <w:rPr>
          <w:rFonts w:cs="Arial"/>
          <w:rtl/>
        </w:rPr>
      </w:pPr>
      <w:r w:rsidRPr="002009FE">
        <w:rPr>
          <w:rFonts w:cs="Arial"/>
          <w:rtl/>
        </w:rPr>
        <w:t>תוס</w:t>
      </w:r>
      <w:r>
        <w:rPr>
          <w:rFonts w:cs="Arial" w:hint="cs"/>
          <w:rtl/>
        </w:rPr>
        <w:t>'</w:t>
      </w:r>
      <w:r w:rsidRPr="002009FE">
        <w:rPr>
          <w:rFonts w:cs="Arial"/>
          <w:rtl/>
        </w:rPr>
        <w:t xml:space="preserve"> </w:t>
      </w:r>
      <w:r w:rsidRPr="002009FE">
        <w:rPr>
          <w:rFonts w:cs="Arial"/>
          <w:sz w:val="16"/>
          <w:szCs w:val="16"/>
          <w:rtl/>
        </w:rPr>
        <w:t>(ד"ה אבל)</w:t>
      </w:r>
      <w:r>
        <w:rPr>
          <w:rFonts w:cs="Arial" w:hint="cs"/>
          <w:rtl/>
        </w:rPr>
        <w:t>-</w:t>
      </w:r>
      <w:r w:rsidRPr="002009FE">
        <w:rPr>
          <w:rFonts w:cs="Arial"/>
          <w:rtl/>
        </w:rPr>
        <w:t xml:space="preserve"> משמע דהיינו אפילו היה רבי ירמיה מוחזק בבית</w:t>
      </w:r>
      <w:r w:rsidRPr="002009FE">
        <w:rPr>
          <w:rFonts w:cs="Arial" w:hint="cs"/>
          <w:rtl/>
        </w:rPr>
        <w:t>,</w:t>
      </w:r>
      <w:r w:rsidRPr="002009FE">
        <w:rPr>
          <w:rFonts w:cs="Arial"/>
          <w:rtl/>
        </w:rPr>
        <w:t xml:space="preserve"> מדלא מפליג התם </w:t>
      </w:r>
      <w:r w:rsidRPr="002009FE">
        <w:rPr>
          <w:rFonts w:cs="Arial" w:hint="cs"/>
          <w:rtl/>
        </w:rPr>
        <w:t>'</w:t>
      </w:r>
      <w:r w:rsidRPr="002009FE">
        <w:rPr>
          <w:rFonts w:cs="Arial"/>
          <w:rtl/>
        </w:rPr>
        <w:t>בעל השדה מוחזק בשדה הכא רבי ירמיה לא היה מוחזק</w:t>
      </w:r>
      <w:r w:rsidRPr="002009FE">
        <w:rPr>
          <w:rFonts w:cs="Arial" w:hint="cs"/>
          <w:rtl/>
        </w:rPr>
        <w:t>'</w:t>
      </w:r>
      <w:r w:rsidRPr="002009FE">
        <w:rPr>
          <w:rFonts w:cs="Arial"/>
          <w:rtl/>
        </w:rPr>
        <w:t xml:space="preserve"> משמע דלא תלי בהכי מידי</w:t>
      </w:r>
      <w:r w:rsidRPr="002009FE">
        <w:rPr>
          <w:rFonts w:cs="Arial" w:hint="cs"/>
          <w:rtl/>
        </w:rPr>
        <w:t>,</w:t>
      </w:r>
      <w:r w:rsidRPr="002009FE">
        <w:rPr>
          <w:rFonts w:cs="Arial"/>
          <w:rtl/>
        </w:rPr>
        <w:t xml:space="preserve"> אלא במה דאית ליה חזקה מאבות אפילו היה רבי ירמיה מוחזק בבית</w:t>
      </w:r>
      <w:r w:rsidRPr="002009FE">
        <w:rPr>
          <w:rFonts w:cs="Arial" w:hint="cs"/>
          <w:rtl/>
        </w:rPr>
        <w:t>.</w:t>
      </w:r>
      <w:r w:rsidRPr="002009FE">
        <w:rPr>
          <w:rFonts w:cs="Arial"/>
          <w:rtl/>
        </w:rPr>
        <w:t xml:space="preserve"> </w:t>
      </w:r>
    </w:p>
    <w:p w14:paraId="657389FD" w14:textId="77777777" w:rsidR="004B607F" w:rsidRDefault="004B607F" w:rsidP="004B0475">
      <w:pPr>
        <w:pStyle w:val="ac"/>
        <w:numPr>
          <w:ilvl w:val="0"/>
          <w:numId w:val="77"/>
        </w:numPr>
        <w:rPr>
          <w:rFonts w:cs="Arial"/>
        </w:rPr>
      </w:pPr>
      <w:r w:rsidRPr="002009FE">
        <w:rPr>
          <w:rFonts w:cs="Arial"/>
          <w:rtl/>
        </w:rPr>
        <w:t>ריב"א</w:t>
      </w:r>
      <w:r>
        <w:rPr>
          <w:rFonts w:cs="Arial" w:hint="cs"/>
          <w:rtl/>
        </w:rPr>
        <w:t xml:space="preserve"> </w:t>
      </w:r>
      <w:r>
        <w:rPr>
          <w:rFonts w:cs="Arial"/>
          <w:rtl/>
        </w:rPr>
        <w:t xml:space="preserve">רמב"ם </w:t>
      </w:r>
      <w:r>
        <w:rPr>
          <w:rFonts w:cs="Arial" w:hint="cs"/>
          <w:rtl/>
        </w:rPr>
        <w:t>ו</w:t>
      </w:r>
      <w:r>
        <w:rPr>
          <w:rFonts w:cs="Arial"/>
          <w:rtl/>
        </w:rPr>
        <w:t>רשב"א</w:t>
      </w:r>
      <w:r>
        <w:rPr>
          <w:rStyle w:val="ab"/>
          <w:rFonts w:cs="Arial"/>
          <w:rtl/>
        </w:rPr>
        <w:footnoteReference w:id="1499"/>
      </w:r>
      <w:r>
        <w:rPr>
          <w:rFonts w:cs="Arial" w:hint="cs"/>
          <w:rtl/>
        </w:rPr>
        <w:t xml:space="preserve">- </w:t>
      </w:r>
      <w:r w:rsidRPr="002009FE">
        <w:rPr>
          <w:rFonts w:cs="Arial"/>
          <w:rtl/>
        </w:rPr>
        <w:t>דוקא טרק גלי שהחזיק התינוק בעצמו ולא הניחו</w:t>
      </w:r>
      <w:r>
        <w:rPr>
          <w:rFonts w:cs="Arial" w:hint="cs"/>
          <w:rtl/>
        </w:rPr>
        <w:t>,</w:t>
      </w:r>
      <w:r w:rsidRPr="002009FE">
        <w:rPr>
          <w:rFonts w:cs="Arial"/>
          <w:rtl/>
        </w:rPr>
        <w:t xml:space="preserve"> מעכשיו אינו יכול רבי ירמיה להוציאו מידו אלא בעידי חזקה ואין מקבלין עדות שלא בפניו</w:t>
      </w:r>
      <w:r w:rsidRPr="002009FE">
        <w:rPr>
          <w:rFonts w:cs="Arial" w:hint="cs"/>
          <w:rtl/>
        </w:rPr>
        <w:t>,</w:t>
      </w:r>
      <w:r w:rsidRPr="002009FE">
        <w:rPr>
          <w:rFonts w:cs="Arial"/>
          <w:rtl/>
        </w:rPr>
        <w:t xml:space="preserve"> אבל אם היה רבי ירמיה דר באותו בית וזה היה תובעו בבית דין שיצא מביתו </w:t>
      </w:r>
      <w:r>
        <w:rPr>
          <w:rFonts w:cs="Arial" w:hint="cs"/>
          <w:rtl/>
        </w:rPr>
        <w:t xml:space="preserve">- </w:t>
      </w:r>
      <w:r w:rsidRPr="002009FE">
        <w:rPr>
          <w:rFonts w:cs="Arial"/>
          <w:rtl/>
        </w:rPr>
        <w:t>לא היינו מוציאין רבי ירמיה על ידי תביעתו של זה אע</w:t>
      </w:r>
      <w:r w:rsidRPr="002009FE">
        <w:rPr>
          <w:rFonts w:cs="Arial" w:hint="cs"/>
          <w:rtl/>
        </w:rPr>
        <w:t>"</w:t>
      </w:r>
      <w:r w:rsidRPr="002009FE">
        <w:rPr>
          <w:rFonts w:cs="Arial"/>
          <w:rtl/>
        </w:rPr>
        <w:t>ג דקי</w:t>
      </w:r>
      <w:r>
        <w:rPr>
          <w:rFonts w:cs="Arial" w:hint="cs"/>
          <w:rtl/>
        </w:rPr>
        <w:t>י"</w:t>
      </w:r>
      <w:r w:rsidRPr="002009FE">
        <w:rPr>
          <w:rFonts w:cs="Arial"/>
          <w:rtl/>
        </w:rPr>
        <w:t>ל מעולם דבית זה היה בחזקת אבוה</w:t>
      </w:r>
      <w:r w:rsidRPr="002009FE">
        <w:rPr>
          <w:rFonts w:cs="Arial" w:hint="cs"/>
          <w:rtl/>
        </w:rPr>
        <w:t>,</w:t>
      </w:r>
      <w:r w:rsidRPr="002009FE">
        <w:rPr>
          <w:rFonts w:cs="Arial"/>
          <w:rtl/>
        </w:rPr>
        <w:t xml:space="preserve"> משום דרבי ירמיה עכשיו אין צריך להביא עדים שהרי הוא אינו מערער אלא מוחזק בבית וזה מערער עליו</w:t>
      </w:r>
      <w:r w:rsidRPr="002009FE">
        <w:rPr>
          <w:rFonts w:cs="Arial" w:hint="cs"/>
          <w:rtl/>
        </w:rPr>
        <w:t>,</w:t>
      </w:r>
      <w:r w:rsidRPr="002009FE">
        <w:rPr>
          <w:rFonts w:cs="Arial"/>
          <w:rtl/>
        </w:rPr>
        <w:t xml:space="preserve"> ולכשיהיה גדול ויתבענו לדין אז יביא עדים שהחזיק בחיי אביו</w:t>
      </w:r>
      <w:r w:rsidRPr="002009FE">
        <w:rPr>
          <w:rFonts w:cs="Arial" w:hint="cs"/>
          <w:rtl/>
        </w:rPr>
        <w:t>,</w:t>
      </w:r>
      <w:r w:rsidRPr="002009FE">
        <w:rPr>
          <w:rFonts w:cs="Arial"/>
          <w:rtl/>
        </w:rPr>
        <w:t xml:space="preserve"> מחבור מורי ה"ר אפרים</w:t>
      </w:r>
      <w:r>
        <w:rPr>
          <w:rFonts w:cs="Arial" w:hint="cs"/>
          <w:sz w:val="16"/>
          <w:szCs w:val="16"/>
          <w:rtl/>
        </w:rPr>
        <w:t xml:space="preserve"> (ל' הגמ"ר)</w:t>
      </w:r>
      <w:r>
        <w:rPr>
          <w:rFonts w:cs="Arial" w:hint="cs"/>
          <w:rtl/>
        </w:rPr>
        <w:t>.</w:t>
      </w:r>
    </w:p>
    <w:p w14:paraId="1C818C80" w14:textId="77777777" w:rsidR="004B607F" w:rsidRPr="00456254" w:rsidRDefault="004B607F" w:rsidP="004B607F">
      <w:pPr>
        <w:rPr>
          <w:rFonts w:cs="Arial"/>
          <w:sz w:val="16"/>
          <w:szCs w:val="16"/>
          <w:u w:val="dotted"/>
        </w:rPr>
      </w:pPr>
      <w:r>
        <w:rPr>
          <w:rFonts w:cs="Arial" w:hint="cs"/>
          <w:u w:val="single"/>
          <w:rtl/>
        </w:rPr>
        <w:t>קבלת עדות שלא בפני בעל דין - כש</w:t>
      </w:r>
      <w:r w:rsidRPr="00A71386">
        <w:rPr>
          <w:rFonts w:cs="Arial" w:hint="cs"/>
          <w:u w:val="single"/>
          <w:rtl/>
        </w:rPr>
        <w:t>העדות בקנין:</w:t>
      </w:r>
      <w:r w:rsidRPr="00456254">
        <w:rPr>
          <w:rFonts w:cs="Arial" w:hint="cs"/>
          <w:sz w:val="16"/>
          <w:szCs w:val="16"/>
          <w:rtl/>
        </w:rPr>
        <w:t xml:space="preserve"> (</w:t>
      </w:r>
      <w:r>
        <w:rPr>
          <w:rFonts w:cs="Arial" w:hint="cs"/>
          <w:sz w:val="16"/>
          <w:szCs w:val="16"/>
          <w:rtl/>
        </w:rPr>
        <w:t>ב"י סע' טז)</w:t>
      </w:r>
    </w:p>
    <w:p w14:paraId="30F7B8F5" w14:textId="77777777" w:rsidR="004B607F" w:rsidRPr="00456254" w:rsidRDefault="004B607F" w:rsidP="004B0475">
      <w:pPr>
        <w:pStyle w:val="ac"/>
        <w:numPr>
          <w:ilvl w:val="0"/>
          <w:numId w:val="77"/>
        </w:numPr>
        <w:rPr>
          <w:rFonts w:cs="Arial"/>
          <w:rtl/>
        </w:rPr>
      </w:pPr>
      <w:r w:rsidRPr="00456254">
        <w:rPr>
          <w:rFonts w:cs="Arial"/>
          <w:rtl/>
        </w:rPr>
        <w:t xml:space="preserve">ר"י </w:t>
      </w:r>
      <w:r>
        <w:rPr>
          <w:rFonts w:cs="Arial"/>
          <w:rtl/>
        </w:rPr>
        <w:t>מיגאש</w:t>
      </w:r>
      <w:r w:rsidRPr="00456254">
        <w:rPr>
          <w:rFonts w:cs="Arial"/>
          <w:rtl/>
        </w:rPr>
        <w:t xml:space="preserve"> </w:t>
      </w:r>
      <w:r w:rsidRPr="00456254">
        <w:rPr>
          <w:rFonts w:cs="Arial" w:hint="cs"/>
          <w:sz w:val="16"/>
          <w:szCs w:val="16"/>
          <w:rtl/>
        </w:rPr>
        <w:t>(</w:t>
      </w:r>
      <w:r w:rsidRPr="00456254">
        <w:rPr>
          <w:rFonts w:cs="Arial"/>
          <w:sz w:val="16"/>
          <w:szCs w:val="16"/>
          <w:rtl/>
        </w:rPr>
        <w:t>שו"ת סי' קסא וספר השטרות השטר הששה וחמישים)</w:t>
      </w:r>
      <w:r>
        <w:rPr>
          <w:rFonts w:cs="Arial" w:hint="cs"/>
          <w:rtl/>
        </w:rPr>
        <w:t xml:space="preserve">- </w:t>
      </w:r>
      <w:r w:rsidRPr="00A71386">
        <w:rPr>
          <w:rFonts w:cs="Arial"/>
          <w:rtl/>
        </w:rPr>
        <w:t xml:space="preserve">מה שאמרו אין מקבלין עדים שלא בפני בעל דין אני אומר שזה בשטרות שלא בקנין אבל עדות בקנין </w:t>
      </w:r>
      <w:r>
        <w:rPr>
          <w:rFonts w:cs="Arial" w:hint="cs"/>
          <w:rtl/>
        </w:rPr>
        <w:t xml:space="preserve">- </w:t>
      </w:r>
      <w:r w:rsidRPr="00A71386">
        <w:rPr>
          <w:rFonts w:cs="Arial"/>
          <w:rtl/>
        </w:rPr>
        <w:t>תקובל שלא בפני בעל דין</w:t>
      </w:r>
      <w:r>
        <w:rPr>
          <w:rFonts w:cs="Arial" w:hint="cs"/>
          <w:rtl/>
        </w:rPr>
        <w:t>.</w:t>
      </w:r>
    </w:p>
    <w:p w14:paraId="2A7F5A29" w14:textId="77777777" w:rsidR="004B607F" w:rsidRDefault="004B607F" w:rsidP="004B0475">
      <w:pPr>
        <w:pStyle w:val="ac"/>
        <w:numPr>
          <w:ilvl w:val="0"/>
          <w:numId w:val="77"/>
        </w:numPr>
        <w:rPr>
          <w:rFonts w:cs="Arial"/>
        </w:rPr>
      </w:pPr>
      <w:r w:rsidRPr="00456254">
        <w:rPr>
          <w:rFonts w:cs="Arial" w:hint="cs"/>
          <w:rtl/>
        </w:rPr>
        <w:t>בהעי"ט</w:t>
      </w:r>
      <w:r w:rsidRPr="00456254">
        <w:rPr>
          <w:rFonts w:cs="Arial"/>
          <w:rtl/>
        </w:rPr>
        <w:t xml:space="preserve"> </w:t>
      </w:r>
      <w:r w:rsidRPr="00456254">
        <w:rPr>
          <w:rFonts w:cs="Arial"/>
          <w:sz w:val="16"/>
          <w:szCs w:val="16"/>
          <w:rtl/>
        </w:rPr>
        <w:t>(אות ק קבלת עדות נו:)</w:t>
      </w:r>
      <w:r w:rsidRPr="00456254">
        <w:rPr>
          <w:rFonts w:cs="Arial" w:hint="cs"/>
          <w:rtl/>
        </w:rPr>
        <w:t xml:space="preserve">- </w:t>
      </w:r>
      <w:r>
        <w:rPr>
          <w:rFonts w:cs="Arial" w:hint="cs"/>
          <w:rtl/>
        </w:rPr>
        <w:t>אף עדות בקנין אין מקבלין שלא בפני בעל דין.</w:t>
      </w:r>
    </w:p>
    <w:p w14:paraId="72B2917C" w14:textId="77777777" w:rsidR="004B607F" w:rsidRDefault="004B607F" w:rsidP="004B607F">
      <w:pPr>
        <w:rPr>
          <w:rFonts w:cs="Arial"/>
          <w:rtl/>
        </w:rPr>
      </w:pPr>
      <w:r w:rsidRPr="007B6D61">
        <w:rPr>
          <w:rFonts w:cs="Arial" w:hint="cs"/>
          <w:u w:val="single"/>
          <w:rtl/>
        </w:rPr>
        <w:t xml:space="preserve">אחד גזל ומת </w:t>
      </w:r>
      <w:r w:rsidRPr="007B6D61">
        <w:rPr>
          <w:rFonts w:cs="Arial"/>
          <w:u w:val="single"/>
          <w:rtl/>
        </w:rPr>
        <w:t>–</w:t>
      </w:r>
      <w:r w:rsidRPr="007B6D61">
        <w:rPr>
          <w:rFonts w:cs="Arial" w:hint="cs"/>
          <w:u w:val="single"/>
          <w:rtl/>
        </w:rPr>
        <w:t xml:space="preserve"> האם גובים מהיתומים:</w:t>
      </w:r>
    </w:p>
    <w:p w14:paraId="478443E6" w14:textId="77777777" w:rsidR="004B607F" w:rsidRDefault="004B607F" w:rsidP="004B0475">
      <w:pPr>
        <w:pStyle w:val="ac"/>
        <w:numPr>
          <w:ilvl w:val="0"/>
          <w:numId w:val="78"/>
        </w:numPr>
        <w:rPr>
          <w:rFonts w:cs="Arial"/>
        </w:rPr>
      </w:pPr>
      <w:r w:rsidRPr="007B6D61">
        <w:rPr>
          <w:rFonts w:cs="Arial"/>
          <w:rtl/>
        </w:rPr>
        <w:t>בעל התרומות</w:t>
      </w:r>
      <w:r w:rsidRPr="007B6D61">
        <w:rPr>
          <w:rFonts w:cs="Arial"/>
          <w:sz w:val="16"/>
          <w:szCs w:val="16"/>
          <w:rtl/>
        </w:rPr>
        <w:t xml:space="preserve"> </w:t>
      </w:r>
      <w:r w:rsidRPr="007B6D61">
        <w:rPr>
          <w:rFonts w:cs="Arial" w:hint="cs"/>
          <w:sz w:val="16"/>
          <w:szCs w:val="16"/>
          <w:rtl/>
        </w:rPr>
        <w:t>(</w:t>
      </w:r>
      <w:r w:rsidRPr="007B6D61">
        <w:rPr>
          <w:rFonts w:cs="Arial"/>
          <w:sz w:val="16"/>
          <w:szCs w:val="16"/>
          <w:rtl/>
        </w:rPr>
        <w:t>שער י"ד ח"א סי' ח)</w:t>
      </w:r>
      <w:r>
        <w:rPr>
          <w:rFonts w:cs="Arial" w:hint="cs"/>
          <w:rtl/>
        </w:rPr>
        <w:t>-</w:t>
      </w:r>
      <w:r w:rsidRPr="007B6D61">
        <w:rPr>
          <w:rFonts w:cs="Arial"/>
          <w:rtl/>
        </w:rPr>
        <w:t xml:space="preserve"> אם גזל אביו חייבים לשלם וגובים אף מיתומים קטנים</w:t>
      </w:r>
      <w:r>
        <w:rPr>
          <w:rFonts w:cs="Arial" w:hint="cs"/>
          <w:rtl/>
        </w:rPr>
        <w:t>,</w:t>
      </w:r>
      <w:r w:rsidRPr="007B6D61">
        <w:rPr>
          <w:rFonts w:cs="Arial"/>
          <w:rtl/>
        </w:rPr>
        <w:t xml:space="preserve"> דקי</w:t>
      </w:r>
      <w:r>
        <w:rPr>
          <w:rFonts w:cs="Arial" w:hint="cs"/>
          <w:rtl/>
        </w:rPr>
        <w:t>י"</w:t>
      </w:r>
      <w:r w:rsidRPr="007B6D61">
        <w:rPr>
          <w:rFonts w:cs="Arial"/>
          <w:rtl/>
        </w:rPr>
        <w:t xml:space="preserve">ל כרבנן דפליגי אסומכוס בהגוזל </w:t>
      </w:r>
      <w:r w:rsidRPr="007B6D61">
        <w:rPr>
          <w:rFonts w:cs="Arial"/>
          <w:sz w:val="16"/>
          <w:szCs w:val="16"/>
          <w:rtl/>
        </w:rPr>
        <w:t xml:space="preserve">(קיב.) </w:t>
      </w:r>
      <w:r w:rsidRPr="007B6D61">
        <w:rPr>
          <w:rFonts w:cs="Arial"/>
          <w:rtl/>
        </w:rPr>
        <w:t>ואמרו בין גדולים בין קטנים חייבים</w:t>
      </w:r>
      <w:r>
        <w:rPr>
          <w:rFonts w:cs="Arial" w:hint="cs"/>
          <w:rtl/>
        </w:rPr>
        <w:t>,</w:t>
      </w:r>
      <w:r w:rsidRPr="007B6D61">
        <w:rPr>
          <w:rFonts w:cs="Arial"/>
          <w:rtl/>
        </w:rPr>
        <w:t xml:space="preserve"> דבגזילה מקבלים עדים שלא בפני בעל דין</w:t>
      </w:r>
      <w:r w:rsidRPr="007B6D61">
        <w:rPr>
          <w:rFonts w:cs="Arial" w:hint="cs"/>
          <w:rtl/>
        </w:rPr>
        <w:t>.</w:t>
      </w:r>
    </w:p>
    <w:p w14:paraId="382DA027" w14:textId="77777777" w:rsidR="004B607F" w:rsidRPr="00F008F0" w:rsidRDefault="004B607F" w:rsidP="004B607F">
      <w:pPr>
        <w:rPr>
          <w:rFonts w:cs="Arial"/>
          <w:u w:val="single"/>
          <w:rtl/>
        </w:rPr>
      </w:pPr>
      <w:r w:rsidRPr="00F008F0">
        <w:rPr>
          <w:rFonts w:cs="Arial" w:hint="cs"/>
          <w:u w:val="single"/>
          <w:rtl/>
        </w:rPr>
        <w:t xml:space="preserve">קבלת עדים </w:t>
      </w:r>
      <w:r>
        <w:rPr>
          <w:rFonts w:cs="Arial" w:hint="cs"/>
          <w:u w:val="single"/>
          <w:rtl/>
        </w:rPr>
        <w:t>בפני</w:t>
      </w:r>
      <w:r w:rsidRPr="00F008F0">
        <w:rPr>
          <w:rFonts w:cs="Arial" w:hint="cs"/>
          <w:u w:val="single"/>
          <w:rtl/>
        </w:rPr>
        <w:t xml:space="preserve"> הקטנים </w:t>
      </w:r>
      <w:r w:rsidRPr="00F008F0">
        <w:rPr>
          <w:rFonts w:cs="Arial"/>
          <w:u w:val="single"/>
          <w:rtl/>
        </w:rPr>
        <w:t>–</w:t>
      </w:r>
      <w:r w:rsidRPr="00F008F0">
        <w:rPr>
          <w:rFonts w:cs="Arial" w:hint="cs"/>
          <w:u w:val="single"/>
          <w:rtl/>
        </w:rPr>
        <w:t xml:space="preserve"> </w:t>
      </w:r>
      <w:r>
        <w:rPr>
          <w:rFonts w:cs="Arial" w:hint="cs"/>
          <w:u w:val="single"/>
          <w:rtl/>
        </w:rPr>
        <w:t>ל</w:t>
      </w:r>
      <w:r w:rsidRPr="00F008F0">
        <w:rPr>
          <w:rFonts w:cs="Arial" w:hint="cs"/>
          <w:u w:val="single"/>
          <w:rtl/>
        </w:rPr>
        <w:t>גבי צוואת אביהם:</w:t>
      </w:r>
      <w:r w:rsidRPr="00F008F0">
        <w:rPr>
          <w:rFonts w:cs="Arial"/>
          <w:u w:val="single"/>
          <w:rtl/>
        </w:rPr>
        <w:t xml:space="preserve"> </w:t>
      </w:r>
    </w:p>
    <w:p w14:paraId="4965CA97" w14:textId="77777777" w:rsidR="004B607F" w:rsidRDefault="004B607F" w:rsidP="004B0475">
      <w:pPr>
        <w:pStyle w:val="ac"/>
        <w:numPr>
          <w:ilvl w:val="0"/>
          <w:numId w:val="78"/>
        </w:numPr>
        <w:rPr>
          <w:rFonts w:cs="Arial"/>
        </w:rPr>
      </w:pPr>
      <w:r>
        <w:rPr>
          <w:rFonts w:cs="Arial" w:hint="cs"/>
          <w:rtl/>
        </w:rPr>
        <w:t xml:space="preserve">ב"י- </w:t>
      </w:r>
      <w:r w:rsidRPr="00F008F0">
        <w:rPr>
          <w:rFonts w:cs="Arial"/>
          <w:rtl/>
        </w:rPr>
        <w:t>מצאתי כתוב</w:t>
      </w:r>
      <w:r>
        <w:rPr>
          <w:rStyle w:val="ab"/>
          <w:rFonts w:cs="Arial"/>
          <w:rtl/>
        </w:rPr>
        <w:footnoteReference w:id="1500"/>
      </w:r>
      <w:r w:rsidRPr="00F008F0">
        <w:rPr>
          <w:rFonts w:cs="Arial"/>
          <w:rtl/>
        </w:rPr>
        <w:t xml:space="preserve"> בשטה אחת דצוואת אביהם מקבלים עדותן על הקטנים משום דאלמוה רבנן כדי שלא תטרף דעתו עליו</w:t>
      </w:r>
      <w:r>
        <w:rPr>
          <w:rStyle w:val="ab"/>
          <w:rFonts w:cs="Arial"/>
          <w:rtl/>
        </w:rPr>
        <w:footnoteReference w:id="1501"/>
      </w:r>
      <w:r w:rsidRPr="00F008F0">
        <w:rPr>
          <w:rFonts w:cs="Arial"/>
          <w:rtl/>
        </w:rPr>
        <w:t xml:space="preserve">. </w:t>
      </w:r>
    </w:p>
    <w:p w14:paraId="6119D533" w14:textId="77777777" w:rsidR="004B607F" w:rsidRPr="00F008F0" w:rsidRDefault="004B607F" w:rsidP="004B607F">
      <w:pPr>
        <w:rPr>
          <w:rFonts w:cs="Arial"/>
          <w:u w:val="single"/>
          <w:rtl/>
        </w:rPr>
      </w:pPr>
      <w:r w:rsidRPr="00F008F0">
        <w:rPr>
          <w:rFonts w:cs="Arial" w:hint="cs"/>
          <w:u w:val="single"/>
          <w:rtl/>
        </w:rPr>
        <w:t xml:space="preserve">קבלת עדים בפני הקטנים </w:t>
      </w:r>
      <w:r w:rsidRPr="00F008F0">
        <w:rPr>
          <w:rFonts w:cs="Arial"/>
          <w:u w:val="single"/>
          <w:rtl/>
        </w:rPr>
        <w:t>–</w:t>
      </w:r>
      <w:r w:rsidRPr="00F008F0">
        <w:rPr>
          <w:rFonts w:cs="Arial" w:hint="cs"/>
          <w:u w:val="single"/>
          <w:rtl/>
        </w:rPr>
        <w:t xml:space="preserve"> </w:t>
      </w:r>
      <w:r w:rsidRPr="00F008F0">
        <w:rPr>
          <w:rFonts w:cs="Arial"/>
          <w:u w:val="single"/>
          <w:rtl/>
        </w:rPr>
        <w:t>בדבר ברור שאין בו חשש</w:t>
      </w:r>
      <w:r w:rsidRPr="00F008F0">
        <w:rPr>
          <w:rFonts w:cs="Arial" w:hint="cs"/>
          <w:u w:val="single"/>
          <w:rtl/>
        </w:rPr>
        <w:t>:</w:t>
      </w:r>
    </w:p>
    <w:p w14:paraId="3714F745" w14:textId="77777777" w:rsidR="004B607F" w:rsidRDefault="004B607F" w:rsidP="004B0475">
      <w:pPr>
        <w:pStyle w:val="ac"/>
        <w:numPr>
          <w:ilvl w:val="0"/>
          <w:numId w:val="78"/>
        </w:numPr>
        <w:rPr>
          <w:rFonts w:cs="Arial"/>
        </w:rPr>
      </w:pPr>
      <w:r w:rsidRPr="00F008F0">
        <w:rPr>
          <w:rFonts w:cs="Arial"/>
          <w:rtl/>
        </w:rPr>
        <w:t>נמוק</w:t>
      </w:r>
      <w:r w:rsidRPr="00F008F0">
        <w:rPr>
          <w:rFonts w:cs="Arial" w:hint="cs"/>
          <w:rtl/>
        </w:rPr>
        <w:t>"י</w:t>
      </w:r>
      <w:r w:rsidRPr="00F008F0">
        <w:rPr>
          <w:rFonts w:cs="Arial"/>
          <w:rtl/>
        </w:rPr>
        <w:t xml:space="preserve"> </w:t>
      </w:r>
      <w:r w:rsidRPr="00F008F0">
        <w:rPr>
          <w:rFonts w:cs="Arial"/>
          <w:sz w:val="16"/>
          <w:szCs w:val="16"/>
          <w:rtl/>
        </w:rPr>
        <w:t>(ב"ק לט:)</w:t>
      </w:r>
      <w:r w:rsidRPr="00F008F0">
        <w:rPr>
          <w:rFonts w:cs="Arial" w:hint="cs"/>
          <w:rtl/>
        </w:rPr>
        <w:t xml:space="preserve">- </w:t>
      </w:r>
      <w:r w:rsidRPr="00F008F0">
        <w:rPr>
          <w:rFonts w:cs="Arial"/>
          <w:rtl/>
        </w:rPr>
        <w:t>כתב הריטב"א בשם רבו הא דאמרינן דאין מקבלין עדים שלא בפני בעל דין וקטן כשלא בפניו דמי היינו בדבר שאינו ברור ויש בו חשש</w:t>
      </w:r>
      <w:r>
        <w:rPr>
          <w:rFonts w:cs="Arial" w:hint="cs"/>
          <w:rtl/>
        </w:rPr>
        <w:t>,</w:t>
      </w:r>
      <w:r w:rsidRPr="00F008F0">
        <w:rPr>
          <w:rFonts w:cs="Arial"/>
          <w:rtl/>
        </w:rPr>
        <w:t xml:space="preserve"> אבל בדבר ברור שאין בו חשש כגון דצוה אבי הקטן ואמר תנו מנה לפלוני מקבלים עדים שצוה כך ונזקקין דליכא למיחש למידי</w:t>
      </w:r>
      <w:r>
        <w:rPr>
          <w:rFonts w:cs="Arial" w:hint="cs"/>
          <w:rtl/>
        </w:rPr>
        <w:t>.</w:t>
      </w:r>
      <w:r w:rsidRPr="00F008F0">
        <w:rPr>
          <w:rFonts w:cs="Arial"/>
          <w:rtl/>
        </w:rPr>
        <w:t xml:space="preserve"> וכן לכל כיוצא בזה שהוא ברור על פי העדים בלא שום חשש מקבלים עדים שלא בפני בעל דין. </w:t>
      </w:r>
      <w:r w:rsidRPr="00566DBD">
        <w:rPr>
          <w:rFonts w:cs="Arial" w:hint="cs"/>
          <w:color w:val="00B0F0"/>
          <w:rtl/>
        </w:rPr>
        <w:t>(וכ"פ הרמ"א</w:t>
      </w:r>
      <w:r w:rsidRPr="00566DBD">
        <w:rPr>
          <w:rFonts w:cs="Arial" w:hint="cs"/>
          <w:color w:val="00B0F0"/>
          <w:sz w:val="16"/>
          <w:szCs w:val="16"/>
          <w:rtl/>
        </w:rPr>
        <w:t xml:space="preserve"> </w:t>
      </w:r>
      <w:r>
        <w:rPr>
          <w:rFonts w:cs="Arial" w:hint="cs"/>
          <w:sz w:val="16"/>
          <w:szCs w:val="16"/>
          <w:rtl/>
        </w:rPr>
        <w:t>[סי' קי ס"ט]</w:t>
      </w:r>
      <w:r w:rsidRPr="00566DBD">
        <w:rPr>
          <w:rFonts w:cs="Arial" w:hint="cs"/>
          <w:color w:val="00B0F0"/>
          <w:rtl/>
        </w:rPr>
        <w:t>)</w:t>
      </w:r>
      <w:r>
        <w:rPr>
          <w:rFonts w:cs="Arial" w:hint="cs"/>
          <w:rtl/>
        </w:rPr>
        <w:t xml:space="preserve"> (וכ"פ הסמ"ע</w:t>
      </w:r>
      <w:r>
        <w:rPr>
          <w:rFonts w:cs="Arial" w:hint="cs"/>
          <w:sz w:val="16"/>
          <w:szCs w:val="16"/>
          <w:rtl/>
        </w:rPr>
        <w:t xml:space="preserve"> [סקמ"ז]</w:t>
      </w:r>
      <w:r>
        <w:rPr>
          <w:rFonts w:cs="Arial" w:hint="cs"/>
          <w:rtl/>
        </w:rPr>
        <w:t>)</w:t>
      </w:r>
    </w:p>
    <w:p w14:paraId="3A5EE191" w14:textId="77777777" w:rsidR="004B607F" w:rsidRDefault="004B607F" w:rsidP="004B607F">
      <w:pPr>
        <w:rPr>
          <w:rFonts w:cs="Arial"/>
          <w:rtl/>
        </w:rPr>
      </w:pPr>
      <w:bookmarkStart w:id="215" w:name="_Hlk19107874"/>
      <w:r>
        <w:rPr>
          <w:rFonts w:cs="Arial" w:hint="cs"/>
          <w:b/>
          <w:bCs/>
          <w:rtl/>
        </w:rPr>
        <w:lastRenderedPageBreak/>
        <w:t xml:space="preserve">ערכין </w:t>
      </w:r>
      <w:r w:rsidRPr="00C2420C">
        <w:rPr>
          <w:rFonts w:cs="Arial" w:hint="cs"/>
          <w:b/>
          <w:bCs/>
          <w:sz w:val="16"/>
          <w:szCs w:val="16"/>
          <w:rtl/>
        </w:rPr>
        <w:t>(</w:t>
      </w:r>
      <w:r>
        <w:rPr>
          <w:rFonts w:cs="Arial" w:hint="cs"/>
          <w:b/>
          <w:bCs/>
          <w:sz w:val="16"/>
          <w:szCs w:val="16"/>
          <w:rtl/>
        </w:rPr>
        <w:t xml:space="preserve">פרק </w:t>
      </w:r>
      <w:r w:rsidRPr="00C2420C">
        <w:rPr>
          <w:rFonts w:cs="Arial" w:hint="cs"/>
          <w:b/>
          <w:bCs/>
          <w:sz w:val="16"/>
          <w:szCs w:val="16"/>
          <w:rtl/>
        </w:rPr>
        <w:t>שום היתומים)</w:t>
      </w:r>
      <w:r>
        <w:rPr>
          <w:rFonts w:cs="Arial" w:hint="cs"/>
          <w:b/>
          <w:bCs/>
          <w:rtl/>
        </w:rPr>
        <w:t xml:space="preserve"> כב</w:t>
      </w:r>
      <w:r>
        <w:rPr>
          <w:rStyle w:val="ab"/>
          <w:rFonts w:cs="Arial"/>
          <w:b/>
          <w:bCs/>
          <w:rtl/>
        </w:rPr>
        <w:footnoteReference w:id="1502"/>
      </w:r>
      <w:r>
        <w:rPr>
          <w:rFonts w:cs="Arial" w:hint="cs"/>
          <w:b/>
          <w:bCs/>
          <w:rtl/>
        </w:rPr>
        <w:t xml:space="preserve"> ע"ב: </w:t>
      </w:r>
      <w:r w:rsidRPr="009801E3">
        <w:rPr>
          <w:rFonts w:cs="Arial"/>
          <w:u w:val="single"/>
          <w:rtl/>
        </w:rPr>
        <w:t>אמר רבא</w:t>
      </w:r>
      <w:r>
        <w:rPr>
          <w:rFonts w:cs="Arial" w:hint="cs"/>
          <w:rtl/>
        </w:rPr>
        <w:t>:</w:t>
      </w:r>
      <w:r w:rsidRPr="00C2420C">
        <w:rPr>
          <w:rFonts w:cs="Arial"/>
          <w:rtl/>
        </w:rPr>
        <w:t xml:space="preserve"> הלכתא אין נזקקין לנכסי יתומין, ואם אמר תנו </w:t>
      </w:r>
      <w:r>
        <w:rPr>
          <w:rFonts w:cs="Arial"/>
          <w:rtl/>
        </w:rPr>
        <w:t>–</w:t>
      </w:r>
      <w:r w:rsidRPr="00C2420C">
        <w:rPr>
          <w:rFonts w:cs="Arial"/>
          <w:rtl/>
        </w:rPr>
        <w:t xml:space="preserve"> נזקקין</w:t>
      </w:r>
      <w:r>
        <w:rPr>
          <w:rFonts w:cs="Arial" w:hint="cs"/>
          <w:rtl/>
        </w:rPr>
        <w:t>.</w:t>
      </w:r>
      <w:r w:rsidRPr="009801E3">
        <w:rPr>
          <w:rFonts w:cs="Arial" w:hint="cs"/>
          <w:rtl/>
        </w:rPr>
        <w:t xml:space="preserve"> </w:t>
      </w:r>
      <w:r w:rsidRPr="009801E3">
        <w:rPr>
          <w:rFonts w:cs="Arial" w:hint="cs"/>
          <w:sz w:val="16"/>
          <w:szCs w:val="16"/>
          <w:rtl/>
        </w:rPr>
        <w:t>(ו</w:t>
      </w:r>
      <w:r w:rsidRPr="009801E3">
        <w:rPr>
          <w:rFonts w:cs="Arial"/>
          <w:sz w:val="16"/>
          <w:szCs w:val="16"/>
          <w:rtl/>
        </w:rPr>
        <w:t>בפרק אלמנה ניזונת כתב הרי"ף (כתובות נט.)</w:t>
      </w:r>
      <w:r>
        <w:rPr>
          <w:rFonts w:cs="Arial" w:hint="cs"/>
          <w:sz w:val="16"/>
          <w:szCs w:val="16"/>
          <w:rtl/>
        </w:rPr>
        <w:t xml:space="preserve"> גמרא זו)</w:t>
      </w:r>
    </w:p>
    <w:bookmarkEnd w:id="215"/>
    <w:p w14:paraId="650046CC" w14:textId="77777777" w:rsidR="004B607F" w:rsidRPr="009801E3" w:rsidRDefault="004B607F" w:rsidP="004B607F">
      <w:pPr>
        <w:rPr>
          <w:rFonts w:cs="Arial"/>
          <w:u w:val="single"/>
          <w:rtl/>
        </w:rPr>
      </w:pPr>
      <w:r w:rsidRPr="009801E3">
        <w:rPr>
          <w:rFonts w:cs="Arial" w:hint="cs"/>
          <w:u w:val="single"/>
          <w:rtl/>
        </w:rPr>
        <w:t>קבלת עדים בפני אפטרופא של היתומים:</w:t>
      </w:r>
    </w:p>
    <w:p w14:paraId="56A8F91E" w14:textId="77777777" w:rsidR="004B607F" w:rsidRDefault="004B607F" w:rsidP="004B0475">
      <w:pPr>
        <w:pStyle w:val="ac"/>
        <w:numPr>
          <w:ilvl w:val="0"/>
          <w:numId w:val="78"/>
        </w:numPr>
        <w:rPr>
          <w:rFonts w:cs="Arial"/>
        </w:rPr>
      </w:pPr>
      <w:r>
        <w:rPr>
          <w:rFonts w:cs="Arial"/>
          <w:rtl/>
        </w:rPr>
        <w:t xml:space="preserve">רשב"א </w:t>
      </w:r>
      <w:r w:rsidRPr="00564FA1">
        <w:rPr>
          <w:rFonts w:cs="Arial" w:hint="cs"/>
          <w:sz w:val="16"/>
          <w:szCs w:val="16"/>
          <w:rtl/>
        </w:rPr>
        <w:t>(</w:t>
      </w:r>
      <w:r w:rsidRPr="00564FA1">
        <w:rPr>
          <w:rFonts w:cs="Arial"/>
          <w:sz w:val="16"/>
          <w:szCs w:val="16"/>
          <w:rtl/>
        </w:rPr>
        <w:t>בתשובה</w:t>
      </w:r>
      <w:r w:rsidRPr="00564FA1">
        <w:rPr>
          <w:rFonts w:cs="Arial" w:hint="cs"/>
          <w:sz w:val="16"/>
          <w:szCs w:val="16"/>
          <w:rtl/>
        </w:rPr>
        <w:t>, כ"כ הב"י בשמו)</w:t>
      </w:r>
      <w:r>
        <w:rPr>
          <w:rFonts w:cs="Arial" w:hint="cs"/>
          <w:rtl/>
        </w:rPr>
        <w:t>-</w:t>
      </w:r>
      <w:r>
        <w:rPr>
          <w:rFonts w:cs="Arial"/>
          <w:rtl/>
        </w:rPr>
        <w:t xml:space="preserve"> אפילו במקום שצריך בפניו</w:t>
      </w:r>
      <w:r>
        <w:rPr>
          <w:rFonts w:cs="Arial" w:hint="cs"/>
          <w:rtl/>
        </w:rPr>
        <w:t xml:space="preserve"> -</w:t>
      </w:r>
      <w:r>
        <w:rPr>
          <w:rFonts w:cs="Arial"/>
          <w:rtl/>
        </w:rPr>
        <w:t xml:space="preserve"> אפוטרופוס שלו כמוהו</w:t>
      </w:r>
      <w:r>
        <w:rPr>
          <w:rStyle w:val="ab"/>
          <w:rFonts w:cs="Arial"/>
          <w:rtl/>
        </w:rPr>
        <w:footnoteReference w:id="1503"/>
      </w:r>
      <w:r>
        <w:rPr>
          <w:rFonts w:cs="Arial" w:hint="cs"/>
          <w:rtl/>
        </w:rPr>
        <w:t>.</w:t>
      </w:r>
    </w:p>
    <w:p w14:paraId="2B69DB27" w14:textId="77777777" w:rsidR="004B607F" w:rsidRDefault="004B607F" w:rsidP="004B0475">
      <w:pPr>
        <w:pStyle w:val="ac"/>
        <w:numPr>
          <w:ilvl w:val="0"/>
          <w:numId w:val="78"/>
        </w:numPr>
        <w:rPr>
          <w:rFonts w:cs="Arial"/>
        </w:rPr>
      </w:pPr>
      <w:r w:rsidRPr="00F008F0">
        <w:rPr>
          <w:rFonts w:cs="Arial"/>
          <w:rtl/>
        </w:rPr>
        <w:t>רמב"ן</w:t>
      </w:r>
      <w:r w:rsidRPr="009801E3">
        <w:rPr>
          <w:rFonts w:cs="Arial"/>
          <w:sz w:val="16"/>
          <w:szCs w:val="16"/>
          <w:rtl/>
        </w:rPr>
        <w:t xml:space="preserve"> (</w:t>
      </w:r>
      <w:r>
        <w:rPr>
          <w:rFonts w:cs="Arial" w:hint="cs"/>
          <w:sz w:val="16"/>
          <w:szCs w:val="16"/>
          <w:rtl/>
        </w:rPr>
        <w:t>כתובות ק:</w:t>
      </w:r>
      <w:r w:rsidRPr="009801E3">
        <w:rPr>
          <w:rFonts w:cs="Arial"/>
          <w:sz w:val="16"/>
          <w:szCs w:val="16"/>
          <w:rtl/>
        </w:rPr>
        <w:t xml:space="preserve"> ד"ה </w:t>
      </w:r>
      <w:r>
        <w:rPr>
          <w:rFonts w:cs="Arial" w:hint="cs"/>
          <w:sz w:val="16"/>
          <w:szCs w:val="16"/>
          <w:rtl/>
        </w:rPr>
        <w:t xml:space="preserve">וכן נ"ל) </w:t>
      </w:r>
      <w:r w:rsidRPr="009C7120">
        <w:rPr>
          <w:rFonts w:cs="Arial" w:hint="cs"/>
          <w:rtl/>
        </w:rPr>
        <w:t>ו</w:t>
      </w:r>
      <w:r w:rsidRPr="009C7120">
        <w:rPr>
          <w:rFonts w:cs="Arial"/>
          <w:rtl/>
        </w:rPr>
        <w:t>ר"ן</w:t>
      </w:r>
      <w:r w:rsidRPr="009801E3">
        <w:rPr>
          <w:rFonts w:cs="Arial" w:hint="cs"/>
          <w:sz w:val="16"/>
          <w:szCs w:val="16"/>
          <w:rtl/>
        </w:rPr>
        <w:t xml:space="preserve"> </w:t>
      </w:r>
      <w:r>
        <w:rPr>
          <w:rFonts w:cs="Arial" w:hint="cs"/>
          <w:sz w:val="16"/>
          <w:szCs w:val="16"/>
          <w:rtl/>
        </w:rPr>
        <w:t xml:space="preserve">(נט. מדפה"ר </w:t>
      </w:r>
      <w:r w:rsidRPr="009801E3">
        <w:rPr>
          <w:rFonts w:cs="Arial"/>
          <w:sz w:val="16"/>
          <w:szCs w:val="16"/>
          <w:rtl/>
        </w:rPr>
        <w:t xml:space="preserve">ד"ה </w:t>
      </w:r>
      <w:r>
        <w:rPr>
          <w:rFonts w:cs="Arial" w:hint="cs"/>
          <w:sz w:val="16"/>
          <w:szCs w:val="16"/>
          <w:rtl/>
        </w:rPr>
        <w:t>ודאמרינן דאמר</w:t>
      </w:r>
      <w:r w:rsidRPr="009801E3">
        <w:rPr>
          <w:rFonts w:cs="Arial"/>
          <w:sz w:val="16"/>
          <w:szCs w:val="16"/>
          <w:rtl/>
        </w:rPr>
        <w:t>)</w:t>
      </w:r>
      <w:r>
        <w:rPr>
          <w:rFonts w:cs="Arial" w:hint="cs"/>
          <w:rtl/>
        </w:rPr>
        <w:t>-</w:t>
      </w:r>
      <w:r w:rsidRPr="00F008F0">
        <w:rPr>
          <w:rFonts w:cs="Arial"/>
          <w:rtl/>
        </w:rPr>
        <w:t xml:space="preserve"> </w:t>
      </w:r>
      <w:r w:rsidRPr="009C7120">
        <w:rPr>
          <w:rFonts w:cs="Arial"/>
          <w:rtl/>
        </w:rPr>
        <w:t xml:space="preserve">בכל מילתא דמעמידין עליה אפוטרופוס </w:t>
      </w:r>
      <w:r>
        <w:rPr>
          <w:rFonts w:cs="Arial" w:hint="cs"/>
          <w:rtl/>
        </w:rPr>
        <w:t xml:space="preserve">- </w:t>
      </w:r>
      <w:r w:rsidRPr="009C7120">
        <w:rPr>
          <w:rFonts w:cs="Arial"/>
          <w:rtl/>
        </w:rPr>
        <w:t>מקבלין עדים שלא בפני היתומים</w:t>
      </w:r>
      <w:r>
        <w:rPr>
          <w:rFonts w:cs="Arial" w:hint="cs"/>
          <w:rtl/>
        </w:rPr>
        <w:t>,</w:t>
      </w:r>
      <w:r w:rsidRPr="009C7120">
        <w:rPr>
          <w:rFonts w:cs="Arial"/>
          <w:rtl/>
        </w:rPr>
        <w:t xml:space="preserve"> דאפוטרופוס בעל דין הוא</w:t>
      </w:r>
      <w:r>
        <w:rPr>
          <w:rFonts w:cs="Arial" w:hint="cs"/>
          <w:rtl/>
        </w:rPr>
        <w:t>.</w:t>
      </w:r>
      <w:r w:rsidRPr="009C7120">
        <w:rPr>
          <w:rFonts w:cs="Arial"/>
          <w:rtl/>
        </w:rPr>
        <w:t xml:space="preserve"> וכן עידי צואה מילי דיתומים נינהו</w:t>
      </w:r>
      <w:r>
        <w:rPr>
          <w:rFonts w:cs="Arial" w:hint="cs"/>
          <w:rtl/>
        </w:rPr>
        <w:t>.</w:t>
      </w:r>
      <w:r w:rsidRPr="009C7120">
        <w:rPr>
          <w:rFonts w:cs="Arial"/>
          <w:rtl/>
        </w:rPr>
        <w:t xml:space="preserve"> ובמילתא דנזקקין</w:t>
      </w:r>
      <w:r>
        <w:rPr>
          <w:rFonts w:cs="Arial" w:hint="cs"/>
          <w:rtl/>
        </w:rPr>
        <w:t>,</w:t>
      </w:r>
      <w:r w:rsidRPr="009C7120">
        <w:rPr>
          <w:rFonts w:cs="Arial"/>
          <w:rtl/>
        </w:rPr>
        <w:t xml:space="preserve"> כגון אמר </w:t>
      </w:r>
      <w:r>
        <w:rPr>
          <w:rFonts w:cs="Arial" w:hint="cs"/>
          <w:rtl/>
        </w:rPr>
        <w:t>'</w:t>
      </w:r>
      <w:r w:rsidRPr="009C7120">
        <w:rPr>
          <w:rFonts w:cs="Arial"/>
          <w:rtl/>
        </w:rPr>
        <w:t>תנו</w:t>
      </w:r>
      <w:r>
        <w:rPr>
          <w:rFonts w:cs="Arial" w:hint="cs"/>
          <w:rtl/>
        </w:rPr>
        <w:t>',</w:t>
      </w:r>
      <w:r w:rsidRPr="009C7120">
        <w:rPr>
          <w:rFonts w:cs="Arial"/>
          <w:rtl/>
        </w:rPr>
        <w:t xml:space="preserve"> בין בשדה זו ומנה זו בין בשדה סתם ומנה סתם </w:t>
      </w:r>
      <w:r>
        <w:rPr>
          <w:rFonts w:cs="Arial" w:hint="cs"/>
          <w:rtl/>
        </w:rPr>
        <w:t xml:space="preserve">- </w:t>
      </w:r>
      <w:r w:rsidRPr="009C7120">
        <w:rPr>
          <w:rFonts w:cs="Arial"/>
          <w:rtl/>
        </w:rPr>
        <w:t>מקבלין עדים הללו בפני אפוטרופוס</w:t>
      </w:r>
      <w:r>
        <w:rPr>
          <w:rFonts w:cs="Arial" w:hint="cs"/>
          <w:rtl/>
        </w:rPr>
        <w:t>,</w:t>
      </w:r>
      <w:r w:rsidRPr="009C7120">
        <w:rPr>
          <w:rFonts w:cs="Arial"/>
          <w:rtl/>
        </w:rPr>
        <w:t xml:space="preserve"> דהא הלכתא אי מזדקקינן מוקמינן אפוטרופא</w:t>
      </w:r>
      <w:r>
        <w:rPr>
          <w:rFonts w:cs="Arial" w:hint="cs"/>
          <w:rtl/>
        </w:rPr>
        <w:t>...</w:t>
      </w:r>
      <w:r w:rsidRPr="00142020">
        <w:rPr>
          <w:rFonts w:cs="Arial"/>
          <w:rtl/>
        </w:rPr>
        <w:t xml:space="preserve"> וכן לכתובת אשה משום חינא מקבלין עדות שלא בפני בע"ד</w:t>
      </w:r>
      <w:r>
        <w:rPr>
          <w:rFonts w:cs="Arial" w:hint="cs"/>
          <w:sz w:val="16"/>
          <w:szCs w:val="16"/>
          <w:rtl/>
        </w:rPr>
        <w:t xml:space="preserve"> (ל' הרמב"ן)</w:t>
      </w:r>
      <w:r w:rsidRPr="009C7120">
        <w:rPr>
          <w:rFonts w:cs="Arial"/>
          <w:rtl/>
        </w:rPr>
        <w:t xml:space="preserve">. </w:t>
      </w:r>
    </w:p>
    <w:p w14:paraId="1709262F" w14:textId="77777777" w:rsidR="004B607F" w:rsidRPr="00F008F0" w:rsidRDefault="004B607F" w:rsidP="004B0475">
      <w:pPr>
        <w:pStyle w:val="ac"/>
        <w:numPr>
          <w:ilvl w:val="0"/>
          <w:numId w:val="78"/>
        </w:numPr>
        <w:rPr>
          <w:rFonts w:cs="Arial"/>
          <w:rtl/>
        </w:rPr>
      </w:pPr>
      <w:r w:rsidRPr="00F008F0">
        <w:rPr>
          <w:rFonts w:cs="Arial"/>
          <w:rtl/>
        </w:rPr>
        <w:t xml:space="preserve">ראב"ד </w:t>
      </w:r>
      <w:r w:rsidRPr="009801E3">
        <w:rPr>
          <w:rFonts w:cs="Arial"/>
          <w:sz w:val="16"/>
          <w:szCs w:val="16"/>
          <w:rtl/>
        </w:rPr>
        <w:t>(</w:t>
      </w:r>
      <w:r>
        <w:rPr>
          <w:rFonts w:cs="Arial" w:hint="cs"/>
          <w:sz w:val="16"/>
          <w:szCs w:val="16"/>
          <w:rtl/>
        </w:rPr>
        <w:t>ב"ק קיב.</w:t>
      </w:r>
      <w:r w:rsidRPr="009801E3">
        <w:rPr>
          <w:rFonts w:cs="Arial"/>
          <w:sz w:val="16"/>
          <w:szCs w:val="16"/>
          <w:rtl/>
        </w:rPr>
        <w:t xml:space="preserve"> ד"ה אולי</w:t>
      </w:r>
      <w:r w:rsidRPr="009801E3">
        <w:rPr>
          <w:rFonts w:cs="Arial" w:hint="cs"/>
          <w:sz w:val="16"/>
          <w:szCs w:val="16"/>
          <w:rtl/>
        </w:rPr>
        <w:t>,</w:t>
      </w:r>
      <w:r w:rsidRPr="009801E3">
        <w:rPr>
          <w:rFonts w:cs="Arial"/>
          <w:sz w:val="16"/>
          <w:szCs w:val="16"/>
          <w:rtl/>
        </w:rPr>
        <w:t xml:space="preserve"> ובספר כתוב שם עמ' כב</w:t>
      </w:r>
      <w:r>
        <w:rPr>
          <w:rFonts w:cs="Arial" w:hint="cs"/>
          <w:sz w:val="16"/>
          <w:szCs w:val="16"/>
          <w:rtl/>
        </w:rPr>
        <w:t>,</w:t>
      </w:r>
      <w:r w:rsidRPr="009801E3">
        <w:rPr>
          <w:rFonts w:cs="Arial" w:hint="cs"/>
          <w:sz w:val="16"/>
          <w:szCs w:val="16"/>
          <w:rtl/>
        </w:rPr>
        <w:t xml:space="preserve"> כ"כ ה</w:t>
      </w:r>
      <w:r w:rsidRPr="009801E3">
        <w:rPr>
          <w:rFonts w:cs="Arial"/>
          <w:sz w:val="16"/>
          <w:szCs w:val="16"/>
          <w:rtl/>
        </w:rPr>
        <w:t>ר"ן</w:t>
      </w:r>
      <w:r w:rsidRPr="009801E3">
        <w:rPr>
          <w:rFonts w:cs="Arial" w:hint="cs"/>
          <w:sz w:val="16"/>
          <w:szCs w:val="16"/>
          <w:rtl/>
        </w:rPr>
        <w:t xml:space="preserve"> בשמו</w:t>
      </w:r>
      <w:r w:rsidRPr="009801E3">
        <w:rPr>
          <w:rFonts w:cs="Arial"/>
          <w:sz w:val="16"/>
          <w:szCs w:val="16"/>
          <w:rtl/>
        </w:rPr>
        <w:t xml:space="preserve"> </w:t>
      </w:r>
      <w:r w:rsidRPr="009801E3">
        <w:rPr>
          <w:rFonts w:cs="Arial" w:hint="cs"/>
          <w:sz w:val="16"/>
          <w:szCs w:val="16"/>
          <w:rtl/>
        </w:rPr>
        <w:t>[</w:t>
      </w:r>
      <w:r w:rsidRPr="009801E3">
        <w:rPr>
          <w:rFonts w:cs="Arial"/>
          <w:sz w:val="16"/>
          <w:szCs w:val="16"/>
          <w:rtl/>
        </w:rPr>
        <w:t>שם</w:t>
      </w:r>
      <w:r>
        <w:rPr>
          <w:rFonts w:cs="Arial" w:hint="cs"/>
          <w:sz w:val="16"/>
          <w:szCs w:val="16"/>
          <w:rtl/>
        </w:rPr>
        <w:t>]</w:t>
      </w:r>
      <w:r w:rsidRPr="009801E3">
        <w:rPr>
          <w:rFonts w:cs="Arial"/>
          <w:sz w:val="16"/>
          <w:szCs w:val="16"/>
          <w:rtl/>
        </w:rPr>
        <w:t>)</w:t>
      </w:r>
      <w:r>
        <w:rPr>
          <w:rFonts w:cs="Arial" w:hint="cs"/>
          <w:rtl/>
        </w:rPr>
        <w:t>-</w:t>
      </w:r>
      <w:r w:rsidRPr="00F008F0">
        <w:rPr>
          <w:rFonts w:cs="Arial"/>
          <w:rtl/>
        </w:rPr>
        <w:t xml:space="preserve"> </w:t>
      </w:r>
      <w:r w:rsidRPr="009801E3">
        <w:rPr>
          <w:rFonts w:cs="Arial"/>
          <w:rtl/>
        </w:rPr>
        <w:t>אין מקבלים אותם בפני האפוטרופוס</w:t>
      </w:r>
      <w:r>
        <w:rPr>
          <w:rFonts w:cs="Arial" w:hint="cs"/>
          <w:rtl/>
        </w:rPr>
        <w:t>,</w:t>
      </w:r>
      <w:r w:rsidRPr="009801E3">
        <w:rPr>
          <w:rFonts w:cs="Arial"/>
          <w:rtl/>
        </w:rPr>
        <w:t xml:space="preserve"> והיכי משכחת לה שהמניח יתומים קטנים תהא צוואתו קיימת</w:t>
      </w:r>
      <w:r>
        <w:rPr>
          <w:rFonts w:cs="Arial" w:hint="cs"/>
          <w:rtl/>
        </w:rPr>
        <w:t xml:space="preserve"> -</w:t>
      </w:r>
      <w:r w:rsidRPr="00F008F0">
        <w:rPr>
          <w:rFonts w:cs="Arial"/>
          <w:rtl/>
        </w:rPr>
        <w:t xml:space="preserve"> במוסר דבריו לבית דין או שכתבו עדותן בשטר</w:t>
      </w:r>
      <w:r>
        <w:rPr>
          <w:rStyle w:val="ab"/>
          <w:rFonts w:cs="Arial"/>
          <w:rtl/>
        </w:rPr>
        <w:footnoteReference w:id="1504"/>
      </w:r>
      <w:r>
        <w:rPr>
          <w:rFonts w:cs="Arial" w:hint="cs"/>
          <w:rtl/>
        </w:rPr>
        <w:t>.</w:t>
      </w:r>
    </w:p>
    <w:p w14:paraId="550AA9B2" w14:textId="77777777" w:rsidR="004B607F" w:rsidRPr="009801E3" w:rsidRDefault="004B607F" w:rsidP="004B607F">
      <w:pPr>
        <w:rPr>
          <w:rFonts w:cs="Arial"/>
          <w:u w:val="single"/>
        </w:rPr>
      </w:pPr>
      <w:r>
        <w:rPr>
          <w:rFonts w:cs="Arial" w:hint="cs"/>
          <w:u w:val="single"/>
          <w:rtl/>
        </w:rPr>
        <w:t xml:space="preserve">אלמנה שהביאה עדים כדי לתבוע מיתומים קטנים </w:t>
      </w:r>
      <w:r>
        <w:rPr>
          <w:rFonts w:cs="Arial"/>
          <w:u w:val="single"/>
          <w:rtl/>
        </w:rPr>
        <w:t>–</w:t>
      </w:r>
      <w:r>
        <w:rPr>
          <w:rFonts w:cs="Arial" w:hint="cs"/>
          <w:u w:val="single"/>
          <w:rtl/>
        </w:rPr>
        <w:t xml:space="preserve"> האם מקבלים את העדים</w:t>
      </w:r>
      <w:r w:rsidRPr="009801E3">
        <w:rPr>
          <w:rFonts w:cs="Arial" w:hint="cs"/>
          <w:u w:val="single"/>
          <w:rtl/>
        </w:rPr>
        <w:t>:</w:t>
      </w:r>
      <w:r w:rsidRPr="009801E3">
        <w:rPr>
          <w:rFonts w:cs="Arial"/>
          <w:u w:val="single"/>
          <w:rtl/>
        </w:rPr>
        <w:t xml:space="preserve"> </w:t>
      </w:r>
    </w:p>
    <w:p w14:paraId="151CFC97" w14:textId="77777777" w:rsidR="004B607F" w:rsidRDefault="004B607F" w:rsidP="004B0475">
      <w:pPr>
        <w:pStyle w:val="ac"/>
        <w:numPr>
          <w:ilvl w:val="0"/>
          <w:numId w:val="78"/>
        </w:numPr>
        <w:rPr>
          <w:rFonts w:cs="Arial"/>
        </w:rPr>
      </w:pPr>
      <w:r w:rsidRPr="00F008F0">
        <w:rPr>
          <w:rFonts w:cs="Arial"/>
          <w:rtl/>
        </w:rPr>
        <w:t>ר"ן</w:t>
      </w:r>
      <w:r w:rsidRPr="009801E3">
        <w:rPr>
          <w:rFonts w:cs="Arial"/>
          <w:sz w:val="16"/>
          <w:szCs w:val="16"/>
          <w:rtl/>
        </w:rPr>
        <w:t xml:space="preserve"> </w:t>
      </w:r>
      <w:r w:rsidRPr="009801E3">
        <w:rPr>
          <w:rFonts w:cs="Arial" w:hint="cs"/>
          <w:sz w:val="16"/>
          <w:szCs w:val="16"/>
          <w:rtl/>
        </w:rPr>
        <w:t>(</w:t>
      </w:r>
      <w:r w:rsidRPr="009801E3">
        <w:rPr>
          <w:rFonts w:cs="Arial"/>
          <w:sz w:val="16"/>
          <w:szCs w:val="16"/>
          <w:rtl/>
        </w:rPr>
        <w:t>נז.</w:t>
      </w:r>
      <w:r>
        <w:rPr>
          <w:rFonts w:cs="Arial" w:hint="cs"/>
          <w:sz w:val="16"/>
          <w:szCs w:val="16"/>
          <w:rtl/>
        </w:rPr>
        <w:t xml:space="preserve"> מדפה"ר</w:t>
      </w:r>
      <w:r w:rsidRPr="009801E3">
        <w:rPr>
          <w:rFonts w:cs="Arial"/>
          <w:sz w:val="16"/>
          <w:szCs w:val="16"/>
          <w:rtl/>
        </w:rPr>
        <w:t xml:space="preserve"> </w:t>
      </w:r>
      <w:r>
        <w:rPr>
          <w:rFonts w:cs="Arial" w:hint="cs"/>
          <w:sz w:val="16"/>
          <w:szCs w:val="16"/>
          <w:rtl/>
        </w:rPr>
        <w:t>דיבור ראשון</w:t>
      </w:r>
      <w:r w:rsidRPr="009801E3">
        <w:rPr>
          <w:rFonts w:cs="Arial"/>
          <w:sz w:val="16"/>
          <w:szCs w:val="16"/>
          <w:rtl/>
        </w:rPr>
        <w:t>)</w:t>
      </w:r>
      <w:r>
        <w:rPr>
          <w:rFonts w:cs="Arial" w:hint="cs"/>
          <w:rtl/>
        </w:rPr>
        <w:t>-</w:t>
      </w:r>
      <w:r w:rsidRPr="00F008F0">
        <w:rPr>
          <w:rFonts w:cs="Arial"/>
          <w:rtl/>
        </w:rPr>
        <w:t xml:space="preserve"> לאלמנה מקבלים עדים אפילו על יתומים קטנים</w:t>
      </w:r>
      <w:r>
        <w:rPr>
          <w:rStyle w:val="ab"/>
          <w:rFonts w:cs="Arial"/>
          <w:rtl/>
        </w:rPr>
        <w:footnoteReference w:id="1505"/>
      </w:r>
      <w:r w:rsidRPr="00F008F0">
        <w:rPr>
          <w:rFonts w:cs="Arial"/>
          <w:rtl/>
        </w:rPr>
        <w:t>.</w:t>
      </w:r>
    </w:p>
    <w:p w14:paraId="1412E80D" w14:textId="77777777" w:rsidR="004B607F" w:rsidRPr="001841F9" w:rsidRDefault="004B607F" w:rsidP="004B607F">
      <w:pPr>
        <w:rPr>
          <w:rFonts w:cs="Arial"/>
          <w:rtl/>
        </w:rPr>
      </w:pPr>
      <w:r w:rsidRPr="0058419C">
        <w:rPr>
          <w:rFonts w:cs="Arial"/>
          <w:b/>
          <w:bCs/>
          <w:rtl/>
        </w:rPr>
        <w:t>ירושלמי</w:t>
      </w:r>
      <w:r w:rsidRPr="0058419C">
        <w:rPr>
          <w:rFonts w:cs="Arial"/>
          <w:b/>
          <w:bCs/>
          <w:sz w:val="16"/>
          <w:szCs w:val="16"/>
          <w:rtl/>
        </w:rPr>
        <w:t xml:space="preserve"> </w:t>
      </w:r>
      <w:r w:rsidRPr="0058419C">
        <w:rPr>
          <w:rFonts w:cs="Arial" w:hint="cs"/>
          <w:b/>
          <w:bCs/>
          <w:sz w:val="16"/>
          <w:szCs w:val="16"/>
          <w:rtl/>
        </w:rPr>
        <w:t xml:space="preserve">(וילנא) </w:t>
      </w:r>
      <w:r w:rsidRPr="0058419C">
        <w:rPr>
          <w:rFonts w:cs="Arial"/>
          <w:b/>
          <w:bCs/>
          <w:rtl/>
        </w:rPr>
        <w:t>סנהדרין פ"ג ה"ט</w:t>
      </w:r>
      <w:r w:rsidRPr="0058419C">
        <w:rPr>
          <w:rFonts w:cs="Arial" w:hint="cs"/>
          <w:b/>
          <w:bCs/>
          <w:rtl/>
        </w:rPr>
        <w:t>:</w:t>
      </w:r>
      <w:r w:rsidRPr="0058419C">
        <w:rPr>
          <w:rtl/>
        </w:rPr>
        <w:t xml:space="preserve"> </w:t>
      </w:r>
      <w:r w:rsidRPr="0058419C">
        <w:rPr>
          <w:rFonts w:cs="Arial"/>
          <w:u w:val="single"/>
          <w:rtl/>
        </w:rPr>
        <w:t>רב חסדא בעי</w:t>
      </w:r>
      <w:r>
        <w:rPr>
          <w:rFonts w:cs="Arial" w:hint="cs"/>
          <w:rtl/>
        </w:rPr>
        <w:t>:</w:t>
      </w:r>
      <w:r w:rsidRPr="0058419C">
        <w:rPr>
          <w:rFonts w:cs="Arial"/>
          <w:rtl/>
        </w:rPr>
        <w:t xml:space="preserve"> מהו לקבל עדים שלא בפני בעל דין. </w:t>
      </w:r>
      <w:r w:rsidRPr="0058419C">
        <w:rPr>
          <w:rFonts w:cs="Arial"/>
          <w:u w:val="single"/>
          <w:rtl/>
        </w:rPr>
        <w:t>רבי יוסי בשם ר' שבתי</w:t>
      </w:r>
      <w:r>
        <w:rPr>
          <w:rFonts w:cs="Arial" w:hint="cs"/>
          <w:rtl/>
        </w:rPr>
        <w:t>:</w:t>
      </w:r>
      <w:r w:rsidRPr="0058419C">
        <w:rPr>
          <w:rFonts w:cs="Arial"/>
          <w:rtl/>
        </w:rPr>
        <w:t xml:space="preserve"> מקבלין עדים שלא בפני בעל דין</w:t>
      </w:r>
      <w:r>
        <w:rPr>
          <w:rFonts w:cs="Arial" w:hint="cs"/>
          <w:rtl/>
        </w:rPr>
        <w:t>,</w:t>
      </w:r>
      <w:r w:rsidRPr="0058419C">
        <w:rPr>
          <w:rFonts w:cs="Arial"/>
          <w:rtl/>
        </w:rPr>
        <w:t xml:space="preserve"> ועבדון ליה גזר דין. אם בא ועירער עררו קיים. אדם ששלחו אחריו בית דין שלשה פעמים ולא בא</w:t>
      </w:r>
      <w:r>
        <w:rPr>
          <w:rFonts w:cs="Arial" w:hint="cs"/>
          <w:rtl/>
        </w:rPr>
        <w:t>,</w:t>
      </w:r>
      <w:r w:rsidRPr="0058419C">
        <w:rPr>
          <w:rFonts w:cs="Arial"/>
          <w:rtl/>
        </w:rPr>
        <w:t xml:space="preserve"> </w:t>
      </w:r>
      <w:r w:rsidRPr="0058419C">
        <w:rPr>
          <w:rFonts w:cs="Arial"/>
          <w:u w:val="single"/>
          <w:rtl/>
        </w:rPr>
        <w:t>ר' יהושע בן לוי אמר</w:t>
      </w:r>
      <w:r>
        <w:rPr>
          <w:rFonts w:cs="Arial" w:hint="cs"/>
          <w:rtl/>
        </w:rPr>
        <w:t>:</w:t>
      </w:r>
      <w:r w:rsidRPr="0058419C">
        <w:rPr>
          <w:rFonts w:cs="Arial"/>
          <w:rtl/>
        </w:rPr>
        <w:t xml:space="preserve"> מקבלין העדות בלא בעל דין ועבדין ליה גזר דין.</w:t>
      </w:r>
      <w:r>
        <w:rPr>
          <w:rFonts w:cs="Arial" w:hint="cs"/>
          <w:rtl/>
        </w:rPr>
        <w:t>.</w:t>
      </w:r>
      <w:r w:rsidRPr="0058419C">
        <w:rPr>
          <w:rFonts w:cs="Arial"/>
          <w:rtl/>
        </w:rPr>
        <w:t>. ר' ירמיה הוה ליה דין עם חד בר נש</w:t>
      </w:r>
      <w:r>
        <w:rPr>
          <w:rFonts w:cs="Arial" w:hint="cs"/>
          <w:rtl/>
        </w:rPr>
        <w:t>,</w:t>
      </w:r>
      <w:r w:rsidRPr="0058419C">
        <w:rPr>
          <w:rFonts w:cs="Arial"/>
          <w:rtl/>
        </w:rPr>
        <w:t xml:space="preserve"> וקבלון לשהדייא דלא באפוי דרבי ירמיה וחייבון לר' ירמיה</w:t>
      </w:r>
      <w:r>
        <w:rPr>
          <w:rFonts w:cs="Arial" w:hint="cs"/>
          <w:rtl/>
        </w:rPr>
        <w:t>,</w:t>
      </w:r>
      <w:r w:rsidRPr="0058419C">
        <w:rPr>
          <w:rFonts w:cs="Arial"/>
          <w:rtl/>
        </w:rPr>
        <w:t xml:space="preserve"> והוה יתיב ומיצטער</w:t>
      </w:r>
      <w:r>
        <w:rPr>
          <w:rFonts w:cs="Arial" w:hint="cs"/>
          <w:rtl/>
        </w:rPr>
        <w:t>,</w:t>
      </w:r>
      <w:r w:rsidRPr="0058419C">
        <w:rPr>
          <w:rFonts w:cs="Arial"/>
          <w:rtl/>
        </w:rPr>
        <w:t xml:space="preserve"> איפשר מקבלין עדים בלא בעל דין</w:t>
      </w:r>
      <w:r>
        <w:rPr>
          <w:rFonts w:cs="Arial" w:hint="cs"/>
          <w:rtl/>
        </w:rPr>
        <w:t>?.</w:t>
      </w:r>
      <w:r w:rsidRPr="0058419C">
        <w:rPr>
          <w:rFonts w:cs="Arial"/>
          <w:rtl/>
        </w:rPr>
        <w:t xml:space="preserve"> רבי הונא רבי פינחס ר' חזקיה חוקוק לא עלין בפירקא בההוא יומא. דחק רבי הונא ועאל ושכח רבי ירמיה מצטער ואמר איפשר מקבלין עדים בלא בעל דין אפילו עמהן באותה העיר. א"ל כן חמת דעתון דרבנן</w:t>
      </w:r>
      <w:r>
        <w:rPr>
          <w:rFonts w:cs="Arial" w:hint="cs"/>
          <w:rtl/>
        </w:rPr>
        <w:t>.</w:t>
      </w:r>
    </w:p>
    <w:p w14:paraId="345D013B" w14:textId="77777777" w:rsidR="004B607F" w:rsidRPr="001841F9" w:rsidRDefault="004B607F" w:rsidP="004B607F">
      <w:pPr>
        <w:rPr>
          <w:rFonts w:cs="Arial"/>
          <w:u w:val="single"/>
          <w:rtl/>
        </w:rPr>
      </w:pPr>
      <w:r w:rsidRPr="00436C45">
        <w:rPr>
          <w:rFonts w:cs="Arial" w:hint="cs"/>
          <w:u w:val="single"/>
          <w:rtl/>
        </w:rPr>
        <w:t xml:space="preserve">ב"ד שעברו וקיבלו עדים שלא בפני בעל דין </w:t>
      </w:r>
      <w:r w:rsidRPr="00436C45">
        <w:rPr>
          <w:rFonts w:cs="Arial"/>
          <w:u w:val="single"/>
          <w:rtl/>
        </w:rPr>
        <w:t>–</w:t>
      </w:r>
      <w:r w:rsidRPr="00436C45">
        <w:rPr>
          <w:rFonts w:cs="Arial" w:hint="cs"/>
          <w:u w:val="single"/>
          <w:rtl/>
        </w:rPr>
        <w:t xml:space="preserve"> האם מהני בדיעבד</w:t>
      </w:r>
      <w:r>
        <w:rPr>
          <w:rFonts w:cs="Arial" w:hint="cs"/>
          <w:u w:val="single"/>
          <w:rtl/>
        </w:rPr>
        <w:t xml:space="preserve"> לדון על פיהם</w:t>
      </w:r>
      <w:r w:rsidRPr="00436C45">
        <w:rPr>
          <w:rFonts w:cs="Arial" w:hint="cs"/>
          <w:u w:val="single"/>
          <w:rtl/>
        </w:rPr>
        <w:t>:</w:t>
      </w:r>
    </w:p>
    <w:p w14:paraId="6F050B59" w14:textId="77777777" w:rsidR="004B607F" w:rsidRPr="00B6360A" w:rsidRDefault="004B607F" w:rsidP="004B0475">
      <w:pPr>
        <w:pStyle w:val="ac"/>
        <w:numPr>
          <w:ilvl w:val="0"/>
          <w:numId w:val="78"/>
        </w:numPr>
        <w:rPr>
          <w:rFonts w:cs="Arial"/>
          <w:rtl/>
        </w:rPr>
      </w:pPr>
      <w:r w:rsidRPr="00175946">
        <w:rPr>
          <w:rFonts w:cs="Arial"/>
          <w:rtl/>
        </w:rPr>
        <w:t>ראב"ן</w:t>
      </w:r>
      <w:r>
        <w:rPr>
          <w:rStyle w:val="ab"/>
          <w:rFonts w:cs="Arial"/>
          <w:rtl/>
        </w:rPr>
        <w:footnoteReference w:id="1506"/>
      </w:r>
      <w:r w:rsidRPr="00175946">
        <w:rPr>
          <w:rFonts w:cs="Arial"/>
          <w:rtl/>
        </w:rPr>
        <w:t xml:space="preserve"> </w:t>
      </w:r>
      <w:r w:rsidRPr="00436C45">
        <w:rPr>
          <w:rFonts w:cs="Arial"/>
          <w:sz w:val="16"/>
          <w:szCs w:val="16"/>
          <w:rtl/>
        </w:rPr>
        <w:t>(ב"ק קיב. ד"ה חמיו)</w:t>
      </w:r>
      <w:r>
        <w:rPr>
          <w:rFonts w:cs="Arial" w:hint="cs"/>
          <w:rtl/>
        </w:rPr>
        <w:t xml:space="preserve"> וראבי"ה</w:t>
      </w:r>
      <w:r w:rsidRPr="00175946">
        <w:rPr>
          <w:rFonts w:cs="Arial" w:hint="cs"/>
          <w:sz w:val="16"/>
          <w:szCs w:val="16"/>
          <w:rtl/>
        </w:rPr>
        <w:t xml:space="preserve"> (</w:t>
      </w:r>
      <w:r>
        <w:rPr>
          <w:rFonts w:cs="Arial" w:hint="cs"/>
          <w:sz w:val="16"/>
          <w:szCs w:val="16"/>
          <w:rtl/>
        </w:rPr>
        <w:t xml:space="preserve">הביאו המרדכי </w:t>
      </w:r>
      <w:r w:rsidRPr="00436C45">
        <w:rPr>
          <w:rFonts w:cs="Arial" w:hint="cs"/>
          <w:sz w:val="14"/>
          <w:szCs w:val="14"/>
          <w:rtl/>
        </w:rPr>
        <w:t>[</w:t>
      </w:r>
      <w:r w:rsidRPr="00436C45">
        <w:rPr>
          <w:rFonts w:cs="Arial"/>
          <w:sz w:val="14"/>
          <w:szCs w:val="14"/>
          <w:rtl/>
        </w:rPr>
        <w:t>פ"ב דכתובות סי' קמה</w:t>
      </w:r>
      <w:r w:rsidRPr="00436C45">
        <w:rPr>
          <w:rFonts w:cs="Arial" w:hint="cs"/>
          <w:sz w:val="14"/>
          <w:szCs w:val="14"/>
          <w:rtl/>
        </w:rPr>
        <w:t>,</w:t>
      </w:r>
      <w:r w:rsidRPr="00436C45">
        <w:rPr>
          <w:rFonts w:cs="Arial"/>
          <w:sz w:val="14"/>
          <w:szCs w:val="14"/>
          <w:rtl/>
        </w:rPr>
        <w:t xml:space="preserve"> ובפרק בתרא דב</w:t>
      </w:r>
      <w:r w:rsidRPr="00436C45">
        <w:rPr>
          <w:rFonts w:cs="Arial" w:hint="cs"/>
          <w:sz w:val="14"/>
          <w:szCs w:val="14"/>
          <w:rtl/>
        </w:rPr>
        <w:t>ב"</w:t>
      </w:r>
      <w:r w:rsidRPr="00436C45">
        <w:rPr>
          <w:rFonts w:cs="Arial"/>
          <w:sz w:val="14"/>
          <w:szCs w:val="14"/>
          <w:rtl/>
        </w:rPr>
        <w:t>ק סי' קמז</w:t>
      </w:r>
      <w:r>
        <w:rPr>
          <w:rFonts w:cs="Arial" w:hint="cs"/>
          <w:sz w:val="14"/>
          <w:szCs w:val="14"/>
          <w:rtl/>
        </w:rPr>
        <w:t>]</w:t>
      </w:r>
      <w:r w:rsidRPr="00175946">
        <w:rPr>
          <w:rFonts w:cs="Arial"/>
          <w:sz w:val="16"/>
          <w:szCs w:val="16"/>
          <w:rtl/>
        </w:rPr>
        <w:t>)</w:t>
      </w:r>
      <w:r w:rsidRPr="00175946">
        <w:rPr>
          <w:rFonts w:cs="Arial" w:hint="cs"/>
          <w:rtl/>
        </w:rPr>
        <w:t>-</w:t>
      </w:r>
      <w:r w:rsidRPr="00175946">
        <w:rPr>
          <w:rFonts w:cs="Arial"/>
          <w:rtl/>
        </w:rPr>
        <w:t xml:space="preserve"> מדאמרינן פ"ב דכתובות </w:t>
      </w:r>
      <w:r w:rsidRPr="00175946">
        <w:rPr>
          <w:rFonts w:cs="Arial"/>
          <w:sz w:val="16"/>
          <w:szCs w:val="16"/>
          <w:rtl/>
        </w:rPr>
        <w:t xml:space="preserve">(כ.) </w:t>
      </w:r>
      <w:r w:rsidRPr="00175946">
        <w:rPr>
          <w:rFonts w:cs="Arial"/>
          <w:rtl/>
        </w:rPr>
        <w:t xml:space="preserve">בהזמה שלא בפני העדים </w:t>
      </w:r>
      <w:r w:rsidRPr="00175946">
        <w:rPr>
          <w:rFonts w:cs="Arial" w:hint="cs"/>
          <w:rtl/>
        </w:rPr>
        <w:t>'</w:t>
      </w:r>
      <w:r w:rsidRPr="00175946">
        <w:rPr>
          <w:rFonts w:cs="Arial"/>
          <w:rtl/>
        </w:rPr>
        <w:t>נהי דהזמה לא הוה הכחשה מיהא הויא</w:t>
      </w:r>
      <w:r w:rsidRPr="00175946">
        <w:rPr>
          <w:rFonts w:cs="Arial" w:hint="cs"/>
          <w:rtl/>
        </w:rPr>
        <w:t>'</w:t>
      </w:r>
      <w:r w:rsidRPr="00175946">
        <w:rPr>
          <w:rFonts w:cs="Arial"/>
          <w:rtl/>
        </w:rPr>
        <w:t xml:space="preserve"> </w:t>
      </w:r>
      <w:r>
        <w:rPr>
          <w:rFonts w:cs="Arial" w:hint="cs"/>
          <w:rtl/>
        </w:rPr>
        <w:t>מוכח</w:t>
      </w:r>
      <w:r w:rsidRPr="00175946">
        <w:rPr>
          <w:rFonts w:cs="Arial"/>
          <w:rtl/>
        </w:rPr>
        <w:t xml:space="preserve"> שאם קבלו הדיינים עדות שלא בפני בעל דין </w:t>
      </w:r>
      <w:r>
        <w:rPr>
          <w:rFonts w:cs="Arial" w:hint="cs"/>
          <w:rtl/>
        </w:rPr>
        <w:t xml:space="preserve">- </w:t>
      </w:r>
      <w:r w:rsidRPr="00175946">
        <w:rPr>
          <w:rFonts w:cs="Arial"/>
          <w:rtl/>
        </w:rPr>
        <w:t>בדיעבד הוי עדות</w:t>
      </w:r>
      <w:r>
        <w:rPr>
          <w:rFonts w:cs="Arial" w:hint="cs"/>
          <w:rtl/>
        </w:rPr>
        <w:t>,</w:t>
      </w:r>
      <w:r w:rsidRPr="00175946">
        <w:rPr>
          <w:rFonts w:cs="Arial"/>
          <w:rtl/>
        </w:rPr>
        <w:t xml:space="preserve"> כדאמרינן דהכחשה מיהא הויא. </w:t>
      </w:r>
    </w:p>
    <w:p w14:paraId="2F914A26" w14:textId="77777777" w:rsidR="004B607F" w:rsidRPr="0058419C" w:rsidRDefault="004B607F" w:rsidP="004B0475">
      <w:pPr>
        <w:pStyle w:val="ac"/>
        <w:numPr>
          <w:ilvl w:val="0"/>
          <w:numId w:val="78"/>
        </w:numPr>
        <w:rPr>
          <w:rFonts w:cs="Arial"/>
        </w:rPr>
      </w:pPr>
      <w:r w:rsidRPr="00175946">
        <w:rPr>
          <w:rFonts w:cs="Arial"/>
          <w:rtl/>
        </w:rPr>
        <w:t xml:space="preserve">ריב"א </w:t>
      </w:r>
      <w:r>
        <w:rPr>
          <w:rFonts w:cs="Arial" w:hint="cs"/>
          <w:rtl/>
        </w:rPr>
        <w:t>רמב"ם רמ"ה</w:t>
      </w:r>
      <w:r w:rsidRPr="00175946">
        <w:rPr>
          <w:rFonts w:cs="Arial"/>
          <w:rtl/>
        </w:rPr>
        <w:t xml:space="preserve"> רא"ש </w:t>
      </w:r>
      <w:r>
        <w:rPr>
          <w:rFonts w:cs="Arial" w:hint="cs"/>
          <w:rtl/>
        </w:rPr>
        <w:t xml:space="preserve">טור ריב"ש </w:t>
      </w:r>
      <w:r w:rsidRPr="00175946">
        <w:rPr>
          <w:rFonts w:cs="Arial"/>
          <w:rtl/>
        </w:rPr>
        <w:t>נמוק</w:t>
      </w:r>
      <w:r>
        <w:rPr>
          <w:rFonts w:cs="Arial" w:hint="cs"/>
          <w:rtl/>
        </w:rPr>
        <w:t>"</w:t>
      </w:r>
      <w:r w:rsidRPr="00175946">
        <w:rPr>
          <w:rFonts w:cs="Arial"/>
          <w:rtl/>
        </w:rPr>
        <w:t>י</w:t>
      </w:r>
      <w:r w:rsidRPr="005F6D6E">
        <w:rPr>
          <w:rFonts w:cs="Arial"/>
          <w:rtl/>
        </w:rPr>
        <w:t xml:space="preserve"> </w:t>
      </w:r>
      <w:r>
        <w:rPr>
          <w:rFonts w:cs="Arial" w:hint="cs"/>
          <w:rtl/>
        </w:rPr>
        <w:t>ו</w:t>
      </w:r>
      <w:r w:rsidRPr="00175946">
        <w:rPr>
          <w:rFonts w:cs="Arial"/>
          <w:rtl/>
        </w:rPr>
        <w:t>רשב"ץ</w:t>
      </w:r>
      <w:r>
        <w:rPr>
          <w:rStyle w:val="ab"/>
          <w:rFonts w:cs="Arial"/>
          <w:rtl/>
        </w:rPr>
        <w:footnoteReference w:id="1507"/>
      </w:r>
      <w:r>
        <w:rPr>
          <w:rFonts w:cs="Arial" w:hint="cs"/>
          <w:rtl/>
        </w:rPr>
        <w:t xml:space="preserve">- </w:t>
      </w:r>
      <w:r w:rsidRPr="00175946">
        <w:rPr>
          <w:rFonts w:cs="Arial"/>
          <w:rtl/>
        </w:rPr>
        <w:t>לא הוי עדות לדון על פיהם</w:t>
      </w:r>
      <w:r>
        <w:rPr>
          <w:rStyle w:val="ab"/>
          <w:rFonts w:cs="Arial"/>
          <w:rtl/>
        </w:rPr>
        <w:footnoteReference w:id="1508"/>
      </w:r>
      <w:r>
        <w:rPr>
          <w:rFonts w:cs="Arial" w:hint="cs"/>
          <w:rtl/>
        </w:rPr>
        <w:t>.</w:t>
      </w:r>
      <w:r w:rsidRPr="00175946">
        <w:rPr>
          <w:rFonts w:cs="Arial"/>
          <w:rtl/>
        </w:rPr>
        <w:t xml:space="preserve"> </w:t>
      </w:r>
      <w:r w:rsidRPr="00CB4B4C">
        <w:rPr>
          <w:rFonts w:cs="Arial" w:hint="cs"/>
          <w:color w:val="E36C0A" w:themeColor="accent6" w:themeShade="BF"/>
          <w:rtl/>
        </w:rPr>
        <w:t>(וכ"פ בשו"ע)</w:t>
      </w:r>
    </w:p>
    <w:p w14:paraId="73D64E2C" w14:textId="77777777" w:rsidR="004B607F" w:rsidRDefault="004B607F" w:rsidP="004B0475">
      <w:pPr>
        <w:pStyle w:val="ac"/>
        <w:numPr>
          <w:ilvl w:val="1"/>
          <w:numId w:val="78"/>
        </w:numPr>
        <w:rPr>
          <w:rFonts w:cs="Arial"/>
        </w:rPr>
      </w:pPr>
      <w:r w:rsidRPr="00074524">
        <w:rPr>
          <w:rFonts w:cs="Arial" w:hint="cs"/>
          <w:color w:val="000000" w:themeColor="text1"/>
          <w:rtl/>
        </w:rPr>
        <w:t xml:space="preserve">ב"י </w:t>
      </w:r>
      <w:r w:rsidRPr="00074524">
        <w:rPr>
          <w:rFonts w:cs="Arial" w:hint="cs"/>
          <w:color w:val="000000" w:themeColor="text1"/>
          <w:sz w:val="16"/>
          <w:szCs w:val="16"/>
          <w:rtl/>
        </w:rPr>
        <w:t>(בבדה"ב)</w:t>
      </w:r>
      <w:r w:rsidRPr="00074524">
        <w:rPr>
          <w:rFonts w:cs="Arial" w:hint="cs"/>
          <w:color w:val="000000" w:themeColor="text1"/>
          <w:rtl/>
        </w:rPr>
        <w:t xml:space="preserve">- </w:t>
      </w:r>
      <w:r w:rsidRPr="00074524">
        <w:rPr>
          <w:rFonts w:cs="Arial"/>
          <w:color w:val="000000" w:themeColor="text1"/>
          <w:rtl/>
        </w:rPr>
        <w:t>ולענין הלכה מאחר שהירושלמי</w:t>
      </w:r>
      <w:r>
        <w:rPr>
          <w:rStyle w:val="ab"/>
          <w:rFonts w:cs="Arial"/>
          <w:color w:val="000000" w:themeColor="text1"/>
          <w:rtl/>
        </w:rPr>
        <w:footnoteReference w:id="1509"/>
      </w:r>
      <w:r w:rsidRPr="00074524">
        <w:rPr>
          <w:rFonts w:cs="Arial"/>
          <w:color w:val="000000" w:themeColor="text1"/>
          <w:rtl/>
        </w:rPr>
        <w:t xml:space="preserve"> סובר שלא בפני בעל דין אין דנין על פיו</w:t>
      </w:r>
      <w:r>
        <w:rPr>
          <w:rFonts w:cs="Arial" w:hint="cs"/>
          <w:color w:val="000000" w:themeColor="text1"/>
          <w:rtl/>
        </w:rPr>
        <w:t xml:space="preserve"> -</w:t>
      </w:r>
      <w:r w:rsidRPr="00074524">
        <w:rPr>
          <w:rFonts w:cs="Arial"/>
          <w:color w:val="000000" w:themeColor="text1"/>
          <w:rtl/>
        </w:rPr>
        <w:t xml:space="preserve"> אין להרהר </w:t>
      </w:r>
      <w:r w:rsidRPr="0058419C">
        <w:rPr>
          <w:rFonts w:cs="Arial"/>
          <w:rtl/>
        </w:rPr>
        <w:t>בדבר</w:t>
      </w:r>
      <w:r>
        <w:rPr>
          <w:rFonts w:cs="Arial" w:hint="cs"/>
          <w:rtl/>
        </w:rPr>
        <w:t>,</w:t>
      </w:r>
      <w:r w:rsidRPr="0058419C">
        <w:rPr>
          <w:rFonts w:cs="Arial"/>
          <w:rtl/>
        </w:rPr>
        <w:t xml:space="preserve"> דבסתמא לא משוינן פלוגתא בין הירושלמי לגמרא דידן</w:t>
      </w:r>
      <w:r>
        <w:rPr>
          <w:rFonts w:cs="Arial" w:hint="cs"/>
          <w:rtl/>
        </w:rPr>
        <w:t>,</w:t>
      </w:r>
      <w:r w:rsidRPr="0058419C">
        <w:rPr>
          <w:rFonts w:cs="Arial"/>
          <w:rtl/>
        </w:rPr>
        <w:t xml:space="preserve"> וכל שכן במקום דכל הני רבוותא סברי הכי</w:t>
      </w:r>
      <w:r>
        <w:rPr>
          <w:rFonts w:cs="Arial" w:hint="cs"/>
          <w:rtl/>
        </w:rPr>
        <w:t>.</w:t>
      </w:r>
      <w:r w:rsidRPr="0058419C">
        <w:rPr>
          <w:rFonts w:cs="Arial"/>
          <w:rtl/>
        </w:rPr>
        <w:t xml:space="preserve"> </w:t>
      </w:r>
    </w:p>
    <w:p w14:paraId="7F81DAED" w14:textId="77777777" w:rsidR="004B607F" w:rsidRPr="004E1FDD" w:rsidRDefault="004B607F" w:rsidP="004B607F">
      <w:pPr>
        <w:ind w:left="360"/>
        <w:rPr>
          <w:rFonts w:cs="Arial"/>
          <w:rtl/>
        </w:rPr>
      </w:pPr>
      <w:r w:rsidRPr="004E1FDD">
        <w:rPr>
          <w:rFonts w:hint="cs"/>
          <w:u w:val="dotted"/>
          <w:rtl/>
        </w:rPr>
        <w:lastRenderedPageBreak/>
        <w:t xml:space="preserve">ומה הדין אם קיבלו עדות שלא בפני בע"ד </w:t>
      </w:r>
      <w:r w:rsidRPr="004E1FDD">
        <w:rPr>
          <w:u w:val="dotted"/>
          <w:rtl/>
        </w:rPr>
        <w:t>–</w:t>
      </w:r>
      <w:r w:rsidRPr="004E1FDD">
        <w:rPr>
          <w:rFonts w:hint="cs"/>
          <w:u w:val="dotted"/>
          <w:rtl/>
        </w:rPr>
        <w:t xml:space="preserve"> ונאנסו העדים מלבוא שוב</w:t>
      </w:r>
      <w:r w:rsidRPr="004E1FDD">
        <w:rPr>
          <w:rFonts w:hint="cs"/>
          <w:sz w:val="16"/>
          <w:szCs w:val="16"/>
          <w:u w:val="dotted"/>
          <w:rtl/>
        </w:rPr>
        <w:t xml:space="preserve"> (או שהלכו למדינת הים וכדו')</w:t>
      </w:r>
      <w:r w:rsidRPr="004E1FDD">
        <w:rPr>
          <w:rFonts w:hint="cs"/>
          <w:u w:val="dotted"/>
          <w:rtl/>
        </w:rPr>
        <w:t>:</w:t>
      </w:r>
      <w:r w:rsidRPr="004E1FDD">
        <w:rPr>
          <w:rFonts w:hint="cs"/>
          <w:sz w:val="16"/>
          <w:szCs w:val="16"/>
          <w:rtl/>
        </w:rPr>
        <w:t xml:space="preserve">   (דרכ"מ אות י)</w:t>
      </w:r>
      <w:r w:rsidRPr="006E2245">
        <w:rPr>
          <w:rtl/>
        </w:rPr>
        <w:t xml:space="preserve"> </w:t>
      </w:r>
    </w:p>
    <w:p w14:paraId="33B8BA7F" w14:textId="77777777" w:rsidR="004B607F" w:rsidRPr="00587DEB" w:rsidRDefault="004B607F" w:rsidP="004B0475">
      <w:pPr>
        <w:pStyle w:val="ac"/>
        <w:numPr>
          <w:ilvl w:val="0"/>
          <w:numId w:val="80"/>
        </w:numPr>
        <w:rPr>
          <w:rFonts w:cs="Arial"/>
          <w:u w:val="single"/>
        </w:rPr>
      </w:pPr>
      <w:r w:rsidRPr="004E1FDD">
        <w:rPr>
          <w:rFonts w:cs="Arial"/>
          <w:rtl/>
        </w:rPr>
        <w:t>ר</w:t>
      </w:r>
      <w:r>
        <w:rPr>
          <w:rFonts w:cs="Arial" w:hint="cs"/>
          <w:rtl/>
        </w:rPr>
        <w:t>י"ו</w:t>
      </w:r>
      <w:r w:rsidRPr="004E1FDD">
        <w:rPr>
          <w:rFonts w:cs="Arial"/>
          <w:rtl/>
        </w:rPr>
        <w:t xml:space="preserve"> </w:t>
      </w:r>
      <w:r w:rsidRPr="004E1FDD">
        <w:rPr>
          <w:rFonts w:cs="Arial"/>
          <w:sz w:val="16"/>
          <w:szCs w:val="16"/>
          <w:rtl/>
        </w:rPr>
        <w:t>(נ"ב ח"א יא</w:t>
      </w:r>
      <w:r w:rsidRPr="004E1FDD">
        <w:rPr>
          <w:rFonts w:cs="Arial" w:hint="cs"/>
          <w:sz w:val="16"/>
          <w:szCs w:val="16"/>
          <w:rtl/>
        </w:rPr>
        <w:t>:</w:t>
      </w:r>
      <w:r w:rsidRPr="004E1FDD">
        <w:rPr>
          <w:rFonts w:cs="Arial"/>
          <w:sz w:val="16"/>
          <w:szCs w:val="16"/>
          <w:rtl/>
        </w:rPr>
        <w:t>)</w:t>
      </w:r>
      <w:r>
        <w:rPr>
          <w:rFonts w:cs="Arial" w:hint="cs"/>
          <w:rtl/>
        </w:rPr>
        <w:t xml:space="preserve">- </w:t>
      </w:r>
      <w:r w:rsidRPr="00587DEB">
        <w:rPr>
          <w:rFonts w:cs="Arial"/>
          <w:rtl/>
        </w:rPr>
        <w:t>יש מגדולי האחרונים שכתבו שאם מתו העדים או שהלכו למדינת הים</w:t>
      </w:r>
      <w:r>
        <w:rPr>
          <w:rFonts w:cs="Arial" w:hint="cs"/>
          <w:rtl/>
        </w:rPr>
        <w:t xml:space="preserve"> -</w:t>
      </w:r>
      <w:r w:rsidRPr="00587DEB">
        <w:rPr>
          <w:rFonts w:cs="Arial"/>
          <w:rtl/>
        </w:rPr>
        <w:t xml:space="preserve"> שדנים על פי עדות' שקבלו שלא בפני בעל דין</w:t>
      </w:r>
      <w:r>
        <w:rPr>
          <w:rStyle w:val="ab"/>
          <w:rFonts w:cs="Arial"/>
          <w:rtl/>
        </w:rPr>
        <w:footnoteReference w:id="1510"/>
      </w:r>
      <w:r>
        <w:rPr>
          <w:rFonts w:cs="Arial" w:hint="cs"/>
          <w:rtl/>
        </w:rPr>
        <w:t>.</w:t>
      </w:r>
      <w:r w:rsidRPr="00587DEB">
        <w:rPr>
          <w:rFonts w:cs="Arial"/>
          <w:rtl/>
        </w:rPr>
        <w:t xml:space="preserve"> </w:t>
      </w:r>
    </w:p>
    <w:p w14:paraId="50D7727A" w14:textId="77777777" w:rsidR="004B607F" w:rsidRPr="00564FA1" w:rsidRDefault="004B607F" w:rsidP="004B607F">
      <w:pPr>
        <w:rPr>
          <w:rFonts w:cs="Arial"/>
          <w:u w:val="single"/>
          <w:rtl/>
        </w:rPr>
      </w:pPr>
      <w:r w:rsidRPr="00564FA1">
        <w:rPr>
          <w:rFonts w:cs="Arial"/>
          <w:u w:val="single"/>
          <w:rtl/>
        </w:rPr>
        <w:t>עדים שנתקבלה עדותן שלא בפני בעל דין –</w:t>
      </w:r>
      <w:r w:rsidRPr="00564FA1">
        <w:rPr>
          <w:rFonts w:cs="Arial" w:hint="cs"/>
          <w:u w:val="single"/>
          <w:rtl/>
        </w:rPr>
        <w:t xml:space="preserve"> האם יכולים לחזור ולהעיד בב"ד </w:t>
      </w:r>
      <w:r>
        <w:rPr>
          <w:rFonts w:cs="Arial" w:hint="cs"/>
          <w:u w:val="single"/>
          <w:rtl/>
        </w:rPr>
        <w:t xml:space="preserve">עוד </w:t>
      </w:r>
      <w:r w:rsidRPr="00564FA1">
        <w:rPr>
          <w:rFonts w:cs="Arial" w:hint="cs"/>
          <w:u w:val="single"/>
          <w:rtl/>
        </w:rPr>
        <w:t>פעם או ש</w:t>
      </w:r>
      <w:r>
        <w:rPr>
          <w:rFonts w:cs="Arial" w:hint="cs"/>
          <w:u w:val="single"/>
          <w:rtl/>
        </w:rPr>
        <w:t>כבר</w:t>
      </w:r>
      <w:r w:rsidRPr="00564FA1">
        <w:rPr>
          <w:rFonts w:cs="Arial" w:hint="cs"/>
          <w:u w:val="single"/>
          <w:rtl/>
        </w:rPr>
        <w:t xml:space="preserve"> אינם נאמנים:</w:t>
      </w:r>
    </w:p>
    <w:p w14:paraId="744F9213" w14:textId="77777777" w:rsidR="004B607F" w:rsidRPr="000337F7" w:rsidRDefault="004B607F" w:rsidP="004B0475">
      <w:pPr>
        <w:pStyle w:val="ac"/>
        <w:numPr>
          <w:ilvl w:val="0"/>
          <w:numId w:val="79"/>
        </w:numPr>
      </w:pPr>
      <w:r w:rsidRPr="00564FA1">
        <w:rPr>
          <w:rFonts w:cs="Arial"/>
          <w:rtl/>
        </w:rPr>
        <w:t>ה"ר מנחם</w:t>
      </w:r>
      <w:r>
        <w:rPr>
          <w:rFonts w:cs="Arial" w:hint="cs"/>
          <w:rtl/>
        </w:rPr>
        <w:t xml:space="preserve"> הארוך</w:t>
      </w:r>
      <w:r w:rsidRPr="00564FA1">
        <w:rPr>
          <w:rFonts w:cs="Arial"/>
          <w:rtl/>
        </w:rPr>
        <w:t xml:space="preserve"> </w:t>
      </w:r>
      <w:r w:rsidRPr="00564FA1">
        <w:rPr>
          <w:rFonts w:cs="Arial" w:hint="cs"/>
          <w:sz w:val="16"/>
          <w:szCs w:val="16"/>
          <w:rtl/>
        </w:rPr>
        <w:t>(</w:t>
      </w:r>
      <w:r w:rsidRPr="00564FA1">
        <w:rPr>
          <w:rFonts w:cs="Arial"/>
          <w:sz w:val="16"/>
          <w:szCs w:val="16"/>
          <w:rtl/>
        </w:rPr>
        <w:t>בתשובה</w:t>
      </w:r>
      <w:r w:rsidRPr="00564FA1">
        <w:rPr>
          <w:rFonts w:cs="Arial" w:hint="cs"/>
          <w:sz w:val="16"/>
          <w:szCs w:val="16"/>
          <w:rtl/>
        </w:rPr>
        <w:t>, כ"כ הב"י בשמו)</w:t>
      </w:r>
      <w:r w:rsidRPr="00564FA1">
        <w:rPr>
          <w:rFonts w:cs="Arial" w:hint="cs"/>
          <w:rtl/>
        </w:rPr>
        <w:t>-</w:t>
      </w:r>
      <w:r w:rsidRPr="00564FA1">
        <w:rPr>
          <w:rFonts w:cs="Arial"/>
          <w:rtl/>
        </w:rPr>
        <w:t xml:space="preserve"> עדים שנתקבלה עדותן שלא בפני בעל דין</w:t>
      </w:r>
      <w:r>
        <w:rPr>
          <w:rFonts w:cs="Arial" w:hint="cs"/>
          <w:rtl/>
        </w:rPr>
        <w:t>,</w:t>
      </w:r>
      <w:r w:rsidRPr="00564FA1">
        <w:rPr>
          <w:rFonts w:cs="Arial"/>
          <w:rtl/>
        </w:rPr>
        <w:t xml:space="preserve"> אפילו השביעום בית דין </w:t>
      </w:r>
      <w:r>
        <w:rPr>
          <w:rFonts w:cs="Arial" w:hint="cs"/>
          <w:rtl/>
        </w:rPr>
        <w:t xml:space="preserve">- </w:t>
      </w:r>
      <w:r w:rsidRPr="00564FA1">
        <w:rPr>
          <w:rFonts w:cs="Arial"/>
          <w:rtl/>
        </w:rPr>
        <w:t>חוזרין ומקבלין עדותם</w:t>
      </w:r>
      <w:r>
        <w:rPr>
          <w:rFonts w:cs="Arial" w:hint="cs"/>
          <w:rtl/>
        </w:rPr>
        <w:t>,</w:t>
      </w:r>
      <w:r w:rsidRPr="00564FA1">
        <w:rPr>
          <w:rFonts w:cs="Arial"/>
          <w:rtl/>
        </w:rPr>
        <w:t xml:space="preserve"> ואם כיוונו עדותן עם הראשונה עדותן קיימת</w:t>
      </w:r>
      <w:r>
        <w:rPr>
          <w:rFonts w:cs="Arial" w:hint="cs"/>
          <w:rtl/>
        </w:rPr>
        <w:t>,</w:t>
      </w:r>
      <w:r w:rsidRPr="00564FA1">
        <w:rPr>
          <w:rFonts w:cs="Arial"/>
          <w:rtl/>
        </w:rPr>
        <w:t xml:space="preserve"> ולא אמרינן נוגעים בעדותן הם כיון </w:t>
      </w:r>
      <w:r w:rsidRPr="000A177D">
        <w:rPr>
          <w:rFonts w:cs="Arial"/>
          <w:color w:val="000000" w:themeColor="text1"/>
          <w:rtl/>
        </w:rPr>
        <w:t>שנשבעו בעדות ראשונה דלא מחזיקי נפשייהו ברשיעי</w:t>
      </w:r>
      <w:r w:rsidRPr="000A177D">
        <w:rPr>
          <w:rStyle w:val="ab"/>
          <w:rFonts w:cs="Arial"/>
          <w:color w:val="000000" w:themeColor="text1"/>
          <w:rtl/>
        </w:rPr>
        <w:footnoteReference w:id="1511"/>
      </w:r>
      <w:r w:rsidRPr="000A177D">
        <w:rPr>
          <w:rFonts w:cs="Arial"/>
          <w:color w:val="000000" w:themeColor="text1"/>
          <w:rtl/>
        </w:rPr>
        <w:t xml:space="preserve">. </w:t>
      </w:r>
      <w:r>
        <w:rPr>
          <w:rFonts w:cs="Arial" w:hint="cs"/>
          <w:color w:val="000000" w:themeColor="text1"/>
          <w:sz w:val="16"/>
          <w:szCs w:val="16"/>
          <w:rtl/>
        </w:rPr>
        <w:t>{</w:t>
      </w:r>
      <w:r w:rsidRPr="000A177D">
        <w:rPr>
          <w:rFonts w:cs="Arial"/>
          <w:color w:val="000000" w:themeColor="text1"/>
          <w:sz w:val="16"/>
          <w:szCs w:val="16"/>
          <w:rtl/>
        </w:rPr>
        <w:t>וכתב עוד שבאותו הנדון שנשאל עליו</w:t>
      </w:r>
      <w:r w:rsidRPr="000A177D">
        <w:rPr>
          <w:rFonts w:cs="Arial" w:hint="cs"/>
          <w:color w:val="000000" w:themeColor="text1"/>
          <w:sz w:val="16"/>
          <w:szCs w:val="16"/>
          <w:rtl/>
        </w:rPr>
        <w:t>-</w:t>
      </w:r>
      <w:r>
        <w:rPr>
          <w:rFonts w:cs="Arial" w:hint="cs"/>
          <w:color w:val="000000" w:themeColor="text1"/>
          <w:sz w:val="16"/>
          <w:szCs w:val="16"/>
          <w:rtl/>
        </w:rPr>
        <w:t>}</w:t>
      </w:r>
      <w:r w:rsidRPr="000A177D">
        <w:rPr>
          <w:rFonts w:cs="Arial"/>
          <w:color w:val="000000" w:themeColor="text1"/>
          <w:rtl/>
        </w:rPr>
        <w:t xml:space="preserve"> </w:t>
      </w:r>
      <w:r w:rsidRPr="000A177D">
        <w:rPr>
          <w:rFonts w:cs="Arial" w:hint="cs"/>
          <w:color w:val="000000" w:themeColor="text1"/>
          <w:rtl/>
        </w:rPr>
        <w:t>ו</w:t>
      </w:r>
      <w:r w:rsidRPr="000A177D">
        <w:rPr>
          <w:rFonts w:cs="Arial"/>
          <w:color w:val="000000" w:themeColor="text1"/>
          <w:rtl/>
        </w:rPr>
        <w:t xml:space="preserve">כיון שהיה הבעל דין </w:t>
      </w:r>
      <w:r w:rsidRPr="00564FA1">
        <w:rPr>
          <w:rFonts w:cs="Arial"/>
          <w:rtl/>
        </w:rPr>
        <w:t xml:space="preserve">מצוי בעיר הואיל ונשבעו שלא בפני בעל דין הוי כנשבעו חוץ לבית דין ומקבלין עדות שנית. </w:t>
      </w:r>
      <w:r>
        <w:rPr>
          <w:rFonts w:cs="Arial" w:hint="cs"/>
          <w:rtl/>
        </w:rPr>
        <w:t>ו</w:t>
      </w:r>
      <w:r w:rsidRPr="00564FA1">
        <w:rPr>
          <w:rFonts w:cs="Arial"/>
          <w:rtl/>
        </w:rPr>
        <w:t>כיון שהיו נוהגים להשביע העדים</w:t>
      </w:r>
      <w:r>
        <w:rPr>
          <w:rFonts w:cs="Arial" w:hint="cs"/>
          <w:rtl/>
        </w:rPr>
        <w:t>,</w:t>
      </w:r>
      <w:r w:rsidRPr="00564FA1">
        <w:rPr>
          <w:rFonts w:cs="Arial"/>
          <w:rtl/>
        </w:rPr>
        <w:t xml:space="preserve"> אם לא כיוונו עדותן </w:t>
      </w:r>
      <w:r>
        <w:rPr>
          <w:rFonts w:cs="Arial" w:hint="cs"/>
          <w:rtl/>
        </w:rPr>
        <w:t xml:space="preserve">- </w:t>
      </w:r>
      <w:r w:rsidRPr="00564FA1">
        <w:rPr>
          <w:rFonts w:cs="Arial"/>
          <w:rtl/>
        </w:rPr>
        <w:t>עדות הראשונה והאחרונה בטלה</w:t>
      </w:r>
      <w:r>
        <w:rPr>
          <w:rFonts w:cs="Arial" w:hint="cs"/>
          <w:rtl/>
        </w:rPr>
        <w:t>,</w:t>
      </w:r>
      <w:r w:rsidRPr="00564FA1">
        <w:rPr>
          <w:rFonts w:cs="Arial"/>
          <w:rtl/>
        </w:rPr>
        <w:t xml:space="preserve"> ממה נפשך עברו על השבועה</w:t>
      </w:r>
      <w:r>
        <w:rPr>
          <w:rFonts w:cs="Arial" w:hint="cs"/>
          <w:rtl/>
        </w:rPr>
        <w:t>,</w:t>
      </w:r>
      <w:r w:rsidRPr="00564FA1">
        <w:rPr>
          <w:rFonts w:cs="Arial"/>
          <w:rtl/>
        </w:rPr>
        <w:t xml:space="preserve"> ואי לא דמסתפינא בעינא למימר דעדות האחרונה קיימת</w:t>
      </w:r>
      <w:r>
        <w:rPr>
          <w:rFonts w:cs="Arial" w:hint="cs"/>
          <w:rtl/>
        </w:rPr>
        <w:t>,</w:t>
      </w:r>
      <w:r w:rsidRPr="00564FA1">
        <w:rPr>
          <w:rFonts w:cs="Arial"/>
          <w:rtl/>
        </w:rPr>
        <w:t xml:space="preserve"> וראיה מההיא דפרק שבועת העדות </w:t>
      </w:r>
      <w:r>
        <w:rPr>
          <w:rFonts w:cs="Arial" w:hint="cs"/>
          <w:rtl/>
        </w:rPr>
        <w:t>כנ"ל,</w:t>
      </w:r>
      <w:r w:rsidRPr="00564FA1">
        <w:rPr>
          <w:rFonts w:cs="Arial"/>
          <w:rtl/>
        </w:rPr>
        <w:t xml:space="preserve"> וטעמא הואיל והעידו חוץ לבית דין לא דייקו עדותן</w:t>
      </w:r>
      <w:r>
        <w:rPr>
          <w:rStyle w:val="ab"/>
          <w:rFonts w:cs="Arial"/>
          <w:rtl/>
        </w:rPr>
        <w:footnoteReference w:id="1512"/>
      </w:r>
      <w:r w:rsidRPr="00564FA1">
        <w:rPr>
          <w:rFonts w:cs="Arial"/>
          <w:rtl/>
        </w:rPr>
        <w:t xml:space="preserve">. </w:t>
      </w:r>
    </w:p>
    <w:p w14:paraId="2BA3E85A" w14:textId="77777777" w:rsidR="004B607F" w:rsidRDefault="004B607F" w:rsidP="004B0475">
      <w:pPr>
        <w:pStyle w:val="ac"/>
        <w:numPr>
          <w:ilvl w:val="0"/>
          <w:numId w:val="79"/>
        </w:numPr>
      </w:pPr>
      <w:r w:rsidRPr="00564FA1">
        <w:rPr>
          <w:rFonts w:cs="Arial"/>
          <w:rtl/>
        </w:rPr>
        <w:t xml:space="preserve">ריב"ש </w:t>
      </w:r>
      <w:r w:rsidRPr="000337F7">
        <w:rPr>
          <w:rFonts w:cs="Arial"/>
          <w:sz w:val="16"/>
          <w:szCs w:val="16"/>
          <w:rtl/>
        </w:rPr>
        <w:t>(סי</w:t>
      </w:r>
      <w:r w:rsidRPr="000337F7">
        <w:rPr>
          <w:rFonts w:cs="Arial" w:hint="cs"/>
          <w:sz w:val="16"/>
          <w:szCs w:val="16"/>
          <w:rtl/>
        </w:rPr>
        <w:t>'</w:t>
      </w:r>
      <w:r w:rsidRPr="000337F7">
        <w:rPr>
          <w:rFonts w:cs="Arial"/>
          <w:sz w:val="16"/>
          <w:szCs w:val="16"/>
          <w:rtl/>
        </w:rPr>
        <w:t xml:space="preserve"> קח)</w:t>
      </w:r>
      <w:r>
        <w:rPr>
          <w:rFonts w:cs="Arial" w:hint="cs"/>
          <w:rtl/>
        </w:rPr>
        <w:t>-</w:t>
      </w:r>
      <w:r w:rsidRPr="00564FA1">
        <w:rPr>
          <w:rFonts w:cs="Arial"/>
          <w:rtl/>
        </w:rPr>
        <w:t xml:space="preserve"> אשה שחשדוה שלקחה רוב עזבון בעלה</w:t>
      </w:r>
      <w:r>
        <w:rPr>
          <w:rFonts w:cs="Arial" w:hint="cs"/>
          <w:rtl/>
        </w:rPr>
        <w:t>,</w:t>
      </w:r>
      <w:r w:rsidRPr="00564FA1">
        <w:rPr>
          <w:rFonts w:cs="Arial"/>
          <w:rtl/>
        </w:rPr>
        <w:t xml:space="preserve"> והיה לה בן מאיש אחר</w:t>
      </w:r>
      <w:r>
        <w:rPr>
          <w:rFonts w:cs="Arial" w:hint="cs"/>
          <w:rtl/>
        </w:rPr>
        <w:t>,</w:t>
      </w:r>
      <w:r w:rsidRPr="00564FA1">
        <w:rPr>
          <w:rFonts w:cs="Arial"/>
          <w:rtl/>
        </w:rPr>
        <w:t xml:space="preserve"> והיו אומרים שגם הבן לקח מעזבון בעל אמו</w:t>
      </w:r>
      <w:r>
        <w:rPr>
          <w:rFonts w:cs="Arial" w:hint="cs"/>
          <w:rtl/>
        </w:rPr>
        <w:t>,</w:t>
      </w:r>
      <w:r w:rsidRPr="00564FA1">
        <w:rPr>
          <w:rFonts w:cs="Arial"/>
          <w:rtl/>
        </w:rPr>
        <w:t xml:space="preserve"> והחרימו בבית הכנסת שכל מי שיודע עדות יבא ויעיד</w:t>
      </w:r>
      <w:r>
        <w:rPr>
          <w:rFonts w:cs="Arial" w:hint="cs"/>
          <w:rtl/>
        </w:rPr>
        <w:t>.</w:t>
      </w:r>
      <w:r w:rsidRPr="00564FA1">
        <w:rPr>
          <w:rFonts w:cs="Arial"/>
          <w:rtl/>
        </w:rPr>
        <w:t xml:space="preserve"> ובאו והעידו שלא בפניה</w:t>
      </w:r>
      <w:r>
        <w:rPr>
          <w:rFonts w:cs="Arial" w:hint="cs"/>
          <w:rtl/>
        </w:rPr>
        <w:t>.</w:t>
      </w:r>
      <w:r w:rsidRPr="00564FA1">
        <w:rPr>
          <w:rFonts w:cs="Arial"/>
          <w:rtl/>
        </w:rPr>
        <w:t xml:space="preserve"> אם יש עדים כנגדה </w:t>
      </w:r>
      <w:r>
        <w:rPr>
          <w:rFonts w:cs="Arial" w:hint="cs"/>
          <w:rtl/>
        </w:rPr>
        <w:t xml:space="preserve">- </w:t>
      </w:r>
      <w:r w:rsidRPr="00564FA1">
        <w:rPr>
          <w:rFonts w:cs="Arial"/>
          <w:rtl/>
        </w:rPr>
        <w:t>מחייבים אותה</w:t>
      </w:r>
      <w:r>
        <w:rPr>
          <w:rFonts w:cs="Arial" w:hint="cs"/>
          <w:rtl/>
        </w:rPr>
        <w:t>,</w:t>
      </w:r>
      <w:r w:rsidRPr="00564FA1">
        <w:rPr>
          <w:rFonts w:cs="Arial"/>
          <w:rtl/>
        </w:rPr>
        <w:t xml:space="preserve"> אלא שהעדים שהעידו כנגד זו בכח חרם שהחרימו הקהל נראה שנתקבלו שלא בפניה</w:t>
      </w:r>
      <w:r>
        <w:rPr>
          <w:rFonts w:cs="Arial" w:hint="cs"/>
          <w:rtl/>
        </w:rPr>
        <w:t>,</w:t>
      </w:r>
      <w:r w:rsidRPr="00564FA1">
        <w:rPr>
          <w:rFonts w:cs="Arial"/>
          <w:rtl/>
        </w:rPr>
        <w:t xml:space="preserve"> וידעת שאין מקבלין עדים אלא בפני בעל דין</w:t>
      </w:r>
      <w:r>
        <w:rPr>
          <w:rFonts w:cs="Arial" w:hint="cs"/>
          <w:rtl/>
        </w:rPr>
        <w:t>,</w:t>
      </w:r>
      <w:r w:rsidRPr="00564FA1">
        <w:rPr>
          <w:rFonts w:cs="Arial"/>
          <w:rtl/>
        </w:rPr>
        <w:t xml:space="preserve"> ואם קבלום</w:t>
      </w:r>
      <w:r>
        <w:rPr>
          <w:rFonts w:cs="Arial" w:hint="cs"/>
          <w:rtl/>
        </w:rPr>
        <w:t xml:space="preserve"> -</w:t>
      </w:r>
      <w:r w:rsidRPr="00564FA1">
        <w:rPr>
          <w:rFonts w:cs="Arial"/>
          <w:rtl/>
        </w:rPr>
        <w:t xml:space="preserve"> אין דנין על פיהם</w:t>
      </w:r>
      <w:r>
        <w:rPr>
          <w:rFonts w:cs="Arial" w:hint="cs"/>
          <w:rtl/>
        </w:rPr>
        <w:t>,</w:t>
      </w:r>
      <w:r w:rsidRPr="00564FA1">
        <w:rPr>
          <w:rFonts w:cs="Arial"/>
          <w:rtl/>
        </w:rPr>
        <w:t xml:space="preserve"> וכן הוא בירושלמי </w:t>
      </w:r>
      <w:r w:rsidRPr="00447B05">
        <w:rPr>
          <w:rFonts w:cs="Arial"/>
          <w:sz w:val="16"/>
          <w:szCs w:val="16"/>
          <w:rtl/>
        </w:rPr>
        <w:t>(שם)</w:t>
      </w:r>
      <w:r>
        <w:rPr>
          <w:rFonts w:cs="Arial" w:hint="cs"/>
          <w:rtl/>
        </w:rPr>
        <w:t>,</w:t>
      </w:r>
      <w:r w:rsidRPr="00564FA1">
        <w:rPr>
          <w:rFonts w:cs="Arial"/>
          <w:rtl/>
        </w:rPr>
        <w:t xml:space="preserve"> וכ"כ הרשב"א והרמ"ה ז"ל</w:t>
      </w:r>
      <w:r>
        <w:rPr>
          <w:rFonts w:cs="Arial" w:hint="cs"/>
          <w:rtl/>
        </w:rPr>
        <w:t>.</w:t>
      </w:r>
      <w:r w:rsidRPr="00564FA1">
        <w:rPr>
          <w:rFonts w:cs="Arial"/>
          <w:rtl/>
        </w:rPr>
        <w:t xml:space="preserve"> ולכן צריך שיקובל העדות בפניה כי מעתה לא יחזרו בהם אחרי שכבר העידו בכח חרם</w:t>
      </w:r>
      <w:r>
        <w:rPr>
          <w:rFonts w:cs="Arial" w:hint="cs"/>
          <w:rtl/>
        </w:rPr>
        <w:t>.</w:t>
      </w:r>
      <w:r w:rsidRPr="00564FA1">
        <w:rPr>
          <w:rFonts w:cs="Arial"/>
          <w:rtl/>
        </w:rPr>
        <w:t xml:space="preserve"> </w:t>
      </w:r>
    </w:p>
    <w:p w14:paraId="4A158B81" w14:textId="77777777" w:rsidR="004B607F" w:rsidRPr="000A177D" w:rsidRDefault="004B607F" w:rsidP="004B607F">
      <w:pPr>
        <w:rPr>
          <w:u w:val="single"/>
        </w:rPr>
      </w:pPr>
      <w:r w:rsidRPr="000A177D">
        <w:rPr>
          <w:rFonts w:hint="cs"/>
          <w:u w:val="single"/>
          <w:rtl/>
        </w:rPr>
        <w:t>אדם שמעיד בגלל יסורין ויראה:</w:t>
      </w:r>
    </w:p>
    <w:p w14:paraId="3795A04A" w14:textId="77777777" w:rsidR="004B607F" w:rsidRDefault="004B607F" w:rsidP="004B0475">
      <w:pPr>
        <w:pStyle w:val="ac"/>
        <w:numPr>
          <w:ilvl w:val="0"/>
          <w:numId w:val="79"/>
        </w:numPr>
      </w:pPr>
      <w:r w:rsidRPr="00564FA1">
        <w:rPr>
          <w:rFonts w:cs="Arial"/>
          <w:rtl/>
        </w:rPr>
        <w:t xml:space="preserve">מהרי"ק </w:t>
      </w:r>
      <w:r w:rsidRPr="000A177D">
        <w:rPr>
          <w:rFonts w:cs="Arial" w:hint="cs"/>
          <w:sz w:val="16"/>
          <w:szCs w:val="16"/>
          <w:rtl/>
        </w:rPr>
        <w:t>(</w:t>
      </w:r>
      <w:r w:rsidRPr="000A177D">
        <w:rPr>
          <w:rFonts w:cs="Arial"/>
          <w:sz w:val="16"/>
          <w:szCs w:val="16"/>
          <w:rtl/>
        </w:rPr>
        <w:t>שורש ס"ח</w:t>
      </w:r>
      <w:r w:rsidRPr="000A177D">
        <w:rPr>
          <w:rFonts w:cs="Arial" w:hint="cs"/>
          <w:sz w:val="16"/>
          <w:szCs w:val="16"/>
          <w:rtl/>
        </w:rPr>
        <w:t>)</w:t>
      </w:r>
      <w:r>
        <w:rPr>
          <w:rFonts w:cs="Arial" w:hint="cs"/>
          <w:rtl/>
        </w:rPr>
        <w:t>-</w:t>
      </w:r>
      <w:r w:rsidRPr="00564FA1">
        <w:rPr>
          <w:rFonts w:cs="Arial"/>
          <w:rtl/>
        </w:rPr>
        <w:t xml:space="preserve"> מה שאדם מעיד לסבת יסורין ויראה אין בו ממש</w:t>
      </w:r>
      <w:r>
        <w:rPr>
          <w:rFonts w:cs="Arial" w:hint="cs"/>
          <w:rtl/>
        </w:rPr>
        <w:t>.</w:t>
      </w:r>
    </w:p>
    <w:p w14:paraId="02331B37" w14:textId="77777777" w:rsidR="004B607F" w:rsidRDefault="004B607F" w:rsidP="004B607F">
      <w:r w:rsidRPr="001128A9">
        <w:rPr>
          <w:rFonts w:hint="cs"/>
          <w:u w:val="single"/>
          <w:rtl/>
        </w:rPr>
        <w:t xml:space="preserve">קבלת עדות שלא בפני בעל דין </w:t>
      </w:r>
      <w:r w:rsidRPr="001128A9">
        <w:rPr>
          <w:u w:val="single"/>
          <w:rtl/>
        </w:rPr>
        <w:t>–</w:t>
      </w:r>
      <w:r w:rsidRPr="001128A9">
        <w:rPr>
          <w:rFonts w:hint="cs"/>
          <w:u w:val="single"/>
          <w:rtl/>
        </w:rPr>
        <w:t xml:space="preserve"> כשהבעל דין אלם:</w:t>
      </w:r>
      <w:r w:rsidRPr="00475DBF">
        <w:rPr>
          <w:rFonts w:cs="Arial" w:hint="cs"/>
          <w:sz w:val="16"/>
          <w:szCs w:val="16"/>
          <w:rtl/>
        </w:rPr>
        <w:t xml:space="preserve">  (דרכ"מ אות ט)</w:t>
      </w:r>
    </w:p>
    <w:p w14:paraId="7DA7C8C5" w14:textId="77777777" w:rsidR="004B607F" w:rsidRDefault="004B607F" w:rsidP="004B0475">
      <w:pPr>
        <w:pStyle w:val="ac"/>
        <w:numPr>
          <w:ilvl w:val="0"/>
          <w:numId w:val="79"/>
        </w:numPr>
      </w:pPr>
      <w:r w:rsidRPr="00475DBF">
        <w:rPr>
          <w:rFonts w:cs="Arial"/>
          <w:rtl/>
        </w:rPr>
        <w:t xml:space="preserve">מהרא"י </w:t>
      </w:r>
      <w:r w:rsidRPr="001128A9">
        <w:rPr>
          <w:rFonts w:cs="Arial" w:hint="cs"/>
          <w:sz w:val="16"/>
          <w:szCs w:val="16"/>
          <w:rtl/>
        </w:rPr>
        <w:t>(</w:t>
      </w:r>
      <w:r w:rsidRPr="001128A9">
        <w:rPr>
          <w:rFonts w:cs="Arial"/>
          <w:sz w:val="16"/>
          <w:szCs w:val="16"/>
          <w:rtl/>
        </w:rPr>
        <w:t>פסקי</w:t>
      </w:r>
      <w:r>
        <w:rPr>
          <w:rFonts w:cs="Arial" w:hint="cs"/>
          <w:sz w:val="16"/>
          <w:szCs w:val="16"/>
          <w:rtl/>
        </w:rPr>
        <w:t>ם</w:t>
      </w:r>
      <w:r w:rsidRPr="001128A9">
        <w:rPr>
          <w:rFonts w:cs="Arial"/>
          <w:sz w:val="16"/>
          <w:szCs w:val="16"/>
          <w:rtl/>
        </w:rPr>
        <w:t xml:space="preserve"> סי</w:t>
      </w:r>
      <w:r w:rsidRPr="001128A9">
        <w:rPr>
          <w:rFonts w:cs="Arial" w:hint="cs"/>
          <w:sz w:val="16"/>
          <w:szCs w:val="16"/>
          <w:rtl/>
        </w:rPr>
        <w:t>'</w:t>
      </w:r>
      <w:r w:rsidRPr="001128A9">
        <w:rPr>
          <w:rFonts w:cs="Arial"/>
          <w:sz w:val="16"/>
          <w:szCs w:val="16"/>
          <w:rtl/>
        </w:rPr>
        <w:t xml:space="preserve"> קעה</w:t>
      </w:r>
      <w:r w:rsidRPr="001128A9">
        <w:rPr>
          <w:rFonts w:cs="Arial" w:hint="cs"/>
          <w:sz w:val="16"/>
          <w:szCs w:val="16"/>
          <w:rtl/>
        </w:rPr>
        <w:t>-קעו)</w:t>
      </w:r>
      <w:r>
        <w:rPr>
          <w:rFonts w:cs="Arial" w:hint="cs"/>
          <w:rtl/>
        </w:rPr>
        <w:t>-</w:t>
      </w:r>
      <w:r w:rsidRPr="00475DBF">
        <w:rPr>
          <w:rFonts w:cs="Arial"/>
          <w:rtl/>
        </w:rPr>
        <w:t xml:space="preserve"> מדברי ראב"ן שמעינן שמקילינן בדבר היכי דאיכא צד וטעם להקל</w:t>
      </w:r>
      <w:r>
        <w:rPr>
          <w:rFonts w:cs="Arial" w:hint="cs"/>
          <w:rtl/>
        </w:rPr>
        <w:t>,</w:t>
      </w:r>
      <w:r w:rsidRPr="00475DBF">
        <w:rPr>
          <w:rFonts w:cs="Arial"/>
          <w:rtl/>
        </w:rPr>
        <w:t xml:space="preserve"> לכן היכא דידעינן שאם יגבו העדות בפניו יתעכב קבלת העדות ע</w:t>
      </w:r>
      <w:r>
        <w:rPr>
          <w:rFonts w:cs="Arial" w:hint="cs"/>
          <w:rtl/>
        </w:rPr>
        <w:t>"</w:t>
      </w:r>
      <w:r w:rsidRPr="00475DBF">
        <w:rPr>
          <w:rFonts w:cs="Arial"/>
          <w:rtl/>
        </w:rPr>
        <w:t>י כחות ואלמות</w:t>
      </w:r>
      <w:r>
        <w:rPr>
          <w:rFonts w:cs="Arial" w:hint="cs"/>
          <w:rtl/>
        </w:rPr>
        <w:t>,</w:t>
      </w:r>
      <w:r w:rsidRPr="00475DBF">
        <w:rPr>
          <w:rFonts w:cs="Arial"/>
          <w:rtl/>
        </w:rPr>
        <w:t xml:space="preserve"> אם ידוע זה </w:t>
      </w:r>
      <w:r>
        <w:rPr>
          <w:rFonts w:cs="Arial" w:hint="cs"/>
          <w:rtl/>
        </w:rPr>
        <w:t xml:space="preserve">- </w:t>
      </w:r>
      <w:r w:rsidRPr="00475DBF">
        <w:rPr>
          <w:rFonts w:cs="Arial"/>
          <w:rtl/>
        </w:rPr>
        <w:t>מקבלין עדות שלא בפניו.</w:t>
      </w:r>
      <w:r>
        <w:rPr>
          <w:rFonts w:cs="Arial" w:hint="cs"/>
          <w:rtl/>
        </w:rPr>
        <w:t>..</w:t>
      </w:r>
      <w:r w:rsidRPr="00475DBF">
        <w:rPr>
          <w:rFonts w:cs="Arial"/>
          <w:rtl/>
        </w:rPr>
        <w:t xml:space="preserve"> וכ</w:t>
      </w:r>
      <w:r>
        <w:rPr>
          <w:rFonts w:cs="Arial" w:hint="cs"/>
          <w:rtl/>
        </w:rPr>
        <w:t>ן</w:t>
      </w:r>
      <w:r w:rsidRPr="00475DBF">
        <w:rPr>
          <w:rFonts w:cs="Arial"/>
          <w:rtl/>
        </w:rPr>
        <w:t xml:space="preserve"> היכא דאיכא למימר דהעדים יראים מלהגיד לו בפניו </w:t>
      </w:r>
      <w:r>
        <w:rPr>
          <w:rFonts w:cs="Arial" w:hint="cs"/>
          <w:rtl/>
        </w:rPr>
        <w:t xml:space="preserve">- </w:t>
      </w:r>
      <w:r w:rsidRPr="00475DBF">
        <w:rPr>
          <w:rFonts w:cs="Arial"/>
          <w:rtl/>
        </w:rPr>
        <w:t>יגידו שלא בפניו</w:t>
      </w:r>
      <w:r>
        <w:rPr>
          <w:rStyle w:val="ab"/>
          <w:rFonts w:cs="Arial"/>
          <w:rtl/>
        </w:rPr>
        <w:footnoteReference w:id="1513"/>
      </w:r>
      <w:r>
        <w:rPr>
          <w:rFonts w:cs="Arial" w:hint="cs"/>
          <w:rtl/>
        </w:rPr>
        <w:t>.</w:t>
      </w:r>
      <w:r>
        <w:rPr>
          <w:rFonts w:hint="cs"/>
          <w:rtl/>
        </w:rPr>
        <w:t xml:space="preserve"> </w:t>
      </w:r>
      <w:r w:rsidRPr="001128A9">
        <w:rPr>
          <w:rFonts w:hint="cs"/>
          <w:color w:val="00B0F0"/>
          <w:rtl/>
        </w:rPr>
        <w:t>(וכ"פ הרמ"א)</w:t>
      </w:r>
    </w:p>
    <w:p w14:paraId="28CE2BD3" w14:textId="77777777" w:rsidR="004B607F" w:rsidRDefault="004B607F" w:rsidP="004B607F">
      <w:pPr>
        <w:rPr>
          <w:rtl/>
        </w:rPr>
      </w:pPr>
      <w:r w:rsidRPr="001128A9">
        <w:rPr>
          <w:rFonts w:hint="cs"/>
          <w:u w:val="single"/>
          <w:rtl/>
        </w:rPr>
        <w:t xml:space="preserve">קבלת עדות שלא בפני בעל דין </w:t>
      </w:r>
      <w:r w:rsidRPr="001128A9">
        <w:rPr>
          <w:u w:val="single"/>
          <w:rtl/>
        </w:rPr>
        <w:t>–</w:t>
      </w:r>
      <w:r w:rsidRPr="001128A9">
        <w:rPr>
          <w:rFonts w:hint="cs"/>
          <w:u w:val="single"/>
          <w:rtl/>
        </w:rPr>
        <w:t xml:space="preserve"> </w:t>
      </w:r>
      <w:r>
        <w:rPr>
          <w:rFonts w:hint="cs"/>
          <w:u w:val="single"/>
          <w:rtl/>
        </w:rPr>
        <w:t>מחשש לקטטות</w:t>
      </w:r>
      <w:r w:rsidRPr="001128A9">
        <w:rPr>
          <w:rFonts w:hint="cs"/>
          <w:u w:val="single"/>
          <w:rtl/>
        </w:rPr>
        <w:t>:</w:t>
      </w:r>
      <w:r w:rsidRPr="00475DBF">
        <w:rPr>
          <w:rFonts w:cs="Arial" w:hint="cs"/>
          <w:sz w:val="16"/>
          <w:szCs w:val="16"/>
          <w:rtl/>
        </w:rPr>
        <w:t xml:space="preserve">  (דרכ"מ אות ט)</w:t>
      </w:r>
    </w:p>
    <w:p w14:paraId="08740A9B" w14:textId="77777777" w:rsidR="004B607F" w:rsidRPr="00475DBF" w:rsidRDefault="004B607F" w:rsidP="004B0475">
      <w:pPr>
        <w:pStyle w:val="ac"/>
        <w:numPr>
          <w:ilvl w:val="0"/>
          <w:numId w:val="79"/>
        </w:numPr>
        <w:rPr>
          <w:rFonts w:cs="Arial"/>
          <w:rtl/>
        </w:rPr>
      </w:pPr>
      <w:r w:rsidRPr="00475DBF">
        <w:rPr>
          <w:rFonts w:cs="Arial"/>
          <w:rtl/>
        </w:rPr>
        <w:t xml:space="preserve">הג"ה במרדכי בדפוס החדש </w:t>
      </w:r>
      <w:r w:rsidRPr="001128A9">
        <w:rPr>
          <w:rFonts w:cs="Arial"/>
          <w:sz w:val="16"/>
          <w:szCs w:val="16"/>
          <w:rtl/>
        </w:rPr>
        <w:t>(שלט</w:t>
      </w:r>
      <w:r>
        <w:rPr>
          <w:rFonts w:cs="Arial" w:hint="cs"/>
          <w:sz w:val="16"/>
          <w:szCs w:val="16"/>
          <w:rtl/>
        </w:rPr>
        <w:t>"</w:t>
      </w:r>
      <w:r w:rsidRPr="001128A9">
        <w:rPr>
          <w:rFonts w:cs="Arial"/>
          <w:sz w:val="16"/>
          <w:szCs w:val="16"/>
          <w:rtl/>
        </w:rPr>
        <w:t>ג ב"ק נא ע"ד אות ב)</w:t>
      </w:r>
      <w:r>
        <w:rPr>
          <w:rFonts w:cs="Arial" w:hint="cs"/>
          <w:rtl/>
        </w:rPr>
        <w:t xml:space="preserve">- </w:t>
      </w:r>
      <w:r w:rsidRPr="00475DBF">
        <w:rPr>
          <w:rFonts w:cs="Arial"/>
          <w:rtl/>
        </w:rPr>
        <w:t>תקנת הגאונים כשמקבלין עדים מקטטות ומריבות שאין לעדים להעיד בפני בעלי דינים כדי שלא יעשו זה עם זה קטטות כשישמעו עדותן</w:t>
      </w:r>
      <w:r>
        <w:rPr>
          <w:rFonts w:cs="Arial" w:hint="cs"/>
          <w:rtl/>
        </w:rPr>
        <w:t>.</w:t>
      </w:r>
      <w:r w:rsidRPr="00475DBF">
        <w:rPr>
          <w:rFonts w:cs="Arial"/>
          <w:rtl/>
        </w:rPr>
        <w:t xml:space="preserve"> גם הדיינין לא יגלו עדותן שקיבלו לבעלי דינים כדי שלא ילך בעל הדין ויתקוטט עם העד</w:t>
      </w:r>
      <w:r>
        <w:rPr>
          <w:rFonts w:cs="Arial" w:hint="cs"/>
          <w:rtl/>
        </w:rPr>
        <w:t>.</w:t>
      </w:r>
      <w:r w:rsidRPr="00475DBF">
        <w:rPr>
          <w:rFonts w:cs="Arial"/>
          <w:rtl/>
        </w:rPr>
        <w:t xml:space="preserve"> אבל על עסקי ממון מקבלין בפני בע"ד</w:t>
      </w:r>
      <w:r>
        <w:rPr>
          <w:rStyle w:val="ab"/>
          <w:rFonts w:cs="Arial"/>
          <w:rtl/>
        </w:rPr>
        <w:footnoteReference w:id="1514"/>
      </w:r>
      <w:r w:rsidRPr="00475DBF">
        <w:rPr>
          <w:rFonts w:cs="Arial"/>
          <w:rtl/>
        </w:rPr>
        <w:t xml:space="preserve">. </w:t>
      </w:r>
    </w:p>
    <w:p w14:paraId="66C7A4B0" w14:textId="77777777" w:rsidR="004B607F" w:rsidRPr="003024E5" w:rsidRDefault="004B607F" w:rsidP="004B607F">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lastRenderedPageBreak/>
        <w:t>שו"ע:</w:t>
      </w:r>
    </w:p>
    <w:p w14:paraId="1405DF9D" w14:textId="77777777" w:rsidR="004B607F" w:rsidRDefault="004B607F" w:rsidP="004B607F">
      <w:pPr>
        <w:rPr>
          <w:rFonts w:cs="Arial"/>
          <w:sz w:val="18"/>
          <w:szCs w:val="18"/>
          <w:rtl/>
        </w:rPr>
      </w:pPr>
      <w:r>
        <w:rPr>
          <w:rFonts w:cs="Arial"/>
          <w:rtl/>
        </w:rPr>
        <w:t>אין מקבלים עדות שלא בפני בעל דין</w:t>
      </w:r>
      <w:r>
        <w:rPr>
          <w:rStyle w:val="ab"/>
          <w:rFonts w:cs="Arial"/>
          <w:rtl/>
        </w:rPr>
        <w:footnoteReference w:id="1515"/>
      </w:r>
      <w:r>
        <w:rPr>
          <w:rFonts w:cs="Arial" w:hint="cs"/>
          <w:rtl/>
        </w:rPr>
        <w:t>,</w:t>
      </w:r>
      <w:r>
        <w:rPr>
          <w:rFonts w:cs="Arial"/>
          <w:rtl/>
        </w:rPr>
        <w:t xml:space="preserve"> ואם קבלו, אין דנין על פיו. </w:t>
      </w:r>
      <w:r w:rsidRPr="00221BFB">
        <w:rPr>
          <w:rFonts w:cs="Arial"/>
          <w:sz w:val="18"/>
          <w:szCs w:val="18"/>
          <w:rtl/>
        </w:rPr>
        <w:t>הגה: וחוזרין ומגידין בפניו. ואם שנו בעדותן בפעם שני ממה שהגידו בראשונה, הולכין אחר העדות השני שהגידו בפניו, אע</w:t>
      </w:r>
      <w:r>
        <w:rPr>
          <w:rFonts w:cs="Arial" w:hint="cs"/>
          <w:sz w:val="18"/>
          <w:szCs w:val="18"/>
          <w:rtl/>
        </w:rPr>
        <w:t>"</w:t>
      </w:r>
      <w:r w:rsidRPr="00221BFB">
        <w:rPr>
          <w:rFonts w:cs="Arial"/>
          <w:sz w:val="18"/>
          <w:szCs w:val="18"/>
          <w:rtl/>
        </w:rPr>
        <w:t>פ שהגידו בראשונה על פי החרם</w:t>
      </w:r>
      <w:r>
        <w:rPr>
          <w:rStyle w:val="ab"/>
          <w:rFonts w:cs="Arial"/>
          <w:sz w:val="18"/>
          <w:szCs w:val="18"/>
          <w:rtl/>
        </w:rPr>
        <w:footnoteReference w:id="1516"/>
      </w:r>
      <w:r w:rsidRPr="00221BFB">
        <w:rPr>
          <w:rFonts w:cs="Arial"/>
          <w:sz w:val="18"/>
          <w:szCs w:val="18"/>
          <w:rtl/>
        </w:rPr>
        <w:t>, דכל שלא בפניו כחוץ לבית דין דמי, וחוזרין ומגידין (ב</w:t>
      </w:r>
      <w:r>
        <w:rPr>
          <w:rFonts w:cs="Arial" w:hint="cs"/>
          <w:sz w:val="18"/>
          <w:szCs w:val="18"/>
          <w:rtl/>
        </w:rPr>
        <w:t>"</w:t>
      </w:r>
      <w:r w:rsidRPr="00221BFB">
        <w:rPr>
          <w:rFonts w:cs="Arial"/>
          <w:sz w:val="18"/>
          <w:szCs w:val="18"/>
          <w:rtl/>
        </w:rPr>
        <w:t>י בשם ר' מנחם). ויש חולקין ואומרים דאם נתקבל העדות שלא בפניו, כשר בדיעבד</w:t>
      </w:r>
      <w:r>
        <w:rPr>
          <w:rStyle w:val="ab"/>
          <w:rFonts w:cs="Arial"/>
          <w:sz w:val="18"/>
          <w:szCs w:val="18"/>
          <w:rtl/>
        </w:rPr>
        <w:footnoteReference w:id="1517"/>
      </w:r>
      <w:r w:rsidRPr="00221BFB">
        <w:rPr>
          <w:rFonts w:cs="Arial"/>
          <w:sz w:val="18"/>
          <w:szCs w:val="18"/>
          <w:rtl/>
        </w:rPr>
        <w:t xml:space="preserve"> (ר</w:t>
      </w:r>
      <w:r>
        <w:rPr>
          <w:rFonts w:cs="Arial" w:hint="cs"/>
          <w:sz w:val="18"/>
          <w:szCs w:val="18"/>
          <w:rtl/>
        </w:rPr>
        <w:t>אביה וראב"ן</w:t>
      </w:r>
      <w:r w:rsidRPr="00221BFB">
        <w:rPr>
          <w:rFonts w:cs="Arial"/>
          <w:sz w:val="18"/>
          <w:szCs w:val="18"/>
          <w:rtl/>
        </w:rPr>
        <w:t>). ולכן אם הבעל דין</w:t>
      </w:r>
      <w:r>
        <w:rPr>
          <w:rStyle w:val="ab"/>
          <w:rFonts w:cs="Arial"/>
          <w:sz w:val="18"/>
          <w:szCs w:val="18"/>
          <w:rtl/>
        </w:rPr>
        <w:footnoteReference w:id="1518"/>
      </w:r>
      <w:r w:rsidRPr="00221BFB">
        <w:rPr>
          <w:rFonts w:cs="Arial"/>
          <w:sz w:val="18"/>
          <w:szCs w:val="18"/>
          <w:rtl/>
        </w:rPr>
        <w:t xml:space="preserve"> הוא אלם, והעדים יראים להגיד לפניו, מקבלין העדות שלא בפניו ודנין על פיו (פסקי מהרא"י סי</w:t>
      </w:r>
      <w:r>
        <w:rPr>
          <w:rFonts w:cs="Arial" w:hint="cs"/>
          <w:sz w:val="18"/>
          <w:szCs w:val="18"/>
          <w:rtl/>
        </w:rPr>
        <w:t>'</w:t>
      </w:r>
      <w:r w:rsidRPr="00221BFB">
        <w:rPr>
          <w:rFonts w:cs="Arial"/>
          <w:sz w:val="18"/>
          <w:szCs w:val="18"/>
          <w:rtl/>
        </w:rPr>
        <w:t xml:space="preserve"> קעה וקעו). מיהו אם אפשר לכוף האלם כדרך שנתבאר לעיל סי' זה סעיף ה', עדיף טפי. יש אומרים דלא אמרו אין מקבלין עדות אלא בפני בעל דין, היינו בדיני ממונות, אבל בקטטות ומריבות שיש לחוש שאם יעידו בפניהם יתקוטטו עם העדים, גם יתקוטטו זה עם זה, תקנו הגאונים שמקבלים העדות שלא בפניהם, גם לא יגלו מי הם העדים (הגמ</w:t>
      </w:r>
      <w:r>
        <w:rPr>
          <w:rFonts w:cs="Arial" w:hint="cs"/>
          <w:sz w:val="18"/>
          <w:szCs w:val="18"/>
          <w:rtl/>
        </w:rPr>
        <w:t>"</w:t>
      </w:r>
      <w:r w:rsidRPr="00221BFB">
        <w:rPr>
          <w:rFonts w:cs="Arial"/>
          <w:sz w:val="18"/>
          <w:szCs w:val="18"/>
          <w:rtl/>
        </w:rPr>
        <w:t>ר). ולי נראה דדוקא כשאין הב"ד רוצים לדון אחד מהם ע</w:t>
      </w:r>
      <w:r>
        <w:rPr>
          <w:rFonts w:cs="Arial" w:hint="cs"/>
          <w:sz w:val="18"/>
          <w:szCs w:val="18"/>
          <w:rtl/>
        </w:rPr>
        <w:t>"</w:t>
      </w:r>
      <w:r w:rsidRPr="00221BFB">
        <w:rPr>
          <w:rFonts w:cs="Arial"/>
          <w:sz w:val="18"/>
          <w:szCs w:val="18"/>
          <w:rtl/>
        </w:rPr>
        <w:t>פ הדין ולענוש, רק להשקיט הקטטה ולהורות כפי צורך המריבה</w:t>
      </w:r>
      <w:r>
        <w:rPr>
          <w:rFonts w:cs="Arial" w:hint="cs"/>
          <w:sz w:val="18"/>
          <w:szCs w:val="18"/>
          <w:rtl/>
        </w:rPr>
        <w:t>,</w:t>
      </w:r>
      <w:r w:rsidRPr="00221BFB">
        <w:rPr>
          <w:rFonts w:cs="Arial"/>
          <w:sz w:val="18"/>
          <w:szCs w:val="18"/>
          <w:rtl/>
        </w:rPr>
        <w:t xml:space="preserve"> אבל כשרוצים לענוש ולדון אחד מהם, אין לקבל העדות אלא בפניו, וכמו שנתבאר באבן העזר סי' י"א סעיף ד'.</w:t>
      </w:r>
    </w:p>
    <w:p w14:paraId="40603E30" w14:textId="77777777" w:rsidR="004B607F" w:rsidRDefault="004B607F" w:rsidP="004B607F">
      <w:pPr>
        <w:rPr>
          <w:rtl/>
        </w:rPr>
      </w:pPr>
      <w:r>
        <w:rPr>
          <w:rFonts w:cs="Arial"/>
          <w:rtl/>
        </w:rPr>
        <w:t xml:space="preserve"> </w:t>
      </w:r>
    </w:p>
    <w:p w14:paraId="473E7B19" w14:textId="77777777" w:rsidR="004B607F" w:rsidRDefault="004B607F" w:rsidP="004B607F">
      <w:pPr>
        <w:pStyle w:val="2"/>
        <w:rPr>
          <w:rtl/>
        </w:rPr>
      </w:pPr>
      <w:bookmarkStart w:id="216" w:name="_Toc24883690"/>
      <w:r>
        <w:rPr>
          <w:rtl/>
        </w:rPr>
        <w:t>סעיף טז</w:t>
      </w:r>
      <w:r>
        <w:rPr>
          <w:rFonts w:hint="cs"/>
          <w:rtl/>
        </w:rPr>
        <w:t>: קבלת עדות שלא בפני בעל דין מחמת צורך המציאות.</w:t>
      </w:r>
      <w:bookmarkEnd w:id="216"/>
    </w:p>
    <w:p w14:paraId="430548BF" w14:textId="77777777" w:rsidR="004B607F" w:rsidRDefault="004B607F" w:rsidP="004B607F">
      <w:pPr>
        <w:rPr>
          <w:rFonts w:cs="Arial"/>
          <w:rtl/>
        </w:rPr>
      </w:pPr>
      <w:r>
        <w:rPr>
          <w:rFonts w:cs="Arial" w:hint="cs"/>
          <w:b/>
          <w:bCs/>
          <w:rtl/>
        </w:rPr>
        <w:t>בבא קמא</w:t>
      </w:r>
      <w:r w:rsidRPr="007F2F9D">
        <w:rPr>
          <w:rFonts w:cs="Arial" w:hint="cs"/>
          <w:b/>
          <w:bCs/>
          <w:sz w:val="16"/>
          <w:szCs w:val="16"/>
          <w:rtl/>
        </w:rPr>
        <w:t xml:space="preserve"> (פרק בתרא)</w:t>
      </w:r>
      <w:r>
        <w:rPr>
          <w:rFonts w:cs="Arial" w:hint="cs"/>
          <w:b/>
          <w:bCs/>
          <w:rtl/>
        </w:rPr>
        <w:t xml:space="preserve"> קיב</w:t>
      </w:r>
      <w:r>
        <w:rPr>
          <w:rStyle w:val="ab"/>
          <w:rFonts w:cs="Arial"/>
          <w:b/>
          <w:bCs/>
          <w:rtl/>
        </w:rPr>
        <w:footnoteReference w:id="1519"/>
      </w:r>
      <w:r>
        <w:rPr>
          <w:rFonts w:cs="Arial" w:hint="cs"/>
          <w:b/>
          <w:bCs/>
          <w:rtl/>
        </w:rPr>
        <w:t xml:space="preserve"> ע"ב: </w:t>
      </w:r>
      <w:r w:rsidRPr="005F6D6E">
        <w:rPr>
          <w:rFonts w:cs="Arial"/>
          <w:u w:val="single"/>
          <w:rtl/>
        </w:rPr>
        <w:t>אמר רב אשי א"ר שבתאי</w:t>
      </w:r>
      <w:r w:rsidRPr="005F6D6E">
        <w:rPr>
          <w:rFonts w:cs="Arial"/>
          <w:rtl/>
        </w:rPr>
        <w:t xml:space="preserve">: מקבלין עדים שלא בפני בעל דין. </w:t>
      </w:r>
      <w:r w:rsidRPr="00480FAB">
        <w:rPr>
          <w:rFonts w:cs="Arial"/>
          <w:u w:val="single"/>
          <w:rtl/>
        </w:rPr>
        <w:t>תהי בה ר' יוחנן</w:t>
      </w:r>
      <w:r>
        <w:rPr>
          <w:rFonts w:cs="Arial" w:hint="cs"/>
          <w:rtl/>
        </w:rPr>
        <w:t>:</w:t>
      </w:r>
      <w:r w:rsidRPr="005F6D6E">
        <w:rPr>
          <w:rFonts w:cs="Arial"/>
          <w:rtl/>
        </w:rPr>
        <w:t xml:space="preserve"> וכי מקבלין עדים שלא בפני בעל דין? </w:t>
      </w:r>
      <w:r w:rsidRPr="00480FAB">
        <w:rPr>
          <w:rFonts w:cs="Arial"/>
          <w:u w:val="single"/>
          <w:rtl/>
        </w:rPr>
        <w:t>קיבלה מיניה ר' יוסי בר חנינא</w:t>
      </w:r>
      <w:r w:rsidRPr="005F6D6E">
        <w:rPr>
          <w:rFonts w:cs="Arial"/>
          <w:rtl/>
        </w:rPr>
        <w:t>: כגון שהיה הוא חולה או עדיו חולים</w:t>
      </w:r>
      <w:r>
        <w:rPr>
          <w:rStyle w:val="ab"/>
          <w:rFonts w:cs="Arial"/>
          <w:rtl/>
        </w:rPr>
        <w:footnoteReference w:id="1520"/>
      </w:r>
      <w:r w:rsidRPr="005F6D6E">
        <w:rPr>
          <w:rFonts w:cs="Arial"/>
          <w:rtl/>
        </w:rPr>
        <w:t xml:space="preserve">, או שהיו עדיו מבקשין לילך למדינת הים ושלחו לו ולא בא. </w:t>
      </w:r>
      <w:r w:rsidRPr="00480FAB">
        <w:rPr>
          <w:rFonts w:cs="Arial"/>
          <w:u w:val="single"/>
          <w:rtl/>
        </w:rPr>
        <w:t>אמר רב יהודה אמר שמואל</w:t>
      </w:r>
      <w:r w:rsidRPr="005F6D6E">
        <w:rPr>
          <w:rFonts w:cs="Arial"/>
          <w:rtl/>
        </w:rPr>
        <w:t xml:space="preserve">: מקבלין עדים שלא בפני בעל דין. </w:t>
      </w:r>
      <w:r w:rsidRPr="00480FAB">
        <w:rPr>
          <w:rFonts w:cs="Arial"/>
          <w:u w:val="single"/>
          <w:rtl/>
        </w:rPr>
        <w:t>אמר מר עוקבא</w:t>
      </w:r>
      <w:r>
        <w:rPr>
          <w:rFonts w:cs="Arial" w:hint="cs"/>
          <w:rtl/>
        </w:rPr>
        <w:t>:</w:t>
      </w:r>
      <w:r w:rsidRPr="005F6D6E">
        <w:rPr>
          <w:rFonts w:cs="Arial"/>
          <w:rtl/>
        </w:rPr>
        <w:t xml:space="preserve"> לדידי מיפרשא לי מיניה דשמואל כגון דפתחו ליה בדיניה ושלחו ליה ולא אתא, אבל לא פתחו ליה בדינא, מצי א"ל: אנא לב"ד הגדול אזילנא.</w:t>
      </w:r>
      <w:r w:rsidRPr="00A560F6">
        <w:rPr>
          <w:rFonts w:cs="Arial"/>
          <w:rtl/>
        </w:rPr>
        <w:t xml:space="preserve"> </w:t>
      </w:r>
      <w:r w:rsidRPr="00344C36">
        <w:rPr>
          <w:rFonts w:cs="Arial"/>
          <w:rtl/>
        </w:rPr>
        <w:t>אי הכי, כי פתחו ליה נמי מצי א"ל: לב"ד הגדול אזילנא! אמר רבינא: כגון דנקט</w:t>
      </w:r>
      <w:r>
        <w:rPr>
          <w:rStyle w:val="ab"/>
          <w:rFonts w:cs="Arial"/>
          <w:rtl/>
        </w:rPr>
        <w:footnoteReference w:id="1521"/>
      </w:r>
      <w:r w:rsidRPr="00344C36">
        <w:rPr>
          <w:rFonts w:cs="Arial"/>
          <w:rtl/>
        </w:rPr>
        <w:t xml:space="preserve"> דיסקא</w:t>
      </w:r>
      <w:r>
        <w:rPr>
          <w:rStyle w:val="ab"/>
          <w:rFonts w:cs="Arial"/>
          <w:rtl/>
        </w:rPr>
        <w:footnoteReference w:id="1522"/>
      </w:r>
      <w:r w:rsidRPr="00344C36">
        <w:rPr>
          <w:rFonts w:cs="Arial"/>
          <w:rtl/>
        </w:rPr>
        <w:t xml:space="preserve"> מבית דין הגדול.</w:t>
      </w:r>
    </w:p>
    <w:p w14:paraId="3CC498FC" w14:textId="77777777" w:rsidR="004B607F" w:rsidRPr="00D44B19" w:rsidRDefault="004B607F" w:rsidP="004B607F">
      <w:pPr>
        <w:rPr>
          <w:rFonts w:cs="Arial"/>
          <w:u w:val="single"/>
          <w:rtl/>
        </w:rPr>
      </w:pPr>
      <w:r>
        <w:rPr>
          <w:rFonts w:cs="Arial" w:hint="cs"/>
          <w:u w:val="single"/>
          <w:rtl/>
        </w:rPr>
        <w:t xml:space="preserve">מתי ניתן </w:t>
      </w:r>
      <w:r w:rsidRPr="00D44B19">
        <w:rPr>
          <w:rFonts w:cs="Arial" w:hint="cs"/>
          <w:u w:val="single"/>
          <w:rtl/>
        </w:rPr>
        <w:t xml:space="preserve">לקבל עדות שלא בפני בע"ד </w:t>
      </w:r>
      <w:r>
        <w:rPr>
          <w:rFonts w:cs="Arial" w:hint="cs"/>
          <w:u w:val="single"/>
          <w:rtl/>
        </w:rPr>
        <w:t>לפי דברי הגמרא הנ"ל</w:t>
      </w:r>
      <w:r w:rsidRPr="00D44B19">
        <w:rPr>
          <w:rFonts w:cs="Arial" w:hint="cs"/>
          <w:u w:val="single"/>
          <w:rtl/>
        </w:rPr>
        <w:t>:</w:t>
      </w:r>
    </w:p>
    <w:p w14:paraId="5D2DCDF7" w14:textId="77777777" w:rsidR="004B607F" w:rsidRPr="00545B9A" w:rsidRDefault="004B607F" w:rsidP="004B0475">
      <w:pPr>
        <w:pStyle w:val="ac"/>
        <w:numPr>
          <w:ilvl w:val="0"/>
          <w:numId w:val="79"/>
        </w:numPr>
        <w:rPr>
          <w:rFonts w:cs="Arial"/>
          <w:rtl/>
        </w:rPr>
      </w:pPr>
      <w:r>
        <w:rPr>
          <w:rFonts w:cs="Arial" w:hint="cs"/>
          <w:rtl/>
        </w:rPr>
        <w:t xml:space="preserve">ר"י </w:t>
      </w:r>
      <w:r w:rsidRPr="00D44B19">
        <w:rPr>
          <w:rFonts w:cs="Arial" w:hint="cs"/>
          <w:sz w:val="16"/>
          <w:szCs w:val="16"/>
          <w:rtl/>
        </w:rPr>
        <w:t xml:space="preserve">(כ"כ התוס' בשמו) </w:t>
      </w:r>
      <w:r w:rsidRPr="00545B9A">
        <w:rPr>
          <w:rFonts w:cs="Arial"/>
          <w:rtl/>
        </w:rPr>
        <w:t>תוס</w:t>
      </w:r>
      <w:r>
        <w:rPr>
          <w:rFonts w:cs="Arial" w:hint="cs"/>
          <w:rtl/>
        </w:rPr>
        <w:t>'</w:t>
      </w:r>
      <w:r>
        <w:rPr>
          <w:rStyle w:val="ab"/>
          <w:rFonts w:cs="Arial"/>
          <w:rtl/>
        </w:rPr>
        <w:footnoteReference w:id="1523"/>
      </w:r>
      <w:r>
        <w:rPr>
          <w:rFonts w:cs="Arial" w:hint="cs"/>
          <w:rtl/>
        </w:rPr>
        <w:t xml:space="preserve"> </w:t>
      </w:r>
      <w:r w:rsidRPr="00D44B19">
        <w:rPr>
          <w:rFonts w:cs="Arial" w:hint="cs"/>
          <w:sz w:val="16"/>
          <w:szCs w:val="16"/>
          <w:rtl/>
        </w:rPr>
        <w:t>(ד"ה ושלחו לו ולא בא)</w:t>
      </w:r>
      <w:r w:rsidRPr="00D44B19">
        <w:rPr>
          <w:rFonts w:cs="Arial"/>
          <w:sz w:val="16"/>
          <w:szCs w:val="16"/>
          <w:rtl/>
        </w:rPr>
        <w:t xml:space="preserve"> </w:t>
      </w:r>
      <w:r w:rsidRPr="00545B9A">
        <w:rPr>
          <w:rFonts w:cs="Arial"/>
          <w:rtl/>
        </w:rPr>
        <w:t xml:space="preserve">רא"ש </w:t>
      </w:r>
      <w:r w:rsidRPr="00456254">
        <w:rPr>
          <w:rFonts w:cs="Arial"/>
          <w:sz w:val="16"/>
          <w:szCs w:val="16"/>
          <w:rtl/>
        </w:rPr>
        <w:t>(סי' ג</w:t>
      </w:r>
      <w:r>
        <w:rPr>
          <w:rFonts w:cs="Arial" w:hint="cs"/>
          <w:sz w:val="16"/>
          <w:szCs w:val="16"/>
          <w:rtl/>
        </w:rPr>
        <w:t>, ובתשובה</w:t>
      </w:r>
      <w:r w:rsidRPr="00D44B19">
        <w:rPr>
          <w:rFonts w:cs="Arial"/>
          <w:sz w:val="16"/>
          <w:szCs w:val="16"/>
          <w:rtl/>
        </w:rPr>
        <w:t xml:space="preserve"> כלל מ"א סימן ו</w:t>
      </w:r>
      <w:r w:rsidRPr="00456254">
        <w:rPr>
          <w:rFonts w:cs="Arial"/>
          <w:sz w:val="16"/>
          <w:szCs w:val="16"/>
          <w:rtl/>
        </w:rPr>
        <w:t>)</w:t>
      </w:r>
      <w:r w:rsidRPr="00D44B19">
        <w:rPr>
          <w:rFonts w:cs="Arial"/>
          <w:rtl/>
        </w:rPr>
        <w:t xml:space="preserve"> </w:t>
      </w:r>
      <w:r>
        <w:rPr>
          <w:rFonts w:cs="Arial" w:hint="cs"/>
          <w:rtl/>
        </w:rPr>
        <w:t>טור ו</w:t>
      </w:r>
      <w:r w:rsidRPr="00545B9A">
        <w:rPr>
          <w:rFonts w:cs="Arial"/>
          <w:rtl/>
        </w:rPr>
        <w:t>ר</w:t>
      </w:r>
      <w:r>
        <w:rPr>
          <w:rFonts w:cs="Arial" w:hint="cs"/>
          <w:rtl/>
        </w:rPr>
        <w:t>י"ו</w:t>
      </w:r>
      <w:r w:rsidRPr="00545B9A">
        <w:rPr>
          <w:rFonts w:cs="Arial"/>
          <w:rtl/>
        </w:rPr>
        <w:t xml:space="preserve"> </w:t>
      </w:r>
      <w:r w:rsidRPr="00D44B19">
        <w:rPr>
          <w:rFonts w:cs="Arial" w:hint="cs"/>
          <w:sz w:val="16"/>
          <w:szCs w:val="16"/>
          <w:rtl/>
        </w:rPr>
        <w:t>(</w:t>
      </w:r>
      <w:r w:rsidRPr="00D44B19">
        <w:rPr>
          <w:rFonts w:cs="Arial"/>
          <w:sz w:val="16"/>
          <w:szCs w:val="16"/>
          <w:rtl/>
        </w:rPr>
        <w:t>נ"ב ח"א שם)</w:t>
      </w:r>
      <w:r>
        <w:rPr>
          <w:rFonts w:cs="Arial" w:hint="cs"/>
          <w:rtl/>
        </w:rPr>
        <w:t>-</w:t>
      </w:r>
      <w:r w:rsidRPr="008056CE">
        <w:rPr>
          <w:rFonts w:cs="Arial"/>
          <w:rtl/>
        </w:rPr>
        <w:t xml:space="preserve"> </w:t>
      </w:r>
      <w:r w:rsidRPr="005139C3">
        <w:rPr>
          <w:rFonts w:cs="Arial"/>
          <w:rtl/>
        </w:rPr>
        <w:t>היו העדים חולים או רוצים לילך למדינת הים ובקש התובע שי</w:t>
      </w:r>
      <w:r>
        <w:rPr>
          <w:rFonts w:cs="Arial" w:hint="cs"/>
          <w:rtl/>
        </w:rPr>
        <w:t>ק</w:t>
      </w:r>
      <w:r w:rsidRPr="005139C3">
        <w:rPr>
          <w:rFonts w:cs="Arial"/>
          <w:rtl/>
        </w:rPr>
        <w:t>בלו עדותן קודם שילכו או ימותו</w:t>
      </w:r>
      <w:r>
        <w:rPr>
          <w:rFonts w:cs="Arial" w:hint="cs"/>
          <w:rtl/>
        </w:rPr>
        <w:t xml:space="preserve"> -</w:t>
      </w:r>
      <w:r w:rsidRPr="005139C3">
        <w:rPr>
          <w:rFonts w:cs="Arial"/>
          <w:rtl/>
        </w:rPr>
        <w:t xml:space="preserve"> שולחין לנתבע שיבא</w:t>
      </w:r>
      <w:r>
        <w:rPr>
          <w:rFonts w:cs="Arial" w:hint="cs"/>
          <w:rtl/>
        </w:rPr>
        <w:t>,</w:t>
      </w:r>
      <w:r w:rsidRPr="005139C3">
        <w:rPr>
          <w:rFonts w:cs="Arial"/>
          <w:rtl/>
        </w:rPr>
        <w:t xml:space="preserve"> לא בא </w:t>
      </w:r>
      <w:r>
        <w:rPr>
          <w:rFonts w:cs="Arial" w:hint="cs"/>
          <w:rtl/>
        </w:rPr>
        <w:t xml:space="preserve">- </w:t>
      </w:r>
      <w:r w:rsidRPr="005139C3">
        <w:rPr>
          <w:rFonts w:cs="Arial"/>
          <w:rtl/>
        </w:rPr>
        <w:t>מקבלין העדות שלא בפניו</w:t>
      </w:r>
      <w:r>
        <w:rPr>
          <w:rFonts w:cs="Arial" w:hint="cs"/>
          <w:rtl/>
        </w:rPr>
        <w:t>.</w:t>
      </w:r>
      <w:r w:rsidRPr="005139C3">
        <w:rPr>
          <w:rFonts w:cs="Arial"/>
          <w:rtl/>
        </w:rPr>
        <w:t xml:space="preserve"> אבל כל זמן שלא הודיע אותו </w:t>
      </w:r>
      <w:r>
        <w:rPr>
          <w:rFonts w:cs="Arial" w:hint="cs"/>
          <w:rtl/>
        </w:rPr>
        <w:t xml:space="preserve">- </w:t>
      </w:r>
      <w:r w:rsidRPr="005139C3">
        <w:rPr>
          <w:rFonts w:cs="Arial"/>
          <w:rtl/>
        </w:rPr>
        <w:t>ל</w:t>
      </w:r>
      <w:r>
        <w:rPr>
          <w:rFonts w:cs="Arial" w:hint="cs"/>
          <w:rtl/>
        </w:rPr>
        <w:t>א</w:t>
      </w:r>
      <w:r>
        <w:rPr>
          <w:rFonts w:cs="Arial" w:hint="cs"/>
          <w:sz w:val="16"/>
          <w:szCs w:val="16"/>
          <w:rtl/>
        </w:rPr>
        <w:t xml:space="preserve"> (ל' הטור)</w:t>
      </w:r>
      <w:r w:rsidRPr="00545B9A">
        <w:rPr>
          <w:rFonts w:cs="Arial"/>
          <w:rtl/>
        </w:rPr>
        <w:t xml:space="preserve">. </w:t>
      </w:r>
    </w:p>
    <w:p w14:paraId="41437571" w14:textId="77777777" w:rsidR="004B607F" w:rsidRPr="002960D7" w:rsidRDefault="004B607F" w:rsidP="004B0475">
      <w:pPr>
        <w:pStyle w:val="ac"/>
        <w:numPr>
          <w:ilvl w:val="0"/>
          <w:numId w:val="79"/>
        </w:numPr>
        <w:rPr>
          <w:rFonts w:cs="Arial"/>
          <w:rtl/>
        </w:rPr>
      </w:pPr>
      <w:r>
        <w:rPr>
          <w:rFonts w:cs="Arial" w:hint="cs"/>
          <w:rtl/>
        </w:rPr>
        <w:t xml:space="preserve">ר"ח </w:t>
      </w:r>
      <w:r w:rsidRPr="00D44B19">
        <w:rPr>
          <w:rFonts w:cs="Arial" w:hint="cs"/>
          <w:sz w:val="16"/>
          <w:szCs w:val="16"/>
          <w:rtl/>
        </w:rPr>
        <w:t>(להב' ה</w:t>
      </w:r>
      <w:r w:rsidRPr="00D44B19">
        <w:rPr>
          <w:rFonts w:cs="Arial"/>
          <w:sz w:val="16"/>
          <w:szCs w:val="16"/>
          <w:rtl/>
        </w:rPr>
        <w:t xml:space="preserve">מרדכי </w:t>
      </w:r>
      <w:r w:rsidRPr="00D44B19">
        <w:rPr>
          <w:rFonts w:cs="Arial" w:hint="cs"/>
          <w:sz w:val="16"/>
          <w:szCs w:val="16"/>
          <w:rtl/>
        </w:rPr>
        <w:t>[</w:t>
      </w:r>
      <w:r w:rsidRPr="00D44B19">
        <w:rPr>
          <w:rFonts w:cs="Arial"/>
          <w:sz w:val="16"/>
          <w:szCs w:val="16"/>
          <w:rtl/>
        </w:rPr>
        <w:t>סי' קמז</w:t>
      </w:r>
      <w:r w:rsidRPr="00D44B19">
        <w:rPr>
          <w:rFonts w:cs="Arial" w:hint="cs"/>
          <w:sz w:val="16"/>
          <w:szCs w:val="16"/>
          <w:rtl/>
        </w:rPr>
        <w:t>]</w:t>
      </w:r>
      <w:r w:rsidRPr="00D44B19">
        <w:rPr>
          <w:rFonts w:cs="Arial"/>
          <w:sz w:val="16"/>
          <w:szCs w:val="16"/>
          <w:rtl/>
        </w:rPr>
        <w:t>)</w:t>
      </w:r>
      <w:r>
        <w:rPr>
          <w:rFonts w:cs="Arial" w:hint="cs"/>
          <w:rtl/>
        </w:rPr>
        <w:t xml:space="preserve">- </w:t>
      </w:r>
      <w:r w:rsidRPr="00545B9A">
        <w:rPr>
          <w:rFonts w:cs="Arial"/>
          <w:rtl/>
        </w:rPr>
        <w:t>אין מקבלין עדים שלא בפני בעל דין עד שיהא הוא חולה או עדיו חולים ופתחו ליה בדינא ושלחו לו ולא בא</w:t>
      </w:r>
      <w:r>
        <w:rPr>
          <w:rFonts w:cs="Arial" w:hint="cs"/>
          <w:rtl/>
        </w:rPr>
        <w:t>,</w:t>
      </w:r>
      <w:r w:rsidRPr="00545B9A">
        <w:rPr>
          <w:rFonts w:cs="Arial"/>
          <w:rtl/>
        </w:rPr>
        <w:t xml:space="preserve"> דכל שלשתן בעינן</w:t>
      </w:r>
      <w:r>
        <w:rPr>
          <w:rStyle w:val="ab"/>
          <w:rFonts w:cs="Arial"/>
          <w:rtl/>
        </w:rPr>
        <w:footnoteReference w:id="1524"/>
      </w:r>
      <w:r w:rsidRPr="00545B9A">
        <w:rPr>
          <w:rFonts w:cs="Arial"/>
          <w:rtl/>
        </w:rPr>
        <w:t xml:space="preserve">. </w:t>
      </w:r>
    </w:p>
    <w:p w14:paraId="53FD3B6E" w14:textId="77777777" w:rsidR="004B607F" w:rsidRPr="009C370B" w:rsidRDefault="004B607F" w:rsidP="004B0475">
      <w:pPr>
        <w:pStyle w:val="ac"/>
        <w:numPr>
          <w:ilvl w:val="0"/>
          <w:numId w:val="79"/>
        </w:numPr>
        <w:rPr>
          <w:rFonts w:cs="Arial"/>
        </w:rPr>
      </w:pPr>
      <w:r w:rsidRPr="009C370B">
        <w:rPr>
          <w:rFonts w:cs="Arial" w:hint="cs"/>
          <w:rtl/>
        </w:rPr>
        <w:t>בהעי"ט</w:t>
      </w:r>
      <w:r w:rsidRPr="009C370B">
        <w:rPr>
          <w:rFonts w:cs="Arial"/>
          <w:rtl/>
        </w:rPr>
        <w:t xml:space="preserve"> </w:t>
      </w:r>
      <w:r w:rsidRPr="009C370B">
        <w:rPr>
          <w:rFonts w:cs="Arial" w:hint="cs"/>
          <w:rtl/>
        </w:rPr>
        <w:t>ורשב"א</w:t>
      </w:r>
      <w:r>
        <w:rPr>
          <w:rStyle w:val="ab"/>
          <w:rFonts w:cs="Arial"/>
          <w:rtl/>
        </w:rPr>
        <w:footnoteReference w:id="1525"/>
      </w:r>
      <w:r w:rsidRPr="009C370B">
        <w:rPr>
          <w:rFonts w:cs="Arial" w:hint="cs"/>
          <w:rtl/>
        </w:rPr>
        <w:t>-</w:t>
      </w:r>
      <w:r>
        <w:rPr>
          <w:rFonts w:cs="Arial" w:hint="cs"/>
          <w:rtl/>
        </w:rPr>
        <w:t xml:space="preserve"> </w:t>
      </w:r>
      <w:r w:rsidRPr="009C370B">
        <w:rPr>
          <w:rFonts w:cs="Arial" w:hint="cs"/>
          <w:rtl/>
        </w:rPr>
        <w:t>'</w:t>
      </w:r>
      <w:r w:rsidRPr="009C370B">
        <w:rPr>
          <w:rFonts w:cs="Arial"/>
          <w:rtl/>
        </w:rPr>
        <w:t>ושלחו לו ולא בא</w:t>
      </w:r>
      <w:r w:rsidRPr="009C370B">
        <w:rPr>
          <w:rFonts w:cs="Arial" w:hint="cs"/>
          <w:rtl/>
        </w:rPr>
        <w:t>'</w:t>
      </w:r>
      <w:r w:rsidRPr="009C370B">
        <w:rPr>
          <w:rFonts w:cs="Arial"/>
          <w:rtl/>
        </w:rPr>
        <w:t xml:space="preserve"> פי' הראב"ד</w:t>
      </w:r>
      <w:r>
        <w:rPr>
          <w:rFonts w:cs="Arial" w:hint="cs"/>
          <w:rtl/>
        </w:rPr>
        <w:t xml:space="preserve"> </w:t>
      </w:r>
      <w:r w:rsidRPr="00B9674B">
        <w:rPr>
          <w:rFonts w:cs="Arial"/>
          <w:sz w:val="16"/>
          <w:szCs w:val="16"/>
          <w:rtl/>
        </w:rPr>
        <w:t>(ב"ק שם ד"ה יש)</w:t>
      </w:r>
      <w:r w:rsidRPr="009C370B">
        <w:rPr>
          <w:rFonts w:cs="Arial"/>
          <w:rtl/>
        </w:rPr>
        <w:t xml:space="preserve"> ז"ל או שלחו לו ולא בא</w:t>
      </w:r>
      <w:r>
        <w:rPr>
          <w:rStyle w:val="ab"/>
          <w:rFonts w:cs="Arial"/>
          <w:rtl/>
        </w:rPr>
        <w:footnoteReference w:id="1526"/>
      </w:r>
      <w:r w:rsidRPr="009C370B">
        <w:rPr>
          <w:rFonts w:cs="Arial"/>
          <w:rtl/>
        </w:rPr>
        <w:t>. אלמא כל שיש לחוש מקבלים. ומשם הגאונים ז"ל אמרו דה"ה כשהעדים אינם במקום אחד אלא זה במקום אחד וזה במקום אחר וצריך לצרף עדותן. וכן דעת ר"ת ז"ל</w:t>
      </w:r>
      <w:r>
        <w:rPr>
          <w:rFonts w:cs="Arial" w:hint="cs"/>
          <w:sz w:val="16"/>
          <w:szCs w:val="16"/>
          <w:rtl/>
        </w:rPr>
        <w:t xml:space="preserve"> (ל' הרשב"א בתשו')</w:t>
      </w:r>
      <w:r>
        <w:rPr>
          <w:rStyle w:val="ab"/>
          <w:rFonts w:cs="Arial"/>
          <w:rtl/>
        </w:rPr>
        <w:footnoteReference w:id="1527"/>
      </w:r>
      <w:r w:rsidRPr="009C370B">
        <w:rPr>
          <w:rFonts w:cs="Arial"/>
          <w:rtl/>
        </w:rPr>
        <w:t>.</w:t>
      </w:r>
    </w:p>
    <w:p w14:paraId="34DDBA76" w14:textId="77777777" w:rsidR="004B607F" w:rsidRDefault="004B607F" w:rsidP="004B0475">
      <w:pPr>
        <w:pStyle w:val="ac"/>
        <w:numPr>
          <w:ilvl w:val="0"/>
          <w:numId w:val="79"/>
        </w:numPr>
      </w:pPr>
      <w:r w:rsidRPr="00545B9A">
        <w:rPr>
          <w:rFonts w:cs="Arial"/>
          <w:rtl/>
        </w:rPr>
        <w:t xml:space="preserve">יש מפרשים </w:t>
      </w:r>
      <w:r w:rsidRPr="00456254">
        <w:rPr>
          <w:rFonts w:cs="Arial"/>
          <w:sz w:val="16"/>
          <w:szCs w:val="16"/>
          <w:rtl/>
        </w:rPr>
        <w:t>(</w:t>
      </w:r>
      <w:r>
        <w:rPr>
          <w:rFonts w:cs="Arial" w:hint="cs"/>
          <w:sz w:val="16"/>
          <w:szCs w:val="16"/>
          <w:rtl/>
        </w:rPr>
        <w:t>הביאום הרא"ש [</w:t>
      </w:r>
      <w:r w:rsidRPr="00456254">
        <w:rPr>
          <w:rFonts w:cs="Arial"/>
          <w:sz w:val="16"/>
          <w:szCs w:val="16"/>
          <w:rtl/>
        </w:rPr>
        <w:t>סי' ג</w:t>
      </w:r>
      <w:r>
        <w:rPr>
          <w:rFonts w:cs="Arial" w:hint="cs"/>
          <w:sz w:val="16"/>
          <w:szCs w:val="16"/>
          <w:rtl/>
        </w:rPr>
        <w:t>] והטור</w:t>
      </w:r>
      <w:r w:rsidRPr="00456254">
        <w:rPr>
          <w:rFonts w:cs="Arial"/>
          <w:sz w:val="16"/>
          <w:szCs w:val="16"/>
          <w:rtl/>
        </w:rPr>
        <w:t>)</w:t>
      </w:r>
      <w:r>
        <w:rPr>
          <w:rFonts w:cs="Arial" w:hint="cs"/>
          <w:rtl/>
        </w:rPr>
        <w:t xml:space="preserve"> ו</w:t>
      </w:r>
      <w:r w:rsidRPr="00545B9A">
        <w:rPr>
          <w:rFonts w:cs="Arial"/>
          <w:rtl/>
        </w:rPr>
        <w:t>נמוק</w:t>
      </w:r>
      <w:r>
        <w:rPr>
          <w:rFonts w:cs="Arial" w:hint="cs"/>
          <w:rtl/>
        </w:rPr>
        <w:t>"</w:t>
      </w:r>
      <w:r w:rsidRPr="00545B9A">
        <w:rPr>
          <w:rFonts w:cs="Arial"/>
          <w:rtl/>
        </w:rPr>
        <w:t xml:space="preserve">י </w:t>
      </w:r>
      <w:r w:rsidRPr="00D44B19">
        <w:rPr>
          <w:rFonts w:cs="Arial"/>
          <w:sz w:val="16"/>
          <w:szCs w:val="16"/>
          <w:rtl/>
        </w:rPr>
        <w:t>(לט:)</w:t>
      </w:r>
      <w:r>
        <w:rPr>
          <w:rFonts w:cs="Arial" w:hint="cs"/>
          <w:rtl/>
        </w:rPr>
        <w:t xml:space="preserve">- הא דאמרו 'ושלחו לו' </w:t>
      </w:r>
      <w:r w:rsidRPr="00545B9A">
        <w:rPr>
          <w:rFonts w:cs="Arial"/>
          <w:rtl/>
        </w:rPr>
        <w:t>קאי דוקא אבקשו עדיו לילך למדינת הים שיש שהות לשלוח לו ולהודיעו</w:t>
      </w:r>
      <w:r>
        <w:rPr>
          <w:rFonts w:cs="Arial" w:hint="cs"/>
          <w:rtl/>
        </w:rPr>
        <w:t>,</w:t>
      </w:r>
      <w:r w:rsidRPr="00545B9A">
        <w:rPr>
          <w:rFonts w:cs="Arial"/>
          <w:rtl/>
        </w:rPr>
        <w:t xml:space="preserve"> אבל אם היה חולה או עדיו חולים אין אדם שליט ברוח ואין צריך להודיעו</w:t>
      </w:r>
      <w:r>
        <w:rPr>
          <w:rFonts w:cs="Arial" w:hint="cs"/>
          <w:sz w:val="16"/>
          <w:szCs w:val="16"/>
          <w:rtl/>
        </w:rPr>
        <w:t xml:space="preserve"> (ל' הרא"ש בשם י"מ)</w:t>
      </w:r>
      <w:r>
        <w:rPr>
          <w:rStyle w:val="ab"/>
          <w:rFonts w:cs="Arial"/>
          <w:rtl/>
        </w:rPr>
        <w:footnoteReference w:id="1528"/>
      </w:r>
      <w:r w:rsidRPr="00545B9A">
        <w:rPr>
          <w:rFonts w:cs="Arial"/>
          <w:rtl/>
        </w:rPr>
        <w:t>.</w:t>
      </w:r>
      <w:r w:rsidRPr="00FB0ED9">
        <w:rPr>
          <w:rFonts w:cs="Arial" w:hint="cs"/>
          <w:rtl/>
        </w:rPr>
        <w:t xml:space="preserve"> </w:t>
      </w:r>
      <w:r w:rsidRPr="001A1493">
        <w:rPr>
          <w:rFonts w:hint="cs"/>
          <w:color w:val="E36C0A" w:themeColor="accent6" w:themeShade="BF"/>
          <w:rtl/>
        </w:rPr>
        <w:t>(וכ"פ בשו"ע)</w:t>
      </w:r>
      <w:r w:rsidRPr="00E679FE">
        <w:rPr>
          <w:rFonts w:hint="cs"/>
          <w:color w:val="00B0F0"/>
          <w:rtl/>
        </w:rPr>
        <w:t xml:space="preserve"> (וכ"פ הרמ"א</w:t>
      </w:r>
      <w:r>
        <w:rPr>
          <w:rFonts w:hint="cs"/>
          <w:color w:val="000000" w:themeColor="text1"/>
          <w:sz w:val="16"/>
          <w:szCs w:val="16"/>
          <w:rtl/>
        </w:rPr>
        <w:t xml:space="preserve"> [כאן ובסע' הבא]</w:t>
      </w:r>
      <w:r w:rsidRPr="00E679FE">
        <w:rPr>
          <w:rFonts w:hint="cs"/>
          <w:color w:val="00B0F0"/>
          <w:rtl/>
        </w:rPr>
        <w:t>)</w:t>
      </w:r>
    </w:p>
    <w:p w14:paraId="39470FFE" w14:textId="77777777" w:rsidR="004B607F" w:rsidRDefault="004B607F" w:rsidP="004B0475">
      <w:pPr>
        <w:pStyle w:val="ac"/>
        <w:numPr>
          <w:ilvl w:val="1"/>
          <w:numId w:val="79"/>
        </w:numPr>
      </w:pPr>
      <w:r>
        <w:rPr>
          <w:rFonts w:cs="Arial" w:hint="cs"/>
          <w:rtl/>
        </w:rPr>
        <w:lastRenderedPageBreak/>
        <w:t xml:space="preserve">ב"י </w:t>
      </w:r>
      <w:r>
        <w:rPr>
          <w:rFonts w:cs="Arial" w:hint="cs"/>
          <w:sz w:val="16"/>
          <w:szCs w:val="16"/>
          <w:rtl/>
        </w:rPr>
        <w:t>(בבדה"ב)</w:t>
      </w:r>
      <w:r>
        <w:rPr>
          <w:rFonts w:cs="Arial" w:hint="cs"/>
          <w:rtl/>
        </w:rPr>
        <w:t>-</w:t>
      </w:r>
      <w:r w:rsidRPr="00302D98">
        <w:rPr>
          <w:rFonts w:cs="Arial"/>
          <w:rtl/>
        </w:rPr>
        <w:t xml:space="preserve"> ולענין הלכה כיון שהרי"ף והרמב"ם מסכימים לדעת אחת דלא בעינן פתחו ליה בדיניה </w:t>
      </w:r>
      <w:r>
        <w:rPr>
          <w:rFonts w:cs="Arial" w:hint="cs"/>
          <w:rtl/>
        </w:rPr>
        <w:t xml:space="preserve">- </w:t>
      </w:r>
      <w:r w:rsidRPr="00302D98">
        <w:rPr>
          <w:rFonts w:cs="Arial"/>
          <w:rtl/>
        </w:rPr>
        <w:t>הכי נקטינן</w:t>
      </w:r>
      <w:r>
        <w:rPr>
          <w:rFonts w:cs="Arial" w:hint="cs"/>
          <w:rtl/>
        </w:rPr>
        <w:t>.</w:t>
      </w:r>
      <w:r w:rsidRPr="00302D98">
        <w:rPr>
          <w:rFonts w:cs="Arial"/>
          <w:rtl/>
        </w:rPr>
        <w:t xml:space="preserve"> ובענין שלחו לו ולא בא פשטא דמלתא משמע כדברי המפרשים דבשלחו לחוד לא סגי</w:t>
      </w:r>
      <w:r>
        <w:rPr>
          <w:rFonts w:cs="Arial" w:hint="cs"/>
          <w:rtl/>
        </w:rPr>
        <w:t>.</w:t>
      </w:r>
      <w:r w:rsidRPr="00302D98">
        <w:rPr>
          <w:rFonts w:cs="Arial"/>
          <w:rtl/>
        </w:rPr>
        <w:t xml:space="preserve"> מיהו נראים דברי המפרשים דלא בעינן ושלחו אלא בהיו עדיו מבקשים לילך למדינת הים שיש שהות לשלוח ולהודיע</w:t>
      </w:r>
      <w:r>
        <w:rPr>
          <w:rFonts w:cs="Arial" w:hint="cs"/>
          <w:rtl/>
        </w:rPr>
        <w:t>,</w:t>
      </w:r>
      <w:r w:rsidRPr="00302D98">
        <w:rPr>
          <w:rFonts w:cs="Arial"/>
          <w:rtl/>
        </w:rPr>
        <w:t xml:space="preserve"> אבל בהיה הוא חולה או עדיו חולים אין צריך להודיעו</w:t>
      </w:r>
      <w:r>
        <w:rPr>
          <w:rFonts w:cs="Arial" w:hint="cs"/>
          <w:rtl/>
        </w:rPr>
        <w:t>.</w:t>
      </w:r>
      <w:r w:rsidRPr="00302D98">
        <w:rPr>
          <w:rFonts w:cs="Arial"/>
          <w:rtl/>
        </w:rPr>
        <w:t xml:space="preserve"> ואפילו בהיו עדיו מבקשים לילך למדינת הים מסתברא דלא בעינן ושלחו לו ולא בא אלא כשהוא מצוי בעיר</w:t>
      </w:r>
      <w:r>
        <w:rPr>
          <w:rFonts w:cs="Arial" w:hint="cs"/>
          <w:rtl/>
        </w:rPr>
        <w:t>,</w:t>
      </w:r>
      <w:r w:rsidRPr="00302D98">
        <w:rPr>
          <w:rFonts w:cs="Arial"/>
          <w:rtl/>
        </w:rPr>
        <w:t xml:space="preserve"> אבל אם אינו מצוי בעיר לא בעינן שלחו לו</w:t>
      </w:r>
      <w:r>
        <w:rPr>
          <w:rFonts w:cs="Arial" w:hint="cs"/>
          <w:rtl/>
        </w:rPr>
        <w:t>,</w:t>
      </w:r>
      <w:r w:rsidRPr="00302D98">
        <w:rPr>
          <w:rFonts w:cs="Arial"/>
          <w:rtl/>
        </w:rPr>
        <w:t xml:space="preserve"> אלא כיון שעדיו מבקשים לילך למדינת הים </w:t>
      </w:r>
      <w:r>
        <w:rPr>
          <w:rFonts w:cs="Arial" w:hint="cs"/>
          <w:rtl/>
        </w:rPr>
        <w:t xml:space="preserve">- </w:t>
      </w:r>
      <w:r w:rsidRPr="00302D98">
        <w:rPr>
          <w:rFonts w:cs="Arial"/>
          <w:rtl/>
        </w:rPr>
        <w:t>מקבלים</w:t>
      </w:r>
      <w:r>
        <w:rPr>
          <w:rFonts w:cs="Arial" w:hint="cs"/>
          <w:rtl/>
        </w:rPr>
        <w:t>.</w:t>
      </w:r>
    </w:p>
    <w:p w14:paraId="763D55EB" w14:textId="77777777" w:rsidR="004B607F" w:rsidRDefault="004B607F" w:rsidP="004B607F">
      <w:pPr>
        <w:rPr>
          <w:rFonts w:cs="Arial"/>
          <w:u w:val="single"/>
          <w:rtl/>
        </w:rPr>
      </w:pPr>
      <w:r w:rsidRPr="00B9674B">
        <w:rPr>
          <w:rFonts w:cs="Arial" w:hint="cs"/>
          <w:u w:val="single"/>
          <w:rtl/>
        </w:rPr>
        <w:t xml:space="preserve">קבלת עדות שלא בפני בעל דין </w:t>
      </w:r>
      <w:r w:rsidRPr="00B9674B">
        <w:rPr>
          <w:rFonts w:cs="Arial"/>
          <w:u w:val="single"/>
          <w:rtl/>
        </w:rPr>
        <w:t>–</w:t>
      </w:r>
      <w:r>
        <w:rPr>
          <w:rFonts w:cs="Arial" w:hint="cs"/>
          <w:u w:val="single"/>
          <w:rtl/>
        </w:rPr>
        <w:t xml:space="preserve"> במקרים הבאים:</w:t>
      </w:r>
    </w:p>
    <w:p w14:paraId="2A15FFA0" w14:textId="77777777" w:rsidR="004B607F" w:rsidRPr="00340C36" w:rsidRDefault="004B607F" w:rsidP="004B607F">
      <w:pPr>
        <w:ind w:left="360"/>
        <w:rPr>
          <w:u w:val="dotted"/>
        </w:rPr>
      </w:pPr>
      <w:r w:rsidRPr="00340C36">
        <w:rPr>
          <w:rFonts w:cs="Arial" w:hint="cs"/>
          <w:u w:val="dotted"/>
          <w:rtl/>
        </w:rPr>
        <w:t>כשהבעל דין אינו מצוי בעיר:</w:t>
      </w:r>
    </w:p>
    <w:p w14:paraId="28FC5C4B" w14:textId="77777777" w:rsidR="004B607F" w:rsidRPr="00EC1764" w:rsidRDefault="004B607F" w:rsidP="004B0475">
      <w:pPr>
        <w:pStyle w:val="ac"/>
        <w:numPr>
          <w:ilvl w:val="0"/>
          <w:numId w:val="79"/>
        </w:numPr>
        <w:rPr>
          <w:rtl/>
        </w:rPr>
      </w:pPr>
      <w:r w:rsidRPr="00302D98">
        <w:rPr>
          <w:rFonts w:cs="Arial"/>
          <w:rtl/>
        </w:rPr>
        <w:t>ראב"ד</w:t>
      </w:r>
      <w:r>
        <w:rPr>
          <w:rStyle w:val="ab"/>
          <w:rFonts w:cs="Arial"/>
          <w:rtl/>
        </w:rPr>
        <w:footnoteReference w:id="1529"/>
      </w:r>
      <w:r w:rsidRPr="0049525D">
        <w:rPr>
          <w:rFonts w:cs="Arial"/>
          <w:rtl/>
        </w:rPr>
        <w:t xml:space="preserve"> </w:t>
      </w:r>
      <w:r w:rsidRPr="00302D98">
        <w:rPr>
          <w:rFonts w:cs="Arial"/>
          <w:rtl/>
        </w:rPr>
        <w:t>רשב"א</w:t>
      </w:r>
      <w:r>
        <w:rPr>
          <w:rStyle w:val="ab"/>
          <w:rFonts w:cs="Arial"/>
          <w:rtl/>
        </w:rPr>
        <w:footnoteReference w:id="1530"/>
      </w:r>
      <w:r w:rsidRPr="0049525D">
        <w:rPr>
          <w:rFonts w:cs="Arial"/>
          <w:rtl/>
        </w:rPr>
        <w:t xml:space="preserve"> </w:t>
      </w:r>
      <w:r w:rsidRPr="00302D98">
        <w:rPr>
          <w:rFonts w:cs="Arial"/>
          <w:rtl/>
        </w:rPr>
        <w:t>או</w:t>
      </w:r>
      <w:r>
        <w:rPr>
          <w:rFonts w:cs="Arial" w:hint="cs"/>
          <w:rtl/>
        </w:rPr>
        <w:t>"</w:t>
      </w:r>
      <w:r w:rsidRPr="00302D98">
        <w:rPr>
          <w:rFonts w:cs="Arial"/>
          <w:rtl/>
        </w:rPr>
        <w:t>ז</w:t>
      </w:r>
      <w:r>
        <w:rPr>
          <w:rFonts w:cs="Arial" w:hint="cs"/>
          <w:rtl/>
        </w:rPr>
        <w:t xml:space="preserve"> ו</w:t>
      </w:r>
      <w:r w:rsidRPr="00302D98">
        <w:rPr>
          <w:rFonts w:cs="Arial"/>
          <w:rtl/>
        </w:rPr>
        <w:t>ריב"ש</w:t>
      </w:r>
      <w:r>
        <w:rPr>
          <w:rStyle w:val="ab"/>
          <w:rFonts w:cs="Arial"/>
          <w:rtl/>
        </w:rPr>
        <w:footnoteReference w:id="1531"/>
      </w:r>
      <w:r>
        <w:rPr>
          <w:rFonts w:cs="Arial" w:hint="cs"/>
          <w:rtl/>
        </w:rPr>
        <w:t>- כל שאין בעל הדין מצוי בעיר אין צריך לשלוח לו, אלא מקבלים את העדות שלא בפניו</w:t>
      </w:r>
      <w:r>
        <w:rPr>
          <w:rStyle w:val="ab"/>
          <w:rFonts w:cs="Arial"/>
          <w:rtl/>
        </w:rPr>
        <w:footnoteReference w:id="1532"/>
      </w:r>
      <w:r>
        <w:rPr>
          <w:rFonts w:cs="Arial" w:hint="cs"/>
          <w:rtl/>
        </w:rPr>
        <w:t>.</w:t>
      </w:r>
    </w:p>
    <w:p w14:paraId="746D6170" w14:textId="77777777" w:rsidR="004B607F" w:rsidRPr="00545B9A" w:rsidRDefault="004B607F" w:rsidP="004B0475">
      <w:pPr>
        <w:pStyle w:val="ac"/>
        <w:numPr>
          <w:ilvl w:val="0"/>
          <w:numId w:val="79"/>
        </w:numPr>
      </w:pPr>
      <w:r w:rsidRPr="00545B9A">
        <w:rPr>
          <w:rFonts w:cs="Arial"/>
          <w:rtl/>
        </w:rPr>
        <w:t xml:space="preserve">מרדכי </w:t>
      </w:r>
      <w:r w:rsidRPr="00630C2B">
        <w:rPr>
          <w:rFonts w:cs="Arial"/>
          <w:sz w:val="16"/>
          <w:szCs w:val="16"/>
          <w:rtl/>
        </w:rPr>
        <w:t xml:space="preserve">(שם) </w:t>
      </w:r>
      <w:r w:rsidRPr="00545B9A">
        <w:rPr>
          <w:rFonts w:cs="Arial"/>
          <w:rtl/>
        </w:rPr>
        <w:t xml:space="preserve">בשם ראב"ן </w:t>
      </w:r>
      <w:r w:rsidRPr="00630C2B">
        <w:rPr>
          <w:rFonts w:cs="Arial"/>
          <w:sz w:val="16"/>
          <w:szCs w:val="16"/>
          <w:rtl/>
        </w:rPr>
        <w:t>(ב"ק קיב. ד"ה חמיו)</w:t>
      </w:r>
      <w:r w:rsidRPr="00630C2B">
        <w:rPr>
          <w:rFonts w:cs="Arial" w:hint="cs"/>
          <w:sz w:val="16"/>
          <w:szCs w:val="16"/>
          <w:rtl/>
        </w:rPr>
        <w:t xml:space="preserve"> </w:t>
      </w:r>
      <w:r>
        <w:rPr>
          <w:rFonts w:cs="Arial" w:hint="cs"/>
          <w:rtl/>
        </w:rPr>
        <w:t xml:space="preserve">ונמוק"י </w:t>
      </w:r>
      <w:r>
        <w:rPr>
          <w:rFonts w:cs="Arial" w:hint="cs"/>
          <w:sz w:val="16"/>
          <w:szCs w:val="16"/>
          <w:rtl/>
        </w:rPr>
        <w:t>(שם, להב' הב"י)</w:t>
      </w:r>
      <w:r>
        <w:rPr>
          <w:rFonts w:cs="Arial" w:hint="cs"/>
          <w:rtl/>
        </w:rPr>
        <w:t xml:space="preserve">- </w:t>
      </w:r>
      <w:r w:rsidRPr="00545B9A">
        <w:rPr>
          <w:rFonts w:cs="Arial"/>
          <w:rtl/>
        </w:rPr>
        <w:t>אם היה במקום רחוק והיו עדיו מבקשים לילך למדינת הים אין אומרים נמתין עד שישלחו לו דבין כך ובין כך ילכו העדים</w:t>
      </w:r>
      <w:r w:rsidRPr="00630C2B">
        <w:rPr>
          <w:rFonts w:cs="Arial"/>
          <w:rtl/>
        </w:rPr>
        <w:t>.</w:t>
      </w:r>
      <w:r w:rsidRPr="00A666BD">
        <w:rPr>
          <w:rFonts w:hint="cs"/>
          <w:color w:val="E36C0A" w:themeColor="accent6" w:themeShade="BF"/>
          <w:rtl/>
        </w:rPr>
        <w:t xml:space="preserve"> </w:t>
      </w:r>
      <w:r w:rsidRPr="001A1493">
        <w:rPr>
          <w:rFonts w:hint="cs"/>
          <w:color w:val="E36C0A" w:themeColor="accent6" w:themeShade="BF"/>
          <w:rtl/>
        </w:rPr>
        <w:t>(וכ"פ בשו"ע</w:t>
      </w:r>
      <w:r>
        <w:rPr>
          <w:rFonts w:cs="Arial" w:hint="cs"/>
          <w:sz w:val="16"/>
          <w:szCs w:val="16"/>
          <w:rtl/>
        </w:rPr>
        <w:t xml:space="preserve"> [וכ"פ בבדה"ב]</w:t>
      </w:r>
      <w:r w:rsidRPr="001A1493">
        <w:rPr>
          <w:rFonts w:hint="cs"/>
          <w:color w:val="E36C0A" w:themeColor="accent6" w:themeShade="BF"/>
          <w:rtl/>
        </w:rPr>
        <w:t>)</w:t>
      </w:r>
      <w:r>
        <w:rPr>
          <w:rFonts w:hint="cs"/>
          <w:rtl/>
        </w:rPr>
        <w:t xml:space="preserve"> </w:t>
      </w:r>
      <w:r w:rsidRPr="001A1493">
        <w:rPr>
          <w:rFonts w:hint="cs"/>
          <w:color w:val="00B0F0"/>
          <w:rtl/>
        </w:rPr>
        <w:t>(וכ"פ הרמ"א</w:t>
      </w:r>
      <w:r>
        <w:rPr>
          <w:rFonts w:hint="cs"/>
          <w:color w:val="000000" w:themeColor="text1"/>
          <w:sz w:val="16"/>
          <w:szCs w:val="16"/>
          <w:rtl/>
        </w:rPr>
        <w:t xml:space="preserve"> [כאן ובסע' הבא]</w:t>
      </w:r>
      <w:r w:rsidRPr="001A1493">
        <w:rPr>
          <w:rFonts w:hint="cs"/>
          <w:color w:val="00B0F0"/>
          <w:rtl/>
        </w:rPr>
        <w:t>)</w:t>
      </w:r>
    </w:p>
    <w:p w14:paraId="23400EBC" w14:textId="77777777" w:rsidR="004B607F" w:rsidRPr="002960D7" w:rsidRDefault="004B607F" w:rsidP="004B0475">
      <w:pPr>
        <w:pStyle w:val="ac"/>
        <w:numPr>
          <w:ilvl w:val="0"/>
          <w:numId w:val="79"/>
        </w:numPr>
      </w:pPr>
      <w:r w:rsidRPr="00545B9A">
        <w:rPr>
          <w:rFonts w:cs="Arial"/>
          <w:rtl/>
        </w:rPr>
        <w:t xml:space="preserve">רא"ש </w:t>
      </w:r>
      <w:r>
        <w:rPr>
          <w:rFonts w:cs="Arial" w:hint="cs"/>
          <w:sz w:val="16"/>
          <w:szCs w:val="16"/>
          <w:rtl/>
        </w:rPr>
        <w:t>(כן הבין הב"י מדבריו בתשו' [</w:t>
      </w:r>
      <w:r w:rsidRPr="00D44B19">
        <w:rPr>
          <w:rFonts w:cs="Arial"/>
          <w:sz w:val="16"/>
          <w:szCs w:val="16"/>
          <w:rtl/>
        </w:rPr>
        <w:t>כלל מ"א סי</w:t>
      </w:r>
      <w:r>
        <w:rPr>
          <w:rFonts w:cs="Arial" w:hint="cs"/>
          <w:sz w:val="16"/>
          <w:szCs w:val="16"/>
          <w:rtl/>
        </w:rPr>
        <w:t>'</w:t>
      </w:r>
      <w:r w:rsidRPr="00D44B19">
        <w:rPr>
          <w:rFonts w:cs="Arial"/>
          <w:sz w:val="16"/>
          <w:szCs w:val="16"/>
          <w:rtl/>
        </w:rPr>
        <w:t xml:space="preserve"> ו</w:t>
      </w:r>
      <w:r>
        <w:rPr>
          <w:rFonts w:cs="Arial" w:hint="cs"/>
          <w:sz w:val="16"/>
          <w:szCs w:val="16"/>
          <w:rtl/>
        </w:rPr>
        <w:t>])</w:t>
      </w:r>
      <w:r>
        <w:rPr>
          <w:rFonts w:cs="Arial" w:hint="cs"/>
          <w:rtl/>
        </w:rPr>
        <w:t>-</w:t>
      </w:r>
      <w:r w:rsidRPr="00545B9A">
        <w:rPr>
          <w:rFonts w:cs="Arial"/>
          <w:rtl/>
        </w:rPr>
        <w:t xml:space="preserve"> אם אינו בעיר אע</w:t>
      </w:r>
      <w:r>
        <w:rPr>
          <w:rFonts w:cs="Arial" w:hint="cs"/>
          <w:rtl/>
        </w:rPr>
        <w:t>"</w:t>
      </w:r>
      <w:r w:rsidRPr="00545B9A">
        <w:rPr>
          <w:rFonts w:cs="Arial"/>
          <w:rtl/>
        </w:rPr>
        <w:t xml:space="preserve">פ שאין שהות לשלוח אחריו </w:t>
      </w:r>
      <w:r>
        <w:rPr>
          <w:rFonts w:cs="Arial" w:hint="cs"/>
          <w:rtl/>
        </w:rPr>
        <w:t xml:space="preserve">- </w:t>
      </w:r>
      <w:r w:rsidRPr="00545B9A">
        <w:rPr>
          <w:rFonts w:cs="Arial"/>
          <w:rtl/>
        </w:rPr>
        <w:t>לא מקבלין</w:t>
      </w:r>
      <w:r>
        <w:rPr>
          <w:rStyle w:val="ab"/>
          <w:rFonts w:cs="Arial"/>
          <w:rtl/>
        </w:rPr>
        <w:footnoteReference w:id="1533"/>
      </w:r>
      <w:r>
        <w:rPr>
          <w:rFonts w:cs="Arial" w:hint="cs"/>
          <w:rtl/>
        </w:rPr>
        <w:t>.</w:t>
      </w:r>
    </w:p>
    <w:p w14:paraId="6B81FE50" w14:textId="77777777" w:rsidR="004B607F" w:rsidRPr="00340C36" w:rsidRDefault="004B607F" w:rsidP="004B607F">
      <w:pPr>
        <w:ind w:left="360"/>
        <w:rPr>
          <w:rFonts w:cs="Arial"/>
          <w:u w:val="dotted"/>
          <w:rtl/>
        </w:rPr>
      </w:pPr>
      <w:r w:rsidRPr="00340C36">
        <w:rPr>
          <w:rFonts w:hint="cs"/>
          <w:u w:val="dotted"/>
          <w:rtl/>
        </w:rPr>
        <w:t>כשפתחו לי</w:t>
      </w:r>
      <w:r>
        <w:rPr>
          <w:rFonts w:hint="cs"/>
          <w:u w:val="dotted"/>
          <w:rtl/>
        </w:rPr>
        <w:t>ה</w:t>
      </w:r>
      <w:r w:rsidRPr="00340C36">
        <w:rPr>
          <w:rFonts w:hint="cs"/>
          <w:u w:val="dotted"/>
          <w:rtl/>
        </w:rPr>
        <w:t xml:space="preserve"> בדינ</w:t>
      </w:r>
      <w:r>
        <w:rPr>
          <w:rFonts w:hint="cs"/>
          <w:u w:val="dotted"/>
          <w:rtl/>
        </w:rPr>
        <w:t>א</w:t>
      </w:r>
      <w:r w:rsidRPr="00340C36">
        <w:rPr>
          <w:rFonts w:hint="cs"/>
          <w:u w:val="dotted"/>
          <w:rtl/>
        </w:rPr>
        <w:t xml:space="preserve"> ולא אתא:</w:t>
      </w:r>
    </w:p>
    <w:p w14:paraId="75062FDB" w14:textId="77777777" w:rsidR="004B607F" w:rsidRPr="00A560F6" w:rsidRDefault="004B607F" w:rsidP="004B0475">
      <w:pPr>
        <w:pStyle w:val="ac"/>
        <w:numPr>
          <w:ilvl w:val="0"/>
          <w:numId w:val="79"/>
        </w:numPr>
        <w:rPr>
          <w:rFonts w:cs="Arial"/>
          <w:rtl/>
        </w:rPr>
      </w:pPr>
      <w:r w:rsidRPr="00A560F6">
        <w:rPr>
          <w:rFonts w:cs="Arial"/>
          <w:rtl/>
        </w:rPr>
        <w:t xml:space="preserve">רא"ש </w:t>
      </w:r>
      <w:r w:rsidRPr="00A560F6">
        <w:rPr>
          <w:rFonts w:cs="Arial"/>
          <w:sz w:val="16"/>
          <w:szCs w:val="16"/>
          <w:rtl/>
        </w:rPr>
        <w:t xml:space="preserve">(שם) </w:t>
      </w:r>
      <w:r w:rsidRPr="00A560F6">
        <w:rPr>
          <w:rFonts w:cs="Arial" w:hint="cs"/>
          <w:rtl/>
        </w:rPr>
        <w:t>רי"ו</w:t>
      </w:r>
      <w:r w:rsidRPr="00A560F6">
        <w:rPr>
          <w:rFonts w:cs="Arial"/>
          <w:rtl/>
        </w:rPr>
        <w:t xml:space="preserve"> </w:t>
      </w:r>
      <w:r w:rsidRPr="00A560F6">
        <w:rPr>
          <w:rFonts w:cs="Arial" w:hint="cs"/>
          <w:sz w:val="16"/>
          <w:szCs w:val="16"/>
          <w:rtl/>
        </w:rPr>
        <w:t>(</w:t>
      </w:r>
      <w:r w:rsidRPr="00A560F6">
        <w:rPr>
          <w:rFonts w:cs="Arial"/>
          <w:sz w:val="16"/>
          <w:szCs w:val="16"/>
          <w:rtl/>
        </w:rPr>
        <w:t>נ"ב ח"א שם)</w:t>
      </w:r>
      <w:r>
        <w:rPr>
          <w:rFonts w:cs="Arial" w:hint="cs"/>
          <w:sz w:val="16"/>
          <w:szCs w:val="16"/>
          <w:rtl/>
        </w:rPr>
        <w:t xml:space="preserve"> </w:t>
      </w:r>
      <w:r w:rsidRPr="00A560F6">
        <w:rPr>
          <w:rFonts w:cs="Arial" w:hint="cs"/>
          <w:rtl/>
        </w:rPr>
        <w:t>וטור-</w:t>
      </w:r>
      <w:r w:rsidRPr="00A560F6">
        <w:rPr>
          <w:rFonts w:cs="Arial"/>
          <w:rtl/>
        </w:rPr>
        <w:t xml:space="preserve"> אם פתחו ליה בדינא ולא אתא </w:t>
      </w:r>
      <w:r>
        <w:rPr>
          <w:rFonts w:cs="Arial" w:hint="cs"/>
          <w:rtl/>
        </w:rPr>
        <w:t xml:space="preserve">- </w:t>
      </w:r>
      <w:r w:rsidRPr="00A560F6">
        <w:rPr>
          <w:rFonts w:cs="Arial"/>
          <w:rtl/>
        </w:rPr>
        <w:t>מקבלין העדות שלא בפניו</w:t>
      </w:r>
      <w:r>
        <w:rPr>
          <w:rFonts w:cs="Arial" w:hint="cs"/>
          <w:rtl/>
        </w:rPr>
        <w:t>.</w:t>
      </w:r>
      <w:r w:rsidRPr="00A560F6">
        <w:rPr>
          <w:rFonts w:cs="Arial"/>
          <w:rtl/>
        </w:rPr>
        <w:t xml:space="preserve"> פירוש שכבר טענו לפני הדיינין</w:t>
      </w:r>
      <w:r>
        <w:rPr>
          <w:rFonts w:cs="Arial" w:hint="cs"/>
          <w:rtl/>
        </w:rPr>
        <w:t>,</w:t>
      </w:r>
      <w:r w:rsidRPr="00A560F6">
        <w:rPr>
          <w:rFonts w:cs="Arial"/>
          <w:rtl/>
        </w:rPr>
        <w:t xml:space="preserve"> והביא התובע את עדיו</w:t>
      </w:r>
      <w:r>
        <w:rPr>
          <w:rFonts w:cs="Arial" w:hint="cs"/>
          <w:rtl/>
        </w:rPr>
        <w:t>,</w:t>
      </w:r>
      <w:r w:rsidRPr="00A560F6">
        <w:rPr>
          <w:rFonts w:cs="Arial"/>
          <w:rtl/>
        </w:rPr>
        <w:t xml:space="preserve"> ושלחו בית דין לנתבע שיבא וישמע עדי התובע ולא בא</w:t>
      </w:r>
      <w:r>
        <w:rPr>
          <w:rStyle w:val="ab"/>
          <w:rFonts w:cs="Arial"/>
          <w:rtl/>
        </w:rPr>
        <w:footnoteReference w:id="1534"/>
      </w:r>
      <w:r w:rsidRPr="00A560F6">
        <w:rPr>
          <w:rFonts w:cs="Arial" w:hint="cs"/>
          <w:sz w:val="16"/>
          <w:szCs w:val="16"/>
          <w:rtl/>
        </w:rPr>
        <w:t xml:space="preserve"> (ל' הטור)</w:t>
      </w:r>
      <w:r w:rsidRPr="00A560F6">
        <w:rPr>
          <w:rFonts w:cs="Arial" w:hint="cs"/>
          <w:rtl/>
        </w:rPr>
        <w:t>.</w:t>
      </w:r>
    </w:p>
    <w:p w14:paraId="0966DAE0" w14:textId="77777777" w:rsidR="004B607F" w:rsidRDefault="004B607F" w:rsidP="004B0475">
      <w:pPr>
        <w:pStyle w:val="ac"/>
        <w:numPr>
          <w:ilvl w:val="0"/>
          <w:numId w:val="79"/>
        </w:numPr>
        <w:rPr>
          <w:rFonts w:cs="Arial"/>
        </w:rPr>
      </w:pPr>
      <w:r w:rsidRPr="00A560F6">
        <w:rPr>
          <w:rFonts w:cs="Arial"/>
          <w:rtl/>
        </w:rPr>
        <w:t>רי"ף ורמב"ם</w:t>
      </w:r>
      <w:r w:rsidRPr="00A560F6">
        <w:rPr>
          <w:rFonts w:cs="Arial" w:hint="cs"/>
          <w:sz w:val="16"/>
          <w:szCs w:val="16"/>
          <w:rtl/>
        </w:rPr>
        <w:t xml:space="preserve"> (להב' הב"י</w:t>
      </w:r>
      <w:r>
        <w:rPr>
          <w:rStyle w:val="ab"/>
          <w:rFonts w:cs="Arial"/>
          <w:sz w:val="16"/>
          <w:szCs w:val="16"/>
          <w:rtl/>
        </w:rPr>
        <w:footnoteReference w:id="1535"/>
      </w:r>
      <w:r w:rsidRPr="00A560F6">
        <w:rPr>
          <w:rFonts w:cs="Arial" w:hint="cs"/>
          <w:sz w:val="16"/>
          <w:szCs w:val="16"/>
          <w:rtl/>
        </w:rPr>
        <w:t>)</w:t>
      </w:r>
      <w:r w:rsidRPr="00A560F6">
        <w:rPr>
          <w:rFonts w:cs="Arial" w:hint="cs"/>
          <w:rtl/>
        </w:rPr>
        <w:t>-</w:t>
      </w:r>
      <w:r>
        <w:rPr>
          <w:rFonts w:cs="Arial" w:hint="cs"/>
          <w:rtl/>
        </w:rPr>
        <w:t xml:space="preserve"> גם אם פתחו ליה בדינא - לא מקבלים עדות שלא בפניו</w:t>
      </w:r>
      <w:r w:rsidRPr="00A560F6">
        <w:rPr>
          <w:rFonts w:cs="Arial" w:hint="cs"/>
          <w:rtl/>
        </w:rPr>
        <w:t>.</w:t>
      </w:r>
      <w:r w:rsidRPr="00A560F6">
        <w:rPr>
          <w:rFonts w:cs="Arial"/>
          <w:rtl/>
        </w:rPr>
        <w:t xml:space="preserve"> </w:t>
      </w:r>
      <w:r>
        <w:rPr>
          <w:rFonts w:cs="Arial" w:hint="cs"/>
          <w:rtl/>
        </w:rPr>
        <w:t>(וכ"פ הב"י</w:t>
      </w:r>
      <w:r>
        <w:rPr>
          <w:rFonts w:cs="Arial" w:hint="cs"/>
          <w:sz w:val="16"/>
          <w:szCs w:val="16"/>
          <w:rtl/>
        </w:rPr>
        <w:t xml:space="preserve"> </w:t>
      </w:r>
      <w:r w:rsidRPr="00735B6B">
        <w:rPr>
          <w:rFonts w:cs="Arial" w:hint="cs"/>
          <w:sz w:val="14"/>
          <w:szCs w:val="14"/>
          <w:rtl/>
        </w:rPr>
        <w:t>[בבדה"ב]</w:t>
      </w:r>
      <w:r>
        <w:rPr>
          <w:rFonts w:cs="Arial" w:hint="cs"/>
          <w:rtl/>
        </w:rPr>
        <w:t>)</w:t>
      </w:r>
    </w:p>
    <w:p w14:paraId="49E76FA8" w14:textId="77777777" w:rsidR="004B607F" w:rsidRDefault="004B607F" w:rsidP="004B0475">
      <w:pPr>
        <w:pStyle w:val="ac"/>
        <w:numPr>
          <w:ilvl w:val="0"/>
          <w:numId w:val="79"/>
        </w:numPr>
        <w:rPr>
          <w:rFonts w:cs="Arial"/>
        </w:rPr>
      </w:pPr>
      <w:r w:rsidRPr="00A560F6">
        <w:rPr>
          <w:rFonts w:cs="Arial" w:hint="cs"/>
          <w:rtl/>
        </w:rPr>
        <w:t>רי"ו</w:t>
      </w:r>
      <w:r w:rsidRPr="00A560F6">
        <w:rPr>
          <w:rFonts w:cs="Arial"/>
          <w:rtl/>
        </w:rPr>
        <w:t xml:space="preserve"> </w:t>
      </w:r>
      <w:r w:rsidRPr="00A560F6">
        <w:rPr>
          <w:rFonts w:cs="Arial" w:hint="cs"/>
          <w:sz w:val="16"/>
          <w:szCs w:val="16"/>
          <w:rtl/>
        </w:rPr>
        <w:t>(</w:t>
      </w:r>
      <w:r w:rsidRPr="00A560F6">
        <w:rPr>
          <w:rFonts w:cs="Arial"/>
          <w:sz w:val="16"/>
          <w:szCs w:val="16"/>
          <w:rtl/>
        </w:rPr>
        <w:t>נ"ב ח"א שם)</w:t>
      </w:r>
      <w:r w:rsidRPr="00A560F6">
        <w:rPr>
          <w:rFonts w:cs="Arial" w:hint="cs"/>
          <w:rtl/>
        </w:rPr>
        <w:t xml:space="preserve">- </w:t>
      </w:r>
      <w:r w:rsidRPr="00A560F6">
        <w:rPr>
          <w:rFonts w:cs="Arial"/>
          <w:rtl/>
        </w:rPr>
        <w:t xml:space="preserve">אם התחילו לטעון לפני הדיינים והביא עדים התובע ולא בא כששלחו בעבורו לקבל עדות </w:t>
      </w:r>
      <w:r>
        <w:rPr>
          <w:rFonts w:cs="Arial" w:hint="cs"/>
          <w:rtl/>
        </w:rPr>
        <w:t xml:space="preserve">- </w:t>
      </w:r>
      <w:r w:rsidRPr="00A560F6">
        <w:rPr>
          <w:rFonts w:cs="Arial"/>
          <w:rtl/>
        </w:rPr>
        <w:t>מקבלין עדות שלא בפניו</w:t>
      </w:r>
      <w:r>
        <w:rPr>
          <w:rFonts w:cs="Arial" w:hint="cs"/>
          <w:rtl/>
        </w:rPr>
        <w:t>...</w:t>
      </w:r>
      <w:r w:rsidRPr="00A560F6">
        <w:rPr>
          <w:rFonts w:cs="Arial"/>
          <w:rtl/>
        </w:rPr>
        <w:t xml:space="preserve"> ומצי למימר איני רוצה שתקבלו עדותו עד שאבא לדין</w:t>
      </w:r>
      <w:r>
        <w:rPr>
          <w:rFonts w:cs="Arial" w:hint="cs"/>
          <w:rtl/>
        </w:rPr>
        <w:t>,</w:t>
      </w:r>
      <w:r w:rsidRPr="00A560F6">
        <w:rPr>
          <w:rFonts w:cs="Arial"/>
          <w:rtl/>
        </w:rPr>
        <w:t xml:space="preserve"> ואין מקבלין אלא בפניו אפילו פתחו בדיניה</w:t>
      </w:r>
      <w:r>
        <w:rPr>
          <w:rFonts w:cs="Arial" w:hint="cs"/>
          <w:rtl/>
        </w:rPr>
        <w:t>.</w:t>
      </w:r>
      <w:r w:rsidRPr="00A560F6">
        <w:rPr>
          <w:rFonts w:cs="Arial"/>
          <w:rtl/>
        </w:rPr>
        <w:t xml:space="preserve"> ואם ב</w:t>
      </w:r>
      <w:r>
        <w:rPr>
          <w:rFonts w:cs="Arial" w:hint="cs"/>
          <w:rtl/>
        </w:rPr>
        <w:t>"ד</w:t>
      </w:r>
      <w:r w:rsidRPr="00A560F6">
        <w:rPr>
          <w:rFonts w:cs="Arial"/>
          <w:rtl/>
        </w:rPr>
        <w:t xml:space="preserve"> זה לקחו שטר מב</w:t>
      </w:r>
      <w:r>
        <w:rPr>
          <w:rFonts w:cs="Arial" w:hint="cs"/>
          <w:rtl/>
        </w:rPr>
        <w:t>"</w:t>
      </w:r>
      <w:r w:rsidRPr="00A560F6">
        <w:rPr>
          <w:rFonts w:cs="Arial"/>
          <w:rtl/>
        </w:rPr>
        <w:t>ד הגדול שיכופו אותו לדין שוב אינו יכול לומר לב</w:t>
      </w:r>
      <w:r>
        <w:rPr>
          <w:rFonts w:cs="Arial" w:hint="cs"/>
          <w:rtl/>
        </w:rPr>
        <w:t>"</w:t>
      </w:r>
      <w:r w:rsidRPr="00A560F6">
        <w:rPr>
          <w:rFonts w:cs="Arial"/>
          <w:rtl/>
        </w:rPr>
        <w:t>ד הגדול אזילנא ומקבלין שלא בפניו</w:t>
      </w:r>
      <w:r>
        <w:rPr>
          <w:rFonts w:cs="Arial" w:hint="cs"/>
          <w:rtl/>
        </w:rPr>
        <w:t>.</w:t>
      </w:r>
      <w:r w:rsidRPr="00A560F6">
        <w:rPr>
          <w:rFonts w:cs="Arial"/>
          <w:rtl/>
        </w:rPr>
        <w:t xml:space="preserve"> ומוכח משם שאם לקחו שטר מקבלין שלא בפניו אפילו לא פתחו ליה בדיניה מאחר ששלחו לו ולא </w:t>
      </w:r>
      <w:r w:rsidRPr="00A560F6">
        <w:rPr>
          <w:rFonts w:cs="Arial" w:hint="cs"/>
          <w:rtl/>
        </w:rPr>
        <w:t>בא.</w:t>
      </w:r>
      <w:r w:rsidRPr="001A1493">
        <w:rPr>
          <w:rFonts w:hint="cs"/>
          <w:color w:val="00B0F0"/>
          <w:rtl/>
        </w:rPr>
        <w:t xml:space="preserve"> (וכ"פ הרמ"א)</w:t>
      </w:r>
    </w:p>
    <w:p w14:paraId="4EB36748" w14:textId="77777777" w:rsidR="004B607F" w:rsidRPr="00340C36" w:rsidRDefault="004B607F" w:rsidP="004B607F">
      <w:pPr>
        <w:ind w:left="360"/>
        <w:rPr>
          <w:rFonts w:cs="Arial"/>
          <w:u w:val="dotted"/>
          <w:rtl/>
        </w:rPr>
      </w:pPr>
      <w:r w:rsidRPr="00340C36">
        <w:rPr>
          <w:rFonts w:cs="Arial" w:hint="cs"/>
          <w:u w:val="dotted"/>
          <w:rtl/>
        </w:rPr>
        <w:lastRenderedPageBreak/>
        <w:t>כש</w:t>
      </w:r>
      <w:r>
        <w:rPr>
          <w:rFonts w:cs="Arial" w:hint="cs"/>
          <w:u w:val="dotted"/>
          <w:rtl/>
        </w:rPr>
        <w:t>הנתבע חולה ואם ימות יצטרך התובע לחכות עד שיגדלו היתומים</w:t>
      </w:r>
      <w:r w:rsidRPr="00340C36">
        <w:rPr>
          <w:rFonts w:cs="Arial" w:hint="cs"/>
          <w:u w:val="dotted"/>
          <w:rtl/>
        </w:rPr>
        <w:t>:</w:t>
      </w:r>
    </w:p>
    <w:p w14:paraId="538E1A89" w14:textId="77777777" w:rsidR="004B607F" w:rsidRPr="006A1674" w:rsidRDefault="004B607F" w:rsidP="004B0475">
      <w:pPr>
        <w:pStyle w:val="ac"/>
        <w:numPr>
          <w:ilvl w:val="0"/>
          <w:numId w:val="79"/>
        </w:numPr>
        <w:rPr>
          <w:rFonts w:cs="Arial"/>
          <w:rtl/>
        </w:rPr>
      </w:pPr>
      <w:r w:rsidRPr="008056CE">
        <w:rPr>
          <w:rFonts w:cs="Arial"/>
          <w:rtl/>
        </w:rPr>
        <w:t xml:space="preserve">ריב"א </w:t>
      </w:r>
      <w:r w:rsidRPr="008056CE">
        <w:rPr>
          <w:rFonts w:cs="Arial" w:hint="cs"/>
          <w:sz w:val="16"/>
          <w:szCs w:val="16"/>
          <w:rtl/>
        </w:rPr>
        <w:t>(הביאוהו המרדכי [סי' קמז] הרא"ש [סי' ג] והטור)</w:t>
      </w:r>
      <w:r w:rsidRPr="008056CE">
        <w:rPr>
          <w:rFonts w:cs="Arial" w:hint="cs"/>
          <w:rtl/>
        </w:rPr>
        <w:t>-</w:t>
      </w:r>
      <w:r w:rsidRPr="008056CE">
        <w:rPr>
          <w:rFonts w:cs="Arial"/>
          <w:rtl/>
        </w:rPr>
        <w:t xml:space="preserve"> אם היה הנתבע חולה ואומר התובע שיקבלו עדות בחיי הנתבע שלא בפניו כדי שיחזיקוהו בנכסי הנתבע בחייו</w:t>
      </w:r>
      <w:r>
        <w:rPr>
          <w:rFonts w:cs="Arial" w:hint="cs"/>
          <w:rtl/>
        </w:rPr>
        <w:t>,</w:t>
      </w:r>
      <w:r w:rsidRPr="008056CE">
        <w:rPr>
          <w:rFonts w:cs="Arial"/>
          <w:rtl/>
        </w:rPr>
        <w:t xml:space="preserve"> שאם ימות יצטרך להמתין עד שיגדלו היתומים כי לא ישמעו העדות בעודם קטנים</w:t>
      </w:r>
      <w:r>
        <w:rPr>
          <w:rFonts w:cs="Arial" w:hint="cs"/>
          <w:rtl/>
        </w:rPr>
        <w:t xml:space="preserve"> -</w:t>
      </w:r>
      <w:r w:rsidRPr="008056CE">
        <w:rPr>
          <w:rFonts w:cs="Arial"/>
          <w:rtl/>
        </w:rPr>
        <w:t xml:space="preserve"> אין שומעין לו לקבל העדות שלא בפניו כדי שיגבה חובו מיד</w:t>
      </w:r>
      <w:r>
        <w:rPr>
          <w:rFonts w:cs="Arial" w:hint="cs"/>
          <w:rtl/>
        </w:rPr>
        <w:t>,</w:t>
      </w:r>
      <w:r w:rsidRPr="008056CE">
        <w:rPr>
          <w:rFonts w:cs="Arial"/>
          <w:rtl/>
        </w:rPr>
        <w:t xml:space="preserve"> כי מזל רע שלו גרם שחלה הנתבע</w:t>
      </w:r>
      <w:r>
        <w:rPr>
          <w:rFonts w:cs="Arial" w:hint="cs"/>
          <w:rtl/>
        </w:rPr>
        <w:t>,</w:t>
      </w:r>
      <w:r w:rsidRPr="008056CE">
        <w:rPr>
          <w:rFonts w:cs="Arial"/>
          <w:rtl/>
        </w:rPr>
        <w:t xml:space="preserve"> ואין מקבלין עדות שלא בפניו לחוב ליתומים שלא כדין</w:t>
      </w:r>
      <w:r>
        <w:rPr>
          <w:rStyle w:val="ab"/>
          <w:rFonts w:cs="Arial"/>
          <w:rtl/>
        </w:rPr>
        <w:footnoteReference w:id="1536"/>
      </w:r>
      <w:r w:rsidRPr="008056CE">
        <w:rPr>
          <w:rFonts w:cs="Arial" w:hint="cs"/>
          <w:sz w:val="16"/>
          <w:szCs w:val="16"/>
          <w:rtl/>
        </w:rPr>
        <w:t xml:space="preserve"> (ל' הטור בשם ריב"א)</w:t>
      </w:r>
      <w:r w:rsidRPr="008056CE">
        <w:rPr>
          <w:rFonts w:cs="Arial" w:hint="cs"/>
          <w:rtl/>
        </w:rPr>
        <w:t>.</w:t>
      </w:r>
      <w:r w:rsidRPr="001A1493">
        <w:rPr>
          <w:rFonts w:hint="cs"/>
          <w:color w:val="00B0F0"/>
          <w:rtl/>
        </w:rPr>
        <w:t xml:space="preserve"> (וכ"פ הרמ"א)</w:t>
      </w:r>
      <w:r w:rsidRPr="006A1674">
        <w:rPr>
          <w:rFonts w:cs="Arial"/>
          <w:rtl/>
        </w:rPr>
        <w:t xml:space="preserve"> </w:t>
      </w:r>
    </w:p>
    <w:p w14:paraId="0D9CCA65" w14:textId="77777777" w:rsidR="004B607F" w:rsidRPr="00475DBF" w:rsidRDefault="004B607F" w:rsidP="004B607F">
      <w:pPr>
        <w:ind w:left="360"/>
        <w:rPr>
          <w:rFonts w:cs="Arial"/>
          <w:sz w:val="16"/>
          <w:szCs w:val="16"/>
          <w:u w:val="single"/>
          <w:rtl/>
        </w:rPr>
      </w:pPr>
      <w:r w:rsidRPr="00340C36">
        <w:rPr>
          <w:rFonts w:cs="Arial" w:hint="cs"/>
          <w:u w:val="dotted"/>
          <w:rtl/>
        </w:rPr>
        <w:t>כשהעדים עוד מעט כבר לא יהיו כשרים להעיד בעדות זו:</w:t>
      </w:r>
      <w:r w:rsidRPr="00475DBF">
        <w:rPr>
          <w:rFonts w:cs="Arial" w:hint="cs"/>
          <w:sz w:val="16"/>
          <w:szCs w:val="16"/>
          <w:rtl/>
        </w:rPr>
        <w:t xml:space="preserve">  (דרכ"מ אות ט)</w:t>
      </w:r>
    </w:p>
    <w:p w14:paraId="530D4940" w14:textId="77777777" w:rsidR="004B607F" w:rsidRDefault="004B607F" w:rsidP="004B0475">
      <w:pPr>
        <w:pStyle w:val="ac"/>
        <w:numPr>
          <w:ilvl w:val="0"/>
          <w:numId w:val="79"/>
        </w:numPr>
      </w:pPr>
      <w:r w:rsidRPr="00475DBF">
        <w:rPr>
          <w:rFonts w:cs="Arial" w:hint="cs"/>
          <w:rtl/>
        </w:rPr>
        <w:t xml:space="preserve">רשב"א </w:t>
      </w:r>
      <w:r w:rsidRPr="00475DBF">
        <w:rPr>
          <w:rFonts w:cs="Arial" w:hint="cs"/>
          <w:sz w:val="16"/>
          <w:szCs w:val="16"/>
          <w:rtl/>
        </w:rPr>
        <w:t xml:space="preserve">(סי' אלף כא) </w:t>
      </w:r>
      <w:r w:rsidRPr="00475DBF">
        <w:rPr>
          <w:rFonts w:cs="Arial" w:hint="cs"/>
          <w:rtl/>
        </w:rPr>
        <w:t xml:space="preserve">וטור </w:t>
      </w:r>
      <w:r w:rsidRPr="00475DBF">
        <w:rPr>
          <w:rFonts w:cs="Arial" w:hint="cs"/>
          <w:sz w:val="16"/>
          <w:szCs w:val="16"/>
          <w:rtl/>
        </w:rPr>
        <w:t>(סי' קמ)</w:t>
      </w:r>
      <w:r w:rsidRPr="00475DBF">
        <w:rPr>
          <w:rFonts w:cs="Arial" w:hint="cs"/>
          <w:rtl/>
        </w:rPr>
        <w:t xml:space="preserve">- </w:t>
      </w:r>
      <w:r w:rsidRPr="00475DBF">
        <w:rPr>
          <w:rFonts w:cs="Arial"/>
          <w:rtl/>
        </w:rPr>
        <w:t>עדות שכשרים</w:t>
      </w:r>
      <w:r w:rsidRPr="00475DBF">
        <w:rPr>
          <w:rFonts w:cs="Arial" w:hint="cs"/>
          <w:rtl/>
        </w:rPr>
        <w:t xml:space="preserve"> העדים</w:t>
      </w:r>
      <w:r w:rsidRPr="00475DBF">
        <w:rPr>
          <w:rFonts w:cs="Arial"/>
          <w:rtl/>
        </w:rPr>
        <w:t xml:space="preserve"> להעיד ואם לא יקבלו העדות יהיו אח"כ פסולים</w:t>
      </w:r>
      <w:r>
        <w:rPr>
          <w:rFonts w:cs="Arial" w:hint="cs"/>
          <w:rtl/>
        </w:rPr>
        <w:t xml:space="preserve"> -</w:t>
      </w:r>
      <w:r w:rsidRPr="00475DBF">
        <w:rPr>
          <w:rFonts w:cs="Arial"/>
          <w:rtl/>
        </w:rPr>
        <w:t xml:space="preserve"> מקבלין אפילו שלא בפניו</w:t>
      </w:r>
      <w:r w:rsidRPr="00475DBF">
        <w:rPr>
          <w:rFonts w:cs="Arial" w:hint="cs"/>
          <w:rtl/>
        </w:rPr>
        <w:t xml:space="preserve">. </w:t>
      </w:r>
      <w:r w:rsidRPr="00475DBF">
        <w:rPr>
          <w:rFonts w:cs="Arial" w:hint="cs"/>
          <w:color w:val="00B0F0"/>
          <w:rtl/>
        </w:rPr>
        <w:t>(וכ"פ הרמ"א</w:t>
      </w:r>
      <w:r w:rsidRPr="00475DBF">
        <w:rPr>
          <w:rFonts w:cs="Arial" w:hint="cs"/>
          <w:color w:val="00B0F0"/>
          <w:sz w:val="16"/>
          <w:szCs w:val="16"/>
          <w:rtl/>
        </w:rPr>
        <w:t xml:space="preserve"> </w:t>
      </w:r>
      <w:r w:rsidRPr="00475DBF">
        <w:rPr>
          <w:rFonts w:cs="Arial" w:hint="cs"/>
          <w:sz w:val="16"/>
          <w:szCs w:val="16"/>
          <w:rtl/>
        </w:rPr>
        <w:t>[סי' קמ סע' י]</w:t>
      </w:r>
      <w:r w:rsidRPr="00475DBF">
        <w:rPr>
          <w:rFonts w:cs="Arial" w:hint="cs"/>
          <w:color w:val="00B0F0"/>
          <w:rtl/>
        </w:rPr>
        <w:t>)</w:t>
      </w:r>
    </w:p>
    <w:p w14:paraId="3FBFFDCF" w14:textId="77777777" w:rsidR="004B607F" w:rsidRPr="003024E5" w:rsidRDefault="004B607F" w:rsidP="004B607F">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4378B4B5" w14:textId="77777777" w:rsidR="004B607F" w:rsidRDefault="004B607F" w:rsidP="004B607F">
      <w:pPr>
        <w:rPr>
          <w:rFonts w:cs="Arial"/>
          <w:rtl/>
        </w:rPr>
      </w:pPr>
      <w:r>
        <w:rPr>
          <w:rFonts w:cs="Arial"/>
          <w:rtl/>
        </w:rPr>
        <w:t>היה הבעל דין חולה או שהיו העדים חולים, מקבלים שלא בפניו</w:t>
      </w:r>
      <w:r>
        <w:rPr>
          <w:rStyle w:val="ab"/>
          <w:rFonts w:cs="Arial"/>
          <w:rtl/>
        </w:rPr>
        <w:footnoteReference w:id="1537"/>
      </w:r>
      <w:r>
        <w:rPr>
          <w:rFonts w:cs="Arial"/>
          <w:rtl/>
        </w:rPr>
        <w:t>. ואם היו העדים מבקשים לילך למדינת הים, ושלחו לבעל דין ולא בא</w:t>
      </w:r>
      <w:r>
        <w:rPr>
          <w:rFonts w:cs="Arial" w:hint="cs"/>
          <w:rtl/>
        </w:rPr>
        <w:t>,</w:t>
      </w:r>
      <w:r>
        <w:rPr>
          <w:rFonts w:cs="Arial"/>
          <w:rtl/>
        </w:rPr>
        <w:t xml:space="preserve"> או שאינו מצוי בעיר, הרי אלו מקבלים עדות שלא בפניו. </w:t>
      </w:r>
      <w:r w:rsidRPr="00221BFB">
        <w:rPr>
          <w:rFonts w:cs="Arial"/>
          <w:sz w:val="18"/>
          <w:szCs w:val="18"/>
          <w:rtl/>
        </w:rPr>
        <w:t xml:space="preserve">הגה: אבל אם לא הודיעו אותו, לא </w:t>
      </w:r>
      <w:r w:rsidRPr="0017301B">
        <w:rPr>
          <w:rFonts w:cs="Arial"/>
          <w:sz w:val="16"/>
          <w:szCs w:val="16"/>
          <w:rtl/>
        </w:rPr>
        <w:t>(טור)</w:t>
      </w:r>
      <w:r w:rsidRPr="00221BFB">
        <w:rPr>
          <w:rFonts w:cs="Arial"/>
          <w:sz w:val="18"/>
          <w:szCs w:val="18"/>
          <w:rtl/>
        </w:rPr>
        <w:t xml:space="preserve">. ודוקא שאין לחוש שהעדים ילכו קודם שיודיעו אותו </w:t>
      </w:r>
      <w:r w:rsidRPr="0017301B">
        <w:rPr>
          <w:rFonts w:cs="Arial"/>
          <w:sz w:val="16"/>
          <w:szCs w:val="16"/>
          <w:rtl/>
        </w:rPr>
        <w:t>(מרדכי בשם ראב"ן ור"י)</w:t>
      </w:r>
      <w:r w:rsidRPr="00221BFB">
        <w:rPr>
          <w:rFonts w:cs="Arial"/>
          <w:sz w:val="18"/>
          <w:szCs w:val="18"/>
          <w:rtl/>
        </w:rPr>
        <w:t>, וכמו שיתבאר לקמן בסמוך. ואם היה הנתבע חולה, אין מקבלין עדות שלא בפניו, אע</w:t>
      </w:r>
      <w:r>
        <w:rPr>
          <w:rFonts w:cs="Arial" w:hint="cs"/>
          <w:sz w:val="18"/>
          <w:szCs w:val="18"/>
          <w:rtl/>
        </w:rPr>
        <w:t>"</w:t>
      </w:r>
      <w:r w:rsidRPr="00221BFB">
        <w:rPr>
          <w:rFonts w:cs="Arial"/>
          <w:sz w:val="18"/>
          <w:szCs w:val="18"/>
          <w:rtl/>
        </w:rPr>
        <w:t>פ שיש לחוש שיפלו הנכסים קמי יתמי ולא יוכל לדון עמהם</w:t>
      </w:r>
      <w:r>
        <w:rPr>
          <w:rStyle w:val="ab"/>
          <w:rFonts w:cs="Arial"/>
          <w:sz w:val="18"/>
          <w:szCs w:val="18"/>
          <w:rtl/>
        </w:rPr>
        <w:footnoteReference w:id="1538"/>
      </w:r>
      <w:r w:rsidRPr="00221BFB">
        <w:rPr>
          <w:rFonts w:cs="Arial"/>
          <w:sz w:val="18"/>
          <w:szCs w:val="18"/>
          <w:rtl/>
        </w:rPr>
        <w:t>, כמו שיתבאר בסי</w:t>
      </w:r>
      <w:r>
        <w:rPr>
          <w:rFonts w:cs="Arial" w:hint="cs"/>
          <w:sz w:val="18"/>
          <w:szCs w:val="18"/>
          <w:rtl/>
        </w:rPr>
        <w:t>'</w:t>
      </w:r>
      <w:r w:rsidRPr="00221BFB">
        <w:rPr>
          <w:rFonts w:cs="Arial"/>
          <w:sz w:val="18"/>
          <w:szCs w:val="18"/>
          <w:rtl/>
        </w:rPr>
        <w:t xml:space="preserve"> ק"י </w:t>
      </w:r>
      <w:r w:rsidRPr="0017301B">
        <w:rPr>
          <w:rFonts w:cs="Arial"/>
          <w:sz w:val="16"/>
          <w:szCs w:val="16"/>
          <w:rtl/>
        </w:rPr>
        <w:t>(טור)</w:t>
      </w:r>
      <w:r w:rsidRPr="00221BFB">
        <w:rPr>
          <w:rFonts w:cs="Arial"/>
          <w:sz w:val="18"/>
          <w:szCs w:val="18"/>
          <w:rtl/>
        </w:rPr>
        <w:t>. וי"א דכל ששלחו אחריו ולא בא לב"ד, מהני, ומקבלין עדות שלא בפניו אם פתחו ליה בדינא, או אפי' לא פתחו ליה בדינא, וצריך לדון לפני אותן דיינים כדרך שנתבאר בסי</w:t>
      </w:r>
      <w:r>
        <w:rPr>
          <w:rFonts w:cs="Arial" w:hint="cs"/>
          <w:sz w:val="18"/>
          <w:szCs w:val="18"/>
          <w:rtl/>
        </w:rPr>
        <w:t>'</w:t>
      </w:r>
      <w:r w:rsidRPr="00221BFB">
        <w:rPr>
          <w:rFonts w:cs="Arial"/>
          <w:sz w:val="18"/>
          <w:szCs w:val="18"/>
          <w:rtl/>
        </w:rPr>
        <w:t xml:space="preserve"> י"ד </w:t>
      </w:r>
      <w:r w:rsidRPr="0017301B">
        <w:rPr>
          <w:rFonts w:cs="Arial"/>
          <w:sz w:val="16"/>
          <w:szCs w:val="16"/>
          <w:rtl/>
        </w:rPr>
        <w:t>(רי</w:t>
      </w:r>
      <w:r w:rsidRPr="0017301B">
        <w:rPr>
          <w:rFonts w:cs="Arial" w:hint="cs"/>
          <w:sz w:val="16"/>
          <w:szCs w:val="16"/>
          <w:rtl/>
        </w:rPr>
        <w:t>"ו</w:t>
      </w:r>
      <w:r w:rsidRPr="0017301B">
        <w:rPr>
          <w:rFonts w:cs="Arial"/>
          <w:sz w:val="16"/>
          <w:szCs w:val="16"/>
          <w:rtl/>
        </w:rPr>
        <w:t xml:space="preserve"> נ</w:t>
      </w:r>
      <w:r w:rsidRPr="0017301B">
        <w:rPr>
          <w:rFonts w:cs="Arial" w:hint="cs"/>
          <w:sz w:val="16"/>
          <w:szCs w:val="16"/>
          <w:rtl/>
        </w:rPr>
        <w:t>"</w:t>
      </w:r>
      <w:r w:rsidRPr="0017301B">
        <w:rPr>
          <w:rFonts w:cs="Arial"/>
          <w:sz w:val="16"/>
          <w:szCs w:val="16"/>
          <w:rtl/>
        </w:rPr>
        <w:t>ב ח"א)</w:t>
      </w:r>
      <w:r w:rsidRPr="00221BFB">
        <w:rPr>
          <w:rFonts w:cs="Arial"/>
          <w:sz w:val="18"/>
          <w:szCs w:val="18"/>
          <w:rtl/>
        </w:rPr>
        <w:t>. וכן אם היה דבר נחוץ וא</w:t>
      </w:r>
      <w:r>
        <w:rPr>
          <w:rFonts w:cs="Arial" w:hint="cs"/>
          <w:sz w:val="18"/>
          <w:szCs w:val="18"/>
          <w:rtl/>
        </w:rPr>
        <w:t>"</w:t>
      </w:r>
      <w:r w:rsidRPr="00221BFB">
        <w:rPr>
          <w:rFonts w:cs="Arial"/>
          <w:sz w:val="18"/>
          <w:szCs w:val="18"/>
          <w:rtl/>
        </w:rPr>
        <w:t>א לקבל העדות אח</w:t>
      </w:r>
      <w:r>
        <w:rPr>
          <w:rFonts w:cs="Arial" w:hint="cs"/>
          <w:sz w:val="18"/>
          <w:szCs w:val="18"/>
          <w:rtl/>
        </w:rPr>
        <w:t>"</w:t>
      </w:r>
      <w:r w:rsidRPr="00221BFB">
        <w:rPr>
          <w:rFonts w:cs="Arial"/>
          <w:sz w:val="18"/>
          <w:szCs w:val="18"/>
          <w:rtl/>
        </w:rPr>
        <w:t>כ</w:t>
      </w:r>
      <w:r>
        <w:rPr>
          <w:rFonts w:cs="Arial" w:hint="cs"/>
          <w:sz w:val="18"/>
          <w:szCs w:val="18"/>
          <w:rtl/>
        </w:rPr>
        <w:t>,</w:t>
      </w:r>
      <w:r w:rsidRPr="00221BFB">
        <w:rPr>
          <w:rFonts w:cs="Arial"/>
          <w:sz w:val="18"/>
          <w:szCs w:val="18"/>
          <w:rtl/>
        </w:rPr>
        <w:t xml:space="preserve"> כגון שהיו העדים חולים</w:t>
      </w:r>
      <w:r>
        <w:rPr>
          <w:rFonts w:cs="Arial" w:hint="cs"/>
          <w:sz w:val="18"/>
          <w:szCs w:val="18"/>
          <w:rtl/>
        </w:rPr>
        <w:t>,</w:t>
      </w:r>
      <w:r w:rsidRPr="00221BFB">
        <w:rPr>
          <w:rFonts w:cs="Arial"/>
          <w:sz w:val="18"/>
          <w:szCs w:val="18"/>
          <w:rtl/>
        </w:rPr>
        <w:t xml:space="preserve"> או התובע חולה ויש לחוש </w:t>
      </w:r>
      <w:r w:rsidRPr="005E6946">
        <w:rPr>
          <w:rFonts w:cs="Arial"/>
          <w:color w:val="000000" w:themeColor="text1"/>
          <w:sz w:val="18"/>
          <w:szCs w:val="18"/>
          <w:rtl/>
        </w:rPr>
        <w:t>שימות</w:t>
      </w:r>
      <w:r>
        <w:rPr>
          <w:rStyle w:val="ab"/>
          <w:rFonts w:cs="Arial"/>
          <w:color w:val="000000" w:themeColor="text1"/>
          <w:sz w:val="18"/>
          <w:szCs w:val="18"/>
          <w:rtl/>
        </w:rPr>
        <w:footnoteReference w:id="1539"/>
      </w:r>
      <w:r w:rsidRPr="005E6946">
        <w:rPr>
          <w:rFonts w:cs="Arial"/>
          <w:color w:val="000000" w:themeColor="text1"/>
          <w:sz w:val="18"/>
          <w:szCs w:val="18"/>
          <w:rtl/>
        </w:rPr>
        <w:t xml:space="preserve"> </w:t>
      </w:r>
      <w:r>
        <w:rPr>
          <w:rFonts w:cs="Arial" w:hint="cs"/>
          <w:sz w:val="14"/>
          <w:szCs w:val="14"/>
          <w:rtl/>
        </w:rPr>
        <w:t>(</w:t>
      </w:r>
      <w:r w:rsidRPr="0017301B">
        <w:rPr>
          <w:rFonts w:cs="Arial" w:hint="cs"/>
          <w:sz w:val="16"/>
          <w:szCs w:val="16"/>
          <w:rtl/>
        </w:rPr>
        <w:t>טור בשם י"מ, וכ"כ נמוק"י)</w:t>
      </w:r>
      <w:r w:rsidRPr="005E6946">
        <w:rPr>
          <w:rFonts w:cs="Arial"/>
          <w:color w:val="000000" w:themeColor="text1"/>
          <w:sz w:val="18"/>
          <w:szCs w:val="18"/>
          <w:rtl/>
        </w:rPr>
        <w:t xml:space="preserve">, וכן </w:t>
      </w:r>
      <w:r w:rsidRPr="00221BFB">
        <w:rPr>
          <w:rFonts w:cs="Arial"/>
          <w:sz w:val="18"/>
          <w:szCs w:val="18"/>
          <w:rtl/>
        </w:rPr>
        <w:t>אם העדים הולכים למדינת הים ואין יכולין להמתין עד שיודיעו אותו, מקבלין אע</w:t>
      </w:r>
      <w:r>
        <w:rPr>
          <w:rFonts w:cs="Arial" w:hint="cs"/>
          <w:sz w:val="18"/>
          <w:szCs w:val="18"/>
          <w:rtl/>
        </w:rPr>
        <w:t>"</w:t>
      </w:r>
      <w:r w:rsidRPr="00221BFB">
        <w:rPr>
          <w:rFonts w:cs="Arial"/>
          <w:sz w:val="18"/>
          <w:szCs w:val="18"/>
          <w:rtl/>
        </w:rPr>
        <w:t xml:space="preserve">פ שלא שלחו </w:t>
      </w:r>
      <w:r w:rsidRPr="005E6946">
        <w:rPr>
          <w:rFonts w:cs="Arial"/>
          <w:color w:val="000000" w:themeColor="text1"/>
          <w:sz w:val="18"/>
          <w:szCs w:val="18"/>
          <w:rtl/>
        </w:rPr>
        <w:t xml:space="preserve">אליו </w:t>
      </w:r>
      <w:r w:rsidRPr="0017301B">
        <w:rPr>
          <w:rFonts w:cs="Arial"/>
          <w:color w:val="000000" w:themeColor="text1"/>
          <w:sz w:val="16"/>
          <w:szCs w:val="16"/>
          <w:rtl/>
        </w:rPr>
        <w:t xml:space="preserve">(מרדכי </w:t>
      </w:r>
      <w:r w:rsidRPr="0017301B">
        <w:rPr>
          <w:rFonts w:cs="Arial" w:hint="cs"/>
          <w:color w:val="000000" w:themeColor="text1"/>
          <w:sz w:val="14"/>
          <w:szCs w:val="14"/>
          <w:rtl/>
        </w:rPr>
        <w:t>[ב"ק סי' קמז]</w:t>
      </w:r>
      <w:r w:rsidRPr="0017301B">
        <w:rPr>
          <w:rFonts w:cs="Arial"/>
          <w:color w:val="000000" w:themeColor="text1"/>
          <w:sz w:val="16"/>
          <w:szCs w:val="16"/>
          <w:rtl/>
        </w:rPr>
        <w:t xml:space="preserve"> </w:t>
      </w:r>
      <w:r w:rsidRPr="0017301B">
        <w:rPr>
          <w:rFonts w:cs="Arial" w:hint="cs"/>
          <w:color w:val="000000" w:themeColor="text1"/>
          <w:sz w:val="16"/>
          <w:szCs w:val="16"/>
          <w:rtl/>
        </w:rPr>
        <w:t xml:space="preserve">בשם ראב"ן ונמוק"י, וכ"כ </w:t>
      </w:r>
      <w:r w:rsidRPr="0017301B">
        <w:rPr>
          <w:rFonts w:cs="Arial"/>
          <w:color w:val="000000" w:themeColor="text1"/>
          <w:sz w:val="16"/>
          <w:szCs w:val="16"/>
          <w:rtl/>
        </w:rPr>
        <w:t>הראב"ד והרשב"א)</w:t>
      </w:r>
      <w:r w:rsidRPr="005E6946">
        <w:rPr>
          <w:rFonts w:cs="Arial"/>
          <w:color w:val="000000" w:themeColor="text1"/>
          <w:sz w:val="14"/>
          <w:szCs w:val="14"/>
          <w:rtl/>
        </w:rPr>
        <w:t xml:space="preserve"> </w:t>
      </w:r>
      <w:r w:rsidRPr="005E6946">
        <w:rPr>
          <w:rFonts w:cs="Arial"/>
          <w:color w:val="000000" w:themeColor="text1"/>
          <w:sz w:val="18"/>
          <w:szCs w:val="18"/>
          <w:rtl/>
        </w:rPr>
        <w:t xml:space="preserve">וכן נראה </w:t>
      </w:r>
      <w:r w:rsidRPr="00221BFB">
        <w:rPr>
          <w:rFonts w:cs="Arial"/>
          <w:sz w:val="18"/>
          <w:szCs w:val="18"/>
          <w:rtl/>
        </w:rPr>
        <w:t>ממה שפסק לקמן סי</w:t>
      </w:r>
      <w:r>
        <w:rPr>
          <w:rFonts w:cs="Arial" w:hint="cs"/>
          <w:sz w:val="18"/>
          <w:szCs w:val="18"/>
          <w:rtl/>
        </w:rPr>
        <w:t>'</w:t>
      </w:r>
      <w:r w:rsidRPr="00221BFB">
        <w:rPr>
          <w:rFonts w:cs="Arial"/>
          <w:sz w:val="18"/>
          <w:szCs w:val="18"/>
          <w:rtl/>
        </w:rPr>
        <w:t xml:space="preserve"> ק"מ סע</w:t>
      </w:r>
      <w:r>
        <w:rPr>
          <w:rFonts w:cs="Arial" w:hint="cs"/>
          <w:sz w:val="18"/>
          <w:szCs w:val="18"/>
          <w:rtl/>
        </w:rPr>
        <w:t>'</w:t>
      </w:r>
      <w:r w:rsidRPr="00221BFB">
        <w:rPr>
          <w:rFonts w:cs="Arial"/>
          <w:sz w:val="18"/>
          <w:szCs w:val="18"/>
          <w:rtl/>
        </w:rPr>
        <w:t xml:space="preserve"> י'.</w:t>
      </w:r>
    </w:p>
    <w:p w14:paraId="08B95AAD" w14:textId="77777777" w:rsidR="004B607F" w:rsidRDefault="004B607F" w:rsidP="004B607F">
      <w:pPr>
        <w:rPr>
          <w:rtl/>
        </w:rPr>
      </w:pPr>
      <w:r>
        <w:rPr>
          <w:rFonts w:cs="Arial"/>
          <w:rtl/>
        </w:rPr>
        <w:t xml:space="preserve"> </w:t>
      </w:r>
    </w:p>
    <w:p w14:paraId="49D846EF" w14:textId="77777777" w:rsidR="004B607F" w:rsidRDefault="004B607F" w:rsidP="004B607F">
      <w:pPr>
        <w:pStyle w:val="2"/>
        <w:rPr>
          <w:rtl/>
        </w:rPr>
      </w:pPr>
      <w:bookmarkStart w:id="217" w:name="_Toc24883691"/>
      <w:r>
        <w:rPr>
          <w:rtl/>
        </w:rPr>
        <w:t>סעיף יז</w:t>
      </w:r>
      <w:r>
        <w:rPr>
          <w:rFonts w:hint="cs"/>
          <w:rtl/>
        </w:rPr>
        <w:t>: קבלת עדות שלא בפני בעל דין - כשהעדים בעיר אחרת.</w:t>
      </w:r>
      <w:bookmarkEnd w:id="217"/>
    </w:p>
    <w:p w14:paraId="09261F7C" w14:textId="77777777" w:rsidR="004B607F" w:rsidRPr="00302D98" w:rsidRDefault="004B607F" w:rsidP="004B607F">
      <w:r w:rsidRPr="00ED5488">
        <w:rPr>
          <w:rFonts w:hint="cs"/>
          <w:u w:val="single"/>
          <w:rtl/>
        </w:rPr>
        <w:t>קבלת עדות שלא בפני בעל דין - כשהעדים בעיר אחרת</w:t>
      </w:r>
      <w:r>
        <w:rPr>
          <w:rFonts w:hint="cs"/>
          <w:u w:val="single"/>
          <w:rtl/>
        </w:rPr>
        <w:t>:</w:t>
      </w:r>
    </w:p>
    <w:p w14:paraId="169297AA" w14:textId="77777777" w:rsidR="004B607F" w:rsidRPr="00221BFB" w:rsidRDefault="004B607F" w:rsidP="004B0475">
      <w:pPr>
        <w:pStyle w:val="ac"/>
        <w:numPr>
          <w:ilvl w:val="0"/>
          <w:numId w:val="79"/>
        </w:numPr>
        <w:rPr>
          <w:rtl/>
        </w:rPr>
      </w:pPr>
      <w:r w:rsidRPr="00302D98">
        <w:rPr>
          <w:rFonts w:cs="Arial" w:hint="cs"/>
          <w:rtl/>
        </w:rPr>
        <w:t xml:space="preserve">מהר"ם </w:t>
      </w:r>
      <w:r w:rsidRPr="00302D98">
        <w:rPr>
          <w:rFonts w:cs="Arial" w:hint="cs"/>
          <w:sz w:val="16"/>
          <w:szCs w:val="16"/>
          <w:rtl/>
        </w:rPr>
        <w:t>(ד"ק סי' רז, וכן בשו"ת בעלי התוספות סי' קכח)</w:t>
      </w:r>
      <w:r w:rsidRPr="00302D98">
        <w:rPr>
          <w:rFonts w:cs="Arial" w:hint="cs"/>
          <w:rtl/>
        </w:rPr>
        <w:t xml:space="preserve"> ורי"ו</w:t>
      </w:r>
      <w:r w:rsidRPr="00302D98">
        <w:rPr>
          <w:rFonts w:cs="Arial"/>
          <w:rtl/>
        </w:rPr>
        <w:t xml:space="preserve"> </w:t>
      </w:r>
      <w:r w:rsidRPr="00302D98">
        <w:rPr>
          <w:rFonts w:cs="Arial" w:hint="cs"/>
          <w:sz w:val="16"/>
          <w:szCs w:val="16"/>
          <w:rtl/>
        </w:rPr>
        <w:t>(</w:t>
      </w:r>
      <w:r w:rsidRPr="00302D98">
        <w:rPr>
          <w:rFonts w:cs="Arial"/>
          <w:sz w:val="16"/>
          <w:szCs w:val="16"/>
          <w:rtl/>
        </w:rPr>
        <w:t>נ"ב ח"א שם)</w:t>
      </w:r>
      <w:r w:rsidRPr="00302D98">
        <w:rPr>
          <w:rFonts w:cs="Arial" w:hint="cs"/>
          <w:rtl/>
        </w:rPr>
        <w:t xml:space="preserve">- </w:t>
      </w:r>
      <w:r w:rsidRPr="00302D98">
        <w:rPr>
          <w:rFonts w:cs="Arial"/>
          <w:rtl/>
        </w:rPr>
        <w:t>אם רוצה ראובן שיתקבל העדות</w:t>
      </w:r>
      <w:r>
        <w:rPr>
          <w:rFonts w:cs="Arial" w:hint="cs"/>
          <w:rtl/>
        </w:rPr>
        <w:t>,</w:t>
      </w:r>
      <w:r w:rsidRPr="00302D98">
        <w:rPr>
          <w:rFonts w:cs="Arial"/>
          <w:rtl/>
        </w:rPr>
        <w:t xml:space="preserve"> יתבענו לשמעון לדין</w:t>
      </w:r>
      <w:r>
        <w:rPr>
          <w:rFonts w:cs="Arial" w:hint="cs"/>
          <w:rtl/>
        </w:rPr>
        <w:t>,</w:t>
      </w:r>
      <w:r w:rsidRPr="00302D98">
        <w:rPr>
          <w:rFonts w:cs="Arial"/>
          <w:rtl/>
        </w:rPr>
        <w:t xml:space="preserve"> ויאמרו בית דין לשמעון אם חפץ ללכת במקום העדים</w:t>
      </w:r>
      <w:r>
        <w:rPr>
          <w:rFonts w:cs="Arial" w:hint="cs"/>
          <w:rtl/>
        </w:rPr>
        <w:t>,</w:t>
      </w:r>
      <w:r w:rsidRPr="00302D98">
        <w:rPr>
          <w:rFonts w:cs="Arial"/>
          <w:rtl/>
        </w:rPr>
        <w:t xml:space="preserve"> ויעידו בפניו אם יחפוץ</w:t>
      </w:r>
      <w:r>
        <w:rPr>
          <w:rFonts w:cs="Arial" w:hint="cs"/>
          <w:rtl/>
        </w:rPr>
        <w:t>.</w:t>
      </w:r>
      <w:r w:rsidRPr="00302D98">
        <w:rPr>
          <w:rFonts w:cs="Arial"/>
          <w:rtl/>
        </w:rPr>
        <w:t xml:space="preserve"> ואם לאו </w:t>
      </w:r>
      <w:r>
        <w:rPr>
          <w:rFonts w:cs="Arial" w:hint="cs"/>
          <w:rtl/>
        </w:rPr>
        <w:t xml:space="preserve">- </w:t>
      </w:r>
      <w:r w:rsidRPr="00302D98">
        <w:rPr>
          <w:rFonts w:cs="Arial"/>
          <w:rtl/>
        </w:rPr>
        <w:t>יקבלו שלא בפניו, וישלחו בית דין כי קבלו העדות</w:t>
      </w:r>
      <w:r>
        <w:rPr>
          <w:rFonts w:cs="Arial" w:hint="cs"/>
          <w:rtl/>
        </w:rPr>
        <w:t>,</w:t>
      </w:r>
      <w:r w:rsidRPr="00302D98">
        <w:rPr>
          <w:rFonts w:cs="Arial"/>
          <w:rtl/>
        </w:rPr>
        <w:t xml:space="preserve"> ואל יאכל שמעון ויחדי</w:t>
      </w:r>
      <w:r>
        <w:rPr>
          <w:rFonts w:cs="Arial" w:hint="cs"/>
          <w:sz w:val="16"/>
          <w:szCs w:val="16"/>
          <w:rtl/>
        </w:rPr>
        <w:t xml:space="preserve"> (ל' מהר"ם)</w:t>
      </w:r>
      <w:r w:rsidRPr="00302D98">
        <w:rPr>
          <w:rFonts w:cs="Arial"/>
          <w:rtl/>
        </w:rPr>
        <w:t>.</w:t>
      </w:r>
      <w:r w:rsidRPr="00411EC8">
        <w:rPr>
          <w:rFonts w:hint="cs"/>
          <w:color w:val="E36C0A" w:themeColor="accent6" w:themeShade="BF"/>
          <w:rtl/>
        </w:rPr>
        <w:t xml:space="preserve"> (וכ"פ בשו"ע)</w:t>
      </w:r>
    </w:p>
    <w:p w14:paraId="10D11067" w14:textId="77777777" w:rsidR="004B607F" w:rsidRPr="003024E5" w:rsidRDefault="004B607F" w:rsidP="004B607F">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3F6F095F" w14:textId="77777777" w:rsidR="004B607F" w:rsidRDefault="004B607F" w:rsidP="004B607F">
      <w:pPr>
        <w:rPr>
          <w:rFonts w:cs="Arial"/>
          <w:rtl/>
        </w:rPr>
      </w:pPr>
      <w:r>
        <w:rPr>
          <w:rFonts w:cs="Arial"/>
          <w:rtl/>
        </w:rPr>
        <w:t>ראובן שתובע את שמעון ועידיו במקום אחר, יאמרו בית דין לשמעון אם חפץ לילך במקום העדים ויעידו בפניו, ואם לאו יקבלו ב</w:t>
      </w:r>
      <w:r>
        <w:rPr>
          <w:rFonts w:cs="Arial" w:hint="cs"/>
          <w:rtl/>
        </w:rPr>
        <w:t xml:space="preserve">ית </w:t>
      </w:r>
      <w:r>
        <w:rPr>
          <w:rFonts w:cs="Arial"/>
          <w:rtl/>
        </w:rPr>
        <w:t>ד</w:t>
      </w:r>
      <w:r>
        <w:rPr>
          <w:rFonts w:cs="Arial" w:hint="cs"/>
          <w:rtl/>
        </w:rPr>
        <w:t>ין</w:t>
      </w:r>
      <w:r>
        <w:rPr>
          <w:rFonts w:cs="Arial"/>
          <w:rtl/>
        </w:rPr>
        <w:t xml:space="preserve"> שבמקום העדים עדות שלא בפניו ויודיעו לב</w:t>
      </w:r>
      <w:r>
        <w:rPr>
          <w:rFonts w:cs="Arial" w:hint="cs"/>
          <w:rtl/>
        </w:rPr>
        <w:t xml:space="preserve">ית </w:t>
      </w:r>
      <w:r>
        <w:rPr>
          <w:rFonts w:cs="Arial"/>
          <w:rtl/>
        </w:rPr>
        <w:t>ד</w:t>
      </w:r>
      <w:r>
        <w:rPr>
          <w:rFonts w:cs="Arial" w:hint="cs"/>
          <w:rtl/>
        </w:rPr>
        <w:t>ין</w:t>
      </w:r>
      <w:r>
        <w:rPr>
          <w:rFonts w:cs="Arial"/>
          <w:rtl/>
        </w:rPr>
        <w:t xml:space="preserve"> שבמקום הבעלי דינין, וידונו על פי אותה קבלה. </w:t>
      </w:r>
      <w:r w:rsidRPr="00221BFB">
        <w:rPr>
          <w:rFonts w:cs="Arial"/>
          <w:sz w:val="18"/>
          <w:szCs w:val="18"/>
          <w:rtl/>
        </w:rPr>
        <w:t>הגה: וכן אם מצא עדיו בעיר אחרת, ואין שהות לשלוח אחריו, או שלא ימצא העדים אח"כ, גובין בפני ב"ד שלא בפני בעל דין, ודנין על פי העדות ההוא (</w:t>
      </w:r>
      <w:r>
        <w:rPr>
          <w:rFonts w:cs="Arial" w:hint="cs"/>
          <w:sz w:val="18"/>
          <w:szCs w:val="18"/>
          <w:rtl/>
        </w:rPr>
        <w:t>י"מ ונמוק"י</w:t>
      </w:r>
      <w:r>
        <w:rPr>
          <w:rStyle w:val="ab"/>
          <w:rFonts w:cs="Arial"/>
          <w:sz w:val="18"/>
          <w:szCs w:val="18"/>
          <w:rtl/>
        </w:rPr>
        <w:footnoteReference w:id="1540"/>
      </w:r>
      <w:r w:rsidRPr="00221BFB">
        <w:rPr>
          <w:rFonts w:cs="Arial"/>
          <w:sz w:val="18"/>
          <w:szCs w:val="18"/>
          <w:rtl/>
        </w:rPr>
        <w:t>). וכן המנהג פשוט במדינות אלו, אע"פ שיש חולקים וס"ל דאפילו במקום שיש לחוש שיפסיד העדות אם לא יקבלו שלא בפניו, אין מקבלין אא"כ שלחו לו תחלה, אין נוהגין כן, אלא כאשר נתבאר.</w:t>
      </w:r>
    </w:p>
    <w:p w14:paraId="21C76611" w14:textId="77777777" w:rsidR="004B607F" w:rsidRDefault="004B607F" w:rsidP="004B607F">
      <w:pPr>
        <w:rPr>
          <w:rtl/>
        </w:rPr>
      </w:pPr>
      <w:r>
        <w:rPr>
          <w:rFonts w:cs="Arial"/>
          <w:rtl/>
        </w:rPr>
        <w:t xml:space="preserve"> </w:t>
      </w:r>
    </w:p>
    <w:p w14:paraId="79A36ADF" w14:textId="77777777" w:rsidR="004B607F" w:rsidRDefault="004B607F" w:rsidP="004B607F">
      <w:pPr>
        <w:pStyle w:val="2"/>
        <w:rPr>
          <w:rtl/>
        </w:rPr>
      </w:pPr>
      <w:bookmarkStart w:id="218" w:name="_Toc24883692"/>
      <w:r>
        <w:rPr>
          <w:rtl/>
        </w:rPr>
        <w:lastRenderedPageBreak/>
        <w:t>סעיף יח</w:t>
      </w:r>
      <w:r>
        <w:rPr>
          <w:rFonts w:hint="cs"/>
          <w:rtl/>
        </w:rPr>
        <w:t>: קבלת עדות שלא בפני בעל דין - כשמביא עדים לפטור את עצמו.</w:t>
      </w:r>
      <w:bookmarkEnd w:id="218"/>
    </w:p>
    <w:p w14:paraId="0D47DEE8" w14:textId="77777777" w:rsidR="004B607F" w:rsidRDefault="004B607F" w:rsidP="004B607F">
      <w:pPr>
        <w:rPr>
          <w:rFonts w:cs="Arial"/>
          <w:rtl/>
        </w:rPr>
      </w:pPr>
      <w:r w:rsidRPr="0098225F">
        <w:rPr>
          <w:rFonts w:hint="cs"/>
          <w:u w:val="single"/>
          <w:rtl/>
        </w:rPr>
        <w:t xml:space="preserve">קבלת עדות שלא בפני בעל דין </w:t>
      </w:r>
      <w:r>
        <w:rPr>
          <w:rFonts w:hint="cs"/>
          <w:u w:val="single"/>
          <w:rtl/>
        </w:rPr>
        <w:t xml:space="preserve">- </w:t>
      </w:r>
      <w:r w:rsidRPr="0098225F">
        <w:rPr>
          <w:rFonts w:hint="cs"/>
          <w:u w:val="single"/>
          <w:rtl/>
        </w:rPr>
        <w:t>כשמביא עדים לפטור את עצמו</w:t>
      </w:r>
      <w:r w:rsidRPr="0098225F">
        <w:rPr>
          <w:rFonts w:cs="Arial" w:hint="cs"/>
          <w:u w:val="single"/>
          <w:rtl/>
        </w:rPr>
        <w:t>:</w:t>
      </w:r>
    </w:p>
    <w:p w14:paraId="193F215B" w14:textId="77777777" w:rsidR="004B607F" w:rsidRPr="00795CCA" w:rsidRDefault="004B607F" w:rsidP="004B0475">
      <w:pPr>
        <w:pStyle w:val="ac"/>
        <w:numPr>
          <w:ilvl w:val="0"/>
          <w:numId w:val="79"/>
        </w:numPr>
        <w:rPr>
          <w:rFonts w:cs="Arial"/>
          <w:rtl/>
        </w:rPr>
      </w:pPr>
      <w:r w:rsidRPr="0098225F">
        <w:rPr>
          <w:rFonts w:cs="Arial"/>
          <w:rtl/>
        </w:rPr>
        <w:t xml:space="preserve">ר"ן </w:t>
      </w:r>
      <w:r w:rsidRPr="0098225F">
        <w:rPr>
          <w:rFonts w:cs="Arial" w:hint="cs"/>
          <w:sz w:val="16"/>
          <w:szCs w:val="16"/>
          <w:rtl/>
        </w:rPr>
        <w:t>(</w:t>
      </w:r>
      <w:r w:rsidRPr="0098225F">
        <w:rPr>
          <w:rFonts w:cs="Arial"/>
          <w:sz w:val="16"/>
          <w:szCs w:val="16"/>
          <w:rtl/>
        </w:rPr>
        <w:t>פרק אלמנה נזונת כתובות נז.)</w:t>
      </w:r>
      <w:r>
        <w:rPr>
          <w:rFonts w:cs="Arial" w:hint="cs"/>
          <w:rtl/>
        </w:rPr>
        <w:t xml:space="preserve">- </w:t>
      </w:r>
      <w:r w:rsidRPr="00795CCA">
        <w:rPr>
          <w:rFonts w:cs="Arial"/>
          <w:rtl/>
        </w:rPr>
        <w:t>גבי אלמנה ודאי מקבלין</w:t>
      </w:r>
      <w:r w:rsidRPr="00795CCA">
        <w:rPr>
          <w:rFonts w:cs="Arial" w:hint="cs"/>
          <w:sz w:val="16"/>
          <w:szCs w:val="16"/>
          <w:rtl/>
        </w:rPr>
        <w:t xml:space="preserve"> {עדים שלא בפני בעל דין}</w:t>
      </w:r>
      <w:r w:rsidRPr="00795CCA">
        <w:rPr>
          <w:rFonts w:cs="Arial" w:hint="cs"/>
          <w:rtl/>
        </w:rPr>
        <w:t>,</w:t>
      </w:r>
      <w:r w:rsidRPr="00795CCA">
        <w:rPr>
          <w:rFonts w:cs="Arial"/>
          <w:rtl/>
        </w:rPr>
        <w:t xml:space="preserve"> דאי לא</w:t>
      </w:r>
      <w:r w:rsidRPr="00795CCA">
        <w:rPr>
          <w:rFonts w:cs="Arial" w:hint="cs"/>
          <w:rtl/>
        </w:rPr>
        <w:t>,</w:t>
      </w:r>
      <w:r w:rsidRPr="00795CCA">
        <w:rPr>
          <w:rFonts w:cs="Arial"/>
          <w:rtl/>
        </w:rPr>
        <w:t xml:space="preserve"> אלמנה דגביא בעדי מיתה מיתומים קטנים היכי משכחת לה</w:t>
      </w:r>
      <w:r w:rsidRPr="00795CCA">
        <w:rPr>
          <w:rFonts w:cs="Arial" w:hint="cs"/>
          <w:rtl/>
        </w:rPr>
        <w:t>.</w:t>
      </w:r>
      <w:r w:rsidRPr="00795CCA">
        <w:rPr>
          <w:rFonts w:cs="Arial"/>
          <w:rtl/>
        </w:rPr>
        <w:t xml:space="preserve"> ועוד דאפילו באחר נמי לא שייך אין מקבלים עדים אלא בפני בע"ד אלא בתובע שמביא עדים על תביעתו</w:t>
      </w:r>
      <w:r w:rsidRPr="00795CCA">
        <w:rPr>
          <w:rFonts w:cs="Arial" w:hint="cs"/>
          <w:rtl/>
        </w:rPr>
        <w:t>,</w:t>
      </w:r>
      <w:r w:rsidRPr="00795CCA">
        <w:rPr>
          <w:rFonts w:cs="Arial"/>
          <w:rtl/>
        </w:rPr>
        <w:t xml:space="preserve"> אבל זו </w:t>
      </w:r>
      <w:r w:rsidRPr="00795CCA">
        <w:rPr>
          <w:rFonts w:cs="Arial" w:hint="cs"/>
          <w:sz w:val="16"/>
          <w:szCs w:val="16"/>
          <w:rtl/>
        </w:rPr>
        <w:t xml:space="preserve">{שמכרה חלק מנכסי היתומים כדי לגבות כתובתה} </w:t>
      </w:r>
      <w:r w:rsidRPr="00795CCA">
        <w:rPr>
          <w:rFonts w:cs="Arial"/>
          <w:rtl/>
        </w:rPr>
        <w:t>שבאה לפטור עצמה</w:t>
      </w:r>
      <w:r w:rsidRPr="00795CCA">
        <w:rPr>
          <w:rFonts w:cs="Arial" w:hint="cs"/>
          <w:sz w:val="16"/>
          <w:szCs w:val="16"/>
          <w:rtl/>
        </w:rPr>
        <w:t xml:space="preserve"> {שלא גבתה יותר ע"י זה שמכרה אותם ביותר משווין}</w:t>
      </w:r>
      <w:r w:rsidRPr="00795CCA">
        <w:rPr>
          <w:rFonts w:cs="Arial"/>
          <w:rtl/>
        </w:rPr>
        <w:t xml:space="preserve"> </w:t>
      </w:r>
      <w:r w:rsidRPr="00795CCA">
        <w:rPr>
          <w:rFonts w:cs="Arial" w:hint="cs"/>
          <w:rtl/>
        </w:rPr>
        <w:t xml:space="preserve">- </w:t>
      </w:r>
      <w:r w:rsidRPr="00795CCA">
        <w:rPr>
          <w:rFonts w:cs="Arial"/>
          <w:rtl/>
        </w:rPr>
        <w:t>ודאי מקבלין.</w:t>
      </w:r>
      <w:r w:rsidRPr="00795CCA">
        <w:rPr>
          <w:rFonts w:cs="Arial" w:hint="cs"/>
          <w:rtl/>
        </w:rPr>
        <w:t xml:space="preserve"> </w:t>
      </w:r>
      <w:r w:rsidRPr="0098225F">
        <w:rPr>
          <w:rFonts w:cs="Arial" w:hint="cs"/>
          <w:color w:val="E36C0A" w:themeColor="accent6" w:themeShade="BF"/>
          <w:rtl/>
        </w:rPr>
        <w:t>(וכ"פ בשו"ע)</w:t>
      </w:r>
    </w:p>
    <w:p w14:paraId="25EF66F1" w14:textId="77777777" w:rsidR="004B607F" w:rsidRPr="0060694B" w:rsidRDefault="004B607F" w:rsidP="004B607F">
      <w:r w:rsidRPr="0060694B">
        <w:rPr>
          <w:rFonts w:hint="cs"/>
          <w:u w:val="single"/>
          <w:rtl/>
        </w:rPr>
        <w:t xml:space="preserve">קבלת עדות שלא בפני בעל דין </w:t>
      </w:r>
      <w:r>
        <w:rPr>
          <w:u w:val="single"/>
          <w:rtl/>
        </w:rPr>
        <w:t>–</w:t>
      </w:r>
      <w:r>
        <w:rPr>
          <w:rFonts w:hint="cs"/>
          <w:u w:val="single"/>
          <w:rtl/>
        </w:rPr>
        <w:t xml:space="preserve"> כשהמחזיק בקרקע מביא ראייה על חזקתו:</w:t>
      </w:r>
      <w:r>
        <w:rPr>
          <w:rFonts w:cs="Arial" w:hint="cs"/>
          <w:rtl/>
        </w:rPr>
        <w:t xml:space="preserve"> </w:t>
      </w:r>
      <w:r>
        <w:rPr>
          <w:rFonts w:cs="Arial" w:hint="cs"/>
          <w:sz w:val="16"/>
          <w:szCs w:val="16"/>
          <w:rtl/>
        </w:rPr>
        <w:t xml:space="preserve">  </w:t>
      </w:r>
      <w:r w:rsidRPr="0060694B">
        <w:rPr>
          <w:rFonts w:cs="Arial"/>
          <w:sz w:val="16"/>
          <w:szCs w:val="16"/>
          <w:rtl/>
        </w:rPr>
        <w:t>(</w:t>
      </w:r>
      <w:r w:rsidRPr="0060694B">
        <w:rPr>
          <w:rFonts w:cs="Arial" w:hint="cs"/>
          <w:sz w:val="16"/>
          <w:szCs w:val="16"/>
          <w:rtl/>
        </w:rPr>
        <w:t xml:space="preserve">דרכ"מ אות </w:t>
      </w:r>
      <w:r w:rsidRPr="0060694B">
        <w:rPr>
          <w:rFonts w:cs="Arial"/>
          <w:sz w:val="16"/>
          <w:szCs w:val="16"/>
          <w:rtl/>
        </w:rPr>
        <w:t>יא)</w:t>
      </w:r>
      <w:r w:rsidRPr="0060694B">
        <w:rPr>
          <w:rFonts w:cs="Arial"/>
          <w:rtl/>
        </w:rPr>
        <w:t xml:space="preserve"> </w:t>
      </w:r>
    </w:p>
    <w:p w14:paraId="6C4CFEF2" w14:textId="77777777" w:rsidR="004B607F" w:rsidRPr="0060694B" w:rsidRDefault="004B607F" w:rsidP="004B0475">
      <w:pPr>
        <w:pStyle w:val="ac"/>
        <w:numPr>
          <w:ilvl w:val="0"/>
          <w:numId w:val="79"/>
        </w:numPr>
      </w:pPr>
      <w:r w:rsidRPr="008A4067">
        <w:rPr>
          <w:rFonts w:cs="Arial"/>
          <w:rtl/>
        </w:rPr>
        <w:t xml:space="preserve">רשב"א </w:t>
      </w:r>
      <w:r w:rsidRPr="0060694B">
        <w:rPr>
          <w:rFonts w:cs="Arial" w:hint="cs"/>
          <w:sz w:val="16"/>
          <w:szCs w:val="16"/>
          <w:rtl/>
        </w:rPr>
        <w:t>(</w:t>
      </w:r>
      <w:r w:rsidRPr="0060694B">
        <w:rPr>
          <w:rFonts w:cs="Arial"/>
          <w:sz w:val="16"/>
          <w:szCs w:val="16"/>
          <w:rtl/>
        </w:rPr>
        <w:t>סי</w:t>
      </w:r>
      <w:r w:rsidRPr="0060694B">
        <w:rPr>
          <w:rFonts w:cs="Arial" w:hint="cs"/>
          <w:sz w:val="16"/>
          <w:szCs w:val="16"/>
          <w:rtl/>
        </w:rPr>
        <w:t>'</w:t>
      </w:r>
      <w:r w:rsidRPr="0060694B">
        <w:rPr>
          <w:rFonts w:cs="Arial"/>
          <w:sz w:val="16"/>
          <w:szCs w:val="16"/>
          <w:rtl/>
        </w:rPr>
        <w:t xml:space="preserve"> אלף כא</w:t>
      </w:r>
      <w:r w:rsidRPr="0060694B">
        <w:rPr>
          <w:rFonts w:cs="Arial" w:hint="cs"/>
          <w:sz w:val="16"/>
          <w:szCs w:val="16"/>
          <w:rtl/>
        </w:rPr>
        <w:t>)</w:t>
      </w:r>
      <w:r>
        <w:rPr>
          <w:rFonts w:cs="Arial" w:hint="cs"/>
          <w:rtl/>
        </w:rPr>
        <w:t>-</w:t>
      </w:r>
      <w:r w:rsidRPr="008A4067">
        <w:rPr>
          <w:rFonts w:cs="Arial"/>
          <w:rtl/>
        </w:rPr>
        <w:t xml:space="preserve"> מקבלין עדים ממחזיק בקרקע ומביא ראיה לפני בית דין על חזקתו א</w:t>
      </w:r>
      <w:r>
        <w:rPr>
          <w:rFonts w:cs="Arial" w:hint="cs"/>
          <w:rtl/>
        </w:rPr>
        <w:t>ע"</w:t>
      </w:r>
      <w:r w:rsidRPr="008A4067">
        <w:rPr>
          <w:rFonts w:cs="Arial"/>
          <w:rtl/>
        </w:rPr>
        <w:t>פ שאין המערער לפנינו</w:t>
      </w:r>
      <w:r>
        <w:rPr>
          <w:rStyle w:val="ab"/>
          <w:rFonts w:cs="Arial"/>
          <w:rtl/>
        </w:rPr>
        <w:footnoteReference w:id="1541"/>
      </w:r>
      <w:r>
        <w:rPr>
          <w:rFonts w:cs="Arial" w:hint="cs"/>
          <w:rtl/>
        </w:rPr>
        <w:t>.</w:t>
      </w:r>
    </w:p>
    <w:p w14:paraId="60DD6A1F" w14:textId="77777777" w:rsidR="004B607F" w:rsidRPr="003024E5" w:rsidRDefault="004B607F" w:rsidP="004B607F">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293D09CB" w14:textId="77777777" w:rsidR="004B607F" w:rsidRDefault="004B607F" w:rsidP="004B607F">
      <w:pPr>
        <w:rPr>
          <w:rtl/>
        </w:rPr>
      </w:pPr>
      <w:r>
        <w:rPr>
          <w:rFonts w:cs="Arial"/>
          <w:rtl/>
        </w:rPr>
        <w:t>לא אמרו אין מקבלין עדים שלא בפני בעל דין, אלא בתובע שמביא עדים על תביעתו. אבל המביא עדים לפטור את עצמו, מקבלים</w:t>
      </w:r>
      <w:r>
        <w:rPr>
          <w:rStyle w:val="ab"/>
          <w:rFonts w:cs="Arial"/>
          <w:rtl/>
        </w:rPr>
        <w:footnoteReference w:id="1542"/>
      </w:r>
      <w:r>
        <w:rPr>
          <w:rFonts w:cs="Arial"/>
          <w:rtl/>
        </w:rPr>
        <w:t xml:space="preserve">. </w:t>
      </w:r>
    </w:p>
    <w:p w14:paraId="25AD851E" w14:textId="77777777" w:rsidR="004B607F" w:rsidRDefault="004B607F" w:rsidP="004B607F">
      <w:pPr>
        <w:rPr>
          <w:rtl/>
        </w:rPr>
      </w:pPr>
    </w:p>
    <w:p w14:paraId="0CD8979C" w14:textId="77777777" w:rsidR="004B607F" w:rsidRDefault="004B607F" w:rsidP="004B607F">
      <w:pPr>
        <w:pStyle w:val="2"/>
        <w:rPr>
          <w:rtl/>
        </w:rPr>
      </w:pPr>
      <w:bookmarkStart w:id="219" w:name="_Toc24883693"/>
      <w:r>
        <w:rPr>
          <w:rtl/>
        </w:rPr>
        <w:t>סעיף יט</w:t>
      </w:r>
      <w:r>
        <w:rPr>
          <w:rFonts w:hint="cs"/>
          <w:rtl/>
        </w:rPr>
        <w:t>: קבלת עדות בפני בעל דין קטן.</w:t>
      </w:r>
      <w:bookmarkEnd w:id="219"/>
    </w:p>
    <w:p w14:paraId="6C3CE8A0" w14:textId="77777777" w:rsidR="004B607F" w:rsidRPr="00221BFB" w:rsidRDefault="004B607F" w:rsidP="004B607F">
      <w:pPr>
        <w:rPr>
          <w:rtl/>
        </w:rPr>
      </w:pPr>
      <w:r>
        <w:rPr>
          <w:rFonts w:hint="cs"/>
          <w:rtl/>
        </w:rPr>
        <w:t>עיין במקורות בתחילת סע' טו.</w:t>
      </w:r>
    </w:p>
    <w:p w14:paraId="77B541BA" w14:textId="77777777" w:rsidR="004B607F" w:rsidRPr="003024E5" w:rsidRDefault="004B607F" w:rsidP="004B607F">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7FA7634B" w14:textId="77777777" w:rsidR="004B607F" w:rsidRDefault="004B607F" w:rsidP="004B607F">
      <w:pPr>
        <w:rPr>
          <w:rtl/>
        </w:rPr>
      </w:pPr>
      <w:r>
        <w:rPr>
          <w:rFonts w:cs="Arial"/>
          <w:rtl/>
        </w:rPr>
        <w:t>אין מקבלין עדות על קטן</w:t>
      </w:r>
      <w:r>
        <w:rPr>
          <w:rStyle w:val="ab"/>
          <w:rFonts w:cs="Arial"/>
          <w:rtl/>
        </w:rPr>
        <w:footnoteReference w:id="1543"/>
      </w:r>
      <w:r>
        <w:rPr>
          <w:rFonts w:cs="Arial"/>
          <w:rtl/>
        </w:rPr>
        <w:t>, אפילו בפניו</w:t>
      </w:r>
      <w:r>
        <w:rPr>
          <w:rFonts w:cs="Arial" w:hint="cs"/>
          <w:rtl/>
        </w:rPr>
        <w:t>,</w:t>
      </w:r>
      <w:r>
        <w:rPr>
          <w:rFonts w:cs="Arial"/>
          <w:rtl/>
        </w:rPr>
        <w:t xml:space="preserve"> דכיון דקטן הוא, בפניו כשלא בפניו דמי. ויתבארו פרטי דין זה בסימן ק"י. </w:t>
      </w:r>
    </w:p>
    <w:p w14:paraId="539935A5" w14:textId="77777777" w:rsidR="004B607F" w:rsidRDefault="004B607F" w:rsidP="004B607F">
      <w:pPr>
        <w:rPr>
          <w:rtl/>
        </w:rPr>
      </w:pPr>
    </w:p>
    <w:p w14:paraId="37ABEF75" w14:textId="77777777" w:rsidR="004B607F" w:rsidRDefault="004B607F" w:rsidP="004B607F">
      <w:pPr>
        <w:pStyle w:val="2"/>
        <w:rPr>
          <w:rtl/>
        </w:rPr>
      </w:pPr>
      <w:bookmarkStart w:id="220" w:name="_Toc24883694"/>
      <w:r>
        <w:rPr>
          <w:rtl/>
        </w:rPr>
        <w:t>סעיף כ</w:t>
      </w:r>
      <w:r>
        <w:rPr>
          <w:rFonts w:hint="cs"/>
          <w:rtl/>
        </w:rPr>
        <w:t>: קבלת עדות בפני שניים.</w:t>
      </w:r>
      <w:bookmarkEnd w:id="220"/>
    </w:p>
    <w:p w14:paraId="5A0E2049" w14:textId="77777777" w:rsidR="004B607F" w:rsidRPr="001E3B86" w:rsidRDefault="004B607F" w:rsidP="004B607F">
      <w:pPr>
        <w:rPr>
          <w:rFonts w:cs="Arial"/>
        </w:rPr>
      </w:pPr>
      <w:r w:rsidRPr="00EB4441">
        <w:rPr>
          <w:rFonts w:cs="Arial" w:hint="cs"/>
          <w:u w:val="single"/>
          <w:rtl/>
        </w:rPr>
        <w:t>קבלת עדות בפני שניים:</w:t>
      </w:r>
    </w:p>
    <w:p w14:paraId="6AF986FB" w14:textId="77777777" w:rsidR="004B607F" w:rsidRPr="00221BFB" w:rsidRDefault="004B607F" w:rsidP="004B0475">
      <w:pPr>
        <w:pStyle w:val="ac"/>
        <w:numPr>
          <w:ilvl w:val="0"/>
          <w:numId w:val="79"/>
        </w:numPr>
        <w:rPr>
          <w:rtl/>
        </w:rPr>
      </w:pPr>
      <w:r w:rsidRPr="00EB4441">
        <w:rPr>
          <w:rFonts w:cs="Arial"/>
          <w:rtl/>
        </w:rPr>
        <w:t xml:space="preserve">רשב"א </w:t>
      </w:r>
      <w:r w:rsidRPr="001E3B86">
        <w:rPr>
          <w:rFonts w:cs="Arial" w:hint="cs"/>
          <w:sz w:val="16"/>
          <w:szCs w:val="16"/>
          <w:rtl/>
        </w:rPr>
        <w:t>(</w:t>
      </w:r>
      <w:r w:rsidRPr="001E3B86">
        <w:rPr>
          <w:rFonts w:cs="Arial"/>
          <w:sz w:val="16"/>
          <w:szCs w:val="16"/>
          <w:rtl/>
        </w:rPr>
        <w:t>סי</w:t>
      </w:r>
      <w:r w:rsidRPr="001E3B86">
        <w:rPr>
          <w:rFonts w:cs="Arial" w:hint="cs"/>
          <w:sz w:val="16"/>
          <w:szCs w:val="16"/>
          <w:rtl/>
        </w:rPr>
        <w:t>'</w:t>
      </w:r>
      <w:r w:rsidRPr="001E3B86">
        <w:rPr>
          <w:rFonts w:cs="Arial"/>
          <w:sz w:val="16"/>
          <w:szCs w:val="16"/>
          <w:rtl/>
        </w:rPr>
        <w:t xml:space="preserve"> תשמט</w:t>
      </w:r>
      <w:r w:rsidRPr="001E3B86">
        <w:rPr>
          <w:rFonts w:cs="Arial" w:hint="cs"/>
          <w:sz w:val="16"/>
          <w:szCs w:val="16"/>
          <w:rtl/>
        </w:rPr>
        <w:t>, ובמיוחסות סי' קיג)</w:t>
      </w:r>
      <w:r w:rsidRPr="001E3B86">
        <w:rPr>
          <w:rFonts w:cs="Arial"/>
          <w:sz w:val="16"/>
          <w:szCs w:val="16"/>
          <w:rtl/>
        </w:rPr>
        <w:t xml:space="preserve"> </w:t>
      </w:r>
      <w:r>
        <w:rPr>
          <w:rFonts w:cs="Arial" w:hint="cs"/>
          <w:rtl/>
        </w:rPr>
        <w:t>ו</w:t>
      </w:r>
      <w:r w:rsidRPr="00EB4441">
        <w:rPr>
          <w:rFonts w:cs="Arial"/>
          <w:rtl/>
        </w:rPr>
        <w:t xml:space="preserve">רא"ש </w:t>
      </w:r>
      <w:r w:rsidRPr="001E3B86">
        <w:rPr>
          <w:rFonts w:cs="Arial" w:hint="cs"/>
          <w:sz w:val="16"/>
          <w:szCs w:val="16"/>
          <w:rtl/>
        </w:rPr>
        <w:t>(</w:t>
      </w:r>
      <w:r w:rsidRPr="001E3B86">
        <w:rPr>
          <w:rFonts w:cs="Arial"/>
          <w:sz w:val="16"/>
          <w:szCs w:val="16"/>
          <w:rtl/>
        </w:rPr>
        <w:t>כלל נט</w:t>
      </w:r>
      <w:r w:rsidRPr="001E3B86">
        <w:rPr>
          <w:rFonts w:cs="Arial" w:hint="cs"/>
          <w:sz w:val="16"/>
          <w:szCs w:val="16"/>
          <w:rtl/>
        </w:rPr>
        <w:t>, כ"כ הב"י בשמו)</w:t>
      </w:r>
      <w:r>
        <w:rPr>
          <w:rFonts w:cs="Arial" w:hint="cs"/>
          <w:rtl/>
        </w:rPr>
        <w:t>-</w:t>
      </w:r>
      <w:r w:rsidRPr="00EB4441">
        <w:rPr>
          <w:rFonts w:cs="Arial"/>
          <w:rtl/>
        </w:rPr>
        <w:t xml:space="preserve"> אין שנים ראויים לקבל עדות</w:t>
      </w:r>
      <w:r>
        <w:rPr>
          <w:rFonts w:cs="Arial" w:hint="cs"/>
          <w:rtl/>
        </w:rPr>
        <w:t>.</w:t>
      </w:r>
      <w:r w:rsidRPr="00EB4441">
        <w:rPr>
          <w:rFonts w:cs="Arial"/>
          <w:rtl/>
        </w:rPr>
        <w:t xml:space="preserve"> ואם קבלו </w:t>
      </w:r>
      <w:r>
        <w:rPr>
          <w:rFonts w:cs="Arial" w:hint="cs"/>
          <w:rtl/>
        </w:rPr>
        <w:t xml:space="preserve">- </w:t>
      </w:r>
      <w:r w:rsidRPr="00EB4441">
        <w:rPr>
          <w:rFonts w:cs="Arial"/>
          <w:rtl/>
        </w:rPr>
        <w:t>לא עשו כלום</w:t>
      </w:r>
      <w:r>
        <w:rPr>
          <w:rFonts w:cs="Arial" w:hint="cs"/>
          <w:rtl/>
        </w:rPr>
        <w:t>.</w:t>
      </w:r>
      <w:r w:rsidRPr="00EB4441">
        <w:rPr>
          <w:rFonts w:cs="Arial"/>
          <w:rtl/>
        </w:rPr>
        <w:t xml:space="preserve"> ששנים אין להם תורת בית דין אלא תורת עדים וקי</w:t>
      </w:r>
      <w:r>
        <w:rPr>
          <w:rFonts w:cs="Arial" w:hint="cs"/>
          <w:rtl/>
        </w:rPr>
        <w:t>י"</w:t>
      </w:r>
      <w:r w:rsidRPr="00EB4441">
        <w:rPr>
          <w:rFonts w:cs="Arial"/>
          <w:rtl/>
        </w:rPr>
        <w:t xml:space="preserve">ל </w:t>
      </w:r>
      <w:r w:rsidRPr="001E3B86">
        <w:rPr>
          <w:rFonts w:cs="Arial"/>
          <w:sz w:val="16"/>
          <w:szCs w:val="16"/>
          <w:rtl/>
        </w:rPr>
        <w:t xml:space="preserve">(סנהדרין ב:) </w:t>
      </w:r>
      <w:r w:rsidRPr="00EB4441">
        <w:rPr>
          <w:rFonts w:cs="Arial"/>
          <w:rtl/>
        </w:rPr>
        <w:t>ששנים שדנו אין דיניהן דין</w:t>
      </w:r>
      <w:r>
        <w:rPr>
          <w:rFonts w:cs="Arial" w:hint="cs"/>
          <w:rtl/>
        </w:rPr>
        <w:t xml:space="preserve"> </w:t>
      </w:r>
      <w:r>
        <w:rPr>
          <w:rFonts w:cs="Arial" w:hint="cs"/>
          <w:sz w:val="16"/>
          <w:szCs w:val="16"/>
          <w:rtl/>
        </w:rPr>
        <w:t>(ל' הרשב"א)</w:t>
      </w:r>
      <w:r>
        <w:rPr>
          <w:rStyle w:val="ab"/>
          <w:rFonts w:cs="Arial"/>
          <w:rtl/>
        </w:rPr>
        <w:footnoteReference w:id="1544"/>
      </w:r>
      <w:r>
        <w:rPr>
          <w:rFonts w:cs="Arial" w:hint="cs"/>
          <w:rtl/>
        </w:rPr>
        <w:t>.</w:t>
      </w:r>
      <w:r>
        <w:rPr>
          <w:rFonts w:hint="cs"/>
          <w:rtl/>
        </w:rPr>
        <w:t xml:space="preserve"> </w:t>
      </w:r>
      <w:r w:rsidRPr="001E3B86">
        <w:rPr>
          <w:rFonts w:hint="cs"/>
          <w:color w:val="E36C0A" w:themeColor="accent6" w:themeShade="BF"/>
          <w:rtl/>
        </w:rPr>
        <w:t>(וכ"פ בשו"ע)</w:t>
      </w:r>
    </w:p>
    <w:p w14:paraId="01BC2BB2" w14:textId="77777777" w:rsidR="004B607F" w:rsidRPr="003024E5" w:rsidRDefault="004B607F" w:rsidP="004B607F">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2AE4FD58" w14:textId="77777777" w:rsidR="004B607F" w:rsidRDefault="004B607F" w:rsidP="004B607F">
      <w:pPr>
        <w:rPr>
          <w:rtl/>
        </w:rPr>
      </w:pPr>
      <w:r>
        <w:rPr>
          <w:rFonts w:cs="Arial"/>
          <w:rtl/>
        </w:rPr>
        <w:t>אין שנים ראויין לקבלת עדות</w:t>
      </w:r>
      <w:r>
        <w:rPr>
          <w:rStyle w:val="ab"/>
          <w:rFonts w:cs="Arial"/>
          <w:rtl/>
        </w:rPr>
        <w:footnoteReference w:id="1545"/>
      </w:r>
      <w:r>
        <w:rPr>
          <w:rFonts w:cs="Arial" w:hint="cs"/>
          <w:rtl/>
        </w:rPr>
        <w:t>,</w:t>
      </w:r>
      <w:r>
        <w:rPr>
          <w:rFonts w:cs="Arial"/>
          <w:rtl/>
        </w:rPr>
        <w:t xml:space="preserve"> ואם קבלו, לא עשו כלום. </w:t>
      </w:r>
    </w:p>
    <w:p w14:paraId="2DD7DCDC" w14:textId="77777777" w:rsidR="004B607F" w:rsidRDefault="004B607F" w:rsidP="004B607F">
      <w:pPr>
        <w:rPr>
          <w:rtl/>
        </w:rPr>
      </w:pPr>
    </w:p>
    <w:p w14:paraId="4D409DC4" w14:textId="77777777" w:rsidR="004B607F" w:rsidRDefault="004B607F" w:rsidP="004B607F">
      <w:pPr>
        <w:pStyle w:val="2"/>
        <w:rPr>
          <w:rtl/>
        </w:rPr>
      </w:pPr>
      <w:bookmarkStart w:id="221" w:name="_Toc24883695"/>
      <w:r>
        <w:rPr>
          <w:rtl/>
        </w:rPr>
        <w:lastRenderedPageBreak/>
        <w:t>סעיף כא</w:t>
      </w:r>
      <w:r>
        <w:rPr>
          <w:rFonts w:hint="cs"/>
          <w:rtl/>
        </w:rPr>
        <w:t>: מי הם הראויים לקבלת עדות.</w:t>
      </w:r>
      <w:bookmarkEnd w:id="221"/>
    </w:p>
    <w:p w14:paraId="42F14ABC" w14:textId="77777777" w:rsidR="004B607F" w:rsidRDefault="004B607F" w:rsidP="004B607F">
      <w:pPr>
        <w:rPr>
          <w:rFonts w:cs="Arial"/>
          <w:rtl/>
        </w:rPr>
      </w:pPr>
      <w:r w:rsidRPr="00DF3A03">
        <w:rPr>
          <w:rFonts w:cs="Arial" w:hint="cs"/>
          <w:u w:val="single"/>
          <w:rtl/>
        </w:rPr>
        <w:t>מי הם הראוי</w:t>
      </w:r>
      <w:r>
        <w:rPr>
          <w:rFonts w:cs="Arial" w:hint="cs"/>
          <w:u w:val="single"/>
          <w:rtl/>
        </w:rPr>
        <w:t>י</w:t>
      </w:r>
      <w:r w:rsidRPr="00DF3A03">
        <w:rPr>
          <w:rFonts w:cs="Arial" w:hint="cs"/>
          <w:u w:val="single"/>
          <w:rtl/>
        </w:rPr>
        <w:t>ם לקבל עדות:</w:t>
      </w:r>
    </w:p>
    <w:p w14:paraId="3DCCE2AB" w14:textId="77777777" w:rsidR="004B607F" w:rsidRPr="00867396" w:rsidRDefault="004B607F" w:rsidP="004B0475">
      <w:pPr>
        <w:pStyle w:val="ac"/>
        <w:numPr>
          <w:ilvl w:val="0"/>
          <w:numId w:val="79"/>
        </w:numPr>
      </w:pPr>
      <w:r>
        <w:rPr>
          <w:rFonts w:cs="Arial" w:hint="cs"/>
          <w:rtl/>
        </w:rPr>
        <w:t xml:space="preserve">רי"ף </w:t>
      </w:r>
      <w:r w:rsidRPr="00DF3A03">
        <w:rPr>
          <w:rFonts w:cs="Arial"/>
          <w:sz w:val="16"/>
          <w:szCs w:val="16"/>
          <w:rtl/>
        </w:rPr>
        <w:t>(סי' רא)</w:t>
      </w:r>
      <w:r>
        <w:rPr>
          <w:rFonts w:cs="Arial" w:hint="cs"/>
          <w:sz w:val="16"/>
          <w:szCs w:val="16"/>
          <w:rtl/>
        </w:rPr>
        <w:t xml:space="preserve"> </w:t>
      </w:r>
      <w:r w:rsidRPr="00DF3A03">
        <w:rPr>
          <w:rFonts w:cs="Arial"/>
          <w:rtl/>
        </w:rPr>
        <w:t>בהעי</w:t>
      </w:r>
      <w:r>
        <w:rPr>
          <w:rFonts w:cs="Arial" w:hint="cs"/>
          <w:rtl/>
        </w:rPr>
        <w:t>"</w:t>
      </w:r>
      <w:r w:rsidRPr="00DF3A03">
        <w:rPr>
          <w:rFonts w:cs="Arial"/>
          <w:rtl/>
        </w:rPr>
        <w:t xml:space="preserve">ט </w:t>
      </w:r>
      <w:r w:rsidRPr="00DF3A03">
        <w:rPr>
          <w:rFonts w:cs="Arial"/>
          <w:sz w:val="16"/>
          <w:szCs w:val="16"/>
          <w:rtl/>
        </w:rPr>
        <w:t>(אות ק קבלת עדות נו ע"ג)</w:t>
      </w:r>
      <w:r>
        <w:rPr>
          <w:rFonts w:cs="Arial" w:hint="cs"/>
          <w:rtl/>
        </w:rPr>
        <w:t xml:space="preserve"> </w:t>
      </w:r>
      <w:r w:rsidRPr="00DF3A03">
        <w:rPr>
          <w:rFonts w:cs="Arial"/>
          <w:rtl/>
        </w:rPr>
        <w:t>נמוק</w:t>
      </w:r>
      <w:r w:rsidRPr="00DF3A03">
        <w:rPr>
          <w:rFonts w:cs="Arial" w:hint="cs"/>
          <w:rtl/>
        </w:rPr>
        <w:t>"</w:t>
      </w:r>
      <w:r w:rsidRPr="00DF3A03">
        <w:rPr>
          <w:rFonts w:cs="Arial"/>
          <w:rtl/>
        </w:rPr>
        <w:t xml:space="preserve">י </w:t>
      </w:r>
      <w:r w:rsidRPr="00DF3A03">
        <w:rPr>
          <w:rFonts w:cs="Arial" w:hint="cs"/>
          <w:sz w:val="16"/>
          <w:szCs w:val="16"/>
          <w:rtl/>
        </w:rPr>
        <w:t>(פרק בתרא דבב"ק</w:t>
      </w:r>
      <w:r w:rsidRPr="00DF3A03">
        <w:rPr>
          <w:rFonts w:cs="Arial"/>
          <w:sz w:val="16"/>
          <w:szCs w:val="16"/>
          <w:rtl/>
        </w:rPr>
        <w:t xml:space="preserve"> לט:)</w:t>
      </w:r>
      <w:r w:rsidRPr="00DF3A03">
        <w:rPr>
          <w:rFonts w:cs="Arial" w:hint="cs"/>
          <w:rtl/>
        </w:rPr>
        <w:t xml:space="preserve"> ורי"ו </w:t>
      </w:r>
      <w:r w:rsidRPr="00DF3A03">
        <w:rPr>
          <w:rFonts w:cs="Arial" w:hint="cs"/>
          <w:sz w:val="16"/>
          <w:szCs w:val="16"/>
          <w:rtl/>
        </w:rPr>
        <w:t>(מישרים נ"ב ח"א יא:)</w:t>
      </w:r>
      <w:r w:rsidRPr="00DF3A03">
        <w:rPr>
          <w:rFonts w:cs="Arial" w:hint="cs"/>
          <w:rtl/>
        </w:rPr>
        <w:t>-</w:t>
      </w:r>
      <w:r w:rsidRPr="00DF3A03">
        <w:rPr>
          <w:rFonts w:cs="Arial"/>
          <w:rtl/>
        </w:rPr>
        <w:t xml:space="preserve"> </w:t>
      </w:r>
      <w:r w:rsidRPr="00867396">
        <w:rPr>
          <w:rFonts w:cs="Arial"/>
          <w:rtl/>
        </w:rPr>
        <w:t>אם בא לפני בית דין שטר קבלת עדות והעדים באותה העיר</w:t>
      </w:r>
      <w:r>
        <w:rPr>
          <w:rFonts w:cs="Arial" w:hint="cs"/>
          <w:rtl/>
        </w:rPr>
        <w:t>,</w:t>
      </w:r>
      <w:r w:rsidRPr="00867396">
        <w:rPr>
          <w:rFonts w:cs="Arial"/>
          <w:rtl/>
        </w:rPr>
        <w:t xml:space="preserve"> רואין</w:t>
      </w:r>
      <w:r>
        <w:rPr>
          <w:rFonts w:cs="Arial" w:hint="cs"/>
          <w:rtl/>
        </w:rPr>
        <w:t>,</w:t>
      </w:r>
      <w:r w:rsidRPr="00867396">
        <w:rPr>
          <w:rFonts w:cs="Arial"/>
          <w:rtl/>
        </w:rPr>
        <w:t xml:space="preserve"> אם אותן מקבלי עדות בקיאין בדיקדוק עדים ובחקירתן </w:t>
      </w:r>
      <w:r>
        <w:rPr>
          <w:rFonts w:cs="Arial" w:hint="cs"/>
          <w:rtl/>
        </w:rPr>
        <w:t xml:space="preserve">- </w:t>
      </w:r>
      <w:r w:rsidRPr="00867396">
        <w:rPr>
          <w:rFonts w:cs="Arial"/>
          <w:rtl/>
        </w:rPr>
        <w:t>הולכין אחר השטר ואין חוששין לעדות העדים</w:t>
      </w:r>
      <w:r>
        <w:rPr>
          <w:rFonts w:cs="Arial" w:hint="cs"/>
          <w:rtl/>
        </w:rPr>
        <w:t>,</w:t>
      </w:r>
      <w:r w:rsidRPr="00867396">
        <w:rPr>
          <w:rFonts w:cs="Arial"/>
          <w:rtl/>
        </w:rPr>
        <w:t xml:space="preserve"> אם לאו </w:t>
      </w:r>
      <w:r>
        <w:rPr>
          <w:rFonts w:cs="Arial" w:hint="cs"/>
          <w:rtl/>
        </w:rPr>
        <w:t xml:space="preserve">- </w:t>
      </w:r>
      <w:r w:rsidRPr="00867396">
        <w:rPr>
          <w:rFonts w:cs="Arial"/>
          <w:rtl/>
        </w:rPr>
        <w:t>אין סומכין על קבלת עדות וכתיבה אלא סומכין על העדים</w:t>
      </w:r>
      <w:r>
        <w:rPr>
          <w:rFonts w:cs="Arial" w:hint="cs"/>
          <w:rtl/>
        </w:rPr>
        <w:t>.</w:t>
      </w:r>
      <w:r w:rsidRPr="00867396">
        <w:rPr>
          <w:rFonts w:cs="Arial"/>
          <w:rtl/>
        </w:rPr>
        <w:t xml:space="preserve"> והילכתא קבלת עדות צריך שלשה מומחין יודעין הילכות עדות</w:t>
      </w:r>
      <w:r>
        <w:rPr>
          <w:rFonts w:cs="Arial" w:hint="cs"/>
          <w:rtl/>
        </w:rPr>
        <w:t>,</w:t>
      </w:r>
      <w:r w:rsidRPr="00867396">
        <w:rPr>
          <w:rFonts w:cs="Arial"/>
          <w:rtl/>
        </w:rPr>
        <w:t xml:space="preserve"> כשרין ולא פסולין</w:t>
      </w:r>
      <w:r>
        <w:rPr>
          <w:rFonts w:cs="Arial" w:hint="cs"/>
          <w:rtl/>
        </w:rPr>
        <w:t>,</w:t>
      </w:r>
      <w:r w:rsidRPr="00867396">
        <w:rPr>
          <w:rFonts w:cs="Arial"/>
          <w:rtl/>
        </w:rPr>
        <w:t xml:space="preserve"> וזהירין בקבלתן לכוין עדות כל אחד ואחד</w:t>
      </w:r>
      <w:r>
        <w:rPr>
          <w:rFonts w:cs="Arial" w:hint="cs"/>
          <w:rtl/>
        </w:rPr>
        <w:t>,</w:t>
      </w:r>
      <w:r w:rsidRPr="00867396">
        <w:rPr>
          <w:rFonts w:cs="Arial"/>
          <w:rtl/>
        </w:rPr>
        <w:t xml:space="preserve"> כדתנן </w:t>
      </w:r>
      <w:r w:rsidRPr="00DF3A03">
        <w:rPr>
          <w:rFonts w:cs="Arial"/>
          <w:sz w:val="16"/>
          <w:szCs w:val="16"/>
          <w:rtl/>
        </w:rPr>
        <w:t>(אבות פ"א מ"ט)</w:t>
      </w:r>
      <w:r>
        <w:rPr>
          <w:rFonts w:cs="Arial" w:hint="cs"/>
          <w:rtl/>
        </w:rPr>
        <w:t xml:space="preserve"> </w:t>
      </w:r>
      <w:r w:rsidRPr="00867396">
        <w:rPr>
          <w:rFonts w:cs="Arial"/>
          <w:rtl/>
        </w:rPr>
        <w:t xml:space="preserve">הוי זהיר בדבריך שמא מתוכן ילמדו לשקר משום דבי דינא בתר בי דינא לא דייקי </w:t>
      </w:r>
      <w:r w:rsidRPr="00DF3A03">
        <w:rPr>
          <w:rFonts w:cs="Arial"/>
          <w:sz w:val="16"/>
          <w:szCs w:val="16"/>
          <w:rtl/>
        </w:rPr>
        <w:t>(ב"ב קלח:)</w:t>
      </w:r>
      <w:r>
        <w:rPr>
          <w:rFonts w:cs="Arial" w:hint="cs"/>
          <w:rtl/>
        </w:rPr>
        <w:t xml:space="preserve">. </w:t>
      </w:r>
      <w:r w:rsidRPr="00867396">
        <w:rPr>
          <w:rFonts w:cs="Arial"/>
          <w:rtl/>
        </w:rPr>
        <w:t>ומחדש התחילו ההדיוטות לקבל עדות ומטים עקלקלותם. וכל המקבל עדות ואינו ראוי לדון מקבל עדות שקר</w:t>
      </w:r>
      <w:r>
        <w:rPr>
          <w:rFonts w:cs="Arial" w:hint="cs"/>
          <w:rtl/>
        </w:rPr>
        <w:t>,</w:t>
      </w:r>
      <w:r w:rsidRPr="00867396">
        <w:rPr>
          <w:rFonts w:cs="Arial"/>
          <w:rtl/>
        </w:rPr>
        <w:t xml:space="preserve"> ואין ראוי לדון על פי אותו השטר</w:t>
      </w:r>
      <w:r w:rsidRPr="00867396">
        <w:rPr>
          <w:rFonts w:cs="Arial" w:hint="cs"/>
          <w:sz w:val="16"/>
          <w:szCs w:val="16"/>
          <w:rtl/>
        </w:rPr>
        <w:t xml:space="preserve"> </w:t>
      </w:r>
      <w:r w:rsidRPr="00DF3A03">
        <w:rPr>
          <w:rFonts w:cs="Arial" w:hint="cs"/>
          <w:sz w:val="16"/>
          <w:szCs w:val="16"/>
          <w:rtl/>
        </w:rPr>
        <w:t xml:space="preserve">(ל' </w:t>
      </w:r>
      <w:r>
        <w:rPr>
          <w:rFonts w:cs="Arial" w:hint="cs"/>
          <w:sz w:val="16"/>
          <w:szCs w:val="16"/>
          <w:rtl/>
        </w:rPr>
        <w:t>בהעי"ט בשם הרי"ף</w:t>
      </w:r>
      <w:r w:rsidRPr="00DF3A03">
        <w:rPr>
          <w:rFonts w:cs="Arial" w:hint="cs"/>
          <w:sz w:val="16"/>
          <w:szCs w:val="16"/>
          <w:rtl/>
        </w:rPr>
        <w:t>)</w:t>
      </w:r>
      <w:r w:rsidRPr="00DF3A03">
        <w:rPr>
          <w:rFonts w:cs="Arial" w:hint="cs"/>
          <w:rtl/>
        </w:rPr>
        <w:t>.</w:t>
      </w:r>
      <w:r w:rsidRPr="00DF3A03">
        <w:rPr>
          <w:rFonts w:hint="cs"/>
          <w:color w:val="E36C0A" w:themeColor="accent6" w:themeShade="BF"/>
          <w:rtl/>
        </w:rPr>
        <w:t xml:space="preserve"> </w:t>
      </w:r>
      <w:r w:rsidRPr="001E3B86">
        <w:rPr>
          <w:rFonts w:hint="cs"/>
          <w:color w:val="E36C0A" w:themeColor="accent6" w:themeShade="BF"/>
          <w:rtl/>
        </w:rPr>
        <w:t>(וכ"פ בשו"ע)</w:t>
      </w:r>
      <w:r w:rsidRPr="006D70E2">
        <w:rPr>
          <w:rFonts w:hint="cs"/>
          <w:color w:val="00B0F0"/>
          <w:rtl/>
        </w:rPr>
        <w:t xml:space="preserve"> (וכ"פ הרמ"א)</w:t>
      </w:r>
    </w:p>
    <w:p w14:paraId="782081D3" w14:textId="77777777" w:rsidR="004B607F" w:rsidRPr="003024E5" w:rsidRDefault="004B607F" w:rsidP="004B607F">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12217557" w14:textId="77777777" w:rsidR="004B607F" w:rsidRDefault="004B607F" w:rsidP="004B607F">
      <w:pPr>
        <w:rPr>
          <w:rFonts w:cs="Arial"/>
          <w:rtl/>
        </w:rPr>
      </w:pPr>
      <w:r>
        <w:rPr>
          <w:rFonts w:cs="Arial"/>
          <w:rtl/>
        </w:rPr>
        <w:t xml:space="preserve">קבלת עדות צריך </w:t>
      </w:r>
      <w:r>
        <w:rPr>
          <w:rFonts w:cs="Arial" w:hint="cs"/>
          <w:rtl/>
        </w:rPr>
        <w:t>שלשה</w:t>
      </w:r>
      <w:r>
        <w:rPr>
          <w:rFonts w:cs="Arial"/>
          <w:rtl/>
        </w:rPr>
        <w:t xml:space="preserve"> מומחים יודעים הלכות עדות כשר ופסול, וזהירין בקבלתן לכוין עדות כל אחד, כדתנן הוה זהיר בדבריך שמא מתוכן ילמדו לשקר</w:t>
      </w:r>
      <w:r>
        <w:rPr>
          <w:rFonts w:cs="Arial" w:hint="cs"/>
          <w:rtl/>
        </w:rPr>
        <w:t>.</w:t>
      </w:r>
      <w:r>
        <w:rPr>
          <w:rFonts w:cs="Arial"/>
          <w:rtl/>
        </w:rPr>
        <w:t xml:space="preserve"> וכל המקבל עדות ואינו ראוי לדון, כאילו קבל עדות שקר, ואינו ראוי לדון על פי אותו שטר. </w:t>
      </w:r>
      <w:r>
        <w:rPr>
          <w:rFonts w:cs="Arial" w:hint="cs"/>
          <w:sz w:val="18"/>
          <w:szCs w:val="18"/>
          <w:rtl/>
        </w:rPr>
        <w:t xml:space="preserve">[הגה] </w:t>
      </w:r>
      <w:r w:rsidRPr="00221BFB">
        <w:rPr>
          <w:rFonts w:cs="Arial"/>
          <w:sz w:val="18"/>
          <w:szCs w:val="18"/>
          <w:rtl/>
        </w:rPr>
        <w:t>אלא סומכין על העדים עצמן.</w:t>
      </w:r>
      <w:r>
        <w:rPr>
          <w:rFonts w:cs="Arial"/>
          <w:rtl/>
        </w:rPr>
        <w:t xml:space="preserve"> </w:t>
      </w:r>
    </w:p>
    <w:p w14:paraId="289F3D7C" w14:textId="77777777" w:rsidR="004B607F" w:rsidRDefault="004B607F" w:rsidP="004B607F">
      <w:pPr>
        <w:rPr>
          <w:rtl/>
        </w:rPr>
      </w:pPr>
    </w:p>
    <w:p w14:paraId="00067E57" w14:textId="77777777" w:rsidR="004B607F" w:rsidRDefault="004B607F" w:rsidP="004B607F">
      <w:pPr>
        <w:pStyle w:val="2"/>
        <w:rPr>
          <w:rtl/>
        </w:rPr>
      </w:pPr>
      <w:bookmarkStart w:id="222" w:name="_Toc24883696"/>
      <w:r>
        <w:rPr>
          <w:rtl/>
        </w:rPr>
        <w:t>סעיף כב</w:t>
      </w:r>
      <w:r>
        <w:rPr>
          <w:rFonts w:hint="cs"/>
          <w:rtl/>
        </w:rPr>
        <w:t>: כתיבת שמות העדים בשטר קבלת העדות.</w:t>
      </w:r>
      <w:bookmarkEnd w:id="222"/>
    </w:p>
    <w:p w14:paraId="14297D3D" w14:textId="77777777" w:rsidR="004B607F" w:rsidRPr="005A5D3E" w:rsidRDefault="004B607F" w:rsidP="004B607F">
      <w:pPr>
        <w:rPr>
          <w:rFonts w:cs="Arial"/>
          <w:u w:val="single"/>
          <w:rtl/>
        </w:rPr>
      </w:pPr>
      <w:r>
        <w:rPr>
          <w:rFonts w:hint="cs"/>
          <w:u w:val="single"/>
          <w:rtl/>
        </w:rPr>
        <w:t>כתיבת</w:t>
      </w:r>
      <w:r w:rsidRPr="005A5D3E">
        <w:rPr>
          <w:rFonts w:hint="cs"/>
          <w:u w:val="single"/>
          <w:rtl/>
        </w:rPr>
        <w:t xml:space="preserve"> שמות העדים בשטר קבלת העדות</w:t>
      </w:r>
      <w:r w:rsidRPr="005A5D3E">
        <w:rPr>
          <w:rFonts w:cs="Arial" w:hint="cs"/>
          <w:u w:val="single"/>
          <w:rtl/>
        </w:rPr>
        <w:t>:</w:t>
      </w:r>
    </w:p>
    <w:p w14:paraId="16B65864" w14:textId="77777777" w:rsidR="004B607F" w:rsidRPr="00221BFB" w:rsidRDefault="004B607F" w:rsidP="004B0475">
      <w:pPr>
        <w:pStyle w:val="ac"/>
        <w:numPr>
          <w:ilvl w:val="0"/>
          <w:numId w:val="79"/>
        </w:numPr>
        <w:rPr>
          <w:rtl/>
        </w:rPr>
      </w:pPr>
      <w:r w:rsidRPr="00DF3A03">
        <w:rPr>
          <w:rFonts w:cs="Arial" w:hint="cs"/>
          <w:rtl/>
        </w:rPr>
        <w:t>רשב"א</w:t>
      </w:r>
      <w:r w:rsidRPr="00DF3A03">
        <w:rPr>
          <w:rFonts w:cs="Arial"/>
          <w:rtl/>
        </w:rPr>
        <w:t xml:space="preserve"> </w:t>
      </w:r>
      <w:r w:rsidRPr="00DF3A03">
        <w:rPr>
          <w:rFonts w:cs="Arial"/>
          <w:sz w:val="16"/>
          <w:szCs w:val="16"/>
          <w:rtl/>
        </w:rPr>
        <w:t>(</w:t>
      </w:r>
      <w:r w:rsidRPr="00DF3A03">
        <w:rPr>
          <w:rFonts w:cs="Arial" w:hint="cs"/>
          <w:sz w:val="16"/>
          <w:szCs w:val="16"/>
          <w:rtl/>
        </w:rPr>
        <w:t>ב</w:t>
      </w:r>
      <w:r w:rsidRPr="00DF3A03">
        <w:rPr>
          <w:rFonts w:cs="Arial"/>
          <w:sz w:val="16"/>
          <w:szCs w:val="16"/>
          <w:rtl/>
        </w:rPr>
        <w:t>מיוחסות סי</w:t>
      </w:r>
      <w:r w:rsidRPr="00DF3A03">
        <w:rPr>
          <w:rFonts w:cs="Arial" w:hint="cs"/>
          <w:sz w:val="16"/>
          <w:szCs w:val="16"/>
          <w:rtl/>
        </w:rPr>
        <w:t>'</w:t>
      </w:r>
      <w:r w:rsidRPr="00DF3A03">
        <w:rPr>
          <w:rFonts w:cs="Arial"/>
          <w:sz w:val="16"/>
          <w:szCs w:val="16"/>
          <w:rtl/>
        </w:rPr>
        <w:t xml:space="preserve"> קיד</w:t>
      </w:r>
      <w:r w:rsidRPr="00DF3A03">
        <w:rPr>
          <w:rFonts w:cs="Arial" w:hint="cs"/>
          <w:sz w:val="16"/>
          <w:szCs w:val="16"/>
          <w:rtl/>
        </w:rPr>
        <w:t>)</w:t>
      </w:r>
      <w:r w:rsidRPr="00DF3A03">
        <w:rPr>
          <w:rFonts w:cs="Arial" w:hint="cs"/>
          <w:rtl/>
        </w:rPr>
        <w:t xml:space="preserve">- </w:t>
      </w:r>
      <w:r w:rsidRPr="00DF3A03">
        <w:rPr>
          <w:rFonts w:cs="Arial"/>
          <w:rtl/>
        </w:rPr>
        <w:t>נכון למקבלי העדות שיפרסמו בשטר מי הם העדים</w:t>
      </w:r>
      <w:r w:rsidRPr="00DF3A03">
        <w:rPr>
          <w:rFonts w:cs="Arial" w:hint="cs"/>
          <w:rtl/>
        </w:rPr>
        <w:t>,</w:t>
      </w:r>
      <w:r w:rsidRPr="00DF3A03">
        <w:rPr>
          <w:rFonts w:cs="Arial"/>
          <w:rtl/>
        </w:rPr>
        <w:t xml:space="preserve"> ואיפשר שכך היו נוהגים בימי חז"ל כמו שאמרו </w:t>
      </w:r>
      <w:r w:rsidRPr="00DF3A03">
        <w:rPr>
          <w:rFonts w:cs="Arial"/>
          <w:sz w:val="16"/>
          <w:szCs w:val="16"/>
          <w:rtl/>
        </w:rPr>
        <w:t xml:space="preserve">(כתובות כא.) </w:t>
      </w:r>
      <w:r w:rsidRPr="00DF3A03">
        <w:rPr>
          <w:rFonts w:cs="Arial"/>
          <w:rtl/>
        </w:rPr>
        <w:t>מדאתא פלוני וחד דעמיה</w:t>
      </w:r>
      <w:r w:rsidRPr="00DF3A03">
        <w:rPr>
          <w:rFonts w:cs="Arial" w:hint="cs"/>
          <w:rtl/>
        </w:rPr>
        <w:t>,</w:t>
      </w:r>
      <w:r w:rsidRPr="00DF3A03">
        <w:rPr>
          <w:rFonts w:cs="Arial"/>
          <w:rtl/>
        </w:rPr>
        <w:t xml:space="preserve"> ומנו –</w:t>
      </w:r>
      <w:r w:rsidRPr="00DF3A03">
        <w:rPr>
          <w:rFonts w:cs="Arial" w:hint="cs"/>
          <w:rtl/>
        </w:rPr>
        <w:t xml:space="preserve"> </w:t>
      </w:r>
      <w:r w:rsidRPr="00DF3A03">
        <w:rPr>
          <w:rFonts w:cs="Arial"/>
          <w:rtl/>
        </w:rPr>
        <w:t>פלוני</w:t>
      </w:r>
      <w:r>
        <w:rPr>
          <w:rFonts w:cs="Arial" w:hint="cs"/>
          <w:rtl/>
        </w:rPr>
        <w:t>.</w:t>
      </w:r>
      <w:r w:rsidRPr="00DF3A03">
        <w:rPr>
          <w:rFonts w:cs="Arial"/>
          <w:rtl/>
        </w:rPr>
        <w:t xml:space="preserve"> ומי שדקדק </w:t>
      </w:r>
      <w:r>
        <w:rPr>
          <w:rFonts w:cs="Arial" w:hint="cs"/>
          <w:rtl/>
        </w:rPr>
        <w:t xml:space="preserve">- </w:t>
      </w:r>
      <w:r w:rsidRPr="00DF3A03">
        <w:rPr>
          <w:rFonts w:cs="Arial"/>
          <w:rtl/>
        </w:rPr>
        <w:t>נשכר</w:t>
      </w:r>
      <w:r w:rsidRPr="00DF3A03">
        <w:rPr>
          <w:rFonts w:cs="Arial" w:hint="cs"/>
          <w:rtl/>
        </w:rPr>
        <w:t>,</w:t>
      </w:r>
      <w:r w:rsidRPr="00DF3A03">
        <w:rPr>
          <w:rFonts w:cs="Arial"/>
          <w:rtl/>
        </w:rPr>
        <w:t xml:space="preserve"> ומי שלא דקדק וכתב סתם</w:t>
      </w:r>
      <w:r>
        <w:rPr>
          <w:rFonts w:cs="Arial" w:hint="cs"/>
          <w:rtl/>
        </w:rPr>
        <w:t xml:space="preserve"> -</w:t>
      </w:r>
      <w:r w:rsidRPr="00DF3A03">
        <w:rPr>
          <w:rFonts w:cs="Arial"/>
          <w:rtl/>
        </w:rPr>
        <w:t xml:space="preserve"> לא הפסיד</w:t>
      </w:r>
      <w:r w:rsidRPr="00DF3A03">
        <w:rPr>
          <w:rFonts w:cs="Arial" w:hint="cs"/>
          <w:rtl/>
        </w:rPr>
        <w:t>.</w:t>
      </w:r>
      <w:r w:rsidRPr="006D70E2">
        <w:rPr>
          <w:rFonts w:hint="cs"/>
          <w:color w:val="E36C0A" w:themeColor="accent6" w:themeShade="BF"/>
          <w:rtl/>
        </w:rPr>
        <w:t xml:space="preserve"> </w:t>
      </w:r>
      <w:r w:rsidRPr="001E3B86">
        <w:rPr>
          <w:rFonts w:hint="cs"/>
          <w:color w:val="E36C0A" w:themeColor="accent6" w:themeShade="BF"/>
          <w:rtl/>
        </w:rPr>
        <w:t>(וכ"פ בשו"ע)</w:t>
      </w:r>
      <w:r w:rsidRPr="006D70E2">
        <w:rPr>
          <w:rFonts w:hint="cs"/>
          <w:color w:val="00B0F0"/>
          <w:rtl/>
        </w:rPr>
        <w:t xml:space="preserve"> (וכ"פ הרמ"א)</w:t>
      </w:r>
    </w:p>
    <w:p w14:paraId="6C69C38B" w14:textId="77777777" w:rsidR="004B607F" w:rsidRPr="003024E5" w:rsidRDefault="004B607F" w:rsidP="004B607F">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307FA3A0" w14:textId="77777777" w:rsidR="004B607F" w:rsidRDefault="004B607F" w:rsidP="004B607F">
      <w:pPr>
        <w:rPr>
          <w:rFonts w:cs="Arial"/>
          <w:rtl/>
        </w:rPr>
      </w:pPr>
      <w:r>
        <w:rPr>
          <w:rFonts w:cs="Arial"/>
          <w:rtl/>
        </w:rPr>
        <w:t>נכון למקבלי עדות לפרסם בשטר קבלת העדות מי הם העדים</w:t>
      </w:r>
      <w:r>
        <w:rPr>
          <w:rStyle w:val="ab"/>
          <w:rFonts w:cs="Arial"/>
          <w:rtl/>
        </w:rPr>
        <w:footnoteReference w:id="1546"/>
      </w:r>
      <w:r>
        <w:rPr>
          <w:rFonts w:cs="Arial"/>
          <w:rtl/>
        </w:rPr>
        <w:t xml:space="preserve">. </w:t>
      </w:r>
      <w:r>
        <w:rPr>
          <w:rFonts w:cs="Arial" w:hint="cs"/>
          <w:sz w:val="18"/>
          <w:szCs w:val="18"/>
          <w:rtl/>
        </w:rPr>
        <w:t xml:space="preserve">[הגה] </w:t>
      </w:r>
      <w:r w:rsidRPr="00221BFB">
        <w:rPr>
          <w:rFonts w:cs="Arial"/>
          <w:sz w:val="18"/>
          <w:szCs w:val="18"/>
          <w:rtl/>
        </w:rPr>
        <w:t>מיהו אם לא כתבו מי הם העדים</w:t>
      </w:r>
      <w:r>
        <w:rPr>
          <w:rFonts w:cs="Arial" w:hint="cs"/>
          <w:sz w:val="18"/>
          <w:szCs w:val="18"/>
          <w:rtl/>
        </w:rPr>
        <w:t>,</w:t>
      </w:r>
      <w:r w:rsidRPr="00221BFB">
        <w:rPr>
          <w:rFonts w:cs="Arial"/>
          <w:sz w:val="18"/>
          <w:szCs w:val="18"/>
          <w:rtl/>
        </w:rPr>
        <w:t xml:space="preserve"> לא הפסידו</w:t>
      </w:r>
      <w:r>
        <w:rPr>
          <w:rFonts w:cs="Arial" w:hint="cs"/>
          <w:sz w:val="18"/>
          <w:szCs w:val="18"/>
          <w:rtl/>
        </w:rPr>
        <w:t xml:space="preserve"> </w:t>
      </w:r>
      <w:r w:rsidRPr="00221BFB">
        <w:rPr>
          <w:rFonts w:cs="Arial"/>
          <w:sz w:val="18"/>
          <w:szCs w:val="18"/>
          <w:rtl/>
        </w:rPr>
        <w:t>(שם</w:t>
      </w:r>
      <w:r>
        <w:rPr>
          <w:rFonts w:cs="Arial" w:hint="cs"/>
          <w:sz w:val="18"/>
          <w:szCs w:val="18"/>
          <w:rtl/>
        </w:rPr>
        <w:t xml:space="preserve"> במיוחסות</w:t>
      </w:r>
      <w:r w:rsidRPr="00221BFB">
        <w:rPr>
          <w:rFonts w:cs="Arial"/>
          <w:sz w:val="18"/>
          <w:szCs w:val="18"/>
          <w:rtl/>
        </w:rPr>
        <w:t>).</w:t>
      </w:r>
    </w:p>
    <w:p w14:paraId="2BB509C4" w14:textId="77777777" w:rsidR="004B607F" w:rsidRDefault="004B607F" w:rsidP="004B607F">
      <w:pPr>
        <w:rPr>
          <w:rtl/>
        </w:rPr>
      </w:pPr>
      <w:r>
        <w:rPr>
          <w:rFonts w:cs="Arial"/>
          <w:rtl/>
        </w:rPr>
        <w:t xml:space="preserve"> </w:t>
      </w:r>
    </w:p>
    <w:p w14:paraId="5B447978" w14:textId="77777777" w:rsidR="004B607F" w:rsidRDefault="004B607F" w:rsidP="004B607F">
      <w:pPr>
        <w:pStyle w:val="2"/>
        <w:rPr>
          <w:rtl/>
        </w:rPr>
      </w:pPr>
      <w:bookmarkStart w:id="223" w:name="_Toc24883697"/>
      <w:r>
        <w:rPr>
          <w:rtl/>
        </w:rPr>
        <w:t>סעיף כג</w:t>
      </w:r>
      <w:r>
        <w:rPr>
          <w:rFonts w:hint="cs"/>
          <w:rtl/>
        </w:rPr>
        <w:t>: קבלת עדות בפני שניים בהסכמת הקהל. קהל שהסכימו ליתן כח לסופר כב' עדים.</w:t>
      </w:r>
      <w:bookmarkEnd w:id="223"/>
    </w:p>
    <w:p w14:paraId="6CF4E58E" w14:textId="77777777" w:rsidR="004B607F" w:rsidRPr="005A5D3E" w:rsidRDefault="004B607F" w:rsidP="004B607F">
      <w:pPr>
        <w:rPr>
          <w:rFonts w:cs="Arial"/>
          <w:u w:val="single"/>
          <w:rtl/>
        </w:rPr>
      </w:pPr>
      <w:r w:rsidRPr="005A5D3E">
        <w:rPr>
          <w:rFonts w:hint="cs"/>
          <w:u w:val="single"/>
          <w:rtl/>
        </w:rPr>
        <w:t xml:space="preserve">קבלת עדות בפני שניים בהסכמת הקהל: </w:t>
      </w:r>
    </w:p>
    <w:p w14:paraId="0A17672F" w14:textId="77777777" w:rsidR="004B607F" w:rsidRDefault="004B607F" w:rsidP="004B0475">
      <w:pPr>
        <w:pStyle w:val="ac"/>
        <w:numPr>
          <w:ilvl w:val="0"/>
          <w:numId w:val="79"/>
        </w:numPr>
        <w:rPr>
          <w:rFonts w:cs="Arial"/>
        </w:rPr>
      </w:pPr>
      <w:r w:rsidRPr="005A5D3E">
        <w:rPr>
          <w:rFonts w:cs="Arial" w:hint="cs"/>
          <w:rtl/>
        </w:rPr>
        <w:t>רי"ו</w:t>
      </w:r>
      <w:r w:rsidRPr="005A5D3E">
        <w:rPr>
          <w:rFonts w:cs="Arial" w:hint="cs"/>
          <w:sz w:val="16"/>
          <w:szCs w:val="16"/>
          <w:rtl/>
        </w:rPr>
        <w:t xml:space="preserve"> (</w:t>
      </w:r>
      <w:r w:rsidRPr="005A5D3E">
        <w:rPr>
          <w:rFonts w:cs="Arial"/>
          <w:sz w:val="16"/>
          <w:szCs w:val="16"/>
          <w:rtl/>
        </w:rPr>
        <w:t>מישרים נ"ב ח"ח יד ע"ד)</w:t>
      </w:r>
      <w:r w:rsidRPr="005A5D3E">
        <w:rPr>
          <w:rFonts w:cs="Arial" w:hint="cs"/>
          <w:rtl/>
        </w:rPr>
        <w:t xml:space="preserve">- </w:t>
      </w:r>
      <w:r w:rsidRPr="005A5D3E">
        <w:rPr>
          <w:rFonts w:cs="Arial"/>
          <w:rtl/>
        </w:rPr>
        <w:t>נוהגים שהשני סופרים מקבלים עדות ומגבין על פיהם</w:t>
      </w:r>
      <w:r w:rsidRPr="005A5D3E">
        <w:rPr>
          <w:rFonts w:cs="Arial" w:hint="cs"/>
          <w:rtl/>
        </w:rPr>
        <w:t>,</w:t>
      </w:r>
      <w:r w:rsidRPr="005A5D3E">
        <w:rPr>
          <w:rFonts w:cs="Arial"/>
          <w:rtl/>
        </w:rPr>
        <w:t xml:space="preserve"> יכולים הציבור לנהוג המנהג שיראה בעיניהם שיהא בו תקנה לציבור</w:t>
      </w:r>
      <w:r w:rsidRPr="005A5D3E">
        <w:rPr>
          <w:rFonts w:cs="Arial" w:hint="cs"/>
          <w:rtl/>
        </w:rPr>
        <w:t>,</w:t>
      </w:r>
      <w:r w:rsidRPr="005A5D3E">
        <w:rPr>
          <w:rFonts w:cs="Arial"/>
          <w:rtl/>
        </w:rPr>
        <w:t xml:space="preserve"> כמו יחידים שקבלו עליהם בקנין קרוב או פסול. </w:t>
      </w:r>
      <w:r w:rsidRPr="001E3B86">
        <w:rPr>
          <w:rFonts w:hint="cs"/>
          <w:color w:val="E36C0A" w:themeColor="accent6" w:themeShade="BF"/>
          <w:rtl/>
        </w:rPr>
        <w:t>(וכ"פ בשו"ע)</w:t>
      </w:r>
      <w:r w:rsidRPr="006D70E2">
        <w:rPr>
          <w:rFonts w:hint="cs"/>
          <w:color w:val="00B0F0"/>
          <w:rtl/>
        </w:rPr>
        <w:t xml:space="preserve"> (וכ"פ הרמ"א)</w:t>
      </w:r>
    </w:p>
    <w:p w14:paraId="3EDE2D72" w14:textId="77777777" w:rsidR="004B607F" w:rsidRPr="005A5D3E" w:rsidRDefault="004B607F" w:rsidP="004B607F">
      <w:pPr>
        <w:rPr>
          <w:rFonts w:cs="Arial"/>
          <w:u w:val="single"/>
        </w:rPr>
      </w:pPr>
      <w:r w:rsidRPr="005A5D3E">
        <w:rPr>
          <w:rFonts w:hint="cs"/>
          <w:u w:val="single"/>
          <w:rtl/>
        </w:rPr>
        <w:t>קהל שהסכימו ליתן כח לסופר כב' עדים</w:t>
      </w:r>
      <w:r>
        <w:rPr>
          <w:rFonts w:cs="Arial" w:hint="cs"/>
          <w:u w:val="single"/>
          <w:rtl/>
        </w:rPr>
        <w:t xml:space="preserve"> במקרה שיפטר העד</w:t>
      </w:r>
      <w:r w:rsidRPr="005A5D3E">
        <w:rPr>
          <w:rFonts w:cs="Arial" w:hint="cs"/>
          <w:u w:val="single"/>
          <w:rtl/>
        </w:rPr>
        <w:t>:</w:t>
      </w:r>
    </w:p>
    <w:p w14:paraId="6C82512B" w14:textId="77777777" w:rsidR="004B607F" w:rsidRPr="005A5D3E" w:rsidRDefault="004B607F" w:rsidP="004B0475">
      <w:pPr>
        <w:pStyle w:val="ac"/>
        <w:numPr>
          <w:ilvl w:val="0"/>
          <w:numId w:val="79"/>
        </w:numPr>
        <w:rPr>
          <w:rFonts w:cs="Arial"/>
          <w:rtl/>
        </w:rPr>
      </w:pPr>
      <w:r w:rsidRPr="005A5D3E">
        <w:rPr>
          <w:rFonts w:cs="Arial"/>
          <w:rtl/>
        </w:rPr>
        <w:t xml:space="preserve">רשב"א </w:t>
      </w:r>
      <w:r w:rsidRPr="005A5D3E">
        <w:rPr>
          <w:rFonts w:cs="Arial"/>
          <w:sz w:val="16"/>
          <w:szCs w:val="16"/>
          <w:rtl/>
        </w:rPr>
        <w:t>(ח"א סימן תשכט)</w:t>
      </w:r>
      <w:r w:rsidRPr="005A5D3E">
        <w:rPr>
          <w:rFonts w:cs="Arial" w:hint="cs"/>
          <w:rtl/>
        </w:rPr>
        <w:t>-</w:t>
      </w:r>
      <w:r w:rsidRPr="005A5D3E">
        <w:rPr>
          <w:rFonts w:cs="Arial"/>
          <w:rtl/>
        </w:rPr>
        <w:t xml:space="preserve"> קהל שתקנו שאם יפטר העד שהוזמן לחתום עם הסופר שתעלה חתימת הסופר כשני עדים </w:t>
      </w:r>
      <w:r>
        <w:rPr>
          <w:rFonts w:cs="Arial" w:hint="cs"/>
          <w:rtl/>
        </w:rPr>
        <w:t xml:space="preserve">- </w:t>
      </w:r>
      <w:r w:rsidRPr="005A5D3E">
        <w:rPr>
          <w:rFonts w:cs="Arial"/>
          <w:rtl/>
        </w:rPr>
        <w:t>תקנתם קיימת</w:t>
      </w:r>
      <w:r w:rsidRPr="005A5D3E">
        <w:rPr>
          <w:rFonts w:cs="Arial" w:hint="cs"/>
          <w:rtl/>
        </w:rPr>
        <w:t>.</w:t>
      </w:r>
      <w:r w:rsidRPr="006D70E2">
        <w:rPr>
          <w:rFonts w:hint="cs"/>
          <w:color w:val="E36C0A" w:themeColor="accent6" w:themeShade="BF"/>
          <w:rtl/>
        </w:rPr>
        <w:t xml:space="preserve"> </w:t>
      </w:r>
      <w:r w:rsidRPr="001E3B86">
        <w:rPr>
          <w:rFonts w:hint="cs"/>
          <w:color w:val="E36C0A" w:themeColor="accent6" w:themeShade="BF"/>
          <w:rtl/>
        </w:rPr>
        <w:t>(וכ"פ בשו"ע)</w:t>
      </w:r>
      <w:r w:rsidRPr="006D70E2">
        <w:rPr>
          <w:rFonts w:hint="cs"/>
          <w:color w:val="00B0F0"/>
          <w:rtl/>
        </w:rPr>
        <w:t xml:space="preserve"> (וכ"פ הרמ"א)</w:t>
      </w:r>
    </w:p>
    <w:p w14:paraId="5E70C7E5" w14:textId="77777777" w:rsidR="004B607F" w:rsidRPr="003024E5" w:rsidRDefault="004B607F" w:rsidP="004B607F">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27B17DFA" w14:textId="77777777" w:rsidR="004B607F" w:rsidRDefault="004B607F" w:rsidP="004B607F">
      <w:pPr>
        <w:rPr>
          <w:rFonts w:cs="Arial"/>
          <w:sz w:val="18"/>
          <w:szCs w:val="18"/>
          <w:rtl/>
        </w:rPr>
      </w:pPr>
      <w:r>
        <w:rPr>
          <w:rFonts w:cs="Arial"/>
          <w:rtl/>
        </w:rPr>
        <w:t>אם רצו הצבור לתקן שהשני סופרים מקבלים עדות ומגבין על פיהם</w:t>
      </w:r>
      <w:r>
        <w:rPr>
          <w:rFonts w:cs="Arial" w:hint="cs"/>
          <w:rtl/>
        </w:rPr>
        <w:t>,</w:t>
      </w:r>
      <w:r>
        <w:rPr>
          <w:rFonts w:cs="Arial"/>
          <w:rtl/>
        </w:rPr>
        <w:t xml:space="preserve"> וכן אם רצו שאם יפטר העד שהוזמן להעיד עם הסופר שתעלה חתימת הסופר כשני עדים</w:t>
      </w:r>
      <w:r>
        <w:rPr>
          <w:rStyle w:val="ab"/>
          <w:rFonts w:cs="Arial"/>
          <w:rtl/>
        </w:rPr>
        <w:footnoteReference w:id="1547"/>
      </w:r>
      <w:r>
        <w:rPr>
          <w:rFonts w:cs="Arial"/>
          <w:rtl/>
        </w:rPr>
        <w:t xml:space="preserve">, תקנתם קיימת. </w:t>
      </w:r>
      <w:r w:rsidRPr="00221BFB">
        <w:rPr>
          <w:rFonts w:cs="Arial"/>
          <w:sz w:val="18"/>
          <w:szCs w:val="18"/>
          <w:rtl/>
        </w:rPr>
        <w:t xml:space="preserve">הגה: כי בכל דברים כאלה רשות לצבור לתקן בעירם הטוב בעיניהם. </w:t>
      </w:r>
    </w:p>
    <w:p w14:paraId="5F3A94DE" w14:textId="77777777" w:rsidR="004B607F" w:rsidRDefault="004B607F" w:rsidP="004B607F">
      <w:pPr>
        <w:rPr>
          <w:rtl/>
        </w:rPr>
      </w:pPr>
    </w:p>
    <w:p w14:paraId="656DF990" w14:textId="77777777" w:rsidR="004B607F" w:rsidRDefault="004B607F" w:rsidP="004B607F">
      <w:pPr>
        <w:pStyle w:val="2"/>
        <w:rPr>
          <w:rtl/>
        </w:rPr>
      </w:pPr>
      <w:bookmarkStart w:id="224" w:name="_Toc24883698"/>
      <w:r>
        <w:rPr>
          <w:rtl/>
        </w:rPr>
        <w:t>סעיף כד</w:t>
      </w:r>
      <w:r>
        <w:rPr>
          <w:rFonts w:hint="cs"/>
          <w:rtl/>
        </w:rPr>
        <w:t>: האומר שיש לו ב' כיתי עדים, וא' כפרה. זמן קבלת עדות.</w:t>
      </w:r>
      <w:bookmarkEnd w:id="224"/>
    </w:p>
    <w:p w14:paraId="470BFF40" w14:textId="77777777" w:rsidR="004B607F" w:rsidRPr="00624454" w:rsidRDefault="004B607F" w:rsidP="004B607F">
      <w:pPr>
        <w:rPr>
          <w:rFonts w:cs="Arial"/>
          <w:rtl/>
        </w:rPr>
      </w:pPr>
      <w:r>
        <w:rPr>
          <w:rFonts w:cs="Arial" w:hint="cs"/>
          <w:b/>
          <w:bCs/>
          <w:rtl/>
        </w:rPr>
        <w:t xml:space="preserve">סנהדרין </w:t>
      </w:r>
      <w:r w:rsidRPr="00624454">
        <w:rPr>
          <w:rFonts w:cs="Arial" w:hint="cs"/>
          <w:b/>
          <w:bCs/>
          <w:sz w:val="16"/>
          <w:szCs w:val="16"/>
          <w:rtl/>
        </w:rPr>
        <w:t>(</w:t>
      </w:r>
      <w:r>
        <w:rPr>
          <w:rFonts w:cs="Arial" w:hint="cs"/>
          <w:b/>
          <w:bCs/>
          <w:sz w:val="16"/>
          <w:szCs w:val="16"/>
          <w:rtl/>
        </w:rPr>
        <w:t>ר"פ</w:t>
      </w:r>
      <w:r w:rsidRPr="00624454">
        <w:rPr>
          <w:rFonts w:cs="Arial" w:hint="cs"/>
          <w:b/>
          <w:bCs/>
          <w:sz w:val="16"/>
          <w:szCs w:val="16"/>
          <w:rtl/>
        </w:rPr>
        <w:t xml:space="preserve"> זה בורר) </w:t>
      </w:r>
      <w:r>
        <w:rPr>
          <w:rFonts w:cs="Arial" w:hint="cs"/>
          <w:b/>
          <w:bCs/>
          <w:rtl/>
        </w:rPr>
        <w:t xml:space="preserve">כג ע"ב: </w:t>
      </w:r>
      <w:r>
        <w:rPr>
          <w:rFonts w:cs="Arial" w:hint="cs"/>
          <w:u w:val="double"/>
          <w:rtl/>
        </w:rPr>
        <w:t>משנה</w:t>
      </w:r>
      <w:r w:rsidRPr="00624454">
        <w:rPr>
          <w:rFonts w:cs="Arial" w:hint="cs"/>
          <w:u w:val="double"/>
          <w:rtl/>
        </w:rPr>
        <w:t>:</w:t>
      </w:r>
      <w:r>
        <w:rPr>
          <w:rFonts w:cs="Arial" w:hint="cs"/>
          <w:rtl/>
        </w:rPr>
        <w:t xml:space="preserve">... </w:t>
      </w:r>
      <w:r w:rsidRPr="00624454">
        <w:rPr>
          <w:rFonts w:cs="Arial"/>
          <w:rtl/>
        </w:rPr>
        <w:t xml:space="preserve">זה פוסל עדיו של זה, וזה פוסל עדיו של זה, </w:t>
      </w:r>
      <w:r w:rsidRPr="003917C7">
        <w:rPr>
          <w:rFonts w:cs="Arial"/>
          <w:u w:val="single"/>
          <w:rtl/>
        </w:rPr>
        <w:t>דברי רבי מאיר</w:t>
      </w:r>
      <w:r w:rsidRPr="00624454">
        <w:rPr>
          <w:rFonts w:cs="Arial"/>
          <w:rtl/>
        </w:rPr>
        <w:t xml:space="preserve">, </w:t>
      </w:r>
      <w:r w:rsidRPr="003917C7">
        <w:rPr>
          <w:rFonts w:cs="Arial"/>
          <w:u w:val="single"/>
          <w:rtl/>
        </w:rPr>
        <w:t>וחכמים אומרים</w:t>
      </w:r>
      <w:r w:rsidRPr="00624454">
        <w:rPr>
          <w:rFonts w:cs="Arial"/>
          <w:rtl/>
        </w:rPr>
        <w:t>: אימתי - בזמן שמביא עליהן ראיה שהן קרובין או פסולין, אבל אם היו כשרין - אינו יכול לפוסלן.</w:t>
      </w:r>
      <w:r>
        <w:rPr>
          <w:rFonts w:cs="Arial" w:hint="cs"/>
          <w:rtl/>
        </w:rPr>
        <w:t xml:space="preserve">..     </w:t>
      </w:r>
      <w:r w:rsidRPr="00624454">
        <w:rPr>
          <w:rFonts w:cs="Arial" w:hint="cs"/>
          <w:u w:val="double"/>
          <w:rtl/>
        </w:rPr>
        <w:t>גמרא</w:t>
      </w:r>
      <w:r w:rsidRPr="00624454">
        <w:rPr>
          <w:rFonts w:cs="Arial" w:hint="cs"/>
          <w:sz w:val="14"/>
          <w:szCs w:val="14"/>
          <w:u w:val="double"/>
          <w:rtl/>
        </w:rPr>
        <w:t xml:space="preserve"> (כג:)</w:t>
      </w:r>
      <w:r w:rsidRPr="00624454">
        <w:rPr>
          <w:rFonts w:cs="Arial" w:hint="cs"/>
          <w:u w:val="double"/>
          <w:rtl/>
        </w:rPr>
        <w:t>:</w:t>
      </w:r>
      <w:r w:rsidRPr="00624454">
        <w:rPr>
          <w:rFonts w:cs="Arial"/>
          <w:rtl/>
        </w:rPr>
        <w:t xml:space="preserve"> </w:t>
      </w:r>
      <w:r w:rsidRPr="00624454">
        <w:rPr>
          <w:rFonts w:cs="Arial"/>
          <w:u w:val="single"/>
          <w:rtl/>
        </w:rPr>
        <w:t>כי אתא רב דימי אמר רבי יוחנן</w:t>
      </w:r>
      <w:r w:rsidRPr="00624454">
        <w:rPr>
          <w:rFonts w:cs="Arial"/>
          <w:rtl/>
        </w:rPr>
        <w:t>: מחלוקת בשתי כיתי עדים</w:t>
      </w:r>
      <w:r>
        <w:rPr>
          <w:rStyle w:val="ab"/>
          <w:rFonts w:cs="Arial"/>
          <w:rtl/>
        </w:rPr>
        <w:footnoteReference w:id="1548"/>
      </w:r>
      <w:r w:rsidRPr="00624454">
        <w:rPr>
          <w:rFonts w:cs="Arial"/>
          <w:rtl/>
        </w:rPr>
        <w:t>, דרבי מאיר סבר: צריך לברר, ורבנן סברי: אינו צריך לברר</w:t>
      </w:r>
      <w:r>
        <w:rPr>
          <w:rStyle w:val="ab"/>
          <w:rFonts w:cs="Arial"/>
          <w:rtl/>
        </w:rPr>
        <w:footnoteReference w:id="1549"/>
      </w:r>
      <w:r w:rsidRPr="00624454">
        <w:rPr>
          <w:rFonts w:cs="Arial"/>
          <w:rtl/>
        </w:rPr>
        <w:t>. אבל בכת אחת - דברי הכל אין יכול לפוסלן.</w:t>
      </w:r>
    </w:p>
    <w:p w14:paraId="324C1058" w14:textId="77777777" w:rsidR="004B607F" w:rsidRPr="00D512FC" w:rsidRDefault="004B607F" w:rsidP="004B607F">
      <w:pPr>
        <w:rPr>
          <w:rFonts w:cs="Arial"/>
          <w:u w:val="single"/>
          <w:rtl/>
        </w:rPr>
      </w:pPr>
      <w:r w:rsidRPr="00D512FC">
        <w:rPr>
          <w:rFonts w:cs="Arial"/>
          <w:u w:val="single"/>
          <w:rtl/>
        </w:rPr>
        <w:t>הטוען שיש לו שני כיתי עדים</w:t>
      </w:r>
      <w:r>
        <w:rPr>
          <w:rFonts w:cs="Arial" w:hint="cs"/>
          <w:u w:val="single"/>
          <w:rtl/>
        </w:rPr>
        <w:t>:</w:t>
      </w:r>
    </w:p>
    <w:p w14:paraId="2B1BCE7F" w14:textId="77777777" w:rsidR="004B607F" w:rsidRPr="00254C2E" w:rsidRDefault="004B607F" w:rsidP="004B0475">
      <w:pPr>
        <w:pStyle w:val="ac"/>
        <w:numPr>
          <w:ilvl w:val="0"/>
          <w:numId w:val="79"/>
        </w:numPr>
        <w:rPr>
          <w:rFonts w:cs="Arial"/>
        </w:rPr>
      </w:pPr>
      <w:r w:rsidRPr="00254C2E">
        <w:rPr>
          <w:rFonts w:cs="Arial" w:hint="cs"/>
          <w:rtl/>
        </w:rPr>
        <w:t xml:space="preserve">רי"ו </w:t>
      </w:r>
      <w:r w:rsidRPr="00254C2E">
        <w:rPr>
          <w:rFonts w:cs="Arial" w:hint="cs"/>
          <w:sz w:val="16"/>
          <w:szCs w:val="16"/>
          <w:rtl/>
        </w:rPr>
        <w:t>(</w:t>
      </w:r>
      <w:r w:rsidRPr="00254C2E">
        <w:rPr>
          <w:rFonts w:cs="Arial"/>
          <w:sz w:val="16"/>
          <w:szCs w:val="16"/>
          <w:rtl/>
        </w:rPr>
        <w:t>מישרים נ"ב ח"ב יא ע"ד)</w:t>
      </w:r>
      <w:r w:rsidRPr="00254C2E">
        <w:rPr>
          <w:rFonts w:cs="Arial" w:hint="cs"/>
          <w:rtl/>
        </w:rPr>
        <w:t xml:space="preserve">- </w:t>
      </w:r>
      <w:r w:rsidRPr="00254C2E">
        <w:rPr>
          <w:rFonts w:cs="Arial"/>
          <w:rtl/>
        </w:rPr>
        <w:t>הטוען שיש לו שני כיתי עדים</w:t>
      </w:r>
      <w:r w:rsidRPr="00254C2E">
        <w:rPr>
          <w:rFonts w:cs="Arial" w:hint="cs"/>
          <w:rtl/>
        </w:rPr>
        <w:t>,</w:t>
      </w:r>
      <w:r w:rsidRPr="00254C2E">
        <w:rPr>
          <w:rFonts w:cs="Arial"/>
          <w:rtl/>
        </w:rPr>
        <w:t xml:space="preserve"> ואמר הכת האחד שאינו יודע כלום </w:t>
      </w:r>
      <w:r w:rsidRPr="00254C2E">
        <w:rPr>
          <w:rFonts w:cs="Arial" w:hint="cs"/>
          <w:rtl/>
        </w:rPr>
        <w:t xml:space="preserve">- </w:t>
      </w:r>
      <w:r w:rsidRPr="00254C2E">
        <w:rPr>
          <w:rFonts w:cs="Arial"/>
          <w:rtl/>
        </w:rPr>
        <w:t>לא הפסיד בזה זכותו ומביא כת שניה</w:t>
      </w:r>
      <w:r w:rsidRPr="00254C2E">
        <w:rPr>
          <w:rFonts w:cs="Arial" w:hint="cs"/>
          <w:rtl/>
        </w:rPr>
        <w:t xml:space="preserve">. </w:t>
      </w:r>
      <w:r w:rsidRPr="00254C2E">
        <w:rPr>
          <w:rFonts w:hint="cs"/>
          <w:color w:val="E36C0A" w:themeColor="accent6" w:themeShade="BF"/>
          <w:rtl/>
        </w:rPr>
        <w:t>(וכ"פ בשו"ע)</w:t>
      </w:r>
    </w:p>
    <w:p w14:paraId="64CD9F66" w14:textId="77777777" w:rsidR="004B607F" w:rsidRDefault="004B607F" w:rsidP="004B0475">
      <w:pPr>
        <w:pStyle w:val="ac"/>
        <w:numPr>
          <w:ilvl w:val="0"/>
          <w:numId w:val="79"/>
        </w:numPr>
        <w:rPr>
          <w:rFonts w:cs="Arial"/>
        </w:rPr>
      </w:pPr>
      <w:r>
        <w:rPr>
          <w:rFonts w:cs="Arial" w:hint="cs"/>
          <w:rtl/>
        </w:rPr>
        <w:t xml:space="preserve">הג"א </w:t>
      </w:r>
      <w:r w:rsidRPr="00624454">
        <w:rPr>
          <w:rFonts w:cs="Arial" w:hint="cs"/>
          <w:sz w:val="16"/>
          <w:szCs w:val="16"/>
          <w:rtl/>
        </w:rPr>
        <w:t>(פ"ג סי' ד</w:t>
      </w:r>
      <w:r>
        <w:rPr>
          <w:rFonts w:cs="Arial" w:hint="cs"/>
          <w:sz w:val="16"/>
          <w:szCs w:val="16"/>
          <w:rtl/>
        </w:rPr>
        <w:t xml:space="preserve"> אות ז, הב"י בסוף סי' לא כתב לעיין בדבריו</w:t>
      </w:r>
      <w:r w:rsidRPr="00624454">
        <w:rPr>
          <w:rFonts w:cs="Arial" w:hint="cs"/>
          <w:sz w:val="16"/>
          <w:szCs w:val="16"/>
          <w:rtl/>
        </w:rPr>
        <w:t>)</w:t>
      </w:r>
      <w:r>
        <w:rPr>
          <w:rFonts w:cs="Arial" w:hint="cs"/>
          <w:rtl/>
        </w:rPr>
        <w:t xml:space="preserve">- </w:t>
      </w:r>
      <w:r w:rsidRPr="00292BFE">
        <w:rPr>
          <w:rFonts w:cs="Arial"/>
          <w:rtl/>
        </w:rPr>
        <w:t xml:space="preserve">הבא לידון בשטר ובחזקה </w:t>
      </w:r>
      <w:r>
        <w:rPr>
          <w:rFonts w:cs="Arial" w:hint="cs"/>
          <w:rtl/>
        </w:rPr>
        <w:t xml:space="preserve">- </w:t>
      </w:r>
      <w:r w:rsidRPr="00292BFE">
        <w:rPr>
          <w:rFonts w:cs="Arial"/>
          <w:rtl/>
        </w:rPr>
        <w:t>נדון אף בחזקה ובלא שטרא</w:t>
      </w:r>
      <w:r>
        <w:rPr>
          <w:rFonts w:cs="Arial" w:hint="cs"/>
          <w:rtl/>
        </w:rPr>
        <w:t>.</w:t>
      </w:r>
      <w:r w:rsidRPr="00292BFE">
        <w:rPr>
          <w:rFonts w:cs="Arial"/>
          <w:rtl/>
        </w:rPr>
        <w:t xml:space="preserve"> והאומר פרעתי בפני פלוני ופלוני </w:t>
      </w:r>
      <w:r>
        <w:rPr>
          <w:rFonts w:cs="Arial" w:hint="cs"/>
          <w:rtl/>
        </w:rPr>
        <w:t xml:space="preserve">- </w:t>
      </w:r>
      <w:r w:rsidRPr="00292BFE">
        <w:rPr>
          <w:rFonts w:cs="Arial"/>
          <w:rtl/>
        </w:rPr>
        <w:t>אין צריך שיבאו פלוני ופלוני ויעידו</w:t>
      </w:r>
      <w:r>
        <w:rPr>
          <w:rFonts w:cs="Arial" w:hint="cs"/>
          <w:rtl/>
        </w:rPr>
        <w:t>,</w:t>
      </w:r>
      <w:r w:rsidRPr="00292BFE">
        <w:rPr>
          <w:rFonts w:cs="Arial"/>
          <w:rtl/>
        </w:rPr>
        <w:t xml:space="preserve"> ולא עוד אלא אפילו אותו פלוני ופלוני אמרו להד"מ </w:t>
      </w:r>
      <w:r>
        <w:rPr>
          <w:rFonts w:cs="Arial" w:hint="cs"/>
          <w:rtl/>
        </w:rPr>
        <w:t xml:space="preserve">- </w:t>
      </w:r>
      <w:r w:rsidRPr="00292BFE">
        <w:rPr>
          <w:rFonts w:cs="Arial"/>
          <w:rtl/>
        </w:rPr>
        <w:t>נשבע ופטור</w:t>
      </w:r>
      <w:r>
        <w:rPr>
          <w:rFonts w:cs="Arial" w:hint="cs"/>
          <w:rtl/>
        </w:rPr>
        <w:t>.</w:t>
      </w:r>
      <w:r w:rsidRPr="00292BFE">
        <w:rPr>
          <w:rFonts w:cs="Arial"/>
          <w:rtl/>
        </w:rPr>
        <w:t xml:space="preserve"> והבא לידון בשתי כתי עדים </w:t>
      </w:r>
      <w:r>
        <w:rPr>
          <w:rFonts w:cs="Arial" w:hint="cs"/>
          <w:rtl/>
        </w:rPr>
        <w:t xml:space="preserve">- </w:t>
      </w:r>
      <w:r w:rsidRPr="00292BFE">
        <w:rPr>
          <w:rFonts w:cs="Arial"/>
          <w:rtl/>
        </w:rPr>
        <w:t>די בכת אחת</w:t>
      </w:r>
      <w:r>
        <w:rPr>
          <w:rFonts w:cs="Arial" w:hint="cs"/>
          <w:rtl/>
        </w:rPr>
        <w:t>,</w:t>
      </w:r>
      <w:r w:rsidRPr="00292BFE">
        <w:rPr>
          <w:rFonts w:cs="Arial"/>
          <w:rtl/>
        </w:rPr>
        <w:t xml:space="preserve"> ובעל דין ואחר מצטרפין לפסול הכת אחת</w:t>
      </w:r>
      <w:r>
        <w:rPr>
          <w:rFonts w:cs="Arial" w:hint="cs"/>
          <w:rtl/>
        </w:rPr>
        <w:t>.</w:t>
      </w:r>
      <w:r w:rsidRPr="00292BFE">
        <w:rPr>
          <w:rFonts w:cs="Arial"/>
          <w:rtl/>
        </w:rPr>
        <w:t xml:space="preserve"> ולפרש"י הבא לידון בשטר ובחזקה אפילו יש לו עידי חזקה</w:t>
      </w:r>
      <w:r>
        <w:rPr>
          <w:rFonts w:cs="Arial" w:hint="cs"/>
          <w:rtl/>
        </w:rPr>
        <w:t>,</w:t>
      </w:r>
      <w:r w:rsidRPr="00292BFE">
        <w:rPr>
          <w:rFonts w:cs="Arial"/>
          <w:rtl/>
        </w:rPr>
        <w:t xml:space="preserve"> אם לא יביא שטר</w:t>
      </w:r>
      <w:r>
        <w:rPr>
          <w:rFonts w:cs="Arial" w:hint="cs"/>
          <w:rtl/>
        </w:rPr>
        <w:t xml:space="preserve"> </w:t>
      </w:r>
      <w:r>
        <w:rPr>
          <w:rFonts w:cs="Arial"/>
          <w:rtl/>
        </w:rPr>
        <w:t>–</w:t>
      </w:r>
      <w:r w:rsidRPr="00292BFE">
        <w:rPr>
          <w:rFonts w:cs="Arial"/>
          <w:rtl/>
        </w:rPr>
        <w:t xml:space="preserve"> יפסיד</w:t>
      </w:r>
      <w:r>
        <w:rPr>
          <w:rFonts w:cs="Arial" w:hint="cs"/>
          <w:rtl/>
        </w:rPr>
        <w:t>.</w:t>
      </w:r>
      <w:r w:rsidRPr="00292BFE">
        <w:rPr>
          <w:rFonts w:cs="Arial"/>
          <w:rtl/>
        </w:rPr>
        <w:t xml:space="preserve"> והאומר פרעתי בפני פלוני ופלוני </w:t>
      </w:r>
      <w:r>
        <w:rPr>
          <w:rFonts w:cs="Arial" w:hint="cs"/>
          <w:rtl/>
        </w:rPr>
        <w:t xml:space="preserve">- </w:t>
      </w:r>
      <w:r w:rsidRPr="00292BFE">
        <w:rPr>
          <w:rFonts w:cs="Arial"/>
          <w:rtl/>
        </w:rPr>
        <w:t>אין נאמן אפילו בשבועה עד שיבאו פלוני ופלוני ויעידו</w:t>
      </w:r>
      <w:r>
        <w:rPr>
          <w:rFonts w:cs="Arial" w:hint="cs"/>
          <w:rtl/>
        </w:rPr>
        <w:t>.</w:t>
      </w:r>
      <w:r w:rsidRPr="00292BFE">
        <w:rPr>
          <w:rFonts w:cs="Arial"/>
          <w:rtl/>
        </w:rPr>
        <w:t xml:space="preserve"> והבא לידון בשתי כתי עדים </w:t>
      </w:r>
      <w:r>
        <w:rPr>
          <w:rFonts w:cs="Arial" w:hint="cs"/>
          <w:rtl/>
        </w:rPr>
        <w:t xml:space="preserve">- </w:t>
      </w:r>
      <w:r w:rsidRPr="00292BFE">
        <w:rPr>
          <w:rFonts w:cs="Arial"/>
          <w:rtl/>
        </w:rPr>
        <w:t>צריך להביא שתי כתי עדים כשירים</w:t>
      </w:r>
      <w:r>
        <w:rPr>
          <w:rFonts w:cs="Arial" w:hint="cs"/>
          <w:rtl/>
        </w:rPr>
        <w:t>,</w:t>
      </w:r>
      <w:r w:rsidRPr="00292BFE">
        <w:rPr>
          <w:rFonts w:cs="Arial"/>
          <w:rtl/>
        </w:rPr>
        <w:t xml:space="preserve"> ואם לאו יפסיד</w:t>
      </w:r>
      <w:r>
        <w:rPr>
          <w:rStyle w:val="ab"/>
          <w:rFonts w:cs="Arial"/>
          <w:rtl/>
        </w:rPr>
        <w:footnoteReference w:id="1550"/>
      </w:r>
      <w:r>
        <w:rPr>
          <w:rFonts w:cs="Arial" w:hint="cs"/>
          <w:rtl/>
        </w:rPr>
        <w:t>,</w:t>
      </w:r>
      <w:r w:rsidRPr="00292BFE">
        <w:rPr>
          <w:rFonts w:cs="Arial"/>
          <w:rtl/>
        </w:rPr>
        <w:t xml:space="preserve"> ואין בעל דין ואחר מצטרפין לפסול כת ראשונה. מא"ז ע"כ</w:t>
      </w:r>
      <w:r w:rsidRPr="00624454">
        <w:rPr>
          <w:rFonts w:cs="Arial"/>
          <w:rtl/>
        </w:rPr>
        <w:t>.</w:t>
      </w:r>
    </w:p>
    <w:p w14:paraId="3F68EDE9" w14:textId="77777777" w:rsidR="004B607F" w:rsidRPr="00425AE0" w:rsidRDefault="004B607F" w:rsidP="004B607F">
      <w:pPr>
        <w:rPr>
          <w:rFonts w:cs="Arial"/>
          <w:u w:val="single"/>
        </w:rPr>
      </w:pPr>
      <w:r w:rsidRPr="00425AE0">
        <w:rPr>
          <w:rFonts w:cs="Arial" w:hint="cs"/>
          <w:u w:val="single"/>
          <w:rtl/>
        </w:rPr>
        <w:t xml:space="preserve">עדים המעידים על שטר שנשרף </w:t>
      </w:r>
      <w:r w:rsidRPr="00425AE0">
        <w:rPr>
          <w:rFonts w:cs="Arial"/>
          <w:u w:val="single"/>
          <w:rtl/>
        </w:rPr>
        <w:t>–</w:t>
      </w:r>
      <w:r w:rsidRPr="00425AE0">
        <w:rPr>
          <w:rFonts w:cs="Arial" w:hint="cs"/>
          <w:u w:val="single"/>
          <w:rtl/>
        </w:rPr>
        <w:t xml:space="preserve"> מתי נאמנים:</w:t>
      </w:r>
    </w:p>
    <w:p w14:paraId="377BE607" w14:textId="77777777" w:rsidR="004B607F" w:rsidRDefault="004B607F" w:rsidP="004B0475">
      <w:pPr>
        <w:pStyle w:val="ac"/>
        <w:numPr>
          <w:ilvl w:val="0"/>
          <w:numId w:val="81"/>
        </w:numPr>
        <w:rPr>
          <w:rFonts w:cs="Arial"/>
        </w:rPr>
      </w:pPr>
      <w:r>
        <w:rPr>
          <w:rFonts w:cs="Arial" w:hint="cs"/>
          <w:rtl/>
        </w:rPr>
        <w:t xml:space="preserve">רי"ו </w:t>
      </w:r>
      <w:r>
        <w:rPr>
          <w:rFonts w:cs="Arial" w:hint="cs"/>
          <w:sz w:val="16"/>
          <w:szCs w:val="16"/>
          <w:rtl/>
        </w:rPr>
        <w:t>(שם)</w:t>
      </w:r>
      <w:r>
        <w:rPr>
          <w:rFonts w:cs="Arial" w:hint="cs"/>
          <w:rtl/>
        </w:rPr>
        <w:t xml:space="preserve">- </w:t>
      </w:r>
      <w:r w:rsidRPr="00425AE0">
        <w:rPr>
          <w:rFonts w:cs="Arial"/>
          <w:rtl/>
        </w:rPr>
        <w:t>עדים המעידים על שטר שנשרף ואינם עדי השטר וראו השטר והכירו חתימת העדים</w:t>
      </w:r>
      <w:r>
        <w:rPr>
          <w:rFonts w:cs="Arial" w:hint="cs"/>
          <w:rtl/>
        </w:rPr>
        <w:t xml:space="preserve"> </w:t>
      </w:r>
      <w:r>
        <w:rPr>
          <w:rFonts w:cs="Arial"/>
          <w:rtl/>
        </w:rPr>
        <w:t>–</w:t>
      </w:r>
      <w:r w:rsidRPr="00425AE0">
        <w:rPr>
          <w:rFonts w:cs="Arial"/>
          <w:rtl/>
        </w:rPr>
        <w:t xml:space="preserve"> די</w:t>
      </w:r>
      <w:r>
        <w:rPr>
          <w:rFonts w:cs="Arial" w:hint="cs"/>
          <w:sz w:val="18"/>
          <w:szCs w:val="18"/>
          <w:rtl/>
        </w:rPr>
        <w:t xml:space="preserve"> </w:t>
      </w:r>
      <w:r>
        <w:rPr>
          <w:rFonts w:cs="Arial" w:hint="cs"/>
          <w:sz w:val="16"/>
          <w:szCs w:val="16"/>
          <w:rtl/>
        </w:rPr>
        <w:t>{היינו שבזה הם נאמנים}</w:t>
      </w:r>
      <w:r>
        <w:rPr>
          <w:rFonts w:cs="Arial" w:hint="cs"/>
          <w:rtl/>
        </w:rPr>
        <w:t>.</w:t>
      </w:r>
      <w:r w:rsidRPr="00425AE0">
        <w:rPr>
          <w:rFonts w:cs="Arial"/>
          <w:rtl/>
        </w:rPr>
        <w:t xml:space="preserve"> ואם הם עדי השטר </w:t>
      </w:r>
      <w:r>
        <w:rPr>
          <w:rFonts w:cs="Arial" w:hint="cs"/>
          <w:rtl/>
        </w:rPr>
        <w:t xml:space="preserve">- </w:t>
      </w:r>
      <w:r w:rsidRPr="00425AE0">
        <w:rPr>
          <w:rFonts w:cs="Arial"/>
          <w:rtl/>
        </w:rPr>
        <w:t>צריכים לזכור ענין השטר</w:t>
      </w:r>
      <w:r>
        <w:rPr>
          <w:rStyle w:val="ab"/>
          <w:rFonts w:cs="Arial"/>
          <w:rtl/>
        </w:rPr>
        <w:footnoteReference w:id="1551"/>
      </w:r>
      <w:r>
        <w:rPr>
          <w:rFonts w:cs="Arial" w:hint="cs"/>
          <w:rtl/>
        </w:rPr>
        <w:t>.</w:t>
      </w:r>
    </w:p>
    <w:p w14:paraId="273460FA" w14:textId="77777777" w:rsidR="004B607F" w:rsidRDefault="004B607F" w:rsidP="004B607F">
      <w:pPr>
        <w:rPr>
          <w:rFonts w:cs="Arial"/>
          <w:rtl/>
        </w:rPr>
      </w:pPr>
      <w:r>
        <w:rPr>
          <w:rFonts w:cs="Arial" w:hint="cs"/>
          <w:u w:val="single"/>
          <w:rtl/>
        </w:rPr>
        <w:t xml:space="preserve">עד שאינו מצווה </w:t>
      </w:r>
      <w:r w:rsidRPr="00B059B0">
        <w:rPr>
          <w:rFonts w:cs="Arial" w:hint="cs"/>
          <w:u w:val="single"/>
          <w:rtl/>
        </w:rPr>
        <w:t>להעיד</w:t>
      </w:r>
      <w:r>
        <w:rPr>
          <w:rFonts w:cs="Arial" w:hint="cs"/>
          <w:u w:val="single"/>
          <w:rtl/>
        </w:rPr>
        <w:t xml:space="preserve"> ו</w:t>
      </w:r>
      <w:r w:rsidRPr="00B059B0">
        <w:rPr>
          <w:rFonts w:cs="Arial" w:hint="cs"/>
          <w:u w:val="single"/>
          <w:rtl/>
        </w:rPr>
        <w:t>נוטל שכר להעיד:</w:t>
      </w:r>
    </w:p>
    <w:p w14:paraId="1F7926C5" w14:textId="77777777" w:rsidR="004B607F" w:rsidRDefault="004B607F" w:rsidP="004B0475">
      <w:pPr>
        <w:pStyle w:val="ac"/>
        <w:numPr>
          <w:ilvl w:val="0"/>
          <w:numId w:val="79"/>
        </w:numPr>
        <w:rPr>
          <w:rtl/>
        </w:rPr>
      </w:pPr>
      <w:r w:rsidRPr="00B059B0">
        <w:rPr>
          <w:rFonts w:cs="Arial"/>
          <w:rtl/>
        </w:rPr>
        <w:t xml:space="preserve">רשב"א </w:t>
      </w:r>
      <w:r w:rsidRPr="00B059B0">
        <w:rPr>
          <w:rFonts w:cs="Arial"/>
          <w:sz w:val="16"/>
          <w:szCs w:val="16"/>
          <w:rtl/>
        </w:rPr>
        <w:t>(ח"ג סי' יא)</w:t>
      </w:r>
      <w:r w:rsidRPr="00B059B0">
        <w:rPr>
          <w:rFonts w:cs="Arial" w:hint="cs"/>
          <w:rtl/>
        </w:rPr>
        <w:t xml:space="preserve">- </w:t>
      </w:r>
      <w:r w:rsidRPr="00B059B0">
        <w:rPr>
          <w:rFonts w:cs="Arial"/>
          <w:rtl/>
        </w:rPr>
        <w:t>הא ד</w:t>
      </w:r>
      <w:r w:rsidRPr="00B059B0">
        <w:rPr>
          <w:rFonts w:cs="Arial" w:hint="cs"/>
          <w:rtl/>
        </w:rPr>
        <w:t>אמרו ש</w:t>
      </w:r>
      <w:r w:rsidRPr="00B059B0">
        <w:rPr>
          <w:rFonts w:cs="Arial"/>
          <w:rtl/>
        </w:rPr>
        <w:t>הנוטל שכר להעיד עדותו בטלה</w:t>
      </w:r>
      <w:r>
        <w:rPr>
          <w:rStyle w:val="ab"/>
          <w:rFonts w:cs="Arial"/>
          <w:rtl/>
        </w:rPr>
        <w:footnoteReference w:id="1552"/>
      </w:r>
      <w:r w:rsidRPr="00B059B0">
        <w:rPr>
          <w:rFonts w:cs="Arial"/>
          <w:rtl/>
        </w:rPr>
        <w:t xml:space="preserve"> נראה לי שלא אמרו אלא בעדים שנעשו עדים כבר</w:t>
      </w:r>
      <w:r>
        <w:rPr>
          <w:rFonts w:cs="Arial" w:hint="cs"/>
          <w:rtl/>
        </w:rPr>
        <w:t>,</w:t>
      </w:r>
      <w:r w:rsidRPr="00B059B0">
        <w:rPr>
          <w:rFonts w:cs="Arial"/>
          <w:rtl/>
        </w:rPr>
        <w:t xml:space="preserve"> שהם מצווים להעיד ולא רצו להעיד עד שנטלו שכר</w:t>
      </w:r>
      <w:r>
        <w:rPr>
          <w:rFonts w:cs="Arial" w:hint="cs"/>
          <w:rtl/>
        </w:rPr>
        <w:t>,</w:t>
      </w:r>
      <w:r w:rsidRPr="00B059B0">
        <w:rPr>
          <w:rFonts w:cs="Arial"/>
          <w:rtl/>
        </w:rPr>
        <w:t xml:space="preserve"> ודומיא דהנוטל שכרו לדון</w:t>
      </w:r>
      <w:r>
        <w:rPr>
          <w:rFonts w:cs="Arial" w:hint="cs"/>
          <w:rtl/>
        </w:rPr>
        <w:t>,</w:t>
      </w:r>
      <w:r w:rsidRPr="00B059B0">
        <w:rPr>
          <w:rFonts w:cs="Arial"/>
          <w:rtl/>
        </w:rPr>
        <w:t xml:space="preserve"> שמצוה על בית דין לדון בין איש לרעהו</w:t>
      </w:r>
      <w:r>
        <w:rPr>
          <w:rFonts w:cs="Arial" w:hint="cs"/>
          <w:rtl/>
        </w:rPr>
        <w:t>.</w:t>
      </w:r>
      <w:r w:rsidRPr="00B059B0">
        <w:rPr>
          <w:rFonts w:cs="Arial"/>
          <w:rtl/>
        </w:rPr>
        <w:t xml:space="preserve"> אבל מי שאינו מחוייב להעיד ונוטל שכר לילך ולהיות עד</w:t>
      </w:r>
      <w:r>
        <w:rPr>
          <w:rFonts w:cs="Arial" w:hint="cs"/>
          <w:rtl/>
        </w:rPr>
        <w:t xml:space="preserve"> -</w:t>
      </w:r>
      <w:r w:rsidRPr="00B059B0">
        <w:rPr>
          <w:rFonts w:cs="Arial"/>
          <w:rtl/>
        </w:rPr>
        <w:t xml:space="preserve"> אינו בדין זה לפי דעתי</w:t>
      </w:r>
      <w:r w:rsidRPr="00B059B0">
        <w:rPr>
          <w:rFonts w:cs="Arial" w:hint="cs"/>
          <w:rtl/>
        </w:rPr>
        <w:t>.</w:t>
      </w:r>
      <w:r>
        <w:rPr>
          <w:rFonts w:hint="cs"/>
          <w:rtl/>
        </w:rPr>
        <w:t xml:space="preserve"> </w:t>
      </w:r>
    </w:p>
    <w:p w14:paraId="05D12624" w14:textId="77777777" w:rsidR="004B607F" w:rsidRPr="00B059B0" w:rsidRDefault="004B607F" w:rsidP="004B607F">
      <w:pPr>
        <w:rPr>
          <w:rFonts w:cs="Arial"/>
          <w:u w:val="single"/>
        </w:rPr>
      </w:pPr>
      <w:r>
        <w:rPr>
          <w:rFonts w:cs="Arial" w:hint="cs"/>
          <w:u w:val="single"/>
          <w:rtl/>
        </w:rPr>
        <w:t>אין מקבלים עדות אלא ביום</w:t>
      </w:r>
      <w:r>
        <w:rPr>
          <w:rFonts w:cs="Arial" w:hint="cs"/>
          <w:sz w:val="16"/>
          <w:szCs w:val="16"/>
          <w:u w:val="single"/>
          <w:rtl/>
        </w:rPr>
        <w:t xml:space="preserve"> (לכו"ע)</w:t>
      </w:r>
      <w:r>
        <w:rPr>
          <w:rFonts w:cs="Arial" w:hint="cs"/>
          <w:u w:val="single"/>
          <w:rtl/>
        </w:rPr>
        <w:t xml:space="preserve"> </w:t>
      </w:r>
      <w:r>
        <w:rPr>
          <w:rFonts w:cs="Arial"/>
          <w:u w:val="single"/>
          <w:rtl/>
        </w:rPr>
        <w:t>–</w:t>
      </w:r>
      <w:r>
        <w:rPr>
          <w:rFonts w:cs="Arial" w:hint="cs"/>
          <w:u w:val="single"/>
          <w:rtl/>
        </w:rPr>
        <w:t xml:space="preserve"> מה הדין אם קבלוה בלילה</w:t>
      </w:r>
      <w:r w:rsidRPr="00B059B0">
        <w:rPr>
          <w:rFonts w:cs="Arial" w:hint="cs"/>
          <w:u w:val="single"/>
          <w:rtl/>
        </w:rPr>
        <w:t>:</w:t>
      </w:r>
    </w:p>
    <w:p w14:paraId="43B0ECFF" w14:textId="77777777" w:rsidR="004B607F" w:rsidRDefault="004B607F" w:rsidP="004B0475">
      <w:pPr>
        <w:pStyle w:val="ac"/>
        <w:numPr>
          <w:ilvl w:val="0"/>
          <w:numId w:val="79"/>
        </w:numPr>
        <w:rPr>
          <w:rFonts w:cs="Arial"/>
        </w:rPr>
      </w:pPr>
      <w:r w:rsidRPr="00B059B0">
        <w:rPr>
          <w:rFonts w:cs="Arial"/>
          <w:rtl/>
        </w:rPr>
        <w:t xml:space="preserve">רשב"א </w:t>
      </w:r>
      <w:r w:rsidRPr="00B059B0">
        <w:rPr>
          <w:rFonts w:cs="Arial"/>
          <w:sz w:val="16"/>
          <w:szCs w:val="16"/>
          <w:rtl/>
        </w:rPr>
        <w:t>(ח"ב סי' רצו)</w:t>
      </w:r>
      <w:r w:rsidRPr="00B059B0">
        <w:rPr>
          <w:rFonts w:cs="Arial" w:hint="cs"/>
          <w:sz w:val="16"/>
          <w:szCs w:val="16"/>
          <w:rtl/>
        </w:rPr>
        <w:t xml:space="preserve"> </w:t>
      </w:r>
      <w:r>
        <w:rPr>
          <w:rFonts w:cs="Arial" w:hint="cs"/>
          <w:rtl/>
        </w:rPr>
        <w:t>ורי"ו</w:t>
      </w:r>
      <w:r w:rsidRPr="00B059B0">
        <w:rPr>
          <w:rFonts w:cs="Arial"/>
          <w:rtl/>
        </w:rPr>
        <w:t xml:space="preserve"> </w:t>
      </w:r>
      <w:r w:rsidRPr="00B059B0">
        <w:rPr>
          <w:rFonts w:cs="Arial" w:hint="cs"/>
          <w:sz w:val="16"/>
          <w:szCs w:val="16"/>
          <w:rtl/>
        </w:rPr>
        <w:t>(</w:t>
      </w:r>
      <w:r w:rsidRPr="00B059B0">
        <w:rPr>
          <w:rFonts w:cs="Arial"/>
          <w:sz w:val="16"/>
          <w:szCs w:val="16"/>
          <w:rtl/>
        </w:rPr>
        <w:t>נ"ב ח"א יא:)</w:t>
      </w:r>
      <w:r>
        <w:rPr>
          <w:rFonts w:cs="Arial" w:hint="cs"/>
          <w:rtl/>
        </w:rPr>
        <w:t xml:space="preserve">- </w:t>
      </w:r>
      <w:r w:rsidRPr="00B059B0">
        <w:rPr>
          <w:rFonts w:cs="Arial"/>
          <w:rtl/>
        </w:rPr>
        <w:t xml:space="preserve">אם קבלוה בלילה </w:t>
      </w:r>
      <w:r>
        <w:rPr>
          <w:rFonts w:cs="Arial" w:hint="cs"/>
          <w:rtl/>
        </w:rPr>
        <w:t xml:space="preserve">- </w:t>
      </w:r>
      <w:r w:rsidRPr="00B059B0">
        <w:rPr>
          <w:rFonts w:cs="Arial"/>
          <w:rtl/>
        </w:rPr>
        <w:t xml:space="preserve">אין דנין על פיו. </w:t>
      </w:r>
      <w:r w:rsidRPr="0040787F">
        <w:rPr>
          <w:rFonts w:cs="Arial" w:hint="cs"/>
          <w:color w:val="E36C0A" w:themeColor="accent6" w:themeShade="BF"/>
          <w:rtl/>
        </w:rPr>
        <w:t>(וכ"פ בשו"ע)</w:t>
      </w:r>
    </w:p>
    <w:p w14:paraId="7580DC22" w14:textId="77777777" w:rsidR="004B607F" w:rsidRDefault="004B607F" w:rsidP="004B0475">
      <w:pPr>
        <w:pStyle w:val="ac"/>
        <w:numPr>
          <w:ilvl w:val="0"/>
          <w:numId w:val="79"/>
        </w:numPr>
        <w:rPr>
          <w:rFonts w:cs="Arial"/>
        </w:rPr>
      </w:pPr>
      <w:r w:rsidRPr="00B059B0">
        <w:rPr>
          <w:rFonts w:cs="Arial"/>
          <w:rtl/>
        </w:rPr>
        <w:t xml:space="preserve">רשב"ם </w:t>
      </w:r>
      <w:r w:rsidRPr="00B059B0">
        <w:rPr>
          <w:rFonts w:cs="Arial"/>
          <w:sz w:val="16"/>
          <w:szCs w:val="16"/>
          <w:rtl/>
        </w:rPr>
        <w:t>(ב"ב קיד. ד"ה אפילו הן)</w:t>
      </w:r>
      <w:r>
        <w:rPr>
          <w:rFonts w:cs="Arial" w:hint="cs"/>
          <w:rtl/>
        </w:rPr>
        <w:t>-</w:t>
      </w:r>
      <w:r w:rsidRPr="00B059B0">
        <w:rPr>
          <w:rFonts w:cs="Arial"/>
          <w:rtl/>
        </w:rPr>
        <w:t xml:space="preserve"> </w:t>
      </w:r>
      <w:r w:rsidRPr="00425AE0">
        <w:rPr>
          <w:rFonts w:cs="Arial"/>
          <w:rtl/>
        </w:rPr>
        <w:t xml:space="preserve">ב"ד שהעידו לפניהם עדות בלילה </w:t>
      </w:r>
      <w:r>
        <w:rPr>
          <w:rFonts w:cs="Arial" w:hint="cs"/>
          <w:rtl/>
        </w:rPr>
        <w:t xml:space="preserve">- </w:t>
      </w:r>
      <w:r w:rsidRPr="00425AE0">
        <w:rPr>
          <w:rFonts w:cs="Arial"/>
          <w:rtl/>
        </w:rPr>
        <w:t>עדות גמורה היא ויכולין לדון למחר ביום</w:t>
      </w:r>
      <w:r w:rsidRPr="00B059B0">
        <w:rPr>
          <w:rFonts w:cs="Arial"/>
          <w:rtl/>
        </w:rPr>
        <w:t>.</w:t>
      </w:r>
    </w:p>
    <w:p w14:paraId="6B89FAF6" w14:textId="77777777" w:rsidR="004B607F" w:rsidRPr="004A2FBC" w:rsidRDefault="004B607F" w:rsidP="004B607F">
      <w:pPr>
        <w:ind w:left="360"/>
        <w:rPr>
          <w:rFonts w:cs="Arial"/>
          <w:u w:val="dotted"/>
          <w:rtl/>
        </w:rPr>
      </w:pPr>
      <w:r>
        <w:rPr>
          <w:rFonts w:cs="Arial" w:hint="cs"/>
          <w:u w:val="dotted"/>
          <w:rtl/>
        </w:rPr>
        <w:t>ומה הדין אם לא הייתה אפשרות אחרת אלא לקבלם בלילה</w:t>
      </w:r>
      <w:r w:rsidRPr="004A2FBC">
        <w:rPr>
          <w:rFonts w:cs="Arial" w:hint="cs"/>
          <w:u w:val="dotted"/>
          <w:rtl/>
        </w:rPr>
        <w:t>:</w:t>
      </w:r>
    </w:p>
    <w:p w14:paraId="276D9DE3" w14:textId="77777777" w:rsidR="004B607F" w:rsidRPr="00425AE0" w:rsidRDefault="004B607F" w:rsidP="004B0475">
      <w:pPr>
        <w:pStyle w:val="ac"/>
        <w:numPr>
          <w:ilvl w:val="0"/>
          <w:numId w:val="79"/>
        </w:numPr>
        <w:rPr>
          <w:rFonts w:cs="Arial"/>
        </w:rPr>
      </w:pPr>
      <w:r w:rsidRPr="00B059B0">
        <w:rPr>
          <w:rFonts w:cs="Arial"/>
          <w:rtl/>
        </w:rPr>
        <w:t xml:space="preserve">רשב"א </w:t>
      </w:r>
      <w:r w:rsidRPr="00B059B0">
        <w:rPr>
          <w:rFonts w:cs="Arial"/>
          <w:sz w:val="16"/>
          <w:szCs w:val="16"/>
          <w:rtl/>
        </w:rPr>
        <w:t>(ח"ג סי' שכז</w:t>
      </w:r>
      <w:r>
        <w:rPr>
          <w:rFonts w:cs="Arial" w:hint="cs"/>
          <w:sz w:val="16"/>
          <w:szCs w:val="16"/>
          <w:rtl/>
        </w:rPr>
        <w:t>,</w:t>
      </w:r>
      <w:r w:rsidRPr="00B059B0">
        <w:rPr>
          <w:rFonts w:cs="Arial"/>
          <w:sz w:val="16"/>
          <w:szCs w:val="16"/>
          <w:rtl/>
        </w:rPr>
        <w:t xml:space="preserve"> ח"ה סי' קעה)</w:t>
      </w:r>
      <w:r>
        <w:rPr>
          <w:rFonts w:cs="Arial" w:hint="cs"/>
          <w:rtl/>
        </w:rPr>
        <w:t xml:space="preserve">- </w:t>
      </w:r>
      <w:r w:rsidRPr="00B059B0">
        <w:rPr>
          <w:rFonts w:cs="Arial"/>
          <w:rtl/>
        </w:rPr>
        <w:t xml:space="preserve">אפילו היו עדיו רדופים לילך למדינת הים </w:t>
      </w:r>
      <w:r>
        <w:rPr>
          <w:rFonts w:cs="Arial" w:hint="cs"/>
          <w:rtl/>
        </w:rPr>
        <w:t xml:space="preserve">- </w:t>
      </w:r>
      <w:r w:rsidRPr="00B059B0">
        <w:rPr>
          <w:rFonts w:cs="Arial"/>
          <w:rtl/>
        </w:rPr>
        <w:t>אין מקבלין עדות בלילה</w:t>
      </w:r>
      <w:r>
        <w:rPr>
          <w:rFonts w:cs="Arial" w:hint="cs"/>
          <w:rtl/>
        </w:rPr>
        <w:t>. ו</w:t>
      </w:r>
      <w:r w:rsidRPr="00425AE0">
        <w:rPr>
          <w:rFonts w:cs="Arial"/>
          <w:rtl/>
        </w:rPr>
        <w:t>אם קבלו</w:t>
      </w:r>
      <w:r>
        <w:rPr>
          <w:rFonts w:cs="Arial" w:hint="cs"/>
          <w:rtl/>
        </w:rPr>
        <w:t xml:space="preserve"> -</w:t>
      </w:r>
      <w:r w:rsidRPr="00425AE0">
        <w:rPr>
          <w:rFonts w:cs="Arial"/>
          <w:rtl/>
        </w:rPr>
        <w:t xml:space="preserve"> אין דנין על פי אותה קבלה. </w:t>
      </w:r>
      <w:r w:rsidRPr="0040787F">
        <w:rPr>
          <w:rFonts w:cs="Arial" w:hint="cs"/>
          <w:color w:val="E36C0A" w:themeColor="accent6" w:themeShade="BF"/>
          <w:rtl/>
        </w:rPr>
        <w:t>(וכ"פ בשו"ע)</w:t>
      </w:r>
    </w:p>
    <w:p w14:paraId="334EE44F" w14:textId="77777777" w:rsidR="004B607F" w:rsidRPr="004A2FBC" w:rsidRDefault="004B607F" w:rsidP="004B607F">
      <w:pPr>
        <w:ind w:left="360"/>
        <w:rPr>
          <w:rFonts w:cs="Arial"/>
          <w:u w:val="dotted"/>
          <w:rtl/>
        </w:rPr>
      </w:pPr>
      <w:r>
        <w:rPr>
          <w:rFonts w:cs="Arial" w:hint="cs"/>
          <w:u w:val="dotted"/>
          <w:rtl/>
        </w:rPr>
        <w:t xml:space="preserve">ומה הדין אם </w:t>
      </w:r>
      <w:r w:rsidRPr="004A2FBC">
        <w:rPr>
          <w:rFonts w:cs="Arial" w:hint="cs"/>
          <w:u w:val="dotted"/>
          <w:rtl/>
        </w:rPr>
        <w:t xml:space="preserve">הסכימו בעלי </w:t>
      </w:r>
      <w:r>
        <w:rPr>
          <w:rFonts w:cs="Arial" w:hint="cs"/>
          <w:u w:val="dotted"/>
          <w:rtl/>
        </w:rPr>
        <w:t>ה</w:t>
      </w:r>
      <w:r w:rsidRPr="004A2FBC">
        <w:rPr>
          <w:rFonts w:cs="Arial" w:hint="cs"/>
          <w:u w:val="dotted"/>
          <w:rtl/>
        </w:rPr>
        <w:t xml:space="preserve">דין לבית הדין לקבל </w:t>
      </w:r>
      <w:r>
        <w:rPr>
          <w:rFonts w:cs="Arial" w:hint="cs"/>
          <w:u w:val="dotted"/>
          <w:rtl/>
        </w:rPr>
        <w:t>את עדות ה</w:t>
      </w:r>
      <w:r w:rsidRPr="004A2FBC">
        <w:rPr>
          <w:rFonts w:cs="Arial" w:hint="cs"/>
          <w:u w:val="dotted"/>
          <w:rtl/>
        </w:rPr>
        <w:t>עדים בלילה:</w:t>
      </w:r>
    </w:p>
    <w:p w14:paraId="7499722E" w14:textId="77777777" w:rsidR="004B607F" w:rsidRPr="00425AE0" w:rsidRDefault="004B607F" w:rsidP="004B0475">
      <w:pPr>
        <w:pStyle w:val="ac"/>
        <w:numPr>
          <w:ilvl w:val="0"/>
          <w:numId w:val="79"/>
        </w:numPr>
        <w:rPr>
          <w:rFonts w:cs="Arial"/>
          <w:rtl/>
        </w:rPr>
      </w:pPr>
      <w:r w:rsidRPr="00B059B0">
        <w:rPr>
          <w:rFonts w:cs="Arial"/>
          <w:rtl/>
        </w:rPr>
        <w:t xml:space="preserve">רשב"א </w:t>
      </w:r>
      <w:r w:rsidRPr="00B059B0">
        <w:rPr>
          <w:rFonts w:cs="Arial"/>
          <w:sz w:val="16"/>
          <w:szCs w:val="16"/>
          <w:rtl/>
        </w:rPr>
        <w:t>(ח"ז סי' תסז)</w:t>
      </w:r>
      <w:r w:rsidRPr="00B059B0">
        <w:rPr>
          <w:rFonts w:cs="Arial" w:hint="cs"/>
          <w:rtl/>
        </w:rPr>
        <w:t>-</w:t>
      </w:r>
      <w:r w:rsidRPr="00B059B0">
        <w:rPr>
          <w:rFonts w:cs="Arial"/>
          <w:rtl/>
        </w:rPr>
        <w:t xml:space="preserve"> אם קבלו עליהם בעלי הדין שיקבלו עדים בלילה </w:t>
      </w:r>
      <w:r>
        <w:rPr>
          <w:rFonts w:cs="Arial"/>
          <w:rtl/>
        </w:rPr>
        <w:t>–</w:t>
      </w:r>
      <w:r>
        <w:rPr>
          <w:rFonts w:cs="Arial" w:hint="cs"/>
          <w:rtl/>
        </w:rPr>
        <w:t xml:space="preserve"> </w:t>
      </w:r>
      <w:r w:rsidRPr="00B059B0">
        <w:rPr>
          <w:rFonts w:cs="Arial"/>
          <w:rtl/>
        </w:rPr>
        <w:t>מהניא</w:t>
      </w:r>
      <w:r>
        <w:rPr>
          <w:rFonts w:cs="Arial" w:hint="cs"/>
          <w:rtl/>
        </w:rPr>
        <w:t>,</w:t>
      </w:r>
      <w:r w:rsidRPr="00B059B0">
        <w:rPr>
          <w:rFonts w:cs="Arial"/>
          <w:rtl/>
        </w:rPr>
        <w:t xml:space="preserve"> דלא גרע מנאמן עלי אביך </w:t>
      </w:r>
      <w:r w:rsidRPr="00B059B0">
        <w:rPr>
          <w:rFonts w:cs="Arial"/>
          <w:sz w:val="16"/>
          <w:szCs w:val="16"/>
          <w:rtl/>
        </w:rPr>
        <w:t>(סנהדרין כד.)</w:t>
      </w:r>
      <w:r>
        <w:rPr>
          <w:rStyle w:val="ab"/>
          <w:rFonts w:cs="Arial"/>
          <w:rtl/>
        </w:rPr>
        <w:footnoteReference w:id="1553"/>
      </w:r>
      <w:r>
        <w:rPr>
          <w:rFonts w:cs="Arial" w:hint="cs"/>
          <w:rtl/>
        </w:rPr>
        <w:t xml:space="preserve">. </w:t>
      </w:r>
      <w:r w:rsidRPr="0040787F">
        <w:rPr>
          <w:rFonts w:cs="Arial" w:hint="cs"/>
          <w:color w:val="00B0F0"/>
          <w:rtl/>
        </w:rPr>
        <w:t>(וכ"פ הרמ"א)</w:t>
      </w:r>
    </w:p>
    <w:p w14:paraId="3DBE337D" w14:textId="77777777" w:rsidR="004B607F" w:rsidRPr="003024E5" w:rsidRDefault="004B607F" w:rsidP="004B607F">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lastRenderedPageBreak/>
        <w:t>שו"ע:</w:t>
      </w:r>
    </w:p>
    <w:p w14:paraId="44CA2816" w14:textId="77777777" w:rsidR="004B607F" w:rsidRDefault="004B607F" w:rsidP="004B607F">
      <w:pPr>
        <w:rPr>
          <w:rFonts w:cs="Arial"/>
          <w:rtl/>
        </w:rPr>
      </w:pPr>
      <w:r>
        <w:rPr>
          <w:rFonts w:cs="Arial"/>
          <w:rtl/>
        </w:rPr>
        <w:t>מי שטוען שיש לו שני כיתי עדים, ואמרו הכת האחת שאינם יודעים כלום, לא הפסיד זכותו ומביא כת שנייה</w:t>
      </w:r>
      <w:r>
        <w:rPr>
          <w:rStyle w:val="ab"/>
          <w:rFonts w:cs="Arial"/>
          <w:rtl/>
        </w:rPr>
        <w:footnoteReference w:id="1554"/>
      </w:r>
      <w:r>
        <w:rPr>
          <w:rFonts w:cs="Arial"/>
          <w:rtl/>
        </w:rPr>
        <w:t>. אין מקבלין עדות אלא ביום</w:t>
      </w:r>
      <w:r>
        <w:rPr>
          <w:rStyle w:val="ab"/>
          <w:rFonts w:cs="Arial"/>
          <w:rtl/>
        </w:rPr>
        <w:footnoteReference w:id="1555"/>
      </w:r>
      <w:r>
        <w:rPr>
          <w:rFonts w:cs="Arial" w:hint="cs"/>
          <w:rtl/>
        </w:rPr>
        <w:t>.</w:t>
      </w:r>
      <w:r>
        <w:rPr>
          <w:rFonts w:cs="Arial"/>
          <w:rtl/>
        </w:rPr>
        <w:t xml:space="preserve"> ואם קבלוהו בלילה, אפילו היו עדיו רדופים לילך למדינת הים, אין דנין על פי אותה</w:t>
      </w:r>
      <w:r>
        <w:rPr>
          <w:rStyle w:val="ab"/>
          <w:rFonts w:cs="Arial"/>
          <w:rtl/>
        </w:rPr>
        <w:footnoteReference w:id="1556"/>
      </w:r>
      <w:r>
        <w:rPr>
          <w:rFonts w:cs="Arial"/>
          <w:rtl/>
        </w:rPr>
        <w:t xml:space="preserve"> קבלה</w:t>
      </w:r>
      <w:r>
        <w:rPr>
          <w:rStyle w:val="ab"/>
          <w:rFonts w:cs="Arial"/>
          <w:rtl/>
        </w:rPr>
        <w:footnoteReference w:id="1557"/>
      </w:r>
      <w:r>
        <w:rPr>
          <w:rFonts w:cs="Arial"/>
          <w:rtl/>
        </w:rPr>
        <w:t xml:space="preserve">. </w:t>
      </w:r>
      <w:r w:rsidRPr="008A4067">
        <w:rPr>
          <w:rFonts w:cs="Arial"/>
          <w:sz w:val="18"/>
          <w:szCs w:val="18"/>
          <w:rtl/>
        </w:rPr>
        <w:t>הגה: מיהו אם קבלו עליהם בעלי הדינין לקבל העדות בלילה, מקבלים אפילו לכתחלה (ב"י בשם הרשב"א).</w:t>
      </w:r>
    </w:p>
    <w:p w14:paraId="1A70C07E" w14:textId="77777777" w:rsidR="004B607F" w:rsidRDefault="004B607F" w:rsidP="004B607F">
      <w:pPr>
        <w:rPr>
          <w:rtl/>
        </w:rPr>
      </w:pPr>
      <w:r>
        <w:rPr>
          <w:rFonts w:cs="Arial"/>
          <w:rtl/>
        </w:rPr>
        <w:t xml:space="preserve"> </w:t>
      </w:r>
    </w:p>
    <w:p w14:paraId="729555D9" w14:textId="77777777" w:rsidR="004B607F" w:rsidRDefault="004B607F" w:rsidP="004B607F">
      <w:pPr>
        <w:pStyle w:val="2"/>
        <w:rPr>
          <w:rtl/>
        </w:rPr>
      </w:pPr>
      <w:bookmarkStart w:id="225" w:name="_Toc24883699"/>
      <w:r>
        <w:rPr>
          <w:rtl/>
        </w:rPr>
        <w:t>סעיף כה</w:t>
      </w:r>
      <w:r>
        <w:rPr>
          <w:rFonts w:hint="cs"/>
          <w:rtl/>
        </w:rPr>
        <w:t>: אין מקבלים עדים קודם שישיב הנתבע לתביעת התובע.</w:t>
      </w:r>
      <w:bookmarkEnd w:id="225"/>
    </w:p>
    <w:p w14:paraId="660B48E3" w14:textId="77777777" w:rsidR="004B607F" w:rsidRDefault="004B607F" w:rsidP="004B607F">
      <w:pPr>
        <w:rPr>
          <w:rFonts w:cs="Arial"/>
          <w:rtl/>
        </w:rPr>
      </w:pPr>
      <w:r w:rsidRPr="0040787F">
        <w:rPr>
          <w:rFonts w:hint="cs"/>
          <w:u w:val="single"/>
          <w:rtl/>
        </w:rPr>
        <w:t>אין מקבלים עדים קודם שישיב הנתבע לתביעת התובע</w:t>
      </w:r>
      <w:r w:rsidRPr="0040787F">
        <w:rPr>
          <w:rFonts w:cs="Arial" w:hint="cs"/>
          <w:u w:val="single"/>
          <w:rtl/>
        </w:rPr>
        <w:t>:</w:t>
      </w:r>
    </w:p>
    <w:p w14:paraId="59F80B66" w14:textId="77777777" w:rsidR="004B607F" w:rsidRPr="0040787F" w:rsidRDefault="004B607F" w:rsidP="004B0475">
      <w:pPr>
        <w:pStyle w:val="ac"/>
        <w:numPr>
          <w:ilvl w:val="0"/>
          <w:numId w:val="81"/>
        </w:numPr>
        <w:rPr>
          <w:rFonts w:cs="Arial"/>
          <w:rtl/>
        </w:rPr>
      </w:pPr>
      <w:r w:rsidRPr="0040787F">
        <w:rPr>
          <w:rFonts w:cs="Arial"/>
          <w:rtl/>
        </w:rPr>
        <w:t xml:space="preserve">ריב"ש </w:t>
      </w:r>
      <w:r w:rsidRPr="0040787F">
        <w:rPr>
          <w:rFonts w:cs="Arial" w:hint="cs"/>
          <w:sz w:val="16"/>
          <w:szCs w:val="16"/>
          <w:rtl/>
        </w:rPr>
        <w:t>(</w:t>
      </w:r>
      <w:r w:rsidRPr="0040787F">
        <w:rPr>
          <w:rFonts w:cs="Arial"/>
          <w:sz w:val="16"/>
          <w:szCs w:val="16"/>
          <w:rtl/>
        </w:rPr>
        <w:t>סי</w:t>
      </w:r>
      <w:r w:rsidRPr="0040787F">
        <w:rPr>
          <w:rFonts w:cs="Arial" w:hint="cs"/>
          <w:sz w:val="16"/>
          <w:szCs w:val="16"/>
          <w:rtl/>
        </w:rPr>
        <w:t>'</w:t>
      </w:r>
      <w:r w:rsidRPr="0040787F">
        <w:rPr>
          <w:rFonts w:cs="Arial"/>
          <w:sz w:val="16"/>
          <w:szCs w:val="16"/>
          <w:rtl/>
        </w:rPr>
        <w:t xml:space="preserve"> רלד</w:t>
      </w:r>
      <w:r w:rsidRPr="0040787F">
        <w:rPr>
          <w:rFonts w:cs="Arial" w:hint="cs"/>
          <w:sz w:val="16"/>
          <w:szCs w:val="16"/>
          <w:rtl/>
        </w:rPr>
        <w:t>)</w:t>
      </w:r>
      <w:r w:rsidRPr="0040787F">
        <w:rPr>
          <w:rFonts w:cs="Arial" w:hint="cs"/>
          <w:rtl/>
        </w:rPr>
        <w:t>-</w:t>
      </w:r>
      <w:r w:rsidRPr="0040787F">
        <w:rPr>
          <w:rFonts w:cs="Arial"/>
          <w:rtl/>
        </w:rPr>
        <w:t xml:space="preserve"> אין ספק שבדיני ממונות אין מקבלין את העדים אלא אחר שהשיב הנתבע לתביעת התובע</w:t>
      </w:r>
      <w:r>
        <w:rPr>
          <w:rFonts w:cs="Arial" w:hint="cs"/>
          <w:rtl/>
        </w:rPr>
        <w:t>,</w:t>
      </w:r>
      <w:r w:rsidRPr="0040787F">
        <w:rPr>
          <w:rFonts w:cs="Arial"/>
          <w:rtl/>
        </w:rPr>
        <w:t xml:space="preserve"> לפי שאולי יודה הנתבע ולא יהא צריך עדים ואטרוחי בית דין לא </w:t>
      </w:r>
      <w:r>
        <w:rPr>
          <w:rFonts w:cs="Arial" w:hint="cs"/>
          <w:rtl/>
        </w:rPr>
        <w:t>מ</w:t>
      </w:r>
      <w:r w:rsidRPr="0040787F">
        <w:rPr>
          <w:rFonts w:cs="Arial"/>
          <w:rtl/>
        </w:rPr>
        <w:t>טרחינן</w:t>
      </w:r>
      <w:r w:rsidRPr="0040787F">
        <w:rPr>
          <w:rFonts w:cs="Arial"/>
          <w:sz w:val="16"/>
          <w:szCs w:val="16"/>
          <w:rtl/>
        </w:rPr>
        <w:t xml:space="preserve"> (ב"מ קי.)</w:t>
      </w:r>
      <w:r w:rsidRPr="0040787F">
        <w:rPr>
          <w:rFonts w:cs="Arial" w:hint="cs"/>
          <w:rtl/>
        </w:rPr>
        <w:t>.</w:t>
      </w:r>
      <w:r w:rsidRPr="00425AE0">
        <w:rPr>
          <w:rFonts w:cs="Arial"/>
          <w:rtl/>
        </w:rPr>
        <w:t xml:space="preserve"> </w:t>
      </w:r>
      <w:r w:rsidRPr="0040787F">
        <w:rPr>
          <w:rFonts w:cs="Arial" w:hint="cs"/>
          <w:color w:val="E36C0A" w:themeColor="accent6" w:themeShade="BF"/>
          <w:rtl/>
        </w:rPr>
        <w:t>(וכ"פ בשו"ע)</w:t>
      </w:r>
    </w:p>
    <w:p w14:paraId="1BDA2737" w14:textId="77777777" w:rsidR="004B607F" w:rsidRPr="0040787F" w:rsidRDefault="004B607F" w:rsidP="004B607F">
      <w:pPr>
        <w:rPr>
          <w:u w:val="single"/>
        </w:rPr>
      </w:pPr>
      <w:r w:rsidRPr="0040787F">
        <w:rPr>
          <w:rFonts w:hint="cs"/>
          <w:u w:val="single"/>
          <w:rtl/>
        </w:rPr>
        <w:t xml:space="preserve">עד </w:t>
      </w:r>
      <w:r w:rsidRPr="006531EB">
        <w:rPr>
          <w:rFonts w:hint="cs"/>
          <w:b/>
          <w:bCs/>
          <w:u w:val="single"/>
          <w:rtl/>
        </w:rPr>
        <w:t>אחד</w:t>
      </w:r>
      <w:r w:rsidRPr="0040787F">
        <w:rPr>
          <w:rFonts w:hint="cs"/>
          <w:u w:val="single"/>
          <w:rtl/>
        </w:rPr>
        <w:t xml:space="preserve"> בשטר </w:t>
      </w:r>
      <w:r w:rsidRPr="0040787F">
        <w:rPr>
          <w:u w:val="single"/>
          <w:rtl/>
        </w:rPr>
        <w:t>–</w:t>
      </w:r>
      <w:r w:rsidRPr="0040787F">
        <w:rPr>
          <w:rFonts w:hint="cs"/>
          <w:u w:val="single"/>
          <w:rtl/>
        </w:rPr>
        <w:t xml:space="preserve"> ועתה רו</w:t>
      </w:r>
      <w:r>
        <w:rPr>
          <w:rFonts w:hint="cs"/>
          <w:u w:val="single"/>
          <w:rtl/>
        </w:rPr>
        <w:t>צ</w:t>
      </w:r>
      <w:r w:rsidRPr="0040787F">
        <w:rPr>
          <w:rFonts w:hint="cs"/>
          <w:u w:val="single"/>
          <w:rtl/>
        </w:rPr>
        <w:t>ה לחזור בו ולהעיד אחרת:</w:t>
      </w:r>
    </w:p>
    <w:p w14:paraId="1B1F36AF" w14:textId="77777777" w:rsidR="004B607F" w:rsidRPr="008A4067" w:rsidRDefault="004B607F" w:rsidP="004B0475">
      <w:pPr>
        <w:pStyle w:val="ac"/>
        <w:numPr>
          <w:ilvl w:val="0"/>
          <w:numId w:val="81"/>
        </w:numPr>
        <w:rPr>
          <w:rtl/>
        </w:rPr>
      </w:pPr>
      <w:r w:rsidRPr="0040787F">
        <w:rPr>
          <w:rFonts w:cs="Arial"/>
          <w:rtl/>
        </w:rPr>
        <w:t xml:space="preserve">ריב"ש </w:t>
      </w:r>
      <w:r w:rsidRPr="0040787F">
        <w:rPr>
          <w:rFonts w:cs="Arial" w:hint="cs"/>
          <w:sz w:val="16"/>
          <w:szCs w:val="16"/>
          <w:rtl/>
        </w:rPr>
        <w:t>(</w:t>
      </w:r>
      <w:r w:rsidRPr="0040787F">
        <w:rPr>
          <w:rFonts w:cs="Arial"/>
          <w:sz w:val="16"/>
          <w:szCs w:val="16"/>
          <w:rtl/>
        </w:rPr>
        <w:t>סי</w:t>
      </w:r>
      <w:r w:rsidRPr="0040787F">
        <w:rPr>
          <w:rFonts w:cs="Arial" w:hint="cs"/>
          <w:sz w:val="16"/>
          <w:szCs w:val="16"/>
          <w:rtl/>
        </w:rPr>
        <w:t>'</w:t>
      </w:r>
      <w:r w:rsidRPr="0040787F">
        <w:rPr>
          <w:rFonts w:cs="Arial"/>
          <w:sz w:val="16"/>
          <w:szCs w:val="16"/>
          <w:rtl/>
        </w:rPr>
        <w:t xml:space="preserve"> קכ</w:t>
      </w:r>
      <w:r w:rsidRPr="0040787F">
        <w:rPr>
          <w:rFonts w:cs="Arial" w:hint="cs"/>
          <w:sz w:val="16"/>
          <w:szCs w:val="16"/>
          <w:rtl/>
        </w:rPr>
        <w:t>ז</w:t>
      </w:r>
      <w:r w:rsidRPr="0040787F">
        <w:rPr>
          <w:rFonts w:cs="Arial"/>
          <w:sz w:val="16"/>
          <w:szCs w:val="16"/>
          <w:rtl/>
        </w:rPr>
        <w:t>)</w:t>
      </w:r>
      <w:r>
        <w:rPr>
          <w:rFonts w:cs="Arial" w:hint="cs"/>
          <w:rtl/>
        </w:rPr>
        <w:t>-</w:t>
      </w:r>
      <w:r w:rsidRPr="0040787F">
        <w:rPr>
          <w:rFonts w:cs="Arial"/>
          <w:rtl/>
        </w:rPr>
        <w:t xml:space="preserve"> אפשר שאף הרמב"ם יודה דעד אחד בשטר </w:t>
      </w:r>
      <w:r>
        <w:rPr>
          <w:rFonts w:cs="Arial" w:hint="cs"/>
          <w:rtl/>
        </w:rPr>
        <w:t xml:space="preserve">- </w:t>
      </w:r>
      <w:r w:rsidRPr="0040787F">
        <w:rPr>
          <w:rFonts w:cs="Arial"/>
          <w:rtl/>
        </w:rPr>
        <w:t>יכול לחזור בו</w:t>
      </w:r>
      <w:r>
        <w:rPr>
          <w:rFonts w:cs="Arial" w:hint="cs"/>
          <w:rtl/>
        </w:rPr>
        <w:t>,</w:t>
      </w:r>
      <w:r w:rsidRPr="0040787F">
        <w:rPr>
          <w:rFonts w:cs="Arial"/>
          <w:rtl/>
        </w:rPr>
        <w:t xml:space="preserve"> ולא הוי כמי שנחקרה עדותו בבית דין</w:t>
      </w:r>
      <w:r>
        <w:rPr>
          <w:rFonts w:cs="Arial" w:hint="cs"/>
          <w:rtl/>
        </w:rPr>
        <w:t>,</w:t>
      </w:r>
      <w:r w:rsidRPr="0040787F">
        <w:rPr>
          <w:rFonts w:cs="Arial"/>
          <w:rtl/>
        </w:rPr>
        <w:t xml:space="preserve"> דדוקא בשנים אמרו כן</w:t>
      </w:r>
      <w:r w:rsidRPr="0040787F">
        <w:rPr>
          <w:rFonts w:cs="Arial" w:hint="cs"/>
          <w:rtl/>
        </w:rPr>
        <w:t>.</w:t>
      </w:r>
    </w:p>
    <w:p w14:paraId="178198EA" w14:textId="77777777" w:rsidR="004B607F" w:rsidRPr="003024E5" w:rsidRDefault="004B607F" w:rsidP="004B607F">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61D40B78" w14:textId="77777777" w:rsidR="004B607F" w:rsidRDefault="004B607F" w:rsidP="004B607F">
      <w:pPr>
        <w:rPr>
          <w:rFonts w:cs="Arial"/>
          <w:rtl/>
        </w:rPr>
      </w:pPr>
      <w:r>
        <w:rPr>
          <w:rFonts w:cs="Arial"/>
          <w:rtl/>
        </w:rPr>
        <w:t>אין מקבלים עדות קודם שישיב הנתבע לתביעת התובע, לפי שאולי יודה הנתבע ולא יהא צריך עדים, ואטרוחי ב</w:t>
      </w:r>
      <w:r>
        <w:rPr>
          <w:rFonts w:cs="Arial" w:hint="cs"/>
          <w:rtl/>
        </w:rPr>
        <w:t xml:space="preserve">ית </w:t>
      </w:r>
      <w:r>
        <w:rPr>
          <w:rFonts w:cs="Arial"/>
          <w:rtl/>
        </w:rPr>
        <w:t>ד</w:t>
      </w:r>
      <w:r>
        <w:rPr>
          <w:rFonts w:cs="Arial" w:hint="cs"/>
          <w:rtl/>
        </w:rPr>
        <w:t>ין</w:t>
      </w:r>
      <w:r>
        <w:rPr>
          <w:rFonts w:cs="Arial"/>
          <w:rtl/>
        </w:rPr>
        <w:t xml:space="preserve"> לא מטריחינן. </w:t>
      </w:r>
    </w:p>
    <w:p w14:paraId="1EC8D8DB" w14:textId="77777777" w:rsidR="004B607F" w:rsidRDefault="004B607F" w:rsidP="004B607F">
      <w:pPr>
        <w:rPr>
          <w:rtl/>
        </w:rPr>
      </w:pPr>
    </w:p>
    <w:p w14:paraId="1A34105E" w14:textId="77777777" w:rsidR="004B607F" w:rsidRDefault="004B607F" w:rsidP="004B607F">
      <w:pPr>
        <w:pStyle w:val="2"/>
        <w:rPr>
          <w:rtl/>
        </w:rPr>
      </w:pPr>
      <w:bookmarkStart w:id="226" w:name="_Toc24883700"/>
      <w:r>
        <w:rPr>
          <w:rtl/>
        </w:rPr>
        <w:t>סעיף כו</w:t>
      </w:r>
      <w:r>
        <w:rPr>
          <w:rFonts w:hint="cs"/>
          <w:rtl/>
        </w:rPr>
        <w:t>: דיינים שקבלו את העדות מעומד.</w:t>
      </w:r>
      <w:bookmarkEnd w:id="226"/>
      <w:r>
        <w:rPr>
          <w:rFonts w:hint="cs"/>
          <w:rtl/>
        </w:rPr>
        <w:t xml:space="preserve"> </w:t>
      </w:r>
    </w:p>
    <w:p w14:paraId="5A64B293" w14:textId="77777777" w:rsidR="004B607F" w:rsidRPr="00512D85" w:rsidRDefault="004B607F" w:rsidP="004B607F">
      <w:pPr>
        <w:rPr>
          <w:rFonts w:cs="Arial"/>
          <w:u w:val="single"/>
          <w:rtl/>
        </w:rPr>
      </w:pPr>
      <w:r w:rsidRPr="00512D85">
        <w:rPr>
          <w:rFonts w:hint="cs"/>
          <w:u w:val="single"/>
          <w:rtl/>
        </w:rPr>
        <w:t>דיינים שקבלו את העדות מעומד</w:t>
      </w:r>
      <w:r w:rsidRPr="00512D85">
        <w:rPr>
          <w:rFonts w:cs="Arial" w:hint="cs"/>
          <w:u w:val="single"/>
          <w:rtl/>
        </w:rPr>
        <w:t>:</w:t>
      </w:r>
    </w:p>
    <w:p w14:paraId="642395BB" w14:textId="77777777" w:rsidR="004B607F" w:rsidRPr="00512D85" w:rsidRDefault="004B607F" w:rsidP="004B0475">
      <w:pPr>
        <w:pStyle w:val="ac"/>
        <w:numPr>
          <w:ilvl w:val="0"/>
          <w:numId w:val="81"/>
        </w:numPr>
        <w:rPr>
          <w:rFonts w:cs="Arial"/>
          <w:rtl/>
        </w:rPr>
      </w:pPr>
      <w:r w:rsidRPr="00512D85">
        <w:rPr>
          <w:rFonts w:cs="Arial"/>
          <w:rtl/>
        </w:rPr>
        <w:t xml:space="preserve">ריב"ש </w:t>
      </w:r>
      <w:r w:rsidRPr="00512D85">
        <w:rPr>
          <w:rFonts w:cs="Arial" w:hint="cs"/>
          <w:sz w:val="16"/>
          <w:szCs w:val="16"/>
          <w:rtl/>
        </w:rPr>
        <w:t>(</w:t>
      </w:r>
      <w:r w:rsidRPr="00512D85">
        <w:rPr>
          <w:rFonts w:cs="Arial"/>
          <w:sz w:val="16"/>
          <w:szCs w:val="16"/>
          <w:rtl/>
        </w:rPr>
        <w:t>סי</w:t>
      </w:r>
      <w:r w:rsidRPr="00512D85">
        <w:rPr>
          <w:rFonts w:cs="Arial" w:hint="cs"/>
          <w:sz w:val="16"/>
          <w:szCs w:val="16"/>
          <w:rtl/>
        </w:rPr>
        <w:t>'</w:t>
      </w:r>
      <w:r w:rsidRPr="00512D85">
        <w:rPr>
          <w:rFonts w:cs="Arial"/>
          <w:sz w:val="16"/>
          <w:szCs w:val="16"/>
          <w:rtl/>
        </w:rPr>
        <w:t xml:space="preserve"> רסו)</w:t>
      </w:r>
      <w:r w:rsidRPr="00512D85">
        <w:rPr>
          <w:rFonts w:cs="Arial" w:hint="cs"/>
          <w:rtl/>
        </w:rPr>
        <w:t>-</w:t>
      </w:r>
      <w:r w:rsidRPr="00512D85">
        <w:rPr>
          <w:rFonts w:cs="Arial"/>
          <w:rtl/>
        </w:rPr>
        <w:t xml:space="preserve"> הסכימו האחרונים שאם קבלו </w:t>
      </w:r>
      <w:r>
        <w:rPr>
          <w:rFonts w:cs="Arial" w:hint="cs"/>
          <w:sz w:val="16"/>
          <w:szCs w:val="16"/>
          <w:rtl/>
        </w:rPr>
        <w:t xml:space="preserve">{הדיינים} </w:t>
      </w:r>
      <w:r w:rsidRPr="00512D85">
        <w:rPr>
          <w:rFonts w:cs="Arial"/>
          <w:rtl/>
        </w:rPr>
        <w:t xml:space="preserve">עדות מעומד </w:t>
      </w:r>
      <w:r>
        <w:rPr>
          <w:rFonts w:cs="Arial" w:hint="cs"/>
          <w:rtl/>
        </w:rPr>
        <w:t xml:space="preserve">- </w:t>
      </w:r>
      <w:r w:rsidRPr="00512D85">
        <w:rPr>
          <w:rFonts w:cs="Arial"/>
          <w:rtl/>
        </w:rPr>
        <w:t>מה שעשה עשוי</w:t>
      </w:r>
      <w:r>
        <w:rPr>
          <w:rFonts w:cs="Arial" w:hint="cs"/>
          <w:rtl/>
        </w:rPr>
        <w:t>.</w:t>
      </w:r>
      <w:r w:rsidRPr="00512D85">
        <w:rPr>
          <w:rFonts w:cs="Arial"/>
          <w:rtl/>
        </w:rPr>
        <w:t xml:space="preserve"> ואם היו נסמכין על העמוד </w:t>
      </w:r>
      <w:r>
        <w:rPr>
          <w:rFonts w:cs="Arial" w:hint="cs"/>
          <w:rtl/>
        </w:rPr>
        <w:t xml:space="preserve">- </w:t>
      </w:r>
      <w:r w:rsidRPr="00512D85">
        <w:rPr>
          <w:rFonts w:cs="Arial"/>
          <w:rtl/>
        </w:rPr>
        <w:t>אפילו לכתחלה מותר</w:t>
      </w:r>
      <w:r>
        <w:rPr>
          <w:rFonts w:cs="Arial" w:hint="cs"/>
          <w:rtl/>
        </w:rPr>
        <w:t>,</w:t>
      </w:r>
      <w:r w:rsidRPr="00512D85">
        <w:rPr>
          <w:rFonts w:cs="Arial"/>
          <w:rtl/>
        </w:rPr>
        <w:t xml:space="preserve"> דסמיכה כישיבה. </w:t>
      </w:r>
      <w:r w:rsidRPr="001E3B86">
        <w:rPr>
          <w:rFonts w:hint="cs"/>
          <w:color w:val="E36C0A" w:themeColor="accent6" w:themeShade="BF"/>
          <w:rtl/>
        </w:rPr>
        <w:t>(וכ"פ בשו"ע)</w:t>
      </w:r>
    </w:p>
    <w:p w14:paraId="44340917" w14:textId="77777777" w:rsidR="004B607F" w:rsidRPr="003024E5" w:rsidRDefault="004B607F" w:rsidP="004B607F">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1B4D8F40" w14:textId="77777777" w:rsidR="004B607F" w:rsidRDefault="004B607F" w:rsidP="004B607F">
      <w:pPr>
        <w:rPr>
          <w:rtl/>
        </w:rPr>
        <w:sectPr w:rsidR="004B607F" w:rsidSect="004B607F">
          <w:headerReference w:type="default" r:id="rId38"/>
          <w:footnotePr>
            <w:numRestart w:val="eachPage"/>
          </w:footnotePr>
          <w:pgSz w:w="11906" w:h="16838"/>
          <w:pgMar w:top="720" w:right="1134" w:bottom="720" w:left="1134" w:header="0" w:footer="0" w:gutter="0"/>
          <w:cols w:space="720"/>
          <w:bidi/>
          <w:rtlGutter/>
          <w:docGrid w:linePitch="360"/>
        </w:sectPr>
      </w:pPr>
      <w:r>
        <w:rPr>
          <w:rFonts w:cs="Arial"/>
          <w:rtl/>
        </w:rPr>
        <w:t>אם קבלו עדים מעומד, מה שעשו עשוי. ואם היו נסמכים על העמוד, אפילו לכתחלה מותר, דסמיכה כישיבה</w:t>
      </w:r>
      <w:r>
        <w:rPr>
          <w:rStyle w:val="ab"/>
          <w:rFonts w:cs="Arial"/>
          <w:rtl/>
        </w:rPr>
        <w:footnoteReference w:id="1558"/>
      </w:r>
      <w:r>
        <w:rPr>
          <w:rFonts w:cs="Arial"/>
          <w:rtl/>
        </w:rPr>
        <w:t>. ובסימן י"ז נתבאר שעכשיו נהגו להושיב העדים.</w:t>
      </w:r>
    </w:p>
    <w:p w14:paraId="097D4034" w14:textId="77777777" w:rsidR="004B607F" w:rsidRDefault="004B607F" w:rsidP="004B607F">
      <w:pPr>
        <w:pStyle w:val="1"/>
        <w:rPr>
          <w:rtl/>
        </w:rPr>
      </w:pPr>
      <w:bookmarkStart w:id="227" w:name="_Toc24883701"/>
      <w:r>
        <w:rPr>
          <w:rFonts w:hint="cs"/>
          <w:rtl/>
        </w:rPr>
        <w:lastRenderedPageBreak/>
        <w:t xml:space="preserve">סימן כט: </w:t>
      </w:r>
      <w:r>
        <w:rPr>
          <w:rtl/>
        </w:rPr>
        <w:t>שלא יוכלו העדים לחזור, ובו ג' סעיפים.</w:t>
      </w:r>
      <w:bookmarkEnd w:id="227"/>
      <w:r>
        <w:rPr>
          <w:rtl/>
        </w:rPr>
        <w:t xml:space="preserve"> </w:t>
      </w:r>
    </w:p>
    <w:p w14:paraId="2514B5FA" w14:textId="77777777" w:rsidR="004B607F" w:rsidRDefault="004B607F" w:rsidP="004B607F">
      <w:pPr>
        <w:pStyle w:val="2"/>
        <w:rPr>
          <w:rtl/>
        </w:rPr>
      </w:pPr>
      <w:bookmarkStart w:id="228" w:name="_Toc24883702"/>
      <w:r>
        <w:rPr>
          <w:rtl/>
        </w:rPr>
        <w:t>סעיף א</w:t>
      </w:r>
      <w:r>
        <w:rPr>
          <w:rFonts w:hint="cs"/>
          <w:rtl/>
        </w:rPr>
        <w:t>: עד שהעיד אינו יכול לחזור בו.</w:t>
      </w:r>
      <w:bookmarkEnd w:id="228"/>
    </w:p>
    <w:p w14:paraId="2695FC4F" w14:textId="77777777" w:rsidR="004B607F" w:rsidRDefault="004B607F" w:rsidP="004B607F">
      <w:pPr>
        <w:rPr>
          <w:rFonts w:cs="Arial"/>
          <w:rtl/>
        </w:rPr>
      </w:pPr>
      <w:r w:rsidRPr="00BA3486">
        <w:rPr>
          <w:rFonts w:cs="Arial"/>
          <w:b/>
          <w:bCs/>
          <w:rtl/>
        </w:rPr>
        <w:t>ירושלמי כתובות</w:t>
      </w:r>
      <w:r>
        <w:rPr>
          <w:rFonts w:cs="Arial" w:hint="cs"/>
          <w:b/>
          <w:bCs/>
          <w:rtl/>
        </w:rPr>
        <w:t xml:space="preserve"> </w:t>
      </w:r>
      <w:r w:rsidRPr="00BA3486">
        <w:rPr>
          <w:rFonts w:cs="Arial"/>
          <w:b/>
          <w:bCs/>
          <w:rtl/>
        </w:rPr>
        <w:t>פ"ב ה"ג</w:t>
      </w:r>
      <w:r>
        <w:rPr>
          <w:rStyle w:val="ab"/>
          <w:rFonts w:cs="Arial"/>
          <w:b/>
          <w:bCs/>
          <w:rtl/>
        </w:rPr>
        <w:footnoteReference w:id="1559"/>
      </w:r>
      <w:r>
        <w:rPr>
          <w:rFonts w:cs="Arial" w:hint="cs"/>
          <w:b/>
          <w:bCs/>
          <w:rtl/>
        </w:rPr>
        <w:t>:</w:t>
      </w:r>
      <w:r w:rsidRPr="00405919">
        <w:rPr>
          <w:rFonts w:cs="Arial"/>
          <w:rtl/>
        </w:rPr>
        <w:t xml:space="preserve"> </w:t>
      </w:r>
      <w:r w:rsidRPr="00BA3486">
        <w:rPr>
          <w:rFonts w:cs="Arial"/>
          <w:rtl/>
        </w:rPr>
        <w:t>תני</w:t>
      </w:r>
      <w:r>
        <w:rPr>
          <w:rFonts w:cs="Arial" w:hint="cs"/>
          <w:rtl/>
        </w:rPr>
        <w:t>,</w:t>
      </w:r>
      <w:r w:rsidRPr="00BA3486">
        <w:rPr>
          <w:rFonts w:cs="Arial"/>
          <w:rtl/>
        </w:rPr>
        <w:t xml:space="preserve"> וכ</w:t>
      </w:r>
      <w:r w:rsidRPr="00913210">
        <w:rPr>
          <w:rFonts w:cs="Arial"/>
          <w:color w:val="000000" w:themeColor="text1"/>
          <w:rtl/>
        </w:rPr>
        <w:t>ן העדים שהעידו בין לטמא בין לטהר</w:t>
      </w:r>
      <w:r w:rsidRPr="00913210">
        <w:rPr>
          <w:rFonts w:cs="Arial" w:hint="cs"/>
          <w:color w:val="000000" w:themeColor="text1"/>
          <w:rtl/>
        </w:rPr>
        <w:t>,</w:t>
      </w:r>
      <w:r w:rsidRPr="00913210">
        <w:rPr>
          <w:rFonts w:cs="Arial"/>
          <w:color w:val="000000" w:themeColor="text1"/>
          <w:rtl/>
        </w:rPr>
        <w:t xml:space="preserve"> בין לרחק בין לקרב</w:t>
      </w:r>
      <w:r w:rsidRPr="00913210">
        <w:rPr>
          <w:rFonts w:cs="Arial" w:hint="cs"/>
          <w:color w:val="000000" w:themeColor="text1"/>
          <w:rtl/>
        </w:rPr>
        <w:t>,</w:t>
      </w:r>
      <w:r w:rsidRPr="00913210">
        <w:rPr>
          <w:rFonts w:cs="Arial"/>
          <w:color w:val="000000" w:themeColor="text1"/>
          <w:rtl/>
        </w:rPr>
        <w:t xml:space="preserve"> בין לאסור בין להתיר</w:t>
      </w:r>
      <w:r w:rsidRPr="00913210">
        <w:rPr>
          <w:rFonts w:cs="Arial" w:hint="cs"/>
          <w:color w:val="000000" w:themeColor="text1"/>
          <w:rtl/>
        </w:rPr>
        <w:t>,</w:t>
      </w:r>
      <w:r w:rsidRPr="00913210">
        <w:rPr>
          <w:rFonts w:cs="Arial"/>
          <w:color w:val="000000" w:themeColor="text1"/>
          <w:rtl/>
        </w:rPr>
        <w:t xml:space="preserve"> בין לזכות בין לחובה</w:t>
      </w:r>
      <w:r w:rsidRPr="00913210">
        <w:rPr>
          <w:rFonts w:cs="Arial" w:hint="cs"/>
          <w:color w:val="000000" w:themeColor="text1"/>
          <w:rtl/>
        </w:rPr>
        <w:t>,</w:t>
      </w:r>
      <w:r w:rsidRPr="00913210">
        <w:rPr>
          <w:rFonts w:cs="Arial"/>
          <w:color w:val="000000" w:themeColor="text1"/>
          <w:rtl/>
        </w:rPr>
        <w:t xml:space="preserve"> עד שלא נחקרה </w:t>
      </w:r>
      <w:r w:rsidRPr="00BA3486">
        <w:rPr>
          <w:rFonts w:cs="Arial"/>
          <w:rtl/>
        </w:rPr>
        <w:t xml:space="preserve">עדותן בבית דין אמרו מבדין היינו </w:t>
      </w:r>
      <w:r>
        <w:rPr>
          <w:rFonts w:cs="Arial" w:hint="cs"/>
          <w:rtl/>
        </w:rPr>
        <w:t xml:space="preserve">- </w:t>
      </w:r>
      <w:r w:rsidRPr="00BA3486">
        <w:rPr>
          <w:rFonts w:cs="Arial"/>
          <w:rtl/>
        </w:rPr>
        <w:t>הרי אילו נאמנין</w:t>
      </w:r>
      <w:r>
        <w:rPr>
          <w:rFonts w:cs="Arial" w:hint="cs"/>
          <w:rtl/>
        </w:rPr>
        <w:t>,</w:t>
      </w:r>
      <w:r w:rsidRPr="00BA3486">
        <w:rPr>
          <w:rFonts w:cs="Arial"/>
          <w:rtl/>
        </w:rPr>
        <w:t xml:space="preserve"> משנחקרה עדותן בבית דין אמרו מבדין היינו</w:t>
      </w:r>
      <w:r>
        <w:rPr>
          <w:rFonts w:cs="Arial" w:hint="cs"/>
          <w:rtl/>
        </w:rPr>
        <w:t xml:space="preserve"> -</w:t>
      </w:r>
      <w:r w:rsidRPr="00BA3486">
        <w:rPr>
          <w:rFonts w:cs="Arial"/>
          <w:rtl/>
        </w:rPr>
        <w:t xml:space="preserve"> אינן נאמנין</w:t>
      </w:r>
      <w:r>
        <w:rPr>
          <w:rFonts w:cs="Arial" w:hint="cs"/>
          <w:rtl/>
        </w:rPr>
        <w:t>.</w:t>
      </w:r>
    </w:p>
    <w:p w14:paraId="62FD16EC" w14:textId="77777777" w:rsidR="004B607F" w:rsidRDefault="004B607F" w:rsidP="004B607F">
      <w:pPr>
        <w:rPr>
          <w:rFonts w:cs="Arial"/>
          <w:rtl/>
        </w:rPr>
      </w:pPr>
      <w:r w:rsidRPr="00BA3486">
        <w:rPr>
          <w:rFonts w:cs="Arial"/>
          <w:b/>
          <w:bCs/>
          <w:rtl/>
        </w:rPr>
        <w:t xml:space="preserve">כתובות </w:t>
      </w:r>
      <w:r>
        <w:rPr>
          <w:rFonts w:cs="Arial" w:hint="cs"/>
          <w:b/>
          <w:bCs/>
          <w:sz w:val="16"/>
          <w:szCs w:val="16"/>
          <w:rtl/>
        </w:rPr>
        <w:t xml:space="preserve">(פ' האשה שנתארמלה [פ"ב]) </w:t>
      </w:r>
      <w:r w:rsidRPr="00BA3486">
        <w:rPr>
          <w:rFonts w:cs="Arial"/>
          <w:b/>
          <w:bCs/>
          <w:rtl/>
        </w:rPr>
        <w:t>יח</w:t>
      </w:r>
      <w:r>
        <w:rPr>
          <w:rStyle w:val="ab"/>
          <w:rFonts w:cs="Arial"/>
          <w:b/>
          <w:bCs/>
          <w:rtl/>
        </w:rPr>
        <w:footnoteReference w:id="1560"/>
      </w:r>
      <w:r w:rsidRPr="00BA3486">
        <w:rPr>
          <w:rFonts w:cs="Arial" w:hint="cs"/>
          <w:b/>
          <w:bCs/>
          <w:rtl/>
        </w:rPr>
        <w:t xml:space="preserve"> ע"ב:</w:t>
      </w:r>
      <w:r w:rsidRPr="00BA3486">
        <w:rPr>
          <w:rFonts w:cs="Arial"/>
          <w:b/>
          <w:bCs/>
          <w:rtl/>
        </w:rPr>
        <w:t xml:space="preserve"> </w:t>
      </w:r>
      <w:r w:rsidRPr="00BB0394">
        <w:rPr>
          <w:rFonts w:cs="Arial"/>
          <w:u w:val="double"/>
          <w:rtl/>
        </w:rPr>
        <w:t>מתני'</w:t>
      </w:r>
      <w:r>
        <w:rPr>
          <w:rFonts w:cs="Arial" w:hint="cs"/>
          <w:rtl/>
        </w:rPr>
        <w:t>:</w:t>
      </w:r>
      <w:r w:rsidRPr="00BB0394">
        <w:rPr>
          <w:rFonts w:cs="Arial"/>
          <w:rtl/>
        </w:rPr>
        <w:t xml:space="preserve"> העדים שאמרו: כתב ידינו הוא זה, אבל אנוסים היינו, קטנים היינו, פסולי עדות היינו - הרי אלו נאמנים; ואם יש עדים שהוא כתב ידם, או שהיה כתב ידם יוצא ממקום אחר - אינן נאמנין. </w:t>
      </w:r>
      <w:r>
        <w:rPr>
          <w:rFonts w:cs="Arial" w:hint="cs"/>
          <w:rtl/>
        </w:rPr>
        <w:t xml:space="preserve">      </w:t>
      </w:r>
      <w:r w:rsidRPr="00BB0394">
        <w:rPr>
          <w:rFonts w:cs="Arial"/>
          <w:u w:val="double"/>
          <w:rtl/>
        </w:rPr>
        <w:t>גמ'</w:t>
      </w:r>
      <w:r>
        <w:rPr>
          <w:rFonts w:cs="Arial" w:hint="cs"/>
          <w:rtl/>
        </w:rPr>
        <w:t>:</w:t>
      </w:r>
      <w:r w:rsidRPr="00BB0394">
        <w:rPr>
          <w:rFonts w:cs="Arial"/>
          <w:rtl/>
        </w:rPr>
        <w:t xml:space="preserve"> </w:t>
      </w:r>
      <w:r w:rsidRPr="00BB0394">
        <w:rPr>
          <w:rFonts w:cs="Arial"/>
          <w:u w:val="single"/>
          <w:rtl/>
        </w:rPr>
        <w:t>אמר רמי בר חמא</w:t>
      </w:r>
      <w:r w:rsidRPr="00BB0394">
        <w:rPr>
          <w:rFonts w:cs="Arial"/>
          <w:rtl/>
        </w:rPr>
        <w:t xml:space="preserve">: לא שנו אלא שאמרו אנוסים היינו מחמת ממון, אבל אנוסים היינו מחמת נפשות - הרי אלו נאמנין. </w:t>
      </w:r>
      <w:r w:rsidRPr="00BB0394">
        <w:rPr>
          <w:rFonts w:cs="Arial"/>
          <w:u w:val="single"/>
          <w:rtl/>
        </w:rPr>
        <w:t>אמר ליה רבא</w:t>
      </w:r>
      <w:r w:rsidRPr="00BB0394">
        <w:rPr>
          <w:rFonts w:cs="Arial"/>
          <w:rtl/>
        </w:rPr>
        <w:t xml:space="preserve">: כל כמיניה? כיון שהגיד שוב אינו חוזר ומגיד! וכי תימא הני מילי על פה, אבל בשטר לא, והא </w:t>
      </w:r>
      <w:r w:rsidRPr="00BB0394">
        <w:rPr>
          <w:rFonts w:cs="Arial"/>
          <w:u w:val="single"/>
          <w:rtl/>
        </w:rPr>
        <w:t>אמר ריש לקיש</w:t>
      </w:r>
      <w:r w:rsidRPr="00BB0394">
        <w:rPr>
          <w:rFonts w:cs="Arial"/>
          <w:rtl/>
        </w:rPr>
        <w:t xml:space="preserve">: עדים החתומים על השטר - נעשה כמי שנחקרה עדותן בב"ד! </w:t>
      </w:r>
    </w:p>
    <w:p w14:paraId="22654CBA" w14:textId="77777777" w:rsidR="004B607F" w:rsidRDefault="004B607F" w:rsidP="004B607F">
      <w:pPr>
        <w:rPr>
          <w:rFonts w:cs="Arial"/>
          <w:rtl/>
        </w:rPr>
      </w:pPr>
      <w:r w:rsidRPr="00BA3486">
        <w:rPr>
          <w:rFonts w:cs="Arial"/>
          <w:b/>
          <w:bCs/>
          <w:rtl/>
        </w:rPr>
        <w:t xml:space="preserve">שבועות </w:t>
      </w:r>
      <w:r w:rsidRPr="00BA3486">
        <w:rPr>
          <w:rFonts w:cs="Arial" w:hint="cs"/>
          <w:b/>
          <w:bCs/>
          <w:sz w:val="16"/>
          <w:szCs w:val="16"/>
          <w:rtl/>
        </w:rPr>
        <w:t>(</w:t>
      </w:r>
      <w:r w:rsidRPr="00BA3486">
        <w:rPr>
          <w:rFonts w:cs="Arial"/>
          <w:b/>
          <w:bCs/>
          <w:sz w:val="16"/>
          <w:szCs w:val="16"/>
          <w:rtl/>
        </w:rPr>
        <w:t>פרק שבועת העדות</w:t>
      </w:r>
      <w:r w:rsidRPr="00BA3486">
        <w:rPr>
          <w:rFonts w:cs="Arial" w:hint="cs"/>
          <w:b/>
          <w:bCs/>
          <w:sz w:val="16"/>
          <w:szCs w:val="16"/>
          <w:rtl/>
        </w:rPr>
        <w:t>)</w:t>
      </w:r>
      <w:r w:rsidRPr="00BA3486">
        <w:rPr>
          <w:rFonts w:cs="Arial"/>
          <w:b/>
          <w:bCs/>
          <w:sz w:val="16"/>
          <w:szCs w:val="16"/>
          <w:rtl/>
        </w:rPr>
        <w:t xml:space="preserve"> </w:t>
      </w:r>
      <w:r w:rsidRPr="00BA3486">
        <w:rPr>
          <w:rFonts w:cs="Arial"/>
          <w:b/>
          <w:bCs/>
          <w:rtl/>
        </w:rPr>
        <w:t>לא</w:t>
      </w:r>
      <w:r>
        <w:rPr>
          <w:rStyle w:val="ab"/>
          <w:rFonts w:cs="Arial"/>
          <w:b/>
          <w:bCs/>
          <w:rtl/>
        </w:rPr>
        <w:footnoteReference w:id="1561"/>
      </w:r>
      <w:r w:rsidRPr="00BA3486">
        <w:rPr>
          <w:rFonts w:cs="Arial" w:hint="cs"/>
          <w:b/>
          <w:bCs/>
          <w:rtl/>
        </w:rPr>
        <w:t xml:space="preserve"> ע"ב:</w:t>
      </w:r>
      <w:r w:rsidRPr="00405919">
        <w:rPr>
          <w:rFonts w:cs="Arial"/>
          <w:rtl/>
        </w:rPr>
        <w:t xml:space="preserve"> </w:t>
      </w:r>
      <w:r w:rsidRPr="008F352A">
        <w:rPr>
          <w:rFonts w:cs="Arial" w:hint="cs"/>
          <w:u w:val="double"/>
          <w:rtl/>
        </w:rPr>
        <w:t>מתני'</w:t>
      </w:r>
      <w:r>
        <w:rPr>
          <w:rFonts w:cs="Arial" w:hint="cs"/>
          <w:rtl/>
        </w:rPr>
        <w:t>:...</w:t>
      </w:r>
      <w:r w:rsidRPr="00BA3486">
        <w:rPr>
          <w:rtl/>
        </w:rPr>
        <w:t xml:space="preserve"> </w:t>
      </w:r>
      <w:r w:rsidRPr="00BA3486">
        <w:rPr>
          <w:rFonts w:cs="Arial"/>
          <w:rtl/>
        </w:rPr>
        <w:t xml:space="preserve">השביע עליהן ה' פעמים בפני ב"ד וכפרו - אינן חייבין אלא אחת. </w:t>
      </w:r>
      <w:r w:rsidRPr="00BA3486">
        <w:rPr>
          <w:rFonts w:cs="Arial"/>
          <w:u w:val="single"/>
          <w:rtl/>
        </w:rPr>
        <w:t>א</w:t>
      </w:r>
      <w:r w:rsidRPr="00BA3486">
        <w:rPr>
          <w:rFonts w:cs="Arial" w:hint="cs"/>
          <w:u w:val="single"/>
          <w:rtl/>
        </w:rPr>
        <w:t xml:space="preserve">מר </w:t>
      </w:r>
      <w:r w:rsidRPr="00BA3486">
        <w:rPr>
          <w:rFonts w:cs="Arial"/>
          <w:u w:val="single"/>
          <w:rtl/>
        </w:rPr>
        <w:t>ר</w:t>
      </w:r>
      <w:r w:rsidRPr="00BA3486">
        <w:rPr>
          <w:rFonts w:cs="Arial" w:hint="cs"/>
          <w:u w:val="single"/>
          <w:rtl/>
        </w:rPr>
        <w:t xml:space="preserve">בי </w:t>
      </w:r>
      <w:r w:rsidRPr="00BA3486">
        <w:rPr>
          <w:rFonts w:cs="Arial"/>
          <w:u w:val="single"/>
          <w:rtl/>
        </w:rPr>
        <w:t>ש</w:t>
      </w:r>
      <w:r w:rsidRPr="00BA3486">
        <w:rPr>
          <w:rFonts w:cs="Arial" w:hint="cs"/>
          <w:u w:val="single"/>
          <w:rtl/>
        </w:rPr>
        <w:t>מעון</w:t>
      </w:r>
      <w:r w:rsidRPr="00BA3486">
        <w:rPr>
          <w:rFonts w:cs="Arial"/>
          <w:rtl/>
        </w:rPr>
        <w:t>: מה טעם? הואיל ואינם יכולין לחזור ולהודות.</w:t>
      </w:r>
    </w:p>
    <w:p w14:paraId="233D521D" w14:textId="77777777" w:rsidR="004B607F" w:rsidRPr="00405919" w:rsidRDefault="004B607F" w:rsidP="004B607F">
      <w:pPr>
        <w:rPr>
          <w:rFonts w:cs="Arial"/>
          <w:rtl/>
        </w:rPr>
      </w:pPr>
      <w:r w:rsidRPr="00BA3486">
        <w:rPr>
          <w:rFonts w:cs="Arial"/>
          <w:b/>
          <w:bCs/>
          <w:rtl/>
        </w:rPr>
        <w:t xml:space="preserve">סנהדרין </w:t>
      </w:r>
      <w:r w:rsidRPr="00BA3486">
        <w:rPr>
          <w:rFonts w:cs="Arial" w:hint="cs"/>
          <w:b/>
          <w:bCs/>
          <w:sz w:val="16"/>
          <w:szCs w:val="16"/>
          <w:rtl/>
        </w:rPr>
        <w:t>(</w:t>
      </w:r>
      <w:r w:rsidRPr="00BA3486">
        <w:rPr>
          <w:rFonts w:cs="Arial"/>
          <w:b/>
          <w:bCs/>
          <w:sz w:val="16"/>
          <w:szCs w:val="16"/>
          <w:rtl/>
        </w:rPr>
        <w:t>פרק נגמר הדין</w:t>
      </w:r>
      <w:r w:rsidRPr="00BA3486">
        <w:rPr>
          <w:rFonts w:cs="Arial" w:hint="cs"/>
          <w:b/>
          <w:bCs/>
          <w:sz w:val="16"/>
          <w:szCs w:val="16"/>
          <w:rtl/>
        </w:rPr>
        <w:t>)</w:t>
      </w:r>
      <w:r w:rsidRPr="00BA3486">
        <w:rPr>
          <w:rFonts w:cs="Arial"/>
          <w:b/>
          <w:bCs/>
          <w:sz w:val="16"/>
          <w:szCs w:val="16"/>
          <w:rtl/>
        </w:rPr>
        <w:t xml:space="preserve"> </w:t>
      </w:r>
      <w:r w:rsidRPr="00BA3486">
        <w:rPr>
          <w:rFonts w:cs="Arial"/>
          <w:b/>
          <w:bCs/>
          <w:rtl/>
        </w:rPr>
        <w:t>מ</w:t>
      </w:r>
      <w:r>
        <w:rPr>
          <w:rFonts w:cs="Arial" w:hint="cs"/>
          <w:b/>
          <w:bCs/>
          <w:rtl/>
        </w:rPr>
        <w:t>ד</w:t>
      </w:r>
      <w:r>
        <w:rPr>
          <w:rStyle w:val="ab"/>
          <w:rFonts w:cs="Arial"/>
          <w:b/>
          <w:bCs/>
          <w:rtl/>
        </w:rPr>
        <w:footnoteReference w:id="1562"/>
      </w:r>
      <w:r w:rsidRPr="00BA3486">
        <w:rPr>
          <w:rFonts w:cs="Arial" w:hint="cs"/>
          <w:b/>
          <w:bCs/>
          <w:rtl/>
        </w:rPr>
        <w:t xml:space="preserve"> ע"ב:</w:t>
      </w:r>
      <w:r w:rsidRPr="00405919">
        <w:rPr>
          <w:rFonts w:cs="Arial"/>
          <w:rtl/>
        </w:rPr>
        <w:t xml:space="preserve"> </w:t>
      </w:r>
      <w:r w:rsidRPr="008C0EF9">
        <w:rPr>
          <w:rFonts w:cs="Arial"/>
          <w:rtl/>
        </w:rPr>
        <w:t xml:space="preserve">תנו רבנן: מעשה באדם אחד שיצא ליהרג, אמר: אם יש בי עון זה - לא תהא מיתתי כפרה לכל עונותי, ואם אין בי עון זה - תהא מיתתי כפרה לכל עונותי, ובית דין וכל ישראל מנוקין, והעדים לא תהא להם מחילה לעולם. וכששמעו חכמים בדבר, אמרו: להחזירו - אי אפשר, שכבר נגזרה גזירה. אלא: יהרג, ויהא קולר תלוי בצואר עדים. פשיטא! כל כמיניה? </w:t>
      </w:r>
      <w:r w:rsidRPr="00BA3486">
        <w:rPr>
          <w:rFonts w:cs="Arial"/>
          <w:rtl/>
        </w:rPr>
        <w:t>לא צריכא, דקא הדרי בהו סהדי. וכי הדרי בהו מאי הוי? כיון שהגיד - שוב אינו חוזר ומגיד! לא צריכא, דאף על גב דקא יהבי טעמא למילתייהו</w:t>
      </w:r>
      <w:r>
        <w:rPr>
          <w:rFonts w:cs="Arial" w:hint="cs"/>
          <w:rtl/>
        </w:rPr>
        <w:t xml:space="preserve">, </w:t>
      </w:r>
      <w:r w:rsidRPr="007E5229">
        <w:rPr>
          <w:rFonts w:cs="Arial"/>
          <w:rtl/>
        </w:rPr>
        <w:t>כי ההוא מעשה דבעיא מיכסא</w:t>
      </w:r>
      <w:r>
        <w:rPr>
          <w:rFonts w:cs="Arial" w:hint="cs"/>
          <w:rtl/>
        </w:rPr>
        <w:t xml:space="preserve">. </w:t>
      </w:r>
      <w:r w:rsidRPr="008F352A">
        <w:rPr>
          <w:rFonts w:cs="Arial" w:hint="cs"/>
          <w:sz w:val="16"/>
          <w:szCs w:val="16"/>
          <w:rtl/>
        </w:rPr>
        <w:t>(</w:t>
      </w:r>
      <w:r w:rsidRPr="008F352A">
        <w:rPr>
          <w:rFonts w:cs="Arial"/>
          <w:sz w:val="16"/>
          <w:szCs w:val="16"/>
          <w:rtl/>
        </w:rPr>
        <w:t>וכתב הרמב"ם פ"ג מהל</w:t>
      </w:r>
      <w:r>
        <w:rPr>
          <w:rFonts w:cs="Arial" w:hint="cs"/>
          <w:sz w:val="16"/>
          <w:szCs w:val="16"/>
          <w:rtl/>
        </w:rPr>
        <w:t>'</w:t>
      </w:r>
      <w:r w:rsidRPr="008F352A">
        <w:rPr>
          <w:rFonts w:cs="Arial"/>
          <w:sz w:val="16"/>
          <w:szCs w:val="16"/>
          <w:rtl/>
        </w:rPr>
        <w:t xml:space="preserve"> עדות (ה"ה) שהוא הדין אם אמרו לפחדו עשינו לא מהימני</w:t>
      </w:r>
      <w:r>
        <w:rPr>
          <w:rFonts w:cs="Arial" w:hint="cs"/>
          <w:sz w:val="16"/>
          <w:szCs w:val="16"/>
          <w:rtl/>
        </w:rPr>
        <w:t>.</w:t>
      </w:r>
      <w:r w:rsidRPr="008F352A">
        <w:rPr>
          <w:rFonts w:cs="Arial"/>
          <w:sz w:val="16"/>
          <w:szCs w:val="16"/>
          <w:rtl/>
        </w:rPr>
        <w:t xml:space="preserve"> ופשוט הוא</w:t>
      </w:r>
      <w:r>
        <w:rPr>
          <w:rFonts w:cs="Arial" w:hint="cs"/>
          <w:sz w:val="16"/>
          <w:szCs w:val="16"/>
          <w:rtl/>
        </w:rPr>
        <w:t>,</w:t>
      </w:r>
      <w:r w:rsidRPr="008F352A">
        <w:rPr>
          <w:rFonts w:cs="Arial"/>
          <w:sz w:val="16"/>
          <w:szCs w:val="16"/>
          <w:rtl/>
        </w:rPr>
        <w:t xml:space="preserve"> ועיין במה שכתבתי לקמן בסימן זה</w:t>
      </w:r>
      <w:r>
        <w:rPr>
          <w:rFonts w:cs="Arial" w:hint="cs"/>
          <w:sz w:val="16"/>
          <w:szCs w:val="16"/>
          <w:rtl/>
        </w:rPr>
        <w:t>, ב"י)</w:t>
      </w:r>
    </w:p>
    <w:p w14:paraId="0283F483" w14:textId="77777777" w:rsidR="004B607F" w:rsidRDefault="004B607F" w:rsidP="004B607F">
      <w:pPr>
        <w:rPr>
          <w:rFonts w:cs="Arial"/>
          <w:rtl/>
        </w:rPr>
      </w:pPr>
      <w:r w:rsidRPr="00024C15">
        <w:rPr>
          <w:rFonts w:cs="Arial" w:hint="cs"/>
          <w:u w:val="single"/>
          <w:rtl/>
        </w:rPr>
        <w:t>עד שהעיד ועכשיו רוצה לחזור ולהעיד</w:t>
      </w:r>
      <w:r>
        <w:rPr>
          <w:rFonts w:cs="Arial" w:hint="cs"/>
          <w:u w:val="single"/>
          <w:rtl/>
        </w:rPr>
        <w:t xml:space="preserve"> על אותה עדות</w:t>
      </w:r>
      <w:r w:rsidRPr="00024C15">
        <w:rPr>
          <w:rFonts w:cs="Arial" w:hint="cs"/>
          <w:u w:val="single"/>
          <w:rtl/>
        </w:rPr>
        <w:t>:</w:t>
      </w:r>
    </w:p>
    <w:p w14:paraId="1B47EE21" w14:textId="77777777" w:rsidR="004B607F" w:rsidRDefault="004B607F" w:rsidP="004B0475">
      <w:pPr>
        <w:pStyle w:val="ac"/>
        <w:numPr>
          <w:ilvl w:val="0"/>
          <w:numId w:val="79"/>
        </w:numPr>
        <w:rPr>
          <w:rtl/>
        </w:rPr>
      </w:pPr>
      <w:r>
        <w:rPr>
          <w:rFonts w:cs="Arial" w:hint="cs"/>
          <w:rtl/>
        </w:rPr>
        <w:t xml:space="preserve">רמב"ם </w:t>
      </w:r>
      <w:r>
        <w:rPr>
          <w:rFonts w:cs="Arial" w:hint="cs"/>
          <w:sz w:val="16"/>
          <w:szCs w:val="16"/>
          <w:rtl/>
        </w:rPr>
        <w:t>(פ"ג מעדות ה"ה)</w:t>
      </w:r>
      <w:r>
        <w:rPr>
          <w:rFonts w:cs="Arial" w:hint="cs"/>
          <w:rtl/>
        </w:rPr>
        <w:t xml:space="preserve"> וטור- </w:t>
      </w:r>
      <w:r w:rsidRPr="00467353">
        <w:rPr>
          <w:rFonts w:cs="Arial"/>
          <w:rtl/>
        </w:rPr>
        <w:t xml:space="preserve">כל עד שנחקרה עדותו בבית דין בין בדיני ממונות בין בדיני נפשות </w:t>
      </w:r>
      <w:r>
        <w:rPr>
          <w:rFonts w:cs="Arial" w:hint="cs"/>
          <w:rtl/>
        </w:rPr>
        <w:t xml:space="preserve">- </w:t>
      </w:r>
      <w:r w:rsidRPr="00467353">
        <w:rPr>
          <w:rFonts w:cs="Arial"/>
          <w:rtl/>
        </w:rPr>
        <w:t>אין יכול לחזור בו</w:t>
      </w:r>
      <w:r>
        <w:rPr>
          <w:rFonts w:cs="Arial" w:hint="cs"/>
          <w:rtl/>
        </w:rPr>
        <w:t>.</w:t>
      </w:r>
      <w:r w:rsidRPr="00467353">
        <w:rPr>
          <w:rFonts w:cs="Arial"/>
          <w:rtl/>
        </w:rPr>
        <w:t xml:space="preserve"> כיצד</w:t>
      </w:r>
      <w:r>
        <w:rPr>
          <w:rFonts w:cs="Arial" w:hint="cs"/>
          <w:rtl/>
        </w:rPr>
        <w:t>,</w:t>
      </w:r>
      <w:r w:rsidRPr="00467353">
        <w:rPr>
          <w:rFonts w:cs="Arial"/>
          <w:rtl/>
        </w:rPr>
        <w:t xml:space="preserve"> אמר מוטעה הייתי שוגג הייתי ונזכרתי שאין הדבר כן, לפחדו עשיתי אין שומעין לו אפילו נתן טעם לדבריו</w:t>
      </w:r>
      <w:r>
        <w:rPr>
          <w:rFonts w:hint="cs"/>
          <w:rtl/>
        </w:rPr>
        <w:t>...</w:t>
      </w:r>
      <w:r w:rsidRPr="00467353">
        <w:rPr>
          <w:rFonts w:cs="Arial" w:hint="cs"/>
          <w:color w:val="E36C0A" w:themeColor="accent6" w:themeShade="BF"/>
          <w:rtl/>
        </w:rPr>
        <w:t xml:space="preserve"> </w:t>
      </w:r>
      <w:r w:rsidRPr="007657C5">
        <w:rPr>
          <w:rFonts w:cs="Arial" w:hint="cs"/>
          <w:color w:val="E36C0A" w:themeColor="accent6" w:themeShade="BF"/>
          <w:rtl/>
        </w:rPr>
        <w:t>(וכ"פ בשו"ע)</w:t>
      </w:r>
    </w:p>
    <w:p w14:paraId="318725BC" w14:textId="77777777" w:rsidR="004B607F" w:rsidRDefault="004B607F" w:rsidP="004B607F">
      <w:pPr>
        <w:rPr>
          <w:rFonts w:cs="Arial"/>
          <w:sz w:val="16"/>
          <w:szCs w:val="16"/>
          <w:rtl/>
        </w:rPr>
      </w:pPr>
      <w:r w:rsidRPr="008F352A">
        <w:rPr>
          <w:rFonts w:cs="Arial" w:hint="cs"/>
          <w:b/>
          <w:bCs/>
          <w:rtl/>
        </w:rPr>
        <w:t xml:space="preserve">בבא </w:t>
      </w:r>
      <w:r w:rsidRPr="008F352A">
        <w:rPr>
          <w:rFonts w:cs="Arial"/>
          <w:b/>
          <w:bCs/>
          <w:rtl/>
        </w:rPr>
        <w:t>מציעא</w:t>
      </w:r>
      <w:r w:rsidRPr="008F352A">
        <w:rPr>
          <w:rFonts w:cs="Arial" w:hint="cs"/>
          <w:b/>
          <w:bCs/>
          <w:sz w:val="16"/>
          <w:szCs w:val="16"/>
          <w:rtl/>
        </w:rPr>
        <w:t xml:space="preserve"> (פ"ב)</w:t>
      </w:r>
      <w:r w:rsidRPr="008F352A">
        <w:rPr>
          <w:rFonts w:cs="Arial"/>
          <w:b/>
          <w:bCs/>
          <w:rtl/>
        </w:rPr>
        <w:t xml:space="preserve"> כח</w:t>
      </w:r>
      <w:r>
        <w:rPr>
          <w:rStyle w:val="ab"/>
          <w:rFonts w:cs="Arial"/>
          <w:b/>
          <w:bCs/>
          <w:rtl/>
        </w:rPr>
        <w:footnoteReference w:id="1563"/>
      </w:r>
      <w:r w:rsidRPr="008F352A">
        <w:rPr>
          <w:rFonts w:cs="Arial" w:hint="cs"/>
          <w:b/>
          <w:bCs/>
          <w:rtl/>
        </w:rPr>
        <w:t xml:space="preserve"> ע"ב:</w:t>
      </w:r>
      <w:r>
        <w:rPr>
          <w:rFonts w:cs="Arial" w:hint="cs"/>
          <w:rtl/>
        </w:rPr>
        <w:t xml:space="preserve"> </w:t>
      </w:r>
      <w:r w:rsidRPr="00480ABF">
        <w:rPr>
          <w:rFonts w:cs="Arial"/>
          <w:rtl/>
        </w:rPr>
        <w:t>והרמאי אף על פי שאמר את סימניה הרי זה לא יתן לו. תנו רבנן: בראשונה כל מי שאבדה לו אבידה - היה נותן סימנין ונוטלה. משרבו הרמאין, התקינו שיהו אומרים לו: צא והבא עדים דלאו רמאי את, וטול. כי הא ד</w:t>
      </w:r>
      <w:r w:rsidRPr="008F352A">
        <w:rPr>
          <w:rFonts w:cs="Arial"/>
          <w:rtl/>
        </w:rPr>
        <w:t>אבוה דרב פפא אירכס ליה חמרא ואשכחוה. אתא לקמיה דרבה בר רב הונא, אמר ליה: זיל אייתי סהדי דלאו רמאי את, וטול. אזל אייתי סהדי, אמר להו: ידעיתון ביה דרמאי הוא? אמרו ליה: אין</w:t>
      </w:r>
      <w:r>
        <w:rPr>
          <w:rStyle w:val="ab"/>
          <w:rFonts w:cs="Arial"/>
          <w:rtl/>
        </w:rPr>
        <w:footnoteReference w:id="1564"/>
      </w:r>
      <w:r w:rsidRPr="008F352A">
        <w:rPr>
          <w:rFonts w:cs="Arial"/>
          <w:rtl/>
        </w:rPr>
        <w:t xml:space="preserve">. אמר להו: אנא רמאה אנא? אמרו ליה: אנן </w:t>
      </w:r>
      <w:r>
        <w:rPr>
          <w:rFonts w:cs="Arial" w:hint="cs"/>
          <w:rtl/>
        </w:rPr>
        <w:t>'</w:t>
      </w:r>
      <w:r w:rsidRPr="008F352A">
        <w:rPr>
          <w:rFonts w:cs="Arial"/>
          <w:rtl/>
        </w:rPr>
        <w:t>לאו רמאי את</w:t>
      </w:r>
      <w:r>
        <w:rPr>
          <w:rFonts w:cs="Arial" w:hint="cs"/>
          <w:rtl/>
        </w:rPr>
        <w:t>'</w:t>
      </w:r>
      <w:r w:rsidRPr="008F352A">
        <w:rPr>
          <w:rFonts w:cs="Arial"/>
          <w:rtl/>
        </w:rPr>
        <w:t xml:space="preserve"> קאמרינן. </w:t>
      </w:r>
      <w:r w:rsidRPr="008F352A">
        <w:rPr>
          <w:rFonts w:cs="Arial"/>
          <w:u w:val="single"/>
          <w:rtl/>
        </w:rPr>
        <w:t>אמר רבה בר רב הונא</w:t>
      </w:r>
      <w:r w:rsidRPr="008F352A">
        <w:rPr>
          <w:rFonts w:cs="Arial"/>
          <w:rtl/>
        </w:rPr>
        <w:t>: מסתברא</w:t>
      </w:r>
      <w:r>
        <w:rPr>
          <w:rStyle w:val="ab"/>
          <w:rFonts w:cs="Arial"/>
          <w:rtl/>
        </w:rPr>
        <w:footnoteReference w:id="1565"/>
      </w:r>
      <w:r w:rsidRPr="008F352A">
        <w:rPr>
          <w:rFonts w:cs="Arial"/>
          <w:rtl/>
        </w:rPr>
        <w:t>, לא מייתי איניש חובתא לנפשיה</w:t>
      </w:r>
      <w:r>
        <w:rPr>
          <w:rStyle w:val="ab"/>
          <w:rFonts w:cs="Arial"/>
          <w:rtl/>
        </w:rPr>
        <w:footnoteReference w:id="1566"/>
      </w:r>
      <w:r w:rsidRPr="008F352A">
        <w:rPr>
          <w:rFonts w:cs="Arial"/>
          <w:rtl/>
        </w:rPr>
        <w:t>.</w:t>
      </w:r>
    </w:p>
    <w:p w14:paraId="28BF5B30" w14:textId="77777777" w:rsidR="004B607F" w:rsidRDefault="004B607F" w:rsidP="004B607F">
      <w:pPr>
        <w:rPr>
          <w:rFonts w:cs="Arial"/>
          <w:u w:val="single"/>
          <w:rtl/>
        </w:rPr>
      </w:pPr>
      <w:r>
        <w:rPr>
          <w:rFonts w:cs="Arial" w:hint="cs"/>
          <w:u w:val="single"/>
          <w:rtl/>
        </w:rPr>
        <w:t>האם אומרים במקרים הבאים - 'כיון שהגיד שוב אינו חוזר ומגיד':</w:t>
      </w:r>
    </w:p>
    <w:p w14:paraId="501A1BA0" w14:textId="77777777" w:rsidR="004B607F" w:rsidRPr="00E87027" w:rsidRDefault="004B607F" w:rsidP="004B607F">
      <w:pPr>
        <w:ind w:left="360"/>
        <w:rPr>
          <w:rFonts w:cs="Arial"/>
          <w:u w:val="dotted"/>
          <w:rtl/>
        </w:rPr>
      </w:pPr>
      <w:r w:rsidRPr="00E87027">
        <w:rPr>
          <w:rFonts w:cs="Arial" w:hint="cs"/>
          <w:u w:val="dotted"/>
          <w:rtl/>
        </w:rPr>
        <w:t xml:space="preserve">עדים שאמרו </w:t>
      </w:r>
      <w:r>
        <w:rPr>
          <w:rFonts w:cs="Arial" w:hint="cs"/>
          <w:u w:val="dotted"/>
          <w:rtl/>
        </w:rPr>
        <w:t>ל</w:t>
      </w:r>
      <w:r w:rsidRPr="00E87027">
        <w:rPr>
          <w:rFonts w:cs="Arial" w:hint="cs"/>
          <w:u w:val="dotted"/>
          <w:rtl/>
        </w:rPr>
        <w:t xml:space="preserve">היפך ממה שלשמו הביאם בעל </w:t>
      </w:r>
      <w:r>
        <w:rPr>
          <w:rFonts w:cs="Arial" w:hint="cs"/>
          <w:u w:val="dotted"/>
          <w:rtl/>
        </w:rPr>
        <w:t>ה</w:t>
      </w:r>
      <w:r w:rsidRPr="00E87027">
        <w:rPr>
          <w:rFonts w:cs="Arial" w:hint="cs"/>
          <w:u w:val="dotted"/>
          <w:rtl/>
        </w:rPr>
        <w:t>דין</w:t>
      </w:r>
      <w:r>
        <w:rPr>
          <w:rFonts w:cs="Arial" w:hint="cs"/>
          <w:u w:val="dotted"/>
          <w:rtl/>
        </w:rPr>
        <w:t xml:space="preserve"> וחזרו בהם</w:t>
      </w:r>
      <w:r w:rsidRPr="00E87027">
        <w:rPr>
          <w:rFonts w:cs="Arial" w:hint="cs"/>
          <w:u w:val="dotted"/>
          <w:rtl/>
        </w:rPr>
        <w:t xml:space="preserve">: </w:t>
      </w:r>
    </w:p>
    <w:p w14:paraId="14A2A524" w14:textId="77777777" w:rsidR="004B607F" w:rsidRPr="00D44E48" w:rsidRDefault="004B607F" w:rsidP="004B0475">
      <w:pPr>
        <w:pStyle w:val="ac"/>
        <w:numPr>
          <w:ilvl w:val="0"/>
          <w:numId w:val="79"/>
        </w:numPr>
        <w:rPr>
          <w:rFonts w:cs="Arial"/>
          <w:rtl/>
        </w:rPr>
      </w:pPr>
      <w:r w:rsidRPr="00913210">
        <w:rPr>
          <w:rFonts w:cs="Arial"/>
          <w:rtl/>
        </w:rPr>
        <w:t xml:space="preserve">רי"ף </w:t>
      </w:r>
      <w:r w:rsidRPr="00913210">
        <w:rPr>
          <w:rFonts w:cs="Arial"/>
          <w:sz w:val="16"/>
          <w:szCs w:val="16"/>
          <w:rtl/>
        </w:rPr>
        <w:t xml:space="preserve">(טו.) </w:t>
      </w:r>
      <w:r w:rsidRPr="00913210">
        <w:rPr>
          <w:rFonts w:cs="Arial"/>
          <w:rtl/>
        </w:rPr>
        <w:t xml:space="preserve">רא"ש </w:t>
      </w:r>
      <w:r w:rsidRPr="00913210">
        <w:rPr>
          <w:rFonts w:cs="Arial"/>
          <w:sz w:val="16"/>
          <w:szCs w:val="16"/>
          <w:rtl/>
        </w:rPr>
        <w:t>(סי' טו)</w:t>
      </w:r>
      <w:r>
        <w:rPr>
          <w:rFonts w:cs="Arial" w:hint="cs"/>
          <w:rtl/>
        </w:rPr>
        <w:t xml:space="preserve"> וטור-</w:t>
      </w:r>
      <w:r w:rsidRPr="00913210">
        <w:rPr>
          <w:rFonts w:cs="Arial"/>
          <w:rtl/>
        </w:rPr>
        <w:t xml:space="preserve"> הני</w:t>
      </w:r>
      <w:r>
        <w:rPr>
          <w:rFonts w:cs="Arial" w:hint="cs"/>
          <w:rtl/>
        </w:rPr>
        <w:t xml:space="preserve"> </w:t>
      </w:r>
      <w:r>
        <w:rPr>
          <w:rFonts w:cs="Arial" w:hint="cs"/>
          <w:sz w:val="16"/>
          <w:szCs w:val="16"/>
          <w:rtl/>
        </w:rPr>
        <w:t>{עדים, בגמ' לעיל</w:t>
      </w:r>
      <w:r>
        <w:rPr>
          <w:rFonts w:cs="Arial" w:hint="cs"/>
          <w:sz w:val="14"/>
          <w:szCs w:val="14"/>
          <w:rtl/>
        </w:rPr>
        <w:t xml:space="preserve"> [ב"מ כח:]</w:t>
      </w:r>
      <w:r>
        <w:rPr>
          <w:rFonts w:cs="Arial" w:hint="cs"/>
          <w:sz w:val="16"/>
          <w:szCs w:val="16"/>
          <w:rtl/>
        </w:rPr>
        <w:t>}</w:t>
      </w:r>
      <w:r w:rsidRPr="00913210">
        <w:rPr>
          <w:rFonts w:cs="Arial"/>
          <w:rtl/>
        </w:rPr>
        <w:t xml:space="preserve"> ודאי מיטעא </w:t>
      </w:r>
      <w:r>
        <w:rPr>
          <w:rFonts w:cs="Arial" w:hint="cs"/>
          <w:rtl/>
        </w:rPr>
        <w:t xml:space="preserve">קא </w:t>
      </w:r>
      <w:r w:rsidRPr="00913210">
        <w:rPr>
          <w:rFonts w:cs="Arial"/>
          <w:rtl/>
        </w:rPr>
        <w:t>טעו</w:t>
      </w:r>
      <w:r>
        <w:rPr>
          <w:rStyle w:val="ab"/>
          <w:rFonts w:cs="Arial"/>
          <w:rtl/>
        </w:rPr>
        <w:footnoteReference w:id="1567"/>
      </w:r>
      <w:r w:rsidRPr="00913210">
        <w:rPr>
          <w:rFonts w:cs="Arial" w:hint="cs"/>
          <w:rtl/>
        </w:rPr>
        <w:t>,</w:t>
      </w:r>
      <w:r w:rsidRPr="00913210">
        <w:rPr>
          <w:rFonts w:cs="Arial"/>
          <w:rtl/>
        </w:rPr>
        <w:t xml:space="preserve"> ולא אמרינן בכי הא כיון שהגיד שוב אינו חוזר ומגיד</w:t>
      </w:r>
      <w:r>
        <w:rPr>
          <w:rFonts w:cs="Arial" w:hint="cs"/>
          <w:sz w:val="16"/>
          <w:szCs w:val="16"/>
          <w:rtl/>
        </w:rPr>
        <w:t xml:space="preserve"> (ל' הרי"ף)</w:t>
      </w:r>
      <w:r w:rsidRPr="00D44E48">
        <w:rPr>
          <w:rStyle w:val="ab"/>
          <w:rFonts w:cs="Arial"/>
          <w:rtl/>
        </w:rPr>
        <w:footnoteReference w:id="1568"/>
      </w:r>
      <w:r>
        <w:rPr>
          <w:rFonts w:cs="Arial" w:hint="cs"/>
          <w:rtl/>
        </w:rPr>
        <w:t xml:space="preserve">. </w:t>
      </w:r>
      <w:r w:rsidRPr="007657C5">
        <w:rPr>
          <w:rFonts w:cs="Arial" w:hint="cs"/>
          <w:color w:val="E36C0A" w:themeColor="accent6" w:themeShade="BF"/>
          <w:rtl/>
        </w:rPr>
        <w:t>(וכ"פ בשו"ע)</w:t>
      </w:r>
    </w:p>
    <w:p w14:paraId="3EA60BA7" w14:textId="77777777" w:rsidR="004B607F" w:rsidRPr="007657C5" w:rsidRDefault="004B607F" w:rsidP="004B607F">
      <w:pPr>
        <w:ind w:left="360"/>
        <w:rPr>
          <w:rFonts w:cs="Arial"/>
          <w:u w:val="dotted"/>
          <w:rtl/>
        </w:rPr>
      </w:pPr>
      <w:r w:rsidRPr="007657C5">
        <w:rPr>
          <w:rFonts w:cs="Arial" w:hint="cs"/>
          <w:u w:val="dotted"/>
          <w:rtl/>
        </w:rPr>
        <w:lastRenderedPageBreak/>
        <w:t xml:space="preserve">עדים </w:t>
      </w:r>
      <w:r>
        <w:rPr>
          <w:rFonts w:cs="Arial" w:hint="cs"/>
          <w:u w:val="dotted"/>
          <w:rtl/>
        </w:rPr>
        <w:t>שטעו ב</w:t>
      </w:r>
      <w:r w:rsidRPr="007657C5">
        <w:rPr>
          <w:rFonts w:cs="Arial" w:hint="cs"/>
          <w:u w:val="dotted"/>
          <w:rtl/>
        </w:rPr>
        <w:t>דברים שמצוי לעדים לטעות בהם:</w:t>
      </w:r>
    </w:p>
    <w:p w14:paraId="0319DAA4" w14:textId="77777777" w:rsidR="004B607F" w:rsidRPr="009C5CA7" w:rsidRDefault="004B607F" w:rsidP="004B0475">
      <w:pPr>
        <w:pStyle w:val="ac"/>
        <w:numPr>
          <w:ilvl w:val="0"/>
          <w:numId w:val="82"/>
        </w:numPr>
        <w:rPr>
          <w:rFonts w:cs="Arial"/>
          <w:rtl/>
        </w:rPr>
      </w:pPr>
      <w:r w:rsidRPr="009C5CA7">
        <w:rPr>
          <w:rFonts w:cs="Arial"/>
          <w:rtl/>
        </w:rPr>
        <w:t xml:space="preserve">ר"ן </w:t>
      </w:r>
      <w:r w:rsidRPr="009C5CA7">
        <w:rPr>
          <w:rFonts w:cs="Arial"/>
          <w:sz w:val="16"/>
          <w:szCs w:val="16"/>
          <w:rtl/>
        </w:rPr>
        <w:t>(</w:t>
      </w:r>
      <w:r w:rsidRPr="009C5CA7">
        <w:rPr>
          <w:rFonts w:cs="Arial" w:hint="cs"/>
          <w:sz w:val="16"/>
          <w:szCs w:val="16"/>
          <w:rtl/>
        </w:rPr>
        <w:t xml:space="preserve">פ"ק דר"ה </w:t>
      </w:r>
      <w:r w:rsidRPr="009C5CA7">
        <w:rPr>
          <w:rFonts w:cs="Arial"/>
          <w:sz w:val="16"/>
          <w:szCs w:val="16"/>
          <w:rtl/>
        </w:rPr>
        <w:t xml:space="preserve">ב. ד"ה וגרסינן בירושלמי) </w:t>
      </w:r>
      <w:r w:rsidRPr="009C5CA7">
        <w:rPr>
          <w:rFonts w:cs="Arial"/>
          <w:rtl/>
        </w:rPr>
        <w:t xml:space="preserve">בשם הרז"ה </w:t>
      </w:r>
      <w:r w:rsidRPr="009C5CA7">
        <w:rPr>
          <w:rFonts w:cs="Arial"/>
          <w:sz w:val="16"/>
          <w:szCs w:val="16"/>
          <w:rtl/>
        </w:rPr>
        <w:t>(א. ד"ה למלכים)</w:t>
      </w:r>
      <w:r w:rsidRPr="009C5CA7">
        <w:rPr>
          <w:rFonts w:cs="Arial" w:hint="cs"/>
          <w:rtl/>
        </w:rPr>
        <w:t xml:space="preserve">- </w:t>
      </w:r>
      <w:r w:rsidRPr="009C5CA7">
        <w:rPr>
          <w:rFonts w:cs="Arial"/>
          <w:rtl/>
        </w:rPr>
        <w:t xml:space="preserve">כל טעות שהעדים מצויים לטעות בו </w:t>
      </w:r>
      <w:r>
        <w:rPr>
          <w:rFonts w:cs="Arial" w:hint="cs"/>
          <w:rtl/>
        </w:rPr>
        <w:t xml:space="preserve">- </w:t>
      </w:r>
      <w:r w:rsidRPr="009C5CA7">
        <w:rPr>
          <w:rFonts w:cs="Arial"/>
          <w:rtl/>
        </w:rPr>
        <w:t>נאמנים הם בעצמם ואין בזה משום חוזר ומגיד</w:t>
      </w:r>
      <w:r>
        <w:rPr>
          <w:rFonts w:cs="Arial" w:hint="cs"/>
          <w:rtl/>
        </w:rPr>
        <w:t>,</w:t>
      </w:r>
      <w:r w:rsidRPr="009C5CA7">
        <w:rPr>
          <w:rFonts w:cs="Arial"/>
          <w:rtl/>
        </w:rPr>
        <w:t xml:space="preserve"> וצריך בזה בית דין הגדול</w:t>
      </w:r>
      <w:r>
        <w:rPr>
          <w:rFonts w:cs="Arial" w:hint="cs"/>
          <w:rtl/>
        </w:rPr>
        <w:t>,</w:t>
      </w:r>
      <w:r w:rsidRPr="009C5CA7">
        <w:rPr>
          <w:rFonts w:cs="Arial"/>
          <w:rtl/>
        </w:rPr>
        <w:t xml:space="preserve"> ולהחמיץ הדין</w:t>
      </w:r>
      <w:r>
        <w:rPr>
          <w:rFonts w:cs="Arial" w:hint="cs"/>
          <w:rtl/>
        </w:rPr>
        <w:t>,</w:t>
      </w:r>
      <w:r w:rsidRPr="009C5CA7">
        <w:rPr>
          <w:rFonts w:cs="Arial"/>
          <w:rtl/>
        </w:rPr>
        <w:t xml:space="preserve"> ו</w:t>
      </w:r>
      <w:r w:rsidRPr="009C5CA7">
        <w:rPr>
          <w:rFonts w:cs="Arial" w:hint="cs"/>
          <w:rtl/>
        </w:rPr>
        <w:t>ר</w:t>
      </w:r>
      <w:r w:rsidRPr="009C5CA7">
        <w:rPr>
          <w:rFonts w:cs="Arial"/>
          <w:rtl/>
        </w:rPr>
        <w:t xml:space="preserve">איה מהירושלמי </w:t>
      </w:r>
      <w:r w:rsidRPr="009C5CA7">
        <w:rPr>
          <w:rFonts w:cs="Arial"/>
          <w:sz w:val="16"/>
          <w:szCs w:val="16"/>
          <w:rtl/>
        </w:rPr>
        <w:t>(שביעית פ"י ה"ג)</w:t>
      </w:r>
      <w:r w:rsidRPr="009C5CA7">
        <w:rPr>
          <w:rFonts w:cs="Arial" w:hint="cs"/>
          <w:rtl/>
        </w:rPr>
        <w:t>.</w:t>
      </w:r>
      <w:r w:rsidRPr="009C5CA7">
        <w:rPr>
          <w:rFonts w:cs="Arial"/>
          <w:rtl/>
        </w:rPr>
        <w:t xml:space="preserve"> </w:t>
      </w:r>
      <w:r w:rsidRPr="007657C5">
        <w:rPr>
          <w:rFonts w:cs="Arial" w:hint="cs"/>
          <w:color w:val="E36C0A" w:themeColor="accent6" w:themeShade="BF"/>
          <w:rtl/>
        </w:rPr>
        <w:t>(וכ"פ בשו"ע</w:t>
      </w:r>
      <w:r>
        <w:rPr>
          <w:rFonts w:cs="Arial" w:hint="cs"/>
          <w:color w:val="E36C0A" w:themeColor="accent6" w:themeShade="BF"/>
          <w:rtl/>
        </w:rPr>
        <w:t>)</w:t>
      </w:r>
    </w:p>
    <w:p w14:paraId="11E5784F" w14:textId="77777777" w:rsidR="004B607F" w:rsidRPr="00E87027" w:rsidRDefault="004B607F" w:rsidP="004B607F">
      <w:pPr>
        <w:ind w:left="360"/>
        <w:rPr>
          <w:rFonts w:cs="Arial"/>
          <w:u w:val="dotted"/>
        </w:rPr>
      </w:pPr>
      <w:r w:rsidRPr="00E87027">
        <w:rPr>
          <w:rFonts w:cs="Arial" w:hint="cs"/>
          <w:u w:val="dotted"/>
          <w:rtl/>
        </w:rPr>
        <w:t>בעדות שצריכה דרישה וחקירה ולא עשו דרישה וחקירה:</w:t>
      </w:r>
    </w:p>
    <w:p w14:paraId="2B45210E" w14:textId="77777777" w:rsidR="004B607F" w:rsidRPr="00D44E48" w:rsidRDefault="004B607F" w:rsidP="004B0475">
      <w:pPr>
        <w:pStyle w:val="ac"/>
        <w:numPr>
          <w:ilvl w:val="0"/>
          <w:numId w:val="79"/>
        </w:numPr>
        <w:rPr>
          <w:rFonts w:cs="Arial"/>
          <w:rtl/>
        </w:rPr>
      </w:pPr>
      <w:r w:rsidRPr="00A7552D">
        <w:rPr>
          <w:rFonts w:cs="Arial"/>
          <w:rtl/>
        </w:rPr>
        <w:t xml:space="preserve">מרדכי </w:t>
      </w:r>
      <w:r w:rsidRPr="00A7552D">
        <w:rPr>
          <w:rFonts w:cs="Arial" w:hint="cs"/>
          <w:sz w:val="16"/>
          <w:szCs w:val="16"/>
          <w:rtl/>
        </w:rPr>
        <w:t>(</w:t>
      </w:r>
      <w:r w:rsidRPr="00A7552D">
        <w:rPr>
          <w:rFonts w:cs="Arial"/>
          <w:sz w:val="16"/>
          <w:szCs w:val="16"/>
          <w:rtl/>
        </w:rPr>
        <w:t>פ</w:t>
      </w:r>
      <w:r w:rsidRPr="00A7552D">
        <w:rPr>
          <w:rFonts w:cs="Arial" w:hint="cs"/>
          <w:sz w:val="16"/>
          <w:szCs w:val="16"/>
          <w:rtl/>
        </w:rPr>
        <w:t xml:space="preserve">' אד"מ </w:t>
      </w:r>
      <w:r w:rsidRPr="00A7552D">
        <w:rPr>
          <w:rFonts w:cs="Arial"/>
          <w:sz w:val="16"/>
          <w:szCs w:val="16"/>
          <w:rtl/>
        </w:rPr>
        <w:t>סנהדרין סי' תשיא)</w:t>
      </w:r>
      <w:r w:rsidRPr="00A7552D">
        <w:rPr>
          <w:rFonts w:cs="Arial" w:hint="cs"/>
          <w:rtl/>
        </w:rPr>
        <w:t xml:space="preserve">- </w:t>
      </w:r>
      <w:r w:rsidRPr="00A7552D">
        <w:rPr>
          <w:rFonts w:cs="Arial"/>
          <w:rtl/>
        </w:rPr>
        <w:t>נשאל ר"י על אחד שהטעה להעיד שקר ע</w:t>
      </w:r>
      <w:r>
        <w:rPr>
          <w:rFonts w:cs="Arial" w:hint="cs"/>
          <w:rtl/>
        </w:rPr>
        <w:t>"</w:t>
      </w:r>
      <w:r w:rsidRPr="00A7552D">
        <w:rPr>
          <w:rFonts w:cs="Arial"/>
          <w:rtl/>
        </w:rPr>
        <w:t>י שהשביע את העדים בטעות להעיד מה שיאמר</w:t>
      </w:r>
      <w:r>
        <w:rPr>
          <w:rFonts w:cs="Arial" w:hint="cs"/>
          <w:rtl/>
        </w:rPr>
        <w:t>,</w:t>
      </w:r>
      <w:r w:rsidRPr="00A7552D">
        <w:rPr>
          <w:rFonts w:cs="Arial"/>
          <w:rtl/>
        </w:rPr>
        <w:t xml:space="preserve"> ואמר להם להעיד שקידש אשה אחת</w:t>
      </w:r>
      <w:r>
        <w:rPr>
          <w:rFonts w:cs="Arial" w:hint="cs"/>
          <w:rtl/>
        </w:rPr>
        <w:t>.</w:t>
      </w:r>
      <w:r w:rsidRPr="00A7552D">
        <w:rPr>
          <w:rFonts w:cs="Arial"/>
          <w:rtl/>
        </w:rPr>
        <w:t xml:space="preserve"> ולבסוף חזר בו אחד מן העדים</w:t>
      </w:r>
      <w:r w:rsidRPr="00A7552D">
        <w:rPr>
          <w:rFonts w:cs="Arial" w:hint="cs"/>
          <w:rtl/>
        </w:rPr>
        <w:t>.</w:t>
      </w:r>
      <w:r w:rsidRPr="00A7552D">
        <w:rPr>
          <w:rFonts w:cs="Arial"/>
          <w:rtl/>
        </w:rPr>
        <w:t xml:space="preserve"> והשיב ר"י להצריך גט להתיר הלעז</w:t>
      </w:r>
      <w:r>
        <w:rPr>
          <w:rFonts w:cs="Arial" w:hint="cs"/>
          <w:rtl/>
        </w:rPr>
        <w:t>,</w:t>
      </w:r>
      <w:r w:rsidRPr="00A7552D">
        <w:rPr>
          <w:rFonts w:cs="Arial"/>
          <w:rtl/>
        </w:rPr>
        <w:t xml:space="preserve"> ולולי כן לא היתה נזקקת לכך כי מן הדין יש לפוטרה בלא גט</w:t>
      </w:r>
      <w:r>
        <w:rPr>
          <w:rFonts w:cs="Arial" w:hint="cs"/>
          <w:rtl/>
        </w:rPr>
        <w:t>,</w:t>
      </w:r>
      <w:r w:rsidRPr="00A7552D">
        <w:rPr>
          <w:rFonts w:cs="Arial"/>
          <w:rtl/>
        </w:rPr>
        <w:t xml:space="preserve"> כי עדים שבאים לאוסרה צריכים דרישה וחקירה הואיל והיא מכחישתן</w:t>
      </w:r>
      <w:r>
        <w:rPr>
          <w:rStyle w:val="ab"/>
          <w:rFonts w:cs="Arial"/>
          <w:rtl/>
        </w:rPr>
        <w:footnoteReference w:id="1569"/>
      </w:r>
      <w:r>
        <w:rPr>
          <w:rFonts w:cs="Arial" w:hint="cs"/>
          <w:rtl/>
        </w:rPr>
        <w:t>,</w:t>
      </w:r>
      <w:r w:rsidRPr="00A7552D">
        <w:rPr>
          <w:rFonts w:cs="Arial"/>
          <w:rtl/>
        </w:rPr>
        <w:t xml:space="preserve"> וכל זמן שלא נחקרה עדותן יכולין לומר מבודין היינו</w:t>
      </w:r>
      <w:r>
        <w:rPr>
          <w:rFonts w:cs="Arial" w:hint="cs"/>
          <w:rtl/>
        </w:rPr>
        <w:t>,</w:t>
      </w:r>
      <w:r w:rsidRPr="00A7552D">
        <w:rPr>
          <w:rFonts w:cs="Arial"/>
          <w:rtl/>
        </w:rPr>
        <w:t xml:space="preserve"> ועוד דהוי כדין מרומה ובעו דרישה וחקירה</w:t>
      </w:r>
      <w:r>
        <w:rPr>
          <w:rStyle w:val="ab"/>
          <w:rFonts w:cs="Arial"/>
          <w:rtl/>
        </w:rPr>
        <w:footnoteReference w:id="1570"/>
      </w:r>
      <w:r>
        <w:rPr>
          <w:rFonts w:cs="Arial" w:hint="cs"/>
          <w:rtl/>
        </w:rPr>
        <w:t>.</w:t>
      </w:r>
      <w:r w:rsidRPr="00D44E48">
        <w:rPr>
          <w:rFonts w:cs="Arial"/>
          <w:rtl/>
        </w:rPr>
        <w:t xml:space="preserve"> </w:t>
      </w:r>
    </w:p>
    <w:p w14:paraId="1611E2F7" w14:textId="77777777" w:rsidR="004B607F" w:rsidRPr="00A1495E" w:rsidRDefault="004B607F" w:rsidP="004B607F">
      <w:pPr>
        <w:ind w:left="360"/>
        <w:rPr>
          <w:rFonts w:cs="Arial"/>
          <w:u w:val="dotted"/>
          <w:rtl/>
        </w:rPr>
      </w:pPr>
      <w:r w:rsidRPr="00A1495E">
        <w:rPr>
          <w:rFonts w:cs="Arial" w:hint="cs"/>
          <w:u w:val="dotted"/>
          <w:rtl/>
        </w:rPr>
        <w:t xml:space="preserve">כשהעד </w:t>
      </w:r>
      <w:r>
        <w:rPr>
          <w:rFonts w:cs="Arial" w:hint="cs"/>
          <w:u w:val="dotted"/>
          <w:rtl/>
        </w:rPr>
        <w:t>אינו סותר דבריו הראשונים אלא מגלה למה התכוון</w:t>
      </w:r>
      <w:r w:rsidRPr="00A1495E">
        <w:rPr>
          <w:rFonts w:cs="Arial" w:hint="cs"/>
          <w:u w:val="dotted"/>
          <w:rtl/>
        </w:rPr>
        <w:t>:</w:t>
      </w:r>
    </w:p>
    <w:p w14:paraId="473CDF25" w14:textId="77777777" w:rsidR="004B607F" w:rsidRDefault="004B607F" w:rsidP="004B0475">
      <w:pPr>
        <w:pStyle w:val="ac"/>
        <w:numPr>
          <w:ilvl w:val="0"/>
          <w:numId w:val="79"/>
        </w:numPr>
        <w:rPr>
          <w:rFonts w:cs="Arial"/>
        </w:rPr>
      </w:pPr>
      <w:r w:rsidRPr="001270DE">
        <w:rPr>
          <w:rFonts w:cs="Arial" w:hint="cs"/>
          <w:rtl/>
        </w:rPr>
        <w:t>ר"ן</w:t>
      </w:r>
      <w:r w:rsidRPr="001270DE">
        <w:rPr>
          <w:rFonts w:cs="Arial" w:hint="cs"/>
          <w:sz w:val="16"/>
          <w:szCs w:val="16"/>
          <w:rtl/>
        </w:rPr>
        <w:t xml:space="preserve"> (</w:t>
      </w:r>
      <w:r>
        <w:rPr>
          <w:rFonts w:cs="Arial" w:hint="cs"/>
          <w:sz w:val="16"/>
          <w:szCs w:val="16"/>
          <w:rtl/>
        </w:rPr>
        <w:t>סי' לד</w:t>
      </w:r>
      <w:r w:rsidRPr="001270DE">
        <w:rPr>
          <w:rFonts w:cs="Arial" w:hint="cs"/>
          <w:sz w:val="16"/>
          <w:szCs w:val="16"/>
          <w:rtl/>
        </w:rPr>
        <w:t>)</w:t>
      </w:r>
      <w:r w:rsidRPr="001270DE">
        <w:rPr>
          <w:rFonts w:cs="Arial" w:hint="cs"/>
          <w:rtl/>
        </w:rPr>
        <w:t>- שאלה,</w:t>
      </w:r>
      <w:r w:rsidRPr="001270DE">
        <w:rPr>
          <w:rFonts w:cs="Arial"/>
          <w:rtl/>
        </w:rPr>
        <w:t xml:space="preserve"> היכא שאינו סותר עיקר דבריו הראשונים כגון שהדברים סתומים וסובלים ביאור אחד משני עניינים</w:t>
      </w:r>
      <w:r>
        <w:rPr>
          <w:rFonts w:cs="Arial" w:hint="cs"/>
          <w:rtl/>
        </w:rPr>
        <w:t>,</w:t>
      </w:r>
      <w:r w:rsidRPr="001270DE">
        <w:rPr>
          <w:rFonts w:cs="Arial"/>
          <w:rtl/>
        </w:rPr>
        <w:t xml:space="preserve"> משמעות אחד קרוב ואחד רחוק</w:t>
      </w:r>
      <w:r>
        <w:rPr>
          <w:rFonts w:cs="Arial" w:hint="cs"/>
          <w:rtl/>
        </w:rPr>
        <w:t>,</w:t>
      </w:r>
      <w:r w:rsidRPr="001270DE">
        <w:rPr>
          <w:rFonts w:cs="Arial"/>
          <w:rtl/>
        </w:rPr>
        <w:t xml:space="preserve"> אם העדים יכולים לחזור ולהגיד לבאר משמעות לשון עדותם אחר שנחקרה עדותם בבית דין או לא רק שנקבל עדותם בסתם משמעות לשון הקרוב. </w:t>
      </w:r>
      <w:r w:rsidRPr="001270DE">
        <w:rPr>
          <w:rFonts w:cs="Arial" w:hint="cs"/>
          <w:rtl/>
        </w:rPr>
        <w:t>תשובה,</w:t>
      </w:r>
      <w:r w:rsidRPr="001270DE">
        <w:rPr>
          <w:rFonts w:cs="Arial"/>
          <w:rtl/>
        </w:rPr>
        <w:t xml:space="preserve"> כל שאנו יכולים לכוין דברי העד כדי שלא תהא עדותו מוכחשת יש לנו לכוין דבריו</w:t>
      </w:r>
      <w:r>
        <w:rPr>
          <w:rFonts w:cs="Arial" w:hint="cs"/>
          <w:rtl/>
        </w:rPr>
        <w:t>,</w:t>
      </w:r>
      <w:r w:rsidRPr="001270DE">
        <w:rPr>
          <w:rFonts w:cs="Arial"/>
          <w:rtl/>
        </w:rPr>
        <w:t xml:space="preserve"> כשם שיש לנו לתרץ דברי שני עדים הנראים מכחישים זה את זה כדי שתהא עדותן מכוונת תולין זה בכל מה שאיפשר</w:t>
      </w:r>
      <w:r>
        <w:rPr>
          <w:rFonts w:cs="Arial" w:hint="cs"/>
          <w:rtl/>
        </w:rPr>
        <w:t>,</w:t>
      </w:r>
      <w:r w:rsidRPr="001270DE">
        <w:rPr>
          <w:rFonts w:cs="Arial"/>
          <w:rtl/>
        </w:rPr>
        <w:t xml:space="preserve"> וזהו הוא ששנינו בפרק היו בודקין </w:t>
      </w:r>
      <w:r w:rsidRPr="001270DE">
        <w:rPr>
          <w:rFonts w:cs="Arial"/>
          <w:sz w:val="16"/>
          <w:szCs w:val="16"/>
          <w:rtl/>
        </w:rPr>
        <w:t xml:space="preserve">(סנהדרין מ.) </w:t>
      </w:r>
      <w:r w:rsidRPr="001270DE">
        <w:rPr>
          <w:rFonts w:cs="Arial"/>
          <w:rtl/>
        </w:rPr>
        <w:t>זה אומר בשנים בחדש וזה אומר בשלשה עדותן קיימת</w:t>
      </w:r>
      <w:r>
        <w:rPr>
          <w:rStyle w:val="ab"/>
          <w:rFonts w:cs="Arial"/>
          <w:rtl/>
        </w:rPr>
        <w:footnoteReference w:id="1571"/>
      </w:r>
      <w:r w:rsidRPr="001270DE">
        <w:rPr>
          <w:rFonts w:cs="Arial"/>
          <w:rtl/>
        </w:rPr>
        <w:t xml:space="preserve">. </w:t>
      </w:r>
      <w:r w:rsidRPr="007657C5">
        <w:rPr>
          <w:rFonts w:cs="Arial" w:hint="cs"/>
          <w:color w:val="E36C0A" w:themeColor="accent6" w:themeShade="BF"/>
          <w:rtl/>
        </w:rPr>
        <w:t>(וכ"פ בשו"ע</w:t>
      </w:r>
      <w:r>
        <w:rPr>
          <w:rFonts w:cs="Arial" w:hint="cs"/>
          <w:color w:val="E36C0A" w:themeColor="accent6" w:themeShade="BF"/>
          <w:rtl/>
        </w:rPr>
        <w:t>)</w:t>
      </w:r>
    </w:p>
    <w:p w14:paraId="054957E0" w14:textId="77777777" w:rsidR="004B607F" w:rsidRPr="001270DE" w:rsidRDefault="004B607F" w:rsidP="004B607F">
      <w:pPr>
        <w:rPr>
          <w:rFonts w:cs="Arial"/>
          <w:u w:val="single"/>
        </w:rPr>
      </w:pPr>
      <w:r w:rsidRPr="001270DE">
        <w:rPr>
          <w:rFonts w:cs="Arial"/>
          <w:u w:val="single"/>
          <w:rtl/>
        </w:rPr>
        <w:t>עדים שהעידו בבית דין וחזרו והעידו בחילוף</w:t>
      </w:r>
      <w:r>
        <w:rPr>
          <w:rFonts w:cs="Arial" w:hint="cs"/>
          <w:u w:val="single"/>
          <w:rtl/>
        </w:rPr>
        <w:t xml:space="preserve"> </w:t>
      </w:r>
      <w:r>
        <w:rPr>
          <w:rFonts w:cs="Arial"/>
          <w:u w:val="single"/>
          <w:rtl/>
        </w:rPr>
        <w:t>–</w:t>
      </w:r>
      <w:r>
        <w:rPr>
          <w:rFonts w:cs="Arial" w:hint="cs"/>
          <w:u w:val="single"/>
          <w:rtl/>
        </w:rPr>
        <w:t xml:space="preserve"> מה עונשם</w:t>
      </w:r>
      <w:r w:rsidRPr="001270DE">
        <w:rPr>
          <w:rFonts w:cs="Arial" w:hint="cs"/>
          <w:u w:val="single"/>
          <w:rtl/>
        </w:rPr>
        <w:t>:</w:t>
      </w:r>
    </w:p>
    <w:p w14:paraId="69BCE026" w14:textId="77777777" w:rsidR="004B607F" w:rsidRPr="001270DE" w:rsidRDefault="004B607F" w:rsidP="004B0475">
      <w:pPr>
        <w:pStyle w:val="ac"/>
        <w:numPr>
          <w:ilvl w:val="0"/>
          <w:numId w:val="79"/>
        </w:numPr>
        <w:rPr>
          <w:rFonts w:cs="Arial"/>
          <w:rtl/>
        </w:rPr>
      </w:pPr>
      <w:r w:rsidRPr="001270DE">
        <w:rPr>
          <w:rFonts w:cs="Arial" w:hint="cs"/>
          <w:rtl/>
        </w:rPr>
        <w:t>הגמ"ר</w:t>
      </w:r>
      <w:r w:rsidRPr="001270DE">
        <w:rPr>
          <w:rFonts w:cs="Arial" w:hint="cs"/>
          <w:sz w:val="16"/>
          <w:szCs w:val="16"/>
          <w:rtl/>
        </w:rPr>
        <w:t xml:space="preserve"> (סנהדרין סי' תשכה)</w:t>
      </w:r>
      <w:r w:rsidRPr="001270DE">
        <w:rPr>
          <w:rFonts w:cs="Arial" w:hint="cs"/>
          <w:rtl/>
        </w:rPr>
        <w:t>-</w:t>
      </w:r>
      <w:r w:rsidRPr="001270DE">
        <w:rPr>
          <w:rFonts w:cs="Arial"/>
          <w:rtl/>
        </w:rPr>
        <w:t xml:space="preserve"> עדים שהעידו בבית דין וחזרו והעידו בחילוף </w:t>
      </w:r>
      <w:r>
        <w:rPr>
          <w:rFonts w:cs="Arial" w:hint="cs"/>
          <w:rtl/>
        </w:rPr>
        <w:t xml:space="preserve">- </w:t>
      </w:r>
      <w:r w:rsidRPr="001270DE">
        <w:rPr>
          <w:rFonts w:cs="Arial"/>
          <w:rtl/>
        </w:rPr>
        <w:t>מלקין אותם</w:t>
      </w:r>
      <w:r>
        <w:rPr>
          <w:rFonts w:cs="Arial" w:hint="cs"/>
          <w:rtl/>
        </w:rPr>
        <w:t>,</w:t>
      </w:r>
      <w:r w:rsidRPr="001270DE">
        <w:rPr>
          <w:rFonts w:cs="Arial"/>
          <w:rtl/>
        </w:rPr>
        <w:t xml:space="preserve"> ועדותם הראשונה קיימת והאחרונה בטלה</w:t>
      </w:r>
      <w:r w:rsidRPr="001270DE">
        <w:rPr>
          <w:rFonts w:cs="Arial" w:hint="cs"/>
          <w:rtl/>
        </w:rPr>
        <w:t>.</w:t>
      </w:r>
      <w:r w:rsidRPr="001270DE">
        <w:rPr>
          <w:rFonts w:cs="Arial"/>
          <w:rtl/>
        </w:rPr>
        <w:t xml:space="preserve"> </w:t>
      </w:r>
      <w:r>
        <w:rPr>
          <w:rFonts w:cs="Arial" w:hint="cs"/>
          <w:rtl/>
        </w:rPr>
        <w:t xml:space="preserve">(וכ"כ בהגה' הסמ"ע </w:t>
      </w:r>
      <w:r>
        <w:rPr>
          <w:rFonts w:cs="Arial" w:hint="cs"/>
          <w:sz w:val="16"/>
          <w:szCs w:val="16"/>
          <w:rtl/>
        </w:rPr>
        <w:t>[סק"ד]</w:t>
      </w:r>
      <w:r>
        <w:rPr>
          <w:rFonts w:cs="Arial" w:hint="cs"/>
          <w:rtl/>
        </w:rPr>
        <w:t>)</w:t>
      </w:r>
    </w:p>
    <w:p w14:paraId="0DEFFF5A" w14:textId="77777777" w:rsidR="004B607F" w:rsidRDefault="004B607F" w:rsidP="004B607F">
      <w:pPr>
        <w:rPr>
          <w:rFonts w:cs="Arial"/>
          <w:rtl/>
        </w:rPr>
      </w:pPr>
      <w:r w:rsidRPr="0065215B">
        <w:rPr>
          <w:rFonts w:cs="Arial" w:hint="cs"/>
          <w:b/>
          <w:bCs/>
          <w:rtl/>
        </w:rPr>
        <w:t xml:space="preserve">בבא בתרא </w:t>
      </w:r>
      <w:r w:rsidRPr="0065215B">
        <w:rPr>
          <w:rFonts w:cs="Arial" w:hint="cs"/>
          <w:b/>
          <w:bCs/>
          <w:sz w:val="16"/>
          <w:szCs w:val="16"/>
          <w:rtl/>
        </w:rPr>
        <w:t>(</w:t>
      </w:r>
      <w:r w:rsidRPr="0065215B">
        <w:rPr>
          <w:rFonts w:cs="Arial"/>
          <w:b/>
          <w:bCs/>
          <w:sz w:val="16"/>
          <w:szCs w:val="16"/>
          <w:rtl/>
        </w:rPr>
        <w:t>פרק גט פשוט</w:t>
      </w:r>
      <w:r w:rsidRPr="0065215B">
        <w:rPr>
          <w:rFonts w:cs="Arial" w:hint="cs"/>
          <w:b/>
          <w:bCs/>
          <w:sz w:val="16"/>
          <w:szCs w:val="16"/>
          <w:rtl/>
        </w:rPr>
        <w:t xml:space="preserve">) </w:t>
      </w:r>
      <w:r w:rsidRPr="0065215B">
        <w:rPr>
          <w:rFonts w:cs="Arial"/>
          <w:b/>
          <w:bCs/>
          <w:rtl/>
        </w:rPr>
        <w:t>קסז</w:t>
      </w:r>
      <w:r>
        <w:rPr>
          <w:rStyle w:val="ab"/>
          <w:rFonts w:cs="Arial"/>
          <w:b/>
          <w:bCs/>
          <w:rtl/>
        </w:rPr>
        <w:footnoteReference w:id="1572"/>
      </w:r>
      <w:r w:rsidRPr="0065215B">
        <w:rPr>
          <w:rFonts w:cs="Arial" w:hint="cs"/>
          <w:b/>
          <w:bCs/>
          <w:rtl/>
        </w:rPr>
        <w:t xml:space="preserve"> ע"ב</w:t>
      </w:r>
      <w:r w:rsidRPr="0065215B">
        <w:rPr>
          <w:rFonts w:cs="Arial"/>
          <w:b/>
          <w:bCs/>
          <w:rtl/>
        </w:rPr>
        <w:t>:</w:t>
      </w:r>
      <w:r>
        <w:rPr>
          <w:rFonts w:cs="Arial" w:hint="cs"/>
          <w:rtl/>
        </w:rPr>
        <w:t xml:space="preserve"> </w:t>
      </w:r>
      <w:r w:rsidRPr="001270DE">
        <w:rPr>
          <w:rFonts w:cs="Arial"/>
          <w:rtl/>
        </w:rPr>
        <w:t>ההוא תברא</w:t>
      </w:r>
      <w:r>
        <w:rPr>
          <w:rStyle w:val="ab"/>
          <w:rFonts w:cs="Arial"/>
          <w:rtl/>
        </w:rPr>
        <w:footnoteReference w:id="1573"/>
      </w:r>
      <w:r w:rsidRPr="001270DE">
        <w:rPr>
          <w:rFonts w:cs="Arial"/>
          <w:rtl/>
        </w:rPr>
        <w:t xml:space="preserve"> דהוה חתים עלה רב ירמיה בר אבא, אתיא לקמיה ההיא איתתא, אמרה ליה: לאו אנא הואי</w:t>
      </w:r>
      <w:r>
        <w:rPr>
          <w:rStyle w:val="ab"/>
          <w:rFonts w:cs="Arial"/>
          <w:rtl/>
        </w:rPr>
        <w:footnoteReference w:id="1574"/>
      </w:r>
      <w:r>
        <w:rPr>
          <w:rFonts w:cs="Arial" w:hint="cs"/>
          <w:rtl/>
        </w:rPr>
        <w:t>.</w:t>
      </w:r>
      <w:r w:rsidRPr="001270DE">
        <w:rPr>
          <w:rFonts w:cs="Arial"/>
          <w:rtl/>
        </w:rPr>
        <w:t xml:space="preserve"> אמר</w:t>
      </w:r>
      <w:r>
        <w:rPr>
          <w:rStyle w:val="ab"/>
          <w:rFonts w:cs="Arial"/>
          <w:rtl/>
        </w:rPr>
        <w:footnoteReference w:id="1575"/>
      </w:r>
      <w:r w:rsidRPr="001270DE">
        <w:rPr>
          <w:rFonts w:cs="Arial"/>
          <w:rtl/>
        </w:rPr>
        <w:t>: אנא נמי אמרי להו לאו איהי היא, ואמרו לי: מיקש הוא דקשא לה ובגר לה קלא</w:t>
      </w:r>
      <w:r>
        <w:rPr>
          <w:rFonts w:cs="Arial" w:hint="cs"/>
          <w:rtl/>
        </w:rPr>
        <w:t>.</w:t>
      </w:r>
      <w:r w:rsidRPr="001270DE">
        <w:rPr>
          <w:rFonts w:cs="Arial"/>
          <w:rtl/>
        </w:rPr>
        <w:t xml:space="preserve"> </w:t>
      </w:r>
      <w:r w:rsidRPr="0065215B">
        <w:rPr>
          <w:rFonts w:cs="Arial"/>
          <w:u w:val="single"/>
          <w:rtl/>
        </w:rPr>
        <w:t>אמר אביי</w:t>
      </w:r>
      <w:r>
        <w:rPr>
          <w:rFonts w:cs="Arial" w:hint="cs"/>
          <w:rtl/>
        </w:rPr>
        <w:t>:</w:t>
      </w:r>
      <w:r w:rsidRPr="001270DE">
        <w:rPr>
          <w:rFonts w:cs="Arial"/>
          <w:rtl/>
        </w:rPr>
        <w:t xml:space="preserve"> אף על גב דאמור רבנן</w:t>
      </w:r>
      <w:r w:rsidRPr="001270DE">
        <w:rPr>
          <w:rtl/>
        </w:rPr>
        <w:t xml:space="preserve"> </w:t>
      </w:r>
      <w:r>
        <w:rPr>
          <w:rFonts w:cs="Arial" w:hint="cs"/>
          <w:sz w:val="16"/>
          <w:szCs w:val="16"/>
          <w:rtl/>
        </w:rPr>
        <w:t xml:space="preserve">(קסח.) </w:t>
      </w:r>
      <w:r w:rsidRPr="001270DE">
        <w:rPr>
          <w:rFonts w:cs="Arial"/>
          <w:rtl/>
        </w:rPr>
        <w:t xml:space="preserve">כיון שהגיד שוב אינו חוזר ומגיד, צורבא מרבנן לאו אורחיה למידק. ההוא </w:t>
      </w:r>
      <w:r w:rsidRPr="001270DE">
        <w:rPr>
          <w:rFonts w:cs="Arial"/>
          <w:rtl/>
        </w:rPr>
        <w:lastRenderedPageBreak/>
        <w:t>תברא דהוה חתים עליה רב ירמיה בר אבא, אמרה ליה: לאו אנא הואי, אמר לה: איברא אנת הות</w:t>
      </w:r>
      <w:r>
        <w:rPr>
          <w:rFonts w:cs="Arial" w:hint="cs"/>
          <w:rtl/>
        </w:rPr>
        <w:t>.</w:t>
      </w:r>
      <w:r w:rsidRPr="001270DE">
        <w:rPr>
          <w:rFonts w:cs="Arial"/>
          <w:rtl/>
        </w:rPr>
        <w:t xml:space="preserve"> </w:t>
      </w:r>
      <w:r w:rsidRPr="0065215B">
        <w:rPr>
          <w:rFonts w:cs="Arial"/>
          <w:u w:val="single"/>
          <w:rtl/>
        </w:rPr>
        <w:t>אמר אביי</w:t>
      </w:r>
      <w:r w:rsidRPr="001270DE">
        <w:rPr>
          <w:rFonts w:cs="Arial"/>
          <w:rtl/>
        </w:rPr>
        <w:t>: אף על גב דצורבא מרבנן לאו אורחיה למידק, כיון דדק - דק</w:t>
      </w:r>
      <w:r>
        <w:rPr>
          <w:rStyle w:val="ab"/>
          <w:rFonts w:cs="Arial"/>
          <w:rtl/>
        </w:rPr>
        <w:footnoteReference w:id="1576"/>
      </w:r>
      <w:r w:rsidRPr="001270DE">
        <w:rPr>
          <w:rFonts w:cs="Arial"/>
          <w:rtl/>
        </w:rPr>
        <w:t>.</w:t>
      </w:r>
    </w:p>
    <w:p w14:paraId="4B23E89A" w14:textId="77777777" w:rsidR="004B607F" w:rsidRPr="00845316" w:rsidRDefault="004B607F" w:rsidP="004B607F">
      <w:pPr>
        <w:rPr>
          <w:rFonts w:asciiTheme="minorBidi" w:hAnsiTheme="minorBidi"/>
          <w:sz w:val="16"/>
          <w:szCs w:val="16"/>
          <w:rtl/>
        </w:rPr>
      </w:pPr>
      <w:r w:rsidRPr="00845316">
        <w:rPr>
          <w:rFonts w:asciiTheme="minorBidi" w:hAnsiTheme="minorBidi"/>
          <w:u w:val="single"/>
          <w:rtl/>
        </w:rPr>
        <w:t>באלו עניינים אמרינן- "צורבא מרבנן לאו אורחיה למידק"</w:t>
      </w:r>
      <w:r>
        <w:rPr>
          <w:rFonts w:asciiTheme="minorBidi" w:hAnsiTheme="minorBidi" w:hint="cs"/>
          <w:sz w:val="16"/>
          <w:szCs w:val="16"/>
          <w:u w:val="single"/>
          <w:rtl/>
        </w:rPr>
        <w:t xml:space="preserve"> (שאז יכול לחזור ולהגיד)</w:t>
      </w:r>
      <w:r w:rsidRPr="00845316">
        <w:rPr>
          <w:rFonts w:asciiTheme="minorBidi" w:hAnsiTheme="minorBidi"/>
          <w:u w:val="single"/>
          <w:rtl/>
        </w:rPr>
        <w:t>:</w:t>
      </w:r>
      <w:r w:rsidRPr="00845316">
        <w:rPr>
          <w:rFonts w:asciiTheme="minorBidi" w:hAnsiTheme="minorBidi"/>
          <w:sz w:val="16"/>
          <w:szCs w:val="16"/>
          <w:rtl/>
        </w:rPr>
        <w:t xml:space="preserve"> (ב"י </w:t>
      </w:r>
      <w:r>
        <w:rPr>
          <w:rFonts w:asciiTheme="minorBidi" w:hAnsiTheme="minorBidi" w:hint="cs"/>
          <w:sz w:val="16"/>
          <w:szCs w:val="16"/>
          <w:rtl/>
        </w:rPr>
        <w:t>[</w:t>
      </w:r>
      <w:r w:rsidRPr="00845316">
        <w:rPr>
          <w:rFonts w:asciiTheme="minorBidi" w:hAnsiTheme="minorBidi"/>
          <w:sz w:val="16"/>
          <w:szCs w:val="16"/>
          <w:rtl/>
        </w:rPr>
        <w:t xml:space="preserve">כאן, ובחו"מ סי' </w:t>
      </w:r>
      <w:r>
        <w:rPr>
          <w:rFonts w:asciiTheme="minorBidi" w:hAnsiTheme="minorBidi" w:hint="cs"/>
          <w:sz w:val="16"/>
          <w:szCs w:val="16"/>
          <w:rtl/>
        </w:rPr>
        <w:t>מט</w:t>
      </w:r>
      <w:r w:rsidRPr="00845316">
        <w:rPr>
          <w:rFonts w:asciiTheme="minorBidi" w:hAnsiTheme="minorBidi"/>
          <w:sz w:val="16"/>
          <w:szCs w:val="16"/>
          <w:rtl/>
        </w:rPr>
        <w:t xml:space="preserve"> סע' </w:t>
      </w:r>
      <w:r>
        <w:rPr>
          <w:rFonts w:asciiTheme="minorBidi" w:hAnsiTheme="minorBidi" w:hint="cs"/>
          <w:sz w:val="16"/>
          <w:szCs w:val="16"/>
          <w:rtl/>
        </w:rPr>
        <w:t>ב]</w:t>
      </w:r>
      <w:r w:rsidRPr="00845316">
        <w:rPr>
          <w:rFonts w:asciiTheme="minorBidi" w:hAnsiTheme="minorBidi"/>
          <w:sz w:val="16"/>
          <w:szCs w:val="16"/>
          <w:rtl/>
        </w:rPr>
        <w:t xml:space="preserve">, וטור </w:t>
      </w:r>
      <w:r>
        <w:rPr>
          <w:rFonts w:asciiTheme="minorBidi" w:hAnsiTheme="minorBidi" w:hint="cs"/>
          <w:sz w:val="16"/>
          <w:szCs w:val="16"/>
          <w:rtl/>
        </w:rPr>
        <w:t>[</w:t>
      </w:r>
      <w:r w:rsidRPr="00845316">
        <w:rPr>
          <w:rFonts w:asciiTheme="minorBidi" w:hAnsiTheme="minorBidi"/>
          <w:sz w:val="16"/>
          <w:szCs w:val="16"/>
          <w:rtl/>
        </w:rPr>
        <w:t>אהע"ז סי' קי</w:t>
      </w:r>
      <w:r>
        <w:rPr>
          <w:rFonts w:asciiTheme="minorBidi" w:hAnsiTheme="minorBidi" w:hint="cs"/>
          <w:sz w:val="16"/>
          <w:szCs w:val="16"/>
          <w:rtl/>
        </w:rPr>
        <w:t>]</w:t>
      </w:r>
      <w:r w:rsidRPr="00845316">
        <w:rPr>
          <w:rFonts w:asciiTheme="minorBidi" w:hAnsiTheme="minorBidi"/>
          <w:sz w:val="16"/>
          <w:szCs w:val="16"/>
          <w:rtl/>
        </w:rPr>
        <w:t>)</w:t>
      </w:r>
    </w:p>
    <w:p w14:paraId="3B9F2BAB" w14:textId="77777777" w:rsidR="004B607F" w:rsidRPr="00845316" w:rsidRDefault="004B607F" w:rsidP="004B0475">
      <w:pPr>
        <w:pStyle w:val="ac"/>
        <w:numPr>
          <w:ilvl w:val="0"/>
          <w:numId w:val="83"/>
        </w:numPr>
        <w:rPr>
          <w:rFonts w:asciiTheme="minorBidi" w:hAnsiTheme="minorBidi"/>
        </w:rPr>
      </w:pPr>
      <w:r w:rsidRPr="00845316">
        <w:rPr>
          <w:rFonts w:asciiTheme="minorBidi" w:hAnsiTheme="minorBidi"/>
          <w:rtl/>
        </w:rPr>
        <w:t xml:space="preserve">רי"ו </w:t>
      </w:r>
      <w:r w:rsidRPr="00845316">
        <w:rPr>
          <w:rFonts w:asciiTheme="minorBidi" w:hAnsiTheme="minorBidi"/>
          <w:sz w:val="16"/>
          <w:szCs w:val="16"/>
          <w:rtl/>
        </w:rPr>
        <w:t>(מישרים נ"ב ח"ב יא ע"ג)</w:t>
      </w:r>
      <w:r w:rsidRPr="00845316">
        <w:rPr>
          <w:rFonts w:asciiTheme="minorBidi" w:hAnsiTheme="minorBidi"/>
          <w:rtl/>
        </w:rPr>
        <w:t xml:space="preserve">- צורבא מרבנן אע"פ שהגיד </w:t>
      </w:r>
      <w:r>
        <w:rPr>
          <w:rFonts w:asciiTheme="minorBidi" w:hAnsiTheme="minorBidi" w:hint="cs"/>
          <w:rtl/>
        </w:rPr>
        <w:t>-</w:t>
      </w:r>
      <w:r>
        <w:rPr>
          <w:rFonts w:asciiTheme="minorBidi" w:hAnsiTheme="minorBidi" w:hint="cs"/>
        </w:rPr>
        <w:t xml:space="preserve"> </w:t>
      </w:r>
      <w:r w:rsidRPr="00845316">
        <w:rPr>
          <w:rFonts w:asciiTheme="minorBidi" w:hAnsiTheme="minorBidi"/>
          <w:rtl/>
        </w:rPr>
        <w:t>חוזר ומגיד</w:t>
      </w:r>
      <w:r>
        <w:rPr>
          <w:rFonts w:asciiTheme="minorBidi" w:hAnsiTheme="minorBidi" w:hint="cs"/>
          <w:rtl/>
        </w:rPr>
        <w:t>'</w:t>
      </w:r>
      <w:r w:rsidRPr="00845316">
        <w:rPr>
          <w:rFonts w:asciiTheme="minorBidi" w:hAnsiTheme="minorBidi"/>
          <w:rtl/>
        </w:rPr>
        <w:t xml:space="preserve"> דלאו אורחיה למידק</w:t>
      </w:r>
      <w:r w:rsidRPr="00845316">
        <w:rPr>
          <w:rStyle w:val="ab"/>
          <w:rFonts w:asciiTheme="minorBidi" w:hAnsiTheme="minorBidi"/>
          <w:rtl/>
        </w:rPr>
        <w:footnoteReference w:id="1577"/>
      </w:r>
      <w:r w:rsidRPr="00845316">
        <w:rPr>
          <w:rFonts w:asciiTheme="minorBidi" w:hAnsiTheme="minorBidi"/>
          <w:rtl/>
        </w:rPr>
        <w:t xml:space="preserve">. </w:t>
      </w:r>
    </w:p>
    <w:p w14:paraId="645B2326" w14:textId="77777777" w:rsidR="004B607F" w:rsidRPr="00845316" w:rsidRDefault="004B607F" w:rsidP="004B0475">
      <w:pPr>
        <w:pStyle w:val="ac"/>
        <w:numPr>
          <w:ilvl w:val="0"/>
          <w:numId w:val="83"/>
        </w:numPr>
        <w:rPr>
          <w:rFonts w:asciiTheme="minorBidi" w:hAnsiTheme="minorBidi"/>
        </w:rPr>
      </w:pPr>
      <w:r w:rsidRPr="00845316">
        <w:rPr>
          <w:rFonts w:asciiTheme="minorBidi" w:hAnsiTheme="minorBidi"/>
          <w:rtl/>
        </w:rPr>
        <w:t>(רשב"ם בעל התרומות</w:t>
      </w:r>
      <w:r w:rsidRPr="00845316">
        <w:rPr>
          <w:rFonts w:asciiTheme="minorBidi" w:hAnsiTheme="minorBidi"/>
          <w:sz w:val="16"/>
          <w:szCs w:val="16"/>
          <w:rtl/>
        </w:rPr>
        <w:t xml:space="preserve"> </w:t>
      </w:r>
      <w:r w:rsidRPr="00845316">
        <w:rPr>
          <w:rFonts w:asciiTheme="minorBidi" w:hAnsiTheme="minorBidi"/>
          <w:rtl/>
        </w:rPr>
        <w:t>בשם הראב"ד וטור</w:t>
      </w:r>
      <w:r w:rsidRPr="00845316">
        <w:rPr>
          <w:rFonts w:asciiTheme="minorBidi" w:hAnsiTheme="minorBidi"/>
          <w:sz w:val="16"/>
          <w:szCs w:val="16"/>
          <w:rtl/>
        </w:rPr>
        <w:t xml:space="preserve"> להב' ב"י מבי"ט ש"ך ואורים</w:t>
      </w:r>
      <w:r w:rsidRPr="00845316">
        <w:rPr>
          <w:rFonts w:asciiTheme="minorBidi" w:hAnsiTheme="minorBidi"/>
          <w:rtl/>
        </w:rPr>
        <w:t>)</w:t>
      </w:r>
      <w:r w:rsidRPr="00845316">
        <w:rPr>
          <w:rStyle w:val="ab"/>
          <w:rFonts w:asciiTheme="minorBidi" w:hAnsiTheme="minorBidi"/>
          <w:rtl/>
        </w:rPr>
        <w:footnoteReference w:id="1578"/>
      </w:r>
      <w:r w:rsidRPr="00845316">
        <w:rPr>
          <w:rFonts w:asciiTheme="minorBidi" w:hAnsiTheme="minorBidi"/>
          <w:rtl/>
        </w:rPr>
        <w:t>- דוקא בעדות היכר אשה, דלאו אורחיה למידק להסתכל באשה כדי שיכירה יפה</w:t>
      </w:r>
      <w:r>
        <w:rPr>
          <w:rFonts w:asciiTheme="minorBidi" w:hAnsiTheme="minorBidi" w:hint="cs"/>
          <w:rtl/>
        </w:rPr>
        <w:t>,</w:t>
      </w:r>
      <w:r w:rsidRPr="00845316">
        <w:rPr>
          <w:rFonts w:asciiTheme="minorBidi" w:hAnsiTheme="minorBidi"/>
          <w:rtl/>
        </w:rPr>
        <w:t xml:space="preserve"> ויכול לסמוך על אחרים שמכירים, אבל לא בשאר עדויות</w:t>
      </w:r>
      <w:r w:rsidRPr="00845316">
        <w:rPr>
          <w:rStyle w:val="ab"/>
          <w:rFonts w:asciiTheme="minorBidi" w:hAnsiTheme="minorBidi"/>
          <w:rtl/>
        </w:rPr>
        <w:footnoteReference w:id="1579"/>
      </w:r>
      <w:r w:rsidRPr="00845316">
        <w:rPr>
          <w:rFonts w:asciiTheme="minorBidi" w:hAnsiTheme="minorBidi"/>
          <w:rtl/>
        </w:rPr>
        <w:t>.</w:t>
      </w:r>
    </w:p>
    <w:p w14:paraId="17605574" w14:textId="77777777" w:rsidR="004B607F" w:rsidRPr="00845316" w:rsidRDefault="004B607F" w:rsidP="004B0475">
      <w:pPr>
        <w:pStyle w:val="ac"/>
        <w:numPr>
          <w:ilvl w:val="0"/>
          <w:numId w:val="82"/>
        </w:numPr>
        <w:rPr>
          <w:rFonts w:asciiTheme="minorBidi" w:hAnsiTheme="minorBidi"/>
          <w:rtl/>
        </w:rPr>
      </w:pPr>
      <w:r w:rsidRPr="00845316">
        <w:rPr>
          <w:rFonts w:asciiTheme="minorBidi" w:hAnsiTheme="minorBidi"/>
          <w:rtl/>
        </w:rPr>
        <w:t>(רשב"ם בעל התרומות</w:t>
      </w:r>
      <w:r w:rsidRPr="00845316">
        <w:rPr>
          <w:rFonts w:asciiTheme="minorBidi" w:hAnsiTheme="minorBidi"/>
          <w:sz w:val="16"/>
          <w:szCs w:val="16"/>
          <w:rtl/>
        </w:rPr>
        <w:t xml:space="preserve"> </w:t>
      </w:r>
      <w:r w:rsidRPr="00845316">
        <w:rPr>
          <w:rFonts w:asciiTheme="minorBidi" w:hAnsiTheme="minorBidi"/>
          <w:rtl/>
        </w:rPr>
        <w:t>בשם הראב"ד</w:t>
      </w:r>
      <w:r w:rsidRPr="00845316">
        <w:rPr>
          <w:rFonts w:asciiTheme="minorBidi" w:hAnsiTheme="minorBidi"/>
          <w:sz w:val="16"/>
          <w:szCs w:val="16"/>
          <w:rtl/>
        </w:rPr>
        <w:t xml:space="preserve"> </w:t>
      </w:r>
      <w:r w:rsidRPr="00845316">
        <w:rPr>
          <w:rFonts w:asciiTheme="minorBidi" w:hAnsiTheme="minorBidi"/>
          <w:rtl/>
        </w:rPr>
        <w:t>וטור</w:t>
      </w:r>
      <w:r w:rsidRPr="00845316">
        <w:rPr>
          <w:rFonts w:asciiTheme="minorBidi" w:hAnsiTheme="minorBidi"/>
          <w:sz w:val="16"/>
          <w:szCs w:val="16"/>
          <w:rtl/>
        </w:rPr>
        <w:t xml:space="preserve"> להב' הסמ"ע</w:t>
      </w:r>
      <w:r w:rsidRPr="00845316">
        <w:rPr>
          <w:rStyle w:val="ab"/>
          <w:rFonts w:asciiTheme="minorBidi" w:hAnsiTheme="minorBidi"/>
          <w:rtl/>
        </w:rPr>
        <w:footnoteReference w:id="1580"/>
      </w:r>
      <w:r w:rsidRPr="00845316">
        <w:rPr>
          <w:rFonts w:asciiTheme="minorBidi" w:hAnsiTheme="minorBidi"/>
          <w:rtl/>
        </w:rPr>
        <w:t>)- בכל עניין שאפשר לתלות</w:t>
      </w:r>
      <w:r w:rsidRPr="00845316">
        <w:rPr>
          <w:rStyle w:val="ab"/>
          <w:rFonts w:asciiTheme="minorBidi" w:hAnsiTheme="minorBidi"/>
          <w:rtl/>
        </w:rPr>
        <w:footnoteReference w:id="1581"/>
      </w:r>
      <w:r w:rsidRPr="00845316">
        <w:rPr>
          <w:rFonts w:asciiTheme="minorBidi" w:hAnsiTheme="minorBidi"/>
          <w:rtl/>
        </w:rPr>
        <w:t>. (וכ"פ הסמ"ע</w:t>
      </w:r>
      <w:r>
        <w:rPr>
          <w:rFonts w:asciiTheme="minorBidi" w:hAnsiTheme="minorBidi" w:hint="cs"/>
          <w:sz w:val="16"/>
          <w:szCs w:val="16"/>
          <w:rtl/>
        </w:rPr>
        <w:t xml:space="preserve"> [סי' מט סק"ו]</w:t>
      </w:r>
      <w:r w:rsidRPr="00845316">
        <w:rPr>
          <w:rFonts w:asciiTheme="minorBidi" w:hAnsiTheme="minorBidi"/>
          <w:rtl/>
        </w:rPr>
        <w:t>)</w:t>
      </w:r>
    </w:p>
    <w:p w14:paraId="65BB0527" w14:textId="77777777" w:rsidR="004B607F" w:rsidRPr="009C5CA7" w:rsidRDefault="004B607F" w:rsidP="004B607F">
      <w:pPr>
        <w:rPr>
          <w:rFonts w:cs="Arial"/>
          <w:rtl/>
        </w:rPr>
      </w:pPr>
      <w:r w:rsidRPr="009C5CA7">
        <w:rPr>
          <w:rFonts w:cs="Arial" w:hint="cs"/>
          <w:u w:val="single"/>
          <w:rtl/>
        </w:rPr>
        <w:t>עד ש</w:t>
      </w:r>
      <w:r>
        <w:rPr>
          <w:rFonts w:cs="Arial" w:hint="cs"/>
          <w:u w:val="single"/>
          <w:rtl/>
        </w:rPr>
        <w:t>אמר 'איני יודע'</w:t>
      </w:r>
      <w:r w:rsidRPr="009C5CA7">
        <w:rPr>
          <w:rFonts w:cs="Arial" w:hint="cs"/>
          <w:u w:val="single"/>
          <w:rtl/>
        </w:rPr>
        <w:t xml:space="preserve"> </w:t>
      </w:r>
      <w:r w:rsidRPr="009C5CA7">
        <w:rPr>
          <w:rFonts w:cs="Arial"/>
          <w:u w:val="single"/>
          <w:rtl/>
        </w:rPr>
        <w:t>–</w:t>
      </w:r>
      <w:r w:rsidRPr="009C5CA7">
        <w:rPr>
          <w:rFonts w:cs="Arial" w:hint="cs"/>
          <w:u w:val="single"/>
          <w:rtl/>
        </w:rPr>
        <w:t xml:space="preserve"> </w:t>
      </w:r>
      <w:r>
        <w:rPr>
          <w:rFonts w:cs="Arial" w:hint="cs"/>
          <w:u w:val="single"/>
          <w:rtl/>
        </w:rPr>
        <w:t xml:space="preserve">האם יכול להעיד בפעם אחרת </w:t>
      </w:r>
      <w:r w:rsidRPr="005A5ED2">
        <w:rPr>
          <w:rFonts w:cs="Arial" w:hint="cs"/>
          <w:sz w:val="16"/>
          <w:szCs w:val="16"/>
          <w:u w:val="single"/>
          <w:rtl/>
        </w:rPr>
        <w:t>(או שגם בזה שייך 'כיון שהגיד שוב אינו חוזר ומגיד'</w:t>
      </w:r>
      <w:r>
        <w:rPr>
          <w:rFonts w:cs="Arial" w:hint="cs"/>
          <w:sz w:val="16"/>
          <w:szCs w:val="16"/>
          <w:u w:val="single"/>
          <w:rtl/>
        </w:rPr>
        <w:t>)</w:t>
      </w:r>
      <w:r>
        <w:rPr>
          <w:rFonts w:cs="Arial" w:hint="cs"/>
          <w:u w:val="single"/>
          <w:rtl/>
        </w:rPr>
        <w:t>:</w:t>
      </w:r>
    </w:p>
    <w:p w14:paraId="52C183FB" w14:textId="77777777" w:rsidR="004B607F" w:rsidRDefault="004B607F" w:rsidP="004B0475">
      <w:pPr>
        <w:pStyle w:val="ac"/>
        <w:numPr>
          <w:ilvl w:val="0"/>
          <w:numId w:val="82"/>
        </w:numPr>
        <w:rPr>
          <w:rFonts w:cs="Arial"/>
        </w:rPr>
      </w:pPr>
      <w:r>
        <w:rPr>
          <w:rFonts w:cs="Arial" w:hint="cs"/>
          <w:rtl/>
        </w:rPr>
        <w:t xml:space="preserve">ב"י- </w:t>
      </w:r>
      <w:r>
        <w:rPr>
          <w:rStyle w:val="ab"/>
          <w:rFonts w:cs="Arial"/>
          <w:rtl/>
        </w:rPr>
        <w:footnoteReference w:id="1582"/>
      </w:r>
      <w:r w:rsidRPr="009C5CA7">
        <w:rPr>
          <w:rFonts w:cs="Arial"/>
          <w:rtl/>
        </w:rPr>
        <w:t>דוקא כשהעיד כבר בב</w:t>
      </w:r>
      <w:r>
        <w:rPr>
          <w:rFonts w:cs="Arial" w:hint="cs"/>
          <w:rtl/>
        </w:rPr>
        <w:t>"</w:t>
      </w:r>
      <w:r w:rsidRPr="009C5CA7">
        <w:rPr>
          <w:rFonts w:cs="Arial"/>
          <w:rtl/>
        </w:rPr>
        <w:t>ד אינו יכול לחזור בו</w:t>
      </w:r>
      <w:r>
        <w:rPr>
          <w:rFonts w:cs="Arial" w:hint="cs"/>
          <w:rtl/>
        </w:rPr>
        <w:t>,</w:t>
      </w:r>
      <w:r w:rsidRPr="009C5CA7">
        <w:rPr>
          <w:rFonts w:cs="Arial"/>
          <w:rtl/>
        </w:rPr>
        <w:t xml:space="preserve"> אבל אם שאלוהו על עדותו ואמר שאינו יודע </w:t>
      </w:r>
      <w:r>
        <w:rPr>
          <w:rFonts w:cs="Arial" w:hint="cs"/>
          <w:rtl/>
        </w:rPr>
        <w:t xml:space="preserve">- </w:t>
      </w:r>
      <w:r w:rsidRPr="009C5CA7">
        <w:rPr>
          <w:rFonts w:cs="Arial"/>
          <w:rtl/>
        </w:rPr>
        <w:t>יכול לחזור ולהעיד אם נתן טעם לדבריו</w:t>
      </w:r>
      <w:r w:rsidRPr="009C5CA7">
        <w:rPr>
          <w:rFonts w:cs="Arial" w:hint="cs"/>
          <w:rtl/>
        </w:rPr>
        <w:t>,</w:t>
      </w:r>
      <w:r w:rsidRPr="009C5CA7">
        <w:rPr>
          <w:rFonts w:cs="Arial"/>
          <w:rtl/>
        </w:rPr>
        <w:t xml:space="preserve"> ולישנא דכיון שהגיד אינו חוזר ומגיד משמע דהיכא </w:t>
      </w:r>
      <w:r w:rsidRPr="005A5ED2">
        <w:rPr>
          <w:rFonts w:cs="Arial"/>
          <w:b/>
          <w:bCs/>
          <w:rtl/>
        </w:rPr>
        <w:t>דהעיד</w:t>
      </w:r>
      <w:r w:rsidRPr="009C5CA7">
        <w:rPr>
          <w:rFonts w:cs="Arial"/>
          <w:rtl/>
        </w:rPr>
        <w:t xml:space="preserve"> בתחלה אינו חוזר ומגיד</w:t>
      </w:r>
      <w:r w:rsidRPr="009C5CA7">
        <w:rPr>
          <w:rFonts w:cs="Arial" w:hint="cs"/>
          <w:rtl/>
        </w:rPr>
        <w:t>,</w:t>
      </w:r>
      <w:r w:rsidRPr="009C5CA7">
        <w:rPr>
          <w:rFonts w:cs="Arial"/>
          <w:rtl/>
        </w:rPr>
        <w:t xml:space="preserve"> אבל כל שאמר שאינו יודע לא מיקרי מגיד</w:t>
      </w:r>
      <w:r w:rsidRPr="009C5CA7">
        <w:rPr>
          <w:rFonts w:cs="Arial" w:hint="cs"/>
          <w:rtl/>
        </w:rPr>
        <w:t>,</w:t>
      </w:r>
      <w:r w:rsidRPr="009C5CA7">
        <w:rPr>
          <w:rFonts w:cs="Arial"/>
          <w:rtl/>
        </w:rPr>
        <w:t xml:space="preserve"> וכיון שנתן טעם לדבר למה בתחלה אמר אינו יודע</w:t>
      </w:r>
      <w:r>
        <w:rPr>
          <w:rFonts w:cs="Arial" w:hint="cs"/>
          <w:rtl/>
        </w:rPr>
        <w:t xml:space="preserve"> </w:t>
      </w:r>
      <w:r>
        <w:rPr>
          <w:rFonts w:cs="Arial"/>
          <w:rtl/>
        </w:rPr>
        <w:t>–</w:t>
      </w:r>
      <w:r w:rsidRPr="009C5CA7">
        <w:rPr>
          <w:rFonts w:cs="Arial"/>
          <w:rtl/>
        </w:rPr>
        <w:t xml:space="preserve"> נאמן</w:t>
      </w:r>
      <w:r>
        <w:rPr>
          <w:rStyle w:val="ab"/>
          <w:rFonts w:cs="Arial"/>
          <w:rtl/>
        </w:rPr>
        <w:footnoteReference w:id="1583"/>
      </w:r>
      <w:r w:rsidRPr="009C5CA7">
        <w:rPr>
          <w:rFonts w:cs="Arial" w:hint="cs"/>
          <w:rtl/>
        </w:rPr>
        <w:t>.</w:t>
      </w:r>
      <w:r w:rsidRPr="009C5CA7">
        <w:rPr>
          <w:rFonts w:cs="Arial"/>
          <w:rtl/>
        </w:rPr>
        <w:t xml:space="preserve"> </w:t>
      </w:r>
      <w:r w:rsidRPr="00700312">
        <w:rPr>
          <w:rFonts w:cs="Arial" w:hint="cs"/>
          <w:color w:val="00B0F0"/>
          <w:rtl/>
        </w:rPr>
        <w:t>(וכ"פ הרמ"א)</w:t>
      </w:r>
    </w:p>
    <w:p w14:paraId="64F113B7" w14:textId="77777777" w:rsidR="004B607F" w:rsidRPr="005A5ED2" w:rsidRDefault="004B607F" w:rsidP="004B0475">
      <w:pPr>
        <w:pStyle w:val="ac"/>
        <w:numPr>
          <w:ilvl w:val="0"/>
          <w:numId w:val="82"/>
        </w:numPr>
        <w:rPr>
          <w:rFonts w:cs="Arial"/>
        </w:rPr>
      </w:pPr>
      <w:r w:rsidRPr="00647ABD">
        <w:rPr>
          <w:rFonts w:cs="Arial"/>
          <w:rtl/>
        </w:rPr>
        <w:t xml:space="preserve">ר"ן </w:t>
      </w:r>
      <w:r w:rsidRPr="005A5ED2">
        <w:rPr>
          <w:rFonts w:cs="Arial" w:hint="cs"/>
          <w:sz w:val="16"/>
          <w:szCs w:val="16"/>
          <w:rtl/>
        </w:rPr>
        <w:t>(</w:t>
      </w:r>
      <w:r w:rsidRPr="005A5ED2">
        <w:rPr>
          <w:rFonts w:cs="Arial"/>
          <w:sz w:val="16"/>
          <w:szCs w:val="16"/>
          <w:rtl/>
        </w:rPr>
        <w:t>פרק שבועת העדות יד</w:t>
      </w:r>
      <w:r w:rsidRPr="005A5ED2">
        <w:rPr>
          <w:rFonts w:cs="Arial" w:hint="cs"/>
          <w:sz w:val="16"/>
          <w:szCs w:val="16"/>
          <w:rtl/>
        </w:rPr>
        <w:t>:</w:t>
      </w:r>
      <w:r w:rsidRPr="005A5ED2">
        <w:rPr>
          <w:rFonts w:cs="Arial"/>
          <w:sz w:val="16"/>
          <w:szCs w:val="16"/>
          <w:rtl/>
        </w:rPr>
        <w:t>)</w:t>
      </w:r>
      <w:r>
        <w:rPr>
          <w:rFonts w:cs="Arial" w:hint="cs"/>
          <w:rtl/>
        </w:rPr>
        <w:t>-</w:t>
      </w:r>
      <w:r w:rsidRPr="00647ABD">
        <w:rPr>
          <w:rFonts w:cs="Arial"/>
          <w:rtl/>
        </w:rPr>
        <w:t xml:space="preserve"> קרוב הדבר ד</w:t>
      </w:r>
      <w:r>
        <w:rPr>
          <w:rFonts w:cs="Arial" w:hint="cs"/>
          <w:rtl/>
        </w:rPr>
        <w:t>-'</w:t>
      </w:r>
      <w:r w:rsidRPr="00647ABD">
        <w:rPr>
          <w:rFonts w:cs="Arial"/>
          <w:rtl/>
        </w:rPr>
        <w:t>מאין אנו יודעים</w:t>
      </w:r>
      <w:r>
        <w:rPr>
          <w:rFonts w:cs="Arial" w:hint="cs"/>
          <w:rtl/>
        </w:rPr>
        <w:t>'</w:t>
      </w:r>
      <w:r w:rsidRPr="00647ABD">
        <w:rPr>
          <w:rFonts w:cs="Arial"/>
          <w:rtl/>
        </w:rPr>
        <w:t xml:space="preserve"> ל</w:t>
      </w:r>
      <w:r>
        <w:rPr>
          <w:rFonts w:cs="Arial" w:hint="cs"/>
          <w:rtl/>
        </w:rPr>
        <w:t>-'</w:t>
      </w:r>
      <w:r w:rsidRPr="00647ABD">
        <w:rPr>
          <w:rFonts w:cs="Arial"/>
          <w:rtl/>
        </w:rPr>
        <w:t>יודעים אנו</w:t>
      </w:r>
      <w:r>
        <w:rPr>
          <w:rFonts w:cs="Arial" w:hint="cs"/>
          <w:rtl/>
        </w:rPr>
        <w:t>'</w:t>
      </w:r>
      <w:r w:rsidRPr="00647ABD">
        <w:rPr>
          <w:rFonts w:cs="Arial"/>
          <w:rtl/>
        </w:rPr>
        <w:t xml:space="preserve"> </w:t>
      </w:r>
      <w:r>
        <w:rPr>
          <w:rFonts w:cs="Arial"/>
          <w:rtl/>
        </w:rPr>
        <w:t>–</w:t>
      </w:r>
      <w:r>
        <w:rPr>
          <w:rFonts w:cs="Arial" w:hint="cs"/>
          <w:rtl/>
        </w:rPr>
        <w:t xml:space="preserve"> </w:t>
      </w:r>
      <w:r w:rsidRPr="00647ABD">
        <w:rPr>
          <w:rFonts w:cs="Arial"/>
          <w:rtl/>
        </w:rPr>
        <w:t>לא מיקרי חוזר ומגיד</w:t>
      </w:r>
      <w:r w:rsidRPr="00647ABD">
        <w:rPr>
          <w:rFonts w:cs="Arial" w:hint="cs"/>
          <w:rtl/>
        </w:rPr>
        <w:t>,</w:t>
      </w:r>
      <w:r w:rsidRPr="00647ABD">
        <w:rPr>
          <w:rFonts w:cs="Arial"/>
          <w:rtl/>
        </w:rPr>
        <w:t xml:space="preserve"> אלא בראשונה לא הגידו כלום</w:t>
      </w:r>
      <w:r>
        <w:rPr>
          <w:rFonts w:cs="Arial" w:hint="cs"/>
          <w:rtl/>
        </w:rPr>
        <w:t>,</w:t>
      </w:r>
      <w:r w:rsidRPr="00647ABD">
        <w:rPr>
          <w:rFonts w:cs="Arial"/>
          <w:rtl/>
        </w:rPr>
        <w:t xml:space="preserve"> ועכשיו מגידים</w:t>
      </w:r>
      <w:r>
        <w:rPr>
          <w:rFonts w:cs="Arial" w:hint="cs"/>
          <w:rtl/>
        </w:rPr>
        <w:t>.</w:t>
      </w:r>
      <w:r w:rsidRPr="00647ABD">
        <w:rPr>
          <w:rFonts w:cs="Arial"/>
          <w:rtl/>
        </w:rPr>
        <w:t xml:space="preserve"> וכי אמרינן </w:t>
      </w:r>
      <w:r>
        <w:rPr>
          <w:rFonts w:cs="Arial" w:hint="cs"/>
          <w:sz w:val="16"/>
          <w:szCs w:val="16"/>
          <w:rtl/>
        </w:rPr>
        <w:t>{שבועות לא: דאמר ר"ש-}</w:t>
      </w:r>
      <w:r>
        <w:rPr>
          <w:rFonts w:cs="Arial" w:hint="cs"/>
          <w:rtl/>
        </w:rPr>
        <w:t xml:space="preserve"> </w:t>
      </w:r>
      <w:r w:rsidRPr="00647ABD">
        <w:rPr>
          <w:rFonts w:cs="Arial"/>
          <w:rtl/>
        </w:rPr>
        <w:t>שאין יכולין לחזור ולהודות לאו מטעם חוזר ומגיד אלא משום דלא מצו משוו נפשייהו רשיעי שהרי כפרו בתחלה אחר שהשביעם</w:t>
      </w:r>
      <w:r>
        <w:rPr>
          <w:rStyle w:val="ab"/>
          <w:rFonts w:cs="Arial"/>
          <w:rtl/>
        </w:rPr>
        <w:footnoteReference w:id="1584"/>
      </w:r>
      <w:r w:rsidRPr="00647ABD">
        <w:rPr>
          <w:rFonts w:cs="Arial"/>
          <w:rtl/>
        </w:rPr>
        <w:t xml:space="preserve">. </w:t>
      </w:r>
    </w:p>
    <w:p w14:paraId="0F8E4407" w14:textId="77777777" w:rsidR="004B607F" w:rsidRDefault="004B607F" w:rsidP="004B0475">
      <w:pPr>
        <w:pStyle w:val="ac"/>
        <w:numPr>
          <w:ilvl w:val="0"/>
          <w:numId w:val="82"/>
        </w:numPr>
        <w:rPr>
          <w:rFonts w:cs="Arial"/>
        </w:rPr>
      </w:pPr>
      <w:r w:rsidRPr="00647ABD">
        <w:rPr>
          <w:rFonts w:cs="Arial"/>
          <w:rtl/>
        </w:rPr>
        <w:t xml:space="preserve">מרדכי </w:t>
      </w:r>
      <w:r w:rsidRPr="005A5ED2">
        <w:rPr>
          <w:rFonts w:cs="Arial" w:hint="cs"/>
          <w:sz w:val="16"/>
          <w:szCs w:val="16"/>
          <w:rtl/>
        </w:rPr>
        <w:t>(</w:t>
      </w:r>
      <w:r w:rsidRPr="005A5ED2">
        <w:rPr>
          <w:rFonts w:cs="Arial"/>
          <w:sz w:val="16"/>
          <w:szCs w:val="16"/>
          <w:rtl/>
        </w:rPr>
        <w:t>פרק שבועת העדות סי' תשסג)</w:t>
      </w:r>
      <w:r>
        <w:rPr>
          <w:rFonts w:cs="Arial" w:hint="cs"/>
          <w:rtl/>
        </w:rPr>
        <w:t xml:space="preserve">- </w:t>
      </w:r>
      <w:r w:rsidRPr="00647ABD">
        <w:rPr>
          <w:rFonts w:cs="Arial"/>
          <w:rtl/>
        </w:rPr>
        <w:t>נשאלתי על מעשה שאירע שהקהל נתנו חרם בבית הכנסת על כל מי שיודע עדות שיעיד קודם שיצאו מחצר בית הכנסת</w:t>
      </w:r>
      <w:r>
        <w:rPr>
          <w:rFonts w:cs="Arial" w:hint="cs"/>
          <w:rtl/>
        </w:rPr>
        <w:t>.</w:t>
      </w:r>
      <w:r w:rsidRPr="00647ABD">
        <w:rPr>
          <w:rFonts w:cs="Arial"/>
          <w:rtl/>
        </w:rPr>
        <w:t xml:space="preserve"> ויצאו ולא העיד</w:t>
      </w:r>
      <w:r>
        <w:rPr>
          <w:rFonts w:cs="Arial" w:hint="cs"/>
          <w:rtl/>
        </w:rPr>
        <w:t>ו.</w:t>
      </w:r>
      <w:r w:rsidRPr="00647ABD">
        <w:rPr>
          <w:rFonts w:cs="Arial"/>
          <w:rtl/>
        </w:rPr>
        <w:t xml:space="preserve"> ולאחר זמן באו עדים שהיו בבית הכנסת ואמרו לא שמנו לבנו אז להעיד ועתה זכרנו ובאנו להעיד</w:t>
      </w:r>
      <w:r>
        <w:rPr>
          <w:rFonts w:cs="Arial" w:hint="cs"/>
          <w:rtl/>
        </w:rPr>
        <w:t>.</w:t>
      </w:r>
      <w:r w:rsidRPr="00647ABD">
        <w:rPr>
          <w:rFonts w:cs="Arial"/>
          <w:rtl/>
        </w:rPr>
        <w:t xml:space="preserve"> </w:t>
      </w:r>
      <w:r>
        <w:rPr>
          <w:rFonts w:cs="Arial" w:hint="cs"/>
          <w:rtl/>
        </w:rPr>
        <w:t>תשובה,</w:t>
      </w:r>
      <w:r w:rsidRPr="00647ABD">
        <w:rPr>
          <w:rFonts w:cs="Arial"/>
          <w:rtl/>
        </w:rPr>
        <w:t xml:space="preserve"> נראה לי דמקבלין עדותן דהא אמרינן בפ</w:t>
      </w:r>
      <w:r>
        <w:rPr>
          <w:rFonts w:cs="Arial" w:hint="cs"/>
          <w:rtl/>
        </w:rPr>
        <w:t>"</w:t>
      </w:r>
      <w:r w:rsidRPr="00647ABD">
        <w:rPr>
          <w:rFonts w:cs="Arial"/>
          <w:rtl/>
        </w:rPr>
        <w:t xml:space="preserve">ב דכתובות </w:t>
      </w:r>
      <w:r w:rsidRPr="005A5ED2">
        <w:rPr>
          <w:rFonts w:cs="Arial"/>
          <w:sz w:val="16"/>
          <w:szCs w:val="16"/>
          <w:rtl/>
        </w:rPr>
        <w:t xml:space="preserve">(כ:) </w:t>
      </w:r>
      <w:r w:rsidRPr="00647ABD">
        <w:rPr>
          <w:rFonts w:cs="Arial"/>
          <w:rtl/>
        </w:rPr>
        <w:t>רב אשי הוה ידע ליה סהדותא לרב כהנא</w:t>
      </w:r>
      <w:r>
        <w:rPr>
          <w:rFonts w:cs="Arial" w:hint="cs"/>
          <w:rtl/>
        </w:rPr>
        <w:t>,</w:t>
      </w:r>
      <w:r w:rsidRPr="00647ABD">
        <w:rPr>
          <w:rFonts w:cs="Arial"/>
          <w:rtl/>
        </w:rPr>
        <w:t xml:space="preserve"> אמר ליה לאו הכי הוה</w:t>
      </w:r>
      <w:r>
        <w:rPr>
          <w:rFonts w:cs="Arial" w:hint="cs"/>
          <w:rtl/>
        </w:rPr>
        <w:t>,</w:t>
      </w:r>
      <w:r w:rsidRPr="00647ABD">
        <w:rPr>
          <w:rFonts w:cs="Arial"/>
          <w:rtl/>
        </w:rPr>
        <w:t xml:space="preserve"> אמר ליה לא ידענא</w:t>
      </w:r>
      <w:r>
        <w:rPr>
          <w:rFonts w:cs="Arial" w:hint="cs"/>
          <w:rtl/>
        </w:rPr>
        <w:t>,</w:t>
      </w:r>
      <w:r w:rsidRPr="00647ABD">
        <w:rPr>
          <w:rFonts w:cs="Arial"/>
          <w:rtl/>
        </w:rPr>
        <w:t xml:space="preserve"> לסוף אידכר רב אשי אזיל וסהיד ליה וכו'</w:t>
      </w:r>
      <w:r>
        <w:rPr>
          <w:rFonts w:cs="Arial" w:hint="cs"/>
          <w:rtl/>
        </w:rPr>
        <w:t>.</w:t>
      </w:r>
      <w:r w:rsidRPr="00647ABD">
        <w:rPr>
          <w:rFonts w:cs="Arial"/>
          <w:rtl/>
        </w:rPr>
        <w:t xml:space="preserve"> ולא דמי להא דאמרינן השביע עליו חמשה פעמים בבית דין וכפר אינו חייב אלא א</w:t>
      </w:r>
      <w:r>
        <w:rPr>
          <w:rFonts w:cs="Arial" w:hint="cs"/>
          <w:rtl/>
        </w:rPr>
        <w:t>'</w:t>
      </w:r>
      <w:r w:rsidRPr="00647ABD">
        <w:rPr>
          <w:rFonts w:cs="Arial"/>
          <w:rtl/>
        </w:rPr>
        <w:t xml:space="preserve"> אמר רבי שמעון מה טעם מפני שאינם יכולין לחזור ולהודות</w:t>
      </w:r>
      <w:r>
        <w:rPr>
          <w:rFonts w:cs="Arial" w:hint="cs"/>
          <w:rtl/>
        </w:rPr>
        <w:t>,</w:t>
      </w:r>
      <w:r w:rsidRPr="00647ABD">
        <w:rPr>
          <w:rFonts w:cs="Arial"/>
          <w:rtl/>
        </w:rPr>
        <w:t xml:space="preserve"> דלמא דשאני התם דכפרו לגמרי</w:t>
      </w:r>
      <w:r>
        <w:rPr>
          <w:rStyle w:val="ab"/>
          <w:rFonts w:cs="Arial"/>
          <w:rtl/>
        </w:rPr>
        <w:footnoteReference w:id="1585"/>
      </w:r>
      <w:r w:rsidRPr="00647ABD">
        <w:rPr>
          <w:rFonts w:cs="Arial"/>
          <w:rtl/>
        </w:rPr>
        <w:t xml:space="preserve"> וכיון שהגיד שוב אינו חוזר ומגיד</w:t>
      </w:r>
      <w:r>
        <w:rPr>
          <w:rFonts w:cs="Arial" w:hint="cs"/>
          <w:rtl/>
        </w:rPr>
        <w:t xml:space="preserve">. </w:t>
      </w:r>
      <w:r w:rsidRPr="00700312">
        <w:rPr>
          <w:rFonts w:cs="Arial" w:hint="cs"/>
          <w:color w:val="00B0F0"/>
          <w:rtl/>
        </w:rPr>
        <w:t>(וכ"פ הרמ"א)</w:t>
      </w:r>
    </w:p>
    <w:p w14:paraId="5FD46D46" w14:textId="77777777" w:rsidR="004B607F" w:rsidRPr="00CE5F7E" w:rsidRDefault="004B607F" w:rsidP="004B0475">
      <w:pPr>
        <w:pStyle w:val="ac"/>
        <w:numPr>
          <w:ilvl w:val="0"/>
          <w:numId w:val="82"/>
        </w:numPr>
        <w:rPr>
          <w:rFonts w:cs="Arial"/>
        </w:rPr>
      </w:pPr>
      <w:r w:rsidRPr="00647ABD">
        <w:rPr>
          <w:rFonts w:cs="Arial"/>
          <w:rtl/>
        </w:rPr>
        <w:lastRenderedPageBreak/>
        <w:t>הג</w:t>
      </w:r>
      <w:r>
        <w:rPr>
          <w:rFonts w:cs="Arial" w:hint="cs"/>
          <w:rtl/>
        </w:rPr>
        <w:t>"</w:t>
      </w:r>
      <w:r w:rsidRPr="00647ABD">
        <w:rPr>
          <w:rFonts w:cs="Arial"/>
          <w:rtl/>
        </w:rPr>
        <w:t xml:space="preserve">א </w:t>
      </w:r>
      <w:r w:rsidRPr="005A5ED2">
        <w:rPr>
          <w:rFonts w:cs="Arial" w:hint="cs"/>
          <w:sz w:val="16"/>
          <w:szCs w:val="16"/>
          <w:rtl/>
        </w:rPr>
        <w:t>(</w:t>
      </w:r>
      <w:r w:rsidRPr="005A5ED2">
        <w:rPr>
          <w:rFonts w:cs="Arial"/>
          <w:sz w:val="16"/>
          <w:szCs w:val="16"/>
          <w:rtl/>
        </w:rPr>
        <w:t>פרק שבועת העדות סי' טו)</w:t>
      </w:r>
      <w:r>
        <w:rPr>
          <w:rFonts w:cs="Arial" w:hint="cs"/>
          <w:rtl/>
        </w:rPr>
        <w:t xml:space="preserve"> מאו"ז- </w:t>
      </w:r>
      <w:r w:rsidRPr="00647ABD">
        <w:rPr>
          <w:rFonts w:cs="Arial"/>
          <w:rtl/>
        </w:rPr>
        <w:t>כשנותנים חרם בבהכ</w:t>
      </w:r>
      <w:r>
        <w:rPr>
          <w:rFonts w:cs="Arial" w:hint="cs"/>
          <w:rtl/>
        </w:rPr>
        <w:t>"</w:t>
      </w:r>
      <w:r w:rsidRPr="00647ABD">
        <w:rPr>
          <w:rFonts w:cs="Arial"/>
          <w:rtl/>
        </w:rPr>
        <w:t>נ בעבור עדות</w:t>
      </w:r>
      <w:r>
        <w:rPr>
          <w:rFonts w:cs="Arial" w:hint="cs"/>
          <w:rtl/>
        </w:rPr>
        <w:t>,</w:t>
      </w:r>
      <w:r w:rsidRPr="00647ABD">
        <w:rPr>
          <w:rFonts w:cs="Arial"/>
          <w:rtl/>
        </w:rPr>
        <w:t xml:space="preserve"> לא מיבעיא אם אמר איני יודע שאינו יכול לחזור בו ולומר שכחתי ועתה נזכרתי</w:t>
      </w:r>
      <w:r>
        <w:rPr>
          <w:rFonts w:cs="Arial" w:hint="cs"/>
          <w:rtl/>
        </w:rPr>
        <w:t>,</w:t>
      </w:r>
      <w:r w:rsidRPr="00647ABD">
        <w:rPr>
          <w:rFonts w:cs="Arial"/>
          <w:rtl/>
        </w:rPr>
        <w:t xml:space="preserve"> אלא אפי</w:t>
      </w:r>
      <w:r>
        <w:rPr>
          <w:rFonts w:cs="Arial" w:hint="cs"/>
          <w:rtl/>
        </w:rPr>
        <w:t>'</w:t>
      </w:r>
      <w:r w:rsidRPr="00647ABD">
        <w:rPr>
          <w:rFonts w:cs="Arial"/>
          <w:rtl/>
        </w:rPr>
        <w:t xml:space="preserve"> שתק ולא אמר כלום ולאחר זמן רוצה להעיד </w:t>
      </w:r>
      <w:r>
        <w:rPr>
          <w:rFonts w:cs="Arial" w:hint="cs"/>
          <w:rtl/>
        </w:rPr>
        <w:t xml:space="preserve">- </w:t>
      </w:r>
      <w:r w:rsidRPr="00647ABD">
        <w:rPr>
          <w:rFonts w:cs="Arial"/>
          <w:rtl/>
        </w:rPr>
        <w:t>לא נוציא ממון על פיו מספק</w:t>
      </w:r>
      <w:r>
        <w:rPr>
          <w:rFonts w:cs="Arial" w:hint="cs"/>
          <w:rtl/>
        </w:rPr>
        <w:t>,</w:t>
      </w:r>
      <w:r w:rsidRPr="00647ABD">
        <w:rPr>
          <w:rFonts w:cs="Arial"/>
          <w:rtl/>
        </w:rPr>
        <w:t xml:space="preserve"> דדילמא שתיקתו הויא כפירה</w:t>
      </w:r>
      <w:r>
        <w:rPr>
          <w:rFonts w:cs="Arial" w:hint="cs"/>
          <w:rtl/>
        </w:rPr>
        <w:t>,</w:t>
      </w:r>
      <w:r w:rsidRPr="00647ABD">
        <w:rPr>
          <w:rFonts w:cs="Arial"/>
          <w:rtl/>
        </w:rPr>
        <w:t xml:space="preserve"> והוי ליה כפירה בבית דין דשוב אינו יכול לחזור ולהודות</w:t>
      </w:r>
      <w:r>
        <w:rPr>
          <w:rStyle w:val="ab"/>
          <w:rFonts w:cs="Arial"/>
          <w:rtl/>
        </w:rPr>
        <w:footnoteReference w:id="1586"/>
      </w:r>
      <w:r>
        <w:rPr>
          <w:rFonts w:cs="Arial" w:hint="cs"/>
          <w:rtl/>
        </w:rPr>
        <w:t>.</w:t>
      </w:r>
      <w:r w:rsidRPr="00647ABD">
        <w:rPr>
          <w:rFonts w:cs="Arial"/>
          <w:rtl/>
        </w:rPr>
        <w:t xml:space="preserve"> </w:t>
      </w:r>
    </w:p>
    <w:p w14:paraId="73710120" w14:textId="77777777" w:rsidR="004B607F" w:rsidRPr="00053D6D" w:rsidRDefault="004B607F" w:rsidP="004B607F">
      <w:pPr>
        <w:rPr>
          <w:rFonts w:cs="Arial"/>
          <w:u w:val="single"/>
        </w:rPr>
      </w:pPr>
      <w:r w:rsidRPr="00053D6D">
        <w:rPr>
          <w:rFonts w:cs="Arial" w:hint="cs"/>
          <w:u w:val="single"/>
          <w:rtl/>
        </w:rPr>
        <w:t xml:space="preserve">שטר נאמנות שחתומים עליו ב' עדים, ועתה העדים אומרים שהלוה לא ציוה לכתוב כן </w:t>
      </w:r>
      <w:r w:rsidRPr="00053D6D">
        <w:rPr>
          <w:rFonts w:cs="Arial"/>
          <w:u w:val="single"/>
          <w:rtl/>
        </w:rPr>
        <w:t>–</w:t>
      </w:r>
      <w:r w:rsidRPr="00053D6D">
        <w:rPr>
          <w:rFonts w:cs="Arial" w:hint="cs"/>
          <w:u w:val="single"/>
          <w:rtl/>
        </w:rPr>
        <w:t xml:space="preserve"> האם הוי חוזר ומגיד:</w:t>
      </w:r>
    </w:p>
    <w:p w14:paraId="51451BA4" w14:textId="77777777" w:rsidR="004B607F" w:rsidRDefault="004B607F" w:rsidP="004B0475">
      <w:pPr>
        <w:pStyle w:val="ac"/>
        <w:numPr>
          <w:ilvl w:val="0"/>
          <w:numId w:val="82"/>
        </w:numPr>
        <w:rPr>
          <w:rFonts w:cs="Arial"/>
        </w:rPr>
      </w:pPr>
      <w:r>
        <w:rPr>
          <w:rFonts w:cs="Arial" w:hint="cs"/>
          <w:rtl/>
        </w:rPr>
        <w:t xml:space="preserve">טור </w:t>
      </w:r>
      <w:r w:rsidRPr="005A5ED2">
        <w:rPr>
          <w:rFonts w:cs="Arial" w:hint="cs"/>
          <w:sz w:val="16"/>
          <w:szCs w:val="16"/>
          <w:rtl/>
        </w:rPr>
        <w:t>(</w:t>
      </w:r>
      <w:r w:rsidRPr="005A5ED2">
        <w:rPr>
          <w:rFonts w:cs="Arial"/>
          <w:sz w:val="16"/>
          <w:szCs w:val="16"/>
          <w:rtl/>
        </w:rPr>
        <w:t>סי</w:t>
      </w:r>
      <w:r w:rsidRPr="005A5ED2">
        <w:rPr>
          <w:rFonts w:cs="Arial" w:hint="cs"/>
          <w:sz w:val="16"/>
          <w:szCs w:val="16"/>
          <w:rtl/>
        </w:rPr>
        <w:t>'</w:t>
      </w:r>
      <w:r w:rsidRPr="005A5ED2">
        <w:rPr>
          <w:rFonts w:cs="Arial"/>
          <w:sz w:val="16"/>
          <w:szCs w:val="16"/>
          <w:rtl/>
        </w:rPr>
        <w:t xml:space="preserve"> עא סכ"ד-כה</w:t>
      </w:r>
      <w:r w:rsidRPr="005A5ED2">
        <w:rPr>
          <w:rFonts w:cs="Arial" w:hint="cs"/>
          <w:sz w:val="16"/>
          <w:szCs w:val="16"/>
          <w:rtl/>
        </w:rPr>
        <w:t>, הביאו הב"י</w:t>
      </w:r>
      <w:r w:rsidRPr="005A5ED2">
        <w:rPr>
          <w:rFonts w:cs="Arial"/>
          <w:sz w:val="16"/>
          <w:szCs w:val="16"/>
          <w:rtl/>
        </w:rPr>
        <w:t>)</w:t>
      </w:r>
      <w:r>
        <w:rPr>
          <w:rFonts w:cs="Arial" w:hint="cs"/>
          <w:rtl/>
        </w:rPr>
        <w:t>-</w:t>
      </w:r>
      <w:r w:rsidRPr="00647ABD">
        <w:rPr>
          <w:rFonts w:cs="Arial"/>
          <w:rtl/>
        </w:rPr>
        <w:t xml:space="preserve"> שטר שיש בו נאמנות וטוען הלוה שלא נכתב בציוויו כי דרך הסופרים לכתוב מעצמם שופרא דשטרא</w:t>
      </w:r>
      <w:r>
        <w:rPr>
          <w:rFonts w:cs="Arial" w:hint="cs"/>
          <w:rtl/>
        </w:rPr>
        <w:t>.</w:t>
      </w:r>
      <w:r w:rsidRPr="00647ABD">
        <w:rPr>
          <w:rFonts w:cs="Arial"/>
          <w:rtl/>
        </w:rPr>
        <w:t xml:space="preserve"> אם העדים בפנינו ומעידים שלא כתבוהו בצווי הלוה </w:t>
      </w:r>
      <w:r>
        <w:rPr>
          <w:rFonts w:cs="Arial" w:hint="cs"/>
          <w:rtl/>
        </w:rPr>
        <w:t xml:space="preserve">- </w:t>
      </w:r>
      <w:r w:rsidRPr="00647ABD">
        <w:rPr>
          <w:rFonts w:cs="Arial"/>
          <w:rtl/>
        </w:rPr>
        <w:t>אע</w:t>
      </w:r>
      <w:r>
        <w:rPr>
          <w:rFonts w:cs="Arial" w:hint="cs"/>
          <w:rtl/>
        </w:rPr>
        <w:t>"</w:t>
      </w:r>
      <w:r w:rsidRPr="00647ABD">
        <w:rPr>
          <w:rFonts w:cs="Arial"/>
          <w:rtl/>
        </w:rPr>
        <w:t xml:space="preserve">ג דכתיב </w:t>
      </w:r>
      <w:r>
        <w:rPr>
          <w:rFonts w:cs="Arial" w:hint="cs"/>
          <w:rtl/>
        </w:rPr>
        <w:t>'</w:t>
      </w:r>
      <w:r w:rsidRPr="00647ABD">
        <w:rPr>
          <w:rFonts w:cs="Arial"/>
          <w:rtl/>
        </w:rPr>
        <w:t>וקנינא מיניה על כל מאי דכתיב לעיל</w:t>
      </w:r>
      <w:r>
        <w:rPr>
          <w:rFonts w:cs="Arial" w:hint="cs"/>
          <w:rtl/>
        </w:rPr>
        <w:t>'</w:t>
      </w:r>
      <w:r w:rsidRPr="00647ABD">
        <w:rPr>
          <w:rFonts w:cs="Arial"/>
          <w:rtl/>
        </w:rPr>
        <w:t xml:space="preserve"> אין סומכין על הנאמנות</w:t>
      </w:r>
      <w:r>
        <w:rPr>
          <w:rFonts w:cs="Arial" w:hint="cs"/>
          <w:rtl/>
        </w:rPr>
        <w:t>,</w:t>
      </w:r>
      <w:r w:rsidRPr="00647ABD">
        <w:rPr>
          <w:rFonts w:cs="Arial"/>
          <w:rtl/>
        </w:rPr>
        <w:t xml:space="preserve"> ואין כאן משום חוזר ומגיד דאיכא למימר אשאר מילי דשטרא חתמי</w:t>
      </w:r>
      <w:r>
        <w:rPr>
          <w:rFonts w:cs="Arial" w:hint="cs"/>
          <w:rtl/>
        </w:rPr>
        <w:t>,</w:t>
      </w:r>
      <w:r w:rsidRPr="00647ABD">
        <w:rPr>
          <w:rFonts w:cs="Arial"/>
          <w:rtl/>
        </w:rPr>
        <w:t xml:space="preserve"> כדאיתא בירושלמי </w:t>
      </w:r>
      <w:r w:rsidRPr="005A5ED2">
        <w:rPr>
          <w:rFonts w:cs="Arial"/>
          <w:sz w:val="16"/>
          <w:szCs w:val="16"/>
          <w:rtl/>
        </w:rPr>
        <w:t xml:space="preserve">(שם) </w:t>
      </w:r>
      <w:r w:rsidRPr="00647ABD">
        <w:rPr>
          <w:rFonts w:cs="Arial"/>
          <w:rtl/>
        </w:rPr>
        <w:t>נאמנים העדים לומר על זה חתמנו ועל זה לא חתמנו</w:t>
      </w:r>
      <w:r>
        <w:rPr>
          <w:rFonts w:cs="Arial" w:hint="cs"/>
          <w:rtl/>
        </w:rPr>
        <w:t>.</w:t>
      </w:r>
      <w:r w:rsidRPr="00647ABD">
        <w:rPr>
          <w:rFonts w:cs="Arial"/>
          <w:rtl/>
        </w:rPr>
        <w:t xml:space="preserve"> אבל אם מפורש בו שקנו ממנו על הנאמנות</w:t>
      </w:r>
      <w:r>
        <w:rPr>
          <w:rFonts w:cs="Arial" w:hint="cs"/>
          <w:rtl/>
        </w:rPr>
        <w:t xml:space="preserve"> -</w:t>
      </w:r>
      <w:r w:rsidRPr="00647ABD">
        <w:rPr>
          <w:rFonts w:cs="Arial"/>
          <w:rtl/>
        </w:rPr>
        <w:t xml:space="preserve"> אינם נאמנים</w:t>
      </w:r>
      <w:r>
        <w:rPr>
          <w:rFonts w:cs="Arial" w:hint="cs"/>
          <w:rtl/>
        </w:rPr>
        <w:t>.</w:t>
      </w:r>
    </w:p>
    <w:p w14:paraId="63423586" w14:textId="77777777" w:rsidR="004B607F" w:rsidRPr="00DF433A" w:rsidRDefault="004B607F" w:rsidP="004B607F">
      <w:pPr>
        <w:rPr>
          <w:rFonts w:cs="Arial"/>
        </w:rPr>
      </w:pPr>
      <w:r>
        <w:rPr>
          <w:rFonts w:cs="Arial" w:hint="cs"/>
          <w:b/>
          <w:bCs/>
          <w:rtl/>
        </w:rPr>
        <w:t xml:space="preserve">כתובות </w:t>
      </w:r>
      <w:r w:rsidRPr="00DF433A">
        <w:rPr>
          <w:rFonts w:cs="Arial" w:hint="cs"/>
          <w:b/>
          <w:bCs/>
          <w:sz w:val="16"/>
          <w:szCs w:val="16"/>
          <w:rtl/>
        </w:rPr>
        <w:t xml:space="preserve">(פ"ב) </w:t>
      </w:r>
      <w:r>
        <w:rPr>
          <w:rFonts w:cs="Arial" w:hint="cs"/>
          <w:b/>
          <w:bCs/>
          <w:rtl/>
        </w:rPr>
        <w:t>יט</w:t>
      </w:r>
      <w:r>
        <w:rPr>
          <w:rStyle w:val="ab"/>
          <w:rFonts w:cs="Arial"/>
          <w:b/>
          <w:bCs/>
          <w:rtl/>
        </w:rPr>
        <w:footnoteReference w:id="1587"/>
      </w:r>
      <w:r>
        <w:rPr>
          <w:rFonts w:cs="Arial" w:hint="cs"/>
          <w:b/>
          <w:bCs/>
          <w:rtl/>
        </w:rPr>
        <w:t xml:space="preserve"> ע"ב: </w:t>
      </w:r>
      <w:r w:rsidRPr="00FC4205">
        <w:rPr>
          <w:rFonts w:cs="Arial"/>
          <w:u w:val="single"/>
          <w:rtl/>
        </w:rPr>
        <w:t>בעא מיניה רבא מרב נחמן</w:t>
      </w:r>
      <w:r w:rsidRPr="00DF433A">
        <w:rPr>
          <w:rFonts w:cs="Arial"/>
          <w:rtl/>
        </w:rPr>
        <w:t>: תנאי היו דברינו</w:t>
      </w:r>
      <w:r>
        <w:rPr>
          <w:rStyle w:val="ab"/>
          <w:rFonts w:cs="Arial"/>
          <w:rtl/>
        </w:rPr>
        <w:footnoteReference w:id="1588"/>
      </w:r>
      <w:r w:rsidRPr="00DF433A">
        <w:rPr>
          <w:rFonts w:cs="Arial"/>
          <w:rtl/>
        </w:rPr>
        <w:t>, מהו? מודעא ואמנה</w:t>
      </w:r>
      <w:r>
        <w:rPr>
          <w:rStyle w:val="ab"/>
          <w:rFonts w:cs="Arial"/>
          <w:rtl/>
        </w:rPr>
        <w:footnoteReference w:id="1589"/>
      </w:r>
      <w:r w:rsidRPr="00DF433A">
        <w:rPr>
          <w:rFonts w:cs="Arial"/>
          <w:rtl/>
        </w:rPr>
        <w:t xml:space="preserve"> היינו טעמא דקא עקרי ליה לשטרא</w:t>
      </w:r>
      <w:r>
        <w:rPr>
          <w:rStyle w:val="ab"/>
          <w:rFonts w:cs="Arial"/>
          <w:rtl/>
        </w:rPr>
        <w:footnoteReference w:id="1590"/>
      </w:r>
      <w:r w:rsidRPr="00DF433A">
        <w:rPr>
          <w:rFonts w:cs="Arial"/>
          <w:rtl/>
        </w:rPr>
        <w:t>, והאי נמי קא עקר לשטרא, או דלמא</w:t>
      </w:r>
      <w:r>
        <w:rPr>
          <w:rStyle w:val="ab"/>
          <w:rFonts w:cs="Arial"/>
          <w:rtl/>
        </w:rPr>
        <w:footnoteReference w:id="1591"/>
      </w:r>
      <w:r w:rsidRPr="00DF433A">
        <w:rPr>
          <w:rFonts w:cs="Arial"/>
          <w:rtl/>
        </w:rPr>
        <w:t xml:space="preserve"> תנאי מילתא אחריתי היא? </w:t>
      </w:r>
      <w:r w:rsidRPr="00021BA9">
        <w:rPr>
          <w:rFonts w:cs="Arial"/>
          <w:u w:val="single"/>
          <w:rtl/>
        </w:rPr>
        <w:t>א"ל</w:t>
      </w:r>
      <w:r w:rsidRPr="00DF433A">
        <w:rPr>
          <w:rFonts w:cs="Arial"/>
          <w:rtl/>
        </w:rPr>
        <w:t>: כי אתו לקמן</w:t>
      </w:r>
      <w:r>
        <w:rPr>
          <w:rStyle w:val="ab"/>
          <w:rFonts w:cs="Arial"/>
          <w:rtl/>
        </w:rPr>
        <w:footnoteReference w:id="1592"/>
      </w:r>
      <w:r w:rsidRPr="00DF433A">
        <w:rPr>
          <w:rFonts w:cs="Arial"/>
          <w:rtl/>
        </w:rPr>
        <w:t xml:space="preserve"> לדינא, אמרינן להו: זילו קיימו תנאייכו</w:t>
      </w:r>
      <w:r>
        <w:rPr>
          <w:rStyle w:val="ab"/>
          <w:rFonts w:cs="Arial"/>
          <w:rtl/>
        </w:rPr>
        <w:footnoteReference w:id="1593"/>
      </w:r>
      <w:r w:rsidRPr="00DF433A">
        <w:rPr>
          <w:rFonts w:cs="Arial"/>
          <w:rtl/>
        </w:rPr>
        <w:t xml:space="preserve"> וחותו לדינא</w:t>
      </w:r>
      <w:r>
        <w:rPr>
          <w:rStyle w:val="ab"/>
          <w:rFonts w:cs="Arial"/>
          <w:rtl/>
        </w:rPr>
        <w:footnoteReference w:id="1594"/>
      </w:r>
      <w:r w:rsidRPr="00DF433A">
        <w:rPr>
          <w:rFonts w:cs="Arial"/>
          <w:rtl/>
        </w:rPr>
        <w:t>. עד אומר תנאי, ועד אומר אינו תנא</w:t>
      </w:r>
      <w:r>
        <w:rPr>
          <w:rFonts w:cs="Arial" w:hint="cs"/>
          <w:rtl/>
        </w:rPr>
        <w:t>י,</w:t>
      </w:r>
      <w:r w:rsidRPr="00DF433A">
        <w:rPr>
          <w:rFonts w:cs="Arial"/>
          <w:rtl/>
        </w:rPr>
        <w:t xml:space="preserve"> </w:t>
      </w:r>
      <w:r w:rsidRPr="00DF433A">
        <w:rPr>
          <w:rFonts w:cs="Arial"/>
          <w:u w:val="single"/>
          <w:rtl/>
        </w:rPr>
        <w:t>א"ר פפא</w:t>
      </w:r>
      <w:r w:rsidRPr="00DF433A">
        <w:rPr>
          <w:rFonts w:cs="Arial"/>
          <w:rtl/>
        </w:rPr>
        <w:t>: תרוייהו בשטרא מעליא קא מסהדי</w:t>
      </w:r>
      <w:r>
        <w:rPr>
          <w:rStyle w:val="ab"/>
          <w:rFonts w:cs="Arial"/>
          <w:rtl/>
        </w:rPr>
        <w:footnoteReference w:id="1595"/>
      </w:r>
      <w:r w:rsidRPr="00DF433A">
        <w:rPr>
          <w:rFonts w:cs="Arial"/>
          <w:rtl/>
        </w:rPr>
        <w:t xml:space="preserve">, והאי דקאמר תנאי </w:t>
      </w:r>
      <w:r>
        <w:rPr>
          <w:rFonts w:cs="Arial" w:hint="cs"/>
          <w:rtl/>
        </w:rPr>
        <w:t xml:space="preserve">- </w:t>
      </w:r>
      <w:r w:rsidRPr="00DF433A">
        <w:rPr>
          <w:rFonts w:cs="Arial"/>
          <w:rtl/>
        </w:rPr>
        <w:t>הוה ליה חד</w:t>
      </w:r>
      <w:r>
        <w:rPr>
          <w:rStyle w:val="ab"/>
          <w:rFonts w:cs="Arial"/>
          <w:rtl/>
        </w:rPr>
        <w:footnoteReference w:id="1596"/>
      </w:r>
      <w:r w:rsidRPr="00DF433A">
        <w:rPr>
          <w:rFonts w:cs="Arial"/>
          <w:rtl/>
        </w:rPr>
        <w:t xml:space="preserve">, ואין דבריו של אחד במקום שנים. </w:t>
      </w:r>
      <w:r w:rsidRPr="00DF433A">
        <w:rPr>
          <w:rFonts w:cs="Arial"/>
          <w:u w:val="single"/>
          <w:rtl/>
        </w:rPr>
        <w:t>מתקיף לה רב הונא בריה דרב יהושע</w:t>
      </w:r>
      <w:r w:rsidRPr="00DF433A">
        <w:rPr>
          <w:rFonts w:cs="Arial"/>
          <w:rtl/>
        </w:rPr>
        <w:t>: אי הכי</w:t>
      </w:r>
      <w:r>
        <w:rPr>
          <w:rStyle w:val="ab"/>
          <w:rFonts w:cs="Arial"/>
          <w:rtl/>
        </w:rPr>
        <w:footnoteReference w:id="1597"/>
      </w:r>
      <w:r w:rsidRPr="00DF433A">
        <w:rPr>
          <w:rFonts w:cs="Arial"/>
          <w:rtl/>
        </w:rPr>
        <w:t>, אפי' תרוייהו נמי</w:t>
      </w:r>
      <w:r>
        <w:rPr>
          <w:rStyle w:val="ab"/>
          <w:rFonts w:cs="Arial"/>
          <w:rtl/>
        </w:rPr>
        <w:footnoteReference w:id="1598"/>
      </w:r>
      <w:r w:rsidRPr="00DF433A">
        <w:rPr>
          <w:rFonts w:cs="Arial"/>
          <w:rtl/>
        </w:rPr>
        <w:t>! אלא</w:t>
      </w:r>
      <w:r>
        <w:rPr>
          <w:rStyle w:val="ab"/>
          <w:rFonts w:cs="Arial"/>
          <w:rtl/>
        </w:rPr>
        <w:footnoteReference w:id="1599"/>
      </w:r>
      <w:r w:rsidRPr="00DF433A">
        <w:rPr>
          <w:rFonts w:cs="Arial"/>
          <w:rtl/>
        </w:rPr>
        <w:t xml:space="preserve"> אמרינן הני למיעקר סהדותייהו קאתו, האי נמי</w:t>
      </w:r>
      <w:r>
        <w:rPr>
          <w:rStyle w:val="ab"/>
          <w:rFonts w:cs="Arial"/>
          <w:rtl/>
        </w:rPr>
        <w:footnoteReference w:id="1600"/>
      </w:r>
      <w:r w:rsidRPr="00DF433A">
        <w:rPr>
          <w:rFonts w:cs="Arial"/>
          <w:rtl/>
        </w:rPr>
        <w:t xml:space="preserve"> למיעקר סהדותיה קאתי. והלכתא כרב הונא בריה דרב יהושע.</w:t>
      </w:r>
    </w:p>
    <w:p w14:paraId="7E0C3270" w14:textId="77777777" w:rsidR="004B607F" w:rsidRPr="008A1134" w:rsidRDefault="004B607F" w:rsidP="004B607F">
      <w:pPr>
        <w:rPr>
          <w:rFonts w:cs="Arial"/>
          <w:u w:val="single"/>
          <w:rtl/>
        </w:rPr>
      </w:pPr>
      <w:r w:rsidRPr="008A1134">
        <w:rPr>
          <w:rFonts w:cs="Arial" w:hint="cs"/>
          <w:u w:val="single"/>
          <w:rtl/>
        </w:rPr>
        <w:t xml:space="preserve">עד </w:t>
      </w:r>
      <w:r>
        <w:rPr>
          <w:rFonts w:cs="Arial" w:hint="cs"/>
          <w:u w:val="single"/>
          <w:rtl/>
        </w:rPr>
        <w:t>שהעיד ואח"כ חזר ואמר שתנאי היה בדבר</w:t>
      </w:r>
      <w:r w:rsidRPr="008A1134">
        <w:rPr>
          <w:rFonts w:cs="Arial" w:hint="cs"/>
          <w:u w:val="single"/>
          <w:rtl/>
        </w:rPr>
        <w:t xml:space="preserve"> </w:t>
      </w:r>
      <w:r w:rsidRPr="008A1134">
        <w:rPr>
          <w:rFonts w:cs="Arial"/>
          <w:u w:val="single"/>
          <w:rtl/>
        </w:rPr>
        <w:t>–</w:t>
      </w:r>
      <w:r w:rsidRPr="008A1134">
        <w:rPr>
          <w:rFonts w:cs="Arial" w:hint="cs"/>
          <w:u w:val="single"/>
          <w:rtl/>
        </w:rPr>
        <w:t xml:space="preserve"> האם מ</w:t>
      </w:r>
      <w:r>
        <w:rPr>
          <w:rFonts w:cs="Arial" w:hint="cs"/>
          <w:u w:val="single"/>
          <w:rtl/>
        </w:rPr>
        <w:t>י</w:t>
      </w:r>
      <w:r w:rsidRPr="008A1134">
        <w:rPr>
          <w:rFonts w:cs="Arial" w:hint="cs"/>
          <w:u w:val="single"/>
          <w:rtl/>
        </w:rPr>
        <w:t>קרי חוזר ומגיד:</w:t>
      </w:r>
    </w:p>
    <w:p w14:paraId="34F7EDF2" w14:textId="77777777" w:rsidR="004B607F" w:rsidRDefault="004B607F" w:rsidP="004B0475">
      <w:pPr>
        <w:pStyle w:val="ac"/>
        <w:numPr>
          <w:ilvl w:val="0"/>
          <w:numId w:val="82"/>
        </w:numPr>
        <w:rPr>
          <w:rFonts w:cs="Arial"/>
        </w:rPr>
      </w:pPr>
      <w:r w:rsidRPr="008A1134">
        <w:rPr>
          <w:rFonts w:cs="Arial"/>
          <w:rtl/>
        </w:rPr>
        <w:t>רמב"ם</w:t>
      </w:r>
      <w:r>
        <w:rPr>
          <w:rFonts w:cs="Arial" w:hint="cs"/>
          <w:sz w:val="16"/>
          <w:szCs w:val="16"/>
          <w:rtl/>
        </w:rPr>
        <w:t xml:space="preserve"> (פ"ג ה"ה וה"ט)</w:t>
      </w:r>
      <w:r w:rsidRPr="008A1134">
        <w:rPr>
          <w:rFonts w:cs="Arial" w:hint="cs"/>
          <w:rtl/>
        </w:rPr>
        <w:t>-</w:t>
      </w:r>
      <w:r w:rsidRPr="008A1134">
        <w:rPr>
          <w:rFonts w:cs="Arial"/>
          <w:rtl/>
        </w:rPr>
        <w:t xml:space="preserve"> </w:t>
      </w:r>
      <w:r w:rsidRPr="004D4813">
        <w:rPr>
          <w:rFonts w:cs="Arial"/>
          <w:rtl/>
        </w:rPr>
        <w:t xml:space="preserve">וכן אינו יכול להוסיף בעדותו תנאי, כללו של דבר כל דברים שיאמר העד אחר שנחקרה עדותו שיבא מכללן ביטול העדות או הוספת תנאי בה </w:t>
      </w:r>
      <w:r>
        <w:rPr>
          <w:rFonts w:cs="Arial" w:hint="cs"/>
          <w:rtl/>
        </w:rPr>
        <w:t xml:space="preserve">- </w:t>
      </w:r>
      <w:r w:rsidRPr="004D4813">
        <w:rPr>
          <w:rFonts w:cs="Arial"/>
          <w:rtl/>
        </w:rPr>
        <w:t>אין שומעין לו</w:t>
      </w:r>
      <w:r>
        <w:rPr>
          <w:rStyle w:val="ab"/>
          <w:rFonts w:cs="Arial"/>
          <w:rtl/>
        </w:rPr>
        <w:footnoteReference w:id="1601"/>
      </w:r>
      <w:r>
        <w:rPr>
          <w:rFonts w:cs="Arial" w:hint="cs"/>
          <w:sz w:val="16"/>
          <w:szCs w:val="16"/>
          <w:rtl/>
        </w:rPr>
        <w:t xml:space="preserve"> (ל' הרמב"ם)</w:t>
      </w:r>
      <w:r w:rsidRPr="008A1134">
        <w:rPr>
          <w:rFonts w:cs="Arial" w:hint="cs"/>
          <w:rtl/>
        </w:rPr>
        <w:t>.</w:t>
      </w:r>
      <w:r w:rsidRPr="008A1134">
        <w:rPr>
          <w:rFonts w:cs="Arial"/>
          <w:rtl/>
        </w:rPr>
        <w:t xml:space="preserve"> </w:t>
      </w:r>
      <w:r>
        <w:rPr>
          <w:rFonts w:cs="Arial" w:hint="cs"/>
          <w:rtl/>
        </w:rPr>
        <w:t xml:space="preserve">והיינו בשכתב ידם יוצא ממקום אחר, אבל אם אין כתב ידם יוצא ממקום אחר - </w:t>
      </w:r>
      <w:r w:rsidRPr="00EC4706">
        <w:rPr>
          <w:rFonts w:cs="Arial" w:hint="cs"/>
          <w:rtl/>
        </w:rPr>
        <w:t>יכול להוסיף תנאי</w:t>
      </w:r>
      <w:r>
        <w:rPr>
          <w:rStyle w:val="ab"/>
          <w:rFonts w:cs="Arial"/>
          <w:rtl/>
        </w:rPr>
        <w:footnoteReference w:id="1602"/>
      </w:r>
      <w:r w:rsidRPr="00EC4706">
        <w:rPr>
          <w:rFonts w:cs="Arial"/>
          <w:rtl/>
        </w:rPr>
        <w:t xml:space="preserve">. </w:t>
      </w:r>
      <w:r w:rsidRPr="00EC4706">
        <w:rPr>
          <w:rFonts w:cs="Arial" w:hint="cs"/>
          <w:color w:val="E36C0A" w:themeColor="accent6" w:themeShade="BF"/>
          <w:rtl/>
        </w:rPr>
        <w:t>(וכ"פ בשו"ע</w:t>
      </w:r>
      <w:r w:rsidRPr="00EC4706">
        <w:rPr>
          <w:rFonts w:cs="Arial" w:hint="cs"/>
          <w:color w:val="000000" w:themeColor="text1"/>
          <w:sz w:val="16"/>
          <w:szCs w:val="16"/>
          <w:rtl/>
        </w:rPr>
        <w:t xml:space="preserve"> [עי' באה"ג אות ג]</w:t>
      </w:r>
      <w:r w:rsidRPr="00EC4706">
        <w:rPr>
          <w:rFonts w:cs="Arial" w:hint="cs"/>
          <w:color w:val="E36C0A" w:themeColor="accent6" w:themeShade="BF"/>
          <w:rtl/>
        </w:rPr>
        <w:t>)</w:t>
      </w:r>
      <w:r w:rsidRPr="00EC4706">
        <w:rPr>
          <w:rFonts w:cs="Arial" w:hint="cs"/>
          <w:rtl/>
        </w:rPr>
        <w:t xml:space="preserve"> (וכ"פ סמ"ע </w:t>
      </w:r>
      <w:r w:rsidRPr="00EC4706">
        <w:rPr>
          <w:rFonts w:cs="Arial" w:hint="cs"/>
          <w:sz w:val="16"/>
          <w:szCs w:val="16"/>
          <w:rtl/>
        </w:rPr>
        <w:t xml:space="preserve">[סק"ה] </w:t>
      </w:r>
      <w:r w:rsidRPr="00EC4706">
        <w:rPr>
          <w:rFonts w:cs="Arial" w:hint="cs"/>
          <w:rtl/>
        </w:rPr>
        <w:t>וש"ך</w:t>
      </w:r>
      <w:r w:rsidRPr="00EC4706">
        <w:rPr>
          <w:rFonts w:cs="Arial" w:hint="cs"/>
          <w:sz w:val="16"/>
          <w:szCs w:val="16"/>
          <w:rtl/>
        </w:rPr>
        <w:t xml:space="preserve"> [סק"ב]</w:t>
      </w:r>
      <w:r w:rsidRPr="00EC4706">
        <w:rPr>
          <w:rFonts w:cs="Arial" w:hint="cs"/>
          <w:rtl/>
        </w:rPr>
        <w:t>)</w:t>
      </w:r>
      <w:r>
        <w:rPr>
          <w:rFonts w:cs="Arial" w:hint="cs"/>
          <w:rtl/>
        </w:rPr>
        <w:t xml:space="preserve"> </w:t>
      </w:r>
    </w:p>
    <w:p w14:paraId="26702F1D" w14:textId="77777777" w:rsidR="004B607F" w:rsidRDefault="004B607F" w:rsidP="004B0475">
      <w:pPr>
        <w:pStyle w:val="ac"/>
        <w:numPr>
          <w:ilvl w:val="0"/>
          <w:numId w:val="82"/>
        </w:numPr>
        <w:rPr>
          <w:rFonts w:cs="Arial"/>
        </w:rPr>
      </w:pPr>
      <w:r w:rsidRPr="00EC4706">
        <w:rPr>
          <w:rFonts w:cs="Arial"/>
          <w:rtl/>
        </w:rPr>
        <w:lastRenderedPageBreak/>
        <w:t>רא"ש</w:t>
      </w:r>
      <w:r w:rsidRPr="00EC4706">
        <w:rPr>
          <w:rFonts w:cs="Arial" w:hint="cs"/>
          <w:sz w:val="16"/>
          <w:szCs w:val="16"/>
          <w:rtl/>
        </w:rPr>
        <w:t xml:space="preserve"> (סי' יב, כ"כ הטור בשמו)</w:t>
      </w:r>
      <w:r w:rsidRPr="00EC4706">
        <w:rPr>
          <w:rFonts w:cs="Arial" w:hint="cs"/>
          <w:rtl/>
        </w:rPr>
        <w:t>-</w:t>
      </w:r>
      <w:r w:rsidRPr="00EC4706">
        <w:rPr>
          <w:rFonts w:cs="Arial"/>
          <w:rtl/>
        </w:rPr>
        <w:t xml:space="preserve"> בתנאי שומעין לו</w:t>
      </w:r>
      <w:r w:rsidRPr="00EC4706">
        <w:rPr>
          <w:rFonts w:cs="Arial" w:hint="cs"/>
          <w:rtl/>
        </w:rPr>
        <w:t>.</w:t>
      </w:r>
      <w:r w:rsidRPr="00EC4706">
        <w:rPr>
          <w:rFonts w:cs="Arial"/>
          <w:rtl/>
        </w:rPr>
        <w:t xml:space="preserve"> ואפילו אחד אמר תנאי ואחד אמר לא היה תנאי </w:t>
      </w:r>
      <w:r w:rsidRPr="00EC4706">
        <w:rPr>
          <w:rFonts w:cs="Arial" w:hint="cs"/>
          <w:rtl/>
        </w:rPr>
        <w:t xml:space="preserve">- </w:t>
      </w:r>
      <w:r w:rsidRPr="00EC4706">
        <w:rPr>
          <w:rFonts w:cs="Arial"/>
          <w:rtl/>
        </w:rPr>
        <w:t>שומעין לזה שאומר תנאי</w:t>
      </w:r>
      <w:r>
        <w:rPr>
          <w:rStyle w:val="ab"/>
          <w:rFonts w:cs="Arial"/>
          <w:rtl/>
        </w:rPr>
        <w:footnoteReference w:id="1603"/>
      </w:r>
      <w:r w:rsidRPr="00EC4706">
        <w:rPr>
          <w:rFonts w:cs="Arial" w:hint="cs"/>
          <w:rtl/>
        </w:rPr>
        <w:t>.</w:t>
      </w:r>
      <w:r w:rsidRPr="00EC4706">
        <w:rPr>
          <w:rFonts w:cs="Arial"/>
          <w:rtl/>
        </w:rPr>
        <w:t xml:space="preserve"> </w:t>
      </w:r>
      <w:r w:rsidRPr="00EC4706">
        <w:rPr>
          <w:rFonts w:hint="cs"/>
          <w:color w:val="00B0F0"/>
          <w:rtl/>
        </w:rPr>
        <w:t>(וכ"פ הרמ"א)</w:t>
      </w:r>
    </w:p>
    <w:p w14:paraId="38CC28FA" w14:textId="77777777" w:rsidR="004B607F" w:rsidRPr="00EC4706" w:rsidRDefault="004B607F" w:rsidP="004B0475">
      <w:pPr>
        <w:pStyle w:val="ac"/>
        <w:numPr>
          <w:ilvl w:val="0"/>
          <w:numId w:val="82"/>
        </w:numPr>
        <w:rPr>
          <w:rFonts w:cs="Arial"/>
          <w:rtl/>
        </w:rPr>
      </w:pPr>
      <w:r>
        <w:rPr>
          <w:rFonts w:cs="Arial" w:hint="cs"/>
          <w:rtl/>
        </w:rPr>
        <w:t>רב האי גאון ו</w:t>
      </w:r>
      <w:r w:rsidRPr="009A576F">
        <w:rPr>
          <w:rFonts w:cs="Arial"/>
          <w:rtl/>
        </w:rPr>
        <w:t>ר"ן</w:t>
      </w:r>
      <w:r>
        <w:rPr>
          <w:rStyle w:val="ab"/>
          <w:rFonts w:cs="Arial"/>
          <w:rtl/>
        </w:rPr>
        <w:footnoteReference w:id="1604"/>
      </w:r>
      <w:r>
        <w:rPr>
          <w:rFonts w:cs="Arial" w:hint="cs"/>
          <w:rtl/>
        </w:rPr>
        <w:t>-</w:t>
      </w:r>
      <w:r w:rsidRPr="009A576F">
        <w:rPr>
          <w:rFonts w:cs="Arial"/>
          <w:rtl/>
        </w:rPr>
        <w:t xml:space="preserve"> </w:t>
      </w:r>
      <w:r>
        <w:rPr>
          <w:rFonts w:cs="Arial" w:hint="cs"/>
          <w:rtl/>
        </w:rPr>
        <w:t>נאמנים אפילו כתב ידם יוצא ממקום אחר.</w:t>
      </w:r>
    </w:p>
    <w:p w14:paraId="0B4CD691" w14:textId="77777777" w:rsidR="004B607F" w:rsidRPr="00EC4706" w:rsidRDefault="004B607F" w:rsidP="004B0475">
      <w:pPr>
        <w:pStyle w:val="ac"/>
        <w:numPr>
          <w:ilvl w:val="0"/>
          <w:numId w:val="82"/>
        </w:numPr>
      </w:pPr>
      <w:r w:rsidRPr="008A1134">
        <w:rPr>
          <w:rFonts w:cs="Arial"/>
          <w:rtl/>
        </w:rPr>
        <w:t>רב מתתיה גאון</w:t>
      </w:r>
      <w:r>
        <w:rPr>
          <w:rFonts w:cs="Arial" w:hint="cs"/>
          <w:rtl/>
        </w:rPr>
        <w:t xml:space="preserve"> </w:t>
      </w:r>
      <w:r w:rsidRPr="005F3450">
        <w:rPr>
          <w:rFonts w:cs="Arial" w:hint="cs"/>
          <w:sz w:val="16"/>
          <w:szCs w:val="16"/>
          <w:rtl/>
        </w:rPr>
        <w:t>(</w:t>
      </w:r>
      <w:r w:rsidRPr="005F3450">
        <w:rPr>
          <w:rFonts w:cs="Arial"/>
          <w:sz w:val="16"/>
          <w:szCs w:val="16"/>
          <w:rtl/>
        </w:rPr>
        <w:t>כ</w:t>
      </w:r>
      <w:r w:rsidRPr="005F3450">
        <w:rPr>
          <w:rFonts w:cs="Arial" w:hint="cs"/>
          <w:sz w:val="16"/>
          <w:szCs w:val="16"/>
          <w:rtl/>
        </w:rPr>
        <w:t>"</w:t>
      </w:r>
      <w:r w:rsidRPr="005F3450">
        <w:rPr>
          <w:rFonts w:cs="Arial"/>
          <w:sz w:val="16"/>
          <w:szCs w:val="16"/>
          <w:rtl/>
        </w:rPr>
        <w:t xml:space="preserve">כ </w:t>
      </w:r>
      <w:r>
        <w:rPr>
          <w:rFonts w:cs="Arial" w:hint="cs"/>
          <w:sz w:val="16"/>
          <w:szCs w:val="16"/>
          <w:rtl/>
        </w:rPr>
        <w:t xml:space="preserve">בשמו </w:t>
      </w:r>
      <w:r w:rsidRPr="005F3450">
        <w:rPr>
          <w:rFonts w:cs="Arial"/>
          <w:sz w:val="16"/>
          <w:szCs w:val="16"/>
          <w:rtl/>
        </w:rPr>
        <w:t xml:space="preserve">בעל התרומות </w:t>
      </w:r>
      <w:r>
        <w:rPr>
          <w:rFonts w:cs="Arial" w:hint="cs"/>
          <w:sz w:val="16"/>
          <w:szCs w:val="16"/>
          <w:rtl/>
        </w:rPr>
        <w:t>[</w:t>
      </w:r>
      <w:r w:rsidRPr="005F3450">
        <w:rPr>
          <w:rFonts w:cs="Arial"/>
          <w:sz w:val="16"/>
          <w:szCs w:val="16"/>
          <w:rtl/>
        </w:rPr>
        <w:t>שער כא ח"ג סי' ג</w:t>
      </w:r>
      <w:r>
        <w:rPr>
          <w:rFonts w:cs="Arial" w:hint="cs"/>
          <w:sz w:val="16"/>
          <w:szCs w:val="16"/>
          <w:rtl/>
        </w:rPr>
        <w:t>] והטור</w:t>
      </w:r>
      <w:r w:rsidRPr="005F3450">
        <w:rPr>
          <w:rFonts w:cs="Arial"/>
          <w:sz w:val="16"/>
          <w:szCs w:val="16"/>
          <w:rtl/>
        </w:rPr>
        <w:t>)</w:t>
      </w:r>
      <w:r w:rsidRPr="008A1134">
        <w:rPr>
          <w:rFonts w:cs="Arial" w:hint="cs"/>
          <w:rtl/>
        </w:rPr>
        <w:t xml:space="preserve">- </w:t>
      </w:r>
      <w:r w:rsidRPr="008A1134">
        <w:rPr>
          <w:rFonts w:cs="Arial"/>
          <w:rtl/>
        </w:rPr>
        <w:t xml:space="preserve">אע"פ דעד אחד אמר תנאי ואחד אמר לא היה תנאי </w:t>
      </w:r>
      <w:r>
        <w:rPr>
          <w:rFonts w:cs="Arial" w:hint="cs"/>
          <w:rtl/>
        </w:rPr>
        <w:t xml:space="preserve">- </w:t>
      </w:r>
      <w:r w:rsidRPr="008A1134">
        <w:rPr>
          <w:rFonts w:cs="Arial"/>
          <w:rtl/>
        </w:rPr>
        <w:t>קיי</w:t>
      </w:r>
      <w:r>
        <w:rPr>
          <w:rFonts w:cs="Arial" w:hint="cs"/>
          <w:rtl/>
        </w:rPr>
        <w:t>"</w:t>
      </w:r>
      <w:r w:rsidRPr="008A1134">
        <w:rPr>
          <w:rFonts w:cs="Arial"/>
          <w:rtl/>
        </w:rPr>
        <w:t>ל דהאומר תנאי נאמן</w:t>
      </w:r>
      <w:r>
        <w:rPr>
          <w:rFonts w:cs="Arial" w:hint="cs"/>
          <w:rtl/>
        </w:rPr>
        <w:t>,</w:t>
      </w:r>
      <w:r w:rsidRPr="008A1134">
        <w:rPr>
          <w:rFonts w:cs="Arial"/>
          <w:rtl/>
        </w:rPr>
        <w:t xml:space="preserve"> כיון דאיכא רב נחמן דמחייב שבועה והתקין היסת</w:t>
      </w:r>
      <w:r>
        <w:rPr>
          <w:rFonts w:cs="Arial" w:hint="cs"/>
          <w:rtl/>
        </w:rPr>
        <w:t xml:space="preserve"> -</w:t>
      </w:r>
      <w:r w:rsidRPr="008A1134">
        <w:rPr>
          <w:rFonts w:cs="Arial"/>
          <w:rtl/>
        </w:rPr>
        <w:t xml:space="preserve"> מישתבע ליה היסת דתנאי הוה ומיפטר</w:t>
      </w:r>
      <w:r>
        <w:rPr>
          <w:rStyle w:val="ab"/>
          <w:rFonts w:cs="Arial"/>
          <w:rtl/>
        </w:rPr>
        <w:footnoteReference w:id="1605"/>
      </w:r>
      <w:r w:rsidRPr="00EC4706">
        <w:rPr>
          <w:rFonts w:cs="Arial" w:hint="cs"/>
          <w:rtl/>
        </w:rPr>
        <w:t xml:space="preserve">. </w:t>
      </w:r>
    </w:p>
    <w:p w14:paraId="1DD020B1" w14:textId="77777777" w:rsidR="004B607F" w:rsidRPr="00953983" w:rsidRDefault="004B607F" w:rsidP="004B607F">
      <w:pPr>
        <w:ind w:left="360"/>
        <w:rPr>
          <w:rFonts w:cs="Arial"/>
          <w:u w:val="dotted"/>
          <w:rtl/>
        </w:rPr>
      </w:pPr>
      <w:r>
        <w:rPr>
          <w:rFonts w:cs="Arial" w:hint="cs"/>
          <w:u w:val="dotted"/>
          <w:rtl/>
        </w:rPr>
        <w:t xml:space="preserve">כשאין העדים נאמנים </w:t>
      </w:r>
      <w:r>
        <w:rPr>
          <w:rFonts w:cs="Arial"/>
          <w:u w:val="dotted"/>
          <w:rtl/>
        </w:rPr>
        <w:t>–</w:t>
      </w:r>
      <w:r>
        <w:rPr>
          <w:rFonts w:cs="Arial" w:hint="cs"/>
          <w:u w:val="dotted"/>
          <w:rtl/>
        </w:rPr>
        <w:t xml:space="preserve"> מה הדין אם </w:t>
      </w:r>
      <w:r w:rsidRPr="00953983">
        <w:rPr>
          <w:rFonts w:cs="Arial" w:hint="cs"/>
          <w:u w:val="dotted"/>
          <w:rtl/>
        </w:rPr>
        <w:t>חזר</w:t>
      </w:r>
      <w:r>
        <w:rPr>
          <w:rFonts w:cs="Arial" w:hint="cs"/>
          <w:u w:val="dotted"/>
          <w:rtl/>
        </w:rPr>
        <w:t>ו</w:t>
      </w:r>
      <w:r w:rsidRPr="00953983">
        <w:rPr>
          <w:rFonts w:cs="Arial" w:hint="cs"/>
          <w:u w:val="dotted"/>
          <w:rtl/>
        </w:rPr>
        <w:t xml:space="preserve"> ב</w:t>
      </w:r>
      <w:r>
        <w:rPr>
          <w:rFonts w:cs="Arial" w:hint="cs"/>
          <w:u w:val="dotted"/>
          <w:rtl/>
        </w:rPr>
        <w:t>הם</w:t>
      </w:r>
      <w:r w:rsidRPr="00953983">
        <w:rPr>
          <w:rFonts w:cs="Arial" w:hint="cs"/>
          <w:u w:val="dotted"/>
          <w:rtl/>
        </w:rPr>
        <w:t xml:space="preserve"> תוך כדי דיבור:</w:t>
      </w:r>
    </w:p>
    <w:p w14:paraId="5482D9A0" w14:textId="77777777" w:rsidR="004B607F" w:rsidRPr="00EA6D7D" w:rsidRDefault="004B607F" w:rsidP="004B0475">
      <w:pPr>
        <w:pStyle w:val="ac"/>
        <w:numPr>
          <w:ilvl w:val="0"/>
          <w:numId w:val="82"/>
        </w:numPr>
      </w:pPr>
      <w:r>
        <w:rPr>
          <w:rFonts w:cs="Arial" w:hint="cs"/>
          <w:rtl/>
        </w:rPr>
        <w:t xml:space="preserve">ב"י- </w:t>
      </w:r>
      <w:r w:rsidRPr="008A1134">
        <w:rPr>
          <w:rFonts w:cs="Arial"/>
          <w:rtl/>
        </w:rPr>
        <w:t>משמע לי דבין באומרים דבר שסותר עדותם או שאמרו תנאי היו דברינו</w:t>
      </w:r>
      <w:r>
        <w:rPr>
          <w:rFonts w:cs="Arial" w:hint="cs"/>
          <w:rtl/>
        </w:rPr>
        <w:t>,</w:t>
      </w:r>
      <w:r w:rsidRPr="008A1134">
        <w:rPr>
          <w:rFonts w:cs="Arial"/>
          <w:rtl/>
        </w:rPr>
        <w:t xml:space="preserve"> אם בתוך כדי דיבור לגמר עדותם אמרו כן</w:t>
      </w:r>
      <w:r>
        <w:rPr>
          <w:rFonts w:cs="Arial" w:hint="cs"/>
          <w:rtl/>
        </w:rPr>
        <w:t xml:space="preserve"> -</w:t>
      </w:r>
      <w:r w:rsidRPr="008A1134">
        <w:rPr>
          <w:rFonts w:cs="Arial"/>
          <w:rtl/>
        </w:rPr>
        <w:t xml:space="preserve"> נאמנים</w:t>
      </w:r>
      <w:r>
        <w:rPr>
          <w:rFonts w:cs="Arial" w:hint="cs"/>
          <w:rtl/>
        </w:rPr>
        <w:t>,</w:t>
      </w:r>
      <w:r w:rsidRPr="008A1134">
        <w:rPr>
          <w:rFonts w:cs="Arial"/>
          <w:rtl/>
        </w:rPr>
        <w:t xml:space="preserve"> ואם לאו </w:t>
      </w:r>
      <w:r>
        <w:rPr>
          <w:rFonts w:cs="Arial" w:hint="cs"/>
          <w:rtl/>
        </w:rPr>
        <w:t xml:space="preserve">- </w:t>
      </w:r>
      <w:r w:rsidRPr="008A1134">
        <w:rPr>
          <w:rFonts w:cs="Arial"/>
          <w:rtl/>
        </w:rPr>
        <w:t>אינם נאמנים</w:t>
      </w:r>
      <w:r>
        <w:rPr>
          <w:rStyle w:val="ab"/>
          <w:rFonts w:cs="Arial"/>
          <w:rtl/>
        </w:rPr>
        <w:footnoteReference w:id="1606"/>
      </w:r>
      <w:r>
        <w:rPr>
          <w:rFonts w:cs="Arial" w:hint="cs"/>
          <w:rtl/>
        </w:rPr>
        <w:t>.</w:t>
      </w:r>
      <w:r w:rsidRPr="008A1134">
        <w:rPr>
          <w:rFonts w:cs="Arial"/>
          <w:rtl/>
        </w:rPr>
        <w:t xml:space="preserve"> </w:t>
      </w:r>
      <w:r w:rsidRPr="004D4813">
        <w:rPr>
          <w:rFonts w:hint="cs"/>
          <w:color w:val="00B0F0"/>
          <w:rtl/>
        </w:rPr>
        <w:t>(וכ"פ הרמ"א)</w:t>
      </w:r>
    </w:p>
    <w:p w14:paraId="3AE3B939" w14:textId="77777777" w:rsidR="004B607F" w:rsidRPr="00EA6D7D" w:rsidRDefault="004B607F" w:rsidP="004B607F">
      <w:pPr>
        <w:ind w:left="360"/>
      </w:pPr>
      <w:r>
        <w:rPr>
          <w:rFonts w:cs="Arial" w:hint="cs"/>
          <w:u w:val="dotted"/>
          <w:rtl/>
        </w:rPr>
        <w:t xml:space="preserve">ומה הדין אם גמר עדותו וקודם שהספיק לומר את התנאי הפסיק אותו הבע"ד </w:t>
      </w:r>
      <w:r>
        <w:rPr>
          <w:rFonts w:cs="Arial"/>
          <w:u w:val="dotted"/>
          <w:rtl/>
        </w:rPr>
        <w:t>–</w:t>
      </w:r>
      <w:r>
        <w:rPr>
          <w:rFonts w:cs="Arial" w:hint="cs"/>
          <w:u w:val="dotted"/>
          <w:rtl/>
        </w:rPr>
        <w:t xml:space="preserve"> ועכשיו רוצה להשלים התנאי</w:t>
      </w:r>
      <w:r w:rsidRPr="007657C5">
        <w:rPr>
          <w:rFonts w:cs="Arial" w:hint="cs"/>
          <w:u w:val="dotted"/>
          <w:rtl/>
        </w:rPr>
        <w:t>:</w:t>
      </w:r>
    </w:p>
    <w:p w14:paraId="4D45A157" w14:textId="77777777" w:rsidR="004B607F" w:rsidRPr="00913210" w:rsidRDefault="004B607F" w:rsidP="004B0475">
      <w:pPr>
        <w:pStyle w:val="ac"/>
        <w:numPr>
          <w:ilvl w:val="0"/>
          <w:numId w:val="82"/>
        </w:numPr>
        <w:rPr>
          <w:rtl/>
        </w:rPr>
      </w:pPr>
      <w:r>
        <w:rPr>
          <w:rFonts w:cs="Arial" w:hint="cs"/>
          <w:rtl/>
        </w:rPr>
        <w:t xml:space="preserve">ב"י- </w:t>
      </w:r>
      <w:r w:rsidRPr="008A1134">
        <w:rPr>
          <w:rFonts w:cs="Arial"/>
          <w:rtl/>
        </w:rPr>
        <w:t xml:space="preserve">ונראה לי שאם גמר עדותו וקודם שיזכור התנאי ערערו עליו בעלי דינין והפסיקו וחזר ואמר שהוא היה רוצה להשלים דבריו אלא שהפסיקוהו ועכשיו משלימן </w:t>
      </w:r>
      <w:r>
        <w:rPr>
          <w:rFonts w:cs="Arial"/>
          <w:rtl/>
        </w:rPr>
        <w:t>–</w:t>
      </w:r>
      <w:r>
        <w:rPr>
          <w:rFonts w:cs="Arial" w:hint="cs"/>
          <w:rtl/>
        </w:rPr>
        <w:t xml:space="preserve"> </w:t>
      </w:r>
      <w:r w:rsidRPr="008A1134">
        <w:rPr>
          <w:rFonts w:cs="Arial"/>
          <w:rtl/>
        </w:rPr>
        <w:t>נאמן</w:t>
      </w:r>
      <w:r>
        <w:rPr>
          <w:rFonts w:cs="Arial" w:hint="cs"/>
          <w:rtl/>
        </w:rPr>
        <w:t>.</w:t>
      </w:r>
      <w:r w:rsidRPr="008A1134">
        <w:rPr>
          <w:rFonts w:cs="Arial"/>
          <w:rtl/>
        </w:rPr>
        <w:t xml:space="preserve"> אבל לומר דבר שסותר עדותו לגמרי </w:t>
      </w:r>
      <w:r>
        <w:rPr>
          <w:rFonts w:cs="Arial" w:hint="cs"/>
          <w:rtl/>
        </w:rPr>
        <w:t xml:space="preserve">- </w:t>
      </w:r>
      <w:r w:rsidRPr="008A1134">
        <w:rPr>
          <w:rFonts w:cs="Arial"/>
          <w:rtl/>
        </w:rPr>
        <w:t>לא מהימן כיון שעבר יותר מתוך כדי דיבור כנ"ל</w:t>
      </w:r>
      <w:r>
        <w:rPr>
          <w:rStyle w:val="ab"/>
          <w:rFonts w:cs="Arial"/>
          <w:rtl/>
        </w:rPr>
        <w:footnoteReference w:id="1607"/>
      </w:r>
      <w:r w:rsidRPr="008A1134">
        <w:rPr>
          <w:rFonts w:cs="Arial"/>
          <w:rtl/>
        </w:rPr>
        <w:t>.</w:t>
      </w:r>
      <w:r>
        <w:rPr>
          <w:rFonts w:hint="cs"/>
          <w:rtl/>
        </w:rPr>
        <w:t xml:space="preserve"> (וכ"כ הסמ"ע</w:t>
      </w:r>
      <w:r>
        <w:rPr>
          <w:rFonts w:hint="cs"/>
          <w:sz w:val="16"/>
          <w:szCs w:val="16"/>
          <w:rtl/>
        </w:rPr>
        <w:t xml:space="preserve"> [סק"ב]</w:t>
      </w:r>
      <w:r>
        <w:rPr>
          <w:rFonts w:hint="cs"/>
          <w:rtl/>
        </w:rPr>
        <w:t>)</w:t>
      </w:r>
    </w:p>
    <w:p w14:paraId="034B5416" w14:textId="77777777" w:rsidR="004B607F" w:rsidRPr="005F3450" w:rsidRDefault="004B607F" w:rsidP="004B607F">
      <w:pPr>
        <w:rPr>
          <w:rFonts w:cs="Arial"/>
          <w:u w:val="single"/>
        </w:rPr>
      </w:pPr>
      <w:r>
        <w:rPr>
          <w:rFonts w:cs="Arial" w:hint="cs"/>
          <w:u w:val="single"/>
          <w:rtl/>
        </w:rPr>
        <w:t xml:space="preserve">עדים </w:t>
      </w:r>
      <w:r w:rsidRPr="0044588C">
        <w:rPr>
          <w:rFonts w:cs="Arial" w:hint="cs"/>
          <w:b/>
          <w:bCs/>
          <w:u w:val="single"/>
          <w:rtl/>
        </w:rPr>
        <w:t>אחרים</w:t>
      </w:r>
      <w:r>
        <w:rPr>
          <w:rFonts w:cs="Arial" w:hint="cs"/>
          <w:u w:val="single"/>
          <w:rtl/>
        </w:rPr>
        <w:t xml:space="preserve"> שמעידים על תנאי שהיה בניהם ולא נכתב בשטר:</w:t>
      </w:r>
    </w:p>
    <w:p w14:paraId="7BE57C6C" w14:textId="77777777" w:rsidR="004B607F" w:rsidRDefault="004B607F" w:rsidP="004B0475">
      <w:pPr>
        <w:pStyle w:val="ac"/>
        <w:numPr>
          <w:ilvl w:val="0"/>
          <w:numId w:val="82"/>
        </w:numPr>
        <w:rPr>
          <w:rFonts w:cs="Arial"/>
        </w:rPr>
      </w:pPr>
      <w:r>
        <w:rPr>
          <w:rFonts w:cs="Arial" w:hint="cs"/>
          <w:rtl/>
        </w:rPr>
        <w:t>רשב"א</w:t>
      </w:r>
      <w:r w:rsidRPr="009A576F">
        <w:rPr>
          <w:rFonts w:cs="Arial"/>
          <w:rtl/>
        </w:rPr>
        <w:t xml:space="preserve"> </w:t>
      </w:r>
      <w:r w:rsidRPr="005F3450">
        <w:rPr>
          <w:rFonts w:cs="Arial"/>
          <w:sz w:val="16"/>
          <w:szCs w:val="16"/>
          <w:rtl/>
        </w:rPr>
        <w:t>(שם סי' קנ)</w:t>
      </w:r>
      <w:r>
        <w:rPr>
          <w:rFonts w:cs="Arial" w:hint="cs"/>
          <w:rtl/>
        </w:rPr>
        <w:t xml:space="preserve">- </w:t>
      </w:r>
      <w:r w:rsidRPr="009A576F">
        <w:rPr>
          <w:rFonts w:cs="Arial"/>
          <w:rtl/>
        </w:rPr>
        <w:t xml:space="preserve">ראובן כתב משכונא ת"ק דינרין על חצירו לשמעון </w:t>
      </w:r>
      <w:r>
        <w:rPr>
          <w:rFonts w:cs="Arial" w:hint="cs"/>
          <w:rtl/>
        </w:rPr>
        <w:t>חמ</w:t>
      </w:r>
      <w:r w:rsidRPr="009A576F">
        <w:rPr>
          <w:rFonts w:cs="Arial"/>
          <w:rtl/>
        </w:rPr>
        <w:t>יו</w:t>
      </w:r>
      <w:r>
        <w:rPr>
          <w:rFonts w:cs="Arial" w:hint="cs"/>
          <w:rtl/>
        </w:rPr>
        <w:t>.</w:t>
      </w:r>
      <w:r w:rsidRPr="009A576F">
        <w:rPr>
          <w:rFonts w:cs="Arial"/>
          <w:rtl/>
        </w:rPr>
        <w:t xml:space="preserve"> ומתו ראובן ושמעון חמיו</w:t>
      </w:r>
      <w:r>
        <w:rPr>
          <w:rFonts w:cs="Arial" w:hint="cs"/>
          <w:rtl/>
        </w:rPr>
        <w:t>.</w:t>
      </w:r>
      <w:r w:rsidRPr="009A576F">
        <w:rPr>
          <w:rFonts w:cs="Arial"/>
          <w:rtl/>
        </w:rPr>
        <w:t xml:space="preserve"> ויורשי ראובן טוענים שלא היתה משכונא זו אלא לתנאי שיקנה ראובן זה קרקע לאשתו</w:t>
      </w:r>
      <w:r>
        <w:rPr>
          <w:rFonts w:cs="Arial" w:hint="cs"/>
          <w:rtl/>
        </w:rPr>
        <w:t>,</w:t>
      </w:r>
      <w:r w:rsidRPr="009A576F">
        <w:rPr>
          <w:rFonts w:cs="Arial"/>
          <w:rtl/>
        </w:rPr>
        <w:t xml:space="preserve"> וכבר קיים תנאו ונתבטל כח שטר משכונא זו</w:t>
      </w:r>
      <w:r>
        <w:rPr>
          <w:rFonts w:cs="Arial" w:hint="cs"/>
          <w:rtl/>
        </w:rPr>
        <w:t>.</w:t>
      </w:r>
      <w:r w:rsidRPr="009A576F">
        <w:rPr>
          <w:rFonts w:cs="Arial"/>
          <w:rtl/>
        </w:rPr>
        <w:t xml:space="preserve"> ויורשי שמעון אינם מודים בתנאי זה</w:t>
      </w:r>
      <w:r>
        <w:rPr>
          <w:rFonts w:cs="Arial" w:hint="cs"/>
          <w:rtl/>
        </w:rPr>
        <w:t>.</w:t>
      </w:r>
      <w:r w:rsidRPr="009A576F">
        <w:rPr>
          <w:rFonts w:cs="Arial"/>
          <w:rtl/>
        </w:rPr>
        <w:t xml:space="preserve"> ויש ליורשי ראובן עדים בתנאי זה</w:t>
      </w:r>
      <w:r>
        <w:rPr>
          <w:rFonts w:cs="Arial" w:hint="cs"/>
          <w:rtl/>
        </w:rPr>
        <w:t>.</w:t>
      </w:r>
      <w:r w:rsidRPr="009A576F">
        <w:rPr>
          <w:rFonts w:cs="Arial"/>
          <w:rtl/>
        </w:rPr>
        <w:t xml:space="preserve"> </w:t>
      </w:r>
      <w:r>
        <w:rPr>
          <w:rFonts w:cs="Arial" w:hint="cs"/>
          <w:rtl/>
        </w:rPr>
        <w:t xml:space="preserve">תשובה, </w:t>
      </w:r>
      <w:r w:rsidRPr="009A576F">
        <w:rPr>
          <w:rFonts w:cs="Arial"/>
          <w:rtl/>
        </w:rPr>
        <w:t>נאמנים העדים</w:t>
      </w:r>
      <w:r>
        <w:rPr>
          <w:rFonts w:cs="Arial" w:hint="cs"/>
          <w:rtl/>
        </w:rPr>
        <w:t>,</w:t>
      </w:r>
      <w:r w:rsidRPr="009A576F">
        <w:rPr>
          <w:rFonts w:cs="Arial"/>
          <w:rtl/>
        </w:rPr>
        <w:t xml:space="preserve"> ואפילו כתב ידן של עדי שטר המשכונא יוצא ממקום אחר</w:t>
      </w:r>
      <w:r>
        <w:rPr>
          <w:rFonts w:cs="Arial" w:hint="cs"/>
          <w:rtl/>
        </w:rPr>
        <w:t>,</w:t>
      </w:r>
      <w:r w:rsidRPr="009A576F">
        <w:rPr>
          <w:rFonts w:cs="Arial"/>
          <w:rtl/>
        </w:rPr>
        <w:t xml:space="preserve"> לפי שאין אלה העדים מכחישים עדי השטר אלא בירור בעיקר העדות הוא</w:t>
      </w:r>
      <w:r>
        <w:rPr>
          <w:rStyle w:val="ab"/>
          <w:rFonts w:cs="Arial"/>
          <w:rtl/>
        </w:rPr>
        <w:footnoteReference w:id="1608"/>
      </w:r>
      <w:r>
        <w:rPr>
          <w:rFonts w:cs="Arial" w:hint="cs"/>
          <w:rtl/>
        </w:rPr>
        <w:t>.</w:t>
      </w:r>
      <w:r w:rsidRPr="009A576F">
        <w:rPr>
          <w:rFonts w:cs="Arial"/>
          <w:rtl/>
        </w:rPr>
        <w:t xml:space="preserve"> </w:t>
      </w:r>
    </w:p>
    <w:p w14:paraId="2DE3306D" w14:textId="77777777" w:rsidR="004B607F" w:rsidRPr="0044588C" w:rsidRDefault="004B607F" w:rsidP="004B607F">
      <w:pPr>
        <w:rPr>
          <w:rFonts w:cs="Arial"/>
          <w:rtl/>
        </w:rPr>
      </w:pPr>
      <w:r>
        <w:rPr>
          <w:rFonts w:cs="Arial" w:hint="cs"/>
          <w:u w:val="single"/>
          <w:rtl/>
        </w:rPr>
        <w:t xml:space="preserve">עדים </w:t>
      </w:r>
      <w:r w:rsidRPr="0044588C">
        <w:rPr>
          <w:rFonts w:cs="Arial" w:hint="cs"/>
          <w:b/>
          <w:bCs/>
          <w:u w:val="single"/>
          <w:rtl/>
        </w:rPr>
        <w:t>אחרים</w:t>
      </w:r>
      <w:r>
        <w:rPr>
          <w:rFonts w:cs="Arial" w:hint="cs"/>
          <w:u w:val="single"/>
          <w:rtl/>
        </w:rPr>
        <w:t xml:space="preserve"> שמעידים על תנאי שהיה בניהם ולא נכתב בשטר:</w:t>
      </w:r>
    </w:p>
    <w:p w14:paraId="7FC59372" w14:textId="77777777" w:rsidR="004B607F" w:rsidRDefault="004B607F" w:rsidP="004B0475">
      <w:pPr>
        <w:pStyle w:val="ac"/>
        <w:numPr>
          <w:ilvl w:val="0"/>
          <w:numId w:val="82"/>
        </w:numPr>
        <w:rPr>
          <w:rFonts w:cs="Arial"/>
        </w:rPr>
      </w:pPr>
      <w:r w:rsidRPr="00893C87">
        <w:rPr>
          <w:rFonts w:cs="Arial"/>
          <w:rtl/>
        </w:rPr>
        <w:t xml:space="preserve">רשב"א </w:t>
      </w:r>
      <w:r w:rsidRPr="005F3450">
        <w:rPr>
          <w:rFonts w:cs="Arial"/>
          <w:sz w:val="16"/>
          <w:szCs w:val="16"/>
          <w:rtl/>
        </w:rPr>
        <w:t>(ח"א סי' תתקעב</w:t>
      </w:r>
      <w:r>
        <w:rPr>
          <w:rFonts w:cs="Arial" w:hint="cs"/>
          <w:sz w:val="16"/>
          <w:szCs w:val="16"/>
          <w:rtl/>
        </w:rPr>
        <w:t>,</w:t>
      </w:r>
      <w:r w:rsidRPr="005F3450">
        <w:rPr>
          <w:rFonts w:cs="Arial"/>
          <w:sz w:val="16"/>
          <w:szCs w:val="16"/>
          <w:rtl/>
        </w:rPr>
        <w:t xml:space="preserve"> ח"ב סי' רכט)</w:t>
      </w:r>
      <w:r>
        <w:rPr>
          <w:rFonts w:cs="Arial" w:hint="cs"/>
          <w:rtl/>
        </w:rPr>
        <w:t xml:space="preserve">- שאלה, </w:t>
      </w:r>
      <w:r w:rsidRPr="00893C87">
        <w:rPr>
          <w:rFonts w:cs="Arial"/>
          <w:rtl/>
        </w:rPr>
        <w:t>ראובן הוציא שטר על שמעון שמכר לו כרם אחד</w:t>
      </w:r>
      <w:r>
        <w:rPr>
          <w:rFonts w:cs="Arial" w:hint="cs"/>
          <w:rtl/>
        </w:rPr>
        <w:t>.</w:t>
      </w:r>
      <w:r w:rsidRPr="00893C87">
        <w:rPr>
          <w:rFonts w:cs="Arial"/>
          <w:rtl/>
        </w:rPr>
        <w:t xml:space="preserve"> והלה טוען כי לא מכרו לו אלא על תנאי שאם יפרע לו ש' דינרין שהלוהו לזמן פלוני יחזיר לו השטר ויבטל המכר</w:t>
      </w:r>
      <w:r>
        <w:rPr>
          <w:rFonts w:cs="Arial" w:hint="cs"/>
          <w:rtl/>
        </w:rPr>
        <w:t>,</w:t>
      </w:r>
      <w:r w:rsidRPr="00893C87">
        <w:rPr>
          <w:rFonts w:cs="Arial"/>
          <w:rtl/>
        </w:rPr>
        <w:t xml:space="preserve"> והביא עדים מעידים כדבריו</w:t>
      </w:r>
      <w:r>
        <w:rPr>
          <w:rFonts w:cs="Arial" w:hint="cs"/>
          <w:rtl/>
        </w:rPr>
        <w:t>.</w:t>
      </w:r>
      <w:r w:rsidRPr="00893C87">
        <w:rPr>
          <w:rFonts w:cs="Arial"/>
          <w:rtl/>
        </w:rPr>
        <w:t xml:space="preserve"> ופסקו הברורים שאפילו העידו עידי השטר בפירוש שלא היה שום תנאי במכירה כיון שיש עדים שהיה שם תנאי אוקי תרי לבהדי תרי ואוקי נכסי בחזקת המוכר</w:t>
      </w:r>
      <w:r>
        <w:rPr>
          <w:rFonts w:cs="Arial" w:hint="cs"/>
          <w:rtl/>
        </w:rPr>
        <w:t>.</w:t>
      </w:r>
      <w:r w:rsidRPr="00893C87">
        <w:rPr>
          <w:rFonts w:cs="Arial"/>
          <w:rtl/>
        </w:rPr>
        <w:t xml:space="preserve"> </w:t>
      </w:r>
      <w:r>
        <w:rPr>
          <w:rFonts w:cs="Arial" w:hint="cs"/>
          <w:rtl/>
        </w:rPr>
        <w:t>תשובה,</w:t>
      </w:r>
      <w:r w:rsidRPr="00893C87">
        <w:rPr>
          <w:rFonts w:cs="Arial"/>
          <w:rtl/>
        </w:rPr>
        <w:t xml:space="preserve"> אני רואה שדימו דין זה לאותה שאמרו בפ"ב דכתובות </w:t>
      </w:r>
      <w:r w:rsidRPr="005F3450">
        <w:rPr>
          <w:rFonts w:cs="Arial"/>
          <w:sz w:val="16"/>
          <w:szCs w:val="16"/>
          <w:rtl/>
        </w:rPr>
        <w:t xml:space="preserve">(יט:) </w:t>
      </w:r>
      <w:r w:rsidRPr="00893C87">
        <w:rPr>
          <w:rFonts w:cs="Arial"/>
          <w:rtl/>
        </w:rPr>
        <w:t>אין נאמנים ומגבינן ביה תרי ותרי נינהו ואוקי ממונא בחזקת מריה</w:t>
      </w:r>
      <w:r>
        <w:rPr>
          <w:rFonts w:cs="Arial" w:hint="cs"/>
          <w:rtl/>
        </w:rPr>
        <w:t>,</w:t>
      </w:r>
      <w:r w:rsidRPr="00893C87">
        <w:rPr>
          <w:rFonts w:cs="Arial"/>
          <w:rtl/>
        </w:rPr>
        <w:t xml:space="preserve"> ואין דמיונם עולה יפה</w:t>
      </w:r>
      <w:r>
        <w:rPr>
          <w:rFonts w:cs="Arial" w:hint="cs"/>
          <w:rtl/>
        </w:rPr>
        <w:t>,</w:t>
      </w:r>
      <w:r w:rsidRPr="00893C87">
        <w:rPr>
          <w:rFonts w:cs="Arial"/>
          <w:rtl/>
        </w:rPr>
        <w:t xml:space="preserve"> דשאני הכא שלדברי כולם לוקח זה כדין ירד לכרם זה</w:t>
      </w:r>
      <w:r>
        <w:rPr>
          <w:rFonts w:cs="Arial" w:hint="cs"/>
          <w:rtl/>
        </w:rPr>
        <w:t>,</w:t>
      </w:r>
      <w:r w:rsidRPr="00893C87">
        <w:rPr>
          <w:rFonts w:cs="Arial"/>
          <w:rtl/>
        </w:rPr>
        <w:t xml:space="preserve"> שהמוכר החזיקו בכסף בשטר ובחזקה וכמו שכתוב בשטר המכירה</w:t>
      </w:r>
      <w:r>
        <w:rPr>
          <w:rFonts w:cs="Arial" w:hint="cs"/>
          <w:rtl/>
        </w:rPr>
        <w:t>,</w:t>
      </w:r>
      <w:r w:rsidRPr="00893C87">
        <w:rPr>
          <w:rFonts w:cs="Arial"/>
          <w:rtl/>
        </w:rPr>
        <w:t xml:space="preserve"> אלא שהתנה לפי דבריו שאם יתן לו מעותיו תוך זמן פלוני שתתבטל </w:t>
      </w:r>
      <w:r w:rsidRPr="00893C87">
        <w:rPr>
          <w:rFonts w:cs="Arial"/>
          <w:rtl/>
        </w:rPr>
        <w:lastRenderedPageBreak/>
        <w:t>המכירה</w:t>
      </w:r>
      <w:r>
        <w:rPr>
          <w:rFonts w:cs="Arial" w:hint="cs"/>
          <w:rtl/>
        </w:rPr>
        <w:t>,</w:t>
      </w:r>
      <w:r w:rsidRPr="00893C87">
        <w:rPr>
          <w:rFonts w:cs="Arial"/>
          <w:rtl/>
        </w:rPr>
        <w:t xml:space="preserve"> וכיון שהחזיק זה כדין לדברי כולם</w:t>
      </w:r>
      <w:r>
        <w:rPr>
          <w:rFonts w:cs="Arial" w:hint="cs"/>
          <w:rtl/>
        </w:rPr>
        <w:t>,</w:t>
      </w:r>
      <w:r w:rsidRPr="00893C87">
        <w:rPr>
          <w:rFonts w:cs="Arial"/>
          <w:rtl/>
        </w:rPr>
        <w:t xml:space="preserve"> אלא שזה טוען שיש לו להסתלק מחמת תנאי ומביא עדים</w:t>
      </w:r>
      <w:r>
        <w:rPr>
          <w:rFonts w:cs="Arial" w:hint="cs"/>
          <w:rtl/>
        </w:rPr>
        <w:t>,</w:t>
      </w:r>
      <w:r w:rsidRPr="00893C87">
        <w:rPr>
          <w:rFonts w:cs="Arial"/>
          <w:rtl/>
        </w:rPr>
        <w:t xml:space="preserve"> וזה טוען שאין מכירתו מתבטלת ומביא עדים</w:t>
      </w:r>
      <w:r>
        <w:rPr>
          <w:rFonts w:cs="Arial" w:hint="cs"/>
          <w:rtl/>
        </w:rPr>
        <w:t xml:space="preserve"> -</w:t>
      </w:r>
      <w:r w:rsidRPr="00893C87">
        <w:rPr>
          <w:rFonts w:cs="Arial"/>
          <w:rtl/>
        </w:rPr>
        <w:t xml:space="preserve"> העמד הכרם בחזקת זה שהיה מוחזק בה עכשיו</w:t>
      </w:r>
      <w:r>
        <w:rPr>
          <w:rStyle w:val="ab"/>
          <w:rFonts w:cs="Arial"/>
          <w:rtl/>
        </w:rPr>
        <w:footnoteReference w:id="1609"/>
      </w:r>
      <w:r>
        <w:rPr>
          <w:rFonts w:cs="Arial" w:hint="cs"/>
          <w:rtl/>
        </w:rPr>
        <w:t>.</w:t>
      </w:r>
    </w:p>
    <w:p w14:paraId="59B6720D" w14:textId="77777777" w:rsidR="004B607F" w:rsidRPr="00103518" w:rsidRDefault="004B607F" w:rsidP="004B607F">
      <w:pPr>
        <w:rPr>
          <w:rFonts w:cs="Arial"/>
          <w:u w:val="single"/>
        </w:rPr>
      </w:pPr>
      <w:r w:rsidRPr="00103518">
        <w:rPr>
          <w:rFonts w:cs="Arial" w:hint="cs"/>
          <w:u w:val="single"/>
          <w:rtl/>
        </w:rPr>
        <w:t xml:space="preserve">עדים שלא העידו עדותם כל הצורך אלא כתבו בסתם </w:t>
      </w:r>
      <w:r w:rsidRPr="00103518">
        <w:rPr>
          <w:rFonts w:cs="Arial"/>
          <w:u w:val="single"/>
          <w:rtl/>
        </w:rPr>
        <w:t>–</w:t>
      </w:r>
      <w:r w:rsidRPr="00103518">
        <w:rPr>
          <w:rFonts w:cs="Arial" w:hint="cs"/>
          <w:u w:val="single"/>
          <w:rtl/>
        </w:rPr>
        <w:t xml:space="preserve"> האם הם יכולים לפרש דבריהם אח"כ:</w:t>
      </w:r>
    </w:p>
    <w:p w14:paraId="47423D74" w14:textId="77777777" w:rsidR="004B607F" w:rsidRPr="00953983" w:rsidRDefault="004B607F" w:rsidP="004B0475">
      <w:pPr>
        <w:pStyle w:val="ac"/>
        <w:numPr>
          <w:ilvl w:val="0"/>
          <w:numId w:val="82"/>
        </w:numPr>
        <w:rPr>
          <w:rFonts w:cs="Arial"/>
        </w:rPr>
      </w:pPr>
      <w:r w:rsidRPr="005F3450">
        <w:rPr>
          <w:rFonts w:cs="Arial"/>
          <w:rtl/>
        </w:rPr>
        <w:t>נמוק</w:t>
      </w:r>
      <w:r w:rsidRPr="005F3450">
        <w:rPr>
          <w:rFonts w:cs="Arial" w:hint="cs"/>
          <w:rtl/>
        </w:rPr>
        <w:t>"</w:t>
      </w:r>
      <w:r w:rsidRPr="005F3450">
        <w:rPr>
          <w:rFonts w:cs="Arial"/>
          <w:rtl/>
        </w:rPr>
        <w:t xml:space="preserve">י </w:t>
      </w:r>
      <w:r w:rsidRPr="005F3450">
        <w:rPr>
          <w:rFonts w:cs="Arial" w:hint="cs"/>
          <w:sz w:val="16"/>
          <w:szCs w:val="16"/>
          <w:rtl/>
        </w:rPr>
        <w:t>(</w:t>
      </w:r>
      <w:r w:rsidRPr="005F3450">
        <w:rPr>
          <w:rFonts w:cs="Arial"/>
          <w:sz w:val="16"/>
          <w:szCs w:val="16"/>
          <w:rtl/>
        </w:rPr>
        <w:t>פרק מי שמת ב"ב עב. ד"ה גמ')</w:t>
      </w:r>
      <w:r w:rsidRPr="005F3450">
        <w:rPr>
          <w:rFonts w:cs="Arial" w:hint="cs"/>
          <w:rtl/>
        </w:rPr>
        <w:t>-</w:t>
      </w:r>
      <w:r w:rsidRPr="005F3450">
        <w:rPr>
          <w:rFonts w:cs="Arial"/>
          <w:rtl/>
        </w:rPr>
        <w:t xml:space="preserve"> ההיא </w:t>
      </w:r>
      <w:r w:rsidRPr="005F3450">
        <w:rPr>
          <w:rFonts w:cs="Arial"/>
          <w:sz w:val="16"/>
          <w:szCs w:val="16"/>
          <w:rtl/>
        </w:rPr>
        <w:t xml:space="preserve">(שם קנג.) </w:t>
      </w:r>
      <w:r w:rsidRPr="005F3450">
        <w:rPr>
          <w:rFonts w:cs="Arial"/>
          <w:rtl/>
        </w:rPr>
        <w:t xml:space="preserve">דהוה כתוב בה כד קציר ורמי בערסיה וכו' מכאן נראה לי דעדים שלא העידו כל עדותם אלא כתבו סתם </w:t>
      </w:r>
      <w:r>
        <w:rPr>
          <w:rFonts w:cs="Arial" w:hint="cs"/>
          <w:rtl/>
        </w:rPr>
        <w:t xml:space="preserve">- </w:t>
      </w:r>
      <w:r w:rsidRPr="005F3450">
        <w:rPr>
          <w:rFonts w:cs="Arial"/>
          <w:rtl/>
        </w:rPr>
        <w:t>לאו שיקרא הוא</w:t>
      </w:r>
      <w:r>
        <w:rPr>
          <w:rFonts w:cs="Arial" w:hint="cs"/>
          <w:rtl/>
        </w:rPr>
        <w:t>,</w:t>
      </w:r>
      <w:r w:rsidRPr="005F3450">
        <w:rPr>
          <w:rFonts w:cs="Arial"/>
          <w:rtl/>
        </w:rPr>
        <w:t xml:space="preserve"> וטעמא משום דמה שחוזרים ופורשים דבריהם בתר הכי אינו עקירת השטר כלל</w:t>
      </w:r>
      <w:r>
        <w:rPr>
          <w:rFonts w:cs="Arial" w:hint="cs"/>
          <w:rtl/>
        </w:rPr>
        <w:t>,</w:t>
      </w:r>
      <w:r w:rsidRPr="005F3450">
        <w:rPr>
          <w:rFonts w:cs="Arial"/>
          <w:rtl/>
        </w:rPr>
        <w:t xml:space="preserve"> דהא סתמא נכתב</w:t>
      </w:r>
      <w:r>
        <w:rPr>
          <w:rFonts w:cs="Arial" w:hint="cs"/>
          <w:rtl/>
        </w:rPr>
        <w:t>,</w:t>
      </w:r>
      <w:r w:rsidRPr="005F3450">
        <w:rPr>
          <w:rFonts w:cs="Arial"/>
          <w:rtl/>
        </w:rPr>
        <w:t xml:space="preserve"> והם יכולין לברר הענין</w:t>
      </w:r>
      <w:r>
        <w:rPr>
          <w:rStyle w:val="ab"/>
          <w:rFonts w:cs="Arial"/>
          <w:rtl/>
        </w:rPr>
        <w:footnoteReference w:id="1610"/>
      </w:r>
      <w:r w:rsidRPr="005F3450">
        <w:rPr>
          <w:rFonts w:cs="Arial"/>
          <w:rtl/>
        </w:rPr>
        <w:t xml:space="preserve"> אם היה בריא או שכיב מרע ואע</w:t>
      </w:r>
      <w:r w:rsidRPr="005F3450">
        <w:rPr>
          <w:rFonts w:cs="Arial" w:hint="cs"/>
          <w:rtl/>
        </w:rPr>
        <w:t>"</w:t>
      </w:r>
      <w:r w:rsidRPr="005F3450">
        <w:rPr>
          <w:rFonts w:cs="Arial"/>
          <w:rtl/>
        </w:rPr>
        <w:t>פ שכתב ידן יוצא ממקום אחר</w:t>
      </w:r>
      <w:r>
        <w:rPr>
          <w:rStyle w:val="ab"/>
          <w:rFonts w:cs="Arial"/>
          <w:rtl/>
        </w:rPr>
        <w:footnoteReference w:id="1611"/>
      </w:r>
      <w:r>
        <w:rPr>
          <w:rFonts w:cs="Arial" w:hint="cs"/>
          <w:rtl/>
        </w:rPr>
        <w:t>.</w:t>
      </w:r>
    </w:p>
    <w:p w14:paraId="533C7816" w14:textId="77777777" w:rsidR="004B607F" w:rsidRPr="00103518" w:rsidRDefault="004B607F" w:rsidP="004B607F">
      <w:pPr>
        <w:rPr>
          <w:rFonts w:cs="Arial"/>
          <w:u w:val="single"/>
        </w:rPr>
      </w:pPr>
      <w:r w:rsidRPr="00103518">
        <w:rPr>
          <w:rFonts w:cs="Arial" w:hint="cs"/>
          <w:u w:val="single"/>
          <w:rtl/>
        </w:rPr>
        <w:t>עדים ששינו בדבריהם מן הכתוב בשטר בדבר שאינו צורך העניין:</w:t>
      </w:r>
    </w:p>
    <w:p w14:paraId="51D7C1E0" w14:textId="77777777" w:rsidR="004B607F" w:rsidRDefault="004B607F" w:rsidP="004B0475">
      <w:pPr>
        <w:pStyle w:val="ac"/>
        <w:numPr>
          <w:ilvl w:val="0"/>
          <w:numId w:val="82"/>
        </w:numPr>
        <w:rPr>
          <w:rFonts w:cs="Arial"/>
        </w:rPr>
      </w:pPr>
      <w:r w:rsidRPr="00103518">
        <w:rPr>
          <w:rFonts w:cs="Arial"/>
          <w:rtl/>
        </w:rPr>
        <w:t xml:space="preserve"> </w:t>
      </w:r>
      <w:r>
        <w:rPr>
          <w:rFonts w:cs="Arial" w:hint="cs"/>
          <w:rtl/>
        </w:rPr>
        <w:t xml:space="preserve">רי"ו </w:t>
      </w:r>
      <w:r w:rsidRPr="00103518">
        <w:rPr>
          <w:rFonts w:cs="Arial" w:hint="cs"/>
          <w:sz w:val="16"/>
          <w:szCs w:val="16"/>
          <w:rtl/>
        </w:rPr>
        <w:t>(</w:t>
      </w:r>
      <w:r w:rsidRPr="00103518">
        <w:rPr>
          <w:rFonts w:cs="Arial"/>
          <w:sz w:val="16"/>
          <w:szCs w:val="16"/>
          <w:rtl/>
        </w:rPr>
        <w:t>נ"ב ח"ב י</w:t>
      </w:r>
      <w:r>
        <w:rPr>
          <w:rFonts w:cs="Arial" w:hint="cs"/>
          <w:sz w:val="16"/>
          <w:szCs w:val="16"/>
          <w:rtl/>
        </w:rPr>
        <w:t>א:</w:t>
      </w:r>
      <w:r w:rsidRPr="00103518">
        <w:rPr>
          <w:rFonts w:cs="Arial"/>
          <w:sz w:val="16"/>
          <w:szCs w:val="16"/>
          <w:rtl/>
        </w:rPr>
        <w:t>)</w:t>
      </w:r>
      <w:r>
        <w:rPr>
          <w:rFonts w:cs="Arial" w:hint="cs"/>
          <w:rtl/>
        </w:rPr>
        <w:t xml:space="preserve">- </w:t>
      </w:r>
      <w:r w:rsidRPr="00103518">
        <w:rPr>
          <w:rFonts w:cs="Arial"/>
          <w:rtl/>
        </w:rPr>
        <w:t xml:space="preserve">דבר שאינו צורך בענין אם שינו </w:t>
      </w:r>
      <w:r>
        <w:rPr>
          <w:rFonts w:cs="Arial" w:hint="cs"/>
          <w:rtl/>
        </w:rPr>
        <w:t xml:space="preserve">- </w:t>
      </w:r>
      <w:r w:rsidRPr="00103518">
        <w:rPr>
          <w:rFonts w:cs="Arial"/>
          <w:rtl/>
        </w:rPr>
        <w:t>אינו עדות שקר ודנין על פיו</w:t>
      </w:r>
      <w:r>
        <w:rPr>
          <w:rFonts w:cs="Arial" w:hint="cs"/>
          <w:rtl/>
        </w:rPr>
        <w:t>,</w:t>
      </w:r>
      <w:r w:rsidRPr="00103518">
        <w:rPr>
          <w:rFonts w:cs="Arial"/>
          <w:rtl/>
        </w:rPr>
        <w:t xml:space="preserve"> כגון שינו מקום הכתיבה וכדומה</w:t>
      </w:r>
      <w:r>
        <w:rPr>
          <w:rFonts w:cs="Arial" w:hint="cs"/>
          <w:rtl/>
        </w:rPr>
        <w:t>,</w:t>
      </w:r>
      <w:r w:rsidRPr="00103518">
        <w:rPr>
          <w:rFonts w:cs="Arial"/>
          <w:rtl/>
        </w:rPr>
        <w:t xml:space="preserve"> בפ"ח דגטין </w:t>
      </w:r>
      <w:r w:rsidRPr="00103518">
        <w:rPr>
          <w:rFonts w:cs="Arial"/>
          <w:sz w:val="16"/>
          <w:szCs w:val="16"/>
          <w:rtl/>
        </w:rPr>
        <w:t>(פ.)</w:t>
      </w:r>
      <w:r>
        <w:rPr>
          <w:rFonts w:cs="Arial" w:hint="cs"/>
          <w:rtl/>
        </w:rPr>
        <w:t>.</w:t>
      </w:r>
      <w:r w:rsidRPr="00103518">
        <w:rPr>
          <w:rFonts w:cs="Arial"/>
          <w:rtl/>
        </w:rPr>
        <w:t xml:space="preserve"> </w:t>
      </w:r>
    </w:p>
    <w:p w14:paraId="5D359F11" w14:textId="77777777" w:rsidR="004B607F" w:rsidRPr="00103518" w:rsidRDefault="004B607F" w:rsidP="004B607F">
      <w:pPr>
        <w:rPr>
          <w:rFonts w:cs="Arial"/>
          <w:u w:val="single"/>
          <w:rtl/>
        </w:rPr>
      </w:pPr>
      <w:r>
        <w:rPr>
          <w:rFonts w:cs="Arial" w:hint="cs"/>
          <w:u w:val="single"/>
          <w:rtl/>
        </w:rPr>
        <w:t>האם צריך לכוון בעדות מסור כמו בשאר עדויות</w:t>
      </w:r>
      <w:r w:rsidRPr="00103518">
        <w:rPr>
          <w:rFonts w:cs="Arial" w:hint="cs"/>
          <w:u w:val="single"/>
          <w:rtl/>
        </w:rPr>
        <w:t>:</w:t>
      </w:r>
      <w:r w:rsidRPr="00844F87">
        <w:rPr>
          <w:rFonts w:cs="Arial" w:hint="cs"/>
          <w:sz w:val="16"/>
          <w:szCs w:val="16"/>
          <w:rtl/>
        </w:rPr>
        <w:t xml:space="preserve"> </w:t>
      </w:r>
      <w:r>
        <w:rPr>
          <w:rFonts w:cs="Arial" w:hint="cs"/>
          <w:sz w:val="16"/>
          <w:szCs w:val="16"/>
          <w:rtl/>
        </w:rPr>
        <w:t xml:space="preserve">  </w:t>
      </w:r>
      <w:r w:rsidRPr="00844F87">
        <w:rPr>
          <w:rFonts w:cs="Arial" w:hint="cs"/>
          <w:sz w:val="16"/>
          <w:szCs w:val="16"/>
          <w:rtl/>
        </w:rPr>
        <w:t>(</w:t>
      </w:r>
      <w:r>
        <w:rPr>
          <w:rFonts w:cs="Arial" w:hint="cs"/>
          <w:sz w:val="16"/>
          <w:szCs w:val="16"/>
          <w:rtl/>
        </w:rPr>
        <w:t>ב"י [כאן], ודרכ"מ [סי' ל אות ז])</w:t>
      </w:r>
    </w:p>
    <w:p w14:paraId="6D243035" w14:textId="77777777" w:rsidR="004B607F" w:rsidRPr="00103518" w:rsidRDefault="004B607F" w:rsidP="004B0475">
      <w:pPr>
        <w:pStyle w:val="ac"/>
        <w:numPr>
          <w:ilvl w:val="0"/>
          <w:numId w:val="82"/>
        </w:numPr>
        <w:rPr>
          <w:rFonts w:cs="Arial"/>
          <w:rtl/>
        </w:rPr>
      </w:pPr>
      <w:r w:rsidRPr="00103518">
        <w:rPr>
          <w:rFonts w:cs="Arial"/>
          <w:rtl/>
        </w:rPr>
        <w:t>הג</w:t>
      </w:r>
      <w:r>
        <w:rPr>
          <w:rFonts w:cs="Arial" w:hint="cs"/>
          <w:rtl/>
        </w:rPr>
        <w:t xml:space="preserve">מ"ר </w:t>
      </w:r>
      <w:r w:rsidRPr="00103518">
        <w:rPr>
          <w:rFonts w:cs="Arial" w:hint="cs"/>
          <w:sz w:val="16"/>
          <w:szCs w:val="16"/>
          <w:rtl/>
        </w:rPr>
        <w:t>(</w:t>
      </w:r>
      <w:r w:rsidRPr="00103518">
        <w:rPr>
          <w:rFonts w:cs="Arial"/>
          <w:sz w:val="16"/>
          <w:szCs w:val="16"/>
          <w:rtl/>
        </w:rPr>
        <w:t>קידושין סי' תקסד)</w:t>
      </w:r>
      <w:r>
        <w:rPr>
          <w:rFonts w:cs="Arial" w:hint="cs"/>
          <w:rtl/>
        </w:rPr>
        <w:t>-</w:t>
      </w:r>
      <w:r w:rsidRPr="00103518">
        <w:rPr>
          <w:rFonts w:cs="Arial"/>
          <w:rtl/>
        </w:rPr>
        <w:t xml:space="preserve"> </w:t>
      </w:r>
      <w:r w:rsidRPr="00116A88">
        <w:rPr>
          <w:rFonts w:cs="Arial"/>
          <w:rtl/>
        </w:rPr>
        <w:t>במילי דגידופין ומסירה אין לכוון עדות ברורה כמו בשאר עדויות</w:t>
      </w:r>
      <w:r>
        <w:rPr>
          <w:rFonts w:cs="Arial" w:hint="cs"/>
          <w:rtl/>
        </w:rPr>
        <w:t>.</w:t>
      </w:r>
    </w:p>
    <w:p w14:paraId="205A43B6" w14:textId="77777777" w:rsidR="004B607F" w:rsidRPr="003024E5" w:rsidRDefault="004B607F" w:rsidP="004B607F">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41E46AAB" w14:textId="77777777" w:rsidR="004B607F" w:rsidRDefault="004B607F" w:rsidP="004B607F">
      <w:pPr>
        <w:rPr>
          <w:rtl/>
        </w:rPr>
      </w:pPr>
      <w:r>
        <w:rPr>
          <w:rFonts w:cs="Arial"/>
          <w:rtl/>
        </w:rPr>
        <w:t xml:space="preserve">אחר שהעיד העד בבית דין </w:t>
      </w:r>
      <w:r>
        <w:rPr>
          <w:rFonts w:cs="Arial" w:hint="cs"/>
          <w:sz w:val="18"/>
          <w:szCs w:val="18"/>
          <w:rtl/>
        </w:rPr>
        <w:t xml:space="preserve">[הגה] </w:t>
      </w:r>
      <w:r w:rsidRPr="00405919">
        <w:rPr>
          <w:rFonts w:cs="Arial"/>
          <w:sz w:val="18"/>
          <w:szCs w:val="18"/>
          <w:rtl/>
        </w:rPr>
        <w:t>והוא לאחר כדי דבור</w:t>
      </w:r>
      <w:r>
        <w:rPr>
          <w:rStyle w:val="ab"/>
          <w:rFonts w:cs="Arial"/>
          <w:sz w:val="18"/>
          <w:szCs w:val="18"/>
          <w:rtl/>
        </w:rPr>
        <w:footnoteReference w:id="1612"/>
      </w:r>
      <w:r>
        <w:rPr>
          <w:rFonts w:cs="Arial" w:hint="cs"/>
          <w:sz w:val="18"/>
          <w:szCs w:val="18"/>
          <w:rtl/>
        </w:rPr>
        <w:t>,</w:t>
      </w:r>
      <w:r w:rsidRPr="00405919">
        <w:rPr>
          <w:rFonts w:cs="Arial"/>
          <w:sz w:val="18"/>
          <w:szCs w:val="18"/>
          <w:rtl/>
        </w:rPr>
        <w:t xml:space="preserve"> </w:t>
      </w:r>
      <w:r>
        <w:rPr>
          <w:rFonts w:cs="Arial"/>
          <w:rtl/>
        </w:rPr>
        <w:t>אינו יכול לחזור בו. כיצד, אמר: מוטעה הייתי, שוגג הייתי ונזכרתי שאין הדבר כן, לפחדו</w:t>
      </w:r>
      <w:r>
        <w:rPr>
          <w:rStyle w:val="ab"/>
          <w:rFonts w:cs="Arial"/>
          <w:rtl/>
        </w:rPr>
        <w:footnoteReference w:id="1613"/>
      </w:r>
      <w:r>
        <w:rPr>
          <w:rFonts w:cs="Arial"/>
          <w:rtl/>
        </w:rPr>
        <w:t xml:space="preserve"> עשיתי</w:t>
      </w:r>
      <w:r>
        <w:rPr>
          <w:rFonts w:cs="Arial" w:hint="cs"/>
          <w:rtl/>
        </w:rPr>
        <w:t>,</w:t>
      </w:r>
      <w:r>
        <w:rPr>
          <w:rFonts w:cs="Arial"/>
          <w:rtl/>
        </w:rPr>
        <w:t xml:space="preserve"> אין שומעין לו, אפילו נתן טעם לדבריו. וכן אינו יכול להוסיף בעדותו תנאי</w:t>
      </w:r>
      <w:r>
        <w:rPr>
          <w:rStyle w:val="ab"/>
          <w:rFonts w:cs="Arial"/>
          <w:rtl/>
        </w:rPr>
        <w:footnoteReference w:id="1614"/>
      </w:r>
      <w:r>
        <w:rPr>
          <w:rFonts w:cs="Arial"/>
          <w:rtl/>
        </w:rPr>
        <w:t xml:space="preserve"> </w:t>
      </w:r>
      <w:r>
        <w:rPr>
          <w:rFonts w:cs="Arial" w:hint="cs"/>
          <w:sz w:val="18"/>
          <w:szCs w:val="18"/>
          <w:rtl/>
        </w:rPr>
        <w:t xml:space="preserve">[הגה] </w:t>
      </w:r>
      <w:r w:rsidRPr="00405919">
        <w:rPr>
          <w:rFonts w:cs="Arial"/>
          <w:sz w:val="18"/>
          <w:szCs w:val="18"/>
          <w:rtl/>
        </w:rPr>
        <w:t xml:space="preserve">וי"א דיכול להוסיף בתנאי (טור בשם הרא"ש). </w:t>
      </w:r>
      <w:r>
        <w:rPr>
          <w:rFonts w:cs="Arial"/>
          <w:rtl/>
        </w:rPr>
        <w:t>אבל בדבר שמוכיחו שטעה, כגון שהזקיקוהו בית דין להביא עדים שאינו רמאי, והלך והביאם, ואמרו להם הבית דין: יודעים אתם בו שהוא רמאי, ואמרו העדים: כן, ואמר להן הבעל דין: וכי אני רמאי, ואמרו: לא אמרנו אלא שאינך רמאי, שומעין לדבריהם האחרונים, משום דמסתמא אין אדם מביא עד להעיד חובתו, ובודאי טעו. וכן בכל טעות שהעדים מצויים לטעות בו, נאמנים הם בעצמם, ואין בזה משום חוזר ומגיד. וכן אם אינו סותר עיקר דבריו הראשונים, כגון שהדברים סתומים וסובלים ביאור אחד משני ענייני משמעות, אחד קרוב ואחד רחוק, כל שאנו יכולים לכוין דברי העד כדי שלא תהא עדותו מוכחשת, יש לנו לכוין דבריו</w:t>
      </w:r>
      <w:r>
        <w:rPr>
          <w:rStyle w:val="ab"/>
          <w:rFonts w:cs="Arial"/>
          <w:rtl/>
        </w:rPr>
        <w:footnoteReference w:id="1615"/>
      </w:r>
      <w:r>
        <w:rPr>
          <w:rFonts w:cs="Arial"/>
          <w:rtl/>
        </w:rPr>
        <w:t>, כשם שיש לנו לתרץ דברי שני עדים הנראים מכחישים זה את זה</w:t>
      </w:r>
      <w:r>
        <w:rPr>
          <w:rStyle w:val="ab"/>
          <w:rFonts w:cs="Arial"/>
          <w:rtl/>
        </w:rPr>
        <w:footnoteReference w:id="1616"/>
      </w:r>
      <w:r>
        <w:rPr>
          <w:rFonts w:cs="Arial"/>
          <w:rtl/>
        </w:rPr>
        <w:t xml:space="preserve"> כדי שתהא עדות מכוונת. </w:t>
      </w:r>
      <w:r w:rsidRPr="00405919">
        <w:rPr>
          <w:rFonts w:cs="Arial"/>
          <w:sz w:val="18"/>
          <w:szCs w:val="18"/>
          <w:rtl/>
        </w:rPr>
        <w:t>הגה: כשנותנים חרם בבית הכנסת אחר עדות שיעידו קודם שיצאו מבית הכנסת, ולאחר שיצאו באו עדים להגיד, ואומרים: לא שמנו לבנו אז להעיד, ועתה זוכרין, יכולין לחזור ולהעיד</w:t>
      </w:r>
      <w:r>
        <w:rPr>
          <w:rFonts w:cs="Arial" w:hint="cs"/>
          <w:sz w:val="18"/>
          <w:szCs w:val="18"/>
          <w:rtl/>
        </w:rPr>
        <w:t>,</w:t>
      </w:r>
      <w:r w:rsidRPr="00405919">
        <w:rPr>
          <w:rFonts w:cs="Arial"/>
          <w:sz w:val="18"/>
          <w:szCs w:val="18"/>
          <w:rtl/>
        </w:rPr>
        <w:t xml:space="preserve"> הואיל ושתקו</w:t>
      </w:r>
      <w:r>
        <w:rPr>
          <w:rStyle w:val="ab"/>
          <w:rFonts w:cs="Arial"/>
          <w:sz w:val="18"/>
          <w:szCs w:val="18"/>
          <w:rtl/>
        </w:rPr>
        <w:footnoteReference w:id="1617"/>
      </w:r>
      <w:r w:rsidRPr="00405919">
        <w:rPr>
          <w:rFonts w:cs="Arial"/>
          <w:sz w:val="18"/>
          <w:szCs w:val="18"/>
          <w:rtl/>
        </w:rPr>
        <w:t xml:space="preserve"> תחלה ולא אמרו: אין אנו יודעים (מרדכי פ' שבועת העדות). ואפילו אמרו: אין אנו יודעים, ונתנו אמתלא לדבריהם למה אמרו כך, חוזרין ומגידין, הואיל ולא אמרו בהפך</w:t>
      </w:r>
      <w:r>
        <w:rPr>
          <w:rStyle w:val="ab"/>
          <w:rFonts w:cs="Arial"/>
          <w:sz w:val="18"/>
          <w:szCs w:val="18"/>
          <w:rtl/>
        </w:rPr>
        <w:footnoteReference w:id="1618"/>
      </w:r>
      <w:r w:rsidRPr="00405919">
        <w:rPr>
          <w:rFonts w:cs="Arial"/>
          <w:sz w:val="18"/>
          <w:szCs w:val="18"/>
          <w:rtl/>
        </w:rPr>
        <w:t xml:space="preserve"> ממה שאומרים באחרונה (ב"י בשם הרמב"ם וטור).</w:t>
      </w:r>
      <w:r>
        <w:rPr>
          <w:rFonts w:cs="Arial"/>
          <w:rtl/>
        </w:rPr>
        <w:t xml:space="preserve"> </w:t>
      </w:r>
    </w:p>
    <w:p w14:paraId="72DCFBE2" w14:textId="77777777" w:rsidR="004B607F" w:rsidRDefault="004B607F" w:rsidP="004B607F">
      <w:pPr>
        <w:rPr>
          <w:rtl/>
        </w:rPr>
      </w:pPr>
    </w:p>
    <w:p w14:paraId="22B7FE2C" w14:textId="77777777" w:rsidR="004B607F" w:rsidRDefault="004B607F" w:rsidP="004B607F">
      <w:pPr>
        <w:pStyle w:val="2"/>
        <w:rPr>
          <w:rtl/>
        </w:rPr>
      </w:pPr>
      <w:bookmarkStart w:id="229" w:name="_Toc24883703"/>
      <w:r>
        <w:rPr>
          <w:rtl/>
        </w:rPr>
        <w:t>סעיף ב</w:t>
      </w:r>
      <w:r>
        <w:rPr>
          <w:rFonts w:hint="cs"/>
          <w:rtl/>
        </w:rPr>
        <w:t>:</w:t>
      </w:r>
      <w:r w:rsidRPr="00A26924">
        <w:rPr>
          <w:rFonts w:cs="Arial"/>
          <w:rtl/>
        </w:rPr>
        <w:t xml:space="preserve"> </w:t>
      </w:r>
      <w:r w:rsidRPr="00405919">
        <w:rPr>
          <w:rFonts w:cs="Arial"/>
          <w:rtl/>
        </w:rPr>
        <w:t xml:space="preserve">עדים שאחר שהעידו אמרו </w:t>
      </w:r>
      <w:r>
        <w:rPr>
          <w:rFonts w:cs="Arial" w:hint="cs"/>
          <w:rtl/>
        </w:rPr>
        <w:t>'</w:t>
      </w:r>
      <w:r w:rsidRPr="00405919">
        <w:rPr>
          <w:rFonts w:cs="Arial"/>
          <w:rtl/>
        </w:rPr>
        <w:t>שקר העדנו</w:t>
      </w:r>
      <w:r>
        <w:rPr>
          <w:rFonts w:hint="cs"/>
          <w:rtl/>
        </w:rPr>
        <w:t>'.</w:t>
      </w:r>
      <w:bookmarkEnd w:id="229"/>
    </w:p>
    <w:p w14:paraId="079E9536" w14:textId="77777777" w:rsidR="004B607F" w:rsidRDefault="004B607F" w:rsidP="004B607F">
      <w:pPr>
        <w:rPr>
          <w:rFonts w:cs="Arial"/>
          <w:rtl/>
        </w:rPr>
      </w:pPr>
      <w:r w:rsidRPr="00A26924">
        <w:rPr>
          <w:rFonts w:cs="Arial"/>
          <w:u w:val="single"/>
          <w:rtl/>
        </w:rPr>
        <w:t xml:space="preserve">עדים שאמרו </w:t>
      </w:r>
      <w:r>
        <w:rPr>
          <w:rFonts w:cs="Arial" w:hint="cs"/>
          <w:u w:val="single"/>
          <w:rtl/>
        </w:rPr>
        <w:t>'</w:t>
      </w:r>
      <w:r w:rsidRPr="00A26924">
        <w:rPr>
          <w:rFonts w:cs="Arial"/>
          <w:u w:val="single"/>
          <w:rtl/>
        </w:rPr>
        <w:t>שקר העדנו</w:t>
      </w:r>
      <w:r>
        <w:rPr>
          <w:rFonts w:cs="Arial" w:hint="cs"/>
          <w:u w:val="single"/>
          <w:rtl/>
        </w:rPr>
        <w:t>'</w:t>
      </w:r>
      <w:r w:rsidRPr="00630041">
        <w:rPr>
          <w:rFonts w:cs="Arial"/>
          <w:u w:val="single"/>
          <w:rtl/>
        </w:rPr>
        <w:t xml:space="preserve"> </w:t>
      </w:r>
      <w:r>
        <w:rPr>
          <w:rFonts w:cs="Arial" w:hint="cs"/>
          <w:u w:val="single"/>
          <w:rtl/>
        </w:rPr>
        <w:t>ל</w:t>
      </w:r>
      <w:r w:rsidRPr="00A26924">
        <w:rPr>
          <w:rFonts w:cs="Arial"/>
          <w:u w:val="single"/>
          <w:rtl/>
        </w:rPr>
        <w:t>אחר שהעידו</w:t>
      </w:r>
      <w:r w:rsidRPr="00A26924">
        <w:rPr>
          <w:rFonts w:cs="Arial" w:hint="cs"/>
          <w:u w:val="single"/>
          <w:rtl/>
        </w:rPr>
        <w:t>:</w:t>
      </w:r>
    </w:p>
    <w:p w14:paraId="69CEE712" w14:textId="77777777" w:rsidR="004B607F" w:rsidRPr="00466942" w:rsidRDefault="004B607F" w:rsidP="004B0475">
      <w:pPr>
        <w:pStyle w:val="ac"/>
        <w:numPr>
          <w:ilvl w:val="0"/>
          <w:numId w:val="116"/>
        </w:numPr>
        <w:rPr>
          <w:rFonts w:cs="Arial"/>
        </w:rPr>
      </w:pPr>
      <w:r w:rsidRPr="00A26924">
        <w:rPr>
          <w:rFonts w:cs="Arial"/>
          <w:rtl/>
        </w:rPr>
        <w:lastRenderedPageBreak/>
        <w:t xml:space="preserve">רא"ש </w:t>
      </w:r>
      <w:r w:rsidRPr="00A26924">
        <w:rPr>
          <w:rFonts w:cs="Arial" w:hint="cs"/>
          <w:sz w:val="16"/>
          <w:szCs w:val="16"/>
          <w:rtl/>
        </w:rPr>
        <w:t>(</w:t>
      </w:r>
      <w:r w:rsidRPr="00A26924">
        <w:rPr>
          <w:rFonts w:cs="Arial"/>
          <w:sz w:val="16"/>
          <w:szCs w:val="16"/>
          <w:rtl/>
        </w:rPr>
        <w:t>כלל נח סי</w:t>
      </w:r>
      <w:r w:rsidRPr="00A26924">
        <w:rPr>
          <w:rFonts w:cs="Arial" w:hint="cs"/>
          <w:sz w:val="16"/>
          <w:szCs w:val="16"/>
          <w:rtl/>
        </w:rPr>
        <w:t>'</w:t>
      </w:r>
      <w:r w:rsidRPr="00A26924">
        <w:rPr>
          <w:rFonts w:cs="Arial"/>
          <w:sz w:val="16"/>
          <w:szCs w:val="16"/>
          <w:rtl/>
        </w:rPr>
        <w:t xml:space="preserve"> ו</w:t>
      </w:r>
      <w:r>
        <w:rPr>
          <w:rFonts w:cs="Arial" w:hint="cs"/>
          <w:sz w:val="16"/>
          <w:szCs w:val="16"/>
          <w:rtl/>
        </w:rPr>
        <w:t>, והביאו הטור ב</w:t>
      </w:r>
      <w:r w:rsidRPr="00A26924">
        <w:rPr>
          <w:rFonts w:cs="Arial"/>
          <w:sz w:val="16"/>
          <w:szCs w:val="16"/>
          <w:rtl/>
        </w:rPr>
        <w:t>סי</w:t>
      </w:r>
      <w:r w:rsidRPr="00A26924">
        <w:rPr>
          <w:rFonts w:cs="Arial" w:hint="cs"/>
          <w:sz w:val="16"/>
          <w:szCs w:val="16"/>
          <w:rtl/>
        </w:rPr>
        <w:t>'</w:t>
      </w:r>
      <w:r w:rsidRPr="00A26924">
        <w:rPr>
          <w:rFonts w:cs="Arial"/>
          <w:sz w:val="16"/>
          <w:szCs w:val="16"/>
          <w:rtl/>
        </w:rPr>
        <w:t xml:space="preserve"> מו סל"ד)</w:t>
      </w:r>
      <w:r w:rsidRPr="00466942">
        <w:rPr>
          <w:rFonts w:cs="Arial" w:hint="cs"/>
          <w:rtl/>
        </w:rPr>
        <w:t xml:space="preserve"> </w:t>
      </w:r>
      <w:r>
        <w:rPr>
          <w:rFonts w:cs="Arial" w:hint="cs"/>
          <w:rtl/>
        </w:rPr>
        <w:t>ו</w:t>
      </w:r>
      <w:r w:rsidRPr="003A5B83">
        <w:rPr>
          <w:rFonts w:cs="Arial" w:hint="cs"/>
          <w:rtl/>
        </w:rPr>
        <w:t xml:space="preserve">רי"ו </w:t>
      </w:r>
      <w:r w:rsidRPr="003A5B83">
        <w:rPr>
          <w:rFonts w:cs="Arial" w:hint="cs"/>
          <w:sz w:val="16"/>
          <w:szCs w:val="16"/>
          <w:rtl/>
        </w:rPr>
        <w:t>(</w:t>
      </w:r>
      <w:r w:rsidRPr="003A5B83">
        <w:rPr>
          <w:rFonts w:cs="Arial"/>
          <w:sz w:val="16"/>
          <w:szCs w:val="16"/>
          <w:rtl/>
        </w:rPr>
        <w:t>מישרים נ"ב ח"ז יג ע"ד)</w:t>
      </w:r>
      <w:r w:rsidRPr="00A26924">
        <w:rPr>
          <w:rFonts w:cs="Arial" w:hint="cs"/>
          <w:rtl/>
        </w:rPr>
        <w:t xml:space="preserve">- </w:t>
      </w:r>
      <w:r w:rsidRPr="00466942">
        <w:rPr>
          <w:rFonts w:cs="Arial"/>
          <w:rtl/>
        </w:rPr>
        <w:t>ראובן הוציא שטר מחילה על שמעון מקויים כראוי שמחל לו כל תביעות שהיו לו עליו</w:t>
      </w:r>
      <w:r>
        <w:rPr>
          <w:rFonts w:cs="Arial" w:hint="cs"/>
          <w:rtl/>
        </w:rPr>
        <w:t>.</w:t>
      </w:r>
      <w:r w:rsidRPr="00466942">
        <w:rPr>
          <w:rFonts w:cs="Arial"/>
          <w:rtl/>
        </w:rPr>
        <w:t xml:space="preserve"> ואמרו העדים ששקר העידו כי ראובן השקם יין ונשתכרו וכתבו וחתמו לו מה שרצה. תשובה</w:t>
      </w:r>
      <w:r w:rsidRPr="00466942">
        <w:rPr>
          <w:rFonts w:cs="Arial" w:hint="cs"/>
          <w:rtl/>
        </w:rPr>
        <w:t>,</w:t>
      </w:r>
      <w:r w:rsidRPr="00466942">
        <w:rPr>
          <w:rFonts w:cs="Arial"/>
          <w:rtl/>
        </w:rPr>
        <w:t xml:space="preserve"> העדים שחתמו שקר מחמת שכרותן כיון שנתקיימה חתימתן בב"ד לאו כל כמיניהו לבטל עדותן ולא מהימנינן להו במאי דאמרי להפסיד לראובן. אבל לגבי דידהו מהימני דהודאת בעל דין כמאה עדים דמי ומחייבי לשלומי לשמעון כל הפסד דמטי ליה מחמת חתימתן שחתמו עליו שקר מדינא דגרמי שהן בעצמן עשו ההיזק לממון שמעון במה שחתמו עליו שקר</w:t>
      </w:r>
      <w:r w:rsidRPr="00466942">
        <w:rPr>
          <w:rFonts w:cs="Arial" w:hint="cs"/>
          <w:rtl/>
        </w:rPr>
        <w:t>,</w:t>
      </w:r>
      <w:r w:rsidRPr="00466942">
        <w:rPr>
          <w:rFonts w:cs="Arial"/>
          <w:rtl/>
        </w:rPr>
        <w:t xml:space="preserve"> ובריא היזקא דודאי ראובן לא יפרע לשמעון מאחר שיש לו שטר מחילה עליו. וגם בשעת המעשה שחתמו שקר נעשה מיד ההיזק לשמעון. וחילוקין הללו חלק ר"י לידע מהו דינא דגרמי ומהו גרמא בניזקין שפטור, הילכך חייבין העדים לפרוע לשמעון כל ההפסד שיבא לו</w:t>
      </w:r>
      <w:r w:rsidRPr="00466942">
        <w:rPr>
          <w:rFonts w:cs="Arial" w:hint="cs"/>
          <w:sz w:val="16"/>
          <w:szCs w:val="16"/>
          <w:rtl/>
        </w:rPr>
        <w:t xml:space="preserve"> (ל' הרא"ש)</w:t>
      </w:r>
      <w:r w:rsidRPr="00466942">
        <w:rPr>
          <w:rFonts w:cs="Arial"/>
          <w:rtl/>
        </w:rPr>
        <w:t xml:space="preserve">. </w:t>
      </w:r>
      <w:r w:rsidRPr="00466942">
        <w:rPr>
          <w:rFonts w:hint="cs"/>
          <w:color w:val="E36C0A" w:themeColor="accent6" w:themeShade="BF"/>
          <w:rtl/>
        </w:rPr>
        <w:t>(וכ"פ בשו"ע</w:t>
      </w:r>
      <w:r>
        <w:rPr>
          <w:rFonts w:hint="cs"/>
          <w:color w:val="000000" w:themeColor="text1"/>
          <w:sz w:val="16"/>
          <w:szCs w:val="16"/>
          <w:rtl/>
        </w:rPr>
        <w:t xml:space="preserve"> [כאן, ובסי' לח ס"א, ובסי' מו סל"ז]</w:t>
      </w:r>
      <w:r w:rsidRPr="00466942">
        <w:rPr>
          <w:rFonts w:hint="cs"/>
          <w:color w:val="E36C0A" w:themeColor="accent6" w:themeShade="BF"/>
          <w:rtl/>
        </w:rPr>
        <w:t>)</w:t>
      </w:r>
      <w:r w:rsidRPr="00466942">
        <w:rPr>
          <w:rFonts w:cs="Arial"/>
          <w:rtl/>
        </w:rPr>
        <w:t xml:space="preserve"> </w:t>
      </w:r>
    </w:p>
    <w:p w14:paraId="41838F0E" w14:textId="77777777" w:rsidR="004B607F" w:rsidRPr="000B383C" w:rsidRDefault="004B607F" w:rsidP="004B0475">
      <w:pPr>
        <w:pStyle w:val="ac"/>
        <w:numPr>
          <w:ilvl w:val="0"/>
          <w:numId w:val="116"/>
        </w:numPr>
        <w:rPr>
          <w:rFonts w:cs="Arial"/>
          <w:rtl/>
        </w:rPr>
      </w:pPr>
      <w:r>
        <w:rPr>
          <w:rFonts w:cs="Arial" w:hint="cs"/>
          <w:rtl/>
        </w:rPr>
        <w:t xml:space="preserve">ר"ח </w:t>
      </w:r>
      <w:r>
        <w:rPr>
          <w:rFonts w:cs="Arial" w:hint="cs"/>
          <w:sz w:val="16"/>
          <w:szCs w:val="16"/>
          <w:rtl/>
        </w:rPr>
        <w:t>(כ"כ בשמו הטור [בסי' לח ס"ה])</w:t>
      </w:r>
      <w:r>
        <w:rPr>
          <w:rFonts w:cs="Arial" w:hint="cs"/>
          <w:rtl/>
        </w:rPr>
        <w:t xml:space="preserve">- </w:t>
      </w:r>
      <w:r w:rsidRPr="003A5B83">
        <w:rPr>
          <w:rFonts w:cs="Arial"/>
          <w:rtl/>
        </w:rPr>
        <w:t xml:space="preserve">אם אמרו עדים </w:t>
      </w:r>
      <w:r>
        <w:rPr>
          <w:rFonts w:cs="Arial" w:hint="cs"/>
          <w:rtl/>
        </w:rPr>
        <w:t>'</w:t>
      </w:r>
      <w:r w:rsidRPr="003A5B83">
        <w:rPr>
          <w:rFonts w:cs="Arial"/>
          <w:rtl/>
        </w:rPr>
        <w:t>שקר העדנו</w:t>
      </w:r>
      <w:r>
        <w:rPr>
          <w:rFonts w:cs="Arial" w:hint="cs"/>
          <w:rtl/>
        </w:rPr>
        <w:t>'</w:t>
      </w:r>
      <w:r w:rsidRPr="003A5B83">
        <w:rPr>
          <w:rFonts w:cs="Arial"/>
          <w:rtl/>
        </w:rPr>
        <w:t xml:space="preserve"> לא מיבעיא שאין משלמין ע"פ עצמן אלא אפי' העדות שהעידו נכונה חשבינן ליה ומתקיימת</w:t>
      </w:r>
      <w:r>
        <w:rPr>
          <w:rFonts w:cs="Arial" w:hint="cs"/>
          <w:rtl/>
        </w:rPr>
        <w:t>,</w:t>
      </w:r>
      <w:r w:rsidRPr="003A5B83">
        <w:rPr>
          <w:rFonts w:cs="Arial"/>
          <w:rtl/>
        </w:rPr>
        <w:t xml:space="preserve"> שכיון שהגיד שוב אינו חוזר ומגיד</w:t>
      </w:r>
      <w:r>
        <w:rPr>
          <w:rFonts w:cs="Arial" w:hint="cs"/>
          <w:sz w:val="16"/>
          <w:szCs w:val="16"/>
          <w:rtl/>
        </w:rPr>
        <w:t xml:space="preserve"> (ל' הטור בשם ר"ח)</w:t>
      </w:r>
      <w:r>
        <w:rPr>
          <w:rFonts w:cs="Arial" w:hint="cs"/>
          <w:rtl/>
        </w:rPr>
        <w:t>.</w:t>
      </w:r>
    </w:p>
    <w:p w14:paraId="6F13ED0A" w14:textId="77777777" w:rsidR="004B607F" w:rsidRPr="003024E5" w:rsidRDefault="004B607F" w:rsidP="004B607F">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6A799A7B" w14:textId="77777777" w:rsidR="004B607F" w:rsidRDefault="004B607F" w:rsidP="004B607F">
      <w:pPr>
        <w:rPr>
          <w:rtl/>
        </w:rPr>
      </w:pPr>
      <w:r>
        <w:rPr>
          <w:rFonts w:cs="Arial"/>
          <w:rtl/>
        </w:rPr>
        <w:t xml:space="preserve">עדים שאמרו: שקר העדנו, נאמנים לגבי עצמם, וחייבים לשלם כל מה שגרמו להפסיד בעדותן. </w:t>
      </w:r>
    </w:p>
    <w:p w14:paraId="562858A5" w14:textId="77777777" w:rsidR="004B607F" w:rsidRDefault="004B607F" w:rsidP="004B607F">
      <w:pPr>
        <w:rPr>
          <w:rtl/>
        </w:rPr>
      </w:pPr>
    </w:p>
    <w:p w14:paraId="64DD845C" w14:textId="77777777" w:rsidR="004B607F" w:rsidRPr="00A26924" w:rsidRDefault="004B607F" w:rsidP="004B607F">
      <w:pPr>
        <w:pStyle w:val="2"/>
        <w:rPr>
          <w:rtl/>
        </w:rPr>
      </w:pPr>
      <w:bookmarkStart w:id="230" w:name="_Toc24883704"/>
      <w:r w:rsidRPr="00A26924">
        <w:rPr>
          <w:rtl/>
        </w:rPr>
        <w:t>סעיף ג</w:t>
      </w:r>
      <w:r w:rsidRPr="00A26924">
        <w:rPr>
          <w:rFonts w:hint="cs"/>
          <w:rtl/>
        </w:rPr>
        <w:t>:</w:t>
      </w:r>
      <w:r w:rsidRPr="00A26924">
        <w:rPr>
          <w:rFonts w:cs="Arial" w:hint="cs"/>
          <w:rtl/>
        </w:rPr>
        <w:t xml:space="preserve"> שני עדים, אחד אומר 'ראיתי' וחבירו אומר 'לא ראיתי'</w:t>
      </w:r>
      <w:r w:rsidRPr="00A26924">
        <w:rPr>
          <w:rFonts w:hint="cs"/>
          <w:rtl/>
        </w:rPr>
        <w:t>.</w:t>
      </w:r>
      <w:bookmarkEnd w:id="230"/>
    </w:p>
    <w:p w14:paraId="212BB622" w14:textId="77777777" w:rsidR="004B607F" w:rsidRDefault="004B607F" w:rsidP="004B607F">
      <w:pPr>
        <w:rPr>
          <w:rFonts w:cs="Arial"/>
          <w:rtl/>
        </w:rPr>
      </w:pPr>
      <w:r w:rsidRPr="00A26924">
        <w:rPr>
          <w:rFonts w:cs="Arial" w:hint="cs"/>
          <w:u w:val="single"/>
          <w:rtl/>
        </w:rPr>
        <w:t xml:space="preserve">שני עדים, </w:t>
      </w:r>
      <w:r>
        <w:rPr>
          <w:rFonts w:cs="Arial" w:hint="cs"/>
          <w:u w:val="single"/>
          <w:rtl/>
        </w:rPr>
        <w:t>הראשון</w:t>
      </w:r>
      <w:r w:rsidRPr="00A26924">
        <w:rPr>
          <w:rFonts w:cs="Arial" w:hint="cs"/>
          <w:u w:val="single"/>
          <w:rtl/>
        </w:rPr>
        <w:t xml:space="preserve"> אומר </w:t>
      </w:r>
      <w:r>
        <w:rPr>
          <w:rFonts w:cs="Arial" w:hint="cs"/>
          <w:u w:val="single"/>
          <w:rtl/>
        </w:rPr>
        <w:t>'</w:t>
      </w:r>
      <w:r w:rsidRPr="00A26924">
        <w:rPr>
          <w:rFonts w:cs="Arial" w:hint="cs"/>
          <w:u w:val="single"/>
          <w:rtl/>
        </w:rPr>
        <w:t>ראיתי</w:t>
      </w:r>
      <w:r>
        <w:rPr>
          <w:rFonts w:cs="Arial" w:hint="cs"/>
          <w:u w:val="single"/>
          <w:rtl/>
        </w:rPr>
        <w:t xml:space="preserve"> כך וכך'</w:t>
      </w:r>
      <w:r w:rsidRPr="00A26924">
        <w:rPr>
          <w:rFonts w:cs="Arial" w:hint="cs"/>
          <w:u w:val="single"/>
          <w:rtl/>
        </w:rPr>
        <w:t xml:space="preserve"> </w:t>
      </w:r>
      <w:r>
        <w:rPr>
          <w:rFonts w:cs="Arial" w:hint="cs"/>
          <w:u w:val="single"/>
          <w:rtl/>
        </w:rPr>
        <w:t>והשני</w:t>
      </w:r>
      <w:r w:rsidRPr="00A26924">
        <w:rPr>
          <w:rFonts w:cs="Arial" w:hint="cs"/>
          <w:u w:val="single"/>
          <w:rtl/>
        </w:rPr>
        <w:t xml:space="preserve"> אומר </w:t>
      </w:r>
      <w:r>
        <w:rPr>
          <w:rFonts w:cs="Arial" w:hint="cs"/>
          <w:u w:val="single"/>
          <w:rtl/>
        </w:rPr>
        <w:t>'</w:t>
      </w:r>
      <w:r w:rsidRPr="00A26924">
        <w:rPr>
          <w:rFonts w:cs="Arial" w:hint="cs"/>
          <w:u w:val="single"/>
          <w:rtl/>
        </w:rPr>
        <w:t>לא ראיתי</w:t>
      </w:r>
      <w:r>
        <w:rPr>
          <w:rFonts w:cs="Arial" w:hint="cs"/>
          <w:u w:val="single"/>
          <w:rtl/>
        </w:rPr>
        <w:t xml:space="preserve">' </w:t>
      </w:r>
      <w:r>
        <w:rPr>
          <w:rFonts w:cs="Arial"/>
          <w:u w:val="single"/>
          <w:rtl/>
        </w:rPr>
        <w:t>–</w:t>
      </w:r>
      <w:r>
        <w:rPr>
          <w:rFonts w:cs="Arial" w:hint="cs"/>
          <w:u w:val="single"/>
          <w:rtl/>
        </w:rPr>
        <w:t xml:space="preserve"> האם הוי הכחשה לעד הראשון</w:t>
      </w:r>
      <w:r w:rsidRPr="00A26924">
        <w:rPr>
          <w:rFonts w:cs="Arial" w:hint="cs"/>
          <w:u w:val="single"/>
          <w:rtl/>
        </w:rPr>
        <w:t>:</w:t>
      </w:r>
    </w:p>
    <w:p w14:paraId="24F701BB" w14:textId="26E57695" w:rsidR="004B607F" w:rsidRPr="00405919" w:rsidRDefault="004B607F" w:rsidP="004B0475">
      <w:pPr>
        <w:pStyle w:val="ac"/>
        <w:numPr>
          <w:ilvl w:val="0"/>
          <w:numId w:val="82"/>
        </w:numPr>
        <w:rPr>
          <w:rtl/>
        </w:rPr>
      </w:pPr>
      <w:r w:rsidRPr="00A26924">
        <w:rPr>
          <w:rFonts w:cs="Arial" w:hint="cs"/>
          <w:rtl/>
        </w:rPr>
        <w:t>הגמ"ר</w:t>
      </w:r>
      <w:r w:rsidRPr="00A26924">
        <w:rPr>
          <w:rFonts w:cs="Arial"/>
          <w:rtl/>
        </w:rPr>
        <w:t xml:space="preserve"> </w:t>
      </w:r>
      <w:r w:rsidRPr="00A26924">
        <w:rPr>
          <w:rFonts w:cs="Arial" w:hint="cs"/>
          <w:sz w:val="16"/>
          <w:szCs w:val="16"/>
          <w:rtl/>
        </w:rPr>
        <w:t>(</w:t>
      </w:r>
      <w:r w:rsidRPr="00A26924">
        <w:rPr>
          <w:rFonts w:cs="Arial"/>
          <w:sz w:val="16"/>
          <w:szCs w:val="16"/>
          <w:rtl/>
        </w:rPr>
        <w:t xml:space="preserve">סנהדרין סי' תשכה) </w:t>
      </w:r>
      <w:r w:rsidRPr="00A26924">
        <w:rPr>
          <w:rFonts w:cs="Arial"/>
          <w:rtl/>
        </w:rPr>
        <w:t>בשם ב</w:t>
      </w:r>
      <w:r w:rsidRPr="00A26924">
        <w:rPr>
          <w:rFonts w:cs="Arial" w:hint="cs"/>
          <w:rtl/>
        </w:rPr>
        <w:t>ה</w:t>
      </w:r>
      <w:r w:rsidRPr="00A26924">
        <w:rPr>
          <w:rFonts w:cs="Arial"/>
          <w:rtl/>
        </w:rPr>
        <w:t>ע</w:t>
      </w:r>
      <w:r w:rsidRPr="00A26924">
        <w:rPr>
          <w:rFonts w:cs="Arial" w:hint="cs"/>
          <w:rtl/>
        </w:rPr>
        <w:t>י"ט</w:t>
      </w:r>
      <w:r w:rsidRPr="00A26924">
        <w:rPr>
          <w:rFonts w:cs="Arial"/>
          <w:rtl/>
        </w:rPr>
        <w:t xml:space="preserve"> </w:t>
      </w:r>
      <w:r w:rsidRPr="00A26924">
        <w:rPr>
          <w:rFonts w:cs="Arial"/>
          <w:sz w:val="16"/>
          <w:szCs w:val="16"/>
          <w:rtl/>
        </w:rPr>
        <w:t>(אות ק קבלת עדות סא.)</w:t>
      </w:r>
      <w:r w:rsidRPr="00A26924">
        <w:rPr>
          <w:rFonts w:cs="Arial" w:hint="cs"/>
          <w:rtl/>
        </w:rPr>
        <w:t xml:space="preserve">- </w:t>
      </w:r>
      <w:r w:rsidRPr="00713521">
        <w:rPr>
          <w:rFonts w:cs="Arial"/>
          <w:rtl/>
        </w:rPr>
        <w:t>והיכא דאיכא סהדי ואמרו הוינן תמן ודייקינן במילתא שפיר ולא חזינן קדושין וגירושין צ"ע אי אמרינן כה</w:t>
      </w:r>
      <w:r>
        <w:rPr>
          <w:rFonts w:cs="Arial" w:hint="cs"/>
          <w:rtl/>
        </w:rPr>
        <w:t>"</w:t>
      </w:r>
      <w:r w:rsidRPr="00713521">
        <w:rPr>
          <w:rFonts w:cs="Arial"/>
          <w:rtl/>
        </w:rPr>
        <w:t>ג לא ראיתי אין ראיה</w:t>
      </w:r>
      <w:r>
        <w:rPr>
          <w:rFonts w:cs="Arial" w:hint="cs"/>
          <w:rtl/>
        </w:rPr>
        <w:t xml:space="preserve"> </w:t>
      </w:r>
      <w:r w:rsidRPr="00A26924">
        <w:rPr>
          <w:rFonts w:cs="Arial"/>
          <w:sz w:val="16"/>
          <w:szCs w:val="16"/>
          <w:rtl/>
        </w:rPr>
        <w:t>(</w:t>
      </w:r>
      <w:r>
        <w:rPr>
          <w:rFonts w:cs="Arial" w:hint="cs"/>
          <w:sz w:val="16"/>
          <w:szCs w:val="16"/>
          <w:rtl/>
        </w:rPr>
        <w:t xml:space="preserve">עדיות פ"ב </w:t>
      </w:r>
      <w:r w:rsidRPr="00A26924">
        <w:rPr>
          <w:rFonts w:cs="Arial"/>
          <w:sz w:val="16"/>
          <w:szCs w:val="16"/>
          <w:rtl/>
        </w:rPr>
        <w:t>מ"ב)</w:t>
      </w:r>
      <w:r>
        <w:rPr>
          <w:rFonts w:cs="Arial" w:hint="cs"/>
          <w:rtl/>
        </w:rPr>
        <w:t>.</w:t>
      </w:r>
      <w:r w:rsidRPr="00713521">
        <w:rPr>
          <w:rFonts w:cs="Arial"/>
          <w:rtl/>
        </w:rPr>
        <w:t xml:space="preserve"> ומסתברא דלא תנן לא ראינו אין ראיה אלא היכא דאיכא למימר זה ראה וזה לא ראה</w:t>
      </w:r>
      <w:r>
        <w:rPr>
          <w:rFonts w:cs="Arial" w:hint="cs"/>
          <w:rtl/>
        </w:rPr>
        <w:t>,</w:t>
      </w:r>
      <w:r w:rsidRPr="00713521">
        <w:rPr>
          <w:rFonts w:cs="Arial"/>
          <w:rtl/>
        </w:rPr>
        <w:t xml:space="preserve"> כגון דלא דיירי בחצר אחד וכה"ג לאו הכחשה היא</w:t>
      </w:r>
      <w:r>
        <w:rPr>
          <w:rFonts w:cs="Arial" w:hint="cs"/>
          <w:rtl/>
        </w:rPr>
        <w:t>.</w:t>
      </w:r>
      <w:r w:rsidRPr="00713521">
        <w:rPr>
          <w:rFonts w:cs="Arial"/>
          <w:rtl/>
        </w:rPr>
        <w:t xml:space="preserve"> אבל היכא דתרוייהו כהדדי נינהו</w:t>
      </w:r>
      <w:r>
        <w:rPr>
          <w:rFonts w:cs="Arial" w:hint="cs"/>
          <w:rtl/>
        </w:rPr>
        <w:t>,</w:t>
      </w:r>
      <w:r w:rsidRPr="00713521">
        <w:rPr>
          <w:rFonts w:cs="Arial"/>
          <w:rtl/>
        </w:rPr>
        <w:t xml:space="preserve"> כי אמר האחד לא ראיתי</w:t>
      </w:r>
      <w:r>
        <w:rPr>
          <w:rFonts w:cs="Arial" w:hint="cs"/>
          <w:rtl/>
        </w:rPr>
        <w:t>,</w:t>
      </w:r>
      <w:r w:rsidRPr="00713521">
        <w:rPr>
          <w:rFonts w:cs="Arial"/>
          <w:rtl/>
        </w:rPr>
        <w:t xml:space="preserve"> כאילו הוא אומר לחבירו לא ראית </w:t>
      </w:r>
      <w:r>
        <w:rPr>
          <w:rFonts w:cs="Arial" w:hint="cs"/>
          <w:rtl/>
        </w:rPr>
        <w:t xml:space="preserve">- </w:t>
      </w:r>
      <w:r w:rsidRPr="00713521">
        <w:rPr>
          <w:rFonts w:cs="Arial"/>
          <w:rtl/>
        </w:rPr>
        <w:t>והוה ליה הכחשה</w:t>
      </w:r>
      <w:r>
        <w:rPr>
          <w:rFonts w:cs="Arial" w:hint="cs"/>
          <w:rtl/>
        </w:rPr>
        <w:t>.</w:t>
      </w:r>
      <w:r w:rsidRPr="00713521">
        <w:rPr>
          <w:rFonts w:cs="Arial"/>
          <w:rtl/>
        </w:rPr>
        <w:t xml:space="preserve"> והכי תנן </w:t>
      </w:r>
      <w:r w:rsidRPr="00A26924">
        <w:rPr>
          <w:rFonts w:cs="Arial"/>
          <w:sz w:val="16"/>
          <w:szCs w:val="16"/>
          <w:rtl/>
        </w:rPr>
        <w:t>(</w:t>
      </w:r>
      <w:r>
        <w:rPr>
          <w:rFonts w:cs="Arial" w:hint="cs"/>
          <w:sz w:val="16"/>
          <w:szCs w:val="16"/>
          <w:rtl/>
        </w:rPr>
        <w:t xml:space="preserve">פרק עגלה ערופה, </w:t>
      </w:r>
      <w:r w:rsidRPr="00A26924">
        <w:rPr>
          <w:rFonts w:cs="Arial"/>
          <w:sz w:val="16"/>
          <w:szCs w:val="16"/>
          <w:rtl/>
        </w:rPr>
        <w:t>סוטה מז:</w:t>
      </w:r>
      <w:r>
        <w:rPr>
          <w:rStyle w:val="ab"/>
          <w:rFonts w:cs="Arial"/>
          <w:sz w:val="16"/>
          <w:szCs w:val="16"/>
          <w:rtl/>
        </w:rPr>
        <w:footnoteReference w:id="1619"/>
      </w:r>
      <w:r w:rsidRPr="00A26924">
        <w:rPr>
          <w:rFonts w:cs="Arial"/>
          <w:sz w:val="16"/>
          <w:szCs w:val="16"/>
          <w:rtl/>
        </w:rPr>
        <w:t>)</w:t>
      </w:r>
      <w:r>
        <w:rPr>
          <w:rFonts w:cs="Arial" w:hint="cs"/>
          <w:rtl/>
        </w:rPr>
        <w:t xml:space="preserve"> </w:t>
      </w:r>
      <w:r w:rsidRPr="00713521">
        <w:rPr>
          <w:rFonts w:cs="Arial"/>
          <w:rtl/>
        </w:rPr>
        <w:t>עד אחד אומר ראיתי ההורג ועד אחד אומר לא ראיתי</w:t>
      </w:r>
      <w:r>
        <w:rPr>
          <w:rStyle w:val="ab"/>
          <w:rFonts w:cs="Arial"/>
          <w:rtl/>
        </w:rPr>
        <w:footnoteReference w:id="1620"/>
      </w:r>
      <w:r>
        <w:rPr>
          <w:rFonts w:cs="Arial" w:hint="cs"/>
          <w:rtl/>
        </w:rPr>
        <w:t>,</w:t>
      </w:r>
      <w:r w:rsidRPr="00713521">
        <w:rPr>
          <w:rFonts w:cs="Arial"/>
          <w:rtl/>
        </w:rPr>
        <w:t xml:space="preserve"> ותנן גבי עגלה ערופה דהוה ליה הכחשה</w:t>
      </w:r>
      <w:r>
        <w:rPr>
          <w:rStyle w:val="ab"/>
          <w:rFonts w:cs="Arial"/>
          <w:rtl/>
        </w:rPr>
        <w:footnoteReference w:id="1621"/>
      </w:r>
      <w:r w:rsidRPr="00713521">
        <w:rPr>
          <w:rFonts w:cs="Arial"/>
          <w:rtl/>
        </w:rPr>
        <w:t xml:space="preserve">. </w:t>
      </w:r>
      <w:r w:rsidRPr="00713521">
        <w:rPr>
          <w:rFonts w:hint="cs"/>
          <w:color w:val="E36C0A" w:themeColor="accent6" w:themeShade="BF"/>
          <w:rtl/>
        </w:rPr>
        <w:t>(וכ"פ בשו"ע)</w:t>
      </w:r>
    </w:p>
    <w:p w14:paraId="330A326F" w14:textId="77777777" w:rsidR="004B607F" w:rsidRPr="003024E5" w:rsidRDefault="004B607F" w:rsidP="004B607F">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293D9B73" w14:textId="77777777" w:rsidR="004B607F" w:rsidRDefault="004B607F" w:rsidP="004B607F">
      <w:pPr>
        <w:rPr>
          <w:rtl/>
        </w:rPr>
      </w:pPr>
      <w:r>
        <w:rPr>
          <w:rFonts w:cs="Arial"/>
          <w:rtl/>
        </w:rPr>
        <w:t xml:space="preserve">אף על גב דלא ראינו אינה ראיה, היכא דתרוייהו כי הדדי </w:t>
      </w:r>
      <w:r>
        <w:rPr>
          <w:rStyle w:val="ab"/>
          <w:rFonts w:cs="Arial"/>
          <w:sz w:val="16"/>
          <w:szCs w:val="16"/>
          <w:rtl/>
        </w:rPr>
        <w:footnoteReference w:id="1622"/>
      </w:r>
      <w:r w:rsidRPr="00A26924">
        <w:rPr>
          <w:rFonts w:cs="Arial"/>
          <w:sz w:val="16"/>
          <w:szCs w:val="16"/>
          <w:rtl/>
        </w:rPr>
        <w:t>(נינהו)</w:t>
      </w:r>
      <w:r>
        <w:rPr>
          <w:rFonts w:cs="Arial"/>
          <w:rtl/>
        </w:rPr>
        <w:t xml:space="preserve">, ואמר האחד: לא ראיתי, הוה ליה כאומר לחבירו: לא ראית, והוה ליה הכחשה. </w:t>
      </w:r>
      <w:r w:rsidRPr="00405919">
        <w:rPr>
          <w:rFonts w:cs="Arial"/>
          <w:sz w:val="18"/>
          <w:szCs w:val="18"/>
          <w:rtl/>
        </w:rPr>
        <w:t>הגה: אבל אם אומר העד שפלוני היה עמו</w:t>
      </w:r>
      <w:r>
        <w:rPr>
          <w:rStyle w:val="ab"/>
          <w:rFonts w:cs="Arial"/>
          <w:sz w:val="18"/>
          <w:szCs w:val="18"/>
          <w:rtl/>
        </w:rPr>
        <w:footnoteReference w:id="1623"/>
      </w:r>
      <w:r w:rsidRPr="00405919">
        <w:rPr>
          <w:rFonts w:cs="Arial"/>
          <w:sz w:val="18"/>
          <w:szCs w:val="18"/>
          <w:rtl/>
        </w:rPr>
        <w:t>, ואותו הפלוני אומר שלא היה עמו, אין זה הכחשה, דאין עד מדקדק מי עמו בשעת עדות (תשובת הרא"ש כ</w:t>
      </w:r>
      <w:r>
        <w:rPr>
          <w:rFonts w:cs="Arial" w:hint="cs"/>
          <w:sz w:val="18"/>
          <w:szCs w:val="18"/>
          <w:rtl/>
        </w:rPr>
        <w:t>לל</w:t>
      </w:r>
      <w:r w:rsidRPr="00405919">
        <w:rPr>
          <w:rFonts w:cs="Arial"/>
          <w:sz w:val="18"/>
          <w:szCs w:val="18"/>
          <w:rtl/>
        </w:rPr>
        <w:t xml:space="preserve"> נט סי</w:t>
      </w:r>
      <w:r>
        <w:rPr>
          <w:rFonts w:cs="Arial" w:hint="cs"/>
          <w:sz w:val="18"/>
          <w:szCs w:val="18"/>
          <w:rtl/>
        </w:rPr>
        <w:t>'</w:t>
      </w:r>
      <w:r w:rsidRPr="00405919">
        <w:rPr>
          <w:rFonts w:cs="Arial"/>
          <w:sz w:val="18"/>
          <w:szCs w:val="18"/>
          <w:rtl/>
        </w:rPr>
        <w:t xml:space="preserve"> א).</w:t>
      </w:r>
    </w:p>
    <w:p w14:paraId="3B815D6D" w14:textId="77777777" w:rsidR="004B607F" w:rsidRDefault="004B607F" w:rsidP="004B607F">
      <w:pPr>
        <w:pStyle w:val="1"/>
        <w:rPr>
          <w:rtl/>
        </w:rPr>
        <w:sectPr w:rsidR="004B607F" w:rsidSect="004B607F">
          <w:headerReference w:type="default" r:id="rId39"/>
          <w:footnotePr>
            <w:numRestart w:val="eachPage"/>
          </w:footnotePr>
          <w:pgSz w:w="11906" w:h="16838"/>
          <w:pgMar w:top="720" w:right="1134" w:bottom="720" w:left="1134" w:header="0" w:footer="0" w:gutter="0"/>
          <w:cols w:space="720"/>
          <w:bidi/>
          <w:rtlGutter/>
          <w:docGrid w:linePitch="360"/>
        </w:sectPr>
      </w:pPr>
    </w:p>
    <w:p w14:paraId="6CE9DF7C" w14:textId="77777777" w:rsidR="004B607F" w:rsidRDefault="004B607F" w:rsidP="004B607F">
      <w:pPr>
        <w:pStyle w:val="1"/>
        <w:rPr>
          <w:rtl/>
        </w:rPr>
      </w:pPr>
      <w:bookmarkStart w:id="231" w:name="_Toc24883705"/>
      <w:r>
        <w:rPr>
          <w:rFonts w:hint="cs"/>
          <w:rtl/>
        </w:rPr>
        <w:lastRenderedPageBreak/>
        <w:t xml:space="preserve">סימן ל: </w:t>
      </w:r>
      <w:r>
        <w:rPr>
          <w:rtl/>
        </w:rPr>
        <w:t>אין עדי ממונות צריכין דרישה וחקירה, וצריך להיות עדות שלם, ובו י"ג סעיפים.</w:t>
      </w:r>
      <w:bookmarkEnd w:id="231"/>
      <w:r>
        <w:rPr>
          <w:rtl/>
        </w:rPr>
        <w:t xml:space="preserve"> </w:t>
      </w:r>
    </w:p>
    <w:p w14:paraId="632F7D6C" w14:textId="77777777" w:rsidR="004B607F" w:rsidRPr="007F5BE9" w:rsidRDefault="004B607F" w:rsidP="004B607F">
      <w:pPr>
        <w:pStyle w:val="2"/>
        <w:tabs>
          <w:tab w:val="center" w:pos="4819"/>
        </w:tabs>
        <w:rPr>
          <w:rtl/>
        </w:rPr>
      </w:pPr>
      <w:bookmarkStart w:id="232" w:name="_Toc24883706"/>
      <w:r>
        <w:rPr>
          <w:rtl/>
        </w:rPr>
        <w:t>סעיף א</w:t>
      </w:r>
      <w:r>
        <w:rPr>
          <w:rFonts w:hint="cs"/>
          <w:rtl/>
        </w:rPr>
        <w:t>: דרישה וחקירה בדיני ממונות.</w:t>
      </w:r>
      <w:bookmarkEnd w:id="232"/>
      <w:r>
        <w:rPr>
          <w:rtl/>
        </w:rPr>
        <w:tab/>
      </w:r>
    </w:p>
    <w:p w14:paraId="2FEB8F4C" w14:textId="77777777" w:rsidR="004B607F" w:rsidRDefault="004B607F" w:rsidP="004B607F">
      <w:pPr>
        <w:rPr>
          <w:rFonts w:cs="Arial"/>
          <w:sz w:val="14"/>
          <w:szCs w:val="14"/>
          <w:rtl/>
        </w:rPr>
      </w:pPr>
      <w:r>
        <w:rPr>
          <w:rFonts w:cs="Arial" w:hint="cs"/>
          <w:b/>
          <w:bCs/>
          <w:rtl/>
        </w:rPr>
        <w:t xml:space="preserve">סנהדרין </w:t>
      </w:r>
      <w:r w:rsidRPr="005E6F2C">
        <w:rPr>
          <w:rFonts w:cs="Arial" w:hint="cs"/>
          <w:b/>
          <w:bCs/>
          <w:sz w:val="16"/>
          <w:szCs w:val="16"/>
          <w:rtl/>
        </w:rPr>
        <w:t xml:space="preserve">(ר"פ אד"מ) </w:t>
      </w:r>
      <w:r>
        <w:rPr>
          <w:rFonts w:cs="Arial" w:hint="cs"/>
          <w:b/>
          <w:bCs/>
          <w:rtl/>
        </w:rPr>
        <w:t>לב</w:t>
      </w:r>
      <w:r>
        <w:rPr>
          <w:rStyle w:val="ab"/>
          <w:rFonts w:cs="Arial"/>
          <w:b/>
          <w:bCs/>
          <w:rtl/>
        </w:rPr>
        <w:footnoteReference w:id="1624"/>
      </w:r>
      <w:r>
        <w:rPr>
          <w:rFonts w:cs="Arial" w:hint="cs"/>
          <w:b/>
          <w:bCs/>
          <w:rtl/>
        </w:rPr>
        <w:t xml:space="preserve"> ע"א: </w:t>
      </w:r>
      <w:r w:rsidRPr="005E6F2C">
        <w:rPr>
          <w:rFonts w:cs="Arial"/>
          <w:u w:val="double"/>
          <w:rtl/>
        </w:rPr>
        <w:t>משנה</w:t>
      </w:r>
      <w:r w:rsidRPr="005E6F2C">
        <w:rPr>
          <w:rFonts w:cs="Arial" w:hint="cs"/>
          <w:u w:val="double"/>
          <w:rtl/>
        </w:rPr>
        <w:t>:</w:t>
      </w:r>
      <w:r w:rsidRPr="005E6F2C">
        <w:rPr>
          <w:rFonts w:cs="Arial"/>
          <w:rtl/>
        </w:rPr>
        <w:t xml:space="preserve"> אחד דיני ממונות ואחד דיני נפשות בדרישה ובחקירה, שנאמר משפט אחד יהיה לכם.</w:t>
      </w:r>
      <w:r>
        <w:rPr>
          <w:rFonts w:cs="Arial" w:hint="cs"/>
          <w:rtl/>
        </w:rPr>
        <w:t>.</w:t>
      </w:r>
      <w:r w:rsidRPr="005E6F2C">
        <w:rPr>
          <w:rFonts w:cs="Arial"/>
          <w:rtl/>
        </w:rPr>
        <w:t>.</w:t>
      </w:r>
      <w:r>
        <w:rPr>
          <w:rFonts w:cs="Arial" w:hint="cs"/>
          <w:rtl/>
        </w:rPr>
        <w:t xml:space="preserve">     </w:t>
      </w:r>
      <w:r w:rsidRPr="005E6F2C">
        <w:rPr>
          <w:rFonts w:cs="Arial"/>
          <w:u w:val="double"/>
          <w:rtl/>
        </w:rPr>
        <w:t>גמרא</w:t>
      </w:r>
      <w:r w:rsidRPr="005E6F2C">
        <w:rPr>
          <w:rFonts w:cs="Arial" w:hint="cs"/>
          <w:u w:val="double"/>
          <w:rtl/>
        </w:rPr>
        <w:t>:</w:t>
      </w:r>
      <w:r w:rsidRPr="005E6F2C">
        <w:rPr>
          <w:rFonts w:cs="Arial"/>
          <w:rtl/>
        </w:rPr>
        <w:t xml:space="preserve"> דיני ממונות מי בעינן דרישה וחקירה? ורמינהו: שטר שזמנו כתוב באחד בניסן בשמיטה, ובאו עדים ואמרו: היאך אתם מעידין על שטר זה? והלא ביום פלוני עמנו הייתם, במקום פלוני! שטר כשר, ועדיו כשרין. חיישינן שמא איחרוהו וכתבוהו. ואי סלקא דעתך בעינן דרישה וחקירה - היכי</w:t>
      </w:r>
      <w:r>
        <w:rPr>
          <w:rStyle w:val="ab"/>
          <w:rFonts w:cs="Arial"/>
          <w:rtl/>
        </w:rPr>
        <w:footnoteReference w:id="1625"/>
      </w:r>
      <w:r w:rsidRPr="005E6F2C">
        <w:rPr>
          <w:rFonts w:cs="Arial"/>
          <w:rtl/>
        </w:rPr>
        <w:t xml:space="preserve"> חיישינן שמא איחרוהו וכתבוהו?</w:t>
      </w:r>
      <w:r w:rsidRPr="000A7602">
        <w:rPr>
          <w:rFonts w:cs="Arial"/>
          <w:rtl/>
        </w:rPr>
        <w:t xml:space="preserve"> וליטעמיך</w:t>
      </w:r>
      <w:r>
        <w:rPr>
          <w:rStyle w:val="ab"/>
          <w:rFonts w:cs="Arial"/>
          <w:rtl/>
        </w:rPr>
        <w:footnoteReference w:id="1626"/>
      </w:r>
      <w:r w:rsidRPr="000A7602">
        <w:rPr>
          <w:rFonts w:cs="Arial"/>
          <w:rtl/>
        </w:rPr>
        <w:t>, תיקשי לך מתניתין</w:t>
      </w:r>
      <w:r>
        <w:rPr>
          <w:rStyle w:val="ab"/>
          <w:rFonts w:cs="Arial"/>
          <w:rtl/>
        </w:rPr>
        <w:footnoteReference w:id="1627"/>
      </w:r>
      <w:r w:rsidRPr="000A7602">
        <w:rPr>
          <w:rFonts w:cs="Arial"/>
          <w:rtl/>
        </w:rPr>
        <w:t>? שטרי חוב המוקדמין - פסולים, והמאוחרים - כשרין</w:t>
      </w:r>
      <w:r>
        <w:rPr>
          <w:rStyle w:val="ab"/>
          <w:rFonts w:cs="Arial"/>
          <w:rtl/>
        </w:rPr>
        <w:footnoteReference w:id="1628"/>
      </w:r>
      <w:r>
        <w:rPr>
          <w:rFonts w:cs="Arial" w:hint="cs"/>
          <w:rtl/>
        </w:rPr>
        <w:t>.</w:t>
      </w:r>
      <w:r w:rsidRPr="000A7602">
        <w:rPr>
          <w:rFonts w:cs="Arial"/>
          <w:rtl/>
        </w:rPr>
        <w:t xml:space="preserve"> ואי סלקא דעתך בעינן דרישה וחקירה - מאוחרין אמאי כשרין? הא לא קשיא, דעדיפא מינה קאמרינן דאפילו אחד בניסן בשמיטה דלא שכיחי אינשי דמוזפי, דליכא למימר שמא איחרוהו וכתבוהו, דלא מרע לשטריה - אפילו הכי, כיון דשביעית סופה משמטת - מכשרינן. מכל מקום</w:t>
      </w:r>
      <w:r>
        <w:rPr>
          <w:rStyle w:val="ab"/>
          <w:rFonts w:cs="Arial"/>
          <w:rtl/>
        </w:rPr>
        <w:footnoteReference w:id="1629"/>
      </w:r>
      <w:r w:rsidRPr="000A7602">
        <w:rPr>
          <w:rFonts w:cs="Arial"/>
          <w:rtl/>
        </w:rPr>
        <w:t xml:space="preserve"> קשיא! (סימן: חרפ"ש</w:t>
      </w:r>
      <w:r>
        <w:rPr>
          <w:rStyle w:val="ab"/>
          <w:rFonts w:cs="Arial"/>
          <w:rtl/>
        </w:rPr>
        <w:footnoteReference w:id="1630"/>
      </w:r>
      <w:r w:rsidRPr="000A7602">
        <w:rPr>
          <w:rFonts w:cs="Arial"/>
          <w:rtl/>
        </w:rPr>
        <w:t>)</w:t>
      </w:r>
      <w:r w:rsidRPr="005E6F2C">
        <w:rPr>
          <w:rFonts w:cs="Arial"/>
          <w:rtl/>
        </w:rPr>
        <w:t xml:space="preserve">. </w:t>
      </w:r>
      <w:r w:rsidRPr="007C76D7">
        <w:rPr>
          <w:rFonts w:cs="Arial"/>
          <w:u w:val="single"/>
          <w:rtl/>
        </w:rPr>
        <w:t>אמר רבי חנינא</w:t>
      </w:r>
      <w:r w:rsidRPr="005E6F2C">
        <w:rPr>
          <w:rFonts w:cs="Arial"/>
          <w:rtl/>
        </w:rPr>
        <w:t>: דבר תורה אחד דיני ממונות ואחד דיני נפשות בדרישה ובחקירה, שנאמר משפט אחד יהיה לכם, ומה טעם אמרו דיני ממונות לא בעינן דרישה וחקירה כדי שלא תנעול דלת בפני לוין</w:t>
      </w:r>
      <w:r>
        <w:rPr>
          <w:rStyle w:val="ab"/>
          <w:rFonts w:cs="Arial"/>
          <w:rtl/>
        </w:rPr>
        <w:footnoteReference w:id="1631"/>
      </w:r>
      <w:r w:rsidRPr="005E6F2C">
        <w:rPr>
          <w:rFonts w:cs="Arial"/>
          <w:rtl/>
        </w:rPr>
        <w:t xml:space="preserve">. אלא מעתה, </w:t>
      </w:r>
      <w:r>
        <w:rPr>
          <w:rFonts w:cs="Arial" w:hint="cs"/>
          <w:sz w:val="14"/>
          <w:szCs w:val="14"/>
          <w:rtl/>
        </w:rPr>
        <w:t xml:space="preserve">(לב:) </w:t>
      </w:r>
      <w:r w:rsidRPr="007C76D7">
        <w:rPr>
          <w:rFonts w:cs="Arial"/>
          <w:rtl/>
        </w:rPr>
        <w:t>טעו</w:t>
      </w:r>
      <w:r>
        <w:rPr>
          <w:rStyle w:val="ab"/>
          <w:rFonts w:cs="Arial"/>
          <w:rtl/>
        </w:rPr>
        <w:footnoteReference w:id="1632"/>
      </w:r>
      <w:r w:rsidRPr="007C76D7">
        <w:rPr>
          <w:rFonts w:cs="Arial"/>
          <w:rtl/>
        </w:rPr>
        <w:t xml:space="preserve"> לא ישלמו? כל שכן שתנעול דלת בפני לווין</w:t>
      </w:r>
      <w:r>
        <w:rPr>
          <w:rStyle w:val="ab"/>
          <w:rFonts w:cs="Arial"/>
          <w:rtl/>
        </w:rPr>
        <w:footnoteReference w:id="1633"/>
      </w:r>
      <w:r w:rsidRPr="007C76D7">
        <w:rPr>
          <w:rFonts w:cs="Arial"/>
          <w:rtl/>
        </w:rPr>
        <w:t xml:space="preserve">. </w:t>
      </w:r>
      <w:r w:rsidRPr="007C76D7">
        <w:rPr>
          <w:rFonts w:cs="Arial"/>
          <w:u w:val="single"/>
          <w:rtl/>
        </w:rPr>
        <w:t>רבא אמר</w:t>
      </w:r>
      <w:r>
        <w:rPr>
          <w:rStyle w:val="ab"/>
          <w:rFonts w:cs="Arial"/>
          <w:u w:val="single"/>
          <w:rtl/>
        </w:rPr>
        <w:footnoteReference w:id="1634"/>
      </w:r>
      <w:r w:rsidRPr="007C76D7">
        <w:rPr>
          <w:rFonts w:cs="Arial"/>
          <w:rtl/>
        </w:rPr>
        <w:t xml:space="preserve">: מתניתין דהכא בדיני קנסות, ואידך - בהודאות והלואות. </w:t>
      </w:r>
      <w:r w:rsidRPr="007C76D7">
        <w:rPr>
          <w:rFonts w:cs="Arial"/>
          <w:u w:val="single"/>
          <w:rtl/>
        </w:rPr>
        <w:t>רב פפא אמר</w:t>
      </w:r>
      <w:r w:rsidRPr="007C76D7">
        <w:rPr>
          <w:rFonts w:cs="Arial"/>
          <w:rtl/>
        </w:rPr>
        <w:t>: אידי ואידי בהודאה והלואה, כאן - בדין מרומה</w:t>
      </w:r>
      <w:r>
        <w:rPr>
          <w:rStyle w:val="ab"/>
          <w:rFonts w:cs="Arial"/>
          <w:rtl/>
        </w:rPr>
        <w:footnoteReference w:id="1635"/>
      </w:r>
      <w:r w:rsidRPr="007C76D7">
        <w:rPr>
          <w:rFonts w:cs="Arial"/>
          <w:rtl/>
        </w:rPr>
        <w:t>, כאן - בדין שאינו מרומה</w:t>
      </w:r>
      <w:r>
        <w:rPr>
          <w:rFonts w:cs="Arial" w:hint="cs"/>
          <w:rtl/>
        </w:rPr>
        <w:t>.</w:t>
      </w:r>
      <w:r w:rsidRPr="007C76D7">
        <w:rPr>
          <w:rFonts w:cs="Arial"/>
          <w:rtl/>
        </w:rPr>
        <w:t xml:space="preserve"> </w:t>
      </w:r>
      <w:r>
        <w:rPr>
          <w:rFonts w:cs="Arial" w:hint="cs"/>
          <w:sz w:val="14"/>
          <w:szCs w:val="14"/>
          <w:rtl/>
        </w:rPr>
        <w:t>(</w:t>
      </w:r>
      <w:r w:rsidRPr="007F5BE9">
        <w:rPr>
          <w:rFonts w:cs="Arial"/>
          <w:sz w:val="16"/>
          <w:szCs w:val="16"/>
          <w:rtl/>
        </w:rPr>
        <w:t>והני תלתא אמוראי מר אמר חדא ומר אמר חדא ובענין דינא לא פליגי וכדמשמע מתוך מה שפירשתי והוא פירוש רש"י</w:t>
      </w:r>
      <w:r>
        <w:rPr>
          <w:rFonts w:cs="Arial" w:hint="cs"/>
          <w:sz w:val="16"/>
          <w:szCs w:val="16"/>
          <w:rtl/>
        </w:rPr>
        <w:t>,</w:t>
      </w:r>
      <w:r w:rsidRPr="007F5BE9">
        <w:rPr>
          <w:rFonts w:cs="Arial"/>
          <w:sz w:val="16"/>
          <w:szCs w:val="16"/>
          <w:rtl/>
        </w:rPr>
        <w:t xml:space="preserve"> וכן דעת הרמב"ם בפ"ג מהלכות עדות (ה"א - ב) והוא דעת רבינו כמו שיתבאר בסמוך</w:t>
      </w:r>
      <w:r>
        <w:rPr>
          <w:rFonts w:cs="Arial" w:hint="cs"/>
          <w:sz w:val="16"/>
          <w:szCs w:val="16"/>
          <w:rtl/>
        </w:rPr>
        <w:t>, ב"י</w:t>
      </w:r>
      <w:r w:rsidRPr="007F5BE9">
        <w:rPr>
          <w:rFonts w:cs="Arial"/>
          <w:sz w:val="16"/>
          <w:szCs w:val="16"/>
          <w:rtl/>
        </w:rPr>
        <w:t>.</w:t>
      </w:r>
      <w:r>
        <w:rPr>
          <w:rFonts w:cs="Arial" w:hint="cs"/>
          <w:sz w:val="16"/>
          <w:szCs w:val="16"/>
          <w:rtl/>
        </w:rPr>
        <w:t xml:space="preserve"> והכיח עוד הב"י ש</w:t>
      </w:r>
      <w:r w:rsidRPr="007F5BE9">
        <w:rPr>
          <w:rFonts w:cs="Arial" w:hint="cs"/>
          <w:sz w:val="16"/>
          <w:szCs w:val="16"/>
          <w:rtl/>
        </w:rPr>
        <w:t>כן דעת הרא"ש (פרק אד"מ סי' א, ופ"ק דסנהדרין סי' א</w:t>
      </w:r>
      <w:r>
        <w:rPr>
          <w:rFonts w:cs="Arial" w:hint="cs"/>
          <w:sz w:val="16"/>
          <w:szCs w:val="16"/>
          <w:rtl/>
        </w:rPr>
        <w:t>)</w:t>
      </w:r>
      <w:r w:rsidRPr="007F5BE9">
        <w:rPr>
          <w:rFonts w:cs="Arial" w:hint="cs"/>
          <w:sz w:val="16"/>
          <w:szCs w:val="16"/>
          <w:rtl/>
        </w:rPr>
        <w:t>)</w:t>
      </w:r>
    </w:p>
    <w:p w14:paraId="7AE52222" w14:textId="77777777" w:rsidR="004B607F" w:rsidRPr="00E272AF" w:rsidRDefault="004B607F" w:rsidP="004B607F">
      <w:pPr>
        <w:rPr>
          <w:rFonts w:cs="Arial"/>
          <w:u w:val="single"/>
          <w:rtl/>
        </w:rPr>
      </w:pPr>
      <w:r w:rsidRPr="00E272AF">
        <w:rPr>
          <w:rFonts w:cs="Arial" w:hint="cs"/>
          <w:u w:val="single"/>
          <w:rtl/>
        </w:rPr>
        <w:t>האם עושים דרישה וחקירה בדיני ממונות:</w:t>
      </w:r>
    </w:p>
    <w:p w14:paraId="435B7627" w14:textId="77777777" w:rsidR="004B607F" w:rsidRPr="00E406FF" w:rsidRDefault="004B607F" w:rsidP="004B0475">
      <w:pPr>
        <w:pStyle w:val="ac"/>
        <w:numPr>
          <w:ilvl w:val="0"/>
          <w:numId w:val="82"/>
        </w:numPr>
        <w:rPr>
          <w:rFonts w:cs="Arial"/>
          <w:rtl/>
        </w:rPr>
      </w:pPr>
      <w:r w:rsidRPr="007F5BE9">
        <w:rPr>
          <w:rFonts w:cs="Arial"/>
          <w:rtl/>
        </w:rPr>
        <w:t>תוס</w:t>
      </w:r>
      <w:r w:rsidRPr="007F5BE9">
        <w:rPr>
          <w:rFonts w:cs="Arial" w:hint="cs"/>
          <w:rtl/>
        </w:rPr>
        <w:t>'</w:t>
      </w:r>
      <w:r w:rsidRPr="007F5BE9">
        <w:rPr>
          <w:rFonts w:cs="Arial"/>
          <w:rtl/>
        </w:rPr>
        <w:t xml:space="preserve"> </w:t>
      </w:r>
      <w:r w:rsidRPr="007F5BE9">
        <w:rPr>
          <w:rFonts w:cs="Arial"/>
          <w:sz w:val="16"/>
          <w:szCs w:val="16"/>
          <w:rtl/>
        </w:rPr>
        <w:t xml:space="preserve">(פרק החובל </w:t>
      </w:r>
      <w:r w:rsidRPr="007F5BE9">
        <w:rPr>
          <w:rFonts w:cs="Arial" w:hint="cs"/>
          <w:sz w:val="16"/>
          <w:szCs w:val="16"/>
          <w:rtl/>
        </w:rPr>
        <w:t>ב"ק פד:</w:t>
      </w:r>
      <w:r w:rsidRPr="007F5BE9">
        <w:rPr>
          <w:rFonts w:cs="Arial"/>
          <w:sz w:val="16"/>
          <w:szCs w:val="16"/>
          <w:rtl/>
        </w:rPr>
        <w:t xml:space="preserve"> ד"ה אי נמי</w:t>
      </w:r>
      <w:r w:rsidRPr="007F5BE9">
        <w:rPr>
          <w:rFonts w:cs="Arial" w:hint="cs"/>
          <w:sz w:val="16"/>
          <w:szCs w:val="16"/>
          <w:rtl/>
        </w:rPr>
        <w:t>, וב</w:t>
      </w:r>
      <w:r w:rsidRPr="007F5BE9">
        <w:rPr>
          <w:rFonts w:cs="Arial"/>
          <w:sz w:val="16"/>
          <w:szCs w:val="16"/>
          <w:rtl/>
        </w:rPr>
        <w:t>סנהדרין ג. ד"ה שלא)</w:t>
      </w:r>
      <w:r w:rsidRPr="007F5BE9">
        <w:rPr>
          <w:rFonts w:cs="Arial" w:hint="cs"/>
          <w:sz w:val="16"/>
          <w:szCs w:val="16"/>
          <w:rtl/>
        </w:rPr>
        <w:t xml:space="preserve"> </w:t>
      </w:r>
      <w:r w:rsidRPr="007F5BE9">
        <w:rPr>
          <w:rFonts w:cs="Arial"/>
          <w:rtl/>
        </w:rPr>
        <w:t xml:space="preserve">רא"ש </w:t>
      </w:r>
      <w:r w:rsidRPr="007F5BE9">
        <w:rPr>
          <w:rFonts w:cs="Arial" w:hint="cs"/>
          <w:sz w:val="16"/>
          <w:szCs w:val="16"/>
          <w:rtl/>
        </w:rPr>
        <w:t xml:space="preserve">(פ"ק דסנהדרין סי' א) </w:t>
      </w:r>
      <w:r w:rsidRPr="007F5BE9">
        <w:rPr>
          <w:rFonts w:cs="Arial" w:hint="cs"/>
          <w:rtl/>
        </w:rPr>
        <w:t xml:space="preserve">וטור- </w:t>
      </w:r>
      <w:r w:rsidRPr="007F5BE9">
        <w:rPr>
          <w:rStyle w:val="ab"/>
          <w:rFonts w:cs="Arial"/>
          <w:rtl/>
        </w:rPr>
        <w:footnoteReference w:id="1636"/>
      </w:r>
      <w:r w:rsidRPr="007F5BE9">
        <w:rPr>
          <w:rFonts w:cs="Arial"/>
          <w:rtl/>
        </w:rPr>
        <w:t>כל מידי בר מחבלות</w:t>
      </w:r>
      <w:r w:rsidRPr="007F5BE9">
        <w:rPr>
          <w:rStyle w:val="ab"/>
          <w:rFonts w:cs="Arial"/>
          <w:rtl/>
        </w:rPr>
        <w:footnoteReference w:id="1637"/>
      </w:r>
      <w:r w:rsidRPr="007F5BE9">
        <w:rPr>
          <w:rFonts w:cs="Arial"/>
          <w:rtl/>
        </w:rPr>
        <w:t xml:space="preserve"> עבדינן שליחותייהו ולא בעי מומחין</w:t>
      </w:r>
      <w:r>
        <w:rPr>
          <w:rFonts w:cs="Arial" w:hint="cs"/>
          <w:rtl/>
        </w:rPr>
        <w:t>,</w:t>
      </w:r>
      <w:r w:rsidRPr="007F5BE9">
        <w:rPr>
          <w:rFonts w:cs="Arial"/>
          <w:rtl/>
        </w:rPr>
        <w:t xml:space="preserve"> וגם דרישה וחקירה נמי לא בעינן</w:t>
      </w:r>
      <w:r>
        <w:rPr>
          <w:rFonts w:cs="Arial" w:hint="cs"/>
          <w:sz w:val="16"/>
          <w:szCs w:val="16"/>
          <w:rtl/>
        </w:rPr>
        <w:t xml:space="preserve"> (ל' הרא"ש)</w:t>
      </w:r>
      <w:r>
        <w:rPr>
          <w:rFonts w:cs="Arial" w:hint="cs"/>
          <w:rtl/>
        </w:rPr>
        <w:t xml:space="preserve">. לפיכך </w:t>
      </w:r>
      <w:r w:rsidRPr="00E406FF">
        <w:rPr>
          <w:rFonts w:cs="Arial"/>
          <w:rtl/>
        </w:rPr>
        <w:t>אין צריך לדרוש עדי ממונות בדרישה וחקירה בין עדי הודאות והלואות בין עדי ירושות מתנות וגזלות</w:t>
      </w:r>
      <w:r>
        <w:rPr>
          <w:rFonts w:cs="Arial" w:hint="cs"/>
          <w:rtl/>
        </w:rPr>
        <w:t>,</w:t>
      </w:r>
      <w:r w:rsidRPr="00E406FF">
        <w:rPr>
          <w:rFonts w:cs="Arial"/>
          <w:rtl/>
        </w:rPr>
        <w:t xml:space="preserve"> חוץ מעדי חבלות</w:t>
      </w:r>
      <w:r>
        <w:rPr>
          <w:rFonts w:cs="Arial" w:hint="cs"/>
          <w:rtl/>
        </w:rPr>
        <w:t>.</w:t>
      </w:r>
      <w:r w:rsidRPr="00E406FF">
        <w:rPr>
          <w:rFonts w:cs="Arial"/>
          <w:rtl/>
        </w:rPr>
        <w:t xml:space="preserve"> כיצד</w:t>
      </w:r>
      <w:r>
        <w:rPr>
          <w:rFonts w:cs="Arial" w:hint="cs"/>
          <w:rtl/>
        </w:rPr>
        <w:t>,</w:t>
      </w:r>
      <w:r w:rsidRPr="00E406FF">
        <w:rPr>
          <w:rFonts w:cs="Arial"/>
          <w:rtl/>
        </w:rPr>
        <w:t xml:space="preserve"> אמרו </w:t>
      </w:r>
      <w:r>
        <w:rPr>
          <w:rFonts w:cs="Arial" w:hint="cs"/>
          <w:rtl/>
        </w:rPr>
        <w:t>'</w:t>
      </w:r>
      <w:r w:rsidRPr="00E406FF">
        <w:rPr>
          <w:rFonts w:cs="Arial"/>
          <w:rtl/>
        </w:rPr>
        <w:t>בפנינו הלוה פלוני מנה לפלוני בשנה פלוני</w:t>
      </w:r>
      <w:r>
        <w:rPr>
          <w:rFonts w:cs="Arial" w:hint="cs"/>
          <w:rtl/>
        </w:rPr>
        <w:t>',</w:t>
      </w:r>
      <w:r w:rsidRPr="00E406FF">
        <w:rPr>
          <w:rFonts w:cs="Arial"/>
          <w:rtl/>
        </w:rPr>
        <w:t xml:space="preserve"> אע</w:t>
      </w:r>
      <w:r w:rsidRPr="00E406FF">
        <w:rPr>
          <w:rFonts w:cs="Arial" w:hint="cs"/>
          <w:rtl/>
        </w:rPr>
        <w:t>"</w:t>
      </w:r>
      <w:r w:rsidRPr="00E406FF">
        <w:rPr>
          <w:rFonts w:cs="Arial"/>
          <w:rtl/>
        </w:rPr>
        <w:t xml:space="preserve">פ שלא כיונו החדש שהלוה בו ולא המקום ולא המנה אם היה ממטבע פלוני או פלוני </w:t>
      </w:r>
      <w:r>
        <w:rPr>
          <w:rFonts w:cs="Arial" w:hint="cs"/>
          <w:rtl/>
        </w:rPr>
        <w:t xml:space="preserve">- </w:t>
      </w:r>
      <w:r w:rsidRPr="00E406FF">
        <w:rPr>
          <w:rFonts w:cs="Arial"/>
          <w:rtl/>
        </w:rPr>
        <w:t>עדותן עדות</w:t>
      </w:r>
      <w:r>
        <w:rPr>
          <w:rFonts w:cs="Arial" w:hint="cs"/>
          <w:rtl/>
        </w:rPr>
        <w:t xml:space="preserve"> </w:t>
      </w:r>
      <w:r>
        <w:rPr>
          <w:rFonts w:cs="Arial" w:hint="cs"/>
          <w:sz w:val="16"/>
          <w:szCs w:val="16"/>
          <w:rtl/>
        </w:rPr>
        <w:t>(ל' הטור)</w:t>
      </w:r>
      <w:r w:rsidRPr="00E406FF">
        <w:rPr>
          <w:rFonts w:cs="Arial" w:hint="cs"/>
          <w:rtl/>
        </w:rPr>
        <w:t xml:space="preserve">. </w:t>
      </w:r>
      <w:r w:rsidRPr="00E406FF">
        <w:rPr>
          <w:rFonts w:cs="Arial" w:hint="cs"/>
          <w:color w:val="E36C0A" w:themeColor="accent6" w:themeShade="BF"/>
          <w:rtl/>
        </w:rPr>
        <w:t>(וכ"פ בשו"ע)</w:t>
      </w:r>
      <w:r w:rsidRPr="00E406FF">
        <w:rPr>
          <w:rFonts w:cs="Arial" w:hint="cs"/>
          <w:rtl/>
        </w:rPr>
        <w:t xml:space="preserve"> </w:t>
      </w:r>
    </w:p>
    <w:p w14:paraId="26D07D20" w14:textId="77777777" w:rsidR="004B607F" w:rsidRDefault="004B607F" w:rsidP="004B0475">
      <w:pPr>
        <w:pStyle w:val="ac"/>
        <w:numPr>
          <w:ilvl w:val="0"/>
          <w:numId w:val="82"/>
        </w:numPr>
        <w:rPr>
          <w:rFonts w:cs="Arial"/>
        </w:rPr>
      </w:pPr>
      <w:r w:rsidRPr="007F5BE9">
        <w:rPr>
          <w:rFonts w:cs="Arial"/>
          <w:rtl/>
        </w:rPr>
        <w:lastRenderedPageBreak/>
        <w:t xml:space="preserve">רמב"ם </w:t>
      </w:r>
      <w:r w:rsidRPr="007F5BE9">
        <w:rPr>
          <w:rFonts w:cs="Arial"/>
          <w:sz w:val="16"/>
          <w:szCs w:val="16"/>
          <w:rtl/>
        </w:rPr>
        <w:t>(</w:t>
      </w:r>
      <w:r w:rsidRPr="007F5BE9">
        <w:rPr>
          <w:rFonts w:cs="Arial" w:hint="cs"/>
          <w:sz w:val="16"/>
          <w:szCs w:val="16"/>
          <w:rtl/>
        </w:rPr>
        <w:t xml:space="preserve">פ"ג מהל' עדות </w:t>
      </w:r>
      <w:r w:rsidRPr="007F5BE9">
        <w:rPr>
          <w:rFonts w:cs="Arial"/>
          <w:sz w:val="16"/>
          <w:szCs w:val="16"/>
          <w:rtl/>
        </w:rPr>
        <w:t>ה"א-ב)</w:t>
      </w:r>
      <w:r w:rsidRPr="007F5BE9">
        <w:rPr>
          <w:rFonts w:cs="Arial" w:hint="cs"/>
          <w:rtl/>
        </w:rPr>
        <w:t xml:space="preserve">- </w:t>
      </w:r>
      <w:r w:rsidRPr="007F5BE9">
        <w:rPr>
          <w:rFonts w:cs="Arial"/>
          <w:rtl/>
        </w:rPr>
        <w:t>אין עדי ממון צריכין דרישה וחקירה</w:t>
      </w:r>
      <w:r>
        <w:rPr>
          <w:rFonts w:cs="Arial" w:hint="cs"/>
          <w:rtl/>
        </w:rPr>
        <w:t>.</w:t>
      </w:r>
      <w:r w:rsidRPr="007F5BE9">
        <w:rPr>
          <w:rFonts w:cs="Arial"/>
          <w:rtl/>
        </w:rPr>
        <w:t xml:space="preserve"> במה דברים אמורים </w:t>
      </w:r>
      <w:r>
        <w:rPr>
          <w:rFonts w:cs="Arial" w:hint="cs"/>
          <w:rtl/>
        </w:rPr>
        <w:t xml:space="preserve">- </w:t>
      </w:r>
      <w:r w:rsidRPr="007F5BE9">
        <w:rPr>
          <w:rFonts w:cs="Arial"/>
          <w:rtl/>
        </w:rPr>
        <w:t>בהודאות והלואות מתנות ומכירות וכיוצא בהם</w:t>
      </w:r>
      <w:r>
        <w:rPr>
          <w:rFonts w:cs="Arial" w:hint="cs"/>
          <w:rtl/>
        </w:rPr>
        <w:t>,</w:t>
      </w:r>
      <w:r w:rsidRPr="007F5BE9">
        <w:rPr>
          <w:rFonts w:cs="Arial"/>
          <w:rtl/>
        </w:rPr>
        <w:t xml:space="preserve"> אבל בדיני קנסות צריכין דרישה וחקירה</w:t>
      </w:r>
      <w:r>
        <w:rPr>
          <w:rStyle w:val="ab"/>
          <w:rFonts w:cs="Arial"/>
          <w:rtl/>
        </w:rPr>
        <w:footnoteReference w:id="1638"/>
      </w:r>
      <w:r w:rsidRPr="007F5BE9">
        <w:rPr>
          <w:rFonts w:cs="Arial" w:hint="cs"/>
          <w:rtl/>
        </w:rPr>
        <w:t>.</w:t>
      </w:r>
      <w:r w:rsidRPr="007F5BE9">
        <w:rPr>
          <w:rFonts w:cs="Arial"/>
          <w:rtl/>
        </w:rPr>
        <w:t xml:space="preserve"> </w:t>
      </w:r>
    </w:p>
    <w:p w14:paraId="275D0EFE" w14:textId="77777777" w:rsidR="004B607F" w:rsidRPr="001152EC" w:rsidRDefault="004B607F" w:rsidP="004B607F">
      <w:pPr>
        <w:ind w:left="360"/>
        <w:rPr>
          <w:rFonts w:cs="Arial"/>
          <w:u w:val="dotted"/>
          <w:rtl/>
        </w:rPr>
      </w:pPr>
      <w:r w:rsidRPr="001152EC">
        <w:rPr>
          <w:rFonts w:cs="Arial" w:hint="cs"/>
          <w:u w:val="dotted"/>
          <w:rtl/>
        </w:rPr>
        <w:t xml:space="preserve">ומה הדין אם נראה לדיינים שהדין מרומה: </w:t>
      </w:r>
    </w:p>
    <w:p w14:paraId="3814DBFF" w14:textId="77777777" w:rsidR="004B607F" w:rsidRDefault="004B607F" w:rsidP="004B0475">
      <w:pPr>
        <w:pStyle w:val="ac"/>
        <w:numPr>
          <w:ilvl w:val="0"/>
          <w:numId w:val="85"/>
        </w:numPr>
        <w:rPr>
          <w:rFonts w:cs="Arial"/>
        </w:rPr>
      </w:pPr>
      <w:r w:rsidRPr="001152EC">
        <w:rPr>
          <w:rFonts w:cs="Arial" w:hint="cs"/>
          <w:rtl/>
        </w:rPr>
        <w:t xml:space="preserve">טור- </w:t>
      </w:r>
      <w:r w:rsidRPr="001152EC">
        <w:rPr>
          <w:rFonts w:cs="Arial"/>
          <w:rtl/>
        </w:rPr>
        <w:t xml:space="preserve">אבל אם נראה לדיין שהדין מרומה </w:t>
      </w:r>
      <w:r>
        <w:rPr>
          <w:rFonts w:cs="Arial" w:hint="cs"/>
          <w:rtl/>
        </w:rPr>
        <w:t xml:space="preserve">- </w:t>
      </w:r>
      <w:r w:rsidRPr="001152EC">
        <w:rPr>
          <w:rFonts w:cs="Arial"/>
          <w:rtl/>
        </w:rPr>
        <w:t>צריך דרישה וחקירה להוציא הדין לאמיתו</w:t>
      </w:r>
      <w:r w:rsidRPr="001152EC">
        <w:rPr>
          <w:rFonts w:cs="Arial" w:hint="cs"/>
          <w:rtl/>
        </w:rPr>
        <w:t>.</w:t>
      </w:r>
      <w:r w:rsidRPr="00386E6C">
        <w:rPr>
          <w:rFonts w:cs="Arial" w:hint="cs"/>
          <w:color w:val="E36C0A" w:themeColor="accent6" w:themeShade="BF"/>
          <w:rtl/>
        </w:rPr>
        <w:t xml:space="preserve"> </w:t>
      </w:r>
      <w:r w:rsidRPr="00E406FF">
        <w:rPr>
          <w:rFonts w:cs="Arial" w:hint="cs"/>
          <w:color w:val="E36C0A" w:themeColor="accent6" w:themeShade="BF"/>
          <w:rtl/>
        </w:rPr>
        <w:t>(וכ"פ בשו"ע)</w:t>
      </w:r>
    </w:p>
    <w:p w14:paraId="1348A88C" w14:textId="77777777" w:rsidR="004B607F" w:rsidRPr="001152EC" w:rsidRDefault="004B607F" w:rsidP="004B607F">
      <w:pPr>
        <w:ind w:left="360"/>
        <w:rPr>
          <w:rFonts w:cs="Arial"/>
          <w:u w:val="dotted"/>
          <w:rtl/>
        </w:rPr>
      </w:pPr>
      <w:r w:rsidRPr="001152EC">
        <w:rPr>
          <w:rFonts w:cs="Arial" w:hint="cs"/>
          <w:u w:val="dotted"/>
          <w:rtl/>
        </w:rPr>
        <w:t xml:space="preserve">האם </w:t>
      </w:r>
      <w:r>
        <w:rPr>
          <w:rFonts w:cs="Arial" w:hint="cs"/>
          <w:u w:val="dotted"/>
          <w:rtl/>
        </w:rPr>
        <w:t>בדין מרומה כנ"ל עושים</w:t>
      </w:r>
      <w:r w:rsidRPr="001152EC">
        <w:rPr>
          <w:rFonts w:cs="Arial" w:hint="cs"/>
          <w:u w:val="dotted"/>
          <w:rtl/>
        </w:rPr>
        <w:t xml:space="preserve"> דרישה ו</w:t>
      </w:r>
      <w:r>
        <w:rPr>
          <w:rFonts w:cs="Arial" w:hint="cs"/>
          <w:u w:val="dotted"/>
          <w:rtl/>
        </w:rPr>
        <w:t>ח</w:t>
      </w:r>
      <w:r w:rsidRPr="001152EC">
        <w:rPr>
          <w:rFonts w:cs="Arial" w:hint="cs"/>
          <w:u w:val="dotted"/>
          <w:rtl/>
        </w:rPr>
        <w:t xml:space="preserve">קירה כבדיני נפשות </w:t>
      </w:r>
      <w:r>
        <w:rPr>
          <w:rFonts w:cs="Arial" w:hint="cs"/>
          <w:u w:val="dotted"/>
          <w:rtl/>
        </w:rPr>
        <w:t>ממש</w:t>
      </w:r>
      <w:r w:rsidRPr="001152EC">
        <w:rPr>
          <w:rFonts w:cs="Arial" w:hint="cs"/>
          <w:u w:val="dotted"/>
          <w:rtl/>
        </w:rPr>
        <w:t>:</w:t>
      </w:r>
    </w:p>
    <w:p w14:paraId="6576AD57" w14:textId="77777777" w:rsidR="004B607F" w:rsidRPr="006C380F" w:rsidRDefault="004B607F" w:rsidP="004B0475">
      <w:pPr>
        <w:pStyle w:val="ac"/>
        <w:numPr>
          <w:ilvl w:val="0"/>
          <w:numId w:val="85"/>
        </w:numPr>
        <w:rPr>
          <w:rtl/>
        </w:rPr>
      </w:pPr>
      <w:r w:rsidRPr="001152EC">
        <w:rPr>
          <w:rFonts w:cs="Arial"/>
          <w:rtl/>
        </w:rPr>
        <w:t xml:space="preserve">סמ"ג </w:t>
      </w:r>
      <w:r w:rsidRPr="001152EC">
        <w:rPr>
          <w:rFonts w:cs="Arial" w:hint="cs"/>
          <w:sz w:val="16"/>
          <w:szCs w:val="16"/>
          <w:rtl/>
        </w:rPr>
        <w:t>(</w:t>
      </w:r>
      <w:r w:rsidRPr="001152EC">
        <w:rPr>
          <w:rFonts w:cs="Arial"/>
          <w:sz w:val="16"/>
          <w:szCs w:val="16"/>
          <w:rtl/>
        </w:rPr>
        <w:t>עשין קט קפט סוע"ד)</w:t>
      </w:r>
      <w:r w:rsidRPr="001152EC">
        <w:rPr>
          <w:rFonts w:cs="Arial" w:hint="cs"/>
          <w:sz w:val="16"/>
          <w:szCs w:val="16"/>
          <w:rtl/>
        </w:rPr>
        <w:t xml:space="preserve"> </w:t>
      </w:r>
      <w:r w:rsidRPr="001152EC">
        <w:rPr>
          <w:rFonts w:cs="Arial" w:hint="cs"/>
          <w:rtl/>
        </w:rPr>
        <w:t xml:space="preserve">רא"ה </w:t>
      </w:r>
      <w:r w:rsidRPr="001152EC">
        <w:rPr>
          <w:rFonts w:cs="Arial" w:hint="cs"/>
          <w:sz w:val="16"/>
          <w:szCs w:val="16"/>
          <w:rtl/>
        </w:rPr>
        <w:t>(כ"כ הריב"ש בשמו)</w:t>
      </w:r>
      <w:r w:rsidRPr="001152EC">
        <w:rPr>
          <w:rFonts w:cs="Arial" w:hint="cs"/>
          <w:rtl/>
        </w:rPr>
        <w:t xml:space="preserve"> ו</w:t>
      </w:r>
      <w:r w:rsidRPr="001152EC">
        <w:rPr>
          <w:rFonts w:cs="Arial"/>
          <w:rtl/>
        </w:rPr>
        <w:t xml:space="preserve">ריב"ש </w:t>
      </w:r>
      <w:r w:rsidRPr="001152EC">
        <w:rPr>
          <w:rFonts w:cs="Arial" w:hint="cs"/>
          <w:sz w:val="16"/>
          <w:szCs w:val="16"/>
          <w:rtl/>
        </w:rPr>
        <w:t>(</w:t>
      </w:r>
      <w:r w:rsidRPr="001152EC">
        <w:rPr>
          <w:rFonts w:cs="Arial"/>
          <w:sz w:val="16"/>
          <w:szCs w:val="16"/>
          <w:rtl/>
        </w:rPr>
        <w:t>סי</w:t>
      </w:r>
      <w:r w:rsidRPr="001152EC">
        <w:rPr>
          <w:rFonts w:cs="Arial" w:hint="cs"/>
          <w:sz w:val="16"/>
          <w:szCs w:val="16"/>
          <w:rtl/>
        </w:rPr>
        <w:t>'</w:t>
      </w:r>
      <w:r w:rsidRPr="001152EC">
        <w:rPr>
          <w:rFonts w:cs="Arial"/>
          <w:sz w:val="16"/>
          <w:szCs w:val="16"/>
          <w:rtl/>
        </w:rPr>
        <w:t xml:space="preserve"> רסו)</w:t>
      </w:r>
      <w:r w:rsidRPr="001152EC">
        <w:rPr>
          <w:rFonts w:cs="Arial" w:hint="cs"/>
          <w:rtl/>
        </w:rPr>
        <w:t>-</w:t>
      </w:r>
      <w:r w:rsidRPr="001152EC">
        <w:rPr>
          <w:rFonts w:cs="Arial"/>
          <w:rtl/>
        </w:rPr>
        <w:t xml:space="preserve"> נראה דבהודאות והלואות אפילו בדין מרומה לא בעינן דרישה וחקירה כדיני נפשות ממש אלא שצריך הדיין לחקור כל מה שאיפשר</w:t>
      </w:r>
      <w:r w:rsidRPr="001152EC">
        <w:rPr>
          <w:rFonts w:cs="Arial" w:hint="cs"/>
          <w:rtl/>
        </w:rPr>
        <w:t>,</w:t>
      </w:r>
      <w:r w:rsidRPr="001152EC">
        <w:rPr>
          <w:rFonts w:cs="Arial"/>
          <w:rtl/>
        </w:rPr>
        <w:t xml:space="preserve"> לא שאם אמר באחת מהחקירות איני יודע שתהא עדותו בטל כדיני נפשות</w:t>
      </w:r>
      <w:r>
        <w:rPr>
          <w:rFonts w:cs="Arial" w:hint="cs"/>
          <w:rtl/>
        </w:rPr>
        <w:t>,</w:t>
      </w:r>
      <w:r w:rsidRPr="001152EC">
        <w:rPr>
          <w:rFonts w:cs="Arial"/>
          <w:rtl/>
        </w:rPr>
        <w:t xml:space="preserve"> וכן אם אמר אמש הלוהו שיהא צריך שיכוונו באיזה שבוע באיזו שנה באיזה חדש וכל שאר החקירות</w:t>
      </w:r>
      <w:r>
        <w:rPr>
          <w:rFonts w:cs="Arial" w:hint="cs"/>
          <w:rtl/>
        </w:rPr>
        <w:t>,</w:t>
      </w:r>
      <w:r w:rsidRPr="001152EC">
        <w:rPr>
          <w:rFonts w:cs="Arial"/>
          <w:rtl/>
        </w:rPr>
        <w:t xml:space="preserve"> אע</w:t>
      </w:r>
      <w:r w:rsidRPr="001152EC">
        <w:rPr>
          <w:rFonts w:cs="Arial" w:hint="cs"/>
          <w:rtl/>
        </w:rPr>
        <w:t>"</w:t>
      </w:r>
      <w:r w:rsidRPr="001152EC">
        <w:rPr>
          <w:rFonts w:cs="Arial"/>
          <w:rtl/>
        </w:rPr>
        <w:t>פ שבדיני נפשות צריך כן</w:t>
      </w:r>
      <w:r>
        <w:rPr>
          <w:rFonts w:cs="Arial" w:hint="cs"/>
          <w:rtl/>
        </w:rPr>
        <w:t>.</w:t>
      </w:r>
      <w:r w:rsidRPr="001152EC">
        <w:rPr>
          <w:rFonts w:cs="Arial"/>
          <w:rtl/>
        </w:rPr>
        <w:t xml:space="preserve"> אלא שיש לדיין לחקור ולדרוש בדין מרומה כל מה שאפשר כההיא דרבי טרפון בשלהי יבמות </w:t>
      </w:r>
      <w:r w:rsidRPr="001152EC">
        <w:rPr>
          <w:rFonts w:cs="Arial"/>
          <w:sz w:val="16"/>
          <w:szCs w:val="16"/>
          <w:rtl/>
        </w:rPr>
        <w:t>(קכב:)</w:t>
      </w:r>
      <w:r w:rsidRPr="001152EC">
        <w:rPr>
          <w:rFonts w:cs="Arial"/>
          <w:rtl/>
        </w:rPr>
        <w:t xml:space="preserve"> לא כך אמרת לי יוחנן וכו'</w:t>
      </w:r>
      <w:r w:rsidRPr="001152EC">
        <w:rPr>
          <w:rFonts w:cs="Arial" w:hint="cs"/>
          <w:sz w:val="16"/>
          <w:szCs w:val="16"/>
          <w:rtl/>
        </w:rPr>
        <w:t xml:space="preserve"> (ל' הריב"ש)</w:t>
      </w:r>
      <w:r w:rsidRPr="001152EC">
        <w:rPr>
          <w:rFonts w:cs="Arial" w:hint="cs"/>
          <w:rtl/>
        </w:rPr>
        <w:t>.</w:t>
      </w:r>
      <w:r>
        <w:rPr>
          <w:rFonts w:hint="cs"/>
          <w:rtl/>
        </w:rPr>
        <w:t xml:space="preserve"> </w:t>
      </w:r>
      <w:r w:rsidRPr="001152EC">
        <w:rPr>
          <w:rFonts w:hint="cs"/>
          <w:color w:val="00B0F0"/>
          <w:rtl/>
        </w:rPr>
        <w:t>(וכ"פ הרמ"א</w:t>
      </w:r>
      <w:r>
        <w:rPr>
          <w:rFonts w:hint="cs"/>
          <w:color w:val="000000" w:themeColor="text1"/>
          <w:sz w:val="16"/>
          <w:szCs w:val="16"/>
          <w:rtl/>
        </w:rPr>
        <w:t xml:space="preserve"> [סי' טו סע' ג]</w:t>
      </w:r>
      <w:r w:rsidRPr="001152EC">
        <w:rPr>
          <w:rFonts w:hint="cs"/>
          <w:color w:val="00B0F0"/>
          <w:rtl/>
        </w:rPr>
        <w:t>)</w:t>
      </w:r>
      <w:r>
        <w:rPr>
          <w:rFonts w:hint="cs"/>
          <w:rtl/>
        </w:rPr>
        <w:t xml:space="preserve"> (וכ"פ הסמ"ע</w:t>
      </w:r>
      <w:r>
        <w:rPr>
          <w:rFonts w:hint="cs"/>
          <w:sz w:val="16"/>
          <w:szCs w:val="16"/>
          <w:rtl/>
        </w:rPr>
        <w:t xml:space="preserve"> [סק"ג]</w:t>
      </w:r>
      <w:r>
        <w:rPr>
          <w:rFonts w:hint="cs"/>
          <w:rtl/>
        </w:rPr>
        <w:t>)</w:t>
      </w:r>
    </w:p>
    <w:p w14:paraId="14E4E270" w14:textId="77777777" w:rsidR="004B607F" w:rsidRPr="00C01040" w:rsidRDefault="004B607F" w:rsidP="004B607F">
      <w:pPr>
        <w:rPr>
          <w:rFonts w:cs="Arial"/>
        </w:rPr>
      </w:pPr>
      <w:r w:rsidRPr="00C01040">
        <w:rPr>
          <w:rFonts w:cs="Arial" w:hint="cs"/>
          <w:b/>
          <w:bCs/>
          <w:rtl/>
        </w:rPr>
        <w:t xml:space="preserve">יבמות </w:t>
      </w:r>
      <w:r w:rsidRPr="00C01040">
        <w:rPr>
          <w:rFonts w:cs="Arial" w:hint="cs"/>
          <w:b/>
          <w:bCs/>
          <w:sz w:val="16"/>
          <w:szCs w:val="16"/>
          <w:rtl/>
        </w:rPr>
        <w:t>(</w:t>
      </w:r>
      <w:r>
        <w:rPr>
          <w:rFonts w:cs="Arial" w:hint="cs"/>
          <w:b/>
          <w:bCs/>
          <w:sz w:val="16"/>
          <w:szCs w:val="16"/>
          <w:rtl/>
        </w:rPr>
        <w:t>ס"</w:t>
      </w:r>
      <w:r w:rsidRPr="00C01040">
        <w:rPr>
          <w:rFonts w:cs="Arial" w:hint="cs"/>
          <w:b/>
          <w:bCs/>
          <w:sz w:val="16"/>
          <w:szCs w:val="16"/>
          <w:rtl/>
        </w:rPr>
        <w:t xml:space="preserve">פ בתרא) </w:t>
      </w:r>
      <w:r w:rsidRPr="00C01040">
        <w:rPr>
          <w:rFonts w:cs="Arial" w:hint="cs"/>
          <w:b/>
          <w:bCs/>
          <w:rtl/>
        </w:rPr>
        <w:t>קכב</w:t>
      </w:r>
      <w:r>
        <w:rPr>
          <w:rStyle w:val="ab"/>
          <w:rFonts w:cs="Arial"/>
          <w:b/>
          <w:bCs/>
          <w:rtl/>
        </w:rPr>
        <w:footnoteReference w:id="1639"/>
      </w:r>
      <w:r w:rsidRPr="00C01040">
        <w:rPr>
          <w:rFonts w:cs="Arial" w:hint="cs"/>
          <w:b/>
          <w:bCs/>
          <w:rtl/>
        </w:rPr>
        <w:t xml:space="preserve"> ע"ב:</w:t>
      </w:r>
      <w:r w:rsidRPr="00C01040">
        <w:rPr>
          <w:rtl/>
        </w:rPr>
        <w:t xml:space="preserve"> </w:t>
      </w:r>
      <w:r>
        <w:rPr>
          <w:rFonts w:cs="Arial" w:hint="cs"/>
          <w:rtl/>
        </w:rPr>
        <w:t>ד</w:t>
      </w:r>
      <w:r w:rsidRPr="00C01040">
        <w:rPr>
          <w:rFonts w:cs="Arial"/>
          <w:rtl/>
        </w:rPr>
        <w:t xml:space="preserve">תניא: אין בודקין עדי נשים בדרישה וחקירה, </w:t>
      </w:r>
      <w:r w:rsidRPr="001152EC">
        <w:rPr>
          <w:rFonts w:cs="Arial"/>
          <w:u w:val="single"/>
          <w:rtl/>
        </w:rPr>
        <w:t>דברי ר"ע</w:t>
      </w:r>
      <w:r>
        <w:rPr>
          <w:rFonts w:cs="Arial" w:hint="cs"/>
          <w:rtl/>
        </w:rPr>
        <w:t>.</w:t>
      </w:r>
      <w:r w:rsidRPr="00C01040">
        <w:rPr>
          <w:rFonts w:cs="Arial"/>
          <w:rtl/>
        </w:rPr>
        <w:t xml:space="preserve"> </w:t>
      </w:r>
      <w:r w:rsidRPr="001152EC">
        <w:rPr>
          <w:rFonts w:cs="Arial"/>
          <w:u w:val="single"/>
          <w:rtl/>
        </w:rPr>
        <w:t>רבי טרפון אומר</w:t>
      </w:r>
      <w:r w:rsidRPr="00C01040">
        <w:rPr>
          <w:rFonts w:cs="Arial"/>
          <w:rtl/>
        </w:rPr>
        <w:t xml:space="preserve">: בודקין. וקמיפלגי בדר' חנינא, דאמר רבי חנינא: דבר תורה, אחד דיני ממונות ואחד דיני נפשות בדרישה וחקירה, שנאמר: משפט אחד יהיה לכם, ומה טעם אמרו דיני ממונות אין צריכין דרישה וחקירה? שלא תנעול דלת בפני לוין. ובמאי קמיפלגי? </w:t>
      </w:r>
      <w:r w:rsidRPr="001152EC">
        <w:rPr>
          <w:rFonts w:cs="Arial"/>
          <w:u w:val="single"/>
          <w:rtl/>
        </w:rPr>
        <w:t>מר סבר</w:t>
      </w:r>
      <w:r w:rsidRPr="00C01040">
        <w:rPr>
          <w:rFonts w:cs="Arial"/>
          <w:rtl/>
        </w:rPr>
        <w:t xml:space="preserve">: כיון דאיכא כתובה למשקל - כדיני ממונות דמי, </w:t>
      </w:r>
      <w:r w:rsidRPr="001152EC">
        <w:rPr>
          <w:rFonts w:cs="Arial"/>
          <w:u w:val="single"/>
          <w:rtl/>
        </w:rPr>
        <w:t>ומר סבר:</w:t>
      </w:r>
      <w:r w:rsidRPr="00C01040">
        <w:rPr>
          <w:rFonts w:cs="Arial"/>
          <w:rtl/>
        </w:rPr>
        <w:t xml:space="preserve"> כיון דקא שרינן אשת איש לעלמא - כדיני נפשות דמי.</w:t>
      </w:r>
    </w:p>
    <w:p w14:paraId="2BCF9185" w14:textId="77777777" w:rsidR="004B607F" w:rsidRPr="00461359" w:rsidRDefault="004B607F" w:rsidP="004B607F">
      <w:pPr>
        <w:rPr>
          <w:rFonts w:cs="Arial"/>
          <w:sz w:val="16"/>
          <w:szCs w:val="16"/>
          <w:u w:val="single"/>
        </w:rPr>
      </w:pPr>
      <w:r w:rsidRPr="00E406FF">
        <w:rPr>
          <w:rFonts w:cs="Arial" w:hint="cs"/>
          <w:u w:val="single"/>
          <w:rtl/>
        </w:rPr>
        <w:t>האם בודקים עידי נשים בדרישה וחקירה</w:t>
      </w:r>
      <w:r w:rsidRPr="00C01040">
        <w:rPr>
          <w:rStyle w:val="ab"/>
          <w:rFonts w:cs="Arial"/>
          <w:u w:val="single"/>
          <w:rtl/>
        </w:rPr>
        <w:footnoteReference w:id="1640"/>
      </w:r>
      <w:r w:rsidRPr="00E406FF">
        <w:rPr>
          <w:rFonts w:cs="Arial" w:hint="cs"/>
          <w:u w:val="single"/>
          <w:rtl/>
        </w:rPr>
        <w:t>:</w:t>
      </w:r>
      <w:r w:rsidRPr="00461359">
        <w:rPr>
          <w:rFonts w:cs="Arial" w:hint="cs"/>
          <w:sz w:val="16"/>
          <w:szCs w:val="16"/>
          <w:rtl/>
        </w:rPr>
        <w:t xml:space="preserve"> </w:t>
      </w:r>
      <w:r>
        <w:rPr>
          <w:rFonts w:cs="Arial" w:hint="cs"/>
          <w:sz w:val="16"/>
          <w:szCs w:val="16"/>
          <w:rtl/>
        </w:rPr>
        <w:t xml:space="preserve">  </w:t>
      </w:r>
      <w:r w:rsidRPr="00461359">
        <w:rPr>
          <w:rFonts w:cs="Arial" w:hint="cs"/>
          <w:sz w:val="16"/>
          <w:szCs w:val="16"/>
          <w:rtl/>
        </w:rPr>
        <w:t>(</w:t>
      </w:r>
      <w:r>
        <w:rPr>
          <w:rFonts w:cs="Arial" w:hint="cs"/>
          <w:sz w:val="16"/>
          <w:szCs w:val="16"/>
          <w:rtl/>
        </w:rPr>
        <w:t xml:space="preserve">ב"י </w:t>
      </w:r>
      <w:r w:rsidRPr="00532E67">
        <w:rPr>
          <w:rFonts w:cs="Arial" w:hint="cs"/>
          <w:sz w:val="14"/>
          <w:szCs w:val="14"/>
          <w:rtl/>
        </w:rPr>
        <w:t>[</w:t>
      </w:r>
      <w:r>
        <w:rPr>
          <w:rFonts w:cs="Arial" w:hint="cs"/>
          <w:sz w:val="14"/>
          <w:szCs w:val="14"/>
          <w:rtl/>
        </w:rPr>
        <w:t>כאן</w:t>
      </w:r>
      <w:r w:rsidRPr="00532E67">
        <w:rPr>
          <w:rFonts w:cs="Arial" w:hint="cs"/>
          <w:sz w:val="14"/>
          <w:szCs w:val="14"/>
          <w:rtl/>
        </w:rPr>
        <w:t xml:space="preserve"> בבדה"ב</w:t>
      </w:r>
      <w:r>
        <w:rPr>
          <w:rFonts w:cs="Arial" w:hint="cs"/>
          <w:sz w:val="14"/>
          <w:szCs w:val="14"/>
          <w:rtl/>
        </w:rPr>
        <w:t>, ובאהע"ז סי' יא וסי' מב</w:t>
      </w:r>
      <w:r w:rsidRPr="00532E67">
        <w:rPr>
          <w:rFonts w:cs="Arial" w:hint="cs"/>
          <w:sz w:val="14"/>
          <w:szCs w:val="14"/>
          <w:rtl/>
        </w:rPr>
        <w:t>]</w:t>
      </w:r>
      <w:r>
        <w:rPr>
          <w:rFonts w:cs="Arial" w:hint="cs"/>
          <w:sz w:val="16"/>
          <w:szCs w:val="16"/>
          <w:rtl/>
        </w:rPr>
        <w:t>)</w:t>
      </w:r>
    </w:p>
    <w:p w14:paraId="550E62F2" w14:textId="77777777" w:rsidR="004B607F" w:rsidRDefault="004B607F" w:rsidP="004B0475">
      <w:pPr>
        <w:pStyle w:val="ac"/>
        <w:numPr>
          <w:ilvl w:val="0"/>
          <w:numId w:val="84"/>
        </w:numPr>
        <w:rPr>
          <w:rFonts w:cs="Arial"/>
        </w:rPr>
      </w:pPr>
      <w:r>
        <w:rPr>
          <w:rFonts w:cs="Arial" w:hint="cs"/>
          <w:rtl/>
        </w:rPr>
        <w:t xml:space="preserve">גאונים </w:t>
      </w:r>
      <w:r w:rsidRPr="009B5576">
        <w:rPr>
          <w:rFonts w:cs="Arial"/>
          <w:rtl/>
        </w:rPr>
        <w:t>תוס</w:t>
      </w:r>
      <w:r>
        <w:rPr>
          <w:rFonts w:cs="Arial" w:hint="cs"/>
          <w:rtl/>
        </w:rPr>
        <w:t>'</w:t>
      </w:r>
      <w:r w:rsidRPr="000D4B31">
        <w:rPr>
          <w:rFonts w:cs="Arial"/>
          <w:rtl/>
        </w:rPr>
        <w:t xml:space="preserve"> </w:t>
      </w:r>
      <w:r>
        <w:rPr>
          <w:rFonts w:cs="Arial" w:hint="cs"/>
          <w:rtl/>
        </w:rPr>
        <w:t xml:space="preserve">רמב"ם </w:t>
      </w:r>
      <w:r w:rsidRPr="009B5576">
        <w:rPr>
          <w:rFonts w:cs="Arial"/>
          <w:rtl/>
        </w:rPr>
        <w:t>רשב"א</w:t>
      </w:r>
      <w:r>
        <w:rPr>
          <w:rStyle w:val="ab"/>
          <w:rFonts w:cs="Arial"/>
          <w:rtl/>
        </w:rPr>
        <w:footnoteReference w:id="1641"/>
      </w:r>
      <w:r w:rsidRPr="00461359">
        <w:rPr>
          <w:rFonts w:cs="Arial"/>
          <w:rtl/>
        </w:rPr>
        <w:t xml:space="preserve"> </w:t>
      </w:r>
      <w:r>
        <w:rPr>
          <w:rStyle w:val="ab"/>
          <w:rFonts w:cs="Arial"/>
          <w:rtl/>
        </w:rPr>
        <w:footnoteReference w:id="1642"/>
      </w:r>
      <w:r>
        <w:rPr>
          <w:rFonts w:cs="Arial" w:hint="cs"/>
          <w:rtl/>
        </w:rPr>
        <w:t>ו</w:t>
      </w:r>
      <w:r w:rsidRPr="009B5576">
        <w:rPr>
          <w:rFonts w:cs="Arial"/>
          <w:rtl/>
        </w:rPr>
        <w:t>ריב"ש</w:t>
      </w:r>
      <w:r>
        <w:rPr>
          <w:rStyle w:val="ab"/>
          <w:rFonts w:cs="Arial"/>
          <w:rtl/>
        </w:rPr>
        <w:footnoteReference w:id="1643"/>
      </w:r>
      <w:r>
        <w:rPr>
          <w:rFonts w:cs="Arial" w:hint="cs"/>
          <w:rtl/>
        </w:rPr>
        <w:t>-</w:t>
      </w:r>
      <w:r w:rsidRPr="009B5576">
        <w:rPr>
          <w:rFonts w:cs="Arial"/>
          <w:rtl/>
        </w:rPr>
        <w:t xml:space="preserve"> </w:t>
      </w:r>
      <w:r w:rsidRPr="00D41B7D">
        <w:rPr>
          <w:rFonts w:cs="Arial"/>
          <w:rtl/>
        </w:rPr>
        <w:t>עידי קדושין</w:t>
      </w:r>
      <w:r>
        <w:rPr>
          <w:rFonts w:cs="Arial" w:hint="cs"/>
          <w:rtl/>
        </w:rPr>
        <w:t xml:space="preserve"> וגירושין</w:t>
      </w:r>
      <w:r w:rsidRPr="00D41B7D">
        <w:rPr>
          <w:rFonts w:cs="Arial"/>
          <w:rtl/>
        </w:rPr>
        <w:t xml:space="preserve"> אין צריכין דרישה וחקירה</w:t>
      </w:r>
      <w:r>
        <w:rPr>
          <w:rFonts w:cs="Arial" w:hint="cs"/>
          <w:rtl/>
        </w:rPr>
        <w:t>, כ</w:t>
      </w:r>
      <w:r w:rsidRPr="009B5576">
        <w:rPr>
          <w:rFonts w:cs="Arial"/>
          <w:rtl/>
        </w:rPr>
        <w:t>רבי טרפון</w:t>
      </w:r>
      <w:r>
        <w:rPr>
          <w:rStyle w:val="ab"/>
          <w:rFonts w:cs="Arial"/>
          <w:rtl/>
        </w:rPr>
        <w:footnoteReference w:id="1644"/>
      </w:r>
      <w:r>
        <w:rPr>
          <w:rFonts w:cs="Arial" w:hint="cs"/>
          <w:rtl/>
        </w:rPr>
        <w:t>,</w:t>
      </w:r>
      <w:r w:rsidRPr="009B5576">
        <w:rPr>
          <w:rFonts w:cs="Arial"/>
          <w:rtl/>
        </w:rPr>
        <w:t xml:space="preserve"> דלדיני ממונות מדמינן להו</w:t>
      </w:r>
      <w:r>
        <w:rPr>
          <w:rFonts w:cs="Arial" w:hint="cs"/>
          <w:rtl/>
        </w:rPr>
        <w:t xml:space="preserve">. </w:t>
      </w:r>
      <w:r w:rsidRPr="00AD1F7F">
        <w:rPr>
          <w:rFonts w:cs="Arial" w:hint="cs"/>
          <w:color w:val="00B0F0"/>
          <w:rtl/>
        </w:rPr>
        <w:t>(וכ"פ הרמ"א</w:t>
      </w:r>
      <w:r w:rsidRPr="00AD1F7F">
        <w:rPr>
          <w:rFonts w:cs="Arial" w:hint="cs"/>
          <w:color w:val="00B0F0"/>
          <w:sz w:val="16"/>
          <w:szCs w:val="16"/>
          <w:rtl/>
        </w:rPr>
        <w:t xml:space="preserve"> </w:t>
      </w:r>
      <w:r>
        <w:rPr>
          <w:rFonts w:cs="Arial" w:hint="cs"/>
          <w:sz w:val="16"/>
          <w:szCs w:val="16"/>
          <w:rtl/>
        </w:rPr>
        <w:t>[אהע"ז סי' מב ס"ד]</w:t>
      </w:r>
      <w:r w:rsidRPr="00AD1F7F">
        <w:rPr>
          <w:rFonts w:cs="Arial" w:hint="cs"/>
          <w:color w:val="00B0F0"/>
          <w:rtl/>
        </w:rPr>
        <w:t>)</w:t>
      </w:r>
      <w:r>
        <w:rPr>
          <w:rFonts w:cs="Arial" w:hint="cs"/>
          <w:rtl/>
        </w:rPr>
        <w:t xml:space="preserve"> </w:t>
      </w:r>
    </w:p>
    <w:p w14:paraId="23F6D0A2" w14:textId="77777777" w:rsidR="004B607F" w:rsidRPr="00D41B7D" w:rsidRDefault="004B607F" w:rsidP="004B607F">
      <w:pPr>
        <w:ind w:left="360"/>
        <w:rPr>
          <w:rFonts w:cs="Arial"/>
          <w:u w:val="dotted"/>
          <w:rtl/>
        </w:rPr>
      </w:pPr>
      <w:r w:rsidRPr="00D41B7D">
        <w:rPr>
          <w:rFonts w:cs="Arial" w:hint="cs"/>
          <w:u w:val="dotted"/>
          <w:rtl/>
        </w:rPr>
        <w:t xml:space="preserve">ומה הדין </w:t>
      </w:r>
      <w:r>
        <w:rPr>
          <w:rFonts w:cs="Arial" w:hint="cs"/>
          <w:u w:val="dotted"/>
          <w:rtl/>
        </w:rPr>
        <w:t xml:space="preserve">אם באו </w:t>
      </w:r>
      <w:r w:rsidRPr="00D41B7D">
        <w:rPr>
          <w:rFonts w:cs="Arial" w:hint="cs"/>
          <w:u w:val="dotted"/>
          <w:rtl/>
        </w:rPr>
        <w:t>עדים ש</w:t>
      </w:r>
      <w:r>
        <w:rPr>
          <w:rFonts w:cs="Arial" w:hint="cs"/>
          <w:u w:val="dotted"/>
          <w:rtl/>
        </w:rPr>
        <w:t>אשת איש זינתה</w:t>
      </w:r>
      <w:r w:rsidRPr="00D41B7D">
        <w:rPr>
          <w:rFonts w:cs="Arial" w:hint="cs"/>
          <w:u w:val="dotted"/>
          <w:rtl/>
        </w:rPr>
        <w:t>:</w:t>
      </w:r>
    </w:p>
    <w:p w14:paraId="4EAE8DD9" w14:textId="77777777" w:rsidR="004B607F" w:rsidRPr="00117EAE" w:rsidRDefault="004B607F" w:rsidP="004B0475">
      <w:pPr>
        <w:pStyle w:val="ac"/>
        <w:numPr>
          <w:ilvl w:val="0"/>
          <w:numId w:val="84"/>
        </w:numPr>
        <w:rPr>
          <w:rFonts w:cs="Arial"/>
        </w:rPr>
      </w:pPr>
      <w:r>
        <w:rPr>
          <w:rFonts w:cs="Arial" w:hint="cs"/>
          <w:rtl/>
        </w:rPr>
        <w:t>ר"ת</w:t>
      </w:r>
      <w:r>
        <w:rPr>
          <w:rStyle w:val="ab"/>
          <w:rFonts w:cs="Arial"/>
          <w:rtl/>
        </w:rPr>
        <w:footnoteReference w:id="1645"/>
      </w:r>
      <w:r>
        <w:rPr>
          <w:rFonts w:cs="Arial" w:hint="cs"/>
          <w:rtl/>
        </w:rPr>
        <w:t xml:space="preserve"> </w:t>
      </w:r>
      <w:r w:rsidRPr="00C01040">
        <w:rPr>
          <w:rFonts w:cs="Arial" w:hint="cs"/>
          <w:sz w:val="16"/>
          <w:szCs w:val="16"/>
          <w:rtl/>
        </w:rPr>
        <w:t>(</w:t>
      </w:r>
      <w:r>
        <w:rPr>
          <w:rFonts w:cs="Arial" w:hint="cs"/>
          <w:sz w:val="16"/>
          <w:szCs w:val="16"/>
          <w:rtl/>
        </w:rPr>
        <w:t>כ"כ בשמו התוס' [</w:t>
      </w:r>
      <w:r w:rsidRPr="00C01040">
        <w:rPr>
          <w:rFonts w:cs="Arial"/>
          <w:sz w:val="16"/>
          <w:szCs w:val="16"/>
          <w:rtl/>
        </w:rPr>
        <w:t>סנהדרין ח: ד"ה והביא</w:t>
      </w:r>
      <w:r>
        <w:rPr>
          <w:rFonts w:cs="Arial" w:hint="cs"/>
          <w:sz w:val="16"/>
          <w:szCs w:val="16"/>
          <w:rtl/>
        </w:rPr>
        <w:t>]</w:t>
      </w:r>
      <w:r w:rsidRPr="00C01040">
        <w:rPr>
          <w:rFonts w:cs="Arial"/>
          <w:sz w:val="16"/>
          <w:szCs w:val="16"/>
          <w:rtl/>
        </w:rPr>
        <w:t>)</w:t>
      </w:r>
      <w:r w:rsidRPr="00D41B7D">
        <w:rPr>
          <w:rFonts w:cs="Arial" w:hint="cs"/>
          <w:rtl/>
        </w:rPr>
        <w:t xml:space="preserve"> </w:t>
      </w:r>
      <w:r>
        <w:rPr>
          <w:rFonts w:cs="Arial" w:hint="cs"/>
          <w:rtl/>
        </w:rPr>
        <w:t>ורא"ש</w:t>
      </w:r>
      <w:r>
        <w:rPr>
          <w:rStyle w:val="ab"/>
          <w:rFonts w:cs="Arial"/>
          <w:rtl/>
        </w:rPr>
        <w:footnoteReference w:id="1646"/>
      </w:r>
      <w:r>
        <w:rPr>
          <w:rFonts w:cs="Arial" w:hint="cs"/>
          <w:rtl/>
        </w:rPr>
        <w:t xml:space="preserve"> </w:t>
      </w:r>
      <w:r>
        <w:rPr>
          <w:rFonts w:cs="Arial" w:hint="cs"/>
          <w:sz w:val="16"/>
          <w:szCs w:val="16"/>
          <w:rtl/>
        </w:rPr>
        <w:t>(כלל מו סי' א)</w:t>
      </w:r>
      <w:r>
        <w:rPr>
          <w:rFonts w:cs="Arial" w:hint="cs"/>
          <w:rtl/>
        </w:rPr>
        <w:t xml:space="preserve">- </w:t>
      </w:r>
      <w:r w:rsidRPr="00E406FF">
        <w:rPr>
          <w:rFonts w:cs="Arial"/>
          <w:rtl/>
        </w:rPr>
        <w:t>לאסרה על בעלה צריכים העדים דרישה וחקירה</w:t>
      </w:r>
      <w:r>
        <w:rPr>
          <w:rStyle w:val="ab"/>
          <w:rFonts w:cs="Arial"/>
          <w:rtl/>
        </w:rPr>
        <w:footnoteReference w:id="1647"/>
      </w:r>
      <w:r>
        <w:rPr>
          <w:rFonts w:cs="Arial" w:hint="cs"/>
          <w:rtl/>
        </w:rPr>
        <w:t>.</w:t>
      </w:r>
      <w:r w:rsidRPr="00E406FF">
        <w:rPr>
          <w:rFonts w:cs="Arial"/>
          <w:rtl/>
        </w:rPr>
        <w:t xml:space="preserve"> </w:t>
      </w:r>
      <w:r w:rsidRPr="00E406FF">
        <w:rPr>
          <w:rFonts w:cs="Arial" w:hint="cs"/>
          <w:color w:val="E36C0A" w:themeColor="accent6" w:themeShade="BF"/>
          <w:rtl/>
        </w:rPr>
        <w:t>(וכ"</w:t>
      </w:r>
      <w:r>
        <w:rPr>
          <w:rFonts w:cs="Arial" w:hint="cs"/>
          <w:color w:val="E36C0A" w:themeColor="accent6" w:themeShade="BF"/>
          <w:rtl/>
        </w:rPr>
        <w:t>ס</w:t>
      </w:r>
      <w:r w:rsidRPr="00E406FF">
        <w:rPr>
          <w:rFonts w:cs="Arial" w:hint="cs"/>
          <w:color w:val="E36C0A" w:themeColor="accent6" w:themeShade="BF"/>
          <w:rtl/>
        </w:rPr>
        <w:t xml:space="preserve"> בשו"ע</w:t>
      </w:r>
      <w:r>
        <w:rPr>
          <w:rFonts w:cs="Arial" w:hint="cs"/>
          <w:color w:val="E36C0A" w:themeColor="accent6" w:themeShade="BF"/>
          <w:rtl/>
        </w:rPr>
        <w:t xml:space="preserve"> </w:t>
      </w:r>
      <w:r w:rsidRPr="00386E6C">
        <w:rPr>
          <w:rFonts w:cs="Arial" w:hint="cs"/>
          <w:sz w:val="16"/>
          <w:szCs w:val="16"/>
          <w:rtl/>
        </w:rPr>
        <w:t>[אעה"ז סי' יא ס"ד]</w:t>
      </w:r>
      <w:r w:rsidRPr="00E406FF">
        <w:rPr>
          <w:rFonts w:cs="Arial" w:hint="cs"/>
          <w:color w:val="E36C0A" w:themeColor="accent6" w:themeShade="BF"/>
          <w:rtl/>
        </w:rPr>
        <w:t>)</w:t>
      </w:r>
    </w:p>
    <w:p w14:paraId="1984A41D" w14:textId="77777777" w:rsidR="004B607F" w:rsidRPr="003024E5" w:rsidRDefault="004B607F" w:rsidP="004B607F">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10989DB1" w14:textId="77777777" w:rsidR="004B607F" w:rsidRDefault="004B607F" w:rsidP="004B607F">
      <w:pPr>
        <w:rPr>
          <w:rtl/>
        </w:rPr>
      </w:pPr>
      <w:r>
        <w:rPr>
          <w:rFonts w:cs="Arial"/>
          <w:rtl/>
        </w:rPr>
        <w:lastRenderedPageBreak/>
        <w:t>עידי דיני ממונות חוץ מעידי חבלות אינם צריכים דרישה וחקירה</w:t>
      </w:r>
      <w:r>
        <w:rPr>
          <w:rStyle w:val="ab"/>
          <w:rFonts w:cs="Arial"/>
          <w:rtl/>
        </w:rPr>
        <w:footnoteReference w:id="1648"/>
      </w:r>
      <w:r>
        <w:rPr>
          <w:rFonts w:cs="Arial"/>
          <w:rtl/>
        </w:rPr>
        <w:t>. כיצד, אמרו העדים: בפנינו הלוה זה את זה מנה בשנה פלונית, אף על פי שלא כיונו החדש</w:t>
      </w:r>
      <w:r>
        <w:rPr>
          <w:rStyle w:val="ab"/>
          <w:rFonts w:cs="Arial"/>
          <w:rtl/>
        </w:rPr>
        <w:footnoteReference w:id="1649"/>
      </w:r>
      <w:r>
        <w:rPr>
          <w:rFonts w:cs="Arial"/>
          <w:rtl/>
        </w:rPr>
        <w:t xml:space="preserve"> ולא המקום שהלוה בו ולא המנה אם היה ממטבע פלונית או ממטבע פלונית</w:t>
      </w:r>
      <w:r>
        <w:rPr>
          <w:rFonts w:cs="Arial" w:hint="cs"/>
          <w:rtl/>
        </w:rPr>
        <w:t>,</w:t>
      </w:r>
      <w:r>
        <w:rPr>
          <w:rFonts w:cs="Arial"/>
          <w:rtl/>
        </w:rPr>
        <w:t xml:space="preserve"> עדותן קיימת. ואם נראה לדיין שהדין מרומה, צריך דרישה וחקירה להוציא הדין לאמתו. </w:t>
      </w:r>
      <w:r w:rsidRPr="006C380F">
        <w:rPr>
          <w:rFonts w:cs="Arial"/>
          <w:sz w:val="18"/>
          <w:szCs w:val="18"/>
          <w:rtl/>
        </w:rPr>
        <w:t>הגה: עיין לעיל סימן ט"ו</w:t>
      </w:r>
      <w:r>
        <w:rPr>
          <w:rFonts w:cs="Arial" w:hint="cs"/>
          <w:sz w:val="18"/>
          <w:szCs w:val="18"/>
          <w:rtl/>
        </w:rPr>
        <w:t>.</w:t>
      </w:r>
      <w:r w:rsidRPr="006C380F">
        <w:rPr>
          <w:rFonts w:cs="Arial"/>
          <w:sz w:val="18"/>
          <w:szCs w:val="18"/>
          <w:rtl/>
        </w:rPr>
        <w:t xml:space="preserve"> ועדים המעידים על  דבר איסור עיין ב</w:t>
      </w:r>
      <w:r>
        <w:rPr>
          <w:rFonts w:cs="Arial" w:hint="cs"/>
          <w:sz w:val="18"/>
          <w:szCs w:val="18"/>
          <w:rtl/>
        </w:rPr>
        <w:t>א</w:t>
      </w:r>
      <w:r w:rsidRPr="006C380F">
        <w:rPr>
          <w:rFonts w:cs="Arial"/>
          <w:sz w:val="18"/>
          <w:szCs w:val="18"/>
          <w:rtl/>
        </w:rPr>
        <w:t>הע</w:t>
      </w:r>
      <w:r>
        <w:rPr>
          <w:rFonts w:cs="Arial" w:hint="cs"/>
          <w:sz w:val="18"/>
          <w:szCs w:val="18"/>
          <w:rtl/>
        </w:rPr>
        <w:t>"</w:t>
      </w:r>
      <w:r w:rsidRPr="006C380F">
        <w:rPr>
          <w:rFonts w:cs="Arial"/>
          <w:sz w:val="18"/>
          <w:szCs w:val="18"/>
          <w:rtl/>
        </w:rPr>
        <w:t>ז סימן י"ז סעיף כ"א וסימן מ"ב סעיף ד' אם בעינן דרישה וחקירה וסימן י"א סעיף ד'</w:t>
      </w:r>
      <w:r>
        <w:rPr>
          <w:rStyle w:val="ab"/>
          <w:rFonts w:cs="Arial"/>
          <w:sz w:val="18"/>
          <w:szCs w:val="18"/>
          <w:rtl/>
        </w:rPr>
        <w:footnoteReference w:id="1650"/>
      </w:r>
      <w:r w:rsidRPr="006C380F">
        <w:rPr>
          <w:rFonts w:cs="Arial"/>
          <w:sz w:val="18"/>
          <w:szCs w:val="18"/>
          <w:rtl/>
        </w:rPr>
        <w:t>.</w:t>
      </w:r>
      <w:r>
        <w:rPr>
          <w:rFonts w:cs="Arial"/>
          <w:rtl/>
        </w:rPr>
        <w:t xml:space="preserve"> </w:t>
      </w:r>
    </w:p>
    <w:p w14:paraId="49E648C5" w14:textId="77777777" w:rsidR="004B607F" w:rsidRDefault="004B607F" w:rsidP="004B607F">
      <w:pPr>
        <w:rPr>
          <w:rtl/>
        </w:rPr>
      </w:pPr>
    </w:p>
    <w:p w14:paraId="2282939F" w14:textId="77777777" w:rsidR="004B607F" w:rsidRDefault="004B607F" w:rsidP="004B607F">
      <w:pPr>
        <w:pStyle w:val="2"/>
        <w:rPr>
          <w:rtl/>
        </w:rPr>
      </w:pPr>
      <w:bookmarkStart w:id="233" w:name="_Toc24883707"/>
      <w:r>
        <w:rPr>
          <w:rtl/>
        </w:rPr>
        <w:t>סעיף ב</w:t>
      </w:r>
      <w:r>
        <w:rPr>
          <w:rFonts w:hint="cs"/>
          <w:rtl/>
        </w:rPr>
        <w:t>: עדות המכחשת זו את זו בבדיקות דרישות וחקירות.</w:t>
      </w:r>
      <w:bookmarkEnd w:id="233"/>
    </w:p>
    <w:p w14:paraId="0665FD60" w14:textId="77777777" w:rsidR="004B607F" w:rsidRPr="0072295C" w:rsidRDefault="004B607F" w:rsidP="004B607F">
      <w:pPr>
        <w:rPr>
          <w:rFonts w:cs="Arial"/>
          <w:sz w:val="16"/>
          <w:szCs w:val="16"/>
          <w:rtl/>
        </w:rPr>
      </w:pPr>
      <w:r>
        <w:rPr>
          <w:rFonts w:cs="Arial" w:hint="cs"/>
          <w:b/>
          <w:bCs/>
          <w:rtl/>
        </w:rPr>
        <w:t xml:space="preserve">סנהדרין </w:t>
      </w:r>
      <w:r w:rsidRPr="005E6F2C">
        <w:rPr>
          <w:rFonts w:cs="Arial" w:hint="cs"/>
          <w:b/>
          <w:bCs/>
          <w:sz w:val="16"/>
          <w:szCs w:val="16"/>
          <w:rtl/>
        </w:rPr>
        <w:t>(</w:t>
      </w:r>
      <w:r>
        <w:rPr>
          <w:rFonts w:cs="Arial" w:hint="cs"/>
          <w:b/>
          <w:bCs/>
          <w:sz w:val="16"/>
          <w:szCs w:val="16"/>
          <w:rtl/>
        </w:rPr>
        <w:t>ר"פ היו בודקין</w:t>
      </w:r>
      <w:r w:rsidRPr="005E6F2C">
        <w:rPr>
          <w:rFonts w:cs="Arial" w:hint="cs"/>
          <w:b/>
          <w:bCs/>
          <w:sz w:val="16"/>
          <w:szCs w:val="16"/>
          <w:rtl/>
        </w:rPr>
        <w:t xml:space="preserve">) </w:t>
      </w:r>
      <w:r>
        <w:rPr>
          <w:rFonts w:cs="Arial" w:hint="cs"/>
          <w:b/>
          <w:bCs/>
          <w:rtl/>
        </w:rPr>
        <w:t>מ</w:t>
      </w:r>
      <w:r>
        <w:rPr>
          <w:rStyle w:val="ab"/>
          <w:rFonts w:cs="Arial"/>
          <w:b/>
          <w:bCs/>
          <w:rtl/>
        </w:rPr>
        <w:footnoteReference w:id="1651"/>
      </w:r>
      <w:r>
        <w:rPr>
          <w:rFonts w:cs="Arial" w:hint="cs"/>
          <w:b/>
          <w:bCs/>
          <w:rtl/>
        </w:rPr>
        <w:t xml:space="preserve"> ע"א: </w:t>
      </w:r>
      <w:r w:rsidRPr="0072295C">
        <w:rPr>
          <w:rFonts w:cs="Arial"/>
          <w:u w:val="double"/>
          <w:rtl/>
        </w:rPr>
        <w:t>משנה</w:t>
      </w:r>
      <w:r w:rsidRPr="0072295C">
        <w:rPr>
          <w:rFonts w:cs="Arial" w:hint="cs"/>
          <w:u w:val="double"/>
          <w:rtl/>
        </w:rPr>
        <w:t>:</w:t>
      </w:r>
      <w:r w:rsidRPr="0072295C">
        <w:rPr>
          <w:rFonts w:cs="Arial"/>
          <w:rtl/>
        </w:rPr>
        <w:t xml:space="preserve"> היו בודקין אותן בשבע חקירות: באיזו שבוע, באיזו שנה, באיזו חודש, בכמה בחדש, באיזה יום, באיזה שעה, באיזה מקום. </w:t>
      </w:r>
      <w:r>
        <w:rPr>
          <w:rFonts w:cs="Arial" w:hint="cs"/>
          <w:rtl/>
        </w:rPr>
        <w:t xml:space="preserve">     </w:t>
      </w:r>
      <w:r>
        <w:rPr>
          <w:rFonts w:cs="Arial" w:hint="cs"/>
          <w:u w:val="double"/>
          <w:rtl/>
        </w:rPr>
        <w:t>גמרא</w:t>
      </w:r>
      <w:r w:rsidRPr="0072295C">
        <w:rPr>
          <w:rFonts w:cs="Arial" w:hint="cs"/>
          <w:u w:val="double"/>
          <w:rtl/>
        </w:rPr>
        <w:t>:</w:t>
      </w:r>
      <w:r>
        <w:rPr>
          <w:rFonts w:cs="Arial" w:hint="cs"/>
          <w:rtl/>
        </w:rPr>
        <w:t xml:space="preserve"> </w:t>
      </w:r>
      <w:r w:rsidRPr="0072295C">
        <w:rPr>
          <w:rFonts w:cs="Arial"/>
          <w:rtl/>
        </w:rPr>
        <w:t xml:space="preserve">כל המרבה בבדיקות - הרי זה משובח. מעשה ובדק בן זכאי בעוקצי תאנים. מה בין חקירות לבדיקות? חקירות, אחד אומר איני יודע - עדותן בטילה. בדיקות, אחד אומר איני יודע, ואפילו שנים אומרים אין אנו יודעין - עדותן קיימת. אחד חקירות ואחד בדיקות, בזמן שמכחישין זה את זה - עדותן בטילה. אחד אומר בשנים בחדש ואחד אומר בשלשה בחדש - עדותן קיימת, שזה יודע בעיבורו של חדש וזה אינו יודע בעיבורו של חדש. זה אומר בשלשה ואחד אומר בחמשה - עדותן בטילה. אחד אומר בשתי שעות ואחד אומר בשלש שעות - עדותן קיימת. אחד אומר בשלש ואחד אומר בחמש - עדותן בטילה. </w:t>
      </w:r>
      <w:r w:rsidRPr="00B66951">
        <w:rPr>
          <w:rFonts w:cs="Arial"/>
          <w:u w:val="single"/>
          <w:rtl/>
        </w:rPr>
        <w:t>רבי יהודה אומר</w:t>
      </w:r>
      <w:r w:rsidRPr="0072295C">
        <w:rPr>
          <w:rFonts w:cs="Arial"/>
          <w:rtl/>
        </w:rPr>
        <w:t>: קיימת. אחד אומר בחמש ואחד אומר בשבע - עדותן בטילה, שבחמש חמה במזרח ובשבע חמה במערב.</w:t>
      </w:r>
      <w:r>
        <w:rPr>
          <w:rFonts w:cs="Arial" w:hint="cs"/>
          <w:rtl/>
        </w:rPr>
        <w:t xml:space="preserve"> </w:t>
      </w:r>
      <w:r w:rsidRPr="0072295C">
        <w:rPr>
          <w:rFonts w:cs="Arial" w:hint="cs"/>
          <w:sz w:val="16"/>
          <w:szCs w:val="16"/>
          <w:rtl/>
        </w:rPr>
        <w:t>(וכ"פ הרמב"ם</w:t>
      </w:r>
      <w:r w:rsidRPr="0072295C">
        <w:rPr>
          <w:sz w:val="16"/>
          <w:szCs w:val="16"/>
          <w:rtl/>
        </w:rPr>
        <w:t xml:space="preserve"> </w:t>
      </w:r>
      <w:r w:rsidRPr="00715D6B">
        <w:rPr>
          <w:rFonts w:cs="Arial" w:hint="cs"/>
          <w:sz w:val="16"/>
          <w:szCs w:val="16"/>
          <w:rtl/>
        </w:rPr>
        <w:t>(</w:t>
      </w:r>
      <w:r w:rsidRPr="00715D6B">
        <w:rPr>
          <w:rFonts w:cs="Arial"/>
          <w:sz w:val="16"/>
          <w:szCs w:val="16"/>
          <w:rtl/>
        </w:rPr>
        <w:t>פ</w:t>
      </w:r>
      <w:r w:rsidRPr="00715D6B">
        <w:rPr>
          <w:rFonts w:cs="Arial" w:hint="cs"/>
          <w:sz w:val="16"/>
          <w:szCs w:val="16"/>
          <w:rtl/>
        </w:rPr>
        <w:t>"א</w:t>
      </w:r>
      <w:r w:rsidRPr="00715D6B">
        <w:rPr>
          <w:rFonts w:cs="Arial"/>
          <w:sz w:val="16"/>
          <w:szCs w:val="16"/>
          <w:rtl/>
        </w:rPr>
        <w:t xml:space="preserve"> מהל</w:t>
      </w:r>
      <w:r w:rsidRPr="00715D6B">
        <w:rPr>
          <w:rFonts w:cs="Arial" w:hint="cs"/>
          <w:sz w:val="16"/>
          <w:szCs w:val="16"/>
          <w:rtl/>
        </w:rPr>
        <w:t>'</w:t>
      </w:r>
      <w:r w:rsidRPr="00715D6B">
        <w:rPr>
          <w:rFonts w:cs="Arial"/>
          <w:sz w:val="16"/>
          <w:szCs w:val="16"/>
          <w:rtl/>
        </w:rPr>
        <w:t xml:space="preserve"> עדות ה"ד)</w:t>
      </w:r>
      <w:r>
        <w:rPr>
          <w:rFonts w:cs="Arial" w:hint="cs"/>
          <w:sz w:val="16"/>
          <w:szCs w:val="16"/>
          <w:rtl/>
        </w:rPr>
        <w:t xml:space="preserve"> וז"ל-</w:t>
      </w:r>
      <w:r w:rsidRPr="00715D6B">
        <w:rPr>
          <w:rFonts w:cs="Arial"/>
          <w:sz w:val="16"/>
          <w:szCs w:val="16"/>
          <w:rtl/>
        </w:rPr>
        <w:t xml:space="preserve"> </w:t>
      </w:r>
      <w:r w:rsidRPr="0072295C">
        <w:rPr>
          <w:rFonts w:cs="Arial"/>
          <w:sz w:val="16"/>
          <w:szCs w:val="16"/>
          <w:rtl/>
        </w:rPr>
        <w:t>בשבע חקירות בודקין אותם, באי זו שבוע, באי זו שנה, באי זה חדש, בכמה בחדש, באי זה יום מימי השבת, ובכמה שעות ביום, ובאי זה מקום</w:t>
      </w:r>
      <w:r>
        <w:rPr>
          <w:rFonts w:cs="Arial" w:hint="cs"/>
          <w:sz w:val="16"/>
          <w:szCs w:val="16"/>
          <w:rtl/>
        </w:rPr>
        <w:t>.</w:t>
      </w:r>
      <w:r w:rsidRPr="0072295C">
        <w:rPr>
          <w:rFonts w:cs="Arial"/>
          <w:sz w:val="16"/>
          <w:szCs w:val="16"/>
          <w:rtl/>
        </w:rPr>
        <w:t xml:space="preserve"> </w:t>
      </w:r>
      <w:r>
        <w:rPr>
          <w:rFonts w:cs="Arial" w:hint="cs"/>
          <w:sz w:val="16"/>
          <w:szCs w:val="16"/>
          <w:rtl/>
        </w:rPr>
        <w:t xml:space="preserve">עכ"ל. כלומר, </w:t>
      </w:r>
      <w:r w:rsidRPr="00E56E85">
        <w:rPr>
          <w:rFonts w:cs="Arial"/>
          <w:sz w:val="16"/>
          <w:szCs w:val="16"/>
          <w:rtl/>
        </w:rPr>
        <w:t>כגון שאחד אומר באחד בחדש ואחד אומר בשלשה</w:t>
      </w:r>
      <w:r w:rsidRPr="00E56E85">
        <w:rPr>
          <w:rFonts w:cs="Arial" w:hint="cs"/>
          <w:sz w:val="16"/>
          <w:szCs w:val="16"/>
          <w:rtl/>
        </w:rPr>
        <w:t>,</w:t>
      </w:r>
      <w:r w:rsidRPr="00E56E85">
        <w:rPr>
          <w:rFonts w:cs="Arial"/>
          <w:sz w:val="16"/>
          <w:szCs w:val="16"/>
          <w:rtl/>
        </w:rPr>
        <w:t xml:space="preserve"> או אחד אומר בשעה אחת ביום ואחד אומר בשלש</w:t>
      </w:r>
      <w:r w:rsidRPr="00E56E85">
        <w:rPr>
          <w:rFonts w:cs="Arial" w:hint="cs"/>
          <w:sz w:val="16"/>
          <w:szCs w:val="16"/>
          <w:rtl/>
        </w:rPr>
        <w:t>,</w:t>
      </w:r>
      <w:r w:rsidRPr="00E56E85">
        <w:rPr>
          <w:rFonts w:cs="Arial"/>
          <w:sz w:val="16"/>
          <w:szCs w:val="16"/>
          <w:rtl/>
        </w:rPr>
        <w:t xml:space="preserve"> אבל אחד אמר בשעה אחת ביום ואחד אומר בשתים </w:t>
      </w:r>
      <w:r w:rsidRPr="00E56E85">
        <w:rPr>
          <w:rFonts w:cs="Arial" w:hint="cs"/>
          <w:sz w:val="16"/>
          <w:szCs w:val="16"/>
          <w:rtl/>
        </w:rPr>
        <w:t xml:space="preserve">- </w:t>
      </w:r>
      <w:r w:rsidRPr="00E56E85">
        <w:rPr>
          <w:rFonts w:cs="Arial"/>
          <w:sz w:val="16"/>
          <w:szCs w:val="16"/>
          <w:rtl/>
        </w:rPr>
        <w:t>עדותן קיימת</w:t>
      </w:r>
      <w:r w:rsidRPr="00E56E85">
        <w:rPr>
          <w:rFonts w:cs="Arial" w:hint="cs"/>
          <w:sz w:val="16"/>
          <w:szCs w:val="16"/>
          <w:rtl/>
        </w:rPr>
        <w:t>,</w:t>
      </w:r>
      <w:r w:rsidRPr="00E56E85">
        <w:rPr>
          <w:rFonts w:cs="Arial"/>
          <w:sz w:val="16"/>
          <w:szCs w:val="16"/>
          <w:rtl/>
        </w:rPr>
        <w:t xml:space="preserve"> דעבידי אינשי דטעי בהכי</w:t>
      </w:r>
      <w:r w:rsidRPr="00E56E85">
        <w:rPr>
          <w:rFonts w:cs="Arial" w:hint="cs"/>
          <w:sz w:val="16"/>
          <w:szCs w:val="16"/>
          <w:rtl/>
        </w:rPr>
        <w:t>.</w:t>
      </w:r>
      <w:r w:rsidRPr="00E56E85">
        <w:rPr>
          <w:rFonts w:cs="Arial"/>
          <w:sz w:val="16"/>
          <w:szCs w:val="16"/>
          <w:rtl/>
        </w:rPr>
        <w:t xml:space="preserve"> וכן אחד אומר בשנים בחדש ואחד אומר בשלשה </w:t>
      </w:r>
      <w:r w:rsidRPr="00E56E85">
        <w:rPr>
          <w:rFonts w:cs="Arial" w:hint="cs"/>
          <w:sz w:val="16"/>
          <w:szCs w:val="16"/>
          <w:rtl/>
        </w:rPr>
        <w:t xml:space="preserve">- </w:t>
      </w:r>
      <w:r w:rsidRPr="00E56E85">
        <w:rPr>
          <w:rFonts w:cs="Arial"/>
          <w:sz w:val="16"/>
          <w:szCs w:val="16"/>
          <w:rtl/>
        </w:rPr>
        <w:t>עדותן קיימת</w:t>
      </w:r>
      <w:r w:rsidRPr="00E56E85">
        <w:rPr>
          <w:rFonts w:cs="Arial" w:hint="cs"/>
          <w:sz w:val="16"/>
          <w:szCs w:val="16"/>
          <w:rtl/>
        </w:rPr>
        <w:t>,</w:t>
      </w:r>
      <w:r w:rsidRPr="00E56E85">
        <w:rPr>
          <w:rFonts w:cs="Arial"/>
          <w:sz w:val="16"/>
          <w:szCs w:val="16"/>
          <w:rtl/>
        </w:rPr>
        <w:t xml:space="preserve"> שזה ידע בעיבורו של חדש וזה לא ידע</w:t>
      </w:r>
      <w:r w:rsidRPr="00E56E85">
        <w:rPr>
          <w:rFonts w:cs="Arial" w:hint="cs"/>
          <w:sz w:val="16"/>
          <w:szCs w:val="16"/>
          <w:rtl/>
        </w:rPr>
        <w:t>.</w:t>
      </w:r>
      <w:r w:rsidRPr="00E56E85">
        <w:rPr>
          <w:rFonts w:cs="Arial"/>
          <w:sz w:val="16"/>
          <w:szCs w:val="16"/>
          <w:rtl/>
        </w:rPr>
        <w:t xml:space="preserve"> והוא שכיוונו יום מימי השבת</w:t>
      </w:r>
      <w:r w:rsidRPr="00E56E85">
        <w:rPr>
          <w:rFonts w:cs="Arial" w:hint="cs"/>
          <w:sz w:val="16"/>
          <w:szCs w:val="16"/>
          <w:rtl/>
        </w:rPr>
        <w:t>.</w:t>
      </w:r>
      <w:r w:rsidRPr="00E56E85">
        <w:rPr>
          <w:rFonts w:cs="Arial"/>
          <w:sz w:val="16"/>
          <w:szCs w:val="16"/>
          <w:rtl/>
        </w:rPr>
        <w:t xml:space="preserve"> וזהו עד חצות החדש אבל אחר חצות החדש כגון זה אומר בי"ו וזה אומר בי"ז אע</w:t>
      </w:r>
      <w:r w:rsidRPr="00E56E85">
        <w:rPr>
          <w:rFonts w:cs="Arial" w:hint="cs"/>
          <w:sz w:val="16"/>
          <w:szCs w:val="16"/>
          <w:rtl/>
        </w:rPr>
        <w:t>"</w:t>
      </w:r>
      <w:r w:rsidRPr="00E56E85">
        <w:rPr>
          <w:rFonts w:cs="Arial"/>
          <w:sz w:val="16"/>
          <w:szCs w:val="16"/>
          <w:rtl/>
        </w:rPr>
        <w:t>פ שכיוונו שניהם יום אחד מימי השבת עדותן בטלה</w:t>
      </w:r>
      <w:r w:rsidRPr="00E56E85">
        <w:rPr>
          <w:rFonts w:cs="Arial" w:hint="cs"/>
          <w:sz w:val="16"/>
          <w:szCs w:val="16"/>
          <w:rtl/>
        </w:rPr>
        <w:t>,</w:t>
      </w:r>
      <w:r w:rsidRPr="00E56E85">
        <w:rPr>
          <w:rFonts w:cs="Arial"/>
          <w:sz w:val="16"/>
          <w:szCs w:val="16"/>
          <w:rtl/>
        </w:rPr>
        <w:t xml:space="preserve"> שכיון שבא חצות החדש א</w:t>
      </w:r>
      <w:r w:rsidRPr="00E56E85">
        <w:rPr>
          <w:rFonts w:cs="Arial" w:hint="cs"/>
          <w:sz w:val="16"/>
          <w:szCs w:val="16"/>
          <w:rtl/>
        </w:rPr>
        <w:t>"</w:t>
      </w:r>
      <w:r w:rsidRPr="00E56E85">
        <w:rPr>
          <w:rFonts w:cs="Arial"/>
          <w:sz w:val="16"/>
          <w:szCs w:val="16"/>
          <w:rtl/>
        </w:rPr>
        <w:t>א שלא ידעו העולם אימתי היה ראש חדש. ואם עד אחד אומר קודם הנץ החמה ואחד אומר בהנץ החמה עדותן בטלה אע</w:t>
      </w:r>
      <w:r w:rsidRPr="00E56E85">
        <w:rPr>
          <w:rFonts w:cs="Arial" w:hint="cs"/>
          <w:sz w:val="16"/>
          <w:szCs w:val="16"/>
          <w:rtl/>
        </w:rPr>
        <w:t>"</w:t>
      </w:r>
      <w:r w:rsidRPr="00E56E85">
        <w:rPr>
          <w:rFonts w:cs="Arial"/>
          <w:sz w:val="16"/>
          <w:szCs w:val="16"/>
          <w:rtl/>
        </w:rPr>
        <w:t>פ שהוא שעה אחת שהדבר ניכר לכל</w:t>
      </w:r>
      <w:r w:rsidRPr="00E56E85">
        <w:rPr>
          <w:rFonts w:cs="Arial" w:hint="cs"/>
          <w:sz w:val="16"/>
          <w:szCs w:val="16"/>
          <w:rtl/>
        </w:rPr>
        <w:t>,</w:t>
      </w:r>
      <w:r w:rsidRPr="00E56E85">
        <w:rPr>
          <w:rFonts w:cs="Arial"/>
          <w:sz w:val="16"/>
          <w:szCs w:val="16"/>
          <w:rtl/>
        </w:rPr>
        <w:t xml:space="preserve"> וכן אם נחלקו בשקיעתה</w:t>
      </w:r>
      <w:r w:rsidRPr="00E56E85">
        <w:rPr>
          <w:rStyle w:val="ab"/>
          <w:rFonts w:cs="Arial"/>
          <w:sz w:val="16"/>
          <w:szCs w:val="16"/>
          <w:rtl/>
        </w:rPr>
        <w:footnoteReference w:id="1652"/>
      </w:r>
      <w:r>
        <w:rPr>
          <w:rFonts w:cs="Arial" w:hint="cs"/>
          <w:sz w:val="16"/>
          <w:szCs w:val="16"/>
          <w:rtl/>
        </w:rPr>
        <w:t xml:space="preserve">, ב"י. וכתב עוד הרמב"ם (ה"ו)- </w:t>
      </w:r>
      <w:r w:rsidRPr="0072295C">
        <w:rPr>
          <w:rFonts w:cs="Arial"/>
          <w:sz w:val="16"/>
          <w:szCs w:val="16"/>
          <w:rtl/>
        </w:rPr>
        <w:t>ועוד מרבין לבדוק העדים בדברים שאינן עיקר בעדות ואינה תלויה בהם, והם הנקראים בדיקות וכל המרבה בבדיקות הרי זה משובח, כיצד הן הבדיקות הרי שהעידו עליו שהרג ונחקרו בשבע חקירות שמנינו, שהן בכוונת הזמן וכוונת המקום, ונדרשו בכוונת המעשה וכוונו המעשה וכוונו הכלי שהרגו בו, בודקין אותן עוד ואומרים להן מה היה לבוש הנהרג או ההורג, בגדים לבנים או שחורים, עפר הארץ שנהרג עליה לבן או אדום, אלו וכיוצא בהן הם הבדיקות, מעשה שאמרו העדים הרגו במקום פלוני תחת התאנה ובדקו העדים ואמרו להם תאנים שלה שחורות היו או לבנות עוקצין של אותם התאנים ארוכות היו או קצרות, וכל המרבה בבדיקות וכיוצא בהן הרי זה משובח</w:t>
      </w:r>
      <w:r>
        <w:rPr>
          <w:rFonts w:cs="Arial" w:hint="cs"/>
          <w:sz w:val="16"/>
          <w:szCs w:val="16"/>
          <w:rtl/>
        </w:rPr>
        <w:t>. עכ"ל)</w:t>
      </w:r>
    </w:p>
    <w:p w14:paraId="11B611B6" w14:textId="77777777" w:rsidR="004B607F" w:rsidRDefault="004B607F" w:rsidP="004B607F">
      <w:pPr>
        <w:rPr>
          <w:rFonts w:cs="Arial"/>
          <w:rtl/>
        </w:rPr>
      </w:pPr>
      <w:r>
        <w:rPr>
          <w:rFonts w:cs="Arial" w:hint="cs"/>
          <w:b/>
          <w:bCs/>
          <w:rtl/>
        </w:rPr>
        <w:t xml:space="preserve">סנהדרין </w:t>
      </w:r>
      <w:r w:rsidRPr="005E6F2C">
        <w:rPr>
          <w:rFonts w:cs="Arial" w:hint="cs"/>
          <w:b/>
          <w:bCs/>
          <w:sz w:val="16"/>
          <w:szCs w:val="16"/>
          <w:rtl/>
        </w:rPr>
        <w:t>(</w:t>
      </w:r>
      <w:r>
        <w:rPr>
          <w:rFonts w:cs="Arial" w:hint="cs"/>
          <w:b/>
          <w:bCs/>
          <w:sz w:val="16"/>
          <w:szCs w:val="16"/>
          <w:rtl/>
        </w:rPr>
        <w:t>פרק זה בורר</w:t>
      </w:r>
      <w:r w:rsidRPr="005E6F2C">
        <w:rPr>
          <w:rFonts w:cs="Arial" w:hint="cs"/>
          <w:b/>
          <w:bCs/>
          <w:sz w:val="16"/>
          <w:szCs w:val="16"/>
          <w:rtl/>
        </w:rPr>
        <w:t xml:space="preserve">) </w:t>
      </w:r>
      <w:r>
        <w:rPr>
          <w:rFonts w:cs="Arial" w:hint="cs"/>
          <w:b/>
          <w:bCs/>
          <w:rtl/>
        </w:rPr>
        <w:t>ל</w:t>
      </w:r>
      <w:r>
        <w:rPr>
          <w:rStyle w:val="ab"/>
          <w:rFonts w:cs="Arial"/>
          <w:b/>
          <w:bCs/>
          <w:rtl/>
        </w:rPr>
        <w:footnoteReference w:id="1653"/>
      </w:r>
      <w:r>
        <w:rPr>
          <w:rFonts w:cs="Arial" w:hint="cs"/>
          <w:b/>
          <w:bCs/>
          <w:rtl/>
        </w:rPr>
        <w:t xml:space="preserve"> ע"ב: </w:t>
      </w:r>
      <w:r w:rsidRPr="00715D6B">
        <w:rPr>
          <w:rFonts w:cs="Arial"/>
          <w:u w:val="single"/>
          <w:rtl/>
        </w:rPr>
        <w:t>אמר רב יהודה</w:t>
      </w:r>
      <w:r w:rsidRPr="00715D6B">
        <w:rPr>
          <w:rFonts w:cs="Arial"/>
          <w:rtl/>
        </w:rPr>
        <w:t>: עדות המכחשת זו את זו בבדיקות</w:t>
      </w:r>
      <w:r>
        <w:rPr>
          <w:rStyle w:val="ab"/>
          <w:rFonts w:cs="Arial"/>
          <w:rtl/>
        </w:rPr>
        <w:footnoteReference w:id="1654"/>
      </w:r>
      <w:r w:rsidRPr="00715D6B">
        <w:rPr>
          <w:rFonts w:cs="Arial"/>
          <w:rtl/>
        </w:rPr>
        <w:t xml:space="preserve"> - כשרה בדיני ממונות</w:t>
      </w:r>
      <w:r>
        <w:rPr>
          <w:rStyle w:val="ab"/>
          <w:rFonts w:cs="Arial"/>
          <w:rtl/>
        </w:rPr>
        <w:footnoteReference w:id="1655"/>
      </w:r>
      <w:r>
        <w:rPr>
          <w:rFonts w:hint="cs"/>
          <w:rtl/>
        </w:rPr>
        <w:t>.</w:t>
      </w:r>
      <w:r w:rsidRPr="003B4ABF">
        <w:rPr>
          <w:rtl/>
        </w:rPr>
        <w:t xml:space="preserve"> </w:t>
      </w:r>
      <w:r w:rsidRPr="003B4ABF">
        <w:rPr>
          <w:rFonts w:cs="Arial"/>
          <w:u w:val="single"/>
          <w:rtl/>
        </w:rPr>
        <w:t>אמר רבא:</w:t>
      </w:r>
      <w:r w:rsidRPr="003B4ABF">
        <w:rPr>
          <w:rFonts w:cs="Arial"/>
          <w:rtl/>
        </w:rPr>
        <w:t xml:space="preserve"> מסתברא מילתיה דרב יהודה באחד אומר בארנקי שחורה ואחד אומר בארנקי לבנה אבל אחד אומר מנה שחור</w:t>
      </w:r>
      <w:r>
        <w:rPr>
          <w:rStyle w:val="ab"/>
          <w:rFonts w:cs="Arial"/>
          <w:rtl/>
        </w:rPr>
        <w:footnoteReference w:id="1656"/>
      </w:r>
      <w:r w:rsidRPr="003B4ABF">
        <w:rPr>
          <w:rFonts w:cs="Arial"/>
          <w:rtl/>
        </w:rPr>
        <w:t xml:space="preserve"> ואחד אומר מנה לבן - אין מצטרפין</w:t>
      </w:r>
      <w:r>
        <w:rPr>
          <w:rStyle w:val="ab"/>
          <w:rFonts w:cs="Arial"/>
          <w:rtl/>
        </w:rPr>
        <w:footnoteReference w:id="1657"/>
      </w:r>
      <w:r w:rsidRPr="003B4ABF">
        <w:rPr>
          <w:rFonts w:cs="Arial"/>
          <w:rtl/>
        </w:rPr>
        <w:t>.</w:t>
      </w:r>
      <w:r>
        <w:rPr>
          <w:rFonts w:cs="Arial" w:hint="cs"/>
          <w:rtl/>
        </w:rPr>
        <w:t>..</w:t>
      </w:r>
      <w:r>
        <w:rPr>
          <w:rFonts w:cs="Arial" w:hint="cs"/>
          <w:sz w:val="14"/>
          <w:szCs w:val="14"/>
          <w:rtl/>
        </w:rPr>
        <w:t xml:space="preserve"> (לא.) </w:t>
      </w:r>
      <w:r w:rsidRPr="00923BBC">
        <w:rPr>
          <w:rFonts w:cs="Arial"/>
          <w:u w:val="single"/>
          <w:rtl/>
        </w:rPr>
        <w:t>נהרדעי אמרי</w:t>
      </w:r>
      <w:r w:rsidRPr="00A3299B">
        <w:rPr>
          <w:rFonts w:cs="Arial"/>
          <w:rtl/>
        </w:rPr>
        <w:t>: אפילו אחד אומר מנה שחור ואחד אומר מנה לבן - מצטרפים.</w:t>
      </w:r>
      <w:r>
        <w:rPr>
          <w:rFonts w:cs="Arial" w:hint="cs"/>
          <w:rtl/>
        </w:rPr>
        <w:t>..</w:t>
      </w:r>
      <w:r w:rsidRPr="00A3299B">
        <w:rPr>
          <w:rFonts w:cs="Arial"/>
          <w:rtl/>
        </w:rPr>
        <w:t xml:space="preserve"> הוא דאמר כי האי תנא</w:t>
      </w:r>
      <w:r>
        <w:rPr>
          <w:rStyle w:val="ab"/>
          <w:rFonts w:cs="Arial"/>
          <w:rtl/>
        </w:rPr>
        <w:footnoteReference w:id="1658"/>
      </w:r>
      <w:r>
        <w:rPr>
          <w:rFonts w:cs="Arial" w:hint="cs"/>
          <w:rtl/>
        </w:rPr>
        <w:t>,</w:t>
      </w:r>
      <w:r w:rsidRPr="00A3299B">
        <w:rPr>
          <w:rFonts w:cs="Arial"/>
          <w:rtl/>
        </w:rPr>
        <w:t xml:space="preserve"> דתניא, </w:t>
      </w:r>
      <w:r w:rsidRPr="00A3299B">
        <w:rPr>
          <w:rFonts w:cs="Arial"/>
          <w:u w:val="single"/>
          <w:rtl/>
        </w:rPr>
        <w:t>אמר רבי שמעון בן אלעזר</w:t>
      </w:r>
      <w:r w:rsidRPr="00A3299B">
        <w:rPr>
          <w:rFonts w:cs="Arial"/>
          <w:rtl/>
        </w:rPr>
        <w:t xml:space="preserve">: לא נחלקו בית שמאי ובית הלל על שתי כיתי עדים שאחת אומרת מאתים ואחת אומרת מנה - שיש בכלל מאתים מנה. על מה נחלקו - על כת אחת, </w:t>
      </w:r>
      <w:r w:rsidRPr="00A3299B">
        <w:rPr>
          <w:rFonts w:cs="Arial"/>
          <w:u w:val="single"/>
          <w:rtl/>
        </w:rPr>
        <w:t xml:space="preserve">שבית שמאי </w:t>
      </w:r>
      <w:r w:rsidRPr="00A3299B">
        <w:rPr>
          <w:rFonts w:cs="Arial"/>
          <w:u w:val="single"/>
          <w:rtl/>
        </w:rPr>
        <w:lastRenderedPageBreak/>
        <w:t>אומרים</w:t>
      </w:r>
      <w:r w:rsidRPr="00A3299B">
        <w:rPr>
          <w:rFonts w:cs="Arial"/>
          <w:rtl/>
        </w:rPr>
        <w:t>: נחלקה עדותן</w:t>
      </w:r>
      <w:r>
        <w:rPr>
          <w:rStyle w:val="ab"/>
          <w:rFonts w:cs="Arial"/>
          <w:rtl/>
        </w:rPr>
        <w:footnoteReference w:id="1659"/>
      </w:r>
      <w:r w:rsidRPr="00A3299B">
        <w:rPr>
          <w:rFonts w:cs="Arial"/>
          <w:rtl/>
        </w:rPr>
        <w:t xml:space="preserve">, </w:t>
      </w:r>
      <w:r w:rsidRPr="00A3299B">
        <w:rPr>
          <w:rFonts w:cs="Arial"/>
          <w:u w:val="single"/>
          <w:rtl/>
        </w:rPr>
        <w:t>ובית הלל אומרים</w:t>
      </w:r>
      <w:r w:rsidRPr="00A3299B">
        <w:rPr>
          <w:rFonts w:cs="Arial"/>
          <w:rtl/>
        </w:rPr>
        <w:t>: יש בכלל מאתים מנה</w:t>
      </w:r>
      <w:r>
        <w:rPr>
          <w:rStyle w:val="ab"/>
          <w:rFonts w:cs="Arial"/>
          <w:rtl/>
        </w:rPr>
        <w:footnoteReference w:id="1660"/>
      </w:r>
      <w:r w:rsidRPr="00A3299B">
        <w:rPr>
          <w:rFonts w:cs="Arial"/>
          <w:rtl/>
        </w:rPr>
        <w:t>. אחד אומר חבית של יין ואחד אומר חבית של שמן, הוה עובדא ואתי לקמיה דרבי אמי, חייביה רבי אמי לשלומי ליה חביתא דחמרא מיגו חביתא דמשחא. כמאן - כרבי שמעון בן אלעזר? אימר דאמר רבי שמעון בן אלעזר - היכא דיש בכלל מאתים מנה, כי האי גוונא</w:t>
      </w:r>
      <w:r>
        <w:rPr>
          <w:rStyle w:val="ab"/>
          <w:rFonts w:cs="Arial"/>
          <w:rtl/>
        </w:rPr>
        <w:footnoteReference w:id="1661"/>
      </w:r>
      <w:r w:rsidRPr="00A3299B">
        <w:rPr>
          <w:rFonts w:cs="Arial"/>
          <w:rtl/>
        </w:rPr>
        <w:t xml:space="preserve"> מי אמר? לא</w:t>
      </w:r>
      <w:r>
        <w:rPr>
          <w:rFonts w:cs="Arial" w:hint="cs"/>
          <w:rtl/>
        </w:rPr>
        <w:t>,</w:t>
      </w:r>
      <w:r w:rsidRPr="00A3299B">
        <w:rPr>
          <w:rFonts w:cs="Arial"/>
          <w:rtl/>
        </w:rPr>
        <w:t xml:space="preserve"> צריכא לדמי</w:t>
      </w:r>
      <w:r>
        <w:rPr>
          <w:rStyle w:val="ab"/>
          <w:rFonts w:cs="Arial"/>
          <w:rtl/>
        </w:rPr>
        <w:footnoteReference w:id="1662"/>
      </w:r>
      <w:r w:rsidRPr="00A3299B">
        <w:rPr>
          <w:rFonts w:cs="Arial"/>
          <w:rtl/>
        </w:rPr>
        <w:t>. אחד אומר בדיוטא העליונה</w:t>
      </w:r>
      <w:r>
        <w:rPr>
          <w:rStyle w:val="ab"/>
          <w:rFonts w:cs="Arial"/>
          <w:rtl/>
        </w:rPr>
        <w:footnoteReference w:id="1663"/>
      </w:r>
      <w:r w:rsidRPr="00A3299B">
        <w:rPr>
          <w:rFonts w:cs="Arial"/>
          <w:rtl/>
        </w:rPr>
        <w:t xml:space="preserve"> ואחד אומר בדיוטא</w:t>
      </w:r>
      <w:r>
        <w:rPr>
          <w:rStyle w:val="ab"/>
          <w:rFonts w:cs="Arial"/>
          <w:rtl/>
        </w:rPr>
        <w:footnoteReference w:id="1664"/>
      </w:r>
      <w:r w:rsidRPr="00A3299B">
        <w:rPr>
          <w:rFonts w:cs="Arial"/>
          <w:rtl/>
        </w:rPr>
        <w:t xml:space="preserve"> התחתונה</w:t>
      </w:r>
      <w:r>
        <w:rPr>
          <w:rStyle w:val="ab"/>
          <w:rFonts w:cs="Arial"/>
          <w:rtl/>
        </w:rPr>
        <w:footnoteReference w:id="1665"/>
      </w:r>
      <w:r w:rsidRPr="00A3299B">
        <w:rPr>
          <w:rFonts w:cs="Arial"/>
          <w:rtl/>
        </w:rPr>
        <w:t xml:space="preserve">. </w:t>
      </w:r>
      <w:r w:rsidRPr="00A3299B">
        <w:rPr>
          <w:rFonts w:cs="Arial"/>
          <w:u w:val="single"/>
          <w:rtl/>
        </w:rPr>
        <w:t>אמר רבי חנינא</w:t>
      </w:r>
      <w:r w:rsidRPr="00A3299B">
        <w:rPr>
          <w:rFonts w:cs="Arial"/>
          <w:rtl/>
        </w:rPr>
        <w:t>: מעשה בא לפני רבי וצירף עדותן</w:t>
      </w:r>
      <w:r>
        <w:rPr>
          <w:rStyle w:val="ab"/>
          <w:rFonts w:cs="Arial"/>
          <w:rtl/>
        </w:rPr>
        <w:footnoteReference w:id="1666"/>
      </w:r>
      <w:r w:rsidRPr="00A3299B">
        <w:rPr>
          <w:rFonts w:cs="Arial"/>
          <w:rtl/>
        </w:rPr>
        <w:t xml:space="preserve">. </w:t>
      </w:r>
    </w:p>
    <w:p w14:paraId="10D231AF" w14:textId="77777777" w:rsidR="004B607F" w:rsidRDefault="004B607F" w:rsidP="004B607F">
      <w:pPr>
        <w:rPr>
          <w:rFonts w:cs="Arial"/>
          <w:rtl/>
        </w:rPr>
      </w:pPr>
      <w:r w:rsidRPr="0072295C">
        <w:rPr>
          <w:rFonts w:cs="Arial" w:hint="cs"/>
          <w:u w:val="single"/>
          <w:rtl/>
        </w:rPr>
        <w:t>עדות המכחשת זו את זו בדרישות וחקירות:</w:t>
      </w:r>
    </w:p>
    <w:p w14:paraId="6AC8D3C0" w14:textId="77777777" w:rsidR="004B607F" w:rsidRDefault="004B607F" w:rsidP="004B0475">
      <w:pPr>
        <w:pStyle w:val="ac"/>
        <w:numPr>
          <w:ilvl w:val="0"/>
          <w:numId w:val="86"/>
        </w:numPr>
        <w:rPr>
          <w:rFonts w:cs="Arial"/>
        </w:rPr>
      </w:pPr>
      <w:r w:rsidRPr="0072295C">
        <w:rPr>
          <w:rFonts w:cs="Arial" w:hint="cs"/>
          <w:rtl/>
        </w:rPr>
        <w:t xml:space="preserve">טור- </w:t>
      </w:r>
      <w:r w:rsidRPr="0072295C">
        <w:rPr>
          <w:rFonts w:cs="Arial"/>
          <w:rtl/>
        </w:rPr>
        <w:t>אע</w:t>
      </w:r>
      <w:r>
        <w:rPr>
          <w:rFonts w:cs="Arial" w:hint="cs"/>
          <w:rtl/>
        </w:rPr>
        <w:t>"</w:t>
      </w:r>
      <w:r w:rsidRPr="0072295C">
        <w:rPr>
          <w:rFonts w:cs="Arial"/>
          <w:rtl/>
        </w:rPr>
        <w:t>פ שאין צריך דרישה וחקירה</w:t>
      </w:r>
      <w:r>
        <w:rPr>
          <w:rFonts w:cs="Arial" w:hint="cs"/>
          <w:rtl/>
        </w:rPr>
        <w:t>,</w:t>
      </w:r>
      <w:r w:rsidRPr="0072295C">
        <w:rPr>
          <w:rFonts w:cs="Arial"/>
          <w:rtl/>
        </w:rPr>
        <w:t xml:space="preserve"> אם הכחישו זה את זה בדרישות וחקירות </w:t>
      </w:r>
      <w:r>
        <w:rPr>
          <w:rFonts w:cs="Arial" w:hint="cs"/>
          <w:rtl/>
        </w:rPr>
        <w:t xml:space="preserve">- </w:t>
      </w:r>
      <w:r w:rsidRPr="0072295C">
        <w:rPr>
          <w:rFonts w:cs="Arial"/>
          <w:rtl/>
        </w:rPr>
        <w:t>עדותן בטילה</w:t>
      </w:r>
      <w:r w:rsidRPr="0072295C">
        <w:rPr>
          <w:rFonts w:cs="Arial" w:hint="cs"/>
          <w:rtl/>
        </w:rPr>
        <w:t>.</w:t>
      </w:r>
      <w:r w:rsidRPr="0072295C">
        <w:rPr>
          <w:rFonts w:cs="Arial"/>
          <w:rtl/>
        </w:rPr>
        <w:t xml:space="preserve"> אבל אם הכחישו זה את זה בבדיקות </w:t>
      </w:r>
      <w:r>
        <w:rPr>
          <w:rFonts w:cs="Arial" w:hint="cs"/>
          <w:rtl/>
        </w:rPr>
        <w:t xml:space="preserve">- </w:t>
      </w:r>
      <w:r w:rsidRPr="0072295C">
        <w:rPr>
          <w:rFonts w:cs="Arial"/>
          <w:rtl/>
        </w:rPr>
        <w:t>עדותן קיימת</w:t>
      </w:r>
      <w:r w:rsidRPr="0072295C">
        <w:rPr>
          <w:rFonts w:cs="Arial" w:hint="cs"/>
          <w:rtl/>
        </w:rPr>
        <w:t>.</w:t>
      </w:r>
      <w:r w:rsidRPr="0072295C">
        <w:rPr>
          <w:rFonts w:cs="Arial"/>
          <w:rtl/>
        </w:rPr>
        <w:t xml:space="preserve"> </w:t>
      </w:r>
      <w:r>
        <w:rPr>
          <w:rFonts w:cs="Arial" w:hint="cs"/>
          <w:rtl/>
        </w:rPr>
        <w:t xml:space="preserve">כיצד, </w:t>
      </w:r>
      <w:r w:rsidRPr="00E56E85">
        <w:rPr>
          <w:rFonts w:cs="Arial"/>
          <w:rtl/>
        </w:rPr>
        <w:t>אחד אמר בניסן לוה הימנו</w:t>
      </w:r>
      <w:r w:rsidRPr="00E56E85">
        <w:rPr>
          <w:rFonts w:cs="Arial" w:hint="cs"/>
          <w:rtl/>
        </w:rPr>
        <w:t>,</w:t>
      </w:r>
      <w:r w:rsidRPr="00E56E85">
        <w:rPr>
          <w:rFonts w:cs="Arial"/>
          <w:rtl/>
        </w:rPr>
        <w:t xml:space="preserve"> והשני אמר לא כי אלא באייר לוה הימנו</w:t>
      </w:r>
      <w:r w:rsidRPr="00E56E85">
        <w:rPr>
          <w:rFonts w:cs="Arial" w:hint="cs"/>
          <w:rtl/>
        </w:rPr>
        <w:t>,</w:t>
      </w:r>
      <w:r w:rsidRPr="00E56E85">
        <w:rPr>
          <w:rFonts w:cs="Arial"/>
          <w:rtl/>
        </w:rPr>
        <w:t xml:space="preserve"> או שאמר האחד במקום פלוני</w:t>
      </w:r>
      <w:r w:rsidRPr="00E56E85">
        <w:rPr>
          <w:rFonts w:cs="Arial" w:hint="cs"/>
          <w:rtl/>
        </w:rPr>
        <w:t>,</w:t>
      </w:r>
      <w:r w:rsidRPr="00E56E85">
        <w:rPr>
          <w:rFonts w:cs="Arial"/>
          <w:rtl/>
        </w:rPr>
        <w:t xml:space="preserve"> והשני אמר לא כי אלא במקום פלוני</w:t>
      </w:r>
      <w:r w:rsidRPr="00E56E85">
        <w:rPr>
          <w:rFonts w:cs="Arial" w:hint="cs"/>
          <w:rtl/>
        </w:rPr>
        <w:t xml:space="preserve"> -</w:t>
      </w:r>
      <w:r w:rsidRPr="00E56E85">
        <w:rPr>
          <w:rFonts w:cs="Arial"/>
          <w:rtl/>
        </w:rPr>
        <w:t xml:space="preserve"> עדותן בטלה</w:t>
      </w:r>
      <w:r w:rsidRPr="00E56E85">
        <w:rPr>
          <w:rFonts w:cs="Arial" w:hint="cs"/>
          <w:rtl/>
        </w:rPr>
        <w:t>.</w:t>
      </w:r>
      <w:r w:rsidRPr="00E56E85">
        <w:rPr>
          <w:rFonts w:cs="Arial"/>
          <w:rtl/>
        </w:rPr>
        <w:t xml:space="preserve"> </w:t>
      </w:r>
      <w:r w:rsidRPr="004206BC">
        <w:rPr>
          <w:rFonts w:cs="Arial"/>
          <w:rtl/>
        </w:rPr>
        <w:t xml:space="preserve">וכן אחד אמר חבית של יין הלוה לו ואחד אמר חבית של שמן </w:t>
      </w:r>
      <w:r>
        <w:rPr>
          <w:rFonts w:cs="Arial" w:hint="cs"/>
          <w:rtl/>
        </w:rPr>
        <w:t xml:space="preserve">- </w:t>
      </w:r>
      <w:r w:rsidRPr="004206BC">
        <w:rPr>
          <w:rFonts w:cs="Arial"/>
          <w:rtl/>
        </w:rPr>
        <w:t>עדותן בטלה</w:t>
      </w:r>
      <w:r w:rsidRPr="004206BC">
        <w:rPr>
          <w:rFonts w:cs="Arial" w:hint="cs"/>
          <w:rtl/>
        </w:rPr>
        <w:t>,</w:t>
      </w:r>
      <w:r w:rsidRPr="004206BC">
        <w:rPr>
          <w:rFonts w:cs="Arial"/>
          <w:rtl/>
        </w:rPr>
        <w:t xml:space="preserve"> אפילו אם תבע שניהם</w:t>
      </w:r>
      <w:r w:rsidRPr="004206BC">
        <w:rPr>
          <w:rFonts w:cs="Arial" w:hint="cs"/>
          <w:rtl/>
        </w:rPr>
        <w:t>.</w:t>
      </w:r>
      <w:r w:rsidRPr="004206BC">
        <w:rPr>
          <w:rFonts w:cs="Arial"/>
          <w:rtl/>
        </w:rPr>
        <w:t xml:space="preserve"> אבל אם אחד אמר מנה שחור והשני אמר מנה לבן והוא תבע שניהם</w:t>
      </w:r>
      <w:r w:rsidRPr="004206BC">
        <w:rPr>
          <w:rFonts w:cs="Arial" w:hint="cs"/>
          <w:rtl/>
        </w:rPr>
        <w:t>,</w:t>
      </w:r>
      <w:r w:rsidRPr="004206BC">
        <w:rPr>
          <w:rFonts w:cs="Arial"/>
          <w:rtl/>
        </w:rPr>
        <w:t xml:space="preserve"> או שאחד אומר בבית והשני אומר בעלייה והמקומות הם קרובים שאפשר לראות מזה לזה</w:t>
      </w:r>
      <w:r w:rsidRPr="004206BC">
        <w:rPr>
          <w:rFonts w:cs="Arial" w:hint="cs"/>
          <w:rtl/>
        </w:rPr>
        <w:t xml:space="preserve"> -</w:t>
      </w:r>
      <w:r w:rsidRPr="004206BC">
        <w:rPr>
          <w:rFonts w:cs="Arial"/>
          <w:rtl/>
        </w:rPr>
        <w:t xml:space="preserve"> עדותן קיימת</w:t>
      </w:r>
      <w:r>
        <w:rPr>
          <w:rFonts w:cs="Arial" w:hint="cs"/>
          <w:rtl/>
        </w:rPr>
        <w:t>,</w:t>
      </w:r>
      <w:r w:rsidRPr="004206BC">
        <w:rPr>
          <w:rFonts w:cs="Arial"/>
          <w:rtl/>
        </w:rPr>
        <w:t xml:space="preserve"> ונותן לו הפחות</w:t>
      </w:r>
      <w:r>
        <w:rPr>
          <w:rStyle w:val="ab"/>
          <w:rFonts w:cs="Arial"/>
          <w:rtl/>
        </w:rPr>
        <w:footnoteReference w:id="1667"/>
      </w:r>
      <w:r w:rsidRPr="004206BC">
        <w:rPr>
          <w:rFonts w:cs="Arial" w:hint="cs"/>
          <w:rtl/>
        </w:rPr>
        <w:t>.</w:t>
      </w:r>
      <w:r w:rsidRPr="004206BC">
        <w:rPr>
          <w:rFonts w:cs="Arial"/>
          <w:rtl/>
        </w:rPr>
        <w:t xml:space="preserve"> אמר אחד ק' והשני ר' </w:t>
      </w:r>
      <w:r>
        <w:rPr>
          <w:rFonts w:cs="Arial" w:hint="cs"/>
          <w:rtl/>
        </w:rPr>
        <w:t xml:space="preserve">- </w:t>
      </w:r>
      <w:r w:rsidRPr="004206BC">
        <w:rPr>
          <w:rFonts w:cs="Arial"/>
          <w:rtl/>
        </w:rPr>
        <w:t>נותן לו ק'</w:t>
      </w:r>
      <w:r>
        <w:rPr>
          <w:rFonts w:cs="Arial" w:hint="cs"/>
          <w:rtl/>
        </w:rPr>
        <w:t>.</w:t>
      </w:r>
      <w:r w:rsidRPr="004206BC">
        <w:rPr>
          <w:rFonts w:cs="Arial"/>
          <w:rtl/>
        </w:rPr>
        <w:t xml:space="preserve"> וכן אם אחר אמר דמי חבית של יין והשני אמר דמי חבית של שמן והוא תבעו שניהם</w:t>
      </w:r>
      <w:r>
        <w:rPr>
          <w:rStyle w:val="ab"/>
          <w:rFonts w:cs="Arial"/>
          <w:rtl/>
        </w:rPr>
        <w:footnoteReference w:id="1668"/>
      </w:r>
      <w:r w:rsidRPr="004206BC">
        <w:rPr>
          <w:rFonts w:cs="Arial"/>
          <w:rtl/>
        </w:rPr>
        <w:t xml:space="preserve"> </w:t>
      </w:r>
      <w:r>
        <w:rPr>
          <w:rFonts w:cs="Arial" w:hint="cs"/>
          <w:rtl/>
        </w:rPr>
        <w:t xml:space="preserve">- </w:t>
      </w:r>
      <w:r w:rsidRPr="004206BC">
        <w:rPr>
          <w:rFonts w:cs="Arial"/>
          <w:rtl/>
        </w:rPr>
        <w:t>נותן לו הפחות שבשניהם</w:t>
      </w:r>
      <w:r w:rsidRPr="004206BC">
        <w:rPr>
          <w:rFonts w:cs="Arial" w:hint="cs"/>
          <w:rtl/>
        </w:rPr>
        <w:t>.</w:t>
      </w:r>
    </w:p>
    <w:p w14:paraId="35704A09" w14:textId="77777777" w:rsidR="004B607F" w:rsidRDefault="004B607F" w:rsidP="004B0475">
      <w:pPr>
        <w:pStyle w:val="ac"/>
        <w:numPr>
          <w:ilvl w:val="0"/>
          <w:numId w:val="86"/>
        </w:numPr>
        <w:rPr>
          <w:rFonts w:cs="Arial"/>
        </w:rPr>
      </w:pPr>
      <w:r>
        <w:rPr>
          <w:rFonts w:cs="Arial" w:hint="cs"/>
          <w:rtl/>
        </w:rPr>
        <w:t xml:space="preserve">רמב"ם </w:t>
      </w:r>
      <w:r>
        <w:rPr>
          <w:rFonts w:cs="Arial" w:hint="cs"/>
          <w:sz w:val="16"/>
          <w:szCs w:val="16"/>
          <w:rtl/>
        </w:rPr>
        <w:t>(פ"ג ה"ג)</w:t>
      </w:r>
      <w:r>
        <w:rPr>
          <w:rFonts w:cs="Arial" w:hint="cs"/>
          <w:rtl/>
        </w:rPr>
        <w:t>- א</w:t>
      </w:r>
      <w:r w:rsidRPr="00B66951">
        <w:rPr>
          <w:rFonts w:cs="Arial"/>
          <w:rtl/>
        </w:rPr>
        <w:t>ע</w:t>
      </w:r>
      <w:r>
        <w:rPr>
          <w:rFonts w:cs="Arial" w:hint="cs"/>
          <w:rtl/>
        </w:rPr>
        <w:t>"</w:t>
      </w:r>
      <w:r w:rsidRPr="00B66951">
        <w:rPr>
          <w:rFonts w:cs="Arial"/>
          <w:rtl/>
        </w:rPr>
        <w:t>פ שאין עדי ממונות צריכין דרישה וחקירה אם הכחישו העדים זה את זה בדרישות או בחקירות</w:t>
      </w:r>
      <w:r>
        <w:rPr>
          <w:rFonts w:cs="Arial" w:hint="cs"/>
          <w:rtl/>
        </w:rPr>
        <w:t xml:space="preserve"> -</w:t>
      </w:r>
      <w:r w:rsidRPr="00B66951">
        <w:rPr>
          <w:rFonts w:cs="Arial"/>
          <w:rtl/>
        </w:rPr>
        <w:t xml:space="preserve"> עדותן בטילה</w:t>
      </w:r>
      <w:r>
        <w:rPr>
          <w:rFonts w:cs="Arial" w:hint="cs"/>
          <w:rtl/>
        </w:rPr>
        <w:t>.</w:t>
      </w:r>
      <w:r w:rsidRPr="00B66951">
        <w:rPr>
          <w:rFonts w:cs="Arial"/>
          <w:rtl/>
        </w:rPr>
        <w:t xml:space="preserve"> ואם הכחישו העדים זה את זה בבדיקות </w:t>
      </w:r>
      <w:r>
        <w:rPr>
          <w:rFonts w:cs="Arial" w:hint="cs"/>
          <w:rtl/>
        </w:rPr>
        <w:t xml:space="preserve">- </w:t>
      </w:r>
      <w:r w:rsidRPr="00B66951">
        <w:rPr>
          <w:rFonts w:cs="Arial"/>
          <w:rtl/>
        </w:rPr>
        <w:t>עדותן קיימת</w:t>
      </w:r>
      <w:r>
        <w:rPr>
          <w:rFonts w:cs="Arial" w:hint="cs"/>
          <w:rtl/>
        </w:rPr>
        <w:t>.</w:t>
      </w:r>
      <w:r w:rsidRPr="00B66951">
        <w:rPr>
          <w:rFonts w:cs="Arial"/>
          <w:rtl/>
        </w:rPr>
        <w:t xml:space="preserve"> כיצד</w:t>
      </w:r>
      <w:r>
        <w:rPr>
          <w:rFonts w:cs="Arial" w:hint="cs"/>
          <w:rtl/>
        </w:rPr>
        <w:t>,</w:t>
      </w:r>
      <w:r w:rsidRPr="00B66951">
        <w:rPr>
          <w:rFonts w:cs="Arial"/>
          <w:rtl/>
        </w:rPr>
        <w:t xml:space="preserve"> אחד אומר בניסן לוה ממנו והשני אומר לא כי אלא באייר, או שאמר האחד בירושלים והשני אומר לא כי אלא בלוד </w:t>
      </w:r>
      <w:r>
        <w:rPr>
          <w:rFonts w:cs="Arial" w:hint="cs"/>
          <w:rtl/>
        </w:rPr>
        <w:t xml:space="preserve">- </w:t>
      </w:r>
      <w:r w:rsidRPr="00B66951">
        <w:rPr>
          <w:rFonts w:cs="Arial"/>
          <w:rtl/>
        </w:rPr>
        <w:t>היינו עדותן בטילה</w:t>
      </w:r>
      <w:r>
        <w:rPr>
          <w:rFonts w:cs="Arial" w:hint="cs"/>
          <w:rtl/>
        </w:rPr>
        <w:t>.</w:t>
      </w:r>
      <w:r w:rsidRPr="00B66951">
        <w:rPr>
          <w:rFonts w:cs="Arial"/>
          <w:rtl/>
        </w:rPr>
        <w:t xml:space="preserve"> וכן אם אמר האחד חבית של יין הלוהו והשני אומר של שמן היתה </w:t>
      </w:r>
      <w:r>
        <w:rPr>
          <w:rFonts w:cs="Arial" w:hint="cs"/>
          <w:rtl/>
        </w:rPr>
        <w:t xml:space="preserve">- </w:t>
      </w:r>
      <w:r w:rsidRPr="00B66951">
        <w:rPr>
          <w:rFonts w:cs="Arial"/>
          <w:rtl/>
        </w:rPr>
        <w:t>עדותן בטילה</w:t>
      </w:r>
      <w:r>
        <w:rPr>
          <w:rFonts w:cs="Arial" w:hint="cs"/>
          <w:rtl/>
        </w:rPr>
        <w:t>,</w:t>
      </w:r>
      <w:r w:rsidRPr="00B66951">
        <w:rPr>
          <w:rFonts w:cs="Arial"/>
          <w:rtl/>
        </w:rPr>
        <w:t xml:space="preserve"> שהרי הכחישו בדרישה</w:t>
      </w:r>
      <w:r>
        <w:rPr>
          <w:rFonts w:cs="Arial" w:hint="cs"/>
          <w:rtl/>
        </w:rPr>
        <w:t>.</w:t>
      </w:r>
      <w:r w:rsidRPr="00B66951">
        <w:rPr>
          <w:rFonts w:cs="Arial"/>
          <w:rtl/>
        </w:rPr>
        <w:t xml:space="preserve"> אבל אם אמר האחד מנה שחור והשני אומר מנה לבן היה, זה אומר בדיוטא העליונה היו כשהלוהו והשני אומר בדיוטא התחתונה היו </w:t>
      </w:r>
      <w:r>
        <w:rPr>
          <w:rFonts w:cs="Arial" w:hint="cs"/>
          <w:rtl/>
        </w:rPr>
        <w:t xml:space="preserve">- </w:t>
      </w:r>
      <w:r w:rsidRPr="00B66951">
        <w:rPr>
          <w:rFonts w:cs="Arial"/>
          <w:rtl/>
        </w:rPr>
        <w:t>עדותן קיימת</w:t>
      </w:r>
      <w:r>
        <w:rPr>
          <w:rFonts w:cs="Arial" w:hint="cs"/>
          <w:rtl/>
        </w:rPr>
        <w:t>.</w:t>
      </w:r>
      <w:r w:rsidRPr="00B66951">
        <w:rPr>
          <w:rFonts w:cs="Arial"/>
          <w:rtl/>
        </w:rPr>
        <w:t xml:space="preserve"> אפילו אמר האחד מנה הלוהו והשני אומר מאתים </w:t>
      </w:r>
      <w:r>
        <w:rPr>
          <w:rFonts w:cs="Arial" w:hint="cs"/>
          <w:rtl/>
        </w:rPr>
        <w:t xml:space="preserve">- </w:t>
      </w:r>
      <w:r w:rsidRPr="00B66951">
        <w:rPr>
          <w:rFonts w:cs="Arial"/>
          <w:rtl/>
        </w:rPr>
        <w:t>חייב לשלם מנה</w:t>
      </w:r>
      <w:r>
        <w:rPr>
          <w:rFonts w:cs="Arial" w:hint="cs"/>
          <w:rtl/>
        </w:rPr>
        <w:t>,</w:t>
      </w:r>
      <w:r w:rsidRPr="00B66951">
        <w:rPr>
          <w:rFonts w:cs="Arial"/>
          <w:rtl/>
        </w:rPr>
        <w:t xml:space="preserve"> שיש בכלל מאתים מנה</w:t>
      </w:r>
      <w:r>
        <w:rPr>
          <w:rFonts w:cs="Arial" w:hint="cs"/>
          <w:rtl/>
        </w:rPr>
        <w:t>.</w:t>
      </w:r>
      <w:r w:rsidRPr="00B66951">
        <w:rPr>
          <w:rFonts w:cs="Arial"/>
          <w:rtl/>
        </w:rPr>
        <w:t xml:space="preserve"> וכן אם אמר האחד דמי חבית של יין יש לו בידו וזה אומר דמי חבית של שמן </w:t>
      </w:r>
      <w:r>
        <w:rPr>
          <w:rFonts w:cs="Arial" w:hint="cs"/>
          <w:rtl/>
        </w:rPr>
        <w:t xml:space="preserve">- </w:t>
      </w:r>
      <w:r w:rsidRPr="00B66951">
        <w:rPr>
          <w:rFonts w:cs="Arial"/>
          <w:rtl/>
        </w:rPr>
        <w:t>משלם בפחות שבדמים</w:t>
      </w:r>
      <w:r>
        <w:rPr>
          <w:rFonts w:cs="Arial" w:hint="cs"/>
          <w:rtl/>
        </w:rPr>
        <w:t>.</w:t>
      </w:r>
      <w:r w:rsidRPr="00B66951">
        <w:rPr>
          <w:rFonts w:cs="Arial"/>
          <w:rtl/>
        </w:rPr>
        <w:t xml:space="preserve"> וכן כל כיוצא בזה.</w:t>
      </w:r>
      <w:r>
        <w:rPr>
          <w:rFonts w:cs="Arial" w:hint="cs"/>
          <w:rtl/>
        </w:rPr>
        <w:t xml:space="preserve"> </w:t>
      </w:r>
      <w:r w:rsidRPr="00B66951">
        <w:rPr>
          <w:rFonts w:cs="Arial" w:hint="cs"/>
          <w:color w:val="E36C0A" w:themeColor="accent6" w:themeShade="BF"/>
          <w:rtl/>
        </w:rPr>
        <w:t>(וכ"פ בשו"ע)</w:t>
      </w:r>
    </w:p>
    <w:p w14:paraId="2FD51AA8" w14:textId="77777777" w:rsidR="004B607F" w:rsidRDefault="004B607F" w:rsidP="004B607F">
      <w:pPr>
        <w:ind w:left="360"/>
        <w:rPr>
          <w:rFonts w:cs="Arial"/>
          <w:rtl/>
        </w:rPr>
      </w:pPr>
      <w:bookmarkStart w:id="235" w:name="_Hlk19269883"/>
      <w:r w:rsidRPr="007675C0">
        <w:rPr>
          <w:rFonts w:cs="Arial" w:hint="cs"/>
          <w:u w:val="dotted"/>
          <w:rtl/>
        </w:rPr>
        <w:t>כש</w:t>
      </w:r>
      <w:r w:rsidRPr="007675C0">
        <w:rPr>
          <w:rFonts w:cs="Arial"/>
          <w:u w:val="dotted"/>
          <w:rtl/>
        </w:rPr>
        <w:t>א</w:t>
      </w:r>
      <w:r w:rsidRPr="007675C0">
        <w:rPr>
          <w:rFonts w:cs="Arial" w:hint="cs"/>
          <w:u w:val="dotted"/>
          <w:rtl/>
        </w:rPr>
        <w:t>'</w:t>
      </w:r>
      <w:r w:rsidRPr="007675C0">
        <w:rPr>
          <w:rFonts w:cs="Arial"/>
          <w:u w:val="dotted"/>
          <w:rtl/>
        </w:rPr>
        <w:t xml:space="preserve"> אומר מנה שחור וא</w:t>
      </w:r>
      <w:r w:rsidRPr="007675C0">
        <w:rPr>
          <w:rFonts w:cs="Arial" w:hint="cs"/>
          <w:u w:val="dotted"/>
          <w:rtl/>
        </w:rPr>
        <w:t>'</w:t>
      </w:r>
      <w:r w:rsidRPr="007675C0">
        <w:rPr>
          <w:rFonts w:cs="Arial"/>
          <w:u w:val="dotted"/>
          <w:rtl/>
        </w:rPr>
        <w:t xml:space="preserve"> אומר מנה לבן –</w:t>
      </w:r>
      <w:r w:rsidRPr="007675C0">
        <w:rPr>
          <w:rFonts w:cs="Arial" w:hint="cs"/>
          <w:u w:val="dotted"/>
          <w:rtl/>
        </w:rPr>
        <w:t xml:space="preserve"> האם בעינן שיתבע </w:t>
      </w:r>
      <w:r>
        <w:rPr>
          <w:rFonts w:cs="Arial" w:hint="cs"/>
          <w:u w:val="dotted"/>
          <w:rtl/>
        </w:rPr>
        <w:t>שניהם</w:t>
      </w:r>
      <w:r w:rsidRPr="007675C0">
        <w:rPr>
          <w:rFonts w:cs="Arial" w:hint="cs"/>
          <w:u w:val="dotted"/>
          <w:rtl/>
        </w:rPr>
        <w:t xml:space="preserve"> או </w:t>
      </w:r>
      <w:r>
        <w:rPr>
          <w:rFonts w:cs="Arial" w:hint="cs"/>
          <w:u w:val="dotted"/>
          <w:rtl/>
        </w:rPr>
        <w:t>שדי בזה שי</w:t>
      </w:r>
      <w:r w:rsidRPr="007675C0">
        <w:rPr>
          <w:rFonts w:cs="Arial" w:hint="cs"/>
          <w:u w:val="dotted"/>
          <w:rtl/>
        </w:rPr>
        <w:t xml:space="preserve">תבע </w:t>
      </w:r>
      <w:r>
        <w:rPr>
          <w:rFonts w:cs="Arial" w:hint="cs"/>
          <w:u w:val="dotted"/>
          <w:rtl/>
        </w:rPr>
        <w:t xml:space="preserve">רק </w:t>
      </w:r>
      <w:r w:rsidRPr="007675C0">
        <w:rPr>
          <w:rFonts w:cs="Arial" w:hint="cs"/>
          <w:u w:val="dotted"/>
          <w:rtl/>
        </w:rPr>
        <w:t xml:space="preserve">מנה </w:t>
      </w:r>
      <w:r>
        <w:rPr>
          <w:rFonts w:cs="Arial" w:hint="cs"/>
          <w:u w:val="dotted"/>
          <w:rtl/>
        </w:rPr>
        <w:t>אחד</w:t>
      </w:r>
      <w:r w:rsidRPr="007675C0">
        <w:rPr>
          <w:rFonts w:cs="Arial" w:hint="cs"/>
          <w:u w:val="dotted"/>
          <w:rtl/>
        </w:rPr>
        <w:t>:</w:t>
      </w:r>
    </w:p>
    <w:p w14:paraId="1D6C5B47" w14:textId="77777777" w:rsidR="004B607F" w:rsidRPr="007675C0" w:rsidRDefault="004B607F" w:rsidP="004B0475">
      <w:pPr>
        <w:pStyle w:val="ac"/>
        <w:numPr>
          <w:ilvl w:val="0"/>
          <w:numId w:val="90"/>
        </w:numPr>
        <w:rPr>
          <w:rFonts w:cs="Arial"/>
          <w:rtl/>
        </w:rPr>
      </w:pPr>
      <w:r w:rsidRPr="007675C0">
        <w:rPr>
          <w:rFonts w:cs="Arial" w:hint="cs"/>
          <w:rtl/>
        </w:rPr>
        <w:t xml:space="preserve">טור- </w:t>
      </w:r>
      <w:r w:rsidRPr="007675C0">
        <w:rPr>
          <w:rFonts w:cs="Arial"/>
          <w:rtl/>
        </w:rPr>
        <w:t>בעינן שיתבענו שני</w:t>
      </w:r>
      <w:r>
        <w:rPr>
          <w:rFonts w:cs="Arial" w:hint="cs"/>
          <w:rtl/>
        </w:rPr>
        <w:t>ה</w:t>
      </w:r>
      <w:r w:rsidRPr="007675C0">
        <w:rPr>
          <w:rFonts w:cs="Arial"/>
          <w:rtl/>
        </w:rPr>
        <w:t>ם</w:t>
      </w:r>
      <w:r>
        <w:rPr>
          <w:rFonts w:cs="Arial" w:hint="cs"/>
          <w:sz w:val="16"/>
          <w:szCs w:val="16"/>
          <w:rtl/>
        </w:rPr>
        <w:t xml:space="preserve"> {כמפורש בדבריו לעיל, ועי' בסע' ז שלמד כן ממש"כ הרמ"ה בענין אחר}</w:t>
      </w:r>
      <w:r w:rsidRPr="007675C0">
        <w:rPr>
          <w:rFonts w:cs="Arial" w:hint="cs"/>
          <w:rtl/>
        </w:rPr>
        <w:t>.</w:t>
      </w:r>
      <w:r w:rsidRPr="007675C0">
        <w:rPr>
          <w:rFonts w:cs="Arial"/>
          <w:rtl/>
        </w:rPr>
        <w:t xml:space="preserve"> </w:t>
      </w:r>
      <w:r w:rsidRPr="007675C0">
        <w:rPr>
          <w:rFonts w:cs="Arial" w:hint="cs"/>
          <w:color w:val="00B0F0"/>
          <w:rtl/>
        </w:rPr>
        <w:t>(וכ"פ הרמ"א)</w:t>
      </w:r>
    </w:p>
    <w:p w14:paraId="60F667C4" w14:textId="77777777" w:rsidR="004B607F" w:rsidRDefault="004B607F" w:rsidP="004B0475">
      <w:pPr>
        <w:pStyle w:val="ac"/>
        <w:numPr>
          <w:ilvl w:val="0"/>
          <w:numId w:val="90"/>
        </w:numPr>
        <w:rPr>
          <w:rFonts w:cs="Arial"/>
        </w:rPr>
      </w:pPr>
      <w:r w:rsidRPr="007675C0">
        <w:rPr>
          <w:rFonts w:cs="Arial"/>
          <w:rtl/>
        </w:rPr>
        <w:lastRenderedPageBreak/>
        <w:t>ר</w:t>
      </w:r>
      <w:r w:rsidRPr="007675C0">
        <w:rPr>
          <w:rFonts w:cs="Arial" w:hint="cs"/>
          <w:rtl/>
        </w:rPr>
        <w:t>י"ו</w:t>
      </w:r>
      <w:r w:rsidRPr="007675C0">
        <w:rPr>
          <w:rFonts w:cs="Arial"/>
          <w:rtl/>
        </w:rPr>
        <w:t xml:space="preserve"> </w:t>
      </w:r>
      <w:r w:rsidRPr="007675C0">
        <w:rPr>
          <w:rFonts w:cs="Arial" w:hint="cs"/>
          <w:sz w:val="16"/>
          <w:szCs w:val="16"/>
          <w:rtl/>
        </w:rPr>
        <w:t>(</w:t>
      </w:r>
      <w:r w:rsidRPr="007675C0">
        <w:rPr>
          <w:rFonts w:cs="Arial"/>
          <w:sz w:val="16"/>
          <w:szCs w:val="16"/>
          <w:rtl/>
        </w:rPr>
        <w:t>נ"ב ח"ב שם)</w:t>
      </w:r>
      <w:r w:rsidRPr="007675C0">
        <w:rPr>
          <w:rFonts w:cs="Arial" w:hint="cs"/>
          <w:rtl/>
        </w:rPr>
        <w:t xml:space="preserve">- </w:t>
      </w:r>
      <w:r w:rsidRPr="007675C0">
        <w:rPr>
          <w:rFonts w:cs="Arial"/>
          <w:rtl/>
        </w:rPr>
        <w:t>מה שאמרנו דמנה שחור ומנה לבן מצטרפי מיירי שהתובע אומר שאין בידו אלא מנה</w:t>
      </w:r>
      <w:r>
        <w:rPr>
          <w:rFonts w:cs="Arial" w:hint="cs"/>
          <w:rtl/>
        </w:rPr>
        <w:t>,</w:t>
      </w:r>
      <w:r w:rsidRPr="007675C0">
        <w:rPr>
          <w:rFonts w:cs="Arial"/>
          <w:rtl/>
        </w:rPr>
        <w:t xml:space="preserve"> והעדים מכחישים זה לזה בבדיקות</w:t>
      </w:r>
      <w:r>
        <w:rPr>
          <w:rFonts w:cs="Arial" w:hint="cs"/>
          <w:rtl/>
        </w:rPr>
        <w:t>,</w:t>
      </w:r>
      <w:r w:rsidRPr="007675C0">
        <w:rPr>
          <w:rFonts w:cs="Arial"/>
          <w:rtl/>
        </w:rPr>
        <w:t xml:space="preserve"> ומצטרפין</w:t>
      </w:r>
      <w:r>
        <w:rPr>
          <w:rStyle w:val="ab"/>
          <w:rFonts w:cs="Arial"/>
          <w:rtl/>
        </w:rPr>
        <w:footnoteReference w:id="1669"/>
      </w:r>
      <w:r w:rsidRPr="007675C0">
        <w:rPr>
          <w:rFonts w:cs="Arial" w:hint="cs"/>
          <w:rtl/>
        </w:rPr>
        <w:t>.</w:t>
      </w:r>
      <w:r w:rsidRPr="007675C0">
        <w:rPr>
          <w:rFonts w:cs="Arial"/>
          <w:rtl/>
        </w:rPr>
        <w:t xml:space="preserve"> </w:t>
      </w:r>
    </w:p>
    <w:p w14:paraId="67F7B426" w14:textId="77777777" w:rsidR="004B607F" w:rsidRPr="007675C0" w:rsidRDefault="004B607F" w:rsidP="004B0475">
      <w:pPr>
        <w:pStyle w:val="ac"/>
        <w:numPr>
          <w:ilvl w:val="0"/>
          <w:numId w:val="90"/>
        </w:numPr>
        <w:rPr>
          <w:rFonts w:cs="Arial"/>
          <w:rtl/>
        </w:rPr>
      </w:pPr>
      <w:r>
        <w:rPr>
          <w:rFonts w:cs="Arial" w:hint="cs"/>
          <w:rtl/>
        </w:rPr>
        <w:t>נ</w:t>
      </w:r>
      <w:r w:rsidRPr="005F7E67">
        <w:rPr>
          <w:rFonts w:cs="Arial"/>
          <w:rtl/>
        </w:rPr>
        <w:t>מוק</w:t>
      </w:r>
      <w:r>
        <w:rPr>
          <w:rFonts w:cs="Arial" w:hint="cs"/>
          <w:rtl/>
        </w:rPr>
        <w:t>"</w:t>
      </w:r>
      <w:r w:rsidRPr="005F7E67">
        <w:rPr>
          <w:rFonts w:cs="Arial"/>
          <w:rtl/>
        </w:rPr>
        <w:t>י</w:t>
      </w:r>
      <w:r>
        <w:rPr>
          <w:rStyle w:val="ab"/>
          <w:rFonts w:cs="Arial"/>
          <w:rtl/>
        </w:rPr>
        <w:footnoteReference w:id="1670"/>
      </w:r>
      <w:r w:rsidRPr="005F7E67">
        <w:rPr>
          <w:rFonts w:cs="Arial"/>
          <w:sz w:val="16"/>
          <w:szCs w:val="16"/>
          <w:rtl/>
        </w:rPr>
        <w:t xml:space="preserve"> (סנהדרין ט. ד"ה נהרדעי)</w:t>
      </w:r>
      <w:r>
        <w:rPr>
          <w:rFonts w:cs="Arial" w:hint="cs"/>
          <w:rtl/>
        </w:rPr>
        <w:t>-</w:t>
      </w:r>
      <w:r w:rsidRPr="005F7E67">
        <w:rPr>
          <w:rFonts w:cs="Arial"/>
          <w:rtl/>
        </w:rPr>
        <w:t xml:space="preserve"> כ</w:t>
      </w:r>
      <w:r>
        <w:rPr>
          <w:rFonts w:cs="Arial" w:hint="cs"/>
          <w:rtl/>
        </w:rPr>
        <w:t>ל</w:t>
      </w:r>
      <w:r w:rsidRPr="005F7E67">
        <w:rPr>
          <w:rFonts w:cs="Arial"/>
          <w:rtl/>
        </w:rPr>
        <w:t xml:space="preserve"> דעבידי למטעי בי</w:t>
      </w:r>
      <w:r>
        <w:rPr>
          <w:rFonts w:cs="Arial" w:hint="cs"/>
          <w:rtl/>
        </w:rPr>
        <w:t xml:space="preserve">ה </w:t>
      </w:r>
      <w:r>
        <w:rPr>
          <w:rFonts w:cs="Arial"/>
          <w:rtl/>
        </w:rPr>
        <w:t>–</w:t>
      </w:r>
      <w:r>
        <w:rPr>
          <w:rFonts w:cs="Arial" w:hint="cs"/>
          <w:rtl/>
        </w:rPr>
        <w:t xml:space="preserve"> אינו צריך לתבוע שניהם. </w:t>
      </w:r>
      <w:r w:rsidRPr="00B66951">
        <w:rPr>
          <w:rFonts w:cs="Arial" w:hint="cs"/>
          <w:color w:val="E36C0A" w:themeColor="accent6" w:themeShade="BF"/>
          <w:rtl/>
        </w:rPr>
        <w:t>(וכ"</w:t>
      </w:r>
      <w:r>
        <w:rPr>
          <w:rFonts w:cs="Arial" w:hint="cs"/>
          <w:color w:val="E36C0A" w:themeColor="accent6" w:themeShade="BF"/>
          <w:rtl/>
        </w:rPr>
        <w:t>ס</w:t>
      </w:r>
      <w:r w:rsidRPr="00B66951">
        <w:rPr>
          <w:rFonts w:cs="Arial" w:hint="cs"/>
          <w:color w:val="E36C0A" w:themeColor="accent6" w:themeShade="BF"/>
          <w:rtl/>
        </w:rPr>
        <w:t xml:space="preserve"> בשו"ע</w:t>
      </w:r>
      <w:r>
        <w:rPr>
          <w:rFonts w:cs="Arial" w:hint="cs"/>
          <w:sz w:val="16"/>
          <w:szCs w:val="16"/>
          <w:rtl/>
        </w:rPr>
        <w:t xml:space="preserve"> [ובב"י בסע' ז]</w:t>
      </w:r>
      <w:r w:rsidRPr="00CD386C">
        <w:rPr>
          <w:rFonts w:cs="Arial" w:hint="cs"/>
          <w:color w:val="E36C0A" w:themeColor="accent6" w:themeShade="BF"/>
          <w:rtl/>
        </w:rPr>
        <w:t>)</w:t>
      </w:r>
      <w:r>
        <w:rPr>
          <w:rFonts w:cs="Arial" w:hint="cs"/>
          <w:rtl/>
        </w:rPr>
        <w:t xml:space="preserve"> (וכ"פ הסמ"ע</w:t>
      </w:r>
      <w:r>
        <w:rPr>
          <w:rStyle w:val="ab"/>
          <w:rFonts w:cs="Arial"/>
          <w:rtl/>
        </w:rPr>
        <w:footnoteReference w:id="1671"/>
      </w:r>
      <w:r>
        <w:rPr>
          <w:rFonts w:cs="Arial" w:hint="cs"/>
          <w:sz w:val="16"/>
          <w:szCs w:val="16"/>
          <w:rtl/>
        </w:rPr>
        <w:t xml:space="preserve"> [סקי"א]</w:t>
      </w:r>
      <w:r>
        <w:rPr>
          <w:rFonts w:cs="Arial" w:hint="cs"/>
          <w:rtl/>
        </w:rPr>
        <w:t>)</w:t>
      </w:r>
    </w:p>
    <w:bookmarkEnd w:id="235"/>
    <w:p w14:paraId="24C70FDD" w14:textId="77777777" w:rsidR="004B607F" w:rsidRDefault="004B607F" w:rsidP="004B607F">
      <w:pPr>
        <w:rPr>
          <w:rFonts w:cs="Arial"/>
          <w:rtl/>
        </w:rPr>
      </w:pPr>
      <w:r w:rsidRPr="0098044D">
        <w:rPr>
          <w:rFonts w:cs="Arial"/>
          <w:u w:val="single"/>
          <w:rtl/>
        </w:rPr>
        <w:t>עד אחד אמר תנאי היה קודם גרושין ועד אחד אמר אחר גירושין</w:t>
      </w:r>
      <w:r w:rsidRPr="0098044D">
        <w:rPr>
          <w:rFonts w:cs="Arial" w:hint="cs"/>
          <w:u w:val="single"/>
          <w:rtl/>
        </w:rPr>
        <w:t>:</w:t>
      </w:r>
      <w:r w:rsidRPr="006C380F">
        <w:rPr>
          <w:rFonts w:cs="Arial"/>
          <w:rtl/>
        </w:rPr>
        <w:t xml:space="preserve"> </w:t>
      </w:r>
      <w:r w:rsidRPr="0098044D">
        <w:rPr>
          <w:rFonts w:cs="Arial" w:hint="cs"/>
          <w:sz w:val="16"/>
          <w:szCs w:val="16"/>
          <w:rtl/>
        </w:rPr>
        <w:t>(דרכ"מ אות ב)</w:t>
      </w:r>
    </w:p>
    <w:p w14:paraId="03B86702" w14:textId="77777777" w:rsidR="004B607F" w:rsidRPr="006C380F" w:rsidRDefault="004B607F" w:rsidP="004B0475">
      <w:pPr>
        <w:pStyle w:val="ac"/>
        <w:numPr>
          <w:ilvl w:val="0"/>
          <w:numId w:val="86"/>
        </w:numPr>
        <w:rPr>
          <w:rtl/>
        </w:rPr>
      </w:pPr>
      <w:r w:rsidRPr="0098044D">
        <w:rPr>
          <w:rFonts w:cs="Arial"/>
          <w:rtl/>
        </w:rPr>
        <w:t xml:space="preserve">ריב"ש </w:t>
      </w:r>
      <w:r w:rsidRPr="0098044D">
        <w:rPr>
          <w:rFonts w:cs="Arial" w:hint="cs"/>
          <w:sz w:val="16"/>
          <w:szCs w:val="16"/>
          <w:rtl/>
        </w:rPr>
        <w:t>(</w:t>
      </w:r>
      <w:r w:rsidRPr="0098044D">
        <w:rPr>
          <w:rFonts w:cs="Arial"/>
          <w:sz w:val="16"/>
          <w:szCs w:val="16"/>
          <w:rtl/>
        </w:rPr>
        <w:t>סי</w:t>
      </w:r>
      <w:r>
        <w:rPr>
          <w:rFonts w:cs="Arial" w:hint="cs"/>
          <w:sz w:val="16"/>
          <w:szCs w:val="16"/>
          <w:rtl/>
        </w:rPr>
        <w:t>'</w:t>
      </w:r>
      <w:r w:rsidRPr="0098044D">
        <w:rPr>
          <w:rFonts w:cs="Arial"/>
          <w:sz w:val="16"/>
          <w:szCs w:val="16"/>
          <w:rtl/>
        </w:rPr>
        <w:t xml:space="preserve"> קצג</w:t>
      </w:r>
      <w:r>
        <w:rPr>
          <w:rFonts w:cs="Arial" w:hint="cs"/>
          <w:sz w:val="16"/>
          <w:szCs w:val="16"/>
          <w:rtl/>
        </w:rPr>
        <w:t>)</w:t>
      </w:r>
      <w:r>
        <w:rPr>
          <w:rFonts w:cs="Arial" w:hint="cs"/>
          <w:rtl/>
        </w:rPr>
        <w:t>-</w:t>
      </w:r>
      <w:r w:rsidRPr="0098044D">
        <w:rPr>
          <w:rFonts w:cs="Arial"/>
          <w:rtl/>
        </w:rPr>
        <w:t xml:space="preserve"> עד א</w:t>
      </w:r>
      <w:r>
        <w:rPr>
          <w:rFonts w:cs="Arial" w:hint="cs"/>
          <w:rtl/>
        </w:rPr>
        <w:t>'</w:t>
      </w:r>
      <w:r w:rsidRPr="0098044D">
        <w:rPr>
          <w:rFonts w:cs="Arial"/>
          <w:rtl/>
        </w:rPr>
        <w:t xml:space="preserve"> אמר תנאי היה קודם גרושין ועד א</w:t>
      </w:r>
      <w:r>
        <w:rPr>
          <w:rFonts w:cs="Arial" w:hint="cs"/>
          <w:rtl/>
        </w:rPr>
        <w:t>'</w:t>
      </w:r>
      <w:r w:rsidRPr="0098044D">
        <w:rPr>
          <w:rFonts w:cs="Arial"/>
          <w:rtl/>
        </w:rPr>
        <w:t xml:space="preserve"> אמר אחר גירושין</w:t>
      </w:r>
      <w:r>
        <w:rPr>
          <w:rFonts w:cs="Arial" w:hint="cs"/>
          <w:rtl/>
        </w:rPr>
        <w:t xml:space="preserve"> -</w:t>
      </w:r>
      <w:r w:rsidRPr="0098044D">
        <w:rPr>
          <w:rFonts w:cs="Arial"/>
          <w:rtl/>
        </w:rPr>
        <w:t xml:space="preserve"> הוי הכחשה</w:t>
      </w:r>
      <w:r>
        <w:rPr>
          <w:rFonts w:cs="Arial" w:hint="cs"/>
          <w:rtl/>
        </w:rPr>
        <w:t>,</w:t>
      </w:r>
      <w:r w:rsidRPr="0098044D">
        <w:rPr>
          <w:rFonts w:cs="Arial"/>
          <w:rtl/>
        </w:rPr>
        <w:t xml:space="preserve"> דבהא לא טעו אינשי</w:t>
      </w:r>
      <w:r w:rsidRPr="0098044D">
        <w:rPr>
          <w:rFonts w:cs="Arial" w:hint="cs"/>
          <w:rtl/>
        </w:rPr>
        <w:t>.</w:t>
      </w:r>
    </w:p>
    <w:p w14:paraId="54546369" w14:textId="77777777" w:rsidR="004B607F" w:rsidRPr="003024E5" w:rsidRDefault="004B607F" w:rsidP="004B607F">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44768903" w14:textId="77777777" w:rsidR="004B607F" w:rsidRDefault="004B607F" w:rsidP="004B607F">
      <w:pPr>
        <w:rPr>
          <w:rtl/>
        </w:rPr>
      </w:pPr>
      <w:r>
        <w:rPr>
          <w:rFonts w:cs="Arial"/>
          <w:rtl/>
        </w:rPr>
        <w:t>א</w:t>
      </w:r>
      <w:r>
        <w:rPr>
          <w:rFonts w:cs="Arial" w:hint="cs"/>
          <w:rtl/>
        </w:rPr>
        <w:t xml:space="preserve">ף על </w:t>
      </w:r>
      <w:r>
        <w:rPr>
          <w:rFonts w:cs="Arial"/>
          <w:rtl/>
        </w:rPr>
        <w:t>פ</w:t>
      </w:r>
      <w:r>
        <w:rPr>
          <w:rFonts w:cs="Arial" w:hint="cs"/>
          <w:rtl/>
        </w:rPr>
        <w:t>י</w:t>
      </w:r>
      <w:r>
        <w:rPr>
          <w:rFonts w:cs="Arial"/>
          <w:rtl/>
        </w:rPr>
        <w:t xml:space="preserve"> שאין עידי דיני ממונות צריכין דרישה וחקירה, אם הכחישו זה את זה בדרישות או בחקירות עדותן בטלה</w:t>
      </w:r>
      <w:r>
        <w:rPr>
          <w:rFonts w:cs="Arial" w:hint="cs"/>
          <w:rtl/>
        </w:rPr>
        <w:t>.</w:t>
      </w:r>
      <w:r>
        <w:rPr>
          <w:rFonts w:cs="Arial"/>
          <w:rtl/>
        </w:rPr>
        <w:t xml:space="preserve"> ואם הכחישו זה את זה</w:t>
      </w:r>
      <w:r>
        <w:rPr>
          <w:rStyle w:val="ab"/>
          <w:rFonts w:cs="Arial"/>
          <w:rtl/>
        </w:rPr>
        <w:footnoteReference w:id="1672"/>
      </w:r>
      <w:r>
        <w:rPr>
          <w:rFonts w:cs="Arial"/>
          <w:rtl/>
        </w:rPr>
        <w:t xml:space="preserve"> בבדיקות עדותן קיימת. כיצד, אחד אומר: בניסן לוה ממנו, והשני אומר: לא כי אלא באייר, או שאמר האחד: בירושלים, והשני אמר: לא כי אלא בלוד, עדותן בטלה. וכן אם אמר האחד: חבית של יין הלוהו, והשני אומר: של שמן היתה</w:t>
      </w:r>
      <w:r>
        <w:rPr>
          <w:rStyle w:val="ab"/>
          <w:rFonts w:cs="Arial"/>
          <w:rtl/>
        </w:rPr>
        <w:footnoteReference w:id="1673"/>
      </w:r>
      <w:r>
        <w:rPr>
          <w:rFonts w:cs="Arial"/>
          <w:rtl/>
        </w:rPr>
        <w:t>, עדותן בטלה</w:t>
      </w:r>
      <w:r>
        <w:rPr>
          <w:rStyle w:val="ab"/>
          <w:rFonts w:cs="Arial"/>
          <w:rtl/>
        </w:rPr>
        <w:footnoteReference w:id="1674"/>
      </w:r>
      <w:r>
        <w:rPr>
          <w:rFonts w:cs="Arial"/>
          <w:rtl/>
        </w:rPr>
        <w:t>, שהרי הכחישו בדרישה</w:t>
      </w:r>
      <w:r>
        <w:rPr>
          <w:rStyle w:val="ab"/>
          <w:rFonts w:cs="Arial"/>
          <w:rtl/>
        </w:rPr>
        <w:footnoteReference w:id="1675"/>
      </w:r>
      <w:r>
        <w:rPr>
          <w:rFonts w:cs="Arial"/>
          <w:rtl/>
        </w:rPr>
        <w:t>. אבל</w:t>
      </w:r>
      <w:r>
        <w:rPr>
          <w:rStyle w:val="ab"/>
          <w:rFonts w:cs="Arial"/>
          <w:rtl/>
        </w:rPr>
        <w:footnoteReference w:id="1676"/>
      </w:r>
      <w:r>
        <w:rPr>
          <w:rFonts w:cs="Arial"/>
          <w:rtl/>
        </w:rPr>
        <w:t xml:space="preserve"> אם אמר האחד: מנה שחור, שהמעות הושחרו מחמת יושנן, והשני אומר: מנה לבן היה, </w:t>
      </w:r>
      <w:r w:rsidRPr="00532E67">
        <w:rPr>
          <w:rFonts w:cs="Arial" w:hint="cs"/>
          <w:sz w:val="18"/>
          <w:szCs w:val="18"/>
          <w:rtl/>
        </w:rPr>
        <w:t xml:space="preserve">[הגה] </w:t>
      </w:r>
      <w:r w:rsidRPr="00532E67">
        <w:rPr>
          <w:rFonts w:cs="Arial"/>
          <w:sz w:val="18"/>
          <w:szCs w:val="18"/>
          <w:rtl/>
        </w:rPr>
        <w:t>וזה תבעו שניהם</w:t>
      </w:r>
      <w:r>
        <w:rPr>
          <w:rStyle w:val="ab"/>
          <w:rFonts w:cs="Arial"/>
          <w:sz w:val="18"/>
          <w:szCs w:val="18"/>
          <w:rtl/>
        </w:rPr>
        <w:footnoteReference w:id="1677"/>
      </w:r>
      <w:r w:rsidRPr="00532E67">
        <w:rPr>
          <w:rFonts w:cs="Arial"/>
          <w:sz w:val="18"/>
          <w:szCs w:val="18"/>
          <w:rtl/>
        </w:rPr>
        <w:t xml:space="preserve"> (טור)</w:t>
      </w:r>
      <w:r>
        <w:rPr>
          <w:rFonts w:cs="Arial"/>
          <w:rtl/>
        </w:rPr>
        <w:t>, או זה אומר: בדיוטא העליונה היו כשהלוהו</w:t>
      </w:r>
      <w:r>
        <w:rPr>
          <w:rFonts w:cs="Arial" w:hint="cs"/>
          <w:rtl/>
        </w:rPr>
        <w:t>,</w:t>
      </w:r>
      <w:r>
        <w:rPr>
          <w:rFonts w:cs="Arial"/>
          <w:rtl/>
        </w:rPr>
        <w:t xml:space="preserve"> והשני אומר: בדיוטא התחתונה היו, עדותן קיימת </w:t>
      </w:r>
      <w:r w:rsidRPr="00532E67">
        <w:rPr>
          <w:rFonts w:cs="Arial" w:hint="cs"/>
          <w:sz w:val="18"/>
          <w:szCs w:val="18"/>
          <w:rtl/>
        </w:rPr>
        <w:t xml:space="preserve">[הגה] </w:t>
      </w:r>
      <w:r w:rsidRPr="00532E67">
        <w:rPr>
          <w:rFonts w:cs="Arial"/>
          <w:sz w:val="18"/>
          <w:szCs w:val="18"/>
          <w:rtl/>
        </w:rPr>
        <w:t>אם המקומות קרובים שאפשר לראות מזה לזה (טור).</w:t>
      </w:r>
      <w:r>
        <w:rPr>
          <w:rFonts w:cs="Arial"/>
          <w:rtl/>
        </w:rPr>
        <w:t xml:space="preserve"> אפילו אמר האחד: מנה </w:t>
      </w:r>
      <w:r>
        <w:rPr>
          <w:rFonts w:cs="Arial"/>
          <w:rtl/>
        </w:rPr>
        <w:lastRenderedPageBreak/>
        <w:t xml:space="preserve">הלוהו, והשני אומר: </w:t>
      </w:r>
      <w:r>
        <w:rPr>
          <w:rFonts w:cs="Arial" w:hint="cs"/>
          <w:rtl/>
        </w:rPr>
        <w:t>מאתיים</w:t>
      </w:r>
      <w:r>
        <w:rPr>
          <w:rFonts w:cs="Arial"/>
          <w:rtl/>
        </w:rPr>
        <w:t xml:space="preserve">, חייב לשלם מנה, שיש בכלל </w:t>
      </w:r>
      <w:r>
        <w:rPr>
          <w:rFonts w:cs="Arial" w:hint="cs"/>
          <w:rtl/>
        </w:rPr>
        <w:t>מאתיים</w:t>
      </w:r>
      <w:r>
        <w:rPr>
          <w:rFonts w:cs="Arial"/>
          <w:rtl/>
        </w:rPr>
        <w:t xml:space="preserve"> מנה. וכן אם אמר האחד: דמי חבית של יין יש לו בידו, וזה אומר: דמי חבית של שמן, </w:t>
      </w:r>
      <w:r>
        <w:rPr>
          <w:rFonts w:cs="Arial" w:hint="cs"/>
          <w:sz w:val="18"/>
          <w:szCs w:val="18"/>
          <w:rtl/>
        </w:rPr>
        <w:t xml:space="preserve">[הגה] </w:t>
      </w:r>
      <w:r w:rsidRPr="00532E67">
        <w:rPr>
          <w:rFonts w:cs="Arial"/>
          <w:sz w:val="18"/>
          <w:szCs w:val="18"/>
          <w:rtl/>
        </w:rPr>
        <w:t xml:space="preserve">והוא תבעו שניהם (טור), </w:t>
      </w:r>
      <w:r>
        <w:rPr>
          <w:rFonts w:cs="Arial"/>
          <w:rtl/>
        </w:rPr>
        <w:t>משלם בפחות שבדמים. וכן כל כיוצא בזה</w:t>
      </w:r>
      <w:r>
        <w:rPr>
          <w:rFonts w:cs="Arial" w:hint="cs"/>
          <w:rtl/>
        </w:rPr>
        <w:t>.</w:t>
      </w:r>
      <w:r>
        <w:rPr>
          <w:rFonts w:cs="Arial"/>
          <w:rtl/>
        </w:rPr>
        <w:t xml:space="preserve"> </w:t>
      </w:r>
      <w:r w:rsidRPr="00532E67">
        <w:rPr>
          <w:rFonts w:cs="Arial" w:hint="cs"/>
          <w:sz w:val="18"/>
          <w:szCs w:val="18"/>
          <w:rtl/>
        </w:rPr>
        <w:t xml:space="preserve">[הגה] </w:t>
      </w:r>
      <w:r w:rsidRPr="00532E67">
        <w:rPr>
          <w:rFonts w:cs="Arial"/>
          <w:sz w:val="18"/>
          <w:szCs w:val="18"/>
          <w:rtl/>
        </w:rPr>
        <w:t xml:space="preserve">כל מקום שנוכל ליישב דברי העדים, שאין מכחישין זה את זה, מיישבין דבריהם, וכמו שנתבאר סי' כ"ט </w:t>
      </w:r>
      <w:r>
        <w:rPr>
          <w:rFonts w:cs="Arial" w:hint="cs"/>
          <w:sz w:val="18"/>
          <w:szCs w:val="18"/>
          <w:rtl/>
        </w:rPr>
        <w:t xml:space="preserve">סוף </w:t>
      </w:r>
      <w:r w:rsidRPr="00532E67">
        <w:rPr>
          <w:rFonts w:cs="Arial"/>
          <w:sz w:val="18"/>
          <w:szCs w:val="18"/>
          <w:rtl/>
        </w:rPr>
        <w:t>סעיף א'.</w:t>
      </w:r>
      <w:r>
        <w:rPr>
          <w:rFonts w:cs="Arial"/>
          <w:rtl/>
        </w:rPr>
        <w:t xml:space="preserve"> </w:t>
      </w:r>
    </w:p>
    <w:p w14:paraId="12731813" w14:textId="77777777" w:rsidR="004B607F" w:rsidRDefault="004B607F" w:rsidP="004B607F">
      <w:pPr>
        <w:rPr>
          <w:rtl/>
        </w:rPr>
      </w:pPr>
    </w:p>
    <w:p w14:paraId="646F5E87" w14:textId="77777777" w:rsidR="004B607F" w:rsidRDefault="004B607F" w:rsidP="004B607F">
      <w:pPr>
        <w:pStyle w:val="2"/>
        <w:rPr>
          <w:rtl/>
        </w:rPr>
      </w:pPr>
      <w:bookmarkStart w:id="236" w:name="_Toc24883708"/>
      <w:r>
        <w:rPr>
          <w:rtl/>
        </w:rPr>
        <w:t>סעיף ג</w:t>
      </w:r>
      <w:r>
        <w:rPr>
          <w:rFonts w:hint="cs"/>
          <w:rtl/>
        </w:rPr>
        <w:t>: תובע שהביא שני עדים וכל אחד מהעדים מעיד על סכום שונה.</w:t>
      </w:r>
      <w:bookmarkEnd w:id="236"/>
    </w:p>
    <w:p w14:paraId="1F8A41C7" w14:textId="77777777" w:rsidR="004B607F" w:rsidRPr="003F5172" w:rsidRDefault="004B607F" w:rsidP="004B607F">
      <w:pPr>
        <w:rPr>
          <w:rtl/>
        </w:rPr>
      </w:pPr>
      <w:r w:rsidRPr="003F5172">
        <w:rPr>
          <w:rFonts w:cs="Arial"/>
          <w:u w:val="single"/>
          <w:rtl/>
        </w:rPr>
        <w:t xml:space="preserve">ראובן תבע משמעון אלף </w:t>
      </w:r>
      <w:r w:rsidRPr="003F5172">
        <w:rPr>
          <w:rFonts w:cs="Arial" w:hint="cs"/>
          <w:u w:val="single"/>
          <w:rtl/>
        </w:rPr>
        <w:t>חמש מאות</w:t>
      </w:r>
      <w:r w:rsidRPr="003F5172">
        <w:rPr>
          <w:rFonts w:cs="Arial"/>
          <w:u w:val="single"/>
          <w:rtl/>
        </w:rPr>
        <w:t xml:space="preserve"> זהובים</w:t>
      </w:r>
      <w:r>
        <w:rPr>
          <w:rFonts w:cs="Arial" w:hint="cs"/>
          <w:u w:val="single"/>
          <w:rtl/>
        </w:rPr>
        <w:t>,</w:t>
      </w:r>
      <w:r w:rsidRPr="003F5172">
        <w:rPr>
          <w:rFonts w:cs="Arial"/>
          <w:u w:val="single"/>
          <w:rtl/>
        </w:rPr>
        <w:t xml:space="preserve"> ו</w:t>
      </w:r>
      <w:r>
        <w:rPr>
          <w:rFonts w:cs="Arial" w:hint="cs"/>
          <w:u w:val="single"/>
          <w:rtl/>
        </w:rPr>
        <w:t>ה</w:t>
      </w:r>
      <w:r w:rsidRPr="003F5172">
        <w:rPr>
          <w:rFonts w:cs="Arial"/>
          <w:u w:val="single"/>
          <w:rtl/>
        </w:rPr>
        <w:t>ביא חמשה עדים</w:t>
      </w:r>
      <w:r>
        <w:rPr>
          <w:rFonts w:cs="Arial" w:hint="cs"/>
          <w:u w:val="single"/>
          <w:rtl/>
        </w:rPr>
        <w:t>,</w:t>
      </w:r>
      <w:r w:rsidRPr="003F5172">
        <w:rPr>
          <w:rFonts w:cs="Arial" w:hint="cs"/>
          <w:u w:val="single"/>
          <w:rtl/>
        </w:rPr>
        <w:t xml:space="preserve"> וכל עד מעיד סכו</w:t>
      </w:r>
      <w:r>
        <w:rPr>
          <w:rFonts w:cs="Arial" w:hint="cs"/>
          <w:u w:val="single"/>
          <w:rtl/>
        </w:rPr>
        <w:t>ם</w:t>
      </w:r>
      <w:r w:rsidRPr="003F5172">
        <w:rPr>
          <w:rFonts w:cs="Arial" w:hint="cs"/>
          <w:u w:val="single"/>
          <w:rtl/>
        </w:rPr>
        <w:t xml:space="preserve"> </w:t>
      </w:r>
      <w:r>
        <w:rPr>
          <w:rFonts w:cs="Arial" w:hint="cs"/>
          <w:u w:val="single"/>
          <w:rtl/>
        </w:rPr>
        <w:t>שונה</w:t>
      </w:r>
      <w:r w:rsidRPr="003F5172">
        <w:rPr>
          <w:rFonts w:cs="Arial" w:hint="cs"/>
          <w:u w:val="single"/>
          <w:rtl/>
        </w:rPr>
        <w:t>:</w:t>
      </w:r>
    </w:p>
    <w:p w14:paraId="160A35E1" w14:textId="77777777" w:rsidR="004B607F" w:rsidRPr="006C380F" w:rsidRDefault="004B607F" w:rsidP="004B0475">
      <w:pPr>
        <w:pStyle w:val="ac"/>
        <w:numPr>
          <w:ilvl w:val="0"/>
          <w:numId w:val="86"/>
        </w:numPr>
        <w:rPr>
          <w:rtl/>
        </w:rPr>
      </w:pPr>
      <w:r w:rsidRPr="003F5172">
        <w:rPr>
          <w:rFonts w:cs="Arial"/>
          <w:rtl/>
        </w:rPr>
        <w:t>רמב"ן</w:t>
      </w:r>
      <w:r>
        <w:rPr>
          <w:rFonts w:cs="Arial" w:hint="cs"/>
          <w:rtl/>
        </w:rPr>
        <w:t xml:space="preserve"> </w:t>
      </w:r>
      <w:r w:rsidRPr="003F5172">
        <w:rPr>
          <w:rFonts w:cs="Arial"/>
          <w:rtl/>
        </w:rPr>
        <w:t xml:space="preserve">בעל התרומות </w:t>
      </w:r>
      <w:r w:rsidRPr="003F5172">
        <w:rPr>
          <w:rFonts w:cs="Arial" w:hint="cs"/>
          <w:sz w:val="16"/>
          <w:szCs w:val="16"/>
          <w:rtl/>
        </w:rPr>
        <w:t>(</w:t>
      </w:r>
      <w:r w:rsidRPr="003F5172">
        <w:rPr>
          <w:rFonts w:cs="Arial"/>
          <w:sz w:val="16"/>
          <w:szCs w:val="16"/>
          <w:rtl/>
        </w:rPr>
        <w:t>שער סו שם סי' ד)</w:t>
      </w:r>
      <w:r>
        <w:rPr>
          <w:rFonts w:cs="Arial" w:hint="cs"/>
          <w:sz w:val="16"/>
          <w:szCs w:val="16"/>
          <w:rtl/>
        </w:rPr>
        <w:t xml:space="preserve"> </w:t>
      </w:r>
      <w:r>
        <w:rPr>
          <w:rFonts w:cs="Arial" w:hint="cs"/>
          <w:rtl/>
        </w:rPr>
        <w:t>וטור-</w:t>
      </w:r>
      <w:r w:rsidRPr="007F4A1F">
        <w:rPr>
          <w:rtl/>
        </w:rPr>
        <w:t xml:space="preserve"> </w:t>
      </w:r>
      <w:r>
        <w:rPr>
          <w:rStyle w:val="ab"/>
          <w:rFonts w:cs="Arial"/>
          <w:rtl/>
        </w:rPr>
        <w:footnoteReference w:id="1678"/>
      </w:r>
      <w:r w:rsidRPr="007F4A1F">
        <w:rPr>
          <w:rFonts w:cs="Arial"/>
          <w:rtl/>
        </w:rPr>
        <w:t>אם העידו כל אחד בעדות מיוחדת</w:t>
      </w:r>
      <w:r>
        <w:rPr>
          <w:rFonts w:cs="Arial" w:hint="cs"/>
          <w:rtl/>
        </w:rPr>
        <w:t>,</w:t>
      </w:r>
      <w:r w:rsidRPr="007F4A1F">
        <w:rPr>
          <w:rFonts w:cs="Arial"/>
          <w:rtl/>
        </w:rPr>
        <w:t xml:space="preserve"> כגון שאמר הראשון באחד בניסן בשנה ראשונה</w:t>
      </w:r>
      <w:r>
        <w:rPr>
          <w:rFonts w:cs="Arial" w:hint="cs"/>
          <w:rtl/>
        </w:rPr>
        <w:t>,</w:t>
      </w:r>
      <w:r w:rsidRPr="007F4A1F">
        <w:rPr>
          <w:rFonts w:cs="Arial"/>
          <w:rtl/>
        </w:rPr>
        <w:t xml:space="preserve"> והשני בזמן אחר</w:t>
      </w:r>
      <w:r>
        <w:rPr>
          <w:rFonts w:cs="Arial" w:hint="cs"/>
          <w:rtl/>
        </w:rPr>
        <w:t>,</w:t>
      </w:r>
      <w:r w:rsidRPr="007F4A1F">
        <w:rPr>
          <w:rFonts w:cs="Arial"/>
          <w:rtl/>
        </w:rPr>
        <w:t xml:space="preserve"> וכן כלם</w:t>
      </w:r>
      <w:r>
        <w:rPr>
          <w:rFonts w:cs="Arial" w:hint="cs"/>
          <w:rtl/>
        </w:rPr>
        <w:t xml:space="preserve"> -</w:t>
      </w:r>
      <w:r w:rsidRPr="007F4A1F">
        <w:rPr>
          <w:rFonts w:cs="Arial"/>
          <w:rtl/>
        </w:rPr>
        <w:t xml:space="preserve"> משלם כמו שאמרת ז' מאות דינרין</w:t>
      </w:r>
      <w:r>
        <w:rPr>
          <w:rFonts w:cs="Arial" w:hint="cs"/>
          <w:rtl/>
        </w:rPr>
        <w:t>.</w:t>
      </w:r>
      <w:r w:rsidRPr="007F4A1F">
        <w:rPr>
          <w:rFonts w:cs="Arial"/>
          <w:rtl/>
        </w:rPr>
        <w:t xml:space="preserve"> שמשלם ק"ק מתוך ג' מאות</w:t>
      </w:r>
      <w:r>
        <w:rPr>
          <w:rFonts w:cs="Arial" w:hint="cs"/>
          <w:rtl/>
        </w:rPr>
        <w:t>,</w:t>
      </w:r>
      <w:r w:rsidRPr="007F4A1F">
        <w:rPr>
          <w:rFonts w:cs="Arial"/>
          <w:rtl/>
        </w:rPr>
        <w:t xml:space="preserve"> ומשלם ד' מאות מתוך ה' מאות, עוד נצרף עד של מנה עם העד של ה' מאות במאתים דינרין שנשארו מעדותו, שהרי ראוי לצרוף הוא, שזה אומר הלוהו ראובן לשמעון מנה באחד בניסן וזה מעיד לו על ה' מאות מזמן אחר ולא גרענו מעדותו כי אם ד' מאות, נשארו מנה שראוי להצטרף עם עד ראשון. וכך ראוי להצטרף עם עד של ג' מאות שנשאר לנו בעדותו מנה שלא נשתלם</w:t>
      </w:r>
      <w:r>
        <w:rPr>
          <w:rStyle w:val="ab"/>
          <w:rFonts w:cs="Arial"/>
          <w:rtl/>
        </w:rPr>
        <w:footnoteReference w:id="1679"/>
      </w:r>
      <w:r w:rsidRPr="007F4A1F">
        <w:rPr>
          <w:rFonts w:cs="Arial"/>
          <w:rtl/>
        </w:rPr>
        <w:t>. וכן החשבון שכתבת בלשון אחרון כך הוא עולה, והכל דין אחד הוא, ונוטל ז' מאות מתוך אלף ות"ק שהם סכום כולם. אבל אם העידו ביום אחד בהכחשה אינו משלם אלא מאתים, דכיון דיש כאן שני עדים שאין הלואה זו ביתר ממאתים אפילו מאה עדים מעידים עליו ביתר מכן פטור. ואם העידו סתם דנין הדבר כמכחישין להקל, דהא בגמ' לקולא הוינן, דמקשינן לרבנן הודאה נמי אמנה דקא מסהדי האי לא קא מסהדי האי וכו', ולא אמרינן הודאה אחר הודאה דבחד מנה קא מסהדי הלואה אחר הלואה לא אפשר, אלמא לבטולי סהדותיה מהדרינן. וכן הדין, שהמוציא מחברו עליו הראיה, ע"כ.</w:t>
      </w:r>
      <w:r w:rsidRPr="003350A3">
        <w:rPr>
          <w:rFonts w:hint="cs"/>
          <w:color w:val="E36C0A" w:themeColor="accent6" w:themeShade="BF"/>
          <w:rtl/>
        </w:rPr>
        <w:t xml:space="preserve"> (וכ"פ בשו"ע)</w:t>
      </w:r>
    </w:p>
    <w:p w14:paraId="20C1B043" w14:textId="77777777" w:rsidR="004B607F" w:rsidRPr="003024E5" w:rsidRDefault="004B607F" w:rsidP="004B607F">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4193C4AB" w14:textId="77777777" w:rsidR="004B607F" w:rsidRDefault="004B607F" w:rsidP="004B607F">
      <w:pPr>
        <w:rPr>
          <w:rtl/>
        </w:rPr>
      </w:pPr>
      <w:r>
        <w:rPr>
          <w:rFonts w:cs="Arial"/>
          <w:rtl/>
        </w:rPr>
        <w:t>ראובן תבע משמעון אלף ו</w:t>
      </w:r>
      <w:r>
        <w:rPr>
          <w:rFonts w:cs="Arial" w:hint="cs"/>
          <w:rtl/>
        </w:rPr>
        <w:t>חמש מאון</w:t>
      </w:r>
      <w:r>
        <w:rPr>
          <w:rFonts w:cs="Arial"/>
          <w:rtl/>
        </w:rPr>
        <w:t xml:space="preserve"> זהובים, ומביא </w:t>
      </w:r>
      <w:r>
        <w:rPr>
          <w:rFonts w:cs="Arial" w:hint="cs"/>
          <w:rtl/>
        </w:rPr>
        <w:t>חמשה</w:t>
      </w:r>
      <w:r>
        <w:rPr>
          <w:rFonts w:cs="Arial"/>
          <w:rtl/>
        </w:rPr>
        <w:t xml:space="preserve"> עדים</w:t>
      </w:r>
      <w:r>
        <w:rPr>
          <w:rFonts w:cs="Arial" w:hint="cs"/>
          <w:rtl/>
        </w:rPr>
        <w:t>.</w:t>
      </w:r>
      <w:r>
        <w:rPr>
          <w:rFonts w:cs="Arial"/>
          <w:rtl/>
        </w:rPr>
        <w:t xml:space="preserve"> אחד אומר: ראיתי שהלוהו </w:t>
      </w:r>
      <w:r>
        <w:rPr>
          <w:rFonts w:cs="Arial" w:hint="cs"/>
          <w:rtl/>
        </w:rPr>
        <w:t>מנה</w:t>
      </w:r>
      <w:r>
        <w:rPr>
          <w:rFonts w:cs="Arial"/>
          <w:rtl/>
        </w:rPr>
        <w:t xml:space="preserve">, ואחד מעיד על </w:t>
      </w:r>
      <w:r>
        <w:rPr>
          <w:rFonts w:cs="Arial" w:hint="cs"/>
          <w:rtl/>
        </w:rPr>
        <w:t>מאתיים</w:t>
      </w:r>
      <w:r>
        <w:rPr>
          <w:rFonts w:cs="Arial"/>
          <w:rtl/>
        </w:rPr>
        <w:t>, ואחד מעיד על ש</w:t>
      </w:r>
      <w:r>
        <w:rPr>
          <w:rFonts w:cs="Arial" w:hint="cs"/>
          <w:rtl/>
        </w:rPr>
        <w:t>לש מאות</w:t>
      </w:r>
      <w:r>
        <w:rPr>
          <w:rFonts w:cs="Arial"/>
          <w:rtl/>
        </w:rPr>
        <w:t xml:space="preserve">, ואחד על </w:t>
      </w:r>
      <w:r>
        <w:rPr>
          <w:rFonts w:cs="Arial" w:hint="cs"/>
          <w:rtl/>
        </w:rPr>
        <w:t>ארבע מאות</w:t>
      </w:r>
      <w:r>
        <w:rPr>
          <w:rFonts w:cs="Arial"/>
          <w:rtl/>
        </w:rPr>
        <w:t xml:space="preserve">, ואחד על </w:t>
      </w:r>
      <w:r>
        <w:rPr>
          <w:rFonts w:cs="Arial" w:hint="cs"/>
          <w:rtl/>
        </w:rPr>
        <w:t>חמש מאות</w:t>
      </w:r>
      <w:r>
        <w:rPr>
          <w:rFonts w:cs="Arial"/>
          <w:rtl/>
        </w:rPr>
        <w:t>, אם העידו כל אחד מהם בעדות מיוחדת</w:t>
      </w:r>
      <w:r>
        <w:rPr>
          <w:rStyle w:val="ab"/>
          <w:rFonts w:cs="Arial"/>
          <w:rtl/>
        </w:rPr>
        <w:footnoteReference w:id="1680"/>
      </w:r>
      <w:r>
        <w:rPr>
          <w:rFonts w:cs="Arial"/>
          <w:rtl/>
        </w:rPr>
        <w:t xml:space="preserve">, כגון שאמר הראשון: באחד בניסן בשנה הראשונה, והשני אומר בזמן אחר, וכן כולם, משלם </w:t>
      </w:r>
      <w:r>
        <w:rPr>
          <w:rFonts w:cs="Arial" w:hint="cs"/>
          <w:rtl/>
        </w:rPr>
        <w:t>שבע מאות</w:t>
      </w:r>
      <w:r>
        <w:rPr>
          <w:rFonts w:cs="Arial"/>
          <w:rtl/>
        </w:rPr>
        <w:t>, וישבע שבועת התורה על מאה</w:t>
      </w:r>
      <w:r>
        <w:rPr>
          <w:rStyle w:val="ab"/>
          <w:rFonts w:cs="Arial"/>
          <w:rtl/>
        </w:rPr>
        <w:footnoteReference w:id="1681"/>
      </w:r>
      <w:r>
        <w:rPr>
          <w:rFonts w:cs="Arial"/>
          <w:rtl/>
        </w:rPr>
        <w:t>, ויגלגל עליו ה</w:t>
      </w:r>
      <w:r>
        <w:rPr>
          <w:rFonts w:cs="Arial" w:hint="cs"/>
          <w:rtl/>
        </w:rPr>
        <w:t>שבע מאות</w:t>
      </w:r>
      <w:r>
        <w:rPr>
          <w:rFonts w:cs="Arial"/>
          <w:rtl/>
        </w:rPr>
        <w:t xml:space="preserve"> שנשארו. אבל אם העידו כולם ביום א</w:t>
      </w:r>
      <w:r>
        <w:rPr>
          <w:rFonts w:cs="Arial" w:hint="cs"/>
          <w:rtl/>
        </w:rPr>
        <w:t>חד</w:t>
      </w:r>
      <w:r>
        <w:rPr>
          <w:rFonts w:cs="Arial"/>
          <w:rtl/>
        </w:rPr>
        <w:t>, בהכחשה</w:t>
      </w:r>
      <w:r>
        <w:rPr>
          <w:rStyle w:val="ab"/>
          <w:rFonts w:cs="Arial"/>
          <w:rtl/>
        </w:rPr>
        <w:footnoteReference w:id="1682"/>
      </w:r>
      <w:r>
        <w:rPr>
          <w:rFonts w:cs="Arial"/>
          <w:rtl/>
        </w:rPr>
        <w:t xml:space="preserve">, אינו משלם אלא </w:t>
      </w:r>
      <w:r>
        <w:rPr>
          <w:rFonts w:cs="Arial" w:hint="cs"/>
          <w:rtl/>
        </w:rPr>
        <w:t>מאתיים</w:t>
      </w:r>
      <w:r>
        <w:rPr>
          <w:rFonts w:cs="Arial"/>
          <w:rtl/>
        </w:rPr>
        <w:t xml:space="preserve">. וכן אם העידו סתם, דנין הדבר כמכחישין, להקל, שהמוציא מחבירו עליו הראיה. </w:t>
      </w:r>
    </w:p>
    <w:p w14:paraId="5CECB527" w14:textId="77777777" w:rsidR="004B607F" w:rsidRDefault="004B607F" w:rsidP="004B607F">
      <w:pPr>
        <w:rPr>
          <w:rtl/>
        </w:rPr>
      </w:pPr>
    </w:p>
    <w:p w14:paraId="7FEE7B9F" w14:textId="77777777" w:rsidR="004B607F" w:rsidRDefault="004B607F" w:rsidP="004B607F">
      <w:pPr>
        <w:pStyle w:val="2"/>
        <w:rPr>
          <w:rtl/>
        </w:rPr>
      </w:pPr>
      <w:bookmarkStart w:id="237" w:name="_Toc24883709"/>
      <w:r>
        <w:rPr>
          <w:rtl/>
        </w:rPr>
        <w:t>סעיף ד</w:t>
      </w:r>
      <w:r>
        <w:rPr>
          <w:rFonts w:hint="cs"/>
          <w:rtl/>
        </w:rPr>
        <w:t>:</w:t>
      </w:r>
      <w:r w:rsidRPr="0079724C">
        <w:rPr>
          <w:rFonts w:cs="Arial"/>
          <w:rtl/>
        </w:rPr>
        <w:t xml:space="preserve"> </w:t>
      </w:r>
      <w:r w:rsidRPr="006C380F">
        <w:rPr>
          <w:rFonts w:cs="Arial"/>
          <w:rtl/>
        </w:rPr>
        <w:t>עד המעיד ראיתי דבר זה ופלוני היה עמי</w:t>
      </w:r>
      <w:r>
        <w:rPr>
          <w:rFonts w:hint="cs"/>
          <w:rtl/>
        </w:rPr>
        <w:t xml:space="preserve"> </w:t>
      </w:r>
      <w:r>
        <w:rPr>
          <w:rtl/>
        </w:rPr>
        <w:t>–</w:t>
      </w:r>
      <w:r>
        <w:rPr>
          <w:rFonts w:hint="cs"/>
          <w:rtl/>
        </w:rPr>
        <w:t xml:space="preserve"> ואותו פלוני מכחישו.</w:t>
      </w:r>
      <w:bookmarkEnd w:id="237"/>
    </w:p>
    <w:p w14:paraId="7B097686" w14:textId="77777777" w:rsidR="004B607F" w:rsidRDefault="004B607F" w:rsidP="004B607F">
      <w:pPr>
        <w:rPr>
          <w:rFonts w:cs="Arial"/>
          <w:rtl/>
        </w:rPr>
      </w:pPr>
      <w:r w:rsidRPr="0079724C">
        <w:rPr>
          <w:rFonts w:cs="Arial"/>
          <w:u w:val="single"/>
          <w:rtl/>
        </w:rPr>
        <w:t>עד המעיד ראיתי דבר זה ופלוני היה עמי –</w:t>
      </w:r>
      <w:r w:rsidRPr="0079724C">
        <w:rPr>
          <w:rFonts w:cs="Arial" w:hint="cs"/>
          <w:u w:val="single"/>
          <w:rtl/>
        </w:rPr>
        <w:t xml:space="preserve"> ואותו פלוני מכחישו:</w:t>
      </w:r>
    </w:p>
    <w:p w14:paraId="3514E4F2" w14:textId="77777777" w:rsidR="004B607F" w:rsidRDefault="004B607F" w:rsidP="004B0475">
      <w:pPr>
        <w:pStyle w:val="ac"/>
        <w:numPr>
          <w:ilvl w:val="0"/>
          <w:numId w:val="86"/>
        </w:numPr>
        <w:rPr>
          <w:rFonts w:cs="Arial"/>
        </w:rPr>
      </w:pPr>
      <w:r w:rsidRPr="0079724C">
        <w:rPr>
          <w:rFonts w:cs="Arial"/>
          <w:rtl/>
        </w:rPr>
        <w:lastRenderedPageBreak/>
        <w:t>רא"ש</w:t>
      </w:r>
      <w:r w:rsidRPr="0079724C">
        <w:rPr>
          <w:rFonts w:cs="Arial"/>
          <w:sz w:val="16"/>
          <w:szCs w:val="16"/>
          <w:rtl/>
        </w:rPr>
        <w:t xml:space="preserve"> </w:t>
      </w:r>
      <w:r w:rsidRPr="0079724C">
        <w:rPr>
          <w:rFonts w:cs="Arial" w:hint="cs"/>
          <w:sz w:val="16"/>
          <w:szCs w:val="16"/>
          <w:rtl/>
        </w:rPr>
        <w:t>(</w:t>
      </w:r>
      <w:r w:rsidRPr="0079724C">
        <w:rPr>
          <w:rFonts w:cs="Arial"/>
          <w:sz w:val="16"/>
          <w:szCs w:val="16"/>
          <w:rtl/>
        </w:rPr>
        <w:t>כלל נט סי</w:t>
      </w:r>
      <w:r w:rsidRPr="0079724C">
        <w:rPr>
          <w:rFonts w:cs="Arial" w:hint="cs"/>
          <w:sz w:val="16"/>
          <w:szCs w:val="16"/>
          <w:rtl/>
        </w:rPr>
        <w:t>'</w:t>
      </w:r>
      <w:r w:rsidRPr="0079724C">
        <w:rPr>
          <w:rFonts w:cs="Arial"/>
          <w:sz w:val="16"/>
          <w:szCs w:val="16"/>
          <w:rtl/>
        </w:rPr>
        <w:t xml:space="preserve"> א</w:t>
      </w:r>
      <w:r w:rsidRPr="0079724C">
        <w:rPr>
          <w:rFonts w:cs="Arial" w:hint="cs"/>
          <w:sz w:val="16"/>
          <w:szCs w:val="16"/>
          <w:rtl/>
        </w:rPr>
        <w:t>)</w:t>
      </w:r>
      <w:r w:rsidRPr="0079724C">
        <w:rPr>
          <w:rFonts w:cs="Arial" w:hint="cs"/>
          <w:rtl/>
        </w:rPr>
        <w:t>-</w:t>
      </w:r>
      <w:r w:rsidRPr="0079724C">
        <w:rPr>
          <w:rFonts w:cs="Arial"/>
          <w:rtl/>
        </w:rPr>
        <w:t xml:space="preserve"> עד המעיד ראיתי דבר זה ופלוני היה עמי</w:t>
      </w:r>
      <w:r w:rsidRPr="0079724C">
        <w:rPr>
          <w:rFonts w:cs="Arial" w:hint="cs"/>
          <w:rtl/>
        </w:rPr>
        <w:t>,</w:t>
      </w:r>
      <w:r w:rsidRPr="0079724C">
        <w:rPr>
          <w:rFonts w:cs="Arial"/>
          <w:rtl/>
        </w:rPr>
        <w:t xml:space="preserve"> ואותו פלוני אומר לא ראיתי ולא הייתי עמך</w:t>
      </w:r>
      <w:r>
        <w:rPr>
          <w:rFonts w:cs="Arial" w:hint="cs"/>
          <w:rtl/>
        </w:rPr>
        <w:t xml:space="preserve"> -</w:t>
      </w:r>
      <w:r w:rsidRPr="0079724C">
        <w:rPr>
          <w:rFonts w:cs="Arial"/>
          <w:rtl/>
        </w:rPr>
        <w:t xml:space="preserve"> אין זה הכחשה</w:t>
      </w:r>
      <w:r>
        <w:rPr>
          <w:rFonts w:cs="Arial" w:hint="cs"/>
          <w:rtl/>
        </w:rPr>
        <w:t>,</w:t>
      </w:r>
      <w:r w:rsidRPr="0079724C">
        <w:rPr>
          <w:rFonts w:cs="Arial"/>
          <w:rtl/>
        </w:rPr>
        <w:t xml:space="preserve"> כי בגוף העדות לא אתכחיש כלל</w:t>
      </w:r>
      <w:r w:rsidRPr="0079724C">
        <w:rPr>
          <w:rFonts w:cs="Arial" w:hint="cs"/>
          <w:rtl/>
        </w:rPr>
        <w:t>,</w:t>
      </w:r>
      <w:r w:rsidRPr="0079724C">
        <w:rPr>
          <w:rFonts w:cs="Arial"/>
          <w:rtl/>
        </w:rPr>
        <w:t xml:space="preserve"> כי לא רמיא עליה דסהדא למידכר מי היה עמו בעדות</w:t>
      </w:r>
      <w:r>
        <w:rPr>
          <w:rStyle w:val="ab"/>
          <w:rFonts w:cs="Arial"/>
          <w:rtl/>
        </w:rPr>
        <w:footnoteReference w:id="1683"/>
      </w:r>
      <w:r w:rsidRPr="0079724C">
        <w:rPr>
          <w:rFonts w:cs="Arial" w:hint="cs"/>
          <w:rtl/>
        </w:rPr>
        <w:t>.</w:t>
      </w:r>
      <w:r w:rsidRPr="009B0D03">
        <w:rPr>
          <w:rFonts w:hint="cs"/>
          <w:color w:val="E36C0A" w:themeColor="accent6" w:themeShade="BF"/>
          <w:rtl/>
        </w:rPr>
        <w:t xml:space="preserve"> (וכ"פ בשו"ע)</w:t>
      </w:r>
      <w:r>
        <w:rPr>
          <w:rFonts w:cs="Arial" w:hint="cs"/>
          <w:rtl/>
        </w:rPr>
        <w:t xml:space="preserve"> </w:t>
      </w:r>
      <w:r w:rsidRPr="00DA1411">
        <w:rPr>
          <w:rFonts w:cs="Arial" w:hint="cs"/>
          <w:color w:val="00B0F0"/>
          <w:rtl/>
        </w:rPr>
        <w:t xml:space="preserve">(וכ"פ הרמ"א </w:t>
      </w:r>
      <w:r>
        <w:rPr>
          <w:rFonts w:cs="Arial" w:hint="cs"/>
          <w:sz w:val="16"/>
          <w:szCs w:val="16"/>
          <w:rtl/>
        </w:rPr>
        <w:t>[סי' כט ס"ג]</w:t>
      </w:r>
      <w:r w:rsidRPr="00DA1411">
        <w:rPr>
          <w:rFonts w:cs="Arial" w:hint="cs"/>
          <w:color w:val="00B0F0"/>
          <w:rtl/>
        </w:rPr>
        <w:t>)</w:t>
      </w:r>
    </w:p>
    <w:p w14:paraId="7D9FF1E6" w14:textId="77777777" w:rsidR="004B607F" w:rsidRPr="0079724C" w:rsidRDefault="004B607F" w:rsidP="004B607F">
      <w:pPr>
        <w:rPr>
          <w:rFonts w:cs="Arial"/>
          <w:u w:val="single"/>
        </w:rPr>
      </w:pPr>
      <w:r w:rsidRPr="0079724C">
        <w:rPr>
          <w:rFonts w:cs="Arial" w:hint="cs"/>
          <w:u w:val="single"/>
          <w:rtl/>
        </w:rPr>
        <w:t>מעשה בדין בין חזן למי ששכר אותו:</w:t>
      </w:r>
    </w:p>
    <w:p w14:paraId="7C100A86" w14:textId="77777777" w:rsidR="004B607F" w:rsidRPr="0079724C" w:rsidRDefault="004B607F" w:rsidP="004B0475">
      <w:pPr>
        <w:pStyle w:val="ac"/>
        <w:numPr>
          <w:ilvl w:val="0"/>
          <w:numId w:val="86"/>
        </w:numPr>
        <w:rPr>
          <w:rFonts w:cs="Arial"/>
          <w:rtl/>
        </w:rPr>
      </w:pPr>
      <w:r w:rsidRPr="0079724C">
        <w:rPr>
          <w:rFonts w:cs="Arial"/>
          <w:rtl/>
        </w:rPr>
        <w:t>ריב"ש</w:t>
      </w:r>
      <w:r w:rsidRPr="0079724C">
        <w:rPr>
          <w:rFonts w:cs="Arial" w:hint="cs"/>
          <w:rtl/>
        </w:rPr>
        <w:t xml:space="preserve"> </w:t>
      </w:r>
      <w:r w:rsidRPr="0079724C">
        <w:rPr>
          <w:rFonts w:cs="Arial" w:hint="cs"/>
          <w:sz w:val="16"/>
          <w:szCs w:val="16"/>
          <w:rtl/>
        </w:rPr>
        <w:t>(</w:t>
      </w:r>
      <w:r w:rsidRPr="0079724C">
        <w:rPr>
          <w:rFonts w:cs="Arial"/>
          <w:sz w:val="16"/>
          <w:szCs w:val="16"/>
          <w:rtl/>
        </w:rPr>
        <w:t>סי</w:t>
      </w:r>
      <w:r w:rsidRPr="0079724C">
        <w:rPr>
          <w:rFonts w:cs="Arial" w:hint="cs"/>
          <w:sz w:val="16"/>
          <w:szCs w:val="16"/>
          <w:rtl/>
        </w:rPr>
        <w:t>'</w:t>
      </w:r>
      <w:r w:rsidRPr="0079724C">
        <w:rPr>
          <w:rFonts w:cs="Arial"/>
          <w:sz w:val="16"/>
          <w:szCs w:val="16"/>
          <w:rtl/>
        </w:rPr>
        <w:t xml:space="preserve"> תעו)</w:t>
      </w:r>
      <w:r w:rsidRPr="0079724C">
        <w:rPr>
          <w:rFonts w:cs="Arial" w:hint="cs"/>
          <w:rtl/>
        </w:rPr>
        <w:t>-</w:t>
      </w:r>
      <w:r w:rsidRPr="0079724C">
        <w:rPr>
          <w:rFonts w:cs="Arial"/>
          <w:rtl/>
        </w:rPr>
        <w:t xml:space="preserve"> עיינתי בשטר העדיות שהעידו העדים האחרים</w:t>
      </w:r>
      <w:r w:rsidRPr="0079724C">
        <w:rPr>
          <w:rFonts w:cs="Arial" w:hint="cs"/>
          <w:rtl/>
        </w:rPr>
        <w:t>,</w:t>
      </w:r>
      <w:r w:rsidRPr="0079724C">
        <w:rPr>
          <w:rFonts w:cs="Arial"/>
          <w:rtl/>
        </w:rPr>
        <w:t xml:space="preserve"> ואיני רואה בהם מי שיכחיש עדותו של רבי שם טוב</w:t>
      </w:r>
      <w:r w:rsidRPr="0079724C">
        <w:rPr>
          <w:rFonts w:cs="Arial" w:hint="cs"/>
          <w:rtl/>
        </w:rPr>
        <w:t>,</w:t>
      </w:r>
      <w:r w:rsidRPr="0079724C">
        <w:rPr>
          <w:rFonts w:cs="Arial"/>
          <w:rtl/>
        </w:rPr>
        <w:t xml:space="preserve"> לפי שכולם אומרים שהדברים שהיו שם על פה אינם נזכרים מהם</w:t>
      </w:r>
      <w:r w:rsidRPr="0079724C">
        <w:rPr>
          <w:rFonts w:cs="Arial" w:hint="cs"/>
          <w:rtl/>
        </w:rPr>
        <w:t>,</w:t>
      </w:r>
      <w:r w:rsidRPr="0079724C">
        <w:rPr>
          <w:rFonts w:cs="Arial"/>
          <w:rtl/>
        </w:rPr>
        <w:t xml:space="preserve"> ואין זה הכחשה</w:t>
      </w:r>
      <w:r w:rsidRPr="0079724C">
        <w:rPr>
          <w:rFonts w:cs="Arial" w:hint="cs"/>
          <w:rtl/>
        </w:rPr>
        <w:t>,</w:t>
      </w:r>
      <w:r w:rsidRPr="0079724C">
        <w:rPr>
          <w:rFonts w:cs="Arial"/>
          <w:rtl/>
        </w:rPr>
        <w:t xml:space="preserve"> ואע</w:t>
      </w:r>
      <w:r w:rsidRPr="0079724C">
        <w:rPr>
          <w:rFonts w:cs="Arial" w:hint="cs"/>
          <w:rtl/>
        </w:rPr>
        <w:t>"</w:t>
      </w:r>
      <w:r w:rsidRPr="0079724C">
        <w:rPr>
          <w:rFonts w:cs="Arial"/>
          <w:rtl/>
        </w:rPr>
        <w:t>פ שאומרים בעדותם שכל התנאים נכתבו ונחתמו</w:t>
      </w:r>
      <w:r w:rsidRPr="0079724C">
        <w:rPr>
          <w:rFonts w:cs="Arial" w:hint="cs"/>
          <w:rtl/>
        </w:rPr>
        <w:t>,</w:t>
      </w:r>
      <w:r w:rsidRPr="0079724C">
        <w:rPr>
          <w:rFonts w:cs="Arial"/>
          <w:rtl/>
        </w:rPr>
        <w:t xml:space="preserve"> איפשר שהם אינם מחשיבים לתנאי הדברים שנאמרו על פה כמו שבא זה בטענת הברורים</w:t>
      </w:r>
      <w:r w:rsidRPr="0079724C">
        <w:rPr>
          <w:rFonts w:cs="Arial" w:hint="cs"/>
          <w:rtl/>
        </w:rPr>
        <w:t>,</w:t>
      </w:r>
      <w:r w:rsidRPr="0079724C">
        <w:rPr>
          <w:rFonts w:cs="Arial"/>
          <w:rtl/>
        </w:rPr>
        <w:t xml:space="preserve"> וחושבים שזולת מה שנכתב ונחתם שהכל יהיה דברים בעלמא ולא תנאי קיים</w:t>
      </w:r>
      <w:r w:rsidRPr="0079724C">
        <w:rPr>
          <w:rFonts w:cs="Arial" w:hint="cs"/>
          <w:rtl/>
        </w:rPr>
        <w:t>,</w:t>
      </w:r>
      <w:r w:rsidRPr="0079724C">
        <w:rPr>
          <w:rFonts w:cs="Arial"/>
          <w:rtl/>
        </w:rPr>
        <w:t xml:space="preserve"> ויש לנו לומר כן כדי שלא נאמר שהם מכחישים זה את זה</w:t>
      </w:r>
      <w:r w:rsidRPr="0079724C">
        <w:rPr>
          <w:rFonts w:cs="Arial" w:hint="cs"/>
          <w:rtl/>
        </w:rPr>
        <w:t>,</w:t>
      </w:r>
      <w:r w:rsidRPr="0079724C">
        <w:rPr>
          <w:rFonts w:cs="Arial"/>
          <w:rtl/>
        </w:rPr>
        <w:t xml:space="preserve"> כדתנן בפרק היו בודקין </w:t>
      </w:r>
      <w:r w:rsidRPr="0079724C">
        <w:rPr>
          <w:rFonts w:cs="Arial"/>
          <w:sz w:val="16"/>
          <w:szCs w:val="16"/>
          <w:rtl/>
        </w:rPr>
        <w:t xml:space="preserve">(מ.) </w:t>
      </w:r>
      <w:r w:rsidRPr="0079724C">
        <w:rPr>
          <w:rFonts w:cs="Arial"/>
          <w:rtl/>
        </w:rPr>
        <w:t>אחד אומר בשנים בחדש ואחד אומר בשלשה עדותן קיימת שזה ידע בעיבורו של חדש וזה לא ידע</w:t>
      </w:r>
      <w:r>
        <w:rPr>
          <w:rFonts w:cs="Arial" w:hint="cs"/>
          <w:rtl/>
        </w:rPr>
        <w:t>.</w:t>
      </w:r>
      <w:r w:rsidRPr="0079724C">
        <w:rPr>
          <w:rFonts w:cs="Arial"/>
          <w:rtl/>
        </w:rPr>
        <w:t xml:space="preserve"> וכיון שאין אחד מהם מכחיש עדות רבי שם טוב המעיד על הדברים שהיו על פה בין החזן והברורים בשעת שכירות והקיום</w:t>
      </w:r>
      <w:r w:rsidRPr="0079724C">
        <w:rPr>
          <w:rFonts w:cs="Arial" w:hint="cs"/>
          <w:rtl/>
        </w:rPr>
        <w:t xml:space="preserve"> -</w:t>
      </w:r>
      <w:r w:rsidRPr="0079724C">
        <w:rPr>
          <w:rFonts w:cs="Arial"/>
          <w:rtl/>
        </w:rPr>
        <w:t xml:space="preserve"> אם כן נתחייבו ברורי השנה ראשונה שבועה להכחיש עדות רבי שם טוב</w:t>
      </w:r>
      <w:r w:rsidRPr="0079724C">
        <w:rPr>
          <w:rFonts w:cs="Arial" w:hint="cs"/>
          <w:rtl/>
        </w:rPr>
        <w:t>,</w:t>
      </w:r>
      <w:r w:rsidRPr="0079724C">
        <w:rPr>
          <w:rFonts w:cs="Arial"/>
          <w:rtl/>
        </w:rPr>
        <w:t xml:space="preserve"> ואיני רואה שיכחישוהו בדבריהם אך אמרו בשבועתם שזולת כל העניינים הכתובים וחתומים לא נזכר להן שום דבר ואין זו הכחשה לעדות רבי שם טוב</w:t>
      </w:r>
      <w:r w:rsidRPr="0079724C">
        <w:rPr>
          <w:rFonts w:cs="Arial" w:hint="cs"/>
          <w:rtl/>
        </w:rPr>
        <w:t>,</w:t>
      </w:r>
      <w:r w:rsidRPr="0079724C">
        <w:rPr>
          <w:rFonts w:cs="Arial"/>
          <w:rtl/>
        </w:rPr>
        <w:t xml:space="preserve"> ואם כן הרי הברורים מחוייבים שבועה להכחיש העד</w:t>
      </w:r>
      <w:r w:rsidRPr="0079724C">
        <w:rPr>
          <w:rFonts w:cs="Arial" w:hint="cs"/>
          <w:rtl/>
        </w:rPr>
        <w:t>,</w:t>
      </w:r>
      <w:r w:rsidRPr="0079724C">
        <w:rPr>
          <w:rFonts w:cs="Arial"/>
          <w:rtl/>
        </w:rPr>
        <w:t xml:space="preserve"> ואינם יכולים לישבע להכחישו כיון שאינם זכורים</w:t>
      </w:r>
      <w:r w:rsidRPr="0079724C">
        <w:rPr>
          <w:rFonts w:cs="Arial" w:hint="cs"/>
          <w:rtl/>
        </w:rPr>
        <w:t>,</w:t>
      </w:r>
      <w:r w:rsidRPr="0079724C">
        <w:rPr>
          <w:rFonts w:cs="Arial"/>
          <w:rtl/>
        </w:rPr>
        <w:t xml:space="preserve"> ומחוייב שבועה שאינו יכול לישבע משלם </w:t>
      </w:r>
      <w:r w:rsidRPr="0079724C">
        <w:rPr>
          <w:rFonts w:cs="Arial"/>
          <w:sz w:val="16"/>
          <w:szCs w:val="16"/>
          <w:rtl/>
        </w:rPr>
        <w:t>(שבועות מז.)</w:t>
      </w:r>
      <w:r w:rsidRPr="0079724C">
        <w:rPr>
          <w:rFonts w:cs="Arial" w:hint="cs"/>
          <w:rtl/>
        </w:rPr>
        <w:t>.</w:t>
      </w:r>
      <w:r w:rsidRPr="0079724C">
        <w:rPr>
          <w:rFonts w:cs="Arial"/>
          <w:rtl/>
        </w:rPr>
        <w:t xml:space="preserve"> ומה שאמרו כי כל תנאי שהתנו עמו כתבו וחתמו</w:t>
      </w:r>
      <w:r w:rsidRPr="0079724C">
        <w:rPr>
          <w:rFonts w:cs="Arial" w:hint="cs"/>
          <w:rtl/>
        </w:rPr>
        <w:t xml:space="preserve"> -</w:t>
      </w:r>
      <w:r w:rsidRPr="0079724C">
        <w:rPr>
          <w:rFonts w:cs="Arial"/>
          <w:rtl/>
        </w:rPr>
        <w:t xml:space="preserve"> אין דבורם זה מספיק להכחיש העד</w:t>
      </w:r>
      <w:r w:rsidRPr="0079724C">
        <w:rPr>
          <w:rFonts w:cs="Arial" w:hint="cs"/>
          <w:rtl/>
        </w:rPr>
        <w:t>,</w:t>
      </w:r>
      <w:r w:rsidRPr="0079724C">
        <w:rPr>
          <w:rFonts w:cs="Arial"/>
          <w:rtl/>
        </w:rPr>
        <w:t xml:space="preserve"> כי הם חשבו שזה לא היה תנאי כיון שלא חשו לכתבו ולחתמו עם שאר התנאים כמו שאמרו כן בטענותיהם</w:t>
      </w:r>
      <w:r w:rsidRPr="0079724C">
        <w:rPr>
          <w:rFonts w:cs="Arial" w:hint="cs"/>
          <w:rtl/>
        </w:rPr>
        <w:t>,</w:t>
      </w:r>
      <w:r w:rsidRPr="0079724C">
        <w:rPr>
          <w:rFonts w:cs="Arial"/>
          <w:rtl/>
        </w:rPr>
        <w:t xml:space="preserve"> ועוד שאין זה תנאי שהתנו הם עמו אלא הוא התנה והם לא התנו ולא פטרו אותו אלא שאמרו לו שלא יירא שלא יתחדש בעדו דבר והוא נשען על דבורם והשכיר עצמו על דעת כן וסמכה דעתו על דבריהם כאת ונוולא אחי </w:t>
      </w:r>
      <w:r w:rsidRPr="0079724C">
        <w:rPr>
          <w:rFonts w:cs="Arial"/>
          <w:sz w:val="16"/>
          <w:szCs w:val="16"/>
          <w:rtl/>
        </w:rPr>
        <w:t>(ב"מ סז.)</w:t>
      </w:r>
      <w:r w:rsidRPr="0079724C">
        <w:rPr>
          <w:rFonts w:cs="Arial" w:hint="cs"/>
          <w:rtl/>
        </w:rPr>
        <w:t>,</w:t>
      </w:r>
      <w:r w:rsidRPr="0079724C">
        <w:rPr>
          <w:rFonts w:cs="Arial"/>
          <w:rtl/>
        </w:rPr>
        <w:t xml:space="preserve"> וכיון שכן הוי ליה כאלו התנה כן בפירוש וצריכים הם לישבע בפירוש</w:t>
      </w:r>
      <w:r w:rsidRPr="0079724C">
        <w:rPr>
          <w:rFonts w:cs="Arial" w:hint="cs"/>
          <w:rtl/>
        </w:rPr>
        <w:t>,</w:t>
      </w:r>
      <w:r w:rsidRPr="0079724C">
        <w:rPr>
          <w:rFonts w:cs="Arial"/>
          <w:rtl/>
        </w:rPr>
        <w:t xml:space="preserve"> שמה שאומר העד שאמר לברורים בשעה שהשכירו אותו ושהשיבו הברורים הכל שקר ולא היו דברים מעולם ושיאמרו כן בברי ולא שיאמרו שאינם זכורים אלא במה שנחתם</w:t>
      </w:r>
      <w:r w:rsidRPr="0079724C">
        <w:rPr>
          <w:rFonts w:cs="Arial" w:hint="cs"/>
          <w:rtl/>
        </w:rPr>
        <w:t>,</w:t>
      </w:r>
      <w:r w:rsidRPr="0079724C">
        <w:rPr>
          <w:rFonts w:cs="Arial"/>
          <w:rtl/>
        </w:rPr>
        <w:t xml:space="preserve"> אמנם אם ישובו הברורים הראשונים לישבע בברי להכחיש העד שאותם הדברים שאומר העד שנאמרו שם בשעה ששכרו אותו הם שקר ושהם זכורים זה בבירור ושכך היה דעתם בשבועתם הראשונה</w:t>
      </w:r>
      <w:r w:rsidRPr="0079724C">
        <w:rPr>
          <w:rFonts w:cs="Arial" w:hint="cs"/>
          <w:rtl/>
        </w:rPr>
        <w:t>,</w:t>
      </w:r>
      <w:r w:rsidRPr="0079724C">
        <w:rPr>
          <w:rFonts w:cs="Arial"/>
          <w:rtl/>
        </w:rPr>
        <w:t xml:space="preserve"> כיון שאין בדבר כי אם עד אחד אינו קם לממון כי אם לשבועה </w:t>
      </w:r>
      <w:r w:rsidRPr="0079724C">
        <w:rPr>
          <w:rFonts w:cs="Arial"/>
          <w:sz w:val="16"/>
          <w:szCs w:val="16"/>
          <w:rtl/>
        </w:rPr>
        <w:t xml:space="preserve">(שבועות מ.) </w:t>
      </w:r>
      <w:r w:rsidRPr="0079724C">
        <w:rPr>
          <w:rFonts w:cs="Arial"/>
          <w:rtl/>
        </w:rPr>
        <w:t>ואם לא ישובו לישבע כן נשאר החזן פטור</w:t>
      </w:r>
      <w:r w:rsidRPr="0079724C">
        <w:rPr>
          <w:rFonts w:cs="Arial" w:hint="cs"/>
          <w:rtl/>
        </w:rPr>
        <w:t>.</w:t>
      </w:r>
    </w:p>
    <w:p w14:paraId="0E70AE32" w14:textId="77777777" w:rsidR="004B607F" w:rsidRPr="003024E5" w:rsidRDefault="004B607F" w:rsidP="004B607F">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13D75CDA" w14:textId="77777777" w:rsidR="004B607F" w:rsidRDefault="004B607F" w:rsidP="004B607F">
      <w:pPr>
        <w:rPr>
          <w:rtl/>
        </w:rPr>
      </w:pPr>
      <w:r>
        <w:rPr>
          <w:rFonts w:cs="Arial"/>
          <w:rtl/>
        </w:rPr>
        <w:t>עד שמעיד: ראיתי דבר זה ופלוני היה עמי</w:t>
      </w:r>
      <w:r>
        <w:rPr>
          <w:rFonts w:cs="Arial" w:hint="cs"/>
          <w:rtl/>
        </w:rPr>
        <w:t>.</w:t>
      </w:r>
      <w:r>
        <w:rPr>
          <w:rFonts w:cs="Arial"/>
          <w:rtl/>
        </w:rPr>
        <w:t xml:space="preserve"> ואותו פלוני אומר: לא ראיתי ולא הייתי עמך, אין זו הכחשה</w:t>
      </w:r>
      <w:r>
        <w:rPr>
          <w:rFonts w:cs="Arial" w:hint="cs"/>
          <w:rtl/>
        </w:rPr>
        <w:t>.</w:t>
      </w:r>
      <w:r w:rsidRPr="00532E67">
        <w:rPr>
          <w:rFonts w:cs="Arial"/>
          <w:sz w:val="18"/>
          <w:szCs w:val="18"/>
          <w:rtl/>
        </w:rPr>
        <w:t xml:space="preserve"> </w:t>
      </w:r>
      <w:r>
        <w:rPr>
          <w:rFonts w:cs="Arial" w:hint="cs"/>
          <w:sz w:val="18"/>
          <w:szCs w:val="18"/>
          <w:rtl/>
        </w:rPr>
        <w:t xml:space="preserve">[הגה] </w:t>
      </w:r>
      <w:r w:rsidRPr="00532E67">
        <w:rPr>
          <w:rFonts w:cs="Arial"/>
          <w:sz w:val="18"/>
          <w:szCs w:val="18"/>
          <w:rtl/>
        </w:rPr>
        <w:t>וע"ל ס</w:t>
      </w:r>
      <w:r>
        <w:rPr>
          <w:rFonts w:cs="Arial" w:hint="cs"/>
          <w:sz w:val="18"/>
          <w:szCs w:val="18"/>
          <w:rtl/>
        </w:rPr>
        <w:t>"</w:t>
      </w:r>
      <w:r w:rsidRPr="00532E67">
        <w:rPr>
          <w:rFonts w:cs="Arial"/>
          <w:sz w:val="18"/>
          <w:szCs w:val="18"/>
          <w:rtl/>
        </w:rPr>
        <w:t>ס כט</w:t>
      </w:r>
      <w:r>
        <w:rPr>
          <w:rFonts w:cs="Arial" w:hint="cs"/>
          <w:sz w:val="18"/>
          <w:szCs w:val="18"/>
          <w:rtl/>
        </w:rPr>
        <w:t>.</w:t>
      </w:r>
      <w:r>
        <w:rPr>
          <w:rFonts w:cs="Arial"/>
          <w:rtl/>
        </w:rPr>
        <w:t xml:space="preserve"> </w:t>
      </w:r>
    </w:p>
    <w:p w14:paraId="4811E2DF" w14:textId="77777777" w:rsidR="004B607F" w:rsidRDefault="004B607F" w:rsidP="004B607F">
      <w:pPr>
        <w:rPr>
          <w:rtl/>
        </w:rPr>
      </w:pPr>
    </w:p>
    <w:p w14:paraId="71397062" w14:textId="77777777" w:rsidR="004B607F" w:rsidRDefault="004B607F" w:rsidP="004B607F">
      <w:pPr>
        <w:pStyle w:val="2"/>
        <w:rPr>
          <w:rtl/>
        </w:rPr>
      </w:pPr>
      <w:bookmarkStart w:id="238" w:name="_Toc24883710"/>
      <w:r>
        <w:rPr>
          <w:rtl/>
        </w:rPr>
        <w:t>סעיף ה</w:t>
      </w:r>
      <w:r>
        <w:rPr>
          <w:rFonts w:hint="cs"/>
          <w:rtl/>
        </w:rPr>
        <w:t>: א' תבע מאתיים והב' כופר בכל ועד א' מעיד על חמשים וא' על מאה חמשים.</w:t>
      </w:r>
      <w:bookmarkEnd w:id="238"/>
    </w:p>
    <w:p w14:paraId="4399449B" w14:textId="77777777" w:rsidR="004B607F" w:rsidRPr="008160E9" w:rsidRDefault="004B607F" w:rsidP="004B607F">
      <w:pPr>
        <w:rPr>
          <w:rtl/>
        </w:rPr>
      </w:pPr>
      <w:r>
        <w:rPr>
          <w:rFonts w:cs="Arial" w:hint="cs"/>
          <w:b/>
          <w:bCs/>
          <w:rtl/>
        </w:rPr>
        <w:t xml:space="preserve">בבא מציעא </w:t>
      </w:r>
      <w:r w:rsidRPr="008160E9">
        <w:rPr>
          <w:rFonts w:cs="Arial" w:hint="cs"/>
          <w:b/>
          <w:bCs/>
          <w:sz w:val="16"/>
          <w:szCs w:val="16"/>
          <w:rtl/>
        </w:rPr>
        <w:t xml:space="preserve">(פ"ק) </w:t>
      </w:r>
      <w:r>
        <w:rPr>
          <w:rFonts w:cs="Arial" w:hint="cs"/>
          <w:b/>
          <w:bCs/>
          <w:rtl/>
        </w:rPr>
        <w:t>ג</w:t>
      </w:r>
      <w:r>
        <w:rPr>
          <w:rStyle w:val="ab"/>
          <w:rFonts w:cs="Arial"/>
          <w:b/>
          <w:bCs/>
          <w:rtl/>
        </w:rPr>
        <w:footnoteReference w:id="1684"/>
      </w:r>
      <w:r>
        <w:rPr>
          <w:rFonts w:cs="Arial" w:hint="cs"/>
          <w:b/>
          <w:bCs/>
          <w:rtl/>
        </w:rPr>
        <w:t xml:space="preserve"> ע"א: </w:t>
      </w:r>
      <w:r w:rsidRPr="008160E9">
        <w:rPr>
          <w:rFonts w:cs="Arial"/>
          <w:u w:val="single"/>
          <w:rtl/>
        </w:rPr>
        <w:t>תני רבי חייא</w:t>
      </w:r>
      <w:r w:rsidRPr="008160E9">
        <w:rPr>
          <w:rFonts w:cs="Arial"/>
          <w:rtl/>
        </w:rPr>
        <w:t>: מנה לי בידך</w:t>
      </w:r>
      <w:r>
        <w:rPr>
          <w:rFonts w:cs="Arial" w:hint="cs"/>
          <w:rtl/>
        </w:rPr>
        <w:t>,</w:t>
      </w:r>
      <w:r w:rsidRPr="008160E9">
        <w:rPr>
          <w:rFonts w:cs="Arial"/>
          <w:rtl/>
        </w:rPr>
        <w:t xml:space="preserve"> והלה אומר: אין לך בידי כלום. והעדים מעידים אותו שיש לו חמשים זוז - נותן לו חמשים זוז, וישבע על השאר</w:t>
      </w:r>
      <w:r>
        <w:rPr>
          <w:rStyle w:val="ab"/>
          <w:rFonts w:cs="Arial"/>
          <w:rtl/>
        </w:rPr>
        <w:footnoteReference w:id="1685"/>
      </w:r>
      <w:r w:rsidRPr="008160E9">
        <w:rPr>
          <w:rFonts w:cs="Arial"/>
          <w:rtl/>
        </w:rPr>
        <w:t>, שלא תהא הודאת פיו גדולה מהעדאת עדים, מקל וחומר.</w:t>
      </w:r>
    </w:p>
    <w:p w14:paraId="69E9C273" w14:textId="77777777" w:rsidR="004B607F" w:rsidRPr="00604FF6" w:rsidRDefault="004B607F" w:rsidP="004B607F">
      <w:pPr>
        <w:rPr>
          <w:rFonts w:cs="Arial"/>
          <w:u w:val="single"/>
          <w:rtl/>
        </w:rPr>
      </w:pPr>
      <w:r w:rsidRPr="00604FF6">
        <w:rPr>
          <w:rFonts w:cs="Arial" w:hint="cs"/>
          <w:u w:val="single"/>
          <w:rtl/>
        </w:rPr>
        <w:t xml:space="preserve">אחד </w:t>
      </w:r>
      <w:r w:rsidRPr="00604FF6">
        <w:rPr>
          <w:rFonts w:cs="Arial"/>
          <w:u w:val="single"/>
          <w:rtl/>
        </w:rPr>
        <w:t xml:space="preserve">תבע לחבירו שיש לו בידו </w:t>
      </w:r>
      <w:r>
        <w:rPr>
          <w:rFonts w:cs="Arial" w:hint="cs"/>
          <w:u w:val="single"/>
          <w:rtl/>
        </w:rPr>
        <w:t>מאתיים</w:t>
      </w:r>
      <w:r w:rsidRPr="00604FF6">
        <w:rPr>
          <w:rFonts w:cs="Arial" w:hint="cs"/>
          <w:u w:val="single"/>
          <w:rtl/>
        </w:rPr>
        <w:t>,</w:t>
      </w:r>
      <w:r w:rsidRPr="00604FF6">
        <w:rPr>
          <w:rFonts w:cs="Arial"/>
          <w:u w:val="single"/>
          <w:rtl/>
        </w:rPr>
        <w:t xml:space="preserve"> ו</w:t>
      </w:r>
      <w:r>
        <w:rPr>
          <w:rFonts w:cs="Arial" w:hint="cs"/>
          <w:u w:val="single"/>
          <w:rtl/>
        </w:rPr>
        <w:t>חברו</w:t>
      </w:r>
      <w:r w:rsidRPr="00604FF6">
        <w:rPr>
          <w:rFonts w:cs="Arial"/>
          <w:u w:val="single"/>
          <w:rtl/>
        </w:rPr>
        <w:t xml:space="preserve"> כ</w:t>
      </w:r>
      <w:r>
        <w:rPr>
          <w:rFonts w:cs="Arial" w:hint="cs"/>
          <w:u w:val="single"/>
          <w:rtl/>
        </w:rPr>
        <w:t>ו</w:t>
      </w:r>
      <w:r w:rsidRPr="00604FF6">
        <w:rPr>
          <w:rFonts w:cs="Arial"/>
          <w:u w:val="single"/>
          <w:rtl/>
        </w:rPr>
        <w:t>פר בכל</w:t>
      </w:r>
      <w:r w:rsidRPr="00604FF6">
        <w:rPr>
          <w:rFonts w:cs="Arial" w:hint="cs"/>
          <w:u w:val="single"/>
          <w:rtl/>
        </w:rPr>
        <w:t>,</w:t>
      </w:r>
      <w:r w:rsidRPr="00604FF6">
        <w:rPr>
          <w:rFonts w:cs="Arial"/>
          <w:u w:val="single"/>
          <w:rtl/>
        </w:rPr>
        <w:t xml:space="preserve"> ועד א</w:t>
      </w:r>
      <w:r>
        <w:rPr>
          <w:rFonts w:cs="Arial" w:hint="cs"/>
          <w:u w:val="single"/>
          <w:rtl/>
        </w:rPr>
        <w:t>'</w:t>
      </w:r>
      <w:r w:rsidRPr="00604FF6">
        <w:rPr>
          <w:rFonts w:cs="Arial"/>
          <w:u w:val="single"/>
          <w:rtl/>
        </w:rPr>
        <w:t xml:space="preserve"> מעיד </w:t>
      </w:r>
      <w:r>
        <w:rPr>
          <w:rFonts w:cs="Arial" w:hint="cs"/>
          <w:u w:val="single"/>
          <w:rtl/>
        </w:rPr>
        <w:t xml:space="preserve">על </w:t>
      </w:r>
      <w:r w:rsidRPr="00604FF6">
        <w:rPr>
          <w:rFonts w:cs="Arial"/>
          <w:u w:val="single"/>
          <w:rtl/>
        </w:rPr>
        <w:t>חמשים ועד א</w:t>
      </w:r>
      <w:r>
        <w:rPr>
          <w:rFonts w:cs="Arial" w:hint="cs"/>
          <w:u w:val="single"/>
          <w:rtl/>
        </w:rPr>
        <w:t>'</w:t>
      </w:r>
      <w:r w:rsidRPr="00604FF6">
        <w:rPr>
          <w:rFonts w:cs="Arial"/>
          <w:u w:val="single"/>
          <w:rtl/>
        </w:rPr>
        <w:t xml:space="preserve"> </w:t>
      </w:r>
      <w:r>
        <w:rPr>
          <w:rFonts w:cs="Arial" w:hint="cs"/>
          <w:u w:val="single"/>
          <w:rtl/>
        </w:rPr>
        <w:t>על מאה חמשים:</w:t>
      </w:r>
      <w:r w:rsidRPr="00604FF6">
        <w:rPr>
          <w:rFonts w:cs="Arial"/>
          <w:u w:val="single"/>
          <w:rtl/>
        </w:rPr>
        <w:t xml:space="preserve"> </w:t>
      </w:r>
    </w:p>
    <w:p w14:paraId="47D5B54E" w14:textId="77777777" w:rsidR="004B607F" w:rsidRPr="006C380F" w:rsidRDefault="004B607F" w:rsidP="004B0475">
      <w:pPr>
        <w:pStyle w:val="ac"/>
        <w:numPr>
          <w:ilvl w:val="0"/>
          <w:numId w:val="86"/>
        </w:numPr>
        <w:rPr>
          <w:rtl/>
        </w:rPr>
      </w:pPr>
      <w:r w:rsidRPr="00604FF6">
        <w:rPr>
          <w:rFonts w:cs="Arial"/>
          <w:rtl/>
        </w:rPr>
        <w:t xml:space="preserve">רא"ש </w:t>
      </w:r>
      <w:r w:rsidRPr="00604FF6">
        <w:rPr>
          <w:rFonts w:cs="Arial" w:hint="cs"/>
          <w:sz w:val="16"/>
          <w:szCs w:val="16"/>
          <w:rtl/>
        </w:rPr>
        <w:t>(</w:t>
      </w:r>
      <w:r w:rsidRPr="00604FF6">
        <w:rPr>
          <w:rFonts w:cs="Arial"/>
          <w:sz w:val="16"/>
          <w:szCs w:val="16"/>
          <w:rtl/>
        </w:rPr>
        <w:t>סוף כלל צד סי' ח)</w:t>
      </w:r>
      <w:r w:rsidRPr="00604FF6">
        <w:rPr>
          <w:rFonts w:cs="Arial" w:hint="cs"/>
          <w:rtl/>
        </w:rPr>
        <w:t>-</w:t>
      </w:r>
      <w:r w:rsidRPr="00604FF6">
        <w:rPr>
          <w:rFonts w:cs="Arial"/>
          <w:rtl/>
        </w:rPr>
        <w:t xml:space="preserve"> </w:t>
      </w:r>
      <w:r w:rsidRPr="00604FF6">
        <w:rPr>
          <w:rFonts w:cs="Arial" w:hint="cs"/>
          <w:rtl/>
        </w:rPr>
        <w:t>שאלה,</w:t>
      </w:r>
      <w:r w:rsidRPr="00604FF6">
        <w:rPr>
          <w:rFonts w:cs="Arial"/>
          <w:rtl/>
        </w:rPr>
        <w:t xml:space="preserve"> </w:t>
      </w:r>
      <w:r w:rsidRPr="00604FF6">
        <w:rPr>
          <w:rFonts w:cs="Arial" w:hint="cs"/>
          <w:rtl/>
        </w:rPr>
        <w:t xml:space="preserve">אחד </w:t>
      </w:r>
      <w:r w:rsidRPr="00604FF6">
        <w:rPr>
          <w:rFonts w:cs="Arial"/>
          <w:rtl/>
        </w:rPr>
        <w:t>תבע לחבירו שיש לו בידו ק"ק בפקדון להשביחם לו</w:t>
      </w:r>
      <w:r w:rsidRPr="00604FF6">
        <w:rPr>
          <w:rFonts w:cs="Arial" w:hint="cs"/>
          <w:rtl/>
        </w:rPr>
        <w:t>,</w:t>
      </w:r>
      <w:r w:rsidRPr="00604FF6">
        <w:rPr>
          <w:rFonts w:cs="Arial"/>
          <w:rtl/>
        </w:rPr>
        <w:t xml:space="preserve"> והלה כפר בכל</w:t>
      </w:r>
      <w:r w:rsidRPr="00604FF6">
        <w:rPr>
          <w:rFonts w:cs="Arial" w:hint="cs"/>
          <w:rtl/>
        </w:rPr>
        <w:t>,</w:t>
      </w:r>
      <w:r w:rsidRPr="00604FF6">
        <w:rPr>
          <w:rFonts w:cs="Arial"/>
          <w:rtl/>
        </w:rPr>
        <w:t xml:space="preserve"> ועד אחד מעיד ששמע מפיו שהיו חמשים</w:t>
      </w:r>
      <w:r>
        <w:rPr>
          <w:rFonts w:cs="Arial" w:hint="cs"/>
          <w:rtl/>
        </w:rPr>
        <w:t>,</w:t>
      </w:r>
      <w:r w:rsidRPr="00604FF6">
        <w:rPr>
          <w:rFonts w:cs="Arial"/>
          <w:rtl/>
        </w:rPr>
        <w:t xml:space="preserve"> ועד אחד מעיד ששמע מפיו שהיו ק"ן</w:t>
      </w:r>
      <w:r w:rsidRPr="00604FF6">
        <w:rPr>
          <w:rFonts w:cs="Arial" w:hint="cs"/>
          <w:rtl/>
        </w:rPr>
        <w:t>. תשובה,</w:t>
      </w:r>
      <w:r w:rsidRPr="00604FF6">
        <w:rPr>
          <w:rFonts w:cs="Arial"/>
          <w:rtl/>
        </w:rPr>
        <w:t xml:space="preserve"> לדברי שניהם יש בידו חמשים והוא כפר בכל</w:t>
      </w:r>
      <w:r w:rsidRPr="00604FF6">
        <w:rPr>
          <w:rFonts w:cs="Arial" w:hint="cs"/>
          <w:rtl/>
        </w:rPr>
        <w:t>,</w:t>
      </w:r>
      <w:r w:rsidRPr="00604FF6">
        <w:rPr>
          <w:rFonts w:cs="Arial"/>
          <w:rtl/>
        </w:rPr>
        <w:t xml:space="preserve"> הרי הוחזק כפרן לאותו ממון והוא חייב שבועה דאו</w:t>
      </w:r>
      <w:r>
        <w:rPr>
          <w:rFonts w:cs="Arial" w:hint="cs"/>
          <w:rtl/>
        </w:rPr>
        <w:t>'</w:t>
      </w:r>
      <w:r w:rsidRPr="00604FF6">
        <w:rPr>
          <w:rFonts w:cs="Arial"/>
          <w:rtl/>
        </w:rPr>
        <w:t xml:space="preserve"> כההיא דרבי חייא דפ</w:t>
      </w:r>
      <w:r>
        <w:rPr>
          <w:rFonts w:cs="Arial" w:hint="cs"/>
          <w:rtl/>
        </w:rPr>
        <w:t>"</w:t>
      </w:r>
      <w:r w:rsidRPr="00604FF6">
        <w:rPr>
          <w:rFonts w:cs="Arial"/>
          <w:rtl/>
        </w:rPr>
        <w:t xml:space="preserve">ק דמציעא </w:t>
      </w:r>
      <w:r w:rsidRPr="00604FF6">
        <w:rPr>
          <w:rFonts w:cs="Arial"/>
          <w:sz w:val="16"/>
          <w:szCs w:val="16"/>
          <w:rtl/>
        </w:rPr>
        <w:t>(ג.)</w:t>
      </w:r>
      <w:r w:rsidRPr="00604FF6">
        <w:rPr>
          <w:rFonts w:cs="Arial" w:hint="cs"/>
          <w:rtl/>
        </w:rPr>
        <w:t>,</w:t>
      </w:r>
      <w:r w:rsidRPr="00604FF6">
        <w:rPr>
          <w:rFonts w:cs="Arial"/>
          <w:rtl/>
        </w:rPr>
        <w:t xml:space="preserve"> הילכך הוא חייב שבועה דאורייתא ואינו יכול לישבע שהרי שנים מעידים שיש בידו חמשים והוחזק כפרן לאותו ממון</w:t>
      </w:r>
      <w:r>
        <w:rPr>
          <w:rFonts w:cs="Arial" w:hint="cs"/>
          <w:rtl/>
        </w:rPr>
        <w:t>,</w:t>
      </w:r>
      <w:r w:rsidRPr="00604FF6">
        <w:rPr>
          <w:rFonts w:cs="Arial"/>
          <w:rtl/>
        </w:rPr>
        <w:t xml:space="preserve"> הילכך משלם ק"ק</w:t>
      </w:r>
      <w:r>
        <w:rPr>
          <w:rFonts w:cs="Arial" w:hint="cs"/>
          <w:rtl/>
        </w:rPr>
        <w:t>.</w:t>
      </w:r>
      <w:r w:rsidRPr="00604FF6">
        <w:rPr>
          <w:rFonts w:cs="Arial"/>
          <w:rtl/>
        </w:rPr>
        <w:t xml:space="preserve"> ואע</w:t>
      </w:r>
      <w:r w:rsidRPr="00604FF6">
        <w:rPr>
          <w:rFonts w:cs="Arial" w:hint="cs"/>
          <w:rtl/>
        </w:rPr>
        <w:t>"</w:t>
      </w:r>
      <w:r w:rsidRPr="00604FF6">
        <w:rPr>
          <w:rFonts w:cs="Arial"/>
          <w:rtl/>
        </w:rPr>
        <w:t xml:space="preserve">ג דההיא דכופר בפקדון פסול אוקמינן </w:t>
      </w:r>
      <w:r w:rsidRPr="00604FF6">
        <w:rPr>
          <w:rFonts w:cs="Arial"/>
          <w:sz w:val="16"/>
          <w:szCs w:val="16"/>
          <w:rtl/>
        </w:rPr>
        <w:t xml:space="preserve">(שם ה:) </w:t>
      </w:r>
      <w:r w:rsidRPr="00604FF6">
        <w:rPr>
          <w:rFonts w:cs="Arial"/>
          <w:rtl/>
        </w:rPr>
        <w:t>דוקא בדאסהידו סהדי דההיא שעתא דכפריה הוה איתיה לפקדון בביתיה דאי לאו הכי אמרינן דאשתמוטי קא משתמיט עד דבחיש ומשכח ליה</w:t>
      </w:r>
      <w:r w:rsidRPr="00604FF6">
        <w:rPr>
          <w:rFonts w:cs="Arial" w:hint="cs"/>
          <w:rtl/>
        </w:rPr>
        <w:t>,</w:t>
      </w:r>
      <w:r w:rsidRPr="00604FF6">
        <w:rPr>
          <w:rFonts w:cs="Arial"/>
          <w:rtl/>
        </w:rPr>
        <w:t xml:space="preserve"> הכא לא שייך למימר עד דבחישנא שלא היה חפץ מבורר אלא מעות או שוה כסף</w:t>
      </w:r>
      <w:r w:rsidRPr="00604FF6">
        <w:rPr>
          <w:rFonts w:cs="Arial" w:hint="cs"/>
          <w:rtl/>
        </w:rPr>
        <w:t>.</w:t>
      </w:r>
      <w:r w:rsidRPr="009B0D03">
        <w:rPr>
          <w:rFonts w:hint="cs"/>
          <w:color w:val="E36C0A" w:themeColor="accent6" w:themeShade="BF"/>
          <w:rtl/>
        </w:rPr>
        <w:t xml:space="preserve"> (וכ"פ בשו"ע)</w:t>
      </w:r>
    </w:p>
    <w:p w14:paraId="6C995104" w14:textId="77777777" w:rsidR="004B607F" w:rsidRPr="003024E5" w:rsidRDefault="004B607F" w:rsidP="004B607F">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50C604EE" w14:textId="77777777" w:rsidR="004B607F" w:rsidRDefault="004B607F" w:rsidP="004B607F">
      <w:pPr>
        <w:rPr>
          <w:rtl/>
        </w:rPr>
      </w:pPr>
      <w:r>
        <w:rPr>
          <w:rFonts w:cs="Arial"/>
          <w:rtl/>
        </w:rPr>
        <w:lastRenderedPageBreak/>
        <w:t>מי שתבע את חבירו שיש לו בידו מאת</w:t>
      </w:r>
      <w:r>
        <w:rPr>
          <w:rFonts w:cs="Arial" w:hint="cs"/>
          <w:rtl/>
        </w:rPr>
        <w:t>י</w:t>
      </w:r>
      <w:r>
        <w:rPr>
          <w:rFonts w:cs="Arial"/>
          <w:rtl/>
        </w:rPr>
        <w:t>ים זהובים בפקדון להשביחם לו, והלה כופר בכל</w:t>
      </w:r>
      <w:r>
        <w:rPr>
          <w:rFonts w:cs="Arial" w:hint="cs"/>
          <w:rtl/>
        </w:rPr>
        <w:t>.</w:t>
      </w:r>
      <w:r>
        <w:rPr>
          <w:rFonts w:cs="Arial"/>
          <w:rtl/>
        </w:rPr>
        <w:t xml:space="preserve"> ועד אחד מעיד ששמע מפיו שהיו חמישים, ועד אחר מעיד ששמע שהיו מאה וחמישים, הוחזק כפרן</w:t>
      </w:r>
      <w:r>
        <w:rPr>
          <w:rStyle w:val="ab"/>
          <w:rFonts w:cs="Arial"/>
          <w:rtl/>
        </w:rPr>
        <w:footnoteReference w:id="1686"/>
      </w:r>
      <w:r>
        <w:rPr>
          <w:rFonts w:cs="Arial"/>
          <w:rtl/>
        </w:rPr>
        <w:t xml:space="preserve"> לאותו ממון</w:t>
      </w:r>
      <w:r>
        <w:rPr>
          <w:rStyle w:val="ab"/>
          <w:rFonts w:cs="Arial"/>
          <w:rtl/>
        </w:rPr>
        <w:footnoteReference w:id="1687"/>
      </w:r>
      <w:r>
        <w:rPr>
          <w:rFonts w:cs="Arial"/>
          <w:rtl/>
        </w:rPr>
        <w:t xml:space="preserve"> ומשלם </w:t>
      </w:r>
      <w:r>
        <w:rPr>
          <w:rFonts w:cs="Arial" w:hint="cs"/>
          <w:rtl/>
        </w:rPr>
        <w:t>מאתיים</w:t>
      </w:r>
      <w:r>
        <w:rPr>
          <w:rStyle w:val="ab"/>
          <w:rFonts w:cs="Arial"/>
          <w:rtl/>
        </w:rPr>
        <w:footnoteReference w:id="1688"/>
      </w:r>
      <w:r>
        <w:rPr>
          <w:rFonts w:cs="Arial"/>
          <w:rtl/>
        </w:rPr>
        <w:t xml:space="preserve">. </w:t>
      </w:r>
    </w:p>
    <w:p w14:paraId="57B80FAD" w14:textId="77777777" w:rsidR="004B607F" w:rsidRDefault="004B607F" w:rsidP="004B607F">
      <w:pPr>
        <w:rPr>
          <w:rtl/>
        </w:rPr>
      </w:pPr>
    </w:p>
    <w:p w14:paraId="4B3E4B4B" w14:textId="77777777" w:rsidR="004B607F" w:rsidRPr="00603794" w:rsidRDefault="004B607F" w:rsidP="004B607F">
      <w:pPr>
        <w:pStyle w:val="2"/>
        <w:rPr>
          <w:rtl/>
        </w:rPr>
      </w:pPr>
      <w:bookmarkStart w:id="239" w:name="_Toc24883711"/>
      <w:r>
        <w:rPr>
          <w:rtl/>
        </w:rPr>
        <w:t>סעיף ו</w:t>
      </w:r>
      <w:r>
        <w:rPr>
          <w:rFonts w:hint="cs"/>
          <w:rtl/>
        </w:rPr>
        <w:t xml:space="preserve">: </w:t>
      </w:r>
      <w:r w:rsidRPr="005D0DD2">
        <w:rPr>
          <w:rFonts w:hint="cs"/>
          <w:rtl/>
        </w:rPr>
        <w:t>עדים שלא ראו את המעשה כאחד</w:t>
      </w:r>
      <w:r>
        <w:rPr>
          <w:rFonts w:hint="cs"/>
          <w:rtl/>
        </w:rPr>
        <w:t>.</w:t>
      </w:r>
      <w:bookmarkEnd w:id="239"/>
    </w:p>
    <w:p w14:paraId="2FDB6838" w14:textId="77777777" w:rsidR="004B607F" w:rsidRDefault="004B607F" w:rsidP="004B607F">
      <w:pPr>
        <w:rPr>
          <w:rFonts w:cs="Arial"/>
          <w:rtl/>
        </w:rPr>
      </w:pPr>
      <w:r>
        <w:rPr>
          <w:rFonts w:cs="Arial" w:hint="cs"/>
          <w:b/>
          <w:bCs/>
          <w:rtl/>
        </w:rPr>
        <w:t xml:space="preserve">סנהדרין </w:t>
      </w:r>
      <w:r w:rsidRPr="00351E33">
        <w:rPr>
          <w:rFonts w:cs="Arial" w:hint="cs"/>
          <w:b/>
          <w:bCs/>
          <w:sz w:val="16"/>
          <w:szCs w:val="16"/>
          <w:rtl/>
        </w:rPr>
        <w:t>(</w:t>
      </w:r>
      <w:r w:rsidRPr="00351E33">
        <w:rPr>
          <w:rFonts w:cs="Arial"/>
          <w:b/>
          <w:bCs/>
          <w:sz w:val="16"/>
          <w:szCs w:val="16"/>
          <w:rtl/>
        </w:rPr>
        <w:t>פרק זה בורר</w:t>
      </w:r>
      <w:r w:rsidRPr="00351E33">
        <w:rPr>
          <w:rFonts w:cs="Arial" w:hint="cs"/>
          <w:b/>
          <w:bCs/>
          <w:sz w:val="16"/>
          <w:szCs w:val="16"/>
          <w:rtl/>
        </w:rPr>
        <w:t>)</w:t>
      </w:r>
      <w:r w:rsidRPr="00351E33">
        <w:rPr>
          <w:rFonts w:cs="Arial" w:hint="cs"/>
          <w:b/>
          <w:bCs/>
          <w:rtl/>
        </w:rPr>
        <w:t xml:space="preserve"> </w:t>
      </w:r>
      <w:r w:rsidRPr="00351E33">
        <w:rPr>
          <w:rFonts w:cs="Arial"/>
          <w:b/>
          <w:bCs/>
          <w:rtl/>
        </w:rPr>
        <w:t>ל</w:t>
      </w:r>
      <w:r>
        <w:rPr>
          <w:rStyle w:val="ab"/>
          <w:rFonts w:cs="Arial"/>
          <w:b/>
          <w:bCs/>
          <w:rtl/>
        </w:rPr>
        <w:footnoteReference w:id="1689"/>
      </w:r>
      <w:r w:rsidRPr="00351E33">
        <w:rPr>
          <w:rFonts w:cs="Arial" w:hint="cs"/>
          <w:b/>
          <w:bCs/>
          <w:rtl/>
        </w:rPr>
        <w:t xml:space="preserve"> ע"א:</w:t>
      </w:r>
      <w:r w:rsidRPr="006C380F">
        <w:rPr>
          <w:rFonts w:cs="Arial"/>
          <w:rtl/>
        </w:rPr>
        <w:t xml:space="preserve"> </w:t>
      </w:r>
      <w:r>
        <w:rPr>
          <w:rFonts w:cs="Arial" w:hint="cs"/>
          <w:rtl/>
        </w:rPr>
        <w:t>ד</w:t>
      </w:r>
      <w:r w:rsidRPr="00B76A97">
        <w:rPr>
          <w:rFonts w:cs="Arial"/>
          <w:rtl/>
        </w:rPr>
        <w:t xml:space="preserve">תניא: לעולם אין עדותן מצטרפת עד שיראו שניהן כאחד. </w:t>
      </w:r>
      <w:r w:rsidRPr="00B76A97">
        <w:rPr>
          <w:rFonts w:cs="Arial"/>
          <w:u w:val="single"/>
          <w:rtl/>
        </w:rPr>
        <w:t>רבי יהושע בן קרחה אומר</w:t>
      </w:r>
      <w:r w:rsidRPr="00B76A97">
        <w:rPr>
          <w:rFonts w:cs="Arial"/>
          <w:rtl/>
        </w:rPr>
        <w:t>: אפילו בזה אחר זה.</w:t>
      </w:r>
      <w:r>
        <w:rPr>
          <w:rFonts w:cs="Arial" w:hint="cs"/>
          <w:rtl/>
        </w:rPr>
        <w:t xml:space="preserve">.. </w:t>
      </w:r>
      <w:r w:rsidRPr="00B76A97">
        <w:rPr>
          <w:rFonts w:cs="Arial"/>
          <w:rtl/>
        </w:rPr>
        <w:t>גופא, לעולם אין עדותן מצטרפת עד שיראו שניהם כאחד. רבי יהושע בן קרחה אומר: אפילו בזה אחר זה. במאי קמיפלגי? איבעית אימא קרא, ואיבעית אימא סברא. איבעית אימא סבר</w:t>
      </w:r>
      <w:r>
        <w:rPr>
          <w:rFonts w:cs="Arial" w:hint="cs"/>
          <w:rtl/>
        </w:rPr>
        <w:t>א:</w:t>
      </w:r>
      <w:r w:rsidRPr="00B76A97">
        <w:rPr>
          <w:rFonts w:cs="Arial"/>
          <w:rtl/>
        </w:rPr>
        <w:t xml:space="preserve"> אמנה דקא מסהיד האי - לא קא מסהיד האי, ומנה דקא מסהיד האי - לא קמסהיד האי. ואידך: אמנה בעלמא תרוייהו קמסהדי. ואיבעית אימא קרא</w:t>
      </w:r>
      <w:r>
        <w:rPr>
          <w:rFonts w:cs="Arial" w:hint="cs"/>
          <w:rtl/>
        </w:rPr>
        <w:t>:</w:t>
      </w:r>
      <w:r w:rsidRPr="00B76A97">
        <w:rPr>
          <w:rFonts w:cs="Arial"/>
          <w:rtl/>
        </w:rPr>
        <w:t xml:space="preserve"> דכתיב והוא עד או ראה או ידע, ותניא: ממשמע שנאמר לא יקום עד, איני יודע שהוא אחד? מה תלמוד לומר אחד - זה בנה אב, כל מקום שנאמר עד - הרי כאן שנים, עד שיפרט לך הכתוב אחד</w:t>
      </w:r>
      <w:r>
        <w:rPr>
          <w:rFonts w:cs="Arial" w:hint="cs"/>
          <w:rtl/>
        </w:rPr>
        <w:t>,</w:t>
      </w:r>
      <w:r w:rsidRPr="00B76A97">
        <w:rPr>
          <w:rFonts w:cs="Arial"/>
          <w:rtl/>
        </w:rPr>
        <w:t xml:space="preserve"> ואפקיה רחמנא בלשון חד למימר: עד דחזו תרווייהו כחד. ואידך: והוא עד או ראה או ידע - מכל מקום</w:t>
      </w:r>
      <w:r>
        <w:rPr>
          <w:rFonts w:cs="Arial" w:hint="cs"/>
          <w:rtl/>
        </w:rPr>
        <w:t>..</w:t>
      </w:r>
      <w:r w:rsidRPr="00B76A97">
        <w:rPr>
          <w:rFonts w:cs="Arial"/>
          <w:rtl/>
        </w:rPr>
        <w:t xml:space="preserve">. </w:t>
      </w:r>
      <w:r>
        <w:rPr>
          <w:rFonts w:cs="Arial" w:hint="cs"/>
          <w:sz w:val="14"/>
          <w:szCs w:val="14"/>
          <w:rtl/>
        </w:rPr>
        <w:t>(ל:)</w:t>
      </w:r>
      <w:r w:rsidRPr="00B76A97">
        <w:rPr>
          <w:rFonts w:cs="Arial"/>
          <w:rtl/>
        </w:rPr>
        <w:t xml:space="preserve"> </w:t>
      </w:r>
      <w:r w:rsidRPr="00B76A97">
        <w:rPr>
          <w:rFonts w:cs="Arial"/>
          <w:u w:val="single"/>
          <w:rtl/>
        </w:rPr>
        <w:t>אמר רבי חייא בר אבין אמר רב</w:t>
      </w:r>
      <w:r w:rsidRPr="00B76A97">
        <w:rPr>
          <w:rFonts w:cs="Arial"/>
          <w:rtl/>
        </w:rPr>
        <w:t xml:space="preserve">: הלכה כרבי יהושע בן קרחה, בין בקרקעות בין במטלטלין. </w:t>
      </w:r>
      <w:r w:rsidRPr="00B76A97">
        <w:rPr>
          <w:rFonts w:cs="Arial"/>
          <w:u w:val="single"/>
          <w:rtl/>
        </w:rPr>
        <w:t>עולא אמר</w:t>
      </w:r>
      <w:r w:rsidRPr="00B76A97">
        <w:rPr>
          <w:rFonts w:cs="Arial"/>
          <w:rtl/>
        </w:rPr>
        <w:t>: הלכה כרבי יהושע בן קרחה בקרקעות, אבל לא במטלטלין.</w:t>
      </w:r>
      <w:r>
        <w:rPr>
          <w:rFonts w:cs="Arial" w:hint="cs"/>
          <w:rtl/>
        </w:rPr>
        <w:t>..</w:t>
      </w:r>
      <w:r w:rsidRPr="00B76A97">
        <w:rPr>
          <w:rFonts w:cs="Arial"/>
          <w:rtl/>
        </w:rPr>
        <w:t xml:space="preserve"> </w:t>
      </w:r>
      <w:r w:rsidRPr="00B9315E">
        <w:rPr>
          <w:rFonts w:cs="Arial"/>
          <w:u w:val="single"/>
          <w:rtl/>
        </w:rPr>
        <w:t>אמר רב יוסף</w:t>
      </w:r>
      <w:r w:rsidRPr="00B76A97">
        <w:rPr>
          <w:rFonts w:cs="Arial"/>
          <w:rtl/>
        </w:rPr>
        <w:t xml:space="preserve">: אנא אמינא משמיה דעולא: הלכה כרבי יהושע בן קרחה בין בקרקעות בין במטלטלין, </w:t>
      </w:r>
      <w:r w:rsidRPr="00B9315E">
        <w:rPr>
          <w:rFonts w:cs="Arial"/>
          <w:u w:val="single"/>
          <w:rtl/>
        </w:rPr>
        <w:t>ורבנן דאתו ממחוזא אמרי:</w:t>
      </w:r>
      <w:r w:rsidRPr="00B76A97">
        <w:rPr>
          <w:rFonts w:cs="Arial"/>
          <w:rtl/>
        </w:rPr>
        <w:t xml:space="preserve"> אמר רבי זירא משמיה דרב: בקרקעות - אין, אבל לא במטלטלין. רב לטעמיה, </w:t>
      </w:r>
      <w:r w:rsidRPr="00B9315E">
        <w:rPr>
          <w:rFonts w:cs="Arial"/>
          <w:u w:val="single"/>
          <w:rtl/>
        </w:rPr>
        <w:t>דאמר רב:</w:t>
      </w:r>
      <w:r w:rsidRPr="00B76A97">
        <w:rPr>
          <w:rFonts w:cs="Arial"/>
          <w:rtl/>
        </w:rPr>
        <w:t xml:space="preserve"> הודאה אחר הודאה, הודאה אחר הלואה - מצטרפי. הלואה אחר הלואה, הלואה אחר הודאה - לא מצטרפי.</w:t>
      </w:r>
      <w:r>
        <w:rPr>
          <w:rFonts w:cs="Arial" w:hint="cs"/>
          <w:rtl/>
        </w:rPr>
        <w:t>..</w:t>
      </w:r>
      <w:r w:rsidRPr="00B76A97">
        <w:rPr>
          <w:rFonts w:cs="Arial"/>
          <w:rtl/>
        </w:rPr>
        <w:t xml:space="preserve"> </w:t>
      </w:r>
      <w:r w:rsidRPr="00B9315E">
        <w:rPr>
          <w:rFonts w:cs="Arial"/>
          <w:u w:val="single"/>
          <w:rtl/>
        </w:rPr>
        <w:t>נהרדעי אמרי</w:t>
      </w:r>
      <w:r w:rsidRPr="00B76A97">
        <w:rPr>
          <w:rFonts w:cs="Arial"/>
          <w:rtl/>
        </w:rPr>
        <w:t>: בין הודאה אחר הודאה, בין הודאה אחר הלואה, בין הלואה אחר הלואה, בין הלואה אחר הודאה - מצטרפות, כמאן - כרבי יהושע בן קרחה.</w:t>
      </w:r>
    </w:p>
    <w:p w14:paraId="0F39FC5F" w14:textId="77777777" w:rsidR="004B607F" w:rsidRDefault="004B607F" w:rsidP="004B607F">
      <w:pPr>
        <w:rPr>
          <w:rFonts w:cs="Arial"/>
          <w:rtl/>
        </w:rPr>
      </w:pPr>
      <w:bookmarkStart w:id="240" w:name="_Hlk19286102"/>
      <w:r w:rsidRPr="00A12592">
        <w:rPr>
          <w:rFonts w:cs="Arial" w:hint="cs"/>
          <w:u w:val="single"/>
          <w:rtl/>
        </w:rPr>
        <w:t>כיצד נפסק:</w:t>
      </w:r>
    </w:p>
    <w:p w14:paraId="3E937BB0" w14:textId="77777777" w:rsidR="004B607F" w:rsidRPr="00A12592" w:rsidRDefault="004B607F" w:rsidP="004B0475">
      <w:pPr>
        <w:pStyle w:val="ac"/>
        <w:numPr>
          <w:ilvl w:val="0"/>
          <w:numId w:val="86"/>
        </w:numPr>
        <w:rPr>
          <w:rFonts w:cs="Arial"/>
          <w:rtl/>
        </w:rPr>
      </w:pPr>
      <w:r w:rsidRPr="00A12592">
        <w:rPr>
          <w:rFonts w:cs="Arial"/>
          <w:rtl/>
        </w:rPr>
        <w:t>רי"ף</w:t>
      </w:r>
      <w:r w:rsidRPr="00A12592">
        <w:rPr>
          <w:rFonts w:cs="Arial"/>
          <w:sz w:val="16"/>
          <w:szCs w:val="16"/>
          <w:rtl/>
        </w:rPr>
        <w:t xml:space="preserve"> (ט.)</w:t>
      </w:r>
      <w:r w:rsidRPr="00A12592">
        <w:rPr>
          <w:rFonts w:cs="Arial"/>
          <w:rtl/>
        </w:rPr>
        <w:t xml:space="preserve"> רמב"ם </w:t>
      </w:r>
      <w:r w:rsidRPr="00A12592">
        <w:rPr>
          <w:rFonts w:cs="Arial"/>
          <w:sz w:val="16"/>
          <w:szCs w:val="16"/>
          <w:rtl/>
        </w:rPr>
        <w:t>(עדות פ"ד ה"ב - ג)</w:t>
      </w:r>
      <w:r w:rsidRPr="00A12592">
        <w:rPr>
          <w:rFonts w:cs="Arial" w:hint="cs"/>
          <w:sz w:val="16"/>
          <w:szCs w:val="16"/>
          <w:rtl/>
        </w:rPr>
        <w:t xml:space="preserve"> </w:t>
      </w:r>
      <w:r w:rsidRPr="00A12592">
        <w:rPr>
          <w:rFonts w:cs="Arial"/>
          <w:rtl/>
        </w:rPr>
        <w:t xml:space="preserve">רא"ש </w:t>
      </w:r>
      <w:r w:rsidRPr="00A12592">
        <w:rPr>
          <w:rFonts w:cs="Arial"/>
          <w:sz w:val="16"/>
          <w:szCs w:val="16"/>
          <w:rtl/>
        </w:rPr>
        <w:t xml:space="preserve">(סי' לד) </w:t>
      </w:r>
      <w:r w:rsidRPr="00A12592">
        <w:rPr>
          <w:rFonts w:cs="Arial" w:hint="cs"/>
          <w:rtl/>
        </w:rPr>
        <w:t>וטור-</w:t>
      </w:r>
      <w:r w:rsidRPr="00A12592">
        <w:rPr>
          <w:rFonts w:cs="Arial"/>
          <w:rtl/>
        </w:rPr>
        <w:t xml:space="preserve"> </w:t>
      </w:r>
      <w:r w:rsidRPr="00A12592">
        <w:rPr>
          <w:rFonts w:cs="Arial" w:hint="cs"/>
          <w:rtl/>
        </w:rPr>
        <w:t xml:space="preserve">כנהרדעי, לפיכך </w:t>
      </w:r>
      <w:r w:rsidRPr="00A12592">
        <w:rPr>
          <w:rFonts w:cs="Arial"/>
          <w:rtl/>
        </w:rPr>
        <w:t>א"צ בדיני ממונות שיראו המעשה כאחד</w:t>
      </w:r>
      <w:r>
        <w:rPr>
          <w:rFonts w:cs="Arial" w:hint="cs"/>
          <w:rtl/>
        </w:rPr>
        <w:t>.</w:t>
      </w:r>
      <w:r w:rsidRPr="00A12592">
        <w:rPr>
          <w:rFonts w:cs="Arial"/>
          <w:rtl/>
        </w:rPr>
        <w:t xml:space="preserve"> כיצד</w:t>
      </w:r>
      <w:r w:rsidRPr="00A12592">
        <w:rPr>
          <w:rFonts w:cs="Arial" w:hint="cs"/>
          <w:rtl/>
        </w:rPr>
        <w:t>,</w:t>
      </w:r>
      <w:r w:rsidRPr="00A12592">
        <w:rPr>
          <w:rFonts w:cs="Arial"/>
          <w:rtl/>
        </w:rPr>
        <w:t xml:space="preserve"> אמר אחד </w:t>
      </w:r>
      <w:r>
        <w:rPr>
          <w:rFonts w:cs="Arial" w:hint="cs"/>
          <w:rtl/>
        </w:rPr>
        <w:t>'</w:t>
      </w:r>
      <w:r w:rsidRPr="00A12592">
        <w:rPr>
          <w:rFonts w:cs="Arial"/>
          <w:rtl/>
        </w:rPr>
        <w:t>בפני הלוהו ביום פלוני מנה</w:t>
      </w:r>
      <w:r>
        <w:rPr>
          <w:rFonts w:cs="Arial" w:hint="cs"/>
          <w:rtl/>
        </w:rPr>
        <w:t>',</w:t>
      </w:r>
      <w:r w:rsidRPr="00A12592">
        <w:rPr>
          <w:rFonts w:cs="Arial"/>
          <w:rtl/>
        </w:rPr>
        <w:t xml:space="preserve"> והשני אומר ביום אחר</w:t>
      </w:r>
      <w:r w:rsidRPr="00A12592">
        <w:rPr>
          <w:rFonts w:cs="Arial" w:hint="cs"/>
          <w:rtl/>
        </w:rPr>
        <w:t>,</w:t>
      </w:r>
      <w:r w:rsidRPr="00A12592">
        <w:rPr>
          <w:rFonts w:cs="Arial"/>
          <w:rtl/>
        </w:rPr>
        <w:t xml:space="preserve"> או אפילו שאמר אחד </w:t>
      </w:r>
      <w:r>
        <w:rPr>
          <w:rFonts w:cs="Arial" w:hint="cs"/>
          <w:rtl/>
        </w:rPr>
        <w:t>'</w:t>
      </w:r>
      <w:r w:rsidRPr="00A12592">
        <w:rPr>
          <w:rFonts w:cs="Arial"/>
          <w:rtl/>
        </w:rPr>
        <w:t>בפני הלוה לו</w:t>
      </w:r>
      <w:r>
        <w:rPr>
          <w:rFonts w:cs="Arial" w:hint="cs"/>
          <w:rtl/>
        </w:rPr>
        <w:t>',</w:t>
      </w:r>
      <w:r w:rsidRPr="00A12592">
        <w:rPr>
          <w:rFonts w:cs="Arial"/>
          <w:rtl/>
        </w:rPr>
        <w:t xml:space="preserve"> והשני אמר </w:t>
      </w:r>
      <w:r>
        <w:rPr>
          <w:rFonts w:cs="Arial" w:hint="cs"/>
          <w:rtl/>
        </w:rPr>
        <w:t>'</w:t>
      </w:r>
      <w:r w:rsidRPr="00A12592">
        <w:rPr>
          <w:rFonts w:cs="Arial"/>
          <w:rtl/>
        </w:rPr>
        <w:t>בפני הודה לו</w:t>
      </w:r>
      <w:r>
        <w:rPr>
          <w:rFonts w:cs="Arial" w:hint="cs"/>
          <w:rtl/>
        </w:rPr>
        <w:t>'</w:t>
      </w:r>
      <w:r w:rsidRPr="00A12592">
        <w:rPr>
          <w:rFonts w:cs="Arial" w:hint="cs"/>
          <w:rtl/>
        </w:rPr>
        <w:t>,</w:t>
      </w:r>
      <w:r w:rsidRPr="00A12592">
        <w:rPr>
          <w:rFonts w:cs="Arial"/>
          <w:rtl/>
        </w:rPr>
        <w:t xml:space="preserve"> או שאמר הראשון </w:t>
      </w:r>
      <w:r>
        <w:rPr>
          <w:rFonts w:cs="Arial" w:hint="cs"/>
          <w:rtl/>
        </w:rPr>
        <w:t>'</w:t>
      </w:r>
      <w:r w:rsidRPr="00A12592">
        <w:rPr>
          <w:rFonts w:cs="Arial"/>
          <w:rtl/>
        </w:rPr>
        <w:t>בפני הודה לו</w:t>
      </w:r>
      <w:r>
        <w:rPr>
          <w:rFonts w:cs="Arial" w:hint="cs"/>
          <w:rtl/>
        </w:rPr>
        <w:t>'</w:t>
      </w:r>
      <w:r w:rsidRPr="00A12592">
        <w:rPr>
          <w:rFonts w:cs="Arial"/>
          <w:rtl/>
        </w:rPr>
        <w:t xml:space="preserve"> והשני אמר </w:t>
      </w:r>
      <w:r>
        <w:rPr>
          <w:rFonts w:cs="Arial" w:hint="cs"/>
          <w:rtl/>
        </w:rPr>
        <w:t>'</w:t>
      </w:r>
      <w:r w:rsidRPr="00A12592">
        <w:rPr>
          <w:rFonts w:cs="Arial"/>
          <w:rtl/>
        </w:rPr>
        <w:t>בפני הלוה לו</w:t>
      </w:r>
      <w:r>
        <w:rPr>
          <w:rFonts w:cs="Arial" w:hint="cs"/>
          <w:rtl/>
        </w:rPr>
        <w:t>' -</w:t>
      </w:r>
      <w:r w:rsidRPr="00A12592">
        <w:rPr>
          <w:rFonts w:cs="Arial"/>
          <w:rtl/>
        </w:rPr>
        <w:t xml:space="preserve"> בכל ענין מצטרפין</w:t>
      </w:r>
      <w:r>
        <w:rPr>
          <w:rFonts w:cs="Arial" w:hint="cs"/>
          <w:sz w:val="16"/>
          <w:szCs w:val="16"/>
          <w:rtl/>
        </w:rPr>
        <w:t xml:space="preserve"> (ל' הטור)</w:t>
      </w:r>
      <w:r>
        <w:rPr>
          <w:rStyle w:val="ab"/>
          <w:rFonts w:cs="Arial"/>
          <w:rtl/>
        </w:rPr>
        <w:footnoteReference w:id="1690"/>
      </w:r>
      <w:r w:rsidRPr="00A12592">
        <w:rPr>
          <w:rFonts w:cs="Arial" w:hint="cs"/>
          <w:rtl/>
        </w:rPr>
        <w:t>.</w:t>
      </w:r>
      <w:r>
        <w:rPr>
          <w:rFonts w:cs="Arial" w:hint="cs"/>
          <w:rtl/>
        </w:rPr>
        <w:t xml:space="preserve"> </w:t>
      </w:r>
      <w:r w:rsidRPr="0072729D">
        <w:rPr>
          <w:rFonts w:cs="Arial" w:hint="cs"/>
          <w:color w:val="E36C0A" w:themeColor="accent6" w:themeShade="BF"/>
          <w:rtl/>
        </w:rPr>
        <w:t>(וכ"פ בשו"ע)</w:t>
      </w:r>
    </w:p>
    <w:p w14:paraId="3AFCEB1A" w14:textId="77777777" w:rsidR="004B607F" w:rsidRPr="00A12592" w:rsidRDefault="004B607F" w:rsidP="004B0475">
      <w:pPr>
        <w:pStyle w:val="ac"/>
        <w:numPr>
          <w:ilvl w:val="0"/>
          <w:numId w:val="86"/>
        </w:numPr>
        <w:rPr>
          <w:rFonts w:cs="Arial"/>
          <w:rtl/>
        </w:rPr>
      </w:pPr>
      <w:r w:rsidRPr="00A12592">
        <w:rPr>
          <w:rFonts w:cs="Arial"/>
          <w:rtl/>
        </w:rPr>
        <w:t>ר"ח</w:t>
      </w:r>
      <w:r>
        <w:rPr>
          <w:rStyle w:val="ab"/>
          <w:rFonts w:cs="Arial"/>
          <w:rtl/>
        </w:rPr>
        <w:footnoteReference w:id="1691"/>
      </w:r>
      <w:r w:rsidRPr="00A12592">
        <w:rPr>
          <w:rFonts w:cs="Arial"/>
          <w:rtl/>
        </w:rPr>
        <w:t xml:space="preserve"> </w:t>
      </w:r>
      <w:r w:rsidRPr="00A12592">
        <w:rPr>
          <w:rFonts w:cs="Arial" w:hint="cs"/>
          <w:sz w:val="16"/>
          <w:szCs w:val="16"/>
          <w:rtl/>
        </w:rPr>
        <w:t xml:space="preserve">(כ"כ בשמו ההגה"מ [פ"ד ה"ב] והמרדכי [סנהדרין סי' תשה]) </w:t>
      </w:r>
      <w:r w:rsidRPr="00A12592">
        <w:rPr>
          <w:rFonts w:cs="Arial" w:hint="cs"/>
          <w:rtl/>
        </w:rPr>
        <w:t>ורשב"ט</w:t>
      </w:r>
      <w:r>
        <w:rPr>
          <w:rStyle w:val="ab"/>
          <w:rFonts w:cs="Arial"/>
          <w:rtl/>
        </w:rPr>
        <w:footnoteReference w:id="1692"/>
      </w:r>
      <w:r w:rsidRPr="00A12592">
        <w:rPr>
          <w:rFonts w:cs="Arial" w:hint="cs"/>
          <w:rtl/>
        </w:rPr>
        <w:t xml:space="preserve"> </w:t>
      </w:r>
      <w:r w:rsidRPr="00A12592">
        <w:rPr>
          <w:rFonts w:cs="Arial" w:hint="cs"/>
          <w:sz w:val="16"/>
          <w:szCs w:val="16"/>
          <w:rtl/>
        </w:rPr>
        <w:t>(כ"כ בשמו ההגה"מ [שם] והמרדכי [שם])</w:t>
      </w:r>
      <w:r w:rsidRPr="00A12592">
        <w:rPr>
          <w:rFonts w:cs="Arial" w:hint="cs"/>
          <w:rtl/>
        </w:rPr>
        <w:t xml:space="preserve">- </w:t>
      </w:r>
      <w:r w:rsidRPr="00A12592">
        <w:rPr>
          <w:rFonts w:cs="Arial"/>
          <w:rtl/>
        </w:rPr>
        <w:t>אפילו הודאה אחר הודאה אינה כשירה</w:t>
      </w:r>
      <w:r>
        <w:rPr>
          <w:rStyle w:val="ab"/>
          <w:rFonts w:cs="Arial"/>
          <w:rtl/>
        </w:rPr>
        <w:footnoteReference w:id="1693"/>
      </w:r>
      <w:r w:rsidRPr="00A12592">
        <w:rPr>
          <w:rFonts w:cs="Arial"/>
          <w:rtl/>
        </w:rPr>
        <w:t xml:space="preserve">. </w:t>
      </w:r>
    </w:p>
    <w:bookmarkEnd w:id="240"/>
    <w:p w14:paraId="13D407F5" w14:textId="77777777" w:rsidR="004B607F" w:rsidRPr="00EE6B65" w:rsidRDefault="004B607F" w:rsidP="004B607F">
      <w:pPr>
        <w:rPr>
          <w:rFonts w:cs="Arial"/>
          <w:sz w:val="16"/>
          <w:szCs w:val="16"/>
          <w:rtl/>
        </w:rPr>
      </w:pPr>
      <w:r w:rsidRPr="00C10E4C">
        <w:rPr>
          <w:rFonts w:cs="Arial"/>
          <w:b/>
          <w:bCs/>
          <w:rtl/>
        </w:rPr>
        <w:t>מכות</w:t>
      </w:r>
      <w:r w:rsidRPr="00C10E4C">
        <w:rPr>
          <w:rFonts w:cs="Arial"/>
          <w:b/>
          <w:bCs/>
          <w:sz w:val="16"/>
          <w:szCs w:val="16"/>
          <w:rtl/>
        </w:rPr>
        <w:t xml:space="preserve"> (</w:t>
      </w:r>
      <w:r w:rsidRPr="00C10E4C">
        <w:rPr>
          <w:rFonts w:cs="Arial" w:hint="cs"/>
          <w:b/>
          <w:bCs/>
          <w:sz w:val="16"/>
          <w:szCs w:val="16"/>
          <w:rtl/>
        </w:rPr>
        <w:t>ספ"ק)</w:t>
      </w:r>
      <w:r w:rsidRPr="00C10E4C">
        <w:rPr>
          <w:rFonts w:cs="Arial" w:hint="cs"/>
          <w:b/>
          <w:bCs/>
          <w:rtl/>
        </w:rPr>
        <w:t xml:space="preserve"> </w:t>
      </w:r>
      <w:r w:rsidRPr="00C10E4C">
        <w:rPr>
          <w:rFonts w:cs="Arial"/>
          <w:b/>
          <w:bCs/>
          <w:rtl/>
        </w:rPr>
        <w:t>ו</w:t>
      </w:r>
      <w:r>
        <w:rPr>
          <w:rStyle w:val="ab"/>
          <w:rFonts w:cs="Arial"/>
          <w:b/>
          <w:bCs/>
          <w:rtl/>
        </w:rPr>
        <w:footnoteReference w:id="1694"/>
      </w:r>
      <w:r w:rsidRPr="00C10E4C">
        <w:rPr>
          <w:rFonts w:cs="Arial" w:hint="cs"/>
          <w:b/>
          <w:bCs/>
          <w:rtl/>
        </w:rPr>
        <w:t xml:space="preserve"> ע"ב</w:t>
      </w:r>
      <w:r w:rsidRPr="00C10E4C">
        <w:rPr>
          <w:rFonts w:cs="Arial"/>
          <w:b/>
          <w:bCs/>
          <w:rtl/>
        </w:rPr>
        <w:t>:</w:t>
      </w:r>
      <w:r w:rsidRPr="006C380F">
        <w:rPr>
          <w:rFonts w:cs="Arial"/>
          <w:rtl/>
        </w:rPr>
        <w:t xml:space="preserve"> </w:t>
      </w:r>
      <w:r w:rsidRPr="00C10E4C">
        <w:rPr>
          <w:rFonts w:cs="Arial"/>
          <w:u w:val="double"/>
          <w:rtl/>
        </w:rPr>
        <w:t>מתני'</w:t>
      </w:r>
      <w:r>
        <w:rPr>
          <w:rFonts w:cs="Arial" w:hint="cs"/>
          <w:rtl/>
        </w:rPr>
        <w:t>:</w:t>
      </w:r>
      <w:r w:rsidRPr="00C10E4C">
        <w:rPr>
          <w:rFonts w:cs="Arial"/>
          <w:rtl/>
        </w:rPr>
        <w:t xml:space="preserve"> היו שנים רואין אותו מחלון זה ושנים רואין אותו מחלון זה ואחד מתרה בו באמצע, בזמן שמקצתן רואין אלו את אלו - הרי אלו עדות אחת, ואם לאו - הרי אלו שתי עדיות</w:t>
      </w:r>
      <w:r>
        <w:rPr>
          <w:rFonts w:cs="Arial" w:hint="cs"/>
          <w:rtl/>
        </w:rPr>
        <w:t>...</w:t>
      </w:r>
      <w:r w:rsidRPr="00C10E4C">
        <w:rPr>
          <w:rtl/>
        </w:rPr>
        <w:t xml:space="preserve"> </w:t>
      </w:r>
      <w:r>
        <w:rPr>
          <w:rFonts w:hint="cs"/>
          <w:rtl/>
        </w:rPr>
        <w:t xml:space="preserve">    </w:t>
      </w:r>
      <w:r w:rsidRPr="00C10E4C">
        <w:rPr>
          <w:rFonts w:cs="Arial"/>
          <w:u w:val="double"/>
          <w:rtl/>
        </w:rPr>
        <w:t>גמ'</w:t>
      </w:r>
      <w:r>
        <w:rPr>
          <w:rFonts w:cs="Arial" w:hint="cs"/>
          <w:rtl/>
        </w:rPr>
        <w:t>:</w:t>
      </w:r>
      <w:r w:rsidRPr="00C10E4C">
        <w:rPr>
          <w:rFonts w:cs="Arial"/>
          <w:rtl/>
        </w:rPr>
        <w:t xml:space="preserve"> </w:t>
      </w:r>
      <w:r w:rsidRPr="00C10E4C">
        <w:rPr>
          <w:rFonts w:cs="Arial"/>
          <w:u w:val="single"/>
          <w:rtl/>
        </w:rPr>
        <w:t>אמר רב זוטרא בר טוביא אמר רב</w:t>
      </w:r>
      <w:r w:rsidRPr="00C10E4C">
        <w:rPr>
          <w:rFonts w:cs="Arial"/>
          <w:rtl/>
        </w:rPr>
        <w:t>: מנין לעדות מיוחדת</w:t>
      </w:r>
      <w:r>
        <w:rPr>
          <w:rStyle w:val="ab"/>
          <w:rFonts w:cs="Arial"/>
          <w:rtl/>
        </w:rPr>
        <w:footnoteReference w:id="1695"/>
      </w:r>
      <w:r w:rsidRPr="00C10E4C">
        <w:rPr>
          <w:rFonts w:cs="Arial"/>
          <w:rtl/>
        </w:rPr>
        <w:t xml:space="preserve"> שהיא פסולה? שנאמר: לא יומת על פי עד אחד, מאי אחד? אילימא עד אחד ממש, מרישא שמעינן לה: על פי שנים עדים! אלא מאי אחד? אחד אחד</w:t>
      </w:r>
      <w:r>
        <w:rPr>
          <w:rFonts w:cs="Arial" w:hint="cs"/>
          <w:rtl/>
        </w:rPr>
        <w:t>..</w:t>
      </w:r>
      <w:r w:rsidRPr="00C10E4C">
        <w:rPr>
          <w:rFonts w:cs="Arial"/>
          <w:rtl/>
        </w:rPr>
        <w:t>.</w:t>
      </w:r>
      <w:r w:rsidRPr="007F15B9">
        <w:rPr>
          <w:rtl/>
        </w:rPr>
        <w:t xml:space="preserve"> </w:t>
      </w:r>
      <w:r w:rsidRPr="007F15B9">
        <w:rPr>
          <w:rFonts w:cs="Arial"/>
          <w:u w:val="single"/>
          <w:rtl/>
        </w:rPr>
        <w:t>אמר רב נחמן</w:t>
      </w:r>
      <w:r w:rsidRPr="007F15B9">
        <w:rPr>
          <w:rFonts w:cs="Arial"/>
          <w:rtl/>
        </w:rPr>
        <w:t>: עדות מיוחדת כשירה בדיני ממונות, דכתיב: לא יומת על פי עד אחד, בדיני נפשות הוא דאין כשירה, אבל בדיני ממונות כשירה.</w:t>
      </w:r>
      <w:r w:rsidRPr="005D459E">
        <w:rPr>
          <w:rtl/>
        </w:rPr>
        <w:t xml:space="preserve"> </w:t>
      </w:r>
      <w:r>
        <w:rPr>
          <w:rFonts w:cs="Arial" w:hint="cs"/>
          <w:sz w:val="16"/>
          <w:szCs w:val="16"/>
          <w:rtl/>
        </w:rPr>
        <w:t>(</w:t>
      </w:r>
      <w:r w:rsidRPr="00EE6B65">
        <w:rPr>
          <w:rFonts w:cs="Arial"/>
          <w:sz w:val="16"/>
          <w:szCs w:val="16"/>
          <w:rtl/>
        </w:rPr>
        <w:t>ולענין כשמקבלין עדות דאילו הוה דיינינן דיני נפשות הויא ליה דיני נפשות יש לדקדק אי דיינינן ליה כדיני נפשות ואין מצרפין אותם</w:t>
      </w:r>
      <w:r>
        <w:rPr>
          <w:rFonts w:cs="Arial" w:hint="cs"/>
          <w:sz w:val="16"/>
          <w:szCs w:val="16"/>
          <w:rtl/>
        </w:rPr>
        <w:t>,</w:t>
      </w:r>
      <w:r w:rsidRPr="00EE6B65">
        <w:rPr>
          <w:rFonts w:cs="Arial"/>
          <w:sz w:val="16"/>
          <w:szCs w:val="16"/>
          <w:rtl/>
        </w:rPr>
        <w:t xml:space="preserve"> או אי דיינינן ליה כדיני ממונות ומצרפין אותם</w:t>
      </w:r>
      <w:r>
        <w:rPr>
          <w:rFonts w:cs="Arial" w:hint="cs"/>
          <w:sz w:val="16"/>
          <w:szCs w:val="16"/>
          <w:rtl/>
        </w:rPr>
        <w:t>, ב"י. ובגמרות לקמן יתבארו צדדים לכאן ולכאן. ובסוף הדברים יסכם הב"י כיצד יש ליישב את הגמרות. ועיין בהערה שבתחילת דבריו שם)</w:t>
      </w:r>
    </w:p>
    <w:p w14:paraId="48420EBB" w14:textId="77777777" w:rsidR="004B607F" w:rsidRDefault="004B607F" w:rsidP="004B607F">
      <w:pPr>
        <w:rPr>
          <w:rFonts w:cs="Arial"/>
          <w:rtl/>
        </w:rPr>
      </w:pPr>
      <w:r>
        <w:rPr>
          <w:rFonts w:cs="Arial" w:hint="cs"/>
          <w:b/>
          <w:bCs/>
          <w:rtl/>
        </w:rPr>
        <w:lastRenderedPageBreak/>
        <w:t xml:space="preserve">גיטין </w:t>
      </w:r>
      <w:r w:rsidRPr="00036563">
        <w:rPr>
          <w:rFonts w:cs="Arial" w:hint="cs"/>
          <w:b/>
          <w:bCs/>
          <w:sz w:val="16"/>
          <w:szCs w:val="16"/>
          <w:rtl/>
        </w:rPr>
        <w:t>(</w:t>
      </w:r>
      <w:r>
        <w:rPr>
          <w:rFonts w:cs="Arial" w:hint="cs"/>
          <w:b/>
          <w:bCs/>
          <w:sz w:val="16"/>
          <w:szCs w:val="16"/>
          <w:rtl/>
        </w:rPr>
        <w:t xml:space="preserve">פרק </w:t>
      </w:r>
      <w:r w:rsidRPr="00036563">
        <w:rPr>
          <w:rFonts w:cs="Arial" w:hint="cs"/>
          <w:b/>
          <w:bCs/>
          <w:sz w:val="16"/>
          <w:szCs w:val="16"/>
          <w:rtl/>
        </w:rPr>
        <w:t>מי שאחזו)</w:t>
      </w:r>
      <w:r>
        <w:rPr>
          <w:rFonts w:cs="Arial" w:hint="cs"/>
          <w:b/>
          <w:bCs/>
          <w:rtl/>
        </w:rPr>
        <w:t xml:space="preserve"> עב</w:t>
      </w:r>
      <w:r>
        <w:rPr>
          <w:rStyle w:val="ab"/>
          <w:rFonts w:cs="Arial"/>
          <w:b/>
          <w:bCs/>
          <w:rtl/>
        </w:rPr>
        <w:footnoteReference w:id="1696"/>
      </w:r>
      <w:r>
        <w:rPr>
          <w:rFonts w:cs="Arial" w:hint="cs"/>
          <w:b/>
          <w:bCs/>
          <w:rtl/>
        </w:rPr>
        <w:t xml:space="preserve"> ע"א: </w:t>
      </w:r>
      <w:r w:rsidRPr="00036563">
        <w:rPr>
          <w:rFonts w:cs="Arial"/>
          <w:u w:val="double"/>
          <w:rtl/>
        </w:rPr>
        <w:t>מתני'</w:t>
      </w:r>
      <w:r>
        <w:rPr>
          <w:rFonts w:cs="Arial" w:hint="cs"/>
          <w:rtl/>
        </w:rPr>
        <w:t>:</w:t>
      </w:r>
      <w:r w:rsidRPr="00036563">
        <w:rPr>
          <w:rFonts w:cs="Arial"/>
          <w:rtl/>
        </w:rPr>
        <w:t xml:space="preserve"> זה גיטיך אם מתי</w:t>
      </w:r>
      <w:r>
        <w:rPr>
          <w:rFonts w:cs="Arial" w:hint="cs"/>
          <w:rtl/>
        </w:rPr>
        <w:t>...</w:t>
      </w:r>
      <w:r w:rsidRPr="00036563">
        <w:rPr>
          <w:rFonts w:cs="Arial"/>
          <w:rtl/>
        </w:rPr>
        <w:t xml:space="preserve"> - לא אמר כלום</w:t>
      </w:r>
      <w:r>
        <w:rPr>
          <w:rFonts w:cs="Arial" w:hint="cs"/>
          <w:rtl/>
        </w:rPr>
        <w:t xml:space="preserve">. </w:t>
      </w:r>
      <w:r w:rsidRPr="00036563">
        <w:rPr>
          <w:rFonts w:cs="Arial"/>
          <w:rtl/>
        </w:rPr>
        <w:t>מהיום אם מתי</w:t>
      </w:r>
      <w:r>
        <w:rPr>
          <w:rFonts w:cs="Arial" w:hint="cs"/>
          <w:rtl/>
        </w:rPr>
        <w:t>...</w:t>
      </w:r>
      <w:r w:rsidRPr="00036563">
        <w:rPr>
          <w:rFonts w:cs="Arial"/>
          <w:rtl/>
        </w:rPr>
        <w:t xml:space="preserve"> - ה"ז גט.</w:t>
      </w:r>
      <w:r>
        <w:rPr>
          <w:rFonts w:cs="Arial" w:hint="cs"/>
          <w:rtl/>
        </w:rPr>
        <w:t>..</w:t>
      </w:r>
      <w:r w:rsidRPr="00036563">
        <w:rPr>
          <w:rFonts w:cs="Arial"/>
          <w:rtl/>
        </w:rPr>
        <w:t xml:space="preserve"> </w:t>
      </w:r>
      <w:r>
        <w:rPr>
          <w:rFonts w:cs="Arial" w:hint="cs"/>
          <w:sz w:val="14"/>
          <w:szCs w:val="14"/>
          <w:rtl/>
        </w:rPr>
        <w:t xml:space="preserve">(עג.) </w:t>
      </w:r>
      <w:r w:rsidRPr="00036563">
        <w:rPr>
          <w:rFonts w:cs="Arial"/>
          <w:u w:val="double"/>
          <w:rtl/>
        </w:rPr>
        <w:t>מתני'</w:t>
      </w:r>
      <w:r>
        <w:rPr>
          <w:rFonts w:cs="Arial" w:hint="cs"/>
          <w:rtl/>
        </w:rPr>
        <w:t>:</w:t>
      </w:r>
      <w:r w:rsidRPr="00036563">
        <w:rPr>
          <w:rFonts w:cs="Arial"/>
          <w:rtl/>
        </w:rPr>
        <w:t xml:space="preserve"> לא תתייחד עמו</w:t>
      </w:r>
      <w:r>
        <w:rPr>
          <w:rStyle w:val="ab"/>
          <w:rFonts w:cs="Arial"/>
          <w:rtl/>
        </w:rPr>
        <w:footnoteReference w:id="1697"/>
      </w:r>
      <w:r w:rsidRPr="00036563">
        <w:rPr>
          <w:rFonts w:cs="Arial"/>
          <w:rtl/>
        </w:rPr>
        <w:t xml:space="preserve"> אלא בפני עדים</w:t>
      </w:r>
      <w:r>
        <w:rPr>
          <w:rFonts w:hint="cs"/>
          <w:rtl/>
        </w:rPr>
        <w:t>..</w:t>
      </w:r>
      <w:r w:rsidRPr="00036563">
        <w:rPr>
          <w:rFonts w:cs="Arial"/>
          <w:rtl/>
        </w:rPr>
        <w:t>.</w:t>
      </w:r>
      <w:r w:rsidRPr="00036563">
        <w:rPr>
          <w:rtl/>
        </w:rPr>
        <w:t xml:space="preserve"> </w:t>
      </w:r>
      <w:r>
        <w:rPr>
          <w:rFonts w:cs="Arial" w:hint="cs"/>
          <w:sz w:val="16"/>
          <w:szCs w:val="16"/>
          <w:rtl/>
        </w:rPr>
        <w:t>(ו</w:t>
      </w:r>
      <w:r w:rsidRPr="00036563">
        <w:rPr>
          <w:rFonts w:cs="Arial"/>
          <w:sz w:val="16"/>
          <w:szCs w:val="16"/>
          <w:rtl/>
        </w:rPr>
        <w:t>כתב הרי"ף (שם לה:) ראוה שנים שנתייחדה עמו</w:t>
      </w:r>
      <w:r>
        <w:rPr>
          <w:rFonts w:cs="Arial" w:hint="cs"/>
          <w:sz w:val="16"/>
          <w:szCs w:val="16"/>
          <w:rtl/>
        </w:rPr>
        <w:t xml:space="preserve"> -</w:t>
      </w:r>
      <w:r w:rsidRPr="00036563">
        <w:rPr>
          <w:rFonts w:cs="Arial"/>
          <w:sz w:val="16"/>
          <w:szCs w:val="16"/>
          <w:rtl/>
        </w:rPr>
        <w:t xml:space="preserve"> צריכה הימנו גט שני</w:t>
      </w:r>
      <w:r>
        <w:rPr>
          <w:rFonts w:cs="Arial" w:hint="cs"/>
          <w:sz w:val="16"/>
          <w:szCs w:val="16"/>
          <w:rtl/>
        </w:rPr>
        <w:t>,</w:t>
      </w:r>
      <w:r w:rsidRPr="00036563">
        <w:rPr>
          <w:rFonts w:cs="Arial"/>
          <w:sz w:val="16"/>
          <w:szCs w:val="16"/>
          <w:rtl/>
        </w:rPr>
        <w:t xml:space="preserve"> אחד בשחרית ואחד בין הערבים </w:t>
      </w:r>
      <w:r>
        <w:rPr>
          <w:rFonts w:cs="Arial" w:hint="cs"/>
          <w:sz w:val="16"/>
          <w:szCs w:val="16"/>
          <w:rtl/>
        </w:rPr>
        <w:t xml:space="preserve">- </w:t>
      </w:r>
      <w:r w:rsidRPr="00036563">
        <w:rPr>
          <w:rFonts w:cs="Arial"/>
          <w:sz w:val="16"/>
          <w:szCs w:val="16"/>
          <w:rtl/>
        </w:rPr>
        <w:t>זה היה מעשה ואמרו אין מצטרפין עכ"ל</w:t>
      </w:r>
      <w:r>
        <w:rPr>
          <w:rFonts w:cs="Arial" w:hint="cs"/>
          <w:sz w:val="16"/>
          <w:szCs w:val="16"/>
          <w:rtl/>
        </w:rPr>
        <w:t>.</w:t>
      </w:r>
      <w:r w:rsidRPr="00036563">
        <w:rPr>
          <w:rFonts w:cs="Arial"/>
          <w:sz w:val="16"/>
          <w:szCs w:val="16"/>
          <w:rtl/>
        </w:rPr>
        <w:t xml:space="preserve"> והוא לשון הירושלמי </w:t>
      </w:r>
      <w:r>
        <w:rPr>
          <w:rFonts w:cs="Arial" w:hint="cs"/>
          <w:sz w:val="14"/>
          <w:szCs w:val="14"/>
          <w:rtl/>
        </w:rPr>
        <w:t>{בגיטין, המובא לקמן בסמוך}</w:t>
      </w:r>
      <w:r>
        <w:rPr>
          <w:rFonts w:cs="Arial" w:hint="cs"/>
          <w:sz w:val="16"/>
          <w:szCs w:val="16"/>
          <w:rtl/>
        </w:rPr>
        <w:t xml:space="preserve">, </w:t>
      </w:r>
      <w:r w:rsidRPr="00036563">
        <w:rPr>
          <w:rFonts w:cs="Arial"/>
          <w:sz w:val="16"/>
          <w:szCs w:val="16"/>
          <w:rtl/>
        </w:rPr>
        <w:t>וכתבו גם הרא"ש (גיטין פ"ו סי' ד)</w:t>
      </w:r>
      <w:r>
        <w:rPr>
          <w:rFonts w:cs="Arial" w:hint="cs"/>
          <w:sz w:val="16"/>
          <w:szCs w:val="16"/>
          <w:rtl/>
        </w:rPr>
        <w:t>, ב"י</w:t>
      </w:r>
      <w:r w:rsidRPr="00036563">
        <w:rPr>
          <w:rFonts w:cs="Arial" w:hint="cs"/>
          <w:sz w:val="16"/>
          <w:szCs w:val="16"/>
          <w:rtl/>
        </w:rPr>
        <w:t>)</w:t>
      </w:r>
    </w:p>
    <w:p w14:paraId="293BF5C6" w14:textId="77777777" w:rsidR="004B607F" w:rsidRDefault="004B607F" w:rsidP="004B607F">
      <w:pPr>
        <w:rPr>
          <w:rFonts w:cs="Arial"/>
          <w:rtl/>
        </w:rPr>
      </w:pPr>
      <w:r>
        <w:rPr>
          <w:rFonts w:cs="Arial" w:hint="cs"/>
          <w:b/>
          <w:bCs/>
          <w:rtl/>
        </w:rPr>
        <w:t xml:space="preserve">ירושלמי </w:t>
      </w:r>
      <w:r w:rsidRPr="00C67718">
        <w:rPr>
          <w:rFonts w:cs="Arial" w:hint="cs"/>
          <w:b/>
          <w:bCs/>
          <w:sz w:val="16"/>
          <w:szCs w:val="16"/>
          <w:rtl/>
        </w:rPr>
        <w:t>(וילנא)</w:t>
      </w:r>
      <w:r>
        <w:rPr>
          <w:rFonts w:cs="Arial" w:hint="cs"/>
          <w:b/>
          <w:bCs/>
          <w:rtl/>
        </w:rPr>
        <w:t xml:space="preserve"> גיטין פ"ז ה"ד: </w:t>
      </w:r>
      <w:r w:rsidRPr="00770694">
        <w:rPr>
          <w:rFonts w:cs="Arial"/>
          <w:rtl/>
        </w:rPr>
        <w:t>כהדא</w:t>
      </w:r>
      <w:r>
        <w:rPr>
          <w:rFonts w:cs="Arial" w:hint="cs"/>
          <w:rtl/>
        </w:rPr>
        <w:t>,</w:t>
      </w:r>
      <w:r w:rsidRPr="00770694">
        <w:rPr>
          <w:rFonts w:cs="Arial"/>
          <w:rtl/>
        </w:rPr>
        <w:t xml:space="preserve"> נתייחדה עמו בפני שנים </w:t>
      </w:r>
      <w:r>
        <w:rPr>
          <w:rFonts w:cs="Arial" w:hint="cs"/>
          <w:rtl/>
        </w:rPr>
        <w:t xml:space="preserve">- </w:t>
      </w:r>
      <w:r w:rsidRPr="00770694">
        <w:rPr>
          <w:rFonts w:cs="Arial"/>
          <w:rtl/>
        </w:rPr>
        <w:t>צריכה הימינו גט שני</w:t>
      </w:r>
      <w:r>
        <w:rPr>
          <w:rFonts w:cs="Arial" w:hint="cs"/>
          <w:rtl/>
        </w:rPr>
        <w:t>.</w:t>
      </w:r>
      <w:r w:rsidRPr="00770694">
        <w:rPr>
          <w:rFonts w:cs="Arial"/>
          <w:rtl/>
        </w:rPr>
        <w:t xml:space="preserve"> באחד</w:t>
      </w:r>
      <w:r>
        <w:rPr>
          <w:rFonts w:cs="Arial" w:hint="cs"/>
          <w:rtl/>
        </w:rPr>
        <w:t xml:space="preserve"> -</w:t>
      </w:r>
      <w:r w:rsidRPr="00770694">
        <w:rPr>
          <w:rFonts w:cs="Arial"/>
          <w:rtl/>
        </w:rPr>
        <w:t xml:space="preserve"> אינה צריכה ממנו גט שני</w:t>
      </w:r>
      <w:r>
        <w:rPr>
          <w:rFonts w:cs="Arial" w:hint="cs"/>
          <w:rtl/>
        </w:rPr>
        <w:t>.</w:t>
      </w:r>
      <w:r w:rsidRPr="00770694">
        <w:rPr>
          <w:rFonts w:cs="Arial"/>
          <w:rtl/>
        </w:rPr>
        <w:t xml:space="preserve"> באחד בשחרית ובאחד בין הערבים</w:t>
      </w:r>
      <w:r>
        <w:rPr>
          <w:rFonts w:cs="Arial" w:hint="cs"/>
          <w:rtl/>
        </w:rPr>
        <w:t>?</w:t>
      </w:r>
      <w:r w:rsidRPr="00770694">
        <w:rPr>
          <w:rFonts w:cs="Arial"/>
          <w:rtl/>
        </w:rPr>
        <w:t xml:space="preserve"> זה היה מעשה </w:t>
      </w:r>
      <w:r w:rsidRPr="00FB05F5">
        <w:rPr>
          <w:rFonts w:cs="Arial"/>
          <w:u w:val="single"/>
          <w:rtl/>
        </w:rPr>
        <w:t>ושאל רבי אליעזר בן תרדיון לחכמי</w:t>
      </w:r>
      <w:r w:rsidRPr="007F15B9">
        <w:rPr>
          <w:rFonts w:cs="Arial"/>
          <w:u w:val="single"/>
          <w:rtl/>
        </w:rPr>
        <w:t>ם ואמרו</w:t>
      </w:r>
      <w:r>
        <w:rPr>
          <w:rFonts w:cs="Arial" w:hint="cs"/>
          <w:rtl/>
        </w:rPr>
        <w:t xml:space="preserve">: </w:t>
      </w:r>
      <w:r w:rsidRPr="00770694">
        <w:rPr>
          <w:rFonts w:cs="Arial"/>
          <w:rtl/>
        </w:rPr>
        <w:t>אין זה יחוד.</w:t>
      </w:r>
    </w:p>
    <w:p w14:paraId="7C507E99" w14:textId="77777777" w:rsidR="004B607F" w:rsidRDefault="004B607F" w:rsidP="004B607F">
      <w:pPr>
        <w:rPr>
          <w:rFonts w:cs="Arial"/>
          <w:rtl/>
        </w:rPr>
      </w:pPr>
      <w:r>
        <w:rPr>
          <w:rFonts w:cs="Arial" w:hint="cs"/>
          <w:b/>
          <w:bCs/>
          <w:rtl/>
        </w:rPr>
        <w:t xml:space="preserve">ירושלמי </w:t>
      </w:r>
      <w:r w:rsidRPr="00C67718">
        <w:rPr>
          <w:rFonts w:cs="Arial" w:hint="cs"/>
          <w:b/>
          <w:bCs/>
          <w:sz w:val="16"/>
          <w:szCs w:val="16"/>
          <w:rtl/>
        </w:rPr>
        <w:t>(וילנא)</w:t>
      </w:r>
      <w:r>
        <w:rPr>
          <w:rFonts w:cs="Arial" w:hint="cs"/>
          <w:b/>
          <w:bCs/>
          <w:rtl/>
        </w:rPr>
        <w:t xml:space="preserve"> סוטה פ"א ה"א: </w:t>
      </w:r>
      <w:r w:rsidRPr="00393994">
        <w:rPr>
          <w:rFonts w:cs="Arial"/>
          <w:rtl/>
        </w:rPr>
        <w:t>נסתרה בעד אחד בשחרית ובעד א' בין הערבים</w:t>
      </w:r>
      <w:r>
        <w:rPr>
          <w:rFonts w:cs="Arial" w:hint="cs"/>
          <w:rtl/>
        </w:rPr>
        <w:t>.</w:t>
      </w:r>
      <w:r w:rsidRPr="00393994">
        <w:rPr>
          <w:rFonts w:cs="Arial"/>
          <w:rtl/>
        </w:rPr>
        <w:t xml:space="preserve"> </w:t>
      </w:r>
      <w:r w:rsidRPr="005D459E">
        <w:rPr>
          <w:rFonts w:cs="Arial"/>
          <w:rtl/>
        </w:rPr>
        <w:t>ייבא כהדא</w:t>
      </w:r>
      <w:r>
        <w:rPr>
          <w:rFonts w:cs="Arial" w:hint="cs"/>
          <w:rtl/>
        </w:rPr>
        <w:t>:</w:t>
      </w:r>
      <w:r w:rsidRPr="005D459E">
        <w:rPr>
          <w:rFonts w:cs="Arial"/>
          <w:rtl/>
        </w:rPr>
        <w:t xml:space="preserve"> נתייחדה עמו בפני שני</w:t>
      </w:r>
      <w:r>
        <w:rPr>
          <w:rFonts w:cs="Arial" w:hint="cs"/>
          <w:rtl/>
        </w:rPr>
        <w:t>ם -</w:t>
      </w:r>
      <w:r w:rsidRPr="005D459E">
        <w:rPr>
          <w:rFonts w:cs="Arial"/>
          <w:rtl/>
        </w:rPr>
        <w:t xml:space="preserve"> צריכה הימנו גט שני</w:t>
      </w:r>
      <w:r>
        <w:rPr>
          <w:rFonts w:cs="Arial" w:hint="cs"/>
          <w:rtl/>
        </w:rPr>
        <w:t>,</w:t>
      </w:r>
      <w:r w:rsidRPr="005D459E">
        <w:rPr>
          <w:rFonts w:cs="Arial"/>
          <w:rtl/>
        </w:rPr>
        <w:t xml:space="preserve"> באחד </w:t>
      </w:r>
      <w:r>
        <w:rPr>
          <w:rFonts w:cs="Arial" w:hint="cs"/>
          <w:rtl/>
        </w:rPr>
        <w:t xml:space="preserve">- </w:t>
      </w:r>
      <w:r w:rsidRPr="005D459E">
        <w:rPr>
          <w:rFonts w:cs="Arial"/>
          <w:rtl/>
        </w:rPr>
        <w:t>אינה צריכה הימינו גט שני. בא' בשחרית ואחד בין הערבים</w:t>
      </w:r>
      <w:r>
        <w:rPr>
          <w:rFonts w:cs="Arial" w:hint="cs"/>
          <w:rtl/>
        </w:rPr>
        <w:t>,</w:t>
      </w:r>
      <w:r w:rsidRPr="005D459E">
        <w:rPr>
          <w:rFonts w:cs="Arial"/>
          <w:rtl/>
        </w:rPr>
        <w:t xml:space="preserve"> זה היה מעשה ושאל ר' לעזר בן תדאי את החכמים ואמרו</w:t>
      </w:r>
      <w:r>
        <w:rPr>
          <w:rFonts w:cs="Arial" w:hint="cs"/>
          <w:rtl/>
        </w:rPr>
        <w:t>:</w:t>
      </w:r>
      <w:r w:rsidRPr="005D459E">
        <w:rPr>
          <w:rFonts w:cs="Arial"/>
          <w:rtl/>
        </w:rPr>
        <w:t xml:space="preserve"> אין זה ייחוד. קינא לה בעד אחד בשחרית ובעד אחד בין הערבים</w:t>
      </w:r>
      <w:r>
        <w:rPr>
          <w:rFonts w:cs="Arial" w:hint="cs"/>
          <w:rtl/>
        </w:rPr>
        <w:t xml:space="preserve"> -</w:t>
      </w:r>
      <w:r w:rsidRPr="005D459E">
        <w:rPr>
          <w:rFonts w:cs="Arial"/>
          <w:rtl/>
        </w:rPr>
        <w:t xml:space="preserve"> מאחר שהוא איש והיא אשה אין קינויו קינוי. ייבא כהדא</w:t>
      </w:r>
      <w:r>
        <w:rPr>
          <w:rFonts w:cs="Arial" w:hint="cs"/>
          <w:rtl/>
        </w:rPr>
        <w:t>:</w:t>
      </w:r>
      <w:r w:rsidRPr="005D459E">
        <w:rPr>
          <w:rFonts w:cs="Arial"/>
          <w:rtl/>
        </w:rPr>
        <w:t xml:space="preserve"> אין מקבלין מן העדים אלא אם כן ראו שניהן כאחת</w:t>
      </w:r>
      <w:r>
        <w:rPr>
          <w:rFonts w:cs="Arial" w:hint="cs"/>
          <w:rtl/>
        </w:rPr>
        <w:t>.</w:t>
      </w:r>
      <w:r w:rsidRPr="005D459E">
        <w:rPr>
          <w:rFonts w:cs="Arial"/>
          <w:rtl/>
        </w:rPr>
        <w:t xml:space="preserve"> רבי יהושע בן קרחה אומר</w:t>
      </w:r>
      <w:r>
        <w:rPr>
          <w:rFonts w:cs="Arial" w:hint="cs"/>
          <w:rtl/>
        </w:rPr>
        <w:t>:</w:t>
      </w:r>
      <w:r w:rsidRPr="005D459E">
        <w:rPr>
          <w:rFonts w:cs="Arial"/>
          <w:rtl/>
        </w:rPr>
        <w:t xml:space="preserve"> ואפילו באו זה אחר זה. </w:t>
      </w:r>
    </w:p>
    <w:p w14:paraId="3715B356" w14:textId="77777777" w:rsidR="004B607F" w:rsidRDefault="004B607F" w:rsidP="004B607F">
      <w:pPr>
        <w:rPr>
          <w:rFonts w:cs="Arial"/>
          <w:color w:val="000000" w:themeColor="text1"/>
          <w:rtl/>
        </w:rPr>
      </w:pPr>
      <w:r>
        <w:rPr>
          <w:rFonts w:cs="Arial" w:hint="cs"/>
          <w:b/>
          <w:bCs/>
          <w:rtl/>
        </w:rPr>
        <w:t xml:space="preserve">כתובות </w:t>
      </w:r>
      <w:r w:rsidRPr="00C67718">
        <w:rPr>
          <w:rFonts w:cs="Arial" w:hint="cs"/>
          <w:b/>
          <w:bCs/>
          <w:sz w:val="16"/>
          <w:szCs w:val="16"/>
          <w:rtl/>
        </w:rPr>
        <w:t>(פ"ב)</w:t>
      </w:r>
      <w:r>
        <w:rPr>
          <w:rFonts w:cs="Arial" w:hint="cs"/>
          <w:b/>
          <w:bCs/>
          <w:rtl/>
        </w:rPr>
        <w:t xml:space="preserve"> כג ע"ב: </w:t>
      </w:r>
      <w:r w:rsidRPr="00C67718">
        <w:rPr>
          <w:rFonts w:cs="Arial"/>
          <w:u w:val="double"/>
          <w:rtl/>
        </w:rPr>
        <w:t>מתני'</w:t>
      </w:r>
      <w:r w:rsidRPr="00C67718">
        <w:rPr>
          <w:rFonts w:cs="Arial" w:hint="cs"/>
          <w:u w:val="double"/>
          <w:rtl/>
        </w:rPr>
        <w:t>:</w:t>
      </w:r>
      <w:r>
        <w:rPr>
          <w:rFonts w:cs="Arial" w:hint="cs"/>
          <w:rtl/>
        </w:rPr>
        <w:t xml:space="preserve">... </w:t>
      </w:r>
      <w:r w:rsidRPr="00C67718">
        <w:rPr>
          <w:rFonts w:cs="Arial"/>
          <w:u w:val="single"/>
          <w:rtl/>
        </w:rPr>
        <w:t>רבי יהודה אומר</w:t>
      </w:r>
      <w:r w:rsidRPr="00C67718">
        <w:rPr>
          <w:rFonts w:cs="Arial"/>
          <w:rtl/>
        </w:rPr>
        <w:t>: אין מעלין לכהונה על פי עד אחד</w:t>
      </w:r>
      <w:r>
        <w:rPr>
          <w:rFonts w:cs="Arial" w:hint="cs"/>
          <w:rtl/>
        </w:rPr>
        <w:t>.</w:t>
      </w:r>
      <w:r w:rsidRPr="00C67718">
        <w:rPr>
          <w:rFonts w:cs="Arial"/>
          <w:rtl/>
        </w:rPr>
        <w:t xml:space="preserve"> </w:t>
      </w:r>
      <w:r w:rsidRPr="00C67718">
        <w:rPr>
          <w:rFonts w:cs="Arial"/>
          <w:u w:val="single"/>
          <w:rtl/>
        </w:rPr>
        <w:t>אמר רבי אלעזר</w:t>
      </w:r>
      <w:r w:rsidRPr="00C67718">
        <w:rPr>
          <w:rFonts w:cs="Arial"/>
          <w:rtl/>
        </w:rPr>
        <w:t>: אימתי? במקום שיש עוררין, אבל במקום שאין עוררין - מעלין לכהונה על פי עד אחד</w:t>
      </w:r>
      <w:r>
        <w:rPr>
          <w:rFonts w:cs="Arial" w:hint="cs"/>
          <w:rtl/>
        </w:rPr>
        <w:t>.</w:t>
      </w:r>
      <w:r w:rsidRPr="00C67718">
        <w:rPr>
          <w:rFonts w:cs="Arial"/>
          <w:rtl/>
        </w:rPr>
        <w:t xml:space="preserve"> </w:t>
      </w:r>
      <w:r w:rsidRPr="00C67718">
        <w:rPr>
          <w:rFonts w:cs="Arial"/>
          <w:u w:val="single"/>
          <w:rtl/>
        </w:rPr>
        <w:t>רשב"ג אומר משום רבי שמעון בן הסגן</w:t>
      </w:r>
      <w:r w:rsidRPr="00C67718">
        <w:rPr>
          <w:rFonts w:cs="Arial"/>
          <w:rtl/>
        </w:rPr>
        <w:t>: מעלין לכהונה על פי עד אחד.</w:t>
      </w:r>
      <w:r>
        <w:rPr>
          <w:rFonts w:cs="Arial" w:hint="cs"/>
          <w:rtl/>
        </w:rPr>
        <w:t xml:space="preserve">..    </w:t>
      </w:r>
      <w:r w:rsidRPr="00C67718">
        <w:rPr>
          <w:rFonts w:cs="Arial"/>
          <w:rtl/>
        </w:rPr>
        <w:t xml:space="preserve"> </w:t>
      </w:r>
      <w:r w:rsidRPr="00C67718">
        <w:rPr>
          <w:rFonts w:cs="Arial" w:hint="cs"/>
          <w:u w:val="double"/>
          <w:rtl/>
        </w:rPr>
        <w:t>גמ'</w:t>
      </w:r>
      <w:r w:rsidRPr="00C67718">
        <w:rPr>
          <w:rFonts w:cs="Arial" w:hint="cs"/>
          <w:sz w:val="14"/>
          <w:szCs w:val="14"/>
          <w:u w:val="double"/>
          <w:rtl/>
        </w:rPr>
        <w:t>(כו.)</w:t>
      </w:r>
      <w:r w:rsidRPr="00C67718">
        <w:rPr>
          <w:rFonts w:cs="Arial" w:hint="cs"/>
          <w:u w:val="double"/>
          <w:rtl/>
        </w:rPr>
        <w:t>:</w:t>
      </w:r>
      <w:r>
        <w:rPr>
          <w:rFonts w:cs="Arial" w:hint="cs"/>
          <w:rtl/>
        </w:rPr>
        <w:t xml:space="preserve"> </w:t>
      </w:r>
      <w:r w:rsidRPr="00C67718">
        <w:rPr>
          <w:rFonts w:cs="Arial"/>
          <w:rtl/>
        </w:rPr>
        <w:t>רבי יהודה אומר: אין מעלין לכהונה על פי עד אחד וכו'. רשב"ג היינו רבי אליעזר! וכי תימא ערער חד איכא בינייהו, דרבי אליעזר סבר: ערער חד, ורשב"ג סבר: ערער תרי, האמר רבי יוחנן: דברי הכל אין ערער פחות משנים!</w:t>
      </w:r>
      <w:r>
        <w:rPr>
          <w:rFonts w:cs="Arial" w:hint="cs"/>
          <w:rtl/>
        </w:rPr>
        <w:t>...</w:t>
      </w:r>
      <w:r w:rsidRPr="00C67718">
        <w:rPr>
          <w:rFonts w:cs="Arial"/>
          <w:rtl/>
        </w:rPr>
        <w:t xml:space="preserve"> </w:t>
      </w:r>
      <w:r>
        <w:rPr>
          <w:rFonts w:cs="Arial" w:hint="cs"/>
          <w:sz w:val="14"/>
          <w:szCs w:val="14"/>
          <w:rtl/>
        </w:rPr>
        <w:t xml:space="preserve">(כו:) </w:t>
      </w:r>
      <w:r w:rsidRPr="001F6C84">
        <w:rPr>
          <w:rFonts w:cs="Arial"/>
          <w:u w:val="single"/>
          <w:rtl/>
        </w:rPr>
        <w:t>אמר רב אשי</w:t>
      </w:r>
      <w:r w:rsidRPr="00C67718">
        <w:rPr>
          <w:rFonts w:cs="Arial"/>
          <w:rtl/>
        </w:rPr>
        <w:t>: במצטרפין לעדות קמיפלגי, ובפלוגתא דהני תנאי</w:t>
      </w:r>
      <w:r>
        <w:rPr>
          <w:rFonts w:cs="Arial" w:hint="cs"/>
          <w:rtl/>
        </w:rPr>
        <w:t>,</w:t>
      </w:r>
      <w:r w:rsidRPr="00C67718">
        <w:rPr>
          <w:rFonts w:cs="Arial"/>
          <w:rtl/>
        </w:rPr>
        <w:t xml:space="preserve"> דתניא: אין עדותן מצטרפת עד שיראו שניהם כאחד, ר' יהושע בן קרחה אמר: אפי' בזה אחר זה</w:t>
      </w:r>
      <w:r>
        <w:rPr>
          <w:rFonts w:cs="Arial" w:hint="cs"/>
          <w:rtl/>
        </w:rPr>
        <w:t>.</w:t>
      </w:r>
      <w:r w:rsidRPr="00AF32CB">
        <w:rPr>
          <w:rFonts w:cs="Arial" w:hint="cs"/>
          <w:color w:val="000000" w:themeColor="text1"/>
          <w:rtl/>
        </w:rPr>
        <w:t xml:space="preserve"> </w:t>
      </w:r>
      <w:r w:rsidRPr="00AF32CB">
        <w:rPr>
          <w:rFonts w:cs="Arial" w:hint="cs"/>
          <w:color w:val="000000" w:themeColor="text1"/>
          <w:sz w:val="16"/>
          <w:szCs w:val="16"/>
          <w:rtl/>
        </w:rPr>
        <w:t>(</w:t>
      </w:r>
      <w:r w:rsidRPr="00AF32CB">
        <w:rPr>
          <w:rFonts w:cs="Arial"/>
          <w:color w:val="000000" w:themeColor="text1"/>
          <w:sz w:val="16"/>
          <w:szCs w:val="16"/>
          <w:rtl/>
        </w:rPr>
        <w:t>משמע קצת כדברי המרדכי דכי היכי דמצטרפי לעדות ממון מצטרפי לענין איסור</w:t>
      </w:r>
      <w:r w:rsidRPr="00AF32CB">
        <w:rPr>
          <w:rFonts w:cs="Arial" w:hint="cs"/>
          <w:color w:val="000000" w:themeColor="text1"/>
          <w:sz w:val="16"/>
          <w:szCs w:val="16"/>
          <w:rtl/>
        </w:rPr>
        <w:t>, ב"י)</w:t>
      </w:r>
    </w:p>
    <w:p w14:paraId="568DB88B" w14:textId="77777777" w:rsidR="004B607F" w:rsidRPr="00AF32CB" w:rsidRDefault="004B607F" w:rsidP="004B607F">
      <w:pPr>
        <w:rPr>
          <w:rFonts w:cs="Arial"/>
          <w:color w:val="000000" w:themeColor="text1"/>
          <w:rtl/>
        </w:rPr>
      </w:pPr>
      <w:r>
        <w:rPr>
          <w:rFonts w:cs="Arial" w:hint="cs"/>
          <w:b/>
          <w:bCs/>
          <w:rtl/>
        </w:rPr>
        <w:t xml:space="preserve">גיטין </w:t>
      </w:r>
      <w:r w:rsidRPr="00036563">
        <w:rPr>
          <w:rFonts w:cs="Arial" w:hint="cs"/>
          <w:b/>
          <w:bCs/>
          <w:sz w:val="16"/>
          <w:szCs w:val="16"/>
          <w:rtl/>
        </w:rPr>
        <w:t>(</w:t>
      </w:r>
      <w:r>
        <w:rPr>
          <w:rFonts w:cs="Arial" w:hint="cs"/>
          <w:b/>
          <w:bCs/>
          <w:sz w:val="16"/>
          <w:szCs w:val="16"/>
          <w:rtl/>
        </w:rPr>
        <w:t>פרק השולח</w:t>
      </w:r>
      <w:r w:rsidRPr="00036563">
        <w:rPr>
          <w:rFonts w:cs="Arial" w:hint="cs"/>
          <w:b/>
          <w:bCs/>
          <w:sz w:val="16"/>
          <w:szCs w:val="16"/>
          <w:rtl/>
        </w:rPr>
        <w:t>)</w:t>
      </w:r>
      <w:r>
        <w:rPr>
          <w:rFonts w:cs="Arial" w:hint="cs"/>
          <w:b/>
          <w:bCs/>
          <w:rtl/>
        </w:rPr>
        <w:t xml:space="preserve"> לג ע"ב: </w:t>
      </w:r>
      <w:r w:rsidRPr="00AF32CB">
        <w:rPr>
          <w:rFonts w:cs="Arial"/>
          <w:color w:val="000000" w:themeColor="text1"/>
          <w:rtl/>
        </w:rPr>
        <w:t xml:space="preserve">ת"ש: אמר לשנים תנו גט לאשתי - יכול לבטל זה שלא בפני זה, </w:t>
      </w:r>
      <w:r w:rsidRPr="001C620D">
        <w:rPr>
          <w:rFonts w:cs="Arial"/>
          <w:color w:val="000000" w:themeColor="text1"/>
          <w:u w:val="single"/>
          <w:rtl/>
        </w:rPr>
        <w:t>דברי רבי</w:t>
      </w:r>
      <w:r w:rsidRPr="00AF32CB">
        <w:rPr>
          <w:rFonts w:cs="Arial"/>
          <w:color w:val="000000" w:themeColor="text1"/>
          <w:rtl/>
        </w:rPr>
        <w:t xml:space="preserve">, </w:t>
      </w:r>
      <w:r w:rsidRPr="001C620D">
        <w:rPr>
          <w:rFonts w:cs="Arial"/>
          <w:color w:val="000000" w:themeColor="text1"/>
          <w:u w:val="single"/>
          <w:rtl/>
        </w:rPr>
        <w:t>רשב"ג אומר</w:t>
      </w:r>
      <w:r w:rsidRPr="00AF32CB">
        <w:rPr>
          <w:rFonts w:cs="Arial"/>
          <w:color w:val="000000" w:themeColor="text1"/>
          <w:rtl/>
        </w:rPr>
        <w:t>: אינו יכול לבטל אלא זה בפני זה</w:t>
      </w:r>
      <w:r>
        <w:rPr>
          <w:rFonts w:cs="Arial" w:hint="cs"/>
          <w:color w:val="000000" w:themeColor="text1"/>
          <w:rtl/>
        </w:rPr>
        <w:t>.</w:t>
      </w:r>
      <w:r w:rsidRPr="00AF32CB">
        <w:rPr>
          <w:rFonts w:cs="Arial"/>
          <w:color w:val="000000" w:themeColor="text1"/>
          <w:rtl/>
        </w:rPr>
        <w:t xml:space="preserve"> והא שנים דכי כולכם דמו, ופליגי. </w:t>
      </w:r>
      <w:r w:rsidRPr="001C620D">
        <w:rPr>
          <w:rFonts w:cs="Arial"/>
          <w:color w:val="000000" w:themeColor="text1"/>
          <w:u w:val="single"/>
          <w:rtl/>
        </w:rPr>
        <w:t>אמר רב אשי</w:t>
      </w:r>
      <w:r w:rsidRPr="00AF32CB">
        <w:rPr>
          <w:rFonts w:cs="Arial"/>
          <w:color w:val="000000" w:themeColor="text1"/>
          <w:rtl/>
        </w:rPr>
        <w:t>: אי בעדי כתיבה הכי נמי, הכא במאי עסקינן - בעדי הולכה. הכי נמי מיסתברא, דקתני סיפא: אמר לזה בפני עצמו ולזה בפני עצמו - יכול לבטל זה שלא בפני זה</w:t>
      </w:r>
      <w:r>
        <w:rPr>
          <w:rFonts w:cs="Arial" w:hint="cs"/>
          <w:color w:val="000000" w:themeColor="text1"/>
          <w:rtl/>
        </w:rPr>
        <w:t>.</w:t>
      </w:r>
      <w:r w:rsidRPr="00AF32CB">
        <w:rPr>
          <w:rFonts w:cs="Arial"/>
          <w:color w:val="000000" w:themeColor="text1"/>
          <w:rtl/>
        </w:rPr>
        <w:t xml:space="preserve"> אי אמרת בשלמא בעדי הולכה - שפיר, אלא אי אמרת בעדי כתיבה, מי מצטרפי? הא אמר מר: אין עדותן מצטרפת עד שיראו שניהם כאחד! דלמא כר' יהושע בן קרחה סבירא ליה.</w:t>
      </w:r>
      <w:r>
        <w:rPr>
          <w:rFonts w:cs="Arial" w:hint="cs"/>
          <w:color w:val="000000" w:themeColor="text1"/>
          <w:rtl/>
        </w:rPr>
        <w:t xml:space="preserve"> </w:t>
      </w:r>
      <w:r w:rsidRPr="00AF32CB">
        <w:rPr>
          <w:rFonts w:cs="Arial" w:hint="cs"/>
          <w:color w:val="000000" w:themeColor="text1"/>
          <w:sz w:val="16"/>
          <w:szCs w:val="16"/>
          <w:rtl/>
        </w:rPr>
        <w:t>(</w:t>
      </w:r>
      <w:r>
        <w:rPr>
          <w:rFonts w:cs="Arial" w:hint="cs"/>
          <w:color w:val="000000" w:themeColor="text1"/>
          <w:sz w:val="16"/>
          <w:szCs w:val="16"/>
          <w:rtl/>
        </w:rPr>
        <w:t xml:space="preserve">וגם מכאן ראיה לדברי המרדכי </w:t>
      </w:r>
      <w:r>
        <w:rPr>
          <w:rFonts w:cs="Arial" w:hint="cs"/>
          <w:sz w:val="16"/>
          <w:szCs w:val="16"/>
          <w:rtl/>
        </w:rPr>
        <w:t>ש</w:t>
      </w:r>
      <w:r w:rsidRPr="00AF32CB">
        <w:rPr>
          <w:rFonts w:cs="Arial"/>
          <w:sz w:val="16"/>
          <w:szCs w:val="16"/>
          <w:rtl/>
        </w:rPr>
        <w:t>הרי גט דנפקא מיניה לדיני נפשות כיון דלאו למידן דיני נפשות הוא דאתינן אהאי סהדותא מצטרפין</w:t>
      </w:r>
      <w:r w:rsidRPr="00AF32CB">
        <w:rPr>
          <w:rFonts w:cs="Arial" w:hint="cs"/>
          <w:sz w:val="16"/>
          <w:szCs w:val="16"/>
          <w:rtl/>
        </w:rPr>
        <w:t>, ב"י)</w:t>
      </w:r>
    </w:p>
    <w:p w14:paraId="15ED7F38" w14:textId="77777777" w:rsidR="004B607F" w:rsidRPr="00C10E4C" w:rsidRDefault="004B607F" w:rsidP="004B607F">
      <w:pPr>
        <w:rPr>
          <w:rFonts w:cs="Arial"/>
          <w:u w:val="single"/>
          <w:rtl/>
        </w:rPr>
      </w:pPr>
      <w:r w:rsidRPr="00C10E4C">
        <w:rPr>
          <w:rFonts w:cs="Arial"/>
          <w:u w:val="single"/>
          <w:rtl/>
        </w:rPr>
        <w:t>כשמקבלין עדות דאילו הוה דיינינן דיני נפשות הו</w:t>
      </w:r>
      <w:r w:rsidRPr="00C10E4C">
        <w:rPr>
          <w:rFonts w:cs="Arial" w:hint="cs"/>
          <w:u w:val="single"/>
          <w:rtl/>
        </w:rPr>
        <w:t>"ל</w:t>
      </w:r>
      <w:r w:rsidRPr="00C10E4C">
        <w:rPr>
          <w:rFonts w:cs="Arial"/>
          <w:u w:val="single"/>
          <w:rtl/>
        </w:rPr>
        <w:t xml:space="preserve"> דיני נפשות</w:t>
      </w:r>
      <w:r>
        <w:rPr>
          <w:rStyle w:val="ab"/>
          <w:rFonts w:cs="Arial"/>
          <w:u w:val="single"/>
          <w:rtl/>
        </w:rPr>
        <w:footnoteReference w:id="1698"/>
      </w:r>
      <w:r w:rsidRPr="00C10E4C">
        <w:rPr>
          <w:rFonts w:cs="Arial"/>
          <w:u w:val="single"/>
          <w:rtl/>
        </w:rPr>
        <w:t xml:space="preserve"> </w:t>
      </w:r>
      <w:r>
        <w:rPr>
          <w:rFonts w:cs="Arial" w:hint="cs"/>
          <w:u w:val="single"/>
          <w:rtl/>
        </w:rPr>
        <w:t>- האם</w:t>
      </w:r>
      <w:r w:rsidRPr="00C10E4C">
        <w:rPr>
          <w:rFonts w:cs="Arial"/>
          <w:u w:val="single"/>
          <w:rtl/>
        </w:rPr>
        <w:t xml:space="preserve"> דיינינן ליה כדיני נפשות</w:t>
      </w:r>
      <w:r w:rsidRPr="00C10E4C">
        <w:rPr>
          <w:rStyle w:val="ab"/>
          <w:rFonts w:cs="Arial"/>
          <w:u w:val="single"/>
          <w:rtl/>
        </w:rPr>
        <w:footnoteReference w:id="1699"/>
      </w:r>
      <w:r w:rsidRPr="00C10E4C">
        <w:rPr>
          <w:rFonts w:cs="Arial"/>
          <w:u w:val="single"/>
          <w:rtl/>
        </w:rPr>
        <w:t xml:space="preserve"> או כדיני ממונות</w:t>
      </w:r>
      <w:r w:rsidRPr="00C10E4C">
        <w:rPr>
          <w:rStyle w:val="ab"/>
          <w:rFonts w:cs="Arial"/>
          <w:u w:val="single"/>
          <w:rtl/>
        </w:rPr>
        <w:footnoteReference w:id="1700"/>
      </w:r>
      <w:r w:rsidRPr="00C10E4C">
        <w:rPr>
          <w:rFonts w:cs="Arial" w:hint="cs"/>
          <w:u w:val="single"/>
          <w:rtl/>
        </w:rPr>
        <w:t>:</w:t>
      </w:r>
    </w:p>
    <w:p w14:paraId="53364F33" w14:textId="77777777" w:rsidR="004B607F" w:rsidRPr="000872FF" w:rsidRDefault="004B607F" w:rsidP="004B0475">
      <w:pPr>
        <w:pStyle w:val="ac"/>
        <w:numPr>
          <w:ilvl w:val="0"/>
          <w:numId w:val="88"/>
        </w:numPr>
        <w:rPr>
          <w:rFonts w:cs="Arial"/>
          <w:rtl/>
        </w:rPr>
      </w:pPr>
      <w:r w:rsidRPr="000872FF">
        <w:rPr>
          <w:rFonts w:cs="Arial"/>
          <w:rtl/>
        </w:rPr>
        <w:t xml:space="preserve">ר"ן </w:t>
      </w:r>
      <w:r w:rsidRPr="009C6668">
        <w:rPr>
          <w:rFonts w:cs="Arial"/>
          <w:sz w:val="16"/>
          <w:szCs w:val="16"/>
          <w:rtl/>
        </w:rPr>
        <w:t>(לה: ד"ה ולא)</w:t>
      </w:r>
      <w:r>
        <w:rPr>
          <w:rFonts w:cs="Arial" w:hint="cs"/>
          <w:rtl/>
        </w:rPr>
        <w:t xml:space="preserve">- </w:t>
      </w:r>
      <w:r w:rsidRPr="00036563">
        <w:rPr>
          <w:rFonts w:cs="Arial"/>
          <w:rtl/>
        </w:rPr>
        <w:t>אין מצטרפין</w:t>
      </w:r>
      <w:r>
        <w:rPr>
          <w:rFonts w:cs="Arial" w:hint="cs"/>
          <w:rtl/>
        </w:rPr>
        <w:t>,</w:t>
      </w:r>
      <w:r w:rsidRPr="00036563">
        <w:rPr>
          <w:rFonts w:cs="Arial"/>
          <w:rtl/>
        </w:rPr>
        <w:t xml:space="preserve"> דאע</w:t>
      </w:r>
      <w:r>
        <w:rPr>
          <w:rFonts w:cs="Arial" w:hint="cs"/>
          <w:rtl/>
        </w:rPr>
        <w:t>"ג</w:t>
      </w:r>
      <w:r w:rsidRPr="00036563">
        <w:rPr>
          <w:rFonts w:cs="Arial"/>
          <w:rtl/>
        </w:rPr>
        <w:t xml:space="preserve"> דלגבי ממון קיי</w:t>
      </w:r>
      <w:r>
        <w:rPr>
          <w:rFonts w:cs="Arial" w:hint="cs"/>
          <w:rtl/>
        </w:rPr>
        <w:t>"</w:t>
      </w:r>
      <w:r w:rsidRPr="00036563">
        <w:rPr>
          <w:rFonts w:cs="Arial"/>
          <w:rtl/>
        </w:rPr>
        <w:t xml:space="preserve">ל </w:t>
      </w:r>
      <w:r w:rsidRPr="00036563">
        <w:rPr>
          <w:rFonts w:cs="Arial"/>
          <w:sz w:val="16"/>
          <w:szCs w:val="16"/>
          <w:rtl/>
        </w:rPr>
        <w:t xml:space="preserve">(סנהדרין ל:) </w:t>
      </w:r>
      <w:r w:rsidRPr="00036563">
        <w:rPr>
          <w:rFonts w:cs="Arial"/>
          <w:rtl/>
        </w:rPr>
        <w:t>דמצטרפין</w:t>
      </w:r>
      <w:r>
        <w:rPr>
          <w:rFonts w:cs="Arial" w:hint="cs"/>
          <w:rtl/>
        </w:rPr>
        <w:t>,</w:t>
      </w:r>
      <w:r w:rsidRPr="00036563">
        <w:rPr>
          <w:rFonts w:cs="Arial"/>
          <w:rtl/>
        </w:rPr>
        <w:t xml:space="preserve"> לגבי אישות דשייך בדיני נפשות</w:t>
      </w:r>
      <w:r>
        <w:rPr>
          <w:rFonts w:cs="Arial" w:hint="cs"/>
          <w:rtl/>
        </w:rPr>
        <w:t xml:space="preserve"> -</w:t>
      </w:r>
      <w:r w:rsidRPr="00036563">
        <w:rPr>
          <w:rFonts w:cs="Arial"/>
          <w:rtl/>
        </w:rPr>
        <w:t xml:space="preserve"> בבת אחת בעינן להו</w:t>
      </w:r>
      <w:r w:rsidRPr="000872FF">
        <w:rPr>
          <w:rFonts w:cs="Arial"/>
          <w:rtl/>
        </w:rPr>
        <w:t xml:space="preserve"> </w:t>
      </w:r>
      <w:r>
        <w:rPr>
          <w:rFonts w:cs="Arial" w:hint="cs"/>
          <w:sz w:val="16"/>
          <w:szCs w:val="16"/>
          <w:rtl/>
        </w:rPr>
        <w:t>(ל' הר"ן)</w:t>
      </w:r>
      <w:r w:rsidRPr="000872FF">
        <w:rPr>
          <w:rFonts w:cs="Arial"/>
          <w:rtl/>
        </w:rPr>
        <w:t>.</w:t>
      </w:r>
    </w:p>
    <w:p w14:paraId="658938C8" w14:textId="77777777" w:rsidR="004B607F" w:rsidRPr="000872FF" w:rsidRDefault="004B607F" w:rsidP="004B0475">
      <w:pPr>
        <w:pStyle w:val="ac"/>
        <w:numPr>
          <w:ilvl w:val="0"/>
          <w:numId w:val="88"/>
        </w:numPr>
      </w:pPr>
      <w:r w:rsidRPr="000872FF">
        <w:rPr>
          <w:rFonts w:cs="Arial"/>
          <w:rtl/>
        </w:rPr>
        <w:t xml:space="preserve">מרדכי </w:t>
      </w:r>
      <w:r w:rsidRPr="000872FF">
        <w:rPr>
          <w:rFonts w:cs="Arial" w:hint="cs"/>
          <w:sz w:val="16"/>
          <w:szCs w:val="16"/>
          <w:rtl/>
        </w:rPr>
        <w:t>(</w:t>
      </w:r>
      <w:r w:rsidRPr="000872FF">
        <w:rPr>
          <w:rFonts w:cs="Arial"/>
          <w:sz w:val="16"/>
          <w:szCs w:val="16"/>
          <w:rtl/>
        </w:rPr>
        <w:t>יבמות סי' טו)</w:t>
      </w:r>
      <w:r w:rsidRPr="00CF5154">
        <w:rPr>
          <w:rFonts w:cs="Arial"/>
          <w:rtl/>
        </w:rPr>
        <w:t xml:space="preserve"> </w:t>
      </w:r>
      <w:r>
        <w:rPr>
          <w:rFonts w:cs="Arial" w:hint="cs"/>
          <w:rtl/>
        </w:rPr>
        <w:t>ו</w:t>
      </w:r>
      <w:r w:rsidRPr="00FD01EC">
        <w:rPr>
          <w:rFonts w:cs="Arial"/>
          <w:rtl/>
        </w:rPr>
        <w:t xml:space="preserve">ריב"ש </w:t>
      </w:r>
      <w:r w:rsidRPr="00127736">
        <w:rPr>
          <w:rFonts w:cs="Arial" w:hint="cs"/>
          <w:sz w:val="16"/>
          <w:szCs w:val="16"/>
          <w:rtl/>
        </w:rPr>
        <w:t>(</w:t>
      </w:r>
      <w:r w:rsidRPr="00127736">
        <w:rPr>
          <w:rFonts w:cs="Arial"/>
          <w:sz w:val="16"/>
          <w:szCs w:val="16"/>
          <w:rtl/>
        </w:rPr>
        <w:t>סי</w:t>
      </w:r>
      <w:r w:rsidRPr="00127736">
        <w:rPr>
          <w:rFonts w:cs="Arial" w:hint="cs"/>
          <w:sz w:val="16"/>
          <w:szCs w:val="16"/>
          <w:rtl/>
        </w:rPr>
        <w:t>'</w:t>
      </w:r>
      <w:r w:rsidRPr="00127736">
        <w:rPr>
          <w:rFonts w:cs="Arial"/>
          <w:sz w:val="16"/>
          <w:szCs w:val="16"/>
          <w:rtl/>
        </w:rPr>
        <w:t xml:space="preserve"> קצג</w:t>
      </w:r>
      <w:r w:rsidRPr="00127736">
        <w:rPr>
          <w:rFonts w:cs="Arial" w:hint="cs"/>
          <w:sz w:val="16"/>
          <w:szCs w:val="16"/>
          <w:rtl/>
        </w:rPr>
        <w:t xml:space="preserve"> וסי' רסו</w:t>
      </w:r>
      <w:r>
        <w:rPr>
          <w:rFonts w:cs="Arial" w:hint="cs"/>
          <w:sz w:val="16"/>
          <w:szCs w:val="16"/>
          <w:rtl/>
        </w:rPr>
        <w:t>)</w:t>
      </w:r>
      <w:r>
        <w:rPr>
          <w:rFonts w:cs="Arial" w:hint="cs"/>
          <w:rtl/>
        </w:rPr>
        <w:t>- א</w:t>
      </w:r>
      <w:r w:rsidRPr="000872FF">
        <w:rPr>
          <w:rFonts w:cs="Arial"/>
          <w:rtl/>
        </w:rPr>
        <w:t xml:space="preserve">ף אם אין עידי כיעור שראו בבת אחת אלא אפילו בזה אחר זה </w:t>
      </w:r>
      <w:r>
        <w:rPr>
          <w:rFonts w:cs="Arial" w:hint="cs"/>
          <w:rtl/>
        </w:rPr>
        <w:t xml:space="preserve">- </w:t>
      </w:r>
      <w:r w:rsidRPr="000872FF">
        <w:rPr>
          <w:rFonts w:cs="Arial"/>
          <w:rtl/>
        </w:rPr>
        <w:t>כמאן דחזו בב</w:t>
      </w:r>
      <w:r>
        <w:rPr>
          <w:rFonts w:cs="Arial" w:hint="cs"/>
          <w:rtl/>
        </w:rPr>
        <w:t>ת אחת</w:t>
      </w:r>
      <w:r w:rsidRPr="000872FF">
        <w:rPr>
          <w:rFonts w:cs="Arial"/>
          <w:rtl/>
        </w:rPr>
        <w:t xml:space="preserve"> דמו</w:t>
      </w:r>
      <w:r>
        <w:rPr>
          <w:rStyle w:val="ab"/>
          <w:rFonts w:cs="Arial"/>
          <w:rtl/>
        </w:rPr>
        <w:footnoteReference w:id="1701"/>
      </w:r>
      <w:r w:rsidRPr="000872FF">
        <w:rPr>
          <w:rFonts w:cs="Arial"/>
          <w:rtl/>
        </w:rPr>
        <w:t>.</w:t>
      </w:r>
      <w:r>
        <w:rPr>
          <w:rFonts w:hint="cs"/>
          <w:rtl/>
        </w:rPr>
        <w:t xml:space="preserve"> (וכ"פ הב"י</w:t>
      </w:r>
      <w:r>
        <w:rPr>
          <w:rFonts w:hint="cs"/>
          <w:sz w:val="16"/>
          <w:szCs w:val="16"/>
          <w:rtl/>
        </w:rPr>
        <w:t xml:space="preserve"> [כאן, ולקמן סע' יג בבדה"ב]</w:t>
      </w:r>
      <w:r>
        <w:rPr>
          <w:rFonts w:hint="cs"/>
          <w:rtl/>
        </w:rPr>
        <w:t xml:space="preserve">) </w:t>
      </w:r>
      <w:r w:rsidRPr="00603794">
        <w:rPr>
          <w:rFonts w:hint="cs"/>
          <w:color w:val="00B0F0"/>
          <w:rtl/>
        </w:rPr>
        <w:t>(וכ"פ הרמ"א</w:t>
      </w:r>
      <w:r w:rsidRPr="00603794">
        <w:rPr>
          <w:rFonts w:hint="cs"/>
          <w:color w:val="00B0F0"/>
          <w:sz w:val="16"/>
          <w:szCs w:val="16"/>
          <w:rtl/>
        </w:rPr>
        <w:t xml:space="preserve"> </w:t>
      </w:r>
      <w:r>
        <w:rPr>
          <w:rFonts w:hint="cs"/>
          <w:sz w:val="16"/>
          <w:szCs w:val="16"/>
          <w:rtl/>
        </w:rPr>
        <w:t>[כאן ובאהע"ז סי' יא סע' ב]</w:t>
      </w:r>
      <w:r w:rsidRPr="00603794">
        <w:rPr>
          <w:rFonts w:hint="cs"/>
          <w:color w:val="00B0F0"/>
          <w:rtl/>
        </w:rPr>
        <w:t>)</w:t>
      </w:r>
    </w:p>
    <w:p w14:paraId="5C544804" w14:textId="77777777" w:rsidR="004B607F" w:rsidRPr="006C380F" w:rsidRDefault="004B607F" w:rsidP="004B0475">
      <w:pPr>
        <w:pStyle w:val="ac"/>
        <w:numPr>
          <w:ilvl w:val="1"/>
          <w:numId w:val="88"/>
        </w:numPr>
        <w:rPr>
          <w:rtl/>
        </w:rPr>
      </w:pPr>
      <w:r>
        <w:rPr>
          <w:rFonts w:cs="Arial" w:hint="cs"/>
          <w:rtl/>
        </w:rPr>
        <w:t xml:space="preserve">ב"י- </w:t>
      </w:r>
      <w:r>
        <w:rPr>
          <w:rStyle w:val="ab"/>
          <w:rFonts w:cs="Arial"/>
          <w:rtl/>
        </w:rPr>
        <w:footnoteReference w:id="1702"/>
      </w:r>
      <w:r w:rsidRPr="000872FF">
        <w:rPr>
          <w:rFonts w:cs="Arial"/>
          <w:rtl/>
        </w:rPr>
        <w:t>כיון דירושלמי מספקא ליה</w:t>
      </w:r>
      <w:r>
        <w:rPr>
          <w:rFonts w:cs="Arial" w:hint="cs"/>
          <w:rtl/>
        </w:rPr>
        <w:t>,</w:t>
      </w:r>
      <w:r w:rsidRPr="000872FF">
        <w:rPr>
          <w:rFonts w:cs="Arial"/>
          <w:rtl/>
        </w:rPr>
        <w:t xml:space="preserve"> ומתלמודא דידן משמע דכל דאינו דיני נפשות ממש אע</w:t>
      </w:r>
      <w:r>
        <w:rPr>
          <w:rFonts w:cs="Arial" w:hint="cs"/>
          <w:rtl/>
        </w:rPr>
        <w:t>"</w:t>
      </w:r>
      <w:r w:rsidRPr="000872FF">
        <w:rPr>
          <w:rFonts w:cs="Arial"/>
          <w:rtl/>
        </w:rPr>
        <w:t xml:space="preserve">ג דנפקא מיניה לדיני נפשות מצטרפין </w:t>
      </w:r>
      <w:r>
        <w:rPr>
          <w:rFonts w:cs="Arial" w:hint="cs"/>
          <w:rtl/>
        </w:rPr>
        <w:t xml:space="preserve">- </w:t>
      </w:r>
      <w:r w:rsidRPr="000872FF">
        <w:rPr>
          <w:rFonts w:cs="Arial"/>
          <w:rtl/>
        </w:rPr>
        <w:t>הכי נקטינן</w:t>
      </w:r>
      <w:r w:rsidRPr="000872FF">
        <w:rPr>
          <w:rFonts w:cs="Arial" w:hint="cs"/>
          <w:rtl/>
        </w:rPr>
        <w:t>.</w:t>
      </w:r>
    </w:p>
    <w:p w14:paraId="285BA8DB" w14:textId="77777777" w:rsidR="004B607F" w:rsidRPr="003024E5" w:rsidRDefault="004B607F" w:rsidP="004B607F">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lastRenderedPageBreak/>
        <w:t>שו"ע:</w:t>
      </w:r>
    </w:p>
    <w:p w14:paraId="5F69A682" w14:textId="77777777" w:rsidR="004B607F" w:rsidRDefault="004B607F" w:rsidP="004B607F">
      <w:pPr>
        <w:rPr>
          <w:rtl/>
        </w:rPr>
      </w:pPr>
      <w:r>
        <w:rPr>
          <w:rFonts w:cs="Arial"/>
          <w:rtl/>
        </w:rPr>
        <w:t>בדיני ממונות אף על פי שלא ראו שני העדים המעשה כאחד</w:t>
      </w:r>
      <w:r>
        <w:rPr>
          <w:rStyle w:val="ab"/>
          <w:rFonts w:cs="Arial"/>
          <w:rtl/>
        </w:rPr>
        <w:footnoteReference w:id="1703"/>
      </w:r>
      <w:r>
        <w:rPr>
          <w:rFonts w:cs="Arial" w:hint="cs"/>
          <w:rtl/>
        </w:rPr>
        <w:t xml:space="preserve">, </w:t>
      </w:r>
      <w:r>
        <w:rPr>
          <w:rFonts w:cs="Arial"/>
          <w:rtl/>
        </w:rPr>
        <w:t xml:space="preserve">עדותן מצטרפת. כיצד, אמר האחד </w:t>
      </w:r>
      <w:r>
        <w:rPr>
          <w:rFonts w:cs="Arial" w:hint="cs"/>
          <w:rtl/>
        </w:rPr>
        <w:t>'</w:t>
      </w:r>
      <w:r>
        <w:rPr>
          <w:rFonts w:cs="Arial"/>
          <w:rtl/>
        </w:rPr>
        <w:t>בפני הלוהו ביום פלוני</w:t>
      </w:r>
      <w:r>
        <w:rPr>
          <w:rFonts w:cs="Arial" w:hint="cs"/>
          <w:rtl/>
        </w:rPr>
        <w:t>'</w:t>
      </w:r>
      <w:r>
        <w:rPr>
          <w:rFonts w:cs="Arial"/>
          <w:rtl/>
        </w:rPr>
        <w:t xml:space="preserve"> או </w:t>
      </w:r>
      <w:r>
        <w:rPr>
          <w:rFonts w:cs="Arial" w:hint="cs"/>
          <w:rtl/>
        </w:rPr>
        <w:t>'</w:t>
      </w:r>
      <w:r>
        <w:rPr>
          <w:rFonts w:cs="Arial"/>
          <w:rtl/>
        </w:rPr>
        <w:t>בפני הודה לו</w:t>
      </w:r>
      <w:r>
        <w:rPr>
          <w:rFonts w:cs="Arial" w:hint="cs"/>
          <w:rtl/>
        </w:rPr>
        <w:t>'</w:t>
      </w:r>
      <w:r>
        <w:rPr>
          <w:rFonts w:cs="Arial"/>
          <w:rtl/>
        </w:rPr>
        <w:t xml:space="preserve">, ואמר העד האחר </w:t>
      </w:r>
      <w:r>
        <w:rPr>
          <w:rFonts w:cs="Arial" w:hint="cs"/>
          <w:rtl/>
        </w:rPr>
        <w:t>'</w:t>
      </w:r>
      <w:r>
        <w:rPr>
          <w:rFonts w:cs="Arial"/>
          <w:rtl/>
        </w:rPr>
        <w:t>בפני הלוהו ביום אחר</w:t>
      </w:r>
      <w:r>
        <w:rPr>
          <w:rFonts w:cs="Arial" w:hint="cs"/>
          <w:rtl/>
        </w:rPr>
        <w:t>'</w:t>
      </w:r>
      <w:r>
        <w:rPr>
          <w:rFonts w:cs="Arial"/>
          <w:rtl/>
        </w:rPr>
        <w:t xml:space="preserve"> או </w:t>
      </w:r>
      <w:r>
        <w:rPr>
          <w:rFonts w:cs="Arial" w:hint="cs"/>
          <w:rtl/>
        </w:rPr>
        <w:t>'</w:t>
      </w:r>
      <w:r>
        <w:rPr>
          <w:rFonts w:cs="Arial"/>
          <w:rtl/>
        </w:rPr>
        <w:t>הודה לו</w:t>
      </w:r>
      <w:r>
        <w:rPr>
          <w:rFonts w:cs="Arial" w:hint="cs"/>
          <w:rtl/>
        </w:rPr>
        <w:t>'</w:t>
      </w:r>
      <w:r>
        <w:rPr>
          <w:rFonts w:cs="Arial"/>
          <w:rtl/>
        </w:rPr>
        <w:t xml:space="preserve">, הרי אלו מצטרפין. וכן אם אמר האחד </w:t>
      </w:r>
      <w:r>
        <w:rPr>
          <w:rFonts w:cs="Arial" w:hint="cs"/>
          <w:rtl/>
        </w:rPr>
        <w:t>'</w:t>
      </w:r>
      <w:r>
        <w:rPr>
          <w:rFonts w:cs="Arial"/>
          <w:rtl/>
        </w:rPr>
        <w:t>בפני הלוהו</w:t>
      </w:r>
      <w:r>
        <w:rPr>
          <w:rFonts w:cs="Arial" w:hint="cs"/>
          <w:rtl/>
        </w:rPr>
        <w:t>'</w:t>
      </w:r>
      <w:r>
        <w:rPr>
          <w:rFonts w:cs="Arial"/>
          <w:rtl/>
        </w:rPr>
        <w:t xml:space="preserve">, והשני אומר </w:t>
      </w:r>
      <w:r>
        <w:rPr>
          <w:rFonts w:cs="Arial" w:hint="cs"/>
          <w:rtl/>
        </w:rPr>
        <w:t>'</w:t>
      </w:r>
      <w:r>
        <w:rPr>
          <w:rFonts w:cs="Arial"/>
          <w:rtl/>
        </w:rPr>
        <w:t>בפני הודה לו</w:t>
      </w:r>
      <w:r>
        <w:rPr>
          <w:rFonts w:cs="Arial" w:hint="cs"/>
          <w:rtl/>
        </w:rPr>
        <w:t>'</w:t>
      </w:r>
      <w:r>
        <w:rPr>
          <w:rFonts w:cs="Arial"/>
          <w:rtl/>
        </w:rPr>
        <w:t xml:space="preserve">, או שאומר הראשון </w:t>
      </w:r>
      <w:r>
        <w:rPr>
          <w:rFonts w:cs="Arial" w:hint="cs"/>
          <w:rtl/>
        </w:rPr>
        <w:t>'</w:t>
      </w:r>
      <w:r>
        <w:rPr>
          <w:rFonts w:cs="Arial"/>
          <w:rtl/>
        </w:rPr>
        <w:t>בפני הודה לו</w:t>
      </w:r>
      <w:r>
        <w:rPr>
          <w:rFonts w:cs="Arial" w:hint="cs"/>
          <w:rtl/>
        </w:rPr>
        <w:t>'</w:t>
      </w:r>
      <w:r>
        <w:rPr>
          <w:rFonts w:cs="Arial"/>
          <w:rtl/>
        </w:rPr>
        <w:t xml:space="preserve">, והשני אומר </w:t>
      </w:r>
      <w:r>
        <w:rPr>
          <w:rFonts w:cs="Arial" w:hint="cs"/>
          <w:rtl/>
        </w:rPr>
        <w:t>'</w:t>
      </w:r>
      <w:r>
        <w:rPr>
          <w:rFonts w:cs="Arial"/>
          <w:rtl/>
        </w:rPr>
        <w:t>אחר זמן הלוה בפני</w:t>
      </w:r>
      <w:r>
        <w:rPr>
          <w:rFonts w:cs="Arial" w:hint="cs"/>
          <w:rtl/>
        </w:rPr>
        <w:t>'</w:t>
      </w:r>
      <w:r>
        <w:rPr>
          <w:rFonts w:cs="Arial"/>
          <w:rtl/>
        </w:rPr>
        <w:t xml:space="preserve">, הרי אלו מצטרפין. </w:t>
      </w:r>
      <w:r>
        <w:rPr>
          <w:rFonts w:cs="Arial" w:hint="cs"/>
          <w:sz w:val="18"/>
          <w:szCs w:val="18"/>
          <w:rtl/>
        </w:rPr>
        <w:t>[</w:t>
      </w:r>
      <w:r w:rsidRPr="00532E67">
        <w:rPr>
          <w:rFonts w:cs="Arial" w:hint="cs"/>
          <w:sz w:val="18"/>
          <w:szCs w:val="18"/>
          <w:rtl/>
        </w:rPr>
        <w:t xml:space="preserve">הגה] </w:t>
      </w:r>
      <w:r w:rsidRPr="00532E67">
        <w:rPr>
          <w:rFonts w:cs="Arial"/>
          <w:sz w:val="18"/>
          <w:szCs w:val="18"/>
          <w:rtl/>
        </w:rPr>
        <w:t>וכן דיני עדות דבר איסור (מרדכי פ"ב דיבמות).</w:t>
      </w:r>
      <w:r>
        <w:rPr>
          <w:rFonts w:cs="Arial" w:hint="cs"/>
          <w:sz w:val="18"/>
          <w:szCs w:val="18"/>
          <w:rtl/>
        </w:rPr>
        <w:t xml:space="preserve"> </w:t>
      </w:r>
      <w:r w:rsidRPr="00532E67">
        <w:rPr>
          <w:rFonts w:cs="Arial"/>
          <w:sz w:val="18"/>
          <w:szCs w:val="18"/>
          <w:rtl/>
        </w:rPr>
        <w:t>ועיין באבן העזר סימן י"א וסימן קמ"ג סעיף י'.</w:t>
      </w:r>
      <w:r>
        <w:rPr>
          <w:rFonts w:cs="Arial"/>
          <w:rtl/>
        </w:rPr>
        <w:t xml:space="preserve"> </w:t>
      </w:r>
    </w:p>
    <w:p w14:paraId="7325B7F8" w14:textId="77777777" w:rsidR="004B607F" w:rsidRDefault="004B607F" w:rsidP="004B607F">
      <w:pPr>
        <w:rPr>
          <w:rtl/>
        </w:rPr>
      </w:pPr>
    </w:p>
    <w:p w14:paraId="090F90C5" w14:textId="77777777" w:rsidR="004B607F" w:rsidRDefault="004B607F" w:rsidP="004B607F">
      <w:pPr>
        <w:pStyle w:val="2"/>
        <w:rPr>
          <w:rtl/>
        </w:rPr>
      </w:pPr>
      <w:bookmarkStart w:id="241" w:name="_Toc24883712"/>
      <w:r>
        <w:rPr>
          <w:rtl/>
        </w:rPr>
        <w:t>סעיף ז</w:t>
      </w:r>
      <w:r>
        <w:rPr>
          <w:rFonts w:hint="cs"/>
          <w:rtl/>
        </w:rPr>
        <w:t>:</w:t>
      </w:r>
      <w:r w:rsidRPr="007675C0">
        <w:rPr>
          <w:rFonts w:hint="cs"/>
          <w:rtl/>
        </w:rPr>
        <w:t xml:space="preserve"> </w:t>
      </w:r>
      <w:r w:rsidRPr="005D0DD2">
        <w:rPr>
          <w:rFonts w:hint="cs"/>
          <w:rtl/>
        </w:rPr>
        <w:t>עדים שלא ראו את המעשה כאחד</w:t>
      </w:r>
      <w:r>
        <w:rPr>
          <w:rFonts w:hint="cs"/>
          <w:rtl/>
        </w:rPr>
        <w:t xml:space="preserve"> </w:t>
      </w:r>
      <w:r>
        <w:rPr>
          <w:rtl/>
        </w:rPr>
        <w:t>–</w:t>
      </w:r>
      <w:r>
        <w:rPr>
          <w:rFonts w:hint="cs"/>
          <w:rtl/>
        </w:rPr>
        <w:t xml:space="preserve"> ויוצא מתביעת התובע הכחשה לאחד מהם.</w:t>
      </w:r>
      <w:bookmarkEnd w:id="241"/>
    </w:p>
    <w:p w14:paraId="353189CB" w14:textId="77777777" w:rsidR="004B607F" w:rsidRDefault="004B607F" w:rsidP="004B607F">
      <w:pPr>
        <w:rPr>
          <w:rFonts w:cs="Arial"/>
          <w:rtl/>
        </w:rPr>
      </w:pPr>
      <w:r w:rsidRPr="00C61651">
        <w:rPr>
          <w:rFonts w:cs="Arial" w:hint="cs"/>
          <w:u w:val="single"/>
          <w:rtl/>
        </w:rPr>
        <w:t xml:space="preserve">ב' עדי הלואה שהעידו על זמן שונה </w:t>
      </w:r>
      <w:r w:rsidRPr="00C61651">
        <w:rPr>
          <w:rFonts w:cs="Arial"/>
          <w:u w:val="single"/>
          <w:rtl/>
        </w:rPr>
        <w:t>–</w:t>
      </w:r>
      <w:r w:rsidRPr="00C61651">
        <w:rPr>
          <w:rFonts w:cs="Arial" w:hint="cs"/>
          <w:u w:val="single"/>
          <w:rtl/>
        </w:rPr>
        <w:t xml:space="preserve"> היאך מצטרפין? והרי אם התובע תבע רק</w:t>
      </w:r>
      <w:r>
        <w:rPr>
          <w:rFonts w:cs="Arial" w:hint="cs"/>
          <w:u w:val="single"/>
          <w:rtl/>
        </w:rPr>
        <w:t xml:space="preserve"> על</w:t>
      </w:r>
      <w:r w:rsidRPr="00C61651">
        <w:rPr>
          <w:rFonts w:cs="Arial" w:hint="cs"/>
          <w:u w:val="single"/>
          <w:rtl/>
        </w:rPr>
        <w:t xml:space="preserve"> הלואה א</w:t>
      </w:r>
      <w:r>
        <w:rPr>
          <w:rFonts w:cs="Arial" w:hint="cs"/>
          <w:u w:val="single"/>
          <w:rtl/>
        </w:rPr>
        <w:t>חת</w:t>
      </w:r>
      <w:r w:rsidRPr="00C61651">
        <w:rPr>
          <w:rFonts w:cs="Arial" w:hint="cs"/>
          <w:u w:val="single"/>
          <w:rtl/>
        </w:rPr>
        <w:t xml:space="preserve"> נמצא </w:t>
      </w:r>
      <w:r>
        <w:rPr>
          <w:rFonts w:cs="Arial" w:hint="cs"/>
          <w:u w:val="single"/>
          <w:rtl/>
        </w:rPr>
        <w:t>ש</w:t>
      </w:r>
      <w:r w:rsidRPr="00C61651">
        <w:rPr>
          <w:rFonts w:cs="Arial" w:hint="cs"/>
          <w:u w:val="single"/>
          <w:rtl/>
        </w:rPr>
        <w:t>מכחישן</w:t>
      </w:r>
      <w:r>
        <w:rPr>
          <w:rFonts w:cs="Arial" w:hint="cs"/>
          <w:rtl/>
        </w:rPr>
        <w:t>:</w:t>
      </w:r>
    </w:p>
    <w:p w14:paraId="487FFB60" w14:textId="77777777" w:rsidR="004B607F" w:rsidRPr="00093C92" w:rsidRDefault="004B607F" w:rsidP="004B0475">
      <w:pPr>
        <w:pStyle w:val="ac"/>
        <w:numPr>
          <w:ilvl w:val="0"/>
          <w:numId w:val="89"/>
        </w:numPr>
        <w:rPr>
          <w:rFonts w:cs="Arial"/>
        </w:rPr>
      </w:pPr>
      <w:r w:rsidRPr="005A63E1">
        <w:rPr>
          <w:rFonts w:cs="Arial"/>
          <w:rtl/>
        </w:rPr>
        <w:t>רא"ש</w:t>
      </w:r>
      <w:r w:rsidRPr="005A63E1">
        <w:rPr>
          <w:rFonts w:cs="Arial" w:hint="cs"/>
          <w:rtl/>
        </w:rPr>
        <w:t xml:space="preserve"> </w:t>
      </w:r>
      <w:r w:rsidRPr="005A63E1">
        <w:rPr>
          <w:rFonts w:cs="Arial" w:hint="cs"/>
          <w:sz w:val="16"/>
          <w:szCs w:val="16"/>
          <w:rtl/>
        </w:rPr>
        <w:t>(</w:t>
      </w:r>
      <w:r w:rsidRPr="005A63E1">
        <w:rPr>
          <w:rFonts w:cs="Arial"/>
          <w:sz w:val="16"/>
          <w:szCs w:val="16"/>
          <w:rtl/>
        </w:rPr>
        <w:t>פרק זה בורר סי' לד</w:t>
      </w:r>
      <w:r w:rsidRPr="005A63E1">
        <w:rPr>
          <w:rFonts w:cs="Arial" w:hint="cs"/>
          <w:sz w:val="16"/>
          <w:szCs w:val="16"/>
          <w:rtl/>
        </w:rPr>
        <w:t xml:space="preserve">) </w:t>
      </w:r>
      <w:r w:rsidRPr="005A63E1">
        <w:rPr>
          <w:rFonts w:cs="Arial" w:hint="cs"/>
          <w:rtl/>
        </w:rPr>
        <w:t>טור</w:t>
      </w:r>
      <w:r w:rsidRPr="00093C92">
        <w:rPr>
          <w:rFonts w:cs="Arial"/>
          <w:rtl/>
        </w:rPr>
        <w:t xml:space="preserve"> </w:t>
      </w:r>
      <w:r>
        <w:rPr>
          <w:rFonts w:cs="Arial" w:hint="cs"/>
          <w:rtl/>
        </w:rPr>
        <w:t>ו</w:t>
      </w:r>
      <w:r w:rsidRPr="005A63E1">
        <w:rPr>
          <w:rFonts w:cs="Arial"/>
          <w:rtl/>
        </w:rPr>
        <w:t>נמוק</w:t>
      </w:r>
      <w:r w:rsidRPr="005A63E1">
        <w:rPr>
          <w:rFonts w:cs="Arial" w:hint="cs"/>
          <w:rtl/>
        </w:rPr>
        <w:t>"</w:t>
      </w:r>
      <w:r w:rsidRPr="005A63E1">
        <w:rPr>
          <w:rFonts w:cs="Arial"/>
          <w:rtl/>
        </w:rPr>
        <w:t>י</w:t>
      </w:r>
      <w:r>
        <w:rPr>
          <w:rStyle w:val="ab"/>
          <w:rFonts w:cs="Arial"/>
          <w:rtl/>
        </w:rPr>
        <w:footnoteReference w:id="1704"/>
      </w:r>
      <w:r w:rsidRPr="005A63E1">
        <w:rPr>
          <w:rFonts w:cs="Arial"/>
          <w:rtl/>
        </w:rPr>
        <w:t xml:space="preserve"> </w:t>
      </w:r>
      <w:r w:rsidRPr="005A63E1">
        <w:rPr>
          <w:rFonts w:cs="Arial" w:hint="cs"/>
          <w:sz w:val="16"/>
          <w:szCs w:val="16"/>
          <w:rtl/>
        </w:rPr>
        <w:t>(פרק זה בורר</w:t>
      </w:r>
      <w:r w:rsidRPr="005A63E1">
        <w:rPr>
          <w:rFonts w:cs="Arial"/>
          <w:sz w:val="16"/>
          <w:szCs w:val="16"/>
          <w:rtl/>
        </w:rPr>
        <w:t xml:space="preserve"> ט. ד"ה גמ' ומוציאין)</w:t>
      </w:r>
      <w:r w:rsidRPr="005A63E1">
        <w:rPr>
          <w:rFonts w:cs="Arial" w:hint="cs"/>
          <w:rtl/>
        </w:rPr>
        <w:t xml:space="preserve">- </w:t>
      </w:r>
      <w:r w:rsidRPr="005A63E1">
        <w:rPr>
          <w:rFonts w:cs="Arial"/>
          <w:rtl/>
        </w:rPr>
        <w:t>כתב הרמ"ה ז"ל</w:t>
      </w:r>
      <w:r w:rsidRPr="005A63E1">
        <w:rPr>
          <w:rFonts w:cs="Arial" w:hint="cs"/>
          <w:rtl/>
        </w:rPr>
        <w:t xml:space="preserve"> </w:t>
      </w:r>
      <w:r w:rsidRPr="005A63E1">
        <w:rPr>
          <w:rFonts w:cs="Arial"/>
          <w:sz w:val="16"/>
          <w:szCs w:val="16"/>
          <w:rtl/>
        </w:rPr>
        <w:t>(סנהדרין ל: ד"ה ברם</w:t>
      </w:r>
      <w:r w:rsidRPr="005A63E1">
        <w:rPr>
          <w:rFonts w:cs="Arial" w:hint="cs"/>
          <w:sz w:val="16"/>
          <w:szCs w:val="16"/>
          <w:rtl/>
        </w:rPr>
        <w:t>)</w:t>
      </w:r>
      <w:r w:rsidRPr="005A63E1">
        <w:rPr>
          <w:rFonts w:cs="Arial"/>
          <w:sz w:val="16"/>
          <w:szCs w:val="16"/>
          <w:rtl/>
        </w:rPr>
        <w:t xml:space="preserve"> </w:t>
      </w:r>
      <w:r w:rsidRPr="005A63E1">
        <w:rPr>
          <w:rFonts w:cs="Arial"/>
          <w:rtl/>
        </w:rPr>
        <w:t xml:space="preserve">הא דהלואה אחר הלואה מצטרפין </w:t>
      </w:r>
      <w:r>
        <w:rPr>
          <w:rFonts w:cs="Arial" w:hint="cs"/>
          <w:rtl/>
        </w:rPr>
        <w:t xml:space="preserve">- </w:t>
      </w:r>
      <w:r w:rsidRPr="005A63E1">
        <w:rPr>
          <w:rFonts w:cs="Arial"/>
          <w:rtl/>
        </w:rPr>
        <w:t>דוקא היכא דלא מכחיש מלוה לחד מינייהו</w:t>
      </w:r>
      <w:r>
        <w:rPr>
          <w:rFonts w:cs="Arial" w:hint="cs"/>
          <w:rtl/>
        </w:rPr>
        <w:t>.</w:t>
      </w:r>
      <w:r w:rsidRPr="005A63E1">
        <w:rPr>
          <w:rFonts w:cs="Arial"/>
          <w:rtl/>
        </w:rPr>
        <w:t xml:space="preserve"> כגון שתבע מיניה ב' מנים שהלוה לו בא' בשבת והמנה השני בב' בשבת</w:t>
      </w:r>
      <w:r>
        <w:rPr>
          <w:rFonts w:cs="Arial" w:hint="cs"/>
          <w:rtl/>
        </w:rPr>
        <w:t>,</w:t>
      </w:r>
      <w:r w:rsidRPr="005A63E1">
        <w:rPr>
          <w:rFonts w:cs="Arial"/>
          <w:rtl/>
        </w:rPr>
        <w:t xml:space="preserve"> והביא ב' עדים</w:t>
      </w:r>
      <w:r>
        <w:rPr>
          <w:rFonts w:cs="Arial" w:hint="cs"/>
          <w:rtl/>
        </w:rPr>
        <w:t>,</w:t>
      </w:r>
      <w:r w:rsidRPr="005A63E1">
        <w:rPr>
          <w:rFonts w:cs="Arial"/>
          <w:rtl/>
        </w:rPr>
        <w:t xml:space="preserve"> אחד על הראשון</w:t>
      </w:r>
      <w:r>
        <w:rPr>
          <w:rFonts w:cs="Arial" w:hint="cs"/>
          <w:rtl/>
        </w:rPr>
        <w:t>,</w:t>
      </w:r>
      <w:r w:rsidRPr="005A63E1">
        <w:rPr>
          <w:rFonts w:cs="Arial"/>
          <w:rtl/>
        </w:rPr>
        <w:t xml:space="preserve"> ואחד על השני</w:t>
      </w:r>
      <w:r>
        <w:rPr>
          <w:rFonts w:cs="Arial" w:hint="cs"/>
          <w:rtl/>
        </w:rPr>
        <w:t>,</w:t>
      </w:r>
      <w:r w:rsidRPr="005A63E1">
        <w:rPr>
          <w:rFonts w:cs="Arial"/>
          <w:rtl/>
        </w:rPr>
        <w:t xml:space="preserve"> אע</w:t>
      </w:r>
      <w:r>
        <w:rPr>
          <w:rFonts w:cs="Arial" w:hint="cs"/>
          <w:rtl/>
        </w:rPr>
        <w:t>"</w:t>
      </w:r>
      <w:r w:rsidRPr="005A63E1">
        <w:rPr>
          <w:rFonts w:cs="Arial"/>
          <w:rtl/>
        </w:rPr>
        <w:t xml:space="preserve">ג דאמנה דמסהיד האי לא מסהיד האי </w:t>
      </w:r>
      <w:r>
        <w:rPr>
          <w:rFonts w:cs="Arial" w:hint="cs"/>
          <w:rtl/>
        </w:rPr>
        <w:t xml:space="preserve">- </w:t>
      </w:r>
      <w:r w:rsidRPr="005A63E1">
        <w:rPr>
          <w:rFonts w:cs="Arial"/>
          <w:rtl/>
        </w:rPr>
        <w:t>מצטרפין לחייב הלוה מנה אחד</w:t>
      </w:r>
      <w:r>
        <w:rPr>
          <w:rFonts w:cs="Arial" w:hint="cs"/>
          <w:rtl/>
        </w:rPr>
        <w:t>.</w:t>
      </w:r>
      <w:r w:rsidRPr="005A63E1">
        <w:rPr>
          <w:rFonts w:cs="Arial"/>
          <w:rtl/>
        </w:rPr>
        <w:t xml:space="preserve"> אבל אם המלוה מודה דלית ליה גביה אלא חד מנה</w:t>
      </w:r>
      <w:r>
        <w:rPr>
          <w:rFonts w:cs="Arial" w:hint="cs"/>
          <w:rtl/>
        </w:rPr>
        <w:t>,</w:t>
      </w:r>
      <w:r w:rsidRPr="005A63E1">
        <w:rPr>
          <w:rFonts w:cs="Arial"/>
          <w:rtl/>
        </w:rPr>
        <w:t xml:space="preserve"> ואתו תרי סהדי</w:t>
      </w:r>
      <w:r>
        <w:rPr>
          <w:rFonts w:cs="Arial" w:hint="cs"/>
          <w:rtl/>
        </w:rPr>
        <w:t>,</w:t>
      </w:r>
      <w:r w:rsidRPr="005A63E1">
        <w:rPr>
          <w:rFonts w:cs="Arial"/>
          <w:rtl/>
        </w:rPr>
        <w:t xml:space="preserve"> חד אסהיד דאית ליה גביה חד מנה</w:t>
      </w:r>
      <w:r>
        <w:rPr>
          <w:rFonts w:cs="Arial" w:hint="cs"/>
          <w:rtl/>
        </w:rPr>
        <w:t>,</w:t>
      </w:r>
      <w:r w:rsidRPr="005A63E1">
        <w:rPr>
          <w:rFonts w:cs="Arial"/>
          <w:rtl/>
        </w:rPr>
        <w:t xml:space="preserve"> וחד אסהיד דאית ליה גביה חד מנה</w:t>
      </w:r>
      <w:r>
        <w:rPr>
          <w:rFonts w:cs="Arial" w:hint="cs"/>
          <w:rtl/>
        </w:rPr>
        <w:t>,</w:t>
      </w:r>
      <w:r w:rsidRPr="005A63E1">
        <w:rPr>
          <w:rFonts w:cs="Arial"/>
          <w:rtl/>
        </w:rPr>
        <w:t xml:space="preserve"> חזינא</w:t>
      </w:r>
      <w:r>
        <w:rPr>
          <w:rFonts w:cs="Arial" w:hint="cs"/>
          <w:rtl/>
        </w:rPr>
        <w:t>,</w:t>
      </w:r>
      <w:r w:rsidRPr="005A63E1">
        <w:rPr>
          <w:rFonts w:cs="Arial"/>
          <w:rtl/>
        </w:rPr>
        <w:t xml:space="preserve"> אי איכא למימר דטעי חד מינייהו בזימנא דהלואה</w:t>
      </w:r>
      <w:r>
        <w:rPr>
          <w:rFonts w:cs="Arial" w:hint="cs"/>
          <w:rtl/>
        </w:rPr>
        <w:t>,</w:t>
      </w:r>
      <w:r w:rsidRPr="005A63E1">
        <w:rPr>
          <w:rFonts w:cs="Arial"/>
          <w:rtl/>
        </w:rPr>
        <w:t xml:space="preserve"> כגון שאמר האחד בשני בחדש ואחד אמר בג' בחדש דאיכא למימר דתרווייהו אחד יומא מסהדי וטעו בעיבורא דירחא </w:t>
      </w:r>
      <w:r>
        <w:rPr>
          <w:rFonts w:cs="Arial"/>
          <w:rtl/>
        </w:rPr>
        <w:t>–</w:t>
      </w:r>
      <w:r>
        <w:rPr>
          <w:rFonts w:cs="Arial" w:hint="cs"/>
          <w:rtl/>
        </w:rPr>
        <w:t xml:space="preserve"> </w:t>
      </w:r>
      <w:r w:rsidRPr="005A63E1">
        <w:rPr>
          <w:rFonts w:cs="Arial"/>
          <w:rtl/>
        </w:rPr>
        <w:t>מצטרפי</w:t>
      </w:r>
      <w:r>
        <w:rPr>
          <w:rStyle w:val="ab"/>
          <w:rFonts w:cs="Arial"/>
          <w:rtl/>
        </w:rPr>
        <w:footnoteReference w:id="1705"/>
      </w:r>
      <w:r>
        <w:rPr>
          <w:rFonts w:cs="Arial" w:hint="cs"/>
          <w:rtl/>
        </w:rPr>
        <w:t>,</w:t>
      </w:r>
      <w:r w:rsidRPr="005A63E1">
        <w:rPr>
          <w:rFonts w:cs="Arial"/>
          <w:rtl/>
        </w:rPr>
        <w:t xml:space="preserve"> דאימור אחד מנה מסהדי</w:t>
      </w:r>
      <w:r>
        <w:rPr>
          <w:rFonts w:cs="Arial" w:hint="cs"/>
          <w:rtl/>
        </w:rPr>
        <w:t>.</w:t>
      </w:r>
      <w:r w:rsidRPr="005A63E1">
        <w:rPr>
          <w:rFonts w:cs="Arial"/>
          <w:rtl/>
        </w:rPr>
        <w:t xml:space="preserve"> ואי הוברר הדבר דאתרי מנה מסהדי</w:t>
      </w:r>
      <w:r>
        <w:rPr>
          <w:rFonts w:cs="Arial" w:hint="cs"/>
          <w:rtl/>
        </w:rPr>
        <w:t xml:space="preserve"> -</w:t>
      </w:r>
      <w:r w:rsidRPr="005A63E1">
        <w:rPr>
          <w:rFonts w:cs="Arial"/>
          <w:rtl/>
        </w:rPr>
        <w:t xml:space="preserve"> הא ודאי חד מינייהו הוי שיקרא</w:t>
      </w:r>
      <w:r>
        <w:rPr>
          <w:rFonts w:cs="Arial" w:hint="cs"/>
          <w:rtl/>
        </w:rPr>
        <w:t>,</w:t>
      </w:r>
      <w:r w:rsidRPr="005A63E1">
        <w:rPr>
          <w:rFonts w:cs="Arial"/>
          <w:rtl/>
        </w:rPr>
        <w:t xml:space="preserve"> דהא מלוה מודה דלית ליה גביה אלא חד מנה</w:t>
      </w:r>
      <w:r>
        <w:rPr>
          <w:rFonts w:cs="Arial" w:hint="cs"/>
          <w:rtl/>
        </w:rPr>
        <w:t>,</w:t>
      </w:r>
      <w:r w:rsidRPr="005A63E1">
        <w:rPr>
          <w:rFonts w:cs="Arial"/>
          <w:rtl/>
        </w:rPr>
        <w:t xml:space="preserve"> הילכך מישתבע ליה שבועה דאורייתא</w:t>
      </w:r>
      <w:r>
        <w:rPr>
          <w:rStyle w:val="ab"/>
          <w:rFonts w:cs="Arial"/>
          <w:rtl/>
        </w:rPr>
        <w:footnoteReference w:id="1706"/>
      </w:r>
      <w:r w:rsidRPr="005A63E1">
        <w:rPr>
          <w:rFonts w:cs="Arial"/>
          <w:rtl/>
        </w:rPr>
        <w:t xml:space="preserve"> ומיפטר</w:t>
      </w:r>
      <w:r>
        <w:rPr>
          <w:rFonts w:cs="Arial" w:hint="cs"/>
          <w:sz w:val="16"/>
          <w:szCs w:val="16"/>
          <w:rtl/>
        </w:rPr>
        <w:t xml:space="preserve"> (ל' הרא"ש בשם הרמ"ה)</w:t>
      </w:r>
      <w:r w:rsidRPr="005A63E1">
        <w:rPr>
          <w:rFonts w:cs="Arial" w:hint="cs"/>
          <w:rtl/>
        </w:rPr>
        <w:t>.</w:t>
      </w:r>
      <w:r w:rsidRPr="007675C0">
        <w:rPr>
          <w:rFonts w:cs="Arial" w:hint="cs"/>
          <w:color w:val="E36C0A" w:themeColor="accent6" w:themeShade="BF"/>
          <w:rtl/>
        </w:rPr>
        <w:t xml:space="preserve"> (וכ"פ בשו"ע</w:t>
      </w:r>
      <w:r>
        <w:rPr>
          <w:rFonts w:cs="Arial" w:hint="cs"/>
          <w:color w:val="E36C0A" w:themeColor="accent6" w:themeShade="BF"/>
          <w:rtl/>
        </w:rPr>
        <w:t>)</w:t>
      </w:r>
    </w:p>
    <w:p w14:paraId="70DB686A" w14:textId="77777777" w:rsidR="004B607F" w:rsidRPr="001E6F57" w:rsidRDefault="004B607F" w:rsidP="004B607F">
      <w:pPr>
        <w:ind w:left="360"/>
        <w:rPr>
          <w:rFonts w:cs="Arial"/>
          <w:u w:val="dotted"/>
        </w:rPr>
      </w:pPr>
      <w:r w:rsidRPr="001E6F57">
        <w:rPr>
          <w:rFonts w:cs="Arial" w:hint="cs"/>
          <w:u w:val="dotted"/>
          <w:rtl/>
        </w:rPr>
        <w:t>האם צריך שיתקיים תנאי זה גם בהודאה אחר הלואה</w:t>
      </w:r>
      <w:r>
        <w:rPr>
          <w:rFonts w:cs="Arial" w:hint="cs"/>
          <w:u w:val="dotted"/>
          <w:rtl/>
        </w:rPr>
        <w:t>/</w:t>
      </w:r>
      <w:r w:rsidRPr="001E6F57">
        <w:rPr>
          <w:rFonts w:cs="Arial" w:hint="cs"/>
          <w:u w:val="dotted"/>
          <w:rtl/>
        </w:rPr>
        <w:t xml:space="preserve"> בהודאה אחר הודאה</w:t>
      </w:r>
      <w:r>
        <w:rPr>
          <w:rFonts w:cs="Arial" w:hint="cs"/>
          <w:u w:val="dotted"/>
          <w:rtl/>
        </w:rPr>
        <w:t xml:space="preserve">/ </w:t>
      </w:r>
      <w:r w:rsidRPr="001E6F57">
        <w:rPr>
          <w:rFonts w:cs="Arial" w:hint="cs"/>
          <w:u w:val="dotted"/>
          <w:rtl/>
        </w:rPr>
        <w:t>בהל</w:t>
      </w:r>
      <w:r>
        <w:rPr>
          <w:rFonts w:cs="Arial" w:hint="cs"/>
          <w:u w:val="dotted"/>
          <w:rtl/>
        </w:rPr>
        <w:t>ו</w:t>
      </w:r>
      <w:r w:rsidRPr="001E6F57">
        <w:rPr>
          <w:rFonts w:cs="Arial" w:hint="cs"/>
          <w:u w:val="dotted"/>
          <w:rtl/>
        </w:rPr>
        <w:t>אה אחר הודאה:</w:t>
      </w:r>
    </w:p>
    <w:p w14:paraId="2C41A2D8" w14:textId="77777777" w:rsidR="004B607F" w:rsidRDefault="004B607F" w:rsidP="004B0475">
      <w:pPr>
        <w:pStyle w:val="ac"/>
        <w:numPr>
          <w:ilvl w:val="0"/>
          <w:numId w:val="89"/>
        </w:numPr>
        <w:rPr>
          <w:rFonts w:cs="Arial"/>
        </w:rPr>
      </w:pPr>
      <w:r>
        <w:rPr>
          <w:rFonts w:cs="Arial" w:hint="cs"/>
          <w:rtl/>
        </w:rPr>
        <w:t xml:space="preserve">ב"י- </w:t>
      </w:r>
      <w:r w:rsidRPr="005A63E1">
        <w:rPr>
          <w:rFonts w:cs="Arial"/>
          <w:rtl/>
        </w:rPr>
        <w:t>הא קמן דבין לפי מה שכתב הרא"ש בין לפי מה שכתב נמוק</w:t>
      </w:r>
      <w:r w:rsidRPr="005A63E1">
        <w:rPr>
          <w:rFonts w:cs="Arial" w:hint="cs"/>
          <w:rtl/>
        </w:rPr>
        <w:t>"</w:t>
      </w:r>
      <w:r w:rsidRPr="005A63E1">
        <w:rPr>
          <w:rFonts w:cs="Arial"/>
          <w:rtl/>
        </w:rPr>
        <w:t>י לא בעינן דליתבע מלוה שני מנים אלא דוקא בהלואה אחר הלואה</w:t>
      </w:r>
      <w:r>
        <w:rPr>
          <w:rFonts w:cs="Arial" w:hint="cs"/>
          <w:rtl/>
        </w:rPr>
        <w:t>,</w:t>
      </w:r>
      <w:r w:rsidRPr="005A63E1">
        <w:rPr>
          <w:rFonts w:cs="Arial"/>
          <w:rtl/>
        </w:rPr>
        <w:t xml:space="preserve"> אבל בהודאה אחר הודאה</w:t>
      </w:r>
      <w:r>
        <w:rPr>
          <w:rFonts w:cs="Arial" w:hint="cs"/>
          <w:rtl/>
        </w:rPr>
        <w:t>,</w:t>
      </w:r>
      <w:r w:rsidRPr="005A63E1">
        <w:rPr>
          <w:rFonts w:cs="Arial"/>
          <w:rtl/>
        </w:rPr>
        <w:t xml:space="preserve"> דלאו על עיקר ההלואה הם מעידים וכבר איפשר שלא הלוהו אלא מנה והודה לו בפני זה וחזר והודה לו בפני זה וליכא הכחשה ואפילו אינו תובע אלא מנה </w:t>
      </w:r>
      <w:r>
        <w:rPr>
          <w:rFonts w:cs="Arial" w:hint="cs"/>
          <w:rtl/>
        </w:rPr>
        <w:t xml:space="preserve">- </w:t>
      </w:r>
      <w:r w:rsidRPr="005A63E1">
        <w:rPr>
          <w:rFonts w:cs="Arial"/>
          <w:rtl/>
        </w:rPr>
        <w:t>עדים קושטא קא מסהדי</w:t>
      </w:r>
      <w:r w:rsidRPr="005A63E1">
        <w:rPr>
          <w:rFonts w:cs="Arial" w:hint="cs"/>
          <w:rtl/>
        </w:rPr>
        <w:t>.</w:t>
      </w:r>
      <w:r w:rsidRPr="005A63E1">
        <w:rPr>
          <w:rFonts w:cs="Arial"/>
          <w:rtl/>
        </w:rPr>
        <w:t xml:space="preserve"> וכן בהודאה אחר הלואה</w:t>
      </w:r>
      <w:r>
        <w:rPr>
          <w:rFonts w:cs="Arial" w:hint="cs"/>
          <w:rtl/>
        </w:rPr>
        <w:t>,</w:t>
      </w:r>
      <w:r w:rsidRPr="005A63E1">
        <w:rPr>
          <w:rFonts w:cs="Arial"/>
          <w:rtl/>
        </w:rPr>
        <w:t xml:space="preserve"> שכבר איפשר שאותו מנה שהלוהו לפני זה</w:t>
      </w:r>
      <w:r>
        <w:rPr>
          <w:rFonts w:cs="Arial" w:hint="cs"/>
          <w:rtl/>
        </w:rPr>
        <w:t>,</w:t>
      </w:r>
      <w:r w:rsidRPr="005A63E1">
        <w:rPr>
          <w:rFonts w:cs="Arial"/>
          <w:rtl/>
        </w:rPr>
        <w:t xml:space="preserve"> הוא שהודה לו בפני זה</w:t>
      </w:r>
      <w:r>
        <w:rPr>
          <w:rFonts w:cs="Arial" w:hint="cs"/>
          <w:rtl/>
        </w:rPr>
        <w:t>,</w:t>
      </w:r>
      <w:r w:rsidRPr="005A63E1">
        <w:rPr>
          <w:rFonts w:cs="Arial"/>
          <w:rtl/>
        </w:rPr>
        <w:t xml:space="preserve"> וליכא הכחשה</w:t>
      </w:r>
      <w:r w:rsidRPr="005A63E1">
        <w:rPr>
          <w:rFonts w:cs="Arial" w:hint="cs"/>
          <w:rtl/>
        </w:rPr>
        <w:t>.</w:t>
      </w:r>
      <w:r w:rsidRPr="005A63E1">
        <w:rPr>
          <w:rFonts w:cs="Arial"/>
          <w:rtl/>
        </w:rPr>
        <w:t xml:space="preserve"> וכן בהלואה אחר הודאה</w:t>
      </w:r>
      <w:r>
        <w:rPr>
          <w:rFonts w:cs="Arial" w:hint="cs"/>
          <w:rtl/>
        </w:rPr>
        <w:t>,</w:t>
      </w:r>
      <w:r w:rsidRPr="005A63E1">
        <w:rPr>
          <w:rFonts w:cs="Arial"/>
          <w:rtl/>
        </w:rPr>
        <w:t xml:space="preserve"> שכבר אפשר שהיה מחזר ללוות ממנו והודה לו בפני זה קודם שילוה לו ולא נזדמן להלוותו בו ביום</w:t>
      </w:r>
      <w:r>
        <w:rPr>
          <w:rFonts w:cs="Arial" w:hint="cs"/>
          <w:rtl/>
        </w:rPr>
        <w:t>,</w:t>
      </w:r>
      <w:r w:rsidRPr="005A63E1">
        <w:rPr>
          <w:rFonts w:cs="Arial"/>
          <w:rtl/>
        </w:rPr>
        <w:t xml:space="preserve"> ואחר יום או יותר הלוה לו בפני זה אותו מנה שהודה לו בפני </w:t>
      </w:r>
      <w:r w:rsidRPr="005A63E1">
        <w:rPr>
          <w:rFonts w:cs="Arial"/>
          <w:rtl/>
        </w:rPr>
        <w:lastRenderedPageBreak/>
        <w:t>האחר</w:t>
      </w:r>
      <w:r>
        <w:rPr>
          <w:rFonts w:cs="Arial" w:hint="cs"/>
          <w:rtl/>
        </w:rPr>
        <w:t>,</w:t>
      </w:r>
      <w:r w:rsidRPr="005A63E1">
        <w:rPr>
          <w:rFonts w:cs="Arial"/>
          <w:rtl/>
        </w:rPr>
        <w:t xml:space="preserve"> וליכא הכחשה</w:t>
      </w:r>
      <w:r w:rsidRPr="005A63E1">
        <w:rPr>
          <w:rFonts w:cs="Arial" w:hint="cs"/>
          <w:rtl/>
        </w:rPr>
        <w:t>.</w:t>
      </w:r>
      <w:r w:rsidRPr="005A63E1">
        <w:rPr>
          <w:rFonts w:cs="Arial"/>
          <w:rtl/>
        </w:rPr>
        <w:t xml:space="preserve"> אבל בהלואה אחר הלואה דתרווייהו על עיקר הלואה הם מעידים</w:t>
      </w:r>
      <w:r>
        <w:rPr>
          <w:rFonts w:cs="Arial" w:hint="cs"/>
          <w:rtl/>
        </w:rPr>
        <w:t>,</w:t>
      </w:r>
      <w:r w:rsidRPr="005A63E1">
        <w:rPr>
          <w:rFonts w:cs="Arial"/>
          <w:rtl/>
        </w:rPr>
        <w:t xml:space="preserve"> מאחר שהתובע מודה שלא הלוהו אלא מנה </w:t>
      </w:r>
      <w:r>
        <w:rPr>
          <w:rFonts w:cs="Arial" w:hint="cs"/>
          <w:rtl/>
        </w:rPr>
        <w:t xml:space="preserve">- </w:t>
      </w:r>
      <w:r w:rsidRPr="005A63E1">
        <w:rPr>
          <w:rFonts w:cs="Arial"/>
          <w:rtl/>
        </w:rPr>
        <w:t>הא ודאי עד אחד מהם שקר</w:t>
      </w:r>
      <w:r>
        <w:rPr>
          <w:rFonts w:cs="Arial" w:hint="cs"/>
          <w:rtl/>
        </w:rPr>
        <w:t>,</w:t>
      </w:r>
      <w:r w:rsidRPr="005A63E1">
        <w:rPr>
          <w:rFonts w:cs="Arial"/>
          <w:rtl/>
        </w:rPr>
        <w:t xml:space="preserve"> כנ"ל</w:t>
      </w:r>
      <w:r>
        <w:rPr>
          <w:rStyle w:val="ab"/>
          <w:rFonts w:cs="Arial"/>
          <w:rtl/>
        </w:rPr>
        <w:footnoteReference w:id="1707"/>
      </w:r>
      <w:r w:rsidRPr="005A63E1">
        <w:rPr>
          <w:rFonts w:cs="Arial" w:hint="cs"/>
          <w:rtl/>
        </w:rPr>
        <w:t>.</w:t>
      </w:r>
      <w:r w:rsidRPr="005A63E1">
        <w:rPr>
          <w:rFonts w:cs="Arial"/>
          <w:rtl/>
        </w:rPr>
        <w:t xml:space="preserve"> </w:t>
      </w:r>
      <w:r>
        <w:rPr>
          <w:rFonts w:cs="Arial" w:hint="cs"/>
          <w:rtl/>
        </w:rPr>
        <w:t>(וכ"פ הסמ"ע</w:t>
      </w:r>
      <w:r>
        <w:rPr>
          <w:rFonts w:cs="Arial" w:hint="cs"/>
          <w:sz w:val="16"/>
          <w:szCs w:val="16"/>
          <w:rtl/>
        </w:rPr>
        <w:t xml:space="preserve"> [סקכ"א]</w:t>
      </w:r>
      <w:r>
        <w:rPr>
          <w:rFonts w:cs="Arial" w:hint="cs"/>
          <w:rtl/>
        </w:rPr>
        <w:t>)</w:t>
      </w:r>
    </w:p>
    <w:p w14:paraId="6D110784" w14:textId="77777777" w:rsidR="004B607F" w:rsidRPr="00D41EC2" w:rsidRDefault="004B607F" w:rsidP="004B607F">
      <w:pPr>
        <w:rPr>
          <w:rFonts w:cs="Arial"/>
          <w:u w:val="single"/>
          <w:rtl/>
        </w:rPr>
      </w:pPr>
      <w:r w:rsidRPr="00D41EC2">
        <w:rPr>
          <w:rFonts w:cs="Arial" w:hint="cs"/>
          <w:u w:val="single"/>
          <w:rtl/>
        </w:rPr>
        <w:t xml:space="preserve">עד </w:t>
      </w:r>
      <w:r w:rsidRPr="00D41EC2">
        <w:rPr>
          <w:rFonts w:cs="Arial"/>
          <w:u w:val="single"/>
          <w:rtl/>
        </w:rPr>
        <w:t>אחד אומר מאה ו</w:t>
      </w:r>
      <w:r w:rsidRPr="00D41EC2">
        <w:rPr>
          <w:rFonts w:cs="Arial" w:hint="cs"/>
          <w:u w:val="single"/>
          <w:rtl/>
        </w:rPr>
        <w:t xml:space="preserve">עד </w:t>
      </w:r>
      <w:r w:rsidRPr="00D41EC2">
        <w:rPr>
          <w:rFonts w:cs="Arial"/>
          <w:u w:val="single"/>
          <w:rtl/>
        </w:rPr>
        <w:t>אחד אומר</w:t>
      </w:r>
      <w:r w:rsidRPr="00D41EC2">
        <w:rPr>
          <w:rFonts w:cs="Arial" w:hint="cs"/>
          <w:u w:val="single"/>
          <w:rtl/>
        </w:rPr>
        <w:t xml:space="preserve"> מאתים:</w:t>
      </w:r>
      <w:r w:rsidRPr="00D41EC2">
        <w:rPr>
          <w:rFonts w:cs="Arial"/>
          <w:u w:val="single"/>
          <w:rtl/>
        </w:rPr>
        <w:t xml:space="preserve"> </w:t>
      </w:r>
    </w:p>
    <w:p w14:paraId="415A44FF" w14:textId="77777777" w:rsidR="004B607F" w:rsidRDefault="004B607F" w:rsidP="004B0475">
      <w:pPr>
        <w:pStyle w:val="ac"/>
        <w:numPr>
          <w:ilvl w:val="0"/>
          <w:numId w:val="89"/>
        </w:numPr>
        <w:rPr>
          <w:rtl/>
        </w:rPr>
      </w:pPr>
      <w:r w:rsidRPr="007675C0">
        <w:rPr>
          <w:rFonts w:cs="Arial" w:hint="cs"/>
          <w:rtl/>
        </w:rPr>
        <w:t>רי"ו</w:t>
      </w:r>
      <w:r w:rsidRPr="007675C0">
        <w:rPr>
          <w:rFonts w:cs="Arial" w:hint="cs"/>
          <w:sz w:val="16"/>
          <w:szCs w:val="16"/>
          <w:rtl/>
        </w:rPr>
        <w:t xml:space="preserve"> (</w:t>
      </w:r>
      <w:r w:rsidRPr="007675C0">
        <w:rPr>
          <w:rFonts w:cs="Arial"/>
          <w:sz w:val="16"/>
          <w:szCs w:val="16"/>
          <w:rtl/>
        </w:rPr>
        <w:t>מישרים נ"ב ח"ב שם)</w:t>
      </w:r>
      <w:r w:rsidRPr="007675C0">
        <w:rPr>
          <w:rFonts w:cs="Arial" w:hint="cs"/>
          <w:rtl/>
        </w:rPr>
        <w:t>-</w:t>
      </w:r>
      <w:r w:rsidRPr="007675C0">
        <w:rPr>
          <w:rFonts w:cs="Arial"/>
          <w:rtl/>
        </w:rPr>
        <w:t xml:space="preserve"> אחד אומר מאה ואחד אומר ק"ק </w:t>
      </w:r>
      <w:r>
        <w:rPr>
          <w:rFonts w:cs="Arial" w:hint="cs"/>
          <w:rtl/>
        </w:rPr>
        <w:t xml:space="preserve">- </w:t>
      </w:r>
      <w:r w:rsidRPr="007675C0">
        <w:rPr>
          <w:rFonts w:cs="Arial"/>
          <w:rtl/>
        </w:rPr>
        <w:t>מצטרפים למאה</w:t>
      </w:r>
      <w:r>
        <w:rPr>
          <w:rFonts w:cs="Arial" w:hint="cs"/>
          <w:rtl/>
        </w:rPr>
        <w:t>.</w:t>
      </w:r>
      <w:r w:rsidRPr="007675C0">
        <w:rPr>
          <w:rFonts w:cs="Arial"/>
          <w:rtl/>
        </w:rPr>
        <w:t xml:space="preserve"> וכל שכן שני כיתי עדים</w:t>
      </w:r>
      <w:r>
        <w:rPr>
          <w:rStyle w:val="ab"/>
          <w:rFonts w:cs="Arial"/>
          <w:rtl/>
        </w:rPr>
        <w:footnoteReference w:id="1708"/>
      </w:r>
      <w:r w:rsidRPr="007675C0">
        <w:rPr>
          <w:rFonts w:cs="Arial" w:hint="cs"/>
          <w:rtl/>
        </w:rPr>
        <w:t>.</w:t>
      </w:r>
    </w:p>
    <w:p w14:paraId="3F15AFCC" w14:textId="77777777" w:rsidR="004B607F" w:rsidRPr="00D41EC2" w:rsidRDefault="004B607F" w:rsidP="004B607F">
      <w:pPr>
        <w:rPr>
          <w:rFonts w:cs="Arial"/>
          <w:u w:val="single"/>
          <w:rtl/>
        </w:rPr>
      </w:pPr>
      <w:r w:rsidRPr="00D41EC2">
        <w:rPr>
          <w:rFonts w:cs="Arial"/>
          <w:u w:val="single"/>
          <w:rtl/>
        </w:rPr>
        <w:t>עד א</w:t>
      </w:r>
      <w:r>
        <w:rPr>
          <w:rFonts w:cs="Arial" w:hint="cs"/>
          <w:u w:val="single"/>
          <w:rtl/>
        </w:rPr>
        <w:t>'</w:t>
      </w:r>
      <w:r w:rsidRPr="00D41EC2">
        <w:rPr>
          <w:rFonts w:cs="Arial"/>
          <w:u w:val="single"/>
          <w:rtl/>
        </w:rPr>
        <w:t xml:space="preserve"> אומר בפני ובפני עד א</w:t>
      </w:r>
      <w:r>
        <w:rPr>
          <w:rFonts w:cs="Arial" w:hint="cs"/>
          <w:u w:val="single"/>
          <w:rtl/>
        </w:rPr>
        <w:t>'</w:t>
      </w:r>
      <w:r w:rsidRPr="00D41EC2">
        <w:rPr>
          <w:rFonts w:cs="Arial"/>
          <w:u w:val="single"/>
          <w:rtl/>
        </w:rPr>
        <w:t xml:space="preserve"> שמת נתן פלוני לפלוני בניסן</w:t>
      </w:r>
      <w:r>
        <w:rPr>
          <w:rFonts w:cs="Arial" w:hint="cs"/>
          <w:u w:val="single"/>
          <w:rtl/>
        </w:rPr>
        <w:t>,</w:t>
      </w:r>
      <w:r w:rsidRPr="00D41EC2">
        <w:rPr>
          <w:rFonts w:cs="Arial"/>
          <w:u w:val="single"/>
          <w:rtl/>
        </w:rPr>
        <w:t xml:space="preserve"> ועד א</w:t>
      </w:r>
      <w:r>
        <w:rPr>
          <w:rFonts w:cs="Arial" w:hint="cs"/>
          <w:u w:val="single"/>
          <w:rtl/>
        </w:rPr>
        <w:t>'</w:t>
      </w:r>
      <w:r w:rsidRPr="00D41EC2">
        <w:rPr>
          <w:rFonts w:cs="Arial"/>
          <w:u w:val="single"/>
          <w:rtl/>
        </w:rPr>
        <w:t xml:space="preserve"> </w:t>
      </w:r>
      <w:r>
        <w:rPr>
          <w:rFonts w:cs="Arial" w:hint="cs"/>
          <w:u w:val="single"/>
          <w:rtl/>
        </w:rPr>
        <w:t>אומר</w:t>
      </w:r>
      <w:r w:rsidRPr="00D41EC2">
        <w:rPr>
          <w:rFonts w:cs="Arial"/>
          <w:u w:val="single"/>
          <w:rtl/>
        </w:rPr>
        <w:t xml:space="preserve"> בפני ובפני עד שמת נתן פלוני לפלוני בתשרי</w:t>
      </w:r>
      <w:r w:rsidRPr="00D41EC2">
        <w:rPr>
          <w:rFonts w:cs="Arial" w:hint="cs"/>
          <w:u w:val="single"/>
          <w:rtl/>
        </w:rPr>
        <w:t>:</w:t>
      </w:r>
    </w:p>
    <w:p w14:paraId="3E05F1B0" w14:textId="77777777" w:rsidR="004B607F" w:rsidRDefault="004B607F" w:rsidP="004B0475">
      <w:pPr>
        <w:pStyle w:val="ac"/>
        <w:numPr>
          <w:ilvl w:val="0"/>
          <w:numId w:val="89"/>
        </w:numPr>
      </w:pPr>
      <w:r w:rsidRPr="00D41EC2">
        <w:rPr>
          <w:rFonts w:cs="Arial" w:hint="cs"/>
          <w:rtl/>
        </w:rPr>
        <w:t xml:space="preserve">רי"ו </w:t>
      </w:r>
      <w:r w:rsidRPr="00D41EC2">
        <w:rPr>
          <w:rFonts w:cs="Arial" w:hint="cs"/>
          <w:sz w:val="16"/>
          <w:szCs w:val="16"/>
          <w:rtl/>
        </w:rPr>
        <w:t>(</w:t>
      </w:r>
      <w:r w:rsidRPr="00D41EC2">
        <w:rPr>
          <w:rFonts w:cs="Arial"/>
          <w:sz w:val="16"/>
          <w:szCs w:val="16"/>
          <w:rtl/>
        </w:rPr>
        <w:t>מישרים נט"ו ח"ב מז ע"ד)</w:t>
      </w:r>
      <w:r w:rsidRPr="00D41EC2">
        <w:rPr>
          <w:rFonts w:cs="Arial" w:hint="cs"/>
          <w:rtl/>
        </w:rPr>
        <w:t>-</w:t>
      </w:r>
      <w:r w:rsidRPr="00D41EC2">
        <w:rPr>
          <w:rFonts w:cs="Arial"/>
          <w:rtl/>
        </w:rPr>
        <w:t xml:space="preserve"> כתב אחד מן החכמים בתשובה כי אם עד אחד אומר </w:t>
      </w:r>
      <w:r>
        <w:rPr>
          <w:rFonts w:cs="Arial" w:hint="cs"/>
          <w:rtl/>
        </w:rPr>
        <w:t>'</w:t>
      </w:r>
      <w:r w:rsidRPr="00D41EC2">
        <w:rPr>
          <w:rFonts w:cs="Arial"/>
          <w:rtl/>
        </w:rPr>
        <w:t>בפני ובפני עד אחד שמת נתן פלוני לפלוני בניסן</w:t>
      </w:r>
      <w:r>
        <w:rPr>
          <w:rFonts w:cs="Arial" w:hint="cs"/>
          <w:rtl/>
        </w:rPr>
        <w:t>',</w:t>
      </w:r>
      <w:r w:rsidRPr="00D41EC2">
        <w:rPr>
          <w:rFonts w:cs="Arial"/>
          <w:rtl/>
        </w:rPr>
        <w:t xml:space="preserve"> ועד אחד העיד </w:t>
      </w:r>
      <w:r>
        <w:rPr>
          <w:rFonts w:cs="Arial" w:hint="cs"/>
          <w:rtl/>
        </w:rPr>
        <w:t>'</w:t>
      </w:r>
      <w:r w:rsidRPr="00D41EC2">
        <w:rPr>
          <w:rFonts w:cs="Arial"/>
          <w:rtl/>
        </w:rPr>
        <w:t>בפני ובפני עד שמת נתן פלוני לפלוני בתשרי</w:t>
      </w:r>
      <w:r>
        <w:rPr>
          <w:rFonts w:cs="Arial" w:hint="cs"/>
          <w:rtl/>
        </w:rPr>
        <w:t>' -</w:t>
      </w:r>
      <w:r w:rsidRPr="00D41EC2">
        <w:rPr>
          <w:rFonts w:cs="Arial"/>
          <w:rtl/>
        </w:rPr>
        <w:t xml:space="preserve"> אין מצטרפין</w:t>
      </w:r>
      <w:r>
        <w:rPr>
          <w:rFonts w:cs="Arial" w:hint="cs"/>
          <w:rtl/>
        </w:rPr>
        <w:t>,</w:t>
      </w:r>
      <w:r w:rsidRPr="00D41EC2">
        <w:rPr>
          <w:rFonts w:cs="Arial"/>
          <w:rtl/>
        </w:rPr>
        <w:t xml:space="preserve"> דלא דמי להלואה אחר הלואה אלא לשני שטרות של מתנה על ענין אחד שביטל שני לראשון </w:t>
      </w:r>
      <w:r w:rsidRPr="00D41EC2">
        <w:rPr>
          <w:rFonts w:cs="Arial"/>
          <w:sz w:val="16"/>
          <w:szCs w:val="16"/>
          <w:rtl/>
        </w:rPr>
        <w:t>(כתובות מד.)</w:t>
      </w:r>
      <w:r>
        <w:rPr>
          <w:rFonts w:cs="Arial" w:hint="cs"/>
          <w:rtl/>
        </w:rPr>
        <w:t xml:space="preserve">, </w:t>
      </w:r>
      <w:r w:rsidRPr="00D41EC2">
        <w:rPr>
          <w:rFonts w:cs="Arial"/>
          <w:rtl/>
        </w:rPr>
        <w:t>ומשני ליכא אלא עד אחד ואינו כלום</w:t>
      </w:r>
      <w:r>
        <w:rPr>
          <w:rFonts w:cs="Arial" w:hint="cs"/>
          <w:rtl/>
        </w:rPr>
        <w:t>,</w:t>
      </w:r>
      <w:r w:rsidRPr="00D41EC2">
        <w:rPr>
          <w:rFonts w:cs="Arial"/>
          <w:rtl/>
        </w:rPr>
        <w:t xml:space="preserve"> והפסיד מקבל המתנה</w:t>
      </w:r>
      <w:r>
        <w:rPr>
          <w:rStyle w:val="ab"/>
          <w:rFonts w:cs="Arial"/>
          <w:rtl/>
        </w:rPr>
        <w:footnoteReference w:id="1709"/>
      </w:r>
      <w:r w:rsidRPr="00D41EC2">
        <w:rPr>
          <w:rFonts w:cs="Arial" w:hint="cs"/>
          <w:rtl/>
        </w:rPr>
        <w:t>.</w:t>
      </w:r>
    </w:p>
    <w:p w14:paraId="0515B8D8" w14:textId="77777777" w:rsidR="004B607F" w:rsidRPr="009C219E" w:rsidRDefault="004B607F" w:rsidP="004B607F">
      <w:pPr>
        <w:rPr>
          <w:rFonts w:cs="Arial"/>
          <w:u w:val="single"/>
          <w:rtl/>
        </w:rPr>
      </w:pPr>
      <w:r w:rsidRPr="009C219E">
        <w:rPr>
          <w:rFonts w:cs="Arial"/>
          <w:u w:val="single"/>
          <w:rtl/>
        </w:rPr>
        <w:t>עד קנין ועד חזקה</w:t>
      </w:r>
      <w:r w:rsidRPr="009C219E">
        <w:rPr>
          <w:rFonts w:cs="Arial" w:hint="cs"/>
          <w:u w:val="single"/>
          <w:rtl/>
        </w:rPr>
        <w:t xml:space="preserve"> </w:t>
      </w:r>
      <w:r w:rsidRPr="009C219E">
        <w:rPr>
          <w:rFonts w:cs="Arial"/>
          <w:u w:val="single"/>
          <w:rtl/>
        </w:rPr>
        <w:t>–</w:t>
      </w:r>
      <w:r w:rsidRPr="009C219E">
        <w:rPr>
          <w:rFonts w:cs="Arial" w:hint="cs"/>
          <w:u w:val="single"/>
          <w:rtl/>
        </w:rPr>
        <w:t xml:space="preserve"> האם מצטרפים:</w:t>
      </w:r>
      <w:r w:rsidRPr="009C219E">
        <w:rPr>
          <w:rFonts w:cs="Arial" w:hint="cs"/>
          <w:sz w:val="16"/>
          <w:szCs w:val="16"/>
          <w:rtl/>
        </w:rPr>
        <w:t xml:space="preserve"> </w:t>
      </w:r>
      <w:r>
        <w:rPr>
          <w:rFonts w:cs="Arial" w:hint="cs"/>
          <w:sz w:val="16"/>
          <w:szCs w:val="16"/>
          <w:rtl/>
        </w:rPr>
        <w:t xml:space="preserve">  </w:t>
      </w:r>
      <w:r w:rsidRPr="009C219E">
        <w:rPr>
          <w:rFonts w:cs="Arial" w:hint="cs"/>
          <w:sz w:val="16"/>
          <w:szCs w:val="16"/>
          <w:rtl/>
        </w:rPr>
        <w:t>(</w:t>
      </w:r>
      <w:r>
        <w:rPr>
          <w:rFonts w:cs="Arial" w:hint="cs"/>
          <w:sz w:val="16"/>
          <w:szCs w:val="16"/>
          <w:rtl/>
        </w:rPr>
        <w:t xml:space="preserve">דרכ"מ </w:t>
      </w:r>
      <w:r w:rsidRPr="009C219E">
        <w:rPr>
          <w:rFonts w:cs="Arial" w:hint="cs"/>
          <w:sz w:val="16"/>
          <w:szCs w:val="16"/>
          <w:rtl/>
        </w:rPr>
        <w:t>אות ד)</w:t>
      </w:r>
    </w:p>
    <w:p w14:paraId="2D60EA05" w14:textId="77777777" w:rsidR="004B607F" w:rsidRPr="009C219E" w:rsidRDefault="004B607F" w:rsidP="004B0475">
      <w:pPr>
        <w:pStyle w:val="ac"/>
        <w:numPr>
          <w:ilvl w:val="0"/>
          <w:numId w:val="89"/>
        </w:numPr>
        <w:rPr>
          <w:rFonts w:cs="Arial"/>
          <w:rtl/>
        </w:rPr>
      </w:pPr>
      <w:r w:rsidRPr="009C219E">
        <w:rPr>
          <w:rFonts w:cs="Arial"/>
          <w:rtl/>
        </w:rPr>
        <w:t xml:space="preserve">רא"ש </w:t>
      </w:r>
      <w:r w:rsidRPr="009C219E">
        <w:rPr>
          <w:rFonts w:cs="Arial" w:hint="cs"/>
          <w:sz w:val="16"/>
          <w:szCs w:val="16"/>
          <w:rtl/>
        </w:rPr>
        <w:t>(</w:t>
      </w:r>
      <w:r w:rsidRPr="009C219E">
        <w:rPr>
          <w:rFonts w:cs="Arial"/>
          <w:sz w:val="16"/>
          <w:szCs w:val="16"/>
          <w:rtl/>
        </w:rPr>
        <w:t>כלל נט</w:t>
      </w:r>
      <w:r>
        <w:rPr>
          <w:rFonts w:cs="Arial" w:hint="cs"/>
          <w:sz w:val="16"/>
          <w:szCs w:val="16"/>
          <w:rtl/>
        </w:rPr>
        <w:t xml:space="preserve"> </w:t>
      </w:r>
      <w:r w:rsidRPr="009C219E">
        <w:rPr>
          <w:rFonts w:cs="Arial"/>
          <w:sz w:val="16"/>
          <w:szCs w:val="16"/>
          <w:rtl/>
        </w:rPr>
        <w:t>סי' א)</w:t>
      </w:r>
      <w:r>
        <w:rPr>
          <w:rFonts w:cs="Arial" w:hint="cs"/>
          <w:rtl/>
        </w:rPr>
        <w:t xml:space="preserve">- </w:t>
      </w:r>
      <w:r w:rsidRPr="009C219E">
        <w:rPr>
          <w:rFonts w:cs="Arial"/>
          <w:rtl/>
        </w:rPr>
        <w:t>עד הקנין ועד החזקה מצטרפין</w:t>
      </w:r>
      <w:r w:rsidRPr="009C219E">
        <w:rPr>
          <w:rFonts w:cs="Arial" w:hint="cs"/>
          <w:rtl/>
        </w:rPr>
        <w:t>.</w:t>
      </w:r>
      <w:r>
        <w:rPr>
          <w:rFonts w:cs="Arial" w:hint="cs"/>
          <w:rtl/>
        </w:rPr>
        <w:t xml:space="preserve"> </w:t>
      </w:r>
      <w:r w:rsidRPr="002321DF">
        <w:rPr>
          <w:rFonts w:cs="Arial" w:hint="cs"/>
          <w:color w:val="00B0F0"/>
          <w:rtl/>
        </w:rPr>
        <w:t>(וכ"פ הרמ"א)</w:t>
      </w:r>
    </w:p>
    <w:p w14:paraId="79FE9A74" w14:textId="77777777" w:rsidR="004B607F" w:rsidRPr="003024E5" w:rsidRDefault="004B607F" w:rsidP="004B607F">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37784FC6" w14:textId="77777777" w:rsidR="004B607F" w:rsidRDefault="004B607F" w:rsidP="004B607F">
      <w:pPr>
        <w:rPr>
          <w:rtl/>
        </w:rPr>
      </w:pPr>
      <w:r>
        <w:rPr>
          <w:rFonts w:cs="Arial"/>
          <w:rtl/>
        </w:rPr>
        <w:t xml:space="preserve">הא דהלואה אחר הלואה מצטרפין, כשתבע ממנו </w:t>
      </w:r>
      <w:r>
        <w:rPr>
          <w:rFonts w:cs="Arial" w:hint="cs"/>
          <w:rtl/>
        </w:rPr>
        <w:t>שני</w:t>
      </w:r>
      <w:r>
        <w:rPr>
          <w:rFonts w:cs="Arial"/>
          <w:rtl/>
        </w:rPr>
        <w:t xml:space="preserve"> מנים, אחד שהלוה לו בא</w:t>
      </w:r>
      <w:r>
        <w:rPr>
          <w:rFonts w:cs="Arial" w:hint="cs"/>
          <w:rtl/>
        </w:rPr>
        <w:t>חד</w:t>
      </w:r>
      <w:r>
        <w:rPr>
          <w:rFonts w:cs="Arial"/>
          <w:rtl/>
        </w:rPr>
        <w:t xml:space="preserve"> בשבת והמנה השני בשני בשבת</w:t>
      </w:r>
      <w:r>
        <w:rPr>
          <w:rStyle w:val="ab"/>
          <w:rFonts w:cs="Arial"/>
          <w:rtl/>
        </w:rPr>
        <w:footnoteReference w:id="1710"/>
      </w:r>
      <w:r>
        <w:rPr>
          <w:rFonts w:cs="Arial" w:hint="cs"/>
          <w:rtl/>
        </w:rPr>
        <w:t>.</w:t>
      </w:r>
      <w:r>
        <w:rPr>
          <w:rFonts w:cs="Arial"/>
          <w:rtl/>
        </w:rPr>
        <w:t xml:space="preserve"> אבל אם המלוה מודה שלא הלוה לו אלא מנה אחד, חזינן</w:t>
      </w:r>
      <w:r>
        <w:rPr>
          <w:rFonts w:cs="Arial" w:hint="cs"/>
          <w:rtl/>
        </w:rPr>
        <w:t>,</w:t>
      </w:r>
      <w:r>
        <w:rPr>
          <w:rFonts w:cs="Arial"/>
          <w:rtl/>
        </w:rPr>
        <w:t xml:space="preserve"> אי איכא למימר דטעי חד מנייהו בזימנא דהלואה, כגון שאמר האחד: ב</w:t>
      </w:r>
      <w:r>
        <w:rPr>
          <w:rFonts w:cs="Arial" w:hint="cs"/>
          <w:rtl/>
        </w:rPr>
        <w:t>שני</w:t>
      </w:r>
      <w:r>
        <w:rPr>
          <w:rFonts w:cs="Arial"/>
          <w:rtl/>
        </w:rPr>
        <w:t xml:space="preserve"> בחדש, והאחד אומר: ב</w:t>
      </w:r>
      <w:r>
        <w:rPr>
          <w:rFonts w:cs="Arial" w:hint="cs"/>
          <w:rtl/>
        </w:rPr>
        <w:t>שלשה</w:t>
      </w:r>
      <w:r>
        <w:rPr>
          <w:rFonts w:cs="Arial"/>
          <w:rtl/>
        </w:rPr>
        <w:t xml:space="preserve"> בחדש, דאיכא למימר דתרוייהו אחד יומא מסהדי וטעו בעיבורא דירחא, מצטרפי, דאימור אחד מנה מסהדי. ואי הוברר הדבר דבתרי מנה מסהדי, הא ודאי חד מנייהו שקרן</w:t>
      </w:r>
      <w:r>
        <w:rPr>
          <w:rStyle w:val="ab"/>
          <w:rFonts w:cs="Arial"/>
          <w:rtl/>
        </w:rPr>
        <w:footnoteReference w:id="1711"/>
      </w:r>
      <w:r>
        <w:rPr>
          <w:rFonts w:cs="Arial"/>
          <w:rtl/>
        </w:rPr>
        <w:t>, הלכך משתבע ליה שבועה דאורייתא</w:t>
      </w:r>
      <w:r>
        <w:rPr>
          <w:rStyle w:val="ab"/>
          <w:rFonts w:cs="Arial"/>
          <w:rtl/>
        </w:rPr>
        <w:footnoteReference w:id="1712"/>
      </w:r>
      <w:r>
        <w:rPr>
          <w:rFonts w:cs="Arial"/>
          <w:rtl/>
        </w:rPr>
        <w:t xml:space="preserve"> ומפטר. </w:t>
      </w:r>
      <w:r w:rsidRPr="00532E67">
        <w:rPr>
          <w:rFonts w:cs="Arial"/>
          <w:sz w:val="18"/>
          <w:szCs w:val="18"/>
          <w:rtl/>
        </w:rPr>
        <w:t>הגה: עד אחד העיד שראובן נתן לשמעון קרקע בקנין, ועד א' העיד ששמעון החזיק בקרקע כראוי, מצטרפין, דהוי כהודאה אחר הלואה (תשובת הרא"ש כלל נט סי</w:t>
      </w:r>
      <w:r>
        <w:rPr>
          <w:rFonts w:cs="Arial" w:hint="cs"/>
          <w:sz w:val="18"/>
          <w:szCs w:val="18"/>
          <w:rtl/>
        </w:rPr>
        <w:t>'</w:t>
      </w:r>
      <w:r w:rsidRPr="00532E67">
        <w:rPr>
          <w:rFonts w:cs="Arial"/>
          <w:sz w:val="18"/>
          <w:szCs w:val="18"/>
          <w:rtl/>
        </w:rPr>
        <w:t xml:space="preserve"> א).</w:t>
      </w:r>
      <w:r>
        <w:rPr>
          <w:rFonts w:cs="Arial"/>
          <w:rtl/>
        </w:rPr>
        <w:t xml:space="preserve"> </w:t>
      </w:r>
    </w:p>
    <w:p w14:paraId="1D992DAF" w14:textId="77777777" w:rsidR="004B607F" w:rsidRDefault="004B607F" w:rsidP="004B607F">
      <w:pPr>
        <w:rPr>
          <w:rtl/>
        </w:rPr>
      </w:pPr>
    </w:p>
    <w:p w14:paraId="187A4262" w14:textId="77777777" w:rsidR="004B607F" w:rsidRDefault="004B607F" w:rsidP="004B607F">
      <w:pPr>
        <w:pStyle w:val="2"/>
        <w:rPr>
          <w:rtl/>
        </w:rPr>
      </w:pPr>
      <w:bookmarkStart w:id="242" w:name="_Toc24883713"/>
      <w:r>
        <w:rPr>
          <w:rtl/>
        </w:rPr>
        <w:lastRenderedPageBreak/>
        <w:t>סעיף ח</w:t>
      </w:r>
      <w:r>
        <w:rPr>
          <w:rFonts w:hint="cs"/>
          <w:rtl/>
        </w:rPr>
        <w:t>: נתבע שהביא שני עדים על הפירעון וכל אחד מהעדים מעיד על תאריך שונה.</w:t>
      </w:r>
      <w:bookmarkEnd w:id="242"/>
    </w:p>
    <w:p w14:paraId="255158BC" w14:textId="77777777" w:rsidR="004B607F" w:rsidRDefault="004B607F" w:rsidP="004B607F">
      <w:pPr>
        <w:rPr>
          <w:rFonts w:cs="Arial"/>
          <w:rtl/>
        </w:rPr>
      </w:pPr>
      <w:r w:rsidRPr="00E62139">
        <w:rPr>
          <w:rFonts w:hint="cs"/>
          <w:u w:val="single"/>
          <w:rtl/>
        </w:rPr>
        <w:t>נתבע שהביא שני עדים על הפירעון וכל אחד מהעדים מעיד על תאריך שונה</w:t>
      </w:r>
      <w:r w:rsidRPr="00E62139">
        <w:rPr>
          <w:rFonts w:cs="Arial" w:hint="cs"/>
          <w:u w:val="single"/>
          <w:rtl/>
        </w:rPr>
        <w:t>:</w:t>
      </w:r>
      <w:r w:rsidRPr="00FD01EC">
        <w:rPr>
          <w:rFonts w:cs="Arial"/>
          <w:rtl/>
        </w:rPr>
        <w:t xml:space="preserve"> </w:t>
      </w:r>
    </w:p>
    <w:p w14:paraId="3CC5E170" w14:textId="77777777" w:rsidR="004B607F" w:rsidRPr="00E62139" w:rsidRDefault="004B607F" w:rsidP="004B0475">
      <w:pPr>
        <w:pStyle w:val="ac"/>
        <w:numPr>
          <w:ilvl w:val="0"/>
          <w:numId w:val="89"/>
        </w:numPr>
        <w:rPr>
          <w:rFonts w:cs="Arial"/>
          <w:rtl/>
        </w:rPr>
      </w:pPr>
      <w:r w:rsidRPr="00E62139">
        <w:rPr>
          <w:rFonts w:cs="Arial"/>
          <w:rtl/>
        </w:rPr>
        <w:t xml:space="preserve">בעל התרומות </w:t>
      </w:r>
      <w:r w:rsidRPr="00E62139">
        <w:rPr>
          <w:rFonts w:cs="Arial" w:hint="cs"/>
          <w:sz w:val="16"/>
          <w:szCs w:val="16"/>
          <w:rtl/>
        </w:rPr>
        <w:t>(</w:t>
      </w:r>
      <w:r w:rsidRPr="00E62139">
        <w:rPr>
          <w:rFonts w:cs="Arial"/>
          <w:sz w:val="16"/>
          <w:szCs w:val="16"/>
          <w:rtl/>
        </w:rPr>
        <w:t>שער סו ח"ב סי' ג)</w:t>
      </w:r>
      <w:r>
        <w:rPr>
          <w:rFonts w:cs="Arial" w:hint="cs"/>
          <w:rtl/>
        </w:rPr>
        <w:t xml:space="preserve"> </w:t>
      </w:r>
      <w:r w:rsidRPr="00DE665A">
        <w:rPr>
          <w:rFonts w:cs="Arial" w:hint="cs"/>
          <w:rtl/>
        </w:rPr>
        <w:t>וטור</w:t>
      </w:r>
      <w:r w:rsidRPr="00E62139">
        <w:rPr>
          <w:rFonts w:cs="Arial" w:hint="cs"/>
          <w:rtl/>
        </w:rPr>
        <w:t xml:space="preserve">- </w:t>
      </w:r>
      <w:r>
        <w:rPr>
          <w:rFonts w:cs="Arial" w:hint="cs"/>
          <w:rtl/>
        </w:rPr>
        <w:t>ו</w:t>
      </w:r>
      <w:r w:rsidRPr="00E62139">
        <w:rPr>
          <w:rFonts w:cs="Arial"/>
          <w:rtl/>
        </w:rPr>
        <w:t>ה"ה לענין פירעון</w:t>
      </w:r>
      <w:r>
        <w:rPr>
          <w:rFonts w:cs="Arial" w:hint="cs"/>
          <w:rtl/>
        </w:rPr>
        <w:t>.</w:t>
      </w:r>
      <w:r w:rsidRPr="00E62139">
        <w:rPr>
          <w:rFonts w:cs="Arial"/>
          <w:rtl/>
        </w:rPr>
        <w:t xml:space="preserve"> כיצד</w:t>
      </w:r>
      <w:r w:rsidRPr="00E62139">
        <w:rPr>
          <w:rFonts w:cs="Arial" w:hint="cs"/>
          <w:rtl/>
        </w:rPr>
        <w:t>,</w:t>
      </w:r>
      <w:r w:rsidRPr="00E62139">
        <w:rPr>
          <w:rFonts w:cs="Arial"/>
          <w:rtl/>
        </w:rPr>
        <w:t xml:space="preserve"> תבעו ר' בשטר</w:t>
      </w:r>
      <w:r>
        <w:rPr>
          <w:rFonts w:cs="Arial" w:hint="cs"/>
          <w:rtl/>
        </w:rPr>
        <w:t>.</w:t>
      </w:r>
      <w:r w:rsidRPr="00E62139">
        <w:rPr>
          <w:rFonts w:cs="Arial"/>
          <w:rtl/>
        </w:rPr>
        <w:t xml:space="preserve"> ואמר לו פרעתיך</w:t>
      </w:r>
      <w:r>
        <w:rPr>
          <w:rFonts w:cs="Arial" w:hint="cs"/>
          <w:rtl/>
        </w:rPr>
        <w:t>,</w:t>
      </w:r>
      <w:r w:rsidRPr="00E62139">
        <w:rPr>
          <w:rFonts w:cs="Arial"/>
          <w:rtl/>
        </w:rPr>
        <w:t xml:space="preserve"> ומביא ב' עדים</w:t>
      </w:r>
      <w:r w:rsidRPr="00E62139">
        <w:rPr>
          <w:rFonts w:cs="Arial" w:hint="cs"/>
          <w:rtl/>
        </w:rPr>
        <w:t>,</w:t>
      </w:r>
      <w:r w:rsidRPr="00E62139">
        <w:rPr>
          <w:rFonts w:cs="Arial"/>
          <w:rtl/>
        </w:rPr>
        <w:t xml:space="preserve"> אחד אומר בניסן פרעו מנה והשני אומר בתשרי</w:t>
      </w:r>
      <w:r>
        <w:rPr>
          <w:rFonts w:cs="Arial" w:hint="cs"/>
          <w:rtl/>
        </w:rPr>
        <w:t xml:space="preserve"> -</w:t>
      </w:r>
      <w:r w:rsidRPr="00E62139">
        <w:rPr>
          <w:rFonts w:cs="Arial"/>
          <w:rtl/>
        </w:rPr>
        <w:t xml:space="preserve"> מצטרפין ואם נעשה השטר קודם ניסן</w:t>
      </w:r>
      <w:r>
        <w:rPr>
          <w:rStyle w:val="ab"/>
          <w:rFonts w:cs="Arial"/>
          <w:rtl/>
        </w:rPr>
        <w:footnoteReference w:id="1713"/>
      </w:r>
      <w:r w:rsidRPr="00E62139">
        <w:rPr>
          <w:rFonts w:cs="Arial"/>
          <w:rtl/>
        </w:rPr>
        <w:t xml:space="preserve"> נחזיקנו בפרוע ממנה</w:t>
      </w:r>
      <w:r>
        <w:rPr>
          <w:rFonts w:cs="Arial" w:hint="cs"/>
          <w:rtl/>
        </w:rPr>
        <w:t>,</w:t>
      </w:r>
      <w:r w:rsidRPr="00E62139">
        <w:rPr>
          <w:rFonts w:cs="Arial"/>
          <w:rtl/>
        </w:rPr>
        <w:t xml:space="preserve"> שהרי לדברי שניהם פרעו מנה</w:t>
      </w:r>
      <w:r>
        <w:rPr>
          <w:rFonts w:cs="Arial" w:hint="cs"/>
          <w:rtl/>
        </w:rPr>
        <w:t>.</w:t>
      </w:r>
      <w:r w:rsidRPr="00E62139">
        <w:rPr>
          <w:rFonts w:cs="Arial"/>
          <w:rtl/>
        </w:rPr>
        <w:t xml:space="preserve"> וכן אם הודה בפני א' שפרעו מנה בניסן והודה בפני הב' שפרעו מנה בתשרי</w:t>
      </w:r>
      <w:r w:rsidRPr="00E62139">
        <w:rPr>
          <w:rFonts w:cs="Arial" w:hint="cs"/>
          <w:rtl/>
        </w:rPr>
        <w:t>,</w:t>
      </w:r>
      <w:r w:rsidRPr="00E62139">
        <w:rPr>
          <w:rFonts w:cs="Arial"/>
          <w:rtl/>
        </w:rPr>
        <w:t xml:space="preserve"> או אחד מעיד שפרעו מנה והשני מעיד לפני הודה שפרעו מנה</w:t>
      </w:r>
      <w:r>
        <w:rPr>
          <w:rFonts w:cs="Arial" w:hint="cs"/>
          <w:rtl/>
        </w:rPr>
        <w:t xml:space="preserve"> -</w:t>
      </w:r>
      <w:r w:rsidRPr="00E62139">
        <w:rPr>
          <w:rFonts w:cs="Arial"/>
          <w:rtl/>
        </w:rPr>
        <w:t xml:space="preserve"> בכל ענין מצטרפין</w:t>
      </w:r>
      <w:r>
        <w:rPr>
          <w:rFonts w:cs="Arial" w:hint="cs"/>
          <w:rtl/>
        </w:rPr>
        <w:t>.</w:t>
      </w:r>
      <w:r w:rsidRPr="00E62139">
        <w:rPr>
          <w:rFonts w:cs="Arial"/>
          <w:rtl/>
        </w:rPr>
        <w:t xml:space="preserve"> ולא יוכל המלוה לומר סטראי נינהו ממלוה ע"פ או מחוב שהיה לי עליך בשטר והחזרתיו</w:t>
      </w:r>
      <w:r>
        <w:rPr>
          <w:rFonts w:cs="Arial" w:hint="cs"/>
          <w:sz w:val="16"/>
          <w:szCs w:val="16"/>
          <w:rtl/>
        </w:rPr>
        <w:t xml:space="preserve"> {היינו את השטר}</w:t>
      </w:r>
      <w:r w:rsidRPr="00E62139">
        <w:rPr>
          <w:rFonts w:cs="Arial"/>
          <w:rtl/>
        </w:rPr>
        <w:t xml:space="preserve"> לך</w:t>
      </w:r>
      <w:r>
        <w:rPr>
          <w:rFonts w:cs="Arial" w:hint="cs"/>
          <w:sz w:val="16"/>
          <w:szCs w:val="16"/>
          <w:rtl/>
        </w:rPr>
        <w:t xml:space="preserve"> (ל' הטור בשם בעל התרומות)</w:t>
      </w:r>
      <w:r>
        <w:rPr>
          <w:rStyle w:val="ab"/>
          <w:rFonts w:cs="Arial"/>
          <w:rtl/>
        </w:rPr>
        <w:footnoteReference w:id="1714"/>
      </w:r>
      <w:r w:rsidRPr="00E62139">
        <w:rPr>
          <w:rFonts w:cs="Arial" w:hint="cs"/>
          <w:rtl/>
        </w:rPr>
        <w:t>.</w:t>
      </w:r>
      <w:r>
        <w:rPr>
          <w:rFonts w:cs="Arial" w:hint="cs"/>
          <w:rtl/>
        </w:rPr>
        <w:t xml:space="preserve"> </w:t>
      </w:r>
      <w:r w:rsidRPr="00E62139">
        <w:rPr>
          <w:rFonts w:cs="Arial" w:hint="cs"/>
          <w:color w:val="E36C0A" w:themeColor="accent6" w:themeShade="BF"/>
          <w:rtl/>
        </w:rPr>
        <w:t>(וכ"פ בשו"ע)</w:t>
      </w:r>
    </w:p>
    <w:p w14:paraId="0E6667EC" w14:textId="77777777" w:rsidR="004B607F" w:rsidRPr="003024E5" w:rsidRDefault="004B607F" w:rsidP="004B607F">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09AD813C" w14:textId="77777777" w:rsidR="004B607F" w:rsidRDefault="004B607F" w:rsidP="004B607F">
      <w:pPr>
        <w:rPr>
          <w:rtl/>
        </w:rPr>
      </w:pPr>
      <w:r>
        <w:rPr>
          <w:rFonts w:cs="Arial"/>
          <w:rtl/>
        </w:rPr>
        <w:t xml:space="preserve">תבעו </w:t>
      </w:r>
      <w:r>
        <w:rPr>
          <w:rFonts w:cs="Arial" w:hint="cs"/>
          <w:rtl/>
        </w:rPr>
        <w:t>מאתיים</w:t>
      </w:r>
      <w:r>
        <w:rPr>
          <w:rFonts w:cs="Arial"/>
          <w:rtl/>
        </w:rPr>
        <w:t xml:space="preserve"> בשטר</w:t>
      </w:r>
      <w:r>
        <w:rPr>
          <w:rFonts w:cs="Arial" w:hint="cs"/>
          <w:rtl/>
        </w:rPr>
        <w:t>.</w:t>
      </w:r>
      <w:r>
        <w:rPr>
          <w:rFonts w:cs="Arial"/>
          <w:rtl/>
        </w:rPr>
        <w:t xml:space="preserve"> ואמר לו פרעתיך</w:t>
      </w:r>
      <w:r>
        <w:rPr>
          <w:rFonts w:cs="Arial" w:hint="cs"/>
          <w:rtl/>
        </w:rPr>
        <w:t>,</w:t>
      </w:r>
      <w:r>
        <w:rPr>
          <w:rFonts w:cs="Arial"/>
          <w:rtl/>
        </w:rPr>
        <w:t xml:space="preserve"> ומביא שני עדים, אחד אומר בניסן פרעו מנה, והשני אומר בתשרי</w:t>
      </w:r>
      <w:r>
        <w:rPr>
          <w:rFonts w:cs="Arial" w:hint="cs"/>
          <w:rtl/>
        </w:rPr>
        <w:t>,</w:t>
      </w:r>
      <w:r>
        <w:rPr>
          <w:rFonts w:cs="Arial"/>
          <w:rtl/>
        </w:rPr>
        <w:t xml:space="preserve"> מצטרפין</w:t>
      </w:r>
      <w:r>
        <w:rPr>
          <w:rStyle w:val="ab"/>
          <w:rFonts w:cs="Arial"/>
          <w:rtl/>
        </w:rPr>
        <w:footnoteReference w:id="1715"/>
      </w:r>
      <w:r>
        <w:rPr>
          <w:rFonts w:cs="Arial"/>
          <w:rtl/>
        </w:rPr>
        <w:t xml:space="preserve"> ואם נעשה השטר קודם</w:t>
      </w:r>
      <w:r>
        <w:rPr>
          <w:rStyle w:val="ab"/>
          <w:rFonts w:cs="Arial"/>
          <w:rtl/>
        </w:rPr>
        <w:footnoteReference w:id="1716"/>
      </w:r>
      <w:r>
        <w:rPr>
          <w:rFonts w:cs="Arial"/>
          <w:rtl/>
        </w:rPr>
        <w:t xml:space="preserve"> ניסן מחזיקים בפרוע ממנה. וכן אם הודה בפני אחד שפרעו מנה בניסן והודה בפני השני שפרעו מנה בתשרי</w:t>
      </w:r>
      <w:r>
        <w:rPr>
          <w:rFonts w:cs="Arial" w:hint="cs"/>
          <w:rtl/>
        </w:rPr>
        <w:t>,</w:t>
      </w:r>
      <w:r>
        <w:rPr>
          <w:rFonts w:cs="Arial"/>
          <w:rtl/>
        </w:rPr>
        <w:t xml:space="preserve"> או אחד מעיד שפרעו מנה והשני מעיד </w:t>
      </w:r>
      <w:r>
        <w:rPr>
          <w:rFonts w:cs="Arial" w:hint="cs"/>
          <w:rtl/>
        </w:rPr>
        <w:t>'</w:t>
      </w:r>
      <w:r>
        <w:rPr>
          <w:rFonts w:cs="Arial"/>
          <w:rtl/>
        </w:rPr>
        <w:t>לפני הודה שפרעו מנה</w:t>
      </w:r>
      <w:r>
        <w:rPr>
          <w:rFonts w:cs="Arial" w:hint="cs"/>
          <w:rtl/>
        </w:rPr>
        <w:t>'</w:t>
      </w:r>
      <w:r>
        <w:rPr>
          <w:rFonts w:cs="Arial"/>
          <w:rtl/>
        </w:rPr>
        <w:t>, מצטרפין</w:t>
      </w:r>
      <w:r>
        <w:rPr>
          <w:rFonts w:cs="Arial" w:hint="cs"/>
          <w:rtl/>
        </w:rPr>
        <w:t>.</w:t>
      </w:r>
      <w:r>
        <w:rPr>
          <w:rFonts w:cs="Arial"/>
          <w:rtl/>
        </w:rPr>
        <w:t xml:space="preserve"> ולא יוכל המלוה לומר סטראי נינהו. </w:t>
      </w:r>
    </w:p>
    <w:p w14:paraId="60438C9F" w14:textId="77777777" w:rsidR="004B607F" w:rsidRDefault="004B607F" w:rsidP="004B607F">
      <w:pPr>
        <w:rPr>
          <w:rtl/>
        </w:rPr>
      </w:pPr>
    </w:p>
    <w:p w14:paraId="1A76A7F3" w14:textId="77777777" w:rsidR="004B607F" w:rsidRDefault="004B607F" w:rsidP="004B607F">
      <w:pPr>
        <w:pStyle w:val="2"/>
        <w:rPr>
          <w:rtl/>
        </w:rPr>
      </w:pPr>
      <w:bookmarkStart w:id="243" w:name="_Toc24883714"/>
      <w:r>
        <w:rPr>
          <w:rtl/>
        </w:rPr>
        <w:t>סעיף ט</w:t>
      </w:r>
      <w:r>
        <w:rPr>
          <w:rFonts w:hint="cs"/>
          <w:rtl/>
        </w:rPr>
        <w:t>: העדת עדות בב"ד כל אחד בזמן אחר.</w:t>
      </w:r>
      <w:bookmarkEnd w:id="243"/>
    </w:p>
    <w:p w14:paraId="5515D63D" w14:textId="77777777" w:rsidR="004B607F" w:rsidRDefault="004B607F" w:rsidP="004B607F">
      <w:pPr>
        <w:rPr>
          <w:rFonts w:cs="Arial"/>
          <w:rtl/>
        </w:rPr>
      </w:pPr>
      <w:r>
        <w:rPr>
          <w:rFonts w:cs="Arial" w:hint="cs"/>
          <w:b/>
          <w:bCs/>
          <w:rtl/>
        </w:rPr>
        <w:t xml:space="preserve">סנהדרין </w:t>
      </w:r>
      <w:r w:rsidRPr="00E62139">
        <w:rPr>
          <w:rFonts w:cs="Arial" w:hint="cs"/>
          <w:b/>
          <w:bCs/>
          <w:sz w:val="16"/>
          <w:szCs w:val="16"/>
          <w:rtl/>
        </w:rPr>
        <w:t xml:space="preserve">(פרק זה בורר) </w:t>
      </w:r>
      <w:r>
        <w:rPr>
          <w:rFonts w:cs="Arial" w:hint="cs"/>
          <w:b/>
          <w:bCs/>
          <w:rtl/>
        </w:rPr>
        <w:t>ל</w:t>
      </w:r>
      <w:r>
        <w:rPr>
          <w:rStyle w:val="ab"/>
          <w:rFonts w:cs="Arial"/>
          <w:b/>
          <w:bCs/>
          <w:rtl/>
        </w:rPr>
        <w:footnoteReference w:id="1717"/>
      </w:r>
      <w:r>
        <w:rPr>
          <w:rFonts w:cs="Arial" w:hint="cs"/>
          <w:b/>
          <w:bCs/>
          <w:rtl/>
        </w:rPr>
        <w:t xml:space="preserve"> ע"א: </w:t>
      </w:r>
      <w:r w:rsidRPr="00186634">
        <w:rPr>
          <w:rFonts w:cs="Arial"/>
          <w:rtl/>
        </w:rPr>
        <w:t xml:space="preserve">דתניא: לעולם אין עדותן מצטרפת עד שיראו שניהן כאחד. </w:t>
      </w:r>
      <w:r w:rsidRPr="0042642E">
        <w:rPr>
          <w:rFonts w:cs="Arial"/>
          <w:u w:val="single"/>
          <w:rtl/>
        </w:rPr>
        <w:t>רבי יהושע בן קרחה אומר</w:t>
      </w:r>
      <w:r w:rsidRPr="00186634">
        <w:rPr>
          <w:rFonts w:cs="Arial"/>
          <w:rtl/>
        </w:rPr>
        <w:t xml:space="preserve">: אפילו בזה אחר זה. ואין עדותן מתקיימת בבית דין עד שיעידו שניהן כאחד, </w:t>
      </w:r>
      <w:r w:rsidRPr="00186634">
        <w:rPr>
          <w:rFonts w:cs="Arial"/>
          <w:u w:val="single"/>
          <w:rtl/>
        </w:rPr>
        <w:t>רבי נתן אומר</w:t>
      </w:r>
      <w:r w:rsidRPr="00186634">
        <w:rPr>
          <w:rFonts w:cs="Arial"/>
          <w:rtl/>
        </w:rPr>
        <w:t>: שומעין דבריו של זה היום, וכשיבא חבירו למחר שומעין את דבריו.</w:t>
      </w:r>
    </w:p>
    <w:p w14:paraId="41C8CE82" w14:textId="77777777" w:rsidR="004B607F" w:rsidRDefault="004B607F" w:rsidP="004B607F">
      <w:pPr>
        <w:rPr>
          <w:rFonts w:cs="Arial"/>
          <w:rtl/>
        </w:rPr>
      </w:pPr>
      <w:r w:rsidRPr="00E62139">
        <w:rPr>
          <w:rFonts w:cs="Arial" w:hint="cs"/>
          <w:u w:val="single"/>
          <w:rtl/>
        </w:rPr>
        <w:t xml:space="preserve">האם העדים צריכים להעיד בב"ד כאחד או </w:t>
      </w:r>
      <w:r>
        <w:rPr>
          <w:rFonts w:cs="Arial" w:hint="cs"/>
          <w:u w:val="single"/>
          <w:rtl/>
        </w:rPr>
        <w:t>שיכולים להגיע בנפרד</w:t>
      </w:r>
      <w:r w:rsidRPr="00E62139">
        <w:rPr>
          <w:rFonts w:cs="Arial" w:hint="cs"/>
          <w:u w:val="single"/>
          <w:rtl/>
        </w:rPr>
        <w:t>:</w:t>
      </w:r>
    </w:p>
    <w:p w14:paraId="4FA71DBA" w14:textId="77777777" w:rsidR="004B607F" w:rsidRPr="006C380F" w:rsidRDefault="004B607F" w:rsidP="004B0475">
      <w:pPr>
        <w:pStyle w:val="ac"/>
        <w:numPr>
          <w:ilvl w:val="0"/>
          <w:numId w:val="89"/>
        </w:numPr>
        <w:rPr>
          <w:rtl/>
        </w:rPr>
      </w:pPr>
      <w:r w:rsidRPr="00E62139">
        <w:rPr>
          <w:rFonts w:cs="Arial"/>
          <w:rtl/>
        </w:rPr>
        <w:t xml:space="preserve">רי"ף </w:t>
      </w:r>
      <w:r w:rsidRPr="00E62139">
        <w:rPr>
          <w:rFonts w:cs="Arial"/>
          <w:sz w:val="16"/>
          <w:szCs w:val="16"/>
          <w:rtl/>
        </w:rPr>
        <w:t xml:space="preserve">(ט.) </w:t>
      </w:r>
      <w:r w:rsidRPr="00E62139">
        <w:rPr>
          <w:rFonts w:cs="Arial"/>
          <w:rtl/>
        </w:rPr>
        <w:t xml:space="preserve">רמב"ם </w:t>
      </w:r>
      <w:r w:rsidRPr="00E62139">
        <w:rPr>
          <w:rFonts w:cs="Arial"/>
          <w:sz w:val="16"/>
          <w:szCs w:val="16"/>
          <w:rtl/>
        </w:rPr>
        <w:t xml:space="preserve">(עדות פ"ד ה"ד) </w:t>
      </w:r>
      <w:r w:rsidRPr="00E62139">
        <w:rPr>
          <w:rFonts w:cs="Arial"/>
          <w:rtl/>
        </w:rPr>
        <w:t xml:space="preserve">רא"ש </w:t>
      </w:r>
      <w:r w:rsidRPr="00E62139">
        <w:rPr>
          <w:rFonts w:cs="Arial"/>
          <w:sz w:val="16"/>
          <w:szCs w:val="16"/>
          <w:rtl/>
        </w:rPr>
        <w:t xml:space="preserve">(סי' לד) </w:t>
      </w:r>
      <w:r w:rsidRPr="00E62139">
        <w:rPr>
          <w:rFonts w:cs="Arial" w:hint="cs"/>
          <w:rtl/>
        </w:rPr>
        <w:t xml:space="preserve">וטור- </w:t>
      </w:r>
      <w:r>
        <w:rPr>
          <w:rFonts w:cs="Arial" w:hint="cs"/>
          <w:rtl/>
        </w:rPr>
        <w:t xml:space="preserve">וכן </w:t>
      </w:r>
      <w:r w:rsidRPr="00E62139">
        <w:rPr>
          <w:rFonts w:cs="Arial"/>
          <w:rtl/>
        </w:rPr>
        <w:t>א"צ שיעידו שניהם כאחד בב"ד אלא שומעין דבריו של זה היום וכשיבא חבירו למחר שומעין לו</w:t>
      </w:r>
      <w:r>
        <w:rPr>
          <w:rStyle w:val="ab"/>
          <w:rFonts w:cs="Arial"/>
          <w:rtl/>
        </w:rPr>
        <w:footnoteReference w:id="1718"/>
      </w:r>
      <w:r w:rsidRPr="00E62139">
        <w:rPr>
          <w:rFonts w:cs="Arial" w:hint="cs"/>
          <w:sz w:val="16"/>
          <w:szCs w:val="16"/>
          <w:rtl/>
        </w:rPr>
        <w:t xml:space="preserve"> (ל' הטור)</w:t>
      </w:r>
      <w:r w:rsidRPr="00E62139">
        <w:rPr>
          <w:rFonts w:cs="Arial" w:hint="cs"/>
          <w:rtl/>
        </w:rPr>
        <w:t>.</w:t>
      </w:r>
      <w:r w:rsidRPr="00E62139">
        <w:rPr>
          <w:rFonts w:hint="cs"/>
          <w:color w:val="E36C0A" w:themeColor="accent6" w:themeShade="BF"/>
          <w:rtl/>
        </w:rPr>
        <w:t xml:space="preserve"> (וכ"פ בשו"ע)</w:t>
      </w:r>
    </w:p>
    <w:p w14:paraId="592C53DE" w14:textId="77777777" w:rsidR="004B607F" w:rsidRPr="003024E5" w:rsidRDefault="004B607F" w:rsidP="004B607F">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149A49B0" w14:textId="77777777" w:rsidR="004B607F" w:rsidRDefault="004B607F" w:rsidP="004B607F">
      <w:pPr>
        <w:rPr>
          <w:rtl/>
        </w:rPr>
      </w:pPr>
      <w:r>
        <w:rPr>
          <w:rFonts w:cs="Arial"/>
          <w:rtl/>
        </w:rPr>
        <w:t>בדיני ממונות אין צריכין להעיד שני העדים כאחד, אלא יבוא אחד בפני בית דין ושומעים דבריו היום, וכשיבא העד השני לאחר זמן שומעין דבריו, ומצטרפים זה לזה ומוציאים בהם הממון.</w:t>
      </w:r>
    </w:p>
    <w:p w14:paraId="7E0996D6" w14:textId="77777777" w:rsidR="004B607F" w:rsidRDefault="004B607F" w:rsidP="004B607F">
      <w:pPr>
        <w:rPr>
          <w:rtl/>
        </w:rPr>
      </w:pPr>
    </w:p>
    <w:p w14:paraId="50EC8EE5" w14:textId="77777777" w:rsidR="004B607F" w:rsidRDefault="004B607F" w:rsidP="004B607F">
      <w:pPr>
        <w:pStyle w:val="2"/>
        <w:rPr>
          <w:rtl/>
        </w:rPr>
      </w:pPr>
      <w:bookmarkStart w:id="244" w:name="_Toc24883715"/>
      <w:r>
        <w:rPr>
          <w:rtl/>
        </w:rPr>
        <w:t>סעיף י</w:t>
      </w:r>
      <w:r>
        <w:rPr>
          <w:rFonts w:hint="cs"/>
          <w:rtl/>
        </w:rPr>
        <w:t xml:space="preserve">: </w:t>
      </w:r>
      <w:r w:rsidRPr="00E62139">
        <w:rPr>
          <w:rFonts w:cs="Arial" w:hint="cs"/>
          <w:rtl/>
        </w:rPr>
        <w:t>עד אחד בכתב ועד אחד בעל פה</w:t>
      </w:r>
      <w:r>
        <w:rPr>
          <w:rFonts w:hint="cs"/>
          <w:rtl/>
        </w:rPr>
        <w:t>.</w:t>
      </w:r>
      <w:bookmarkEnd w:id="244"/>
    </w:p>
    <w:p w14:paraId="1E32CA79" w14:textId="77777777" w:rsidR="004B607F" w:rsidRDefault="004B607F" w:rsidP="004B607F">
      <w:pPr>
        <w:rPr>
          <w:rFonts w:cs="Arial"/>
          <w:rtl/>
        </w:rPr>
      </w:pPr>
      <w:r>
        <w:rPr>
          <w:rFonts w:cs="Arial" w:hint="cs"/>
          <w:b/>
          <w:bCs/>
          <w:rtl/>
        </w:rPr>
        <w:t xml:space="preserve">בבא בתרא </w:t>
      </w:r>
      <w:r>
        <w:rPr>
          <w:rFonts w:cs="Arial" w:hint="cs"/>
          <w:b/>
          <w:bCs/>
          <w:sz w:val="16"/>
          <w:szCs w:val="16"/>
          <w:rtl/>
        </w:rPr>
        <w:t>(פרק גט פשוט)</w:t>
      </w:r>
      <w:r>
        <w:rPr>
          <w:rFonts w:cs="Arial" w:hint="cs"/>
          <w:b/>
          <w:bCs/>
          <w:rtl/>
        </w:rPr>
        <w:t xml:space="preserve"> קס</w:t>
      </w:r>
      <w:r>
        <w:rPr>
          <w:rStyle w:val="ab"/>
          <w:rFonts w:cs="Arial"/>
          <w:b/>
          <w:bCs/>
          <w:rtl/>
        </w:rPr>
        <w:footnoteReference w:id="1719"/>
      </w:r>
      <w:r>
        <w:rPr>
          <w:rFonts w:cs="Arial" w:hint="cs"/>
          <w:b/>
          <w:bCs/>
          <w:rtl/>
        </w:rPr>
        <w:t xml:space="preserve"> ע"א: </w:t>
      </w:r>
      <w:r w:rsidRPr="00E62139">
        <w:rPr>
          <w:rFonts w:cs="Arial" w:hint="cs"/>
          <w:u w:val="double"/>
          <w:rtl/>
        </w:rPr>
        <w:t>מתני'</w:t>
      </w:r>
      <w:r>
        <w:rPr>
          <w:rFonts w:cs="Arial" w:hint="cs"/>
          <w:rtl/>
        </w:rPr>
        <w:t xml:space="preserve">:... </w:t>
      </w:r>
      <w:r w:rsidRPr="00E62139">
        <w:rPr>
          <w:rFonts w:cs="Arial"/>
          <w:rtl/>
        </w:rPr>
        <w:t>גט פשוט - עדיו בשנים, ומקושר - בשלשה. פשוט שכתב בו עד אחד, ומקושר שכתב בו שני עדים - שניהם פסולין.</w:t>
      </w:r>
      <w:r>
        <w:rPr>
          <w:rFonts w:cs="Arial" w:hint="cs"/>
          <w:rtl/>
        </w:rPr>
        <w:t xml:space="preserve">..    </w:t>
      </w:r>
      <w:r w:rsidRPr="00E62139">
        <w:rPr>
          <w:rFonts w:cs="Arial"/>
          <w:rtl/>
        </w:rPr>
        <w:t xml:space="preserve"> </w:t>
      </w:r>
      <w:r w:rsidRPr="00E62139">
        <w:rPr>
          <w:rFonts w:cs="Arial" w:hint="cs"/>
          <w:u w:val="double"/>
          <w:rtl/>
        </w:rPr>
        <w:t>גמ</w:t>
      </w:r>
      <w:r>
        <w:rPr>
          <w:rFonts w:cs="Arial" w:hint="cs"/>
          <w:u w:val="double"/>
          <w:rtl/>
        </w:rPr>
        <w:t>רא</w:t>
      </w:r>
      <w:r>
        <w:rPr>
          <w:rFonts w:cs="Arial" w:hint="cs"/>
          <w:sz w:val="14"/>
          <w:szCs w:val="14"/>
          <w:u w:val="double"/>
          <w:rtl/>
        </w:rPr>
        <w:t xml:space="preserve"> </w:t>
      </w:r>
      <w:r w:rsidRPr="00E62139">
        <w:rPr>
          <w:rFonts w:cs="Arial" w:hint="cs"/>
          <w:sz w:val="14"/>
          <w:szCs w:val="14"/>
          <w:u w:val="double"/>
          <w:rtl/>
        </w:rPr>
        <w:t>(קסה.)</w:t>
      </w:r>
      <w:r w:rsidRPr="00E62139">
        <w:rPr>
          <w:rFonts w:cs="Arial" w:hint="cs"/>
          <w:u w:val="double"/>
          <w:rtl/>
        </w:rPr>
        <w:t>:</w:t>
      </w:r>
      <w:r>
        <w:rPr>
          <w:rFonts w:cs="Arial" w:hint="cs"/>
          <w:rtl/>
        </w:rPr>
        <w:t xml:space="preserve"> </w:t>
      </w:r>
      <w:r w:rsidRPr="00E62139">
        <w:rPr>
          <w:rFonts w:cs="Arial"/>
          <w:rtl/>
        </w:rPr>
        <w:t xml:space="preserve">פשוט שכתוב בו עד אחד כו'. בשלמא מקושר שכתוב בו שני עדים פסול - איצטריך, סלקא דעתך אמינא: הואיל ובעלמא כשר הכא נמי כשר, קמ"ל דפסול, אלא פשוט שכתוב </w:t>
      </w:r>
      <w:r w:rsidRPr="00E62139">
        <w:rPr>
          <w:rFonts w:cs="Arial"/>
          <w:rtl/>
        </w:rPr>
        <w:lastRenderedPageBreak/>
        <w:t xml:space="preserve">בו עד אחד - פשיטא! </w:t>
      </w:r>
      <w:r w:rsidRPr="00E62139">
        <w:rPr>
          <w:rFonts w:cs="Arial"/>
          <w:u w:val="single"/>
          <w:rtl/>
        </w:rPr>
        <w:t>אמר אביי</w:t>
      </w:r>
      <w:r w:rsidRPr="00E62139">
        <w:rPr>
          <w:rFonts w:cs="Arial"/>
          <w:rtl/>
        </w:rPr>
        <w:t xml:space="preserve">: לא נצרכא, דאפי' עד אחד בכתב ועד אחד בפה. </w:t>
      </w:r>
      <w:r w:rsidRPr="00E62139">
        <w:rPr>
          <w:rFonts w:cs="Arial"/>
          <w:u w:val="single"/>
          <w:rtl/>
        </w:rPr>
        <w:t>אמימר</w:t>
      </w:r>
      <w:r w:rsidRPr="00E62139">
        <w:rPr>
          <w:rFonts w:cs="Arial"/>
          <w:rtl/>
        </w:rPr>
        <w:t xml:space="preserve"> אכשר בעד אחד בכתב ועד אחד על פה. </w:t>
      </w:r>
      <w:r w:rsidRPr="00E62139">
        <w:rPr>
          <w:rFonts w:cs="Arial"/>
          <w:u w:val="single"/>
          <w:rtl/>
        </w:rPr>
        <w:t>א"ל רב אשי לאמימר</w:t>
      </w:r>
      <w:r w:rsidRPr="00E62139">
        <w:rPr>
          <w:rFonts w:cs="Arial"/>
          <w:rtl/>
        </w:rPr>
        <w:t xml:space="preserve">: והא דאביי מאי? א"ל: לא שמיע לי, כלומר לא סבירא לי. </w:t>
      </w:r>
    </w:p>
    <w:p w14:paraId="1D8E5149" w14:textId="77777777" w:rsidR="004B607F" w:rsidRDefault="004B607F" w:rsidP="004B607F">
      <w:pPr>
        <w:rPr>
          <w:rFonts w:cs="Arial"/>
          <w:rtl/>
        </w:rPr>
      </w:pPr>
      <w:r w:rsidRPr="00E62139">
        <w:rPr>
          <w:rFonts w:cs="Arial" w:hint="cs"/>
          <w:u w:val="single"/>
          <w:rtl/>
        </w:rPr>
        <w:t xml:space="preserve">עד אחד בכתב ועד אחד בעל פה </w:t>
      </w:r>
      <w:r>
        <w:rPr>
          <w:rFonts w:cs="Arial"/>
          <w:u w:val="single"/>
          <w:rtl/>
        </w:rPr>
        <w:t>–</w:t>
      </w:r>
      <w:r>
        <w:rPr>
          <w:rFonts w:cs="Arial" w:hint="cs"/>
          <w:u w:val="single"/>
          <w:rtl/>
        </w:rPr>
        <w:t xml:space="preserve"> האם מצטרפים</w:t>
      </w:r>
      <w:r w:rsidRPr="00E62139">
        <w:rPr>
          <w:rFonts w:cs="Arial" w:hint="cs"/>
          <w:u w:val="single"/>
          <w:rtl/>
        </w:rPr>
        <w:t>:</w:t>
      </w:r>
    </w:p>
    <w:p w14:paraId="77D12260" w14:textId="77777777" w:rsidR="004B607F" w:rsidRDefault="004B607F" w:rsidP="004B0475">
      <w:pPr>
        <w:pStyle w:val="ac"/>
        <w:numPr>
          <w:ilvl w:val="0"/>
          <w:numId w:val="89"/>
        </w:numPr>
        <w:rPr>
          <w:rFonts w:cs="Arial"/>
        </w:rPr>
      </w:pPr>
      <w:r w:rsidRPr="00DB5C49">
        <w:rPr>
          <w:rFonts w:cs="Arial"/>
          <w:rtl/>
        </w:rPr>
        <w:t xml:space="preserve">רי"ף </w:t>
      </w:r>
      <w:r w:rsidRPr="00DB5C49">
        <w:rPr>
          <w:rFonts w:cs="Arial"/>
          <w:sz w:val="16"/>
          <w:szCs w:val="16"/>
          <w:rtl/>
        </w:rPr>
        <w:t xml:space="preserve">(עו.) </w:t>
      </w:r>
      <w:r w:rsidRPr="00DB5C49">
        <w:rPr>
          <w:rFonts w:cs="Arial"/>
          <w:rtl/>
        </w:rPr>
        <w:t xml:space="preserve">רמב"ם </w:t>
      </w:r>
      <w:r w:rsidRPr="00DB5C49">
        <w:rPr>
          <w:rFonts w:cs="Arial" w:hint="cs"/>
          <w:sz w:val="16"/>
          <w:szCs w:val="16"/>
          <w:rtl/>
        </w:rPr>
        <w:t>(</w:t>
      </w:r>
      <w:r w:rsidRPr="00DB5C49">
        <w:rPr>
          <w:rFonts w:cs="Arial"/>
          <w:sz w:val="16"/>
          <w:szCs w:val="16"/>
          <w:rtl/>
        </w:rPr>
        <w:t>פ"</w:t>
      </w:r>
      <w:r>
        <w:rPr>
          <w:rFonts w:cs="Arial" w:hint="cs"/>
          <w:sz w:val="16"/>
          <w:szCs w:val="16"/>
          <w:rtl/>
        </w:rPr>
        <w:t>ד</w:t>
      </w:r>
      <w:r w:rsidRPr="00DB5C49">
        <w:rPr>
          <w:rFonts w:cs="Arial"/>
          <w:sz w:val="16"/>
          <w:szCs w:val="16"/>
          <w:rtl/>
        </w:rPr>
        <w:t xml:space="preserve"> ה"ה)</w:t>
      </w:r>
      <w:r w:rsidRPr="00DB5C49">
        <w:rPr>
          <w:rFonts w:cs="Arial" w:hint="cs"/>
          <w:sz w:val="16"/>
          <w:szCs w:val="16"/>
          <w:rtl/>
        </w:rPr>
        <w:t xml:space="preserve"> </w:t>
      </w:r>
      <w:r w:rsidRPr="00DB5C49">
        <w:rPr>
          <w:rFonts w:cs="Arial"/>
          <w:rtl/>
        </w:rPr>
        <w:t xml:space="preserve">רא"ש </w:t>
      </w:r>
      <w:r w:rsidRPr="00DB5C49">
        <w:rPr>
          <w:rFonts w:cs="Arial"/>
          <w:sz w:val="16"/>
          <w:szCs w:val="16"/>
          <w:rtl/>
        </w:rPr>
        <w:t>(סי' ז)</w:t>
      </w:r>
      <w:r w:rsidRPr="00DB5C49">
        <w:rPr>
          <w:rFonts w:cs="Arial" w:hint="cs"/>
          <w:sz w:val="16"/>
          <w:szCs w:val="16"/>
          <w:rtl/>
        </w:rPr>
        <w:t xml:space="preserve"> </w:t>
      </w:r>
      <w:r>
        <w:rPr>
          <w:rFonts w:cs="Arial" w:hint="cs"/>
          <w:rtl/>
        </w:rPr>
        <w:t>ו</w:t>
      </w:r>
      <w:r w:rsidRPr="00E62139">
        <w:rPr>
          <w:rFonts w:cs="Arial" w:hint="cs"/>
          <w:rtl/>
        </w:rPr>
        <w:t>טור-</w:t>
      </w:r>
      <w:r w:rsidRPr="00E62139">
        <w:rPr>
          <w:rFonts w:cs="Arial"/>
          <w:rtl/>
        </w:rPr>
        <w:t xml:space="preserve"> אם העיד א</w:t>
      </w:r>
      <w:r>
        <w:rPr>
          <w:rFonts w:cs="Arial" w:hint="cs"/>
          <w:rtl/>
        </w:rPr>
        <w:t>'</w:t>
      </w:r>
      <w:r w:rsidRPr="00E62139">
        <w:rPr>
          <w:rFonts w:cs="Arial"/>
          <w:rtl/>
        </w:rPr>
        <w:t xml:space="preserve"> בכתב וא</w:t>
      </w:r>
      <w:r>
        <w:rPr>
          <w:rFonts w:cs="Arial" w:hint="cs"/>
          <w:rtl/>
        </w:rPr>
        <w:t>'</w:t>
      </w:r>
      <w:r w:rsidRPr="00E62139">
        <w:rPr>
          <w:rFonts w:cs="Arial"/>
          <w:rtl/>
        </w:rPr>
        <w:t xml:space="preserve"> בע"פ </w:t>
      </w:r>
      <w:r>
        <w:rPr>
          <w:rFonts w:cs="Arial" w:hint="cs"/>
          <w:rtl/>
        </w:rPr>
        <w:t xml:space="preserve">- </w:t>
      </w:r>
      <w:r w:rsidRPr="00E62139">
        <w:rPr>
          <w:rFonts w:cs="Arial"/>
          <w:rtl/>
        </w:rPr>
        <w:t>מצטרפין</w:t>
      </w:r>
      <w:r>
        <w:rPr>
          <w:rFonts w:cs="Arial" w:hint="cs"/>
          <w:rtl/>
        </w:rPr>
        <w:t>, כאמימר.</w:t>
      </w:r>
      <w:r w:rsidRPr="00E62139">
        <w:rPr>
          <w:rFonts w:cs="Arial"/>
          <w:rtl/>
        </w:rPr>
        <w:t xml:space="preserve"> </w:t>
      </w:r>
      <w:r w:rsidRPr="00DB5C49">
        <w:rPr>
          <w:rFonts w:cs="Arial" w:hint="cs"/>
          <w:color w:val="E36C0A" w:themeColor="accent6" w:themeShade="BF"/>
          <w:rtl/>
        </w:rPr>
        <w:t>(וכ"פ בשו"ע)</w:t>
      </w:r>
    </w:p>
    <w:p w14:paraId="2D20BA4E" w14:textId="77777777" w:rsidR="004B607F" w:rsidRPr="00DB5C49" w:rsidRDefault="004B607F" w:rsidP="004B607F">
      <w:pPr>
        <w:ind w:left="360"/>
        <w:rPr>
          <w:rFonts w:cs="Arial"/>
          <w:u w:val="dotted"/>
        </w:rPr>
      </w:pPr>
      <w:r>
        <w:rPr>
          <w:rFonts w:cs="Arial" w:hint="cs"/>
          <w:u w:val="dotted"/>
          <w:rtl/>
        </w:rPr>
        <w:t>כש</w:t>
      </w:r>
      <w:r w:rsidRPr="00DB5C49">
        <w:rPr>
          <w:rFonts w:cs="Arial" w:hint="cs"/>
          <w:u w:val="dotted"/>
          <w:rtl/>
        </w:rPr>
        <w:t>מצטרפי</w:t>
      </w:r>
      <w:r>
        <w:rPr>
          <w:rFonts w:cs="Arial" w:hint="cs"/>
          <w:u w:val="dotted"/>
          <w:rtl/>
        </w:rPr>
        <w:t>ם להעיד על הלואה</w:t>
      </w:r>
      <w:r>
        <w:rPr>
          <w:rFonts w:cs="Arial" w:hint="cs"/>
          <w:sz w:val="14"/>
          <w:szCs w:val="14"/>
          <w:u w:val="dotted"/>
          <w:rtl/>
        </w:rPr>
        <w:t xml:space="preserve"> </w:t>
      </w:r>
      <w:r w:rsidRPr="00DB5C49">
        <w:rPr>
          <w:rFonts w:cs="Arial" w:hint="cs"/>
          <w:sz w:val="16"/>
          <w:szCs w:val="16"/>
          <w:u w:val="dotted"/>
          <w:rtl/>
        </w:rPr>
        <w:t>(וכדו')</w:t>
      </w:r>
      <w:r w:rsidRPr="00DB5C49">
        <w:rPr>
          <w:rFonts w:cs="Arial" w:hint="cs"/>
          <w:u w:val="dotted"/>
          <w:rtl/>
        </w:rPr>
        <w:t xml:space="preserve"> </w:t>
      </w:r>
      <w:r w:rsidRPr="00DB5C49">
        <w:rPr>
          <w:rFonts w:cs="Arial"/>
          <w:u w:val="dotted"/>
          <w:rtl/>
        </w:rPr>
        <w:t>–</w:t>
      </w:r>
      <w:r w:rsidRPr="00DB5C49">
        <w:rPr>
          <w:rFonts w:cs="Arial" w:hint="cs"/>
          <w:u w:val="dotted"/>
          <w:rtl/>
        </w:rPr>
        <w:t xml:space="preserve"> הוא דוקא להיות כמלוה על פה </w:t>
      </w:r>
      <w:r w:rsidRPr="00DB5C49">
        <w:rPr>
          <w:rFonts w:cs="Arial" w:hint="cs"/>
          <w:sz w:val="16"/>
          <w:szCs w:val="16"/>
          <w:u w:val="dotted"/>
          <w:rtl/>
        </w:rPr>
        <w:t>{דלא גבי ממשעבדי</w:t>
      </w:r>
      <w:r>
        <w:rPr>
          <w:rFonts w:cs="Arial" w:hint="cs"/>
          <w:sz w:val="16"/>
          <w:szCs w:val="16"/>
          <w:u w:val="dotted"/>
          <w:rtl/>
        </w:rPr>
        <w:t>}</w:t>
      </w:r>
      <w:r w:rsidRPr="00DB5C49">
        <w:rPr>
          <w:rFonts w:cs="Arial" w:hint="cs"/>
          <w:u w:val="dotted"/>
          <w:rtl/>
        </w:rPr>
        <w:t xml:space="preserve"> או </w:t>
      </w:r>
      <w:r>
        <w:rPr>
          <w:rFonts w:cs="Arial" w:hint="cs"/>
          <w:u w:val="dotted"/>
          <w:rtl/>
        </w:rPr>
        <w:t>כמלוה ב</w:t>
      </w:r>
      <w:r w:rsidRPr="00DB5C49">
        <w:rPr>
          <w:rFonts w:cs="Arial" w:hint="cs"/>
          <w:u w:val="dotted"/>
          <w:rtl/>
        </w:rPr>
        <w:t xml:space="preserve">שטר: </w:t>
      </w:r>
    </w:p>
    <w:p w14:paraId="5B981EDF" w14:textId="77777777" w:rsidR="004B607F" w:rsidRDefault="004B607F" w:rsidP="004B0475">
      <w:pPr>
        <w:pStyle w:val="ac"/>
        <w:numPr>
          <w:ilvl w:val="0"/>
          <w:numId w:val="89"/>
        </w:numPr>
        <w:rPr>
          <w:rFonts w:cs="Arial"/>
        </w:rPr>
      </w:pPr>
      <w:r>
        <w:rPr>
          <w:rFonts w:cs="Arial" w:hint="cs"/>
          <w:rtl/>
        </w:rPr>
        <w:t xml:space="preserve">ר"י מיגאש </w:t>
      </w:r>
      <w:r>
        <w:rPr>
          <w:rFonts w:cs="Arial" w:hint="cs"/>
          <w:sz w:val="16"/>
          <w:szCs w:val="16"/>
          <w:rtl/>
        </w:rPr>
        <w:t>(כ"כ הרשב"א [בחידו' שם] בשמו)</w:t>
      </w:r>
      <w:r>
        <w:rPr>
          <w:rFonts w:cs="Arial" w:hint="cs"/>
          <w:rtl/>
        </w:rPr>
        <w:t xml:space="preserve"> </w:t>
      </w:r>
      <w:r w:rsidRPr="00DB5C49">
        <w:rPr>
          <w:rFonts w:cs="Arial"/>
          <w:rtl/>
        </w:rPr>
        <w:t xml:space="preserve">רמב"ן </w:t>
      </w:r>
      <w:r w:rsidRPr="00DB5C49">
        <w:rPr>
          <w:rFonts w:cs="Arial"/>
          <w:sz w:val="16"/>
          <w:szCs w:val="16"/>
          <w:rtl/>
        </w:rPr>
        <w:t xml:space="preserve">(שם ד"ה לא נצרכה) </w:t>
      </w:r>
      <w:r w:rsidRPr="00DB5C49">
        <w:rPr>
          <w:rFonts w:cs="Arial"/>
          <w:rtl/>
        </w:rPr>
        <w:t xml:space="preserve">רבינו יונה </w:t>
      </w:r>
      <w:r w:rsidRPr="00DB5C49">
        <w:rPr>
          <w:rFonts w:cs="Arial"/>
          <w:sz w:val="16"/>
          <w:szCs w:val="16"/>
          <w:rtl/>
        </w:rPr>
        <w:t xml:space="preserve">(שם ד"ה אלא) </w:t>
      </w:r>
      <w:r>
        <w:rPr>
          <w:rFonts w:cs="Arial" w:hint="cs"/>
          <w:rtl/>
        </w:rPr>
        <w:t xml:space="preserve">ריטב"א </w:t>
      </w:r>
      <w:r>
        <w:rPr>
          <w:rFonts w:cs="Arial" w:hint="cs"/>
          <w:sz w:val="16"/>
          <w:szCs w:val="16"/>
          <w:rtl/>
        </w:rPr>
        <w:t xml:space="preserve">(שם) </w:t>
      </w:r>
      <w:r>
        <w:rPr>
          <w:rFonts w:cs="Arial" w:hint="cs"/>
          <w:rtl/>
        </w:rPr>
        <w:t xml:space="preserve">וטור- </w:t>
      </w:r>
      <w:r w:rsidRPr="00E62139">
        <w:rPr>
          <w:rFonts w:cs="Arial"/>
          <w:rtl/>
        </w:rPr>
        <w:t>להיות מלוה על פה</w:t>
      </w:r>
      <w:r w:rsidRPr="00E62139">
        <w:rPr>
          <w:rFonts w:cs="Arial" w:hint="cs"/>
          <w:rtl/>
        </w:rPr>
        <w:t>.</w:t>
      </w:r>
    </w:p>
    <w:p w14:paraId="75E5375C" w14:textId="77777777" w:rsidR="004B607F" w:rsidRDefault="004B607F" w:rsidP="004B0475">
      <w:pPr>
        <w:pStyle w:val="ac"/>
        <w:numPr>
          <w:ilvl w:val="0"/>
          <w:numId w:val="89"/>
        </w:numPr>
        <w:rPr>
          <w:rFonts w:cs="Arial"/>
        </w:rPr>
      </w:pPr>
      <w:r>
        <w:rPr>
          <w:rFonts w:cs="Arial" w:hint="cs"/>
          <w:rtl/>
        </w:rPr>
        <w:t xml:space="preserve">רבנו גרשום </w:t>
      </w:r>
      <w:r w:rsidRPr="00DB5C49">
        <w:rPr>
          <w:rFonts w:cs="Arial"/>
          <w:rtl/>
        </w:rPr>
        <w:t>רשב"ם</w:t>
      </w:r>
      <w:r>
        <w:rPr>
          <w:rStyle w:val="ab"/>
          <w:rFonts w:cs="Arial"/>
          <w:rtl/>
        </w:rPr>
        <w:footnoteReference w:id="1720"/>
      </w:r>
      <w:r>
        <w:rPr>
          <w:rFonts w:cs="Arial" w:hint="cs"/>
          <w:rtl/>
        </w:rPr>
        <w:t xml:space="preserve"> בהעי"ט</w:t>
      </w:r>
      <w:r w:rsidRPr="00D002C7">
        <w:rPr>
          <w:rFonts w:cs="Arial"/>
          <w:rtl/>
        </w:rPr>
        <w:t xml:space="preserve"> </w:t>
      </w:r>
      <w:r>
        <w:rPr>
          <w:rFonts w:cs="Arial" w:hint="cs"/>
          <w:rtl/>
        </w:rPr>
        <w:t>ו</w:t>
      </w:r>
      <w:r w:rsidRPr="00DB5C49">
        <w:rPr>
          <w:rFonts w:cs="Arial"/>
          <w:rtl/>
        </w:rPr>
        <w:t>נמוק</w:t>
      </w:r>
      <w:r w:rsidRPr="00DB5C49">
        <w:rPr>
          <w:rFonts w:cs="Arial" w:hint="cs"/>
          <w:rtl/>
        </w:rPr>
        <w:t>"</w:t>
      </w:r>
      <w:r w:rsidRPr="00DB5C49">
        <w:rPr>
          <w:rFonts w:cs="Arial"/>
          <w:rtl/>
        </w:rPr>
        <w:t>י</w:t>
      </w:r>
      <w:r>
        <w:rPr>
          <w:rStyle w:val="ab"/>
          <w:rFonts w:cs="Arial"/>
          <w:rtl/>
        </w:rPr>
        <w:footnoteReference w:id="1721"/>
      </w:r>
      <w:r>
        <w:rPr>
          <w:rFonts w:cs="Arial" w:hint="cs"/>
          <w:rtl/>
        </w:rPr>
        <w:t>-</w:t>
      </w:r>
      <w:r w:rsidRPr="00DB5C49">
        <w:rPr>
          <w:rFonts w:cs="Arial"/>
          <w:rtl/>
        </w:rPr>
        <w:t xml:space="preserve"> למיגבי ביה ממשעבדי</w:t>
      </w:r>
      <w:r>
        <w:rPr>
          <w:rStyle w:val="ab"/>
          <w:rFonts w:cs="Arial"/>
          <w:rtl/>
        </w:rPr>
        <w:footnoteReference w:id="1722"/>
      </w:r>
      <w:r>
        <w:rPr>
          <w:rFonts w:cs="Arial" w:hint="cs"/>
          <w:rtl/>
        </w:rPr>
        <w:t>.</w:t>
      </w:r>
    </w:p>
    <w:p w14:paraId="7589C944" w14:textId="77777777" w:rsidR="004B607F" w:rsidRPr="00DB5C49" w:rsidRDefault="004B607F" w:rsidP="004B607F">
      <w:pPr>
        <w:ind w:left="360"/>
        <w:rPr>
          <w:rFonts w:cs="Arial"/>
          <w:u w:val="dotted"/>
        </w:rPr>
      </w:pPr>
      <w:r w:rsidRPr="00DB5C49">
        <w:rPr>
          <w:rFonts w:cs="Arial" w:hint="cs"/>
          <w:u w:val="dotted"/>
          <w:rtl/>
        </w:rPr>
        <w:t xml:space="preserve">ומה הדין אם אמר העד שמעיד </w:t>
      </w:r>
      <w:r>
        <w:rPr>
          <w:rFonts w:cs="Arial" w:hint="cs"/>
          <w:u w:val="dotted"/>
          <w:rtl/>
        </w:rPr>
        <w:t>ב</w:t>
      </w:r>
      <w:r w:rsidRPr="00DB5C49">
        <w:rPr>
          <w:rFonts w:cs="Arial" w:hint="cs"/>
          <w:u w:val="dotted"/>
          <w:rtl/>
        </w:rPr>
        <w:t xml:space="preserve">על פה </w:t>
      </w:r>
      <w:r>
        <w:rPr>
          <w:rFonts w:cs="Arial" w:hint="cs"/>
          <w:u w:val="dotted"/>
          <w:rtl/>
        </w:rPr>
        <w:t xml:space="preserve">אומר שקנה </w:t>
      </w:r>
      <w:r w:rsidRPr="00DB5C49">
        <w:rPr>
          <w:rFonts w:cs="Arial" w:hint="cs"/>
          <w:u w:val="dotted"/>
          <w:rtl/>
        </w:rPr>
        <w:t>מידו</w:t>
      </w:r>
      <w:r>
        <w:rPr>
          <w:rFonts w:cs="Arial" w:hint="cs"/>
          <w:u w:val="dotted"/>
          <w:rtl/>
        </w:rPr>
        <w:t xml:space="preserve"> על דבר זה</w:t>
      </w:r>
      <w:r w:rsidRPr="002321DF">
        <w:rPr>
          <w:rFonts w:cs="Arial" w:hint="cs"/>
          <w:sz w:val="16"/>
          <w:szCs w:val="16"/>
          <w:u w:val="dotted"/>
          <w:rtl/>
        </w:rPr>
        <w:t xml:space="preserve"> </w:t>
      </w:r>
      <w:r>
        <w:rPr>
          <w:rFonts w:cs="Arial" w:hint="cs"/>
          <w:sz w:val="16"/>
          <w:szCs w:val="16"/>
          <w:u w:val="dotted"/>
          <w:rtl/>
        </w:rPr>
        <w:t>(</w:t>
      </w:r>
      <w:r w:rsidRPr="002321DF">
        <w:rPr>
          <w:rFonts w:cs="Arial" w:hint="cs"/>
          <w:sz w:val="16"/>
          <w:szCs w:val="16"/>
          <w:u w:val="dotted"/>
          <w:rtl/>
        </w:rPr>
        <w:t>ולא ביקש ממנ</w:t>
      </w:r>
      <w:r>
        <w:rPr>
          <w:rFonts w:cs="Arial" w:hint="cs"/>
          <w:sz w:val="16"/>
          <w:szCs w:val="16"/>
          <w:u w:val="dotted"/>
          <w:rtl/>
        </w:rPr>
        <w:t>ו הבע"ד</w:t>
      </w:r>
      <w:r w:rsidRPr="002321DF">
        <w:rPr>
          <w:rFonts w:cs="Arial" w:hint="cs"/>
          <w:sz w:val="16"/>
          <w:szCs w:val="16"/>
          <w:u w:val="dotted"/>
          <w:rtl/>
        </w:rPr>
        <w:t xml:space="preserve"> לכתוב</w:t>
      </w:r>
      <w:r>
        <w:rPr>
          <w:rFonts w:cs="Arial" w:hint="cs"/>
          <w:sz w:val="16"/>
          <w:szCs w:val="16"/>
          <w:u w:val="dotted"/>
          <w:rtl/>
        </w:rPr>
        <w:t>)</w:t>
      </w:r>
      <w:r w:rsidRPr="00DB5C49">
        <w:rPr>
          <w:rFonts w:cs="Arial" w:hint="cs"/>
          <w:u w:val="dotted"/>
          <w:rtl/>
        </w:rPr>
        <w:t>:</w:t>
      </w:r>
    </w:p>
    <w:p w14:paraId="41FB37DB" w14:textId="77777777" w:rsidR="004B607F" w:rsidRPr="00DB5C49" w:rsidRDefault="004B607F" w:rsidP="004B0475">
      <w:pPr>
        <w:pStyle w:val="ac"/>
        <w:numPr>
          <w:ilvl w:val="0"/>
          <w:numId w:val="89"/>
        </w:numPr>
        <w:rPr>
          <w:rFonts w:cs="Arial"/>
          <w:rtl/>
        </w:rPr>
      </w:pPr>
      <w:r w:rsidRPr="00DB5C49">
        <w:rPr>
          <w:rFonts w:cs="Arial"/>
          <w:rtl/>
        </w:rPr>
        <w:t xml:space="preserve">רמב"ם </w:t>
      </w:r>
      <w:r w:rsidRPr="00DB5C49">
        <w:rPr>
          <w:rFonts w:cs="Arial"/>
          <w:sz w:val="16"/>
          <w:szCs w:val="16"/>
          <w:rtl/>
        </w:rPr>
        <w:t>(</w:t>
      </w:r>
      <w:r>
        <w:rPr>
          <w:rFonts w:cs="Arial" w:hint="cs"/>
          <w:sz w:val="16"/>
          <w:szCs w:val="16"/>
          <w:rtl/>
        </w:rPr>
        <w:t>פ"ד</w:t>
      </w:r>
      <w:r w:rsidRPr="00DB5C49">
        <w:rPr>
          <w:rFonts w:cs="Arial"/>
          <w:sz w:val="16"/>
          <w:szCs w:val="16"/>
          <w:rtl/>
        </w:rPr>
        <w:t xml:space="preserve"> ה"ה)</w:t>
      </w:r>
      <w:r>
        <w:rPr>
          <w:rFonts w:cs="Arial" w:hint="cs"/>
          <w:rtl/>
        </w:rPr>
        <w:t>-</w:t>
      </w:r>
      <w:r w:rsidRPr="00DB5C49">
        <w:rPr>
          <w:rFonts w:cs="Arial"/>
          <w:rtl/>
        </w:rPr>
        <w:t xml:space="preserve"> אם אמר זה שלא כתב עדותו </w:t>
      </w:r>
      <w:r>
        <w:rPr>
          <w:rFonts w:cs="Arial" w:hint="cs"/>
          <w:rtl/>
        </w:rPr>
        <w:t>'</w:t>
      </w:r>
      <w:r w:rsidRPr="00DB5C49">
        <w:rPr>
          <w:rFonts w:cs="Arial"/>
          <w:rtl/>
        </w:rPr>
        <w:t>אני קניתי מידו על דבר זה ולא בא המלוה הזה ולא שאל ממני לכתוב</w:t>
      </w:r>
      <w:r>
        <w:rPr>
          <w:rFonts w:cs="Arial" w:hint="cs"/>
          <w:rtl/>
        </w:rPr>
        <w:t>'</w:t>
      </w:r>
      <w:r w:rsidRPr="00DB5C49">
        <w:rPr>
          <w:rFonts w:cs="Arial"/>
          <w:rtl/>
        </w:rPr>
        <w:t xml:space="preserve"> </w:t>
      </w:r>
      <w:r w:rsidRPr="00DB5C49">
        <w:rPr>
          <w:rFonts w:cs="Arial" w:hint="cs"/>
          <w:rtl/>
        </w:rPr>
        <w:t xml:space="preserve">- </w:t>
      </w:r>
      <w:r w:rsidRPr="00DB5C49">
        <w:rPr>
          <w:rFonts w:cs="Arial"/>
          <w:rtl/>
        </w:rPr>
        <w:t>שניהם מצטרפין לעשות המלוה בשטר ואינו יכול לומר פרעתי</w:t>
      </w:r>
      <w:r>
        <w:rPr>
          <w:rStyle w:val="ab"/>
          <w:rFonts w:cs="Arial"/>
          <w:rtl/>
        </w:rPr>
        <w:footnoteReference w:id="1723"/>
      </w:r>
      <w:r w:rsidRPr="00DB5C49">
        <w:rPr>
          <w:rFonts w:cs="Arial"/>
          <w:rtl/>
        </w:rPr>
        <w:t xml:space="preserve">. </w:t>
      </w:r>
      <w:r w:rsidRPr="00DB5C49">
        <w:rPr>
          <w:rFonts w:cs="Arial" w:hint="cs"/>
          <w:color w:val="E36C0A" w:themeColor="accent6" w:themeShade="BF"/>
          <w:rtl/>
        </w:rPr>
        <w:t>(וכ"פ בשו"ע)</w:t>
      </w:r>
    </w:p>
    <w:p w14:paraId="5D9A93AA" w14:textId="77777777" w:rsidR="004B607F" w:rsidRPr="00DB5C49" w:rsidRDefault="004B607F" w:rsidP="004B607F">
      <w:pPr>
        <w:rPr>
          <w:rFonts w:cs="Arial"/>
          <w:sz w:val="16"/>
          <w:szCs w:val="16"/>
          <w:u w:val="single"/>
          <w:rtl/>
        </w:rPr>
      </w:pPr>
      <w:r w:rsidRPr="00DB5C49">
        <w:rPr>
          <w:rFonts w:cs="Arial" w:hint="cs"/>
          <w:u w:val="single"/>
          <w:rtl/>
        </w:rPr>
        <w:t xml:space="preserve">האם אפשר לחייב שבועה ע"י עד אחד </w:t>
      </w:r>
      <w:r w:rsidRPr="00DB5C49">
        <w:rPr>
          <w:rFonts w:cs="Arial" w:hint="cs"/>
          <w:b/>
          <w:bCs/>
          <w:u w:val="single"/>
          <w:rtl/>
        </w:rPr>
        <w:t>שבכתב</w:t>
      </w:r>
      <w:r w:rsidRPr="00DB5C49">
        <w:rPr>
          <w:rFonts w:cs="Arial" w:hint="cs"/>
          <w:u w:val="single"/>
          <w:rtl/>
        </w:rPr>
        <w:t>:</w:t>
      </w:r>
      <w:r w:rsidRPr="00DB5C49">
        <w:rPr>
          <w:rFonts w:cs="Arial" w:hint="cs"/>
          <w:sz w:val="16"/>
          <w:szCs w:val="16"/>
          <w:u w:val="single"/>
          <w:rtl/>
        </w:rPr>
        <w:t xml:space="preserve"> </w:t>
      </w:r>
    </w:p>
    <w:p w14:paraId="0E1FC910" w14:textId="77777777" w:rsidR="004B607F" w:rsidRDefault="004B607F" w:rsidP="004B0475">
      <w:pPr>
        <w:pStyle w:val="ac"/>
        <w:numPr>
          <w:ilvl w:val="0"/>
          <w:numId w:val="89"/>
        </w:numPr>
        <w:rPr>
          <w:rFonts w:cs="Arial"/>
        </w:rPr>
      </w:pPr>
      <w:r w:rsidRPr="00DB5C49">
        <w:rPr>
          <w:rFonts w:cs="Arial"/>
          <w:rtl/>
        </w:rPr>
        <w:t>נמוק</w:t>
      </w:r>
      <w:r w:rsidRPr="00DB5C49">
        <w:rPr>
          <w:rFonts w:cs="Arial" w:hint="cs"/>
          <w:rtl/>
        </w:rPr>
        <w:t>"</w:t>
      </w:r>
      <w:r w:rsidRPr="00DB5C49">
        <w:rPr>
          <w:rFonts w:cs="Arial"/>
          <w:rtl/>
        </w:rPr>
        <w:t xml:space="preserve">י </w:t>
      </w:r>
      <w:r w:rsidRPr="00DB5C49">
        <w:rPr>
          <w:rFonts w:cs="Arial"/>
          <w:sz w:val="16"/>
          <w:szCs w:val="16"/>
          <w:rtl/>
        </w:rPr>
        <w:t>(עו</w:t>
      </w:r>
      <w:r w:rsidRPr="00DB5C49">
        <w:rPr>
          <w:rFonts w:cs="Arial" w:hint="cs"/>
          <w:sz w:val="16"/>
          <w:szCs w:val="16"/>
          <w:rtl/>
        </w:rPr>
        <w:t>.</w:t>
      </w:r>
      <w:r w:rsidRPr="00DB5C49">
        <w:rPr>
          <w:rFonts w:cs="Arial"/>
          <w:sz w:val="16"/>
          <w:szCs w:val="16"/>
          <w:rtl/>
        </w:rPr>
        <w:t>)</w:t>
      </w:r>
      <w:r>
        <w:rPr>
          <w:rFonts w:cs="Arial" w:hint="cs"/>
          <w:rtl/>
        </w:rPr>
        <w:t xml:space="preserve">- </w:t>
      </w:r>
      <w:r w:rsidRPr="00DB5C49">
        <w:rPr>
          <w:rFonts w:cs="Arial"/>
          <w:rtl/>
        </w:rPr>
        <w:t xml:space="preserve">דעת הגאונים והרמב"ן </w:t>
      </w:r>
      <w:r w:rsidRPr="00DB5C49">
        <w:rPr>
          <w:rFonts w:cs="Arial"/>
          <w:sz w:val="16"/>
          <w:szCs w:val="16"/>
          <w:rtl/>
        </w:rPr>
        <w:t xml:space="preserve">(שם ע"ב ד"ה ובהלכות) </w:t>
      </w:r>
      <w:r w:rsidRPr="00DB5C49">
        <w:rPr>
          <w:rFonts w:cs="Arial"/>
          <w:rtl/>
        </w:rPr>
        <w:t xml:space="preserve">והרשב"א </w:t>
      </w:r>
      <w:r w:rsidRPr="00DB5C49">
        <w:rPr>
          <w:rFonts w:cs="Arial"/>
          <w:sz w:val="16"/>
          <w:szCs w:val="16"/>
          <w:rtl/>
        </w:rPr>
        <w:t xml:space="preserve">(שם ע"א ד"ה ומכל מקום) </w:t>
      </w:r>
      <w:r w:rsidRPr="00DB5C49">
        <w:rPr>
          <w:rFonts w:cs="Arial"/>
          <w:rtl/>
        </w:rPr>
        <w:t>דכי היכי שהכשירו לצרף הוא הדין לחייב שבועה לומר שעד אחד בכתב מחייב שבועה כמו עד אחד על פה</w:t>
      </w:r>
      <w:r w:rsidRPr="00DB5C49">
        <w:rPr>
          <w:rFonts w:cs="Arial" w:hint="cs"/>
          <w:rtl/>
        </w:rPr>
        <w:t>,</w:t>
      </w:r>
      <w:r w:rsidRPr="00DB5C49">
        <w:rPr>
          <w:rFonts w:cs="Arial"/>
          <w:rtl/>
        </w:rPr>
        <w:t xml:space="preserve"> שהרי בגמרא דילן לא חלקו בדבר</w:t>
      </w:r>
      <w:r>
        <w:rPr>
          <w:rStyle w:val="ab"/>
          <w:rFonts w:cs="Arial"/>
          <w:rtl/>
        </w:rPr>
        <w:footnoteReference w:id="1724"/>
      </w:r>
      <w:r w:rsidRPr="00DB5C49">
        <w:rPr>
          <w:rFonts w:cs="Arial"/>
          <w:rtl/>
        </w:rPr>
        <w:t xml:space="preserve">. </w:t>
      </w:r>
    </w:p>
    <w:p w14:paraId="7471184B" w14:textId="77777777" w:rsidR="004B607F" w:rsidRPr="003024E5" w:rsidRDefault="004B607F" w:rsidP="004B607F">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31BDD8E7" w14:textId="77777777" w:rsidR="004B607F" w:rsidRDefault="004B607F" w:rsidP="004B607F">
      <w:pPr>
        <w:rPr>
          <w:rtl/>
        </w:rPr>
      </w:pPr>
      <w:r>
        <w:rPr>
          <w:rFonts w:cs="Arial"/>
          <w:rtl/>
        </w:rPr>
        <w:t>וכן אם היה עד אחד בכתב ועד אחד בעל פה, מצטרפין</w:t>
      </w:r>
      <w:r>
        <w:rPr>
          <w:rStyle w:val="ab"/>
          <w:rFonts w:cs="Arial"/>
          <w:rtl/>
        </w:rPr>
        <w:footnoteReference w:id="1725"/>
      </w:r>
      <w:r>
        <w:rPr>
          <w:rFonts w:cs="Arial"/>
          <w:rtl/>
        </w:rPr>
        <w:t>. ואם אמר זה שלא כתב עדותו: אני קניתי מידו על דבר זה ולא בא המלוה הזה ולא שאל ממני לכתוב, שניהם מצטרפים לעשות המלוה בשטר</w:t>
      </w:r>
      <w:r>
        <w:rPr>
          <w:rStyle w:val="ab"/>
          <w:rFonts w:cs="Arial"/>
          <w:rtl/>
        </w:rPr>
        <w:footnoteReference w:id="1726"/>
      </w:r>
      <w:r>
        <w:rPr>
          <w:rFonts w:cs="Arial"/>
          <w:rtl/>
        </w:rPr>
        <w:t xml:space="preserve">, ואינו יכול לומר: פרעתי. </w:t>
      </w:r>
      <w:r w:rsidRPr="00532E67">
        <w:rPr>
          <w:rFonts w:cs="Arial"/>
          <w:sz w:val="18"/>
          <w:szCs w:val="18"/>
          <w:rtl/>
        </w:rPr>
        <w:t>(ועיין לקמן ריש סימן נ"א).</w:t>
      </w:r>
      <w:r>
        <w:rPr>
          <w:rFonts w:cs="Arial"/>
          <w:rtl/>
        </w:rPr>
        <w:t xml:space="preserve"> </w:t>
      </w:r>
    </w:p>
    <w:p w14:paraId="5B36DFDF" w14:textId="77777777" w:rsidR="004B607F" w:rsidRDefault="004B607F" w:rsidP="004B607F">
      <w:pPr>
        <w:rPr>
          <w:rtl/>
        </w:rPr>
      </w:pPr>
    </w:p>
    <w:p w14:paraId="63375290" w14:textId="77777777" w:rsidR="004B607F" w:rsidRPr="009C219E" w:rsidRDefault="004B607F" w:rsidP="004B607F">
      <w:pPr>
        <w:pStyle w:val="2"/>
        <w:rPr>
          <w:rtl/>
        </w:rPr>
      </w:pPr>
      <w:bookmarkStart w:id="245" w:name="_Toc24883716"/>
      <w:r w:rsidRPr="009C219E">
        <w:rPr>
          <w:rtl/>
        </w:rPr>
        <w:t>סעיף יא</w:t>
      </w:r>
      <w:r w:rsidRPr="009C219E">
        <w:rPr>
          <w:rFonts w:hint="cs"/>
          <w:rtl/>
        </w:rPr>
        <w:t>:</w:t>
      </w:r>
      <w:r w:rsidRPr="009C219E">
        <w:rPr>
          <w:rFonts w:cs="Arial" w:hint="cs"/>
          <w:rtl/>
        </w:rPr>
        <w:t xml:space="preserve"> שני עדים שהעיד כל אחד מהם בב"ד אחר</w:t>
      </w:r>
      <w:r>
        <w:rPr>
          <w:rFonts w:hint="cs"/>
          <w:rtl/>
        </w:rPr>
        <w:t>.</w:t>
      </w:r>
      <w:bookmarkEnd w:id="245"/>
    </w:p>
    <w:p w14:paraId="5C67555F" w14:textId="77777777" w:rsidR="004B607F" w:rsidRDefault="004B607F" w:rsidP="004B607F">
      <w:pPr>
        <w:rPr>
          <w:rFonts w:cs="Arial"/>
          <w:rtl/>
        </w:rPr>
      </w:pPr>
      <w:r w:rsidRPr="009C219E">
        <w:rPr>
          <w:rFonts w:cs="Arial"/>
          <w:b/>
          <w:bCs/>
          <w:rtl/>
        </w:rPr>
        <w:t>בב</w:t>
      </w:r>
      <w:r w:rsidRPr="009C219E">
        <w:rPr>
          <w:rFonts w:cs="Arial" w:hint="cs"/>
          <w:b/>
          <w:bCs/>
          <w:rtl/>
        </w:rPr>
        <w:t>א בתרא</w:t>
      </w:r>
      <w:r w:rsidRPr="009C219E">
        <w:rPr>
          <w:rFonts w:cs="Arial"/>
          <w:b/>
          <w:bCs/>
          <w:sz w:val="16"/>
          <w:szCs w:val="16"/>
          <w:rtl/>
        </w:rPr>
        <w:t xml:space="preserve"> </w:t>
      </w:r>
      <w:r w:rsidRPr="009C219E">
        <w:rPr>
          <w:rFonts w:cs="Arial" w:hint="cs"/>
          <w:b/>
          <w:bCs/>
          <w:sz w:val="16"/>
          <w:szCs w:val="16"/>
          <w:rtl/>
        </w:rPr>
        <w:t xml:space="preserve">(פרק גט פשוט) </w:t>
      </w:r>
      <w:r w:rsidRPr="009C219E">
        <w:rPr>
          <w:rFonts w:cs="Arial"/>
          <w:b/>
          <w:bCs/>
          <w:rtl/>
        </w:rPr>
        <w:t>קסה</w:t>
      </w:r>
      <w:r>
        <w:rPr>
          <w:rStyle w:val="ab"/>
          <w:rFonts w:cs="Arial"/>
          <w:b/>
          <w:bCs/>
          <w:rtl/>
        </w:rPr>
        <w:footnoteReference w:id="1727"/>
      </w:r>
      <w:r w:rsidRPr="009C219E">
        <w:rPr>
          <w:rFonts w:cs="Arial" w:hint="cs"/>
          <w:b/>
          <w:bCs/>
          <w:rtl/>
        </w:rPr>
        <w:t xml:space="preserve"> ע"ב</w:t>
      </w:r>
      <w:r w:rsidRPr="009C219E">
        <w:rPr>
          <w:rFonts w:cs="Arial"/>
          <w:b/>
          <w:bCs/>
          <w:rtl/>
        </w:rPr>
        <w:t>:</w:t>
      </w:r>
      <w:r>
        <w:rPr>
          <w:rFonts w:cs="Arial" w:hint="cs"/>
          <w:rtl/>
        </w:rPr>
        <w:t xml:space="preserve"> </w:t>
      </w:r>
      <w:r w:rsidRPr="009C219E">
        <w:rPr>
          <w:rFonts w:cs="Arial"/>
          <w:u w:val="single"/>
          <w:rtl/>
        </w:rPr>
        <w:t>שלחו ליה חברייא לרבי ירמיה</w:t>
      </w:r>
      <w:r w:rsidRPr="009C219E">
        <w:rPr>
          <w:rFonts w:cs="Arial"/>
          <w:rtl/>
        </w:rPr>
        <w:t>: שנים שהעידו אחד בבית דין זה ואחד בבית דין זה, מהו שיבואו בית דין אצל בית דין ויצטרפו? אליבא דתנא קמא דר' נתן</w:t>
      </w:r>
      <w:r>
        <w:rPr>
          <w:rStyle w:val="ab"/>
          <w:rFonts w:cs="Arial"/>
          <w:rtl/>
        </w:rPr>
        <w:footnoteReference w:id="1728"/>
      </w:r>
      <w:r w:rsidRPr="009C219E">
        <w:rPr>
          <w:rFonts w:cs="Arial"/>
          <w:rtl/>
        </w:rPr>
        <w:t xml:space="preserve"> לא תיבעי לך, דאפילו בחד בית דינא נמי </w:t>
      </w:r>
      <w:r w:rsidRPr="009C219E">
        <w:rPr>
          <w:rFonts w:cs="Arial"/>
          <w:rtl/>
        </w:rPr>
        <w:lastRenderedPageBreak/>
        <w:t xml:space="preserve">לא מצטרפי, אלא כי תיבעי לך - אליבא דר' נתן, בחד בי דינא הוא דמצטרפי, אבל בתרי בי דינא לא מצטרפי, או דלמא לא שנא? </w:t>
      </w:r>
      <w:r w:rsidRPr="009C219E">
        <w:rPr>
          <w:rFonts w:cs="Arial"/>
          <w:u w:val="single"/>
          <w:rtl/>
        </w:rPr>
        <w:t>ושלח להו</w:t>
      </w:r>
      <w:r w:rsidRPr="009C219E">
        <w:rPr>
          <w:rFonts w:cs="Arial"/>
          <w:rtl/>
        </w:rPr>
        <w:t>: אני איני כדיי שאתם שלחתם לי, אלא כך דעת תלמידכם נוטה - שיצטרפו</w:t>
      </w:r>
      <w:r>
        <w:rPr>
          <w:rStyle w:val="ab"/>
          <w:rFonts w:cs="Arial"/>
          <w:rtl/>
        </w:rPr>
        <w:footnoteReference w:id="1729"/>
      </w:r>
      <w:r>
        <w:rPr>
          <w:rFonts w:cs="Arial" w:hint="cs"/>
          <w:rtl/>
        </w:rPr>
        <w:t>.</w:t>
      </w:r>
    </w:p>
    <w:p w14:paraId="03430F68" w14:textId="77777777" w:rsidR="004B607F" w:rsidRPr="009C219E" w:rsidRDefault="004B607F" w:rsidP="004B607F">
      <w:pPr>
        <w:rPr>
          <w:rFonts w:cs="Arial"/>
          <w:u w:val="single"/>
          <w:rtl/>
        </w:rPr>
      </w:pPr>
      <w:r w:rsidRPr="009C219E">
        <w:rPr>
          <w:rFonts w:cs="Arial" w:hint="cs"/>
          <w:u w:val="single"/>
          <w:rtl/>
        </w:rPr>
        <w:t xml:space="preserve">שני עדים שהעיד כל אחד מהם בב"ד אחר </w:t>
      </w:r>
      <w:r w:rsidRPr="009C219E">
        <w:rPr>
          <w:rFonts w:cs="Arial"/>
          <w:u w:val="single"/>
          <w:rtl/>
        </w:rPr>
        <w:t>–</w:t>
      </w:r>
      <w:r w:rsidRPr="009C219E">
        <w:rPr>
          <w:rFonts w:cs="Arial" w:hint="cs"/>
          <w:u w:val="single"/>
          <w:rtl/>
        </w:rPr>
        <w:t xml:space="preserve"> מהו שיצטרפו שני בתי הדין לדון בעדותם:</w:t>
      </w:r>
    </w:p>
    <w:p w14:paraId="3EB2BFDB" w14:textId="77777777" w:rsidR="004B607F" w:rsidRDefault="004B607F" w:rsidP="004B0475">
      <w:pPr>
        <w:pStyle w:val="ac"/>
        <w:numPr>
          <w:ilvl w:val="0"/>
          <w:numId w:val="89"/>
        </w:numPr>
        <w:rPr>
          <w:rFonts w:cs="Arial"/>
        </w:rPr>
      </w:pPr>
      <w:r w:rsidRPr="009C219E">
        <w:rPr>
          <w:rFonts w:cs="Arial" w:hint="cs"/>
          <w:rtl/>
        </w:rPr>
        <w:t>טור-</w:t>
      </w:r>
      <w:r w:rsidRPr="009C219E">
        <w:rPr>
          <w:rFonts w:cs="Arial"/>
          <w:rtl/>
        </w:rPr>
        <w:t xml:space="preserve"> העיד אחד בבית דין זה והשני בב"ד אחר </w:t>
      </w:r>
      <w:r>
        <w:rPr>
          <w:rFonts w:cs="Arial" w:hint="cs"/>
          <w:rtl/>
        </w:rPr>
        <w:t xml:space="preserve">- </w:t>
      </w:r>
      <w:r w:rsidRPr="009C219E">
        <w:rPr>
          <w:rFonts w:cs="Arial"/>
          <w:rtl/>
        </w:rPr>
        <w:t>שני בתי הדינין מצטרפין עדותן</w:t>
      </w:r>
      <w:r w:rsidRPr="009C219E">
        <w:rPr>
          <w:rFonts w:cs="Arial" w:hint="cs"/>
          <w:rtl/>
        </w:rPr>
        <w:t>.</w:t>
      </w:r>
      <w:r w:rsidRPr="009C219E">
        <w:rPr>
          <w:rFonts w:cs="Arial" w:hint="cs"/>
          <w:color w:val="E36C0A" w:themeColor="accent6" w:themeShade="BF"/>
          <w:rtl/>
        </w:rPr>
        <w:t xml:space="preserve"> </w:t>
      </w:r>
      <w:r w:rsidRPr="00DB5C49">
        <w:rPr>
          <w:rFonts w:cs="Arial" w:hint="cs"/>
          <w:color w:val="E36C0A" w:themeColor="accent6" w:themeShade="BF"/>
          <w:rtl/>
        </w:rPr>
        <w:t>(וכ"פ בשו"ע)</w:t>
      </w:r>
    </w:p>
    <w:p w14:paraId="6A76FB71" w14:textId="77777777" w:rsidR="004B607F" w:rsidRPr="009C219E" w:rsidRDefault="004B607F" w:rsidP="004B607F">
      <w:pPr>
        <w:ind w:left="360"/>
        <w:rPr>
          <w:rFonts w:cs="Arial"/>
          <w:u w:val="dotted"/>
          <w:rtl/>
        </w:rPr>
      </w:pPr>
      <w:r>
        <w:rPr>
          <w:rFonts w:cs="Arial" w:hint="cs"/>
          <w:u w:val="dotted"/>
          <w:rtl/>
        </w:rPr>
        <w:t xml:space="preserve">ומה הדין אם שני אנשים שמעו את חקירת שני העדים </w:t>
      </w:r>
      <w:r>
        <w:rPr>
          <w:rFonts w:cs="Arial" w:hint="cs"/>
          <w:sz w:val="16"/>
          <w:szCs w:val="16"/>
          <w:u w:val="dotted"/>
          <w:rtl/>
        </w:rPr>
        <w:t>(כשכל אחד מהעדים העיד בב"ד אחר, כנ"ל)</w:t>
      </w:r>
      <w:r>
        <w:rPr>
          <w:rFonts w:cs="Arial" w:hint="cs"/>
          <w:u w:val="dotted"/>
          <w:rtl/>
        </w:rPr>
        <w:t xml:space="preserve"> בשתי הבתי דין:</w:t>
      </w:r>
    </w:p>
    <w:p w14:paraId="71990872" w14:textId="77777777" w:rsidR="004B607F" w:rsidRPr="009C219E" w:rsidRDefault="004B607F" w:rsidP="004B0475">
      <w:pPr>
        <w:pStyle w:val="ac"/>
        <w:numPr>
          <w:ilvl w:val="0"/>
          <w:numId w:val="89"/>
        </w:numPr>
        <w:rPr>
          <w:rtl/>
        </w:rPr>
      </w:pPr>
      <w:r w:rsidRPr="009C219E">
        <w:rPr>
          <w:rFonts w:cs="Arial"/>
          <w:rtl/>
        </w:rPr>
        <w:t xml:space="preserve">מרדכי ישן </w:t>
      </w:r>
      <w:r w:rsidRPr="009C219E">
        <w:rPr>
          <w:rFonts w:cs="Arial" w:hint="cs"/>
          <w:sz w:val="16"/>
          <w:szCs w:val="16"/>
          <w:rtl/>
        </w:rPr>
        <w:t>(</w:t>
      </w:r>
      <w:r w:rsidRPr="009C219E">
        <w:rPr>
          <w:rFonts w:cs="Arial"/>
          <w:sz w:val="16"/>
          <w:szCs w:val="16"/>
          <w:rtl/>
        </w:rPr>
        <w:t>פרק גט פשוט</w:t>
      </w:r>
      <w:r w:rsidRPr="009C219E">
        <w:rPr>
          <w:rFonts w:cs="Arial" w:hint="cs"/>
          <w:sz w:val="16"/>
          <w:szCs w:val="16"/>
          <w:rtl/>
        </w:rPr>
        <w:t>, הביאו הב"י)</w:t>
      </w:r>
      <w:r w:rsidRPr="009C219E">
        <w:rPr>
          <w:rFonts w:cs="Arial" w:hint="cs"/>
          <w:rtl/>
        </w:rPr>
        <w:t xml:space="preserve">- </w:t>
      </w:r>
      <w:r w:rsidRPr="009C219E">
        <w:rPr>
          <w:rFonts w:cs="Arial"/>
          <w:rtl/>
        </w:rPr>
        <w:t>כתב רבינו אברהם דדוקא בית דין אצל בית דין מצטרף</w:t>
      </w:r>
      <w:r w:rsidRPr="009C219E">
        <w:rPr>
          <w:rFonts w:cs="Arial" w:hint="cs"/>
          <w:rtl/>
        </w:rPr>
        <w:t>,</w:t>
      </w:r>
      <w:r w:rsidRPr="009C219E">
        <w:rPr>
          <w:rFonts w:cs="Arial"/>
          <w:rtl/>
        </w:rPr>
        <w:t xml:space="preserve"> אבל שנים שהעידו אחד בבית דין זה ואחד בבית דין זה</w:t>
      </w:r>
      <w:r w:rsidRPr="009C219E">
        <w:rPr>
          <w:rFonts w:cs="Arial" w:hint="cs"/>
          <w:rtl/>
        </w:rPr>
        <w:t>,</w:t>
      </w:r>
      <w:r w:rsidRPr="009C219E">
        <w:rPr>
          <w:rFonts w:cs="Arial"/>
          <w:rtl/>
        </w:rPr>
        <w:t xml:space="preserve"> ויש עדים ששמעו הגדת השני וחקירה בבית דין אחר</w:t>
      </w:r>
      <w:r w:rsidRPr="009C219E">
        <w:rPr>
          <w:rFonts w:cs="Arial" w:hint="cs"/>
          <w:rtl/>
        </w:rPr>
        <w:t>,</w:t>
      </w:r>
      <w:r w:rsidRPr="009C219E">
        <w:rPr>
          <w:rFonts w:cs="Arial"/>
          <w:rtl/>
        </w:rPr>
        <w:t xml:space="preserve"> וגם שמעו הגדת זה כאן</w:t>
      </w:r>
      <w:r w:rsidRPr="009C219E">
        <w:rPr>
          <w:rFonts w:cs="Arial" w:hint="cs"/>
          <w:rtl/>
        </w:rPr>
        <w:t>,</w:t>
      </w:r>
      <w:r w:rsidRPr="009C219E">
        <w:rPr>
          <w:rFonts w:cs="Arial"/>
          <w:rtl/>
        </w:rPr>
        <w:t xml:space="preserve"> ובאים לפני בית דין אחר להעיד ששמעו חקירת אותם שני עדים בשני בתי דינים </w:t>
      </w:r>
      <w:r w:rsidRPr="009C219E">
        <w:rPr>
          <w:rFonts w:cs="Arial" w:hint="cs"/>
          <w:rtl/>
        </w:rPr>
        <w:t xml:space="preserve">- </w:t>
      </w:r>
      <w:r w:rsidRPr="009C219E">
        <w:rPr>
          <w:rFonts w:cs="Arial"/>
          <w:rtl/>
        </w:rPr>
        <w:t xml:space="preserve">לאו מידי הוא דהוו כעד מפי עד </w:t>
      </w:r>
      <w:r w:rsidRPr="009C219E">
        <w:rPr>
          <w:rFonts w:cs="Arial" w:hint="cs"/>
          <w:sz w:val="16"/>
          <w:szCs w:val="16"/>
          <w:rtl/>
        </w:rPr>
        <w:t>(</w:t>
      </w:r>
      <w:r w:rsidRPr="009C219E">
        <w:rPr>
          <w:rFonts w:cs="Arial"/>
          <w:sz w:val="16"/>
          <w:szCs w:val="16"/>
          <w:rtl/>
        </w:rPr>
        <w:t>והביא ראיות על זה</w:t>
      </w:r>
      <w:r w:rsidRPr="009C219E">
        <w:rPr>
          <w:rFonts w:cs="Arial" w:hint="cs"/>
          <w:sz w:val="16"/>
          <w:szCs w:val="16"/>
          <w:rtl/>
        </w:rPr>
        <w:t>)</w:t>
      </w:r>
      <w:r w:rsidRPr="009C219E">
        <w:rPr>
          <w:rFonts w:cs="Arial" w:hint="cs"/>
          <w:rtl/>
        </w:rPr>
        <w:t>.</w:t>
      </w:r>
      <w:r w:rsidRPr="009C219E">
        <w:rPr>
          <w:rFonts w:hint="cs"/>
          <w:color w:val="00B0F0"/>
          <w:rtl/>
        </w:rPr>
        <w:t xml:space="preserve"> (וכ"פ הרמ"א)</w:t>
      </w:r>
    </w:p>
    <w:p w14:paraId="16E5FAEC" w14:textId="77777777" w:rsidR="004B607F" w:rsidRPr="003024E5" w:rsidRDefault="004B607F" w:rsidP="004B607F">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0FD7ECCE" w14:textId="77777777" w:rsidR="004B607F" w:rsidRDefault="004B607F" w:rsidP="004B607F">
      <w:pPr>
        <w:rPr>
          <w:rtl/>
        </w:rPr>
      </w:pPr>
      <w:r>
        <w:rPr>
          <w:rFonts w:cs="Arial"/>
          <w:rtl/>
        </w:rPr>
        <w:t>העיד האחד בבית דין זה, והעיד השני בבית דין אחר, יבא בית דין אצל בית דין ויצטרפו עדותן</w:t>
      </w:r>
      <w:r>
        <w:rPr>
          <w:rStyle w:val="ab"/>
          <w:rFonts w:cs="Arial"/>
          <w:rtl/>
        </w:rPr>
        <w:footnoteReference w:id="1730"/>
      </w:r>
      <w:r>
        <w:rPr>
          <w:rFonts w:cs="Arial"/>
          <w:rtl/>
        </w:rPr>
        <w:t xml:space="preserve">. </w:t>
      </w:r>
      <w:r w:rsidRPr="00532E67">
        <w:rPr>
          <w:rFonts w:cs="Arial"/>
          <w:sz w:val="18"/>
          <w:szCs w:val="18"/>
          <w:rtl/>
        </w:rPr>
        <w:t>הגה: אבל אחרים ששמעו הענין אינן יכולין להצטרף, דהוי עד מפי עד (ב"י בשם מרדכי ישן פרק גט פשוט).</w:t>
      </w:r>
      <w:r>
        <w:rPr>
          <w:rFonts w:cs="Arial"/>
          <w:rtl/>
        </w:rPr>
        <w:t xml:space="preserve"> </w:t>
      </w:r>
    </w:p>
    <w:p w14:paraId="69A44FBC" w14:textId="77777777" w:rsidR="004B607F" w:rsidRDefault="004B607F" w:rsidP="004B607F">
      <w:pPr>
        <w:rPr>
          <w:rFonts w:cs="Arial"/>
          <w:rtl/>
        </w:rPr>
      </w:pPr>
      <w:r w:rsidRPr="009D0D02">
        <w:rPr>
          <w:rFonts w:cs="Arial" w:hint="cs"/>
          <w:u w:val="single"/>
          <w:rtl/>
        </w:rPr>
        <w:t xml:space="preserve">שנים ששמעו איך בית דין מקבל עדות משני העדים </w:t>
      </w:r>
      <w:r w:rsidRPr="009D0D02">
        <w:rPr>
          <w:rFonts w:cs="Arial"/>
          <w:u w:val="single"/>
          <w:rtl/>
        </w:rPr>
        <w:t>–</w:t>
      </w:r>
      <w:r w:rsidRPr="009D0D02">
        <w:rPr>
          <w:rFonts w:cs="Arial" w:hint="cs"/>
          <w:u w:val="single"/>
          <w:rtl/>
        </w:rPr>
        <w:t xml:space="preserve"> האם השנים ששמעו יכולים ללכת לב"ד אחר להעיד:</w:t>
      </w:r>
    </w:p>
    <w:p w14:paraId="5F93C247" w14:textId="77777777" w:rsidR="004B607F" w:rsidRPr="009D0D02" w:rsidRDefault="004B607F" w:rsidP="004B0475">
      <w:pPr>
        <w:pStyle w:val="ac"/>
        <w:numPr>
          <w:ilvl w:val="0"/>
          <w:numId w:val="89"/>
        </w:numPr>
      </w:pPr>
      <w:r>
        <w:rPr>
          <w:rFonts w:hint="cs"/>
          <w:rtl/>
        </w:rPr>
        <w:t xml:space="preserve">סמ"ע </w:t>
      </w:r>
      <w:r w:rsidRPr="00BC2053">
        <w:rPr>
          <w:rFonts w:hint="cs"/>
          <w:sz w:val="16"/>
          <w:szCs w:val="16"/>
          <w:rtl/>
        </w:rPr>
        <w:t>(סקל"ה)</w:t>
      </w:r>
      <w:r>
        <w:rPr>
          <w:rFonts w:cs="Arial" w:hint="cs"/>
          <w:rtl/>
        </w:rPr>
        <w:t xml:space="preserve">- </w:t>
      </w:r>
      <w:r w:rsidRPr="009C219E">
        <w:rPr>
          <w:rFonts w:cs="Arial"/>
          <w:rtl/>
        </w:rPr>
        <w:t>אפילו ששמעו ששני העדים העידו בב"ד האחד ושנחקרה עדותן באותו ב"ד, מ"מ לא יעידו בפני ב"ד אחר לדון ע"פ עדותן</w:t>
      </w:r>
      <w:r>
        <w:rPr>
          <w:rFonts w:cs="Arial" w:hint="cs"/>
          <w:rtl/>
        </w:rPr>
        <w:t>.</w:t>
      </w:r>
      <w:r w:rsidRPr="009C219E">
        <w:rPr>
          <w:rFonts w:cs="Arial"/>
          <w:rtl/>
        </w:rPr>
        <w:t xml:space="preserve"> וכה"ג בב"ד שקיבלו עדות של שנים יכולין להעיד לפני ב"ד אחר על עדותם שקיבלו</w:t>
      </w:r>
      <w:r>
        <w:rPr>
          <w:rFonts w:hint="cs"/>
          <w:rtl/>
        </w:rPr>
        <w:t>.</w:t>
      </w:r>
    </w:p>
    <w:p w14:paraId="4290F59C" w14:textId="77777777" w:rsidR="004B607F" w:rsidRDefault="004B607F" w:rsidP="004B0475">
      <w:pPr>
        <w:pStyle w:val="ac"/>
        <w:numPr>
          <w:ilvl w:val="0"/>
          <w:numId w:val="89"/>
        </w:numPr>
        <w:rPr>
          <w:rtl/>
        </w:rPr>
      </w:pPr>
      <w:r>
        <w:rPr>
          <w:rFonts w:cs="Arial" w:hint="cs"/>
          <w:rtl/>
        </w:rPr>
        <w:t xml:space="preserve">ט"ז </w:t>
      </w:r>
      <w:r w:rsidRPr="00BC2053">
        <w:rPr>
          <w:rFonts w:cs="Arial" w:hint="cs"/>
          <w:sz w:val="16"/>
          <w:szCs w:val="16"/>
          <w:rtl/>
        </w:rPr>
        <w:t xml:space="preserve">(ד"ה </w:t>
      </w:r>
      <w:r w:rsidRPr="00BC2053">
        <w:rPr>
          <w:rFonts w:cs="Arial"/>
          <w:sz w:val="16"/>
          <w:szCs w:val="16"/>
          <w:rtl/>
        </w:rPr>
        <w:t>ב"ד אצל ב"ד</w:t>
      </w:r>
      <w:r w:rsidRPr="00BC2053">
        <w:rPr>
          <w:rFonts w:cs="Arial" w:hint="cs"/>
          <w:sz w:val="16"/>
          <w:szCs w:val="16"/>
          <w:rtl/>
        </w:rPr>
        <w:t>)</w:t>
      </w:r>
      <w:r>
        <w:rPr>
          <w:rFonts w:cs="Arial" w:hint="cs"/>
          <w:rtl/>
        </w:rPr>
        <w:t>-</w:t>
      </w:r>
      <w:r w:rsidRPr="009D0D02">
        <w:rPr>
          <w:rFonts w:cs="Arial"/>
          <w:rtl/>
        </w:rPr>
        <w:t xml:space="preserve"> כל שהעידו שנים בפני ב"ד ושנים אחרים שמעו שקיבלו הבית דין עדותן, שוב אין תורת עדות על אותה השמיעה אלא מעשה ב"ד, ויכולים להעיד בפני ב"ד אחר על אותה שמיעה לדון עליה</w:t>
      </w:r>
      <w:r>
        <w:rPr>
          <w:rStyle w:val="ab"/>
          <w:rFonts w:cs="Arial"/>
          <w:rtl/>
        </w:rPr>
        <w:footnoteReference w:id="1731"/>
      </w:r>
      <w:r w:rsidRPr="009D0D02">
        <w:rPr>
          <w:rFonts w:cs="Arial"/>
          <w:rtl/>
        </w:rPr>
        <w:t>.</w:t>
      </w:r>
      <w:r>
        <w:rPr>
          <w:rFonts w:cs="Arial" w:hint="cs"/>
          <w:rtl/>
        </w:rPr>
        <w:t xml:space="preserve"> (וכ"פ או"ת </w:t>
      </w:r>
      <w:r>
        <w:rPr>
          <w:rFonts w:cs="Arial" w:hint="cs"/>
          <w:sz w:val="16"/>
          <w:szCs w:val="16"/>
          <w:rtl/>
        </w:rPr>
        <w:t xml:space="preserve">[אורים סק"ל] </w:t>
      </w:r>
      <w:r>
        <w:rPr>
          <w:rFonts w:cs="Arial" w:hint="cs"/>
          <w:rtl/>
        </w:rPr>
        <w:t xml:space="preserve">קצוה"ח </w:t>
      </w:r>
      <w:r>
        <w:rPr>
          <w:rFonts w:cs="Arial" w:hint="cs"/>
          <w:sz w:val="16"/>
          <w:szCs w:val="16"/>
          <w:rtl/>
        </w:rPr>
        <w:t>[סק"י]</w:t>
      </w:r>
      <w:r>
        <w:rPr>
          <w:rFonts w:cs="Arial" w:hint="cs"/>
          <w:rtl/>
        </w:rPr>
        <w:t xml:space="preserve"> נתיבות</w:t>
      </w:r>
      <w:r>
        <w:rPr>
          <w:rFonts w:cs="Arial" w:hint="cs"/>
          <w:sz w:val="16"/>
          <w:szCs w:val="16"/>
          <w:rtl/>
        </w:rPr>
        <w:t xml:space="preserve"> [חידושים סקכ"א]</w:t>
      </w:r>
      <w:r>
        <w:rPr>
          <w:rFonts w:cs="Arial" w:hint="cs"/>
          <w:rtl/>
        </w:rPr>
        <w:t xml:space="preserve"> ושער משפט </w:t>
      </w:r>
      <w:r>
        <w:rPr>
          <w:rFonts w:cs="Arial" w:hint="cs"/>
          <w:sz w:val="16"/>
          <w:szCs w:val="16"/>
          <w:rtl/>
        </w:rPr>
        <w:t>[סק"ט]</w:t>
      </w:r>
      <w:r>
        <w:rPr>
          <w:rFonts w:cs="Arial" w:hint="cs"/>
          <w:rtl/>
        </w:rPr>
        <w:t>)</w:t>
      </w:r>
      <w:r w:rsidRPr="009D0D02">
        <w:rPr>
          <w:rFonts w:cs="Arial"/>
          <w:rtl/>
        </w:rPr>
        <w:t xml:space="preserve"> </w:t>
      </w:r>
    </w:p>
    <w:p w14:paraId="4E2B3704" w14:textId="77777777" w:rsidR="004B607F" w:rsidRDefault="004B607F" w:rsidP="004B607F">
      <w:pPr>
        <w:rPr>
          <w:rtl/>
        </w:rPr>
      </w:pPr>
    </w:p>
    <w:p w14:paraId="6AEA6A05" w14:textId="77777777" w:rsidR="004B607F" w:rsidRPr="00EB008E" w:rsidRDefault="004B607F" w:rsidP="004B607F">
      <w:pPr>
        <w:pStyle w:val="2"/>
        <w:rPr>
          <w:rtl/>
        </w:rPr>
      </w:pPr>
      <w:bookmarkStart w:id="246" w:name="_Toc24883717"/>
      <w:r w:rsidRPr="00EB008E">
        <w:rPr>
          <w:rtl/>
        </w:rPr>
        <w:t>סעיף יב</w:t>
      </w:r>
      <w:r w:rsidRPr="00EB008E">
        <w:rPr>
          <w:rFonts w:hint="cs"/>
          <w:rtl/>
        </w:rPr>
        <w:t xml:space="preserve">: </w:t>
      </w:r>
      <w:r w:rsidRPr="00EB008E">
        <w:rPr>
          <w:rFonts w:cs="Arial" w:hint="cs"/>
          <w:rtl/>
        </w:rPr>
        <w:t xml:space="preserve">עדים שהעידו בפני ג' בתי דין בנפרד, ונסתלקו ב' </w:t>
      </w:r>
      <w:r>
        <w:rPr>
          <w:rFonts w:cs="Arial" w:hint="cs"/>
          <w:rtl/>
        </w:rPr>
        <w:t xml:space="preserve">דיינים </w:t>
      </w:r>
      <w:r w:rsidRPr="00EB008E">
        <w:rPr>
          <w:rFonts w:cs="Arial" w:hint="cs"/>
          <w:rtl/>
        </w:rPr>
        <w:t>מכל ב</w:t>
      </w:r>
      <w:r>
        <w:rPr>
          <w:rFonts w:cs="Arial" w:hint="cs"/>
          <w:rtl/>
        </w:rPr>
        <w:t xml:space="preserve">ית </w:t>
      </w:r>
      <w:r w:rsidRPr="00EB008E">
        <w:rPr>
          <w:rFonts w:cs="Arial" w:hint="cs"/>
          <w:rtl/>
        </w:rPr>
        <w:t>ד</w:t>
      </w:r>
      <w:r>
        <w:rPr>
          <w:rFonts w:cs="Arial" w:hint="cs"/>
          <w:rtl/>
        </w:rPr>
        <w:t>ין</w:t>
      </w:r>
      <w:r w:rsidRPr="00EB008E">
        <w:rPr>
          <w:rFonts w:hint="cs"/>
          <w:rtl/>
        </w:rPr>
        <w:t>.</w:t>
      </w:r>
      <w:bookmarkEnd w:id="246"/>
    </w:p>
    <w:p w14:paraId="3DF22C4A" w14:textId="77777777" w:rsidR="004B607F" w:rsidRDefault="004B607F" w:rsidP="004B607F">
      <w:pPr>
        <w:rPr>
          <w:rFonts w:cs="Arial"/>
          <w:rtl/>
        </w:rPr>
      </w:pPr>
      <w:r w:rsidRPr="009C219E">
        <w:rPr>
          <w:rFonts w:cs="Arial"/>
          <w:b/>
          <w:bCs/>
          <w:rtl/>
        </w:rPr>
        <w:t>בב</w:t>
      </w:r>
      <w:r w:rsidRPr="009C219E">
        <w:rPr>
          <w:rFonts w:cs="Arial" w:hint="cs"/>
          <w:b/>
          <w:bCs/>
          <w:rtl/>
        </w:rPr>
        <w:t>א בתרא</w:t>
      </w:r>
      <w:r w:rsidRPr="009C219E">
        <w:rPr>
          <w:rFonts w:cs="Arial"/>
          <w:b/>
          <w:bCs/>
          <w:sz w:val="16"/>
          <w:szCs w:val="16"/>
          <w:rtl/>
        </w:rPr>
        <w:t xml:space="preserve"> </w:t>
      </w:r>
      <w:r w:rsidRPr="009C219E">
        <w:rPr>
          <w:rFonts w:cs="Arial" w:hint="cs"/>
          <w:b/>
          <w:bCs/>
          <w:sz w:val="16"/>
          <w:szCs w:val="16"/>
          <w:rtl/>
        </w:rPr>
        <w:t xml:space="preserve">(פרק גט פשוט) </w:t>
      </w:r>
      <w:r w:rsidRPr="009C219E">
        <w:rPr>
          <w:rFonts w:cs="Arial"/>
          <w:b/>
          <w:bCs/>
          <w:rtl/>
        </w:rPr>
        <w:t>קסה</w:t>
      </w:r>
      <w:r>
        <w:rPr>
          <w:rStyle w:val="ab"/>
          <w:rFonts w:cs="Arial"/>
          <w:b/>
          <w:bCs/>
          <w:rtl/>
        </w:rPr>
        <w:footnoteReference w:id="1732"/>
      </w:r>
      <w:r w:rsidRPr="009C219E">
        <w:rPr>
          <w:rFonts w:cs="Arial" w:hint="cs"/>
          <w:b/>
          <w:bCs/>
          <w:rtl/>
        </w:rPr>
        <w:t xml:space="preserve"> ע"ב</w:t>
      </w:r>
      <w:r w:rsidRPr="009C219E">
        <w:rPr>
          <w:rFonts w:cs="Arial"/>
          <w:b/>
          <w:bCs/>
          <w:rtl/>
        </w:rPr>
        <w:t>:</w:t>
      </w:r>
      <w:r>
        <w:rPr>
          <w:rFonts w:cs="Arial" w:hint="cs"/>
          <w:rtl/>
        </w:rPr>
        <w:t xml:space="preserve"> </w:t>
      </w:r>
      <w:r w:rsidRPr="009C219E">
        <w:rPr>
          <w:rFonts w:cs="Arial"/>
          <w:u w:val="single"/>
          <w:rtl/>
        </w:rPr>
        <w:t>שלחו ליה חברייא לרבי ירמיה</w:t>
      </w:r>
      <w:r w:rsidRPr="009C219E">
        <w:rPr>
          <w:rFonts w:cs="Arial"/>
          <w:rtl/>
        </w:rPr>
        <w:t>:</w:t>
      </w:r>
      <w:r>
        <w:rPr>
          <w:rFonts w:cs="Arial" w:hint="cs"/>
          <w:rtl/>
        </w:rPr>
        <w:t>...</w:t>
      </w:r>
      <w:r w:rsidRPr="009C219E">
        <w:rPr>
          <w:rtl/>
        </w:rPr>
        <w:t xml:space="preserve"> </w:t>
      </w:r>
      <w:r w:rsidRPr="009C219E">
        <w:rPr>
          <w:rFonts w:cs="Arial"/>
          <w:u w:val="single"/>
          <w:rtl/>
        </w:rPr>
        <w:t>מר בר חייא אמר הכי שלחו ליה</w:t>
      </w:r>
      <w:r w:rsidRPr="009C219E">
        <w:rPr>
          <w:rFonts w:cs="Arial"/>
          <w:rtl/>
        </w:rPr>
        <w:t>: שנים שהעידו בב"ד זה וחזרו והעידו בב"ד זה, מהו שיבוא אחד מכל ב"ד ויצטרפו</w:t>
      </w:r>
      <w:r>
        <w:rPr>
          <w:rStyle w:val="ab"/>
          <w:rFonts w:cs="Arial"/>
          <w:rtl/>
        </w:rPr>
        <w:footnoteReference w:id="1733"/>
      </w:r>
      <w:r w:rsidRPr="009C219E">
        <w:rPr>
          <w:rFonts w:cs="Arial"/>
          <w:rtl/>
        </w:rPr>
        <w:t xml:space="preserve">? אליבא דר' נתן לא תיבעי לך, השתא עדים מצרפינן, דייני מיבעיא? אלא כי תיבעי לך - אליבא דת"ק דר' נתן, עדים הוא דלא מצרפינן, אבל דייני מצרפינן, או דלמא ל"ש? </w:t>
      </w:r>
      <w:r w:rsidRPr="009C219E">
        <w:rPr>
          <w:rFonts w:cs="Arial"/>
          <w:u w:val="single"/>
          <w:rtl/>
        </w:rPr>
        <w:t>שלח להו</w:t>
      </w:r>
      <w:r w:rsidRPr="009C219E">
        <w:rPr>
          <w:rFonts w:cs="Arial"/>
          <w:rtl/>
        </w:rPr>
        <w:t>: אני איני כדיי שאתם שלחתם לי, אלא כך דעת תלמידכם נוטה - שיצטרפו.</w:t>
      </w:r>
    </w:p>
    <w:p w14:paraId="0E99F112" w14:textId="77777777" w:rsidR="004B607F" w:rsidRPr="00EB008E" w:rsidRDefault="004B607F" w:rsidP="004B607F">
      <w:pPr>
        <w:rPr>
          <w:rFonts w:cs="Arial"/>
          <w:b/>
          <w:bCs/>
          <w:rtl/>
        </w:rPr>
      </w:pPr>
      <w:r>
        <w:rPr>
          <w:rFonts w:cs="Arial" w:hint="cs"/>
          <w:b/>
          <w:bCs/>
          <w:rtl/>
        </w:rPr>
        <w:t xml:space="preserve">כתובות </w:t>
      </w:r>
      <w:r w:rsidRPr="00EB008E">
        <w:rPr>
          <w:rFonts w:cs="Arial" w:hint="cs"/>
          <w:b/>
          <w:bCs/>
          <w:sz w:val="16"/>
          <w:szCs w:val="16"/>
          <w:rtl/>
        </w:rPr>
        <w:t>(פ"ב)</w:t>
      </w:r>
      <w:r>
        <w:rPr>
          <w:rFonts w:cs="Arial" w:hint="cs"/>
          <w:b/>
          <w:bCs/>
          <w:rtl/>
        </w:rPr>
        <w:t xml:space="preserve"> כא</w:t>
      </w:r>
      <w:bookmarkStart w:id="247" w:name="_Hlk14005964"/>
      <w:r>
        <w:rPr>
          <w:rStyle w:val="ab"/>
          <w:rFonts w:cs="Arial"/>
          <w:b/>
          <w:bCs/>
          <w:rtl/>
        </w:rPr>
        <w:footnoteReference w:id="1734"/>
      </w:r>
      <w:bookmarkEnd w:id="247"/>
      <w:r>
        <w:rPr>
          <w:rFonts w:cs="Arial" w:hint="cs"/>
          <w:b/>
          <w:bCs/>
          <w:rtl/>
        </w:rPr>
        <w:t xml:space="preserve"> ע"א: </w:t>
      </w:r>
      <w:r w:rsidRPr="00EB008E">
        <w:rPr>
          <w:rFonts w:cs="Arial"/>
          <w:u w:val="single"/>
          <w:rtl/>
        </w:rPr>
        <w:t>אמר רב יהודה אמר שמואל</w:t>
      </w:r>
      <w:r w:rsidRPr="00EB008E">
        <w:rPr>
          <w:rFonts w:cs="Arial"/>
          <w:rtl/>
        </w:rPr>
        <w:t>: עד ודיין</w:t>
      </w:r>
      <w:r>
        <w:rPr>
          <w:rStyle w:val="ab"/>
          <w:rFonts w:cs="Arial"/>
          <w:rtl/>
        </w:rPr>
        <w:footnoteReference w:id="1735"/>
      </w:r>
      <w:r w:rsidRPr="00EB008E">
        <w:rPr>
          <w:rFonts w:cs="Arial"/>
          <w:rtl/>
        </w:rPr>
        <w:t xml:space="preserve"> מצטרפין. </w:t>
      </w:r>
      <w:r w:rsidRPr="00EB008E">
        <w:rPr>
          <w:rFonts w:cs="Arial"/>
          <w:u w:val="single"/>
          <w:rtl/>
        </w:rPr>
        <w:t>אמר רמי בר חמא</w:t>
      </w:r>
      <w:r w:rsidRPr="00EB008E">
        <w:rPr>
          <w:rFonts w:cs="Arial"/>
          <w:rtl/>
        </w:rPr>
        <w:t xml:space="preserve">: כמה מעליא הא שמעתא! </w:t>
      </w:r>
      <w:r w:rsidRPr="00EB008E">
        <w:rPr>
          <w:rFonts w:cs="Arial"/>
          <w:u w:val="single"/>
          <w:rtl/>
        </w:rPr>
        <w:t>אמר רבא</w:t>
      </w:r>
      <w:r w:rsidRPr="00EB008E">
        <w:rPr>
          <w:rFonts w:cs="Arial"/>
          <w:rtl/>
        </w:rPr>
        <w:t xml:space="preserve">: מאי מעליותא? מאי דקא מסהיד סהדא לא קא מסהיד דיינא, ומאי דקא מסהיד דיינא לא קא מסהיד </w:t>
      </w:r>
      <w:r w:rsidRPr="00EB008E">
        <w:rPr>
          <w:rFonts w:cs="Arial"/>
          <w:rtl/>
        </w:rPr>
        <w:lastRenderedPageBreak/>
        <w:t>סהדא</w:t>
      </w:r>
      <w:r>
        <w:rPr>
          <w:rStyle w:val="ab"/>
          <w:rFonts w:cs="Arial"/>
          <w:rtl/>
        </w:rPr>
        <w:footnoteReference w:id="1736"/>
      </w:r>
      <w:r w:rsidRPr="00EB008E">
        <w:rPr>
          <w:rFonts w:cs="Arial"/>
          <w:rtl/>
        </w:rPr>
        <w:t xml:space="preserve">! אלא, </w:t>
      </w:r>
      <w:r w:rsidRPr="00EB008E">
        <w:rPr>
          <w:rFonts w:cs="Arial"/>
          <w:u w:val="single"/>
          <w:rtl/>
        </w:rPr>
        <w:t>כי אתא רמי בר יחזקאל אמר</w:t>
      </w:r>
      <w:r w:rsidRPr="00EB008E">
        <w:rPr>
          <w:rFonts w:cs="Arial"/>
          <w:rtl/>
        </w:rPr>
        <w:t>: לא תציתינהו להני כללי דכייל יהודה אחי משמיה דשמואל.</w:t>
      </w:r>
      <w:r>
        <w:rPr>
          <w:rFonts w:hint="cs"/>
          <w:sz w:val="14"/>
          <w:szCs w:val="14"/>
          <w:rtl/>
        </w:rPr>
        <w:t xml:space="preserve"> (כא:)</w:t>
      </w:r>
      <w:r w:rsidRPr="00EB008E">
        <w:rPr>
          <w:rtl/>
        </w:rPr>
        <w:t xml:space="preserve"> </w:t>
      </w:r>
      <w:r w:rsidRPr="00EB008E">
        <w:rPr>
          <w:rFonts w:cs="Arial"/>
          <w:u w:val="single"/>
          <w:rtl/>
        </w:rPr>
        <w:t>איקלע רבנאי אחוה דר' חייא בר אבא למזבן שומשמי ואמר</w:t>
      </w:r>
      <w:r w:rsidRPr="00EB008E">
        <w:rPr>
          <w:rFonts w:cs="Arial" w:hint="cs"/>
          <w:u w:val="single"/>
          <w:rtl/>
        </w:rPr>
        <w:t>:</w:t>
      </w:r>
      <w:r w:rsidRPr="00EB008E">
        <w:rPr>
          <w:rFonts w:cs="Arial"/>
          <w:rtl/>
        </w:rPr>
        <w:t xml:space="preserve"> הכי אמר שמואל</w:t>
      </w:r>
      <w:r>
        <w:rPr>
          <w:rFonts w:cs="Arial" w:hint="cs"/>
          <w:rtl/>
        </w:rPr>
        <w:t xml:space="preserve"> -</w:t>
      </w:r>
      <w:r w:rsidRPr="00EB008E">
        <w:rPr>
          <w:rFonts w:cs="Arial"/>
          <w:rtl/>
        </w:rPr>
        <w:t xml:space="preserve"> עד ודיין מצטרפין. </w:t>
      </w:r>
      <w:r w:rsidRPr="00EB008E">
        <w:rPr>
          <w:rFonts w:cs="Arial"/>
          <w:u w:val="single"/>
          <w:rtl/>
        </w:rPr>
        <w:t>אמר אמימר</w:t>
      </w:r>
      <w:r w:rsidRPr="00EB008E">
        <w:rPr>
          <w:rFonts w:cs="Arial"/>
          <w:rtl/>
        </w:rPr>
        <w:t xml:space="preserve">: כמה מעליא הא שמעתא! </w:t>
      </w:r>
      <w:r w:rsidRPr="00EB008E">
        <w:rPr>
          <w:rFonts w:cs="Arial"/>
          <w:u w:val="single"/>
          <w:rtl/>
        </w:rPr>
        <w:t>אמר ליה רב אשי לאמימר</w:t>
      </w:r>
      <w:r w:rsidRPr="00EB008E">
        <w:rPr>
          <w:rFonts w:cs="Arial"/>
          <w:rtl/>
        </w:rPr>
        <w:t xml:space="preserve">: משום דקלסה אבוה דאמך, את נמי מקלסת לה? כבר פרכה רבא.  </w:t>
      </w:r>
    </w:p>
    <w:p w14:paraId="42C1FF61" w14:textId="77777777" w:rsidR="004B607F" w:rsidRPr="00EB008E" w:rsidRDefault="004B607F" w:rsidP="004B607F">
      <w:pPr>
        <w:rPr>
          <w:rFonts w:cs="Arial"/>
          <w:u w:val="single"/>
          <w:rtl/>
        </w:rPr>
      </w:pPr>
      <w:r w:rsidRPr="00EB008E">
        <w:rPr>
          <w:rFonts w:cs="Arial" w:hint="cs"/>
          <w:u w:val="single"/>
          <w:rtl/>
        </w:rPr>
        <w:t xml:space="preserve">עדים שהעידו בפני ג' בתי דין בנפרד, ונסתלקו ב' מכל ב"ד </w:t>
      </w:r>
      <w:r w:rsidRPr="00EB008E">
        <w:rPr>
          <w:rFonts w:cs="Arial"/>
          <w:u w:val="single"/>
          <w:rtl/>
        </w:rPr>
        <w:t>–</w:t>
      </w:r>
      <w:r w:rsidRPr="00EB008E">
        <w:rPr>
          <w:rFonts w:cs="Arial" w:hint="cs"/>
          <w:u w:val="single"/>
          <w:rtl/>
        </w:rPr>
        <w:t xml:space="preserve"> האם אפשר לצרף דיין מכל ב"ד ולדון:</w:t>
      </w:r>
    </w:p>
    <w:p w14:paraId="276EFCCA" w14:textId="77777777" w:rsidR="004B607F" w:rsidRDefault="004B607F" w:rsidP="004B0475">
      <w:pPr>
        <w:pStyle w:val="ac"/>
        <w:numPr>
          <w:ilvl w:val="0"/>
          <w:numId w:val="89"/>
        </w:numPr>
        <w:rPr>
          <w:rFonts w:cs="Arial"/>
        </w:rPr>
      </w:pPr>
      <w:r w:rsidRPr="00EB008E">
        <w:rPr>
          <w:rFonts w:cs="Arial" w:hint="cs"/>
          <w:rtl/>
        </w:rPr>
        <w:t xml:space="preserve">טור- </w:t>
      </w:r>
      <w:r w:rsidRPr="00EB008E">
        <w:rPr>
          <w:rFonts w:cs="Arial"/>
          <w:rtl/>
        </w:rPr>
        <w:t>אם העידו בב"ד זה</w:t>
      </w:r>
      <w:r>
        <w:rPr>
          <w:rFonts w:cs="Arial" w:hint="cs"/>
          <w:rtl/>
        </w:rPr>
        <w:t>,</w:t>
      </w:r>
      <w:r w:rsidRPr="00EB008E">
        <w:rPr>
          <w:rFonts w:cs="Arial"/>
          <w:rtl/>
        </w:rPr>
        <w:t xml:space="preserve"> ואח"כ העידו בב"ד שני</w:t>
      </w:r>
      <w:r>
        <w:rPr>
          <w:rFonts w:cs="Arial" w:hint="cs"/>
          <w:rtl/>
        </w:rPr>
        <w:t>,</w:t>
      </w:r>
      <w:r w:rsidRPr="00EB008E">
        <w:rPr>
          <w:rFonts w:cs="Arial"/>
          <w:rtl/>
        </w:rPr>
        <w:t xml:space="preserve"> וחזרו והעידו בב"ד </w:t>
      </w:r>
      <w:r w:rsidRPr="00EB008E">
        <w:rPr>
          <w:rFonts w:cs="Arial" w:hint="cs"/>
          <w:rtl/>
        </w:rPr>
        <w:t>שלישי</w:t>
      </w:r>
      <w:r>
        <w:rPr>
          <w:rFonts w:cs="Arial" w:hint="cs"/>
          <w:rtl/>
        </w:rPr>
        <w:t xml:space="preserve"> -</w:t>
      </w:r>
      <w:r w:rsidRPr="00EB008E">
        <w:rPr>
          <w:rFonts w:cs="Arial"/>
          <w:rtl/>
        </w:rPr>
        <w:t xml:space="preserve"> יכולין כל אחד ואחד מכל ב"ד וב"ד להצטרף</w:t>
      </w:r>
      <w:r>
        <w:rPr>
          <w:rStyle w:val="ab"/>
          <w:rFonts w:cs="Arial"/>
          <w:rtl/>
        </w:rPr>
        <w:footnoteReference w:id="1737"/>
      </w:r>
      <w:r w:rsidRPr="00EB008E">
        <w:rPr>
          <w:rFonts w:cs="Arial"/>
          <w:rtl/>
        </w:rPr>
        <w:t xml:space="preserve"> ולעשות ב"ד חדש ולדון על מה ששמעו</w:t>
      </w:r>
      <w:r>
        <w:rPr>
          <w:rStyle w:val="ab"/>
          <w:rFonts w:cs="Arial"/>
          <w:rtl/>
        </w:rPr>
        <w:footnoteReference w:id="1738"/>
      </w:r>
      <w:r w:rsidRPr="00EB008E">
        <w:rPr>
          <w:rFonts w:cs="Arial" w:hint="cs"/>
          <w:rtl/>
        </w:rPr>
        <w:t>.</w:t>
      </w:r>
      <w:r w:rsidRPr="00EB008E">
        <w:rPr>
          <w:rFonts w:cs="Arial"/>
          <w:rtl/>
        </w:rPr>
        <w:t xml:space="preserve"> </w:t>
      </w:r>
      <w:r w:rsidRPr="00DB5C49">
        <w:rPr>
          <w:rFonts w:cs="Arial" w:hint="cs"/>
          <w:color w:val="E36C0A" w:themeColor="accent6" w:themeShade="BF"/>
          <w:rtl/>
        </w:rPr>
        <w:t>(וכ"פ בשו"ע)</w:t>
      </w:r>
    </w:p>
    <w:p w14:paraId="67E48EF9" w14:textId="77777777" w:rsidR="004B607F" w:rsidRPr="00BB5224" w:rsidRDefault="004B607F" w:rsidP="004B607F">
      <w:pPr>
        <w:ind w:left="360"/>
        <w:rPr>
          <w:rFonts w:cs="Arial"/>
          <w:u w:val="dotted"/>
        </w:rPr>
      </w:pPr>
      <w:r>
        <w:rPr>
          <w:rFonts w:cs="Arial" w:hint="cs"/>
          <w:u w:val="dotted"/>
          <w:rtl/>
        </w:rPr>
        <w:t>ומה הדין אם</w:t>
      </w:r>
      <w:r w:rsidRPr="00BB5224">
        <w:rPr>
          <w:rFonts w:cs="Arial" w:hint="cs"/>
          <w:u w:val="dotted"/>
          <w:rtl/>
        </w:rPr>
        <w:t xml:space="preserve"> אחד מהעדים </w:t>
      </w:r>
      <w:r>
        <w:rPr>
          <w:rFonts w:cs="Arial" w:hint="cs"/>
          <w:u w:val="dotted"/>
          <w:rtl/>
        </w:rPr>
        <w:t xml:space="preserve">בא </w:t>
      </w:r>
      <w:r w:rsidRPr="00BB5224">
        <w:rPr>
          <w:rFonts w:cs="Arial" w:hint="cs"/>
          <w:u w:val="dotted"/>
          <w:rtl/>
        </w:rPr>
        <w:t>עם אחד מהדיינים</w:t>
      </w:r>
      <w:r>
        <w:rPr>
          <w:rFonts w:cs="Arial" w:hint="cs"/>
          <w:u w:val="dotted"/>
          <w:rtl/>
        </w:rPr>
        <w:t xml:space="preserve"> </w:t>
      </w:r>
      <w:r>
        <w:rPr>
          <w:rFonts w:cs="Arial" w:hint="cs"/>
          <w:sz w:val="16"/>
          <w:szCs w:val="16"/>
          <w:u w:val="dotted"/>
          <w:rtl/>
        </w:rPr>
        <w:t xml:space="preserve">(שהעידו בפני שני העדים) </w:t>
      </w:r>
      <w:r>
        <w:rPr>
          <w:rFonts w:cs="Arial" w:hint="cs"/>
          <w:u w:val="dotted"/>
          <w:rtl/>
        </w:rPr>
        <w:t>להעיד</w:t>
      </w:r>
      <w:r w:rsidRPr="00BB5224">
        <w:rPr>
          <w:rFonts w:cs="Arial" w:hint="cs"/>
          <w:u w:val="dotted"/>
          <w:rtl/>
        </w:rPr>
        <w:t>:</w:t>
      </w:r>
    </w:p>
    <w:p w14:paraId="464DCC22" w14:textId="77777777" w:rsidR="004B607F" w:rsidRDefault="004B607F" w:rsidP="004B0475">
      <w:pPr>
        <w:pStyle w:val="ac"/>
        <w:numPr>
          <w:ilvl w:val="0"/>
          <w:numId w:val="89"/>
        </w:numPr>
        <w:rPr>
          <w:rFonts w:cs="Arial"/>
        </w:rPr>
      </w:pPr>
      <w:r>
        <w:rPr>
          <w:rFonts w:cs="Arial" w:hint="cs"/>
          <w:rtl/>
        </w:rPr>
        <w:t xml:space="preserve">טור- </w:t>
      </w:r>
      <w:r w:rsidRPr="00EB008E">
        <w:rPr>
          <w:rFonts w:cs="Arial"/>
          <w:rtl/>
        </w:rPr>
        <w:t>אבל דיין שהעידו שנים לפניו אינו יכול להצטרף עם אחד מן העדים לדון</w:t>
      </w:r>
      <w:r w:rsidRPr="00EB008E">
        <w:rPr>
          <w:rFonts w:cs="Arial" w:hint="cs"/>
          <w:rtl/>
        </w:rPr>
        <w:t>.</w:t>
      </w:r>
      <w:r w:rsidRPr="009C219E">
        <w:rPr>
          <w:rFonts w:cs="Arial" w:hint="cs"/>
          <w:color w:val="E36C0A" w:themeColor="accent6" w:themeShade="BF"/>
          <w:rtl/>
        </w:rPr>
        <w:t xml:space="preserve"> </w:t>
      </w:r>
      <w:r w:rsidRPr="00DB5C49">
        <w:rPr>
          <w:rFonts w:cs="Arial" w:hint="cs"/>
          <w:color w:val="E36C0A" w:themeColor="accent6" w:themeShade="BF"/>
          <w:rtl/>
        </w:rPr>
        <w:t>(וכ"פ בשו"ע)</w:t>
      </w:r>
    </w:p>
    <w:p w14:paraId="319D20D9" w14:textId="77777777" w:rsidR="004B607F" w:rsidRPr="00EB008E" w:rsidRDefault="004B607F" w:rsidP="004B607F">
      <w:pPr>
        <w:rPr>
          <w:rFonts w:cs="Arial"/>
          <w:u w:val="single"/>
          <w:rtl/>
        </w:rPr>
      </w:pPr>
      <w:r>
        <w:rPr>
          <w:rFonts w:cs="Arial" w:hint="cs"/>
          <w:u w:val="single"/>
          <w:rtl/>
        </w:rPr>
        <w:t>שלשה</w:t>
      </w:r>
      <w:r w:rsidRPr="00EB008E">
        <w:rPr>
          <w:rFonts w:cs="Arial"/>
          <w:u w:val="single"/>
          <w:rtl/>
        </w:rPr>
        <w:t xml:space="preserve"> שמעידים ששמעו מפי עדים</w:t>
      </w:r>
      <w:r>
        <w:rPr>
          <w:rFonts w:cs="Arial" w:hint="cs"/>
          <w:u w:val="single"/>
          <w:rtl/>
        </w:rPr>
        <w:t xml:space="preserve"> </w:t>
      </w:r>
      <w:r>
        <w:rPr>
          <w:rFonts w:cs="Arial"/>
          <w:u w:val="single"/>
          <w:rtl/>
        </w:rPr>
        <w:t>–</w:t>
      </w:r>
      <w:r>
        <w:rPr>
          <w:rFonts w:cs="Arial" w:hint="cs"/>
          <w:u w:val="single"/>
          <w:rtl/>
        </w:rPr>
        <w:t xml:space="preserve"> האם יכולים לדון במה ששמעו</w:t>
      </w:r>
      <w:r w:rsidRPr="00EB008E">
        <w:rPr>
          <w:rFonts w:cs="Arial" w:hint="cs"/>
          <w:u w:val="single"/>
          <w:rtl/>
        </w:rPr>
        <w:t>:</w:t>
      </w:r>
    </w:p>
    <w:p w14:paraId="7401FF45" w14:textId="77777777" w:rsidR="004B607F" w:rsidRPr="00FD01EC" w:rsidRDefault="004B607F" w:rsidP="004B0475">
      <w:pPr>
        <w:pStyle w:val="ac"/>
        <w:numPr>
          <w:ilvl w:val="0"/>
          <w:numId w:val="89"/>
        </w:numPr>
        <w:rPr>
          <w:rtl/>
        </w:rPr>
      </w:pPr>
      <w:r w:rsidRPr="009C219E">
        <w:rPr>
          <w:rFonts w:cs="Arial"/>
          <w:rtl/>
        </w:rPr>
        <w:t>נמוק</w:t>
      </w:r>
      <w:r w:rsidRPr="009C219E">
        <w:rPr>
          <w:rFonts w:cs="Arial" w:hint="cs"/>
          <w:rtl/>
        </w:rPr>
        <w:t>"</w:t>
      </w:r>
      <w:r w:rsidRPr="009C219E">
        <w:rPr>
          <w:rFonts w:cs="Arial"/>
          <w:rtl/>
        </w:rPr>
        <w:t xml:space="preserve">י </w:t>
      </w:r>
      <w:r w:rsidRPr="009C219E">
        <w:rPr>
          <w:rFonts w:cs="Arial" w:hint="cs"/>
          <w:sz w:val="16"/>
          <w:szCs w:val="16"/>
          <w:rtl/>
        </w:rPr>
        <w:t>(</w:t>
      </w:r>
      <w:r w:rsidRPr="009C219E">
        <w:rPr>
          <w:rFonts w:cs="Arial"/>
          <w:sz w:val="16"/>
          <w:szCs w:val="16"/>
          <w:rtl/>
        </w:rPr>
        <w:t>פרק חזקת כא.</w:t>
      </w:r>
      <w:r>
        <w:rPr>
          <w:rFonts w:cs="Arial" w:hint="cs"/>
          <w:sz w:val="16"/>
          <w:szCs w:val="16"/>
          <w:rtl/>
        </w:rPr>
        <w:t xml:space="preserve"> סוף דיבור ראשון</w:t>
      </w:r>
      <w:r w:rsidRPr="009C219E">
        <w:rPr>
          <w:rFonts w:cs="Arial"/>
          <w:sz w:val="16"/>
          <w:szCs w:val="16"/>
          <w:rtl/>
        </w:rPr>
        <w:t>)</w:t>
      </w:r>
      <w:r w:rsidRPr="009C219E">
        <w:rPr>
          <w:rFonts w:cs="Arial" w:hint="cs"/>
          <w:rtl/>
        </w:rPr>
        <w:t>-</w:t>
      </w:r>
      <w:r w:rsidRPr="009C219E">
        <w:rPr>
          <w:rFonts w:cs="Arial"/>
          <w:rtl/>
        </w:rPr>
        <w:t xml:space="preserve"> שנים שמעידים ששמעו מפי עדים </w:t>
      </w:r>
      <w:r>
        <w:rPr>
          <w:rFonts w:cs="Arial" w:hint="cs"/>
          <w:rtl/>
        </w:rPr>
        <w:t xml:space="preserve">- </w:t>
      </w:r>
      <w:r w:rsidRPr="009C219E">
        <w:rPr>
          <w:rFonts w:cs="Arial"/>
          <w:rtl/>
        </w:rPr>
        <w:t>לאו כלום הוא</w:t>
      </w:r>
      <w:r>
        <w:rPr>
          <w:rFonts w:cs="Arial" w:hint="cs"/>
          <w:rtl/>
        </w:rPr>
        <w:t>.</w:t>
      </w:r>
      <w:r w:rsidRPr="009C219E">
        <w:rPr>
          <w:rFonts w:cs="Arial"/>
          <w:rtl/>
        </w:rPr>
        <w:t xml:space="preserve"> אבל כשהם שלשה הוא בית דין ודומה לפסק די</w:t>
      </w:r>
      <w:r w:rsidRPr="009C219E">
        <w:rPr>
          <w:rFonts w:cs="Arial" w:hint="cs"/>
          <w:rtl/>
        </w:rPr>
        <w:t>ן</w:t>
      </w:r>
      <w:r>
        <w:rPr>
          <w:rStyle w:val="ab"/>
          <w:rFonts w:cs="Arial"/>
          <w:rtl/>
        </w:rPr>
        <w:footnoteReference w:id="1739"/>
      </w:r>
      <w:r w:rsidRPr="009C219E">
        <w:rPr>
          <w:rFonts w:cs="Arial" w:hint="cs"/>
          <w:rtl/>
        </w:rPr>
        <w:t>.</w:t>
      </w:r>
    </w:p>
    <w:p w14:paraId="0BAADD20" w14:textId="77777777" w:rsidR="004B607F" w:rsidRPr="003024E5" w:rsidRDefault="004B607F" w:rsidP="004B607F">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34F1CD32" w14:textId="77777777" w:rsidR="004B607F" w:rsidRDefault="004B607F" w:rsidP="004B607F">
      <w:pPr>
        <w:rPr>
          <w:rtl/>
        </w:rPr>
      </w:pPr>
      <w:r>
        <w:rPr>
          <w:rFonts w:cs="Arial"/>
          <w:rtl/>
        </w:rPr>
        <w:t>וכן אם העידו שני העדים בבית דין זה, וחזרו והעידו בבית דין אחר, וחזרו והעידו בבית דין שלישי, יבא אחד מכל בית דין, ויצטרפו לעשות בית דין חדש לדון על מה ששמעו. אבל דיין שהעידו שנים לפניו</w:t>
      </w:r>
      <w:r>
        <w:rPr>
          <w:rStyle w:val="ab"/>
          <w:rFonts w:cs="Arial"/>
          <w:rtl/>
        </w:rPr>
        <w:footnoteReference w:id="1740"/>
      </w:r>
      <w:r>
        <w:rPr>
          <w:rFonts w:cs="Arial"/>
          <w:rtl/>
        </w:rPr>
        <w:t>, אינו מצטרף עם עד אחד מהעדים שהעידו לפניו</w:t>
      </w:r>
      <w:r>
        <w:rPr>
          <w:rStyle w:val="ab"/>
          <w:rFonts w:cs="Arial"/>
          <w:rtl/>
        </w:rPr>
        <w:footnoteReference w:id="1741"/>
      </w:r>
      <w:r>
        <w:rPr>
          <w:rFonts w:cs="Arial"/>
          <w:rtl/>
        </w:rPr>
        <w:t xml:space="preserve">. </w:t>
      </w:r>
    </w:p>
    <w:p w14:paraId="3B59D653" w14:textId="77777777" w:rsidR="004B607F" w:rsidRDefault="004B607F" w:rsidP="004B607F">
      <w:pPr>
        <w:rPr>
          <w:rtl/>
        </w:rPr>
      </w:pPr>
    </w:p>
    <w:p w14:paraId="007FFBDB" w14:textId="77777777" w:rsidR="004B607F" w:rsidRDefault="004B607F" w:rsidP="004B607F">
      <w:pPr>
        <w:pStyle w:val="2"/>
        <w:rPr>
          <w:rtl/>
        </w:rPr>
      </w:pPr>
      <w:bookmarkStart w:id="248" w:name="_Toc24883718"/>
      <w:r>
        <w:rPr>
          <w:rtl/>
        </w:rPr>
        <w:t>סעיף יג</w:t>
      </w:r>
      <w:r>
        <w:rPr>
          <w:rFonts w:hint="cs"/>
          <w:rtl/>
        </w:rPr>
        <w:t xml:space="preserve">: צריך להעיד על דבר שלם </w:t>
      </w:r>
      <w:r>
        <w:rPr>
          <w:rFonts w:hint="cs"/>
          <w:sz w:val="18"/>
          <w:szCs w:val="18"/>
          <w:rtl/>
        </w:rPr>
        <w:t>(</w:t>
      </w:r>
      <w:r w:rsidRPr="00844F87">
        <w:rPr>
          <w:rFonts w:hint="cs"/>
          <w:sz w:val="18"/>
          <w:szCs w:val="18"/>
          <w:rtl/>
        </w:rPr>
        <w:t>ולא על חצי דבר)</w:t>
      </w:r>
      <w:r>
        <w:rPr>
          <w:rFonts w:hint="cs"/>
          <w:rtl/>
        </w:rPr>
        <w:t>.</w:t>
      </w:r>
      <w:bookmarkEnd w:id="248"/>
    </w:p>
    <w:p w14:paraId="48EDC1E5" w14:textId="77777777" w:rsidR="004B607F" w:rsidRDefault="004B607F" w:rsidP="004B607F">
      <w:pPr>
        <w:rPr>
          <w:rFonts w:cs="Arial"/>
          <w:rtl/>
        </w:rPr>
      </w:pPr>
      <w:r w:rsidRPr="00844F87">
        <w:rPr>
          <w:rFonts w:cs="Arial"/>
          <w:b/>
          <w:bCs/>
          <w:rtl/>
        </w:rPr>
        <w:t>דברים פרק יט פסוק טו</w:t>
      </w:r>
      <w:r w:rsidRPr="00844F87">
        <w:rPr>
          <w:rFonts w:cs="Arial" w:hint="cs"/>
          <w:b/>
          <w:bCs/>
          <w:rtl/>
        </w:rPr>
        <w:t xml:space="preserve">: </w:t>
      </w:r>
      <w:r w:rsidRPr="00844F87">
        <w:rPr>
          <w:rFonts w:cs="Arial"/>
          <w:rtl/>
        </w:rPr>
        <w:t>לֹא יָקוּם עֵד אֶחָד בְּאִישׁ לְכָל עָוֹן וּלְכָל חַטָּאת בְּכָל חֵטְא אֲשֶׁר יֶחֱטָא עַל פִּי שְׁנֵי עֵדִים אוֹ עַל פִּי שְׁלֹשָׁה עֵדִים יָקוּם דָּבָר</w:t>
      </w:r>
      <w:r>
        <w:rPr>
          <w:rFonts w:cs="Arial" w:hint="cs"/>
          <w:rtl/>
        </w:rPr>
        <w:t>.</w:t>
      </w:r>
    </w:p>
    <w:p w14:paraId="64345704" w14:textId="77777777" w:rsidR="004B607F" w:rsidRDefault="004B607F" w:rsidP="004B607F">
      <w:pPr>
        <w:rPr>
          <w:rFonts w:cs="Arial"/>
          <w:rtl/>
        </w:rPr>
      </w:pPr>
      <w:r>
        <w:rPr>
          <w:rFonts w:cs="Arial" w:hint="cs"/>
          <w:b/>
          <w:bCs/>
          <w:rtl/>
        </w:rPr>
        <w:t xml:space="preserve">בבא בתרא </w:t>
      </w:r>
      <w:r w:rsidRPr="00844F87">
        <w:rPr>
          <w:rFonts w:cs="Arial" w:hint="cs"/>
          <w:b/>
          <w:bCs/>
          <w:sz w:val="16"/>
          <w:szCs w:val="16"/>
          <w:rtl/>
        </w:rPr>
        <w:t xml:space="preserve">(פרק חזקת) </w:t>
      </w:r>
      <w:r>
        <w:rPr>
          <w:rFonts w:cs="Arial" w:hint="cs"/>
          <w:b/>
          <w:bCs/>
          <w:rtl/>
        </w:rPr>
        <w:t>נו</w:t>
      </w:r>
      <w:r>
        <w:rPr>
          <w:rStyle w:val="ab"/>
          <w:rFonts w:cs="Arial"/>
          <w:b/>
          <w:bCs/>
          <w:rtl/>
        </w:rPr>
        <w:footnoteReference w:id="1742"/>
      </w:r>
      <w:r>
        <w:rPr>
          <w:rFonts w:cs="Arial" w:hint="cs"/>
          <w:b/>
          <w:bCs/>
          <w:rtl/>
        </w:rPr>
        <w:t xml:space="preserve"> ע"א: </w:t>
      </w:r>
      <w:r w:rsidRPr="00844F87">
        <w:rPr>
          <w:rFonts w:cs="Arial"/>
          <w:u w:val="double"/>
          <w:rtl/>
        </w:rPr>
        <w:t>מתני'</w:t>
      </w:r>
      <w:r>
        <w:rPr>
          <w:rFonts w:cs="Arial" w:hint="cs"/>
          <w:rtl/>
        </w:rPr>
        <w:t>:</w:t>
      </w:r>
      <w:r w:rsidRPr="00844F87">
        <w:rPr>
          <w:rFonts w:cs="Arial"/>
          <w:rtl/>
        </w:rPr>
        <w:t xml:space="preserve"> היו שנים מעידין אותו</w:t>
      </w:r>
      <w:r>
        <w:rPr>
          <w:rStyle w:val="ab"/>
          <w:rFonts w:cs="Arial"/>
          <w:rtl/>
        </w:rPr>
        <w:footnoteReference w:id="1743"/>
      </w:r>
      <w:r w:rsidRPr="00844F87">
        <w:rPr>
          <w:rFonts w:cs="Arial"/>
          <w:rtl/>
        </w:rPr>
        <w:t xml:space="preserve"> שאכלה שלש שנים, ונמצאו זוממים - משלמין לו את הכל. שנים בראשונה, שנים בשניה, ושנים בשלישית </w:t>
      </w:r>
      <w:r>
        <w:rPr>
          <w:rFonts w:cs="Arial"/>
          <w:rtl/>
        </w:rPr>
        <w:t>–</w:t>
      </w:r>
      <w:r w:rsidRPr="00844F87">
        <w:rPr>
          <w:rtl/>
        </w:rPr>
        <w:t xml:space="preserve"> </w:t>
      </w:r>
      <w:r>
        <w:rPr>
          <w:rFonts w:hint="cs"/>
          <w:sz w:val="14"/>
          <w:szCs w:val="14"/>
          <w:rtl/>
        </w:rPr>
        <w:t xml:space="preserve">(נו:) </w:t>
      </w:r>
      <w:r w:rsidRPr="00844F87">
        <w:rPr>
          <w:rFonts w:cs="Arial"/>
          <w:rtl/>
        </w:rPr>
        <w:t>משלשין ביניהם</w:t>
      </w:r>
      <w:r>
        <w:rPr>
          <w:rStyle w:val="ab"/>
          <w:rFonts w:cs="Arial"/>
          <w:rtl/>
        </w:rPr>
        <w:footnoteReference w:id="1744"/>
      </w:r>
      <w:r w:rsidRPr="00844F87">
        <w:rPr>
          <w:rFonts w:cs="Arial"/>
          <w:rtl/>
        </w:rPr>
        <w:t>.</w:t>
      </w:r>
      <w:r>
        <w:rPr>
          <w:rFonts w:cs="Arial" w:hint="cs"/>
          <w:rtl/>
        </w:rPr>
        <w:t>..</w:t>
      </w:r>
      <w:r w:rsidRPr="00844F87">
        <w:rPr>
          <w:rFonts w:cs="Arial"/>
          <w:rtl/>
        </w:rPr>
        <w:t xml:space="preserve"> </w:t>
      </w:r>
      <w:r>
        <w:rPr>
          <w:rFonts w:cs="Arial" w:hint="cs"/>
          <w:rtl/>
        </w:rPr>
        <w:t xml:space="preserve">     </w:t>
      </w:r>
      <w:r w:rsidRPr="00844F87">
        <w:rPr>
          <w:rFonts w:cs="Arial"/>
          <w:u w:val="double"/>
          <w:rtl/>
        </w:rPr>
        <w:t>גמ'</w:t>
      </w:r>
      <w:r>
        <w:rPr>
          <w:rFonts w:cs="Arial" w:hint="cs"/>
          <w:rtl/>
        </w:rPr>
        <w:t>:</w:t>
      </w:r>
      <w:r w:rsidRPr="00844F87">
        <w:rPr>
          <w:rFonts w:cs="Arial"/>
          <w:rtl/>
        </w:rPr>
        <w:t xml:space="preserve"> מתני' דלא כרבי עקיבא</w:t>
      </w:r>
      <w:r>
        <w:rPr>
          <w:rFonts w:cs="Arial" w:hint="cs"/>
          <w:rtl/>
        </w:rPr>
        <w:t>,</w:t>
      </w:r>
      <w:r w:rsidRPr="00844F87">
        <w:rPr>
          <w:rFonts w:cs="Arial"/>
          <w:rtl/>
        </w:rPr>
        <w:t xml:space="preserve"> דתניא, </w:t>
      </w:r>
      <w:r w:rsidRPr="00844F87">
        <w:rPr>
          <w:rFonts w:cs="Arial"/>
          <w:u w:val="single"/>
          <w:rtl/>
        </w:rPr>
        <w:t>א"ר יוסי</w:t>
      </w:r>
      <w:r w:rsidRPr="00844F87">
        <w:rPr>
          <w:rFonts w:cs="Arial"/>
          <w:rtl/>
        </w:rPr>
        <w:t xml:space="preserve">: כשהלך אבא חלפתא אצל רבי יוחנן בן נורי ללמוד תורה, </w:t>
      </w:r>
      <w:r w:rsidRPr="00844F87">
        <w:rPr>
          <w:rFonts w:cs="Arial"/>
          <w:u w:val="single"/>
          <w:rtl/>
        </w:rPr>
        <w:t>ואמרי לה</w:t>
      </w:r>
      <w:r w:rsidRPr="00844F87">
        <w:rPr>
          <w:rFonts w:cs="Arial"/>
          <w:rtl/>
        </w:rPr>
        <w:t>: ר' יוחנן בן נורי אצל אבא חלפתא ללמוד תורה, אמר לו: הרי שאכלה שנה ראשונה בפני שנים, שניה בפני שנים, שלישית בפני שנים, מהו? אמר לו: הרי זו חזקה</w:t>
      </w:r>
      <w:r>
        <w:rPr>
          <w:rFonts w:cs="Arial" w:hint="cs"/>
          <w:rtl/>
        </w:rPr>
        <w:t>.</w:t>
      </w:r>
      <w:r w:rsidRPr="00844F87">
        <w:rPr>
          <w:rFonts w:cs="Arial"/>
          <w:rtl/>
        </w:rPr>
        <w:t xml:space="preserve"> אמר לו: אף אני אומר כן, אלא שר"ע חולק בדבר זה, שהיה ר"ע אומר: דבר - ולא חצי דבר. </w:t>
      </w:r>
      <w:r w:rsidRPr="00844F87">
        <w:rPr>
          <w:rFonts w:cs="Arial"/>
          <w:rtl/>
        </w:rPr>
        <w:lastRenderedPageBreak/>
        <w:t>ורבנן האי דבר - ולא חצי דבר מאי עבדי ליה? אילימא למעוטי אחד אומר אחת בגבה ואחד אומר אחת בכריסה, האי חצי דבר וחצי עדות היא</w:t>
      </w:r>
      <w:r>
        <w:rPr>
          <w:rStyle w:val="ab"/>
          <w:rFonts w:cs="Arial"/>
          <w:rtl/>
        </w:rPr>
        <w:footnoteReference w:id="1745"/>
      </w:r>
      <w:r w:rsidRPr="00844F87">
        <w:rPr>
          <w:rFonts w:cs="Arial"/>
          <w:rtl/>
        </w:rPr>
        <w:t>! אלא למעוטי שנים אומרים אחת בגבה ושנים אומרים אחת בכריסה</w:t>
      </w:r>
      <w:r>
        <w:rPr>
          <w:rStyle w:val="ab"/>
          <w:rFonts w:cs="Arial"/>
          <w:rtl/>
        </w:rPr>
        <w:footnoteReference w:id="1746"/>
      </w:r>
      <w:r w:rsidRPr="00844F87">
        <w:rPr>
          <w:rFonts w:cs="Arial"/>
          <w:rtl/>
        </w:rPr>
        <w:t xml:space="preserve">. </w:t>
      </w:r>
    </w:p>
    <w:p w14:paraId="46FB1E2D" w14:textId="77777777" w:rsidR="004B607F" w:rsidRDefault="004B607F" w:rsidP="004B607F">
      <w:pPr>
        <w:rPr>
          <w:rFonts w:cs="Arial"/>
          <w:rtl/>
        </w:rPr>
      </w:pPr>
      <w:r w:rsidRPr="00844F87">
        <w:rPr>
          <w:rFonts w:cs="Arial" w:hint="cs"/>
          <w:u w:val="single"/>
          <w:rtl/>
        </w:rPr>
        <w:t xml:space="preserve">עדות על דבר שלם </w:t>
      </w:r>
      <w:r w:rsidRPr="00844F87">
        <w:rPr>
          <w:rFonts w:cs="Arial"/>
          <w:u w:val="single"/>
          <w:rtl/>
        </w:rPr>
        <w:t>–</w:t>
      </w:r>
      <w:r w:rsidRPr="00844F87">
        <w:rPr>
          <w:rFonts w:cs="Arial" w:hint="cs"/>
          <w:u w:val="single"/>
          <w:rtl/>
        </w:rPr>
        <w:t xml:space="preserve"> כיצד:</w:t>
      </w:r>
    </w:p>
    <w:p w14:paraId="2AC18981" w14:textId="77777777" w:rsidR="004B607F" w:rsidRPr="00923435" w:rsidRDefault="004B607F" w:rsidP="004B0475">
      <w:pPr>
        <w:pStyle w:val="ac"/>
        <w:numPr>
          <w:ilvl w:val="0"/>
          <w:numId w:val="89"/>
        </w:numPr>
        <w:rPr>
          <w:rFonts w:cs="Arial"/>
        </w:rPr>
      </w:pPr>
      <w:r>
        <w:rPr>
          <w:rFonts w:cs="Arial" w:hint="cs"/>
          <w:rtl/>
        </w:rPr>
        <w:t xml:space="preserve">רמב"ם </w:t>
      </w:r>
      <w:r>
        <w:rPr>
          <w:rFonts w:cs="Arial" w:hint="cs"/>
          <w:sz w:val="16"/>
          <w:szCs w:val="16"/>
          <w:rtl/>
        </w:rPr>
        <w:t xml:space="preserve">(עדות פ"ד ה"ז) </w:t>
      </w:r>
      <w:r>
        <w:rPr>
          <w:rFonts w:cs="Arial" w:hint="cs"/>
          <w:rtl/>
        </w:rPr>
        <w:t>ו</w:t>
      </w:r>
      <w:r w:rsidRPr="00844F87">
        <w:rPr>
          <w:rFonts w:cs="Arial" w:hint="cs"/>
          <w:rtl/>
        </w:rPr>
        <w:t xml:space="preserve">טור- </w:t>
      </w:r>
      <w:r w:rsidRPr="00844F87">
        <w:rPr>
          <w:rFonts w:cs="Arial"/>
          <w:rtl/>
        </w:rPr>
        <w:t>צריך שיעיד כל אחד ואחד על דבר שלם</w:t>
      </w:r>
      <w:r w:rsidRPr="00844F87">
        <w:rPr>
          <w:rFonts w:cs="Arial" w:hint="cs"/>
          <w:rtl/>
        </w:rPr>
        <w:t>,</w:t>
      </w:r>
      <w:r w:rsidRPr="00844F87">
        <w:rPr>
          <w:rFonts w:cs="Arial"/>
          <w:rtl/>
        </w:rPr>
        <w:t xml:space="preserve"> אבל אם העידו על חצי דבר אינו כלום</w:t>
      </w:r>
      <w:r w:rsidRPr="00844F87">
        <w:rPr>
          <w:rFonts w:cs="Arial" w:hint="cs"/>
          <w:rtl/>
        </w:rPr>
        <w:t>.</w:t>
      </w:r>
      <w:r w:rsidRPr="00844F87">
        <w:rPr>
          <w:rFonts w:cs="Arial"/>
          <w:rtl/>
        </w:rPr>
        <w:t xml:space="preserve"> כיצד</w:t>
      </w:r>
      <w:r>
        <w:rPr>
          <w:rFonts w:cs="Arial" w:hint="cs"/>
          <w:rtl/>
        </w:rPr>
        <w:t>,</w:t>
      </w:r>
      <w:r w:rsidRPr="00844F87">
        <w:rPr>
          <w:rFonts w:cs="Arial"/>
          <w:rtl/>
        </w:rPr>
        <w:t xml:space="preserve"> באו להעיד על אחד שהוא גדול</w:t>
      </w:r>
      <w:r w:rsidRPr="00844F87">
        <w:rPr>
          <w:rFonts w:cs="Arial" w:hint="cs"/>
          <w:rtl/>
        </w:rPr>
        <w:t>,</w:t>
      </w:r>
      <w:r w:rsidRPr="00844F87">
        <w:rPr>
          <w:rFonts w:cs="Arial"/>
          <w:rtl/>
        </w:rPr>
        <w:t xml:space="preserve"> והעיד אחד שראה לו שער אחד בימינו והשני בשמאלו</w:t>
      </w:r>
      <w:r>
        <w:rPr>
          <w:rStyle w:val="ab"/>
          <w:rFonts w:cs="Arial"/>
          <w:rtl/>
        </w:rPr>
        <w:footnoteReference w:id="1747"/>
      </w:r>
      <w:r w:rsidRPr="00844F87">
        <w:rPr>
          <w:rFonts w:cs="Arial"/>
          <w:rtl/>
        </w:rPr>
        <w:t xml:space="preserve"> </w:t>
      </w:r>
      <w:r w:rsidRPr="00844F87">
        <w:rPr>
          <w:rFonts w:cs="Arial" w:hint="cs"/>
          <w:rtl/>
        </w:rPr>
        <w:t xml:space="preserve">- </w:t>
      </w:r>
      <w:r w:rsidRPr="00844F87">
        <w:rPr>
          <w:rFonts w:cs="Arial"/>
          <w:rtl/>
        </w:rPr>
        <w:t>אינו כלום</w:t>
      </w:r>
      <w:r w:rsidRPr="00844F87">
        <w:rPr>
          <w:rFonts w:cs="Arial" w:hint="cs"/>
          <w:rtl/>
        </w:rPr>
        <w:t>,</w:t>
      </w:r>
      <w:r w:rsidRPr="00844F87">
        <w:rPr>
          <w:rFonts w:cs="Arial"/>
          <w:rtl/>
        </w:rPr>
        <w:t xml:space="preserve"> שכל אחד לא העיד אלא על קצת הסימנים</w:t>
      </w:r>
      <w:r w:rsidRPr="00844F87">
        <w:rPr>
          <w:rFonts w:cs="Arial" w:hint="cs"/>
          <w:rtl/>
        </w:rPr>
        <w:t>,</w:t>
      </w:r>
      <w:r w:rsidRPr="00844F87">
        <w:rPr>
          <w:rFonts w:cs="Arial"/>
          <w:rtl/>
        </w:rPr>
        <w:t xml:space="preserve"> אפי' העידו ב' בשער אחד ושנים בשניה אינו כלום</w:t>
      </w:r>
      <w:r w:rsidRPr="00844F87">
        <w:rPr>
          <w:rFonts w:cs="Arial" w:hint="cs"/>
          <w:rtl/>
        </w:rPr>
        <w:t>,</w:t>
      </w:r>
      <w:r w:rsidRPr="00844F87">
        <w:rPr>
          <w:rFonts w:cs="Arial"/>
          <w:rtl/>
        </w:rPr>
        <w:t xml:space="preserve"> שהרי כל כת וכת לא העידה אלא על חצי דבר</w:t>
      </w:r>
      <w:r w:rsidRPr="00844F87">
        <w:rPr>
          <w:rFonts w:cs="Arial" w:hint="cs"/>
          <w:rtl/>
        </w:rPr>
        <w:t>,</w:t>
      </w:r>
      <w:r w:rsidRPr="00844F87">
        <w:rPr>
          <w:rFonts w:cs="Arial"/>
          <w:rtl/>
        </w:rPr>
        <w:t xml:space="preserve"> אבל העיד אחד שראה שתי שערות בימינו ואחד העיד שראה ב' בשמאלו </w:t>
      </w:r>
      <w:r>
        <w:rPr>
          <w:rFonts w:cs="Arial"/>
          <w:rtl/>
        </w:rPr>
        <w:t>–</w:t>
      </w:r>
      <w:r>
        <w:rPr>
          <w:rFonts w:cs="Arial" w:hint="cs"/>
          <w:rtl/>
        </w:rPr>
        <w:t xml:space="preserve"> </w:t>
      </w:r>
      <w:r w:rsidRPr="00844F87">
        <w:rPr>
          <w:rFonts w:cs="Arial"/>
          <w:rtl/>
        </w:rPr>
        <w:t>מצטרפין</w:t>
      </w:r>
      <w:r>
        <w:rPr>
          <w:rStyle w:val="ab"/>
          <w:rFonts w:cs="Arial"/>
          <w:rtl/>
        </w:rPr>
        <w:footnoteReference w:id="1748"/>
      </w:r>
      <w:r>
        <w:rPr>
          <w:rFonts w:cs="Arial" w:hint="cs"/>
          <w:rtl/>
        </w:rPr>
        <w:t>.</w:t>
      </w:r>
      <w:r w:rsidRPr="00844F87">
        <w:rPr>
          <w:rFonts w:cs="Arial"/>
          <w:rtl/>
        </w:rPr>
        <w:t xml:space="preserve"> וכל כיוצא בזה</w:t>
      </w:r>
      <w:r>
        <w:rPr>
          <w:rFonts w:cs="Arial" w:hint="cs"/>
          <w:sz w:val="16"/>
          <w:szCs w:val="16"/>
          <w:rtl/>
        </w:rPr>
        <w:t xml:space="preserve"> (ל' הטור)</w:t>
      </w:r>
      <w:r w:rsidRPr="00844F87">
        <w:rPr>
          <w:rFonts w:cs="Arial" w:hint="cs"/>
          <w:rtl/>
        </w:rPr>
        <w:t>.</w:t>
      </w:r>
      <w:r w:rsidRPr="00844F87">
        <w:rPr>
          <w:rFonts w:cs="Arial"/>
          <w:rtl/>
        </w:rPr>
        <w:t xml:space="preserve"> </w:t>
      </w:r>
      <w:r w:rsidRPr="00DB5C49">
        <w:rPr>
          <w:rFonts w:cs="Arial" w:hint="cs"/>
          <w:color w:val="E36C0A" w:themeColor="accent6" w:themeShade="BF"/>
          <w:rtl/>
        </w:rPr>
        <w:t>(וכ"פ בשו"ע)</w:t>
      </w:r>
    </w:p>
    <w:p w14:paraId="5DC4D594" w14:textId="77777777" w:rsidR="004B607F" w:rsidRPr="003024E5" w:rsidRDefault="004B607F" w:rsidP="004B607F">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6342860D" w14:textId="77777777" w:rsidR="004B607F" w:rsidRDefault="004B607F" w:rsidP="004B607F">
      <w:pPr>
        <w:rPr>
          <w:rtl/>
        </w:rPr>
      </w:pPr>
      <w:r>
        <w:rPr>
          <w:rFonts w:cs="Arial"/>
          <w:rtl/>
        </w:rPr>
        <w:t>צריך שיעיד כל אחד על דבר שלם, אבל אם העידו על חצי דבר, אינו כלום. כיצד, באו להעיד על אחד שהוא גדול, והעיד אחד שראה לו שער אחד בימינו, והשני בשמאלו, אינו כלום, שכל אחד לא העיד אלא על קצת הסימנים. אפילו העידו שנים בשער אחד, ושנים בשני, אינו כלום, שהרי כל כת לא העידה אלא על חצי דבר. אבל אם העיד עד אחד שראה שתי שערות בימינו, ועד אחד העיד שראה שתי שערות בשמאלו, מצטרפין</w:t>
      </w:r>
      <w:r>
        <w:rPr>
          <w:rFonts w:cs="Arial" w:hint="cs"/>
          <w:rtl/>
        </w:rPr>
        <w:t>.</w:t>
      </w:r>
      <w:r>
        <w:rPr>
          <w:rFonts w:cs="Arial"/>
          <w:rtl/>
        </w:rPr>
        <w:t xml:space="preserve"> וכן כל כיוצא בזה.</w:t>
      </w:r>
      <w:r>
        <w:rPr>
          <w:rFonts w:cs="Arial" w:hint="cs"/>
          <w:rtl/>
        </w:rPr>
        <w:t xml:space="preserve"> </w:t>
      </w:r>
    </w:p>
    <w:p w14:paraId="0A1D8129" w14:textId="77777777" w:rsidR="004B607F" w:rsidRDefault="004B607F" w:rsidP="004B607F">
      <w:pPr>
        <w:rPr>
          <w:rtl/>
        </w:rPr>
      </w:pPr>
    </w:p>
    <w:p w14:paraId="28F0AC9B" w14:textId="77777777" w:rsidR="004B607F" w:rsidRDefault="004B607F" w:rsidP="004B607F">
      <w:pPr>
        <w:pStyle w:val="2"/>
        <w:rPr>
          <w:rtl/>
        </w:rPr>
      </w:pPr>
      <w:bookmarkStart w:id="249" w:name="_Toc24883719"/>
      <w:r>
        <w:rPr>
          <w:rtl/>
        </w:rPr>
        <w:t>סעיף יד</w:t>
      </w:r>
      <w:r>
        <w:rPr>
          <w:rFonts w:hint="cs"/>
          <w:rtl/>
        </w:rPr>
        <w:t>:</w:t>
      </w:r>
      <w:r w:rsidRPr="007675C0">
        <w:rPr>
          <w:rFonts w:cs="Arial"/>
          <w:rtl/>
        </w:rPr>
        <w:t xml:space="preserve"> </w:t>
      </w:r>
      <w:r>
        <w:rPr>
          <w:rFonts w:cs="Arial"/>
          <w:rtl/>
        </w:rPr>
        <w:t>עדות בידיעה שלא בראייה</w:t>
      </w:r>
      <w:r>
        <w:rPr>
          <w:rFonts w:hint="cs"/>
          <w:rtl/>
        </w:rPr>
        <w:t>.</w:t>
      </w:r>
      <w:bookmarkEnd w:id="249"/>
    </w:p>
    <w:p w14:paraId="341A7E51" w14:textId="77777777" w:rsidR="004B607F" w:rsidRPr="007675C0" w:rsidRDefault="004B607F" w:rsidP="004B607F">
      <w:pPr>
        <w:rPr>
          <w:u w:val="single"/>
        </w:rPr>
      </w:pPr>
      <w:r w:rsidRPr="007675C0">
        <w:rPr>
          <w:rFonts w:hint="cs"/>
          <w:u w:val="single"/>
          <w:rtl/>
        </w:rPr>
        <w:t xml:space="preserve">עד אחד בדיני ממונות </w:t>
      </w:r>
      <w:r w:rsidRPr="007675C0">
        <w:rPr>
          <w:u w:val="single"/>
          <w:rtl/>
        </w:rPr>
        <w:t>–</w:t>
      </w:r>
      <w:r w:rsidRPr="007675C0">
        <w:rPr>
          <w:rFonts w:hint="cs"/>
          <w:u w:val="single"/>
          <w:rtl/>
        </w:rPr>
        <w:t xml:space="preserve"> </w:t>
      </w:r>
      <w:r>
        <w:rPr>
          <w:rFonts w:hint="cs"/>
          <w:u w:val="single"/>
          <w:rtl/>
        </w:rPr>
        <w:t>במילתא</w:t>
      </w:r>
      <w:r w:rsidRPr="007675C0">
        <w:rPr>
          <w:rFonts w:hint="cs"/>
          <w:u w:val="single"/>
          <w:rtl/>
        </w:rPr>
        <w:t xml:space="preserve"> דעבידא לאגלויי:</w:t>
      </w:r>
      <w:r w:rsidRPr="007675C0">
        <w:rPr>
          <w:rFonts w:cs="Arial" w:hint="cs"/>
          <w:sz w:val="16"/>
          <w:szCs w:val="16"/>
          <w:rtl/>
        </w:rPr>
        <w:t xml:space="preserve"> </w:t>
      </w:r>
      <w:r>
        <w:rPr>
          <w:rFonts w:cs="Arial" w:hint="cs"/>
          <w:sz w:val="16"/>
          <w:szCs w:val="16"/>
          <w:rtl/>
        </w:rPr>
        <w:t xml:space="preserve">   (</w:t>
      </w:r>
      <w:r w:rsidRPr="007675C0">
        <w:rPr>
          <w:rFonts w:cs="Arial" w:hint="cs"/>
          <w:sz w:val="16"/>
          <w:szCs w:val="16"/>
          <w:rtl/>
        </w:rPr>
        <w:t xml:space="preserve">דרכ"מ [אות </w:t>
      </w:r>
      <w:r w:rsidRPr="007675C0">
        <w:rPr>
          <w:rFonts w:cs="Arial"/>
          <w:sz w:val="16"/>
          <w:szCs w:val="16"/>
          <w:rtl/>
        </w:rPr>
        <w:t>ב****</w:t>
      </w:r>
      <w:r w:rsidRPr="007675C0">
        <w:rPr>
          <w:rFonts w:cs="Arial" w:hint="cs"/>
          <w:sz w:val="16"/>
          <w:szCs w:val="16"/>
          <w:rtl/>
        </w:rPr>
        <w:t>])</w:t>
      </w:r>
    </w:p>
    <w:p w14:paraId="776CB241" w14:textId="77777777" w:rsidR="004B607F" w:rsidRDefault="004B607F" w:rsidP="004B0475">
      <w:pPr>
        <w:pStyle w:val="ac"/>
        <w:numPr>
          <w:ilvl w:val="0"/>
          <w:numId w:val="89"/>
        </w:numPr>
      </w:pPr>
      <w:r w:rsidRPr="00FD01EC">
        <w:rPr>
          <w:rFonts w:cs="Arial"/>
          <w:rtl/>
        </w:rPr>
        <w:t xml:space="preserve">ריב"ש </w:t>
      </w:r>
      <w:r w:rsidRPr="007675C0">
        <w:rPr>
          <w:rFonts w:cs="Arial" w:hint="cs"/>
          <w:sz w:val="16"/>
          <w:szCs w:val="16"/>
          <w:rtl/>
        </w:rPr>
        <w:t>(</w:t>
      </w:r>
      <w:r w:rsidRPr="007675C0">
        <w:rPr>
          <w:rFonts w:cs="Arial"/>
          <w:sz w:val="16"/>
          <w:szCs w:val="16"/>
          <w:rtl/>
        </w:rPr>
        <w:t>סי</w:t>
      </w:r>
      <w:r w:rsidRPr="007675C0">
        <w:rPr>
          <w:rFonts w:cs="Arial" w:hint="cs"/>
          <w:sz w:val="16"/>
          <w:szCs w:val="16"/>
          <w:rtl/>
        </w:rPr>
        <w:t>'</w:t>
      </w:r>
      <w:r w:rsidRPr="007675C0">
        <w:rPr>
          <w:rFonts w:cs="Arial"/>
          <w:sz w:val="16"/>
          <w:szCs w:val="16"/>
          <w:rtl/>
        </w:rPr>
        <w:t xml:space="preserve"> קפא</w:t>
      </w:r>
      <w:r>
        <w:rPr>
          <w:rFonts w:cs="Arial" w:hint="cs"/>
          <w:sz w:val="16"/>
          <w:szCs w:val="16"/>
          <w:rtl/>
        </w:rPr>
        <w:t>)</w:t>
      </w:r>
      <w:r>
        <w:rPr>
          <w:rFonts w:cs="Arial" w:hint="cs"/>
          <w:rtl/>
        </w:rPr>
        <w:t>-</w:t>
      </w:r>
      <w:r w:rsidRPr="00FD01EC">
        <w:rPr>
          <w:rFonts w:cs="Arial"/>
          <w:rtl/>
        </w:rPr>
        <w:t xml:space="preserve"> </w:t>
      </w:r>
      <w:r w:rsidRPr="007675C0">
        <w:rPr>
          <w:rFonts w:cs="Arial"/>
          <w:rtl/>
        </w:rPr>
        <w:t>אין עד אחד נאמן אלא מדרבנן בעדות אשה משום עגונא ולא בממון אפילו במילתא דעבידא לאגלויי</w:t>
      </w:r>
      <w:r>
        <w:rPr>
          <w:rFonts w:cs="Arial" w:hint="cs"/>
          <w:rtl/>
        </w:rPr>
        <w:t>.</w:t>
      </w:r>
      <w:r>
        <w:rPr>
          <w:rFonts w:hint="cs"/>
          <w:rtl/>
        </w:rPr>
        <w:t xml:space="preserve"> </w:t>
      </w:r>
      <w:r w:rsidRPr="007675C0">
        <w:rPr>
          <w:rFonts w:hint="cs"/>
          <w:color w:val="00B0F0"/>
          <w:rtl/>
        </w:rPr>
        <w:t>(וכ"פ הרמ"א)</w:t>
      </w:r>
    </w:p>
    <w:p w14:paraId="1FFF56BC" w14:textId="77777777" w:rsidR="004B607F" w:rsidRPr="006C380F" w:rsidRDefault="004B607F" w:rsidP="004B0475">
      <w:pPr>
        <w:pStyle w:val="ac"/>
        <w:numPr>
          <w:ilvl w:val="0"/>
          <w:numId w:val="89"/>
        </w:numPr>
        <w:rPr>
          <w:rtl/>
        </w:rPr>
      </w:pPr>
      <w:r w:rsidRPr="007675C0">
        <w:rPr>
          <w:rFonts w:cs="Arial"/>
          <w:rtl/>
        </w:rPr>
        <w:t>הר</w:t>
      </w:r>
      <w:r>
        <w:rPr>
          <w:rFonts w:cs="Arial" w:hint="cs"/>
          <w:rtl/>
        </w:rPr>
        <w:t>ב</w:t>
      </w:r>
      <w:r w:rsidRPr="007675C0">
        <w:rPr>
          <w:rFonts w:cs="Arial"/>
          <w:rtl/>
        </w:rPr>
        <w:t xml:space="preserve"> דוראן</w:t>
      </w:r>
      <w:r w:rsidRPr="007675C0">
        <w:rPr>
          <w:rFonts w:cs="Arial"/>
          <w:sz w:val="16"/>
          <w:szCs w:val="16"/>
          <w:rtl/>
        </w:rPr>
        <w:t xml:space="preserve"> </w:t>
      </w:r>
      <w:r w:rsidRPr="007675C0">
        <w:rPr>
          <w:rFonts w:cs="Arial" w:hint="cs"/>
          <w:sz w:val="16"/>
          <w:szCs w:val="16"/>
          <w:rtl/>
        </w:rPr>
        <w:t>(הביאו הריב"ש שם)</w:t>
      </w:r>
      <w:r>
        <w:rPr>
          <w:rFonts w:cs="Arial" w:hint="cs"/>
          <w:rtl/>
        </w:rPr>
        <w:t>-</w:t>
      </w:r>
      <w:r w:rsidRPr="007675C0">
        <w:rPr>
          <w:rFonts w:cs="Arial"/>
          <w:rtl/>
        </w:rPr>
        <w:t xml:space="preserve"> עד אחד במילתא דעבידא לאגלויי נאמן מן התורה ואפי' בממון.</w:t>
      </w:r>
    </w:p>
    <w:p w14:paraId="21AF2C29" w14:textId="77777777" w:rsidR="004B607F" w:rsidRPr="003024E5" w:rsidRDefault="004B607F" w:rsidP="004B607F">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583DEDC5" w14:textId="77777777" w:rsidR="004B607F" w:rsidRDefault="004B607F" w:rsidP="004B607F">
      <w:pPr>
        <w:rPr>
          <w:rtl/>
        </w:rPr>
      </w:pPr>
      <w:r>
        <w:rPr>
          <w:rFonts w:cs="Arial"/>
          <w:rtl/>
        </w:rPr>
        <w:t>עדות בידיעה שלא בראייה, יתבאר בסימן צ'</w:t>
      </w:r>
      <w:r>
        <w:rPr>
          <w:rStyle w:val="ab"/>
          <w:rFonts w:cs="Arial"/>
          <w:rtl/>
        </w:rPr>
        <w:footnoteReference w:id="1749"/>
      </w:r>
      <w:r>
        <w:rPr>
          <w:rFonts w:cs="Arial"/>
          <w:rtl/>
        </w:rPr>
        <w:t xml:space="preserve"> שיש מי שאומר דהוי עדות. </w:t>
      </w:r>
      <w:r w:rsidRPr="00510515">
        <w:rPr>
          <w:rFonts w:cs="Arial" w:hint="cs"/>
          <w:sz w:val="18"/>
          <w:szCs w:val="18"/>
          <w:rtl/>
        </w:rPr>
        <w:t>[הגה]</w:t>
      </w:r>
      <w:r w:rsidRPr="00510515">
        <w:rPr>
          <w:rFonts w:cs="Arial"/>
          <w:sz w:val="18"/>
          <w:szCs w:val="18"/>
          <w:rtl/>
        </w:rPr>
        <w:t xml:space="preserve"> אין חילוק בדיני ממונות בין מלתא דעבידא לגלויי או לא</w:t>
      </w:r>
      <w:r>
        <w:rPr>
          <w:rStyle w:val="ab"/>
          <w:rFonts w:cs="Arial"/>
          <w:sz w:val="18"/>
          <w:szCs w:val="18"/>
          <w:rtl/>
        </w:rPr>
        <w:footnoteReference w:id="1750"/>
      </w:r>
      <w:r w:rsidRPr="00510515">
        <w:rPr>
          <w:rFonts w:cs="Arial"/>
          <w:sz w:val="18"/>
          <w:szCs w:val="18"/>
          <w:rtl/>
        </w:rPr>
        <w:t xml:space="preserve"> (ריב</w:t>
      </w:r>
      <w:r w:rsidRPr="00510515">
        <w:rPr>
          <w:rFonts w:cs="Arial" w:hint="cs"/>
          <w:sz w:val="18"/>
          <w:szCs w:val="18"/>
          <w:rtl/>
        </w:rPr>
        <w:t>"</w:t>
      </w:r>
      <w:r w:rsidRPr="00510515">
        <w:rPr>
          <w:rFonts w:cs="Arial"/>
          <w:sz w:val="18"/>
          <w:szCs w:val="18"/>
          <w:rtl/>
        </w:rPr>
        <w:t>ש סי</w:t>
      </w:r>
      <w:r w:rsidRPr="00510515">
        <w:rPr>
          <w:rFonts w:cs="Arial" w:hint="cs"/>
          <w:sz w:val="18"/>
          <w:szCs w:val="18"/>
          <w:rtl/>
        </w:rPr>
        <w:t>'</w:t>
      </w:r>
      <w:r w:rsidRPr="00510515">
        <w:rPr>
          <w:rFonts w:cs="Arial"/>
          <w:sz w:val="18"/>
          <w:szCs w:val="18"/>
          <w:rtl/>
        </w:rPr>
        <w:t xml:space="preserve"> קפא).</w:t>
      </w:r>
    </w:p>
    <w:p w14:paraId="5AD78657" w14:textId="77777777" w:rsidR="004B607F" w:rsidRDefault="004B607F" w:rsidP="004B607F">
      <w:pPr>
        <w:pStyle w:val="1"/>
        <w:rPr>
          <w:rtl/>
        </w:rPr>
        <w:sectPr w:rsidR="004B607F" w:rsidSect="004B607F">
          <w:headerReference w:type="default" r:id="rId40"/>
          <w:footnotePr>
            <w:numRestart w:val="eachPage"/>
          </w:footnotePr>
          <w:pgSz w:w="11906" w:h="16838"/>
          <w:pgMar w:top="720" w:right="1134" w:bottom="720" w:left="1134" w:header="0" w:footer="0" w:gutter="0"/>
          <w:cols w:space="720"/>
          <w:bidi/>
          <w:rtlGutter/>
          <w:docGrid w:linePitch="360"/>
        </w:sectPr>
      </w:pPr>
    </w:p>
    <w:p w14:paraId="1949A767" w14:textId="77777777" w:rsidR="004B607F" w:rsidRDefault="004B607F" w:rsidP="004B607F">
      <w:pPr>
        <w:pStyle w:val="1"/>
        <w:rPr>
          <w:rtl/>
        </w:rPr>
      </w:pPr>
      <w:bookmarkStart w:id="250" w:name="_Toc24883720"/>
      <w:r>
        <w:rPr>
          <w:rFonts w:hint="cs"/>
          <w:rtl/>
        </w:rPr>
        <w:lastRenderedPageBreak/>
        <w:t xml:space="preserve">סימן לא: </w:t>
      </w:r>
      <w:r>
        <w:rPr>
          <w:rtl/>
        </w:rPr>
        <w:t>דין הרבה כתי עדיות, ובו ד' סעיפים.</w:t>
      </w:r>
      <w:bookmarkEnd w:id="250"/>
      <w:r>
        <w:rPr>
          <w:rtl/>
        </w:rPr>
        <w:t xml:space="preserve"> </w:t>
      </w:r>
    </w:p>
    <w:p w14:paraId="39A7CE32" w14:textId="77777777" w:rsidR="004B607F" w:rsidRPr="00396CE2" w:rsidRDefault="004B607F" w:rsidP="004B607F">
      <w:pPr>
        <w:pStyle w:val="2"/>
        <w:rPr>
          <w:rtl/>
        </w:rPr>
      </w:pPr>
      <w:bookmarkStart w:id="251" w:name="_Toc24883721"/>
      <w:r w:rsidRPr="00396CE2">
        <w:rPr>
          <w:rtl/>
        </w:rPr>
        <w:t>סעיף א</w:t>
      </w:r>
      <w:r w:rsidRPr="00396CE2">
        <w:rPr>
          <w:rFonts w:hint="cs"/>
          <w:rtl/>
        </w:rPr>
        <w:t>:</w:t>
      </w:r>
      <w:r w:rsidRPr="00396CE2">
        <w:rPr>
          <w:rFonts w:cs="Arial"/>
          <w:rtl/>
        </w:rPr>
        <w:t xml:space="preserve"> שתי כיתי עדים המכחישות זו את זו</w:t>
      </w:r>
      <w:r w:rsidRPr="00396CE2">
        <w:rPr>
          <w:rFonts w:hint="cs"/>
          <w:rtl/>
        </w:rPr>
        <w:t>.</w:t>
      </w:r>
      <w:bookmarkEnd w:id="251"/>
    </w:p>
    <w:p w14:paraId="759E1B58" w14:textId="77777777" w:rsidR="004B607F" w:rsidRDefault="004B607F" w:rsidP="004B607F">
      <w:pPr>
        <w:rPr>
          <w:rFonts w:cs="Arial"/>
          <w:rtl/>
        </w:rPr>
      </w:pPr>
      <w:r>
        <w:rPr>
          <w:rFonts w:cs="Arial" w:hint="cs"/>
          <w:b/>
          <w:bCs/>
          <w:rtl/>
        </w:rPr>
        <w:t xml:space="preserve">שבועות </w:t>
      </w:r>
      <w:r w:rsidRPr="00396CE2">
        <w:rPr>
          <w:rFonts w:cs="Arial" w:hint="cs"/>
          <w:b/>
          <w:bCs/>
          <w:sz w:val="16"/>
          <w:szCs w:val="16"/>
          <w:rtl/>
        </w:rPr>
        <w:t xml:space="preserve">(פרק כל הנשבעין) </w:t>
      </w:r>
      <w:r>
        <w:rPr>
          <w:rFonts w:cs="Arial" w:hint="cs"/>
          <w:b/>
          <w:bCs/>
          <w:rtl/>
        </w:rPr>
        <w:t>מז</w:t>
      </w:r>
      <w:r>
        <w:rPr>
          <w:rStyle w:val="ab"/>
          <w:rFonts w:cs="Arial"/>
          <w:b/>
          <w:bCs/>
          <w:rtl/>
        </w:rPr>
        <w:footnoteReference w:id="1751"/>
      </w:r>
      <w:r>
        <w:rPr>
          <w:rFonts w:cs="Arial" w:hint="cs"/>
          <w:b/>
          <w:bCs/>
          <w:rtl/>
        </w:rPr>
        <w:t xml:space="preserve"> ע"ב: </w:t>
      </w:r>
      <w:r w:rsidRPr="00396CE2">
        <w:rPr>
          <w:rFonts w:cs="Arial"/>
          <w:rtl/>
        </w:rPr>
        <w:t xml:space="preserve">איתמר: שתי כיתי עדים המכחישות זו את זו - </w:t>
      </w:r>
      <w:r w:rsidRPr="00396CE2">
        <w:rPr>
          <w:rFonts w:cs="Arial"/>
          <w:u w:val="single"/>
          <w:rtl/>
        </w:rPr>
        <w:t>אמר רב הונא</w:t>
      </w:r>
      <w:r w:rsidRPr="00396CE2">
        <w:rPr>
          <w:rFonts w:cs="Arial"/>
          <w:rtl/>
        </w:rPr>
        <w:t>: זו באה בפני עצמה ומעידה</w:t>
      </w:r>
      <w:r>
        <w:rPr>
          <w:rStyle w:val="ab"/>
          <w:rFonts w:cs="Arial"/>
          <w:rtl/>
        </w:rPr>
        <w:footnoteReference w:id="1752"/>
      </w:r>
      <w:r w:rsidRPr="00396CE2">
        <w:rPr>
          <w:rFonts w:cs="Arial"/>
          <w:rtl/>
        </w:rPr>
        <w:t>, וזו באה בפני עצמה ומעידה</w:t>
      </w:r>
      <w:r>
        <w:rPr>
          <w:rFonts w:cs="Arial" w:hint="cs"/>
          <w:rtl/>
        </w:rPr>
        <w:t>.</w:t>
      </w:r>
      <w:r w:rsidRPr="00396CE2">
        <w:rPr>
          <w:rFonts w:cs="Arial"/>
          <w:rtl/>
        </w:rPr>
        <w:t xml:space="preserve"> </w:t>
      </w:r>
      <w:r w:rsidRPr="00396CE2">
        <w:rPr>
          <w:rFonts w:cs="Arial"/>
          <w:u w:val="single"/>
          <w:rtl/>
        </w:rPr>
        <w:t>רב חסדא אמר</w:t>
      </w:r>
      <w:r w:rsidRPr="00396CE2">
        <w:rPr>
          <w:rFonts w:cs="Arial"/>
          <w:rtl/>
        </w:rPr>
        <w:t>: בהדי סהדי שקרי למה לי</w:t>
      </w:r>
      <w:r>
        <w:rPr>
          <w:rStyle w:val="ab"/>
          <w:rFonts w:cs="Arial"/>
          <w:rtl/>
        </w:rPr>
        <w:footnoteReference w:id="1753"/>
      </w:r>
      <w:r w:rsidRPr="00396CE2">
        <w:rPr>
          <w:rFonts w:cs="Arial"/>
          <w:rtl/>
        </w:rPr>
        <w:t>! שני מלוין ושני לווין ושני שטרות</w:t>
      </w:r>
      <w:r>
        <w:rPr>
          <w:rStyle w:val="ab"/>
          <w:rFonts w:cs="Arial"/>
          <w:rtl/>
        </w:rPr>
        <w:footnoteReference w:id="1754"/>
      </w:r>
      <w:r w:rsidRPr="00396CE2">
        <w:rPr>
          <w:rFonts w:cs="Arial"/>
          <w:rtl/>
        </w:rPr>
        <w:t xml:space="preserve"> - היינו פלוגתייהו.</w:t>
      </w:r>
      <w:r w:rsidRPr="00D8357E">
        <w:rPr>
          <w:rFonts w:cs="Arial"/>
          <w:rtl/>
        </w:rPr>
        <w:t xml:space="preserve"> </w:t>
      </w:r>
      <w:r>
        <w:rPr>
          <w:rFonts w:cs="Arial" w:hint="cs"/>
          <w:sz w:val="16"/>
          <w:szCs w:val="16"/>
          <w:rtl/>
        </w:rPr>
        <w:t>(</w:t>
      </w:r>
      <w:r w:rsidRPr="00D8357E">
        <w:rPr>
          <w:rFonts w:cs="Arial"/>
          <w:sz w:val="16"/>
          <w:szCs w:val="16"/>
          <w:rtl/>
        </w:rPr>
        <w:t>וכתבו הרי"ף (ל:) והתוס</w:t>
      </w:r>
      <w:r w:rsidRPr="00D8357E">
        <w:rPr>
          <w:rFonts w:cs="Arial" w:hint="cs"/>
          <w:sz w:val="16"/>
          <w:szCs w:val="16"/>
          <w:rtl/>
        </w:rPr>
        <w:t>'</w:t>
      </w:r>
      <w:r w:rsidRPr="00D8357E">
        <w:rPr>
          <w:rFonts w:cs="Arial"/>
          <w:sz w:val="16"/>
          <w:szCs w:val="16"/>
          <w:rtl/>
        </w:rPr>
        <w:t xml:space="preserve"> (ד"ה בהדי) דהלכה כרב הונא</w:t>
      </w:r>
      <w:r w:rsidRPr="00D8357E">
        <w:rPr>
          <w:rFonts w:cs="Arial" w:hint="cs"/>
          <w:sz w:val="16"/>
          <w:szCs w:val="16"/>
          <w:rtl/>
        </w:rPr>
        <w:t>,</w:t>
      </w:r>
      <w:r w:rsidRPr="00D8357E">
        <w:rPr>
          <w:rFonts w:cs="Arial"/>
          <w:sz w:val="16"/>
          <w:szCs w:val="16"/>
          <w:rtl/>
        </w:rPr>
        <w:t xml:space="preserve"> דרביה דרב חסדא הוא כדאמרינן בפרק הדר (עירובין סב:)</w:t>
      </w:r>
      <w:r w:rsidRPr="00D8357E">
        <w:rPr>
          <w:rFonts w:cs="Arial" w:hint="cs"/>
          <w:sz w:val="16"/>
          <w:szCs w:val="16"/>
          <w:rtl/>
        </w:rPr>
        <w:t>.</w:t>
      </w:r>
      <w:r w:rsidRPr="00D8357E">
        <w:rPr>
          <w:rFonts w:cs="Arial"/>
          <w:sz w:val="16"/>
          <w:szCs w:val="16"/>
          <w:rtl/>
        </w:rPr>
        <w:t xml:space="preserve"> ועוד דבפרק חזקת (ב"ב לא:) אוקימנא לרב נחמן ורבא כרב הונא</w:t>
      </w:r>
      <w:r w:rsidRPr="00D8357E">
        <w:rPr>
          <w:rFonts w:cs="Arial" w:hint="cs"/>
          <w:sz w:val="16"/>
          <w:szCs w:val="16"/>
          <w:rtl/>
        </w:rPr>
        <w:t>.</w:t>
      </w:r>
      <w:r w:rsidRPr="00D8357E">
        <w:rPr>
          <w:rFonts w:cs="Arial"/>
          <w:sz w:val="16"/>
          <w:szCs w:val="16"/>
          <w:rtl/>
        </w:rPr>
        <w:t xml:space="preserve"> וכן הסכימו הרמב"ם בפכ"ב מהלכות עדות (ה"א) והרא"ש ז"ל בפסקיו (שבועות פ"ז סי' ט)</w:t>
      </w:r>
      <w:r w:rsidRPr="00D8357E">
        <w:rPr>
          <w:rFonts w:cs="Arial" w:hint="cs"/>
          <w:sz w:val="16"/>
          <w:szCs w:val="16"/>
          <w:rtl/>
        </w:rPr>
        <w:t>, ב"י)</w:t>
      </w:r>
      <w:r w:rsidRPr="00396CE2">
        <w:rPr>
          <w:rFonts w:cs="Arial"/>
          <w:rtl/>
        </w:rPr>
        <w:t xml:space="preserve"> </w:t>
      </w:r>
    </w:p>
    <w:p w14:paraId="4D8BEE3D" w14:textId="77777777" w:rsidR="004B607F" w:rsidRDefault="004B607F" w:rsidP="004B607F">
      <w:pPr>
        <w:rPr>
          <w:rFonts w:cs="Arial"/>
          <w:rtl/>
        </w:rPr>
      </w:pPr>
      <w:r w:rsidRPr="00396CE2">
        <w:rPr>
          <w:rFonts w:cs="Arial"/>
          <w:u w:val="single"/>
          <w:rtl/>
        </w:rPr>
        <w:t>שתי כיתי עדים המכחישות זו את זו</w:t>
      </w:r>
      <w:r w:rsidRPr="00396CE2">
        <w:rPr>
          <w:rFonts w:cs="Arial" w:hint="cs"/>
          <w:u w:val="single"/>
          <w:rtl/>
        </w:rPr>
        <w:t xml:space="preserve"> </w:t>
      </w:r>
      <w:r w:rsidRPr="00396CE2">
        <w:rPr>
          <w:rFonts w:cs="Arial"/>
          <w:u w:val="single"/>
          <w:rtl/>
        </w:rPr>
        <w:t>–</w:t>
      </w:r>
      <w:r w:rsidRPr="00396CE2">
        <w:rPr>
          <w:rFonts w:cs="Arial" w:hint="cs"/>
          <w:u w:val="single"/>
          <w:rtl/>
        </w:rPr>
        <w:t xml:space="preserve"> מהו שיעידו בעדות אחרת:</w:t>
      </w:r>
    </w:p>
    <w:p w14:paraId="0C3F69F6" w14:textId="77777777" w:rsidR="004B607F" w:rsidRDefault="004B607F" w:rsidP="004B0475">
      <w:pPr>
        <w:pStyle w:val="ac"/>
        <w:numPr>
          <w:ilvl w:val="0"/>
          <w:numId w:val="92"/>
        </w:numPr>
        <w:rPr>
          <w:rFonts w:cs="Arial"/>
        </w:rPr>
      </w:pPr>
      <w:r>
        <w:rPr>
          <w:rFonts w:cs="Arial" w:hint="cs"/>
          <w:rtl/>
        </w:rPr>
        <w:t xml:space="preserve">רמב"ם </w:t>
      </w:r>
      <w:r>
        <w:rPr>
          <w:rFonts w:cs="Arial" w:hint="cs"/>
          <w:sz w:val="16"/>
          <w:szCs w:val="16"/>
          <w:rtl/>
        </w:rPr>
        <w:t xml:space="preserve">(פכ"ב ה"א) </w:t>
      </w:r>
      <w:r>
        <w:rPr>
          <w:rFonts w:cs="Arial" w:hint="cs"/>
          <w:rtl/>
        </w:rPr>
        <w:t>ו</w:t>
      </w:r>
      <w:r w:rsidRPr="00396CE2">
        <w:rPr>
          <w:rFonts w:cs="Arial" w:hint="cs"/>
          <w:rtl/>
        </w:rPr>
        <w:t>טור-</w:t>
      </w:r>
      <w:r w:rsidRPr="00396CE2">
        <w:rPr>
          <w:rFonts w:cs="Arial"/>
          <w:rtl/>
        </w:rPr>
        <w:t xml:space="preserve"> שתי כיתי עדים המכחישות זו את זו</w:t>
      </w:r>
      <w:r>
        <w:rPr>
          <w:rFonts w:cs="Arial" w:hint="cs"/>
          <w:rtl/>
        </w:rPr>
        <w:t>,</w:t>
      </w:r>
      <w:r w:rsidRPr="00396CE2">
        <w:rPr>
          <w:rFonts w:cs="Arial"/>
          <w:rtl/>
        </w:rPr>
        <w:t xml:space="preserve"> כגון אחת אומרת פלוני לוה מפלוני מנה ביום פלוני</w:t>
      </w:r>
      <w:r>
        <w:rPr>
          <w:rFonts w:cs="Arial" w:hint="cs"/>
          <w:rtl/>
        </w:rPr>
        <w:t>,</w:t>
      </w:r>
      <w:r w:rsidRPr="00396CE2">
        <w:rPr>
          <w:rFonts w:cs="Arial"/>
          <w:rtl/>
        </w:rPr>
        <w:t xml:space="preserve"> ואחת אומרת לא לוה</w:t>
      </w:r>
      <w:r>
        <w:rPr>
          <w:rStyle w:val="ab"/>
          <w:rFonts w:cs="Arial"/>
          <w:rtl/>
        </w:rPr>
        <w:footnoteReference w:id="1755"/>
      </w:r>
      <w:r>
        <w:rPr>
          <w:rFonts w:cs="Arial" w:hint="cs"/>
          <w:rtl/>
        </w:rPr>
        <w:t xml:space="preserve"> -</w:t>
      </w:r>
      <w:r w:rsidRPr="00396CE2">
        <w:rPr>
          <w:rFonts w:cs="Arial"/>
          <w:rtl/>
        </w:rPr>
        <w:t xml:space="preserve"> דברי שניהם בטלים</w:t>
      </w:r>
      <w:r>
        <w:rPr>
          <w:rStyle w:val="ab"/>
          <w:rFonts w:cs="Arial"/>
          <w:rtl/>
        </w:rPr>
        <w:footnoteReference w:id="1756"/>
      </w:r>
      <w:r>
        <w:rPr>
          <w:rFonts w:cs="Arial" w:hint="cs"/>
          <w:rtl/>
        </w:rPr>
        <w:t>,</w:t>
      </w:r>
      <w:r w:rsidRPr="00396CE2">
        <w:rPr>
          <w:rFonts w:cs="Arial"/>
          <w:rtl/>
        </w:rPr>
        <w:t xml:space="preserve"> אבל לעדות אחרת </w:t>
      </w:r>
      <w:r>
        <w:rPr>
          <w:rFonts w:cs="Arial" w:hint="cs"/>
          <w:rtl/>
        </w:rPr>
        <w:t xml:space="preserve">- </w:t>
      </w:r>
      <w:r w:rsidRPr="00396CE2">
        <w:rPr>
          <w:rFonts w:cs="Arial"/>
          <w:rtl/>
        </w:rPr>
        <w:t>כל אחת באה בפני עצמה ומעידה</w:t>
      </w:r>
      <w:r>
        <w:rPr>
          <w:rFonts w:cs="Arial" w:hint="cs"/>
          <w:rtl/>
        </w:rPr>
        <w:t>.</w:t>
      </w:r>
      <w:r w:rsidRPr="00396CE2">
        <w:rPr>
          <w:rFonts w:cs="Arial"/>
          <w:rtl/>
        </w:rPr>
        <w:t xml:space="preserve"> אבל אחד מכת זו ואחד מכת זו שהעידו עדות אחד </w:t>
      </w:r>
      <w:r>
        <w:rPr>
          <w:rFonts w:cs="Arial" w:hint="cs"/>
          <w:rtl/>
        </w:rPr>
        <w:t xml:space="preserve">- </w:t>
      </w:r>
      <w:r w:rsidRPr="00396CE2">
        <w:rPr>
          <w:rFonts w:cs="Arial"/>
          <w:rtl/>
        </w:rPr>
        <w:t>אינו כלום</w:t>
      </w:r>
      <w:r>
        <w:rPr>
          <w:rFonts w:cs="Arial" w:hint="cs"/>
          <w:rtl/>
        </w:rPr>
        <w:t>,</w:t>
      </w:r>
      <w:r w:rsidRPr="00396CE2">
        <w:rPr>
          <w:rFonts w:cs="Arial"/>
          <w:rtl/>
        </w:rPr>
        <w:t xml:space="preserve"> שאחד מהם ודאי שקרן</w:t>
      </w:r>
      <w:r>
        <w:rPr>
          <w:rFonts w:cs="Arial" w:hint="cs"/>
          <w:rtl/>
        </w:rPr>
        <w:t>.</w:t>
      </w:r>
      <w:r w:rsidRPr="001D6779">
        <w:rPr>
          <w:rFonts w:cs="Arial"/>
          <w:rtl/>
        </w:rPr>
        <w:t xml:space="preserve"> </w:t>
      </w:r>
      <w:r w:rsidRPr="00844F87">
        <w:rPr>
          <w:rFonts w:cs="Arial"/>
          <w:rtl/>
        </w:rPr>
        <w:t xml:space="preserve">לפיכך שני מלוים ושני לוים ושני שטרות ואחת מאלו הכיתות חתומים על שטרו של זה והשנייה על שטרו של זה </w:t>
      </w:r>
      <w:r>
        <w:rPr>
          <w:rFonts w:cs="Arial" w:hint="cs"/>
          <w:rtl/>
        </w:rPr>
        <w:t xml:space="preserve">- </w:t>
      </w:r>
      <w:r w:rsidRPr="00844F87">
        <w:rPr>
          <w:rFonts w:cs="Arial"/>
          <w:rtl/>
        </w:rPr>
        <w:t>שניהם כשרים</w:t>
      </w:r>
      <w:r>
        <w:rPr>
          <w:rFonts w:cs="Arial" w:hint="cs"/>
          <w:sz w:val="16"/>
          <w:szCs w:val="16"/>
          <w:rtl/>
        </w:rPr>
        <w:t xml:space="preserve"> (ל' הטור)</w:t>
      </w:r>
      <w:r w:rsidRPr="00396CE2">
        <w:rPr>
          <w:rFonts w:cs="Arial" w:hint="cs"/>
          <w:rtl/>
        </w:rPr>
        <w:t>.</w:t>
      </w:r>
      <w:r>
        <w:rPr>
          <w:rFonts w:cs="Arial" w:hint="cs"/>
          <w:rtl/>
        </w:rPr>
        <w:t xml:space="preserve"> </w:t>
      </w:r>
      <w:r w:rsidRPr="00396CE2">
        <w:rPr>
          <w:rFonts w:cs="Arial" w:hint="cs"/>
          <w:color w:val="E36C0A" w:themeColor="accent6" w:themeShade="BF"/>
          <w:rtl/>
        </w:rPr>
        <w:t>(וכ"פ בשו"ע)</w:t>
      </w:r>
    </w:p>
    <w:p w14:paraId="77D0C700" w14:textId="77777777" w:rsidR="004B607F" w:rsidRPr="00396CE2" w:rsidRDefault="004B607F" w:rsidP="004B607F">
      <w:pPr>
        <w:ind w:left="360"/>
        <w:rPr>
          <w:rFonts w:cs="Arial"/>
          <w:u w:val="dotted"/>
        </w:rPr>
      </w:pPr>
      <w:r w:rsidRPr="00396CE2">
        <w:rPr>
          <w:rFonts w:cs="Arial" w:hint="cs"/>
          <w:u w:val="dotted"/>
          <w:rtl/>
        </w:rPr>
        <w:t xml:space="preserve">ומה הדין אם </w:t>
      </w:r>
      <w:r w:rsidRPr="00396CE2">
        <w:rPr>
          <w:rFonts w:cs="Arial"/>
          <w:u w:val="dotted"/>
          <w:rtl/>
        </w:rPr>
        <w:t>אינם מכחישים זו את זו אלא בקצת העדות</w:t>
      </w:r>
      <w:r w:rsidRPr="00396CE2">
        <w:rPr>
          <w:rFonts w:cs="Arial" w:hint="cs"/>
          <w:u w:val="dotted"/>
          <w:rtl/>
        </w:rPr>
        <w:t>:</w:t>
      </w:r>
    </w:p>
    <w:p w14:paraId="1F6F3387" w14:textId="77777777" w:rsidR="004B607F" w:rsidRPr="0016087A" w:rsidRDefault="004B607F" w:rsidP="004B0475">
      <w:pPr>
        <w:pStyle w:val="ac"/>
        <w:numPr>
          <w:ilvl w:val="0"/>
          <w:numId w:val="92"/>
        </w:numPr>
        <w:rPr>
          <w:rFonts w:cs="Arial"/>
          <w:rtl/>
        </w:rPr>
      </w:pPr>
      <w:r w:rsidRPr="00396CE2">
        <w:rPr>
          <w:rFonts w:cs="Arial" w:hint="cs"/>
          <w:rtl/>
        </w:rPr>
        <w:t xml:space="preserve">רי"ו </w:t>
      </w:r>
      <w:r w:rsidRPr="00396CE2">
        <w:rPr>
          <w:rFonts w:cs="Arial" w:hint="cs"/>
          <w:sz w:val="16"/>
          <w:szCs w:val="16"/>
          <w:rtl/>
        </w:rPr>
        <w:t>(</w:t>
      </w:r>
      <w:r w:rsidRPr="00396CE2">
        <w:rPr>
          <w:rFonts w:cs="Arial"/>
          <w:sz w:val="16"/>
          <w:szCs w:val="16"/>
          <w:rtl/>
        </w:rPr>
        <w:t>מישרים נ</w:t>
      </w:r>
      <w:r>
        <w:rPr>
          <w:rFonts w:cs="Arial" w:hint="cs"/>
          <w:sz w:val="16"/>
          <w:szCs w:val="16"/>
          <w:rtl/>
        </w:rPr>
        <w:t>"</w:t>
      </w:r>
      <w:r w:rsidRPr="00396CE2">
        <w:rPr>
          <w:rFonts w:cs="Arial"/>
          <w:sz w:val="16"/>
          <w:szCs w:val="16"/>
          <w:rtl/>
        </w:rPr>
        <w:t xml:space="preserve">ב </w:t>
      </w:r>
      <w:r>
        <w:rPr>
          <w:rFonts w:cs="Arial" w:hint="cs"/>
          <w:sz w:val="16"/>
          <w:szCs w:val="16"/>
          <w:rtl/>
        </w:rPr>
        <w:t>ח"</w:t>
      </w:r>
      <w:r w:rsidRPr="00396CE2">
        <w:rPr>
          <w:rFonts w:cs="Arial"/>
          <w:sz w:val="16"/>
          <w:szCs w:val="16"/>
          <w:rtl/>
        </w:rPr>
        <w:t>ז יג ע"ד)</w:t>
      </w:r>
      <w:r w:rsidRPr="00396CE2">
        <w:rPr>
          <w:rFonts w:cs="Arial" w:hint="cs"/>
          <w:rtl/>
        </w:rPr>
        <w:t>-</w:t>
      </w:r>
      <w:r w:rsidRPr="00396CE2">
        <w:rPr>
          <w:rFonts w:cs="Arial"/>
          <w:rtl/>
        </w:rPr>
        <w:t xml:space="preserve"> ואם אינם מכחישים זו את זו אלא בקצת העדות ובקצת אינם מכחישים</w:t>
      </w:r>
      <w:r>
        <w:rPr>
          <w:rFonts w:cs="Arial" w:hint="cs"/>
          <w:rtl/>
        </w:rPr>
        <w:t xml:space="preserve"> -</w:t>
      </w:r>
      <w:r w:rsidRPr="00396CE2">
        <w:rPr>
          <w:rFonts w:cs="Arial"/>
          <w:rtl/>
        </w:rPr>
        <w:t xml:space="preserve"> נתקיים אותו הקצת</w:t>
      </w:r>
      <w:r w:rsidRPr="00396CE2">
        <w:rPr>
          <w:rFonts w:cs="Arial" w:hint="cs"/>
          <w:rtl/>
        </w:rPr>
        <w:t>.</w:t>
      </w:r>
    </w:p>
    <w:p w14:paraId="08188482" w14:textId="77777777" w:rsidR="004B607F" w:rsidRPr="003024E5" w:rsidRDefault="004B607F" w:rsidP="004B607F">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2FA02720" w14:textId="77777777" w:rsidR="004B607F" w:rsidRPr="00B13506" w:rsidRDefault="004B607F" w:rsidP="004B607F">
      <w:pPr>
        <w:rPr>
          <w:sz w:val="16"/>
          <w:szCs w:val="16"/>
          <w:rtl/>
        </w:rPr>
      </w:pPr>
      <w:r>
        <w:rPr>
          <w:rFonts w:cs="Arial"/>
          <w:rtl/>
        </w:rPr>
        <w:t>שתי כתי עדים המכחישות זו את זו, שבא עד אחד מכת זו ועד אחד מכת זו והעידו בעדות אחרת, אין כאן עדות</w:t>
      </w:r>
      <w:r>
        <w:rPr>
          <w:rStyle w:val="ab"/>
          <w:rFonts w:cs="Arial"/>
          <w:rtl/>
        </w:rPr>
        <w:footnoteReference w:id="1757"/>
      </w:r>
      <w:r>
        <w:rPr>
          <w:rFonts w:cs="Arial"/>
          <w:rtl/>
        </w:rPr>
        <w:t xml:space="preserve">, שהרי בודאי אחד מהם שקר. באה כת זו בפני עצמה והעידה עדות, ובאה כת זו והעידה עדות אחרת בפני עצמה, מקבלין כל אחת מהן בפני עצמה. </w:t>
      </w:r>
    </w:p>
    <w:p w14:paraId="2E09BD6F" w14:textId="77777777" w:rsidR="004B607F" w:rsidRPr="00545B3B" w:rsidRDefault="004B607F" w:rsidP="004B607F">
      <w:pPr>
        <w:rPr>
          <w:u w:val="single"/>
          <w:rtl/>
        </w:rPr>
      </w:pPr>
      <w:r w:rsidRPr="00545B3B">
        <w:rPr>
          <w:rFonts w:cs="Arial"/>
          <w:u w:val="single"/>
          <w:rtl/>
        </w:rPr>
        <w:t>שני עדים שמכחישין זה את זה</w:t>
      </w:r>
      <w:r>
        <w:rPr>
          <w:rFonts w:cs="Arial" w:hint="cs"/>
          <w:u w:val="single"/>
          <w:rtl/>
        </w:rPr>
        <w:t xml:space="preserve"> בעדות אחת</w:t>
      </w:r>
      <w:r w:rsidRPr="00545B3B">
        <w:rPr>
          <w:rFonts w:cs="Arial"/>
          <w:u w:val="single"/>
          <w:rtl/>
        </w:rPr>
        <w:t xml:space="preserve"> </w:t>
      </w:r>
      <w:r w:rsidRPr="00545B3B">
        <w:rPr>
          <w:rFonts w:cs="Arial" w:hint="cs"/>
          <w:sz w:val="16"/>
          <w:szCs w:val="16"/>
          <w:u w:val="single"/>
          <w:rtl/>
        </w:rPr>
        <w:t>(</w:t>
      </w:r>
      <w:r w:rsidRPr="00545B3B">
        <w:rPr>
          <w:rFonts w:cs="Arial"/>
          <w:sz w:val="16"/>
          <w:szCs w:val="16"/>
          <w:u w:val="single"/>
          <w:rtl/>
        </w:rPr>
        <w:t>כ</w:t>
      </w:r>
      <w:r>
        <w:rPr>
          <w:rFonts w:cs="Arial" w:hint="cs"/>
          <w:sz w:val="16"/>
          <w:szCs w:val="16"/>
          <w:u w:val="single"/>
          <w:rtl/>
        </w:rPr>
        <w:t>ך</w:t>
      </w:r>
      <w:r w:rsidRPr="00545B3B">
        <w:rPr>
          <w:rFonts w:cs="Arial"/>
          <w:sz w:val="16"/>
          <w:szCs w:val="16"/>
          <w:u w:val="single"/>
          <w:rtl/>
        </w:rPr>
        <w:t xml:space="preserve"> </w:t>
      </w:r>
      <w:r>
        <w:rPr>
          <w:rFonts w:cs="Arial" w:hint="cs"/>
          <w:sz w:val="16"/>
          <w:szCs w:val="16"/>
          <w:u w:val="single"/>
          <w:rtl/>
        </w:rPr>
        <w:t>ד</w:t>
      </w:r>
      <w:r w:rsidRPr="00545B3B">
        <w:rPr>
          <w:rFonts w:cs="Arial"/>
          <w:sz w:val="16"/>
          <w:szCs w:val="16"/>
          <w:u w:val="single"/>
          <w:rtl/>
        </w:rPr>
        <w:t>חד מינייהו משקר</w:t>
      </w:r>
      <w:r w:rsidRPr="00545B3B">
        <w:rPr>
          <w:rFonts w:cs="Arial" w:hint="cs"/>
          <w:sz w:val="16"/>
          <w:szCs w:val="16"/>
          <w:u w:val="single"/>
          <w:rtl/>
        </w:rPr>
        <w:t>)</w:t>
      </w:r>
      <w:r w:rsidRPr="00545B3B">
        <w:rPr>
          <w:rFonts w:cs="Arial" w:hint="cs"/>
          <w:u w:val="single"/>
          <w:rtl/>
        </w:rPr>
        <w:t xml:space="preserve"> -</w:t>
      </w:r>
      <w:r w:rsidRPr="00545B3B">
        <w:rPr>
          <w:rFonts w:cs="Arial"/>
          <w:u w:val="single"/>
          <w:rtl/>
        </w:rPr>
        <w:t xml:space="preserve"> </w:t>
      </w:r>
      <w:r w:rsidRPr="00545B3B">
        <w:rPr>
          <w:rFonts w:cs="Arial" w:hint="cs"/>
          <w:u w:val="single"/>
          <w:rtl/>
        </w:rPr>
        <w:t>ה</w:t>
      </w:r>
      <w:r w:rsidRPr="00545B3B">
        <w:rPr>
          <w:rFonts w:cs="Arial"/>
          <w:u w:val="single"/>
          <w:rtl/>
        </w:rPr>
        <w:t>א</w:t>
      </w:r>
      <w:r w:rsidRPr="00545B3B">
        <w:rPr>
          <w:rFonts w:cs="Arial" w:hint="cs"/>
          <w:u w:val="single"/>
          <w:rtl/>
        </w:rPr>
        <w:t>ם</w:t>
      </w:r>
      <w:r w:rsidRPr="00545B3B">
        <w:rPr>
          <w:rFonts w:cs="Arial"/>
          <w:u w:val="single"/>
          <w:rtl/>
        </w:rPr>
        <w:t xml:space="preserve"> </w:t>
      </w:r>
      <w:r>
        <w:rPr>
          <w:rFonts w:cs="Arial" w:hint="cs"/>
          <w:u w:val="single"/>
          <w:rtl/>
        </w:rPr>
        <w:t>גם בזה</w:t>
      </w:r>
      <w:r w:rsidRPr="00545B3B">
        <w:rPr>
          <w:rFonts w:cs="Arial"/>
          <w:u w:val="single"/>
          <w:rtl/>
        </w:rPr>
        <w:t xml:space="preserve"> דפסולין לעדות אח</w:t>
      </w:r>
      <w:r>
        <w:rPr>
          <w:rFonts w:cs="Arial" w:hint="cs"/>
          <w:u w:val="single"/>
          <w:rtl/>
        </w:rPr>
        <w:t>ר</w:t>
      </w:r>
      <w:r w:rsidRPr="00545B3B">
        <w:rPr>
          <w:rFonts w:cs="Arial"/>
          <w:u w:val="single"/>
          <w:rtl/>
        </w:rPr>
        <w:t>ת ביחד</w:t>
      </w:r>
      <w:r w:rsidRPr="00545B3B">
        <w:rPr>
          <w:rFonts w:hint="cs"/>
          <w:u w:val="single"/>
          <w:rtl/>
        </w:rPr>
        <w:t>:</w:t>
      </w:r>
    </w:p>
    <w:p w14:paraId="46B517C0" w14:textId="77777777" w:rsidR="004B607F" w:rsidRDefault="004B607F" w:rsidP="004B0475">
      <w:pPr>
        <w:pStyle w:val="ac"/>
        <w:numPr>
          <w:ilvl w:val="0"/>
          <w:numId w:val="92"/>
        </w:numPr>
      </w:pPr>
      <w:r>
        <w:rPr>
          <w:rFonts w:hint="cs"/>
          <w:rtl/>
        </w:rPr>
        <w:t xml:space="preserve">ש"ך </w:t>
      </w:r>
      <w:r w:rsidRPr="00545B3B">
        <w:rPr>
          <w:rFonts w:hint="cs"/>
          <w:sz w:val="16"/>
          <w:szCs w:val="16"/>
          <w:rtl/>
        </w:rPr>
        <w:t>(סק"א)</w:t>
      </w:r>
      <w:r>
        <w:rPr>
          <w:rFonts w:hint="cs"/>
          <w:rtl/>
        </w:rPr>
        <w:t xml:space="preserve">- </w:t>
      </w:r>
      <w:r w:rsidRPr="00545B3B">
        <w:rPr>
          <w:rFonts w:cs="Arial"/>
          <w:rtl/>
        </w:rPr>
        <w:t>כי היכא דב' כתי עדים פסולים לעדות אחרת</w:t>
      </w:r>
      <w:r>
        <w:rPr>
          <w:rFonts w:cs="Arial" w:hint="cs"/>
          <w:rtl/>
        </w:rPr>
        <w:t xml:space="preserve"> -</w:t>
      </w:r>
      <w:r w:rsidRPr="00545B3B">
        <w:rPr>
          <w:rFonts w:cs="Arial"/>
          <w:rtl/>
        </w:rPr>
        <w:t xml:space="preserve"> ה"ה שני עדים.</w:t>
      </w:r>
    </w:p>
    <w:p w14:paraId="2C5D0515" w14:textId="77777777" w:rsidR="004B607F" w:rsidRDefault="004B607F" w:rsidP="004B607F">
      <w:pPr>
        <w:rPr>
          <w:rtl/>
        </w:rPr>
      </w:pPr>
    </w:p>
    <w:p w14:paraId="0798B26D" w14:textId="77777777" w:rsidR="004B607F" w:rsidRDefault="004B607F" w:rsidP="004B607F">
      <w:pPr>
        <w:pStyle w:val="2"/>
        <w:rPr>
          <w:rtl/>
        </w:rPr>
      </w:pPr>
      <w:bookmarkStart w:id="252" w:name="_Toc24883722"/>
      <w:r>
        <w:rPr>
          <w:rtl/>
        </w:rPr>
        <w:t>סעיף ב</w:t>
      </w:r>
      <w:r>
        <w:rPr>
          <w:rFonts w:hint="cs"/>
          <w:rtl/>
        </w:rPr>
        <w:t>:</w:t>
      </w:r>
      <w:r w:rsidRPr="00433A31">
        <w:rPr>
          <w:rFonts w:cs="Arial"/>
          <w:rtl/>
        </w:rPr>
        <w:t xml:space="preserve"> </w:t>
      </w:r>
      <w:r>
        <w:rPr>
          <w:rFonts w:cs="Arial"/>
          <w:rtl/>
        </w:rPr>
        <w:t>מלוה שיש לו על לוה אחד שני שטרות</w:t>
      </w:r>
      <w:r>
        <w:rPr>
          <w:rFonts w:hint="cs"/>
          <w:rtl/>
        </w:rPr>
        <w:t>.</w:t>
      </w:r>
      <w:r w:rsidRPr="00433A31">
        <w:rPr>
          <w:rFonts w:cs="Arial"/>
          <w:rtl/>
        </w:rPr>
        <w:t xml:space="preserve"> </w:t>
      </w:r>
      <w:r>
        <w:rPr>
          <w:rFonts w:cs="Arial"/>
          <w:rtl/>
        </w:rPr>
        <w:t>מלוים שהוציאו כל אחד שטר על לוה</w:t>
      </w:r>
      <w:r>
        <w:rPr>
          <w:rFonts w:cs="Arial" w:hint="cs"/>
          <w:rtl/>
        </w:rPr>
        <w:t xml:space="preserve"> </w:t>
      </w:r>
      <w:r w:rsidRPr="00433A31">
        <w:rPr>
          <w:rFonts w:cs="Arial" w:hint="cs"/>
          <w:rtl/>
        </w:rPr>
        <w:t>אחד.</w:t>
      </w:r>
      <w:bookmarkEnd w:id="252"/>
    </w:p>
    <w:p w14:paraId="0801B121" w14:textId="77777777" w:rsidR="004B607F" w:rsidRPr="0075757E" w:rsidRDefault="004B607F" w:rsidP="004B607F">
      <w:pPr>
        <w:rPr>
          <w:rFonts w:cs="Arial"/>
          <w:rtl/>
        </w:rPr>
      </w:pPr>
      <w:r>
        <w:rPr>
          <w:rFonts w:cs="Arial" w:hint="cs"/>
          <w:b/>
          <w:bCs/>
          <w:rtl/>
        </w:rPr>
        <w:t xml:space="preserve">שבועות </w:t>
      </w:r>
      <w:r w:rsidRPr="00396CE2">
        <w:rPr>
          <w:rFonts w:cs="Arial" w:hint="cs"/>
          <w:b/>
          <w:bCs/>
          <w:sz w:val="16"/>
          <w:szCs w:val="16"/>
          <w:rtl/>
        </w:rPr>
        <w:t xml:space="preserve">(פרק כל הנשבעין) </w:t>
      </w:r>
      <w:r>
        <w:rPr>
          <w:rFonts w:cs="Arial" w:hint="cs"/>
          <w:b/>
          <w:bCs/>
          <w:rtl/>
        </w:rPr>
        <w:t>מז</w:t>
      </w:r>
      <w:r>
        <w:rPr>
          <w:rStyle w:val="ab"/>
          <w:rFonts w:cs="Arial"/>
          <w:b/>
          <w:bCs/>
          <w:rtl/>
        </w:rPr>
        <w:footnoteReference w:id="1758"/>
      </w:r>
      <w:r>
        <w:rPr>
          <w:rFonts w:cs="Arial" w:hint="cs"/>
          <w:b/>
          <w:bCs/>
          <w:rtl/>
        </w:rPr>
        <w:t xml:space="preserve"> ע"ב: </w:t>
      </w:r>
      <w:r w:rsidRPr="00396CE2">
        <w:rPr>
          <w:rFonts w:cs="Arial"/>
          <w:rtl/>
        </w:rPr>
        <w:t xml:space="preserve">איתמר: שתי כיתי עדים המכחישות זו את זו - </w:t>
      </w:r>
      <w:r w:rsidRPr="00396CE2">
        <w:rPr>
          <w:rFonts w:cs="Arial"/>
          <w:u w:val="single"/>
          <w:rtl/>
        </w:rPr>
        <w:t>אמר רב הונא</w:t>
      </w:r>
      <w:r w:rsidRPr="00396CE2">
        <w:rPr>
          <w:rFonts w:cs="Arial"/>
          <w:rtl/>
        </w:rPr>
        <w:t>: זו באה בפני עצמה ומעידה, וזו באה בפני עצמה ומעידה</w:t>
      </w:r>
      <w:r>
        <w:rPr>
          <w:rFonts w:cs="Arial" w:hint="cs"/>
          <w:rtl/>
        </w:rPr>
        <w:t>.</w:t>
      </w:r>
      <w:r w:rsidRPr="00396CE2">
        <w:rPr>
          <w:rFonts w:cs="Arial"/>
          <w:rtl/>
        </w:rPr>
        <w:t xml:space="preserve"> </w:t>
      </w:r>
      <w:r w:rsidRPr="00396CE2">
        <w:rPr>
          <w:rFonts w:cs="Arial"/>
          <w:u w:val="single"/>
          <w:rtl/>
        </w:rPr>
        <w:t>רב חסדא אמר</w:t>
      </w:r>
      <w:r w:rsidRPr="00396CE2">
        <w:rPr>
          <w:rFonts w:cs="Arial"/>
          <w:rtl/>
        </w:rPr>
        <w:t>: בהדי סהדי שקרי למה לי! שני מלוין ושני לווין ושני שטרות - היינו פלוגתייהו</w:t>
      </w:r>
      <w:r>
        <w:rPr>
          <w:rFonts w:cs="Arial" w:hint="cs"/>
          <w:rtl/>
        </w:rPr>
        <w:t>.</w:t>
      </w:r>
      <w:r w:rsidRPr="00396CE2">
        <w:rPr>
          <w:rFonts w:cs="Arial"/>
          <w:rtl/>
        </w:rPr>
        <w:t xml:space="preserve"> מלוה ולוה ושני שטרות</w:t>
      </w:r>
      <w:r>
        <w:rPr>
          <w:rStyle w:val="ab"/>
          <w:rFonts w:cs="Arial"/>
          <w:rtl/>
        </w:rPr>
        <w:footnoteReference w:id="1759"/>
      </w:r>
      <w:r w:rsidRPr="00396CE2">
        <w:rPr>
          <w:rFonts w:cs="Arial"/>
          <w:rtl/>
        </w:rPr>
        <w:t xml:space="preserve"> - יד בעל השטר על התחתונה</w:t>
      </w:r>
      <w:r>
        <w:rPr>
          <w:rStyle w:val="ab"/>
          <w:rFonts w:cs="Arial"/>
          <w:rtl/>
        </w:rPr>
        <w:footnoteReference w:id="1760"/>
      </w:r>
      <w:r>
        <w:rPr>
          <w:rFonts w:cs="Arial" w:hint="cs"/>
          <w:rtl/>
        </w:rPr>
        <w:t>..</w:t>
      </w:r>
      <w:r w:rsidRPr="00396CE2">
        <w:rPr>
          <w:rFonts w:cs="Arial"/>
          <w:rtl/>
        </w:rPr>
        <w:t xml:space="preserve">. </w:t>
      </w:r>
    </w:p>
    <w:p w14:paraId="43F4F4F0" w14:textId="77777777" w:rsidR="004B607F" w:rsidRDefault="004B607F" w:rsidP="004B607F">
      <w:pPr>
        <w:rPr>
          <w:rFonts w:cs="Arial"/>
          <w:rtl/>
        </w:rPr>
      </w:pPr>
      <w:r>
        <w:rPr>
          <w:rFonts w:cs="Arial" w:hint="cs"/>
          <w:u w:val="single"/>
          <w:rtl/>
        </w:rPr>
        <w:t xml:space="preserve">מלוה אחד שהוציא על לוה אחד </w:t>
      </w:r>
      <w:r w:rsidRPr="001D6779">
        <w:rPr>
          <w:rFonts w:cs="Arial" w:hint="cs"/>
          <w:u w:val="single"/>
          <w:rtl/>
        </w:rPr>
        <w:t>ב' שטרות</w:t>
      </w:r>
      <w:r>
        <w:rPr>
          <w:rFonts w:cs="Arial" w:hint="cs"/>
          <w:u w:val="single"/>
          <w:rtl/>
        </w:rPr>
        <w:t>:</w:t>
      </w:r>
    </w:p>
    <w:p w14:paraId="27656CA3" w14:textId="77777777" w:rsidR="004B607F" w:rsidRDefault="004B607F" w:rsidP="004B0475">
      <w:pPr>
        <w:pStyle w:val="ac"/>
        <w:numPr>
          <w:ilvl w:val="0"/>
          <w:numId w:val="92"/>
        </w:numPr>
        <w:rPr>
          <w:rFonts w:cs="Arial"/>
        </w:rPr>
      </w:pPr>
      <w:r>
        <w:rPr>
          <w:rFonts w:cs="Arial" w:hint="cs"/>
          <w:rtl/>
        </w:rPr>
        <w:lastRenderedPageBreak/>
        <w:t xml:space="preserve">רי"ף </w:t>
      </w:r>
      <w:r>
        <w:rPr>
          <w:rFonts w:cs="Arial" w:hint="cs"/>
          <w:sz w:val="16"/>
          <w:szCs w:val="16"/>
          <w:rtl/>
        </w:rPr>
        <w:t>(ל:)</w:t>
      </w:r>
      <w:r>
        <w:rPr>
          <w:rFonts w:cs="Arial" w:hint="cs"/>
          <w:rtl/>
        </w:rPr>
        <w:t xml:space="preserve"> רמב"ם </w:t>
      </w:r>
      <w:r>
        <w:rPr>
          <w:rFonts w:cs="Arial" w:hint="cs"/>
          <w:sz w:val="16"/>
          <w:szCs w:val="16"/>
          <w:rtl/>
        </w:rPr>
        <w:t>(פכ"ב ה"ב)</w:t>
      </w:r>
      <w:r>
        <w:rPr>
          <w:rFonts w:cs="Arial" w:hint="cs"/>
          <w:rtl/>
        </w:rPr>
        <w:t xml:space="preserve"> </w:t>
      </w:r>
      <w:r w:rsidRPr="001D6779">
        <w:rPr>
          <w:rFonts w:cs="Arial"/>
          <w:rtl/>
        </w:rPr>
        <w:t>רא"ש</w:t>
      </w:r>
      <w:r>
        <w:rPr>
          <w:rStyle w:val="ab"/>
          <w:rFonts w:cs="Arial"/>
          <w:rtl/>
        </w:rPr>
        <w:footnoteReference w:id="1761"/>
      </w:r>
      <w:r w:rsidRPr="001D6779">
        <w:rPr>
          <w:rFonts w:cs="Arial"/>
          <w:rtl/>
        </w:rPr>
        <w:t xml:space="preserve"> </w:t>
      </w:r>
      <w:r w:rsidRPr="001D6779">
        <w:rPr>
          <w:rFonts w:cs="Arial"/>
          <w:sz w:val="16"/>
          <w:szCs w:val="16"/>
          <w:rtl/>
        </w:rPr>
        <w:t>(סי' י)</w:t>
      </w:r>
      <w:r>
        <w:rPr>
          <w:rFonts w:cs="Arial" w:hint="cs"/>
          <w:rtl/>
        </w:rPr>
        <w:t xml:space="preserve"> ו</w:t>
      </w:r>
      <w:r w:rsidRPr="00497AA2">
        <w:rPr>
          <w:rFonts w:cs="Arial" w:hint="cs"/>
          <w:rtl/>
        </w:rPr>
        <w:t>טור-</w:t>
      </w:r>
      <w:r w:rsidRPr="00497AA2">
        <w:rPr>
          <w:rFonts w:cs="Arial"/>
          <w:rtl/>
        </w:rPr>
        <w:t xml:space="preserve"> מלוה שיש לו על לוה אחד שתי שטרות מאלו שני הכיתות</w:t>
      </w:r>
      <w:r w:rsidRPr="00497AA2">
        <w:rPr>
          <w:rFonts w:cs="Arial" w:hint="cs"/>
          <w:rtl/>
        </w:rPr>
        <w:t>,</w:t>
      </w:r>
      <w:r w:rsidRPr="00497AA2">
        <w:rPr>
          <w:rFonts w:cs="Arial"/>
          <w:rtl/>
        </w:rPr>
        <w:t xml:space="preserve"> אם הוציאו כאחד אחד מק' ואחד מר' </w:t>
      </w:r>
      <w:r>
        <w:rPr>
          <w:rFonts w:cs="Arial" w:hint="cs"/>
          <w:rtl/>
        </w:rPr>
        <w:t xml:space="preserve">- </w:t>
      </w:r>
      <w:r w:rsidRPr="00497AA2">
        <w:rPr>
          <w:rFonts w:cs="Arial"/>
          <w:rtl/>
        </w:rPr>
        <w:t>לא יגבה אלא של ק'</w:t>
      </w:r>
      <w:r>
        <w:rPr>
          <w:rFonts w:cs="Arial" w:hint="cs"/>
          <w:rtl/>
        </w:rPr>
        <w:t>.</w:t>
      </w:r>
      <w:r w:rsidRPr="00497AA2">
        <w:rPr>
          <w:rFonts w:cs="Arial"/>
          <w:rtl/>
        </w:rPr>
        <w:t xml:space="preserve"> ומוציאין אותו של ר' מידו ושורפין אותו</w:t>
      </w:r>
      <w:r>
        <w:rPr>
          <w:rStyle w:val="ab"/>
          <w:rFonts w:cs="Arial"/>
          <w:rtl/>
        </w:rPr>
        <w:footnoteReference w:id="1762"/>
      </w:r>
      <w:r w:rsidRPr="00497AA2">
        <w:rPr>
          <w:rFonts w:cs="Arial" w:hint="cs"/>
          <w:rtl/>
        </w:rPr>
        <w:t>,</w:t>
      </w:r>
      <w:r w:rsidRPr="00497AA2">
        <w:rPr>
          <w:rFonts w:cs="Arial"/>
          <w:rtl/>
        </w:rPr>
        <w:t xml:space="preserve"> שהא' מהם פסול ויד בעל השטר על התחתונה</w:t>
      </w:r>
      <w:r>
        <w:rPr>
          <w:rFonts w:cs="Arial" w:hint="cs"/>
          <w:rtl/>
        </w:rPr>
        <w:t>,</w:t>
      </w:r>
      <w:r w:rsidRPr="00497AA2">
        <w:rPr>
          <w:rFonts w:cs="Arial"/>
          <w:rtl/>
        </w:rPr>
        <w:t xml:space="preserve"> וישבע על השני ויפטר</w:t>
      </w:r>
      <w:r>
        <w:rPr>
          <w:rFonts w:cs="Arial" w:hint="cs"/>
          <w:sz w:val="16"/>
          <w:szCs w:val="16"/>
          <w:rtl/>
        </w:rPr>
        <w:t xml:space="preserve"> (ל' הטור)</w:t>
      </w:r>
      <w:r>
        <w:rPr>
          <w:rFonts w:cs="Arial" w:hint="cs"/>
          <w:rtl/>
        </w:rPr>
        <w:t>.</w:t>
      </w:r>
      <w:r w:rsidRPr="00497AA2">
        <w:rPr>
          <w:rFonts w:cs="Arial"/>
          <w:rtl/>
        </w:rPr>
        <w:t xml:space="preserve"> </w:t>
      </w:r>
      <w:r w:rsidRPr="00396CE2">
        <w:rPr>
          <w:rFonts w:cs="Arial" w:hint="cs"/>
          <w:color w:val="E36C0A" w:themeColor="accent6" w:themeShade="BF"/>
          <w:rtl/>
        </w:rPr>
        <w:t>(וכ"פ בשו"ע)</w:t>
      </w:r>
    </w:p>
    <w:p w14:paraId="79056DB2" w14:textId="77777777" w:rsidR="004B607F" w:rsidRPr="00AC56B3" w:rsidRDefault="004B607F" w:rsidP="004B607F">
      <w:pPr>
        <w:ind w:left="360"/>
        <w:rPr>
          <w:rFonts w:cs="Arial"/>
          <w:u w:val="dotted"/>
        </w:rPr>
      </w:pPr>
      <w:r w:rsidRPr="00AC56B3">
        <w:rPr>
          <w:rFonts w:cs="Arial" w:hint="cs"/>
          <w:u w:val="dotted"/>
          <w:rtl/>
        </w:rPr>
        <w:t>איזו שבועה נשבע הנתבע על השטר השני:</w:t>
      </w:r>
    </w:p>
    <w:p w14:paraId="604E469D" w14:textId="77777777" w:rsidR="004B607F" w:rsidRDefault="004B607F" w:rsidP="004B0475">
      <w:pPr>
        <w:pStyle w:val="ac"/>
        <w:numPr>
          <w:ilvl w:val="0"/>
          <w:numId w:val="92"/>
        </w:numPr>
        <w:rPr>
          <w:rFonts w:cs="Arial"/>
        </w:rPr>
      </w:pPr>
      <w:r w:rsidRPr="00497AA2">
        <w:rPr>
          <w:rFonts w:cs="Arial"/>
          <w:rtl/>
        </w:rPr>
        <w:t>רמב"ם</w:t>
      </w:r>
      <w:r>
        <w:rPr>
          <w:rFonts w:cs="Arial" w:hint="cs"/>
          <w:rtl/>
        </w:rPr>
        <w:t xml:space="preserve"> </w:t>
      </w:r>
      <w:r>
        <w:rPr>
          <w:rFonts w:cs="Arial" w:hint="cs"/>
          <w:sz w:val="16"/>
          <w:szCs w:val="16"/>
          <w:rtl/>
        </w:rPr>
        <w:t>(פכ"ב ה"ב)</w:t>
      </w:r>
      <w:r w:rsidRPr="00497AA2">
        <w:rPr>
          <w:rFonts w:cs="Arial"/>
          <w:rtl/>
        </w:rPr>
        <w:t xml:space="preserve"> </w:t>
      </w:r>
      <w:r>
        <w:rPr>
          <w:rFonts w:cs="Arial" w:hint="cs"/>
          <w:rtl/>
        </w:rPr>
        <w:t xml:space="preserve">וטור- </w:t>
      </w:r>
      <w:r w:rsidRPr="00AC56B3">
        <w:rPr>
          <w:rFonts w:cs="Arial"/>
          <w:rtl/>
        </w:rPr>
        <w:t>יראה לי ששבועה זו שישבע על השאר בנקיטת חפץ כדין מודה במקצת, שהרי עליו שני עדים כשרים מעידין במקצת הממון שכפר בכולו, ולא תהא הודאת פיו גדולה מהעדאת עדים כמו שבארנו</w:t>
      </w:r>
      <w:r>
        <w:rPr>
          <w:rFonts w:cs="Arial" w:hint="cs"/>
          <w:sz w:val="16"/>
          <w:szCs w:val="16"/>
          <w:rtl/>
        </w:rPr>
        <w:t xml:space="preserve"> (ל' הרמב"ם)</w:t>
      </w:r>
      <w:r w:rsidRPr="00AC56B3">
        <w:rPr>
          <w:rFonts w:cs="Arial"/>
          <w:rtl/>
        </w:rPr>
        <w:t xml:space="preserve">. </w:t>
      </w:r>
      <w:r w:rsidRPr="00396CE2">
        <w:rPr>
          <w:rFonts w:cs="Arial" w:hint="cs"/>
          <w:color w:val="E36C0A" w:themeColor="accent6" w:themeShade="BF"/>
          <w:rtl/>
        </w:rPr>
        <w:t>(וכ"פ בשו"ע)</w:t>
      </w:r>
    </w:p>
    <w:p w14:paraId="35F7E61A" w14:textId="77777777" w:rsidR="004B607F" w:rsidRDefault="004B607F" w:rsidP="004B0475">
      <w:pPr>
        <w:pStyle w:val="ac"/>
        <w:numPr>
          <w:ilvl w:val="0"/>
          <w:numId w:val="92"/>
        </w:numPr>
        <w:rPr>
          <w:rFonts w:cs="Arial"/>
        </w:rPr>
      </w:pPr>
      <w:r>
        <w:rPr>
          <w:rFonts w:cs="Arial"/>
          <w:rtl/>
        </w:rPr>
        <w:t xml:space="preserve">ר"ן </w:t>
      </w:r>
      <w:r w:rsidRPr="00497AA2">
        <w:rPr>
          <w:rFonts w:cs="Arial"/>
          <w:sz w:val="16"/>
          <w:szCs w:val="16"/>
          <w:rtl/>
        </w:rPr>
        <w:t>(</w:t>
      </w:r>
      <w:r w:rsidRPr="00AC56B3">
        <w:rPr>
          <w:rFonts w:hint="cs"/>
          <w:sz w:val="16"/>
          <w:szCs w:val="16"/>
          <w:rtl/>
        </w:rPr>
        <w:t>שם ל: מדפה"ר ד"ה ומה שכתב הרי"ף</w:t>
      </w:r>
      <w:r>
        <w:rPr>
          <w:rFonts w:hint="cs"/>
          <w:sz w:val="16"/>
          <w:szCs w:val="16"/>
          <w:rtl/>
        </w:rPr>
        <w:t xml:space="preserve"> ז"ל ונשבע</w:t>
      </w:r>
      <w:r w:rsidRPr="00AC56B3">
        <w:rPr>
          <w:rFonts w:hint="cs"/>
          <w:sz w:val="16"/>
          <w:szCs w:val="16"/>
          <w:rtl/>
        </w:rPr>
        <w:t>)</w:t>
      </w:r>
      <w:r>
        <w:rPr>
          <w:rFonts w:cs="Arial" w:hint="cs"/>
          <w:rtl/>
        </w:rPr>
        <w:t xml:space="preserve">- נשבע </w:t>
      </w:r>
      <w:r>
        <w:rPr>
          <w:rFonts w:cs="Arial"/>
          <w:rtl/>
        </w:rPr>
        <w:t>שבועת היסת</w:t>
      </w:r>
      <w:r>
        <w:rPr>
          <w:rStyle w:val="ab"/>
          <w:rFonts w:cs="Arial"/>
          <w:rtl/>
        </w:rPr>
        <w:footnoteReference w:id="1763"/>
      </w:r>
      <w:r>
        <w:rPr>
          <w:rFonts w:cs="Arial" w:hint="cs"/>
          <w:rtl/>
        </w:rPr>
        <w:t>.</w:t>
      </w:r>
      <w:r w:rsidRPr="00497AA2">
        <w:rPr>
          <w:rFonts w:cs="Arial"/>
          <w:rtl/>
        </w:rPr>
        <w:t xml:space="preserve"> </w:t>
      </w:r>
    </w:p>
    <w:p w14:paraId="024350F6" w14:textId="77777777" w:rsidR="004B607F" w:rsidRPr="00AC56B3" w:rsidRDefault="004B607F" w:rsidP="004B607F">
      <w:pPr>
        <w:ind w:left="360"/>
        <w:rPr>
          <w:rFonts w:cs="Arial"/>
          <w:u w:val="dotted"/>
        </w:rPr>
      </w:pPr>
      <w:r w:rsidRPr="00AC56B3">
        <w:rPr>
          <w:rFonts w:cs="Arial" w:hint="cs"/>
          <w:u w:val="dotted"/>
          <w:rtl/>
        </w:rPr>
        <w:t xml:space="preserve">האם </w:t>
      </w:r>
      <w:r>
        <w:rPr>
          <w:rFonts w:cs="Arial" w:hint="cs"/>
          <w:u w:val="dotted"/>
          <w:rtl/>
        </w:rPr>
        <w:t xml:space="preserve">המלוה </w:t>
      </w:r>
      <w:r w:rsidRPr="00AC56B3">
        <w:rPr>
          <w:rFonts w:cs="Arial" w:hint="cs"/>
          <w:u w:val="dotted"/>
          <w:rtl/>
        </w:rPr>
        <w:t xml:space="preserve">יכול להוציא בב"ד את שתי השטרות </w:t>
      </w:r>
      <w:r>
        <w:rPr>
          <w:rFonts w:cs="Arial" w:hint="cs"/>
          <w:u w:val="dotted"/>
          <w:rtl/>
        </w:rPr>
        <w:t xml:space="preserve">כל שטר בפעם אחת </w:t>
      </w:r>
      <w:r w:rsidRPr="00AC56B3">
        <w:rPr>
          <w:rFonts w:cs="Arial" w:hint="cs"/>
          <w:sz w:val="16"/>
          <w:szCs w:val="16"/>
          <w:u w:val="dotted"/>
          <w:rtl/>
        </w:rPr>
        <w:t xml:space="preserve">(או </w:t>
      </w:r>
      <w:r>
        <w:rPr>
          <w:rFonts w:cs="Arial" w:hint="cs"/>
          <w:sz w:val="16"/>
          <w:szCs w:val="16"/>
          <w:u w:val="dotted"/>
          <w:rtl/>
        </w:rPr>
        <w:t xml:space="preserve">שיוציא </w:t>
      </w:r>
      <w:r w:rsidRPr="00AC56B3">
        <w:rPr>
          <w:rFonts w:cs="Arial" w:hint="cs"/>
          <w:sz w:val="16"/>
          <w:szCs w:val="16"/>
          <w:u w:val="dotted"/>
          <w:rtl/>
        </w:rPr>
        <w:t>בבתי דין שונים)</w:t>
      </w:r>
      <w:r w:rsidRPr="00AC56B3">
        <w:rPr>
          <w:rFonts w:cs="Arial" w:hint="cs"/>
          <w:u w:val="dotted"/>
          <w:rtl/>
        </w:rPr>
        <w:t>:</w:t>
      </w:r>
    </w:p>
    <w:p w14:paraId="6B8594DA" w14:textId="77777777" w:rsidR="004B607F" w:rsidRPr="00497AA2" w:rsidRDefault="004B607F" w:rsidP="004B0475">
      <w:pPr>
        <w:pStyle w:val="ac"/>
        <w:numPr>
          <w:ilvl w:val="0"/>
          <w:numId w:val="92"/>
        </w:numPr>
        <w:rPr>
          <w:rFonts w:cs="Arial"/>
        </w:rPr>
      </w:pPr>
      <w:r w:rsidRPr="00497AA2">
        <w:rPr>
          <w:rFonts w:cs="Arial"/>
          <w:rtl/>
        </w:rPr>
        <w:t xml:space="preserve">רא"ש </w:t>
      </w:r>
      <w:r>
        <w:rPr>
          <w:rFonts w:cs="Arial" w:hint="cs"/>
          <w:sz w:val="16"/>
          <w:szCs w:val="16"/>
          <w:rtl/>
        </w:rPr>
        <w:t xml:space="preserve">(שם) </w:t>
      </w:r>
      <w:r>
        <w:rPr>
          <w:rFonts w:cs="Arial" w:hint="cs"/>
          <w:rtl/>
        </w:rPr>
        <w:t>וטור-</w:t>
      </w:r>
      <w:r w:rsidRPr="00497AA2">
        <w:rPr>
          <w:rFonts w:cs="Arial"/>
          <w:rtl/>
        </w:rPr>
        <w:t xml:space="preserve"> ואם הוא פקח יוציא השטר הגדול לבדו בב"ד אחד ויוציא השני בב"ד אחר ויגבה בו</w:t>
      </w:r>
      <w:r>
        <w:rPr>
          <w:rFonts w:cs="Arial" w:hint="cs"/>
          <w:rtl/>
        </w:rPr>
        <w:t>.</w:t>
      </w:r>
      <w:r w:rsidRPr="00497AA2">
        <w:rPr>
          <w:rFonts w:cs="Arial"/>
          <w:rtl/>
        </w:rPr>
        <w:t xml:space="preserve"> ומיהו כשבא לגבות הגדול ישביענו</w:t>
      </w:r>
      <w:r>
        <w:rPr>
          <w:rStyle w:val="ab"/>
          <w:rFonts w:cs="Arial"/>
          <w:rtl/>
        </w:rPr>
        <w:footnoteReference w:id="1764"/>
      </w:r>
      <w:r w:rsidRPr="00497AA2">
        <w:rPr>
          <w:rFonts w:cs="Arial"/>
          <w:rtl/>
        </w:rPr>
        <w:t xml:space="preserve"> הלוה שאין בידו שטר אחר שהאחד מאלו הכיתות חתומין עליו</w:t>
      </w:r>
      <w:r>
        <w:rPr>
          <w:rFonts w:cs="Arial" w:hint="cs"/>
          <w:rtl/>
        </w:rPr>
        <w:t>.</w:t>
      </w:r>
      <w:r w:rsidRPr="00497AA2">
        <w:rPr>
          <w:rFonts w:cs="Arial"/>
          <w:rtl/>
        </w:rPr>
        <w:t xml:space="preserve"> לפיכך טוב לו שישרוף הקטן ויגבה הגדול</w:t>
      </w:r>
      <w:r>
        <w:rPr>
          <w:rFonts w:cs="Arial" w:hint="cs"/>
          <w:sz w:val="16"/>
          <w:szCs w:val="16"/>
          <w:rtl/>
        </w:rPr>
        <w:t xml:space="preserve"> (ל' הטור)</w:t>
      </w:r>
      <w:r w:rsidRPr="00497AA2">
        <w:rPr>
          <w:rFonts w:cs="Arial"/>
          <w:rtl/>
        </w:rPr>
        <w:t xml:space="preserve">. </w:t>
      </w:r>
      <w:r w:rsidRPr="00165F89">
        <w:rPr>
          <w:rFonts w:cs="Arial" w:hint="cs"/>
          <w:color w:val="00B0F0"/>
          <w:rtl/>
        </w:rPr>
        <w:t>(וכ"פ הרמ"א</w:t>
      </w:r>
      <w:r w:rsidRPr="00165F89">
        <w:rPr>
          <w:rFonts w:cs="Arial" w:hint="cs"/>
          <w:color w:val="00B0F0"/>
          <w:sz w:val="16"/>
          <w:szCs w:val="16"/>
          <w:rtl/>
        </w:rPr>
        <w:t xml:space="preserve"> </w:t>
      </w:r>
      <w:r>
        <w:rPr>
          <w:rFonts w:cs="Arial" w:hint="cs"/>
          <w:sz w:val="16"/>
          <w:szCs w:val="16"/>
          <w:rtl/>
        </w:rPr>
        <w:t>[להב' הסמ"ע סק"י]</w:t>
      </w:r>
      <w:r w:rsidRPr="00165F89">
        <w:rPr>
          <w:rFonts w:cs="Arial" w:hint="cs"/>
          <w:color w:val="00B0F0"/>
          <w:rtl/>
        </w:rPr>
        <w:t>)</w:t>
      </w:r>
    </w:p>
    <w:p w14:paraId="7EAC64D5" w14:textId="77777777" w:rsidR="004B607F" w:rsidRDefault="004B607F" w:rsidP="004B0475">
      <w:pPr>
        <w:pStyle w:val="ac"/>
        <w:numPr>
          <w:ilvl w:val="0"/>
          <w:numId w:val="92"/>
        </w:numPr>
        <w:rPr>
          <w:rFonts w:cs="Arial"/>
        </w:rPr>
      </w:pPr>
      <w:r w:rsidRPr="00FE3E3A">
        <w:rPr>
          <w:rFonts w:cs="Arial"/>
          <w:rtl/>
        </w:rPr>
        <w:t>רמב"ם</w:t>
      </w:r>
      <w:r w:rsidRPr="00FE3E3A">
        <w:rPr>
          <w:rFonts w:cs="Arial"/>
          <w:sz w:val="16"/>
          <w:szCs w:val="16"/>
          <w:rtl/>
        </w:rPr>
        <w:t xml:space="preserve"> </w:t>
      </w:r>
      <w:r w:rsidRPr="00FE3E3A">
        <w:rPr>
          <w:rFonts w:cs="Arial" w:hint="cs"/>
          <w:sz w:val="16"/>
          <w:szCs w:val="16"/>
          <w:rtl/>
        </w:rPr>
        <w:t>(</w:t>
      </w:r>
      <w:r w:rsidRPr="00FE3E3A">
        <w:rPr>
          <w:rFonts w:cs="Arial"/>
          <w:sz w:val="16"/>
          <w:szCs w:val="16"/>
          <w:rtl/>
        </w:rPr>
        <w:t>פכ"ב מהל</w:t>
      </w:r>
      <w:r w:rsidRPr="00FE3E3A">
        <w:rPr>
          <w:rFonts w:cs="Arial" w:hint="cs"/>
          <w:sz w:val="16"/>
          <w:szCs w:val="16"/>
          <w:rtl/>
        </w:rPr>
        <w:t>'</w:t>
      </w:r>
      <w:r w:rsidRPr="00FE3E3A">
        <w:rPr>
          <w:rFonts w:cs="Arial"/>
          <w:sz w:val="16"/>
          <w:szCs w:val="16"/>
          <w:rtl/>
        </w:rPr>
        <w:t xml:space="preserve"> עדות ה"ד</w:t>
      </w:r>
      <w:r w:rsidRPr="00FE3E3A">
        <w:rPr>
          <w:rFonts w:cs="Arial" w:hint="cs"/>
          <w:sz w:val="16"/>
          <w:szCs w:val="16"/>
          <w:rtl/>
        </w:rPr>
        <w:t>, הביאו הב"י בבדה"ב</w:t>
      </w:r>
      <w:r w:rsidRPr="00FE3E3A">
        <w:rPr>
          <w:rFonts w:cs="Arial"/>
          <w:sz w:val="16"/>
          <w:szCs w:val="16"/>
          <w:rtl/>
        </w:rPr>
        <w:t>)</w:t>
      </w:r>
      <w:r w:rsidRPr="00FE3E3A">
        <w:rPr>
          <w:rFonts w:cs="Arial" w:hint="cs"/>
          <w:rtl/>
        </w:rPr>
        <w:t>-</w:t>
      </w:r>
      <w:r w:rsidRPr="00FE3E3A">
        <w:rPr>
          <w:rFonts w:cs="Arial"/>
          <w:rtl/>
        </w:rPr>
        <w:t xml:space="preserve"> במה דברים אמורים </w:t>
      </w:r>
      <w:r>
        <w:rPr>
          <w:rFonts w:cs="Arial" w:hint="cs"/>
          <w:sz w:val="16"/>
          <w:szCs w:val="16"/>
          <w:rtl/>
        </w:rPr>
        <w:t xml:space="preserve">{שמלוה אחד ב' לוים וב' שטרות אינו יכול לגבות </w:t>
      </w:r>
      <w:r>
        <w:rPr>
          <w:rFonts w:cs="Arial" w:hint="cs"/>
          <w:sz w:val="14"/>
          <w:szCs w:val="14"/>
          <w:rtl/>
        </w:rPr>
        <w:t>[כמבואר בסעיף הבא]</w:t>
      </w:r>
      <w:r>
        <w:rPr>
          <w:rFonts w:cs="Arial" w:hint="cs"/>
          <w:sz w:val="16"/>
          <w:szCs w:val="16"/>
          <w:rtl/>
        </w:rPr>
        <w:t xml:space="preserve">} </w:t>
      </w:r>
      <w:r w:rsidRPr="00FE3E3A">
        <w:rPr>
          <w:rFonts w:cs="Arial"/>
          <w:rtl/>
        </w:rPr>
        <w:t>כשבאו שתי הכתות להעיד כאחת</w:t>
      </w:r>
      <w:r>
        <w:rPr>
          <w:rFonts w:cs="Arial" w:hint="cs"/>
          <w:rtl/>
        </w:rPr>
        <w:t>,</w:t>
      </w:r>
      <w:r w:rsidRPr="00FE3E3A">
        <w:rPr>
          <w:rFonts w:cs="Arial"/>
          <w:rtl/>
        </w:rPr>
        <w:t xml:space="preserve"> אבל</w:t>
      </w:r>
      <w:r>
        <w:rPr>
          <w:rFonts w:cs="Arial" w:hint="cs"/>
          <w:rtl/>
        </w:rPr>
        <w:t>,</w:t>
      </w:r>
      <w:r w:rsidRPr="00FE3E3A">
        <w:rPr>
          <w:rFonts w:cs="Arial"/>
          <w:rtl/>
        </w:rPr>
        <w:t xml:space="preserve"> כל המוציא שטר שיש בו עדות כת אחת משתיהן </w:t>
      </w:r>
      <w:r>
        <w:rPr>
          <w:rFonts w:cs="Arial" w:hint="cs"/>
          <w:rtl/>
        </w:rPr>
        <w:t xml:space="preserve">- </w:t>
      </w:r>
      <w:r w:rsidRPr="00FE3E3A">
        <w:rPr>
          <w:rFonts w:cs="Arial"/>
          <w:rtl/>
        </w:rPr>
        <w:t>הרי זה גובה בו</w:t>
      </w:r>
      <w:r>
        <w:rPr>
          <w:rFonts w:cs="Arial" w:hint="cs"/>
          <w:rtl/>
        </w:rPr>
        <w:t>.</w:t>
      </w:r>
      <w:r w:rsidRPr="00FE3E3A">
        <w:rPr>
          <w:rFonts w:cs="Arial"/>
          <w:rtl/>
        </w:rPr>
        <w:t xml:space="preserve"> ואם הוציא אחר כך בין הוא בין אחר שטר שיש בו עדות הכת השניה </w:t>
      </w:r>
      <w:r>
        <w:rPr>
          <w:rFonts w:cs="Arial" w:hint="cs"/>
          <w:rtl/>
        </w:rPr>
        <w:t xml:space="preserve">- </w:t>
      </w:r>
      <w:r w:rsidRPr="00FE3E3A">
        <w:rPr>
          <w:rFonts w:cs="Arial"/>
          <w:rtl/>
        </w:rPr>
        <w:t>הרי זה גובה בו</w:t>
      </w:r>
      <w:r>
        <w:rPr>
          <w:rFonts w:cs="Arial" w:hint="cs"/>
          <w:rtl/>
        </w:rPr>
        <w:t>,</w:t>
      </w:r>
      <w:r w:rsidRPr="00FE3E3A">
        <w:rPr>
          <w:rFonts w:cs="Arial"/>
          <w:rtl/>
        </w:rPr>
        <w:t xml:space="preserve"> </w:t>
      </w:r>
      <w:r w:rsidRPr="00F7602C">
        <w:rPr>
          <w:rFonts w:cs="Arial"/>
          <w:b/>
          <w:bCs/>
          <w:rtl/>
        </w:rPr>
        <w:t>בין ממלוה הראשון</w:t>
      </w:r>
      <w:r w:rsidRPr="00FE3E3A">
        <w:rPr>
          <w:rFonts w:cs="Arial"/>
          <w:rtl/>
        </w:rPr>
        <w:t xml:space="preserve"> </w:t>
      </w:r>
      <w:r>
        <w:rPr>
          <w:rFonts w:cs="Arial" w:hint="cs"/>
          <w:sz w:val="16"/>
          <w:szCs w:val="16"/>
          <w:rtl/>
        </w:rPr>
        <w:t xml:space="preserve">{כבסעיף שלנו} </w:t>
      </w:r>
      <w:r w:rsidRPr="00FE3E3A">
        <w:rPr>
          <w:rFonts w:cs="Arial"/>
          <w:rtl/>
        </w:rPr>
        <w:t>בין מאחר</w:t>
      </w:r>
      <w:r>
        <w:rPr>
          <w:rFonts w:cs="Arial" w:hint="cs"/>
          <w:sz w:val="16"/>
          <w:szCs w:val="16"/>
          <w:rtl/>
        </w:rPr>
        <w:t xml:space="preserve"> {כבסעיף הבא}</w:t>
      </w:r>
      <w:r>
        <w:rPr>
          <w:rFonts w:cs="Arial" w:hint="cs"/>
          <w:rtl/>
        </w:rPr>
        <w:t>.</w:t>
      </w:r>
      <w:r w:rsidRPr="00FE3E3A">
        <w:rPr>
          <w:rFonts w:cs="Arial"/>
          <w:rtl/>
        </w:rPr>
        <w:t xml:space="preserve"> שהרי כל אחת משתיהן באה בפני עצמה והעידה</w:t>
      </w:r>
      <w:r>
        <w:rPr>
          <w:rStyle w:val="ab"/>
          <w:rFonts w:cs="Arial"/>
          <w:rtl/>
        </w:rPr>
        <w:footnoteReference w:id="1765"/>
      </w:r>
      <w:r w:rsidRPr="00FE3E3A">
        <w:rPr>
          <w:rFonts w:cs="Arial" w:hint="cs"/>
          <w:rtl/>
        </w:rPr>
        <w:t>.</w:t>
      </w:r>
      <w:r>
        <w:rPr>
          <w:rFonts w:cs="Arial" w:hint="cs"/>
          <w:rtl/>
        </w:rPr>
        <w:t xml:space="preserve"> </w:t>
      </w:r>
      <w:r w:rsidRPr="00396CE2">
        <w:rPr>
          <w:rFonts w:cs="Arial" w:hint="cs"/>
          <w:color w:val="E36C0A" w:themeColor="accent6" w:themeShade="BF"/>
          <w:rtl/>
        </w:rPr>
        <w:t>(וכ"פ בשו"ע)</w:t>
      </w:r>
    </w:p>
    <w:p w14:paraId="36A5370A" w14:textId="77777777" w:rsidR="004B607F" w:rsidRPr="003945E2" w:rsidRDefault="004B607F" w:rsidP="004B607F">
      <w:pPr>
        <w:rPr>
          <w:rFonts w:cs="Arial"/>
          <w:rtl/>
        </w:rPr>
      </w:pPr>
      <w:r>
        <w:rPr>
          <w:rFonts w:cs="Arial" w:hint="cs"/>
          <w:b/>
          <w:bCs/>
          <w:rtl/>
        </w:rPr>
        <w:t xml:space="preserve">שבועות </w:t>
      </w:r>
      <w:r w:rsidRPr="00396CE2">
        <w:rPr>
          <w:rFonts w:cs="Arial" w:hint="cs"/>
          <w:b/>
          <w:bCs/>
          <w:sz w:val="16"/>
          <w:szCs w:val="16"/>
          <w:rtl/>
        </w:rPr>
        <w:t>(</w:t>
      </w:r>
      <w:r>
        <w:rPr>
          <w:rFonts w:cs="Arial" w:hint="cs"/>
          <w:b/>
          <w:bCs/>
          <w:sz w:val="16"/>
          <w:szCs w:val="16"/>
          <w:rtl/>
        </w:rPr>
        <w:t>ר"</w:t>
      </w:r>
      <w:r w:rsidRPr="00396CE2">
        <w:rPr>
          <w:rFonts w:cs="Arial" w:hint="cs"/>
          <w:b/>
          <w:bCs/>
          <w:sz w:val="16"/>
          <w:szCs w:val="16"/>
          <w:rtl/>
        </w:rPr>
        <w:t>פ</w:t>
      </w:r>
      <w:r>
        <w:rPr>
          <w:rFonts w:cs="Arial" w:hint="cs"/>
          <w:b/>
          <w:bCs/>
          <w:sz w:val="16"/>
          <w:szCs w:val="16"/>
          <w:rtl/>
        </w:rPr>
        <w:t xml:space="preserve"> </w:t>
      </w:r>
      <w:r w:rsidRPr="00396CE2">
        <w:rPr>
          <w:rFonts w:cs="Arial" w:hint="cs"/>
          <w:b/>
          <w:bCs/>
          <w:sz w:val="16"/>
          <w:szCs w:val="16"/>
          <w:rtl/>
        </w:rPr>
        <w:t xml:space="preserve">כל הנשבעין) </w:t>
      </w:r>
      <w:r>
        <w:rPr>
          <w:rFonts w:cs="Arial" w:hint="cs"/>
          <w:b/>
          <w:bCs/>
          <w:rtl/>
        </w:rPr>
        <w:t>מד</w:t>
      </w:r>
      <w:r>
        <w:rPr>
          <w:rStyle w:val="ab"/>
          <w:rFonts w:cs="Arial"/>
          <w:b/>
          <w:bCs/>
          <w:rtl/>
        </w:rPr>
        <w:footnoteReference w:id="1766"/>
      </w:r>
      <w:r>
        <w:rPr>
          <w:rFonts w:cs="Arial" w:hint="cs"/>
          <w:b/>
          <w:bCs/>
          <w:rtl/>
        </w:rPr>
        <w:t xml:space="preserve"> ע"ב: </w:t>
      </w:r>
      <w:r w:rsidRPr="003945E2">
        <w:rPr>
          <w:rFonts w:cs="Arial"/>
          <w:u w:val="double"/>
          <w:rtl/>
        </w:rPr>
        <w:t>מתני'</w:t>
      </w:r>
      <w:r>
        <w:rPr>
          <w:rFonts w:cs="Arial" w:hint="cs"/>
          <w:rtl/>
        </w:rPr>
        <w:t>:</w:t>
      </w:r>
      <w:r w:rsidRPr="003945E2">
        <w:rPr>
          <w:rFonts w:cs="Arial"/>
          <w:rtl/>
        </w:rPr>
        <w:t xml:space="preserve"> כל הנשבעין שבתורה נשבעין ולא משלמין. ואלו נשבעין ונוטלין: השכיר, והנגזל, והנחבל, ושכנגדו חשוד על השבועה, וחנוני על פנקסו.</w:t>
      </w:r>
      <w:r>
        <w:rPr>
          <w:rFonts w:cs="Arial" w:hint="cs"/>
          <w:rtl/>
        </w:rPr>
        <w:t>..</w:t>
      </w:r>
      <w:r w:rsidRPr="003945E2">
        <w:rPr>
          <w:rtl/>
        </w:rPr>
        <w:t xml:space="preserve"> </w:t>
      </w:r>
      <w:r>
        <w:rPr>
          <w:rFonts w:hint="cs"/>
          <w:sz w:val="14"/>
          <w:szCs w:val="14"/>
          <w:rtl/>
        </w:rPr>
        <w:t xml:space="preserve">(מה.) </w:t>
      </w:r>
      <w:r w:rsidRPr="003945E2">
        <w:rPr>
          <w:rFonts w:cs="Arial"/>
          <w:rtl/>
        </w:rPr>
        <w:t xml:space="preserve">והחנוני על פנקסו כיצד? לא שיאמר לו: </w:t>
      </w:r>
      <w:r>
        <w:rPr>
          <w:rFonts w:cs="Arial" w:hint="cs"/>
          <w:rtl/>
        </w:rPr>
        <w:t>'</w:t>
      </w:r>
      <w:r w:rsidRPr="003945E2">
        <w:rPr>
          <w:rFonts w:cs="Arial"/>
          <w:rtl/>
        </w:rPr>
        <w:t>כתוב על פנקסי שאתה חייב לי מאתים זוז</w:t>
      </w:r>
      <w:r>
        <w:rPr>
          <w:rFonts w:cs="Arial" w:hint="cs"/>
          <w:rtl/>
        </w:rPr>
        <w:t>'</w:t>
      </w:r>
      <w:r>
        <w:rPr>
          <w:rStyle w:val="ab"/>
          <w:rFonts w:cs="Arial"/>
          <w:rtl/>
        </w:rPr>
        <w:footnoteReference w:id="1767"/>
      </w:r>
      <w:r w:rsidRPr="003945E2">
        <w:rPr>
          <w:rFonts w:cs="Arial"/>
          <w:rtl/>
        </w:rPr>
        <w:t>, אלא אומר לו: תן לבני סאתים חטין, תן ל</w:t>
      </w:r>
      <w:r>
        <w:rPr>
          <w:rFonts w:cs="Arial" w:hint="cs"/>
          <w:rtl/>
        </w:rPr>
        <w:t>ְ</w:t>
      </w:r>
      <w:r w:rsidRPr="003945E2">
        <w:rPr>
          <w:rFonts w:cs="Arial"/>
          <w:rtl/>
        </w:rPr>
        <w:t>פ</w:t>
      </w:r>
      <w:r>
        <w:rPr>
          <w:rFonts w:cs="Arial" w:hint="cs"/>
          <w:rtl/>
        </w:rPr>
        <w:t>ּ</w:t>
      </w:r>
      <w:r w:rsidRPr="003945E2">
        <w:rPr>
          <w:rFonts w:cs="Arial"/>
          <w:rtl/>
        </w:rPr>
        <w:t>ו</w:t>
      </w:r>
      <w:r>
        <w:rPr>
          <w:rFonts w:cs="Arial" w:hint="cs"/>
          <w:rtl/>
        </w:rPr>
        <w:t>ֹ</w:t>
      </w:r>
      <w:r w:rsidRPr="003945E2">
        <w:rPr>
          <w:rFonts w:cs="Arial"/>
          <w:rtl/>
        </w:rPr>
        <w:t>ע</w:t>
      </w:r>
      <w:r>
        <w:rPr>
          <w:rFonts w:cs="Arial" w:hint="cs"/>
          <w:rtl/>
        </w:rPr>
        <w:t>ַ</w:t>
      </w:r>
      <w:r w:rsidRPr="003945E2">
        <w:rPr>
          <w:rFonts w:cs="Arial"/>
          <w:rtl/>
        </w:rPr>
        <w:t>ל</w:t>
      </w:r>
      <w:r>
        <w:rPr>
          <w:rFonts w:cs="Arial" w:hint="cs"/>
          <w:rtl/>
        </w:rPr>
        <w:t>ַ</w:t>
      </w:r>
      <w:r w:rsidRPr="003945E2">
        <w:rPr>
          <w:rFonts w:cs="Arial"/>
          <w:rtl/>
        </w:rPr>
        <w:t xml:space="preserve">י </w:t>
      </w:r>
      <w:r>
        <w:rPr>
          <w:rFonts w:cs="Arial" w:hint="cs"/>
          <w:rtl/>
        </w:rPr>
        <w:t>ב</w:t>
      </w:r>
      <w:r w:rsidRPr="003945E2">
        <w:rPr>
          <w:rFonts w:cs="Arial"/>
          <w:rtl/>
        </w:rPr>
        <w:t>סלע מעות</w:t>
      </w:r>
      <w:r>
        <w:rPr>
          <w:rStyle w:val="ab"/>
          <w:rFonts w:cs="Arial"/>
          <w:rtl/>
        </w:rPr>
        <w:footnoteReference w:id="1768"/>
      </w:r>
      <w:r>
        <w:rPr>
          <w:rFonts w:cs="Arial" w:hint="cs"/>
          <w:rtl/>
        </w:rPr>
        <w:t>.</w:t>
      </w:r>
      <w:r w:rsidRPr="003945E2">
        <w:rPr>
          <w:rFonts w:cs="Arial"/>
          <w:rtl/>
        </w:rPr>
        <w:t xml:space="preserve"> הוא אומר: נתתי, והן אומרים: לא נטלנו - הוא נשבע ונוטל והן נשבעין ונוטלין</w:t>
      </w:r>
      <w:r>
        <w:rPr>
          <w:rStyle w:val="ab"/>
          <w:rFonts w:cs="Arial"/>
          <w:rtl/>
        </w:rPr>
        <w:footnoteReference w:id="1769"/>
      </w:r>
      <w:r>
        <w:rPr>
          <w:rFonts w:cs="Arial" w:hint="cs"/>
          <w:rtl/>
        </w:rPr>
        <w:t>.</w:t>
      </w:r>
      <w:r w:rsidRPr="003945E2">
        <w:rPr>
          <w:rFonts w:cs="Arial"/>
          <w:rtl/>
        </w:rPr>
        <w:t xml:space="preserve"> </w:t>
      </w:r>
      <w:r w:rsidRPr="00720D17">
        <w:rPr>
          <w:rFonts w:cs="Arial"/>
          <w:u w:val="single"/>
          <w:rtl/>
        </w:rPr>
        <w:t>אמר בן ננס</w:t>
      </w:r>
      <w:r w:rsidRPr="003945E2">
        <w:rPr>
          <w:rFonts w:cs="Arial"/>
          <w:rtl/>
        </w:rPr>
        <w:t>: כיצד אלו ואלו באין לידי שבועת שוא? אלא הוא נוטל שלא בשבועה והן נוטלין שלא בשבועה.</w:t>
      </w:r>
      <w:r>
        <w:rPr>
          <w:rFonts w:cs="Arial" w:hint="cs"/>
          <w:rtl/>
        </w:rPr>
        <w:t xml:space="preserve">..     </w:t>
      </w:r>
      <w:r w:rsidRPr="00720D17">
        <w:rPr>
          <w:rFonts w:cs="Arial" w:hint="cs"/>
          <w:u w:val="double"/>
          <w:rtl/>
        </w:rPr>
        <w:t>גמ'</w:t>
      </w:r>
      <w:r w:rsidRPr="00720D17">
        <w:rPr>
          <w:rFonts w:cs="Arial" w:hint="cs"/>
          <w:sz w:val="14"/>
          <w:szCs w:val="14"/>
          <w:u w:val="double"/>
          <w:rtl/>
        </w:rPr>
        <w:t xml:space="preserve"> (מז:)</w:t>
      </w:r>
      <w:r w:rsidRPr="00720D17">
        <w:rPr>
          <w:rFonts w:cs="Arial" w:hint="cs"/>
          <w:u w:val="double"/>
          <w:rtl/>
        </w:rPr>
        <w:t>:</w:t>
      </w:r>
      <w:r>
        <w:rPr>
          <w:rFonts w:cs="Arial" w:hint="cs"/>
          <w:rtl/>
        </w:rPr>
        <w:t xml:space="preserve"> </w:t>
      </w:r>
      <w:r w:rsidRPr="00720D17">
        <w:rPr>
          <w:rFonts w:cs="Arial"/>
          <w:rtl/>
        </w:rPr>
        <w:t xml:space="preserve">והחנוני על פינקסו כו'. תניא, </w:t>
      </w:r>
      <w:r w:rsidRPr="00720D17">
        <w:rPr>
          <w:rFonts w:cs="Arial"/>
          <w:u w:val="single"/>
          <w:rtl/>
        </w:rPr>
        <w:t>אמר רבי</w:t>
      </w:r>
      <w:r w:rsidRPr="00720D17">
        <w:rPr>
          <w:rFonts w:cs="Arial"/>
          <w:rtl/>
        </w:rPr>
        <w:t>: טורח שבועה זו למה</w:t>
      </w:r>
      <w:r>
        <w:rPr>
          <w:rStyle w:val="ab"/>
          <w:rFonts w:cs="Arial"/>
          <w:rtl/>
        </w:rPr>
        <w:footnoteReference w:id="1770"/>
      </w:r>
      <w:r w:rsidRPr="00720D17">
        <w:rPr>
          <w:rFonts w:cs="Arial"/>
          <w:rtl/>
        </w:rPr>
        <w:t xml:space="preserve">? </w:t>
      </w:r>
      <w:r w:rsidRPr="00720D17">
        <w:rPr>
          <w:rFonts w:cs="Arial"/>
          <w:u w:val="single"/>
          <w:rtl/>
        </w:rPr>
        <w:t>א"ל ר' חייא</w:t>
      </w:r>
      <w:r>
        <w:rPr>
          <w:rFonts w:cs="Arial" w:hint="cs"/>
          <w:rtl/>
        </w:rPr>
        <w:t xml:space="preserve">: </w:t>
      </w:r>
      <w:r w:rsidRPr="00720D17">
        <w:rPr>
          <w:rFonts w:cs="Arial"/>
          <w:rtl/>
        </w:rPr>
        <w:t>תנינא</w:t>
      </w:r>
      <w:r>
        <w:rPr>
          <w:rFonts w:cs="Arial" w:hint="cs"/>
          <w:rtl/>
        </w:rPr>
        <w:t>,</w:t>
      </w:r>
      <w:r w:rsidRPr="00720D17">
        <w:rPr>
          <w:rFonts w:cs="Arial"/>
          <w:rtl/>
        </w:rPr>
        <w:t xml:space="preserve"> שניהם נשבעין ונוטלין</w:t>
      </w:r>
      <w:r>
        <w:rPr>
          <w:rStyle w:val="ab"/>
          <w:rFonts w:cs="Arial"/>
          <w:rtl/>
        </w:rPr>
        <w:footnoteReference w:id="1771"/>
      </w:r>
      <w:r w:rsidRPr="00720D17">
        <w:rPr>
          <w:rFonts w:cs="Arial"/>
          <w:rtl/>
        </w:rPr>
        <w:t xml:space="preserve"> מבעל הבית. קיבלה מיניה או לא קיבלה מיניה</w:t>
      </w:r>
      <w:r>
        <w:rPr>
          <w:rStyle w:val="ab"/>
          <w:rFonts w:cs="Arial"/>
          <w:rtl/>
        </w:rPr>
        <w:footnoteReference w:id="1772"/>
      </w:r>
      <w:r w:rsidRPr="00720D17">
        <w:rPr>
          <w:rFonts w:cs="Arial"/>
          <w:rtl/>
        </w:rPr>
        <w:t>? ת"ש</w:t>
      </w:r>
      <w:r>
        <w:rPr>
          <w:rStyle w:val="ab"/>
          <w:rFonts w:cs="Arial"/>
          <w:rtl/>
        </w:rPr>
        <w:footnoteReference w:id="1773"/>
      </w:r>
      <w:r w:rsidRPr="00720D17">
        <w:rPr>
          <w:rFonts w:cs="Arial"/>
          <w:rtl/>
        </w:rPr>
        <w:t xml:space="preserve">: </w:t>
      </w:r>
      <w:r w:rsidRPr="00720D17">
        <w:rPr>
          <w:rFonts w:cs="Arial"/>
          <w:rtl/>
        </w:rPr>
        <w:lastRenderedPageBreak/>
        <w:t>דתניא, רבי אומר: פועלין נשבעין לחנוני</w:t>
      </w:r>
      <w:r>
        <w:rPr>
          <w:rFonts w:cs="Arial" w:hint="cs"/>
          <w:rtl/>
        </w:rPr>
        <w:t>.</w:t>
      </w:r>
      <w:r w:rsidRPr="00720D17">
        <w:rPr>
          <w:rFonts w:cs="Arial"/>
          <w:rtl/>
        </w:rPr>
        <w:t xml:space="preserve"> ואם איתא</w:t>
      </w:r>
      <w:r>
        <w:rPr>
          <w:rStyle w:val="ab"/>
          <w:rFonts w:cs="Arial"/>
          <w:rtl/>
        </w:rPr>
        <w:footnoteReference w:id="1774"/>
      </w:r>
      <w:r w:rsidRPr="00720D17">
        <w:rPr>
          <w:rFonts w:cs="Arial"/>
          <w:rtl/>
        </w:rPr>
        <w:t xml:space="preserve">, לבעל הבית מיבעי ליה! </w:t>
      </w:r>
      <w:r w:rsidRPr="00720D17">
        <w:rPr>
          <w:rFonts w:cs="Arial"/>
          <w:u w:val="single"/>
          <w:rtl/>
        </w:rPr>
        <w:t>אמר רבא</w:t>
      </w:r>
      <w:r>
        <w:rPr>
          <w:rStyle w:val="ab"/>
          <w:rFonts w:cs="Arial"/>
          <w:u w:val="single"/>
          <w:rtl/>
        </w:rPr>
        <w:footnoteReference w:id="1775"/>
      </w:r>
      <w:r w:rsidRPr="00720D17">
        <w:rPr>
          <w:rFonts w:cs="Arial"/>
          <w:rtl/>
        </w:rPr>
        <w:t>: פועלים נשבעין לבעל הבית במעמד חנוני, כי היכי דליכספו מיניה.</w:t>
      </w:r>
      <w:r>
        <w:rPr>
          <w:rFonts w:cs="Arial" w:hint="cs"/>
          <w:rtl/>
        </w:rPr>
        <w:t xml:space="preserve"> </w:t>
      </w:r>
      <w:r w:rsidRPr="00396CE2">
        <w:rPr>
          <w:rFonts w:cs="Arial"/>
          <w:rtl/>
        </w:rPr>
        <w:t xml:space="preserve">איתמר: שתי כיתי עדים המכחישות זו את זו - </w:t>
      </w:r>
      <w:r w:rsidRPr="00396CE2">
        <w:rPr>
          <w:rFonts w:cs="Arial"/>
          <w:u w:val="single"/>
          <w:rtl/>
        </w:rPr>
        <w:t>אמר רב הונא</w:t>
      </w:r>
      <w:r w:rsidRPr="00396CE2">
        <w:rPr>
          <w:rFonts w:cs="Arial"/>
          <w:rtl/>
        </w:rPr>
        <w:t>: זו באה בפני עצמה ומעידה, וזו באה בפני עצמה ומעידה</w:t>
      </w:r>
      <w:r>
        <w:rPr>
          <w:rFonts w:cs="Arial" w:hint="cs"/>
          <w:rtl/>
        </w:rPr>
        <w:t>.</w:t>
      </w:r>
      <w:r w:rsidRPr="00396CE2">
        <w:rPr>
          <w:rFonts w:cs="Arial"/>
          <w:rtl/>
        </w:rPr>
        <w:t xml:space="preserve"> </w:t>
      </w:r>
      <w:r w:rsidRPr="00396CE2">
        <w:rPr>
          <w:rFonts w:cs="Arial"/>
          <w:u w:val="single"/>
          <w:rtl/>
        </w:rPr>
        <w:t>רב חסדא אמר</w:t>
      </w:r>
      <w:r w:rsidRPr="00396CE2">
        <w:rPr>
          <w:rFonts w:cs="Arial"/>
          <w:rtl/>
        </w:rPr>
        <w:t>: בהדי סהדי שקרי למה לי!</w:t>
      </w:r>
      <w:r>
        <w:rPr>
          <w:rFonts w:cs="Arial" w:hint="cs"/>
          <w:rtl/>
        </w:rPr>
        <w:t>...</w:t>
      </w:r>
      <w:r w:rsidRPr="00396CE2">
        <w:rPr>
          <w:rFonts w:cs="Arial"/>
          <w:rtl/>
        </w:rPr>
        <w:t xml:space="preserve"> שני מלוין ולוה אחד ושני שטרות - היינו מתניתין</w:t>
      </w:r>
      <w:r>
        <w:rPr>
          <w:rStyle w:val="ab"/>
          <w:rFonts w:cs="Arial"/>
          <w:rtl/>
        </w:rPr>
        <w:footnoteReference w:id="1776"/>
      </w:r>
      <w:r>
        <w:rPr>
          <w:rFonts w:cs="Arial" w:hint="cs"/>
          <w:rtl/>
        </w:rPr>
        <w:t>..</w:t>
      </w:r>
      <w:r w:rsidRPr="00396CE2">
        <w:rPr>
          <w:rFonts w:cs="Arial"/>
          <w:rtl/>
        </w:rPr>
        <w:t>.</w:t>
      </w:r>
      <w:r>
        <w:rPr>
          <w:rFonts w:cs="Arial" w:hint="cs"/>
          <w:rtl/>
        </w:rPr>
        <w:t xml:space="preserve"> </w:t>
      </w:r>
    </w:p>
    <w:p w14:paraId="7B3D579E" w14:textId="77777777" w:rsidR="004B607F" w:rsidRPr="0075757E" w:rsidRDefault="004B607F" w:rsidP="004B607F">
      <w:pPr>
        <w:rPr>
          <w:u w:val="single"/>
          <w:rtl/>
        </w:rPr>
      </w:pPr>
      <w:r w:rsidRPr="0075757E">
        <w:rPr>
          <w:rFonts w:cs="Arial"/>
          <w:u w:val="single"/>
          <w:rtl/>
        </w:rPr>
        <w:t>שני מלוים שהוציאו</w:t>
      </w:r>
      <w:r>
        <w:rPr>
          <w:rFonts w:cs="Arial" w:hint="cs"/>
          <w:u w:val="single"/>
          <w:rtl/>
        </w:rPr>
        <w:t xml:space="preserve"> על לוה אחד ב' שטרות:</w:t>
      </w:r>
    </w:p>
    <w:p w14:paraId="7B573232" w14:textId="77777777" w:rsidR="004B607F" w:rsidRPr="00A901BD" w:rsidRDefault="004B607F" w:rsidP="004B0475">
      <w:pPr>
        <w:pStyle w:val="ac"/>
        <w:numPr>
          <w:ilvl w:val="0"/>
          <w:numId w:val="93"/>
        </w:numPr>
      </w:pPr>
      <w:r>
        <w:rPr>
          <w:rFonts w:hint="cs"/>
          <w:rtl/>
        </w:rPr>
        <w:t>טור-</w:t>
      </w:r>
      <w:r w:rsidRPr="0075757E">
        <w:rPr>
          <w:rFonts w:cs="Arial"/>
          <w:rtl/>
        </w:rPr>
        <w:t xml:space="preserve"> שני מלוים שהוציאו כל אחד שטר על לוה אחד שאלו הכיתות חתומים בו</w:t>
      </w:r>
      <w:r>
        <w:rPr>
          <w:rFonts w:cs="Arial" w:hint="cs"/>
          <w:rtl/>
        </w:rPr>
        <w:t xml:space="preserve"> -</w:t>
      </w:r>
      <w:r w:rsidRPr="0075757E">
        <w:rPr>
          <w:rFonts w:cs="Arial"/>
          <w:rtl/>
        </w:rPr>
        <w:t xml:space="preserve"> כל אחד נשבע ונוטל</w:t>
      </w:r>
      <w:r>
        <w:rPr>
          <w:rFonts w:cs="Arial" w:hint="cs"/>
          <w:rtl/>
        </w:rPr>
        <w:t>,</w:t>
      </w:r>
      <w:r w:rsidRPr="0075757E">
        <w:rPr>
          <w:rFonts w:cs="Arial"/>
          <w:rtl/>
        </w:rPr>
        <w:t xml:space="preserve"> אפילו אם טוען לכל אחד אין לך בידי כלום</w:t>
      </w:r>
      <w:r w:rsidRPr="0075757E">
        <w:rPr>
          <w:rFonts w:cs="Arial" w:hint="cs"/>
          <w:rtl/>
        </w:rPr>
        <w:t>,</w:t>
      </w:r>
      <w:r w:rsidRPr="0075757E">
        <w:rPr>
          <w:rFonts w:cs="Arial"/>
          <w:rtl/>
        </w:rPr>
        <w:t xml:space="preserve"> כ"ש אם טוען אחד מכם יש לו בידי ואיני יודע איזה מכם הוא</w:t>
      </w:r>
      <w:r>
        <w:rPr>
          <w:rFonts w:cs="Arial" w:hint="cs"/>
          <w:rtl/>
        </w:rPr>
        <w:t>.</w:t>
      </w:r>
      <w:r w:rsidRPr="0075757E">
        <w:rPr>
          <w:rFonts w:cs="Arial"/>
          <w:rtl/>
        </w:rPr>
        <w:t xml:space="preserve"> ואפילו אם יש נאמנות בשטרות צריכים לישבע</w:t>
      </w:r>
      <w:r>
        <w:rPr>
          <w:rStyle w:val="ab"/>
          <w:rFonts w:cs="Arial"/>
          <w:rtl/>
        </w:rPr>
        <w:footnoteReference w:id="1777"/>
      </w:r>
      <w:r w:rsidRPr="0075757E">
        <w:rPr>
          <w:rFonts w:cs="Arial" w:hint="cs"/>
          <w:rtl/>
        </w:rPr>
        <w:t>.</w:t>
      </w:r>
      <w:r w:rsidRPr="0075757E">
        <w:rPr>
          <w:rFonts w:cs="Arial"/>
          <w:rtl/>
        </w:rPr>
        <w:t xml:space="preserve"> </w:t>
      </w:r>
      <w:r w:rsidRPr="00396CE2">
        <w:rPr>
          <w:rFonts w:cs="Arial" w:hint="cs"/>
          <w:color w:val="E36C0A" w:themeColor="accent6" w:themeShade="BF"/>
          <w:rtl/>
        </w:rPr>
        <w:t>(וכ"פ בשו"ע)</w:t>
      </w:r>
    </w:p>
    <w:p w14:paraId="5B2D9449" w14:textId="77777777" w:rsidR="004B607F" w:rsidRPr="003D37AF" w:rsidRDefault="004B607F" w:rsidP="004B607F">
      <w:pPr>
        <w:ind w:left="360"/>
        <w:rPr>
          <w:u w:val="dotted"/>
        </w:rPr>
      </w:pPr>
      <w:r>
        <w:rPr>
          <w:rFonts w:hint="cs"/>
          <w:u w:val="dotted"/>
          <w:rtl/>
        </w:rPr>
        <w:t>ו</w:t>
      </w:r>
      <w:r w:rsidRPr="003D37AF">
        <w:rPr>
          <w:rFonts w:hint="cs"/>
          <w:u w:val="dotted"/>
          <w:rtl/>
        </w:rPr>
        <w:t xml:space="preserve">מה הדין אם כל אחד בא לגבות לבדו, האם </w:t>
      </w:r>
      <w:r>
        <w:rPr>
          <w:rFonts w:hint="cs"/>
          <w:u w:val="dotted"/>
          <w:rtl/>
        </w:rPr>
        <w:t>ב</w:t>
      </w:r>
      <w:r w:rsidRPr="003D37AF">
        <w:rPr>
          <w:rFonts w:hint="cs"/>
          <w:u w:val="dotted"/>
          <w:rtl/>
        </w:rPr>
        <w:t xml:space="preserve">כל אופן כל אחד צריך להישבע: </w:t>
      </w:r>
    </w:p>
    <w:p w14:paraId="7E9E928D" w14:textId="77777777" w:rsidR="004B607F" w:rsidRPr="00844F87" w:rsidRDefault="004B607F" w:rsidP="004B0475">
      <w:pPr>
        <w:pStyle w:val="ac"/>
        <w:numPr>
          <w:ilvl w:val="0"/>
          <w:numId w:val="93"/>
        </w:numPr>
        <w:rPr>
          <w:rtl/>
        </w:rPr>
      </w:pPr>
      <w:r>
        <w:rPr>
          <w:rFonts w:cs="Arial" w:hint="cs"/>
          <w:rtl/>
        </w:rPr>
        <w:t xml:space="preserve">טור- </w:t>
      </w:r>
      <w:r w:rsidRPr="0075757E">
        <w:rPr>
          <w:rFonts w:cs="Arial"/>
          <w:rtl/>
        </w:rPr>
        <w:t>כתב הרמ"ה לא מיבעיא אם באו לגבות כאחד אלא אפילו באו כל אחד לגבות לבדו צריכין שבועה.</w:t>
      </w:r>
    </w:p>
    <w:p w14:paraId="246929DA" w14:textId="77777777" w:rsidR="004B607F" w:rsidRPr="003024E5" w:rsidRDefault="004B607F" w:rsidP="004B607F">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71776922" w14:textId="77777777" w:rsidR="004B607F" w:rsidRDefault="004B607F" w:rsidP="004B607F">
      <w:pPr>
        <w:rPr>
          <w:rtl/>
        </w:rPr>
      </w:pPr>
      <w:r>
        <w:rPr>
          <w:rFonts w:cs="Arial"/>
          <w:rtl/>
        </w:rPr>
        <w:t>מלוה שיש לו על לוה אחד שני שטרות, א</w:t>
      </w:r>
      <w:r>
        <w:rPr>
          <w:rFonts w:cs="Arial" w:hint="cs"/>
          <w:rtl/>
        </w:rPr>
        <w:t>חד</w:t>
      </w:r>
      <w:r>
        <w:rPr>
          <w:rFonts w:cs="Arial"/>
          <w:rtl/>
        </w:rPr>
        <w:t xml:space="preserve"> במנה וא</w:t>
      </w:r>
      <w:r>
        <w:rPr>
          <w:rFonts w:cs="Arial" w:hint="cs"/>
          <w:rtl/>
        </w:rPr>
        <w:t>חד</w:t>
      </w:r>
      <w:r>
        <w:rPr>
          <w:rFonts w:cs="Arial"/>
          <w:rtl/>
        </w:rPr>
        <w:t xml:space="preserve"> ב</w:t>
      </w:r>
      <w:r>
        <w:rPr>
          <w:rFonts w:cs="Arial" w:hint="cs"/>
          <w:rtl/>
        </w:rPr>
        <w:t>מאתיים</w:t>
      </w:r>
      <w:r>
        <w:rPr>
          <w:rFonts w:cs="Arial"/>
          <w:rtl/>
        </w:rPr>
        <w:t>, וכפר הלוה בשני השטרות, וכת אחת מאלו חתומה בשטר זה, וכת שניה חתומה בשטר זה, אם הוציאן כאחד</w:t>
      </w:r>
      <w:r>
        <w:rPr>
          <w:rFonts w:cs="Arial" w:hint="cs"/>
          <w:rtl/>
        </w:rPr>
        <w:t>,</w:t>
      </w:r>
      <w:r>
        <w:rPr>
          <w:rFonts w:cs="Arial"/>
          <w:rtl/>
        </w:rPr>
        <w:t xml:space="preserve"> לא ישלם אלא מנה</w:t>
      </w:r>
      <w:r>
        <w:rPr>
          <w:rStyle w:val="ab"/>
          <w:rFonts w:cs="Arial"/>
          <w:rtl/>
        </w:rPr>
        <w:footnoteReference w:id="1778"/>
      </w:r>
      <w:r>
        <w:rPr>
          <w:rFonts w:cs="Arial" w:hint="cs"/>
          <w:rtl/>
        </w:rPr>
        <w:t>,</w:t>
      </w:r>
      <w:r>
        <w:rPr>
          <w:rFonts w:cs="Arial"/>
          <w:rtl/>
        </w:rPr>
        <w:t xml:space="preserve"> וישבע על השאר בנקיטת חפץ</w:t>
      </w:r>
      <w:r>
        <w:rPr>
          <w:rStyle w:val="ab"/>
          <w:rFonts w:cs="Arial"/>
          <w:rtl/>
        </w:rPr>
        <w:footnoteReference w:id="1779"/>
      </w:r>
      <w:r>
        <w:rPr>
          <w:rFonts w:cs="Arial" w:hint="cs"/>
          <w:rtl/>
        </w:rPr>
        <w:t>.</w:t>
      </w:r>
      <w:r>
        <w:rPr>
          <w:rFonts w:cs="Arial"/>
          <w:rtl/>
        </w:rPr>
        <w:t xml:space="preserve"> ומוציאין שטר של </w:t>
      </w:r>
      <w:r>
        <w:rPr>
          <w:rFonts w:cs="Arial" w:hint="cs"/>
          <w:rtl/>
        </w:rPr>
        <w:t xml:space="preserve">מאתיים </w:t>
      </w:r>
      <w:r>
        <w:rPr>
          <w:rFonts w:cs="Arial"/>
          <w:rtl/>
        </w:rPr>
        <w:t>מידו וקורעים אותו. ואם הוציא שטר אחד בלבד, גובה אותו, ואם אחר כך הוציא השטר השני גובה אותו ג</w:t>
      </w:r>
      <w:r>
        <w:rPr>
          <w:rFonts w:cs="Arial" w:hint="cs"/>
          <w:rtl/>
        </w:rPr>
        <w:t xml:space="preserve">ם </w:t>
      </w:r>
      <w:r>
        <w:rPr>
          <w:rFonts w:cs="Arial"/>
          <w:rtl/>
        </w:rPr>
        <w:t>כ</w:t>
      </w:r>
      <w:r>
        <w:rPr>
          <w:rFonts w:cs="Arial" w:hint="cs"/>
          <w:rtl/>
        </w:rPr>
        <w:t>ן</w:t>
      </w:r>
      <w:r>
        <w:rPr>
          <w:rFonts w:cs="Arial"/>
          <w:rtl/>
        </w:rPr>
        <w:t xml:space="preserve">. </w:t>
      </w:r>
      <w:r w:rsidRPr="00566744">
        <w:rPr>
          <w:rFonts w:cs="Arial" w:hint="cs"/>
          <w:sz w:val="18"/>
          <w:szCs w:val="18"/>
          <w:rtl/>
        </w:rPr>
        <w:t xml:space="preserve">[הגה] </w:t>
      </w:r>
      <w:r w:rsidRPr="00566744">
        <w:rPr>
          <w:rFonts w:cs="Arial"/>
          <w:sz w:val="18"/>
          <w:szCs w:val="18"/>
          <w:rtl/>
        </w:rPr>
        <w:t>ויש אומרים</w:t>
      </w:r>
      <w:r>
        <w:rPr>
          <w:rStyle w:val="ab"/>
          <w:rFonts w:cs="Arial"/>
          <w:sz w:val="18"/>
          <w:szCs w:val="18"/>
          <w:rtl/>
        </w:rPr>
        <w:footnoteReference w:id="1780"/>
      </w:r>
      <w:r w:rsidRPr="00566744">
        <w:rPr>
          <w:rFonts w:cs="Arial"/>
          <w:sz w:val="18"/>
          <w:szCs w:val="18"/>
          <w:rtl/>
        </w:rPr>
        <w:t xml:space="preserve"> דטוב לו שישרוף הקטן, שלא ישביעהו</w:t>
      </w:r>
      <w:r>
        <w:rPr>
          <w:rStyle w:val="ab"/>
          <w:rFonts w:cs="Arial"/>
          <w:sz w:val="18"/>
          <w:szCs w:val="18"/>
          <w:rtl/>
        </w:rPr>
        <w:footnoteReference w:id="1781"/>
      </w:r>
      <w:r w:rsidRPr="00566744">
        <w:rPr>
          <w:rFonts w:cs="Arial"/>
          <w:sz w:val="18"/>
          <w:szCs w:val="18"/>
          <w:rtl/>
        </w:rPr>
        <w:t xml:space="preserve"> הלוה שיש לו שני שטרות שאלו העדים חתומים </w:t>
      </w:r>
      <w:r w:rsidRPr="00566744">
        <w:rPr>
          <w:rFonts w:cs="Arial"/>
          <w:sz w:val="18"/>
          <w:szCs w:val="18"/>
          <w:rtl/>
        </w:rPr>
        <w:lastRenderedPageBreak/>
        <w:t>עליו.</w:t>
      </w:r>
      <w:r>
        <w:rPr>
          <w:rFonts w:cs="Arial"/>
          <w:rtl/>
        </w:rPr>
        <w:t xml:space="preserve"> שני מלוים שהוציאו כל אחד שטר על לוה</w:t>
      </w:r>
      <w:r>
        <w:rPr>
          <w:rFonts w:cs="Arial" w:hint="cs"/>
          <w:rtl/>
        </w:rPr>
        <w:t xml:space="preserve"> </w:t>
      </w:r>
      <w:r w:rsidRPr="00A835AC">
        <w:rPr>
          <w:rFonts w:cs="Arial" w:hint="cs"/>
          <w:sz w:val="18"/>
          <w:szCs w:val="18"/>
          <w:rtl/>
        </w:rPr>
        <w:t>אחד</w:t>
      </w:r>
      <w:r w:rsidRPr="00A835AC">
        <w:rPr>
          <w:rStyle w:val="ab"/>
          <w:rFonts w:cs="Arial"/>
          <w:sz w:val="18"/>
          <w:szCs w:val="18"/>
          <w:rtl/>
        </w:rPr>
        <w:footnoteReference w:id="1782"/>
      </w:r>
      <w:r>
        <w:rPr>
          <w:rFonts w:cs="Arial"/>
          <w:rtl/>
        </w:rPr>
        <w:t xml:space="preserve"> שאלו הכתות חתומים בו, כל כת בשטר אחד, והלוה כופר בשניהם, זה נשבע ונוטל וזה נשבע ונוטל</w:t>
      </w:r>
      <w:r>
        <w:rPr>
          <w:rStyle w:val="ab"/>
          <w:rFonts w:cs="Arial"/>
          <w:rtl/>
        </w:rPr>
        <w:footnoteReference w:id="1783"/>
      </w:r>
      <w:r>
        <w:rPr>
          <w:rFonts w:cs="Arial"/>
          <w:rtl/>
        </w:rPr>
        <w:t>, ואפילו כתוב נאמנות בשטרות</w:t>
      </w:r>
      <w:r>
        <w:rPr>
          <w:rStyle w:val="ab"/>
          <w:rFonts w:cs="Arial"/>
          <w:rtl/>
        </w:rPr>
        <w:footnoteReference w:id="1784"/>
      </w:r>
      <w:r>
        <w:rPr>
          <w:rFonts w:cs="Arial"/>
          <w:rtl/>
        </w:rPr>
        <w:t xml:space="preserve"> צריכין לישבע. </w:t>
      </w:r>
    </w:p>
    <w:p w14:paraId="0D092E7F" w14:textId="77777777" w:rsidR="004B607F" w:rsidRDefault="004B607F" w:rsidP="004B607F">
      <w:pPr>
        <w:rPr>
          <w:rtl/>
        </w:rPr>
      </w:pPr>
    </w:p>
    <w:p w14:paraId="34497C67" w14:textId="77777777" w:rsidR="004B607F" w:rsidRDefault="004B607F" w:rsidP="004B607F">
      <w:pPr>
        <w:pStyle w:val="2"/>
        <w:rPr>
          <w:rtl/>
        </w:rPr>
      </w:pPr>
      <w:bookmarkStart w:id="253" w:name="_Toc24883723"/>
      <w:r>
        <w:rPr>
          <w:rtl/>
        </w:rPr>
        <w:t>סעיף ג</w:t>
      </w:r>
      <w:r>
        <w:rPr>
          <w:rFonts w:hint="cs"/>
          <w:rtl/>
        </w:rPr>
        <w:t>:</w:t>
      </w:r>
      <w:r w:rsidRPr="00FB6A51">
        <w:rPr>
          <w:rFonts w:hint="cs"/>
          <w:rtl/>
        </w:rPr>
        <w:t xml:space="preserve"> </w:t>
      </w:r>
      <w:r>
        <w:rPr>
          <w:rFonts w:hint="cs"/>
          <w:rtl/>
        </w:rPr>
        <w:t>מלוה אחד שוהציא שני שטרות על שני לווים.</w:t>
      </w:r>
      <w:bookmarkEnd w:id="253"/>
    </w:p>
    <w:p w14:paraId="02365317" w14:textId="77777777" w:rsidR="004B607F" w:rsidRDefault="004B607F" w:rsidP="004B607F">
      <w:pPr>
        <w:rPr>
          <w:rtl/>
        </w:rPr>
      </w:pPr>
      <w:r>
        <w:rPr>
          <w:rFonts w:cs="Arial" w:hint="cs"/>
          <w:b/>
          <w:bCs/>
          <w:rtl/>
        </w:rPr>
        <w:t xml:space="preserve">שבועות </w:t>
      </w:r>
      <w:r w:rsidRPr="00396CE2">
        <w:rPr>
          <w:rFonts w:cs="Arial" w:hint="cs"/>
          <w:b/>
          <w:bCs/>
          <w:sz w:val="16"/>
          <w:szCs w:val="16"/>
          <w:rtl/>
        </w:rPr>
        <w:t xml:space="preserve">(פרק כל הנשבעין) </w:t>
      </w:r>
      <w:r>
        <w:rPr>
          <w:rFonts w:cs="Arial" w:hint="cs"/>
          <w:b/>
          <w:bCs/>
          <w:rtl/>
        </w:rPr>
        <w:t>מז</w:t>
      </w:r>
      <w:r>
        <w:rPr>
          <w:rStyle w:val="ab"/>
          <w:rFonts w:cs="Arial"/>
          <w:b/>
          <w:bCs/>
          <w:rtl/>
        </w:rPr>
        <w:footnoteReference w:id="1785"/>
      </w:r>
      <w:r>
        <w:rPr>
          <w:rFonts w:cs="Arial" w:hint="cs"/>
          <w:b/>
          <w:bCs/>
          <w:rtl/>
        </w:rPr>
        <w:t xml:space="preserve"> ע"ב: </w:t>
      </w:r>
      <w:r w:rsidRPr="00396CE2">
        <w:rPr>
          <w:rFonts w:cs="Arial"/>
          <w:rtl/>
        </w:rPr>
        <w:t xml:space="preserve">איתמר: שתי כיתי עדים המכחישות זו את זו - </w:t>
      </w:r>
      <w:r w:rsidRPr="00396CE2">
        <w:rPr>
          <w:rFonts w:cs="Arial"/>
          <w:u w:val="single"/>
          <w:rtl/>
        </w:rPr>
        <w:t>אמר רב הונא</w:t>
      </w:r>
      <w:r w:rsidRPr="00396CE2">
        <w:rPr>
          <w:rFonts w:cs="Arial"/>
          <w:rtl/>
        </w:rPr>
        <w:t>: זו באה בפני עצמה ומעידה, וזו באה בפני עצמה ומעידה</w:t>
      </w:r>
      <w:r>
        <w:rPr>
          <w:rFonts w:cs="Arial" w:hint="cs"/>
          <w:rtl/>
        </w:rPr>
        <w:t>.</w:t>
      </w:r>
      <w:r w:rsidRPr="00396CE2">
        <w:rPr>
          <w:rFonts w:cs="Arial"/>
          <w:rtl/>
        </w:rPr>
        <w:t xml:space="preserve"> </w:t>
      </w:r>
      <w:r w:rsidRPr="00396CE2">
        <w:rPr>
          <w:rFonts w:cs="Arial"/>
          <w:u w:val="single"/>
          <w:rtl/>
        </w:rPr>
        <w:t>רב חסדא אמר</w:t>
      </w:r>
      <w:r w:rsidRPr="00396CE2">
        <w:rPr>
          <w:rFonts w:cs="Arial"/>
          <w:rtl/>
        </w:rPr>
        <w:t>: בהדי סהדי שקרי למה לי!</w:t>
      </w:r>
      <w:r>
        <w:rPr>
          <w:rFonts w:cs="Arial" w:hint="cs"/>
          <w:rtl/>
        </w:rPr>
        <w:t>...</w:t>
      </w:r>
      <w:r w:rsidRPr="00396CE2">
        <w:rPr>
          <w:rFonts w:cs="Arial"/>
          <w:rtl/>
        </w:rPr>
        <w:t xml:space="preserve"> ב' לווין ומלוה אחד</w:t>
      </w:r>
      <w:r>
        <w:rPr>
          <w:rStyle w:val="ab"/>
          <w:rFonts w:cs="Arial"/>
          <w:rtl/>
        </w:rPr>
        <w:footnoteReference w:id="1786"/>
      </w:r>
      <w:r w:rsidRPr="00396CE2">
        <w:rPr>
          <w:rFonts w:cs="Arial"/>
          <w:rtl/>
        </w:rPr>
        <w:t xml:space="preserve"> ושני שטרות מאי</w:t>
      </w:r>
      <w:r>
        <w:rPr>
          <w:rStyle w:val="ab"/>
          <w:rFonts w:cs="Arial"/>
          <w:rtl/>
        </w:rPr>
        <w:footnoteReference w:id="1787"/>
      </w:r>
      <w:r w:rsidRPr="00396CE2">
        <w:rPr>
          <w:rFonts w:cs="Arial"/>
          <w:rtl/>
        </w:rPr>
        <w:t>? תיקו.</w:t>
      </w:r>
      <w:r>
        <w:rPr>
          <w:rFonts w:cs="Arial" w:hint="cs"/>
          <w:rtl/>
        </w:rPr>
        <w:t xml:space="preserve"> </w:t>
      </w:r>
      <w:r>
        <w:rPr>
          <w:rFonts w:cs="Arial" w:hint="cs"/>
          <w:sz w:val="16"/>
          <w:szCs w:val="16"/>
          <w:rtl/>
        </w:rPr>
        <w:t>(</w:t>
      </w:r>
      <w:r w:rsidRPr="00FB6A51">
        <w:rPr>
          <w:rFonts w:cs="Arial"/>
          <w:sz w:val="16"/>
          <w:szCs w:val="16"/>
          <w:rtl/>
        </w:rPr>
        <w:t>וכתב הרי"ף (ל:) הילכך הוי ליה ספק ממונא ולית ליה לתובע ולא מידי</w:t>
      </w:r>
      <w:r>
        <w:rPr>
          <w:rFonts w:cs="Arial" w:hint="cs"/>
          <w:sz w:val="16"/>
          <w:szCs w:val="16"/>
          <w:rtl/>
        </w:rPr>
        <w:t>,</w:t>
      </w:r>
      <w:r w:rsidRPr="00FB6A51">
        <w:rPr>
          <w:rFonts w:cs="Arial"/>
          <w:sz w:val="16"/>
          <w:szCs w:val="16"/>
          <w:rtl/>
        </w:rPr>
        <w:t xml:space="preserve"> אלא משתבע כל חד מינייהו דליכא גביה מהאי שטרא כלום ומיפטר</w:t>
      </w:r>
      <w:r>
        <w:rPr>
          <w:rFonts w:cs="Arial" w:hint="cs"/>
          <w:sz w:val="16"/>
          <w:szCs w:val="16"/>
          <w:rtl/>
        </w:rPr>
        <w:t>.</w:t>
      </w:r>
      <w:r w:rsidRPr="00FB6A51">
        <w:rPr>
          <w:rFonts w:cs="Arial"/>
          <w:sz w:val="16"/>
          <w:szCs w:val="16"/>
          <w:rtl/>
        </w:rPr>
        <w:t xml:space="preserve"> ולא שייך הכא למימר ממון המוטל בספק הוא וחולקין</w:t>
      </w:r>
      <w:r w:rsidRPr="00FB6A51">
        <w:rPr>
          <w:rFonts w:cs="Arial" w:hint="cs"/>
          <w:sz w:val="16"/>
          <w:szCs w:val="16"/>
          <w:rtl/>
        </w:rPr>
        <w:t>,</w:t>
      </w:r>
      <w:r w:rsidRPr="00FB6A51">
        <w:rPr>
          <w:rFonts w:cs="Arial"/>
          <w:sz w:val="16"/>
          <w:szCs w:val="16"/>
          <w:rtl/>
        </w:rPr>
        <w:t xml:space="preserve"> דכיון דאיתיה לממונא בידא דחד מינייהו המוציא מחבירו עליו הראיה</w:t>
      </w:r>
      <w:r>
        <w:rPr>
          <w:rFonts w:cs="Arial" w:hint="cs"/>
          <w:sz w:val="16"/>
          <w:szCs w:val="16"/>
          <w:rtl/>
        </w:rPr>
        <w:t>.</w:t>
      </w:r>
      <w:r w:rsidRPr="00FB6A51">
        <w:rPr>
          <w:rFonts w:cs="Arial"/>
          <w:sz w:val="16"/>
          <w:szCs w:val="16"/>
          <w:rtl/>
        </w:rPr>
        <w:t xml:space="preserve"> ומסתברא לן הני מילי היכא דאתו כולהו לבי דינא בהדי הדדי</w:t>
      </w:r>
      <w:r w:rsidRPr="00FB6A51">
        <w:rPr>
          <w:rFonts w:cs="Arial" w:hint="cs"/>
          <w:sz w:val="16"/>
          <w:szCs w:val="16"/>
          <w:rtl/>
        </w:rPr>
        <w:t>,</w:t>
      </w:r>
      <w:r w:rsidRPr="00FB6A51">
        <w:rPr>
          <w:rFonts w:cs="Arial"/>
          <w:sz w:val="16"/>
          <w:szCs w:val="16"/>
          <w:rtl/>
        </w:rPr>
        <w:t xml:space="preserve"> אבל היכא דאתי מלוה בהדי חד מינייהו</w:t>
      </w:r>
      <w:r w:rsidRPr="00FB6A51">
        <w:rPr>
          <w:rFonts w:cs="Arial" w:hint="cs"/>
          <w:sz w:val="16"/>
          <w:szCs w:val="16"/>
          <w:rtl/>
        </w:rPr>
        <w:t xml:space="preserve"> -</w:t>
      </w:r>
      <w:r w:rsidRPr="00FB6A51">
        <w:rPr>
          <w:rFonts w:cs="Arial"/>
          <w:sz w:val="16"/>
          <w:szCs w:val="16"/>
          <w:rtl/>
        </w:rPr>
        <w:t xml:space="preserve"> גבי מיניה</w:t>
      </w:r>
      <w:r w:rsidRPr="00FB6A51">
        <w:rPr>
          <w:rFonts w:cs="Arial" w:hint="cs"/>
          <w:sz w:val="16"/>
          <w:szCs w:val="16"/>
          <w:rtl/>
        </w:rPr>
        <w:t>,</w:t>
      </w:r>
      <w:r w:rsidRPr="00FB6A51">
        <w:rPr>
          <w:rFonts w:cs="Arial"/>
          <w:sz w:val="16"/>
          <w:szCs w:val="16"/>
          <w:rtl/>
        </w:rPr>
        <w:t xml:space="preserve"> דהיינו דרב הונא דאמר זו באה בפני עצמה ומעידה וזו באה בפני עצמה ומעידה</w:t>
      </w:r>
      <w:r w:rsidRPr="00FB6A51">
        <w:rPr>
          <w:rFonts w:cs="Arial" w:hint="cs"/>
          <w:sz w:val="16"/>
          <w:szCs w:val="16"/>
          <w:rtl/>
        </w:rPr>
        <w:t>.</w:t>
      </w:r>
      <w:r w:rsidRPr="00FB6A51">
        <w:rPr>
          <w:rFonts w:cs="Arial"/>
          <w:sz w:val="16"/>
          <w:szCs w:val="16"/>
          <w:rtl/>
        </w:rPr>
        <w:t xml:space="preserve"> וכ"כ הרא"ש</w:t>
      </w:r>
      <w:r w:rsidRPr="00FB6A51">
        <w:rPr>
          <w:rFonts w:cs="Arial" w:hint="cs"/>
          <w:sz w:val="16"/>
          <w:szCs w:val="16"/>
          <w:rtl/>
        </w:rPr>
        <w:t>.</w:t>
      </w:r>
      <w:r w:rsidRPr="00FB6A51">
        <w:rPr>
          <w:rFonts w:cs="Arial"/>
          <w:sz w:val="16"/>
          <w:szCs w:val="16"/>
          <w:rtl/>
        </w:rPr>
        <w:t xml:space="preserve"> וכ"כ הרמב"ם </w:t>
      </w:r>
      <w:r w:rsidRPr="00FB6A51">
        <w:rPr>
          <w:rFonts w:cs="Arial" w:hint="cs"/>
          <w:sz w:val="16"/>
          <w:szCs w:val="16"/>
          <w:rtl/>
        </w:rPr>
        <w:t>ב</w:t>
      </w:r>
      <w:r w:rsidRPr="00FB6A51">
        <w:rPr>
          <w:rFonts w:cs="Arial"/>
          <w:sz w:val="16"/>
          <w:szCs w:val="16"/>
          <w:rtl/>
        </w:rPr>
        <w:t>פכ"ב מהל</w:t>
      </w:r>
      <w:r w:rsidRPr="00FB6A51">
        <w:rPr>
          <w:rFonts w:cs="Arial" w:hint="cs"/>
          <w:sz w:val="16"/>
          <w:szCs w:val="16"/>
          <w:rtl/>
        </w:rPr>
        <w:t>'</w:t>
      </w:r>
      <w:r w:rsidRPr="00FB6A51">
        <w:rPr>
          <w:rFonts w:cs="Arial"/>
          <w:sz w:val="16"/>
          <w:szCs w:val="16"/>
          <w:rtl/>
        </w:rPr>
        <w:t xml:space="preserve"> עדות (ה"ד)</w:t>
      </w:r>
      <w:r w:rsidRPr="00FB6A51">
        <w:rPr>
          <w:rFonts w:cs="Arial" w:hint="cs"/>
          <w:sz w:val="16"/>
          <w:szCs w:val="16"/>
          <w:rtl/>
        </w:rPr>
        <w:t>, ב"י</w:t>
      </w:r>
      <w:r>
        <w:rPr>
          <w:rFonts w:cs="Arial" w:hint="cs"/>
          <w:sz w:val="16"/>
          <w:szCs w:val="16"/>
          <w:rtl/>
        </w:rPr>
        <w:t>)</w:t>
      </w:r>
      <w:r>
        <w:rPr>
          <w:rFonts w:cs="Arial"/>
          <w:rtl/>
        </w:rPr>
        <w:t xml:space="preserve"> </w:t>
      </w:r>
    </w:p>
    <w:p w14:paraId="791E3A65" w14:textId="77777777" w:rsidR="004B607F" w:rsidRPr="00FB6A51" w:rsidRDefault="004B607F" w:rsidP="004B607F">
      <w:pPr>
        <w:rPr>
          <w:u w:val="single"/>
          <w:rtl/>
        </w:rPr>
      </w:pPr>
      <w:r w:rsidRPr="00FB6A51">
        <w:rPr>
          <w:rFonts w:hint="cs"/>
          <w:u w:val="single"/>
          <w:rtl/>
        </w:rPr>
        <w:t>מלוה אחד שה</w:t>
      </w:r>
      <w:r>
        <w:rPr>
          <w:rFonts w:hint="cs"/>
          <w:u w:val="single"/>
          <w:rtl/>
        </w:rPr>
        <w:t>ו</w:t>
      </w:r>
      <w:r w:rsidRPr="00FB6A51">
        <w:rPr>
          <w:rFonts w:hint="cs"/>
          <w:u w:val="single"/>
          <w:rtl/>
        </w:rPr>
        <w:t>ציא על שני לו</w:t>
      </w:r>
      <w:r>
        <w:rPr>
          <w:rFonts w:hint="cs"/>
          <w:u w:val="single"/>
          <w:rtl/>
        </w:rPr>
        <w:t>ו</w:t>
      </w:r>
      <w:r w:rsidRPr="00FB6A51">
        <w:rPr>
          <w:rFonts w:hint="cs"/>
          <w:u w:val="single"/>
          <w:rtl/>
        </w:rPr>
        <w:t>ים ש</w:t>
      </w:r>
      <w:r>
        <w:rPr>
          <w:rFonts w:hint="cs"/>
          <w:u w:val="single"/>
          <w:rtl/>
        </w:rPr>
        <w:t>נ</w:t>
      </w:r>
      <w:r w:rsidRPr="00FB6A51">
        <w:rPr>
          <w:rFonts w:hint="cs"/>
          <w:u w:val="single"/>
          <w:rtl/>
        </w:rPr>
        <w:t xml:space="preserve">י שטרות: </w:t>
      </w:r>
    </w:p>
    <w:p w14:paraId="17B338DF" w14:textId="77777777" w:rsidR="004B607F" w:rsidRPr="00FB6A51" w:rsidRDefault="004B607F" w:rsidP="004B0475">
      <w:pPr>
        <w:pStyle w:val="ac"/>
        <w:numPr>
          <w:ilvl w:val="0"/>
          <w:numId w:val="93"/>
        </w:numPr>
      </w:pPr>
      <w:r>
        <w:rPr>
          <w:rFonts w:cs="Arial" w:hint="cs"/>
          <w:rtl/>
        </w:rPr>
        <w:t xml:space="preserve">רי"ף </w:t>
      </w:r>
      <w:r w:rsidRPr="00FB6A51">
        <w:rPr>
          <w:rFonts w:cs="Arial"/>
          <w:sz w:val="16"/>
          <w:szCs w:val="16"/>
          <w:rtl/>
        </w:rPr>
        <w:t>(ל:)</w:t>
      </w:r>
      <w:r>
        <w:rPr>
          <w:rFonts w:cs="Arial" w:hint="cs"/>
          <w:sz w:val="16"/>
          <w:szCs w:val="16"/>
          <w:rtl/>
        </w:rPr>
        <w:t xml:space="preserve"> </w:t>
      </w:r>
      <w:r>
        <w:rPr>
          <w:rFonts w:cs="Arial" w:hint="cs"/>
          <w:rtl/>
        </w:rPr>
        <w:t>רמב"ם</w:t>
      </w:r>
      <w:r>
        <w:rPr>
          <w:rFonts w:cs="Arial" w:hint="cs"/>
          <w:sz w:val="16"/>
          <w:szCs w:val="16"/>
          <w:rtl/>
        </w:rPr>
        <w:t xml:space="preserve"> (פכ"ב ה"ד)</w:t>
      </w:r>
      <w:r>
        <w:rPr>
          <w:rFonts w:cs="Arial" w:hint="cs"/>
          <w:rtl/>
        </w:rPr>
        <w:t xml:space="preserve"> רא"ש</w:t>
      </w:r>
      <w:r>
        <w:rPr>
          <w:rFonts w:cs="Arial" w:hint="cs"/>
          <w:sz w:val="16"/>
          <w:szCs w:val="16"/>
          <w:rtl/>
        </w:rPr>
        <w:t xml:space="preserve"> (כ"כ הב"י בשמו)</w:t>
      </w:r>
      <w:r>
        <w:rPr>
          <w:rFonts w:cs="Arial" w:hint="cs"/>
          <w:rtl/>
        </w:rPr>
        <w:t xml:space="preserve"> וטור- </w:t>
      </w:r>
      <w:r w:rsidRPr="0075757E">
        <w:rPr>
          <w:rFonts w:cs="Arial"/>
          <w:rtl/>
        </w:rPr>
        <w:t>מלוה אחד שהוציאן על שני לוין</w:t>
      </w:r>
      <w:r>
        <w:rPr>
          <w:rFonts w:cs="Arial" w:hint="cs"/>
          <w:rtl/>
        </w:rPr>
        <w:t>,</w:t>
      </w:r>
      <w:r w:rsidRPr="0075757E">
        <w:rPr>
          <w:rFonts w:cs="Arial"/>
          <w:rtl/>
        </w:rPr>
        <w:t xml:space="preserve"> אם הוציאן כאחד </w:t>
      </w:r>
      <w:r>
        <w:rPr>
          <w:rFonts w:cs="Arial" w:hint="cs"/>
          <w:rtl/>
        </w:rPr>
        <w:t xml:space="preserve">- </w:t>
      </w:r>
      <w:r w:rsidRPr="0075757E">
        <w:rPr>
          <w:rFonts w:cs="Arial"/>
          <w:rtl/>
        </w:rPr>
        <w:t>ישבע כל אחד ואחד היסת ויפטר</w:t>
      </w:r>
      <w:r>
        <w:rPr>
          <w:rFonts w:cs="Arial" w:hint="cs"/>
          <w:rtl/>
        </w:rPr>
        <w:t>.</w:t>
      </w:r>
      <w:r w:rsidRPr="0075757E">
        <w:rPr>
          <w:rFonts w:cs="Arial"/>
          <w:rtl/>
        </w:rPr>
        <w:t xml:space="preserve"> ואי מודי חד מינייהו </w:t>
      </w:r>
      <w:r>
        <w:rPr>
          <w:rFonts w:cs="Arial" w:hint="cs"/>
          <w:rtl/>
        </w:rPr>
        <w:t xml:space="preserve">- </w:t>
      </w:r>
      <w:r w:rsidRPr="0075757E">
        <w:rPr>
          <w:rFonts w:cs="Arial"/>
          <w:rtl/>
        </w:rPr>
        <w:t>יגבו ממנו מבני חרי ולא ממשעבדי</w:t>
      </w:r>
      <w:r>
        <w:rPr>
          <w:rStyle w:val="ab"/>
          <w:rFonts w:cs="Arial"/>
          <w:rtl/>
        </w:rPr>
        <w:footnoteReference w:id="1788"/>
      </w:r>
      <w:r>
        <w:rPr>
          <w:rFonts w:cs="Arial" w:hint="cs"/>
          <w:rtl/>
        </w:rPr>
        <w:t>.</w:t>
      </w:r>
      <w:r w:rsidRPr="0075757E">
        <w:rPr>
          <w:rFonts w:cs="Arial"/>
          <w:rtl/>
        </w:rPr>
        <w:t xml:space="preserve"> הוציא בזה אחר זה </w:t>
      </w:r>
      <w:r>
        <w:rPr>
          <w:rFonts w:cs="Arial" w:hint="cs"/>
          <w:rtl/>
        </w:rPr>
        <w:t xml:space="preserve">- </w:t>
      </w:r>
      <w:r w:rsidRPr="0075757E">
        <w:rPr>
          <w:rFonts w:cs="Arial"/>
          <w:rtl/>
        </w:rPr>
        <w:t>מגבין לו שניהם</w:t>
      </w:r>
      <w:r>
        <w:rPr>
          <w:rFonts w:cs="Arial" w:hint="cs"/>
          <w:rtl/>
        </w:rPr>
        <w:t>,</w:t>
      </w:r>
      <w:r w:rsidRPr="0075757E">
        <w:rPr>
          <w:rFonts w:cs="Arial"/>
          <w:rtl/>
        </w:rPr>
        <w:t xml:space="preserve"> שכל אחת ואחת מעידה בפני עצמה ל"ש על לוה אחד ול"ש על ב' לווין</w:t>
      </w:r>
      <w:r>
        <w:rPr>
          <w:rFonts w:cs="Arial" w:hint="cs"/>
          <w:sz w:val="16"/>
          <w:szCs w:val="16"/>
          <w:rtl/>
        </w:rPr>
        <w:t xml:space="preserve"> (ל' הטור)</w:t>
      </w:r>
      <w:r w:rsidRPr="0075757E">
        <w:rPr>
          <w:rFonts w:cs="Arial" w:hint="cs"/>
          <w:rtl/>
        </w:rPr>
        <w:t>.</w:t>
      </w:r>
      <w:r>
        <w:rPr>
          <w:rFonts w:cs="Arial" w:hint="cs"/>
          <w:rtl/>
        </w:rPr>
        <w:t xml:space="preserve"> </w:t>
      </w:r>
      <w:r w:rsidRPr="00FB6A51">
        <w:rPr>
          <w:rFonts w:hint="cs"/>
          <w:color w:val="E36C0A" w:themeColor="accent6" w:themeShade="BF"/>
          <w:rtl/>
        </w:rPr>
        <w:t>(וכ"פ בשו"ע)</w:t>
      </w:r>
    </w:p>
    <w:p w14:paraId="51997716" w14:textId="77777777" w:rsidR="004B607F" w:rsidRPr="00FB6A51" w:rsidRDefault="004B607F" w:rsidP="004B0475">
      <w:pPr>
        <w:pStyle w:val="ac"/>
        <w:numPr>
          <w:ilvl w:val="0"/>
          <w:numId w:val="93"/>
        </w:numPr>
        <w:rPr>
          <w:rtl/>
        </w:rPr>
      </w:pPr>
      <w:r w:rsidRPr="00195871">
        <w:rPr>
          <w:rFonts w:cs="Arial"/>
          <w:rtl/>
        </w:rPr>
        <w:t xml:space="preserve">רבינו אפרים </w:t>
      </w:r>
      <w:r>
        <w:rPr>
          <w:rFonts w:cs="Arial" w:hint="cs"/>
          <w:sz w:val="16"/>
          <w:szCs w:val="16"/>
          <w:rtl/>
        </w:rPr>
        <w:t>(כ"כ בשמו בעל התרומות [</w:t>
      </w:r>
      <w:r w:rsidRPr="00195871">
        <w:rPr>
          <w:rFonts w:cs="Arial"/>
          <w:sz w:val="16"/>
          <w:szCs w:val="16"/>
          <w:rtl/>
        </w:rPr>
        <w:t>שער כט ח"ג סי' ד</w:t>
      </w:r>
      <w:r>
        <w:rPr>
          <w:rFonts w:cs="Arial" w:hint="cs"/>
          <w:sz w:val="16"/>
          <w:szCs w:val="16"/>
          <w:rtl/>
        </w:rPr>
        <w:t>]</w:t>
      </w:r>
      <w:r w:rsidRPr="00195871">
        <w:rPr>
          <w:rFonts w:cs="Arial"/>
          <w:sz w:val="16"/>
          <w:szCs w:val="16"/>
          <w:rtl/>
        </w:rPr>
        <w:t>)</w:t>
      </w:r>
      <w:r>
        <w:rPr>
          <w:rFonts w:cs="Arial" w:hint="cs"/>
          <w:rtl/>
        </w:rPr>
        <w:t xml:space="preserve">- </w:t>
      </w:r>
      <w:r w:rsidRPr="00195871">
        <w:rPr>
          <w:rFonts w:cs="Arial"/>
          <w:rtl/>
        </w:rPr>
        <w:t>אינו גובה כלל</w:t>
      </w:r>
      <w:r>
        <w:rPr>
          <w:rFonts w:cs="Arial" w:hint="cs"/>
          <w:rtl/>
        </w:rPr>
        <w:t>,</w:t>
      </w:r>
      <w:r w:rsidRPr="00195871">
        <w:rPr>
          <w:rFonts w:cs="Arial"/>
          <w:rtl/>
        </w:rPr>
        <w:t xml:space="preserve"> דכל חד מדחי ליה ולא מפקינן מינייהו</w:t>
      </w:r>
      <w:r>
        <w:rPr>
          <w:rFonts w:cs="Arial" w:hint="cs"/>
          <w:rtl/>
        </w:rPr>
        <w:t>.</w:t>
      </w:r>
      <w:r w:rsidRPr="00195871">
        <w:rPr>
          <w:rFonts w:cs="Arial"/>
          <w:rtl/>
        </w:rPr>
        <w:t xml:space="preserve"> ואפילו קרעיה לחד מינייהו מצי אמר ליה ההוא דקרעת הוה קושטא והאי דאשתאר בידך שקרא</w:t>
      </w:r>
      <w:r>
        <w:rPr>
          <w:rStyle w:val="ab"/>
          <w:rFonts w:cs="Arial"/>
          <w:rtl/>
        </w:rPr>
        <w:footnoteReference w:id="1789"/>
      </w:r>
      <w:r>
        <w:rPr>
          <w:rFonts w:cs="Arial" w:hint="cs"/>
          <w:rtl/>
        </w:rPr>
        <w:t>.</w:t>
      </w:r>
      <w:r w:rsidRPr="00195871">
        <w:rPr>
          <w:rFonts w:cs="Arial"/>
          <w:rtl/>
        </w:rPr>
        <w:t xml:space="preserve"> </w:t>
      </w:r>
    </w:p>
    <w:p w14:paraId="077A6A0D" w14:textId="77777777" w:rsidR="004B607F" w:rsidRPr="003024E5" w:rsidRDefault="004B607F" w:rsidP="004B607F">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7E432D24" w14:textId="77777777" w:rsidR="004B607F" w:rsidRDefault="004B607F" w:rsidP="004B607F">
      <w:pPr>
        <w:rPr>
          <w:rtl/>
        </w:rPr>
      </w:pPr>
      <w:r>
        <w:rPr>
          <w:rFonts w:cs="Arial"/>
          <w:rtl/>
        </w:rPr>
        <w:t>מלוה אחד שהוציאם על שני לווים, אם הוציאם כאחד</w:t>
      </w:r>
      <w:r>
        <w:rPr>
          <w:rFonts w:cs="Arial" w:hint="cs"/>
          <w:rtl/>
        </w:rPr>
        <w:t>,</w:t>
      </w:r>
      <w:r>
        <w:rPr>
          <w:rFonts w:cs="Arial"/>
          <w:rtl/>
        </w:rPr>
        <w:t xml:space="preserve"> ישבע כל אחד היסת ויפטר</w:t>
      </w:r>
      <w:r>
        <w:rPr>
          <w:rStyle w:val="ab"/>
          <w:rFonts w:cs="Arial"/>
          <w:rtl/>
        </w:rPr>
        <w:footnoteReference w:id="1790"/>
      </w:r>
      <w:r>
        <w:rPr>
          <w:rFonts w:cs="Arial"/>
          <w:rtl/>
        </w:rPr>
        <w:t>. ואי מודה חד מנייהו, יגבה ממנו מבני חרי</w:t>
      </w:r>
      <w:r>
        <w:rPr>
          <w:rStyle w:val="ab"/>
          <w:rFonts w:cs="Arial"/>
          <w:rtl/>
        </w:rPr>
        <w:footnoteReference w:id="1791"/>
      </w:r>
      <w:r>
        <w:rPr>
          <w:rFonts w:cs="Arial"/>
          <w:rtl/>
        </w:rPr>
        <w:t>. ואם הוציא שטר א</w:t>
      </w:r>
      <w:r>
        <w:rPr>
          <w:rFonts w:cs="Arial" w:hint="cs"/>
          <w:rtl/>
        </w:rPr>
        <w:t>חד</w:t>
      </w:r>
      <w:r>
        <w:rPr>
          <w:rFonts w:cs="Arial"/>
          <w:rtl/>
        </w:rPr>
        <w:t>, גובה בו, ואחר כך מוציא השטר השני וגובה בו</w:t>
      </w:r>
      <w:r>
        <w:rPr>
          <w:rStyle w:val="ab"/>
          <w:rFonts w:cs="Arial"/>
          <w:rtl/>
        </w:rPr>
        <w:footnoteReference w:id="1792"/>
      </w:r>
      <w:r>
        <w:rPr>
          <w:rFonts w:cs="Arial"/>
          <w:rtl/>
        </w:rPr>
        <w:t xml:space="preserve">. </w:t>
      </w:r>
    </w:p>
    <w:p w14:paraId="7227B5A9" w14:textId="77777777" w:rsidR="004B607F" w:rsidRDefault="004B607F" w:rsidP="004B607F">
      <w:pPr>
        <w:rPr>
          <w:rtl/>
        </w:rPr>
      </w:pPr>
    </w:p>
    <w:p w14:paraId="787110B3" w14:textId="77777777" w:rsidR="004B607F" w:rsidRPr="001517EA" w:rsidRDefault="004B607F" w:rsidP="004B607F">
      <w:pPr>
        <w:pStyle w:val="2"/>
        <w:rPr>
          <w:rtl/>
        </w:rPr>
      </w:pPr>
      <w:bookmarkStart w:id="254" w:name="_Toc24883724"/>
      <w:r>
        <w:rPr>
          <w:rtl/>
        </w:rPr>
        <w:t>סעיף ד</w:t>
      </w:r>
      <w:r>
        <w:rPr>
          <w:rFonts w:hint="cs"/>
          <w:rtl/>
        </w:rPr>
        <w:t>: מי שהביא עדים והוכחשו ואח"כ הביא עדים אחרים והוכחשו, וכו'.</w:t>
      </w:r>
      <w:bookmarkEnd w:id="254"/>
    </w:p>
    <w:p w14:paraId="249A8A0E" w14:textId="77777777" w:rsidR="004B607F" w:rsidRDefault="004B607F" w:rsidP="004B607F">
      <w:pPr>
        <w:rPr>
          <w:rFonts w:cs="Arial"/>
          <w:rtl/>
        </w:rPr>
      </w:pPr>
      <w:r w:rsidRPr="00BC1E5F">
        <w:rPr>
          <w:rFonts w:cs="Arial"/>
          <w:b/>
          <w:bCs/>
          <w:rtl/>
        </w:rPr>
        <w:t xml:space="preserve">מכות </w:t>
      </w:r>
      <w:r w:rsidRPr="00BC1E5F">
        <w:rPr>
          <w:rFonts w:cs="Arial" w:hint="cs"/>
          <w:b/>
          <w:bCs/>
          <w:sz w:val="16"/>
          <w:szCs w:val="16"/>
          <w:rtl/>
        </w:rPr>
        <w:t>(</w:t>
      </w:r>
      <w:r w:rsidRPr="00BC1E5F">
        <w:rPr>
          <w:rFonts w:cs="Arial"/>
          <w:b/>
          <w:bCs/>
          <w:sz w:val="16"/>
          <w:szCs w:val="16"/>
          <w:rtl/>
        </w:rPr>
        <w:t>פ</w:t>
      </w:r>
      <w:r w:rsidRPr="00BC1E5F">
        <w:rPr>
          <w:rFonts w:cs="Arial" w:hint="cs"/>
          <w:b/>
          <w:bCs/>
          <w:sz w:val="16"/>
          <w:szCs w:val="16"/>
          <w:rtl/>
        </w:rPr>
        <w:t>"</w:t>
      </w:r>
      <w:r w:rsidRPr="00BC1E5F">
        <w:rPr>
          <w:rFonts w:cs="Arial"/>
          <w:b/>
          <w:bCs/>
          <w:sz w:val="16"/>
          <w:szCs w:val="16"/>
          <w:rtl/>
        </w:rPr>
        <w:t>ק</w:t>
      </w:r>
      <w:r w:rsidRPr="00BC1E5F">
        <w:rPr>
          <w:rFonts w:cs="Arial" w:hint="cs"/>
          <w:b/>
          <w:bCs/>
          <w:sz w:val="16"/>
          <w:szCs w:val="16"/>
          <w:rtl/>
        </w:rPr>
        <w:t>)</w:t>
      </w:r>
      <w:r w:rsidRPr="00BC1E5F">
        <w:rPr>
          <w:rFonts w:cs="Arial"/>
          <w:b/>
          <w:bCs/>
          <w:rtl/>
        </w:rPr>
        <w:t xml:space="preserve"> ה</w:t>
      </w:r>
      <w:r>
        <w:rPr>
          <w:rStyle w:val="ab"/>
          <w:rFonts w:cs="Arial"/>
          <w:b/>
          <w:bCs/>
          <w:rtl/>
        </w:rPr>
        <w:footnoteReference w:id="1793"/>
      </w:r>
      <w:r w:rsidRPr="00BC1E5F">
        <w:rPr>
          <w:rFonts w:cs="Arial" w:hint="cs"/>
          <w:b/>
          <w:bCs/>
          <w:rtl/>
        </w:rPr>
        <w:t xml:space="preserve"> ע"ב</w:t>
      </w:r>
      <w:r w:rsidRPr="00BC1E5F">
        <w:rPr>
          <w:rFonts w:cs="Arial"/>
          <w:b/>
          <w:bCs/>
          <w:rtl/>
        </w:rPr>
        <w:t>:</w:t>
      </w:r>
      <w:r w:rsidRPr="00844F87">
        <w:rPr>
          <w:rFonts w:cs="Arial"/>
          <w:rtl/>
        </w:rPr>
        <w:t xml:space="preserve"> </w:t>
      </w:r>
      <w:r w:rsidRPr="00BC1E5F">
        <w:rPr>
          <w:rFonts w:cs="Arial"/>
          <w:rtl/>
        </w:rPr>
        <w:t xml:space="preserve">ההיא איתתא דאתאי סהדי ואישתקור, אייתי סהדי ואישתקור, אזלה אייתי סהדי אחריני דלא אישתקור, </w:t>
      </w:r>
      <w:r w:rsidRPr="00FD6052">
        <w:rPr>
          <w:rFonts w:cs="Arial"/>
          <w:u w:val="single"/>
          <w:rtl/>
        </w:rPr>
        <w:t>אמר ריש לקיש</w:t>
      </w:r>
      <w:r w:rsidRPr="00BC1E5F">
        <w:rPr>
          <w:rFonts w:cs="Arial"/>
          <w:rtl/>
        </w:rPr>
        <w:t xml:space="preserve">: הוחזקה זו. </w:t>
      </w:r>
      <w:r w:rsidRPr="00FD6052">
        <w:rPr>
          <w:rFonts w:cs="Arial"/>
          <w:u w:val="single"/>
          <w:rtl/>
        </w:rPr>
        <w:t>א"ל ר' אלעזר</w:t>
      </w:r>
      <w:r w:rsidRPr="00BC1E5F">
        <w:rPr>
          <w:rFonts w:cs="Arial"/>
          <w:rtl/>
        </w:rPr>
        <w:t xml:space="preserve">: אם היא הוחזקה, כל ישראל מי הוחזקו? זימנין הוו יתבי קמיה דרבי יוחנן, אתא כי האי מעשה לקמייהו, </w:t>
      </w:r>
      <w:r w:rsidRPr="00FD6052">
        <w:rPr>
          <w:rFonts w:cs="Arial"/>
          <w:u w:val="single"/>
          <w:rtl/>
        </w:rPr>
        <w:t>אמר ריש לקיש</w:t>
      </w:r>
      <w:r w:rsidRPr="00BC1E5F">
        <w:rPr>
          <w:rFonts w:cs="Arial"/>
          <w:rtl/>
        </w:rPr>
        <w:t xml:space="preserve">: הוחזקה זו. </w:t>
      </w:r>
      <w:r w:rsidRPr="00FD6052">
        <w:rPr>
          <w:rFonts w:cs="Arial"/>
          <w:u w:val="single"/>
          <w:rtl/>
        </w:rPr>
        <w:t>א"ל רבי יוחנן</w:t>
      </w:r>
      <w:r w:rsidRPr="00BC1E5F">
        <w:rPr>
          <w:rFonts w:cs="Arial"/>
          <w:rtl/>
        </w:rPr>
        <w:t>: אם הוחזקה זו, כל ישראל מי הוחזקו?</w:t>
      </w:r>
      <w:r>
        <w:rPr>
          <w:rFonts w:cs="Arial" w:hint="cs"/>
          <w:rtl/>
        </w:rPr>
        <w:t>.</w:t>
      </w:r>
    </w:p>
    <w:p w14:paraId="57AF0BA2" w14:textId="77777777" w:rsidR="004B607F" w:rsidRDefault="004B607F" w:rsidP="004B607F">
      <w:pPr>
        <w:rPr>
          <w:rFonts w:cs="Arial"/>
          <w:rtl/>
        </w:rPr>
      </w:pPr>
      <w:r>
        <w:rPr>
          <w:rFonts w:cs="Arial" w:hint="cs"/>
          <w:b/>
          <w:bCs/>
          <w:rtl/>
        </w:rPr>
        <w:t>כתובות</w:t>
      </w:r>
      <w:r w:rsidRPr="00BC1E5F">
        <w:rPr>
          <w:rFonts w:cs="Arial"/>
          <w:b/>
          <w:bCs/>
          <w:rtl/>
        </w:rPr>
        <w:t xml:space="preserve"> </w:t>
      </w:r>
      <w:r w:rsidRPr="00BC1E5F">
        <w:rPr>
          <w:rFonts w:cs="Arial" w:hint="cs"/>
          <w:b/>
          <w:bCs/>
          <w:sz w:val="16"/>
          <w:szCs w:val="16"/>
          <w:rtl/>
        </w:rPr>
        <w:t>(</w:t>
      </w:r>
      <w:r w:rsidRPr="00BC1E5F">
        <w:rPr>
          <w:rFonts w:cs="Arial"/>
          <w:b/>
          <w:bCs/>
          <w:sz w:val="16"/>
          <w:szCs w:val="16"/>
          <w:rtl/>
        </w:rPr>
        <w:t>פ</w:t>
      </w:r>
      <w:r>
        <w:rPr>
          <w:rFonts w:cs="Arial" w:hint="cs"/>
          <w:b/>
          <w:bCs/>
          <w:sz w:val="16"/>
          <w:szCs w:val="16"/>
          <w:rtl/>
        </w:rPr>
        <w:t>'</w:t>
      </w:r>
      <w:r w:rsidRPr="00BC1E5F">
        <w:rPr>
          <w:rFonts w:cs="Arial" w:hint="cs"/>
          <w:b/>
          <w:bCs/>
          <w:sz w:val="16"/>
          <w:szCs w:val="16"/>
          <w:rtl/>
        </w:rPr>
        <w:t>)</w:t>
      </w:r>
      <w:r w:rsidRPr="00BC1E5F">
        <w:rPr>
          <w:rFonts w:cs="Arial"/>
          <w:b/>
          <w:bCs/>
          <w:rtl/>
        </w:rPr>
        <w:t xml:space="preserve"> </w:t>
      </w:r>
      <w:r>
        <w:rPr>
          <w:rFonts w:cs="Arial" w:hint="cs"/>
          <w:b/>
          <w:bCs/>
          <w:rtl/>
        </w:rPr>
        <w:t>לו</w:t>
      </w:r>
      <w:r>
        <w:rPr>
          <w:rStyle w:val="ab"/>
          <w:rFonts w:cs="Arial"/>
          <w:b/>
          <w:bCs/>
          <w:rtl/>
        </w:rPr>
        <w:footnoteReference w:id="1794"/>
      </w:r>
      <w:r w:rsidRPr="00BC1E5F">
        <w:rPr>
          <w:rFonts w:cs="Arial" w:hint="cs"/>
          <w:b/>
          <w:bCs/>
          <w:rtl/>
        </w:rPr>
        <w:t xml:space="preserve"> ע"ב</w:t>
      </w:r>
      <w:r w:rsidRPr="00BC1E5F">
        <w:rPr>
          <w:rFonts w:cs="Arial"/>
          <w:b/>
          <w:bCs/>
          <w:rtl/>
        </w:rPr>
        <w:t>:</w:t>
      </w:r>
      <w:r>
        <w:rPr>
          <w:rFonts w:cs="Arial" w:hint="cs"/>
          <w:rtl/>
        </w:rPr>
        <w:t xml:space="preserve"> </w:t>
      </w:r>
      <w:r w:rsidRPr="00D97651">
        <w:rPr>
          <w:rFonts w:cs="Arial" w:hint="cs"/>
          <w:u w:val="single"/>
          <w:rtl/>
        </w:rPr>
        <w:t>אמר</w:t>
      </w:r>
      <w:r w:rsidRPr="00D97651">
        <w:rPr>
          <w:rFonts w:cs="Arial"/>
          <w:u w:val="single"/>
          <w:rtl/>
        </w:rPr>
        <w:t xml:space="preserve"> </w:t>
      </w:r>
      <w:r w:rsidRPr="00D97651">
        <w:rPr>
          <w:rFonts w:cs="Arial" w:hint="cs"/>
          <w:u w:val="single"/>
          <w:rtl/>
        </w:rPr>
        <w:t>רב</w:t>
      </w:r>
      <w:r w:rsidRPr="00D97651">
        <w:rPr>
          <w:rFonts w:cs="Arial"/>
          <w:u w:val="single"/>
          <w:rtl/>
        </w:rPr>
        <w:t xml:space="preserve"> </w:t>
      </w:r>
      <w:r w:rsidRPr="00D97651">
        <w:rPr>
          <w:rFonts w:cs="Arial" w:hint="cs"/>
          <w:u w:val="single"/>
          <w:rtl/>
        </w:rPr>
        <w:t>פפא</w:t>
      </w:r>
      <w:r w:rsidRPr="00D97651">
        <w:rPr>
          <w:rFonts w:cs="Arial"/>
          <w:rtl/>
        </w:rPr>
        <w:t xml:space="preserve">: </w:t>
      </w:r>
      <w:r w:rsidRPr="00D97651">
        <w:rPr>
          <w:rFonts w:cs="Arial" w:hint="cs"/>
          <w:rtl/>
        </w:rPr>
        <w:t>ש</w:t>
      </w:r>
      <w:r w:rsidRPr="00D97651">
        <w:rPr>
          <w:rFonts w:cs="Arial"/>
          <w:rtl/>
        </w:rPr>
        <w:t>"</w:t>
      </w:r>
      <w:r w:rsidRPr="00D97651">
        <w:rPr>
          <w:rFonts w:cs="Arial" w:hint="cs"/>
          <w:rtl/>
        </w:rPr>
        <w:t>מ</w:t>
      </w:r>
      <w:r w:rsidRPr="00D97651">
        <w:rPr>
          <w:rFonts w:cs="Arial"/>
          <w:rtl/>
        </w:rPr>
        <w:t xml:space="preserve">, </w:t>
      </w:r>
      <w:r w:rsidRPr="00D97651">
        <w:rPr>
          <w:rFonts w:cs="Arial" w:hint="cs"/>
          <w:rtl/>
        </w:rPr>
        <w:t>האי</w:t>
      </w:r>
      <w:r w:rsidRPr="00D97651">
        <w:rPr>
          <w:rFonts w:cs="Arial"/>
          <w:rtl/>
        </w:rPr>
        <w:t xml:space="preserve"> </w:t>
      </w:r>
      <w:r w:rsidRPr="00D97651">
        <w:rPr>
          <w:rFonts w:cs="Arial" w:hint="cs"/>
          <w:rtl/>
        </w:rPr>
        <w:t>שטרא</w:t>
      </w:r>
      <w:r w:rsidRPr="00D97651">
        <w:rPr>
          <w:rFonts w:cs="Arial"/>
          <w:rtl/>
        </w:rPr>
        <w:t xml:space="preserve"> </w:t>
      </w:r>
      <w:r w:rsidRPr="00D97651">
        <w:rPr>
          <w:rFonts w:cs="Arial" w:hint="cs"/>
          <w:rtl/>
        </w:rPr>
        <w:t>ריעא</w:t>
      </w:r>
      <w:r w:rsidRPr="00D97651">
        <w:rPr>
          <w:rFonts w:cs="Arial"/>
          <w:rtl/>
        </w:rPr>
        <w:t xml:space="preserve"> </w:t>
      </w:r>
      <w:r w:rsidRPr="00D97651">
        <w:rPr>
          <w:rFonts w:cs="Arial" w:hint="cs"/>
          <w:rtl/>
        </w:rPr>
        <w:t>לא</w:t>
      </w:r>
      <w:r w:rsidRPr="00D97651">
        <w:rPr>
          <w:rFonts w:cs="Arial"/>
          <w:rtl/>
        </w:rPr>
        <w:t xml:space="preserve"> </w:t>
      </w:r>
      <w:r w:rsidRPr="00D97651">
        <w:rPr>
          <w:rFonts w:cs="Arial" w:hint="cs"/>
          <w:rtl/>
        </w:rPr>
        <w:t>מגבינן</w:t>
      </w:r>
      <w:r w:rsidRPr="00D97651">
        <w:rPr>
          <w:rFonts w:cs="Arial"/>
          <w:rtl/>
        </w:rPr>
        <w:t xml:space="preserve"> </w:t>
      </w:r>
      <w:r w:rsidRPr="00D97651">
        <w:rPr>
          <w:rFonts w:cs="Arial" w:hint="cs"/>
          <w:rtl/>
        </w:rPr>
        <w:t>ביה</w:t>
      </w:r>
      <w:r w:rsidRPr="00D97651">
        <w:rPr>
          <w:rFonts w:cs="Arial"/>
          <w:rtl/>
        </w:rPr>
        <w:t xml:space="preserve">. </w:t>
      </w:r>
      <w:r w:rsidRPr="00D97651">
        <w:rPr>
          <w:rFonts w:cs="Arial" w:hint="cs"/>
          <w:rtl/>
        </w:rPr>
        <w:t>היכי</w:t>
      </w:r>
      <w:r w:rsidRPr="00D97651">
        <w:rPr>
          <w:rFonts w:cs="Arial"/>
          <w:rtl/>
        </w:rPr>
        <w:t xml:space="preserve"> </w:t>
      </w:r>
      <w:r w:rsidRPr="00D97651">
        <w:rPr>
          <w:rFonts w:cs="Arial" w:hint="cs"/>
          <w:rtl/>
        </w:rPr>
        <w:t>דמי</w:t>
      </w:r>
      <w:r w:rsidRPr="00D97651">
        <w:rPr>
          <w:rFonts w:cs="Arial"/>
          <w:rtl/>
        </w:rPr>
        <w:t xml:space="preserve">? </w:t>
      </w:r>
      <w:r w:rsidRPr="00D97651">
        <w:rPr>
          <w:rFonts w:cs="Arial" w:hint="cs"/>
          <w:rtl/>
        </w:rPr>
        <w:t>אילימא</w:t>
      </w:r>
      <w:r w:rsidRPr="00D97651">
        <w:rPr>
          <w:rFonts w:cs="Arial"/>
          <w:rtl/>
        </w:rPr>
        <w:t xml:space="preserve"> </w:t>
      </w:r>
      <w:r w:rsidRPr="00D97651">
        <w:rPr>
          <w:rFonts w:cs="Arial" w:hint="cs"/>
          <w:rtl/>
        </w:rPr>
        <w:t>דנפק</w:t>
      </w:r>
      <w:r w:rsidRPr="00D97651">
        <w:rPr>
          <w:rFonts w:cs="Arial"/>
          <w:rtl/>
        </w:rPr>
        <w:t xml:space="preserve"> </w:t>
      </w:r>
      <w:r w:rsidRPr="00D97651">
        <w:rPr>
          <w:rFonts w:cs="Arial" w:hint="cs"/>
          <w:rtl/>
        </w:rPr>
        <w:t>קלא</w:t>
      </w:r>
      <w:r w:rsidRPr="00D97651">
        <w:rPr>
          <w:rFonts w:cs="Arial"/>
          <w:rtl/>
        </w:rPr>
        <w:t xml:space="preserve"> </w:t>
      </w:r>
      <w:r w:rsidRPr="00D97651">
        <w:rPr>
          <w:rFonts w:cs="Arial" w:hint="cs"/>
          <w:rtl/>
        </w:rPr>
        <w:t>עליה</w:t>
      </w:r>
      <w:r w:rsidRPr="00D97651">
        <w:rPr>
          <w:rFonts w:cs="Arial"/>
          <w:rtl/>
        </w:rPr>
        <w:t xml:space="preserve"> </w:t>
      </w:r>
      <w:r w:rsidRPr="00D97651">
        <w:rPr>
          <w:rFonts w:cs="Arial" w:hint="cs"/>
          <w:rtl/>
        </w:rPr>
        <w:t>דשטרא</w:t>
      </w:r>
      <w:r w:rsidRPr="00D97651">
        <w:rPr>
          <w:rFonts w:cs="Arial"/>
          <w:rtl/>
        </w:rPr>
        <w:t xml:space="preserve"> </w:t>
      </w:r>
      <w:r w:rsidRPr="00D97651">
        <w:rPr>
          <w:rFonts w:cs="Arial" w:hint="cs"/>
          <w:rtl/>
        </w:rPr>
        <w:t>דזייפא</w:t>
      </w:r>
      <w:r w:rsidRPr="00D97651">
        <w:rPr>
          <w:rFonts w:cs="Arial"/>
          <w:rtl/>
        </w:rPr>
        <w:t xml:space="preserve"> </w:t>
      </w:r>
      <w:r w:rsidRPr="00D97651">
        <w:rPr>
          <w:rFonts w:cs="Arial" w:hint="cs"/>
          <w:rtl/>
        </w:rPr>
        <w:t>הוא</w:t>
      </w:r>
      <w:r w:rsidRPr="00D97651">
        <w:rPr>
          <w:rFonts w:cs="Arial"/>
          <w:rtl/>
        </w:rPr>
        <w:t xml:space="preserve">, </w:t>
      </w:r>
      <w:r w:rsidRPr="00D97651">
        <w:rPr>
          <w:rFonts w:cs="Arial" w:hint="cs"/>
          <w:rtl/>
        </w:rPr>
        <w:t>דכוותה</w:t>
      </w:r>
      <w:r w:rsidRPr="00D97651">
        <w:rPr>
          <w:rFonts w:cs="Arial"/>
          <w:rtl/>
        </w:rPr>
        <w:t xml:space="preserve"> </w:t>
      </w:r>
      <w:r w:rsidRPr="00D97651">
        <w:rPr>
          <w:rFonts w:cs="Arial" w:hint="cs"/>
          <w:rtl/>
        </w:rPr>
        <w:t>הכא</w:t>
      </w:r>
      <w:r w:rsidRPr="00D97651">
        <w:rPr>
          <w:rFonts w:cs="Arial"/>
          <w:rtl/>
        </w:rPr>
        <w:t xml:space="preserve"> </w:t>
      </w:r>
      <w:r w:rsidRPr="00D97651">
        <w:rPr>
          <w:rFonts w:cs="Arial" w:hint="cs"/>
          <w:rtl/>
        </w:rPr>
        <w:t>דנפק</w:t>
      </w:r>
      <w:r w:rsidRPr="00D97651">
        <w:rPr>
          <w:rFonts w:cs="Arial"/>
          <w:rtl/>
        </w:rPr>
        <w:t xml:space="preserve"> </w:t>
      </w:r>
      <w:r w:rsidRPr="00D97651">
        <w:rPr>
          <w:rFonts w:cs="Arial" w:hint="cs"/>
          <w:rtl/>
        </w:rPr>
        <w:t>עלה</w:t>
      </w:r>
      <w:r w:rsidRPr="00D97651">
        <w:rPr>
          <w:rFonts w:cs="Arial"/>
          <w:rtl/>
        </w:rPr>
        <w:t xml:space="preserve"> </w:t>
      </w:r>
      <w:r w:rsidRPr="00D97651">
        <w:rPr>
          <w:rFonts w:cs="Arial" w:hint="cs"/>
          <w:rtl/>
        </w:rPr>
        <w:t>קלא</w:t>
      </w:r>
      <w:r w:rsidRPr="00D97651">
        <w:rPr>
          <w:rFonts w:cs="Arial"/>
          <w:rtl/>
        </w:rPr>
        <w:t xml:space="preserve"> </w:t>
      </w:r>
      <w:r w:rsidRPr="00D97651">
        <w:rPr>
          <w:rFonts w:cs="Arial" w:hint="cs"/>
          <w:rtl/>
        </w:rPr>
        <w:t>דזנאי</w:t>
      </w:r>
      <w:r w:rsidRPr="00D97651">
        <w:rPr>
          <w:rFonts w:cs="Arial"/>
          <w:rtl/>
        </w:rPr>
        <w:t xml:space="preserve">, </w:t>
      </w:r>
      <w:r w:rsidRPr="00D97651">
        <w:rPr>
          <w:rFonts w:cs="Arial" w:hint="cs"/>
          <w:rtl/>
        </w:rPr>
        <w:t>והא</w:t>
      </w:r>
      <w:r w:rsidRPr="00D97651">
        <w:rPr>
          <w:rFonts w:cs="Arial"/>
          <w:rtl/>
        </w:rPr>
        <w:t xml:space="preserve"> </w:t>
      </w:r>
      <w:r w:rsidRPr="00D97651">
        <w:rPr>
          <w:rFonts w:cs="Arial" w:hint="cs"/>
          <w:rtl/>
        </w:rPr>
        <w:t>אמר</w:t>
      </w:r>
      <w:r w:rsidRPr="00D97651">
        <w:rPr>
          <w:rFonts w:cs="Arial"/>
          <w:rtl/>
        </w:rPr>
        <w:t xml:space="preserve"> </w:t>
      </w:r>
      <w:r w:rsidRPr="00D97651">
        <w:rPr>
          <w:rFonts w:cs="Arial" w:hint="cs"/>
          <w:rtl/>
        </w:rPr>
        <w:t>רבא</w:t>
      </w:r>
      <w:r w:rsidRPr="00D97651">
        <w:rPr>
          <w:rFonts w:cs="Arial"/>
          <w:rtl/>
        </w:rPr>
        <w:t xml:space="preserve">: </w:t>
      </w:r>
      <w:r w:rsidRPr="00D97651">
        <w:rPr>
          <w:rFonts w:cs="Arial" w:hint="cs"/>
          <w:rtl/>
        </w:rPr>
        <w:t>יצא</w:t>
      </w:r>
      <w:r w:rsidRPr="00D97651">
        <w:rPr>
          <w:rFonts w:cs="Arial"/>
          <w:rtl/>
        </w:rPr>
        <w:t xml:space="preserve"> </w:t>
      </w:r>
      <w:r w:rsidRPr="00D97651">
        <w:rPr>
          <w:rFonts w:cs="Arial" w:hint="cs"/>
          <w:rtl/>
        </w:rPr>
        <w:t>לה</w:t>
      </w:r>
      <w:r w:rsidRPr="00D97651">
        <w:rPr>
          <w:rFonts w:cs="Arial"/>
          <w:rtl/>
        </w:rPr>
        <w:t xml:space="preserve"> </w:t>
      </w:r>
      <w:r w:rsidRPr="00D97651">
        <w:rPr>
          <w:rFonts w:cs="Arial" w:hint="cs"/>
          <w:rtl/>
        </w:rPr>
        <w:t>שם</w:t>
      </w:r>
      <w:r w:rsidRPr="00D97651">
        <w:rPr>
          <w:rFonts w:cs="Arial"/>
          <w:rtl/>
        </w:rPr>
        <w:t xml:space="preserve"> </w:t>
      </w:r>
      <w:r w:rsidRPr="00D97651">
        <w:rPr>
          <w:rFonts w:cs="Arial" w:hint="cs"/>
          <w:rtl/>
        </w:rPr>
        <w:t>מזנה</w:t>
      </w:r>
      <w:r w:rsidRPr="00D97651">
        <w:rPr>
          <w:rFonts w:cs="Arial"/>
          <w:rtl/>
        </w:rPr>
        <w:t xml:space="preserve"> </w:t>
      </w:r>
      <w:r w:rsidRPr="00D97651">
        <w:rPr>
          <w:rFonts w:cs="Arial" w:hint="cs"/>
          <w:rtl/>
        </w:rPr>
        <w:t>בעיר</w:t>
      </w:r>
      <w:r w:rsidRPr="00D97651">
        <w:rPr>
          <w:rFonts w:cs="Arial"/>
          <w:rtl/>
        </w:rPr>
        <w:t xml:space="preserve"> - </w:t>
      </w:r>
      <w:r w:rsidRPr="00D97651">
        <w:rPr>
          <w:rFonts w:cs="Arial" w:hint="cs"/>
          <w:rtl/>
        </w:rPr>
        <w:t>אין</w:t>
      </w:r>
      <w:r w:rsidRPr="00D97651">
        <w:rPr>
          <w:rFonts w:cs="Arial"/>
          <w:rtl/>
        </w:rPr>
        <w:t xml:space="preserve"> </w:t>
      </w:r>
      <w:r w:rsidRPr="00D97651">
        <w:rPr>
          <w:rFonts w:cs="Arial" w:hint="cs"/>
          <w:rtl/>
        </w:rPr>
        <w:t>חוששין</w:t>
      </w:r>
      <w:r w:rsidRPr="00D97651">
        <w:rPr>
          <w:rFonts w:cs="Arial"/>
          <w:rtl/>
        </w:rPr>
        <w:t xml:space="preserve"> </w:t>
      </w:r>
      <w:r w:rsidRPr="00D97651">
        <w:rPr>
          <w:rFonts w:cs="Arial" w:hint="cs"/>
          <w:rtl/>
        </w:rPr>
        <w:t>לה</w:t>
      </w:r>
      <w:r w:rsidRPr="00D97651">
        <w:rPr>
          <w:rFonts w:cs="Arial"/>
          <w:rtl/>
        </w:rPr>
        <w:t xml:space="preserve">! </w:t>
      </w:r>
      <w:r w:rsidRPr="00D97651">
        <w:rPr>
          <w:rFonts w:cs="Arial" w:hint="cs"/>
          <w:rtl/>
        </w:rPr>
        <w:lastRenderedPageBreak/>
        <w:t>אלא</w:t>
      </w:r>
      <w:r w:rsidRPr="00D97651">
        <w:rPr>
          <w:rFonts w:cs="Arial"/>
          <w:rtl/>
        </w:rPr>
        <w:t xml:space="preserve"> </w:t>
      </w:r>
      <w:r w:rsidRPr="00D97651">
        <w:rPr>
          <w:rFonts w:cs="Arial" w:hint="cs"/>
          <w:rtl/>
        </w:rPr>
        <w:t>דאתו</w:t>
      </w:r>
      <w:r w:rsidRPr="00D97651">
        <w:rPr>
          <w:rFonts w:cs="Arial"/>
          <w:rtl/>
        </w:rPr>
        <w:t xml:space="preserve"> </w:t>
      </w:r>
      <w:r w:rsidRPr="00D97651">
        <w:rPr>
          <w:rFonts w:cs="Arial" w:hint="cs"/>
          <w:rtl/>
        </w:rPr>
        <w:t>בי</w:t>
      </w:r>
      <w:r w:rsidRPr="00D97651">
        <w:rPr>
          <w:rFonts w:cs="Arial"/>
          <w:rtl/>
        </w:rPr>
        <w:t xml:space="preserve"> </w:t>
      </w:r>
      <w:r w:rsidRPr="00D97651">
        <w:rPr>
          <w:rFonts w:cs="Arial" w:hint="cs"/>
          <w:rtl/>
        </w:rPr>
        <w:t>תרי</w:t>
      </w:r>
      <w:r w:rsidRPr="00D97651">
        <w:rPr>
          <w:rFonts w:cs="Arial"/>
          <w:rtl/>
        </w:rPr>
        <w:t xml:space="preserve"> </w:t>
      </w:r>
      <w:r w:rsidRPr="00D97651">
        <w:rPr>
          <w:rFonts w:cs="Arial" w:hint="cs"/>
          <w:rtl/>
        </w:rPr>
        <w:t>ואמרי</w:t>
      </w:r>
      <w:r w:rsidRPr="00D97651">
        <w:rPr>
          <w:rFonts w:cs="Arial"/>
          <w:rtl/>
        </w:rPr>
        <w:t xml:space="preserve">: </w:t>
      </w:r>
      <w:r w:rsidRPr="00D97651">
        <w:rPr>
          <w:rFonts w:cs="Arial" w:hint="cs"/>
          <w:rtl/>
        </w:rPr>
        <w:t>לדידהו</w:t>
      </w:r>
      <w:r w:rsidRPr="00D97651">
        <w:rPr>
          <w:rFonts w:cs="Arial"/>
          <w:rtl/>
        </w:rPr>
        <w:t xml:space="preserve"> </w:t>
      </w:r>
      <w:r w:rsidRPr="00D97651">
        <w:rPr>
          <w:rFonts w:cs="Arial" w:hint="cs"/>
          <w:rtl/>
        </w:rPr>
        <w:t>תבעתנהי</w:t>
      </w:r>
      <w:r w:rsidRPr="00D97651">
        <w:rPr>
          <w:rFonts w:cs="Arial"/>
          <w:rtl/>
        </w:rPr>
        <w:t xml:space="preserve"> </w:t>
      </w:r>
      <w:r w:rsidRPr="00D97651">
        <w:rPr>
          <w:rFonts w:cs="Arial" w:hint="cs"/>
          <w:rtl/>
        </w:rPr>
        <w:t>באיסורא</w:t>
      </w:r>
      <w:r w:rsidRPr="00D97651">
        <w:rPr>
          <w:rFonts w:cs="Arial"/>
          <w:rtl/>
        </w:rPr>
        <w:t xml:space="preserve">, </w:t>
      </w:r>
      <w:r w:rsidRPr="00D97651">
        <w:rPr>
          <w:rFonts w:cs="Arial" w:hint="cs"/>
          <w:rtl/>
        </w:rPr>
        <w:t>דכוותה</w:t>
      </w:r>
      <w:r w:rsidRPr="00D97651">
        <w:rPr>
          <w:rFonts w:cs="Arial"/>
          <w:rtl/>
        </w:rPr>
        <w:t xml:space="preserve"> </w:t>
      </w:r>
      <w:r w:rsidRPr="00D97651">
        <w:rPr>
          <w:rFonts w:cs="Arial" w:hint="cs"/>
          <w:rtl/>
        </w:rPr>
        <w:t>הכא</w:t>
      </w:r>
      <w:r w:rsidRPr="00D97651">
        <w:rPr>
          <w:rFonts w:cs="Arial"/>
          <w:rtl/>
        </w:rPr>
        <w:t xml:space="preserve"> </w:t>
      </w:r>
      <w:r w:rsidRPr="00D97651">
        <w:rPr>
          <w:rFonts w:cs="Arial" w:hint="cs"/>
          <w:rtl/>
        </w:rPr>
        <w:t>דאתו</w:t>
      </w:r>
      <w:r w:rsidRPr="00D97651">
        <w:rPr>
          <w:rFonts w:cs="Arial"/>
          <w:rtl/>
        </w:rPr>
        <w:t xml:space="preserve"> </w:t>
      </w:r>
      <w:r w:rsidRPr="00D97651">
        <w:rPr>
          <w:rFonts w:cs="Arial" w:hint="cs"/>
          <w:rtl/>
        </w:rPr>
        <w:t>בי</w:t>
      </w:r>
      <w:r w:rsidRPr="00D97651">
        <w:rPr>
          <w:rFonts w:cs="Arial"/>
          <w:rtl/>
        </w:rPr>
        <w:t xml:space="preserve"> </w:t>
      </w:r>
      <w:r w:rsidRPr="00D97651">
        <w:rPr>
          <w:rFonts w:cs="Arial" w:hint="cs"/>
          <w:rtl/>
        </w:rPr>
        <w:t>תרי</w:t>
      </w:r>
      <w:r w:rsidRPr="00D97651">
        <w:rPr>
          <w:rFonts w:cs="Arial"/>
          <w:rtl/>
        </w:rPr>
        <w:t xml:space="preserve"> </w:t>
      </w:r>
      <w:r w:rsidRPr="00D97651">
        <w:rPr>
          <w:rFonts w:cs="Arial" w:hint="cs"/>
          <w:rtl/>
        </w:rPr>
        <w:t>ואמרי</w:t>
      </w:r>
      <w:r w:rsidRPr="00D97651">
        <w:rPr>
          <w:rFonts w:cs="Arial"/>
          <w:rtl/>
        </w:rPr>
        <w:t xml:space="preserve">: </w:t>
      </w:r>
      <w:r w:rsidRPr="00D97651">
        <w:rPr>
          <w:rFonts w:cs="Arial" w:hint="cs"/>
          <w:rtl/>
        </w:rPr>
        <w:t>לדידהו</w:t>
      </w:r>
      <w:r w:rsidRPr="00D97651">
        <w:rPr>
          <w:rFonts w:cs="Arial"/>
          <w:rtl/>
        </w:rPr>
        <w:t xml:space="preserve"> </w:t>
      </w:r>
      <w:r w:rsidRPr="00D97651">
        <w:rPr>
          <w:rFonts w:cs="Arial" w:hint="cs"/>
          <w:rtl/>
        </w:rPr>
        <w:t>אמר</w:t>
      </w:r>
      <w:r w:rsidRPr="00D97651">
        <w:rPr>
          <w:rFonts w:cs="Arial"/>
          <w:rtl/>
        </w:rPr>
        <w:t xml:space="preserve"> </w:t>
      </w:r>
      <w:r w:rsidRPr="00D97651">
        <w:rPr>
          <w:rFonts w:cs="Arial" w:hint="cs"/>
          <w:rtl/>
        </w:rPr>
        <w:t>להו</w:t>
      </w:r>
      <w:r w:rsidRPr="00D97651">
        <w:rPr>
          <w:rFonts w:cs="Arial"/>
          <w:rtl/>
        </w:rPr>
        <w:t xml:space="preserve"> </w:t>
      </w:r>
      <w:r w:rsidRPr="00D97651">
        <w:rPr>
          <w:rFonts w:cs="Arial" w:hint="cs"/>
          <w:rtl/>
        </w:rPr>
        <w:t>זייפו</w:t>
      </w:r>
      <w:r w:rsidRPr="00D97651">
        <w:rPr>
          <w:rFonts w:cs="Arial"/>
          <w:rtl/>
        </w:rPr>
        <w:t xml:space="preserve"> </w:t>
      </w:r>
      <w:r w:rsidRPr="00D97651">
        <w:rPr>
          <w:rFonts w:cs="Arial" w:hint="cs"/>
          <w:rtl/>
        </w:rPr>
        <w:t>לי</w:t>
      </w:r>
      <w:r w:rsidRPr="00D97651">
        <w:rPr>
          <w:rFonts w:cs="Arial"/>
          <w:rtl/>
        </w:rPr>
        <w:t xml:space="preserve">, </w:t>
      </w:r>
      <w:r w:rsidRPr="00D97651">
        <w:rPr>
          <w:rFonts w:cs="Arial" w:hint="cs"/>
          <w:rtl/>
        </w:rPr>
        <w:t>בשלמא</w:t>
      </w:r>
      <w:r w:rsidRPr="00D97651">
        <w:rPr>
          <w:rFonts w:cs="Arial"/>
          <w:rtl/>
        </w:rPr>
        <w:t xml:space="preserve"> </w:t>
      </w:r>
      <w:r w:rsidRPr="00D97651">
        <w:rPr>
          <w:rFonts w:cs="Arial" w:hint="cs"/>
          <w:rtl/>
        </w:rPr>
        <w:t>התם</w:t>
      </w:r>
      <w:r w:rsidRPr="00D97651">
        <w:rPr>
          <w:rFonts w:cs="Arial"/>
          <w:rtl/>
        </w:rPr>
        <w:t xml:space="preserve"> </w:t>
      </w:r>
      <w:r w:rsidRPr="00D97651">
        <w:rPr>
          <w:rFonts w:cs="Arial" w:hint="cs"/>
          <w:rtl/>
        </w:rPr>
        <w:t>שכיחי</w:t>
      </w:r>
      <w:r w:rsidRPr="00D97651">
        <w:rPr>
          <w:rFonts w:cs="Arial"/>
          <w:rtl/>
        </w:rPr>
        <w:t xml:space="preserve"> </w:t>
      </w:r>
      <w:r w:rsidRPr="00D97651">
        <w:rPr>
          <w:rFonts w:cs="Arial" w:hint="cs"/>
          <w:rtl/>
        </w:rPr>
        <w:t>פרוצין</w:t>
      </w:r>
      <w:r w:rsidRPr="00D97651">
        <w:rPr>
          <w:rFonts w:cs="Arial"/>
          <w:rtl/>
        </w:rPr>
        <w:t xml:space="preserve">, </w:t>
      </w:r>
      <w:r w:rsidRPr="00D97651">
        <w:rPr>
          <w:rFonts w:cs="Arial" w:hint="cs"/>
          <w:rtl/>
        </w:rPr>
        <w:t>אלא</w:t>
      </w:r>
      <w:r w:rsidRPr="00D97651">
        <w:rPr>
          <w:rFonts w:cs="Arial"/>
          <w:rtl/>
        </w:rPr>
        <w:t xml:space="preserve"> </w:t>
      </w:r>
      <w:r w:rsidRPr="00D97651">
        <w:rPr>
          <w:rFonts w:cs="Arial" w:hint="cs"/>
          <w:rtl/>
        </w:rPr>
        <w:t>הכא</w:t>
      </w:r>
      <w:r w:rsidRPr="00D97651">
        <w:rPr>
          <w:rFonts w:cs="Arial"/>
          <w:rtl/>
        </w:rPr>
        <w:t xml:space="preserve"> </w:t>
      </w:r>
      <w:r w:rsidRPr="00D97651">
        <w:rPr>
          <w:rFonts w:cs="Arial" w:hint="cs"/>
          <w:rtl/>
        </w:rPr>
        <w:t>אם</w:t>
      </w:r>
      <w:r w:rsidRPr="00D97651">
        <w:rPr>
          <w:rFonts w:cs="Arial"/>
          <w:rtl/>
        </w:rPr>
        <w:t xml:space="preserve"> </w:t>
      </w:r>
      <w:r w:rsidRPr="00D97651">
        <w:rPr>
          <w:rFonts w:cs="Arial" w:hint="cs"/>
          <w:rtl/>
        </w:rPr>
        <w:t>הוא</w:t>
      </w:r>
      <w:r w:rsidRPr="00D97651">
        <w:rPr>
          <w:rFonts w:cs="Arial"/>
          <w:rtl/>
        </w:rPr>
        <w:t xml:space="preserve"> </w:t>
      </w:r>
      <w:r w:rsidRPr="00D97651">
        <w:rPr>
          <w:rFonts w:cs="Arial" w:hint="cs"/>
          <w:rtl/>
        </w:rPr>
        <w:t>הוחזק</w:t>
      </w:r>
      <w:r w:rsidRPr="00D97651">
        <w:rPr>
          <w:rFonts w:cs="Arial"/>
          <w:rtl/>
        </w:rPr>
        <w:t xml:space="preserve">, </w:t>
      </w:r>
      <w:r w:rsidRPr="00D97651">
        <w:rPr>
          <w:rFonts w:cs="Arial" w:hint="cs"/>
          <w:rtl/>
        </w:rPr>
        <w:t>כל</w:t>
      </w:r>
      <w:r w:rsidRPr="00D97651">
        <w:rPr>
          <w:rFonts w:cs="Arial"/>
          <w:rtl/>
        </w:rPr>
        <w:t xml:space="preserve"> </w:t>
      </w:r>
      <w:r w:rsidRPr="00D97651">
        <w:rPr>
          <w:rFonts w:cs="Arial" w:hint="cs"/>
          <w:rtl/>
        </w:rPr>
        <w:t>ישראל</w:t>
      </w:r>
      <w:r w:rsidRPr="00D97651">
        <w:rPr>
          <w:rFonts w:cs="Arial"/>
          <w:rtl/>
        </w:rPr>
        <w:t xml:space="preserve"> </w:t>
      </w:r>
      <w:r w:rsidRPr="00D97651">
        <w:rPr>
          <w:rFonts w:cs="Arial" w:hint="cs"/>
          <w:rtl/>
        </w:rPr>
        <w:t>מי</w:t>
      </w:r>
      <w:r w:rsidRPr="00D97651">
        <w:rPr>
          <w:rFonts w:cs="Arial"/>
          <w:rtl/>
        </w:rPr>
        <w:t xml:space="preserve"> </w:t>
      </w:r>
      <w:r w:rsidRPr="00D97651">
        <w:rPr>
          <w:rFonts w:cs="Arial" w:hint="cs"/>
          <w:rtl/>
        </w:rPr>
        <w:t>הוחזקו</w:t>
      </w:r>
      <w:r w:rsidRPr="00D97651">
        <w:rPr>
          <w:rFonts w:cs="Arial"/>
          <w:rtl/>
        </w:rPr>
        <w:t xml:space="preserve">? </w:t>
      </w:r>
      <w:r w:rsidRPr="00D97651">
        <w:rPr>
          <w:rFonts w:cs="Arial" w:hint="cs"/>
          <w:rtl/>
        </w:rPr>
        <w:t>הכא</w:t>
      </w:r>
      <w:r w:rsidRPr="00D97651">
        <w:rPr>
          <w:rFonts w:cs="Arial"/>
          <w:rtl/>
        </w:rPr>
        <w:t xml:space="preserve"> </w:t>
      </w:r>
      <w:r w:rsidRPr="00D97651">
        <w:rPr>
          <w:rFonts w:cs="Arial" w:hint="cs"/>
          <w:rtl/>
        </w:rPr>
        <w:t>נמי</w:t>
      </w:r>
      <w:r w:rsidRPr="00D97651">
        <w:rPr>
          <w:rFonts w:cs="Arial"/>
          <w:rtl/>
        </w:rPr>
        <w:t xml:space="preserve">, </w:t>
      </w:r>
      <w:r w:rsidRPr="00D97651">
        <w:rPr>
          <w:rFonts w:cs="Arial" w:hint="cs"/>
          <w:rtl/>
        </w:rPr>
        <w:t>כיון</w:t>
      </w:r>
      <w:r w:rsidRPr="00D97651">
        <w:rPr>
          <w:rFonts w:cs="Arial"/>
          <w:rtl/>
        </w:rPr>
        <w:t xml:space="preserve"> </w:t>
      </w:r>
      <w:r w:rsidRPr="00D97651">
        <w:rPr>
          <w:rFonts w:cs="Arial" w:hint="cs"/>
          <w:rtl/>
        </w:rPr>
        <w:t>דקא</w:t>
      </w:r>
      <w:r w:rsidRPr="00D97651">
        <w:rPr>
          <w:rFonts w:cs="Arial"/>
          <w:rtl/>
        </w:rPr>
        <w:t xml:space="preserve"> </w:t>
      </w:r>
      <w:r w:rsidRPr="00D97651">
        <w:rPr>
          <w:rFonts w:cs="Arial" w:hint="cs"/>
          <w:rtl/>
        </w:rPr>
        <w:t>מהדר</w:t>
      </w:r>
      <w:r w:rsidRPr="00D97651">
        <w:rPr>
          <w:rFonts w:cs="Arial"/>
          <w:rtl/>
        </w:rPr>
        <w:t xml:space="preserve"> </w:t>
      </w:r>
      <w:r w:rsidRPr="00D97651">
        <w:rPr>
          <w:rFonts w:cs="Arial" w:hint="cs"/>
          <w:rtl/>
        </w:rPr>
        <w:t>אזיופא</w:t>
      </w:r>
      <w:r w:rsidRPr="00D97651">
        <w:rPr>
          <w:rFonts w:cs="Arial"/>
          <w:rtl/>
        </w:rPr>
        <w:t xml:space="preserve">, </w:t>
      </w:r>
      <w:r w:rsidRPr="00D97651">
        <w:rPr>
          <w:rFonts w:cs="Arial" w:hint="cs"/>
          <w:rtl/>
        </w:rPr>
        <w:t>אימר</w:t>
      </w:r>
      <w:r w:rsidRPr="00D97651">
        <w:rPr>
          <w:rFonts w:cs="Arial"/>
          <w:rtl/>
        </w:rPr>
        <w:t xml:space="preserve"> </w:t>
      </w:r>
      <w:r w:rsidRPr="00D97651">
        <w:rPr>
          <w:rFonts w:cs="Arial" w:hint="cs"/>
          <w:rtl/>
        </w:rPr>
        <w:t>זיופי</w:t>
      </w:r>
      <w:r w:rsidRPr="00D97651">
        <w:rPr>
          <w:rFonts w:cs="Arial"/>
          <w:rtl/>
        </w:rPr>
        <w:t xml:space="preserve"> </w:t>
      </w:r>
      <w:r w:rsidRPr="00D97651">
        <w:rPr>
          <w:rFonts w:cs="Arial" w:hint="cs"/>
          <w:rtl/>
        </w:rPr>
        <w:t>זייף</w:t>
      </w:r>
      <w:r w:rsidRPr="00D97651">
        <w:rPr>
          <w:rFonts w:cs="Arial"/>
          <w:rtl/>
        </w:rPr>
        <w:t xml:space="preserve"> </w:t>
      </w:r>
      <w:r w:rsidRPr="00D97651">
        <w:rPr>
          <w:rFonts w:cs="Arial" w:hint="cs"/>
          <w:rtl/>
        </w:rPr>
        <w:t>וכתב</w:t>
      </w:r>
      <w:r w:rsidRPr="00D97651">
        <w:rPr>
          <w:rFonts w:cs="Arial"/>
          <w:rtl/>
        </w:rPr>
        <w:t>.</w:t>
      </w:r>
    </w:p>
    <w:p w14:paraId="715E29CE" w14:textId="77777777" w:rsidR="004B607F" w:rsidRPr="001517EA" w:rsidRDefault="004B607F" w:rsidP="004B607F">
      <w:pPr>
        <w:rPr>
          <w:rFonts w:cs="Arial"/>
          <w:u w:val="single"/>
          <w:rtl/>
        </w:rPr>
      </w:pPr>
      <w:r w:rsidRPr="001517EA">
        <w:rPr>
          <w:rFonts w:cs="Arial" w:hint="cs"/>
          <w:u w:val="single"/>
          <w:rtl/>
        </w:rPr>
        <w:t>בע"ד שהביא עדים</w:t>
      </w:r>
      <w:r>
        <w:rPr>
          <w:rFonts w:cs="Arial" w:hint="cs"/>
          <w:u w:val="single"/>
          <w:rtl/>
        </w:rPr>
        <w:t xml:space="preserve"> -</w:t>
      </w:r>
      <w:r w:rsidRPr="001517EA">
        <w:rPr>
          <w:rFonts w:cs="Arial" w:hint="cs"/>
          <w:u w:val="single"/>
          <w:rtl/>
        </w:rPr>
        <w:t xml:space="preserve"> והוכחשו, ואח"כ הביא אחרים </w:t>
      </w:r>
      <w:r>
        <w:rPr>
          <w:rFonts w:cs="Arial" w:hint="cs"/>
          <w:u w:val="single"/>
          <w:rtl/>
        </w:rPr>
        <w:t xml:space="preserve">- </w:t>
      </w:r>
      <w:r w:rsidRPr="001517EA">
        <w:rPr>
          <w:rFonts w:cs="Arial" w:hint="cs"/>
          <w:u w:val="single"/>
          <w:rtl/>
        </w:rPr>
        <w:t xml:space="preserve">והוכשחו, </w:t>
      </w:r>
      <w:r>
        <w:rPr>
          <w:rFonts w:cs="Arial" w:hint="cs"/>
          <w:u w:val="single"/>
          <w:rtl/>
        </w:rPr>
        <w:t>האם נאמן להביא עוד עדים אחרים</w:t>
      </w:r>
      <w:r w:rsidRPr="001517EA">
        <w:rPr>
          <w:rFonts w:cs="Arial" w:hint="cs"/>
          <w:u w:val="single"/>
          <w:rtl/>
        </w:rPr>
        <w:t>:</w:t>
      </w:r>
    </w:p>
    <w:p w14:paraId="4476A984" w14:textId="77777777" w:rsidR="004B607F" w:rsidRDefault="004B607F" w:rsidP="004B0475">
      <w:pPr>
        <w:pStyle w:val="ac"/>
        <w:numPr>
          <w:ilvl w:val="0"/>
          <w:numId w:val="94"/>
        </w:numPr>
        <w:rPr>
          <w:rFonts w:cs="Arial"/>
        </w:rPr>
      </w:pPr>
      <w:r w:rsidRPr="001517EA">
        <w:rPr>
          <w:rFonts w:cs="Arial" w:hint="cs"/>
          <w:rtl/>
        </w:rPr>
        <w:t>רמב"ם</w:t>
      </w:r>
      <w:r w:rsidRPr="001517EA">
        <w:rPr>
          <w:rFonts w:cs="Arial" w:hint="cs"/>
          <w:sz w:val="16"/>
          <w:szCs w:val="16"/>
          <w:rtl/>
        </w:rPr>
        <w:t xml:space="preserve"> (פכ"ב ה"ה) </w:t>
      </w:r>
      <w:r w:rsidRPr="001517EA">
        <w:rPr>
          <w:rFonts w:cs="Arial" w:hint="cs"/>
          <w:rtl/>
        </w:rPr>
        <w:t xml:space="preserve">וטור- </w:t>
      </w:r>
      <w:r w:rsidRPr="001517EA">
        <w:rPr>
          <w:rFonts w:cs="Arial"/>
          <w:rtl/>
        </w:rPr>
        <w:t>מי שהביא עדים והוכחשו מתוך עדותן</w:t>
      </w:r>
      <w:r>
        <w:rPr>
          <w:rFonts w:cs="Arial" w:hint="cs"/>
          <w:rtl/>
        </w:rPr>
        <w:t>,</w:t>
      </w:r>
      <w:r w:rsidRPr="001517EA">
        <w:rPr>
          <w:rFonts w:cs="Arial"/>
          <w:rtl/>
        </w:rPr>
        <w:t xml:space="preserve"> ואח"כ הביא אחרים על אותה תביעה וגם הם הוכחשו</w:t>
      </w:r>
      <w:r>
        <w:rPr>
          <w:rFonts w:cs="Arial" w:hint="cs"/>
          <w:rtl/>
        </w:rPr>
        <w:t>,</w:t>
      </w:r>
      <w:r w:rsidRPr="001517EA">
        <w:rPr>
          <w:rFonts w:cs="Arial"/>
          <w:rtl/>
        </w:rPr>
        <w:t xml:space="preserve"> אפילו עד מאה פעמים</w:t>
      </w:r>
      <w:r>
        <w:rPr>
          <w:rFonts w:cs="Arial" w:hint="cs"/>
          <w:rtl/>
        </w:rPr>
        <w:t>,</w:t>
      </w:r>
      <w:r w:rsidRPr="001517EA">
        <w:rPr>
          <w:rFonts w:cs="Arial"/>
          <w:rtl/>
        </w:rPr>
        <w:t xml:space="preserve"> ואח"כ הביא אחרים ונמצא מכוונין </w:t>
      </w:r>
      <w:r>
        <w:rPr>
          <w:rFonts w:cs="Arial" w:hint="cs"/>
          <w:rtl/>
        </w:rPr>
        <w:t xml:space="preserve">- </w:t>
      </w:r>
      <w:r w:rsidRPr="001517EA">
        <w:rPr>
          <w:rFonts w:cs="Arial"/>
          <w:rtl/>
        </w:rPr>
        <w:t>דנין על פיהם</w:t>
      </w:r>
      <w:r>
        <w:rPr>
          <w:rFonts w:cs="Arial" w:hint="cs"/>
          <w:rtl/>
        </w:rPr>
        <w:t>,</w:t>
      </w:r>
      <w:r w:rsidRPr="001517EA">
        <w:rPr>
          <w:rFonts w:cs="Arial"/>
          <w:rtl/>
        </w:rPr>
        <w:t xml:space="preserve"> ולא אמרינן כבר הוחזק התובע להביא עדים שקרנים</w:t>
      </w:r>
      <w:r>
        <w:rPr>
          <w:rFonts w:cs="Arial" w:hint="cs"/>
          <w:rtl/>
        </w:rPr>
        <w:t>,</w:t>
      </w:r>
      <w:r w:rsidRPr="001517EA">
        <w:rPr>
          <w:rFonts w:cs="Arial"/>
          <w:rtl/>
        </w:rPr>
        <w:t xml:space="preserve"> אלא דנין לו ע"פ אלו כיון שלא הוחזקו שקרנים</w:t>
      </w:r>
      <w:r w:rsidRPr="001517EA">
        <w:rPr>
          <w:rFonts w:cs="Arial" w:hint="cs"/>
          <w:rtl/>
        </w:rPr>
        <w:t>.</w:t>
      </w:r>
      <w:r w:rsidRPr="001517EA">
        <w:rPr>
          <w:rFonts w:cs="Arial"/>
          <w:rtl/>
        </w:rPr>
        <w:t xml:space="preserve"> </w:t>
      </w:r>
      <w:r w:rsidRPr="006248D1">
        <w:rPr>
          <w:rFonts w:cs="Arial" w:hint="cs"/>
          <w:color w:val="E36C0A" w:themeColor="accent6" w:themeShade="BF"/>
          <w:rtl/>
        </w:rPr>
        <w:t>(וכ"פ בשו"ע)</w:t>
      </w:r>
    </w:p>
    <w:p w14:paraId="1751F32A" w14:textId="77777777" w:rsidR="004B607F" w:rsidRPr="00D512FC" w:rsidRDefault="004B607F" w:rsidP="004B607F">
      <w:pPr>
        <w:ind w:left="360"/>
        <w:rPr>
          <w:rFonts w:cs="Arial"/>
          <w:u w:val="dotted"/>
        </w:rPr>
      </w:pPr>
      <w:r>
        <w:rPr>
          <w:rFonts w:cs="Arial" w:hint="cs"/>
          <w:u w:val="dotted"/>
          <w:rtl/>
        </w:rPr>
        <w:t xml:space="preserve">האם </w:t>
      </w:r>
      <w:r w:rsidRPr="00D512FC">
        <w:rPr>
          <w:rFonts w:cs="Arial" w:hint="cs"/>
          <w:u w:val="dotted"/>
          <w:rtl/>
        </w:rPr>
        <w:t>הדין</w:t>
      </w:r>
      <w:r>
        <w:rPr>
          <w:rFonts w:cs="Arial" w:hint="cs"/>
          <w:u w:val="dotted"/>
          <w:rtl/>
        </w:rPr>
        <w:t xml:space="preserve"> כן</w:t>
      </w:r>
      <w:r w:rsidRPr="00D512FC">
        <w:rPr>
          <w:rFonts w:cs="Arial" w:hint="cs"/>
          <w:u w:val="dotted"/>
          <w:rtl/>
        </w:rPr>
        <w:t xml:space="preserve"> </w:t>
      </w:r>
      <w:r>
        <w:rPr>
          <w:rFonts w:cs="Arial" w:hint="cs"/>
          <w:u w:val="dotted"/>
          <w:rtl/>
        </w:rPr>
        <w:t xml:space="preserve">אף </w:t>
      </w:r>
      <w:r w:rsidRPr="00D512FC">
        <w:rPr>
          <w:rFonts w:cs="Arial" w:hint="cs"/>
          <w:u w:val="dotted"/>
          <w:rtl/>
        </w:rPr>
        <w:t>בשטר שקרא עליו ערער</w:t>
      </w:r>
      <w:r>
        <w:rPr>
          <w:rFonts w:cs="Arial" w:hint="cs"/>
          <w:u w:val="dotted"/>
          <w:rtl/>
        </w:rPr>
        <w:t xml:space="preserve"> והעידו עדים שהשטר מזוייף ואח"כ הביא עדים לקיימו:</w:t>
      </w:r>
    </w:p>
    <w:p w14:paraId="3DEA4D4D" w14:textId="77777777" w:rsidR="004B607F" w:rsidRDefault="004B607F" w:rsidP="004B0475">
      <w:pPr>
        <w:pStyle w:val="ac"/>
        <w:numPr>
          <w:ilvl w:val="0"/>
          <w:numId w:val="94"/>
        </w:numPr>
        <w:rPr>
          <w:rFonts w:cs="Arial"/>
        </w:rPr>
      </w:pPr>
      <w:r w:rsidRPr="001517EA">
        <w:rPr>
          <w:rFonts w:cs="Arial" w:hint="cs"/>
          <w:rtl/>
        </w:rPr>
        <w:t>רמב"ם</w:t>
      </w:r>
      <w:r w:rsidRPr="001517EA">
        <w:rPr>
          <w:rFonts w:cs="Arial" w:hint="cs"/>
          <w:sz w:val="16"/>
          <w:szCs w:val="16"/>
          <w:rtl/>
        </w:rPr>
        <w:t xml:space="preserve"> (</w:t>
      </w:r>
      <w:r>
        <w:rPr>
          <w:rFonts w:cs="Arial" w:hint="cs"/>
          <w:sz w:val="16"/>
          <w:szCs w:val="16"/>
          <w:rtl/>
        </w:rPr>
        <w:t>שם</w:t>
      </w:r>
      <w:r w:rsidRPr="001517EA">
        <w:rPr>
          <w:rFonts w:cs="Arial" w:hint="cs"/>
          <w:sz w:val="16"/>
          <w:szCs w:val="16"/>
          <w:rtl/>
        </w:rPr>
        <w:t>)</w:t>
      </w:r>
      <w:r w:rsidRPr="001517EA">
        <w:rPr>
          <w:rFonts w:cs="Arial" w:hint="cs"/>
          <w:rtl/>
        </w:rPr>
        <w:t xml:space="preserve">- </w:t>
      </w:r>
      <w:r w:rsidRPr="001517EA">
        <w:rPr>
          <w:rFonts w:cs="Arial"/>
          <w:rtl/>
        </w:rPr>
        <w:t>אבל שטר שקרא עליו ערער</w:t>
      </w:r>
      <w:r>
        <w:rPr>
          <w:rFonts w:cs="Arial" w:hint="cs"/>
          <w:rtl/>
        </w:rPr>
        <w:t>,</w:t>
      </w:r>
      <w:r w:rsidRPr="001517EA">
        <w:rPr>
          <w:rFonts w:cs="Arial"/>
          <w:rtl/>
        </w:rPr>
        <w:t xml:space="preserve"> והוא שיבואו עדים ויאמרו </w:t>
      </w:r>
      <w:r>
        <w:rPr>
          <w:rFonts w:cs="Arial" w:hint="cs"/>
          <w:rtl/>
        </w:rPr>
        <w:t>'</w:t>
      </w:r>
      <w:r w:rsidRPr="001517EA">
        <w:rPr>
          <w:rFonts w:cs="Arial"/>
          <w:rtl/>
        </w:rPr>
        <w:t>ממנו שאל לזייף לו שטר זה</w:t>
      </w:r>
      <w:r>
        <w:rPr>
          <w:rFonts w:cs="Arial" w:hint="cs"/>
          <w:rtl/>
        </w:rPr>
        <w:t xml:space="preserve">' </w:t>
      </w:r>
      <w:r>
        <w:rPr>
          <w:rFonts w:cs="Arial"/>
          <w:rtl/>
        </w:rPr>
        <w:t>–</w:t>
      </w:r>
      <w:r w:rsidRPr="001517EA">
        <w:rPr>
          <w:rFonts w:cs="Arial"/>
          <w:rtl/>
        </w:rPr>
        <w:t xml:space="preserve"> אע</w:t>
      </w:r>
      <w:r>
        <w:rPr>
          <w:rFonts w:cs="Arial" w:hint="cs"/>
          <w:rtl/>
        </w:rPr>
        <w:t>"</w:t>
      </w:r>
      <w:r w:rsidRPr="001517EA">
        <w:rPr>
          <w:rFonts w:cs="Arial"/>
          <w:rtl/>
        </w:rPr>
        <w:t>פ שנתקיים השטר בחותמיו אינו גובה בו לעולם</w:t>
      </w:r>
      <w:r>
        <w:rPr>
          <w:rStyle w:val="ab"/>
          <w:rFonts w:cs="Arial"/>
          <w:rtl/>
        </w:rPr>
        <w:footnoteReference w:id="1795"/>
      </w:r>
      <w:r>
        <w:rPr>
          <w:rFonts w:cs="Arial" w:hint="cs"/>
          <w:rtl/>
        </w:rPr>
        <w:t>.</w:t>
      </w:r>
      <w:r w:rsidRPr="001517EA">
        <w:rPr>
          <w:rFonts w:cs="Arial"/>
          <w:rtl/>
        </w:rPr>
        <w:t xml:space="preserve"> ויראה לי שאם באו עידי השטר והעידו הם בעצמם על כתב ידם </w:t>
      </w:r>
      <w:r>
        <w:rPr>
          <w:rFonts w:cs="Arial" w:hint="cs"/>
          <w:rtl/>
        </w:rPr>
        <w:t xml:space="preserve">- </w:t>
      </w:r>
      <w:r w:rsidRPr="001517EA">
        <w:rPr>
          <w:rFonts w:cs="Arial"/>
          <w:rtl/>
        </w:rPr>
        <w:t>גובין בו</w:t>
      </w:r>
      <w:r>
        <w:rPr>
          <w:rFonts w:cs="Arial" w:hint="cs"/>
          <w:rtl/>
        </w:rPr>
        <w:t>.</w:t>
      </w:r>
      <w:r w:rsidRPr="001517EA">
        <w:rPr>
          <w:rFonts w:cs="Arial"/>
          <w:rtl/>
        </w:rPr>
        <w:t xml:space="preserve"> </w:t>
      </w:r>
      <w:r w:rsidRPr="006248D1">
        <w:rPr>
          <w:rFonts w:cs="Arial" w:hint="cs"/>
          <w:color w:val="E36C0A" w:themeColor="accent6" w:themeShade="BF"/>
          <w:rtl/>
        </w:rPr>
        <w:t>(וכ"פ בשו"ע)</w:t>
      </w:r>
    </w:p>
    <w:p w14:paraId="60A461E8" w14:textId="77777777" w:rsidR="004B607F" w:rsidRPr="00DC50F9" w:rsidRDefault="004B607F" w:rsidP="004B607F">
      <w:pPr>
        <w:rPr>
          <w:rFonts w:cs="Arial"/>
        </w:rPr>
      </w:pPr>
      <w:r w:rsidRPr="00DC50F9">
        <w:rPr>
          <w:rFonts w:cs="Arial" w:hint="cs"/>
          <w:b/>
          <w:bCs/>
          <w:rtl/>
        </w:rPr>
        <w:t xml:space="preserve">סנהדרין </w:t>
      </w:r>
      <w:r w:rsidRPr="00DC50F9">
        <w:rPr>
          <w:rFonts w:cs="Arial" w:hint="cs"/>
          <w:b/>
          <w:bCs/>
          <w:sz w:val="16"/>
          <w:szCs w:val="16"/>
          <w:rtl/>
        </w:rPr>
        <w:t xml:space="preserve">(פ' </w:t>
      </w:r>
      <w:r>
        <w:rPr>
          <w:rFonts w:cs="Arial" w:hint="cs"/>
          <w:b/>
          <w:bCs/>
          <w:sz w:val="16"/>
          <w:szCs w:val="16"/>
          <w:rtl/>
        </w:rPr>
        <w:t>אד"מ</w:t>
      </w:r>
      <w:r w:rsidRPr="00DC50F9">
        <w:rPr>
          <w:rFonts w:cs="Arial" w:hint="cs"/>
          <w:b/>
          <w:bCs/>
          <w:sz w:val="16"/>
          <w:szCs w:val="16"/>
          <w:rtl/>
        </w:rPr>
        <w:t xml:space="preserve">) </w:t>
      </w:r>
      <w:r w:rsidRPr="00DC50F9">
        <w:rPr>
          <w:rFonts w:cs="Arial" w:hint="cs"/>
          <w:b/>
          <w:bCs/>
          <w:rtl/>
        </w:rPr>
        <w:t>לז ע"א:</w:t>
      </w:r>
      <w:r>
        <w:rPr>
          <w:rFonts w:cs="Arial" w:hint="cs"/>
          <w:rtl/>
        </w:rPr>
        <w:t xml:space="preserve"> </w:t>
      </w:r>
      <w:r w:rsidRPr="00DC50F9">
        <w:rPr>
          <w:rFonts w:cs="Arial"/>
          <w:u w:val="double"/>
          <w:rtl/>
        </w:rPr>
        <w:t>משנה</w:t>
      </w:r>
      <w:r>
        <w:rPr>
          <w:rFonts w:cs="Arial" w:hint="cs"/>
          <w:rtl/>
        </w:rPr>
        <w:t>:</w:t>
      </w:r>
      <w:r w:rsidRPr="00DC50F9">
        <w:rPr>
          <w:rFonts w:cs="Arial"/>
          <w:rtl/>
        </w:rPr>
        <w:t xml:space="preserve"> כיצד מאיימין את העדים? על עידי נפשות, היו מכניסין אותן ומאיימין עליהן: שמא תאמרו מאומד ומשמועה, עד מפי עד, ומפי אדם נאמן</w:t>
      </w:r>
      <w:r>
        <w:rPr>
          <w:rFonts w:cs="Arial" w:hint="cs"/>
          <w:rtl/>
        </w:rPr>
        <w:t>..</w:t>
      </w:r>
      <w:r w:rsidRPr="00DC50F9">
        <w:rPr>
          <w:rFonts w:cs="Arial"/>
          <w:rtl/>
        </w:rPr>
        <w:t>.</w:t>
      </w:r>
      <w:r>
        <w:rPr>
          <w:rFonts w:cs="Arial" w:hint="cs"/>
          <w:rtl/>
        </w:rPr>
        <w:t xml:space="preserve">   </w:t>
      </w:r>
      <w:r>
        <w:rPr>
          <w:rFonts w:cs="Arial" w:hint="cs"/>
          <w:u w:val="double"/>
          <w:rtl/>
        </w:rPr>
        <w:t>גמ'</w:t>
      </w:r>
      <w:r>
        <w:rPr>
          <w:rFonts w:cs="Arial" w:hint="cs"/>
          <w:sz w:val="16"/>
          <w:szCs w:val="16"/>
          <w:u w:val="double"/>
          <w:rtl/>
        </w:rPr>
        <w:t xml:space="preserve"> </w:t>
      </w:r>
      <w:r>
        <w:rPr>
          <w:rFonts w:cs="Arial" w:hint="cs"/>
          <w:sz w:val="14"/>
          <w:szCs w:val="14"/>
          <w:u w:val="double"/>
          <w:rtl/>
        </w:rPr>
        <w:t>(לז:)</w:t>
      </w:r>
      <w:r>
        <w:rPr>
          <w:rFonts w:cs="Arial" w:hint="cs"/>
          <w:rtl/>
        </w:rPr>
        <w:t>:</w:t>
      </w:r>
      <w:r w:rsidRPr="00DC50F9">
        <w:rPr>
          <w:rtl/>
        </w:rPr>
        <w:t xml:space="preserve"> </w:t>
      </w:r>
      <w:r w:rsidRPr="00DC50F9">
        <w:rPr>
          <w:rFonts w:cs="Arial"/>
          <w:rtl/>
        </w:rPr>
        <w:t>עד מפי עד דקתני, בדיני נפשות הוא דלא אמרינן, הא בדיני ממונות אמרינן? והתנן: אם אמר הוא אמר לי שאני חייב לו, איש פלוני אמר לי שהוא חייב לו - לא אמר כלום, עד שיאמר בפנינו הודה לו שהוא חייב לו מאתים זוז. אלמא: אף על גב דפסילי בדיני ממונות - אמרינן להו בדיני נפשות</w:t>
      </w:r>
      <w:r>
        <w:rPr>
          <w:rFonts w:cs="Arial" w:hint="cs"/>
          <w:rtl/>
        </w:rPr>
        <w:t>.</w:t>
      </w:r>
    </w:p>
    <w:p w14:paraId="1D4CE071" w14:textId="77777777" w:rsidR="004B607F" w:rsidRPr="00792099" w:rsidRDefault="004B607F" w:rsidP="004B607F">
      <w:pPr>
        <w:rPr>
          <w:rFonts w:cs="Arial"/>
          <w:rtl/>
        </w:rPr>
      </w:pPr>
      <w:r w:rsidRPr="00EF2082">
        <w:rPr>
          <w:rFonts w:cs="Arial" w:hint="cs"/>
          <w:b/>
          <w:bCs/>
          <w:rtl/>
        </w:rPr>
        <w:t xml:space="preserve">שבועות </w:t>
      </w:r>
      <w:r w:rsidRPr="00EF2082">
        <w:rPr>
          <w:rFonts w:cs="Arial" w:hint="cs"/>
          <w:b/>
          <w:bCs/>
          <w:sz w:val="16"/>
          <w:szCs w:val="16"/>
          <w:rtl/>
        </w:rPr>
        <w:t xml:space="preserve">(פ' שבועת העדות) </w:t>
      </w:r>
      <w:r w:rsidRPr="00EF2082">
        <w:rPr>
          <w:rFonts w:cs="Arial" w:hint="cs"/>
          <w:b/>
          <w:bCs/>
          <w:rtl/>
        </w:rPr>
        <w:t>ל</w:t>
      </w:r>
      <w:r>
        <w:rPr>
          <w:rFonts w:cs="Arial" w:hint="cs"/>
          <w:b/>
          <w:bCs/>
          <w:rtl/>
        </w:rPr>
        <w:t>א</w:t>
      </w:r>
      <w:r>
        <w:rPr>
          <w:rStyle w:val="ab"/>
          <w:rFonts w:cs="Arial"/>
          <w:b/>
          <w:bCs/>
          <w:rtl/>
        </w:rPr>
        <w:footnoteReference w:id="1796"/>
      </w:r>
      <w:r w:rsidRPr="00EF2082">
        <w:rPr>
          <w:rFonts w:cs="Arial" w:hint="cs"/>
          <w:b/>
          <w:bCs/>
          <w:rtl/>
        </w:rPr>
        <w:t xml:space="preserve"> ע"א: </w:t>
      </w:r>
      <w:r w:rsidRPr="00792099">
        <w:rPr>
          <w:rFonts w:cs="Arial"/>
          <w:rtl/>
        </w:rPr>
        <w:t xml:space="preserve">מנין לתלמיד שאמר לו רבו: יודע אתה בי שאם נותנין לי מאה מנה איני מבדה, מנה יש לי אצל פלוני ואין לי עליו אלא עד אחד, מנין שלא יצטרף עמו? תלמוד לומר: מדבר שקר תרחק. האי מדבר שקר תרחק נפקא? הא ודאי שקורי קא משקר, ורחמנא אמר: לא תענה ברעך עד שקר! אלא כגון דאמר ליה: ודאי חד סהדא אית לי, ותא אתה קום התם ולא תימא ולא מידי, דהא לא מפקת מפומך שקרא, אפי' הכי אסור, משום שנאמר: מדבר שקר תרחק. </w:t>
      </w:r>
    </w:p>
    <w:p w14:paraId="294B1CC1" w14:textId="77777777" w:rsidR="004B607F" w:rsidRPr="00624454" w:rsidRDefault="004B607F" w:rsidP="004B607F">
      <w:pPr>
        <w:rPr>
          <w:rFonts w:cs="Arial"/>
          <w:u w:val="single"/>
          <w:rtl/>
        </w:rPr>
      </w:pPr>
      <w:r w:rsidRPr="00624454">
        <w:rPr>
          <w:rFonts w:cs="Arial" w:hint="cs"/>
          <w:u w:val="single"/>
          <w:rtl/>
        </w:rPr>
        <w:t xml:space="preserve">אנשים רבים וגדולים בחכמה וביראה שאמרו למישהו שראו את פלוני שעשה כך וכך </w:t>
      </w:r>
      <w:r w:rsidRPr="00624454">
        <w:rPr>
          <w:rFonts w:cs="Arial"/>
          <w:u w:val="single"/>
          <w:rtl/>
        </w:rPr>
        <w:t>–</w:t>
      </w:r>
      <w:r w:rsidRPr="00624454">
        <w:rPr>
          <w:rFonts w:cs="Arial" w:hint="cs"/>
          <w:u w:val="single"/>
          <w:rtl/>
        </w:rPr>
        <w:t xml:space="preserve"> האם יכול אותו פלוני להעיד:</w:t>
      </w:r>
    </w:p>
    <w:p w14:paraId="419AD973" w14:textId="77777777" w:rsidR="004B607F" w:rsidRPr="00DC50F9" w:rsidRDefault="004B607F" w:rsidP="004B0475">
      <w:pPr>
        <w:pStyle w:val="ac"/>
        <w:numPr>
          <w:ilvl w:val="0"/>
          <w:numId w:val="94"/>
        </w:numPr>
        <w:rPr>
          <w:rFonts w:cs="Arial"/>
          <w:rtl/>
        </w:rPr>
      </w:pPr>
      <w:r w:rsidRPr="00624454">
        <w:rPr>
          <w:rFonts w:cs="Arial"/>
          <w:rtl/>
        </w:rPr>
        <w:t xml:space="preserve">רמב"ם </w:t>
      </w:r>
      <w:r w:rsidRPr="00624454">
        <w:rPr>
          <w:rFonts w:cs="Arial" w:hint="cs"/>
          <w:sz w:val="16"/>
          <w:szCs w:val="16"/>
          <w:rtl/>
        </w:rPr>
        <w:t>(</w:t>
      </w:r>
      <w:r w:rsidRPr="00624454">
        <w:rPr>
          <w:rFonts w:cs="Arial"/>
          <w:sz w:val="16"/>
          <w:szCs w:val="16"/>
          <w:rtl/>
        </w:rPr>
        <w:t xml:space="preserve">פי"ז </w:t>
      </w:r>
      <w:r w:rsidRPr="00624454">
        <w:rPr>
          <w:rFonts w:cs="Arial" w:hint="cs"/>
          <w:sz w:val="16"/>
          <w:szCs w:val="16"/>
          <w:rtl/>
        </w:rPr>
        <w:t xml:space="preserve">מהל' </w:t>
      </w:r>
      <w:r w:rsidRPr="00624454">
        <w:rPr>
          <w:rFonts w:cs="Arial"/>
          <w:sz w:val="16"/>
          <w:szCs w:val="16"/>
          <w:rtl/>
        </w:rPr>
        <w:t>עדות ה"א)</w:t>
      </w:r>
      <w:r w:rsidRPr="00624454">
        <w:rPr>
          <w:rFonts w:cs="Arial" w:hint="cs"/>
          <w:rtl/>
        </w:rPr>
        <w:t>-</w:t>
      </w:r>
      <w:r w:rsidRPr="00624454">
        <w:rPr>
          <w:rFonts w:cs="Arial"/>
          <w:rtl/>
        </w:rPr>
        <w:t xml:space="preserve"> מי שהעידו לו אנשים רבים וגדולים בחכמה וביראה שהם ראו פלוני שעבר עבירה פלונית או שלוה מפלוני </w:t>
      </w:r>
      <w:r>
        <w:rPr>
          <w:rFonts w:cs="Arial" w:hint="cs"/>
          <w:rtl/>
        </w:rPr>
        <w:t xml:space="preserve">- </w:t>
      </w:r>
      <w:r w:rsidRPr="00624454">
        <w:rPr>
          <w:rFonts w:cs="Arial"/>
          <w:rtl/>
        </w:rPr>
        <w:t>אע</w:t>
      </w:r>
      <w:r>
        <w:rPr>
          <w:rFonts w:cs="Arial" w:hint="cs"/>
          <w:rtl/>
        </w:rPr>
        <w:t>"</w:t>
      </w:r>
      <w:r w:rsidRPr="00624454">
        <w:rPr>
          <w:rFonts w:cs="Arial"/>
          <w:rtl/>
        </w:rPr>
        <w:t xml:space="preserve">פ שהוא מאמת הדבר בלבו כאילו ראהו לא יעיד עד שיראה הדבר בעיניו או יודה לו הלוה מפיו ויאמר לו </w:t>
      </w:r>
      <w:r>
        <w:rPr>
          <w:rFonts w:cs="Arial" w:hint="cs"/>
          <w:rtl/>
        </w:rPr>
        <w:t>'</w:t>
      </w:r>
      <w:r w:rsidRPr="00624454">
        <w:rPr>
          <w:rFonts w:cs="Arial"/>
          <w:rtl/>
        </w:rPr>
        <w:t>היה עלי עד שפלוני הלוה לי מנה</w:t>
      </w:r>
      <w:r>
        <w:rPr>
          <w:rFonts w:cs="Arial" w:hint="cs"/>
          <w:rtl/>
        </w:rPr>
        <w:t>',</w:t>
      </w:r>
      <w:r w:rsidRPr="00624454">
        <w:rPr>
          <w:rFonts w:cs="Arial"/>
          <w:rtl/>
        </w:rPr>
        <w:t xml:space="preserve"> שנאמר </w:t>
      </w:r>
      <w:r w:rsidRPr="00624454">
        <w:rPr>
          <w:rFonts w:cs="Arial"/>
          <w:sz w:val="16"/>
          <w:szCs w:val="16"/>
          <w:rtl/>
        </w:rPr>
        <w:t xml:space="preserve">(ויקרא ה א) </w:t>
      </w:r>
      <w:r w:rsidRPr="00624454">
        <w:rPr>
          <w:rFonts w:cs="Arial"/>
          <w:rtl/>
        </w:rPr>
        <w:t>והוא עד או ראה או ידע</w:t>
      </w:r>
      <w:r>
        <w:rPr>
          <w:rFonts w:cs="Arial" w:hint="cs"/>
          <w:rtl/>
        </w:rPr>
        <w:t>.</w:t>
      </w:r>
      <w:r w:rsidRPr="00624454">
        <w:rPr>
          <w:rFonts w:cs="Arial"/>
          <w:rtl/>
        </w:rPr>
        <w:t xml:space="preserve"> ואין לך עדות שמתקיימת בראיה או בידיעה אלא עדות ממון</w:t>
      </w:r>
      <w:r>
        <w:rPr>
          <w:rFonts w:cs="Arial" w:hint="cs"/>
          <w:rtl/>
        </w:rPr>
        <w:t>.</w:t>
      </w:r>
      <w:r w:rsidRPr="00624454">
        <w:rPr>
          <w:rFonts w:cs="Arial"/>
          <w:rtl/>
        </w:rPr>
        <w:t xml:space="preserve"> וכל המעיד מפי אחרים</w:t>
      </w:r>
      <w:r>
        <w:rPr>
          <w:rFonts w:cs="Arial" w:hint="cs"/>
          <w:rtl/>
        </w:rPr>
        <w:t xml:space="preserve"> -</w:t>
      </w:r>
      <w:r w:rsidRPr="00624454">
        <w:rPr>
          <w:rFonts w:cs="Arial"/>
          <w:rtl/>
        </w:rPr>
        <w:t xml:space="preserve"> הרי זה עד שקר</w:t>
      </w:r>
      <w:r>
        <w:rPr>
          <w:rFonts w:cs="Arial" w:hint="cs"/>
          <w:rtl/>
        </w:rPr>
        <w:t>,</w:t>
      </w:r>
      <w:r w:rsidRPr="00624454">
        <w:rPr>
          <w:rFonts w:cs="Arial"/>
          <w:rtl/>
        </w:rPr>
        <w:t xml:space="preserve"> ועובר בלא תעשה</w:t>
      </w:r>
      <w:r>
        <w:rPr>
          <w:rFonts w:cs="Arial" w:hint="cs"/>
          <w:rtl/>
        </w:rPr>
        <w:t>,</w:t>
      </w:r>
      <w:r w:rsidRPr="00624454">
        <w:rPr>
          <w:rFonts w:cs="Arial"/>
          <w:rtl/>
        </w:rPr>
        <w:t xml:space="preserve"> שנאמר </w:t>
      </w:r>
      <w:r w:rsidRPr="00624454">
        <w:rPr>
          <w:rFonts w:cs="Arial"/>
          <w:sz w:val="16"/>
          <w:szCs w:val="16"/>
          <w:rtl/>
        </w:rPr>
        <w:t>(שמות כ יג)</w:t>
      </w:r>
      <w:r w:rsidRPr="00624454">
        <w:rPr>
          <w:rFonts w:cs="Arial"/>
          <w:rtl/>
        </w:rPr>
        <w:t xml:space="preserve"> לא תענה ברעך עד שקר</w:t>
      </w:r>
      <w:r>
        <w:rPr>
          <w:rStyle w:val="ab"/>
          <w:rFonts w:cs="Arial"/>
          <w:rtl/>
        </w:rPr>
        <w:footnoteReference w:id="1797"/>
      </w:r>
      <w:r w:rsidRPr="00624454">
        <w:rPr>
          <w:rFonts w:cs="Arial" w:hint="cs"/>
          <w:rtl/>
        </w:rPr>
        <w:t>.</w:t>
      </w:r>
      <w:r w:rsidRPr="00624454">
        <w:rPr>
          <w:rFonts w:cs="Arial"/>
          <w:rtl/>
        </w:rPr>
        <w:t xml:space="preserve"> </w:t>
      </w:r>
    </w:p>
    <w:p w14:paraId="6C94F99A" w14:textId="77777777" w:rsidR="004B607F" w:rsidRPr="003024E5" w:rsidRDefault="004B607F" w:rsidP="004B607F">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2A386735" w14:textId="77777777" w:rsidR="004B607F" w:rsidRDefault="004B607F" w:rsidP="004B607F">
      <w:pPr>
        <w:rPr>
          <w:rtl/>
        </w:rPr>
        <w:sectPr w:rsidR="004B607F" w:rsidSect="004B607F">
          <w:headerReference w:type="default" r:id="rId41"/>
          <w:footnotePr>
            <w:numRestart w:val="eachPage"/>
          </w:footnotePr>
          <w:pgSz w:w="11906" w:h="16838"/>
          <w:pgMar w:top="720" w:right="1134" w:bottom="720" w:left="1134" w:header="0" w:footer="0" w:gutter="0"/>
          <w:cols w:space="720"/>
          <w:bidi/>
          <w:rtlGutter/>
          <w:docGrid w:linePitch="360"/>
        </w:sectPr>
      </w:pPr>
      <w:r>
        <w:rPr>
          <w:rFonts w:cs="Arial"/>
          <w:rtl/>
        </w:rPr>
        <w:t>מי שהביא עדים והוכחשו מתוך עדותן, ואחר כך הביא עדים אחרים על אותה תביעה, והוכחשו</w:t>
      </w:r>
      <w:r>
        <w:rPr>
          <w:rStyle w:val="ab"/>
          <w:rFonts w:cs="Arial"/>
          <w:rtl/>
        </w:rPr>
        <w:footnoteReference w:id="1798"/>
      </w:r>
      <w:r>
        <w:rPr>
          <w:rFonts w:cs="Arial"/>
          <w:rtl/>
        </w:rPr>
        <w:t>, וכן עד מאה כת, ואחר כך הביא עדים אחרים ונמצאת עדותן מכוונת, דנים על פיהם. אבל שטר שבאו שנים ואמרו: ממנו שאל לזייף שטר זה, אף על פי שנתקיים השטר בחותמיו, אין גובים בו לעולם, אלא אם כן באו עדי השטר והעידו הם בעצמם על כתב ידם</w:t>
      </w:r>
      <w:r>
        <w:rPr>
          <w:rStyle w:val="ab"/>
          <w:rFonts w:cs="Arial"/>
          <w:rtl/>
        </w:rPr>
        <w:footnoteReference w:id="1799"/>
      </w:r>
      <w:r>
        <w:rPr>
          <w:rFonts w:cs="Arial"/>
          <w:rtl/>
        </w:rPr>
        <w:t>.</w:t>
      </w:r>
    </w:p>
    <w:p w14:paraId="50DC2336" w14:textId="77777777" w:rsidR="004B607F" w:rsidRDefault="004B607F" w:rsidP="004B607F">
      <w:pPr>
        <w:pStyle w:val="1"/>
        <w:rPr>
          <w:rtl/>
        </w:rPr>
      </w:pPr>
      <w:bookmarkStart w:id="255" w:name="_Toc24883725"/>
      <w:r>
        <w:rPr>
          <w:rFonts w:hint="cs"/>
          <w:rtl/>
        </w:rPr>
        <w:lastRenderedPageBreak/>
        <w:t xml:space="preserve">סימן לב: </w:t>
      </w:r>
      <w:r>
        <w:rPr>
          <w:rtl/>
        </w:rPr>
        <w:t>המודה בפני עדים</w:t>
      </w:r>
      <w:r>
        <w:rPr>
          <w:rFonts w:hint="cs"/>
          <w:rtl/>
        </w:rPr>
        <w:t>,</w:t>
      </w:r>
      <w:r>
        <w:rPr>
          <w:rtl/>
        </w:rPr>
        <w:t xml:space="preserve"> שיאמרו דברים כהוייתן</w:t>
      </w:r>
      <w:r>
        <w:rPr>
          <w:rFonts w:hint="cs"/>
          <w:rtl/>
        </w:rPr>
        <w:t>.</w:t>
      </w:r>
      <w:r>
        <w:rPr>
          <w:rtl/>
        </w:rPr>
        <w:t xml:space="preserve"> ואם אמר משטה אני בך, ובו ב' סעיפים.</w:t>
      </w:r>
      <w:bookmarkEnd w:id="255"/>
      <w:r>
        <w:rPr>
          <w:rtl/>
        </w:rPr>
        <w:t xml:space="preserve"> </w:t>
      </w:r>
    </w:p>
    <w:p w14:paraId="283FA8FC" w14:textId="77777777" w:rsidR="004B607F" w:rsidRDefault="004B607F" w:rsidP="004B607F">
      <w:pPr>
        <w:pStyle w:val="2"/>
        <w:rPr>
          <w:rtl/>
        </w:rPr>
      </w:pPr>
      <w:bookmarkStart w:id="256" w:name="_Toc24883726"/>
      <w:r>
        <w:rPr>
          <w:rtl/>
        </w:rPr>
        <w:t>סעיף א</w:t>
      </w:r>
      <w:r>
        <w:rPr>
          <w:rFonts w:hint="cs"/>
          <w:rtl/>
        </w:rPr>
        <w:t>: המודה לחברו שחייב לו מנה.</w:t>
      </w:r>
      <w:bookmarkEnd w:id="256"/>
      <w:r>
        <w:rPr>
          <w:rFonts w:hint="cs"/>
          <w:rtl/>
        </w:rPr>
        <w:t xml:space="preserve"> </w:t>
      </w:r>
    </w:p>
    <w:p w14:paraId="2D428146" w14:textId="77777777" w:rsidR="004B607F" w:rsidRDefault="004B607F" w:rsidP="004B607F">
      <w:pPr>
        <w:rPr>
          <w:rFonts w:cs="Arial"/>
          <w:rtl/>
        </w:rPr>
      </w:pPr>
      <w:r>
        <w:rPr>
          <w:rFonts w:cs="Arial" w:hint="cs"/>
          <w:b/>
          <w:bCs/>
          <w:rtl/>
        </w:rPr>
        <w:t xml:space="preserve">סנהדרין </w:t>
      </w:r>
      <w:r w:rsidRPr="00624454">
        <w:rPr>
          <w:rFonts w:cs="Arial" w:hint="cs"/>
          <w:b/>
          <w:bCs/>
          <w:sz w:val="16"/>
          <w:szCs w:val="16"/>
          <w:rtl/>
        </w:rPr>
        <w:t xml:space="preserve">(פרק זה בורר) </w:t>
      </w:r>
      <w:r>
        <w:rPr>
          <w:rFonts w:cs="Arial" w:hint="cs"/>
          <w:b/>
          <w:bCs/>
          <w:rtl/>
        </w:rPr>
        <w:t>כט</w:t>
      </w:r>
      <w:r>
        <w:rPr>
          <w:rStyle w:val="ab"/>
          <w:rFonts w:cs="Arial"/>
          <w:b/>
          <w:bCs/>
          <w:rtl/>
        </w:rPr>
        <w:footnoteReference w:id="1800"/>
      </w:r>
      <w:r>
        <w:rPr>
          <w:rFonts w:cs="Arial" w:hint="cs"/>
          <w:b/>
          <w:bCs/>
          <w:rtl/>
        </w:rPr>
        <w:t xml:space="preserve"> ע"א: </w:t>
      </w:r>
      <w:r>
        <w:rPr>
          <w:rFonts w:cs="Arial" w:hint="cs"/>
          <w:u w:val="double"/>
          <w:rtl/>
        </w:rPr>
        <w:t>משנה</w:t>
      </w:r>
      <w:r w:rsidRPr="00723071">
        <w:rPr>
          <w:rFonts w:cs="Arial" w:hint="cs"/>
          <w:rtl/>
        </w:rPr>
        <w:t>:</w:t>
      </w:r>
      <w:r>
        <w:rPr>
          <w:rFonts w:cs="Arial" w:hint="cs"/>
          <w:rtl/>
        </w:rPr>
        <w:t xml:space="preserve"> </w:t>
      </w:r>
      <w:r w:rsidRPr="00723071">
        <w:rPr>
          <w:rFonts w:cs="Arial"/>
          <w:rtl/>
        </w:rPr>
        <w:t>כיצד בודקים את העדים? היו מכניסין אותן לחדר, ומאיימין עליהן. ומוציאין את כל האדם לחוץ, ומשיירין את הגדול שבהן, ואומרים לו: אמור היאך אתה יודע שזה חייב לזה. אם אמר, הוא אמר לי שאני חייב לו, איש פלוני אמר לי שהוא חייב לו - לא אמר כלום, עד שיאמר בפנינו הודה לו שהוא חייב לו מאתים זוז.</w:t>
      </w:r>
      <w:r>
        <w:rPr>
          <w:rFonts w:cs="Arial" w:hint="cs"/>
          <w:rtl/>
        </w:rPr>
        <w:t xml:space="preserve">.. </w:t>
      </w:r>
      <w:r>
        <w:rPr>
          <w:rFonts w:cs="Arial" w:hint="cs"/>
          <w:u w:val="double"/>
          <w:rtl/>
        </w:rPr>
        <w:t>גמרא</w:t>
      </w:r>
      <w:r>
        <w:rPr>
          <w:rFonts w:cs="Arial" w:hint="cs"/>
          <w:rtl/>
        </w:rPr>
        <w:t xml:space="preserve">: </w:t>
      </w:r>
      <w:r w:rsidRPr="00723071">
        <w:rPr>
          <w:rFonts w:cs="Arial"/>
          <w:rtl/>
        </w:rPr>
        <w:t>אם אמר הוא אמר לי כו' עד שיאמרו</w:t>
      </w:r>
      <w:r>
        <w:rPr>
          <w:rFonts w:cs="Arial" w:hint="cs"/>
          <w:rtl/>
        </w:rPr>
        <w:t xml:space="preserve"> '</w:t>
      </w:r>
      <w:r w:rsidRPr="00723071">
        <w:rPr>
          <w:rFonts w:cs="Arial"/>
          <w:rtl/>
        </w:rPr>
        <w:t>בפנינו</w:t>
      </w:r>
      <w:r>
        <w:rPr>
          <w:rStyle w:val="ab"/>
          <w:rFonts w:cs="Arial"/>
          <w:rtl/>
        </w:rPr>
        <w:footnoteReference w:id="1801"/>
      </w:r>
      <w:r w:rsidRPr="00723071">
        <w:rPr>
          <w:rFonts w:cs="Arial"/>
          <w:rtl/>
        </w:rPr>
        <w:t xml:space="preserve"> הודה לו שהוא חייב לו מאתים זוז</w:t>
      </w:r>
      <w:r>
        <w:rPr>
          <w:rFonts w:cs="Arial" w:hint="cs"/>
          <w:rtl/>
        </w:rPr>
        <w:t>'</w:t>
      </w:r>
      <w:r w:rsidRPr="00723071">
        <w:rPr>
          <w:rFonts w:cs="Arial"/>
          <w:rtl/>
        </w:rPr>
        <w:t xml:space="preserve">. מסייע ליה לרב יהודה, </w:t>
      </w:r>
      <w:r w:rsidRPr="00A2382F">
        <w:rPr>
          <w:rFonts w:cs="Arial"/>
          <w:u w:val="single"/>
          <w:rtl/>
        </w:rPr>
        <w:t>דאמר רב</w:t>
      </w:r>
      <w:r w:rsidRPr="00723071">
        <w:rPr>
          <w:rFonts w:cs="Arial"/>
          <w:u w:val="single"/>
          <w:rtl/>
        </w:rPr>
        <w:t xml:space="preserve"> יהודה אמר רב</w:t>
      </w:r>
      <w:r w:rsidRPr="00723071">
        <w:rPr>
          <w:rFonts w:cs="Arial"/>
          <w:rtl/>
        </w:rPr>
        <w:t xml:space="preserve">: צריך שיאמר אתם עדיי. איתמר נמי, </w:t>
      </w:r>
      <w:r w:rsidRPr="00723071">
        <w:rPr>
          <w:rFonts w:cs="Arial"/>
          <w:u w:val="single"/>
          <w:rtl/>
        </w:rPr>
        <w:t>אמר רבי חייא בר אבא אמר רבי יוחנן:</w:t>
      </w:r>
      <w:r w:rsidRPr="00723071">
        <w:rPr>
          <w:rFonts w:cs="Arial"/>
          <w:rtl/>
        </w:rPr>
        <w:t xml:space="preserve"> מנה לי בידך? אמר לו: הן. למחר אמר לו: תנהו לי! אמר: משטה אני בך</w:t>
      </w:r>
      <w:r>
        <w:rPr>
          <w:rStyle w:val="ab"/>
          <w:rFonts w:cs="Arial"/>
          <w:rtl/>
        </w:rPr>
        <w:footnoteReference w:id="1802"/>
      </w:r>
      <w:r w:rsidRPr="00723071">
        <w:rPr>
          <w:rFonts w:cs="Arial"/>
          <w:rtl/>
        </w:rPr>
        <w:t xml:space="preserve"> - פטור. תניא נמי הכי: מנה לי בידך, אמר לו: הן. למחר אמר לו: תנהו לי! אמר לו: משטה אני בך - פטור.</w:t>
      </w:r>
      <w:r>
        <w:rPr>
          <w:rFonts w:cs="Arial" w:hint="cs"/>
          <w:rtl/>
        </w:rPr>
        <w:t>..</w:t>
      </w:r>
      <w:r w:rsidRPr="00723071">
        <w:rPr>
          <w:rFonts w:cs="Arial"/>
          <w:rtl/>
        </w:rPr>
        <w:t xml:space="preserve"> אם לא טען - אין טוענין לו</w:t>
      </w:r>
      <w:r>
        <w:rPr>
          <w:rStyle w:val="ab"/>
          <w:rFonts w:cs="Arial"/>
          <w:rtl/>
        </w:rPr>
        <w:footnoteReference w:id="1803"/>
      </w:r>
      <w:r w:rsidRPr="00723071">
        <w:rPr>
          <w:rFonts w:cs="Arial"/>
          <w:rtl/>
        </w:rPr>
        <w:t>.</w:t>
      </w:r>
      <w:r>
        <w:rPr>
          <w:rFonts w:cs="Arial" w:hint="cs"/>
          <w:rtl/>
        </w:rPr>
        <w:t>..</w:t>
      </w:r>
      <w:r w:rsidRPr="00705A02">
        <w:rPr>
          <w:rtl/>
        </w:rPr>
        <w:t xml:space="preserve"> </w:t>
      </w:r>
      <w:r w:rsidRPr="00705A02">
        <w:rPr>
          <w:rFonts w:cs="Arial"/>
          <w:u w:val="single"/>
          <w:rtl/>
        </w:rPr>
        <w:t>אמר אביי</w:t>
      </w:r>
      <w:r w:rsidRPr="00705A02">
        <w:rPr>
          <w:rFonts w:cs="Arial"/>
          <w:rtl/>
        </w:rPr>
        <w:t>: לא שנו אלא דאמר משטה אני בך, אבל אמר:</w:t>
      </w:r>
      <w:r w:rsidRPr="00705A02">
        <w:rPr>
          <w:rtl/>
        </w:rPr>
        <w:t xml:space="preserve"> </w:t>
      </w:r>
      <w:r>
        <w:rPr>
          <w:rFonts w:cs="Arial" w:hint="cs"/>
          <w:sz w:val="14"/>
          <w:szCs w:val="14"/>
          <w:rtl/>
        </w:rPr>
        <w:t>(כט:)</w:t>
      </w:r>
      <w:r>
        <w:rPr>
          <w:rFonts w:cs="Arial" w:hint="cs"/>
          <w:rtl/>
        </w:rPr>
        <w:t xml:space="preserve"> </w:t>
      </w:r>
      <w:r w:rsidRPr="00705A02">
        <w:rPr>
          <w:rFonts w:cs="Arial"/>
          <w:rtl/>
        </w:rPr>
        <w:t>לא היו דברים מעולם</w:t>
      </w:r>
      <w:r>
        <w:rPr>
          <w:rStyle w:val="ab"/>
          <w:rFonts w:cs="Arial"/>
          <w:rtl/>
        </w:rPr>
        <w:footnoteReference w:id="1804"/>
      </w:r>
      <w:r w:rsidRPr="00705A02">
        <w:rPr>
          <w:rFonts w:cs="Arial"/>
          <w:rtl/>
        </w:rPr>
        <w:t xml:space="preserve"> - הוחזק כפרן</w:t>
      </w:r>
      <w:r>
        <w:rPr>
          <w:rStyle w:val="ab"/>
          <w:rFonts w:cs="Arial"/>
          <w:rtl/>
        </w:rPr>
        <w:footnoteReference w:id="1805"/>
      </w:r>
      <w:r w:rsidRPr="00705A02">
        <w:rPr>
          <w:rFonts w:cs="Arial"/>
          <w:rtl/>
        </w:rPr>
        <w:t xml:space="preserve">. </w:t>
      </w:r>
      <w:r w:rsidRPr="00705A02">
        <w:rPr>
          <w:rFonts w:cs="Arial"/>
          <w:u w:val="single"/>
          <w:rtl/>
        </w:rPr>
        <w:t>אמר ליה רב פפא בריה דרב אחא בר אדא, הכי אמרינן משמיה דרבא</w:t>
      </w:r>
      <w:r w:rsidRPr="00705A02">
        <w:rPr>
          <w:rFonts w:cs="Arial"/>
          <w:rtl/>
        </w:rPr>
        <w:t>: כל מילי דכדי לא דכירי אינשי</w:t>
      </w:r>
      <w:r>
        <w:rPr>
          <w:rStyle w:val="ab"/>
          <w:rFonts w:cs="Arial"/>
          <w:rtl/>
        </w:rPr>
        <w:footnoteReference w:id="1806"/>
      </w:r>
      <w:r w:rsidRPr="00705A02">
        <w:rPr>
          <w:rFonts w:cs="Arial"/>
          <w:rtl/>
        </w:rPr>
        <w:t>.</w:t>
      </w:r>
    </w:p>
    <w:p w14:paraId="6B6616F8" w14:textId="77777777" w:rsidR="004B607F" w:rsidRPr="00723071" w:rsidRDefault="004B607F" w:rsidP="004B607F">
      <w:pPr>
        <w:rPr>
          <w:rFonts w:cs="Arial"/>
          <w:u w:val="single"/>
          <w:rtl/>
        </w:rPr>
      </w:pPr>
      <w:r w:rsidRPr="00723071">
        <w:rPr>
          <w:rFonts w:cs="Arial"/>
          <w:u w:val="single"/>
          <w:rtl/>
        </w:rPr>
        <w:t>ראובן שתבע משמעון מנה והודה לו כן בפני עדים</w:t>
      </w:r>
      <w:r w:rsidRPr="00723071">
        <w:rPr>
          <w:rFonts w:cs="Arial" w:hint="cs"/>
          <w:u w:val="single"/>
          <w:rtl/>
        </w:rPr>
        <w:t>:</w:t>
      </w:r>
    </w:p>
    <w:p w14:paraId="468C1F4E" w14:textId="77777777" w:rsidR="004B607F" w:rsidRDefault="004B607F" w:rsidP="004B0475">
      <w:pPr>
        <w:pStyle w:val="ac"/>
        <w:numPr>
          <w:ilvl w:val="0"/>
          <w:numId w:val="94"/>
        </w:numPr>
        <w:rPr>
          <w:rFonts w:cs="Arial"/>
        </w:rPr>
      </w:pPr>
      <w:r w:rsidRPr="00723071">
        <w:rPr>
          <w:rFonts w:cs="Arial" w:hint="cs"/>
          <w:rtl/>
        </w:rPr>
        <w:t xml:space="preserve">טור- </w:t>
      </w:r>
      <w:r w:rsidRPr="00723071">
        <w:rPr>
          <w:rFonts w:cs="Arial"/>
          <w:rtl/>
        </w:rPr>
        <w:t xml:space="preserve">ראובן שתבע משמעון מנה והודה לו כן בפני עדים </w:t>
      </w:r>
      <w:r>
        <w:rPr>
          <w:rFonts w:cs="Arial" w:hint="cs"/>
          <w:rtl/>
        </w:rPr>
        <w:t xml:space="preserve">- </w:t>
      </w:r>
      <w:r w:rsidRPr="00723071">
        <w:rPr>
          <w:rFonts w:cs="Arial"/>
          <w:rtl/>
        </w:rPr>
        <w:t>אינם יכולין להעיד בשביל זה שחייב לו מנה</w:t>
      </w:r>
      <w:r>
        <w:rPr>
          <w:rFonts w:cs="Arial" w:hint="cs"/>
          <w:rtl/>
        </w:rPr>
        <w:t>...</w:t>
      </w:r>
      <w:r w:rsidRPr="00723071">
        <w:rPr>
          <w:rFonts w:cs="Arial"/>
          <w:rtl/>
        </w:rPr>
        <w:t xml:space="preserve"> שאם יטעון שמעון משטה הייתי בך </w:t>
      </w:r>
      <w:r>
        <w:rPr>
          <w:rFonts w:cs="Arial" w:hint="cs"/>
          <w:rtl/>
        </w:rPr>
        <w:t xml:space="preserve">- </w:t>
      </w:r>
      <w:r w:rsidRPr="00723071">
        <w:rPr>
          <w:rFonts w:cs="Arial"/>
          <w:rtl/>
        </w:rPr>
        <w:t>נאמן ופטור</w:t>
      </w:r>
      <w:r w:rsidRPr="00723071">
        <w:rPr>
          <w:rFonts w:cs="Arial" w:hint="cs"/>
          <w:rtl/>
        </w:rPr>
        <w:t>.</w:t>
      </w:r>
      <w:r>
        <w:rPr>
          <w:rFonts w:cs="Arial" w:hint="cs"/>
          <w:rtl/>
        </w:rPr>
        <w:t>..</w:t>
      </w:r>
      <w:r w:rsidRPr="005379FF">
        <w:rPr>
          <w:rFonts w:cs="Arial"/>
          <w:rtl/>
        </w:rPr>
        <w:t xml:space="preserve"> </w:t>
      </w:r>
      <w:r w:rsidRPr="00396CE2">
        <w:rPr>
          <w:rFonts w:cs="Arial"/>
          <w:rtl/>
        </w:rPr>
        <w:t>ואפילו טען להד"מ פטור</w:t>
      </w:r>
      <w:r>
        <w:rPr>
          <w:rFonts w:cs="Arial" w:hint="cs"/>
          <w:rtl/>
        </w:rPr>
        <w:t>,</w:t>
      </w:r>
      <w:r w:rsidRPr="00396CE2">
        <w:rPr>
          <w:rFonts w:cs="Arial"/>
          <w:rtl/>
        </w:rPr>
        <w:t xml:space="preserve"> דכל מילי דכדי לא דכירי אינשי</w:t>
      </w:r>
      <w:r>
        <w:rPr>
          <w:rFonts w:cs="Arial" w:hint="cs"/>
          <w:rtl/>
        </w:rPr>
        <w:t>.</w:t>
      </w:r>
      <w:r w:rsidRPr="005379FF">
        <w:rPr>
          <w:rFonts w:cs="Arial"/>
          <w:rtl/>
        </w:rPr>
        <w:t xml:space="preserve"> </w:t>
      </w:r>
      <w:r w:rsidRPr="00396CE2">
        <w:rPr>
          <w:rFonts w:cs="Arial"/>
          <w:rtl/>
        </w:rPr>
        <w:t>אבל אם לא טען משטה הייתי בך</w:t>
      </w:r>
      <w:r>
        <w:rPr>
          <w:rFonts w:cs="Arial" w:hint="cs"/>
          <w:rtl/>
        </w:rPr>
        <w:t xml:space="preserve"> -</w:t>
      </w:r>
      <w:r w:rsidRPr="00396CE2">
        <w:rPr>
          <w:rFonts w:cs="Arial"/>
          <w:rtl/>
        </w:rPr>
        <w:t xml:space="preserve"> לא טענינן ליה</w:t>
      </w:r>
      <w:r>
        <w:rPr>
          <w:rFonts w:cs="Arial" w:hint="cs"/>
          <w:rtl/>
        </w:rPr>
        <w:t>.</w:t>
      </w:r>
      <w:r w:rsidRPr="00504D94">
        <w:rPr>
          <w:rFonts w:cs="Arial" w:hint="cs"/>
          <w:color w:val="E36C0A" w:themeColor="accent6" w:themeShade="BF"/>
          <w:rtl/>
        </w:rPr>
        <w:t xml:space="preserve"> </w:t>
      </w:r>
      <w:r w:rsidRPr="0032591F">
        <w:rPr>
          <w:rFonts w:cs="Arial" w:hint="cs"/>
          <w:color w:val="E36C0A" w:themeColor="accent6" w:themeShade="BF"/>
          <w:rtl/>
        </w:rPr>
        <w:t>(וכ"פ בשו"ע</w:t>
      </w:r>
      <w:r>
        <w:rPr>
          <w:rFonts w:cs="Arial" w:hint="cs"/>
          <w:sz w:val="16"/>
          <w:szCs w:val="16"/>
          <w:rtl/>
        </w:rPr>
        <w:t xml:space="preserve"> [סי' פא סע' א]</w:t>
      </w:r>
      <w:r w:rsidRPr="0032591F">
        <w:rPr>
          <w:rFonts w:cs="Arial" w:hint="cs"/>
          <w:color w:val="E36C0A" w:themeColor="accent6" w:themeShade="BF"/>
          <w:rtl/>
        </w:rPr>
        <w:t>)</w:t>
      </w:r>
    </w:p>
    <w:p w14:paraId="0899CCE1" w14:textId="77777777" w:rsidR="004B607F" w:rsidRPr="00F87AE3" w:rsidRDefault="004B607F" w:rsidP="004B607F">
      <w:pPr>
        <w:ind w:left="360"/>
        <w:rPr>
          <w:rFonts w:cs="Arial"/>
          <w:u w:val="dotted"/>
        </w:rPr>
      </w:pPr>
      <w:r w:rsidRPr="00F87AE3">
        <w:rPr>
          <w:rFonts w:cs="Arial" w:hint="cs"/>
          <w:u w:val="dotted"/>
          <w:rtl/>
        </w:rPr>
        <w:t>האם זה שטוען 'משטה אני בך' צריך להישבע כדי להיפטר:</w:t>
      </w:r>
      <w:r w:rsidRPr="00F87AE3">
        <w:rPr>
          <w:rFonts w:cs="Arial"/>
          <w:u w:val="dotted"/>
          <w:rtl/>
        </w:rPr>
        <w:t xml:space="preserve"> </w:t>
      </w:r>
    </w:p>
    <w:p w14:paraId="0F55898A" w14:textId="77777777" w:rsidR="004B607F" w:rsidRPr="00CE2184" w:rsidRDefault="004B607F" w:rsidP="004B0475">
      <w:pPr>
        <w:pStyle w:val="ac"/>
        <w:numPr>
          <w:ilvl w:val="0"/>
          <w:numId w:val="94"/>
        </w:numPr>
        <w:rPr>
          <w:rFonts w:cs="Arial"/>
          <w:rtl/>
        </w:rPr>
      </w:pPr>
      <w:r>
        <w:rPr>
          <w:rFonts w:cs="Arial"/>
          <w:rtl/>
        </w:rPr>
        <w:t>רמב"ם</w:t>
      </w:r>
      <w:r>
        <w:rPr>
          <w:rStyle w:val="ab"/>
          <w:rFonts w:cs="Arial"/>
          <w:rtl/>
        </w:rPr>
        <w:footnoteReference w:id="1807"/>
      </w:r>
      <w:r>
        <w:rPr>
          <w:rFonts w:cs="Arial"/>
          <w:rtl/>
        </w:rPr>
        <w:t xml:space="preserve"> </w:t>
      </w:r>
      <w:r w:rsidRPr="000D6B40">
        <w:rPr>
          <w:rFonts w:cs="Arial" w:hint="cs"/>
          <w:sz w:val="16"/>
          <w:szCs w:val="16"/>
          <w:rtl/>
        </w:rPr>
        <w:t>(</w:t>
      </w:r>
      <w:r w:rsidRPr="000D6B40">
        <w:rPr>
          <w:rFonts w:cs="Arial"/>
          <w:sz w:val="16"/>
          <w:szCs w:val="16"/>
          <w:rtl/>
        </w:rPr>
        <w:t>פ"ו מטוען ונטען ה"ו)</w:t>
      </w:r>
      <w:r>
        <w:rPr>
          <w:rFonts w:cs="Arial" w:hint="cs"/>
          <w:rtl/>
        </w:rPr>
        <w:t xml:space="preserve"> בעל</w:t>
      </w:r>
      <w:r>
        <w:rPr>
          <w:rFonts w:cs="Arial"/>
          <w:rtl/>
        </w:rPr>
        <w:t xml:space="preserve"> התרומות</w:t>
      </w:r>
      <w:r>
        <w:rPr>
          <w:rStyle w:val="ab"/>
          <w:rFonts w:cs="Arial"/>
          <w:rtl/>
        </w:rPr>
        <w:footnoteReference w:id="1808"/>
      </w:r>
      <w:r w:rsidRPr="000D6B40">
        <w:rPr>
          <w:rFonts w:cs="Arial"/>
          <w:sz w:val="16"/>
          <w:szCs w:val="16"/>
          <w:rtl/>
        </w:rPr>
        <w:t xml:space="preserve"> </w:t>
      </w:r>
      <w:r w:rsidRPr="000D6B40">
        <w:rPr>
          <w:rFonts w:cs="Arial" w:hint="cs"/>
          <w:sz w:val="16"/>
          <w:szCs w:val="16"/>
          <w:rtl/>
        </w:rPr>
        <w:t>(</w:t>
      </w:r>
      <w:r w:rsidRPr="000D6B40">
        <w:rPr>
          <w:rFonts w:cs="Arial"/>
          <w:sz w:val="16"/>
          <w:szCs w:val="16"/>
          <w:rtl/>
        </w:rPr>
        <w:t>שער מ"ב ח"א סי' ד)</w:t>
      </w:r>
      <w:r>
        <w:rPr>
          <w:rFonts w:cs="Arial" w:hint="cs"/>
          <w:sz w:val="16"/>
          <w:szCs w:val="16"/>
          <w:rtl/>
        </w:rPr>
        <w:t xml:space="preserve"> </w:t>
      </w:r>
      <w:r>
        <w:rPr>
          <w:rFonts w:cs="Arial"/>
          <w:rtl/>
        </w:rPr>
        <w:t xml:space="preserve">רא"ש </w:t>
      </w:r>
      <w:r w:rsidRPr="000D6B40">
        <w:rPr>
          <w:rFonts w:cs="Arial" w:hint="cs"/>
          <w:sz w:val="16"/>
          <w:szCs w:val="16"/>
          <w:rtl/>
        </w:rPr>
        <w:t>(</w:t>
      </w:r>
      <w:r w:rsidRPr="000D6B40">
        <w:rPr>
          <w:rFonts w:cs="Arial"/>
          <w:sz w:val="16"/>
          <w:szCs w:val="16"/>
          <w:rtl/>
        </w:rPr>
        <w:t>סי' כה</w:t>
      </w:r>
      <w:r w:rsidRPr="000D6B40">
        <w:rPr>
          <w:rFonts w:cs="Arial" w:hint="cs"/>
          <w:sz w:val="16"/>
          <w:szCs w:val="16"/>
          <w:rtl/>
        </w:rPr>
        <w:t>)</w:t>
      </w:r>
      <w:r>
        <w:rPr>
          <w:rFonts w:cs="Arial" w:hint="cs"/>
          <w:rtl/>
        </w:rPr>
        <w:t xml:space="preserve"> וטור-</w:t>
      </w:r>
      <w:r>
        <w:rPr>
          <w:rFonts w:cs="Arial"/>
          <w:rtl/>
        </w:rPr>
        <w:t xml:space="preserve"> שמעתי בשם רב סעדיה גאון</w:t>
      </w:r>
      <w:r>
        <w:rPr>
          <w:rStyle w:val="ab"/>
          <w:rFonts w:cs="Arial"/>
          <w:rtl/>
        </w:rPr>
        <w:footnoteReference w:id="1809"/>
      </w:r>
      <w:r>
        <w:rPr>
          <w:rFonts w:cs="Arial"/>
          <w:rtl/>
        </w:rPr>
        <w:t xml:space="preserve"> שצריך לישבע שמה שהודה לו לא כיוון אלא להשטות בו ולא לשם הודאה</w:t>
      </w:r>
      <w:r>
        <w:rPr>
          <w:rFonts w:cs="Arial" w:hint="cs"/>
          <w:rtl/>
        </w:rPr>
        <w:t>.</w:t>
      </w:r>
      <w:r>
        <w:rPr>
          <w:rFonts w:cs="Arial"/>
          <w:rtl/>
        </w:rPr>
        <w:t xml:space="preserve"> ומסתברא</w:t>
      </w:r>
      <w:r>
        <w:rPr>
          <w:rFonts w:cs="Arial" w:hint="cs"/>
          <w:rtl/>
        </w:rPr>
        <w:t>,</w:t>
      </w:r>
      <w:r>
        <w:rPr>
          <w:rFonts w:cs="Arial"/>
          <w:rtl/>
        </w:rPr>
        <w:t xml:space="preserve"> שכיון שתקנו שבועת היסת לכפירה הוא הדין לכל טענה שטוען לפטור את עצמו</w:t>
      </w:r>
      <w:r>
        <w:rPr>
          <w:rStyle w:val="ab"/>
          <w:rFonts w:cs="Arial"/>
          <w:rtl/>
        </w:rPr>
        <w:footnoteReference w:id="1810"/>
      </w:r>
      <w:r>
        <w:rPr>
          <w:rFonts w:cs="Arial" w:hint="cs"/>
          <w:sz w:val="16"/>
          <w:szCs w:val="16"/>
          <w:rtl/>
        </w:rPr>
        <w:t xml:space="preserve"> (ל' הרא"ש)</w:t>
      </w:r>
      <w:r>
        <w:rPr>
          <w:rFonts w:cs="Arial" w:hint="cs"/>
          <w:rtl/>
        </w:rPr>
        <w:t>.</w:t>
      </w:r>
      <w:r w:rsidRPr="00CE2184">
        <w:rPr>
          <w:rFonts w:cs="Arial"/>
          <w:rtl/>
        </w:rPr>
        <w:t xml:space="preserve"> </w:t>
      </w:r>
      <w:r w:rsidRPr="0032591F">
        <w:rPr>
          <w:rFonts w:cs="Arial" w:hint="cs"/>
          <w:color w:val="E36C0A" w:themeColor="accent6" w:themeShade="BF"/>
          <w:rtl/>
        </w:rPr>
        <w:t>(וכ"פ בשו"ע</w:t>
      </w:r>
      <w:r>
        <w:rPr>
          <w:rFonts w:cs="Arial" w:hint="cs"/>
          <w:sz w:val="16"/>
          <w:szCs w:val="16"/>
          <w:rtl/>
        </w:rPr>
        <w:t xml:space="preserve"> [סי' פא סע' א]</w:t>
      </w:r>
      <w:r w:rsidRPr="0032591F">
        <w:rPr>
          <w:rFonts w:cs="Arial" w:hint="cs"/>
          <w:color w:val="E36C0A" w:themeColor="accent6" w:themeShade="BF"/>
          <w:rtl/>
        </w:rPr>
        <w:t>)</w:t>
      </w:r>
    </w:p>
    <w:p w14:paraId="5F8A36A4" w14:textId="77777777" w:rsidR="004B607F" w:rsidRPr="005379FF" w:rsidRDefault="004B607F" w:rsidP="004B607F">
      <w:pPr>
        <w:rPr>
          <w:rFonts w:cs="Arial"/>
          <w:u w:val="single"/>
          <w:rtl/>
        </w:rPr>
      </w:pPr>
      <w:r w:rsidRPr="005379FF">
        <w:rPr>
          <w:rFonts w:cs="Arial" w:hint="cs"/>
          <w:u w:val="single"/>
          <w:rtl/>
        </w:rPr>
        <w:t xml:space="preserve">האם אפשר לתובע גם כן לטעון 'משטה אני בך': </w:t>
      </w:r>
    </w:p>
    <w:p w14:paraId="545F24AB" w14:textId="77777777" w:rsidR="004B607F" w:rsidRPr="005379FF" w:rsidRDefault="004B607F" w:rsidP="004B0475">
      <w:pPr>
        <w:pStyle w:val="ac"/>
        <w:numPr>
          <w:ilvl w:val="0"/>
          <w:numId w:val="95"/>
        </w:numPr>
        <w:rPr>
          <w:rFonts w:cs="Arial"/>
          <w:rtl/>
        </w:rPr>
      </w:pPr>
      <w:r w:rsidRPr="005379FF">
        <w:rPr>
          <w:rFonts w:cs="Arial" w:hint="cs"/>
          <w:rtl/>
        </w:rPr>
        <w:t>מהר"ם</w:t>
      </w:r>
      <w:r w:rsidRPr="005379FF">
        <w:rPr>
          <w:rFonts w:cs="Arial"/>
          <w:rtl/>
        </w:rPr>
        <w:t xml:space="preserve"> </w:t>
      </w:r>
      <w:r w:rsidRPr="005379FF">
        <w:rPr>
          <w:rFonts w:cs="Arial"/>
          <w:sz w:val="16"/>
          <w:szCs w:val="16"/>
          <w:rtl/>
        </w:rPr>
        <w:t>(שו"ת מהר"ם ב"ב ד"פ סי' תתקצ</w:t>
      </w:r>
      <w:r w:rsidRPr="005379FF">
        <w:rPr>
          <w:rFonts w:cs="Arial" w:hint="cs"/>
          <w:sz w:val="16"/>
          <w:szCs w:val="16"/>
          <w:rtl/>
        </w:rPr>
        <w:t>, כ"כ בשמו המרדכי [שם] והגה"מ [שם]</w:t>
      </w:r>
      <w:r w:rsidRPr="005379FF">
        <w:rPr>
          <w:rFonts w:cs="Arial"/>
          <w:sz w:val="16"/>
          <w:szCs w:val="16"/>
          <w:rtl/>
        </w:rPr>
        <w:t>)</w:t>
      </w:r>
      <w:r w:rsidRPr="005379FF">
        <w:rPr>
          <w:rFonts w:cs="Arial" w:hint="cs"/>
          <w:rtl/>
        </w:rPr>
        <w:t xml:space="preserve"> ורי"ו </w:t>
      </w:r>
      <w:r w:rsidRPr="005379FF">
        <w:rPr>
          <w:rFonts w:cs="Arial" w:hint="cs"/>
          <w:sz w:val="16"/>
          <w:szCs w:val="16"/>
          <w:rtl/>
        </w:rPr>
        <w:t>(</w:t>
      </w:r>
      <w:r w:rsidRPr="005379FF">
        <w:rPr>
          <w:rFonts w:cs="Arial"/>
          <w:sz w:val="16"/>
          <w:szCs w:val="16"/>
          <w:rtl/>
        </w:rPr>
        <w:t>מישרים נ"ג ח"ח יט.)</w:t>
      </w:r>
      <w:r w:rsidRPr="005379FF">
        <w:rPr>
          <w:rFonts w:cs="Arial" w:hint="cs"/>
          <w:rtl/>
        </w:rPr>
        <w:t>-</w:t>
      </w:r>
      <w:r w:rsidRPr="005379FF">
        <w:rPr>
          <w:rFonts w:cs="Arial"/>
          <w:rtl/>
        </w:rPr>
        <w:t xml:space="preserve"> לא אמרינן משטה אני בך אלא בנתבע אבל בתובע לא</w:t>
      </w:r>
      <w:r>
        <w:rPr>
          <w:rStyle w:val="ab"/>
          <w:rFonts w:cs="Arial"/>
          <w:rtl/>
        </w:rPr>
        <w:footnoteReference w:id="1811"/>
      </w:r>
      <w:r w:rsidRPr="005379FF">
        <w:rPr>
          <w:rFonts w:cs="Arial" w:hint="cs"/>
          <w:rtl/>
        </w:rPr>
        <w:t>,</w:t>
      </w:r>
      <w:r w:rsidRPr="005379FF">
        <w:rPr>
          <w:rFonts w:cs="Arial"/>
          <w:rtl/>
        </w:rPr>
        <w:t xml:space="preserve"> וראיה מפרק יש נוחלין דלא אמרינן אדם עשוי שלא להשביע את עצמו אלא בנתבע אבל בתובע לא</w:t>
      </w:r>
      <w:r w:rsidRPr="005379FF">
        <w:rPr>
          <w:rFonts w:cs="Arial" w:hint="cs"/>
          <w:sz w:val="16"/>
          <w:szCs w:val="16"/>
          <w:rtl/>
        </w:rPr>
        <w:t xml:space="preserve"> (ל' מהר"ם)</w:t>
      </w:r>
      <w:r>
        <w:rPr>
          <w:rStyle w:val="ab"/>
          <w:rFonts w:cs="Arial"/>
          <w:rtl/>
        </w:rPr>
        <w:footnoteReference w:id="1812"/>
      </w:r>
      <w:r w:rsidRPr="005379FF">
        <w:rPr>
          <w:rFonts w:cs="Arial" w:hint="cs"/>
          <w:rtl/>
        </w:rPr>
        <w:t>.</w:t>
      </w:r>
      <w:r w:rsidRPr="005379FF">
        <w:rPr>
          <w:rFonts w:cs="Arial"/>
          <w:rtl/>
        </w:rPr>
        <w:t xml:space="preserve"> </w:t>
      </w:r>
    </w:p>
    <w:p w14:paraId="610E8DF5" w14:textId="77777777" w:rsidR="004B607F" w:rsidRDefault="004B607F" w:rsidP="004B607F">
      <w:pPr>
        <w:rPr>
          <w:rFonts w:cs="Arial"/>
          <w:rtl/>
        </w:rPr>
      </w:pPr>
      <w:r w:rsidRPr="00D92306">
        <w:rPr>
          <w:rFonts w:cs="Arial" w:hint="cs"/>
          <w:b/>
          <w:bCs/>
          <w:rtl/>
        </w:rPr>
        <w:lastRenderedPageBreak/>
        <w:t xml:space="preserve">בבא בתרא </w:t>
      </w:r>
      <w:r w:rsidRPr="00D92306">
        <w:rPr>
          <w:rFonts w:cs="Arial" w:hint="cs"/>
          <w:b/>
          <w:bCs/>
          <w:sz w:val="16"/>
          <w:szCs w:val="16"/>
          <w:rtl/>
        </w:rPr>
        <w:t xml:space="preserve">(פרק בתרא) </w:t>
      </w:r>
      <w:r w:rsidRPr="00D92306">
        <w:rPr>
          <w:rFonts w:cs="Arial" w:hint="cs"/>
          <w:b/>
          <w:bCs/>
          <w:rtl/>
        </w:rPr>
        <w:t>קעה</w:t>
      </w:r>
      <w:r>
        <w:rPr>
          <w:rStyle w:val="ab"/>
          <w:rFonts w:cs="Arial"/>
          <w:b/>
          <w:bCs/>
          <w:rtl/>
        </w:rPr>
        <w:footnoteReference w:id="1813"/>
      </w:r>
      <w:r w:rsidRPr="00D92306">
        <w:rPr>
          <w:rFonts w:cs="Arial" w:hint="cs"/>
          <w:b/>
          <w:bCs/>
          <w:rtl/>
        </w:rPr>
        <w:t xml:space="preserve"> ע"א: </w:t>
      </w:r>
      <w:r w:rsidRPr="00D92306">
        <w:rPr>
          <w:rFonts w:cs="Arial"/>
          <w:u w:val="single"/>
          <w:rtl/>
        </w:rPr>
        <w:t>בעי רבא</w:t>
      </w:r>
      <w:r w:rsidRPr="00D92306">
        <w:rPr>
          <w:rFonts w:cs="Arial"/>
          <w:rtl/>
        </w:rPr>
        <w:t xml:space="preserve">: שכיב מרע שהודה, מהו? צריך לומר אתם עדי, או אין צריך לומר אתם עדי? צריך שיאמר כתובו, או אין צריך לומר כתובו? אדם משטה בשעת מיתה, או אין אדם משטה בשעת מיתה? בתר דבעיא הדר פשטה: אין אדם משטה בשעת מיתה, ודברי שכ"מ ככתובין וכמסורין דמו. </w:t>
      </w:r>
      <w:r w:rsidRPr="00D92306">
        <w:rPr>
          <w:rFonts w:cs="Arial" w:hint="cs"/>
          <w:sz w:val="16"/>
          <w:szCs w:val="16"/>
          <w:rtl/>
        </w:rPr>
        <w:t>(</w:t>
      </w:r>
      <w:r w:rsidRPr="00D92306">
        <w:rPr>
          <w:rFonts w:cs="Arial"/>
          <w:sz w:val="16"/>
          <w:szCs w:val="16"/>
          <w:rtl/>
        </w:rPr>
        <w:t>והיינו דוקא בשתבעוהו והודה כמו שיתבאר לקמן</w:t>
      </w:r>
      <w:r>
        <w:rPr>
          <w:rFonts w:cs="Arial" w:hint="cs"/>
          <w:sz w:val="16"/>
          <w:szCs w:val="16"/>
          <w:rtl/>
        </w:rPr>
        <w:t>)</w:t>
      </w:r>
      <w:r w:rsidRPr="00D92306">
        <w:rPr>
          <w:rFonts w:cs="Arial"/>
          <w:sz w:val="16"/>
          <w:szCs w:val="16"/>
          <w:rtl/>
        </w:rPr>
        <w:t xml:space="preserve"> </w:t>
      </w:r>
    </w:p>
    <w:p w14:paraId="0668E80B" w14:textId="77777777" w:rsidR="004B607F" w:rsidRPr="0040325C" w:rsidRDefault="004B607F" w:rsidP="004B607F">
      <w:pPr>
        <w:rPr>
          <w:rFonts w:cs="Arial"/>
          <w:u w:val="single"/>
        </w:rPr>
      </w:pPr>
      <w:r w:rsidRPr="0040325C">
        <w:rPr>
          <w:rFonts w:cs="Arial" w:hint="cs"/>
          <w:u w:val="single"/>
          <w:rtl/>
        </w:rPr>
        <w:t xml:space="preserve">טענת השטאה </w:t>
      </w:r>
      <w:r w:rsidRPr="0040325C">
        <w:rPr>
          <w:rFonts w:cs="Arial"/>
          <w:u w:val="single"/>
          <w:rtl/>
        </w:rPr>
        <w:t>–</w:t>
      </w:r>
      <w:r w:rsidRPr="0040325C">
        <w:rPr>
          <w:rFonts w:cs="Arial" w:hint="cs"/>
          <w:u w:val="single"/>
          <w:rtl/>
        </w:rPr>
        <w:t xml:space="preserve"> בשעת מיתה:</w:t>
      </w:r>
    </w:p>
    <w:p w14:paraId="019AA107" w14:textId="77777777" w:rsidR="004B607F" w:rsidRPr="0040325C" w:rsidRDefault="004B607F" w:rsidP="004B0475">
      <w:pPr>
        <w:pStyle w:val="ac"/>
        <w:numPr>
          <w:ilvl w:val="0"/>
          <w:numId w:val="95"/>
        </w:numPr>
        <w:rPr>
          <w:rFonts w:cs="Arial"/>
          <w:rtl/>
        </w:rPr>
      </w:pPr>
      <w:r>
        <w:rPr>
          <w:rFonts w:cs="Arial" w:hint="cs"/>
          <w:rtl/>
        </w:rPr>
        <w:t xml:space="preserve">טור- </w:t>
      </w:r>
      <w:r w:rsidRPr="00377E81">
        <w:rPr>
          <w:rFonts w:cs="Arial"/>
          <w:rtl/>
        </w:rPr>
        <w:t>הא דנאמן לומר משטה הייתי בך דווקא שלא תבעו בשעת מיתה</w:t>
      </w:r>
      <w:r>
        <w:rPr>
          <w:rFonts w:cs="Arial" w:hint="cs"/>
          <w:rtl/>
        </w:rPr>
        <w:t>,</w:t>
      </w:r>
      <w:r w:rsidRPr="00377E81">
        <w:rPr>
          <w:rFonts w:cs="Arial"/>
          <w:rtl/>
        </w:rPr>
        <w:t xml:space="preserve"> אבל תבעו בשעת מיתה והודה לו </w:t>
      </w:r>
      <w:r>
        <w:rPr>
          <w:rFonts w:cs="Arial" w:hint="cs"/>
          <w:rtl/>
        </w:rPr>
        <w:t xml:space="preserve">- </w:t>
      </w:r>
      <w:r w:rsidRPr="00377E81">
        <w:rPr>
          <w:rFonts w:cs="Arial"/>
          <w:rtl/>
        </w:rPr>
        <w:t>בניו חייבים לשלם אפילו לא אמר אתם עדים</w:t>
      </w:r>
      <w:r>
        <w:rPr>
          <w:rFonts w:cs="Arial" w:hint="cs"/>
          <w:rtl/>
        </w:rPr>
        <w:t>,</w:t>
      </w:r>
      <w:r w:rsidRPr="00377E81">
        <w:rPr>
          <w:rFonts w:cs="Arial"/>
          <w:rtl/>
        </w:rPr>
        <w:t xml:space="preserve"> דאין אדם משטה בשעת מיתה</w:t>
      </w:r>
      <w:r>
        <w:rPr>
          <w:rFonts w:cs="Arial" w:hint="cs"/>
          <w:rtl/>
        </w:rPr>
        <w:t>.</w:t>
      </w:r>
      <w:r w:rsidRPr="00504D94">
        <w:rPr>
          <w:rFonts w:cs="Arial" w:hint="cs"/>
          <w:color w:val="E36C0A" w:themeColor="accent6" w:themeShade="BF"/>
          <w:rtl/>
        </w:rPr>
        <w:t xml:space="preserve"> </w:t>
      </w:r>
      <w:r w:rsidRPr="0032591F">
        <w:rPr>
          <w:rFonts w:cs="Arial" w:hint="cs"/>
          <w:color w:val="E36C0A" w:themeColor="accent6" w:themeShade="BF"/>
          <w:rtl/>
        </w:rPr>
        <w:t>(וכ"פ בשו"ע</w:t>
      </w:r>
      <w:r>
        <w:rPr>
          <w:rFonts w:cs="Arial" w:hint="cs"/>
          <w:sz w:val="16"/>
          <w:szCs w:val="16"/>
          <w:rtl/>
        </w:rPr>
        <w:t xml:space="preserve"> [סי' פא סע' ב]</w:t>
      </w:r>
      <w:r w:rsidRPr="0032591F">
        <w:rPr>
          <w:rFonts w:cs="Arial" w:hint="cs"/>
          <w:color w:val="E36C0A" w:themeColor="accent6" w:themeShade="BF"/>
          <w:rtl/>
        </w:rPr>
        <w:t>)</w:t>
      </w:r>
    </w:p>
    <w:p w14:paraId="24203168" w14:textId="77777777" w:rsidR="004B607F" w:rsidRPr="00377E81" w:rsidRDefault="004B607F" w:rsidP="004B607F">
      <w:pPr>
        <w:ind w:left="360"/>
        <w:rPr>
          <w:rFonts w:cs="Arial"/>
          <w:u w:val="dotted"/>
        </w:rPr>
      </w:pPr>
      <w:r w:rsidRPr="00377E81">
        <w:rPr>
          <w:rFonts w:cs="Arial" w:hint="cs"/>
          <w:u w:val="dotted"/>
          <w:rtl/>
        </w:rPr>
        <w:t>מה מיקרי שעת מיתה:</w:t>
      </w:r>
    </w:p>
    <w:p w14:paraId="02142E8A" w14:textId="77777777" w:rsidR="004B607F" w:rsidRDefault="004B607F" w:rsidP="004B0475">
      <w:pPr>
        <w:pStyle w:val="ac"/>
        <w:numPr>
          <w:ilvl w:val="0"/>
          <w:numId w:val="95"/>
        </w:numPr>
        <w:rPr>
          <w:rFonts w:cs="Arial"/>
        </w:rPr>
      </w:pPr>
      <w:r>
        <w:rPr>
          <w:rFonts w:cs="Arial" w:hint="cs"/>
          <w:rtl/>
        </w:rPr>
        <w:t xml:space="preserve">ב"י- </w:t>
      </w:r>
      <w:r w:rsidRPr="00377E81">
        <w:rPr>
          <w:rFonts w:cs="Arial"/>
          <w:rtl/>
        </w:rPr>
        <w:t>נראה לי שכל שהוא חולה מושכב על מטתו מיקרי שעת מיתה</w:t>
      </w:r>
      <w:r w:rsidRPr="00377E81">
        <w:rPr>
          <w:rFonts w:cs="Arial" w:hint="cs"/>
          <w:rtl/>
        </w:rPr>
        <w:t>,</w:t>
      </w:r>
      <w:r w:rsidRPr="00377E81">
        <w:rPr>
          <w:rFonts w:cs="Arial"/>
          <w:rtl/>
        </w:rPr>
        <w:t xml:space="preserve"> שהרי בשכיב מרע איתמר האי דינא</w:t>
      </w:r>
      <w:r>
        <w:rPr>
          <w:rFonts w:cs="Arial" w:hint="cs"/>
          <w:rtl/>
        </w:rPr>
        <w:t>,</w:t>
      </w:r>
      <w:r w:rsidRPr="00377E81">
        <w:rPr>
          <w:rFonts w:cs="Arial"/>
          <w:rtl/>
        </w:rPr>
        <w:t xml:space="preserve"> וכל שהוא חולה מושכב על מיטתו מיקרי שכיב מרע</w:t>
      </w:r>
      <w:r>
        <w:rPr>
          <w:rFonts w:cs="Arial" w:hint="cs"/>
          <w:rtl/>
        </w:rPr>
        <w:t>.</w:t>
      </w:r>
      <w:r w:rsidRPr="00377E81">
        <w:rPr>
          <w:rFonts w:cs="Arial"/>
          <w:rtl/>
        </w:rPr>
        <w:t xml:space="preserve"> וכן אם הוא מסוכן אע</w:t>
      </w:r>
      <w:r w:rsidRPr="00377E81">
        <w:rPr>
          <w:rFonts w:cs="Arial" w:hint="cs"/>
          <w:rtl/>
        </w:rPr>
        <w:t>"</w:t>
      </w:r>
      <w:r w:rsidRPr="00377E81">
        <w:rPr>
          <w:rFonts w:cs="Arial"/>
          <w:rtl/>
        </w:rPr>
        <w:t xml:space="preserve">פ שהולך על רגליו. </w:t>
      </w:r>
    </w:p>
    <w:p w14:paraId="5B4A153F" w14:textId="77777777" w:rsidR="004B607F" w:rsidRPr="00377E81" w:rsidRDefault="004B607F" w:rsidP="004B607F">
      <w:pPr>
        <w:rPr>
          <w:rFonts w:cs="Arial"/>
          <w:u w:val="single"/>
          <w:rtl/>
        </w:rPr>
      </w:pPr>
      <w:r w:rsidRPr="00377E81">
        <w:rPr>
          <w:rFonts w:cs="Arial" w:hint="cs"/>
          <w:u w:val="single"/>
          <w:rtl/>
        </w:rPr>
        <w:t>אב שהודה</w:t>
      </w:r>
      <w:r>
        <w:rPr>
          <w:rFonts w:cs="Arial" w:hint="cs"/>
          <w:sz w:val="16"/>
          <w:szCs w:val="16"/>
          <w:u w:val="single"/>
          <w:rtl/>
        </w:rPr>
        <w:t xml:space="preserve"> </w:t>
      </w:r>
      <w:r w:rsidRPr="00521617">
        <w:rPr>
          <w:rFonts w:cs="Arial" w:hint="cs"/>
          <w:b/>
          <w:bCs/>
          <w:u w:val="single"/>
          <w:rtl/>
        </w:rPr>
        <w:t>שלא בשעת מיתה</w:t>
      </w:r>
      <w:r w:rsidRPr="00377E81">
        <w:rPr>
          <w:rFonts w:cs="Arial" w:hint="cs"/>
          <w:u w:val="single"/>
          <w:rtl/>
        </w:rPr>
        <w:t xml:space="preserve"> ומת -</w:t>
      </w:r>
      <w:r>
        <w:rPr>
          <w:rFonts w:cs="Arial" w:hint="cs"/>
          <w:u w:val="single"/>
          <w:rtl/>
        </w:rPr>
        <w:t xml:space="preserve"> </w:t>
      </w:r>
      <w:r w:rsidRPr="00377E81">
        <w:rPr>
          <w:rFonts w:cs="Arial" w:hint="cs"/>
          <w:u w:val="single"/>
          <w:rtl/>
        </w:rPr>
        <w:t xml:space="preserve">האם </w:t>
      </w:r>
      <w:r>
        <w:rPr>
          <w:rFonts w:cs="Arial" w:hint="cs"/>
          <w:u w:val="single"/>
          <w:rtl/>
        </w:rPr>
        <w:t xml:space="preserve">הדיינים </w:t>
      </w:r>
      <w:r w:rsidRPr="00377E81">
        <w:rPr>
          <w:rFonts w:cs="Arial" w:hint="cs"/>
          <w:u w:val="single"/>
          <w:rtl/>
        </w:rPr>
        <w:t>ט</w:t>
      </w:r>
      <w:r>
        <w:rPr>
          <w:rFonts w:cs="Arial" w:hint="cs"/>
          <w:u w:val="single"/>
          <w:rtl/>
        </w:rPr>
        <w:t>ו</w:t>
      </w:r>
      <w:r w:rsidRPr="00377E81">
        <w:rPr>
          <w:rFonts w:cs="Arial" w:hint="cs"/>
          <w:u w:val="single"/>
          <w:rtl/>
        </w:rPr>
        <w:t>עני</w:t>
      </w:r>
      <w:r>
        <w:rPr>
          <w:rFonts w:cs="Arial" w:hint="cs"/>
          <w:u w:val="single"/>
          <w:rtl/>
        </w:rPr>
        <w:t>ם טענת השטאה</w:t>
      </w:r>
      <w:r w:rsidRPr="00377E81">
        <w:rPr>
          <w:rFonts w:cs="Arial" w:hint="cs"/>
          <w:u w:val="single"/>
          <w:rtl/>
        </w:rPr>
        <w:t xml:space="preserve"> לבניו: </w:t>
      </w:r>
    </w:p>
    <w:p w14:paraId="441E016B" w14:textId="77777777" w:rsidR="004B607F" w:rsidRDefault="004B607F" w:rsidP="004B0475">
      <w:pPr>
        <w:pStyle w:val="ac"/>
        <w:numPr>
          <w:ilvl w:val="0"/>
          <w:numId w:val="95"/>
        </w:numPr>
        <w:rPr>
          <w:rFonts w:cs="Arial"/>
        </w:rPr>
      </w:pPr>
      <w:r w:rsidRPr="00377E81">
        <w:rPr>
          <w:rFonts w:cs="Arial"/>
          <w:rtl/>
        </w:rPr>
        <w:t>תוס</w:t>
      </w:r>
      <w:r w:rsidRPr="00377E81">
        <w:rPr>
          <w:rFonts w:cs="Arial" w:hint="cs"/>
          <w:rtl/>
        </w:rPr>
        <w:t xml:space="preserve">' </w:t>
      </w:r>
      <w:r w:rsidRPr="00377E81">
        <w:rPr>
          <w:rFonts w:cs="Arial" w:hint="cs"/>
          <w:sz w:val="16"/>
          <w:szCs w:val="16"/>
          <w:rtl/>
        </w:rPr>
        <w:t>(</w:t>
      </w:r>
      <w:r w:rsidRPr="00377E81">
        <w:rPr>
          <w:rFonts w:cs="Arial"/>
          <w:sz w:val="16"/>
          <w:szCs w:val="16"/>
          <w:rtl/>
        </w:rPr>
        <w:t>פרק זה בורר כט: ד"ה כך)</w:t>
      </w:r>
      <w:r w:rsidRPr="00377E81">
        <w:rPr>
          <w:rFonts w:cs="Arial"/>
          <w:rtl/>
        </w:rPr>
        <w:t xml:space="preserve"> מרדכי</w:t>
      </w:r>
      <w:r w:rsidRPr="00377E81">
        <w:rPr>
          <w:rFonts w:cs="Arial"/>
          <w:sz w:val="16"/>
          <w:szCs w:val="16"/>
          <w:rtl/>
        </w:rPr>
        <w:t xml:space="preserve"> (סי' תשו)</w:t>
      </w:r>
      <w:r w:rsidRPr="00377E81">
        <w:rPr>
          <w:rFonts w:cs="Arial" w:hint="cs"/>
          <w:sz w:val="16"/>
          <w:szCs w:val="16"/>
          <w:rtl/>
        </w:rPr>
        <w:t xml:space="preserve"> </w:t>
      </w:r>
      <w:r w:rsidRPr="00377E81">
        <w:rPr>
          <w:rFonts w:cs="Arial"/>
          <w:rtl/>
        </w:rPr>
        <w:t xml:space="preserve">רא"ש </w:t>
      </w:r>
      <w:r w:rsidRPr="00377E81">
        <w:rPr>
          <w:rFonts w:cs="Arial"/>
          <w:sz w:val="16"/>
          <w:szCs w:val="16"/>
          <w:rtl/>
        </w:rPr>
        <w:t>(סי' כה)</w:t>
      </w:r>
      <w:r>
        <w:rPr>
          <w:rFonts w:cs="Arial" w:hint="cs"/>
          <w:rtl/>
        </w:rPr>
        <w:t xml:space="preserve"> וטור-</w:t>
      </w:r>
      <w:r w:rsidRPr="00377E81">
        <w:rPr>
          <w:rFonts w:cs="Arial" w:hint="cs"/>
          <w:rtl/>
        </w:rPr>
        <w:t xml:space="preserve"> </w:t>
      </w:r>
      <w:r>
        <w:rPr>
          <w:rFonts w:cs="Arial" w:hint="cs"/>
          <w:rtl/>
        </w:rPr>
        <w:t xml:space="preserve">אע"ג דאמרינן לעיל דטענת משטה לא טענינן ליה </w:t>
      </w:r>
      <w:r>
        <w:rPr>
          <w:rFonts w:cs="Arial"/>
          <w:rtl/>
        </w:rPr>
        <w:t>–</w:t>
      </w:r>
      <w:r>
        <w:rPr>
          <w:rFonts w:cs="Arial" w:hint="cs"/>
          <w:rtl/>
        </w:rPr>
        <w:t xml:space="preserve"> לבניו טענינן</w:t>
      </w:r>
      <w:r>
        <w:rPr>
          <w:rStyle w:val="ab"/>
          <w:rFonts w:cs="Arial"/>
          <w:rtl/>
        </w:rPr>
        <w:footnoteReference w:id="1814"/>
      </w:r>
      <w:r>
        <w:rPr>
          <w:rFonts w:cs="Arial" w:hint="cs"/>
          <w:sz w:val="16"/>
          <w:szCs w:val="16"/>
          <w:rtl/>
        </w:rPr>
        <w:t xml:space="preserve"> (ל' התוס')</w:t>
      </w:r>
      <w:r w:rsidRPr="00377E81">
        <w:rPr>
          <w:rFonts w:cs="Arial"/>
          <w:rtl/>
        </w:rPr>
        <w:t xml:space="preserve">. </w:t>
      </w:r>
      <w:r>
        <w:rPr>
          <w:rFonts w:cs="Arial" w:hint="cs"/>
          <w:rtl/>
        </w:rPr>
        <w:t>לפיכך</w:t>
      </w:r>
      <w:r w:rsidRPr="00377E81">
        <w:rPr>
          <w:rFonts w:cs="Arial"/>
          <w:rtl/>
        </w:rPr>
        <w:t xml:space="preserve"> אם תבעו שלא בשעת מיתה</w:t>
      </w:r>
      <w:r>
        <w:rPr>
          <w:rFonts w:cs="Arial" w:hint="cs"/>
          <w:rtl/>
        </w:rPr>
        <w:t>,</w:t>
      </w:r>
      <w:r w:rsidRPr="00377E81">
        <w:rPr>
          <w:rFonts w:cs="Arial"/>
          <w:rtl/>
        </w:rPr>
        <w:t xml:space="preserve"> ובא זה ותבע ליורשין</w:t>
      </w:r>
      <w:r>
        <w:rPr>
          <w:rFonts w:cs="Arial" w:hint="cs"/>
          <w:rtl/>
        </w:rPr>
        <w:t xml:space="preserve"> -</w:t>
      </w:r>
      <w:r w:rsidRPr="00377E81">
        <w:rPr>
          <w:rFonts w:cs="Arial"/>
          <w:rtl/>
        </w:rPr>
        <w:t xml:space="preserve"> טוענין להם שאביהם היה משטה בו</w:t>
      </w:r>
      <w:r>
        <w:rPr>
          <w:rFonts w:cs="Arial" w:hint="cs"/>
          <w:rtl/>
        </w:rPr>
        <w:t>,</w:t>
      </w:r>
      <w:r w:rsidRPr="00377E81">
        <w:rPr>
          <w:rFonts w:cs="Arial"/>
          <w:rtl/>
        </w:rPr>
        <w:t xml:space="preserve"> אע</w:t>
      </w:r>
      <w:r>
        <w:rPr>
          <w:rFonts w:cs="Arial" w:hint="cs"/>
          <w:rtl/>
        </w:rPr>
        <w:t>"</w:t>
      </w:r>
      <w:r w:rsidRPr="00377E81">
        <w:rPr>
          <w:rFonts w:cs="Arial"/>
          <w:rtl/>
        </w:rPr>
        <w:t>פ שלא היינו טוענין לו אם היה קיים אביהן אם לא שיטעון בעצמו</w:t>
      </w:r>
      <w:r>
        <w:rPr>
          <w:rFonts w:cs="Arial" w:hint="cs"/>
          <w:rtl/>
        </w:rPr>
        <w:t xml:space="preserve"> -</w:t>
      </w:r>
      <w:r w:rsidRPr="00377E81">
        <w:rPr>
          <w:rFonts w:cs="Arial"/>
          <w:rtl/>
        </w:rPr>
        <w:t xml:space="preserve"> ליתומים טענינן כל מה שאביהן היה יכול לטעון</w:t>
      </w:r>
      <w:r>
        <w:rPr>
          <w:rFonts w:cs="Arial" w:hint="cs"/>
          <w:sz w:val="16"/>
          <w:szCs w:val="16"/>
          <w:rtl/>
        </w:rPr>
        <w:t xml:space="preserve"> (ל' הטור)</w:t>
      </w:r>
      <w:r>
        <w:rPr>
          <w:rFonts w:cs="Arial" w:hint="cs"/>
          <w:rtl/>
        </w:rPr>
        <w:t>.</w:t>
      </w:r>
      <w:r w:rsidRPr="00504D94">
        <w:rPr>
          <w:rFonts w:cs="Arial" w:hint="cs"/>
          <w:color w:val="E36C0A" w:themeColor="accent6" w:themeShade="BF"/>
          <w:rtl/>
        </w:rPr>
        <w:t xml:space="preserve"> </w:t>
      </w:r>
      <w:r w:rsidRPr="0032591F">
        <w:rPr>
          <w:rFonts w:cs="Arial" w:hint="cs"/>
          <w:color w:val="E36C0A" w:themeColor="accent6" w:themeShade="BF"/>
          <w:rtl/>
        </w:rPr>
        <w:t>(וכ"פ בשו"ע</w:t>
      </w:r>
      <w:r>
        <w:rPr>
          <w:rFonts w:cs="Arial" w:hint="cs"/>
          <w:sz w:val="16"/>
          <w:szCs w:val="16"/>
          <w:rtl/>
        </w:rPr>
        <w:t xml:space="preserve"> [סי' פא סע' ג]</w:t>
      </w:r>
      <w:r w:rsidRPr="0032591F">
        <w:rPr>
          <w:rFonts w:cs="Arial" w:hint="cs"/>
          <w:color w:val="E36C0A" w:themeColor="accent6" w:themeShade="BF"/>
          <w:rtl/>
        </w:rPr>
        <w:t>)</w:t>
      </w:r>
    </w:p>
    <w:p w14:paraId="4E2951C4" w14:textId="77777777" w:rsidR="004B607F" w:rsidRPr="00377E81" w:rsidRDefault="004B607F" w:rsidP="004B607F">
      <w:pPr>
        <w:rPr>
          <w:rFonts w:cs="Arial"/>
          <w:u w:val="single"/>
        </w:rPr>
      </w:pPr>
      <w:r w:rsidRPr="00377E81">
        <w:rPr>
          <w:rFonts w:cs="Arial" w:hint="cs"/>
          <w:u w:val="single"/>
          <w:rtl/>
        </w:rPr>
        <w:t xml:space="preserve">אב שהודה בשעת מיתה ולבסוף קם על </w:t>
      </w:r>
      <w:r>
        <w:rPr>
          <w:rFonts w:cs="Arial" w:hint="cs"/>
          <w:u w:val="single"/>
          <w:rtl/>
        </w:rPr>
        <w:t>מחוליו</w:t>
      </w:r>
      <w:r w:rsidRPr="00377E81">
        <w:rPr>
          <w:rFonts w:cs="Arial" w:hint="cs"/>
          <w:u w:val="single"/>
          <w:rtl/>
        </w:rPr>
        <w:t>:</w:t>
      </w:r>
    </w:p>
    <w:p w14:paraId="2232BBA0" w14:textId="77777777" w:rsidR="004B607F" w:rsidRPr="00377E81" w:rsidRDefault="004B607F" w:rsidP="004B0475">
      <w:pPr>
        <w:pStyle w:val="ac"/>
        <w:numPr>
          <w:ilvl w:val="0"/>
          <w:numId w:val="95"/>
        </w:numPr>
        <w:rPr>
          <w:rFonts w:cs="Arial"/>
          <w:rtl/>
        </w:rPr>
      </w:pPr>
      <w:r>
        <w:rPr>
          <w:rFonts w:cs="Arial" w:hint="cs"/>
          <w:rtl/>
        </w:rPr>
        <w:t xml:space="preserve">ב"י- </w:t>
      </w:r>
      <w:r w:rsidRPr="00377E81">
        <w:rPr>
          <w:rFonts w:cs="Arial"/>
          <w:rtl/>
        </w:rPr>
        <w:t xml:space="preserve">נראה לי עוד שאם הודה בשעת מיתה אפילו קם על רגליו ותבעו </w:t>
      </w:r>
      <w:r>
        <w:rPr>
          <w:rFonts w:cs="Arial" w:hint="cs"/>
          <w:rtl/>
        </w:rPr>
        <w:t xml:space="preserve">- </w:t>
      </w:r>
      <w:r w:rsidRPr="00377E81">
        <w:rPr>
          <w:rFonts w:cs="Arial"/>
          <w:rtl/>
        </w:rPr>
        <w:t>חייב לשלם לו</w:t>
      </w:r>
      <w:r>
        <w:rPr>
          <w:rFonts w:cs="Arial" w:hint="cs"/>
          <w:rtl/>
        </w:rPr>
        <w:t>,</w:t>
      </w:r>
      <w:r w:rsidRPr="00377E81">
        <w:rPr>
          <w:rFonts w:cs="Arial"/>
          <w:rtl/>
        </w:rPr>
        <w:t xml:space="preserve"> דהא אין אדם משטה בשעת מיתה</w:t>
      </w:r>
      <w:r>
        <w:rPr>
          <w:rFonts w:cs="Arial" w:hint="cs"/>
          <w:rtl/>
        </w:rPr>
        <w:t>.</w:t>
      </w:r>
      <w:r w:rsidRPr="00377E81">
        <w:rPr>
          <w:rFonts w:cs="Arial"/>
          <w:rtl/>
        </w:rPr>
        <w:t xml:space="preserve"> ודבר פשוט הוא</w:t>
      </w:r>
      <w:r>
        <w:rPr>
          <w:rFonts w:cs="Arial" w:hint="cs"/>
          <w:rtl/>
        </w:rPr>
        <w:t>,</w:t>
      </w:r>
      <w:r w:rsidRPr="00377E81">
        <w:rPr>
          <w:rFonts w:cs="Arial"/>
          <w:rtl/>
        </w:rPr>
        <w:t xml:space="preserve"> שהרי אם היה הוא יכול לטעון כן היינו אנו טוענים ליורשים. </w:t>
      </w:r>
    </w:p>
    <w:p w14:paraId="0F54A06D" w14:textId="77777777" w:rsidR="004B607F" w:rsidRDefault="004B607F" w:rsidP="004B607F">
      <w:pPr>
        <w:rPr>
          <w:rFonts w:cs="Arial"/>
          <w:rtl/>
        </w:rPr>
      </w:pPr>
      <w:r w:rsidRPr="00377E81">
        <w:rPr>
          <w:rFonts w:cs="Arial" w:hint="cs"/>
          <w:u w:val="single"/>
          <w:rtl/>
        </w:rPr>
        <w:t>טענת השטאה של ציבור:</w:t>
      </w:r>
    </w:p>
    <w:p w14:paraId="3C9B2B06" w14:textId="77777777" w:rsidR="004B607F" w:rsidRPr="008C367D" w:rsidRDefault="004B607F" w:rsidP="004B0475">
      <w:pPr>
        <w:pStyle w:val="ac"/>
        <w:numPr>
          <w:ilvl w:val="0"/>
          <w:numId w:val="95"/>
        </w:numPr>
      </w:pPr>
      <w:r w:rsidRPr="00377E81">
        <w:rPr>
          <w:rFonts w:cs="Arial"/>
          <w:rtl/>
        </w:rPr>
        <w:t>ריב"ש</w:t>
      </w:r>
      <w:r w:rsidRPr="00377E81">
        <w:rPr>
          <w:rFonts w:cs="Arial"/>
          <w:sz w:val="16"/>
          <w:szCs w:val="16"/>
          <w:rtl/>
        </w:rPr>
        <w:t xml:space="preserve"> </w:t>
      </w:r>
      <w:r w:rsidRPr="00377E81">
        <w:rPr>
          <w:rFonts w:cs="Arial" w:hint="cs"/>
          <w:sz w:val="16"/>
          <w:szCs w:val="16"/>
          <w:rtl/>
        </w:rPr>
        <w:t>(</w:t>
      </w:r>
      <w:r w:rsidRPr="00377E81">
        <w:rPr>
          <w:rFonts w:cs="Arial"/>
          <w:sz w:val="16"/>
          <w:szCs w:val="16"/>
          <w:rtl/>
        </w:rPr>
        <w:t>סי</w:t>
      </w:r>
      <w:r w:rsidRPr="00377E81">
        <w:rPr>
          <w:rFonts w:cs="Arial" w:hint="cs"/>
          <w:sz w:val="16"/>
          <w:szCs w:val="16"/>
          <w:rtl/>
        </w:rPr>
        <w:t>'</w:t>
      </w:r>
      <w:r w:rsidRPr="00377E81">
        <w:rPr>
          <w:rFonts w:cs="Arial"/>
          <w:sz w:val="16"/>
          <w:szCs w:val="16"/>
          <w:rtl/>
        </w:rPr>
        <w:t xml:space="preserve"> תעו)</w:t>
      </w:r>
      <w:r w:rsidRPr="00377E81">
        <w:rPr>
          <w:rFonts w:cs="Arial" w:hint="cs"/>
          <w:rtl/>
        </w:rPr>
        <w:t xml:space="preserve">- </w:t>
      </w:r>
      <w:r w:rsidRPr="00377E81">
        <w:rPr>
          <w:rFonts w:cs="Arial"/>
          <w:rtl/>
        </w:rPr>
        <w:t>טענת השטאה לא נאמרה אלא ביחיד ולא ברוב צבור המודים שאין דרך הצבור להשטות</w:t>
      </w:r>
      <w:r w:rsidRPr="00377E81">
        <w:rPr>
          <w:rFonts w:cs="Arial" w:hint="cs"/>
          <w:rtl/>
        </w:rPr>
        <w:t>.</w:t>
      </w:r>
      <w:r>
        <w:rPr>
          <w:rFonts w:hint="cs"/>
          <w:rtl/>
        </w:rPr>
        <w:t xml:space="preserve"> </w:t>
      </w:r>
      <w:r w:rsidRPr="00504D94">
        <w:rPr>
          <w:rFonts w:cs="Arial" w:hint="cs"/>
          <w:color w:val="00B0F0"/>
          <w:rtl/>
        </w:rPr>
        <w:t>(וכ"פ הרמ"א</w:t>
      </w:r>
      <w:r>
        <w:rPr>
          <w:rFonts w:cs="Arial" w:hint="cs"/>
          <w:sz w:val="16"/>
          <w:szCs w:val="16"/>
          <w:rtl/>
        </w:rPr>
        <w:t xml:space="preserve"> [סי' פא סע' א]</w:t>
      </w:r>
      <w:r w:rsidRPr="00504D94">
        <w:rPr>
          <w:rFonts w:cs="Arial" w:hint="cs"/>
          <w:color w:val="00B0F0"/>
          <w:rtl/>
        </w:rPr>
        <w:t>)</w:t>
      </w:r>
    </w:p>
    <w:p w14:paraId="27CE4C37" w14:textId="77777777" w:rsidR="004B607F" w:rsidRPr="008C367D" w:rsidRDefault="004B607F" w:rsidP="004B607F">
      <w:pPr>
        <w:rPr>
          <w:rtl/>
        </w:rPr>
      </w:pPr>
      <w:r w:rsidRPr="00E133FD">
        <w:rPr>
          <w:rFonts w:cs="Arial" w:hint="cs"/>
          <w:b/>
          <w:bCs/>
          <w:rtl/>
        </w:rPr>
        <w:t xml:space="preserve">סנהדרין </w:t>
      </w:r>
      <w:r w:rsidRPr="00E133FD">
        <w:rPr>
          <w:rFonts w:cs="Arial" w:hint="cs"/>
          <w:b/>
          <w:bCs/>
          <w:sz w:val="16"/>
          <w:szCs w:val="16"/>
          <w:rtl/>
        </w:rPr>
        <w:t xml:space="preserve">(פרק זה בורר) </w:t>
      </w:r>
      <w:r w:rsidRPr="00E133FD">
        <w:rPr>
          <w:rFonts w:cs="Arial" w:hint="cs"/>
          <w:b/>
          <w:bCs/>
          <w:rtl/>
        </w:rPr>
        <w:t>כט</w:t>
      </w:r>
      <w:r>
        <w:rPr>
          <w:rStyle w:val="ab"/>
          <w:rFonts w:cs="Arial"/>
          <w:b/>
          <w:bCs/>
          <w:rtl/>
        </w:rPr>
        <w:footnoteReference w:id="1815"/>
      </w:r>
      <w:r w:rsidRPr="00E133FD">
        <w:rPr>
          <w:rFonts w:cs="Arial" w:hint="cs"/>
          <w:b/>
          <w:bCs/>
          <w:rtl/>
        </w:rPr>
        <w:t xml:space="preserve"> ע"</w:t>
      </w:r>
      <w:r>
        <w:rPr>
          <w:rFonts w:cs="Arial" w:hint="cs"/>
          <w:b/>
          <w:bCs/>
          <w:rtl/>
        </w:rPr>
        <w:t>א</w:t>
      </w:r>
      <w:r w:rsidRPr="00E133FD">
        <w:rPr>
          <w:rFonts w:cs="Arial" w:hint="cs"/>
          <w:b/>
          <w:bCs/>
          <w:rtl/>
        </w:rPr>
        <w:t xml:space="preserve">: </w:t>
      </w:r>
      <w:r w:rsidRPr="0093397C">
        <w:rPr>
          <w:rFonts w:cs="Arial"/>
          <w:u w:val="double"/>
          <w:rtl/>
        </w:rPr>
        <w:t>משנה</w:t>
      </w:r>
      <w:r w:rsidRPr="0093397C">
        <w:rPr>
          <w:rFonts w:cs="Arial" w:hint="cs"/>
          <w:rtl/>
        </w:rPr>
        <w:t>:</w:t>
      </w:r>
      <w:r w:rsidRPr="0093397C">
        <w:rPr>
          <w:rFonts w:cs="Arial"/>
          <w:rtl/>
        </w:rPr>
        <w:t xml:space="preserve"> כיצד בודקים את העדים?</w:t>
      </w:r>
      <w:r>
        <w:rPr>
          <w:rFonts w:cs="Arial" w:hint="cs"/>
          <w:rtl/>
        </w:rPr>
        <w:t>..</w:t>
      </w:r>
      <w:r w:rsidRPr="0093397C">
        <w:rPr>
          <w:rFonts w:cs="Arial"/>
          <w:rtl/>
        </w:rPr>
        <w:t>. אם אמר, הוא אמר לי</w:t>
      </w:r>
      <w:r>
        <w:rPr>
          <w:rStyle w:val="ab"/>
          <w:rFonts w:cs="Arial"/>
          <w:rtl/>
        </w:rPr>
        <w:footnoteReference w:id="1816"/>
      </w:r>
      <w:r w:rsidRPr="0093397C">
        <w:rPr>
          <w:rFonts w:cs="Arial"/>
          <w:rtl/>
        </w:rPr>
        <w:t xml:space="preserve"> שאני חייב לו, איש פלוני אמר לי שהוא חייב לו - לא אמר כלום</w:t>
      </w:r>
      <w:r>
        <w:rPr>
          <w:rStyle w:val="ab"/>
          <w:rFonts w:cs="Arial"/>
          <w:rtl/>
        </w:rPr>
        <w:footnoteReference w:id="1817"/>
      </w:r>
      <w:r w:rsidRPr="0093397C">
        <w:rPr>
          <w:rFonts w:cs="Arial"/>
          <w:rtl/>
        </w:rPr>
        <w:t>, עד שיאמר בפנינו הודה לו שהוא חייב לו מאתים זוז.</w:t>
      </w:r>
      <w:r>
        <w:rPr>
          <w:rFonts w:cs="Arial" w:hint="cs"/>
          <w:rtl/>
        </w:rPr>
        <w:t>.</w:t>
      </w:r>
      <w:r w:rsidRPr="0093397C">
        <w:rPr>
          <w:rFonts w:cs="Arial"/>
          <w:rtl/>
        </w:rPr>
        <w:t xml:space="preserve">. </w:t>
      </w:r>
      <w:r w:rsidRPr="0093397C">
        <w:rPr>
          <w:rFonts w:cs="Arial" w:hint="cs"/>
          <w:rtl/>
        </w:rPr>
        <w:t xml:space="preserve"> </w:t>
      </w:r>
      <w:r>
        <w:rPr>
          <w:rFonts w:cs="Arial" w:hint="cs"/>
          <w:rtl/>
        </w:rPr>
        <w:t xml:space="preserve">   </w:t>
      </w:r>
      <w:r>
        <w:rPr>
          <w:rFonts w:cs="Arial" w:hint="cs"/>
          <w:u w:val="double"/>
          <w:rtl/>
        </w:rPr>
        <w:t>גמרא</w:t>
      </w:r>
      <w:r w:rsidRPr="0093397C">
        <w:rPr>
          <w:rFonts w:cs="Arial" w:hint="cs"/>
          <w:rtl/>
        </w:rPr>
        <w:t>:</w:t>
      </w:r>
      <w:r>
        <w:rPr>
          <w:rFonts w:cs="Arial" w:hint="cs"/>
          <w:rtl/>
        </w:rPr>
        <w:t xml:space="preserve"> </w:t>
      </w:r>
      <w:r w:rsidRPr="0093397C">
        <w:rPr>
          <w:rFonts w:cs="Arial"/>
          <w:rtl/>
        </w:rPr>
        <w:t xml:space="preserve">אם אמר הוא אמר לי כו' עד שיאמרו בפנינו הודה לו שהוא חייב לו מאתים זוז. מסייע ליה לרב יהודה, </w:t>
      </w:r>
      <w:r w:rsidRPr="00F712F9">
        <w:rPr>
          <w:rFonts w:cs="Arial"/>
          <w:u w:val="single"/>
          <w:rtl/>
        </w:rPr>
        <w:t>דאמר רב יהודה אמר רב</w:t>
      </w:r>
      <w:r w:rsidRPr="0093397C">
        <w:rPr>
          <w:rFonts w:cs="Arial"/>
          <w:rtl/>
        </w:rPr>
        <w:t>: צריך שיאמר אתם עדיי</w:t>
      </w:r>
      <w:r>
        <w:rPr>
          <w:rStyle w:val="ab"/>
          <w:rFonts w:cs="Arial"/>
          <w:rtl/>
        </w:rPr>
        <w:footnoteReference w:id="1818"/>
      </w:r>
      <w:r w:rsidRPr="0093397C">
        <w:rPr>
          <w:rFonts w:cs="Arial"/>
          <w:rtl/>
        </w:rPr>
        <w:t>.</w:t>
      </w:r>
      <w:r>
        <w:rPr>
          <w:rFonts w:cs="Arial" w:hint="cs"/>
          <w:rtl/>
        </w:rPr>
        <w:t xml:space="preserve">.. </w:t>
      </w:r>
      <w:r>
        <w:rPr>
          <w:rFonts w:cs="Arial" w:hint="cs"/>
          <w:sz w:val="14"/>
          <w:szCs w:val="14"/>
          <w:rtl/>
        </w:rPr>
        <w:t>(כט:)</w:t>
      </w:r>
      <w:r>
        <w:rPr>
          <w:rFonts w:cs="Arial" w:hint="cs"/>
          <w:rtl/>
        </w:rPr>
        <w:t xml:space="preserve"> </w:t>
      </w:r>
      <w:r w:rsidRPr="00F712F9">
        <w:rPr>
          <w:rFonts w:cs="Arial"/>
          <w:u w:val="single"/>
          <w:rtl/>
        </w:rPr>
        <w:t>אמר רבינא ואיתימא רב פפא</w:t>
      </w:r>
      <w:r w:rsidRPr="00F712F9">
        <w:rPr>
          <w:rFonts w:cs="Arial"/>
          <w:rtl/>
        </w:rPr>
        <w:t>: שמע מינה מהא, הא דאמר רב יהודה אמר רב: צריך שיאמר אתם עדיי - לא שנא כי אמר לוה, ולא שנא כי אמר מלוה ושתיק לוה. טעמא דאמר לוה לא, אבל אי שתיק - הכי נמי.</w:t>
      </w:r>
      <w:r>
        <w:rPr>
          <w:rFonts w:cs="Arial" w:hint="cs"/>
          <w:rtl/>
        </w:rPr>
        <w:t xml:space="preserve"> </w:t>
      </w:r>
      <w:r w:rsidRPr="00E133FD">
        <w:rPr>
          <w:rFonts w:cs="Arial"/>
          <w:rtl/>
        </w:rPr>
        <w:t>ההוא דהוה קרו ליה קב רשו</w:t>
      </w:r>
      <w:r>
        <w:rPr>
          <w:rStyle w:val="ab"/>
          <w:rFonts w:cs="Arial"/>
          <w:rtl/>
        </w:rPr>
        <w:footnoteReference w:id="1819"/>
      </w:r>
      <w:r w:rsidRPr="00E133FD">
        <w:rPr>
          <w:rFonts w:cs="Arial"/>
          <w:rtl/>
        </w:rPr>
        <w:t>, אמר: מאן מסיק בי</w:t>
      </w:r>
      <w:r>
        <w:rPr>
          <w:rStyle w:val="ab"/>
          <w:rFonts w:cs="Arial"/>
          <w:rtl/>
        </w:rPr>
        <w:footnoteReference w:id="1820"/>
      </w:r>
      <w:r w:rsidRPr="00E133FD">
        <w:rPr>
          <w:rFonts w:cs="Arial"/>
          <w:rtl/>
        </w:rPr>
        <w:t xml:space="preserve"> אלא פלוני ופלוני. אתו תבעוהו לדינא קמיה דרב נחמן. </w:t>
      </w:r>
      <w:r w:rsidRPr="00E133FD">
        <w:rPr>
          <w:rFonts w:cs="Arial"/>
          <w:u w:val="single"/>
          <w:rtl/>
        </w:rPr>
        <w:t>אמר רב נחמן</w:t>
      </w:r>
      <w:r w:rsidRPr="00E133FD">
        <w:rPr>
          <w:rFonts w:cs="Arial"/>
          <w:rtl/>
        </w:rPr>
        <w:t>: אדם עשוי</w:t>
      </w:r>
      <w:r>
        <w:rPr>
          <w:rStyle w:val="ab"/>
          <w:rFonts w:cs="Arial"/>
          <w:rtl/>
        </w:rPr>
        <w:footnoteReference w:id="1821"/>
      </w:r>
      <w:r w:rsidRPr="00E133FD">
        <w:rPr>
          <w:rFonts w:cs="Arial"/>
          <w:rtl/>
        </w:rPr>
        <w:t xml:space="preserve"> שלא </w:t>
      </w:r>
      <w:bookmarkStart w:id="257" w:name="_Hlk528258075"/>
      <w:r w:rsidRPr="00E133FD">
        <w:rPr>
          <w:rFonts w:cs="Arial"/>
          <w:rtl/>
        </w:rPr>
        <w:t>ל</w:t>
      </w:r>
      <w:r w:rsidRPr="00E133FD">
        <w:rPr>
          <w:rFonts w:cs="Arial" w:hint="cs"/>
          <w:rtl/>
        </w:rPr>
        <w:t>ֵ</w:t>
      </w:r>
      <w:r w:rsidRPr="00E133FD">
        <w:rPr>
          <w:rFonts w:cs="Arial"/>
          <w:rtl/>
        </w:rPr>
        <w:t>ה</w:t>
      </w:r>
      <w:r w:rsidRPr="00E133FD">
        <w:rPr>
          <w:rFonts w:cs="Arial" w:hint="cs"/>
          <w:rtl/>
        </w:rPr>
        <w:t>ַ</w:t>
      </w:r>
      <w:r w:rsidRPr="00E133FD">
        <w:rPr>
          <w:rFonts w:cs="Arial"/>
          <w:rtl/>
        </w:rPr>
        <w:t>ש</w:t>
      </w:r>
      <w:r w:rsidRPr="00E133FD">
        <w:rPr>
          <w:rFonts w:cs="Arial" w:hint="cs"/>
          <w:rtl/>
        </w:rPr>
        <w:t>ְׂ</w:t>
      </w:r>
      <w:r w:rsidRPr="00E133FD">
        <w:rPr>
          <w:rFonts w:cs="Arial"/>
          <w:rtl/>
        </w:rPr>
        <w:t>ב</w:t>
      </w:r>
      <w:r w:rsidRPr="00E133FD">
        <w:rPr>
          <w:rFonts w:cs="Arial" w:hint="cs"/>
          <w:rtl/>
        </w:rPr>
        <w:t>ִּ</w:t>
      </w:r>
      <w:r w:rsidRPr="00E133FD">
        <w:rPr>
          <w:rFonts w:cs="Arial"/>
          <w:rtl/>
        </w:rPr>
        <w:t>יע</w:t>
      </w:r>
      <w:bookmarkEnd w:id="257"/>
      <w:r>
        <w:rPr>
          <w:rStyle w:val="ab"/>
          <w:rFonts w:cs="Arial"/>
          <w:rtl/>
        </w:rPr>
        <w:footnoteReference w:id="1822"/>
      </w:r>
      <w:r w:rsidRPr="00E133FD">
        <w:rPr>
          <w:rFonts w:cs="Arial"/>
          <w:rtl/>
        </w:rPr>
        <w:t xml:space="preserve"> את עצמו.</w:t>
      </w:r>
      <w:r w:rsidRPr="0085722B">
        <w:rPr>
          <w:rFonts w:cs="Arial" w:hint="cs"/>
          <w:b/>
          <w:bCs/>
          <w:rtl/>
        </w:rPr>
        <w:t xml:space="preserve"> </w:t>
      </w:r>
      <w:r w:rsidRPr="0086776C">
        <w:rPr>
          <w:rFonts w:cs="Arial"/>
          <w:rtl/>
        </w:rPr>
        <w:t>ההוא דהוו קרו ליה עכברא דשכיב אדינרי</w:t>
      </w:r>
      <w:r>
        <w:rPr>
          <w:rStyle w:val="ab"/>
          <w:rFonts w:cs="Arial"/>
          <w:rtl/>
        </w:rPr>
        <w:footnoteReference w:id="1823"/>
      </w:r>
      <w:r w:rsidRPr="0086776C">
        <w:rPr>
          <w:rFonts w:cs="Arial"/>
          <w:rtl/>
        </w:rPr>
        <w:t xml:space="preserve">, כי קא שכיב אמר: פלניא ופלניא מסקו בי זוזי. בתר דשכיב אתו תבעינהו ליורשין. </w:t>
      </w:r>
      <w:r w:rsidRPr="00FE45F2">
        <w:rPr>
          <w:rFonts w:cs="Arial"/>
          <w:u w:val="single"/>
          <w:rtl/>
        </w:rPr>
        <w:t>אתו לקמיה דרבי ישמעאל ברבי יוסי אמר להו</w:t>
      </w:r>
      <w:r w:rsidRPr="0086776C">
        <w:rPr>
          <w:rFonts w:cs="Arial"/>
          <w:rtl/>
        </w:rPr>
        <w:t xml:space="preserve">: כי אמרינן אדם עשוי שלא להשביע את עצמו - הני מילי מחיים. אבל לאחר מיתה - לא. פרעו פלגא. תבעינהו לדינא לאידך פלגא. </w:t>
      </w:r>
      <w:r w:rsidRPr="00FE45F2">
        <w:rPr>
          <w:rFonts w:cs="Arial"/>
          <w:u w:val="single"/>
          <w:rtl/>
        </w:rPr>
        <w:t>אתו לקמיה דרבי חייא, אמר להו</w:t>
      </w:r>
      <w:r w:rsidRPr="0086776C">
        <w:rPr>
          <w:rFonts w:cs="Arial"/>
          <w:rtl/>
        </w:rPr>
        <w:t xml:space="preserve">: כשם שאדם עשוי שלא להשביע את עצמו - כך אדם עשוי שלא להשביע את בניו. </w:t>
      </w:r>
      <w:r w:rsidRPr="00FE45F2">
        <w:rPr>
          <w:rFonts w:cs="Arial"/>
          <w:u w:val="single"/>
          <w:rtl/>
        </w:rPr>
        <w:t>אמרו ליה</w:t>
      </w:r>
      <w:r w:rsidRPr="0086776C">
        <w:rPr>
          <w:rFonts w:cs="Arial"/>
          <w:rtl/>
        </w:rPr>
        <w:t>: ניזיל וניהדר</w:t>
      </w:r>
      <w:r>
        <w:rPr>
          <w:rStyle w:val="ab"/>
          <w:rFonts w:cs="Arial"/>
          <w:rtl/>
        </w:rPr>
        <w:footnoteReference w:id="1824"/>
      </w:r>
      <w:r w:rsidRPr="0086776C">
        <w:rPr>
          <w:rFonts w:cs="Arial"/>
          <w:rtl/>
        </w:rPr>
        <w:t xml:space="preserve">! </w:t>
      </w:r>
      <w:r w:rsidRPr="00FE45F2">
        <w:rPr>
          <w:rFonts w:cs="Arial"/>
          <w:u w:val="single"/>
          <w:rtl/>
        </w:rPr>
        <w:t>אמר להו</w:t>
      </w:r>
      <w:r w:rsidRPr="0086776C">
        <w:rPr>
          <w:rFonts w:cs="Arial"/>
          <w:rtl/>
        </w:rPr>
        <w:t>: כבר הורה זקן</w:t>
      </w:r>
      <w:r>
        <w:rPr>
          <w:rStyle w:val="ab"/>
          <w:rFonts w:cs="Arial"/>
          <w:rtl/>
        </w:rPr>
        <w:footnoteReference w:id="1825"/>
      </w:r>
      <w:r w:rsidRPr="0086776C">
        <w:rPr>
          <w:rFonts w:cs="Arial"/>
          <w:rtl/>
        </w:rPr>
        <w:t>.</w:t>
      </w:r>
    </w:p>
    <w:p w14:paraId="304E94F3" w14:textId="77777777" w:rsidR="004B607F" w:rsidRDefault="004B607F" w:rsidP="004B607F">
      <w:pPr>
        <w:rPr>
          <w:u w:val="single"/>
          <w:rtl/>
        </w:rPr>
      </w:pPr>
      <w:r w:rsidRPr="008C367D">
        <w:rPr>
          <w:rFonts w:hint="cs"/>
          <w:u w:val="single"/>
          <w:rtl/>
        </w:rPr>
        <w:lastRenderedPageBreak/>
        <w:t xml:space="preserve">אדם שהודה </w:t>
      </w:r>
      <w:r w:rsidRPr="00AE33AD">
        <w:rPr>
          <w:rFonts w:hint="cs"/>
          <w:b/>
          <w:bCs/>
          <w:u w:val="single"/>
          <w:rtl/>
        </w:rPr>
        <w:t>מעצמו</w:t>
      </w:r>
      <w:r w:rsidRPr="008C367D">
        <w:rPr>
          <w:rFonts w:hint="cs"/>
          <w:sz w:val="16"/>
          <w:szCs w:val="16"/>
          <w:u w:val="single"/>
          <w:rtl/>
        </w:rPr>
        <w:t xml:space="preserve"> (בלא שתבעו חברו תחילה)</w:t>
      </w:r>
      <w:r>
        <w:rPr>
          <w:rFonts w:hint="cs"/>
          <w:u w:val="single"/>
          <w:rtl/>
        </w:rPr>
        <w:t xml:space="preserve"> שיש לו חוב </w:t>
      </w:r>
      <w:r w:rsidRPr="008C367D">
        <w:rPr>
          <w:rFonts w:hint="cs"/>
          <w:u w:val="single"/>
          <w:rtl/>
        </w:rPr>
        <w:t>לחברו</w:t>
      </w:r>
      <w:r>
        <w:rPr>
          <w:rFonts w:hint="cs"/>
          <w:u w:val="single"/>
          <w:rtl/>
        </w:rPr>
        <w:t xml:space="preserve"> - בפני עדים ובפני האדם שהתחייב לו:</w:t>
      </w:r>
    </w:p>
    <w:p w14:paraId="51B5063E" w14:textId="77777777" w:rsidR="004B607F" w:rsidRPr="00B846F8" w:rsidRDefault="004B607F" w:rsidP="004B0475">
      <w:pPr>
        <w:pStyle w:val="ac"/>
        <w:numPr>
          <w:ilvl w:val="0"/>
          <w:numId w:val="95"/>
        </w:numPr>
        <w:rPr>
          <w:rFonts w:cs="Arial"/>
          <w:rtl/>
        </w:rPr>
      </w:pPr>
      <w:r>
        <w:rPr>
          <w:rFonts w:cs="Arial" w:hint="cs"/>
          <w:rtl/>
        </w:rPr>
        <w:t xml:space="preserve">רש"י ר"י </w:t>
      </w:r>
      <w:r w:rsidRPr="00CE49F5">
        <w:rPr>
          <w:rFonts w:cs="Arial"/>
          <w:rtl/>
        </w:rPr>
        <w:t>תוס</w:t>
      </w:r>
      <w:r>
        <w:rPr>
          <w:rFonts w:cs="Arial" w:hint="cs"/>
          <w:rtl/>
        </w:rPr>
        <w:t xml:space="preserve">' </w:t>
      </w:r>
      <w:r w:rsidRPr="00CE49F5">
        <w:rPr>
          <w:rFonts w:cs="Arial"/>
          <w:rtl/>
        </w:rPr>
        <w:t>מרדכי הגה</w:t>
      </w:r>
      <w:r>
        <w:rPr>
          <w:rFonts w:cs="Arial" w:hint="cs"/>
          <w:rtl/>
        </w:rPr>
        <w:t xml:space="preserve">"מ </w:t>
      </w:r>
      <w:r w:rsidRPr="00CE49F5">
        <w:rPr>
          <w:rFonts w:cs="Arial"/>
          <w:rtl/>
        </w:rPr>
        <w:t>רא"ש</w:t>
      </w:r>
      <w:r w:rsidRPr="00CE49F5">
        <w:rPr>
          <w:rFonts w:cs="Arial" w:hint="cs"/>
          <w:sz w:val="16"/>
          <w:szCs w:val="16"/>
          <w:rtl/>
        </w:rPr>
        <w:t xml:space="preserve"> </w:t>
      </w:r>
      <w:r>
        <w:rPr>
          <w:rFonts w:cs="Arial" w:hint="cs"/>
          <w:rtl/>
        </w:rPr>
        <w:t>ו</w:t>
      </w:r>
      <w:r w:rsidRPr="00CE49F5">
        <w:rPr>
          <w:rFonts w:cs="Arial" w:hint="cs"/>
          <w:rtl/>
        </w:rPr>
        <w:t>טור ונמוק"י</w:t>
      </w:r>
      <w:r>
        <w:rPr>
          <w:rStyle w:val="ab"/>
          <w:rFonts w:cs="Arial"/>
          <w:rtl/>
        </w:rPr>
        <w:footnoteReference w:id="1826"/>
      </w:r>
      <w:r w:rsidRPr="00CE49F5">
        <w:rPr>
          <w:rFonts w:cs="Arial" w:hint="cs"/>
          <w:rtl/>
        </w:rPr>
        <w:t>-</w:t>
      </w:r>
      <w:r w:rsidRPr="00557EFB">
        <w:rPr>
          <w:rFonts w:cs="Arial" w:hint="cs"/>
          <w:rtl/>
        </w:rPr>
        <w:t xml:space="preserve"> </w:t>
      </w:r>
      <w:r w:rsidRPr="00557EFB">
        <w:rPr>
          <w:rFonts w:cs="Arial"/>
          <w:rtl/>
        </w:rPr>
        <w:t xml:space="preserve">ראובן שתבע משמעון מנה והודה לו כן בפני עדים </w:t>
      </w:r>
      <w:r w:rsidRPr="00557EFB">
        <w:rPr>
          <w:rFonts w:cs="Arial" w:hint="cs"/>
          <w:rtl/>
        </w:rPr>
        <w:t xml:space="preserve">- </w:t>
      </w:r>
      <w:r w:rsidRPr="00557EFB">
        <w:rPr>
          <w:rFonts w:cs="Arial"/>
          <w:rtl/>
        </w:rPr>
        <w:t>אינם יכולין להעיד בשביל זה שחייב לו מנה</w:t>
      </w:r>
      <w:r w:rsidRPr="00557EFB">
        <w:rPr>
          <w:rFonts w:cs="Arial" w:hint="cs"/>
          <w:rtl/>
        </w:rPr>
        <w:t>,</w:t>
      </w:r>
      <w:r w:rsidRPr="00557EFB">
        <w:rPr>
          <w:rFonts w:cs="Arial"/>
          <w:rtl/>
        </w:rPr>
        <w:t xml:space="preserve"> ל"ש אם תבעו והודה לו ל"ש הודה לו בעצמו</w:t>
      </w:r>
      <w:r>
        <w:rPr>
          <w:rFonts w:cs="Arial" w:hint="cs"/>
          <w:rtl/>
        </w:rPr>
        <w:t>.</w:t>
      </w:r>
      <w:r w:rsidRPr="00557EFB">
        <w:rPr>
          <w:rFonts w:cs="Arial"/>
          <w:rtl/>
        </w:rPr>
        <w:t xml:space="preserve"> אם תבעו והודה לו לא יעידו</w:t>
      </w:r>
      <w:r>
        <w:rPr>
          <w:rFonts w:cs="Arial" w:hint="cs"/>
          <w:rtl/>
        </w:rPr>
        <w:t>,</w:t>
      </w:r>
      <w:r w:rsidRPr="00557EFB">
        <w:rPr>
          <w:rFonts w:cs="Arial"/>
          <w:rtl/>
        </w:rPr>
        <w:t xml:space="preserve"> שאם יטעון שמעון משטה הייתי בך נאמן ופטור</w:t>
      </w:r>
      <w:r>
        <w:rPr>
          <w:rFonts w:hint="cs"/>
          <w:rtl/>
        </w:rPr>
        <w:t xml:space="preserve">... </w:t>
      </w:r>
      <w:r w:rsidRPr="00557EFB">
        <w:rPr>
          <w:rFonts w:cs="Arial"/>
          <w:rtl/>
        </w:rPr>
        <w:t>ובהודה לו מעצמו נמי לא יעידו</w:t>
      </w:r>
      <w:r>
        <w:rPr>
          <w:rFonts w:cs="Arial" w:hint="cs"/>
          <w:rtl/>
        </w:rPr>
        <w:t>,</w:t>
      </w:r>
      <w:r w:rsidRPr="00557EFB">
        <w:rPr>
          <w:rFonts w:cs="Arial"/>
          <w:rtl/>
        </w:rPr>
        <w:t xml:space="preserve"> דנהי דאינו נאמן לומר משטה הייתי בך</w:t>
      </w:r>
      <w:r>
        <w:rPr>
          <w:rFonts w:cs="Arial" w:hint="cs"/>
          <w:rtl/>
        </w:rPr>
        <w:t>,</w:t>
      </w:r>
      <w:r w:rsidRPr="00557EFB">
        <w:rPr>
          <w:rFonts w:cs="Arial"/>
          <w:rtl/>
        </w:rPr>
        <w:t xml:space="preserve"> דלא שייך משטה הייתי בך אלא כשאדם תובעו שכן דרך אדם להתל בחבירו להודות לו כשתבעו דבר שאין חייב לו</w:t>
      </w:r>
      <w:r w:rsidRPr="00557EFB">
        <w:rPr>
          <w:rFonts w:cs="Arial" w:hint="cs"/>
          <w:rtl/>
        </w:rPr>
        <w:t>,</w:t>
      </w:r>
      <w:r w:rsidRPr="00557EFB">
        <w:rPr>
          <w:rFonts w:cs="Arial"/>
          <w:rtl/>
        </w:rPr>
        <w:t xml:space="preserve"> מ"מ יכול לומר שלא להשביע את עצמי הודיתי</w:t>
      </w:r>
      <w:r>
        <w:rPr>
          <w:rFonts w:cs="Arial" w:hint="cs"/>
          <w:rtl/>
        </w:rPr>
        <w:t>,</w:t>
      </w:r>
      <w:r w:rsidRPr="00557EFB">
        <w:rPr>
          <w:rFonts w:cs="Arial"/>
          <w:rtl/>
        </w:rPr>
        <w:t xml:space="preserve"> אפילו הודה בפני האחד שא"ל מנה לך בידי</w:t>
      </w:r>
      <w:r>
        <w:rPr>
          <w:rFonts w:cs="Arial" w:hint="cs"/>
          <w:rtl/>
        </w:rPr>
        <w:t>,</w:t>
      </w:r>
      <w:r w:rsidRPr="00557EFB">
        <w:rPr>
          <w:rFonts w:cs="Arial"/>
          <w:rtl/>
        </w:rPr>
        <w:t xml:space="preserve"> כיון שלא תבעו יכול לומר לו כדי שלא להשביע עצמי הודיתי</w:t>
      </w:r>
      <w:r>
        <w:rPr>
          <w:rFonts w:cs="Arial" w:hint="cs"/>
          <w:rtl/>
        </w:rPr>
        <w:t xml:space="preserve">... </w:t>
      </w:r>
      <w:r w:rsidRPr="00B846F8">
        <w:rPr>
          <w:rFonts w:cs="Arial"/>
          <w:rtl/>
        </w:rPr>
        <w:t>ודוקא בפני המלוה</w:t>
      </w:r>
      <w:r>
        <w:rPr>
          <w:rFonts w:cs="Arial" w:hint="cs"/>
          <w:rtl/>
        </w:rPr>
        <w:t>,</w:t>
      </w:r>
      <w:r w:rsidRPr="00B846F8">
        <w:rPr>
          <w:rFonts w:cs="Arial"/>
          <w:rtl/>
        </w:rPr>
        <w:t xml:space="preserve"> אבל שלא בפני המלוה אפי' אמר הלוה הוו עלי עדים שאני מודה לו שאני חייב לו</w:t>
      </w:r>
      <w:r>
        <w:rPr>
          <w:rFonts w:cs="Arial" w:hint="cs"/>
          <w:rtl/>
        </w:rPr>
        <w:t xml:space="preserve"> -</w:t>
      </w:r>
      <w:r w:rsidRPr="00B846F8">
        <w:rPr>
          <w:rFonts w:cs="Arial"/>
          <w:rtl/>
        </w:rPr>
        <w:t xml:space="preserve"> אינם כלום</w:t>
      </w:r>
      <w:r>
        <w:rPr>
          <w:rStyle w:val="ab"/>
          <w:rFonts w:cs="Arial"/>
          <w:rtl/>
        </w:rPr>
        <w:footnoteReference w:id="1827"/>
      </w:r>
      <w:r w:rsidRPr="00B846F8">
        <w:rPr>
          <w:rFonts w:cs="Arial" w:hint="cs"/>
          <w:sz w:val="16"/>
          <w:szCs w:val="16"/>
          <w:rtl/>
        </w:rPr>
        <w:t xml:space="preserve"> (ל' הטור)</w:t>
      </w:r>
      <w:r w:rsidRPr="00B846F8">
        <w:rPr>
          <w:rFonts w:cs="Arial" w:hint="cs"/>
          <w:rtl/>
        </w:rPr>
        <w:t>.</w:t>
      </w:r>
      <w:r>
        <w:rPr>
          <w:rFonts w:cs="Arial" w:hint="cs"/>
          <w:rtl/>
        </w:rPr>
        <w:t xml:space="preserve"> </w:t>
      </w:r>
    </w:p>
    <w:p w14:paraId="28BD5BCE" w14:textId="77777777" w:rsidR="004B607F" w:rsidRDefault="004B607F" w:rsidP="004B0475">
      <w:pPr>
        <w:pStyle w:val="ac"/>
        <w:numPr>
          <w:ilvl w:val="0"/>
          <w:numId w:val="95"/>
        </w:numPr>
      </w:pPr>
      <w:r>
        <w:rPr>
          <w:rFonts w:hint="cs"/>
          <w:rtl/>
        </w:rPr>
        <w:t xml:space="preserve">רמב"ם </w:t>
      </w:r>
      <w:r w:rsidRPr="002E2D5A">
        <w:rPr>
          <w:rFonts w:hint="cs"/>
          <w:sz w:val="16"/>
          <w:szCs w:val="16"/>
          <w:rtl/>
        </w:rPr>
        <w:t>(פ"ז מהל' טוען ונטען ה"א)</w:t>
      </w:r>
      <w:r>
        <w:rPr>
          <w:rFonts w:hint="cs"/>
          <w:rtl/>
        </w:rPr>
        <w:t xml:space="preserve">- </w:t>
      </w:r>
      <w:r w:rsidRPr="00557EFB">
        <w:rPr>
          <w:rFonts w:cs="Arial"/>
          <w:rtl/>
        </w:rPr>
        <w:t xml:space="preserve">המודה בפני שנים שיש לפלוני אצלו מנה ואמר להן בדרך הודיה לא דרך שיחה, </w:t>
      </w:r>
      <w:r>
        <w:rPr>
          <w:rFonts w:cs="Arial" w:hint="cs"/>
          <w:rtl/>
        </w:rPr>
        <w:t>אע"פ</w:t>
      </w:r>
      <w:r w:rsidRPr="00557EFB">
        <w:rPr>
          <w:rFonts w:cs="Arial"/>
          <w:rtl/>
        </w:rPr>
        <w:t xml:space="preserve"> שלא אמר אתם עדי וא</w:t>
      </w:r>
      <w:r>
        <w:rPr>
          <w:rFonts w:cs="Arial" w:hint="cs"/>
          <w:rtl/>
        </w:rPr>
        <w:t>ע"פ</w:t>
      </w:r>
      <w:r w:rsidRPr="00557EFB">
        <w:rPr>
          <w:rFonts w:cs="Arial"/>
          <w:rtl/>
        </w:rPr>
        <w:t xml:space="preserve"> שאין התובע עמו</w:t>
      </w:r>
      <w:r>
        <w:rPr>
          <w:rFonts w:cs="Arial" w:hint="cs"/>
          <w:rtl/>
        </w:rPr>
        <w:t xml:space="preserve"> -</w:t>
      </w:r>
      <w:r w:rsidRPr="00557EFB">
        <w:rPr>
          <w:rFonts w:cs="Arial"/>
          <w:rtl/>
        </w:rPr>
        <w:t xml:space="preserve"> הרי זה עדות</w:t>
      </w:r>
      <w:r>
        <w:rPr>
          <w:rFonts w:cs="Arial" w:hint="cs"/>
          <w:rtl/>
        </w:rPr>
        <w:t>.</w:t>
      </w:r>
      <w:r w:rsidRPr="00557EFB">
        <w:rPr>
          <w:rFonts w:cs="Arial"/>
          <w:rtl/>
        </w:rPr>
        <w:t xml:space="preserve"> תבעו בדין</w:t>
      </w:r>
      <w:r>
        <w:rPr>
          <w:rFonts w:cs="Arial" w:hint="cs"/>
          <w:rtl/>
        </w:rPr>
        <w:t>,</w:t>
      </w:r>
      <w:r w:rsidRPr="00557EFB">
        <w:rPr>
          <w:rFonts w:cs="Arial"/>
          <w:rtl/>
        </w:rPr>
        <w:t xml:space="preserve"> אם אמר לא היו דברים מעולם</w:t>
      </w:r>
      <w:r>
        <w:rPr>
          <w:rFonts w:cs="Arial" w:hint="cs"/>
          <w:rtl/>
        </w:rPr>
        <w:t xml:space="preserve"> -</w:t>
      </w:r>
      <w:r w:rsidRPr="00557EFB">
        <w:rPr>
          <w:rFonts w:cs="Arial"/>
          <w:rtl/>
        </w:rPr>
        <w:t xml:space="preserve"> אין שומעין לו ומשלם על פיהם</w:t>
      </w:r>
      <w:r>
        <w:rPr>
          <w:rFonts w:cs="Arial" w:hint="cs"/>
          <w:rtl/>
        </w:rPr>
        <w:t>...</w:t>
      </w:r>
      <w:r w:rsidRPr="00557EFB">
        <w:rPr>
          <w:rFonts w:cs="Arial"/>
          <w:rtl/>
        </w:rPr>
        <w:t xml:space="preserve"> טען כשבאו אלו העדים ואמר שלא להשביע את עצמי הודיתי</w:t>
      </w:r>
      <w:r>
        <w:rPr>
          <w:rFonts w:cs="Arial" w:hint="cs"/>
          <w:rtl/>
        </w:rPr>
        <w:t xml:space="preserve"> </w:t>
      </w:r>
      <w:r>
        <w:rPr>
          <w:rFonts w:cs="Arial"/>
          <w:rtl/>
        </w:rPr>
        <w:t>–</w:t>
      </w:r>
      <w:r w:rsidRPr="00557EFB">
        <w:rPr>
          <w:rFonts w:cs="Arial"/>
          <w:rtl/>
        </w:rPr>
        <w:t xml:space="preserve"> נאמן</w:t>
      </w:r>
      <w:r>
        <w:rPr>
          <w:rFonts w:cs="Arial" w:hint="cs"/>
          <w:rtl/>
        </w:rPr>
        <w:t>,</w:t>
      </w:r>
      <w:r w:rsidRPr="00557EFB">
        <w:rPr>
          <w:rFonts w:cs="Arial"/>
          <w:rtl/>
        </w:rPr>
        <w:t xml:space="preserve"> ונשבע היסת</w:t>
      </w:r>
      <w:r>
        <w:rPr>
          <w:rFonts w:cs="Arial" w:hint="cs"/>
          <w:rtl/>
        </w:rPr>
        <w:t>.</w:t>
      </w:r>
      <w:r w:rsidRPr="00557EFB">
        <w:rPr>
          <w:rFonts w:cs="Arial"/>
          <w:rtl/>
        </w:rPr>
        <w:t xml:space="preserve"> ואם כשהודה בפניהם היה התובע עמו </w:t>
      </w:r>
      <w:r>
        <w:rPr>
          <w:rFonts w:cs="Arial" w:hint="cs"/>
          <w:rtl/>
        </w:rPr>
        <w:t xml:space="preserve">- </w:t>
      </w:r>
      <w:r w:rsidRPr="00557EFB">
        <w:rPr>
          <w:rFonts w:cs="Arial"/>
          <w:rtl/>
        </w:rPr>
        <w:t>אינו יכול לטעון ולומר כדי להראות שאיני עשיר הודיתי</w:t>
      </w:r>
      <w:r>
        <w:rPr>
          <w:rFonts w:cs="Arial" w:hint="cs"/>
          <w:rtl/>
        </w:rPr>
        <w:t>.</w:t>
      </w:r>
      <w:r w:rsidRPr="00557EFB">
        <w:rPr>
          <w:rFonts w:cs="Arial"/>
          <w:rtl/>
        </w:rPr>
        <w:t xml:space="preserve"> אבל אם טען שנתן</w:t>
      </w:r>
      <w:r>
        <w:rPr>
          <w:rFonts w:cs="Arial" w:hint="cs"/>
          <w:rtl/>
        </w:rPr>
        <w:t xml:space="preserve"> -</w:t>
      </w:r>
      <w:r w:rsidRPr="00557EFB">
        <w:rPr>
          <w:rFonts w:cs="Arial"/>
          <w:rtl/>
        </w:rPr>
        <w:t xml:space="preserve"> נאמן ונשבע היסת</w:t>
      </w:r>
      <w:r>
        <w:rPr>
          <w:rStyle w:val="ab"/>
          <w:rFonts w:cs="Arial"/>
          <w:rtl/>
        </w:rPr>
        <w:footnoteReference w:id="1828"/>
      </w:r>
      <w:r>
        <w:rPr>
          <w:rFonts w:cs="Arial" w:hint="cs"/>
          <w:rtl/>
        </w:rPr>
        <w:t xml:space="preserve">. </w:t>
      </w:r>
      <w:r w:rsidRPr="0032591F">
        <w:rPr>
          <w:rFonts w:cs="Arial" w:hint="cs"/>
          <w:color w:val="E36C0A" w:themeColor="accent6" w:themeShade="BF"/>
          <w:rtl/>
        </w:rPr>
        <w:t>(וכ"פ בשו"ע</w:t>
      </w:r>
      <w:r>
        <w:rPr>
          <w:rFonts w:cs="Arial" w:hint="cs"/>
          <w:sz w:val="16"/>
          <w:szCs w:val="16"/>
          <w:rtl/>
        </w:rPr>
        <w:t xml:space="preserve"> [סי' פא סע' ח וסע' יד]</w:t>
      </w:r>
      <w:r w:rsidRPr="0032591F">
        <w:rPr>
          <w:rFonts w:cs="Arial" w:hint="cs"/>
          <w:color w:val="E36C0A" w:themeColor="accent6" w:themeShade="BF"/>
          <w:rtl/>
        </w:rPr>
        <w:t>)</w:t>
      </w:r>
    </w:p>
    <w:p w14:paraId="0377BB2A" w14:textId="77777777" w:rsidR="004B607F" w:rsidRPr="00A345B9" w:rsidRDefault="004B607F" w:rsidP="004B607F">
      <w:pPr>
        <w:ind w:left="360"/>
        <w:rPr>
          <w:rFonts w:cs="Arial"/>
          <w:u w:val="dotted"/>
          <w:rtl/>
        </w:rPr>
      </w:pPr>
      <w:r>
        <w:rPr>
          <w:rFonts w:cs="Arial" w:hint="cs"/>
          <w:u w:val="dotted"/>
          <w:rtl/>
        </w:rPr>
        <w:t>ומה הדין אם הודה בפני עדים אבל לא אמר להם 'אתם עדי':</w:t>
      </w:r>
    </w:p>
    <w:p w14:paraId="2353FF1E" w14:textId="77777777" w:rsidR="004B607F" w:rsidRDefault="004B607F" w:rsidP="004B0475">
      <w:pPr>
        <w:pStyle w:val="ac"/>
        <w:numPr>
          <w:ilvl w:val="0"/>
          <w:numId w:val="95"/>
        </w:numPr>
        <w:rPr>
          <w:rFonts w:cs="Arial"/>
        </w:rPr>
      </w:pPr>
      <w:r>
        <w:rPr>
          <w:rFonts w:cs="Arial" w:hint="cs"/>
          <w:rtl/>
        </w:rPr>
        <w:t>רא"ש</w:t>
      </w:r>
      <w:r>
        <w:rPr>
          <w:rFonts w:cs="Arial" w:hint="cs"/>
          <w:sz w:val="16"/>
          <w:szCs w:val="16"/>
          <w:rtl/>
        </w:rPr>
        <w:t xml:space="preserve"> (כ"כ הטור בשמו</w:t>
      </w:r>
      <w:r w:rsidRPr="00210CBC">
        <w:rPr>
          <w:rStyle w:val="ab"/>
          <w:rFonts w:cs="Arial"/>
          <w:sz w:val="16"/>
          <w:szCs w:val="16"/>
          <w:rtl/>
        </w:rPr>
        <w:footnoteReference w:id="1829"/>
      </w:r>
      <w:r>
        <w:rPr>
          <w:rFonts w:cs="Arial" w:hint="cs"/>
          <w:sz w:val="16"/>
          <w:szCs w:val="16"/>
          <w:rtl/>
        </w:rPr>
        <w:t xml:space="preserve">) </w:t>
      </w:r>
      <w:r>
        <w:rPr>
          <w:rFonts w:cs="Arial" w:hint="cs"/>
          <w:rtl/>
        </w:rPr>
        <w:t>ו</w:t>
      </w:r>
      <w:r w:rsidRPr="00425A1F">
        <w:rPr>
          <w:rFonts w:cs="Arial" w:hint="cs"/>
          <w:rtl/>
        </w:rPr>
        <w:t>טור-</w:t>
      </w:r>
      <w:r w:rsidRPr="00425A1F">
        <w:rPr>
          <w:rFonts w:cs="Arial"/>
          <w:rtl/>
        </w:rPr>
        <w:t xml:space="preserve"> אינם יכולין להעיד שחייב בשביל הודאתו</w:t>
      </w:r>
      <w:r>
        <w:rPr>
          <w:rFonts w:cs="Arial" w:hint="cs"/>
          <w:rtl/>
        </w:rPr>
        <w:t>,</w:t>
      </w:r>
      <w:r w:rsidRPr="00425A1F">
        <w:rPr>
          <w:rFonts w:cs="Arial"/>
          <w:rtl/>
        </w:rPr>
        <w:t xml:space="preserve"> אא</w:t>
      </w:r>
      <w:r>
        <w:rPr>
          <w:rFonts w:cs="Arial" w:hint="cs"/>
          <w:rtl/>
        </w:rPr>
        <w:t>"</w:t>
      </w:r>
      <w:r w:rsidRPr="00425A1F">
        <w:rPr>
          <w:rFonts w:cs="Arial"/>
          <w:rtl/>
        </w:rPr>
        <w:t xml:space="preserve">כ שאמר הלוה </w:t>
      </w:r>
      <w:r>
        <w:rPr>
          <w:rFonts w:cs="Arial" w:hint="cs"/>
          <w:rtl/>
        </w:rPr>
        <w:t>'</w:t>
      </w:r>
      <w:r w:rsidRPr="00425A1F">
        <w:rPr>
          <w:rFonts w:cs="Arial"/>
          <w:rtl/>
        </w:rPr>
        <w:t>הוו עלי עדים שאני מודה שאני חייב לו</w:t>
      </w:r>
      <w:r>
        <w:rPr>
          <w:rFonts w:cs="Arial" w:hint="cs"/>
          <w:rtl/>
        </w:rPr>
        <w:t>'</w:t>
      </w:r>
      <w:r w:rsidRPr="00425A1F">
        <w:rPr>
          <w:rFonts w:cs="Arial" w:hint="cs"/>
          <w:rtl/>
        </w:rPr>
        <w:t xml:space="preserve">, </w:t>
      </w:r>
      <w:r w:rsidRPr="00425A1F">
        <w:rPr>
          <w:rFonts w:cs="Arial"/>
          <w:rtl/>
        </w:rPr>
        <w:t xml:space="preserve">או שאמר המלוה </w:t>
      </w:r>
      <w:r>
        <w:rPr>
          <w:rFonts w:cs="Arial" w:hint="cs"/>
          <w:rtl/>
        </w:rPr>
        <w:t>'</w:t>
      </w:r>
      <w:r w:rsidRPr="00425A1F">
        <w:rPr>
          <w:rFonts w:cs="Arial"/>
          <w:rtl/>
        </w:rPr>
        <w:t>אתם עדי</w:t>
      </w:r>
      <w:r>
        <w:rPr>
          <w:rFonts w:cs="Arial" w:hint="cs"/>
          <w:rtl/>
        </w:rPr>
        <w:t>'</w:t>
      </w:r>
      <w:r w:rsidRPr="00425A1F">
        <w:rPr>
          <w:rFonts w:cs="Arial"/>
          <w:rtl/>
        </w:rPr>
        <w:t xml:space="preserve"> ואמר הלוה </w:t>
      </w:r>
      <w:r>
        <w:rPr>
          <w:rFonts w:cs="Arial" w:hint="cs"/>
          <w:rtl/>
        </w:rPr>
        <w:t>'</w:t>
      </w:r>
      <w:r w:rsidRPr="00425A1F">
        <w:rPr>
          <w:rFonts w:cs="Arial"/>
          <w:rtl/>
        </w:rPr>
        <w:t>כן תהיו עדים</w:t>
      </w:r>
      <w:r>
        <w:rPr>
          <w:rFonts w:cs="Arial" w:hint="cs"/>
          <w:rtl/>
        </w:rPr>
        <w:t>'</w:t>
      </w:r>
      <w:r w:rsidRPr="00425A1F">
        <w:rPr>
          <w:rFonts w:cs="Arial"/>
          <w:rtl/>
        </w:rPr>
        <w:t xml:space="preserve"> או ששתק</w:t>
      </w:r>
      <w:r w:rsidRPr="00425A1F">
        <w:rPr>
          <w:rFonts w:cs="Arial" w:hint="cs"/>
          <w:rtl/>
        </w:rPr>
        <w:t xml:space="preserve">. </w:t>
      </w:r>
    </w:p>
    <w:p w14:paraId="686EF8F7" w14:textId="77777777" w:rsidR="004B607F" w:rsidRDefault="004B607F" w:rsidP="004B0475">
      <w:pPr>
        <w:pStyle w:val="ac"/>
        <w:numPr>
          <w:ilvl w:val="0"/>
          <w:numId w:val="95"/>
        </w:numPr>
        <w:rPr>
          <w:rFonts w:cs="Arial"/>
        </w:rPr>
      </w:pPr>
      <w:r w:rsidRPr="005D6AE1">
        <w:rPr>
          <w:rFonts w:cs="Arial"/>
          <w:rtl/>
        </w:rPr>
        <w:t>רמב"ם</w:t>
      </w:r>
      <w:r w:rsidRPr="005D6AE1">
        <w:rPr>
          <w:rFonts w:cs="Arial" w:hint="cs"/>
          <w:rtl/>
        </w:rPr>
        <w:t xml:space="preserve"> </w:t>
      </w:r>
      <w:r>
        <w:rPr>
          <w:rFonts w:cs="Arial" w:hint="cs"/>
          <w:rtl/>
        </w:rPr>
        <w:t>רמ"ה</w:t>
      </w:r>
      <w:r>
        <w:rPr>
          <w:rStyle w:val="ab"/>
          <w:rFonts w:cs="Arial"/>
          <w:rtl/>
        </w:rPr>
        <w:footnoteReference w:id="1830"/>
      </w:r>
      <w:r>
        <w:rPr>
          <w:rFonts w:cs="Arial" w:hint="cs"/>
          <w:rtl/>
        </w:rPr>
        <w:t xml:space="preserve"> ו</w:t>
      </w:r>
      <w:r>
        <w:rPr>
          <w:rFonts w:cs="Arial"/>
          <w:rtl/>
        </w:rPr>
        <w:t>בעל התרומות</w:t>
      </w:r>
      <w:r>
        <w:rPr>
          <w:rStyle w:val="ab"/>
          <w:rFonts w:cs="Arial"/>
          <w:rtl/>
        </w:rPr>
        <w:footnoteReference w:id="1831"/>
      </w:r>
      <w:r w:rsidRPr="005D6AE1">
        <w:rPr>
          <w:rFonts w:cs="Arial" w:hint="cs"/>
          <w:rtl/>
        </w:rPr>
        <w:t xml:space="preserve">- </w:t>
      </w:r>
      <w:r w:rsidRPr="005D6AE1">
        <w:rPr>
          <w:rFonts w:cs="Arial"/>
          <w:rtl/>
        </w:rPr>
        <w:t xml:space="preserve">המודה בפני עדים דרך הודאה ולא דרך שיחה </w:t>
      </w:r>
      <w:r>
        <w:rPr>
          <w:rFonts w:cs="Arial" w:hint="cs"/>
          <w:rtl/>
        </w:rPr>
        <w:t>'</w:t>
      </w:r>
      <w:r w:rsidRPr="005D6AE1">
        <w:rPr>
          <w:rFonts w:cs="Arial"/>
          <w:rtl/>
        </w:rPr>
        <w:t>זה יש לו אצלי כך וכך</w:t>
      </w:r>
      <w:r>
        <w:rPr>
          <w:rFonts w:cs="Arial" w:hint="cs"/>
          <w:rtl/>
        </w:rPr>
        <w:t>'</w:t>
      </w:r>
      <w:r w:rsidRPr="005D6AE1">
        <w:rPr>
          <w:rFonts w:cs="Arial"/>
          <w:rtl/>
        </w:rPr>
        <w:t xml:space="preserve"> </w:t>
      </w:r>
      <w:r>
        <w:rPr>
          <w:rFonts w:cs="Arial" w:hint="cs"/>
          <w:rtl/>
        </w:rPr>
        <w:t xml:space="preserve">- </w:t>
      </w:r>
      <w:r w:rsidRPr="005D6AE1">
        <w:rPr>
          <w:rFonts w:cs="Arial"/>
          <w:rtl/>
        </w:rPr>
        <w:t>חייב</w:t>
      </w:r>
      <w:r>
        <w:rPr>
          <w:rStyle w:val="ab"/>
          <w:rFonts w:cs="Arial"/>
          <w:rtl/>
        </w:rPr>
        <w:footnoteReference w:id="1832"/>
      </w:r>
      <w:r>
        <w:rPr>
          <w:rFonts w:cs="Arial" w:hint="cs"/>
          <w:sz w:val="16"/>
          <w:szCs w:val="16"/>
          <w:rtl/>
        </w:rPr>
        <w:t xml:space="preserve"> (ל' הטור בשם הרמב"ם)</w:t>
      </w:r>
      <w:r>
        <w:rPr>
          <w:rFonts w:cs="Arial" w:hint="cs"/>
          <w:rtl/>
        </w:rPr>
        <w:t>.</w:t>
      </w:r>
      <w:r w:rsidRPr="00504D94">
        <w:rPr>
          <w:rFonts w:cs="Arial" w:hint="cs"/>
          <w:color w:val="E36C0A" w:themeColor="accent6" w:themeShade="BF"/>
          <w:rtl/>
        </w:rPr>
        <w:t xml:space="preserve"> </w:t>
      </w:r>
      <w:r w:rsidRPr="0032591F">
        <w:rPr>
          <w:rFonts w:cs="Arial" w:hint="cs"/>
          <w:color w:val="E36C0A" w:themeColor="accent6" w:themeShade="BF"/>
          <w:rtl/>
        </w:rPr>
        <w:t>(וכ"פ בשו"ע</w:t>
      </w:r>
      <w:r>
        <w:rPr>
          <w:rFonts w:cs="Arial" w:hint="cs"/>
          <w:sz w:val="16"/>
          <w:szCs w:val="16"/>
          <w:rtl/>
        </w:rPr>
        <w:t xml:space="preserve"> [סי' פא סע' ח]</w:t>
      </w:r>
      <w:r w:rsidRPr="0032591F">
        <w:rPr>
          <w:rFonts w:cs="Arial" w:hint="cs"/>
          <w:color w:val="E36C0A" w:themeColor="accent6" w:themeShade="BF"/>
          <w:rtl/>
        </w:rPr>
        <w:t>)</w:t>
      </w:r>
    </w:p>
    <w:p w14:paraId="0451F81F" w14:textId="77777777" w:rsidR="004B607F" w:rsidRPr="00EA3DDA" w:rsidRDefault="004B607F" w:rsidP="004B0475">
      <w:pPr>
        <w:pStyle w:val="ac"/>
        <w:numPr>
          <w:ilvl w:val="1"/>
          <w:numId w:val="95"/>
        </w:numPr>
        <w:rPr>
          <w:rFonts w:cs="Arial"/>
        </w:rPr>
      </w:pPr>
      <w:r>
        <w:rPr>
          <w:rFonts w:cs="Arial" w:hint="cs"/>
          <w:rtl/>
        </w:rPr>
        <w:t xml:space="preserve">ב"י </w:t>
      </w:r>
      <w:r>
        <w:rPr>
          <w:rFonts w:cs="Arial" w:hint="cs"/>
          <w:sz w:val="16"/>
          <w:szCs w:val="16"/>
          <w:rtl/>
        </w:rPr>
        <w:t>(בבדה"ב)</w:t>
      </w:r>
      <w:r>
        <w:rPr>
          <w:rFonts w:cs="Arial" w:hint="cs"/>
          <w:rtl/>
        </w:rPr>
        <w:t xml:space="preserve">- </w:t>
      </w:r>
      <w:r>
        <w:rPr>
          <w:rFonts w:cs="Arial"/>
          <w:rtl/>
        </w:rPr>
        <w:t>ומכל מקום לענין הלכה נקטינן כהרמב"ם דדיינא הוא ומסתבר טעמיה ועוד דבעל התרומות והרמ"ה סברי כוותיה</w:t>
      </w:r>
      <w:r>
        <w:rPr>
          <w:rFonts w:cs="Arial" w:hint="cs"/>
          <w:rtl/>
        </w:rPr>
        <w:t>.</w:t>
      </w:r>
    </w:p>
    <w:p w14:paraId="57A86F50" w14:textId="77777777" w:rsidR="004B607F" w:rsidRPr="00203C77" w:rsidRDefault="004B607F" w:rsidP="004B607F">
      <w:pPr>
        <w:ind w:left="360"/>
        <w:rPr>
          <w:rFonts w:cs="Arial"/>
          <w:u w:val="dotted"/>
          <w:rtl/>
        </w:rPr>
      </w:pPr>
      <w:r w:rsidRPr="00203C77">
        <w:rPr>
          <w:rFonts w:cs="Arial" w:hint="cs"/>
          <w:u w:val="dotted"/>
          <w:rtl/>
        </w:rPr>
        <w:t>האם זה שהודה לו יכול לחייבו שבועה:</w:t>
      </w:r>
      <w:r w:rsidRPr="00203C77">
        <w:rPr>
          <w:rFonts w:cs="Arial"/>
          <w:u w:val="dotted"/>
          <w:rtl/>
        </w:rPr>
        <w:t xml:space="preserve"> </w:t>
      </w:r>
    </w:p>
    <w:p w14:paraId="73C336C9" w14:textId="77777777" w:rsidR="004B607F" w:rsidRPr="0093397C" w:rsidRDefault="004B607F" w:rsidP="004B0475">
      <w:pPr>
        <w:pStyle w:val="ac"/>
        <w:numPr>
          <w:ilvl w:val="0"/>
          <w:numId w:val="95"/>
        </w:numPr>
        <w:rPr>
          <w:rFonts w:cs="Arial"/>
          <w:rtl/>
        </w:rPr>
      </w:pPr>
      <w:r>
        <w:rPr>
          <w:rFonts w:cs="Arial" w:hint="cs"/>
          <w:rtl/>
        </w:rPr>
        <w:t xml:space="preserve">רא"ש </w:t>
      </w:r>
      <w:r>
        <w:rPr>
          <w:rFonts w:cs="Arial" w:hint="cs"/>
          <w:sz w:val="16"/>
          <w:szCs w:val="16"/>
          <w:rtl/>
        </w:rPr>
        <w:t xml:space="preserve">(שם) </w:t>
      </w:r>
      <w:r>
        <w:rPr>
          <w:rFonts w:cs="Arial" w:hint="cs"/>
          <w:rtl/>
        </w:rPr>
        <w:t>ו</w:t>
      </w:r>
      <w:r w:rsidRPr="00AE33AD">
        <w:rPr>
          <w:rFonts w:cs="Arial" w:hint="cs"/>
          <w:rtl/>
        </w:rPr>
        <w:t xml:space="preserve">טור- </w:t>
      </w:r>
      <w:r w:rsidRPr="00AE33AD">
        <w:rPr>
          <w:rFonts w:cs="Arial"/>
          <w:rtl/>
        </w:rPr>
        <w:t>לענין שבועה</w:t>
      </w:r>
      <w:r>
        <w:rPr>
          <w:rFonts w:cs="Arial" w:hint="cs"/>
          <w:rtl/>
        </w:rPr>
        <w:t>,</w:t>
      </w:r>
      <w:r w:rsidRPr="00AE33AD">
        <w:rPr>
          <w:rFonts w:cs="Arial"/>
          <w:rtl/>
        </w:rPr>
        <w:t xml:space="preserve"> אם טוען </w:t>
      </w:r>
      <w:r>
        <w:rPr>
          <w:rFonts w:cs="Arial" w:hint="cs"/>
          <w:rtl/>
        </w:rPr>
        <w:t>'</w:t>
      </w:r>
      <w:r w:rsidRPr="00AE33AD">
        <w:rPr>
          <w:rFonts w:cs="Arial"/>
          <w:rtl/>
        </w:rPr>
        <w:t>תן לי מנה שאתה חייב לי</w:t>
      </w:r>
      <w:r>
        <w:rPr>
          <w:rFonts w:cs="Arial" w:hint="cs"/>
          <w:rtl/>
        </w:rPr>
        <w:t>,</w:t>
      </w:r>
      <w:r w:rsidRPr="00AE33AD">
        <w:rPr>
          <w:rFonts w:cs="Arial"/>
          <w:rtl/>
        </w:rPr>
        <w:t xml:space="preserve"> ואם תרצה לכפור הרי פלוני ופלוני שאמרת לפניהם שאתה חייב לי</w:t>
      </w:r>
      <w:r>
        <w:rPr>
          <w:rFonts w:cs="Arial" w:hint="cs"/>
          <w:rtl/>
        </w:rPr>
        <w:t>' -</w:t>
      </w:r>
      <w:r w:rsidRPr="00AE33AD">
        <w:rPr>
          <w:rFonts w:cs="Arial"/>
          <w:rtl/>
        </w:rPr>
        <w:t xml:space="preserve"> צריך לישבע היסת</w:t>
      </w:r>
      <w:r>
        <w:rPr>
          <w:rFonts w:cs="Arial" w:hint="cs"/>
          <w:rtl/>
        </w:rPr>
        <w:t>,</w:t>
      </w:r>
      <w:r w:rsidRPr="00AE33AD">
        <w:rPr>
          <w:rFonts w:cs="Arial"/>
          <w:rtl/>
        </w:rPr>
        <w:t xml:space="preserve"> דדל עדים מהכא צריך לישבע לו על תביעתו</w:t>
      </w:r>
      <w:r w:rsidRPr="00AE33AD">
        <w:rPr>
          <w:rFonts w:cs="Arial" w:hint="cs"/>
          <w:rtl/>
        </w:rPr>
        <w:t>.</w:t>
      </w:r>
      <w:r w:rsidRPr="0093397C">
        <w:rPr>
          <w:rFonts w:cs="Arial"/>
          <w:rtl/>
        </w:rPr>
        <w:t xml:space="preserve"> אבל אם אמר </w:t>
      </w:r>
      <w:r>
        <w:rPr>
          <w:rFonts w:cs="Arial" w:hint="cs"/>
          <w:rtl/>
        </w:rPr>
        <w:t>'</w:t>
      </w:r>
      <w:r w:rsidRPr="0093397C">
        <w:rPr>
          <w:rFonts w:cs="Arial"/>
          <w:rtl/>
        </w:rPr>
        <w:t>תן לי מנה שאמרת בפני פלוני ופלוני שאתה חייב לי</w:t>
      </w:r>
      <w:r>
        <w:rPr>
          <w:rFonts w:cs="Arial" w:hint="cs"/>
          <w:rtl/>
        </w:rPr>
        <w:t>'</w:t>
      </w:r>
      <w:r w:rsidRPr="0093397C">
        <w:rPr>
          <w:rFonts w:cs="Arial"/>
          <w:rtl/>
        </w:rPr>
        <w:t xml:space="preserve"> </w:t>
      </w:r>
      <w:r>
        <w:rPr>
          <w:rFonts w:cs="Arial" w:hint="cs"/>
          <w:rtl/>
        </w:rPr>
        <w:t xml:space="preserve">- </w:t>
      </w:r>
      <w:r w:rsidRPr="0093397C">
        <w:rPr>
          <w:rFonts w:cs="Arial"/>
          <w:rtl/>
        </w:rPr>
        <w:t>אף שבועה אין צריך</w:t>
      </w:r>
      <w:r>
        <w:rPr>
          <w:rStyle w:val="ab"/>
          <w:rFonts w:cs="Arial"/>
          <w:rtl/>
        </w:rPr>
        <w:footnoteReference w:id="1833"/>
      </w:r>
      <w:r>
        <w:rPr>
          <w:rFonts w:cs="Arial" w:hint="cs"/>
          <w:sz w:val="16"/>
          <w:szCs w:val="16"/>
          <w:rtl/>
        </w:rPr>
        <w:t>(ל' הטור)</w:t>
      </w:r>
      <w:r w:rsidRPr="0093397C">
        <w:rPr>
          <w:rFonts w:cs="Arial" w:hint="cs"/>
          <w:rtl/>
        </w:rPr>
        <w:t>.</w:t>
      </w:r>
      <w:r w:rsidRPr="0093397C">
        <w:rPr>
          <w:rFonts w:cs="Arial"/>
          <w:rtl/>
        </w:rPr>
        <w:t xml:space="preserve"> </w:t>
      </w:r>
      <w:r w:rsidRPr="0032591F">
        <w:rPr>
          <w:rFonts w:cs="Arial" w:hint="cs"/>
          <w:color w:val="E36C0A" w:themeColor="accent6" w:themeShade="BF"/>
          <w:rtl/>
        </w:rPr>
        <w:t>(וכ"פ בשו"ע</w:t>
      </w:r>
      <w:r>
        <w:rPr>
          <w:rFonts w:cs="Arial" w:hint="cs"/>
          <w:sz w:val="16"/>
          <w:szCs w:val="16"/>
          <w:rtl/>
        </w:rPr>
        <w:t xml:space="preserve"> [סי' פא סע' יד]</w:t>
      </w:r>
      <w:r w:rsidRPr="0032591F">
        <w:rPr>
          <w:rFonts w:cs="Arial" w:hint="cs"/>
          <w:color w:val="E36C0A" w:themeColor="accent6" w:themeShade="BF"/>
          <w:rtl/>
        </w:rPr>
        <w:t>)</w:t>
      </w:r>
    </w:p>
    <w:p w14:paraId="2319BE59" w14:textId="77777777" w:rsidR="004B607F" w:rsidRPr="000B78C5" w:rsidRDefault="004B607F" w:rsidP="004B607F">
      <w:pPr>
        <w:ind w:left="360"/>
        <w:rPr>
          <w:u w:val="dotted"/>
        </w:rPr>
      </w:pPr>
      <w:r w:rsidRPr="000B78C5">
        <w:rPr>
          <w:rFonts w:hint="cs"/>
          <w:u w:val="dotted"/>
          <w:rtl/>
        </w:rPr>
        <w:lastRenderedPageBreak/>
        <w:t xml:space="preserve">כשלא טען 'להשביע את עצמי נתכוונתי' </w:t>
      </w:r>
      <w:r w:rsidRPr="000B78C5">
        <w:rPr>
          <w:u w:val="dotted"/>
          <w:rtl/>
        </w:rPr>
        <w:t>–</w:t>
      </w:r>
      <w:r w:rsidRPr="000B78C5">
        <w:rPr>
          <w:rFonts w:hint="cs"/>
          <w:u w:val="dotted"/>
          <w:rtl/>
        </w:rPr>
        <w:t xml:space="preserve"> האם טענינן ליה:</w:t>
      </w:r>
    </w:p>
    <w:p w14:paraId="2DA82397" w14:textId="77777777" w:rsidR="004B607F" w:rsidRPr="000B78C5" w:rsidRDefault="004B607F" w:rsidP="004B0475">
      <w:pPr>
        <w:pStyle w:val="ac"/>
        <w:numPr>
          <w:ilvl w:val="0"/>
          <w:numId w:val="95"/>
        </w:numPr>
      </w:pPr>
      <w:r w:rsidRPr="00CE49F5">
        <w:rPr>
          <w:rFonts w:cs="Arial"/>
          <w:rtl/>
        </w:rPr>
        <w:t xml:space="preserve">מרדכי </w:t>
      </w:r>
      <w:r w:rsidRPr="00CE49F5">
        <w:rPr>
          <w:rFonts w:cs="Arial"/>
          <w:sz w:val="16"/>
          <w:szCs w:val="16"/>
          <w:rtl/>
        </w:rPr>
        <w:t xml:space="preserve">(סי' תשו) </w:t>
      </w:r>
      <w:r w:rsidRPr="00CE49F5">
        <w:rPr>
          <w:rFonts w:cs="Arial"/>
          <w:rtl/>
        </w:rPr>
        <w:t>הגה</w:t>
      </w:r>
      <w:r>
        <w:rPr>
          <w:rFonts w:cs="Arial" w:hint="cs"/>
          <w:rtl/>
        </w:rPr>
        <w:t xml:space="preserve">"מ </w:t>
      </w:r>
      <w:r w:rsidRPr="00CE49F5">
        <w:rPr>
          <w:rFonts w:cs="Arial" w:hint="cs"/>
          <w:sz w:val="16"/>
          <w:szCs w:val="16"/>
          <w:rtl/>
        </w:rPr>
        <w:t>(</w:t>
      </w:r>
      <w:r w:rsidRPr="00CE49F5">
        <w:rPr>
          <w:rFonts w:cs="Arial"/>
          <w:sz w:val="16"/>
          <w:szCs w:val="16"/>
          <w:rtl/>
        </w:rPr>
        <w:t>פ</w:t>
      </w:r>
      <w:r w:rsidRPr="00CE49F5">
        <w:rPr>
          <w:rFonts w:cs="Arial" w:hint="cs"/>
          <w:sz w:val="16"/>
          <w:szCs w:val="16"/>
          <w:rtl/>
        </w:rPr>
        <w:t>"</w:t>
      </w:r>
      <w:r w:rsidRPr="00CE49F5">
        <w:rPr>
          <w:rFonts w:cs="Arial"/>
          <w:sz w:val="16"/>
          <w:szCs w:val="16"/>
          <w:rtl/>
        </w:rPr>
        <w:t>ו מהל</w:t>
      </w:r>
      <w:r w:rsidRPr="00CE49F5">
        <w:rPr>
          <w:rFonts w:cs="Arial" w:hint="cs"/>
          <w:sz w:val="16"/>
          <w:szCs w:val="16"/>
          <w:rtl/>
        </w:rPr>
        <w:t>'</w:t>
      </w:r>
      <w:r w:rsidRPr="00CE49F5">
        <w:rPr>
          <w:rFonts w:cs="Arial"/>
          <w:sz w:val="16"/>
          <w:szCs w:val="16"/>
          <w:rtl/>
        </w:rPr>
        <w:t xml:space="preserve"> טוען אות </w:t>
      </w:r>
      <w:r>
        <w:rPr>
          <w:rFonts w:cs="Arial" w:hint="cs"/>
          <w:sz w:val="16"/>
          <w:szCs w:val="16"/>
          <w:rtl/>
        </w:rPr>
        <w:t>ס</w:t>
      </w:r>
      <w:r w:rsidRPr="00CE49F5">
        <w:rPr>
          <w:rFonts w:cs="Arial"/>
          <w:sz w:val="16"/>
          <w:szCs w:val="16"/>
          <w:rtl/>
        </w:rPr>
        <w:t>)</w:t>
      </w:r>
      <w:r w:rsidRPr="00CE49F5">
        <w:rPr>
          <w:rFonts w:cs="Arial" w:hint="cs"/>
          <w:sz w:val="16"/>
          <w:szCs w:val="16"/>
          <w:rtl/>
        </w:rPr>
        <w:t xml:space="preserve"> </w:t>
      </w:r>
      <w:r w:rsidRPr="00CE49F5">
        <w:rPr>
          <w:rFonts w:cs="Arial"/>
          <w:rtl/>
        </w:rPr>
        <w:t xml:space="preserve">רא"ש </w:t>
      </w:r>
      <w:r w:rsidRPr="00CE49F5">
        <w:rPr>
          <w:rFonts w:cs="Arial"/>
          <w:sz w:val="16"/>
          <w:szCs w:val="16"/>
          <w:rtl/>
        </w:rPr>
        <w:t>(סי' כה)</w:t>
      </w:r>
      <w:r w:rsidRPr="00CE49F5">
        <w:rPr>
          <w:rFonts w:cs="Arial" w:hint="cs"/>
          <w:sz w:val="16"/>
          <w:szCs w:val="16"/>
          <w:rtl/>
        </w:rPr>
        <w:t xml:space="preserve"> </w:t>
      </w:r>
      <w:r>
        <w:rPr>
          <w:rFonts w:cs="Arial" w:hint="cs"/>
          <w:rtl/>
        </w:rPr>
        <w:t>ו</w:t>
      </w:r>
      <w:r w:rsidRPr="000B78C5">
        <w:rPr>
          <w:rFonts w:cs="Arial" w:hint="cs"/>
          <w:rtl/>
        </w:rPr>
        <w:t>טור-</w:t>
      </w:r>
      <w:r w:rsidRPr="000B78C5">
        <w:rPr>
          <w:rFonts w:cs="Arial"/>
          <w:rtl/>
        </w:rPr>
        <w:t xml:space="preserve"> אפילו אי לא טעין ליה אנן טענינן ליה</w:t>
      </w:r>
      <w:r>
        <w:rPr>
          <w:rFonts w:cs="Arial" w:hint="cs"/>
          <w:sz w:val="16"/>
          <w:szCs w:val="16"/>
          <w:rtl/>
        </w:rPr>
        <w:t xml:space="preserve"> (ל' הטור)</w:t>
      </w:r>
      <w:r>
        <w:rPr>
          <w:rStyle w:val="ab"/>
          <w:rFonts w:cs="Arial"/>
          <w:rtl/>
        </w:rPr>
        <w:footnoteReference w:id="1834"/>
      </w:r>
      <w:r w:rsidRPr="000B78C5">
        <w:rPr>
          <w:rFonts w:cs="Arial" w:hint="cs"/>
          <w:rtl/>
        </w:rPr>
        <w:t xml:space="preserve">. </w:t>
      </w:r>
      <w:r w:rsidRPr="00DF3378">
        <w:rPr>
          <w:rFonts w:cs="Arial" w:hint="cs"/>
          <w:color w:val="00B0F0"/>
          <w:rtl/>
        </w:rPr>
        <w:t xml:space="preserve">(וכ"פ </w:t>
      </w:r>
      <w:r>
        <w:rPr>
          <w:rFonts w:cs="Arial" w:hint="cs"/>
          <w:color w:val="00B0F0"/>
          <w:rtl/>
        </w:rPr>
        <w:t>הרמ"א</w:t>
      </w:r>
      <w:r w:rsidRPr="00DF3378">
        <w:rPr>
          <w:rFonts w:cs="Arial" w:hint="cs"/>
          <w:color w:val="00B0F0"/>
          <w:sz w:val="16"/>
          <w:szCs w:val="16"/>
          <w:rtl/>
        </w:rPr>
        <w:t xml:space="preserve"> </w:t>
      </w:r>
      <w:r>
        <w:rPr>
          <w:rFonts w:cs="Arial" w:hint="cs"/>
          <w:sz w:val="16"/>
          <w:szCs w:val="16"/>
          <w:rtl/>
        </w:rPr>
        <w:t>[סי' פא סע' יד]</w:t>
      </w:r>
      <w:r w:rsidRPr="00DF3378">
        <w:rPr>
          <w:rFonts w:cs="Arial" w:hint="cs"/>
          <w:color w:val="00B0F0"/>
          <w:rtl/>
        </w:rPr>
        <w:t>)</w:t>
      </w:r>
    </w:p>
    <w:p w14:paraId="266A27BB" w14:textId="77777777" w:rsidR="004B607F" w:rsidRPr="0085722B" w:rsidRDefault="004B607F" w:rsidP="004B0475">
      <w:pPr>
        <w:pStyle w:val="ac"/>
        <w:numPr>
          <w:ilvl w:val="0"/>
          <w:numId w:val="95"/>
        </w:numPr>
      </w:pPr>
      <w:r w:rsidRPr="000B78C5">
        <w:rPr>
          <w:rFonts w:cs="Arial"/>
          <w:rtl/>
        </w:rPr>
        <w:t>נמוק</w:t>
      </w:r>
      <w:r>
        <w:rPr>
          <w:rFonts w:cs="Arial" w:hint="cs"/>
          <w:rtl/>
        </w:rPr>
        <w:t>"</w:t>
      </w:r>
      <w:r w:rsidRPr="000B78C5">
        <w:rPr>
          <w:rFonts w:cs="Arial"/>
          <w:rtl/>
        </w:rPr>
        <w:t xml:space="preserve">י </w:t>
      </w:r>
      <w:r w:rsidRPr="000B78C5">
        <w:rPr>
          <w:rFonts w:cs="Arial"/>
          <w:sz w:val="16"/>
          <w:szCs w:val="16"/>
          <w:rtl/>
        </w:rPr>
        <w:t>(שם ד"ה ההוא דהוו)</w:t>
      </w:r>
      <w:r>
        <w:rPr>
          <w:rFonts w:cs="Arial" w:hint="cs"/>
          <w:rtl/>
        </w:rPr>
        <w:t>-</w:t>
      </w:r>
      <w:r w:rsidRPr="000B78C5">
        <w:rPr>
          <w:rFonts w:cs="Arial"/>
          <w:rtl/>
        </w:rPr>
        <w:t xml:space="preserve"> הסכימו המפרשים דהך טענה דאדם עשוי שלא להשביע </w:t>
      </w:r>
      <w:r>
        <w:rPr>
          <w:rFonts w:cs="Arial" w:hint="cs"/>
          <w:rtl/>
        </w:rPr>
        <w:t xml:space="preserve">- </w:t>
      </w:r>
      <w:r w:rsidRPr="000B78C5">
        <w:rPr>
          <w:rFonts w:cs="Arial"/>
          <w:rtl/>
        </w:rPr>
        <w:t>אי לא טעין איהו אנן לא טענינן ליה</w:t>
      </w:r>
      <w:r>
        <w:rPr>
          <w:rStyle w:val="ab"/>
          <w:rFonts w:cs="Arial"/>
          <w:rtl/>
        </w:rPr>
        <w:footnoteReference w:id="1835"/>
      </w:r>
      <w:r>
        <w:rPr>
          <w:rFonts w:cs="Arial" w:hint="cs"/>
          <w:rtl/>
        </w:rPr>
        <w:t>.</w:t>
      </w:r>
    </w:p>
    <w:p w14:paraId="5182FC89" w14:textId="77777777" w:rsidR="004B607F" w:rsidRPr="0085722B" w:rsidRDefault="004B607F" w:rsidP="004B607F">
      <w:pPr>
        <w:ind w:left="360"/>
        <w:rPr>
          <w:u w:val="dotted"/>
        </w:rPr>
      </w:pPr>
      <w:r>
        <w:rPr>
          <w:rFonts w:hint="cs"/>
          <w:u w:val="dotted"/>
          <w:rtl/>
        </w:rPr>
        <w:t xml:space="preserve">לסוברים שטענינן </w:t>
      </w:r>
      <w:r>
        <w:rPr>
          <w:rFonts w:hint="cs"/>
          <w:sz w:val="16"/>
          <w:szCs w:val="16"/>
          <w:u w:val="dotted"/>
          <w:rtl/>
        </w:rPr>
        <w:t xml:space="preserve">(מרדכי רא"ש וטור) </w:t>
      </w:r>
      <w:r>
        <w:rPr>
          <w:rFonts w:hint="cs"/>
          <w:u w:val="dotted"/>
          <w:rtl/>
        </w:rPr>
        <w:t xml:space="preserve">- </w:t>
      </w:r>
      <w:r w:rsidRPr="0085722B">
        <w:rPr>
          <w:rFonts w:hint="cs"/>
          <w:u w:val="dotted"/>
          <w:rtl/>
        </w:rPr>
        <w:t xml:space="preserve">מה הדין </w:t>
      </w:r>
      <w:r>
        <w:rPr>
          <w:rFonts w:hint="cs"/>
          <w:u w:val="dotted"/>
          <w:rtl/>
        </w:rPr>
        <w:t xml:space="preserve">אם </w:t>
      </w:r>
      <w:r w:rsidRPr="0085722B">
        <w:rPr>
          <w:rFonts w:hint="cs"/>
          <w:u w:val="dotted"/>
          <w:rtl/>
        </w:rPr>
        <w:t>הודה</w:t>
      </w:r>
      <w:r>
        <w:rPr>
          <w:rFonts w:hint="cs"/>
          <w:u w:val="dotted"/>
          <w:rtl/>
        </w:rPr>
        <w:t xml:space="preserve"> מעצמו כנ"ל </w:t>
      </w:r>
      <w:r w:rsidRPr="0085722B">
        <w:rPr>
          <w:rFonts w:hint="cs"/>
          <w:u w:val="dotted"/>
          <w:rtl/>
        </w:rPr>
        <w:t>בשעת מיתה ומת</w:t>
      </w:r>
      <w:r>
        <w:rPr>
          <w:rFonts w:hint="cs"/>
          <w:u w:val="dotted"/>
          <w:rtl/>
        </w:rPr>
        <w:t>,</w:t>
      </w:r>
      <w:r w:rsidRPr="0085722B">
        <w:rPr>
          <w:rFonts w:hint="cs"/>
          <w:u w:val="dotted"/>
          <w:rtl/>
        </w:rPr>
        <w:t xml:space="preserve"> האם טענינן לבניו:</w:t>
      </w:r>
    </w:p>
    <w:p w14:paraId="291EF82D" w14:textId="77777777" w:rsidR="004B607F" w:rsidRPr="0085722B" w:rsidRDefault="004B607F" w:rsidP="004B0475">
      <w:pPr>
        <w:pStyle w:val="ac"/>
        <w:numPr>
          <w:ilvl w:val="0"/>
          <w:numId w:val="95"/>
        </w:numPr>
        <w:rPr>
          <w:rtl/>
        </w:rPr>
      </w:pPr>
      <w:r>
        <w:rPr>
          <w:rFonts w:cs="Arial" w:hint="cs"/>
          <w:rtl/>
        </w:rPr>
        <w:t xml:space="preserve">טור- </w:t>
      </w:r>
      <w:r w:rsidRPr="00396CE2">
        <w:rPr>
          <w:rFonts w:cs="Arial"/>
          <w:rtl/>
        </w:rPr>
        <w:t>אפילו הודה בשעת מיתה אמרינן כ</w:t>
      </w:r>
      <w:r>
        <w:rPr>
          <w:rFonts w:cs="Arial" w:hint="cs"/>
          <w:rtl/>
        </w:rPr>
        <w:t>ִ</w:t>
      </w:r>
      <w:r w:rsidRPr="00396CE2">
        <w:rPr>
          <w:rFonts w:cs="Arial"/>
          <w:rtl/>
        </w:rPr>
        <w:t>יו</w:t>
      </w:r>
      <w:r>
        <w:rPr>
          <w:rFonts w:cs="Arial" w:hint="cs"/>
          <w:rtl/>
        </w:rPr>
        <w:t>ֵ</w:t>
      </w:r>
      <w:r w:rsidRPr="00396CE2">
        <w:rPr>
          <w:rFonts w:cs="Arial"/>
          <w:rtl/>
        </w:rPr>
        <w:t>ן שלא להשביע את בניו וטענינן להו אפילו אם לא טענו אינהו הכי</w:t>
      </w:r>
      <w:r>
        <w:rPr>
          <w:rStyle w:val="ab"/>
          <w:rFonts w:cs="Arial"/>
          <w:rtl/>
        </w:rPr>
        <w:footnoteReference w:id="1836"/>
      </w:r>
      <w:r>
        <w:rPr>
          <w:rFonts w:hint="cs"/>
          <w:rtl/>
        </w:rPr>
        <w:t>.</w:t>
      </w:r>
    </w:p>
    <w:p w14:paraId="2423991C" w14:textId="77777777" w:rsidR="004B607F" w:rsidRPr="00AE33AD" w:rsidRDefault="004B607F" w:rsidP="004B607F">
      <w:pPr>
        <w:rPr>
          <w:rFonts w:cs="Arial"/>
          <w:u w:val="single"/>
          <w:rtl/>
        </w:rPr>
      </w:pPr>
      <w:r w:rsidRPr="00AE33AD">
        <w:rPr>
          <w:rFonts w:cs="Arial" w:hint="cs"/>
          <w:b/>
          <w:bCs/>
          <w:u w:val="single"/>
          <w:rtl/>
        </w:rPr>
        <w:t>תבעו חברו תחילה</w:t>
      </w:r>
      <w:r w:rsidRPr="00AE33AD">
        <w:rPr>
          <w:rFonts w:cs="Arial" w:hint="cs"/>
          <w:u w:val="single"/>
          <w:rtl/>
        </w:rPr>
        <w:t xml:space="preserve"> והודה לו </w:t>
      </w:r>
      <w:r w:rsidRPr="00AE33AD">
        <w:rPr>
          <w:rFonts w:cs="Arial"/>
          <w:u w:val="single"/>
          <w:rtl/>
        </w:rPr>
        <w:t>–</w:t>
      </w:r>
      <w:r w:rsidRPr="00AE33AD">
        <w:rPr>
          <w:rFonts w:cs="Arial" w:hint="cs"/>
          <w:u w:val="single"/>
          <w:rtl/>
        </w:rPr>
        <w:t xml:space="preserve"> האם יכול לטעו</w:t>
      </w:r>
      <w:r>
        <w:rPr>
          <w:rFonts w:cs="Arial" w:hint="cs"/>
          <w:u w:val="single"/>
          <w:rtl/>
        </w:rPr>
        <w:t>ן</w:t>
      </w:r>
      <w:r w:rsidRPr="00AE33AD">
        <w:rPr>
          <w:rFonts w:cs="Arial" w:hint="cs"/>
          <w:u w:val="single"/>
          <w:rtl/>
        </w:rPr>
        <w:t xml:space="preserve"> 'שלא להשביע את עצמי נתכוונתי</w:t>
      </w:r>
      <w:r>
        <w:rPr>
          <w:rFonts w:cs="Arial" w:hint="cs"/>
          <w:u w:val="single"/>
          <w:rtl/>
        </w:rPr>
        <w:t>'</w:t>
      </w:r>
      <w:r w:rsidRPr="00AE33AD">
        <w:rPr>
          <w:rFonts w:cs="Arial" w:hint="cs"/>
          <w:u w:val="single"/>
          <w:rtl/>
        </w:rPr>
        <w:t xml:space="preserve">: </w:t>
      </w:r>
    </w:p>
    <w:p w14:paraId="04B59AF2" w14:textId="77777777" w:rsidR="004B607F" w:rsidRPr="00AE33AD" w:rsidRDefault="004B607F" w:rsidP="004B0475">
      <w:pPr>
        <w:pStyle w:val="ac"/>
        <w:numPr>
          <w:ilvl w:val="0"/>
          <w:numId w:val="95"/>
        </w:numPr>
        <w:rPr>
          <w:rFonts w:cs="Arial"/>
          <w:rtl/>
        </w:rPr>
      </w:pPr>
      <w:r>
        <w:rPr>
          <w:rFonts w:cs="Arial" w:hint="cs"/>
          <w:rtl/>
        </w:rPr>
        <w:t xml:space="preserve">רא"ש </w:t>
      </w:r>
      <w:r>
        <w:rPr>
          <w:rFonts w:cs="Arial" w:hint="cs"/>
          <w:sz w:val="16"/>
          <w:szCs w:val="16"/>
          <w:rtl/>
        </w:rPr>
        <w:t xml:space="preserve">(שם) </w:t>
      </w:r>
      <w:r>
        <w:rPr>
          <w:rFonts w:cs="Arial" w:hint="cs"/>
          <w:rtl/>
        </w:rPr>
        <w:t>ו</w:t>
      </w:r>
      <w:r w:rsidRPr="00AE33AD">
        <w:rPr>
          <w:rFonts w:cs="Arial" w:hint="cs"/>
          <w:rtl/>
        </w:rPr>
        <w:t>טור-</w:t>
      </w:r>
      <w:r w:rsidRPr="00AE33AD">
        <w:rPr>
          <w:rFonts w:cs="Arial"/>
          <w:rtl/>
        </w:rPr>
        <w:t xml:space="preserve"> אבל כשתבע והודה</w:t>
      </w:r>
      <w:r>
        <w:rPr>
          <w:rFonts w:cs="Arial" w:hint="cs"/>
          <w:rtl/>
        </w:rPr>
        <w:t xml:space="preserve"> - </w:t>
      </w:r>
      <w:r w:rsidRPr="00AE33AD">
        <w:rPr>
          <w:rFonts w:cs="Arial"/>
          <w:rtl/>
        </w:rPr>
        <w:t>אינו יכול לומר שלא להשביע עצמי הודיתי</w:t>
      </w:r>
      <w:r>
        <w:rPr>
          <w:rFonts w:cs="Arial" w:hint="cs"/>
          <w:rtl/>
        </w:rPr>
        <w:t>,</w:t>
      </w:r>
      <w:r w:rsidRPr="00AE33AD">
        <w:rPr>
          <w:rFonts w:cs="Arial"/>
          <w:rtl/>
        </w:rPr>
        <w:t xml:space="preserve"> שלא היה לו להודות על טענת חבירו כדי שלא להשביע עצמו</w:t>
      </w:r>
      <w:r>
        <w:rPr>
          <w:rFonts w:cs="Arial" w:hint="cs"/>
          <w:rtl/>
        </w:rPr>
        <w:t>,</w:t>
      </w:r>
      <w:r w:rsidRPr="00AE33AD">
        <w:rPr>
          <w:rFonts w:cs="Arial"/>
          <w:rtl/>
        </w:rPr>
        <w:t xml:space="preserve"> אלא יטעון משטה הייתי בך שזה הוא דרך העולם כדפרישית</w:t>
      </w:r>
      <w:r>
        <w:rPr>
          <w:rFonts w:cs="Arial" w:hint="cs"/>
          <w:sz w:val="16"/>
          <w:szCs w:val="16"/>
          <w:rtl/>
        </w:rPr>
        <w:t xml:space="preserve"> (ל' הטור)</w:t>
      </w:r>
      <w:r w:rsidRPr="00AE33AD">
        <w:rPr>
          <w:rFonts w:cs="Arial" w:hint="cs"/>
          <w:rtl/>
        </w:rPr>
        <w:t>.</w:t>
      </w:r>
      <w:r w:rsidRPr="00504D94">
        <w:rPr>
          <w:rFonts w:cs="Arial" w:hint="cs"/>
          <w:color w:val="E36C0A" w:themeColor="accent6" w:themeShade="BF"/>
          <w:rtl/>
        </w:rPr>
        <w:t xml:space="preserve"> </w:t>
      </w:r>
      <w:r w:rsidRPr="0032591F">
        <w:rPr>
          <w:rFonts w:cs="Arial" w:hint="cs"/>
          <w:color w:val="E36C0A" w:themeColor="accent6" w:themeShade="BF"/>
          <w:rtl/>
        </w:rPr>
        <w:t>(וכ"</w:t>
      </w:r>
      <w:r>
        <w:rPr>
          <w:rFonts w:cs="Arial" w:hint="cs"/>
          <w:color w:val="E36C0A" w:themeColor="accent6" w:themeShade="BF"/>
          <w:rtl/>
        </w:rPr>
        <w:t>ס</w:t>
      </w:r>
      <w:r w:rsidRPr="0032591F">
        <w:rPr>
          <w:rFonts w:cs="Arial" w:hint="cs"/>
          <w:color w:val="E36C0A" w:themeColor="accent6" w:themeShade="BF"/>
          <w:rtl/>
        </w:rPr>
        <w:t xml:space="preserve"> בשו"ע</w:t>
      </w:r>
      <w:r>
        <w:rPr>
          <w:rFonts w:cs="Arial" w:hint="cs"/>
          <w:sz w:val="16"/>
          <w:szCs w:val="16"/>
          <w:rtl/>
        </w:rPr>
        <w:t xml:space="preserve"> [סי' פא סע' טז]</w:t>
      </w:r>
      <w:r w:rsidRPr="0032591F">
        <w:rPr>
          <w:rFonts w:cs="Arial" w:hint="cs"/>
          <w:color w:val="E36C0A" w:themeColor="accent6" w:themeShade="BF"/>
          <w:rtl/>
        </w:rPr>
        <w:t>)</w:t>
      </w:r>
    </w:p>
    <w:p w14:paraId="4605EC3D" w14:textId="77777777" w:rsidR="004B607F" w:rsidRPr="008435CF" w:rsidRDefault="004B607F" w:rsidP="004B607F">
      <w:pPr>
        <w:rPr>
          <w:rFonts w:cs="Arial"/>
          <w:u w:val="single"/>
          <w:rtl/>
        </w:rPr>
      </w:pPr>
      <w:r w:rsidRPr="008435CF">
        <w:rPr>
          <w:rFonts w:cs="Arial" w:hint="cs"/>
          <w:u w:val="single"/>
          <w:rtl/>
        </w:rPr>
        <w:t xml:space="preserve">הודה לחברו בפני עדים </w:t>
      </w:r>
      <w:r w:rsidRPr="008435CF">
        <w:rPr>
          <w:rFonts w:cs="Arial"/>
          <w:u w:val="single"/>
          <w:rtl/>
        </w:rPr>
        <w:t>בהודאה גמורה</w:t>
      </w:r>
      <w:r w:rsidRPr="008435CF">
        <w:rPr>
          <w:rFonts w:cs="Arial" w:hint="cs"/>
          <w:u w:val="single"/>
          <w:rtl/>
        </w:rPr>
        <w:t>,</w:t>
      </w:r>
      <w:r w:rsidRPr="008435CF">
        <w:rPr>
          <w:rFonts w:cs="Arial"/>
          <w:u w:val="single"/>
          <w:rtl/>
        </w:rPr>
        <w:t xml:space="preserve"> ו</w:t>
      </w:r>
      <w:r w:rsidRPr="008435CF">
        <w:rPr>
          <w:rFonts w:cs="Arial" w:hint="cs"/>
          <w:u w:val="single"/>
          <w:rtl/>
        </w:rPr>
        <w:t xml:space="preserve">ראו עדים </w:t>
      </w:r>
      <w:r w:rsidRPr="00A345B9">
        <w:rPr>
          <w:rFonts w:cs="Arial" w:hint="cs"/>
          <w:b/>
          <w:bCs/>
          <w:u w:val="single"/>
          <w:rtl/>
        </w:rPr>
        <w:t>אחרים</w:t>
      </w:r>
      <w:r w:rsidRPr="008435CF">
        <w:rPr>
          <w:rFonts w:cs="Arial" w:hint="cs"/>
          <w:u w:val="single"/>
          <w:rtl/>
        </w:rPr>
        <w:t xml:space="preserve"> את כל זה מהצד</w:t>
      </w:r>
      <w:r>
        <w:rPr>
          <w:rFonts w:cs="Arial" w:hint="cs"/>
          <w:u w:val="single"/>
          <w:rtl/>
        </w:rPr>
        <w:t xml:space="preserve"> </w:t>
      </w:r>
      <w:r w:rsidRPr="008435CF">
        <w:rPr>
          <w:rFonts w:cs="Arial"/>
          <w:u w:val="single"/>
          <w:rtl/>
        </w:rPr>
        <w:t>–</w:t>
      </w:r>
      <w:r w:rsidRPr="008435CF">
        <w:rPr>
          <w:rFonts w:cs="Arial" w:hint="cs"/>
          <w:u w:val="single"/>
          <w:rtl/>
        </w:rPr>
        <w:t xml:space="preserve"> האם יכולים להעיד:</w:t>
      </w:r>
    </w:p>
    <w:p w14:paraId="6C44AE15" w14:textId="77777777" w:rsidR="004B607F" w:rsidRPr="008435CF" w:rsidRDefault="004B607F" w:rsidP="004B0475">
      <w:pPr>
        <w:pStyle w:val="ac"/>
        <w:numPr>
          <w:ilvl w:val="0"/>
          <w:numId w:val="95"/>
        </w:numPr>
        <w:rPr>
          <w:rFonts w:cs="Arial"/>
          <w:rtl/>
        </w:rPr>
      </w:pPr>
      <w:r w:rsidRPr="008435CF">
        <w:rPr>
          <w:rFonts w:cs="Arial"/>
          <w:rtl/>
        </w:rPr>
        <w:t xml:space="preserve">רמ"ה </w:t>
      </w:r>
      <w:r w:rsidRPr="008435CF">
        <w:rPr>
          <w:rFonts w:cs="Arial" w:hint="cs"/>
          <w:sz w:val="16"/>
          <w:szCs w:val="16"/>
          <w:rtl/>
        </w:rPr>
        <w:t xml:space="preserve">(כט: ד"ה מעשה) </w:t>
      </w:r>
      <w:r w:rsidRPr="008435CF">
        <w:rPr>
          <w:rFonts w:cs="Arial" w:hint="cs"/>
          <w:rtl/>
        </w:rPr>
        <w:t xml:space="preserve">וטור- </w:t>
      </w:r>
      <w:r w:rsidRPr="008435CF">
        <w:rPr>
          <w:rFonts w:cs="Arial"/>
          <w:rtl/>
        </w:rPr>
        <w:t>היכא דאודי ליה קמי סהדי בהודאה גמורה וחזי ליה סהדי אחריני</w:t>
      </w:r>
      <w:r>
        <w:rPr>
          <w:rFonts w:cs="Arial" w:hint="cs"/>
          <w:rtl/>
        </w:rPr>
        <w:t>,</w:t>
      </w:r>
      <w:r w:rsidRPr="008435CF">
        <w:rPr>
          <w:rFonts w:cs="Arial"/>
          <w:rtl/>
        </w:rPr>
        <w:t xml:space="preserve"> אע</w:t>
      </w:r>
      <w:r w:rsidRPr="008435CF">
        <w:rPr>
          <w:rFonts w:cs="Arial" w:hint="cs"/>
          <w:rtl/>
        </w:rPr>
        <w:t>"</w:t>
      </w:r>
      <w:r w:rsidRPr="008435CF">
        <w:rPr>
          <w:rFonts w:cs="Arial"/>
          <w:rtl/>
        </w:rPr>
        <w:t xml:space="preserve">ג דליתנהו עדי הודאה כי אתו עדי ראייה ומסהדי דאודי קמי הנך </w:t>
      </w:r>
      <w:r>
        <w:rPr>
          <w:rFonts w:cs="Arial"/>
          <w:rtl/>
        </w:rPr>
        <w:t>–</w:t>
      </w:r>
      <w:r>
        <w:rPr>
          <w:rFonts w:cs="Arial" w:hint="cs"/>
          <w:rtl/>
        </w:rPr>
        <w:t xml:space="preserve"> </w:t>
      </w:r>
      <w:r w:rsidRPr="008435CF">
        <w:rPr>
          <w:rFonts w:cs="Arial"/>
          <w:rtl/>
        </w:rPr>
        <w:t>מיחייב</w:t>
      </w:r>
      <w:r>
        <w:rPr>
          <w:rFonts w:cs="Arial" w:hint="cs"/>
          <w:rtl/>
        </w:rPr>
        <w:t>,</w:t>
      </w:r>
      <w:r w:rsidRPr="008435CF">
        <w:rPr>
          <w:rFonts w:cs="Arial"/>
          <w:rtl/>
        </w:rPr>
        <w:t xml:space="preserve"> דהודאה כהלואה דמיא</w:t>
      </w:r>
      <w:r>
        <w:rPr>
          <w:rFonts w:cs="Arial" w:hint="cs"/>
          <w:rtl/>
        </w:rPr>
        <w:t>,</w:t>
      </w:r>
      <w:r w:rsidRPr="008435CF">
        <w:rPr>
          <w:rFonts w:cs="Arial"/>
          <w:rtl/>
        </w:rPr>
        <w:t xml:space="preserve"> וכי היכי דבהלואה לא בעינן עד דמקבל לסהדי אנפשיה אלא מכי חזי ליה מהימני לאסהודי</w:t>
      </w:r>
      <w:r>
        <w:rPr>
          <w:rFonts w:cs="Arial" w:hint="cs"/>
          <w:rtl/>
        </w:rPr>
        <w:t>,</w:t>
      </w:r>
      <w:r w:rsidRPr="008435CF">
        <w:rPr>
          <w:rFonts w:cs="Arial"/>
          <w:rtl/>
        </w:rPr>
        <w:t xml:space="preserve"> לגבי הודאה נמי אע</w:t>
      </w:r>
      <w:r>
        <w:rPr>
          <w:rFonts w:cs="Arial" w:hint="cs"/>
          <w:rtl/>
        </w:rPr>
        <w:t>"</w:t>
      </w:r>
      <w:r w:rsidRPr="008435CF">
        <w:rPr>
          <w:rFonts w:cs="Arial"/>
          <w:rtl/>
        </w:rPr>
        <w:t>ג דלא מקבל לאחריני עליה מהימני</w:t>
      </w:r>
      <w:r>
        <w:rPr>
          <w:rFonts w:cs="Arial" w:hint="cs"/>
          <w:rtl/>
        </w:rPr>
        <w:t>,</w:t>
      </w:r>
      <w:r w:rsidRPr="008435CF">
        <w:rPr>
          <w:rFonts w:cs="Arial"/>
          <w:rtl/>
        </w:rPr>
        <w:t xml:space="preserve"> דמשעת הודאה מחויב ליה</w:t>
      </w:r>
      <w:r>
        <w:rPr>
          <w:rFonts w:cs="Arial" w:hint="cs"/>
          <w:rtl/>
        </w:rPr>
        <w:t>,</w:t>
      </w:r>
      <w:r w:rsidRPr="008435CF">
        <w:rPr>
          <w:rFonts w:cs="Arial"/>
          <w:rtl/>
        </w:rPr>
        <w:t xml:space="preserve"> והני גלויי מילתא בעלמא נינהו</w:t>
      </w:r>
      <w:r w:rsidRPr="008435CF">
        <w:rPr>
          <w:rFonts w:cs="Arial" w:hint="cs"/>
          <w:sz w:val="16"/>
          <w:szCs w:val="16"/>
          <w:rtl/>
        </w:rPr>
        <w:t xml:space="preserve"> (ל' הטור בשם הרמ"ה)</w:t>
      </w:r>
      <w:r w:rsidRPr="008435CF">
        <w:rPr>
          <w:rFonts w:cs="Arial" w:hint="cs"/>
          <w:rtl/>
        </w:rPr>
        <w:t>.</w:t>
      </w:r>
      <w:r w:rsidRPr="008435CF">
        <w:rPr>
          <w:rFonts w:cs="Arial"/>
          <w:rtl/>
        </w:rPr>
        <w:t xml:space="preserve"> </w:t>
      </w:r>
      <w:r w:rsidRPr="0032591F">
        <w:rPr>
          <w:rFonts w:cs="Arial" w:hint="cs"/>
          <w:color w:val="E36C0A" w:themeColor="accent6" w:themeShade="BF"/>
          <w:rtl/>
        </w:rPr>
        <w:t>(וכ"פ בשו"ע</w:t>
      </w:r>
      <w:r>
        <w:rPr>
          <w:rFonts w:cs="Arial" w:hint="cs"/>
          <w:sz w:val="16"/>
          <w:szCs w:val="16"/>
          <w:rtl/>
        </w:rPr>
        <w:t xml:space="preserve"> [סי' פא סע' ט]</w:t>
      </w:r>
      <w:r w:rsidRPr="0032591F">
        <w:rPr>
          <w:rFonts w:cs="Arial" w:hint="cs"/>
          <w:color w:val="E36C0A" w:themeColor="accent6" w:themeShade="BF"/>
          <w:rtl/>
        </w:rPr>
        <w:t>)</w:t>
      </w:r>
    </w:p>
    <w:p w14:paraId="21D7583D" w14:textId="77777777" w:rsidR="004B607F" w:rsidRPr="00D22458" w:rsidRDefault="004B607F" w:rsidP="004B607F">
      <w:pPr>
        <w:rPr>
          <w:rFonts w:cs="Arial"/>
          <w:u w:val="single"/>
          <w:rtl/>
        </w:rPr>
      </w:pPr>
      <w:r w:rsidRPr="00D22458">
        <w:rPr>
          <w:rFonts w:cs="Arial" w:hint="cs"/>
          <w:u w:val="single"/>
          <w:rtl/>
        </w:rPr>
        <w:t xml:space="preserve">אדם שהודה שחייב לחברו - בפני עד אחד: </w:t>
      </w:r>
    </w:p>
    <w:p w14:paraId="5D60D255" w14:textId="77777777" w:rsidR="004B607F" w:rsidRDefault="004B607F" w:rsidP="004B0475">
      <w:pPr>
        <w:pStyle w:val="ac"/>
        <w:numPr>
          <w:ilvl w:val="0"/>
          <w:numId w:val="95"/>
        </w:numPr>
        <w:rPr>
          <w:rFonts w:cs="Arial"/>
        </w:rPr>
      </w:pPr>
      <w:r w:rsidRPr="00D22458">
        <w:rPr>
          <w:rFonts w:cs="Arial"/>
          <w:rtl/>
        </w:rPr>
        <w:t>בעל המאור</w:t>
      </w:r>
      <w:r w:rsidRPr="00D22458">
        <w:rPr>
          <w:rFonts w:cs="Arial" w:hint="cs"/>
          <w:sz w:val="16"/>
          <w:szCs w:val="16"/>
          <w:rtl/>
        </w:rPr>
        <w:t xml:space="preserve"> (ז: ד"ה עד)</w:t>
      </w:r>
      <w:r w:rsidRPr="004E5144">
        <w:rPr>
          <w:rFonts w:cs="Arial"/>
          <w:rtl/>
        </w:rPr>
        <w:t xml:space="preserve"> </w:t>
      </w:r>
      <w:r>
        <w:rPr>
          <w:rFonts w:cs="Arial" w:hint="cs"/>
          <w:rtl/>
        </w:rPr>
        <w:t>ו</w:t>
      </w:r>
      <w:r>
        <w:rPr>
          <w:rFonts w:cs="Arial"/>
          <w:rtl/>
        </w:rPr>
        <w:t xml:space="preserve">ראב"ד </w:t>
      </w:r>
      <w:r w:rsidRPr="004E5144">
        <w:rPr>
          <w:rFonts w:cs="Arial" w:hint="cs"/>
          <w:sz w:val="16"/>
          <w:szCs w:val="16"/>
          <w:rtl/>
        </w:rPr>
        <w:t>(</w:t>
      </w:r>
      <w:r w:rsidRPr="004E5144">
        <w:rPr>
          <w:rFonts w:cs="Arial"/>
          <w:sz w:val="16"/>
          <w:szCs w:val="16"/>
          <w:rtl/>
        </w:rPr>
        <w:t>בספר כתוב שם עמ' סב)</w:t>
      </w:r>
      <w:r w:rsidRPr="00D22458">
        <w:rPr>
          <w:rFonts w:cs="Arial" w:hint="cs"/>
          <w:rtl/>
        </w:rPr>
        <w:t>-</w:t>
      </w:r>
      <w:r w:rsidRPr="00D22458">
        <w:rPr>
          <w:rFonts w:cs="Arial"/>
          <w:rtl/>
        </w:rPr>
        <w:t xml:space="preserve"> אם הודה בפני אחד </w:t>
      </w:r>
      <w:r>
        <w:rPr>
          <w:rFonts w:cs="Arial" w:hint="cs"/>
          <w:rtl/>
        </w:rPr>
        <w:t xml:space="preserve">- </w:t>
      </w:r>
      <w:r w:rsidRPr="00D22458">
        <w:rPr>
          <w:rFonts w:cs="Arial"/>
          <w:rtl/>
        </w:rPr>
        <w:t>אין בהודאתו כלום</w:t>
      </w:r>
      <w:r>
        <w:rPr>
          <w:rFonts w:cs="Arial" w:hint="cs"/>
          <w:rtl/>
        </w:rPr>
        <w:t>,</w:t>
      </w:r>
      <w:r w:rsidRPr="00D22458">
        <w:rPr>
          <w:rFonts w:cs="Arial"/>
          <w:rtl/>
        </w:rPr>
        <w:t xml:space="preserve"> אפי' שאמר לו אתה עד</w:t>
      </w:r>
      <w:r>
        <w:rPr>
          <w:rFonts w:cs="Arial" w:hint="cs"/>
          <w:rtl/>
        </w:rPr>
        <w:t>.</w:t>
      </w:r>
      <w:r w:rsidRPr="00D22458">
        <w:rPr>
          <w:rFonts w:cs="Arial"/>
          <w:rtl/>
        </w:rPr>
        <w:t xml:space="preserve"> ולא משתבע אפומיה אם כפר בהודאתו</w:t>
      </w:r>
      <w:r w:rsidRPr="00D22458">
        <w:rPr>
          <w:rFonts w:cs="Arial" w:hint="cs"/>
          <w:rtl/>
        </w:rPr>
        <w:t>,</w:t>
      </w:r>
      <w:r w:rsidRPr="00D22458">
        <w:rPr>
          <w:rFonts w:cs="Arial"/>
          <w:rtl/>
        </w:rPr>
        <w:t xml:space="preserve"> ולא מיחייב אם הודה בהודאתו</w:t>
      </w:r>
      <w:r w:rsidRPr="00D22458">
        <w:rPr>
          <w:rFonts w:cs="Arial" w:hint="cs"/>
          <w:rtl/>
        </w:rPr>
        <w:t>,</w:t>
      </w:r>
      <w:r w:rsidRPr="00D22458">
        <w:rPr>
          <w:rFonts w:cs="Arial"/>
          <w:rtl/>
        </w:rPr>
        <w:t xml:space="preserve"> דמילי דכדי נינהו עד שיאמר לשנים אתם עדי</w:t>
      </w:r>
      <w:r>
        <w:rPr>
          <w:rFonts w:cs="Arial" w:hint="cs"/>
          <w:sz w:val="16"/>
          <w:szCs w:val="16"/>
          <w:rtl/>
        </w:rPr>
        <w:t xml:space="preserve"> (ל' הטור בשם בעל המאור)</w:t>
      </w:r>
      <w:r>
        <w:rPr>
          <w:rStyle w:val="ab"/>
          <w:rFonts w:cs="Arial"/>
          <w:rtl/>
        </w:rPr>
        <w:footnoteReference w:id="1837"/>
      </w:r>
      <w:r w:rsidRPr="00D22458">
        <w:rPr>
          <w:rFonts w:cs="Arial" w:hint="cs"/>
          <w:rtl/>
        </w:rPr>
        <w:t>.</w:t>
      </w:r>
      <w:r w:rsidRPr="00D22458">
        <w:rPr>
          <w:rFonts w:cs="Arial"/>
          <w:rtl/>
        </w:rPr>
        <w:t xml:space="preserve"> </w:t>
      </w:r>
    </w:p>
    <w:p w14:paraId="6671ED3B" w14:textId="77777777" w:rsidR="004B607F" w:rsidRDefault="004B607F" w:rsidP="004B0475">
      <w:pPr>
        <w:pStyle w:val="ac"/>
        <w:numPr>
          <w:ilvl w:val="0"/>
          <w:numId w:val="95"/>
        </w:numPr>
        <w:rPr>
          <w:rFonts w:cs="Arial"/>
        </w:rPr>
      </w:pPr>
      <w:r w:rsidRPr="00657698">
        <w:rPr>
          <w:rFonts w:cs="Arial"/>
          <w:rtl/>
        </w:rPr>
        <w:t>רי"ף</w:t>
      </w:r>
      <w:r>
        <w:rPr>
          <w:rFonts w:cs="Arial" w:hint="cs"/>
          <w:rtl/>
        </w:rPr>
        <w:t xml:space="preserve"> </w:t>
      </w:r>
      <w:r w:rsidRPr="00657698">
        <w:rPr>
          <w:rFonts w:cs="Arial"/>
          <w:rtl/>
        </w:rPr>
        <w:t>רמב"ם</w:t>
      </w:r>
      <w:r w:rsidRPr="00657698">
        <w:rPr>
          <w:rStyle w:val="ab"/>
          <w:rFonts w:cs="Arial"/>
          <w:rtl/>
        </w:rPr>
        <w:footnoteReference w:id="1838"/>
      </w:r>
      <w:r w:rsidRPr="00657698">
        <w:rPr>
          <w:rFonts w:cs="Arial"/>
          <w:rtl/>
        </w:rPr>
        <w:t xml:space="preserve"> רמב"ן </w:t>
      </w:r>
      <w:r>
        <w:rPr>
          <w:rFonts w:cs="Arial" w:hint="cs"/>
          <w:rtl/>
        </w:rPr>
        <w:t>בעל</w:t>
      </w:r>
      <w:r w:rsidRPr="00657698">
        <w:rPr>
          <w:rFonts w:cs="Arial"/>
          <w:rtl/>
        </w:rPr>
        <w:t xml:space="preserve"> התרומות רשב"א רא"ש</w:t>
      </w:r>
      <w:r>
        <w:rPr>
          <w:rFonts w:cs="Arial" w:hint="cs"/>
          <w:rtl/>
        </w:rPr>
        <w:t xml:space="preserve"> </w:t>
      </w:r>
      <w:r w:rsidRPr="00657698">
        <w:rPr>
          <w:rFonts w:cs="Arial"/>
          <w:rtl/>
        </w:rPr>
        <w:t xml:space="preserve">ר"ן </w:t>
      </w:r>
      <w:r>
        <w:rPr>
          <w:rFonts w:cs="Arial" w:hint="cs"/>
          <w:rtl/>
        </w:rPr>
        <w:t>ו</w:t>
      </w:r>
      <w:r w:rsidRPr="00657698">
        <w:rPr>
          <w:rFonts w:cs="Arial"/>
          <w:rtl/>
        </w:rPr>
        <w:t>ריב"ש</w:t>
      </w:r>
      <w:r>
        <w:rPr>
          <w:rStyle w:val="ab"/>
          <w:rFonts w:cs="Arial"/>
          <w:rtl/>
        </w:rPr>
        <w:footnoteReference w:id="1839"/>
      </w:r>
      <w:r>
        <w:rPr>
          <w:rFonts w:cs="Arial" w:hint="cs"/>
          <w:rtl/>
        </w:rPr>
        <w:t xml:space="preserve">- </w:t>
      </w:r>
      <w:r w:rsidRPr="00657698">
        <w:rPr>
          <w:rFonts w:cs="Arial"/>
          <w:rtl/>
        </w:rPr>
        <w:t>הודאה בפני עד אחד מהניא משום הודאה ומחייבו שבועה ומצטרף עם אחר לחייבו ממון</w:t>
      </w:r>
      <w:r>
        <w:rPr>
          <w:rFonts w:cs="Arial" w:hint="cs"/>
          <w:sz w:val="16"/>
          <w:szCs w:val="16"/>
          <w:rtl/>
        </w:rPr>
        <w:t xml:space="preserve"> (ל' הריב"ש)</w:t>
      </w:r>
      <w:r>
        <w:rPr>
          <w:rFonts w:cs="Arial" w:hint="cs"/>
          <w:rtl/>
        </w:rPr>
        <w:t>.</w:t>
      </w:r>
      <w:r w:rsidRPr="00657698">
        <w:rPr>
          <w:rFonts w:cs="Arial"/>
          <w:rtl/>
        </w:rPr>
        <w:t xml:space="preserve"> </w:t>
      </w:r>
      <w:r w:rsidRPr="0032591F">
        <w:rPr>
          <w:rFonts w:cs="Arial" w:hint="cs"/>
          <w:color w:val="E36C0A" w:themeColor="accent6" w:themeShade="BF"/>
          <w:rtl/>
        </w:rPr>
        <w:t>(וכ"פ בשו"ע</w:t>
      </w:r>
      <w:r>
        <w:rPr>
          <w:rFonts w:cs="Arial" w:hint="cs"/>
          <w:sz w:val="16"/>
          <w:szCs w:val="16"/>
          <w:rtl/>
        </w:rPr>
        <w:t xml:space="preserve"> [סי' פא סע' י]</w:t>
      </w:r>
      <w:r w:rsidRPr="0032591F">
        <w:rPr>
          <w:rFonts w:cs="Arial" w:hint="cs"/>
          <w:color w:val="E36C0A" w:themeColor="accent6" w:themeShade="BF"/>
          <w:rtl/>
        </w:rPr>
        <w:t>)</w:t>
      </w:r>
    </w:p>
    <w:p w14:paraId="3BA6CEEB" w14:textId="77777777" w:rsidR="004B607F" w:rsidRPr="00657698" w:rsidRDefault="004B607F" w:rsidP="004B0475">
      <w:pPr>
        <w:pStyle w:val="ac"/>
        <w:numPr>
          <w:ilvl w:val="1"/>
          <w:numId w:val="95"/>
        </w:numPr>
        <w:rPr>
          <w:rFonts w:cs="Arial"/>
          <w:rtl/>
        </w:rPr>
      </w:pPr>
      <w:r w:rsidRPr="00657698">
        <w:rPr>
          <w:rFonts w:cs="Arial" w:hint="cs"/>
          <w:rtl/>
        </w:rPr>
        <w:t>ב"י- ו</w:t>
      </w:r>
      <w:r w:rsidRPr="00657698">
        <w:rPr>
          <w:rFonts w:cs="Arial"/>
          <w:rtl/>
        </w:rPr>
        <w:t>לענין הלכה כיון דכל הני רבוותא חולקים על בעל המאור נקטינן כוותייהו</w:t>
      </w:r>
      <w:r w:rsidRPr="00657698">
        <w:rPr>
          <w:rFonts w:cs="Arial" w:hint="cs"/>
          <w:rtl/>
        </w:rPr>
        <w:t>.</w:t>
      </w:r>
      <w:r w:rsidRPr="00657698">
        <w:rPr>
          <w:rFonts w:cs="Arial"/>
          <w:rtl/>
        </w:rPr>
        <w:t xml:space="preserve"> </w:t>
      </w:r>
    </w:p>
    <w:p w14:paraId="095CE916" w14:textId="77777777" w:rsidR="004B607F" w:rsidRDefault="004B607F" w:rsidP="004B607F">
      <w:pPr>
        <w:rPr>
          <w:rFonts w:cs="Arial"/>
          <w:rtl/>
        </w:rPr>
      </w:pPr>
      <w:r w:rsidRPr="0032591F">
        <w:rPr>
          <w:rFonts w:cs="Arial"/>
          <w:u w:val="single"/>
          <w:rtl/>
        </w:rPr>
        <w:lastRenderedPageBreak/>
        <w:t xml:space="preserve">האומר לחבירו </w:t>
      </w:r>
      <w:r>
        <w:rPr>
          <w:rFonts w:cs="Arial" w:hint="cs"/>
          <w:u w:val="single"/>
          <w:rtl/>
        </w:rPr>
        <w:t>'</w:t>
      </w:r>
      <w:r w:rsidRPr="0032591F">
        <w:rPr>
          <w:rFonts w:cs="Arial"/>
          <w:u w:val="single"/>
          <w:rtl/>
        </w:rPr>
        <w:t>מנה לך בידי הילך מהם חמשים</w:t>
      </w:r>
      <w:r>
        <w:rPr>
          <w:rFonts w:cs="Arial" w:hint="cs"/>
          <w:u w:val="single"/>
          <w:rtl/>
        </w:rPr>
        <w:t xml:space="preserve">' </w:t>
      </w:r>
      <w:r>
        <w:rPr>
          <w:rFonts w:cs="Arial"/>
          <w:u w:val="single"/>
          <w:rtl/>
        </w:rPr>
        <w:t>–</w:t>
      </w:r>
      <w:r>
        <w:rPr>
          <w:rFonts w:cs="Arial" w:hint="cs"/>
          <w:u w:val="single"/>
          <w:rtl/>
        </w:rPr>
        <w:t xml:space="preserve"> האם יכול לומר לו אח"כ 'משטה אני בך' לגבי החמשים הנותרים</w:t>
      </w:r>
      <w:r w:rsidRPr="0032591F">
        <w:rPr>
          <w:rFonts w:cs="Arial" w:hint="cs"/>
          <w:u w:val="single"/>
          <w:rtl/>
        </w:rPr>
        <w:t>:</w:t>
      </w:r>
    </w:p>
    <w:p w14:paraId="4C66B10E" w14:textId="77777777" w:rsidR="004B607F" w:rsidRPr="0032591F" w:rsidRDefault="004B607F" w:rsidP="004B0475">
      <w:pPr>
        <w:pStyle w:val="ac"/>
        <w:numPr>
          <w:ilvl w:val="0"/>
          <w:numId w:val="96"/>
        </w:numPr>
        <w:rPr>
          <w:rFonts w:cs="Arial"/>
          <w:rtl/>
        </w:rPr>
      </w:pPr>
      <w:r w:rsidRPr="0032591F">
        <w:rPr>
          <w:rFonts w:cs="Arial"/>
          <w:rtl/>
        </w:rPr>
        <w:t xml:space="preserve">בעל התרומות </w:t>
      </w:r>
      <w:r w:rsidRPr="0032591F">
        <w:rPr>
          <w:rFonts w:cs="Arial" w:hint="cs"/>
          <w:sz w:val="16"/>
          <w:szCs w:val="16"/>
          <w:rtl/>
        </w:rPr>
        <w:t>(</w:t>
      </w:r>
      <w:r w:rsidRPr="0032591F">
        <w:rPr>
          <w:rFonts w:cs="Arial"/>
          <w:sz w:val="16"/>
          <w:szCs w:val="16"/>
          <w:rtl/>
        </w:rPr>
        <w:t xml:space="preserve">שער מב ח"ו סי' ב) </w:t>
      </w:r>
      <w:r w:rsidRPr="0032591F">
        <w:rPr>
          <w:rFonts w:cs="Arial" w:hint="cs"/>
          <w:rtl/>
        </w:rPr>
        <w:t>ו</w:t>
      </w:r>
      <w:r w:rsidRPr="0032591F">
        <w:rPr>
          <w:rFonts w:cs="Arial"/>
          <w:rtl/>
        </w:rPr>
        <w:t>בהעי</w:t>
      </w:r>
      <w:r w:rsidRPr="0032591F">
        <w:rPr>
          <w:rFonts w:cs="Arial" w:hint="cs"/>
          <w:rtl/>
        </w:rPr>
        <w:t>"</w:t>
      </w:r>
      <w:r w:rsidRPr="0032591F">
        <w:rPr>
          <w:rFonts w:cs="Arial"/>
          <w:rtl/>
        </w:rPr>
        <w:t xml:space="preserve">ט </w:t>
      </w:r>
      <w:r w:rsidRPr="0032591F">
        <w:rPr>
          <w:rFonts w:cs="Arial"/>
          <w:sz w:val="16"/>
          <w:szCs w:val="16"/>
          <w:rtl/>
        </w:rPr>
        <w:t>(אות כ לט ע"ג)</w:t>
      </w:r>
      <w:r w:rsidRPr="0032591F">
        <w:rPr>
          <w:rFonts w:cs="Arial" w:hint="cs"/>
          <w:rtl/>
        </w:rPr>
        <w:t>-</w:t>
      </w:r>
      <w:r w:rsidRPr="0032591F">
        <w:rPr>
          <w:rFonts w:cs="Arial"/>
          <w:rtl/>
        </w:rPr>
        <w:t xml:space="preserve"> האומר לחבירו מנה לך בידי הילך מהם חמשים ולא אמר אתם עדי </w:t>
      </w:r>
      <w:r>
        <w:rPr>
          <w:rFonts w:cs="Arial" w:hint="cs"/>
          <w:rtl/>
        </w:rPr>
        <w:t xml:space="preserve">- </w:t>
      </w:r>
      <w:r w:rsidRPr="0032591F">
        <w:rPr>
          <w:rFonts w:cs="Arial"/>
          <w:rtl/>
        </w:rPr>
        <w:t>יכול לומר משטה אני בך לגבי החמשים שעדיין לא נתן לו</w:t>
      </w:r>
      <w:r>
        <w:rPr>
          <w:rFonts w:cs="Arial" w:hint="cs"/>
          <w:rtl/>
        </w:rPr>
        <w:t>,</w:t>
      </w:r>
      <w:r w:rsidRPr="0032591F">
        <w:rPr>
          <w:rFonts w:cs="Arial"/>
          <w:rtl/>
        </w:rPr>
        <w:t xml:space="preserve"> אבל מה שנתן לו נתון</w:t>
      </w:r>
      <w:r>
        <w:rPr>
          <w:rFonts w:cs="Arial" w:hint="cs"/>
          <w:sz w:val="16"/>
          <w:szCs w:val="16"/>
          <w:rtl/>
        </w:rPr>
        <w:t xml:space="preserve"> (ל' בעל התרומות)</w:t>
      </w:r>
      <w:r w:rsidRPr="0032591F">
        <w:rPr>
          <w:rFonts w:cs="Arial"/>
          <w:rtl/>
        </w:rPr>
        <w:t xml:space="preserve">. </w:t>
      </w:r>
      <w:r w:rsidRPr="0032591F">
        <w:rPr>
          <w:rFonts w:cs="Arial" w:hint="cs"/>
          <w:color w:val="E36C0A" w:themeColor="accent6" w:themeShade="BF"/>
          <w:rtl/>
        </w:rPr>
        <w:t>(וכ"פ בשו"ע</w:t>
      </w:r>
      <w:r>
        <w:rPr>
          <w:rFonts w:cs="Arial" w:hint="cs"/>
          <w:sz w:val="16"/>
          <w:szCs w:val="16"/>
          <w:rtl/>
        </w:rPr>
        <w:t xml:space="preserve"> [סי' פא סע' כו]</w:t>
      </w:r>
      <w:r w:rsidRPr="0032591F">
        <w:rPr>
          <w:rFonts w:cs="Arial" w:hint="cs"/>
          <w:color w:val="E36C0A" w:themeColor="accent6" w:themeShade="BF"/>
          <w:rtl/>
        </w:rPr>
        <w:t>)</w:t>
      </w:r>
    </w:p>
    <w:p w14:paraId="1AA34B8B" w14:textId="77777777" w:rsidR="004B607F" w:rsidRDefault="004B607F" w:rsidP="004B0475">
      <w:pPr>
        <w:pStyle w:val="ac"/>
        <w:numPr>
          <w:ilvl w:val="0"/>
          <w:numId w:val="96"/>
        </w:numPr>
        <w:rPr>
          <w:rFonts w:cs="Arial"/>
        </w:rPr>
      </w:pPr>
      <w:r w:rsidRPr="0032591F">
        <w:rPr>
          <w:rFonts w:cs="Arial"/>
          <w:rtl/>
        </w:rPr>
        <w:t xml:space="preserve">ראב"ד </w:t>
      </w:r>
      <w:r w:rsidRPr="0032591F">
        <w:rPr>
          <w:rFonts w:cs="Arial" w:hint="cs"/>
          <w:sz w:val="16"/>
          <w:szCs w:val="16"/>
          <w:rtl/>
        </w:rPr>
        <w:t>(להב' הב"י)</w:t>
      </w:r>
      <w:r w:rsidRPr="0032591F">
        <w:rPr>
          <w:rFonts w:cs="Arial" w:hint="cs"/>
          <w:rtl/>
        </w:rPr>
        <w:t>-</w:t>
      </w:r>
      <w:r w:rsidRPr="0032591F">
        <w:rPr>
          <w:rFonts w:cs="Arial"/>
          <w:rtl/>
        </w:rPr>
        <w:t xml:space="preserve"> אף מה שנתן אינו נתון</w:t>
      </w:r>
      <w:r w:rsidRPr="0032591F">
        <w:rPr>
          <w:rFonts w:cs="Arial" w:hint="cs"/>
          <w:rtl/>
        </w:rPr>
        <w:t>.</w:t>
      </w:r>
      <w:r w:rsidRPr="0032591F">
        <w:rPr>
          <w:rFonts w:cs="Arial"/>
          <w:rtl/>
        </w:rPr>
        <w:t xml:space="preserve"> </w:t>
      </w:r>
    </w:p>
    <w:p w14:paraId="0595C4BA" w14:textId="77777777" w:rsidR="004B607F" w:rsidRPr="0032591F" w:rsidRDefault="004B607F" w:rsidP="004B607F">
      <w:pPr>
        <w:rPr>
          <w:rFonts w:cs="Arial"/>
          <w:u w:val="single"/>
        </w:rPr>
      </w:pPr>
      <w:r w:rsidRPr="0032591F">
        <w:rPr>
          <w:rFonts w:cs="Arial" w:hint="cs"/>
          <w:u w:val="single"/>
          <w:rtl/>
        </w:rPr>
        <w:t>אמר 'מנה לפלוני בידי' ונשבע על כך:</w:t>
      </w:r>
    </w:p>
    <w:p w14:paraId="5DA8D402" w14:textId="77777777" w:rsidR="004B607F" w:rsidRDefault="004B607F" w:rsidP="004B0475">
      <w:pPr>
        <w:pStyle w:val="ac"/>
        <w:numPr>
          <w:ilvl w:val="0"/>
          <w:numId w:val="96"/>
        </w:numPr>
        <w:rPr>
          <w:rFonts w:cs="Arial"/>
        </w:rPr>
      </w:pPr>
      <w:r w:rsidRPr="0032591F">
        <w:rPr>
          <w:rFonts w:cs="Arial"/>
          <w:rtl/>
        </w:rPr>
        <w:t xml:space="preserve">בעל התרומות </w:t>
      </w:r>
      <w:r w:rsidRPr="0032591F">
        <w:rPr>
          <w:rFonts w:cs="Arial"/>
          <w:sz w:val="16"/>
          <w:szCs w:val="16"/>
          <w:rtl/>
        </w:rPr>
        <w:t>(</w:t>
      </w:r>
      <w:r w:rsidRPr="0032591F">
        <w:rPr>
          <w:rFonts w:cs="Arial" w:hint="cs"/>
          <w:sz w:val="16"/>
          <w:szCs w:val="16"/>
          <w:rtl/>
        </w:rPr>
        <w:t xml:space="preserve">שער מב </w:t>
      </w:r>
      <w:r w:rsidRPr="0032591F">
        <w:rPr>
          <w:rFonts w:cs="Arial"/>
          <w:sz w:val="16"/>
          <w:szCs w:val="16"/>
          <w:rtl/>
        </w:rPr>
        <w:t>ח"ז סי' ב)</w:t>
      </w:r>
      <w:r w:rsidRPr="0032591F">
        <w:rPr>
          <w:rFonts w:cs="Arial" w:hint="cs"/>
          <w:rtl/>
        </w:rPr>
        <w:t>-</w:t>
      </w:r>
      <w:r w:rsidRPr="0032591F">
        <w:rPr>
          <w:rFonts w:cs="Arial"/>
          <w:rtl/>
        </w:rPr>
        <w:t xml:space="preserve"> אמר מנה לפלוני בידי ונשבע על כך הוי כאומר אתם עדי</w:t>
      </w:r>
      <w:r w:rsidRPr="0032591F">
        <w:rPr>
          <w:rFonts w:cs="Arial" w:hint="cs"/>
          <w:rtl/>
        </w:rPr>
        <w:t>.</w:t>
      </w:r>
      <w:r w:rsidRPr="0032591F">
        <w:rPr>
          <w:rFonts w:cs="Arial"/>
          <w:rtl/>
        </w:rPr>
        <w:t xml:space="preserve"> </w:t>
      </w:r>
      <w:r w:rsidRPr="0032591F">
        <w:rPr>
          <w:rFonts w:cs="Arial" w:hint="cs"/>
          <w:color w:val="E36C0A" w:themeColor="accent6" w:themeShade="BF"/>
          <w:rtl/>
        </w:rPr>
        <w:t>(וכ"פ בשו"ע</w:t>
      </w:r>
      <w:r>
        <w:rPr>
          <w:rFonts w:cs="Arial" w:hint="cs"/>
          <w:sz w:val="16"/>
          <w:szCs w:val="16"/>
          <w:rtl/>
        </w:rPr>
        <w:t xml:space="preserve"> [סי' פא סע' כח]</w:t>
      </w:r>
      <w:r w:rsidRPr="0032591F">
        <w:rPr>
          <w:rFonts w:cs="Arial" w:hint="cs"/>
          <w:color w:val="E36C0A" w:themeColor="accent6" w:themeShade="BF"/>
          <w:rtl/>
        </w:rPr>
        <w:t>)</w:t>
      </w:r>
    </w:p>
    <w:p w14:paraId="30DA32A9" w14:textId="77777777" w:rsidR="004B607F" w:rsidRPr="0032591F" w:rsidRDefault="004B607F" w:rsidP="004B607F">
      <w:pPr>
        <w:rPr>
          <w:rFonts w:cs="Arial"/>
          <w:u w:val="single"/>
        </w:rPr>
      </w:pPr>
      <w:r w:rsidRPr="0032591F">
        <w:rPr>
          <w:rFonts w:cs="Arial"/>
          <w:u w:val="single"/>
          <w:rtl/>
        </w:rPr>
        <w:t>הודה מעצמו לפני שכיב מרע שחייב לו מנה</w:t>
      </w:r>
      <w:r w:rsidRPr="0032591F">
        <w:rPr>
          <w:rFonts w:cs="Arial" w:hint="cs"/>
          <w:u w:val="single"/>
          <w:rtl/>
        </w:rPr>
        <w:t>:</w:t>
      </w:r>
    </w:p>
    <w:p w14:paraId="3DD64062" w14:textId="77777777" w:rsidR="004B607F" w:rsidRDefault="004B607F" w:rsidP="004B0475">
      <w:pPr>
        <w:pStyle w:val="ac"/>
        <w:numPr>
          <w:ilvl w:val="0"/>
          <w:numId w:val="96"/>
        </w:numPr>
        <w:rPr>
          <w:rFonts w:cs="Arial"/>
        </w:rPr>
      </w:pPr>
      <w:r w:rsidRPr="0032591F">
        <w:rPr>
          <w:rFonts w:cs="Arial"/>
          <w:rtl/>
        </w:rPr>
        <w:t xml:space="preserve">מרדכי </w:t>
      </w:r>
      <w:r w:rsidRPr="0032591F">
        <w:rPr>
          <w:rFonts w:cs="Arial"/>
          <w:sz w:val="16"/>
          <w:szCs w:val="16"/>
          <w:rtl/>
        </w:rPr>
        <w:t>(סנהדרין סי' תשה</w:t>
      </w:r>
      <w:r>
        <w:rPr>
          <w:rFonts w:cs="Arial" w:hint="cs"/>
          <w:sz w:val="16"/>
          <w:szCs w:val="16"/>
          <w:rtl/>
        </w:rPr>
        <w:t>, להב' הב"י</w:t>
      </w:r>
      <w:r w:rsidRPr="0032591F">
        <w:rPr>
          <w:rFonts w:cs="Arial"/>
          <w:sz w:val="16"/>
          <w:szCs w:val="16"/>
          <w:rtl/>
        </w:rPr>
        <w:t>)</w:t>
      </w:r>
      <w:r>
        <w:rPr>
          <w:rFonts w:cs="Arial" w:hint="cs"/>
          <w:rtl/>
        </w:rPr>
        <w:t xml:space="preserve">- </w:t>
      </w:r>
      <w:r w:rsidRPr="0032591F">
        <w:rPr>
          <w:rFonts w:cs="Arial"/>
          <w:rtl/>
        </w:rPr>
        <w:t xml:space="preserve">אם הודה מעצמו לפני שכיב מרע שחייב לו מנה </w:t>
      </w:r>
      <w:r>
        <w:rPr>
          <w:rFonts w:cs="Arial" w:hint="cs"/>
          <w:rtl/>
        </w:rPr>
        <w:t xml:space="preserve">- </w:t>
      </w:r>
      <w:r w:rsidRPr="0032591F">
        <w:rPr>
          <w:rFonts w:cs="Arial"/>
          <w:rtl/>
        </w:rPr>
        <w:t>אינו יכול לטעון טענת שלא להשביע</w:t>
      </w:r>
      <w:r>
        <w:rPr>
          <w:rStyle w:val="ab"/>
          <w:rFonts w:cs="Arial"/>
          <w:rtl/>
        </w:rPr>
        <w:footnoteReference w:id="1840"/>
      </w:r>
      <w:r w:rsidRPr="0032591F">
        <w:rPr>
          <w:rFonts w:cs="Arial"/>
          <w:rtl/>
        </w:rPr>
        <w:t xml:space="preserve">. </w:t>
      </w:r>
      <w:r w:rsidRPr="0032591F">
        <w:rPr>
          <w:rFonts w:cs="Arial" w:hint="cs"/>
          <w:color w:val="E36C0A" w:themeColor="accent6" w:themeShade="BF"/>
          <w:rtl/>
        </w:rPr>
        <w:t>(וכ"פ בשו"ע</w:t>
      </w:r>
      <w:r>
        <w:rPr>
          <w:rFonts w:cs="Arial" w:hint="cs"/>
          <w:sz w:val="16"/>
          <w:szCs w:val="16"/>
          <w:rtl/>
        </w:rPr>
        <w:t xml:space="preserve"> [סי' פא סע' כז]</w:t>
      </w:r>
      <w:r w:rsidRPr="0032591F">
        <w:rPr>
          <w:rFonts w:cs="Arial" w:hint="cs"/>
          <w:color w:val="E36C0A" w:themeColor="accent6" w:themeShade="BF"/>
          <w:rtl/>
        </w:rPr>
        <w:t>)</w:t>
      </w:r>
      <w:r w:rsidRPr="00504D94">
        <w:rPr>
          <w:rFonts w:cs="Arial" w:hint="cs"/>
          <w:color w:val="00B0F0"/>
          <w:rtl/>
        </w:rPr>
        <w:t xml:space="preserve"> </w:t>
      </w:r>
    </w:p>
    <w:p w14:paraId="5F70B1E9" w14:textId="77777777" w:rsidR="004B607F" w:rsidRPr="0032591F" w:rsidRDefault="004B607F" w:rsidP="004B607F">
      <w:pPr>
        <w:rPr>
          <w:rFonts w:cs="Arial"/>
          <w:u w:val="single"/>
        </w:rPr>
      </w:pPr>
      <w:r w:rsidRPr="0032591F">
        <w:rPr>
          <w:rFonts w:cs="Arial"/>
          <w:u w:val="single"/>
          <w:rtl/>
        </w:rPr>
        <w:t>הודה בפני עדים בלא קנין</w:t>
      </w:r>
      <w:r w:rsidRPr="0032591F">
        <w:rPr>
          <w:rFonts w:cs="Arial" w:hint="cs"/>
          <w:u w:val="single"/>
          <w:rtl/>
        </w:rPr>
        <w:t>:</w:t>
      </w:r>
    </w:p>
    <w:p w14:paraId="01662E56" w14:textId="77777777" w:rsidR="004B607F" w:rsidRPr="0032591F" w:rsidRDefault="004B607F" w:rsidP="004B0475">
      <w:pPr>
        <w:pStyle w:val="ac"/>
        <w:numPr>
          <w:ilvl w:val="0"/>
          <w:numId w:val="96"/>
        </w:numPr>
        <w:rPr>
          <w:rFonts w:cs="Arial"/>
          <w:rtl/>
        </w:rPr>
      </w:pPr>
      <w:r w:rsidRPr="0032591F">
        <w:rPr>
          <w:rFonts w:cs="Arial"/>
          <w:rtl/>
        </w:rPr>
        <w:t xml:space="preserve">רא"ש </w:t>
      </w:r>
      <w:r>
        <w:rPr>
          <w:rFonts w:cs="Arial" w:hint="cs"/>
          <w:sz w:val="16"/>
          <w:szCs w:val="16"/>
          <w:rtl/>
        </w:rPr>
        <w:t>(</w:t>
      </w:r>
      <w:r w:rsidRPr="0032591F">
        <w:rPr>
          <w:rFonts w:cs="Arial"/>
          <w:sz w:val="16"/>
          <w:szCs w:val="16"/>
          <w:rtl/>
        </w:rPr>
        <w:t>כלל סה סי' ג)</w:t>
      </w:r>
      <w:r>
        <w:rPr>
          <w:rFonts w:cs="Arial" w:hint="cs"/>
          <w:rtl/>
        </w:rPr>
        <w:t xml:space="preserve">- </w:t>
      </w:r>
      <w:r w:rsidRPr="0032591F">
        <w:rPr>
          <w:rFonts w:cs="Arial"/>
          <w:rtl/>
        </w:rPr>
        <w:t>הודה בפני עדים בלא קנין אע</w:t>
      </w:r>
      <w:r>
        <w:rPr>
          <w:rFonts w:cs="Arial" w:hint="cs"/>
          <w:rtl/>
        </w:rPr>
        <w:t>"</w:t>
      </w:r>
      <w:r w:rsidRPr="0032591F">
        <w:rPr>
          <w:rFonts w:cs="Arial"/>
          <w:rtl/>
        </w:rPr>
        <w:t>פ שאמר להם כתבו שטר אם לא אמר אתם עדי לאו הודאה היא</w:t>
      </w:r>
      <w:r>
        <w:rPr>
          <w:rFonts w:cs="Arial" w:hint="cs"/>
          <w:rtl/>
        </w:rPr>
        <w:t xml:space="preserve">. </w:t>
      </w:r>
      <w:r w:rsidRPr="0032591F">
        <w:rPr>
          <w:rFonts w:cs="Arial" w:hint="cs"/>
          <w:color w:val="E36C0A" w:themeColor="accent6" w:themeShade="BF"/>
          <w:rtl/>
        </w:rPr>
        <w:t>(וכ"פ בשו"ע</w:t>
      </w:r>
      <w:r>
        <w:rPr>
          <w:rFonts w:cs="Arial" w:hint="cs"/>
          <w:sz w:val="16"/>
          <w:szCs w:val="16"/>
          <w:rtl/>
        </w:rPr>
        <w:t xml:space="preserve"> [סי' פא סע' יח]</w:t>
      </w:r>
      <w:r w:rsidRPr="0032591F">
        <w:rPr>
          <w:rFonts w:cs="Arial" w:hint="cs"/>
          <w:color w:val="E36C0A" w:themeColor="accent6" w:themeShade="BF"/>
          <w:rtl/>
        </w:rPr>
        <w:t>)</w:t>
      </w:r>
      <w:r w:rsidRPr="00504D94">
        <w:rPr>
          <w:rFonts w:cs="Arial" w:hint="cs"/>
          <w:color w:val="00B0F0"/>
          <w:rtl/>
        </w:rPr>
        <w:t xml:space="preserve"> </w:t>
      </w:r>
      <w:r>
        <w:rPr>
          <w:rFonts w:cs="Arial" w:hint="cs"/>
          <w:rtl/>
        </w:rPr>
        <w:t xml:space="preserve"> </w:t>
      </w:r>
    </w:p>
    <w:p w14:paraId="480C41EE" w14:textId="77777777" w:rsidR="004B607F" w:rsidRPr="00C51800" w:rsidRDefault="004B607F" w:rsidP="004B607F">
      <w:pPr>
        <w:rPr>
          <w:rFonts w:cs="Arial"/>
          <w:u w:val="single"/>
          <w:rtl/>
        </w:rPr>
      </w:pPr>
      <w:r w:rsidRPr="00C51800">
        <w:rPr>
          <w:rFonts w:cs="Arial"/>
          <w:u w:val="single"/>
          <w:rtl/>
        </w:rPr>
        <w:t>המוסר לחבירו שטר שכתוב בו שהוא חייב לו מנה</w:t>
      </w:r>
      <w:r w:rsidRPr="00C51800">
        <w:rPr>
          <w:rFonts w:cs="Arial" w:hint="cs"/>
          <w:u w:val="single"/>
          <w:rtl/>
        </w:rPr>
        <w:t>:</w:t>
      </w:r>
      <w:r w:rsidRPr="00C51800">
        <w:rPr>
          <w:rFonts w:cs="Arial"/>
          <w:u w:val="single"/>
          <w:rtl/>
        </w:rPr>
        <w:t xml:space="preserve"> </w:t>
      </w:r>
    </w:p>
    <w:p w14:paraId="194A1324" w14:textId="77777777" w:rsidR="004B607F" w:rsidRPr="00C51800" w:rsidRDefault="004B607F" w:rsidP="004B0475">
      <w:pPr>
        <w:pStyle w:val="ac"/>
        <w:numPr>
          <w:ilvl w:val="0"/>
          <w:numId w:val="96"/>
        </w:numPr>
        <w:rPr>
          <w:rFonts w:cs="Arial"/>
          <w:rtl/>
        </w:rPr>
      </w:pPr>
      <w:r w:rsidRPr="00C51800">
        <w:rPr>
          <w:rFonts w:cs="Arial" w:hint="cs"/>
          <w:rtl/>
        </w:rPr>
        <w:t xml:space="preserve">טור </w:t>
      </w:r>
      <w:r w:rsidRPr="00C51800">
        <w:rPr>
          <w:rFonts w:cs="Arial" w:hint="cs"/>
          <w:sz w:val="16"/>
          <w:szCs w:val="16"/>
          <w:rtl/>
        </w:rPr>
        <w:t>(</w:t>
      </w:r>
      <w:r w:rsidRPr="00C51800">
        <w:rPr>
          <w:rFonts w:cs="Arial"/>
          <w:sz w:val="16"/>
          <w:szCs w:val="16"/>
          <w:rtl/>
        </w:rPr>
        <w:t>סי</w:t>
      </w:r>
      <w:r w:rsidRPr="00C51800">
        <w:rPr>
          <w:rFonts w:cs="Arial" w:hint="cs"/>
          <w:sz w:val="16"/>
          <w:szCs w:val="16"/>
          <w:rtl/>
        </w:rPr>
        <w:t>'</w:t>
      </w:r>
      <w:r w:rsidRPr="00C51800">
        <w:rPr>
          <w:rFonts w:cs="Arial"/>
          <w:sz w:val="16"/>
          <w:szCs w:val="16"/>
          <w:rtl/>
        </w:rPr>
        <w:t xml:space="preserve"> מ ס"א)</w:t>
      </w:r>
      <w:r w:rsidRPr="00C51800">
        <w:rPr>
          <w:rFonts w:cs="Arial" w:hint="cs"/>
          <w:rtl/>
        </w:rPr>
        <w:t>-</w:t>
      </w:r>
      <w:r w:rsidRPr="00C51800">
        <w:rPr>
          <w:rFonts w:cs="Arial"/>
          <w:rtl/>
        </w:rPr>
        <w:t xml:space="preserve"> המוסר לחבירו שטר שכתוב בו שהוא חייב לו מנה </w:t>
      </w:r>
      <w:r>
        <w:rPr>
          <w:rFonts w:cs="Arial" w:hint="cs"/>
          <w:rtl/>
        </w:rPr>
        <w:t xml:space="preserve">- </w:t>
      </w:r>
      <w:r w:rsidRPr="00C51800">
        <w:rPr>
          <w:rFonts w:cs="Arial"/>
          <w:rtl/>
        </w:rPr>
        <w:t>אע</w:t>
      </w:r>
      <w:r w:rsidRPr="00C51800">
        <w:rPr>
          <w:rFonts w:cs="Arial" w:hint="cs"/>
          <w:rtl/>
        </w:rPr>
        <w:t>"</w:t>
      </w:r>
      <w:r w:rsidRPr="00C51800">
        <w:rPr>
          <w:rFonts w:cs="Arial"/>
          <w:rtl/>
        </w:rPr>
        <w:t>פ שלא אמר אתם עדי הויא הודאה</w:t>
      </w:r>
      <w:r w:rsidRPr="00C51800">
        <w:rPr>
          <w:rFonts w:cs="Arial" w:hint="cs"/>
          <w:rtl/>
        </w:rPr>
        <w:t>.</w:t>
      </w:r>
      <w:r w:rsidRPr="00DF3378">
        <w:rPr>
          <w:rFonts w:cs="Arial" w:hint="cs"/>
          <w:color w:val="E36C0A" w:themeColor="accent6" w:themeShade="BF"/>
          <w:rtl/>
        </w:rPr>
        <w:t xml:space="preserve"> </w:t>
      </w:r>
      <w:r w:rsidRPr="0032591F">
        <w:rPr>
          <w:rFonts w:cs="Arial" w:hint="cs"/>
          <w:color w:val="E36C0A" w:themeColor="accent6" w:themeShade="BF"/>
          <w:rtl/>
        </w:rPr>
        <w:t>(וכ"פ בשו"ע</w:t>
      </w:r>
      <w:r>
        <w:rPr>
          <w:rFonts w:cs="Arial" w:hint="cs"/>
          <w:sz w:val="16"/>
          <w:szCs w:val="16"/>
          <w:rtl/>
        </w:rPr>
        <w:t xml:space="preserve"> [סי' פא סע' יט]</w:t>
      </w:r>
      <w:r w:rsidRPr="0032591F">
        <w:rPr>
          <w:rFonts w:cs="Arial" w:hint="cs"/>
          <w:color w:val="E36C0A" w:themeColor="accent6" w:themeShade="BF"/>
          <w:rtl/>
        </w:rPr>
        <w:t>)</w:t>
      </w:r>
    </w:p>
    <w:p w14:paraId="49CD1C8D" w14:textId="77777777" w:rsidR="004B607F" w:rsidRPr="00C51800" w:rsidRDefault="004B607F" w:rsidP="004B607F">
      <w:pPr>
        <w:rPr>
          <w:rFonts w:cs="Arial"/>
          <w:u w:val="single"/>
          <w:rtl/>
        </w:rPr>
      </w:pPr>
      <w:r w:rsidRPr="00C51800">
        <w:rPr>
          <w:rFonts w:cs="Arial"/>
          <w:u w:val="single"/>
          <w:rtl/>
        </w:rPr>
        <w:t>המודה לחבירו בחזקת שהוא חייב לו</w:t>
      </w:r>
      <w:r>
        <w:rPr>
          <w:rFonts w:cs="Arial" w:hint="cs"/>
          <w:u w:val="single"/>
          <w:rtl/>
        </w:rPr>
        <w:t>,</w:t>
      </w:r>
      <w:r w:rsidRPr="00C51800">
        <w:rPr>
          <w:rFonts w:cs="Arial"/>
          <w:u w:val="single"/>
          <w:rtl/>
        </w:rPr>
        <w:t xml:space="preserve"> או מסר לו שטר בעדים ועדים חתומים עליו</w:t>
      </w:r>
      <w:r>
        <w:rPr>
          <w:rFonts w:cs="Arial" w:hint="cs"/>
          <w:u w:val="single"/>
          <w:rtl/>
        </w:rPr>
        <w:t xml:space="preserve"> -</w:t>
      </w:r>
      <w:r w:rsidRPr="00C51800">
        <w:rPr>
          <w:rFonts w:cs="Arial"/>
          <w:u w:val="single"/>
          <w:rtl/>
        </w:rPr>
        <w:t xml:space="preserve"> ואח"כ נתברר הדבר שטעה</w:t>
      </w:r>
      <w:r w:rsidRPr="00C51800">
        <w:rPr>
          <w:rFonts w:cs="Arial" w:hint="cs"/>
          <w:u w:val="single"/>
          <w:rtl/>
        </w:rPr>
        <w:t xml:space="preserve">: </w:t>
      </w:r>
    </w:p>
    <w:p w14:paraId="5CCD2A35" w14:textId="77777777" w:rsidR="004B607F" w:rsidRPr="00C51800" w:rsidRDefault="004B607F" w:rsidP="004B0475">
      <w:pPr>
        <w:pStyle w:val="ac"/>
        <w:numPr>
          <w:ilvl w:val="0"/>
          <w:numId w:val="96"/>
        </w:numPr>
        <w:rPr>
          <w:rFonts w:cs="Arial"/>
          <w:rtl/>
        </w:rPr>
      </w:pPr>
      <w:r w:rsidRPr="00C51800">
        <w:rPr>
          <w:rFonts w:cs="Arial" w:hint="cs"/>
          <w:rtl/>
        </w:rPr>
        <w:t>טור</w:t>
      </w:r>
      <w:r w:rsidRPr="00C51800">
        <w:rPr>
          <w:rFonts w:cs="Arial"/>
          <w:rtl/>
        </w:rPr>
        <w:t xml:space="preserve"> </w:t>
      </w:r>
      <w:r w:rsidRPr="00C51800">
        <w:rPr>
          <w:rFonts w:cs="Arial"/>
          <w:sz w:val="16"/>
          <w:szCs w:val="16"/>
          <w:rtl/>
        </w:rPr>
        <w:t>(</w:t>
      </w:r>
      <w:r w:rsidRPr="00C51800">
        <w:rPr>
          <w:rFonts w:cs="Arial" w:hint="cs"/>
          <w:sz w:val="16"/>
          <w:szCs w:val="16"/>
          <w:rtl/>
        </w:rPr>
        <w:t xml:space="preserve">סי' מ </w:t>
      </w:r>
      <w:r w:rsidRPr="00C51800">
        <w:rPr>
          <w:rFonts w:cs="Arial"/>
          <w:sz w:val="16"/>
          <w:szCs w:val="16"/>
          <w:rtl/>
        </w:rPr>
        <w:t>ס"ב)</w:t>
      </w:r>
      <w:r w:rsidRPr="00C51800">
        <w:rPr>
          <w:rFonts w:cs="Arial" w:hint="cs"/>
          <w:rtl/>
        </w:rPr>
        <w:t>-</w:t>
      </w:r>
      <w:r w:rsidRPr="00C51800">
        <w:rPr>
          <w:rFonts w:cs="Arial"/>
          <w:rtl/>
        </w:rPr>
        <w:t xml:space="preserve"> המודה לחבירו בחזקת שהוא חייב לו</w:t>
      </w:r>
      <w:r>
        <w:rPr>
          <w:rFonts w:cs="Arial" w:hint="cs"/>
          <w:rtl/>
        </w:rPr>
        <w:t>,</w:t>
      </w:r>
      <w:r w:rsidRPr="00C51800">
        <w:rPr>
          <w:rFonts w:cs="Arial"/>
          <w:rtl/>
        </w:rPr>
        <w:t xml:space="preserve"> או מסר לו שטר בעדים ועדים חתומים עליו</w:t>
      </w:r>
      <w:r>
        <w:rPr>
          <w:rFonts w:cs="Arial" w:hint="cs"/>
          <w:rtl/>
        </w:rPr>
        <w:t>,</w:t>
      </w:r>
      <w:r w:rsidRPr="00C51800">
        <w:rPr>
          <w:rFonts w:cs="Arial"/>
          <w:rtl/>
        </w:rPr>
        <w:t xml:space="preserve"> ואח"כ נתברר הדבר שטעה</w:t>
      </w:r>
      <w:r>
        <w:rPr>
          <w:rFonts w:cs="Arial" w:hint="cs"/>
          <w:rtl/>
        </w:rPr>
        <w:t xml:space="preserve"> -</w:t>
      </w:r>
      <w:r w:rsidRPr="00C51800">
        <w:rPr>
          <w:rFonts w:cs="Arial"/>
          <w:rtl/>
        </w:rPr>
        <w:t xml:space="preserve"> לאו הודאה היא</w:t>
      </w:r>
      <w:r w:rsidRPr="00C51800">
        <w:rPr>
          <w:rFonts w:cs="Arial" w:hint="cs"/>
          <w:rtl/>
        </w:rPr>
        <w:t>.</w:t>
      </w:r>
      <w:r w:rsidRPr="00C51800">
        <w:rPr>
          <w:rFonts w:cs="Arial"/>
          <w:rtl/>
        </w:rPr>
        <w:t xml:space="preserve"> </w:t>
      </w:r>
      <w:r w:rsidRPr="0032591F">
        <w:rPr>
          <w:rFonts w:cs="Arial" w:hint="cs"/>
          <w:color w:val="E36C0A" w:themeColor="accent6" w:themeShade="BF"/>
          <w:rtl/>
        </w:rPr>
        <w:t>(וכ"פ בשו"ע</w:t>
      </w:r>
      <w:r>
        <w:rPr>
          <w:rFonts w:cs="Arial" w:hint="cs"/>
          <w:sz w:val="16"/>
          <w:szCs w:val="16"/>
          <w:rtl/>
        </w:rPr>
        <w:t xml:space="preserve"> [סי' פא סע' כ]</w:t>
      </w:r>
      <w:r w:rsidRPr="0032591F">
        <w:rPr>
          <w:rFonts w:cs="Arial" w:hint="cs"/>
          <w:color w:val="E36C0A" w:themeColor="accent6" w:themeShade="BF"/>
          <w:rtl/>
        </w:rPr>
        <w:t>)</w:t>
      </w:r>
    </w:p>
    <w:p w14:paraId="45D91D0D" w14:textId="77777777" w:rsidR="004B607F" w:rsidRPr="00C51800" w:rsidRDefault="004B607F" w:rsidP="004B607F">
      <w:pPr>
        <w:rPr>
          <w:rFonts w:cs="Arial"/>
          <w:u w:val="single"/>
          <w:rtl/>
        </w:rPr>
      </w:pPr>
      <w:r w:rsidRPr="00C51800">
        <w:rPr>
          <w:rFonts w:cs="Arial"/>
          <w:u w:val="single"/>
          <w:rtl/>
        </w:rPr>
        <w:t>הודה במעמד שלשתן או חייב עצמו בשטר או קנו מידו</w:t>
      </w:r>
      <w:r w:rsidRPr="00C51800">
        <w:rPr>
          <w:rFonts w:cs="Arial" w:hint="cs"/>
          <w:u w:val="single"/>
          <w:rtl/>
        </w:rPr>
        <w:t>:</w:t>
      </w:r>
      <w:r w:rsidRPr="00C51800">
        <w:rPr>
          <w:rFonts w:cs="Arial"/>
          <w:u w:val="single"/>
          <w:rtl/>
        </w:rPr>
        <w:t xml:space="preserve"> </w:t>
      </w:r>
    </w:p>
    <w:p w14:paraId="353C67D8" w14:textId="77777777" w:rsidR="004B607F" w:rsidRPr="00C51800" w:rsidRDefault="004B607F" w:rsidP="004B0475">
      <w:pPr>
        <w:pStyle w:val="ac"/>
        <w:numPr>
          <w:ilvl w:val="0"/>
          <w:numId w:val="96"/>
        </w:numPr>
        <w:rPr>
          <w:rFonts w:cs="Arial"/>
          <w:rtl/>
        </w:rPr>
      </w:pPr>
      <w:r w:rsidRPr="00C51800">
        <w:rPr>
          <w:rFonts w:cs="Arial" w:hint="cs"/>
          <w:rtl/>
        </w:rPr>
        <w:t xml:space="preserve">טור </w:t>
      </w:r>
      <w:r w:rsidRPr="00C51800">
        <w:rPr>
          <w:rFonts w:cs="Arial" w:hint="cs"/>
          <w:sz w:val="16"/>
          <w:szCs w:val="16"/>
          <w:rtl/>
        </w:rPr>
        <w:t>(</w:t>
      </w:r>
      <w:r w:rsidRPr="00C51800">
        <w:rPr>
          <w:rFonts w:cs="Arial"/>
          <w:sz w:val="16"/>
          <w:szCs w:val="16"/>
          <w:rtl/>
        </w:rPr>
        <w:t>סי</w:t>
      </w:r>
      <w:r w:rsidRPr="00C51800">
        <w:rPr>
          <w:rFonts w:cs="Arial" w:hint="cs"/>
          <w:sz w:val="16"/>
          <w:szCs w:val="16"/>
          <w:rtl/>
        </w:rPr>
        <w:t>'</w:t>
      </w:r>
      <w:r w:rsidRPr="00C51800">
        <w:rPr>
          <w:rFonts w:cs="Arial"/>
          <w:sz w:val="16"/>
          <w:szCs w:val="16"/>
          <w:rtl/>
        </w:rPr>
        <w:t xml:space="preserve"> קכו סט"ו)</w:t>
      </w:r>
      <w:r w:rsidRPr="00C51800">
        <w:rPr>
          <w:rFonts w:cs="Arial" w:hint="cs"/>
          <w:rtl/>
        </w:rPr>
        <w:t>-</w:t>
      </w:r>
      <w:r w:rsidRPr="00C51800">
        <w:rPr>
          <w:rFonts w:cs="Arial"/>
          <w:rtl/>
        </w:rPr>
        <w:t xml:space="preserve"> הודה במעמד שלשתן או חייב עצמו בשטר או קנו מידו </w:t>
      </w:r>
      <w:r>
        <w:rPr>
          <w:rFonts w:cs="Arial" w:hint="cs"/>
          <w:rtl/>
        </w:rPr>
        <w:t xml:space="preserve">- </w:t>
      </w:r>
      <w:r w:rsidRPr="00C51800">
        <w:rPr>
          <w:rFonts w:cs="Arial"/>
          <w:rtl/>
        </w:rPr>
        <w:t>אינו יכול לומר משטה הייתי</w:t>
      </w:r>
      <w:r w:rsidRPr="00C51800">
        <w:rPr>
          <w:rFonts w:cs="Arial" w:hint="cs"/>
          <w:rtl/>
        </w:rPr>
        <w:t>.</w:t>
      </w:r>
      <w:r w:rsidRPr="00C51800">
        <w:rPr>
          <w:rFonts w:cs="Arial"/>
          <w:rtl/>
        </w:rPr>
        <w:t xml:space="preserve"> </w:t>
      </w:r>
      <w:r w:rsidRPr="0032591F">
        <w:rPr>
          <w:rFonts w:cs="Arial" w:hint="cs"/>
          <w:color w:val="E36C0A" w:themeColor="accent6" w:themeShade="BF"/>
          <w:rtl/>
        </w:rPr>
        <w:t>(וכ"פ בשו"ע</w:t>
      </w:r>
      <w:r>
        <w:rPr>
          <w:rFonts w:cs="Arial" w:hint="cs"/>
          <w:sz w:val="16"/>
          <w:szCs w:val="16"/>
          <w:rtl/>
        </w:rPr>
        <w:t xml:space="preserve"> [סי' פא סע' יז]</w:t>
      </w:r>
      <w:r w:rsidRPr="0032591F">
        <w:rPr>
          <w:rFonts w:cs="Arial" w:hint="cs"/>
          <w:color w:val="E36C0A" w:themeColor="accent6" w:themeShade="BF"/>
          <w:rtl/>
        </w:rPr>
        <w:t>)</w:t>
      </w:r>
    </w:p>
    <w:p w14:paraId="6968A76D" w14:textId="77777777" w:rsidR="004B607F" w:rsidRPr="00C51800" w:rsidRDefault="004B607F" w:rsidP="004B607F">
      <w:pPr>
        <w:rPr>
          <w:rFonts w:cs="Arial"/>
          <w:u w:val="single"/>
          <w:rtl/>
        </w:rPr>
      </w:pPr>
      <w:r w:rsidRPr="00C51800">
        <w:rPr>
          <w:rFonts w:cs="Arial"/>
          <w:u w:val="single"/>
          <w:rtl/>
        </w:rPr>
        <w:t xml:space="preserve">מי שמת ונמצא כתוב באחד משטרותיו </w:t>
      </w:r>
      <w:r w:rsidRPr="00C51800">
        <w:rPr>
          <w:rFonts w:cs="Arial" w:hint="cs"/>
          <w:u w:val="single"/>
          <w:rtl/>
        </w:rPr>
        <w:t>'</w:t>
      </w:r>
      <w:r w:rsidRPr="00C51800">
        <w:rPr>
          <w:rFonts w:cs="Arial"/>
          <w:u w:val="single"/>
          <w:rtl/>
        </w:rPr>
        <w:t>שטר זה חציו לפלוני</w:t>
      </w:r>
      <w:r w:rsidRPr="00C51800">
        <w:rPr>
          <w:rFonts w:cs="Arial" w:hint="cs"/>
          <w:u w:val="single"/>
          <w:rtl/>
        </w:rPr>
        <w:t>':</w:t>
      </w:r>
    </w:p>
    <w:p w14:paraId="6EEBF841" w14:textId="77777777" w:rsidR="004B607F" w:rsidRDefault="004B607F" w:rsidP="004B0475">
      <w:pPr>
        <w:pStyle w:val="ac"/>
        <w:numPr>
          <w:ilvl w:val="0"/>
          <w:numId w:val="96"/>
        </w:numPr>
        <w:rPr>
          <w:rFonts w:cs="Arial"/>
        </w:rPr>
      </w:pPr>
      <w:r w:rsidRPr="00C51800">
        <w:rPr>
          <w:rFonts w:cs="Arial" w:hint="cs"/>
          <w:rtl/>
        </w:rPr>
        <w:t xml:space="preserve">טור </w:t>
      </w:r>
      <w:r w:rsidRPr="00C51800">
        <w:rPr>
          <w:rFonts w:cs="Arial" w:hint="cs"/>
          <w:sz w:val="16"/>
          <w:szCs w:val="16"/>
          <w:rtl/>
        </w:rPr>
        <w:t>(סי' ס</w:t>
      </w:r>
      <w:r w:rsidRPr="00C51800">
        <w:rPr>
          <w:rFonts w:cs="Arial"/>
          <w:sz w:val="16"/>
          <w:szCs w:val="16"/>
          <w:rtl/>
        </w:rPr>
        <w:t>ה</w:t>
      </w:r>
      <w:r w:rsidRPr="00C51800">
        <w:rPr>
          <w:rFonts w:cs="Arial" w:hint="cs"/>
          <w:sz w:val="16"/>
          <w:szCs w:val="16"/>
          <w:rtl/>
        </w:rPr>
        <w:t xml:space="preserve"> </w:t>
      </w:r>
      <w:r w:rsidRPr="00C51800">
        <w:rPr>
          <w:rFonts w:cs="Arial"/>
          <w:sz w:val="16"/>
          <w:szCs w:val="16"/>
          <w:rtl/>
        </w:rPr>
        <w:t>ס"ל)</w:t>
      </w:r>
      <w:r w:rsidRPr="00C51800">
        <w:rPr>
          <w:rFonts w:cs="Arial" w:hint="cs"/>
          <w:rtl/>
        </w:rPr>
        <w:t>-</w:t>
      </w:r>
      <w:r w:rsidRPr="00C51800">
        <w:rPr>
          <w:rFonts w:cs="Arial"/>
          <w:rtl/>
        </w:rPr>
        <w:t xml:space="preserve"> מי שמת ונמצא כתוב באחד משטרותיו </w:t>
      </w:r>
      <w:r w:rsidRPr="00C51800">
        <w:rPr>
          <w:rFonts w:cs="Arial" w:hint="cs"/>
          <w:rtl/>
        </w:rPr>
        <w:t>'</w:t>
      </w:r>
      <w:r w:rsidRPr="00C51800">
        <w:rPr>
          <w:rFonts w:cs="Arial"/>
          <w:rtl/>
        </w:rPr>
        <w:t>שטר זה חציו לפלוני</w:t>
      </w:r>
      <w:r w:rsidRPr="00C51800">
        <w:rPr>
          <w:rFonts w:cs="Arial" w:hint="cs"/>
          <w:rtl/>
        </w:rPr>
        <w:t>'</w:t>
      </w:r>
      <w:r>
        <w:rPr>
          <w:rFonts w:cs="Arial" w:hint="cs"/>
          <w:rtl/>
        </w:rPr>
        <w:t xml:space="preserve"> -</w:t>
      </w:r>
      <w:r w:rsidRPr="00C51800">
        <w:rPr>
          <w:rFonts w:cs="Arial"/>
          <w:rtl/>
        </w:rPr>
        <w:t xml:space="preserve"> לא זכה אותו פלוני בחצי השטר</w:t>
      </w:r>
      <w:r w:rsidRPr="00C51800">
        <w:rPr>
          <w:rFonts w:cs="Arial" w:hint="cs"/>
          <w:rtl/>
        </w:rPr>
        <w:t>.</w:t>
      </w:r>
      <w:r w:rsidRPr="00C51800">
        <w:rPr>
          <w:rFonts w:cs="Arial"/>
          <w:rtl/>
        </w:rPr>
        <w:t xml:space="preserve"> </w:t>
      </w:r>
      <w:r w:rsidRPr="0032591F">
        <w:rPr>
          <w:rFonts w:cs="Arial" w:hint="cs"/>
          <w:color w:val="E36C0A" w:themeColor="accent6" w:themeShade="BF"/>
          <w:rtl/>
        </w:rPr>
        <w:t>(וכ"פ בשו"ע</w:t>
      </w:r>
      <w:r>
        <w:rPr>
          <w:rFonts w:cs="Arial" w:hint="cs"/>
          <w:sz w:val="16"/>
          <w:szCs w:val="16"/>
          <w:rtl/>
        </w:rPr>
        <w:t xml:space="preserve"> [סי' פא סע' יח]</w:t>
      </w:r>
      <w:r w:rsidRPr="0032591F">
        <w:rPr>
          <w:rFonts w:cs="Arial" w:hint="cs"/>
          <w:color w:val="E36C0A" w:themeColor="accent6" w:themeShade="BF"/>
          <w:rtl/>
        </w:rPr>
        <w:t>)</w:t>
      </w:r>
    </w:p>
    <w:p w14:paraId="6D9FD8E3" w14:textId="77777777" w:rsidR="004B607F" w:rsidRPr="000143BE" w:rsidRDefault="004B607F" w:rsidP="004B607F">
      <w:pPr>
        <w:rPr>
          <w:rFonts w:cs="Arial"/>
          <w:u w:val="single"/>
        </w:rPr>
      </w:pPr>
      <w:r w:rsidRPr="000143BE">
        <w:rPr>
          <w:rFonts w:cs="Arial" w:hint="cs"/>
          <w:u w:val="single"/>
          <w:rtl/>
        </w:rPr>
        <w:t xml:space="preserve">חילוק בין דיבור למעשה באמירת </w:t>
      </w:r>
      <w:r>
        <w:rPr>
          <w:rFonts w:cs="Arial" w:hint="cs"/>
          <w:u w:val="single"/>
          <w:rtl/>
        </w:rPr>
        <w:t>'</w:t>
      </w:r>
      <w:r w:rsidRPr="000143BE">
        <w:rPr>
          <w:rFonts w:cs="Arial" w:hint="cs"/>
          <w:u w:val="single"/>
          <w:rtl/>
        </w:rPr>
        <w:t>אתם עדי</w:t>
      </w:r>
      <w:r>
        <w:rPr>
          <w:rFonts w:cs="Arial" w:hint="cs"/>
          <w:u w:val="single"/>
          <w:rtl/>
        </w:rPr>
        <w:t>'</w:t>
      </w:r>
      <w:r w:rsidRPr="000143BE">
        <w:rPr>
          <w:rFonts w:cs="Arial" w:hint="cs"/>
          <w:u w:val="single"/>
          <w:rtl/>
        </w:rPr>
        <w:t>:</w:t>
      </w:r>
    </w:p>
    <w:p w14:paraId="28505F4C" w14:textId="77777777" w:rsidR="004B607F" w:rsidRPr="000143BE" w:rsidRDefault="004B607F" w:rsidP="004B0475">
      <w:pPr>
        <w:pStyle w:val="ac"/>
        <w:numPr>
          <w:ilvl w:val="0"/>
          <w:numId w:val="96"/>
        </w:numPr>
        <w:rPr>
          <w:rFonts w:cs="Arial"/>
          <w:rtl/>
        </w:rPr>
      </w:pPr>
      <w:r w:rsidRPr="000143BE">
        <w:rPr>
          <w:rFonts w:cs="Arial"/>
          <w:rtl/>
        </w:rPr>
        <w:t>רשב"ם</w:t>
      </w:r>
      <w:r w:rsidRPr="000143BE">
        <w:rPr>
          <w:rFonts w:cs="Arial"/>
          <w:sz w:val="16"/>
          <w:szCs w:val="16"/>
          <w:rtl/>
        </w:rPr>
        <w:t xml:space="preserve"> </w:t>
      </w:r>
      <w:r w:rsidRPr="000143BE">
        <w:rPr>
          <w:rFonts w:cs="Arial" w:hint="cs"/>
          <w:sz w:val="16"/>
          <w:szCs w:val="16"/>
          <w:rtl/>
        </w:rPr>
        <w:t>(כ"כ בשמו ה</w:t>
      </w:r>
      <w:r w:rsidRPr="000143BE">
        <w:rPr>
          <w:rFonts w:cs="Arial"/>
          <w:sz w:val="16"/>
          <w:szCs w:val="16"/>
          <w:rtl/>
        </w:rPr>
        <w:t xml:space="preserve">מרדכי </w:t>
      </w:r>
      <w:r w:rsidRPr="000143BE">
        <w:rPr>
          <w:rFonts w:cs="Arial" w:hint="cs"/>
          <w:sz w:val="14"/>
          <w:szCs w:val="14"/>
          <w:rtl/>
        </w:rPr>
        <w:t>[</w:t>
      </w:r>
      <w:r w:rsidRPr="000143BE">
        <w:rPr>
          <w:rFonts w:cs="Arial"/>
          <w:sz w:val="14"/>
          <w:szCs w:val="14"/>
          <w:rtl/>
        </w:rPr>
        <w:t>סי' תש</w:t>
      </w:r>
      <w:r w:rsidRPr="000143BE">
        <w:rPr>
          <w:rFonts w:cs="Arial" w:hint="cs"/>
          <w:sz w:val="14"/>
          <w:szCs w:val="14"/>
          <w:rtl/>
        </w:rPr>
        <w:t>א</w:t>
      </w:r>
      <w:r w:rsidRPr="000143BE">
        <w:rPr>
          <w:rFonts w:cs="Arial"/>
          <w:sz w:val="14"/>
          <w:szCs w:val="14"/>
          <w:rtl/>
        </w:rPr>
        <w:t>-תשב</w:t>
      </w:r>
      <w:r w:rsidRPr="000143BE">
        <w:rPr>
          <w:rFonts w:cs="Arial" w:hint="cs"/>
          <w:sz w:val="14"/>
          <w:szCs w:val="14"/>
          <w:rtl/>
        </w:rPr>
        <w:t>]</w:t>
      </w:r>
      <w:r w:rsidRPr="000143BE">
        <w:rPr>
          <w:rFonts w:cs="Arial"/>
          <w:sz w:val="14"/>
          <w:szCs w:val="14"/>
          <w:rtl/>
        </w:rPr>
        <w:t xml:space="preserve"> </w:t>
      </w:r>
      <w:r w:rsidRPr="000143BE">
        <w:rPr>
          <w:rFonts w:cs="Arial"/>
          <w:sz w:val="16"/>
          <w:szCs w:val="16"/>
          <w:rtl/>
        </w:rPr>
        <w:t>הג</w:t>
      </w:r>
      <w:r w:rsidRPr="000143BE">
        <w:rPr>
          <w:rFonts w:cs="Arial" w:hint="cs"/>
          <w:sz w:val="16"/>
          <w:szCs w:val="16"/>
          <w:rtl/>
        </w:rPr>
        <w:t>"א</w:t>
      </w:r>
      <w:r w:rsidRPr="000143BE">
        <w:rPr>
          <w:rFonts w:cs="Arial"/>
          <w:sz w:val="16"/>
          <w:szCs w:val="16"/>
          <w:rtl/>
        </w:rPr>
        <w:t xml:space="preserve"> </w:t>
      </w:r>
      <w:r w:rsidRPr="000143BE">
        <w:rPr>
          <w:rFonts w:cs="Arial" w:hint="cs"/>
          <w:sz w:val="14"/>
          <w:szCs w:val="14"/>
          <w:rtl/>
        </w:rPr>
        <w:t>[</w:t>
      </w:r>
      <w:r w:rsidRPr="000143BE">
        <w:rPr>
          <w:rFonts w:cs="Arial"/>
          <w:sz w:val="14"/>
          <w:szCs w:val="14"/>
          <w:rtl/>
        </w:rPr>
        <w:t>פרק זה בורר סי' כה</w:t>
      </w:r>
      <w:r w:rsidRPr="000143BE">
        <w:rPr>
          <w:rFonts w:cs="Arial" w:hint="cs"/>
          <w:sz w:val="14"/>
          <w:szCs w:val="14"/>
          <w:rtl/>
        </w:rPr>
        <w:t>]</w:t>
      </w:r>
      <w:r w:rsidRPr="000143BE">
        <w:rPr>
          <w:rFonts w:cs="Arial"/>
          <w:sz w:val="14"/>
          <w:szCs w:val="14"/>
          <w:rtl/>
        </w:rPr>
        <w:t xml:space="preserve"> </w:t>
      </w:r>
      <w:r w:rsidRPr="000143BE">
        <w:rPr>
          <w:rFonts w:cs="Arial" w:hint="cs"/>
          <w:sz w:val="16"/>
          <w:szCs w:val="16"/>
          <w:rtl/>
        </w:rPr>
        <w:t>ו</w:t>
      </w:r>
      <w:r w:rsidRPr="000143BE">
        <w:rPr>
          <w:rFonts w:cs="Arial"/>
          <w:sz w:val="16"/>
          <w:szCs w:val="16"/>
          <w:rtl/>
        </w:rPr>
        <w:t>הגה</w:t>
      </w:r>
      <w:r w:rsidRPr="000143BE">
        <w:rPr>
          <w:rFonts w:cs="Arial" w:hint="cs"/>
          <w:sz w:val="16"/>
          <w:szCs w:val="16"/>
          <w:rtl/>
        </w:rPr>
        <w:t xml:space="preserve">"מ </w:t>
      </w:r>
      <w:r w:rsidRPr="000143BE">
        <w:rPr>
          <w:rFonts w:cs="Arial" w:hint="cs"/>
          <w:sz w:val="14"/>
          <w:szCs w:val="14"/>
          <w:rtl/>
        </w:rPr>
        <w:t>[</w:t>
      </w:r>
      <w:r w:rsidRPr="000143BE">
        <w:rPr>
          <w:rFonts w:cs="Arial"/>
          <w:sz w:val="14"/>
          <w:szCs w:val="14"/>
          <w:rtl/>
        </w:rPr>
        <w:t>פ</w:t>
      </w:r>
      <w:r w:rsidRPr="000143BE">
        <w:rPr>
          <w:rFonts w:cs="Arial" w:hint="cs"/>
          <w:sz w:val="14"/>
          <w:szCs w:val="14"/>
          <w:rtl/>
        </w:rPr>
        <w:t>"</w:t>
      </w:r>
      <w:r w:rsidRPr="000143BE">
        <w:rPr>
          <w:rFonts w:cs="Arial"/>
          <w:sz w:val="14"/>
          <w:szCs w:val="14"/>
          <w:rtl/>
        </w:rPr>
        <w:t>ו מטוען ונטען אות כ</w:t>
      </w:r>
      <w:r w:rsidRPr="000143BE">
        <w:rPr>
          <w:rFonts w:cs="Arial" w:hint="cs"/>
          <w:sz w:val="14"/>
          <w:szCs w:val="14"/>
          <w:rtl/>
        </w:rPr>
        <w:t>]</w:t>
      </w:r>
      <w:r w:rsidRPr="000143BE">
        <w:rPr>
          <w:rFonts w:cs="Arial" w:hint="cs"/>
          <w:sz w:val="16"/>
          <w:szCs w:val="16"/>
          <w:rtl/>
        </w:rPr>
        <w:t>)</w:t>
      </w:r>
      <w:r>
        <w:rPr>
          <w:rFonts w:cs="Arial" w:hint="cs"/>
          <w:rtl/>
        </w:rPr>
        <w:t xml:space="preserve">- </w:t>
      </w:r>
      <w:r w:rsidRPr="000143BE">
        <w:rPr>
          <w:rFonts w:cs="Arial"/>
          <w:rtl/>
        </w:rPr>
        <w:t xml:space="preserve">הא דצריך לומר אתם עדי </w:t>
      </w:r>
      <w:r>
        <w:rPr>
          <w:rFonts w:cs="Arial" w:hint="cs"/>
          <w:rtl/>
        </w:rPr>
        <w:t xml:space="preserve">- </w:t>
      </w:r>
      <w:r w:rsidRPr="000143BE">
        <w:rPr>
          <w:rFonts w:cs="Arial"/>
          <w:rtl/>
        </w:rPr>
        <w:t>דוקא בדיבור כנגד דיבור</w:t>
      </w:r>
      <w:r>
        <w:rPr>
          <w:rFonts w:cs="Arial" w:hint="cs"/>
          <w:rtl/>
        </w:rPr>
        <w:t>,</w:t>
      </w:r>
      <w:r w:rsidRPr="000143BE">
        <w:rPr>
          <w:rFonts w:cs="Arial"/>
          <w:rtl/>
        </w:rPr>
        <w:t xml:space="preserve"> בלא קנין</w:t>
      </w:r>
      <w:r w:rsidRPr="000143BE">
        <w:rPr>
          <w:rFonts w:cs="Arial" w:hint="cs"/>
          <w:rtl/>
        </w:rPr>
        <w:t>,</w:t>
      </w:r>
      <w:r w:rsidRPr="000143BE">
        <w:rPr>
          <w:rFonts w:cs="Arial"/>
          <w:rtl/>
        </w:rPr>
        <w:t xml:space="preserve"> דבדיבור בעלמא יכול לומר משטה אני בך ולא במעשה</w:t>
      </w:r>
      <w:r>
        <w:rPr>
          <w:rFonts w:cs="Arial" w:hint="cs"/>
          <w:rtl/>
        </w:rPr>
        <w:t>.</w:t>
      </w:r>
      <w:r w:rsidRPr="000143BE">
        <w:rPr>
          <w:rFonts w:cs="Arial"/>
          <w:rtl/>
        </w:rPr>
        <w:t xml:space="preserve"> וראיה מדאמרינן בפ"ב דקדושין </w:t>
      </w:r>
      <w:r w:rsidRPr="000143BE">
        <w:rPr>
          <w:rFonts w:cs="Arial"/>
          <w:sz w:val="16"/>
          <w:szCs w:val="16"/>
          <w:rtl/>
        </w:rPr>
        <w:t xml:space="preserve">(מג.) </w:t>
      </w:r>
      <w:r w:rsidRPr="000143BE">
        <w:rPr>
          <w:rFonts w:cs="Arial"/>
          <w:rtl/>
        </w:rPr>
        <w:t>אלא מעתה קדש אשה בפני שנים ה</w:t>
      </w:r>
      <w:r>
        <w:rPr>
          <w:rFonts w:cs="Arial" w:hint="cs"/>
          <w:rtl/>
        </w:rPr>
        <w:t>"נ</w:t>
      </w:r>
      <w:r w:rsidRPr="000143BE">
        <w:rPr>
          <w:rFonts w:cs="Arial"/>
          <w:rtl/>
        </w:rPr>
        <w:t xml:space="preserve"> דצריך לומר אתם עדי</w:t>
      </w:r>
      <w:r w:rsidRPr="000143BE">
        <w:rPr>
          <w:rFonts w:cs="Arial" w:hint="cs"/>
          <w:rtl/>
        </w:rPr>
        <w:t>,</w:t>
      </w:r>
      <w:r w:rsidRPr="000143BE">
        <w:rPr>
          <w:rFonts w:cs="Arial"/>
          <w:rtl/>
        </w:rPr>
        <w:t xml:space="preserve"> ומכאן פסק רש"י דכל תנאי שבני אדם מתנין ומקיימין ביניהם אין שייך לומר משטה אני בך</w:t>
      </w:r>
      <w:r w:rsidRPr="000143BE">
        <w:rPr>
          <w:rFonts w:cs="Arial" w:hint="cs"/>
          <w:rtl/>
        </w:rPr>
        <w:t>,</w:t>
      </w:r>
      <w:r w:rsidRPr="000143BE">
        <w:rPr>
          <w:rFonts w:cs="Arial"/>
          <w:rtl/>
        </w:rPr>
        <w:t xml:space="preserve"> אבל דברים בעלמא כגון שאומר לחבירו מנה לי בידך והלה אומר הן</w:t>
      </w:r>
      <w:r>
        <w:rPr>
          <w:rFonts w:cs="Arial" w:hint="cs"/>
          <w:rtl/>
        </w:rPr>
        <w:t>,</w:t>
      </w:r>
      <w:r w:rsidRPr="000143BE">
        <w:rPr>
          <w:rFonts w:cs="Arial"/>
          <w:rtl/>
        </w:rPr>
        <w:t xml:space="preserve"> דהוי דיבור כנגד דיבור בלא קנין</w:t>
      </w:r>
      <w:r>
        <w:rPr>
          <w:rFonts w:cs="Arial" w:hint="cs"/>
          <w:rtl/>
        </w:rPr>
        <w:t>,</w:t>
      </w:r>
      <w:r w:rsidRPr="000143BE">
        <w:rPr>
          <w:rFonts w:cs="Arial"/>
          <w:rtl/>
        </w:rPr>
        <w:t xml:space="preserve"> התם מצי למימר משטה אני בך עד שיאמר אתם עדי</w:t>
      </w:r>
      <w:r>
        <w:rPr>
          <w:rStyle w:val="ab"/>
          <w:rFonts w:cs="Arial"/>
          <w:rtl/>
        </w:rPr>
        <w:footnoteReference w:id="1841"/>
      </w:r>
      <w:r w:rsidRPr="000143BE">
        <w:rPr>
          <w:rFonts w:cs="Arial" w:hint="cs"/>
          <w:rtl/>
        </w:rPr>
        <w:t>.</w:t>
      </w:r>
    </w:p>
    <w:p w14:paraId="2E64B091" w14:textId="77777777" w:rsidR="004B607F" w:rsidRPr="000143BE" w:rsidRDefault="004B607F" w:rsidP="004B607F">
      <w:pPr>
        <w:rPr>
          <w:rFonts w:cs="Arial"/>
          <w:u w:val="single"/>
          <w:rtl/>
        </w:rPr>
      </w:pPr>
      <w:r w:rsidRPr="000143BE">
        <w:rPr>
          <w:rFonts w:cs="Arial"/>
          <w:u w:val="single"/>
          <w:rtl/>
        </w:rPr>
        <w:t>בית דין שהכריזו שיודה כל מי שיש לו משל יתומים</w:t>
      </w:r>
      <w:r>
        <w:rPr>
          <w:rFonts w:cs="Arial" w:hint="cs"/>
          <w:u w:val="single"/>
          <w:rtl/>
        </w:rPr>
        <w:t>,</w:t>
      </w:r>
      <w:r w:rsidRPr="000143BE">
        <w:rPr>
          <w:rFonts w:cs="Arial"/>
          <w:u w:val="single"/>
          <w:rtl/>
        </w:rPr>
        <w:t xml:space="preserve"> ושלח אחד שלוחו להודות</w:t>
      </w:r>
      <w:r w:rsidRPr="000143BE">
        <w:rPr>
          <w:rFonts w:cs="Arial" w:hint="cs"/>
          <w:u w:val="single"/>
          <w:rtl/>
        </w:rPr>
        <w:t>:</w:t>
      </w:r>
      <w:r>
        <w:rPr>
          <w:rFonts w:cs="Arial" w:hint="cs"/>
          <w:sz w:val="16"/>
          <w:szCs w:val="16"/>
          <w:rtl/>
        </w:rPr>
        <w:t xml:space="preserve">   </w:t>
      </w:r>
      <w:r w:rsidRPr="000143BE">
        <w:rPr>
          <w:rFonts w:cs="Arial"/>
          <w:sz w:val="16"/>
          <w:szCs w:val="16"/>
          <w:rtl/>
        </w:rPr>
        <w:t>(</w:t>
      </w:r>
      <w:r w:rsidRPr="000143BE">
        <w:rPr>
          <w:rFonts w:cs="Arial" w:hint="cs"/>
          <w:sz w:val="16"/>
          <w:szCs w:val="16"/>
          <w:rtl/>
        </w:rPr>
        <w:t xml:space="preserve">דרכ"מ אות </w:t>
      </w:r>
      <w:r w:rsidRPr="000143BE">
        <w:rPr>
          <w:rFonts w:cs="Arial"/>
          <w:sz w:val="16"/>
          <w:szCs w:val="16"/>
          <w:rtl/>
        </w:rPr>
        <w:t>א)</w:t>
      </w:r>
    </w:p>
    <w:p w14:paraId="67D668DD" w14:textId="77777777" w:rsidR="004B607F" w:rsidRPr="000143BE" w:rsidRDefault="004B607F" w:rsidP="004B0475">
      <w:pPr>
        <w:pStyle w:val="ac"/>
        <w:numPr>
          <w:ilvl w:val="0"/>
          <w:numId w:val="97"/>
        </w:numPr>
        <w:rPr>
          <w:rFonts w:cs="Arial"/>
          <w:rtl/>
        </w:rPr>
      </w:pPr>
      <w:r w:rsidRPr="000143BE">
        <w:rPr>
          <w:rFonts w:cs="Arial"/>
          <w:rtl/>
        </w:rPr>
        <w:t xml:space="preserve">ריב"ש </w:t>
      </w:r>
      <w:r w:rsidRPr="000143BE">
        <w:rPr>
          <w:rFonts w:cs="Arial" w:hint="cs"/>
          <w:sz w:val="16"/>
          <w:szCs w:val="16"/>
          <w:rtl/>
        </w:rPr>
        <w:t>(</w:t>
      </w:r>
      <w:r w:rsidRPr="000143BE">
        <w:rPr>
          <w:rFonts w:cs="Arial"/>
          <w:sz w:val="16"/>
          <w:szCs w:val="16"/>
          <w:rtl/>
        </w:rPr>
        <w:t>סי</w:t>
      </w:r>
      <w:r w:rsidRPr="000143BE">
        <w:rPr>
          <w:rFonts w:cs="Arial" w:hint="cs"/>
          <w:sz w:val="16"/>
          <w:szCs w:val="16"/>
          <w:rtl/>
        </w:rPr>
        <w:t>'</w:t>
      </w:r>
      <w:r w:rsidRPr="000143BE">
        <w:rPr>
          <w:rFonts w:cs="Arial"/>
          <w:sz w:val="16"/>
          <w:szCs w:val="16"/>
          <w:rtl/>
        </w:rPr>
        <w:t xml:space="preserve"> שצב)</w:t>
      </w:r>
      <w:r w:rsidRPr="000143BE">
        <w:rPr>
          <w:rFonts w:cs="Arial" w:hint="cs"/>
          <w:rtl/>
        </w:rPr>
        <w:t>-</w:t>
      </w:r>
      <w:r w:rsidRPr="000143BE">
        <w:rPr>
          <w:rFonts w:cs="Arial"/>
          <w:rtl/>
        </w:rPr>
        <w:t xml:space="preserve"> הודאה ע</w:t>
      </w:r>
      <w:r w:rsidRPr="000143BE">
        <w:rPr>
          <w:rFonts w:cs="Arial" w:hint="cs"/>
          <w:rtl/>
        </w:rPr>
        <w:t>"</w:t>
      </w:r>
      <w:r w:rsidRPr="000143BE">
        <w:rPr>
          <w:rFonts w:cs="Arial"/>
          <w:rtl/>
        </w:rPr>
        <w:t>י שליח לא הוי הודאה אם לא שעשאו בפני עדים</w:t>
      </w:r>
      <w:r>
        <w:rPr>
          <w:rFonts w:cs="Arial" w:hint="cs"/>
          <w:rtl/>
        </w:rPr>
        <w:t>.</w:t>
      </w:r>
      <w:r w:rsidRPr="000143BE">
        <w:rPr>
          <w:rFonts w:cs="Arial"/>
          <w:rtl/>
        </w:rPr>
        <w:t xml:space="preserve"> ומכל מקום הוי הודאתו בפני שליח כהודאה בפני עד אחד</w:t>
      </w:r>
      <w:r>
        <w:rPr>
          <w:rFonts w:cs="Arial" w:hint="cs"/>
          <w:rtl/>
        </w:rPr>
        <w:t>,</w:t>
      </w:r>
      <w:r w:rsidRPr="000143BE">
        <w:rPr>
          <w:rFonts w:cs="Arial"/>
          <w:rtl/>
        </w:rPr>
        <w:t xml:space="preserve"> דלא שייך למימר משטה הייתי בך הואיל ולא היתה שם תביעה גמורה</w:t>
      </w:r>
      <w:r>
        <w:rPr>
          <w:rFonts w:cs="Arial" w:hint="cs"/>
          <w:rtl/>
        </w:rPr>
        <w:t>.</w:t>
      </w:r>
      <w:r w:rsidRPr="000143BE">
        <w:rPr>
          <w:rFonts w:cs="Arial"/>
          <w:rtl/>
        </w:rPr>
        <w:t xml:space="preserve"> גם שלא </w:t>
      </w:r>
      <w:r w:rsidRPr="000143BE">
        <w:rPr>
          <w:rFonts w:cs="Arial"/>
          <w:rtl/>
        </w:rPr>
        <w:lastRenderedPageBreak/>
        <w:t>להשביע עצמו לא יוכל לומר הואיל והיה שם קצת תביעה מבית דין שהכריזו שכל מי שיש לו יבא ויגיד</w:t>
      </w:r>
      <w:r>
        <w:rPr>
          <w:rFonts w:cs="Arial" w:hint="cs"/>
          <w:rtl/>
        </w:rPr>
        <w:t>,</w:t>
      </w:r>
      <w:r w:rsidRPr="000143BE">
        <w:rPr>
          <w:rFonts w:cs="Arial"/>
          <w:rtl/>
        </w:rPr>
        <w:t xml:space="preserve"> ועוד כיון שהשליח אומר שהודה לפניו והוא מודה שעשאו לשליח לא גרע מאתם עדי</w:t>
      </w:r>
      <w:r w:rsidRPr="000143BE">
        <w:rPr>
          <w:rFonts w:cs="Arial" w:hint="cs"/>
          <w:rtl/>
        </w:rPr>
        <w:t>.</w:t>
      </w:r>
      <w:r w:rsidRPr="00DF3378">
        <w:rPr>
          <w:rFonts w:cs="Arial" w:hint="cs"/>
          <w:color w:val="00B0F0"/>
          <w:rtl/>
        </w:rPr>
        <w:t xml:space="preserve"> </w:t>
      </w:r>
      <w:r w:rsidRPr="00504D94">
        <w:rPr>
          <w:rFonts w:cs="Arial" w:hint="cs"/>
          <w:color w:val="00B0F0"/>
          <w:rtl/>
        </w:rPr>
        <w:t>(וכ"פ הרמ"א</w:t>
      </w:r>
      <w:r w:rsidRPr="00504D94">
        <w:rPr>
          <w:rFonts w:cs="Arial" w:hint="cs"/>
          <w:color w:val="00B0F0"/>
          <w:sz w:val="16"/>
          <w:szCs w:val="16"/>
          <w:rtl/>
        </w:rPr>
        <w:t xml:space="preserve"> </w:t>
      </w:r>
      <w:r>
        <w:rPr>
          <w:rFonts w:cs="Arial" w:hint="cs"/>
          <w:sz w:val="16"/>
          <w:szCs w:val="16"/>
          <w:rtl/>
        </w:rPr>
        <w:t>[סי' פא סע' יד]</w:t>
      </w:r>
      <w:r w:rsidRPr="00504D94">
        <w:rPr>
          <w:rFonts w:cs="Arial" w:hint="cs"/>
          <w:color w:val="00B0F0"/>
          <w:rtl/>
        </w:rPr>
        <w:t>)</w:t>
      </w:r>
    </w:p>
    <w:p w14:paraId="2781DD59" w14:textId="77777777" w:rsidR="004B607F" w:rsidRDefault="004B607F" w:rsidP="004B607F">
      <w:pPr>
        <w:rPr>
          <w:rFonts w:cs="Arial"/>
          <w:rtl/>
        </w:rPr>
      </w:pPr>
      <w:r>
        <w:rPr>
          <w:rFonts w:cs="Arial" w:hint="cs"/>
          <w:b/>
          <w:bCs/>
          <w:rtl/>
        </w:rPr>
        <w:t xml:space="preserve">סנהדרין </w:t>
      </w:r>
      <w:r w:rsidRPr="00624454">
        <w:rPr>
          <w:rFonts w:cs="Arial" w:hint="cs"/>
          <w:b/>
          <w:bCs/>
          <w:sz w:val="16"/>
          <w:szCs w:val="16"/>
          <w:rtl/>
        </w:rPr>
        <w:t xml:space="preserve">(פרק זה בורר) </w:t>
      </w:r>
      <w:r>
        <w:rPr>
          <w:rFonts w:cs="Arial" w:hint="cs"/>
          <w:b/>
          <w:bCs/>
          <w:rtl/>
        </w:rPr>
        <w:t>כט ע"א:</w:t>
      </w:r>
      <w:r>
        <w:rPr>
          <w:rFonts w:cs="Arial" w:hint="cs"/>
          <w:rtl/>
        </w:rPr>
        <w:t xml:space="preserve"> </w:t>
      </w:r>
      <w:r w:rsidRPr="00723071">
        <w:rPr>
          <w:rFonts w:cs="Arial"/>
          <w:rtl/>
        </w:rPr>
        <w:t>אם אמר הוא אמר לי כו' עד שיאמרו בפנינו הודה לו שהוא חייב לו מאתים זוז.</w:t>
      </w:r>
      <w:r>
        <w:rPr>
          <w:rFonts w:cs="Arial" w:hint="cs"/>
          <w:rtl/>
        </w:rPr>
        <w:t>..</w:t>
      </w:r>
      <w:r w:rsidRPr="00723071">
        <w:rPr>
          <w:rFonts w:cs="Arial"/>
          <w:rtl/>
        </w:rPr>
        <w:t xml:space="preserve"> תניא נמי הכי: מנה לי בידך, אמר לו: הן. למחר אמר לו: תנהו לי! אמר לו: משטה אני בך - פטור. ולא עוד אלא, אפילו הכמין לו עדים אחורי גדר, ואמר לו מנה לי בידך, אמר לו: הן. רצונך שתודה בפני פלוני ופלוני? אמר לו: מתיירא אני שמא תכפיני לדין. למחר אמר לו: תניהו לי! אמר לו: משטה אני בך </w:t>
      </w:r>
      <w:r>
        <w:rPr>
          <w:rFonts w:cs="Arial"/>
          <w:rtl/>
        </w:rPr>
        <w:t>–</w:t>
      </w:r>
      <w:r w:rsidRPr="00723071">
        <w:rPr>
          <w:rFonts w:cs="Arial"/>
          <w:rtl/>
        </w:rPr>
        <w:t xml:space="preserve"> פטור</w:t>
      </w:r>
      <w:r>
        <w:rPr>
          <w:rFonts w:cs="Arial" w:hint="cs"/>
          <w:rtl/>
        </w:rPr>
        <w:t>.</w:t>
      </w:r>
    </w:p>
    <w:p w14:paraId="3C156ADC" w14:textId="77777777" w:rsidR="004B607F" w:rsidRDefault="004B607F" w:rsidP="004B607F">
      <w:pPr>
        <w:rPr>
          <w:rFonts w:cs="Arial"/>
          <w:u w:val="single"/>
          <w:rtl/>
        </w:rPr>
      </w:pPr>
      <w:r w:rsidRPr="00F90BE1">
        <w:rPr>
          <w:rFonts w:cs="Arial" w:hint="cs"/>
          <w:u w:val="single"/>
          <w:rtl/>
        </w:rPr>
        <w:t>הטמין עדים לחב</w:t>
      </w:r>
      <w:r>
        <w:rPr>
          <w:rFonts w:cs="Arial" w:hint="cs"/>
          <w:u w:val="single"/>
          <w:rtl/>
        </w:rPr>
        <w:t>ר</w:t>
      </w:r>
      <w:r w:rsidRPr="00F90BE1">
        <w:rPr>
          <w:rFonts w:cs="Arial" w:hint="cs"/>
          <w:u w:val="single"/>
          <w:rtl/>
        </w:rPr>
        <w:t xml:space="preserve">ו </w:t>
      </w:r>
      <w:r w:rsidRPr="00B06F7A">
        <w:rPr>
          <w:rFonts w:cs="Arial" w:hint="cs"/>
          <w:sz w:val="16"/>
          <w:szCs w:val="16"/>
          <w:u w:val="single"/>
          <w:rtl/>
        </w:rPr>
        <w:t xml:space="preserve">(במקום </w:t>
      </w:r>
      <w:r w:rsidRPr="00B06F7A">
        <w:rPr>
          <w:rFonts w:cs="Arial" w:hint="cs"/>
          <w:b/>
          <w:bCs/>
          <w:sz w:val="16"/>
          <w:szCs w:val="16"/>
          <w:u w:val="single"/>
          <w:rtl/>
        </w:rPr>
        <w:t>ד</w:t>
      </w:r>
      <w:r w:rsidRPr="00B06F7A">
        <w:rPr>
          <w:rFonts w:cs="Arial"/>
          <w:b/>
          <w:bCs/>
          <w:sz w:val="16"/>
          <w:szCs w:val="16"/>
          <w:u w:val="single"/>
          <w:rtl/>
        </w:rPr>
        <w:t>איבעי</w:t>
      </w:r>
      <w:r w:rsidRPr="00B06F7A">
        <w:rPr>
          <w:rFonts w:cs="Arial"/>
          <w:sz w:val="16"/>
          <w:szCs w:val="16"/>
          <w:u w:val="single"/>
          <w:rtl/>
        </w:rPr>
        <w:t xml:space="preserve"> ליה לאסוקי אדעתיה שהיו שם עדים</w:t>
      </w:r>
      <w:r w:rsidRPr="00B06F7A">
        <w:rPr>
          <w:rFonts w:cs="Arial" w:hint="cs"/>
          <w:sz w:val="16"/>
          <w:szCs w:val="16"/>
          <w:u w:val="single"/>
          <w:rtl/>
        </w:rPr>
        <w:t>)</w:t>
      </w:r>
      <w:r>
        <w:rPr>
          <w:rFonts w:cs="Arial" w:hint="cs"/>
          <w:sz w:val="16"/>
          <w:szCs w:val="16"/>
          <w:u w:val="single"/>
          <w:rtl/>
        </w:rPr>
        <w:t xml:space="preserve"> </w:t>
      </w:r>
      <w:r w:rsidRPr="00F90BE1">
        <w:rPr>
          <w:rFonts w:cs="Arial" w:hint="cs"/>
          <w:u w:val="single"/>
          <w:rtl/>
        </w:rPr>
        <w:t>ואמר לו 'מנה לי בידך' וחברו הודה לו:</w:t>
      </w:r>
    </w:p>
    <w:p w14:paraId="1CB1575C" w14:textId="77777777" w:rsidR="004B607F" w:rsidRPr="00D34F43" w:rsidRDefault="004B607F" w:rsidP="004B0475">
      <w:pPr>
        <w:pStyle w:val="ac"/>
        <w:numPr>
          <w:ilvl w:val="0"/>
          <w:numId w:val="97"/>
        </w:numPr>
        <w:rPr>
          <w:rFonts w:cs="Arial"/>
          <w:rtl/>
        </w:rPr>
      </w:pPr>
      <w:r w:rsidRPr="00D34F43">
        <w:rPr>
          <w:rFonts w:cs="Arial" w:hint="cs"/>
          <w:rtl/>
        </w:rPr>
        <w:t>טור-</w:t>
      </w:r>
      <w:r w:rsidRPr="00D34F43">
        <w:rPr>
          <w:rFonts w:cs="Arial"/>
          <w:rtl/>
        </w:rPr>
        <w:t xml:space="preserve"> </w:t>
      </w:r>
      <w:r>
        <w:rPr>
          <w:rStyle w:val="ab"/>
          <w:rFonts w:cs="Arial"/>
          <w:rtl/>
        </w:rPr>
        <w:footnoteReference w:id="1842"/>
      </w:r>
      <w:r w:rsidRPr="00D34F43">
        <w:rPr>
          <w:rFonts w:cs="Arial"/>
          <w:rtl/>
        </w:rPr>
        <w:t>ולא עוד אלא אפי' המטמין עדים לחבירו והודה לו בינו לבין עצמו והעדים שומעין לו מאחורי הגדר</w:t>
      </w:r>
      <w:r>
        <w:rPr>
          <w:rFonts w:cs="Arial" w:hint="cs"/>
          <w:rtl/>
        </w:rPr>
        <w:t>,</w:t>
      </w:r>
      <w:r w:rsidRPr="00D34F43">
        <w:rPr>
          <w:rFonts w:cs="Arial"/>
          <w:rtl/>
        </w:rPr>
        <w:t xml:space="preserve"> ואמר לו </w:t>
      </w:r>
      <w:r w:rsidRPr="00D34F43">
        <w:rPr>
          <w:rFonts w:cs="Arial" w:hint="cs"/>
          <w:rtl/>
        </w:rPr>
        <w:t>'</w:t>
      </w:r>
      <w:r w:rsidRPr="00D34F43">
        <w:rPr>
          <w:rFonts w:cs="Arial"/>
          <w:rtl/>
        </w:rPr>
        <w:t>הודה לי בפני עדים</w:t>
      </w:r>
      <w:r w:rsidRPr="00D34F43">
        <w:rPr>
          <w:rFonts w:cs="Arial" w:hint="cs"/>
          <w:rtl/>
        </w:rPr>
        <w:t>',</w:t>
      </w:r>
      <w:r w:rsidRPr="00D34F43">
        <w:rPr>
          <w:rFonts w:cs="Arial"/>
          <w:rtl/>
        </w:rPr>
        <w:t xml:space="preserve"> והוא משיב לו </w:t>
      </w:r>
      <w:r w:rsidRPr="00D34F43">
        <w:rPr>
          <w:rFonts w:cs="Arial" w:hint="cs"/>
          <w:rtl/>
        </w:rPr>
        <w:t>'</w:t>
      </w:r>
      <w:r w:rsidRPr="00D34F43">
        <w:rPr>
          <w:rFonts w:cs="Arial"/>
          <w:rtl/>
        </w:rPr>
        <w:t>הייתי מודה לך אלא שירא אנכי שתכפני לפרוע</w:t>
      </w:r>
      <w:r w:rsidRPr="00D34F43">
        <w:rPr>
          <w:rFonts w:cs="Arial" w:hint="cs"/>
          <w:rtl/>
        </w:rPr>
        <w:t>',</w:t>
      </w:r>
      <w:r w:rsidRPr="00D34F43">
        <w:rPr>
          <w:rFonts w:cs="Arial"/>
          <w:rtl/>
        </w:rPr>
        <w:t xml:space="preserve"> אע</w:t>
      </w:r>
      <w:r w:rsidRPr="00D34F43">
        <w:rPr>
          <w:rFonts w:cs="Arial" w:hint="cs"/>
          <w:rtl/>
        </w:rPr>
        <w:t>"</w:t>
      </w:r>
      <w:r w:rsidRPr="00D34F43">
        <w:rPr>
          <w:rFonts w:cs="Arial"/>
          <w:rtl/>
        </w:rPr>
        <w:t xml:space="preserve">פ שהעדים שומעין שהיה מודה לפניהם אם לא שירא </w:t>
      </w:r>
      <w:r w:rsidRPr="00D34F43">
        <w:rPr>
          <w:rFonts w:cs="Arial" w:hint="cs"/>
          <w:rtl/>
        </w:rPr>
        <w:t xml:space="preserve">- </w:t>
      </w:r>
      <w:r w:rsidRPr="00D34F43">
        <w:rPr>
          <w:rFonts w:cs="Arial"/>
          <w:rtl/>
        </w:rPr>
        <w:t>אינה הודאה להעיד על פיו ויכול לומר משטה הייתי בך</w:t>
      </w:r>
      <w:r w:rsidRPr="00D34F43">
        <w:rPr>
          <w:rFonts w:cs="Arial" w:hint="cs"/>
          <w:rtl/>
        </w:rPr>
        <w:t>.</w:t>
      </w:r>
      <w:r w:rsidRPr="00D34F43">
        <w:rPr>
          <w:rFonts w:cs="Arial"/>
          <w:rtl/>
        </w:rPr>
        <w:t xml:space="preserve"> </w:t>
      </w:r>
      <w:r w:rsidRPr="0032591F">
        <w:rPr>
          <w:rFonts w:cs="Arial" w:hint="cs"/>
          <w:color w:val="E36C0A" w:themeColor="accent6" w:themeShade="BF"/>
          <w:rtl/>
        </w:rPr>
        <w:t>(וכ"פ בשו"ע</w:t>
      </w:r>
      <w:r>
        <w:rPr>
          <w:rFonts w:cs="Arial" w:hint="cs"/>
          <w:sz w:val="16"/>
          <w:szCs w:val="16"/>
          <w:rtl/>
        </w:rPr>
        <w:t xml:space="preserve"> [סי' פא סע' יא]</w:t>
      </w:r>
      <w:r w:rsidRPr="0032591F">
        <w:rPr>
          <w:rFonts w:cs="Arial" w:hint="cs"/>
          <w:color w:val="E36C0A" w:themeColor="accent6" w:themeShade="BF"/>
          <w:rtl/>
        </w:rPr>
        <w:t>)</w:t>
      </w:r>
    </w:p>
    <w:p w14:paraId="5A712B4E" w14:textId="77777777" w:rsidR="004B607F" w:rsidRPr="00B06F7A" w:rsidRDefault="004B607F" w:rsidP="004B607F">
      <w:pPr>
        <w:ind w:left="360"/>
        <w:rPr>
          <w:rFonts w:cs="Arial"/>
          <w:u w:val="dotted"/>
          <w:rtl/>
        </w:rPr>
      </w:pPr>
      <w:r w:rsidRPr="00B06F7A">
        <w:rPr>
          <w:rFonts w:cs="Arial" w:hint="cs"/>
          <w:u w:val="dotted"/>
          <w:rtl/>
        </w:rPr>
        <w:t xml:space="preserve">ומה הדין </w:t>
      </w:r>
      <w:r w:rsidRPr="00B06F7A">
        <w:rPr>
          <w:rFonts w:cs="Arial"/>
          <w:u w:val="dotted"/>
          <w:rtl/>
        </w:rPr>
        <w:t xml:space="preserve">אם לאחר שאמר לו </w:t>
      </w:r>
      <w:r w:rsidRPr="00B06F7A">
        <w:rPr>
          <w:rFonts w:cs="Arial" w:hint="cs"/>
          <w:u w:val="dotted"/>
          <w:rtl/>
        </w:rPr>
        <w:t>'</w:t>
      </w:r>
      <w:r w:rsidRPr="00B06F7A">
        <w:rPr>
          <w:rFonts w:cs="Arial"/>
          <w:u w:val="dotted"/>
          <w:rtl/>
        </w:rPr>
        <w:t>רצונך שתודה לי בפני עדים</w:t>
      </w:r>
      <w:r w:rsidRPr="00B06F7A">
        <w:rPr>
          <w:rFonts w:cs="Arial" w:hint="cs"/>
          <w:u w:val="dotted"/>
          <w:rtl/>
        </w:rPr>
        <w:t>'</w:t>
      </w:r>
      <w:r w:rsidRPr="00B06F7A">
        <w:rPr>
          <w:rFonts w:cs="Arial"/>
          <w:u w:val="dotted"/>
          <w:rtl/>
        </w:rPr>
        <w:t xml:space="preserve"> אמר לו </w:t>
      </w:r>
      <w:r>
        <w:rPr>
          <w:rFonts w:cs="Arial" w:hint="cs"/>
          <w:u w:val="dotted"/>
          <w:rtl/>
        </w:rPr>
        <w:t>'</w:t>
      </w:r>
      <w:r w:rsidRPr="00B06F7A">
        <w:rPr>
          <w:rFonts w:cs="Arial"/>
          <w:u w:val="dotted"/>
          <w:rtl/>
        </w:rPr>
        <w:t>הן</w:t>
      </w:r>
      <w:r>
        <w:rPr>
          <w:rFonts w:cs="Arial" w:hint="cs"/>
          <w:u w:val="dotted"/>
          <w:rtl/>
        </w:rPr>
        <w:t>'</w:t>
      </w:r>
      <w:r w:rsidRPr="00B06F7A">
        <w:rPr>
          <w:rFonts w:cs="Arial" w:hint="cs"/>
          <w:u w:val="dotted"/>
          <w:rtl/>
        </w:rPr>
        <w:t>:</w:t>
      </w:r>
      <w:r w:rsidRPr="00B06F7A">
        <w:rPr>
          <w:rFonts w:cs="Arial"/>
          <w:u w:val="dotted"/>
          <w:rtl/>
        </w:rPr>
        <w:t xml:space="preserve"> </w:t>
      </w:r>
    </w:p>
    <w:p w14:paraId="429722BB" w14:textId="77777777" w:rsidR="004B607F" w:rsidRPr="00B06F7A" w:rsidRDefault="004B607F" w:rsidP="004B0475">
      <w:pPr>
        <w:pStyle w:val="ac"/>
        <w:numPr>
          <w:ilvl w:val="0"/>
          <w:numId w:val="97"/>
        </w:numPr>
        <w:rPr>
          <w:rFonts w:cs="Arial"/>
          <w:rtl/>
        </w:rPr>
      </w:pPr>
      <w:r w:rsidRPr="00B06F7A">
        <w:rPr>
          <w:rFonts w:cs="Arial"/>
          <w:rtl/>
        </w:rPr>
        <w:t>רמ"ה</w:t>
      </w:r>
      <w:r w:rsidRPr="00B06F7A">
        <w:rPr>
          <w:rFonts w:cs="Arial" w:hint="cs"/>
          <w:sz w:val="16"/>
          <w:szCs w:val="16"/>
          <w:rtl/>
        </w:rPr>
        <w:t xml:space="preserve"> (כ"כ הטור בשמו)</w:t>
      </w:r>
      <w:r w:rsidRPr="00B06F7A">
        <w:rPr>
          <w:rFonts w:cs="Arial" w:hint="cs"/>
          <w:rtl/>
        </w:rPr>
        <w:t xml:space="preserve">- </w:t>
      </w:r>
      <w:r w:rsidRPr="00B06F7A">
        <w:rPr>
          <w:rFonts w:cs="Arial"/>
          <w:rtl/>
        </w:rPr>
        <w:t>הוי הודאה</w:t>
      </w:r>
      <w:r w:rsidRPr="00B06F7A">
        <w:rPr>
          <w:rFonts w:cs="Arial" w:hint="cs"/>
          <w:rtl/>
        </w:rPr>
        <w:t>.</w:t>
      </w:r>
      <w:r w:rsidRPr="00B06F7A">
        <w:rPr>
          <w:rFonts w:cs="Arial"/>
          <w:rtl/>
        </w:rPr>
        <w:t xml:space="preserve"> </w:t>
      </w:r>
    </w:p>
    <w:p w14:paraId="3B1C4024" w14:textId="77777777" w:rsidR="004B607F" w:rsidRPr="00B06F7A" w:rsidRDefault="004B607F" w:rsidP="004B0475">
      <w:pPr>
        <w:pStyle w:val="ac"/>
        <w:numPr>
          <w:ilvl w:val="0"/>
          <w:numId w:val="97"/>
        </w:numPr>
        <w:rPr>
          <w:rFonts w:cs="Arial"/>
          <w:rtl/>
        </w:rPr>
      </w:pPr>
      <w:r w:rsidRPr="00B06F7A">
        <w:rPr>
          <w:rFonts w:cs="Arial"/>
          <w:rtl/>
        </w:rPr>
        <w:t>רא"ש</w:t>
      </w:r>
      <w:r w:rsidRPr="00B06F7A">
        <w:rPr>
          <w:rFonts w:cs="Arial" w:hint="cs"/>
          <w:sz w:val="16"/>
          <w:szCs w:val="16"/>
          <w:rtl/>
        </w:rPr>
        <w:t xml:space="preserve"> (כ"כ הטור בשמו)</w:t>
      </w:r>
      <w:r w:rsidRPr="00B06F7A">
        <w:rPr>
          <w:rFonts w:cs="Arial" w:hint="cs"/>
          <w:rtl/>
        </w:rPr>
        <w:t xml:space="preserve">- </w:t>
      </w:r>
      <w:r w:rsidRPr="00B06F7A">
        <w:rPr>
          <w:rFonts w:cs="Arial"/>
          <w:rtl/>
        </w:rPr>
        <w:t>אינה הודאה</w:t>
      </w:r>
      <w:r w:rsidRPr="00B06F7A">
        <w:rPr>
          <w:rFonts w:cs="Arial" w:hint="cs"/>
          <w:rtl/>
        </w:rPr>
        <w:t>.</w:t>
      </w:r>
    </w:p>
    <w:p w14:paraId="45D5879C" w14:textId="77777777" w:rsidR="004B607F" w:rsidRDefault="004B607F" w:rsidP="004B607F">
      <w:pPr>
        <w:rPr>
          <w:rFonts w:cs="Arial"/>
          <w:rtl/>
        </w:rPr>
      </w:pPr>
      <w:r w:rsidRPr="0093397C">
        <w:rPr>
          <w:rFonts w:cs="Arial" w:hint="cs"/>
          <w:b/>
          <w:bCs/>
          <w:rtl/>
        </w:rPr>
        <w:t xml:space="preserve">סנהדרין </w:t>
      </w:r>
      <w:r w:rsidRPr="0093397C">
        <w:rPr>
          <w:rFonts w:cs="Arial" w:hint="cs"/>
          <w:b/>
          <w:bCs/>
          <w:sz w:val="16"/>
          <w:szCs w:val="16"/>
          <w:rtl/>
        </w:rPr>
        <w:t xml:space="preserve">(פ' זה בורר) </w:t>
      </w:r>
      <w:r w:rsidRPr="0093397C">
        <w:rPr>
          <w:rFonts w:cs="Arial" w:hint="cs"/>
          <w:b/>
          <w:bCs/>
          <w:rtl/>
        </w:rPr>
        <w:t>כט ע"</w:t>
      </w:r>
      <w:r>
        <w:rPr>
          <w:rFonts w:cs="Arial" w:hint="cs"/>
          <w:b/>
          <w:bCs/>
          <w:rtl/>
        </w:rPr>
        <w:t>ב</w:t>
      </w:r>
      <w:r w:rsidRPr="0093397C">
        <w:rPr>
          <w:rFonts w:cs="Arial" w:hint="cs"/>
          <w:b/>
          <w:bCs/>
          <w:rtl/>
        </w:rPr>
        <w:t>:</w:t>
      </w:r>
      <w:r>
        <w:rPr>
          <w:rFonts w:cs="Arial" w:hint="cs"/>
          <w:rtl/>
        </w:rPr>
        <w:t xml:space="preserve"> </w:t>
      </w:r>
      <w:r w:rsidRPr="00164437">
        <w:rPr>
          <w:rFonts w:cs="Arial"/>
          <w:rtl/>
        </w:rPr>
        <w:t>ההוא דאכמין ליה עדים לחבריה בכילתיה</w:t>
      </w:r>
      <w:r>
        <w:rPr>
          <w:rStyle w:val="ab"/>
          <w:rFonts w:cs="Arial"/>
          <w:rtl/>
        </w:rPr>
        <w:footnoteReference w:id="1843"/>
      </w:r>
      <w:r w:rsidRPr="00164437">
        <w:rPr>
          <w:rFonts w:cs="Arial"/>
          <w:rtl/>
        </w:rPr>
        <w:t>, אמר ליה: מנה לי בידך. אמר ליה: הן. אמר: עירי ושכבי ליהוו עלך סהדי</w:t>
      </w:r>
      <w:r>
        <w:rPr>
          <w:rStyle w:val="ab"/>
          <w:rFonts w:cs="Arial"/>
          <w:rtl/>
        </w:rPr>
        <w:footnoteReference w:id="1844"/>
      </w:r>
      <w:r w:rsidRPr="00164437">
        <w:rPr>
          <w:rFonts w:cs="Arial"/>
          <w:rtl/>
        </w:rPr>
        <w:t xml:space="preserve">! אמר ליה: לא. </w:t>
      </w:r>
      <w:r w:rsidRPr="00164437">
        <w:rPr>
          <w:rFonts w:cs="Arial"/>
          <w:u w:val="single"/>
          <w:rtl/>
        </w:rPr>
        <w:t>אמר רב כהנא</w:t>
      </w:r>
      <w:r w:rsidRPr="00164437">
        <w:rPr>
          <w:rFonts w:cs="Arial"/>
          <w:rtl/>
        </w:rPr>
        <w:t>: הא אמר ליה לא</w:t>
      </w:r>
      <w:r>
        <w:rPr>
          <w:rStyle w:val="ab"/>
          <w:rFonts w:cs="Arial"/>
          <w:rtl/>
        </w:rPr>
        <w:footnoteReference w:id="1845"/>
      </w:r>
      <w:r w:rsidRPr="00164437">
        <w:rPr>
          <w:rFonts w:cs="Arial"/>
          <w:rtl/>
        </w:rPr>
        <w:t xml:space="preserve">. ההוא דאכמין עדים בקיברא לחבריה, אמר ליה: מנה לי בידך. אמר ליה: הן. חיי ומיתי ליהוו עלך סהדי! אמר ליה: לא. </w:t>
      </w:r>
      <w:r w:rsidRPr="00164437">
        <w:rPr>
          <w:rFonts w:cs="Arial"/>
          <w:u w:val="single"/>
          <w:rtl/>
        </w:rPr>
        <w:t>אמר רבי שמעון</w:t>
      </w:r>
      <w:r w:rsidRPr="00164437">
        <w:rPr>
          <w:rFonts w:cs="Arial"/>
          <w:rtl/>
        </w:rPr>
        <w:t>: הא אמר ליה לא.</w:t>
      </w:r>
    </w:p>
    <w:p w14:paraId="2BC0400B" w14:textId="77777777" w:rsidR="004B607F" w:rsidRPr="00B06F7A" w:rsidRDefault="004B607F" w:rsidP="004B607F">
      <w:pPr>
        <w:rPr>
          <w:rFonts w:cs="Arial"/>
          <w:u w:val="single"/>
          <w:rtl/>
        </w:rPr>
      </w:pPr>
      <w:r w:rsidRPr="00B06F7A">
        <w:rPr>
          <w:rFonts w:cs="Arial" w:hint="cs"/>
          <w:u w:val="single"/>
          <w:rtl/>
        </w:rPr>
        <w:t xml:space="preserve">הטמין עדים לחברו </w:t>
      </w:r>
      <w:r w:rsidRPr="00B06F7A">
        <w:rPr>
          <w:rFonts w:cs="Arial" w:hint="cs"/>
          <w:sz w:val="16"/>
          <w:szCs w:val="16"/>
          <w:u w:val="single"/>
          <w:rtl/>
        </w:rPr>
        <w:t xml:space="preserve">(במקום </w:t>
      </w:r>
      <w:r w:rsidRPr="00B06F7A">
        <w:rPr>
          <w:rFonts w:cs="Arial"/>
          <w:b/>
          <w:bCs/>
          <w:sz w:val="16"/>
          <w:szCs w:val="16"/>
          <w:u w:val="single"/>
          <w:rtl/>
        </w:rPr>
        <w:t>דלא</w:t>
      </w:r>
      <w:r w:rsidRPr="00B06F7A">
        <w:rPr>
          <w:rFonts w:cs="Arial"/>
          <w:sz w:val="16"/>
          <w:szCs w:val="16"/>
          <w:u w:val="single"/>
          <w:rtl/>
        </w:rPr>
        <w:t xml:space="preserve"> איבעי ליה לאסוקי אדעתיה שהיו שם עדים</w:t>
      </w:r>
      <w:r w:rsidRPr="00B06F7A">
        <w:rPr>
          <w:rFonts w:cs="Arial" w:hint="cs"/>
          <w:sz w:val="16"/>
          <w:szCs w:val="16"/>
          <w:u w:val="single"/>
          <w:rtl/>
        </w:rPr>
        <w:t>)</w:t>
      </w:r>
      <w:r w:rsidRPr="00B06F7A">
        <w:rPr>
          <w:rFonts w:cs="Arial"/>
          <w:sz w:val="16"/>
          <w:szCs w:val="16"/>
          <w:u w:val="single"/>
          <w:rtl/>
        </w:rPr>
        <w:t xml:space="preserve"> </w:t>
      </w:r>
      <w:r w:rsidRPr="00B06F7A">
        <w:rPr>
          <w:rFonts w:cs="Arial" w:hint="cs"/>
          <w:u w:val="single"/>
          <w:rtl/>
        </w:rPr>
        <w:t>ואמר לו 'מנה לי בידך' וחברו הודה לו:</w:t>
      </w:r>
    </w:p>
    <w:p w14:paraId="0965ADB5" w14:textId="77777777" w:rsidR="004B607F" w:rsidRDefault="004B607F" w:rsidP="004B0475">
      <w:pPr>
        <w:pStyle w:val="ac"/>
        <w:numPr>
          <w:ilvl w:val="0"/>
          <w:numId w:val="97"/>
        </w:numPr>
        <w:rPr>
          <w:rFonts w:cs="Arial"/>
        </w:rPr>
      </w:pPr>
      <w:r w:rsidRPr="00F90BE1">
        <w:rPr>
          <w:rFonts w:cs="Arial" w:hint="cs"/>
          <w:rtl/>
        </w:rPr>
        <w:t>טור-</w:t>
      </w:r>
      <w:r w:rsidRPr="00F90BE1">
        <w:rPr>
          <w:rFonts w:cs="Arial"/>
          <w:rtl/>
        </w:rPr>
        <w:t xml:space="preserve"> ודווקא כה</w:t>
      </w:r>
      <w:r>
        <w:rPr>
          <w:rFonts w:cs="Arial" w:hint="cs"/>
          <w:rtl/>
        </w:rPr>
        <w:t>"</w:t>
      </w:r>
      <w:r w:rsidRPr="00F90BE1">
        <w:rPr>
          <w:rFonts w:cs="Arial"/>
          <w:rtl/>
        </w:rPr>
        <w:t>ג דלא איבעי ליה לאסוקי אדעתיה שהיו שם עדים</w:t>
      </w:r>
      <w:r>
        <w:rPr>
          <w:rFonts w:cs="Arial" w:hint="cs"/>
          <w:rtl/>
        </w:rPr>
        <w:t>,</w:t>
      </w:r>
      <w:r w:rsidRPr="00F90BE1">
        <w:rPr>
          <w:rFonts w:cs="Arial"/>
          <w:rtl/>
        </w:rPr>
        <w:t xml:space="preserve"> אבל אי איבעי ליה לאסוקי אדעתיה שהיו שם עדים כההוא דאטמין סהדי לחבריה בכילתא ואמר לו מנה לי בידך ואמר לו הן אמר לו עירי ושכבי ליהוו סהדי עליך ושתק </w:t>
      </w:r>
      <w:r>
        <w:rPr>
          <w:rFonts w:cs="Arial" w:hint="cs"/>
          <w:rtl/>
        </w:rPr>
        <w:t xml:space="preserve">- </w:t>
      </w:r>
      <w:r w:rsidRPr="00F90BE1">
        <w:rPr>
          <w:rFonts w:cs="Arial"/>
          <w:rtl/>
        </w:rPr>
        <w:t>הוי הודאה בפני עדים</w:t>
      </w:r>
      <w:r>
        <w:rPr>
          <w:rFonts w:cs="Arial" w:hint="cs"/>
          <w:rtl/>
        </w:rPr>
        <w:t>,</w:t>
      </w:r>
      <w:r w:rsidRPr="00F90BE1">
        <w:rPr>
          <w:rFonts w:cs="Arial"/>
          <w:rtl/>
        </w:rPr>
        <w:t xml:space="preserve"> דשתיקתו הוי קבלה</w:t>
      </w:r>
      <w:r>
        <w:rPr>
          <w:rFonts w:cs="Arial" w:hint="cs"/>
          <w:rtl/>
        </w:rPr>
        <w:t>,</w:t>
      </w:r>
      <w:r w:rsidRPr="00F90BE1">
        <w:rPr>
          <w:rFonts w:cs="Arial"/>
          <w:rtl/>
        </w:rPr>
        <w:t xml:space="preserve"> דאיבעי ליה לאסוקי אדעתיה שיש שם עדים</w:t>
      </w:r>
      <w:r>
        <w:rPr>
          <w:rFonts w:cs="Arial" w:hint="cs"/>
          <w:rtl/>
        </w:rPr>
        <w:t>,</w:t>
      </w:r>
      <w:r w:rsidRPr="00F90BE1">
        <w:rPr>
          <w:rFonts w:cs="Arial"/>
          <w:rtl/>
        </w:rPr>
        <w:t xml:space="preserve"> כי למה אמר עירי ושכבי ליהוו סהדי אם לא שהיו שם</w:t>
      </w:r>
      <w:r>
        <w:rPr>
          <w:rStyle w:val="ab"/>
          <w:rFonts w:cs="Arial"/>
          <w:rtl/>
        </w:rPr>
        <w:footnoteReference w:id="1846"/>
      </w:r>
      <w:r>
        <w:rPr>
          <w:rFonts w:cs="Arial" w:hint="cs"/>
          <w:rtl/>
        </w:rPr>
        <w:t>.</w:t>
      </w:r>
      <w:r w:rsidRPr="00F90BE1">
        <w:rPr>
          <w:rFonts w:cs="Arial"/>
          <w:rtl/>
        </w:rPr>
        <w:t xml:space="preserve"> וכל כיוצא בזה</w:t>
      </w:r>
      <w:r>
        <w:rPr>
          <w:rStyle w:val="ab"/>
          <w:rFonts w:cs="Arial"/>
          <w:rtl/>
        </w:rPr>
        <w:footnoteReference w:id="1847"/>
      </w:r>
      <w:r>
        <w:rPr>
          <w:rFonts w:cs="Arial" w:hint="cs"/>
          <w:rtl/>
        </w:rPr>
        <w:t>.</w:t>
      </w:r>
      <w:r w:rsidRPr="00F90BE1">
        <w:rPr>
          <w:rFonts w:cs="Arial"/>
          <w:rtl/>
        </w:rPr>
        <w:t xml:space="preserve"> אבל כשאמר לו עירי ושכבי הוי סהדי ואמר לו </w:t>
      </w:r>
      <w:r>
        <w:rPr>
          <w:rFonts w:cs="Arial" w:hint="cs"/>
          <w:rtl/>
        </w:rPr>
        <w:t>'</w:t>
      </w:r>
      <w:r w:rsidRPr="00F90BE1">
        <w:rPr>
          <w:rFonts w:cs="Arial"/>
          <w:rtl/>
        </w:rPr>
        <w:t>לא</w:t>
      </w:r>
      <w:r>
        <w:rPr>
          <w:rFonts w:cs="Arial" w:hint="cs"/>
          <w:rtl/>
        </w:rPr>
        <w:t>'</w:t>
      </w:r>
      <w:r w:rsidRPr="00F90BE1">
        <w:rPr>
          <w:rFonts w:cs="Arial"/>
          <w:rtl/>
        </w:rPr>
        <w:t xml:space="preserve"> </w:t>
      </w:r>
      <w:r>
        <w:rPr>
          <w:rFonts w:cs="Arial" w:hint="cs"/>
          <w:rtl/>
        </w:rPr>
        <w:t xml:space="preserve">- </w:t>
      </w:r>
      <w:r w:rsidRPr="00F90BE1">
        <w:rPr>
          <w:rFonts w:cs="Arial"/>
          <w:rtl/>
        </w:rPr>
        <w:t>הרי מיחה בהדיא שלא יהיו עדים</w:t>
      </w:r>
      <w:r w:rsidRPr="00F90BE1">
        <w:rPr>
          <w:rFonts w:cs="Arial" w:hint="cs"/>
          <w:rtl/>
        </w:rPr>
        <w:t>.</w:t>
      </w:r>
      <w:r w:rsidRPr="004803D6">
        <w:rPr>
          <w:rFonts w:cs="Arial" w:hint="cs"/>
          <w:color w:val="E36C0A" w:themeColor="accent6" w:themeShade="BF"/>
          <w:rtl/>
        </w:rPr>
        <w:t xml:space="preserve"> </w:t>
      </w:r>
      <w:r w:rsidRPr="0032591F">
        <w:rPr>
          <w:rFonts w:cs="Arial" w:hint="cs"/>
          <w:color w:val="E36C0A" w:themeColor="accent6" w:themeShade="BF"/>
          <w:rtl/>
        </w:rPr>
        <w:t>(וכ"פ בשו"ע</w:t>
      </w:r>
      <w:r>
        <w:rPr>
          <w:rFonts w:cs="Arial" w:hint="cs"/>
          <w:sz w:val="16"/>
          <w:szCs w:val="16"/>
          <w:rtl/>
        </w:rPr>
        <w:t xml:space="preserve"> [סי' פא סע' יג]</w:t>
      </w:r>
      <w:r w:rsidRPr="0032591F">
        <w:rPr>
          <w:rFonts w:cs="Arial" w:hint="cs"/>
          <w:color w:val="E36C0A" w:themeColor="accent6" w:themeShade="BF"/>
          <w:rtl/>
        </w:rPr>
        <w:t>)</w:t>
      </w:r>
    </w:p>
    <w:p w14:paraId="1CC5A5B7" w14:textId="77777777" w:rsidR="004B607F" w:rsidRPr="00B06F7A" w:rsidRDefault="004B607F" w:rsidP="004B607F">
      <w:pPr>
        <w:rPr>
          <w:rFonts w:cs="Arial"/>
          <w:u w:val="single"/>
        </w:rPr>
      </w:pPr>
      <w:r w:rsidRPr="00B06F7A">
        <w:rPr>
          <w:rFonts w:cs="Arial" w:hint="cs"/>
          <w:u w:val="single"/>
          <w:rtl/>
        </w:rPr>
        <w:t>הודה לו בפני עדים ואח"כ אמר לו</w:t>
      </w:r>
      <w:r>
        <w:rPr>
          <w:rFonts w:cs="Arial" w:hint="cs"/>
          <w:u w:val="single"/>
          <w:rtl/>
        </w:rPr>
        <w:t xml:space="preserve"> -</w:t>
      </w:r>
      <w:r w:rsidRPr="00B06F7A">
        <w:rPr>
          <w:rFonts w:cs="Arial" w:hint="cs"/>
          <w:u w:val="single"/>
          <w:rtl/>
        </w:rPr>
        <w:t xml:space="preserve"> </w:t>
      </w:r>
      <w:r w:rsidRPr="00B06F7A">
        <w:rPr>
          <w:rFonts w:cs="Arial"/>
          <w:u w:val="single"/>
          <w:rtl/>
        </w:rPr>
        <w:t>משטה הייתי בך</w:t>
      </w:r>
      <w:r w:rsidRPr="00B06F7A">
        <w:rPr>
          <w:rFonts w:cs="Arial" w:hint="cs"/>
          <w:u w:val="single"/>
          <w:rtl/>
        </w:rPr>
        <w:t xml:space="preserve">/ </w:t>
      </w:r>
      <w:r w:rsidRPr="00B06F7A">
        <w:rPr>
          <w:rFonts w:cs="Arial"/>
          <w:u w:val="single"/>
          <w:rtl/>
        </w:rPr>
        <w:t>שלא להשביע עצמי נתכוונתי</w:t>
      </w:r>
      <w:r w:rsidRPr="00B06F7A">
        <w:rPr>
          <w:rFonts w:cs="Arial" w:hint="cs"/>
          <w:u w:val="single"/>
          <w:rtl/>
        </w:rPr>
        <w:t xml:space="preserve">/ </w:t>
      </w:r>
      <w:r w:rsidRPr="00B06F7A">
        <w:rPr>
          <w:rFonts w:cs="Arial"/>
          <w:u w:val="single"/>
          <w:rtl/>
        </w:rPr>
        <w:t>להד</w:t>
      </w:r>
      <w:r>
        <w:rPr>
          <w:rFonts w:cs="Arial" w:hint="cs"/>
          <w:u w:val="single"/>
          <w:rtl/>
        </w:rPr>
        <w:t>"</w:t>
      </w:r>
      <w:r w:rsidRPr="00B06F7A">
        <w:rPr>
          <w:rFonts w:cs="Arial"/>
          <w:u w:val="single"/>
          <w:rtl/>
        </w:rPr>
        <w:t>מ</w:t>
      </w:r>
      <w:r w:rsidRPr="00B06F7A">
        <w:rPr>
          <w:rFonts w:cs="Arial" w:hint="cs"/>
          <w:u w:val="single"/>
          <w:rtl/>
        </w:rPr>
        <w:t xml:space="preserve">/ </w:t>
      </w:r>
      <w:r w:rsidRPr="00B06F7A">
        <w:rPr>
          <w:rFonts w:cs="Arial"/>
          <w:u w:val="single"/>
          <w:rtl/>
        </w:rPr>
        <w:t>פרעתיך אחר כן</w:t>
      </w:r>
      <w:r w:rsidRPr="00B06F7A">
        <w:rPr>
          <w:rFonts w:cs="Arial" w:hint="cs"/>
          <w:u w:val="single"/>
          <w:rtl/>
        </w:rPr>
        <w:t>:</w:t>
      </w:r>
    </w:p>
    <w:p w14:paraId="6573105B" w14:textId="77777777" w:rsidR="004B607F" w:rsidRDefault="004B607F" w:rsidP="004B0475">
      <w:pPr>
        <w:pStyle w:val="ac"/>
        <w:numPr>
          <w:ilvl w:val="0"/>
          <w:numId w:val="97"/>
        </w:numPr>
        <w:rPr>
          <w:rFonts w:cs="Arial"/>
        </w:rPr>
      </w:pPr>
      <w:r w:rsidRPr="00D34F43">
        <w:rPr>
          <w:rFonts w:cs="Arial"/>
          <w:rtl/>
        </w:rPr>
        <w:t xml:space="preserve">ספר התרומות </w:t>
      </w:r>
      <w:r w:rsidRPr="00D34F43">
        <w:rPr>
          <w:rFonts w:cs="Arial" w:hint="cs"/>
          <w:sz w:val="16"/>
          <w:szCs w:val="16"/>
          <w:rtl/>
        </w:rPr>
        <w:t>(</w:t>
      </w:r>
      <w:r w:rsidRPr="00D34F43">
        <w:rPr>
          <w:rFonts w:cs="Arial"/>
          <w:sz w:val="16"/>
          <w:szCs w:val="16"/>
          <w:rtl/>
        </w:rPr>
        <w:t>שער מב ח"א סו"ס ה)</w:t>
      </w:r>
      <w:r>
        <w:rPr>
          <w:rFonts w:cs="Arial" w:hint="cs"/>
          <w:rtl/>
        </w:rPr>
        <w:t>-</w:t>
      </w:r>
      <w:r w:rsidRPr="00D34F43">
        <w:rPr>
          <w:rFonts w:cs="Arial"/>
          <w:rtl/>
        </w:rPr>
        <w:t xml:space="preserve"> המטמין עדים ושמעו שהודה לו מנה</w:t>
      </w:r>
      <w:r>
        <w:rPr>
          <w:rFonts w:cs="Arial" w:hint="cs"/>
          <w:rtl/>
        </w:rPr>
        <w:t>,</w:t>
      </w:r>
      <w:r w:rsidRPr="00D34F43">
        <w:rPr>
          <w:rFonts w:cs="Arial"/>
          <w:rtl/>
        </w:rPr>
        <w:t xml:space="preserve"> או מודה מעצמו ועדים שומעין אותו</w:t>
      </w:r>
      <w:r>
        <w:rPr>
          <w:rFonts w:cs="Arial" w:hint="cs"/>
          <w:rtl/>
        </w:rPr>
        <w:t>,</w:t>
      </w:r>
      <w:r w:rsidRPr="00D34F43">
        <w:rPr>
          <w:rFonts w:cs="Arial"/>
          <w:rtl/>
        </w:rPr>
        <w:t xml:space="preserve"> או שתבעו בפני עדים והודה לו אבל לא אמר אתם עדי</w:t>
      </w:r>
      <w:r>
        <w:rPr>
          <w:rFonts w:cs="Arial" w:hint="cs"/>
          <w:rtl/>
        </w:rPr>
        <w:t xml:space="preserve">, </w:t>
      </w:r>
      <w:r w:rsidRPr="00D34F43">
        <w:rPr>
          <w:rFonts w:cs="Arial"/>
          <w:rtl/>
        </w:rPr>
        <w:t xml:space="preserve">בכל אלו אם טען </w:t>
      </w:r>
      <w:r>
        <w:rPr>
          <w:rFonts w:cs="Arial" w:hint="cs"/>
          <w:rtl/>
        </w:rPr>
        <w:t>'</w:t>
      </w:r>
      <w:r w:rsidRPr="00D34F43">
        <w:rPr>
          <w:rFonts w:cs="Arial"/>
          <w:rtl/>
        </w:rPr>
        <w:t>משטה הייתי בך</w:t>
      </w:r>
      <w:r>
        <w:rPr>
          <w:rFonts w:cs="Arial" w:hint="cs"/>
          <w:rtl/>
        </w:rPr>
        <w:t>'</w:t>
      </w:r>
      <w:r w:rsidRPr="00D34F43">
        <w:rPr>
          <w:rFonts w:cs="Arial"/>
          <w:rtl/>
        </w:rPr>
        <w:t xml:space="preserve"> או </w:t>
      </w:r>
      <w:r>
        <w:rPr>
          <w:rFonts w:cs="Arial" w:hint="cs"/>
          <w:rtl/>
        </w:rPr>
        <w:t>'</w:t>
      </w:r>
      <w:r w:rsidRPr="00D34F43">
        <w:rPr>
          <w:rFonts w:cs="Arial"/>
          <w:rtl/>
        </w:rPr>
        <w:t>שלא להשביע עצמי נתכוונתי</w:t>
      </w:r>
      <w:r>
        <w:rPr>
          <w:rFonts w:cs="Arial" w:hint="cs"/>
          <w:rtl/>
        </w:rPr>
        <w:t>'</w:t>
      </w:r>
      <w:r w:rsidRPr="00D34F43">
        <w:rPr>
          <w:rFonts w:cs="Arial"/>
          <w:rtl/>
        </w:rPr>
        <w:t xml:space="preserve"> או </w:t>
      </w:r>
      <w:r>
        <w:rPr>
          <w:rFonts w:cs="Arial" w:hint="cs"/>
          <w:rtl/>
        </w:rPr>
        <w:t>'</w:t>
      </w:r>
      <w:r w:rsidRPr="00D34F43">
        <w:rPr>
          <w:rFonts w:cs="Arial"/>
          <w:rtl/>
        </w:rPr>
        <w:t>לא היו דברים מעולם</w:t>
      </w:r>
      <w:r>
        <w:rPr>
          <w:rFonts w:cs="Arial" w:hint="cs"/>
          <w:rtl/>
        </w:rPr>
        <w:t>'</w:t>
      </w:r>
      <w:r w:rsidRPr="00D34F43">
        <w:rPr>
          <w:rFonts w:cs="Arial"/>
          <w:rtl/>
        </w:rPr>
        <w:t xml:space="preserve"> או </w:t>
      </w:r>
      <w:r>
        <w:rPr>
          <w:rFonts w:cs="Arial" w:hint="cs"/>
          <w:rtl/>
        </w:rPr>
        <w:t>'</w:t>
      </w:r>
      <w:r w:rsidRPr="00D34F43">
        <w:rPr>
          <w:rFonts w:cs="Arial"/>
          <w:rtl/>
        </w:rPr>
        <w:t>פרעתיך אחר כן</w:t>
      </w:r>
      <w:r>
        <w:rPr>
          <w:rFonts w:cs="Arial" w:hint="cs"/>
          <w:rtl/>
        </w:rPr>
        <w:t>'</w:t>
      </w:r>
      <w:r w:rsidRPr="00D34F43">
        <w:rPr>
          <w:rFonts w:cs="Arial"/>
          <w:rtl/>
        </w:rPr>
        <w:t xml:space="preserve"> </w:t>
      </w:r>
      <w:r>
        <w:rPr>
          <w:rFonts w:cs="Arial" w:hint="cs"/>
          <w:rtl/>
        </w:rPr>
        <w:t xml:space="preserve">- </w:t>
      </w:r>
      <w:r w:rsidRPr="00D34F43">
        <w:rPr>
          <w:rFonts w:cs="Arial"/>
          <w:rtl/>
        </w:rPr>
        <w:t>נאמן ובהיסת</w:t>
      </w:r>
      <w:r>
        <w:rPr>
          <w:rFonts w:cs="Arial" w:hint="cs"/>
          <w:rtl/>
        </w:rPr>
        <w:t>.</w:t>
      </w:r>
      <w:r w:rsidRPr="00D34F43">
        <w:rPr>
          <w:rFonts w:cs="Arial"/>
          <w:rtl/>
        </w:rPr>
        <w:t xml:space="preserve"> ואם לא טען </w:t>
      </w:r>
      <w:r>
        <w:rPr>
          <w:rFonts w:cs="Arial" w:hint="cs"/>
          <w:rtl/>
        </w:rPr>
        <w:t xml:space="preserve">- </w:t>
      </w:r>
      <w:r w:rsidRPr="00D34F43">
        <w:rPr>
          <w:rFonts w:cs="Arial"/>
          <w:rtl/>
        </w:rPr>
        <w:t>אין טוענין לו</w:t>
      </w:r>
      <w:r>
        <w:rPr>
          <w:rFonts w:cs="Arial" w:hint="cs"/>
          <w:rtl/>
        </w:rPr>
        <w:t>,</w:t>
      </w:r>
      <w:r w:rsidRPr="00D34F43">
        <w:rPr>
          <w:rFonts w:cs="Arial"/>
          <w:rtl/>
        </w:rPr>
        <w:t xml:space="preserve"> חוץ מהמודה מעצמו וכדלעיל </w:t>
      </w:r>
      <w:r w:rsidRPr="00D34F43">
        <w:rPr>
          <w:rFonts w:cs="Arial"/>
          <w:sz w:val="16"/>
          <w:szCs w:val="16"/>
          <w:rtl/>
        </w:rPr>
        <w:t>(שם סי' ג)</w:t>
      </w:r>
      <w:r w:rsidRPr="00D34F43">
        <w:rPr>
          <w:rFonts w:cs="Arial" w:hint="cs"/>
          <w:rtl/>
        </w:rPr>
        <w:t>.</w:t>
      </w:r>
    </w:p>
    <w:p w14:paraId="0A4759B7" w14:textId="77777777" w:rsidR="004B607F" w:rsidRPr="00B06F7A" w:rsidRDefault="004B607F" w:rsidP="004B607F">
      <w:pPr>
        <w:rPr>
          <w:rFonts w:cs="Arial"/>
        </w:rPr>
      </w:pPr>
      <w:r w:rsidRPr="00B06F7A">
        <w:rPr>
          <w:rFonts w:cs="Arial" w:hint="cs"/>
          <w:u w:val="single"/>
          <w:rtl/>
        </w:rPr>
        <w:t>הטמין עדים לחברו</w:t>
      </w:r>
      <w:r>
        <w:rPr>
          <w:rFonts w:cs="Arial" w:hint="cs"/>
          <w:u w:val="single"/>
          <w:rtl/>
        </w:rPr>
        <w:t xml:space="preserve"> </w:t>
      </w:r>
      <w:r w:rsidRPr="00B06F7A">
        <w:rPr>
          <w:rFonts w:cs="Arial" w:hint="cs"/>
          <w:b/>
          <w:bCs/>
          <w:u w:val="single"/>
          <w:rtl/>
        </w:rPr>
        <w:t>והלוה</w:t>
      </w:r>
      <w:r>
        <w:rPr>
          <w:rFonts w:cs="Arial" w:hint="cs"/>
          <w:u w:val="single"/>
          <w:rtl/>
        </w:rPr>
        <w:t xml:space="preserve"> לו:</w:t>
      </w:r>
      <w:r w:rsidRPr="00B06F7A">
        <w:rPr>
          <w:rFonts w:cs="Arial" w:hint="cs"/>
          <w:u w:val="single"/>
          <w:rtl/>
        </w:rPr>
        <w:t xml:space="preserve"> </w:t>
      </w:r>
    </w:p>
    <w:p w14:paraId="6E496F1C" w14:textId="77777777" w:rsidR="004B607F" w:rsidRDefault="004B607F" w:rsidP="004B0475">
      <w:pPr>
        <w:pStyle w:val="ac"/>
        <w:numPr>
          <w:ilvl w:val="0"/>
          <w:numId w:val="97"/>
        </w:numPr>
        <w:rPr>
          <w:rFonts w:cs="Arial"/>
        </w:rPr>
      </w:pPr>
      <w:r w:rsidRPr="00D34F43">
        <w:rPr>
          <w:rFonts w:cs="Arial"/>
          <w:rtl/>
        </w:rPr>
        <w:t xml:space="preserve">ריב"ש </w:t>
      </w:r>
      <w:r w:rsidRPr="00D34F43">
        <w:rPr>
          <w:rFonts w:cs="Arial"/>
          <w:sz w:val="16"/>
          <w:szCs w:val="16"/>
          <w:rtl/>
        </w:rPr>
        <w:t>(סי' שצב)</w:t>
      </w:r>
      <w:r>
        <w:rPr>
          <w:rFonts w:cs="Arial" w:hint="cs"/>
          <w:rtl/>
        </w:rPr>
        <w:t>-</w:t>
      </w:r>
      <w:r w:rsidRPr="00D34F43">
        <w:rPr>
          <w:rFonts w:cs="Arial"/>
          <w:rtl/>
        </w:rPr>
        <w:t xml:space="preserve"> כל שראו ההלואה אפילו בהכמנה מעידין עליה</w:t>
      </w:r>
      <w:r>
        <w:rPr>
          <w:rFonts w:cs="Arial" w:hint="cs"/>
          <w:rtl/>
        </w:rPr>
        <w:t>,</w:t>
      </w:r>
      <w:r w:rsidRPr="00D34F43">
        <w:rPr>
          <w:rFonts w:cs="Arial"/>
          <w:rtl/>
        </w:rPr>
        <w:t xml:space="preserve"> דדוקא בהודאה לא מהני משום דמצי אמר משטה הייתי בך</w:t>
      </w:r>
      <w:r>
        <w:rPr>
          <w:rFonts w:cs="Arial" w:hint="cs"/>
          <w:rtl/>
        </w:rPr>
        <w:t>,</w:t>
      </w:r>
      <w:r w:rsidRPr="00D34F43">
        <w:rPr>
          <w:rFonts w:cs="Arial"/>
          <w:rtl/>
        </w:rPr>
        <w:t xml:space="preserve"> אבל בהלואה מהני משום דבהלואה אפילו בלא עדים כלל הוא חייב</w:t>
      </w:r>
      <w:r>
        <w:rPr>
          <w:rFonts w:cs="Arial" w:hint="cs"/>
          <w:rtl/>
        </w:rPr>
        <w:t>,</w:t>
      </w:r>
      <w:r w:rsidRPr="00D34F43">
        <w:rPr>
          <w:rFonts w:cs="Arial"/>
          <w:rtl/>
        </w:rPr>
        <w:t xml:space="preserve"> דלא איברו סהדי אלא לשקרי </w:t>
      </w:r>
      <w:r w:rsidRPr="00D34F43">
        <w:rPr>
          <w:rFonts w:cs="Arial"/>
          <w:sz w:val="16"/>
          <w:szCs w:val="16"/>
          <w:rtl/>
        </w:rPr>
        <w:t>(קידושין סה:)</w:t>
      </w:r>
      <w:r>
        <w:rPr>
          <w:rFonts w:cs="Arial" w:hint="cs"/>
          <w:rtl/>
        </w:rPr>
        <w:t>.</w:t>
      </w:r>
      <w:r w:rsidRPr="00D34F43">
        <w:rPr>
          <w:rFonts w:cs="Arial"/>
          <w:rtl/>
        </w:rPr>
        <w:t xml:space="preserve"> </w:t>
      </w:r>
    </w:p>
    <w:p w14:paraId="123876C4" w14:textId="77777777" w:rsidR="004B607F" w:rsidRPr="00B06F7A" w:rsidRDefault="004B607F" w:rsidP="004B607F">
      <w:pPr>
        <w:rPr>
          <w:rFonts w:cs="Arial"/>
          <w:u w:val="single"/>
        </w:rPr>
      </w:pPr>
      <w:r w:rsidRPr="00B06F7A">
        <w:rPr>
          <w:rFonts w:cs="Arial"/>
          <w:u w:val="single"/>
          <w:rtl/>
        </w:rPr>
        <w:t>תקע לו כפו באמונתו</w:t>
      </w:r>
      <w:r w:rsidRPr="00B06F7A">
        <w:rPr>
          <w:rFonts w:cs="Arial" w:hint="cs"/>
          <w:u w:val="single"/>
          <w:rtl/>
        </w:rPr>
        <w:t xml:space="preserve"> שיתן לו כך וכך:</w:t>
      </w:r>
    </w:p>
    <w:p w14:paraId="1B30FEC5" w14:textId="77777777" w:rsidR="004B607F" w:rsidRPr="00B06F7A" w:rsidRDefault="004B607F" w:rsidP="004B0475">
      <w:pPr>
        <w:pStyle w:val="ac"/>
        <w:numPr>
          <w:ilvl w:val="0"/>
          <w:numId w:val="97"/>
        </w:numPr>
        <w:rPr>
          <w:rFonts w:cs="Arial"/>
          <w:rtl/>
        </w:rPr>
      </w:pPr>
      <w:r>
        <w:rPr>
          <w:rFonts w:cs="Arial" w:hint="cs"/>
          <w:rtl/>
        </w:rPr>
        <w:lastRenderedPageBreak/>
        <w:t xml:space="preserve">רי"ו </w:t>
      </w:r>
      <w:r w:rsidRPr="00D34F43">
        <w:rPr>
          <w:rFonts w:cs="Arial" w:hint="cs"/>
          <w:sz w:val="16"/>
          <w:szCs w:val="16"/>
          <w:rtl/>
        </w:rPr>
        <w:t>(סנ"ג</w:t>
      </w:r>
      <w:r w:rsidRPr="00D34F43">
        <w:rPr>
          <w:rFonts w:cs="Arial"/>
          <w:sz w:val="16"/>
          <w:szCs w:val="16"/>
          <w:rtl/>
        </w:rPr>
        <w:t xml:space="preserve"> ח"ח יט:)</w:t>
      </w:r>
      <w:r>
        <w:rPr>
          <w:rFonts w:cs="Arial" w:hint="cs"/>
          <w:rtl/>
        </w:rPr>
        <w:t>-</w:t>
      </w:r>
      <w:r w:rsidRPr="00D34F43">
        <w:rPr>
          <w:rFonts w:cs="Arial"/>
          <w:rtl/>
        </w:rPr>
        <w:t xml:space="preserve"> אם תקע לו כפו באמונתו </w:t>
      </w:r>
      <w:r>
        <w:rPr>
          <w:rFonts w:cs="Arial" w:hint="cs"/>
          <w:rtl/>
        </w:rPr>
        <w:t xml:space="preserve">- </w:t>
      </w:r>
      <w:r w:rsidRPr="00D34F43">
        <w:rPr>
          <w:rFonts w:cs="Arial"/>
          <w:rtl/>
        </w:rPr>
        <w:t>חייב ליתן לו כל מה שחייב עצמו</w:t>
      </w:r>
      <w:r>
        <w:rPr>
          <w:rFonts w:cs="Arial" w:hint="cs"/>
          <w:rtl/>
        </w:rPr>
        <w:t>,</w:t>
      </w:r>
      <w:r w:rsidRPr="00D34F43">
        <w:rPr>
          <w:rFonts w:cs="Arial"/>
          <w:rtl/>
        </w:rPr>
        <w:t xml:space="preserve"> שיש בידו בתקיעת כף</w:t>
      </w:r>
      <w:r>
        <w:rPr>
          <w:rFonts w:cs="Arial" w:hint="cs"/>
          <w:rtl/>
        </w:rPr>
        <w:t>.</w:t>
      </w:r>
      <w:r w:rsidRPr="00D34F43">
        <w:rPr>
          <w:rFonts w:cs="Arial"/>
          <w:rtl/>
        </w:rPr>
        <w:t xml:space="preserve"> ודוקא שיש עדים שתקע לו כפו או שמודה</w:t>
      </w:r>
      <w:r>
        <w:rPr>
          <w:rFonts w:cs="Arial" w:hint="cs"/>
          <w:rtl/>
        </w:rPr>
        <w:t>,</w:t>
      </w:r>
      <w:r w:rsidRPr="00D34F43">
        <w:rPr>
          <w:rFonts w:cs="Arial"/>
          <w:rtl/>
        </w:rPr>
        <w:t xml:space="preserve"> אבל אין עדים והוא כופר או שאומר על מנת כן תקעתי </w:t>
      </w:r>
      <w:r>
        <w:rPr>
          <w:rFonts w:cs="Arial"/>
          <w:rtl/>
        </w:rPr>
        <w:t>–</w:t>
      </w:r>
      <w:r>
        <w:rPr>
          <w:rFonts w:cs="Arial" w:hint="cs"/>
          <w:rtl/>
        </w:rPr>
        <w:t xml:space="preserve"> </w:t>
      </w:r>
      <w:r w:rsidRPr="00D34F43">
        <w:rPr>
          <w:rFonts w:cs="Arial"/>
          <w:rtl/>
        </w:rPr>
        <w:t>נאמן</w:t>
      </w:r>
      <w:r>
        <w:rPr>
          <w:rFonts w:cs="Arial" w:hint="cs"/>
          <w:rtl/>
        </w:rPr>
        <w:t>.</w:t>
      </w:r>
      <w:r w:rsidRPr="00D34F43">
        <w:rPr>
          <w:rFonts w:cs="Arial"/>
          <w:rtl/>
        </w:rPr>
        <w:t xml:space="preserve"> וכל זה שאמר לו </w:t>
      </w:r>
      <w:r>
        <w:rPr>
          <w:rFonts w:cs="Arial" w:hint="cs"/>
          <w:rtl/>
        </w:rPr>
        <w:t>'</w:t>
      </w:r>
      <w:r w:rsidRPr="00D34F43">
        <w:rPr>
          <w:rFonts w:cs="Arial"/>
          <w:rtl/>
        </w:rPr>
        <w:t>באמונתו</w:t>
      </w:r>
      <w:r>
        <w:rPr>
          <w:rFonts w:cs="Arial" w:hint="cs"/>
          <w:rtl/>
        </w:rPr>
        <w:t>'</w:t>
      </w:r>
      <w:r w:rsidRPr="00D34F43">
        <w:rPr>
          <w:rFonts w:cs="Arial"/>
          <w:rtl/>
        </w:rPr>
        <w:t xml:space="preserve"> כי הוא חמור כמו שבועה</w:t>
      </w:r>
      <w:r>
        <w:rPr>
          <w:rFonts w:cs="Arial" w:hint="cs"/>
          <w:rtl/>
        </w:rPr>
        <w:t>,</w:t>
      </w:r>
      <w:r w:rsidRPr="00D34F43">
        <w:rPr>
          <w:rFonts w:cs="Arial"/>
          <w:rtl/>
        </w:rPr>
        <w:t xml:space="preserve"> ועל כן נאמן בלא שבועה כדאמרינן </w:t>
      </w:r>
      <w:r w:rsidRPr="00D34F43">
        <w:rPr>
          <w:rFonts w:cs="Arial"/>
          <w:sz w:val="16"/>
          <w:szCs w:val="16"/>
          <w:rtl/>
        </w:rPr>
        <w:t xml:space="preserve">(ב"מ יז.) </w:t>
      </w:r>
      <w:r w:rsidRPr="00D34F43">
        <w:rPr>
          <w:rFonts w:cs="Arial"/>
          <w:rtl/>
        </w:rPr>
        <w:t>במחויב שבועה לחבירו ואמר נשבעתי</w:t>
      </w:r>
      <w:r>
        <w:rPr>
          <w:rFonts w:cs="Arial" w:hint="cs"/>
          <w:rtl/>
        </w:rPr>
        <w:t>.</w:t>
      </w:r>
    </w:p>
    <w:p w14:paraId="41AA7C92" w14:textId="77777777" w:rsidR="004B607F" w:rsidRPr="003024E5" w:rsidRDefault="004B607F" w:rsidP="004B607F">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4479BEF0" w14:textId="77777777" w:rsidR="004B607F" w:rsidRDefault="004B607F" w:rsidP="004B607F">
      <w:pPr>
        <w:rPr>
          <w:rtl/>
        </w:rPr>
      </w:pPr>
      <w:r>
        <w:rPr>
          <w:rFonts w:cs="Arial"/>
          <w:rtl/>
        </w:rPr>
        <w:t>אם אמר ראובן בפני עדים שהוא חייב לשמעון מנה, לא יעידו בב</w:t>
      </w:r>
      <w:r>
        <w:rPr>
          <w:rFonts w:cs="Arial" w:hint="cs"/>
          <w:rtl/>
        </w:rPr>
        <w:t xml:space="preserve">ית </w:t>
      </w:r>
      <w:r>
        <w:rPr>
          <w:rFonts w:cs="Arial"/>
          <w:rtl/>
        </w:rPr>
        <w:t>ד</w:t>
      </w:r>
      <w:r>
        <w:rPr>
          <w:rFonts w:cs="Arial" w:hint="cs"/>
          <w:rtl/>
        </w:rPr>
        <w:t>ין</w:t>
      </w:r>
      <w:r>
        <w:rPr>
          <w:rFonts w:cs="Arial"/>
          <w:rtl/>
        </w:rPr>
        <w:t xml:space="preserve"> סתם שהודה בפניהם שהוא חייב לשמעון מנה, אלא יאמרו דברים כהוייתן לפי שאיפשר לו להפטר בטענת משטה הייתי בו, או בטענת שלא להשביע את עצמי נתכוונתי, על דרך שיתבאר בסימן פ"א</w:t>
      </w:r>
      <w:r>
        <w:rPr>
          <w:rStyle w:val="ab"/>
          <w:rFonts w:cs="Arial"/>
          <w:rtl/>
        </w:rPr>
        <w:footnoteReference w:id="1848"/>
      </w:r>
      <w:r>
        <w:rPr>
          <w:rFonts w:cs="Arial"/>
          <w:rtl/>
        </w:rPr>
        <w:t>, וב</w:t>
      </w:r>
      <w:r>
        <w:rPr>
          <w:rFonts w:cs="Arial" w:hint="cs"/>
          <w:rtl/>
        </w:rPr>
        <w:t xml:space="preserve">ית </w:t>
      </w:r>
      <w:r>
        <w:rPr>
          <w:rFonts w:cs="Arial"/>
          <w:rtl/>
        </w:rPr>
        <w:t>ד</w:t>
      </w:r>
      <w:r>
        <w:rPr>
          <w:rFonts w:cs="Arial" w:hint="cs"/>
          <w:rtl/>
        </w:rPr>
        <w:t>ין</w:t>
      </w:r>
      <w:r>
        <w:rPr>
          <w:rFonts w:cs="Arial"/>
          <w:rtl/>
        </w:rPr>
        <w:t xml:space="preserve"> יבחינו הדברים אם הם בענין שיועילו טענות אלו או לאו</w:t>
      </w:r>
      <w:r>
        <w:rPr>
          <w:rStyle w:val="ab"/>
          <w:rFonts w:cs="Arial"/>
          <w:rtl/>
        </w:rPr>
        <w:footnoteReference w:id="1849"/>
      </w:r>
      <w:r>
        <w:rPr>
          <w:rFonts w:cs="Arial"/>
          <w:rtl/>
        </w:rPr>
        <w:t xml:space="preserve">. </w:t>
      </w:r>
    </w:p>
    <w:p w14:paraId="0D9EC51F" w14:textId="77777777" w:rsidR="004B607F" w:rsidRDefault="004B607F" w:rsidP="004B607F">
      <w:pPr>
        <w:rPr>
          <w:rtl/>
        </w:rPr>
      </w:pPr>
    </w:p>
    <w:p w14:paraId="1EFCF820" w14:textId="77777777" w:rsidR="004B607F" w:rsidRPr="00CC663E" w:rsidRDefault="004B607F" w:rsidP="004B607F">
      <w:pPr>
        <w:pStyle w:val="2"/>
        <w:rPr>
          <w:rtl/>
        </w:rPr>
      </w:pPr>
      <w:bookmarkStart w:id="258" w:name="_Toc24883727"/>
      <w:r>
        <w:rPr>
          <w:rtl/>
        </w:rPr>
        <w:t>סעיף ב</w:t>
      </w:r>
      <w:r>
        <w:rPr>
          <w:rFonts w:hint="cs"/>
          <w:rtl/>
        </w:rPr>
        <w:t>: השוכר עדי שקר.</w:t>
      </w:r>
      <w:bookmarkEnd w:id="258"/>
    </w:p>
    <w:p w14:paraId="69C7B080" w14:textId="77777777" w:rsidR="004B607F" w:rsidRDefault="004B607F" w:rsidP="004B607F">
      <w:pPr>
        <w:rPr>
          <w:rFonts w:cs="Arial"/>
          <w:rtl/>
        </w:rPr>
      </w:pPr>
      <w:r w:rsidRPr="00CA6828">
        <w:rPr>
          <w:rFonts w:cs="Arial" w:hint="cs"/>
          <w:b/>
          <w:bCs/>
          <w:rtl/>
        </w:rPr>
        <w:t xml:space="preserve">בבא קמא </w:t>
      </w:r>
      <w:r w:rsidRPr="00CA6828">
        <w:rPr>
          <w:rFonts w:cs="Arial" w:hint="cs"/>
          <w:b/>
          <w:bCs/>
          <w:sz w:val="16"/>
          <w:szCs w:val="16"/>
          <w:rtl/>
        </w:rPr>
        <w:t xml:space="preserve">(ר"פ הכונס) </w:t>
      </w:r>
      <w:r w:rsidRPr="00CA6828">
        <w:rPr>
          <w:rFonts w:cs="Arial" w:hint="cs"/>
          <w:b/>
          <w:bCs/>
          <w:rtl/>
        </w:rPr>
        <w:t>נה</w:t>
      </w:r>
      <w:r>
        <w:rPr>
          <w:rStyle w:val="ab"/>
          <w:rFonts w:cs="Arial"/>
          <w:b/>
          <w:bCs/>
          <w:rtl/>
        </w:rPr>
        <w:footnoteReference w:id="1850"/>
      </w:r>
      <w:r w:rsidRPr="00CA6828">
        <w:rPr>
          <w:rFonts w:cs="Arial" w:hint="cs"/>
          <w:b/>
          <w:bCs/>
          <w:rtl/>
        </w:rPr>
        <w:t xml:space="preserve"> ע"ב:</w:t>
      </w:r>
      <w:r>
        <w:rPr>
          <w:rFonts w:cs="Arial" w:hint="cs"/>
          <w:rtl/>
        </w:rPr>
        <w:t xml:space="preserve"> </w:t>
      </w:r>
      <w:r w:rsidRPr="00CA6828">
        <w:rPr>
          <w:rFonts w:cs="Arial"/>
          <w:rtl/>
        </w:rPr>
        <w:t xml:space="preserve">תניא, </w:t>
      </w:r>
      <w:r w:rsidRPr="00CA6828">
        <w:rPr>
          <w:rFonts w:cs="Arial"/>
          <w:u w:val="single"/>
          <w:rtl/>
        </w:rPr>
        <w:t>אמר ר' יהושע</w:t>
      </w:r>
      <w:r w:rsidRPr="00CA6828">
        <w:rPr>
          <w:rFonts w:cs="Arial"/>
          <w:rtl/>
        </w:rPr>
        <w:t>: ארבעה דברים, העושה אותן פטור מדיני אדם וחייב בדיני שמים, ואלו הן: הפורץ גדר בפני בהמת חבירו, והכופף קמתו של חבירו בפני הדליקה, והשוכר עדי שקר להעיד, והיודע עדות לחבירו ואינו מעיד לו.</w:t>
      </w:r>
      <w:r>
        <w:rPr>
          <w:rFonts w:cs="Arial" w:hint="cs"/>
          <w:rtl/>
        </w:rPr>
        <w:t xml:space="preserve">.. </w:t>
      </w:r>
      <w:r w:rsidRPr="00CA6828">
        <w:rPr>
          <w:rFonts w:cs="Arial" w:hint="cs"/>
          <w:sz w:val="14"/>
          <w:szCs w:val="14"/>
          <w:rtl/>
        </w:rPr>
        <w:t xml:space="preserve">(נו.) </w:t>
      </w:r>
      <w:r w:rsidRPr="00CA6828">
        <w:rPr>
          <w:rFonts w:cs="Arial"/>
          <w:u w:val="single"/>
          <w:rtl/>
        </w:rPr>
        <w:t>אמר מר</w:t>
      </w:r>
      <w:r w:rsidRPr="00CA6828">
        <w:rPr>
          <w:rFonts w:cs="Arial"/>
          <w:rtl/>
        </w:rPr>
        <w:t>: השוכר עדי שקר. ה"ד? אילימא לנפשיה, ממונא בעי שלומי</w:t>
      </w:r>
      <w:r>
        <w:rPr>
          <w:rStyle w:val="ab"/>
          <w:rFonts w:cs="Arial"/>
          <w:rtl/>
        </w:rPr>
        <w:footnoteReference w:id="1851"/>
      </w:r>
      <w:r w:rsidRPr="00CA6828">
        <w:rPr>
          <w:rFonts w:cs="Arial"/>
          <w:rtl/>
        </w:rPr>
        <w:t>, ובדיני אדם נמי ניחייב! אלא לחבריה</w:t>
      </w:r>
      <w:r>
        <w:rPr>
          <w:rStyle w:val="ab"/>
          <w:rFonts w:cs="Arial"/>
          <w:rtl/>
        </w:rPr>
        <w:footnoteReference w:id="1852"/>
      </w:r>
      <w:r w:rsidRPr="00CA6828">
        <w:rPr>
          <w:rFonts w:cs="Arial"/>
          <w:rtl/>
        </w:rPr>
        <w:t xml:space="preserve">. </w:t>
      </w:r>
    </w:p>
    <w:p w14:paraId="2CCB0647" w14:textId="77777777" w:rsidR="004B607F" w:rsidRPr="00CC663E" w:rsidRDefault="004B607F" w:rsidP="004B607F">
      <w:pPr>
        <w:rPr>
          <w:rFonts w:cs="Arial"/>
          <w:u w:val="single"/>
          <w:rtl/>
        </w:rPr>
      </w:pPr>
      <w:r w:rsidRPr="00CC663E">
        <w:rPr>
          <w:rFonts w:cs="Arial"/>
          <w:u w:val="single"/>
          <w:rtl/>
        </w:rPr>
        <w:t>השוכר עדי שקר</w:t>
      </w:r>
      <w:r w:rsidRPr="00CC663E">
        <w:rPr>
          <w:rFonts w:cs="Arial" w:hint="cs"/>
          <w:u w:val="single"/>
          <w:rtl/>
        </w:rPr>
        <w:t>:</w:t>
      </w:r>
    </w:p>
    <w:p w14:paraId="03BC9B3A" w14:textId="77777777" w:rsidR="004B607F" w:rsidRDefault="004B607F" w:rsidP="004B0475">
      <w:pPr>
        <w:pStyle w:val="ac"/>
        <w:numPr>
          <w:ilvl w:val="0"/>
          <w:numId w:val="97"/>
        </w:numPr>
        <w:rPr>
          <w:rFonts w:cs="Arial"/>
        </w:rPr>
      </w:pPr>
      <w:r w:rsidRPr="00CC663E">
        <w:rPr>
          <w:rFonts w:cs="Arial" w:hint="cs"/>
          <w:rtl/>
        </w:rPr>
        <w:t xml:space="preserve">טור- </w:t>
      </w:r>
      <w:r w:rsidRPr="00CC663E">
        <w:rPr>
          <w:rFonts w:cs="Arial"/>
          <w:rtl/>
        </w:rPr>
        <w:t>השוכר עדי שקר</w:t>
      </w:r>
      <w:r>
        <w:rPr>
          <w:rFonts w:cs="Arial" w:hint="cs"/>
          <w:sz w:val="16"/>
          <w:szCs w:val="16"/>
          <w:rtl/>
        </w:rPr>
        <w:t xml:space="preserve"> {להוציא ממון מראובן לשמעון}</w:t>
      </w:r>
      <w:r w:rsidRPr="00CC663E">
        <w:rPr>
          <w:rFonts w:cs="Arial"/>
          <w:rtl/>
        </w:rPr>
        <w:t xml:space="preserve"> </w:t>
      </w:r>
      <w:r>
        <w:rPr>
          <w:rFonts w:cs="Arial" w:hint="cs"/>
          <w:rtl/>
        </w:rPr>
        <w:t xml:space="preserve">- </w:t>
      </w:r>
      <w:r w:rsidRPr="00CC663E">
        <w:rPr>
          <w:rFonts w:cs="Arial"/>
          <w:rtl/>
        </w:rPr>
        <w:t>פטור מדיני אדם וחייב בדיני שמים</w:t>
      </w:r>
      <w:r>
        <w:rPr>
          <w:rStyle w:val="ab"/>
          <w:rFonts w:cs="Arial"/>
          <w:rtl/>
        </w:rPr>
        <w:footnoteReference w:id="1853"/>
      </w:r>
      <w:r w:rsidRPr="00CC663E">
        <w:rPr>
          <w:rFonts w:cs="Arial" w:hint="cs"/>
          <w:rtl/>
        </w:rPr>
        <w:t>.</w:t>
      </w:r>
      <w:r>
        <w:rPr>
          <w:rFonts w:cs="Arial" w:hint="cs"/>
          <w:rtl/>
        </w:rPr>
        <w:t xml:space="preserve"> </w:t>
      </w:r>
      <w:r w:rsidRPr="009E619F">
        <w:rPr>
          <w:rFonts w:cs="Arial" w:hint="cs"/>
          <w:color w:val="E36C0A" w:themeColor="accent6" w:themeShade="BF"/>
          <w:rtl/>
        </w:rPr>
        <w:t>(וכ"פ בשו"ע)</w:t>
      </w:r>
    </w:p>
    <w:p w14:paraId="759BB3D8" w14:textId="77777777" w:rsidR="004B607F" w:rsidRPr="004803D6" w:rsidRDefault="004B607F" w:rsidP="004B607F">
      <w:pPr>
        <w:ind w:left="360"/>
        <w:rPr>
          <w:rFonts w:cs="Arial"/>
          <w:u w:val="dotted"/>
          <w:rtl/>
        </w:rPr>
      </w:pPr>
      <w:r w:rsidRPr="004803D6">
        <w:rPr>
          <w:rFonts w:cs="Arial" w:hint="cs"/>
          <w:u w:val="dotted"/>
          <w:rtl/>
        </w:rPr>
        <w:t>ומה הדין אם לא שכר את העדים אלא רק אמר להם להעיד שקר והם שמעו לו והעידו שקר:</w:t>
      </w:r>
    </w:p>
    <w:p w14:paraId="714F5303" w14:textId="77777777" w:rsidR="004B607F" w:rsidRPr="00C51F67" w:rsidRDefault="004B607F" w:rsidP="004B0475">
      <w:pPr>
        <w:pStyle w:val="ac"/>
        <w:numPr>
          <w:ilvl w:val="0"/>
          <w:numId w:val="97"/>
        </w:numPr>
        <w:rPr>
          <w:rFonts w:cs="Arial"/>
        </w:rPr>
      </w:pPr>
      <w:r w:rsidRPr="00C51F67">
        <w:rPr>
          <w:rFonts w:cs="Arial"/>
          <w:rtl/>
        </w:rPr>
        <w:t>תוס</w:t>
      </w:r>
      <w:r w:rsidRPr="00C51F67">
        <w:rPr>
          <w:rFonts w:cs="Arial" w:hint="cs"/>
          <w:rtl/>
        </w:rPr>
        <w:t>'</w:t>
      </w:r>
      <w:r w:rsidRPr="00C51F67">
        <w:rPr>
          <w:rFonts w:cs="Arial"/>
          <w:rtl/>
        </w:rPr>
        <w:t xml:space="preserve"> </w:t>
      </w:r>
      <w:r w:rsidRPr="00C51F67">
        <w:rPr>
          <w:rFonts w:cs="Arial"/>
          <w:sz w:val="16"/>
          <w:szCs w:val="16"/>
          <w:rtl/>
        </w:rPr>
        <w:t>(</w:t>
      </w:r>
      <w:r>
        <w:rPr>
          <w:rFonts w:cs="Arial" w:hint="cs"/>
          <w:sz w:val="16"/>
          <w:szCs w:val="16"/>
          <w:rtl/>
        </w:rPr>
        <w:t xml:space="preserve">נו. </w:t>
      </w:r>
      <w:r w:rsidRPr="00C51F67">
        <w:rPr>
          <w:rFonts w:cs="Arial"/>
          <w:sz w:val="16"/>
          <w:szCs w:val="16"/>
          <w:rtl/>
        </w:rPr>
        <w:t>ד"ה אלא)</w:t>
      </w:r>
      <w:r w:rsidRPr="00C51F67">
        <w:rPr>
          <w:rFonts w:cs="Arial" w:hint="cs"/>
          <w:rtl/>
        </w:rPr>
        <w:t xml:space="preserve">- </w:t>
      </w:r>
      <w:r w:rsidRPr="00C51F67">
        <w:rPr>
          <w:rFonts w:cs="Arial"/>
          <w:rtl/>
        </w:rPr>
        <w:t>דוקא שוכר</w:t>
      </w:r>
      <w:r>
        <w:rPr>
          <w:rFonts w:cs="Arial" w:hint="cs"/>
          <w:sz w:val="16"/>
          <w:szCs w:val="16"/>
          <w:rtl/>
        </w:rPr>
        <w:t xml:space="preserve"> {חייב בדיני שמים}</w:t>
      </w:r>
      <w:r>
        <w:rPr>
          <w:rFonts w:cs="Arial" w:hint="cs"/>
          <w:rtl/>
        </w:rPr>
        <w:t>,</w:t>
      </w:r>
      <w:r w:rsidRPr="00C51F67">
        <w:rPr>
          <w:rFonts w:cs="Arial"/>
          <w:rtl/>
        </w:rPr>
        <w:t xml:space="preserve"> אבל אמר</w:t>
      </w:r>
      <w:r w:rsidRPr="00C51F67">
        <w:rPr>
          <w:rFonts w:cs="Arial" w:hint="cs"/>
          <w:rtl/>
        </w:rPr>
        <w:t xml:space="preserve"> -</w:t>
      </w:r>
      <w:r w:rsidRPr="00C51F67">
        <w:rPr>
          <w:rFonts w:cs="Arial"/>
          <w:rtl/>
        </w:rPr>
        <w:t xml:space="preserve"> פטור מדיני שמים</w:t>
      </w:r>
      <w:r w:rsidRPr="00C51F67">
        <w:rPr>
          <w:rFonts w:cs="Arial" w:hint="cs"/>
          <w:rtl/>
        </w:rPr>
        <w:t>,</w:t>
      </w:r>
      <w:r w:rsidRPr="00C51F67">
        <w:rPr>
          <w:rFonts w:cs="Arial"/>
          <w:rtl/>
        </w:rPr>
        <w:t xml:space="preserve"> דסבור שלא ישמעו לו.</w:t>
      </w:r>
      <w:r w:rsidRPr="00C51F67">
        <w:rPr>
          <w:rFonts w:cs="Arial" w:hint="cs"/>
          <w:color w:val="00B0F0"/>
          <w:rtl/>
        </w:rPr>
        <w:t xml:space="preserve"> (וכ"פ הרמ"א)</w:t>
      </w:r>
    </w:p>
    <w:p w14:paraId="0B308983" w14:textId="77777777" w:rsidR="004B607F" w:rsidRPr="009E619F" w:rsidRDefault="004B607F" w:rsidP="004B607F">
      <w:pPr>
        <w:rPr>
          <w:rFonts w:cs="Arial"/>
          <w:u w:val="single"/>
        </w:rPr>
      </w:pPr>
      <w:r>
        <w:rPr>
          <w:rFonts w:cs="Arial" w:hint="cs"/>
          <w:u w:val="single"/>
          <w:rtl/>
        </w:rPr>
        <w:t>עדים ש</w:t>
      </w:r>
      <w:r w:rsidRPr="009E619F">
        <w:rPr>
          <w:rFonts w:cs="Arial" w:hint="cs"/>
          <w:u w:val="single"/>
          <w:rtl/>
        </w:rPr>
        <w:t>העידו שקר</w:t>
      </w:r>
      <w:r>
        <w:rPr>
          <w:rFonts w:cs="Arial" w:hint="cs"/>
          <w:u w:val="single"/>
          <w:rtl/>
        </w:rPr>
        <w:t xml:space="preserve"> </w:t>
      </w:r>
      <w:r>
        <w:rPr>
          <w:rFonts w:cs="Arial"/>
          <w:u w:val="single"/>
          <w:rtl/>
        </w:rPr>
        <w:t>–</w:t>
      </w:r>
      <w:r>
        <w:rPr>
          <w:rFonts w:cs="Arial" w:hint="cs"/>
          <w:u w:val="single"/>
          <w:rtl/>
        </w:rPr>
        <w:t xml:space="preserve"> ואח"כ הודו שהעידו שקר</w:t>
      </w:r>
      <w:r w:rsidRPr="009E619F">
        <w:rPr>
          <w:rFonts w:cs="Arial" w:hint="cs"/>
          <w:u w:val="single"/>
          <w:rtl/>
        </w:rPr>
        <w:t>:</w:t>
      </w:r>
    </w:p>
    <w:p w14:paraId="60181DF6" w14:textId="77777777" w:rsidR="004B607F" w:rsidRPr="009E619F" w:rsidRDefault="004B607F" w:rsidP="004B0475">
      <w:pPr>
        <w:pStyle w:val="ac"/>
        <w:numPr>
          <w:ilvl w:val="0"/>
          <w:numId w:val="97"/>
        </w:numPr>
        <w:rPr>
          <w:rFonts w:cs="Arial"/>
          <w:rtl/>
        </w:rPr>
      </w:pPr>
      <w:r w:rsidRPr="009E619F">
        <w:rPr>
          <w:rFonts w:cs="Arial"/>
          <w:rtl/>
        </w:rPr>
        <w:t>נמוק</w:t>
      </w:r>
      <w:r w:rsidRPr="009E619F">
        <w:rPr>
          <w:rFonts w:cs="Arial" w:hint="cs"/>
          <w:rtl/>
        </w:rPr>
        <w:t>"</w:t>
      </w:r>
      <w:r w:rsidRPr="009E619F">
        <w:rPr>
          <w:rFonts w:cs="Arial"/>
          <w:rtl/>
        </w:rPr>
        <w:t xml:space="preserve">י </w:t>
      </w:r>
      <w:r w:rsidRPr="009E619F">
        <w:rPr>
          <w:rFonts w:cs="Arial"/>
          <w:sz w:val="16"/>
          <w:szCs w:val="16"/>
          <w:rtl/>
        </w:rPr>
        <w:t xml:space="preserve">(שם כד.) </w:t>
      </w:r>
      <w:r w:rsidRPr="009E619F">
        <w:rPr>
          <w:rFonts w:cs="Arial"/>
          <w:rtl/>
        </w:rPr>
        <w:t>בשם הרא"ה</w:t>
      </w:r>
      <w:r w:rsidRPr="009E619F">
        <w:rPr>
          <w:rFonts w:cs="Arial" w:hint="cs"/>
          <w:rtl/>
        </w:rPr>
        <w:t xml:space="preserve">- </w:t>
      </w:r>
      <w:r w:rsidRPr="009E619F">
        <w:rPr>
          <w:rFonts w:cs="Arial"/>
          <w:rtl/>
        </w:rPr>
        <w:t>הא דאמרינן פטור מדיני אדם היינו כשאין העדים מודים שהעידו שקר</w:t>
      </w:r>
      <w:r>
        <w:rPr>
          <w:rStyle w:val="ab"/>
          <w:rFonts w:cs="Arial"/>
          <w:rtl/>
        </w:rPr>
        <w:footnoteReference w:id="1854"/>
      </w:r>
      <w:r>
        <w:rPr>
          <w:rFonts w:cs="Arial" w:hint="cs"/>
          <w:rtl/>
        </w:rPr>
        <w:t>,</w:t>
      </w:r>
      <w:r w:rsidRPr="009E619F">
        <w:rPr>
          <w:rFonts w:cs="Arial"/>
          <w:rtl/>
        </w:rPr>
        <w:t xml:space="preserve"> אבל אם היו עדים מודים </w:t>
      </w:r>
      <w:r>
        <w:rPr>
          <w:rFonts w:cs="Arial" w:hint="cs"/>
          <w:rtl/>
        </w:rPr>
        <w:t xml:space="preserve">- </w:t>
      </w:r>
      <w:r w:rsidRPr="009E619F">
        <w:rPr>
          <w:rFonts w:cs="Arial"/>
          <w:b/>
          <w:bCs/>
          <w:rtl/>
        </w:rPr>
        <w:t>חייבים</w:t>
      </w:r>
      <w:r>
        <w:rPr>
          <w:rStyle w:val="ab"/>
          <w:rFonts w:cs="Arial"/>
          <w:rtl/>
        </w:rPr>
        <w:footnoteReference w:id="1855"/>
      </w:r>
      <w:r w:rsidRPr="009E619F">
        <w:rPr>
          <w:rFonts w:cs="Arial"/>
          <w:rtl/>
        </w:rPr>
        <w:t xml:space="preserve"> אף בדיני אדם</w:t>
      </w:r>
      <w:r>
        <w:rPr>
          <w:rFonts w:cs="Arial" w:hint="cs"/>
          <w:rtl/>
        </w:rPr>
        <w:t>,</w:t>
      </w:r>
      <w:r w:rsidRPr="009E619F">
        <w:rPr>
          <w:rFonts w:cs="Arial"/>
          <w:rtl/>
        </w:rPr>
        <w:t xml:space="preserve"> דהא גרמא הוא וקיי</w:t>
      </w:r>
      <w:r>
        <w:rPr>
          <w:rFonts w:cs="Arial" w:hint="cs"/>
          <w:rtl/>
        </w:rPr>
        <w:t>"</w:t>
      </w:r>
      <w:r w:rsidRPr="009E619F">
        <w:rPr>
          <w:rFonts w:cs="Arial"/>
          <w:rtl/>
        </w:rPr>
        <w:t xml:space="preserve">ל </w:t>
      </w:r>
      <w:r w:rsidRPr="009E619F">
        <w:rPr>
          <w:rFonts w:cs="Arial"/>
          <w:sz w:val="16"/>
          <w:szCs w:val="16"/>
          <w:rtl/>
        </w:rPr>
        <w:t xml:space="preserve">(ב"ק ק.) </w:t>
      </w:r>
      <w:r w:rsidRPr="009E619F">
        <w:rPr>
          <w:rFonts w:cs="Arial"/>
          <w:rtl/>
        </w:rPr>
        <w:t xml:space="preserve">כמאן דדאין דינא דגרמי. </w:t>
      </w:r>
      <w:r w:rsidRPr="00C51F67">
        <w:rPr>
          <w:rFonts w:cs="Arial" w:hint="cs"/>
          <w:color w:val="00B0F0"/>
          <w:rtl/>
        </w:rPr>
        <w:t>(וכ"פ הרמ"א)</w:t>
      </w:r>
    </w:p>
    <w:p w14:paraId="18424920" w14:textId="77777777" w:rsidR="004B607F" w:rsidRPr="009E619F" w:rsidRDefault="004B607F" w:rsidP="004B607F">
      <w:pPr>
        <w:rPr>
          <w:rFonts w:cs="Arial"/>
          <w:u w:val="single"/>
        </w:rPr>
      </w:pPr>
      <w:r w:rsidRPr="009E619F">
        <w:rPr>
          <w:rFonts w:cs="Arial" w:hint="cs"/>
          <w:u w:val="single"/>
          <w:rtl/>
        </w:rPr>
        <w:t>השוכר עדי שקר על ממון שבאמת חייבים לו:</w:t>
      </w:r>
    </w:p>
    <w:p w14:paraId="41FC1389" w14:textId="77777777" w:rsidR="004B607F" w:rsidRPr="009E619F" w:rsidRDefault="004B607F" w:rsidP="004B0475">
      <w:pPr>
        <w:pStyle w:val="ac"/>
        <w:numPr>
          <w:ilvl w:val="0"/>
          <w:numId w:val="97"/>
        </w:numPr>
        <w:rPr>
          <w:rFonts w:cs="Arial"/>
          <w:rtl/>
        </w:rPr>
      </w:pPr>
      <w:r w:rsidRPr="009E619F">
        <w:rPr>
          <w:rFonts w:cs="Arial"/>
          <w:rtl/>
        </w:rPr>
        <w:lastRenderedPageBreak/>
        <w:t>נמוק</w:t>
      </w:r>
      <w:r w:rsidRPr="009E619F">
        <w:rPr>
          <w:rFonts w:cs="Arial" w:hint="cs"/>
          <w:rtl/>
        </w:rPr>
        <w:t>"</w:t>
      </w:r>
      <w:r w:rsidRPr="009E619F">
        <w:rPr>
          <w:rFonts w:cs="Arial"/>
          <w:rtl/>
        </w:rPr>
        <w:t xml:space="preserve">י </w:t>
      </w:r>
      <w:r w:rsidRPr="009E619F">
        <w:rPr>
          <w:rFonts w:cs="Arial"/>
          <w:sz w:val="16"/>
          <w:szCs w:val="16"/>
          <w:rtl/>
        </w:rPr>
        <w:t xml:space="preserve">(שם כד.) </w:t>
      </w:r>
      <w:r w:rsidRPr="009E619F">
        <w:rPr>
          <w:rFonts w:cs="Arial"/>
          <w:rtl/>
        </w:rPr>
        <w:t>בשם הרא"ה</w:t>
      </w:r>
      <w:r>
        <w:rPr>
          <w:rFonts w:cs="Arial" w:hint="cs"/>
          <w:rtl/>
        </w:rPr>
        <w:t>-</w:t>
      </w:r>
      <w:r w:rsidRPr="009E619F">
        <w:rPr>
          <w:rFonts w:cs="Arial"/>
          <w:rtl/>
        </w:rPr>
        <w:t xml:space="preserve"> לא מחייבינן אלא להאי דשכר עדים על ממון שאין חייב לו אבל אם היה מחוייב אלא שלא היו עדים בדבר</w:t>
      </w:r>
      <w:r>
        <w:rPr>
          <w:rFonts w:cs="Arial" w:hint="cs"/>
          <w:rtl/>
        </w:rPr>
        <w:t xml:space="preserve"> -</w:t>
      </w:r>
      <w:r w:rsidRPr="009E619F">
        <w:rPr>
          <w:rFonts w:cs="Arial"/>
          <w:rtl/>
        </w:rPr>
        <w:t xml:space="preserve"> אינו חייב</w:t>
      </w:r>
      <w:r>
        <w:rPr>
          <w:rFonts w:cs="Arial" w:hint="cs"/>
          <w:rtl/>
        </w:rPr>
        <w:t>.</w:t>
      </w:r>
      <w:r w:rsidRPr="009E619F">
        <w:rPr>
          <w:rFonts w:cs="Arial"/>
          <w:rtl/>
        </w:rPr>
        <w:t xml:space="preserve"> אלא שעובר על מדבר שקר תרחק </w:t>
      </w:r>
      <w:r w:rsidRPr="009E619F">
        <w:rPr>
          <w:rFonts w:cs="Arial"/>
          <w:sz w:val="16"/>
          <w:szCs w:val="16"/>
          <w:rtl/>
        </w:rPr>
        <w:t>(שמות כג ז)</w:t>
      </w:r>
      <w:r w:rsidRPr="009E619F">
        <w:rPr>
          <w:rFonts w:cs="Arial" w:hint="cs"/>
          <w:rtl/>
        </w:rPr>
        <w:t>.</w:t>
      </w:r>
      <w:r w:rsidRPr="00C51F67">
        <w:rPr>
          <w:rFonts w:cs="Arial"/>
          <w:color w:val="00B0F0"/>
          <w:rtl/>
        </w:rPr>
        <w:t xml:space="preserve"> </w:t>
      </w:r>
      <w:r w:rsidRPr="00C51F67">
        <w:rPr>
          <w:rFonts w:cs="Arial" w:hint="cs"/>
          <w:color w:val="00B0F0"/>
          <w:rtl/>
        </w:rPr>
        <w:t>(וכ"פ הרמ"א)</w:t>
      </w:r>
    </w:p>
    <w:p w14:paraId="7E865079" w14:textId="77777777" w:rsidR="004B607F" w:rsidRPr="009E619F" w:rsidRDefault="004B607F" w:rsidP="004B607F">
      <w:pPr>
        <w:rPr>
          <w:rFonts w:cs="Arial"/>
          <w:u w:val="single"/>
          <w:rtl/>
        </w:rPr>
      </w:pPr>
      <w:r w:rsidRPr="009E619F">
        <w:rPr>
          <w:rFonts w:cs="Arial"/>
          <w:u w:val="single"/>
          <w:rtl/>
        </w:rPr>
        <w:t>ראובן שתובע בבית דין לבטל מעליו עדות שמעון מפני שיש מריבה ביניהם ומתיירא שמא יעיד עליו דבר שאינו</w:t>
      </w:r>
      <w:r w:rsidRPr="009E619F">
        <w:rPr>
          <w:rFonts w:cs="Arial" w:hint="cs"/>
          <w:u w:val="single"/>
          <w:rtl/>
        </w:rPr>
        <w:t>:</w:t>
      </w:r>
    </w:p>
    <w:p w14:paraId="01CA2CC5" w14:textId="77777777" w:rsidR="004B607F" w:rsidRPr="00396CE2" w:rsidRDefault="004B607F" w:rsidP="004B0475">
      <w:pPr>
        <w:pStyle w:val="ac"/>
        <w:numPr>
          <w:ilvl w:val="0"/>
          <w:numId w:val="97"/>
        </w:numPr>
        <w:rPr>
          <w:rtl/>
        </w:rPr>
      </w:pPr>
      <w:r w:rsidRPr="009E619F">
        <w:rPr>
          <w:rFonts w:cs="Arial"/>
          <w:rtl/>
        </w:rPr>
        <w:t>רשב"א</w:t>
      </w:r>
      <w:r w:rsidRPr="009E619F">
        <w:rPr>
          <w:rFonts w:cs="Arial" w:hint="cs"/>
          <w:rtl/>
        </w:rPr>
        <w:t xml:space="preserve"> </w:t>
      </w:r>
      <w:r w:rsidRPr="009E619F">
        <w:rPr>
          <w:rFonts w:cs="Arial" w:hint="cs"/>
          <w:sz w:val="16"/>
          <w:szCs w:val="16"/>
          <w:rtl/>
        </w:rPr>
        <w:t>(</w:t>
      </w:r>
      <w:r w:rsidRPr="009E619F">
        <w:rPr>
          <w:rFonts w:cs="Arial"/>
          <w:sz w:val="16"/>
          <w:szCs w:val="16"/>
          <w:rtl/>
        </w:rPr>
        <w:t xml:space="preserve">החדשות </w:t>
      </w:r>
      <w:r w:rsidRPr="009E619F">
        <w:rPr>
          <w:rFonts w:cs="Arial" w:hint="cs"/>
          <w:sz w:val="16"/>
          <w:szCs w:val="16"/>
          <w:rtl/>
        </w:rPr>
        <w:t>[</w:t>
      </w:r>
      <w:r w:rsidRPr="009E619F">
        <w:rPr>
          <w:rFonts w:cs="Arial"/>
          <w:sz w:val="16"/>
          <w:szCs w:val="16"/>
          <w:rtl/>
        </w:rPr>
        <w:t>מכתב יד</w:t>
      </w:r>
      <w:r w:rsidRPr="009E619F">
        <w:rPr>
          <w:rFonts w:cs="Arial" w:hint="cs"/>
          <w:sz w:val="16"/>
          <w:szCs w:val="16"/>
          <w:rtl/>
        </w:rPr>
        <w:t>]</w:t>
      </w:r>
      <w:r w:rsidRPr="009E619F">
        <w:rPr>
          <w:rFonts w:cs="Arial"/>
          <w:sz w:val="16"/>
          <w:szCs w:val="16"/>
          <w:rtl/>
        </w:rPr>
        <w:t xml:space="preserve"> סי</w:t>
      </w:r>
      <w:r w:rsidRPr="009E619F">
        <w:rPr>
          <w:rFonts w:cs="Arial" w:hint="cs"/>
          <w:sz w:val="16"/>
          <w:szCs w:val="16"/>
          <w:rtl/>
        </w:rPr>
        <w:t>'</w:t>
      </w:r>
      <w:r w:rsidRPr="009E619F">
        <w:rPr>
          <w:rFonts w:cs="Arial"/>
          <w:sz w:val="16"/>
          <w:szCs w:val="16"/>
          <w:rtl/>
        </w:rPr>
        <w:t xml:space="preserve"> רלט</w:t>
      </w:r>
      <w:r w:rsidRPr="009E619F">
        <w:rPr>
          <w:rFonts w:cs="Arial" w:hint="cs"/>
          <w:sz w:val="16"/>
          <w:szCs w:val="16"/>
          <w:rtl/>
        </w:rPr>
        <w:t>)</w:t>
      </w:r>
      <w:r w:rsidRPr="009E619F">
        <w:rPr>
          <w:rFonts w:cs="Arial" w:hint="cs"/>
          <w:rtl/>
        </w:rPr>
        <w:t>-</w:t>
      </w:r>
      <w:r w:rsidRPr="009E619F">
        <w:rPr>
          <w:rFonts w:cs="Arial"/>
          <w:rtl/>
        </w:rPr>
        <w:t xml:space="preserve"> מה ששאלתם בראובן שתובע בבית דין לבטל מעליו עדות שמעון מפני שיש מריבה ביניהם ומתיירא שמא יעיד עליו דבר שאינו</w:t>
      </w:r>
      <w:r>
        <w:rPr>
          <w:rFonts w:cs="Arial" w:hint="cs"/>
          <w:rtl/>
        </w:rPr>
        <w:t>.</w:t>
      </w:r>
      <w:r w:rsidRPr="009E619F">
        <w:rPr>
          <w:rFonts w:cs="Arial"/>
          <w:rtl/>
        </w:rPr>
        <w:t xml:space="preserve"> אם יש לבית דין לעשות כן אם לאו. תשובה</w:t>
      </w:r>
      <w:r>
        <w:rPr>
          <w:rFonts w:cs="Arial" w:hint="cs"/>
          <w:rtl/>
        </w:rPr>
        <w:t>,</w:t>
      </w:r>
      <w:r w:rsidRPr="009E619F">
        <w:rPr>
          <w:rFonts w:cs="Arial"/>
          <w:rtl/>
        </w:rPr>
        <w:t xml:space="preserve"> דברי ראובן דברי שחוק והתול הם</w:t>
      </w:r>
      <w:r>
        <w:rPr>
          <w:rFonts w:cs="Arial" w:hint="cs"/>
          <w:rtl/>
        </w:rPr>
        <w:t>,</w:t>
      </w:r>
      <w:r w:rsidRPr="009E619F">
        <w:rPr>
          <w:rFonts w:cs="Arial"/>
          <w:rtl/>
        </w:rPr>
        <w:t xml:space="preserve"> ומי ישמע לו לבטל עדות הכשרים להעיד</w:t>
      </w:r>
      <w:r>
        <w:rPr>
          <w:rFonts w:cs="Arial" w:hint="cs"/>
          <w:rtl/>
        </w:rPr>
        <w:t>.</w:t>
      </w:r>
      <w:r w:rsidRPr="009E619F">
        <w:rPr>
          <w:rFonts w:cs="Arial"/>
          <w:rtl/>
        </w:rPr>
        <w:t xml:space="preserve"> ואין עדות פסולה אלא באחד מד' פנים</w:t>
      </w:r>
      <w:r>
        <w:rPr>
          <w:rFonts w:cs="Arial" w:hint="cs"/>
          <w:rtl/>
        </w:rPr>
        <w:t>,</w:t>
      </w:r>
      <w:r w:rsidRPr="009E619F">
        <w:rPr>
          <w:rFonts w:cs="Arial"/>
          <w:rtl/>
        </w:rPr>
        <w:t xml:space="preserve"> האחד עדות הקרובים</w:t>
      </w:r>
      <w:r>
        <w:rPr>
          <w:rFonts w:cs="Arial" w:hint="cs"/>
          <w:rtl/>
        </w:rPr>
        <w:t>,</w:t>
      </w:r>
      <w:r w:rsidRPr="009E619F">
        <w:rPr>
          <w:rFonts w:cs="Arial"/>
          <w:rtl/>
        </w:rPr>
        <w:t xml:space="preserve"> והשני עדות החשודים בעבירה</w:t>
      </w:r>
      <w:r>
        <w:rPr>
          <w:rFonts w:cs="Arial" w:hint="cs"/>
          <w:rtl/>
        </w:rPr>
        <w:t>,</w:t>
      </w:r>
      <w:r w:rsidRPr="009E619F">
        <w:rPr>
          <w:rFonts w:cs="Arial"/>
          <w:rtl/>
        </w:rPr>
        <w:t xml:space="preserve"> והשלישית בפיסול משפחה כגון העבדים</w:t>
      </w:r>
      <w:r>
        <w:rPr>
          <w:rFonts w:cs="Arial" w:hint="cs"/>
          <w:rtl/>
        </w:rPr>
        <w:t>,</w:t>
      </w:r>
      <w:r w:rsidRPr="009E619F">
        <w:rPr>
          <w:rFonts w:cs="Arial"/>
          <w:rtl/>
        </w:rPr>
        <w:t xml:space="preserve"> והד' נוגע בעדות</w:t>
      </w:r>
      <w:r w:rsidRPr="009E619F">
        <w:rPr>
          <w:rFonts w:cs="Arial" w:hint="cs"/>
          <w:rtl/>
        </w:rPr>
        <w:t>,</w:t>
      </w:r>
      <w:r w:rsidRPr="009E619F">
        <w:rPr>
          <w:rFonts w:cs="Arial"/>
          <w:rtl/>
        </w:rPr>
        <w:t xml:space="preserve"> אבל משום חשש שנאה </w:t>
      </w:r>
      <w:r>
        <w:rPr>
          <w:rFonts w:cs="Arial"/>
          <w:rtl/>
        </w:rPr>
        <w:t>–</w:t>
      </w:r>
      <w:r>
        <w:rPr>
          <w:rFonts w:cs="Arial" w:hint="cs"/>
          <w:rtl/>
        </w:rPr>
        <w:t xml:space="preserve"> </w:t>
      </w:r>
      <w:r w:rsidRPr="009E619F">
        <w:rPr>
          <w:rFonts w:cs="Arial"/>
          <w:rtl/>
        </w:rPr>
        <w:t>לא</w:t>
      </w:r>
      <w:r>
        <w:rPr>
          <w:rFonts w:cs="Arial" w:hint="cs"/>
          <w:rtl/>
        </w:rPr>
        <w:t>,</w:t>
      </w:r>
      <w:r w:rsidRPr="009E619F">
        <w:rPr>
          <w:rFonts w:cs="Arial"/>
          <w:rtl/>
        </w:rPr>
        <w:t xml:space="preserve"> שלא נחשדו ישראל על כך</w:t>
      </w:r>
      <w:r w:rsidRPr="009E619F">
        <w:rPr>
          <w:rFonts w:cs="Arial" w:hint="cs"/>
          <w:rtl/>
        </w:rPr>
        <w:t>.</w:t>
      </w:r>
    </w:p>
    <w:p w14:paraId="442429F4" w14:textId="77777777" w:rsidR="004B607F" w:rsidRPr="003024E5" w:rsidRDefault="004B607F" w:rsidP="004B607F">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3A6A4BD0" w14:textId="77777777" w:rsidR="004B607F" w:rsidRDefault="004B607F" w:rsidP="004B607F">
      <w:pPr>
        <w:rPr>
          <w:rtl/>
        </w:rPr>
      </w:pPr>
      <w:r>
        <w:rPr>
          <w:rFonts w:cs="Arial"/>
          <w:rtl/>
        </w:rPr>
        <w:t>השוכר עידי שקר להוציא מנה מראובן לשמעון, פטור מדיני אדם</w:t>
      </w:r>
      <w:r>
        <w:rPr>
          <w:rStyle w:val="ab"/>
          <w:rFonts w:cs="Arial"/>
          <w:rtl/>
        </w:rPr>
        <w:footnoteReference w:id="1856"/>
      </w:r>
      <w:r>
        <w:rPr>
          <w:rFonts w:cs="Arial"/>
          <w:rtl/>
        </w:rPr>
        <w:t xml:space="preserve"> וחייב בדיני שמים</w:t>
      </w:r>
      <w:r>
        <w:rPr>
          <w:rStyle w:val="ab"/>
          <w:rFonts w:cs="Arial"/>
          <w:rtl/>
        </w:rPr>
        <w:footnoteReference w:id="1857"/>
      </w:r>
      <w:r>
        <w:rPr>
          <w:rFonts w:cs="Arial"/>
          <w:rtl/>
        </w:rPr>
        <w:t xml:space="preserve">. </w:t>
      </w:r>
      <w:r w:rsidRPr="009E619F">
        <w:rPr>
          <w:rFonts w:cs="Arial"/>
          <w:sz w:val="18"/>
          <w:szCs w:val="18"/>
          <w:rtl/>
        </w:rPr>
        <w:t>הגה: ודוקא שלא היה חייב לו, אבל אם היה חייב לו רק שאלו העדים הם שקרים, פטור מדיני שמים</w:t>
      </w:r>
      <w:r>
        <w:rPr>
          <w:rFonts w:cs="Arial" w:hint="cs"/>
          <w:sz w:val="18"/>
          <w:szCs w:val="18"/>
          <w:rtl/>
        </w:rPr>
        <w:t>,</w:t>
      </w:r>
      <w:r w:rsidRPr="009E619F">
        <w:rPr>
          <w:rFonts w:cs="Arial"/>
          <w:sz w:val="18"/>
          <w:szCs w:val="18"/>
          <w:rtl/>
        </w:rPr>
        <w:t xml:space="preserve"> אבל עובר על מדבר שקר תרחק (נ</w:t>
      </w:r>
      <w:r>
        <w:rPr>
          <w:rFonts w:cs="Arial" w:hint="cs"/>
          <w:sz w:val="18"/>
          <w:szCs w:val="18"/>
          <w:rtl/>
        </w:rPr>
        <w:t>מוק</w:t>
      </w:r>
      <w:r w:rsidRPr="009E619F">
        <w:rPr>
          <w:rFonts w:cs="Arial"/>
          <w:sz w:val="18"/>
          <w:szCs w:val="18"/>
          <w:rtl/>
        </w:rPr>
        <w:t>"י פ' הכונס בשם הרא"</w:t>
      </w:r>
      <w:r>
        <w:rPr>
          <w:rFonts w:cs="Arial" w:hint="cs"/>
          <w:sz w:val="18"/>
          <w:szCs w:val="18"/>
          <w:rtl/>
        </w:rPr>
        <w:t>ה</w:t>
      </w:r>
      <w:r w:rsidRPr="009E619F">
        <w:rPr>
          <w:rFonts w:cs="Arial"/>
          <w:sz w:val="18"/>
          <w:szCs w:val="18"/>
          <w:rtl/>
        </w:rPr>
        <w:t>). וכן אם לא שכר, אלא פיתה אותן בדברים שיעידו שקר</w:t>
      </w:r>
      <w:r>
        <w:rPr>
          <w:rStyle w:val="ab"/>
          <w:rFonts w:cs="Arial"/>
          <w:sz w:val="18"/>
          <w:szCs w:val="18"/>
          <w:rtl/>
        </w:rPr>
        <w:footnoteReference w:id="1858"/>
      </w:r>
      <w:r w:rsidRPr="009E619F">
        <w:rPr>
          <w:rFonts w:cs="Arial"/>
          <w:sz w:val="18"/>
          <w:szCs w:val="18"/>
          <w:rtl/>
        </w:rPr>
        <w:t xml:space="preserve"> (תוס</w:t>
      </w:r>
      <w:r>
        <w:rPr>
          <w:rFonts w:cs="Arial" w:hint="cs"/>
          <w:sz w:val="18"/>
          <w:szCs w:val="18"/>
          <w:rtl/>
        </w:rPr>
        <w:t>'</w:t>
      </w:r>
      <w:r w:rsidRPr="009E619F">
        <w:rPr>
          <w:rFonts w:cs="Arial"/>
          <w:sz w:val="18"/>
          <w:szCs w:val="18"/>
          <w:rtl/>
        </w:rPr>
        <w:t>). וכל זה בשוכר עדות שקר לחבריה, והוא אינו מודה</w:t>
      </w:r>
      <w:r>
        <w:rPr>
          <w:rStyle w:val="ab"/>
          <w:rFonts w:cs="Arial"/>
          <w:sz w:val="18"/>
          <w:szCs w:val="18"/>
          <w:rtl/>
        </w:rPr>
        <w:footnoteReference w:id="1859"/>
      </w:r>
      <w:r w:rsidRPr="009E619F">
        <w:rPr>
          <w:rFonts w:cs="Arial"/>
          <w:sz w:val="18"/>
          <w:szCs w:val="18"/>
          <w:rtl/>
        </w:rPr>
        <w:t>. אבל אם שכר עדות שקר לעצמו והוציא ממון שלא כדין</w:t>
      </w:r>
      <w:r>
        <w:rPr>
          <w:rStyle w:val="ab"/>
          <w:rFonts w:cs="Arial"/>
          <w:sz w:val="18"/>
          <w:szCs w:val="18"/>
          <w:rtl/>
        </w:rPr>
        <w:footnoteReference w:id="1860"/>
      </w:r>
      <w:r w:rsidRPr="009E619F">
        <w:rPr>
          <w:rFonts w:cs="Arial"/>
          <w:sz w:val="18"/>
          <w:szCs w:val="18"/>
          <w:rtl/>
        </w:rPr>
        <w:t xml:space="preserve"> או שהבעל דין מודה</w:t>
      </w:r>
      <w:r>
        <w:rPr>
          <w:rStyle w:val="ab"/>
          <w:rFonts w:cs="Arial"/>
          <w:sz w:val="18"/>
          <w:szCs w:val="18"/>
          <w:rtl/>
        </w:rPr>
        <w:footnoteReference w:id="1861"/>
      </w:r>
      <w:r w:rsidRPr="009E619F">
        <w:rPr>
          <w:rFonts w:cs="Arial"/>
          <w:sz w:val="18"/>
          <w:szCs w:val="18"/>
          <w:rtl/>
        </w:rPr>
        <w:t>, חייב להחזיר להוציא הגזילה מתחת ידו (</w:t>
      </w:r>
      <w:r>
        <w:rPr>
          <w:rFonts w:cs="Arial" w:hint="cs"/>
          <w:sz w:val="18"/>
          <w:szCs w:val="18"/>
          <w:rtl/>
        </w:rPr>
        <w:t>גמ' שם</w:t>
      </w:r>
      <w:r w:rsidRPr="009E619F">
        <w:rPr>
          <w:rFonts w:cs="Arial"/>
          <w:sz w:val="18"/>
          <w:szCs w:val="18"/>
          <w:rtl/>
        </w:rPr>
        <w:t>). ואם הוא אמר שהוא כדין, והעדים מודים שהעידו שקר, העדים חייבים לשלם</w:t>
      </w:r>
      <w:r>
        <w:rPr>
          <w:rStyle w:val="ab"/>
          <w:rFonts w:cs="Arial"/>
          <w:sz w:val="18"/>
          <w:szCs w:val="18"/>
          <w:rtl/>
        </w:rPr>
        <w:footnoteReference w:id="1862"/>
      </w:r>
      <w:r w:rsidRPr="009E619F">
        <w:rPr>
          <w:rFonts w:cs="Arial"/>
          <w:sz w:val="18"/>
          <w:szCs w:val="18"/>
          <w:rtl/>
        </w:rPr>
        <w:t xml:space="preserve"> (נ</w:t>
      </w:r>
      <w:r>
        <w:rPr>
          <w:rFonts w:cs="Arial" w:hint="cs"/>
          <w:sz w:val="18"/>
          <w:szCs w:val="18"/>
          <w:rtl/>
        </w:rPr>
        <w:t>מוק</w:t>
      </w:r>
      <w:r w:rsidRPr="009E619F">
        <w:rPr>
          <w:rFonts w:cs="Arial"/>
          <w:sz w:val="18"/>
          <w:szCs w:val="18"/>
          <w:rtl/>
        </w:rPr>
        <w:t>"י בשם הרא"ה), כדלעיל סימן כ"ט סעיף ב' וכדלקמן סימן ל"ח.</w:t>
      </w:r>
    </w:p>
    <w:p w14:paraId="1AEB30B3" w14:textId="77777777" w:rsidR="004B607F" w:rsidRPr="007827E4" w:rsidRDefault="004B607F" w:rsidP="004B607F">
      <w:pPr>
        <w:rPr>
          <w:rFonts w:cs="Arial"/>
          <w:u w:val="single"/>
          <w:rtl/>
        </w:rPr>
      </w:pPr>
      <w:r w:rsidRPr="007827E4">
        <w:rPr>
          <w:rFonts w:cs="Arial" w:hint="cs"/>
          <w:u w:val="single"/>
          <w:rtl/>
        </w:rPr>
        <w:t xml:space="preserve">אחד </w:t>
      </w:r>
      <w:r w:rsidRPr="007827E4">
        <w:rPr>
          <w:rFonts w:cs="Arial"/>
          <w:u w:val="single"/>
          <w:rtl/>
        </w:rPr>
        <w:t>שיש</w:t>
      </w:r>
      <w:r w:rsidRPr="007827E4">
        <w:rPr>
          <w:rFonts w:cs="Arial" w:hint="cs"/>
          <w:u w:val="single"/>
          <w:rtl/>
        </w:rPr>
        <w:t xml:space="preserve"> לו</w:t>
      </w:r>
      <w:r w:rsidRPr="007827E4">
        <w:rPr>
          <w:rFonts w:cs="Arial"/>
          <w:u w:val="single"/>
          <w:rtl/>
        </w:rPr>
        <w:t xml:space="preserve"> תביעה עם </w:t>
      </w:r>
      <w:r w:rsidRPr="007827E4">
        <w:rPr>
          <w:rFonts w:cs="Arial" w:hint="cs"/>
          <w:u w:val="single"/>
          <w:rtl/>
        </w:rPr>
        <w:t>שלשה</w:t>
      </w:r>
      <w:r w:rsidRPr="007827E4">
        <w:rPr>
          <w:rFonts w:cs="Arial"/>
          <w:u w:val="single"/>
          <w:rtl/>
        </w:rPr>
        <w:t xml:space="preserve">, וא' </w:t>
      </w:r>
      <w:r w:rsidRPr="007827E4">
        <w:rPr>
          <w:rFonts w:cs="Arial" w:hint="cs"/>
          <w:u w:val="single"/>
          <w:rtl/>
        </w:rPr>
        <w:t xml:space="preserve">מהם </w:t>
      </w:r>
      <w:r w:rsidRPr="007827E4">
        <w:rPr>
          <w:rFonts w:cs="Arial"/>
          <w:u w:val="single"/>
          <w:rtl/>
        </w:rPr>
        <w:t>נעשה ב"ד וב' נעשו עדים</w:t>
      </w:r>
      <w:r w:rsidRPr="007827E4">
        <w:rPr>
          <w:rFonts w:cs="Arial" w:hint="cs"/>
          <w:u w:val="single"/>
          <w:rtl/>
        </w:rPr>
        <w:t xml:space="preserve"> והוציאו ממנו ממון:</w:t>
      </w:r>
    </w:p>
    <w:p w14:paraId="4BB7F71A" w14:textId="77777777" w:rsidR="004B607F" w:rsidRPr="007827E4" w:rsidRDefault="004B607F" w:rsidP="004B0475">
      <w:pPr>
        <w:pStyle w:val="ac"/>
        <w:numPr>
          <w:ilvl w:val="0"/>
          <w:numId w:val="97"/>
        </w:numPr>
        <w:rPr>
          <w:rtl/>
        </w:rPr>
        <w:sectPr w:rsidR="004B607F" w:rsidRPr="007827E4" w:rsidSect="004B607F">
          <w:headerReference w:type="default" r:id="rId42"/>
          <w:footnotePr>
            <w:numRestart w:val="eachPage"/>
          </w:footnotePr>
          <w:pgSz w:w="11906" w:h="16838"/>
          <w:pgMar w:top="720" w:right="1134" w:bottom="720" w:left="1134" w:header="0" w:footer="0" w:gutter="0"/>
          <w:cols w:space="720"/>
          <w:bidi/>
          <w:rtlGutter/>
          <w:docGrid w:linePitch="360"/>
        </w:sectPr>
      </w:pPr>
      <w:r>
        <w:rPr>
          <w:rFonts w:cs="Arial" w:hint="cs"/>
          <w:rtl/>
        </w:rPr>
        <w:t>מהר</w:t>
      </w:r>
      <w:r w:rsidRPr="007827E4">
        <w:rPr>
          <w:rFonts w:cs="Arial" w:hint="cs"/>
          <w:rtl/>
        </w:rPr>
        <w:t>ש"</w:t>
      </w:r>
      <w:r>
        <w:rPr>
          <w:rFonts w:cs="Arial" w:hint="cs"/>
          <w:rtl/>
        </w:rPr>
        <w:t>ל</w:t>
      </w:r>
      <w:r w:rsidRPr="007827E4">
        <w:rPr>
          <w:rFonts w:cs="Arial" w:hint="cs"/>
          <w:rtl/>
        </w:rPr>
        <w:t xml:space="preserve"> </w:t>
      </w:r>
      <w:r w:rsidRPr="007827E4">
        <w:rPr>
          <w:rFonts w:cs="Arial" w:hint="cs"/>
          <w:sz w:val="16"/>
          <w:szCs w:val="16"/>
          <w:rtl/>
        </w:rPr>
        <w:t>(</w:t>
      </w:r>
      <w:r>
        <w:rPr>
          <w:rFonts w:cs="Arial" w:hint="cs"/>
          <w:sz w:val="16"/>
          <w:szCs w:val="16"/>
          <w:rtl/>
        </w:rPr>
        <w:t>ב"ק פ"ד סי' יח</w:t>
      </w:r>
      <w:r w:rsidRPr="007827E4">
        <w:rPr>
          <w:rFonts w:cs="Arial" w:hint="cs"/>
          <w:sz w:val="16"/>
          <w:szCs w:val="16"/>
          <w:rtl/>
        </w:rPr>
        <w:t>)</w:t>
      </w:r>
      <w:r w:rsidRPr="007827E4">
        <w:rPr>
          <w:rFonts w:cs="Arial" w:hint="cs"/>
          <w:rtl/>
        </w:rPr>
        <w:t xml:space="preserve">- </w:t>
      </w:r>
      <w:r w:rsidRPr="007827E4">
        <w:rPr>
          <w:rFonts w:cs="Arial"/>
          <w:rtl/>
        </w:rPr>
        <w:t>היכא שיש תביעה לאחד עם ג', וא' נעשה ב"ד וב' נעשו עדים, אם מודים אחר כך צריכין להחזיר המעות אף שאומרים שבדין לקחו ממנו שהוא חייב להם</w:t>
      </w:r>
      <w:r>
        <w:rPr>
          <w:rStyle w:val="ab"/>
          <w:rFonts w:cs="Arial"/>
          <w:rtl/>
        </w:rPr>
        <w:footnoteReference w:id="1863"/>
      </w:r>
      <w:r>
        <w:rPr>
          <w:rFonts w:cs="Arial" w:hint="cs"/>
          <w:rtl/>
        </w:rPr>
        <w:t>.</w:t>
      </w:r>
    </w:p>
    <w:p w14:paraId="6B8F8380" w14:textId="77777777" w:rsidR="004B607F" w:rsidRPr="00845316" w:rsidRDefault="004B607F" w:rsidP="004B607F">
      <w:pPr>
        <w:pStyle w:val="1"/>
        <w:rPr>
          <w:rFonts w:asciiTheme="minorBidi" w:hAnsiTheme="minorBidi"/>
          <w:rtl/>
        </w:rPr>
      </w:pPr>
      <w:bookmarkStart w:id="259" w:name="_Toc24883728"/>
      <w:r w:rsidRPr="00845316">
        <w:rPr>
          <w:rFonts w:asciiTheme="minorBidi" w:hAnsiTheme="minorBidi"/>
          <w:rtl/>
        </w:rPr>
        <w:lastRenderedPageBreak/>
        <w:t>סימן לג: פסולי עדות מחמת קורבה, ואשה ועבד.</w:t>
      </w:r>
      <w:bookmarkEnd w:id="259"/>
      <w:r w:rsidRPr="00845316">
        <w:rPr>
          <w:rFonts w:asciiTheme="minorBidi" w:hAnsiTheme="minorBidi"/>
          <w:rtl/>
        </w:rPr>
        <w:t xml:space="preserve"> </w:t>
      </w:r>
    </w:p>
    <w:p w14:paraId="7BB4A448" w14:textId="77777777" w:rsidR="004B607F" w:rsidRPr="00845316" w:rsidRDefault="004B607F" w:rsidP="004B607F">
      <w:pPr>
        <w:pStyle w:val="2"/>
        <w:rPr>
          <w:rFonts w:asciiTheme="minorBidi" w:hAnsiTheme="minorBidi"/>
          <w:rtl/>
        </w:rPr>
      </w:pPr>
      <w:bookmarkStart w:id="260" w:name="_Toc24883729"/>
      <w:r w:rsidRPr="00845316">
        <w:rPr>
          <w:rFonts w:asciiTheme="minorBidi" w:hAnsiTheme="minorBidi"/>
          <w:rtl/>
        </w:rPr>
        <w:t>סעיף א: עדות אוהב ושונא.</w:t>
      </w:r>
      <w:bookmarkEnd w:id="260"/>
    </w:p>
    <w:p w14:paraId="5C0F55D1" w14:textId="77777777" w:rsidR="004B607F" w:rsidRPr="00845316" w:rsidRDefault="004B607F" w:rsidP="004B607F">
      <w:pPr>
        <w:rPr>
          <w:rFonts w:asciiTheme="minorBidi" w:hAnsiTheme="minorBidi"/>
          <w:rtl/>
        </w:rPr>
      </w:pPr>
      <w:r w:rsidRPr="00845316">
        <w:rPr>
          <w:rFonts w:asciiTheme="minorBidi" w:hAnsiTheme="minorBidi"/>
          <w:b/>
          <w:bCs/>
          <w:rtl/>
        </w:rPr>
        <w:t>נדה מט</w:t>
      </w:r>
      <w:r>
        <w:rPr>
          <w:rStyle w:val="ab"/>
          <w:rFonts w:asciiTheme="minorBidi" w:hAnsiTheme="minorBidi"/>
          <w:b/>
          <w:bCs/>
          <w:rtl/>
        </w:rPr>
        <w:footnoteReference w:id="1864"/>
      </w:r>
      <w:r w:rsidRPr="00845316">
        <w:rPr>
          <w:rFonts w:asciiTheme="minorBidi" w:hAnsiTheme="minorBidi"/>
          <w:b/>
          <w:bCs/>
          <w:rtl/>
        </w:rPr>
        <w:t xml:space="preserve"> ע"ב: </w:t>
      </w:r>
      <w:r w:rsidRPr="00845316">
        <w:rPr>
          <w:rFonts w:asciiTheme="minorBidi" w:hAnsiTheme="minorBidi"/>
          <w:u w:val="double"/>
          <w:rtl/>
        </w:rPr>
        <w:t>משנה:</w:t>
      </w:r>
      <w:r w:rsidRPr="00845316">
        <w:rPr>
          <w:rFonts w:asciiTheme="minorBidi" w:hAnsiTheme="minorBidi"/>
          <w:rtl/>
        </w:rPr>
        <w:t xml:space="preserve"> כל הכשר לדון - כשר להעיד, ויש שכשר להעיד ואינו כשר לדון.</w:t>
      </w:r>
    </w:p>
    <w:p w14:paraId="535C0FE9" w14:textId="77777777" w:rsidR="004B607F" w:rsidRPr="00845316" w:rsidRDefault="004B607F" w:rsidP="004B607F">
      <w:pPr>
        <w:rPr>
          <w:rFonts w:asciiTheme="minorBidi" w:hAnsiTheme="minorBidi"/>
          <w:rtl/>
        </w:rPr>
      </w:pPr>
      <w:r w:rsidRPr="00845316">
        <w:rPr>
          <w:rFonts w:asciiTheme="minorBidi" w:hAnsiTheme="minorBidi"/>
          <w:b/>
          <w:bCs/>
          <w:rtl/>
        </w:rPr>
        <w:t>סנהדרין כז</w:t>
      </w:r>
      <w:r>
        <w:rPr>
          <w:rStyle w:val="ab"/>
          <w:rFonts w:asciiTheme="minorBidi" w:hAnsiTheme="minorBidi"/>
          <w:b/>
          <w:bCs/>
          <w:rtl/>
        </w:rPr>
        <w:footnoteReference w:id="1865"/>
      </w:r>
      <w:r w:rsidRPr="00845316">
        <w:rPr>
          <w:rFonts w:asciiTheme="minorBidi" w:hAnsiTheme="minorBidi"/>
          <w:b/>
          <w:bCs/>
          <w:rtl/>
        </w:rPr>
        <w:t xml:space="preserve"> ע"ב: </w:t>
      </w:r>
      <w:r w:rsidRPr="00845316">
        <w:rPr>
          <w:rFonts w:asciiTheme="minorBidi" w:hAnsiTheme="minorBidi"/>
          <w:u w:val="double"/>
          <w:rtl/>
        </w:rPr>
        <w:t>משנה:</w:t>
      </w:r>
      <w:r w:rsidRPr="00845316">
        <w:rPr>
          <w:rFonts w:asciiTheme="minorBidi" w:hAnsiTheme="minorBidi"/>
          <w:rtl/>
        </w:rPr>
        <w:t xml:space="preserve"> </w:t>
      </w:r>
      <w:r w:rsidRPr="00845316">
        <w:rPr>
          <w:rFonts w:asciiTheme="minorBidi" w:hAnsiTheme="minorBidi"/>
          <w:u w:val="single"/>
          <w:rtl/>
        </w:rPr>
        <w:t>רבי יהודה אומר</w:t>
      </w:r>
      <w:r w:rsidRPr="00845316">
        <w:rPr>
          <w:rFonts w:asciiTheme="minorBidi" w:hAnsiTheme="minorBidi"/>
          <w:rtl/>
        </w:rPr>
        <w:t>... האוהב והשונא, אוהב זה שושבינו</w:t>
      </w:r>
      <w:r w:rsidRPr="00845316">
        <w:rPr>
          <w:rStyle w:val="ab"/>
          <w:rFonts w:asciiTheme="minorBidi" w:hAnsiTheme="minorBidi"/>
          <w:rtl/>
        </w:rPr>
        <w:footnoteReference w:id="1866"/>
      </w:r>
      <w:r w:rsidRPr="00845316">
        <w:rPr>
          <w:rFonts w:asciiTheme="minorBidi" w:hAnsiTheme="minorBidi"/>
          <w:rtl/>
        </w:rPr>
        <w:t xml:space="preserve">, שונא כל שלא דבר עמו שלשה ימים באיבה. </w:t>
      </w:r>
      <w:r w:rsidRPr="00845316">
        <w:rPr>
          <w:rFonts w:asciiTheme="minorBidi" w:hAnsiTheme="minorBidi"/>
          <w:u w:val="single"/>
          <w:rtl/>
        </w:rPr>
        <w:t>אמרו לו</w:t>
      </w:r>
      <w:r w:rsidRPr="00845316">
        <w:rPr>
          <w:rFonts w:asciiTheme="minorBidi" w:hAnsiTheme="minorBidi"/>
          <w:rtl/>
        </w:rPr>
        <w:t>: לא נחשדו ישראל על כך</w:t>
      </w:r>
      <w:r w:rsidRPr="00845316">
        <w:rPr>
          <w:rStyle w:val="ab"/>
          <w:rFonts w:asciiTheme="minorBidi" w:hAnsiTheme="minorBidi"/>
          <w:rtl/>
        </w:rPr>
        <w:footnoteReference w:id="1867"/>
      </w:r>
      <w:r w:rsidRPr="00845316">
        <w:rPr>
          <w:rFonts w:asciiTheme="minorBidi" w:hAnsiTheme="minorBidi"/>
          <w:rtl/>
        </w:rPr>
        <w:t>.</w:t>
      </w:r>
    </w:p>
    <w:p w14:paraId="0DDB4772" w14:textId="77777777" w:rsidR="004B607F" w:rsidRPr="00845316" w:rsidRDefault="004B607F" w:rsidP="004B607F">
      <w:pPr>
        <w:jc w:val="both"/>
        <w:rPr>
          <w:rFonts w:asciiTheme="minorBidi" w:hAnsiTheme="minorBidi"/>
          <w:rtl/>
        </w:rPr>
      </w:pPr>
      <w:r w:rsidRPr="00845316">
        <w:rPr>
          <w:rFonts w:asciiTheme="minorBidi" w:hAnsiTheme="minorBidi"/>
          <w:b/>
          <w:bCs/>
          <w:sz w:val="32"/>
          <w:szCs w:val="28"/>
          <w:u w:val="single"/>
          <w:rtl/>
        </w:rPr>
        <w:t xml:space="preserve">שו"ע: </w:t>
      </w:r>
    </w:p>
    <w:p w14:paraId="3050A62C" w14:textId="77777777" w:rsidR="004B607F" w:rsidRPr="00845316" w:rsidRDefault="004B607F" w:rsidP="004B607F">
      <w:pPr>
        <w:rPr>
          <w:rFonts w:asciiTheme="minorBidi" w:hAnsiTheme="minorBidi"/>
          <w:rtl/>
        </w:rPr>
      </w:pPr>
      <w:r w:rsidRPr="00845316">
        <w:rPr>
          <w:rFonts w:asciiTheme="minorBidi" w:hAnsiTheme="minorBidi"/>
          <w:rtl/>
        </w:rPr>
        <w:t>כל הפסולים לדון פסולים להעיד חוץ מאוהב ושונא שכשרים להעיד אף על פי שפסולין לדון</w:t>
      </w:r>
      <w:r w:rsidRPr="00845316">
        <w:rPr>
          <w:rStyle w:val="ab"/>
          <w:rFonts w:asciiTheme="minorBidi" w:hAnsiTheme="minorBidi"/>
          <w:rtl/>
        </w:rPr>
        <w:footnoteReference w:id="1868"/>
      </w:r>
      <w:r w:rsidRPr="00845316">
        <w:rPr>
          <w:rFonts w:asciiTheme="minorBidi" w:hAnsiTheme="minorBidi"/>
          <w:rtl/>
        </w:rPr>
        <w:t>.</w:t>
      </w:r>
    </w:p>
    <w:p w14:paraId="2103C3F2" w14:textId="77777777" w:rsidR="004B607F" w:rsidRPr="00845316" w:rsidRDefault="004B607F" w:rsidP="004B607F">
      <w:pPr>
        <w:rPr>
          <w:rFonts w:asciiTheme="minorBidi" w:hAnsiTheme="minorBidi"/>
          <w:sz w:val="16"/>
          <w:szCs w:val="16"/>
          <w:rtl/>
        </w:rPr>
      </w:pPr>
      <w:r w:rsidRPr="00845316">
        <w:rPr>
          <w:rFonts w:asciiTheme="minorBidi" w:hAnsiTheme="minorBidi"/>
          <w:u w:val="single"/>
          <w:rtl/>
        </w:rPr>
        <w:t>האם שונא גמור</w:t>
      </w:r>
      <w:r w:rsidRPr="00845316">
        <w:rPr>
          <w:rStyle w:val="ab"/>
          <w:rFonts w:asciiTheme="minorBidi" w:hAnsiTheme="minorBidi"/>
          <w:u w:val="single"/>
          <w:rtl/>
        </w:rPr>
        <w:footnoteReference w:id="1869"/>
      </w:r>
      <w:r w:rsidRPr="00845316">
        <w:rPr>
          <w:rFonts w:asciiTheme="minorBidi" w:hAnsiTheme="minorBidi"/>
          <w:u w:val="single"/>
          <w:rtl/>
        </w:rPr>
        <w:t xml:space="preserve"> כשר להעיד:</w:t>
      </w:r>
      <w:r w:rsidRPr="00845316">
        <w:rPr>
          <w:rFonts w:asciiTheme="minorBidi" w:hAnsiTheme="minorBidi"/>
          <w:rtl/>
        </w:rPr>
        <w:t xml:space="preserve">   </w:t>
      </w:r>
      <w:r w:rsidRPr="00845316">
        <w:rPr>
          <w:rFonts w:asciiTheme="minorBidi" w:hAnsiTheme="minorBidi"/>
          <w:sz w:val="16"/>
          <w:szCs w:val="16"/>
          <w:rtl/>
        </w:rPr>
        <w:t>(פת"ש סק"ב)</w:t>
      </w:r>
    </w:p>
    <w:p w14:paraId="2880EC37" w14:textId="77777777" w:rsidR="004B607F" w:rsidRPr="00845316" w:rsidRDefault="004B607F" w:rsidP="004B0475">
      <w:pPr>
        <w:pStyle w:val="ac"/>
        <w:numPr>
          <w:ilvl w:val="0"/>
          <w:numId w:val="119"/>
        </w:numPr>
        <w:rPr>
          <w:rFonts w:asciiTheme="minorBidi" w:hAnsiTheme="minorBidi"/>
          <w:rtl/>
        </w:rPr>
      </w:pPr>
      <w:r w:rsidRPr="00845316">
        <w:rPr>
          <w:rFonts w:asciiTheme="minorBidi" w:hAnsiTheme="minorBidi"/>
          <w:rtl/>
        </w:rPr>
        <w:t xml:space="preserve">מהרי"ט </w:t>
      </w:r>
      <w:r w:rsidRPr="00845316">
        <w:rPr>
          <w:rFonts w:asciiTheme="minorBidi" w:hAnsiTheme="minorBidi"/>
          <w:sz w:val="16"/>
          <w:szCs w:val="16"/>
          <w:rtl/>
        </w:rPr>
        <w:t xml:space="preserve">(ח"ב חו"מ סי' פ ד"ה ומצינו) </w:t>
      </w:r>
      <w:r w:rsidRPr="00845316">
        <w:rPr>
          <w:rFonts w:asciiTheme="minorBidi" w:hAnsiTheme="minorBidi"/>
          <w:rtl/>
        </w:rPr>
        <w:t>מהרש"ק</w:t>
      </w:r>
      <w:r w:rsidRPr="00845316">
        <w:rPr>
          <w:rStyle w:val="ab"/>
          <w:rFonts w:asciiTheme="minorBidi" w:hAnsiTheme="minorBidi"/>
          <w:rtl/>
        </w:rPr>
        <w:footnoteReference w:id="1870"/>
      </w:r>
      <w:r w:rsidRPr="00845316">
        <w:rPr>
          <w:rFonts w:asciiTheme="minorBidi" w:hAnsiTheme="minorBidi"/>
          <w:rtl/>
        </w:rPr>
        <w:t xml:space="preserve"> כנסת יחזקאל </w:t>
      </w:r>
      <w:r w:rsidRPr="00845316">
        <w:rPr>
          <w:rFonts w:asciiTheme="minorBidi" w:hAnsiTheme="minorBidi"/>
          <w:sz w:val="16"/>
          <w:szCs w:val="16"/>
          <w:rtl/>
        </w:rPr>
        <w:t xml:space="preserve">(סי' פט) </w:t>
      </w:r>
      <w:r w:rsidRPr="00845316">
        <w:rPr>
          <w:rFonts w:asciiTheme="minorBidi" w:hAnsiTheme="minorBidi"/>
          <w:rtl/>
        </w:rPr>
        <w:t xml:space="preserve">ותומים </w:t>
      </w:r>
      <w:r w:rsidRPr="00845316">
        <w:rPr>
          <w:rFonts w:asciiTheme="minorBidi" w:hAnsiTheme="minorBidi"/>
          <w:sz w:val="16"/>
          <w:szCs w:val="16"/>
          <w:rtl/>
        </w:rPr>
        <w:t>(סק"ב)</w:t>
      </w:r>
      <w:r w:rsidRPr="00845316">
        <w:rPr>
          <w:rFonts w:asciiTheme="minorBidi" w:hAnsiTheme="minorBidi"/>
          <w:rtl/>
        </w:rPr>
        <w:t>- אף שונא גדול כשר.</w:t>
      </w:r>
    </w:p>
    <w:p w14:paraId="74F2B086" w14:textId="77777777" w:rsidR="004B607F" w:rsidRPr="00845316" w:rsidRDefault="004B607F" w:rsidP="004B0475">
      <w:pPr>
        <w:pStyle w:val="ac"/>
        <w:numPr>
          <w:ilvl w:val="0"/>
          <w:numId w:val="119"/>
        </w:numPr>
        <w:rPr>
          <w:rFonts w:asciiTheme="minorBidi" w:hAnsiTheme="minorBidi"/>
        </w:rPr>
      </w:pPr>
      <w:r w:rsidRPr="00845316">
        <w:rPr>
          <w:rFonts w:asciiTheme="minorBidi" w:hAnsiTheme="minorBidi"/>
          <w:rtl/>
        </w:rPr>
        <w:t xml:space="preserve">רמ"א </w:t>
      </w:r>
      <w:r w:rsidRPr="00845316">
        <w:rPr>
          <w:rFonts w:asciiTheme="minorBidi" w:hAnsiTheme="minorBidi"/>
          <w:sz w:val="16"/>
          <w:szCs w:val="16"/>
          <w:rtl/>
        </w:rPr>
        <w:t>(שו"ת סי' יב)</w:t>
      </w:r>
      <w:r w:rsidRPr="00845316">
        <w:rPr>
          <w:rFonts w:asciiTheme="minorBidi" w:hAnsiTheme="minorBidi"/>
          <w:rtl/>
        </w:rPr>
        <w:t xml:space="preserve"> ורש"ל</w:t>
      </w:r>
      <w:r w:rsidRPr="00845316">
        <w:rPr>
          <w:rFonts w:asciiTheme="minorBidi" w:hAnsiTheme="minorBidi"/>
          <w:sz w:val="16"/>
          <w:szCs w:val="16"/>
          <w:rtl/>
        </w:rPr>
        <w:t xml:space="preserve"> (סי' לג)</w:t>
      </w:r>
      <w:r w:rsidRPr="00845316">
        <w:rPr>
          <w:rFonts w:asciiTheme="minorBidi" w:hAnsiTheme="minorBidi"/>
          <w:rtl/>
        </w:rPr>
        <w:t xml:space="preserve">- פסול להעיד. </w:t>
      </w:r>
    </w:p>
    <w:p w14:paraId="1D6B0DE0" w14:textId="77777777" w:rsidR="004B607F" w:rsidRPr="00845316" w:rsidRDefault="004B607F" w:rsidP="004B607F">
      <w:pPr>
        <w:rPr>
          <w:rFonts w:asciiTheme="minorBidi" w:hAnsiTheme="minorBidi"/>
          <w:u w:val="single"/>
          <w:rtl/>
        </w:rPr>
      </w:pPr>
      <w:r w:rsidRPr="00845316">
        <w:rPr>
          <w:rFonts w:asciiTheme="minorBidi" w:hAnsiTheme="minorBidi"/>
          <w:u w:val="single"/>
          <w:rtl/>
        </w:rPr>
        <w:t>האם משרתי הבית כשרים להעיד:</w:t>
      </w:r>
      <w:r w:rsidRPr="00845316">
        <w:rPr>
          <w:rFonts w:asciiTheme="minorBidi" w:hAnsiTheme="minorBidi"/>
          <w:sz w:val="16"/>
          <w:szCs w:val="16"/>
          <w:rtl/>
        </w:rPr>
        <w:t xml:space="preserve">     (פת"ש סק"א)</w:t>
      </w:r>
    </w:p>
    <w:p w14:paraId="2F001455" w14:textId="77777777" w:rsidR="004B607F" w:rsidRPr="00845316" w:rsidRDefault="004B607F" w:rsidP="004B0475">
      <w:pPr>
        <w:pStyle w:val="ac"/>
        <w:numPr>
          <w:ilvl w:val="0"/>
          <w:numId w:val="118"/>
        </w:numPr>
        <w:rPr>
          <w:rFonts w:asciiTheme="minorBidi" w:hAnsiTheme="minorBidi"/>
          <w:rtl/>
        </w:rPr>
      </w:pPr>
      <w:r w:rsidRPr="00845316">
        <w:rPr>
          <w:rFonts w:asciiTheme="minorBidi" w:hAnsiTheme="minorBidi"/>
          <w:rtl/>
        </w:rPr>
        <w:t>(רמב"ם רדב"ז</w:t>
      </w:r>
      <w:r w:rsidRPr="00845316">
        <w:rPr>
          <w:rStyle w:val="ab"/>
          <w:rFonts w:asciiTheme="minorBidi" w:hAnsiTheme="minorBidi"/>
          <w:rtl/>
        </w:rPr>
        <w:footnoteReference w:id="1871"/>
      </w:r>
      <w:r w:rsidRPr="00845316">
        <w:rPr>
          <w:rFonts w:asciiTheme="minorBidi" w:hAnsiTheme="minorBidi"/>
          <w:sz w:val="16"/>
          <w:szCs w:val="16"/>
          <w:rtl/>
        </w:rPr>
        <w:t xml:space="preserve"> להב' הפת"ש</w:t>
      </w:r>
      <w:r w:rsidRPr="00845316">
        <w:rPr>
          <w:rFonts w:asciiTheme="minorBidi" w:hAnsiTheme="minorBidi"/>
          <w:rtl/>
        </w:rPr>
        <w:t>) ופת"ש- הדבר פשוט שזה תלוי לפי ראות עיני הדיין אם יש להמשרת צד הנאה בעדות זו או לא, וצ"ע</w:t>
      </w:r>
      <w:r w:rsidRPr="00845316">
        <w:rPr>
          <w:rStyle w:val="ab"/>
          <w:rFonts w:asciiTheme="minorBidi" w:hAnsiTheme="minorBidi"/>
          <w:rtl/>
        </w:rPr>
        <w:footnoteReference w:id="1872"/>
      </w:r>
      <w:r w:rsidRPr="00845316">
        <w:rPr>
          <w:rFonts w:asciiTheme="minorBidi" w:hAnsiTheme="minorBidi"/>
          <w:rtl/>
        </w:rPr>
        <w:t>.</w:t>
      </w:r>
    </w:p>
    <w:p w14:paraId="3118BF12" w14:textId="77777777" w:rsidR="004B607F" w:rsidRDefault="004B607F" w:rsidP="004B0475">
      <w:pPr>
        <w:pStyle w:val="ac"/>
        <w:numPr>
          <w:ilvl w:val="0"/>
          <w:numId w:val="118"/>
        </w:numPr>
        <w:rPr>
          <w:rFonts w:asciiTheme="minorBidi" w:hAnsiTheme="minorBidi"/>
        </w:rPr>
      </w:pPr>
      <w:r w:rsidRPr="00845316">
        <w:rPr>
          <w:rFonts w:asciiTheme="minorBidi" w:hAnsiTheme="minorBidi"/>
          <w:rtl/>
        </w:rPr>
        <w:t>(רמב"ם</w:t>
      </w:r>
      <w:r w:rsidRPr="00845316">
        <w:rPr>
          <w:rFonts w:asciiTheme="minorBidi" w:hAnsiTheme="minorBidi"/>
          <w:sz w:val="16"/>
          <w:szCs w:val="16"/>
          <w:rtl/>
        </w:rPr>
        <w:t xml:space="preserve"> להב' התומים</w:t>
      </w:r>
      <w:r w:rsidRPr="00845316">
        <w:rPr>
          <w:rStyle w:val="ab"/>
          <w:rFonts w:asciiTheme="minorBidi" w:hAnsiTheme="minorBidi"/>
          <w:rtl/>
        </w:rPr>
        <w:footnoteReference w:id="1873"/>
      </w:r>
      <w:r w:rsidRPr="00845316">
        <w:rPr>
          <w:rFonts w:asciiTheme="minorBidi" w:hAnsiTheme="minorBidi"/>
          <w:rtl/>
        </w:rPr>
        <w:t>) וכנה"ג</w:t>
      </w:r>
      <w:r w:rsidRPr="00845316">
        <w:rPr>
          <w:rStyle w:val="ab"/>
          <w:rFonts w:asciiTheme="minorBidi" w:hAnsiTheme="minorBidi"/>
          <w:rtl/>
        </w:rPr>
        <w:footnoteReference w:id="1874"/>
      </w:r>
      <w:r w:rsidRPr="00845316">
        <w:rPr>
          <w:rFonts w:asciiTheme="minorBidi" w:hAnsiTheme="minorBidi"/>
          <w:rtl/>
        </w:rPr>
        <w:t xml:space="preserve">- כשרים להעיד, </w:t>
      </w:r>
      <w:r w:rsidRPr="00845316">
        <w:rPr>
          <w:rStyle w:val="ab"/>
          <w:rFonts w:asciiTheme="minorBidi" w:hAnsiTheme="minorBidi"/>
          <w:rtl/>
        </w:rPr>
        <w:footnoteReference w:id="1875"/>
      </w:r>
      <w:r w:rsidRPr="00845316">
        <w:rPr>
          <w:rFonts w:asciiTheme="minorBidi" w:hAnsiTheme="minorBidi"/>
          <w:rtl/>
        </w:rPr>
        <w:t>דלא יהא משרת הבית גדול מאוהב שהוא כשר.</w:t>
      </w:r>
    </w:p>
    <w:p w14:paraId="1D66E63D" w14:textId="77777777" w:rsidR="004B607F" w:rsidRPr="00044D87" w:rsidRDefault="004B607F" w:rsidP="004B607F">
      <w:pPr>
        <w:rPr>
          <w:rFonts w:asciiTheme="minorBidi" w:hAnsiTheme="minorBidi"/>
          <w:rtl/>
        </w:rPr>
      </w:pPr>
    </w:p>
    <w:p w14:paraId="0F9B7DB1" w14:textId="77777777" w:rsidR="004B607F" w:rsidRPr="00845316" w:rsidRDefault="004B607F" w:rsidP="004B607F">
      <w:pPr>
        <w:pStyle w:val="2"/>
        <w:rPr>
          <w:rFonts w:asciiTheme="minorBidi" w:hAnsiTheme="minorBidi"/>
          <w:rtl/>
        </w:rPr>
      </w:pPr>
      <w:bookmarkStart w:id="262" w:name="_Toc24883730"/>
      <w:r w:rsidRPr="00845316">
        <w:rPr>
          <w:rFonts w:asciiTheme="minorBidi" w:hAnsiTheme="minorBidi"/>
          <w:rtl/>
        </w:rPr>
        <w:lastRenderedPageBreak/>
        <w:t>סעיף ב: פסולי עדות – אחים ובנים.</w:t>
      </w:r>
      <w:bookmarkEnd w:id="262"/>
    </w:p>
    <w:p w14:paraId="5B31A65F" w14:textId="77777777" w:rsidR="004B607F" w:rsidRPr="00845316" w:rsidRDefault="004B607F" w:rsidP="004B607F">
      <w:pPr>
        <w:rPr>
          <w:rFonts w:asciiTheme="minorBidi" w:hAnsiTheme="minorBidi"/>
          <w:rtl/>
        </w:rPr>
      </w:pPr>
      <w:r w:rsidRPr="00845316">
        <w:rPr>
          <w:rFonts w:asciiTheme="minorBidi" w:hAnsiTheme="minorBidi"/>
          <w:b/>
          <w:bCs/>
          <w:rtl/>
        </w:rPr>
        <w:t>בבא בתרא קכח</w:t>
      </w:r>
      <w:r>
        <w:rPr>
          <w:rStyle w:val="ab"/>
          <w:rFonts w:asciiTheme="minorBidi" w:hAnsiTheme="minorBidi"/>
          <w:b/>
          <w:bCs/>
          <w:rtl/>
        </w:rPr>
        <w:footnoteReference w:id="1876"/>
      </w:r>
      <w:r w:rsidRPr="00845316">
        <w:rPr>
          <w:rFonts w:asciiTheme="minorBidi" w:hAnsiTheme="minorBidi"/>
          <w:b/>
          <w:bCs/>
          <w:rtl/>
        </w:rPr>
        <w:t xml:space="preserve"> ע"א: </w:t>
      </w:r>
      <w:r w:rsidRPr="00845316">
        <w:rPr>
          <w:rFonts w:asciiTheme="minorBidi" w:hAnsiTheme="minorBidi"/>
          <w:u w:val="single"/>
          <w:rtl/>
        </w:rPr>
        <w:t>שלח ליה ר' אבא לרב יוסף בר חמא</w:t>
      </w:r>
      <w:r w:rsidRPr="00845316">
        <w:rPr>
          <w:rFonts w:asciiTheme="minorBidi" w:hAnsiTheme="minorBidi"/>
          <w:rtl/>
        </w:rPr>
        <w:t>, הלכה: שלישי בשני כשר</w:t>
      </w:r>
      <w:r w:rsidRPr="00845316">
        <w:rPr>
          <w:rStyle w:val="ab"/>
          <w:rFonts w:asciiTheme="minorBidi" w:hAnsiTheme="minorBidi"/>
          <w:rtl/>
        </w:rPr>
        <w:footnoteReference w:id="1877"/>
      </w:r>
      <w:r w:rsidRPr="00845316">
        <w:rPr>
          <w:rFonts w:asciiTheme="minorBidi" w:hAnsiTheme="minorBidi"/>
          <w:rtl/>
        </w:rPr>
        <w:t xml:space="preserve">. </w:t>
      </w:r>
      <w:r w:rsidRPr="00845316">
        <w:rPr>
          <w:rFonts w:asciiTheme="minorBidi" w:hAnsiTheme="minorBidi"/>
          <w:u w:val="single"/>
          <w:rtl/>
        </w:rPr>
        <w:t>רבא אמר</w:t>
      </w:r>
      <w:r w:rsidRPr="00845316">
        <w:rPr>
          <w:rFonts w:asciiTheme="minorBidi" w:hAnsiTheme="minorBidi"/>
          <w:rtl/>
        </w:rPr>
        <w:t>: אף בראשון</w:t>
      </w:r>
      <w:r w:rsidRPr="00845316">
        <w:rPr>
          <w:rStyle w:val="ab"/>
          <w:rFonts w:asciiTheme="minorBidi" w:hAnsiTheme="minorBidi"/>
          <w:rtl/>
        </w:rPr>
        <w:footnoteReference w:id="1878"/>
      </w:r>
      <w:r w:rsidRPr="00845316">
        <w:rPr>
          <w:rFonts w:asciiTheme="minorBidi" w:hAnsiTheme="minorBidi"/>
          <w:rtl/>
        </w:rPr>
        <w:t xml:space="preserve">. </w:t>
      </w:r>
      <w:r w:rsidRPr="00845316">
        <w:rPr>
          <w:rFonts w:asciiTheme="minorBidi" w:hAnsiTheme="minorBidi"/>
          <w:u w:val="single"/>
          <w:rtl/>
        </w:rPr>
        <w:t>מר בר רב אשי</w:t>
      </w:r>
      <w:r w:rsidRPr="00845316">
        <w:rPr>
          <w:rFonts w:asciiTheme="minorBidi" w:hAnsiTheme="minorBidi"/>
          <w:rtl/>
        </w:rPr>
        <w:t xml:space="preserve"> אכשר באבא דאבא</w:t>
      </w:r>
      <w:r w:rsidRPr="00845316">
        <w:rPr>
          <w:rStyle w:val="ab"/>
          <w:rFonts w:asciiTheme="minorBidi" w:hAnsiTheme="minorBidi"/>
          <w:rtl/>
        </w:rPr>
        <w:footnoteReference w:id="1879"/>
      </w:r>
      <w:r w:rsidRPr="00845316">
        <w:rPr>
          <w:rFonts w:asciiTheme="minorBidi" w:hAnsiTheme="minorBidi"/>
          <w:rtl/>
        </w:rPr>
        <w:t>. ולית הלכתא כמר בר רב אשי</w:t>
      </w:r>
      <w:r w:rsidRPr="00845316">
        <w:rPr>
          <w:rStyle w:val="ab"/>
          <w:rFonts w:asciiTheme="minorBidi" w:hAnsiTheme="minorBidi"/>
          <w:rtl/>
        </w:rPr>
        <w:footnoteReference w:id="1880"/>
      </w:r>
      <w:r w:rsidRPr="00845316">
        <w:rPr>
          <w:rFonts w:asciiTheme="minorBidi" w:hAnsiTheme="minorBidi"/>
          <w:rtl/>
        </w:rPr>
        <w:t xml:space="preserve">.... </w:t>
      </w:r>
      <w:r w:rsidRPr="00845316">
        <w:rPr>
          <w:rFonts w:asciiTheme="minorBidi" w:hAnsiTheme="minorBidi"/>
          <w:sz w:val="16"/>
          <w:szCs w:val="16"/>
          <w:u w:val="double"/>
          <w:rtl/>
        </w:rPr>
        <w:t>(קכח:)</w:t>
      </w:r>
      <w:r w:rsidRPr="00845316">
        <w:rPr>
          <w:rFonts w:asciiTheme="minorBidi" w:hAnsiTheme="minorBidi"/>
          <w:u w:val="double"/>
          <w:rtl/>
        </w:rPr>
        <w:t>:</w:t>
      </w:r>
      <w:r w:rsidRPr="00845316">
        <w:rPr>
          <w:rFonts w:asciiTheme="minorBidi" w:hAnsiTheme="minorBidi"/>
          <w:sz w:val="16"/>
          <w:szCs w:val="16"/>
          <w:rtl/>
        </w:rPr>
        <w:t xml:space="preserve"> </w:t>
      </w:r>
      <w:r w:rsidRPr="00845316">
        <w:rPr>
          <w:rFonts w:asciiTheme="minorBidi" w:hAnsiTheme="minorBidi"/>
          <w:u w:val="single"/>
          <w:rtl/>
        </w:rPr>
        <w:t>דרש מר זוטרא משמיה דרב שימי בר אשי</w:t>
      </w:r>
      <w:r w:rsidRPr="00845316">
        <w:rPr>
          <w:rFonts w:asciiTheme="minorBidi" w:hAnsiTheme="minorBidi"/>
          <w:rtl/>
        </w:rPr>
        <w:t>: הלכתא בכל הני שמעתתא כדשלח ליה רבי אבא לרב יוסף בר חמא... ואלא הלכתא לאפוקי מאי? אי לאפוקי מדרבא, מוסיף הוא</w:t>
      </w:r>
      <w:r w:rsidRPr="00845316">
        <w:rPr>
          <w:rStyle w:val="ab"/>
          <w:rFonts w:asciiTheme="minorBidi" w:hAnsiTheme="minorBidi"/>
          <w:rtl/>
        </w:rPr>
        <w:footnoteReference w:id="1881"/>
      </w:r>
      <w:r w:rsidRPr="00845316">
        <w:rPr>
          <w:rFonts w:asciiTheme="minorBidi" w:hAnsiTheme="minorBidi"/>
          <w:rtl/>
        </w:rPr>
        <w:t>...</w:t>
      </w:r>
    </w:p>
    <w:p w14:paraId="1AC877C2" w14:textId="77777777" w:rsidR="004B607F" w:rsidRPr="00845316" w:rsidRDefault="004B607F" w:rsidP="004B607F">
      <w:pPr>
        <w:rPr>
          <w:rFonts w:asciiTheme="minorBidi" w:hAnsiTheme="minorBidi"/>
          <w:rtl/>
        </w:rPr>
      </w:pPr>
      <w:r w:rsidRPr="00845316">
        <w:rPr>
          <w:rFonts w:asciiTheme="minorBidi" w:hAnsiTheme="minorBidi"/>
          <w:b/>
          <w:bCs/>
          <w:rtl/>
        </w:rPr>
        <w:t xml:space="preserve">ירושלמי </w:t>
      </w:r>
      <w:r w:rsidRPr="00845316">
        <w:rPr>
          <w:rFonts w:asciiTheme="minorBidi" w:hAnsiTheme="minorBidi"/>
          <w:b/>
          <w:bCs/>
          <w:sz w:val="16"/>
          <w:szCs w:val="16"/>
          <w:rtl/>
        </w:rPr>
        <w:t xml:space="preserve">(וילנא) </w:t>
      </w:r>
      <w:r w:rsidRPr="00845316">
        <w:rPr>
          <w:rFonts w:asciiTheme="minorBidi" w:hAnsiTheme="minorBidi"/>
          <w:b/>
          <w:bCs/>
          <w:rtl/>
        </w:rPr>
        <w:t>סנהדרין פ"ג ה"ו:</w:t>
      </w:r>
      <w:r w:rsidRPr="00845316">
        <w:rPr>
          <w:rFonts w:asciiTheme="minorBidi" w:hAnsiTheme="minorBidi"/>
          <w:rtl/>
        </w:rPr>
        <w:t xml:space="preserve"> </w:t>
      </w:r>
      <w:r w:rsidRPr="00845316">
        <w:rPr>
          <w:rFonts w:asciiTheme="minorBidi" w:hAnsiTheme="minorBidi"/>
          <w:u w:val="single"/>
          <w:rtl/>
        </w:rPr>
        <w:t>רב חסדא בעי</w:t>
      </w:r>
      <w:r w:rsidRPr="00845316">
        <w:rPr>
          <w:rFonts w:asciiTheme="minorBidi" w:hAnsiTheme="minorBidi"/>
          <w:rtl/>
        </w:rPr>
        <w:t>: דור שלישי מהו שיהא מותר באשת ראשון, משה מהו שיהא מותר באשת פינחס</w:t>
      </w:r>
      <w:r w:rsidRPr="00845316">
        <w:rPr>
          <w:rStyle w:val="ab"/>
          <w:rFonts w:asciiTheme="minorBidi" w:hAnsiTheme="minorBidi"/>
          <w:rtl/>
        </w:rPr>
        <w:footnoteReference w:id="1882"/>
      </w:r>
      <w:r w:rsidRPr="00845316">
        <w:rPr>
          <w:rFonts w:asciiTheme="minorBidi" w:hAnsiTheme="minorBidi"/>
          <w:rtl/>
        </w:rPr>
        <w:t xml:space="preserve">? </w:t>
      </w:r>
      <w:r w:rsidRPr="00845316">
        <w:rPr>
          <w:rFonts w:asciiTheme="minorBidi" w:hAnsiTheme="minorBidi"/>
          <w:u w:val="single"/>
          <w:rtl/>
        </w:rPr>
        <w:t>ריש לקיש אמר</w:t>
      </w:r>
      <w:r w:rsidRPr="00845316">
        <w:rPr>
          <w:rFonts w:asciiTheme="minorBidi" w:hAnsiTheme="minorBidi"/>
          <w:rtl/>
        </w:rPr>
        <w:t xml:space="preserve">: מקבלין דור שני ודור שלישי מדוחק, </w:t>
      </w:r>
      <w:r w:rsidRPr="00845316">
        <w:rPr>
          <w:rFonts w:asciiTheme="minorBidi" w:hAnsiTheme="minorBidi"/>
          <w:u w:val="single"/>
          <w:rtl/>
        </w:rPr>
        <w:t>רבי יוחנן אמר</w:t>
      </w:r>
      <w:r w:rsidRPr="00845316">
        <w:rPr>
          <w:rFonts w:asciiTheme="minorBidi" w:hAnsiTheme="minorBidi"/>
          <w:rtl/>
        </w:rPr>
        <w:t>: אפילו מריוח.</w:t>
      </w:r>
    </w:p>
    <w:p w14:paraId="17A720E0" w14:textId="77777777" w:rsidR="004B607F" w:rsidRPr="00845316" w:rsidRDefault="004B607F" w:rsidP="004B607F">
      <w:pPr>
        <w:rPr>
          <w:rFonts w:asciiTheme="minorBidi" w:hAnsiTheme="minorBidi"/>
          <w:u w:val="single"/>
          <w:rtl/>
        </w:rPr>
      </w:pPr>
      <w:r w:rsidRPr="00845316">
        <w:rPr>
          <w:rFonts w:asciiTheme="minorBidi" w:hAnsiTheme="minorBidi"/>
          <w:u w:val="single"/>
          <w:rtl/>
        </w:rPr>
        <w:t>האם שלישי בראשון כשר להעיד:</w:t>
      </w:r>
    </w:p>
    <w:p w14:paraId="01A4EB39" w14:textId="77777777" w:rsidR="004B607F" w:rsidRPr="00845316" w:rsidRDefault="004B607F" w:rsidP="004B0475">
      <w:pPr>
        <w:pStyle w:val="ac"/>
        <w:numPr>
          <w:ilvl w:val="0"/>
          <w:numId w:val="120"/>
        </w:numPr>
        <w:rPr>
          <w:rFonts w:asciiTheme="minorBidi" w:hAnsiTheme="minorBidi"/>
          <w:rtl/>
        </w:rPr>
      </w:pPr>
      <w:r w:rsidRPr="00845316">
        <w:rPr>
          <w:rFonts w:asciiTheme="minorBidi" w:hAnsiTheme="minorBidi"/>
          <w:rtl/>
        </w:rPr>
        <w:t>רי"ף ורמב"ם</w:t>
      </w:r>
      <w:r w:rsidRPr="00845316">
        <w:rPr>
          <w:rStyle w:val="ab"/>
          <w:rFonts w:asciiTheme="minorBidi" w:hAnsiTheme="minorBidi"/>
          <w:rtl/>
        </w:rPr>
        <w:footnoteReference w:id="1883"/>
      </w:r>
      <w:r w:rsidRPr="00845316">
        <w:rPr>
          <w:rFonts w:asciiTheme="minorBidi" w:hAnsiTheme="minorBidi"/>
          <w:rtl/>
        </w:rPr>
        <w:t>- כשר להעיד, דהלכה כרבא</w:t>
      </w:r>
      <w:r w:rsidRPr="00845316">
        <w:rPr>
          <w:rStyle w:val="ab"/>
          <w:rFonts w:asciiTheme="minorBidi" w:hAnsiTheme="minorBidi"/>
          <w:rtl/>
        </w:rPr>
        <w:footnoteReference w:id="1884"/>
      </w:r>
      <w:r w:rsidRPr="00845316">
        <w:rPr>
          <w:rFonts w:asciiTheme="minorBidi" w:hAnsiTheme="minorBidi"/>
          <w:rtl/>
        </w:rPr>
        <w:t xml:space="preserve">. </w:t>
      </w:r>
      <w:r w:rsidRPr="00845316">
        <w:rPr>
          <w:rFonts w:asciiTheme="minorBidi" w:hAnsiTheme="minorBidi"/>
          <w:color w:val="E36C0A" w:themeColor="accent6" w:themeShade="BF"/>
          <w:rtl/>
        </w:rPr>
        <w:t>(וכ"פ בשו"ע)</w:t>
      </w:r>
    </w:p>
    <w:p w14:paraId="2EE0A5E0" w14:textId="77777777" w:rsidR="004B607F" w:rsidRPr="00845316" w:rsidRDefault="004B607F" w:rsidP="004B0475">
      <w:pPr>
        <w:pStyle w:val="ac"/>
        <w:numPr>
          <w:ilvl w:val="0"/>
          <w:numId w:val="120"/>
        </w:numPr>
        <w:rPr>
          <w:rFonts w:asciiTheme="minorBidi" w:hAnsiTheme="minorBidi"/>
        </w:rPr>
      </w:pPr>
      <w:r w:rsidRPr="00845316">
        <w:rPr>
          <w:rFonts w:asciiTheme="minorBidi" w:hAnsiTheme="minorBidi"/>
          <w:rtl/>
        </w:rPr>
        <w:t>גאונים בה"ג</w:t>
      </w:r>
      <w:r w:rsidRPr="00845316">
        <w:rPr>
          <w:rStyle w:val="ab"/>
          <w:rFonts w:asciiTheme="minorBidi" w:hAnsiTheme="minorBidi"/>
          <w:rtl/>
        </w:rPr>
        <w:footnoteReference w:id="1885"/>
      </w:r>
      <w:r w:rsidRPr="00845316">
        <w:rPr>
          <w:rFonts w:asciiTheme="minorBidi" w:hAnsiTheme="minorBidi"/>
          <w:rtl/>
        </w:rPr>
        <w:t xml:space="preserve"> ר"ת סמ"ג (ורא"ש</w:t>
      </w:r>
      <w:r w:rsidRPr="00845316">
        <w:rPr>
          <w:rFonts w:asciiTheme="minorBidi" w:hAnsiTheme="minorBidi"/>
          <w:sz w:val="16"/>
          <w:szCs w:val="16"/>
          <w:rtl/>
        </w:rPr>
        <w:t xml:space="preserve"> להב' הדרכ"מ</w:t>
      </w:r>
      <w:r w:rsidRPr="00845316">
        <w:rPr>
          <w:rStyle w:val="ab"/>
          <w:rFonts w:asciiTheme="minorBidi" w:hAnsiTheme="minorBidi"/>
          <w:rtl/>
        </w:rPr>
        <w:footnoteReference w:id="1886"/>
      </w:r>
      <w:r w:rsidRPr="00845316">
        <w:rPr>
          <w:rFonts w:asciiTheme="minorBidi" w:hAnsiTheme="minorBidi"/>
          <w:rtl/>
        </w:rPr>
        <w:t>)</w:t>
      </w:r>
      <w:r w:rsidRPr="00845316">
        <w:rPr>
          <w:rStyle w:val="ab"/>
          <w:rFonts w:asciiTheme="minorBidi" w:hAnsiTheme="minorBidi"/>
          <w:rtl/>
        </w:rPr>
        <w:footnoteReference w:id="1887"/>
      </w:r>
      <w:r w:rsidRPr="00845316">
        <w:rPr>
          <w:rFonts w:asciiTheme="minorBidi" w:hAnsiTheme="minorBidi"/>
          <w:rtl/>
        </w:rPr>
        <w:t>- פסול להעיד, דהלכה כר' אבא מדאמרינן- "אי לאפוקי מדרבא מוסיף הוא</w:t>
      </w:r>
      <w:r w:rsidRPr="00845316">
        <w:rPr>
          <w:rStyle w:val="ab"/>
          <w:rFonts w:asciiTheme="minorBidi" w:hAnsiTheme="minorBidi"/>
          <w:rtl/>
        </w:rPr>
        <w:footnoteReference w:id="1888"/>
      </w:r>
      <w:r w:rsidRPr="00845316">
        <w:rPr>
          <w:rFonts w:asciiTheme="minorBidi" w:hAnsiTheme="minorBidi"/>
          <w:rtl/>
        </w:rPr>
        <w:t xml:space="preserve">", וכן מוכח בירושלמי. </w:t>
      </w:r>
    </w:p>
    <w:p w14:paraId="7B4856BE" w14:textId="77777777" w:rsidR="004B607F" w:rsidRPr="00845316" w:rsidRDefault="004B607F" w:rsidP="004B0475">
      <w:pPr>
        <w:pStyle w:val="ac"/>
        <w:numPr>
          <w:ilvl w:val="0"/>
          <w:numId w:val="120"/>
        </w:numPr>
        <w:rPr>
          <w:rFonts w:asciiTheme="minorBidi" w:hAnsiTheme="minorBidi"/>
        </w:rPr>
      </w:pPr>
      <w:r w:rsidRPr="00845316">
        <w:rPr>
          <w:rFonts w:asciiTheme="minorBidi" w:hAnsiTheme="minorBidi"/>
          <w:rtl/>
        </w:rPr>
        <w:t>רשב"ם- בני בנים ובני בני בנים עד אלף דורות לא יעידו לאבותיהם דבן ירך אביו הוא</w:t>
      </w:r>
      <w:r w:rsidRPr="00845316">
        <w:rPr>
          <w:rStyle w:val="ab"/>
          <w:rFonts w:asciiTheme="minorBidi" w:hAnsiTheme="minorBidi"/>
          <w:rtl/>
        </w:rPr>
        <w:footnoteReference w:id="1889"/>
      </w:r>
      <w:r w:rsidRPr="00845316">
        <w:rPr>
          <w:rFonts w:asciiTheme="minorBidi" w:hAnsiTheme="minorBidi"/>
          <w:rtl/>
        </w:rPr>
        <w:t xml:space="preserve">. </w:t>
      </w:r>
    </w:p>
    <w:p w14:paraId="2134B099" w14:textId="77777777" w:rsidR="004B607F" w:rsidRPr="00845316" w:rsidRDefault="004B607F" w:rsidP="004B607F">
      <w:pPr>
        <w:rPr>
          <w:rFonts w:asciiTheme="minorBidi" w:hAnsiTheme="minorBidi"/>
          <w:rtl/>
        </w:rPr>
      </w:pPr>
      <w:r w:rsidRPr="00845316">
        <w:rPr>
          <w:rFonts w:asciiTheme="minorBidi" w:hAnsiTheme="minorBidi"/>
          <w:b/>
          <w:bCs/>
          <w:rtl/>
        </w:rPr>
        <w:t>סנהדרין כז</w:t>
      </w:r>
      <w:r>
        <w:rPr>
          <w:rStyle w:val="ab"/>
          <w:rFonts w:asciiTheme="minorBidi" w:hAnsiTheme="minorBidi"/>
          <w:b/>
          <w:bCs/>
          <w:rtl/>
        </w:rPr>
        <w:footnoteReference w:id="1890"/>
      </w:r>
      <w:r w:rsidRPr="00845316">
        <w:rPr>
          <w:rFonts w:asciiTheme="minorBidi" w:hAnsiTheme="minorBidi"/>
          <w:b/>
          <w:bCs/>
          <w:rtl/>
        </w:rPr>
        <w:t xml:space="preserve"> ע"ב: </w:t>
      </w:r>
      <w:r w:rsidRPr="00845316">
        <w:rPr>
          <w:rFonts w:asciiTheme="minorBidi" w:hAnsiTheme="minorBidi"/>
          <w:u w:val="double"/>
          <w:rtl/>
        </w:rPr>
        <w:t>משנה</w:t>
      </w:r>
      <w:r w:rsidRPr="00845316">
        <w:rPr>
          <w:rFonts w:asciiTheme="minorBidi" w:hAnsiTheme="minorBidi"/>
          <w:rtl/>
        </w:rPr>
        <w:t>: ואלו הן הקרובין: אחיו, ואחי אביו, ואחי אמו, ובעל אחותו, ובעל אחות אביו, ובעל אחות אמו, ובעל אמו, וחמיו, וגיסו. הן ובניהן וחתניהן. וחורגו</w:t>
      </w:r>
      <w:r w:rsidRPr="00845316">
        <w:rPr>
          <w:rStyle w:val="ab"/>
          <w:rFonts w:asciiTheme="minorBidi" w:hAnsiTheme="minorBidi"/>
          <w:rtl/>
        </w:rPr>
        <w:footnoteReference w:id="1891"/>
      </w:r>
      <w:r w:rsidRPr="00845316">
        <w:rPr>
          <w:rFonts w:asciiTheme="minorBidi" w:hAnsiTheme="minorBidi"/>
          <w:rtl/>
        </w:rPr>
        <w:t xml:space="preserve"> לבדו....    </w:t>
      </w:r>
      <w:r w:rsidRPr="00845316">
        <w:rPr>
          <w:rFonts w:asciiTheme="minorBidi" w:hAnsiTheme="minorBidi"/>
          <w:u w:val="double"/>
          <w:rtl/>
        </w:rPr>
        <w:t>גמ':</w:t>
      </w:r>
      <w:r w:rsidRPr="00845316">
        <w:rPr>
          <w:rFonts w:asciiTheme="minorBidi" w:hAnsiTheme="minorBidi"/>
          <w:rtl/>
        </w:rPr>
        <w:t xml:space="preserve"> מנהני מילי? דתנו רבנן: לא יומתו אבות על בנים, מה תלמוד לומר? אם ללמד שלא ימותו אבות בעון בנים ובנים בעון אבות - הרי כבר נאמר איש בחטאו יומתו. אלא לא יומתו</w:t>
      </w:r>
      <w:r w:rsidRPr="00845316">
        <w:rPr>
          <w:rStyle w:val="ab"/>
          <w:rFonts w:asciiTheme="minorBidi" w:hAnsiTheme="minorBidi"/>
          <w:rtl/>
        </w:rPr>
        <w:footnoteReference w:id="1892"/>
      </w:r>
      <w:r w:rsidRPr="00845316">
        <w:rPr>
          <w:rFonts w:asciiTheme="minorBidi" w:hAnsiTheme="minorBidi"/>
          <w:rtl/>
        </w:rPr>
        <w:t xml:space="preserve"> אבות על בנים - בעדות בנים, ובנים לא יומתו על אבות - בעדות אבות... אשכחן אבות לבנים ובנים לאבות, וכל שכן אבות להדדי. בנים לבנים מנלן</w:t>
      </w:r>
      <w:r w:rsidRPr="00845316">
        <w:rPr>
          <w:rStyle w:val="ab"/>
          <w:rFonts w:asciiTheme="minorBidi" w:hAnsiTheme="minorBidi"/>
          <w:rtl/>
        </w:rPr>
        <w:footnoteReference w:id="1893"/>
      </w:r>
      <w:r w:rsidRPr="00845316">
        <w:rPr>
          <w:rFonts w:asciiTheme="minorBidi" w:hAnsiTheme="minorBidi"/>
          <w:rtl/>
        </w:rPr>
        <w:t xml:space="preserve">? אם כן ליכתוב קרא לא יומתו אבות על בן, מאי בנים - דאפילו בנים </w:t>
      </w:r>
      <w:r w:rsidRPr="00845316">
        <w:rPr>
          <w:rFonts w:asciiTheme="minorBidi" w:hAnsiTheme="minorBidi"/>
          <w:rtl/>
        </w:rPr>
        <w:lastRenderedPageBreak/>
        <w:t>להדדי. אשכחן בנים להדדי, בנים לעלמא מנלן</w:t>
      </w:r>
      <w:r w:rsidRPr="00845316">
        <w:rPr>
          <w:rStyle w:val="ab"/>
          <w:rFonts w:asciiTheme="minorBidi" w:hAnsiTheme="minorBidi"/>
          <w:rtl/>
        </w:rPr>
        <w:footnoteReference w:id="1894"/>
      </w:r>
      <w:r w:rsidRPr="00845316">
        <w:rPr>
          <w:rFonts w:asciiTheme="minorBidi" w:hAnsiTheme="minorBidi"/>
          <w:rtl/>
        </w:rPr>
        <w:t>?... אם כן ליכתוב קרא ובן על אבות, אי נמי הם על אבות, מאי ובנים - אפילו בנים לעלמא. אשכחן קרובי האב, קרובי האם מנלן? אמר קרא: אבות אבות תרי זימני, אם אינו ענין לקרובי האב תניהו ענין לקרובי האם. אשכחן לחובה, לזכות מנא לן? אמר קרא: יומתו יומתו תרי זימני, אם אינו ענין לחובה תנהו ענין לזכות. אשכחן בדיני נפשות, בדיני ממונות מנלן? אמר קרא: משפט אחד יהיה לכם משפט השוה לכם.</w:t>
      </w:r>
    </w:p>
    <w:p w14:paraId="7D67994C" w14:textId="77777777" w:rsidR="004B607F" w:rsidRPr="00845316" w:rsidRDefault="004B607F" w:rsidP="004B607F">
      <w:pPr>
        <w:rPr>
          <w:rFonts w:asciiTheme="minorBidi" w:hAnsiTheme="minorBidi"/>
          <w:sz w:val="16"/>
          <w:szCs w:val="16"/>
          <w:rtl/>
        </w:rPr>
      </w:pPr>
      <w:r w:rsidRPr="00845316">
        <w:rPr>
          <w:rFonts w:asciiTheme="minorBidi" w:hAnsiTheme="minorBidi"/>
          <w:u w:val="single"/>
          <w:rtl/>
        </w:rPr>
        <w:t>קרובי האם פסולים מדאורייתא או מדרבנן:</w:t>
      </w:r>
      <w:r w:rsidRPr="00845316">
        <w:rPr>
          <w:rFonts w:asciiTheme="minorBidi" w:hAnsiTheme="minorBidi"/>
          <w:rtl/>
        </w:rPr>
        <w:t xml:space="preserve">   </w:t>
      </w:r>
      <w:r w:rsidRPr="00845316">
        <w:rPr>
          <w:rFonts w:asciiTheme="minorBidi" w:hAnsiTheme="minorBidi"/>
          <w:sz w:val="16"/>
          <w:szCs w:val="16"/>
          <w:rtl/>
        </w:rPr>
        <w:t>(ש"ך סק"א)</w:t>
      </w:r>
    </w:p>
    <w:p w14:paraId="0A70EFE6" w14:textId="77777777" w:rsidR="004B607F" w:rsidRPr="00845316" w:rsidRDefault="004B607F" w:rsidP="004B0475">
      <w:pPr>
        <w:pStyle w:val="ac"/>
        <w:numPr>
          <w:ilvl w:val="0"/>
          <w:numId w:val="122"/>
        </w:numPr>
        <w:rPr>
          <w:rFonts w:asciiTheme="minorBidi" w:hAnsiTheme="minorBidi"/>
        </w:rPr>
      </w:pPr>
      <w:r w:rsidRPr="00845316">
        <w:rPr>
          <w:rFonts w:asciiTheme="minorBidi" w:hAnsiTheme="minorBidi"/>
          <w:rtl/>
        </w:rPr>
        <w:t>רי"ף (רמב"ם</w:t>
      </w:r>
      <w:r w:rsidRPr="00845316">
        <w:rPr>
          <w:rFonts w:asciiTheme="minorBidi" w:hAnsiTheme="minorBidi"/>
          <w:sz w:val="16"/>
          <w:szCs w:val="16"/>
          <w:rtl/>
        </w:rPr>
        <w:t xml:space="preserve"> להב' הש"ך</w:t>
      </w:r>
      <w:r w:rsidRPr="00845316">
        <w:rPr>
          <w:rFonts w:asciiTheme="minorBidi" w:hAnsiTheme="minorBidi"/>
          <w:rtl/>
        </w:rPr>
        <w:t xml:space="preserve">) רמב"ן סמ"ג רא"ה רשב"א וריב"ש- מדאורייתא. </w:t>
      </w:r>
      <w:r w:rsidRPr="00845316">
        <w:rPr>
          <w:rFonts w:asciiTheme="minorBidi" w:hAnsiTheme="minorBidi"/>
          <w:color w:val="E36C0A" w:themeColor="accent6" w:themeShade="BF"/>
          <w:rtl/>
        </w:rPr>
        <w:t>(וכ"פ בשו"ע)</w:t>
      </w:r>
    </w:p>
    <w:p w14:paraId="29B004A0" w14:textId="77777777" w:rsidR="004B607F" w:rsidRPr="00845316" w:rsidRDefault="004B607F" w:rsidP="004B0475">
      <w:pPr>
        <w:pStyle w:val="ac"/>
        <w:numPr>
          <w:ilvl w:val="0"/>
          <w:numId w:val="122"/>
        </w:numPr>
        <w:rPr>
          <w:rFonts w:asciiTheme="minorBidi" w:hAnsiTheme="minorBidi"/>
          <w:rtl/>
        </w:rPr>
      </w:pPr>
      <w:r w:rsidRPr="00845316">
        <w:rPr>
          <w:rFonts w:asciiTheme="minorBidi" w:hAnsiTheme="minorBidi"/>
          <w:rtl/>
        </w:rPr>
        <w:t>רמב"ם</w:t>
      </w:r>
      <w:r w:rsidRPr="00845316">
        <w:rPr>
          <w:rStyle w:val="ab"/>
          <w:rFonts w:asciiTheme="minorBidi" w:hAnsiTheme="minorBidi"/>
          <w:rtl/>
        </w:rPr>
        <w:footnoteReference w:id="1895"/>
      </w:r>
      <w:r w:rsidRPr="00845316">
        <w:rPr>
          <w:rFonts w:asciiTheme="minorBidi" w:hAnsiTheme="minorBidi"/>
          <w:rtl/>
        </w:rPr>
        <w:t>- מדרבנן.</w:t>
      </w:r>
      <w:r w:rsidRPr="00061CAF">
        <w:rPr>
          <w:rFonts w:asciiTheme="minorBidi" w:hAnsiTheme="minorBidi"/>
          <w:color w:val="00B0F0"/>
          <w:rtl/>
        </w:rPr>
        <w:t xml:space="preserve"> </w:t>
      </w:r>
      <w:r w:rsidRPr="00845316">
        <w:rPr>
          <w:rFonts w:asciiTheme="minorBidi" w:hAnsiTheme="minorBidi"/>
          <w:color w:val="00B0F0"/>
          <w:rtl/>
        </w:rPr>
        <w:t>(וכ"</w:t>
      </w:r>
      <w:r>
        <w:rPr>
          <w:rFonts w:asciiTheme="minorBidi" w:hAnsiTheme="minorBidi" w:hint="cs"/>
          <w:color w:val="00B0F0"/>
          <w:rtl/>
        </w:rPr>
        <w:t>כ</w:t>
      </w:r>
      <w:r w:rsidRPr="00845316">
        <w:rPr>
          <w:rFonts w:asciiTheme="minorBidi" w:hAnsiTheme="minorBidi"/>
          <w:color w:val="00B0F0"/>
          <w:rtl/>
        </w:rPr>
        <w:t xml:space="preserve"> הרמ"א)</w:t>
      </w:r>
    </w:p>
    <w:p w14:paraId="60AE3F32" w14:textId="77777777" w:rsidR="004B607F" w:rsidRPr="00845316" w:rsidRDefault="004B607F" w:rsidP="004B607F">
      <w:pPr>
        <w:jc w:val="both"/>
        <w:rPr>
          <w:rFonts w:asciiTheme="minorBidi" w:hAnsiTheme="minorBidi"/>
          <w:rtl/>
        </w:rPr>
      </w:pPr>
      <w:r w:rsidRPr="00845316">
        <w:rPr>
          <w:rFonts w:asciiTheme="minorBidi" w:hAnsiTheme="minorBidi"/>
          <w:b/>
          <w:bCs/>
          <w:sz w:val="32"/>
          <w:szCs w:val="28"/>
          <w:u w:val="single"/>
          <w:rtl/>
        </w:rPr>
        <w:t xml:space="preserve">שו"ע: </w:t>
      </w:r>
    </w:p>
    <w:p w14:paraId="17BB4F89" w14:textId="77777777" w:rsidR="004B607F" w:rsidRPr="00845316" w:rsidRDefault="004B607F" w:rsidP="004B607F">
      <w:pPr>
        <w:rPr>
          <w:rFonts w:asciiTheme="minorBidi" w:hAnsiTheme="minorBidi"/>
          <w:rtl/>
        </w:rPr>
      </w:pPr>
      <w:r w:rsidRPr="00845316">
        <w:rPr>
          <w:rFonts w:asciiTheme="minorBidi" w:hAnsiTheme="minorBidi"/>
          <w:rtl/>
        </w:rPr>
        <w:t>אלו הם הפסולים, האחים זה עם זה בין מן האם בין מן האב הרי הם ראשון בראשון, ובניהם זה עם זה שני בשני, ובני בניהם זה עם זה שלישי בשלישי</w:t>
      </w:r>
      <w:r>
        <w:rPr>
          <w:rFonts w:asciiTheme="minorBidi" w:hAnsiTheme="minorBidi" w:hint="cs"/>
          <w:rtl/>
        </w:rPr>
        <w:t>.</w:t>
      </w:r>
      <w:r w:rsidRPr="00845316">
        <w:rPr>
          <w:rFonts w:asciiTheme="minorBidi" w:hAnsiTheme="minorBidi"/>
          <w:rtl/>
        </w:rPr>
        <w:t xml:space="preserve"> ולעולם שלישי בראשון כשר ואין צריך לומר שלישי בשני, אבל שני ואין צריך לומר שני בראשון שניהם פסולים</w:t>
      </w:r>
      <w:r>
        <w:rPr>
          <w:rFonts w:asciiTheme="minorBidi" w:hAnsiTheme="minorBidi" w:hint="cs"/>
          <w:rtl/>
        </w:rPr>
        <w:t>.</w:t>
      </w:r>
      <w:r w:rsidRPr="00845316">
        <w:rPr>
          <w:rFonts w:asciiTheme="minorBidi" w:hAnsiTheme="minorBidi"/>
          <w:rtl/>
        </w:rPr>
        <w:t xml:space="preserve"> לפיכך האב עם בן בנו פסול</w:t>
      </w:r>
      <w:r>
        <w:rPr>
          <w:rFonts w:asciiTheme="minorBidi" w:hAnsiTheme="minorBidi" w:hint="cs"/>
          <w:rtl/>
        </w:rPr>
        <w:t>,</w:t>
      </w:r>
      <w:r w:rsidRPr="00845316">
        <w:rPr>
          <w:rFonts w:asciiTheme="minorBidi" w:hAnsiTheme="minorBidi"/>
          <w:rtl/>
        </w:rPr>
        <w:t xml:space="preserve"> מפני שהאב ובנו ראשון בראשון כמו אח ואחיו</w:t>
      </w:r>
      <w:r>
        <w:rPr>
          <w:rFonts w:asciiTheme="minorBidi" w:hAnsiTheme="minorBidi" w:hint="cs"/>
          <w:rtl/>
        </w:rPr>
        <w:t>.</w:t>
      </w:r>
      <w:r w:rsidRPr="00845316">
        <w:rPr>
          <w:rFonts w:asciiTheme="minorBidi" w:hAnsiTheme="minorBidi"/>
          <w:rtl/>
        </w:rPr>
        <w:t xml:space="preserve"> ועם בן בן בנו שהוא רביעי ממנו</w:t>
      </w:r>
      <w:r>
        <w:rPr>
          <w:rFonts w:asciiTheme="minorBidi" w:hAnsiTheme="minorBidi" w:hint="cs"/>
          <w:rtl/>
        </w:rPr>
        <w:t>,</w:t>
      </w:r>
      <w:r w:rsidRPr="00845316">
        <w:rPr>
          <w:rFonts w:asciiTheme="minorBidi" w:hAnsiTheme="minorBidi"/>
          <w:rtl/>
        </w:rPr>
        <w:t xml:space="preserve"> כשר</w:t>
      </w:r>
      <w:r>
        <w:rPr>
          <w:rFonts w:asciiTheme="minorBidi" w:hAnsiTheme="minorBidi" w:hint="cs"/>
          <w:rtl/>
        </w:rPr>
        <w:t>,</w:t>
      </w:r>
      <w:r w:rsidRPr="00845316">
        <w:rPr>
          <w:rFonts w:asciiTheme="minorBidi" w:hAnsiTheme="minorBidi"/>
          <w:rtl/>
        </w:rPr>
        <w:t xml:space="preserve"> מפני שהוא שלישי בראשון</w:t>
      </w:r>
      <w:r>
        <w:rPr>
          <w:rFonts w:asciiTheme="minorBidi" w:hAnsiTheme="minorBidi" w:hint="cs"/>
          <w:rtl/>
        </w:rPr>
        <w:t>.</w:t>
      </w:r>
      <w:r w:rsidRPr="00845316">
        <w:rPr>
          <w:rFonts w:asciiTheme="minorBidi" w:hAnsiTheme="minorBidi"/>
          <w:rtl/>
        </w:rPr>
        <w:t xml:space="preserve"> וכן הדרך בנקבות</w:t>
      </w:r>
      <w:r>
        <w:rPr>
          <w:rFonts w:asciiTheme="minorBidi" w:hAnsiTheme="minorBidi" w:hint="cs"/>
          <w:rtl/>
        </w:rPr>
        <w:t>.</w:t>
      </w:r>
      <w:r w:rsidRPr="00845316">
        <w:rPr>
          <w:rFonts w:asciiTheme="minorBidi" w:hAnsiTheme="minorBidi"/>
          <w:rtl/>
        </w:rPr>
        <w:t xml:space="preserve"> כיצד, שתי אחיות או אח ואחותו בין מן האב בין מן האם הרי הם ראשון בראשון, בניהם בין זכרים בין נקבות שני בשני, בני בניהם או בנות בנותיהם שלישי בשלישי. ויש אומרים דשלישי בראשון פסול. </w:t>
      </w:r>
      <w:r w:rsidRPr="00845316">
        <w:rPr>
          <w:rFonts w:asciiTheme="minorBidi" w:hAnsiTheme="minorBidi"/>
          <w:sz w:val="18"/>
          <w:szCs w:val="18"/>
          <w:rtl/>
        </w:rPr>
        <w:t>הגה: וכן ראוי להורות. וי"א דאינו פסול רק מדרבנן</w:t>
      </w:r>
      <w:r w:rsidRPr="00845316">
        <w:rPr>
          <w:rStyle w:val="ab"/>
          <w:rFonts w:asciiTheme="minorBidi" w:hAnsiTheme="minorBidi"/>
          <w:sz w:val="18"/>
          <w:szCs w:val="18"/>
          <w:rtl/>
        </w:rPr>
        <w:footnoteReference w:id="1896"/>
      </w:r>
      <w:r w:rsidRPr="00845316">
        <w:rPr>
          <w:rFonts w:asciiTheme="minorBidi" w:hAnsiTheme="minorBidi"/>
          <w:sz w:val="18"/>
          <w:szCs w:val="18"/>
          <w:rtl/>
        </w:rPr>
        <w:t xml:space="preserve"> אע"ג דשאר פסולים מדאורייתא, ונ"מ לענין עידי קדושין, כמו שנתבאר באהע"ז סימן מ"ב (מרדכי). וי"א דקרובי האם נמי אינן פסולים רק מדרבנן</w:t>
      </w:r>
      <w:r w:rsidRPr="00845316">
        <w:rPr>
          <w:rStyle w:val="ab"/>
          <w:rFonts w:asciiTheme="minorBidi" w:hAnsiTheme="minorBidi"/>
          <w:sz w:val="18"/>
          <w:szCs w:val="18"/>
          <w:rtl/>
        </w:rPr>
        <w:footnoteReference w:id="1897"/>
      </w:r>
      <w:r w:rsidRPr="00845316">
        <w:rPr>
          <w:rFonts w:asciiTheme="minorBidi" w:hAnsiTheme="minorBidi"/>
          <w:sz w:val="18"/>
          <w:szCs w:val="18"/>
          <w:rtl/>
        </w:rPr>
        <w:t xml:space="preserve"> (רמב"ם הל' עדות פי"ג ה"א). </w:t>
      </w:r>
    </w:p>
    <w:p w14:paraId="07E7039B" w14:textId="77777777" w:rsidR="004B607F" w:rsidRPr="00845316" w:rsidRDefault="004B607F" w:rsidP="004B607F">
      <w:pPr>
        <w:rPr>
          <w:rFonts w:asciiTheme="minorBidi" w:hAnsiTheme="minorBidi"/>
          <w:rtl/>
        </w:rPr>
      </w:pPr>
    </w:p>
    <w:p w14:paraId="4481F3B3" w14:textId="77777777" w:rsidR="004B607F" w:rsidRPr="00845316" w:rsidRDefault="004B607F" w:rsidP="004B607F">
      <w:pPr>
        <w:pStyle w:val="2"/>
        <w:rPr>
          <w:rFonts w:asciiTheme="minorBidi" w:hAnsiTheme="minorBidi"/>
          <w:rtl/>
        </w:rPr>
      </w:pPr>
      <w:bookmarkStart w:id="263" w:name="_Toc24883731"/>
      <w:r w:rsidRPr="00845316">
        <w:rPr>
          <w:rFonts w:asciiTheme="minorBidi" w:hAnsiTheme="minorBidi"/>
          <w:rtl/>
        </w:rPr>
        <w:t>סעיף ג: חד בעל כאשתו.</w:t>
      </w:r>
      <w:bookmarkEnd w:id="263"/>
    </w:p>
    <w:p w14:paraId="486F022D" w14:textId="77777777" w:rsidR="004B607F" w:rsidRPr="00845316" w:rsidRDefault="004B607F" w:rsidP="004B607F">
      <w:pPr>
        <w:rPr>
          <w:rFonts w:asciiTheme="minorBidi" w:hAnsiTheme="minorBidi"/>
          <w:rtl/>
        </w:rPr>
      </w:pPr>
      <w:r w:rsidRPr="00845316">
        <w:rPr>
          <w:rFonts w:asciiTheme="minorBidi" w:hAnsiTheme="minorBidi"/>
          <w:b/>
          <w:bCs/>
          <w:rtl/>
        </w:rPr>
        <w:t xml:space="preserve">סנהדרין כח ע"א: </w:t>
      </w:r>
      <w:r w:rsidRPr="00845316">
        <w:rPr>
          <w:rFonts w:asciiTheme="minorBidi" w:hAnsiTheme="minorBidi"/>
          <w:rtl/>
        </w:rPr>
        <w:t xml:space="preserve">רב איקלע למזבן </w:t>
      </w:r>
      <w:r>
        <w:rPr>
          <w:rFonts w:asciiTheme="minorBidi" w:hAnsiTheme="minorBidi" w:hint="cs"/>
          <w:sz w:val="14"/>
          <w:szCs w:val="14"/>
          <w:rtl/>
        </w:rPr>
        <w:t xml:space="preserve">(כח:) </w:t>
      </w:r>
      <w:r w:rsidRPr="00845316">
        <w:rPr>
          <w:rFonts w:asciiTheme="minorBidi" w:hAnsiTheme="minorBidi"/>
          <w:rtl/>
        </w:rPr>
        <w:t>גוילי</w:t>
      </w:r>
      <w:r w:rsidRPr="00845316">
        <w:rPr>
          <w:rStyle w:val="ab"/>
          <w:rFonts w:asciiTheme="minorBidi" w:hAnsiTheme="minorBidi"/>
          <w:rtl/>
        </w:rPr>
        <w:footnoteReference w:id="1898"/>
      </w:r>
      <w:r w:rsidRPr="00845316">
        <w:rPr>
          <w:rFonts w:asciiTheme="minorBidi" w:hAnsiTheme="minorBidi"/>
          <w:rtl/>
        </w:rPr>
        <w:t>, בעו מיניה: מהו שיעיד אדם באשת חורגו</w:t>
      </w:r>
      <w:r w:rsidRPr="00845316">
        <w:rPr>
          <w:rStyle w:val="ab"/>
          <w:rFonts w:asciiTheme="minorBidi" w:hAnsiTheme="minorBidi"/>
          <w:rtl/>
        </w:rPr>
        <w:footnoteReference w:id="1899"/>
      </w:r>
      <w:r w:rsidRPr="00845316">
        <w:rPr>
          <w:rFonts w:asciiTheme="minorBidi" w:hAnsiTheme="minorBidi"/>
          <w:rtl/>
        </w:rPr>
        <w:t xml:space="preserve">? </w:t>
      </w:r>
      <w:r w:rsidRPr="003137CE">
        <w:rPr>
          <w:rFonts w:asciiTheme="minorBidi" w:hAnsiTheme="minorBidi"/>
          <w:u w:val="single"/>
          <w:rtl/>
        </w:rPr>
        <w:t>בסורא אמרי</w:t>
      </w:r>
      <w:r w:rsidRPr="00845316">
        <w:rPr>
          <w:rFonts w:asciiTheme="minorBidi" w:hAnsiTheme="minorBidi"/>
          <w:rtl/>
        </w:rPr>
        <w:t>: בעל כאשתו</w:t>
      </w:r>
      <w:r w:rsidRPr="00845316">
        <w:rPr>
          <w:rStyle w:val="ab"/>
          <w:rFonts w:asciiTheme="minorBidi" w:hAnsiTheme="minorBidi"/>
          <w:rtl/>
        </w:rPr>
        <w:footnoteReference w:id="1900"/>
      </w:r>
      <w:r w:rsidRPr="00845316">
        <w:rPr>
          <w:rFonts w:asciiTheme="minorBidi" w:hAnsiTheme="minorBidi"/>
          <w:rtl/>
        </w:rPr>
        <w:t xml:space="preserve">. </w:t>
      </w:r>
      <w:r w:rsidRPr="003137CE">
        <w:rPr>
          <w:rFonts w:asciiTheme="minorBidi" w:hAnsiTheme="minorBidi"/>
          <w:u w:val="single"/>
          <w:rtl/>
        </w:rPr>
        <w:t>בפומבדיתא אמרי</w:t>
      </w:r>
      <w:r w:rsidRPr="00845316">
        <w:rPr>
          <w:rFonts w:asciiTheme="minorBidi" w:hAnsiTheme="minorBidi"/>
          <w:rtl/>
        </w:rPr>
        <w:t xml:space="preserve">: אשה כבעלה. </w:t>
      </w:r>
      <w:r w:rsidRPr="003137CE">
        <w:rPr>
          <w:rFonts w:asciiTheme="minorBidi" w:hAnsiTheme="minorBidi"/>
          <w:u w:val="single"/>
          <w:rtl/>
        </w:rPr>
        <w:t>דאמר רב הונא אמר רב (נחמן)</w:t>
      </w:r>
      <w:r w:rsidRPr="00845316">
        <w:rPr>
          <w:rFonts w:asciiTheme="minorBidi" w:hAnsiTheme="minorBidi"/>
          <w:rtl/>
        </w:rPr>
        <w:t>: מניין שהאשה כבעלה - דכתיב ערות אחי אביך לא תגלה אל אשתו לא תקרב דודתך היא, והלא אשת דודו היא! מכלל דאשה כבעלה.</w:t>
      </w:r>
    </w:p>
    <w:p w14:paraId="65B3649E" w14:textId="77777777" w:rsidR="004B607F" w:rsidRPr="00845316" w:rsidRDefault="004B607F" w:rsidP="004B607F">
      <w:pPr>
        <w:rPr>
          <w:rFonts w:asciiTheme="minorBidi" w:hAnsiTheme="minorBidi"/>
          <w:rtl/>
        </w:rPr>
      </w:pPr>
      <w:r w:rsidRPr="00845316">
        <w:rPr>
          <w:rFonts w:asciiTheme="minorBidi" w:hAnsiTheme="minorBidi"/>
          <w:b/>
          <w:bCs/>
          <w:rtl/>
        </w:rPr>
        <w:t xml:space="preserve">סנהדרין כז ע"ב: </w:t>
      </w:r>
      <w:r w:rsidRPr="00845316">
        <w:rPr>
          <w:rFonts w:asciiTheme="minorBidi" w:hAnsiTheme="minorBidi"/>
          <w:u w:val="double"/>
          <w:rtl/>
        </w:rPr>
        <w:t>משנה</w:t>
      </w:r>
      <w:r w:rsidRPr="00845316">
        <w:rPr>
          <w:rFonts w:asciiTheme="minorBidi" w:hAnsiTheme="minorBidi"/>
          <w:rtl/>
        </w:rPr>
        <w:t xml:space="preserve">: ואלו הן הקרובין: אחיו, ואחי אביו, ואחי אמו, ובעל אחותו, ובעל אחות אביו, ובעל אחות אמו, ובעל אמו, וחמיו, וגיסו. הן ובניהן </w:t>
      </w:r>
      <w:r w:rsidRPr="00845316">
        <w:rPr>
          <w:rFonts w:asciiTheme="minorBidi" w:hAnsiTheme="minorBidi"/>
          <w:u w:val="single"/>
          <w:rtl/>
        </w:rPr>
        <w:t>וחתניהן</w:t>
      </w:r>
      <w:r w:rsidRPr="00845316">
        <w:rPr>
          <w:rFonts w:asciiTheme="minorBidi" w:hAnsiTheme="minorBidi"/>
          <w:rtl/>
        </w:rPr>
        <w:t>.</w:t>
      </w:r>
      <w:r w:rsidRPr="00845316">
        <w:rPr>
          <w:rFonts w:asciiTheme="minorBidi" w:hAnsiTheme="minorBidi"/>
          <w:rtl/>
        </w:rPr>
        <w:tab/>
      </w:r>
    </w:p>
    <w:p w14:paraId="2E27ED4C" w14:textId="77777777" w:rsidR="004B607F" w:rsidRPr="00845316" w:rsidRDefault="004B607F" w:rsidP="004B607F">
      <w:pPr>
        <w:rPr>
          <w:rFonts w:asciiTheme="minorBidi" w:hAnsiTheme="minorBidi"/>
          <w:rtl/>
        </w:rPr>
      </w:pPr>
      <w:r w:rsidRPr="00845316">
        <w:rPr>
          <w:rFonts w:asciiTheme="minorBidi" w:hAnsiTheme="minorBidi"/>
          <w:b/>
          <w:bCs/>
          <w:rtl/>
        </w:rPr>
        <w:t xml:space="preserve">ירושלמי </w:t>
      </w:r>
      <w:r w:rsidRPr="00845316">
        <w:rPr>
          <w:rFonts w:asciiTheme="minorBidi" w:hAnsiTheme="minorBidi"/>
          <w:b/>
          <w:bCs/>
          <w:sz w:val="16"/>
          <w:szCs w:val="16"/>
          <w:rtl/>
        </w:rPr>
        <w:t xml:space="preserve">(וילנא) </w:t>
      </w:r>
      <w:r w:rsidRPr="00845316">
        <w:rPr>
          <w:rFonts w:asciiTheme="minorBidi" w:hAnsiTheme="minorBidi"/>
          <w:b/>
          <w:bCs/>
          <w:rtl/>
        </w:rPr>
        <w:t>סנהדרין פ"ג ה"ו:</w:t>
      </w:r>
      <w:r w:rsidRPr="00845316">
        <w:rPr>
          <w:rFonts w:asciiTheme="minorBidi" w:hAnsiTheme="minorBidi"/>
          <w:rtl/>
        </w:rPr>
        <w:t xml:space="preserve"> אשה כבעלה ובעל כאשתו.  </w:t>
      </w:r>
    </w:p>
    <w:p w14:paraId="4CC745AA" w14:textId="77777777" w:rsidR="004B607F" w:rsidRPr="00845316" w:rsidRDefault="004B607F" w:rsidP="004B607F">
      <w:pPr>
        <w:rPr>
          <w:rFonts w:asciiTheme="minorBidi" w:hAnsiTheme="minorBidi"/>
          <w:u w:val="single"/>
          <w:rtl/>
        </w:rPr>
      </w:pPr>
      <w:r w:rsidRPr="00845316">
        <w:rPr>
          <w:rFonts w:asciiTheme="minorBidi" w:hAnsiTheme="minorBidi"/>
          <w:u w:val="single"/>
          <w:rtl/>
        </w:rPr>
        <w:t xml:space="preserve">האם אמרינן בעל כאשתו </w:t>
      </w:r>
      <w:r w:rsidRPr="00845316">
        <w:rPr>
          <w:rFonts w:asciiTheme="minorBidi" w:hAnsiTheme="minorBidi"/>
          <w:sz w:val="16"/>
          <w:szCs w:val="16"/>
          <w:u w:val="single"/>
          <w:rtl/>
        </w:rPr>
        <w:t>(אשה כבעלה כו"ע מודי דאמרינן)</w:t>
      </w:r>
      <w:r w:rsidRPr="00845316">
        <w:rPr>
          <w:rFonts w:asciiTheme="minorBidi" w:hAnsiTheme="minorBidi"/>
          <w:u w:val="single"/>
          <w:rtl/>
        </w:rPr>
        <w:t>:</w:t>
      </w:r>
    </w:p>
    <w:p w14:paraId="13C8686C" w14:textId="77777777" w:rsidR="004B607F" w:rsidRPr="00845316" w:rsidRDefault="004B607F" w:rsidP="004B0475">
      <w:pPr>
        <w:pStyle w:val="ac"/>
        <w:numPr>
          <w:ilvl w:val="0"/>
          <w:numId w:val="121"/>
        </w:numPr>
        <w:rPr>
          <w:rFonts w:asciiTheme="minorBidi" w:hAnsiTheme="minorBidi"/>
        </w:rPr>
      </w:pPr>
      <w:r w:rsidRPr="00845316">
        <w:rPr>
          <w:rFonts w:asciiTheme="minorBidi" w:hAnsiTheme="minorBidi"/>
          <w:rtl/>
        </w:rPr>
        <w:t>רמב"ם ונמוק"י</w:t>
      </w:r>
      <w:r w:rsidRPr="00845316">
        <w:rPr>
          <w:rStyle w:val="ab"/>
          <w:rFonts w:asciiTheme="minorBidi" w:hAnsiTheme="minorBidi"/>
          <w:rtl/>
        </w:rPr>
        <w:footnoteReference w:id="1901"/>
      </w:r>
      <w:r w:rsidRPr="00845316">
        <w:rPr>
          <w:rFonts w:asciiTheme="minorBidi" w:hAnsiTheme="minorBidi"/>
          <w:rtl/>
        </w:rPr>
        <w:t xml:space="preserve">- אמרינן, והני תרי לישני לא פליגי אלא מר אמר חדא ומר אמר חדא. </w:t>
      </w:r>
      <w:r w:rsidRPr="00845316">
        <w:rPr>
          <w:rFonts w:asciiTheme="minorBidi" w:hAnsiTheme="minorBidi"/>
          <w:color w:val="E36C0A" w:themeColor="accent6" w:themeShade="BF"/>
          <w:rtl/>
        </w:rPr>
        <w:t>(וכ"פ בשו"ע)</w:t>
      </w:r>
      <w:r w:rsidRPr="00845316">
        <w:rPr>
          <w:rFonts w:asciiTheme="minorBidi" w:hAnsiTheme="minorBidi"/>
          <w:rtl/>
        </w:rPr>
        <w:t xml:space="preserve"> </w:t>
      </w:r>
    </w:p>
    <w:p w14:paraId="0A5AACA9" w14:textId="77777777" w:rsidR="004B607F" w:rsidRPr="00845316" w:rsidRDefault="004B607F" w:rsidP="004B0475">
      <w:pPr>
        <w:pStyle w:val="ac"/>
        <w:numPr>
          <w:ilvl w:val="0"/>
          <w:numId w:val="121"/>
        </w:numPr>
        <w:rPr>
          <w:rFonts w:asciiTheme="minorBidi" w:hAnsiTheme="minorBidi"/>
        </w:rPr>
      </w:pPr>
      <w:r w:rsidRPr="00845316">
        <w:rPr>
          <w:rFonts w:asciiTheme="minorBidi" w:hAnsiTheme="minorBidi"/>
          <w:rtl/>
        </w:rPr>
        <w:t>(ריב"א</w:t>
      </w:r>
      <w:r w:rsidRPr="00845316">
        <w:rPr>
          <w:rStyle w:val="ab"/>
          <w:rFonts w:asciiTheme="minorBidi" w:hAnsiTheme="minorBidi"/>
          <w:rtl/>
        </w:rPr>
        <w:footnoteReference w:id="1902"/>
      </w:r>
      <w:r w:rsidRPr="00845316">
        <w:rPr>
          <w:rFonts w:asciiTheme="minorBidi" w:hAnsiTheme="minorBidi"/>
          <w:rtl/>
        </w:rPr>
        <w:t xml:space="preserve"> </w:t>
      </w:r>
      <w:r w:rsidRPr="00845316">
        <w:rPr>
          <w:rFonts w:asciiTheme="minorBidi" w:hAnsiTheme="minorBidi"/>
          <w:sz w:val="16"/>
          <w:szCs w:val="16"/>
          <w:rtl/>
        </w:rPr>
        <w:t>להב' הב"י</w:t>
      </w:r>
      <w:r w:rsidRPr="00845316">
        <w:rPr>
          <w:rFonts w:asciiTheme="minorBidi" w:hAnsiTheme="minorBidi"/>
          <w:rtl/>
        </w:rPr>
        <w:t>)- לא אמרינן, לכן הקרוב לבעל פסול לאשה אבל הפסול לאשה כשר לבעל</w:t>
      </w:r>
      <w:r w:rsidRPr="00845316">
        <w:rPr>
          <w:rStyle w:val="ab"/>
          <w:rFonts w:asciiTheme="minorBidi" w:hAnsiTheme="minorBidi"/>
          <w:rtl/>
        </w:rPr>
        <w:footnoteReference w:id="1903"/>
      </w:r>
      <w:r w:rsidRPr="00845316">
        <w:rPr>
          <w:rFonts w:asciiTheme="minorBidi" w:hAnsiTheme="minorBidi"/>
          <w:rtl/>
        </w:rPr>
        <w:t xml:space="preserve">. </w:t>
      </w:r>
    </w:p>
    <w:p w14:paraId="539E966D" w14:textId="77777777" w:rsidR="004B607F" w:rsidRPr="00845316" w:rsidRDefault="004B607F" w:rsidP="004B0475">
      <w:pPr>
        <w:pStyle w:val="ac"/>
        <w:numPr>
          <w:ilvl w:val="0"/>
          <w:numId w:val="121"/>
        </w:numPr>
        <w:rPr>
          <w:rFonts w:asciiTheme="minorBidi" w:hAnsiTheme="minorBidi"/>
          <w:rtl/>
        </w:rPr>
      </w:pPr>
      <w:r w:rsidRPr="00845316">
        <w:rPr>
          <w:rFonts w:asciiTheme="minorBidi" w:hAnsiTheme="minorBidi"/>
          <w:rtl/>
        </w:rPr>
        <w:t xml:space="preserve">(ריב"א </w:t>
      </w:r>
      <w:r w:rsidRPr="00845316">
        <w:rPr>
          <w:rFonts w:asciiTheme="minorBidi" w:hAnsiTheme="minorBidi"/>
          <w:sz w:val="16"/>
          <w:szCs w:val="16"/>
          <w:rtl/>
        </w:rPr>
        <w:t>להב' הגה' הרמ"א</w:t>
      </w:r>
      <w:r w:rsidRPr="00845316">
        <w:rPr>
          <w:rStyle w:val="ab"/>
          <w:rFonts w:asciiTheme="minorBidi" w:hAnsiTheme="minorBidi"/>
          <w:sz w:val="18"/>
          <w:szCs w:val="18"/>
          <w:rtl/>
        </w:rPr>
        <w:footnoteReference w:id="1904"/>
      </w:r>
      <w:r w:rsidRPr="00845316">
        <w:rPr>
          <w:rFonts w:asciiTheme="minorBidi" w:hAnsiTheme="minorBidi"/>
          <w:sz w:val="16"/>
          <w:szCs w:val="16"/>
          <w:rtl/>
        </w:rPr>
        <w:t xml:space="preserve"> והדרישה</w:t>
      </w:r>
      <w:r w:rsidRPr="00845316">
        <w:rPr>
          <w:rFonts w:asciiTheme="minorBidi" w:hAnsiTheme="minorBidi"/>
          <w:sz w:val="14"/>
          <w:szCs w:val="14"/>
          <w:rtl/>
        </w:rPr>
        <w:t xml:space="preserve"> [אות ה]</w:t>
      </w:r>
      <w:r w:rsidRPr="00845316">
        <w:rPr>
          <w:rFonts w:asciiTheme="minorBidi" w:hAnsiTheme="minorBidi"/>
          <w:rtl/>
        </w:rPr>
        <w:t>)- בראשון בראשון אמרינן, בראשון בשני לא אמרינן</w:t>
      </w:r>
      <w:r w:rsidRPr="00845316">
        <w:rPr>
          <w:rStyle w:val="ab"/>
          <w:rFonts w:asciiTheme="minorBidi" w:hAnsiTheme="minorBidi"/>
          <w:rtl/>
        </w:rPr>
        <w:footnoteReference w:id="1905"/>
      </w:r>
      <w:r w:rsidRPr="00845316">
        <w:rPr>
          <w:rFonts w:asciiTheme="minorBidi" w:hAnsiTheme="minorBidi"/>
          <w:rtl/>
        </w:rPr>
        <w:t xml:space="preserve">. </w:t>
      </w:r>
    </w:p>
    <w:p w14:paraId="05FDB4EF" w14:textId="77777777" w:rsidR="004B607F" w:rsidRPr="00845316" w:rsidRDefault="004B607F" w:rsidP="004B607F">
      <w:pPr>
        <w:jc w:val="both"/>
        <w:rPr>
          <w:rFonts w:asciiTheme="minorBidi" w:hAnsiTheme="minorBidi"/>
          <w:rtl/>
        </w:rPr>
      </w:pPr>
      <w:r w:rsidRPr="00845316">
        <w:rPr>
          <w:rFonts w:asciiTheme="minorBidi" w:hAnsiTheme="minorBidi"/>
          <w:b/>
          <w:bCs/>
          <w:sz w:val="32"/>
          <w:szCs w:val="28"/>
          <w:u w:val="single"/>
          <w:rtl/>
        </w:rPr>
        <w:lastRenderedPageBreak/>
        <w:t xml:space="preserve">שו"ע: </w:t>
      </w:r>
    </w:p>
    <w:p w14:paraId="7112E66D" w14:textId="77777777" w:rsidR="004B607F" w:rsidRPr="00845316" w:rsidRDefault="004B607F" w:rsidP="004B607F">
      <w:pPr>
        <w:rPr>
          <w:rFonts w:asciiTheme="minorBidi" w:hAnsiTheme="minorBidi"/>
          <w:rtl/>
        </w:rPr>
      </w:pPr>
      <w:r w:rsidRPr="00845316">
        <w:rPr>
          <w:rFonts w:asciiTheme="minorBidi" w:hAnsiTheme="minorBidi"/>
          <w:rtl/>
        </w:rPr>
        <w:t>כל אשה שאתה פסול לה</w:t>
      </w:r>
      <w:r w:rsidRPr="00845316">
        <w:rPr>
          <w:rStyle w:val="ab"/>
          <w:rFonts w:asciiTheme="minorBidi" w:hAnsiTheme="minorBidi"/>
          <w:rtl/>
        </w:rPr>
        <w:footnoteReference w:id="1906"/>
      </w:r>
      <w:r w:rsidRPr="00845316">
        <w:rPr>
          <w:rFonts w:asciiTheme="minorBidi" w:hAnsiTheme="minorBidi"/>
          <w:rtl/>
        </w:rPr>
        <w:t xml:space="preserve"> אתה פסול לבעלה</w:t>
      </w:r>
      <w:r>
        <w:rPr>
          <w:rFonts w:asciiTheme="minorBidi" w:hAnsiTheme="minorBidi" w:hint="cs"/>
          <w:rtl/>
        </w:rPr>
        <w:t>,</w:t>
      </w:r>
      <w:r w:rsidRPr="00845316">
        <w:rPr>
          <w:rFonts w:asciiTheme="minorBidi" w:hAnsiTheme="minorBidi"/>
          <w:rtl/>
        </w:rPr>
        <w:t xml:space="preserve"> שהבעל כאשתו</w:t>
      </w:r>
      <w:r w:rsidRPr="00845316">
        <w:rPr>
          <w:rStyle w:val="ab"/>
          <w:rFonts w:asciiTheme="minorBidi" w:hAnsiTheme="minorBidi"/>
          <w:rtl/>
        </w:rPr>
        <w:footnoteReference w:id="1907"/>
      </w:r>
      <w:r>
        <w:rPr>
          <w:rFonts w:asciiTheme="minorBidi" w:hAnsiTheme="minorBidi" w:hint="cs"/>
          <w:rtl/>
        </w:rPr>
        <w:t>.</w:t>
      </w:r>
      <w:r w:rsidRPr="00845316">
        <w:rPr>
          <w:rFonts w:asciiTheme="minorBidi" w:hAnsiTheme="minorBidi"/>
          <w:rtl/>
        </w:rPr>
        <w:t xml:space="preserve"> וכל בעל שאתה פסול לו כך אתה פסול לאשתו</w:t>
      </w:r>
      <w:r>
        <w:rPr>
          <w:rFonts w:asciiTheme="minorBidi" w:hAnsiTheme="minorBidi" w:hint="cs"/>
          <w:rtl/>
        </w:rPr>
        <w:t>,</w:t>
      </w:r>
      <w:r w:rsidRPr="00845316">
        <w:rPr>
          <w:rFonts w:asciiTheme="minorBidi" w:hAnsiTheme="minorBidi"/>
          <w:rtl/>
        </w:rPr>
        <w:t xml:space="preserve"> שהאשה כבעלה</w:t>
      </w:r>
      <w:r>
        <w:rPr>
          <w:rFonts w:asciiTheme="minorBidi" w:hAnsiTheme="minorBidi" w:hint="cs"/>
          <w:rtl/>
        </w:rPr>
        <w:t>.</w:t>
      </w:r>
      <w:r w:rsidRPr="00845316">
        <w:rPr>
          <w:rFonts w:asciiTheme="minorBidi" w:hAnsiTheme="minorBidi"/>
          <w:rtl/>
        </w:rPr>
        <w:t xml:space="preserve"> ולדעת הפוסלים שלישי בראשון מכשירים באשתו</w:t>
      </w:r>
      <w:r w:rsidRPr="00845316">
        <w:rPr>
          <w:rStyle w:val="ab"/>
          <w:rFonts w:asciiTheme="minorBidi" w:hAnsiTheme="minorBidi"/>
          <w:rtl/>
        </w:rPr>
        <w:footnoteReference w:id="1908"/>
      </w:r>
      <w:r w:rsidRPr="00845316">
        <w:rPr>
          <w:rFonts w:asciiTheme="minorBidi" w:hAnsiTheme="minorBidi"/>
          <w:rtl/>
        </w:rPr>
        <w:t xml:space="preserve"> מפני שהוא מופלג</w:t>
      </w:r>
      <w:r w:rsidRPr="00845316">
        <w:rPr>
          <w:rStyle w:val="ab"/>
          <w:rFonts w:asciiTheme="minorBidi" w:hAnsiTheme="minorBidi"/>
          <w:rtl/>
        </w:rPr>
        <w:footnoteReference w:id="1909"/>
      </w:r>
      <w:r w:rsidRPr="00845316">
        <w:rPr>
          <w:rFonts w:asciiTheme="minorBidi" w:hAnsiTheme="minorBidi"/>
          <w:rtl/>
        </w:rPr>
        <w:t>.</w:t>
      </w:r>
      <w:r w:rsidRPr="00845316">
        <w:rPr>
          <w:rFonts w:asciiTheme="minorBidi" w:hAnsiTheme="minorBidi"/>
          <w:sz w:val="18"/>
          <w:szCs w:val="18"/>
          <w:rtl/>
        </w:rPr>
        <w:t xml:space="preserve"> הגה: ומ"מ אם דנין על ממון שיש לבעלה הנאה ממנו, פסול להעיד לה, דמה שקנתה אשה קנה בעלה (מרדכי).</w:t>
      </w:r>
      <w:r w:rsidRPr="00845316">
        <w:rPr>
          <w:rFonts w:asciiTheme="minorBidi" w:hAnsiTheme="minorBidi"/>
          <w:rtl/>
        </w:rPr>
        <w:t xml:space="preserve"> </w:t>
      </w:r>
    </w:p>
    <w:p w14:paraId="7D1EC6E0" w14:textId="77777777" w:rsidR="004B607F" w:rsidRPr="00845316" w:rsidRDefault="004B607F" w:rsidP="004B607F">
      <w:pPr>
        <w:rPr>
          <w:rFonts w:asciiTheme="minorBidi" w:hAnsiTheme="minorBidi"/>
          <w:rtl/>
        </w:rPr>
      </w:pPr>
    </w:p>
    <w:p w14:paraId="20C07324" w14:textId="77777777" w:rsidR="004B607F" w:rsidRPr="00845316" w:rsidRDefault="004B607F" w:rsidP="004B607F">
      <w:pPr>
        <w:pStyle w:val="2"/>
        <w:rPr>
          <w:rFonts w:asciiTheme="minorBidi" w:hAnsiTheme="minorBidi"/>
          <w:rtl/>
        </w:rPr>
      </w:pPr>
      <w:bookmarkStart w:id="264" w:name="_Toc24883732"/>
      <w:r w:rsidRPr="00845316">
        <w:rPr>
          <w:rFonts w:asciiTheme="minorBidi" w:hAnsiTheme="minorBidi"/>
          <w:rtl/>
        </w:rPr>
        <w:t>סעיף ד: תרי בעל כאשתו.</w:t>
      </w:r>
      <w:bookmarkEnd w:id="264"/>
    </w:p>
    <w:p w14:paraId="120DF7FC" w14:textId="77777777" w:rsidR="004B607F" w:rsidRPr="00845316" w:rsidRDefault="004B607F" w:rsidP="004B607F">
      <w:pPr>
        <w:rPr>
          <w:rFonts w:asciiTheme="minorBidi" w:hAnsiTheme="minorBidi"/>
          <w:sz w:val="16"/>
          <w:szCs w:val="16"/>
          <w:rtl/>
        </w:rPr>
      </w:pPr>
      <w:r w:rsidRPr="00845316">
        <w:rPr>
          <w:rFonts w:asciiTheme="minorBidi" w:hAnsiTheme="minorBidi"/>
          <w:b/>
          <w:bCs/>
          <w:rtl/>
        </w:rPr>
        <w:t xml:space="preserve">סנהדרין כז ע"ב: </w:t>
      </w:r>
      <w:r w:rsidRPr="00845316">
        <w:rPr>
          <w:rFonts w:asciiTheme="minorBidi" w:hAnsiTheme="minorBidi"/>
          <w:u w:val="double"/>
          <w:rtl/>
        </w:rPr>
        <w:t>משנה</w:t>
      </w:r>
      <w:r w:rsidRPr="00845316">
        <w:rPr>
          <w:rFonts w:asciiTheme="minorBidi" w:hAnsiTheme="minorBidi"/>
          <w:rtl/>
        </w:rPr>
        <w:t xml:space="preserve">: ואלו הן הקרובין: אחיו, ואחי אביו, ואחי אמו, ובעל אחותו, ובעל אחות אביו, ובעל אחות אמו, ובעל אמו, וחמיו, וגיסו. הן ובניהן וחתניהן, וחרגו לבדו...      </w:t>
      </w:r>
      <w:r w:rsidRPr="00845316">
        <w:rPr>
          <w:rFonts w:asciiTheme="minorBidi" w:hAnsiTheme="minorBidi"/>
          <w:u w:val="double"/>
          <w:rtl/>
        </w:rPr>
        <w:t>גמ'</w:t>
      </w:r>
      <w:r w:rsidRPr="00845316">
        <w:rPr>
          <w:rFonts w:asciiTheme="minorBidi" w:hAnsiTheme="minorBidi"/>
          <w:sz w:val="16"/>
          <w:szCs w:val="16"/>
          <w:u w:val="double"/>
          <w:rtl/>
        </w:rPr>
        <w:t>(כח:</w:t>
      </w:r>
      <w:r w:rsidRPr="00845316">
        <w:rPr>
          <w:rFonts w:asciiTheme="minorBidi" w:hAnsiTheme="minorBidi"/>
          <w:sz w:val="16"/>
          <w:szCs w:val="16"/>
          <w:u w:val="double"/>
        </w:rPr>
        <w:t>(</w:t>
      </w:r>
      <w:r w:rsidRPr="00845316">
        <w:rPr>
          <w:rFonts w:asciiTheme="minorBidi" w:hAnsiTheme="minorBidi"/>
          <w:u w:val="double"/>
          <w:rtl/>
        </w:rPr>
        <w:t>:</w:t>
      </w:r>
      <w:r w:rsidRPr="00845316">
        <w:rPr>
          <w:rFonts w:asciiTheme="minorBidi" w:hAnsiTheme="minorBidi"/>
          <w:rtl/>
        </w:rPr>
        <w:t xml:space="preserve"> חורגו לבדו. תנו רבנן: חורגו לבדו, </w:t>
      </w:r>
      <w:r w:rsidRPr="00845316">
        <w:rPr>
          <w:rFonts w:asciiTheme="minorBidi" w:hAnsiTheme="minorBidi"/>
          <w:u w:val="single"/>
          <w:rtl/>
        </w:rPr>
        <w:t>רבי יוסי אומר</w:t>
      </w:r>
      <w:r w:rsidRPr="00845316">
        <w:rPr>
          <w:rFonts w:asciiTheme="minorBidi" w:hAnsiTheme="minorBidi"/>
          <w:rtl/>
        </w:rPr>
        <w:t xml:space="preserve">: גיסו. ותניא אידך: גיסו לבדו, </w:t>
      </w:r>
      <w:r w:rsidRPr="00845316">
        <w:rPr>
          <w:rFonts w:asciiTheme="minorBidi" w:hAnsiTheme="minorBidi"/>
          <w:u w:val="single"/>
          <w:rtl/>
        </w:rPr>
        <w:t>רבי יהודה אומר:</w:t>
      </w:r>
      <w:r w:rsidRPr="00845316">
        <w:rPr>
          <w:rFonts w:asciiTheme="minorBidi" w:hAnsiTheme="minorBidi"/>
          <w:rtl/>
        </w:rPr>
        <w:t xml:space="preserve"> חורגו. מאי קאמר?... אלא הכי קאמר: חורגו לבדו, אבל גיסו - הוא ובנו וחתנו. ואתא רבי יוסי למימר: גיסו לבדו, וכל שכן חורגו. ומתניתין רבי יהודה</w:t>
      </w:r>
      <w:r w:rsidRPr="00845316">
        <w:rPr>
          <w:rStyle w:val="ab"/>
          <w:rFonts w:asciiTheme="minorBidi" w:hAnsiTheme="minorBidi"/>
          <w:rtl/>
        </w:rPr>
        <w:footnoteReference w:id="1910"/>
      </w:r>
      <w:r w:rsidRPr="00845316">
        <w:rPr>
          <w:rFonts w:asciiTheme="minorBidi" w:hAnsiTheme="minorBidi"/>
          <w:rtl/>
        </w:rPr>
        <w:t xml:space="preserve">, ברייתא רבי יוסי. </w:t>
      </w:r>
      <w:r w:rsidRPr="00845316">
        <w:rPr>
          <w:rFonts w:asciiTheme="minorBidi" w:hAnsiTheme="minorBidi"/>
          <w:u w:val="single"/>
          <w:rtl/>
        </w:rPr>
        <w:t>אמר רב יהודה אמר שמואל</w:t>
      </w:r>
      <w:r w:rsidRPr="00845316">
        <w:rPr>
          <w:rFonts w:asciiTheme="minorBidi" w:hAnsiTheme="minorBidi"/>
          <w:rtl/>
        </w:rPr>
        <w:t xml:space="preserve">: הלכה כרבי יוסי. </w:t>
      </w:r>
    </w:p>
    <w:p w14:paraId="3CEF3219" w14:textId="77777777" w:rsidR="004B607F" w:rsidRPr="00845316" w:rsidRDefault="004B607F" w:rsidP="004B607F">
      <w:pPr>
        <w:rPr>
          <w:rFonts w:asciiTheme="minorBidi" w:hAnsiTheme="minorBidi"/>
          <w:rtl/>
        </w:rPr>
      </w:pPr>
      <w:r w:rsidRPr="00845316">
        <w:rPr>
          <w:rFonts w:asciiTheme="minorBidi" w:hAnsiTheme="minorBidi"/>
          <w:b/>
          <w:bCs/>
          <w:rtl/>
        </w:rPr>
        <w:t xml:space="preserve">ירושלמי </w:t>
      </w:r>
      <w:r w:rsidRPr="00845316">
        <w:rPr>
          <w:rFonts w:asciiTheme="minorBidi" w:hAnsiTheme="minorBidi"/>
          <w:b/>
          <w:bCs/>
          <w:sz w:val="16"/>
          <w:szCs w:val="16"/>
          <w:rtl/>
        </w:rPr>
        <w:t xml:space="preserve">(וילנא) </w:t>
      </w:r>
      <w:r w:rsidRPr="00845316">
        <w:rPr>
          <w:rFonts w:asciiTheme="minorBidi" w:hAnsiTheme="minorBidi"/>
          <w:b/>
          <w:bCs/>
          <w:rtl/>
        </w:rPr>
        <w:t>סנהדרין פ"ג ה"ו:</w:t>
      </w:r>
      <w:r w:rsidRPr="00845316">
        <w:rPr>
          <w:rFonts w:asciiTheme="minorBidi" w:hAnsiTheme="minorBidi"/>
          <w:rtl/>
        </w:rPr>
        <w:t xml:space="preserve"> אגיסו, אית תניי תני יש לו בנים וחתנים, אית תניי תני אין לו בנים וחתנים. מאן דמר יש לו בנים וחתנים, ממנה, ומאן דמר אין לו בנים וחתנים, ממקום אחר. </w:t>
      </w:r>
    </w:p>
    <w:p w14:paraId="3F61C1B9" w14:textId="77777777" w:rsidR="004B607F" w:rsidRPr="00845316" w:rsidRDefault="004B607F" w:rsidP="004B607F">
      <w:pPr>
        <w:rPr>
          <w:rFonts w:asciiTheme="minorBidi" w:hAnsiTheme="minorBidi"/>
          <w:u w:val="single"/>
          <w:rtl/>
        </w:rPr>
      </w:pPr>
      <w:r w:rsidRPr="00845316">
        <w:rPr>
          <w:rFonts w:asciiTheme="minorBidi" w:hAnsiTheme="minorBidi"/>
          <w:u w:val="single"/>
          <w:rtl/>
        </w:rPr>
        <w:t>מאי כוונת ר' יוסי כשאמר 'גיסו':</w:t>
      </w:r>
    </w:p>
    <w:p w14:paraId="2451AB7A" w14:textId="77777777" w:rsidR="004B607F" w:rsidRPr="00845316" w:rsidRDefault="004B607F" w:rsidP="004B0475">
      <w:pPr>
        <w:pStyle w:val="ac"/>
        <w:numPr>
          <w:ilvl w:val="0"/>
          <w:numId w:val="123"/>
        </w:numPr>
        <w:rPr>
          <w:rFonts w:asciiTheme="minorBidi" w:hAnsiTheme="minorBidi"/>
          <w:rtl/>
        </w:rPr>
      </w:pPr>
      <w:r w:rsidRPr="00845316">
        <w:rPr>
          <w:rFonts w:asciiTheme="minorBidi" w:hAnsiTheme="minorBidi"/>
          <w:rtl/>
        </w:rPr>
        <w:t>רי"ף</w:t>
      </w:r>
      <w:r w:rsidRPr="00845316">
        <w:rPr>
          <w:rFonts w:asciiTheme="minorBidi" w:hAnsiTheme="minorBidi"/>
          <w:sz w:val="16"/>
          <w:szCs w:val="16"/>
          <w:rtl/>
        </w:rPr>
        <w:t xml:space="preserve"> (ז.)</w:t>
      </w:r>
      <w:r w:rsidRPr="00845316">
        <w:rPr>
          <w:rFonts w:asciiTheme="minorBidi" w:hAnsiTheme="minorBidi"/>
          <w:rtl/>
        </w:rPr>
        <w:t xml:space="preserve"> ורמב"ם</w:t>
      </w:r>
      <w:r w:rsidRPr="00845316">
        <w:rPr>
          <w:rFonts w:asciiTheme="minorBidi" w:hAnsiTheme="minorBidi"/>
          <w:sz w:val="16"/>
          <w:szCs w:val="16"/>
          <w:rtl/>
        </w:rPr>
        <w:t xml:space="preserve"> (פי"ג ה"ז-ט)</w:t>
      </w:r>
      <w:r w:rsidRPr="00845316">
        <w:rPr>
          <w:rFonts w:asciiTheme="minorBidi" w:hAnsiTheme="minorBidi"/>
          <w:rtl/>
        </w:rPr>
        <w:t xml:space="preserve">- שבן גיסו וחתן גיסו שיש לו </w:t>
      </w:r>
      <w:r w:rsidRPr="00845316">
        <w:rPr>
          <w:rFonts w:asciiTheme="minorBidi" w:hAnsiTheme="minorBidi"/>
          <w:u w:val="single"/>
          <w:rtl/>
        </w:rPr>
        <w:t>מאשה אחרת</w:t>
      </w:r>
      <w:r w:rsidRPr="00845316">
        <w:rPr>
          <w:rFonts w:asciiTheme="minorBidi" w:hAnsiTheme="minorBidi"/>
          <w:rtl/>
        </w:rPr>
        <w:t xml:space="preserve"> כשרים </w:t>
      </w:r>
      <w:r w:rsidRPr="00845316">
        <w:rPr>
          <w:rFonts w:asciiTheme="minorBidi" w:hAnsiTheme="minorBidi"/>
          <w:sz w:val="16"/>
          <w:szCs w:val="16"/>
          <w:rtl/>
        </w:rPr>
        <w:t>(אבל בנו וחתנו מאשה זו פסולים)</w:t>
      </w:r>
      <w:r w:rsidRPr="00845316">
        <w:rPr>
          <w:rStyle w:val="ab"/>
          <w:rFonts w:asciiTheme="minorBidi" w:hAnsiTheme="minorBidi"/>
          <w:rtl/>
        </w:rPr>
        <w:footnoteReference w:id="1911"/>
      </w:r>
      <w:r w:rsidRPr="00845316">
        <w:rPr>
          <w:rFonts w:asciiTheme="minorBidi" w:hAnsiTheme="minorBidi"/>
          <w:rtl/>
        </w:rPr>
        <w:t xml:space="preserve">. </w:t>
      </w:r>
    </w:p>
    <w:p w14:paraId="6C2C35EB" w14:textId="77777777" w:rsidR="004B607F" w:rsidRPr="00845316" w:rsidRDefault="004B607F" w:rsidP="004B0475">
      <w:pPr>
        <w:pStyle w:val="ac"/>
        <w:numPr>
          <w:ilvl w:val="0"/>
          <w:numId w:val="123"/>
        </w:numPr>
        <w:rPr>
          <w:rFonts w:asciiTheme="minorBidi" w:hAnsiTheme="minorBidi"/>
        </w:rPr>
      </w:pPr>
      <w:r w:rsidRPr="00845316">
        <w:rPr>
          <w:rFonts w:asciiTheme="minorBidi" w:hAnsiTheme="minorBidi"/>
          <w:rtl/>
        </w:rPr>
        <w:t>רב האי רש"י תוס' רז"ה ראב"ד ורא"ש</w:t>
      </w:r>
      <w:r w:rsidRPr="00845316">
        <w:rPr>
          <w:rStyle w:val="ab"/>
          <w:rFonts w:asciiTheme="minorBidi" w:hAnsiTheme="minorBidi"/>
          <w:rtl/>
        </w:rPr>
        <w:footnoteReference w:id="1912"/>
      </w:r>
      <w:r w:rsidRPr="00845316">
        <w:rPr>
          <w:rFonts w:asciiTheme="minorBidi" w:hAnsiTheme="minorBidi"/>
          <w:rtl/>
        </w:rPr>
        <w:t>- שחתן גיסו כשר, אבל בן גיסו ודאי פסול לו</w:t>
      </w:r>
      <w:r w:rsidRPr="00845316">
        <w:rPr>
          <w:rStyle w:val="ab"/>
          <w:rFonts w:asciiTheme="minorBidi" w:hAnsiTheme="minorBidi"/>
          <w:rtl/>
        </w:rPr>
        <w:footnoteReference w:id="1913"/>
      </w:r>
      <w:r w:rsidRPr="00845316">
        <w:rPr>
          <w:rFonts w:asciiTheme="minorBidi" w:hAnsiTheme="minorBidi"/>
          <w:rtl/>
        </w:rPr>
        <w:t>.</w:t>
      </w:r>
    </w:p>
    <w:p w14:paraId="771D66F6" w14:textId="77777777" w:rsidR="004B607F" w:rsidRPr="00845316" w:rsidRDefault="004B607F" w:rsidP="004B607F">
      <w:pPr>
        <w:rPr>
          <w:rFonts w:asciiTheme="minorBidi" w:hAnsiTheme="minorBidi"/>
          <w:u w:val="single"/>
          <w:rtl/>
        </w:rPr>
      </w:pPr>
      <w:r w:rsidRPr="00845316">
        <w:rPr>
          <w:rFonts w:asciiTheme="minorBidi" w:hAnsiTheme="minorBidi"/>
          <w:u w:val="single"/>
          <w:rtl/>
        </w:rPr>
        <w:t>מתי אמרינן תרי בעל כאשתו:</w:t>
      </w:r>
    </w:p>
    <w:p w14:paraId="3E03EF77" w14:textId="77777777" w:rsidR="004B607F" w:rsidRPr="00845316" w:rsidRDefault="004B607F" w:rsidP="004B0475">
      <w:pPr>
        <w:pStyle w:val="ac"/>
        <w:numPr>
          <w:ilvl w:val="0"/>
          <w:numId w:val="120"/>
        </w:numPr>
        <w:rPr>
          <w:rFonts w:asciiTheme="minorBidi" w:hAnsiTheme="minorBidi"/>
          <w:rtl/>
        </w:rPr>
      </w:pPr>
      <w:r w:rsidRPr="00845316">
        <w:rPr>
          <w:rFonts w:asciiTheme="minorBidi" w:hAnsiTheme="minorBidi"/>
          <w:rtl/>
        </w:rPr>
        <w:t xml:space="preserve">(רי"ף </w:t>
      </w:r>
      <w:r w:rsidRPr="00845316">
        <w:rPr>
          <w:rFonts w:asciiTheme="minorBidi" w:hAnsiTheme="minorBidi"/>
          <w:sz w:val="14"/>
          <w:szCs w:val="14"/>
          <w:rtl/>
        </w:rPr>
        <w:t>[ז.]</w:t>
      </w:r>
      <w:r w:rsidRPr="00845316">
        <w:rPr>
          <w:rFonts w:asciiTheme="minorBidi" w:hAnsiTheme="minorBidi"/>
          <w:sz w:val="16"/>
          <w:szCs w:val="16"/>
          <w:rtl/>
        </w:rPr>
        <w:t xml:space="preserve"> להב' הב"י</w:t>
      </w:r>
      <w:r w:rsidRPr="00845316">
        <w:rPr>
          <w:rFonts w:asciiTheme="minorBidi" w:hAnsiTheme="minorBidi"/>
          <w:rtl/>
        </w:rPr>
        <w:t>) ורמב"ם</w:t>
      </w:r>
      <w:r w:rsidRPr="00845316">
        <w:rPr>
          <w:rFonts w:asciiTheme="minorBidi" w:hAnsiTheme="minorBidi"/>
          <w:sz w:val="16"/>
          <w:szCs w:val="16"/>
          <w:rtl/>
        </w:rPr>
        <w:t xml:space="preserve"> (פי"ג ה"ז-ט)</w:t>
      </w:r>
      <w:r w:rsidRPr="00845316">
        <w:rPr>
          <w:rFonts w:asciiTheme="minorBidi" w:hAnsiTheme="minorBidi"/>
          <w:rtl/>
        </w:rPr>
        <w:t>- גם אצל ראשון בשני.</w:t>
      </w:r>
      <w:r w:rsidRPr="00845316">
        <w:rPr>
          <w:rFonts w:asciiTheme="minorBidi" w:hAnsiTheme="minorBidi"/>
          <w:color w:val="E36C0A" w:themeColor="accent6" w:themeShade="BF"/>
          <w:rtl/>
        </w:rPr>
        <w:t xml:space="preserve"> (וכ"פ בשו"ע)</w:t>
      </w:r>
    </w:p>
    <w:p w14:paraId="38068B10" w14:textId="77777777" w:rsidR="004B607F" w:rsidRPr="00845316" w:rsidRDefault="004B607F" w:rsidP="004B0475">
      <w:pPr>
        <w:pStyle w:val="ac"/>
        <w:numPr>
          <w:ilvl w:val="0"/>
          <w:numId w:val="120"/>
        </w:numPr>
        <w:rPr>
          <w:rFonts w:asciiTheme="minorBidi" w:hAnsiTheme="minorBidi"/>
          <w:rtl/>
        </w:rPr>
      </w:pPr>
      <w:r w:rsidRPr="00845316">
        <w:rPr>
          <w:rFonts w:asciiTheme="minorBidi" w:hAnsiTheme="minorBidi"/>
          <w:rtl/>
        </w:rPr>
        <w:t xml:space="preserve">רש"י </w:t>
      </w:r>
      <w:r w:rsidRPr="00845316">
        <w:rPr>
          <w:rFonts w:asciiTheme="minorBidi" w:hAnsiTheme="minorBidi"/>
          <w:sz w:val="16"/>
          <w:szCs w:val="16"/>
          <w:rtl/>
        </w:rPr>
        <w:t xml:space="preserve">(ד"ה גיסו) </w:t>
      </w:r>
      <w:r w:rsidRPr="00845316">
        <w:rPr>
          <w:rFonts w:asciiTheme="minorBidi" w:hAnsiTheme="minorBidi"/>
          <w:rtl/>
        </w:rPr>
        <w:t xml:space="preserve">תוס' </w:t>
      </w:r>
      <w:r w:rsidRPr="00845316">
        <w:rPr>
          <w:rFonts w:asciiTheme="minorBidi" w:hAnsiTheme="minorBidi"/>
          <w:sz w:val="16"/>
          <w:szCs w:val="16"/>
          <w:rtl/>
        </w:rPr>
        <w:t xml:space="preserve">(ד"ה גיסו) </w:t>
      </w:r>
      <w:r w:rsidRPr="00845316">
        <w:rPr>
          <w:rFonts w:asciiTheme="minorBidi" w:hAnsiTheme="minorBidi"/>
          <w:rtl/>
        </w:rPr>
        <w:t xml:space="preserve">ורא"ש </w:t>
      </w:r>
      <w:r w:rsidRPr="00845316">
        <w:rPr>
          <w:rFonts w:asciiTheme="minorBidi" w:hAnsiTheme="minorBidi"/>
          <w:sz w:val="16"/>
          <w:szCs w:val="16"/>
          <w:rtl/>
        </w:rPr>
        <w:t>(סי' כ, ובתשו' כלל נז סי' א)</w:t>
      </w:r>
      <w:r w:rsidRPr="00845316">
        <w:rPr>
          <w:rFonts w:asciiTheme="minorBidi" w:hAnsiTheme="minorBidi"/>
          <w:rtl/>
        </w:rPr>
        <w:t>- רק אצל ראשון בראשון</w:t>
      </w:r>
      <w:r w:rsidRPr="00845316">
        <w:rPr>
          <w:rStyle w:val="ab"/>
          <w:rFonts w:asciiTheme="minorBidi" w:hAnsiTheme="minorBidi"/>
          <w:rtl/>
        </w:rPr>
        <w:footnoteReference w:id="1914"/>
      </w:r>
      <w:r w:rsidRPr="00845316">
        <w:rPr>
          <w:rFonts w:asciiTheme="minorBidi" w:hAnsiTheme="minorBidi"/>
          <w:rtl/>
        </w:rPr>
        <w:t xml:space="preserve">. </w:t>
      </w:r>
      <w:r w:rsidRPr="00845316">
        <w:rPr>
          <w:rFonts w:asciiTheme="minorBidi" w:hAnsiTheme="minorBidi"/>
          <w:color w:val="00B0F0"/>
          <w:rtl/>
        </w:rPr>
        <w:t>(וכ"פ הרמ"א)</w:t>
      </w:r>
    </w:p>
    <w:p w14:paraId="6E11AEB0" w14:textId="77777777" w:rsidR="004B607F" w:rsidRPr="00845316" w:rsidRDefault="004B607F" w:rsidP="004B0475">
      <w:pPr>
        <w:pStyle w:val="ac"/>
        <w:numPr>
          <w:ilvl w:val="0"/>
          <w:numId w:val="120"/>
        </w:numPr>
        <w:rPr>
          <w:rFonts w:asciiTheme="minorBidi" w:hAnsiTheme="minorBidi"/>
          <w:rtl/>
        </w:rPr>
      </w:pPr>
      <w:r w:rsidRPr="00845316">
        <w:rPr>
          <w:rFonts w:asciiTheme="minorBidi" w:hAnsiTheme="minorBidi"/>
          <w:rtl/>
        </w:rPr>
        <w:t xml:space="preserve">(רי"ף </w:t>
      </w:r>
      <w:r w:rsidRPr="00845316">
        <w:rPr>
          <w:rFonts w:asciiTheme="minorBidi" w:hAnsiTheme="minorBidi"/>
          <w:sz w:val="16"/>
          <w:szCs w:val="16"/>
          <w:rtl/>
        </w:rPr>
        <w:t>להב' הטור</w:t>
      </w:r>
      <w:r w:rsidRPr="00845316">
        <w:rPr>
          <w:rFonts w:asciiTheme="minorBidi" w:hAnsiTheme="minorBidi"/>
          <w:rtl/>
        </w:rPr>
        <w:t>)- גם אצל שני בשני.</w:t>
      </w:r>
    </w:p>
    <w:p w14:paraId="376799E3" w14:textId="77777777" w:rsidR="004B607F" w:rsidRPr="00845316" w:rsidRDefault="004B607F" w:rsidP="004B607F">
      <w:pPr>
        <w:jc w:val="both"/>
        <w:rPr>
          <w:rFonts w:asciiTheme="minorBidi" w:hAnsiTheme="minorBidi"/>
          <w:rtl/>
        </w:rPr>
      </w:pPr>
      <w:r w:rsidRPr="00845316">
        <w:rPr>
          <w:rFonts w:asciiTheme="minorBidi" w:hAnsiTheme="minorBidi"/>
          <w:b/>
          <w:bCs/>
          <w:sz w:val="32"/>
          <w:szCs w:val="28"/>
          <w:u w:val="single"/>
          <w:rtl/>
        </w:rPr>
        <w:t xml:space="preserve">שו"ע: </w:t>
      </w:r>
    </w:p>
    <w:p w14:paraId="1C876E5C" w14:textId="77777777" w:rsidR="004B607F" w:rsidRPr="00845316" w:rsidRDefault="004B607F" w:rsidP="004B607F">
      <w:pPr>
        <w:rPr>
          <w:rFonts w:asciiTheme="minorBidi" w:hAnsiTheme="minorBidi"/>
          <w:rtl/>
        </w:rPr>
      </w:pPr>
      <w:r w:rsidRPr="00845316">
        <w:rPr>
          <w:rFonts w:asciiTheme="minorBidi" w:hAnsiTheme="minorBidi"/>
          <w:rtl/>
        </w:rPr>
        <w:t>כל שתי נשים שהן זו עם זו שני בשני</w:t>
      </w:r>
      <w:r>
        <w:rPr>
          <w:rFonts w:asciiTheme="minorBidi" w:hAnsiTheme="minorBidi" w:hint="cs"/>
          <w:rtl/>
        </w:rPr>
        <w:t>,</w:t>
      </w:r>
      <w:r w:rsidRPr="00845316">
        <w:rPr>
          <w:rFonts w:asciiTheme="minorBidi" w:hAnsiTheme="minorBidi"/>
          <w:rtl/>
        </w:rPr>
        <w:t xml:space="preserve"> בעליהן מעידים זה לזה</w:t>
      </w:r>
      <w:r>
        <w:rPr>
          <w:rFonts w:asciiTheme="minorBidi" w:hAnsiTheme="minorBidi" w:hint="cs"/>
          <w:rtl/>
        </w:rPr>
        <w:t>,</w:t>
      </w:r>
      <w:r w:rsidRPr="00845316">
        <w:rPr>
          <w:rFonts w:asciiTheme="minorBidi" w:hAnsiTheme="minorBidi"/>
          <w:rtl/>
        </w:rPr>
        <w:t xml:space="preserve"> דתרי בעל כאשתו דשני בשני לא אמרינן. </w:t>
      </w:r>
      <w:r w:rsidRPr="00845316">
        <w:rPr>
          <w:rFonts w:asciiTheme="minorBidi" w:hAnsiTheme="minorBidi"/>
          <w:sz w:val="18"/>
          <w:szCs w:val="18"/>
          <w:rtl/>
        </w:rPr>
        <w:t>הגה: ומיהו לכתחלה לא יחתמו עצמן על שטר ביחד</w:t>
      </w:r>
      <w:r w:rsidRPr="00845316">
        <w:rPr>
          <w:rStyle w:val="ab"/>
          <w:rFonts w:asciiTheme="minorBidi" w:hAnsiTheme="minorBidi"/>
          <w:sz w:val="18"/>
          <w:szCs w:val="18"/>
          <w:rtl/>
        </w:rPr>
        <w:footnoteReference w:id="1915"/>
      </w:r>
      <w:r w:rsidRPr="00845316">
        <w:rPr>
          <w:rFonts w:asciiTheme="minorBidi" w:hAnsiTheme="minorBidi"/>
          <w:sz w:val="18"/>
          <w:szCs w:val="18"/>
          <w:rtl/>
        </w:rPr>
        <w:t xml:space="preserve"> (תרוה"ד סי' רכו). </w:t>
      </w:r>
      <w:r w:rsidRPr="00845316">
        <w:rPr>
          <w:rFonts w:asciiTheme="minorBidi" w:hAnsiTheme="minorBidi"/>
          <w:rtl/>
        </w:rPr>
        <w:t>אבל אם היו ראשון בראשון כגון שלקח זה אשה וזה בתה</w:t>
      </w:r>
      <w:r>
        <w:rPr>
          <w:rFonts w:asciiTheme="minorBidi" w:hAnsiTheme="minorBidi" w:hint="cs"/>
          <w:rtl/>
        </w:rPr>
        <w:t>,</w:t>
      </w:r>
      <w:r w:rsidRPr="00845316">
        <w:rPr>
          <w:rFonts w:asciiTheme="minorBidi" w:hAnsiTheme="minorBidi"/>
          <w:rtl/>
        </w:rPr>
        <w:t xml:space="preserve"> וכן בעלי אחיות</w:t>
      </w:r>
      <w:r>
        <w:rPr>
          <w:rFonts w:asciiTheme="minorBidi" w:hAnsiTheme="minorBidi" w:hint="cs"/>
          <w:rtl/>
        </w:rPr>
        <w:t>,</w:t>
      </w:r>
      <w:r w:rsidRPr="00845316">
        <w:rPr>
          <w:rFonts w:asciiTheme="minorBidi" w:hAnsiTheme="minorBidi"/>
          <w:rtl/>
        </w:rPr>
        <w:t xml:space="preserve"> פסולים זה לזה</w:t>
      </w:r>
      <w:r>
        <w:rPr>
          <w:rFonts w:asciiTheme="minorBidi" w:hAnsiTheme="minorBidi" w:hint="cs"/>
          <w:rtl/>
        </w:rPr>
        <w:t>,</w:t>
      </w:r>
      <w:r w:rsidRPr="00845316">
        <w:rPr>
          <w:rFonts w:asciiTheme="minorBidi" w:hAnsiTheme="minorBidi"/>
          <w:rtl/>
        </w:rPr>
        <w:t xml:space="preserve"> דאמרינן בהו תרי בעל כאשתו</w:t>
      </w:r>
      <w:r>
        <w:rPr>
          <w:rFonts w:asciiTheme="minorBidi" w:hAnsiTheme="minorBidi" w:hint="cs"/>
          <w:rtl/>
        </w:rPr>
        <w:t>.</w:t>
      </w:r>
      <w:r w:rsidRPr="00845316">
        <w:rPr>
          <w:rFonts w:asciiTheme="minorBidi" w:hAnsiTheme="minorBidi"/>
          <w:rtl/>
        </w:rPr>
        <w:t xml:space="preserve"> ואף בראשון בשני אמרינן בהו תרי בעל כאשתו</w:t>
      </w:r>
      <w:r>
        <w:rPr>
          <w:rFonts w:asciiTheme="minorBidi" w:hAnsiTheme="minorBidi" w:hint="cs"/>
          <w:rtl/>
        </w:rPr>
        <w:t>,</w:t>
      </w:r>
      <w:r w:rsidRPr="00845316">
        <w:rPr>
          <w:rFonts w:asciiTheme="minorBidi" w:hAnsiTheme="minorBidi"/>
          <w:rtl/>
        </w:rPr>
        <w:t xml:space="preserve"> שכשם שהוא פסול להעיד לבן אחות אשתו כך הוא פסול להעיד לבעל בת אחות אשתו</w:t>
      </w:r>
      <w:r>
        <w:rPr>
          <w:rFonts w:asciiTheme="minorBidi" w:hAnsiTheme="minorBidi" w:hint="cs"/>
          <w:rtl/>
        </w:rPr>
        <w:t>.</w:t>
      </w:r>
      <w:r w:rsidRPr="00845316">
        <w:rPr>
          <w:rFonts w:asciiTheme="minorBidi" w:hAnsiTheme="minorBidi"/>
          <w:rtl/>
        </w:rPr>
        <w:t xml:space="preserve"> אבל מעיד לבן בעל אחות אשתו שיש לו מאשה אחרת</w:t>
      </w:r>
      <w:r>
        <w:rPr>
          <w:rFonts w:asciiTheme="minorBidi" w:hAnsiTheme="minorBidi" w:hint="cs"/>
          <w:rtl/>
        </w:rPr>
        <w:t>.</w:t>
      </w:r>
      <w:r w:rsidRPr="00845316">
        <w:rPr>
          <w:rFonts w:asciiTheme="minorBidi" w:hAnsiTheme="minorBidi"/>
          <w:rtl/>
        </w:rPr>
        <w:t xml:space="preserve"> ויש אומרים דבראשון בשני לא אמרינן תרי בעל כאשתו. </w:t>
      </w:r>
      <w:r w:rsidRPr="00845316">
        <w:rPr>
          <w:rFonts w:asciiTheme="minorBidi" w:hAnsiTheme="minorBidi"/>
          <w:sz w:val="18"/>
          <w:szCs w:val="18"/>
          <w:rtl/>
        </w:rPr>
        <w:t>הגה: וכן נ"ל להורות.</w:t>
      </w:r>
      <w:r w:rsidRPr="00845316">
        <w:rPr>
          <w:rFonts w:asciiTheme="minorBidi" w:hAnsiTheme="minorBidi"/>
          <w:rtl/>
        </w:rPr>
        <w:t xml:space="preserve">  </w:t>
      </w:r>
    </w:p>
    <w:p w14:paraId="12A1918C" w14:textId="77777777" w:rsidR="004B607F" w:rsidRPr="00845316" w:rsidRDefault="004B607F" w:rsidP="004B607F">
      <w:pPr>
        <w:rPr>
          <w:rFonts w:asciiTheme="minorBidi" w:hAnsiTheme="minorBidi"/>
          <w:rtl/>
        </w:rPr>
      </w:pPr>
    </w:p>
    <w:p w14:paraId="5B595E55" w14:textId="77777777" w:rsidR="004B607F" w:rsidRPr="00845316" w:rsidRDefault="004B607F" w:rsidP="004B607F">
      <w:pPr>
        <w:pStyle w:val="2"/>
        <w:rPr>
          <w:rFonts w:asciiTheme="minorBidi" w:hAnsiTheme="minorBidi"/>
          <w:rtl/>
        </w:rPr>
      </w:pPr>
      <w:bookmarkStart w:id="265" w:name="_Toc24883733"/>
      <w:r w:rsidRPr="00845316">
        <w:rPr>
          <w:rFonts w:asciiTheme="minorBidi" w:hAnsiTheme="minorBidi"/>
          <w:rtl/>
        </w:rPr>
        <w:lastRenderedPageBreak/>
        <w:t>סעיף ה: קרובי בעל/אשת קרובו.</w:t>
      </w:r>
      <w:bookmarkEnd w:id="265"/>
    </w:p>
    <w:p w14:paraId="0E84BEBF" w14:textId="77777777" w:rsidR="004B607F" w:rsidRPr="00845316" w:rsidRDefault="004B607F" w:rsidP="004B607F">
      <w:pPr>
        <w:rPr>
          <w:rFonts w:asciiTheme="minorBidi" w:hAnsiTheme="minorBidi"/>
          <w:sz w:val="16"/>
          <w:szCs w:val="16"/>
          <w:rtl/>
        </w:rPr>
      </w:pPr>
      <w:r w:rsidRPr="00845316">
        <w:rPr>
          <w:rFonts w:asciiTheme="minorBidi" w:hAnsiTheme="minorBidi"/>
          <w:b/>
          <w:bCs/>
          <w:rtl/>
        </w:rPr>
        <w:t xml:space="preserve">סנהדרין כז ע"ב: </w:t>
      </w:r>
      <w:r w:rsidRPr="00845316">
        <w:rPr>
          <w:rFonts w:asciiTheme="minorBidi" w:hAnsiTheme="minorBidi"/>
          <w:u w:val="double"/>
          <w:rtl/>
        </w:rPr>
        <w:t>משנה</w:t>
      </w:r>
      <w:r w:rsidRPr="00845316">
        <w:rPr>
          <w:rFonts w:asciiTheme="minorBidi" w:hAnsiTheme="minorBidi"/>
          <w:rtl/>
        </w:rPr>
        <w:t xml:space="preserve">: ואלו הן הקרובין: אחיו... ובעל אמו... הן ובניהן וחתניהן...      </w:t>
      </w:r>
      <w:r w:rsidRPr="00845316">
        <w:rPr>
          <w:rFonts w:asciiTheme="minorBidi" w:hAnsiTheme="minorBidi"/>
          <w:u w:val="double"/>
          <w:rtl/>
        </w:rPr>
        <w:t>גמ'</w:t>
      </w:r>
      <w:r w:rsidRPr="00845316">
        <w:rPr>
          <w:rFonts w:asciiTheme="minorBidi" w:hAnsiTheme="minorBidi"/>
          <w:sz w:val="16"/>
          <w:szCs w:val="16"/>
          <w:u w:val="double"/>
          <w:rtl/>
        </w:rPr>
        <w:t>(כח:</w:t>
      </w:r>
      <w:r w:rsidRPr="00845316">
        <w:rPr>
          <w:rFonts w:asciiTheme="minorBidi" w:hAnsiTheme="minorBidi"/>
          <w:sz w:val="16"/>
          <w:szCs w:val="16"/>
          <w:u w:val="double"/>
        </w:rPr>
        <w:t>(</w:t>
      </w:r>
      <w:r w:rsidRPr="00845316">
        <w:rPr>
          <w:rFonts w:asciiTheme="minorBidi" w:hAnsiTheme="minorBidi"/>
          <w:u w:val="double"/>
          <w:rtl/>
        </w:rPr>
        <w:t>:</w:t>
      </w:r>
      <w:r w:rsidRPr="00845316">
        <w:rPr>
          <w:rFonts w:asciiTheme="minorBidi" w:hAnsiTheme="minorBidi"/>
          <w:rtl/>
        </w:rPr>
        <w:t xml:space="preserve"> ובעל אמו הוא ובנו וחתנו. בנו - היינו אחיו</w:t>
      </w:r>
      <w:r w:rsidRPr="00845316">
        <w:rPr>
          <w:rStyle w:val="ab"/>
          <w:rFonts w:asciiTheme="minorBidi" w:hAnsiTheme="minorBidi"/>
          <w:rtl/>
        </w:rPr>
        <w:footnoteReference w:id="1916"/>
      </w:r>
      <w:r w:rsidRPr="00845316">
        <w:rPr>
          <w:rFonts w:asciiTheme="minorBidi" w:hAnsiTheme="minorBidi"/>
          <w:rtl/>
        </w:rPr>
        <w:t xml:space="preserve">! </w:t>
      </w:r>
      <w:r w:rsidRPr="00845316">
        <w:rPr>
          <w:rFonts w:asciiTheme="minorBidi" w:hAnsiTheme="minorBidi"/>
          <w:u w:val="single"/>
          <w:rtl/>
        </w:rPr>
        <w:t>אמר רבי ירמיה:</w:t>
      </w:r>
      <w:r w:rsidRPr="00845316">
        <w:rPr>
          <w:rFonts w:asciiTheme="minorBidi" w:hAnsiTheme="minorBidi"/>
          <w:rtl/>
        </w:rPr>
        <w:t xml:space="preserve"> לא נצרכה אלא לאחי האח</w:t>
      </w:r>
      <w:r w:rsidRPr="00845316">
        <w:rPr>
          <w:rStyle w:val="ab"/>
          <w:rFonts w:asciiTheme="minorBidi" w:hAnsiTheme="minorBidi"/>
          <w:rtl/>
        </w:rPr>
        <w:footnoteReference w:id="1917"/>
      </w:r>
      <w:r w:rsidRPr="00845316">
        <w:rPr>
          <w:rFonts w:asciiTheme="minorBidi" w:hAnsiTheme="minorBidi"/>
          <w:rtl/>
        </w:rPr>
        <w:t xml:space="preserve">. </w:t>
      </w:r>
      <w:r w:rsidRPr="00845316">
        <w:rPr>
          <w:rFonts w:asciiTheme="minorBidi" w:hAnsiTheme="minorBidi"/>
          <w:u w:val="single"/>
          <w:rtl/>
        </w:rPr>
        <w:t>רב חסדא</w:t>
      </w:r>
      <w:r w:rsidRPr="00845316">
        <w:rPr>
          <w:rFonts w:asciiTheme="minorBidi" w:hAnsiTheme="minorBidi"/>
          <w:rtl/>
        </w:rPr>
        <w:t xml:space="preserve"> אכשר באחי האח. אמרו ליה: לא שמיע לך הא דרבי ירמיה? אמר להו: לא שמיע לי, כלומר לא סבירא לי. אי הכי היינו אחיו</w:t>
      </w:r>
      <w:r w:rsidRPr="00845316">
        <w:rPr>
          <w:rStyle w:val="ab"/>
          <w:rFonts w:asciiTheme="minorBidi" w:hAnsiTheme="minorBidi"/>
          <w:rtl/>
        </w:rPr>
        <w:footnoteReference w:id="1918"/>
      </w:r>
      <w:r w:rsidRPr="00845316">
        <w:rPr>
          <w:rFonts w:asciiTheme="minorBidi" w:hAnsiTheme="minorBidi"/>
          <w:rtl/>
        </w:rPr>
        <w:t>! תנא</w:t>
      </w:r>
      <w:r w:rsidRPr="00845316">
        <w:rPr>
          <w:rStyle w:val="ab"/>
          <w:rFonts w:asciiTheme="minorBidi" w:hAnsiTheme="minorBidi"/>
          <w:rtl/>
        </w:rPr>
        <w:footnoteReference w:id="1919"/>
      </w:r>
      <w:r w:rsidRPr="00845316">
        <w:rPr>
          <w:rFonts w:asciiTheme="minorBidi" w:hAnsiTheme="minorBidi"/>
          <w:rtl/>
        </w:rPr>
        <w:t xml:space="preserve"> אחיו מן האב, וקתני</w:t>
      </w:r>
      <w:r w:rsidRPr="00845316">
        <w:rPr>
          <w:rStyle w:val="ab"/>
          <w:rFonts w:asciiTheme="minorBidi" w:hAnsiTheme="minorBidi"/>
          <w:rtl/>
        </w:rPr>
        <w:footnoteReference w:id="1920"/>
      </w:r>
      <w:r w:rsidRPr="00845316">
        <w:rPr>
          <w:rFonts w:asciiTheme="minorBidi" w:hAnsiTheme="minorBidi"/>
          <w:rtl/>
        </w:rPr>
        <w:t xml:space="preserve"> אחיו מן האם. </w:t>
      </w:r>
      <w:r w:rsidRPr="00845316">
        <w:rPr>
          <w:rFonts w:asciiTheme="minorBidi" w:hAnsiTheme="minorBidi"/>
          <w:sz w:val="16"/>
          <w:szCs w:val="16"/>
          <w:rtl/>
        </w:rPr>
        <w:t xml:space="preserve">(ואע"ג דאיכא דפליג עליה </w:t>
      </w:r>
      <w:r w:rsidRPr="00845316">
        <w:rPr>
          <w:rFonts w:asciiTheme="minorBidi" w:hAnsiTheme="minorBidi"/>
          <w:sz w:val="12"/>
          <w:szCs w:val="12"/>
          <w:rtl/>
        </w:rPr>
        <w:t xml:space="preserve">{דרב חסדא} </w:t>
      </w:r>
      <w:r w:rsidRPr="00845316">
        <w:rPr>
          <w:rFonts w:asciiTheme="minorBidi" w:hAnsiTheme="minorBidi"/>
          <w:sz w:val="16"/>
          <w:szCs w:val="16"/>
          <w:rtl/>
        </w:rPr>
        <w:t>כוותיה פסקו הפוסקים, ב"י)</w:t>
      </w:r>
    </w:p>
    <w:p w14:paraId="15964D07" w14:textId="77777777" w:rsidR="004B607F" w:rsidRPr="00845316" w:rsidRDefault="004B607F" w:rsidP="004B607F">
      <w:pPr>
        <w:jc w:val="both"/>
        <w:rPr>
          <w:rFonts w:asciiTheme="minorBidi" w:hAnsiTheme="minorBidi"/>
          <w:rtl/>
        </w:rPr>
      </w:pPr>
      <w:r w:rsidRPr="00845316">
        <w:rPr>
          <w:rFonts w:asciiTheme="minorBidi" w:hAnsiTheme="minorBidi"/>
          <w:b/>
          <w:bCs/>
          <w:sz w:val="32"/>
          <w:szCs w:val="28"/>
          <w:u w:val="single"/>
          <w:rtl/>
        </w:rPr>
        <w:t xml:space="preserve">שו"ע: </w:t>
      </w:r>
    </w:p>
    <w:p w14:paraId="4215BC64" w14:textId="77777777" w:rsidR="004B607F" w:rsidRPr="00845316" w:rsidRDefault="004B607F" w:rsidP="004B607F">
      <w:pPr>
        <w:rPr>
          <w:rFonts w:asciiTheme="minorBidi" w:hAnsiTheme="minorBidi"/>
          <w:rtl/>
        </w:rPr>
      </w:pPr>
      <w:r w:rsidRPr="00845316">
        <w:rPr>
          <w:rFonts w:asciiTheme="minorBidi" w:hAnsiTheme="minorBidi"/>
          <w:rtl/>
        </w:rPr>
        <w:t>כל איש שאין אתה מעיד לו מפני שהוא בעל קרובתך הרי אתה מעיד לשאר קרוביו</w:t>
      </w:r>
      <w:r>
        <w:rPr>
          <w:rFonts w:asciiTheme="minorBidi" w:hAnsiTheme="minorBidi" w:hint="cs"/>
          <w:rtl/>
        </w:rPr>
        <w:t>,</w:t>
      </w:r>
      <w:r w:rsidRPr="00845316">
        <w:rPr>
          <w:rFonts w:asciiTheme="minorBidi" w:hAnsiTheme="minorBidi"/>
          <w:rtl/>
        </w:rPr>
        <w:t xml:space="preserve"> כגון בנו ואחיו</w:t>
      </w:r>
      <w:r>
        <w:rPr>
          <w:rFonts w:asciiTheme="minorBidi" w:hAnsiTheme="minorBidi" w:hint="cs"/>
          <w:rtl/>
        </w:rPr>
        <w:t>.</w:t>
      </w:r>
      <w:r w:rsidRPr="00845316">
        <w:rPr>
          <w:rFonts w:asciiTheme="minorBidi" w:hAnsiTheme="minorBidi"/>
          <w:rtl/>
        </w:rPr>
        <w:t xml:space="preserve"> וכן כל אשה שאין אתה מעיד לה מפני שהיא אשת קרובך הרי אתה מעיד לשאר קרוביה. </w:t>
      </w:r>
    </w:p>
    <w:p w14:paraId="56E920AB" w14:textId="77777777" w:rsidR="004B607F" w:rsidRPr="00845316" w:rsidRDefault="004B607F" w:rsidP="004B607F">
      <w:pPr>
        <w:rPr>
          <w:rFonts w:asciiTheme="minorBidi" w:hAnsiTheme="minorBidi"/>
          <w:rtl/>
        </w:rPr>
      </w:pPr>
    </w:p>
    <w:p w14:paraId="48971FE1" w14:textId="77777777" w:rsidR="004B607F" w:rsidRPr="00845316" w:rsidRDefault="004B607F" w:rsidP="004B607F">
      <w:pPr>
        <w:pStyle w:val="2"/>
        <w:rPr>
          <w:rFonts w:asciiTheme="minorBidi" w:hAnsiTheme="minorBidi"/>
          <w:rtl/>
        </w:rPr>
      </w:pPr>
      <w:bookmarkStart w:id="266" w:name="_Toc24883734"/>
      <w:r w:rsidRPr="00845316">
        <w:rPr>
          <w:rFonts w:asciiTheme="minorBidi" w:hAnsiTheme="minorBidi"/>
          <w:rtl/>
        </w:rPr>
        <w:t>סעיף ו: אבי חתן ואבי כלה.</w:t>
      </w:r>
      <w:bookmarkEnd w:id="266"/>
    </w:p>
    <w:p w14:paraId="68AED9D2" w14:textId="77777777" w:rsidR="004B607F" w:rsidRPr="00845316" w:rsidRDefault="004B607F" w:rsidP="004B607F">
      <w:pPr>
        <w:rPr>
          <w:rFonts w:asciiTheme="minorBidi" w:hAnsiTheme="minorBidi"/>
          <w:rtl/>
        </w:rPr>
      </w:pPr>
      <w:r w:rsidRPr="00845316">
        <w:rPr>
          <w:rFonts w:asciiTheme="minorBidi" w:hAnsiTheme="minorBidi"/>
          <w:b/>
          <w:bCs/>
          <w:rtl/>
        </w:rPr>
        <w:t xml:space="preserve">סנהדרין כח ע"ב: </w:t>
      </w:r>
      <w:r w:rsidRPr="00845316">
        <w:rPr>
          <w:rFonts w:asciiTheme="minorBidi" w:hAnsiTheme="minorBidi"/>
          <w:u w:val="single"/>
          <w:rtl/>
        </w:rPr>
        <w:t>אמר רב חסדא</w:t>
      </w:r>
      <w:r w:rsidRPr="00845316">
        <w:rPr>
          <w:rFonts w:asciiTheme="minorBidi" w:hAnsiTheme="minorBidi"/>
          <w:rtl/>
        </w:rPr>
        <w:t>: אבי חתן ואבי כלה</w:t>
      </w:r>
      <w:r w:rsidRPr="00845316">
        <w:rPr>
          <w:rStyle w:val="ab"/>
          <w:rFonts w:asciiTheme="minorBidi" w:hAnsiTheme="minorBidi"/>
          <w:rtl/>
        </w:rPr>
        <w:footnoteReference w:id="1921"/>
      </w:r>
      <w:r w:rsidRPr="00845316">
        <w:rPr>
          <w:rFonts w:asciiTheme="minorBidi" w:hAnsiTheme="minorBidi"/>
          <w:rtl/>
        </w:rPr>
        <w:t xml:space="preserve"> מעידין זה על זה, ולא דמו</w:t>
      </w:r>
      <w:r w:rsidRPr="00845316">
        <w:rPr>
          <w:rStyle w:val="ab"/>
          <w:rFonts w:asciiTheme="minorBidi" w:hAnsiTheme="minorBidi"/>
          <w:rtl/>
        </w:rPr>
        <w:footnoteReference w:id="1922"/>
      </w:r>
      <w:r w:rsidRPr="00845316">
        <w:rPr>
          <w:rFonts w:asciiTheme="minorBidi" w:hAnsiTheme="minorBidi"/>
          <w:rtl/>
        </w:rPr>
        <w:t xml:space="preserve"> להדדי אלא כי אכלא לדנא</w:t>
      </w:r>
      <w:r w:rsidRPr="00845316">
        <w:rPr>
          <w:rStyle w:val="ab"/>
          <w:rFonts w:asciiTheme="minorBidi" w:hAnsiTheme="minorBidi"/>
          <w:rtl/>
        </w:rPr>
        <w:footnoteReference w:id="1923"/>
      </w:r>
      <w:r w:rsidRPr="00845316">
        <w:rPr>
          <w:rFonts w:asciiTheme="minorBidi" w:hAnsiTheme="minorBidi"/>
          <w:rtl/>
        </w:rPr>
        <w:t>.</w:t>
      </w:r>
    </w:p>
    <w:p w14:paraId="16E73A63" w14:textId="77777777" w:rsidR="004B607F" w:rsidRPr="00845316" w:rsidRDefault="004B607F" w:rsidP="004B607F">
      <w:pPr>
        <w:rPr>
          <w:rFonts w:asciiTheme="minorBidi" w:hAnsiTheme="minorBidi"/>
          <w:u w:val="single"/>
          <w:rtl/>
        </w:rPr>
      </w:pPr>
      <w:r w:rsidRPr="00845316">
        <w:rPr>
          <w:rFonts w:asciiTheme="minorBidi" w:hAnsiTheme="minorBidi"/>
          <w:u w:val="single"/>
          <w:rtl/>
        </w:rPr>
        <w:t xml:space="preserve">האם אבי חתן ואבי כלה כשרים </w:t>
      </w:r>
      <w:r w:rsidRPr="00845316">
        <w:rPr>
          <w:rFonts w:asciiTheme="minorBidi" w:hAnsiTheme="minorBidi"/>
          <w:b/>
          <w:bCs/>
          <w:u w:val="single"/>
          <w:rtl/>
        </w:rPr>
        <w:t>לדון</w:t>
      </w:r>
      <w:r w:rsidRPr="00845316">
        <w:rPr>
          <w:rFonts w:asciiTheme="minorBidi" w:hAnsiTheme="minorBidi"/>
          <w:u w:val="single"/>
          <w:rtl/>
        </w:rPr>
        <w:t xml:space="preserve"> זה את זה:</w:t>
      </w:r>
    </w:p>
    <w:p w14:paraId="3FB7AD6C" w14:textId="77777777" w:rsidR="004B607F" w:rsidRPr="00845316" w:rsidRDefault="004B607F" w:rsidP="004B0475">
      <w:pPr>
        <w:pStyle w:val="ac"/>
        <w:numPr>
          <w:ilvl w:val="0"/>
          <w:numId w:val="124"/>
        </w:numPr>
        <w:rPr>
          <w:rFonts w:asciiTheme="minorBidi" w:hAnsiTheme="minorBidi"/>
          <w:rtl/>
        </w:rPr>
      </w:pPr>
      <w:r w:rsidRPr="00845316">
        <w:rPr>
          <w:rFonts w:asciiTheme="minorBidi" w:hAnsiTheme="minorBidi"/>
          <w:rtl/>
        </w:rPr>
        <w:t>בהעי"ט</w:t>
      </w:r>
      <w:r w:rsidRPr="00845316">
        <w:rPr>
          <w:rStyle w:val="ab"/>
          <w:rFonts w:asciiTheme="minorBidi" w:hAnsiTheme="minorBidi"/>
          <w:rtl/>
        </w:rPr>
        <w:footnoteReference w:id="1924"/>
      </w:r>
      <w:r w:rsidRPr="00845316">
        <w:rPr>
          <w:rFonts w:asciiTheme="minorBidi" w:hAnsiTheme="minorBidi"/>
          <w:rtl/>
        </w:rPr>
        <w:t>- אינם כשרים לדון</w:t>
      </w:r>
      <w:r w:rsidRPr="00845316">
        <w:rPr>
          <w:rStyle w:val="ab"/>
          <w:rFonts w:asciiTheme="minorBidi" w:hAnsiTheme="minorBidi"/>
          <w:rtl/>
        </w:rPr>
        <w:footnoteReference w:id="1925"/>
      </w:r>
      <w:r w:rsidRPr="00845316">
        <w:rPr>
          <w:rFonts w:asciiTheme="minorBidi" w:hAnsiTheme="minorBidi"/>
          <w:rtl/>
        </w:rPr>
        <w:t>, ואפילו הוא דיין קבוע יכול בעל דינו לומר אינו מקובל לי.</w:t>
      </w:r>
      <w:r w:rsidRPr="00845316">
        <w:rPr>
          <w:rFonts w:asciiTheme="minorBidi" w:hAnsiTheme="minorBidi"/>
          <w:color w:val="00B0F0"/>
          <w:rtl/>
        </w:rPr>
        <w:t xml:space="preserve"> </w:t>
      </w:r>
    </w:p>
    <w:p w14:paraId="0484F0B0" w14:textId="77777777" w:rsidR="004B607F" w:rsidRPr="00845316" w:rsidRDefault="004B607F" w:rsidP="004B0475">
      <w:pPr>
        <w:pStyle w:val="ac"/>
        <w:numPr>
          <w:ilvl w:val="0"/>
          <w:numId w:val="124"/>
        </w:numPr>
        <w:rPr>
          <w:rFonts w:asciiTheme="minorBidi" w:hAnsiTheme="minorBidi"/>
        </w:rPr>
      </w:pPr>
      <w:r w:rsidRPr="00845316">
        <w:rPr>
          <w:rFonts w:asciiTheme="minorBidi" w:hAnsiTheme="minorBidi"/>
          <w:rtl/>
        </w:rPr>
        <w:t>מהרי"ק</w:t>
      </w:r>
      <w:r w:rsidRPr="00845316">
        <w:rPr>
          <w:rFonts w:asciiTheme="minorBidi" w:hAnsiTheme="minorBidi"/>
          <w:sz w:val="16"/>
          <w:szCs w:val="16"/>
          <w:rtl/>
        </w:rPr>
        <w:t xml:space="preserve"> (שורש כא ענף ג')</w:t>
      </w:r>
      <w:r w:rsidRPr="00845316">
        <w:rPr>
          <w:rFonts w:asciiTheme="minorBidi" w:hAnsiTheme="minorBidi"/>
          <w:rtl/>
        </w:rPr>
        <w:t>- כשרים לדון זה את זה כשם שהם כשרים להעיד זה על זה</w:t>
      </w:r>
      <w:r w:rsidRPr="00845316">
        <w:rPr>
          <w:rStyle w:val="ab"/>
          <w:rFonts w:asciiTheme="minorBidi" w:hAnsiTheme="minorBidi"/>
          <w:rtl/>
        </w:rPr>
        <w:footnoteReference w:id="1926"/>
      </w:r>
      <w:r w:rsidRPr="00845316">
        <w:rPr>
          <w:rFonts w:asciiTheme="minorBidi" w:hAnsiTheme="minorBidi"/>
          <w:rtl/>
        </w:rPr>
        <w:t xml:space="preserve">. </w:t>
      </w:r>
    </w:p>
    <w:p w14:paraId="7B124B5A" w14:textId="77777777" w:rsidR="004B607F" w:rsidRPr="00845316" w:rsidRDefault="004B607F" w:rsidP="004B607F">
      <w:pPr>
        <w:jc w:val="both"/>
        <w:rPr>
          <w:rFonts w:asciiTheme="minorBidi" w:hAnsiTheme="minorBidi"/>
          <w:rtl/>
        </w:rPr>
      </w:pPr>
      <w:r w:rsidRPr="00845316">
        <w:rPr>
          <w:rFonts w:asciiTheme="minorBidi" w:hAnsiTheme="minorBidi"/>
          <w:b/>
          <w:bCs/>
          <w:sz w:val="32"/>
          <w:szCs w:val="28"/>
          <w:u w:val="single"/>
          <w:rtl/>
        </w:rPr>
        <w:t xml:space="preserve">שו"ע: </w:t>
      </w:r>
    </w:p>
    <w:p w14:paraId="07E1BD7A" w14:textId="77777777" w:rsidR="004B607F" w:rsidRPr="00845316" w:rsidRDefault="004B607F" w:rsidP="004B607F">
      <w:pPr>
        <w:rPr>
          <w:rFonts w:asciiTheme="minorBidi" w:hAnsiTheme="minorBidi"/>
          <w:rtl/>
        </w:rPr>
      </w:pPr>
      <w:r w:rsidRPr="00845316">
        <w:rPr>
          <w:rFonts w:asciiTheme="minorBidi" w:hAnsiTheme="minorBidi"/>
          <w:rtl/>
        </w:rPr>
        <w:t>אבי חתן ואבי כלה מעידים זה לזה</w:t>
      </w:r>
      <w:r w:rsidRPr="00845316">
        <w:rPr>
          <w:rStyle w:val="ab"/>
          <w:rFonts w:asciiTheme="minorBidi" w:hAnsiTheme="minorBidi"/>
          <w:rtl/>
        </w:rPr>
        <w:footnoteReference w:id="1927"/>
      </w:r>
      <w:r w:rsidRPr="00845316">
        <w:rPr>
          <w:rFonts w:asciiTheme="minorBidi" w:hAnsiTheme="minorBidi"/>
          <w:rtl/>
        </w:rPr>
        <w:t xml:space="preserve">. </w:t>
      </w:r>
      <w:r w:rsidRPr="00845316">
        <w:rPr>
          <w:rFonts w:asciiTheme="minorBidi" w:hAnsiTheme="minorBidi"/>
          <w:sz w:val="18"/>
          <w:szCs w:val="18"/>
          <w:rtl/>
        </w:rPr>
        <w:t>הגה: וי"א אע</w:t>
      </w:r>
      <w:r>
        <w:rPr>
          <w:rFonts w:asciiTheme="minorBidi" w:hAnsiTheme="minorBidi" w:hint="cs"/>
          <w:sz w:val="18"/>
          <w:szCs w:val="18"/>
          <w:rtl/>
        </w:rPr>
        <w:t>"</w:t>
      </w:r>
      <w:r w:rsidRPr="00845316">
        <w:rPr>
          <w:rFonts w:asciiTheme="minorBidi" w:hAnsiTheme="minorBidi"/>
          <w:sz w:val="18"/>
          <w:szCs w:val="18"/>
          <w:rtl/>
        </w:rPr>
        <w:t>ג דלעדות כשרים, אסורין לדון דהוי ליה כאוהב ושונא, ואפילו הוא דיין קבוע יכול</w:t>
      </w:r>
      <w:r w:rsidRPr="00845316">
        <w:rPr>
          <w:rStyle w:val="ab"/>
          <w:rFonts w:asciiTheme="minorBidi" w:hAnsiTheme="minorBidi"/>
          <w:sz w:val="18"/>
          <w:szCs w:val="18"/>
          <w:rtl/>
        </w:rPr>
        <w:footnoteReference w:id="1928"/>
      </w:r>
      <w:r w:rsidRPr="00845316">
        <w:rPr>
          <w:rFonts w:asciiTheme="minorBidi" w:hAnsiTheme="minorBidi"/>
          <w:sz w:val="18"/>
          <w:szCs w:val="18"/>
          <w:rtl/>
        </w:rPr>
        <w:t xml:space="preserve"> לומר אינו מקובל לי </w:t>
      </w:r>
      <w:r w:rsidRPr="00845316">
        <w:rPr>
          <w:rFonts w:asciiTheme="minorBidi" w:hAnsiTheme="minorBidi"/>
          <w:sz w:val="16"/>
          <w:szCs w:val="16"/>
          <w:rtl/>
        </w:rPr>
        <w:t>(הגמ</w:t>
      </w:r>
      <w:r>
        <w:rPr>
          <w:rFonts w:asciiTheme="minorBidi" w:hAnsiTheme="minorBidi" w:hint="cs"/>
          <w:sz w:val="16"/>
          <w:szCs w:val="16"/>
          <w:rtl/>
        </w:rPr>
        <w:t>"</w:t>
      </w:r>
      <w:r w:rsidRPr="00845316">
        <w:rPr>
          <w:rFonts w:asciiTheme="minorBidi" w:hAnsiTheme="minorBidi"/>
          <w:sz w:val="16"/>
          <w:szCs w:val="16"/>
          <w:rtl/>
        </w:rPr>
        <w:t xml:space="preserve">ר בשם </w:t>
      </w:r>
      <w:r>
        <w:rPr>
          <w:rFonts w:asciiTheme="minorBidi" w:hAnsiTheme="minorBidi" w:hint="cs"/>
          <w:sz w:val="16"/>
          <w:szCs w:val="16"/>
          <w:rtl/>
        </w:rPr>
        <w:t>ב</w:t>
      </w:r>
      <w:r w:rsidRPr="00845316">
        <w:rPr>
          <w:rFonts w:asciiTheme="minorBidi" w:hAnsiTheme="minorBidi"/>
          <w:sz w:val="16"/>
          <w:szCs w:val="16"/>
          <w:rtl/>
        </w:rPr>
        <w:t>העי</w:t>
      </w:r>
      <w:r>
        <w:rPr>
          <w:rFonts w:asciiTheme="minorBidi" w:hAnsiTheme="minorBidi" w:hint="cs"/>
          <w:sz w:val="16"/>
          <w:szCs w:val="16"/>
          <w:rtl/>
        </w:rPr>
        <w:t>"</w:t>
      </w:r>
      <w:r w:rsidRPr="00845316">
        <w:rPr>
          <w:rFonts w:asciiTheme="minorBidi" w:hAnsiTheme="minorBidi"/>
          <w:sz w:val="16"/>
          <w:szCs w:val="16"/>
          <w:rtl/>
        </w:rPr>
        <w:t>ט)</w:t>
      </w:r>
      <w:r w:rsidRPr="00845316">
        <w:rPr>
          <w:rFonts w:asciiTheme="minorBidi" w:hAnsiTheme="minorBidi"/>
          <w:sz w:val="18"/>
          <w:szCs w:val="18"/>
          <w:rtl/>
        </w:rPr>
        <w:t>, ונ"ל דבדיעבד דינו דין</w:t>
      </w:r>
      <w:r w:rsidRPr="00845316">
        <w:rPr>
          <w:rStyle w:val="ab"/>
          <w:rFonts w:asciiTheme="minorBidi" w:hAnsiTheme="minorBidi"/>
          <w:sz w:val="18"/>
          <w:szCs w:val="18"/>
          <w:rtl/>
        </w:rPr>
        <w:footnoteReference w:id="1929"/>
      </w:r>
      <w:r w:rsidRPr="00845316">
        <w:rPr>
          <w:rFonts w:asciiTheme="minorBidi" w:hAnsiTheme="minorBidi"/>
          <w:sz w:val="18"/>
          <w:szCs w:val="18"/>
          <w:rtl/>
        </w:rPr>
        <w:t xml:space="preserve"> </w:t>
      </w:r>
      <w:r w:rsidRPr="00845316">
        <w:rPr>
          <w:rFonts w:asciiTheme="minorBidi" w:hAnsiTheme="minorBidi"/>
          <w:sz w:val="16"/>
          <w:szCs w:val="16"/>
          <w:rtl/>
        </w:rPr>
        <w:t>(</w:t>
      </w:r>
      <w:r>
        <w:rPr>
          <w:rFonts w:asciiTheme="minorBidi" w:hAnsiTheme="minorBidi" w:hint="cs"/>
          <w:sz w:val="16"/>
          <w:szCs w:val="16"/>
          <w:rtl/>
        </w:rPr>
        <w:t>ד"ע בדברי בהעי"ט</w:t>
      </w:r>
      <w:r w:rsidRPr="00845316">
        <w:rPr>
          <w:rFonts w:asciiTheme="minorBidi" w:hAnsiTheme="minorBidi"/>
          <w:sz w:val="16"/>
          <w:szCs w:val="16"/>
          <w:rtl/>
        </w:rPr>
        <w:t>)</w:t>
      </w:r>
      <w:r w:rsidRPr="00845316">
        <w:rPr>
          <w:rFonts w:asciiTheme="minorBidi" w:hAnsiTheme="minorBidi"/>
          <w:sz w:val="18"/>
          <w:szCs w:val="18"/>
          <w:rtl/>
        </w:rPr>
        <w:t xml:space="preserve">. </w:t>
      </w:r>
    </w:p>
    <w:p w14:paraId="7A2E9582" w14:textId="77777777" w:rsidR="004B607F" w:rsidRPr="00845316" w:rsidRDefault="004B607F" w:rsidP="004B607F">
      <w:pPr>
        <w:rPr>
          <w:rFonts w:asciiTheme="minorBidi" w:hAnsiTheme="minorBidi"/>
          <w:u w:val="single"/>
          <w:rtl/>
        </w:rPr>
      </w:pPr>
      <w:r w:rsidRPr="00845316">
        <w:rPr>
          <w:rFonts w:asciiTheme="minorBidi" w:hAnsiTheme="minorBidi"/>
          <w:u w:val="single"/>
          <w:rtl/>
        </w:rPr>
        <w:t xml:space="preserve">האם שני דיינים שאוהבים זה את זה יכולים להצטרף יחד עם שלישי ולדון אחרים: </w:t>
      </w:r>
    </w:p>
    <w:p w14:paraId="682A9229" w14:textId="77777777" w:rsidR="004B607F" w:rsidRPr="00845316" w:rsidRDefault="004B607F" w:rsidP="004B0475">
      <w:pPr>
        <w:pStyle w:val="ac"/>
        <w:numPr>
          <w:ilvl w:val="0"/>
          <w:numId w:val="190"/>
        </w:numPr>
        <w:rPr>
          <w:rFonts w:asciiTheme="minorBidi" w:hAnsiTheme="minorBidi"/>
          <w:rtl/>
        </w:rPr>
      </w:pPr>
      <w:r w:rsidRPr="00845316">
        <w:rPr>
          <w:rFonts w:asciiTheme="minorBidi" w:hAnsiTheme="minorBidi"/>
          <w:rtl/>
        </w:rPr>
        <w:t xml:space="preserve">סמ"ע </w:t>
      </w:r>
      <w:r w:rsidRPr="00845316">
        <w:rPr>
          <w:rFonts w:asciiTheme="minorBidi" w:hAnsiTheme="minorBidi"/>
          <w:sz w:val="16"/>
          <w:szCs w:val="16"/>
          <w:rtl/>
        </w:rPr>
        <w:t>(סקי"ג)</w:t>
      </w:r>
      <w:r w:rsidRPr="00845316">
        <w:rPr>
          <w:rFonts w:asciiTheme="minorBidi" w:hAnsiTheme="minorBidi"/>
          <w:rtl/>
        </w:rPr>
        <w:t>- "שמעתי שיש מחלקים ומפרשים מש"כ מור"ם כאן דאסורין לדון היינו דוקא לדון זה את זה אבל הן רשאין להצטרף יחד עם שלישי לדון אחרים אפילו הם אוהבים גמורים, ודוקא בשני דיינים ששונאים זה את זה קאמרי דאסורין לדון יחד לאחר, כמש"כ הטור והמחבר בסי' ז</w:t>
      </w:r>
      <w:r w:rsidRPr="00845316">
        <w:rPr>
          <w:rFonts w:asciiTheme="minorBidi" w:hAnsiTheme="minorBidi"/>
          <w:sz w:val="16"/>
          <w:szCs w:val="16"/>
          <w:rtl/>
        </w:rPr>
        <w:t xml:space="preserve"> </w:t>
      </w:r>
      <w:r w:rsidRPr="00845316">
        <w:rPr>
          <w:rFonts w:asciiTheme="minorBidi" w:hAnsiTheme="minorBidi"/>
          <w:rtl/>
        </w:rPr>
        <w:t>ס"ח</w:t>
      </w:r>
      <w:r w:rsidRPr="00845316">
        <w:rPr>
          <w:rFonts w:asciiTheme="minorBidi" w:hAnsiTheme="minorBidi"/>
          <w:sz w:val="16"/>
          <w:szCs w:val="16"/>
          <w:rtl/>
        </w:rPr>
        <w:t xml:space="preserve"> (טור סע' י"א ומחבר)</w:t>
      </w:r>
      <w:r w:rsidRPr="00845316">
        <w:rPr>
          <w:rFonts w:asciiTheme="minorBidi" w:hAnsiTheme="minorBidi"/>
          <w:rtl/>
        </w:rPr>
        <w:t>, ולא בשני אוהבים, דמשום אהבה שביניהן אדרבה יודה אחד לחבירו על האמת ויהיו נשמעין זה לזה".</w:t>
      </w:r>
    </w:p>
    <w:p w14:paraId="44362B80" w14:textId="77777777" w:rsidR="004B607F" w:rsidRPr="00845316" w:rsidRDefault="004B607F" w:rsidP="004B607F">
      <w:pPr>
        <w:rPr>
          <w:rFonts w:asciiTheme="minorBidi" w:hAnsiTheme="minorBidi"/>
          <w:rtl/>
        </w:rPr>
      </w:pPr>
    </w:p>
    <w:p w14:paraId="6D2FA9F6" w14:textId="77777777" w:rsidR="004B607F" w:rsidRPr="00845316" w:rsidRDefault="004B607F" w:rsidP="004B607F">
      <w:pPr>
        <w:pStyle w:val="2"/>
        <w:rPr>
          <w:rFonts w:asciiTheme="minorBidi" w:hAnsiTheme="minorBidi"/>
          <w:rtl/>
        </w:rPr>
      </w:pPr>
      <w:bookmarkStart w:id="267" w:name="_Toc24883735"/>
      <w:r w:rsidRPr="00845316">
        <w:rPr>
          <w:rFonts w:asciiTheme="minorBidi" w:hAnsiTheme="minorBidi"/>
          <w:rtl/>
        </w:rPr>
        <w:lastRenderedPageBreak/>
        <w:t>סעיף ז: אחי האח מן האם.</w:t>
      </w:r>
      <w:bookmarkEnd w:id="267"/>
    </w:p>
    <w:p w14:paraId="589821C0" w14:textId="77777777" w:rsidR="004B607F" w:rsidRPr="00845316" w:rsidRDefault="004B607F" w:rsidP="004B607F">
      <w:pPr>
        <w:rPr>
          <w:rFonts w:asciiTheme="minorBidi" w:hAnsiTheme="minorBidi"/>
          <w:rtl/>
        </w:rPr>
      </w:pPr>
      <w:r w:rsidRPr="00845316">
        <w:rPr>
          <w:rFonts w:asciiTheme="minorBidi" w:hAnsiTheme="minorBidi"/>
          <w:b/>
          <w:bCs/>
          <w:rtl/>
        </w:rPr>
        <w:t xml:space="preserve">סנהדרין כז ע"ב: </w:t>
      </w:r>
      <w:r w:rsidRPr="00845316">
        <w:rPr>
          <w:rFonts w:asciiTheme="minorBidi" w:hAnsiTheme="minorBidi"/>
          <w:u w:val="double"/>
          <w:rtl/>
        </w:rPr>
        <w:t>משנה</w:t>
      </w:r>
      <w:r w:rsidRPr="00845316">
        <w:rPr>
          <w:rFonts w:asciiTheme="minorBidi" w:hAnsiTheme="minorBidi"/>
          <w:rtl/>
        </w:rPr>
        <w:t xml:space="preserve">: ואלו הן הקרובין: אחיו... ובעל אמו... הן ובניהן וחתניהן...      </w:t>
      </w:r>
      <w:r w:rsidRPr="00845316">
        <w:rPr>
          <w:rFonts w:asciiTheme="minorBidi" w:hAnsiTheme="minorBidi"/>
          <w:u w:val="double"/>
          <w:rtl/>
        </w:rPr>
        <w:t>גמ'</w:t>
      </w:r>
      <w:r w:rsidRPr="00845316">
        <w:rPr>
          <w:rFonts w:asciiTheme="minorBidi" w:hAnsiTheme="minorBidi"/>
          <w:sz w:val="16"/>
          <w:szCs w:val="16"/>
          <w:u w:val="double"/>
          <w:rtl/>
        </w:rPr>
        <w:t>(כח:</w:t>
      </w:r>
      <w:r w:rsidRPr="00845316">
        <w:rPr>
          <w:rFonts w:asciiTheme="minorBidi" w:hAnsiTheme="minorBidi"/>
          <w:sz w:val="16"/>
          <w:szCs w:val="16"/>
          <w:u w:val="double"/>
        </w:rPr>
        <w:t>(</w:t>
      </w:r>
      <w:r w:rsidRPr="00845316">
        <w:rPr>
          <w:rFonts w:asciiTheme="minorBidi" w:hAnsiTheme="minorBidi"/>
          <w:u w:val="double"/>
          <w:rtl/>
        </w:rPr>
        <w:t>:</w:t>
      </w:r>
      <w:r w:rsidRPr="00845316">
        <w:rPr>
          <w:rFonts w:asciiTheme="minorBidi" w:hAnsiTheme="minorBidi"/>
          <w:rtl/>
        </w:rPr>
        <w:t xml:space="preserve"> ובעל אמו הוא ובנו וחתנו. בנו - היינו אחיו</w:t>
      </w:r>
      <w:r w:rsidRPr="00845316">
        <w:rPr>
          <w:rStyle w:val="ab"/>
          <w:rFonts w:asciiTheme="minorBidi" w:hAnsiTheme="minorBidi"/>
          <w:rtl/>
        </w:rPr>
        <w:footnoteReference w:id="1930"/>
      </w:r>
      <w:r w:rsidRPr="00845316">
        <w:rPr>
          <w:rFonts w:asciiTheme="minorBidi" w:hAnsiTheme="minorBidi"/>
          <w:rtl/>
        </w:rPr>
        <w:t xml:space="preserve">! </w:t>
      </w:r>
      <w:r w:rsidRPr="00845316">
        <w:rPr>
          <w:rFonts w:asciiTheme="minorBidi" w:hAnsiTheme="minorBidi"/>
          <w:u w:val="single"/>
          <w:rtl/>
        </w:rPr>
        <w:t>אמר רבי ירמיה:</w:t>
      </w:r>
      <w:r w:rsidRPr="00845316">
        <w:rPr>
          <w:rFonts w:asciiTheme="minorBidi" w:hAnsiTheme="minorBidi"/>
          <w:rtl/>
        </w:rPr>
        <w:t xml:space="preserve"> לא נצרכה אלא לאחי האח</w:t>
      </w:r>
      <w:r w:rsidRPr="00845316">
        <w:rPr>
          <w:rStyle w:val="ab"/>
          <w:rFonts w:asciiTheme="minorBidi" w:hAnsiTheme="minorBidi"/>
          <w:rtl/>
        </w:rPr>
        <w:footnoteReference w:id="1931"/>
      </w:r>
      <w:r w:rsidRPr="00845316">
        <w:rPr>
          <w:rFonts w:asciiTheme="minorBidi" w:hAnsiTheme="minorBidi"/>
          <w:rtl/>
        </w:rPr>
        <w:t xml:space="preserve">. </w:t>
      </w:r>
      <w:r w:rsidRPr="00845316">
        <w:rPr>
          <w:rFonts w:asciiTheme="minorBidi" w:hAnsiTheme="minorBidi"/>
          <w:u w:val="single"/>
          <w:rtl/>
        </w:rPr>
        <w:t>רב חסדא</w:t>
      </w:r>
      <w:r w:rsidRPr="00845316">
        <w:rPr>
          <w:rFonts w:asciiTheme="minorBidi" w:hAnsiTheme="minorBidi"/>
          <w:rtl/>
        </w:rPr>
        <w:t xml:space="preserve"> אכשר באחי האח. אמרו ליה: לא שמיע לך הא דרבי ירמיה? אמר להו: לא שמיע לי, כלומר לא סבירא לי. אי הכי היינו אחיו</w:t>
      </w:r>
      <w:r w:rsidRPr="00845316">
        <w:rPr>
          <w:rStyle w:val="ab"/>
          <w:rFonts w:asciiTheme="minorBidi" w:hAnsiTheme="minorBidi"/>
          <w:rtl/>
        </w:rPr>
        <w:footnoteReference w:id="1932"/>
      </w:r>
      <w:r w:rsidRPr="00845316">
        <w:rPr>
          <w:rFonts w:asciiTheme="minorBidi" w:hAnsiTheme="minorBidi"/>
          <w:rtl/>
        </w:rPr>
        <w:t>! תנא</w:t>
      </w:r>
      <w:r w:rsidRPr="00845316">
        <w:rPr>
          <w:rStyle w:val="ab"/>
          <w:rFonts w:asciiTheme="minorBidi" w:hAnsiTheme="minorBidi"/>
          <w:rtl/>
        </w:rPr>
        <w:footnoteReference w:id="1933"/>
      </w:r>
      <w:r w:rsidRPr="00845316">
        <w:rPr>
          <w:rFonts w:asciiTheme="minorBidi" w:hAnsiTheme="minorBidi"/>
          <w:rtl/>
        </w:rPr>
        <w:t xml:space="preserve"> אחיו מן האב, וקתני</w:t>
      </w:r>
      <w:r w:rsidRPr="00845316">
        <w:rPr>
          <w:rStyle w:val="ab"/>
          <w:rFonts w:asciiTheme="minorBidi" w:hAnsiTheme="minorBidi"/>
          <w:rtl/>
        </w:rPr>
        <w:footnoteReference w:id="1934"/>
      </w:r>
      <w:r w:rsidRPr="00845316">
        <w:rPr>
          <w:rFonts w:asciiTheme="minorBidi" w:hAnsiTheme="minorBidi"/>
          <w:rtl/>
        </w:rPr>
        <w:t xml:space="preserve"> אחיו מן האם.</w:t>
      </w:r>
      <w:r w:rsidRPr="00845316">
        <w:rPr>
          <w:rFonts w:asciiTheme="minorBidi" w:hAnsiTheme="minorBidi"/>
          <w:sz w:val="16"/>
          <w:szCs w:val="16"/>
          <w:rtl/>
        </w:rPr>
        <w:t xml:space="preserve"> (ואע"ג דאיכא דפליג עליה </w:t>
      </w:r>
      <w:r w:rsidRPr="00845316">
        <w:rPr>
          <w:rFonts w:asciiTheme="minorBidi" w:hAnsiTheme="minorBidi"/>
          <w:sz w:val="12"/>
          <w:szCs w:val="12"/>
          <w:rtl/>
        </w:rPr>
        <w:t xml:space="preserve">{דרב חסדא} </w:t>
      </w:r>
      <w:r w:rsidRPr="00845316">
        <w:rPr>
          <w:rFonts w:asciiTheme="minorBidi" w:hAnsiTheme="minorBidi"/>
          <w:sz w:val="16"/>
          <w:szCs w:val="16"/>
          <w:rtl/>
        </w:rPr>
        <w:t>כוותיה פסקו הפוסקים, ב"י)</w:t>
      </w:r>
    </w:p>
    <w:p w14:paraId="5F53A56E" w14:textId="77777777" w:rsidR="004B607F" w:rsidRPr="00845316" w:rsidRDefault="004B607F" w:rsidP="004B607F">
      <w:pPr>
        <w:jc w:val="both"/>
        <w:rPr>
          <w:rFonts w:asciiTheme="minorBidi" w:hAnsiTheme="minorBidi"/>
          <w:rtl/>
        </w:rPr>
      </w:pPr>
      <w:r w:rsidRPr="00845316">
        <w:rPr>
          <w:rFonts w:asciiTheme="minorBidi" w:hAnsiTheme="minorBidi"/>
          <w:rtl/>
        </w:rPr>
        <w:t xml:space="preserve"> </w:t>
      </w:r>
      <w:r w:rsidRPr="00845316">
        <w:rPr>
          <w:rFonts w:asciiTheme="minorBidi" w:hAnsiTheme="minorBidi"/>
          <w:b/>
          <w:bCs/>
          <w:sz w:val="32"/>
          <w:szCs w:val="28"/>
          <w:u w:val="single"/>
          <w:rtl/>
        </w:rPr>
        <w:t xml:space="preserve">שו"ע: </w:t>
      </w:r>
    </w:p>
    <w:p w14:paraId="26FE4F45" w14:textId="77777777" w:rsidR="004B607F" w:rsidRPr="00845316" w:rsidRDefault="004B607F" w:rsidP="004B607F">
      <w:pPr>
        <w:rPr>
          <w:rFonts w:asciiTheme="minorBidi" w:hAnsiTheme="minorBidi"/>
          <w:rtl/>
        </w:rPr>
      </w:pPr>
      <w:r w:rsidRPr="00845316">
        <w:rPr>
          <w:rFonts w:asciiTheme="minorBidi" w:hAnsiTheme="minorBidi"/>
          <w:rtl/>
        </w:rPr>
        <w:t>אחי האח מן האם</w:t>
      </w:r>
      <w:r w:rsidRPr="00845316">
        <w:rPr>
          <w:rStyle w:val="ab"/>
          <w:rFonts w:asciiTheme="minorBidi" w:hAnsiTheme="minorBidi"/>
          <w:rtl/>
        </w:rPr>
        <w:footnoteReference w:id="1935"/>
      </w:r>
      <w:r w:rsidRPr="00845316">
        <w:rPr>
          <w:rFonts w:asciiTheme="minorBidi" w:hAnsiTheme="minorBidi"/>
          <w:rtl/>
        </w:rPr>
        <w:t xml:space="preserve"> מעידים זה לזה שהרי אין ביניהם קורבה כלל. </w:t>
      </w:r>
    </w:p>
    <w:p w14:paraId="0533C989" w14:textId="77777777" w:rsidR="004B607F" w:rsidRPr="00845316" w:rsidRDefault="004B607F" w:rsidP="004B607F">
      <w:pPr>
        <w:rPr>
          <w:rFonts w:asciiTheme="minorBidi" w:hAnsiTheme="minorBidi"/>
          <w:rtl/>
        </w:rPr>
      </w:pPr>
    </w:p>
    <w:p w14:paraId="2EC73A7A" w14:textId="77777777" w:rsidR="004B607F" w:rsidRPr="00845316" w:rsidRDefault="004B607F" w:rsidP="004B607F">
      <w:pPr>
        <w:pStyle w:val="2"/>
        <w:rPr>
          <w:rFonts w:asciiTheme="minorBidi" w:hAnsiTheme="minorBidi"/>
          <w:rtl/>
        </w:rPr>
      </w:pPr>
      <w:bookmarkStart w:id="268" w:name="_Toc24883736"/>
      <w:r w:rsidRPr="00845316">
        <w:rPr>
          <w:rFonts w:asciiTheme="minorBidi" w:hAnsiTheme="minorBidi"/>
          <w:rtl/>
        </w:rPr>
        <w:t>סעיף ח: אשתו וקרוביה.</w:t>
      </w:r>
      <w:bookmarkEnd w:id="268"/>
    </w:p>
    <w:p w14:paraId="2C1B2C85" w14:textId="77777777" w:rsidR="004B607F" w:rsidRPr="00845316" w:rsidRDefault="004B607F" w:rsidP="004B607F">
      <w:pPr>
        <w:rPr>
          <w:rFonts w:asciiTheme="minorBidi" w:hAnsiTheme="minorBidi"/>
          <w:rtl/>
        </w:rPr>
      </w:pPr>
      <w:r w:rsidRPr="00845316">
        <w:rPr>
          <w:rFonts w:asciiTheme="minorBidi" w:hAnsiTheme="minorBidi"/>
          <w:b/>
          <w:bCs/>
          <w:rtl/>
        </w:rPr>
        <w:t xml:space="preserve">סנהדרין כז ע"ב: </w:t>
      </w:r>
      <w:r w:rsidRPr="00845316">
        <w:rPr>
          <w:rFonts w:asciiTheme="minorBidi" w:hAnsiTheme="minorBidi"/>
          <w:u w:val="double"/>
          <w:rtl/>
        </w:rPr>
        <w:t>משנה</w:t>
      </w:r>
      <w:r w:rsidRPr="00845316">
        <w:rPr>
          <w:rFonts w:asciiTheme="minorBidi" w:hAnsiTheme="minorBidi"/>
          <w:rtl/>
        </w:rPr>
        <w:t>: ואלו הן הקרובין... וחמיו... וחורגו</w:t>
      </w:r>
      <w:r w:rsidRPr="00845316">
        <w:rPr>
          <w:rStyle w:val="ab"/>
          <w:rFonts w:asciiTheme="minorBidi" w:hAnsiTheme="minorBidi"/>
          <w:rtl/>
        </w:rPr>
        <w:footnoteReference w:id="1936"/>
      </w:r>
      <w:r w:rsidRPr="00845316">
        <w:rPr>
          <w:rFonts w:asciiTheme="minorBidi" w:hAnsiTheme="minorBidi"/>
          <w:rtl/>
        </w:rPr>
        <w:t xml:space="preserve"> לבדו...</w:t>
      </w:r>
    </w:p>
    <w:p w14:paraId="2987A7C2" w14:textId="77777777" w:rsidR="004B607F" w:rsidRPr="00845316" w:rsidRDefault="004B607F" w:rsidP="004B607F">
      <w:pPr>
        <w:rPr>
          <w:rFonts w:asciiTheme="minorBidi" w:hAnsiTheme="minorBidi"/>
          <w:sz w:val="16"/>
          <w:szCs w:val="16"/>
          <w:rtl/>
        </w:rPr>
      </w:pPr>
      <w:r w:rsidRPr="00845316">
        <w:rPr>
          <w:rFonts w:asciiTheme="minorBidi" w:hAnsiTheme="minorBidi"/>
          <w:b/>
          <w:bCs/>
          <w:rtl/>
        </w:rPr>
        <w:t xml:space="preserve">סנהדרין כח ע"ב: </w:t>
      </w:r>
      <w:r w:rsidRPr="00845316">
        <w:rPr>
          <w:rFonts w:asciiTheme="minorBidi" w:hAnsiTheme="minorBidi"/>
          <w:rtl/>
        </w:rPr>
        <w:t>מכלל דאשה כבעלה.</w:t>
      </w:r>
      <w:r w:rsidRPr="00845316">
        <w:rPr>
          <w:rFonts w:asciiTheme="minorBidi" w:hAnsiTheme="minorBidi"/>
          <w:sz w:val="16"/>
          <w:szCs w:val="16"/>
          <w:rtl/>
        </w:rPr>
        <w:t xml:space="preserve"> (ואסיקנא דאשה כבעלה ובעל כאשתו)</w:t>
      </w:r>
    </w:p>
    <w:p w14:paraId="543B9537" w14:textId="77777777" w:rsidR="004B607F" w:rsidRPr="00845316" w:rsidRDefault="004B607F" w:rsidP="004B607F">
      <w:pPr>
        <w:rPr>
          <w:rFonts w:asciiTheme="minorBidi" w:hAnsiTheme="minorBidi"/>
          <w:rtl/>
        </w:rPr>
      </w:pPr>
      <w:r w:rsidRPr="00845316">
        <w:rPr>
          <w:rFonts w:asciiTheme="minorBidi" w:hAnsiTheme="minorBidi"/>
          <w:b/>
          <w:bCs/>
          <w:rtl/>
        </w:rPr>
        <w:t xml:space="preserve">ירושלמי </w:t>
      </w:r>
      <w:r w:rsidRPr="00845316">
        <w:rPr>
          <w:rFonts w:asciiTheme="minorBidi" w:hAnsiTheme="minorBidi"/>
          <w:b/>
          <w:bCs/>
          <w:sz w:val="16"/>
          <w:szCs w:val="16"/>
          <w:rtl/>
        </w:rPr>
        <w:t xml:space="preserve">(וילנא) </w:t>
      </w:r>
      <w:r w:rsidRPr="00845316">
        <w:rPr>
          <w:rFonts w:asciiTheme="minorBidi" w:hAnsiTheme="minorBidi"/>
          <w:b/>
          <w:bCs/>
          <w:rtl/>
        </w:rPr>
        <w:t>סנהדרין פ"ג ה"ו:</w:t>
      </w:r>
      <w:r w:rsidRPr="00845316">
        <w:rPr>
          <w:rFonts w:asciiTheme="minorBidi" w:hAnsiTheme="minorBidi"/>
          <w:rtl/>
        </w:rPr>
        <w:t xml:space="preserve"> תנינן חורגו לבדו. אשת חורגו מהו, בעל חורגתו מהו? אשה כבעלה ובעל כאשתו וקמת אשת חורגו כחורגו והבעל כאשה. </w:t>
      </w:r>
    </w:p>
    <w:p w14:paraId="0CD853B9" w14:textId="77777777" w:rsidR="004B607F" w:rsidRPr="00845316" w:rsidRDefault="004B607F" w:rsidP="004B607F">
      <w:pPr>
        <w:jc w:val="both"/>
        <w:rPr>
          <w:rFonts w:asciiTheme="minorBidi" w:hAnsiTheme="minorBidi"/>
          <w:rtl/>
        </w:rPr>
      </w:pPr>
      <w:r w:rsidRPr="00845316">
        <w:rPr>
          <w:rFonts w:asciiTheme="minorBidi" w:hAnsiTheme="minorBidi"/>
          <w:b/>
          <w:bCs/>
          <w:sz w:val="32"/>
          <w:szCs w:val="28"/>
          <w:u w:val="single"/>
          <w:rtl/>
        </w:rPr>
        <w:t xml:space="preserve">שו"ע: </w:t>
      </w:r>
    </w:p>
    <w:p w14:paraId="62109388" w14:textId="77777777" w:rsidR="004B607F" w:rsidRPr="00845316" w:rsidRDefault="004B607F" w:rsidP="004B607F">
      <w:pPr>
        <w:rPr>
          <w:rFonts w:asciiTheme="minorBidi" w:hAnsiTheme="minorBidi"/>
          <w:sz w:val="16"/>
          <w:szCs w:val="16"/>
          <w:rtl/>
        </w:rPr>
      </w:pPr>
      <w:r w:rsidRPr="00845316">
        <w:rPr>
          <w:rFonts w:asciiTheme="minorBidi" w:hAnsiTheme="minorBidi"/>
          <w:rtl/>
        </w:rPr>
        <w:t xml:space="preserve">האיש עם אשתו </w:t>
      </w:r>
      <w:r w:rsidRPr="00845316">
        <w:rPr>
          <w:rStyle w:val="ab"/>
          <w:rFonts w:asciiTheme="minorBidi" w:hAnsiTheme="minorBidi"/>
          <w:rtl/>
        </w:rPr>
        <w:footnoteReference w:id="1937"/>
      </w:r>
      <w:r w:rsidRPr="00845316">
        <w:rPr>
          <w:rFonts w:asciiTheme="minorBidi" w:hAnsiTheme="minorBidi"/>
          <w:rtl/>
        </w:rPr>
        <w:t xml:space="preserve">ראשון בראשון, לפיכך אינו מעיד לא לבנה, ולא לאשת בנה, ולא לבתה, ולא לבעל בתה, ולא לאביה, ולא לאמה, ולא לבעל אמה, ולא לאשת אביה. </w:t>
      </w:r>
      <w:r w:rsidRPr="00845316">
        <w:rPr>
          <w:rFonts w:asciiTheme="minorBidi" w:hAnsiTheme="minorBidi"/>
          <w:sz w:val="16"/>
          <w:szCs w:val="16"/>
          <w:rtl/>
        </w:rPr>
        <w:t>{רמב"ם}</w:t>
      </w:r>
    </w:p>
    <w:p w14:paraId="30F8B282" w14:textId="77777777" w:rsidR="004B607F" w:rsidRPr="00845316" w:rsidRDefault="004B607F" w:rsidP="004B607F">
      <w:pPr>
        <w:rPr>
          <w:rFonts w:asciiTheme="minorBidi" w:hAnsiTheme="minorBidi"/>
          <w:u w:val="single"/>
          <w:rtl/>
        </w:rPr>
      </w:pPr>
      <w:r w:rsidRPr="00845316">
        <w:rPr>
          <w:rFonts w:asciiTheme="minorBidi" w:hAnsiTheme="minorBidi"/>
          <w:u w:val="single"/>
          <w:rtl/>
        </w:rPr>
        <w:t>כשאומרים- "אשה כבעלה ובעל כאשתו" הכוונה שהם ראשון בראשון או שהם כגוף אחד ממש:</w:t>
      </w:r>
    </w:p>
    <w:p w14:paraId="4FE4E07F" w14:textId="77777777" w:rsidR="004B607F" w:rsidRPr="00845316" w:rsidRDefault="004B607F" w:rsidP="004B0475">
      <w:pPr>
        <w:pStyle w:val="ac"/>
        <w:numPr>
          <w:ilvl w:val="0"/>
          <w:numId w:val="125"/>
        </w:numPr>
        <w:rPr>
          <w:rFonts w:asciiTheme="minorBidi" w:hAnsiTheme="minorBidi"/>
        </w:rPr>
      </w:pPr>
      <w:r w:rsidRPr="00845316">
        <w:rPr>
          <w:rFonts w:asciiTheme="minorBidi" w:hAnsiTheme="minorBidi"/>
          <w:rtl/>
        </w:rPr>
        <w:t xml:space="preserve">רמב"ם </w:t>
      </w:r>
      <w:r w:rsidRPr="00845316">
        <w:rPr>
          <w:rFonts w:asciiTheme="minorBidi" w:hAnsiTheme="minorBidi"/>
          <w:sz w:val="16"/>
          <w:szCs w:val="16"/>
          <w:rtl/>
        </w:rPr>
        <w:t>(פהמ"ש</w:t>
      </w:r>
      <w:r w:rsidRPr="00845316">
        <w:rPr>
          <w:rStyle w:val="ab"/>
          <w:rFonts w:asciiTheme="minorBidi" w:hAnsiTheme="minorBidi"/>
          <w:rtl/>
        </w:rPr>
        <w:footnoteReference w:id="1938"/>
      </w:r>
      <w:r w:rsidRPr="00845316">
        <w:rPr>
          <w:rFonts w:asciiTheme="minorBidi" w:hAnsiTheme="minorBidi"/>
          <w:sz w:val="16"/>
          <w:szCs w:val="16"/>
          <w:rtl/>
        </w:rPr>
        <w:t xml:space="preserve">) </w:t>
      </w:r>
      <w:r w:rsidRPr="00845316">
        <w:rPr>
          <w:rFonts w:asciiTheme="minorBidi" w:hAnsiTheme="minorBidi"/>
          <w:rtl/>
        </w:rPr>
        <w:t>מאירי</w:t>
      </w:r>
      <w:r w:rsidRPr="00845316">
        <w:rPr>
          <w:rStyle w:val="ab"/>
          <w:rFonts w:asciiTheme="minorBidi" w:hAnsiTheme="minorBidi"/>
          <w:rtl/>
        </w:rPr>
        <w:footnoteReference w:id="1939"/>
      </w:r>
      <w:r w:rsidRPr="00845316">
        <w:rPr>
          <w:rFonts w:asciiTheme="minorBidi" w:hAnsiTheme="minorBidi"/>
          <w:rtl/>
        </w:rPr>
        <w:t xml:space="preserve"> ט"ז רעק"א אורים ונתיבות</w:t>
      </w:r>
      <w:r w:rsidRPr="00845316">
        <w:rPr>
          <w:rStyle w:val="ab"/>
          <w:rFonts w:asciiTheme="minorBidi" w:hAnsiTheme="minorBidi"/>
          <w:rtl/>
        </w:rPr>
        <w:footnoteReference w:id="1940"/>
      </w:r>
      <w:r w:rsidRPr="00845316">
        <w:rPr>
          <w:rFonts w:asciiTheme="minorBidi" w:hAnsiTheme="minorBidi"/>
          <w:rtl/>
        </w:rPr>
        <w:t>- אחד ממש</w:t>
      </w:r>
      <w:r w:rsidRPr="00845316">
        <w:rPr>
          <w:rStyle w:val="ab"/>
          <w:rFonts w:asciiTheme="minorBidi" w:hAnsiTheme="minorBidi"/>
          <w:rtl/>
        </w:rPr>
        <w:footnoteReference w:id="1941"/>
      </w:r>
      <w:r w:rsidRPr="00845316">
        <w:rPr>
          <w:rFonts w:asciiTheme="minorBidi" w:hAnsiTheme="minorBidi"/>
          <w:rtl/>
        </w:rPr>
        <w:t>.</w:t>
      </w:r>
    </w:p>
    <w:p w14:paraId="1A85359D" w14:textId="77777777" w:rsidR="004B607F" w:rsidRPr="00845316" w:rsidRDefault="004B607F" w:rsidP="004B0475">
      <w:pPr>
        <w:pStyle w:val="ac"/>
        <w:numPr>
          <w:ilvl w:val="0"/>
          <w:numId w:val="125"/>
        </w:numPr>
        <w:rPr>
          <w:rFonts w:asciiTheme="minorBidi" w:hAnsiTheme="minorBidi"/>
        </w:rPr>
      </w:pPr>
      <w:r w:rsidRPr="00845316">
        <w:rPr>
          <w:rFonts w:asciiTheme="minorBidi" w:hAnsiTheme="minorBidi"/>
          <w:rtl/>
        </w:rPr>
        <w:t xml:space="preserve">ב"ח סמ"ע </w:t>
      </w:r>
      <w:r w:rsidRPr="00845316">
        <w:rPr>
          <w:rFonts w:asciiTheme="minorBidi" w:hAnsiTheme="minorBidi"/>
          <w:sz w:val="16"/>
          <w:szCs w:val="16"/>
          <w:rtl/>
        </w:rPr>
        <w:t xml:space="preserve">(סקט"ו) </w:t>
      </w:r>
      <w:r w:rsidRPr="00845316">
        <w:rPr>
          <w:rFonts w:asciiTheme="minorBidi" w:hAnsiTheme="minorBidi"/>
          <w:rtl/>
        </w:rPr>
        <w:t xml:space="preserve">גר"א </w:t>
      </w:r>
      <w:r w:rsidRPr="00845316">
        <w:rPr>
          <w:rFonts w:asciiTheme="minorBidi" w:hAnsiTheme="minorBidi"/>
          <w:sz w:val="16"/>
          <w:szCs w:val="16"/>
          <w:rtl/>
        </w:rPr>
        <w:t>(סקכ"ג)</w:t>
      </w:r>
      <w:r w:rsidRPr="00845316">
        <w:rPr>
          <w:rFonts w:asciiTheme="minorBidi" w:hAnsiTheme="minorBidi"/>
          <w:rtl/>
        </w:rPr>
        <w:t xml:space="preserve"> ובאה"ט </w:t>
      </w:r>
      <w:r w:rsidRPr="00845316">
        <w:rPr>
          <w:rFonts w:asciiTheme="minorBidi" w:hAnsiTheme="minorBidi"/>
          <w:sz w:val="16"/>
          <w:szCs w:val="16"/>
          <w:rtl/>
        </w:rPr>
        <w:t>(סק"ו)</w:t>
      </w:r>
      <w:r w:rsidRPr="00845316">
        <w:rPr>
          <w:rFonts w:asciiTheme="minorBidi" w:hAnsiTheme="minorBidi"/>
          <w:rtl/>
        </w:rPr>
        <w:t>- ראשון בראשון.</w:t>
      </w:r>
    </w:p>
    <w:p w14:paraId="03669AD6" w14:textId="77777777" w:rsidR="004B607F" w:rsidRPr="00845316" w:rsidRDefault="004B607F" w:rsidP="004B607F">
      <w:pPr>
        <w:ind w:left="360"/>
        <w:rPr>
          <w:rFonts w:asciiTheme="minorBidi" w:hAnsiTheme="minorBidi"/>
          <w:sz w:val="16"/>
          <w:szCs w:val="16"/>
          <w:rtl/>
        </w:rPr>
      </w:pPr>
      <w:r w:rsidRPr="00845316">
        <w:rPr>
          <w:rFonts w:asciiTheme="minorBidi" w:hAnsiTheme="minorBidi"/>
          <w:u w:val="dotted"/>
          <w:rtl/>
        </w:rPr>
        <w:t>האם אדם כשר להעיד לאבי אבי אשתו:</w:t>
      </w:r>
      <w:r w:rsidRPr="00845316">
        <w:rPr>
          <w:rFonts w:asciiTheme="minorBidi" w:hAnsiTheme="minorBidi"/>
          <w:rtl/>
        </w:rPr>
        <w:t xml:space="preserve">   </w:t>
      </w:r>
      <w:r w:rsidRPr="00845316">
        <w:rPr>
          <w:rFonts w:asciiTheme="minorBidi" w:hAnsiTheme="minorBidi"/>
          <w:sz w:val="16"/>
          <w:szCs w:val="16"/>
          <w:rtl/>
        </w:rPr>
        <w:t>(תומים סק"ה)</w:t>
      </w:r>
    </w:p>
    <w:p w14:paraId="124EAC35" w14:textId="77777777" w:rsidR="004B607F" w:rsidRPr="00845316" w:rsidRDefault="004B607F" w:rsidP="004B0475">
      <w:pPr>
        <w:pStyle w:val="ac"/>
        <w:numPr>
          <w:ilvl w:val="0"/>
          <w:numId w:val="126"/>
        </w:numPr>
        <w:rPr>
          <w:rFonts w:asciiTheme="minorBidi" w:hAnsiTheme="minorBidi"/>
        </w:rPr>
      </w:pPr>
      <w:r w:rsidRPr="00845316">
        <w:rPr>
          <w:rFonts w:asciiTheme="minorBidi" w:hAnsiTheme="minorBidi"/>
          <w:rtl/>
        </w:rPr>
        <w:lastRenderedPageBreak/>
        <w:t>מהרש"ל</w:t>
      </w:r>
      <w:r w:rsidRPr="00845316">
        <w:rPr>
          <w:rFonts w:asciiTheme="minorBidi" w:hAnsiTheme="minorBidi"/>
          <w:sz w:val="16"/>
          <w:szCs w:val="16"/>
          <w:rtl/>
        </w:rPr>
        <w:t xml:space="preserve"> (סי' פ)</w:t>
      </w:r>
      <w:r w:rsidRPr="00845316">
        <w:rPr>
          <w:rFonts w:asciiTheme="minorBidi" w:hAnsiTheme="minorBidi"/>
          <w:rtl/>
        </w:rPr>
        <w:t xml:space="preserve"> וב"ח</w:t>
      </w:r>
      <w:r w:rsidRPr="00845316">
        <w:rPr>
          <w:rFonts w:asciiTheme="minorBidi" w:hAnsiTheme="minorBidi"/>
          <w:sz w:val="16"/>
          <w:szCs w:val="16"/>
          <w:rtl/>
        </w:rPr>
        <w:t xml:space="preserve"> (סי"ח)</w:t>
      </w:r>
      <w:r w:rsidRPr="00845316">
        <w:rPr>
          <w:rFonts w:asciiTheme="minorBidi" w:hAnsiTheme="minorBidi"/>
          <w:rtl/>
        </w:rPr>
        <w:t>- כשר להעיד אפילו לדעת ר"ת והרא"ש</w:t>
      </w:r>
      <w:r w:rsidRPr="00845316">
        <w:rPr>
          <w:rStyle w:val="ab"/>
          <w:rFonts w:asciiTheme="minorBidi" w:hAnsiTheme="minorBidi"/>
          <w:rtl/>
        </w:rPr>
        <w:footnoteReference w:id="1942"/>
      </w:r>
      <w:r w:rsidRPr="00845316">
        <w:rPr>
          <w:rFonts w:asciiTheme="minorBidi" w:hAnsiTheme="minorBidi"/>
          <w:rtl/>
        </w:rPr>
        <w:t xml:space="preserve">. </w:t>
      </w:r>
    </w:p>
    <w:p w14:paraId="6F312406" w14:textId="77777777" w:rsidR="004B607F" w:rsidRPr="00845316" w:rsidRDefault="004B607F" w:rsidP="004B0475">
      <w:pPr>
        <w:pStyle w:val="ac"/>
        <w:numPr>
          <w:ilvl w:val="0"/>
          <w:numId w:val="126"/>
        </w:numPr>
        <w:rPr>
          <w:rFonts w:asciiTheme="minorBidi" w:hAnsiTheme="minorBidi"/>
          <w:u w:val="single"/>
        </w:rPr>
      </w:pPr>
      <w:r w:rsidRPr="00845316">
        <w:rPr>
          <w:rFonts w:asciiTheme="minorBidi" w:hAnsiTheme="minorBidi"/>
          <w:rtl/>
        </w:rPr>
        <w:t>ב"י ט"ז</w:t>
      </w:r>
      <w:r w:rsidRPr="00845316">
        <w:rPr>
          <w:rFonts w:asciiTheme="minorBidi" w:hAnsiTheme="minorBidi"/>
          <w:sz w:val="18"/>
          <w:szCs w:val="18"/>
          <w:rtl/>
        </w:rPr>
        <w:t xml:space="preserve"> </w:t>
      </w:r>
      <w:r w:rsidRPr="00845316">
        <w:rPr>
          <w:rFonts w:asciiTheme="minorBidi" w:hAnsiTheme="minorBidi"/>
          <w:sz w:val="16"/>
          <w:szCs w:val="16"/>
          <w:rtl/>
        </w:rPr>
        <w:t>(ד"ה עוד כתב הטור)</w:t>
      </w:r>
      <w:r w:rsidRPr="00845316">
        <w:rPr>
          <w:rFonts w:asciiTheme="minorBidi" w:hAnsiTheme="minorBidi"/>
          <w:rtl/>
        </w:rPr>
        <w:t xml:space="preserve"> ותומים</w:t>
      </w:r>
      <w:r w:rsidRPr="00845316">
        <w:rPr>
          <w:rFonts w:asciiTheme="minorBidi" w:hAnsiTheme="minorBidi"/>
          <w:sz w:val="16"/>
          <w:szCs w:val="16"/>
          <w:rtl/>
        </w:rPr>
        <w:t xml:space="preserve"> (סק"ה)</w:t>
      </w:r>
      <w:r w:rsidRPr="00845316">
        <w:rPr>
          <w:rFonts w:asciiTheme="minorBidi" w:hAnsiTheme="minorBidi"/>
          <w:rtl/>
        </w:rPr>
        <w:t>- פסול אפילו לדעת הרי"ף והרמב"ם</w:t>
      </w:r>
      <w:r w:rsidRPr="00845316">
        <w:rPr>
          <w:rStyle w:val="ab"/>
          <w:rFonts w:asciiTheme="minorBidi" w:hAnsiTheme="minorBidi"/>
          <w:rtl/>
        </w:rPr>
        <w:footnoteReference w:id="1943"/>
      </w:r>
      <w:r w:rsidRPr="00845316">
        <w:rPr>
          <w:rFonts w:asciiTheme="minorBidi" w:hAnsiTheme="minorBidi"/>
          <w:rtl/>
        </w:rPr>
        <w:t>.</w:t>
      </w:r>
    </w:p>
    <w:p w14:paraId="4B3FF1EA" w14:textId="77777777" w:rsidR="004B607F" w:rsidRPr="00845316" w:rsidRDefault="004B607F" w:rsidP="004B607F">
      <w:pPr>
        <w:rPr>
          <w:rFonts w:asciiTheme="minorBidi" w:hAnsiTheme="minorBidi"/>
          <w:rtl/>
        </w:rPr>
      </w:pPr>
    </w:p>
    <w:p w14:paraId="6F308209" w14:textId="77777777" w:rsidR="004B607F" w:rsidRPr="00845316" w:rsidRDefault="004B607F" w:rsidP="004B607F">
      <w:pPr>
        <w:pStyle w:val="2"/>
        <w:rPr>
          <w:rFonts w:asciiTheme="minorBidi" w:hAnsiTheme="minorBidi"/>
          <w:rtl/>
        </w:rPr>
      </w:pPr>
      <w:bookmarkStart w:id="269" w:name="_Toc24883737"/>
      <w:r w:rsidRPr="00845316">
        <w:rPr>
          <w:rFonts w:asciiTheme="minorBidi" w:hAnsiTheme="minorBidi"/>
          <w:rtl/>
        </w:rPr>
        <w:t>סעיף ט: ארוסתו.</w:t>
      </w:r>
      <w:bookmarkEnd w:id="269"/>
    </w:p>
    <w:p w14:paraId="32F97FEB" w14:textId="77777777" w:rsidR="004B607F" w:rsidRPr="00845316" w:rsidRDefault="004B607F" w:rsidP="004B607F">
      <w:pPr>
        <w:rPr>
          <w:rFonts w:asciiTheme="minorBidi" w:hAnsiTheme="minorBidi"/>
          <w:rtl/>
        </w:rPr>
      </w:pPr>
      <w:r w:rsidRPr="00845316">
        <w:rPr>
          <w:rFonts w:asciiTheme="minorBidi" w:hAnsiTheme="minorBidi"/>
          <w:b/>
          <w:bCs/>
          <w:rtl/>
        </w:rPr>
        <w:t>סנהדרין כח</w:t>
      </w:r>
      <w:r>
        <w:rPr>
          <w:rStyle w:val="ab"/>
          <w:rFonts w:asciiTheme="minorBidi" w:hAnsiTheme="minorBidi"/>
          <w:b/>
          <w:bCs/>
          <w:rtl/>
        </w:rPr>
        <w:footnoteReference w:id="1944"/>
      </w:r>
      <w:r w:rsidRPr="00845316">
        <w:rPr>
          <w:rFonts w:asciiTheme="minorBidi" w:hAnsiTheme="minorBidi"/>
          <w:b/>
          <w:bCs/>
          <w:rtl/>
        </w:rPr>
        <w:t xml:space="preserve"> ע"ב: </w:t>
      </w:r>
      <w:r w:rsidRPr="00845316">
        <w:rPr>
          <w:rFonts w:asciiTheme="minorBidi" w:hAnsiTheme="minorBidi"/>
          <w:u w:val="single"/>
          <w:rtl/>
        </w:rPr>
        <w:t>אמר רבה בר בר חנה</w:t>
      </w:r>
      <w:r w:rsidRPr="00845316">
        <w:rPr>
          <w:rFonts w:asciiTheme="minorBidi" w:hAnsiTheme="minorBidi"/>
          <w:rtl/>
        </w:rPr>
        <w:t xml:space="preserve">: מעיד אדם לאשתו ארוסה. </w:t>
      </w:r>
      <w:r w:rsidRPr="00845316">
        <w:rPr>
          <w:rFonts w:asciiTheme="minorBidi" w:hAnsiTheme="minorBidi"/>
          <w:u w:val="single"/>
          <w:rtl/>
        </w:rPr>
        <w:t>אמר רבינא</w:t>
      </w:r>
      <w:r w:rsidRPr="00845316">
        <w:rPr>
          <w:rFonts w:asciiTheme="minorBidi" w:hAnsiTheme="minorBidi"/>
          <w:rtl/>
        </w:rPr>
        <w:t>: לא אמרן אלא לאפוקי מינה</w:t>
      </w:r>
      <w:r w:rsidRPr="00845316">
        <w:rPr>
          <w:rStyle w:val="ab"/>
          <w:rFonts w:asciiTheme="minorBidi" w:hAnsiTheme="minorBidi"/>
          <w:rtl/>
        </w:rPr>
        <w:footnoteReference w:id="1945"/>
      </w:r>
      <w:r w:rsidRPr="00845316">
        <w:rPr>
          <w:rFonts w:asciiTheme="minorBidi" w:hAnsiTheme="minorBidi"/>
          <w:rtl/>
        </w:rPr>
        <w:t>, אבל לעיולי לה לא מהימן. ולא היא, לא שנא לאפוקי ולא שנא לעיולי לא מהימן, מאי דעתיך</w:t>
      </w:r>
      <w:r w:rsidRPr="00845316">
        <w:rPr>
          <w:rStyle w:val="ab"/>
          <w:rFonts w:asciiTheme="minorBidi" w:hAnsiTheme="minorBidi"/>
          <w:rtl/>
        </w:rPr>
        <w:footnoteReference w:id="1946"/>
      </w:r>
      <w:r w:rsidRPr="00845316">
        <w:rPr>
          <w:rFonts w:asciiTheme="minorBidi" w:hAnsiTheme="minorBidi"/>
          <w:rtl/>
        </w:rPr>
        <w:t>, כדאמר רבי חייא בר אמי משמיה דעולא אשתו ארוסה לא אונן ולא מטמא לה וכן היא לא אוננת ולא מטמאה לו מתה אינו יורשה מת הוא גובה כתובתה</w:t>
      </w:r>
      <w:r w:rsidRPr="00845316">
        <w:rPr>
          <w:rStyle w:val="ab"/>
          <w:rFonts w:asciiTheme="minorBidi" w:hAnsiTheme="minorBidi"/>
          <w:rtl/>
        </w:rPr>
        <w:footnoteReference w:id="1947"/>
      </w:r>
      <w:r w:rsidRPr="00845316">
        <w:rPr>
          <w:rFonts w:asciiTheme="minorBidi" w:hAnsiTheme="minorBidi"/>
          <w:rtl/>
        </w:rPr>
        <w:t>? התם</w:t>
      </w:r>
      <w:r w:rsidRPr="00845316">
        <w:rPr>
          <w:rStyle w:val="ab"/>
          <w:rFonts w:asciiTheme="minorBidi" w:hAnsiTheme="minorBidi"/>
          <w:rtl/>
        </w:rPr>
        <w:footnoteReference w:id="1948"/>
      </w:r>
      <w:r w:rsidRPr="00845316">
        <w:rPr>
          <w:rFonts w:asciiTheme="minorBidi" w:hAnsiTheme="minorBidi"/>
          <w:rtl/>
        </w:rPr>
        <w:t xml:space="preserve"> בשארו תלה רחמנא</w:t>
      </w:r>
      <w:r w:rsidRPr="00845316">
        <w:rPr>
          <w:rStyle w:val="ab"/>
          <w:rFonts w:asciiTheme="minorBidi" w:hAnsiTheme="minorBidi"/>
          <w:rtl/>
        </w:rPr>
        <w:footnoteReference w:id="1949"/>
      </w:r>
      <w:r w:rsidRPr="00845316">
        <w:rPr>
          <w:rFonts w:asciiTheme="minorBidi" w:hAnsiTheme="minorBidi"/>
          <w:rtl/>
        </w:rPr>
        <w:t xml:space="preserve"> אכתי לאו שארו היא, הכא משום איקרובי דעתא הוא והא איקרבא דעתיה לגבה. </w:t>
      </w:r>
    </w:p>
    <w:p w14:paraId="28AD1C89" w14:textId="77777777" w:rsidR="004B607F" w:rsidRPr="00845316" w:rsidRDefault="004B607F" w:rsidP="004B607F">
      <w:pPr>
        <w:rPr>
          <w:rFonts w:asciiTheme="minorBidi" w:hAnsiTheme="minorBidi"/>
          <w:u w:val="single"/>
          <w:rtl/>
        </w:rPr>
      </w:pPr>
      <w:r w:rsidRPr="00845316">
        <w:rPr>
          <w:rFonts w:asciiTheme="minorBidi" w:hAnsiTheme="minorBidi"/>
          <w:u w:val="single"/>
          <w:rtl/>
        </w:rPr>
        <w:t xml:space="preserve">האם יכול להעיד </w:t>
      </w:r>
      <w:r w:rsidRPr="00845316">
        <w:rPr>
          <w:rFonts w:asciiTheme="minorBidi" w:hAnsiTheme="minorBidi"/>
          <w:b/>
          <w:bCs/>
          <w:u w:val="single"/>
          <w:rtl/>
        </w:rPr>
        <w:t>לקרובי</w:t>
      </w:r>
      <w:r w:rsidRPr="00845316">
        <w:rPr>
          <w:rFonts w:asciiTheme="minorBidi" w:hAnsiTheme="minorBidi"/>
          <w:u w:val="single"/>
          <w:rtl/>
        </w:rPr>
        <w:t xml:space="preserve"> ארוסתו:</w:t>
      </w:r>
    </w:p>
    <w:p w14:paraId="142C7629" w14:textId="77777777" w:rsidR="004B607F" w:rsidRPr="00845316" w:rsidRDefault="004B607F" w:rsidP="004B0475">
      <w:pPr>
        <w:pStyle w:val="ac"/>
        <w:numPr>
          <w:ilvl w:val="0"/>
          <w:numId w:val="127"/>
        </w:numPr>
        <w:rPr>
          <w:rFonts w:asciiTheme="minorBidi" w:hAnsiTheme="minorBidi"/>
        </w:rPr>
      </w:pPr>
      <w:r w:rsidRPr="00845316">
        <w:rPr>
          <w:rFonts w:asciiTheme="minorBidi" w:hAnsiTheme="minorBidi"/>
          <w:rtl/>
        </w:rPr>
        <w:t>רי"ף ורמב"ם</w:t>
      </w:r>
      <w:r w:rsidRPr="00845316">
        <w:rPr>
          <w:rStyle w:val="ab"/>
          <w:rFonts w:asciiTheme="minorBidi" w:hAnsiTheme="minorBidi"/>
          <w:rtl/>
        </w:rPr>
        <w:footnoteReference w:id="1950"/>
      </w:r>
      <w:r w:rsidRPr="00845316">
        <w:rPr>
          <w:rFonts w:asciiTheme="minorBidi" w:hAnsiTheme="minorBidi"/>
          <w:rtl/>
        </w:rPr>
        <w:t>- לכתחילה לא יעיד</w:t>
      </w:r>
      <w:r>
        <w:rPr>
          <w:rFonts w:asciiTheme="minorBidi" w:hAnsiTheme="minorBidi" w:hint="cs"/>
          <w:rtl/>
        </w:rPr>
        <w:t>.</w:t>
      </w:r>
      <w:r w:rsidRPr="00845316">
        <w:rPr>
          <w:rFonts w:asciiTheme="minorBidi" w:hAnsiTheme="minorBidi"/>
          <w:rtl/>
        </w:rPr>
        <w:t xml:space="preserve"> ואם כבר העיד </w:t>
      </w:r>
      <w:r>
        <w:rPr>
          <w:rFonts w:asciiTheme="minorBidi" w:hAnsiTheme="minorBidi" w:hint="cs"/>
          <w:rtl/>
        </w:rPr>
        <w:t xml:space="preserve">- </w:t>
      </w:r>
      <w:r w:rsidRPr="00845316">
        <w:rPr>
          <w:rFonts w:asciiTheme="minorBidi" w:hAnsiTheme="minorBidi"/>
          <w:rtl/>
        </w:rPr>
        <w:t>לא פוסלין עדותו.</w:t>
      </w:r>
      <w:r w:rsidRPr="00845316">
        <w:rPr>
          <w:rFonts w:asciiTheme="minorBidi" w:hAnsiTheme="minorBidi"/>
          <w:color w:val="E36C0A" w:themeColor="accent6" w:themeShade="BF"/>
          <w:rtl/>
        </w:rPr>
        <w:t xml:space="preserve"> (וכ"פ בשו"ע)</w:t>
      </w:r>
    </w:p>
    <w:p w14:paraId="08BDB3D4" w14:textId="77777777" w:rsidR="004B607F" w:rsidRPr="00845316" w:rsidRDefault="004B607F" w:rsidP="004B0475">
      <w:pPr>
        <w:pStyle w:val="ac"/>
        <w:numPr>
          <w:ilvl w:val="0"/>
          <w:numId w:val="127"/>
        </w:numPr>
        <w:rPr>
          <w:rFonts w:asciiTheme="minorBidi" w:hAnsiTheme="minorBidi"/>
          <w:rtl/>
        </w:rPr>
      </w:pPr>
      <w:r w:rsidRPr="00845316">
        <w:rPr>
          <w:rFonts w:asciiTheme="minorBidi" w:hAnsiTheme="minorBidi"/>
          <w:rtl/>
        </w:rPr>
        <w:t xml:space="preserve">רא"ש </w:t>
      </w:r>
      <w:r w:rsidRPr="00845316">
        <w:rPr>
          <w:rFonts w:asciiTheme="minorBidi" w:hAnsiTheme="minorBidi"/>
          <w:sz w:val="16"/>
          <w:szCs w:val="16"/>
          <w:rtl/>
        </w:rPr>
        <w:t>(סי' כ)</w:t>
      </w:r>
      <w:r w:rsidRPr="00845316">
        <w:rPr>
          <w:rFonts w:asciiTheme="minorBidi" w:hAnsiTheme="minorBidi"/>
          <w:rtl/>
        </w:rPr>
        <w:t xml:space="preserve">- כשר להעיד עד שינשאו. </w:t>
      </w:r>
    </w:p>
    <w:p w14:paraId="70A87094" w14:textId="77777777" w:rsidR="004B607F" w:rsidRPr="00845316" w:rsidRDefault="004B607F" w:rsidP="004B607F">
      <w:pPr>
        <w:jc w:val="both"/>
        <w:rPr>
          <w:rFonts w:asciiTheme="minorBidi" w:hAnsiTheme="minorBidi"/>
          <w:rtl/>
        </w:rPr>
      </w:pPr>
      <w:r w:rsidRPr="00845316">
        <w:rPr>
          <w:rFonts w:asciiTheme="minorBidi" w:hAnsiTheme="minorBidi"/>
          <w:b/>
          <w:bCs/>
          <w:sz w:val="32"/>
          <w:szCs w:val="28"/>
          <w:u w:val="single"/>
          <w:rtl/>
        </w:rPr>
        <w:t xml:space="preserve">שו"ע: </w:t>
      </w:r>
    </w:p>
    <w:p w14:paraId="08F3D02F" w14:textId="77777777" w:rsidR="004B607F" w:rsidRPr="00845316" w:rsidRDefault="004B607F" w:rsidP="004B607F">
      <w:pPr>
        <w:rPr>
          <w:rFonts w:asciiTheme="minorBidi" w:hAnsiTheme="minorBidi"/>
          <w:sz w:val="18"/>
          <w:szCs w:val="18"/>
          <w:rtl/>
        </w:rPr>
      </w:pPr>
      <w:r w:rsidRPr="00845316">
        <w:rPr>
          <w:rFonts w:asciiTheme="minorBidi" w:hAnsiTheme="minorBidi"/>
          <w:rtl/>
        </w:rPr>
        <w:t xml:space="preserve">הארוס פסול להעיד לארוסתו, אבל אם העיד לקרוביה אין פוסלין אותה עדות. </w:t>
      </w:r>
      <w:r w:rsidRPr="00845316">
        <w:rPr>
          <w:rFonts w:asciiTheme="minorBidi" w:hAnsiTheme="minorBidi"/>
          <w:sz w:val="18"/>
          <w:szCs w:val="18"/>
          <w:rtl/>
        </w:rPr>
        <w:t xml:space="preserve">הגה: ודוקא ארוסה אבל שידוכין בעלמא אינן פוסלים, ומיהו אם רוצה להעיד שתזכה בממון אפשר דנוגע בדבר (הג"א).  </w:t>
      </w:r>
    </w:p>
    <w:p w14:paraId="0C865CA4" w14:textId="77777777" w:rsidR="004B607F" w:rsidRPr="00845316" w:rsidRDefault="004B607F" w:rsidP="004B607F">
      <w:pPr>
        <w:rPr>
          <w:rFonts w:asciiTheme="minorBidi" w:hAnsiTheme="minorBidi"/>
          <w:rtl/>
        </w:rPr>
      </w:pPr>
    </w:p>
    <w:p w14:paraId="199CB095" w14:textId="77777777" w:rsidR="004B607F" w:rsidRPr="00845316" w:rsidRDefault="004B607F" w:rsidP="004B607F">
      <w:pPr>
        <w:pStyle w:val="2"/>
        <w:rPr>
          <w:rFonts w:asciiTheme="minorBidi" w:hAnsiTheme="minorBidi"/>
          <w:rtl/>
        </w:rPr>
      </w:pPr>
      <w:bookmarkStart w:id="270" w:name="_Toc24883738"/>
      <w:r w:rsidRPr="00845316">
        <w:rPr>
          <w:rFonts w:asciiTheme="minorBidi" w:hAnsiTheme="minorBidi"/>
          <w:rtl/>
        </w:rPr>
        <w:t>סעיף י: פסול עדות – גזירת הכתוב.</w:t>
      </w:r>
      <w:bookmarkEnd w:id="270"/>
    </w:p>
    <w:p w14:paraId="2B2F1607" w14:textId="77777777" w:rsidR="004B607F" w:rsidRPr="00845316" w:rsidRDefault="004B607F" w:rsidP="004B607F">
      <w:pPr>
        <w:rPr>
          <w:rFonts w:asciiTheme="minorBidi" w:hAnsiTheme="minorBidi"/>
          <w:rtl/>
        </w:rPr>
      </w:pPr>
      <w:r w:rsidRPr="00845316">
        <w:rPr>
          <w:rFonts w:asciiTheme="minorBidi" w:hAnsiTheme="minorBidi"/>
          <w:b/>
          <w:bCs/>
          <w:rtl/>
        </w:rPr>
        <w:t>בבא בתרא קנט</w:t>
      </w:r>
      <w:r>
        <w:rPr>
          <w:rStyle w:val="ab"/>
          <w:rFonts w:asciiTheme="minorBidi" w:hAnsiTheme="minorBidi"/>
          <w:b/>
          <w:bCs/>
          <w:rtl/>
        </w:rPr>
        <w:footnoteReference w:id="1951"/>
      </w:r>
      <w:r w:rsidRPr="00845316">
        <w:rPr>
          <w:rFonts w:asciiTheme="minorBidi" w:hAnsiTheme="minorBidi"/>
          <w:b/>
          <w:bCs/>
          <w:rtl/>
        </w:rPr>
        <w:t xml:space="preserve"> ע"א: </w:t>
      </w:r>
      <w:r w:rsidRPr="00845316">
        <w:rPr>
          <w:rFonts w:asciiTheme="minorBidi" w:hAnsiTheme="minorBidi"/>
          <w:rtl/>
        </w:rPr>
        <w:t>היה יודע לו בעדות עד שלא נעשה חתנו, ונעשה חתנו - הוא אינו מעיד על כתב ידו אבל אחרים מעידין. הוא לא מהימן אחריני מהימני?....  דלמא גזירת מלך היא דאיהו לא מהימן ואחריני מהימני ולאו משום דמשקר, דאי לא תימא הכי משה ואהרן לחותנם משום דלא מהימני הוא? אלא גזירת מלך הוא שלא יעידו להם, ה"נ גזירת מלך הוא שלא יעיד על כתב ידו לחותנו.</w:t>
      </w:r>
    </w:p>
    <w:p w14:paraId="486CD279" w14:textId="77777777" w:rsidR="004B607F" w:rsidRPr="00845316" w:rsidRDefault="004B607F" w:rsidP="004B607F">
      <w:pPr>
        <w:jc w:val="both"/>
        <w:rPr>
          <w:rFonts w:asciiTheme="minorBidi" w:hAnsiTheme="minorBidi"/>
          <w:rtl/>
        </w:rPr>
      </w:pPr>
      <w:r w:rsidRPr="00845316">
        <w:rPr>
          <w:rFonts w:asciiTheme="minorBidi" w:hAnsiTheme="minorBidi"/>
          <w:b/>
          <w:bCs/>
          <w:sz w:val="32"/>
          <w:szCs w:val="28"/>
          <w:u w:val="single"/>
          <w:rtl/>
        </w:rPr>
        <w:t xml:space="preserve">שו"ע: </w:t>
      </w:r>
    </w:p>
    <w:p w14:paraId="11D3542F" w14:textId="77777777" w:rsidR="004B607F" w:rsidRPr="00845316" w:rsidRDefault="004B607F" w:rsidP="004B607F">
      <w:pPr>
        <w:rPr>
          <w:rFonts w:asciiTheme="minorBidi" w:hAnsiTheme="minorBidi"/>
          <w:sz w:val="16"/>
          <w:szCs w:val="16"/>
          <w:rtl/>
        </w:rPr>
      </w:pPr>
      <w:r w:rsidRPr="00845316">
        <w:rPr>
          <w:rFonts w:asciiTheme="minorBidi" w:hAnsiTheme="minorBidi"/>
          <w:rtl/>
        </w:rPr>
        <w:t xml:space="preserve">זה שפסלה תורה עדות הקרובים לא מפני שהם בחזקת אוהבים זה את זה, שהרי פסולין להעיד לו בין לזכותו בין לחובתו ואפילו משה ואהרן אינם כשרים להעיד זה לזה, אלא גזירת הכתוב הוא. </w:t>
      </w:r>
      <w:r w:rsidRPr="00845316">
        <w:rPr>
          <w:rFonts w:asciiTheme="minorBidi" w:hAnsiTheme="minorBidi"/>
          <w:sz w:val="16"/>
          <w:szCs w:val="16"/>
          <w:rtl/>
        </w:rPr>
        <w:t>{רמב"ם}</w:t>
      </w:r>
    </w:p>
    <w:p w14:paraId="73515BF3" w14:textId="77777777" w:rsidR="004B607F" w:rsidRPr="00845316" w:rsidRDefault="004B607F" w:rsidP="004B607F">
      <w:pPr>
        <w:rPr>
          <w:rFonts w:asciiTheme="minorBidi" w:hAnsiTheme="minorBidi"/>
          <w:rtl/>
        </w:rPr>
      </w:pPr>
    </w:p>
    <w:p w14:paraId="1341610E" w14:textId="77777777" w:rsidR="004B607F" w:rsidRPr="00845316" w:rsidRDefault="004B607F" w:rsidP="004B607F">
      <w:pPr>
        <w:pStyle w:val="2"/>
        <w:rPr>
          <w:rFonts w:asciiTheme="minorBidi" w:hAnsiTheme="minorBidi"/>
          <w:rtl/>
        </w:rPr>
      </w:pPr>
      <w:bookmarkStart w:id="271" w:name="_Toc24883739"/>
      <w:r w:rsidRPr="00845316">
        <w:rPr>
          <w:rFonts w:asciiTheme="minorBidi" w:hAnsiTheme="minorBidi"/>
          <w:rtl/>
        </w:rPr>
        <w:lastRenderedPageBreak/>
        <w:t>סעיף יא: עדות גרים "קרובים".</w:t>
      </w:r>
      <w:bookmarkEnd w:id="271"/>
    </w:p>
    <w:p w14:paraId="4E351F97" w14:textId="77777777" w:rsidR="004B607F" w:rsidRPr="00845316" w:rsidRDefault="004B607F" w:rsidP="004B607F">
      <w:pPr>
        <w:rPr>
          <w:rFonts w:asciiTheme="minorBidi" w:hAnsiTheme="minorBidi"/>
          <w:sz w:val="16"/>
          <w:szCs w:val="16"/>
          <w:rtl/>
        </w:rPr>
      </w:pPr>
      <w:r w:rsidRPr="00845316">
        <w:rPr>
          <w:rFonts w:asciiTheme="minorBidi" w:hAnsiTheme="minorBidi"/>
          <w:b/>
          <w:bCs/>
          <w:rtl/>
        </w:rPr>
        <w:t>יבמות כב</w:t>
      </w:r>
      <w:r>
        <w:rPr>
          <w:rStyle w:val="ab"/>
          <w:rFonts w:asciiTheme="minorBidi" w:hAnsiTheme="minorBidi"/>
          <w:b/>
          <w:bCs/>
          <w:rtl/>
        </w:rPr>
        <w:footnoteReference w:id="1952"/>
      </w:r>
      <w:r w:rsidRPr="00845316">
        <w:rPr>
          <w:rFonts w:asciiTheme="minorBidi" w:hAnsiTheme="minorBidi"/>
          <w:b/>
          <w:bCs/>
          <w:rtl/>
        </w:rPr>
        <w:t xml:space="preserve"> ע"א: </w:t>
      </w:r>
      <w:r w:rsidRPr="00845316">
        <w:rPr>
          <w:rFonts w:asciiTheme="minorBidi" w:hAnsiTheme="minorBidi"/>
          <w:u w:val="single"/>
          <w:rtl/>
        </w:rPr>
        <w:t>אמר רב נחמן</w:t>
      </w:r>
      <w:r w:rsidRPr="00845316">
        <w:rPr>
          <w:rFonts w:asciiTheme="minorBidi" w:hAnsiTheme="minorBidi"/>
          <w:rtl/>
        </w:rPr>
        <w:t>: גרים, הואיל ואתו לידן נימא בהו מלתא: אחין מן האם לא יעידו</w:t>
      </w:r>
      <w:r w:rsidRPr="00845316">
        <w:rPr>
          <w:rStyle w:val="ab"/>
          <w:rFonts w:asciiTheme="minorBidi" w:hAnsiTheme="minorBidi"/>
          <w:rtl/>
        </w:rPr>
        <w:footnoteReference w:id="1953"/>
      </w:r>
      <w:r w:rsidRPr="00845316">
        <w:rPr>
          <w:rFonts w:asciiTheme="minorBidi" w:hAnsiTheme="minorBidi"/>
          <w:rtl/>
        </w:rPr>
        <w:t>, ואם העידו עדותן עדות</w:t>
      </w:r>
      <w:r w:rsidRPr="00845316">
        <w:rPr>
          <w:rStyle w:val="ab"/>
          <w:rFonts w:asciiTheme="minorBidi" w:hAnsiTheme="minorBidi"/>
          <w:rtl/>
        </w:rPr>
        <w:footnoteReference w:id="1954"/>
      </w:r>
      <w:r w:rsidRPr="00845316">
        <w:rPr>
          <w:rFonts w:asciiTheme="minorBidi" w:hAnsiTheme="minorBidi"/>
          <w:rtl/>
        </w:rPr>
        <w:t>, אחין מן האב מעידין לכתחלה</w:t>
      </w:r>
      <w:r w:rsidRPr="00845316">
        <w:rPr>
          <w:rStyle w:val="ab"/>
          <w:rFonts w:asciiTheme="minorBidi" w:hAnsiTheme="minorBidi"/>
          <w:rtl/>
        </w:rPr>
        <w:footnoteReference w:id="1955"/>
      </w:r>
      <w:r w:rsidRPr="00845316">
        <w:rPr>
          <w:rFonts w:asciiTheme="minorBidi" w:hAnsiTheme="minorBidi"/>
          <w:rtl/>
        </w:rPr>
        <w:t xml:space="preserve">. </w:t>
      </w:r>
      <w:r w:rsidRPr="00845316">
        <w:rPr>
          <w:rFonts w:asciiTheme="minorBidi" w:hAnsiTheme="minorBidi"/>
          <w:u w:val="single"/>
          <w:rtl/>
        </w:rPr>
        <w:t>אמימר אמר</w:t>
      </w:r>
      <w:r w:rsidRPr="00845316">
        <w:rPr>
          <w:rFonts w:asciiTheme="minorBidi" w:hAnsiTheme="minorBidi"/>
          <w:rtl/>
        </w:rPr>
        <w:t>: אפילו אחין מן האם נמי מעידין לכתחלה. ומ"ש</w:t>
      </w:r>
      <w:r w:rsidRPr="00845316">
        <w:rPr>
          <w:rStyle w:val="ab"/>
          <w:rFonts w:asciiTheme="minorBidi" w:hAnsiTheme="minorBidi"/>
          <w:rtl/>
        </w:rPr>
        <w:footnoteReference w:id="1956"/>
      </w:r>
      <w:r w:rsidRPr="00845316">
        <w:rPr>
          <w:rFonts w:asciiTheme="minorBidi" w:hAnsiTheme="minorBidi"/>
          <w:rtl/>
        </w:rPr>
        <w:t xml:space="preserve"> מעריות? ערוה</w:t>
      </w:r>
      <w:r>
        <w:rPr>
          <w:rFonts w:asciiTheme="minorBidi" w:hAnsiTheme="minorBidi" w:hint="cs"/>
          <w:rtl/>
        </w:rPr>
        <w:t xml:space="preserve"> </w:t>
      </w:r>
      <w:r w:rsidRPr="00845316">
        <w:rPr>
          <w:rFonts w:asciiTheme="minorBidi" w:hAnsiTheme="minorBidi"/>
          <w:rtl/>
        </w:rPr>
        <w:t>- לכל מסורה</w:t>
      </w:r>
      <w:r w:rsidRPr="00845316">
        <w:rPr>
          <w:rStyle w:val="ab"/>
          <w:rFonts w:asciiTheme="minorBidi" w:hAnsiTheme="minorBidi"/>
          <w:rtl/>
        </w:rPr>
        <w:footnoteReference w:id="1957"/>
      </w:r>
      <w:r w:rsidRPr="00845316">
        <w:rPr>
          <w:rFonts w:asciiTheme="minorBidi" w:hAnsiTheme="minorBidi"/>
          <w:rtl/>
        </w:rPr>
        <w:t>, עדות</w:t>
      </w:r>
      <w:r>
        <w:rPr>
          <w:rFonts w:asciiTheme="minorBidi" w:hAnsiTheme="minorBidi" w:hint="cs"/>
          <w:rtl/>
        </w:rPr>
        <w:t xml:space="preserve"> </w:t>
      </w:r>
      <w:r w:rsidRPr="00845316">
        <w:rPr>
          <w:rFonts w:asciiTheme="minorBidi" w:hAnsiTheme="minorBidi"/>
          <w:rtl/>
        </w:rPr>
        <w:t>- לבית דין מסורה</w:t>
      </w:r>
      <w:r w:rsidRPr="00845316">
        <w:rPr>
          <w:rStyle w:val="ab"/>
          <w:rFonts w:asciiTheme="minorBidi" w:hAnsiTheme="minorBidi"/>
          <w:rtl/>
        </w:rPr>
        <w:footnoteReference w:id="1958"/>
      </w:r>
      <w:r w:rsidRPr="00845316">
        <w:rPr>
          <w:rFonts w:asciiTheme="minorBidi" w:hAnsiTheme="minorBidi"/>
          <w:rtl/>
        </w:rPr>
        <w:t>, וגר שנתגייר כקטן שנולד דמי.</w:t>
      </w:r>
      <w:r w:rsidRPr="00845316">
        <w:rPr>
          <w:rFonts w:asciiTheme="minorBidi" w:hAnsiTheme="minorBidi"/>
          <w:sz w:val="16"/>
          <w:szCs w:val="16"/>
          <w:rtl/>
        </w:rPr>
        <w:t xml:space="preserve"> (ופסקו הפוסקים כאמימר, וכן מבואר לקמן בברייתא</w:t>
      </w:r>
      <w:r w:rsidRPr="00845316">
        <w:rPr>
          <w:rFonts w:asciiTheme="minorBidi" w:hAnsiTheme="minorBidi"/>
          <w:sz w:val="14"/>
          <w:szCs w:val="14"/>
          <w:rtl/>
        </w:rPr>
        <w:t xml:space="preserve"> </w:t>
      </w:r>
      <w:r w:rsidRPr="00845316">
        <w:rPr>
          <w:rFonts w:asciiTheme="minorBidi" w:hAnsiTheme="minorBidi"/>
          <w:sz w:val="16"/>
          <w:szCs w:val="16"/>
          <w:rtl/>
        </w:rPr>
        <w:t>[צז:])</w:t>
      </w:r>
    </w:p>
    <w:p w14:paraId="6709C4F6" w14:textId="77777777" w:rsidR="004B607F" w:rsidRPr="00845316" w:rsidRDefault="004B607F" w:rsidP="004B607F">
      <w:pPr>
        <w:rPr>
          <w:rFonts w:asciiTheme="minorBidi" w:hAnsiTheme="minorBidi"/>
          <w:rtl/>
        </w:rPr>
      </w:pPr>
      <w:r w:rsidRPr="00845316">
        <w:rPr>
          <w:rFonts w:asciiTheme="minorBidi" w:hAnsiTheme="minorBidi"/>
          <w:b/>
          <w:bCs/>
          <w:rtl/>
        </w:rPr>
        <w:t>יבמות צז</w:t>
      </w:r>
      <w:r>
        <w:rPr>
          <w:rStyle w:val="ab"/>
          <w:rFonts w:asciiTheme="minorBidi" w:hAnsiTheme="minorBidi"/>
          <w:b/>
          <w:bCs/>
          <w:rtl/>
        </w:rPr>
        <w:footnoteReference w:id="1959"/>
      </w:r>
      <w:r w:rsidRPr="00845316">
        <w:rPr>
          <w:rFonts w:asciiTheme="minorBidi" w:hAnsiTheme="minorBidi"/>
          <w:b/>
          <w:bCs/>
          <w:rtl/>
        </w:rPr>
        <w:t xml:space="preserve"> ע"ב: </w:t>
      </w:r>
      <w:r w:rsidRPr="00845316">
        <w:rPr>
          <w:rFonts w:asciiTheme="minorBidi" w:hAnsiTheme="minorBidi"/>
          <w:rtl/>
        </w:rPr>
        <w:t>ת"ש: שני אחים תאומים גרים וכן משוחררים</w:t>
      </w:r>
      <w:r>
        <w:rPr>
          <w:rFonts w:asciiTheme="minorBidi" w:hAnsiTheme="minorBidi" w:hint="cs"/>
          <w:rtl/>
        </w:rPr>
        <w:t xml:space="preserve"> </w:t>
      </w:r>
      <w:r w:rsidRPr="00845316">
        <w:rPr>
          <w:rFonts w:asciiTheme="minorBidi" w:hAnsiTheme="minorBidi"/>
          <w:rtl/>
        </w:rPr>
        <w:t>- לא חולצין ולא מייבמין, ואין חייבין משום אשת אח, היתה הורתן שלא בקדושה ולידתן בקדושה</w:t>
      </w:r>
      <w:r>
        <w:rPr>
          <w:rFonts w:asciiTheme="minorBidi" w:hAnsiTheme="minorBidi" w:hint="cs"/>
          <w:rtl/>
        </w:rPr>
        <w:t xml:space="preserve"> </w:t>
      </w:r>
      <w:r w:rsidRPr="00845316">
        <w:rPr>
          <w:rFonts w:asciiTheme="minorBidi" w:hAnsiTheme="minorBidi"/>
          <w:rtl/>
        </w:rPr>
        <w:t>- לא חולצין ולא מייבמין, אבל חייבין משום אשת אח...</w:t>
      </w:r>
      <w:r>
        <w:rPr>
          <w:rFonts w:asciiTheme="minorBidi" w:hAnsiTheme="minorBidi" w:hint="cs"/>
          <w:sz w:val="14"/>
          <w:szCs w:val="14"/>
          <w:rtl/>
        </w:rPr>
        <w:t xml:space="preserve"> (צח.)</w:t>
      </w:r>
      <w:r w:rsidRPr="00845316">
        <w:rPr>
          <w:rFonts w:asciiTheme="minorBidi" w:hAnsiTheme="minorBidi"/>
          <w:rtl/>
        </w:rPr>
        <w:t xml:space="preserve"> </w:t>
      </w:r>
      <w:r w:rsidRPr="00845316">
        <w:rPr>
          <w:rFonts w:asciiTheme="minorBidi" w:hAnsiTheme="minorBidi"/>
          <w:u w:val="single"/>
          <w:rtl/>
        </w:rPr>
        <w:t>אמר רבא</w:t>
      </w:r>
      <w:r w:rsidRPr="00845316">
        <w:rPr>
          <w:rFonts w:asciiTheme="minorBidi" w:hAnsiTheme="minorBidi"/>
          <w:rtl/>
        </w:rPr>
        <w:t>: הא דאמור רבנן אין אב למצרי</w:t>
      </w:r>
      <w:r w:rsidRPr="00845316">
        <w:rPr>
          <w:rStyle w:val="ab"/>
          <w:rFonts w:asciiTheme="minorBidi" w:hAnsiTheme="minorBidi"/>
          <w:rtl/>
        </w:rPr>
        <w:footnoteReference w:id="1960"/>
      </w:r>
      <w:r w:rsidRPr="00845316">
        <w:rPr>
          <w:rFonts w:asciiTheme="minorBidi" w:hAnsiTheme="minorBidi"/>
          <w:rtl/>
        </w:rPr>
        <w:t xml:space="preserve"> לא תימא משום דשטופי בזמה דלא ידיע</w:t>
      </w:r>
      <w:r w:rsidRPr="00845316">
        <w:rPr>
          <w:rStyle w:val="ab"/>
          <w:rFonts w:asciiTheme="minorBidi" w:hAnsiTheme="minorBidi"/>
          <w:rtl/>
        </w:rPr>
        <w:footnoteReference w:id="1961"/>
      </w:r>
      <w:r w:rsidRPr="00845316">
        <w:rPr>
          <w:rFonts w:asciiTheme="minorBidi" w:hAnsiTheme="minorBidi"/>
          <w:rtl/>
        </w:rPr>
        <w:t xml:space="preserve"> אבל ידיע חיישינן, אלא אפילו דידיע</w:t>
      </w:r>
      <w:r>
        <w:rPr>
          <w:rFonts w:asciiTheme="minorBidi" w:hAnsiTheme="minorBidi" w:hint="cs"/>
          <w:rtl/>
        </w:rPr>
        <w:t xml:space="preserve"> </w:t>
      </w:r>
      <w:r w:rsidRPr="00845316">
        <w:rPr>
          <w:rFonts w:asciiTheme="minorBidi" w:hAnsiTheme="minorBidi"/>
          <w:rtl/>
        </w:rPr>
        <w:t>- נמי לא חיישינן, דהא שני אחין תאומים דטפה אחת היה ונחלקה לשתים וקתני סיפא: לא חולצין ולא מייבמין</w:t>
      </w:r>
      <w:r w:rsidRPr="00845316">
        <w:rPr>
          <w:rStyle w:val="ab"/>
          <w:rFonts w:asciiTheme="minorBidi" w:hAnsiTheme="minorBidi"/>
          <w:rtl/>
        </w:rPr>
        <w:footnoteReference w:id="1962"/>
      </w:r>
      <w:r w:rsidRPr="00845316">
        <w:rPr>
          <w:rFonts w:asciiTheme="minorBidi" w:hAnsiTheme="minorBidi"/>
          <w:rtl/>
        </w:rPr>
        <w:t xml:space="preserve"> ש"מ אפקורי אפקריה רחמנא לזרעיה דכתיב: בשר חמורים בשרם וזרמת סוסים זרמתם.</w:t>
      </w:r>
    </w:p>
    <w:p w14:paraId="7CD5FACA" w14:textId="77777777" w:rsidR="004B607F" w:rsidRPr="00845316" w:rsidRDefault="004B607F" w:rsidP="004B607F">
      <w:pPr>
        <w:jc w:val="both"/>
        <w:rPr>
          <w:rFonts w:asciiTheme="minorBidi" w:hAnsiTheme="minorBidi"/>
          <w:rtl/>
        </w:rPr>
      </w:pPr>
      <w:r w:rsidRPr="00845316">
        <w:rPr>
          <w:rFonts w:asciiTheme="minorBidi" w:hAnsiTheme="minorBidi"/>
          <w:b/>
          <w:bCs/>
          <w:sz w:val="32"/>
          <w:szCs w:val="28"/>
          <w:u w:val="single"/>
          <w:rtl/>
        </w:rPr>
        <w:t xml:space="preserve">שו"ע: </w:t>
      </w:r>
    </w:p>
    <w:p w14:paraId="38030707" w14:textId="77777777" w:rsidR="004B607F" w:rsidRPr="00845316" w:rsidRDefault="004B607F" w:rsidP="004B607F">
      <w:pPr>
        <w:rPr>
          <w:rFonts w:asciiTheme="minorBidi" w:hAnsiTheme="minorBidi"/>
          <w:rtl/>
        </w:rPr>
      </w:pPr>
      <w:r w:rsidRPr="00845316">
        <w:rPr>
          <w:rFonts w:asciiTheme="minorBidi" w:hAnsiTheme="minorBidi"/>
          <w:rtl/>
        </w:rPr>
        <w:t>הגרים אין להם קורבה</w:t>
      </w:r>
      <w:r>
        <w:rPr>
          <w:rFonts w:asciiTheme="minorBidi" w:hAnsiTheme="minorBidi" w:hint="cs"/>
          <w:rtl/>
        </w:rPr>
        <w:t>.</w:t>
      </w:r>
      <w:r w:rsidRPr="00845316">
        <w:rPr>
          <w:rFonts w:asciiTheme="minorBidi" w:hAnsiTheme="minorBidi"/>
          <w:rtl/>
        </w:rPr>
        <w:t xml:space="preserve"> אפילו שני אחים תאומים שנתגיירו מעידים זה לזה</w:t>
      </w:r>
      <w:r>
        <w:rPr>
          <w:rFonts w:asciiTheme="minorBidi" w:hAnsiTheme="minorBidi" w:hint="cs"/>
          <w:rtl/>
        </w:rPr>
        <w:t>,</w:t>
      </w:r>
      <w:r w:rsidRPr="00845316">
        <w:rPr>
          <w:rFonts w:asciiTheme="minorBidi" w:hAnsiTheme="minorBidi"/>
          <w:rtl/>
        </w:rPr>
        <w:t xml:space="preserve"> דגר שנתגייר כקטן שנולד דמי</w:t>
      </w:r>
      <w:r w:rsidRPr="00845316">
        <w:rPr>
          <w:rStyle w:val="ab"/>
          <w:rFonts w:asciiTheme="minorBidi" w:hAnsiTheme="minorBidi"/>
          <w:rtl/>
        </w:rPr>
        <w:footnoteReference w:id="1963"/>
      </w:r>
      <w:r w:rsidRPr="00845316">
        <w:rPr>
          <w:rFonts w:asciiTheme="minorBidi" w:hAnsiTheme="minorBidi"/>
          <w:rtl/>
        </w:rPr>
        <w:t xml:space="preserve">. </w:t>
      </w:r>
    </w:p>
    <w:p w14:paraId="673163E5" w14:textId="77777777" w:rsidR="004B607F" w:rsidRPr="00845316" w:rsidRDefault="004B607F" w:rsidP="004B607F">
      <w:pPr>
        <w:rPr>
          <w:rFonts w:asciiTheme="minorBidi" w:hAnsiTheme="minorBidi"/>
          <w:u w:val="single"/>
          <w:rtl/>
        </w:rPr>
      </w:pPr>
      <w:r w:rsidRPr="00845316">
        <w:rPr>
          <w:rFonts w:asciiTheme="minorBidi" w:hAnsiTheme="minorBidi"/>
          <w:u w:val="single"/>
          <w:rtl/>
        </w:rPr>
        <w:t>האם תאומים גרים שהורתן שלא בקדושה ולידתן בקדושה כשרים להעיד אחד על השני</w:t>
      </w:r>
      <w:r w:rsidRPr="00845316">
        <w:rPr>
          <w:rStyle w:val="ab"/>
          <w:rFonts w:asciiTheme="minorBidi" w:hAnsiTheme="minorBidi"/>
          <w:u w:val="single"/>
          <w:rtl/>
        </w:rPr>
        <w:footnoteReference w:id="1964"/>
      </w:r>
      <w:r w:rsidRPr="00845316">
        <w:rPr>
          <w:rFonts w:asciiTheme="minorBidi" w:hAnsiTheme="minorBidi"/>
          <w:u w:val="single"/>
          <w:rtl/>
        </w:rPr>
        <w:t>:</w:t>
      </w:r>
    </w:p>
    <w:p w14:paraId="6CD2258D" w14:textId="77777777" w:rsidR="004B607F" w:rsidRPr="00836504" w:rsidRDefault="004B607F" w:rsidP="004B0475">
      <w:pPr>
        <w:pStyle w:val="ac"/>
        <w:numPr>
          <w:ilvl w:val="0"/>
          <w:numId w:val="128"/>
        </w:numPr>
        <w:rPr>
          <w:rFonts w:asciiTheme="minorBidi" w:hAnsiTheme="minorBidi"/>
        </w:rPr>
      </w:pPr>
      <w:r w:rsidRPr="00845316">
        <w:rPr>
          <w:rFonts w:asciiTheme="minorBidi" w:hAnsiTheme="minorBidi"/>
          <w:rtl/>
        </w:rPr>
        <w:t xml:space="preserve">ב"י- אם לידת שניהם בקדושה אע"פ שהורתם שלא בקדושה </w:t>
      </w:r>
      <w:r>
        <w:rPr>
          <w:rFonts w:asciiTheme="minorBidi" w:hAnsiTheme="minorBidi" w:hint="cs"/>
          <w:rtl/>
        </w:rPr>
        <w:t xml:space="preserve">- </w:t>
      </w:r>
      <w:r w:rsidRPr="00845316">
        <w:rPr>
          <w:rFonts w:asciiTheme="minorBidi" w:hAnsiTheme="minorBidi"/>
          <w:rtl/>
        </w:rPr>
        <w:t>הרי הן אחים מן האם ופסולים מדרבנן</w:t>
      </w:r>
      <w:r>
        <w:rPr>
          <w:rFonts w:asciiTheme="minorBidi" w:hAnsiTheme="minorBidi" w:hint="cs"/>
          <w:rtl/>
        </w:rPr>
        <w:t>.</w:t>
      </w:r>
      <w:r w:rsidRPr="00845316">
        <w:rPr>
          <w:rFonts w:asciiTheme="minorBidi" w:hAnsiTheme="minorBidi"/>
          <w:rtl/>
        </w:rPr>
        <w:t xml:space="preserve"> ואפשר דכיון דעדות לבית דין מסורה כל </w:t>
      </w:r>
      <w:r w:rsidRPr="00836504">
        <w:rPr>
          <w:rFonts w:asciiTheme="minorBidi" w:hAnsiTheme="minorBidi"/>
          <w:rtl/>
        </w:rPr>
        <w:t xml:space="preserve">שאין </w:t>
      </w:r>
      <w:r w:rsidRPr="00836504">
        <w:rPr>
          <w:rFonts w:asciiTheme="minorBidi" w:hAnsiTheme="minorBidi"/>
          <w:b/>
          <w:bCs/>
          <w:rtl/>
        </w:rPr>
        <w:t>הורת</w:t>
      </w:r>
      <w:r w:rsidRPr="00836504">
        <w:rPr>
          <w:rFonts w:asciiTheme="minorBidi" w:hAnsiTheme="minorBidi"/>
          <w:rtl/>
        </w:rPr>
        <w:t xml:space="preserve"> שניהם </w:t>
      </w:r>
      <w:r w:rsidRPr="00836504">
        <w:rPr>
          <w:rFonts w:asciiTheme="minorBidi" w:hAnsiTheme="minorBidi"/>
          <w:b/>
          <w:bCs/>
          <w:rtl/>
        </w:rPr>
        <w:t>ולידתם</w:t>
      </w:r>
      <w:r w:rsidRPr="00836504">
        <w:rPr>
          <w:rFonts w:asciiTheme="minorBidi" w:hAnsiTheme="minorBidi"/>
          <w:rtl/>
        </w:rPr>
        <w:t xml:space="preserve"> בקדושה כשרים הם ולישנא דנתגייר שייך אפילו נתגיירה אמו כשהיתה מעוברת, וצ"ע. </w:t>
      </w:r>
    </w:p>
    <w:p w14:paraId="54F77880" w14:textId="77777777" w:rsidR="004B607F" w:rsidRPr="00845316" w:rsidRDefault="004B607F" w:rsidP="004B0475">
      <w:pPr>
        <w:pStyle w:val="ac"/>
        <w:numPr>
          <w:ilvl w:val="0"/>
          <w:numId w:val="128"/>
        </w:numPr>
        <w:rPr>
          <w:rFonts w:asciiTheme="minorBidi" w:hAnsiTheme="minorBidi"/>
          <w:rtl/>
        </w:rPr>
      </w:pPr>
      <w:r w:rsidRPr="00845316">
        <w:rPr>
          <w:rFonts w:asciiTheme="minorBidi" w:hAnsiTheme="minorBidi"/>
          <w:rtl/>
        </w:rPr>
        <w:t>דרכ"מ</w:t>
      </w:r>
      <w:r w:rsidRPr="00845316">
        <w:rPr>
          <w:rStyle w:val="ab"/>
          <w:rFonts w:asciiTheme="minorBidi" w:hAnsiTheme="minorBidi"/>
          <w:rtl/>
        </w:rPr>
        <w:footnoteReference w:id="1965"/>
      </w:r>
      <w:r w:rsidRPr="00845316">
        <w:rPr>
          <w:rFonts w:asciiTheme="minorBidi" w:hAnsiTheme="minorBidi"/>
          <w:rtl/>
        </w:rPr>
        <w:t xml:space="preserve"> מהרש"ק וש"ך</w:t>
      </w:r>
      <w:r w:rsidRPr="00845316">
        <w:rPr>
          <w:rStyle w:val="ab"/>
          <w:rFonts w:asciiTheme="minorBidi" w:hAnsiTheme="minorBidi"/>
          <w:rtl/>
        </w:rPr>
        <w:footnoteReference w:id="1966"/>
      </w:r>
      <w:r w:rsidRPr="00845316">
        <w:rPr>
          <w:rFonts w:asciiTheme="minorBidi" w:hAnsiTheme="minorBidi"/>
          <w:rtl/>
        </w:rPr>
        <w:t>- אסור, דגמ' ערוכה היא</w:t>
      </w:r>
      <w:r>
        <w:rPr>
          <w:rFonts w:asciiTheme="minorBidi" w:hAnsiTheme="minorBidi" w:hint="cs"/>
          <w:sz w:val="16"/>
          <w:szCs w:val="16"/>
          <w:rtl/>
        </w:rPr>
        <w:t xml:space="preserve"> (צז:)</w:t>
      </w:r>
      <w:r w:rsidRPr="00845316">
        <w:rPr>
          <w:rFonts w:asciiTheme="minorBidi" w:hAnsiTheme="minorBidi"/>
          <w:rtl/>
        </w:rPr>
        <w:t xml:space="preserve"> שהם חשיבי אחים מן האם</w:t>
      </w:r>
      <w:r w:rsidRPr="00845316">
        <w:rPr>
          <w:rStyle w:val="ab"/>
          <w:rFonts w:asciiTheme="minorBidi" w:hAnsiTheme="minorBidi"/>
          <w:rtl/>
        </w:rPr>
        <w:footnoteReference w:id="1967"/>
      </w:r>
      <w:r w:rsidRPr="00845316">
        <w:rPr>
          <w:rFonts w:asciiTheme="minorBidi" w:hAnsiTheme="minorBidi"/>
          <w:rtl/>
        </w:rPr>
        <w:t xml:space="preserve">, וא"כ פסולים לעדות. </w:t>
      </w:r>
    </w:p>
    <w:p w14:paraId="34D69E18" w14:textId="77777777" w:rsidR="004B607F" w:rsidRPr="00845316" w:rsidRDefault="004B607F" w:rsidP="004B607F">
      <w:pPr>
        <w:rPr>
          <w:rFonts w:asciiTheme="minorBidi" w:hAnsiTheme="minorBidi"/>
          <w:rtl/>
        </w:rPr>
      </w:pPr>
    </w:p>
    <w:p w14:paraId="287BBF29" w14:textId="77777777" w:rsidR="004B607F" w:rsidRPr="00845316" w:rsidRDefault="004B607F" w:rsidP="004B607F">
      <w:pPr>
        <w:pStyle w:val="2"/>
        <w:rPr>
          <w:rFonts w:asciiTheme="minorBidi" w:hAnsiTheme="minorBidi"/>
          <w:rtl/>
        </w:rPr>
      </w:pPr>
      <w:bookmarkStart w:id="272" w:name="_Toc24883740"/>
      <w:r w:rsidRPr="00845316">
        <w:rPr>
          <w:rFonts w:asciiTheme="minorBidi" w:hAnsiTheme="minorBidi"/>
          <w:rtl/>
        </w:rPr>
        <w:t>סעיף יב: קורבה שע"י נשואין נפסקת לאחר המיתה.</w:t>
      </w:r>
      <w:bookmarkEnd w:id="272"/>
    </w:p>
    <w:p w14:paraId="2E614377" w14:textId="77777777" w:rsidR="004B607F" w:rsidRPr="00845316" w:rsidRDefault="004B607F" w:rsidP="004B607F">
      <w:pPr>
        <w:rPr>
          <w:rFonts w:asciiTheme="minorBidi" w:hAnsiTheme="minorBidi"/>
          <w:rtl/>
        </w:rPr>
      </w:pPr>
      <w:r w:rsidRPr="00845316">
        <w:rPr>
          <w:rFonts w:asciiTheme="minorBidi" w:hAnsiTheme="minorBidi"/>
          <w:b/>
          <w:bCs/>
          <w:rtl/>
        </w:rPr>
        <w:t xml:space="preserve">סנהדרין כז ע"ב: </w:t>
      </w:r>
      <w:r w:rsidRPr="00845316">
        <w:rPr>
          <w:rFonts w:asciiTheme="minorBidi" w:hAnsiTheme="minorBidi"/>
          <w:u w:val="double"/>
          <w:rtl/>
        </w:rPr>
        <w:t>משנה:</w:t>
      </w:r>
      <w:r w:rsidRPr="00845316">
        <w:rPr>
          <w:rFonts w:asciiTheme="minorBidi" w:hAnsiTheme="minorBidi"/>
          <w:rtl/>
        </w:rPr>
        <w:t xml:space="preserve"> ואלו הן הקרובין... היה קרוב ונתרחק - הרי זה כשר. </w:t>
      </w:r>
      <w:r w:rsidRPr="00845316">
        <w:rPr>
          <w:rFonts w:asciiTheme="minorBidi" w:hAnsiTheme="minorBidi"/>
          <w:u w:val="single"/>
          <w:rtl/>
        </w:rPr>
        <w:t>רבי יהודה אומר</w:t>
      </w:r>
      <w:r w:rsidRPr="00845316">
        <w:rPr>
          <w:rFonts w:asciiTheme="minorBidi" w:hAnsiTheme="minorBidi"/>
          <w:rtl/>
        </w:rPr>
        <w:t xml:space="preserve">: אפילו מתה בתו ויש לו בנים ממנה - הרי זה קרוב.   </w:t>
      </w:r>
      <w:r w:rsidRPr="00845316">
        <w:rPr>
          <w:rFonts w:asciiTheme="minorBidi" w:hAnsiTheme="minorBidi"/>
          <w:u w:val="double"/>
          <w:rtl/>
        </w:rPr>
        <w:t>גמ'</w:t>
      </w:r>
      <w:r w:rsidRPr="00845316">
        <w:rPr>
          <w:rFonts w:asciiTheme="minorBidi" w:hAnsiTheme="minorBidi"/>
          <w:sz w:val="16"/>
          <w:szCs w:val="16"/>
          <w:u w:val="double"/>
          <w:rtl/>
        </w:rPr>
        <w:t xml:space="preserve"> (כח:)</w:t>
      </w:r>
      <w:r w:rsidRPr="00845316">
        <w:rPr>
          <w:rFonts w:asciiTheme="minorBidi" w:hAnsiTheme="minorBidi"/>
          <w:u w:val="double"/>
          <w:rtl/>
        </w:rPr>
        <w:t>:</w:t>
      </w:r>
      <w:r w:rsidRPr="00845316">
        <w:rPr>
          <w:rFonts w:asciiTheme="minorBidi" w:hAnsiTheme="minorBidi"/>
          <w:rtl/>
        </w:rPr>
        <w:t xml:space="preserve"> </w:t>
      </w:r>
      <w:r w:rsidRPr="00845316">
        <w:rPr>
          <w:rFonts w:asciiTheme="minorBidi" w:hAnsiTheme="minorBidi"/>
          <w:u w:val="single"/>
          <w:rtl/>
        </w:rPr>
        <w:t>אמר רבי תנחום אמר רבי טבלא אמר רבי ברונא אמר רב</w:t>
      </w:r>
      <w:r w:rsidRPr="00845316">
        <w:rPr>
          <w:rFonts w:asciiTheme="minorBidi" w:hAnsiTheme="minorBidi"/>
          <w:rtl/>
        </w:rPr>
        <w:t xml:space="preserve">: הלכה כרבי יהודה. </w:t>
      </w:r>
      <w:r w:rsidRPr="00845316">
        <w:rPr>
          <w:rFonts w:asciiTheme="minorBidi" w:hAnsiTheme="minorBidi"/>
          <w:u w:val="single"/>
          <w:rtl/>
        </w:rPr>
        <w:t>רבא אמר רב נחמן</w:t>
      </w:r>
      <w:r w:rsidRPr="00845316">
        <w:rPr>
          <w:rFonts w:asciiTheme="minorBidi" w:hAnsiTheme="minorBidi"/>
          <w:rtl/>
        </w:rPr>
        <w:t xml:space="preserve">: אין הלכה כרבי יהודה. </w:t>
      </w:r>
      <w:r w:rsidRPr="00845316">
        <w:rPr>
          <w:rFonts w:asciiTheme="minorBidi" w:hAnsiTheme="minorBidi"/>
          <w:u w:val="single"/>
          <w:rtl/>
        </w:rPr>
        <w:t>וכן אמר רבה בר בר חנה אמר רבי יוחנן</w:t>
      </w:r>
      <w:r w:rsidRPr="00845316">
        <w:rPr>
          <w:rFonts w:asciiTheme="minorBidi" w:hAnsiTheme="minorBidi"/>
          <w:rtl/>
        </w:rPr>
        <w:t xml:space="preserve">: אין הלכה כרבי יהודה. </w:t>
      </w:r>
      <w:r w:rsidRPr="00845316">
        <w:rPr>
          <w:rFonts w:asciiTheme="minorBidi" w:hAnsiTheme="minorBidi"/>
          <w:sz w:val="16"/>
          <w:szCs w:val="16"/>
          <w:rtl/>
        </w:rPr>
        <w:t>(וידוע דהלכה כר' יוחנן לגבי רב ושמואל, וכן דהלכה כרב נחמן בדיני)</w:t>
      </w:r>
      <w:r w:rsidRPr="00845316">
        <w:rPr>
          <w:rFonts w:asciiTheme="minorBidi" w:hAnsiTheme="minorBidi"/>
          <w:rtl/>
        </w:rPr>
        <w:t xml:space="preserve"> </w:t>
      </w:r>
    </w:p>
    <w:p w14:paraId="6465EF37" w14:textId="77777777" w:rsidR="004B607F" w:rsidRPr="00845316" w:rsidRDefault="004B607F" w:rsidP="004B607F">
      <w:pPr>
        <w:jc w:val="both"/>
        <w:rPr>
          <w:rFonts w:asciiTheme="minorBidi" w:hAnsiTheme="minorBidi"/>
          <w:rtl/>
        </w:rPr>
      </w:pPr>
      <w:r w:rsidRPr="00845316">
        <w:rPr>
          <w:rFonts w:asciiTheme="minorBidi" w:hAnsiTheme="minorBidi"/>
          <w:b/>
          <w:bCs/>
          <w:sz w:val="32"/>
          <w:szCs w:val="28"/>
          <w:u w:val="single"/>
          <w:rtl/>
        </w:rPr>
        <w:t xml:space="preserve">שו"ע: </w:t>
      </w:r>
    </w:p>
    <w:p w14:paraId="3596F9A8" w14:textId="77777777" w:rsidR="004B607F" w:rsidRPr="00845316" w:rsidRDefault="004B607F" w:rsidP="004B607F">
      <w:pPr>
        <w:rPr>
          <w:rFonts w:asciiTheme="minorBidi" w:hAnsiTheme="minorBidi"/>
        </w:rPr>
      </w:pPr>
      <w:r w:rsidRPr="00845316">
        <w:rPr>
          <w:rFonts w:asciiTheme="minorBidi" w:hAnsiTheme="minorBidi"/>
          <w:rtl/>
        </w:rPr>
        <w:lastRenderedPageBreak/>
        <w:t>כל מי שאין אתה מעיד לו מפני שהוא בעל קרובתך</w:t>
      </w:r>
      <w:r>
        <w:rPr>
          <w:rFonts w:asciiTheme="minorBidi" w:hAnsiTheme="minorBidi" w:hint="cs"/>
          <w:rtl/>
        </w:rPr>
        <w:t>,</w:t>
      </w:r>
      <w:r w:rsidRPr="00845316">
        <w:rPr>
          <w:rFonts w:asciiTheme="minorBidi" w:hAnsiTheme="minorBidi"/>
          <w:rtl/>
        </w:rPr>
        <w:t xml:space="preserve"> אם מתה אשתו</w:t>
      </w:r>
      <w:r w:rsidRPr="00845316">
        <w:rPr>
          <w:rStyle w:val="ab"/>
          <w:rFonts w:asciiTheme="minorBidi" w:hAnsiTheme="minorBidi"/>
          <w:rtl/>
        </w:rPr>
        <w:footnoteReference w:id="1968"/>
      </w:r>
      <w:r w:rsidRPr="00845316">
        <w:rPr>
          <w:rFonts w:asciiTheme="minorBidi" w:hAnsiTheme="minorBidi"/>
          <w:rtl/>
        </w:rPr>
        <w:t xml:space="preserve"> אף על פי שהניחה לו בנים הרי זה נתרחק</w:t>
      </w:r>
      <w:r>
        <w:rPr>
          <w:rFonts w:asciiTheme="minorBidi" w:hAnsiTheme="minorBidi" w:hint="cs"/>
          <w:rtl/>
        </w:rPr>
        <w:t>,</w:t>
      </w:r>
      <w:r w:rsidRPr="00845316">
        <w:rPr>
          <w:rFonts w:asciiTheme="minorBidi" w:hAnsiTheme="minorBidi"/>
          <w:rtl/>
        </w:rPr>
        <w:t xml:space="preserve"> וכשר. </w:t>
      </w:r>
      <w:r w:rsidRPr="00845316">
        <w:rPr>
          <w:rFonts w:asciiTheme="minorBidi" w:hAnsiTheme="minorBidi"/>
          <w:sz w:val="18"/>
          <w:szCs w:val="18"/>
          <w:rtl/>
        </w:rPr>
        <w:t xml:space="preserve">הגה: מיהו אם (ב"י) </w:t>
      </w:r>
      <w:r w:rsidRPr="00330F7E">
        <w:rPr>
          <w:rFonts w:asciiTheme="minorBidi" w:hAnsiTheme="minorBidi"/>
          <w:rtl/>
        </w:rPr>
        <w:t>נפסק הדין כשהיה קרוב</w:t>
      </w:r>
      <w:r w:rsidRPr="00330F7E">
        <w:rPr>
          <w:rStyle w:val="ab"/>
          <w:rFonts w:asciiTheme="minorBidi" w:hAnsiTheme="minorBidi"/>
          <w:rtl/>
        </w:rPr>
        <w:footnoteReference w:id="1969"/>
      </w:r>
      <w:r w:rsidRPr="00330F7E">
        <w:rPr>
          <w:rFonts w:asciiTheme="minorBidi" w:hAnsiTheme="minorBidi"/>
          <w:rtl/>
        </w:rPr>
        <w:t xml:space="preserve"> לא יוכל לחזור ולתבעו אח"כ בעדות זה שנתרחק</w:t>
      </w:r>
      <w:r w:rsidRPr="00330F7E">
        <w:rPr>
          <w:rFonts w:asciiTheme="minorBidi" w:hAnsiTheme="minorBidi" w:hint="cs"/>
          <w:rtl/>
        </w:rPr>
        <w:t>,</w:t>
      </w:r>
      <w:r w:rsidRPr="00330F7E">
        <w:rPr>
          <w:rFonts w:asciiTheme="minorBidi" w:hAnsiTheme="minorBidi"/>
          <w:rtl/>
        </w:rPr>
        <w:t xml:space="preserve"> דהואיל ונפסק הדין נפסק</w:t>
      </w:r>
      <w:r w:rsidRPr="00330F7E">
        <w:rPr>
          <w:rStyle w:val="ab"/>
          <w:rFonts w:asciiTheme="minorBidi" w:hAnsiTheme="minorBidi"/>
          <w:rtl/>
        </w:rPr>
        <w:footnoteReference w:id="1970"/>
      </w:r>
      <w:r w:rsidRPr="00845316">
        <w:rPr>
          <w:rFonts w:asciiTheme="minorBidi" w:hAnsiTheme="minorBidi"/>
          <w:sz w:val="18"/>
          <w:szCs w:val="18"/>
          <w:rtl/>
        </w:rPr>
        <w:t xml:space="preserve">. </w:t>
      </w:r>
    </w:p>
    <w:p w14:paraId="7BF4725A" w14:textId="77777777" w:rsidR="004B607F" w:rsidRPr="00845316" w:rsidRDefault="004B607F" w:rsidP="004B607F">
      <w:pPr>
        <w:rPr>
          <w:rFonts w:asciiTheme="minorBidi" w:hAnsiTheme="minorBidi"/>
          <w:rtl/>
        </w:rPr>
      </w:pPr>
    </w:p>
    <w:p w14:paraId="6BD3DC1B" w14:textId="77777777" w:rsidR="004B607F" w:rsidRPr="00845316" w:rsidRDefault="004B607F" w:rsidP="004B607F">
      <w:pPr>
        <w:pStyle w:val="2"/>
        <w:rPr>
          <w:rFonts w:asciiTheme="minorBidi" w:hAnsiTheme="minorBidi"/>
          <w:rtl/>
        </w:rPr>
      </w:pPr>
      <w:bookmarkStart w:id="273" w:name="_Toc24883741"/>
      <w:r w:rsidRPr="00845316">
        <w:rPr>
          <w:rFonts w:asciiTheme="minorBidi" w:hAnsiTheme="minorBidi"/>
          <w:rtl/>
        </w:rPr>
        <w:t>סעיף יג: היה יודע לו בעדות עד שלא נעשה קרובו.</w:t>
      </w:r>
      <w:bookmarkEnd w:id="273"/>
    </w:p>
    <w:p w14:paraId="39AFE9ED" w14:textId="77777777" w:rsidR="004B607F" w:rsidRPr="00845316" w:rsidRDefault="004B607F" w:rsidP="004B607F">
      <w:pPr>
        <w:rPr>
          <w:rFonts w:asciiTheme="minorBidi" w:hAnsiTheme="minorBidi"/>
          <w:sz w:val="16"/>
          <w:szCs w:val="16"/>
          <w:rtl/>
        </w:rPr>
      </w:pPr>
      <w:r w:rsidRPr="00845316">
        <w:rPr>
          <w:rFonts w:asciiTheme="minorBidi" w:hAnsiTheme="minorBidi"/>
          <w:b/>
          <w:bCs/>
          <w:rtl/>
        </w:rPr>
        <w:t xml:space="preserve">תוספתא </w:t>
      </w:r>
      <w:r w:rsidRPr="00845316">
        <w:rPr>
          <w:rFonts w:asciiTheme="minorBidi" w:hAnsiTheme="minorBidi"/>
          <w:b/>
          <w:bCs/>
          <w:sz w:val="16"/>
          <w:szCs w:val="16"/>
          <w:rtl/>
        </w:rPr>
        <w:t>(צוקרמאנדל)</w:t>
      </w:r>
      <w:r w:rsidRPr="00845316">
        <w:rPr>
          <w:rFonts w:asciiTheme="minorBidi" w:hAnsiTheme="minorBidi"/>
          <w:b/>
          <w:bCs/>
          <w:rtl/>
        </w:rPr>
        <w:t xml:space="preserve"> סנהדרין</w:t>
      </w:r>
      <w:r w:rsidRPr="00845316">
        <w:rPr>
          <w:rFonts w:asciiTheme="minorBidi" w:hAnsiTheme="minorBidi"/>
          <w:b/>
          <w:bCs/>
          <w:sz w:val="16"/>
          <w:szCs w:val="16"/>
          <w:rtl/>
        </w:rPr>
        <w:t xml:space="preserve"> </w:t>
      </w:r>
      <w:r w:rsidRPr="00845316">
        <w:rPr>
          <w:rFonts w:asciiTheme="minorBidi" w:hAnsiTheme="minorBidi"/>
          <w:b/>
          <w:bCs/>
          <w:rtl/>
        </w:rPr>
        <w:t>פ"ה ה"ה:</w:t>
      </w:r>
      <w:r w:rsidRPr="00845316">
        <w:rPr>
          <w:rFonts w:asciiTheme="minorBidi" w:hAnsiTheme="minorBidi"/>
          <w:rtl/>
        </w:rPr>
        <w:t xml:space="preserve"> היה יודע לו עדות בשטר ונעשה חתנו הוא אין יכול לקיים כתב ידיו אבל אחרים מקיימין כתב ידיו.</w:t>
      </w:r>
      <w:r w:rsidRPr="00845316">
        <w:rPr>
          <w:rFonts w:asciiTheme="minorBidi" w:hAnsiTheme="minorBidi"/>
          <w:sz w:val="16"/>
          <w:szCs w:val="16"/>
          <w:rtl/>
        </w:rPr>
        <w:t xml:space="preserve"> </w:t>
      </w:r>
    </w:p>
    <w:p w14:paraId="2CADF527" w14:textId="77777777" w:rsidR="004B607F" w:rsidRPr="00845316" w:rsidRDefault="004B607F" w:rsidP="004B607F">
      <w:pPr>
        <w:rPr>
          <w:rFonts w:asciiTheme="minorBidi" w:hAnsiTheme="minorBidi"/>
          <w:rtl/>
        </w:rPr>
      </w:pPr>
      <w:r w:rsidRPr="00845316">
        <w:rPr>
          <w:rFonts w:asciiTheme="minorBidi" w:hAnsiTheme="minorBidi"/>
          <w:b/>
          <w:bCs/>
          <w:rtl/>
        </w:rPr>
        <w:t>בבא בתרא קנט</w:t>
      </w:r>
      <w:r>
        <w:rPr>
          <w:rStyle w:val="ab"/>
          <w:rFonts w:asciiTheme="minorBidi" w:hAnsiTheme="minorBidi"/>
          <w:b/>
          <w:bCs/>
          <w:rtl/>
        </w:rPr>
        <w:footnoteReference w:id="1971"/>
      </w:r>
      <w:r w:rsidRPr="00845316">
        <w:rPr>
          <w:rFonts w:asciiTheme="minorBidi" w:hAnsiTheme="minorBidi"/>
          <w:b/>
          <w:bCs/>
          <w:rtl/>
        </w:rPr>
        <w:t xml:space="preserve"> ע"א: </w:t>
      </w:r>
      <w:r w:rsidRPr="00845316">
        <w:rPr>
          <w:rFonts w:asciiTheme="minorBidi" w:hAnsiTheme="minorBidi"/>
          <w:rtl/>
        </w:rPr>
        <w:t>היה יודע לו בעדות עד שלא נעשה חתנו ונעשה חתנו... פסול, אבל היה יודע לו בעדות עד שלא נעשה חתנו ונעשה חתנו ומתה בתו... כשר, זה הכלל כל שתחלתו או סופו</w:t>
      </w:r>
      <w:r w:rsidRPr="00845316">
        <w:rPr>
          <w:rStyle w:val="ab"/>
          <w:rFonts w:asciiTheme="minorBidi" w:hAnsiTheme="minorBidi"/>
          <w:rtl/>
        </w:rPr>
        <w:footnoteReference w:id="1972"/>
      </w:r>
      <w:r w:rsidRPr="00845316">
        <w:rPr>
          <w:rFonts w:asciiTheme="minorBidi" w:hAnsiTheme="minorBidi"/>
          <w:rtl/>
        </w:rPr>
        <w:t xml:space="preserve"> בפסלות</w:t>
      </w:r>
      <w:r w:rsidRPr="00845316">
        <w:rPr>
          <w:rStyle w:val="ab"/>
          <w:rFonts w:asciiTheme="minorBidi" w:hAnsiTheme="minorBidi"/>
          <w:rtl/>
        </w:rPr>
        <w:footnoteReference w:id="1973"/>
      </w:r>
      <w:r>
        <w:rPr>
          <w:rFonts w:asciiTheme="minorBidi" w:hAnsiTheme="minorBidi" w:hint="cs"/>
          <w:rtl/>
        </w:rPr>
        <w:t xml:space="preserve"> </w:t>
      </w:r>
      <w:r w:rsidRPr="00845316">
        <w:rPr>
          <w:rFonts w:asciiTheme="minorBidi" w:hAnsiTheme="minorBidi"/>
          <w:rtl/>
        </w:rPr>
        <w:t>- פסול</w:t>
      </w:r>
      <w:r>
        <w:rPr>
          <w:rFonts w:asciiTheme="minorBidi" w:hAnsiTheme="minorBidi" w:hint="cs"/>
          <w:rtl/>
        </w:rPr>
        <w:t>.</w:t>
      </w:r>
      <w:r w:rsidRPr="00845316">
        <w:rPr>
          <w:rFonts w:asciiTheme="minorBidi" w:hAnsiTheme="minorBidi"/>
          <w:rtl/>
        </w:rPr>
        <w:t xml:space="preserve"> תחלתו וסופו בכשרות</w:t>
      </w:r>
      <w:r>
        <w:rPr>
          <w:rFonts w:asciiTheme="minorBidi" w:hAnsiTheme="minorBidi" w:hint="cs"/>
          <w:rtl/>
        </w:rPr>
        <w:t xml:space="preserve"> </w:t>
      </w:r>
      <w:r w:rsidRPr="00845316">
        <w:rPr>
          <w:rFonts w:asciiTheme="minorBidi" w:hAnsiTheme="minorBidi"/>
          <w:rtl/>
        </w:rPr>
        <w:t xml:space="preserve">- כשר.  </w:t>
      </w:r>
    </w:p>
    <w:p w14:paraId="28A29AA8" w14:textId="77777777" w:rsidR="004B607F" w:rsidRPr="00845316" w:rsidRDefault="004B607F" w:rsidP="004B607F">
      <w:pPr>
        <w:rPr>
          <w:rFonts w:asciiTheme="minorBidi" w:hAnsiTheme="minorBidi"/>
          <w:u w:val="single"/>
          <w:rtl/>
        </w:rPr>
      </w:pPr>
      <w:r w:rsidRPr="00845316">
        <w:rPr>
          <w:rFonts w:asciiTheme="minorBidi" w:hAnsiTheme="minorBidi"/>
          <w:u w:val="single"/>
          <w:rtl/>
        </w:rPr>
        <w:t>מה דין שטר שאדם מסויים העיד עליו, ולאחמ"כ נעשה</w:t>
      </w:r>
      <w:r w:rsidRPr="00845316">
        <w:rPr>
          <w:rFonts w:asciiTheme="minorBidi" w:hAnsiTheme="minorBidi"/>
          <w:sz w:val="16"/>
          <w:szCs w:val="16"/>
          <w:u w:val="single"/>
          <w:rtl/>
        </w:rPr>
        <w:t xml:space="preserve"> (אותו אדם)</w:t>
      </w:r>
      <w:r w:rsidRPr="00845316">
        <w:rPr>
          <w:rFonts w:asciiTheme="minorBidi" w:hAnsiTheme="minorBidi"/>
          <w:u w:val="single"/>
          <w:rtl/>
        </w:rPr>
        <w:t xml:space="preserve"> קרובו של בעל השטר:</w:t>
      </w:r>
    </w:p>
    <w:p w14:paraId="0113EF6F" w14:textId="77777777" w:rsidR="004B607F" w:rsidRPr="00845316" w:rsidRDefault="004B607F" w:rsidP="004B0475">
      <w:pPr>
        <w:pStyle w:val="ac"/>
        <w:numPr>
          <w:ilvl w:val="0"/>
          <w:numId w:val="129"/>
        </w:numPr>
        <w:rPr>
          <w:rFonts w:asciiTheme="minorBidi" w:hAnsiTheme="minorBidi"/>
          <w:rtl/>
        </w:rPr>
      </w:pPr>
      <w:r w:rsidRPr="00845316">
        <w:rPr>
          <w:rFonts w:asciiTheme="minorBidi" w:hAnsiTheme="minorBidi"/>
          <w:rtl/>
        </w:rPr>
        <w:t>תוס' רמב"ם בהעי"ט טור והג"א</w:t>
      </w:r>
      <w:r w:rsidRPr="00845316">
        <w:rPr>
          <w:rStyle w:val="ab"/>
          <w:rFonts w:asciiTheme="minorBidi" w:hAnsiTheme="minorBidi"/>
          <w:rtl/>
        </w:rPr>
        <w:footnoteReference w:id="1974"/>
      </w:r>
      <w:r w:rsidRPr="00845316">
        <w:rPr>
          <w:rFonts w:asciiTheme="minorBidi" w:hAnsiTheme="minorBidi"/>
          <w:rtl/>
        </w:rPr>
        <w:t>- אם עדים מעידים שזהו כתב ידו</w:t>
      </w:r>
      <w:r>
        <w:rPr>
          <w:rFonts w:asciiTheme="minorBidi" w:hAnsiTheme="minorBidi" w:hint="cs"/>
          <w:rtl/>
        </w:rPr>
        <w:t xml:space="preserve"> -</w:t>
      </w:r>
      <w:r w:rsidRPr="00845316">
        <w:rPr>
          <w:rFonts w:asciiTheme="minorBidi" w:hAnsiTheme="minorBidi"/>
          <w:rtl/>
        </w:rPr>
        <w:t xml:space="preserve"> הו"ל כאלו העיד קודם שנעשה חתנו וכשר</w:t>
      </w:r>
      <w:r w:rsidRPr="00845316">
        <w:rPr>
          <w:rStyle w:val="ab"/>
          <w:rFonts w:asciiTheme="minorBidi" w:hAnsiTheme="minorBidi"/>
          <w:rtl/>
        </w:rPr>
        <w:footnoteReference w:id="1975"/>
      </w:r>
      <w:r>
        <w:rPr>
          <w:rFonts w:asciiTheme="minorBidi" w:hAnsiTheme="minorBidi" w:hint="cs"/>
          <w:rtl/>
        </w:rPr>
        <w:t>.</w:t>
      </w:r>
      <w:r w:rsidRPr="00845316">
        <w:rPr>
          <w:rFonts w:asciiTheme="minorBidi" w:hAnsiTheme="minorBidi"/>
          <w:rtl/>
        </w:rPr>
        <w:t xml:space="preserve"> וא"צ להעיד שהחתימה נעשתה לפני שהתחתן עמו. </w:t>
      </w:r>
      <w:r w:rsidRPr="00845316">
        <w:rPr>
          <w:rFonts w:asciiTheme="minorBidi" w:hAnsiTheme="minorBidi"/>
          <w:color w:val="E36C0A" w:themeColor="accent6" w:themeShade="BF"/>
          <w:rtl/>
        </w:rPr>
        <w:t>(וכ"פ בשו"ע</w:t>
      </w:r>
      <w:r w:rsidRPr="00845316">
        <w:rPr>
          <w:rStyle w:val="ab"/>
          <w:rFonts w:asciiTheme="minorBidi" w:hAnsiTheme="minorBidi"/>
          <w:rtl/>
        </w:rPr>
        <w:footnoteReference w:id="1976"/>
      </w:r>
      <w:r w:rsidRPr="00845316">
        <w:rPr>
          <w:rFonts w:asciiTheme="minorBidi" w:hAnsiTheme="minorBidi"/>
          <w:color w:val="E36C0A" w:themeColor="accent6" w:themeShade="BF"/>
          <w:rtl/>
        </w:rPr>
        <w:t>)</w:t>
      </w:r>
      <w:r w:rsidRPr="00845316">
        <w:rPr>
          <w:rFonts w:asciiTheme="minorBidi" w:hAnsiTheme="minorBidi"/>
          <w:rtl/>
        </w:rPr>
        <w:t xml:space="preserve"> </w:t>
      </w:r>
    </w:p>
    <w:p w14:paraId="74D524FA" w14:textId="77777777" w:rsidR="004B607F" w:rsidRPr="00845316" w:rsidRDefault="004B607F" w:rsidP="004B0475">
      <w:pPr>
        <w:pStyle w:val="ac"/>
        <w:numPr>
          <w:ilvl w:val="0"/>
          <w:numId w:val="129"/>
        </w:numPr>
        <w:rPr>
          <w:rFonts w:asciiTheme="minorBidi" w:hAnsiTheme="minorBidi"/>
        </w:rPr>
      </w:pPr>
      <w:r w:rsidRPr="00845316">
        <w:rPr>
          <w:rFonts w:asciiTheme="minorBidi" w:hAnsiTheme="minorBidi"/>
          <w:rtl/>
        </w:rPr>
        <w:t xml:space="preserve">מהר"ם </w:t>
      </w:r>
      <w:r w:rsidRPr="00845316">
        <w:rPr>
          <w:rFonts w:asciiTheme="minorBidi" w:hAnsiTheme="minorBidi"/>
          <w:sz w:val="16"/>
          <w:szCs w:val="16"/>
          <w:rtl/>
        </w:rPr>
        <w:t>(ד"פ סי' קטו, הביאו המרדכי סי' תרצו)</w:t>
      </w:r>
      <w:r w:rsidRPr="00845316">
        <w:rPr>
          <w:rFonts w:asciiTheme="minorBidi" w:hAnsiTheme="minorBidi"/>
          <w:rtl/>
        </w:rPr>
        <w:t>- פסול, דאיכא למיחש שמא לאחר שנעשה קרובו כתב וזייף והקדים הזמן, אא"כ אחרים מעידים שראו חתימתו בשטר קודם שנעשה חתנו</w:t>
      </w:r>
      <w:r w:rsidRPr="00845316">
        <w:rPr>
          <w:rStyle w:val="ab"/>
          <w:rFonts w:asciiTheme="minorBidi" w:hAnsiTheme="minorBidi"/>
          <w:rtl/>
        </w:rPr>
        <w:footnoteReference w:id="1977"/>
      </w:r>
      <w:r w:rsidRPr="00845316">
        <w:rPr>
          <w:rFonts w:asciiTheme="minorBidi" w:hAnsiTheme="minorBidi"/>
          <w:rtl/>
        </w:rPr>
        <w:t xml:space="preserve"> וגם מעידים על חתימתו, ואל"כ אפי' הנפק</w:t>
      </w:r>
      <w:r w:rsidRPr="00845316">
        <w:rPr>
          <w:rStyle w:val="ab"/>
          <w:rFonts w:asciiTheme="minorBidi" w:hAnsiTheme="minorBidi"/>
          <w:rtl/>
        </w:rPr>
        <w:footnoteReference w:id="1978"/>
      </w:r>
      <w:r w:rsidRPr="00845316">
        <w:rPr>
          <w:rFonts w:asciiTheme="minorBidi" w:hAnsiTheme="minorBidi"/>
          <w:rtl/>
        </w:rPr>
        <w:t xml:space="preserve"> לא מכשירו, משום שהדיינים חותמים על השטר אע"פ שלא קראוהו</w:t>
      </w:r>
      <w:r w:rsidRPr="00845316">
        <w:rPr>
          <w:rStyle w:val="ab"/>
          <w:rFonts w:asciiTheme="minorBidi" w:hAnsiTheme="minorBidi"/>
          <w:rtl/>
        </w:rPr>
        <w:footnoteReference w:id="1979"/>
      </w:r>
      <w:r w:rsidRPr="00845316">
        <w:rPr>
          <w:rFonts w:asciiTheme="minorBidi" w:hAnsiTheme="minorBidi"/>
          <w:rtl/>
        </w:rPr>
        <w:t xml:space="preserve">. </w:t>
      </w:r>
    </w:p>
    <w:p w14:paraId="2FF878BE" w14:textId="77777777" w:rsidR="004B607F" w:rsidRPr="00845316" w:rsidRDefault="004B607F" w:rsidP="004B607F">
      <w:pPr>
        <w:rPr>
          <w:rFonts w:asciiTheme="minorBidi" w:hAnsiTheme="minorBidi"/>
          <w:sz w:val="16"/>
          <w:szCs w:val="16"/>
          <w:rtl/>
        </w:rPr>
      </w:pPr>
      <w:r w:rsidRPr="00845316">
        <w:rPr>
          <w:rFonts w:asciiTheme="minorBidi" w:hAnsiTheme="minorBidi"/>
          <w:b/>
          <w:bCs/>
          <w:rtl/>
        </w:rPr>
        <w:t>שבועות ל</w:t>
      </w:r>
      <w:r>
        <w:rPr>
          <w:rFonts w:asciiTheme="minorBidi" w:hAnsiTheme="minorBidi" w:hint="cs"/>
          <w:b/>
          <w:bCs/>
          <w:rtl/>
        </w:rPr>
        <w:t>ב</w:t>
      </w:r>
      <w:r w:rsidRPr="00845316">
        <w:rPr>
          <w:rFonts w:asciiTheme="minorBidi" w:hAnsiTheme="minorBidi"/>
          <w:b/>
          <w:bCs/>
          <w:rtl/>
        </w:rPr>
        <w:t xml:space="preserve"> ע"</w:t>
      </w:r>
      <w:r>
        <w:rPr>
          <w:rFonts w:asciiTheme="minorBidi" w:hAnsiTheme="minorBidi" w:hint="cs"/>
          <w:b/>
          <w:bCs/>
          <w:rtl/>
        </w:rPr>
        <w:t>ב</w:t>
      </w:r>
      <w:r w:rsidRPr="00845316">
        <w:rPr>
          <w:rFonts w:asciiTheme="minorBidi" w:hAnsiTheme="minorBidi"/>
          <w:b/>
          <w:bCs/>
          <w:rtl/>
        </w:rPr>
        <w:t xml:space="preserve">: </w:t>
      </w:r>
      <w:r w:rsidRPr="00845316">
        <w:rPr>
          <w:rFonts w:asciiTheme="minorBidi" w:hAnsiTheme="minorBidi"/>
          <w:rtl/>
        </w:rPr>
        <w:t>היו שתי כיתי עדים, כפרה הראשונה ואח"כ כפרה השניה. בשלמא שניה תתחייב, דכפרה לה ראשונה</w:t>
      </w:r>
      <w:r w:rsidRPr="00845316">
        <w:rPr>
          <w:rStyle w:val="ab"/>
          <w:rFonts w:asciiTheme="minorBidi" w:hAnsiTheme="minorBidi"/>
          <w:rtl/>
        </w:rPr>
        <w:footnoteReference w:id="1980"/>
      </w:r>
      <w:r w:rsidRPr="00845316">
        <w:rPr>
          <w:rFonts w:asciiTheme="minorBidi" w:hAnsiTheme="minorBidi"/>
          <w:rtl/>
        </w:rPr>
        <w:t xml:space="preserve">, אלא ראשונה אמאי? </w:t>
      </w:r>
      <w:r>
        <w:rPr>
          <w:rFonts w:asciiTheme="minorBidi" w:hAnsiTheme="minorBidi" w:hint="cs"/>
          <w:sz w:val="14"/>
          <w:szCs w:val="14"/>
          <w:rtl/>
        </w:rPr>
        <w:t xml:space="preserve">(לג.) </w:t>
      </w:r>
      <w:r w:rsidRPr="00845316">
        <w:rPr>
          <w:rFonts w:asciiTheme="minorBidi" w:hAnsiTheme="minorBidi"/>
          <w:rtl/>
        </w:rPr>
        <w:t>הא קיימא שניה</w:t>
      </w:r>
      <w:r w:rsidRPr="00845316">
        <w:rPr>
          <w:rStyle w:val="ab"/>
          <w:rFonts w:asciiTheme="minorBidi" w:hAnsiTheme="minorBidi"/>
          <w:rtl/>
        </w:rPr>
        <w:footnoteReference w:id="1981"/>
      </w:r>
      <w:r w:rsidRPr="00845316">
        <w:rPr>
          <w:rFonts w:asciiTheme="minorBidi" w:hAnsiTheme="minorBidi"/>
          <w:rtl/>
        </w:rPr>
        <w:t xml:space="preserve">! </w:t>
      </w:r>
      <w:r w:rsidRPr="00845316">
        <w:rPr>
          <w:rFonts w:asciiTheme="minorBidi" w:hAnsiTheme="minorBidi"/>
          <w:u w:val="single"/>
          <w:rtl/>
        </w:rPr>
        <w:t>אמר רבינא</w:t>
      </w:r>
      <w:r w:rsidRPr="00845316">
        <w:rPr>
          <w:rFonts w:asciiTheme="minorBidi" w:hAnsiTheme="minorBidi"/>
          <w:rtl/>
        </w:rPr>
        <w:t>: הכא במאי עסקינן - כגון שהיתה שניה בשעת כפירת ראשונה קרובין בנשותיהן</w:t>
      </w:r>
      <w:r w:rsidRPr="00845316">
        <w:rPr>
          <w:rStyle w:val="ab"/>
          <w:rFonts w:asciiTheme="minorBidi" w:hAnsiTheme="minorBidi"/>
          <w:rtl/>
        </w:rPr>
        <w:footnoteReference w:id="1982"/>
      </w:r>
      <w:r w:rsidRPr="00845316">
        <w:rPr>
          <w:rFonts w:asciiTheme="minorBidi" w:hAnsiTheme="minorBidi"/>
          <w:rtl/>
        </w:rPr>
        <w:t xml:space="preserve"> ונשותיהן גוססות, מהו דתימא: רוב גוססים למיתה</w:t>
      </w:r>
      <w:r w:rsidRPr="00845316">
        <w:rPr>
          <w:rStyle w:val="ab"/>
          <w:rFonts w:asciiTheme="minorBidi" w:hAnsiTheme="minorBidi"/>
          <w:rtl/>
        </w:rPr>
        <w:footnoteReference w:id="1983"/>
      </w:r>
      <w:r w:rsidRPr="00845316">
        <w:rPr>
          <w:rFonts w:asciiTheme="minorBidi" w:hAnsiTheme="minorBidi"/>
          <w:rtl/>
        </w:rPr>
        <w:t xml:space="preserve">, קמ"ל (השתא מיהא לא </w:t>
      </w:r>
      <w:r w:rsidRPr="00845316">
        <w:rPr>
          <w:rFonts w:asciiTheme="minorBidi" w:hAnsiTheme="minorBidi"/>
          <w:rtl/>
        </w:rPr>
        <w:lastRenderedPageBreak/>
        <w:t>שכיב</w:t>
      </w:r>
      <w:r w:rsidRPr="00845316">
        <w:rPr>
          <w:rStyle w:val="ab"/>
          <w:rFonts w:asciiTheme="minorBidi" w:hAnsiTheme="minorBidi"/>
          <w:rtl/>
        </w:rPr>
        <w:footnoteReference w:id="1984"/>
      </w:r>
      <w:r w:rsidRPr="00845316">
        <w:rPr>
          <w:rFonts w:asciiTheme="minorBidi" w:hAnsiTheme="minorBidi"/>
          <w:rtl/>
        </w:rPr>
        <w:t xml:space="preserve">). </w:t>
      </w:r>
      <w:r w:rsidRPr="00845316">
        <w:rPr>
          <w:rFonts w:asciiTheme="minorBidi" w:hAnsiTheme="minorBidi"/>
          <w:sz w:val="16"/>
          <w:szCs w:val="16"/>
          <w:rtl/>
        </w:rPr>
        <w:t>(וכ' בהג"א</w:t>
      </w:r>
      <w:r w:rsidRPr="00845316">
        <w:rPr>
          <w:rStyle w:val="ab"/>
          <w:rFonts w:asciiTheme="minorBidi" w:hAnsiTheme="minorBidi"/>
          <w:sz w:val="18"/>
          <w:szCs w:val="18"/>
          <w:rtl/>
        </w:rPr>
        <w:footnoteReference w:id="1985"/>
      </w:r>
      <w:r w:rsidRPr="00845316">
        <w:rPr>
          <w:rFonts w:asciiTheme="minorBidi" w:hAnsiTheme="minorBidi"/>
          <w:sz w:val="16"/>
          <w:szCs w:val="16"/>
          <w:rtl/>
        </w:rPr>
        <w:t xml:space="preserve"> (סי' טו) דשמעינן מינה דגיסין הנשואין שתי אחיות, והאחיות גוססות, ונעשו הגיסין עדים כשהיו גוססות, אע"פ שהאחיות מתו אין יכולים להעיד דבעינן תחלתו וסופו בכשרות)</w:t>
      </w:r>
    </w:p>
    <w:p w14:paraId="6A3CE205" w14:textId="77777777" w:rsidR="004B607F" w:rsidRPr="00845316" w:rsidRDefault="004B607F" w:rsidP="004B607F">
      <w:pPr>
        <w:jc w:val="both"/>
        <w:rPr>
          <w:rFonts w:asciiTheme="minorBidi" w:hAnsiTheme="minorBidi"/>
          <w:rtl/>
        </w:rPr>
      </w:pPr>
      <w:r w:rsidRPr="00845316">
        <w:rPr>
          <w:rFonts w:asciiTheme="minorBidi" w:hAnsiTheme="minorBidi"/>
          <w:b/>
          <w:bCs/>
          <w:sz w:val="32"/>
          <w:szCs w:val="28"/>
          <w:u w:val="single"/>
          <w:rtl/>
        </w:rPr>
        <w:t xml:space="preserve">שו"ע: </w:t>
      </w:r>
    </w:p>
    <w:p w14:paraId="3CB7C138" w14:textId="77777777" w:rsidR="004B607F" w:rsidRPr="00845316" w:rsidRDefault="004B607F" w:rsidP="004B607F">
      <w:pPr>
        <w:rPr>
          <w:rFonts w:asciiTheme="minorBidi" w:hAnsiTheme="minorBidi"/>
          <w:rtl/>
        </w:rPr>
      </w:pPr>
      <w:r w:rsidRPr="00845316">
        <w:rPr>
          <w:rFonts w:asciiTheme="minorBidi" w:hAnsiTheme="minorBidi"/>
          <w:rtl/>
        </w:rPr>
        <w:t>היה יודע לו בעדות עד שלא נעשה חתנו ונעשה חתנו</w:t>
      </w:r>
      <w:r>
        <w:rPr>
          <w:rFonts w:asciiTheme="minorBidi" w:hAnsiTheme="minorBidi" w:hint="cs"/>
          <w:rtl/>
        </w:rPr>
        <w:t>,</w:t>
      </w:r>
      <w:r w:rsidRPr="00845316">
        <w:rPr>
          <w:rFonts w:asciiTheme="minorBidi" w:hAnsiTheme="minorBidi"/>
          <w:rtl/>
        </w:rPr>
        <w:t xml:space="preserve"> פסול לו</w:t>
      </w:r>
      <w:r w:rsidRPr="00845316">
        <w:rPr>
          <w:rStyle w:val="ab"/>
          <w:rFonts w:asciiTheme="minorBidi" w:hAnsiTheme="minorBidi"/>
          <w:rtl/>
        </w:rPr>
        <w:footnoteReference w:id="1986"/>
      </w:r>
      <w:r>
        <w:rPr>
          <w:rFonts w:asciiTheme="minorBidi" w:hAnsiTheme="minorBidi" w:hint="cs"/>
          <w:rtl/>
        </w:rPr>
        <w:t>.</w:t>
      </w:r>
      <w:r w:rsidRPr="00845316">
        <w:rPr>
          <w:rFonts w:asciiTheme="minorBidi" w:hAnsiTheme="minorBidi"/>
          <w:rtl/>
        </w:rPr>
        <w:t xml:space="preserve"> וכן אם ידע העדות כשהיה חתנו ומתה בתו</w:t>
      </w:r>
      <w:r>
        <w:rPr>
          <w:rFonts w:asciiTheme="minorBidi" w:hAnsiTheme="minorBidi" w:hint="cs"/>
          <w:rtl/>
        </w:rPr>
        <w:t>,</w:t>
      </w:r>
      <w:r w:rsidRPr="00845316">
        <w:rPr>
          <w:rFonts w:asciiTheme="minorBidi" w:hAnsiTheme="minorBidi"/>
          <w:rtl/>
        </w:rPr>
        <w:t xml:space="preserve"> פסול</w:t>
      </w:r>
      <w:r w:rsidRPr="00845316">
        <w:rPr>
          <w:rStyle w:val="ab"/>
          <w:rFonts w:asciiTheme="minorBidi" w:hAnsiTheme="minorBidi"/>
          <w:rtl/>
        </w:rPr>
        <w:footnoteReference w:id="1987"/>
      </w:r>
      <w:r>
        <w:rPr>
          <w:rFonts w:asciiTheme="minorBidi" w:hAnsiTheme="minorBidi" w:hint="cs"/>
          <w:rtl/>
        </w:rPr>
        <w:t>.</w:t>
      </w:r>
      <w:r w:rsidRPr="00845316">
        <w:rPr>
          <w:rFonts w:asciiTheme="minorBidi" w:hAnsiTheme="minorBidi"/>
          <w:rtl/>
        </w:rPr>
        <w:t xml:space="preserve"> אבל אם ידע העדות בשעה שלא היה חתנו ונעשה חתנו ומתה בתו</w:t>
      </w:r>
      <w:r>
        <w:rPr>
          <w:rFonts w:asciiTheme="minorBidi" w:hAnsiTheme="minorBidi" w:hint="cs"/>
          <w:rtl/>
        </w:rPr>
        <w:t>,</w:t>
      </w:r>
      <w:r w:rsidRPr="00845316">
        <w:rPr>
          <w:rFonts w:asciiTheme="minorBidi" w:hAnsiTheme="minorBidi"/>
          <w:rtl/>
        </w:rPr>
        <w:t xml:space="preserve"> מאחר שתחלתו וסופו בכשרות אף על פי שנפסל בנתיים</w:t>
      </w:r>
      <w:r>
        <w:rPr>
          <w:rFonts w:asciiTheme="minorBidi" w:hAnsiTheme="minorBidi" w:hint="cs"/>
          <w:rtl/>
        </w:rPr>
        <w:t>,</w:t>
      </w:r>
      <w:r w:rsidRPr="00845316">
        <w:rPr>
          <w:rFonts w:asciiTheme="minorBidi" w:hAnsiTheme="minorBidi"/>
          <w:rtl/>
        </w:rPr>
        <w:t xml:space="preserve"> כשר.</w:t>
      </w:r>
    </w:p>
    <w:p w14:paraId="707C4E4B" w14:textId="77777777" w:rsidR="004B607F" w:rsidRPr="00845316" w:rsidRDefault="004B607F" w:rsidP="004B607F">
      <w:pPr>
        <w:rPr>
          <w:rFonts w:asciiTheme="minorBidi" w:hAnsiTheme="minorBidi"/>
          <w:rtl/>
        </w:rPr>
      </w:pPr>
    </w:p>
    <w:p w14:paraId="6BD481FD" w14:textId="77777777" w:rsidR="004B607F" w:rsidRPr="00845316" w:rsidRDefault="004B607F" w:rsidP="004B607F">
      <w:pPr>
        <w:pStyle w:val="2"/>
        <w:rPr>
          <w:rFonts w:asciiTheme="minorBidi" w:hAnsiTheme="minorBidi"/>
          <w:rtl/>
        </w:rPr>
      </w:pPr>
      <w:bookmarkStart w:id="274" w:name="_Toc24883742"/>
      <w:r w:rsidRPr="00845316">
        <w:rPr>
          <w:rFonts w:asciiTheme="minorBidi" w:hAnsiTheme="minorBidi"/>
          <w:rtl/>
        </w:rPr>
        <w:t>סעיף יד: שכיב מרע שציוה בפני קרובים.</w:t>
      </w:r>
      <w:bookmarkEnd w:id="274"/>
    </w:p>
    <w:p w14:paraId="528BB2BB" w14:textId="77777777" w:rsidR="004B607F" w:rsidRPr="00845316" w:rsidRDefault="004B607F" w:rsidP="004B607F">
      <w:pPr>
        <w:rPr>
          <w:rFonts w:asciiTheme="minorBidi" w:hAnsiTheme="minorBidi"/>
          <w:u w:val="single"/>
          <w:rtl/>
        </w:rPr>
      </w:pPr>
      <w:r w:rsidRPr="00845316">
        <w:rPr>
          <w:rFonts w:asciiTheme="minorBidi" w:hAnsiTheme="minorBidi"/>
          <w:u w:val="single"/>
          <w:rtl/>
        </w:rPr>
        <w:t>מה דין צוואה שציוה שכיב מרע בפני עדים הקרובים לו</w:t>
      </w:r>
      <w:r>
        <w:rPr>
          <w:rFonts w:asciiTheme="minorBidi" w:hAnsiTheme="minorBidi" w:hint="cs"/>
          <w:u w:val="single"/>
          <w:rtl/>
        </w:rPr>
        <w:t xml:space="preserve"> ורחוקים מבניו</w:t>
      </w:r>
      <w:r w:rsidRPr="00845316">
        <w:rPr>
          <w:rFonts w:asciiTheme="minorBidi" w:hAnsiTheme="minorBidi"/>
          <w:u w:val="single"/>
          <w:rtl/>
        </w:rPr>
        <w:t>:</w:t>
      </w:r>
    </w:p>
    <w:p w14:paraId="54549875" w14:textId="77777777" w:rsidR="004B607F" w:rsidRPr="00845316" w:rsidRDefault="004B607F" w:rsidP="004B0475">
      <w:pPr>
        <w:pStyle w:val="ac"/>
        <w:numPr>
          <w:ilvl w:val="0"/>
          <w:numId w:val="130"/>
        </w:numPr>
        <w:rPr>
          <w:rFonts w:asciiTheme="minorBidi" w:hAnsiTheme="minorBidi"/>
          <w:rtl/>
        </w:rPr>
      </w:pPr>
      <w:r w:rsidRPr="00845316">
        <w:rPr>
          <w:rFonts w:asciiTheme="minorBidi" w:hAnsiTheme="minorBidi"/>
          <w:rtl/>
        </w:rPr>
        <w:t xml:space="preserve">רא"ש </w:t>
      </w:r>
      <w:r w:rsidRPr="00845316">
        <w:rPr>
          <w:rFonts w:asciiTheme="minorBidi" w:hAnsiTheme="minorBidi"/>
          <w:sz w:val="16"/>
          <w:szCs w:val="16"/>
          <w:rtl/>
        </w:rPr>
        <w:t>(סי' כא)</w:t>
      </w:r>
      <w:r w:rsidRPr="00845316">
        <w:rPr>
          <w:rFonts w:asciiTheme="minorBidi" w:hAnsiTheme="minorBidi"/>
          <w:rtl/>
        </w:rPr>
        <w:t>- פסולה.</w:t>
      </w:r>
      <w:r w:rsidRPr="00845316">
        <w:rPr>
          <w:rFonts w:asciiTheme="minorBidi" w:hAnsiTheme="minorBidi"/>
          <w:color w:val="E36C0A" w:themeColor="accent6" w:themeShade="BF"/>
          <w:rtl/>
        </w:rPr>
        <w:t xml:space="preserve"> (וכ"פ בשו"ע)</w:t>
      </w:r>
    </w:p>
    <w:p w14:paraId="4C69A941" w14:textId="77777777" w:rsidR="004B607F" w:rsidRPr="00845316" w:rsidRDefault="004B607F" w:rsidP="004B0475">
      <w:pPr>
        <w:pStyle w:val="ac"/>
        <w:numPr>
          <w:ilvl w:val="0"/>
          <w:numId w:val="130"/>
        </w:numPr>
        <w:rPr>
          <w:rFonts w:asciiTheme="minorBidi" w:hAnsiTheme="minorBidi"/>
          <w:rtl/>
        </w:rPr>
      </w:pPr>
      <w:r w:rsidRPr="00845316">
        <w:rPr>
          <w:rFonts w:asciiTheme="minorBidi" w:hAnsiTheme="minorBidi"/>
          <w:rtl/>
        </w:rPr>
        <w:t xml:space="preserve">גאון </w:t>
      </w:r>
      <w:r w:rsidRPr="00845316">
        <w:rPr>
          <w:rFonts w:asciiTheme="minorBidi" w:hAnsiTheme="minorBidi"/>
          <w:sz w:val="16"/>
          <w:szCs w:val="16"/>
          <w:rtl/>
        </w:rPr>
        <w:t>(הובא ברא"ש)</w:t>
      </w:r>
      <w:r w:rsidRPr="00845316">
        <w:rPr>
          <w:rFonts w:asciiTheme="minorBidi" w:hAnsiTheme="minorBidi"/>
          <w:rtl/>
        </w:rPr>
        <w:t>- כשרה.</w:t>
      </w:r>
    </w:p>
    <w:p w14:paraId="0C8EF9E9" w14:textId="77777777" w:rsidR="004B607F" w:rsidRPr="00845316" w:rsidRDefault="004B607F" w:rsidP="004B607F">
      <w:pPr>
        <w:jc w:val="both"/>
        <w:rPr>
          <w:rFonts w:asciiTheme="minorBidi" w:hAnsiTheme="minorBidi"/>
          <w:rtl/>
        </w:rPr>
      </w:pPr>
      <w:r w:rsidRPr="00845316">
        <w:rPr>
          <w:rFonts w:asciiTheme="minorBidi" w:hAnsiTheme="minorBidi"/>
          <w:b/>
          <w:bCs/>
          <w:sz w:val="32"/>
          <w:szCs w:val="28"/>
          <w:u w:val="single"/>
          <w:rtl/>
        </w:rPr>
        <w:t xml:space="preserve">שו"ע: </w:t>
      </w:r>
    </w:p>
    <w:p w14:paraId="64160435" w14:textId="77777777" w:rsidR="004B607F" w:rsidRPr="00845316" w:rsidRDefault="004B607F" w:rsidP="004B607F">
      <w:pPr>
        <w:rPr>
          <w:rFonts w:asciiTheme="minorBidi" w:hAnsiTheme="minorBidi"/>
          <w:rtl/>
        </w:rPr>
      </w:pPr>
      <w:r w:rsidRPr="00845316">
        <w:rPr>
          <w:rFonts w:asciiTheme="minorBidi" w:hAnsiTheme="minorBidi"/>
          <w:rtl/>
        </w:rPr>
        <w:t>שכיב מרע שצוה בפני עדים הקרובים לו ורחוקים מבניו</w:t>
      </w:r>
      <w:r>
        <w:rPr>
          <w:rFonts w:asciiTheme="minorBidi" w:hAnsiTheme="minorBidi" w:hint="cs"/>
          <w:rtl/>
        </w:rPr>
        <w:t>,</w:t>
      </w:r>
      <w:r w:rsidRPr="00845316">
        <w:rPr>
          <w:rFonts w:asciiTheme="minorBidi" w:hAnsiTheme="minorBidi"/>
          <w:rtl/>
        </w:rPr>
        <w:t xml:space="preserve"> אין הצואה כלום</w:t>
      </w:r>
      <w:r>
        <w:rPr>
          <w:rFonts w:asciiTheme="minorBidi" w:hAnsiTheme="minorBidi" w:hint="cs"/>
          <w:rtl/>
        </w:rPr>
        <w:t>,</w:t>
      </w:r>
      <w:r w:rsidRPr="00845316">
        <w:rPr>
          <w:rFonts w:asciiTheme="minorBidi" w:hAnsiTheme="minorBidi"/>
          <w:rtl/>
        </w:rPr>
        <w:t xml:space="preserve"> כיון שהיו קרובים בשעה שנמסר להם העדות</w:t>
      </w:r>
      <w:r>
        <w:rPr>
          <w:rFonts w:asciiTheme="minorBidi" w:hAnsiTheme="minorBidi" w:hint="cs"/>
          <w:rtl/>
        </w:rPr>
        <w:t>.</w:t>
      </w:r>
      <w:r w:rsidRPr="00845316">
        <w:rPr>
          <w:rFonts w:asciiTheme="minorBidi" w:hAnsiTheme="minorBidi"/>
          <w:rtl/>
        </w:rPr>
        <w:t xml:space="preserve"> ויש מי שמכשיר</w:t>
      </w:r>
      <w:r w:rsidRPr="00845316">
        <w:rPr>
          <w:rStyle w:val="ab"/>
          <w:rFonts w:asciiTheme="minorBidi" w:hAnsiTheme="minorBidi"/>
          <w:rtl/>
        </w:rPr>
        <w:footnoteReference w:id="1988"/>
      </w:r>
      <w:r w:rsidRPr="00845316">
        <w:rPr>
          <w:rFonts w:asciiTheme="minorBidi" w:hAnsiTheme="minorBidi"/>
          <w:rtl/>
        </w:rPr>
        <w:t xml:space="preserve">. </w:t>
      </w:r>
    </w:p>
    <w:p w14:paraId="3BAC57AC" w14:textId="77777777" w:rsidR="004B607F" w:rsidRPr="00845316" w:rsidRDefault="004B607F" w:rsidP="004B607F">
      <w:pPr>
        <w:rPr>
          <w:rFonts w:asciiTheme="minorBidi" w:hAnsiTheme="minorBidi"/>
          <w:u w:val="single"/>
          <w:rtl/>
        </w:rPr>
      </w:pPr>
      <w:r w:rsidRPr="00845316">
        <w:rPr>
          <w:rFonts w:asciiTheme="minorBidi" w:hAnsiTheme="minorBidi"/>
          <w:u w:val="single"/>
          <w:rtl/>
        </w:rPr>
        <w:t>שאלה גבי שטר צוואה:</w:t>
      </w:r>
      <w:r w:rsidRPr="00845316">
        <w:rPr>
          <w:rFonts w:asciiTheme="minorBidi" w:hAnsiTheme="minorBidi"/>
          <w:sz w:val="16"/>
          <w:szCs w:val="16"/>
          <w:rtl/>
        </w:rPr>
        <w:t xml:space="preserve">    (פת"ש סק"ו)</w:t>
      </w:r>
    </w:p>
    <w:p w14:paraId="5DAC22F8" w14:textId="77777777" w:rsidR="004B607F" w:rsidRPr="00845316" w:rsidRDefault="004B607F" w:rsidP="004B0475">
      <w:pPr>
        <w:pStyle w:val="ac"/>
        <w:numPr>
          <w:ilvl w:val="0"/>
          <w:numId w:val="191"/>
        </w:numPr>
        <w:rPr>
          <w:rFonts w:asciiTheme="minorBidi" w:hAnsiTheme="minorBidi"/>
          <w:rtl/>
        </w:rPr>
      </w:pPr>
      <w:r w:rsidRPr="00845316">
        <w:rPr>
          <w:rFonts w:asciiTheme="minorBidi" w:hAnsiTheme="minorBidi"/>
          <w:rtl/>
        </w:rPr>
        <w:t xml:space="preserve">חת"ס </w:t>
      </w:r>
      <w:r w:rsidRPr="00845316">
        <w:rPr>
          <w:rFonts w:asciiTheme="minorBidi" w:hAnsiTheme="minorBidi"/>
          <w:sz w:val="16"/>
          <w:szCs w:val="16"/>
          <w:rtl/>
        </w:rPr>
        <w:t>(חו"מ סי' מ)</w:t>
      </w:r>
      <w:r w:rsidRPr="00845316">
        <w:rPr>
          <w:rFonts w:asciiTheme="minorBidi" w:hAnsiTheme="minorBidi"/>
          <w:rtl/>
        </w:rPr>
        <w:t xml:space="preserve">- שטר צואה במתנת ברי מהיום ולאחר מיתה ובקנין, שהיו חתומים עליו עדים פסולים </w:t>
      </w:r>
      <w:r w:rsidRPr="00845316">
        <w:rPr>
          <w:rFonts w:asciiTheme="minorBidi" w:hAnsiTheme="minorBidi"/>
          <w:sz w:val="16"/>
          <w:szCs w:val="16"/>
          <w:rtl/>
        </w:rPr>
        <w:t>(אחד מחמת קורבה ואחד מחמת נגיעה)</w:t>
      </w:r>
      <w:r w:rsidRPr="00845316">
        <w:rPr>
          <w:rFonts w:asciiTheme="minorBidi" w:hAnsiTheme="minorBidi"/>
          <w:rtl/>
        </w:rPr>
        <w:t xml:space="preserve">, אך לשון השטר- "ואמר לנו הוו עלי עדים כשרים ונאמנים וקנו ממני... וכל המערער על שטר זה יהיו דבריו בטלים", ואח"כ חתם בחתימת יד עצמו והעדים הפסולים אחריו. ורצה הרב השואל להכשיר השטר כיון שהוא עצמו חתם וקיבל על עצמו עדים הפסולים ככשרים, ובשגם שיש קנין כו'. והשיב </w:t>
      </w:r>
      <w:r w:rsidRPr="00845316">
        <w:rPr>
          <w:rFonts w:asciiTheme="minorBidi" w:hAnsiTheme="minorBidi"/>
          <w:sz w:val="16"/>
          <w:szCs w:val="16"/>
          <w:rtl/>
        </w:rPr>
        <w:t>{החת"ס}</w:t>
      </w:r>
      <w:r w:rsidRPr="00845316">
        <w:rPr>
          <w:rFonts w:asciiTheme="minorBidi" w:hAnsiTheme="minorBidi"/>
          <w:rtl/>
        </w:rPr>
        <w:t xml:space="preserve"> דאין מקום לקיים השטר, </w:t>
      </w:r>
      <w:r w:rsidRPr="00845316">
        <w:rPr>
          <w:rFonts w:asciiTheme="minorBidi" w:hAnsiTheme="minorBidi"/>
          <w:u w:val="single"/>
          <w:rtl/>
        </w:rPr>
        <w:t>חדא</w:t>
      </w:r>
      <w:r w:rsidRPr="00845316">
        <w:rPr>
          <w:rFonts w:asciiTheme="minorBidi" w:hAnsiTheme="minorBidi"/>
          <w:rtl/>
        </w:rPr>
        <w:t xml:space="preserve">, כיון דהעדים הפסולים חתומים אחר חתימת יד בעל השטר המצוה, מאן לימא לן שעל אלו הפסולים נתכוין אדרבה הרי התחיל מעדים כשרים ונאמנים, והיתה דעתו שיחתמו אחריו עדים כשרים ובאו אלו וחתמו עצמם, הו"ל כערב היוצא אחר חיתום שטרות שאין החתימה מוסב עליו כלל, וה"נ דכוותיה, נמצא זה לא נתכוין להקנות אלא בעדים ואין כאן שטר בעדים כי על הפסולים לא נתכוין. </w:t>
      </w:r>
      <w:r w:rsidRPr="00845316">
        <w:rPr>
          <w:rFonts w:asciiTheme="minorBidi" w:hAnsiTheme="minorBidi"/>
          <w:u w:val="single"/>
          <w:rtl/>
        </w:rPr>
        <w:t>ועוד</w:t>
      </w:r>
      <w:r w:rsidRPr="00845316">
        <w:rPr>
          <w:rFonts w:asciiTheme="minorBidi" w:hAnsiTheme="minorBidi"/>
          <w:rtl/>
        </w:rPr>
        <w:t xml:space="preserve"> דא"נ הוה חתימת עדים קודם לחתימת עצמו, ואז אי הוה קאי בחיים ורוצה לחזור בו היינו אומרים כבר קיבלת עליך עדים פסולים ככשרים, ואולי אפי' בלא קנין והוה נמי תרתי לריעותא, מ"מ עדים החתומים בשטר כמו שנחקרה בב"ד דמי, וקיי"ל </w:t>
      </w:r>
      <w:r w:rsidRPr="00845316">
        <w:rPr>
          <w:rFonts w:asciiTheme="minorBidi" w:hAnsiTheme="minorBidi"/>
          <w:sz w:val="16"/>
          <w:szCs w:val="16"/>
          <w:rtl/>
        </w:rPr>
        <w:t>(לעיל סי' כב סע' א)</w:t>
      </w:r>
      <w:r w:rsidRPr="00845316">
        <w:rPr>
          <w:rFonts w:asciiTheme="minorBidi" w:hAnsiTheme="minorBidi"/>
          <w:rtl/>
        </w:rPr>
        <w:t xml:space="preserve"> אחר גמר דין או אחר קבלת העדות אין יכול לחזור בו כו'. אך הא נכסים נפלו קמי יורשים ומקבלי מתנת ברי הנ"ל באו להוציא מהיורשים ע"י השטר החתום בפסולי עדות הנ"ל המעידים שכבר קנו מקבלי מתנה מחיי הנותן, והיורשים אינם מאמינים לעדים פסולים מה יועיל שהנותן קבלם על עצמו ככשרים, אבל על היורשים לא קבלם, ע"כ נלע"ד שאין להוציא מיורשי דאו' על פי שטר זה</w:t>
      </w:r>
      <w:r w:rsidRPr="00845316">
        <w:rPr>
          <w:rStyle w:val="ab"/>
          <w:rFonts w:asciiTheme="minorBidi" w:hAnsiTheme="minorBidi"/>
          <w:rtl/>
        </w:rPr>
        <w:footnoteReference w:id="1989"/>
      </w:r>
      <w:r w:rsidRPr="00845316">
        <w:rPr>
          <w:rFonts w:asciiTheme="minorBidi" w:hAnsiTheme="minorBidi"/>
          <w:rtl/>
        </w:rPr>
        <w:t>.</w:t>
      </w:r>
    </w:p>
    <w:p w14:paraId="2FC67ADB" w14:textId="77777777" w:rsidR="004B607F" w:rsidRPr="00845316" w:rsidRDefault="004B607F" w:rsidP="004B607F">
      <w:pPr>
        <w:rPr>
          <w:rFonts w:asciiTheme="minorBidi" w:hAnsiTheme="minorBidi"/>
          <w:rtl/>
        </w:rPr>
      </w:pPr>
    </w:p>
    <w:p w14:paraId="6C63F993" w14:textId="77777777" w:rsidR="004B607F" w:rsidRPr="00845316" w:rsidRDefault="004B607F" w:rsidP="004B607F">
      <w:pPr>
        <w:pStyle w:val="2"/>
        <w:rPr>
          <w:rFonts w:asciiTheme="minorBidi" w:hAnsiTheme="minorBidi"/>
          <w:rtl/>
        </w:rPr>
      </w:pPr>
      <w:bookmarkStart w:id="275" w:name="_Toc24883743"/>
      <w:r w:rsidRPr="00845316">
        <w:rPr>
          <w:rFonts w:asciiTheme="minorBidi" w:hAnsiTheme="minorBidi"/>
          <w:rtl/>
        </w:rPr>
        <w:lastRenderedPageBreak/>
        <w:t>סעיף טו: תחילתו וסופו בכשרות בעדות ממון.</w:t>
      </w:r>
      <w:bookmarkEnd w:id="275"/>
    </w:p>
    <w:p w14:paraId="526A6A52" w14:textId="77777777" w:rsidR="004B607F" w:rsidRPr="00845316" w:rsidRDefault="004B607F" w:rsidP="004B607F">
      <w:pPr>
        <w:rPr>
          <w:rFonts w:asciiTheme="minorBidi" w:hAnsiTheme="minorBidi"/>
          <w:rtl/>
        </w:rPr>
      </w:pPr>
      <w:r w:rsidRPr="00845316">
        <w:rPr>
          <w:rFonts w:asciiTheme="minorBidi" w:hAnsiTheme="minorBidi"/>
          <w:b/>
          <w:bCs/>
          <w:rtl/>
        </w:rPr>
        <w:t>בבא בתרא מג</w:t>
      </w:r>
      <w:r>
        <w:rPr>
          <w:rStyle w:val="ab"/>
          <w:rFonts w:asciiTheme="minorBidi" w:hAnsiTheme="minorBidi"/>
          <w:b/>
          <w:bCs/>
          <w:rtl/>
        </w:rPr>
        <w:footnoteReference w:id="1990"/>
      </w:r>
      <w:r w:rsidRPr="00845316">
        <w:rPr>
          <w:rFonts w:asciiTheme="minorBidi" w:hAnsiTheme="minorBidi"/>
          <w:b/>
          <w:bCs/>
          <w:rtl/>
        </w:rPr>
        <w:t xml:space="preserve"> ע"א: </w:t>
      </w:r>
      <w:r w:rsidRPr="00845316">
        <w:rPr>
          <w:rFonts w:asciiTheme="minorBidi" w:hAnsiTheme="minorBidi"/>
          <w:rtl/>
        </w:rPr>
        <w:t>המוכר שדה לחבירו שלא באחריות - אין מעיד לו עליה, מפני שמעמידה בפני בעל חובו. הכא במאי עסקינן - דקביל עליה אחריות. אחריות דמאן? אי נימא אחריות דעלמא, כל שכן דניחא ליה! אלא אחריות דאתיא ליה מחמתיה. וכי מסלק נפשיה מיניה מי מסתלק? והתניא: בני עיר שנגנב ספר תורה שלהן - אין דנין</w:t>
      </w:r>
      <w:r w:rsidRPr="00845316">
        <w:rPr>
          <w:rStyle w:val="ab"/>
          <w:rFonts w:asciiTheme="minorBidi" w:hAnsiTheme="minorBidi"/>
          <w:rtl/>
        </w:rPr>
        <w:footnoteReference w:id="1991"/>
      </w:r>
      <w:r w:rsidRPr="00845316">
        <w:rPr>
          <w:rFonts w:asciiTheme="minorBidi" w:hAnsiTheme="minorBidi"/>
          <w:rtl/>
        </w:rPr>
        <w:t xml:space="preserve"> בדייני אותה העיר, ואין מביאין ראיה</w:t>
      </w:r>
      <w:r w:rsidRPr="00845316">
        <w:rPr>
          <w:rStyle w:val="ab"/>
          <w:rFonts w:asciiTheme="minorBidi" w:hAnsiTheme="minorBidi"/>
          <w:rtl/>
        </w:rPr>
        <w:footnoteReference w:id="1992"/>
      </w:r>
      <w:r w:rsidRPr="00845316">
        <w:rPr>
          <w:rFonts w:asciiTheme="minorBidi" w:hAnsiTheme="minorBidi"/>
          <w:rtl/>
        </w:rPr>
        <w:t xml:space="preserve"> מאנשי אותה העיר; ואם איתא, ליסלקו</w:t>
      </w:r>
      <w:r w:rsidRPr="00845316">
        <w:rPr>
          <w:rStyle w:val="ab"/>
          <w:rFonts w:asciiTheme="minorBidi" w:hAnsiTheme="minorBidi"/>
          <w:rtl/>
        </w:rPr>
        <w:footnoteReference w:id="1993"/>
      </w:r>
      <w:r w:rsidRPr="00845316">
        <w:rPr>
          <w:rFonts w:asciiTheme="minorBidi" w:hAnsiTheme="minorBidi"/>
          <w:rtl/>
        </w:rPr>
        <w:t xml:space="preserve"> בי תרי מינייהו ולידיינו! שאני ס"ת, דלשמיעה קאי</w:t>
      </w:r>
      <w:r w:rsidRPr="00845316">
        <w:rPr>
          <w:rStyle w:val="ab"/>
          <w:rFonts w:asciiTheme="minorBidi" w:hAnsiTheme="minorBidi"/>
          <w:rtl/>
        </w:rPr>
        <w:footnoteReference w:id="1994"/>
      </w:r>
      <w:r w:rsidRPr="00845316">
        <w:rPr>
          <w:rFonts w:asciiTheme="minorBidi" w:hAnsiTheme="minorBidi"/>
          <w:rtl/>
        </w:rPr>
        <w:t>.</w:t>
      </w:r>
    </w:p>
    <w:p w14:paraId="577DB79C" w14:textId="77777777" w:rsidR="004B607F" w:rsidRPr="00845316" w:rsidRDefault="004B607F" w:rsidP="004B607F">
      <w:pPr>
        <w:rPr>
          <w:rFonts w:asciiTheme="minorBidi" w:hAnsiTheme="minorBidi"/>
          <w:u w:val="single"/>
          <w:rtl/>
        </w:rPr>
      </w:pPr>
      <w:r w:rsidRPr="00845316">
        <w:rPr>
          <w:rFonts w:asciiTheme="minorBidi" w:hAnsiTheme="minorBidi"/>
          <w:u w:val="single"/>
          <w:rtl/>
        </w:rPr>
        <w:t xml:space="preserve">האם עד שהיה נוגע בדבר בתחילה ונתסלק ממנו יכול </w:t>
      </w:r>
      <w:r w:rsidRPr="00845316">
        <w:rPr>
          <w:rFonts w:asciiTheme="minorBidi" w:hAnsiTheme="minorBidi"/>
          <w:b/>
          <w:bCs/>
          <w:u w:val="single"/>
          <w:rtl/>
        </w:rPr>
        <w:t>להעיד</w:t>
      </w:r>
      <w:r w:rsidRPr="00845316">
        <w:rPr>
          <w:rFonts w:asciiTheme="minorBidi" w:hAnsiTheme="minorBidi"/>
          <w:u w:val="single"/>
          <w:rtl/>
        </w:rPr>
        <w:t xml:space="preserve">: </w:t>
      </w:r>
    </w:p>
    <w:p w14:paraId="0CF9C420" w14:textId="77777777" w:rsidR="004B607F" w:rsidRPr="00845316" w:rsidRDefault="004B607F" w:rsidP="004B0475">
      <w:pPr>
        <w:pStyle w:val="ac"/>
        <w:numPr>
          <w:ilvl w:val="0"/>
          <w:numId w:val="131"/>
        </w:numPr>
        <w:rPr>
          <w:rFonts w:asciiTheme="minorBidi" w:hAnsiTheme="minorBidi"/>
        </w:rPr>
      </w:pPr>
      <w:r w:rsidRPr="00845316">
        <w:rPr>
          <w:rFonts w:asciiTheme="minorBidi" w:hAnsiTheme="minorBidi"/>
          <w:rtl/>
        </w:rPr>
        <w:t>ר"י מיגאש ר"י רמב"ם רמב"ן מרדכי רא"ש טור ונמוק"י</w:t>
      </w:r>
      <w:r w:rsidRPr="00845316">
        <w:rPr>
          <w:rStyle w:val="ab"/>
          <w:rFonts w:asciiTheme="minorBidi" w:hAnsiTheme="minorBidi"/>
          <w:rtl/>
        </w:rPr>
        <w:footnoteReference w:id="1995"/>
      </w:r>
      <w:r w:rsidRPr="00845316">
        <w:rPr>
          <w:rFonts w:asciiTheme="minorBidi" w:hAnsiTheme="minorBidi"/>
          <w:rtl/>
        </w:rPr>
        <w:t>- כשר, דהא דבעינן תחלתו וסופו בכשרות ה"מ בפיסול הגוף</w:t>
      </w:r>
      <w:r w:rsidRPr="00845316">
        <w:rPr>
          <w:rFonts w:asciiTheme="minorBidi" w:hAnsiTheme="minorBidi"/>
          <w:sz w:val="16"/>
          <w:szCs w:val="16"/>
          <w:rtl/>
        </w:rPr>
        <w:t xml:space="preserve"> {היינו שמחמת גופו פסול}</w:t>
      </w:r>
      <w:r w:rsidRPr="00845316">
        <w:rPr>
          <w:rFonts w:asciiTheme="minorBidi" w:hAnsiTheme="minorBidi"/>
          <w:rtl/>
        </w:rPr>
        <w:t xml:space="preserve"> אבל בפיסול ממון </w:t>
      </w:r>
      <w:r w:rsidRPr="00845316">
        <w:rPr>
          <w:rFonts w:asciiTheme="minorBidi" w:hAnsiTheme="minorBidi"/>
          <w:sz w:val="16"/>
          <w:szCs w:val="16"/>
          <w:rtl/>
        </w:rPr>
        <w:t xml:space="preserve">{שבזה יכול לסלק עצמו} </w:t>
      </w:r>
      <w:r w:rsidRPr="00845316">
        <w:rPr>
          <w:rFonts w:asciiTheme="minorBidi" w:hAnsiTheme="minorBidi"/>
          <w:rtl/>
        </w:rPr>
        <w:t xml:space="preserve">בעינן רק סופו בכשרות. </w:t>
      </w:r>
      <w:r w:rsidRPr="00845316">
        <w:rPr>
          <w:rFonts w:asciiTheme="minorBidi" w:hAnsiTheme="minorBidi"/>
          <w:color w:val="E36C0A" w:themeColor="accent6" w:themeShade="BF"/>
          <w:rtl/>
        </w:rPr>
        <w:t>(וכ"פ בשו"ע)</w:t>
      </w:r>
    </w:p>
    <w:p w14:paraId="64E5BB0B" w14:textId="77777777" w:rsidR="004B607F" w:rsidRPr="00845316" w:rsidRDefault="004B607F" w:rsidP="004B0475">
      <w:pPr>
        <w:pStyle w:val="ac"/>
        <w:numPr>
          <w:ilvl w:val="0"/>
          <w:numId w:val="131"/>
        </w:numPr>
        <w:rPr>
          <w:rFonts w:asciiTheme="minorBidi" w:hAnsiTheme="minorBidi"/>
          <w:rtl/>
        </w:rPr>
      </w:pPr>
      <w:r w:rsidRPr="00845316">
        <w:rPr>
          <w:rFonts w:asciiTheme="minorBidi" w:hAnsiTheme="minorBidi"/>
          <w:rtl/>
        </w:rPr>
        <w:t>תוס' סה"ת מהר"ם הגה"מ ומהרי"ט</w:t>
      </w:r>
      <w:r w:rsidRPr="00845316">
        <w:rPr>
          <w:rStyle w:val="ab"/>
          <w:rFonts w:asciiTheme="minorBidi" w:hAnsiTheme="minorBidi"/>
          <w:rtl/>
        </w:rPr>
        <w:footnoteReference w:id="1996"/>
      </w:r>
      <w:r w:rsidRPr="00845316">
        <w:rPr>
          <w:rFonts w:asciiTheme="minorBidi" w:hAnsiTheme="minorBidi"/>
          <w:rtl/>
        </w:rPr>
        <w:t>- פסול להעיד, דבעינן תחילה וסוף בכשרות</w:t>
      </w:r>
      <w:r w:rsidRPr="00845316">
        <w:rPr>
          <w:rStyle w:val="ab"/>
          <w:rFonts w:asciiTheme="minorBidi" w:hAnsiTheme="minorBidi"/>
          <w:rtl/>
        </w:rPr>
        <w:footnoteReference w:id="1997"/>
      </w:r>
      <w:r w:rsidRPr="00845316">
        <w:rPr>
          <w:rFonts w:asciiTheme="minorBidi" w:hAnsiTheme="minorBidi"/>
          <w:rtl/>
        </w:rPr>
        <w:t>, אבל לדון כשר.</w:t>
      </w:r>
    </w:p>
    <w:p w14:paraId="5C457068" w14:textId="77777777" w:rsidR="004B607F" w:rsidRPr="00845316" w:rsidRDefault="004B607F" w:rsidP="004B607F">
      <w:pPr>
        <w:rPr>
          <w:rFonts w:asciiTheme="minorBidi" w:hAnsiTheme="minorBidi"/>
          <w:u w:val="single"/>
          <w:rtl/>
        </w:rPr>
      </w:pPr>
      <w:r w:rsidRPr="00845316">
        <w:rPr>
          <w:rFonts w:asciiTheme="minorBidi" w:hAnsiTheme="minorBidi"/>
          <w:u w:val="single"/>
          <w:rtl/>
        </w:rPr>
        <w:t>קבל עליו שני עדים שהם נוגעים בעדות</w:t>
      </w:r>
      <w:r>
        <w:rPr>
          <w:rFonts w:asciiTheme="minorBidi" w:hAnsiTheme="minorBidi" w:hint="cs"/>
          <w:u w:val="single"/>
          <w:rtl/>
        </w:rPr>
        <w:t xml:space="preserve"> </w:t>
      </w:r>
      <w:r>
        <w:rPr>
          <w:rFonts w:asciiTheme="minorBidi" w:hAnsiTheme="minorBidi"/>
          <w:u w:val="single"/>
          <w:rtl/>
        </w:rPr>
        <w:t>–</w:t>
      </w:r>
      <w:r>
        <w:rPr>
          <w:rFonts w:asciiTheme="minorBidi" w:hAnsiTheme="minorBidi" w:hint="cs"/>
          <w:u w:val="single"/>
          <w:rtl/>
        </w:rPr>
        <w:t xml:space="preserve"> האם יכול לחזור בו</w:t>
      </w:r>
      <w:r w:rsidRPr="00845316">
        <w:rPr>
          <w:rFonts w:asciiTheme="minorBidi" w:hAnsiTheme="minorBidi"/>
          <w:u w:val="single"/>
          <w:rtl/>
        </w:rPr>
        <w:t>:</w:t>
      </w:r>
    </w:p>
    <w:p w14:paraId="6EF636B2" w14:textId="77777777" w:rsidR="004B607F" w:rsidRPr="00845316" w:rsidRDefault="004B607F" w:rsidP="004B0475">
      <w:pPr>
        <w:pStyle w:val="ac"/>
        <w:numPr>
          <w:ilvl w:val="0"/>
          <w:numId w:val="189"/>
        </w:numPr>
        <w:rPr>
          <w:rFonts w:asciiTheme="minorBidi" w:hAnsiTheme="minorBidi"/>
          <w:rtl/>
        </w:rPr>
      </w:pPr>
      <w:r w:rsidRPr="00845316">
        <w:rPr>
          <w:rFonts w:asciiTheme="minorBidi" w:hAnsiTheme="minorBidi"/>
          <w:rtl/>
        </w:rPr>
        <w:t>רשב"א מרדכי וריב"ש</w:t>
      </w:r>
      <w:r w:rsidRPr="00845316">
        <w:rPr>
          <w:rStyle w:val="ab"/>
          <w:rFonts w:asciiTheme="minorBidi" w:hAnsiTheme="minorBidi"/>
          <w:rtl/>
        </w:rPr>
        <w:footnoteReference w:id="1998"/>
      </w:r>
      <w:r w:rsidRPr="00845316">
        <w:rPr>
          <w:rFonts w:asciiTheme="minorBidi" w:hAnsiTheme="minorBidi"/>
          <w:rtl/>
        </w:rPr>
        <w:t xml:space="preserve">- אם קבל עליו שני עדים שהם נוגעים בעדות והעידו בבית דין </w:t>
      </w:r>
      <w:r>
        <w:rPr>
          <w:rFonts w:asciiTheme="minorBidi" w:hAnsiTheme="minorBidi" w:hint="cs"/>
          <w:rtl/>
        </w:rPr>
        <w:t xml:space="preserve">- </w:t>
      </w:r>
      <w:r w:rsidRPr="00845316">
        <w:rPr>
          <w:rFonts w:asciiTheme="minorBidi" w:hAnsiTheme="minorBidi"/>
          <w:rtl/>
        </w:rPr>
        <w:t>אינו יכול לחזור בו.</w:t>
      </w:r>
    </w:p>
    <w:p w14:paraId="769D4099" w14:textId="77777777" w:rsidR="004B607F" w:rsidRPr="00845316" w:rsidRDefault="004B607F" w:rsidP="004B607F">
      <w:pPr>
        <w:rPr>
          <w:rFonts w:asciiTheme="minorBidi" w:hAnsiTheme="minorBidi"/>
          <w:u w:val="single"/>
          <w:rtl/>
        </w:rPr>
      </w:pPr>
      <w:r w:rsidRPr="0030320A">
        <w:rPr>
          <w:rFonts w:asciiTheme="minorBidi" w:hAnsiTheme="minorBidi"/>
          <w:u w:val="single"/>
          <w:rtl/>
        </w:rPr>
        <w:t>עדות קרוב</w:t>
      </w:r>
      <w:r w:rsidRPr="00845316">
        <w:rPr>
          <w:rFonts w:asciiTheme="minorBidi" w:hAnsiTheme="minorBidi"/>
          <w:u w:val="single"/>
          <w:rtl/>
        </w:rPr>
        <w:t xml:space="preserve"> על שדה שקרובו מכר: </w:t>
      </w:r>
    </w:p>
    <w:p w14:paraId="09C42A31" w14:textId="77777777" w:rsidR="004B607F" w:rsidRPr="00845316" w:rsidRDefault="004B607F" w:rsidP="004B0475">
      <w:pPr>
        <w:pStyle w:val="ac"/>
        <w:numPr>
          <w:ilvl w:val="0"/>
          <w:numId w:val="136"/>
        </w:numPr>
        <w:rPr>
          <w:rFonts w:asciiTheme="minorBidi" w:hAnsiTheme="minorBidi"/>
          <w:rtl/>
        </w:rPr>
      </w:pPr>
      <w:r w:rsidRPr="00845316">
        <w:rPr>
          <w:rFonts w:asciiTheme="minorBidi" w:hAnsiTheme="minorBidi"/>
          <w:rtl/>
        </w:rPr>
        <w:t xml:space="preserve">רי"ו </w:t>
      </w:r>
      <w:r w:rsidRPr="00845316">
        <w:rPr>
          <w:rFonts w:asciiTheme="minorBidi" w:hAnsiTheme="minorBidi"/>
          <w:sz w:val="16"/>
          <w:szCs w:val="16"/>
          <w:rtl/>
        </w:rPr>
        <w:t>(מישרים נ"ב ח"ו)</w:t>
      </w:r>
      <w:r w:rsidRPr="00845316">
        <w:rPr>
          <w:rFonts w:asciiTheme="minorBidi" w:hAnsiTheme="minorBidi"/>
          <w:rtl/>
        </w:rPr>
        <w:t>- קרוב שיודע בעדות שדה של קרובו ומכרה קרובו או נתנה ומקבל אחריות דמחמתי' לא דמעלמא</w:t>
      </w:r>
      <w:r>
        <w:rPr>
          <w:rFonts w:asciiTheme="minorBidi" w:hAnsiTheme="minorBidi" w:hint="cs"/>
          <w:rtl/>
        </w:rPr>
        <w:t>,</w:t>
      </w:r>
      <w:r w:rsidRPr="00845316">
        <w:rPr>
          <w:rFonts w:asciiTheme="minorBidi" w:hAnsiTheme="minorBidi"/>
          <w:rtl/>
        </w:rPr>
        <w:t xml:space="preserve"> וערערו על אותה שדה </w:t>
      </w:r>
      <w:r>
        <w:rPr>
          <w:rFonts w:asciiTheme="minorBidi" w:hAnsiTheme="minorBidi" w:hint="cs"/>
          <w:rtl/>
        </w:rPr>
        <w:t xml:space="preserve">- </w:t>
      </w:r>
      <w:r w:rsidRPr="00845316">
        <w:rPr>
          <w:rFonts w:asciiTheme="minorBidi" w:hAnsiTheme="minorBidi"/>
          <w:rtl/>
        </w:rPr>
        <w:t>כשרין להעיד כי אין זה פסול הגוף כי כבר נסתלק הגורם מהממון.</w:t>
      </w:r>
    </w:p>
    <w:p w14:paraId="45934FF9" w14:textId="77777777" w:rsidR="004B607F" w:rsidRPr="00845316" w:rsidRDefault="004B607F" w:rsidP="004B607F">
      <w:pPr>
        <w:jc w:val="both"/>
        <w:rPr>
          <w:rFonts w:asciiTheme="minorBidi" w:hAnsiTheme="minorBidi"/>
          <w:rtl/>
        </w:rPr>
      </w:pPr>
      <w:r w:rsidRPr="00845316">
        <w:rPr>
          <w:rFonts w:asciiTheme="minorBidi" w:hAnsiTheme="minorBidi"/>
          <w:b/>
          <w:bCs/>
          <w:sz w:val="32"/>
          <w:szCs w:val="28"/>
          <w:u w:val="single"/>
          <w:rtl/>
        </w:rPr>
        <w:t xml:space="preserve">שו"ע: </w:t>
      </w:r>
    </w:p>
    <w:p w14:paraId="3F6FE9CF" w14:textId="77777777" w:rsidR="004B607F" w:rsidRPr="00845316" w:rsidRDefault="004B607F" w:rsidP="004B607F">
      <w:pPr>
        <w:rPr>
          <w:rFonts w:asciiTheme="minorBidi" w:hAnsiTheme="minorBidi"/>
          <w:rtl/>
        </w:rPr>
      </w:pPr>
      <w:r w:rsidRPr="00845316">
        <w:rPr>
          <w:rFonts w:asciiTheme="minorBidi" w:hAnsiTheme="minorBidi"/>
          <w:rtl/>
        </w:rPr>
        <w:t>בפיסול ממון לא בעינן תחלתו וסופו בכשרות</w:t>
      </w:r>
      <w:r w:rsidRPr="00845316">
        <w:rPr>
          <w:rStyle w:val="ab"/>
          <w:rFonts w:asciiTheme="minorBidi" w:hAnsiTheme="minorBidi"/>
          <w:rtl/>
        </w:rPr>
        <w:footnoteReference w:id="1999"/>
      </w:r>
      <w:r w:rsidRPr="00845316">
        <w:rPr>
          <w:rFonts w:asciiTheme="minorBidi" w:hAnsiTheme="minorBidi"/>
          <w:rtl/>
        </w:rPr>
        <w:t>, שאם היה נוגע בדבר בשעת ראיית העדות מפני שהיה לו הנאה בדבר יכול להסתלק בענין שלא יהיה לו הנאה בדבר ויעיד</w:t>
      </w:r>
      <w:r w:rsidRPr="00845316">
        <w:rPr>
          <w:rStyle w:val="ab"/>
          <w:rFonts w:asciiTheme="minorBidi" w:hAnsiTheme="minorBidi"/>
          <w:rtl/>
        </w:rPr>
        <w:footnoteReference w:id="2000"/>
      </w:r>
      <w:r w:rsidRPr="00845316">
        <w:rPr>
          <w:rFonts w:asciiTheme="minorBidi" w:hAnsiTheme="minorBidi"/>
          <w:rtl/>
        </w:rPr>
        <w:t xml:space="preserve">.  </w:t>
      </w:r>
    </w:p>
    <w:p w14:paraId="436988AF" w14:textId="77777777" w:rsidR="004B607F" w:rsidRPr="00845316" w:rsidRDefault="004B607F" w:rsidP="004B607F">
      <w:pPr>
        <w:rPr>
          <w:rFonts w:asciiTheme="minorBidi" w:hAnsiTheme="minorBidi"/>
          <w:rtl/>
        </w:rPr>
      </w:pPr>
      <w:r w:rsidRPr="00845316">
        <w:rPr>
          <w:rFonts w:asciiTheme="minorBidi" w:hAnsiTheme="minorBidi"/>
          <w:u w:val="single"/>
          <w:rtl/>
        </w:rPr>
        <w:t>סיכום עניין "תחילתו וספו בכשרות":</w:t>
      </w:r>
      <w:r w:rsidRPr="00845316">
        <w:rPr>
          <w:rFonts w:asciiTheme="minorBidi" w:hAnsiTheme="minorBidi"/>
          <w:sz w:val="16"/>
          <w:szCs w:val="16"/>
          <w:rtl/>
        </w:rPr>
        <w:t xml:space="preserve">     (פת"ש סק"ח)</w:t>
      </w:r>
    </w:p>
    <w:p w14:paraId="42AD7D49" w14:textId="77777777" w:rsidR="004B607F" w:rsidRPr="00845316" w:rsidRDefault="004B607F" w:rsidP="004B0475">
      <w:pPr>
        <w:pStyle w:val="a7"/>
        <w:numPr>
          <w:ilvl w:val="0"/>
          <w:numId w:val="192"/>
        </w:numPr>
        <w:rPr>
          <w:rFonts w:asciiTheme="minorBidi" w:hAnsiTheme="minorBidi"/>
          <w:rtl/>
        </w:rPr>
      </w:pPr>
      <w:r w:rsidRPr="00845316">
        <w:rPr>
          <w:rFonts w:asciiTheme="minorBidi" w:hAnsiTheme="minorBidi"/>
          <w:rtl/>
        </w:rPr>
        <w:t>חת"ס</w:t>
      </w:r>
      <w:r w:rsidRPr="00845316">
        <w:rPr>
          <w:rFonts w:asciiTheme="minorBidi" w:hAnsiTheme="minorBidi"/>
          <w:sz w:val="16"/>
          <w:szCs w:val="16"/>
          <w:rtl/>
        </w:rPr>
        <w:t xml:space="preserve"> (בתשו' חו"מ סי' לו)</w:t>
      </w:r>
      <w:r w:rsidRPr="00845316">
        <w:rPr>
          <w:rFonts w:asciiTheme="minorBidi" w:hAnsiTheme="minorBidi"/>
          <w:rtl/>
        </w:rPr>
        <w:t xml:space="preserve">- בעניין "תחילתו וסופו בכשרות" יש ג' דינים: </w:t>
      </w:r>
    </w:p>
    <w:p w14:paraId="14AC3FF3" w14:textId="77777777" w:rsidR="004B607F" w:rsidRPr="00845316" w:rsidRDefault="004B607F" w:rsidP="004B0475">
      <w:pPr>
        <w:pStyle w:val="ac"/>
        <w:numPr>
          <w:ilvl w:val="0"/>
          <w:numId w:val="132"/>
        </w:numPr>
        <w:rPr>
          <w:rFonts w:asciiTheme="minorBidi" w:hAnsiTheme="minorBidi"/>
        </w:rPr>
      </w:pPr>
      <w:r w:rsidRPr="00845316">
        <w:rPr>
          <w:rFonts w:asciiTheme="minorBidi" w:hAnsiTheme="minorBidi"/>
          <w:u w:val="single"/>
          <w:rtl/>
        </w:rPr>
        <w:t>פסול קורבה-</w:t>
      </w:r>
      <w:r w:rsidRPr="00845316">
        <w:rPr>
          <w:rFonts w:asciiTheme="minorBidi" w:hAnsiTheme="minorBidi"/>
          <w:rtl/>
        </w:rPr>
        <w:t xml:space="preserve"> בזה לית דינא ודיינא דבעינן תחילתו וסופו בכשרות </w:t>
      </w:r>
      <w:r w:rsidRPr="00845316">
        <w:rPr>
          <w:rFonts w:asciiTheme="minorBidi" w:hAnsiTheme="minorBidi"/>
          <w:sz w:val="16"/>
          <w:szCs w:val="16"/>
          <w:rtl/>
        </w:rPr>
        <w:t>(כמבואר בש"ס ב"ב קכ"ח ע"א כו')</w:t>
      </w:r>
      <w:r w:rsidRPr="00845316">
        <w:rPr>
          <w:rFonts w:asciiTheme="minorBidi" w:hAnsiTheme="minorBidi"/>
          <w:rtl/>
        </w:rPr>
        <w:t xml:space="preserve">.  </w:t>
      </w:r>
    </w:p>
    <w:p w14:paraId="2F1E0C5E" w14:textId="77777777" w:rsidR="004B607F" w:rsidRPr="00845316" w:rsidRDefault="004B607F" w:rsidP="004B0475">
      <w:pPr>
        <w:pStyle w:val="ac"/>
        <w:numPr>
          <w:ilvl w:val="0"/>
          <w:numId w:val="132"/>
        </w:numPr>
        <w:rPr>
          <w:rFonts w:asciiTheme="minorBidi" w:hAnsiTheme="minorBidi"/>
        </w:rPr>
      </w:pPr>
      <w:r w:rsidRPr="00845316">
        <w:rPr>
          <w:rFonts w:asciiTheme="minorBidi" w:hAnsiTheme="minorBidi"/>
          <w:u w:val="single"/>
          <w:rtl/>
        </w:rPr>
        <w:t>פסול מחמת נגיעת ממון-</w:t>
      </w:r>
      <w:r w:rsidRPr="00845316">
        <w:rPr>
          <w:rFonts w:asciiTheme="minorBidi" w:hAnsiTheme="minorBidi"/>
          <w:rtl/>
        </w:rPr>
        <w:t xml:space="preserve"> רבו המקילים דלא בעינן תחילתו וסופו בכשרות, ויש בזה ג' טעמים. (א) משום שבידו לסלק עצמו כל שעה. (ב) דאינו פסול לכל אדם ולא דמי לקרובים. (ג) דקרובים שאני, שהיה עד פסול מתחילתו ותו לא מיתכשר, משא"כ נגיעה מחמת ממון היה מתחילתו בעל דבר ולא עד, ובשעה שמסלק עצמו הוא דנעשה עד והוה ליה תחילתו בכשרות כו'</w:t>
      </w:r>
      <w:r w:rsidRPr="00845316">
        <w:rPr>
          <w:rFonts w:asciiTheme="minorBidi" w:hAnsiTheme="minorBidi"/>
          <w:sz w:val="16"/>
          <w:szCs w:val="16"/>
          <w:rtl/>
        </w:rPr>
        <w:t xml:space="preserve"> (ומ"מ יש חולקים וס"ל דגם לענין פסול ממון בענין תחילתו בכשרות, והעלה הש"ך </w:t>
      </w:r>
      <w:r w:rsidRPr="00845316">
        <w:rPr>
          <w:rFonts w:asciiTheme="minorBidi" w:hAnsiTheme="minorBidi"/>
          <w:sz w:val="14"/>
          <w:szCs w:val="14"/>
          <w:rtl/>
        </w:rPr>
        <w:t xml:space="preserve">(בסי' לז סקל"ב) </w:t>
      </w:r>
      <w:r w:rsidRPr="00845316">
        <w:rPr>
          <w:rFonts w:asciiTheme="minorBidi" w:hAnsiTheme="minorBidi"/>
          <w:sz w:val="16"/>
          <w:szCs w:val="16"/>
          <w:rtl/>
        </w:rPr>
        <w:t>דמצי המוחזק לומר קים לי וכו')</w:t>
      </w:r>
      <w:r w:rsidRPr="00845316">
        <w:rPr>
          <w:rFonts w:asciiTheme="minorBidi" w:hAnsiTheme="minorBidi"/>
          <w:rtl/>
        </w:rPr>
        <w:t xml:space="preserve">. </w:t>
      </w:r>
    </w:p>
    <w:p w14:paraId="2ECD49BE" w14:textId="77777777" w:rsidR="004B607F" w:rsidRPr="00845316" w:rsidRDefault="004B607F" w:rsidP="004B0475">
      <w:pPr>
        <w:pStyle w:val="ac"/>
        <w:numPr>
          <w:ilvl w:val="0"/>
          <w:numId w:val="132"/>
        </w:numPr>
        <w:rPr>
          <w:rFonts w:asciiTheme="minorBidi" w:hAnsiTheme="minorBidi"/>
        </w:rPr>
      </w:pPr>
      <w:r w:rsidRPr="00845316">
        <w:rPr>
          <w:rFonts w:asciiTheme="minorBidi" w:hAnsiTheme="minorBidi"/>
          <w:u w:val="single"/>
          <w:rtl/>
        </w:rPr>
        <w:lastRenderedPageBreak/>
        <w:t>פסול מחמת עבירה-</w:t>
      </w:r>
      <w:r w:rsidRPr="00845316">
        <w:rPr>
          <w:rFonts w:asciiTheme="minorBidi" w:hAnsiTheme="minorBidi"/>
          <w:rtl/>
        </w:rPr>
        <w:t xml:space="preserve"> זה לא נזכר בש"ס, אך הש"ך בסי' לד סקל"ג פשיטא ליה דלית ביה משום תחילתו וסופו בכשרות, ומסידור דבריו נראה שלא אמרו אלא בפסול עבירה שאינו חמס כו'</w:t>
      </w:r>
      <w:r w:rsidRPr="00845316">
        <w:rPr>
          <w:rStyle w:val="ab"/>
          <w:rFonts w:asciiTheme="minorBidi" w:hAnsiTheme="minorBidi"/>
          <w:rtl/>
        </w:rPr>
        <w:footnoteReference w:id="2001"/>
      </w:r>
      <w:r w:rsidRPr="00845316">
        <w:rPr>
          <w:rFonts w:asciiTheme="minorBidi" w:hAnsiTheme="minorBidi"/>
          <w:rtl/>
        </w:rPr>
        <w:t>.</w:t>
      </w:r>
    </w:p>
    <w:p w14:paraId="1492BE77" w14:textId="77777777" w:rsidR="004B607F" w:rsidRPr="00845316" w:rsidRDefault="004B607F" w:rsidP="004B607F">
      <w:pPr>
        <w:rPr>
          <w:rFonts w:asciiTheme="minorBidi" w:hAnsiTheme="minorBidi"/>
          <w:rtl/>
        </w:rPr>
      </w:pPr>
    </w:p>
    <w:p w14:paraId="5CA196CC" w14:textId="77777777" w:rsidR="004B607F" w:rsidRPr="00845316" w:rsidRDefault="004B607F" w:rsidP="004B607F">
      <w:pPr>
        <w:pStyle w:val="2"/>
        <w:rPr>
          <w:rFonts w:asciiTheme="minorBidi" w:hAnsiTheme="minorBidi"/>
          <w:rtl/>
        </w:rPr>
      </w:pPr>
      <w:bookmarkStart w:id="276" w:name="_Toc24883744"/>
      <w:r w:rsidRPr="00845316">
        <w:rPr>
          <w:rFonts w:asciiTheme="minorBidi" w:hAnsiTheme="minorBidi"/>
          <w:rtl/>
        </w:rPr>
        <w:t>סעיף טז: עדים הקרובים לערב.</w:t>
      </w:r>
      <w:bookmarkEnd w:id="276"/>
    </w:p>
    <w:p w14:paraId="3E22F976" w14:textId="77777777" w:rsidR="004B607F" w:rsidRPr="00845316" w:rsidRDefault="004B607F" w:rsidP="004B607F">
      <w:pPr>
        <w:rPr>
          <w:rFonts w:asciiTheme="minorBidi" w:hAnsiTheme="minorBidi"/>
          <w:rtl/>
        </w:rPr>
      </w:pPr>
      <w:r w:rsidRPr="00845316">
        <w:rPr>
          <w:rFonts w:asciiTheme="minorBidi" w:hAnsiTheme="minorBidi"/>
          <w:b/>
          <w:bCs/>
          <w:rtl/>
        </w:rPr>
        <w:t>מכות ז</w:t>
      </w:r>
      <w:r>
        <w:rPr>
          <w:rStyle w:val="ab"/>
          <w:rFonts w:asciiTheme="minorBidi" w:hAnsiTheme="minorBidi"/>
          <w:b/>
          <w:bCs/>
          <w:rtl/>
        </w:rPr>
        <w:footnoteReference w:id="2002"/>
      </w:r>
      <w:r w:rsidRPr="00845316">
        <w:rPr>
          <w:rFonts w:asciiTheme="minorBidi" w:hAnsiTheme="minorBidi"/>
          <w:b/>
          <w:bCs/>
          <w:rtl/>
        </w:rPr>
        <w:t xml:space="preserve"> ע"א: </w:t>
      </w:r>
      <w:r w:rsidRPr="00845316">
        <w:rPr>
          <w:rFonts w:asciiTheme="minorBidi" w:hAnsiTheme="minorBidi"/>
          <w:rtl/>
        </w:rPr>
        <w:t>אילעא וטוביה</w:t>
      </w:r>
      <w:r w:rsidRPr="00845316">
        <w:rPr>
          <w:rStyle w:val="ab"/>
          <w:rFonts w:asciiTheme="minorBidi" w:hAnsiTheme="minorBidi"/>
          <w:rtl/>
        </w:rPr>
        <w:footnoteReference w:id="2003"/>
      </w:r>
      <w:r w:rsidRPr="00845316">
        <w:rPr>
          <w:rFonts w:asciiTheme="minorBidi" w:hAnsiTheme="minorBidi"/>
          <w:rtl/>
        </w:rPr>
        <w:t xml:space="preserve"> קריביה דערבא הוה, </w:t>
      </w:r>
      <w:r w:rsidRPr="00845316">
        <w:rPr>
          <w:rFonts w:asciiTheme="minorBidi" w:hAnsiTheme="minorBidi"/>
          <w:u w:val="single"/>
          <w:rtl/>
        </w:rPr>
        <w:t>סבר רב פפא למימר</w:t>
      </w:r>
      <w:r w:rsidRPr="00845316">
        <w:rPr>
          <w:rFonts w:asciiTheme="minorBidi" w:hAnsiTheme="minorBidi"/>
          <w:rtl/>
        </w:rPr>
        <w:t xml:space="preserve">: גבי לוה ומלוה רחיקי נינהו, </w:t>
      </w:r>
      <w:r w:rsidRPr="00845316">
        <w:rPr>
          <w:rFonts w:asciiTheme="minorBidi" w:hAnsiTheme="minorBidi"/>
          <w:u w:val="single"/>
          <w:rtl/>
        </w:rPr>
        <w:t>א"ל רב הונא בריה דרב יהושע לרב פפא</w:t>
      </w:r>
      <w:r w:rsidRPr="00845316">
        <w:rPr>
          <w:rFonts w:asciiTheme="minorBidi" w:hAnsiTheme="minorBidi"/>
          <w:rtl/>
        </w:rPr>
        <w:t>: אי לית ליה ללוה, לאו בתר ערבא אזיל מלוה?</w:t>
      </w:r>
      <w:r>
        <w:rPr>
          <w:rFonts w:asciiTheme="minorBidi" w:hAnsiTheme="minorBidi" w:hint="cs"/>
          <w:rtl/>
        </w:rPr>
        <w:t>.</w:t>
      </w:r>
    </w:p>
    <w:p w14:paraId="5EC8E62D" w14:textId="77777777" w:rsidR="004B607F" w:rsidRPr="00957ABA" w:rsidRDefault="004B607F" w:rsidP="004B607F">
      <w:pPr>
        <w:rPr>
          <w:rFonts w:asciiTheme="minorBidi" w:hAnsiTheme="minorBidi"/>
          <w:u w:val="single"/>
          <w:rtl/>
        </w:rPr>
      </w:pPr>
      <w:r w:rsidRPr="00957ABA">
        <w:rPr>
          <w:rFonts w:asciiTheme="minorBidi" w:hAnsiTheme="minorBidi"/>
          <w:u w:val="single"/>
          <w:rtl/>
        </w:rPr>
        <w:t>מדוע לא אמרינן הכא דליפלוג בדיבורא כעובדא דבר ביניתוס</w:t>
      </w:r>
      <w:r w:rsidRPr="00957ABA">
        <w:rPr>
          <w:rStyle w:val="ab"/>
          <w:rFonts w:asciiTheme="minorBidi" w:hAnsiTheme="minorBidi"/>
          <w:u w:val="single"/>
          <w:rtl/>
        </w:rPr>
        <w:footnoteReference w:id="2004"/>
      </w:r>
      <w:r w:rsidRPr="00957ABA">
        <w:rPr>
          <w:rFonts w:asciiTheme="minorBidi" w:hAnsiTheme="minorBidi"/>
          <w:u w:val="single"/>
          <w:rtl/>
        </w:rPr>
        <w:t xml:space="preserve"> ויהו עדים נאמנים לגבי לוה ולא לגבי ערב:  </w:t>
      </w:r>
    </w:p>
    <w:p w14:paraId="5C334308" w14:textId="77777777" w:rsidR="004B607F" w:rsidRPr="00845316" w:rsidRDefault="004B607F" w:rsidP="004B0475">
      <w:pPr>
        <w:pStyle w:val="ac"/>
        <w:numPr>
          <w:ilvl w:val="0"/>
          <w:numId w:val="133"/>
        </w:numPr>
        <w:rPr>
          <w:rFonts w:asciiTheme="minorBidi" w:hAnsiTheme="minorBidi"/>
        </w:rPr>
      </w:pPr>
      <w:r w:rsidRPr="00845316">
        <w:rPr>
          <w:rFonts w:asciiTheme="minorBidi" w:hAnsiTheme="minorBidi"/>
          <w:rtl/>
        </w:rPr>
        <w:t>יש מתרצים</w:t>
      </w:r>
      <w:r w:rsidRPr="00845316">
        <w:rPr>
          <w:rFonts w:asciiTheme="minorBidi" w:hAnsiTheme="minorBidi"/>
          <w:sz w:val="16"/>
          <w:szCs w:val="16"/>
          <w:rtl/>
        </w:rPr>
        <w:t xml:space="preserve"> (הובאו ברא"ש סי' יג)</w:t>
      </w:r>
      <w:r w:rsidRPr="00845316">
        <w:rPr>
          <w:rFonts w:asciiTheme="minorBidi" w:hAnsiTheme="minorBidi"/>
          <w:rtl/>
        </w:rPr>
        <w:t>- לא דמי "לדידי אוזיף ברביתא"</w:t>
      </w:r>
      <w:r w:rsidRPr="00845316">
        <w:rPr>
          <w:rFonts w:asciiTheme="minorBidi" w:hAnsiTheme="minorBidi"/>
          <w:sz w:val="18"/>
          <w:szCs w:val="18"/>
          <w:rtl/>
        </w:rPr>
        <w:t xml:space="preserve"> </w:t>
      </w:r>
      <w:r w:rsidRPr="00845316">
        <w:rPr>
          <w:rFonts w:asciiTheme="minorBidi" w:hAnsiTheme="minorBidi"/>
          <w:rtl/>
        </w:rPr>
        <w:t xml:space="preserve">משום דהתם פלגינן דיבורא </w:t>
      </w:r>
      <w:r w:rsidRPr="00845316">
        <w:rPr>
          <w:rFonts w:asciiTheme="minorBidi" w:hAnsiTheme="minorBidi"/>
          <w:sz w:val="16"/>
          <w:szCs w:val="16"/>
          <w:rtl/>
        </w:rPr>
        <w:t>(היינו דהם שני דיבורים "לדידי" ו-"אוזיף")</w:t>
      </w:r>
      <w:r w:rsidRPr="00845316">
        <w:rPr>
          <w:rFonts w:asciiTheme="minorBidi" w:hAnsiTheme="minorBidi"/>
          <w:rtl/>
        </w:rPr>
        <w:t xml:space="preserve">, אבל הכא ליכא אלא חד דיבורא </w:t>
      </w:r>
      <w:r w:rsidRPr="00845316">
        <w:rPr>
          <w:rFonts w:asciiTheme="minorBidi" w:hAnsiTheme="minorBidi"/>
          <w:sz w:val="16"/>
          <w:szCs w:val="16"/>
          <w:rtl/>
        </w:rPr>
        <w:t>(שמעידים רק שהלוה לא פרע, והוא דבר אחד, שהרי הלוה מודה שהוא לוה)</w:t>
      </w:r>
      <w:r w:rsidRPr="00845316">
        <w:rPr>
          <w:rFonts w:asciiTheme="minorBidi" w:hAnsiTheme="minorBidi"/>
          <w:sz w:val="18"/>
          <w:szCs w:val="18"/>
          <w:rtl/>
        </w:rPr>
        <w:t xml:space="preserve"> </w:t>
      </w:r>
      <w:r w:rsidRPr="00845316">
        <w:rPr>
          <w:rFonts w:asciiTheme="minorBidi" w:hAnsiTheme="minorBidi"/>
          <w:rtl/>
        </w:rPr>
        <w:t>ולא אמרינן ביה דלהימן ביה לגבי האי וליפסול לגבי האי.</w:t>
      </w:r>
    </w:p>
    <w:p w14:paraId="359F7F52" w14:textId="77777777" w:rsidR="004B607F" w:rsidRPr="00845316" w:rsidRDefault="004B607F" w:rsidP="004B0475">
      <w:pPr>
        <w:pStyle w:val="ac"/>
        <w:numPr>
          <w:ilvl w:val="0"/>
          <w:numId w:val="133"/>
        </w:numPr>
        <w:rPr>
          <w:rFonts w:asciiTheme="minorBidi" w:hAnsiTheme="minorBidi"/>
        </w:rPr>
      </w:pPr>
      <w:r w:rsidRPr="00845316">
        <w:rPr>
          <w:rFonts w:asciiTheme="minorBidi" w:hAnsiTheme="minorBidi"/>
          <w:rtl/>
        </w:rPr>
        <w:t>ראב"ד</w:t>
      </w:r>
      <w:r w:rsidRPr="00845316">
        <w:rPr>
          <w:rStyle w:val="ab"/>
          <w:rFonts w:asciiTheme="minorBidi" w:hAnsiTheme="minorBidi"/>
          <w:rtl/>
        </w:rPr>
        <w:footnoteReference w:id="2005"/>
      </w:r>
      <w:r w:rsidRPr="00845316">
        <w:rPr>
          <w:rFonts w:asciiTheme="minorBidi" w:hAnsiTheme="minorBidi"/>
          <w:rtl/>
        </w:rPr>
        <w:t xml:space="preserve"> </w:t>
      </w:r>
      <w:r w:rsidRPr="00845316">
        <w:rPr>
          <w:rFonts w:asciiTheme="minorBidi" w:hAnsiTheme="minorBidi"/>
          <w:sz w:val="16"/>
          <w:szCs w:val="16"/>
          <w:rtl/>
        </w:rPr>
        <w:t>(בתשו', הובא ברא"ש</w:t>
      </w:r>
      <w:r w:rsidRPr="00845316">
        <w:rPr>
          <w:rStyle w:val="ab"/>
          <w:rFonts w:asciiTheme="minorBidi" w:hAnsiTheme="minorBidi"/>
          <w:rtl/>
        </w:rPr>
        <w:footnoteReference w:id="2006"/>
      </w:r>
      <w:r w:rsidRPr="00845316">
        <w:rPr>
          <w:rFonts w:asciiTheme="minorBidi" w:hAnsiTheme="minorBidi"/>
          <w:sz w:val="16"/>
          <w:szCs w:val="16"/>
          <w:rtl/>
        </w:rPr>
        <w:t>)</w:t>
      </w:r>
      <w:r w:rsidRPr="00845316">
        <w:rPr>
          <w:rFonts w:asciiTheme="minorBidi" w:hAnsiTheme="minorBidi"/>
          <w:rtl/>
        </w:rPr>
        <w:t xml:space="preserve"> וריטב"א- כיון דהתם </w:t>
      </w:r>
      <w:r w:rsidRPr="00845316">
        <w:rPr>
          <w:rFonts w:asciiTheme="minorBidi" w:hAnsiTheme="minorBidi"/>
          <w:sz w:val="16"/>
          <w:szCs w:val="16"/>
          <w:rtl/>
        </w:rPr>
        <w:t xml:space="preserve">(סנהדרין כה.) </w:t>
      </w:r>
      <w:r w:rsidRPr="00845316">
        <w:rPr>
          <w:rFonts w:asciiTheme="minorBidi" w:hAnsiTheme="minorBidi"/>
          <w:rtl/>
        </w:rPr>
        <w:t xml:space="preserve">הוא מעיד על עצמו לא שייך ביה עדות כלל שאין אדם נקרא לעצמו 'עד פסול' כדי שנאמר עדות שבטלה מקצתה בטלה כולה, משא"כ הכא </w:t>
      </w:r>
      <w:r w:rsidRPr="00845316">
        <w:rPr>
          <w:rFonts w:asciiTheme="minorBidi" w:hAnsiTheme="minorBidi"/>
          <w:sz w:val="16"/>
          <w:szCs w:val="16"/>
          <w:rtl/>
        </w:rPr>
        <w:t>(מכות ז.)</w:t>
      </w:r>
      <w:r w:rsidRPr="00845316">
        <w:rPr>
          <w:rFonts w:asciiTheme="minorBidi" w:hAnsiTheme="minorBidi"/>
          <w:rtl/>
        </w:rPr>
        <w:t xml:space="preserve"> דהו"ל עדות לכן בטלה מקצתה בטלה כולה</w:t>
      </w:r>
      <w:r w:rsidRPr="00845316">
        <w:rPr>
          <w:rStyle w:val="ab"/>
          <w:rFonts w:asciiTheme="minorBidi" w:hAnsiTheme="minorBidi"/>
          <w:rtl/>
        </w:rPr>
        <w:footnoteReference w:id="2007"/>
      </w:r>
      <w:r w:rsidRPr="00845316">
        <w:rPr>
          <w:rFonts w:asciiTheme="minorBidi" w:hAnsiTheme="minorBidi"/>
          <w:rtl/>
        </w:rPr>
        <w:t xml:space="preserve">. </w:t>
      </w:r>
    </w:p>
    <w:p w14:paraId="42E43877" w14:textId="77777777" w:rsidR="004B607F" w:rsidRPr="00845316" w:rsidRDefault="004B607F" w:rsidP="004B607F">
      <w:pPr>
        <w:rPr>
          <w:rFonts w:asciiTheme="minorBidi" w:hAnsiTheme="minorBidi"/>
          <w:sz w:val="16"/>
          <w:szCs w:val="16"/>
          <w:rtl/>
        </w:rPr>
      </w:pPr>
      <w:r w:rsidRPr="00845316">
        <w:rPr>
          <w:rFonts w:asciiTheme="minorBidi" w:hAnsiTheme="minorBidi"/>
          <w:u w:val="single"/>
          <w:rtl/>
        </w:rPr>
        <w:t>האם אדם שהוא טריפה יכול להעיד בדיני ממונות:</w:t>
      </w:r>
      <w:r w:rsidRPr="00845316">
        <w:rPr>
          <w:rFonts w:asciiTheme="minorBidi" w:hAnsiTheme="minorBidi"/>
          <w:sz w:val="16"/>
          <w:szCs w:val="16"/>
          <w:rtl/>
        </w:rPr>
        <w:t xml:space="preserve">  (ב"י, דרכ"מ [אות ט], סמ"ע [סקכ"ה], ש"ך [סקט"ז]) </w:t>
      </w:r>
    </w:p>
    <w:p w14:paraId="4857189A" w14:textId="77777777" w:rsidR="004B607F" w:rsidRPr="00845316" w:rsidRDefault="004B607F" w:rsidP="004B0475">
      <w:pPr>
        <w:pStyle w:val="ac"/>
        <w:numPr>
          <w:ilvl w:val="0"/>
          <w:numId w:val="134"/>
        </w:numPr>
        <w:rPr>
          <w:rFonts w:asciiTheme="minorBidi" w:hAnsiTheme="minorBidi"/>
        </w:rPr>
      </w:pPr>
      <w:r w:rsidRPr="00845316">
        <w:rPr>
          <w:rFonts w:asciiTheme="minorBidi" w:hAnsiTheme="minorBidi"/>
          <w:rtl/>
        </w:rPr>
        <w:t xml:space="preserve">מרדכי </w:t>
      </w:r>
      <w:r w:rsidRPr="00845316">
        <w:rPr>
          <w:rFonts w:asciiTheme="minorBidi" w:hAnsiTheme="minorBidi"/>
          <w:sz w:val="16"/>
          <w:szCs w:val="16"/>
          <w:rtl/>
        </w:rPr>
        <w:t>(</w:t>
      </w:r>
      <w:r w:rsidRPr="00845316">
        <w:rPr>
          <w:rFonts w:asciiTheme="minorBidi" w:hAnsiTheme="minorBidi"/>
          <w:sz w:val="14"/>
          <w:szCs w:val="14"/>
          <w:rtl/>
        </w:rPr>
        <w:t xml:space="preserve">[סנהדרין סי' תרצה] </w:t>
      </w:r>
      <w:r w:rsidRPr="00845316">
        <w:rPr>
          <w:rFonts w:asciiTheme="minorBidi" w:hAnsiTheme="minorBidi"/>
          <w:sz w:val="16"/>
          <w:szCs w:val="16"/>
          <w:rtl/>
        </w:rPr>
        <w:t>להב' הב"י)</w:t>
      </w:r>
      <w:r w:rsidRPr="00845316">
        <w:rPr>
          <w:rFonts w:asciiTheme="minorBidi" w:hAnsiTheme="minorBidi"/>
          <w:rtl/>
        </w:rPr>
        <w:t xml:space="preserve">- פסול להעיד. </w:t>
      </w:r>
    </w:p>
    <w:p w14:paraId="5057B0F3" w14:textId="77777777" w:rsidR="004B607F" w:rsidRPr="00845316" w:rsidRDefault="004B607F" w:rsidP="004B0475">
      <w:pPr>
        <w:pStyle w:val="ac"/>
        <w:numPr>
          <w:ilvl w:val="0"/>
          <w:numId w:val="134"/>
        </w:numPr>
        <w:rPr>
          <w:rFonts w:asciiTheme="minorBidi" w:hAnsiTheme="minorBidi"/>
        </w:rPr>
      </w:pPr>
      <w:r w:rsidRPr="00845316">
        <w:rPr>
          <w:rFonts w:asciiTheme="minorBidi" w:hAnsiTheme="minorBidi"/>
          <w:rtl/>
        </w:rPr>
        <w:t>(ר"י נימוק"י</w:t>
      </w:r>
      <w:r w:rsidRPr="00845316">
        <w:rPr>
          <w:rFonts w:asciiTheme="minorBidi" w:hAnsiTheme="minorBidi"/>
          <w:sz w:val="16"/>
          <w:szCs w:val="16"/>
          <w:rtl/>
        </w:rPr>
        <w:t xml:space="preserve"> להב' הסמ"ע</w:t>
      </w:r>
      <w:r w:rsidRPr="00845316">
        <w:rPr>
          <w:rFonts w:asciiTheme="minorBidi" w:hAnsiTheme="minorBidi"/>
          <w:rtl/>
        </w:rPr>
        <w:t>) ודרכ"מ- כשר, משום דהא דפסלינן טריפה להעיד בדיני נפשות הוא משום דבעינן עדות שאתה יכול להזימה וליכא</w:t>
      </w:r>
      <w:r w:rsidRPr="00845316">
        <w:rPr>
          <w:rStyle w:val="ab"/>
          <w:rFonts w:asciiTheme="minorBidi" w:hAnsiTheme="minorBidi"/>
          <w:rtl/>
        </w:rPr>
        <w:footnoteReference w:id="2008"/>
      </w:r>
      <w:r w:rsidRPr="00845316">
        <w:rPr>
          <w:rFonts w:asciiTheme="minorBidi" w:hAnsiTheme="minorBidi"/>
          <w:rtl/>
        </w:rPr>
        <w:t>, אבל בדיני ממונות לא בעינן עדות שאתה יכול להזימה.</w:t>
      </w:r>
    </w:p>
    <w:p w14:paraId="4F2C2E6C" w14:textId="77777777" w:rsidR="004B607F" w:rsidRPr="00845316" w:rsidRDefault="004B607F" w:rsidP="004B0475">
      <w:pPr>
        <w:pStyle w:val="ac"/>
        <w:numPr>
          <w:ilvl w:val="0"/>
          <w:numId w:val="134"/>
        </w:numPr>
        <w:rPr>
          <w:rFonts w:asciiTheme="minorBidi" w:hAnsiTheme="minorBidi"/>
          <w:rtl/>
        </w:rPr>
      </w:pPr>
      <w:r w:rsidRPr="00845316">
        <w:rPr>
          <w:rFonts w:asciiTheme="minorBidi" w:hAnsiTheme="minorBidi"/>
          <w:rtl/>
        </w:rPr>
        <w:t>(רי"ף ר"י בהעי"ט רא"ש ונימוק"י</w:t>
      </w:r>
      <w:r w:rsidRPr="00845316">
        <w:rPr>
          <w:rFonts w:asciiTheme="minorBidi" w:hAnsiTheme="minorBidi"/>
          <w:sz w:val="16"/>
          <w:szCs w:val="16"/>
          <w:rtl/>
        </w:rPr>
        <w:t xml:space="preserve"> להב' הש"ך</w:t>
      </w:r>
      <w:r w:rsidRPr="00845316">
        <w:rPr>
          <w:rFonts w:asciiTheme="minorBidi" w:hAnsiTheme="minorBidi"/>
          <w:rtl/>
        </w:rPr>
        <w:t>)- אע"ג דגם בממון בעינן לכתחילה</w:t>
      </w:r>
      <w:r w:rsidRPr="00845316">
        <w:rPr>
          <w:rStyle w:val="ab"/>
          <w:rFonts w:asciiTheme="minorBidi" w:hAnsiTheme="minorBidi"/>
          <w:rtl/>
        </w:rPr>
        <w:footnoteReference w:id="2009"/>
      </w:r>
      <w:r w:rsidRPr="00845316">
        <w:rPr>
          <w:rFonts w:asciiTheme="minorBidi" w:hAnsiTheme="minorBidi"/>
          <w:rtl/>
        </w:rPr>
        <w:t xml:space="preserve"> עדות שאתה יכול להזימה מ"מ כשר להעיד דהרי הוא יכול לשלם למרות שהוא טריפה.</w:t>
      </w:r>
    </w:p>
    <w:p w14:paraId="6CFDBE66" w14:textId="77777777" w:rsidR="004B607F" w:rsidRPr="00845316" w:rsidRDefault="004B607F" w:rsidP="004B607F">
      <w:pPr>
        <w:rPr>
          <w:rFonts w:asciiTheme="minorBidi" w:hAnsiTheme="minorBidi"/>
          <w:u w:val="single"/>
          <w:rtl/>
        </w:rPr>
      </w:pPr>
      <w:r w:rsidRPr="00845316">
        <w:rPr>
          <w:rFonts w:asciiTheme="minorBidi" w:hAnsiTheme="minorBidi"/>
          <w:u w:val="single"/>
          <w:rtl/>
        </w:rPr>
        <w:t>עדות של הנרצח/קרובי הנרצח:</w:t>
      </w:r>
    </w:p>
    <w:p w14:paraId="5D7E2EBD" w14:textId="77777777" w:rsidR="004B607F" w:rsidRPr="00845316" w:rsidRDefault="004B607F" w:rsidP="004B0475">
      <w:pPr>
        <w:pStyle w:val="ac"/>
        <w:numPr>
          <w:ilvl w:val="0"/>
          <w:numId w:val="193"/>
        </w:numPr>
        <w:rPr>
          <w:rFonts w:asciiTheme="minorBidi" w:hAnsiTheme="minorBidi"/>
          <w:rtl/>
        </w:rPr>
      </w:pPr>
      <w:r w:rsidRPr="00845316">
        <w:rPr>
          <w:rFonts w:asciiTheme="minorBidi" w:hAnsiTheme="minorBidi"/>
          <w:rtl/>
        </w:rPr>
        <w:t xml:space="preserve">ספר החכמה </w:t>
      </w:r>
      <w:r w:rsidRPr="00845316">
        <w:rPr>
          <w:rFonts w:asciiTheme="minorBidi" w:hAnsiTheme="minorBidi"/>
          <w:sz w:val="16"/>
          <w:szCs w:val="16"/>
          <w:rtl/>
        </w:rPr>
        <w:t>(הביאו המרדכי)</w:t>
      </w:r>
      <w:r w:rsidRPr="00845316">
        <w:rPr>
          <w:rFonts w:asciiTheme="minorBidi" w:hAnsiTheme="minorBidi"/>
          <w:rtl/>
        </w:rPr>
        <w:t xml:space="preserve"> ומרדכי</w:t>
      </w:r>
      <w:r w:rsidRPr="00845316">
        <w:rPr>
          <w:rFonts w:asciiTheme="minorBidi" w:hAnsiTheme="minorBidi"/>
          <w:sz w:val="16"/>
          <w:szCs w:val="16"/>
          <w:rtl/>
        </w:rPr>
        <w:t xml:space="preserve"> (סנהדרין סי' תרצה)</w:t>
      </w:r>
      <w:r w:rsidRPr="00845316">
        <w:rPr>
          <w:rFonts w:asciiTheme="minorBidi" w:hAnsiTheme="minorBidi"/>
          <w:rtl/>
        </w:rPr>
        <w:t>- קרובי הנרצח יכולין להעיד על הרוצח</w:t>
      </w:r>
      <w:r w:rsidRPr="00845316">
        <w:rPr>
          <w:rStyle w:val="ab"/>
          <w:rFonts w:asciiTheme="minorBidi" w:hAnsiTheme="minorBidi"/>
          <w:rtl/>
        </w:rPr>
        <w:footnoteReference w:id="2010"/>
      </w:r>
      <w:r w:rsidRPr="00845316">
        <w:rPr>
          <w:rFonts w:asciiTheme="minorBidi" w:hAnsiTheme="minorBidi"/>
          <w:rtl/>
        </w:rPr>
        <w:t>, ואפילו הנרצח עצמו כל זמן שהוא חי ואינו טריפה יכול להעיד</w:t>
      </w:r>
      <w:r w:rsidRPr="00845316">
        <w:rPr>
          <w:rStyle w:val="ab"/>
          <w:rFonts w:asciiTheme="minorBidi" w:hAnsiTheme="minorBidi"/>
          <w:rtl/>
        </w:rPr>
        <w:footnoteReference w:id="2011"/>
      </w:r>
      <w:r w:rsidRPr="00845316">
        <w:rPr>
          <w:rFonts w:asciiTheme="minorBidi" w:hAnsiTheme="minorBidi"/>
          <w:rtl/>
        </w:rPr>
        <w:t xml:space="preserve"> כדמשמע </w:t>
      </w:r>
      <w:r w:rsidRPr="00845316">
        <w:rPr>
          <w:rFonts w:asciiTheme="minorBidi" w:hAnsiTheme="minorBidi"/>
          <w:sz w:val="16"/>
          <w:szCs w:val="16"/>
          <w:rtl/>
        </w:rPr>
        <w:t xml:space="preserve">(סנהדרין ט:) </w:t>
      </w:r>
      <w:r w:rsidRPr="00845316">
        <w:rPr>
          <w:rFonts w:asciiTheme="minorBidi" w:hAnsiTheme="minorBidi"/>
          <w:rtl/>
        </w:rPr>
        <w:t>מפלוני רבעני לאונסי, וסברא הוא דנאמנים להעיד כיון דכבר מת אחיו ונפקא מינה ליורשיו.</w:t>
      </w:r>
    </w:p>
    <w:p w14:paraId="4CD3E0DA" w14:textId="77777777" w:rsidR="004B607F" w:rsidRPr="00845316" w:rsidRDefault="004B607F" w:rsidP="004B607F">
      <w:pPr>
        <w:jc w:val="both"/>
        <w:rPr>
          <w:rFonts w:asciiTheme="minorBidi" w:hAnsiTheme="minorBidi"/>
          <w:rtl/>
        </w:rPr>
      </w:pPr>
      <w:r w:rsidRPr="00845316">
        <w:rPr>
          <w:rFonts w:asciiTheme="minorBidi" w:hAnsiTheme="minorBidi"/>
          <w:b/>
          <w:bCs/>
          <w:sz w:val="32"/>
          <w:szCs w:val="28"/>
          <w:u w:val="single"/>
          <w:rtl/>
        </w:rPr>
        <w:lastRenderedPageBreak/>
        <w:t xml:space="preserve">שו"ע: </w:t>
      </w:r>
    </w:p>
    <w:p w14:paraId="7765DD04" w14:textId="77777777" w:rsidR="004B607F" w:rsidRPr="00845316" w:rsidRDefault="004B607F" w:rsidP="004B607F">
      <w:pPr>
        <w:rPr>
          <w:rFonts w:asciiTheme="minorBidi" w:hAnsiTheme="minorBidi"/>
          <w:rtl/>
        </w:rPr>
      </w:pPr>
      <w:r w:rsidRPr="00845316">
        <w:rPr>
          <w:rFonts w:asciiTheme="minorBidi" w:hAnsiTheme="minorBidi"/>
          <w:rtl/>
        </w:rPr>
        <w:t>עדים הקרובים לערב פסולים ללוה, לא שנא אם הלוה בא ליפטר בטענת כפירה והם מעידים עליו שלוה</w:t>
      </w:r>
      <w:r w:rsidRPr="00845316">
        <w:rPr>
          <w:rStyle w:val="ab"/>
          <w:rFonts w:asciiTheme="minorBidi" w:hAnsiTheme="minorBidi"/>
          <w:rtl/>
        </w:rPr>
        <w:footnoteReference w:id="2012"/>
      </w:r>
      <w:r w:rsidRPr="00845316">
        <w:rPr>
          <w:rFonts w:asciiTheme="minorBidi" w:hAnsiTheme="minorBidi"/>
          <w:rtl/>
        </w:rPr>
        <w:t>, או אם טוען שפרע והם מעידים עליו שהודה שלא פרע</w:t>
      </w:r>
      <w:r w:rsidRPr="00845316">
        <w:rPr>
          <w:rStyle w:val="ab"/>
          <w:rFonts w:asciiTheme="minorBidi" w:hAnsiTheme="minorBidi"/>
          <w:rtl/>
        </w:rPr>
        <w:footnoteReference w:id="2013"/>
      </w:r>
      <w:r w:rsidRPr="00845316">
        <w:rPr>
          <w:rFonts w:asciiTheme="minorBidi" w:hAnsiTheme="minorBidi"/>
          <w:rtl/>
        </w:rPr>
        <w:t xml:space="preserve">. </w:t>
      </w:r>
      <w:r w:rsidRPr="00845316">
        <w:rPr>
          <w:rFonts w:asciiTheme="minorBidi" w:hAnsiTheme="minorBidi"/>
          <w:sz w:val="18"/>
          <w:szCs w:val="18"/>
          <w:rtl/>
        </w:rPr>
        <w:t>הגה: קרובי נרצח יכולין להעיד על הרוצח (הג"א ומרדכי), וכן קרובי המוכה יכולין להעיד על המכה לגרשו מבה"כ או שאר עונש דומה לזה שאין תועלת למוכה בעדותו (הג"א שם).</w:t>
      </w:r>
      <w:r w:rsidRPr="00845316">
        <w:rPr>
          <w:rFonts w:asciiTheme="minorBidi" w:hAnsiTheme="minorBidi"/>
          <w:rtl/>
        </w:rPr>
        <w:t xml:space="preserve"> </w:t>
      </w:r>
    </w:p>
    <w:p w14:paraId="19DCC9C8" w14:textId="77777777" w:rsidR="004B607F" w:rsidRPr="00845316" w:rsidRDefault="004B607F" w:rsidP="004B607F">
      <w:pPr>
        <w:rPr>
          <w:rFonts w:asciiTheme="minorBidi" w:hAnsiTheme="minorBidi"/>
          <w:rtl/>
        </w:rPr>
      </w:pPr>
    </w:p>
    <w:p w14:paraId="4635C3B7" w14:textId="77777777" w:rsidR="004B607F" w:rsidRPr="00845316" w:rsidRDefault="004B607F" w:rsidP="004B607F">
      <w:pPr>
        <w:pStyle w:val="2"/>
        <w:rPr>
          <w:rFonts w:asciiTheme="minorBidi" w:hAnsiTheme="minorBidi"/>
          <w:rtl/>
        </w:rPr>
      </w:pPr>
      <w:bookmarkStart w:id="277" w:name="_Toc24883745"/>
      <w:r w:rsidRPr="00845316">
        <w:rPr>
          <w:rFonts w:asciiTheme="minorBidi" w:hAnsiTheme="minorBidi"/>
          <w:rtl/>
        </w:rPr>
        <w:t>סעיף יז: עדים שקרובים זה לזה או לדיינים.</w:t>
      </w:r>
      <w:bookmarkEnd w:id="277"/>
    </w:p>
    <w:p w14:paraId="17A216F4" w14:textId="77777777" w:rsidR="004B607F" w:rsidRPr="00845316" w:rsidRDefault="004B607F" w:rsidP="004B607F">
      <w:pPr>
        <w:rPr>
          <w:rFonts w:asciiTheme="minorBidi" w:hAnsiTheme="minorBidi"/>
          <w:rtl/>
        </w:rPr>
      </w:pPr>
      <w:r w:rsidRPr="00845316">
        <w:rPr>
          <w:rFonts w:asciiTheme="minorBidi" w:hAnsiTheme="minorBidi"/>
          <w:b/>
          <w:bCs/>
          <w:rtl/>
        </w:rPr>
        <w:t>ירושלמי סנהדרין פ"ג ה"ט</w:t>
      </w:r>
      <w:r w:rsidRPr="00845316">
        <w:rPr>
          <w:rStyle w:val="ab"/>
          <w:rFonts w:asciiTheme="minorBidi" w:hAnsiTheme="minorBidi"/>
          <w:b/>
          <w:bCs/>
          <w:rtl/>
        </w:rPr>
        <w:footnoteReference w:id="2014"/>
      </w:r>
      <w:r w:rsidRPr="00845316">
        <w:rPr>
          <w:rFonts w:asciiTheme="minorBidi" w:hAnsiTheme="minorBidi"/>
          <w:b/>
          <w:bCs/>
          <w:rtl/>
        </w:rPr>
        <w:t xml:space="preserve">: </w:t>
      </w:r>
      <w:r w:rsidRPr="00845316">
        <w:rPr>
          <w:rFonts w:asciiTheme="minorBidi" w:hAnsiTheme="minorBidi"/>
          <w:rtl/>
        </w:rPr>
        <w:t>לא יומתו אבות על בנים... ומנין שלא יהו העדים קרובים לדיינין הגע עצמך שאם הוזמו לא מפיהם הם נהרגין</w:t>
      </w:r>
      <w:r w:rsidRPr="00845316">
        <w:rPr>
          <w:rStyle w:val="ab"/>
          <w:rFonts w:asciiTheme="minorBidi" w:hAnsiTheme="minorBidi"/>
          <w:rtl/>
        </w:rPr>
        <w:footnoteReference w:id="2015"/>
      </w:r>
      <w:r w:rsidRPr="00845316">
        <w:rPr>
          <w:rFonts w:asciiTheme="minorBidi" w:hAnsiTheme="minorBidi"/>
          <w:rtl/>
        </w:rPr>
        <w:t>. ומנין שלא יהו העדים קרובים זה לזה הגע עצמך שאם הוזם אחד מהם כלום נהרג עד שיוזם חבירו, אם אתה אומר כן לא נמצא נהרג על פיו</w:t>
      </w:r>
      <w:r w:rsidRPr="00845316">
        <w:rPr>
          <w:rStyle w:val="ab"/>
          <w:rFonts w:asciiTheme="minorBidi" w:hAnsiTheme="minorBidi"/>
          <w:rtl/>
        </w:rPr>
        <w:footnoteReference w:id="2016"/>
      </w:r>
      <w:r w:rsidRPr="00845316">
        <w:rPr>
          <w:rFonts w:asciiTheme="minorBidi" w:hAnsiTheme="minorBidi"/>
          <w:rtl/>
        </w:rPr>
        <w:t xml:space="preserve">?. </w:t>
      </w:r>
      <w:r w:rsidRPr="00845316">
        <w:rPr>
          <w:rFonts w:asciiTheme="minorBidi" w:hAnsiTheme="minorBidi"/>
          <w:sz w:val="16"/>
          <w:szCs w:val="16"/>
          <w:rtl/>
        </w:rPr>
        <w:t>(כתבוה הרי"ף הרא"ש והר"ן</w:t>
      </w:r>
      <w:r w:rsidRPr="00845316">
        <w:rPr>
          <w:rStyle w:val="ab"/>
          <w:rFonts w:asciiTheme="minorBidi" w:hAnsiTheme="minorBidi"/>
          <w:sz w:val="16"/>
          <w:szCs w:val="16"/>
          <w:rtl/>
        </w:rPr>
        <w:footnoteReference w:id="2017"/>
      </w:r>
      <w:r w:rsidRPr="00845316">
        <w:rPr>
          <w:rFonts w:asciiTheme="minorBidi" w:hAnsiTheme="minorBidi"/>
          <w:sz w:val="16"/>
          <w:szCs w:val="16"/>
          <w:rtl/>
        </w:rPr>
        <w:t>)</w:t>
      </w:r>
    </w:p>
    <w:p w14:paraId="40574F74" w14:textId="77777777" w:rsidR="004B607F" w:rsidRPr="00845316" w:rsidRDefault="004B607F" w:rsidP="004B607F">
      <w:pPr>
        <w:rPr>
          <w:rFonts w:asciiTheme="minorBidi" w:hAnsiTheme="minorBidi"/>
          <w:rtl/>
        </w:rPr>
      </w:pPr>
      <w:r w:rsidRPr="00845316">
        <w:rPr>
          <w:rFonts w:asciiTheme="minorBidi" w:hAnsiTheme="minorBidi"/>
          <w:b/>
          <w:bCs/>
          <w:rtl/>
        </w:rPr>
        <w:t>סנהדרין כח ע"א:</w:t>
      </w:r>
      <w:r w:rsidRPr="00845316">
        <w:rPr>
          <w:rFonts w:asciiTheme="minorBidi" w:hAnsiTheme="minorBidi"/>
          <w:rtl/>
        </w:rPr>
        <w:t xml:space="preserve"> מאי בנים</w:t>
      </w:r>
      <w:r>
        <w:rPr>
          <w:rFonts w:asciiTheme="minorBidi" w:hAnsiTheme="minorBidi" w:hint="cs"/>
          <w:rtl/>
        </w:rPr>
        <w:t xml:space="preserve"> </w:t>
      </w:r>
      <w:r w:rsidRPr="00845316">
        <w:rPr>
          <w:rFonts w:asciiTheme="minorBidi" w:hAnsiTheme="minorBidi"/>
          <w:rtl/>
        </w:rPr>
        <w:t>- דאפילו בנים להדדי. אשכחן בנים להדדי בנים לעלמא</w:t>
      </w:r>
      <w:r w:rsidRPr="00845316">
        <w:rPr>
          <w:rStyle w:val="ab"/>
          <w:rFonts w:asciiTheme="minorBidi" w:hAnsiTheme="minorBidi"/>
          <w:rtl/>
        </w:rPr>
        <w:footnoteReference w:id="2018"/>
      </w:r>
      <w:r w:rsidRPr="00845316">
        <w:rPr>
          <w:rFonts w:asciiTheme="minorBidi" w:hAnsiTheme="minorBidi"/>
          <w:rtl/>
        </w:rPr>
        <w:t xml:space="preserve"> מנלן? </w:t>
      </w:r>
      <w:r w:rsidRPr="00845316">
        <w:rPr>
          <w:rFonts w:asciiTheme="minorBidi" w:hAnsiTheme="minorBidi"/>
          <w:u w:val="single"/>
          <w:rtl/>
        </w:rPr>
        <w:t>אמר רמי בר חמא:</w:t>
      </w:r>
      <w:r w:rsidRPr="00845316">
        <w:rPr>
          <w:rFonts w:asciiTheme="minorBidi" w:hAnsiTheme="minorBidi"/>
          <w:rtl/>
        </w:rPr>
        <w:t xml:space="preserve"> סברא הוא. כדתניא: אין העדים נעשין זוממין עד שיזומו שניהן</w:t>
      </w:r>
      <w:r>
        <w:rPr>
          <w:rFonts w:asciiTheme="minorBidi" w:hAnsiTheme="minorBidi" w:hint="cs"/>
          <w:rtl/>
        </w:rPr>
        <w:t>,</w:t>
      </w:r>
      <w:r w:rsidRPr="00845316">
        <w:rPr>
          <w:rFonts w:asciiTheme="minorBidi" w:hAnsiTheme="minorBidi"/>
          <w:rtl/>
        </w:rPr>
        <w:t xml:space="preserve"> ואי סלקא דעתך בנים לעלמא כשרין</w:t>
      </w:r>
      <w:r>
        <w:rPr>
          <w:rFonts w:asciiTheme="minorBidi" w:hAnsiTheme="minorBidi" w:hint="cs"/>
          <w:rtl/>
        </w:rPr>
        <w:t>,</w:t>
      </w:r>
      <w:r w:rsidRPr="00845316">
        <w:rPr>
          <w:rFonts w:asciiTheme="minorBidi" w:hAnsiTheme="minorBidi"/>
          <w:rtl/>
        </w:rPr>
        <w:t xml:space="preserve"> נמצא עד זומם נהרג בעדות אחיו</w:t>
      </w:r>
      <w:r w:rsidRPr="00845316">
        <w:rPr>
          <w:rStyle w:val="ab"/>
          <w:rFonts w:asciiTheme="minorBidi" w:hAnsiTheme="minorBidi"/>
          <w:rtl/>
        </w:rPr>
        <w:footnoteReference w:id="2019"/>
      </w:r>
      <w:r w:rsidRPr="00845316">
        <w:rPr>
          <w:rFonts w:asciiTheme="minorBidi" w:hAnsiTheme="minorBidi"/>
          <w:rtl/>
        </w:rPr>
        <w:t xml:space="preserve">! </w:t>
      </w:r>
      <w:r w:rsidRPr="00845316">
        <w:rPr>
          <w:rFonts w:asciiTheme="minorBidi" w:hAnsiTheme="minorBidi"/>
          <w:u w:val="single"/>
          <w:rtl/>
        </w:rPr>
        <w:t>אמר ליה רבא:</w:t>
      </w:r>
      <w:r w:rsidRPr="00845316">
        <w:rPr>
          <w:rFonts w:asciiTheme="minorBidi" w:hAnsiTheme="minorBidi"/>
          <w:rtl/>
        </w:rPr>
        <w:t xml:space="preserve"> וליטעמיך, הא דתנן: שלשה אחין ואחד</w:t>
      </w:r>
      <w:r w:rsidRPr="00845316">
        <w:rPr>
          <w:rStyle w:val="ab"/>
          <w:rFonts w:asciiTheme="minorBidi" w:hAnsiTheme="minorBidi"/>
          <w:rtl/>
        </w:rPr>
        <w:footnoteReference w:id="2020"/>
      </w:r>
      <w:r w:rsidRPr="00845316">
        <w:rPr>
          <w:rFonts w:asciiTheme="minorBidi" w:hAnsiTheme="minorBidi"/>
          <w:rtl/>
        </w:rPr>
        <w:t xml:space="preserve"> מצטרף עמהן - הרי אלו שלש עדיות, והן עדות אחת להזמה</w:t>
      </w:r>
      <w:r w:rsidRPr="00845316">
        <w:rPr>
          <w:rStyle w:val="ab"/>
          <w:rFonts w:asciiTheme="minorBidi" w:hAnsiTheme="minorBidi"/>
          <w:rtl/>
        </w:rPr>
        <w:footnoteReference w:id="2021"/>
      </w:r>
      <w:r w:rsidRPr="00845316">
        <w:rPr>
          <w:rFonts w:asciiTheme="minorBidi" w:hAnsiTheme="minorBidi"/>
          <w:rtl/>
        </w:rPr>
        <w:t>. נמצא עד זומם משלם ממון בעדות אחיו! אלא הזמה מעלמא קאתי</w:t>
      </w:r>
      <w:r w:rsidRPr="00845316">
        <w:rPr>
          <w:rStyle w:val="ab"/>
          <w:rFonts w:asciiTheme="minorBidi" w:hAnsiTheme="minorBidi"/>
          <w:rtl/>
        </w:rPr>
        <w:footnoteReference w:id="2022"/>
      </w:r>
      <w:r w:rsidRPr="00845316">
        <w:rPr>
          <w:rFonts w:asciiTheme="minorBidi" w:hAnsiTheme="minorBidi"/>
          <w:rtl/>
        </w:rPr>
        <w:t>, הכא נמי הזמה מעלמא קאתי. אלא, אם כן ליכתוב קרא ובן על אבות, אי נמי הם על אבות, מאי ובנים - אפילו בנים לעלמא.</w:t>
      </w:r>
    </w:p>
    <w:p w14:paraId="708FF38C" w14:textId="77777777" w:rsidR="004B607F" w:rsidRPr="00845316" w:rsidRDefault="004B607F" w:rsidP="004B607F">
      <w:pPr>
        <w:rPr>
          <w:rFonts w:asciiTheme="minorBidi" w:hAnsiTheme="minorBidi"/>
          <w:u w:val="single"/>
          <w:rtl/>
        </w:rPr>
      </w:pPr>
      <w:r w:rsidRPr="00845316">
        <w:rPr>
          <w:rFonts w:asciiTheme="minorBidi" w:hAnsiTheme="minorBidi"/>
          <w:u w:val="single"/>
          <w:rtl/>
        </w:rPr>
        <w:t>האם עדים שקרובים לדיינים יכולים להעיד בפניהם:</w:t>
      </w:r>
    </w:p>
    <w:p w14:paraId="5D7F3CF7" w14:textId="77777777" w:rsidR="004B607F" w:rsidRPr="00845316" w:rsidRDefault="004B607F" w:rsidP="004B0475">
      <w:pPr>
        <w:pStyle w:val="ac"/>
        <w:numPr>
          <w:ilvl w:val="0"/>
          <w:numId w:val="135"/>
        </w:numPr>
        <w:rPr>
          <w:rFonts w:asciiTheme="minorBidi" w:hAnsiTheme="minorBidi"/>
          <w:rtl/>
        </w:rPr>
      </w:pPr>
      <w:r w:rsidRPr="00845316">
        <w:rPr>
          <w:rFonts w:asciiTheme="minorBidi" w:hAnsiTheme="minorBidi"/>
          <w:rtl/>
        </w:rPr>
        <w:t>רי"ף רשב"א מרדכי רא"ש ור"ן</w:t>
      </w:r>
      <w:r w:rsidRPr="00845316">
        <w:rPr>
          <w:rStyle w:val="ab"/>
          <w:rFonts w:asciiTheme="minorBidi" w:hAnsiTheme="minorBidi"/>
          <w:rtl/>
        </w:rPr>
        <w:footnoteReference w:id="2023"/>
      </w:r>
      <w:r w:rsidRPr="00845316">
        <w:rPr>
          <w:rFonts w:asciiTheme="minorBidi" w:hAnsiTheme="minorBidi"/>
          <w:rtl/>
        </w:rPr>
        <w:t>- תניא אין הקרובין דנין לא זה את זה ולא זה עם זה, ואין מעידין זה את זה ולא זה עם זה, ולא זה בפני זה</w:t>
      </w:r>
      <w:r w:rsidRPr="00845316">
        <w:rPr>
          <w:rStyle w:val="ab"/>
          <w:rFonts w:asciiTheme="minorBidi" w:hAnsiTheme="minorBidi"/>
          <w:rtl/>
        </w:rPr>
        <w:footnoteReference w:id="2024"/>
      </w:r>
      <w:r w:rsidRPr="00845316">
        <w:rPr>
          <w:rFonts w:asciiTheme="minorBidi" w:hAnsiTheme="minorBidi"/>
          <w:rtl/>
        </w:rPr>
        <w:t>, ואפילו בדיעבד לא עשו כלום שאין כאן קבלת עדות</w:t>
      </w:r>
      <w:r w:rsidRPr="00845316">
        <w:rPr>
          <w:rStyle w:val="ab"/>
          <w:rFonts w:asciiTheme="minorBidi" w:hAnsiTheme="minorBidi"/>
          <w:rtl/>
        </w:rPr>
        <w:footnoteReference w:id="2025"/>
      </w:r>
      <w:r w:rsidRPr="00845316">
        <w:rPr>
          <w:rFonts w:asciiTheme="minorBidi" w:hAnsiTheme="minorBidi"/>
          <w:rtl/>
        </w:rPr>
        <w:t xml:space="preserve">. </w:t>
      </w:r>
      <w:r w:rsidRPr="00845316">
        <w:rPr>
          <w:rFonts w:asciiTheme="minorBidi" w:hAnsiTheme="minorBidi"/>
          <w:color w:val="E36C0A" w:themeColor="accent6" w:themeShade="BF"/>
          <w:rtl/>
        </w:rPr>
        <w:t>(וכ"פ בשו"ע)</w:t>
      </w:r>
    </w:p>
    <w:p w14:paraId="7552BA5A" w14:textId="77777777" w:rsidR="004B607F" w:rsidRPr="00845316" w:rsidRDefault="004B607F" w:rsidP="004B0475">
      <w:pPr>
        <w:pStyle w:val="ac"/>
        <w:numPr>
          <w:ilvl w:val="0"/>
          <w:numId w:val="135"/>
        </w:numPr>
        <w:rPr>
          <w:rFonts w:asciiTheme="minorBidi" w:hAnsiTheme="minorBidi"/>
        </w:rPr>
      </w:pPr>
      <w:r w:rsidRPr="00845316">
        <w:rPr>
          <w:rFonts w:asciiTheme="minorBidi" w:hAnsiTheme="minorBidi"/>
          <w:rtl/>
        </w:rPr>
        <w:lastRenderedPageBreak/>
        <w:t xml:space="preserve">ר"י דאורליינש </w:t>
      </w:r>
      <w:r w:rsidRPr="00845316">
        <w:rPr>
          <w:rFonts w:asciiTheme="minorBidi" w:hAnsiTheme="minorBidi"/>
          <w:sz w:val="16"/>
          <w:szCs w:val="16"/>
          <w:rtl/>
        </w:rPr>
        <w:t>(תוס' ב"ק צ: ד"ה כגון)</w:t>
      </w:r>
      <w:r w:rsidRPr="00845316">
        <w:rPr>
          <w:rFonts w:asciiTheme="minorBidi" w:hAnsiTheme="minorBidi"/>
          <w:rtl/>
        </w:rPr>
        <w:t xml:space="preserve"> ורבנו שמחה- כשרים, </w:t>
      </w:r>
      <w:r w:rsidRPr="00845316">
        <w:rPr>
          <w:rStyle w:val="ab"/>
          <w:rFonts w:asciiTheme="minorBidi" w:hAnsiTheme="minorBidi"/>
          <w:rtl/>
        </w:rPr>
        <w:footnoteReference w:id="2026"/>
      </w:r>
      <w:r w:rsidRPr="00845316">
        <w:rPr>
          <w:rFonts w:asciiTheme="minorBidi" w:hAnsiTheme="minorBidi"/>
          <w:rtl/>
        </w:rPr>
        <w:t xml:space="preserve">משום דלא פסלינן העדות אלא היכא דאיכא עדות שאי אתה יכול להזימה, אבל כאן יכולין להזימם בב"ד אחר.  </w:t>
      </w:r>
    </w:p>
    <w:p w14:paraId="01C3FABF" w14:textId="77777777" w:rsidR="004B607F" w:rsidRPr="00845316" w:rsidRDefault="004B607F" w:rsidP="004B0475">
      <w:pPr>
        <w:pStyle w:val="ac"/>
        <w:numPr>
          <w:ilvl w:val="0"/>
          <w:numId w:val="135"/>
        </w:numPr>
        <w:rPr>
          <w:rFonts w:asciiTheme="minorBidi" w:hAnsiTheme="minorBidi"/>
        </w:rPr>
      </w:pPr>
      <w:r w:rsidRPr="00845316">
        <w:rPr>
          <w:rFonts w:asciiTheme="minorBidi" w:hAnsiTheme="minorBidi"/>
          <w:rtl/>
        </w:rPr>
        <w:t xml:space="preserve">מהר"ם מעיל צדק </w:t>
      </w:r>
      <w:r w:rsidRPr="00845316">
        <w:rPr>
          <w:rFonts w:asciiTheme="minorBidi" w:hAnsiTheme="minorBidi"/>
          <w:sz w:val="16"/>
          <w:szCs w:val="16"/>
          <w:rtl/>
        </w:rPr>
        <w:t xml:space="preserve">(הביאו רש"ל) </w:t>
      </w:r>
      <w:r w:rsidRPr="00845316">
        <w:rPr>
          <w:rFonts w:asciiTheme="minorBidi" w:hAnsiTheme="minorBidi"/>
          <w:rtl/>
        </w:rPr>
        <w:t xml:space="preserve">ורש"ל </w:t>
      </w:r>
      <w:r w:rsidRPr="00845316">
        <w:rPr>
          <w:rFonts w:asciiTheme="minorBidi" w:hAnsiTheme="minorBidi"/>
          <w:sz w:val="16"/>
          <w:szCs w:val="16"/>
          <w:rtl/>
        </w:rPr>
        <w:t>(בביאורו לטור ד"ה וששאלת)</w:t>
      </w:r>
      <w:r w:rsidRPr="00845316">
        <w:rPr>
          <w:rFonts w:asciiTheme="minorBidi" w:hAnsiTheme="minorBidi"/>
          <w:rtl/>
        </w:rPr>
        <w:t xml:space="preserve">- עדים הקרובים לדיינים </w:t>
      </w:r>
      <w:r>
        <w:rPr>
          <w:rFonts w:asciiTheme="minorBidi" w:hAnsiTheme="minorBidi" w:hint="cs"/>
          <w:rtl/>
        </w:rPr>
        <w:t xml:space="preserve">- </w:t>
      </w:r>
      <w:r w:rsidRPr="00845316">
        <w:rPr>
          <w:rFonts w:asciiTheme="minorBidi" w:hAnsiTheme="minorBidi"/>
          <w:rtl/>
        </w:rPr>
        <w:t>שפיר יכולין להעיד</w:t>
      </w:r>
      <w:r>
        <w:rPr>
          <w:rFonts w:asciiTheme="minorBidi" w:hAnsiTheme="minorBidi" w:hint="cs"/>
          <w:rtl/>
        </w:rPr>
        <w:t>,</w:t>
      </w:r>
      <w:r w:rsidRPr="00845316">
        <w:rPr>
          <w:rFonts w:asciiTheme="minorBidi" w:hAnsiTheme="minorBidi"/>
          <w:rtl/>
        </w:rPr>
        <w:t xml:space="preserve"> דאמר בפ"ב דכתובות </w:t>
      </w:r>
      <w:r w:rsidRPr="00845316">
        <w:rPr>
          <w:rFonts w:asciiTheme="minorBidi" w:hAnsiTheme="minorBidi"/>
          <w:sz w:val="16"/>
          <w:szCs w:val="16"/>
          <w:rtl/>
        </w:rPr>
        <w:t xml:space="preserve">(כא:) </w:t>
      </w:r>
      <w:r w:rsidRPr="00845316">
        <w:rPr>
          <w:rFonts w:asciiTheme="minorBidi" w:hAnsiTheme="minorBidi"/>
          <w:rtl/>
        </w:rPr>
        <w:t>הנח לעדות החודש דאורייתא וקיום שטרות דרבנן, ורצונו לומר דלא בעינן הגדה מעלייתא אלא בקידוש החודש אבל בדיני ממונות סגי במה שיעידו אמיתת הענין</w:t>
      </w:r>
      <w:r w:rsidRPr="00845316">
        <w:rPr>
          <w:rStyle w:val="ab"/>
          <w:rFonts w:asciiTheme="minorBidi" w:hAnsiTheme="minorBidi"/>
          <w:rtl/>
        </w:rPr>
        <w:footnoteReference w:id="2027"/>
      </w:r>
      <w:r w:rsidRPr="00845316">
        <w:rPr>
          <w:rFonts w:asciiTheme="minorBidi" w:hAnsiTheme="minorBidi"/>
          <w:rtl/>
        </w:rPr>
        <w:t xml:space="preserve">. </w:t>
      </w:r>
    </w:p>
    <w:p w14:paraId="5677222A" w14:textId="77777777" w:rsidR="004B607F" w:rsidRPr="00845316" w:rsidRDefault="004B607F" w:rsidP="004B607F">
      <w:pPr>
        <w:ind w:left="360"/>
        <w:rPr>
          <w:rFonts w:asciiTheme="minorBidi" w:hAnsiTheme="minorBidi"/>
          <w:u w:val="dotted"/>
          <w:rtl/>
        </w:rPr>
      </w:pPr>
      <w:r w:rsidRPr="00845316">
        <w:rPr>
          <w:rFonts w:asciiTheme="minorBidi" w:hAnsiTheme="minorBidi"/>
          <w:u w:val="dotted"/>
          <w:rtl/>
        </w:rPr>
        <w:t xml:space="preserve">ומה </w:t>
      </w:r>
      <w:r>
        <w:rPr>
          <w:rFonts w:asciiTheme="minorBidi" w:hAnsiTheme="minorBidi" w:hint="cs"/>
          <w:u w:val="dotted"/>
          <w:rtl/>
        </w:rPr>
        <w:t>הדין</w:t>
      </w:r>
      <w:r w:rsidRPr="00845316">
        <w:rPr>
          <w:rFonts w:asciiTheme="minorBidi" w:hAnsiTheme="minorBidi"/>
          <w:u w:val="dotted"/>
          <w:rtl/>
        </w:rPr>
        <w:t xml:space="preserve"> בקיום שטרות </w:t>
      </w:r>
      <w:r w:rsidRPr="00845316">
        <w:rPr>
          <w:rFonts w:asciiTheme="minorBidi" w:hAnsiTheme="minorBidi"/>
          <w:sz w:val="16"/>
          <w:szCs w:val="16"/>
          <w:u w:val="dotted"/>
          <w:rtl/>
        </w:rPr>
        <w:t>(שהרי הוא מדרבנן)</w:t>
      </w:r>
      <w:r w:rsidRPr="00845316">
        <w:rPr>
          <w:rFonts w:asciiTheme="minorBidi" w:hAnsiTheme="minorBidi"/>
          <w:u w:val="dotted"/>
          <w:rtl/>
        </w:rPr>
        <w:t>:</w:t>
      </w:r>
    </w:p>
    <w:p w14:paraId="3366889E" w14:textId="77777777" w:rsidR="004B607F" w:rsidRPr="00845316" w:rsidRDefault="004B607F" w:rsidP="004B0475">
      <w:pPr>
        <w:pStyle w:val="ac"/>
        <w:numPr>
          <w:ilvl w:val="0"/>
          <w:numId w:val="135"/>
        </w:numPr>
        <w:rPr>
          <w:rFonts w:asciiTheme="minorBidi" w:hAnsiTheme="minorBidi"/>
        </w:rPr>
      </w:pPr>
      <w:r w:rsidRPr="00845316">
        <w:rPr>
          <w:rFonts w:asciiTheme="minorBidi" w:hAnsiTheme="minorBidi"/>
          <w:rtl/>
        </w:rPr>
        <w:t>רא"ש</w:t>
      </w:r>
      <w:r w:rsidRPr="00845316">
        <w:rPr>
          <w:rStyle w:val="ab"/>
          <w:rFonts w:asciiTheme="minorBidi" w:hAnsiTheme="minorBidi"/>
          <w:rtl/>
        </w:rPr>
        <w:footnoteReference w:id="2028"/>
      </w:r>
      <w:r w:rsidRPr="00845316">
        <w:rPr>
          <w:rFonts w:asciiTheme="minorBidi" w:hAnsiTheme="minorBidi"/>
          <w:rtl/>
        </w:rPr>
        <w:t xml:space="preserve">- בדיעבד "אם העידו העדים לפני קרובים או פסולים </w:t>
      </w:r>
      <w:r w:rsidRPr="00845316">
        <w:rPr>
          <w:rFonts w:asciiTheme="minorBidi" w:hAnsiTheme="minorBidi"/>
          <w:u w:val="single"/>
          <w:rtl/>
        </w:rPr>
        <w:t>אותו הקיום פסול</w:t>
      </w:r>
      <w:r w:rsidRPr="00845316">
        <w:rPr>
          <w:rFonts w:asciiTheme="minorBidi" w:hAnsiTheme="minorBidi"/>
          <w:rtl/>
        </w:rPr>
        <w:t xml:space="preserve"> אבל השטר כשר".</w:t>
      </w:r>
    </w:p>
    <w:p w14:paraId="7F93DA54" w14:textId="77777777" w:rsidR="004B607F" w:rsidRPr="00845316" w:rsidRDefault="004B607F" w:rsidP="004B0475">
      <w:pPr>
        <w:pStyle w:val="ac"/>
        <w:numPr>
          <w:ilvl w:val="0"/>
          <w:numId w:val="135"/>
        </w:numPr>
        <w:rPr>
          <w:rFonts w:asciiTheme="minorBidi" w:hAnsiTheme="minorBidi"/>
        </w:rPr>
      </w:pPr>
      <w:r w:rsidRPr="00845316">
        <w:rPr>
          <w:rFonts w:asciiTheme="minorBidi" w:hAnsiTheme="minorBidi"/>
          <w:rtl/>
        </w:rPr>
        <w:t>ר"ן</w:t>
      </w:r>
      <w:r w:rsidRPr="00845316">
        <w:rPr>
          <w:rStyle w:val="ab"/>
          <w:rFonts w:asciiTheme="minorBidi" w:hAnsiTheme="minorBidi"/>
          <w:rtl/>
        </w:rPr>
        <w:footnoteReference w:id="2029"/>
      </w:r>
      <w:r w:rsidRPr="00845316">
        <w:rPr>
          <w:rFonts w:asciiTheme="minorBidi" w:hAnsiTheme="minorBidi"/>
          <w:rtl/>
        </w:rPr>
        <w:t xml:space="preserve">- צריך שיהו עידי קיום רחוקים מדייני קיום </w:t>
      </w:r>
      <w:r w:rsidRPr="00845316">
        <w:rPr>
          <w:rFonts w:asciiTheme="minorBidi" w:hAnsiTheme="minorBidi"/>
          <w:sz w:val="16"/>
          <w:szCs w:val="16"/>
          <w:rtl/>
        </w:rPr>
        <w:t xml:space="preserve">(ונמצינו למדין </w:t>
      </w:r>
      <w:r w:rsidRPr="00845316">
        <w:rPr>
          <w:rFonts w:asciiTheme="minorBidi" w:hAnsiTheme="minorBidi"/>
          <w:sz w:val="16"/>
          <w:szCs w:val="16"/>
          <w:u w:val="single"/>
          <w:rtl/>
        </w:rPr>
        <w:t>שעידי קיום</w:t>
      </w:r>
      <w:r w:rsidRPr="00845316">
        <w:rPr>
          <w:rFonts w:asciiTheme="minorBidi" w:hAnsiTheme="minorBidi"/>
          <w:sz w:val="16"/>
          <w:szCs w:val="16"/>
          <w:rtl/>
        </w:rPr>
        <w:t xml:space="preserve"> יכולין להיות קרובין </w:t>
      </w:r>
      <w:r w:rsidRPr="00845316">
        <w:rPr>
          <w:rFonts w:asciiTheme="minorBidi" w:hAnsiTheme="minorBidi"/>
          <w:sz w:val="16"/>
          <w:szCs w:val="16"/>
          <w:u w:val="single"/>
          <w:rtl/>
        </w:rPr>
        <w:t>לעידי השטר</w:t>
      </w:r>
      <w:r w:rsidRPr="00845316">
        <w:rPr>
          <w:rFonts w:asciiTheme="minorBidi" w:hAnsiTheme="minorBidi"/>
          <w:sz w:val="16"/>
          <w:szCs w:val="16"/>
          <w:rtl/>
        </w:rPr>
        <w:t>)</w:t>
      </w:r>
      <w:r w:rsidRPr="00845316">
        <w:rPr>
          <w:rFonts w:asciiTheme="minorBidi" w:hAnsiTheme="minorBidi"/>
          <w:rtl/>
        </w:rPr>
        <w:t xml:space="preserve">. </w:t>
      </w:r>
    </w:p>
    <w:p w14:paraId="662BCCE9" w14:textId="77777777" w:rsidR="004B607F" w:rsidRPr="00845316" w:rsidRDefault="004B607F" w:rsidP="004B0475">
      <w:pPr>
        <w:pStyle w:val="ac"/>
        <w:numPr>
          <w:ilvl w:val="0"/>
          <w:numId w:val="135"/>
        </w:numPr>
        <w:rPr>
          <w:rFonts w:asciiTheme="minorBidi" w:hAnsiTheme="minorBidi"/>
        </w:rPr>
      </w:pPr>
      <w:r w:rsidRPr="00845316">
        <w:rPr>
          <w:rFonts w:asciiTheme="minorBidi" w:hAnsiTheme="minorBidi"/>
          <w:rtl/>
        </w:rPr>
        <w:t>רשב"א ורי"ו</w:t>
      </w:r>
      <w:r w:rsidRPr="00845316">
        <w:rPr>
          <w:rStyle w:val="ab"/>
          <w:rFonts w:asciiTheme="minorBidi" w:hAnsiTheme="minorBidi"/>
          <w:rtl/>
        </w:rPr>
        <w:footnoteReference w:id="2030"/>
      </w:r>
      <w:r w:rsidRPr="00845316">
        <w:rPr>
          <w:rFonts w:asciiTheme="minorBidi" w:hAnsiTheme="minorBidi"/>
          <w:rtl/>
        </w:rPr>
        <w:t>- יכולין עידי קיום להיות קרובים לדייני קיום כיון שאין הזמה מצויה אלא היכא דאמרי בפנינו חתמו עידי השטר ביום פלוני וזה דבר רחוק לא חיישינן להכי בקיום שטרות הואיל ואינו אלא מדרבנן</w:t>
      </w:r>
      <w:r w:rsidRPr="00845316">
        <w:rPr>
          <w:rFonts w:asciiTheme="minorBidi" w:hAnsiTheme="minorBidi"/>
          <w:sz w:val="16"/>
          <w:szCs w:val="16"/>
          <w:rtl/>
        </w:rPr>
        <w:t xml:space="preserve"> (ל' הר"ן)</w:t>
      </w:r>
      <w:r w:rsidRPr="00845316">
        <w:rPr>
          <w:rFonts w:asciiTheme="minorBidi" w:hAnsiTheme="minorBidi"/>
          <w:rtl/>
        </w:rPr>
        <w:t>.</w:t>
      </w:r>
    </w:p>
    <w:p w14:paraId="39610559" w14:textId="77777777" w:rsidR="004B607F" w:rsidRPr="00845316" w:rsidRDefault="004B607F" w:rsidP="004B0475">
      <w:pPr>
        <w:pStyle w:val="ac"/>
        <w:numPr>
          <w:ilvl w:val="0"/>
          <w:numId w:val="135"/>
        </w:numPr>
        <w:rPr>
          <w:rFonts w:asciiTheme="minorBidi" w:hAnsiTheme="minorBidi"/>
        </w:rPr>
      </w:pPr>
      <w:r w:rsidRPr="00845316">
        <w:rPr>
          <w:rFonts w:asciiTheme="minorBidi" w:hAnsiTheme="minorBidi"/>
          <w:rtl/>
        </w:rPr>
        <w:t>רב נטרונאי</w:t>
      </w:r>
      <w:r w:rsidRPr="00845316">
        <w:rPr>
          <w:rStyle w:val="ab"/>
          <w:rFonts w:asciiTheme="minorBidi" w:hAnsiTheme="minorBidi"/>
          <w:rtl/>
        </w:rPr>
        <w:footnoteReference w:id="2031"/>
      </w:r>
      <w:r w:rsidRPr="00845316">
        <w:rPr>
          <w:rFonts w:asciiTheme="minorBidi" w:hAnsiTheme="minorBidi"/>
          <w:rtl/>
        </w:rPr>
        <w:t>- לא חוששין בקיום אם הדיינים או עידי הקיום קרובים למלוה ולוה או עידי הקיום קרובים זל"ז.</w:t>
      </w:r>
    </w:p>
    <w:p w14:paraId="5A170717" w14:textId="77777777" w:rsidR="004B607F" w:rsidRPr="00845316" w:rsidRDefault="004B607F" w:rsidP="004B607F">
      <w:pPr>
        <w:rPr>
          <w:rFonts w:asciiTheme="minorBidi" w:hAnsiTheme="minorBidi"/>
          <w:u w:val="single"/>
          <w:rtl/>
        </w:rPr>
      </w:pPr>
      <w:r w:rsidRPr="00845316">
        <w:rPr>
          <w:rFonts w:asciiTheme="minorBidi" w:hAnsiTheme="minorBidi"/>
          <w:u w:val="single"/>
          <w:rtl/>
        </w:rPr>
        <w:t>תיקון צוואה שניתנה בפני עדים ואחד מהם קרוב לנותן הצוואה:</w:t>
      </w:r>
    </w:p>
    <w:p w14:paraId="4077DC71" w14:textId="77777777" w:rsidR="004B607F" w:rsidRPr="00845316" w:rsidRDefault="004B607F" w:rsidP="004B0475">
      <w:pPr>
        <w:pStyle w:val="ac"/>
        <w:numPr>
          <w:ilvl w:val="0"/>
          <w:numId w:val="136"/>
        </w:numPr>
        <w:rPr>
          <w:rFonts w:asciiTheme="minorBidi" w:hAnsiTheme="minorBidi"/>
          <w:rtl/>
        </w:rPr>
      </w:pPr>
      <w:r w:rsidRPr="00845316">
        <w:rPr>
          <w:rFonts w:asciiTheme="minorBidi" w:hAnsiTheme="minorBidi"/>
          <w:rtl/>
        </w:rPr>
        <w:t>רא"ש</w:t>
      </w:r>
      <w:r w:rsidRPr="00845316">
        <w:rPr>
          <w:rStyle w:val="ab"/>
          <w:rFonts w:asciiTheme="minorBidi" w:hAnsiTheme="minorBidi"/>
          <w:rtl/>
        </w:rPr>
        <w:footnoteReference w:id="2032"/>
      </w:r>
      <w:r w:rsidRPr="00845316">
        <w:rPr>
          <w:rFonts w:asciiTheme="minorBidi" w:hAnsiTheme="minorBidi"/>
          <w:rtl/>
        </w:rPr>
        <w:t>- שטר הצוואה בטל, מאחר שאחד מהעדים החתומים בו הוא קרוב אבל אם העד שאינו קרוב זוכר לעדותו יבא לפני ב"ד ויעיד והעד האחר ששמע הצוואה מבחוץ מצטרף עמו להעיד אע"פ שלא יחדוהו להעיד.</w:t>
      </w:r>
    </w:p>
    <w:p w14:paraId="5150A1C8" w14:textId="77777777" w:rsidR="004B607F" w:rsidRPr="00845316" w:rsidRDefault="004B607F" w:rsidP="004B607F">
      <w:pPr>
        <w:rPr>
          <w:rFonts w:asciiTheme="minorBidi" w:hAnsiTheme="minorBidi"/>
          <w:u w:val="single"/>
          <w:rtl/>
        </w:rPr>
      </w:pPr>
      <w:r w:rsidRPr="00845316">
        <w:rPr>
          <w:rFonts w:asciiTheme="minorBidi" w:hAnsiTheme="minorBidi"/>
          <w:u w:val="single"/>
          <w:rtl/>
        </w:rPr>
        <w:t>שטר שאחד מהעדים החתומים בו קרוב או פסול:</w:t>
      </w:r>
    </w:p>
    <w:p w14:paraId="1D5B617B" w14:textId="77777777" w:rsidR="004B607F" w:rsidRPr="00845316" w:rsidRDefault="004B607F" w:rsidP="004B0475">
      <w:pPr>
        <w:pStyle w:val="ac"/>
        <w:numPr>
          <w:ilvl w:val="0"/>
          <w:numId w:val="136"/>
        </w:numPr>
        <w:rPr>
          <w:rFonts w:asciiTheme="minorBidi" w:hAnsiTheme="minorBidi"/>
          <w:rtl/>
        </w:rPr>
      </w:pPr>
      <w:r w:rsidRPr="00845316">
        <w:rPr>
          <w:rFonts w:asciiTheme="minorBidi" w:hAnsiTheme="minorBidi"/>
          <w:rtl/>
        </w:rPr>
        <w:t xml:space="preserve">רא"ש </w:t>
      </w:r>
      <w:r w:rsidRPr="00845316">
        <w:rPr>
          <w:rFonts w:asciiTheme="minorBidi" w:hAnsiTheme="minorBidi"/>
          <w:sz w:val="16"/>
          <w:szCs w:val="16"/>
          <w:rtl/>
        </w:rPr>
        <w:t>(כלל ס סי' ה)</w:t>
      </w:r>
      <w:r w:rsidRPr="00845316">
        <w:rPr>
          <w:rFonts w:asciiTheme="minorBidi" w:hAnsiTheme="minorBidi"/>
          <w:rtl/>
        </w:rPr>
        <w:t>- שטר שחתום בו קרוב או פסול, אם העדים הכשרים החתומים בו קיימים וזוכרים העדות אפילו על ידי ראיית אותו שטר יכולים להעיד על פה ובית דין יכתבו עדותם וחשוב כשטר.</w:t>
      </w:r>
    </w:p>
    <w:p w14:paraId="55B76DC5" w14:textId="77777777" w:rsidR="004B607F" w:rsidRPr="00845316" w:rsidRDefault="004B607F" w:rsidP="004B607F">
      <w:pPr>
        <w:jc w:val="both"/>
        <w:rPr>
          <w:rFonts w:asciiTheme="minorBidi" w:hAnsiTheme="minorBidi"/>
          <w:rtl/>
        </w:rPr>
      </w:pPr>
      <w:r w:rsidRPr="00845316">
        <w:rPr>
          <w:rFonts w:asciiTheme="minorBidi" w:hAnsiTheme="minorBidi"/>
          <w:rtl/>
        </w:rPr>
        <w:t xml:space="preserve"> </w:t>
      </w:r>
      <w:r w:rsidRPr="00845316">
        <w:rPr>
          <w:rFonts w:asciiTheme="minorBidi" w:hAnsiTheme="minorBidi"/>
          <w:b/>
          <w:bCs/>
          <w:sz w:val="32"/>
          <w:szCs w:val="28"/>
          <w:u w:val="single"/>
          <w:rtl/>
        </w:rPr>
        <w:t xml:space="preserve">שו"ע: </w:t>
      </w:r>
    </w:p>
    <w:p w14:paraId="78FB0058" w14:textId="77777777" w:rsidR="004B607F" w:rsidRPr="00845316" w:rsidRDefault="004B607F" w:rsidP="004B607F">
      <w:pPr>
        <w:rPr>
          <w:rFonts w:asciiTheme="minorBidi" w:hAnsiTheme="minorBidi"/>
          <w:rtl/>
        </w:rPr>
      </w:pPr>
      <w:r w:rsidRPr="00845316">
        <w:rPr>
          <w:rFonts w:asciiTheme="minorBidi" w:hAnsiTheme="minorBidi"/>
          <w:rtl/>
        </w:rPr>
        <w:t xml:space="preserve">העדים שקרובים זה לזה או שקרובים לדיינים פסולים. </w:t>
      </w:r>
    </w:p>
    <w:p w14:paraId="504931BE" w14:textId="77777777" w:rsidR="004B607F" w:rsidRPr="00845316" w:rsidRDefault="004B607F" w:rsidP="004B607F">
      <w:pPr>
        <w:rPr>
          <w:rFonts w:asciiTheme="minorBidi" w:hAnsiTheme="minorBidi"/>
          <w:rtl/>
        </w:rPr>
      </w:pPr>
    </w:p>
    <w:p w14:paraId="230636F1" w14:textId="77777777" w:rsidR="004B607F" w:rsidRPr="00845316" w:rsidRDefault="004B607F" w:rsidP="004B607F">
      <w:pPr>
        <w:pStyle w:val="2"/>
        <w:rPr>
          <w:rFonts w:asciiTheme="minorBidi" w:hAnsiTheme="minorBidi"/>
          <w:rtl/>
        </w:rPr>
      </w:pPr>
      <w:bookmarkStart w:id="278" w:name="_Toc24883746"/>
      <w:r w:rsidRPr="00845316">
        <w:rPr>
          <w:rFonts w:asciiTheme="minorBidi" w:hAnsiTheme="minorBidi"/>
          <w:rtl/>
        </w:rPr>
        <w:t>סעיף יח: קהל שמינו עדים קבועים.</w:t>
      </w:r>
      <w:bookmarkEnd w:id="278"/>
    </w:p>
    <w:p w14:paraId="40768B20" w14:textId="77777777" w:rsidR="004B607F" w:rsidRPr="00845316" w:rsidRDefault="004B607F" w:rsidP="004B607F">
      <w:pPr>
        <w:rPr>
          <w:rFonts w:asciiTheme="minorBidi" w:hAnsiTheme="minorBidi"/>
          <w:rtl/>
        </w:rPr>
      </w:pPr>
      <w:r w:rsidRPr="00845316">
        <w:rPr>
          <w:rFonts w:asciiTheme="minorBidi" w:hAnsiTheme="minorBidi"/>
          <w:b/>
          <w:bCs/>
          <w:rtl/>
        </w:rPr>
        <w:t>סנהדרין כד</w:t>
      </w:r>
      <w:r>
        <w:rPr>
          <w:rStyle w:val="ab"/>
          <w:rFonts w:asciiTheme="minorBidi" w:hAnsiTheme="minorBidi"/>
          <w:b/>
          <w:bCs/>
          <w:rtl/>
        </w:rPr>
        <w:footnoteReference w:id="2033"/>
      </w:r>
      <w:r w:rsidRPr="00845316">
        <w:rPr>
          <w:rFonts w:asciiTheme="minorBidi" w:hAnsiTheme="minorBidi"/>
          <w:b/>
          <w:bCs/>
          <w:rtl/>
        </w:rPr>
        <w:t xml:space="preserve"> ע"א: </w:t>
      </w:r>
      <w:r w:rsidRPr="00845316">
        <w:rPr>
          <w:rFonts w:asciiTheme="minorBidi" w:hAnsiTheme="minorBidi"/>
          <w:u w:val="double"/>
          <w:rtl/>
        </w:rPr>
        <w:t>משנה</w:t>
      </w:r>
      <w:r w:rsidRPr="00845316">
        <w:rPr>
          <w:rFonts w:asciiTheme="minorBidi" w:hAnsiTheme="minorBidi"/>
          <w:rtl/>
        </w:rPr>
        <w:t>: אמר לו: נאמן עלי</w:t>
      </w:r>
      <w:r w:rsidRPr="00845316">
        <w:rPr>
          <w:rStyle w:val="ab"/>
          <w:rFonts w:asciiTheme="minorBidi" w:hAnsiTheme="minorBidi"/>
          <w:rtl/>
        </w:rPr>
        <w:footnoteReference w:id="2034"/>
      </w:r>
      <w:r w:rsidRPr="00845316">
        <w:rPr>
          <w:rFonts w:asciiTheme="minorBidi" w:hAnsiTheme="minorBidi"/>
          <w:rtl/>
        </w:rPr>
        <w:t xml:space="preserve"> אבא</w:t>
      </w:r>
      <w:r w:rsidRPr="00845316">
        <w:rPr>
          <w:rStyle w:val="ab"/>
          <w:rFonts w:asciiTheme="minorBidi" w:hAnsiTheme="minorBidi"/>
          <w:rtl/>
        </w:rPr>
        <w:footnoteReference w:id="2035"/>
      </w:r>
      <w:r w:rsidRPr="00845316">
        <w:rPr>
          <w:rFonts w:asciiTheme="minorBidi" w:hAnsiTheme="minorBidi"/>
          <w:rtl/>
        </w:rPr>
        <w:t xml:space="preserve">, נאמן עלי אביך נאמנים עלי שלשה רועי בקר, </w:t>
      </w:r>
      <w:r w:rsidRPr="00845316">
        <w:rPr>
          <w:rFonts w:asciiTheme="minorBidi" w:hAnsiTheme="minorBidi"/>
          <w:u w:val="single"/>
          <w:rtl/>
        </w:rPr>
        <w:t>רבי מאיר אומר</w:t>
      </w:r>
      <w:r w:rsidRPr="00845316">
        <w:rPr>
          <w:rFonts w:asciiTheme="minorBidi" w:hAnsiTheme="minorBidi"/>
          <w:rtl/>
        </w:rPr>
        <w:t xml:space="preserve">: יכול לחזור בו, </w:t>
      </w:r>
      <w:r w:rsidRPr="00845316">
        <w:rPr>
          <w:rFonts w:asciiTheme="minorBidi" w:hAnsiTheme="minorBidi"/>
          <w:u w:val="single"/>
          <w:rtl/>
        </w:rPr>
        <w:t>וחכמים אומרים</w:t>
      </w:r>
      <w:r w:rsidRPr="00845316">
        <w:rPr>
          <w:rFonts w:asciiTheme="minorBidi" w:hAnsiTheme="minorBidi"/>
          <w:rtl/>
        </w:rPr>
        <w:t xml:space="preserve">: אינו יכול לחזור בו... </w:t>
      </w:r>
    </w:p>
    <w:p w14:paraId="1EC420B8" w14:textId="77777777" w:rsidR="004B607F" w:rsidRPr="00845316" w:rsidRDefault="004B607F" w:rsidP="004B607F">
      <w:pPr>
        <w:jc w:val="both"/>
        <w:rPr>
          <w:rFonts w:asciiTheme="minorBidi" w:hAnsiTheme="minorBidi"/>
          <w:rtl/>
        </w:rPr>
      </w:pPr>
      <w:r w:rsidRPr="00845316">
        <w:rPr>
          <w:rFonts w:asciiTheme="minorBidi" w:hAnsiTheme="minorBidi"/>
          <w:b/>
          <w:bCs/>
          <w:sz w:val="32"/>
          <w:szCs w:val="28"/>
          <w:u w:val="single"/>
          <w:rtl/>
        </w:rPr>
        <w:t xml:space="preserve">שו"ע: </w:t>
      </w:r>
    </w:p>
    <w:p w14:paraId="6528015E" w14:textId="77777777" w:rsidR="004B607F" w:rsidRPr="00845316" w:rsidRDefault="004B607F" w:rsidP="004B607F">
      <w:pPr>
        <w:rPr>
          <w:rFonts w:asciiTheme="minorBidi" w:hAnsiTheme="minorBidi"/>
          <w:rtl/>
        </w:rPr>
      </w:pPr>
      <w:r w:rsidRPr="00845316">
        <w:rPr>
          <w:rFonts w:asciiTheme="minorBidi" w:hAnsiTheme="minorBidi"/>
          <w:rtl/>
        </w:rPr>
        <w:t>אם הקהל מינו עדים</w:t>
      </w:r>
      <w:r w:rsidRPr="00845316">
        <w:rPr>
          <w:rStyle w:val="ab"/>
          <w:rFonts w:asciiTheme="minorBidi" w:hAnsiTheme="minorBidi"/>
          <w:rtl/>
        </w:rPr>
        <w:footnoteReference w:id="2036"/>
      </w:r>
      <w:r w:rsidRPr="00845316">
        <w:rPr>
          <w:rFonts w:asciiTheme="minorBidi" w:hAnsiTheme="minorBidi"/>
          <w:rtl/>
        </w:rPr>
        <w:t xml:space="preserve"> ותקנו שלא ישוה שום עדות זולתם כשרים להעיד אפילו לקרוביהם כיון שקבלום עליהם</w:t>
      </w:r>
      <w:r w:rsidRPr="00845316">
        <w:rPr>
          <w:rStyle w:val="ab"/>
          <w:rFonts w:asciiTheme="minorBidi" w:hAnsiTheme="minorBidi"/>
          <w:rtl/>
        </w:rPr>
        <w:footnoteReference w:id="2037"/>
      </w:r>
      <w:r w:rsidRPr="00845316">
        <w:rPr>
          <w:rFonts w:asciiTheme="minorBidi" w:hAnsiTheme="minorBidi"/>
          <w:sz w:val="18"/>
          <w:szCs w:val="18"/>
          <w:rtl/>
        </w:rPr>
        <w:t>. הגה: אבל אם מינו סתם עדים בעיר אין כונתם שיעידו לפסולים. וכן דיינים הממונים בעיר</w:t>
      </w:r>
      <w:r w:rsidRPr="00845316">
        <w:rPr>
          <w:rStyle w:val="ab"/>
          <w:rFonts w:asciiTheme="minorBidi" w:hAnsiTheme="minorBidi"/>
          <w:sz w:val="18"/>
          <w:szCs w:val="18"/>
          <w:rtl/>
        </w:rPr>
        <w:footnoteReference w:id="2038"/>
      </w:r>
      <w:r w:rsidRPr="00845316">
        <w:rPr>
          <w:rFonts w:asciiTheme="minorBidi" w:hAnsiTheme="minorBidi"/>
          <w:sz w:val="18"/>
          <w:szCs w:val="18"/>
          <w:rtl/>
        </w:rPr>
        <w:t xml:space="preserve"> לא ידונו לקרוביהם</w:t>
      </w:r>
      <w:r w:rsidRPr="00845316">
        <w:rPr>
          <w:rStyle w:val="ab"/>
          <w:rFonts w:asciiTheme="minorBidi" w:hAnsiTheme="minorBidi"/>
          <w:sz w:val="18"/>
          <w:szCs w:val="18"/>
          <w:rtl/>
        </w:rPr>
        <w:footnoteReference w:id="2039"/>
      </w:r>
      <w:r w:rsidRPr="00845316">
        <w:rPr>
          <w:rFonts w:asciiTheme="minorBidi" w:hAnsiTheme="minorBidi"/>
          <w:sz w:val="18"/>
          <w:szCs w:val="18"/>
          <w:rtl/>
        </w:rPr>
        <w:t xml:space="preserve"> </w:t>
      </w:r>
      <w:r w:rsidRPr="00845316">
        <w:rPr>
          <w:rFonts w:asciiTheme="minorBidi" w:hAnsiTheme="minorBidi"/>
          <w:sz w:val="16"/>
          <w:szCs w:val="16"/>
          <w:rtl/>
        </w:rPr>
        <w:t>(ריב"ש סי' שיא)</w:t>
      </w:r>
      <w:r w:rsidRPr="00845316">
        <w:rPr>
          <w:rFonts w:asciiTheme="minorBidi" w:hAnsiTheme="minorBidi"/>
          <w:sz w:val="18"/>
          <w:szCs w:val="18"/>
          <w:rtl/>
        </w:rPr>
        <w:t>, וכן נוהגין.</w:t>
      </w:r>
    </w:p>
    <w:p w14:paraId="4AC95AC6" w14:textId="77777777" w:rsidR="004B607F" w:rsidRDefault="004B607F" w:rsidP="004B607F">
      <w:pPr>
        <w:pStyle w:val="1"/>
        <w:rPr>
          <w:rFonts w:asciiTheme="minorBidi" w:hAnsiTheme="minorBidi"/>
          <w:rtl/>
        </w:rPr>
        <w:sectPr w:rsidR="004B607F" w:rsidSect="004B607F">
          <w:headerReference w:type="default" r:id="rId43"/>
          <w:footnotePr>
            <w:numRestart w:val="eachPage"/>
          </w:footnotePr>
          <w:pgSz w:w="11906" w:h="16838"/>
          <w:pgMar w:top="720" w:right="1134" w:bottom="720" w:left="1134" w:header="0" w:footer="0" w:gutter="0"/>
          <w:cols w:space="720"/>
          <w:bidi/>
          <w:rtlGutter/>
          <w:docGrid w:linePitch="360"/>
        </w:sectPr>
      </w:pPr>
    </w:p>
    <w:p w14:paraId="29AC3FCA" w14:textId="77777777" w:rsidR="004B607F" w:rsidRPr="00845316" w:rsidRDefault="004B607F" w:rsidP="004B607F">
      <w:pPr>
        <w:pStyle w:val="1"/>
        <w:rPr>
          <w:rFonts w:asciiTheme="minorBidi" w:hAnsiTheme="minorBidi"/>
          <w:rtl/>
        </w:rPr>
      </w:pPr>
      <w:bookmarkStart w:id="279" w:name="_Toc24883747"/>
      <w:r w:rsidRPr="00845316">
        <w:rPr>
          <w:rFonts w:asciiTheme="minorBidi" w:hAnsiTheme="minorBidi"/>
          <w:rtl/>
        </w:rPr>
        <w:lastRenderedPageBreak/>
        <w:t>סימן לד: עדים הפסולים מחמת עבירה.</w:t>
      </w:r>
      <w:bookmarkEnd w:id="279"/>
      <w:r w:rsidRPr="00845316">
        <w:rPr>
          <w:rFonts w:asciiTheme="minorBidi" w:hAnsiTheme="minorBidi"/>
          <w:rtl/>
        </w:rPr>
        <w:t xml:space="preserve"> </w:t>
      </w:r>
    </w:p>
    <w:p w14:paraId="5017E466" w14:textId="77777777" w:rsidR="004B607F" w:rsidRPr="00845316" w:rsidRDefault="004B607F" w:rsidP="004B607F">
      <w:pPr>
        <w:pStyle w:val="2"/>
        <w:rPr>
          <w:rFonts w:asciiTheme="minorBidi" w:hAnsiTheme="minorBidi"/>
          <w:rtl/>
        </w:rPr>
      </w:pPr>
      <w:bookmarkStart w:id="280" w:name="_Toc24883748"/>
      <w:r w:rsidRPr="00845316">
        <w:rPr>
          <w:rFonts w:asciiTheme="minorBidi" w:hAnsiTheme="minorBidi"/>
          <w:rtl/>
        </w:rPr>
        <w:t>סעיף א: רשע בעדות.</w:t>
      </w:r>
      <w:bookmarkEnd w:id="280"/>
    </w:p>
    <w:p w14:paraId="3FA209DA" w14:textId="77777777" w:rsidR="004B607F" w:rsidRPr="00845316" w:rsidRDefault="004B607F" w:rsidP="004B607F">
      <w:pPr>
        <w:rPr>
          <w:rFonts w:asciiTheme="minorBidi" w:hAnsiTheme="minorBidi"/>
          <w:rtl/>
        </w:rPr>
      </w:pPr>
      <w:r w:rsidRPr="00845316">
        <w:rPr>
          <w:rFonts w:asciiTheme="minorBidi" w:hAnsiTheme="minorBidi"/>
          <w:b/>
          <w:bCs/>
          <w:rtl/>
        </w:rPr>
        <w:t xml:space="preserve">שמות כג א: </w:t>
      </w:r>
      <w:r w:rsidRPr="00845316">
        <w:rPr>
          <w:rFonts w:asciiTheme="minorBidi" w:hAnsiTheme="minorBidi"/>
          <w:rtl/>
        </w:rPr>
        <w:t>לֹ֥א תִשָּׂ֖א שֵׁ֣מַע שָׁ֑וְא אַל־תָּ֤שֶׁת יָֽדְךָ֙ עִם־רָשָׁ֔ע לִהְיֹ֖ת עֵ֥ד חָמָֽס.</w:t>
      </w:r>
    </w:p>
    <w:p w14:paraId="4660C025" w14:textId="77777777" w:rsidR="004B607F" w:rsidRPr="00845316" w:rsidRDefault="004B607F" w:rsidP="004B607F">
      <w:pPr>
        <w:rPr>
          <w:rFonts w:asciiTheme="minorBidi" w:hAnsiTheme="minorBidi"/>
          <w:rtl/>
        </w:rPr>
      </w:pPr>
      <w:r w:rsidRPr="00845316">
        <w:rPr>
          <w:rFonts w:asciiTheme="minorBidi" w:hAnsiTheme="minorBidi"/>
          <w:b/>
          <w:bCs/>
          <w:rtl/>
        </w:rPr>
        <w:t>סנהדרין כז</w:t>
      </w:r>
      <w:r w:rsidRPr="00845316">
        <w:rPr>
          <w:rStyle w:val="ab"/>
          <w:rFonts w:asciiTheme="minorBidi" w:hAnsiTheme="minorBidi"/>
          <w:b/>
          <w:bCs/>
          <w:rtl/>
        </w:rPr>
        <w:footnoteReference w:id="2040"/>
      </w:r>
      <w:r w:rsidRPr="00845316">
        <w:rPr>
          <w:rFonts w:asciiTheme="minorBidi" w:hAnsiTheme="minorBidi"/>
          <w:b/>
          <w:bCs/>
          <w:rtl/>
        </w:rPr>
        <w:t xml:space="preserve"> ע"א: </w:t>
      </w:r>
      <w:r w:rsidRPr="00845316">
        <w:rPr>
          <w:rFonts w:asciiTheme="minorBidi" w:hAnsiTheme="minorBidi"/>
          <w:rtl/>
        </w:rPr>
        <w:t>איתמר,</w:t>
      </w:r>
      <w:r>
        <w:rPr>
          <w:rFonts w:asciiTheme="minorBidi" w:hAnsiTheme="minorBidi" w:hint="cs"/>
          <w:sz w:val="16"/>
          <w:szCs w:val="16"/>
          <w:rtl/>
        </w:rPr>
        <w:t xml:space="preserve"> </w:t>
      </w:r>
      <w:r>
        <w:rPr>
          <w:rFonts w:asciiTheme="minorBidi" w:hAnsiTheme="minorBidi" w:hint="cs"/>
          <w:sz w:val="14"/>
          <w:szCs w:val="14"/>
          <w:rtl/>
        </w:rPr>
        <w:t>(כז.)</w:t>
      </w:r>
      <w:r w:rsidRPr="00845316">
        <w:rPr>
          <w:rFonts w:asciiTheme="minorBidi" w:hAnsiTheme="minorBidi"/>
          <w:rtl/>
        </w:rPr>
        <w:t xml:space="preserve"> עד זומם, </w:t>
      </w:r>
      <w:r w:rsidRPr="00845316">
        <w:rPr>
          <w:rFonts w:asciiTheme="minorBidi" w:hAnsiTheme="minorBidi"/>
          <w:u w:val="single"/>
          <w:rtl/>
        </w:rPr>
        <w:t>אביי אמר</w:t>
      </w:r>
      <w:r w:rsidRPr="00845316">
        <w:rPr>
          <w:rFonts w:asciiTheme="minorBidi" w:hAnsiTheme="minorBidi"/>
          <w:rtl/>
        </w:rPr>
        <w:t xml:space="preserve">: למפרע הוא נפסל, </w:t>
      </w:r>
      <w:r w:rsidRPr="00845316">
        <w:rPr>
          <w:rFonts w:asciiTheme="minorBidi" w:hAnsiTheme="minorBidi"/>
          <w:u w:val="single"/>
          <w:rtl/>
        </w:rPr>
        <w:t>ורבא אמר:</w:t>
      </w:r>
      <w:r w:rsidRPr="00845316">
        <w:rPr>
          <w:rFonts w:asciiTheme="minorBidi" w:hAnsiTheme="minorBidi"/>
          <w:rtl/>
        </w:rPr>
        <w:t xml:space="preserve"> מיכן ולהבא הוא נפסל. </w:t>
      </w:r>
      <w:r w:rsidRPr="00845316">
        <w:rPr>
          <w:rFonts w:asciiTheme="minorBidi" w:hAnsiTheme="minorBidi"/>
          <w:u w:val="single"/>
          <w:rtl/>
        </w:rPr>
        <w:t>אביי אמר</w:t>
      </w:r>
      <w:r w:rsidRPr="00845316">
        <w:rPr>
          <w:rFonts w:asciiTheme="minorBidi" w:hAnsiTheme="minorBidi"/>
          <w:rtl/>
        </w:rPr>
        <w:t xml:space="preserve">: למפרע הוא נפסל, מעידנא דאסהיד רשע הוא, והתורה אמרה אל תשת ידך עם רשע- אל תשת רשע עד...  </w:t>
      </w:r>
      <w:r w:rsidRPr="00845316">
        <w:rPr>
          <w:rFonts w:asciiTheme="minorBidi" w:hAnsiTheme="minorBidi"/>
          <w:u w:val="single"/>
          <w:rtl/>
        </w:rPr>
        <w:t>מר בר רב אשי אמר</w:t>
      </w:r>
      <w:r w:rsidRPr="00845316">
        <w:rPr>
          <w:rFonts w:asciiTheme="minorBidi" w:hAnsiTheme="minorBidi"/>
          <w:rtl/>
        </w:rPr>
        <w:t>: הלכתא כוותיה דאביי. והלכתא כוותיה דאביי ביע"ל קג"ם</w:t>
      </w:r>
      <w:r w:rsidRPr="00845316">
        <w:rPr>
          <w:rStyle w:val="ab"/>
          <w:rFonts w:asciiTheme="minorBidi" w:hAnsiTheme="minorBidi"/>
          <w:rtl/>
        </w:rPr>
        <w:footnoteReference w:id="2041"/>
      </w:r>
      <w:r w:rsidRPr="00845316">
        <w:rPr>
          <w:rFonts w:asciiTheme="minorBidi" w:hAnsiTheme="minorBidi"/>
          <w:rtl/>
        </w:rPr>
        <w:t>.</w:t>
      </w:r>
    </w:p>
    <w:p w14:paraId="08B81E04" w14:textId="77777777" w:rsidR="004B607F" w:rsidRPr="00845316" w:rsidRDefault="004B607F" w:rsidP="004B607F">
      <w:pPr>
        <w:rPr>
          <w:rFonts w:asciiTheme="minorBidi" w:hAnsiTheme="minorBidi"/>
          <w:rtl/>
        </w:rPr>
      </w:pPr>
      <w:r w:rsidRPr="00845316">
        <w:rPr>
          <w:rFonts w:asciiTheme="minorBidi" w:hAnsiTheme="minorBidi"/>
          <w:b/>
          <w:bCs/>
          <w:rtl/>
        </w:rPr>
        <w:t>שבועות ל</w:t>
      </w:r>
      <w:r w:rsidRPr="00845316">
        <w:rPr>
          <w:rStyle w:val="ab"/>
          <w:rFonts w:asciiTheme="minorBidi" w:hAnsiTheme="minorBidi"/>
          <w:b/>
          <w:bCs/>
          <w:rtl/>
        </w:rPr>
        <w:footnoteReference w:id="2042"/>
      </w:r>
      <w:r w:rsidRPr="00845316">
        <w:rPr>
          <w:rFonts w:asciiTheme="minorBidi" w:hAnsiTheme="minorBidi"/>
          <w:b/>
          <w:bCs/>
          <w:rtl/>
        </w:rPr>
        <w:t xml:space="preserve"> ע"ב: </w:t>
      </w:r>
      <w:r w:rsidRPr="00845316">
        <w:rPr>
          <w:rFonts w:asciiTheme="minorBidi" w:hAnsiTheme="minorBidi"/>
          <w:rtl/>
        </w:rPr>
        <w:t>מנין לדיין שיודע לחבירו שהוא גזלן, וכן עד שיודע בחבירו שהוא גזלן, מנין שלא יצטרף עמו</w:t>
      </w:r>
      <w:r w:rsidRPr="00845316">
        <w:rPr>
          <w:rStyle w:val="ab"/>
          <w:rFonts w:asciiTheme="minorBidi" w:hAnsiTheme="minorBidi"/>
          <w:rtl/>
        </w:rPr>
        <w:footnoteReference w:id="2043"/>
      </w:r>
      <w:r w:rsidRPr="00845316">
        <w:rPr>
          <w:rFonts w:asciiTheme="minorBidi" w:hAnsiTheme="minorBidi"/>
          <w:rtl/>
        </w:rPr>
        <w:t>? תלמוד לומר: מדבר שקר תרחק</w:t>
      </w:r>
      <w:r w:rsidRPr="00845316">
        <w:rPr>
          <w:rStyle w:val="ab"/>
          <w:rFonts w:asciiTheme="minorBidi" w:hAnsiTheme="minorBidi"/>
          <w:rtl/>
        </w:rPr>
        <w:footnoteReference w:id="2044"/>
      </w:r>
      <w:r w:rsidRPr="00845316">
        <w:rPr>
          <w:rFonts w:asciiTheme="minorBidi" w:hAnsiTheme="minorBidi"/>
          <w:rtl/>
        </w:rPr>
        <w:t>.</w:t>
      </w:r>
    </w:p>
    <w:p w14:paraId="1A643960" w14:textId="77777777" w:rsidR="004B607F" w:rsidRPr="00845316" w:rsidRDefault="004B607F" w:rsidP="004B607F">
      <w:pPr>
        <w:jc w:val="both"/>
        <w:rPr>
          <w:rFonts w:asciiTheme="minorBidi" w:hAnsiTheme="minorBidi"/>
          <w:rtl/>
        </w:rPr>
      </w:pPr>
      <w:r w:rsidRPr="00845316">
        <w:rPr>
          <w:rFonts w:asciiTheme="minorBidi" w:hAnsiTheme="minorBidi"/>
          <w:b/>
          <w:bCs/>
          <w:sz w:val="32"/>
          <w:szCs w:val="28"/>
          <w:u w:val="single"/>
          <w:rtl/>
        </w:rPr>
        <w:t xml:space="preserve">שו"ע: </w:t>
      </w:r>
    </w:p>
    <w:p w14:paraId="11F9DB04" w14:textId="77777777" w:rsidR="004B607F" w:rsidRPr="00845316" w:rsidRDefault="004B607F" w:rsidP="004B607F">
      <w:pPr>
        <w:rPr>
          <w:rFonts w:asciiTheme="minorBidi" w:hAnsiTheme="minorBidi"/>
          <w:rtl/>
        </w:rPr>
      </w:pPr>
      <w:r w:rsidRPr="00845316">
        <w:rPr>
          <w:rFonts w:asciiTheme="minorBidi" w:hAnsiTheme="minorBidi"/>
          <w:rtl/>
        </w:rPr>
        <w:t>רשע פסול לעדות</w:t>
      </w:r>
      <w:r>
        <w:rPr>
          <w:rFonts w:asciiTheme="minorBidi" w:hAnsiTheme="minorBidi" w:hint="cs"/>
          <w:rtl/>
        </w:rPr>
        <w:t>.</w:t>
      </w:r>
      <w:r w:rsidRPr="00845316">
        <w:rPr>
          <w:rFonts w:asciiTheme="minorBidi" w:hAnsiTheme="minorBidi"/>
          <w:rtl/>
        </w:rPr>
        <w:t xml:space="preserve"> ואפילו עד כשר שיודע בחבירו שהוא רשע</w:t>
      </w:r>
      <w:r>
        <w:rPr>
          <w:rFonts w:asciiTheme="minorBidi" w:hAnsiTheme="minorBidi" w:hint="cs"/>
          <w:rtl/>
        </w:rPr>
        <w:t>,</w:t>
      </w:r>
      <w:r w:rsidRPr="00845316">
        <w:rPr>
          <w:rFonts w:asciiTheme="minorBidi" w:hAnsiTheme="minorBidi"/>
          <w:rtl/>
        </w:rPr>
        <w:t xml:space="preserve"> ואין הדיינים מכירים רשעו</w:t>
      </w:r>
      <w:r>
        <w:rPr>
          <w:rFonts w:asciiTheme="minorBidi" w:hAnsiTheme="minorBidi" w:hint="cs"/>
          <w:rtl/>
        </w:rPr>
        <w:t>,</w:t>
      </w:r>
      <w:r w:rsidRPr="00845316">
        <w:rPr>
          <w:rFonts w:asciiTheme="minorBidi" w:hAnsiTheme="minorBidi"/>
          <w:rtl/>
        </w:rPr>
        <w:t xml:space="preserve"> אסור לו להעיד עמו אף על פי שהוא עדות אמת</w:t>
      </w:r>
      <w:r w:rsidRPr="00845316">
        <w:rPr>
          <w:rStyle w:val="ab"/>
          <w:rFonts w:asciiTheme="minorBidi" w:hAnsiTheme="minorBidi"/>
          <w:rtl/>
        </w:rPr>
        <w:footnoteReference w:id="2045"/>
      </w:r>
      <w:r w:rsidRPr="00845316">
        <w:rPr>
          <w:rFonts w:asciiTheme="minorBidi" w:hAnsiTheme="minorBidi"/>
          <w:rtl/>
        </w:rPr>
        <w:t xml:space="preserve">. ואין צריך לומר עד כשר שהוא יודע בעדות לחבירו וידע שהעד השני שעמו עד שקר שאסור לו להעיד. </w:t>
      </w:r>
    </w:p>
    <w:p w14:paraId="3953D257" w14:textId="77777777" w:rsidR="004B607F" w:rsidRPr="00845316" w:rsidRDefault="004B607F" w:rsidP="004B607F">
      <w:pPr>
        <w:rPr>
          <w:rFonts w:asciiTheme="minorBidi" w:hAnsiTheme="minorBidi"/>
          <w:sz w:val="16"/>
          <w:szCs w:val="16"/>
          <w:rtl/>
        </w:rPr>
      </w:pPr>
      <w:r w:rsidRPr="00845316">
        <w:rPr>
          <w:rFonts w:asciiTheme="minorBidi" w:hAnsiTheme="minorBidi"/>
          <w:u w:val="single"/>
          <w:rtl/>
        </w:rPr>
        <w:t>אדם שהתבקש להעיד</w:t>
      </w:r>
      <w:r>
        <w:rPr>
          <w:rFonts w:asciiTheme="minorBidi" w:hAnsiTheme="minorBidi" w:hint="cs"/>
          <w:u w:val="single"/>
          <w:rtl/>
        </w:rPr>
        <w:t>,</w:t>
      </w:r>
      <w:r w:rsidRPr="00845316">
        <w:rPr>
          <w:rFonts w:asciiTheme="minorBidi" w:hAnsiTheme="minorBidi"/>
          <w:u w:val="single"/>
          <w:rtl/>
        </w:rPr>
        <w:t xml:space="preserve"> </w:t>
      </w:r>
      <w:r>
        <w:rPr>
          <w:rFonts w:asciiTheme="minorBidi" w:hAnsiTheme="minorBidi" w:hint="cs"/>
          <w:b/>
          <w:bCs/>
          <w:u w:val="single"/>
          <w:rtl/>
        </w:rPr>
        <w:t xml:space="preserve">ויודע </w:t>
      </w:r>
      <w:r w:rsidRPr="0093582E">
        <w:rPr>
          <w:rFonts w:asciiTheme="minorBidi" w:hAnsiTheme="minorBidi"/>
          <w:b/>
          <w:bCs/>
          <w:u w:val="single"/>
          <w:rtl/>
        </w:rPr>
        <w:t xml:space="preserve">עדות </w:t>
      </w:r>
      <w:r>
        <w:rPr>
          <w:rFonts w:asciiTheme="minorBidi" w:hAnsiTheme="minorBidi" w:hint="cs"/>
          <w:b/>
          <w:bCs/>
          <w:u w:val="single"/>
          <w:rtl/>
        </w:rPr>
        <w:t>ב</w:t>
      </w:r>
      <w:r w:rsidRPr="0093582E">
        <w:rPr>
          <w:rFonts w:asciiTheme="minorBidi" w:hAnsiTheme="minorBidi"/>
          <w:b/>
          <w:bCs/>
          <w:u w:val="single"/>
          <w:rtl/>
        </w:rPr>
        <w:t>אמת</w:t>
      </w:r>
      <w:r>
        <w:rPr>
          <w:rFonts w:asciiTheme="minorBidi" w:hAnsiTheme="minorBidi" w:hint="cs"/>
          <w:u w:val="single"/>
          <w:rtl/>
        </w:rPr>
        <w:t xml:space="preserve">, </w:t>
      </w:r>
      <w:r w:rsidRPr="00845316">
        <w:rPr>
          <w:rFonts w:asciiTheme="minorBidi" w:hAnsiTheme="minorBidi"/>
          <w:u w:val="single"/>
          <w:rtl/>
        </w:rPr>
        <w:t>אך יודע בעצמו שהוא פסול, והב"ד אינם יודעים</w:t>
      </w:r>
      <w:r>
        <w:rPr>
          <w:rFonts w:asciiTheme="minorBidi" w:hAnsiTheme="minorBidi" w:hint="cs"/>
          <w:u w:val="single"/>
          <w:rtl/>
        </w:rPr>
        <w:t xml:space="preserve"> </w:t>
      </w:r>
      <w:r w:rsidRPr="00845316">
        <w:rPr>
          <w:rFonts w:asciiTheme="minorBidi" w:hAnsiTheme="minorBidi"/>
          <w:u w:val="single"/>
          <w:rtl/>
        </w:rPr>
        <w:t>- האם ראשי להעיד</w:t>
      </w:r>
      <w:r w:rsidRPr="00845316">
        <w:rPr>
          <w:rStyle w:val="ab"/>
          <w:rFonts w:asciiTheme="minorBidi" w:hAnsiTheme="minorBidi"/>
          <w:u w:val="single"/>
          <w:rtl/>
        </w:rPr>
        <w:footnoteReference w:id="2046"/>
      </w:r>
      <w:r w:rsidRPr="00845316">
        <w:rPr>
          <w:rFonts w:asciiTheme="minorBidi" w:hAnsiTheme="minorBidi"/>
          <w:u w:val="single"/>
          <w:rtl/>
        </w:rPr>
        <w:t>:</w:t>
      </w:r>
      <w:r w:rsidRPr="00845316">
        <w:rPr>
          <w:rFonts w:asciiTheme="minorBidi" w:hAnsiTheme="minorBidi"/>
          <w:sz w:val="16"/>
          <w:szCs w:val="16"/>
          <w:rtl/>
        </w:rPr>
        <w:t xml:space="preserve"> </w:t>
      </w:r>
    </w:p>
    <w:p w14:paraId="5FB91BAF" w14:textId="77777777" w:rsidR="004B607F" w:rsidRPr="00845316" w:rsidRDefault="004B607F" w:rsidP="004B0475">
      <w:pPr>
        <w:pStyle w:val="ac"/>
        <w:numPr>
          <w:ilvl w:val="0"/>
          <w:numId w:val="136"/>
        </w:numPr>
        <w:rPr>
          <w:rFonts w:asciiTheme="minorBidi" w:hAnsiTheme="minorBidi"/>
        </w:rPr>
      </w:pPr>
      <w:r w:rsidRPr="00845316">
        <w:rPr>
          <w:rFonts w:asciiTheme="minorBidi" w:hAnsiTheme="minorBidi"/>
          <w:rtl/>
        </w:rPr>
        <w:t>חות יאיר</w:t>
      </w:r>
      <w:r w:rsidRPr="00845316">
        <w:rPr>
          <w:rFonts w:asciiTheme="minorBidi" w:hAnsiTheme="minorBidi"/>
          <w:sz w:val="16"/>
          <w:szCs w:val="16"/>
          <w:rtl/>
        </w:rPr>
        <w:t xml:space="preserve"> (סי' ט"ו בד"ה האמנם)</w:t>
      </w:r>
      <w:r w:rsidRPr="00845316">
        <w:rPr>
          <w:rFonts w:asciiTheme="minorBidi" w:hAnsiTheme="minorBidi"/>
          <w:rtl/>
        </w:rPr>
        <w:t>- אם כבר ראה וזה מבקש ממנו שיעיד שרי, דמה שאמרו "מדבר שקר תרחק" פירושו שלא יצטרף עמו להיות אצל הדבר לעד או לחתום שטר וק"ו אם יודע בעצמו.</w:t>
      </w:r>
    </w:p>
    <w:p w14:paraId="5B67FEBC" w14:textId="77777777" w:rsidR="004B607F" w:rsidRPr="00845316" w:rsidRDefault="004B607F" w:rsidP="004B0475">
      <w:pPr>
        <w:pStyle w:val="ac"/>
        <w:numPr>
          <w:ilvl w:val="0"/>
          <w:numId w:val="136"/>
        </w:numPr>
        <w:rPr>
          <w:rFonts w:asciiTheme="minorBidi" w:hAnsiTheme="minorBidi"/>
        </w:rPr>
      </w:pPr>
      <w:r w:rsidRPr="00845316">
        <w:rPr>
          <w:rFonts w:asciiTheme="minorBidi" w:hAnsiTheme="minorBidi"/>
          <w:rtl/>
        </w:rPr>
        <w:t xml:space="preserve">אורים </w:t>
      </w:r>
      <w:r w:rsidRPr="00845316">
        <w:rPr>
          <w:rFonts w:asciiTheme="minorBidi" w:hAnsiTheme="minorBidi"/>
          <w:sz w:val="16"/>
          <w:szCs w:val="16"/>
          <w:rtl/>
        </w:rPr>
        <w:t>(סי' כח סק"ג)</w:t>
      </w:r>
      <w:r w:rsidRPr="00845316">
        <w:rPr>
          <w:rFonts w:asciiTheme="minorBidi" w:hAnsiTheme="minorBidi"/>
          <w:rtl/>
        </w:rPr>
        <w:t xml:space="preserve">- אם הוא פסול משום קורבה ודאי דלא יעיד, אבל מחמת עבירה כיון דאין ידוע אלא לו הרי אין אדם נפסל על פי עצמו, ועוד הטעם דרשע פסול להעיד הוא משום דנחשד להעיד שקר, וא"כ הוא דיודע בנפשו דהאמת אתו למה לא יעיד. וכן הטעם בפסול מחמת נגיעה, דכל טעם הפסול דיעיד שקר, וא"כ הוא שיודע בעצמו שהאמת אתו למה לא יעיד. </w:t>
      </w:r>
    </w:p>
    <w:p w14:paraId="3FA45D4B" w14:textId="77777777" w:rsidR="004B607F" w:rsidRPr="00845316" w:rsidRDefault="004B607F" w:rsidP="004B0475">
      <w:pPr>
        <w:pStyle w:val="ac"/>
        <w:numPr>
          <w:ilvl w:val="0"/>
          <w:numId w:val="136"/>
        </w:numPr>
        <w:rPr>
          <w:rFonts w:asciiTheme="minorBidi" w:hAnsiTheme="minorBidi"/>
        </w:rPr>
      </w:pPr>
      <w:r w:rsidRPr="00845316">
        <w:rPr>
          <w:rFonts w:asciiTheme="minorBidi" w:hAnsiTheme="minorBidi"/>
          <w:rtl/>
        </w:rPr>
        <w:t xml:space="preserve">נתיבות המשפט </w:t>
      </w:r>
      <w:r w:rsidRPr="00845316">
        <w:rPr>
          <w:rFonts w:asciiTheme="minorBidi" w:hAnsiTheme="minorBidi"/>
          <w:sz w:val="16"/>
          <w:szCs w:val="16"/>
          <w:rtl/>
        </w:rPr>
        <w:t>(משה"כ סק"ב)</w:t>
      </w:r>
      <w:r w:rsidRPr="00845316">
        <w:rPr>
          <w:rFonts w:asciiTheme="minorBidi" w:hAnsiTheme="minorBidi"/>
          <w:rtl/>
        </w:rPr>
        <w:t xml:space="preserve">- אם הפסול מחמת קורבה לא יעיד, ואם מחמת עבירה יעיד </w:t>
      </w:r>
      <w:r w:rsidRPr="00845316">
        <w:rPr>
          <w:rFonts w:asciiTheme="minorBidi" w:hAnsiTheme="minorBidi"/>
          <w:sz w:val="16"/>
          <w:szCs w:val="16"/>
          <w:rtl/>
        </w:rPr>
        <w:t>(מטעמו של האורים)</w:t>
      </w:r>
      <w:r w:rsidRPr="00845316">
        <w:rPr>
          <w:rFonts w:asciiTheme="minorBidi" w:hAnsiTheme="minorBidi"/>
          <w:rtl/>
        </w:rPr>
        <w:t>, אך בפסול מחמת נגיעה אם יודע בעצמו שהוא נוגע לא יעיד.</w:t>
      </w:r>
    </w:p>
    <w:p w14:paraId="1F9BEEC6" w14:textId="77777777" w:rsidR="004B607F" w:rsidRPr="00845316" w:rsidRDefault="004B607F" w:rsidP="004B0475">
      <w:pPr>
        <w:pStyle w:val="ac"/>
        <w:numPr>
          <w:ilvl w:val="0"/>
          <w:numId w:val="136"/>
        </w:numPr>
        <w:rPr>
          <w:rFonts w:asciiTheme="minorBidi" w:hAnsiTheme="minorBidi"/>
          <w:rtl/>
        </w:rPr>
      </w:pPr>
      <w:r w:rsidRPr="00845316">
        <w:rPr>
          <w:rFonts w:asciiTheme="minorBidi" w:hAnsiTheme="minorBidi"/>
          <w:rtl/>
        </w:rPr>
        <w:t xml:space="preserve">ברכ"י </w:t>
      </w:r>
      <w:r w:rsidRPr="00845316">
        <w:rPr>
          <w:rFonts w:asciiTheme="minorBidi" w:hAnsiTheme="minorBidi"/>
          <w:sz w:val="16"/>
          <w:szCs w:val="16"/>
          <w:rtl/>
        </w:rPr>
        <w:t>(אות ד-ו)</w:t>
      </w:r>
      <w:r w:rsidRPr="00845316">
        <w:rPr>
          <w:rFonts w:asciiTheme="minorBidi" w:hAnsiTheme="minorBidi"/>
          <w:rtl/>
        </w:rPr>
        <w:t>- נראה דלבוא ולהעיד יחידי שפיר דמי לחייבו שבועה</w:t>
      </w:r>
      <w:r w:rsidRPr="00845316">
        <w:rPr>
          <w:rStyle w:val="ab"/>
          <w:rFonts w:asciiTheme="minorBidi" w:hAnsiTheme="minorBidi"/>
          <w:rtl/>
        </w:rPr>
        <w:footnoteReference w:id="2047"/>
      </w:r>
      <w:r>
        <w:rPr>
          <w:rFonts w:asciiTheme="minorBidi" w:hAnsiTheme="minorBidi" w:hint="cs"/>
          <w:rtl/>
        </w:rPr>
        <w:t>.</w:t>
      </w:r>
      <w:r w:rsidRPr="00845316">
        <w:rPr>
          <w:rFonts w:asciiTheme="minorBidi" w:hAnsiTheme="minorBidi"/>
          <w:rtl/>
        </w:rPr>
        <w:t xml:space="preserve"> ואם זה הפסול הוא שעבר עבירה דרבנן וזה הכשר יודע בו, אפשר דיכול לבוא ולהעיד עמו</w:t>
      </w:r>
      <w:r w:rsidRPr="00845316">
        <w:rPr>
          <w:rStyle w:val="ab"/>
          <w:rFonts w:asciiTheme="minorBidi" w:hAnsiTheme="minorBidi"/>
          <w:rtl/>
        </w:rPr>
        <w:footnoteReference w:id="2048"/>
      </w:r>
      <w:r w:rsidRPr="00845316">
        <w:rPr>
          <w:rFonts w:asciiTheme="minorBidi" w:hAnsiTheme="minorBidi"/>
          <w:rtl/>
        </w:rPr>
        <w:t xml:space="preserve">. מיהו יש להסתפק אם עבר עבירה דאו' שאין בה מלקות דלא מיפסל מדאו' לדעת הרמב"ם </w:t>
      </w:r>
      <w:r w:rsidRPr="00845316">
        <w:rPr>
          <w:rFonts w:asciiTheme="minorBidi" w:hAnsiTheme="minorBidi"/>
          <w:sz w:val="16"/>
          <w:szCs w:val="16"/>
          <w:rtl/>
        </w:rPr>
        <w:t xml:space="preserve">(שם פ"י ה"ב) </w:t>
      </w:r>
      <w:r w:rsidRPr="00845316">
        <w:rPr>
          <w:rFonts w:asciiTheme="minorBidi" w:hAnsiTheme="minorBidi"/>
          <w:rtl/>
        </w:rPr>
        <w:t xml:space="preserve">ומרן </w:t>
      </w:r>
      <w:r w:rsidRPr="00845316">
        <w:rPr>
          <w:rFonts w:asciiTheme="minorBidi" w:hAnsiTheme="minorBidi"/>
          <w:sz w:val="16"/>
          <w:szCs w:val="16"/>
          <w:rtl/>
        </w:rPr>
        <w:t xml:space="preserve">(סע' ב) </w:t>
      </w:r>
      <w:r w:rsidRPr="00845316">
        <w:rPr>
          <w:rFonts w:asciiTheme="minorBidi" w:hAnsiTheme="minorBidi"/>
          <w:rtl/>
        </w:rPr>
        <w:t xml:space="preserve">וסיעתם ופסול מדרבנן ולא בעי הכרזה כמ"ש </w:t>
      </w:r>
      <w:r w:rsidRPr="00845316">
        <w:rPr>
          <w:rFonts w:asciiTheme="minorBidi" w:hAnsiTheme="minorBidi"/>
          <w:rtl/>
        </w:rPr>
        <w:lastRenderedPageBreak/>
        <w:t xml:space="preserve">האחרונים </w:t>
      </w:r>
      <w:r w:rsidRPr="00845316">
        <w:rPr>
          <w:rFonts w:asciiTheme="minorBidi" w:hAnsiTheme="minorBidi"/>
          <w:sz w:val="16"/>
          <w:szCs w:val="16"/>
          <w:rtl/>
        </w:rPr>
        <w:t>(עיין להלן סק"ו)</w:t>
      </w:r>
      <w:r w:rsidRPr="00845316">
        <w:rPr>
          <w:rFonts w:asciiTheme="minorBidi" w:hAnsiTheme="minorBidi"/>
          <w:rtl/>
        </w:rPr>
        <w:t>, וזה הכשר הוא לבדו יודע בו אי שרי להעיד עמו או דילמא אסור מדרבנן כיון דאידך פסול מדרבנן ולא בעי הכרזה ואילו ידעו בו תיכף היה פסול מדרבנן</w:t>
      </w:r>
      <w:r w:rsidRPr="00845316">
        <w:rPr>
          <w:rStyle w:val="ab"/>
          <w:rFonts w:asciiTheme="minorBidi" w:hAnsiTheme="minorBidi"/>
          <w:rtl/>
        </w:rPr>
        <w:footnoteReference w:id="2049"/>
      </w:r>
      <w:r w:rsidRPr="00845316">
        <w:rPr>
          <w:rFonts w:asciiTheme="minorBidi" w:hAnsiTheme="minorBidi"/>
          <w:rtl/>
        </w:rPr>
        <w:t xml:space="preserve">. </w:t>
      </w:r>
    </w:p>
    <w:p w14:paraId="3C23E451" w14:textId="77777777" w:rsidR="004B607F" w:rsidRPr="00845316" w:rsidRDefault="004B607F" w:rsidP="004B607F">
      <w:pPr>
        <w:rPr>
          <w:rFonts w:asciiTheme="minorBidi" w:hAnsiTheme="minorBidi"/>
          <w:rtl/>
        </w:rPr>
      </w:pPr>
    </w:p>
    <w:p w14:paraId="47FACEB8" w14:textId="77777777" w:rsidR="004B607F" w:rsidRPr="00845316" w:rsidRDefault="004B607F" w:rsidP="004B607F">
      <w:pPr>
        <w:pStyle w:val="2"/>
        <w:rPr>
          <w:rFonts w:asciiTheme="minorBidi" w:hAnsiTheme="minorBidi"/>
          <w:rtl/>
        </w:rPr>
      </w:pPr>
      <w:bookmarkStart w:id="281" w:name="_Toc24883749"/>
      <w:r w:rsidRPr="00845316">
        <w:rPr>
          <w:rFonts w:asciiTheme="minorBidi" w:hAnsiTheme="minorBidi"/>
          <w:rtl/>
        </w:rPr>
        <w:t>סעיף ב: איזהו רשע.</w:t>
      </w:r>
      <w:bookmarkEnd w:id="281"/>
    </w:p>
    <w:p w14:paraId="7BD933C5" w14:textId="77777777" w:rsidR="004B607F" w:rsidRPr="00845316" w:rsidRDefault="004B607F" w:rsidP="004B607F">
      <w:pPr>
        <w:rPr>
          <w:rFonts w:asciiTheme="minorBidi" w:hAnsiTheme="minorBidi"/>
          <w:rtl/>
        </w:rPr>
      </w:pPr>
      <w:r w:rsidRPr="00845316">
        <w:rPr>
          <w:rFonts w:asciiTheme="minorBidi" w:hAnsiTheme="minorBidi"/>
          <w:b/>
          <w:bCs/>
          <w:rtl/>
        </w:rPr>
        <w:t>סנהדרין כז</w:t>
      </w:r>
      <w:r w:rsidRPr="00845316">
        <w:rPr>
          <w:rStyle w:val="ab"/>
          <w:rFonts w:asciiTheme="minorBidi" w:hAnsiTheme="minorBidi"/>
          <w:b/>
          <w:bCs/>
          <w:rtl/>
        </w:rPr>
        <w:footnoteReference w:id="2050"/>
      </w:r>
      <w:r w:rsidRPr="00845316">
        <w:rPr>
          <w:rFonts w:asciiTheme="minorBidi" w:hAnsiTheme="minorBidi"/>
          <w:b/>
          <w:bCs/>
          <w:rtl/>
        </w:rPr>
        <w:t xml:space="preserve"> ע"א: </w:t>
      </w:r>
      <w:r w:rsidRPr="00845316">
        <w:rPr>
          <w:rFonts w:asciiTheme="minorBidi" w:hAnsiTheme="minorBidi"/>
          <w:rtl/>
        </w:rPr>
        <w:t>מומר אוכל נבילות לתיאבון - דברי הכל פסול</w:t>
      </w:r>
      <w:r w:rsidRPr="00845316">
        <w:rPr>
          <w:rStyle w:val="ab"/>
          <w:rFonts w:asciiTheme="minorBidi" w:hAnsiTheme="minorBidi"/>
          <w:rtl/>
        </w:rPr>
        <w:footnoteReference w:id="2051"/>
      </w:r>
      <w:r w:rsidRPr="00845316">
        <w:rPr>
          <w:rFonts w:asciiTheme="minorBidi" w:hAnsiTheme="minorBidi"/>
          <w:rtl/>
        </w:rPr>
        <w:t xml:space="preserve">. להכעיס, </w:t>
      </w:r>
      <w:r w:rsidRPr="00845316">
        <w:rPr>
          <w:rFonts w:asciiTheme="minorBidi" w:hAnsiTheme="minorBidi"/>
          <w:u w:val="single"/>
          <w:rtl/>
        </w:rPr>
        <w:t>אביי אמר</w:t>
      </w:r>
      <w:r w:rsidRPr="00845316">
        <w:rPr>
          <w:rFonts w:asciiTheme="minorBidi" w:hAnsiTheme="minorBidi"/>
          <w:rtl/>
        </w:rPr>
        <w:t xml:space="preserve">: פסול, </w:t>
      </w:r>
      <w:r w:rsidRPr="00845316">
        <w:rPr>
          <w:rFonts w:asciiTheme="minorBidi" w:hAnsiTheme="minorBidi"/>
          <w:u w:val="single"/>
          <w:rtl/>
        </w:rPr>
        <w:t>רבא אמר</w:t>
      </w:r>
      <w:r w:rsidRPr="00845316">
        <w:rPr>
          <w:rFonts w:asciiTheme="minorBidi" w:hAnsiTheme="minorBidi"/>
          <w:rtl/>
        </w:rPr>
        <w:t xml:space="preserve">: כשר. </w:t>
      </w:r>
      <w:r w:rsidRPr="00845316">
        <w:rPr>
          <w:rFonts w:asciiTheme="minorBidi" w:hAnsiTheme="minorBidi"/>
          <w:u w:val="single"/>
          <w:rtl/>
        </w:rPr>
        <w:t>אביי אמר</w:t>
      </w:r>
      <w:r w:rsidRPr="00845316">
        <w:rPr>
          <w:rFonts w:asciiTheme="minorBidi" w:hAnsiTheme="minorBidi"/>
          <w:rtl/>
        </w:rPr>
        <w:t xml:space="preserve">: פסול, דהוה ליה רשע, ורחמנא אמר אל תשת רשע עד. </w:t>
      </w:r>
      <w:r w:rsidRPr="00845316">
        <w:rPr>
          <w:rFonts w:asciiTheme="minorBidi" w:hAnsiTheme="minorBidi"/>
          <w:u w:val="single"/>
          <w:rtl/>
        </w:rPr>
        <w:t>ורבא אמר</w:t>
      </w:r>
      <w:r w:rsidRPr="00845316">
        <w:rPr>
          <w:rFonts w:asciiTheme="minorBidi" w:hAnsiTheme="minorBidi"/>
          <w:rtl/>
        </w:rPr>
        <w:t>: כשר, רשע דחמס בעינן.</w:t>
      </w:r>
      <w:r w:rsidRPr="00845316">
        <w:rPr>
          <w:rFonts w:asciiTheme="minorBidi" w:hAnsiTheme="minorBidi"/>
          <w:sz w:val="16"/>
          <w:szCs w:val="16"/>
          <w:rtl/>
        </w:rPr>
        <w:t xml:space="preserve"> (ואסיקנא והלכתא כאביי וזו אחד מיע"ל קג"ם דהלכתא כוותיה, ב"י</w:t>
      </w:r>
      <w:r>
        <w:rPr>
          <w:rFonts w:asciiTheme="minorBidi" w:hAnsiTheme="minorBidi" w:hint="cs"/>
          <w:sz w:val="16"/>
          <w:szCs w:val="16"/>
          <w:rtl/>
        </w:rPr>
        <w:t>.</w:t>
      </w:r>
      <w:r w:rsidRPr="00845316">
        <w:rPr>
          <w:rFonts w:asciiTheme="minorBidi" w:hAnsiTheme="minorBidi"/>
          <w:sz w:val="16"/>
          <w:szCs w:val="16"/>
          <w:rtl/>
        </w:rPr>
        <w:t xml:space="preserve"> וכ"פ כו"ע דבעבירה </w:t>
      </w:r>
      <w:r w:rsidRPr="0019585B">
        <w:rPr>
          <w:rFonts w:asciiTheme="minorBidi" w:hAnsiTheme="minorBidi"/>
          <w:sz w:val="16"/>
          <w:szCs w:val="16"/>
          <w:rtl/>
        </w:rPr>
        <w:t>דאו'</w:t>
      </w:r>
      <w:r w:rsidRPr="00845316">
        <w:rPr>
          <w:rFonts w:asciiTheme="minorBidi" w:hAnsiTheme="minorBidi"/>
          <w:sz w:val="16"/>
          <w:szCs w:val="16"/>
          <w:rtl/>
        </w:rPr>
        <w:t xml:space="preserve"> נפסל אע"ג דליכא חימוד ממון, חוץ מאביאסף שפסק כרבא וכבר תמה עליו ההגה"מ</w:t>
      </w:r>
      <w:r w:rsidRPr="00845316">
        <w:rPr>
          <w:rFonts w:asciiTheme="minorBidi" w:hAnsiTheme="minorBidi"/>
          <w:sz w:val="14"/>
          <w:szCs w:val="14"/>
          <w:rtl/>
        </w:rPr>
        <w:t xml:space="preserve"> (פ"י ה"ג)</w:t>
      </w:r>
      <w:r w:rsidRPr="00845316">
        <w:rPr>
          <w:rFonts w:asciiTheme="minorBidi" w:hAnsiTheme="minorBidi"/>
          <w:sz w:val="16"/>
          <w:szCs w:val="16"/>
          <w:rtl/>
        </w:rPr>
        <w:t>)</w:t>
      </w:r>
    </w:p>
    <w:p w14:paraId="56A3FEFB" w14:textId="77777777" w:rsidR="004B607F" w:rsidRPr="00845316" w:rsidRDefault="004B607F" w:rsidP="004B607F">
      <w:pPr>
        <w:rPr>
          <w:rFonts w:asciiTheme="minorBidi" w:hAnsiTheme="minorBidi"/>
          <w:u w:val="single"/>
          <w:rtl/>
        </w:rPr>
      </w:pPr>
      <w:r w:rsidRPr="00845316">
        <w:rPr>
          <w:rFonts w:asciiTheme="minorBidi" w:hAnsiTheme="minorBidi"/>
          <w:u w:val="single"/>
          <w:rtl/>
        </w:rPr>
        <w:t>מה הדין באדם שעבר עבירה מדאו' שאין עליה מלקות:</w:t>
      </w:r>
    </w:p>
    <w:p w14:paraId="6C79CB1B" w14:textId="77777777" w:rsidR="004B607F" w:rsidRPr="00845316" w:rsidRDefault="004B607F" w:rsidP="004B0475">
      <w:pPr>
        <w:pStyle w:val="ac"/>
        <w:numPr>
          <w:ilvl w:val="0"/>
          <w:numId w:val="137"/>
        </w:numPr>
        <w:rPr>
          <w:rFonts w:asciiTheme="minorBidi" w:hAnsiTheme="minorBidi"/>
        </w:rPr>
      </w:pPr>
      <w:r w:rsidRPr="00845316">
        <w:rPr>
          <w:rFonts w:asciiTheme="minorBidi" w:hAnsiTheme="minorBidi"/>
          <w:rtl/>
        </w:rPr>
        <w:t xml:space="preserve">יש מן הגאונים </w:t>
      </w:r>
      <w:r w:rsidRPr="00845316">
        <w:rPr>
          <w:rFonts w:asciiTheme="minorBidi" w:hAnsiTheme="minorBidi"/>
          <w:sz w:val="16"/>
          <w:szCs w:val="16"/>
          <w:rtl/>
        </w:rPr>
        <w:t xml:space="preserve">(הביאם רי"ו </w:t>
      </w:r>
      <w:r w:rsidRPr="00845316">
        <w:rPr>
          <w:rFonts w:asciiTheme="minorBidi" w:hAnsiTheme="minorBidi"/>
          <w:sz w:val="14"/>
          <w:szCs w:val="14"/>
          <w:rtl/>
        </w:rPr>
        <w:t>[מישרים נ"ב ח"ד]</w:t>
      </w:r>
      <w:r w:rsidRPr="00845316">
        <w:rPr>
          <w:rFonts w:asciiTheme="minorBidi" w:hAnsiTheme="minorBidi"/>
          <w:sz w:val="16"/>
          <w:szCs w:val="16"/>
          <w:rtl/>
        </w:rPr>
        <w:t xml:space="preserve">) </w:t>
      </w:r>
      <w:r w:rsidRPr="00845316">
        <w:rPr>
          <w:rFonts w:asciiTheme="minorBidi" w:hAnsiTheme="minorBidi"/>
          <w:rtl/>
        </w:rPr>
        <w:t xml:space="preserve">(רמב"ם מרדכי טור </w:t>
      </w:r>
      <w:r w:rsidRPr="00845316">
        <w:rPr>
          <w:rFonts w:asciiTheme="minorBidi" w:hAnsiTheme="minorBidi"/>
          <w:sz w:val="16"/>
          <w:szCs w:val="16"/>
          <w:rtl/>
        </w:rPr>
        <w:t>להב' הב"י</w:t>
      </w:r>
      <w:r w:rsidRPr="00845316">
        <w:rPr>
          <w:rFonts w:asciiTheme="minorBidi" w:hAnsiTheme="minorBidi"/>
          <w:rtl/>
        </w:rPr>
        <w:t xml:space="preserve">) וב"י- פסול מדרבנן. </w:t>
      </w:r>
      <w:r w:rsidRPr="00845316">
        <w:rPr>
          <w:rFonts w:asciiTheme="minorBidi" w:hAnsiTheme="minorBidi"/>
          <w:color w:val="00B0F0"/>
          <w:rtl/>
        </w:rPr>
        <w:t>(וכ"פ הרמ"א)</w:t>
      </w:r>
    </w:p>
    <w:p w14:paraId="1771C88B" w14:textId="77777777" w:rsidR="004B607F" w:rsidRPr="00845316" w:rsidRDefault="004B607F" w:rsidP="004B607F">
      <w:pPr>
        <w:ind w:left="360"/>
        <w:rPr>
          <w:rFonts w:asciiTheme="minorBidi" w:hAnsiTheme="minorBidi"/>
        </w:rPr>
      </w:pPr>
      <w:r w:rsidRPr="00845316">
        <w:rPr>
          <w:rFonts w:asciiTheme="minorBidi" w:hAnsiTheme="minorBidi"/>
          <w:u w:val="dotted"/>
          <w:rtl/>
        </w:rPr>
        <w:t>האם כדי לפוסלו צריך שיעבור על עברה שיש בה חמס:</w:t>
      </w:r>
      <w:r w:rsidRPr="00845316">
        <w:rPr>
          <w:rFonts w:asciiTheme="minorBidi" w:hAnsiTheme="minorBidi"/>
          <w:rtl/>
        </w:rPr>
        <w:t xml:space="preserve"> </w:t>
      </w:r>
      <w:r w:rsidRPr="00845316">
        <w:rPr>
          <w:rFonts w:asciiTheme="minorBidi" w:hAnsiTheme="minorBidi"/>
          <w:sz w:val="16"/>
          <w:szCs w:val="16"/>
          <w:rtl/>
        </w:rPr>
        <w:t>(רעק"א על הסמ"ע סקט"ז)</w:t>
      </w:r>
    </w:p>
    <w:p w14:paraId="0327282F" w14:textId="77777777" w:rsidR="004B607F" w:rsidRPr="00845316" w:rsidRDefault="004B607F" w:rsidP="004B0475">
      <w:pPr>
        <w:pStyle w:val="ac"/>
        <w:numPr>
          <w:ilvl w:val="0"/>
          <w:numId w:val="137"/>
        </w:numPr>
        <w:rPr>
          <w:rFonts w:asciiTheme="minorBidi" w:hAnsiTheme="minorBidi"/>
        </w:rPr>
      </w:pPr>
      <w:r w:rsidRPr="00845316">
        <w:rPr>
          <w:rFonts w:asciiTheme="minorBidi" w:hAnsiTheme="minorBidi"/>
          <w:rtl/>
        </w:rPr>
        <w:t>ריב"ם מהרי"ט ומהר"י</w:t>
      </w:r>
      <w:r w:rsidRPr="00845316">
        <w:rPr>
          <w:rStyle w:val="ab"/>
          <w:rFonts w:asciiTheme="minorBidi" w:hAnsiTheme="minorBidi"/>
          <w:rtl/>
        </w:rPr>
        <w:footnoteReference w:id="2052"/>
      </w:r>
      <w:r w:rsidRPr="00845316">
        <w:rPr>
          <w:rFonts w:asciiTheme="minorBidi" w:hAnsiTheme="minorBidi"/>
          <w:rtl/>
        </w:rPr>
        <w:t>- "כל עבירה שאין בה מלקות דפסול מדרבנן</w:t>
      </w:r>
      <w:r>
        <w:rPr>
          <w:rFonts w:asciiTheme="minorBidi" w:hAnsiTheme="minorBidi" w:hint="cs"/>
          <w:rtl/>
        </w:rPr>
        <w:t xml:space="preserve"> </w:t>
      </w:r>
      <w:r w:rsidRPr="00845316">
        <w:rPr>
          <w:rFonts w:asciiTheme="minorBidi" w:hAnsiTheme="minorBidi"/>
          <w:rtl/>
        </w:rPr>
        <w:t>- בעינן חמס</w:t>
      </w:r>
      <w:r w:rsidRPr="00845316">
        <w:rPr>
          <w:rFonts w:asciiTheme="minorBidi" w:hAnsiTheme="minorBidi"/>
          <w:sz w:val="16"/>
          <w:szCs w:val="16"/>
          <w:rtl/>
        </w:rPr>
        <w:t xml:space="preserve"> (ל' רעק"א)</w:t>
      </w:r>
      <w:r w:rsidRPr="00845316">
        <w:rPr>
          <w:rFonts w:asciiTheme="minorBidi" w:hAnsiTheme="minorBidi"/>
          <w:rtl/>
        </w:rPr>
        <w:t>".</w:t>
      </w:r>
    </w:p>
    <w:p w14:paraId="103D4295" w14:textId="77777777" w:rsidR="004B607F" w:rsidRPr="00845316" w:rsidRDefault="004B607F" w:rsidP="004B0475">
      <w:pPr>
        <w:pStyle w:val="ac"/>
        <w:numPr>
          <w:ilvl w:val="0"/>
          <w:numId w:val="137"/>
        </w:numPr>
        <w:rPr>
          <w:rFonts w:asciiTheme="minorBidi" w:hAnsiTheme="minorBidi"/>
        </w:rPr>
      </w:pPr>
      <w:r w:rsidRPr="00845316">
        <w:rPr>
          <w:rFonts w:asciiTheme="minorBidi" w:hAnsiTheme="minorBidi"/>
          <w:rtl/>
        </w:rPr>
        <w:t>יש מן הגאונים</w:t>
      </w:r>
      <w:r w:rsidRPr="00845316">
        <w:rPr>
          <w:rStyle w:val="ab"/>
          <w:rFonts w:asciiTheme="minorBidi" w:hAnsiTheme="minorBidi"/>
          <w:rtl/>
        </w:rPr>
        <w:footnoteReference w:id="2053"/>
      </w:r>
      <w:r w:rsidRPr="00845316">
        <w:rPr>
          <w:rFonts w:asciiTheme="minorBidi" w:hAnsiTheme="minorBidi"/>
          <w:rtl/>
        </w:rPr>
        <w:t xml:space="preserve">- בעברה דאו' לא בעינן חמס. </w:t>
      </w:r>
      <w:r w:rsidRPr="00845316">
        <w:rPr>
          <w:rFonts w:asciiTheme="minorBidi" w:hAnsiTheme="minorBidi"/>
          <w:color w:val="E36C0A" w:themeColor="accent6" w:themeShade="BF"/>
          <w:rtl/>
        </w:rPr>
        <w:t>(וכ"פ בשו"ע</w:t>
      </w:r>
      <w:r w:rsidRPr="00845316">
        <w:rPr>
          <w:rFonts w:asciiTheme="minorBidi" w:hAnsiTheme="minorBidi"/>
          <w:color w:val="E36C0A" w:themeColor="accent6" w:themeShade="BF"/>
          <w:sz w:val="16"/>
          <w:szCs w:val="16"/>
          <w:rtl/>
        </w:rPr>
        <w:t xml:space="preserve"> </w:t>
      </w:r>
      <w:r w:rsidRPr="00845316">
        <w:rPr>
          <w:rFonts w:asciiTheme="minorBidi" w:hAnsiTheme="minorBidi"/>
          <w:sz w:val="16"/>
          <w:szCs w:val="16"/>
          <w:rtl/>
        </w:rPr>
        <w:t>[בסע' ה]</w:t>
      </w:r>
      <w:r w:rsidRPr="00845316">
        <w:rPr>
          <w:rStyle w:val="ab"/>
          <w:rFonts w:asciiTheme="minorBidi" w:hAnsiTheme="minorBidi"/>
          <w:rtl/>
        </w:rPr>
        <w:footnoteReference w:id="2054"/>
      </w:r>
      <w:r w:rsidRPr="00845316">
        <w:rPr>
          <w:rFonts w:asciiTheme="minorBidi" w:hAnsiTheme="minorBidi"/>
          <w:color w:val="E36C0A" w:themeColor="accent6" w:themeShade="BF"/>
          <w:rtl/>
        </w:rPr>
        <w:t>)</w:t>
      </w:r>
    </w:p>
    <w:p w14:paraId="193007C1" w14:textId="77777777" w:rsidR="004B607F" w:rsidRPr="00845316" w:rsidRDefault="004B607F" w:rsidP="004B607F">
      <w:pPr>
        <w:jc w:val="both"/>
        <w:rPr>
          <w:rFonts w:asciiTheme="minorBidi" w:hAnsiTheme="minorBidi"/>
          <w:rtl/>
        </w:rPr>
      </w:pPr>
      <w:r w:rsidRPr="00845316">
        <w:rPr>
          <w:rFonts w:asciiTheme="minorBidi" w:hAnsiTheme="minorBidi"/>
          <w:b/>
          <w:bCs/>
          <w:sz w:val="32"/>
          <w:szCs w:val="28"/>
          <w:u w:val="single"/>
          <w:rtl/>
        </w:rPr>
        <w:t xml:space="preserve">שו"ע: </w:t>
      </w:r>
    </w:p>
    <w:p w14:paraId="62A63560" w14:textId="77777777" w:rsidR="004B607F" w:rsidRPr="00845316" w:rsidRDefault="004B607F" w:rsidP="004B607F">
      <w:pPr>
        <w:rPr>
          <w:rFonts w:asciiTheme="minorBidi" w:hAnsiTheme="minorBidi"/>
          <w:rtl/>
        </w:rPr>
      </w:pPr>
      <w:r w:rsidRPr="00845316">
        <w:rPr>
          <w:rFonts w:asciiTheme="minorBidi" w:hAnsiTheme="minorBidi"/>
          <w:rtl/>
        </w:rPr>
        <w:t>איזהו רשע, כל שעבר עבירה שחייבים עליה מלקות</w:t>
      </w:r>
      <w:r>
        <w:rPr>
          <w:rFonts w:asciiTheme="minorBidi" w:hAnsiTheme="minorBidi" w:hint="cs"/>
          <w:rtl/>
        </w:rPr>
        <w:t>,</w:t>
      </w:r>
      <w:r w:rsidRPr="00845316">
        <w:rPr>
          <w:rFonts w:asciiTheme="minorBidi" w:hAnsiTheme="minorBidi"/>
          <w:rtl/>
        </w:rPr>
        <w:t xml:space="preserve"> ואין צריך לומר אם חייבים עליה מיתת בית דין, לא שנא אם עבר לתיאבון לא שנא אם עבר להכעיס</w:t>
      </w:r>
      <w:r w:rsidRPr="00845316">
        <w:rPr>
          <w:rStyle w:val="ab"/>
          <w:rFonts w:asciiTheme="minorBidi" w:hAnsiTheme="minorBidi"/>
          <w:rtl/>
        </w:rPr>
        <w:footnoteReference w:id="2055"/>
      </w:r>
      <w:r w:rsidRPr="00845316">
        <w:rPr>
          <w:rFonts w:asciiTheme="minorBidi" w:hAnsiTheme="minorBidi"/>
          <w:rtl/>
        </w:rPr>
        <w:t>.</w:t>
      </w:r>
      <w:r w:rsidRPr="00845316">
        <w:rPr>
          <w:rFonts w:asciiTheme="minorBidi" w:hAnsiTheme="minorBidi"/>
          <w:sz w:val="18"/>
          <w:szCs w:val="18"/>
          <w:rtl/>
        </w:rPr>
        <w:t xml:space="preserve"> הגה: עבר עבירה</w:t>
      </w:r>
      <w:r w:rsidRPr="00845316">
        <w:rPr>
          <w:rStyle w:val="ab"/>
          <w:rFonts w:asciiTheme="minorBidi" w:hAnsiTheme="minorBidi"/>
          <w:sz w:val="18"/>
          <w:szCs w:val="18"/>
          <w:rtl/>
        </w:rPr>
        <w:footnoteReference w:id="2056"/>
      </w:r>
      <w:r w:rsidRPr="00845316">
        <w:rPr>
          <w:rFonts w:asciiTheme="minorBidi" w:hAnsiTheme="minorBidi"/>
          <w:sz w:val="18"/>
          <w:szCs w:val="18"/>
          <w:rtl/>
        </w:rPr>
        <w:t xml:space="preserve"> שאין בה מלקות</w:t>
      </w:r>
      <w:r>
        <w:rPr>
          <w:rFonts w:asciiTheme="minorBidi" w:hAnsiTheme="minorBidi" w:hint="cs"/>
          <w:sz w:val="18"/>
          <w:szCs w:val="18"/>
          <w:rtl/>
        </w:rPr>
        <w:t>,</w:t>
      </w:r>
      <w:r w:rsidRPr="00845316">
        <w:rPr>
          <w:rFonts w:asciiTheme="minorBidi" w:hAnsiTheme="minorBidi"/>
          <w:sz w:val="18"/>
          <w:szCs w:val="18"/>
          <w:rtl/>
        </w:rPr>
        <w:t xml:space="preserve"> פסול מדרבנן (רי"ו נ"ב ח"ד). </w:t>
      </w:r>
      <w:r w:rsidRPr="00845316">
        <w:rPr>
          <w:rFonts w:asciiTheme="minorBidi" w:hAnsiTheme="minorBidi"/>
          <w:rtl/>
        </w:rPr>
        <w:t xml:space="preserve"> </w:t>
      </w:r>
    </w:p>
    <w:p w14:paraId="1D5AA1E8" w14:textId="77777777" w:rsidR="004B607F" w:rsidRPr="00845316" w:rsidRDefault="004B607F" w:rsidP="004B607F">
      <w:pPr>
        <w:rPr>
          <w:rFonts w:asciiTheme="minorBidi" w:hAnsiTheme="minorBidi"/>
          <w:u w:val="single"/>
          <w:rtl/>
        </w:rPr>
      </w:pPr>
      <w:r w:rsidRPr="00845316">
        <w:rPr>
          <w:rFonts w:asciiTheme="minorBidi" w:hAnsiTheme="minorBidi"/>
          <w:u w:val="single"/>
          <w:rtl/>
        </w:rPr>
        <w:t>אדם שהרג בשגגה:</w:t>
      </w:r>
      <w:r w:rsidRPr="00845316">
        <w:rPr>
          <w:rFonts w:asciiTheme="minorBidi" w:hAnsiTheme="minorBidi"/>
          <w:rtl/>
        </w:rPr>
        <w:t xml:space="preserve"> </w:t>
      </w:r>
      <w:r w:rsidRPr="00845316">
        <w:rPr>
          <w:rFonts w:asciiTheme="minorBidi" w:hAnsiTheme="minorBidi"/>
          <w:sz w:val="16"/>
          <w:szCs w:val="16"/>
          <w:rtl/>
        </w:rPr>
        <w:t xml:space="preserve"> (פת"ש סק"ד)</w:t>
      </w:r>
    </w:p>
    <w:p w14:paraId="390208B0" w14:textId="77777777" w:rsidR="004B607F" w:rsidRPr="00845316" w:rsidRDefault="004B607F" w:rsidP="004B0475">
      <w:pPr>
        <w:pStyle w:val="ac"/>
        <w:numPr>
          <w:ilvl w:val="0"/>
          <w:numId w:val="137"/>
        </w:numPr>
        <w:rPr>
          <w:rFonts w:asciiTheme="minorBidi" w:hAnsiTheme="minorBidi"/>
          <w:rtl/>
        </w:rPr>
      </w:pPr>
      <w:r w:rsidRPr="00845316">
        <w:rPr>
          <w:rFonts w:asciiTheme="minorBidi" w:hAnsiTheme="minorBidi"/>
          <w:rtl/>
        </w:rPr>
        <w:t>שבות יעקב</w:t>
      </w:r>
      <w:r w:rsidRPr="00845316">
        <w:rPr>
          <w:rFonts w:asciiTheme="minorBidi" w:hAnsiTheme="minorBidi"/>
          <w:sz w:val="16"/>
          <w:szCs w:val="16"/>
          <w:rtl/>
        </w:rPr>
        <w:t xml:space="preserve"> (ח"ג סי' קמז)</w:t>
      </w:r>
      <w:r w:rsidRPr="00845316">
        <w:rPr>
          <w:rFonts w:asciiTheme="minorBidi" w:hAnsiTheme="minorBidi"/>
          <w:rtl/>
        </w:rPr>
        <w:t>- כשר לכל עדות אף קודם שעשה תשובה.</w:t>
      </w:r>
    </w:p>
    <w:p w14:paraId="1E1425C0" w14:textId="77777777" w:rsidR="004B607F" w:rsidRPr="00845316" w:rsidRDefault="004B607F" w:rsidP="004B607F">
      <w:pPr>
        <w:rPr>
          <w:rFonts w:asciiTheme="minorBidi" w:hAnsiTheme="minorBidi"/>
          <w:sz w:val="16"/>
          <w:szCs w:val="16"/>
          <w:rtl/>
        </w:rPr>
      </w:pPr>
      <w:r w:rsidRPr="00845316">
        <w:rPr>
          <w:rFonts w:asciiTheme="minorBidi" w:hAnsiTheme="minorBidi"/>
          <w:u w:val="single"/>
          <w:rtl/>
        </w:rPr>
        <w:t>אדם שביטל עשה:</w:t>
      </w:r>
      <w:r w:rsidRPr="00845316">
        <w:rPr>
          <w:rFonts w:asciiTheme="minorBidi" w:hAnsiTheme="minorBidi"/>
          <w:rtl/>
        </w:rPr>
        <w:t xml:space="preserve"> </w:t>
      </w:r>
      <w:r w:rsidRPr="00845316">
        <w:rPr>
          <w:rFonts w:asciiTheme="minorBidi" w:hAnsiTheme="minorBidi"/>
          <w:sz w:val="16"/>
          <w:szCs w:val="16"/>
          <w:rtl/>
        </w:rPr>
        <w:t xml:space="preserve"> (פת"ש סק"ה)</w:t>
      </w:r>
    </w:p>
    <w:p w14:paraId="05F8FA1D" w14:textId="77777777" w:rsidR="004B607F" w:rsidRPr="00845316" w:rsidRDefault="004B607F" w:rsidP="004B0475">
      <w:pPr>
        <w:pStyle w:val="ac"/>
        <w:numPr>
          <w:ilvl w:val="0"/>
          <w:numId w:val="137"/>
        </w:numPr>
        <w:rPr>
          <w:rFonts w:asciiTheme="minorBidi" w:hAnsiTheme="minorBidi"/>
        </w:rPr>
      </w:pPr>
      <w:r w:rsidRPr="00845316">
        <w:rPr>
          <w:rFonts w:asciiTheme="minorBidi" w:hAnsiTheme="minorBidi"/>
          <w:rtl/>
        </w:rPr>
        <w:t xml:space="preserve">נתיבות </w:t>
      </w:r>
      <w:r w:rsidRPr="00845316">
        <w:rPr>
          <w:rFonts w:asciiTheme="minorBidi" w:hAnsiTheme="minorBidi"/>
          <w:sz w:val="16"/>
          <w:szCs w:val="16"/>
          <w:rtl/>
        </w:rPr>
        <w:t xml:space="preserve">(ביאורים סק"א) </w:t>
      </w:r>
      <w:r w:rsidRPr="00845316">
        <w:rPr>
          <w:rFonts w:asciiTheme="minorBidi" w:hAnsiTheme="minorBidi"/>
          <w:rtl/>
        </w:rPr>
        <w:t xml:space="preserve">חוט השני </w:t>
      </w:r>
      <w:r w:rsidRPr="00845316">
        <w:rPr>
          <w:rFonts w:asciiTheme="minorBidi" w:hAnsiTheme="minorBidi"/>
          <w:sz w:val="16"/>
          <w:szCs w:val="16"/>
          <w:rtl/>
        </w:rPr>
        <w:t xml:space="preserve">(סי' יח) </w:t>
      </w:r>
      <w:r w:rsidRPr="00845316">
        <w:rPr>
          <w:rFonts w:asciiTheme="minorBidi" w:hAnsiTheme="minorBidi"/>
          <w:rtl/>
        </w:rPr>
        <w:t xml:space="preserve">וברכ"י </w:t>
      </w:r>
      <w:r w:rsidRPr="00845316">
        <w:rPr>
          <w:rFonts w:asciiTheme="minorBidi" w:hAnsiTheme="minorBidi"/>
          <w:sz w:val="16"/>
          <w:szCs w:val="16"/>
          <w:rtl/>
        </w:rPr>
        <w:t>(אות י)</w:t>
      </w:r>
      <w:r w:rsidRPr="00845316">
        <w:rPr>
          <w:rFonts w:asciiTheme="minorBidi" w:hAnsiTheme="minorBidi"/>
          <w:rtl/>
        </w:rPr>
        <w:t>- "ואם ביטל מצות עשה, נראה לי מוכח מכמה דוכתי דלא נפסל לעדות עד שיעבור בקום ועשה, או שהוא פורק עול לגמרי</w:t>
      </w:r>
      <w:r w:rsidRPr="00845316">
        <w:rPr>
          <w:rFonts w:asciiTheme="minorBidi" w:hAnsiTheme="minorBidi"/>
          <w:sz w:val="16"/>
          <w:szCs w:val="16"/>
          <w:rtl/>
        </w:rPr>
        <w:t xml:space="preserve"> (ל' הנתיבות)</w:t>
      </w:r>
      <w:r w:rsidRPr="00845316">
        <w:rPr>
          <w:rFonts w:asciiTheme="minorBidi" w:hAnsiTheme="minorBidi"/>
          <w:rtl/>
        </w:rPr>
        <w:t>".</w:t>
      </w:r>
    </w:p>
    <w:p w14:paraId="3B9FE953" w14:textId="77777777" w:rsidR="004B607F" w:rsidRPr="00845316" w:rsidRDefault="004B607F" w:rsidP="004B607F">
      <w:pPr>
        <w:rPr>
          <w:rFonts w:asciiTheme="minorBidi" w:hAnsiTheme="minorBidi"/>
          <w:u w:val="single"/>
          <w:rtl/>
        </w:rPr>
      </w:pPr>
      <w:r w:rsidRPr="00845316">
        <w:rPr>
          <w:rFonts w:asciiTheme="minorBidi" w:hAnsiTheme="minorBidi"/>
          <w:u w:val="single"/>
          <w:rtl/>
        </w:rPr>
        <w:t xml:space="preserve">עשה מצות עשה </w:t>
      </w:r>
      <w:r>
        <w:rPr>
          <w:rFonts w:asciiTheme="minorBidi" w:hAnsiTheme="minorBidi" w:hint="cs"/>
          <w:u w:val="single"/>
          <w:rtl/>
        </w:rPr>
        <w:t>ו</w:t>
      </w:r>
      <w:r w:rsidRPr="00845316">
        <w:rPr>
          <w:rFonts w:asciiTheme="minorBidi" w:hAnsiTheme="minorBidi"/>
          <w:u w:val="single"/>
          <w:rtl/>
        </w:rPr>
        <w:t>בעשיית המצוה עבר על לא תעשה ועשה</w:t>
      </w:r>
      <w:r w:rsidRPr="00845316">
        <w:rPr>
          <w:rFonts w:asciiTheme="minorBidi" w:hAnsiTheme="minorBidi"/>
          <w:sz w:val="16"/>
          <w:szCs w:val="16"/>
          <w:u w:val="single"/>
          <w:rtl/>
        </w:rPr>
        <w:t xml:space="preserve"> (וקיי"ל דאין עשה דוחה לא תעשה ועשה </w:t>
      </w:r>
      <w:r w:rsidRPr="00845316">
        <w:rPr>
          <w:rFonts w:asciiTheme="minorBidi" w:hAnsiTheme="minorBidi"/>
          <w:sz w:val="14"/>
          <w:szCs w:val="14"/>
          <w:u w:val="single"/>
          <w:rtl/>
        </w:rPr>
        <w:t>[יבמות ה.]</w:t>
      </w:r>
      <w:r w:rsidRPr="00845316">
        <w:rPr>
          <w:rFonts w:asciiTheme="minorBidi" w:hAnsiTheme="minorBidi"/>
          <w:sz w:val="16"/>
          <w:szCs w:val="16"/>
          <w:u w:val="single"/>
          <w:rtl/>
        </w:rPr>
        <w:t>)</w:t>
      </w:r>
      <w:r w:rsidRPr="00845316">
        <w:rPr>
          <w:rFonts w:asciiTheme="minorBidi" w:hAnsiTheme="minorBidi"/>
          <w:u w:val="single"/>
          <w:rtl/>
        </w:rPr>
        <w:t>:</w:t>
      </w:r>
      <w:r w:rsidRPr="00845316">
        <w:rPr>
          <w:rFonts w:asciiTheme="minorBidi" w:hAnsiTheme="minorBidi"/>
          <w:rtl/>
        </w:rPr>
        <w:t xml:space="preserve"> </w:t>
      </w:r>
      <w:r w:rsidRPr="00845316">
        <w:rPr>
          <w:rFonts w:asciiTheme="minorBidi" w:hAnsiTheme="minorBidi"/>
          <w:sz w:val="16"/>
          <w:szCs w:val="16"/>
          <w:rtl/>
        </w:rPr>
        <w:t xml:space="preserve"> (פת"ש סק"ה)</w:t>
      </w:r>
    </w:p>
    <w:p w14:paraId="00C6F73D" w14:textId="77777777" w:rsidR="004B607F" w:rsidRPr="00845316" w:rsidRDefault="004B607F" w:rsidP="004B0475">
      <w:pPr>
        <w:pStyle w:val="ac"/>
        <w:numPr>
          <w:ilvl w:val="0"/>
          <w:numId w:val="139"/>
        </w:numPr>
        <w:rPr>
          <w:rFonts w:asciiTheme="minorBidi" w:hAnsiTheme="minorBidi"/>
        </w:rPr>
      </w:pPr>
      <w:r w:rsidRPr="00845316">
        <w:rPr>
          <w:rFonts w:asciiTheme="minorBidi" w:hAnsiTheme="minorBidi"/>
          <w:rtl/>
        </w:rPr>
        <w:t>רש"י וריב"א</w:t>
      </w:r>
      <w:r w:rsidRPr="00845316">
        <w:rPr>
          <w:rStyle w:val="ab"/>
          <w:rFonts w:asciiTheme="minorBidi" w:hAnsiTheme="minorBidi"/>
          <w:rtl/>
        </w:rPr>
        <w:footnoteReference w:id="2057"/>
      </w:r>
      <w:r w:rsidRPr="00845316">
        <w:rPr>
          <w:rFonts w:asciiTheme="minorBidi" w:hAnsiTheme="minorBidi"/>
          <w:rtl/>
        </w:rPr>
        <w:t>- פסול מדרבנן, כיון שאין בזה מלקות. (וכ"פ בית שמואל אחרון</w:t>
      </w:r>
      <w:r w:rsidRPr="00845316">
        <w:rPr>
          <w:rFonts w:asciiTheme="minorBidi" w:hAnsiTheme="minorBidi"/>
          <w:sz w:val="16"/>
          <w:szCs w:val="16"/>
          <w:rtl/>
        </w:rPr>
        <w:t xml:space="preserve"> (שו"ת חו"מ סי' יח)</w:t>
      </w:r>
      <w:r w:rsidRPr="00845316">
        <w:rPr>
          <w:rFonts w:asciiTheme="minorBidi" w:hAnsiTheme="minorBidi"/>
          <w:rtl/>
        </w:rPr>
        <w:t xml:space="preserve"> ופת"ש)</w:t>
      </w:r>
    </w:p>
    <w:p w14:paraId="6C0789B8" w14:textId="77777777" w:rsidR="004B607F" w:rsidRPr="00845316" w:rsidRDefault="004B607F" w:rsidP="004B0475">
      <w:pPr>
        <w:pStyle w:val="ac"/>
        <w:numPr>
          <w:ilvl w:val="0"/>
          <w:numId w:val="137"/>
        </w:numPr>
        <w:rPr>
          <w:rFonts w:asciiTheme="minorBidi" w:hAnsiTheme="minorBidi"/>
        </w:rPr>
      </w:pPr>
      <w:r w:rsidRPr="00845316">
        <w:rPr>
          <w:rFonts w:asciiTheme="minorBidi" w:hAnsiTheme="minorBidi"/>
          <w:rtl/>
        </w:rPr>
        <w:t xml:space="preserve">רמב"ם </w:t>
      </w:r>
      <w:r w:rsidRPr="00845316">
        <w:rPr>
          <w:rFonts w:asciiTheme="minorBidi" w:hAnsiTheme="minorBidi"/>
          <w:sz w:val="16"/>
          <w:szCs w:val="16"/>
          <w:rtl/>
        </w:rPr>
        <w:t>(כ"מ לפת"ש מדבריו בנדרים פ"ג ה"ו)</w:t>
      </w:r>
      <w:r w:rsidRPr="00845316">
        <w:rPr>
          <w:rFonts w:asciiTheme="minorBidi" w:hAnsiTheme="minorBidi"/>
          <w:rtl/>
        </w:rPr>
        <w:t>- פסול מדאו', כיון שיש בזה מלקות.</w:t>
      </w:r>
    </w:p>
    <w:p w14:paraId="783B3846" w14:textId="77777777" w:rsidR="004B607F" w:rsidRPr="00845316" w:rsidRDefault="004B607F" w:rsidP="004B607F">
      <w:pPr>
        <w:rPr>
          <w:rFonts w:asciiTheme="minorBidi" w:hAnsiTheme="minorBidi"/>
          <w:rtl/>
        </w:rPr>
      </w:pPr>
    </w:p>
    <w:p w14:paraId="12EAD87B" w14:textId="77777777" w:rsidR="004B607F" w:rsidRPr="00845316" w:rsidRDefault="004B607F" w:rsidP="004B607F">
      <w:pPr>
        <w:pStyle w:val="2"/>
        <w:rPr>
          <w:rFonts w:asciiTheme="minorBidi" w:hAnsiTheme="minorBidi"/>
          <w:rtl/>
        </w:rPr>
      </w:pPr>
      <w:bookmarkStart w:id="282" w:name="_Toc24883750"/>
      <w:r w:rsidRPr="00845316">
        <w:rPr>
          <w:rFonts w:asciiTheme="minorBidi" w:hAnsiTheme="minorBidi"/>
          <w:rtl/>
        </w:rPr>
        <w:lastRenderedPageBreak/>
        <w:t>סעיף ג: העובר עברה מדרבנן.</w:t>
      </w:r>
      <w:bookmarkEnd w:id="282"/>
    </w:p>
    <w:p w14:paraId="567FB4AF" w14:textId="77777777" w:rsidR="004B607F" w:rsidRPr="00845316" w:rsidRDefault="004B607F" w:rsidP="004B607F">
      <w:pPr>
        <w:rPr>
          <w:rFonts w:asciiTheme="minorBidi" w:hAnsiTheme="minorBidi"/>
          <w:rtl/>
        </w:rPr>
      </w:pPr>
      <w:r w:rsidRPr="00845316">
        <w:rPr>
          <w:rFonts w:asciiTheme="minorBidi" w:hAnsiTheme="minorBidi"/>
          <w:b/>
          <w:bCs/>
          <w:rtl/>
        </w:rPr>
        <w:t>ראש השנה כב</w:t>
      </w:r>
      <w:r>
        <w:rPr>
          <w:rStyle w:val="ab"/>
          <w:rFonts w:asciiTheme="minorBidi" w:hAnsiTheme="minorBidi"/>
          <w:b/>
          <w:bCs/>
          <w:rtl/>
        </w:rPr>
        <w:footnoteReference w:id="2058"/>
      </w:r>
      <w:r w:rsidRPr="00845316">
        <w:rPr>
          <w:rFonts w:asciiTheme="minorBidi" w:hAnsiTheme="minorBidi"/>
          <w:b/>
          <w:bCs/>
          <w:rtl/>
        </w:rPr>
        <w:t xml:space="preserve"> ע"א:</w:t>
      </w:r>
      <w:r w:rsidRPr="00845316">
        <w:rPr>
          <w:rFonts w:asciiTheme="minorBidi" w:hAnsiTheme="minorBidi"/>
          <w:rtl/>
        </w:rPr>
        <w:t xml:space="preserve"> </w:t>
      </w:r>
      <w:bookmarkStart w:id="283" w:name="_Hlk24032183"/>
      <w:r w:rsidRPr="00845316">
        <w:rPr>
          <w:rFonts w:asciiTheme="minorBidi" w:hAnsiTheme="minorBidi"/>
          <w:u w:val="single"/>
          <w:rtl/>
        </w:rPr>
        <w:t>אמר רב אשי:</w:t>
      </w:r>
      <w:r w:rsidRPr="00845316">
        <w:rPr>
          <w:rFonts w:asciiTheme="minorBidi" w:hAnsiTheme="minorBidi"/>
          <w:rtl/>
        </w:rPr>
        <w:t xml:space="preserve"> זאת אומרת גזלן דדבריהם כשירין לעדות אשה</w:t>
      </w:r>
      <w:bookmarkEnd w:id="283"/>
      <w:r w:rsidRPr="00845316">
        <w:rPr>
          <w:rStyle w:val="ab"/>
          <w:rFonts w:asciiTheme="minorBidi" w:hAnsiTheme="minorBidi"/>
          <w:rtl/>
        </w:rPr>
        <w:footnoteReference w:id="2059"/>
      </w:r>
      <w:r w:rsidRPr="00845316">
        <w:rPr>
          <w:rFonts w:asciiTheme="minorBidi" w:hAnsiTheme="minorBidi"/>
          <w:rtl/>
        </w:rPr>
        <w:t>.</w:t>
      </w:r>
    </w:p>
    <w:p w14:paraId="7C437AC8" w14:textId="77777777" w:rsidR="004B607F" w:rsidRPr="00845316" w:rsidRDefault="004B607F" w:rsidP="004B607F">
      <w:pPr>
        <w:rPr>
          <w:rFonts w:asciiTheme="minorBidi" w:hAnsiTheme="minorBidi"/>
          <w:u w:val="single"/>
          <w:rtl/>
        </w:rPr>
      </w:pPr>
      <w:r w:rsidRPr="00845316">
        <w:rPr>
          <w:rFonts w:asciiTheme="minorBidi" w:hAnsiTheme="minorBidi"/>
          <w:u w:val="single"/>
          <w:rtl/>
        </w:rPr>
        <w:t>עבר עברה מדרבנן</w:t>
      </w:r>
      <w:r>
        <w:rPr>
          <w:rFonts w:asciiTheme="minorBidi" w:hAnsiTheme="minorBidi" w:hint="cs"/>
          <w:u w:val="single"/>
          <w:rtl/>
        </w:rPr>
        <w:t xml:space="preserve"> </w:t>
      </w:r>
      <w:r w:rsidRPr="00845316">
        <w:rPr>
          <w:rFonts w:asciiTheme="minorBidi" w:hAnsiTheme="minorBidi"/>
          <w:u w:val="single"/>
          <w:rtl/>
        </w:rPr>
        <w:t>- האם כדי להפסל צריך שיהיה בה חימוד ממון:</w:t>
      </w:r>
    </w:p>
    <w:p w14:paraId="43CA495C" w14:textId="77777777" w:rsidR="004B607F" w:rsidRPr="00845316" w:rsidRDefault="004B607F" w:rsidP="004B0475">
      <w:pPr>
        <w:pStyle w:val="ac"/>
        <w:numPr>
          <w:ilvl w:val="0"/>
          <w:numId w:val="138"/>
        </w:numPr>
        <w:rPr>
          <w:rFonts w:asciiTheme="minorBidi" w:hAnsiTheme="minorBidi"/>
        </w:rPr>
      </w:pPr>
      <w:r w:rsidRPr="00845316">
        <w:rPr>
          <w:rFonts w:asciiTheme="minorBidi" w:hAnsiTheme="minorBidi"/>
          <w:rtl/>
        </w:rPr>
        <w:t>רמב"ם</w:t>
      </w:r>
      <w:r w:rsidRPr="00845316">
        <w:rPr>
          <w:rFonts w:asciiTheme="minorBidi" w:hAnsiTheme="minorBidi"/>
          <w:sz w:val="16"/>
          <w:szCs w:val="16"/>
          <w:rtl/>
        </w:rPr>
        <w:t xml:space="preserve"> (פ"י ה"ג)</w:t>
      </w:r>
      <w:r w:rsidRPr="00845316">
        <w:rPr>
          <w:rFonts w:asciiTheme="minorBidi" w:hAnsiTheme="minorBidi"/>
          <w:rtl/>
        </w:rPr>
        <w:t xml:space="preserve"> וטור- פסול מדרבנן</w:t>
      </w:r>
      <w:r>
        <w:rPr>
          <w:rFonts w:asciiTheme="minorBidi" w:hAnsiTheme="minorBidi" w:hint="cs"/>
          <w:rtl/>
        </w:rPr>
        <w:t>,</w:t>
      </w:r>
      <w:r w:rsidRPr="00845316">
        <w:rPr>
          <w:rFonts w:asciiTheme="minorBidi" w:hAnsiTheme="minorBidi"/>
          <w:rtl/>
        </w:rPr>
        <w:t xml:space="preserve"> בין שיש בעברה שעבר חימוד ממון ובין אין חימוד ממון. </w:t>
      </w:r>
      <w:r w:rsidRPr="00845316">
        <w:rPr>
          <w:rFonts w:asciiTheme="minorBidi" w:hAnsiTheme="minorBidi"/>
          <w:color w:val="E36C0A" w:themeColor="accent6" w:themeShade="BF"/>
          <w:rtl/>
        </w:rPr>
        <w:t>(וכן סתם בשו"ע)</w:t>
      </w:r>
    </w:p>
    <w:p w14:paraId="426D2E41" w14:textId="77777777" w:rsidR="004B607F" w:rsidRPr="00845316" w:rsidRDefault="004B607F" w:rsidP="004B0475">
      <w:pPr>
        <w:pStyle w:val="ac"/>
        <w:numPr>
          <w:ilvl w:val="0"/>
          <w:numId w:val="138"/>
        </w:numPr>
        <w:rPr>
          <w:rFonts w:asciiTheme="minorBidi" w:hAnsiTheme="minorBidi"/>
        </w:rPr>
      </w:pPr>
      <w:r w:rsidRPr="00845316">
        <w:rPr>
          <w:rFonts w:asciiTheme="minorBidi" w:hAnsiTheme="minorBidi"/>
          <w:rtl/>
        </w:rPr>
        <w:t xml:space="preserve">(יש מן הגאונים </w:t>
      </w:r>
      <w:r w:rsidRPr="00845316">
        <w:rPr>
          <w:rFonts w:asciiTheme="minorBidi" w:hAnsiTheme="minorBidi"/>
          <w:sz w:val="14"/>
          <w:szCs w:val="14"/>
          <w:rtl/>
        </w:rPr>
        <w:t xml:space="preserve">(הביאם רי"ו) </w:t>
      </w:r>
      <w:r w:rsidRPr="00845316">
        <w:rPr>
          <w:rFonts w:asciiTheme="minorBidi" w:hAnsiTheme="minorBidi"/>
          <w:sz w:val="16"/>
          <w:szCs w:val="16"/>
          <w:rtl/>
        </w:rPr>
        <w:t>להב' הב"י</w:t>
      </w:r>
      <w:r w:rsidRPr="00845316">
        <w:rPr>
          <w:rFonts w:asciiTheme="minorBidi" w:hAnsiTheme="minorBidi"/>
          <w:rtl/>
        </w:rPr>
        <w:t xml:space="preserve">) וי"א </w:t>
      </w:r>
      <w:r w:rsidRPr="00845316">
        <w:rPr>
          <w:rFonts w:asciiTheme="minorBidi" w:hAnsiTheme="minorBidi"/>
          <w:sz w:val="16"/>
          <w:szCs w:val="16"/>
          <w:rtl/>
        </w:rPr>
        <w:t>(הביאם בהעי"ט)</w:t>
      </w:r>
      <w:r w:rsidRPr="00845316">
        <w:rPr>
          <w:rFonts w:asciiTheme="minorBidi" w:hAnsiTheme="minorBidi"/>
          <w:rtl/>
        </w:rPr>
        <w:t>- כשר, דבכל עברה דרבנן ליכא כלל חימוד ממון</w:t>
      </w:r>
      <w:r w:rsidRPr="00845316">
        <w:rPr>
          <w:rStyle w:val="ab"/>
          <w:rFonts w:asciiTheme="minorBidi" w:hAnsiTheme="minorBidi"/>
          <w:rtl/>
        </w:rPr>
        <w:footnoteReference w:id="2060"/>
      </w:r>
      <w:r w:rsidRPr="00845316">
        <w:rPr>
          <w:rFonts w:asciiTheme="minorBidi" w:hAnsiTheme="minorBidi"/>
          <w:rtl/>
        </w:rPr>
        <w:t>.</w:t>
      </w:r>
    </w:p>
    <w:p w14:paraId="719459AA" w14:textId="77777777" w:rsidR="004B607F" w:rsidRPr="00845316" w:rsidRDefault="004B607F" w:rsidP="004B0475">
      <w:pPr>
        <w:pStyle w:val="ac"/>
        <w:numPr>
          <w:ilvl w:val="0"/>
          <w:numId w:val="138"/>
        </w:numPr>
        <w:rPr>
          <w:rFonts w:asciiTheme="minorBidi" w:hAnsiTheme="minorBidi"/>
        </w:rPr>
      </w:pPr>
      <w:r w:rsidRPr="00845316">
        <w:rPr>
          <w:rFonts w:asciiTheme="minorBidi" w:hAnsiTheme="minorBidi"/>
          <w:rtl/>
        </w:rPr>
        <w:t xml:space="preserve">(יש מן הגאונים </w:t>
      </w:r>
      <w:r w:rsidRPr="00845316">
        <w:rPr>
          <w:rFonts w:asciiTheme="minorBidi" w:hAnsiTheme="minorBidi"/>
          <w:sz w:val="14"/>
          <w:szCs w:val="14"/>
          <w:rtl/>
        </w:rPr>
        <w:t xml:space="preserve">(הביאם רי"ו) </w:t>
      </w:r>
      <w:r w:rsidRPr="00845316">
        <w:rPr>
          <w:rFonts w:asciiTheme="minorBidi" w:hAnsiTheme="minorBidi"/>
          <w:sz w:val="16"/>
          <w:szCs w:val="16"/>
          <w:rtl/>
        </w:rPr>
        <w:t>להב' הדרכ"מ</w:t>
      </w:r>
      <w:r w:rsidRPr="00845316">
        <w:rPr>
          <w:rStyle w:val="ab"/>
          <w:rFonts w:asciiTheme="minorBidi" w:hAnsiTheme="minorBidi"/>
          <w:rtl/>
        </w:rPr>
        <w:footnoteReference w:id="2061"/>
      </w:r>
      <w:r w:rsidRPr="00845316">
        <w:rPr>
          <w:rFonts w:asciiTheme="minorBidi" w:hAnsiTheme="minorBidi"/>
          <w:rtl/>
        </w:rPr>
        <w:t>) תוס' ובהעי"ט</w:t>
      </w:r>
      <w:r w:rsidRPr="00845316">
        <w:rPr>
          <w:rStyle w:val="ab"/>
          <w:rFonts w:asciiTheme="minorBidi" w:hAnsiTheme="minorBidi"/>
          <w:rtl/>
        </w:rPr>
        <w:footnoteReference w:id="2062"/>
      </w:r>
      <w:r w:rsidRPr="00845316">
        <w:rPr>
          <w:rFonts w:asciiTheme="minorBidi" w:hAnsiTheme="minorBidi"/>
          <w:rtl/>
        </w:rPr>
        <w:t>- כדי שיפסל צריך שיהיה בה חימוד ממון</w:t>
      </w:r>
      <w:r w:rsidRPr="00845316">
        <w:rPr>
          <w:rStyle w:val="ab"/>
          <w:rFonts w:asciiTheme="minorBidi" w:hAnsiTheme="minorBidi"/>
          <w:rtl/>
        </w:rPr>
        <w:footnoteReference w:id="2063"/>
      </w:r>
      <w:r w:rsidRPr="00845316">
        <w:rPr>
          <w:rFonts w:asciiTheme="minorBidi" w:hAnsiTheme="minorBidi"/>
          <w:rtl/>
        </w:rPr>
        <w:t>.</w:t>
      </w:r>
      <w:r w:rsidRPr="00845316">
        <w:rPr>
          <w:rFonts w:asciiTheme="minorBidi" w:hAnsiTheme="minorBidi"/>
          <w:color w:val="00B0F0"/>
          <w:rtl/>
        </w:rPr>
        <w:t xml:space="preserve"> (וכ"כ הרמ"א)</w:t>
      </w:r>
    </w:p>
    <w:p w14:paraId="6340B7BB" w14:textId="77777777" w:rsidR="004B607F" w:rsidRPr="00845316" w:rsidRDefault="004B607F" w:rsidP="004B607F">
      <w:pPr>
        <w:rPr>
          <w:rFonts w:asciiTheme="minorBidi" w:hAnsiTheme="minorBidi"/>
          <w:u w:val="single"/>
          <w:rtl/>
        </w:rPr>
      </w:pPr>
      <w:r w:rsidRPr="00845316">
        <w:rPr>
          <w:rFonts w:asciiTheme="minorBidi" w:hAnsiTheme="minorBidi"/>
          <w:u w:val="single"/>
          <w:rtl/>
        </w:rPr>
        <w:t>תפס</w:t>
      </w:r>
      <w:r>
        <w:rPr>
          <w:rFonts w:asciiTheme="minorBidi" w:hAnsiTheme="minorBidi" w:hint="cs"/>
          <w:u w:val="single"/>
          <w:rtl/>
        </w:rPr>
        <w:t xml:space="preserve"> </w:t>
      </w:r>
      <w:r w:rsidRPr="00845316">
        <w:rPr>
          <w:rFonts w:asciiTheme="minorBidi" w:hAnsiTheme="minorBidi"/>
          <w:u w:val="single"/>
          <w:rtl/>
        </w:rPr>
        <w:t>- ויש עד שפסול מדרבנן:</w:t>
      </w:r>
      <w:r w:rsidRPr="00845316">
        <w:rPr>
          <w:rFonts w:asciiTheme="minorBidi" w:hAnsiTheme="minorBidi"/>
          <w:sz w:val="16"/>
          <w:szCs w:val="16"/>
          <w:rtl/>
        </w:rPr>
        <w:t xml:space="preserve">  (פת"ש סק"ח)</w:t>
      </w:r>
    </w:p>
    <w:p w14:paraId="44D56D34" w14:textId="77777777" w:rsidR="004B607F" w:rsidRPr="00845316" w:rsidRDefault="004B607F" w:rsidP="004B0475">
      <w:pPr>
        <w:pStyle w:val="ac"/>
        <w:numPr>
          <w:ilvl w:val="0"/>
          <w:numId w:val="143"/>
        </w:numPr>
        <w:rPr>
          <w:rFonts w:asciiTheme="minorBidi" w:hAnsiTheme="minorBidi"/>
          <w:rtl/>
        </w:rPr>
      </w:pPr>
      <w:r w:rsidRPr="00845316">
        <w:rPr>
          <w:rFonts w:asciiTheme="minorBidi" w:hAnsiTheme="minorBidi"/>
          <w:rtl/>
        </w:rPr>
        <w:t xml:space="preserve">רשב"א </w:t>
      </w:r>
      <w:r w:rsidRPr="00845316">
        <w:rPr>
          <w:rFonts w:asciiTheme="minorBidi" w:hAnsiTheme="minorBidi"/>
          <w:sz w:val="16"/>
          <w:szCs w:val="16"/>
          <w:rtl/>
        </w:rPr>
        <w:t xml:space="preserve">(שבועות לא. ד"ה מ"ד מלך </w:t>
      </w:r>
      <w:r w:rsidRPr="00845316">
        <w:rPr>
          <w:rFonts w:asciiTheme="minorBidi" w:hAnsiTheme="minorBidi"/>
          <w:sz w:val="14"/>
          <w:szCs w:val="14"/>
          <w:rtl/>
        </w:rPr>
        <w:t>[הביאו רעק"א בגליון]</w:t>
      </w:r>
      <w:r w:rsidRPr="00845316">
        <w:rPr>
          <w:rFonts w:asciiTheme="minorBidi" w:hAnsiTheme="minorBidi"/>
          <w:sz w:val="16"/>
          <w:szCs w:val="16"/>
          <w:rtl/>
        </w:rPr>
        <w:t>)</w:t>
      </w:r>
      <w:r w:rsidRPr="00845316">
        <w:rPr>
          <w:rFonts w:asciiTheme="minorBidi" w:hAnsiTheme="minorBidi"/>
          <w:rtl/>
        </w:rPr>
        <w:t>- מתוך הדחק יש לי לומר דמשחק בקוביא ופסולין דרבנן אע</w:t>
      </w:r>
      <w:r>
        <w:rPr>
          <w:rFonts w:asciiTheme="minorBidi" w:hAnsiTheme="minorBidi" w:hint="cs"/>
          <w:rtl/>
        </w:rPr>
        <w:t>"</w:t>
      </w:r>
      <w:r w:rsidRPr="00845316">
        <w:rPr>
          <w:rFonts w:asciiTheme="minorBidi" w:hAnsiTheme="minorBidi"/>
          <w:rtl/>
        </w:rPr>
        <w:t>פ שאין מוציאין ממון בעדותן מהני עדותן דאי תפיס ואפי' בעדים לא מפקינן מיני.</w:t>
      </w:r>
    </w:p>
    <w:p w14:paraId="4ACB4FC9" w14:textId="77777777" w:rsidR="004B607F" w:rsidRPr="00845316" w:rsidRDefault="004B607F" w:rsidP="004B607F">
      <w:pPr>
        <w:jc w:val="both"/>
        <w:rPr>
          <w:rFonts w:asciiTheme="minorBidi" w:hAnsiTheme="minorBidi"/>
          <w:rtl/>
        </w:rPr>
      </w:pPr>
      <w:r w:rsidRPr="00845316">
        <w:rPr>
          <w:rFonts w:asciiTheme="minorBidi" w:hAnsiTheme="minorBidi"/>
          <w:b/>
          <w:bCs/>
          <w:sz w:val="32"/>
          <w:szCs w:val="28"/>
          <w:u w:val="single"/>
          <w:rtl/>
        </w:rPr>
        <w:t xml:space="preserve">שו"ע: </w:t>
      </w:r>
    </w:p>
    <w:p w14:paraId="74C0C16F" w14:textId="77777777" w:rsidR="004B607F" w:rsidRPr="00845316" w:rsidRDefault="004B607F" w:rsidP="004B607F">
      <w:pPr>
        <w:rPr>
          <w:rFonts w:asciiTheme="minorBidi" w:hAnsiTheme="minorBidi"/>
          <w:sz w:val="18"/>
          <w:szCs w:val="18"/>
          <w:rtl/>
        </w:rPr>
      </w:pPr>
      <w:r w:rsidRPr="00845316">
        <w:rPr>
          <w:rFonts w:asciiTheme="minorBidi" w:hAnsiTheme="minorBidi"/>
          <w:rtl/>
        </w:rPr>
        <w:t>היתה עבירה שעבר מדרבנן, פסול מדרבנן</w:t>
      </w:r>
      <w:r w:rsidRPr="00845316">
        <w:rPr>
          <w:rStyle w:val="ab"/>
          <w:rFonts w:asciiTheme="minorBidi" w:hAnsiTheme="minorBidi"/>
          <w:rtl/>
        </w:rPr>
        <w:footnoteReference w:id="2064"/>
      </w:r>
      <w:r w:rsidRPr="00845316">
        <w:rPr>
          <w:rFonts w:asciiTheme="minorBidi" w:hAnsiTheme="minorBidi"/>
          <w:rtl/>
        </w:rPr>
        <w:t xml:space="preserve">. </w:t>
      </w:r>
      <w:r w:rsidRPr="00845316">
        <w:rPr>
          <w:rFonts w:asciiTheme="minorBidi" w:hAnsiTheme="minorBidi"/>
          <w:sz w:val="18"/>
          <w:szCs w:val="18"/>
          <w:rtl/>
        </w:rPr>
        <w:t xml:space="preserve">הגה: וי"א בדבר מדבריהם בעינן שעבר משום חימוד ממון (רי"ו תוס' ועיטור). </w:t>
      </w:r>
    </w:p>
    <w:p w14:paraId="21C9C35A" w14:textId="77777777" w:rsidR="004B607F" w:rsidRPr="00845316" w:rsidRDefault="004B607F" w:rsidP="004B607F">
      <w:pPr>
        <w:rPr>
          <w:rFonts w:asciiTheme="minorBidi" w:hAnsiTheme="minorBidi"/>
          <w:u w:val="single"/>
          <w:rtl/>
        </w:rPr>
      </w:pPr>
      <w:r w:rsidRPr="00845316">
        <w:rPr>
          <w:rFonts w:asciiTheme="minorBidi" w:hAnsiTheme="minorBidi"/>
          <w:u w:val="single"/>
          <w:rtl/>
        </w:rPr>
        <w:t>העובר על דברי חכמים – האם כדי לפוסלו בעינן שיתחייב במכת מרדות:</w:t>
      </w:r>
      <w:r w:rsidRPr="00845316">
        <w:rPr>
          <w:rFonts w:asciiTheme="minorBidi" w:hAnsiTheme="minorBidi"/>
          <w:sz w:val="16"/>
          <w:szCs w:val="16"/>
          <w:rtl/>
        </w:rPr>
        <w:t xml:space="preserve">  (פת"ש סק"ז)</w:t>
      </w:r>
    </w:p>
    <w:p w14:paraId="54580945" w14:textId="77777777" w:rsidR="004B607F" w:rsidRPr="00845316" w:rsidRDefault="004B607F" w:rsidP="004B0475">
      <w:pPr>
        <w:pStyle w:val="ac"/>
        <w:numPr>
          <w:ilvl w:val="0"/>
          <w:numId w:val="144"/>
        </w:numPr>
        <w:ind w:left="717"/>
        <w:rPr>
          <w:rFonts w:asciiTheme="minorBidi" w:hAnsiTheme="minorBidi"/>
        </w:rPr>
      </w:pPr>
      <w:r w:rsidRPr="00845316">
        <w:rPr>
          <w:rFonts w:asciiTheme="minorBidi" w:hAnsiTheme="minorBidi"/>
          <w:rtl/>
        </w:rPr>
        <w:t>פמ"ג</w:t>
      </w:r>
      <w:r w:rsidRPr="00845316">
        <w:rPr>
          <w:rStyle w:val="ab"/>
          <w:rFonts w:asciiTheme="minorBidi" w:hAnsiTheme="minorBidi"/>
          <w:rtl/>
        </w:rPr>
        <w:footnoteReference w:id="2065"/>
      </w:r>
      <w:r w:rsidRPr="00845316">
        <w:rPr>
          <w:rFonts w:asciiTheme="minorBidi" w:hAnsiTheme="minorBidi"/>
          <w:rtl/>
        </w:rPr>
        <w:t xml:space="preserve">- דוקא אם הוא חייב מכות מרדות מיקרי רשע דרבנן, הא לאו הכי לא מיפסל אף מדבריהם. </w:t>
      </w:r>
    </w:p>
    <w:p w14:paraId="50687109" w14:textId="77777777" w:rsidR="004B607F" w:rsidRPr="00845316" w:rsidRDefault="004B607F" w:rsidP="004B607F">
      <w:pPr>
        <w:rPr>
          <w:rFonts w:asciiTheme="minorBidi" w:hAnsiTheme="minorBidi"/>
          <w:u w:val="single"/>
        </w:rPr>
      </w:pPr>
      <w:r w:rsidRPr="00845316">
        <w:rPr>
          <w:rFonts w:asciiTheme="minorBidi" w:hAnsiTheme="minorBidi"/>
          <w:u w:val="single"/>
          <w:rtl/>
        </w:rPr>
        <w:t>אדם שבעל נכרית:</w:t>
      </w:r>
      <w:r w:rsidRPr="00845316">
        <w:rPr>
          <w:rFonts w:asciiTheme="minorBidi" w:hAnsiTheme="minorBidi"/>
          <w:sz w:val="16"/>
          <w:szCs w:val="16"/>
          <w:rtl/>
        </w:rPr>
        <w:t xml:space="preserve">  (פת"ש סק"ז)</w:t>
      </w:r>
    </w:p>
    <w:p w14:paraId="51C53F5C" w14:textId="77777777" w:rsidR="004B607F" w:rsidRPr="00845316" w:rsidRDefault="004B607F" w:rsidP="004B0475">
      <w:pPr>
        <w:pStyle w:val="ac"/>
        <w:numPr>
          <w:ilvl w:val="0"/>
          <w:numId w:val="144"/>
        </w:numPr>
        <w:rPr>
          <w:rFonts w:asciiTheme="minorBidi" w:hAnsiTheme="minorBidi"/>
          <w:rtl/>
        </w:rPr>
      </w:pPr>
      <w:r w:rsidRPr="00845316">
        <w:rPr>
          <w:rFonts w:asciiTheme="minorBidi" w:hAnsiTheme="minorBidi"/>
          <w:rtl/>
        </w:rPr>
        <w:t xml:space="preserve">ב"י (סמ"ע </w:t>
      </w:r>
      <w:r w:rsidRPr="00845316">
        <w:rPr>
          <w:rFonts w:asciiTheme="minorBidi" w:hAnsiTheme="minorBidi"/>
          <w:sz w:val="16"/>
          <w:szCs w:val="16"/>
          <w:rtl/>
        </w:rPr>
        <w:t>להב' באה"ג</w:t>
      </w:r>
      <w:r w:rsidRPr="00845316">
        <w:rPr>
          <w:rFonts w:asciiTheme="minorBidi" w:hAnsiTheme="minorBidi"/>
          <w:rtl/>
        </w:rPr>
        <w:t>) כנה"ג ובאה"ג</w:t>
      </w:r>
      <w:r w:rsidRPr="00845316">
        <w:rPr>
          <w:rStyle w:val="ab"/>
          <w:rFonts w:asciiTheme="minorBidi" w:hAnsiTheme="minorBidi"/>
          <w:rtl/>
        </w:rPr>
        <w:footnoteReference w:id="2066"/>
      </w:r>
      <w:r w:rsidRPr="00845316">
        <w:rPr>
          <w:rFonts w:asciiTheme="minorBidi" w:hAnsiTheme="minorBidi"/>
          <w:rtl/>
        </w:rPr>
        <w:t>- פסול מדאו'.</w:t>
      </w:r>
    </w:p>
    <w:p w14:paraId="171C8524" w14:textId="77777777" w:rsidR="004B607F" w:rsidRPr="00845316" w:rsidRDefault="004B607F" w:rsidP="004B0475">
      <w:pPr>
        <w:pStyle w:val="ac"/>
        <w:numPr>
          <w:ilvl w:val="0"/>
          <w:numId w:val="144"/>
        </w:numPr>
        <w:rPr>
          <w:rFonts w:asciiTheme="minorBidi" w:hAnsiTheme="minorBidi"/>
        </w:rPr>
      </w:pPr>
      <w:r w:rsidRPr="00845316">
        <w:rPr>
          <w:rFonts w:asciiTheme="minorBidi" w:hAnsiTheme="minorBidi"/>
          <w:rtl/>
        </w:rPr>
        <w:t>אורים תו"ח ונתה"מ</w:t>
      </w:r>
      <w:r w:rsidRPr="00845316">
        <w:rPr>
          <w:rStyle w:val="ab"/>
          <w:rFonts w:asciiTheme="minorBidi" w:hAnsiTheme="minorBidi"/>
          <w:rtl/>
        </w:rPr>
        <w:footnoteReference w:id="2067"/>
      </w:r>
      <w:r w:rsidRPr="00845316">
        <w:rPr>
          <w:rFonts w:asciiTheme="minorBidi" w:hAnsiTheme="minorBidi"/>
          <w:rtl/>
        </w:rPr>
        <w:t>- מדרבנן, אבל אם לֵקָחַה בפרהסיא או</w:t>
      </w:r>
      <w:r w:rsidRPr="00845316">
        <w:rPr>
          <w:rFonts w:asciiTheme="minorBidi" w:hAnsiTheme="minorBidi"/>
        </w:rPr>
        <w:t xml:space="preserve"> </w:t>
      </w:r>
      <w:r w:rsidRPr="00845316">
        <w:rPr>
          <w:rFonts w:asciiTheme="minorBidi" w:hAnsiTheme="minorBidi"/>
          <w:rtl/>
        </w:rPr>
        <w:t xml:space="preserve">דרך אישות פסול מה"ת דעבר על לאו דלא תתחתן בם.   </w:t>
      </w:r>
    </w:p>
    <w:p w14:paraId="3C2C6BF4" w14:textId="77777777" w:rsidR="004B607F" w:rsidRPr="00845316" w:rsidRDefault="004B607F" w:rsidP="004B607F">
      <w:pPr>
        <w:rPr>
          <w:rFonts w:asciiTheme="minorBidi" w:hAnsiTheme="minorBidi"/>
          <w:u w:val="single"/>
          <w:rtl/>
        </w:rPr>
      </w:pPr>
      <w:r w:rsidRPr="00845316">
        <w:rPr>
          <w:rFonts w:asciiTheme="minorBidi" w:hAnsiTheme="minorBidi"/>
          <w:u w:val="single"/>
          <w:rtl/>
        </w:rPr>
        <w:t>העובר על דברי חכמים בשב ואל תעשה:</w:t>
      </w:r>
      <w:r w:rsidRPr="00845316">
        <w:rPr>
          <w:rFonts w:asciiTheme="minorBidi" w:hAnsiTheme="minorBidi"/>
          <w:sz w:val="16"/>
          <w:szCs w:val="16"/>
          <w:rtl/>
        </w:rPr>
        <w:t xml:space="preserve">  (פת"ש סק"ז)</w:t>
      </w:r>
    </w:p>
    <w:p w14:paraId="0F363A1F" w14:textId="77777777" w:rsidR="004B607F" w:rsidRPr="00845316" w:rsidRDefault="004B607F" w:rsidP="004B0475">
      <w:pPr>
        <w:pStyle w:val="ac"/>
        <w:numPr>
          <w:ilvl w:val="0"/>
          <w:numId w:val="143"/>
        </w:numPr>
        <w:rPr>
          <w:rFonts w:asciiTheme="minorBidi" w:hAnsiTheme="minorBidi"/>
          <w:rtl/>
        </w:rPr>
      </w:pPr>
      <w:r w:rsidRPr="00845316">
        <w:rPr>
          <w:rFonts w:asciiTheme="minorBidi" w:hAnsiTheme="minorBidi"/>
          <w:rtl/>
        </w:rPr>
        <w:t xml:space="preserve">ברכ"י </w:t>
      </w:r>
      <w:r w:rsidRPr="00845316">
        <w:rPr>
          <w:rFonts w:asciiTheme="minorBidi" w:hAnsiTheme="minorBidi"/>
          <w:sz w:val="16"/>
          <w:szCs w:val="16"/>
          <w:rtl/>
        </w:rPr>
        <w:t>(אות יב)</w:t>
      </w:r>
      <w:r w:rsidRPr="00845316">
        <w:rPr>
          <w:rFonts w:asciiTheme="minorBidi" w:hAnsiTheme="minorBidi"/>
          <w:rtl/>
        </w:rPr>
        <w:t xml:space="preserve">- אינו נקרא רשע וכשר לעדות. </w:t>
      </w:r>
    </w:p>
    <w:p w14:paraId="2E607FDE" w14:textId="77777777" w:rsidR="004B607F" w:rsidRPr="00845316" w:rsidRDefault="004B607F" w:rsidP="004B607F">
      <w:pPr>
        <w:rPr>
          <w:rFonts w:asciiTheme="minorBidi" w:hAnsiTheme="minorBidi"/>
          <w:rtl/>
        </w:rPr>
      </w:pPr>
    </w:p>
    <w:p w14:paraId="471641DD" w14:textId="77777777" w:rsidR="004B607F" w:rsidRPr="00845316" w:rsidRDefault="004B607F" w:rsidP="004B607F">
      <w:pPr>
        <w:pStyle w:val="2"/>
        <w:rPr>
          <w:rFonts w:asciiTheme="minorBidi" w:hAnsiTheme="minorBidi"/>
          <w:rtl/>
        </w:rPr>
      </w:pPr>
      <w:bookmarkStart w:id="284" w:name="_Toc24883751"/>
      <w:r w:rsidRPr="00845316">
        <w:rPr>
          <w:rFonts w:asciiTheme="minorBidi" w:hAnsiTheme="minorBidi"/>
          <w:rtl/>
        </w:rPr>
        <w:lastRenderedPageBreak/>
        <w:t>סעיף ד: העובר עברה מכח טעות.</w:t>
      </w:r>
      <w:bookmarkEnd w:id="284"/>
    </w:p>
    <w:p w14:paraId="3BE98970" w14:textId="77777777" w:rsidR="004B607F" w:rsidRPr="00845316" w:rsidRDefault="004B607F" w:rsidP="004B607F">
      <w:pPr>
        <w:rPr>
          <w:rFonts w:asciiTheme="minorBidi" w:hAnsiTheme="minorBidi"/>
          <w:rtl/>
        </w:rPr>
      </w:pPr>
      <w:r w:rsidRPr="00845316">
        <w:rPr>
          <w:rFonts w:asciiTheme="minorBidi" w:hAnsiTheme="minorBidi"/>
          <w:b/>
          <w:bCs/>
          <w:rtl/>
        </w:rPr>
        <w:t>סנהדרין כו</w:t>
      </w:r>
      <w:r>
        <w:rPr>
          <w:rStyle w:val="ab"/>
          <w:rFonts w:asciiTheme="minorBidi" w:hAnsiTheme="minorBidi"/>
          <w:b/>
          <w:bCs/>
          <w:rtl/>
        </w:rPr>
        <w:footnoteReference w:id="2068"/>
      </w:r>
      <w:r w:rsidRPr="00845316">
        <w:rPr>
          <w:rFonts w:asciiTheme="minorBidi" w:hAnsiTheme="minorBidi"/>
          <w:b/>
          <w:bCs/>
          <w:rtl/>
        </w:rPr>
        <w:t xml:space="preserve"> ע"ב: </w:t>
      </w:r>
      <w:r w:rsidRPr="00845316">
        <w:rPr>
          <w:rFonts w:asciiTheme="minorBidi" w:hAnsiTheme="minorBidi"/>
          <w:rtl/>
        </w:rPr>
        <w:t>הנהו קבוראי דקבור נפשא ביום טוב ראשון של עצרת שמתינהו רב פפא ופסלינהו לעדות</w:t>
      </w:r>
      <w:r w:rsidRPr="00845316">
        <w:rPr>
          <w:rStyle w:val="ab"/>
          <w:rFonts w:asciiTheme="minorBidi" w:hAnsiTheme="minorBidi"/>
          <w:rtl/>
        </w:rPr>
        <w:footnoteReference w:id="2069"/>
      </w:r>
      <w:r w:rsidRPr="00845316">
        <w:rPr>
          <w:rFonts w:asciiTheme="minorBidi" w:hAnsiTheme="minorBidi"/>
          <w:rtl/>
        </w:rPr>
        <w:t xml:space="preserve">. ואכשרינהו </w:t>
      </w:r>
      <w:r w:rsidRPr="00845316">
        <w:rPr>
          <w:rFonts w:asciiTheme="minorBidi" w:hAnsiTheme="minorBidi"/>
          <w:u w:val="single"/>
          <w:rtl/>
        </w:rPr>
        <w:t>רב הונא בריה דרב יהושע</w:t>
      </w:r>
      <w:r w:rsidRPr="00845316">
        <w:rPr>
          <w:rStyle w:val="ab"/>
          <w:rFonts w:asciiTheme="minorBidi" w:hAnsiTheme="minorBidi"/>
          <w:rtl/>
        </w:rPr>
        <w:footnoteReference w:id="2070"/>
      </w:r>
      <w:r w:rsidRPr="00845316">
        <w:rPr>
          <w:rFonts w:asciiTheme="minorBidi" w:hAnsiTheme="minorBidi"/>
          <w:rtl/>
        </w:rPr>
        <w:t xml:space="preserve">. </w:t>
      </w:r>
      <w:r w:rsidRPr="00845316">
        <w:rPr>
          <w:rFonts w:asciiTheme="minorBidi" w:hAnsiTheme="minorBidi"/>
          <w:u w:val="single"/>
          <w:rtl/>
        </w:rPr>
        <w:t>אמר ליה רב פפא</w:t>
      </w:r>
      <w:r w:rsidRPr="00845316">
        <w:rPr>
          <w:rFonts w:asciiTheme="minorBidi" w:hAnsiTheme="minorBidi"/>
          <w:rtl/>
        </w:rPr>
        <w:t>: והא רשעים נינהו? סברי מצוה קא עבדי. והא קא משמתינא להו</w:t>
      </w:r>
      <w:r w:rsidRPr="00845316">
        <w:rPr>
          <w:rStyle w:val="ab"/>
          <w:rFonts w:asciiTheme="minorBidi" w:hAnsiTheme="minorBidi"/>
          <w:rtl/>
        </w:rPr>
        <w:footnoteReference w:id="2071"/>
      </w:r>
      <w:r w:rsidRPr="00845316">
        <w:rPr>
          <w:rFonts w:asciiTheme="minorBidi" w:hAnsiTheme="minorBidi"/>
          <w:rtl/>
        </w:rPr>
        <w:t>! סברי</w:t>
      </w:r>
      <w:r w:rsidRPr="00845316">
        <w:rPr>
          <w:rStyle w:val="ab"/>
          <w:rFonts w:asciiTheme="minorBidi" w:hAnsiTheme="minorBidi"/>
          <w:rtl/>
        </w:rPr>
        <w:footnoteReference w:id="2072"/>
      </w:r>
      <w:r w:rsidRPr="00845316">
        <w:rPr>
          <w:rFonts w:asciiTheme="minorBidi" w:hAnsiTheme="minorBidi"/>
          <w:rtl/>
        </w:rPr>
        <w:t>: כפרה קא עבדי לן רבנן.</w:t>
      </w:r>
    </w:p>
    <w:p w14:paraId="094A527A" w14:textId="77777777" w:rsidR="004B607F" w:rsidRPr="00845316" w:rsidRDefault="004B607F" w:rsidP="004B607F">
      <w:pPr>
        <w:rPr>
          <w:rFonts w:asciiTheme="minorBidi" w:hAnsiTheme="minorBidi"/>
          <w:u w:val="single"/>
          <w:rtl/>
        </w:rPr>
      </w:pPr>
      <w:r w:rsidRPr="00845316">
        <w:rPr>
          <w:rFonts w:asciiTheme="minorBidi" w:hAnsiTheme="minorBidi"/>
          <w:u w:val="single"/>
          <w:rtl/>
        </w:rPr>
        <w:t>כיצד נפסק:</w:t>
      </w:r>
    </w:p>
    <w:p w14:paraId="034ABC0F" w14:textId="77777777" w:rsidR="004B607F" w:rsidRPr="00845316" w:rsidRDefault="004B607F" w:rsidP="004B0475">
      <w:pPr>
        <w:pStyle w:val="ac"/>
        <w:numPr>
          <w:ilvl w:val="0"/>
          <w:numId w:val="140"/>
        </w:numPr>
        <w:rPr>
          <w:rFonts w:asciiTheme="minorBidi" w:hAnsiTheme="minorBidi"/>
        </w:rPr>
      </w:pPr>
      <w:r w:rsidRPr="00845316">
        <w:rPr>
          <w:rFonts w:asciiTheme="minorBidi" w:hAnsiTheme="minorBidi"/>
          <w:rtl/>
        </w:rPr>
        <w:t>(רי"ף</w:t>
      </w:r>
      <w:r w:rsidRPr="00845316">
        <w:rPr>
          <w:rFonts w:asciiTheme="minorBidi" w:hAnsiTheme="minorBidi"/>
          <w:sz w:val="16"/>
          <w:szCs w:val="16"/>
          <w:rtl/>
        </w:rPr>
        <w:t xml:space="preserve"> להב' הב"י</w:t>
      </w:r>
      <w:r w:rsidRPr="00845316">
        <w:rPr>
          <w:rStyle w:val="ab"/>
          <w:rFonts w:asciiTheme="minorBidi" w:hAnsiTheme="minorBidi"/>
          <w:rtl/>
        </w:rPr>
        <w:footnoteReference w:id="2073"/>
      </w:r>
      <w:r w:rsidRPr="00845316">
        <w:rPr>
          <w:rFonts w:asciiTheme="minorBidi" w:hAnsiTheme="minorBidi"/>
          <w:rtl/>
        </w:rPr>
        <w:t>) רמב"ם הגמ"ר</w:t>
      </w:r>
      <w:r w:rsidRPr="00845316">
        <w:rPr>
          <w:rStyle w:val="ab"/>
          <w:rFonts w:asciiTheme="minorBidi" w:hAnsiTheme="minorBidi"/>
          <w:rtl/>
        </w:rPr>
        <w:footnoteReference w:id="2074"/>
      </w:r>
      <w:r w:rsidRPr="00845316">
        <w:rPr>
          <w:rFonts w:asciiTheme="minorBidi" w:hAnsiTheme="minorBidi"/>
          <w:rtl/>
        </w:rPr>
        <w:t xml:space="preserve"> ורא"ש</w:t>
      </w:r>
      <w:r w:rsidRPr="00845316">
        <w:rPr>
          <w:rStyle w:val="ab"/>
          <w:rFonts w:asciiTheme="minorBidi" w:hAnsiTheme="minorBidi"/>
          <w:rtl/>
        </w:rPr>
        <w:footnoteReference w:id="2075"/>
      </w:r>
      <w:r w:rsidRPr="00845316">
        <w:rPr>
          <w:rFonts w:asciiTheme="minorBidi" w:hAnsiTheme="minorBidi"/>
          <w:rtl/>
        </w:rPr>
        <w:t>- כשרים, כרב הונא ברד"י, דעבד עובדא ואכשרינהו.</w:t>
      </w:r>
      <w:r w:rsidRPr="00845316">
        <w:rPr>
          <w:rFonts w:asciiTheme="minorBidi" w:hAnsiTheme="minorBidi"/>
          <w:color w:val="E36C0A" w:themeColor="accent6" w:themeShade="BF"/>
          <w:rtl/>
        </w:rPr>
        <w:t xml:space="preserve"> (וכ"פ בשו"ע)</w:t>
      </w:r>
    </w:p>
    <w:p w14:paraId="651D4597" w14:textId="77777777" w:rsidR="004B607F" w:rsidRPr="00845316" w:rsidRDefault="004B607F" w:rsidP="004B0475">
      <w:pPr>
        <w:pStyle w:val="ac"/>
        <w:numPr>
          <w:ilvl w:val="0"/>
          <w:numId w:val="140"/>
        </w:numPr>
        <w:rPr>
          <w:rFonts w:asciiTheme="minorBidi" w:hAnsiTheme="minorBidi"/>
        </w:rPr>
      </w:pPr>
      <w:r w:rsidRPr="00845316">
        <w:rPr>
          <w:rFonts w:asciiTheme="minorBidi" w:hAnsiTheme="minorBidi"/>
          <w:rtl/>
        </w:rPr>
        <w:t>(רי"ף</w:t>
      </w:r>
      <w:r w:rsidRPr="00845316">
        <w:rPr>
          <w:rFonts w:asciiTheme="minorBidi" w:hAnsiTheme="minorBidi"/>
          <w:sz w:val="16"/>
          <w:szCs w:val="16"/>
          <w:rtl/>
        </w:rPr>
        <w:t xml:space="preserve"> להב' הרא"ש </w:t>
      </w:r>
      <w:r w:rsidRPr="00845316">
        <w:rPr>
          <w:rFonts w:asciiTheme="minorBidi" w:hAnsiTheme="minorBidi"/>
          <w:sz w:val="14"/>
          <w:szCs w:val="14"/>
          <w:rtl/>
        </w:rPr>
        <w:t>[סי' טו]</w:t>
      </w:r>
      <w:r w:rsidRPr="00845316">
        <w:rPr>
          <w:rFonts w:asciiTheme="minorBidi" w:hAnsiTheme="minorBidi"/>
          <w:rtl/>
        </w:rPr>
        <w:t xml:space="preserve">)- פסולים, כרב פפא, דרב הונא ברד"י רק "סבר" להכשיר. </w:t>
      </w:r>
    </w:p>
    <w:p w14:paraId="2F03B043" w14:textId="77777777" w:rsidR="004B607F" w:rsidRPr="00845316" w:rsidRDefault="004B607F" w:rsidP="004B0475">
      <w:pPr>
        <w:pStyle w:val="ac"/>
        <w:numPr>
          <w:ilvl w:val="0"/>
          <w:numId w:val="140"/>
        </w:numPr>
        <w:rPr>
          <w:rFonts w:asciiTheme="minorBidi" w:hAnsiTheme="minorBidi"/>
          <w:rtl/>
        </w:rPr>
      </w:pPr>
      <w:r w:rsidRPr="00845316">
        <w:rPr>
          <w:rFonts w:asciiTheme="minorBidi" w:hAnsiTheme="minorBidi"/>
          <w:rtl/>
        </w:rPr>
        <w:t xml:space="preserve">רי"ו </w:t>
      </w:r>
      <w:r w:rsidRPr="00845316">
        <w:rPr>
          <w:rFonts w:asciiTheme="minorBidi" w:hAnsiTheme="minorBidi"/>
          <w:sz w:val="16"/>
          <w:szCs w:val="16"/>
          <w:rtl/>
        </w:rPr>
        <w:t>(מישרים נ"ב ח"ד יב ע"ד)</w:t>
      </w:r>
      <w:r w:rsidRPr="00845316">
        <w:rPr>
          <w:rFonts w:asciiTheme="minorBidi" w:hAnsiTheme="minorBidi"/>
          <w:rtl/>
        </w:rPr>
        <w:t>- פסולים מדרבנן</w:t>
      </w:r>
      <w:r w:rsidRPr="00845316">
        <w:rPr>
          <w:rStyle w:val="ab"/>
          <w:rFonts w:asciiTheme="minorBidi" w:hAnsiTheme="minorBidi"/>
          <w:rtl/>
        </w:rPr>
        <w:footnoteReference w:id="2076"/>
      </w:r>
      <w:r w:rsidRPr="00845316">
        <w:rPr>
          <w:rFonts w:asciiTheme="minorBidi" w:hAnsiTheme="minorBidi"/>
          <w:rtl/>
        </w:rPr>
        <w:t xml:space="preserve">. </w:t>
      </w:r>
    </w:p>
    <w:p w14:paraId="3B8DD53A" w14:textId="77777777" w:rsidR="004B607F" w:rsidRPr="00845316" w:rsidRDefault="004B607F" w:rsidP="004B607F">
      <w:pPr>
        <w:rPr>
          <w:rFonts w:asciiTheme="minorBidi" w:hAnsiTheme="minorBidi"/>
          <w:u w:val="single"/>
          <w:rtl/>
        </w:rPr>
      </w:pPr>
      <w:r w:rsidRPr="00845316">
        <w:rPr>
          <w:rFonts w:asciiTheme="minorBidi" w:hAnsiTheme="minorBidi"/>
          <w:u w:val="single"/>
          <w:rtl/>
        </w:rPr>
        <w:t xml:space="preserve">אדם שיצא עליו קלא דלא פסיק: </w:t>
      </w:r>
    </w:p>
    <w:p w14:paraId="4B39F892" w14:textId="77777777" w:rsidR="004B607F" w:rsidRPr="00845316" w:rsidRDefault="004B607F" w:rsidP="004B0475">
      <w:pPr>
        <w:pStyle w:val="ac"/>
        <w:numPr>
          <w:ilvl w:val="0"/>
          <w:numId w:val="151"/>
        </w:numPr>
        <w:rPr>
          <w:rFonts w:asciiTheme="minorBidi" w:hAnsiTheme="minorBidi"/>
          <w:rtl/>
        </w:rPr>
      </w:pPr>
      <w:r w:rsidRPr="00845316">
        <w:rPr>
          <w:rFonts w:asciiTheme="minorBidi" w:hAnsiTheme="minorBidi"/>
          <w:rtl/>
        </w:rPr>
        <w:t xml:space="preserve">רשב"א </w:t>
      </w:r>
      <w:r w:rsidRPr="00845316">
        <w:rPr>
          <w:rFonts w:asciiTheme="minorBidi" w:hAnsiTheme="minorBidi"/>
          <w:sz w:val="16"/>
          <w:szCs w:val="16"/>
          <w:rtl/>
        </w:rPr>
        <w:t>(בתשו', הביאו הב"י בסע' ד)</w:t>
      </w:r>
      <w:r w:rsidRPr="00845316">
        <w:rPr>
          <w:rFonts w:asciiTheme="minorBidi" w:hAnsiTheme="minorBidi"/>
          <w:rtl/>
        </w:rPr>
        <w:t xml:space="preserve">- אין חוששין לו ואין מוסרין לו שבועה ואין מוציאין ממון בעדותו דאין מוציאין ממון אלא בעדות ברורה ואע"פ שבחזקת כשר היה, ואין פוסלין אותו בקלא דעלמא מ"מ מיחש חיישינן ליה ואפילו איתתא מפקינן מנטען בדבר מכוער וקלא דלא פסיק </w:t>
      </w:r>
      <w:r w:rsidRPr="00845316">
        <w:rPr>
          <w:rFonts w:asciiTheme="minorBidi" w:hAnsiTheme="minorBidi"/>
          <w:sz w:val="16"/>
          <w:szCs w:val="16"/>
          <w:rtl/>
        </w:rPr>
        <w:t xml:space="preserve">(יבמות כד:) </w:t>
      </w:r>
      <w:r w:rsidRPr="00845316">
        <w:rPr>
          <w:rFonts w:asciiTheme="minorBidi" w:hAnsiTheme="minorBidi"/>
          <w:rtl/>
        </w:rPr>
        <w:t>כ"ש זה שאין מוסרין לו שבועה וכ"ש דלא מפקינן ממונא אפומיה, ולא אמרינן קלא דלא פסיק אלא בדליכא אויבים</w:t>
      </w:r>
      <w:r w:rsidRPr="00845316">
        <w:rPr>
          <w:rFonts w:asciiTheme="minorBidi" w:hAnsiTheme="minorBidi"/>
          <w:sz w:val="16"/>
          <w:szCs w:val="16"/>
          <w:rtl/>
        </w:rPr>
        <w:t xml:space="preserve"> (יבמות כה.)</w:t>
      </w:r>
      <w:r w:rsidRPr="00845316">
        <w:rPr>
          <w:rFonts w:asciiTheme="minorBidi" w:hAnsiTheme="minorBidi"/>
          <w:rtl/>
        </w:rPr>
        <w:t xml:space="preserve">. </w:t>
      </w:r>
    </w:p>
    <w:p w14:paraId="0A01E577" w14:textId="77777777" w:rsidR="004B607F" w:rsidRPr="00845316" w:rsidRDefault="004B607F" w:rsidP="004B607F">
      <w:pPr>
        <w:rPr>
          <w:rFonts w:asciiTheme="minorBidi" w:hAnsiTheme="minorBidi"/>
          <w:u w:val="single"/>
          <w:rtl/>
        </w:rPr>
      </w:pPr>
      <w:r w:rsidRPr="00845316">
        <w:rPr>
          <w:rFonts w:asciiTheme="minorBidi" w:hAnsiTheme="minorBidi"/>
          <w:u w:val="single"/>
          <w:rtl/>
        </w:rPr>
        <w:t>אדם שמסרב ליכנס לתקנת הקהל כדי שלא לפרוע הקנס:</w:t>
      </w:r>
    </w:p>
    <w:p w14:paraId="05CCB357" w14:textId="77777777" w:rsidR="004B607F" w:rsidRPr="00845316" w:rsidRDefault="004B607F" w:rsidP="004B0475">
      <w:pPr>
        <w:pStyle w:val="ac"/>
        <w:numPr>
          <w:ilvl w:val="0"/>
          <w:numId w:val="150"/>
        </w:numPr>
        <w:rPr>
          <w:rFonts w:asciiTheme="minorBidi" w:hAnsiTheme="minorBidi"/>
        </w:rPr>
      </w:pPr>
      <w:r w:rsidRPr="00845316">
        <w:rPr>
          <w:rFonts w:asciiTheme="minorBidi" w:hAnsiTheme="minorBidi"/>
          <w:rtl/>
        </w:rPr>
        <w:t>מהרי"ק</w:t>
      </w:r>
      <w:r w:rsidRPr="00845316">
        <w:rPr>
          <w:rFonts w:asciiTheme="minorBidi" w:hAnsiTheme="minorBidi"/>
          <w:sz w:val="16"/>
          <w:szCs w:val="16"/>
          <w:rtl/>
        </w:rPr>
        <w:t xml:space="preserve"> (שורש קכ"ו)</w:t>
      </w:r>
      <w:r w:rsidRPr="00845316">
        <w:rPr>
          <w:rFonts w:asciiTheme="minorBidi" w:hAnsiTheme="minorBidi"/>
          <w:rtl/>
        </w:rPr>
        <w:t>- אין זה כמו עד דחמס שיהא פסול לעדות</w:t>
      </w:r>
      <w:r>
        <w:rPr>
          <w:rFonts w:asciiTheme="minorBidi" w:hAnsiTheme="minorBidi" w:hint="cs"/>
          <w:rtl/>
        </w:rPr>
        <w:t>,</w:t>
      </w:r>
      <w:r w:rsidRPr="00845316">
        <w:rPr>
          <w:rFonts w:asciiTheme="minorBidi" w:hAnsiTheme="minorBidi"/>
          <w:rtl/>
        </w:rPr>
        <w:t xml:space="preserve"> אע"ג דחשיב רשע דחמס</w:t>
      </w:r>
      <w:r w:rsidRPr="00845316">
        <w:rPr>
          <w:rStyle w:val="ab"/>
          <w:rFonts w:asciiTheme="minorBidi" w:hAnsiTheme="minorBidi"/>
          <w:rtl/>
        </w:rPr>
        <w:footnoteReference w:id="2077"/>
      </w:r>
      <w:r w:rsidRPr="00845316">
        <w:rPr>
          <w:rFonts w:asciiTheme="minorBidi" w:hAnsiTheme="minorBidi"/>
          <w:rtl/>
        </w:rPr>
        <w:t>.</w:t>
      </w:r>
    </w:p>
    <w:p w14:paraId="1908D16C" w14:textId="77777777" w:rsidR="004B607F" w:rsidRPr="00845316" w:rsidRDefault="004B607F" w:rsidP="004B607F">
      <w:pPr>
        <w:rPr>
          <w:rFonts w:asciiTheme="minorBidi" w:hAnsiTheme="minorBidi"/>
          <w:u w:val="single"/>
          <w:rtl/>
        </w:rPr>
      </w:pPr>
      <w:r w:rsidRPr="00845316">
        <w:rPr>
          <w:rFonts w:asciiTheme="minorBidi" w:hAnsiTheme="minorBidi"/>
          <w:u w:val="single"/>
          <w:rtl/>
        </w:rPr>
        <w:t>המלוה על ספרים ולומד בהן:</w:t>
      </w:r>
      <w:r w:rsidRPr="00845316">
        <w:rPr>
          <w:rFonts w:asciiTheme="minorBidi" w:hAnsiTheme="minorBidi"/>
          <w:rtl/>
        </w:rPr>
        <w:t xml:space="preserve"> </w:t>
      </w:r>
      <w:r w:rsidRPr="00845316">
        <w:rPr>
          <w:rFonts w:asciiTheme="minorBidi" w:hAnsiTheme="minorBidi"/>
          <w:sz w:val="16"/>
          <w:szCs w:val="16"/>
          <w:rtl/>
        </w:rPr>
        <w:t xml:space="preserve"> (מרדכי ב"מ סי' רסא-רסב)</w:t>
      </w:r>
    </w:p>
    <w:p w14:paraId="0256D449" w14:textId="77777777" w:rsidR="004B607F" w:rsidRPr="00845316" w:rsidRDefault="004B607F" w:rsidP="004B0475">
      <w:pPr>
        <w:pStyle w:val="ac"/>
        <w:numPr>
          <w:ilvl w:val="0"/>
          <w:numId w:val="150"/>
        </w:numPr>
        <w:rPr>
          <w:rFonts w:asciiTheme="minorBidi" w:hAnsiTheme="minorBidi"/>
        </w:rPr>
      </w:pPr>
      <w:r w:rsidRPr="00845316">
        <w:rPr>
          <w:rFonts w:asciiTheme="minorBidi" w:hAnsiTheme="minorBidi"/>
          <w:rtl/>
        </w:rPr>
        <w:t>ראבי"ה ומרדכי- אינו נפסל, משום דנתכוון לזכות דכתיב וצדקתו עומדת לעד</w:t>
      </w:r>
      <w:r w:rsidRPr="00845316">
        <w:rPr>
          <w:rFonts w:asciiTheme="minorBidi" w:hAnsiTheme="minorBidi"/>
          <w:sz w:val="16"/>
          <w:szCs w:val="16"/>
          <w:rtl/>
        </w:rPr>
        <w:t xml:space="preserve"> (ראבי"ה)</w:t>
      </w:r>
      <w:r w:rsidRPr="00845316">
        <w:rPr>
          <w:rFonts w:asciiTheme="minorBidi" w:hAnsiTheme="minorBidi"/>
          <w:rtl/>
        </w:rPr>
        <w:t xml:space="preserve">, ועוד דקסבר מצוה קא עבד </w:t>
      </w:r>
      <w:r w:rsidRPr="00845316">
        <w:rPr>
          <w:rFonts w:asciiTheme="minorBidi" w:hAnsiTheme="minorBidi"/>
          <w:sz w:val="16"/>
          <w:szCs w:val="16"/>
          <w:rtl/>
        </w:rPr>
        <w:t>(מרדכי)</w:t>
      </w:r>
      <w:r w:rsidRPr="00845316">
        <w:rPr>
          <w:rFonts w:asciiTheme="minorBidi" w:hAnsiTheme="minorBidi"/>
          <w:rtl/>
        </w:rPr>
        <w:t>. (וכ"נ שפסק הדרכ"מ</w:t>
      </w:r>
      <w:r w:rsidRPr="00845316">
        <w:rPr>
          <w:rFonts w:asciiTheme="minorBidi" w:hAnsiTheme="minorBidi"/>
          <w:sz w:val="16"/>
          <w:szCs w:val="16"/>
          <w:rtl/>
        </w:rPr>
        <w:t xml:space="preserve"> [אות א]</w:t>
      </w:r>
      <w:r w:rsidRPr="00845316">
        <w:rPr>
          <w:rFonts w:asciiTheme="minorBidi" w:hAnsiTheme="minorBidi"/>
          <w:rtl/>
        </w:rPr>
        <w:t>)</w:t>
      </w:r>
    </w:p>
    <w:p w14:paraId="581AA2E6" w14:textId="77777777" w:rsidR="004B607F" w:rsidRPr="00845316" w:rsidRDefault="004B607F" w:rsidP="004B0475">
      <w:pPr>
        <w:pStyle w:val="ac"/>
        <w:numPr>
          <w:ilvl w:val="0"/>
          <w:numId w:val="150"/>
        </w:numPr>
        <w:rPr>
          <w:rFonts w:asciiTheme="minorBidi" w:hAnsiTheme="minorBidi"/>
        </w:rPr>
      </w:pPr>
      <w:r w:rsidRPr="00845316">
        <w:rPr>
          <w:rFonts w:asciiTheme="minorBidi" w:hAnsiTheme="minorBidi"/>
          <w:rtl/>
        </w:rPr>
        <w:t xml:space="preserve">ראב"ן- אסור להשתמש בספר של פקדון </w:t>
      </w:r>
      <w:r w:rsidRPr="00845316">
        <w:rPr>
          <w:rFonts w:asciiTheme="minorBidi" w:hAnsiTheme="minorBidi"/>
          <w:sz w:val="16"/>
          <w:szCs w:val="16"/>
          <w:rtl/>
        </w:rPr>
        <w:t xml:space="preserve">(או משכון דאיקרי פקדון) </w:t>
      </w:r>
      <w:r w:rsidRPr="00845316">
        <w:rPr>
          <w:rFonts w:asciiTheme="minorBidi" w:hAnsiTheme="minorBidi"/>
          <w:rtl/>
        </w:rPr>
        <w:t>ואם יש עדים ששלח יד בפקדון נפסל מלישבע</w:t>
      </w:r>
      <w:r w:rsidRPr="00845316">
        <w:rPr>
          <w:rStyle w:val="ab"/>
          <w:rFonts w:asciiTheme="minorBidi" w:hAnsiTheme="minorBidi"/>
          <w:rtl/>
        </w:rPr>
        <w:footnoteReference w:id="2078"/>
      </w:r>
      <w:r w:rsidRPr="00845316">
        <w:rPr>
          <w:rFonts w:asciiTheme="minorBidi" w:hAnsiTheme="minorBidi"/>
          <w:rtl/>
        </w:rPr>
        <w:t>, אבל אם אין עדים שלמד בו אינו נפסל בהודאת פיו</w:t>
      </w:r>
      <w:r w:rsidRPr="00845316">
        <w:rPr>
          <w:rStyle w:val="ab"/>
          <w:rFonts w:asciiTheme="minorBidi" w:hAnsiTheme="minorBidi"/>
          <w:rtl/>
        </w:rPr>
        <w:footnoteReference w:id="2079"/>
      </w:r>
      <w:r w:rsidRPr="00845316">
        <w:rPr>
          <w:rFonts w:asciiTheme="minorBidi" w:hAnsiTheme="minorBidi"/>
          <w:rtl/>
        </w:rPr>
        <w:t>, ואפילו אם התנה שמעון בשעת הלואה שילמוד בו- אסור, אבל אם התנה להשתמש בו בנכייתא</w:t>
      </w:r>
      <w:r w:rsidRPr="00845316">
        <w:rPr>
          <w:rStyle w:val="ab"/>
          <w:rFonts w:asciiTheme="minorBidi" w:hAnsiTheme="minorBidi"/>
          <w:rtl/>
        </w:rPr>
        <w:footnoteReference w:id="2080"/>
      </w:r>
      <w:r w:rsidRPr="00845316">
        <w:rPr>
          <w:rFonts w:asciiTheme="minorBidi" w:hAnsiTheme="minorBidi"/>
          <w:rtl/>
        </w:rPr>
        <w:t xml:space="preserve"> שרי.</w:t>
      </w:r>
    </w:p>
    <w:p w14:paraId="10E83C1C" w14:textId="77777777" w:rsidR="004B607F" w:rsidRPr="00845316" w:rsidRDefault="004B607F" w:rsidP="004B607F">
      <w:pPr>
        <w:jc w:val="both"/>
        <w:rPr>
          <w:rFonts w:asciiTheme="minorBidi" w:hAnsiTheme="minorBidi"/>
          <w:rtl/>
        </w:rPr>
      </w:pPr>
      <w:r w:rsidRPr="00845316">
        <w:rPr>
          <w:rFonts w:asciiTheme="minorBidi" w:hAnsiTheme="minorBidi"/>
          <w:b/>
          <w:bCs/>
          <w:sz w:val="32"/>
          <w:szCs w:val="28"/>
          <w:u w:val="single"/>
          <w:rtl/>
        </w:rPr>
        <w:t xml:space="preserve">שו"ע: </w:t>
      </w:r>
    </w:p>
    <w:p w14:paraId="3856AD87" w14:textId="77777777" w:rsidR="004B607F" w:rsidRPr="00845316" w:rsidRDefault="004B607F" w:rsidP="004B607F">
      <w:pPr>
        <w:rPr>
          <w:rFonts w:asciiTheme="minorBidi" w:hAnsiTheme="minorBidi"/>
          <w:rtl/>
        </w:rPr>
      </w:pPr>
      <w:r w:rsidRPr="00845316">
        <w:rPr>
          <w:rFonts w:asciiTheme="minorBidi" w:hAnsiTheme="minorBidi"/>
          <w:rtl/>
        </w:rPr>
        <w:lastRenderedPageBreak/>
        <w:t>קוברי המת ביום טוב ראשון כשרים, אפילו נידו אותם ושנו בדבר כשרים, מפני שהם סוברים שמצוה הם עושים ושלא נידו אותם אלא לכפרה</w:t>
      </w:r>
      <w:r w:rsidRPr="00845316">
        <w:rPr>
          <w:rStyle w:val="ab"/>
          <w:rFonts w:asciiTheme="minorBidi" w:hAnsiTheme="minorBidi"/>
          <w:rtl/>
        </w:rPr>
        <w:footnoteReference w:id="2081"/>
      </w:r>
      <w:r w:rsidRPr="00845316">
        <w:rPr>
          <w:rFonts w:asciiTheme="minorBidi" w:hAnsiTheme="minorBidi"/>
          <w:rtl/>
        </w:rPr>
        <w:t xml:space="preserve">. </w:t>
      </w:r>
      <w:r w:rsidRPr="00845316">
        <w:rPr>
          <w:rFonts w:asciiTheme="minorBidi" w:hAnsiTheme="minorBidi"/>
          <w:sz w:val="18"/>
          <w:szCs w:val="18"/>
          <w:rtl/>
        </w:rPr>
        <w:t>הגה: וה"ה בשאר דבר איסור שנוכל לומר שעברו מכח טעות (ריב"ש סי' שיא). וע"ל סעיף כד. המגביה ידו על חבירו להכותו פסול לעדות מדרבנן</w:t>
      </w:r>
      <w:r w:rsidRPr="00845316">
        <w:rPr>
          <w:rStyle w:val="ab"/>
          <w:rFonts w:asciiTheme="minorBidi" w:hAnsiTheme="minorBidi"/>
          <w:sz w:val="18"/>
          <w:szCs w:val="18"/>
          <w:rtl/>
        </w:rPr>
        <w:footnoteReference w:id="2082"/>
      </w:r>
      <w:r w:rsidRPr="00845316">
        <w:rPr>
          <w:rFonts w:asciiTheme="minorBidi" w:hAnsiTheme="minorBidi"/>
          <w:sz w:val="18"/>
          <w:szCs w:val="18"/>
          <w:rtl/>
        </w:rPr>
        <w:t xml:space="preserve"> (ב"י). </w:t>
      </w:r>
    </w:p>
    <w:p w14:paraId="704BE616" w14:textId="77777777" w:rsidR="004B607F" w:rsidRPr="00845316" w:rsidRDefault="004B607F" w:rsidP="004B607F">
      <w:pPr>
        <w:rPr>
          <w:rFonts w:asciiTheme="minorBidi" w:hAnsiTheme="minorBidi"/>
          <w:u w:val="single"/>
          <w:rtl/>
        </w:rPr>
      </w:pPr>
      <w:r w:rsidRPr="00845316">
        <w:rPr>
          <w:rFonts w:asciiTheme="minorBidi" w:hAnsiTheme="minorBidi"/>
          <w:u w:val="single"/>
          <w:rtl/>
        </w:rPr>
        <w:t>האם מלמדים על העדים זכות אף שהם אין טוענים כך:</w:t>
      </w:r>
    </w:p>
    <w:p w14:paraId="2AC6D63A" w14:textId="77777777" w:rsidR="004B607F" w:rsidRPr="00845316" w:rsidRDefault="004B607F" w:rsidP="004B0475">
      <w:pPr>
        <w:pStyle w:val="ac"/>
        <w:numPr>
          <w:ilvl w:val="0"/>
          <w:numId w:val="141"/>
        </w:numPr>
        <w:rPr>
          <w:rFonts w:asciiTheme="minorBidi" w:hAnsiTheme="minorBidi"/>
        </w:rPr>
      </w:pPr>
      <w:r w:rsidRPr="00845316">
        <w:rPr>
          <w:rFonts w:asciiTheme="minorBidi" w:hAnsiTheme="minorBidi"/>
          <w:rtl/>
        </w:rPr>
        <w:t xml:space="preserve">חות יאיר </w:t>
      </w:r>
      <w:r w:rsidRPr="00845316">
        <w:rPr>
          <w:rFonts w:asciiTheme="minorBidi" w:hAnsiTheme="minorBidi"/>
          <w:sz w:val="16"/>
          <w:szCs w:val="16"/>
          <w:rtl/>
        </w:rPr>
        <w:t>(סי' קז)</w:t>
      </w:r>
      <w:r w:rsidRPr="00845316">
        <w:rPr>
          <w:rFonts w:asciiTheme="minorBidi" w:hAnsiTheme="minorBidi"/>
          <w:rtl/>
        </w:rPr>
        <w:t>- אם אינם לפנינו מלמדים עליהם זכות, אבל אם הם לפנינו לא אמרינן זה, רק שואלים אותם, ואם לא ישיבו כך, הם פסולים</w:t>
      </w:r>
      <w:r w:rsidRPr="00845316">
        <w:rPr>
          <w:rStyle w:val="ab"/>
          <w:rFonts w:asciiTheme="minorBidi" w:hAnsiTheme="minorBidi"/>
          <w:rtl/>
        </w:rPr>
        <w:footnoteReference w:id="2083"/>
      </w:r>
      <w:r w:rsidRPr="00845316">
        <w:rPr>
          <w:rFonts w:asciiTheme="minorBidi" w:hAnsiTheme="minorBidi"/>
          <w:rtl/>
        </w:rPr>
        <w:t xml:space="preserve">. </w:t>
      </w:r>
    </w:p>
    <w:p w14:paraId="291528D7" w14:textId="77777777" w:rsidR="004B607F" w:rsidRPr="00845316" w:rsidRDefault="004B607F" w:rsidP="004B0475">
      <w:pPr>
        <w:pStyle w:val="ac"/>
        <w:numPr>
          <w:ilvl w:val="0"/>
          <w:numId w:val="141"/>
        </w:numPr>
        <w:rPr>
          <w:rFonts w:asciiTheme="minorBidi" w:hAnsiTheme="minorBidi"/>
        </w:rPr>
      </w:pPr>
      <w:r w:rsidRPr="00845316">
        <w:rPr>
          <w:rFonts w:asciiTheme="minorBidi" w:hAnsiTheme="minorBidi"/>
          <w:rtl/>
        </w:rPr>
        <w:t xml:space="preserve">מהרי"ט </w:t>
      </w:r>
      <w:r w:rsidRPr="00845316">
        <w:rPr>
          <w:rFonts w:asciiTheme="minorBidi" w:hAnsiTheme="minorBidi"/>
          <w:sz w:val="16"/>
          <w:szCs w:val="16"/>
          <w:rtl/>
        </w:rPr>
        <w:t>(ח"ב אה"ע סי' מג)</w:t>
      </w:r>
      <w:r w:rsidRPr="00845316">
        <w:rPr>
          <w:rFonts w:asciiTheme="minorBidi" w:hAnsiTheme="minorBidi"/>
          <w:rtl/>
        </w:rPr>
        <w:t xml:space="preserve"> ורעק"א </w:t>
      </w:r>
      <w:r w:rsidRPr="00845316">
        <w:rPr>
          <w:rFonts w:asciiTheme="minorBidi" w:hAnsiTheme="minorBidi"/>
          <w:sz w:val="16"/>
          <w:szCs w:val="16"/>
          <w:rtl/>
        </w:rPr>
        <w:t>(קמא סי' צו)</w:t>
      </w:r>
      <w:r w:rsidRPr="00845316">
        <w:rPr>
          <w:rFonts w:asciiTheme="minorBidi" w:hAnsiTheme="minorBidi"/>
          <w:rtl/>
        </w:rPr>
        <w:t>- אמרינן, ולא עוד אלא אפילו ידוע שעשה איסור אינו נפסל</w:t>
      </w:r>
      <w:r w:rsidRPr="00845316">
        <w:rPr>
          <w:rStyle w:val="ab"/>
          <w:rFonts w:asciiTheme="minorBidi" w:hAnsiTheme="minorBidi"/>
          <w:rtl/>
        </w:rPr>
        <w:footnoteReference w:id="2084"/>
      </w:r>
      <w:r w:rsidRPr="00845316">
        <w:rPr>
          <w:rFonts w:asciiTheme="minorBidi" w:hAnsiTheme="minorBidi"/>
          <w:rtl/>
        </w:rPr>
        <w:t xml:space="preserve">. </w:t>
      </w:r>
    </w:p>
    <w:p w14:paraId="2BCC9BAB" w14:textId="77777777" w:rsidR="004B607F" w:rsidRPr="00845316" w:rsidRDefault="004B607F" w:rsidP="004B607F">
      <w:pPr>
        <w:rPr>
          <w:rFonts w:asciiTheme="minorBidi" w:hAnsiTheme="minorBidi"/>
          <w:rtl/>
        </w:rPr>
      </w:pPr>
    </w:p>
    <w:p w14:paraId="637CC79C" w14:textId="77777777" w:rsidR="004B607F" w:rsidRPr="00845316" w:rsidRDefault="004B607F" w:rsidP="004B607F">
      <w:pPr>
        <w:pStyle w:val="2"/>
        <w:rPr>
          <w:rFonts w:asciiTheme="minorBidi" w:hAnsiTheme="minorBidi"/>
          <w:rtl/>
        </w:rPr>
      </w:pPr>
      <w:bookmarkStart w:id="285" w:name="_Toc24883752"/>
      <w:r w:rsidRPr="00845316">
        <w:rPr>
          <w:rFonts w:asciiTheme="minorBidi" w:hAnsiTheme="minorBidi"/>
          <w:rtl/>
        </w:rPr>
        <w:t>סעיף ה: העובר על השבועה.</w:t>
      </w:r>
      <w:bookmarkEnd w:id="285"/>
    </w:p>
    <w:p w14:paraId="4502995E" w14:textId="77777777" w:rsidR="004B607F" w:rsidRPr="00845316" w:rsidRDefault="004B607F" w:rsidP="004B607F">
      <w:pPr>
        <w:rPr>
          <w:rFonts w:asciiTheme="minorBidi" w:hAnsiTheme="minorBidi"/>
          <w:rtl/>
        </w:rPr>
      </w:pPr>
      <w:bookmarkStart w:id="286" w:name="_Hlk24033202"/>
      <w:r w:rsidRPr="00845316">
        <w:rPr>
          <w:rFonts w:asciiTheme="minorBidi" w:hAnsiTheme="minorBidi"/>
          <w:b/>
          <w:bCs/>
          <w:rtl/>
        </w:rPr>
        <w:t>סנהדרין כז</w:t>
      </w:r>
      <w:r w:rsidRPr="00845316">
        <w:rPr>
          <w:rStyle w:val="ab"/>
          <w:rFonts w:asciiTheme="minorBidi" w:hAnsiTheme="minorBidi"/>
          <w:rtl/>
        </w:rPr>
        <w:footnoteReference w:id="2085"/>
      </w:r>
      <w:r w:rsidRPr="00845316">
        <w:rPr>
          <w:rFonts w:asciiTheme="minorBidi" w:hAnsiTheme="minorBidi"/>
          <w:b/>
          <w:bCs/>
          <w:rtl/>
        </w:rPr>
        <w:t xml:space="preserve"> ע"א: </w:t>
      </w:r>
      <w:r w:rsidRPr="00845316">
        <w:rPr>
          <w:rFonts w:asciiTheme="minorBidi" w:hAnsiTheme="minorBidi"/>
          <w:rtl/>
        </w:rPr>
        <w:t>אל תשת רשע עד, אל תשת חמס עד - אלו גזלנין ומועלין בשבועות.</w:t>
      </w:r>
    </w:p>
    <w:p w14:paraId="0FC281FE" w14:textId="77777777" w:rsidR="004B607F" w:rsidRPr="00845316" w:rsidRDefault="004B607F" w:rsidP="004B607F">
      <w:pPr>
        <w:rPr>
          <w:rFonts w:asciiTheme="minorBidi" w:hAnsiTheme="minorBidi"/>
          <w:rtl/>
        </w:rPr>
      </w:pPr>
      <w:r w:rsidRPr="00845316">
        <w:rPr>
          <w:rFonts w:asciiTheme="minorBidi" w:hAnsiTheme="minorBidi"/>
          <w:b/>
          <w:bCs/>
          <w:rtl/>
        </w:rPr>
        <w:t xml:space="preserve">שבועות מד ע"ב: </w:t>
      </w:r>
      <w:bookmarkEnd w:id="286"/>
      <w:r w:rsidRPr="00845316">
        <w:rPr>
          <w:rFonts w:asciiTheme="minorBidi" w:hAnsiTheme="minorBidi"/>
          <w:u w:val="double"/>
          <w:rtl/>
        </w:rPr>
        <w:t>משנה:</w:t>
      </w:r>
      <w:r w:rsidRPr="00845316">
        <w:rPr>
          <w:rFonts w:asciiTheme="minorBidi" w:hAnsiTheme="minorBidi"/>
          <w:rtl/>
        </w:rPr>
        <w:t xml:space="preserve"> כל הנשבעין שבתורה נשבעין ולא משלמין ואלו נשבעין ונוטלין... ושכנגדו חשוד על השבועה</w:t>
      </w:r>
      <w:r w:rsidRPr="00845316">
        <w:rPr>
          <w:rStyle w:val="ab"/>
          <w:rFonts w:asciiTheme="minorBidi" w:hAnsiTheme="minorBidi"/>
          <w:rtl/>
        </w:rPr>
        <w:footnoteReference w:id="2086"/>
      </w:r>
      <w:r w:rsidRPr="00845316">
        <w:rPr>
          <w:rFonts w:asciiTheme="minorBidi" w:hAnsiTheme="minorBidi"/>
          <w:rtl/>
        </w:rPr>
        <w:t>.... שכנגדו חשוד על השבועה כיצד? אחת שבועת העדות</w:t>
      </w:r>
      <w:r w:rsidRPr="00845316">
        <w:rPr>
          <w:rStyle w:val="ab"/>
          <w:rFonts w:asciiTheme="minorBidi" w:hAnsiTheme="minorBidi"/>
          <w:rtl/>
        </w:rPr>
        <w:footnoteReference w:id="2087"/>
      </w:r>
      <w:r w:rsidRPr="00845316">
        <w:rPr>
          <w:rFonts w:asciiTheme="minorBidi" w:hAnsiTheme="minorBidi"/>
          <w:rtl/>
        </w:rPr>
        <w:t xml:space="preserve"> ואחת שבועת הפקדון ואפילו שבועת שוא</w:t>
      </w:r>
      <w:r w:rsidRPr="00845316">
        <w:rPr>
          <w:rStyle w:val="ab"/>
          <w:rFonts w:asciiTheme="minorBidi" w:hAnsiTheme="minorBidi"/>
          <w:rtl/>
        </w:rPr>
        <w:footnoteReference w:id="2088"/>
      </w:r>
      <w:r w:rsidRPr="00845316">
        <w:rPr>
          <w:rFonts w:asciiTheme="minorBidi" w:hAnsiTheme="minorBidi"/>
          <w:rtl/>
        </w:rPr>
        <w:t xml:space="preserve">.   </w:t>
      </w:r>
      <w:r w:rsidRPr="00845316">
        <w:rPr>
          <w:rFonts w:asciiTheme="minorBidi" w:hAnsiTheme="minorBidi"/>
          <w:u w:val="double"/>
          <w:rtl/>
        </w:rPr>
        <w:t>גמ'</w:t>
      </w:r>
      <w:r w:rsidRPr="00845316">
        <w:rPr>
          <w:rFonts w:asciiTheme="minorBidi" w:hAnsiTheme="minorBidi"/>
          <w:sz w:val="16"/>
          <w:szCs w:val="16"/>
          <w:u w:val="double"/>
          <w:rtl/>
        </w:rPr>
        <w:t>(מו:)</w:t>
      </w:r>
      <w:r w:rsidRPr="00845316">
        <w:rPr>
          <w:rFonts w:asciiTheme="minorBidi" w:hAnsiTheme="minorBidi"/>
          <w:u w:val="double"/>
          <w:rtl/>
        </w:rPr>
        <w:t>:</w:t>
      </w:r>
      <w:r w:rsidRPr="00845316">
        <w:rPr>
          <w:rFonts w:asciiTheme="minorBidi" w:hAnsiTheme="minorBidi"/>
          <w:rtl/>
        </w:rPr>
        <w:t xml:space="preserve"> מאי אפילו שבועת שוא? לא מיבעיא קאמר, לא מיבעיא הנך דאית בהו כפירת ממון, אלא אפילו הא נמי דכפירת דברים בעלמא הוא - לא מהימן. וליתני נמי שבועת בטוי</w:t>
      </w:r>
      <w:r w:rsidRPr="00845316">
        <w:rPr>
          <w:rStyle w:val="ab"/>
          <w:rFonts w:asciiTheme="minorBidi" w:hAnsiTheme="minorBidi"/>
          <w:rtl/>
        </w:rPr>
        <w:footnoteReference w:id="2089"/>
      </w:r>
      <w:r w:rsidRPr="00845316">
        <w:rPr>
          <w:rFonts w:asciiTheme="minorBidi" w:hAnsiTheme="minorBidi"/>
          <w:rtl/>
        </w:rPr>
        <w:t xml:space="preserve">! כי קתני שבועה דכי קא משתבע - בשקרא קא משתבע, אבל שבועת בטוי דאיכא למימר דבקושטא קא משתבע - לא קתני. </w:t>
      </w:r>
    </w:p>
    <w:p w14:paraId="3401B4C2" w14:textId="77777777" w:rsidR="004B607F" w:rsidRPr="00845316" w:rsidRDefault="004B607F" w:rsidP="004B607F">
      <w:pPr>
        <w:rPr>
          <w:rFonts w:asciiTheme="minorBidi" w:hAnsiTheme="minorBidi"/>
          <w:u w:val="single"/>
          <w:rtl/>
        </w:rPr>
      </w:pPr>
      <w:r w:rsidRPr="00845316">
        <w:rPr>
          <w:rFonts w:asciiTheme="minorBidi" w:hAnsiTheme="minorBidi"/>
          <w:u w:val="single"/>
          <w:rtl/>
        </w:rPr>
        <w:t>מהי מסקנת הגמ' גבי שבועת ביטוי:</w:t>
      </w:r>
    </w:p>
    <w:p w14:paraId="408034E4" w14:textId="77777777" w:rsidR="004B607F" w:rsidRPr="00845316" w:rsidRDefault="004B607F" w:rsidP="004B0475">
      <w:pPr>
        <w:pStyle w:val="ac"/>
        <w:numPr>
          <w:ilvl w:val="0"/>
          <w:numId w:val="147"/>
        </w:numPr>
        <w:rPr>
          <w:rFonts w:asciiTheme="minorBidi" w:hAnsiTheme="minorBidi"/>
        </w:rPr>
      </w:pPr>
      <w:r w:rsidRPr="00845316">
        <w:rPr>
          <w:rFonts w:asciiTheme="minorBidi" w:hAnsiTheme="minorBidi"/>
          <w:rtl/>
        </w:rPr>
        <w:t>ר"ת וסיעתו- דלא קמיירי הכא במידי דקושטא קמישתבע אבל אה"נ דגם בכגון זה חשוד על השבועה</w:t>
      </w:r>
      <w:r w:rsidRPr="00845316">
        <w:rPr>
          <w:rStyle w:val="ab"/>
          <w:rFonts w:asciiTheme="minorBidi" w:hAnsiTheme="minorBidi"/>
          <w:rtl/>
        </w:rPr>
        <w:footnoteReference w:id="2090"/>
      </w:r>
      <w:r w:rsidRPr="00845316">
        <w:rPr>
          <w:rFonts w:asciiTheme="minorBidi" w:hAnsiTheme="minorBidi"/>
          <w:rtl/>
        </w:rPr>
        <w:t xml:space="preserve">. </w:t>
      </w:r>
    </w:p>
    <w:p w14:paraId="1179F46F" w14:textId="77777777" w:rsidR="004B607F" w:rsidRPr="00845316" w:rsidRDefault="004B607F" w:rsidP="004B0475">
      <w:pPr>
        <w:pStyle w:val="ac"/>
        <w:numPr>
          <w:ilvl w:val="0"/>
          <w:numId w:val="147"/>
        </w:numPr>
        <w:rPr>
          <w:rFonts w:asciiTheme="minorBidi" w:hAnsiTheme="minorBidi"/>
        </w:rPr>
      </w:pPr>
      <w:r w:rsidRPr="00845316">
        <w:rPr>
          <w:rFonts w:asciiTheme="minorBidi" w:hAnsiTheme="minorBidi"/>
          <w:rtl/>
        </w:rPr>
        <w:t>רש"י וסיעתו- דלא קתני הכא אלא שבועות שנעשה חשוד על השבועה אם עובר עליהן, אבל בשבועת ביטוי דאיכא למימר בקושטא קמישתבע שבדעתו לקיימה אז אפילו עבר עליה שכפאו יצרו אינו חשוד בכך על השבועה שעבר להוציא שקר מפיו.</w:t>
      </w:r>
    </w:p>
    <w:p w14:paraId="0EA3057E" w14:textId="77777777" w:rsidR="004B607F" w:rsidRPr="00845316" w:rsidRDefault="004B607F" w:rsidP="004B0475">
      <w:pPr>
        <w:pStyle w:val="ac"/>
        <w:numPr>
          <w:ilvl w:val="0"/>
          <w:numId w:val="147"/>
        </w:numPr>
        <w:rPr>
          <w:rFonts w:asciiTheme="minorBidi" w:hAnsiTheme="minorBidi"/>
          <w:rtl/>
        </w:rPr>
      </w:pPr>
      <w:r w:rsidRPr="00845316">
        <w:rPr>
          <w:rFonts w:asciiTheme="minorBidi" w:hAnsiTheme="minorBidi"/>
          <w:rtl/>
        </w:rPr>
        <w:t xml:space="preserve">ריב"ש </w:t>
      </w:r>
      <w:r w:rsidRPr="00845316">
        <w:rPr>
          <w:rFonts w:asciiTheme="minorBidi" w:hAnsiTheme="minorBidi"/>
          <w:sz w:val="16"/>
          <w:szCs w:val="16"/>
          <w:rtl/>
        </w:rPr>
        <w:t>(סי' שיא)</w:t>
      </w:r>
      <w:r w:rsidRPr="00845316">
        <w:rPr>
          <w:rFonts w:asciiTheme="minorBidi" w:hAnsiTheme="minorBidi"/>
          <w:rtl/>
        </w:rPr>
        <w:t xml:space="preserve">- דלא קתני שבועת ביטוי במתניתין משום דלא פסיקא ליה דכל שבועת ביטוי מתחייב </w:t>
      </w:r>
      <w:r w:rsidRPr="00845316">
        <w:rPr>
          <w:rFonts w:asciiTheme="minorBidi" w:hAnsiTheme="minorBidi"/>
          <w:sz w:val="16"/>
          <w:szCs w:val="16"/>
          <w:rtl/>
        </w:rPr>
        <w:t>(שהרי אם היא בשב ואל תעשה לא נחשד על השבועה בגללה, אבל בשבועת ביטוי שעובר עליה בקום עשה כן נחשד)</w:t>
      </w:r>
      <w:r w:rsidRPr="00845316">
        <w:rPr>
          <w:rFonts w:asciiTheme="minorBidi" w:hAnsiTheme="minorBidi"/>
          <w:rtl/>
        </w:rPr>
        <w:t xml:space="preserve">. </w:t>
      </w:r>
    </w:p>
    <w:p w14:paraId="1F166AF9" w14:textId="77777777" w:rsidR="004B607F" w:rsidRPr="00845316" w:rsidRDefault="004B607F" w:rsidP="004B607F">
      <w:pPr>
        <w:rPr>
          <w:rFonts w:asciiTheme="minorBidi" w:hAnsiTheme="minorBidi"/>
          <w:u w:val="single"/>
          <w:rtl/>
        </w:rPr>
      </w:pPr>
      <w:r w:rsidRPr="00845316">
        <w:rPr>
          <w:rFonts w:asciiTheme="minorBidi" w:hAnsiTheme="minorBidi"/>
          <w:u w:val="single"/>
          <w:rtl/>
        </w:rPr>
        <w:t xml:space="preserve">אדם שנשבע שבועת </w:t>
      </w:r>
      <w:r w:rsidRPr="00845316">
        <w:rPr>
          <w:rFonts w:asciiTheme="minorBidi" w:hAnsiTheme="minorBidi"/>
          <w:b/>
          <w:bCs/>
          <w:u w:val="single"/>
          <w:rtl/>
        </w:rPr>
        <w:t>ביטוי</w:t>
      </w:r>
      <w:r w:rsidRPr="00845316">
        <w:rPr>
          <w:rFonts w:asciiTheme="minorBidi" w:hAnsiTheme="minorBidi"/>
          <w:u w:val="single"/>
          <w:rtl/>
        </w:rPr>
        <w:t xml:space="preserve"> ועבר עליה</w:t>
      </w:r>
      <w:r>
        <w:rPr>
          <w:rFonts w:asciiTheme="minorBidi" w:hAnsiTheme="minorBidi" w:hint="cs"/>
          <w:u w:val="single"/>
          <w:rtl/>
        </w:rPr>
        <w:t xml:space="preserve"> </w:t>
      </w:r>
      <w:r w:rsidRPr="00845316">
        <w:rPr>
          <w:rFonts w:asciiTheme="minorBidi" w:hAnsiTheme="minorBidi"/>
          <w:u w:val="single"/>
          <w:rtl/>
        </w:rPr>
        <w:t xml:space="preserve">- האם מיקרי חשוד על השבועה </w:t>
      </w:r>
      <w:r w:rsidRPr="00845316">
        <w:rPr>
          <w:rFonts w:asciiTheme="minorBidi" w:hAnsiTheme="minorBidi"/>
          <w:sz w:val="16"/>
          <w:szCs w:val="16"/>
          <w:u w:val="single"/>
          <w:rtl/>
        </w:rPr>
        <w:t>(ונפ"מ האם פסול לעדות)</w:t>
      </w:r>
      <w:r w:rsidRPr="00845316">
        <w:rPr>
          <w:rFonts w:asciiTheme="minorBidi" w:hAnsiTheme="minorBidi"/>
          <w:u w:val="single"/>
          <w:rtl/>
        </w:rPr>
        <w:t>:</w:t>
      </w:r>
    </w:p>
    <w:p w14:paraId="3A128EC6" w14:textId="77777777" w:rsidR="004B607F" w:rsidRPr="00845316" w:rsidRDefault="004B607F" w:rsidP="004B0475">
      <w:pPr>
        <w:pStyle w:val="ac"/>
        <w:numPr>
          <w:ilvl w:val="0"/>
          <w:numId w:val="145"/>
        </w:numPr>
        <w:rPr>
          <w:rFonts w:asciiTheme="minorBidi" w:hAnsiTheme="minorBidi"/>
        </w:rPr>
      </w:pPr>
      <w:r w:rsidRPr="00845316">
        <w:rPr>
          <w:rFonts w:asciiTheme="minorBidi" w:hAnsiTheme="minorBidi"/>
          <w:rtl/>
        </w:rPr>
        <w:lastRenderedPageBreak/>
        <w:t>רב האי בה"ג ר"ת רמב"ם</w:t>
      </w:r>
      <w:r w:rsidRPr="00845316">
        <w:rPr>
          <w:rStyle w:val="ab"/>
          <w:rFonts w:asciiTheme="minorBidi" w:hAnsiTheme="minorBidi"/>
          <w:rtl/>
        </w:rPr>
        <w:footnoteReference w:id="2091"/>
      </w:r>
      <w:r w:rsidRPr="00845316">
        <w:rPr>
          <w:rFonts w:asciiTheme="minorBidi" w:hAnsiTheme="minorBidi"/>
          <w:rtl/>
        </w:rPr>
        <w:t xml:space="preserve"> מהר"ם ורא"ש</w:t>
      </w:r>
      <w:r w:rsidRPr="00845316">
        <w:rPr>
          <w:rStyle w:val="ab"/>
          <w:rFonts w:asciiTheme="minorBidi" w:hAnsiTheme="minorBidi"/>
          <w:rtl/>
        </w:rPr>
        <w:footnoteReference w:id="2092"/>
      </w:r>
      <w:r w:rsidRPr="00845316">
        <w:rPr>
          <w:rFonts w:asciiTheme="minorBidi" w:hAnsiTheme="minorBidi"/>
          <w:rtl/>
        </w:rPr>
        <w:t xml:space="preserve">- חשוד על השבועה ופסול לעדות. </w:t>
      </w:r>
      <w:r w:rsidRPr="00845316">
        <w:rPr>
          <w:rFonts w:asciiTheme="minorBidi" w:hAnsiTheme="minorBidi"/>
          <w:color w:val="E36C0A" w:themeColor="accent6" w:themeShade="BF"/>
          <w:rtl/>
        </w:rPr>
        <w:t>(וכ"פ בשו"ע)</w:t>
      </w:r>
      <w:r w:rsidRPr="00845316">
        <w:rPr>
          <w:rFonts w:asciiTheme="minorBidi" w:hAnsiTheme="minorBidi"/>
          <w:rtl/>
        </w:rPr>
        <w:t xml:space="preserve"> </w:t>
      </w:r>
    </w:p>
    <w:p w14:paraId="74FC243C" w14:textId="77777777" w:rsidR="004B607F" w:rsidRPr="00845316" w:rsidRDefault="004B607F" w:rsidP="004B0475">
      <w:pPr>
        <w:pStyle w:val="ac"/>
        <w:numPr>
          <w:ilvl w:val="0"/>
          <w:numId w:val="145"/>
        </w:numPr>
        <w:rPr>
          <w:rFonts w:asciiTheme="minorBidi" w:hAnsiTheme="minorBidi"/>
        </w:rPr>
      </w:pPr>
      <w:r w:rsidRPr="00845316">
        <w:rPr>
          <w:rFonts w:asciiTheme="minorBidi" w:hAnsiTheme="minorBidi"/>
          <w:rtl/>
        </w:rPr>
        <w:t>ר"ח רי"ף</w:t>
      </w:r>
      <w:r w:rsidRPr="00845316">
        <w:rPr>
          <w:rStyle w:val="ab"/>
          <w:rFonts w:asciiTheme="minorBidi" w:hAnsiTheme="minorBidi"/>
          <w:rtl/>
        </w:rPr>
        <w:footnoteReference w:id="2093"/>
      </w:r>
      <w:r w:rsidRPr="00845316">
        <w:rPr>
          <w:rFonts w:asciiTheme="minorBidi" w:hAnsiTheme="minorBidi"/>
          <w:rtl/>
        </w:rPr>
        <w:t xml:space="preserve"> רש"י ר"י ראבי"ה ריב"א תוס' רמב"ן ורשב"א</w:t>
      </w:r>
      <w:r w:rsidRPr="00845316">
        <w:rPr>
          <w:rStyle w:val="ab"/>
          <w:rFonts w:asciiTheme="minorBidi" w:hAnsiTheme="minorBidi"/>
          <w:rtl/>
        </w:rPr>
        <w:footnoteReference w:id="2094"/>
      </w:r>
      <w:r w:rsidRPr="00845316">
        <w:rPr>
          <w:rFonts w:asciiTheme="minorBidi" w:hAnsiTheme="minorBidi"/>
          <w:rtl/>
        </w:rPr>
        <w:t>- אינו חשוד על השבועה ולכן כשר לעדות.</w:t>
      </w:r>
    </w:p>
    <w:p w14:paraId="0806F7A1" w14:textId="77777777" w:rsidR="004B607F" w:rsidRPr="00845316" w:rsidRDefault="004B607F" w:rsidP="004B0475">
      <w:pPr>
        <w:pStyle w:val="ac"/>
        <w:numPr>
          <w:ilvl w:val="0"/>
          <w:numId w:val="145"/>
        </w:numPr>
        <w:rPr>
          <w:rFonts w:asciiTheme="minorBidi" w:hAnsiTheme="minorBidi"/>
        </w:rPr>
      </w:pPr>
      <w:r w:rsidRPr="00845316">
        <w:rPr>
          <w:rFonts w:asciiTheme="minorBidi" w:hAnsiTheme="minorBidi"/>
          <w:rtl/>
        </w:rPr>
        <w:t xml:space="preserve">ריב"ש- אם </w:t>
      </w:r>
      <w:r w:rsidRPr="00845316">
        <w:rPr>
          <w:rFonts w:asciiTheme="minorBidi" w:hAnsiTheme="minorBidi"/>
          <w:u w:val="dotted"/>
          <w:rtl/>
        </w:rPr>
        <w:t>נשבע שלא לאכול ואכל</w:t>
      </w:r>
      <w:r w:rsidRPr="00845316">
        <w:rPr>
          <w:rFonts w:asciiTheme="minorBidi" w:hAnsiTheme="minorBidi"/>
          <w:rtl/>
        </w:rPr>
        <w:t xml:space="preserve"> הרי הוא חייב מלקות ורשע הוא ופסול לעדות ולשבוע', אבל </w:t>
      </w:r>
      <w:r w:rsidRPr="00845316">
        <w:rPr>
          <w:rFonts w:asciiTheme="minorBidi" w:hAnsiTheme="minorBidi"/>
          <w:u w:val="dotted"/>
          <w:rtl/>
        </w:rPr>
        <w:t>נשבע לאכול או לפרוע ולא עשה</w:t>
      </w:r>
      <w:r w:rsidRPr="00845316">
        <w:rPr>
          <w:rFonts w:asciiTheme="minorBidi" w:hAnsiTheme="minorBidi"/>
          <w:rtl/>
        </w:rPr>
        <w:t xml:space="preserve"> כיון דאינו חייב מלקות דלא עביד מעשה</w:t>
      </w:r>
      <w:r w:rsidRPr="00845316">
        <w:rPr>
          <w:rStyle w:val="ab"/>
          <w:rFonts w:asciiTheme="minorBidi" w:hAnsiTheme="minorBidi"/>
          <w:rtl/>
        </w:rPr>
        <w:footnoteReference w:id="2095"/>
      </w:r>
      <w:r w:rsidRPr="00845316">
        <w:rPr>
          <w:rFonts w:asciiTheme="minorBidi" w:hAnsiTheme="minorBidi"/>
          <w:rtl/>
        </w:rPr>
        <w:t xml:space="preserve"> אינו פסול לעדות ולשבוע'</w:t>
      </w:r>
      <w:r w:rsidRPr="00845316">
        <w:rPr>
          <w:rStyle w:val="ab"/>
          <w:rFonts w:asciiTheme="minorBidi" w:hAnsiTheme="minorBidi"/>
          <w:rtl/>
        </w:rPr>
        <w:footnoteReference w:id="2096"/>
      </w:r>
      <w:r w:rsidRPr="00845316">
        <w:rPr>
          <w:rFonts w:asciiTheme="minorBidi" w:hAnsiTheme="minorBidi"/>
          <w:rtl/>
        </w:rPr>
        <w:t>. (וכ"פ המשא"ב</w:t>
      </w:r>
      <w:r w:rsidRPr="00845316">
        <w:rPr>
          <w:rStyle w:val="ab"/>
          <w:rFonts w:asciiTheme="minorBidi" w:hAnsiTheme="minorBidi"/>
          <w:rtl/>
        </w:rPr>
        <w:footnoteReference w:id="2097"/>
      </w:r>
      <w:r w:rsidRPr="00845316">
        <w:rPr>
          <w:rFonts w:asciiTheme="minorBidi" w:hAnsiTheme="minorBidi"/>
          <w:rtl/>
        </w:rPr>
        <w:t xml:space="preserve">) </w:t>
      </w:r>
    </w:p>
    <w:p w14:paraId="0E568946" w14:textId="77777777" w:rsidR="004B607F" w:rsidRPr="00845316" w:rsidRDefault="004B607F" w:rsidP="004B0475">
      <w:pPr>
        <w:pStyle w:val="ac"/>
        <w:numPr>
          <w:ilvl w:val="0"/>
          <w:numId w:val="145"/>
        </w:numPr>
        <w:rPr>
          <w:rFonts w:asciiTheme="minorBidi" w:hAnsiTheme="minorBidi"/>
          <w:u w:val="single"/>
        </w:rPr>
      </w:pPr>
      <w:r w:rsidRPr="00845316">
        <w:rPr>
          <w:rFonts w:asciiTheme="minorBidi" w:hAnsiTheme="minorBidi"/>
          <w:rtl/>
        </w:rPr>
        <w:t xml:space="preserve">(רש"י </w:t>
      </w:r>
      <w:r w:rsidRPr="00845316">
        <w:rPr>
          <w:rFonts w:asciiTheme="minorBidi" w:hAnsiTheme="minorBidi"/>
          <w:color w:val="FF0000"/>
          <w:rtl/>
        </w:rPr>
        <w:t>וסיעתו</w:t>
      </w:r>
      <w:r w:rsidRPr="00845316">
        <w:rPr>
          <w:rStyle w:val="ab"/>
          <w:rFonts w:asciiTheme="minorBidi" w:hAnsiTheme="minorBidi"/>
          <w:color w:val="FF0000"/>
          <w:rtl/>
        </w:rPr>
        <w:footnoteReference w:id="2098"/>
      </w:r>
      <w:r w:rsidRPr="00845316">
        <w:rPr>
          <w:rFonts w:asciiTheme="minorBidi" w:hAnsiTheme="minorBidi"/>
          <w:rtl/>
        </w:rPr>
        <w:t xml:space="preserve"> </w:t>
      </w:r>
      <w:r w:rsidRPr="00845316">
        <w:rPr>
          <w:rFonts w:asciiTheme="minorBidi" w:hAnsiTheme="minorBidi"/>
          <w:sz w:val="16"/>
          <w:szCs w:val="16"/>
          <w:rtl/>
        </w:rPr>
        <w:t>להב' הריב"ש [סי' רסו]</w:t>
      </w:r>
      <w:r w:rsidRPr="00845316">
        <w:rPr>
          <w:rFonts w:asciiTheme="minorBidi" w:hAnsiTheme="minorBidi"/>
          <w:rtl/>
        </w:rPr>
        <w:t xml:space="preserve">) רש"ך </w:t>
      </w:r>
      <w:r w:rsidRPr="00845316">
        <w:rPr>
          <w:rFonts w:asciiTheme="minorBidi" w:hAnsiTheme="minorBidi"/>
          <w:sz w:val="16"/>
          <w:szCs w:val="16"/>
          <w:rtl/>
        </w:rPr>
        <w:t>(ח"א סי' קעב)</w:t>
      </w:r>
      <w:r w:rsidRPr="00845316">
        <w:rPr>
          <w:rFonts w:asciiTheme="minorBidi" w:hAnsiTheme="minorBidi"/>
          <w:rtl/>
        </w:rPr>
        <w:t xml:space="preserve"> (וטור</w:t>
      </w:r>
      <w:r w:rsidRPr="00845316">
        <w:rPr>
          <w:rFonts w:asciiTheme="minorBidi" w:hAnsiTheme="minorBidi"/>
          <w:sz w:val="16"/>
          <w:szCs w:val="16"/>
          <w:rtl/>
        </w:rPr>
        <w:t xml:space="preserve"> להב' הט"ז</w:t>
      </w:r>
      <w:r w:rsidRPr="00845316">
        <w:rPr>
          <w:rFonts w:asciiTheme="minorBidi" w:hAnsiTheme="minorBidi"/>
          <w:rtl/>
        </w:rPr>
        <w:t>)- אפשר לומר דדוקא לגבי השבועה הוא דאינו חשוד</w:t>
      </w:r>
      <w:r w:rsidRPr="00845316">
        <w:rPr>
          <w:rStyle w:val="ab"/>
          <w:rFonts w:asciiTheme="minorBidi" w:hAnsiTheme="minorBidi"/>
          <w:rtl/>
        </w:rPr>
        <w:footnoteReference w:id="2099"/>
      </w:r>
      <w:r w:rsidRPr="00845316">
        <w:rPr>
          <w:rFonts w:asciiTheme="minorBidi" w:hAnsiTheme="minorBidi"/>
          <w:rtl/>
        </w:rPr>
        <w:t xml:space="preserve">, אבל מ"מ לעדות נראה שפסול אפי' אם נשבע בעדותו שהרי עבר על דברי תורה. (וכ"פ הט"ז) </w:t>
      </w:r>
    </w:p>
    <w:p w14:paraId="28DCF53C" w14:textId="77777777" w:rsidR="004B607F" w:rsidRPr="00845316" w:rsidRDefault="004B607F" w:rsidP="004B607F">
      <w:pPr>
        <w:rPr>
          <w:rFonts w:asciiTheme="minorBidi" w:hAnsiTheme="minorBidi"/>
          <w:sz w:val="16"/>
          <w:szCs w:val="16"/>
          <w:rtl/>
        </w:rPr>
      </w:pPr>
      <w:r w:rsidRPr="00845316">
        <w:rPr>
          <w:rFonts w:asciiTheme="minorBidi" w:hAnsiTheme="minorBidi"/>
          <w:u w:val="single"/>
          <w:rtl/>
        </w:rPr>
        <w:t>האם כדי שהחשוד על השבועה יפסל לעדות בעינן שיהיה חשוד על שבועת ממון:</w:t>
      </w:r>
      <w:r w:rsidRPr="00845316">
        <w:rPr>
          <w:rFonts w:asciiTheme="minorBidi" w:hAnsiTheme="minorBidi"/>
          <w:sz w:val="16"/>
          <w:szCs w:val="16"/>
          <w:rtl/>
        </w:rPr>
        <w:t xml:space="preserve">  (ב"י סע' ד)</w:t>
      </w:r>
    </w:p>
    <w:p w14:paraId="3FB8B81E" w14:textId="77777777" w:rsidR="004B607F" w:rsidRPr="00845316" w:rsidRDefault="004B607F" w:rsidP="004B0475">
      <w:pPr>
        <w:pStyle w:val="ac"/>
        <w:numPr>
          <w:ilvl w:val="0"/>
          <w:numId w:val="151"/>
        </w:numPr>
        <w:rPr>
          <w:rFonts w:asciiTheme="minorBidi" w:hAnsiTheme="minorBidi"/>
        </w:rPr>
      </w:pPr>
      <w:r w:rsidRPr="00845316">
        <w:rPr>
          <w:rFonts w:asciiTheme="minorBidi" w:hAnsiTheme="minorBidi"/>
          <w:rtl/>
        </w:rPr>
        <w:t xml:space="preserve">ב"י- כל שחשוד על השבועה פסול לעדות </w:t>
      </w:r>
      <w:r w:rsidRPr="00845316">
        <w:rPr>
          <w:rFonts w:asciiTheme="minorBidi" w:hAnsiTheme="minorBidi"/>
          <w:sz w:val="16"/>
          <w:szCs w:val="16"/>
          <w:rtl/>
        </w:rPr>
        <w:t>(ולא רק החשוד על שבועה שיש בה עברה דחמס)</w:t>
      </w:r>
      <w:r w:rsidRPr="00845316">
        <w:rPr>
          <w:rFonts w:asciiTheme="minorBidi" w:hAnsiTheme="minorBidi"/>
          <w:rtl/>
        </w:rPr>
        <w:t>.</w:t>
      </w:r>
      <w:r w:rsidRPr="00845316">
        <w:rPr>
          <w:rFonts w:asciiTheme="minorBidi" w:hAnsiTheme="minorBidi"/>
          <w:color w:val="E36C0A" w:themeColor="accent6" w:themeShade="BF"/>
          <w:rtl/>
        </w:rPr>
        <w:t xml:space="preserve"> (וכ"פ בשו"ע)</w:t>
      </w:r>
    </w:p>
    <w:p w14:paraId="2C7C2F04" w14:textId="77777777" w:rsidR="004B607F" w:rsidRPr="00845316" w:rsidRDefault="004B607F" w:rsidP="004B0475">
      <w:pPr>
        <w:pStyle w:val="ac"/>
        <w:numPr>
          <w:ilvl w:val="0"/>
          <w:numId w:val="151"/>
        </w:numPr>
        <w:rPr>
          <w:rFonts w:asciiTheme="minorBidi" w:hAnsiTheme="minorBidi"/>
          <w:rtl/>
        </w:rPr>
      </w:pPr>
      <w:r w:rsidRPr="00845316">
        <w:rPr>
          <w:rFonts w:asciiTheme="minorBidi" w:hAnsiTheme="minorBidi"/>
          <w:rtl/>
        </w:rPr>
        <w:t>רשב"א</w:t>
      </w:r>
      <w:r w:rsidRPr="00845316">
        <w:rPr>
          <w:rStyle w:val="ab"/>
          <w:rFonts w:asciiTheme="minorBidi" w:hAnsiTheme="minorBidi"/>
          <w:rtl/>
        </w:rPr>
        <w:footnoteReference w:id="2100"/>
      </w:r>
      <w:r w:rsidRPr="00845316">
        <w:rPr>
          <w:rFonts w:asciiTheme="minorBidi" w:hAnsiTheme="minorBidi"/>
          <w:rtl/>
        </w:rPr>
        <w:t>- אם חשוד על שבועת ממון פסול לעדות</w:t>
      </w:r>
      <w:r w:rsidRPr="00845316">
        <w:rPr>
          <w:rStyle w:val="ab"/>
          <w:rFonts w:asciiTheme="minorBidi" w:hAnsiTheme="minorBidi"/>
          <w:rtl/>
        </w:rPr>
        <w:footnoteReference w:id="2101"/>
      </w:r>
      <w:r w:rsidRPr="00845316">
        <w:rPr>
          <w:rFonts w:asciiTheme="minorBidi" w:hAnsiTheme="minorBidi"/>
          <w:rtl/>
        </w:rPr>
        <w:t xml:space="preserve">. </w:t>
      </w:r>
    </w:p>
    <w:p w14:paraId="3324774F" w14:textId="77777777" w:rsidR="004B607F" w:rsidRPr="00845316" w:rsidRDefault="004B607F" w:rsidP="004B607F">
      <w:pPr>
        <w:rPr>
          <w:rFonts w:asciiTheme="minorBidi" w:hAnsiTheme="minorBidi"/>
          <w:u w:val="single"/>
          <w:rtl/>
        </w:rPr>
      </w:pPr>
      <w:r w:rsidRPr="00845316">
        <w:rPr>
          <w:rFonts w:asciiTheme="minorBidi" w:hAnsiTheme="minorBidi"/>
          <w:u w:val="single"/>
          <w:rtl/>
        </w:rPr>
        <w:t>אדם שמעידים עליו שעבר על חרם:</w:t>
      </w:r>
    </w:p>
    <w:p w14:paraId="1901D6C9" w14:textId="77777777" w:rsidR="004B607F" w:rsidRPr="00845316" w:rsidRDefault="004B607F" w:rsidP="004B0475">
      <w:pPr>
        <w:pStyle w:val="ac"/>
        <w:numPr>
          <w:ilvl w:val="0"/>
          <w:numId w:val="146"/>
        </w:numPr>
        <w:rPr>
          <w:rFonts w:asciiTheme="minorBidi" w:hAnsiTheme="minorBidi"/>
        </w:rPr>
      </w:pPr>
      <w:r w:rsidRPr="00845316">
        <w:rPr>
          <w:rFonts w:asciiTheme="minorBidi" w:hAnsiTheme="minorBidi"/>
          <w:rtl/>
        </w:rPr>
        <w:t>ר"ת סה"ת ריבר"מ מהר"ם</w:t>
      </w:r>
      <w:r w:rsidRPr="00845316">
        <w:rPr>
          <w:rStyle w:val="ab"/>
          <w:rFonts w:asciiTheme="minorBidi" w:hAnsiTheme="minorBidi"/>
          <w:rtl/>
        </w:rPr>
        <w:footnoteReference w:id="2102"/>
      </w:r>
      <w:r w:rsidRPr="00845316">
        <w:rPr>
          <w:rFonts w:asciiTheme="minorBidi" w:hAnsiTheme="minorBidi"/>
          <w:rtl/>
        </w:rPr>
        <w:t xml:space="preserve"> רשב"א ורא"ש</w:t>
      </w:r>
      <w:r w:rsidRPr="00845316">
        <w:rPr>
          <w:rStyle w:val="ab"/>
          <w:rFonts w:asciiTheme="minorBidi" w:hAnsiTheme="minorBidi"/>
          <w:rtl/>
        </w:rPr>
        <w:footnoteReference w:id="2103"/>
      </w:r>
      <w:r w:rsidRPr="00845316">
        <w:rPr>
          <w:rFonts w:asciiTheme="minorBidi" w:hAnsiTheme="minorBidi"/>
          <w:rtl/>
        </w:rPr>
        <w:t>- פסול</w:t>
      </w:r>
      <w:r w:rsidRPr="00845316">
        <w:rPr>
          <w:rStyle w:val="ab"/>
          <w:rFonts w:asciiTheme="minorBidi" w:hAnsiTheme="minorBidi"/>
          <w:rtl/>
        </w:rPr>
        <w:footnoteReference w:id="2104"/>
      </w:r>
      <w:r w:rsidRPr="00845316">
        <w:rPr>
          <w:rFonts w:asciiTheme="minorBidi" w:hAnsiTheme="minorBidi"/>
          <w:rtl/>
        </w:rPr>
        <w:t>, והוא כיון שכבר הורגלו שאומרים בכלל החרם 'משביעין אנו ומחרימין' וכיון שכן הרי זה כחרם ושבועה ולפיכך העובר על גזירת צבור שגוזרין בחרם חשוד כעובר על השבועה, ועוד שהם מסיימין בו 'וכל העובר ארור הוא' וארור בו שבועה</w:t>
      </w:r>
      <w:r w:rsidRPr="00845316">
        <w:rPr>
          <w:rFonts w:asciiTheme="minorBidi" w:hAnsiTheme="minorBidi"/>
          <w:sz w:val="16"/>
          <w:szCs w:val="16"/>
          <w:rtl/>
        </w:rPr>
        <w:t xml:space="preserve"> (רשב"א)</w:t>
      </w:r>
      <w:r w:rsidRPr="00845316">
        <w:rPr>
          <w:rFonts w:asciiTheme="minorBidi" w:hAnsiTheme="minorBidi"/>
          <w:rtl/>
        </w:rPr>
        <w:t>.</w:t>
      </w:r>
      <w:r w:rsidRPr="00845316">
        <w:rPr>
          <w:rFonts w:asciiTheme="minorBidi" w:hAnsiTheme="minorBidi"/>
          <w:color w:val="E36C0A" w:themeColor="accent6" w:themeShade="BF"/>
          <w:rtl/>
        </w:rPr>
        <w:t xml:space="preserve"> (וכ"פ בשו"ע)</w:t>
      </w:r>
    </w:p>
    <w:p w14:paraId="7699A2A0" w14:textId="77777777" w:rsidR="004B607F" w:rsidRPr="00845316" w:rsidRDefault="004B607F" w:rsidP="004B0475">
      <w:pPr>
        <w:pStyle w:val="ac"/>
        <w:numPr>
          <w:ilvl w:val="0"/>
          <w:numId w:val="146"/>
        </w:numPr>
        <w:rPr>
          <w:rFonts w:asciiTheme="minorBidi" w:hAnsiTheme="minorBidi"/>
          <w:rtl/>
        </w:rPr>
      </w:pPr>
      <w:r w:rsidRPr="00845316">
        <w:rPr>
          <w:rFonts w:asciiTheme="minorBidi" w:hAnsiTheme="minorBidi"/>
          <w:rtl/>
        </w:rPr>
        <w:t>(רש"י רמב"ן רשב"א</w:t>
      </w:r>
      <w:r w:rsidRPr="00845316">
        <w:rPr>
          <w:rFonts w:asciiTheme="minorBidi" w:hAnsiTheme="minorBidi"/>
          <w:sz w:val="16"/>
          <w:szCs w:val="16"/>
          <w:rtl/>
        </w:rPr>
        <w:t xml:space="preserve"> להב' הריב"ש</w:t>
      </w:r>
      <w:r w:rsidRPr="00845316">
        <w:rPr>
          <w:rFonts w:asciiTheme="minorBidi" w:hAnsiTheme="minorBidi"/>
          <w:rtl/>
        </w:rPr>
        <w:t>) וראבי"ה</w:t>
      </w:r>
      <w:r w:rsidRPr="00845316">
        <w:rPr>
          <w:rStyle w:val="ab"/>
          <w:rFonts w:asciiTheme="minorBidi" w:hAnsiTheme="minorBidi"/>
          <w:rtl/>
        </w:rPr>
        <w:footnoteReference w:id="2105"/>
      </w:r>
      <w:r w:rsidRPr="00845316">
        <w:rPr>
          <w:rFonts w:asciiTheme="minorBidi" w:hAnsiTheme="minorBidi"/>
          <w:rtl/>
        </w:rPr>
        <w:t>- אינו נפסל, דחרם שהחרימו הקהל הרי הוא כשבועה להבא ואיכא למימר בקושטא קמישתבע, ואפילו גרע מיניה שהרי לא יצאה שבועה מפיו כלל</w:t>
      </w:r>
      <w:r w:rsidRPr="00845316">
        <w:rPr>
          <w:rFonts w:asciiTheme="minorBidi" w:hAnsiTheme="minorBidi"/>
          <w:sz w:val="16"/>
          <w:szCs w:val="16"/>
          <w:rtl/>
        </w:rPr>
        <w:t xml:space="preserve"> (ריב"ש בשמם)</w:t>
      </w:r>
      <w:r w:rsidRPr="00845316">
        <w:rPr>
          <w:rFonts w:asciiTheme="minorBidi" w:hAnsiTheme="minorBidi"/>
          <w:rtl/>
        </w:rPr>
        <w:t>, ועוד שאם יפסלו מועלי חרמות תקנות הקהילות לא יוכשר אחד מאלף</w:t>
      </w:r>
      <w:r w:rsidRPr="00845316">
        <w:rPr>
          <w:rFonts w:asciiTheme="minorBidi" w:hAnsiTheme="minorBidi"/>
          <w:sz w:val="16"/>
          <w:szCs w:val="16"/>
          <w:rtl/>
        </w:rPr>
        <w:t xml:space="preserve"> (ראבי"ה)</w:t>
      </w:r>
      <w:r w:rsidRPr="00845316">
        <w:rPr>
          <w:rFonts w:asciiTheme="minorBidi" w:hAnsiTheme="minorBidi"/>
          <w:rtl/>
        </w:rPr>
        <w:t>.</w:t>
      </w:r>
    </w:p>
    <w:p w14:paraId="7F00CA82" w14:textId="77777777" w:rsidR="004B607F" w:rsidRPr="00845316" w:rsidRDefault="004B607F" w:rsidP="004B607F">
      <w:pPr>
        <w:rPr>
          <w:rFonts w:asciiTheme="minorBidi" w:hAnsiTheme="minorBidi"/>
          <w:u w:val="single"/>
          <w:rtl/>
        </w:rPr>
      </w:pPr>
      <w:r w:rsidRPr="00845316">
        <w:rPr>
          <w:rFonts w:asciiTheme="minorBidi" w:hAnsiTheme="minorBidi"/>
          <w:u w:val="single"/>
          <w:rtl/>
        </w:rPr>
        <w:t>עבר על שבועתו וטען שהיה אנוס:</w:t>
      </w:r>
    </w:p>
    <w:p w14:paraId="5C65DD21" w14:textId="77777777" w:rsidR="004B607F" w:rsidRPr="00845316" w:rsidRDefault="004B607F" w:rsidP="004B0475">
      <w:pPr>
        <w:pStyle w:val="ac"/>
        <w:numPr>
          <w:ilvl w:val="0"/>
          <w:numId w:val="146"/>
        </w:numPr>
        <w:rPr>
          <w:rFonts w:asciiTheme="minorBidi" w:hAnsiTheme="minorBidi"/>
        </w:rPr>
      </w:pPr>
      <w:r w:rsidRPr="00845316">
        <w:rPr>
          <w:rFonts w:asciiTheme="minorBidi" w:hAnsiTheme="minorBidi"/>
          <w:rtl/>
        </w:rPr>
        <w:t xml:space="preserve">רשב"א </w:t>
      </w:r>
      <w:r w:rsidRPr="00845316">
        <w:rPr>
          <w:rFonts w:asciiTheme="minorBidi" w:hAnsiTheme="minorBidi"/>
          <w:sz w:val="16"/>
          <w:szCs w:val="16"/>
          <w:rtl/>
        </w:rPr>
        <w:t>(ח"א סי' אלף יח)</w:t>
      </w:r>
      <w:r w:rsidRPr="00845316">
        <w:rPr>
          <w:rFonts w:asciiTheme="minorBidi" w:hAnsiTheme="minorBidi"/>
          <w:rtl/>
        </w:rPr>
        <w:t xml:space="preserve"> וריב"ש</w:t>
      </w:r>
      <w:r w:rsidRPr="00845316">
        <w:rPr>
          <w:rFonts w:asciiTheme="minorBidi" w:hAnsiTheme="minorBidi"/>
          <w:sz w:val="16"/>
          <w:szCs w:val="16"/>
          <w:rtl/>
        </w:rPr>
        <w:t xml:space="preserve"> (סי' תקטו, וסי' רסו)</w:t>
      </w:r>
      <w:r w:rsidRPr="00845316">
        <w:rPr>
          <w:rFonts w:asciiTheme="minorBidi" w:hAnsiTheme="minorBidi"/>
          <w:rtl/>
        </w:rPr>
        <w:t xml:space="preserve">- אינו פסול אפילו לדעת האומר דהוי חשוד משום שבועת ביטוי להבא, כגון מי שלא פרע החוב שנשבע לפרעו לא הוי חשוד דשמא לא היו בידו המעות בזמן הפרעון והוי אנוס, אא"כ אתו סהדי דההיא שעתא הוו זוזי ברשותיה </w:t>
      </w:r>
      <w:r w:rsidRPr="00845316">
        <w:rPr>
          <w:rFonts w:asciiTheme="minorBidi" w:hAnsiTheme="minorBidi"/>
          <w:sz w:val="16"/>
          <w:szCs w:val="16"/>
          <w:rtl/>
        </w:rPr>
        <w:t>(ב"מ ה:)</w:t>
      </w:r>
      <w:r w:rsidRPr="00845316">
        <w:rPr>
          <w:rFonts w:asciiTheme="minorBidi" w:hAnsiTheme="minorBidi"/>
          <w:rtl/>
        </w:rPr>
        <w:t>, ודבר זה אין ראוי לאומרו בפני עמי הארץ.</w:t>
      </w:r>
    </w:p>
    <w:p w14:paraId="4AE1173A" w14:textId="77777777" w:rsidR="004B607F" w:rsidRPr="00845316" w:rsidRDefault="004B607F" w:rsidP="004B0475">
      <w:pPr>
        <w:pStyle w:val="ac"/>
        <w:numPr>
          <w:ilvl w:val="0"/>
          <w:numId w:val="146"/>
        </w:numPr>
        <w:rPr>
          <w:rFonts w:asciiTheme="minorBidi" w:hAnsiTheme="minorBidi"/>
        </w:rPr>
      </w:pPr>
      <w:r w:rsidRPr="00845316">
        <w:rPr>
          <w:rFonts w:asciiTheme="minorBidi" w:hAnsiTheme="minorBidi"/>
          <w:rtl/>
        </w:rPr>
        <w:lastRenderedPageBreak/>
        <w:t xml:space="preserve">ר"ן </w:t>
      </w:r>
      <w:r w:rsidRPr="00845316">
        <w:rPr>
          <w:rFonts w:asciiTheme="minorBidi" w:hAnsiTheme="minorBidi"/>
          <w:sz w:val="16"/>
          <w:szCs w:val="16"/>
          <w:rtl/>
        </w:rPr>
        <w:t xml:space="preserve">(להב' הש"ך) </w:t>
      </w:r>
      <w:r w:rsidRPr="00845316">
        <w:rPr>
          <w:rFonts w:asciiTheme="minorBidi" w:hAnsiTheme="minorBidi"/>
          <w:rtl/>
        </w:rPr>
        <w:t>ורש"ל</w:t>
      </w:r>
      <w:r w:rsidRPr="00845316">
        <w:rPr>
          <w:rFonts w:asciiTheme="minorBidi" w:hAnsiTheme="minorBidi"/>
          <w:sz w:val="16"/>
          <w:szCs w:val="16"/>
          <w:rtl/>
        </w:rPr>
        <w:t xml:space="preserve"> (יש"ש ב"ק סי' מז)</w:t>
      </w:r>
      <w:r w:rsidRPr="00845316">
        <w:rPr>
          <w:rFonts w:asciiTheme="minorBidi" w:hAnsiTheme="minorBidi"/>
          <w:rtl/>
        </w:rPr>
        <w:t xml:space="preserve">- אינו פסול אא"כ נוכל לברר שבאמת לא היה אנוס, </w:t>
      </w:r>
      <w:r w:rsidRPr="00845316">
        <w:rPr>
          <w:rFonts w:asciiTheme="minorBidi" w:hAnsiTheme="minorBidi"/>
          <w:u w:val="single"/>
          <w:rtl/>
        </w:rPr>
        <w:t>וכן אם טוען שכחתי</w:t>
      </w:r>
      <w:r w:rsidRPr="00845316">
        <w:rPr>
          <w:rStyle w:val="ab"/>
          <w:rFonts w:asciiTheme="minorBidi" w:hAnsiTheme="minorBidi"/>
          <w:rtl/>
        </w:rPr>
        <w:footnoteReference w:id="2106"/>
      </w:r>
      <w:r w:rsidRPr="00845316">
        <w:rPr>
          <w:rFonts w:asciiTheme="minorBidi" w:hAnsiTheme="minorBidi"/>
          <w:rtl/>
        </w:rPr>
        <w:t xml:space="preserve">, ואין כאן עדים שהזהיר המלוה על הזמן, אין להוציאו מחזקתו. </w:t>
      </w:r>
    </w:p>
    <w:p w14:paraId="3844D68D" w14:textId="77777777" w:rsidR="004B607F" w:rsidRPr="00845316" w:rsidRDefault="004B607F" w:rsidP="004B607F">
      <w:pPr>
        <w:rPr>
          <w:rFonts w:asciiTheme="minorBidi" w:hAnsiTheme="minorBidi"/>
          <w:u w:val="single"/>
          <w:rtl/>
        </w:rPr>
      </w:pPr>
      <w:r w:rsidRPr="00845316">
        <w:rPr>
          <w:rFonts w:asciiTheme="minorBidi" w:hAnsiTheme="minorBidi"/>
          <w:u w:val="single"/>
          <w:rtl/>
        </w:rPr>
        <w:t>עשה שטר על הלוואה וגם נשבע עליה</w:t>
      </w:r>
      <w:r w:rsidRPr="00845316">
        <w:rPr>
          <w:rFonts w:asciiTheme="minorBidi" w:hAnsiTheme="minorBidi"/>
          <w:sz w:val="16"/>
          <w:szCs w:val="16"/>
          <w:u w:val="single"/>
          <w:rtl/>
        </w:rPr>
        <w:t xml:space="preserve"> (ושבועתו כתובה בשטר)</w:t>
      </w:r>
      <w:r w:rsidRPr="00845316">
        <w:rPr>
          <w:rFonts w:asciiTheme="minorBidi" w:hAnsiTheme="minorBidi"/>
          <w:u w:val="single"/>
          <w:rtl/>
        </w:rPr>
        <w:t>:</w:t>
      </w:r>
    </w:p>
    <w:p w14:paraId="43E7A7D4" w14:textId="77777777" w:rsidR="004B607F" w:rsidRPr="00757C33" w:rsidRDefault="004B607F" w:rsidP="004B0475">
      <w:pPr>
        <w:pStyle w:val="ac"/>
        <w:numPr>
          <w:ilvl w:val="0"/>
          <w:numId w:val="146"/>
        </w:numPr>
        <w:rPr>
          <w:rFonts w:asciiTheme="minorBidi" w:hAnsiTheme="minorBidi"/>
          <w:rtl/>
        </w:rPr>
      </w:pPr>
      <w:r w:rsidRPr="00845316">
        <w:rPr>
          <w:rFonts w:asciiTheme="minorBidi" w:hAnsiTheme="minorBidi"/>
          <w:rtl/>
        </w:rPr>
        <w:t>זכרון יהודה</w:t>
      </w:r>
      <w:r w:rsidRPr="00845316">
        <w:rPr>
          <w:rFonts w:asciiTheme="minorBidi" w:hAnsiTheme="minorBidi"/>
          <w:sz w:val="16"/>
          <w:szCs w:val="16"/>
          <w:rtl/>
        </w:rPr>
        <w:t xml:space="preserve"> (סי' יט)</w:t>
      </w:r>
      <w:r w:rsidRPr="00845316">
        <w:rPr>
          <w:rFonts w:asciiTheme="minorBidi" w:hAnsiTheme="minorBidi"/>
          <w:rtl/>
        </w:rPr>
        <w:t>- אם היתה השבועה כתובה בשטר ולא היה כתוב בו שלא יוכל לטעון שפרע</w:t>
      </w:r>
      <w:r>
        <w:rPr>
          <w:rFonts w:asciiTheme="minorBidi" w:hAnsiTheme="minorBidi" w:hint="cs"/>
          <w:rtl/>
        </w:rPr>
        <w:t>,</w:t>
      </w:r>
      <w:r w:rsidRPr="00757C33">
        <w:rPr>
          <w:rFonts w:asciiTheme="minorBidi" w:hAnsiTheme="minorBidi"/>
          <w:rtl/>
        </w:rPr>
        <w:t xml:space="preserve"> והיה אומר שקיים שבועתו ופרע</w:t>
      </w:r>
      <w:r>
        <w:rPr>
          <w:rFonts w:asciiTheme="minorBidi" w:hAnsiTheme="minorBidi" w:hint="cs"/>
          <w:rtl/>
        </w:rPr>
        <w:t>,</w:t>
      </w:r>
      <w:r w:rsidRPr="00757C33">
        <w:rPr>
          <w:rFonts w:asciiTheme="minorBidi" w:hAnsiTheme="minorBidi"/>
          <w:rtl/>
        </w:rPr>
        <w:t xml:space="preserve"> אע"פ שלא היינו יכולים לפסלו מחמת השבועה, דשמא פרע, מ"מ צריך לפרוע השטר.</w:t>
      </w:r>
    </w:p>
    <w:p w14:paraId="291E4A3B" w14:textId="77777777" w:rsidR="004B607F" w:rsidRPr="00845316" w:rsidRDefault="004B607F" w:rsidP="004B607F">
      <w:pPr>
        <w:jc w:val="both"/>
        <w:rPr>
          <w:rFonts w:asciiTheme="minorBidi" w:hAnsiTheme="minorBidi"/>
          <w:rtl/>
        </w:rPr>
      </w:pPr>
      <w:r w:rsidRPr="00845316">
        <w:rPr>
          <w:rFonts w:asciiTheme="minorBidi" w:hAnsiTheme="minorBidi"/>
          <w:b/>
          <w:bCs/>
          <w:sz w:val="32"/>
          <w:szCs w:val="28"/>
          <w:u w:val="single"/>
          <w:rtl/>
        </w:rPr>
        <w:t xml:space="preserve">שו"ע: </w:t>
      </w:r>
    </w:p>
    <w:p w14:paraId="0A128796" w14:textId="77777777" w:rsidR="004B607F" w:rsidRPr="00845316" w:rsidRDefault="004B607F" w:rsidP="004B607F">
      <w:pPr>
        <w:rPr>
          <w:rFonts w:asciiTheme="minorBidi" w:hAnsiTheme="minorBidi"/>
          <w:rtl/>
        </w:rPr>
      </w:pPr>
      <w:r w:rsidRPr="00845316">
        <w:rPr>
          <w:rFonts w:asciiTheme="minorBidi" w:hAnsiTheme="minorBidi"/>
          <w:rtl/>
        </w:rPr>
        <w:t>העובר על השבועה אחד שבועת שוא ואחד שבועת שקר של ממון וביטוי פסול, ואפילו עבר על חרם שהחרימו הקהל. וי"א שאינו נפסל אלא דוקא בשבועה דלשעבר דבשעה שיצתה שבועה מפיו יצאה לשקר, אבל בשבועה דלהבא כגון שלא אוכל ואכל לא</w:t>
      </w:r>
      <w:r w:rsidRPr="00845316">
        <w:rPr>
          <w:rStyle w:val="ab"/>
          <w:rFonts w:asciiTheme="minorBidi" w:hAnsiTheme="minorBidi"/>
          <w:rtl/>
        </w:rPr>
        <w:footnoteReference w:id="2107"/>
      </w:r>
      <w:r w:rsidRPr="00845316">
        <w:rPr>
          <w:rFonts w:asciiTheme="minorBidi" w:hAnsiTheme="minorBidi"/>
          <w:rtl/>
        </w:rPr>
        <w:t xml:space="preserve">. </w:t>
      </w:r>
      <w:r w:rsidRPr="00845316">
        <w:rPr>
          <w:rFonts w:asciiTheme="minorBidi" w:hAnsiTheme="minorBidi"/>
          <w:sz w:val="18"/>
          <w:szCs w:val="18"/>
          <w:rtl/>
        </w:rPr>
        <w:t>הגה: מי שבאו עדים שעבר על שבועתו אינו נאמן לומר שוגג או אנוס</w:t>
      </w:r>
      <w:r w:rsidRPr="00845316">
        <w:rPr>
          <w:rStyle w:val="ab"/>
          <w:rFonts w:asciiTheme="minorBidi" w:hAnsiTheme="minorBidi"/>
          <w:sz w:val="18"/>
          <w:szCs w:val="18"/>
          <w:rtl/>
        </w:rPr>
        <w:footnoteReference w:id="2108"/>
      </w:r>
      <w:r w:rsidRPr="00845316">
        <w:rPr>
          <w:rFonts w:asciiTheme="minorBidi" w:hAnsiTheme="minorBidi"/>
          <w:sz w:val="18"/>
          <w:szCs w:val="18"/>
          <w:rtl/>
        </w:rPr>
        <w:t xml:space="preserve"> הייתי להכשיר עצמו</w:t>
      </w:r>
      <w:r w:rsidRPr="00845316">
        <w:rPr>
          <w:rStyle w:val="ab"/>
          <w:rFonts w:asciiTheme="minorBidi" w:hAnsiTheme="minorBidi"/>
          <w:sz w:val="18"/>
          <w:szCs w:val="18"/>
          <w:rtl/>
        </w:rPr>
        <w:footnoteReference w:id="2109"/>
      </w:r>
      <w:r w:rsidRPr="00845316">
        <w:rPr>
          <w:rFonts w:asciiTheme="minorBidi" w:hAnsiTheme="minorBidi"/>
          <w:sz w:val="18"/>
          <w:szCs w:val="18"/>
          <w:rtl/>
        </w:rPr>
        <w:t xml:space="preserve"> (ב"י בשם רשב"א). </w:t>
      </w:r>
    </w:p>
    <w:p w14:paraId="03E84A48" w14:textId="77777777" w:rsidR="004B607F" w:rsidRPr="00845316" w:rsidRDefault="004B607F" w:rsidP="004B607F">
      <w:pPr>
        <w:rPr>
          <w:rFonts w:asciiTheme="minorBidi" w:hAnsiTheme="minorBidi"/>
          <w:rtl/>
        </w:rPr>
      </w:pPr>
      <w:r w:rsidRPr="00845316">
        <w:rPr>
          <w:rFonts w:asciiTheme="minorBidi" w:hAnsiTheme="minorBidi"/>
          <w:u w:val="single"/>
          <w:rtl/>
        </w:rPr>
        <w:t>אדם שמוציא שם שמים לבטלה:</w:t>
      </w:r>
      <w:r w:rsidRPr="00845316">
        <w:rPr>
          <w:rFonts w:asciiTheme="minorBidi" w:hAnsiTheme="minorBidi"/>
          <w:rtl/>
        </w:rPr>
        <w:t xml:space="preserve"> </w:t>
      </w:r>
      <w:r w:rsidRPr="00845316">
        <w:rPr>
          <w:rFonts w:asciiTheme="minorBidi" w:hAnsiTheme="minorBidi"/>
          <w:sz w:val="16"/>
          <w:szCs w:val="16"/>
          <w:rtl/>
        </w:rPr>
        <w:t xml:space="preserve">(פת"ש סקי"ב) </w:t>
      </w:r>
    </w:p>
    <w:p w14:paraId="017655E5" w14:textId="77777777" w:rsidR="004B607F" w:rsidRPr="00845316" w:rsidRDefault="004B607F" w:rsidP="004B0475">
      <w:pPr>
        <w:pStyle w:val="ac"/>
        <w:numPr>
          <w:ilvl w:val="0"/>
          <w:numId w:val="146"/>
        </w:numPr>
        <w:rPr>
          <w:rFonts w:asciiTheme="minorBidi" w:hAnsiTheme="minorBidi"/>
          <w:rtl/>
        </w:rPr>
      </w:pPr>
      <w:r w:rsidRPr="00845316">
        <w:rPr>
          <w:rFonts w:asciiTheme="minorBidi" w:hAnsiTheme="minorBidi"/>
          <w:rtl/>
        </w:rPr>
        <w:t>(בה"ג ור"ת</w:t>
      </w:r>
      <w:r w:rsidRPr="00845316">
        <w:rPr>
          <w:rFonts w:asciiTheme="minorBidi" w:hAnsiTheme="minorBidi"/>
          <w:sz w:val="16"/>
          <w:szCs w:val="16"/>
          <w:rtl/>
        </w:rPr>
        <w:t xml:space="preserve"> להב' הברכ"י [אות יז]</w:t>
      </w:r>
      <w:r w:rsidRPr="00845316">
        <w:rPr>
          <w:rFonts w:asciiTheme="minorBidi" w:hAnsiTheme="minorBidi"/>
          <w:rtl/>
        </w:rPr>
        <w:t>)- כשר. (וכ"פ הברכ"י)</w:t>
      </w:r>
    </w:p>
    <w:p w14:paraId="33C9EC56" w14:textId="77777777" w:rsidR="004B607F" w:rsidRPr="00845316" w:rsidRDefault="004B607F" w:rsidP="004B0475">
      <w:pPr>
        <w:pStyle w:val="ac"/>
        <w:numPr>
          <w:ilvl w:val="0"/>
          <w:numId w:val="146"/>
        </w:numPr>
        <w:rPr>
          <w:rFonts w:asciiTheme="minorBidi" w:hAnsiTheme="minorBidi"/>
        </w:rPr>
      </w:pPr>
      <w:r w:rsidRPr="00845316">
        <w:rPr>
          <w:rFonts w:asciiTheme="minorBidi" w:hAnsiTheme="minorBidi"/>
          <w:rtl/>
        </w:rPr>
        <w:t xml:space="preserve">(רמ"א </w:t>
      </w:r>
      <w:r w:rsidRPr="00845316">
        <w:rPr>
          <w:rFonts w:asciiTheme="minorBidi" w:hAnsiTheme="minorBidi"/>
          <w:sz w:val="16"/>
          <w:szCs w:val="16"/>
          <w:rtl/>
        </w:rPr>
        <w:t>[בתשו' סי' יב] להב' כנה"ג [אות יח]</w:t>
      </w:r>
      <w:r w:rsidRPr="00845316">
        <w:rPr>
          <w:rFonts w:asciiTheme="minorBidi" w:hAnsiTheme="minorBidi"/>
          <w:rtl/>
        </w:rPr>
        <w:t>)- פסול לעדות</w:t>
      </w:r>
      <w:r w:rsidRPr="00845316">
        <w:rPr>
          <w:rStyle w:val="ab"/>
          <w:rFonts w:asciiTheme="minorBidi" w:hAnsiTheme="minorBidi"/>
          <w:rtl/>
        </w:rPr>
        <w:footnoteReference w:id="2110"/>
      </w:r>
      <w:r w:rsidRPr="00845316">
        <w:rPr>
          <w:rFonts w:asciiTheme="minorBidi" w:hAnsiTheme="minorBidi"/>
          <w:rtl/>
        </w:rPr>
        <w:t xml:space="preserve">.  </w:t>
      </w:r>
    </w:p>
    <w:p w14:paraId="647C7748" w14:textId="77777777" w:rsidR="004B607F" w:rsidRPr="00845316" w:rsidRDefault="004B607F" w:rsidP="004B607F">
      <w:pPr>
        <w:rPr>
          <w:rFonts w:asciiTheme="minorBidi" w:hAnsiTheme="minorBidi"/>
          <w:u w:val="single"/>
          <w:rtl/>
        </w:rPr>
      </w:pPr>
      <w:r w:rsidRPr="00845316">
        <w:rPr>
          <w:rFonts w:asciiTheme="minorBidi" w:hAnsiTheme="minorBidi"/>
          <w:u w:val="single"/>
          <w:rtl/>
        </w:rPr>
        <w:t>עדים שהעידו בפני ב"ד על ידיעה שיש להם שנשבעו לא לספר אותה לשום אדם</w:t>
      </w:r>
      <w:r>
        <w:rPr>
          <w:rFonts w:asciiTheme="minorBidi" w:hAnsiTheme="minorBidi" w:hint="cs"/>
          <w:u w:val="single"/>
          <w:rtl/>
        </w:rPr>
        <w:t xml:space="preserve"> </w:t>
      </w:r>
      <w:r w:rsidRPr="00845316">
        <w:rPr>
          <w:rFonts w:asciiTheme="minorBidi" w:hAnsiTheme="minorBidi"/>
          <w:u w:val="single"/>
          <w:rtl/>
        </w:rPr>
        <w:t>- מה דין העדים ומה דין השבועה:</w:t>
      </w:r>
    </w:p>
    <w:p w14:paraId="15F8FAE9" w14:textId="77777777" w:rsidR="004B607F" w:rsidRPr="00845316" w:rsidRDefault="004B607F" w:rsidP="004B0475">
      <w:pPr>
        <w:pStyle w:val="ac"/>
        <w:numPr>
          <w:ilvl w:val="0"/>
          <w:numId w:val="146"/>
        </w:numPr>
        <w:rPr>
          <w:rFonts w:asciiTheme="minorBidi" w:hAnsiTheme="minorBidi"/>
        </w:rPr>
      </w:pPr>
      <w:r w:rsidRPr="00845316">
        <w:rPr>
          <w:rFonts w:asciiTheme="minorBidi" w:hAnsiTheme="minorBidi"/>
          <w:rtl/>
        </w:rPr>
        <w:t xml:space="preserve">ר' משה רוטנבורג </w:t>
      </w:r>
      <w:r w:rsidRPr="00845316">
        <w:rPr>
          <w:rFonts w:asciiTheme="minorBidi" w:hAnsiTheme="minorBidi"/>
          <w:sz w:val="16"/>
          <w:szCs w:val="16"/>
          <w:rtl/>
        </w:rPr>
        <w:t>(סי' ה, הובא בפת"ש סקי"ד)</w:t>
      </w:r>
      <w:r w:rsidRPr="00845316">
        <w:rPr>
          <w:rFonts w:asciiTheme="minorBidi" w:hAnsiTheme="minorBidi"/>
          <w:rtl/>
        </w:rPr>
        <w:t xml:space="preserve">- </w:t>
      </w:r>
      <w:r w:rsidRPr="00845316">
        <w:rPr>
          <w:rFonts w:asciiTheme="minorBidi" w:hAnsiTheme="minorBidi"/>
          <w:u w:val="single"/>
          <w:rtl/>
        </w:rPr>
        <w:t>העדים נפסלו מלהעיד מכאן ולהבא</w:t>
      </w:r>
      <w:r w:rsidRPr="00845316">
        <w:rPr>
          <w:rFonts w:asciiTheme="minorBidi" w:hAnsiTheme="minorBidi"/>
          <w:rtl/>
        </w:rPr>
        <w:t>, כיון שפירשו בשבועתן שלא לגלות לשום אדם, ודאי שהשבועה חלה ואסורים להעיד אפילו בפני ב"ד, וא"כ במה שהעידו עדותן בפני ב"ד עברו על שבועתן</w:t>
      </w:r>
      <w:r w:rsidRPr="00845316">
        <w:rPr>
          <w:rStyle w:val="ab"/>
          <w:rFonts w:asciiTheme="minorBidi" w:hAnsiTheme="minorBidi"/>
          <w:rtl/>
        </w:rPr>
        <w:footnoteReference w:id="2111"/>
      </w:r>
      <w:r w:rsidRPr="00845316">
        <w:rPr>
          <w:rFonts w:asciiTheme="minorBidi" w:hAnsiTheme="minorBidi"/>
          <w:rtl/>
        </w:rPr>
        <w:t xml:space="preserve">, </w:t>
      </w:r>
      <w:r w:rsidRPr="00845316">
        <w:rPr>
          <w:rFonts w:asciiTheme="minorBidi" w:hAnsiTheme="minorBidi"/>
          <w:sz w:val="16"/>
          <w:szCs w:val="16"/>
          <w:rtl/>
        </w:rPr>
        <w:t>(ואין לומר דהני עדים לא מיפסלי בהגדתן לפני ב"ד משום דסברי מצוה קעבדי, דהכא לא שייך לומר דעל זה סמכו העדים לעבור על שבועתן משום דסברי דהוא מצוה ולא חלה השבועה מעיקרא, דהרי מעיקרא אישתבעי אישתבעו עליה, ובודאי כל כי האי לא הוה להו לעשות שלא על פי הוראת חכם, ואינו דומה כלל לקוברי המת דאפשר דלא היה שום ספק אצלם, ואדרבה חשבוהו למצוה, משא"כ בעדים אלו כיון שנשבעו מתחילה על זה הרי דלא חשבוהו למצוה כו')</w:t>
      </w:r>
      <w:r w:rsidRPr="00845316">
        <w:rPr>
          <w:rFonts w:asciiTheme="minorBidi" w:hAnsiTheme="minorBidi"/>
          <w:rtl/>
        </w:rPr>
        <w:t xml:space="preserve"> </w:t>
      </w:r>
      <w:r w:rsidRPr="00845316">
        <w:rPr>
          <w:rFonts w:asciiTheme="minorBidi" w:hAnsiTheme="minorBidi"/>
          <w:u w:val="single"/>
          <w:rtl/>
        </w:rPr>
        <w:t>ופשוט דגם עדות זאת נפסלת</w:t>
      </w:r>
      <w:r w:rsidRPr="00845316">
        <w:rPr>
          <w:rFonts w:asciiTheme="minorBidi" w:hAnsiTheme="minorBidi"/>
          <w:rtl/>
        </w:rPr>
        <w:t xml:space="preserve">. </w:t>
      </w:r>
    </w:p>
    <w:p w14:paraId="0BBE6E1A" w14:textId="77777777" w:rsidR="004B607F" w:rsidRPr="00845316" w:rsidRDefault="004B607F" w:rsidP="004B607F">
      <w:pPr>
        <w:rPr>
          <w:rFonts w:asciiTheme="minorBidi" w:hAnsiTheme="minorBidi"/>
          <w:sz w:val="16"/>
          <w:szCs w:val="16"/>
        </w:rPr>
      </w:pPr>
      <w:r w:rsidRPr="00845316">
        <w:rPr>
          <w:rFonts w:asciiTheme="minorBidi" w:hAnsiTheme="minorBidi"/>
          <w:u w:val="single"/>
          <w:rtl/>
        </w:rPr>
        <w:t>נשבע על זמן שיכול להתפרש בשני אופנים:</w:t>
      </w:r>
      <w:r w:rsidRPr="00845316">
        <w:rPr>
          <w:rFonts w:asciiTheme="minorBidi" w:hAnsiTheme="minorBidi"/>
          <w:rtl/>
        </w:rPr>
        <w:t xml:space="preserve"> </w:t>
      </w:r>
      <w:r w:rsidRPr="00845316">
        <w:rPr>
          <w:rFonts w:asciiTheme="minorBidi" w:hAnsiTheme="minorBidi"/>
          <w:sz w:val="16"/>
          <w:szCs w:val="16"/>
          <w:rtl/>
        </w:rPr>
        <w:t>(פת"ש סקט"ו)</w:t>
      </w:r>
    </w:p>
    <w:p w14:paraId="23928A6D" w14:textId="77777777" w:rsidR="004B607F" w:rsidRPr="00845316" w:rsidRDefault="004B607F" w:rsidP="004B0475">
      <w:pPr>
        <w:pStyle w:val="ac"/>
        <w:numPr>
          <w:ilvl w:val="0"/>
          <w:numId w:val="146"/>
        </w:numPr>
        <w:rPr>
          <w:rFonts w:asciiTheme="minorBidi" w:hAnsiTheme="minorBidi"/>
          <w:rtl/>
        </w:rPr>
      </w:pPr>
      <w:r w:rsidRPr="00845316">
        <w:rPr>
          <w:rFonts w:asciiTheme="minorBidi" w:hAnsiTheme="minorBidi"/>
          <w:rtl/>
        </w:rPr>
        <w:t>שבות יעקב</w:t>
      </w:r>
      <w:r w:rsidRPr="00845316">
        <w:rPr>
          <w:rFonts w:asciiTheme="minorBidi" w:hAnsiTheme="minorBidi"/>
          <w:sz w:val="16"/>
          <w:szCs w:val="16"/>
          <w:rtl/>
        </w:rPr>
        <w:t xml:space="preserve"> (ח"ב סי' קעב)</w:t>
      </w:r>
      <w:r w:rsidRPr="00845316">
        <w:rPr>
          <w:rFonts w:asciiTheme="minorBidi" w:hAnsiTheme="minorBidi"/>
          <w:rtl/>
        </w:rPr>
        <w:t xml:space="preserve">- מי שנשבע על העבר, שנתן דבר לפלוני בר"ח אדר בעיר פלוני, ואח"כ נתברר שביום ר"ח הראשון לא היה באותה עיר, אין לנו לפסול אותו בשביל כך אף לדעת הש"ך </w:t>
      </w:r>
      <w:r w:rsidRPr="00845316">
        <w:rPr>
          <w:rFonts w:asciiTheme="minorBidi" w:hAnsiTheme="minorBidi"/>
          <w:sz w:val="16"/>
          <w:szCs w:val="16"/>
          <w:rtl/>
        </w:rPr>
        <w:t>(סי' ע"ג סקל"ב)</w:t>
      </w:r>
      <w:r w:rsidRPr="00845316">
        <w:rPr>
          <w:rFonts w:asciiTheme="minorBidi" w:hAnsiTheme="minorBidi"/>
          <w:rtl/>
        </w:rPr>
        <w:t xml:space="preserve"> דהנשבע לפרוע בר"ח אדר חייב לפרוע ביום החודש הראשון מעיקר הדין משום דקרו ליה אינשי ריש ירחא, מ"מ אין לפוסלו דיעבד כיון דיוכל להתנצל שכונתו היתה על ר"ח השני</w:t>
      </w:r>
      <w:r>
        <w:rPr>
          <w:rFonts w:asciiTheme="minorBidi" w:hAnsiTheme="minorBidi" w:hint="cs"/>
          <w:rtl/>
        </w:rPr>
        <w:t>,</w:t>
      </w:r>
      <w:r w:rsidRPr="00845316">
        <w:rPr>
          <w:rFonts w:asciiTheme="minorBidi" w:hAnsiTheme="minorBidi"/>
          <w:rtl/>
        </w:rPr>
        <w:t xml:space="preserve"> ולאו כו"ע דיני גמירי.</w:t>
      </w:r>
    </w:p>
    <w:p w14:paraId="47D54D2A" w14:textId="77777777" w:rsidR="004B607F" w:rsidRPr="00845316" w:rsidRDefault="004B607F" w:rsidP="004B607F">
      <w:pPr>
        <w:rPr>
          <w:rFonts w:asciiTheme="minorBidi" w:hAnsiTheme="minorBidi"/>
          <w:rtl/>
        </w:rPr>
      </w:pPr>
    </w:p>
    <w:p w14:paraId="5CFE2EBB" w14:textId="77777777" w:rsidR="004B607F" w:rsidRPr="00845316" w:rsidRDefault="004B607F" w:rsidP="004B607F">
      <w:pPr>
        <w:pStyle w:val="2"/>
        <w:rPr>
          <w:rFonts w:asciiTheme="minorBidi" w:hAnsiTheme="minorBidi"/>
          <w:rtl/>
        </w:rPr>
      </w:pPr>
      <w:bookmarkStart w:id="287" w:name="_Toc24883753"/>
      <w:r w:rsidRPr="00845316">
        <w:rPr>
          <w:rFonts w:asciiTheme="minorBidi" w:hAnsiTheme="minorBidi"/>
          <w:rtl/>
        </w:rPr>
        <w:t>סעיף ו: טבח שיצאה נבילה/טריפה תחת ידו.</w:t>
      </w:r>
      <w:bookmarkEnd w:id="287"/>
    </w:p>
    <w:p w14:paraId="1E539A0C" w14:textId="77777777" w:rsidR="004B607F" w:rsidRPr="00845316" w:rsidRDefault="004B607F" w:rsidP="004B607F">
      <w:pPr>
        <w:rPr>
          <w:rFonts w:asciiTheme="minorBidi" w:hAnsiTheme="minorBidi"/>
          <w:rtl/>
        </w:rPr>
      </w:pPr>
      <w:r w:rsidRPr="00845316">
        <w:rPr>
          <w:rFonts w:asciiTheme="minorBidi" w:hAnsiTheme="minorBidi"/>
          <w:b/>
          <w:bCs/>
          <w:rtl/>
        </w:rPr>
        <w:t xml:space="preserve">סנהדרין כה ע"א: </w:t>
      </w:r>
      <w:r w:rsidRPr="00845316">
        <w:rPr>
          <w:rFonts w:asciiTheme="minorBidi" w:hAnsiTheme="minorBidi"/>
          <w:rtl/>
        </w:rPr>
        <w:t>ההוא טבחא דאישתכח דנפקא טריפתא מתותי ידיה, פסליה רב נחמן ועבריה.</w:t>
      </w:r>
    </w:p>
    <w:p w14:paraId="0849773C" w14:textId="77777777" w:rsidR="004B607F" w:rsidRPr="00845316" w:rsidRDefault="004B607F" w:rsidP="004B607F">
      <w:pPr>
        <w:rPr>
          <w:rFonts w:asciiTheme="minorBidi" w:hAnsiTheme="minorBidi"/>
          <w:u w:val="single"/>
          <w:rtl/>
        </w:rPr>
      </w:pPr>
      <w:r w:rsidRPr="00845316">
        <w:rPr>
          <w:rFonts w:asciiTheme="minorBidi" w:hAnsiTheme="minorBidi"/>
          <w:u w:val="single"/>
          <w:rtl/>
        </w:rPr>
        <w:t>מה דינו של טבח שבדק לאחרים</w:t>
      </w:r>
      <w:r w:rsidRPr="00845316">
        <w:rPr>
          <w:rStyle w:val="ab"/>
          <w:rFonts w:asciiTheme="minorBidi" w:hAnsiTheme="minorBidi"/>
          <w:u w:val="single"/>
          <w:rtl/>
        </w:rPr>
        <w:footnoteReference w:id="2112"/>
      </w:r>
      <w:r w:rsidRPr="00845316">
        <w:rPr>
          <w:rFonts w:asciiTheme="minorBidi" w:hAnsiTheme="minorBidi"/>
          <w:u w:val="single"/>
          <w:rtl/>
        </w:rPr>
        <w:t xml:space="preserve"> וגרם שתצא טריפה תחת ידם:</w:t>
      </w:r>
    </w:p>
    <w:p w14:paraId="056FE71B" w14:textId="77777777" w:rsidR="004B607F" w:rsidRPr="00845316" w:rsidRDefault="004B607F" w:rsidP="004B0475">
      <w:pPr>
        <w:pStyle w:val="ac"/>
        <w:numPr>
          <w:ilvl w:val="0"/>
          <w:numId w:val="146"/>
        </w:numPr>
        <w:rPr>
          <w:rFonts w:asciiTheme="minorBidi" w:hAnsiTheme="minorBidi"/>
        </w:rPr>
      </w:pPr>
      <w:r w:rsidRPr="00845316">
        <w:rPr>
          <w:rFonts w:asciiTheme="minorBidi" w:hAnsiTheme="minorBidi"/>
          <w:rtl/>
        </w:rPr>
        <w:lastRenderedPageBreak/>
        <w:t>(רמב"ם</w:t>
      </w:r>
      <w:r w:rsidRPr="00845316">
        <w:rPr>
          <w:rFonts w:asciiTheme="minorBidi" w:hAnsiTheme="minorBidi"/>
          <w:sz w:val="16"/>
          <w:szCs w:val="16"/>
          <w:rtl/>
        </w:rPr>
        <w:t xml:space="preserve"> </w:t>
      </w:r>
      <w:r w:rsidRPr="00845316">
        <w:rPr>
          <w:rFonts w:asciiTheme="minorBidi" w:hAnsiTheme="minorBidi"/>
          <w:sz w:val="14"/>
          <w:szCs w:val="14"/>
          <w:rtl/>
        </w:rPr>
        <w:t>[עדות פי"ב ה"ט]</w:t>
      </w:r>
      <w:r w:rsidRPr="00845316">
        <w:rPr>
          <w:rFonts w:asciiTheme="minorBidi" w:hAnsiTheme="minorBidi"/>
          <w:sz w:val="16"/>
          <w:szCs w:val="16"/>
          <w:rtl/>
        </w:rPr>
        <w:t xml:space="preserve"> להב' הב"י</w:t>
      </w:r>
      <w:r w:rsidRPr="00845316">
        <w:rPr>
          <w:rFonts w:asciiTheme="minorBidi" w:hAnsiTheme="minorBidi"/>
          <w:rtl/>
        </w:rPr>
        <w:t>)- פסול לעדות</w:t>
      </w:r>
      <w:r w:rsidRPr="00845316">
        <w:rPr>
          <w:rStyle w:val="ab"/>
          <w:rFonts w:asciiTheme="minorBidi" w:hAnsiTheme="minorBidi"/>
          <w:rtl/>
        </w:rPr>
        <w:footnoteReference w:id="2113"/>
      </w:r>
      <w:r>
        <w:rPr>
          <w:rFonts w:asciiTheme="minorBidi" w:hAnsiTheme="minorBidi" w:hint="cs"/>
          <w:rtl/>
        </w:rPr>
        <w:t>.</w:t>
      </w:r>
      <w:r w:rsidRPr="00845316">
        <w:rPr>
          <w:rFonts w:asciiTheme="minorBidi" w:hAnsiTheme="minorBidi"/>
          <w:rtl/>
        </w:rPr>
        <w:t xml:space="preserve"> ומ"מ יש הפרש בינו לבין טבח שבדק לעצמו והוציא טריפה מתחת ידו, שזה שבדק לאחרים </w:t>
      </w:r>
      <w:r>
        <w:rPr>
          <w:rFonts w:asciiTheme="minorBidi" w:hAnsiTheme="minorBidi" w:hint="cs"/>
          <w:rtl/>
        </w:rPr>
        <w:t xml:space="preserve">- </w:t>
      </w:r>
      <w:r w:rsidRPr="00845316">
        <w:rPr>
          <w:rFonts w:asciiTheme="minorBidi" w:hAnsiTheme="minorBidi"/>
          <w:rtl/>
        </w:rPr>
        <w:t>עושה תשובה ומתכפר לו, ואילו זה שבדק לעצמו לא מתכפר לו</w:t>
      </w:r>
      <w:r>
        <w:rPr>
          <w:rFonts w:asciiTheme="minorBidi" w:hAnsiTheme="minorBidi" w:hint="cs"/>
          <w:rtl/>
        </w:rPr>
        <w:t xml:space="preserve"> </w:t>
      </w:r>
      <w:r w:rsidRPr="00845316">
        <w:rPr>
          <w:rFonts w:asciiTheme="minorBidi" w:hAnsiTheme="minorBidi"/>
          <w:rtl/>
        </w:rPr>
        <w:t>- "עד שיראה ממעשיו שניחם על רעתו, וילבש שחורים ויכסה שחורים וילך למקום שאין מכירין אותו ויחזיר אבדה בממון חשוב, או יוציא טרפה מתחת ידו בדבר חשוב"</w:t>
      </w:r>
      <w:r w:rsidRPr="00845316">
        <w:rPr>
          <w:rFonts w:asciiTheme="minorBidi" w:hAnsiTheme="minorBidi"/>
          <w:sz w:val="16"/>
          <w:szCs w:val="16"/>
          <w:rtl/>
        </w:rPr>
        <w:t xml:space="preserve"> </w:t>
      </w:r>
      <w:r w:rsidRPr="00845316">
        <w:rPr>
          <w:rFonts w:asciiTheme="minorBidi" w:hAnsiTheme="minorBidi"/>
          <w:sz w:val="14"/>
          <w:szCs w:val="14"/>
          <w:rtl/>
        </w:rPr>
        <w:t>(ל' הרמב"ם)</w:t>
      </w:r>
      <w:r w:rsidRPr="00845316">
        <w:rPr>
          <w:rFonts w:asciiTheme="minorBidi" w:hAnsiTheme="minorBidi"/>
          <w:rtl/>
        </w:rPr>
        <w:t>. (וכ"פ באה"ג)</w:t>
      </w:r>
    </w:p>
    <w:p w14:paraId="3101B407" w14:textId="77777777" w:rsidR="004B607F" w:rsidRPr="00845316" w:rsidRDefault="004B607F" w:rsidP="004B0475">
      <w:pPr>
        <w:pStyle w:val="ac"/>
        <w:numPr>
          <w:ilvl w:val="0"/>
          <w:numId w:val="146"/>
        </w:numPr>
        <w:rPr>
          <w:rFonts w:asciiTheme="minorBidi" w:hAnsiTheme="minorBidi"/>
          <w:rtl/>
        </w:rPr>
      </w:pPr>
      <w:r w:rsidRPr="00845316">
        <w:rPr>
          <w:rFonts w:asciiTheme="minorBidi" w:hAnsiTheme="minorBidi"/>
          <w:rtl/>
        </w:rPr>
        <w:t>(תוס'</w:t>
      </w:r>
      <w:r w:rsidRPr="00845316">
        <w:rPr>
          <w:rFonts w:asciiTheme="minorBidi" w:hAnsiTheme="minorBidi"/>
          <w:sz w:val="16"/>
          <w:szCs w:val="16"/>
          <w:rtl/>
        </w:rPr>
        <w:t xml:space="preserve"> להב' הב"י</w:t>
      </w:r>
      <w:r w:rsidRPr="00845316">
        <w:rPr>
          <w:rStyle w:val="ab"/>
          <w:rFonts w:asciiTheme="minorBidi" w:hAnsiTheme="minorBidi"/>
          <w:rtl/>
        </w:rPr>
        <w:footnoteReference w:id="2114"/>
      </w:r>
      <w:r w:rsidRPr="00845316">
        <w:rPr>
          <w:rFonts w:asciiTheme="minorBidi" w:hAnsiTheme="minorBidi"/>
          <w:rtl/>
        </w:rPr>
        <w:t>)- פסול לעדות, ואינו נכשר לעדות עד שילך למקום וכו' ויחזיר אבידה או יוציא טריפה וכו', דבטבח חיישינן דלמא איערומי מערים כדי שיחזירוהו לאומנותו, לא שנא בודק לעצמו או לאחרים, ואפילו לא נטל שכר על כך כיון דעדות שקר העיד לא מתכשר לעדות עד שילך למקום וכו' כחמור שבפסולים.</w:t>
      </w:r>
    </w:p>
    <w:p w14:paraId="29643361" w14:textId="77777777" w:rsidR="004B607F" w:rsidRPr="00845316" w:rsidRDefault="004B607F" w:rsidP="004B0475">
      <w:pPr>
        <w:pStyle w:val="ac"/>
        <w:numPr>
          <w:ilvl w:val="0"/>
          <w:numId w:val="146"/>
        </w:numPr>
        <w:rPr>
          <w:rFonts w:asciiTheme="minorBidi" w:hAnsiTheme="minorBidi"/>
          <w:rtl/>
        </w:rPr>
      </w:pPr>
      <w:r w:rsidRPr="00845316">
        <w:rPr>
          <w:rFonts w:asciiTheme="minorBidi" w:hAnsiTheme="minorBidi"/>
          <w:rtl/>
        </w:rPr>
        <w:t>(רמב"ם</w:t>
      </w:r>
      <w:r w:rsidRPr="00845316">
        <w:rPr>
          <w:rFonts w:asciiTheme="minorBidi" w:hAnsiTheme="minorBidi"/>
          <w:sz w:val="16"/>
          <w:szCs w:val="16"/>
          <w:rtl/>
        </w:rPr>
        <w:t xml:space="preserve"> להב' הטור וסמ"ע </w:t>
      </w:r>
      <w:r w:rsidRPr="00845316">
        <w:rPr>
          <w:rFonts w:asciiTheme="minorBidi" w:hAnsiTheme="minorBidi"/>
          <w:sz w:val="14"/>
          <w:szCs w:val="14"/>
          <w:rtl/>
        </w:rPr>
        <w:t>[סקט"ז]</w:t>
      </w:r>
      <w:r w:rsidRPr="00845316">
        <w:rPr>
          <w:rFonts w:asciiTheme="minorBidi" w:hAnsiTheme="minorBidi"/>
          <w:rtl/>
        </w:rPr>
        <w:t>) ורא"ש</w:t>
      </w:r>
      <w:r w:rsidRPr="00845316">
        <w:rPr>
          <w:rFonts w:asciiTheme="minorBidi" w:hAnsiTheme="minorBidi"/>
          <w:sz w:val="16"/>
          <w:szCs w:val="16"/>
          <w:rtl/>
        </w:rPr>
        <w:t xml:space="preserve"> (סנהדרין סי' י)</w:t>
      </w:r>
      <w:r w:rsidRPr="00845316">
        <w:rPr>
          <w:rFonts w:asciiTheme="minorBidi" w:hAnsiTheme="minorBidi"/>
          <w:rtl/>
        </w:rPr>
        <w:t>- כשר לעדות. (וכ"פ הסמ"ע)</w:t>
      </w:r>
    </w:p>
    <w:p w14:paraId="0413EAFB" w14:textId="77777777" w:rsidR="004B607F" w:rsidRPr="00845316" w:rsidRDefault="004B607F" w:rsidP="004B607F">
      <w:pPr>
        <w:jc w:val="both"/>
        <w:rPr>
          <w:rFonts w:asciiTheme="minorBidi" w:hAnsiTheme="minorBidi"/>
          <w:rtl/>
        </w:rPr>
      </w:pPr>
      <w:r w:rsidRPr="00845316">
        <w:rPr>
          <w:rFonts w:asciiTheme="minorBidi" w:hAnsiTheme="minorBidi"/>
          <w:b/>
          <w:bCs/>
          <w:sz w:val="32"/>
          <w:szCs w:val="28"/>
          <w:u w:val="single"/>
          <w:rtl/>
        </w:rPr>
        <w:t xml:space="preserve">שו"ע: </w:t>
      </w:r>
    </w:p>
    <w:p w14:paraId="0B2A5164" w14:textId="77777777" w:rsidR="004B607F" w:rsidRPr="00845316" w:rsidRDefault="004B607F" w:rsidP="004B607F">
      <w:pPr>
        <w:rPr>
          <w:rFonts w:asciiTheme="minorBidi" w:hAnsiTheme="minorBidi"/>
          <w:rtl/>
        </w:rPr>
      </w:pPr>
      <w:r w:rsidRPr="00845316">
        <w:rPr>
          <w:rFonts w:asciiTheme="minorBidi" w:hAnsiTheme="minorBidi"/>
          <w:rtl/>
        </w:rPr>
        <w:t>טבח שיצתה נבילה או טריפה מתחת ידו פסול</w:t>
      </w:r>
      <w:r w:rsidRPr="00845316">
        <w:rPr>
          <w:rStyle w:val="ab"/>
          <w:rFonts w:asciiTheme="minorBidi" w:hAnsiTheme="minorBidi"/>
          <w:rtl/>
        </w:rPr>
        <w:footnoteReference w:id="2115"/>
      </w:r>
      <w:r w:rsidRPr="00845316">
        <w:rPr>
          <w:rFonts w:asciiTheme="minorBidi" w:hAnsiTheme="minorBidi"/>
          <w:rtl/>
        </w:rPr>
        <w:t xml:space="preserve"> לעדות</w:t>
      </w:r>
      <w:r w:rsidRPr="00845316">
        <w:rPr>
          <w:rStyle w:val="ab"/>
          <w:rFonts w:asciiTheme="minorBidi" w:hAnsiTheme="minorBidi"/>
          <w:rtl/>
        </w:rPr>
        <w:footnoteReference w:id="2116"/>
      </w:r>
      <w:r w:rsidRPr="00845316">
        <w:rPr>
          <w:rFonts w:asciiTheme="minorBidi" w:hAnsiTheme="minorBidi"/>
          <w:rtl/>
        </w:rPr>
        <w:t xml:space="preserve"> </w:t>
      </w:r>
      <w:r w:rsidRPr="00845316">
        <w:rPr>
          <w:rFonts w:asciiTheme="minorBidi" w:hAnsiTheme="minorBidi"/>
          <w:sz w:val="18"/>
          <w:szCs w:val="18"/>
          <w:rtl/>
        </w:rPr>
        <w:t>(ועיין ביו"ד סי' קיט נתבאר דין זה)</w:t>
      </w:r>
      <w:r w:rsidRPr="00845316">
        <w:rPr>
          <w:rFonts w:asciiTheme="minorBidi" w:hAnsiTheme="minorBidi"/>
          <w:rtl/>
        </w:rPr>
        <w:t xml:space="preserve">. </w:t>
      </w:r>
    </w:p>
    <w:p w14:paraId="71811143" w14:textId="77777777" w:rsidR="004B607F" w:rsidRPr="00845316" w:rsidRDefault="004B607F" w:rsidP="004B607F">
      <w:pPr>
        <w:rPr>
          <w:rFonts w:asciiTheme="minorBidi" w:hAnsiTheme="minorBidi"/>
          <w:rtl/>
        </w:rPr>
      </w:pPr>
    </w:p>
    <w:p w14:paraId="7F80306C" w14:textId="77777777" w:rsidR="004B607F" w:rsidRPr="00845316" w:rsidRDefault="004B607F" w:rsidP="004B607F">
      <w:pPr>
        <w:pStyle w:val="2"/>
        <w:rPr>
          <w:rFonts w:asciiTheme="minorBidi" w:hAnsiTheme="minorBidi"/>
          <w:rtl/>
        </w:rPr>
      </w:pPr>
      <w:bookmarkStart w:id="288" w:name="_Toc24883754"/>
      <w:r w:rsidRPr="00845316">
        <w:rPr>
          <w:rFonts w:asciiTheme="minorBidi" w:hAnsiTheme="minorBidi"/>
          <w:rtl/>
        </w:rPr>
        <w:t>סעיף ז: גנב וגזלן - מאמתי פסולים.</w:t>
      </w:r>
      <w:bookmarkEnd w:id="288"/>
    </w:p>
    <w:p w14:paraId="73CE8D73" w14:textId="77777777" w:rsidR="004B607F" w:rsidRPr="00845316" w:rsidRDefault="004B607F" w:rsidP="004B607F">
      <w:pPr>
        <w:rPr>
          <w:rFonts w:asciiTheme="minorBidi" w:hAnsiTheme="minorBidi"/>
          <w:rtl/>
        </w:rPr>
      </w:pPr>
      <w:r w:rsidRPr="00845316">
        <w:rPr>
          <w:rFonts w:asciiTheme="minorBidi" w:hAnsiTheme="minorBidi"/>
          <w:b/>
          <w:bCs/>
          <w:rtl/>
        </w:rPr>
        <w:t xml:space="preserve">דברים פי"ט פט"ז: </w:t>
      </w:r>
      <w:r w:rsidRPr="00845316">
        <w:rPr>
          <w:rFonts w:asciiTheme="minorBidi" w:hAnsiTheme="minorBidi"/>
          <w:rtl/>
        </w:rPr>
        <w:t>כִּֽי־יָק֥וּם עֵד־חָמָ֖ס בְּאִ֑ישׁ</w:t>
      </w:r>
      <w:r w:rsidRPr="00845316">
        <w:rPr>
          <w:rStyle w:val="ab"/>
          <w:rFonts w:asciiTheme="minorBidi" w:hAnsiTheme="minorBidi"/>
          <w:rtl/>
        </w:rPr>
        <w:footnoteReference w:id="2117"/>
      </w:r>
      <w:r w:rsidRPr="00845316">
        <w:rPr>
          <w:rFonts w:asciiTheme="minorBidi" w:hAnsiTheme="minorBidi"/>
          <w:rtl/>
        </w:rPr>
        <w:t xml:space="preserve"> לַעֲנ֥וֹת בּ֖וֹ סָרָֽה.</w:t>
      </w:r>
    </w:p>
    <w:p w14:paraId="56157C79" w14:textId="77777777" w:rsidR="004B607F" w:rsidRPr="00845316" w:rsidRDefault="004B607F" w:rsidP="004B607F">
      <w:pPr>
        <w:rPr>
          <w:rFonts w:asciiTheme="minorBidi" w:hAnsiTheme="minorBidi"/>
          <w:rtl/>
        </w:rPr>
      </w:pPr>
      <w:r w:rsidRPr="00845316">
        <w:rPr>
          <w:rFonts w:asciiTheme="minorBidi" w:hAnsiTheme="minorBidi"/>
          <w:b/>
          <w:bCs/>
          <w:rtl/>
        </w:rPr>
        <w:t xml:space="preserve">סנהדרין כה ע"ב: </w:t>
      </w:r>
      <w:r w:rsidRPr="00845316">
        <w:rPr>
          <w:rFonts w:asciiTheme="minorBidi" w:hAnsiTheme="minorBidi"/>
          <w:rtl/>
        </w:rPr>
        <w:t>תנא: הוסיפו עליהן הגזלנין והחמסנין. גזלן דאורייתא הוא</w:t>
      </w:r>
      <w:r w:rsidRPr="00845316">
        <w:rPr>
          <w:rStyle w:val="ab"/>
          <w:rFonts w:asciiTheme="minorBidi" w:hAnsiTheme="minorBidi"/>
          <w:rtl/>
        </w:rPr>
        <w:footnoteReference w:id="2118"/>
      </w:r>
      <w:r w:rsidRPr="00845316">
        <w:rPr>
          <w:rFonts w:asciiTheme="minorBidi" w:hAnsiTheme="minorBidi"/>
          <w:rtl/>
        </w:rPr>
        <w:t xml:space="preserve"> - לא נצרכא אלא למציאת חרש שוטה וקטן. מעיקרא סבור: מציאת חרש שוטה וקטן לא שכיחא, אי נמי מפני דרכי שלום בעלמא. כיון דחזו דסוף סוף ממונא הוא דקא שקלי</w:t>
      </w:r>
      <w:r w:rsidRPr="00845316">
        <w:rPr>
          <w:rStyle w:val="ab"/>
          <w:rFonts w:asciiTheme="minorBidi" w:hAnsiTheme="minorBidi"/>
          <w:rtl/>
        </w:rPr>
        <w:footnoteReference w:id="2119"/>
      </w:r>
      <w:r w:rsidRPr="00845316">
        <w:rPr>
          <w:rFonts w:asciiTheme="minorBidi" w:hAnsiTheme="minorBidi"/>
          <w:rtl/>
        </w:rPr>
        <w:t xml:space="preserve"> - פסלינהו רבנן</w:t>
      </w:r>
      <w:r w:rsidRPr="00845316">
        <w:rPr>
          <w:rStyle w:val="ab"/>
          <w:rFonts w:asciiTheme="minorBidi" w:hAnsiTheme="minorBidi"/>
          <w:rtl/>
        </w:rPr>
        <w:footnoteReference w:id="2120"/>
      </w:r>
      <w:r w:rsidRPr="00845316">
        <w:rPr>
          <w:rFonts w:asciiTheme="minorBidi" w:hAnsiTheme="minorBidi"/>
          <w:rtl/>
        </w:rPr>
        <w:t>. החמסנין, מעיקרא סבור: דמי קא יהיב, אקראי בעלמא הוא. כיון דחזו דקא חטפי</w:t>
      </w:r>
      <w:r w:rsidRPr="00845316">
        <w:rPr>
          <w:rStyle w:val="ab"/>
          <w:rFonts w:asciiTheme="minorBidi" w:hAnsiTheme="minorBidi"/>
          <w:rtl/>
        </w:rPr>
        <w:footnoteReference w:id="2121"/>
      </w:r>
      <w:r w:rsidRPr="00845316">
        <w:rPr>
          <w:rFonts w:asciiTheme="minorBidi" w:hAnsiTheme="minorBidi"/>
          <w:rtl/>
        </w:rPr>
        <w:t xml:space="preserve"> - גזרו בהו רבנן. </w:t>
      </w:r>
    </w:p>
    <w:p w14:paraId="11550600" w14:textId="77777777" w:rsidR="004B607F" w:rsidRPr="00845316" w:rsidRDefault="004B607F" w:rsidP="004B607F">
      <w:pPr>
        <w:rPr>
          <w:rFonts w:asciiTheme="minorBidi" w:hAnsiTheme="minorBidi"/>
          <w:u w:val="single"/>
          <w:rtl/>
        </w:rPr>
      </w:pPr>
      <w:r w:rsidRPr="00845316">
        <w:rPr>
          <w:rFonts w:asciiTheme="minorBidi" w:hAnsiTheme="minorBidi"/>
          <w:u w:val="single"/>
          <w:rtl/>
        </w:rPr>
        <w:t>אדם החוטף משכון מיד הלוה שלא ברשות ב"ד או שנכנס לביתו ולוקח:</w:t>
      </w:r>
    </w:p>
    <w:p w14:paraId="05D3F1E4" w14:textId="77777777" w:rsidR="004B607F" w:rsidRPr="00845316" w:rsidRDefault="004B607F" w:rsidP="004B0475">
      <w:pPr>
        <w:pStyle w:val="ac"/>
        <w:numPr>
          <w:ilvl w:val="0"/>
          <w:numId w:val="154"/>
        </w:numPr>
        <w:rPr>
          <w:rFonts w:asciiTheme="minorBidi" w:hAnsiTheme="minorBidi"/>
        </w:rPr>
      </w:pPr>
      <w:r w:rsidRPr="00845316">
        <w:rPr>
          <w:rFonts w:asciiTheme="minorBidi" w:hAnsiTheme="minorBidi"/>
          <w:rtl/>
        </w:rPr>
        <w:t>(רמב"ם</w:t>
      </w:r>
      <w:r w:rsidRPr="00845316">
        <w:rPr>
          <w:rStyle w:val="ab"/>
          <w:rFonts w:asciiTheme="minorBidi" w:hAnsiTheme="minorBidi"/>
          <w:rtl/>
        </w:rPr>
        <w:footnoteReference w:id="2122"/>
      </w:r>
      <w:r w:rsidRPr="00845316">
        <w:rPr>
          <w:rFonts w:asciiTheme="minorBidi" w:hAnsiTheme="minorBidi"/>
          <w:sz w:val="16"/>
          <w:szCs w:val="16"/>
          <w:rtl/>
        </w:rPr>
        <w:t xml:space="preserve"> להב' הב"י </w:t>
      </w:r>
      <w:r w:rsidRPr="00845316">
        <w:rPr>
          <w:rFonts w:asciiTheme="minorBidi" w:hAnsiTheme="minorBidi"/>
          <w:sz w:val="14"/>
          <w:szCs w:val="14"/>
          <w:rtl/>
        </w:rPr>
        <w:t>[בבדה"ב]</w:t>
      </w:r>
      <w:r w:rsidRPr="00845316">
        <w:rPr>
          <w:rFonts w:asciiTheme="minorBidi" w:hAnsiTheme="minorBidi"/>
          <w:rtl/>
        </w:rPr>
        <w:t>)- אינו נפסל לעדות בכך משום דלא משמע לאינשי דהוי גזלן בהכי.</w:t>
      </w:r>
    </w:p>
    <w:p w14:paraId="2EF35AAC" w14:textId="77777777" w:rsidR="004B607F" w:rsidRPr="00845316" w:rsidRDefault="004B607F" w:rsidP="004B0475">
      <w:pPr>
        <w:pStyle w:val="ac"/>
        <w:numPr>
          <w:ilvl w:val="0"/>
          <w:numId w:val="154"/>
        </w:numPr>
        <w:rPr>
          <w:rFonts w:asciiTheme="minorBidi" w:hAnsiTheme="minorBidi"/>
        </w:rPr>
      </w:pPr>
      <w:r w:rsidRPr="00845316">
        <w:rPr>
          <w:rFonts w:asciiTheme="minorBidi" w:hAnsiTheme="minorBidi"/>
          <w:rtl/>
        </w:rPr>
        <w:t>(רמב"ם</w:t>
      </w:r>
      <w:r w:rsidRPr="00845316">
        <w:rPr>
          <w:rFonts w:asciiTheme="minorBidi" w:hAnsiTheme="minorBidi"/>
          <w:sz w:val="16"/>
          <w:szCs w:val="16"/>
          <w:rtl/>
        </w:rPr>
        <w:t xml:space="preserve"> להב' הראב"ד</w:t>
      </w:r>
      <w:r w:rsidRPr="00845316">
        <w:rPr>
          <w:rFonts w:asciiTheme="minorBidi" w:hAnsiTheme="minorBidi"/>
          <w:rtl/>
        </w:rPr>
        <w:t>)- פסול לעדות</w:t>
      </w:r>
      <w:r w:rsidRPr="00845316">
        <w:rPr>
          <w:rStyle w:val="ab"/>
          <w:rFonts w:asciiTheme="minorBidi" w:hAnsiTheme="minorBidi"/>
          <w:rtl/>
        </w:rPr>
        <w:footnoteReference w:id="2123"/>
      </w:r>
      <w:r w:rsidRPr="00845316">
        <w:rPr>
          <w:rFonts w:asciiTheme="minorBidi" w:hAnsiTheme="minorBidi"/>
          <w:rtl/>
        </w:rPr>
        <w:t>. (וכ"כ הסמ"ע</w:t>
      </w:r>
      <w:r w:rsidRPr="00845316">
        <w:rPr>
          <w:rFonts w:asciiTheme="minorBidi" w:hAnsiTheme="minorBidi"/>
          <w:sz w:val="16"/>
          <w:szCs w:val="16"/>
          <w:rtl/>
        </w:rPr>
        <w:t xml:space="preserve"> [סי' שנט סקי"ב]</w:t>
      </w:r>
      <w:r w:rsidRPr="00845316">
        <w:rPr>
          <w:rFonts w:asciiTheme="minorBidi" w:hAnsiTheme="minorBidi"/>
          <w:rtl/>
        </w:rPr>
        <w:t>)</w:t>
      </w:r>
    </w:p>
    <w:p w14:paraId="48EA3DB8" w14:textId="77777777" w:rsidR="004B607F" w:rsidRPr="00845316" w:rsidRDefault="004B607F" w:rsidP="004B0475">
      <w:pPr>
        <w:pStyle w:val="ac"/>
        <w:numPr>
          <w:ilvl w:val="0"/>
          <w:numId w:val="154"/>
        </w:numPr>
        <w:rPr>
          <w:rFonts w:asciiTheme="minorBidi" w:hAnsiTheme="minorBidi"/>
          <w:u w:val="single"/>
        </w:rPr>
      </w:pPr>
      <w:r w:rsidRPr="00845316">
        <w:rPr>
          <w:rFonts w:asciiTheme="minorBidi" w:hAnsiTheme="minorBidi"/>
          <w:rtl/>
        </w:rPr>
        <w:t>רשב"ם</w:t>
      </w:r>
      <w:r w:rsidRPr="00845316">
        <w:rPr>
          <w:rFonts w:asciiTheme="minorBidi" w:hAnsiTheme="minorBidi"/>
          <w:sz w:val="16"/>
          <w:szCs w:val="16"/>
          <w:rtl/>
        </w:rPr>
        <w:t xml:space="preserve"> (ב"ב לד</w:t>
      </w:r>
      <w:r>
        <w:rPr>
          <w:rFonts w:asciiTheme="minorBidi" w:hAnsiTheme="minorBidi" w:hint="cs"/>
          <w:sz w:val="16"/>
          <w:szCs w:val="16"/>
          <w:rtl/>
        </w:rPr>
        <w:t>.</w:t>
      </w:r>
      <w:r w:rsidRPr="00845316">
        <w:rPr>
          <w:rFonts w:asciiTheme="minorBidi" w:hAnsiTheme="minorBidi"/>
          <w:sz w:val="16"/>
          <w:szCs w:val="16"/>
          <w:rtl/>
        </w:rPr>
        <w:t>)</w:t>
      </w:r>
      <w:r w:rsidRPr="00845316">
        <w:rPr>
          <w:rFonts w:asciiTheme="minorBidi" w:hAnsiTheme="minorBidi"/>
          <w:rtl/>
        </w:rPr>
        <w:t xml:space="preserve"> וראב"ן </w:t>
      </w:r>
      <w:r w:rsidRPr="00845316">
        <w:rPr>
          <w:rFonts w:asciiTheme="minorBidi" w:hAnsiTheme="minorBidi"/>
          <w:sz w:val="16"/>
          <w:szCs w:val="16"/>
          <w:rtl/>
        </w:rPr>
        <w:t>(סי' כו דף יד ע"ג וע"ד)</w:t>
      </w:r>
      <w:r w:rsidRPr="00845316">
        <w:rPr>
          <w:rFonts w:asciiTheme="minorBidi" w:hAnsiTheme="minorBidi"/>
          <w:rtl/>
        </w:rPr>
        <w:t>- החוטף משכון מיד הלווה לא מיפסיל בהכי. (וכ"פ הש"ך</w:t>
      </w:r>
      <w:r w:rsidRPr="00845316">
        <w:rPr>
          <w:rFonts w:asciiTheme="minorBidi" w:hAnsiTheme="minorBidi"/>
          <w:sz w:val="16"/>
          <w:szCs w:val="16"/>
          <w:rtl/>
        </w:rPr>
        <w:t xml:space="preserve"> [סי' שנט סק"ה]</w:t>
      </w:r>
      <w:r w:rsidRPr="00845316">
        <w:rPr>
          <w:rFonts w:asciiTheme="minorBidi" w:hAnsiTheme="minorBidi"/>
          <w:rtl/>
        </w:rPr>
        <w:t>)</w:t>
      </w:r>
      <w:r w:rsidRPr="00845316">
        <w:rPr>
          <w:rFonts w:asciiTheme="minorBidi" w:hAnsiTheme="minorBidi"/>
          <w:u w:val="single"/>
          <w:rtl/>
        </w:rPr>
        <w:t xml:space="preserve"> </w:t>
      </w:r>
    </w:p>
    <w:p w14:paraId="5D4E8F63" w14:textId="77777777" w:rsidR="004B607F" w:rsidRPr="00845316" w:rsidRDefault="004B607F" w:rsidP="004B0475">
      <w:pPr>
        <w:pStyle w:val="ac"/>
        <w:numPr>
          <w:ilvl w:val="0"/>
          <w:numId w:val="154"/>
        </w:numPr>
        <w:rPr>
          <w:rFonts w:asciiTheme="minorBidi" w:hAnsiTheme="minorBidi"/>
        </w:rPr>
      </w:pPr>
      <w:r w:rsidRPr="00845316">
        <w:rPr>
          <w:rFonts w:asciiTheme="minorBidi" w:hAnsiTheme="minorBidi"/>
          <w:rtl/>
        </w:rPr>
        <w:t xml:space="preserve">ר' ישעיה </w:t>
      </w:r>
      <w:r w:rsidRPr="00845316">
        <w:rPr>
          <w:rFonts w:asciiTheme="minorBidi" w:hAnsiTheme="minorBidi"/>
          <w:sz w:val="16"/>
          <w:szCs w:val="16"/>
          <w:rtl/>
        </w:rPr>
        <w:t>(הביאו הטור [סי' צ])</w:t>
      </w:r>
      <w:r w:rsidRPr="00845316">
        <w:rPr>
          <w:rFonts w:asciiTheme="minorBidi" w:hAnsiTheme="minorBidi"/>
          <w:rtl/>
        </w:rPr>
        <w:t xml:space="preserve">- הנכנס לבית חברו מיפסל בהכי. </w:t>
      </w:r>
    </w:p>
    <w:p w14:paraId="29DFB71C" w14:textId="77777777" w:rsidR="004B607F" w:rsidRPr="00845316" w:rsidRDefault="004B607F" w:rsidP="004B607F">
      <w:pPr>
        <w:rPr>
          <w:rFonts w:asciiTheme="minorBidi" w:hAnsiTheme="minorBidi"/>
          <w:u w:val="single"/>
          <w:rtl/>
        </w:rPr>
      </w:pPr>
      <w:r w:rsidRPr="00845316">
        <w:rPr>
          <w:rFonts w:asciiTheme="minorBidi" w:hAnsiTheme="minorBidi"/>
          <w:u w:val="single"/>
          <w:rtl/>
        </w:rPr>
        <w:t>מה כונת הרמב"ם בכותבו</w:t>
      </w:r>
      <w:r w:rsidRPr="00845316">
        <w:rPr>
          <w:rFonts w:asciiTheme="minorBidi" w:hAnsiTheme="minorBidi"/>
          <w:sz w:val="16"/>
          <w:szCs w:val="16"/>
          <w:u w:val="single"/>
          <w:rtl/>
        </w:rPr>
        <w:t xml:space="preserve"> (פ"י ה"ד)</w:t>
      </w:r>
      <w:r w:rsidRPr="00845316">
        <w:rPr>
          <w:rFonts w:asciiTheme="minorBidi" w:hAnsiTheme="minorBidi"/>
          <w:u w:val="single"/>
          <w:rtl/>
        </w:rPr>
        <w:t>- "הגנבים והחמסנים אע"פ שהחזיר פסול לעדות מעת שגנב או גזל":</w:t>
      </w:r>
    </w:p>
    <w:p w14:paraId="06808777" w14:textId="77777777" w:rsidR="004B607F" w:rsidRPr="00845316" w:rsidRDefault="004B607F" w:rsidP="004B0475">
      <w:pPr>
        <w:pStyle w:val="ac"/>
        <w:numPr>
          <w:ilvl w:val="0"/>
          <w:numId w:val="148"/>
        </w:numPr>
        <w:rPr>
          <w:rFonts w:asciiTheme="minorBidi" w:hAnsiTheme="minorBidi"/>
        </w:rPr>
      </w:pPr>
      <w:r w:rsidRPr="00845316">
        <w:rPr>
          <w:rFonts w:asciiTheme="minorBidi" w:hAnsiTheme="minorBidi"/>
          <w:rtl/>
        </w:rPr>
        <w:lastRenderedPageBreak/>
        <w:t>טור- רצונו לומר דאע"פ ששלמו</w:t>
      </w:r>
      <w:r>
        <w:rPr>
          <w:rFonts w:asciiTheme="minorBidi" w:hAnsiTheme="minorBidi" w:hint="cs"/>
          <w:rtl/>
        </w:rPr>
        <w:t>,</w:t>
      </w:r>
      <w:r w:rsidRPr="00845316">
        <w:rPr>
          <w:rFonts w:asciiTheme="minorBidi" w:hAnsiTheme="minorBidi"/>
          <w:rtl/>
        </w:rPr>
        <w:t xml:space="preserve"> כיון דבכפיית ב"ד שלמו פסולים עד שישובו מעצמם</w:t>
      </w:r>
      <w:r w:rsidRPr="00845316">
        <w:rPr>
          <w:rStyle w:val="ab"/>
          <w:rFonts w:asciiTheme="minorBidi" w:hAnsiTheme="minorBidi"/>
          <w:rtl/>
        </w:rPr>
        <w:footnoteReference w:id="2124"/>
      </w:r>
      <w:r w:rsidRPr="00845316">
        <w:rPr>
          <w:rFonts w:asciiTheme="minorBidi" w:hAnsiTheme="minorBidi"/>
          <w:rtl/>
        </w:rPr>
        <w:t xml:space="preserve">. (וכ"פ הב"ח) </w:t>
      </w:r>
    </w:p>
    <w:p w14:paraId="0BD98EFD" w14:textId="77777777" w:rsidR="004B607F" w:rsidRPr="00845316" w:rsidRDefault="004B607F" w:rsidP="004B0475">
      <w:pPr>
        <w:pStyle w:val="ac"/>
        <w:numPr>
          <w:ilvl w:val="0"/>
          <w:numId w:val="148"/>
        </w:numPr>
        <w:rPr>
          <w:rFonts w:asciiTheme="minorBidi" w:hAnsiTheme="minorBidi"/>
        </w:rPr>
      </w:pPr>
      <w:r w:rsidRPr="00845316">
        <w:rPr>
          <w:rFonts w:asciiTheme="minorBidi" w:hAnsiTheme="minorBidi"/>
          <w:rtl/>
        </w:rPr>
        <w:t>ב"י- דאפי' החזירו ברצונם</w:t>
      </w:r>
      <w:r w:rsidRPr="00845316">
        <w:rPr>
          <w:rStyle w:val="ab"/>
          <w:rFonts w:asciiTheme="minorBidi" w:hAnsiTheme="minorBidi"/>
          <w:rtl/>
        </w:rPr>
        <w:footnoteReference w:id="2125"/>
      </w:r>
      <w:r w:rsidRPr="00845316">
        <w:rPr>
          <w:rFonts w:asciiTheme="minorBidi" w:hAnsiTheme="minorBidi"/>
          <w:rtl/>
        </w:rPr>
        <w:t xml:space="preserve"> לא מתכשרי עד שיעשו תשובה</w:t>
      </w:r>
      <w:r>
        <w:rPr>
          <w:rFonts w:asciiTheme="minorBidi" w:hAnsiTheme="minorBidi" w:hint="cs"/>
          <w:rtl/>
        </w:rPr>
        <w:t>,</w:t>
      </w:r>
      <w:r w:rsidRPr="00845316">
        <w:rPr>
          <w:rFonts w:asciiTheme="minorBidi" w:hAnsiTheme="minorBidi"/>
          <w:rtl/>
        </w:rPr>
        <w:t xml:space="preserve"> כיון שחטאו במילתא דממון</w:t>
      </w:r>
      <w:r w:rsidRPr="00845316">
        <w:rPr>
          <w:rStyle w:val="ab"/>
          <w:rFonts w:asciiTheme="minorBidi" w:hAnsiTheme="minorBidi"/>
          <w:rtl/>
        </w:rPr>
        <w:footnoteReference w:id="2126"/>
      </w:r>
      <w:r w:rsidRPr="00845316">
        <w:rPr>
          <w:rFonts w:asciiTheme="minorBidi" w:hAnsiTheme="minorBidi"/>
          <w:rtl/>
        </w:rPr>
        <w:t xml:space="preserve">. (וכ"כ באה"ג) </w:t>
      </w:r>
    </w:p>
    <w:p w14:paraId="344F4093" w14:textId="77777777" w:rsidR="004B607F" w:rsidRPr="00845316" w:rsidRDefault="004B607F" w:rsidP="004B0475">
      <w:pPr>
        <w:pStyle w:val="ac"/>
        <w:numPr>
          <w:ilvl w:val="0"/>
          <w:numId w:val="148"/>
        </w:numPr>
        <w:rPr>
          <w:rFonts w:asciiTheme="minorBidi" w:hAnsiTheme="minorBidi"/>
        </w:rPr>
      </w:pPr>
      <w:r w:rsidRPr="00845316">
        <w:rPr>
          <w:rFonts w:asciiTheme="minorBidi" w:hAnsiTheme="minorBidi"/>
          <w:rtl/>
        </w:rPr>
        <w:t>רמ"א</w:t>
      </w:r>
      <w:r w:rsidRPr="00845316">
        <w:rPr>
          <w:rFonts w:asciiTheme="minorBidi" w:hAnsiTheme="minorBidi"/>
          <w:sz w:val="16"/>
          <w:szCs w:val="16"/>
          <w:rtl/>
        </w:rPr>
        <w:t xml:space="preserve"> (בסע' כט, וכן מפורש בדברי בהעי"ט</w:t>
      </w:r>
      <w:r w:rsidRPr="00845316">
        <w:rPr>
          <w:rStyle w:val="ab"/>
          <w:rFonts w:asciiTheme="minorBidi" w:hAnsiTheme="minorBidi"/>
          <w:sz w:val="16"/>
          <w:szCs w:val="16"/>
          <w:rtl/>
        </w:rPr>
        <w:footnoteReference w:id="2127"/>
      </w:r>
      <w:r w:rsidRPr="00845316">
        <w:rPr>
          <w:rFonts w:asciiTheme="minorBidi" w:hAnsiTheme="minorBidi"/>
          <w:sz w:val="16"/>
          <w:szCs w:val="16"/>
          <w:rtl/>
        </w:rPr>
        <w:t>)</w:t>
      </w:r>
      <w:r w:rsidRPr="00845316">
        <w:rPr>
          <w:rFonts w:asciiTheme="minorBidi" w:hAnsiTheme="minorBidi"/>
          <w:rtl/>
        </w:rPr>
        <w:t xml:space="preserve">- גנב או גזלן שאינו עושה כן באקראיות צריך חזרה גמורה כמלווי ברבית, אבל גנב וגזלן שחזר בו ולא היה רגיל בכך ודאי אם החזיר מרצונו אין לך תשובה גדולה מזו. </w:t>
      </w:r>
    </w:p>
    <w:p w14:paraId="5F6D17E0" w14:textId="77777777" w:rsidR="004B607F" w:rsidRPr="00845316" w:rsidRDefault="004B607F" w:rsidP="004B607F">
      <w:pPr>
        <w:jc w:val="both"/>
        <w:rPr>
          <w:rFonts w:asciiTheme="minorBidi" w:hAnsiTheme="minorBidi"/>
          <w:rtl/>
        </w:rPr>
      </w:pPr>
      <w:r w:rsidRPr="00845316">
        <w:rPr>
          <w:rFonts w:asciiTheme="minorBidi" w:hAnsiTheme="minorBidi"/>
          <w:b/>
          <w:bCs/>
          <w:sz w:val="32"/>
          <w:szCs w:val="28"/>
          <w:u w:val="single"/>
          <w:rtl/>
        </w:rPr>
        <w:t xml:space="preserve">שו"ע: </w:t>
      </w:r>
    </w:p>
    <w:p w14:paraId="7739C95C" w14:textId="77777777" w:rsidR="004B607F" w:rsidRPr="00845316" w:rsidRDefault="004B607F" w:rsidP="004B607F">
      <w:pPr>
        <w:rPr>
          <w:rFonts w:asciiTheme="minorBidi" w:hAnsiTheme="minorBidi"/>
          <w:rtl/>
        </w:rPr>
      </w:pPr>
      <w:r w:rsidRPr="00845316">
        <w:rPr>
          <w:rFonts w:asciiTheme="minorBidi" w:hAnsiTheme="minorBidi"/>
          <w:rtl/>
        </w:rPr>
        <w:t xml:space="preserve">גנב וכן גזלן פסולים לעדות מעת שגנב או גזל ואף על פי שהחזירו עד שיעשו תשובה. </w:t>
      </w:r>
      <w:r w:rsidRPr="00845316">
        <w:rPr>
          <w:rFonts w:asciiTheme="minorBidi" w:hAnsiTheme="minorBidi"/>
          <w:sz w:val="18"/>
          <w:szCs w:val="18"/>
          <w:rtl/>
        </w:rPr>
        <w:t xml:space="preserve">הגה: וע"ל סעיף כ"ט. החולק עם הגנב אינו נפסל (ריב"ש סי' רסו). וע"ל סי' צב הכופר בפקדון </w:t>
      </w:r>
      <w:r w:rsidRPr="00845316">
        <w:rPr>
          <w:rStyle w:val="ab"/>
          <w:rFonts w:asciiTheme="minorBidi" w:hAnsiTheme="minorBidi"/>
          <w:sz w:val="18"/>
          <w:szCs w:val="18"/>
          <w:rtl/>
        </w:rPr>
        <w:footnoteReference w:id="2128"/>
      </w:r>
      <w:r w:rsidRPr="00845316">
        <w:rPr>
          <w:rFonts w:asciiTheme="minorBidi" w:hAnsiTheme="minorBidi"/>
          <w:sz w:val="18"/>
          <w:szCs w:val="18"/>
          <w:rtl/>
        </w:rPr>
        <w:t>(או מלוה) אימת נפסל.</w:t>
      </w:r>
      <w:r w:rsidRPr="00845316">
        <w:rPr>
          <w:rFonts w:asciiTheme="minorBidi" w:hAnsiTheme="minorBidi"/>
          <w:rtl/>
        </w:rPr>
        <w:t xml:space="preserve"> </w:t>
      </w:r>
    </w:p>
    <w:p w14:paraId="7EEEB838" w14:textId="77777777" w:rsidR="004B607F" w:rsidRPr="00845316" w:rsidRDefault="004B607F" w:rsidP="004B607F">
      <w:pPr>
        <w:rPr>
          <w:rFonts w:asciiTheme="minorBidi" w:hAnsiTheme="minorBidi"/>
          <w:rtl/>
        </w:rPr>
      </w:pPr>
      <w:r w:rsidRPr="00845316">
        <w:rPr>
          <w:rFonts w:asciiTheme="minorBidi" w:hAnsiTheme="minorBidi"/>
          <w:u w:val="single"/>
          <w:rtl/>
        </w:rPr>
        <w:t>הגונב ממון מגוי:</w:t>
      </w:r>
      <w:r w:rsidRPr="00845316">
        <w:rPr>
          <w:rFonts w:asciiTheme="minorBidi" w:hAnsiTheme="minorBidi"/>
          <w:sz w:val="16"/>
          <w:szCs w:val="16"/>
          <w:rtl/>
        </w:rPr>
        <w:t xml:space="preserve"> (פת"ש סקט"ז)</w:t>
      </w:r>
    </w:p>
    <w:p w14:paraId="271E2878" w14:textId="77777777" w:rsidR="004B607F" w:rsidRPr="00845316" w:rsidRDefault="004B607F" w:rsidP="004B0475">
      <w:pPr>
        <w:pStyle w:val="ac"/>
        <w:numPr>
          <w:ilvl w:val="0"/>
          <w:numId w:val="149"/>
        </w:numPr>
        <w:rPr>
          <w:rFonts w:asciiTheme="minorBidi" w:hAnsiTheme="minorBidi"/>
          <w:rtl/>
        </w:rPr>
      </w:pPr>
      <w:r w:rsidRPr="00845316">
        <w:rPr>
          <w:rFonts w:asciiTheme="minorBidi" w:hAnsiTheme="minorBidi"/>
          <w:rtl/>
        </w:rPr>
        <w:t>רעק"א</w:t>
      </w:r>
      <w:r w:rsidRPr="00845316">
        <w:rPr>
          <w:rFonts w:asciiTheme="minorBidi" w:hAnsiTheme="minorBidi"/>
          <w:sz w:val="16"/>
          <w:szCs w:val="16"/>
          <w:rtl/>
        </w:rPr>
        <w:t xml:space="preserve"> (בגליון)</w:t>
      </w:r>
      <w:r w:rsidRPr="00845316">
        <w:rPr>
          <w:rFonts w:asciiTheme="minorBidi" w:hAnsiTheme="minorBidi"/>
          <w:rtl/>
        </w:rPr>
        <w:t xml:space="preserve">- כ' מהריק"ש דהרדב"ז </w:t>
      </w:r>
      <w:r w:rsidRPr="00845316">
        <w:rPr>
          <w:rFonts w:asciiTheme="minorBidi" w:hAnsiTheme="minorBidi"/>
          <w:sz w:val="16"/>
          <w:szCs w:val="16"/>
          <w:rtl/>
        </w:rPr>
        <w:t>(סי' רנח)</w:t>
      </w:r>
      <w:r w:rsidRPr="00845316">
        <w:rPr>
          <w:rFonts w:asciiTheme="minorBidi" w:hAnsiTheme="minorBidi"/>
          <w:rtl/>
        </w:rPr>
        <w:t xml:space="preserve"> ס"ל דפסול מן התורה, ולמהריק"ש נראה להכשיר דלא משמע לאינשי דאסור</w:t>
      </w:r>
      <w:r>
        <w:rPr>
          <w:rFonts w:asciiTheme="minorBidi" w:hAnsiTheme="minorBidi" w:hint="cs"/>
          <w:rtl/>
        </w:rPr>
        <w:t>.</w:t>
      </w:r>
      <w:r w:rsidRPr="00845316">
        <w:rPr>
          <w:rFonts w:asciiTheme="minorBidi" w:hAnsiTheme="minorBidi"/>
          <w:rtl/>
        </w:rPr>
        <w:t xml:space="preserve"> ואני מצאתי שהרדב"ז עצמו </w:t>
      </w:r>
      <w:r w:rsidRPr="00845316">
        <w:rPr>
          <w:rFonts w:asciiTheme="minorBidi" w:hAnsiTheme="minorBidi"/>
          <w:sz w:val="16"/>
          <w:szCs w:val="16"/>
          <w:rtl/>
        </w:rPr>
        <w:t>(ח"ד סי' רה אלף רע"ו)</w:t>
      </w:r>
      <w:r w:rsidRPr="00845316">
        <w:rPr>
          <w:rFonts w:asciiTheme="minorBidi" w:hAnsiTheme="minorBidi"/>
          <w:rtl/>
        </w:rPr>
        <w:t xml:space="preserve"> מסיק כן להכשיר מטעם </w:t>
      </w:r>
      <w:r w:rsidRPr="00845316">
        <w:rPr>
          <w:rFonts w:asciiTheme="minorBidi" w:hAnsiTheme="minorBidi"/>
          <w:u w:val="single"/>
          <w:rtl/>
        </w:rPr>
        <w:t>זה</w:t>
      </w:r>
      <w:r w:rsidRPr="00845316">
        <w:rPr>
          <w:rFonts w:asciiTheme="minorBidi" w:hAnsiTheme="minorBidi"/>
          <w:rtl/>
        </w:rPr>
        <w:t xml:space="preserve"> כל שלא התרו בו תחילה והודיעוהו שיופסל לעדות מחמת זה.</w:t>
      </w:r>
    </w:p>
    <w:p w14:paraId="4B033B44" w14:textId="77777777" w:rsidR="004B607F" w:rsidRPr="00845316" w:rsidRDefault="004B607F" w:rsidP="004B607F">
      <w:pPr>
        <w:rPr>
          <w:rFonts w:asciiTheme="minorBidi" w:hAnsiTheme="minorBidi"/>
          <w:u w:val="single"/>
          <w:rtl/>
        </w:rPr>
      </w:pPr>
      <w:r w:rsidRPr="00845316">
        <w:rPr>
          <w:rFonts w:asciiTheme="minorBidi" w:hAnsiTheme="minorBidi"/>
          <w:u w:val="single"/>
          <w:rtl/>
        </w:rPr>
        <w:t>לוה שזייף שטר פירעון:</w:t>
      </w:r>
      <w:r w:rsidRPr="00845316">
        <w:rPr>
          <w:rFonts w:asciiTheme="minorBidi" w:hAnsiTheme="minorBidi"/>
          <w:sz w:val="16"/>
          <w:szCs w:val="16"/>
          <w:rtl/>
        </w:rPr>
        <w:t xml:space="preserve"> (פת"ש סקי"ז)</w:t>
      </w:r>
    </w:p>
    <w:p w14:paraId="560577F8" w14:textId="77777777" w:rsidR="004B607F" w:rsidRPr="00845316" w:rsidRDefault="004B607F" w:rsidP="004B0475">
      <w:pPr>
        <w:pStyle w:val="ac"/>
        <w:numPr>
          <w:ilvl w:val="0"/>
          <w:numId w:val="149"/>
        </w:numPr>
        <w:rPr>
          <w:rFonts w:asciiTheme="minorBidi" w:hAnsiTheme="minorBidi"/>
          <w:rtl/>
        </w:rPr>
      </w:pPr>
      <w:r w:rsidRPr="00845316">
        <w:rPr>
          <w:rFonts w:asciiTheme="minorBidi" w:hAnsiTheme="minorBidi"/>
          <w:rtl/>
        </w:rPr>
        <w:t>חת"ס</w:t>
      </w:r>
      <w:r w:rsidRPr="00845316">
        <w:rPr>
          <w:rFonts w:asciiTheme="minorBidi" w:hAnsiTheme="minorBidi"/>
          <w:sz w:val="16"/>
          <w:szCs w:val="16"/>
          <w:rtl/>
        </w:rPr>
        <w:t xml:space="preserve"> (סי' לט)</w:t>
      </w:r>
      <w:r w:rsidRPr="00845316">
        <w:rPr>
          <w:rFonts w:asciiTheme="minorBidi" w:hAnsiTheme="minorBidi"/>
          <w:rtl/>
        </w:rPr>
        <w:t>- לוה שהוציא שובר על המלוה וניכר שנעשה בו זיוף שהיה כתוב חמשה ונמחק הה' ונכתב חמישים, ורצו איזה דיינים לומר שהלוה נפסל בזה לעדות ולשבועה, ואיני יודע מנא להו, הא אנן איפכא שמעינן בכתובות</w:t>
      </w:r>
      <w:r w:rsidRPr="00845316">
        <w:rPr>
          <w:rFonts w:asciiTheme="minorBidi" w:hAnsiTheme="minorBidi"/>
          <w:sz w:val="16"/>
          <w:szCs w:val="16"/>
          <w:rtl/>
        </w:rPr>
        <w:t xml:space="preserve"> (לו:)</w:t>
      </w:r>
      <w:r w:rsidRPr="00845316">
        <w:rPr>
          <w:rFonts w:asciiTheme="minorBidi" w:hAnsiTheme="minorBidi"/>
          <w:rtl/>
        </w:rPr>
        <w:t xml:space="preserve"> גבי האי שטרא ריעא לא מגבינן ביה, פירש"י</w:t>
      </w:r>
      <w:r w:rsidRPr="00845316">
        <w:rPr>
          <w:rFonts w:asciiTheme="minorBidi" w:hAnsiTheme="minorBidi"/>
          <w:sz w:val="16"/>
          <w:szCs w:val="16"/>
          <w:rtl/>
        </w:rPr>
        <w:t xml:space="preserve"> (ד"ה אימר זיופי זייף)</w:t>
      </w:r>
      <w:r w:rsidRPr="00845316">
        <w:rPr>
          <w:rFonts w:asciiTheme="minorBidi" w:hAnsiTheme="minorBidi"/>
          <w:rtl/>
        </w:rPr>
        <w:t xml:space="preserve"> הוא עצמו למד לכוין כתב הדומה לכתב יד עדים כו'. נמצא מיירי התם שהוא בעצמו זייף, ושיטת ר"ת ור"ח שם שלא יגבה בו אלא בשבועה תחילה. א"כ מבואר דאע"ג שהוא בעצמו זייף לא נפסל לשבועה אפילו באותו ממון, ונהי דאנן לא קיי"ל כן אלא כהרמב"ן </w:t>
      </w:r>
      <w:r w:rsidRPr="00845316">
        <w:rPr>
          <w:rFonts w:asciiTheme="minorBidi" w:hAnsiTheme="minorBidi"/>
          <w:sz w:val="16"/>
          <w:szCs w:val="16"/>
          <w:rtl/>
        </w:rPr>
        <w:t>(ספר התרומות שער י"ז ח"א, ועיין שו"ע שם סע' א, ועי' בתומים)</w:t>
      </w:r>
      <w:r w:rsidRPr="00845316">
        <w:rPr>
          <w:rFonts w:asciiTheme="minorBidi" w:hAnsiTheme="minorBidi"/>
          <w:rtl/>
        </w:rPr>
        <w:t xml:space="preserve"> שאפילו בשבועה אינו גובה אותו ממון, אבל עכ"פ בהא לא פליגי דלא נפסל לא לעדות ולא לשבועה.</w:t>
      </w:r>
    </w:p>
    <w:p w14:paraId="2AD83DE3" w14:textId="77777777" w:rsidR="004B607F" w:rsidRPr="00845316" w:rsidRDefault="004B607F" w:rsidP="004B607F">
      <w:pPr>
        <w:rPr>
          <w:rFonts w:asciiTheme="minorBidi" w:hAnsiTheme="minorBidi"/>
          <w:rtl/>
        </w:rPr>
      </w:pPr>
    </w:p>
    <w:p w14:paraId="44CAEA4F" w14:textId="77777777" w:rsidR="004B607F" w:rsidRPr="00845316" w:rsidRDefault="004B607F" w:rsidP="004B607F">
      <w:pPr>
        <w:pStyle w:val="2"/>
        <w:rPr>
          <w:rFonts w:asciiTheme="minorBidi" w:hAnsiTheme="minorBidi"/>
          <w:rtl/>
        </w:rPr>
      </w:pPr>
      <w:bookmarkStart w:id="289" w:name="_Toc24883755"/>
      <w:r w:rsidRPr="00845316">
        <w:rPr>
          <w:rFonts w:asciiTheme="minorBidi" w:hAnsiTheme="minorBidi"/>
          <w:rtl/>
        </w:rPr>
        <w:t>סעיף ח: עד זומם.</w:t>
      </w:r>
      <w:bookmarkEnd w:id="289"/>
    </w:p>
    <w:p w14:paraId="378B9F0F" w14:textId="77777777" w:rsidR="004B607F" w:rsidRPr="00845316" w:rsidRDefault="004B607F" w:rsidP="004B607F">
      <w:pPr>
        <w:rPr>
          <w:rFonts w:asciiTheme="minorBidi" w:hAnsiTheme="minorBidi"/>
          <w:rtl/>
        </w:rPr>
      </w:pPr>
      <w:r w:rsidRPr="00845316">
        <w:rPr>
          <w:rFonts w:asciiTheme="minorBidi" w:hAnsiTheme="minorBidi"/>
          <w:b/>
          <w:bCs/>
          <w:rtl/>
        </w:rPr>
        <w:t xml:space="preserve">מכות ב ע"ב: </w:t>
      </w:r>
      <w:r w:rsidRPr="00845316">
        <w:rPr>
          <w:rFonts w:asciiTheme="minorBidi" w:hAnsiTheme="minorBidi"/>
          <w:u w:val="single"/>
          <w:rtl/>
        </w:rPr>
        <w:t>אמר עולא</w:t>
      </w:r>
      <w:r w:rsidRPr="00845316">
        <w:rPr>
          <w:rFonts w:asciiTheme="minorBidi" w:hAnsiTheme="minorBidi"/>
          <w:rtl/>
        </w:rPr>
        <w:t>: רמז לעדים זוממין</w:t>
      </w:r>
      <w:r w:rsidRPr="00845316">
        <w:rPr>
          <w:rStyle w:val="ab"/>
          <w:rFonts w:asciiTheme="minorBidi" w:hAnsiTheme="minorBidi"/>
          <w:rtl/>
        </w:rPr>
        <w:footnoteReference w:id="2129"/>
      </w:r>
      <w:r w:rsidRPr="00845316">
        <w:rPr>
          <w:rFonts w:asciiTheme="minorBidi" w:hAnsiTheme="minorBidi"/>
          <w:rtl/>
        </w:rPr>
        <w:t xml:space="preserve"> מן התורה מנין? רמז לעדים זוממין? והא כתיב: ועשיתם לו כאשר זמם! אלא רמז לעדים זוממין שלוקין מן התורה מנין? דכתיב: והצדיקו את הצדיק והרשיעו את הרשע והיה אם בן הכות הרשע. משום והצדיקו את הצדיק והרשיעו את הרשע והיה אם בן הכות הרשע</w:t>
      </w:r>
      <w:r w:rsidRPr="00845316">
        <w:rPr>
          <w:rStyle w:val="ab"/>
          <w:rFonts w:asciiTheme="minorBidi" w:hAnsiTheme="minorBidi"/>
          <w:rtl/>
        </w:rPr>
        <w:footnoteReference w:id="2130"/>
      </w:r>
      <w:r w:rsidRPr="00845316">
        <w:rPr>
          <w:rFonts w:asciiTheme="minorBidi" w:hAnsiTheme="minorBidi"/>
          <w:rtl/>
        </w:rPr>
        <w:t>? אלא, עדים שהרשיעו את הצדיק, ואתו עדים אחריני והצדיקו את הצדיק דמעיקרא ושוינהו להני רשעים - והיה אם בן הכות הרשע.</w:t>
      </w:r>
    </w:p>
    <w:p w14:paraId="0261CB6F" w14:textId="77777777" w:rsidR="004B607F" w:rsidRPr="00845316" w:rsidRDefault="004B607F" w:rsidP="004B607F">
      <w:pPr>
        <w:rPr>
          <w:rFonts w:asciiTheme="minorBidi" w:hAnsiTheme="minorBidi"/>
          <w:rtl/>
        </w:rPr>
      </w:pPr>
      <w:r w:rsidRPr="00845316">
        <w:rPr>
          <w:rFonts w:asciiTheme="minorBidi" w:hAnsiTheme="minorBidi"/>
          <w:b/>
          <w:bCs/>
          <w:rtl/>
        </w:rPr>
        <w:t>סנהדרין כז</w:t>
      </w:r>
      <w:r w:rsidRPr="00845316">
        <w:rPr>
          <w:rStyle w:val="ab"/>
          <w:rFonts w:asciiTheme="minorBidi" w:hAnsiTheme="minorBidi"/>
          <w:b/>
          <w:bCs/>
          <w:rtl/>
        </w:rPr>
        <w:footnoteReference w:id="2131"/>
      </w:r>
      <w:r w:rsidRPr="00845316">
        <w:rPr>
          <w:rFonts w:asciiTheme="minorBidi" w:hAnsiTheme="minorBidi"/>
          <w:b/>
          <w:bCs/>
          <w:rtl/>
        </w:rPr>
        <w:t xml:space="preserve"> ע"א: </w:t>
      </w:r>
      <w:r w:rsidRPr="00845316">
        <w:rPr>
          <w:rFonts w:asciiTheme="minorBidi" w:hAnsiTheme="minorBidi"/>
          <w:rtl/>
        </w:rPr>
        <w:t>איתמר, עד זומם</w:t>
      </w:r>
      <w:r w:rsidRPr="00845316">
        <w:rPr>
          <w:rStyle w:val="ab"/>
          <w:rFonts w:asciiTheme="minorBidi" w:hAnsiTheme="minorBidi"/>
          <w:rtl/>
        </w:rPr>
        <w:footnoteReference w:id="2132"/>
      </w:r>
      <w:r w:rsidRPr="00845316">
        <w:rPr>
          <w:rFonts w:asciiTheme="minorBidi" w:hAnsiTheme="minorBidi"/>
          <w:rtl/>
        </w:rPr>
        <w:t xml:space="preserve">, </w:t>
      </w:r>
      <w:r w:rsidRPr="00845316">
        <w:rPr>
          <w:rFonts w:asciiTheme="minorBidi" w:hAnsiTheme="minorBidi"/>
          <w:u w:val="single"/>
          <w:rtl/>
        </w:rPr>
        <w:t>אביי אמר</w:t>
      </w:r>
      <w:r w:rsidRPr="00845316">
        <w:rPr>
          <w:rFonts w:asciiTheme="minorBidi" w:hAnsiTheme="minorBidi"/>
          <w:rtl/>
        </w:rPr>
        <w:t>: למפרע</w:t>
      </w:r>
      <w:r w:rsidRPr="00845316">
        <w:rPr>
          <w:rStyle w:val="ab"/>
          <w:rFonts w:asciiTheme="minorBidi" w:hAnsiTheme="minorBidi"/>
          <w:rtl/>
        </w:rPr>
        <w:footnoteReference w:id="2133"/>
      </w:r>
      <w:r w:rsidRPr="00845316">
        <w:rPr>
          <w:rFonts w:asciiTheme="minorBidi" w:hAnsiTheme="minorBidi"/>
          <w:rtl/>
        </w:rPr>
        <w:t xml:space="preserve"> הוא נפסל, </w:t>
      </w:r>
      <w:r w:rsidRPr="00845316">
        <w:rPr>
          <w:rFonts w:asciiTheme="minorBidi" w:hAnsiTheme="minorBidi"/>
          <w:u w:val="single"/>
          <w:rtl/>
        </w:rPr>
        <w:t>ורבא אמר:</w:t>
      </w:r>
      <w:r w:rsidRPr="00845316">
        <w:rPr>
          <w:rFonts w:asciiTheme="minorBidi" w:hAnsiTheme="minorBidi"/>
          <w:rtl/>
        </w:rPr>
        <w:t xml:space="preserve"> מיכן</w:t>
      </w:r>
      <w:r w:rsidRPr="00845316">
        <w:rPr>
          <w:rStyle w:val="ab"/>
          <w:rFonts w:asciiTheme="minorBidi" w:hAnsiTheme="minorBidi"/>
          <w:rtl/>
        </w:rPr>
        <w:footnoteReference w:id="2134"/>
      </w:r>
      <w:r w:rsidRPr="00845316">
        <w:rPr>
          <w:rFonts w:asciiTheme="minorBidi" w:hAnsiTheme="minorBidi"/>
          <w:rtl/>
        </w:rPr>
        <w:t xml:space="preserve"> ולהבא הוא נפסל. </w:t>
      </w:r>
      <w:r w:rsidRPr="00845316">
        <w:rPr>
          <w:rFonts w:asciiTheme="minorBidi" w:hAnsiTheme="minorBidi"/>
          <w:u w:val="single"/>
          <w:rtl/>
        </w:rPr>
        <w:t>אביי אמר</w:t>
      </w:r>
      <w:r w:rsidRPr="00845316">
        <w:rPr>
          <w:rFonts w:asciiTheme="minorBidi" w:hAnsiTheme="minorBidi"/>
          <w:rtl/>
        </w:rPr>
        <w:t xml:space="preserve">: למפרע הוא נפסל, מעידנא דאסהיד רשע הוא, והתורה אמרה אל תשת ידך עם רשע - אל תשת רשע עד. </w:t>
      </w:r>
      <w:r w:rsidRPr="00845316">
        <w:rPr>
          <w:rFonts w:asciiTheme="minorBidi" w:hAnsiTheme="minorBidi"/>
          <w:u w:val="single"/>
          <w:rtl/>
        </w:rPr>
        <w:t xml:space="preserve">רבא </w:t>
      </w:r>
      <w:r w:rsidRPr="00845316">
        <w:rPr>
          <w:rFonts w:asciiTheme="minorBidi" w:hAnsiTheme="minorBidi"/>
          <w:u w:val="single"/>
          <w:rtl/>
        </w:rPr>
        <w:lastRenderedPageBreak/>
        <w:t>אמר</w:t>
      </w:r>
      <w:r w:rsidRPr="00845316">
        <w:rPr>
          <w:rFonts w:asciiTheme="minorBidi" w:hAnsiTheme="minorBidi"/>
          <w:rtl/>
        </w:rPr>
        <w:t>: מיכן ולהבא הוא נפסל, עד זומם חידוש הוא</w:t>
      </w:r>
      <w:r w:rsidRPr="00845316">
        <w:rPr>
          <w:rStyle w:val="ab"/>
          <w:rFonts w:asciiTheme="minorBidi" w:hAnsiTheme="minorBidi"/>
          <w:rtl/>
        </w:rPr>
        <w:footnoteReference w:id="2135"/>
      </w:r>
      <w:r w:rsidRPr="00845316">
        <w:rPr>
          <w:rFonts w:asciiTheme="minorBidi" w:hAnsiTheme="minorBidi"/>
          <w:rtl/>
        </w:rPr>
        <w:t xml:space="preserve">- מאי חזית דסמכת אהני, סמוך אהני, אין לך בו אלא משעת חידושו ואילך. </w:t>
      </w:r>
      <w:r w:rsidRPr="00845316">
        <w:rPr>
          <w:rFonts w:asciiTheme="minorBidi" w:hAnsiTheme="minorBidi"/>
          <w:u w:val="dotted"/>
          <w:rtl/>
        </w:rPr>
        <w:t>איכא דאמרי</w:t>
      </w:r>
      <w:r w:rsidRPr="00845316">
        <w:rPr>
          <w:rFonts w:asciiTheme="minorBidi" w:hAnsiTheme="minorBidi"/>
          <w:rtl/>
        </w:rPr>
        <w:t>, רבא נמי כאביי סבירא ליה, ומאי טעם קאמר מכאן ולהבא - משום פסידא דלקוחות</w:t>
      </w:r>
      <w:r w:rsidRPr="00845316">
        <w:rPr>
          <w:rStyle w:val="ab"/>
          <w:rFonts w:asciiTheme="minorBidi" w:hAnsiTheme="minorBidi"/>
          <w:rtl/>
        </w:rPr>
        <w:footnoteReference w:id="2136"/>
      </w:r>
      <w:r w:rsidRPr="00845316">
        <w:rPr>
          <w:rFonts w:asciiTheme="minorBidi" w:hAnsiTheme="minorBidi"/>
          <w:rtl/>
        </w:rPr>
        <w:t>. מאי בינייהו</w:t>
      </w:r>
      <w:r w:rsidRPr="00845316">
        <w:rPr>
          <w:rStyle w:val="ab"/>
          <w:rFonts w:asciiTheme="minorBidi" w:hAnsiTheme="minorBidi"/>
          <w:rtl/>
        </w:rPr>
        <w:footnoteReference w:id="2137"/>
      </w:r>
      <w:r w:rsidRPr="00845316">
        <w:rPr>
          <w:rFonts w:asciiTheme="minorBidi" w:hAnsiTheme="minorBidi"/>
          <w:rtl/>
        </w:rPr>
        <w:t>? איכא בינייהו דאסהידו בי תרי בחד</w:t>
      </w:r>
      <w:r w:rsidRPr="00845316">
        <w:rPr>
          <w:rStyle w:val="ab"/>
          <w:rFonts w:asciiTheme="minorBidi" w:hAnsiTheme="minorBidi"/>
          <w:rtl/>
        </w:rPr>
        <w:footnoteReference w:id="2138"/>
      </w:r>
      <w:r w:rsidRPr="00845316">
        <w:rPr>
          <w:rFonts w:asciiTheme="minorBidi" w:hAnsiTheme="minorBidi"/>
          <w:rtl/>
        </w:rPr>
        <w:t>, אי נמי דפסלינהו</w:t>
      </w:r>
      <w:r w:rsidRPr="00845316">
        <w:rPr>
          <w:rStyle w:val="ab"/>
          <w:rFonts w:asciiTheme="minorBidi" w:hAnsiTheme="minorBidi"/>
          <w:rtl/>
        </w:rPr>
        <w:footnoteReference w:id="2139"/>
      </w:r>
      <w:r w:rsidRPr="00845316">
        <w:rPr>
          <w:rFonts w:asciiTheme="minorBidi" w:hAnsiTheme="minorBidi"/>
          <w:rtl/>
        </w:rPr>
        <w:t xml:space="preserve"> בגזלנותא</w:t>
      </w:r>
      <w:r w:rsidRPr="00845316">
        <w:rPr>
          <w:rStyle w:val="ab"/>
          <w:rFonts w:asciiTheme="minorBidi" w:hAnsiTheme="minorBidi"/>
          <w:rtl/>
        </w:rPr>
        <w:footnoteReference w:id="2140"/>
      </w:r>
      <w:r w:rsidRPr="00845316">
        <w:rPr>
          <w:rFonts w:asciiTheme="minorBidi" w:hAnsiTheme="minorBidi"/>
          <w:rtl/>
        </w:rPr>
        <w:t xml:space="preserve">. </w:t>
      </w:r>
      <w:r w:rsidRPr="00845316">
        <w:rPr>
          <w:rFonts w:asciiTheme="minorBidi" w:hAnsiTheme="minorBidi"/>
          <w:u w:val="single"/>
          <w:rtl/>
        </w:rPr>
        <w:t>ואמר רבי ירמיה מדיפתי</w:t>
      </w:r>
      <w:r w:rsidRPr="00845316">
        <w:rPr>
          <w:rFonts w:asciiTheme="minorBidi" w:hAnsiTheme="minorBidi"/>
          <w:rtl/>
        </w:rPr>
        <w:t xml:space="preserve">: עבד רב פפי עובדא כוותיה דרבא. </w:t>
      </w:r>
      <w:r w:rsidRPr="00845316">
        <w:rPr>
          <w:rFonts w:asciiTheme="minorBidi" w:hAnsiTheme="minorBidi"/>
          <w:u w:val="single"/>
          <w:rtl/>
        </w:rPr>
        <w:t>מר בר רב אשי אמר</w:t>
      </w:r>
      <w:r w:rsidRPr="00845316">
        <w:rPr>
          <w:rFonts w:asciiTheme="minorBidi" w:hAnsiTheme="minorBidi"/>
          <w:rtl/>
        </w:rPr>
        <w:t>: הלכתא כוותיה דאביי. והלכתא כוותיה דאביי ביע"ל קג"ם</w:t>
      </w:r>
      <w:r w:rsidRPr="00845316">
        <w:rPr>
          <w:rStyle w:val="ab"/>
          <w:rFonts w:asciiTheme="minorBidi" w:hAnsiTheme="minorBidi"/>
          <w:rtl/>
        </w:rPr>
        <w:footnoteReference w:id="2141"/>
      </w:r>
      <w:r w:rsidRPr="00845316">
        <w:rPr>
          <w:rFonts w:asciiTheme="minorBidi" w:hAnsiTheme="minorBidi"/>
          <w:rtl/>
        </w:rPr>
        <w:t>.</w:t>
      </w:r>
    </w:p>
    <w:p w14:paraId="7CC611A6" w14:textId="77777777" w:rsidR="004B607F" w:rsidRPr="00845316" w:rsidRDefault="004B607F" w:rsidP="004B607F">
      <w:pPr>
        <w:jc w:val="both"/>
        <w:rPr>
          <w:rFonts w:asciiTheme="minorBidi" w:hAnsiTheme="minorBidi"/>
          <w:rtl/>
        </w:rPr>
      </w:pPr>
      <w:r w:rsidRPr="00845316">
        <w:rPr>
          <w:rFonts w:asciiTheme="minorBidi" w:hAnsiTheme="minorBidi"/>
          <w:b/>
          <w:bCs/>
          <w:sz w:val="32"/>
          <w:szCs w:val="28"/>
          <w:u w:val="single"/>
          <w:rtl/>
        </w:rPr>
        <w:t xml:space="preserve">שו"ע: </w:t>
      </w:r>
    </w:p>
    <w:p w14:paraId="55A01394" w14:textId="77777777" w:rsidR="004B607F" w:rsidRPr="00845316" w:rsidRDefault="004B607F" w:rsidP="004B607F">
      <w:pPr>
        <w:rPr>
          <w:rFonts w:asciiTheme="minorBidi" w:hAnsiTheme="minorBidi"/>
          <w:rtl/>
        </w:rPr>
      </w:pPr>
      <w:r w:rsidRPr="00845316">
        <w:rPr>
          <w:rFonts w:asciiTheme="minorBidi" w:hAnsiTheme="minorBidi"/>
          <w:rtl/>
        </w:rPr>
        <w:t>עד זומם אף על פי שהוזם בעדות ממון</w:t>
      </w:r>
      <w:r w:rsidRPr="00845316">
        <w:rPr>
          <w:rStyle w:val="ab"/>
          <w:rFonts w:asciiTheme="minorBidi" w:hAnsiTheme="minorBidi"/>
          <w:rtl/>
        </w:rPr>
        <w:footnoteReference w:id="2142"/>
      </w:r>
      <w:r w:rsidRPr="00845316">
        <w:rPr>
          <w:rFonts w:asciiTheme="minorBidi" w:hAnsiTheme="minorBidi"/>
          <w:rtl/>
        </w:rPr>
        <w:t xml:space="preserve"> ושילם פסול מן התורה לכל עדות, ומאימתי הוא נפסל מעת שהעיד בבית דין אף על פי שלא הוזם על אותה עדות אלא לאחר כמה ימים</w:t>
      </w:r>
      <w:r w:rsidRPr="00845316">
        <w:rPr>
          <w:rStyle w:val="ab"/>
          <w:rFonts w:asciiTheme="minorBidi" w:hAnsiTheme="minorBidi"/>
          <w:rtl/>
        </w:rPr>
        <w:footnoteReference w:id="2143"/>
      </w:r>
      <w:r w:rsidRPr="00845316">
        <w:rPr>
          <w:rFonts w:asciiTheme="minorBidi" w:hAnsiTheme="minorBidi"/>
          <w:rtl/>
        </w:rPr>
        <w:t xml:space="preserve">. </w:t>
      </w:r>
    </w:p>
    <w:p w14:paraId="791BF27F" w14:textId="77777777" w:rsidR="004B607F" w:rsidRPr="00845316" w:rsidRDefault="004B607F" w:rsidP="004B607F">
      <w:pPr>
        <w:rPr>
          <w:rFonts w:asciiTheme="minorBidi" w:hAnsiTheme="minorBidi"/>
          <w:rtl/>
        </w:rPr>
      </w:pPr>
    </w:p>
    <w:p w14:paraId="4032FB41" w14:textId="77777777" w:rsidR="004B607F" w:rsidRPr="00845316" w:rsidRDefault="004B607F" w:rsidP="004B607F">
      <w:pPr>
        <w:pStyle w:val="2"/>
        <w:rPr>
          <w:rFonts w:asciiTheme="minorBidi" w:hAnsiTheme="minorBidi"/>
          <w:rtl/>
        </w:rPr>
      </w:pPr>
      <w:bookmarkStart w:id="290" w:name="_Toc24883756"/>
      <w:r w:rsidRPr="00845316">
        <w:rPr>
          <w:rFonts w:asciiTheme="minorBidi" w:hAnsiTheme="minorBidi"/>
          <w:rtl/>
        </w:rPr>
        <w:t>סעיף ט: עידי שטר זוממין.</w:t>
      </w:r>
      <w:bookmarkEnd w:id="290"/>
    </w:p>
    <w:p w14:paraId="7EDDD609" w14:textId="77777777" w:rsidR="004B607F" w:rsidRPr="00845316" w:rsidRDefault="004B607F" w:rsidP="004B607F">
      <w:pPr>
        <w:rPr>
          <w:rFonts w:asciiTheme="minorBidi" w:hAnsiTheme="minorBidi"/>
          <w:rtl/>
        </w:rPr>
      </w:pPr>
      <w:r w:rsidRPr="00845316">
        <w:rPr>
          <w:rFonts w:asciiTheme="minorBidi" w:hAnsiTheme="minorBidi"/>
          <w:b/>
          <w:bCs/>
          <w:rtl/>
        </w:rPr>
        <w:t>סנהדרין לב ע"א:</w:t>
      </w:r>
      <w:r w:rsidRPr="00845316">
        <w:rPr>
          <w:rFonts w:asciiTheme="minorBidi" w:hAnsiTheme="minorBidi"/>
          <w:rtl/>
        </w:rPr>
        <w:t xml:space="preserve"> שטר שזמנו כתוב</w:t>
      </w:r>
      <w:r w:rsidRPr="00845316">
        <w:rPr>
          <w:rStyle w:val="ab"/>
          <w:rFonts w:asciiTheme="minorBidi" w:hAnsiTheme="minorBidi"/>
          <w:rtl/>
        </w:rPr>
        <w:footnoteReference w:id="2144"/>
      </w:r>
      <w:r w:rsidRPr="00845316">
        <w:rPr>
          <w:rFonts w:asciiTheme="minorBidi" w:hAnsiTheme="minorBidi"/>
          <w:rtl/>
        </w:rPr>
        <w:t xml:space="preserve"> באחד בניסן בשמיטה, ובאו עדים ואמרו: היאך אתם מעידין על שטר זה והלא ביום פלוני עמנו הייתם במקום פלוני!? שטר כשר ועדיו כשרין, חיישינן שמא איחרוהו וכתבוהו</w:t>
      </w:r>
      <w:r w:rsidRPr="00845316">
        <w:rPr>
          <w:rStyle w:val="ab"/>
          <w:rFonts w:asciiTheme="minorBidi" w:hAnsiTheme="minorBidi"/>
          <w:rtl/>
        </w:rPr>
        <w:footnoteReference w:id="2145"/>
      </w:r>
      <w:r w:rsidRPr="00845316">
        <w:rPr>
          <w:rFonts w:asciiTheme="minorBidi" w:hAnsiTheme="minorBidi"/>
          <w:rtl/>
        </w:rPr>
        <w:t>.</w:t>
      </w:r>
    </w:p>
    <w:p w14:paraId="1F6906EA" w14:textId="77777777" w:rsidR="004B607F" w:rsidRPr="00845316" w:rsidRDefault="004B607F" w:rsidP="004B607F">
      <w:pPr>
        <w:rPr>
          <w:rFonts w:asciiTheme="minorBidi" w:hAnsiTheme="minorBidi"/>
          <w:u w:val="single"/>
          <w:rtl/>
        </w:rPr>
      </w:pPr>
      <w:r w:rsidRPr="00845316">
        <w:rPr>
          <w:rFonts w:asciiTheme="minorBidi" w:hAnsiTheme="minorBidi"/>
          <w:u w:val="single"/>
          <w:rtl/>
        </w:rPr>
        <w:t>האם שייך דין הזמה בעידי שטר</w:t>
      </w:r>
      <w:r w:rsidRPr="00845316">
        <w:rPr>
          <w:rFonts w:asciiTheme="minorBidi" w:hAnsiTheme="minorBidi"/>
          <w:sz w:val="16"/>
          <w:szCs w:val="16"/>
          <w:u w:val="single"/>
          <w:rtl/>
        </w:rPr>
        <w:t xml:space="preserve"> (דאולי לא דמי לעדות על פה)</w:t>
      </w:r>
      <w:r w:rsidRPr="00845316">
        <w:rPr>
          <w:rFonts w:asciiTheme="minorBidi" w:hAnsiTheme="minorBidi"/>
          <w:u w:val="single"/>
          <w:rtl/>
        </w:rPr>
        <w:t>:</w:t>
      </w:r>
    </w:p>
    <w:p w14:paraId="1B3B0B5D" w14:textId="77777777" w:rsidR="004B607F" w:rsidRPr="00845316" w:rsidRDefault="004B607F" w:rsidP="004B0475">
      <w:pPr>
        <w:pStyle w:val="ac"/>
        <w:numPr>
          <w:ilvl w:val="0"/>
          <w:numId w:val="149"/>
        </w:numPr>
        <w:rPr>
          <w:rFonts w:asciiTheme="minorBidi" w:hAnsiTheme="minorBidi"/>
        </w:rPr>
      </w:pPr>
      <w:r w:rsidRPr="00845316">
        <w:rPr>
          <w:rFonts w:asciiTheme="minorBidi" w:hAnsiTheme="minorBidi"/>
          <w:rtl/>
        </w:rPr>
        <w:t xml:space="preserve">רי"ף </w:t>
      </w:r>
      <w:r w:rsidRPr="00845316">
        <w:rPr>
          <w:rFonts w:asciiTheme="minorBidi" w:hAnsiTheme="minorBidi"/>
          <w:sz w:val="16"/>
          <w:szCs w:val="16"/>
          <w:rtl/>
        </w:rPr>
        <w:t>(ב"ק כח:)</w:t>
      </w:r>
      <w:r w:rsidRPr="00845316">
        <w:rPr>
          <w:rFonts w:asciiTheme="minorBidi" w:hAnsiTheme="minorBidi"/>
          <w:rtl/>
        </w:rPr>
        <w:t xml:space="preserve"> רמב"ם </w:t>
      </w:r>
      <w:r w:rsidRPr="00845316">
        <w:rPr>
          <w:rFonts w:asciiTheme="minorBidi" w:hAnsiTheme="minorBidi"/>
          <w:sz w:val="16"/>
          <w:szCs w:val="16"/>
          <w:rtl/>
        </w:rPr>
        <w:t>(פי"ט ה"ג)</w:t>
      </w:r>
      <w:r w:rsidRPr="00845316">
        <w:rPr>
          <w:rFonts w:asciiTheme="minorBidi" w:hAnsiTheme="minorBidi"/>
          <w:rtl/>
        </w:rPr>
        <w:t xml:space="preserve"> וטור- שייכא הזמה</w:t>
      </w:r>
      <w:r w:rsidRPr="00845316">
        <w:rPr>
          <w:rStyle w:val="ab"/>
          <w:rFonts w:asciiTheme="minorBidi" w:hAnsiTheme="minorBidi"/>
          <w:rtl/>
        </w:rPr>
        <w:footnoteReference w:id="2146"/>
      </w:r>
      <w:r w:rsidRPr="00845316">
        <w:rPr>
          <w:rFonts w:asciiTheme="minorBidi" w:hAnsiTheme="minorBidi"/>
          <w:rtl/>
        </w:rPr>
        <w:t>, ופסולים משחתמו בשטר</w:t>
      </w:r>
      <w:r>
        <w:rPr>
          <w:rFonts w:asciiTheme="minorBidi" w:hAnsiTheme="minorBidi" w:hint="cs"/>
          <w:rtl/>
        </w:rPr>
        <w:t>.</w:t>
      </w:r>
      <w:r w:rsidRPr="00845316">
        <w:rPr>
          <w:rFonts w:asciiTheme="minorBidi" w:hAnsiTheme="minorBidi"/>
          <w:rtl/>
        </w:rPr>
        <w:t xml:space="preserve"> וה"מ שנתברר מתי חתם, אבל אי לא ידעינן מתי חתם לא פסלינן ליה מזימנא דשטרא, דכיון דזייף איכא למימר השתא חתם על שטרא ולא מפסדי לשטרי דאינשי דהוה חתום בהו מספק</w:t>
      </w:r>
      <w:r>
        <w:rPr>
          <w:rFonts w:asciiTheme="minorBidi" w:hAnsiTheme="minorBidi" w:hint="cs"/>
          <w:rtl/>
        </w:rPr>
        <w:t>.</w:t>
      </w:r>
      <w:r w:rsidRPr="00845316">
        <w:rPr>
          <w:rFonts w:asciiTheme="minorBidi" w:hAnsiTheme="minorBidi"/>
          <w:rtl/>
        </w:rPr>
        <w:t xml:space="preserve"> ואם הוחזק שטר זה</w:t>
      </w:r>
      <w:r w:rsidRPr="00845316">
        <w:rPr>
          <w:rFonts w:asciiTheme="minorBidi" w:hAnsiTheme="minorBidi"/>
          <w:sz w:val="16"/>
          <w:szCs w:val="16"/>
          <w:rtl/>
        </w:rPr>
        <w:t xml:space="preserve"> (שמזימין אותו בו)</w:t>
      </w:r>
      <w:r w:rsidRPr="00845316">
        <w:rPr>
          <w:rFonts w:asciiTheme="minorBidi" w:hAnsiTheme="minorBidi"/>
          <w:rtl/>
        </w:rPr>
        <w:t xml:space="preserve"> בב"ד </w:t>
      </w:r>
      <w:r>
        <w:rPr>
          <w:rFonts w:asciiTheme="minorBidi" w:hAnsiTheme="minorBidi" w:hint="cs"/>
          <w:rtl/>
        </w:rPr>
        <w:t xml:space="preserve">- </w:t>
      </w:r>
      <w:r w:rsidRPr="00845316">
        <w:rPr>
          <w:rFonts w:asciiTheme="minorBidi" w:hAnsiTheme="minorBidi"/>
          <w:rtl/>
        </w:rPr>
        <w:t>נפסל משעה שהוחזק השטר בב"ד.</w:t>
      </w:r>
      <w:r w:rsidRPr="00845316">
        <w:rPr>
          <w:rFonts w:asciiTheme="minorBidi" w:hAnsiTheme="minorBidi"/>
          <w:color w:val="E36C0A" w:themeColor="accent6" w:themeShade="BF"/>
          <w:rtl/>
        </w:rPr>
        <w:t xml:space="preserve"> (וכ"פ בשו"ע)</w:t>
      </w:r>
    </w:p>
    <w:p w14:paraId="432FA5C8" w14:textId="77777777" w:rsidR="004B607F" w:rsidRPr="00845316" w:rsidRDefault="004B607F" w:rsidP="004B0475">
      <w:pPr>
        <w:pStyle w:val="ac"/>
        <w:numPr>
          <w:ilvl w:val="0"/>
          <w:numId w:val="149"/>
        </w:numPr>
        <w:rPr>
          <w:rFonts w:asciiTheme="minorBidi" w:hAnsiTheme="minorBidi"/>
        </w:rPr>
      </w:pPr>
      <w:r w:rsidRPr="00845316">
        <w:rPr>
          <w:rFonts w:asciiTheme="minorBidi" w:hAnsiTheme="minorBidi"/>
          <w:rtl/>
        </w:rPr>
        <w:t>(רז"ה</w:t>
      </w:r>
      <w:r w:rsidRPr="00845316">
        <w:rPr>
          <w:rFonts w:asciiTheme="minorBidi" w:hAnsiTheme="minorBidi"/>
          <w:sz w:val="16"/>
          <w:szCs w:val="16"/>
          <w:rtl/>
        </w:rPr>
        <w:t xml:space="preserve"> </w:t>
      </w:r>
      <w:r w:rsidRPr="00845316">
        <w:rPr>
          <w:rFonts w:asciiTheme="minorBidi" w:hAnsiTheme="minorBidi"/>
          <w:sz w:val="14"/>
          <w:szCs w:val="14"/>
          <w:rtl/>
        </w:rPr>
        <w:t>[ח:]</w:t>
      </w:r>
      <w:r w:rsidRPr="00845316">
        <w:rPr>
          <w:rFonts w:asciiTheme="minorBidi" w:hAnsiTheme="minorBidi"/>
          <w:sz w:val="16"/>
          <w:szCs w:val="16"/>
          <w:rtl/>
        </w:rPr>
        <w:t xml:space="preserve"> להב' הר"ן</w:t>
      </w:r>
      <w:r w:rsidRPr="00845316">
        <w:rPr>
          <w:rFonts w:asciiTheme="minorBidi" w:hAnsiTheme="minorBidi"/>
          <w:sz w:val="14"/>
          <w:szCs w:val="14"/>
          <w:rtl/>
        </w:rPr>
        <w:t xml:space="preserve"> [כתובות יב: ד"ה דכיון]</w:t>
      </w:r>
      <w:r w:rsidRPr="00845316">
        <w:rPr>
          <w:rFonts w:asciiTheme="minorBidi" w:hAnsiTheme="minorBidi"/>
          <w:rtl/>
        </w:rPr>
        <w:t>)- לעולם לא שייכת הזמה בעידי שטר.</w:t>
      </w:r>
    </w:p>
    <w:p w14:paraId="15F7CFF0" w14:textId="77777777" w:rsidR="004B607F" w:rsidRPr="00845316" w:rsidRDefault="004B607F" w:rsidP="004B0475">
      <w:pPr>
        <w:pStyle w:val="ac"/>
        <w:numPr>
          <w:ilvl w:val="0"/>
          <w:numId w:val="149"/>
        </w:numPr>
        <w:rPr>
          <w:rFonts w:asciiTheme="minorBidi" w:hAnsiTheme="minorBidi"/>
        </w:rPr>
      </w:pPr>
      <w:r w:rsidRPr="00845316">
        <w:rPr>
          <w:rFonts w:asciiTheme="minorBidi" w:hAnsiTheme="minorBidi"/>
          <w:rtl/>
        </w:rPr>
        <w:t>(רז"ה</w:t>
      </w:r>
      <w:r w:rsidRPr="00845316">
        <w:rPr>
          <w:rFonts w:asciiTheme="minorBidi" w:hAnsiTheme="minorBidi"/>
          <w:sz w:val="16"/>
          <w:szCs w:val="16"/>
          <w:rtl/>
        </w:rPr>
        <w:t xml:space="preserve"> להב' הב"ח</w:t>
      </w:r>
      <w:r w:rsidRPr="00845316">
        <w:rPr>
          <w:rFonts w:asciiTheme="minorBidi" w:hAnsiTheme="minorBidi"/>
          <w:sz w:val="14"/>
          <w:szCs w:val="14"/>
          <w:rtl/>
        </w:rPr>
        <w:t xml:space="preserve"> [אות יג]</w:t>
      </w:r>
      <w:r w:rsidRPr="00845316">
        <w:rPr>
          <w:rFonts w:asciiTheme="minorBidi" w:hAnsiTheme="minorBidi"/>
          <w:rtl/>
        </w:rPr>
        <w:t>)- גבי עונש לא שייכא הזמה אלא בעדות ע"פ, אבל ודאי שהם פסולים</w:t>
      </w:r>
      <w:r w:rsidRPr="00845316">
        <w:rPr>
          <w:rStyle w:val="ab"/>
          <w:rFonts w:asciiTheme="minorBidi" w:hAnsiTheme="minorBidi"/>
          <w:rtl/>
        </w:rPr>
        <w:footnoteReference w:id="2147"/>
      </w:r>
      <w:r w:rsidRPr="00845316">
        <w:rPr>
          <w:rFonts w:asciiTheme="minorBidi" w:hAnsiTheme="minorBidi"/>
          <w:rtl/>
        </w:rPr>
        <w:t>. (וכ"פ הש"ך</w:t>
      </w:r>
      <w:r w:rsidRPr="00845316">
        <w:rPr>
          <w:rStyle w:val="ab"/>
          <w:rFonts w:asciiTheme="minorBidi" w:hAnsiTheme="minorBidi"/>
          <w:rtl/>
        </w:rPr>
        <w:footnoteReference w:id="2148"/>
      </w:r>
      <w:r w:rsidRPr="00845316">
        <w:rPr>
          <w:rFonts w:asciiTheme="minorBidi" w:hAnsiTheme="minorBidi"/>
          <w:rtl/>
        </w:rPr>
        <w:t>)</w:t>
      </w:r>
    </w:p>
    <w:p w14:paraId="5EF0DB57" w14:textId="77777777" w:rsidR="004B607F" w:rsidRPr="00845316" w:rsidRDefault="004B607F" w:rsidP="004B607F">
      <w:pPr>
        <w:rPr>
          <w:rFonts w:asciiTheme="minorBidi" w:hAnsiTheme="minorBidi"/>
          <w:u w:val="single"/>
          <w:rtl/>
        </w:rPr>
      </w:pPr>
      <w:r w:rsidRPr="00845316">
        <w:rPr>
          <w:rFonts w:asciiTheme="minorBidi" w:hAnsiTheme="minorBidi"/>
          <w:u w:val="single"/>
          <w:rtl/>
        </w:rPr>
        <w:t xml:space="preserve">עדים שמשלמים להם ע"מ להעיד - האם נפסלים לגמרי מלהעיד </w:t>
      </w:r>
      <w:r w:rsidRPr="00845316">
        <w:rPr>
          <w:rFonts w:asciiTheme="minorBidi" w:hAnsiTheme="minorBidi"/>
          <w:sz w:val="16"/>
          <w:szCs w:val="16"/>
          <w:u w:val="single"/>
          <w:rtl/>
        </w:rPr>
        <w:t xml:space="preserve">(דעדותן זו מ"מ בטלה, כדקיי"ל בבכורות </w:t>
      </w:r>
      <w:r w:rsidRPr="00845316">
        <w:rPr>
          <w:rFonts w:asciiTheme="minorBidi" w:hAnsiTheme="minorBidi"/>
          <w:sz w:val="14"/>
          <w:szCs w:val="14"/>
          <w:u w:val="single"/>
          <w:rtl/>
        </w:rPr>
        <w:t>[כט.]</w:t>
      </w:r>
      <w:r w:rsidRPr="00845316">
        <w:rPr>
          <w:rFonts w:asciiTheme="minorBidi" w:hAnsiTheme="minorBidi"/>
          <w:sz w:val="16"/>
          <w:szCs w:val="16"/>
          <w:u w:val="single"/>
          <w:rtl/>
        </w:rPr>
        <w:t>)</w:t>
      </w:r>
      <w:r w:rsidRPr="00845316">
        <w:rPr>
          <w:rFonts w:asciiTheme="minorBidi" w:hAnsiTheme="minorBidi"/>
          <w:u w:val="single"/>
          <w:rtl/>
        </w:rPr>
        <w:t>:</w:t>
      </w:r>
    </w:p>
    <w:p w14:paraId="591B7870" w14:textId="77777777" w:rsidR="004B607F" w:rsidRPr="00845316" w:rsidRDefault="004B607F" w:rsidP="004B0475">
      <w:pPr>
        <w:pStyle w:val="ac"/>
        <w:numPr>
          <w:ilvl w:val="0"/>
          <w:numId w:val="152"/>
        </w:numPr>
        <w:rPr>
          <w:rFonts w:asciiTheme="minorBidi" w:hAnsiTheme="minorBidi"/>
          <w:rtl/>
        </w:rPr>
      </w:pPr>
      <w:r w:rsidRPr="00845316">
        <w:rPr>
          <w:rFonts w:asciiTheme="minorBidi" w:hAnsiTheme="minorBidi"/>
          <w:rtl/>
        </w:rPr>
        <w:lastRenderedPageBreak/>
        <w:t xml:space="preserve">רשב"א </w:t>
      </w:r>
      <w:r w:rsidRPr="00845316">
        <w:rPr>
          <w:rFonts w:asciiTheme="minorBidi" w:hAnsiTheme="minorBidi"/>
          <w:sz w:val="16"/>
          <w:szCs w:val="16"/>
          <w:rtl/>
        </w:rPr>
        <w:t>(בתשו' סי' תשפז, הביאוהו הדרכ"מ</w:t>
      </w:r>
      <w:r w:rsidRPr="00845316">
        <w:rPr>
          <w:rFonts w:asciiTheme="minorBidi" w:hAnsiTheme="minorBidi"/>
          <w:sz w:val="14"/>
          <w:szCs w:val="14"/>
          <w:rtl/>
        </w:rPr>
        <w:t xml:space="preserve"> [אות ה**]</w:t>
      </w:r>
      <w:r w:rsidRPr="00845316">
        <w:rPr>
          <w:rFonts w:asciiTheme="minorBidi" w:hAnsiTheme="minorBidi"/>
          <w:sz w:val="16"/>
          <w:szCs w:val="16"/>
          <w:rtl/>
        </w:rPr>
        <w:t xml:space="preserve"> והסמ"ע</w:t>
      </w:r>
      <w:r w:rsidRPr="00845316">
        <w:rPr>
          <w:rFonts w:asciiTheme="minorBidi" w:hAnsiTheme="minorBidi"/>
          <w:sz w:val="14"/>
          <w:szCs w:val="14"/>
          <w:rtl/>
        </w:rPr>
        <w:t xml:space="preserve"> [סקכ"ז]</w:t>
      </w:r>
      <w:r w:rsidRPr="00845316">
        <w:rPr>
          <w:rFonts w:asciiTheme="minorBidi" w:hAnsiTheme="minorBidi"/>
          <w:sz w:val="16"/>
          <w:szCs w:val="16"/>
          <w:rtl/>
        </w:rPr>
        <w:t>)</w:t>
      </w:r>
      <w:r w:rsidRPr="00845316">
        <w:rPr>
          <w:rFonts w:asciiTheme="minorBidi" w:hAnsiTheme="minorBidi"/>
          <w:rtl/>
        </w:rPr>
        <w:t>- מי ששכר עדים שיעידו לו והעידו, ולא נתברר אם שקר העידו, אע"ג דקיי"ל</w:t>
      </w:r>
      <w:r w:rsidRPr="00845316">
        <w:rPr>
          <w:rFonts w:asciiTheme="minorBidi" w:hAnsiTheme="minorBidi"/>
          <w:sz w:val="16"/>
          <w:szCs w:val="16"/>
          <w:rtl/>
        </w:rPr>
        <w:t xml:space="preserve"> (בכורות כט.)</w:t>
      </w:r>
      <w:r w:rsidRPr="00845316">
        <w:rPr>
          <w:rFonts w:asciiTheme="minorBidi" w:hAnsiTheme="minorBidi"/>
          <w:rtl/>
        </w:rPr>
        <w:t xml:space="preserve"> הנוטל שכר להעיד עדותו בטלה, מכל מקום העדים לא נפסלו אם לא דנוטלים שכר להעיד בשקר והעידו שקר, אבל אם לא העידו שקר</w:t>
      </w:r>
      <w:r>
        <w:rPr>
          <w:rFonts w:asciiTheme="minorBidi" w:hAnsiTheme="minorBidi" w:hint="cs"/>
          <w:rtl/>
        </w:rPr>
        <w:t xml:space="preserve"> -</w:t>
      </w:r>
      <w:r w:rsidRPr="00845316">
        <w:rPr>
          <w:rFonts w:asciiTheme="minorBidi" w:hAnsiTheme="minorBidi"/>
          <w:rtl/>
        </w:rPr>
        <w:t xml:space="preserve"> לא נפסלו</w:t>
      </w:r>
      <w:r w:rsidRPr="00845316">
        <w:rPr>
          <w:rFonts w:asciiTheme="minorBidi" w:hAnsiTheme="minorBidi"/>
          <w:sz w:val="16"/>
          <w:szCs w:val="16"/>
          <w:rtl/>
        </w:rPr>
        <w:t xml:space="preserve"> (ל' האורים</w:t>
      </w:r>
      <w:r w:rsidRPr="00845316">
        <w:rPr>
          <w:rFonts w:asciiTheme="minorBidi" w:hAnsiTheme="minorBidi"/>
          <w:sz w:val="14"/>
          <w:szCs w:val="14"/>
          <w:rtl/>
        </w:rPr>
        <w:t xml:space="preserve"> [סק"כ]</w:t>
      </w:r>
      <w:r w:rsidRPr="00845316">
        <w:rPr>
          <w:rFonts w:asciiTheme="minorBidi" w:hAnsiTheme="minorBidi"/>
          <w:sz w:val="16"/>
          <w:szCs w:val="16"/>
          <w:rtl/>
        </w:rPr>
        <w:t>)</w:t>
      </w:r>
      <w:r w:rsidRPr="00845316">
        <w:rPr>
          <w:rFonts w:asciiTheme="minorBidi" w:hAnsiTheme="minorBidi"/>
          <w:rtl/>
        </w:rPr>
        <w:t xml:space="preserve">. </w:t>
      </w:r>
    </w:p>
    <w:p w14:paraId="0DE846BE" w14:textId="77777777" w:rsidR="004B607F" w:rsidRPr="00845316" w:rsidRDefault="004B607F" w:rsidP="004B607F">
      <w:pPr>
        <w:jc w:val="both"/>
        <w:rPr>
          <w:rFonts w:asciiTheme="minorBidi" w:hAnsiTheme="minorBidi"/>
          <w:rtl/>
        </w:rPr>
      </w:pPr>
      <w:r w:rsidRPr="00845316">
        <w:rPr>
          <w:rFonts w:asciiTheme="minorBidi" w:hAnsiTheme="minorBidi"/>
          <w:b/>
          <w:bCs/>
          <w:sz w:val="32"/>
          <w:szCs w:val="28"/>
          <w:u w:val="single"/>
          <w:rtl/>
        </w:rPr>
        <w:t xml:space="preserve">שו"ע: </w:t>
      </w:r>
    </w:p>
    <w:p w14:paraId="22EEA9A3" w14:textId="77777777" w:rsidR="004B607F" w:rsidRPr="00845316" w:rsidRDefault="004B607F" w:rsidP="004B607F">
      <w:pPr>
        <w:rPr>
          <w:rFonts w:asciiTheme="minorBidi" w:hAnsiTheme="minorBidi"/>
          <w:sz w:val="18"/>
          <w:szCs w:val="18"/>
          <w:rtl/>
        </w:rPr>
      </w:pPr>
      <w:r w:rsidRPr="00845316">
        <w:rPr>
          <w:rFonts w:asciiTheme="minorBidi" w:hAnsiTheme="minorBidi"/>
          <w:rtl/>
        </w:rPr>
        <w:t>אין עידי השטר נעשים זוממים עד שיאמרו בבית דין</w:t>
      </w:r>
      <w:r w:rsidRPr="00845316">
        <w:rPr>
          <w:rStyle w:val="ab"/>
          <w:rFonts w:asciiTheme="minorBidi" w:hAnsiTheme="minorBidi"/>
          <w:rtl/>
        </w:rPr>
        <w:footnoteReference w:id="2149"/>
      </w:r>
      <w:r w:rsidRPr="00845316">
        <w:rPr>
          <w:rFonts w:asciiTheme="minorBidi" w:hAnsiTheme="minorBidi"/>
          <w:rtl/>
        </w:rPr>
        <w:t xml:space="preserve"> שטר זה בזמנו כתבנוהו ולא איחרנוהו, אבל אם לא אמרו כן אף על פי שזמנו של שטר באחד בניסן בירושלים ובאו עדים והעידו שעידי השטר היו עמהם בבבל ביום זה השטר כשר והעדים כשרים שאפשר שכתבוהו ואיחרוהו</w:t>
      </w:r>
      <w:r w:rsidRPr="00845316">
        <w:rPr>
          <w:rStyle w:val="ab"/>
          <w:rFonts w:asciiTheme="minorBidi" w:hAnsiTheme="minorBidi"/>
          <w:rtl/>
        </w:rPr>
        <w:footnoteReference w:id="2150"/>
      </w:r>
      <w:r w:rsidRPr="00845316">
        <w:rPr>
          <w:rFonts w:asciiTheme="minorBidi" w:hAnsiTheme="minorBidi"/>
          <w:rtl/>
        </w:rPr>
        <w:t xml:space="preserve"> וכשהיו בירושלים באחד באדר כתבו שטר זה שם ואיחרו זמנו וכתבו זמנו בניסן. ואם אמרו בזמנו כתבנוהו והוזמו, אם יש שם עדים</w:t>
      </w:r>
      <w:r w:rsidRPr="00845316">
        <w:rPr>
          <w:rStyle w:val="ab"/>
          <w:rFonts w:asciiTheme="minorBidi" w:hAnsiTheme="minorBidi"/>
          <w:rtl/>
        </w:rPr>
        <w:footnoteReference w:id="2151"/>
      </w:r>
      <w:r w:rsidRPr="00845316">
        <w:rPr>
          <w:rFonts w:asciiTheme="minorBidi" w:hAnsiTheme="minorBidi"/>
          <w:rtl/>
        </w:rPr>
        <w:t xml:space="preserve"> שיודעים היום שחתמו על זה השטר או עדים שראו זה השטר וחתימת ידם בו ביום פלוני, כיון שהוזמו נפסלו למפרע מיום שנודע שחתמו על השטר, שהעדים החתומים הרי הם כמי שנחקרה עדותן בבית דין בעת החתימה</w:t>
      </w:r>
      <w:r w:rsidRPr="00845316">
        <w:rPr>
          <w:rStyle w:val="ab"/>
          <w:rFonts w:asciiTheme="minorBidi" w:hAnsiTheme="minorBidi"/>
          <w:rtl/>
        </w:rPr>
        <w:footnoteReference w:id="2152"/>
      </w:r>
      <w:r w:rsidRPr="00845316">
        <w:rPr>
          <w:rFonts w:asciiTheme="minorBidi" w:hAnsiTheme="minorBidi"/>
          <w:rtl/>
        </w:rPr>
        <w:t>. אבל אם אין עדים שראו עדותן ולא ראו השטר מקודם אינם נפסלים אלא מעת שהעידו בבית דין שזה כתב ידם ואמרו בזמנו כתבנוהו, דאפשר שביום זה שהעידו בבית דין בו ביום חתמו על השטר שיש לו כמה שנים</w:t>
      </w:r>
      <w:r w:rsidRPr="00845316">
        <w:rPr>
          <w:rStyle w:val="ab"/>
          <w:rFonts w:asciiTheme="minorBidi" w:hAnsiTheme="minorBidi"/>
          <w:rtl/>
        </w:rPr>
        <w:footnoteReference w:id="2153"/>
      </w:r>
      <w:r w:rsidRPr="00845316">
        <w:rPr>
          <w:rFonts w:asciiTheme="minorBidi" w:hAnsiTheme="minorBidi"/>
          <w:rtl/>
        </w:rPr>
        <w:t xml:space="preserve"> והם שיקרו ואמרו בזמנו כתבנו</w:t>
      </w:r>
      <w:r w:rsidRPr="00845316">
        <w:rPr>
          <w:rStyle w:val="ab"/>
          <w:rFonts w:asciiTheme="minorBidi" w:hAnsiTheme="minorBidi"/>
          <w:rtl/>
        </w:rPr>
        <w:footnoteReference w:id="2154"/>
      </w:r>
      <w:r w:rsidRPr="00845316">
        <w:rPr>
          <w:rFonts w:asciiTheme="minorBidi" w:hAnsiTheme="minorBidi"/>
          <w:rtl/>
        </w:rPr>
        <w:t xml:space="preserve">. </w:t>
      </w:r>
      <w:r w:rsidRPr="00845316">
        <w:rPr>
          <w:rFonts w:asciiTheme="minorBidi" w:hAnsiTheme="minorBidi"/>
          <w:sz w:val="18"/>
          <w:szCs w:val="18"/>
          <w:rtl/>
        </w:rPr>
        <w:t xml:space="preserve">הגה: עדים שחתמו עצמן על שטר מוקדם במזיד פסולין לעדות (המ"מ ריש פכ"ג מהל' מלוה). </w:t>
      </w:r>
    </w:p>
    <w:p w14:paraId="38EE980C" w14:textId="77777777" w:rsidR="004B607F" w:rsidRPr="00845316" w:rsidRDefault="004B607F" w:rsidP="004B607F">
      <w:pPr>
        <w:rPr>
          <w:rFonts w:asciiTheme="minorBidi" w:hAnsiTheme="minorBidi"/>
          <w:rtl/>
        </w:rPr>
      </w:pPr>
    </w:p>
    <w:p w14:paraId="344BE94A" w14:textId="77777777" w:rsidR="004B607F" w:rsidRPr="00845316" w:rsidRDefault="004B607F" w:rsidP="004B607F">
      <w:pPr>
        <w:pStyle w:val="2"/>
        <w:rPr>
          <w:rFonts w:asciiTheme="minorBidi" w:hAnsiTheme="minorBidi"/>
          <w:rtl/>
        </w:rPr>
      </w:pPr>
      <w:bookmarkStart w:id="291" w:name="_Toc24883757"/>
      <w:r w:rsidRPr="00845316">
        <w:rPr>
          <w:rFonts w:asciiTheme="minorBidi" w:hAnsiTheme="minorBidi"/>
          <w:rtl/>
        </w:rPr>
        <w:t>סעיף י: מלוה ברבית.</w:t>
      </w:r>
      <w:bookmarkEnd w:id="291"/>
    </w:p>
    <w:p w14:paraId="5F41890F" w14:textId="77777777" w:rsidR="004B607F" w:rsidRPr="00845316" w:rsidRDefault="004B607F" w:rsidP="004B607F">
      <w:pPr>
        <w:rPr>
          <w:rFonts w:asciiTheme="minorBidi" w:hAnsiTheme="minorBidi"/>
          <w:rtl/>
        </w:rPr>
      </w:pPr>
      <w:r w:rsidRPr="00845316">
        <w:rPr>
          <w:rFonts w:asciiTheme="minorBidi" w:hAnsiTheme="minorBidi"/>
          <w:b/>
          <w:bCs/>
          <w:rtl/>
        </w:rPr>
        <w:t xml:space="preserve">סנהדרין כה ע"א: </w:t>
      </w:r>
      <w:r w:rsidRPr="00845316">
        <w:rPr>
          <w:rFonts w:asciiTheme="minorBidi" w:hAnsiTheme="minorBidi"/>
          <w:rtl/>
        </w:rPr>
        <w:t xml:space="preserve">מלוה ברבית. </w:t>
      </w:r>
      <w:r w:rsidRPr="00845316">
        <w:rPr>
          <w:rFonts w:asciiTheme="minorBidi" w:hAnsiTheme="minorBidi"/>
          <w:u w:val="single"/>
          <w:rtl/>
        </w:rPr>
        <w:t>אמר רבא</w:t>
      </w:r>
      <w:r w:rsidRPr="00845316">
        <w:rPr>
          <w:rFonts w:asciiTheme="minorBidi" w:hAnsiTheme="minorBidi"/>
          <w:rtl/>
        </w:rPr>
        <w:t>: לוה ברבית - פסול לעדות. והאנן תנן: מלוה ברבית! מלוה הבאה ברבית</w:t>
      </w:r>
      <w:r w:rsidRPr="00845316">
        <w:rPr>
          <w:rStyle w:val="ab"/>
          <w:rFonts w:asciiTheme="minorBidi" w:hAnsiTheme="minorBidi"/>
          <w:rtl/>
        </w:rPr>
        <w:footnoteReference w:id="2155"/>
      </w:r>
      <w:r w:rsidRPr="00845316">
        <w:rPr>
          <w:rFonts w:asciiTheme="minorBidi" w:hAnsiTheme="minorBidi"/>
          <w:rtl/>
        </w:rPr>
        <w:t>. בר ביניתוס אסהידו ביה תרי סהדי, חד אמר: קמי דידי אוזיף ברביתא, וחד אמר: לדידי אוזפי ברביתא. פסליה רבא לבר ביניתוס. והא רבא הוא דאמר: לוה ברבית פסול לעדות והוה ליה רשע והתורה אמרה אל תשת רשע עד! רבא לטעמיה, דאמר רבא: אדם קרוב אצל עצמו, ואין אדם משים עצמו רשע.</w:t>
      </w:r>
    </w:p>
    <w:p w14:paraId="7033E1BB" w14:textId="77777777" w:rsidR="004B607F" w:rsidRPr="00845316" w:rsidRDefault="004B607F" w:rsidP="004B607F">
      <w:pPr>
        <w:rPr>
          <w:rFonts w:asciiTheme="minorBidi" w:hAnsiTheme="minorBidi"/>
          <w:u w:val="single"/>
          <w:rtl/>
        </w:rPr>
      </w:pPr>
      <w:r w:rsidRPr="00845316">
        <w:rPr>
          <w:rFonts w:asciiTheme="minorBidi" w:hAnsiTheme="minorBidi"/>
          <w:u w:val="single"/>
          <w:rtl/>
        </w:rPr>
        <w:t xml:space="preserve">מה דין </w:t>
      </w:r>
      <w:r w:rsidRPr="00845316">
        <w:rPr>
          <w:rFonts w:asciiTheme="minorBidi" w:hAnsiTheme="minorBidi"/>
          <w:b/>
          <w:bCs/>
          <w:u w:val="single"/>
          <w:rtl/>
        </w:rPr>
        <w:t>הערב</w:t>
      </w:r>
      <w:r w:rsidRPr="00845316">
        <w:rPr>
          <w:rFonts w:asciiTheme="minorBidi" w:hAnsiTheme="minorBidi"/>
          <w:u w:val="single"/>
          <w:rtl/>
        </w:rPr>
        <w:t xml:space="preserve"> </w:t>
      </w:r>
      <w:r w:rsidRPr="00845316">
        <w:rPr>
          <w:rFonts w:asciiTheme="minorBidi" w:hAnsiTheme="minorBidi"/>
          <w:b/>
          <w:bCs/>
          <w:u w:val="single"/>
          <w:rtl/>
        </w:rPr>
        <w:t>והעדים</w:t>
      </w:r>
      <w:r w:rsidRPr="00845316">
        <w:rPr>
          <w:rFonts w:asciiTheme="minorBidi" w:hAnsiTheme="minorBidi"/>
          <w:u w:val="single"/>
          <w:rtl/>
        </w:rPr>
        <w:t xml:space="preserve"> שהשתתפו במלוה ברבית:</w:t>
      </w:r>
    </w:p>
    <w:p w14:paraId="1167C89C" w14:textId="77777777" w:rsidR="004B607F" w:rsidRPr="00845316" w:rsidRDefault="004B607F" w:rsidP="004B0475">
      <w:pPr>
        <w:pStyle w:val="ac"/>
        <w:numPr>
          <w:ilvl w:val="0"/>
          <w:numId w:val="152"/>
        </w:numPr>
        <w:rPr>
          <w:rFonts w:asciiTheme="minorBidi" w:hAnsiTheme="minorBidi"/>
        </w:rPr>
      </w:pPr>
      <w:r w:rsidRPr="00845316">
        <w:rPr>
          <w:rFonts w:asciiTheme="minorBidi" w:hAnsiTheme="minorBidi"/>
          <w:rtl/>
        </w:rPr>
        <w:t xml:space="preserve">גאונים (ונמוק"י </w:t>
      </w:r>
      <w:r w:rsidRPr="00845316">
        <w:rPr>
          <w:rFonts w:asciiTheme="minorBidi" w:hAnsiTheme="minorBidi"/>
          <w:sz w:val="16"/>
          <w:szCs w:val="16"/>
          <w:rtl/>
        </w:rPr>
        <w:t>להב' הב"י</w:t>
      </w:r>
      <w:r w:rsidRPr="00845316">
        <w:rPr>
          <w:rFonts w:asciiTheme="minorBidi" w:hAnsiTheme="minorBidi"/>
          <w:rtl/>
        </w:rPr>
        <w:t>)</w:t>
      </w:r>
      <w:r w:rsidRPr="00845316">
        <w:rPr>
          <w:rStyle w:val="ab"/>
          <w:rFonts w:asciiTheme="minorBidi" w:hAnsiTheme="minorBidi"/>
          <w:rtl/>
        </w:rPr>
        <w:footnoteReference w:id="2156"/>
      </w:r>
      <w:r w:rsidRPr="00845316">
        <w:rPr>
          <w:rFonts w:asciiTheme="minorBidi" w:hAnsiTheme="minorBidi"/>
          <w:rtl/>
        </w:rPr>
        <w:t>- כשרים, דלא תשימון לאינשי למלוה ולוה משמע להו ולא לערב ועדים</w:t>
      </w:r>
      <w:r w:rsidRPr="00845316">
        <w:rPr>
          <w:rFonts w:asciiTheme="minorBidi" w:hAnsiTheme="minorBidi"/>
          <w:sz w:val="16"/>
          <w:szCs w:val="16"/>
          <w:rtl/>
        </w:rPr>
        <w:t xml:space="preserve"> </w:t>
      </w:r>
      <w:r w:rsidRPr="00845316">
        <w:rPr>
          <w:rFonts w:asciiTheme="minorBidi" w:hAnsiTheme="minorBidi"/>
          <w:sz w:val="14"/>
          <w:szCs w:val="14"/>
          <w:rtl/>
        </w:rPr>
        <w:t>(גאונים)</w:t>
      </w:r>
      <w:r w:rsidRPr="00845316">
        <w:rPr>
          <w:rFonts w:asciiTheme="minorBidi" w:hAnsiTheme="minorBidi"/>
          <w:rtl/>
        </w:rPr>
        <w:t>, ועוד דאינם מרוויחים דבר</w:t>
      </w:r>
      <w:r w:rsidRPr="00845316">
        <w:rPr>
          <w:rFonts w:asciiTheme="minorBidi" w:hAnsiTheme="minorBidi"/>
          <w:sz w:val="16"/>
          <w:szCs w:val="16"/>
          <w:rtl/>
        </w:rPr>
        <w:t xml:space="preserve"> </w:t>
      </w:r>
      <w:r w:rsidRPr="00845316">
        <w:rPr>
          <w:rFonts w:asciiTheme="minorBidi" w:hAnsiTheme="minorBidi"/>
          <w:sz w:val="14"/>
          <w:szCs w:val="14"/>
          <w:rtl/>
        </w:rPr>
        <w:t>(נימוק"י</w:t>
      </w:r>
      <w:r w:rsidRPr="00845316">
        <w:rPr>
          <w:rStyle w:val="ab"/>
          <w:rFonts w:asciiTheme="minorBidi" w:hAnsiTheme="minorBidi"/>
          <w:rtl/>
        </w:rPr>
        <w:footnoteReference w:id="2157"/>
      </w:r>
      <w:r w:rsidRPr="00845316">
        <w:rPr>
          <w:rFonts w:asciiTheme="minorBidi" w:hAnsiTheme="minorBidi"/>
          <w:sz w:val="14"/>
          <w:szCs w:val="14"/>
          <w:rtl/>
        </w:rPr>
        <w:t>)</w:t>
      </w:r>
      <w:r w:rsidRPr="00845316">
        <w:rPr>
          <w:rFonts w:asciiTheme="minorBidi" w:hAnsiTheme="minorBidi"/>
          <w:rtl/>
        </w:rPr>
        <w:t>.</w:t>
      </w:r>
      <w:r w:rsidRPr="00845316">
        <w:rPr>
          <w:rFonts w:asciiTheme="minorBidi" w:hAnsiTheme="minorBidi"/>
          <w:sz w:val="16"/>
          <w:szCs w:val="16"/>
          <w:rtl/>
        </w:rPr>
        <w:t xml:space="preserve"> </w:t>
      </w:r>
      <w:r w:rsidRPr="00845316">
        <w:rPr>
          <w:rFonts w:asciiTheme="minorBidi" w:hAnsiTheme="minorBidi"/>
          <w:color w:val="E36C0A" w:themeColor="accent6" w:themeShade="BF"/>
          <w:rtl/>
        </w:rPr>
        <w:t>(וכ"פ בשו"ע)</w:t>
      </w:r>
      <w:r w:rsidRPr="00845316">
        <w:rPr>
          <w:rFonts w:asciiTheme="minorBidi" w:hAnsiTheme="minorBidi"/>
          <w:rtl/>
        </w:rPr>
        <w:t xml:space="preserve"> </w:t>
      </w:r>
    </w:p>
    <w:p w14:paraId="5587BDF2" w14:textId="77777777" w:rsidR="004B607F" w:rsidRPr="00845316" w:rsidRDefault="004B607F" w:rsidP="004B0475">
      <w:pPr>
        <w:pStyle w:val="ac"/>
        <w:numPr>
          <w:ilvl w:val="0"/>
          <w:numId w:val="152"/>
        </w:numPr>
        <w:rPr>
          <w:rFonts w:asciiTheme="minorBidi" w:hAnsiTheme="minorBidi"/>
        </w:rPr>
      </w:pPr>
      <w:r w:rsidRPr="00845316">
        <w:rPr>
          <w:rFonts w:asciiTheme="minorBidi" w:hAnsiTheme="minorBidi"/>
          <w:rtl/>
        </w:rPr>
        <w:t>תוס'</w:t>
      </w:r>
      <w:r w:rsidRPr="00845316">
        <w:rPr>
          <w:rStyle w:val="ab"/>
          <w:rFonts w:asciiTheme="minorBidi" w:hAnsiTheme="minorBidi"/>
          <w:rtl/>
        </w:rPr>
        <w:footnoteReference w:id="2158"/>
      </w:r>
      <w:r w:rsidRPr="00845316">
        <w:rPr>
          <w:rFonts w:asciiTheme="minorBidi" w:hAnsiTheme="minorBidi"/>
          <w:rtl/>
        </w:rPr>
        <w:t xml:space="preserve">- </w:t>
      </w:r>
      <w:r w:rsidRPr="00845316">
        <w:rPr>
          <w:rFonts w:asciiTheme="minorBidi" w:hAnsiTheme="minorBidi"/>
          <w:u w:val="single"/>
          <w:rtl/>
        </w:rPr>
        <w:t>העדים</w:t>
      </w:r>
      <w:r w:rsidRPr="00845316">
        <w:rPr>
          <w:rFonts w:asciiTheme="minorBidi" w:hAnsiTheme="minorBidi"/>
          <w:rtl/>
        </w:rPr>
        <w:t xml:space="preserve"> כשרים, דלא תשימון עליו נשך לאינשי במלוה ולוה </w:t>
      </w:r>
      <w:r w:rsidRPr="00845316">
        <w:rPr>
          <w:rFonts w:asciiTheme="minorBidi" w:hAnsiTheme="minorBidi"/>
          <w:u w:val="single"/>
          <w:rtl/>
        </w:rPr>
        <w:t>וערב</w:t>
      </w:r>
      <w:r w:rsidRPr="00845316">
        <w:rPr>
          <w:rStyle w:val="ab"/>
          <w:rFonts w:asciiTheme="minorBidi" w:hAnsiTheme="minorBidi"/>
          <w:rtl/>
        </w:rPr>
        <w:footnoteReference w:id="2159"/>
      </w:r>
      <w:r w:rsidRPr="00845316">
        <w:rPr>
          <w:rFonts w:asciiTheme="minorBidi" w:hAnsiTheme="minorBidi"/>
          <w:rtl/>
        </w:rPr>
        <w:t xml:space="preserve"> משמע להו. (וכ"פ הסמ"ע</w:t>
      </w:r>
      <w:r w:rsidRPr="00845316">
        <w:rPr>
          <w:rFonts w:asciiTheme="minorBidi" w:hAnsiTheme="minorBidi"/>
          <w:sz w:val="14"/>
          <w:szCs w:val="14"/>
          <w:rtl/>
        </w:rPr>
        <w:t xml:space="preserve"> [ר"ס נב]</w:t>
      </w:r>
      <w:r w:rsidRPr="00845316">
        <w:rPr>
          <w:rFonts w:asciiTheme="minorBidi" w:hAnsiTheme="minorBidi"/>
          <w:rtl/>
        </w:rPr>
        <w:t>)</w:t>
      </w:r>
    </w:p>
    <w:p w14:paraId="538ECC5F" w14:textId="77777777" w:rsidR="004B607F" w:rsidRPr="00845316" w:rsidRDefault="004B607F" w:rsidP="004B0475">
      <w:pPr>
        <w:pStyle w:val="ac"/>
        <w:numPr>
          <w:ilvl w:val="0"/>
          <w:numId w:val="152"/>
        </w:numPr>
        <w:rPr>
          <w:rFonts w:asciiTheme="minorBidi" w:hAnsiTheme="minorBidi"/>
        </w:rPr>
      </w:pPr>
      <w:r w:rsidRPr="00845316">
        <w:rPr>
          <w:rFonts w:asciiTheme="minorBidi" w:hAnsiTheme="minorBidi"/>
          <w:rtl/>
        </w:rPr>
        <w:t>רבי יואל הלוי וטור</w:t>
      </w:r>
      <w:r w:rsidRPr="00845316">
        <w:rPr>
          <w:rStyle w:val="ab"/>
          <w:rFonts w:asciiTheme="minorBidi" w:hAnsiTheme="minorBidi"/>
          <w:rtl/>
        </w:rPr>
        <w:footnoteReference w:id="2160"/>
      </w:r>
      <w:r w:rsidRPr="00845316">
        <w:rPr>
          <w:rFonts w:asciiTheme="minorBidi" w:hAnsiTheme="minorBidi"/>
          <w:rtl/>
        </w:rPr>
        <w:t xml:space="preserve">- </w:t>
      </w:r>
      <w:r w:rsidRPr="00845316">
        <w:rPr>
          <w:rFonts w:asciiTheme="minorBidi" w:hAnsiTheme="minorBidi"/>
          <w:u w:val="single"/>
          <w:rtl/>
        </w:rPr>
        <w:t>העדים</w:t>
      </w:r>
      <w:r w:rsidRPr="00845316">
        <w:rPr>
          <w:rFonts w:asciiTheme="minorBidi" w:hAnsiTheme="minorBidi"/>
          <w:rtl/>
        </w:rPr>
        <w:t xml:space="preserve"> כשרים, מהא דקיי"ל דשטר שיש בו רבית מפורש גובה בו קרן אפילו ממשעבדי.</w:t>
      </w:r>
      <w:r w:rsidRPr="00845316">
        <w:rPr>
          <w:rFonts w:asciiTheme="minorBidi" w:hAnsiTheme="minorBidi"/>
          <w:color w:val="FF0000"/>
          <w:rtl/>
        </w:rPr>
        <w:t xml:space="preserve"> </w:t>
      </w:r>
      <w:r w:rsidRPr="00845316">
        <w:rPr>
          <w:rFonts w:asciiTheme="minorBidi" w:hAnsiTheme="minorBidi"/>
          <w:rtl/>
        </w:rPr>
        <w:t xml:space="preserve"> </w:t>
      </w:r>
    </w:p>
    <w:p w14:paraId="28434216" w14:textId="77777777" w:rsidR="004B607F" w:rsidRPr="00845316" w:rsidRDefault="004B607F" w:rsidP="004B0475">
      <w:pPr>
        <w:pStyle w:val="ac"/>
        <w:numPr>
          <w:ilvl w:val="0"/>
          <w:numId w:val="152"/>
        </w:numPr>
        <w:rPr>
          <w:rFonts w:asciiTheme="minorBidi" w:hAnsiTheme="minorBidi"/>
        </w:rPr>
      </w:pPr>
      <w:r w:rsidRPr="00845316">
        <w:rPr>
          <w:rFonts w:asciiTheme="minorBidi" w:hAnsiTheme="minorBidi"/>
          <w:rtl/>
        </w:rPr>
        <w:lastRenderedPageBreak/>
        <w:t>(נמוק"י</w:t>
      </w:r>
      <w:r w:rsidRPr="00845316">
        <w:rPr>
          <w:rFonts w:asciiTheme="minorBidi" w:hAnsiTheme="minorBidi"/>
          <w:sz w:val="16"/>
          <w:szCs w:val="16"/>
          <w:rtl/>
        </w:rPr>
        <w:t xml:space="preserve"> להב' מהרש"ק</w:t>
      </w:r>
      <w:r w:rsidRPr="00845316">
        <w:rPr>
          <w:rFonts w:asciiTheme="minorBidi" w:hAnsiTheme="minorBidi"/>
          <w:rtl/>
        </w:rPr>
        <w:t>)</w:t>
      </w:r>
      <w:r w:rsidRPr="00845316">
        <w:rPr>
          <w:rStyle w:val="ab"/>
          <w:rFonts w:asciiTheme="minorBidi" w:hAnsiTheme="minorBidi"/>
          <w:rtl/>
        </w:rPr>
        <w:footnoteReference w:id="2161"/>
      </w:r>
      <w:r w:rsidRPr="00845316">
        <w:rPr>
          <w:rFonts w:asciiTheme="minorBidi" w:hAnsiTheme="minorBidi"/>
          <w:rtl/>
        </w:rPr>
        <w:t xml:space="preserve">- </w:t>
      </w:r>
      <w:r w:rsidRPr="00845316">
        <w:rPr>
          <w:rFonts w:asciiTheme="minorBidi" w:hAnsiTheme="minorBidi"/>
          <w:u w:val="single"/>
          <w:rtl/>
        </w:rPr>
        <w:t>העדים</w:t>
      </w:r>
      <w:r w:rsidRPr="00845316">
        <w:rPr>
          <w:rFonts w:asciiTheme="minorBidi" w:hAnsiTheme="minorBidi"/>
          <w:rtl/>
        </w:rPr>
        <w:t xml:space="preserve"> פסולים כיון שחייבין מלקות, אבל </w:t>
      </w:r>
      <w:r w:rsidRPr="00845316">
        <w:rPr>
          <w:rFonts w:asciiTheme="minorBidi" w:hAnsiTheme="minorBidi"/>
          <w:u w:val="single"/>
          <w:rtl/>
        </w:rPr>
        <w:t>לוה</w:t>
      </w:r>
      <w:r w:rsidRPr="00845316">
        <w:rPr>
          <w:rFonts w:asciiTheme="minorBidi" w:hAnsiTheme="minorBidi"/>
          <w:rtl/>
        </w:rPr>
        <w:t xml:space="preserve"> כשר משום דמפסיד, ובכלל טועה הוא. </w:t>
      </w:r>
    </w:p>
    <w:p w14:paraId="374B1D36" w14:textId="77777777" w:rsidR="004B607F" w:rsidRPr="00845316" w:rsidRDefault="004B607F" w:rsidP="004B0475">
      <w:pPr>
        <w:pStyle w:val="ac"/>
        <w:numPr>
          <w:ilvl w:val="0"/>
          <w:numId w:val="152"/>
        </w:numPr>
        <w:rPr>
          <w:rFonts w:asciiTheme="minorBidi" w:hAnsiTheme="minorBidi"/>
        </w:rPr>
      </w:pPr>
      <w:r w:rsidRPr="00845316">
        <w:rPr>
          <w:rFonts w:asciiTheme="minorBidi" w:hAnsiTheme="minorBidi"/>
          <w:rtl/>
        </w:rPr>
        <w:t xml:space="preserve">(רמב"ם </w:t>
      </w:r>
      <w:r w:rsidRPr="00845316">
        <w:rPr>
          <w:rFonts w:asciiTheme="minorBidi" w:hAnsiTheme="minorBidi"/>
          <w:sz w:val="16"/>
          <w:szCs w:val="16"/>
          <w:rtl/>
        </w:rPr>
        <w:t>להב' רי"ו</w:t>
      </w:r>
      <w:r w:rsidRPr="00845316">
        <w:rPr>
          <w:rFonts w:asciiTheme="minorBidi" w:hAnsiTheme="minorBidi"/>
          <w:rtl/>
        </w:rPr>
        <w:t>)</w:t>
      </w:r>
      <w:r w:rsidRPr="00845316">
        <w:rPr>
          <w:rStyle w:val="ab"/>
          <w:rFonts w:asciiTheme="minorBidi" w:hAnsiTheme="minorBidi"/>
          <w:rtl/>
        </w:rPr>
        <w:footnoteReference w:id="2162"/>
      </w:r>
      <w:r w:rsidRPr="00845316">
        <w:rPr>
          <w:rFonts w:asciiTheme="minorBidi" w:hAnsiTheme="minorBidi"/>
          <w:rtl/>
        </w:rPr>
        <w:t>-</w:t>
      </w:r>
      <w:r w:rsidRPr="00845316">
        <w:rPr>
          <w:rFonts w:asciiTheme="minorBidi" w:hAnsiTheme="minorBidi"/>
          <w:sz w:val="16"/>
          <w:szCs w:val="16"/>
          <w:rtl/>
        </w:rPr>
        <w:t xml:space="preserve"> </w:t>
      </w:r>
      <w:r w:rsidRPr="00845316">
        <w:rPr>
          <w:rFonts w:asciiTheme="minorBidi" w:hAnsiTheme="minorBidi"/>
          <w:rtl/>
        </w:rPr>
        <w:t>פסולין, ממש"כ</w:t>
      </w:r>
      <w:r w:rsidRPr="00845316">
        <w:rPr>
          <w:rFonts w:asciiTheme="minorBidi" w:hAnsiTheme="minorBidi"/>
          <w:sz w:val="14"/>
          <w:szCs w:val="14"/>
          <w:rtl/>
        </w:rPr>
        <w:t xml:space="preserve"> </w:t>
      </w:r>
      <w:r w:rsidRPr="00845316">
        <w:rPr>
          <w:rFonts w:asciiTheme="minorBidi" w:hAnsiTheme="minorBidi"/>
          <w:rtl/>
        </w:rPr>
        <w:t>שהערב והעדים והסופר עוברים על לא תשימון עליו נשך</w:t>
      </w:r>
      <w:r w:rsidRPr="00845316">
        <w:rPr>
          <w:rStyle w:val="ab"/>
          <w:rFonts w:asciiTheme="minorBidi" w:hAnsiTheme="minorBidi"/>
          <w:rtl/>
        </w:rPr>
        <w:footnoteReference w:id="2163"/>
      </w:r>
      <w:r w:rsidRPr="00845316">
        <w:rPr>
          <w:rFonts w:asciiTheme="minorBidi" w:hAnsiTheme="minorBidi"/>
          <w:rtl/>
        </w:rPr>
        <w:t xml:space="preserve">. </w:t>
      </w:r>
    </w:p>
    <w:p w14:paraId="57AC6493" w14:textId="77777777" w:rsidR="004B607F" w:rsidRPr="00845316" w:rsidRDefault="004B607F" w:rsidP="004B607F">
      <w:pPr>
        <w:rPr>
          <w:rFonts w:asciiTheme="minorBidi" w:hAnsiTheme="minorBidi"/>
          <w:u w:val="single"/>
          <w:rtl/>
        </w:rPr>
      </w:pPr>
      <w:bookmarkStart w:id="292" w:name="_Hlk19548272"/>
      <w:r w:rsidRPr="00845316">
        <w:rPr>
          <w:rFonts w:asciiTheme="minorBidi" w:hAnsiTheme="minorBidi"/>
          <w:u w:val="single"/>
          <w:rtl/>
        </w:rPr>
        <w:t xml:space="preserve">מה דין </w:t>
      </w:r>
      <w:r w:rsidRPr="00845316">
        <w:rPr>
          <w:rFonts w:asciiTheme="minorBidi" w:hAnsiTheme="minorBidi"/>
          <w:b/>
          <w:bCs/>
          <w:u w:val="single"/>
          <w:rtl/>
        </w:rPr>
        <w:t>הלוה</w:t>
      </w:r>
      <w:r w:rsidRPr="00845316">
        <w:rPr>
          <w:rFonts w:asciiTheme="minorBidi" w:hAnsiTheme="minorBidi"/>
          <w:u w:val="single"/>
          <w:rtl/>
        </w:rPr>
        <w:t xml:space="preserve"> ברבית דרבנן:</w:t>
      </w:r>
    </w:p>
    <w:p w14:paraId="0B9B51F1" w14:textId="77777777" w:rsidR="004B607F" w:rsidRPr="00845316" w:rsidRDefault="004B607F" w:rsidP="004B0475">
      <w:pPr>
        <w:pStyle w:val="ac"/>
        <w:numPr>
          <w:ilvl w:val="0"/>
          <w:numId w:val="158"/>
        </w:numPr>
        <w:rPr>
          <w:rFonts w:asciiTheme="minorBidi" w:hAnsiTheme="minorBidi"/>
        </w:rPr>
      </w:pPr>
      <w:r w:rsidRPr="00845316">
        <w:rPr>
          <w:rFonts w:asciiTheme="minorBidi" w:hAnsiTheme="minorBidi"/>
          <w:rtl/>
        </w:rPr>
        <w:t xml:space="preserve">תוס' </w:t>
      </w:r>
      <w:r w:rsidRPr="00845316">
        <w:rPr>
          <w:rFonts w:asciiTheme="minorBidi" w:hAnsiTheme="minorBidi"/>
          <w:sz w:val="16"/>
          <w:szCs w:val="16"/>
          <w:rtl/>
        </w:rPr>
        <w:t xml:space="preserve">(ר"ה כב. ד"ה אלו, הביאו באה"ג </w:t>
      </w:r>
      <w:r w:rsidRPr="00845316">
        <w:rPr>
          <w:rFonts w:asciiTheme="minorBidi" w:hAnsiTheme="minorBidi"/>
          <w:sz w:val="14"/>
          <w:szCs w:val="14"/>
          <w:rtl/>
        </w:rPr>
        <w:t>[אות ת]</w:t>
      </w:r>
      <w:r w:rsidRPr="00845316">
        <w:rPr>
          <w:rFonts w:asciiTheme="minorBidi" w:hAnsiTheme="minorBidi"/>
          <w:sz w:val="16"/>
          <w:szCs w:val="16"/>
          <w:rtl/>
        </w:rPr>
        <w:t>)</w:t>
      </w:r>
      <w:r w:rsidRPr="00845316">
        <w:rPr>
          <w:rFonts w:asciiTheme="minorBidi" w:hAnsiTheme="minorBidi"/>
          <w:rtl/>
        </w:rPr>
        <w:t>- גם המלוה וגם הלוה פסולין מדרבנן.</w:t>
      </w:r>
      <w:r w:rsidRPr="00845316">
        <w:rPr>
          <w:rFonts w:asciiTheme="minorBidi" w:hAnsiTheme="minorBidi"/>
          <w:color w:val="E36C0A" w:themeColor="accent6" w:themeShade="BF"/>
          <w:rtl/>
        </w:rPr>
        <w:t xml:space="preserve"> (וכ"פ בשו"ע)</w:t>
      </w:r>
    </w:p>
    <w:p w14:paraId="60A34BA9" w14:textId="77777777" w:rsidR="004B607F" w:rsidRPr="00845316" w:rsidRDefault="004B607F" w:rsidP="004B0475">
      <w:pPr>
        <w:pStyle w:val="ac"/>
        <w:numPr>
          <w:ilvl w:val="0"/>
          <w:numId w:val="158"/>
        </w:numPr>
        <w:rPr>
          <w:rFonts w:asciiTheme="minorBidi" w:hAnsiTheme="minorBidi"/>
          <w:rtl/>
        </w:rPr>
      </w:pPr>
      <w:r w:rsidRPr="00845316">
        <w:rPr>
          <w:rFonts w:asciiTheme="minorBidi" w:hAnsiTheme="minorBidi"/>
          <w:rtl/>
        </w:rPr>
        <w:t>תוס' נמוק"י ורי"ו</w:t>
      </w:r>
      <w:r w:rsidRPr="00845316">
        <w:rPr>
          <w:rStyle w:val="ab"/>
          <w:rFonts w:asciiTheme="minorBidi" w:hAnsiTheme="minorBidi"/>
          <w:rtl/>
        </w:rPr>
        <w:footnoteReference w:id="2164"/>
      </w:r>
      <w:r w:rsidRPr="00845316">
        <w:rPr>
          <w:rFonts w:asciiTheme="minorBidi" w:hAnsiTheme="minorBidi"/>
          <w:rtl/>
        </w:rPr>
        <w:t xml:space="preserve">- ברבית דרבנן אין אסור רבית ללוה אך עובר משום ולפני עור. </w:t>
      </w:r>
      <w:r w:rsidRPr="00845316">
        <w:rPr>
          <w:rFonts w:asciiTheme="minorBidi" w:hAnsiTheme="minorBidi"/>
          <w:color w:val="00B0F0"/>
          <w:rtl/>
        </w:rPr>
        <w:t xml:space="preserve">(וכ"פ הרמ"א </w:t>
      </w:r>
      <w:r w:rsidRPr="00845316">
        <w:rPr>
          <w:rFonts w:asciiTheme="minorBidi" w:hAnsiTheme="minorBidi"/>
          <w:sz w:val="16"/>
          <w:szCs w:val="16"/>
          <w:rtl/>
        </w:rPr>
        <w:t>[יו"ד ר"ס קס]</w:t>
      </w:r>
      <w:r w:rsidRPr="00845316">
        <w:rPr>
          <w:rFonts w:asciiTheme="minorBidi" w:hAnsiTheme="minorBidi"/>
          <w:color w:val="00B0F0"/>
          <w:rtl/>
        </w:rPr>
        <w:t>)</w:t>
      </w:r>
    </w:p>
    <w:bookmarkEnd w:id="292"/>
    <w:p w14:paraId="739A8CAD" w14:textId="77777777" w:rsidR="004B607F" w:rsidRPr="00845316" w:rsidRDefault="004B607F" w:rsidP="004B607F">
      <w:pPr>
        <w:jc w:val="both"/>
        <w:rPr>
          <w:rFonts w:asciiTheme="minorBidi" w:hAnsiTheme="minorBidi"/>
          <w:rtl/>
        </w:rPr>
      </w:pPr>
      <w:r w:rsidRPr="00845316">
        <w:rPr>
          <w:rFonts w:asciiTheme="minorBidi" w:hAnsiTheme="minorBidi"/>
          <w:b/>
          <w:bCs/>
          <w:sz w:val="32"/>
          <w:szCs w:val="28"/>
          <w:u w:val="single"/>
          <w:rtl/>
        </w:rPr>
        <w:t xml:space="preserve">שו"ע: </w:t>
      </w:r>
    </w:p>
    <w:p w14:paraId="0B13B379" w14:textId="77777777" w:rsidR="004B607F" w:rsidRPr="00845316" w:rsidRDefault="004B607F" w:rsidP="004B607F">
      <w:pPr>
        <w:rPr>
          <w:rFonts w:asciiTheme="minorBidi" w:hAnsiTheme="minorBidi"/>
          <w:sz w:val="18"/>
          <w:szCs w:val="18"/>
          <w:rtl/>
        </w:rPr>
      </w:pPr>
      <w:r w:rsidRPr="00845316">
        <w:rPr>
          <w:rFonts w:asciiTheme="minorBidi" w:hAnsiTheme="minorBidi"/>
          <w:rtl/>
        </w:rPr>
        <w:t>המלוה ברבית פסול אחד המלוה ואחד הלוה, אם ברבית קצוצה פסולים מן התורה, ואם ברבית שאינה קצוצה</w:t>
      </w:r>
      <w:r w:rsidRPr="00845316">
        <w:rPr>
          <w:rStyle w:val="ab"/>
          <w:rFonts w:asciiTheme="minorBidi" w:hAnsiTheme="minorBidi"/>
          <w:rtl/>
        </w:rPr>
        <w:footnoteReference w:id="2165"/>
      </w:r>
      <w:r w:rsidRPr="00845316">
        <w:rPr>
          <w:rFonts w:asciiTheme="minorBidi" w:hAnsiTheme="minorBidi"/>
          <w:rtl/>
        </w:rPr>
        <w:t xml:space="preserve"> פסולים מדבריהם. </w:t>
      </w:r>
      <w:r w:rsidRPr="00845316">
        <w:rPr>
          <w:rFonts w:asciiTheme="minorBidi" w:hAnsiTheme="minorBidi"/>
          <w:sz w:val="18"/>
          <w:szCs w:val="18"/>
          <w:rtl/>
        </w:rPr>
        <w:t>הגה: וי"א דבאבק רבית אינו נפסל אלא המלוה ולא הלוה</w:t>
      </w:r>
      <w:r w:rsidRPr="00845316">
        <w:rPr>
          <w:rStyle w:val="ab"/>
          <w:rFonts w:asciiTheme="minorBidi" w:hAnsiTheme="minorBidi"/>
          <w:sz w:val="18"/>
          <w:szCs w:val="18"/>
          <w:rtl/>
        </w:rPr>
        <w:footnoteReference w:id="2166"/>
      </w:r>
      <w:r w:rsidRPr="00845316">
        <w:rPr>
          <w:rFonts w:asciiTheme="minorBidi" w:hAnsiTheme="minorBidi"/>
          <w:sz w:val="18"/>
          <w:szCs w:val="18"/>
          <w:rtl/>
        </w:rPr>
        <w:t xml:space="preserve"> (נמוק"י), ועיין ביו"ד סי' קס. </w:t>
      </w:r>
    </w:p>
    <w:p w14:paraId="0DD8EEB8" w14:textId="77777777" w:rsidR="004B607F" w:rsidRPr="00845316" w:rsidRDefault="004B607F" w:rsidP="004B607F">
      <w:pPr>
        <w:rPr>
          <w:rFonts w:asciiTheme="minorBidi" w:hAnsiTheme="minorBidi"/>
          <w:rtl/>
        </w:rPr>
      </w:pPr>
      <w:r w:rsidRPr="00845316">
        <w:rPr>
          <w:rFonts w:asciiTheme="minorBidi" w:hAnsiTheme="minorBidi"/>
          <w:u w:val="single"/>
          <w:rtl/>
        </w:rPr>
        <w:t>מאימתי הלוה נפסל:</w:t>
      </w:r>
      <w:r w:rsidRPr="00845316">
        <w:rPr>
          <w:rFonts w:asciiTheme="minorBidi" w:hAnsiTheme="minorBidi"/>
          <w:sz w:val="16"/>
          <w:szCs w:val="16"/>
          <w:rtl/>
        </w:rPr>
        <w:t xml:space="preserve">   (פת"ש סק"כ)</w:t>
      </w:r>
    </w:p>
    <w:p w14:paraId="564AC071" w14:textId="77777777" w:rsidR="004B607F" w:rsidRPr="00845316" w:rsidRDefault="004B607F" w:rsidP="004B0475">
      <w:pPr>
        <w:pStyle w:val="ac"/>
        <w:numPr>
          <w:ilvl w:val="0"/>
          <w:numId w:val="158"/>
        </w:numPr>
        <w:rPr>
          <w:rFonts w:asciiTheme="minorBidi" w:hAnsiTheme="minorBidi"/>
          <w:rtl/>
        </w:rPr>
      </w:pPr>
      <w:r w:rsidRPr="00845316">
        <w:rPr>
          <w:rFonts w:asciiTheme="minorBidi" w:hAnsiTheme="minorBidi"/>
          <w:rtl/>
        </w:rPr>
        <w:t>מל"מ</w:t>
      </w:r>
      <w:r w:rsidRPr="00845316">
        <w:rPr>
          <w:rFonts w:asciiTheme="minorBidi" w:hAnsiTheme="minorBidi"/>
          <w:sz w:val="16"/>
          <w:szCs w:val="16"/>
          <w:rtl/>
        </w:rPr>
        <w:t xml:space="preserve"> (הל' מלוה פ"ד ה"ב)</w:t>
      </w:r>
      <w:r w:rsidRPr="00845316">
        <w:rPr>
          <w:rFonts w:asciiTheme="minorBidi" w:hAnsiTheme="minorBidi"/>
          <w:rtl/>
        </w:rPr>
        <w:t xml:space="preserve"> מהר"ג ממיץ</w:t>
      </w:r>
      <w:r w:rsidRPr="00845316">
        <w:rPr>
          <w:rStyle w:val="ab"/>
          <w:rFonts w:asciiTheme="minorBidi" w:hAnsiTheme="minorBidi"/>
          <w:rtl/>
        </w:rPr>
        <w:footnoteReference w:id="2167"/>
      </w:r>
      <w:r w:rsidRPr="00845316">
        <w:rPr>
          <w:rFonts w:asciiTheme="minorBidi" w:hAnsiTheme="minorBidi"/>
          <w:rtl/>
        </w:rPr>
        <w:t xml:space="preserve"> רעק"א </w:t>
      </w:r>
      <w:r w:rsidRPr="00845316">
        <w:rPr>
          <w:rFonts w:asciiTheme="minorBidi" w:hAnsiTheme="minorBidi"/>
          <w:sz w:val="16"/>
          <w:szCs w:val="16"/>
          <w:rtl/>
        </w:rPr>
        <w:t xml:space="preserve">(כאן) </w:t>
      </w:r>
      <w:r w:rsidRPr="00845316">
        <w:rPr>
          <w:rFonts w:asciiTheme="minorBidi" w:hAnsiTheme="minorBidi"/>
          <w:rtl/>
        </w:rPr>
        <w:t>ופת"ש- הלוה פסול קודם נתינת הרבית.</w:t>
      </w:r>
    </w:p>
    <w:p w14:paraId="0CC5805A" w14:textId="77777777" w:rsidR="004B607F" w:rsidRPr="00845316" w:rsidRDefault="004B607F" w:rsidP="004B0475">
      <w:pPr>
        <w:pStyle w:val="ac"/>
        <w:numPr>
          <w:ilvl w:val="0"/>
          <w:numId w:val="158"/>
        </w:numPr>
        <w:rPr>
          <w:rFonts w:asciiTheme="minorBidi" w:hAnsiTheme="minorBidi"/>
        </w:rPr>
      </w:pPr>
      <w:r w:rsidRPr="00845316">
        <w:rPr>
          <w:rFonts w:asciiTheme="minorBidi" w:hAnsiTheme="minorBidi"/>
          <w:rtl/>
        </w:rPr>
        <w:t xml:space="preserve">חות יאיר </w:t>
      </w:r>
      <w:r w:rsidRPr="00845316">
        <w:rPr>
          <w:rFonts w:asciiTheme="minorBidi" w:hAnsiTheme="minorBidi"/>
          <w:sz w:val="16"/>
          <w:szCs w:val="16"/>
          <w:rtl/>
        </w:rPr>
        <w:t>(סי' ק)</w:t>
      </w:r>
      <w:r w:rsidRPr="00845316">
        <w:rPr>
          <w:rFonts w:asciiTheme="minorBidi" w:hAnsiTheme="minorBidi"/>
          <w:rtl/>
        </w:rPr>
        <w:t xml:space="preserve">- הלוה לא מיפסל אפילו כתב בספר וחתום עד דיהיב. </w:t>
      </w:r>
    </w:p>
    <w:p w14:paraId="0FD9B33F" w14:textId="77777777" w:rsidR="004B607F" w:rsidRPr="00845316" w:rsidRDefault="004B607F" w:rsidP="004B607F">
      <w:pPr>
        <w:rPr>
          <w:rFonts w:asciiTheme="minorBidi" w:hAnsiTheme="minorBidi"/>
          <w:u w:val="single"/>
        </w:rPr>
      </w:pPr>
      <w:r w:rsidRPr="00845316">
        <w:rPr>
          <w:rFonts w:asciiTheme="minorBidi" w:hAnsiTheme="minorBidi"/>
          <w:u w:val="single"/>
          <w:rtl/>
        </w:rPr>
        <w:t>עדים שחתמו על שטר שיש בו ריבית וראו אותם אנשים, האם העדים נאמנים לומר "</w:t>
      </w:r>
      <w:r w:rsidRPr="00845316">
        <w:rPr>
          <w:rFonts w:asciiTheme="minorBidi" w:hAnsiTheme="minorBidi"/>
          <w:b/>
          <w:bCs/>
          <w:u w:val="single"/>
          <w:rtl/>
        </w:rPr>
        <w:t>ידענו</w:t>
      </w:r>
      <w:r w:rsidRPr="00845316">
        <w:rPr>
          <w:rFonts w:asciiTheme="minorBidi" w:hAnsiTheme="minorBidi"/>
          <w:u w:val="single"/>
          <w:rtl/>
        </w:rPr>
        <w:t xml:space="preserve"> שיש איסור":</w:t>
      </w:r>
      <w:r w:rsidRPr="00845316">
        <w:rPr>
          <w:rFonts w:asciiTheme="minorBidi" w:hAnsiTheme="minorBidi"/>
          <w:sz w:val="16"/>
          <w:szCs w:val="16"/>
          <w:rtl/>
        </w:rPr>
        <w:t xml:space="preserve">  (פת"ש סקכ"א)</w:t>
      </w:r>
    </w:p>
    <w:p w14:paraId="2DBE345B" w14:textId="77777777" w:rsidR="004B607F" w:rsidRPr="00845316" w:rsidRDefault="004B607F" w:rsidP="004B0475">
      <w:pPr>
        <w:pStyle w:val="ac"/>
        <w:numPr>
          <w:ilvl w:val="0"/>
          <w:numId w:val="158"/>
        </w:numPr>
        <w:rPr>
          <w:rFonts w:asciiTheme="minorBidi" w:hAnsiTheme="minorBidi"/>
          <w:rtl/>
        </w:rPr>
      </w:pPr>
      <w:r w:rsidRPr="00845316">
        <w:rPr>
          <w:rFonts w:asciiTheme="minorBidi" w:hAnsiTheme="minorBidi"/>
          <w:rtl/>
        </w:rPr>
        <w:t>ארעא דרבנן דברי אמת מהרי"ט ורעק"א</w:t>
      </w:r>
      <w:r w:rsidRPr="00845316">
        <w:rPr>
          <w:rStyle w:val="ab"/>
          <w:rFonts w:asciiTheme="minorBidi" w:hAnsiTheme="minorBidi"/>
          <w:rtl/>
        </w:rPr>
        <w:footnoteReference w:id="2168"/>
      </w:r>
      <w:r w:rsidRPr="00845316">
        <w:rPr>
          <w:rFonts w:asciiTheme="minorBidi" w:hAnsiTheme="minorBidi"/>
          <w:rtl/>
        </w:rPr>
        <w:t>- אינם נאמנים אף בדבר שאין הם מהוים האיסור</w:t>
      </w:r>
      <w:r w:rsidRPr="00845316">
        <w:rPr>
          <w:rStyle w:val="ab"/>
          <w:rFonts w:asciiTheme="minorBidi" w:hAnsiTheme="minorBidi"/>
          <w:rtl/>
        </w:rPr>
        <w:footnoteReference w:id="2169"/>
      </w:r>
      <w:r w:rsidRPr="00845316">
        <w:rPr>
          <w:rFonts w:asciiTheme="minorBidi" w:hAnsiTheme="minorBidi"/>
          <w:rtl/>
        </w:rPr>
        <w:t>, דהוא בכלל אין אדם משים עצמו רשע</w:t>
      </w:r>
      <w:r w:rsidRPr="00845316">
        <w:rPr>
          <w:rStyle w:val="ab"/>
          <w:rFonts w:asciiTheme="minorBidi" w:hAnsiTheme="minorBidi"/>
          <w:rtl/>
        </w:rPr>
        <w:footnoteReference w:id="2170"/>
      </w:r>
      <w:r w:rsidRPr="00845316">
        <w:rPr>
          <w:rFonts w:asciiTheme="minorBidi" w:hAnsiTheme="minorBidi"/>
          <w:rtl/>
        </w:rPr>
        <w:t xml:space="preserve">. </w:t>
      </w:r>
    </w:p>
    <w:p w14:paraId="74EB50EF" w14:textId="77777777" w:rsidR="004B607F" w:rsidRPr="00845316" w:rsidRDefault="004B607F" w:rsidP="004B0475">
      <w:pPr>
        <w:pStyle w:val="ac"/>
        <w:numPr>
          <w:ilvl w:val="0"/>
          <w:numId w:val="158"/>
        </w:numPr>
        <w:rPr>
          <w:rFonts w:asciiTheme="minorBidi" w:hAnsiTheme="minorBidi"/>
          <w:rtl/>
        </w:rPr>
      </w:pPr>
      <w:r w:rsidRPr="00845316">
        <w:rPr>
          <w:rFonts w:asciiTheme="minorBidi" w:hAnsiTheme="minorBidi"/>
          <w:rtl/>
        </w:rPr>
        <w:t>חות יאיר</w:t>
      </w:r>
      <w:r w:rsidRPr="00845316">
        <w:rPr>
          <w:rFonts w:asciiTheme="minorBidi" w:hAnsiTheme="minorBidi"/>
          <w:sz w:val="16"/>
          <w:szCs w:val="16"/>
          <w:rtl/>
        </w:rPr>
        <w:t xml:space="preserve"> (ס"ס קז)</w:t>
      </w:r>
      <w:r w:rsidRPr="00845316">
        <w:rPr>
          <w:rFonts w:asciiTheme="minorBidi" w:hAnsiTheme="minorBidi"/>
          <w:rtl/>
        </w:rPr>
        <w:t xml:space="preserve">- היכא שהוא מעיד על עצמו שחטא- אינו נאמן, אבל היכא שראינו בעינינו שחטא אלא שהיינו תולין שמא לא ידע שהמעשה הזה הוא אסור- נאמן לפסול עצמו, דהוא מכח אומדנא ולא מפיו. </w:t>
      </w:r>
    </w:p>
    <w:p w14:paraId="028CE4C7" w14:textId="77777777" w:rsidR="004B607F" w:rsidRPr="00845316" w:rsidRDefault="004B607F" w:rsidP="004B607F">
      <w:pPr>
        <w:rPr>
          <w:rFonts w:asciiTheme="minorBidi" w:hAnsiTheme="minorBidi"/>
          <w:rtl/>
        </w:rPr>
      </w:pPr>
    </w:p>
    <w:p w14:paraId="723154D2" w14:textId="77777777" w:rsidR="004B607F" w:rsidRPr="00845316" w:rsidRDefault="004B607F" w:rsidP="004B607F">
      <w:pPr>
        <w:pStyle w:val="2"/>
        <w:rPr>
          <w:rFonts w:asciiTheme="minorBidi" w:hAnsiTheme="minorBidi"/>
          <w:rtl/>
        </w:rPr>
      </w:pPr>
      <w:bookmarkStart w:id="293" w:name="_Toc24883758"/>
      <w:r w:rsidRPr="00845316">
        <w:rPr>
          <w:rFonts w:asciiTheme="minorBidi" w:hAnsiTheme="minorBidi"/>
          <w:rtl/>
        </w:rPr>
        <w:t>סעיף יא: המלוה מעות יתומים ברבית קצוצה.</w:t>
      </w:r>
      <w:bookmarkEnd w:id="293"/>
    </w:p>
    <w:p w14:paraId="698FF4C6" w14:textId="77777777" w:rsidR="004B607F" w:rsidRPr="00845316" w:rsidRDefault="004B607F" w:rsidP="004B607F">
      <w:pPr>
        <w:rPr>
          <w:rFonts w:asciiTheme="minorBidi" w:hAnsiTheme="minorBidi"/>
          <w:u w:val="single"/>
          <w:rtl/>
        </w:rPr>
      </w:pPr>
      <w:r w:rsidRPr="00845316">
        <w:rPr>
          <w:rFonts w:asciiTheme="minorBidi" w:hAnsiTheme="minorBidi"/>
          <w:u w:val="single"/>
          <w:rtl/>
        </w:rPr>
        <w:t xml:space="preserve">אפוטרופוס של יתומים שמלוה מעותיהם </w:t>
      </w:r>
      <w:r w:rsidRPr="00845316">
        <w:rPr>
          <w:rFonts w:asciiTheme="minorBidi" w:hAnsiTheme="minorBidi"/>
          <w:b/>
          <w:bCs/>
          <w:u w:val="single"/>
          <w:rtl/>
        </w:rPr>
        <w:t>ברבית קצוצה</w:t>
      </w:r>
      <w:r w:rsidRPr="00845316">
        <w:rPr>
          <w:rFonts w:asciiTheme="minorBidi" w:hAnsiTheme="minorBidi"/>
          <w:u w:val="single"/>
          <w:rtl/>
        </w:rPr>
        <w:t xml:space="preserve">: </w:t>
      </w:r>
    </w:p>
    <w:p w14:paraId="52AE43D8" w14:textId="77777777" w:rsidR="004B607F" w:rsidRPr="00845316" w:rsidRDefault="004B607F" w:rsidP="004B0475">
      <w:pPr>
        <w:pStyle w:val="ac"/>
        <w:numPr>
          <w:ilvl w:val="0"/>
          <w:numId w:val="155"/>
        </w:numPr>
        <w:rPr>
          <w:rFonts w:asciiTheme="minorBidi" w:hAnsiTheme="minorBidi"/>
          <w:rtl/>
        </w:rPr>
      </w:pPr>
      <w:r w:rsidRPr="00845316">
        <w:rPr>
          <w:rFonts w:asciiTheme="minorBidi" w:hAnsiTheme="minorBidi"/>
          <w:rtl/>
        </w:rPr>
        <w:t xml:space="preserve">רשב"א </w:t>
      </w:r>
      <w:r w:rsidRPr="00845316">
        <w:rPr>
          <w:rFonts w:asciiTheme="minorBidi" w:hAnsiTheme="minorBidi"/>
          <w:sz w:val="16"/>
          <w:szCs w:val="16"/>
          <w:rtl/>
        </w:rPr>
        <w:t>(ח"ד סי' של)</w:t>
      </w:r>
      <w:r w:rsidRPr="00845316">
        <w:rPr>
          <w:rFonts w:asciiTheme="minorBidi" w:hAnsiTheme="minorBidi"/>
          <w:rtl/>
        </w:rPr>
        <w:t xml:space="preserve"> מהרי"ל </w:t>
      </w:r>
      <w:r w:rsidRPr="00845316">
        <w:rPr>
          <w:rFonts w:asciiTheme="minorBidi" w:hAnsiTheme="minorBidi"/>
          <w:sz w:val="16"/>
          <w:szCs w:val="16"/>
          <w:rtl/>
        </w:rPr>
        <w:t>(בתשו' סי' לז)</w:t>
      </w:r>
      <w:r w:rsidRPr="00845316">
        <w:rPr>
          <w:rFonts w:asciiTheme="minorBidi" w:hAnsiTheme="minorBidi"/>
          <w:rtl/>
        </w:rPr>
        <w:t xml:space="preserve"> וב"י</w:t>
      </w:r>
      <w:r w:rsidRPr="00845316">
        <w:rPr>
          <w:rFonts w:asciiTheme="minorBidi" w:hAnsiTheme="minorBidi"/>
          <w:sz w:val="16"/>
          <w:szCs w:val="16"/>
          <w:rtl/>
        </w:rPr>
        <w:t xml:space="preserve"> (בבדה"ב)</w:t>
      </w:r>
      <w:r w:rsidRPr="00845316">
        <w:rPr>
          <w:rFonts w:asciiTheme="minorBidi" w:hAnsiTheme="minorBidi"/>
          <w:rtl/>
        </w:rPr>
        <w:t>- אע"ג דשלא כדין עבד מ"מ אין לפוסלו, דנתפשט המנהג להלוות מעות יתומים אפילו ברבית קצוצה וקא סבר מצוה עבידנא להרויח היתום</w:t>
      </w:r>
      <w:r w:rsidRPr="00845316">
        <w:rPr>
          <w:rStyle w:val="ab"/>
          <w:rFonts w:asciiTheme="minorBidi" w:hAnsiTheme="minorBidi"/>
          <w:rtl/>
        </w:rPr>
        <w:footnoteReference w:id="2171"/>
      </w:r>
      <w:r w:rsidRPr="00845316">
        <w:rPr>
          <w:rFonts w:asciiTheme="minorBidi" w:hAnsiTheme="minorBidi"/>
          <w:rtl/>
        </w:rPr>
        <w:t xml:space="preserve">. </w:t>
      </w:r>
      <w:r w:rsidRPr="00845316">
        <w:rPr>
          <w:rFonts w:asciiTheme="minorBidi" w:hAnsiTheme="minorBidi"/>
          <w:color w:val="E36C0A" w:themeColor="accent6" w:themeShade="BF"/>
          <w:rtl/>
        </w:rPr>
        <w:t>(וכ"פ בשו"ע)</w:t>
      </w:r>
    </w:p>
    <w:p w14:paraId="026D8F3D" w14:textId="77777777" w:rsidR="004B607F" w:rsidRPr="00845316" w:rsidRDefault="004B607F" w:rsidP="004B0475">
      <w:pPr>
        <w:pStyle w:val="ac"/>
        <w:numPr>
          <w:ilvl w:val="0"/>
          <w:numId w:val="155"/>
        </w:numPr>
        <w:rPr>
          <w:rFonts w:asciiTheme="minorBidi" w:hAnsiTheme="minorBidi"/>
          <w:rtl/>
        </w:rPr>
      </w:pPr>
      <w:r w:rsidRPr="00845316">
        <w:rPr>
          <w:rFonts w:asciiTheme="minorBidi" w:hAnsiTheme="minorBidi"/>
          <w:rtl/>
        </w:rPr>
        <w:lastRenderedPageBreak/>
        <w:t xml:space="preserve">מהר"ם </w:t>
      </w:r>
      <w:r w:rsidRPr="00845316">
        <w:rPr>
          <w:rFonts w:asciiTheme="minorBidi" w:hAnsiTheme="minorBidi"/>
          <w:sz w:val="16"/>
          <w:szCs w:val="16"/>
          <w:rtl/>
        </w:rPr>
        <w:t>(ד"פ סי' תתקסט, הביאו המרדכי ב"מ סי' רל)</w:t>
      </w:r>
      <w:r w:rsidRPr="00845316">
        <w:rPr>
          <w:rFonts w:asciiTheme="minorBidi" w:hAnsiTheme="minorBidi"/>
          <w:rtl/>
        </w:rPr>
        <w:t>- אם יש עדים שהלוה ברבית קצוצה</w:t>
      </w:r>
      <w:r w:rsidRPr="00845316">
        <w:rPr>
          <w:rStyle w:val="ab"/>
          <w:rFonts w:asciiTheme="minorBidi" w:hAnsiTheme="minorBidi"/>
          <w:rtl/>
        </w:rPr>
        <w:footnoteReference w:id="2172"/>
      </w:r>
      <w:r w:rsidRPr="00845316">
        <w:rPr>
          <w:rFonts w:asciiTheme="minorBidi" w:hAnsiTheme="minorBidi"/>
          <w:rtl/>
        </w:rPr>
        <w:t xml:space="preserve"> האפטרופוס פסול לעדות ולשבועה עד שיחזור חזרה גמורה, אבל אם אין עדים אלא שהודה מעצמו כשר. </w:t>
      </w:r>
    </w:p>
    <w:p w14:paraId="401CBB80" w14:textId="77777777" w:rsidR="004B607F" w:rsidRPr="00845316" w:rsidRDefault="004B607F" w:rsidP="004B607F">
      <w:pPr>
        <w:jc w:val="both"/>
        <w:rPr>
          <w:rFonts w:asciiTheme="minorBidi" w:hAnsiTheme="minorBidi"/>
          <w:rtl/>
        </w:rPr>
      </w:pPr>
      <w:r w:rsidRPr="00845316">
        <w:rPr>
          <w:rFonts w:asciiTheme="minorBidi" w:hAnsiTheme="minorBidi"/>
          <w:b/>
          <w:bCs/>
          <w:sz w:val="32"/>
          <w:szCs w:val="28"/>
          <w:u w:val="single"/>
          <w:rtl/>
        </w:rPr>
        <w:t xml:space="preserve">שו"ע: </w:t>
      </w:r>
    </w:p>
    <w:p w14:paraId="2951FB04" w14:textId="77777777" w:rsidR="004B607F" w:rsidRPr="00845316" w:rsidRDefault="004B607F" w:rsidP="004B607F">
      <w:pPr>
        <w:rPr>
          <w:rFonts w:asciiTheme="minorBidi" w:hAnsiTheme="minorBidi"/>
          <w:sz w:val="16"/>
          <w:szCs w:val="16"/>
          <w:rtl/>
        </w:rPr>
      </w:pPr>
      <w:r w:rsidRPr="00845316">
        <w:rPr>
          <w:rFonts w:asciiTheme="minorBidi" w:hAnsiTheme="minorBidi"/>
          <w:rtl/>
        </w:rPr>
        <w:t>המלוה מעות יתומים אפילו ברבית קצוצה לא נפסל משום דסבר מצוה קא עבידנא להרויח נכסי היתומים.</w:t>
      </w:r>
    </w:p>
    <w:p w14:paraId="491786F1" w14:textId="77777777" w:rsidR="004B607F" w:rsidRPr="00845316" w:rsidRDefault="004B607F" w:rsidP="004B607F">
      <w:pPr>
        <w:rPr>
          <w:rFonts w:asciiTheme="minorBidi" w:hAnsiTheme="minorBidi"/>
          <w:rtl/>
        </w:rPr>
      </w:pPr>
    </w:p>
    <w:p w14:paraId="26A0B820" w14:textId="77777777" w:rsidR="004B607F" w:rsidRPr="00845316" w:rsidRDefault="004B607F" w:rsidP="004B607F">
      <w:pPr>
        <w:pStyle w:val="2"/>
        <w:rPr>
          <w:rFonts w:asciiTheme="minorBidi" w:hAnsiTheme="minorBidi"/>
          <w:rtl/>
        </w:rPr>
      </w:pPr>
      <w:bookmarkStart w:id="294" w:name="_Toc24883759"/>
      <w:r w:rsidRPr="00845316">
        <w:rPr>
          <w:rFonts w:asciiTheme="minorBidi" w:hAnsiTheme="minorBidi"/>
          <w:rtl/>
        </w:rPr>
        <w:t>סעיף יב: מתי תולין לזכות ודין חזקת כשרות.</w:t>
      </w:r>
      <w:bookmarkEnd w:id="294"/>
    </w:p>
    <w:p w14:paraId="7EC45EAA" w14:textId="77777777" w:rsidR="004B607F" w:rsidRPr="00845316" w:rsidRDefault="004B607F" w:rsidP="004B607F">
      <w:pPr>
        <w:rPr>
          <w:rFonts w:asciiTheme="minorBidi" w:hAnsiTheme="minorBidi"/>
          <w:rtl/>
        </w:rPr>
      </w:pPr>
      <w:r w:rsidRPr="00845316">
        <w:rPr>
          <w:rFonts w:asciiTheme="minorBidi" w:hAnsiTheme="minorBidi"/>
          <w:b/>
          <w:bCs/>
          <w:rtl/>
        </w:rPr>
        <w:t xml:space="preserve">סנהדרין כה ע"א: </w:t>
      </w:r>
      <w:r w:rsidRPr="00845316">
        <w:rPr>
          <w:rFonts w:asciiTheme="minorBidi" w:hAnsiTheme="minorBidi"/>
          <w:rtl/>
        </w:rPr>
        <w:t xml:space="preserve">בר ביניתוס אסהידו ביה תרי סהדי, חד אמר: קמי דידי אוזיף ברביתא, וחד אמר: לדידי אוזפי ברביתא. פסליה רבא לבר ביניתוס. </w:t>
      </w:r>
      <w:r w:rsidRPr="00845316">
        <w:rPr>
          <w:rFonts w:asciiTheme="minorBidi" w:hAnsiTheme="minorBidi"/>
          <w:sz w:val="16"/>
          <w:szCs w:val="16"/>
          <w:rtl/>
        </w:rPr>
        <w:t>(ולא תלינן רבית בגוי, ב"י)</w:t>
      </w:r>
    </w:p>
    <w:p w14:paraId="4E70A50E" w14:textId="77777777" w:rsidR="004B607F" w:rsidRPr="00845316" w:rsidRDefault="004B607F" w:rsidP="004B607F">
      <w:pPr>
        <w:rPr>
          <w:rFonts w:asciiTheme="minorBidi" w:hAnsiTheme="minorBidi"/>
          <w:rtl/>
        </w:rPr>
      </w:pPr>
      <w:bookmarkStart w:id="295" w:name="_Hlk19615006"/>
      <w:r w:rsidRPr="00845316">
        <w:rPr>
          <w:rFonts w:asciiTheme="minorBidi" w:hAnsiTheme="minorBidi"/>
          <w:b/>
          <w:bCs/>
          <w:rtl/>
        </w:rPr>
        <w:t>בבא מציעא סח</w:t>
      </w:r>
      <w:r>
        <w:rPr>
          <w:rStyle w:val="ab"/>
          <w:rFonts w:asciiTheme="minorBidi" w:hAnsiTheme="minorBidi"/>
          <w:b/>
          <w:bCs/>
          <w:rtl/>
        </w:rPr>
        <w:footnoteReference w:id="2173"/>
      </w:r>
      <w:r w:rsidRPr="00845316">
        <w:rPr>
          <w:rFonts w:asciiTheme="minorBidi" w:hAnsiTheme="minorBidi"/>
          <w:b/>
          <w:bCs/>
          <w:rtl/>
        </w:rPr>
        <w:t xml:space="preserve"> ע"ב: </w:t>
      </w:r>
      <w:r w:rsidRPr="00845316">
        <w:rPr>
          <w:rFonts w:asciiTheme="minorBidi" w:hAnsiTheme="minorBidi"/>
          <w:rtl/>
        </w:rPr>
        <w:t>בני רב עיליש נפק עלייהו ההוא שטרא</w:t>
      </w:r>
      <w:r w:rsidRPr="00845316">
        <w:rPr>
          <w:rStyle w:val="ab"/>
          <w:rFonts w:asciiTheme="minorBidi" w:hAnsiTheme="minorBidi"/>
          <w:rtl/>
        </w:rPr>
        <w:footnoteReference w:id="2174"/>
      </w:r>
      <w:r w:rsidRPr="00845316">
        <w:rPr>
          <w:rFonts w:asciiTheme="minorBidi" w:hAnsiTheme="minorBidi"/>
          <w:rtl/>
        </w:rPr>
        <w:t xml:space="preserve"> דהוה כתיב ביה פלגא באגר פלגא בהפסד. </w:t>
      </w:r>
      <w:r w:rsidRPr="00845316">
        <w:rPr>
          <w:rFonts w:asciiTheme="minorBidi" w:hAnsiTheme="minorBidi"/>
          <w:u w:val="single"/>
          <w:rtl/>
        </w:rPr>
        <w:t>אמר רבא</w:t>
      </w:r>
      <w:r w:rsidRPr="00845316">
        <w:rPr>
          <w:rFonts w:asciiTheme="minorBidi" w:hAnsiTheme="minorBidi"/>
          <w:rtl/>
        </w:rPr>
        <w:t>: רב עיליש גברא רבה הוא, ואיסורא לאינשי לא הוי ספי</w:t>
      </w:r>
      <w:r w:rsidRPr="00845316">
        <w:rPr>
          <w:rStyle w:val="ab"/>
          <w:rFonts w:asciiTheme="minorBidi" w:hAnsiTheme="minorBidi"/>
          <w:rtl/>
        </w:rPr>
        <w:footnoteReference w:id="2175"/>
      </w:r>
      <w:r w:rsidRPr="00845316">
        <w:rPr>
          <w:rFonts w:asciiTheme="minorBidi" w:hAnsiTheme="minorBidi"/>
          <w:rtl/>
        </w:rPr>
        <w:t>.</w:t>
      </w:r>
    </w:p>
    <w:p w14:paraId="5278E952" w14:textId="77777777" w:rsidR="004B607F" w:rsidRPr="00845316" w:rsidRDefault="004B607F" w:rsidP="004B607F">
      <w:pPr>
        <w:rPr>
          <w:rFonts w:asciiTheme="minorBidi" w:hAnsiTheme="minorBidi"/>
          <w:rtl/>
        </w:rPr>
      </w:pPr>
      <w:r w:rsidRPr="00845316">
        <w:rPr>
          <w:rFonts w:asciiTheme="minorBidi" w:hAnsiTheme="minorBidi"/>
          <w:b/>
          <w:bCs/>
          <w:rtl/>
        </w:rPr>
        <w:t xml:space="preserve">תוספתא </w:t>
      </w:r>
      <w:r w:rsidRPr="00845316">
        <w:rPr>
          <w:rFonts w:asciiTheme="minorBidi" w:hAnsiTheme="minorBidi"/>
          <w:b/>
          <w:bCs/>
          <w:sz w:val="16"/>
          <w:szCs w:val="16"/>
          <w:rtl/>
        </w:rPr>
        <w:t>(גי' הגר"א)</w:t>
      </w:r>
      <w:r w:rsidRPr="00845316">
        <w:rPr>
          <w:rFonts w:asciiTheme="minorBidi" w:hAnsiTheme="minorBidi"/>
          <w:b/>
          <w:bCs/>
          <w:rtl/>
        </w:rPr>
        <w:t xml:space="preserve"> בבא מציעא פ"ה ה"כ:</w:t>
      </w:r>
      <w:r w:rsidRPr="00845316">
        <w:rPr>
          <w:rFonts w:asciiTheme="minorBidi" w:hAnsiTheme="minorBidi"/>
          <w:rtl/>
        </w:rPr>
        <w:t xml:space="preserve"> ישראל שנעשה לעובד כוכבים אפוטרופוס או סנטר </w:t>
      </w:r>
      <w:r>
        <w:rPr>
          <w:rFonts w:asciiTheme="minorBidi" w:hAnsiTheme="minorBidi" w:hint="cs"/>
          <w:rtl/>
        </w:rPr>
        <w:t xml:space="preserve">- </w:t>
      </w:r>
      <w:r w:rsidRPr="00845316">
        <w:rPr>
          <w:rFonts w:asciiTheme="minorBidi" w:hAnsiTheme="minorBidi"/>
          <w:rtl/>
        </w:rPr>
        <w:t>מותר ללוות הימנו ברבית</w:t>
      </w:r>
      <w:r>
        <w:rPr>
          <w:rFonts w:asciiTheme="minorBidi" w:hAnsiTheme="minorBidi" w:hint="cs"/>
          <w:rtl/>
        </w:rPr>
        <w:t>.</w:t>
      </w:r>
      <w:r w:rsidRPr="00845316">
        <w:rPr>
          <w:rFonts w:asciiTheme="minorBidi" w:hAnsiTheme="minorBidi"/>
          <w:rtl/>
        </w:rPr>
        <w:t xml:space="preserve"> ועובד כוכבים שנעשה אפוטרופוס או סנטר לישראל </w:t>
      </w:r>
      <w:r>
        <w:rPr>
          <w:rFonts w:asciiTheme="minorBidi" w:hAnsiTheme="minorBidi" w:hint="cs"/>
          <w:rtl/>
        </w:rPr>
        <w:t xml:space="preserve">- </w:t>
      </w:r>
      <w:r w:rsidRPr="00845316">
        <w:rPr>
          <w:rFonts w:asciiTheme="minorBidi" w:hAnsiTheme="minorBidi"/>
          <w:rtl/>
        </w:rPr>
        <w:t>אסור ללוות הימנו ברבית</w:t>
      </w:r>
      <w:r>
        <w:rPr>
          <w:rFonts w:asciiTheme="minorBidi" w:hAnsiTheme="minorBidi" w:hint="cs"/>
          <w:rtl/>
        </w:rPr>
        <w:t>.</w:t>
      </w:r>
      <w:r w:rsidRPr="00845316">
        <w:rPr>
          <w:rFonts w:asciiTheme="minorBidi" w:hAnsiTheme="minorBidi"/>
          <w:rtl/>
        </w:rPr>
        <w:t xml:space="preserve"> זה הכלל</w:t>
      </w:r>
      <w:r>
        <w:rPr>
          <w:rFonts w:asciiTheme="minorBidi" w:hAnsiTheme="minorBidi" w:hint="cs"/>
          <w:rtl/>
        </w:rPr>
        <w:t>,</w:t>
      </w:r>
      <w:r w:rsidRPr="00845316">
        <w:rPr>
          <w:rFonts w:asciiTheme="minorBidi" w:hAnsiTheme="minorBidi"/>
          <w:rtl/>
        </w:rPr>
        <w:t xml:space="preserve"> כל שבאחריות ישראל</w:t>
      </w:r>
      <w:r>
        <w:rPr>
          <w:rFonts w:asciiTheme="minorBidi" w:hAnsiTheme="minorBidi" w:hint="cs"/>
          <w:rtl/>
        </w:rPr>
        <w:t xml:space="preserve"> -</w:t>
      </w:r>
      <w:r w:rsidRPr="00845316">
        <w:rPr>
          <w:rFonts w:asciiTheme="minorBidi" w:hAnsiTheme="minorBidi"/>
          <w:rtl/>
        </w:rPr>
        <w:t xml:space="preserve"> אסור</w:t>
      </w:r>
      <w:r>
        <w:rPr>
          <w:rFonts w:asciiTheme="minorBidi" w:hAnsiTheme="minorBidi" w:hint="cs"/>
          <w:rtl/>
        </w:rPr>
        <w:t>,</w:t>
      </w:r>
      <w:r w:rsidRPr="00845316">
        <w:rPr>
          <w:rFonts w:asciiTheme="minorBidi" w:hAnsiTheme="minorBidi"/>
          <w:rtl/>
        </w:rPr>
        <w:t xml:space="preserve"> כל שבאחריות עובד כוכבים </w:t>
      </w:r>
      <w:r>
        <w:rPr>
          <w:rFonts w:asciiTheme="minorBidi" w:hAnsiTheme="minorBidi" w:hint="cs"/>
          <w:rtl/>
        </w:rPr>
        <w:t xml:space="preserve">- </w:t>
      </w:r>
      <w:r w:rsidRPr="00845316">
        <w:rPr>
          <w:rFonts w:asciiTheme="minorBidi" w:hAnsiTheme="minorBidi"/>
          <w:rtl/>
        </w:rPr>
        <w:t>מותר.</w:t>
      </w:r>
    </w:p>
    <w:bookmarkEnd w:id="295"/>
    <w:p w14:paraId="039BC376" w14:textId="77777777" w:rsidR="004B607F" w:rsidRPr="00845316" w:rsidRDefault="004B607F" w:rsidP="004B607F">
      <w:pPr>
        <w:jc w:val="both"/>
        <w:rPr>
          <w:rFonts w:asciiTheme="minorBidi" w:hAnsiTheme="minorBidi"/>
          <w:rtl/>
        </w:rPr>
      </w:pPr>
      <w:r w:rsidRPr="00845316">
        <w:rPr>
          <w:rFonts w:asciiTheme="minorBidi" w:hAnsiTheme="minorBidi"/>
          <w:b/>
          <w:bCs/>
          <w:sz w:val="32"/>
          <w:szCs w:val="28"/>
          <w:u w:val="single"/>
          <w:rtl/>
        </w:rPr>
        <w:t xml:space="preserve">שו"ע: </w:t>
      </w:r>
    </w:p>
    <w:p w14:paraId="09A64316" w14:textId="77777777" w:rsidR="004B607F" w:rsidRPr="00845316" w:rsidRDefault="004B607F" w:rsidP="004B607F">
      <w:pPr>
        <w:rPr>
          <w:rFonts w:asciiTheme="minorBidi" w:hAnsiTheme="minorBidi"/>
          <w:rtl/>
        </w:rPr>
      </w:pPr>
      <w:r w:rsidRPr="00845316">
        <w:rPr>
          <w:rFonts w:asciiTheme="minorBidi" w:hAnsiTheme="minorBidi"/>
          <w:rtl/>
        </w:rPr>
        <w:t>עד החתום בשטר שמת והעידו עליו שהלוה לישראל ברבית קצוצה, אם הוא מפורסם שהוא אפוטרופוס או סנטר של עובד כוכבים תולין דשל עובד כוכבים הלוה ברבית, וכן אם הוא אפוטרופוס ליתומים תולים בשל יתומים, אבל באינו מפורסם אין תולים בכך עד שיתברר</w:t>
      </w:r>
      <w:r w:rsidRPr="00845316">
        <w:rPr>
          <w:rStyle w:val="ab"/>
          <w:rFonts w:asciiTheme="minorBidi" w:hAnsiTheme="minorBidi"/>
          <w:rtl/>
        </w:rPr>
        <w:footnoteReference w:id="2176"/>
      </w:r>
      <w:r w:rsidRPr="00845316">
        <w:rPr>
          <w:rFonts w:asciiTheme="minorBidi" w:hAnsiTheme="minorBidi"/>
          <w:rtl/>
        </w:rPr>
        <w:t>. אם העידו על אדם שמוחזק בכשרות שהלוה ברבית</w:t>
      </w:r>
      <w:r>
        <w:rPr>
          <w:rFonts w:asciiTheme="minorBidi" w:hAnsiTheme="minorBidi" w:hint="cs"/>
          <w:rtl/>
        </w:rPr>
        <w:t>,</w:t>
      </w:r>
      <w:r w:rsidRPr="00845316">
        <w:rPr>
          <w:rFonts w:asciiTheme="minorBidi" w:hAnsiTheme="minorBidi"/>
          <w:rtl/>
        </w:rPr>
        <w:t xml:space="preserve"> לא נפסל, שתולים לומר בדרך שאין בו איסור הלוה או שהיה טועה וסבור שאין איסור בדרך ההוא</w:t>
      </w:r>
      <w:r w:rsidRPr="00845316">
        <w:rPr>
          <w:rStyle w:val="ab"/>
          <w:rFonts w:asciiTheme="minorBidi" w:hAnsiTheme="minorBidi"/>
          <w:rtl/>
        </w:rPr>
        <w:footnoteReference w:id="2177"/>
      </w:r>
      <w:r w:rsidRPr="00845316">
        <w:rPr>
          <w:rFonts w:asciiTheme="minorBidi" w:hAnsiTheme="minorBidi"/>
          <w:rtl/>
        </w:rPr>
        <w:t xml:space="preserve">. </w:t>
      </w:r>
    </w:p>
    <w:p w14:paraId="4A6865D4" w14:textId="77777777" w:rsidR="004B607F" w:rsidRPr="00845316" w:rsidRDefault="004B607F" w:rsidP="004B607F">
      <w:pPr>
        <w:rPr>
          <w:rFonts w:asciiTheme="minorBidi" w:hAnsiTheme="minorBidi"/>
          <w:rtl/>
        </w:rPr>
      </w:pPr>
    </w:p>
    <w:p w14:paraId="221750C2" w14:textId="77777777" w:rsidR="004B607F" w:rsidRPr="00845316" w:rsidRDefault="004B607F" w:rsidP="004B607F">
      <w:pPr>
        <w:pStyle w:val="2"/>
        <w:rPr>
          <w:rFonts w:asciiTheme="minorBidi" w:hAnsiTheme="minorBidi"/>
          <w:rtl/>
        </w:rPr>
      </w:pPr>
      <w:bookmarkStart w:id="296" w:name="_Toc24883760"/>
      <w:r w:rsidRPr="00845316">
        <w:rPr>
          <w:rFonts w:asciiTheme="minorBidi" w:hAnsiTheme="minorBidi"/>
          <w:rtl/>
        </w:rPr>
        <w:t xml:space="preserve">סעיף יג: העובר על גזל דרבנן </w:t>
      </w:r>
      <w:r w:rsidRPr="00845316">
        <w:rPr>
          <w:rFonts w:asciiTheme="minorBidi" w:hAnsiTheme="minorBidi"/>
          <w:sz w:val="16"/>
          <w:szCs w:val="16"/>
          <w:rtl/>
        </w:rPr>
        <w:t>(חמסנים ורועי בהמה)</w:t>
      </w:r>
      <w:r w:rsidRPr="00845316">
        <w:rPr>
          <w:rFonts w:asciiTheme="minorBidi" w:hAnsiTheme="minorBidi"/>
          <w:rtl/>
        </w:rPr>
        <w:t>.</w:t>
      </w:r>
      <w:bookmarkEnd w:id="296"/>
    </w:p>
    <w:p w14:paraId="7381D4AD" w14:textId="77777777" w:rsidR="004B607F" w:rsidRPr="00845316" w:rsidRDefault="004B607F" w:rsidP="004B607F">
      <w:pPr>
        <w:rPr>
          <w:rFonts w:asciiTheme="minorBidi" w:hAnsiTheme="minorBidi"/>
          <w:rtl/>
        </w:rPr>
      </w:pPr>
      <w:bookmarkStart w:id="297" w:name="_Hlk19616196"/>
      <w:r w:rsidRPr="00845316">
        <w:rPr>
          <w:rFonts w:asciiTheme="minorBidi" w:hAnsiTheme="minorBidi"/>
          <w:b/>
          <w:bCs/>
          <w:rtl/>
        </w:rPr>
        <w:t xml:space="preserve">סנהדרין כה ע"ב: </w:t>
      </w:r>
      <w:r w:rsidRPr="00845316">
        <w:rPr>
          <w:rFonts w:asciiTheme="minorBidi" w:hAnsiTheme="minorBidi"/>
          <w:rtl/>
        </w:rPr>
        <w:t>תנא: הוסיפו עליהן הגזלנין והחמסנין. גזלן דאורייתא הוא</w:t>
      </w:r>
      <w:r w:rsidRPr="00845316">
        <w:rPr>
          <w:rStyle w:val="ab"/>
          <w:rFonts w:asciiTheme="minorBidi" w:hAnsiTheme="minorBidi"/>
          <w:rtl/>
        </w:rPr>
        <w:footnoteReference w:id="2178"/>
      </w:r>
      <w:r w:rsidRPr="00845316">
        <w:rPr>
          <w:rFonts w:asciiTheme="minorBidi" w:hAnsiTheme="minorBidi"/>
          <w:rtl/>
        </w:rPr>
        <w:t>- לא נצרכא אלא למציאת חרש שוטה וקטן.</w:t>
      </w:r>
    </w:p>
    <w:p w14:paraId="56C8E583" w14:textId="77777777" w:rsidR="004B607F" w:rsidRPr="00845316" w:rsidRDefault="004B607F" w:rsidP="004B607F">
      <w:pPr>
        <w:rPr>
          <w:rFonts w:asciiTheme="minorBidi" w:hAnsiTheme="minorBidi"/>
          <w:u w:val="single"/>
          <w:rtl/>
        </w:rPr>
      </w:pPr>
      <w:r w:rsidRPr="00845316">
        <w:rPr>
          <w:rFonts w:asciiTheme="minorBidi" w:hAnsiTheme="minorBidi"/>
          <w:u w:val="single"/>
          <w:rtl/>
        </w:rPr>
        <w:t>חמסן פסול מדאו' או מדרבנן:</w:t>
      </w:r>
    </w:p>
    <w:p w14:paraId="7419A562" w14:textId="77777777" w:rsidR="004B607F" w:rsidRPr="00845316" w:rsidRDefault="004B607F" w:rsidP="004B0475">
      <w:pPr>
        <w:pStyle w:val="ac"/>
        <w:numPr>
          <w:ilvl w:val="0"/>
          <w:numId w:val="159"/>
        </w:numPr>
        <w:rPr>
          <w:rFonts w:asciiTheme="minorBidi" w:hAnsiTheme="minorBidi"/>
        </w:rPr>
      </w:pPr>
      <w:r w:rsidRPr="00845316">
        <w:rPr>
          <w:rFonts w:asciiTheme="minorBidi" w:hAnsiTheme="minorBidi"/>
          <w:rtl/>
        </w:rPr>
        <w:lastRenderedPageBreak/>
        <w:t xml:space="preserve">(רמב"ם </w:t>
      </w:r>
      <w:r w:rsidRPr="00845316">
        <w:rPr>
          <w:rFonts w:asciiTheme="minorBidi" w:hAnsiTheme="minorBidi"/>
          <w:sz w:val="16"/>
          <w:szCs w:val="16"/>
          <w:rtl/>
        </w:rPr>
        <w:t>להב' הב"י</w:t>
      </w:r>
      <w:r w:rsidRPr="00845316">
        <w:rPr>
          <w:rStyle w:val="ab"/>
          <w:rFonts w:asciiTheme="minorBidi" w:hAnsiTheme="minorBidi"/>
          <w:rtl/>
        </w:rPr>
        <w:footnoteReference w:id="2179"/>
      </w:r>
      <w:r w:rsidRPr="00845316">
        <w:rPr>
          <w:rFonts w:asciiTheme="minorBidi" w:hAnsiTheme="minorBidi"/>
          <w:rtl/>
        </w:rPr>
        <w:t xml:space="preserve">) טור רי"ו וב"י- פסול מדרבנן, דהא כתיב "הוסיפו עליהן", ועוד דמדפרכינן גבי גזלן </w:t>
      </w:r>
      <w:r w:rsidRPr="00845316">
        <w:rPr>
          <w:rFonts w:asciiTheme="minorBidi" w:hAnsiTheme="minorBidi"/>
          <w:sz w:val="16"/>
          <w:szCs w:val="16"/>
          <w:rtl/>
        </w:rPr>
        <w:t>("גזלן דאורייתא הוא")</w:t>
      </w:r>
      <w:r w:rsidRPr="00845316">
        <w:rPr>
          <w:rFonts w:asciiTheme="minorBidi" w:hAnsiTheme="minorBidi"/>
          <w:rtl/>
        </w:rPr>
        <w:t xml:space="preserve"> ולא גבי חמסן משמע דחמסן לא מיפסיל מדאו'. </w:t>
      </w:r>
      <w:r w:rsidRPr="00845316">
        <w:rPr>
          <w:rFonts w:asciiTheme="minorBidi" w:hAnsiTheme="minorBidi"/>
          <w:color w:val="E36C0A" w:themeColor="accent6" w:themeShade="BF"/>
          <w:rtl/>
        </w:rPr>
        <w:t>(וכ"פ בשו"ע)</w:t>
      </w:r>
    </w:p>
    <w:p w14:paraId="16EA95CB" w14:textId="77777777" w:rsidR="004B607F" w:rsidRPr="00845316" w:rsidRDefault="004B607F" w:rsidP="004B0475">
      <w:pPr>
        <w:pStyle w:val="ac"/>
        <w:numPr>
          <w:ilvl w:val="0"/>
          <w:numId w:val="159"/>
        </w:numPr>
        <w:rPr>
          <w:rFonts w:asciiTheme="minorBidi" w:hAnsiTheme="minorBidi"/>
          <w:rtl/>
        </w:rPr>
      </w:pPr>
      <w:r w:rsidRPr="00845316">
        <w:rPr>
          <w:rFonts w:asciiTheme="minorBidi" w:hAnsiTheme="minorBidi"/>
          <w:rtl/>
        </w:rPr>
        <w:t xml:space="preserve">תוס' </w:t>
      </w:r>
      <w:r w:rsidRPr="00845316">
        <w:rPr>
          <w:rFonts w:asciiTheme="minorBidi" w:hAnsiTheme="minorBidi"/>
          <w:sz w:val="16"/>
          <w:szCs w:val="16"/>
          <w:rtl/>
        </w:rPr>
        <w:t>(ב"מ ה: ד"ה בלא דמי)</w:t>
      </w:r>
      <w:r w:rsidRPr="00845316">
        <w:rPr>
          <w:rFonts w:asciiTheme="minorBidi" w:hAnsiTheme="minorBidi"/>
          <w:rtl/>
        </w:rPr>
        <w:t xml:space="preserve"> והגמ"ר</w:t>
      </w:r>
      <w:r w:rsidRPr="00845316">
        <w:rPr>
          <w:rFonts w:asciiTheme="minorBidi" w:hAnsiTheme="minorBidi"/>
          <w:sz w:val="16"/>
          <w:szCs w:val="16"/>
          <w:rtl/>
        </w:rPr>
        <w:t xml:space="preserve"> (ב"מ סי' תיט)</w:t>
      </w:r>
      <w:r w:rsidRPr="00845316">
        <w:rPr>
          <w:rFonts w:asciiTheme="minorBidi" w:hAnsiTheme="minorBidi"/>
          <w:rtl/>
        </w:rPr>
        <w:t xml:space="preserve">- מיפסיל מדרבנן, והנ"מ כשחצוף לחטוף מיד ליד בידיעת הבעלים, אבל היכא דלא מחציף אלא מעלים חמסנותו ואומר שנאבדה לו </w:t>
      </w:r>
      <w:r>
        <w:rPr>
          <w:rFonts w:asciiTheme="minorBidi" w:hAnsiTheme="minorBidi" w:hint="cs"/>
          <w:rtl/>
        </w:rPr>
        <w:t xml:space="preserve">- </w:t>
      </w:r>
      <w:r w:rsidRPr="00845316">
        <w:rPr>
          <w:rFonts w:asciiTheme="minorBidi" w:hAnsiTheme="minorBidi"/>
          <w:rtl/>
        </w:rPr>
        <w:t>לא פסיל.</w:t>
      </w:r>
    </w:p>
    <w:p w14:paraId="40814385" w14:textId="77777777" w:rsidR="004B607F" w:rsidRPr="00845316" w:rsidRDefault="004B607F" w:rsidP="004B0475">
      <w:pPr>
        <w:pStyle w:val="ac"/>
        <w:numPr>
          <w:ilvl w:val="0"/>
          <w:numId w:val="159"/>
        </w:numPr>
        <w:rPr>
          <w:rFonts w:asciiTheme="minorBidi" w:hAnsiTheme="minorBidi"/>
        </w:rPr>
      </w:pPr>
      <w:r w:rsidRPr="00845316">
        <w:rPr>
          <w:rFonts w:asciiTheme="minorBidi" w:hAnsiTheme="minorBidi"/>
          <w:rtl/>
        </w:rPr>
        <w:t xml:space="preserve">י"א </w:t>
      </w:r>
      <w:r w:rsidRPr="00845316">
        <w:rPr>
          <w:rFonts w:asciiTheme="minorBidi" w:hAnsiTheme="minorBidi"/>
          <w:sz w:val="16"/>
          <w:szCs w:val="16"/>
          <w:rtl/>
        </w:rPr>
        <w:t>(הובאו ברי"ו נ"ב ח"ד, יב ע"ג)</w:t>
      </w:r>
      <w:r w:rsidRPr="00845316">
        <w:rPr>
          <w:rFonts w:asciiTheme="minorBidi" w:hAnsiTheme="minorBidi"/>
          <w:rtl/>
        </w:rPr>
        <w:t>- פסול מדאורייתא</w:t>
      </w:r>
      <w:r w:rsidRPr="00845316">
        <w:rPr>
          <w:rStyle w:val="ab"/>
          <w:rFonts w:asciiTheme="minorBidi" w:hAnsiTheme="minorBidi"/>
          <w:rtl/>
        </w:rPr>
        <w:footnoteReference w:id="2180"/>
      </w:r>
      <w:r w:rsidRPr="00845316">
        <w:rPr>
          <w:rFonts w:asciiTheme="minorBidi" w:hAnsiTheme="minorBidi"/>
          <w:rtl/>
        </w:rPr>
        <w:t xml:space="preserve">. </w:t>
      </w:r>
    </w:p>
    <w:p w14:paraId="3A0816B0" w14:textId="77777777" w:rsidR="004B607F" w:rsidRPr="00845316" w:rsidRDefault="004B607F" w:rsidP="004B607F">
      <w:pPr>
        <w:rPr>
          <w:rFonts w:asciiTheme="minorBidi" w:hAnsiTheme="minorBidi"/>
          <w:rtl/>
        </w:rPr>
      </w:pPr>
      <w:r w:rsidRPr="00845316">
        <w:rPr>
          <w:rFonts w:asciiTheme="minorBidi" w:hAnsiTheme="minorBidi"/>
          <w:b/>
          <w:bCs/>
          <w:rtl/>
        </w:rPr>
        <w:t>בבא קמא סב ע"א:</w:t>
      </w:r>
      <w:r w:rsidRPr="00845316">
        <w:rPr>
          <w:rFonts w:asciiTheme="minorBidi" w:hAnsiTheme="minorBidi"/>
          <w:rtl/>
        </w:rPr>
        <w:t xml:space="preserve"> </w:t>
      </w:r>
      <w:r w:rsidRPr="00845316">
        <w:rPr>
          <w:rFonts w:asciiTheme="minorBidi" w:hAnsiTheme="minorBidi"/>
          <w:u w:val="single"/>
          <w:rtl/>
        </w:rPr>
        <w:t>א"ל רב אדא בריה דרב אויא לרב אשי:</w:t>
      </w:r>
      <w:r w:rsidRPr="00845316">
        <w:rPr>
          <w:rFonts w:asciiTheme="minorBidi" w:hAnsiTheme="minorBidi"/>
          <w:rtl/>
        </w:rPr>
        <w:t xml:space="preserve"> מה בין גזלן לחמסן? א"ל: חמסן יהיב דמי, גזלן לא יהיב דמי</w:t>
      </w:r>
      <w:r w:rsidRPr="00845316">
        <w:rPr>
          <w:rStyle w:val="ab"/>
          <w:rFonts w:asciiTheme="minorBidi" w:hAnsiTheme="minorBidi"/>
          <w:rtl/>
        </w:rPr>
        <w:footnoteReference w:id="2181"/>
      </w:r>
      <w:r w:rsidRPr="00845316">
        <w:rPr>
          <w:rFonts w:asciiTheme="minorBidi" w:hAnsiTheme="minorBidi"/>
          <w:rtl/>
        </w:rPr>
        <w:t xml:space="preserve">. </w:t>
      </w:r>
    </w:p>
    <w:p w14:paraId="635B41D1" w14:textId="77777777" w:rsidR="004B607F" w:rsidRPr="00845316" w:rsidRDefault="004B607F" w:rsidP="004B607F">
      <w:pPr>
        <w:rPr>
          <w:rFonts w:asciiTheme="minorBidi" w:hAnsiTheme="minorBidi"/>
          <w:rtl/>
        </w:rPr>
      </w:pPr>
      <w:r w:rsidRPr="00845316">
        <w:rPr>
          <w:rFonts w:asciiTheme="minorBidi" w:hAnsiTheme="minorBidi"/>
          <w:b/>
          <w:bCs/>
          <w:rtl/>
        </w:rPr>
        <w:t xml:space="preserve">סנהדרין כה ע"ב: </w:t>
      </w:r>
      <w:r w:rsidRPr="00845316">
        <w:rPr>
          <w:rFonts w:asciiTheme="minorBidi" w:hAnsiTheme="minorBidi"/>
          <w:rtl/>
        </w:rPr>
        <w:t>תנא: עוד הוסיפו עליהן הרועים הגבאין</w:t>
      </w:r>
      <w:r w:rsidRPr="00845316">
        <w:rPr>
          <w:rStyle w:val="ab"/>
          <w:rFonts w:asciiTheme="minorBidi" w:hAnsiTheme="minorBidi"/>
          <w:rtl/>
        </w:rPr>
        <w:footnoteReference w:id="2182"/>
      </w:r>
      <w:r w:rsidRPr="00845316">
        <w:rPr>
          <w:rFonts w:asciiTheme="minorBidi" w:hAnsiTheme="minorBidi"/>
          <w:rtl/>
        </w:rPr>
        <w:t xml:space="preserve"> והמוכסין. רועים, מעיקרא סבור אקראי בעלמא הוא</w:t>
      </w:r>
      <w:r w:rsidRPr="00845316">
        <w:rPr>
          <w:rStyle w:val="ab"/>
          <w:rFonts w:asciiTheme="minorBidi" w:hAnsiTheme="minorBidi"/>
          <w:rtl/>
        </w:rPr>
        <w:footnoteReference w:id="2183"/>
      </w:r>
      <w:r w:rsidRPr="00845316">
        <w:rPr>
          <w:rFonts w:asciiTheme="minorBidi" w:hAnsiTheme="minorBidi"/>
          <w:rtl/>
        </w:rPr>
        <w:t xml:space="preserve">, כיון דחזו דקא מכווני ושדו לכתחילה גזרו בהו רבנן.... </w:t>
      </w:r>
      <w:r w:rsidRPr="00845316">
        <w:rPr>
          <w:rFonts w:asciiTheme="minorBidi" w:hAnsiTheme="minorBidi"/>
          <w:u w:val="single"/>
          <w:rtl/>
        </w:rPr>
        <w:t>אמר רבא</w:t>
      </w:r>
      <w:r w:rsidRPr="00845316">
        <w:rPr>
          <w:rFonts w:asciiTheme="minorBidi" w:hAnsiTheme="minorBidi"/>
          <w:rtl/>
        </w:rPr>
        <w:t>: רועה שאמרו</w:t>
      </w:r>
      <w:r>
        <w:rPr>
          <w:rFonts w:asciiTheme="minorBidi" w:hAnsiTheme="minorBidi" w:hint="cs"/>
          <w:rtl/>
        </w:rPr>
        <w:t xml:space="preserve"> </w:t>
      </w:r>
      <w:r w:rsidRPr="00845316">
        <w:rPr>
          <w:rFonts w:asciiTheme="minorBidi" w:hAnsiTheme="minorBidi"/>
          <w:rtl/>
        </w:rPr>
        <w:t>- אחד רועה בהמה דקה ואחד רועה בהמה גסה. ומי אמר רבא הכי? והאמר רבא: רועה בהמה דקה בארץ ישראל</w:t>
      </w:r>
      <w:r w:rsidRPr="00845316">
        <w:rPr>
          <w:rStyle w:val="ab"/>
          <w:rFonts w:asciiTheme="minorBidi" w:hAnsiTheme="minorBidi"/>
          <w:rtl/>
        </w:rPr>
        <w:footnoteReference w:id="2184"/>
      </w:r>
      <w:r w:rsidRPr="00845316">
        <w:rPr>
          <w:rFonts w:asciiTheme="minorBidi" w:hAnsiTheme="minorBidi"/>
          <w:rtl/>
        </w:rPr>
        <w:t xml:space="preserve"> פסולין, בחוצה לארץ כשרין. רועה בהמה גסה אפילו בארץ ישראל כשרין! ההוא במגדלים איתמר</w:t>
      </w:r>
      <w:r w:rsidRPr="00845316">
        <w:rPr>
          <w:rStyle w:val="ab"/>
          <w:rFonts w:asciiTheme="minorBidi" w:hAnsiTheme="minorBidi"/>
          <w:rtl/>
        </w:rPr>
        <w:footnoteReference w:id="2185"/>
      </w:r>
      <w:r w:rsidRPr="00845316">
        <w:rPr>
          <w:rFonts w:asciiTheme="minorBidi" w:hAnsiTheme="minorBidi"/>
          <w:rtl/>
        </w:rPr>
        <w:t xml:space="preserve">.... </w:t>
      </w:r>
      <w:r w:rsidRPr="00845316">
        <w:rPr>
          <w:rFonts w:asciiTheme="minorBidi" w:hAnsiTheme="minorBidi"/>
          <w:u w:val="single"/>
          <w:rtl/>
        </w:rPr>
        <w:t>אמר רב יהודה</w:t>
      </w:r>
      <w:r w:rsidRPr="00845316">
        <w:rPr>
          <w:rFonts w:asciiTheme="minorBidi" w:hAnsiTheme="minorBidi"/>
          <w:rtl/>
        </w:rPr>
        <w:t>: סתם רועה</w:t>
      </w:r>
      <w:r w:rsidRPr="00845316">
        <w:rPr>
          <w:rStyle w:val="ab"/>
          <w:rFonts w:asciiTheme="minorBidi" w:hAnsiTheme="minorBidi"/>
          <w:rtl/>
        </w:rPr>
        <w:footnoteReference w:id="2186"/>
      </w:r>
      <w:r w:rsidRPr="00845316">
        <w:rPr>
          <w:rFonts w:asciiTheme="minorBidi" w:hAnsiTheme="minorBidi"/>
          <w:rtl/>
        </w:rPr>
        <w:t xml:space="preserve"> פסול</w:t>
      </w:r>
      <w:r w:rsidRPr="00845316">
        <w:rPr>
          <w:rStyle w:val="ab"/>
          <w:rFonts w:asciiTheme="minorBidi" w:hAnsiTheme="minorBidi"/>
          <w:rtl/>
        </w:rPr>
        <w:footnoteReference w:id="2187"/>
      </w:r>
      <w:r w:rsidRPr="00845316">
        <w:rPr>
          <w:rFonts w:asciiTheme="minorBidi" w:hAnsiTheme="minorBidi"/>
          <w:rtl/>
        </w:rPr>
        <w:t>, סתם גבאי כשר</w:t>
      </w:r>
      <w:r w:rsidRPr="00845316">
        <w:rPr>
          <w:rStyle w:val="ab"/>
          <w:rFonts w:asciiTheme="minorBidi" w:hAnsiTheme="minorBidi"/>
          <w:rtl/>
        </w:rPr>
        <w:footnoteReference w:id="2188"/>
      </w:r>
      <w:r w:rsidRPr="00845316">
        <w:rPr>
          <w:rFonts w:asciiTheme="minorBidi" w:hAnsiTheme="minorBidi"/>
          <w:rtl/>
        </w:rPr>
        <w:t xml:space="preserve">. </w:t>
      </w:r>
      <w:r w:rsidRPr="00845316">
        <w:rPr>
          <w:rFonts w:asciiTheme="minorBidi" w:hAnsiTheme="minorBidi"/>
          <w:sz w:val="16"/>
          <w:szCs w:val="16"/>
          <w:rtl/>
        </w:rPr>
        <w:t xml:space="preserve">(הרי דמגדלי בהמה דקה בא"י פסולים </w:t>
      </w:r>
      <w:r w:rsidRPr="00845316">
        <w:rPr>
          <w:rFonts w:asciiTheme="minorBidi" w:hAnsiTheme="minorBidi"/>
          <w:sz w:val="14"/>
          <w:szCs w:val="14"/>
          <w:rtl/>
        </w:rPr>
        <w:t xml:space="preserve">(ואם מגדל מחוץ לבית אז גם רועי בהמה גסה פסולין) </w:t>
      </w:r>
      <w:r w:rsidRPr="00845316">
        <w:rPr>
          <w:rFonts w:asciiTheme="minorBidi" w:hAnsiTheme="minorBidi"/>
          <w:sz w:val="16"/>
          <w:szCs w:val="16"/>
          <w:rtl/>
        </w:rPr>
        <w:t>וכ"פ הרמב"ם (פ"י ה"ד), והאידנא דליכא לישראל שדות בארץ ישראל נראה לי דמגדלי בהמה דקה בארץ ישראל נמי כשרים, ב"י)</w:t>
      </w:r>
    </w:p>
    <w:bookmarkEnd w:id="297"/>
    <w:p w14:paraId="3EF8CDA3" w14:textId="77777777" w:rsidR="004B607F" w:rsidRPr="00845316" w:rsidRDefault="004B607F" w:rsidP="004B607F">
      <w:pPr>
        <w:jc w:val="both"/>
        <w:rPr>
          <w:rFonts w:asciiTheme="minorBidi" w:hAnsiTheme="minorBidi"/>
          <w:rtl/>
        </w:rPr>
      </w:pPr>
      <w:r w:rsidRPr="00845316">
        <w:rPr>
          <w:rFonts w:asciiTheme="minorBidi" w:hAnsiTheme="minorBidi"/>
          <w:b/>
          <w:bCs/>
          <w:sz w:val="32"/>
          <w:szCs w:val="28"/>
          <w:u w:val="single"/>
          <w:rtl/>
        </w:rPr>
        <w:t xml:space="preserve">שו"ע: </w:t>
      </w:r>
    </w:p>
    <w:p w14:paraId="69F5B077" w14:textId="77777777" w:rsidR="004B607F" w:rsidRPr="00845316" w:rsidRDefault="004B607F" w:rsidP="004B607F">
      <w:pPr>
        <w:rPr>
          <w:rFonts w:asciiTheme="minorBidi" w:hAnsiTheme="minorBidi"/>
          <w:rtl/>
        </w:rPr>
      </w:pPr>
      <w:r w:rsidRPr="00845316">
        <w:rPr>
          <w:rFonts w:asciiTheme="minorBidi" w:hAnsiTheme="minorBidi"/>
          <w:rtl/>
        </w:rPr>
        <w:t>העובר על גזל של דבריהם פסול מדבריהם</w:t>
      </w:r>
      <w:r>
        <w:rPr>
          <w:rFonts w:asciiTheme="minorBidi" w:hAnsiTheme="minorBidi" w:hint="cs"/>
          <w:rtl/>
        </w:rPr>
        <w:t>.</w:t>
      </w:r>
      <w:r w:rsidRPr="00845316">
        <w:rPr>
          <w:rFonts w:asciiTheme="minorBidi" w:hAnsiTheme="minorBidi"/>
          <w:rtl/>
        </w:rPr>
        <w:t xml:space="preserve"> כיצד </w:t>
      </w:r>
      <w:r w:rsidRPr="00845316">
        <w:rPr>
          <w:rFonts w:asciiTheme="minorBidi" w:hAnsiTheme="minorBidi"/>
          <w:sz w:val="18"/>
          <w:szCs w:val="18"/>
          <w:rtl/>
        </w:rPr>
        <w:t>הגה: כגון שגזל מציאת חרש שוטה וקטן</w:t>
      </w:r>
      <w:r w:rsidRPr="00845316">
        <w:rPr>
          <w:rStyle w:val="ab"/>
          <w:rFonts w:asciiTheme="minorBidi" w:hAnsiTheme="minorBidi"/>
          <w:sz w:val="18"/>
          <w:szCs w:val="18"/>
          <w:rtl/>
        </w:rPr>
        <w:footnoteReference w:id="2189"/>
      </w:r>
      <w:r w:rsidRPr="00845316">
        <w:rPr>
          <w:rFonts w:asciiTheme="minorBidi" w:hAnsiTheme="minorBidi"/>
          <w:sz w:val="18"/>
          <w:szCs w:val="18"/>
          <w:rtl/>
        </w:rPr>
        <w:t xml:space="preserve"> או (טור) </w:t>
      </w:r>
      <w:r w:rsidRPr="00845316">
        <w:rPr>
          <w:rFonts w:asciiTheme="minorBidi" w:hAnsiTheme="minorBidi"/>
          <w:rtl/>
        </w:rPr>
        <w:t>החמסנים והם הלוקחים קרקע או מטלטלים שלא ברצון הבעלים אף על פי שנותנים הדמים</w:t>
      </w:r>
      <w:r w:rsidRPr="00845316">
        <w:rPr>
          <w:rStyle w:val="ab"/>
          <w:rFonts w:asciiTheme="minorBidi" w:hAnsiTheme="minorBidi"/>
          <w:rtl/>
        </w:rPr>
        <w:footnoteReference w:id="2190"/>
      </w:r>
      <w:r w:rsidRPr="00845316">
        <w:rPr>
          <w:rFonts w:asciiTheme="minorBidi" w:hAnsiTheme="minorBidi"/>
          <w:rtl/>
        </w:rPr>
        <w:t>, וכן הרועים אחד רועי בהמה דקה ואחד רועי בהמה גסה</w:t>
      </w:r>
      <w:r w:rsidRPr="00845316">
        <w:rPr>
          <w:rStyle w:val="ab"/>
          <w:rFonts w:asciiTheme="minorBidi" w:hAnsiTheme="minorBidi"/>
          <w:rtl/>
        </w:rPr>
        <w:footnoteReference w:id="2191"/>
      </w:r>
      <w:r w:rsidRPr="00845316">
        <w:rPr>
          <w:rFonts w:asciiTheme="minorBidi" w:hAnsiTheme="minorBidi"/>
          <w:rtl/>
        </w:rPr>
        <w:t xml:space="preserve"> של עצמם</w:t>
      </w:r>
      <w:r>
        <w:rPr>
          <w:rFonts w:asciiTheme="minorBidi" w:hAnsiTheme="minorBidi" w:hint="cs"/>
          <w:rtl/>
        </w:rPr>
        <w:t>,</w:t>
      </w:r>
      <w:r w:rsidRPr="00845316">
        <w:rPr>
          <w:rFonts w:asciiTheme="minorBidi" w:hAnsiTheme="minorBidi"/>
          <w:rtl/>
        </w:rPr>
        <w:t xml:space="preserve"> הרי הם פסולים, שחזקתן פושטים ידיהם בגזל ומניחים בהמתן לרעות בשדות ובפרדסים של אחרים. </w:t>
      </w:r>
    </w:p>
    <w:p w14:paraId="117FC5A9" w14:textId="77777777" w:rsidR="004B607F" w:rsidRPr="00845316" w:rsidRDefault="004B607F" w:rsidP="004B607F">
      <w:pPr>
        <w:rPr>
          <w:rFonts w:asciiTheme="minorBidi" w:hAnsiTheme="minorBidi"/>
          <w:rtl/>
        </w:rPr>
      </w:pPr>
    </w:p>
    <w:p w14:paraId="6DCEA49B" w14:textId="77777777" w:rsidR="004B607F" w:rsidRPr="00845316" w:rsidRDefault="004B607F" w:rsidP="004B607F">
      <w:pPr>
        <w:pStyle w:val="2"/>
        <w:rPr>
          <w:rFonts w:asciiTheme="minorBidi" w:hAnsiTheme="minorBidi"/>
          <w:rtl/>
        </w:rPr>
      </w:pPr>
      <w:bookmarkStart w:id="298" w:name="_Toc24883761"/>
      <w:r w:rsidRPr="00845316">
        <w:rPr>
          <w:rFonts w:asciiTheme="minorBidi" w:hAnsiTheme="minorBidi"/>
          <w:rtl/>
        </w:rPr>
        <w:lastRenderedPageBreak/>
        <w:t>סעיף יד: המוכסים והגבאים.</w:t>
      </w:r>
      <w:bookmarkEnd w:id="298"/>
    </w:p>
    <w:p w14:paraId="2B8DC1B3" w14:textId="77777777" w:rsidR="004B607F" w:rsidRPr="00845316" w:rsidRDefault="004B607F" w:rsidP="004B607F">
      <w:pPr>
        <w:rPr>
          <w:rFonts w:asciiTheme="minorBidi" w:hAnsiTheme="minorBidi"/>
          <w:rtl/>
        </w:rPr>
      </w:pPr>
      <w:r w:rsidRPr="00845316">
        <w:rPr>
          <w:rFonts w:asciiTheme="minorBidi" w:hAnsiTheme="minorBidi"/>
          <w:b/>
          <w:bCs/>
          <w:rtl/>
        </w:rPr>
        <w:t xml:space="preserve">סנהדרין כה ע"ב: </w:t>
      </w:r>
      <w:r w:rsidRPr="00845316">
        <w:rPr>
          <w:rFonts w:asciiTheme="minorBidi" w:hAnsiTheme="minorBidi"/>
          <w:rtl/>
        </w:rPr>
        <w:t>תנא: עוד הוסיפו עליהן הרועים הגבאין והמוכסין.... הגבאין והמוכסין, מעיקרא סבור: מאי דקיץ להו קא שקלי, כיון דחזו דקא שקלי יתירא</w:t>
      </w:r>
      <w:r w:rsidRPr="00845316">
        <w:rPr>
          <w:rStyle w:val="ab"/>
          <w:rFonts w:asciiTheme="minorBidi" w:hAnsiTheme="minorBidi"/>
          <w:rtl/>
        </w:rPr>
        <w:footnoteReference w:id="2192"/>
      </w:r>
      <w:r w:rsidRPr="00845316">
        <w:rPr>
          <w:rFonts w:asciiTheme="minorBidi" w:hAnsiTheme="minorBidi"/>
          <w:rtl/>
        </w:rPr>
        <w:t xml:space="preserve"> פסלינהו</w:t>
      </w:r>
      <w:r w:rsidRPr="00845316">
        <w:rPr>
          <w:rStyle w:val="ab"/>
          <w:rFonts w:asciiTheme="minorBidi" w:hAnsiTheme="minorBidi"/>
          <w:rtl/>
        </w:rPr>
        <w:footnoteReference w:id="2193"/>
      </w:r>
      <w:r w:rsidRPr="00845316">
        <w:rPr>
          <w:rFonts w:asciiTheme="minorBidi" w:hAnsiTheme="minorBidi"/>
          <w:rtl/>
        </w:rPr>
        <w:t xml:space="preserve">.... </w:t>
      </w:r>
      <w:r w:rsidRPr="00845316">
        <w:rPr>
          <w:rFonts w:asciiTheme="minorBidi" w:hAnsiTheme="minorBidi"/>
          <w:u w:val="single"/>
          <w:rtl/>
        </w:rPr>
        <w:t>אמר רב יהודה</w:t>
      </w:r>
      <w:r w:rsidRPr="00845316">
        <w:rPr>
          <w:rFonts w:asciiTheme="minorBidi" w:hAnsiTheme="minorBidi"/>
          <w:rtl/>
        </w:rPr>
        <w:t>: סתם רועה פסול, סתם גבאי כשר</w:t>
      </w:r>
      <w:r w:rsidRPr="00845316">
        <w:rPr>
          <w:rStyle w:val="ab"/>
          <w:rFonts w:asciiTheme="minorBidi" w:hAnsiTheme="minorBidi"/>
          <w:rtl/>
        </w:rPr>
        <w:footnoteReference w:id="2194"/>
      </w:r>
      <w:r w:rsidRPr="00845316">
        <w:rPr>
          <w:rFonts w:asciiTheme="minorBidi" w:hAnsiTheme="minorBidi"/>
          <w:rtl/>
        </w:rPr>
        <w:t xml:space="preserve">.   </w:t>
      </w:r>
    </w:p>
    <w:p w14:paraId="784CBF60" w14:textId="77777777" w:rsidR="004B607F" w:rsidRPr="00845316" w:rsidRDefault="004B607F" w:rsidP="004B607F">
      <w:pPr>
        <w:rPr>
          <w:rFonts w:asciiTheme="minorBidi" w:hAnsiTheme="minorBidi"/>
          <w:u w:val="single"/>
          <w:rtl/>
        </w:rPr>
      </w:pPr>
      <w:r w:rsidRPr="00845316">
        <w:rPr>
          <w:rFonts w:asciiTheme="minorBidi" w:hAnsiTheme="minorBidi"/>
          <w:u w:val="single"/>
          <w:rtl/>
        </w:rPr>
        <w:t>מה הפירוש "גבאי" ומה הפירוש "מוכס":</w:t>
      </w:r>
    </w:p>
    <w:p w14:paraId="3356AD6D" w14:textId="77777777" w:rsidR="004B607F" w:rsidRPr="00845316" w:rsidRDefault="004B607F" w:rsidP="004B0475">
      <w:pPr>
        <w:pStyle w:val="ac"/>
        <w:numPr>
          <w:ilvl w:val="0"/>
          <w:numId w:val="156"/>
        </w:numPr>
        <w:rPr>
          <w:rFonts w:asciiTheme="minorBidi" w:hAnsiTheme="minorBidi"/>
        </w:rPr>
      </w:pPr>
      <w:r w:rsidRPr="00845316">
        <w:rPr>
          <w:rFonts w:asciiTheme="minorBidi" w:hAnsiTheme="minorBidi"/>
          <w:rtl/>
        </w:rPr>
        <w:t>(רמב"ם</w:t>
      </w:r>
      <w:r w:rsidRPr="00845316">
        <w:rPr>
          <w:rFonts w:asciiTheme="minorBidi" w:hAnsiTheme="minorBidi"/>
          <w:sz w:val="14"/>
          <w:szCs w:val="14"/>
          <w:rtl/>
        </w:rPr>
        <w:t xml:space="preserve"> [פ"י ה"ד]</w:t>
      </w:r>
      <w:r w:rsidRPr="00845316">
        <w:rPr>
          <w:rFonts w:asciiTheme="minorBidi" w:hAnsiTheme="minorBidi"/>
          <w:rtl/>
        </w:rPr>
        <w:t xml:space="preserve"> טור</w:t>
      </w:r>
      <w:r w:rsidRPr="00845316">
        <w:rPr>
          <w:rFonts w:asciiTheme="minorBidi" w:hAnsiTheme="minorBidi"/>
          <w:sz w:val="16"/>
          <w:szCs w:val="16"/>
          <w:rtl/>
        </w:rPr>
        <w:t xml:space="preserve"> להב' הב"י והט"ז</w:t>
      </w:r>
      <w:r w:rsidRPr="00845316">
        <w:rPr>
          <w:rFonts w:asciiTheme="minorBidi" w:hAnsiTheme="minorBidi"/>
          <w:rtl/>
        </w:rPr>
        <w:t>) וב"י</w:t>
      </w:r>
      <w:r w:rsidRPr="00845316">
        <w:rPr>
          <w:rStyle w:val="ab"/>
          <w:rFonts w:asciiTheme="minorBidi" w:hAnsiTheme="minorBidi"/>
          <w:rtl/>
        </w:rPr>
        <w:footnoteReference w:id="2195"/>
      </w:r>
      <w:r w:rsidRPr="00845316">
        <w:rPr>
          <w:rFonts w:asciiTheme="minorBidi" w:hAnsiTheme="minorBidi"/>
          <w:rtl/>
        </w:rPr>
        <w:t xml:space="preserve">- </w:t>
      </w:r>
      <w:r w:rsidRPr="00845316">
        <w:rPr>
          <w:rFonts w:asciiTheme="minorBidi" w:hAnsiTheme="minorBidi"/>
          <w:u w:val="single"/>
          <w:rtl/>
        </w:rPr>
        <w:t>גבאי</w:t>
      </w:r>
      <w:r w:rsidRPr="00845316">
        <w:rPr>
          <w:rFonts w:asciiTheme="minorBidi" w:hAnsiTheme="minorBidi"/>
          <w:rtl/>
        </w:rPr>
        <w:t xml:space="preserve"> היינו גובה מנת המלך ושכרו קצוב וידוע</w:t>
      </w:r>
      <w:r w:rsidRPr="00845316">
        <w:rPr>
          <w:rStyle w:val="ab"/>
          <w:rFonts w:asciiTheme="minorBidi" w:hAnsiTheme="minorBidi"/>
          <w:rtl/>
        </w:rPr>
        <w:footnoteReference w:id="2196"/>
      </w:r>
      <w:r w:rsidRPr="00845316">
        <w:rPr>
          <w:rFonts w:asciiTheme="minorBidi" w:hAnsiTheme="minorBidi"/>
          <w:rtl/>
        </w:rPr>
        <w:t>, ולפיכך סתמו כשר עד שיודע שלוקח יותר</w:t>
      </w:r>
      <w:r>
        <w:rPr>
          <w:rFonts w:asciiTheme="minorBidi" w:hAnsiTheme="minorBidi" w:hint="cs"/>
          <w:rtl/>
        </w:rPr>
        <w:t>.</w:t>
      </w:r>
      <w:r w:rsidRPr="00845316">
        <w:rPr>
          <w:rFonts w:asciiTheme="minorBidi" w:hAnsiTheme="minorBidi"/>
          <w:rtl/>
        </w:rPr>
        <w:t xml:space="preserve"> </w:t>
      </w:r>
      <w:r w:rsidRPr="00845316">
        <w:rPr>
          <w:rFonts w:asciiTheme="minorBidi" w:hAnsiTheme="minorBidi"/>
          <w:u w:val="single"/>
          <w:rtl/>
        </w:rPr>
        <w:t>ומוכס</w:t>
      </w:r>
      <w:r w:rsidRPr="00845316">
        <w:rPr>
          <w:rFonts w:asciiTheme="minorBidi" w:hAnsiTheme="minorBidi"/>
          <w:rtl/>
        </w:rPr>
        <w:t xml:space="preserve"> היינו שקונה מנת המלך בכך וכך לשנה והוא גובה לעצמו</w:t>
      </w:r>
      <w:r w:rsidRPr="00845316">
        <w:rPr>
          <w:rStyle w:val="ab"/>
          <w:rFonts w:asciiTheme="minorBidi" w:hAnsiTheme="minorBidi"/>
          <w:rtl/>
        </w:rPr>
        <w:footnoteReference w:id="2197"/>
      </w:r>
      <w:r w:rsidRPr="00845316">
        <w:rPr>
          <w:rFonts w:asciiTheme="minorBidi" w:hAnsiTheme="minorBidi"/>
          <w:rtl/>
        </w:rPr>
        <w:t xml:space="preserve"> חשוד ליקח יותר ממה שצוה המלך ליטול</w:t>
      </w:r>
      <w:r w:rsidRPr="00845316">
        <w:rPr>
          <w:rStyle w:val="ab"/>
          <w:rFonts w:asciiTheme="minorBidi" w:hAnsiTheme="minorBidi"/>
          <w:rtl/>
        </w:rPr>
        <w:footnoteReference w:id="2198"/>
      </w:r>
      <w:r w:rsidRPr="00845316">
        <w:rPr>
          <w:rFonts w:asciiTheme="minorBidi" w:hAnsiTheme="minorBidi"/>
          <w:rtl/>
        </w:rPr>
        <w:t>, ולפיכך סתם מוכס פסול</w:t>
      </w:r>
      <w:r w:rsidRPr="00845316">
        <w:rPr>
          <w:rStyle w:val="ab"/>
          <w:rFonts w:asciiTheme="minorBidi" w:hAnsiTheme="minorBidi"/>
          <w:rtl/>
        </w:rPr>
        <w:footnoteReference w:id="2199"/>
      </w:r>
      <w:r w:rsidRPr="00845316">
        <w:rPr>
          <w:rFonts w:asciiTheme="minorBidi" w:hAnsiTheme="minorBidi"/>
          <w:rtl/>
        </w:rPr>
        <w:t xml:space="preserve">. </w:t>
      </w:r>
      <w:r w:rsidRPr="00845316">
        <w:rPr>
          <w:rFonts w:asciiTheme="minorBidi" w:hAnsiTheme="minorBidi"/>
          <w:color w:val="E36C0A" w:themeColor="accent6" w:themeShade="BF"/>
          <w:rtl/>
        </w:rPr>
        <w:t>(וכ"פ בשו"ע)</w:t>
      </w:r>
    </w:p>
    <w:p w14:paraId="1F4809A3" w14:textId="77777777" w:rsidR="004B607F" w:rsidRPr="00845316" w:rsidRDefault="004B607F" w:rsidP="004B0475">
      <w:pPr>
        <w:pStyle w:val="ac"/>
        <w:numPr>
          <w:ilvl w:val="0"/>
          <w:numId w:val="156"/>
        </w:numPr>
        <w:rPr>
          <w:rFonts w:asciiTheme="minorBidi" w:hAnsiTheme="minorBidi"/>
        </w:rPr>
      </w:pPr>
      <w:r w:rsidRPr="00845316">
        <w:rPr>
          <w:rFonts w:asciiTheme="minorBidi" w:hAnsiTheme="minorBidi"/>
          <w:rtl/>
        </w:rPr>
        <w:t>ר"ח או"ז ודרכ"מ</w:t>
      </w:r>
      <w:r w:rsidRPr="00845316">
        <w:rPr>
          <w:rStyle w:val="ab"/>
          <w:rFonts w:asciiTheme="minorBidi" w:hAnsiTheme="minorBidi"/>
          <w:rtl/>
        </w:rPr>
        <w:footnoteReference w:id="2200"/>
      </w:r>
      <w:r w:rsidRPr="00845316">
        <w:rPr>
          <w:rFonts w:asciiTheme="minorBidi" w:hAnsiTheme="minorBidi"/>
          <w:rtl/>
        </w:rPr>
        <w:t xml:space="preserve">- </w:t>
      </w:r>
      <w:r w:rsidRPr="00845316">
        <w:rPr>
          <w:rFonts w:asciiTheme="minorBidi" w:hAnsiTheme="minorBidi"/>
          <w:u w:val="single"/>
          <w:rtl/>
        </w:rPr>
        <w:t>גבאין</w:t>
      </w:r>
      <w:r w:rsidRPr="00845316">
        <w:rPr>
          <w:rFonts w:asciiTheme="minorBidi" w:hAnsiTheme="minorBidi"/>
          <w:rtl/>
        </w:rPr>
        <w:t xml:space="preserve"> יש להם קצבה לכן אם שקלי טפי ממאי דקיץ להו פסולין, </w:t>
      </w:r>
      <w:r w:rsidRPr="00845316">
        <w:rPr>
          <w:rFonts w:asciiTheme="minorBidi" w:hAnsiTheme="minorBidi"/>
          <w:u w:val="single"/>
          <w:rtl/>
        </w:rPr>
        <w:t>המוכסין</w:t>
      </w:r>
      <w:r w:rsidRPr="00845316">
        <w:rPr>
          <w:rFonts w:asciiTheme="minorBidi" w:hAnsiTheme="minorBidi"/>
          <w:rtl/>
        </w:rPr>
        <w:t xml:space="preserve"> גובים ע"פ אומד הדעת, ורובם נושאין פנים למקצתם ומקילים ומכבידים על מקצתם יותר מן הראוי </w:t>
      </w:r>
      <w:r w:rsidRPr="00845316">
        <w:rPr>
          <w:rFonts w:asciiTheme="minorBidi" w:hAnsiTheme="minorBidi"/>
          <w:sz w:val="16"/>
          <w:szCs w:val="16"/>
          <w:rtl/>
        </w:rPr>
        <w:t>(בזמן שהמלכות מטיל מס כך וכך ליקח מן היהודים כפי ממונם)</w:t>
      </w:r>
      <w:r w:rsidRPr="00845316">
        <w:rPr>
          <w:rFonts w:asciiTheme="minorBidi" w:hAnsiTheme="minorBidi"/>
          <w:rtl/>
        </w:rPr>
        <w:t xml:space="preserve"> ונמצאו גזלנין לפיכך פסלינהו רבנן</w:t>
      </w:r>
      <w:r w:rsidRPr="00845316">
        <w:rPr>
          <w:rStyle w:val="ab"/>
          <w:rFonts w:asciiTheme="minorBidi" w:hAnsiTheme="minorBidi"/>
          <w:rtl/>
        </w:rPr>
        <w:footnoteReference w:id="2201"/>
      </w:r>
      <w:r w:rsidRPr="00845316">
        <w:rPr>
          <w:rFonts w:asciiTheme="minorBidi" w:hAnsiTheme="minorBidi"/>
          <w:rtl/>
        </w:rPr>
        <w:t xml:space="preserve">. </w:t>
      </w:r>
      <w:r w:rsidRPr="00845316">
        <w:rPr>
          <w:rFonts w:asciiTheme="minorBidi" w:hAnsiTheme="minorBidi"/>
          <w:color w:val="00B0F0"/>
          <w:rtl/>
        </w:rPr>
        <w:t>(וכ"פ הרמ"א)</w:t>
      </w:r>
      <w:r w:rsidRPr="00845316">
        <w:rPr>
          <w:rFonts w:asciiTheme="minorBidi" w:hAnsiTheme="minorBidi"/>
          <w:rtl/>
        </w:rPr>
        <w:t xml:space="preserve"> </w:t>
      </w:r>
    </w:p>
    <w:p w14:paraId="29A6804B" w14:textId="77777777" w:rsidR="004B607F" w:rsidRPr="00845316" w:rsidRDefault="004B607F" w:rsidP="004B0475">
      <w:pPr>
        <w:pStyle w:val="ac"/>
        <w:numPr>
          <w:ilvl w:val="0"/>
          <w:numId w:val="156"/>
        </w:numPr>
        <w:rPr>
          <w:rFonts w:asciiTheme="minorBidi" w:hAnsiTheme="minorBidi"/>
        </w:rPr>
      </w:pPr>
      <w:r w:rsidRPr="00845316">
        <w:rPr>
          <w:rFonts w:asciiTheme="minorBidi" w:hAnsiTheme="minorBidi"/>
          <w:rtl/>
        </w:rPr>
        <w:t xml:space="preserve">(רמב"ם וטור </w:t>
      </w:r>
      <w:r w:rsidRPr="00845316">
        <w:rPr>
          <w:rFonts w:asciiTheme="minorBidi" w:hAnsiTheme="minorBidi"/>
          <w:sz w:val="16"/>
          <w:szCs w:val="16"/>
          <w:rtl/>
        </w:rPr>
        <w:t>להב' הסמ"ע</w:t>
      </w:r>
      <w:r w:rsidRPr="00845316">
        <w:rPr>
          <w:rFonts w:asciiTheme="minorBidi" w:hAnsiTheme="minorBidi"/>
          <w:sz w:val="14"/>
          <w:szCs w:val="14"/>
          <w:rtl/>
        </w:rPr>
        <w:t xml:space="preserve"> [סקל"ד]</w:t>
      </w:r>
      <w:r w:rsidRPr="00845316">
        <w:rPr>
          <w:rFonts w:asciiTheme="minorBidi" w:hAnsiTheme="minorBidi"/>
          <w:rtl/>
        </w:rPr>
        <w:t xml:space="preserve">)- </w:t>
      </w:r>
      <w:r w:rsidRPr="00845316">
        <w:rPr>
          <w:rFonts w:asciiTheme="minorBidi" w:hAnsiTheme="minorBidi"/>
          <w:u w:val="single"/>
          <w:rtl/>
        </w:rPr>
        <w:t>גבאי</w:t>
      </w:r>
      <w:r w:rsidRPr="00845316">
        <w:rPr>
          <w:rFonts w:asciiTheme="minorBidi" w:hAnsiTheme="minorBidi"/>
          <w:rtl/>
        </w:rPr>
        <w:t xml:space="preserve"> הוא שגובה מקרקפתא דגברא או מהשדות והבתים בשוה והוא דבר גלוי וידוע, ובקושי יכול ליטול מהן יותר מקצבתו, משום הכי סתמא כשר, </w:t>
      </w:r>
      <w:r w:rsidRPr="00845316">
        <w:rPr>
          <w:rFonts w:asciiTheme="minorBidi" w:hAnsiTheme="minorBidi"/>
          <w:u w:val="single"/>
          <w:rtl/>
        </w:rPr>
        <w:t>ומוכסן</w:t>
      </w:r>
      <w:r w:rsidRPr="00845316">
        <w:rPr>
          <w:rFonts w:asciiTheme="minorBidi" w:hAnsiTheme="minorBidi"/>
          <w:rtl/>
        </w:rPr>
        <w:t xml:space="preserve"> הוא הגובה למלך לפי הסחורה או לפי ממון של אדם וכל כיוצא בו דבר שאינו ידוע לכל, ובדבר שאינו ידוע יכול ליטול יותר לעצמו באין מרגיש כ"כ, ומשום הכי סתמן פסולין. (וכ"פ הבאה"ט</w:t>
      </w:r>
      <w:r w:rsidRPr="00845316">
        <w:rPr>
          <w:rFonts w:asciiTheme="minorBidi" w:hAnsiTheme="minorBidi"/>
          <w:sz w:val="16"/>
          <w:szCs w:val="16"/>
          <w:rtl/>
        </w:rPr>
        <w:t xml:space="preserve"> [סקי"ז]</w:t>
      </w:r>
      <w:r w:rsidRPr="00845316">
        <w:rPr>
          <w:rFonts w:asciiTheme="minorBidi" w:hAnsiTheme="minorBidi"/>
          <w:rtl/>
        </w:rPr>
        <w:t>)</w:t>
      </w:r>
    </w:p>
    <w:p w14:paraId="73947B0F" w14:textId="77777777" w:rsidR="004B607F" w:rsidRPr="00845316" w:rsidRDefault="004B607F" w:rsidP="004B0475">
      <w:pPr>
        <w:pStyle w:val="ac"/>
        <w:numPr>
          <w:ilvl w:val="0"/>
          <w:numId w:val="156"/>
        </w:numPr>
        <w:rPr>
          <w:rFonts w:asciiTheme="minorBidi" w:hAnsiTheme="minorBidi"/>
          <w:u w:val="single"/>
        </w:rPr>
      </w:pPr>
      <w:r w:rsidRPr="00845316">
        <w:rPr>
          <w:rFonts w:asciiTheme="minorBidi" w:hAnsiTheme="minorBidi"/>
          <w:rtl/>
        </w:rPr>
        <w:t>נמוק"י</w:t>
      </w:r>
      <w:r w:rsidRPr="00845316">
        <w:rPr>
          <w:rFonts w:asciiTheme="minorBidi" w:hAnsiTheme="minorBidi"/>
          <w:sz w:val="16"/>
          <w:szCs w:val="16"/>
          <w:rtl/>
        </w:rPr>
        <w:t xml:space="preserve"> (סנהדרין ה.)</w:t>
      </w:r>
      <w:r w:rsidRPr="00845316">
        <w:rPr>
          <w:rFonts w:asciiTheme="minorBidi" w:hAnsiTheme="minorBidi"/>
          <w:rtl/>
        </w:rPr>
        <w:t xml:space="preserve">- </w:t>
      </w:r>
      <w:r w:rsidRPr="00845316">
        <w:rPr>
          <w:rFonts w:asciiTheme="minorBidi" w:hAnsiTheme="minorBidi"/>
          <w:u w:val="single"/>
          <w:rtl/>
        </w:rPr>
        <w:t>הגבאים</w:t>
      </w:r>
      <w:r w:rsidRPr="00845316">
        <w:rPr>
          <w:rFonts w:asciiTheme="minorBidi" w:hAnsiTheme="minorBidi"/>
          <w:rtl/>
        </w:rPr>
        <w:t xml:space="preserve"> נוטלין מס של שר, ומכיון שנוטלין יותר ממה שהם צריכין עכשיו</w:t>
      </w:r>
      <w:r w:rsidRPr="00845316">
        <w:rPr>
          <w:rFonts w:asciiTheme="minorBidi" w:hAnsiTheme="minorBidi"/>
          <w:sz w:val="16"/>
          <w:szCs w:val="16"/>
          <w:rtl/>
        </w:rPr>
        <w:t xml:space="preserve"> (לשמא יצטרכו להם אח"כ)</w:t>
      </w:r>
      <w:r w:rsidRPr="00845316">
        <w:rPr>
          <w:rFonts w:asciiTheme="minorBidi" w:hAnsiTheme="minorBidi"/>
          <w:rtl/>
        </w:rPr>
        <w:t xml:space="preserve"> הוי שלא כדין, הילכך פסולין מדרבנן</w:t>
      </w:r>
      <w:r w:rsidRPr="00845316">
        <w:rPr>
          <w:rStyle w:val="ab"/>
          <w:rFonts w:asciiTheme="minorBidi" w:hAnsiTheme="minorBidi"/>
          <w:rtl/>
        </w:rPr>
        <w:footnoteReference w:id="2202"/>
      </w:r>
      <w:r w:rsidRPr="00845316">
        <w:rPr>
          <w:rFonts w:asciiTheme="minorBidi" w:hAnsiTheme="minorBidi"/>
          <w:rtl/>
        </w:rPr>
        <w:t xml:space="preserve">, </w:t>
      </w:r>
      <w:r w:rsidRPr="00845316">
        <w:rPr>
          <w:rFonts w:asciiTheme="minorBidi" w:hAnsiTheme="minorBidi"/>
          <w:u w:val="single"/>
          <w:rtl/>
        </w:rPr>
        <w:t>מוכסין</w:t>
      </w:r>
      <w:r w:rsidRPr="00845316">
        <w:rPr>
          <w:rFonts w:asciiTheme="minorBidi" w:hAnsiTheme="minorBidi"/>
          <w:rtl/>
        </w:rPr>
        <w:t xml:space="preserve"> מיפסלי משום דפעמים שבקי לעשירים ושקלי לעניים גזרו בהו רבנן או משום דחטפי ושקלי.</w:t>
      </w:r>
      <w:r w:rsidRPr="00845316">
        <w:rPr>
          <w:rFonts w:asciiTheme="minorBidi" w:hAnsiTheme="minorBidi"/>
          <w:u w:val="single"/>
          <w:rtl/>
        </w:rPr>
        <w:t xml:space="preserve"> </w:t>
      </w:r>
    </w:p>
    <w:p w14:paraId="2241E909" w14:textId="77777777" w:rsidR="004B607F" w:rsidRPr="00845316" w:rsidRDefault="004B607F" w:rsidP="004B607F">
      <w:pPr>
        <w:rPr>
          <w:rFonts w:asciiTheme="minorBidi" w:hAnsiTheme="minorBidi"/>
          <w:u w:val="single"/>
          <w:rtl/>
        </w:rPr>
      </w:pPr>
      <w:r w:rsidRPr="00845316">
        <w:rPr>
          <w:rFonts w:asciiTheme="minorBidi" w:hAnsiTheme="minorBidi"/>
          <w:u w:val="single"/>
          <w:rtl/>
        </w:rPr>
        <w:t xml:space="preserve">מה דינו של סתם </w:t>
      </w:r>
      <w:r w:rsidRPr="00845316">
        <w:rPr>
          <w:rFonts w:asciiTheme="minorBidi" w:hAnsiTheme="minorBidi"/>
          <w:b/>
          <w:bCs/>
          <w:u w:val="single"/>
          <w:rtl/>
        </w:rPr>
        <w:t>מוכס</w:t>
      </w:r>
      <w:r w:rsidRPr="00845316">
        <w:rPr>
          <w:rFonts w:asciiTheme="minorBidi" w:hAnsiTheme="minorBidi"/>
          <w:u w:val="single"/>
          <w:rtl/>
        </w:rPr>
        <w:t>:</w:t>
      </w:r>
    </w:p>
    <w:p w14:paraId="5595B80A" w14:textId="77777777" w:rsidR="004B607F" w:rsidRPr="00845316" w:rsidRDefault="004B607F" w:rsidP="004B0475">
      <w:pPr>
        <w:pStyle w:val="ac"/>
        <w:numPr>
          <w:ilvl w:val="0"/>
          <w:numId w:val="157"/>
        </w:numPr>
        <w:rPr>
          <w:rFonts w:asciiTheme="minorBidi" w:hAnsiTheme="minorBidi"/>
        </w:rPr>
      </w:pPr>
      <w:r w:rsidRPr="00845316">
        <w:rPr>
          <w:rFonts w:asciiTheme="minorBidi" w:hAnsiTheme="minorBidi"/>
          <w:rtl/>
        </w:rPr>
        <w:t>רמב"ם טור רי"ו</w:t>
      </w:r>
      <w:r w:rsidRPr="00845316">
        <w:rPr>
          <w:rStyle w:val="ab"/>
          <w:rFonts w:asciiTheme="minorBidi" w:hAnsiTheme="minorBidi"/>
          <w:rtl/>
        </w:rPr>
        <w:footnoteReference w:id="2203"/>
      </w:r>
      <w:r w:rsidRPr="00845316">
        <w:rPr>
          <w:rFonts w:asciiTheme="minorBidi" w:hAnsiTheme="minorBidi"/>
          <w:rtl/>
        </w:rPr>
        <w:t xml:space="preserve"> וב"י- פסול. </w:t>
      </w:r>
      <w:r w:rsidRPr="00845316">
        <w:rPr>
          <w:rFonts w:asciiTheme="minorBidi" w:hAnsiTheme="minorBidi"/>
          <w:color w:val="E36C0A" w:themeColor="accent6" w:themeShade="BF"/>
          <w:rtl/>
        </w:rPr>
        <w:t>(וכ"פ בשו"ע)</w:t>
      </w:r>
      <w:r w:rsidRPr="00845316">
        <w:rPr>
          <w:rFonts w:asciiTheme="minorBidi" w:hAnsiTheme="minorBidi"/>
          <w:rtl/>
        </w:rPr>
        <w:t xml:space="preserve"> (וכ"פ הסמ"ע והט"ז)</w:t>
      </w:r>
    </w:p>
    <w:p w14:paraId="6BC23331" w14:textId="77777777" w:rsidR="004B607F" w:rsidRPr="00845316" w:rsidRDefault="004B607F" w:rsidP="004B0475">
      <w:pPr>
        <w:pStyle w:val="ac"/>
        <w:numPr>
          <w:ilvl w:val="0"/>
          <w:numId w:val="157"/>
        </w:numPr>
        <w:rPr>
          <w:rFonts w:asciiTheme="minorBidi" w:hAnsiTheme="minorBidi"/>
          <w:rtl/>
        </w:rPr>
      </w:pPr>
      <w:r w:rsidRPr="00845316">
        <w:rPr>
          <w:rFonts w:asciiTheme="minorBidi" w:hAnsiTheme="minorBidi"/>
          <w:rtl/>
        </w:rPr>
        <w:t xml:space="preserve">(רש"י </w:t>
      </w:r>
      <w:r w:rsidRPr="00845316">
        <w:rPr>
          <w:rFonts w:asciiTheme="minorBidi" w:hAnsiTheme="minorBidi"/>
          <w:sz w:val="16"/>
          <w:szCs w:val="16"/>
          <w:rtl/>
        </w:rPr>
        <w:t>להב' התוס' [ד"ה סתם]</w:t>
      </w:r>
      <w:r w:rsidRPr="00845316">
        <w:rPr>
          <w:rFonts w:asciiTheme="minorBidi" w:hAnsiTheme="minorBidi"/>
          <w:rtl/>
        </w:rPr>
        <w:t>)- כשר</w:t>
      </w:r>
      <w:r w:rsidRPr="00845316">
        <w:rPr>
          <w:rStyle w:val="ab"/>
          <w:rFonts w:asciiTheme="minorBidi" w:hAnsiTheme="minorBidi"/>
          <w:rtl/>
        </w:rPr>
        <w:footnoteReference w:id="2204"/>
      </w:r>
      <w:r w:rsidRPr="00845316">
        <w:rPr>
          <w:rFonts w:asciiTheme="minorBidi" w:hAnsiTheme="minorBidi"/>
          <w:rtl/>
        </w:rPr>
        <w:t>.</w:t>
      </w:r>
    </w:p>
    <w:p w14:paraId="1432DDA8" w14:textId="77777777" w:rsidR="004B607F" w:rsidRPr="00845316" w:rsidRDefault="004B607F" w:rsidP="004B607F">
      <w:pPr>
        <w:jc w:val="both"/>
        <w:rPr>
          <w:rFonts w:asciiTheme="minorBidi" w:hAnsiTheme="minorBidi"/>
          <w:rtl/>
        </w:rPr>
      </w:pPr>
      <w:r w:rsidRPr="00845316">
        <w:rPr>
          <w:rFonts w:asciiTheme="minorBidi" w:hAnsiTheme="minorBidi"/>
          <w:b/>
          <w:bCs/>
          <w:sz w:val="32"/>
          <w:szCs w:val="28"/>
          <w:u w:val="single"/>
          <w:rtl/>
        </w:rPr>
        <w:t xml:space="preserve">שו"ע: </w:t>
      </w:r>
    </w:p>
    <w:p w14:paraId="7E6E3D6F" w14:textId="77777777" w:rsidR="004B607F" w:rsidRPr="00845316" w:rsidRDefault="004B607F" w:rsidP="004B607F">
      <w:pPr>
        <w:rPr>
          <w:rFonts w:asciiTheme="minorBidi" w:hAnsiTheme="minorBidi"/>
          <w:rtl/>
        </w:rPr>
      </w:pPr>
      <w:r w:rsidRPr="00845316">
        <w:rPr>
          <w:rFonts w:asciiTheme="minorBidi" w:hAnsiTheme="minorBidi"/>
          <w:rtl/>
        </w:rPr>
        <w:lastRenderedPageBreak/>
        <w:t>המוכסים סתמם פסולים</w:t>
      </w:r>
      <w:r>
        <w:rPr>
          <w:rFonts w:asciiTheme="minorBidi" w:hAnsiTheme="minorBidi" w:hint="cs"/>
          <w:rtl/>
        </w:rPr>
        <w:t>,</w:t>
      </w:r>
      <w:r w:rsidRPr="00845316">
        <w:rPr>
          <w:rFonts w:asciiTheme="minorBidi" w:hAnsiTheme="minorBidi"/>
          <w:rtl/>
        </w:rPr>
        <w:t xml:space="preserve"> מפני שחזקתן ליקח יותר מהקצוב להם בדין המלכות</w:t>
      </w:r>
      <w:r>
        <w:rPr>
          <w:rFonts w:asciiTheme="minorBidi" w:hAnsiTheme="minorBidi" w:hint="cs"/>
          <w:rtl/>
        </w:rPr>
        <w:t>.</w:t>
      </w:r>
      <w:r w:rsidRPr="00845316">
        <w:rPr>
          <w:rFonts w:asciiTheme="minorBidi" w:hAnsiTheme="minorBidi"/>
          <w:rtl/>
        </w:rPr>
        <w:t xml:space="preserve"> אבל גבאי מנת המלך סתמם כשרים, ואם נודע שלקחו אפילו פעם אחת יותר מהראוי להם לגבות פסולים</w:t>
      </w:r>
      <w:r w:rsidRPr="00845316">
        <w:rPr>
          <w:rStyle w:val="ab"/>
          <w:rFonts w:asciiTheme="minorBidi" w:hAnsiTheme="minorBidi"/>
          <w:rtl/>
        </w:rPr>
        <w:footnoteReference w:id="2205"/>
      </w:r>
      <w:r w:rsidRPr="00845316">
        <w:rPr>
          <w:rFonts w:asciiTheme="minorBidi" w:hAnsiTheme="minorBidi"/>
          <w:rtl/>
        </w:rPr>
        <w:t xml:space="preserve">. </w:t>
      </w:r>
      <w:r w:rsidRPr="00845316">
        <w:rPr>
          <w:rFonts w:asciiTheme="minorBidi" w:hAnsiTheme="minorBidi"/>
          <w:sz w:val="18"/>
          <w:szCs w:val="18"/>
          <w:rtl/>
        </w:rPr>
        <w:t>הגה: י"א דפי' מוכסים שגובה המכס לפי אומד הדעת ואין בדבר קצבה לפיכך מסתמא פסול דמסתמא נושאים פנים למקצת בני אדם ומכבידים על אחרים</w:t>
      </w:r>
      <w:r>
        <w:rPr>
          <w:rFonts w:asciiTheme="minorBidi" w:hAnsiTheme="minorBidi" w:hint="cs"/>
          <w:sz w:val="18"/>
          <w:szCs w:val="18"/>
          <w:rtl/>
        </w:rPr>
        <w:t>.</w:t>
      </w:r>
      <w:r w:rsidRPr="00845316">
        <w:rPr>
          <w:rFonts w:asciiTheme="minorBidi" w:hAnsiTheme="minorBidi"/>
          <w:sz w:val="18"/>
          <w:szCs w:val="18"/>
          <w:rtl/>
        </w:rPr>
        <w:t xml:space="preserve"> ולכן שמאי העיר שמטילין מס על בני העיר לפי אומד הדעת צריכין ליזהר שלא יחניפו לאחד ויכבידו על האחר שלא יפסלו לעדות ולשבועה</w:t>
      </w:r>
      <w:r w:rsidRPr="00845316">
        <w:rPr>
          <w:rStyle w:val="ab"/>
          <w:rFonts w:asciiTheme="minorBidi" w:hAnsiTheme="minorBidi"/>
          <w:sz w:val="18"/>
          <w:szCs w:val="18"/>
          <w:rtl/>
        </w:rPr>
        <w:footnoteReference w:id="2206"/>
      </w:r>
      <w:r w:rsidRPr="00845316">
        <w:rPr>
          <w:rFonts w:asciiTheme="minorBidi" w:hAnsiTheme="minorBidi"/>
          <w:sz w:val="18"/>
          <w:szCs w:val="18"/>
          <w:rtl/>
        </w:rPr>
        <w:t xml:space="preserve"> (הג"א). </w:t>
      </w:r>
    </w:p>
    <w:p w14:paraId="6637CF7F" w14:textId="77777777" w:rsidR="004B607F" w:rsidRPr="00845316" w:rsidRDefault="004B607F" w:rsidP="004B607F">
      <w:pPr>
        <w:rPr>
          <w:rFonts w:asciiTheme="minorBidi" w:hAnsiTheme="minorBidi"/>
          <w:rtl/>
        </w:rPr>
      </w:pPr>
    </w:p>
    <w:p w14:paraId="062024DD" w14:textId="77777777" w:rsidR="004B607F" w:rsidRPr="00845316" w:rsidRDefault="004B607F" w:rsidP="004B607F">
      <w:pPr>
        <w:pStyle w:val="2"/>
        <w:rPr>
          <w:rFonts w:asciiTheme="minorBidi" w:hAnsiTheme="minorBidi"/>
          <w:rtl/>
        </w:rPr>
      </w:pPr>
      <w:bookmarkStart w:id="299" w:name="_Toc24883762"/>
      <w:r w:rsidRPr="00845316">
        <w:rPr>
          <w:rFonts w:asciiTheme="minorBidi" w:hAnsiTheme="minorBidi"/>
          <w:rtl/>
        </w:rPr>
        <w:t>סעיף טו: אריס שלקח דבר מועט מהפירות.</w:t>
      </w:r>
      <w:bookmarkEnd w:id="299"/>
    </w:p>
    <w:p w14:paraId="1A32F114" w14:textId="77777777" w:rsidR="004B607F" w:rsidRPr="00845316" w:rsidRDefault="004B607F" w:rsidP="004B607F">
      <w:pPr>
        <w:rPr>
          <w:rFonts w:asciiTheme="minorBidi" w:hAnsiTheme="minorBidi"/>
          <w:rtl/>
        </w:rPr>
      </w:pPr>
      <w:r w:rsidRPr="00845316">
        <w:rPr>
          <w:rFonts w:asciiTheme="minorBidi" w:hAnsiTheme="minorBidi"/>
          <w:b/>
          <w:bCs/>
          <w:rtl/>
        </w:rPr>
        <w:t>סנהדרין כו</w:t>
      </w:r>
      <w:r>
        <w:rPr>
          <w:rStyle w:val="ab"/>
          <w:rFonts w:asciiTheme="minorBidi" w:hAnsiTheme="minorBidi"/>
          <w:b/>
          <w:bCs/>
          <w:rtl/>
        </w:rPr>
        <w:footnoteReference w:id="2207"/>
      </w:r>
      <w:r w:rsidRPr="00845316">
        <w:rPr>
          <w:rFonts w:asciiTheme="minorBidi" w:hAnsiTheme="minorBidi"/>
          <w:b/>
          <w:bCs/>
          <w:rtl/>
        </w:rPr>
        <w:t xml:space="preserve"> ע"ב: </w:t>
      </w:r>
      <w:r w:rsidRPr="00845316">
        <w:rPr>
          <w:rFonts w:asciiTheme="minorBidi" w:hAnsiTheme="minorBidi"/>
          <w:u w:val="single"/>
          <w:rtl/>
        </w:rPr>
        <w:t>ואמר רב נחמן</w:t>
      </w:r>
      <w:r w:rsidRPr="00845316">
        <w:rPr>
          <w:rFonts w:asciiTheme="minorBidi" w:hAnsiTheme="minorBidi"/>
          <w:rtl/>
        </w:rPr>
        <w:t>: גנב ניסן</w:t>
      </w:r>
      <w:r w:rsidRPr="00845316">
        <w:rPr>
          <w:rStyle w:val="ab"/>
          <w:rFonts w:asciiTheme="minorBidi" w:hAnsiTheme="minorBidi"/>
          <w:rtl/>
        </w:rPr>
        <w:footnoteReference w:id="2208"/>
      </w:r>
      <w:r w:rsidRPr="00845316">
        <w:rPr>
          <w:rFonts w:asciiTheme="minorBidi" w:hAnsiTheme="minorBidi"/>
          <w:rtl/>
        </w:rPr>
        <w:t xml:space="preserve"> וגנב תשרי</w:t>
      </w:r>
      <w:r>
        <w:rPr>
          <w:rFonts w:asciiTheme="minorBidi" w:hAnsiTheme="minorBidi" w:hint="cs"/>
          <w:rtl/>
        </w:rPr>
        <w:t xml:space="preserve"> </w:t>
      </w:r>
      <w:r w:rsidRPr="00845316">
        <w:rPr>
          <w:rFonts w:asciiTheme="minorBidi" w:hAnsiTheme="minorBidi"/>
          <w:rtl/>
        </w:rPr>
        <w:t>- לא שמיה גנב, הני מילי באריסא</w:t>
      </w:r>
      <w:r w:rsidRPr="00845316">
        <w:rPr>
          <w:rStyle w:val="ab"/>
          <w:rFonts w:asciiTheme="minorBidi" w:hAnsiTheme="minorBidi"/>
          <w:rtl/>
        </w:rPr>
        <w:footnoteReference w:id="2209"/>
      </w:r>
      <w:r w:rsidRPr="00845316">
        <w:rPr>
          <w:rFonts w:asciiTheme="minorBidi" w:hAnsiTheme="minorBidi"/>
          <w:rtl/>
        </w:rPr>
        <w:t>, ודבר מועט, ובדבר שנגמרה מלאכתו</w:t>
      </w:r>
      <w:r w:rsidRPr="00845316">
        <w:rPr>
          <w:rStyle w:val="ab"/>
          <w:rFonts w:asciiTheme="minorBidi" w:hAnsiTheme="minorBidi"/>
          <w:rtl/>
        </w:rPr>
        <w:footnoteReference w:id="2210"/>
      </w:r>
      <w:r w:rsidRPr="00845316">
        <w:rPr>
          <w:rFonts w:asciiTheme="minorBidi" w:hAnsiTheme="minorBidi"/>
          <w:rtl/>
        </w:rPr>
        <w:t>. איכריה</w:t>
      </w:r>
      <w:r w:rsidRPr="00845316">
        <w:rPr>
          <w:rStyle w:val="ab"/>
          <w:rFonts w:asciiTheme="minorBidi" w:hAnsiTheme="minorBidi"/>
          <w:rtl/>
        </w:rPr>
        <w:footnoteReference w:id="2211"/>
      </w:r>
      <w:r w:rsidRPr="00845316">
        <w:rPr>
          <w:rFonts w:asciiTheme="minorBidi" w:hAnsiTheme="minorBidi"/>
          <w:rtl/>
        </w:rPr>
        <w:t xml:space="preserve"> דרב זביד, חד גנב קבא דשערי ופסליה, וחד גנב קיבורא דאהיני</w:t>
      </w:r>
      <w:r w:rsidRPr="00845316">
        <w:rPr>
          <w:rStyle w:val="ab"/>
          <w:rFonts w:asciiTheme="minorBidi" w:hAnsiTheme="minorBidi"/>
          <w:rtl/>
        </w:rPr>
        <w:footnoteReference w:id="2212"/>
      </w:r>
      <w:r w:rsidRPr="00845316">
        <w:rPr>
          <w:rFonts w:asciiTheme="minorBidi" w:hAnsiTheme="minorBidi"/>
          <w:rtl/>
        </w:rPr>
        <w:t xml:space="preserve"> ופסליה.</w:t>
      </w:r>
    </w:p>
    <w:p w14:paraId="2F5747FC" w14:textId="77777777" w:rsidR="004B607F" w:rsidRPr="00845316" w:rsidRDefault="004B607F" w:rsidP="004B607F">
      <w:pPr>
        <w:rPr>
          <w:rFonts w:asciiTheme="minorBidi" w:hAnsiTheme="minorBidi"/>
          <w:u w:val="single"/>
          <w:rtl/>
        </w:rPr>
      </w:pPr>
      <w:r w:rsidRPr="00845316">
        <w:rPr>
          <w:rFonts w:asciiTheme="minorBidi" w:hAnsiTheme="minorBidi"/>
          <w:u w:val="single"/>
          <w:rtl/>
        </w:rPr>
        <w:t>אריס שלקח דבר מועט מהשדה ביומי ניסן/תשרי- מתי 'לא שמיה גנב':</w:t>
      </w:r>
    </w:p>
    <w:p w14:paraId="42715F78" w14:textId="77777777" w:rsidR="004B607F" w:rsidRPr="00845316" w:rsidRDefault="004B607F" w:rsidP="004B0475">
      <w:pPr>
        <w:pStyle w:val="ac"/>
        <w:numPr>
          <w:ilvl w:val="0"/>
          <w:numId w:val="160"/>
        </w:numPr>
        <w:rPr>
          <w:rFonts w:asciiTheme="minorBidi" w:hAnsiTheme="minorBidi"/>
        </w:rPr>
      </w:pPr>
      <w:r w:rsidRPr="00845316">
        <w:rPr>
          <w:rFonts w:asciiTheme="minorBidi" w:hAnsiTheme="minorBidi"/>
          <w:rtl/>
        </w:rPr>
        <w:t xml:space="preserve">רי"ף </w:t>
      </w:r>
      <w:r w:rsidRPr="00845316">
        <w:rPr>
          <w:rFonts w:asciiTheme="minorBidi" w:hAnsiTheme="minorBidi"/>
          <w:sz w:val="16"/>
          <w:szCs w:val="16"/>
          <w:rtl/>
        </w:rPr>
        <w:t>(ה:)</w:t>
      </w:r>
      <w:r w:rsidRPr="00845316">
        <w:rPr>
          <w:rFonts w:asciiTheme="minorBidi" w:hAnsiTheme="minorBidi"/>
          <w:rtl/>
        </w:rPr>
        <w:t xml:space="preserve"> ורמב"ם</w:t>
      </w:r>
      <w:r w:rsidRPr="00845316">
        <w:rPr>
          <w:rFonts w:asciiTheme="minorBidi" w:hAnsiTheme="minorBidi"/>
          <w:sz w:val="16"/>
          <w:szCs w:val="16"/>
          <w:rtl/>
        </w:rPr>
        <w:t xml:space="preserve"> (פ"י ה"ה)</w:t>
      </w:r>
      <w:r w:rsidRPr="00845316">
        <w:rPr>
          <w:rFonts w:asciiTheme="minorBidi" w:hAnsiTheme="minorBidi"/>
          <w:rtl/>
        </w:rPr>
        <w:t>- כשלא נגמרה מלאכתן, משום שאין בעל השדה מקפיד עליו</w:t>
      </w:r>
      <w:r w:rsidRPr="00845316">
        <w:rPr>
          <w:rStyle w:val="ab"/>
          <w:rFonts w:asciiTheme="minorBidi" w:hAnsiTheme="minorBidi"/>
          <w:rtl/>
        </w:rPr>
        <w:footnoteReference w:id="2213"/>
      </w:r>
      <w:r w:rsidRPr="00845316">
        <w:rPr>
          <w:rFonts w:asciiTheme="minorBidi" w:hAnsiTheme="minorBidi"/>
          <w:rtl/>
        </w:rPr>
        <w:t>.</w:t>
      </w:r>
      <w:r w:rsidRPr="00845316">
        <w:rPr>
          <w:rFonts w:asciiTheme="minorBidi" w:hAnsiTheme="minorBidi"/>
          <w:color w:val="E36C0A" w:themeColor="accent6" w:themeShade="BF"/>
          <w:rtl/>
        </w:rPr>
        <w:t xml:space="preserve"> (וכ"פ בשו"ע)</w:t>
      </w:r>
    </w:p>
    <w:p w14:paraId="12685F08" w14:textId="77777777" w:rsidR="004B607F" w:rsidRPr="00845316" w:rsidRDefault="004B607F" w:rsidP="004B0475">
      <w:pPr>
        <w:pStyle w:val="ac"/>
        <w:numPr>
          <w:ilvl w:val="0"/>
          <w:numId w:val="160"/>
        </w:numPr>
        <w:rPr>
          <w:rFonts w:asciiTheme="minorBidi" w:hAnsiTheme="minorBidi"/>
          <w:rtl/>
        </w:rPr>
      </w:pPr>
      <w:r w:rsidRPr="00845316">
        <w:rPr>
          <w:rFonts w:asciiTheme="minorBidi" w:hAnsiTheme="minorBidi"/>
          <w:rtl/>
        </w:rPr>
        <w:t>רש"י בהעי"ט סמ"ג רא"ש ונמוק"י</w:t>
      </w:r>
      <w:r w:rsidRPr="00845316">
        <w:rPr>
          <w:rStyle w:val="ab"/>
          <w:rFonts w:asciiTheme="minorBidi" w:hAnsiTheme="minorBidi"/>
          <w:rtl/>
        </w:rPr>
        <w:footnoteReference w:id="2214"/>
      </w:r>
      <w:r w:rsidRPr="00845316">
        <w:rPr>
          <w:rFonts w:asciiTheme="minorBidi" w:hAnsiTheme="minorBidi"/>
          <w:rtl/>
        </w:rPr>
        <w:t>- כשנגמרה מלאכתן, משום שמורה לעצמו היתירא ליטול דבר מועט יותר על חלקו מפני טרחו דמשויה נפשיה כפועל, וסבר דבעה"ב לא קפיד.</w:t>
      </w:r>
      <w:r w:rsidRPr="00845316">
        <w:rPr>
          <w:rFonts w:asciiTheme="minorBidi" w:hAnsiTheme="minorBidi"/>
          <w:color w:val="00B0F0"/>
          <w:rtl/>
        </w:rPr>
        <w:t xml:space="preserve"> (וכ"פ הרמ"א)</w:t>
      </w:r>
      <w:r w:rsidRPr="00845316">
        <w:rPr>
          <w:rFonts w:asciiTheme="minorBidi" w:hAnsiTheme="minorBidi"/>
          <w:rtl/>
        </w:rPr>
        <w:t xml:space="preserve">  </w:t>
      </w:r>
    </w:p>
    <w:p w14:paraId="4912609D" w14:textId="77777777" w:rsidR="004B607F" w:rsidRPr="00845316" w:rsidRDefault="004B607F" w:rsidP="004B607F">
      <w:pPr>
        <w:jc w:val="both"/>
        <w:rPr>
          <w:rFonts w:asciiTheme="minorBidi" w:hAnsiTheme="minorBidi"/>
          <w:rtl/>
        </w:rPr>
      </w:pPr>
      <w:r w:rsidRPr="00845316">
        <w:rPr>
          <w:rFonts w:asciiTheme="minorBidi" w:hAnsiTheme="minorBidi"/>
          <w:b/>
          <w:bCs/>
          <w:sz w:val="32"/>
          <w:szCs w:val="28"/>
          <w:u w:val="single"/>
          <w:rtl/>
        </w:rPr>
        <w:t xml:space="preserve">שו"ע: </w:t>
      </w:r>
    </w:p>
    <w:p w14:paraId="61115567" w14:textId="77777777" w:rsidR="004B607F" w:rsidRPr="00845316" w:rsidRDefault="004B607F" w:rsidP="004B607F">
      <w:pPr>
        <w:rPr>
          <w:rFonts w:asciiTheme="minorBidi" w:hAnsiTheme="minorBidi"/>
          <w:rtl/>
        </w:rPr>
      </w:pPr>
      <w:r w:rsidRPr="00845316">
        <w:rPr>
          <w:rFonts w:asciiTheme="minorBidi" w:hAnsiTheme="minorBidi"/>
          <w:rtl/>
        </w:rPr>
        <w:t>אריס שלקח דבר מועט מהפירות שבכרו</w:t>
      </w:r>
      <w:r w:rsidRPr="00845316">
        <w:rPr>
          <w:rStyle w:val="ab"/>
          <w:rFonts w:asciiTheme="minorBidi" w:hAnsiTheme="minorBidi"/>
          <w:rtl/>
        </w:rPr>
        <w:footnoteReference w:id="2215"/>
      </w:r>
      <w:r w:rsidRPr="00845316">
        <w:rPr>
          <w:rFonts w:asciiTheme="minorBidi" w:hAnsiTheme="minorBidi"/>
          <w:rtl/>
        </w:rPr>
        <w:t xml:space="preserve"> ביומי ניסן ויומי תשרי קודם שתגמור מלאכתן</w:t>
      </w:r>
      <w:r w:rsidRPr="00845316">
        <w:rPr>
          <w:rStyle w:val="ab"/>
          <w:rFonts w:asciiTheme="minorBidi" w:hAnsiTheme="minorBidi"/>
          <w:rtl/>
        </w:rPr>
        <w:footnoteReference w:id="2216"/>
      </w:r>
      <w:r w:rsidRPr="00845316">
        <w:rPr>
          <w:rFonts w:asciiTheme="minorBidi" w:hAnsiTheme="minorBidi"/>
          <w:rtl/>
        </w:rPr>
        <w:t xml:space="preserve"> </w:t>
      </w:r>
      <w:r w:rsidRPr="00845316">
        <w:rPr>
          <w:rFonts w:asciiTheme="minorBidi" w:hAnsiTheme="minorBidi"/>
          <w:sz w:val="18"/>
          <w:szCs w:val="18"/>
          <w:rtl/>
        </w:rPr>
        <w:t>הגה: וי"א בדבר שנגמר מלאכתה</w:t>
      </w:r>
      <w:r w:rsidRPr="00845316">
        <w:rPr>
          <w:rStyle w:val="ab"/>
          <w:rFonts w:asciiTheme="minorBidi" w:hAnsiTheme="minorBidi"/>
          <w:sz w:val="18"/>
          <w:szCs w:val="18"/>
          <w:rtl/>
        </w:rPr>
        <w:footnoteReference w:id="2217"/>
      </w:r>
      <w:r w:rsidRPr="00845316">
        <w:rPr>
          <w:rFonts w:asciiTheme="minorBidi" w:hAnsiTheme="minorBidi"/>
          <w:sz w:val="18"/>
          <w:szCs w:val="18"/>
          <w:rtl/>
        </w:rPr>
        <w:t xml:space="preserve"> (טור)</w:t>
      </w:r>
      <w:r w:rsidRPr="00845316">
        <w:rPr>
          <w:rFonts w:asciiTheme="minorBidi" w:hAnsiTheme="minorBidi"/>
          <w:rtl/>
        </w:rPr>
        <w:t xml:space="preserve"> אף על פי שלקח שלא מדעת בעל השדה אינו גנב וכשר לעדות שאין בעל השדה מקפיד עליו, וכן כל כיוצא בזה. </w:t>
      </w:r>
    </w:p>
    <w:p w14:paraId="71063F9C" w14:textId="77777777" w:rsidR="004B607F" w:rsidRPr="00845316" w:rsidRDefault="004B607F" w:rsidP="004B607F">
      <w:pPr>
        <w:rPr>
          <w:rFonts w:asciiTheme="minorBidi" w:hAnsiTheme="minorBidi"/>
          <w:rtl/>
        </w:rPr>
      </w:pPr>
    </w:p>
    <w:p w14:paraId="17C332CB" w14:textId="77777777" w:rsidR="004B607F" w:rsidRPr="00845316" w:rsidRDefault="004B607F" w:rsidP="004B607F">
      <w:pPr>
        <w:pStyle w:val="2"/>
        <w:rPr>
          <w:rFonts w:asciiTheme="minorBidi" w:hAnsiTheme="minorBidi"/>
          <w:rtl/>
        </w:rPr>
      </w:pPr>
      <w:bookmarkStart w:id="300" w:name="_Toc24883763"/>
      <w:r w:rsidRPr="00845316">
        <w:rPr>
          <w:rFonts w:asciiTheme="minorBidi" w:hAnsiTheme="minorBidi"/>
          <w:rtl/>
        </w:rPr>
        <w:t>סעיף טז: מפריחי יונים סוחרי שביעית והמשחק בקוביא.</w:t>
      </w:r>
      <w:bookmarkEnd w:id="300"/>
    </w:p>
    <w:p w14:paraId="3680579C" w14:textId="77777777" w:rsidR="004B607F" w:rsidRPr="00845316" w:rsidRDefault="004B607F" w:rsidP="004B607F">
      <w:pPr>
        <w:rPr>
          <w:rFonts w:asciiTheme="minorBidi" w:hAnsiTheme="minorBidi"/>
          <w:sz w:val="16"/>
          <w:szCs w:val="16"/>
          <w:rtl/>
        </w:rPr>
      </w:pPr>
      <w:r w:rsidRPr="00845316">
        <w:rPr>
          <w:rFonts w:asciiTheme="minorBidi" w:hAnsiTheme="minorBidi"/>
          <w:b/>
          <w:bCs/>
          <w:rtl/>
        </w:rPr>
        <w:t xml:space="preserve">סנהדרין כד ע"ב: </w:t>
      </w:r>
      <w:r w:rsidRPr="00845316">
        <w:rPr>
          <w:rFonts w:asciiTheme="minorBidi" w:hAnsiTheme="minorBidi"/>
          <w:u w:val="double"/>
          <w:rtl/>
        </w:rPr>
        <w:t>משנה:</w:t>
      </w:r>
      <w:r w:rsidRPr="00845316">
        <w:rPr>
          <w:rFonts w:asciiTheme="minorBidi" w:hAnsiTheme="minorBidi"/>
          <w:rtl/>
        </w:rPr>
        <w:t xml:space="preserve"> ואלו הן הפסולין</w:t>
      </w:r>
      <w:r w:rsidRPr="00845316">
        <w:rPr>
          <w:rStyle w:val="ab"/>
          <w:rFonts w:asciiTheme="minorBidi" w:hAnsiTheme="minorBidi"/>
          <w:rtl/>
        </w:rPr>
        <w:footnoteReference w:id="2218"/>
      </w:r>
      <w:r w:rsidRPr="00845316">
        <w:rPr>
          <w:rFonts w:asciiTheme="minorBidi" w:hAnsiTheme="minorBidi"/>
          <w:rtl/>
        </w:rPr>
        <w:t xml:space="preserve"> - המשחק בקוביא</w:t>
      </w:r>
      <w:r w:rsidRPr="00845316">
        <w:rPr>
          <w:rStyle w:val="ab"/>
          <w:rFonts w:asciiTheme="minorBidi" w:hAnsiTheme="minorBidi"/>
          <w:rtl/>
        </w:rPr>
        <w:footnoteReference w:id="2219"/>
      </w:r>
      <w:r w:rsidRPr="00845316">
        <w:rPr>
          <w:rFonts w:asciiTheme="minorBidi" w:hAnsiTheme="minorBidi"/>
          <w:rtl/>
        </w:rPr>
        <w:t xml:space="preserve"> והמלוה בריבית, ומפריחי יונים, וסוחרי שביעית</w:t>
      </w:r>
      <w:r w:rsidRPr="00845316">
        <w:rPr>
          <w:rStyle w:val="ab"/>
          <w:rFonts w:asciiTheme="minorBidi" w:hAnsiTheme="minorBidi"/>
          <w:rtl/>
        </w:rPr>
        <w:footnoteReference w:id="2220"/>
      </w:r>
      <w:r w:rsidRPr="00845316">
        <w:rPr>
          <w:rFonts w:asciiTheme="minorBidi" w:hAnsiTheme="minorBidi"/>
          <w:rtl/>
        </w:rPr>
        <w:t xml:space="preserve">.... </w:t>
      </w:r>
      <w:r w:rsidRPr="00845316">
        <w:rPr>
          <w:rFonts w:asciiTheme="minorBidi" w:hAnsiTheme="minorBidi"/>
          <w:u w:val="single"/>
          <w:rtl/>
        </w:rPr>
        <w:t>אמר רבי יהודה</w:t>
      </w:r>
      <w:r w:rsidRPr="00845316">
        <w:rPr>
          <w:rFonts w:asciiTheme="minorBidi" w:hAnsiTheme="minorBidi"/>
          <w:rtl/>
        </w:rPr>
        <w:t>: אימתי</w:t>
      </w:r>
      <w:r w:rsidRPr="00845316">
        <w:rPr>
          <w:rStyle w:val="ab"/>
          <w:rFonts w:asciiTheme="minorBidi" w:hAnsiTheme="minorBidi"/>
          <w:rtl/>
        </w:rPr>
        <w:footnoteReference w:id="2221"/>
      </w:r>
      <w:r w:rsidRPr="00845316">
        <w:rPr>
          <w:rFonts w:asciiTheme="minorBidi" w:hAnsiTheme="minorBidi"/>
          <w:rtl/>
        </w:rPr>
        <w:t xml:space="preserve"> - בזמן שאין להן אומנות אלא הוא</w:t>
      </w:r>
      <w:r w:rsidRPr="00845316">
        <w:rPr>
          <w:rStyle w:val="ab"/>
          <w:rFonts w:asciiTheme="minorBidi" w:hAnsiTheme="minorBidi"/>
          <w:rtl/>
        </w:rPr>
        <w:footnoteReference w:id="2222"/>
      </w:r>
      <w:r w:rsidRPr="00845316">
        <w:rPr>
          <w:rFonts w:asciiTheme="minorBidi" w:hAnsiTheme="minorBidi"/>
          <w:rtl/>
        </w:rPr>
        <w:t xml:space="preserve">, אבל יש להן אומנות שלא הוא - כשרין.       </w:t>
      </w:r>
      <w:r w:rsidRPr="00845316">
        <w:rPr>
          <w:rFonts w:asciiTheme="minorBidi" w:hAnsiTheme="minorBidi"/>
          <w:u w:val="double"/>
          <w:rtl/>
        </w:rPr>
        <w:lastRenderedPageBreak/>
        <w:t>גמ':</w:t>
      </w:r>
      <w:r w:rsidRPr="00845316">
        <w:rPr>
          <w:rFonts w:asciiTheme="minorBidi" w:hAnsiTheme="minorBidi"/>
          <w:rtl/>
        </w:rPr>
        <w:t xml:space="preserve"> משחק בקוביא מאי קא עביד? </w:t>
      </w:r>
      <w:r w:rsidRPr="00845316">
        <w:rPr>
          <w:rFonts w:asciiTheme="minorBidi" w:hAnsiTheme="minorBidi"/>
          <w:u w:val="single"/>
          <w:rtl/>
        </w:rPr>
        <w:t>אמר רמי בר חמא</w:t>
      </w:r>
      <w:r w:rsidRPr="00845316">
        <w:rPr>
          <w:rFonts w:asciiTheme="minorBidi" w:hAnsiTheme="minorBidi"/>
          <w:rtl/>
        </w:rPr>
        <w:t>: משום דהוה אסמכתא</w:t>
      </w:r>
      <w:r w:rsidRPr="00845316">
        <w:rPr>
          <w:rStyle w:val="ab"/>
          <w:rFonts w:asciiTheme="minorBidi" w:hAnsiTheme="minorBidi"/>
          <w:rtl/>
        </w:rPr>
        <w:footnoteReference w:id="2223"/>
      </w:r>
      <w:r w:rsidRPr="00845316">
        <w:rPr>
          <w:rFonts w:asciiTheme="minorBidi" w:hAnsiTheme="minorBidi"/>
          <w:rtl/>
        </w:rPr>
        <w:t>, ואסמכתא לא קניא</w:t>
      </w:r>
      <w:r w:rsidRPr="00845316">
        <w:rPr>
          <w:rStyle w:val="ab"/>
          <w:rFonts w:asciiTheme="minorBidi" w:hAnsiTheme="minorBidi"/>
          <w:rtl/>
        </w:rPr>
        <w:footnoteReference w:id="2224"/>
      </w:r>
      <w:r w:rsidRPr="00845316">
        <w:rPr>
          <w:rFonts w:asciiTheme="minorBidi" w:hAnsiTheme="minorBidi"/>
          <w:rtl/>
        </w:rPr>
        <w:t xml:space="preserve">. </w:t>
      </w:r>
      <w:r w:rsidRPr="00845316">
        <w:rPr>
          <w:rFonts w:asciiTheme="minorBidi" w:hAnsiTheme="minorBidi"/>
          <w:u w:val="single"/>
          <w:rtl/>
        </w:rPr>
        <w:t>רב ששת אמר</w:t>
      </w:r>
      <w:r w:rsidRPr="00845316">
        <w:rPr>
          <w:rFonts w:asciiTheme="minorBidi" w:hAnsiTheme="minorBidi"/>
          <w:rtl/>
        </w:rPr>
        <w:t>: כל כי האי גוונא לאו אסמכתא היא</w:t>
      </w:r>
      <w:r w:rsidRPr="00845316">
        <w:rPr>
          <w:rStyle w:val="ab"/>
          <w:rFonts w:asciiTheme="minorBidi" w:hAnsiTheme="minorBidi"/>
          <w:rtl/>
        </w:rPr>
        <w:footnoteReference w:id="2225"/>
      </w:r>
      <w:r w:rsidRPr="00845316">
        <w:rPr>
          <w:rFonts w:asciiTheme="minorBidi" w:hAnsiTheme="minorBidi"/>
          <w:rtl/>
        </w:rPr>
        <w:t xml:space="preserve">, אלא לפי שאין עסוקין ביישובו של עולם. מאי בינייהו? איכא בינייהו דגמר אומנותא אחריתי. דתנן </w:t>
      </w:r>
      <w:r w:rsidRPr="00845316">
        <w:rPr>
          <w:rFonts w:asciiTheme="minorBidi" w:hAnsiTheme="minorBidi"/>
          <w:u w:val="single"/>
          <w:rtl/>
        </w:rPr>
        <w:t>אמר רבי יהודה:</w:t>
      </w:r>
      <w:r w:rsidRPr="00845316">
        <w:rPr>
          <w:rFonts w:asciiTheme="minorBidi" w:hAnsiTheme="minorBidi"/>
          <w:rtl/>
        </w:rPr>
        <w:t xml:space="preserve"> אימתי - בזמן שאין להן אומנות אלא הוא, אבל יש להן אומנות שלא הוא כשרים. </w:t>
      </w:r>
      <w:r w:rsidRPr="00845316">
        <w:rPr>
          <w:rFonts w:asciiTheme="minorBidi" w:hAnsiTheme="minorBidi"/>
          <w:sz w:val="16"/>
          <w:szCs w:val="16"/>
          <w:rtl/>
        </w:rPr>
        <w:t>(והרי"ף (ד:) לא כתב אלא דברי רב ששת אלמא כוותיה סבירא ליה, ב"י)</w:t>
      </w:r>
    </w:p>
    <w:p w14:paraId="74ADC88C" w14:textId="77777777" w:rsidR="004B607F" w:rsidRPr="00845316" w:rsidRDefault="004B607F" w:rsidP="004B607F">
      <w:pPr>
        <w:rPr>
          <w:rFonts w:asciiTheme="minorBidi" w:hAnsiTheme="minorBidi"/>
          <w:u w:val="single"/>
          <w:rtl/>
        </w:rPr>
      </w:pPr>
      <w:r w:rsidRPr="00845316">
        <w:rPr>
          <w:rFonts w:asciiTheme="minorBidi" w:hAnsiTheme="minorBidi"/>
          <w:u w:val="single"/>
          <w:rtl/>
        </w:rPr>
        <w:t>המשחקים בקוביה פסולים "לפי שאין עסוקין ביישובו של עולם"- מה פירושו של פסול זה:</w:t>
      </w:r>
    </w:p>
    <w:p w14:paraId="49F38AA3" w14:textId="77777777" w:rsidR="004B607F" w:rsidRPr="00845316" w:rsidRDefault="004B607F" w:rsidP="004B0475">
      <w:pPr>
        <w:pStyle w:val="ac"/>
        <w:numPr>
          <w:ilvl w:val="0"/>
          <w:numId w:val="162"/>
        </w:numPr>
        <w:rPr>
          <w:rFonts w:asciiTheme="minorBidi" w:hAnsiTheme="minorBidi"/>
        </w:rPr>
      </w:pPr>
      <w:r w:rsidRPr="00845316">
        <w:rPr>
          <w:rFonts w:asciiTheme="minorBidi" w:hAnsiTheme="minorBidi"/>
          <w:rtl/>
        </w:rPr>
        <w:t>רמב"ם</w:t>
      </w:r>
      <w:r w:rsidRPr="00845316">
        <w:rPr>
          <w:rFonts w:asciiTheme="minorBidi" w:hAnsiTheme="minorBidi"/>
          <w:sz w:val="16"/>
          <w:szCs w:val="16"/>
          <w:rtl/>
        </w:rPr>
        <w:t xml:space="preserve"> (להב' הטור והב"י </w:t>
      </w:r>
      <w:r w:rsidRPr="00845316">
        <w:rPr>
          <w:rFonts w:asciiTheme="minorBidi" w:hAnsiTheme="minorBidi"/>
          <w:sz w:val="14"/>
          <w:szCs w:val="14"/>
          <w:rtl/>
        </w:rPr>
        <w:t>[בכס"מ פ"י ה"ד]</w:t>
      </w:r>
      <w:r w:rsidRPr="00845316">
        <w:rPr>
          <w:rFonts w:asciiTheme="minorBidi" w:hAnsiTheme="minorBidi"/>
          <w:sz w:val="16"/>
          <w:szCs w:val="16"/>
          <w:rtl/>
        </w:rPr>
        <w:t>)</w:t>
      </w:r>
      <w:r w:rsidRPr="00845316">
        <w:rPr>
          <w:rFonts w:asciiTheme="minorBidi" w:hAnsiTheme="minorBidi"/>
          <w:rtl/>
        </w:rPr>
        <w:t>- משום ש-"הרי זה בחזקת שאוכל מן הקוביא שהוא אבק גזל</w:t>
      </w:r>
      <w:r w:rsidRPr="00845316">
        <w:rPr>
          <w:rStyle w:val="ab"/>
          <w:rFonts w:asciiTheme="minorBidi" w:hAnsiTheme="minorBidi"/>
          <w:rtl/>
        </w:rPr>
        <w:footnoteReference w:id="2226"/>
      </w:r>
      <w:r w:rsidRPr="00845316">
        <w:rPr>
          <w:rFonts w:asciiTheme="minorBidi" w:hAnsiTheme="minorBidi"/>
          <w:rtl/>
        </w:rPr>
        <w:t xml:space="preserve">". </w:t>
      </w:r>
    </w:p>
    <w:p w14:paraId="1F1A58B9" w14:textId="77777777" w:rsidR="004B607F" w:rsidRPr="00845316" w:rsidRDefault="004B607F" w:rsidP="004B0475">
      <w:pPr>
        <w:pStyle w:val="ac"/>
        <w:numPr>
          <w:ilvl w:val="0"/>
          <w:numId w:val="162"/>
        </w:numPr>
        <w:rPr>
          <w:rFonts w:asciiTheme="minorBidi" w:hAnsiTheme="minorBidi"/>
          <w:rtl/>
        </w:rPr>
      </w:pPr>
      <w:r w:rsidRPr="00845316">
        <w:rPr>
          <w:rFonts w:asciiTheme="minorBidi" w:hAnsiTheme="minorBidi"/>
          <w:rtl/>
        </w:rPr>
        <w:t xml:space="preserve">טור- שאינו יודע כמה טורח האדם אחר הממון ונקל בעיניו להעיד שקר להפסיד ממון חבירו. </w:t>
      </w:r>
    </w:p>
    <w:p w14:paraId="50CA6BF3" w14:textId="77777777" w:rsidR="004B607F" w:rsidRPr="00845316" w:rsidRDefault="004B607F" w:rsidP="004B607F">
      <w:pPr>
        <w:ind w:left="360"/>
        <w:rPr>
          <w:rFonts w:asciiTheme="minorBidi" w:hAnsiTheme="minorBidi"/>
          <w:u w:val="dotted"/>
          <w:rtl/>
        </w:rPr>
      </w:pPr>
      <w:r w:rsidRPr="00845316">
        <w:rPr>
          <w:rFonts w:asciiTheme="minorBidi" w:hAnsiTheme="minorBidi"/>
          <w:u w:val="dotted"/>
          <w:rtl/>
        </w:rPr>
        <w:t xml:space="preserve">מה הדין כשודאי לנו שיש למשחק בקוביא </w:t>
      </w:r>
      <w:r w:rsidRPr="00845316">
        <w:rPr>
          <w:rFonts w:asciiTheme="minorBidi" w:hAnsiTheme="minorBidi"/>
          <w:sz w:val="16"/>
          <w:szCs w:val="16"/>
          <w:u w:val="dotted"/>
          <w:rtl/>
        </w:rPr>
        <w:t>(והדומים לו)</w:t>
      </w:r>
      <w:r w:rsidRPr="00845316">
        <w:rPr>
          <w:rFonts w:asciiTheme="minorBidi" w:hAnsiTheme="minorBidi"/>
          <w:u w:val="dotted"/>
          <w:rtl/>
        </w:rPr>
        <w:t xml:space="preserve"> הרבה ממון כך שאינו אוכל מהכסף שמרויח מהמשחק: </w:t>
      </w:r>
    </w:p>
    <w:p w14:paraId="009C32B5" w14:textId="77777777" w:rsidR="004B607F" w:rsidRPr="00845316" w:rsidRDefault="004B607F" w:rsidP="004B0475">
      <w:pPr>
        <w:pStyle w:val="ac"/>
        <w:numPr>
          <w:ilvl w:val="0"/>
          <w:numId w:val="162"/>
        </w:numPr>
        <w:rPr>
          <w:rFonts w:asciiTheme="minorBidi" w:hAnsiTheme="minorBidi"/>
        </w:rPr>
      </w:pPr>
      <w:r w:rsidRPr="00845316">
        <w:rPr>
          <w:rFonts w:asciiTheme="minorBidi" w:hAnsiTheme="minorBidi"/>
          <w:rtl/>
        </w:rPr>
        <w:t>רמב"ם</w:t>
      </w:r>
      <w:r w:rsidRPr="00845316">
        <w:rPr>
          <w:rFonts w:asciiTheme="minorBidi" w:hAnsiTheme="minorBidi"/>
          <w:sz w:val="16"/>
          <w:szCs w:val="16"/>
          <w:rtl/>
        </w:rPr>
        <w:t xml:space="preserve"> (להב' הטור)</w:t>
      </w:r>
      <w:r w:rsidRPr="00845316">
        <w:rPr>
          <w:rFonts w:asciiTheme="minorBidi" w:hAnsiTheme="minorBidi"/>
          <w:rtl/>
        </w:rPr>
        <w:t xml:space="preserve">- אינו פסול, ואינו אסור אלא כשאין לו ממון דאז מתפרנס מן הקוביא שהוא אבק גזל. </w:t>
      </w:r>
    </w:p>
    <w:p w14:paraId="0351ECAD" w14:textId="77777777" w:rsidR="004B607F" w:rsidRPr="00845316" w:rsidRDefault="004B607F" w:rsidP="004B0475">
      <w:pPr>
        <w:pStyle w:val="ac"/>
        <w:numPr>
          <w:ilvl w:val="0"/>
          <w:numId w:val="162"/>
        </w:numPr>
        <w:rPr>
          <w:rFonts w:asciiTheme="minorBidi" w:hAnsiTheme="minorBidi"/>
        </w:rPr>
      </w:pPr>
      <w:r w:rsidRPr="00845316">
        <w:rPr>
          <w:rFonts w:asciiTheme="minorBidi" w:hAnsiTheme="minorBidi"/>
          <w:rtl/>
        </w:rPr>
        <w:t xml:space="preserve">טור- פסול, הואיל ואינו טורח בהשגת הממון נקל בעיניו להעיד שקר להפסיד ממון חבירו, לפיכך רק אם יש לו אומנות אחרת כשר.  </w:t>
      </w:r>
    </w:p>
    <w:p w14:paraId="78F14EAF" w14:textId="77777777" w:rsidR="004B607F" w:rsidRPr="00845316" w:rsidRDefault="004B607F" w:rsidP="004B607F">
      <w:pPr>
        <w:rPr>
          <w:rFonts w:asciiTheme="minorBidi" w:hAnsiTheme="minorBidi"/>
          <w:rtl/>
        </w:rPr>
      </w:pPr>
      <w:r w:rsidRPr="00845316">
        <w:rPr>
          <w:rFonts w:asciiTheme="minorBidi" w:hAnsiTheme="minorBidi"/>
          <w:b/>
          <w:bCs/>
          <w:rtl/>
        </w:rPr>
        <w:t xml:space="preserve">סנהדרין כה ע"א: </w:t>
      </w:r>
      <w:r w:rsidRPr="00845316">
        <w:rPr>
          <w:rFonts w:asciiTheme="minorBidi" w:hAnsiTheme="minorBidi"/>
          <w:rtl/>
        </w:rPr>
        <w:t xml:space="preserve">ומפריחי יונים. מאי מפריחי יונים? </w:t>
      </w:r>
      <w:r w:rsidRPr="00845316">
        <w:rPr>
          <w:rFonts w:asciiTheme="minorBidi" w:hAnsiTheme="minorBidi"/>
          <w:u w:val="single"/>
          <w:rtl/>
        </w:rPr>
        <w:t>הכא תרגומה</w:t>
      </w:r>
      <w:r w:rsidRPr="00845316">
        <w:rPr>
          <w:rFonts w:asciiTheme="minorBidi" w:hAnsiTheme="minorBidi"/>
          <w:rtl/>
        </w:rPr>
        <w:t>: אי תקדמיה יונך ליון</w:t>
      </w:r>
      <w:r w:rsidRPr="00845316">
        <w:rPr>
          <w:rStyle w:val="ab"/>
          <w:rFonts w:asciiTheme="minorBidi" w:hAnsiTheme="minorBidi"/>
          <w:rtl/>
        </w:rPr>
        <w:footnoteReference w:id="2227"/>
      </w:r>
      <w:r w:rsidRPr="00845316">
        <w:rPr>
          <w:rFonts w:asciiTheme="minorBidi" w:hAnsiTheme="minorBidi"/>
          <w:rtl/>
        </w:rPr>
        <w:t xml:space="preserve">, </w:t>
      </w:r>
      <w:r w:rsidRPr="00845316">
        <w:rPr>
          <w:rFonts w:asciiTheme="minorBidi" w:hAnsiTheme="minorBidi"/>
          <w:u w:val="single"/>
          <w:rtl/>
        </w:rPr>
        <w:t>רבי חמא בר אושעיא אמר</w:t>
      </w:r>
      <w:r w:rsidRPr="00845316">
        <w:rPr>
          <w:rFonts w:asciiTheme="minorBidi" w:hAnsiTheme="minorBidi"/>
          <w:rtl/>
        </w:rPr>
        <w:t>: ארא</w:t>
      </w:r>
      <w:r w:rsidRPr="00845316">
        <w:rPr>
          <w:rStyle w:val="ab"/>
          <w:rFonts w:asciiTheme="minorBidi" w:hAnsiTheme="minorBidi"/>
          <w:rtl/>
        </w:rPr>
        <w:footnoteReference w:id="2228"/>
      </w:r>
      <w:r w:rsidRPr="00845316">
        <w:rPr>
          <w:rFonts w:asciiTheme="minorBidi" w:hAnsiTheme="minorBidi"/>
          <w:rtl/>
        </w:rPr>
        <w:t>. מאן דאמר אי תקדמיה יונך ליון - מאי טעמא לא אמר ארא? אמר לך: ארא - מפני דרכי שלום בעלמא</w:t>
      </w:r>
      <w:r w:rsidRPr="00845316">
        <w:rPr>
          <w:rStyle w:val="ab"/>
          <w:rFonts w:asciiTheme="minorBidi" w:hAnsiTheme="minorBidi"/>
          <w:rtl/>
        </w:rPr>
        <w:footnoteReference w:id="2229"/>
      </w:r>
      <w:r w:rsidRPr="00845316">
        <w:rPr>
          <w:rFonts w:asciiTheme="minorBidi" w:hAnsiTheme="minorBidi"/>
          <w:rtl/>
        </w:rPr>
        <w:t>. ומאן דאמר ארא - מאי טעמא לא אמר אי תקדמיה יונך ליון? אמר לך: היינו משחק בקוביא. ואידך: תנא תולה בדעת עצמו</w:t>
      </w:r>
      <w:r w:rsidRPr="00845316">
        <w:rPr>
          <w:rStyle w:val="ab"/>
          <w:rFonts w:asciiTheme="minorBidi" w:hAnsiTheme="minorBidi"/>
          <w:rtl/>
        </w:rPr>
        <w:footnoteReference w:id="2230"/>
      </w:r>
      <w:r w:rsidRPr="00845316">
        <w:rPr>
          <w:rFonts w:asciiTheme="minorBidi" w:hAnsiTheme="minorBidi"/>
          <w:rtl/>
        </w:rPr>
        <w:t>, ותנא תולה בדעת יונו.... מיתיבי: המשחק בקוביא - אלו הן המשחקים בפיספסים, ולא בפיספסים בלבד אמרו, אלא אפילו קליפי אגוזים וקליפי רימונים... ומפריחי יונים - אלו שממרין את היונים, ולא יונים בלבד אמרו, אלא אפילו בהמה חיה ועוף... קתני מיהת בהמה. בשלמא למאן דאמר אי תקדמיה יונך ליון - היינו דמשכחת לה בהמה</w:t>
      </w:r>
      <w:r w:rsidRPr="00845316">
        <w:rPr>
          <w:rStyle w:val="ab"/>
          <w:rFonts w:asciiTheme="minorBidi" w:hAnsiTheme="minorBidi"/>
          <w:rtl/>
        </w:rPr>
        <w:footnoteReference w:id="2231"/>
      </w:r>
      <w:r w:rsidRPr="00845316">
        <w:rPr>
          <w:rFonts w:asciiTheme="minorBidi" w:hAnsiTheme="minorBidi"/>
          <w:rtl/>
        </w:rPr>
        <w:t>, אלא למאן דאמר ארא - בהמה בת הכי היא</w:t>
      </w:r>
      <w:r w:rsidRPr="00845316">
        <w:rPr>
          <w:rStyle w:val="ab"/>
          <w:rFonts w:asciiTheme="minorBidi" w:hAnsiTheme="minorBidi"/>
          <w:rtl/>
        </w:rPr>
        <w:footnoteReference w:id="2232"/>
      </w:r>
      <w:r w:rsidRPr="00845316">
        <w:rPr>
          <w:rFonts w:asciiTheme="minorBidi" w:hAnsiTheme="minorBidi"/>
          <w:rtl/>
        </w:rPr>
        <w:t>? אין, בשור הבר, וכמאן דאמר שור הבר מין בהמה הוא, דתנן: שור הבר</w:t>
      </w:r>
      <w:r w:rsidRPr="00845316">
        <w:rPr>
          <w:rStyle w:val="ab"/>
          <w:rFonts w:asciiTheme="minorBidi" w:hAnsiTheme="minorBidi"/>
          <w:rtl/>
        </w:rPr>
        <w:footnoteReference w:id="2233"/>
      </w:r>
      <w:r w:rsidRPr="00845316">
        <w:rPr>
          <w:rFonts w:asciiTheme="minorBidi" w:hAnsiTheme="minorBidi"/>
          <w:rtl/>
        </w:rPr>
        <w:t xml:space="preserve"> מין בהמה הוא, רבי יוסי אומר: מין חיה. </w:t>
      </w:r>
    </w:p>
    <w:p w14:paraId="5C6490DC" w14:textId="77777777" w:rsidR="004B607F" w:rsidRPr="00845316" w:rsidRDefault="004B607F" w:rsidP="004B607F">
      <w:pPr>
        <w:rPr>
          <w:rFonts w:asciiTheme="minorBidi" w:hAnsiTheme="minorBidi"/>
          <w:u w:val="single"/>
          <w:rtl/>
        </w:rPr>
      </w:pPr>
      <w:r w:rsidRPr="00845316">
        <w:rPr>
          <w:rFonts w:asciiTheme="minorBidi" w:hAnsiTheme="minorBidi"/>
          <w:u w:val="single"/>
          <w:rtl/>
        </w:rPr>
        <w:t>מאי מפריחי יונים:</w:t>
      </w:r>
    </w:p>
    <w:p w14:paraId="19162E34" w14:textId="77777777" w:rsidR="004B607F" w:rsidRPr="00845316" w:rsidRDefault="004B607F" w:rsidP="004B0475">
      <w:pPr>
        <w:pStyle w:val="ac"/>
        <w:numPr>
          <w:ilvl w:val="0"/>
          <w:numId w:val="161"/>
        </w:numPr>
        <w:rPr>
          <w:rFonts w:asciiTheme="minorBidi" w:hAnsiTheme="minorBidi"/>
          <w:rtl/>
        </w:rPr>
      </w:pPr>
      <w:r w:rsidRPr="00845316">
        <w:rPr>
          <w:rFonts w:asciiTheme="minorBidi" w:hAnsiTheme="minorBidi"/>
          <w:rtl/>
        </w:rPr>
        <w:t xml:space="preserve">רמב"ם </w:t>
      </w:r>
      <w:r w:rsidRPr="00845316">
        <w:rPr>
          <w:rFonts w:asciiTheme="minorBidi" w:hAnsiTheme="minorBidi"/>
          <w:sz w:val="16"/>
          <w:szCs w:val="16"/>
          <w:rtl/>
        </w:rPr>
        <w:t>(להב' הב"י</w:t>
      </w:r>
      <w:r w:rsidRPr="00845316">
        <w:rPr>
          <w:rFonts w:asciiTheme="minorBidi" w:hAnsiTheme="minorBidi"/>
          <w:sz w:val="14"/>
          <w:szCs w:val="14"/>
          <w:rtl/>
        </w:rPr>
        <w:t xml:space="preserve"> [בכס"מ]</w:t>
      </w:r>
      <w:r w:rsidRPr="00845316">
        <w:rPr>
          <w:rFonts w:asciiTheme="minorBidi" w:hAnsiTheme="minorBidi"/>
          <w:sz w:val="16"/>
          <w:szCs w:val="16"/>
          <w:rtl/>
        </w:rPr>
        <w:t>)</w:t>
      </w:r>
      <w:r w:rsidRPr="00845316">
        <w:rPr>
          <w:rFonts w:asciiTheme="minorBidi" w:hAnsiTheme="minorBidi"/>
          <w:rtl/>
        </w:rPr>
        <w:t>- ארא, "וכיון דארא פסול כ"ש אי תקדמיה יונך ליון</w:t>
      </w:r>
      <w:r w:rsidRPr="00845316">
        <w:rPr>
          <w:rStyle w:val="ab"/>
          <w:rFonts w:asciiTheme="minorBidi" w:hAnsiTheme="minorBidi"/>
          <w:rtl/>
        </w:rPr>
        <w:footnoteReference w:id="2234"/>
      </w:r>
      <w:r w:rsidRPr="00845316">
        <w:rPr>
          <w:rFonts w:asciiTheme="minorBidi" w:hAnsiTheme="minorBidi"/>
          <w:rtl/>
        </w:rPr>
        <w:t xml:space="preserve">". </w:t>
      </w:r>
    </w:p>
    <w:p w14:paraId="02F7320C" w14:textId="77777777" w:rsidR="004B607F" w:rsidRPr="00845316" w:rsidRDefault="004B607F" w:rsidP="004B0475">
      <w:pPr>
        <w:pStyle w:val="ac"/>
        <w:numPr>
          <w:ilvl w:val="0"/>
          <w:numId w:val="161"/>
        </w:numPr>
        <w:rPr>
          <w:rFonts w:asciiTheme="minorBidi" w:hAnsiTheme="minorBidi"/>
        </w:rPr>
      </w:pPr>
      <w:r w:rsidRPr="00845316">
        <w:rPr>
          <w:rFonts w:asciiTheme="minorBidi" w:hAnsiTheme="minorBidi"/>
          <w:rtl/>
        </w:rPr>
        <w:t xml:space="preserve">טור </w:t>
      </w:r>
      <w:r w:rsidRPr="00845316">
        <w:rPr>
          <w:rFonts w:asciiTheme="minorBidi" w:hAnsiTheme="minorBidi"/>
          <w:sz w:val="16"/>
          <w:szCs w:val="16"/>
          <w:rtl/>
        </w:rPr>
        <w:t>(להב' הב"י</w:t>
      </w:r>
      <w:r w:rsidRPr="00845316">
        <w:rPr>
          <w:rFonts w:asciiTheme="minorBidi" w:hAnsiTheme="minorBidi"/>
          <w:sz w:val="14"/>
          <w:szCs w:val="14"/>
          <w:rtl/>
        </w:rPr>
        <w:t xml:space="preserve"> [בב"י מחו' כו]</w:t>
      </w:r>
      <w:r w:rsidRPr="00845316">
        <w:rPr>
          <w:rFonts w:asciiTheme="minorBidi" w:hAnsiTheme="minorBidi"/>
          <w:sz w:val="16"/>
          <w:szCs w:val="16"/>
          <w:rtl/>
        </w:rPr>
        <w:t>)</w:t>
      </w:r>
      <w:r w:rsidRPr="00845316">
        <w:rPr>
          <w:rFonts w:asciiTheme="minorBidi" w:hAnsiTheme="minorBidi"/>
          <w:rtl/>
        </w:rPr>
        <w:t xml:space="preserve">- "אי תקדמיה יונך ליון, דהוא דומיא דמשחק בקוביא, וכ"ש דארא נמי פסול שהרי יש בו משום גזל". </w:t>
      </w:r>
    </w:p>
    <w:p w14:paraId="6047AFD4" w14:textId="77777777" w:rsidR="004B607F" w:rsidRPr="00845316" w:rsidRDefault="004B607F" w:rsidP="004B607F">
      <w:pPr>
        <w:rPr>
          <w:rFonts w:asciiTheme="minorBidi" w:hAnsiTheme="minorBidi"/>
          <w:sz w:val="16"/>
          <w:szCs w:val="16"/>
          <w:u w:val="single"/>
          <w:rtl/>
        </w:rPr>
      </w:pPr>
      <w:r w:rsidRPr="00845316">
        <w:rPr>
          <w:rFonts w:asciiTheme="minorBidi" w:hAnsiTheme="minorBidi"/>
          <w:u w:val="single"/>
          <w:rtl/>
        </w:rPr>
        <w:t>פירוש דברי הרמב"ם ע"פ הכס"מ:</w:t>
      </w:r>
      <w:r w:rsidRPr="00845316">
        <w:rPr>
          <w:rFonts w:asciiTheme="minorBidi" w:hAnsiTheme="minorBidi"/>
          <w:sz w:val="16"/>
          <w:szCs w:val="16"/>
          <w:u w:val="single"/>
          <w:rtl/>
        </w:rPr>
        <w:t xml:space="preserve"> </w:t>
      </w:r>
    </w:p>
    <w:p w14:paraId="39313E12" w14:textId="77777777" w:rsidR="004B607F" w:rsidRPr="00845316" w:rsidRDefault="004B607F" w:rsidP="004B0475">
      <w:pPr>
        <w:pStyle w:val="ac"/>
        <w:numPr>
          <w:ilvl w:val="0"/>
          <w:numId w:val="162"/>
        </w:numPr>
        <w:rPr>
          <w:rFonts w:asciiTheme="minorBidi" w:hAnsiTheme="minorBidi"/>
          <w:rtl/>
        </w:rPr>
      </w:pPr>
      <w:r w:rsidRPr="00845316">
        <w:rPr>
          <w:rFonts w:asciiTheme="minorBidi" w:hAnsiTheme="minorBidi"/>
          <w:b/>
          <w:bCs/>
          <w:rtl/>
        </w:rPr>
        <w:t>פ"י ה"ד:</w:t>
      </w:r>
      <w:r w:rsidRPr="00845316">
        <w:rPr>
          <w:rFonts w:asciiTheme="minorBidi" w:hAnsiTheme="minorBidi"/>
          <w:rtl/>
        </w:rPr>
        <w:t xml:space="preserve"> ועוד.... וכן מפריחי יונים ביישוב פסולין מפני שחזקתן שגוזלים יונים של אחרים בחנם</w:t>
      </w:r>
      <w:r w:rsidRPr="00845316">
        <w:rPr>
          <w:rStyle w:val="ab"/>
          <w:rFonts w:asciiTheme="minorBidi" w:hAnsiTheme="minorBidi"/>
          <w:rtl/>
        </w:rPr>
        <w:footnoteReference w:id="2235"/>
      </w:r>
      <w:r w:rsidRPr="00845316">
        <w:rPr>
          <w:rFonts w:asciiTheme="minorBidi" w:hAnsiTheme="minorBidi"/>
          <w:rtl/>
        </w:rPr>
        <w:t xml:space="preserve">, וכן סוחרי שביעית והם בני אדם שיושבין בטלים, וכיון שבאה שביעית פושטים ידיהן ומתחילין לישא וליתן בפירות </w:t>
      </w:r>
      <w:r w:rsidRPr="00845316">
        <w:rPr>
          <w:rFonts w:asciiTheme="minorBidi" w:hAnsiTheme="minorBidi"/>
          <w:rtl/>
        </w:rPr>
        <w:lastRenderedPageBreak/>
        <w:t>שחזקת אלו שהן אוספין פירות שביעית ועושין בהן סחורה, וכן משחק בקוביא</w:t>
      </w:r>
      <w:r w:rsidRPr="00845316">
        <w:rPr>
          <w:rStyle w:val="ab"/>
          <w:rFonts w:asciiTheme="minorBidi" w:hAnsiTheme="minorBidi"/>
          <w:rtl/>
        </w:rPr>
        <w:footnoteReference w:id="2236"/>
      </w:r>
      <w:r w:rsidRPr="00845316">
        <w:rPr>
          <w:rFonts w:asciiTheme="minorBidi" w:hAnsiTheme="minorBidi"/>
          <w:rtl/>
        </w:rPr>
        <w:t xml:space="preserve"> והוא שלא תהיה לו אומנות אלא הוא, הואיל ואינו עוסק ביישובו של עולם הרי זה בחזקת שאוכל מן הקוביא שהוא אבק גזל</w:t>
      </w:r>
      <w:r w:rsidRPr="00845316">
        <w:rPr>
          <w:rStyle w:val="ab"/>
          <w:rFonts w:asciiTheme="minorBidi" w:hAnsiTheme="minorBidi"/>
          <w:rtl/>
        </w:rPr>
        <w:footnoteReference w:id="2237"/>
      </w:r>
      <w:r w:rsidRPr="00845316">
        <w:rPr>
          <w:rFonts w:asciiTheme="minorBidi" w:hAnsiTheme="minorBidi"/>
          <w:rtl/>
        </w:rPr>
        <w:t>, ולא בקוביא בלבד אלא אפילו משחקים בקליפי אגוזים וקליפי רמונים, וכן לא יונים בלבד אמרו אלא אפילו המשחקים בבהמה חיה ועוף ואומר כל הקודם את חבירו או כל הנוצח את חבירו יטול בעליו את שניהן</w:t>
      </w:r>
      <w:r w:rsidRPr="00845316">
        <w:rPr>
          <w:rStyle w:val="ab"/>
          <w:rFonts w:asciiTheme="minorBidi" w:hAnsiTheme="minorBidi"/>
          <w:rtl/>
        </w:rPr>
        <w:footnoteReference w:id="2238"/>
      </w:r>
      <w:r w:rsidRPr="00845316">
        <w:rPr>
          <w:rFonts w:asciiTheme="minorBidi" w:hAnsiTheme="minorBidi"/>
          <w:rtl/>
        </w:rPr>
        <w:t xml:space="preserve"> וכן כל כיוצא בשחוק זה, והוא שלא תהיה לו אומנות אלא שחוק זה הרי הוא פסול, וכל אלו פסולין מדבריהם". </w:t>
      </w:r>
    </w:p>
    <w:p w14:paraId="31271228" w14:textId="77777777" w:rsidR="004B607F" w:rsidRPr="00845316" w:rsidRDefault="004B607F" w:rsidP="004B607F">
      <w:pPr>
        <w:jc w:val="both"/>
        <w:rPr>
          <w:rFonts w:asciiTheme="minorBidi" w:hAnsiTheme="minorBidi"/>
          <w:rtl/>
        </w:rPr>
      </w:pPr>
      <w:r w:rsidRPr="00845316">
        <w:rPr>
          <w:rFonts w:asciiTheme="minorBidi" w:hAnsiTheme="minorBidi"/>
          <w:b/>
          <w:bCs/>
          <w:sz w:val="32"/>
          <w:szCs w:val="28"/>
          <w:u w:val="single"/>
          <w:rtl/>
        </w:rPr>
        <w:t xml:space="preserve">שו"ע: </w:t>
      </w:r>
    </w:p>
    <w:p w14:paraId="42F0454C" w14:textId="77777777" w:rsidR="004B607F" w:rsidRPr="00845316" w:rsidRDefault="004B607F" w:rsidP="004B607F">
      <w:pPr>
        <w:rPr>
          <w:rFonts w:asciiTheme="minorBidi" w:hAnsiTheme="minorBidi"/>
          <w:rtl/>
        </w:rPr>
      </w:pPr>
      <w:r w:rsidRPr="00845316">
        <w:rPr>
          <w:rFonts w:asciiTheme="minorBidi" w:hAnsiTheme="minorBidi"/>
          <w:rtl/>
        </w:rPr>
        <w:t>מפריחי יונים בישוב פסולים</w:t>
      </w:r>
      <w:r w:rsidRPr="00845316">
        <w:rPr>
          <w:rStyle w:val="ab"/>
          <w:rFonts w:asciiTheme="minorBidi" w:hAnsiTheme="minorBidi"/>
          <w:rtl/>
        </w:rPr>
        <w:footnoteReference w:id="2239"/>
      </w:r>
      <w:r>
        <w:rPr>
          <w:rFonts w:asciiTheme="minorBidi" w:hAnsiTheme="minorBidi" w:hint="cs"/>
          <w:rtl/>
        </w:rPr>
        <w:t>,</w:t>
      </w:r>
      <w:r w:rsidRPr="00845316">
        <w:rPr>
          <w:rFonts w:asciiTheme="minorBidi" w:hAnsiTheme="minorBidi"/>
          <w:rtl/>
        </w:rPr>
        <w:t xml:space="preserve"> מפני שחזקתן שגוזלים יונים של אחרים</w:t>
      </w:r>
      <w:r>
        <w:rPr>
          <w:rFonts w:asciiTheme="minorBidi" w:hAnsiTheme="minorBidi" w:hint="cs"/>
          <w:rtl/>
        </w:rPr>
        <w:t>.</w:t>
      </w:r>
      <w:r w:rsidRPr="00845316">
        <w:rPr>
          <w:rFonts w:asciiTheme="minorBidi" w:hAnsiTheme="minorBidi"/>
          <w:rtl/>
        </w:rPr>
        <w:t xml:space="preserve"> וכן סוחרי שביעית</w:t>
      </w:r>
      <w:r>
        <w:rPr>
          <w:rFonts w:asciiTheme="minorBidi" w:hAnsiTheme="minorBidi" w:hint="cs"/>
          <w:rtl/>
        </w:rPr>
        <w:t>,</w:t>
      </w:r>
      <w:r w:rsidRPr="00845316">
        <w:rPr>
          <w:rFonts w:asciiTheme="minorBidi" w:hAnsiTheme="minorBidi"/>
          <w:rtl/>
        </w:rPr>
        <w:t xml:space="preserve"> והם בני אדם שיושבים בטלים וכיון שבאה שביעית פושטים ידיהם ומתחילים לישא וליתן בפירות</w:t>
      </w:r>
      <w:r>
        <w:rPr>
          <w:rFonts w:asciiTheme="minorBidi" w:hAnsiTheme="minorBidi" w:hint="cs"/>
          <w:rtl/>
        </w:rPr>
        <w:t>,</w:t>
      </w:r>
      <w:r w:rsidRPr="00845316">
        <w:rPr>
          <w:rFonts w:asciiTheme="minorBidi" w:hAnsiTheme="minorBidi"/>
          <w:rtl/>
        </w:rPr>
        <w:t xml:space="preserve"> שחזקת אלו שהם אוספים פירות שביעית ועושים בהן סחורה</w:t>
      </w:r>
      <w:r>
        <w:rPr>
          <w:rFonts w:asciiTheme="minorBidi" w:hAnsiTheme="minorBidi" w:hint="cs"/>
          <w:rtl/>
        </w:rPr>
        <w:t>.</w:t>
      </w:r>
      <w:r w:rsidRPr="00845316">
        <w:rPr>
          <w:rFonts w:asciiTheme="minorBidi" w:hAnsiTheme="minorBidi"/>
          <w:rtl/>
        </w:rPr>
        <w:t xml:space="preserve"> וכן משחק בקוביא</w:t>
      </w:r>
      <w:r w:rsidRPr="00845316">
        <w:rPr>
          <w:rStyle w:val="ab"/>
          <w:rFonts w:asciiTheme="minorBidi" w:hAnsiTheme="minorBidi"/>
          <w:rtl/>
        </w:rPr>
        <w:footnoteReference w:id="2240"/>
      </w:r>
      <w:r>
        <w:rPr>
          <w:rFonts w:asciiTheme="minorBidi" w:hAnsiTheme="minorBidi" w:hint="cs"/>
          <w:rtl/>
        </w:rPr>
        <w:t>,</w:t>
      </w:r>
      <w:r w:rsidRPr="00845316">
        <w:rPr>
          <w:rFonts w:asciiTheme="minorBidi" w:hAnsiTheme="minorBidi"/>
          <w:rtl/>
        </w:rPr>
        <w:t xml:space="preserve"> והוא שלא תהיה לו אומנות אלא הוא הואיל ואינו עוסק בישובו של עולם הרי זה בחזקת שאוכל מן הקוביא שהוא אבק גזל. ולא אקוביא בלבד אמרו אלא אפילו משחקים בקליפי אגוזים וקליפי רמונים</w:t>
      </w:r>
      <w:r>
        <w:rPr>
          <w:rFonts w:asciiTheme="minorBidi" w:hAnsiTheme="minorBidi" w:hint="cs"/>
          <w:rtl/>
        </w:rPr>
        <w:t>.</w:t>
      </w:r>
      <w:r w:rsidRPr="00845316">
        <w:rPr>
          <w:rFonts w:asciiTheme="minorBidi" w:hAnsiTheme="minorBidi"/>
          <w:rtl/>
        </w:rPr>
        <w:t xml:space="preserve"> וכן לא יונים בלבד אמרו אלא אפילו במשחקים בבהמה חיה ועוף ואומרים כל הקודם את חבירו או כל הנוצח את חבירו יטול בעליו שניהם</w:t>
      </w:r>
      <w:r>
        <w:rPr>
          <w:rFonts w:asciiTheme="minorBidi" w:hAnsiTheme="minorBidi" w:hint="cs"/>
          <w:rtl/>
        </w:rPr>
        <w:t>,</w:t>
      </w:r>
      <w:r w:rsidRPr="00845316">
        <w:rPr>
          <w:rFonts w:asciiTheme="minorBidi" w:hAnsiTheme="minorBidi"/>
          <w:rtl/>
        </w:rPr>
        <w:t xml:space="preserve"> וכל כיוצא בשחוק זה והוא שלא תהיה לו אומנות אלא שחוק זה הרי זה פסול</w:t>
      </w:r>
      <w:r w:rsidRPr="00845316">
        <w:rPr>
          <w:rStyle w:val="ab"/>
          <w:rFonts w:asciiTheme="minorBidi" w:hAnsiTheme="minorBidi"/>
          <w:rtl/>
        </w:rPr>
        <w:footnoteReference w:id="2241"/>
      </w:r>
      <w:r>
        <w:rPr>
          <w:rFonts w:asciiTheme="minorBidi" w:hAnsiTheme="minorBidi" w:hint="cs"/>
          <w:rtl/>
        </w:rPr>
        <w:t>.</w:t>
      </w:r>
      <w:r w:rsidRPr="00845316">
        <w:rPr>
          <w:rFonts w:asciiTheme="minorBidi" w:hAnsiTheme="minorBidi"/>
          <w:rtl/>
        </w:rPr>
        <w:t xml:space="preserve"> וכל אלו פסולים מדבריהם. </w:t>
      </w:r>
    </w:p>
    <w:p w14:paraId="169F5A5D" w14:textId="77777777" w:rsidR="004B607F" w:rsidRPr="00845316" w:rsidRDefault="004B607F" w:rsidP="004B607F">
      <w:pPr>
        <w:rPr>
          <w:rFonts w:asciiTheme="minorBidi" w:hAnsiTheme="minorBidi"/>
          <w:u w:val="single"/>
          <w:rtl/>
        </w:rPr>
      </w:pPr>
      <w:r w:rsidRPr="00845316">
        <w:rPr>
          <w:rFonts w:asciiTheme="minorBidi" w:hAnsiTheme="minorBidi"/>
          <w:u w:val="single"/>
          <w:rtl/>
        </w:rPr>
        <w:t>להב' הרמב"ם- מה דינו של המשחק בקוביא רק עם גויים:</w:t>
      </w:r>
    </w:p>
    <w:p w14:paraId="7A5A6EE2" w14:textId="77777777" w:rsidR="004B607F" w:rsidRPr="00845316" w:rsidRDefault="004B607F" w:rsidP="004B0475">
      <w:pPr>
        <w:pStyle w:val="ac"/>
        <w:numPr>
          <w:ilvl w:val="0"/>
          <w:numId w:val="163"/>
        </w:numPr>
        <w:rPr>
          <w:rFonts w:asciiTheme="minorBidi" w:hAnsiTheme="minorBidi"/>
        </w:rPr>
      </w:pPr>
      <w:r w:rsidRPr="00845316">
        <w:rPr>
          <w:rFonts w:asciiTheme="minorBidi" w:hAnsiTheme="minorBidi"/>
          <w:rtl/>
        </w:rPr>
        <w:t xml:space="preserve">כס"מ- פסול, אע"ג דגזל ממש אין כאן, מ"מ כיון שאינו עוסק ביישובו של עולם </w:t>
      </w:r>
      <w:r w:rsidRPr="00845316">
        <w:rPr>
          <w:rFonts w:asciiTheme="minorBidi" w:hAnsiTheme="minorBidi"/>
          <w:sz w:val="16"/>
          <w:szCs w:val="16"/>
          <w:rtl/>
        </w:rPr>
        <w:t xml:space="preserve">(כיון שאין לו אומנות אחרת) </w:t>
      </w:r>
      <w:r w:rsidRPr="00845316">
        <w:rPr>
          <w:rFonts w:asciiTheme="minorBidi" w:hAnsiTheme="minorBidi"/>
          <w:rtl/>
        </w:rPr>
        <w:t>הרי הוא בחזקת שמשחק עם ישראל והוא גזל, ואע"פ שלא ראינוהו סתמו כודאי.</w:t>
      </w:r>
    </w:p>
    <w:p w14:paraId="7A5CD0C7" w14:textId="77777777" w:rsidR="004B607F" w:rsidRPr="00845316" w:rsidRDefault="004B607F" w:rsidP="004B0475">
      <w:pPr>
        <w:pStyle w:val="ac"/>
        <w:numPr>
          <w:ilvl w:val="0"/>
          <w:numId w:val="163"/>
        </w:numPr>
        <w:rPr>
          <w:rFonts w:asciiTheme="minorBidi" w:hAnsiTheme="minorBidi"/>
        </w:rPr>
      </w:pPr>
      <w:r w:rsidRPr="00845316">
        <w:rPr>
          <w:rFonts w:asciiTheme="minorBidi" w:hAnsiTheme="minorBidi"/>
          <w:rtl/>
        </w:rPr>
        <w:t>ט"ז ותומים</w:t>
      </w:r>
      <w:r w:rsidRPr="00845316">
        <w:rPr>
          <w:rFonts w:asciiTheme="minorBidi" w:hAnsiTheme="minorBidi"/>
          <w:sz w:val="16"/>
          <w:szCs w:val="16"/>
          <w:rtl/>
        </w:rPr>
        <w:t xml:space="preserve"> (סקט"ו)</w:t>
      </w:r>
      <w:r w:rsidRPr="00845316">
        <w:rPr>
          <w:rFonts w:asciiTheme="minorBidi" w:hAnsiTheme="minorBidi"/>
          <w:rtl/>
        </w:rPr>
        <w:t>- כשר.</w:t>
      </w:r>
    </w:p>
    <w:p w14:paraId="55C26C16" w14:textId="77777777" w:rsidR="004B607F" w:rsidRPr="00845316" w:rsidRDefault="004B607F" w:rsidP="004B607F">
      <w:pPr>
        <w:rPr>
          <w:rFonts w:asciiTheme="minorBidi" w:hAnsiTheme="minorBidi"/>
          <w:color w:val="FF0000"/>
          <w:rtl/>
        </w:rPr>
      </w:pPr>
    </w:p>
    <w:p w14:paraId="1EB96355" w14:textId="77777777" w:rsidR="004B607F" w:rsidRPr="00845316" w:rsidRDefault="004B607F" w:rsidP="004B607F">
      <w:pPr>
        <w:pStyle w:val="2"/>
        <w:rPr>
          <w:rFonts w:asciiTheme="minorBidi" w:hAnsiTheme="minorBidi"/>
          <w:rtl/>
        </w:rPr>
      </w:pPr>
      <w:bookmarkStart w:id="301" w:name="_Toc24883764"/>
      <w:r w:rsidRPr="00845316">
        <w:rPr>
          <w:rFonts w:asciiTheme="minorBidi" w:hAnsiTheme="minorBidi"/>
          <w:rtl/>
        </w:rPr>
        <w:t>סעיף יז: עדות עם הארץ.</w:t>
      </w:r>
      <w:bookmarkEnd w:id="301"/>
    </w:p>
    <w:p w14:paraId="49247777" w14:textId="77777777" w:rsidR="004B607F" w:rsidRPr="00845316" w:rsidRDefault="004B607F" w:rsidP="004B607F">
      <w:pPr>
        <w:rPr>
          <w:rFonts w:asciiTheme="minorBidi" w:hAnsiTheme="minorBidi"/>
          <w:rtl/>
        </w:rPr>
      </w:pPr>
      <w:r w:rsidRPr="00845316">
        <w:rPr>
          <w:rFonts w:asciiTheme="minorBidi" w:hAnsiTheme="minorBidi"/>
          <w:b/>
          <w:bCs/>
          <w:rtl/>
        </w:rPr>
        <w:t>קדושין מ</w:t>
      </w:r>
      <w:r>
        <w:rPr>
          <w:rStyle w:val="ab"/>
          <w:rFonts w:asciiTheme="minorBidi" w:hAnsiTheme="minorBidi"/>
          <w:b/>
          <w:bCs/>
          <w:rtl/>
        </w:rPr>
        <w:footnoteReference w:id="2242"/>
      </w:r>
      <w:r w:rsidRPr="00845316">
        <w:rPr>
          <w:rFonts w:asciiTheme="minorBidi" w:hAnsiTheme="minorBidi"/>
          <w:b/>
          <w:bCs/>
          <w:rtl/>
        </w:rPr>
        <w:t xml:space="preserve"> ע"ב: </w:t>
      </w:r>
      <w:r w:rsidRPr="00845316">
        <w:rPr>
          <w:rFonts w:asciiTheme="minorBidi" w:hAnsiTheme="minorBidi"/>
          <w:u w:val="double"/>
          <w:rtl/>
        </w:rPr>
        <w:t>משנה:</w:t>
      </w:r>
      <w:r w:rsidRPr="00845316">
        <w:rPr>
          <w:rFonts w:asciiTheme="minorBidi" w:hAnsiTheme="minorBidi"/>
          <w:rtl/>
        </w:rPr>
        <w:t xml:space="preserve"> כל שישנו במקרא ובמשנה ובדרך ארץ - לא במהרה הוא חוטא, שנאמר: והחוט המשולש לא במהרה ינתק; וכל שאינו לא במקרא ולא במשנה ולא בדרך ארץ - אינו מן היישוב.      </w:t>
      </w:r>
      <w:r w:rsidRPr="00845316">
        <w:rPr>
          <w:rFonts w:asciiTheme="minorBidi" w:hAnsiTheme="minorBidi"/>
          <w:u w:val="double"/>
          <w:rtl/>
        </w:rPr>
        <w:t>גמ':</w:t>
      </w:r>
      <w:r w:rsidRPr="00845316">
        <w:rPr>
          <w:rFonts w:asciiTheme="minorBidi" w:hAnsiTheme="minorBidi"/>
          <w:rtl/>
        </w:rPr>
        <w:t xml:space="preserve"> </w:t>
      </w:r>
      <w:r w:rsidRPr="00845316">
        <w:rPr>
          <w:rFonts w:asciiTheme="minorBidi" w:hAnsiTheme="minorBidi"/>
          <w:u w:val="single"/>
          <w:rtl/>
        </w:rPr>
        <w:t>א"ר יוחנן</w:t>
      </w:r>
      <w:r w:rsidRPr="00845316">
        <w:rPr>
          <w:rFonts w:asciiTheme="minorBidi" w:hAnsiTheme="minorBidi"/>
          <w:rtl/>
        </w:rPr>
        <w:t>: ופסול לעדות</w:t>
      </w:r>
      <w:r w:rsidRPr="00845316">
        <w:rPr>
          <w:rStyle w:val="ab"/>
          <w:rFonts w:asciiTheme="minorBidi" w:hAnsiTheme="minorBidi"/>
          <w:rtl/>
        </w:rPr>
        <w:footnoteReference w:id="2243"/>
      </w:r>
      <w:r w:rsidRPr="00845316">
        <w:rPr>
          <w:rFonts w:asciiTheme="minorBidi" w:hAnsiTheme="minorBidi"/>
          <w:rtl/>
        </w:rPr>
        <w:t xml:space="preserve">. </w:t>
      </w:r>
    </w:p>
    <w:p w14:paraId="1707E3EE" w14:textId="77777777" w:rsidR="004B607F" w:rsidRPr="00845316" w:rsidRDefault="004B607F" w:rsidP="004B607F">
      <w:pPr>
        <w:rPr>
          <w:rFonts w:asciiTheme="minorBidi" w:hAnsiTheme="minorBidi"/>
          <w:rtl/>
        </w:rPr>
      </w:pPr>
      <w:bookmarkStart w:id="302" w:name="_Hlk19648658"/>
      <w:r w:rsidRPr="00845316">
        <w:rPr>
          <w:rFonts w:asciiTheme="minorBidi" w:hAnsiTheme="minorBidi"/>
          <w:b/>
          <w:bCs/>
          <w:rtl/>
        </w:rPr>
        <w:t>פסחים מט</w:t>
      </w:r>
      <w:r>
        <w:rPr>
          <w:rStyle w:val="ab"/>
          <w:rFonts w:asciiTheme="minorBidi" w:hAnsiTheme="minorBidi"/>
          <w:b/>
          <w:bCs/>
          <w:rtl/>
        </w:rPr>
        <w:footnoteReference w:id="2244"/>
      </w:r>
      <w:r w:rsidRPr="00845316">
        <w:rPr>
          <w:rFonts w:asciiTheme="minorBidi" w:hAnsiTheme="minorBidi"/>
          <w:b/>
          <w:bCs/>
          <w:rtl/>
        </w:rPr>
        <w:t xml:space="preserve"> ע"ב:</w:t>
      </w:r>
      <w:r w:rsidRPr="00845316">
        <w:rPr>
          <w:rFonts w:asciiTheme="minorBidi" w:hAnsiTheme="minorBidi"/>
          <w:rtl/>
        </w:rPr>
        <w:t xml:space="preserve"> תנו רבנן: ששה דברים נאמרו בעמי הארץ: אין מוסרין להן עדות</w:t>
      </w:r>
      <w:r w:rsidRPr="00845316">
        <w:rPr>
          <w:rStyle w:val="ab"/>
          <w:rFonts w:asciiTheme="minorBidi" w:hAnsiTheme="minorBidi"/>
          <w:rtl/>
        </w:rPr>
        <w:footnoteReference w:id="2245"/>
      </w:r>
      <w:r w:rsidRPr="00845316">
        <w:rPr>
          <w:rFonts w:asciiTheme="minorBidi" w:hAnsiTheme="minorBidi"/>
          <w:rtl/>
        </w:rPr>
        <w:t>, ואין מקבלין ממנו עדות</w:t>
      </w:r>
      <w:r w:rsidRPr="00845316">
        <w:rPr>
          <w:rStyle w:val="ab"/>
          <w:rFonts w:asciiTheme="minorBidi" w:hAnsiTheme="minorBidi"/>
          <w:rtl/>
        </w:rPr>
        <w:footnoteReference w:id="2246"/>
      </w:r>
      <w:r w:rsidRPr="00845316">
        <w:rPr>
          <w:rFonts w:asciiTheme="minorBidi" w:hAnsiTheme="minorBidi"/>
          <w:rtl/>
        </w:rPr>
        <w:t xml:space="preserve">... </w:t>
      </w:r>
    </w:p>
    <w:p w14:paraId="24BFD0D1" w14:textId="77777777" w:rsidR="004B607F" w:rsidRPr="00845316" w:rsidRDefault="004B607F" w:rsidP="004B607F">
      <w:pPr>
        <w:rPr>
          <w:rFonts w:asciiTheme="minorBidi" w:hAnsiTheme="minorBidi"/>
          <w:rtl/>
        </w:rPr>
      </w:pPr>
      <w:bookmarkStart w:id="303" w:name="_Hlk19648673"/>
      <w:bookmarkEnd w:id="302"/>
      <w:r w:rsidRPr="00845316">
        <w:rPr>
          <w:rFonts w:asciiTheme="minorBidi" w:hAnsiTheme="minorBidi"/>
          <w:b/>
          <w:bCs/>
          <w:rtl/>
        </w:rPr>
        <w:t>חגיגה כב ע"א:</w:t>
      </w:r>
      <w:r w:rsidRPr="00845316">
        <w:rPr>
          <w:rFonts w:asciiTheme="minorBidi" w:hAnsiTheme="minorBidi"/>
          <w:rtl/>
        </w:rPr>
        <w:t xml:space="preserve"> </w:t>
      </w:r>
      <w:r w:rsidRPr="00845316">
        <w:rPr>
          <w:rFonts w:asciiTheme="minorBidi" w:hAnsiTheme="minorBidi"/>
          <w:u w:val="single"/>
          <w:rtl/>
        </w:rPr>
        <w:t>אמר רבי יוסי</w:t>
      </w:r>
      <w:r w:rsidRPr="00845316">
        <w:rPr>
          <w:rFonts w:asciiTheme="minorBidi" w:hAnsiTheme="minorBidi"/>
          <w:rtl/>
        </w:rPr>
        <w:t>: מפני מה הכל נאמנין על טהרת יין ושמן כל ימות השנה - כדי שלא יהא כל אחד ואחד</w:t>
      </w:r>
      <w:r w:rsidRPr="00845316">
        <w:rPr>
          <w:rStyle w:val="ab"/>
          <w:rFonts w:asciiTheme="minorBidi" w:hAnsiTheme="minorBidi"/>
          <w:rtl/>
        </w:rPr>
        <w:footnoteReference w:id="2247"/>
      </w:r>
      <w:r w:rsidRPr="00845316">
        <w:rPr>
          <w:rFonts w:asciiTheme="minorBidi" w:hAnsiTheme="minorBidi"/>
          <w:rtl/>
        </w:rPr>
        <w:t xml:space="preserve"> הולך ובונה במה לעצמו, ושורף פרה אדומה לעצמו. </w:t>
      </w:r>
      <w:r w:rsidRPr="00845316">
        <w:rPr>
          <w:rFonts w:asciiTheme="minorBidi" w:hAnsiTheme="minorBidi"/>
          <w:u w:val="single"/>
          <w:rtl/>
        </w:rPr>
        <w:t>אמר רב פפא</w:t>
      </w:r>
      <w:r w:rsidRPr="00845316">
        <w:rPr>
          <w:rFonts w:asciiTheme="minorBidi" w:hAnsiTheme="minorBidi"/>
          <w:rtl/>
        </w:rPr>
        <w:t>: כמאן מקבלינן האידנא סהדותא מעם הארץ, כמאן</w:t>
      </w:r>
      <w:r>
        <w:rPr>
          <w:rFonts w:asciiTheme="minorBidi" w:hAnsiTheme="minorBidi" w:hint="cs"/>
          <w:rtl/>
        </w:rPr>
        <w:t xml:space="preserve"> </w:t>
      </w:r>
      <w:r w:rsidRPr="00845316">
        <w:rPr>
          <w:rFonts w:asciiTheme="minorBidi" w:hAnsiTheme="minorBidi"/>
          <w:rtl/>
        </w:rPr>
        <w:t>- כרבי יוסי</w:t>
      </w:r>
      <w:r w:rsidRPr="00845316">
        <w:rPr>
          <w:rStyle w:val="ab"/>
          <w:rFonts w:asciiTheme="minorBidi" w:hAnsiTheme="minorBidi"/>
          <w:rtl/>
        </w:rPr>
        <w:footnoteReference w:id="2248"/>
      </w:r>
      <w:r w:rsidRPr="00845316">
        <w:rPr>
          <w:rFonts w:asciiTheme="minorBidi" w:hAnsiTheme="minorBidi"/>
          <w:rtl/>
        </w:rPr>
        <w:t>.</w:t>
      </w:r>
    </w:p>
    <w:p w14:paraId="6DBAB3F8" w14:textId="77777777" w:rsidR="004B607F" w:rsidRPr="00845316" w:rsidRDefault="004B607F" w:rsidP="004B607F">
      <w:pPr>
        <w:rPr>
          <w:rFonts w:asciiTheme="minorBidi" w:hAnsiTheme="minorBidi"/>
          <w:u w:val="single"/>
          <w:rtl/>
        </w:rPr>
      </w:pPr>
      <w:bookmarkStart w:id="304" w:name="_Hlk19648919"/>
      <w:bookmarkEnd w:id="303"/>
      <w:r w:rsidRPr="00845316">
        <w:rPr>
          <w:rStyle w:val="ab"/>
          <w:rFonts w:asciiTheme="minorBidi" w:hAnsiTheme="minorBidi"/>
          <w:u w:val="single"/>
          <w:rtl/>
        </w:rPr>
        <w:lastRenderedPageBreak/>
        <w:footnoteReference w:id="2249"/>
      </w:r>
      <w:r w:rsidRPr="00845316">
        <w:rPr>
          <w:rFonts w:asciiTheme="minorBidi" w:hAnsiTheme="minorBidi"/>
          <w:u w:val="single"/>
          <w:rtl/>
        </w:rPr>
        <w:t xml:space="preserve">כיצד אפשר לסדר את הגמ' בפסחים </w:t>
      </w:r>
      <w:r w:rsidRPr="00845316">
        <w:rPr>
          <w:rFonts w:asciiTheme="minorBidi" w:hAnsiTheme="minorBidi"/>
          <w:sz w:val="16"/>
          <w:szCs w:val="16"/>
          <w:u w:val="single"/>
          <w:rtl/>
        </w:rPr>
        <w:t>(אין מוסרין ואין מקבלין)</w:t>
      </w:r>
      <w:r w:rsidRPr="00845316">
        <w:rPr>
          <w:rFonts w:asciiTheme="minorBidi" w:hAnsiTheme="minorBidi"/>
          <w:u w:val="single"/>
          <w:rtl/>
        </w:rPr>
        <w:t xml:space="preserve"> עם הגמ' בחגיגה </w:t>
      </w:r>
      <w:r w:rsidRPr="00845316">
        <w:rPr>
          <w:rFonts w:asciiTheme="minorBidi" w:hAnsiTheme="minorBidi"/>
          <w:sz w:val="16"/>
          <w:szCs w:val="16"/>
          <w:u w:val="single"/>
          <w:rtl/>
        </w:rPr>
        <w:t>(כמאן מקבלינן האידנא סהדותא מעה"א)</w:t>
      </w:r>
      <w:r w:rsidRPr="00845316">
        <w:rPr>
          <w:rFonts w:asciiTheme="minorBidi" w:hAnsiTheme="minorBidi"/>
          <w:u w:val="single"/>
          <w:rtl/>
        </w:rPr>
        <w:t>:</w:t>
      </w:r>
    </w:p>
    <w:p w14:paraId="2E972D54" w14:textId="77777777" w:rsidR="004B607F" w:rsidRPr="00845316" w:rsidRDefault="004B607F" w:rsidP="004B0475">
      <w:pPr>
        <w:pStyle w:val="ac"/>
        <w:numPr>
          <w:ilvl w:val="0"/>
          <w:numId w:val="164"/>
        </w:numPr>
        <w:rPr>
          <w:rFonts w:asciiTheme="minorBidi" w:hAnsiTheme="minorBidi"/>
        </w:rPr>
      </w:pPr>
      <w:r w:rsidRPr="00845316">
        <w:rPr>
          <w:rFonts w:asciiTheme="minorBidi" w:hAnsiTheme="minorBidi"/>
          <w:rtl/>
        </w:rPr>
        <w:t xml:space="preserve">רי"ף </w:t>
      </w:r>
      <w:r w:rsidRPr="00845316">
        <w:rPr>
          <w:rFonts w:asciiTheme="minorBidi" w:hAnsiTheme="minorBidi"/>
          <w:sz w:val="16"/>
          <w:szCs w:val="16"/>
          <w:rtl/>
        </w:rPr>
        <w:t xml:space="preserve">(טז.) </w:t>
      </w:r>
      <w:r w:rsidRPr="00845316">
        <w:rPr>
          <w:rFonts w:asciiTheme="minorBidi" w:hAnsiTheme="minorBidi"/>
          <w:rtl/>
        </w:rPr>
        <w:t>ורמב"ם</w:t>
      </w:r>
      <w:r w:rsidRPr="00845316">
        <w:rPr>
          <w:rFonts w:asciiTheme="minorBidi" w:hAnsiTheme="minorBidi"/>
          <w:sz w:val="16"/>
          <w:szCs w:val="16"/>
          <w:rtl/>
        </w:rPr>
        <w:t xml:space="preserve"> (פי"א ה"א-ד)</w:t>
      </w:r>
      <w:r w:rsidRPr="00845316">
        <w:rPr>
          <w:rFonts w:asciiTheme="minorBidi" w:hAnsiTheme="minorBidi"/>
          <w:rtl/>
        </w:rPr>
        <w:t>- עם הארץ דחגיגה איתיה בדרך ארץ ומצות</w:t>
      </w:r>
      <w:r w:rsidRPr="00845316">
        <w:rPr>
          <w:rStyle w:val="ab"/>
          <w:rFonts w:asciiTheme="minorBidi" w:hAnsiTheme="minorBidi"/>
          <w:rtl/>
        </w:rPr>
        <w:footnoteReference w:id="2250"/>
      </w:r>
      <w:r w:rsidRPr="00845316">
        <w:rPr>
          <w:rFonts w:asciiTheme="minorBidi" w:hAnsiTheme="minorBidi"/>
          <w:rtl/>
        </w:rPr>
        <w:t xml:space="preserve"> לכן מקבלין עדותו </w:t>
      </w:r>
      <w:r w:rsidRPr="00845316">
        <w:rPr>
          <w:rFonts w:asciiTheme="minorBidi" w:hAnsiTheme="minorBidi"/>
          <w:sz w:val="16"/>
          <w:szCs w:val="16"/>
          <w:rtl/>
        </w:rPr>
        <w:t>(וכיון דליתיה במקרא ובמשנה</w:t>
      </w:r>
      <w:r w:rsidRPr="00845316">
        <w:rPr>
          <w:rStyle w:val="ab"/>
          <w:rFonts w:asciiTheme="minorBidi" w:hAnsiTheme="minorBidi"/>
          <w:sz w:val="16"/>
          <w:szCs w:val="16"/>
          <w:rtl/>
        </w:rPr>
        <w:footnoteReference w:id="2251"/>
      </w:r>
      <w:r w:rsidRPr="00845316">
        <w:rPr>
          <w:rFonts w:asciiTheme="minorBidi" w:hAnsiTheme="minorBidi"/>
          <w:sz w:val="16"/>
          <w:szCs w:val="16"/>
          <w:rtl/>
        </w:rPr>
        <w:t xml:space="preserve"> לא היה ראוי לקבלו אלא משום דרבי יוסי)</w:t>
      </w:r>
      <w:r w:rsidRPr="00845316">
        <w:rPr>
          <w:rFonts w:asciiTheme="minorBidi" w:hAnsiTheme="minorBidi"/>
          <w:rtl/>
        </w:rPr>
        <w:t xml:space="preserve"> ובפסחים מיירי בסתם עם הארץ והוא דליתיה אף בדרך ארץ</w:t>
      </w:r>
      <w:r w:rsidRPr="00845316">
        <w:rPr>
          <w:rStyle w:val="ab"/>
          <w:rFonts w:asciiTheme="minorBidi" w:hAnsiTheme="minorBidi"/>
          <w:rtl/>
        </w:rPr>
        <w:footnoteReference w:id="2252"/>
      </w:r>
      <w:r w:rsidRPr="00845316">
        <w:rPr>
          <w:rFonts w:asciiTheme="minorBidi" w:hAnsiTheme="minorBidi"/>
          <w:rtl/>
        </w:rPr>
        <w:t>.</w:t>
      </w:r>
    </w:p>
    <w:p w14:paraId="78B2A948" w14:textId="77777777" w:rsidR="004B607F" w:rsidRPr="00845316" w:rsidRDefault="004B607F" w:rsidP="004B0475">
      <w:pPr>
        <w:pStyle w:val="ac"/>
        <w:numPr>
          <w:ilvl w:val="0"/>
          <w:numId w:val="164"/>
        </w:numPr>
        <w:rPr>
          <w:rFonts w:asciiTheme="minorBidi" w:hAnsiTheme="minorBidi"/>
        </w:rPr>
      </w:pPr>
      <w:r w:rsidRPr="00845316">
        <w:rPr>
          <w:rFonts w:asciiTheme="minorBidi" w:hAnsiTheme="minorBidi"/>
          <w:rtl/>
        </w:rPr>
        <w:t>ר"ן</w:t>
      </w:r>
      <w:r w:rsidRPr="00845316">
        <w:rPr>
          <w:rStyle w:val="ab"/>
          <w:rFonts w:asciiTheme="minorBidi" w:hAnsiTheme="minorBidi"/>
          <w:rtl/>
        </w:rPr>
        <w:footnoteReference w:id="2253"/>
      </w:r>
      <w:r w:rsidRPr="00845316">
        <w:rPr>
          <w:rFonts w:asciiTheme="minorBidi" w:hAnsiTheme="minorBidi"/>
          <w:rtl/>
        </w:rPr>
        <w:t xml:space="preserve">- חגיגה פליגא אפסחים, ותרווייהו בעה"א דליתיה במקרא ובמשנה ואיתיה בד"א ומצות, וכל כי האי נהי דכשר לעדות מ"מ סבירא להו לרבנן </w:t>
      </w:r>
      <w:r w:rsidRPr="00845316">
        <w:rPr>
          <w:rFonts w:asciiTheme="minorBidi" w:hAnsiTheme="minorBidi"/>
          <w:u w:val="dotted"/>
          <w:rtl/>
        </w:rPr>
        <w:t>דלכתחילה</w:t>
      </w:r>
      <w:r w:rsidRPr="00845316">
        <w:rPr>
          <w:rFonts w:asciiTheme="minorBidi" w:hAnsiTheme="minorBidi"/>
          <w:rtl/>
        </w:rPr>
        <w:t xml:space="preserve"> לא מקבלינן, והאידנא דמקבלין </w:t>
      </w:r>
      <w:r w:rsidRPr="00845316">
        <w:rPr>
          <w:rFonts w:asciiTheme="minorBidi" w:hAnsiTheme="minorBidi"/>
          <w:sz w:val="16"/>
          <w:szCs w:val="16"/>
          <w:rtl/>
        </w:rPr>
        <w:t xml:space="preserve">{לכתחילה} </w:t>
      </w:r>
      <w:r w:rsidRPr="00845316">
        <w:rPr>
          <w:rFonts w:asciiTheme="minorBidi" w:hAnsiTheme="minorBidi"/>
          <w:rtl/>
        </w:rPr>
        <w:t>סמכינן אדרבי יוסי.</w:t>
      </w:r>
    </w:p>
    <w:p w14:paraId="79153114" w14:textId="77777777" w:rsidR="004B607F" w:rsidRPr="00845316" w:rsidRDefault="004B607F" w:rsidP="004B0475">
      <w:pPr>
        <w:pStyle w:val="ac"/>
        <w:numPr>
          <w:ilvl w:val="0"/>
          <w:numId w:val="164"/>
        </w:numPr>
        <w:rPr>
          <w:rFonts w:asciiTheme="minorBidi" w:hAnsiTheme="minorBidi"/>
        </w:rPr>
      </w:pPr>
      <w:r w:rsidRPr="00845316">
        <w:rPr>
          <w:rFonts w:asciiTheme="minorBidi" w:hAnsiTheme="minorBidi"/>
          <w:rtl/>
        </w:rPr>
        <w:t xml:space="preserve">(רא"ש </w:t>
      </w:r>
      <w:r w:rsidRPr="00845316">
        <w:rPr>
          <w:rFonts w:asciiTheme="minorBidi" w:hAnsiTheme="minorBidi"/>
          <w:sz w:val="14"/>
          <w:szCs w:val="14"/>
          <w:rtl/>
        </w:rPr>
        <w:t>[פסחים פ"ג סי' י]</w:t>
      </w:r>
      <w:r w:rsidRPr="00845316">
        <w:rPr>
          <w:rFonts w:asciiTheme="minorBidi" w:hAnsiTheme="minorBidi"/>
          <w:sz w:val="16"/>
          <w:szCs w:val="16"/>
          <w:rtl/>
        </w:rPr>
        <w:t xml:space="preserve"> להב' הטור</w:t>
      </w:r>
      <w:r w:rsidRPr="00845316">
        <w:rPr>
          <w:rStyle w:val="ab"/>
          <w:rFonts w:asciiTheme="minorBidi" w:hAnsiTheme="minorBidi"/>
          <w:rtl/>
        </w:rPr>
        <w:footnoteReference w:id="2254"/>
      </w:r>
      <w:r w:rsidRPr="00845316">
        <w:rPr>
          <w:rFonts w:asciiTheme="minorBidi" w:hAnsiTheme="minorBidi"/>
          <w:rtl/>
        </w:rPr>
        <w:t xml:space="preserve">)- אין סתירה, וסתם עם הארץ ליתיה בתורה ובד"א, ורב פפא דאמר כמאן מקבלין וכו' לא לפסוק הלכה כרבי יוסי נתכוון ולא ללמדנו שבימים ההם היו מקבלין עדות מעם הארץ, אלא לא היו מקבלין ולא בא אלא לומר שצריך להתיישב בדבר, והכי קאמר- לרבי יוסי יש לחוש לעדי עמי הארץ ולהכשירם אבל אנן לא קיי"ל הכי אלא כברייתא דפסחים דאין מוסרים להם עדות. </w:t>
      </w:r>
    </w:p>
    <w:p w14:paraId="3D08CB45" w14:textId="77777777" w:rsidR="004B607F" w:rsidRPr="00845316" w:rsidRDefault="004B607F" w:rsidP="004B0475">
      <w:pPr>
        <w:pStyle w:val="ac"/>
        <w:numPr>
          <w:ilvl w:val="0"/>
          <w:numId w:val="164"/>
        </w:numPr>
        <w:rPr>
          <w:rFonts w:asciiTheme="minorBidi" w:hAnsiTheme="minorBidi"/>
        </w:rPr>
      </w:pPr>
      <w:r w:rsidRPr="00845316">
        <w:rPr>
          <w:rFonts w:asciiTheme="minorBidi" w:hAnsiTheme="minorBidi"/>
          <w:rtl/>
        </w:rPr>
        <w:t xml:space="preserve">(רא"ש </w:t>
      </w:r>
      <w:r w:rsidRPr="00845316">
        <w:rPr>
          <w:rFonts w:asciiTheme="minorBidi" w:hAnsiTheme="minorBidi"/>
          <w:sz w:val="16"/>
          <w:szCs w:val="16"/>
          <w:rtl/>
        </w:rPr>
        <w:t>להב' הב"י והגר"א</w:t>
      </w:r>
      <w:r w:rsidRPr="00845316">
        <w:rPr>
          <w:rFonts w:asciiTheme="minorBidi" w:hAnsiTheme="minorBidi"/>
          <w:sz w:val="14"/>
          <w:szCs w:val="14"/>
          <w:rtl/>
        </w:rPr>
        <w:t xml:space="preserve"> [סקל"ט]</w:t>
      </w:r>
      <w:r w:rsidRPr="00845316">
        <w:rPr>
          <w:rFonts w:asciiTheme="minorBidi" w:hAnsiTheme="minorBidi"/>
          <w:rtl/>
        </w:rPr>
        <w:t xml:space="preserve">)- </w:t>
      </w:r>
      <w:r w:rsidRPr="00845316">
        <w:rPr>
          <w:rStyle w:val="ab"/>
          <w:rFonts w:asciiTheme="minorBidi" w:hAnsiTheme="minorBidi"/>
          <w:rtl/>
        </w:rPr>
        <w:footnoteReference w:id="2255"/>
      </w:r>
      <w:r w:rsidRPr="00845316">
        <w:rPr>
          <w:rFonts w:asciiTheme="minorBidi" w:hAnsiTheme="minorBidi"/>
          <w:rtl/>
        </w:rPr>
        <w:t>תרוויהו בעה"א דליתיה בתורה ובד"א, ומחגיגה מוכח כפסחים דפסולים לעדות, אלא שצריכין אנו להכשירם ולקבל מהם עדות ולמיחש למאי דחייש רבי יוסי אע"פ שאינו מן הדין.</w:t>
      </w:r>
    </w:p>
    <w:p w14:paraId="156AEB6A" w14:textId="77777777" w:rsidR="004B607F" w:rsidRPr="00845316" w:rsidRDefault="004B607F" w:rsidP="004B607F">
      <w:pPr>
        <w:ind w:left="360"/>
        <w:rPr>
          <w:rFonts w:asciiTheme="minorBidi" w:hAnsiTheme="minorBidi"/>
          <w:u w:val="dotted"/>
          <w:rtl/>
        </w:rPr>
      </w:pPr>
      <w:bookmarkStart w:id="305" w:name="_Hlk19648932"/>
      <w:bookmarkEnd w:id="304"/>
      <w:r w:rsidRPr="00845316">
        <w:rPr>
          <w:rFonts w:asciiTheme="minorBidi" w:hAnsiTheme="minorBidi"/>
          <w:u w:val="dotted"/>
          <w:rtl/>
        </w:rPr>
        <w:t>האם מקבלים עדות עם הארץ:</w:t>
      </w:r>
      <w:r w:rsidRPr="00845316">
        <w:rPr>
          <w:rFonts w:asciiTheme="minorBidi" w:hAnsiTheme="minorBidi"/>
          <w:noProof/>
          <w:rtl/>
        </w:rPr>
        <w:t xml:space="preserve"> </w:t>
      </w:r>
    </w:p>
    <w:p w14:paraId="41D5F0B6" w14:textId="77777777" w:rsidR="004B607F" w:rsidRPr="00845316" w:rsidRDefault="004B607F" w:rsidP="004B0475">
      <w:pPr>
        <w:pStyle w:val="ac"/>
        <w:numPr>
          <w:ilvl w:val="0"/>
          <w:numId w:val="164"/>
        </w:numPr>
        <w:rPr>
          <w:rFonts w:asciiTheme="minorBidi" w:hAnsiTheme="minorBidi"/>
        </w:rPr>
      </w:pPr>
      <w:r w:rsidRPr="00845316">
        <w:rPr>
          <w:rFonts w:asciiTheme="minorBidi" w:hAnsiTheme="minorBidi"/>
          <w:rtl/>
        </w:rPr>
        <w:t xml:space="preserve">רי"ף רמב"ם (ורא"ש </w:t>
      </w:r>
      <w:r w:rsidRPr="00845316">
        <w:rPr>
          <w:rFonts w:asciiTheme="minorBidi" w:hAnsiTheme="minorBidi"/>
          <w:sz w:val="16"/>
          <w:szCs w:val="16"/>
          <w:rtl/>
        </w:rPr>
        <w:t>להב' הטור</w:t>
      </w:r>
      <w:r w:rsidRPr="00845316">
        <w:rPr>
          <w:rFonts w:asciiTheme="minorBidi" w:hAnsiTheme="minorBidi"/>
          <w:rtl/>
        </w:rPr>
        <w:t xml:space="preserve">)- אם הוא בדרך ארץ ומצות </w:t>
      </w:r>
      <w:r>
        <w:rPr>
          <w:rFonts w:asciiTheme="minorBidi" w:hAnsiTheme="minorBidi" w:hint="cs"/>
          <w:rtl/>
        </w:rPr>
        <w:t xml:space="preserve">- </w:t>
      </w:r>
      <w:r w:rsidRPr="00845316">
        <w:rPr>
          <w:rFonts w:asciiTheme="minorBidi" w:hAnsiTheme="minorBidi"/>
          <w:rtl/>
        </w:rPr>
        <w:t>מקבלין עדותו</w:t>
      </w:r>
      <w:r>
        <w:rPr>
          <w:rFonts w:asciiTheme="minorBidi" w:hAnsiTheme="minorBidi" w:hint="cs"/>
          <w:rtl/>
        </w:rPr>
        <w:t>.</w:t>
      </w:r>
      <w:r w:rsidRPr="00845316">
        <w:rPr>
          <w:rFonts w:asciiTheme="minorBidi" w:hAnsiTheme="minorBidi"/>
          <w:rtl/>
        </w:rPr>
        <w:t xml:space="preserve"> משא"כ בסתם עה"א דליתיה אף בדרך ארץ שלא מקבלין עדותו. </w:t>
      </w:r>
      <w:r w:rsidRPr="00845316">
        <w:rPr>
          <w:rFonts w:asciiTheme="minorBidi" w:hAnsiTheme="minorBidi"/>
          <w:color w:val="E36C0A" w:themeColor="accent6" w:themeShade="BF"/>
          <w:rtl/>
        </w:rPr>
        <w:t>(וכ"פ בשו"ע)</w:t>
      </w:r>
      <w:r w:rsidRPr="00845316">
        <w:rPr>
          <w:rFonts w:asciiTheme="minorBidi" w:hAnsiTheme="minorBidi"/>
          <w:rtl/>
        </w:rPr>
        <w:t xml:space="preserve">  </w:t>
      </w:r>
    </w:p>
    <w:p w14:paraId="47806097" w14:textId="77777777" w:rsidR="004B607F" w:rsidRPr="00845316" w:rsidRDefault="004B607F" w:rsidP="004B0475">
      <w:pPr>
        <w:pStyle w:val="ac"/>
        <w:numPr>
          <w:ilvl w:val="0"/>
          <w:numId w:val="164"/>
        </w:numPr>
        <w:rPr>
          <w:rFonts w:asciiTheme="minorBidi" w:hAnsiTheme="minorBidi"/>
        </w:rPr>
      </w:pPr>
      <w:r w:rsidRPr="00845316">
        <w:rPr>
          <w:rFonts w:asciiTheme="minorBidi" w:hAnsiTheme="minorBidi"/>
          <w:rtl/>
        </w:rPr>
        <w:t xml:space="preserve">ר"ן- אם הוא בד"א ומצות מקבלין </w:t>
      </w:r>
      <w:r w:rsidRPr="00845316">
        <w:rPr>
          <w:rFonts w:asciiTheme="minorBidi" w:hAnsiTheme="minorBidi"/>
          <w:u w:val="single"/>
          <w:rtl/>
        </w:rPr>
        <w:t>לכתחילה</w:t>
      </w:r>
      <w:r w:rsidRPr="00845316">
        <w:rPr>
          <w:rFonts w:asciiTheme="minorBidi" w:hAnsiTheme="minorBidi"/>
          <w:sz w:val="16"/>
          <w:szCs w:val="16"/>
          <w:rtl/>
        </w:rPr>
        <w:t xml:space="preserve"> (אע"פ דליתיה במקרא ובמשנה)</w:t>
      </w:r>
      <w:r w:rsidRPr="00845316">
        <w:rPr>
          <w:rFonts w:asciiTheme="minorBidi" w:hAnsiTheme="minorBidi"/>
          <w:rtl/>
        </w:rPr>
        <w:t xml:space="preserve">.  </w:t>
      </w:r>
    </w:p>
    <w:p w14:paraId="23065EF8" w14:textId="77777777" w:rsidR="004B607F" w:rsidRPr="00845316" w:rsidRDefault="004B607F" w:rsidP="004B0475">
      <w:pPr>
        <w:pStyle w:val="ac"/>
        <w:numPr>
          <w:ilvl w:val="0"/>
          <w:numId w:val="164"/>
        </w:numPr>
        <w:rPr>
          <w:rFonts w:asciiTheme="minorBidi" w:hAnsiTheme="minorBidi"/>
        </w:rPr>
      </w:pPr>
      <w:r w:rsidRPr="00845316">
        <w:rPr>
          <w:rFonts w:asciiTheme="minorBidi" w:hAnsiTheme="minorBidi"/>
          <w:rtl/>
        </w:rPr>
        <w:t xml:space="preserve">(רא"ש </w:t>
      </w:r>
      <w:r w:rsidRPr="00845316">
        <w:rPr>
          <w:rFonts w:asciiTheme="minorBidi" w:hAnsiTheme="minorBidi"/>
          <w:sz w:val="16"/>
          <w:szCs w:val="16"/>
          <w:rtl/>
        </w:rPr>
        <w:t>להב' הב"י והגר"א</w:t>
      </w:r>
      <w:r w:rsidRPr="00845316">
        <w:rPr>
          <w:rFonts w:asciiTheme="minorBidi" w:hAnsiTheme="minorBidi"/>
          <w:rtl/>
        </w:rPr>
        <w:t>)- עמי הארץ שאינם בתורה ובדרך ארץ מקבלין עדותם</w:t>
      </w:r>
      <w:r w:rsidRPr="00845316">
        <w:rPr>
          <w:rFonts w:asciiTheme="minorBidi" w:hAnsiTheme="minorBidi"/>
          <w:sz w:val="16"/>
          <w:szCs w:val="16"/>
          <w:rtl/>
        </w:rPr>
        <w:t xml:space="preserve"> (כדרבי יוסי)</w:t>
      </w:r>
      <w:r w:rsidRPr="00845316">
        <w:rPr>
          <w:rFonts w:asciiTheme="minorBidi" w:hAnsiTheme="minorBidi"/>
          <w:rtl/>
        </w:rPr>
        <w:t xml:space="preserve"> אע"פ שאינו מן הדין.</w:t>
      </w:r>
    </w:p>
    <w:bookmarkEnd w:id="305"/>
    <w:p w14:paraId="467608F7" w14:textId="77777777" w:rsidR="004B607F" w:rsidRPr="00845316" w:rsidRDefault="004B607F" w:rsidP="004B607F">
      <w:pPr>
        <w:jc w:val="both"/>
        <w:rPr>
          <w:rFonts w:asciiTheme="minorBidi" w:hAnsiTheme="minorBidi"/>
          <w:rtl/>
        </w:rPr>
      </w:pPr>
      <w:r w:rsidRPr="00845316">
        <w:rPr>
          <w:rFonts w:asciiTheme="minorBidi" w:hAnsiTheme="minorBidi"/>
          <w:b/>
          <w:bCs/>
          <w:sz w:val="32"/>
          <w:szCs w:val="28"/>
          <w:u w:val="single"/>
          <w:rtl/>
        </w:rPr>
        <w:t xml:space="preserve">שו"ע: </w:t>
      </w:r>
    </w:p>
    <w:p w14:paraId="3942C066" w14:textId="77777777" w:rsidR="004B607F" w:rsidRPr="00845316" w:rsidRDefault="004B607F" w:rsidP="004B607F">
      <w:pPr>
        <w:rPr>
          <w:rFonts w:asciiTheme="minorBidi" w:hAnsiTheme="minorBidi"/>
          <w:rtl/>
        </w:rPr>
      </w:pPr>
      <w:r w:rsidRPr="00845316">
        <w:rPr>
          <w:rFonts w:asciiTheme="minorBidi" w:hAnsiTheme="minorBidi"/>
          <w:rtl/>
        </w:rPr>
        <w:t>מי שאינו לא במקרא ולא במשנה ולא בדרך ארץ הרי זה בחזקת רשע</w:t>
      </w:r>
      <w:r w:rsidRPr="00845316">
        <w:rPr>
          <w:rStyle w:val="ab"/>
          <w:rFonts w:asciiTheme="minorBidi" w:hAnsiTheme="minorBidi"/>
          <w:rtl/>
        </w:rPr>
        <w:footnoteReference w:id="2256"/>
      </w:r>
      <w:r w:rsidRPr="00845316">
        <w:rPr>
          <w:rFonts w:asciiTheme="minorBidi" w:hAnsiTheme="minorBidi"/>
          <w:rtl/>
        </w:rPr>
        <w:t xml:space="preserve"> ופסול לעדות מדבריהם</w:t>
      </w:r>
      <w:r w:rsidRPr="00845316">
        <w:rPr>
          <w:rStyle w:val="ab"/>
          <w:rFonts w:asciiTheme="minorBidi" w:hAnsiTheme="minorBidi"/>
          <w:rtl/>
        </w:rPr>
        <w:footnoteReference w:id="2257"/>
      </w:r>
      <w:r w:rsidRPr="00845316">
        <w:rPr>
          <w:rFonts w:asciiTheme="minorBidi" w:hAnsiTheme="minorBidi"/>
          <w:rtl/>
        </w:rPr>
        <w:t>, לפיכך אין מוסרים עדות לעם הארץ</w:t>
      </w:r>
      <w:r w:rsidRPr="00845316">
        <w:rPr>
          <w:rStyle w:val="ab"/>
          <w:rFonts w:asciiTheme="minorBidi" w:hAnsiTheme="minorBidi"/>
          <w:rtl/>
        </w:rPr>
        <w:footnoteReference w:id="2258"/>
      </w:r>
      <w:r w:rsidRPr="00845316">
        <w:rPr>
          <w:rFonts w:asciiTheme="minorBidi" w:hAnsiTheme="minorBidi"/>
          <w:rtl/>
        </w:rPr>
        <w:t xml:space="preserve"> ואין מקבלים ממנו עדות אלא אם כן הוחזק שעוסק במצות ובגמילות חסדים ונוהג בדרכי הישרים ויש בו דרך ארץ</w:t>
      </w:r>
      <w:r w:rsidRPr="00845316">
        <w:rPr>
          <w:rStyle w:val="ab"/>
          <w:rFonts w:asciiTheme="minorBidi" w:hAnsiTheme="minorBidi"/>
          <w:rtl/>
        </w:rPr>
        <w:footnoteReference w:id="2259"/>
      </w:r>
      <w:r w:rsidRPr="00845316">
        <w:rPr>
          <w:rFonts w:asciiTheme="minorBidi" w:hAnsiTheme="minorBidi"/>
          <w:rtl/>
        </w:rPr>
        <w:t xml:space="preserve"> אף על פי שהוא עם הארץ ואינו לא במקרא ולא במשנה, נמצאת אומר כל תלמיד חכם בחזקת כשר עד שיפסל, וכל עם הארץ בחזקת שהוא פסול עד שיחזק שהולך </w:t>
      </w:r>
      <w:r w:rsidRPr="00845316">
        <w:rPr>
          <w:rStyle w:val="ab"/>
          <w:rFonts w:asciiTheme="minorBidi" w:hAnsiTheme="minorBidi"/>
          <w:rtl/>
        </w:rPr>
        <w:footnoteReference w:id="2260"/>
      </w:r>
      <w:r w:rsidRPr="00845316">
        <w:rPr>
          <w:rFonts w:asciiTheme="minorBidi" w:hAnsiTheme="minorBidi"/>
          <w:rtl/>
        </w:rPr>
        <w:t>בדרכי הישרים. וכל מי שמקבל עדות עם הארץ קודם שתהיה לו חזקה זו או קודם שיבואו עדים ויעידו שהוא נוהג במצות ובדרך ארץ הרי זה הדיוט ועתיד ליתן את הדין שהרי מאבד ממונן של ישראל על פי רשעים</w:t>
      </w:r>
      <w:r w:rsidRPr="00845316">
        <w:rPr>
          <w:rStyle w:val="ab"/>
          <w:rFonts w:asciiTheme="minorBidi" w:hAnsiTheme="minorBidi"/>
          <w:rtl/>
        </w:rPr>
        <w:footnoteReference w:id="2261"/>
      </w:r>
      <w:r w:rsidRPr="00845316">
        <w:rPr>
          <w:rFonts w:asciiTheme="minorBidi" w:hAnsiTheme="minorBidi"/>
          <w:rtl/>
        </w:rPr>
        <w:t xml:space="preserve">. </w:t>
      </w:r>
    </w:p>
    <w:p w14:paraId="50DBECA2" w14:textId="77777777" w:rsidR="004B607F" w:rsidRPr="00845316" w:rsidRDefault="004B607F" w:rsidP="004B607F">
      <w:pPr>
        <w:rPr>
          <w:rFonts w:asciiTheme="minorBidi" w:hAnsiTheme="minorBidi"/>
          <w:rtl/>
        </w:rPr>
      </w:pPr>
    </w:p>
    <w:p w14:paraId="2011EC0E" w14:textId="77777777" w:rsidR="004B607F" w:rsidRPr="00845316" w:rsidRDefault="004B607F" w:rsidP="004B607F">
      <w:pPr>
        <w:pStyle w:val="2"/>
        <w:rPr>
          <w:rFonts w:asciiTheme="minorBidi" w:hAnsiTheme="minorBidi"/>
          <w:rtl/>
        </w:rPr>
      </w:pPr>
      <w:bookmarkStart w:id="306" w:name="_Toc24883765"/>
      <w:r w:rsidRPr="00845316">
        <w:rPr>
          <w:rFonts w:asciiTheme="minorBidi" w:hAnsiTheme="minorBidi"/>
          <w:rtl/>
        </w:rPr>
        <w:t>סעיף יח: הבזויים.</w:t>
      </w:r>
      <w:bookmarkEnd w:id="306"/>
    </w:p>
    <w:p w14:paraId="6A998975" w14:textId="77777777" w:rsidR="004B607F" w:rsidRPr="00845316" w:rsidRDefault="004B607F" w:rsidP="004B607F">
      <w:pPr>
        <w:rPr>
          <w:rFonts w:asciiTheme="minorBidi" w:hAnsiTheme="minorBidi"/>
          <w:rtl/>
        </w:rPr>
      </w:pPr>
      <w:r w:rsidRPr="00845316">
        <w:rPr>
          <w:rFonts w:asciiTheme="minorBidi" w:hAnsiTheme="minorBidi"/>
          <w:b/>
          <w:bCs/>
          <w:rtl/>
        </w:rPr>
        <w:t>קדושין מ</w:t>
      </w:r>
      <w:r>
        <w:rPr>
          <w:rStyle w:val="ab"/>
          <w:rFonts w:asciiTheme="minorBidi" w:hAnsiTheme="minorBidi"/>
          <w:b/>
          <w:bCs/>
          <w:rtl/>
        </w:rPr>
        <w:footnoteReference w:id="2262"/>
      </w:r>
      <w:r w:rsidRPr="00845316">
        <w:rPr>
          <w:rFonts w:asciiTheme="minorBidi" w:hAnsiTheme="minorBidi"/>
          <w:b/>
          <w:bCs/>
          <w:rtl/>
        </w:rPr>
        <w:t xml:space="preserve"> ע"ב:</w:t>
      </w:r>
      <w:r w:rsidRPr="00845316">
        <w:rPr>
          <w:rFonts w:asciiTheme="minorBidi" w:hAnsiTheme="minorBidi"/>
          <w:rtl/>
        </w:rPr>
        <w:t xml:space="preserve"> ת"ר: האוכל בשוק הרי זה דומה לכלב, </w:t>
      </w:r>
      <w:r w:rsidRPr="00845316">
        <w:rPr>
          <w:rFonts w:asciiTheme="minorBidi" w:hAnsiTheme="minorBidi"/>
          <w:u w:val="single"/>
          <w:rtl/>
        </w:rPr>
        <w:t>ויש אומרים</w:t>
      </w:r>
      <w:r w:rsidRPr="00845316">
        <w:rPr>
          <w:rFonts w:asciiTheme="minorBidi" w:hAnsiTheme="minorBidi"/>
          <w:rtl/>
        </w:rPr>
        <w:t>: פסול לעדות</w:t>
      </w:r>
      <w:r w:rsidRPr="00845316">
        <w:rPr>
          <w:rStyle w:val="ab"/>
          <w:rFonts w:asciiTheme="minorBidi" w:hAnsiTheme="minorBidi"/>
          <w:rtl/>
        </w:rPr>
        <w:footnoteReference w:id="2263"/>
      </w:r>
      <w:r w:rsidRPr="00845316">
        <w:rPr>
          <w:rFonts w:asciiTheme="minorBidi" w:hAnsiTheme="minorBidi"/>
          <w:rtl/>
        </w:rPr>
        <w:t xml:space="preserve">. </w:t>
      </w:r>
      <w:r w:rsidRPr="00845316">
        <w:rPr>
          <w:rFonts w:asciiTheme="minorBidi" w:hAnsiTheme="minorBidi"/>
          <w:u w:val="single"/>
          <w:rtl/>
        </w:rPr>
        <w:t>אמר רב אידי בר אבין</w:t>
      </w:r>
      <w:r w:rsidRPr="00845316">
        <w:rPr>
          <w:rFonts w:asciiTheme="minorBidi" w:hAnsiTheme="minorBidi"/>
          <w:rtl/>
        </w:rPr>
        <w:t xml:space="preserve">: הלכה כיש אומרים. </w:t>
      </w:r>
    </w:p>
    <w:p w14:paraId="1F3B4C6F" w14:textId="77777777" w:rsidR="004B607F" w:rsidRPr="00845316" w:rsidRDefault="004B607F" w:rsidP="004B607F">
      <w:pPr>
        <w:rPr>
          <w:rFonts w:asciiTheme="minorBidi" w:hAnsiTheme="minorBidi"/>
          <w:rtl/>
        </w:rPr>
      </w:pPr>
      <w:r w:rsidRPr="00845316">
        <w:rPr>
          <w:rFonts w:asciiTheme="minorBidi" w:hAnsiTheme="minorBidi"/>
          <w:b/>
          <w:bCs/>
          <w:rtl/>
        </w:rPr>
        <w:t xml:space="preserve">ירושלמי </w:t>
      </w:r>
      <w:r w:rsidRPr="00845316">
        <w:rPr>
          <w:rFonts w:asciiTheme="minorBidi" w:hAnsiTheme="minorBidi"/>
          <w:b/>
          <w:bCs/>
          <w:sz w:val="16"/>
          <w:szCs w:val="16"/>
          <w:rtl/>
        </w:rPr>
        <w:t xml:space="preserve">(וילנא) </w:t>
      </w:r>
      <w:r w:rsidRPr="00845316">
        <w:rPr>
          <w:rFonts w:asciiTheme="minorBidi" w:hAnsiTheme="minorBidi"/>
          <w:b/>
          <w:bCs/>
          <w:rtl/>
        </w:rPr>
        <w:t xml:space="preserve">מעשרות פ"ג ה"ב: </w:t>
      </w:r>
      <w:r w:rsidRPr="00845316">
        <w:rPr>
          <w:rFonts w:asciiTheme="minorBidi" w:hAnsiTheme="minorBidi"/>
          <w:rtl/>
        </w:rPr>
        <w:t>אית תניי תני שאין שבחו של תלמיד חכם להיות אוכל בשוק</w:t>
      </w:r>
      <w:r>
        <w:rPr>
          <w:rFonts w:asciiTheme="minorBidi" w:hAnsiTheme="minorBidi" w:hint="cs"/>
          <w:rtl/>
        </w:rPr>
        <w:t>.</w:t>
      </w:r>
      <w:r w:rsidRPr="00845316">
        <w:rPr>
          <w:rFonts w:asciiTheme="minorBidi" w:hAnsiTheme="minorBidi"/>
          <w:rtl/>
        </w:rPr>
        <w:t xml:space="preserve"> כהדא רבי לעזר בר רבי שמעון הוה אכיל בשוקא</w:t>
      </w:r>
      <w:r>
        <w:rPr>
          <w:rFonts w:asciiTheme="minorBidi" w:hAnsiTheme="minorBidi" w:hint="cs"/>
          <w:rtl/>
        </w:rPr>
        <w:t>,</w:t>
      </w:r>
      <w:r w:rsidRPr="00845316">
        <w:rPr>
          <w:rFonts w:asciiTheme="minorBidi" w:hAnsiTheme="minorBidi"/>
          <w:rtl/>
        </w:rPr>
        <w:t xml:space="preserve"> חמתיה</w:t>
      </w:r>
      <w:r w:rsidRPr="00845316">
        <w:rPr>
          <w:rStyle w:val="ab"/>
          <w:rFonts w:asciiTheme="minorBidi" w:hAnsiTheme="minorBidi"/>
          <w:rtl/>
        </w:rPr>
        <w:footnoteReference w:id="2264"/>
      </w:r>
      <w:r w:rsidRPr="00845316">
        <w:rPr>
          <w:rFonts w:asciiTheme="minorBidi" w:hAnsiTheme="minorBidi"/>
          <w:rtl/>
        </w:rPr>
        <w:t xml:space="preserve"> רבי מאיר</w:t>
      </w:r>
      <w:r>
        <w:rPr>
          <w:rFonts w:asciiTheme="minorBidi" w:hAnsiTheme="minorBidi" w:hint="cs"/>
          <w:rtl/>
        </w:rPr>
        <w:t>,</w:t>
      </w:r>
      <w:r w:rsidRPr="00845316">
        <w:rPr>
          <w:rFonts w:asciiTheme="minorBidi" w:hAnsiTheme="minorBidi"/>
          <w:rtl/>
        </w:rPr>
        <w:t xml:space="preserve"> אמר ליה</w:t>
      </w:r>
      <w:r>
        <w:rPr>
          <w:rFonts w:asciiTheme="minorBidi" w:hAnsiTheme="minorBidi" w:hint="cs"/>
          <w:rtl/>
        </w:rPr>
        <w:t>:</w:t>
      </w:r>
      <w:r w:rsidRPr="00845316">
        <w:rPr>
          <w:rFonts w:asciiTheme="minorBidi" w:hAnsiTheme="minorBidi"/>
          <w:rtl/>
        </w:rPr>
        <w:t xml:space="preserve"> בשוקא את אכיל? ובטל גרמיה</w:t>
      </w:r>
      <w:r w:rsidRPr="00845316">
        <w:rPr>
          <w:rStyle w:val="ab"/>
          <w:rFonts w:asciiTheme="minorBidi" w:hAnsiTheme="minorBidi"/>
          <w:rtl/>
        </w:rPr>
        <w:footnoteReference w:id="2265"/>
      </w:r>
      <w:r w:rsidRPr="00845316">
        <w:rPr>
          <w:rFonts w:asciiTheme="minorBidi" w:hAnsiTheme="minorBidi"/>
          <w:rtl/>
        </w:rPr>
        <w:t>.</w:t>
      </w:r>
    </w:p>
    <w:p w14:paraId="40F00CA0" w14:textId="77777777" w:rsidR="004B607F" w:rsidRPr="00845316" w:rsidRDefault="004B607F" w:rsidP="004B607F">
      <w:pPr>
        <w:rPr>
          <w:rFonts w:asciiTheme="minorBidi" w:hAnsiTheme="minorBidi"/>
          <w:u w:val="single"/>
        </w:rPr>
      </w:pPr>
      <w:r w:rsidRPr="00845316">
        <w:rPr>
          <w:rFonts w:asciiTheme="minorBidi" w:hAnsiTheme="minorBidi"/>
          <w:u w:val="single"/>
          <w:rtl/>
        </w:rPr>
        <w:t>כיצד האוכל בשוק נפסל לעדות:</w:t>
      </w:r>
      <w:r w:rsidRPr="00845316">
        <w:rPr>
          <w:rFonts w:asciiTheme="minorBidi" w:hAnsiTheme="minorBidi"/>
          <w:rtl/>
        </w:rPr>
        <w:t xml:space="preserve"> </w:t>
      </w:r>
    </w:p>
    <w:p w14:paraId="542128D8" w14:textId="77777777" w:rsidR="004B607F" w:rsidRPr="00845316" w:rsidRDefault="004B607F" w:rsidP="004B0475">
      <w:pPr>
        <w:pStyle w:val="ac"/>
        <w:numPr>
          <w:ilvl w:val="0"/>
          <w:numId w:val="165"/>
        </w:numPr>
        <w:rPr>
          <w:rFonts w:asciiTheme="minorBidi" w:hAnsiTheme="minorBidi"/>
          <w:rtl/>
        </w:rPr>
      </w:pPr>
      <w:r w:rsidRPr="00845316">
        <w:rPr>
          <w:rFonts w:asciiTheme="minorBidi" w:hAnsiTheme="minorBidi"/>
          <w:rtl/>
        </w:rPr>
        <w:t xml:space="preserve">רמב"ם </w:t>
      </w:r>
      <w:r w:rsidRPr="00845316">
        <w:rPr>
          <w:rFonts w:asciiTheme="minorBidi" w:hAnsiTheme="minorBidi"/>
          <w:sz w:val="16"/>
          <w:szCs w:val="16"/>
          <w:rtl/>
        </w:rPr>
        <w:t>(פי"א ה"ה)</w:t>
      </w:r>
      <w:r w:rsidRPr="00845316">
        <w:rPr>
          <w:rFonts w:asciiTheme="minorBidi" w:hAnsiTheme="minorBidi"/>
          <w:rtl/>
        </w:rPr>
        <w:t>- אנשים שהולכים ואוכלין בשוק בפני כל העם</w:t>
      </w:r>
      <w:r w:rsidRPr="00845316">
        <w:rPr>
          <w:rStyle w:val="ab"/>
          <w:rFonts w:asciiTheme="minorBidi" w:hAnsiTheme="minorBidi"/>
          <w:rtl/>
        </w:rPr>
        <w:footnoteReference w:id="2266"/>
      </w:r>
      <w:r w:rsidRPr="00845316">
        <w:rPr>
          <w:rFonts w:asciiTheme="minorBidi" w:hAnsiTheme="minorBidi"/>
          <w:rtl/>
        </w:rPr>
        <w:t xml:space="preserve">. </w:t>
      </w:r>
      <w:r w:rsidRPr="00845316">
        <w:rPr>
          <w:rFonts w:asciiTheme="minorBidi" w:hAnsiTheme="minorBidi"/>
          <w:color w:val="E36C0A" w:themeColor="accent6" w:themeShade="BF"/>
          <w:rtl/>
        </w:rPr>
        <w:t>(וכ"פ בשו"ע)</w:t>
      </w:r>
    </w:p>
    <w:p w14:paraId="1728D4B1" w14:textId="77777777" w:rsidR="004B607F" w:rsidRPr="00845316" w:rsidRDefault="004B607F" w:rsidP="004B0475">
      <w:pPr>
        <w:pStyle w:val="ac"/>
        <w:numPr>
          <w:ilvl w:val="0"/>
          <w:numId w:val="165"/>
        </w:numPr>
        <w:rPr>
          <w:rFonts w:asciiTheme="minorBidi" w:hAnsiTheme="minorBidi"/>
          <w:rtl/>
        </w:rPr>
      </w:pPr>
      <w:r w:rsidRPr="00845316">
        <w:rPr>
          <w:rFonts w:asciiTheme="minorBidi" w:hAnsiTheme="minorBidi"/>
          <w:rtl/>
        </w:rPr>
        <w:t>ר"ח</w:t>
      </w:r>
      <w:r w:rsidRPr="00845316">
        <w:rPr>
          <w:rStyle w:val="ab"/>
          <w:rFonts w:asciiTheme="minorBidi" w:hAnsiTheme="minorBidi"/>
          <w:rtl/>
        </w:rPr>
        <w:footnoteReference w:id="2267"/>
      </w:r>
      <w:r w:rsidRPr="00845316">
        <w:rPr>
          <w:rFonts w:asciiTheme="minorBidi" w:hAnsiTheme="minorBidi"/>
          <w:sz w:val="16"/>
          <w:szCs w:val="16"/>
          <w:rtl/>
        </w:rPr>
        <w:t xml:space="preserve"> (הובא בתוס' ד"ה ויש)</w:t>
      </w:r>
      <w:r w:rsidRPr="00845316">
        <w:rPr>
          <w:rFonts w:asciiTheme="minorBidi" w:hAnsiTheme="minorBidi"/>
          <w:rtl/>
        </w:rPr>
        <w:t xml:space="preserve"> ומאירי- כשחוטף ואוכל</w:t>
      </w:r>
      <w:r w:rsidRPr="00845316">
        <w:rPr>
          <w:rStyle w:val="ab"/>
          <w:rFonts w:asciiTheme="minorBidi" w:hAnsiTheme="minorBidi"/>
          <w:rtl/>
        </w:rPr>
        <w:footnoteReference w:id="2268"/>
      </w:r>
      <w:r w:rsidRPr="00845316">
        <w:rPr>
          <w:rFonts w:asciiTheme="minorBidi" w:hAnsiTheme="minorBidi"/>
          <w:rtl/>
        </w:rPr>
        <w:t xml:space="preserve">. </w:t>
      </w:r>
    </w:p>
    <w:p w14:paraId="14744533" w14:textId="77777777" w:rsidR="004B607F" w:rsidRPr="00845316" w:rsidRDefault="004B607F" w:rsidP="004B0475">
      <w:pPr>
        <w:pStyle w:val="ac"/>
        <w:numPr>
          <w:ilvl w:val="0"/>
          <w:numId w:val="165"/>
        </w:numPr>
        <w:rPr>
          <w:rFonts w:asciiTheme="minorBidi" w:hAnsiTheme="minorBidi"/>
          <w:rtl/>
        </w:rPr>
      </w:pPr>
      <w:r w:rsidRPr="00845316">
        <w:rPr>
          <w:rFonts w:asciiTheme="minorBidi" w:hAnsiTheme="minorBidi"/>
          <w:rtl/>
        </w:rPr>
        <w:t>ה"ר אליהו</w:t>
      </w:r>
      <w:r w:rsidRPr="00845316">
        <w:rPr>
          <w:rFonts w:asciiTheme="minorBidi" w:hAnsiTheme="minorBidi"/>
          <w:sz w:val="16"/>
          <w:szCs w:val="16"/>
          <w:rtl/>
        </w:rPr>
        <w:t xml:space="preserve"> (הובא בתוס' ד"ה ויש)</w:t>
      </w:r>
      <w:r w:rsidRPr="00845316">
        <w:rPr>
          <w:rFonts w:asciiTheme="minorBidi" w:hAnsiTheme="minorBidi"/>
          <w:rtl/>
        </w:rPr>
        <w:t xml:space="preserve">- כגון שהולך אצל החנונים וטועם משל כולם מעט מעט כאילו רוצה לקנות מהם. </w:t>
      </w:r>
    </w:p>
    <w:p w14:paraId="4B8F6029" w14:textId="77777777" w:rsidR="004B607F" w:rsidRPr="00845316" w:rsidRDefault="004B607F" w:rsidP="004B0475">
      <w:pPr>
        <w:pStyle w:val="ac"/>
        <w:numPr>
          <w:ilvl w:val="0"/>
          <w:numId w:val="165"/>
        </w:numPr>
        <w:rPr>
          <w:rFonts w:asciiTheme="minorBidi" w:hAnsiTheme="minorBidi"/>
          <w:rtl/>
        </w:rPr>
      </w:pPr>
      <w:r w:rsidRPr="00845316">
        <w:rPr>
          <w:rFonts w:asciiTheme="minorBidi" w:hAnsiTheme="minorBidi"/>
          <w:rtl/>
        </w:rPr>
        <w:t>(ר"ת</w:t>
      </w:r>
      <w:r w:rsidRPr="00845316">
        <w:rPr>
          <w:rFonts w:asciiTheme="minorBidi" w:hAnsiTheme="minorBidi"/>
          <w:sz w:val="16"/>
          <w:szCs w:val="16"/>
          <w:rtl/>
        </w:rPr>
        <w:t xml:space="preserve"> להב' התוס'</w:t>
      </w:r>
      <w:r w:rsidRPr="00845316">
        <w:rPr>
          <w:rStyle w:val="ab"/>
          <w:rFonts w:asciiTheme="minorBidi" w:hAnsiTheme="minorBidi"/>
          <w:rtl/>
        </w:rPr>
        <w:footnoteReference w:id="2269"/>
      </w:r>
      <w:r w:rsidRPr="00845316">
        <w:rPr>
          <w:rFonts w:asciiTheme="minorBidi" w:hAnsiTheme="minorBidi"/>
          <w:rtl/>
        </w:rPr>
        <w:t xml:space="preserve">)- כשאוכל בשוק סעודת פת דגנאי יותר. </w:t>
      </w:r>
    </w:p>
    <w:p w14:paraId="5668EC4B" w14:textId="77777777" w:rsidR="004B607F" w:rsidRPr="00845316" w:rsidRDefault="004B607F" w:rsidP="004B0475">
      <w:pPr>
        <w:pStyle w:val="ac"/>
        <w:numPr>
          <w:ilvl w:val="0"/>
          <w:numId w:val="165"/>
        </w:numPr>
        <w:rPr>
          <w:rFonts w:asciiTheme="minorBidi" w:hAnsiTheme="minorBidi"/>
        </w:rPr>
      </w:pPr>
      <w:r w:rsidRPr="00845316">
        <w:rPr>
          <w:rFonts w:asciiTheme="minorBidi" w:hAnsiTheme="minorBidi"/>
          <w:rtl/>
        </w:rPr>
        <w:t>(ר"ת</w:t>
      </w:r>
      <w:r w:rsidRPr="00845316">
        <w:rPr>
          <w:rFonts w:asciiTheme="minorBidi" w:hAnsiTheme="minorBidi"/>
          <w:sz w:val="16"/>
          <w:szCs w:val="16"/>
          <w:rtl/>
        </w:rPr>
        <w:t xml:space="preserve"> להב' הרא"ש </w:t>
      </w:r>
      <w:r w:rsidRPr="00845316">
        <w:rPr>
          <w:rFonts w:asciiTheme="minorBidi" w:hAnsiTheme="minorBidi"/>
          <w:sz w:val="14"/>
          <w:szCs w:val="14"/>
          <w:rtl/>
        </w:rPr>
        <w:t>[סי' סה]</w:t>
      </w:r>
      <w:r w:rsidRPr="00845316">
        <w:rPr>
          <w:rFonts w:asciiTheme="minorBidi" w:hAnsiTheme="minorBidi"/>
          <w:rtl/>
        </w:rPr>
        <w:t>) רא"ש</w:t>
      </w:r>
      <w:r w:rsidRPr="00845316">
        <w:rPr>
          <w:rStyle w:val="ab"/>
          <w:rFonts w:asciiTheme="minorBidi" w:hAnsiTheme="minorBidi"/>
          <w:rtl/>
        </w:rPr>
        <w:footnoteReference w:id="2270"/>
      </w:r>
      <w:r w:rsidRPr="00845316">
        <w:rPr>
          <w:rFonts w:asciiTheme="minorBidi" w:hAnsiTheme="minorBidi"/>
          <w:rtl/>
        </w:rPr>
        <w:t xml:space="preserve"> וטור- כשאוכל שם סעודתו.  </w:t>
      </w:r>
    </w:p>
    <w:p w14:paraId="123DEC90" w14:textId="77777777" w:rsidR="004B607F" w:rsidRPr="00845316" w:rsidRDefault="004B607F" w:rsidP="004B607F">
      <w:pPr>
        <w:rPr>
          <w:rFonts w:asciiTheme="minorBidi" w:hAnsiTheme="minorBidi"/>
          <w:rtl/>
        </w:rPr>
      </w:pPr>
      <w:r w:rsidRPr="00845316">
        <w:rPr>
          <w:rFonts w:asciiTheme="minorBidi" w:hAnsiTheme="minorBidi"/>
          <w:b/>
          <w:bCs/>
          <w:rtl/>
        </w:rPr>
        <w:t xml:space="preserve">סנהדרין כו ע"ב: </w:t>
      </w:r>
      <w:r w:rsidRPr="00845316">
        <w:rPr>
          <w:rFonts w:asciiTheme="minorBidi" w:hAnsiTheme="minorBidi"/>
          <w:u w:val="single"/>
          <w:rtl/>
        </w:rPr>
        <w:t>אמר רב נחמן</w:t>
      </w:r>
      <w:r w:rsidRPr="00845316">
        <w:rPr>
          <w:rFonts w:asciiTheme="minorBidi" w:hAnsiTheme="minorBidi"/>
          <w:rtl/>
        </w:rPr>
        <w:t>: אוכלי דבר אחר</w:t>
      </w:r>
      <w:r w:rsidRPr="00845316">
        <w:rPr>
          <w:rStyle w:val="ab"/>
          <w:rFonts w:asciiTheme="minorBidi" w:hAnsiTheme="minorBidi"/>
          <w:rtl/>
        </w:rPr>
        <w:footnoteReference w:id="2271"/>
      </w:r>
      <w:r w:rsidRPr="00845316">
        <w:rPr>
          <w:rFonts w:asciiTheme="minorBidi" w:hAnsiTheme="minorBidi"/>
          <w:rtl/>
        </w:rPr>
        <w:t xml:space="preserve"> פסולין לעדות. הני מילי בפרהסיא, אבל בצינעה לא. ובפרהסיא נמי לא אמרן אלא דאפשר ליה לאיתזוני בצינעה וקא מבזי נפשיה בפרהסיא, אבל לא אפשר ליה - חיותיה הוא. </w:t>
      </w:r>
    </w:p>
    <w:p w14:paraId="6CA918B1" w14:textId="77777777" w:rsidR="004B607F" w:rsidRPr="00845316" w:rsidRDefault="004B607F" w:rsidP="004B607F">
      <w:pPr>
        <w:rPr>
          <w:rFonts w:asciiTheme="minorBidi" w:hAnsiTheme="minorBidi"/>
          <w:u w:val="single"/>
          <w:rtl/>
        </w:rPr>
      </w:pPr>
      <w:r w:rsidRPr="00845316">
        <w:rPr>
          <w:rFonts w:asciiTheme="minorBidi" w:hAnsiTheme="minorBidi"/>
          <w:u w:val="single"/>
          <w:rtl/>
        </w:rPr>
        <w:t>מדוע מקבלי צדקה מן הגויים נפסלים לעדות:</w:t>
      </w:r>
    </w:p>
    <w:p w14:paraId="2E2529F9" w14:textId="77777777" w:rsidR="004B607F" w:rsidRPr="00845316" w:rsidRDefault="004B607F" w:rsidP="004B0475">
      <w:pPr>
        <w:pStyle w:val="ac"/>
        <w:numPr>
          <w:ilvl w:val="0"/>
          <w:numId w:val="169"/>
        </w:numPr>
        <w:rPr>
          <w:rFonts w:asciiTheme="minorBidi" w:hAnsiTheme="minorBidi"/>
        </w:rPr>
      </w:pPr>
      <w:r w:rsidRPr="00845316">
        <w:rPr>
          <w:rFonts w:asciiTheme="minorBidi" w:hAnsiTheme="minorBidi"/>
          <w:rtl/>
        </w:rPr>
        <w:t xml:space="preserve">רמב"ם </w:t>
      </w:r>
      <w:r w:rsidRPr="00845316">
        <w:rPr>
          <w:rFonts w:asciiTheme="minorBidi" w:hAnsiTheme="minorBidi"/>
          <w:sz w:val="16"/>
          <w:szCs w:val="16"/>
          <w:rtl/>
        </w:rPr>
        <w:t>(פי"א ה"ה)</w:t>
      </w:r>
      <w:r w:rsidRPr="00845316">
        <w:rPr>
          <w:rFonts w:asciiTheme="minorBidi" w:hAnsiTheme="minorBidi"/>
          <w:rtl/>
        </w:rPr>
        <w:t xml:space="preserve">- משום שמבזים עצמם ואינם חוששים. </w:t>
      </w:r>
      <w:r w:rsidRPr="00845316">
        <w:rPr>
          <w:rFonts w:asciiTheme="minorBidi" w:hAnsiTheme="minorBidi"/>
          <w:color w:val="E36C0A" w:themeColor="accent6" w:themeShade="BF"/>
          <w:rtl/>
        </w:rPr>
        <w:t>(וכ"כ השו"ע)</w:t>
      </w:r>
    </w:p>
    <w:p w14:paraId="62C8100B" w14:textId="77777777" w:rsidR="004B607F" w:rsidRPr="00845316" w:rsidRDefault="004B607F" w:rsidP="004B0475">
      <w:pPr>
        <w:pStyle w:val="ac"/>
        <w:numPr>
          <w:ilvl w:val="0"/>
          <w:numId w:val="169"/>
        </w:numPr>
        <w:rPr>
          <w:rFonts w:asciiTheme="minorBidi" w:hAnsiTheme="minorBidi"/>
        </w:rPr>
      </w:pPr>
      <w:r w:rsidRPr="00845316">
        <w:rPr>
          <w:rFonts w:asciiTheme="minorBidi" w:hAnsiTheme="minorBidi"/>
          <w:rtl/>
        </w:rPr>
        <w:t>רש"י</w:t>
      </w:r>
      <w:r w:rsidRPr="00845316">
        <w:rPr>
          <w:rFonts w:asciiTheme="minorBidi" w:hAnsiTheme="minorBidi"/>
          <w:sz w:val="16"/>
          <w:szCs w:val="16"/>
          <w:rtl/>
        </w:rPr>
        <w:t xml:space="preserve"> (ד"ה אוכלי דבר אחר)</w:t>
      </w:r>
      <w:r w:rsidRPr="00845316">
        <w:rPr>
          <w:rFonts w:asciiTheme="minorBidi" w:hAnsiTheme="minorBidi"/>
          <w:rtl/>
        </w:rPr>
        <w:t xml:space="preserve">- דהוי חילול השם מחמת ממון, והוה ליה כרשע דחמס. </w:t>
      </w:r>
    </w:p>
    <w:p w14:paraId="301C66FD" w14:textId="77777777" w:rsidR="004B607F" w:rsidRPr="00845316" w:rsidRDefault="004B607F" w:rsidP="004B0475">
      <w:pPr>
        <w:pStyle w:val="ac"/>
        <w:numPr>
          <w:ilvl w:val="0"/>
          <w:numId w:val="169"/>
        </w:numPr>
        <w:rPr>
          <w:rFonts w:asciiTheme="minorBidi" w:hAnsiTheme="minorBidi"/>
        </w:rPr>
      </w:pPr>
      <w:r w:rsidRPr="00845316">
        <w:rPr>
          <w:rFonts w:asciiTheme="minorBidi" w:hAnsiTheme="minorBidi"/>
          <w:rtl/>
        </w:rPr>
        <w:t xml:space="preserve">מהרי"ח ואו"ז </w:t>
      </w:r>
      <w:r w:rsidRPr="00845316">
        <w:rPr>
          <w:rFonts w:asciiTheme="minorBidi" w:hAnsiTheme="minorBidi"/>
          <w:sz w:val="16"/>
          <w:szCs w:val="16"/>
          <w:rtl/>
        </w:rPr>
        <w:t>(הביאם ההג"א פ"ג סי"ב)</w:t>
      </w:r>
      <w:r w:rsidRPr="00845316">
        <w:rPr>
          <w:rFonts w:asciiTheme="minorBidi" w:hAnsiTheme="minorBidi"/>
          <w:rtl/>
        </w:rPr>
        <w:t>- דדבר שאין הגון הוא</w:t>
      </w:r>
      <w:r>
        <w:rPr>
          <w:rFonts w:asciiTheme="minorBidi" w:hAnsiTheme="minorBidi" w:hint="cs"/>
          <w:rtl/>
        </w:rPr>
        <w:t>,</w:t>
      </w:r>
      <w:r w:rsidRPr="00845316">
        <w:rPr>
          <w:rFonts w:asciiTheme="minorBidi" w:hAnsiTheme="minorBidi"/>
          <w:rtl/>
        </w:rPr>
        <w:t xml:space="preserve"> ומכיון דחציף כולי האי יקבל נמי שכר להעיד שקר.</w:t>
      </w:r>
    </w:p>
    <w:p w14:paraId="4CA7CE74" w14:textId="77777777" w:rsidR="004B607F" w:rsidRPr="00845316" w:rsidRDefault="004B607F" w:rsidP="004B607F">
      <w:pPr>
        <w:rPr>
          <w:rFonts w:asciiTheme="minorBidi" w:hAnsiTheme="minorBidi"/>
          <w:rtl/>
        </w:rPr>
      </w:pPr>
      <w:r w:rsidRPr="00845316">
        <w:rPr>
          <w:rFonts w:asciiTheme="minorBidi" w:hAnsiTheme="minorBidi"/>
          <w:b/>
          <w:bCs/>
          <w:rtl/>
        </w:rPr>
        <w:t>סנהדרין כז</w:t>
      </w:r>
      <w:r>
        <w:rPr>
          <w:rStyle w:val="ab"/>
          <w:rFonts w:asciiTheme="minorBidi" w:hAnsiTheme="minorBidi"/>
          <w:b/>
          <w:bCs/>
          <w:rtl/>
        </w:rPr>
        <w:footnoteReference w:id="2272"/>
      </w:r>
      <w:r w:rsidRPr="00845316">
        <w:rPr>
          <w:rFonts w:asciiTheme="minorBidi" w:hAnsiTheme="minorBidi"/>
          <w:b/>
          <w:bCs/>
          <w:rtl/>
        </w:rPr>
        <w:t xml:space="preserve"> ע"א: </w:t>
      </w:r>
      <w:r w:rsidRPr="00845316">
        <w:rPr>
          <w:rFonts w:asciiTheme="minorBidi" w:hAnsiTheme="minorBidi"/>
          <w:rtl/>
        </w:rPr>
        <w:t xml:space="preserve">בר חמא קטל נפשא, </w:t>
      </w:r>
      <w:r w:rsidRPr="00845316">
        <w:rPr>
          <w:rFonts w:asciiTheme="minorBidi" w:hAnsiTheme="minorBidi"/>
          <w:u w:val="single"/>
          <w:rtl/>
        </w:rPr>
        <w:t>אמר ליה ריש גלותא לרב אבא בר יעקב</w:t>
      </w:r>
      <w:r w:rsidRPr="00845316">
        <w:rPr>
          <w:rFonts w:asciiTheme="minorBidi" w:hAnsiTheme="minorBidi"/>
          <w:rtl/>
        </w:rPr>
        <w:t>: פוק עיין בה, אי ודאי קטל - ליכהיוהו לעיניה. אתו תרי סהדי אסהידו ביה דודאי קטל. אזל איהו אייתי תרי סהדי, אסהידו ביה בחד מהנך, חד אמר: קמאי דידי גנב קבא דחושלא, וחד אמר: קמאי דידי גנב קתא דבורטיא. אמר ליה: מאי דעתיך - כרבי מאיר</w:t>
      </w:r>
      <w:r w:rsidRPr="00845316">
        <w:rPr>
          <w:rStyle w:val="ab"/>
          <w:rFonts w:asciiTheme="minorBidi" w:hAnsiTheme="minorBidi"/>
          <w:rtl/>
        </w:rPr>
        <w:footnoteReference w:id="2273"/>
      </w:r>
      <w:r w:rsidRPr="00845316">
        <w:rPr>
          <w:rFonts w:asciiTheme="minorBidi" w:hAnsiTheme="minorBidi"/>
          <w:rtl/>
        </w:rPr>
        <w:t xml:space="preserve">? רבי מאיר ורבי יוסי הלכה כרבי יוסי, ורבי יוסי האמר: הוזם בדיני ממונות - כשר לדיני נפשות! </w:t>
      </w:r>
      <w:r w:rsidRPr="00845316">
        <w:rPr>
          <w:rFonts w:asciiTheme="minorBidi" w:hAnsiTheme="minorBidi"/>
          <w:u w:val="single"/>
          <w:rtl/>
        </w:rPr>
        <w:t>אמר ליה רב פפי</w:t>
      </w:r>
      <w:r w:rsidRPr="00845316">
        <w:rPr>
          <w:rFonts w:asciiTheme="minorBidi" w:hAnsiTheme="minorBidi"/>
          <w:rtl/>
        </w:rPr>
        <w:t>: הני מילי - היכא דלא סתם לן תנא כרבי מאיר, הכא סתם לן תנא כרבי מאיר... קם בר חמא נשקיה אכרעיה</w:t>
      </w:r>
      <w:r w:rsidRPr="00845316">
        <w:rPr>
          <w:rStyle w:val="ab"/>
          <w:rFonts w:asciiTheme="minorBidi" w:hAnsiTheme="minorBidi"/>
          <w:rtl/>
        </w:rPr>
        <w:footnoteReference w:id="2274"/>
      </w:r>
      <w:r w:rsidRPr="00845316">
        <w:rPr>
          <w:rFonts w:asciiTheme="minorBidi" w:hAnsiTheme="minorBidi"/>
          <w:rtl/>
        </w:rPr>
        <w:t xml:space="preserve">, וקבליה לכרגיה </w:t>
      </w:r>
      <w:r w:rsidRPr="00845316">
        <w:rPr>
          <w:rFonts w:asciiTheme="minorBidi" w:hAnsiTheme="minorBidi"/>
          <w:rtl/>
        </w:rPr>
        <w:lastRenderedPageBreak/>
        <w:t>דכולי שניה</w:t>
      </w:r>
      <w:r w:rsidRPr="00845316">
        <w:rPr>
          <w:rStyle w:val="ab"/>
          <w:rFonts w:asciiTheme="minorBidi" w:hAnsiTheme="minorBidi"/>
          <w:rtl/>
        </w:rPr>
        <w:footnoteReference w:id="2275"/>
      </w:r>
      <w:r w:rsidRPr="00845316">
        <w:rPr>
          <w:rFonts w:asciiTheme="minorBidi" w:hAnsiTheme="minorBidi"/>
          <w:rtl/>
        </w:rPr>
        <w:t xml:space="preserve">. </w:t>
      </w:r>
      <w:r w:rsidRPr="00845316">
        <w:rPr>
          <w:rFonts w:asciiTheme="minorBidi" w:hAnsiTheme="minorBidi"/>
          <w:sz w:val="16"/>
          <w:szCs w:val="16"/>
          <w:rtl/>
        </w:rPr>
        <w:t>(וכ' הרא"ש דדוקא פטירה ממס שרי לקבל, משום דבלאו הכי הוה רב פפא פטור ממס כדין ת"ח, אבל כסף/מתנה ממש אסור</w:t>
      </w:r>
      <w:r w:rsidRPr="00845316">
        <w:rPr>
          <w:rStyle w:val="ab"/>
          <w:rFonts w:asciiTheme="minorBidi" w:hAnsiTheme="minorBidi"/>
          <w:sz w:val="16"/>
          <w:szCs w:val="16"/>
          <w:rtl/>
        </w:rPr>
        <w:footnoteReference w:id="2276"/>
      </w:r>
      <w:r w:rsidRPr="00845316">
        <w:rPr>
          <w:rFonts w:asciiTheme="minorBidi" w:hAnsiTheme="minorBidi"/>
          <w:sz w:val="16"/>
          <w:szCs w:val="16"/>
          <w:rtl/>
        </w:rPr>
        <w:t xml:space="preserve">. </w:t>
      </w:r>
      <w:r w:rsidRPr="00845316">
        <w:rPr>
          <w:rFonts w:asciiTheme="minorBidi" w:hAnsiTheme="minorBidi"/>
          <w:color w:val="00B0F0"/>
          <w:sz w:val="16"/>
          <w:szCs w:val="16"/>
          <w:rtl/>
        </w:rPr>
        <w:t>וכ"פ הרמ"א</w:t>
      </w:r>
      <w:r w:rsidRPr="00845316">
        <w:rPr>
          <w:rFonts w:asciiTheme="minorBidi" w:hAnsiTheme="minorBidi"/>
          <w:sz w:val="16"/>
          <w:szCs w:val="16"/>
          <w:rtl/>
        </w:rPr>
        <w:t>)</w:t>
      </w:r>
    </w:p>
    <w:p w14:paraId="5CA80A1C" w14:textId="77777777" w:rsidR="004B607F" w:rsidRPr="00845316" w:rsidRDefault="004B607F" w:rsidP="004B607F">
      <w:pPr>
        <w:rPr>
          <w:rFonts w:asciiTheme="minorBidi" w:hAnsiTheme="minorBidi"/>
        </w:rPr>
      </w:pPr>
      <w:r w:rsidRPr="00845316">
        <w:rPr>
          <w:rFonts w:asciiTheme="minorBidi" w:hAnsiTheme="minorBidi"/>
          <w:b/>
          <w:bCs/>
          <w:rtl/>
        </w:rPr>
        <w:t>יבמות סג</w:t>
      </w:r>
      <w:r>
        <w:rPr>
          <w:rStyle w:val="ab"/>
          <w:rFonts w:asciiTheme="minorBidi" w:hAnsiTheme="minorBidi"/>
          <w:b/>
          <w:bCs/>
          <w:rtl/>
        </w:rPr>
        <w:footnoteReference w:id="2277"/>
      </w:r>
      <w:r w:rsidRPr="00845316">
        <w:rPr>
          <w:rFonts w:asciiTheme="minorBidi" w:hAnsiTheme="minorBidi"/>
          <w:b/>
          <w:bCs/>
          <w:rtl/>
        </w:rPr>
        <w:t xml:space="preserve"> ע"ב: </w:t>
      </w:r>
      <w:r w:rsidRPr="00F8778A">
        <w:rPr>
          <w:rFonts w:asciiTheme="minorBidi" w:hAnsiTheme="minorBidi" w:hint="cs"/>
          <w:u w:val="single"/>
          <w:rtl/>
        </w:rPr>
        <w:t>רבי אליעזר אומר</w:t>
      </w:r>
      <w:r>
        <w:rPr>
          <w:rFonts w:asciiTheme="minorBidi" w:hAnsiTheme="minorBidi" w:hint="cs"/>
          <w:rtl/>
        </w:rPr>
        <w:t xml:space="preserve">:... </w:t>
      </w:r>
      <w:r w:rsidRPr="00845316">
        <w:rPr>
          <w:rFonts w:asciiTheme="minorBidi" w:hAnsiTheme="minorBidi"/>
          <w:rtl/>
        </w:rPr>
        <w:t>אמר נבל בלבו אין אלהים וגו'</w:t>
      </w:r>
      <w:r>
        <w:rPr>
          <w:rFonts w:asciiTheme="minorBidi" w:hAnsiTheme="minorBidi" w:hint="cs"/>
          <w:rtl/>
        </w:rPr>
        <w:t>,</w:t>
      </w:r>
      <w:r w:rsidRPr="00845316">
        <w:rPr>
          <w:rFonts w:asciiTheme="minorBidi" w:hAnsiTheme="minorBidi"/>
          <w:rtl/>
        </w:rPr>
        <w:t xml:space="preserve"> במתניתא תנא: אלו אנשי ברבריא ואנשי מרטנאי שמהלכין ערומים בשוק, שאין לך משוקץ ומתועב לפני המקום יותר ממי שמהלך בשוק ערום.</w:t>
      </w:r>
    </w:p>
    <w:p w14:paraId="3598C970" w14:textId="77777777" w:rsidR="004B607F" w:rsidRPr="00845316" w:rsidRDefault="004B607F" w:rsidP="004B607F">
      <w:pPr>
        <w:jc w:val="both"/>
        <w:rPr>
          <w:rFonts w:asciiTheme="minorBidi" w:hAnsiTheme="minorBidi"/>
          <w:rtl/>
        </w:rPr>
      </w:pPr>
      <w:r w:rsidRPr="00845316">
        <w:rPr>
          <w:rFonts w:asciiTheme="minorBidi" w:hAnsiTheme="minorBidi"/>
          <w:b/>
          <w:bCs/>
          <w:sz w:val="32"/>
          <w:szCs w:val="28"/>
          <w:u w:val="single"/>
          <w:rtl/>
        </w:rPr>
        <w:t xml:space="preserve">שו"ע: </w:t>
      </w:r>
    </w:p>
    <w:p w14:paraId="41748B6E" w14:textId="77777777" w:rsidR="004B607F" w:rsidRPr="00845316" w:rsidRDefault="004B607F" w:rsidP="004B607F">
      <w:pPr>
        <w:rPr>
          <w:rFonts w:asciiTheme="minorBidi" w:hAnsiTheme="minorBidi"/>
          <w:rtl/>
        </w:rPr>
      </w:pPr>
      <w:r w:rsidRPr="00845316">
        <w:rPr>
          <w:rFonts w:asciiTheme="minorBidi" w:hAnsiTheme="minorBidi"/>
          <w:rtl/>
        </w:rPr>
        <w:t>הבזויים פסולים לעדות מדבריהם, והם האנשים שהולכים ואוכלים בשוק בפני כל העם, וכגון אלו שהולכים ערומים בשוק בעת שהם עסוקים במלאכה מנוולת, וכיוצא באלו שאין מקפידים על הבושת</w:t>
      </w:r>
      <w:r>
        <w:rPr>
          <w:rFonts w:asciiTheme="minorBidi" w:hAnsiTheme="minorBidi" w:hint="cs"/>
          <w:rtl/>
        </w:rPr>
        <w:t>,</w:t>
      </w:r>
      <w:r w:rsidRPr="00845316">
        <w:rPr>
          <w:rFonts w:asciiTheme="minorBidi" w:hAnsiTheme="minorBidi"/>
          <w:rtl/>
        </w:rPr>
        <w:t xml:space="preserve"> שכל אלו חשובים ככלב ואין מקפידים על עדות שקר. ומכלל אלו המקבלים צדקה מהגויים בפרהסיא אף על פי שאפשר להם שיזונו בצנעא מבזים עצמם ואינם חוששים</w:t>
      </w:r>
      <w:r>
        <w:rPr>
          <w:rFonts w:asciiTheme="minorBidi" w:hAnsiTheme="minorBidi" w:hint="cs"/>
          <w:rtl/>
        </w:rPr>
        <w:t>.</w:t>
      </w:r>
      <w:r w:rsidRPr="00845316">
        <w:rPr>
          <w:rFonts w:asciiTheme="minorBidi" w:hAnsiTheme="minorBidi"/>
          <w:rtl/>
        </w:rPr>
        <w:t xml:space="preserve"> כל אלו פסולים מדבריהם. </w:t>
      </w:r>
      <w:r w:rsidRPr="00845316">
        <w:rPr>
          <w:rFonts w:asciiTheme="minorBidi" w:hAnsiTheme="minorBidi"/>
          <w:sz w:val="18"/>
          <w:szCs w:val="18"/>
          <w:rtl/>
        </w:rPr>
        <w:t>הגה: כל מי שנוטל שכר להעיד עדותו בטלה</w:t>
      </w:r>
      <w:r w:rsidRPr="00845316">
        <w:rPr>
          <w:rStyle w:val="ab"/>
          <w:rFonts w:asciiTheme="minorBidi" w:hAnsiTheme="minorBidi"/>
          <w:sz w:val="18"/>
          <w:szCs w:val="18"/>
          <w:rtl/>
        </w:rPr>
        <w:footnoteReference w:id="2278"/>
      </w:r>
      <w:r w:rsidRPr="00845316">
        <w:rPr>
          <w:rFonts w:asciiTheme="minorBidi" w:hAnsiTheme="minorBidi"/>
          <w:sz w:val="18"/>
          <w:szCs w:val="18"/>
          <w:rtl/>
        </w:rPr>
        <w:t xml:space="preserve"> כמו הנוטל שכר לדון כמו שנתבאר לעיל סי' ט סע"ה</w:t>
      </w:r>
      <w:r w:rsidRPr="00845316">
        <w:rPr>
          <w:rStyle w:val="ab"/>
          <w:rFonts w:asciiTheme="minorBidi" w:hAnsiTheme="minorBidi"/>
          <w:sz w:val="18"/>
          <w:szCs w:val="18"/>
          <w:rtl/>
        </w:rPr>
        <w:footnoteReference w:id="2279"/>
      </w:r>
      <w:r w:rsidRPr="00845316">
        <w:rPr>
          <w:rFonts w:asciiTheme="minorBidi" w:hAnsiTheme="minorBidi"/>
          <w:sz w:val="18"/>
          <w:szCs w:val="18"/>
          <w:rtl/>
        </w:rPr>
        <w:t>, ואינן צריכים הכרזה אלא הדין והעדות בטל מעצמו</w:t>
      </w:r>
      <w:r w:rsidRPr="00845316">
        <w:rPr>
          <w:rStyle w:val="ab"/>
          <w:rFonts w:asciiTheme="minorBidi" w:hAnsiTheme="minorBidi"/>
          <w:sz w:val="18"/>
          <w:szCs w:val="18"/>
          <w:rtl/>
        </w:rPr>
        <w:footnoteReference w:id="2280"/>
      </w:r>
      <w:r w:rsidRPr="00845316">
        <w:rPr>
          <w:rFonts w:asciiTheme="minorBidi" w:hAnsiTheme="minorBidi"/>
          <w:sz w:val="18"/>
          <w:szCs w:val="18"/>
          <w:rtl/>
        </w:rPr>
        <w:t xml:space="preserve">. ואם החזיר הממון דינו ועדותיו קיימים שאין זה כשאר פסולים שצריכין הכרזה ותשובה אלא קנס קנסוהו חכמים שיתבטלו מעשיו כל זמן שנוטל שכר </w:t>
      </w:r>
      <w:r w:rsidRPr="00845316">
        <w:rPr>
          <w:rFonts w:asciiTheme="minorBidi" w:hAnsiTheme="minorBidi"/>
          <w:sz w:val="14"/>
          <w:szCs w:val="14"/>
          <w:rtl/>
        </w:rPr>
        <w:t>(ר"ן)</w:t>
      </w:r>
      <w:r w:rsidRPr="00845316">
        <w:rPr>
          <w:rFonts w:asciiTheme="minorBidi" w:hAnsiTheme="minorBidi"/>
          <w:sz w:val="18"/>
          <w:szCs w:val="18"/>
          <w:rtl/>
        </w:rPr>
        <w:t>. וכל זה בעדים שכבר ראו המעשה ומחוייבים להעיד כמו שאדם מחוייב לדון בין אדם לחבירו, אבל מי שאינו מחויב להעיד ונוטל שכר לילך ולראות הענין שיהיה עד מותר</w:t>
      </w:r>
      <w:r w:rsidRPr="00845316">
        <w:rPr>
          <w:rStyle w:val="ab"/>
          <w:rFonts w:asciiTheme="minorBidi" w:hAnsiTheme="minorBidi"/>
          <w:sz w:val="18"/>
          <w:szCs w:val="18"/>
          <w:rtl/>
        </w:rPr>
        <w:footnoteReference w:id="2281"/>
      </w:r>
      <w:r w:rsidRPr="00845316">
        <w:rPr>
          <w:rFonts w:asciiTheme="minorBidi" w:hAnsiTheme="minorBidi"/>
          <w:sz w:val="18"/>
          <w:szCs w:val="18"/>
          <w:rtl/>
        </w:rPr>
        <w:t xml:space="preserve"> </w:t>
      </w:r>
      <w:r w:rsidRPr="00845316">
        <w:rPr>
          <w:rFonts w:asciiTheme="minorBidi" w:hAnsiTheme="minorBidi"/>
          <w:sz w:val="14"/>
          <w:szCs w:val="14"/>
          <w:rtl/>
        </w:rPr>
        <w:t>(ב"י סי' כח בשם רשב"א)</w:t>
      </w:r>
      <w:r w:rsidRPr="00845316">
        <w:rPr>
          <w:rFonts w:asciiTheme="minorBidi" w:hAnsiTheme="minorBidi"/>
          <w:sz w:val="18"/>
          <w:szCs w:val="18"/>
          <w:rtl/>
        </w:rPr>
        <w:t>. דיין שדן כבר ובא הבעל דין ליתן לו מתנה על שהפך בזכותו אסור לו לקבל</w:t>
      </w:r>
      <w:r w:rsidRPr="00845316">
        <w:rPr>
          <w:rStyle w:val="ab"/>
          <w:rFonts w:asciiTheme="minorBidi" w:hAnsiTheme="minorBidi"/>
          <w:sz w:val="18"/>
          <w:szCs w:val="18"/>
          <w:rtl/>
        </w:rPr>
        <w:footnoteReference w:id="2282"/>
      </w:r>
      <w:r w:rsidRPr="00845316">
        <w:rPr>
          <w:rFonts w:asciiTheme="minorBidi" w:hAnsiTheme="minorBidi"/>
          <w:sz w:val="18"/>
          <w:szCs w:val="18"/>
          <w:rtl/>
        </w:rPr>
        <w:t xml:space="preserve"> </w:t>
      </w:r>
      <w:r w:rsidRPr="00845316">
        <w:rPr>
          <w:rFonts w:asciiTheme="minorBidi" w:hAnsiTheme="minorBidi"/>
          <w:sz w:val="14"/>
          <w:szCs w:val="14"/>
          <w:rtl/>
        </w:rPr>
        <w:t>(כ"מ מאשירי)</w:t>
      </w:r>
      <w:r w:rsidRPr="00845316">
        <w:rPr>
          <w:rFonts w:asciiTheme="minorBidi" w:hAnsiTheme="minorBidi"/>
          <w:sz w:val="18"/>
          <w:szCs w:val="18"/>
          <w:rtl/>
        </w:rPr>
        <w:t>. כל מה שאדם מעיד לסיבת יסורין ויראה אין בו ממש</w:t>
      </w:r>
      <w:r w:rsidRPr="00845316">
        <w:rPr>
          <w:rStyle w:val="ab"/>
          <w:rFonts w:asciiTheme="minorBidi" w:hAnsiTheme="minorBidi"/>
          <w:sz w:val="18"/>
          <w:szCs w:val="18"/>
          <w:rtl/>
        </w:rPr>
        <w:footnoteReference w:id="2283"/>
      </w:r>
      <w:r>
        <w:rPr>
          <w:rFonts w:asciiTheme="minorBidi" w:hAnsiTheme="minorBidi" w:hint="cs"/>
          <w:sz w:val="16"/>
          <w:szCs w:val="16"/>
          <w:rtl/>
        </w:rPr>
        <w:t xml:space="preserve"> </w:t>
      </w:r>
      <w:r w:rsidRPr="00E92409">
        <w:rPr>
          <w:rFonts w:asciiTheme="minorBidi" w:hAnsiTheme="minorBidi" w:hint="cs"/>
          <w:sz w:val="14"/>
          <w:szCs w:val="14"/>
          <w:rtl/>
        </w:rPr>
        <w:t>(מהרי"ק)</w:t>
      </w:r>
      <w:r w:rsidRPr="00845316">
        <w:rPr>
          <w:rFonts w:asciiTheme="minorBidi" w:hAnsiTheme="minorBidi"/>
          <w:sz w:val="18"/>
          <w:szCs w:val="18"/>
          <w:rtl/>
        </w:rPr>
        <w:t xml:space="preserve">. </w:t>
      </w:r>
    </w:p>
    <w:p w14:paraId="2F15C837" w14:textId="77777777" w:rsidR="004B607F" w:rsidRPr="00845316" w:rsidRDefault="004B607F" w:rsidP="004B607F">
      <w:pPr>
        <w:rPr>
          <w:rFonts w:asciiTheme="minorBidi" w:hAnsiTheme="minorBidi"/>
          <w:rtl/>
        </w:rPr>
      </w:pPr>
      <w:r w:rsidRPr="00845316">
        <w:rPr>
          <w:rFonts w:asciiTheme="minorBidi" w:hAnsiTheme="minorBidi"/>
          <w:u w:val="single"/>
          <w:rtl/>
        </w:rPr>
        <w:t>עד שהעיד בשכר ולאחמ"כ החזיר את הממון האם הוא צריך להעיד מחדש או שהעדות כשרה למפרע</w:t>
      </w:r>
      <w:r w:rsidRPr="00845316">
        <w:rPr>
          <w:rStyle w:val="ab"/>
          <w:rFonts w:asciiTheme="minorBidi" w:hAnsiTheme="minorBidi"/>
          <w:u w:val="single"/>
          <w:rtl/>
        </w:rPr>
        <w:footnoteReference w:id="2284"/>
      </w:r>
      <w:r w:rsidRPr="00845316">
        <w:rPr>
          <w:rFonts w:asciiTheme="minorBidi" w:hAnsiTheme="minorBidi"/>
          <w:u w:val="single"/>
          <w:rtl/>
        </w:rPr>
        <w:t>:</w:t>
      </w:r>
      <w:r w:rsidRPr="00845316">
        <w:rPr>
          <w:rFonts w:asciiTheme="minorBidi" w:hAnsiTheme="minorBidi"/>
          <w:rtl/>
        </w:rPr>
        <w:t xml:space="preserve"> </w:t>
      </w:r>
      <w:r w:rsidRPr="00845316">
        <w:rPr>
          <w:rFonts w:asciiTheme="minorBidi" w:hAnsiTheme="minorBidi"/>
          <w:sz w:val="16"/>
          <w:szCs w:val="16"/>
          <w:rtl/>
        </w:rPr>
        <w:t>(פת"ש סקכ"ו)</w:t>
      </w:r>
    </w:p>
    <w:p w14:paraId="71AEA3DE" w14:textId="77777777" w:rsidR="004B607F" w:rsidRPr="00845316" w:rsidRDefault="004B607F" w:rsidP="004B0475">
      <w:pPr>
        <w:pStyle w:val="ac"/>
        <w:numPr>
          <w:ilvl w:val="0"/>
          <w:numId w:val="167"/>
        </w:numPr>
        <w:rPr>
          <w:rFonts w:asciiTheme="minorBidi" w:hAnsiTheme="minorBidi"/>
          <w:rtl/>
        </w:rPr>
      </w:pPr>
      <w:r w:rsidRPr="00845316">
        <w:rPr>
          <w:rFonts w:asciiTheme="minorBidi" w:hAnsiTheme="minorBidi"/>
          <w:rtl/>
        </w:rPr>
        <w:t xml:space="preserve">רמב"ן ר"ן </w:t>
      </w:r>
      <w:r w:rsidRPr="00845316">
        <w:rPr>
          <w:rFonts w:asciiTheme="minorBidi" w:hAnsiTheme="minorBidi"/>
          <w:sz w:val="16"/>
          <w:szCs w:val="16"/>
          <w:rtl/>
        </w:rPr>
        <w:t xml:space="preserve">(קדושין כג.) </w:t>
      </w:r>
      <w:r w:rsidRPr="00845316">
        <w:rPr>
          <w:rFonts w:asciiTheme="minorBidi" w:hAnsiTheme="minorBidi"/>
          <w:rtl/>
        </w:rPr>
        <w:t>ופת"ש- צריך להעיד מחדש.</w:t>
      </w:r>
    </w:p>
    <w:p w14:paraId="53D17D33" w14:textId="77777777" w:rsidR="004B607F" w:rsidRPr="00845316" w:rsidRDefault="004B607F" w:rsidP="004B0475">
      <w:pPr>
        <w:pStyle w:val="ac"/>
        <w:numPr>
          <w:ilvl w:val="0"/>
          <w:numId w:val="167"/>
        </w:numPr>
        <w:rPr>
          <w:rFonts w:asciiTheme="minorBidi" w:hAnsiTheme="minorBidi"/>
        </w:rPr>
      </w:pPr>
      <w:r w:rsidRPr="00845316">
        <w:rPr>
          <w:rFonts w:asciiTheme="minorBidi" w:hAnsiTheme="minorBidi"/>
          <w:rtl/>
        </w:rPr>
        <w:t xml:space="preserve">נו"ב </w:t>
      </w:r>
      <w:r w:rsidRPr="00845316">
        <w:rPr>
          <w:rFonts w:asciiTheme="minorBidi" w:hAnsiTheme="minorBidi"/>
          <w:sz w:val="16"/>
          <w:szCs w:val="16"/>
          <w:rtl/>
        </w:rPr>
        <w:t>(אהע"ז סי' כז)</w:t>
      </w:r>
      <w:r w:rsidRPr="00845316">
        <w:rPr>
          <w:rFonts w:asciiTheme="minorBidi" w:hAnsiTheme="minorBidi"/>
          <w:rtl/>
        </w:rPr>
        <w:t xml:space="preserve">- הנוטל שכר להעיד </w:t>
      </w:r>
      <w:r>
        <w:rPr>
          <w:rFonts w:asciiTheme="minorBidi" w:hAnsiTheme="minorBidi" w:hint="cs"/>
          <w:rtl/>
        </w:rPr>
        <w:t xml:space="preserve">- </w:t>
      </w:r>
      <w:r w:rsidRPr="00845316">
        <w:rPr>
          <w:rFonts w:asciiTheme="minorBidi" w:hAnsiTheme="minorBidi"/>
          <w:rtl/>
        </w:rPr>
        <w:t xml:space="preserve">תיכף כשהחזיר השכירות עדותו כשרה ואין צריך אפילו להעיד מחדש. </w:t>
      </w:r>
    </w:p>
    <w:p w14:paraId="26BCE99E" w14:textId="77777777" w:rsidR="004B607F" w:rsidRPr="00845316" w:rsidRDefault="004B607F" w:rsidP="004B607F">
      <w:pPr>
        <w:rPr>
          <w:rFonts w:asciiTheme="minorBidi" w:hAnsiTheme="minorBidi"/>
          <w:color w:val="FF0000"/>
          <w:u w:val="single"/>
          <w:rtl/>
        </w:rPr>
      </w:pPr>
      <w:r w:rsidRPr="00845316">
        <w:rPr>
          <w:rFonts w:asciiTheme="minorBidi" w:hAnsiTheme="minorBidi"/>
          <w:u w:val="single"/>
          <w:rtl/>
        </w:rPr>
        <w:t>אדם שנטל שכר להעיד</w:t>
      </w:r>
      <w:r>
        <w:rPr>
          <w:rFonts w:asciiTheme="minorBidi" w:hAnsiTheme="minorBidi" w:hint="cs"/>
          <w:u w:val="single"/>
          <w:rtl/>
        </w:rPr>
        <w:t xml:space="preserve">/לדון </w:t>
      </w:r>
      <w:r w:rsidRPr="00845316">
        <w:rPr>
          <w:rFonts w:asciiTheme="minorBidi" w:hAnsiTheme="minorBidi"/>
          <w:u w:val="single"/>
          <w:rtl/>
        </w:rPr>
        <w:t xml:space="preserve">- האם </w:t>
      </w:r>
      <w:r>
        <w:rPr>
          <w:rFonts w:asciiTheme="minorBidi" w:hAnsiTheme="minorBidi" w:hint="cs"/>
          <w:u w:val="single"/>
          <w:rtl/>
        </w:rPr>
        <w:t>חייב</w:t>
      </w:r>
      <w:r w:rsidRPr="00845316">
        <w:rPr>
          <w:rFonts w:asciiTheme="minorBidi" w:hAnsiTheme="minorBidi"/>
          <w:u w:val="single"/>
          <w:rtl/>
        </w:rPr>
        <w:t xml:space="preserve"> להחזיר את השכר:</w:t>
      </w:r>
      <w:r w:rsidRPr="00845316">
        <w:rPr>
          <w:rFonts w:asciiTheme="minorBidi" w:hAnsiTheme="minorBidi"/>
          <w:sz w:val="16"/>
          <w:szCs w:val="16"/>
          <w:rtl/>
        </w:rPr>
        <w:t xml:space="preserve">  (פת"ש סקכ"ד)  </w:t>
      </w:r>
    </w:p>
    <w:p w14:paraId="385B0EF1" w14:textId="77777777" w:rsidR="004B607F" w:rsidRPr="00845316" w:rsidRDefault="004B607F" w:rsidP="004B0475">
      <w:pPr>
        <w:pStyle w:val="ac"/>
        <w:numPr>
          <w:ilvl w:val="0"/>
          <w:numId w:val="168"/>
        </w:numPr>
        <w:rPr>
          <w:rFonts w:asciiTheme="minorBidi" w:hAnsiTheme="minorBidi"/>
          <w:rtl/>
        </w:rPr>
      </w:pPr>
      <w:r w:rsidRPr="00845316">
        <w:rPr>
          <w:rFonts w:asciiTheme="minorBidi" w:hAnsiTheme="minorBidi"/>
          <w:rtl/>
        </w:rPr>
        <w:t xml:space="preserve">ב"ח </w:t>
      </w:r>
      <w:r w:rsidRPr="00845316">
        <w:rPr>
          <w:rFonts w:asciiTheme="minorBidi" w:hAnsiTheme="minorBidi"/>
          <w:sz w:val="16"/>
          <w:szCs w:val="16"/>
          <w:rtl/>
        </w:rPr>
        <w:t>(</w:t>
      </w:r>
      <w:r>
        <w:rPr>
          <w:rFonts w:asciiTheme="minorBidi" w:hAnsiTheme="minorBidi" w:hint="cs"/>
          <w:sz w:val="16"/>
          <w:szCs w:val="16"/>
          <w:rtl/>
        </w:rPr>
        <w:t xml:space="preserve">חו"מ </w:t>
      </w:r>
      <w:r w:rsidRPr="00845316">
        <w:rPr>
          <w:rFonts w:asciiTheme="minorBidi" w:hAnsiTheme="minorBidi"/>
          <w:sz w:val="16"/>
          <w:szCs w:val="16"/>
          <w:rtl/>
        </w:rPr>
        <w:t>סי' ט ס"ט</w:t>
      </w:r>
      <w:r>
        <w:rPr>
          <w:rFonts w:asciiTheme="minorBidi" w:hAnsiTheme="minorBidi" w:hint="cs"/>
          <w:sz w:val="16"/>
          <w:szCs w:val="16"/>
          <w:rtl/>
        </w:rPr>
        <w:t>, ובתשו' סי' נא</w:t>
      </w:r>
      <w:r w:rsidRPr="00845316">
        <w:rPr>
          <w:rFonts w:asciiTheme="minorBidi" w:hAnsiTheme="minorBidi"/>
          <w:sz w:val="16"/>
          <w:szCs w:val="16"/>
          <w:rtl/>
        </w:rPr>
        <w:t>)</w:t>
      </w:r>
      <w:r w:rsidRPr="00845316">
        <w:rPr>
          <w:rFonts w:asciiTheme="minorBidi" w:hAnsiTheme="minorBidi"/>
          <w:rtl/>
        </w:rPr>
        <w:t xml:space="preserve">- </w:t>
      </w:r>
      <w:r w:rsidRPr="00E92409">
        <w:rPr>
          <w:rFonts w:asciiTheme="minorBidi" w:hAnsiTheme="minorBidi" w:cs="Arial"/>
          <w:rtl/>
        </w:rPr>
        <w:t>היכא דמקבל בתורת שוחדא דדיניו בטלין איכא לחלוק</w:t>
      </w:r>
      <w:r>
        <w:rPr>
          <w:rFonts w:asciiTheme="minorBidi" w:hAnsiTheme="minorBidi" w:cs="Arial" w:hint="cs"/>
          <w:rtl/>
        </w:rPr>
        <w:t>,</w:t>
      </w:r>
      <w:r w:rsidRPr="00E92409">
        <w:rPr>
          <w:rFonts w:asciiTheme="minorBidi" w:hAnsiTheme="minorBidi" w:cs="Arial"/>
          <w:rtl/>
        </w:rPr>
        <w:t xml:space="preserve"> דאם לקחו בתורת שכר</w:t>
      </w:r>
      <w:r>
        <w:rPr>
          <w:rFonts w:asciiTheme="minorBidi" w:hAnsiTheme="minorBidi" w:cs="Arial" w:hint="cs"/>
          <w:rtl/>
        </w:rPr>
        <w:t xml:space="preserve"> -</w:t>
      </w:r>
      <w:r w:rsidRPr="00E92409">
        <w:rPr>
          <w:rFonts w:asciiTheme="minorBidi" w:hAnsiTheme="minorBidi" w:cs="Arial"/>
          <w:rtl/>
        </w:rPr>
        <w:t xml:space="preserve"> א"צ להחזירו בדין</w:t>
      </w:r>
      <w:r>
        <w:rPr>
          <w:rFonts w:asciiTheme="minorBidi" w:hAnsiTheme="minorBidi" w:cs="Arial" w:hint="cs"/>
          <w:rtl/>
        </w:rPr>
        <w:t>,</w:t>
      </w:r>
      <w:r w:rsidRPr="00E92409">
        <w:rPr>
          <w:rFonts w:asciiTheme="minorBidi" w:hAnsiTheme="minorBidi" w:cs="Arial"/>
          <w:rtl/>
        </w:rPr>
        <w:t xml:space="preserve"> דדוקא בלקחו בתורת שוחד דאמרה תורה לא תקח אם לקח הוי גזל בידו</w:t>
      </w:r>
      <w:r>
        <w:rPr>
          <w:rFonts w:asciiTheme="minorBidi" w:hAnsiTheme="minorBidi" w:cs="Arial" w:hint="cs"/>
          <w:rtl/>
        </w:rPr>
        <w:t>,</w:t>
      </w:r>
      <w:r w:rsidRPr="00E92409">
        <w:rPr>
          <w:rFonts w:asciiTheme="minorBidi" w:hAnsiTheme="minorBidi" w:cs="Arial"/>
          <w:rtl/>
        </w:rPr>
        <w:t xml:space="preserve"> אבל במה שעבר על מה אני בחנם וכו' א"צ להחזיר</w:t>
      </w:r>
      <w:r>
        <w:rPr>
          <w:rStyle w:val="ab"/>
          <w:rFonts w:asciiTheme="minorBidi" w:hAnsiTheme="minorBidi" w:cs="Arial"/>
          <w:rtl/>
        </w:rPr>
        <w:footnoteReference w:id="2285"/>
      </w:r>
      <w:r w:rsidRPr="00845316">
        <w:rPr>
          <w:rFonts w:asciiTheme="minorBidi" w:hAnsiTheme="minorBidi"/>
          <w:rtl/>
        </w:rPr>
        <w:t>.</w:t>
      </w:r>
    </w:p>
    <w:p w14:paraId="18590467" w14:textId="77777777" w:rsidR="004B607F" w:rsidRPr="00845316" w:rsidRDefault="004B607F" w:rsidP="004B0475">
      <w:pPr>
        <w:pStyle w:val="ac"/>
        <w:numPr>
          <w:ilvl w:val="0"/>
          <w:numId w:val="168"/>
        </w:numPr>
        <w:rPr>
          <w:rFonts w:asciiTheme="minorBidi" w:hAnsiTheme="minorBidi"/>
          <w:rtl/>
        </w:rPr>
      </w:pPr>
      <w:r>
        <w:rPr>
          <w:rFonts w:asciiTheme="minorBidi" w:hAnsiTheme="minorBidi" w:cs="Arial" w:hint="cs"/>
          <w:rtl/>
        </w:rPr>
        <w:t>תפא"ל</w:t>
      </w:r>
      <w:r>
        <w:rPr>
          <w:rFonts w:asciiTheme="minorBidi" w:hAnsiTheme="minorBidi" w:cs="Arial" w:hint="cs"/>
          <w:sz w:val="16"/>
          <w:szCs w:val="16"/>
          <w:rtl/>
        </w:rPr>
        <w:t xml:space="preserve"> </w:t>
      </w:r>
      <w:r w:rsidRPr="00670BF3">
        <w:rPr>
          <w:rFonts w:asciiTheme="minorBidi" w:hAnsiTheme="minorBidi" w:cs="Arial" w:hint="cs"/>
          <w:sz w:val="16"/>
          <w:szCs w:val="16"/>
          <w:rtl/>
        </w:rPr>
        <w:t>(</w:t>
      </w:r>
      <w:r w:rsidRPr="00670BF3">
        <w:rPr>
          <w:rFonts w:asciiTheme="minorBidi" w:hAnsiTheme="minorBidi" w:cs="Arial"/>
          <w:sz w:val="16"/>
          <w:szCs w:val="16"/>
          <w:rtl/>
        </w:rPr>
        <w:t>ג</w:t>
      </w:r>
      <w:r w:rsidRPr="00670BF3">
        <w:rPr>
          <w:rFonts w:asciiTheme="minorBidi" w:hAnsiTheme="minorBidi" w:cs="Arial" w:hint="cs"/>
          <w:sz w:val="16"/>
          <w:szCs w:val="16"/>
          <w:rtl/>
        </w:rPr>
        <w:t xml:space="preserve">ליון </w:t>
      </w:r>
      <w:r w:rsidRPr="00670BF3">
        <w:rPr>
          <w:rFonts w:asciiTheme="minorBidi" w:hAnsiTheme="minorBidi" w:cs="Arial"/>
          <w:sz w:val="16"/>
          <w:szCs w:val="16"/>
          <w:rtl/>
        </w:rPr>
        <w:t>ש"ך חו"מ סימן ר"ח [סק"ב] ובאה"ע סימן י"ז סעיף ג</w:t>
      </w:r>
      <w:r>
        <w:rPr>
          <w:rFonts w:asciiTheme="minorBidi" w:hAnsiTheme="minorBidi" w:cs="Arial" w:hint="cs"/>
          <w:sz w:val="16"/>
          <w:szCs w:val="16"/>
          <w:rtl/>
        </w:rPr>
        <w:t>)</w:t>
      </w:r>
      <w:r>
        <w:rPr>
          <w:rFonts w:asciiTheme="minorBidi" w:hAnsiTheme="minorBidi" w:cs="Arial" w:hint="cs"/>
          <w:rtl/>
        </w:rPr>
        <w:t>-</w:t>
      </w:r>
      <w:r w:rsidRPr="00670BF3">
        <w:rPr>
          <w:rFonts w:asciiTheme="minorBidi" w:hAnsiTheme="minorBidi" w:cs="Arial"/>
          <w:rtl/>
        </w:rPr>
        <w:t xml:space="preserve"> </w:t>
      </w:r>
      <w:r>
        <w:rPr>
          <w:rFonts w:asciiTheme="minorBidi" w:hAnsiTheme="minorBidi" w:cs="Arial" w:hint="cs"/>
          <w:rtl/>
        </w:rPr>
        <w:t>ו</w:t>
      </w:r>
      <w:r w:rsidRPr="00670BF3">
        <w:rPr>
          <w:rFonts w:asciiTheme="minorBidi" w:hAnsiTheme="minorBidi" w:cs="Arial"/>
          <w:rtl/>
        </w:rPr>
        <w:t>לי נראה דצריך להחזיר, דכ"מ דאמר רחמנא לא תעביד אי עביד לא מהני, ורחמנא אמר מה אני בחנם</w:t>
      </w:r>
      <w:r>
        <w:rPr>
          <w:rStyle w:val="ab"/>
          <w:rFonts w:asciiTheme="minorBidi" w:hAnsiTheme="minorBidi" w:cs="Arial"/>
          <w:rtl/>
        </w:rPr>
        <w:footnoteReference w:id="2286"/>
      </w:r>
      <w:r>
        <w:rPr>
          <w:rFonts w:asciiTheme="minorBidi" w:hAnsiTheme="minorBidi" w:cs="Arial" w:hint="cs"/>
          <w:rtl/>
        </w:rPr>
        <w:t xml:space="preserve">. </w:t>
      </w:r>
    </w:p>
    <w:p w14:paraId="2A0A9685" w14:textId="77777777" w:rsidR="004B607F" w:rsidRPr="00845316" w:rsidRDefault="004B607F" w:rsidP="004B607F">
      <w:pPr>
        <w:rPr>
          <w:rFonts w:asciiTheme="minorBidi" w:hAnsiTheme="minorBidi"/>
          <w:rtl/>
        </w:rPr>
      </w:pPr>
      <w:r w:rsidRPr="00845316">
        <w:rPr>
          <w:rFonts w:asciiTheme="minorBidi" w:hAnsiTheme="minorBidi"/>
          <w:u w:val="single"/>
          <w:rtl/>
        </w:rPr>
        <w:lastRenderedPageBreak/>
        <w:t>שוחד על דין שאינו דין תורה:</w:t>
      </w:r>
      <w:r w:rsidRPr="00845316">
        <w:rPr>
          <w:rFonts w:asciiTheme="minorBidi" w:hAnsiTheme="minorBidi"/>
          <w:rtl/>
        </w:rPr>
        <w:t xml:space="preserve"> </w:t>
      </w:r>
      <w:r w:rsidRPr="00845316">
        <w:rPr>
          <w:rFonts w:asciiTheme="minorBidi" w:hAnsiTheme="minorBidi"/>
          <w:sz w:val="16"/>
          <w:szCs w:val="16"/>
          <w:rtl/>
        </w:rPr>
        <w:t>(פת"ש סקכ"ז)</w:t>
      </w:r>
      <w:r w:rsidRPr="00845316">
        <w:rPr>
          <w:rFonts w:asciiTheme="minorBidi" w:hAnsiTheme="minorBidi"/>
          <w:rtl/>
        </w:rPr>
        <w:t xml:space="preserve"> </w:t>
      </w:r>
    </w:p>
    <w:p w14:paraId="733D4182" w14:textId="77777777" w:rsidR="004B607F" w:rsidRPr="00845316" w:rsidRDefault="004B607F" w:rsidP="004B0475">
      <w:pPr>
        <w:pStyle w:val="ac"/>
        <w:numPr>
          <w:ilvl w:val="0"/>
          <w:numId w:val="170"/>
        </w:numPr>
        <w:rPr>
          <w:rFonts w:asciiTheme="minorBidi" w:hAnsiTheme="minorBidi"/>
          <w:rtl/>
        </w:rPr>
      </w:pPr>
      <w:r w:rsidRPr="00845316">
        <w:rPr>
          <w:rFonts w:asciiTheme="minorBidi" w:hAnsiTheme="minorBidi"/>
          <w:rtl/>
        </w:rPr>
        <w:t xml:space="preserve">פלפולא חריפתא </w:t>
      </w:r>
      <w:r w:rsidRPr="00845316">
        <w:rPr>
          <w:rFonts w:asciiTheme="minorBidi" w:hAnsiTheme="minorBidi"/>
          <w:sz w:val="16"/>
          <w:szCs w:val="16"/>
          <w:rtl/>
        </w:rPr>
        <w:t>(סנהדרין פ"ג סי' יז אות כא)</w:t>
      </w:r>
      <w:r w:rsidRPr="00845316">
        <w:rPr>
          <w:rFonts w:asciiTheme="minorBidi" w:hAnsiTheme="minorBidi"/>
          <w:rtl/>
        </w:rPr>
        <w:t>- שוחד אסור אף בדבר שאינו דין תורה אלא דרך קנס בעלמא</w:t>
      </w:r>
      <w:r>
        <w:rPr>
          <w:rFonts w:asciiTheme="minorBidi" w:hAnsiTheme="minorBidi" w:hint="cs"/>
          <w:rtl/>
        </w:rPr>
        <w:t>.</w:t>
      </w:r>
      <w:r w:rsidRPr="00845316">
        <w:rPr>
          <w:rFonts w:asciiTheme="minorBidi" w:hAnsiTheme="minorBidi"/>
          <w:rtl/>
        </w:rPr>
        <w:t xml:space="preserve"> כגון הנאמנים על הציבור שאין דיניהם דין תורה ולא נתקבלו לכך, אפ"ה יזהרו מלקבל מתנות על דיניהם.</w:t>
      </w:r>
    </w:p>
    <w:p w14:paraId="10070639" w14:textId="77777777" w:rsidR="004B607F" w:rsidRPr="00845316" w:rsidRDefault="004B607F" w:rsidP="004B607F">
      <w:pPr>
        <w:rPr>
          <w:rFonts w:asciiTheme="minorBidi" w:hAnsiTheme="minorBidi"/>
          <w:rtl/>
        </w:rPr>
      </w:pPr>
    </w:p>
    <w:p w14:paraId="7886850E" w14:textId="77777777" w:rsidR="004B607F" w:rsidRPr="00845316" w:rsidRDefault="004B607F" w:rsidP="004B607F">
      <w:pPr>
        <w:pStyle w:val="2"/>
        <w:rPr>
          <w:rFonts w:asciiTheme="minorBidi" w:hAnsiTheme="minorBidi"/>
          <w:rtl/>
        </w:rPr>
      </w:pPr>
      <w:bookmarkStart w:id="307" w:name="_Toc24883766"/>
      <w:r w:rsidRPr="00845316">
        <w:rPr>
          <w:rFonts w:asciiTheme="minorBidi" w:hAnsiTheme="minorBidi"/>
          <w:rtl/>
        </w:rPr>
        <w:t>סעיף יט: גוי ועבד.</w:t>
      </w:r>
      <w:bookmarkEnd w:id="307"/>
    </w:p>
    <w:p w14:paraId="5BAB6DCF" w14:textId="77777777" w:rsidR="004B607F" w:rsidRPr="00845316" w:rsidRDefault="004B607F" w:rsidP="004B607F">
      <w:pPr>
        <w:rPr>
          <w:rFonts w:asciiTheme="minorBidi" w:hAnsiTheme="minorBidi"/>
          <w:rtl/>
        </w:rPr>
      </w:pPr>
      <w:r w:rsidRPr="00845316">
        <w:rPr>
          <w:rFonts w:asciiTheme="minorBidi" w:hAnsiTheme="minorBidi"/>
          <w:b/>
          <w:bCs/>
          <w:rtl/>
        </w:rPr>
        <w:t>דברים יט יח:</w:t>
      </w:r>
      <w:r w:rsidRPr="00845316">
        <w:rPr>
          <w:rFonts w:asciiTheme="minorBidi" w:hAnsiTheme="minorBidi"/>
          <w:rtl/>
        </w:rPr>
        <w:t xml:space="preserve"> וְדָרְשׁ֥וּ הַשֹּׁפְטִ֖ים הֵיטֵ֑ב וְהִנֵּ֤ה עֵֽד־שֶׁ֙קֶר֙ הָעֵ֔ד שֶׁ֖קֶר עָנָ֥ה בְאָחִֽיו</w:t>
      </w:r>
      <w:r w:rsidRPr="00845316">
        <w:rPr>
          <w:rStyle w:val="ab"/>
          <w:rFonts w:asciiTheme="minorBidi" w:hAnsiTheme="minorBidi"/>
          <w:rtl/>
        </w:rPr>
        <w:footnoteReference w:id="2287"/>
      </w:r>
      <w:r w:rsidRPr="00845316">
        <w:rPr>
          <w:rFonts w:asciiTheme="minorBidi" w:hAnsiTheme="minorBidi"/>
          <w:rtl/>
        </w:rPr>
        <w:t>.</w:t>
      </w:r>
    </w:p>
    <w:p w14:paraId="5AA084A0" w14:textId="77777777" w:rsidR="004B607F" w:rsidRPr="00845316" w:rsidRDefault="004B607F" w:rsidP="004B607F">
      <w:pPr>
        <w:rPr>
          <w:rFonts w:asciiTheme="minorBidi" w:hAnsiTheme="minorBidi"/>
          <w:rtl/>
        </w:rPr>
      </w:pPr>
      <w:r w:rsidRPr="00845316">
        <w:rPr>
          <w:rFonts w:asciiTheme="minorBidi" w:hAnsiTheme="minorBidi"/>
          <w:b/>
          <w:bCs/>
          <w:rtl/>
        </w:rPr>
        <w:t>בבא קמא יד</w:t>
      </w:r>
      <w:r>
        <w:rPr>
          <w:rStyle w:val="ab"/>
          <w:rFonts w:asciiTheme="minorBidi" w:hAnsiTheme="minorBidi"/>
          <w:b/>
          <w:bCs/>
          <w:rtl/>
        </w:rPr>
        <w:footnoteReference w:id="2288"/>
      </w:r>
      <w:r w:rsidRPr="00845316">
        <w:rPr>
          <w:rFonts w:asciiTheme="minorBidi" w:hAnsiTheme="minorBidi"/>
          <w:b/>
          <w:bCs/>
          <w:rtl/>
        </w:rPr>
        <w:t xml:space="preserve"> ע"ב: </w:t>
      </w:r>
      <w:r w:rsidRPr="00845316">
        <w:rPr>
          <w:rFonts w:asciiTheme="minorBidi" w:hAnsiTheme="minorBidi"/>
          <w:u w:val="double"/>
          <w:rtl/>
        </w:rPr>
        <w:t>משנה:</w:t>
      </w:r>
      <w:r w:rsidRPr="00845316">
        <w:rPr>
          <w:rFonts w:asciiTheme="minorBidi" w:hAnsiTheme="minorBidi"/>
          <w:rtl/>
        </w:rPr>
        <w:t xml:space="preserve"> שום כסף שוה כסף בפני ב"ד ועל פי עדים בני חורין בני ברית....    </w:t>
      </w:r>
      <w:r w:rsidRPr="00845316">
        <w:rPr>
          <w:rFonts w:asciiTheme="minorBidi" w:hAnsiTheme="minorBidi"/>
          <w:u w:val="double"/>
          <w:rtl/>
        </w:rPr>
        <w:t>גמ'</w:t>
      </w:r>
      <w:r>
        <w:rPr>
          <w:rFonts w:asciiTheme="minorBidi" w:hAnsiTheme="minorBidi" w:hint="cs"/>
          <w:sz w:val="14"/>
          <w:szCs w:val="14"/>
          <w:u w:val="double"/>
          <w:rtl/>
        </w:rPr>
        <w:t xml:space="preserve"> (טו.)</w:t>
      </w:r>
      <w:r w:rsidRPr="00845316">
        <w:rPr>
          <w:rFonts w:asciiTheme="minorBidi" w:hAnsiTheme="minorBidi"/>
          <w:u w:val="double"/>
          <w:rtl/>
        </w:rPr>
        <w:t>:</w:t>
      </w:r>
      <w:r w:rsidRPr="00845316">
        <w:rPr>
          <w:rFonts w:asciiTheme="minorBidi" w:hAnsiTheme="minorBidi"/>
          <w:rtl/>
        </w:rPr>
        <w:t xml:space="preserve"> בני חורין ובני ברית, בני חורין - למעוטי עבדים, בני ברית - למעוטי עובדי כוכבים. וצריכא, דאי אשמעינן עבד, משום דאין לו יחס</w:t>
      </w:r>
      <w:r w:rsidRPr="00845316">
        <w:rPr>
          <w:rStyle w:val="ab"/>
          <w:rFonts w:asciiTheme="minorBidi" w:hAnsiTheme="minorBidi"/>
          <w:rtl/>
        </w:rPr>
        <w:footnoteReference w:id="2289"/>
      </w:r>
      <w:r w:rsidRPr="00845316">
        <w:rPr>
          <w:rFonts w:asciiTheme="minorBidi" w:hAnsiTheme="minorBidi"/>
          <w:rtl/>
        </w:rPr>
        <w:t>, אבל נכרי דיש לו יחס</w:t>
      </w:r>
      <w:r w:rsidRPr="00845316">
        <w:rPr>
          <w:rStyle w:val="ab"/>
          <w:rFonts w:asciiTheme="minorBidi" w:hAnsiTheme="minorBidi"/>
          <w:rtl/>
        </w:rPr>
        <w:footnoteReference w:id="2290"/>
      </w:r>
      <w:r w:rsidRPr="00845316">
        <w:rPr>
          <w:rFonts w:asciiTheme="minorBidi" w:hAnsiTheme="minorBidi"/>
          <w:rtl/>
        </w:rPr>
        <w:t xml:space="preserve"> אימא לא, ואי אשמעינן נכרי, משום דלא שייך במצות אבל עבד דשייך במצות אימא לא, צריכא. </w:t>
      </w:r>
      <w:r w:rsidRPr="00845316">
        <w:rPr>
          <w:rFonts w:asciiTheme="minorBidi" w:hAnsiTheme="minorBidi"/>
          <w:sz w:val="16"/>
          <w:szCs w:val="16"/>
          <w:rtl/>
        </w:rPr>
        <w:t xml:space="preserve">(וכ"פ רי"ף רמב"ם רא"ש ועוד, וכך פשוט בגמ'. ודברי רבנו יקר </w:t>
      </w:r>
      <w:r w:rsidRPr="00845316">
        <w:rPr>
          <w:rFonts w:asciiTheme="minorBidi" w:hAnsiTheme="minorBidi"/>
          <w:sz w:val="14"/>
          <w:szCs w:val="14"/>
          <w:rtl/>
        </w:rPr>
        <w:t>(הובא בהגה"א גיטין פ"א סי' י)</w:t>
      </w:r>
      <w:r w:rsidRPr="00845316">
        <w:rPr>
          <w:rFonts w:asciiTheme="minorBidi" w:hAnsiTheme="minorBidi"/>
          <w:sz w:val="16"/>
          <w:szCs w:val="16"/>
          <w:rtl/>
        </w:rPr>
        <w:t xml:space="preserve"> דגוים המוחזקים שאינם שקרנים כשרים לעדות</w:t>
      </w:r>
      <w:r>
        <w:rPr>
          <w:rFonts w:asciiTheme="minorBidi" w:hAnsiTheme="minorBidi" w:hint="cs"/>
          <w:sz w:val="16"/>
          <w:szCs w:val="16"/>
          <w:rtl/>
        </w:rPr>
        <w:t xml:space="preserve"> </w:t>
      </w:r>
      <w:r w:rsidRPr="00845316">
        <w:rPr>
          <w:rFonts w:asciiTheme="minorBidi" w:hAnsiTheme="minorBidi"/>
          <w:sz w:val="16"/>
          <w:szCs w:val="16"/>
          <w:rtl/>
        </w:rPr>
        <w:t>- תמוהים הם</w:t>
      </w:r>
      <w:r w:rsidRPr="00845316">
        <w:rPr>
          <w:rStyle w:val="ab"/>
          <w:rFonts w:asciiTheme="minorBidi" w:hAnsiTheme="minorBidi"/>
          <w:sz w:val="18"/>
          <w:szCs w:val="18"/>
          <w:rtl/>
        </w:rPr>
        <w:footnoteReference w:id="2291"/>
      </w:r>
      <w:r w:rsidRPr="00845316">
        <w:rPr>
          <w:rFonts w:asciiTheme="minorBidi" w:hAnsiTheme="minorBidi"/>
          <w:sz w:val="16"/>
          <w:szCs w:val="16"/>
          <w:rtl/>
        </w:rPr>
        <w:t>, ב"י)</w:t>
      </w:r>
      <w:r w:rsidRPr="00845316">
        <w:rPr>
          <w:rFonts w:asciiTheme="minorBidi" w:hAnsiTheme="minorBidi"/>
          <w:rtl/>
        </w:rPr>
        <w:t xml:space="preserve"> </w:t>
      </w:r>
    </w:p>
    <w:p w14:paraId="5B0CD394" w14:textId="77777777" w:rsidR="004B607F" w:rsidRPr="00845316" w:rsidRDefault="004B607F" w:rsidP="004B607F">
      <w:pPr>
        <w:rPr>
          <w:rFonts w:asciiTheme="minorBidi" w:hAnsiTheme="minorBidi"/>
          <w:u w:val="single"/>
          <w:rtl/>
        </w:rPr>
      </w:pPr>
      <w:r w:rsidRPr="00845316">
        <w:rPr>
          <w:rFonts w:asciiTheme="minorBidi" w:hAnsiTheme="minorBidi"/>
          <w:u w:val="single"/>
          <w:rtl/>
        </w:rPr>
        <w:t>חציו עבד וחציו בן חורין, ועבד שנשתחרר ולא קיבל גט שחרור:</w:t>
      </w:r>
    </w:p>
    <w:p w14:paraId="161DAC5C" w14:textId="77777777" w:rsidR="004B607F" w:rsidRPr="00845316" w:rsidRDefault="004B607F" w:rsidP="004B0475">
      <w:pPr>
        <w:pStyle w:val="ac"/>
        <w:numPr>
          <w:ilvl w:val="0"/>
          <w:numId w:val="170"/>
        </w:numPr>
        <w:rPr>
          <w:rFonts w:asciiTheme="minorBidi" w:hAnsiTheme="minorBidi"/>
          <w:rtl/>
        </w:rPr>
      </w:pPr>
      <w:r w:rsidRPr="00845316">
        <w:rPr>
          <w:rFonts w:asciiTheme="minorBidi" w:hAnsiTheme="minorBidi"/>
          <w:rtl/>
        </w:rPr>
        <w:t xml:space="preserve">רמב"ם </w:t>
      </w:r>
      <w:r w:rsidRPr="00845316">
        <w:rPr>
          <w:rFonts w:asciiTheme="minorBidi" w:hAnsiTheme="minorBidi"/>
          <w:sz w:val="16"/>
          <w:szCs w:val="16"/>
          <w:rtl/>
        </w:rPr>
        <w:t>(פ"ט ה"ה-ו)</w:t>
      </w:r>
      <w:r w:rsidRPr="00845316">
        <w:rPr>
          <w:rFonts w:asciiTheme="minorBidi" w:hAnsiTheme="minorBidi"/>
          <w:rtl/>
        </w:rPr>
        <w:t>- מי שחציו עבד וחציו בן חורין</w:t>
      </w:r>
      <w:r>
        <w:rPr>
          <w:rFonts w:asciiTheme="minorBidi" w:hAnsiTheme="minorBidi" w:hint="cs"/>
          <w:rtl/>
        </w:rPr>
        <w:t xml:space="preserve"> -</w:t>
      </w:r>
      <w:r w:rsidRPr="00845316">
        <w:rPr>
          <w:rFonts w:asciiTheme="minorBidi" w:hAnsiTheme="minorBidi"/>
          <w:rtl/>
        </w:rPr>
        <w:t xml:space="preserve"> פסול. כל מי שנשתחרר והרי הוא מחוסר גט שחרור </w:t>
      </w:r>
      <w:r>
        <w:rPr>
          <w:rFonts w:asciiTheme="minorBidi" w:hAnsiTheme="minorBidi" w:hint="cs"/>
          <w:rtl/>
        </w:rPr>
        <w:t xml:space="preserve">- </w:t>
      </w:r>
      <w:r w:rsidRPr="00845316">
        <w:rPr>
          <w:rFonts w:asciiTheme="minorBidi" w:hAnsiTheme="minorBidi"/>
          <w:rtl/>
        </w:rPr>
        <w:t xml:space="preserve">פסול עד שיגיע גט לידו ויעשה מכלל בני ברית ואחר כך יעיד. </w:t>
      </w:r>
    </w:p>
    <w:p w14:paraId="0B6A05DD" w14:textId="77777777" w:rsidR="004B607F" w:rsidRPr="00845316" w:rsidRDefault="004B607F" w:rsidP="004B607F">
      <w:pPr>
        <w:rPr>
          <w:rFonts w:asciiTheme="minorBidi" w:hAnsiTheme="minorBidi"/>
          <w:rtl/>
        </w:rPr>
      </w:pPr>
      <w:r w:rsidRPr="00845316">
        <w:rPr>
          <w:rFonts w:asciiTheme="minorBidi" w:hAnsiTheme="minorBidi"/>
          <w:b/>
          <w:bCs/>
          <w:sz w:val="32"/>
          <w:szCs w:val="28"/>
          <w:u w:val="single"/>
          <w:rtl/>
        </w:rPr>
        <w:t xml:space="preserve">שו"ע: </w:t>
      </w:r>
    </w:p>
    <w:p w14:paraId="7D6FAADA" w14:textId="77777777" w:rsidR="004B607F" w:rsidRPr="00845316" w:rsidRDefault="004B607F" w:rsidP="004B607F">
      <w:pPr>
        <w:rPr>
          <w:rFonts w:asciiTheme="minorBidi" w:hAnsiTheme="minorBidi"/>
          <w:rtl/>
        </w:rPr>
      </w:pPr>
      <w:r w:rsidRPr="00845316">
        <w:rPr>
          <w:rFonts w:asciiTheme="minorBidi" w:hAnsiTheme="minorBidi"/>
          <w:rtl/>
        </w:rPr>
        <w:t xml:space="preserve">גוי ועבד פסולים לעדות. </w:t>
      </w:r>
    </w:p>
    <w:p w14:paraId="3FFA568B" w14:textId="77777777" w:rsidR="004B607F" w:rsidRPr="00845316" w:rsidRDefault="004B607F" w:rsidP="004B607F">
      <w:pPr>
        <w:rPr>
          <w:rFonts w:asciiTheme="minorBidi" w:hAnsiTheme="minorBidi"/>
          <w:rtl/>
        </w:rPr>
      </w:pPr>
    </w:p>
    <w:p w14:paraId="01D6FB53" w14:textId="77777777" w:rsidR="004B607F" w:rsidRPr="00845316" w:rsidRDefault="004B607F" w:rsidP="004B607F">
      <w:pPr>
        <w:pStyle w:val="2"/>
        <w:rPr>
          <w:rFonts w:asciiTheme="minorBidi" w:hAnsiTheme="minorBidi"/>
          <w:rtl/>
        </w:rPr>
      </w:pPr>
      <w:bookmarkStart w:id="308" w:name="_Toc24883767"/>
      <w:r w:rsidRPr="00845316">
        <w:rPr>
          <w:rFonts w:asciiTheme="minorBidi" w:hAnsiTheme="minorBidi"/>
          <w:rtl/>
        </w:rPr>
        <w:t>סעיף כ: האומר 'אלך ואמסור ממונך'.</w:t>
      </w:r>
      <w:bookmarkEnd w:id="308"/>
    </w:p>
    <w:p w14:paraId="2F74570D" w14:textId="77777777" w:rsidR="004B607F" w:rsidRPr="00845316" w:rsidRDefault="004B607F" w:rsidP="004B607F">
      <w:pPr>
        <w:rPr>
          <w:rFonts w:asciiTheme="minorBidi" w:hAnsiTheme="minorBidi"/>
          <w:rtl/>
        </w:rPr>
      </w:pPr>
      <w:r w:rsidRPr="00845316">
        <w:rPr>
          <w:rFonts w:asciiTheme="minorBidi" w:hAnsiTheme="minorBidi"/>
          <w:b/>
          <w:bCs/>
          <w:rtl/>
        </w:rPr>
        <w:t>בבא קמא קיז</w:t>
      </w:r>
      <w:r>
        <w:rPr>
          <w:rStyle w:val="ab"/>
          <w:rFonts w:asciiTheme="minorBidi" w:hAnsiTheme="minorBidi"/>
          <w:b/>
          <w:bCs/>
          <w:rtl/>
        </w:rPr>
        <w:footnoteReference w:id="2292"/>
      </w:r>
      <w:r w:rsidRPr="00845316">
        <w:rPr>
          <w:rFonts w:asciiTheme="minorBidi" w:hAnsiTheme="minorBidi"/>
          <w:b/>
          <w:bCs/>
          <w:rtl/>
        </w:rPr>
        <w:t xml:space="preserve"> ע"א: </w:t>
      </w:r>
      <w:r w:rsidRPr="00845316">
        <w:rPr>
          <w:rFonts w:asciiTheme="minorBidi" w:hAnsiTheme="minorBidi"/>
          <w:rtl/>
        </w:rPr>
        <w:t>ההוא גברא דהוה בעי אחוויי אתיבנא</w:t>
      </w:r>
      <w:r w:rsidRPr="00845316">
        <w:rPr>
          <w:rStyle w:val="ab"/>
          <w:rFonts w:asciiTheme="minorBidi" w:hAnsiTheme="minorBidi"/>
          <w:rtl/>
        </w:rPr>
        <w:footnoteReference w:id="2293"/>
      </w:r>
      <w:r w:rsidRPr="00845316">
        <w:rPr>
          <w:rFonts w:asciiTheme="minorBidi" w:hAnsiTheme="minorBidi"/>
          <w:rtl/>
        </w:rPr>
        <w:t xml:space="preserve"> דחבריה, אתא לקמיה דרב, א"ל: לא תחוי ולא תחוי, א"ל: מחוינא ומחוינא. יתיב רב כהנא קמיה דרב, שמטיה לקועיה</w:t>
      </w:r>
      <w:r w:rsidRPr="00845316">
        <w:rPr>
          <w:rStyle w:val="ab"/>
          <w:rFonts w:asciiTheme="minorBidi" w:hAnsiTheme="minorBidi"/>
          <w:rtl/>
        </w:rPr>
        <w:footnoteReference w:id="2294"/>
      </w:r>
      <w:r w:rsidRPr="00845316">
        <w:rPr>
          <w:rFonts w:asciiTheme="minorBidi" w:hAnsiTheme="minorBidi"/>
          <w:rtl/>
        </w:rPr>
        <w:t xml:space="preserve"> מיניה.</w:t>
      </w:r>
    </w:p>
    <w:p w14:paraId="1D3C5489" w14:textId="77777777" w:rsidR="004B607F" w:rsidRPr="00845316" w:rsidRDefault="004B607F" w:rsidP="004B607F">
      <w:pPr>
        <w:rPr>
          <w:rFonts w:asciiTheme="minorBidi" w:hAnsiTheme="minorBidi"/>
          <w:u w:val="single"/>
          <w:rtl/>
        </w:rPr>
      </w:pPr>
      <w:r w:rsidRPr="00845316">
        <w:rPr>
          <w:rFonts w:asciiTheme="minorBidi" w:hAnsiTheme="minorBidi"/>
          <w:u w:val="single"/>
          <w:rtl/>
        </w:rPr>
        <w:t xml:space="preserve">מה דין </w:t>
      </w:r>
      <w:r w:rsidRPr="00845316">
        <w:rPr>
          <w:rFonts w:asciiTheme="minorBidi" w:hAnsiTheme="minorBidi"/>
          <w:b/>
          <w:bCs/>
          <w:u w:val="single"/>
          <w:rtl/>
        </w:rPr>
        <w:t>האומר</w:t>
      </w:r>
      <w:r w:rsidRPr="00845316">
        <w:rPr>
          <w:rFonts w:asciiTheme="minorBidi" w:hAnsiTheme="minorBidi"/>
          <w:u w:val="single"/>
          <w:rtl/>
        </w:rPr>
        <w:t xml:space="preserve"> לישראל חברו 'אלך ואמסור ממונך':</w:t>
      </w:r>
    </w:p>
    <w:p w14:paraId="2E83C8D6" w14:textId="77777777" w:rsidR="004B607F" w:rsidRPr="00845316" w:rsidRDefault="004B607F" w:rsidP="004B0475">
      <w:pPr>
        <w:pStyle w:val="ac"/>
        <w:numPr>
          <w:ilvl w:val="0"/>
          <w:numId w:val="170"/>
        </w:numPr>
        <w:rPr>
          <w:rFonts w:asciiTheme="minorBidi" w:hAnsiTheme="minorBidi"/>
        </w:rPr>
      </w:pPr>
      <w:r w:rsidRPr="00845316">
        <w:rPr>
          <w:rFonts w:asciiTheme="minorBidi" w:hAnsiTheme="minorBidi"/>
          <w:rtl/>
        </w:rPr>
        <w:lastRenderedPageBreak/>
        <w:t>משה בר חנוך גאון</w:t>
      </w:r>
      <w:r w:rsidRPr="00845316">
        <w:rPr>
          <w:rStyle w:val="ab"/>
          <w:rFonts w:asciiTheme="minorBidi" w:hAnsiTheme="minorBidi"/>
          <w:rtl/>
        </w:rPr>
        <w:footnoteReference w:id="2295"/>
      </w:r>
      <w:r w:rsidRPr="00845316">
        <w:rPr>
          <w:rFonts w:asciiTheme="minorBidi" w:hAnsiTheme="minorBidi"/>
          <w:rtl/>
        </w:rPr>
        <w:t>- האומר לחברו 'מסרנא לך' פסול לעדות</w:t>
      </w:r>
      <w:r w:rsidRPr="00845316">
        <w:rPr>
          <w:rStyle w:val="ab"/>
          <w:rFonts w:asciiTheme="minorBidi" w:hAnsiTheme="minorBidi"/>
          <w:rtl/>
        </w:rPr>
        <w:footnoteReference w:id="2296"/>
      </w:r>
      <w:r w:rsidRPr="00845316">
        <w:rPr>
          <w:rFonts w:asciiTheme="minorBidi" w:hAnsiTheme="minorBidi"/>
          <w:rtl/>
        </w:rPr>
        <w:t>.</w:t>
      </w:r>
    </w:p>
    <w:p w14:paraId="10BC9502" w14:textId="77777777" w:rsidR="004B607F" w:rsidRPr="00845316" w:rsidRDefault="004B607F" w:rsidP="004B0475">
      <w:pPr>
        <w:pStyle w:val="ac"/>
        <w:numPr>
          <w:ilvl w:val="0"/>
          <w:numId w:val="170"/>
        </w:numPr>
        <w:rPr>
          <w:rFonts w:asciiTheme="minorBidi" w:hAnsiTheme="minorBidi"/>
        </w:rPr>
      </w:pPr>
      <w:r w:rsidRPr="00845316">
        <w:rPr>
          <w:rFonts w:asciiTheme="minorBidi" w:hAnsiTheme="minorBidi"/>
          <w:rtl/>
        </w:rPr>
        <w:t>(רמב"ם</w:t>
      </w:r>
      <w:r w:rsidRPr="00845316">
        <w:rPr>
          <w:rStyle w:val="ab"/>
          <w:rFonts w:asciiTheme="minorBidi" w:hAnsiTheme="minorBidi"/>
          <w:rtl/>
        </w:rPr>
        <w:footnoteReference w:id="2297"/>
      </w:r>
      <w:r w:rsidRPr="00845316">
        <w:rPr>
          <w:rFonts w:asciiTheme="minorBidi" w:hAnsiTheme="minorBidi"/>
          <w:sz w:val="18"/>
          <w:szCs w:val="18"/>
          <w:rtl/>
        </w:rPr>
        <w:t xml:space="preserve"> </w:t>
      </w:r>
      <w:r w:rsidRPr="00845316">
        <w:rPr>
          <w:rFonts w:asciiTheme="minorBidi" w:hAnsiTheme="minorBidi"/>
          <w:sz w:val="16"/>
          <w:szCs w:val="16"/>
          <w:rtl/>
        </w:rPr>
        <w:t>להב' מהרי"ק</w:t>
      </w:r>
      <w:r w:rsidRPr="00845316">
        <w:rPr>
          <w:rStyle w:val="ab"/>
          <w:rFonts w:asciiTheme="minorBidi" w:hAnsiTheme="minorBidi"/>
          <w:sz w:val="16"/>
          <w:szCs w:val="16"/>
          <w:rtl/>
        </w:rPr>
        <w:footnoteReference w:id="2298"/>
      </w:r>
      <w:r w:rsidRPr="00845316">
        <w:rPr>
          <w:rFonts w:asciiTheme="minorBidi" w:hAnsiTheme="minorBidi"/>
          <w:rtl/>
        </w:rPr>
        <w:t xml:space="preserve">)- "אינו </w:t>
      </w:r>
      <w:r w:rsidRPr="00845316">
        <w:rPr>
          <w:rFonts w:asciiTheme="minorBidi" w:hAnsiTheme="minorBidi"/>
          <w:u w:val="single"/>
          <w:rtl/>
        </w:rPr>
        <w:t>פסול לעדות</w:t>
      </w:r>
      <w:r w:rsidRPr="00845316">
        <w:rPr>
          <w:rFonts w:asciiTheme="minorBidi" w:hAnsiTheme="minorBidi"/>
          <w:rtl/>
        </w:rPr>
        <w:t xml:space="preserve"> באומרו אלך ואמסור</w:t>
      </w:r>
      <w:r w:rsidRPr="00845316">
        <w:rPr>
          <w:rStyle w:val="ab"/>
          <w:rFonts w:asciiTheme="minorBidi" w:hAnsiTheme="minorBidi"/>
          <w:rtl/>
        </w:rPr>
        <w:footnoteReference w:id="2299"/>
      </w:r>
      <w:r w:rsidRPr="00845316">
        <w:rPr>
          <w:rFonts w:asciiTheme="minorBidi" w:hAnsiTheme="minorBidi"/>
          <w:sz w:val="16"/>
          <w:szCs w:val="16"/>
          <w:rtl/>
        </w:rPr>
        <w:t xml:space="preserve"> (ל' מהרי"ק)</w:t>
      </w:r>
      <w:r w:rsidRPr="00845316">
        <w:rPr>
          <w:rFonts w:asciiTheme="minorBidi" w:hAnsiTheme="minorBidi"/>
          <w:rtl/>
        </w:rPr>
        <w:t>".</w:t>
      </w:r>
    </w:p>
    <w:p w14:paraId="2DAD2A58" w14:textId="77777777" w:rsidR="004B607F" w:rsidRPr="00845316" w:rsidRDefault="004B607F" w:rsidP="004B0475">
      <w:pPr>
        <w:pStyle w:val="ac"/>
        <w:numPr>
          <w:ilvl w:val="0"/>
          <w:numId w:val="170"/>
        </w:numPr>
        <w:rPr>
          <w:rFonts w:asciiTheme="minorBidi" w:hAnsiTheme="minorBidi"/>
          <w:rtl/>
        </w:rPr>
      </w:pPr>
      <w:r w:rsidRPr="00845316">
        <w:rPr>
          <w:rFonts w:asciiTheme="minorBidi" w:hAnsiTheme="minorBidi"/>
          <w:rtl/>
        </w:rPr>
        <w:t>רב פלטוי גאון מהרי"ח או"ז כלבו והג"א</w:t>
      </w:r>
      <w:r w:rsidRPr="00845316">
        <w:rPr>
          <w:rStyle w:val="ab"/>
          <w:rFonts w:asciiTheme="minorBidi" w:hAnsiTheme="minorBidi"/>
          <w:rtl/>
        </w:rPr>
        <w:footnoteReference w:id="2300"/>
      </w:r>
      <w:r w:rsidRPr="00845316">
        <w:rPr>
          <w:rFonts w:asciiTheme="minorBidi" w:hAnsiTheme="minorBidi"/>
          <w:rtl/>
        </w:rPr>
        <w:t>- "מסור פסול לעדות</w:t>
      </w:r>
      <w:r>
        <w:rPr>
          <w:rFonts w:asciiTheme="minorBidi" w:hAnsiTheme="minorBidi" w:hint="cs"/>
          <w:rtl/>
        </w:rPr>
        <w:t>.</w:t>
      </w:r>
      <w:r w:rsidRPr="00845316">
        <w:rPr>
          <w:rFonts w:asciiTheme="minorBidi" w:hAnsiTheme="minorBidi"/>
          <w:rtl/>
        </w:rPr>
        <w:t xml:space="preserve"> ולא מיבעיא מסור גמור ומפורסם אלא אפילו איניש</w:t>
      </w:r>
      <w:r w:rsidRPr="00845316">
        <w:rPr>
          <w:rStyle w:val="ab"/>
          <w:rFonts w:asciiTheme="minorBidi" w:hAnsiTheme="minorBidi"/>
          <w:rtl/>
        </w:rPr>
        <w:footnoteReference w:id="2301"/>
      </w:r>
      <w:r w:rsidRPr="00845316">
        <w:rPr>
          <w:rFonts w:asciiTheme="minorBidi" w:hAnsiTheme="minorBidi"/>
          <w:rtl/>
        </w:rPr>
        <w:t xml:space="preserve"> </w:t>
      </w:r>
      <w:r w:rsidRPr="00845316">
        <w:rPr>
          <w:rFonts w:asciiTheme="minorBidi" w:hAnsiTheme="minorBidi"/>
          <w:u w:val="single"/>
          <w:rtl/>
        </w:rPr>
        <w:t>דסני לחבריה</w:t>
      </w:r>
      <w:r w:rsidRPr="00845316">
        <w:rPr>
          <w:rFonts w:asciiTheme="minorBidi" w:hAnsiTheme="minorBidi"/>
          <w:rtl/>
        </w:rPr>
        <w:t xml:space="preserve"> ואמר ליה </w:t>
      </w:r>
      <w:r w:rsidRPr="00845316">
        <w:rPr>
          <w:rFonts w:asciiTheme="minorBidi" w:hAnsiTheme="minorBidi"/>
          <w:u w:val="single"/>
          <w:rtl/>
        </w:rPr>
        <w:t>בפני רבים</w:t>
      </w:r>
      <w:r w:rsidRPr="00845316">
        <w:rPr>
          <w:rFonts w:asciiTheme="minorBidi" w:hAnsiTheme="minorBidi"/>
          <w:rtl/>
        </w:rPr>
        <w:t xml:space="preserve"> אזילנא ומסרנא לך- מדיבורא רשע הוא</w:t>
      </w:r>
      <w:r w:rsidRPr="00845316">
        <w:rPr>
          <w:rFonts w:asciiTheme="minorBidi" w:hAnsiTheme="minorBidi"/>
          <w:sz w:val="16"/>
          <w:szCs w:val="16"/>
          <w:rtl/>
        </w:rPr>
        <w:t xml:space="preserve"> (ל' ההג"א)</w:t>
      </w:r>
      <w:r w:rsidRPr="00845316">
        <w:rPr>
          <w:rStyle w:val="ab"/>
          <w:rFonts w:asciiTheme="minorBidi" w:hAnsiTheme="minorBidi"/>
          <w:rtl/>
        </w:rPr>
        <w:footnoteReference w:id="2302"/>
      </w:r>
      <w:r w:rsidRPr="00845316">
        <w:rPr>
          <w:rFonts w:asciiTheme="minorBidi" w:hAnsiTheme="minorBidi"/>
          <w:rtl/>
        </w:rPr>
        <w:t>".</w:t>
      </w:r>
      <w:r w:rsidRPr="00845316">
        <w:rPr>
          <w:rFonts w:asciiTheme="minorBidi" w:hAnsiTheme="minorBidi"/>
          <w:sz w:val="16"/>
          <w:szCs w:val="16"/>
          <w:rtl/>
        </w:rPr>
        <w:t xml:space="preserve"> (וכ' הב"י וז"ל- נ"ל דהיינו במוחזק שעושה מעשה כעובדא דרב שילא</w:t>
      </w:r>
      <w:r w:rsidRPr="00845316">
        <w:rPr>
          <w:rStyle w:val="ab"/>
          <w:rFonts w:asciiTheme="minorBidi" w:hAnsiTheme="minorBidi"/>
          <w:sz w:val="16"/>
          <w:szCs w:val="16"/>
          <w:rtl/>
        </w:rPr>
        <w:footnoteReference w:id="2303"/>
      </w:r>
      <w:r w:rsidRPr="00845316">
        <w:rPr>
          <w:rFonts w:asciiTheme="minorBidi" w:hAnsiTheme="minorBidi"/>
          <w:sz w:val="16"/>
          <w:szCs w:val="16"/>
          <w:rtl/>
        </w:rPr>
        <w:t xml:space="preserve"> </w:t>
      </w:r>
      <w:r w:rsidRPr="00845316">
        <w:rPr>
          <w:rFonts w:asciiTheme="minorBidi" w:hAnsiTheme="minorBidi"/>
          <w:sz w:val="14"/>
          <w:szCs w:val="14"/>
          <w:rtl/>
        </w:rPr>
        <w:t>(ברכות נח.)</w:t>
      </w:r>
      <w:r w:rsidRPr="00845316">
        <w:rPr>
          <w:rFonts w:asciiTheme="minorBidi" w:hAnsiTheme="minorBidi"/>
          <w:sz w:val="16"/>
          <w:szCs w:val="16"/>
          <w:rtl/>
        </w:rPr>
        <w:t xml:space="preserve">, או שהתרו בו כההיא דרב כהנא </w:t>
      </w:r>
      <w:r w:rsidRPr="00845316">
        <w:rPr>
          <w:rFonts w:asciiTheme="minorBidi" w:hAnsiTheme="minorBidi"/>
          <w:sz w:val="14"/>
          <w:szCs w:val="14"/>
          <w:rtl/>
        </w:rPr>
        <w:t xml:space="preserve">(כדלעיל </w:t>
      </w:r>
      <w:r w:rsidRPr="00845316">
        <w:rPr>
          <w:rFonts w:asciiTheme="minorBidi" w:hAnsiTheme="minorBidi"/>
          <w:sz w:val="12"/>
          <w:szCs w:val="12"/>
          <w:rtl/>
        </w:rPr>
        <w:t>[ב"ק קיז.]</w:t>
      </w:r>
      <w:r w:rsidRPr="00845316">
        <w:rPr>
          <w:rFonts w:asciiTheme="minorBidi" w:hAnsiTheme="minorBidi"/>
          <w:sz w:val="14"/>
          <w:szCs w:val="14"/>
          <w:rtl/>
        </w:rPr>
        <w:t>)</w:t>
      </w:r>
      <w:r w:rsidRPr="00845316">
        <w:rPr>
          <w:rFonts w:asciiTheme="minorBidi" w:hAnsiTheme="minorBidi"/>
          <w:sz w:val="10"/>
          <w:szCs w:val="10"/>
          <w:rtl/>
        </w:rPr>
        <w:t xml:space="preserve"> </w:t>
      </w:r>
      <w:r w:rsidRPr="00845316">
        <w:rPr>
          <w:rFonts w:asciiTheme="minorBidi" w:hAnsiTheme="minorBidi"/>
          <w:sz w:val="16"/>
          <w:szCs w:val="16"/>
          <w:rtl/>
        </w:rPr>
        <w:t>הא לאו הכי- לא, דעביד איניש דגזים ולא עביד</w:t>
      </w:r>
      <w:r w:rsidRPr="00845316">
        <w:rPr>
          <w:rStyle w:val="ab"/>
          <w:rFonts w:asciiTheme="minorBidi" w:hAnsiTheme="minorBidi"/>
          <w:sz w:val="16"/>
          <w:szCs w:val="16"/>
          <w:rtl/>
        </w:rPr>
        <w:footnoteReference w:id="2304"/>
      </w:r>
      <w:r w:rsidRPr="00845316">
        <w:rPr>
          <w:rFonts w:asciiTheme="minorBidi" w:hAnsiTheme="minorBidi"/>
          <w:sz w:val="16"/>
          <w:szCs w:val="16"/>
          <w:rtl/>
        </w:rPr>
        <w:t xml:space="preserve"> </w:t>
      </w:r>
      <w:r w:rsidRPr="00845316">
        <w:rPr>
          <w:rFonts w:asciiTheme="minorBidi" w:hAnsiTheme="minorBidi"/>
          <w:sz w:val="14"/>
          <w:szCs w:val="14"/>
          <w:rtl/>
        </w:rPr>
        <w:t>(שבועות מו.)</w:t>
      </w:r>
      <w:r w:rsidRPr="00845316">
        <w:rPr>
          <w:rFonts w:asciiTheme="minorBidi" w:hAnsiTheme="minorBidi"/>
          <w:sz w:val="16"/>
          <w:szCs w:val="16"/>
          <w:rtl/>
        </w:rPr>
        <w:t xml:space="preserve">, ואפשר דמשום הכי נקט </w:t>
      </w:r>
      <w:r w:rsidRPr="00845316">
        <w:rPr>
          <w:rFonts w:asciiTheme="minorBidi" w:hAnsiTheme="minorBidi"/>
          <w:sz w:val="14"/>
          <w:szCs w:val="14"/>
          <w:rtl/>
        </w:rPr>
        <w:t>(ההגה"א)</w:t>
      </w:r>
      <w:r w:rsidRPr="00845316">
        <w:rPr>
          <w:rFonts w:asciiTheme="minorBidi" w:hAnsiTheme="minorBidi"/>
          <w:sz w:val="10"/>
          <w:szCs w:val="10"/>
          <w:rtl/>
        </w:rPr>
        <w:t xml:space="preserve"> </w:t>
      </w:r>
      <w:r w:rsidRPr="00845316">
        <w:rPr>
          <w:rFonts w:asciiTheme="minorBidi" w:hAnsiTheme="minorBidi"/>
          <w:sz w:val="16"/>
          <w:szCs w:val="16"/>
          <w:rtl/>
        </w:rPr>
        <w:t>"סני לחבריה" וגם "אמר ליה בפני רבים" לומר דכיון דסני ליה וגם אמר ליה בפני רבים אע"פ שלא התרו בו כיון שהעיז פניו כ"כ חזקתו שימסור והרי הוא פסול</w:t>
      </w:r>
      <w:r w:rsidRPr="00845316">
        <w:rPr>
          <w:rStyle w:val="ab"/>
          <w:rFonts w:asciiTheme="minorBidi" w:hAnsiTheme="minorBidi"/>
          <w:sz w:val="16"/>
          <w:szCs w:val="16"/>
          <w:rtl/>
        </w:rPr>
        <w:footnoteReference w:id="2305"/>
      </w:r>
      <w:r w:rsidRPr="00845316">
        <w:rPr>
          <w:rFonts w:asciiTheme="minorBidi" w:hAnsiTheme="minorBidi"/>
          <w:sz w:val="16"/>
          <w:szCs w:val="16"/>
          <w:rtl/>
        </w:rPr>
        <w:t xml:space="preserve">) </w:t>
      </w:r>
      <w:r w:rsidRPr="00845316">
        <w:rPr>
          <w:rFonts w:asciiTheme="minorBidi" w:hAnsiTheme="minorBidi"/>
          <w:color w:val="E36C0A" w:themeColor="accent6" w:themeShade="BF"/>
          <w:rtl/>
        </w:rPr>
        <w:t>(וכ"פ בשו"ע</w:t>
      </w:r>
      <w:r w:rsidRPr="00845316">
        <w:rPr>
          <w:rStyle w:val="ab"/>
          <w:rFonts w:asciiTheme="minorBidi" w:hAnsiTheme="minorBidi"/>
          <w:rtl/>
        </w:rPr>
        <w:footnoteReference w:id="2306"/>
      </w:r>
      <w:r w:rsidRPr="00845316">
        <w:rPr>
          <w:rFonts w:asciiTheme="minorBidi" w:hAnsiTheme="minorBidi"/>
          <w:color w:val="E36C0A" w:themeColor="accent6" w:themeShade="BF"/>
          <w:rtl/>
        </w:rPr>
        <w:t>)</w:t>
      </w:r>
    </w:p>
    <w:p w14:paraId="673E49C8" w14:textId="77777777" w:rsidR="004B607F" w:rsidRPr="00845316" w:rsidRDefault="004B607F" w:rsidP="004B607F">
      <w:pPr>
        <w:jc w:val="both"/>
        <w:rPr>
          <w:rFonts w:asciiTheme="minorBidi" w:hAnsiTheme="minorBidi"/>
          <w:rtl/>
        </w:rPr>
      </w:pPr>
      <w:r w:rsidRPr="00845316">
        <w:rPr>
          <w:rFonts w:asciiTheme="minorBidi" w:hAnsiTheme="minorBidi"/>
          <w:b/>
          <w:bCs/>
          <w:sz w:val="32"/>
          <w:szCs w:val="28"/>
          <w:u w:val="single"/>
          <w:rtl/>
        </w:rPr>
        <w:t xml:space="preserve">שו"ע: </w:t>
      </w:r>
    </w:p>
    <w:p w14:paraId="5BA1795D" w14:textId="77777777" w:rsidR="004B607F" w:rsidRPr="00845316" w:rsidRDefault="004B607F" w:rsidP="004B607F">
      <w:pPr>
        <w:rPr>
          <w:rFonts w:asciiTheme="minorBidi" w:hAnsiTheme="minorBidi"/>
          <w:rtl/>
        </w:rPr>
      </w:pPr>
      <w:r w:rsidRPr="00845316">
        <w:rPr>
          <w:rFonts w:asciiTheme="minorBidi" w:hAnsiTheme="minorBidi"/>
          <w:rtl/>
        </w:rPr>
        <w:t>השונא</w:t>
      </w:r>
      <w:r w:rsidRPr="00845316">
        <w:rPr>
          <w:rStyle w:val="ab"/>
          <w:rFonts w:asciiTheme="minorBidi" w:hAnsiTheme="minorBidi"/>
          <w:rtl/>
        </w:rPr>
        <w:footnoteReference w:id="2307"/>
      </w:r>
      <w:r w:rsidRPr="00845316">
        <w:rPr>
          <w:rFonts w:asciiTheme="minorBidi" w:hAnsiTheme="minorBidi"/>
          <w:rtl/>
        </w:rPr>
        <w:t xml:space="preserve"> לחבירו ואמר לו בפני רבים אלך ואמסור ממונך פסול לעדות</w:t>
      </w:r>
      <w:r w:rsidRPr="00845316">
        <w:rPr>
          <w:rStyle w:val="ab"/>
          <w:rFonts w:asciiTheme="minorBidi" w:hAnsiTheme="minorBidi"/>
          <w:rtl/>
        </w:rPr>
        <w:footnoteReference w:id="2308"/>
      </w:r>
      <w:r w:rsidRPr="00845316">
        <w:rPr>
          <w:rFonts w:asciiTheme="minorBidi" w:hAnsiTheme="minorBidi"/>
          <w:rtl/>
        </w:rPr>
        <w:t xml:space="preserve">. </w:t>
      </w:r>
    </w:p>
    <w:p w14:paraId="5CB9BA5A" w14:textId="77777777" w:rsidR="004B607F" w:rsidRPr="00845316" w:rsidRDefault="004B607F" w:rsidP="004B607F">
      <w:pPr>
        <w:rPr>
          <w:rFonts w:asciiTheme="minorBidi" w:hAnsiTheme="minorBidi"/>
          <w:rtl/>
        </w:rPr>
      </w:pPr>
    </w:p>
    <w:p w14:paraId="5C2EF92B" w14:textId="77777777" w:rsidR="004B607F" w:rsidRPr="00845316" w:rsidRDefault="004B607F" w:rsidP="004B607F">
      <w:pPr>
        <w:pStyle w:val="2"/>
        <w:rPr>
          <w:rFonts w:asciiTheme="minorBidi" w:hAnsiTheme="minorBidi"/>
          <w:rtl/>
        </w:rPr>
      </w:pPr>
      <w:bookmarkStart w:id="309" w:name="_Toc24883768"/>
      <w:r w:rsidRPr="00845316">
        <w:rPr>
          <w:rFonts w:asciiTheme="minorBidi" w:hAnsiTheme="minorBidi"/>
          <w:rtl/>
        </w:rPr>
        <w:lastRenderedPageBreak/>
        <w:t>סעיף כא: ממזר פצוע דכא כרות שפכה וערל שמתו אחיו מחמת מילה.</w:t>
      </w:r>
      <w:bookmarkEnd w:id="309"/>
    </w:p>
    <w:p w14:paraId="1119C4BC" w14:textId="77777777" w:rsidR="004B607F" w:rsidRPr="00845316" w:rsidRDefault="004B607F" w:rsidP="004B607F">
      <w:pPr>
        <w:jc w:val="both"/>
        <w:rPr>
          <w:rFonts w:asciiTheme="minorBidi" w:hAnsiTheme="minorBidi"/>
          <w:rtl/>
        </w:rPr>
      </w:pPr>
      <w:r w:rsidRPr="00845316">
        <w:rPr>
          <w:rFonts w:asciiTheme="minorBidi" w:hAnsiTheme="minorBidi"/>
          <w:b/>
          <w:bCs/>
          <w:sz w:val="32"/>
          <w:szCs w:val="28"/>
          <w:u w:val="single"/>
          <w:rtl/>
        </w:rPr>
        <w:t xml:space="preserve">שו"ע: </w:t>
      </w:r>
    </w:p>
    <w:p w14:paraId="249D192B" w14:textId="77777777" w:rsidR="004B607F" w:rsidRPr="00845316" w:rsidRDefault="004B607F" w:rsidP="004B607F">
      <w:pPr>
        <w:rPr>
          <w:rFonts w:asciiTheme="minorBidi" w:hAnsiTheme="minorBidi"/>
          <w:sz w:val="16"/>
          <w:szCs w:val="16"/>
          <w:rtl/>
        </w:rPr>
      </w:pPr>
      <w:r w:rsidRPr="00845316">
        <w:rPr>
          <w:rFonts w:asciiTheme="minorBidi" w:hAnsiTheme="minorBidi"/>
          <w:rtl/>
        </w:rPr>
        <w:t>ממזר ופצוע דכא וכרות שפכה וערל שמתו אחיו מחמת מילה כשרים לעדות</w:t>
      </w:r>
      <w:r w:rsidRPr="00845316">
        <w:rPr>
          <w:rStyle w:val="ab"/>
          <w:rFonts w:asciiTheme="minorBidi" w:hAnsiTheme="minorBidi"/>
          <w:rtl/>
        </w:rPr>
        <w:footnoteReference w:id="2309"/>
      </w:r>
      <w:r w:rsidRPr="00845316">
        <w:rPr>
          <w:rFonts w:asciiTheme="minorBidi" w:hAnsiTheme="minorBidi"/>
          <w:rtl/>
        </w:rPr>
        <w:t xml:space="preserve">. </w:t>
      </w:r>
      <w:r w:rsidRPr="00845316">
        <w:rPr>
          <w:rFonts w:asciiTheme="minorBidi" w:hAnsiTheme="minorBidi"/>
          <w:sz w:val="16"/>
          <w:szCs w:val="16"/>
          <w:rtl/>
        </w:rPr>
        <w:t>{תוס'</w:t>
      </w:r>
      <w:r>
        <w:rPr>
          <w:rFonts w:asciiTheme="minorBidi" w:hAnsiTheme="minorBidi" w:hint="cs"/>
          <w:sz w:val="16"/>
          <w:szCs w:val="16"/>
          <w:rtl/>
        </w:rPr>
        <w:t xml:space="preserve"> </w:t>
      </w:r>
      <w:r w:rsidRPr="00722CD6">
        <w:rPr>
          <w:rFonts w:asciiTheme="minorBidi" w:hAnsiTheme="minorBidi" w:hint="cs"/>
          <w:sz w:val="14"/>
          <w:szCs w:val="14"/>
          <w:rtl/>
        </w:rPr>
        <w:t>[</w:t>
      </w:r>
      <w:r w:rsidRPr="00722CD6">
        <w:rPr>
          <w:rFonts w:asciiTheme="minorBidi" w:hAnsiTheme="minorBidi"/>
          <w:sz w:val="14"/>
          <w:szCs w:val="14"/>
          <w:rtl/>
        </w:rPr>
        <w:t>ב"ק פח</w:t>
      </w:r>
      <w:r>
        <w:rPr>
          <w:rStyle w:val="ab"/>
          <w:rFonts w:asciiTheme="minorBidi" w:hAnsiTheme="minorBidi"/>
          <w:sz w:val="14"/>
          <w:szCs w:val="14"/>
          <w:rtl/>
        </w:rPr>
        <w:footnoteReference w:id="2310"/>
      </w:r>
      <w:r w:rsidRPr="00722CD6">
        <w:rPr>
          <w:rFonts w:asciiTheme="minorBidi" w:hAnsiTheme="minorBidi"/>
          <w:sz w:val="14"/>
          <w:szCs w:val="14"/>
          <w:rtl/>
        </w:rPr>
        <w:t>. ד"ה אלא</w:t>
      </w:r>
      <w:r w:rsidRPr="00722CD6">
        <w:rPr>
          <w:rFonts w:asciiTheme="minorBidi" w:hAnsiTheme="minorBidi"/>
          <w:sz w:val="8"/>
          <w:szCs w:val="8"/>
          <w:rtl/>
        </w:rPr>
        <w:t xml:space="preserve"> </w:t>
      </w:r>
      <w:r>
        <w:rPr>
          <w:rFonts w:asciiTheme="minorBidi" w:hAnsiTheme="minorBidi" w:hint="cs"/>
          <w:sz w:val="14"/>
          <w:szCs w:val="14"/>
          <w:rtl/>
        </w:rPr>
        <w:t>\</w:t>
      </w:r>
      <w:r w:rsidRPr="00722CD6">
        <w:rPr>
          <w:rFonts w:asciiTheme="minorBidi" w:hAnsiTheme="minorBidi" w:hint="cs"/>
          <w:sz w:val="14"/>
          <w:szCs w:val="14"/>
          <w:rtl/>
        </w:rPr>
        <w:t>]</w:t>
      </w:r>
      <w:r w:rsidRPr="00845316">
        <w:rPr>
          <w:rFonts w:asciiTheme="minorBidi" w:hAnsiTheme="minorBidi"/>
          <w:sz w:val="16"/>
          <w:szCs w:val="16"/>
          <w:rtl/>
        </w:rPr>
        <w:t>}</w:t>
      </w:r>
    </w:p>
    <w:p w14:paraId="39DB5B4A" w14:textId="77777777" w:rsidR="004B607F" w:rsidRPr="00845316" w:rsidRDefault="004B607F" w:rsidP="004B607F">
      <w:pPr>
        <w:rPr>
          <w:rFonts w:asciiTheme="minorBidi" w:hAnsiTheme="minorBidi"/>
          <w:rtl/>
        </w:rPr>
      </w:pPr>
    </w:p>
    <w:p w14:paraId="2F4A0977" w14:textId="77777777" w:rsidR="004B607F" w:rsidRPr="00845316" w:rsidRDefault="004B607F" w:rsidP="004B607F">
      <w:pPr>
        <w:pStyle w:val="2"/>
        <w:rPr>
          <w:rFonts w:asciiTheme="minorBidi" w:hAnsiTheme="minorBidi"/>
          <w:rtl/>
        </w:rPr>
      </w:pPr>
      <w:bookmarkStart w:id="310" w:name="_Toc24883769"/>
      <w:r w:rsidRPr="00845316">
        <w:rPr>
          <w:rFonts w:asciiTheme="minorBidi" w:hAnsiTheme="minorBidi"/>
          <w:rtl/>
        </w:rPr>
        <w:t>סעיף כב: מוסרים אפיקורסים ומומרים לע"ז.</w:t>
      </w:r>
      <w:bookmarkEnd w:id="310"/>
    </w:p>
    <w:p w14:paraId="4659DD11" w14:textId="77777777" w:rsidR="004B607F" w:rsidRPr="00845316" w:rsidRDefault="004B607F" w:rsidP="004B607F">
      <w:pPr>
        <w:rPr>
          <w:rFonts w:asciiTheme="minorBidi" w:hAnsiTheme="minorBidi"/>
          <w:sz w:val="16"/>
          <w:szCs w:val="16"/>
          <w:rtl/>
        </w:rPr>
      </w:pPr>
      <w:bookmarkStart w:id="311" w:name="_Hlk19703977"/>
      <w:r w:rsidRPr="00845316">
        <w:rPr>
          <w:rFonts w:asciiTheme="minorBidi" w:hAnsiTheme="minorBidi"/>
          <w:b/>
          <w:bCs/>
          <w:rtl/>
        </w:rPr>
        <w:t>עבודה זרה כו</w:t>
      </w:r>
      <w:r>
        <w:rPr>
          <w:rStyle w:val="ab"/>
          <w:rFonts w:asciiTheme="minorBidi" w:hAnsiTheme="minorBidi"/>
          <w:b/>
          <w:bCs/>
          <w:rtl/>
        </w:rPr>
        <w:footnoteReference w:id="2311"/>
      </w:r>
      <w:r w:rsidRPr="00845316">
        <w:rPr>
          <w:rFonts w:asciiTheme="minorBidi" w:hAnsiTheme="minorBidi"/>
          <w:b/>
          <w:bCs/>
          <w:rtl/>
        </w:rPr>
        <w:t xml:space="preserve"> ע"א: </w:t>
      </w:r>
      <w:r w:rsidRPr="00845316">
        <w:rPr>
          <w:rFonts w:asciiTheme="minorBidi" w:hAnsiTheme="minorBidi"/>
          <w:u w:val="single"/>
          <w:rtl/>
        </w:rPr>
        <w:t>תני רבי אבהו קמיה דר' יוחנן</w:t>
      </w:r>
      <w:r w:rsidRPr="00845316">
        <w:rPr>
          <w:rFonts w:asciiTheme="minorBidi" w:hAnsiTheme="minorBidi"/>
          <w:rtl/>
        </w:rPr>
        <w:t>: העובדי כוכבים ורועי בהמה דקה</w:t>
      </w:r>
      <w:r>
        <w:rPr>
          <w:rFonts w:asciiTheme="minorBidi" w:hAnsiTheme="minorBidi" w:hint="cs"/>
          <w:rtl/>
        </w:rPr>
        <w:t xml:space="preserve"> </w:t>
      </w:r>
      <w:r w:rsidRPr="00845316">
        <w:rPr>
          <w:rFonts w:asciiTheme="minorBidi" w:hAnsiTheme="minorBidi"/>
          <w:rtl/>
        </w:rPr>
        <w:t>- לא מעלין</w:t>
      </w:r>
      <w:r w:rsidRPr="00845316">
        <w:rPr>
          <w:rStyle w:val="ab"/>
          <w:rFonts w:asciiTheme="minorBidi" w:hAnsiTheme="minorBidi"/>
          <w:rtl/>
        </w:rPr>
        <w:footnoteReference w:id="2312"/>
      </w:r>
      <w:r w:rsidRPr="00845316">
        <w:rPr>
          <w:rFonts w:asciiTheme="minorBidi" w:hAnsiTheme="minorBidi"/>
          <w:rtl/>
        </w:rPr>
        <w:t xml:space="preserve"> ולא מורידין</w:t>
      </w:r>
      <w:r w:rsidRPr="00845316">
        <w:rPr>
          <w:rStyle w:val="ab"/>
          <w:rFonts w:asciiTheme="minorBidi" w:hAnsiTheme="minorBidi"/>
          <w:rtl/>
        </w:rPr>
        <w:footnoteReference w:id="2313"/>
      </w:r>
      <w:r w:rsidRPr="00845316">
        <w:rPr>
          <w:rFonts w:asciiTheme="minorBidi" w:hAnsiTheme="minorBidi"/>
          <w:rtl/>
        </w:rPr>
        <w:t>, אבל המינין</w:t>
      </w:r>
      <w:r w:rsidRPr="00845316">
        <w:rPr>
          <w:rStyle w:val="ab"/>
          <w:rFonts w:asciiTheme="minorBidi" w:hAnsiTheme="minorBidi"/>
          <w:rtl/>
        </w:rPr>
        <w:footnoteReference w:id="2314"/>
      </w:r>
      <w:r w:rsidRPr="00845316">
        <w:rPr>
          <w:rFonts w:asciiTheme="minorBidi" w:hAnsiTheme="minorBidi"/>
          <w:rtl/>
        </w:rPr>
        <w:t xml:space="preserve"> והמסורות</w:t>
      </w:r>
      <w:r w:rsidRPr="00845316">
        <w:rPr>
          <w:rStyle w:val="ab"/>
          <w:rFonts w:asciiTheme="minorBidi" w:hAnsiTheme="minorBidi"/>
          <w:rtl/>
        </w:rPr>
        <w:footnoteReference w:id="2315"/>
      </w:r>
      <w:r w:rsidRPr="00845316">
        <w:rPr>
          <w:rFonts w:asciiTheme="minorBidi" w:hAnsiTheme="minorBidi"/>
          <w:rtl/>
        </w:rPr>
        <w:t xml:space="preserve"> והמומרים</w:t>
      </w:r>
      <w:r>
        <w:rPr>
          <w:rFonts w:asciiTheme="minorBidi" w:hAnsiTheme="minorBidi" w:hint="cs"/>
          <w:rtl/>
        </w:rPr>
        <w:t xml:space="preserve"> </w:t>
      </w:r>
      <w:r w:rsidRPr="00845316">
        <w:rPr>
          <w:rFonts w:asciiTheme="minorBidi" w:hAnsiTheme="minorBidi"/>
          <w:rtl/>
        </w:rPr>
        <w:t>- היו מורידין ולא מעלין. א"ל, אני שונה לכל אבידת אחיך</w:t>
      </w:r>
      <w:r>
        <w:rPr>
          <w:rFonts w:asciiTheme="minorBidi" w:hAnsiTheme="minorBidi" w:hint="cs"/>
          <w:rtl/>
        </w:rPr>
        <w:t xml:space="preserve"> </w:t>
      </w:r>
      <w:r w:rsidRPr="00845316">
        <w:rPr>
          <w:rFonts w:asciiTheme="minorBidi" w:hAnsiTheme="minorBidi"/>
          <w:rtl/>
        </w:rPr>
        <w:t xml:space="preserve">- לרבות את המומר, ואת אמרת היו מורידין! </w:t>
      </w:r>
      <w:r w:rsidRPr="00845316">
        <w:rPr>
          <w:rStyle w:val="ab"/>
          <w:rFonts w:asciiTheme="minorBidi" w:hAnsiTheme="minorBidi"/>
          <w:rtl/>
        </w:rPr>
        <w:footnoteReference w:id="2316"/>
      </w:r>
      <w:r w:rsidRPr="00845316">
        <w:rPr>
          <w:rFonts w:asciiTheme="minorBidi" w:hAnsiTheme="minorBidi"/>
          <w:rtl/>
        </w:rPr>
        <w:t xml:space="preserve">סמי מכאן מומר. </w:t>
      </w:r>
      <w:r w:rsidRPr="00845316">
        <w:rPr>
          <w:rStyle w:val="ab"/>
          <w:rFonts w:asciiTheme="minorBidi" w:hAnsiTheme="minorBidi"/>
          <w:rtl/>
        </w:rPr>
        <w:footnoteReference w:id="2317"/>
      </w:r>
      <w:r w:rsidRPr="00845316">
        <w:rPr>
          <w:rFonts w:asciiTheme="minorBidi" w:hAnsiTheme="minorBidi"/>
          <w:rtl/>
        </w:rPr>
        <w:t>ולישני ליה כאן</w:t>
      </w:r>
      <w:r w:rsidRPr="00845316">
        <w:rPr>
          <w:rFonts w:asciiTheme="minorBidi" w:hAnsiTheme="minorBidi"/>
          <w:sz w:val="16"/>
          <w:szCs w:val="16"/>
          <w:rtl/>
        </w:rPr>
        <w:t xml:space="preserve"> </w:t>
      </w:r>
      <w:r w:rsidRPr="00845316">
        <w:rPr>
          <w:rFonts w:asciiTheme="minorBidi" w:hAnsiTheme="minorBidi"/>
          <w:rtl/>
        </w:rPr>
        <w:t>במומר</w:t>
      </w:r>
      <w:r w:rsidRPr="00845316">
        <w:rPr>
          <w:rFonts w:asciiTheme="minorBidi" w:hAnsiTheme="minorBidi"/>
          <w:sz w:val="16"/>
          <w:szCs w:val="16"/>
          <w:rtl/>
        </w:rPr>
        <w:t xml:space="preserve"> </w:t>
      </w:r>
      <w:r w:rsidRPr="00845316">
        <w:rPr>
          <w:rFonts w:asciiTheme="minorBidi" w:hAnsiTheme="minorBidi"/>
          <w:rtl/>
        </w:rPr>
        <w:t>אוכל</w:t>
      </w:r>
      <w:r w:rsidRPr="00845316">
        <w:rPr>
          <w:rFonts w:asciiTheme="minorBidi" w:hAnsiTheme="minorBidi"/>
          <w:sz w:val="16"/>
          <w:szCs w:val="16"/>
          <w:rtl/>
        </w:rPr>
        <w:t xml:space="preserve"> </w:t>
      </w:r>
      <w:r w:rsidRPr="00845316">
        <w:rPr>
          <w:rFonts w:asciiTheme="minorBidi" w:hAnsiTheme="minorBidi"/>
          <w:rtl/>
        </w:rPr>
        <w:t>נבילות</w:t>
      </w:r>
      <w:r w:rsidRPr="00845316">
        <w:rPr>
          <w:rFonts w:asciiTheme="minorBidi" w:hAnsiTheme="minorBidi"/>
          <w:sz w:val="16"/>
          <w:szCs w:val="16"/>
          <w:rtl/>
        </w:rPr>
        <w:t xml:space="preserve"> </w:t>
      </w:r>
      <w:r w:rsidRPr="00845316">
        <w:rPr>
          <w:rFonts w:asciiTheme="minorBidi" w:hAnsiTheme="minorBidi"/>
          <w:rtl/>
        </w:rPr>
        <w:t>לתיאבון</w:t>
      </w:r>
      <w:r w:rsidRPr="00845316">
        <w:rPr>
          <w:rStyle w:val="ab"/>
          <w:rFonts w:asciiTheme="minorBidi" w:hAnsiTheme="minorBidi"/>
          <w:rtl/>
        </w:rPr>
        <w:footnoteReference w:id="2318"/>
      </w:r>
      <w:r w:rsidRPr="00845316">
        <w:rPr>
          <w:rFonts w:asciiTheme="minorBidi" w:hAnsiTheme="minorBidi"/>
          <w:sz w:val="16"/>
          <w:szCs w:val="16"/>
          <w:rtl/>
        </w:rPr>
        <w:t xml:space="preserve"> </w:t>
      </w:r>
      <w:r w:rsidRPr="00845316">
        <w:rPr>
          <w:rFonts w:asciiTheme="minorBidi" w:hAnsiTheme="minorBidi"/>
          <w:rtl/>
        </w:rPr>
        <w:t>כאן</w:t>
      </w:r>
      <w:r w:rsidRPr="00845316">
        <w:rPr>
          <w:rFonts w:asciiTheme="minorBidi" w:hAnsiTheme="minorBidi"/>
          <w:sz w:val="16"/>
          <w:szCs w:val="16"/>
          <w:rtl/>
        </w:rPr>
        <w:t xml:space="preserve"> </w:t>
      </w:r>
      <w:r w:rsidRPr="00845316">
        <w:rPr>
          <w:rFonts w:asciiTheme="minorBidi" w:hAnsiTheme="minorBidi"/>
          <w:rtl/>
        </w:rPr>
        <w:t>במומר</w:t>
      </w:r>
      <w:r w:rsidRPr="00845316">
        <w:rPr>
          <w:rFonts w:asciiTheme="minorBidi" w:hAnsiTheme="minorBidi"/>
          <w:sz w:val="16"/>
          <w:szCs w:val="16"/>
          <w:rtl/>
        </w:rPr>
        <w:t xml:space="preserve"> </w:t>
      </w:r>
      <w:r w:rsidRPr="00845316">
        <w:rPr>
          <w:rFonts w:asciiTheme="minorBidi" w:hAnsiTheme="minorBidi"/>
          <w:rtl/>
        </w:rPr>
        <w:t>אוכל</w:t>
      </w:r>
      <w:r w:rsidRPr="00845316">
        <w:rPr>
          <w:rFonts w:asciiTheme="minorBidi" w:hAnsiTheme="minorBidi"/>
          <w:sz w:val="16"/>
          <w:szCs w:val="16"/>
          <w:rtl/>
        </w:rPr>
        <w:t xml:space="preserve"> </w:t>
      </w:r>
      <w:r w:rsidRPr="00845316">
        <w:rPr>
          <w:rFonts w:asciiTheme="minorBidi" w:hAnsiTheme="minorBidi"/>
          <w:rtl/>
        </w:rPr>
        <w:t>נבילות</w:t>
      </w:r>
      <w:r w:rsidRPr="00845316">
        <w:rPr>
          <w:rFonts w:asciiTheme="minorBidi" w:hAnsiTheme="minorBidi"/>
          <w:sz w:val="16"/>
          <w:szCs w:val="16"/>
          <w:rtl/>
        </w:rPr>
        <w:t xml:space="preserve"> </w:t>
      </w:r>
      <w:r w:rsidRPr="00845316">
        <w:rPr>
          <w:rFonts w:asciiTheme="minorBidi" w:hAnsiTheme="minorBidi"/>
          <w:rtl/>
        </w:rPr>
        <w:t>להכעיס! קסבר אוכל נבילות להכעיס מין הוא</w:t>
      </w:r>
      <w:r w:rsidRPr="00845316">
        <w:rPr>
          <w:rStyle w:val="ab"/>
          <w:rFonts w:asciiTheme="minorBidi" w:hAnsiTheme="minorBidi"/>
          <w:rtl/>
        </w:rPr>
        <w:footnoteReference w:id="2319"/>
      </w:r>
      <w:r w:rsidRPr="00845316">
        <w:rPr>
          <w:rFonts w:asciiTheme="minorBidi" w:hAnsiTheme="minorBidi"/>
          <w:rtl/>
        </w:rPr>
        <w:t>.</w:t>
      </w:r>
      <w:r w:rsidRPr="00845316">
        <w:rPr>
          <w:rFonts w:asciiTheme="minorBidi" w:hAnsiTheme="minorBidi"/>
          <w:sz w:val="16"/>
          <w:szCs w:val="16"/>
          <w:rtl/>
        </w:rPr>
        <w:t xml:space="preserve"> (ומכאן דגם מין וגם מומר להכעיס מורידין ולא מעלין וכ"ש שפסולים לעדות)</w:t>
      </w:r>
    </w:p>
    <w:p w14:paraId="0082AFEB" w14:textId="77777777" w:rsidR="004B607F" w:rsidRPr="00845316" w:rsidRDefault="004B607F" w:rsidP="004B607F">
      <w:pPr>
        <w:rPr>
          <w:rFonts w:asciiTheme="minorBidi" w:hAnsiTheme="minorBidi"/>
          <w:rtl/>
        </w:rPr>
      </w:pPr>
      <w:r w:rsidRPr="00845316">
        <w:rPr>
          <w:rFonts w:asciiTheme="minorBidi" w:hAnsiTheme="minorBidi"/>
          <w:b/>
          <w:bCs/>
          <w:rtl/>
        </w:rPr>
        <w:t xml:space="preserve">בכורות מו ע"ב: </w:t>
      </w:r>
      <w:r w:rsidRPr="00845316">
        <w:rPr>
          <w:rFonts w:asciiTheme="minorBidi" w:hAnsiTheme="minorBidi"/>
          <w:u w:val="double"/>
          <w:rtl/>
        </w:rPr>
        <w:t>מתני':</w:t>
      </w:r>
      <w:r w:rsidRPr="00845316">
        <w:rPr>
          <w:rFonts w:asciiTheme="minorBidi" w:hAnsiTheme="minorBidi"/>
          <w:rtl/>
        </w:rPr>
        <w:t xml:space="preserve"> אלו</w:t>
      </w:r>
      <w:r w:rsidRPr="00845316">
        <w:rPr>
          <w:rStyle w:val="ab"/>
          <w:rFonts w:asciiTheme="minorBidi" w:hAnsiTheme="minorBidi"/>
          <w:rtl/>
        </w:rPr>
        <w:footnoteReference w:id="2320"/>
      </w:r>
      <w:r w:rsidRPr="00845316">
        <w:rPr>
          <w:rFonts w:asciiTheme="minorBidi" w:hAnsiTheme="minorBidi"/>
          <w:rtl/>
        </w:rPr>
        <w:t>.... והנושא נשים בעבירה</w:t>
      </w:r>
      <w:r w:rsidRPr="00845316">
        <w:rPr>
          <w:rStyle w:val="ab"/>
          <w:rFonts w:asciiTheme="minorBidi" w:hAnsiTheme="minorBidi"/>
          <w:rtl/>
        </w:rPr>
        <w:footnoteReference w:id="2321"/>
      </w:r>
      <w:r w:rsidRPr="00845316">
        <w:rPr>
          <w:rFonts w:asciiTheme="minorBidi" w:hAnsiTheme="minorBidi"/>
          <w:rtl/>
        </w:rPr>
        <w:t xml:space="preserve"> - פסול עד שידירנה הנאה</w:t>
      </w:r>
      <w:r w:rsidRPr="00845316">
        <w:rPr>
          <w:rStyle w:val="ab"/>
          <w:rFonts w:asciiTheme="minorBidi" w:hAnsiTheme="minorBidi"/>
          <w:rtl/>
        </w:rPr>
        <w:footnoteReference w:id="2322"/>
      </w:r>
      <w:r w:rsidRPr="00845316">
        <w:rPr>
          <w:rFonts w:asciiTheme="minorBidi" w:hAnsiTheme="minorBidi"/>
          <w:rtl/>
        </w:rPr>
        <w:t xml:space="preserve">...  </w:t>
      </w:r>
      <w:r w:rsidRPr="00845316">
        <w:rPr>
          <w:rFonts w:asciiTheme="minorBidi" w:hAnsiTheme="minorBidi"/>
          <w:u w:val="double"/>
          <w:rtl/>
        </w:rPr>
        <w:t>גמ':</w:t>
      </w:r>
      <w:r w:rsidRPr="00845316">
        <w:rPr>
          <w:rFonts w:asciiTheme="minorBidi" w:hAnsiTheme="minorBidi"/>
          <w:rtl/>
        </w:rPr>
        <w:t xml:space="preserve"> תנא: נודר ועובד</w:t>
      </w:r>
      <w:r w:rsidRPr="00845316">
        <w:rPr>
          <w:rStyle w:val="ab"/>
          <w:rFonts w:asciiTheme="minorBidi" w:hAnsiTheme="minorBidi"/>
          <w:rtl/>
        </w:rPr>
        <w:footnoteReference w:id="2323"/>
      </w:r>
      <w:r w:rsidRPr="00845316">
        <w:rPr>
          <w:rFonts w:asciiTheme="minorBidi" w:hAnsiTheme="minorBidi"/>
          <w:rtl/>
        </w:rPr>
        <w:t>, יורד ומגרש. וליחוש דלמא אזיל לגבי חכם ושרי ליה!... דמדרינן ליה אדעת רבים.</w:t>
      </w:r>
    </w:p>
    <w:bookmarkEnd w:id="311"/>
    <w:p w14:paraId="30A37C93" w14:textId="77777777" w:rsidR="004B607F" w:rsidRPr="00845316" w:rsidRDefault="004B607F" w:rsidP="004B607F">
      <w:pPr>
        <w:jc w:val="both"/>
        <w:rPr>
          <w:rFonts w:asciiTheme="minorBidi" w:hAnsiTheme="minorBidi"/>
          <w:rtl/>
        </w:rPr>
      </w:pPr>
      <w:r w:rsidRPr="00845316">
        <w:rPr>
          <w:rFonts w:asciiTheme="minorBidi" w:hAnsiTheme="minorBidi"/>
          <w:b/>
          <w:bCs/>
          <w:sz w:val="32"/>
          <w:szCs w:val="28"/>
          <w:u w:val="single"/>
          <w:rtl/>
        </w:rPr>
        <w:t xml:space="preserve">שו"ע: </w:t>
      </w:r>
    </w:p>
    <w:p w14:paraId="0AEEE1B5" w14:textId="77777777" w:rsidR="004B607F" w:rsidRPr="00845316" w:rsidRDefault="004B607F" w:rsidP="004B607F">
      <w:pPr>
        <w:rPr>
          <w:rFonts w:asciiTheme="minorBidi" w:hAnsiTheme="minorBidi"/>
          <w:rtl/>
        </w:rPr>
      </w:pPr>
      <w:r w:rsidRPr="00845316">
        <w:rPr>
          <w:rFonts w:asciiTheme="minorBidi" w:hAnsiTheme="minorBidi"/>
          <w:rtl/>
        </w:rPr>
        <w:t>המוסרים לאנסים והאפיקורסים והמומרים לעבודת כוכבים פחותים</w:t>
      </w:r>
      <w:r w:rsidRPr="00845316">
        <w:rPr>
          <w:rStyle w:val="ab"/>
          <w:rFonts w:asciiTheme="minorBidi" w:hAnsiTheme="minorBidi"/>
          <w:rtl/>
        </w:rPr>
        <w:footnoteReference w:id="2324"/>
      </w:r>
      <w:r w:rsidRPr="00845316">
        <w:rPr>
          <w:rFonts w:asciiTheme="minorBidi" w:hAnsiTheme="minorBidi"/>
          <w:rtl/>
        </w:rPr>
        <w:t xml:space="preserve"> מהגוים ופסולים לעדות. </w:t>
      </w:r>
      <w:r w:rsidRPr="00845316">
        <w:rPr>
          <w:rFonts w:asciiTheme="minorBidi" w:hAnsiTheme="minorBidi"/>
          <w:sz w:val="18"/>
          <w:szCs w:val="18"/>
          <w:rtl/>
        </w:rPr>
        <w:t xml:space="preserve">הגה: ואפי' מחל לו הנמסר פסול עד שישוב בתשובה </w:t>
      </w:r>
      <w:r w:rsidRPr="00845316">
        <w:rPr>
          <w:rFonts w:asciiTheme="minorBidi" w:hAnsiTheme="minorBidi"/>
          <w:sz w:val="16"/>
          <w:szCs w:val="16"/>
          <w:rtl/>
        </w:rPr>
        <w:t>(ב"י בשם מ"כ ומדברי הרמב"ם פי"ב, וכ"מ באשרי)</w:t>
      </w:r>
      <w:r w:rsidRPr="00845316">
        <w:rPr>
          <w:rFonts w:asciiTheme="minorBidi" w:hAnsiTheme="minorBidi"/>
          <w:sz w:val="18"/>
          <w:szCs w:val="18"/>
          <w:rtl/>
        </w:rPr>
        <w:t>. מומר</w:t>
      </w:r>
      <w:r w:rsidRPr="00845316">
        <w:rPr>
          <w:rStyle w:val="ab"/>
          <w:rFonts w:asciiTheme="minorBidi" w:hAnsiTheme="minorBidi"/>
          <w:sz w:val="18"/>
          <w:szCs w:val="18"/>
          <w:rtl/>
        </w:rPr>
        <w:footnoteReference w:id="2325"/>
      </w:r>
      <w:r w:rsidRPr="00845316">
        <w:rPr>
          <w:rFonts w:asciiTheme="minorBidi" w:hAnsiTheme="minorBidi"/>
          <w:sz w:val="18"/>
          <w:szCs w:val="18"/>
          <w:rtl/>
        </w:rPr>
        <w:t xml:space="preserve"> שחזר בו</w:t>
      </w:r>
      <w:r w:rsidRPr="00845316">
        <w:rPr>
          <w:rStyle w:val="ab"/>
          <w:rFonts w:asciiTheme="minorBidi" w:hAnsiTheme="minorBidi"/>
          <w:sz w:val="18"/>
          <w:szCs w:val="18"/>
          <w:rtl/>
        </w:rPr>
        <w:footnoteReference w:id="2326"/>
      </w:r>
      <w:r w:rsidRPr="00845316">
        <w:rPr>
          <w:rFonts w:asciiTheme="minorBidi" w:hAnsiTheme="minorBidi"/>
          <w:sz w:val="18"/>
          <w:szCs w:val="18"/>
          <w:rtl/>
        </w:rPr>
        <w:t xml:space="preserve"> וקבל עליו תשובה כשר מיד</w:t>
      </w:r>
      <w:r w:rsidRPr="00845316">
        <w:rPr>
          <w:rStyle w:val="ab"/>
          <w:rFonts w:asciiTheme="minorBidi" w:hAnsiTheme="minorBidi"/>
          <w:sz w:val="18"/>
          <w:szCs w:val="18"/>
          <w:rtl/>
        </w:rPr>
        <w:footnoteReference w:id="2327"/>
      </w:r>
      <w:r w:rsidRPr="00845316">
        <w:rPr>
          <w:rFonts w:asciiTheme="minorBidi" w:hAnsiTheme="minorBidi"/>
          <w:sz w:val="18"/>
          <w:szCs w:val="18"/>
          <w:rtl/>
        </w:rPr>
        <w:t xml:space="preserve"> אע</w:t>
      </w:r>
      <w:r>
        <w:rPr>
          <w:rFonts w:asciiTheme="minorBidi" w:hAnsiTheme="minorBidi" w:hint="cs"/>
          <w:sz w:val="18"/>
          <w:szCs w:val="18"/>
          <w:rtl/>
        </w:rPr>
        <w:t>"</w:t>
      </w:r>
      <w:r w:rsidRPr="00845316">
        <w:rPr>
          <w:rFonts w:asciiTheme="minorBidi" w:hAnsiTheme="minorBidi"/>
          <w:sz w:val="18"/>
          <w:szCs w:val="18"/>
          <w:rtl/>
        </w:rPr>
        <w:t xml:space="preserve">פ שלא עשאה עדיין </w:t>
      </w:r>
      <w:r w:rsidRPr="00845316">
        <w:rPr>
          <w:rFonts w:asciiTheme="minorBidi" w:hAnsiTheme="minorBidi"/>
          <w:sz w:val="16"/>
          <w:szCs w:val="16"/>
          <w:rtl/>
        </w:rPr>
        <w:t>(מהרי"ק שורש פ"ה)</w:t>
      </w:r>
      <w:r w:rsidRPr="00845316">
        <w:rPr>
          <w:rFonts w:asciiTheme="minorBidi" w:hAnsiTheme="minorBidi"/>
          <w:sz w:val="18"/>
          <w:szCs w:val="18"/>
          <w:rtl/>
        </w:rPr>
        <w:t>.</w:t>
      </w:r>
    </w:p>
    <w:p w14:paraId="0955949E" w14:textId="77777777" w:rsidR="004B607F" w:rsidRPr="00845316" w:rsidRDefault="004B607F" w:rsidP="004B607F">
      <w:pPr>
        <w:rPr>
          <w:rFonts w:asciiTheme="minorBidi" w:hAnsiTheme="minorBidi"/>
          <w:u w:val="single"/>
          <w:rtl/>
        </w:rPr>
      </w:pPr>
      <w:r w:rsidRPr="00845316">
        <w:rPr>
          <w:rFonts w:asciiTheme="minorBidi" w:hAnsiTheme="minorBidi"/>
          <w:u w:val="single"/>
          <w:rtl/>
        </w:rPr>
        <w:t xml:space="preserve">אדם </w:t>
      </w:r>
      <w:r w:rsidRPr="00845316">
        <w:rPr>
          <w:rFonts w:asciiTheme="minorBidi" w:hAnsiTheme="minorBidi"/>
          <w:b/>
          <w:bCs/>
          <w:u w:val="single"/>
          <w:rtl/>
        </w:rPr>
        <w:t xml:space="preserve">שמוחזק </w:t>
      </w:r>
      <w:r w:rsidRPr="00845316">
        <w:rPr>
          <w:rFonts w:asciiTheme="minorBidi" w:hAnsiTheme="minorBidi"/>
          <w:u w:val="single"/>
          <w:rtl/>
        </w:rPr>
        <w:t>למסור פסול מדאו' או מדרבנן:</w:t>
      </w:r>
      <w:r w:rsidRPr="00845316">
        <w:rPr>
          <w:rFonts w:asciiTheme="minorBidi" w:hAnsiTheme="minorBidi"/>
          <w:sz w:val="16"/>
          <w:szCs w:val="16"/>
          <w:rtl/>
        </w:rPr>
        <w:t xml:space="preserve">   (פת"ש סקל"א)</w:t>
      </w:r>
    </w:p>
    <w:p w14:paraId="3333218A" w14:textId="77777777" w:rsidR="004B607F" w:rsidRPr="00845316" w:rsidRDefault="004B607F" w:rsidP="004B0475">
      <w:pPr>
        <w:pStyle w:val="ac"/>
        <w:numPr>
          <w:ilvl w:val="0"/>
          <w:numId w:val="172"/>
        </w:numPr>
        <w:rPr>
          <w:rFonts w:asciiTheme="minorBidi" w:hAnsiTheme="minorBidi"/>
        </w:rPr>
      </w:pPr>
      <w:r w:rsidRPr="00845316">
        <w:rPr>
          <w:rFonts w:asciiTheme="minorBidi" w:hAnsiTheme="minorBidi"/>
          <w:rtl/>
        </w:rPr>
        <w:t>מהרי"ק</w:t>
      </w:r>
      <w:r w:rsidRPr="00845316">
        <w:rPr>
          <w:rStyle w:val="ab"/>
          <w:rFonts w:asciiTheme="minorBidi" w:hAnsiTheme="minorBidi"/>
          <w:rtl/>
        </w:rPr>
        <w:footnoteReference w:id="2328"/>
      </w:r>
      <w:r w:rsidRPr="00845316">
        <w:rPr>
          <w:rFonts w:asciiTheme="minorBidi" w:hAnsiTheme="minorBidi"/>
          <w:rtl/>
        </w:rPr>
        <w:t xml:space="preserve"> ובית מאיר </w:t>
      </w:r>
      <w:r w:rsidRPr="00845316">
        <w:rPr>
          <w:rFonts w:asciiTheme="minorBidi" w:hAnsiTheme="minorBidi"/>
          <w:sz w:val="16"/>
          <w:szCs w:val="16"/>
          <w:rtl/>
        </w:rPr>
        <w:t>(אה"ע סי' יז סע' ג)</w:t>
      </w:r>
      <w:r w:rsidRPr="00845316">
        <w:rPr>
          <w:rFonts w:asciiTheme="minorBidi" w:hAnsiTheme="minorBidi"/>
          <w:rtl/>
        </w:rPr>
        <w:t>- מדאו'.</w:t>
      </w:r>
    </w:p>
    <w:p w14:paraId="4B9A8CCD" w14:textId="77777777" w:rsidR="004B607F" w:rsidRPr="00845316" w:rsidRDefault="004B607F" w:rsidP="004B0475">
      <w:pPr>
        <w:pStyle w:val="ac"/>
        <w:numPr>
          <w:ilvl w:val="0"/>
          <w:numId w:val="172"/>
        </w:numPr>
        <w:rPr>
          <w:rFonts w:asciiTheme="minorBidi" w:hAnsiTheme="minorBidi"/>
          <w:rtl/>
        </w:rPr>
      </w:pPr>
      <w:r w:rsidRPr="00845316">
        <w:rPr>
          <w:rFonts w:asciiTheme="minorBidi" w:hAnsiTheme="minorBidi"/>
          <w:rtl/>
        </w:rPr>
        <w:lastRenderedPageBreak/>
        <w:t>פנמ"א</w:t>
      </w:r>
      <w:r w:rsidRPr="00845316">
        <w:rPr>
          <w:rFonts w:asciiTheme="minorBidi" w:hAnsiTheme="minorBidi"/>
          <w:sz w:val="16"/>
          <w:szCs w:val="16"/>
          <w:rtl/>
        </w:rPr>
        <w:t xml:space="preserve"> (ח"ב סי' צא)</w:t>
      </w:r>
      <w:r w:rsidRPr="00845316">
        <w:rPr>
          <w:rFonts w:asciiTheme="minorBidi" w:hAnsiTheme="minorBidi"/>
          <w:rtl/>
        </w:rPr>
        <w:t>- מדרבנן.</w:t>
      </w:r>
    </w:p>
    <w:p w14:paraId="0318789E" w14:textId="77777777" w:rsidR="004B607F" w:rsidRPr="00845316" w:rsidRDefault="004B607F" w:rsidP="004B607F">
      <w:pPr>
        <w:rPr>
          <w:rFonts w:asciiTheme="minorBidi" w:hAnsiTheme="minorBidi"/>
          <w:rtl/>
        </w:rPr>
      </w:pPr>
      <w:r w:rsidRPr="00845316">
        <w:rPr>
          <w:rFonts w:asciiTheme="minorBidi" w:hAnsiTheme="minorBidi"/>
          <w:u w:val="dotted"/>
          <w:rtl/>
        </w:rPr>
        <w:t>האם צריך להכריז על מוסר זה ע"מ לפוסלו לעדות:</w:t>
      </w:r>
      <w:r w:rsidRPr="00845316">
        <w:rPr>
          <w:rFonts w:asciiTheme="minorBidi" w:hAnsiTheme="minorBidi"/>
          <w:rtl/>
        </w:rPr>
        <w:t xml:space="preserve"> </w:t>
      </w:r>
      <w:r w:rsidRPr="00845316">
        <w:rPr>
          <w:rFonts w:asciiTheme="minorBidi" w:hAnsiTheme="minorBidi"/>
          <w:sz w:val="16"/>
          <w:szCs w:val="16"/>
          <w:rtl/>
        </w:rPr>
        <w:t>(פת"ש סקל"א)</w:t>
      </w:r>
    </w:p>
    <w:p w14:paraId="5CD802FD" w14:textId="77777777" w:rsidR="004B607F" w:rsidRPr="00845316" w:rsidRDefault="004B607F" w:rsidP="004B0475">
      <w:pPr>
        <w:pStyle w:val="ac"/>
        <w:numPr>
          <w:ilvl w:val="0"/>
          <w:numId w:val="171"/>
        </w:numPr>
        <w:rPr>
          <w:rFonts w:asciiTheme="minorBidi" w:hAnsiTheme="minorBidi"/>
        </w:rPr>
      </w:pPr>
      <w:r w:rsidRPr="00845316">
        <w:rPr>
          <w:rFonts w:asciiTheme="minorBidi" w:hAnsiTheme="minorBidi"/>
          <w:rtl/>
        </w:rPr>
        <w:t xml:space="preserve">בית מאיר </w:t>
      </w:r>
      <w:r w:rsidRPr="00845316">
        <w:rPr>
          <w:rFonts w:asciiTheme="minorBidi" w:hAnsiTheme="minorBidi"/>
          <w:sz w:val="16"/>
          <w:szCs w:val="16"/>
          <w:rtl/>
        </w:rPr>
        <w:t>(אה"ע סי' יז סע' ג)</w:t>
      </w:r>
      <w:r w:rsidRPr="00845316">
        <w:rPr>
          <w:rFonts w:asciiTheme="minorBidi" w:hAnsiTheme="minorBidi"/>
          <w:rtl/>
        </w:rPr>
        <w:t>- לא צריך הכרזה</w:t>
      </w:r>
      <w:r w:rsidRPr="00845316">
        <w:rPr>
          <w:rStyle w:val="ab"/>
          <w:rFonts w:asciiTheme="minorBidi" w:hAnsiTheme="minorBidi"/>
          <w:rtl/>
        </w:rPr>
        <w:footnoteReference w:id="2329"/>
      </w:r>
      <w:r w:rsidRPr="00845316">
        <w:rPr>
          <w:rFonts w:asciiTheme="minorBidi" w:hAnsiTheme="minorBidi"/>
          <w:rtl/>
        </w:rPr>
        <w:t xml:space="preserve">, דאע"ג  דבדינא דגרמי פטור </w:t>
      </w:r>
      <w:r w:rsidRPr="00845316">
        <w:rPr>
          <w:rFonts w:asciiTheme="minorBidi" w:hAnsiTheme="minorBidi"/>
          <w:sz w:val="16"/>
          <w:szCs w:val="16"/>
          <w:rtl/>
        </w:rPr>
        <w:t>(לדעת הש"ך)</w:t>
      </w:r>
      <w:r w:rsidRPr="00845316">
        <w:rPr>
          <w:rFonts w:asciiTheme="minorBidi" w:hAnsiTheme="minorBidi"/>
          <w:rtl/>
        </w:rPr>
        <w:t xml:space="preserve"> ד"ת לעניין תשלומין, מ"מ לעניין גוף העבירה עבר על דאו', ועוד שהמסור עבר אדאו' "לא תלך רכיל", ואינו דומה לשאר גזל דדבריהם דד"ת מותר, וגם לשון השו"ע </w:t>
      </w:r>
      <w:r w:rsidRPr="00845316">
        <w:rPr>
          <w:rFonts w:asciiTheme="minorBidi" w:hAnsiTheme="minorBidi"/>
          <w:sz w:val="16"/>
          <w:szCs w:val="16"/>
          <w:rtl/>
        </w:rPr>
        <w:t>(סע' כב)</w:t>
      </w:r>
      <w:r w:rsidRPr="00845316">
        <w:rPr>
          <w:rFonts w:asciiTheme="minorBidi" w:hAnsiTheme="minorBidi"/>
          <w:rtl/>
        </w:rPr>
        <w:t xml:space="preserve"> שכתב עליו פחותים מהגוים, מורה דהוא פסול ד"ת</w:t>
      </w:r>
      <w:r w:rsidRPr="00845316">
        <w:rPr>
          <w:rStyle w:val="ab"/>
          <w:rFonts w:asciiTheme="minorBidi" w:hAnsiTheme="minorBidi"/>
          <w:rtl/>
        </w:rPr>
        <w:footnoteReference w:id="2330"/>
      </w:r>
      <w:r w:rsidRPr="00845316">
        <w:rPr>
          <w:rFonts w:asciiTheme="minorBidi" w:hAnsiTheme="minorBidi"/>
          <w:rtl/>
        </w:rPr>
        <w:t xml:space="preserve">. </w:t>
      </w:r>
    </w:p>
    <w:p w14:paraId="65F78997" w14:textId="77777777" w:rsidR="004B607F" w:rsidRPr="00845316" w:rsidRDefault="004B607F" w:rsidP="004B0475">
      <w:pPr>
        <w:pStyle w:val="ac"/>
        <w:numPr>
          <w:ilvl w:val="0"/>
          <w:numId w:val="171"/>
        </w:numPr>
        <w:rPr>
          <w:rFonts w:asciiTheme="minorBidi" w:hAnsiTheme="minorBidi"/>
        </w:rPr>
      </w:pPr>
      <w:r w:rsidRPr="00845316">
        <w:rPr>
          <w:rFonts w:asciiTheme="minorBidi" w:hAnsiTheme="minorBidi"/>
          <w:rtl/>
        </w:rPr>
        <w:t xml:space="preserve">פנמ"א </w:t>
      </w:r>
      <w:r w:rsidRPr="00845316">
        <w:rPr>
          <w:rFonts w:asciiTheme="minorBidi" w:hAnsiTheme="minorBidi"/>
          <w:sz w:val="16"/>
          <w:szCs w:val="16"/>
          <w:rtl/>
        </w:rPr>
        <w:t>(ח"ב סי' צא)</w:t>
      </w:r>
      <w:r w:rsidRPr="00845316">
        <w:rPr>
          <w:rFonts w:asciiTheme="minorBidi" w:hAnsiTheme="minorBidi"/>
          <w:rtl/>
        </w:rPr>
        <w:t xml:space="preserve">- צריך הכרזה </w:t>
      </w:r>
      <w:r w:rsidRPr="00845316">
        <w:rPr>
          <w:rFonts w:asciiTheme="minorBidi" w:hAnsiTheme="minorBidi"/>
          <w:sz w:val="16"/>
          <w:szCs w:val="16"/>
          <w:rtl/>
        </w:rPr>
        <w:t>(וענישה בפני רבים דינה כהכרזה)</w:t>
      </w:r>
      <w:r w:rsidRPr="00845316">
        <w:rPr>
          <w:rFonts w:asciiTheme="minorBidi" w:hAnsiTheme="minorBidi"/>
          <w:rtl/>
        </w:rPr>
        <w:t xml:space="preserve">, ואילולי כן אינו פסול, דמסור פסול מדינא דגרמי והוא קנסא דרבנן </w:t>
      </w:r>
      <w:r w:rsidRPr="00845316">
        <w:rPr>
          <w:rFonts w:asciiTheme="minorBidi" w:hAnsiTheme="minorBidi"/>
          <w:sz w:val="16"/>
          <w:szCs w:val="16"/>
          <w:rtl/>
        </w:rPr>
        <w:t>(ע"פ הש"ך סי' שפו סק"א)</w:t>
      </w:r>
      <w:r w:rsidRPr="00845316">
        <w:rPr>
          <w:rFonts w:asciiTheme="minorBidi" w:hAnsiTheme="minorBidi"/>
          <w:rtl/>
        </w:rPr>
        <w:t xml:space="preserve">, ואמרינן </w:t>
      </w:r>
      <w:r w:rsidRPr="00845316">
        <w:rPr>
          <w:rFonts w:asciiTheme="minorBidi" w:hAnsiTheme="minorBidi"/>
          <w:sz w:val="16"/>
          <w:szCs w:val="16"/>
          <w:rtl/>
        </w:rPr>
        <w:t xml:space="preserve">(יבמות סב.) </w:t>
      </w:r>
      <w:r w:rsidRPr="00845316">
        <w:rPr>
          <w:rFonts w:asciiTheme="minorBidi" w:hAnsiTheme="minorBidi"/>
          <w:rtl/>
        </w:rPr>
        <w:t>אליבא דמ"ד דלא דיינינן דינא דגרמי, דמסורות נמי לא דיינינן כו', והא דמסורות מורידין ולא מעלין, אינו אלא מדרבנן למיגדר מילתא כו', ומכיון דמסור אינו פסול אלא מדרבנן אין לפסול השטר אא"כ הכריזו עליו</w:t>
      </w:r>
      <w:r w:rsidRPr="00845316">
        <w:rPr>
          <w:rStyle w:val="ab"/>
          <w:rFonts w:asciiTheme="minorBidi" w:hAnsiTheme="minorBidi"/>
          <w:rtl/>
        </w:rPr>
        <w:footnoteReference w:id="2331"/>
      </w:r>
      <w:r w:rsidRPr="00845316">
        <w:rPr>
          <w:rFonts w:asciiTheme="minorBidi" w:hAnsiTheme="minorBidi"/>
          <w:rtl/>
        </w:rPr>
        <w:t>.</w:t>
      </w:r>
    </w:p>
    <w:p w14:paraId="646642FD" w14:textId="77777777" w:rsidR="004B607F" w:rsidRPr="00845316" w:rsidRDefault="004B607F" w:rsidP="004B607F">
      <w:pPr>
        <w:rPr>
          <w:rFonts w:asciiTheme="minorBidi" w:hAnsiTheme="minorBidi"/>
          <w:rtl/>
        </w:rPr>
      </w:pPr>
    </w:p>
    <w:p w14:paraId="4224DBA5" w14:textId="77777777" w:rsidR="004B607F" w:rsidRPr="00845316" w:rsidRDefault="004B607F" w:rsidP="004B607F">
      <w:pPr>
        <w:pStyle w:val="2"/>
        <w:rPr>
          <w:rFonts w:asciiTheme="minorBidi" w:hAnsiTheme="minorBidi"/>
          <w:rtl/>
        </w:rPr>
      </w:pPr>
      <w:bookmarkStart w:id="312" w:name="_Toc24883770"/>
      <w:r w:rsidRPr="00845316">
        <w:rPr>
          <w:rFonts w:asciiTheme="minorBidi" w:hAnsiTheme="minorBidi"/>
          <w:rtl/>
        </w:rPr>
        <w:t>סעיף כג: הכרזה על הפסול מן התורה או מדבריהם.</w:t>
      </w:r>
      <w:bookmarkEnd w:id="312"/>
    </w:p>
    <w:p w14:paraId="1B0B2CD3" w14:textId="77777777" w:rsidR="004B607F" w:rsidRPr="00845316" w:rsidRDefault="004B607F" w:rsidP="004B607F">
      <w:pPr>
        <w:rPr>
          <w:rFonts w:asciiTheme="minorBidi" w:hAnsiTheme="minorBidi"/>
          <w:rtl/>
        </w:rPr>
      </w:pPr>
      <w:r w:rsidRPr="00845316">
        <w:rPr>
          <w:rFonts w:asciiTheme="minorBidi" w:hAnsiTheme="minorBidi"/>
          <w:b/>
          <w:bCs/>
          <w:rtl/>
        </w:rPr>
        <w:t xml:space="preserve">סנהדרין כו ע"ב: </w:t>
      </w:r>
      <w:r w:rsidRPr="00845316">
        <w:rPr>
          <w:rFonts w:asciiTheme="minorBidi" w:hAnsiTheme="minorBidi"/>
          <w:u w:val="single"/>
          <w:rtl/>
        </w:rPr>
        <w:t>ואמר רבי אבהו אמר רבי אלעזר</w:t>
      </w:r>
      <w:r w:rsidRPr="00845316">
        <w:rPr>
          <w:rFonts w:asciiTheme="minorBidi" w:hAnsiTheme="minorBidi"/>
          <w:rtl/>
        </w:rPr>
        <w:t>: כולן צריכין הכרזה בבית דין</w:t>
      </w:r>
      <w:r w:rsidRPr="00845316">
        <w:rPr>
          <w:rStyle w:val="ab"/>
          <w:rFonts w:asciiTheme="minorBidi" w:hAnsiTheme="minorBidi"/>
          <w:rtl/>
        </w:rPr>
        <w:footnoteReference w:id="2332"/>
      </w:r>
      <w:r w:rsidRPr="00845316">
        <w:rPr>
          <w:rFonts w:asciiTheme="minorBidi" w:hAnsiTheme="minorBidi"/>
          <w:rtl/>
        </w:rPr>
        <w:t xml:space="preserve">. רועה, פליגי בה רב אחא ורבינא, </w:t>
      </w:r>
      <w:r w:rsidRPr="00845316">
        <w:rPr>
          <w:rFonts w:asciiTheme="minorBidi" w:hAnsiTheme="minorBidi"/>
          <w:u w:val="single"/>
          <w:rtl/>
        </w:rPr>
        <w:t>חד אמר</w:t>
      </w:r>
      <w:r w:rsidRPr="00845316">
        <w:rPr>
          <w:rFonts w:asciiTheme="minorBidi" w:hAnsiTheme="minorBidi"/>
          <w:rtl/>
        </w:rPr>
        <w:t xml:space="preserve">: בעי הכרזה, </w:t>
      </w:r>
      <w:r w:rsidRPr="00845316">
        <w:rPr>
          <w:rFonts w:asciiTheme="minorBidi" w:hAnsiTheme="minorBidi"/>
          <w:u w:val="single"/>
          <w:rtl/>
        </w:rPr>
        <w:t>וחד אמר</w:t>
      </w:r>
      <w:r w:rsidRPr="00845316">
        <w:rPr>
          <w:rFonts w:asciiTheme="minorBidi" w:hAnsiTheme="minorBidi"/>
          <w:rtl/>
        </w:rPr>
        <w:t>: לא בעי הכרזה</w:t>
      </w:r>
      <w:r w:rsidRPr="00845316">
        <w:rPr>
          <w:rStyle w:val="ab"/>
          <w:rFonts w:asciiTheme="minorBidi" w:hAnsiTheme="minorBidi"/>
          <w:rtl/>
        </w:rPr>
        <w:footnoteReference w:id="2333"/>
      </w:r>
      <w:r w:rsidRPr="00845316">
        <w:rPr>
          <w:rFonts w:asciiTheme="minorBidi" w:hAnsiTheme="minorBidi"/>
          <w:rtl/>
        </w:rPr>
        <w:t>. בשלמא למאן דאמר לא בעי הכרזה - היינו דאמר רב יהודה אמר רב סתם רועה פסול. אלא למאן דאמר בעי הכרזה - מאי סתם רועה פסול? דבסתמא מכרזינן עליה</w:t>
      </w:r>
      <w:r w:rsidRPr="00845316">
        <w:rPr>
          <w:rStyle w:val="ab"/>
          <w:rFonts w:asciiTheme="minorBidi" w:hAnsiTheme="minorBidi"/>
          <w:rtl/>
        </w:rPr>
        <w:footnoteReference w:id="2334"/>
      </w:r>
      <w:r w:rsidRPr="00845316">
        <w:rPr>
          <w:rFonts w:asciiTheme="minorBidi" w:hAnsiTheme="minorBidi"/>
          <w:rtl/>
        </w:rPr>
        <w:t xml:space="preserve">. ההיא מתנה דהוו חתימי עלה תרין גזלנין, </w:t>
      </w:r>
      <w:r w:rsidRPr="00845316">
        <w:rPr>
          <w:rFonts w:asciiTheme="minorBidi" w:hAnsiTheme="minorBidi"/>
          <w:u w:val="single"/>
          <w:rtl/>
        </w:rPr>
        <w:t>סבר רב פפא בר שמואל</w:t>
      </w:r>
      <w:r w:rsidRPr="00845316">
        <w:rPr>
          <w:rFonts w:asciiTheme="minorBidi" w:hAnsiTheme="minorBidi"/>
          <w:rtl/>
        </w:rPr>
        <w:t xml:space="preserve"> לאכשורה, דהא לא אכרזינן עלייהו. </w:t>
      </w:r>
      <w:r w:rsidRPr="00845316">
        <w:rPr>
          <w:rFonts w:asciiTheme="minorBidi" w:hAnsiTheme="minorBidi"/>
          <w:u w:val="single"/>
          <w:rtl/>
        </w:rPr>
        <w:t>אמר ליה רבא</w:t>
      </w:r>
      <w:r w:rsidRPr="00845316">
        <w:rPr>
          <w:rFonts w:asciiTheme="minorBidi" w:hAnsiTheme="minorBidi"/>
          <w:rtl/>
        </w:rPr>
        <w:t>: נהי דבעינן הכרזה בגזלן דרבנן</w:t>
      </w:r>
      <w:r w:rsidRPr="00845316">
        <w:rPr>
          <w:rStyle w:val="ab"/>
          <w:rFonts w:asciiTheme="minorBidi" w:hAnsiTheme="minorBidi"/>
          <w:rtl/>
        </w:rPr>
        <w:footnoteReference w:id="2335"/>
      </w:r>
      <w:r w:rsidRPr="00845316">
        <w:rPr>
          <w:rFonts w:asciiTheme="minorBidi" w:hAnsiTheme="minorBidi"/>
          <w:rtl/>
        </w:rPr>
        <w:t xml:space="preserve"> - בגזלן דאורייתא</w:t>
      </w:r>
      <w:r w:rsidRPr="00845316">
        <w:rPr>
          <w:rStyle w:val="ab"/>
          <w:rFonts w:asciiTheme="minorBidi" w:hAnsiTheme="minorBidi"/>
          <w:rtl/>
        </w:rPr>
        <w:footnoteReference w:id="2336"/>
      </w:r>
      <w:r w:rsidRPr="00845316">
        <w:rPr>
          <w:rFonts w:asciiTheme="minorBidi" w:hAnsiTheme="minorBidi"/>
          <w:rtl/>
        </w:rPr>
        <w:t xml:space="preserve"> מי בעינן הכרזה? </w:t>
      </w:r>
      <w:r w:rsidRPr="00845316">
        <w:rPr>
          <w:rFonts w:asciiTheme="minorBidi" w:hAnsiTheme="minorBidi"/>
          <w:sz w:val="16"/>
          <w:szCs w:val="16"/>
          <w:rtl/>
        </w:rPr>
        <w:t xml:space="preserve">(וכ' הטור "סתם רועה מכריזין עליו", וכ' הב"י דכוונתו דבעי הכרזה, דהכי קיי"ל (פסחים עד:) כל היכא דפליגי רב אחא ורבינא הל' כדברי המיקל. ולפיכך כ' "וסתם רועה מכריזין עליו", כלומר כל מש"כ סתם רועה פסול לאו למימרא דלא בעי הכרזה אלא לומר דבסתם שלא באו עדים שהכניס עדרו לשדה אחר מכריזין עליו) </w:t>
      </w:r>
    </w:p>
    <w:p w14:paraId="16C35300" w14:textId="77777777" w:rsidR="004B607F" w:rsidRPr="00845316" w:rsidRDefault="004B607F" w:rsidP="004B607F">
      <w:pPr>
        <w:rPr>
          <w:rFonts w:asciiTheme="minorBidi" w:hAnsiTheme="minorBidi"/>
          <w:u w:val="single"/>
          <w:rtl/>
        </w:rPr>
      </w:pPr>
      <w:r w:rsidRPr="00845316">
        <w:rPr>
          <w:rFonts w:asciiTheme="minorBidi" w:hAnsiTheme="minorBidi"/>
          <w:u w:val="single"/>
          <w:rtl/>
        </w:rPr>
        <w:t>עד שהעידו עליו שהוא מוסר</w:t>
      </w:r>
      <w:r>
        <w:rPr>
          <w:rFonts w:asciiTheme="minorBidi" w:hAnsiTheme="minorBidi" w:hint="cs"/>
          <w:u w:val="single"/>
          <w:rtl/>
        </w:rPr>
        <w:t xml:space="preserve"> </w:t>
      </w:r>
      <w:r w:rsidRPr="00845316">
        <w:rPr>
          <w:rFonts w:asciiTheme="minorBidi" w:hAnsiTheme="minorBidi"/>
          <w:u w:val="single"/>
          <w:rtl/>
        </w:rPr>
        <w:t>- נפסל לאותה עדות או שגם לאותה עדות כשר עד שיכריזו:</w:t>
      </w:r>
    </w:p>
    <w:p w14:paraId="5E53F141" w14:textId="77777777" w:rsidR="004B607F" w:rsidRPr="00845316" w:rsidRDefault="004B607F" w:rsidP="004B0475">
      <w:pPr>
        <w:pStyle w:val="ac"/>
        <w:numPr>
          <w:ilvl w:val="0"/>
          <w:numId w:val="173"/>
        </w:numPr>
        <w:rPr>
          <w:rFonts w:asciiTheme="minorBidi" w:hAnsiTheme="minorBidi"/>
          <w:rtl/>
        </w:rPr>
      </w:pPr>
      <w:r w:rsidRPr="00845316">
        <w:rPr>
          <w:rFonts w:asciiTheme="minorBidi" w:hAnsiTheme="minorBidi"/>
          <w:rtl/>
        </w:rPr>
        <w:t xml:space="preserve">רא"ה </w:t>
      </w:r>
      <w:r w:rsidRPr="00845316">
        <w:rPr>
          <w:rFonts w:asciiTheme="minorBidi" w:hAnsiTheme="minorBidi"/>
          <w:sz w:val="16"/>
          <w:szCs w:val="16"/>
          <w:rtl/>
        </w:rPr>
        <w:t>(הביאו הנמוק"י)</w:t>
      </w:r>
      <w:r w:rsidRPr="00845316">
        <w:rPr>
          <w:rFonts w:asciiTheme="minorBidi" w:hAnsiTheme="minorBidi"/>
          <w:rtl/>
        </w:rPr>
        <w:t xml:space="preserve"> ונמוק"י </w:t>
      </w:r>
      <w:r w:rsidRPr="00845316">
        <w:rPr>
          <w:rFonts w:asciiTheme="minorBidi" w:hAnsiTheme="minorBidi"/>
          <w:sz w:val="16"/>
          <w:szCs w:val="16"/>
          <w:rtl/>
        </w:rPr>
        <w:t>(סנהדרין ד סוע"ב)</w:t>
      </w:r>
      <w:r w:rsidRPr="00845316">
        <w:rPr>
          <w:rFonts w:asciiTheme="minorBidi" w:hAnsiTheme="minorBidi"/>
          <w:rtl/>
        </w:rPr>
        <w:t>- "לא בעינן הכרזה אלא למפסליה לשאר עדיות אבל מ"מ לאותו עדות שנפסל בשבילו לא ראו חכמים להאמינו ואפילו בלא הכרזה פסול לו</w:t>
      </w:r>
      <w:r w:rsidRPr="00845316">
        <w:rPr>
          <w:rStyle w:val="ab"/>
          <w:rFonts w:asciiTheme="minorBidi" w:hAnsiTheme="minorBidi"/>
          <w:rtl/>
        </w:rPr>
        <w:footnoteReference w:id="2337"/>
      </w:r>
      <w:r w:rsidRPr="00845316">
        <w:rPr>
          <w:rFonts w:asciiTheme="minorBidi" w:hAnsiTheme="minorBidi"/>
          <w:rtl/>
        </w:rPr>
        <w:t xml:space="preserve">". </w:t>
      </w:r>
    </w:p>
    <w:p w14:paraId="555B24AD" w14:textId="77777777" w:rsidR="004B607F" w:rsidRPr="00845316" w:rsidRDefault="004B607F" w:rsidP="004B607F">
      <w:pPr>
        <w:jc w:val="both"/>
        <w:rPr>
          <w:rFonts w:asciiTheme="minorBidi" w:hAnsiTheme="minorBidi"/>
          <w:rtl/>
        </w:rPr>
      </w:pPr>
      <w:r w:rsidRPr="00845316">
        <w:rPr>
          <w:rFonts w:asciiTheme="minorBidi" w:hAnsiTheme="minorBidi"/>
          <w:b/>
          <w:bCs/>
          <w:sz w:val="32"/>
          <w:szCs w:val="28"/>
          <w:u w:val="single"/>
          <w:rtl/>
        </w:rPr>
        <w:t xml:space="preserve">שו"ע: </w:t>
      </w:r>
    </w:p>
    <w:p w14:paraId="249AE76D" w14:textId="77777777" w:rsidR="004B607F" w:rsidRPr="00845316" w:rsidRDefault="004B607F" w:rsidP="004B607F">
      <w:pPr>
        <w:rPr>
          <w:rFonts w:asciiTheme="minorBidi" w:hAnsiTheme="minorBidi"/>
          <w:rtl/>
        </w:rPr>
      </w:pPr>
      <w:r w:rsidRPr="00845316">
        <w:rPr>
          <w:rFonts w:asciiTheme="minorBidi" w:hAnsiTheme="minorBidi"/>
          <w:rtl/>
        </w:rPr>
        <w:t>הפסול מן התורה שהעיד עדותו בטלה אף על פי שלא הכריזו עליו בבתי כנסיות ובבתי מדרשות</w:t>
      </w:r>
      <w:r>
        <w:rPr>
          <w:rFonts w:asciiTheme="minorBidi" w:hAnsiTheme="minorBidi" w:hint="cs"/>
          <w:rtl/>
        </w:rPr>
        <w:t>.</w:t>
      </w:r>
      <w:r w:rsidRPr="00845316">
        <w:rPr>
          <w:rFonts w:asciiTheme="minorBidi" w:hAnsiTheme="minorBidi"/>
          <w:rtl/>
        </w:rPr>
        <w:t xml:space="preserve"> והפסול מדבריהם העדות שהעיד קודם שהכריזו עליו כשרה</w:t>
      </w:r>
      <w:r w:rsidRPr="00845316">
        <w:rPr>
          <w:rStyle w:val="ab"/>
          <w:rFonts w:asciiTheme="minorBidi" w:hAnsiTheme="minorBidi"/>
          <w:rtl/>
        </w:rPr>
        <w:footnoteReference w:id="2338"/>
      </w:r>
      <w:r w:rsidRPr="00845316">
        <w:rPr>
          <w:rFonts w:asciiTheme="minorBidi" w:hAnsiTheme="minorBidi"/>
          <w:rtl/>
        </w:rPr>
        <w:t xml:space="preserve">. </w:t>
      </w:r>
      <w:r w:rsidRPr="00845316">
        <w:rPr>
          <w:rFonts w:asciiTheme="minorBidi" w:hAnsiTheme="minorBidi"/>
          <w:sz w:val="18"/>
          <w:szCs w:val="18"/>
          <w:rtl/>
        </w:rPr>
        <w:t>הגה: ואפילו פסול מן התורה אין לפסלו אלא בודאי</w:t>
      </w:r>
      <w:r>
        <w:rPr>
          <w:rFonts w:asciiTheme="minorBidi" w:hAnsiTheme="minorBidi" w:hint="cs"/>
          <w:sz w:val="18"/>
          <w:szCs w:val="18"/>
          <w:rtl/>
        </w:rPr>
        <w:t>,</w:t>
      </w:r>
      <w:r w:rsidRPr="00845316">
        <w:rPr>
          <w:rFonts w:asciiTheme="minorBidi" w:hAnsiTheme="minorBidi"/>
          <w:sz w:val="18"/>
          <w:szCs w:val="18"/>
          <w:rtl/>
        </w:rPr>
        <w:t xml:space="preserve"> אבל לא מספק</w:t>
      </w:r>
      <w:r>
        <w:rPr>
          <w:rFonts w:asciiTheme="minorBidi" w:hAnsiTheme="minorBidi" w:hint="cs"/>
          <w:sz w:val="18"/>
          <w:szCs w:val="18"/>
          <w:rtl/>
        </w:rPr>
        <w:t>.</w:t>
      </w:r>
      <w:r w:rsidRPr="00845316">
        <w:rPr>
          <w:rFonts w:asciiTheme="minorBidi" w:hAnsiTheme="minorBidi"/>
          <w:sz w:val="18"/>
          <w:szCs w:val="18"/>
          <w:rtl/>
        </w:rPr>
        <w:t xml:space="preserve"> כגון שהעיד בב"ד וא</w:t>
      </w:r>
      <w:r>
        <w:rPr>
          <w:rFonts w:asciiTheme="minorBidi" w:hAnsiTheme="minorBidi" w:hint="cs"/>
          <w:sz w:val="18"/>
          <w:szCs w:val="18"/>
          <w:rtl/>
        </w:rPr>
        <w:t>"</w:t>
      </w:r>
      <w:r w:rsidRPr="00845316">
        <w:rPr>
          <w:rFonts w:asciiTheme="minorBidi" w:hAnsiTheme="minorBidi"/>
          <w:sz w:val="18"/>
          <w:szCs w:val="18"/>
          <w:rtl/>
        </w:rPr>
        <w:t>כ באו עדים עליו שעבר עבירה שנפסל בה מן התורה, אבל אם אין יודעין אם עבר קודם שהעיד או אח</w:t>
      </w:r>
      <w:r>
        <w:rPr>
          <w:rFonts w:asciiTheme="minorBidi" w:hAnsiTheme="minorBidi" w:hint="cs"/>
          <w:sz w:val="18"/>
          <w:szCs w:val="18"/>
          <w:rtl/>
        </w:rPr>
        <w:t>"</w:t>
      </w:r>
      <w:r w:rsidRPr="00845316">
        <w:rPr>
          <w:rFonts w:asciiTheme="minorBidi" w:hAnsiTheme="minorBidi"/>
          <w:sz w:val="18"/>
          <w:szCs w:val="18"/>
          <w:rtl/>
        </w:rPr>
        <w:t>כ</w:t>
      </w:r>
      <w:r>
        <w:rPr>
          <w:rFonts w:asciiTheme="minorBidi" w:hAnsiTheme="minorBidi" w:hint="cs"/>
          <w:sz w:val="18"/>
          <w:szCs w:val="18"/>
          <w:rtl/>
        </w:rPr>
        <w:t>,</w:t>
      </w:r>
      <w:r w:rsidRPr="00845316">
        <w:rPr>
          <w:rFonts w:asciiTheme="minorBidi" w:hAnsiTheme="minorBidi"/>
          <w:sz w:val="18"/>
          <w:szCs w:val="18"/>
          <w:rtl/>
        </w:rPr>
        <w:t xml:space="preserve"> מוקמינן גברא אחזקתו וכל מה </w:t>
      </w:r>
      <w:r w:rsidRPr="00845316">
        <w:rPr>
          <w:rFonts w:asciiTheme="minorBidi" w:hAnsiTheme="minorBidi"/>
          <w:sz w:val="18"/>
          <w:szCs w:val="18"/>
          <w:rtl/>
        </w:rPr>
        <w:lastRenderedPageBreak/>
        <w:t>שהעיד כשר עד דידעינן דעבר קודם לכן (ריב"ש סי' רסו, הביאו הב"י). הפסולים מדרבנן שצריכים הכרזה אם הענישן ברבים על עבירתן</w:t>
      </w:r>
      <w:r>
        <w:rPr>
          <w:rFonts w:asciiTheme="minorBidi" w:hAnsiTheme="minorBidi" w:hint="cs"/>
          <w:sz w:val="18"/>
          <w:szCs w:val="18"/>
          <w:rtl/>
        </w:rPr>
        <w:t>,</w:t>
      </w:r>
      <w:r w:rsidRPr="00845316">
        <w:rPr>
          <w:rFonts w:asciiTheme="minorBidi" w:hAnsiTheme="minorBidi"/>
          <w:sz w:val="18"/>
          <w:szCs w:val="18"/>
          <w:rtl/>
        </w:rPr>
        <w:t xml:space="preserve"> כגון שהוציאן מבית הכנסת</w:t>
      </w:r>
      <w:r>
        <w:rPr>
          <w:rFonts w:asciiTheme="minorBidi" w:hAnsiTheme="minorBidi" w:hint="cs"/>
          <w:sz w:val="18"/>
          <w:szCs w:val="18"/>
          <w:rtl/>
        </w:rPr>
        <w:t>,</w:t>
      </w:r>
      <w:r w:rsidRPr="00845316">
        <w:rPr>
          <w:rFonts w:asciiTheme="minorBidi" w:hAnsiTheme="minorBidi"/>
          <w:sz w:val="18"/>
          <w:szCs w:val="18"/>
          <w:rtl/>
        </w:rPr>
        <w:t xml:space="preserve"> הוי כאלו הכריזו עלייהו (מרדכי סי' תרצה בשם ראב"ן). </w:t>
      </w:r>
    </w:p>
    <w:p w14:paraId="65AD0D9F" w14:textId="77777777" w:rsidR="004B607F" w:rsidRPr="00845316" w:rsidRDefault="004B607F" w:rsidP="004B607F">
      <w:pPr>
        <w:rPr>
          <w:rFonts w:asciiTheme="minorBidi" w:hAnsiTheme="minorBidi"/>
          <w:sz w:val="16"/>
          <w:szCs w:val="16"/>
          <w:rtl/>
        </w:rPr>
      </w:pPr>
      <w:r w:rsidRPr="00845316">
        <w:rPr>
          <w:rFonts w:asciiTheme="minorBidi" w:hAnsiTheme="minorBidi"/>
          <w:u w:val="single"/>
          <w:rtl/>
        </w:rPr>
        <w:t>האם צריך הכרזה על אדם שעבר עבירה מדאו' שאינו לוקה עליה</w:t>
      </w:r>
      <w:r w:rsidRPr="00845316">
        <w:rPr>
          <w:rFonts w:asciiTheme="minorBidi" w:hAnsiTheme="minorBidi"/>
          <w:sz w:val="16"/>
          <w:szCs w:val="16"/>
          <w:u w:val="single"/>
          <w:rtl/>
        </w:rPr>
        <w:t xml:space="preserve"> (דבכה"ג פסול מדרבנן)</w:t>
      </w:r>
      <w:r w:rsidRPr="00845316">
        <w:rPr>
          <w:rFonts w:asciiTheme="minorBidi" w:hAnsiTheme="minorBidi"/>
          <w:u w:val="single"/>
          <w:rtl/>
        </w:rPr>
        <w:t>:</w:t>
      </w:r>
      <w:r w:rsidRPr="00845316">
        <w:rPr>
          <w:rFonts w:asciiTheme="minorBidi" w:hAnsiTheme="minorBidi"/>
          <w:sz w:val="16"/>
          <w:szCs w:val="16"/>
          <w:rtl/>
        </w:rPr>
        <w:t xml:space="preserve">   (פת"ש סק"ו ורעק"א)</w:t>
      </w:r>
    </w:p>
    <w:p w14:paraId="3AF0827A" w14:textId="77777777" w:rsidR="004B607F" w:rsidRPr="00845316" w:rsidRDefault="004B607F" w:rsidP="004B0475">
      <w:pPr>
        <w:pStyle w:val="ac"/>
        <w:numPr>
          <w:ilvl w:val="0"/>
          <w:numId w:val="173"/>
        </w:numPr>
        <w:rPr>
          <w:rFonts w:asciiTheme="minorBidi" w:hAnsiTheme="minorBidi"/>
        </w:rPr>
      </w:pPr>
      <w:r w:rsidRPr="00845316">
        <w:rPr>
          <w:rFonts w:asciiTheme="minorBidi" w:hAnsiTheme="minorBidi"/>
          <w:rtl/>
        </w:rPr>
        <w:t>עבודת הגרשוני</w:t>
      </w:r>
      <w:r w:rsidRPr="00845316">
        <w:rPr>
          <w:rFonts w:asciiTheme="minorBidi" w:hAnsiTheme="minorBidi"/>
          <w:sz w:val="16"/>
          <w:szCs w:val="16"/>
          <w:rtl/>
        </w:rPr>
        <w:t xml:space="preserve"> (סי' סז)</w:t>
      </w:r>
      <w:r w:rsidRPr="00845316">
        <w:rPr>
          <w:rFonts w:asciiTheme="minorBidi" w:hAnsiTheme="minorBidi"/>
          <w:rtl/>
        </w:rPr>
        <w:t xml:space="preserve"> פנמ"א </w:t>
      </w:r>
      <w:r w:rsidRPr="00845316">
        <w:rPr>
          <w:rFonts w:asciiTheme="minorBidi" w:hAnsiTheme="minorBidi"/>
          <w:sz w:val="16"/>
          <w:szCs w:val="16"/>
          <w:rtl/>
        </w:rPr>
        <w:t>(ח"ב סי' צא)</w:t>
      </w:r>
      <w:r w:rsidRPr="00845316">
        <w:rPr>
          <w:rFonts w:asciiTheme="minorBidi" w:hAnsiTheme="minorBidi"/>
          <w:rtl/>
        </w:rPr>
        <w:t xml:space="preserve"> ופת"ש</w:t>
      </w:r>
      <w:r w:rsidRPr="00845316">
        <w:rPr>
          <w:rFonts w:asciiTheme="minorBidi" w:hAnsiTheme="minorBidi"/>
          <w:sz w:val="16"/>
          <w:szCs w:val="16"/>
          <w:rtl/>
        </w:rPr>
        <w:t xml:space="preserve"> (סקל"א)</w:t>
      </w:r>
      <w:r w:rsidRPr="00845316">
        <w:rPr>
          <w:rFonts w:asciiTheme="minorBidi" w:hAnsiTheme="minorBidi"/>
          <w:rtl/>
        </w:rPr>
        <w:t>- בעינן הכרזה.</w:t>
      </w:r>
    </w:p>
    <w:p w14:paraId="37CA4382" w14:textId="77777777" w:rsidR="004B607F" w:rsidRPr="00845316" w:rsidRDefault="004B607F" w:rsidP="004B0475">
      <w:pPr>
        <w:pStyle w:val="ac"/>
        <w:numPr>
          <w:ilvl w:val="0"/>
          <w:numId w:val="173"/>
        </w:numPr>
        <w:rPr>
          <w:rFonts w:asciiTheme="minorBidi" w:hAnsiTheme="minorBidi"/>
          <w:rtl/>
        </w:rPr>
      </w:pPr>
      <w:r w:rsidRPr="00845316">
        <w:rPr>
          <w:rFonts w:asciiTheme="minorBidi" w:hAnsiTheme="minorBidi"/>
          <w:rtl/>
        </w:rPr>
        <w:t>ברכ"י</w:t>
      </w:r>
      <w:r w:rsidRPr="00845316">
        <w:rPr>
          <w:rFonts w:asciiTheme="minorBidi" w:hAnsiTheme="minorBidi"/>
          <w:sz w:val="16"/>
          <w:szCs w:val="16"/>
          <w:rtl/>
        </w:rPr>
        <w:t xml:space="preserve"> (אות כג) </w:t>
      </w:r>
      <w:r w:rsidRPr="00845316">
        <w:rPr>
          <w:rFonts w:asciiTheme="minorBidi" w:hAnsiTheme="minorBidi"/>
          <w:rtl/>
        </w:rPr>
        <w:t xml:space="preserve">וכנה"ג בשם מהרי"ט </w:t>
      </w:r>
      <w:r w:rsidRPr="00845316">
        <w:rPr>
          <w:rFonts w:asciiTheme="minorBidi" w:hAnsiTheme="minorBidi"/>
          <w:sz w:val="16"/>
          <w:szCs w:val="16"/>
          <w:rtl/>
        </w:rPr>
        <w:t>(אעה"ז ח"ב סי' מג)</w:t>
      </w:r>
      <w:r w:rsidRPr="00845316">
        <w:rPr>
          <w:rFonts w:asciiTheme="minorBidi" w:hAnsiTheme="minorBidi"/>
          <w:rtl/>
        </w:rPr>
        <w:t xml:space="preserve">- לא בעינן הכרזה. </w:t>
      </w:r>
    </w:p>
    <w:p w14:paraId="658CAD1D" w14:textId="77777777" w:rsidR="004B607F" w:rsidRPr="00845316" w:rsidRDefault="004B607F" w:rsidP="004B607F">
      <w:pPr>
        <w:rPr>
          <w:rFonts w:asciiTheme="minorBidi" w:hAnsiTheme="minorBidi"/>
          <w:u w:val="single"/>
          <w:rtl/>
        </w:rPr>
      </w:pPr>
      <w:r w:rsidRPr="00845316">
        <w:rPr>
          <w:rFonts w:asciiTheme="minorBidi" w:hAnsiTheme="minorBidi"/>
          <w:u w:val="single"/>
          <w:rtl/>
        </w:rPr>
        <w:t xml:space="preserve">האם צריך הכרזה דוקא לעניין עדות ממון </w:t>
      </w:r>
      <w:r w:rsidRPr="00845316">
        <w:rPr>
          <w:rFonts w:asciiTheme="minorBidi" w:hAnsiTheme="minorBidi"/>
          <w:sz w:val="16"/>
          <w:szCs w:val="16"/>
          <w:u w:val="single"/>
          <w:rtl/>
        </w:rPr>
        <w:t>(כדי שלא יפסיד את הלקוחות)</w:t>
      </w:r>
      <w:r w:rsidRPr="00845316">
        <w:rPr>
          <w:rFonts w:asciiTheme="minorBidi" w:hAnsiTheme="minorBidi"/>
          <w:u w:val="single"/>
          <w:rtl/>
        </w:rPr>
        <w:t xml:space="preserve"> או אף לעדות איסור:</w:t>
      </w:r>
      <w:r w:rsidRPr="00845316">
        <w:rPr>
          <w:rFonts w:asciiTheme="minorBidi" w:hAnsiTheme="minorBidi"/>
          <w:sz w:val="16"/>
          <w:szCs w:val="16"/>
          <w:rtl/>
        </w:rPr>
        <w:t xml:space="preserve">    (פת"ש סקל"ג)</w:t>
      </w:r>
    </w:p>
    <w:p w14:paraId="60DA1809" w14:textId="77777777" w:rsidR="004B607F" w:rsidRPr="00845316" w:rsidRDefault="004B607F" w:rsidP="004B0475">
      <w:pPr>
        <w:pStyle w:val="ac"/>
        <w:numPr>
          <w:ilvl w:val="0"/>
          <w:numId w:val="173"/>
        </w:numPr>
        <w:rPr>
          <w:rFonts w:asciiTheme="minorBidi" w:hAnsiTheme="minorBidi"/>
        </w:rPr>
      </w:pPr>
      <w:r w:rsidRPr="00845316">
        <w:rPr>
          <w:rFonts w:asciiTheme="minorBidi" w:hAnsiTheme="minorBidi"/>
          <w:rtl/>
        </w:rPr>
        <w:t>נמוק"י</w:t>
      </w:r>
      <w:r w:rsidRPr="00845316">
        <w:rPr>
          <w:rStyle w:val="ab"/>
          <w:rFonts w:asciiTheme="minorBidi" w:hAnsiTheme="minorBidi"/>
          <w:rtl/>
        </w:rPr>
        <w:footnoteReference w:id="2339"/>
      </w:r>
      <w:r w:rsidRPr="00845316">
        <w:rPr>
          <w:rFonts w:asciiTheme="minorBidi" w:hAnsiTheme="minorBidi"/>
          <w:rtl/>
        </w:rPr>
        <w:t xml:space="preserve"> רדב"ז </w:t>
      </w:r>
      <w:r w:rsidRPr="00845316">
        <w:rPr>
          <w:rFonts w:asciiTheme="minorBidi" w:hAnsiTheme="minorBidi"/>
          <w:sz w:val="16"/>
          <w:szCs w:val="16"/>
          <w:rtl/>
        </w:rPr>
        <w:t xml:space="preserve">(ח"ב סי' מג) </w:t>
      </w:r>
      <w:r w:rsidRPr="00845316">
        <w:rPr>
          <w:rFonts w:asciiTheme="minorBidi" w:hAnsiTheme="minorBidi"/>
          <w:rtl/>
        </w:rPr>
        <w:t>ומהרי"ט</w:t>
      </w:r>
      <w:r w:rsidRPr="00845316">
        <w:rPr>
          <w:rFonts w:asciiTheme="minorBidi" w:hAnsiTheme="minorBidi"/>
          <w:sz w:val="16"/>
          <w:szCs w:val="16"/>
          <w:rtl/>
        </w:rPr>
        <w:t xml:space="preserve"> (ח"ב אהע"ז סי' מג </w:t>
      </w:r>
      <w:r w:rsidRPr="00845316">
        <w:rPr>
          <w:rFonts w:asciiTheme="minorBidi" w:hAnsiTheme="minorBidi"/>
          <w:sz w:val="14"/>
          <w:szCs w:val="14"/>
          <w:rtl/>
        </w:rPr>
        <w:t>[ד"ה אף]</w:t>
      </w:r>
      <w:r w:rsidRPr="00845316">
        <w:rPr>
          <w:rFonts w:asciiTheme="minorBidi" w:hAnsiTheme="minorBidi"/>
          <w:sz w:val="16"/>
          <w:szCs w:val="16"/>
          <w:rtl/>
        </w:rPr>
        <w:t>)</w:t>
      </w:r>
      <w:r w:rsidRPr="00845316">
        <w:rPr>
          <w:rFonts w:asciiTheme="minorBidi" w:hAnsiTheme="minorBidi"/>
          <w:rtl/>
        </w:rPr>
        <w:t xml:space="preserve">- בעדות איסור לא בעי הכרזה.   </w:t>
      </w:r>
    </w:p>
    <w:p w14:paraId="29D8FDB1" w14:textId="77777777" w:rsidR="004B607F" w:rsidRPr="00845316" w:rsidRDefault="004B607F" w:rsidP="004B0475">
      <w:pPr>
        <w:pStyle w:val="ac"/>
        <w:numPr>
          <w:ilvl w:val="0"/>
          <w:numId w:val="173"/>
        </w:numPr>
        <w:rPr>
          <w:rFonts w:asciiTheme="minorBidi" w:hAnsiTheme="minorBidi"/>
          <w:rtl/>
        </w:rPr>
      </w:pPr>
      <w:r w:rsidRPr="00845316">
        <w:rPr>
          <w:rFonts w:asciiTheme="minorBidi" w:hAnsiTheme="minorBidi"/>
          <w:rtl/>
        </w:rPr>
        <w:t>תשב"ץ מהריב"ל ב"י מבי"ט מהרשד"ם ומהרח"ש</w:t>
      </w:r>
      <w:r w:rsidRPr="00845316">
        <w:rPr>
          <w:rStyle w:val="ab"/>
          <w:rFonts w:asciiTheme="minorBidi" w:hAnsiTheme="minorBidi"/>
          <w:rtl/>
        </w:rPr>
        <w:footnoteReference w:id="2340"/>
      </w:r>
      <w:r w:rsidRPr="00845316">
        <w:rPr>
          <w:rFonts w:asciiTheme="minorBidi" w:hAnsiTheme="minorBidi"/>
          <w:rtl/>
        </w:rPr>
        <w:t>- גם לעדות איסור בעו פסולי דרבנן הכרזה.</w:t>
      </w:r>
    </w:p>
    <w:p w14:paraId="048942C6" w14:textId="77777777" w:rsidR="004B607F" w:rsidRPr="00845316" w:rsidRDefault="004B607F" w:rsidP="004B607F">
      <w:pPr>
        <w:rPr>
          <w:rFonts w:asciiTheme="minorBidi" w:hAnsiTheme="minorBidi"/>
          <w:rtl/>
        </w:rPr>
      </w:pPr>
    </w:p>
    <w:p w14:paraId="20D366BF" w14:textId="77777777" w:rsidR="004B607F" w:rsidRPr="00845316" w:rsidRDefault="004B607F" w:rsidP="004B607F">
      <w:pPr>
        <w:pStyle w:val="2"/>
        <w:rPr>
          <w:rFonts w:asciiTheme="minorBidi" w:hAnsiTheme="minorBidi"/>
          <w:rtl/>
        </w:rPr>
      </w:pPr>
      <w:bookmarkStart w:id="313" w:name="_Toc24883771"/>
      <w:r w:rsidRPr="00845316">
        <w:rPr>
          <w:rFonts w:asciiTheme="minorBidi" w:hAnsiTheme="minorBidi"/>
          <w:rtl/>
        </w:rPr>
        <w:t>סעיף כד: התראה על מנת לפסול.</w:t>
      </w:r>
      <w:bookmarkEnd w:id="313"/>
    </w:p>
    <w:p w14:paraId="6919656E" w14:textId="77777777" w:rsidR="004B607F" w:rsidRPr="00845316" w:rsidRDefault="004B607F" w:rsidP="004B607F">
      <w:pPr>
        <w:rPr>
          <w:rFonts w:asciiTheme="minorBidi" w:hAnsiTheme="minorBidi"/>
          <w:sz w:val="16"/>
          <w:szCs w:val="16"/>
          <w:rtl/>
        </w:rPr>
      </w:pPr>
      <w:r w:rsidRPr="00845316">
        <w:rPr>
          <w:rFonts w:asciiTheme="minorBidi" w:hAnsiTheme="minorBidi"/>
          <w:b/>
          <w:bCs/>
          <w:rtl/>
        </w:rPr>
        <w:t xml:space="preserve">סנהדרין כו ע"ב: </w:t>
      </w:r>
      <w:r w:rsidRPr="00845316">
        <w:rPr>
          <w:rFonts w:asciiTheme="minorBidi" w:hAnsiTheme="minorBidi"/>
          <w:rtl/>
        </w:rPr>
        <w:t>הנהו קבוראי דקבור נפשא ביום טוב ראשון של עצרת שמתינהו רב פפא ופסלינהו לעדות</w:t>
      </w:r>
      <w:r w:rsidRPr="00845316">
        <w:rPr>
          <w:rStyle w:val="ab"/>
          <w:rFonts w:asciiTheme="minorBidi" w:hAnsiTheme="minorBidi"/>
          <w:rtl/>
        </w:rPr>
        <w:footnoteReference w:id="2341"/>
      </w:r>
      <w:r w:rsidRPr="00845316">
        <w:rPr>
          <w:rFonts w:asciiTheme="minorBidi" w:hAnsiTheme="minorBidi"/>
          <w:rtl/>
        </w:rPr>
        <w:t xml:space="preserve">. ואכשרינהו </w:t>
      </w:r>
      <w:r w:rsidRPr="00845316">
        <w:rPr>
          <w:rFonts w:asciiTheme="minorBidi" w:hAnsiTheme="minorBidi"/>
          <w:u w:val="single"/>
          <w:rtl/>
        </w:rPr>
        <w:t>רב הונא בריה דרב יהושע</w:t>
      </w:r>
      <w:r w:rsidRPr="00845316">
        <w:rPr>
          <w:rFonts w:asciiTheme="minorBidi" w:hAnsiTheme="minorBidi"/>
          <w:rtl/>
        </w:rPr>
        <w:t xml:space="preserve">. </w:t>
      </w:r>
      <w:r w:rsidRPr="00845316">
        <w:rPr>
          <w:rFonts w:asciiTheme="minorBidi" w:hAnsiTheme="minorBidi"/>
          <w:u w:val="single"/>
          <w:rtl/>
        </w:rPr>
        <w:t>אמר ליה רב פפא</w:t>
      </w:r>
      <w:r w:rsidRPr="00845316">
        <w:rPr>
          <w:rFonts w:asciiTheme="minorBidi" w:hAnsiTheme="minorBidi"/>
          <w:rtl/>
        </w:rPr>
        <w:t>: והא רשעים נינהו? סברי מצוה קא עבדי. והא קא משמתינא להו</w:t>
      </w:r>
      <w:r w:rsidRPr="00845316">
        <w:rPr>
          <w:rStyle w:val="ab"/>
          <w:rFonts w:asciiTheme="minorBidi" w:hAnsiTheme="minorBidi"/>
          <w:rtl/>
        </w:rPr>
        <w:footnoteReference w:id="2342"/>
      </w:r>
      <w:r w:rsidRPr="00845316">
        <w:rPr>
          <w:rFonts w:asciiTheme="minorBidi" w:hAnsiTheme="minorBidi"/>
          <w:rtl/>
        </w:rPr>
        <w:t>! סברי</w:t>
      </w:r>
      <w:r w:rsidRPr="00845316">
        <w:rPr>
          <w:rStyle w:val="ab"/>
          <w:rFonts w:asciiTheme="minorBidi" w:hAnsiTheme="minorBidi"/>
          <w:rtl/>
        </w:rPr>
        <w:footnoteReference w:id="2343"/>
      </w:r>
      <w:r w:rsidRPr="00845316">
        <w:rPr>
          <w:rFonts w:asciiTheme="minorBidi" w:hAnsiTheme="minorBidi"/>
          <w:rtl/>
        </w:rPr>
        <w:t xml:space="preserve">: כפרה קא עבדי לן רבנן. </w:t>
      </w:r>
      <w:r w:rsidRPr="00845316">
        <w:rPr>
          <w:rFonts w:asciiTheme="minorBidi" w:hAnsiTheme="minorBidi"/>
          <w:sz w:val="16"/>
          <w:szCs w:val="16"/>
          <w:rtl/>
        </w:rPr>
        <w:t xml:space="preserve">(וכ' הב"י דלא התרו בהם </w:t>
      </w:r>
      <w:r w:rsidRPr="00845316">
        <w:rPr>
          <w:rFonts w:asciiTheme="minorBidi" w:hAnsiTheme="minorBidi"/>
          <w:sz w:val="14"/>
          <w:szCs w:val="14"/>
          <w:rtl/>
        </w:rPr>
        <w:t>[דאילו התרו בהם לא הוה שייך למימר מצוה עבדינן]</w:t>
      </w:r>
      <w:r w:rsidRPr="00845316">
        <w:rPr>
          <w:rFonts w:asciiTheme="minorBidi" w:hAnsiTheme="minorBidi"/>
          <w:sz w:val="16"/>
          <w:szCs w:val="16"/>
          <w:rtl/>
        </w:rPr>
        <w:t>, ושמכאן למד הרמב"ם</w:t>
      </w:r>
      <w:r w:rsidRPr="00845316">
        <w:rPr>
          <w:rFonts w:asciiTheme="minorBidi" w:hAnsiTheme="minorBidi"/>
          <w:sz w:val="14"/>
          <w:szCs w:val="14"/>
          <w:rtl/>
        </w:rPr>
        <w:t xml:space="preserve"> (פי"ב ה"א)</w:t>
      </w:r>
      <w:r w:rsidRPr="00845316">
        <w:rPr>
          <w:rFonts w:asciiTheme="minorBidi" w:hAnsiTheme="minorBidi"/>
          <w:sz w:val="16"/>
          <w:szCs w:val="16"/>
          <w:rtl/>
        </w:rPr>
        <w:t xml:space="preserve"> דבעינן התראה</w:t>
      </w:r>
      <w:r w:rsidRPr="00845316">
        <w:rPr>
          <w:rFonts w:asciiTheme="minorBidi" w:hAnsiTheme="minorBidi"/>
          <w:sz w:val="14"/>
          <w:szCs w:val="14"/>
          <w:rtl/>
        </w:rPr>
        <w:t xml:space="preserve"> [בעברה שאינה מפורסמת]</w:t>
      </w:r>
      <w:r w:rsidRPr="00845316">
        <w:rPr>
          <w:rFonts w:asciiTheme="minorBidi" w:hAnsiTheme="minorBidi"/>
          <w:sz w:val="16"/>
          <w:szCs w:val="16"/>
          <w:rtl/>
        </w:rPr>
        <w:t xml:space="preserve"> כדי לפסול, ומשמע נמי מהתם דכל היכא שאנו יכולים למצוא להם טענה של זכות לא נפסול אותם, וכ"כ הרא"ש </w:t>
      </w:r>
      <w:r w:rsidRPr="00845316">
        <w:rPr>
          <w:rFonts w:asciiTheme="minorBidi" w:hAnsiTheme="minorBidi"/>
          <w:sz w:val="14"/>
          <w:szCs w:val="14"/>
          <w:rtl/>
        </w:rPr>
        <w:t>(סי' טו)</w:t>
      </w:r>
      <w:r>
        <w:rPr>
          <w:rFonts w:asciiTheme="minorBidi" w:hAnsiTheme="minorBidi" w:hint="cs"/>
          <w:sz w:val="16"/>
          <w:szCs w:val="16"/>
          <w:rtl/>
        </w:rPr>
        <w:t>...</w:t>
      </w:r>
      <w:r w:rsidRPr="00E70723">
        <w:rPr>
          <w:rtl/>
        </w:rPr>
        <w:t xml:space="preserve"> </w:t>
      </w:r>
      <w:r w:rsidRPr="00E70723">
        <w:rPr>
          <w:rFonts w:asciiTheme="minorBidi" w:hAnsiTheme="minorBidi" w:cs="Arial"/>
          <w:sz w:val="16"/>
          <w:szCs w:val="16"/>
          <w:rtl/>
        </w:rPr>
        <w:t>וכתב דהכי חזינן בגזלנין וחמסנין (כה:) דמתחלה לא פסלום כל זמן שיוכלו למצוא להם צד זכות</w:t>
      </w:r>
      <w:r w:rsidRPr="00845316">
        <w:rPr>
          <w:rFonts w:asciiTheme="minorBidi" w:hAnsiTheme="minorBidi"/>
          <w:sz w:val="16"/>
          <w:szCs w:val="16"/>
          <w:rtl/>
        </w:rPr>
        <w:t xml:space="preserve">) </w:t>
      </w:r>
    </w:p>
    <w:p w14:paraId="0E552812" w14:textId="77777777" w:rsidR="004B607F" w:rsidRPr="00845316" w:rsidRDefault="004B607F" w:rsidP="004B607F">
      <w:pPr>
        <w:rPr>
          <w:rFonts w:asciiTheme="minorBidi" w:hAnsiTheme="minorBidi"/>
          <w:rtl/>
        </w:rPr>
      </w:pPr>
      <w:r w:rsidRPr="00845316">
        <w:rPr>
          <w:rFonts w:asciiTheme="minorBidi" w:hAnsiTheme="minorBidi"/>
          <w:b/>
          <w:bCs/>
          <w:rtl/>
        </w:rPr>
        <w:t xml:space="preserve">סנהדרין כה ע"ב: </w:t>
      </w:r>
      <w:r w:rsidRPr="00845316">
        <w:rPr>
          <w:rFonts w:asciiTheme="minorBidi" w:hAnsiTheme="minorBidi"/>
          <w:rtl/>
        </w:rPr>
        <w:t>תנא: הוסיפו עליהן הגזלנין והחמסנין. גזלן דאורייתא הוא</w:t>
      </w:r>
      <w:r w:rsidRPr="00845316">
        <w:rPr>
          <w:rStyle w:val="ab"/>
          <w:rFonts w:asciiTheme="minorBidi" w:hAnsiTheme="minorBidi"/>
          <w:rtl/>
        </w:rPr>
        <w:footnoteReference w:id="2344"/>
      </w:r>
      <w:r w:rsidRPr="00845316">
        <w:rPr>
          <w:rFonts w:asciiTheme="minorBidi" w:hAnsiTheme="minorBidi"/>
          <w:rtl/>
        </w:rPr>
        <w:t xml:space="preserve"> - לא נצרכא אלא למציאת חרש שוטה וקטן. מעיקרא סבור: מציאת חרש שוטה וקטן לא שכיחא, אי נמי מפני דרכי שלום בעלמא. כיון דחזו דסוף סוף ממונא הוא דקא שקלי</w:t>
      </w:r>
      <w:r w:rsidRPr="00845316">
        <w:rPr>
          <w:rStyle w:val="ab"/>
          <w:rFonts w:asciiTheme="minorBidi" w:hAnsiTheme="minorBidi"/>
          <w:rtl/>
        </w:rPr>
        <w:footnoteReference w:id="2345"/>
      </w:r>
      <w:r w:rsidRPr="00845316">
        <w:rPr>
          <w:rFonts w:asciiTheme="minorBidi" w:hAnsiTheme="minorBidi"/>
          <w:rtl/>
        </w:rPr>
        <w:t xml:space="preserve"> - פסלינהו רבנן</w:t>
      </w:r>
      <w:r w:rsidRPr="00845316">
        <w:rPr>
          <w:rStyle w:val="ab"/>
          <w:rFonts w:asciiTheme="minorBidi" w:hAnsiTheme="minorBidi"/>
          <w:rtl/>
        </w:rPr>
        <w:footnoteReference w:id="2346"/>
      </w:r>
      <w:r w:rsidRPr="00845316">
        <w:rPr>
          <w:rFonts w:asciiTheme="minorBidi" w:hAnsiTheme="minorBidi"/>
          <w:rtl/>
        </w:rPr>
        <w:t>. החמסנין, מעיקרא סבור: דמי קא יהיב, אקראי בעלמא הוא. כיון דחזו דקא חטפי</w:t>
      </w:r>
      <w:r w:rsidRPr="00845316">
        <w:rPr>
          <w:rStyle w:val="ab"/>
          <w:rFonts w:asciiTheme="minorBidi" w:hAnsiTheme="minorBidi"/>
          <w:rtl/>
        </w:rPr>
        <w:footnoteReference w:id="2347"/>
      </w:r>
      <w:r w:rsidRPr="00845316">
        <w:rPr>
          <w:rFonts w:asciiTheme="minorBidi" w:hAnsiTheme="minorBidi"/>
          <w:rtl/>
        </w:rPr>
        <w:t xml:space="preserve"> - גזרו בהו רבנן.</w:t>
      </w:r>
    </w:p>
    <w:p w14:paraId="73EEFEB9" w14:textId="77777777" w:rsidR="004B607F" w:rsidRPr="00845316" w:rsidRDefault="004B607F" w:rsidP="004B607F">
      <w:pPr>
        <w:jc w:val="both"/>
        <w:rPr>
          <w:rFonts w:asciiTheme="minorBidi" w:hAnsiTheme="minorBidi"/>
          <w:rtl/>
        </w:rPr>
      </w:pPr>
      <w:r w:rsidRPr="00845316">
        <w:rPr>
          <w:rFonts w:asciiTheme="minorBidi" w:hAnsiTheme="minorBidi"/>
          <w:b/>
          <w:bCs/>
          <w:sz w:val="32"/>
          <w:szCs w:val="28"/>
          <w:u w:val="single"/>
          <w:rtl/>
        </w:rPr>
        <w:t xml:space="preserve">שו"ע: </w:t>
      </w:r>
    </w:p>
    <w:p w14:paraId="32AEE449" w14:textId="77777777" w:rsidR="004B607F" w:rsidRPr="00845316" w:rsidRDefault="004B607F" w:rsidP="004B607F">
      <w:pPr>
        <w:rPr>
          <w:rFonts w:asciiTheme="minorBidi" w:hAnsiTheme="minorBidi"/>
          <w:rtl/>
        </w:rPr>
      </w:pPr>
      <w:r w:rsidRPr="00845316">
        <w:rPr>
          <w:rFonts w:asciiTheme="minorBidi" w:hAnsiTheme="minorBidi"/>
          <w:rtl/>
        </w:rPr>
        <w:t>כל מי שהעידו עליו שעבר עבירה פלונית, אף על פי שלא התרו בו שהרי אינו לוקה, פסול</w:t>
      </w:r>
      <w:r w:rsidRPr="00845316">
        <w:rPr>
          <w:rStyle w:val="ab"/>
          <w:rFonts w:asciiTheme="minorBidi" w:hAnsiTheme="minorBidi"/>
          <w:rtl/>
        </w:rPr>
        <w:footnoteReference w:id="2348"/>
      </w:r>
      <w:r w:rsidRPr="00845316">
        <w:rPr>
          <w:rFonts w:asciiTheme="minorBidi" w:hAnsiTheme="minorBidi"/>
          <w:rtl/>
        </w:rPr>
        <w:t>, והוא שעבר על דברים שפשט בישראל שהם עבירה</w:t>
      </w:r>
      <w:r>
        <w:rPr>
          <w:rFonts w:asciiTheme="minorBidi" w:hAnsiTheme="minorBidi" w:hint="cs"/>
          <w:rtl/>
        </w:rPr>
        <w:t>.</w:t>
      </w:r>
      <w:r w:rsidRPr="00845316">
        <w:rPr>
          <w:rFonts w:asciiTheme="minorBidi" w:hAnsiTheme="minorBidi"/>
          <w:rtl/>
        </w:rPr>
        <w:t xml:space="preserve"> אבל אם ראוהו עובר על דבר שקרוב העושה להיות שוגג צריכים להזהירו ואחר כך יפסל</w:t>
      </w:r>
      <w:r>
        <w:rPr>
          <w:rFonts w:asciiTheme="minorBidi" w:hAnsiTheme="minorBidi" w:hint="cs"/>
          <w:rtl/>
        </w:rPr>
        <w:t>.</w:t>
      </w:r>
      <w:r w:rsidRPr="00845316">
        <w:rPr>
          <w:rFonts w:asciiTheme="minorBidi" w:hAnsiTheme="minorBidi"/>
          <w:rtl/>
        </w:rPr>
        <w:t xml:space="preserve"> כיצד, ראוהו קושר או מתיר בשבת צריכים להודיעו שזה חילול שבת מפני שרוב העם אינם יודעים זה, וכן אם ראוהו עושה מלאכה בשבת או ביום טוב צריכים להודיעו שהיום שבת שמא שוכח הוא, וכן המשחק בקוביא תמיד או מי שנעשה מוכס או גבאי שמוסיף לעצמו צריכים העדים להודיעו שהעושה דבר זה פסול לעדות שרוב העם אינם יודעים דברים אלו, וכן כל כיוצא בזה</w:t>
      </w:r>
      <w:r w:rsidRPr="00845316">
        <w:rPr>
          <w:rStyle w:val="ab"/>
          <w:rFonts w:asciiTheme="minorBidi" w:hAnsiTheme="minorBidi"/>
          <w:rtl/>
        </w:rPr>
        <w:footnoteReference w:id="2349"/>
      </w:r>
      <w:r w:rsidRPr="00845316">
        <w:rPr>
          <w:rFonts w:asciiTheme="minorBidi" w:hAnsiTheme="minorBidi"/>
          <w:rtl/>
        </w:rPr>
        <w:t xml:space="preserve">. </w:t>
      </w:r>
    </w:p>
    <w:p w14:paraId="7A789FB4" w14:textId="77777777" w:rsidR="004B607F" w:rsidRPr="00845316" w:rsidRDefault="004B607F" w:rsidP="004B607F">
      <w:pPr>
        <w:rPr>
          <w:rFonts w:asciiTheme="minorBidi" w:hAnsiTheme="minorBidi"/>
          <w:u w:val="single"/>
          <w:rtl/>
        </w:rPr>
      </w:pPr>
      <w:r w:rsidRPr="00845316">
        <w:rPr>
          <w:rFonts w:asciiTheme="minorBidi" w:hAnsiTheme="minorBidi"/>
          <w:u w:val="single"/>
          <w:rtl/>
        </w:rPr>
        <w:lastRenderedPageBreak/>
        <w:t xml:space="preserve">עבר עברה </w:t>
      </w:r>
      <w:r w:rsidRPr="00845316">
        <w:rPr>
          <w:rFonts w:asciiTheme="minorBidi" w:hAnsiTheme="minorBidi"/>
          <w:b/>
          <w:bCs/>
          <w:u w:val="single"/>
          <w:rtl/>
        </w:rPr>
        <w:t>דאו'</w:t>
      </w:r>
      <w:r w:rsidRPr="00845316">
        <w:rPr>
          <w:rFonts w:asciiTheme="minorBidi" w:hAnsiTheme="minorBidi"/>
          <w:u w:val="single"/>
          <w:rtl/>
        </w:rPr>
        <w:t xml:space="preserve"> שיש עליה מלקות וידע שזו עברה אך לא ידע שנפסל בזה לעדות:</w:t>
      </w:r>
    </w:p>
    <w:p w14:paraId="0093BEC5" w14:textId="77777777" w:rsidR="004B607F" w:rsidRPr="00845316" w:rsidRDefault="004B607F" w:rsidP="004B0475">
      <w:pPr>
        <w:pStyle w:val="ac"/>
        <w:numPr>
          <w:ilvl w:val="0"/>
          <w:numId w:val="174"/>
        </w:numPr>
        <w:rPr>
          <w:rFonts w:asciiTheme="minorBidi" w:hAnsiTheme="minorBidi"/>
          <w:rtl/>
        </w:rPr>
      </w:pPr>
      <w:r w:rsidRPr="00845316">
        <w:rPr>
          <w:rFonts w:asciiTheme="minorBidi" w:hAnsiTheme="minorBidi"/>
          <w:rtl/>
        </w:rPr>
        <w:t xml:space="preserve">נתיבות </w:t>
      </w:r>
      <w:r w:rsidRPr="00845316">
        <w:rPr>
          <w:rFonts w:asciiTheme="minorBidi" w:hAnsiTheme="minorBidi"/>
          <w:sz w:val="16"/>
          <w:szCs w:val="16"/>
          <w:rtl/>
        </w:rPr>
        <w:t>(סקט"ז)</w:t>
      </w:r>
      <w:r w:rsidRPr="00845316">
        <w:rPr>
          <w:rFonts w:asciiTheme="minorBidi" w:hAnsiTheme="minorBidi"/>
          <w:rtl/>
        </w:rPr>
        <w:t>- כשעובר על איסור דאו' שיש בו מלקות ודאי פסול אף ללא התראה זו, דהא רשע נקרא והתורה אמרה אל תשת רשע עד, ולא חילק רחמנא, ועוד דחשיד על עדות שקר, ובמידי דאינו נפסל רק מדרבנן שייך חילוק זה, דהם אמרו והם אמרו.</w:t>
      </w:r>
    </w:p>
    <w:p w14:paraId="3F0A4124" w14:textId="77777777" w:rsidR="004B607F" w:rsidRPr="00845316" w:rsidRDefault="004B607F" w:rsidP="004B0475">
      <w:pPr>
        <w:pStyle w:val="ac"/>
        <w:numPr>
          <w:ilvl w:val="0"/>
          <w:numId w:val="174"/>
        </w:numPr>
        <w:rPr>
          <w:rFonts w:asciiTheme="minorBidi" w:hAnsiTheme="minorBidi"/>
          <w:rtl/>
        </w:rPr>
      </w:pPr>
      <w:r w:rsidRPr="00845316">
        <w:rPr>
          <w:rFonts w:asciiTheme="minorBidi" w:hAnsiTheme="minorBidi"/>
          <w:rtl/>
        </w:rPr>
        <w:t xml:space="preserve">סמ"ע </w:t>
      </w:r>
      <w:r w:rsidRPr="00845316">
        <w:rPr>
          <w:rFonts w:asciiTheme="minorBidi" w:hAnsiTheme="minorBidi"/>
          <w:sz w:val="16"/>
          <w:szCs w:val="16"/>
          <w:rtl/>
        </w:rPr>
        <w:t>(סקנ"ז)</w:t>
      </w:r>
      <w:r w:rsidRPr="00845316">
        <w:rPr>
          <w:rFonts w:asciiTheme="minorBidi" w:hAnsiTheme="minorBidi"/>
          <w:rtl/>
        </w:rPr>
        <w:t>- אפילו באיסור דאו' שיש בו מלקות, בעינן ג"כ שידע שנפסל על ידו</w:t>
      </w:r>
      <w:r w:rsidRPr="00845316">
        <w:rPr>
          <w:rStyle w:val="ab"/>
          <w:rFonts w:asciiTheme="minorBidi" w:hAnsiTheme="minorBidi"/>
          <w:rtl/>
        </w:rPr>
        <w:footnoteReference w:id="2350"/>
      </w:r>
      <w:r w:rsidRPr="00845316">
        <w:rPr>
          <w:rFonts w:asciiTheme="minorBidi" w:hAnsiTheme="minorBidi"/>
          <w:rtl/>
        </w:rPr>
        <w:t>.</w:t>
      </w:r>
    </w:p>
    <w:p w14:paraId="0771D70D" w14:textId="77777777" w:rsidR="004B607F" w:rsidRPr="00845316" w:rsidRDefault="004B607F" w:rsidP="004B607F">
      <w:pPr>
        <w:rPr>
          <w:rFonts w:asciiTheme="minorBidi" w:hAnsiTheme="minorBidi"/>
          <w:rtl/>
        </w:rPr>
      </w:pPr>
    </w:p>
    <w:p w14:paraId="3553CBEA" w14:textId="77777777" w:rsidR="004B607F" w:rsidRPr="00845316" w:rsidRDefault="004B607F" w:rsidP="004B607F">
      <w:pPr>
        <w:pStyle w:val="2"/>
        <w:rPr>
          <w:rFonts w:asciiTheme="minorBidi" w:hAnsiTheme="minorBidi"/>
          <w:rtl/>
        </w:rPr>
      </w:pPr>
      <w:bookmarkStart w:id="314" w:name="_Toc24883772"/>
      <w:r w:rsidRPr="00845316">
        <w:rPr>
          <w:rFonts w:asciiTheme="minorBidi" w:hAnsiTheme="minorBidi"/>
          <w:rtl/>
        </w:rPr>
        <w:t>סעיף כה: פסילה לעדות על פי עצמו.</w:t>
      </w:r>
      <w:bookmarkEnd w:id="314"/>
    </w:p>
    <w:p w14:paraId="6AC2A0B4" w14:textId="77777777" w:rsidR="004B607F" w:rsidRPr="00845316" w:rsidRDefault="004B607F" w:rsidP="004B607F">
      <w:pPr>
        <w:rPr>
          <w:rFonts w:asciiTheme="minorBidi" w:hAnsiTheme="minorBidi"/>
          <w:rtl/>
        </w:rPr>
      </w:pPr>
      <w:r w:rsidRPr="00845316">
        <w:rPr>
          <w:rFonts w:asciiTheme="minorBidi" w:hAnsiTheme="minorBidi"/>
          <w:b/>
          <w:bCs/>
          <w:rtl/>
        </w:rPr>
        <w:t>סנהדרין ט</w:t>
      </w:r>
      <w:r>
        <w:rPr>
          <w:rStyle w:val="ab"/>
          <w:rFonts w:asciiTheme="minorBidi" w:hAnsiTheme="minorBidi"/>
          <w:b/>
          <w:bCs/>
          <w:rtl/>
        </w:rPr>
        <w:footnoteReference w:id="2351"/>
      </w:r>
      <w:r w:rsidRPr="00845316">
        <w:rPr>
          <w:rFonts w:asciiTheme="minorBidi" w:hAnsiTheme="minorBidi"/>
          <w:b/>
          <w:bCs/>
          <w:rtl/>
        </w:rPr>
        <w:t xml:space="preserve"> ע"ב: </w:t>
      </w:r>
      <w:r w:rsidRPr="00845316">
        <w:rPr>
          <w:rFonts w:asciiTheme="minorBidi" w:hAnsiTheme="minorBidi"/>
          <w:u w:val="single"/>
          <w:rtl/>
        </w:rPr>
        <w:t>ואמר רב יוסף</w:t>
      </w:r>
      <w:r w:rsidRPr="00845316">
        <w:rPr>
          <w:rFonts w:asciiTheme="minorBidi" w:hAnsiTheme="minorBidi"/>
          <w:rtl/>
        </w:rPr>
        <w:t>: פלוני רבעו</w:t>
      </w:r>
      <w:r w:rsidRPr="00845316">
        <w:rPr>
          <w:rStyle w:val="ab"/>
          <w:rFonts w:asciiTheme="minorBidi" w:hAnsiTheme="minorBidi"/>
          <w:rtl/>
        </w:rPr>
        <w:footnoteReference w:id="2352"/>
      </w:r>
      <w:r w:rsidRPr="00845316">
        <w:rPr>
          <w:rFonts w:asciiTheme="minorBidi" w:hAnsiTheme="minorBidi"/>
          <w:rtl/>
        </w:rPr>
        <w:t xml:space="preserve"> לאונסו</w:t>
      </w:r>
      <w:r>
        <w:rPr>
          <w:rFonts w:asciiTheme="minorBidi" w:hAnsiTheme="minorBidi" w:hint="cs"/>
          <w:rtl/>
        </w:rPr>
        <w:t xml:space="preserve"> </w:t>
      </w:r>
      <w:r w:rsidRPr="00845316">
        <w:rPr>
          <w:rFonts w:asciiTheme="minorBidi" w:hAnsiTheme="minorBidi"/>
          <w:rtl/>
        </w:rPr>
        <w:t>- הוא ואחר</w:t>
      </w:r>
      <w:r w:rsidRPr="00845316">
        <w:rPr>
          <w:rStyle w:val="ab"/>
          <w:rFonts w:asciiTheme="minorBidi" w:hAnsiTheme="minorBidi"/>
          <w:rtl/>
        </w:rPr>
        <w:footnoteReference w:id="2353"/>
      </w:r>
      <w:r w:rsidRPr="00845316">
        <w:rPr>
          <w:rFonts w:asciiTheme="minorBidi" w:hAnsiTheme="minorBidi"/>
          <w:rtl/>
        </w:rPr>
        <w:t xml:space="preserve"> מצטרפין להרגו, לרצונו</w:t>
      </w:r>
      <w:r>
        <w:rPr>
          <w:rFonts w:asciiTheme="minorBidi" w:hAnsiTheme="minorBidi" w:hint="cs"/>
          <w:rtl/>
        </w:rPr>
        <w:t xml:space="preserve"> </w:t>
      </w:r>
      <w:r w:rsidRPr="00845316">
        <w:rPr>
          <w:rFonts w:asciiTheme="minorBidi" w:hAnsiTheme="minorBidi"/>
          <w:rtl/>
        </w:rPr>
        <w:t xml:space="preserve">- רשע הוא והתורה אמרה אל תשת רשע עד. </w:t>
      </w:r>
      <w:r w:rsidRPr="00845316">
        <w:rPr>
          <w:rFonts w:asciiTheme="minorBidi" w:hAnsiTheme="minorBidi"/>
          <w:u w:val="single"/>
          <w:rtl/>
        </w:rPr>
        <w:t>רבא אמר</w:t>
      </w:r>
      <w:r w:rsidRPr="00845316">
        <w:rPr>
          <w:rStyle w:val="ab"/>
          <w:rFonts w:asciiTheme="minorBidi" w:hAnsiTheme="minorBidi"/>
          <w:rtl/>
        </w:rPr>
        <w:footnoteReference w:id="2354"/>
      </w:r>
      <w:r w:rsidRPr="00845316">
        <w:rPr>
          <w:rFonts w:asciiTheme="minorBidi" w:hAnsiTheme="minorBidi"/>
          <w:rtl/>
        </w:rPr>
        <w:t xml:space="preserve">: אדם קרוב אצל עצמו, ואין אדם משים עצמו רשע. </w:t>
      </w:r>
      <w:r w:rsidRPr="00845316">
        <w:rPr>
          <w:rFonts w:asciiTheme="minorBidi" w:hAnsiTheme="minorBidi"/>
          <w:u w:val="single"/>
          <w:rtl/>
        </w:rPr>
        <w:t>אמר רבא</w:t>
      </w:r>
      <w:r w:rsidRPr="00845316">
        <w:rPr>
          <w:rFonts w:asciiTheme="minorBidi" w:hAnsiTheme="minorBidi"/>
          <w:rtl/>
        </w:rPr>
        <w:t xml:space="preserve">: </w:t>
      </w:r>
      <w:r>
        <w:rPr>
          <w:rFonts w:asciiTheme="minorBidi" w:hAnsiTheme="minorBidi" w:hint="cs"/>
          <w:sz w:val="14"/>
          <w:szCs w:val="14"/>
          <w:rtl/>
        </w:rPr>
        <w:t xml:space="preserve">(י.) </w:t>
      </w:r>
      <w:r w:rsidRPr="00845316">
        <w:rPr>
          <w:rFonts w:asciiTheme="minorBidi" w:hAnsiTheme="minorBidi"/>
          <w:rtl/>
        </w:rPr>
        <w:t>פלוני בא על אשתי</w:t>
      </w:r>
      <w:r>
        <w:rPr>
          <w:rFonts w:asciiTheme="minorBidi" w:hAnsiTheme="minorBidi" w:hint="cs"/>
          <w:rtl/>
        </w:rPr>
        <w:t xml:space="preserve"> </w:t>
      </w:r>
      <w:r w:rsidRPr="00845316">
        <w:rPr>
          <w:rFonts w:asciiTheme="minorBidi" w:hAnsiTheme="minorBidi"/>
          <w:rtl/>
        </w:rPr>
        <w:t>- הוא ואחר מצטרפין להורגו, אבל לא להורגה</w:t>
      </w:r>
      <w:r w:rsidRPr="00845316">
        <w:rPr>
          <w:rStyle w:val="ab"/>
          <w:rFonts w:asciiTheme="minorBidi" w:hAnsiTheme="minorBidi"/>
          <w:rtl/>
        </w:rPr>
        <w:footnoteReference w:id="2355"/>
      </w:r>
      <w:r w:rsidRPr="00845316">
        <w:rPr>
          <w:rFonts w:asciiTheme="minorBidi" w:hAnsiTheme="minorBidi"/>
          <w:rtl/>
        </w:rPr>
        <w:t>. מאי קא משמע לן</w:t>
      </w:r>
      <w:r>
        <w:rPr>
          <w:rFonts w:asciiTheme="minorBidi" w:hAnsiTheme="minorBidi" w:hint="cs"/>
          <w:rtl/>
        </w:rPr>
        <w:t xml:space="preserve"> </w:t>
      </w:r>
      <w:r w:rsidRPr="00845316">
        <w:rPr>
          <w:rFonts w:asciiTheme="minorBidi" w:hAnsiTheme="minorBidi"/>
          <w:rtl/>
        </w:rPr>
        <w:t>- דמפלגינן בדיבורא? היינו הך! מהו דתימא: אדם קרוב אצל עצמו אמרינן, אצל אשתו לא אמרינן</w:t>
      </w:r>
      <w:r w:rsidRPr="00845316">
        <w:rPr>
          <w:rStyle w:val="ab"/>
          <w:rFonts w:asciiTheme="minorBidi" w:hAnsiTheme="minorBidi"/>
          <w:rtl/>
        </w:rPr>
        <w:footnoteReference w:id="2356"/>
      </w:r>
      <w:r w:rsidRPr="00845316">
        <w:rPr>
          <w:rFonts w:asciiTheme="minorBidi" w:hAnsiTheme="minorBidi"/>
          <w:rtl/>
        </w:rPr>
        <w:t>, קא משמע לן.</w:t>
      </w:r>
    </w:p>
    <w:p w14:paraId="4CFFB227" w14:textId="77777777" w:rsidR="001032B2" w:rsidRDefault="001032B2" w:rsidP="001032B2">
      <w:pPr>
        <w:rPr>
          <w:rFonts w:asciiTheme="minorBidi" w:hAnsiTheme="minorBidi"/>
          <w:rtl/>
        </w:rPr>
      </w:pPr>
      <w:r w:rsidRPr="00351B7D">
        <w:rPr>
          <w:rFonts w:asciiTheme="minorBidi" w:hAnsiTheme="minorBidi"/>
          <w:b/>
          <w:bCs/>
          <w:rtl/>
        </w:rPr>
        <w:t xml:space="preserve">סנהדרין </w:t>
      </w:r>
      <w:r>
        <w:rPr>
          <w:rFonts w:asciiTheme="minorBidi" w:hAnsiTheme="minorBidi" w:hint="cs"/>
          <w:b/>
          <w:bCs/>
          <w:sz w:val="16"/>
          <w:szCs w:val="16"/>
          <w:rtl/>
        </w:rPr>
        <w:t>(פ' זה בורר)</w:t>
      </w:r>
      <w:r>
        <w:rPr>
          <w:rFonts w:asciiTheme="minorBidi" w:hAnsiTheme="minorBidi" w:hint="cs"/>
          <w:b/>
          <w:bCs/>
          <w:rtl/>
        </w:rPr>
        <w:t xml:space="preserve"> </w:t>
      </w:r>
      <w:r w:rsidRPr="00351B7D">
        <w:rPr>
          <w:rFonts w:asciiTheme="minorBidi" w:hAnsiTheme="minorBidi"/>
          <w:b/>
          <w:bCs/>
          <w:rtl/>
        </w:rPr>
        <w:t>כו ע"ב</w:t>
      </w:r>
      <w:r>
        <w:rPr>
          <w:rFonts w:asciiTheme="minorBidi" w:hAnsiTheme="minorBidi" w:hint="cs"/>
          <w:b/>
          <w:bCs/>
          <w:rtl/>
        </w:rPr>
        <w:t xml:space="preserve"> [לגירסתנו]</w:t>
      </w:r>
      <w:r w:rsidRPr="00351B7D">
        <w:rPr>
          <w:rFonts w:asciiTheme="minorBidi" w:hAnsiTheme="minorBidi"/>
          <w:b/>
          <w:bCs/>
          <w:rtl/>
        </w:rPr>
        <w:t xml:space="preserve">: </w:t>
      </w:r>
      <w:r w:rsidRPr="00351B7D">
        <w:rPr>
          <w:rFonts w:asciiTheme="minorBidi" w:hAnsiTheme="minorBidi"/>
          <w:u w:val="single"/>
          <w:rtl/>
        </w:rPr>
        <w:t>אמר רב נחמן</w:t>
      </w:r>
      <w:r w:rsidRPr="00351B7D">
        <w:rPr>
          <w:rFonts w:asciiTheme="minorBidi" w:hAnsiTheme="minorBidi"/>
          <w:rtl/>
        </w:rPr>
        <w:t>: החשוד על העריות כשר לעדות</w:t>
      </w:r>
      <w:r w:rsidRPr="00351B7D">
        <w:rPr>
          <w:rStyle w:val="ab"/>
          <w:rFonts w:asciiTheme="minorBidi" w:hAnsiTheme="minorBidi"/>
          <w:rtl/>
        </w:rPr>
        <w:footnoteReference w:id="2357"/>
      </w:r>
      <w:r w:rsidRPr="00351B7D">
        <w:rPr>
          <w:rFonts w:asciiTheme="minorBidi" w:hAnsiTheme="minorBidi"/>
          <w:rtl/>
        </w:rPr>
        <w:t xml:space="preserve">. </w:t>
      </w:r>
      <w:r w:rsidRPr="00351B7D">
        <w:rPr>
          <w:rFonts w:asciiTheme="minorBidi" w:hAnsiTheme="minorBidi"/>
          <w:u w:val="single"/>
          <w:rtl/>
        </w:rPr>
        <w:t>אמר רב ששת</w:t>
      </w:r>
      <w:r w:rsidRPr="00351B7D">
        <w:rPr>
          <w:rFonts w:asciiTheme="minorBidi" w:hAnsiTheme="minorBidi"/>
          <w:rtl/>
        </w:rPr>
        <w:t xml:space="preserve">: עני מרי, ארבעין בכתפיה וכשר? </w:t>
      </w:r>
      <w:r w:rsidRPr="00351B7D">
        <w:rPr>
          <w:rFonts w:asciiTheme="minorBidi" w:hAnsiTheme="minorBidi"/>
          <w:u w:val="single"/>
          <w:rtl/>
        </w:rPr>
        <w:t>אמר רבא</w:t>
      </w:r>
      <w:r w:rsidRPr="00351B7D">
        <w:rPr>
          <w:rFonts w:asciiTheme="minorBidi" w:hAnsiTheme="minorBidi"/>
          <w:rtl/>
        </w:rPr>
        <w:t xml:space="preserve">: ומודה רב נחמן לענין עדות אשה שהוא פסול. </w:t>
      </w:r>
      <w:r w:rsidRPr="00351B7D">
        <w:rPr>
          <w:rFonts w:asciiTheme="minorBidi" w:hAnsiTheme="minorBidi"/>
          <w:u w:val="single"/>
          <w:rtl/>
        </w:rPr>
        <w:t>אמר רבינא ואיתימא רב פפא</w:t>
      </w:r>
      <w:r w:rsidRPr="00351B7D">
        <w:rPr>
          <w:rFonts w:asciiTheme="minorBidi" w:hAnsiTheme="minorBidi"/>
          <w:rtl/>
        </w:rPr>
        <w:t>: לא אמרן אלא לאפוקה</w:t>
      </w:r>
      <w:r w:rsidRPr="00351B7D">
        <w:rPr>
          <w:rStyle w:val="ab"/>
          <w:rFonts w:asciiTheme="minorBidi" w:hAnsiTheme="minorBidi"/>
          <w:rtl/>
        </w:rPr>
        <w:footnoteReference w:id="2358"/>
      </w:r>
      <w:r w:rsidRPr="00351B7D">
        <w:rPr>
          <w:rFonts w:asciiTheme="minorBidi" w:hAnsiTheme="minorBidi"/>
          <w:rtl/>
        </w:rPr>
        <w:t>, אבל לעיולה</w:t>
      </w:r>
      <w:r w:rsidRPr="00351B7D">
        <w:rPr>
          <w:rStyle w:val="ab"/>
          <w:rFonts w:asciiTheme="minorBidi" w:hAnsiTheme="minorBidi"/>
          <w:rtl/>
        </w:rPr>
        <w:footnoteReference w:id="2359"/>
      </w:r>
      <w:r w:rsidRPr="00351B7D">
        <w:rPr>
          <w:rFonts w:asciiTheme="minorBidi" w:hAnsiTheme="minorBidi"/>
          <w:rtl/>
        </w:rPr>
        <w:t xml:space="preserve"> לית לן בה. פשיטא! מהו דתימא: הא עדיפא ליה</w:t>
      </w:r>
      <w:r w:rsidRPr="00351B7D">
        <w:rPr>
          <w:rStyle w:val="ab"/>
          <w:rFonts w:asciiTheme="minorBidi" w:hAnsiTheme="minorBidi"/>
          <w:rtl/>
        </w:rPr>
        <w:footnoteReference w:id="2360"/>
      </w:r>
      <w:r w:rsidRPr="00351B7D">
        <w:rPr>
          <w:rFonts w:asciiTheme="minorBidi" w:hAnsiTheme="minorBidi"/>
          <w:rtl/>
        </w:rPr>
        <w:t>, דכתיב מים גנובים ימתקו וגו', קא משמע לן: דכמה דקיימא הכי</w:t>
      </w:r>
      <w:r>
        <w:rPr>
          <w:rFonts w:asciiTheme="minorBidi" w:hAnsiTheme="minorBidi" w:hint="cs"/>
          <w:rtl/>
        </w:rPr>
        <w:t xml:space="preserve"> </w:t>
      </w:r>
      <w:r w:rsidRPr="00351B7D">
        <w:rPr>
          <w:rFonts w:asciiTheme="minorBidi" w:hAnsiTheme="minorBidi"/>
          <w:rtl/>
        </w:rPr>
        <w:t>- שכיחא ליה.</w:t>
      </w:r>
    </w:p>
    <w:p w14:paraId="086267C6" w14:textId="77777777" w:rsidR="001032B2" w:rsidRPr="00351B7D" w:rsidRDefault="001032B2" w:rsidP="001032B2">
      <w:pPr>
        <w:rPr>
          <w:rFonts w:asciiTheme="minorBidi" w:hAnsiTheme="minorBidi"/>
          <w:rtl/>
        </w:rPr>
      </w:pPr>
      <w:r w:rsidRPr="00351B7D">
        <w:rPr>
          <w:rFonts w:asciiTheme="minorBidi" w:hAnsiTheme="minorBidi"/>
          <w:b/>
          <w:bCs/>
          <w:rtl/>
        </w:rPr>
        <w:t xml:space="preserve">סנהדרין </w:t>
      </w:r>
      <w:r>
        <w:rPr>
          <w:rFonts w:asciiTheme="minorBidi" w:hAnsiTheme="minorBidi" w:hint="cs"/>
          <w:b/>
          <w:bCs/>
          <w:sz w:val="16"/>
          <w:szCs w:val="16"/>
          <w:rtl/>
        </w:rPr>
        <w:t>(פ' זה בורר)</w:t>
      </w:r>
      <w:r>
        <w:rPr>
          <w:rFonts w:asciiTheme="minorBidi" w:hAnsiTheme="minorBidi" w:hint="cs"/>
          <w:b/>
          <w:bCs/>
          <w:rtl/>
        </w:rPr>
        <w:t xml:space="preserve"> </w:t>
      </w:r>
      <w:r w:rsidRPr="00351B7D">
        <w:rPr>
          <w:rFonts w:asciiTheme="minorBidi" w:hAnsiTheme="minorBidi"/>
          <w:b/>
          <w:bCs/>
          <w:rtl/>
        </w:rPr>
        <w:t>כו ע"ב</w:t>
      </w:r>
      <w:r>
        <w:rPr>
          <w:rFonts w:asciiTheme="minorBidi" w:hAnsiTheme="minorBidi" w:hint="cs"/>
          <w:b/>
          <w:bCs/>
          <w:rtl/>
        </w:rPr>
        <w:t xml:space="preserve"> [לגירסת הרי"ף]</w:t>
      </w:r>
      <w:r w:rsidRPr="00351B7D">
        <w:rPr>
          <w:rFonts w:asciiTheme="minorBidi" w:hAnsiTheme="minorBidi"/>
          <w:b/>
          <w:bCs/>
          <w:rtl/>
        </w:rPr>
        <w:t>:</w:t>
      </w:r>
      <w:r>
        <w:rPr>
          <w:rFonts w:asciiTheme="minorBidi" w:hAnsiTheme="minorBidi" w:cs="Arial" w:hint="cs"/>
          <w:rtl/>
        </w:rPr>
        <w:t xml:space="preserve"> </w:t>
      </w:r>
      <w:r w:rsidRPr="00BB7D0B">
        <w:rPr>
          <w:rFonts w:asciiTheme="minorBidi" w:hAnsiTheme="minorBidi" w:cs="Arial"/>
          <w:u w:val="single"/>
          <w:rtl/>
        </w:rPr>
        <w:t>א"ר נחמן</w:t>
      </w:r>
      <w:r>
        <w:rPr>
          <w:rFonts w:asciiTheme="minorBidi" w:hAnsiTheme="minorBidi" w:cs="Arial" w:hint="cs"/>
          <w:rtl/>
        </w:rPr>
        <w:t>:</w:t>
      </w:r>
      <w:r w:rsidRPr="00BB7D0B">
        <w:rPr>
          <w:rFonts w:asciiTheme="minorBidi" w:hAnsiTheme="minorBidi" w:cs="Arial"/>
          <w:rtl/>
        </w:rPr>
        <w:t xml:space="preserve"> החשוד על העריות כשר לעדות</w:t>
      </w:r>
      <w:r>
        <w:rPr>
          <w:rFonts w:asciiTheme="minorBidi" w:hAnsiTheme="minorBidi" w:cs="Arial" w:hint="cs"/>
          <w:rtl/>
        </w:rPr>
        <w:t>.</w:t>
      </w:r>
      <w:r w:rsidRPr="00BB7D0B">
        <w:rPr>
          <w:rFonts w:asciiTheme="minorBidi" w:hAnsiTheme="minorBidi" w:cs="Arial"/>
          <w:rtl/>
        </w:rPr>
        <w:t xml:space="preserve"> </w:t>
      </w:r>
      <w:r w:rsidRPr="00BB7D0B">
        <w:rPr>
          <w:rFonts w:asciiTheme="minorBidi" w:hAnsiTheme="minorBidi" w:cs="Arial"/>
          <w:u w:val="single"/>
          <w:rtl/>
        </w:rPr>
        <w:t>אמר ליה רב ששת</w:t>
      </w:r>
      <w:r>
        <w:rPr>
          <w:rFonts w:asciiTheme="minorBidi" w:hAnsiTheme="minorBidi" w:cs="Arial" w:hint="cs"/>
          <w:rtl/>
        </w:rPr>
        <w:t>:</w:t>
      </w:r>
      <w:r w:rsidRPr="00BB7D0B">
        <w:rPr>
          <w:rFonts w:asciiTheme="minorBidi" w:hAnsiTheme="minorBidi" w:cs="Arial"/>
          <w:rtl/>
        </w:rPr>
        <w:t xml:space="preserve"> ארבעין בכתפיה וכשר</w:t>
      </w:r>
      <w:r>
        <w:rPr>
          <w:rFonts w:asciiTheme="minorBidi" w:hAnsiTheme="minorBidi" w:cs="Arial" w:hint="cs"/>
          <w:rtl/>
        </w:rPr>
        <w:t>?</w:t>
      </w:r>
      <w:r w:rsidRPr="00BB7D0B">
        <w:rPr>
          <w:rFonts w:asciiTheme="minorBidi" w:hAnsiTheme="minorBidi" w:cs="Arial"/>
          <w:rtl/>
        </w:rPr>
        <w:t xml:space="preserve"> התם יצרו תקפו</w:t>
      </w:r>
      <w:r>
        <w:rPr>
          <w:rFonts w:asciiTheme="minorBidi" w:hAnsiTheme="minorBidi" w:cs="Arial" w:hint="cs"/>
          <w:rtl/>
        </w:rPr>
        <w:t>.</w:t>
      </w:r>
      <w:r w:rsidRPr="00BB7D0B">
        <w:rPr>
          <w:rFonts w:asciiTheme="minorBidi" w:hAnsiTheme="minorBidi" w:cs="Arial"/>
          <w:rtl/>
        </w:rPr>
        <w:t xml:space="preserve"> </w:t>
      </w:r>
      <w:r w:rsidRPr="00E07B91">
        <w:rPr>
          <w:rFonts w:asciiTheme="minorBidi" w:hAnsiTheme="minorBidi" w:cs="Arial"/>
          <w:u w:val="single"/>
          <w:rtl/>
        </w:rPr>
        <w:t>אמר רבא</w:t>
      </w:r>
      <w:r>
        <w:rPr>
          <w:rFonts w:asciiTheme="minorBidi" w:hAnsiTheme="minorBidi" w:cs="Arial" w:hint="cs"/>
          <w:rtl/>
        </w:rPr>
        <w:t>:</w:t>
      </w:r>
      <w:r w:rsidRPr="00BB7D0B">
        <w:rPr>
          <w:rFonts w:asciiTheme="minorBidi" w:hAnsiTheme="minorBidi" w:cs="Arial"/>
          <w:rtl/>
        </w:rPr>
        <w:t xml:space="preserve"> ומודה רב נחמן לעדות אשה שפסול בין לאפוקה בין לעיולה </w:t>
      </w:r>
      <w:r w:rsidRPr="00E07B91">
        <w:rPr>
          <w:rFonts w:asciiTheme="minorBidi" w:hAnsiTheme="minorBidi" w:cs="Arial" w:hint="cs"/>
          <w:sz w:val="16"/>
          <w:szCs w:val="16"/>
          <w:rtl/>
        </w:rPr>
        <w:t>(</w:t>
      </w:r>
      <w:r w:rsidRPr="0089638C">
        <w:rPr>
          <w:rFonts w:cs="Arial"/>
          <w:sz w:val="16"/>
          <w:szCs w:val="16"/>
          <w:rtl/>
        </w:rPr>
        <w:t>כך היא גירסת הרי"ף (ה:) והרא"ש (סי' יג) וכך הם דברי הרמב"ם בפ</w:t>
      </w:r>
      <w:r w:rsidRPr="0089638C">
        <w:rPr>
          <w:rFonts w:cs="Arial" w:hint="cs"/>
          <w:sz w:val="16"/>
          <w:szCs w:val="16"/>
          <w:rtl/>
        </w:rPr>
        <w:t>"</w:t>
      </w:r>
      <w:r w:rsidRPr="0089638C">
        <w:rPr>
          <w:rFonts w:cs="Arial"/>
          <w:sz w:val="16"/>
          <w:szCs w:val="16"/>
          <w:rtl/>
        </w:rPr>
        <w:t>ד (מאישות ה"ו)</w:t>
      </w:r>
      <w:r w:rsidRPr="0089638C">
        <w:rPr>
          <w:rFonts w:cs="Arial" w:hint="cs"/>
          <w:sz w:val="16"/>
          <w:szCs w:val="16"/>
          <w:rtl/>
        </w:rPr>
        <w:t>,</w:t>
      </w:r>
      <w:r w:rsidRPr="0089638C">
        <w:rPr>
          <w:rFonts w:cs="Arial"/>
          <w:sz w:val="16"/>
          <w:szCs w:val="16"/>
          <w:rtl/>
        </w:rPr>
        <w:t xml:space="preserve"> ודלא כספרים דידן פרק זה בורר והיא גירסת העיטור (אות קוף קבלת העדות נז ע"ד) דגרסי לא אמרן אלא לאפוקא אבל לעיולא לית לן בה</w:t>
      </w:r>
      <w:r>
        <w:rPr>
          <w:rFonts w:cs="Arial" w:hint="cs"/>
          <w:sz w:val="16"/>
          <w:szCs w:val="16"/>
          <w:rtl/>
        </w:rPr>
        <w:t>, ב"י)</w:t>
      </w:r>
    </w:p>
    <w:p w14:paraId="4233D618" w14:textId="77777777" w:rsidR="001032B2" w:rsidRPr="00351B7D" w:rsidRDefault="001032B2" w:rsidP="001032B2">
      <w:pPr>
        <w:rPr>
          <w:rFonts w:asciiTheme="minorBidi" w:hAnsiTheme="minorBidi"/>
          <w:u w:val="single"/>
          <w:rtl/>
        </w:rPr>
      </w:pPr>
      <w:r w:rsidRPr="00351B7D">
        <w:rPr>
          <w:rFonts w:asciiTheme="minorBidi" w:hAnsiTheme="minorBidi"/>
          <w:u w:val="single"/>
          <w:rtl/>
        </w:rPr>
        <w:t>מה הכוונה חשוד על העריות:</w:t>
      </w:r>
      <w:r w:rsidRPr="00351B7D">
        <w:rPr>
          <w:rFonts w:asciiTheme="minorBidi" w:hAnsiTheme="minorBidi"/>
          <w:rtl/>
        </w:rPr>
        <w:t xml:space="preserve"> </w:t>
      </w:r>
    </w:p>
    <w:p w14:paraId="59A93547" w14:textId="77777777" w:rsidR="001032B2" w:rsidRPr="00295610" w:rsidRDefault="001032B2" w:rsidP="001032B2">
      <w:pPr>
        <w:pStyle w:val="ac"/>
        <w:numPr>
          <w:ilvl w:val="0"/>
          <w:numId w:val="174"/>
        </w:numPr>
        <w:rPr>
          <w:rFonts w:asciiTheme="minorBidi" w:hAnsiTheme="minorBidi"/>
        </w:rPr>
      </w:pPr>
      <w:r w:rsidRPr="00683C1E">
        <w:rPr>
          <w:rFonts w:asciiTheme="minorBidi" w:hAnsiTheme="minorBidi" w:cs="Arial"/>
          <w:rtl/>
        </w:rPr>
        <w:t xml:space="preserve">ר"ת </w:t>
      </w:r>
      <w:r>
        <w:rPr>
          <w:rFonts w:asciiTheme="minorBidi" w:hAnsiTheme="minorBidi" w:cs="Arial" w:hint="cs"/>
          <w:sz w:val="16"/>
          <w:szCs w:val="16"/>
          <w:rtl/>
        </w:rPr>
        <w:t>(כ"כ בשמו הרא"ש [פ"ג סי' יג])</w:t>
      </w:r>
      <w:r>
        <w:rPr>
          <w:rFonts w:asciiTheme="minorBidi" w:hAnsiTheme="minorBidi" w:cs="Arial" w:hint="cs"/>
          <w:rtl/>
        </w:rPr>
        <w:t xml:space="preserve">- </w:t>
      </w:r>
      <w:r w:rsidRPr="00683C1E">
        <w:rPr>
          <w:rFonts w:asciiTheme="minorBidi" w:hAnsiTheme="minorBidi" w:cs="Arial"/>
          <w:rtl/>
        </w:rPr>
        <w:t>שבא על הערוה</w:t>
      </w:r>
      <w:r>
        <w:rPr>
          <w:rStyle w:val="ab"/>
          <w:rFonts w:asciiTheme="minorBidi" w:hAnsiTheme="minorBidi" w:cs="Arial"/>
          <w:rtl/>
        </w:rPr>
        <w:footnoteReference w:id="2361"/>
      </w:r>
      <w:r>
        <w:rPr>
          <w:rFonts w:asciiTheme="minorBidi" w:hAnsiTheme="minorBidi" w:hint="cs"/>
          <w:rtl/>
        </w:rPr>
        <w:t>.</w:t>
      </w:r>
    </w:p>
    <w:p w14:paraId="4B6DC779" w14:textId="0D7739B7" w:rsidR="001032B2" w:rsidRPr="007C4266" w:rsidRDefault="001032B2" w:rsidP="001032B2">
      <w:pPr>
        <w:pStyle w:val="ac"/>
        <w:numPr>
          <w:ilvl w:val="0"/>
          <w:numId w:val="174"/>
        </w:numPr>
        <w:rPr>
          <w:rFonts w:asciiTheme="minorBidi" w:hAnsiTheme="minorBidi"/>
          <w:rtl/>
        </w:rPr>
      </w:pPr>
      <w:r>
        <w:rPr>
          <w:rFonts w:asciiTheme="minorBidi" w:hAnsiTheme="minorBidi" w:cs="Arial" w:hint="cs"/>
          <w:rtl/>
        </w:rPr>
        <w:lastRenderedPageBreak/>
        <w:t xml:space="preserve">תוס' </w:t>
      </w:r>
      <w:r>
        <w:rPr>
          <w:rFonts w:asciiTheme="minorBidi" w:hAnsiTheme="minorBidi" w:cs="Arial" w:hint="cs"/>
          <w:sz w:val="16"/>
          <w:szCs w:val="16"/>
          <w:rtl/>
        </w:rPr>
        <w:t>(ט: ד"ה לרצונו)</w:t>
      </w:r>
      <w:r>
        <w:rPr>
          <w:rFonts w:asciiTheme="minorBidi" w:hAnsiTheme="minorBidi" w:cs="Arial" w:hint="cs"/>
          <w:rtl/>
        </w:rPr>
        <w:t xml:space="preserve"> רא"ש</w:t>
      </w:r>
      <w:r>
        <w:rPr>
          <w:rFonts w:asciiTheme="minorBidi" w:hAnsiTheme="minorBidi" w:cs="Arial" w:hint="cs"/>
          <w:sz w:val="16"/>
          <w:szCs w:val="16"/>
          <w:rtl/>
        </w:rPr>
        <w:t xml:space="preserve"> (פ"ג סי' יג)</w:t>
      </w:r>
      <w:r>
        <w:rPr>
          <w:rFonts w:asciiTheme="minorBidi" w:hAnsiTheme="minorBidi" w:cs="Arial" w:hint="cs"/>
          <w:rtl/>
        </w:rPr>
        <w:t xml:space="preserve">- </w:t>
      </w:r>
      <w:r>
        <w:rPr>
          <w:rStyle w:val="ab"/>
          <w:rFonts w:asciiTheme="minorBidi" w:hAnsiTheme="minorBidi" w:cs="Arial"/>
          <w:rtl/>
        </w:rPr>
        <w:footnoteReference w:id="2362"/>
      </w:r>
      <w:r w:rsidRPr="00683C1E">
        <w:rPr>
          <w:rFonts w:asciiTheme="minorBidi" w:hAnsiTheme="minorBidi" w:cs="Arial"/>
          <w:rtl/>
        </w:rPr>
        <w:t>שהוא רגיל וגס בעריות ומתייחד עמהם וסני שומעניה</w:t>
      </w:r>
      <w:r>
        <w:rPr>
          <w:rFonts w:asciiTheme="minorBidi" w:hAnsiTheme="minorBidi" w:cs="Arial" w:hint="cs"/>
          <w:sz w:val="16"/>
          <w:szCs w:val="16"/>
          <w:rtl/>
        </w:rPr>
        <w:t xml:space="preserve"> (ל' הרא"ש)</w:t>
      </w:r>
      <w:r>
        <w:rPr>
          <w:rStyle w:val="ab"/>
          <w:rFonts w:asciiTheme="minorBidi" w:hAnsiTheme="minorBidi" w:cs="Arial"/>
          <w:rtl/>
        </w:rPr>
        <w:footnoteReference w:id="2363"/>
      </w:r>
      <w:r w:rsidRPr="00683C1E">
        <w:rPr>
          <w:rFonts w:asciiTheme="minorBidi" w:hAnsiTheme="minorBidi" w:cs="Arial"/>
          <w:rtl/>
        </w:rPr>
        <w:t>.</w:t>
      </w:r>
      <w:r w:rsidRPr="007C4266">
        <w:rPr>
          <w:rFonts w:asciiTheme="minorBidi" w:hAnsiTheme="minorBidi"/>
          <w:color w:val="00B0F0"/>
          <w:rtl/>
        </w:rPr>
        <w:t xml:space="preserve"> (וכ"פ הרמ"א</w:t>
      </w:r>
      <w:r>
        <w:rPr>
          <w:rFonts w:asciiTheme="minorBidi" w:hAnsiTheme="minorBidi" w:hint="cs"/>
          <w:color w:val="00B0F0"/>
          <w:sz w:val="16"/>
          <w:szCs w:val="16"/>
          <w:rtl/>
        </w:rPr>
        <w:t xml:space="preserve"> </w:t>
      </w:r>
      <w:r w:rsidRPr="001032B2">
        <w:rPr>
          <w:rFonts w:asciiTheme="minorBidi" w:hAnsiTheme="minorBidi" w:hint="cs"/>
          <w:sz w:val="16"/>
          <w:szCs w:val="16"/>
          <w:rtl/>
        </w:rPr>
        <w:t>[</w:t>
      </w:r>
      <w:r>
        <w:rPr>
          <w:rFonts w:asciiTheme="minorBidi" w:hAnsiTheme="minorBidi" w:hint="cs"/>
          <w:sz w:val="16"/>
          <w:szCs w:val="16"/>
          <w:rtl/>
        </w:rPr>
        <w:t>באהע"ז סי' מב ס"ה</w:t>
      </w:r>
      <w:r w:rsidRPr="001032B2">
        <w:rPr>
          <w:rFonts w:asciiTheme="minorBidi" w:hAnsiTheme="minorBidi" w:hint="cs"/>
          <w:sz w:val="16"/>
          <w:szCs w:val="16"/>
          <w:rtl/>
        </w:rPr>
        <w:t>]</w:t>
      </w:r>
      <w:r w:rsidRPr="007C4266">
        <w:rPr>
          <w:rFonts w:asciiTheme="minorBidi" w:hAnsiTheme="minorBidi"/>
          <w:color w:val="00B0F0"/>
          <w:rtl/>
        </w:rPr>
        <w:t>)</w:t>
      </w:r>
      <w:r w:rsidRPr="007C4266">
        <w:rPr>
          <w:rFonts w:asciiTheme="minorBidi" w:hAnsiTheme="minorBidi"/>
          <w:rtl/>
        </w:rPr>
        <w:t xml:space="preserve"> </w:t>
      </w:r>
    </w:p>
    <w:p w14:paraId="4D8A4F43" w14:textId="77777777" w:rsidR="001032B2" w:rsidRPr="00351B7D" w:rsidRDefault="001032B2" w:rsidP="001032B2">
      <w:pPr>
        <w:rPr>
          <w:rFonts w:asciiTheme="minorBidi" w:hAnsiTheme="minorBidi"/>
          <w:u w:val="single"/>
          <w:rtl/>
        </w:rPr>
      </w:pPr>
      <w:r w:rsidRPr="00351B7D">
        <w:rPr>
          <w:rFonts w:asciiTheme="minorBidi" w:hAnsiTheme="minorBidi"/>
          <w:u w:val="single"/>
          <w:rtl/>
        </w:rPr>
        <w:t xml:space="preserve">האם חשוד על העריות פסול </w:t>
      </w:r>
      <w:r w:rsidRPr="00351B7D">
        <w:rPr>
          <w:rFonts w:asciiTheme="minorBidi" w:hAnsiTheme="minorBidi"/>
          <w:b/>
          <w:bCs/>
          <w:u w:val="single"/>
          <w:rtl/>
        </w:rPr>
        <w:t>לשאר</w:t>
      </w:r>
      <w:r w:rsidRPr="00351B7D">
        <w:rPr>
          <w:rFonts w:asciiTheme="minorBidi" w:hAnsiTheme="minorBidi"/>
          <w:u w:val="single"/>
          <w:rtl/>
        </w:rPr>
        <w:t xml:space="preserve"> עדויות </w:t>
      </w:r>
      <w:r w:rsidRPr="00351B7D">
        <w:rPr>
          <w:rFonts w:asciiTheme="minorBidi" w:hAnsiTheme="minorBidi"/>
          <w:sz w:val="16"/>
          <w:szCs w:val="16"/>
          <w:u w:val="single"/>
          <w:rtl/>
        </w:rPr>
        <w:t>(היינו לכל עדות חוץ מעדות אשה)</w:t>
      </w:r>
      <w:r w:rsidRPr="00351B7D">
        <w:rPr>
          <w:rFonts w:asciiTheme="minorBidi" w:hAnsiTheme="minorBidi"/>
          <w:u w:val="single"/>
          <w:rtl/>
        </w:rPr>
        <w:t>:</w:t>
      </w:r>
      <w:r w:rsidRPr="00351B7D">
        <w:rPr>
          <w:rFonts w:asciiTheme="minorBidi" w:hAnsiTheme="minorBidi"/>
          <w:rtl/>
        </w:rPr>
        <w:t xml:space="preserve"> </w:t>
      </w:r>
    </w:p>
    <w:p w14:paraId="4E0FA32B" w14:textId="77777777" w:rsidR="001032B2" w:rsidRDefault="001032B2" w:rsidP="001032B2">
      <w:pPr>
        <w:pStyle w:val="ac"/>
        <w:numPr>
          <w:ilvl w:val="0"/>
          <w:numId w:val="174"/>
        </w:numPr>
      </w:pPr>
      <w:r>
        <w:rPr>
          <w:rFonts w:asciiTheme="minorBidi" w:hAnsiTheme="minorBidi" w:cs="Arial" w:hint="cs"/>
          <w:rtl/>
        </w:rPr>
        <w:t xml:space="preserve">רב האי </w:t>
      </w:r>
      <w:r>
        <w:rPr>
          <w:rFonts w:asciiTheme="minorBidi" w:hAnsiTheme="minorBidi" w:cs="Arial" w:hint="cs"/>
          <w:sz w:val="16"/>
          <w:szCs w:val="16"/>
          <w:rtl/>
        </w:rPr>
        <w:t xml:space="preserve">(כ"כ המרדכי בשמו [סי' תרצה]) </w:t>
      </w:r>
      <w:r>
        <w:rPr>
          <w:rFonts w:asciiTheme="minorBidi" w:hAnsiTheme="minorBidi" w:cs="Arial" w:hint="cs"/>
          <w:rtl/>
        </w:rPr>
        <w:t>ו</w:t>
      </w:r>
      <w:r w:rsidRPr="0089638C">
        <w:rPr>
          <w:rFonts w:asciiTheme="minorBidi" w:hAnsiTheme="minorBidi" w:cs="Arial" w:hint="cs"/>
          <w:rtl/>
        </w:rPr>
        <w:t xml:space="preserve">רי"ף </w:t>
      </w:r>
      <w:r w:rsidRPr="00F2458B">
        <w:rPr>
          <w:rFonts w:asciiTheme="minorBidi" w:hAnsiTheme="minorBidi" w:cs="Arial" w:hint="cs"/>
          <w:sz w:val="16"/>
          <w:szCs w:val="16"/>
          <w:rtl/>
        </w:rPr>
        <w:t>(ה:)</w:t>
      </w:r>
      <w:r>
        <w:rPr>
          <w:rFonts w:asciiTheme="minorBidi" w:hAnsiTheme="minorBidi" w:cs="Arial" w:hint="cs"/>
          <w:rtl/>
        </w:rPr>
        <w:t xml:space="preserve">- </w:t>
      </w:r>
      <w:r w:rsidRPr="0089638C">
        <w:rPr>
          <w:rFonts w:asciiTheme="minorBidi" w:hAnsiTheme="minorBidi" w:cs="Arial"/>
          <w:rtl/>
        </w:rPr>
        <w:t>חזינן לרבותא דקא פסקו הילכתא כרב ששת</w:t>
      </w:r>
      <w:r w:rsidRPr="0089638C">
        <w:rPr>
          <w:rFonts w:asciiTheme="minorBidi" w:hAnsiTheme="minorBidi" w:cs="Arial" w:hint="cs"/>
          <w:rtl/>
        </w:rPr>
        <w:t>,</w:t>
      </w:r>
      <w:r w:rsidRPr="0089638C">
        <w:rPr>
          <w:rFonts w:asciiTheme="minorBidi" w:hAnsiTheme="minorBidi" w:cs="Arial"/>
          <w:rtl/>
        </w:rPr>
        <w:t xml:space="preserve"> וקא יהבי טעמא למילתא משום דהלכתא כרב ששת באיסורי</w:t>
      </w:r>
      <w:r>
        <w:rPr>
          <w:rFonts w:asciiTheme="minorBidi" w:hAnsiTheme="minorBidi" w:cs="Arial" w:hint="cs"/>
          <w:rtl/>
        </w:rPr>
        <w:t>.</w:t>
      </w:r>
    </w:p>
    <w:p w14:paraId="48F37CB1" w14:textId="77777777" w:rsidR="001032B2" w:rsidRPr="0089638C" w:rsidRDefault="001032B2" w:rsidP="001032B2">
      <w:pPr>
        <w:pStyle w:val="ac"/>
        <w:numPr>
          <w:ilvl w:val="0"/>
          <w:numId w:val="174"/>
        </w:numPr>
      </w:pPr>
      <w:r>
        <w:rPr>
          <w:rFonts w:hint="cs"/>
          <w:rtl/>
        </w:rPr>
        <w:t>רא"ש</w:t>
      </w:r>
      <w:r>
        <w:rPr>
          <w:rFonts w:hint="cs"/>
          <w:sz w:val="16"/>
          <w:szCs w:val="16"/>
          <w:rtl/>
        </w:rPr>
        <w:t xml:space="preserve"> (שם)</w:t>
      </w:r>
      <w:r>
        <w:rPr>
          <w:rFonts w:hint="cs"/>
          <w:rtl/>
        </w:rPr>
        <w:t xml:space="preserve">- </w:t>
      </w:r>
      <w:r w:rsidRPr="00D21AC0">
        <w:rPr>
          <w:rFonts w:cs="Arial"/>
          <w:rtl/>
        </w:rPr>
        <w:t>נראה דהלכה כרב נחמן</w:t>
      </w:r>
      <w:r>
        <w:rPr>
          <w:rFonts w:cs="Arial" w:hint="cs"/>
          <w:rtl/>
        </w:rPr>
        <w:t>,</w:t>
      </w:r>
      <w:r w:rsidRPr="00D21AC0">
        <w:rPr>
          <w:rFonts w:cs="Arial"/>
          <w:rtl/>
        </w:rPr>
        <w:t xml:space="preserve"> דלא נחלק רב ששת בהדיא אלא כמתמיה על דבריו ארבעין בכתפיה וכשר מכשרת ליה. ואין תימא כל כך</w:t>
      </w:r>
      <w:r>
        <w:rPr>
          <w:rFonts w:cs="Arial" w:hint="cs"/>
          <w:rtl/>
        </w:rPr>
        <w:t>,</w:t>
      </w:r>
      <w:r w:rsidRPr="00D21AC0">
        <w:rPr>
          <w:rFonts w:cs="Arial"/>
          <w:rtl/>
        </w:rPr>
        <w:t xml:space="preserve"> דלא מלקינן ליה אלא על לא טובה השמועה. וגם מדשקלו וטרו רבא ורבינא ואיתימא רב פפא במילתיה דרב נחמן סברי כוותיה</w:t>
      </w:r>
      <w:r>
        <w:rPr>
          <w:rFonts w:cs="Arial" w:hint="cs"/>
          <w:rtl/>
        </w:rPr>
        <w:t>.</w:t>
      </w:r>
      <w:r w:rsidRPr="00D21AC0">
        <w:rPr>
          <w:rFonts w:cs="Arial"/>
          <w:rtl/>
        </w:rPr>
        <w:t xml:space="preserve"> ועוד פסול לעדות טפי דמי לדינא מלאיסורא</w:t>
      </w:r>
      <w:r>
        <w:rPr>
          <w:rFonts w:cs="Arial" w:hint="cs"/>
          <w:rtl/>
        </w:rPr>
        <w:t>.</w:t>
      </w:r>
    </w:p>
    <w:p w14:paraId="5D333FF1" w14:textId="45FC5847" w:rsidR="001032B2" w:rsidRPr="00372E23" w:rsidRDefault="001032B2" w:rsidP="00372E23">
      <w:pPr>
        <w:pStyle w:val="ac"/>
        <w:numPr>
          <w:ilvl w:val="1"/>
          <w:numId w:val="174"/>
        </w:numPr>
        <w:rPr>
          <w:rFonts w:asciiTheme="minorBidi" w:hAnsiTheme="minorBidi"/>
          <w:rtl/>
        </w:rPr>
      </w:pPr>
      <w:r w:rsidRPr="00351B7D">
        <w:rPr>
          <w:rFonts w:asciiTheme="minorBidi" w:hAnsiTheme="minorBidi"/>
          <w:rtl/>
        </w:rPr>
        <w:t>ב"י</w:t>
      </w:r>
      <w:r>
        <w:rPr>
          <w:rFonts w:asciiTheme="minorBidi" w:hAnsiTheme="minorBidi" w:hint="cs"/>
          <w:rtl/>
        </w:rPr>
        <w:t xml:space="preserve"> </w:t>
      </w:r>
      <w:r w:rsidRPr="00351B7D">
        <w:rPr>
          <w:rFonts w:asciiTheme="minorBidi" w:hAnsiTheme="minorBidi"/>
          <w:color w:val="000000"/>
          <w:sz w:val="16"/>
          <w:szCs w:val="16"/>
          <w:rtl/>
        </w:rPr>
        <w:t>(חו"מ סי' לד סע' כה)</w:t>
      </w:r>
      <w:r w:rsidRPr="00351B7D">
        <w:rPr>
          <w:rFonts w:asciiTheme="minorBidi" w:hAnsiTheme="minorBidi"/>
          <w:rtl/>
        </w:rPr>
        <w:t xml:space="preserve">- </w:t>
      </w:r>
      <w:r w:rsidRPr="001775B8">
        <w:rPr>
          <w:rFonts w:asciiTheme="minorBidi" w:hAnsiTheme="minorBidi" w:cs="Arial"/>
          <w:rtl/>
        </w:rPr>
        <w:t>ולענין דינא לכולי עלמא אם העידו עליו שני עדים שבא על הערוה אף על פי שלא התרו בו פסול לכל עדות</w:t>
      </w:r>
      <w:r w:rsidRPr="00351B7D">
        <w:rPr>
          <w:rStyle w:val="ab"/>
          <w:rFonts w:asciiTheme="minorBidi" w:hAnsiTheme="minorBidi"/>
          <w:rtl/>
        </w:rPr>
        <w:footnoteReference w:id="2364"/>
      </w:r>
      <w:r w:rsidRPr="001775B8">
        <w:rPr>
          <w:rFonts w:asciiTheme="minorBidi" w:hAnsiTheme="minorBidi"/>
          <w:rtl/>
        </w:rPr>
        <w:t>.</w:t>
      </w:r>
      <w:r>
        <w:rPr>
          <w:rFonts w:asciiTheme="minorBidi" w:hAnsiTheme="minorBidi" w:hint="cs"/>
          <w:rtl/>
        </w:rPr>
        <w:t>..</w:t>
      </w:r>
      <w:r w:rsidRPr="001775B8">
        <w:rPr>
          <w:rFonts w:asciiTheme="minorBidi" w:hAnsiTheme="minorBidi"/>
          <w:rtl/>
        </w:rPr>
        <w:t xml:space="preserve"> </w:t>
      </w:r>
      <w:r w:rsidRPr="002F0060">
        <w:rPr>
          <w:rFonts w:asciiTheme="minorBidi" w:hAnsiTheme="minorBidi" w:cs="Arial"/>
          <w:rtl/>
        </w:rPr>
        <w:t>וברגיל בעריות וקול יוצא עליו וכו' להרי"ף ורש"י כשר הוא לשאר עדויות שהרי לא הזכירוהו בגמרא</w:t>
      </w:r>
      <w:r>
        <w:rPr>
          <w:rFonts w:asciiTheme="minorBidi" w:hAnsiTheme="minorBidi" w:cs="Arial" w:hint="cs"/>
          <w:rtl/>
        </w:rPr>
        <w:t>,</w:t>
      </w:r>
      <w:r w:rsidRPr="002F0060">
        <w:rPr>
          <w:rFonts w:asciiTheme="minorBidi" w:hAnsiTheme="minorBidi" w:cs="Arial"/>
          <w:rtl/>
        </w:rPr>
        <w:t xml:space="preserve"> ולהרא"ש כיון דפסק כרב נחמן נמי כשר הוא</w:t>
      </w:r>
      <w:r>
        <w:rPr>
          <w:rFonts w:asciiTheme="minorBidi" w:hAnsiTheme="minorBidi" w:cs="Arial" w:hint="cs"/>
          <w:rtl/>
        </w:rPr>
        <w:t>.</w:t>
      </w:r>
      <w:r w:rsidRPr="002F0060">
        <w:rPr>
          <w:rFonts w:asciiTheme="minorBidi" w:hAnsiTheme="minorBidi" w:cs="Arial"/>
          <w:rtl/>
        </w:rPr>
        <w:t xml:space="preserve"> ולענין עדות אשה לכולי עלמא נמי מיפסיל למאן דפסק כרבי מאיר דסבר שהחשוד על הדבר לא דנו ולא מעידו</w:t>
      </w:r>
      <w:r>
        <w:rPr>
          <w:rFonts w:asciiTheme="minorBidi" w:hAnsiTheme="minorBidi" w:cs="Arial" w:hint="cs"/>
          <w:rtl/>
        </w:rPr>
        <w:t>,</w:t>
      </w:r>
      <w:r w:rsidRPr="002F0060">
        <w:rPr>
          <w:rFonts w:asciiTheme="minorBidi" w:hAnsiTheme="minorBidi" w:cs="Arial"/>
          <w:rtl/>
        </w:rPr>
        <w:t xml:space="preserve"> אבל בהא איכא לספוקי אי מיפסיל דוקא לאפוקי או אפילו לעיולי כפי חילוף הגירסאות שכתבתי.</w:t>
      </w:r>
      <w:r w:rsidRPr="001775B8">
        <w:rPr>
          <w:rFonts w:asciiTheme="minorBidi" w:hAnsiTheme="minorBidi"/>
          <w:u w:val="single"/>
          <w:rtl/>
        </w:rPr>
        <w:t xml:space="preserve"> </w:t>
      </w:r>
    </w:p>
    <w:p w14:paraId="02E5AA03" w14:textId="576E7C0B" w:rsidR="004B607F" w:rsidRPr="00845316" w:rsidRDefault="004B607F" w:rsidP="004B607F">
      <w:pPr>
        <w:rPr>
          <w:rFonts w:asciiTheme="minorBidi" w:hAnsiTheme="minorBidi"/>
          <w:u w:val="single"/>
          <w:rtl/>
        </w:rPr>
      </w:pPr>
      <w:r w:rsidRPr="00845316">
        <w:rPr>
          <w:rFonts w:asciiTheme="minorBidi" w:hAnsiTheme="minorBidi"/>
          <w:u w:val="single"/>
          <w:rtl/>
        </w:rPr>
        <w:t xml:space="preserve">הבא על גויה/נדה/ארוסתו בלא כתובה: </w:t>
      </w:r>
    </w:p>
    <w:p w14:paraId="3FB7E2B9" w14:textId="77777777" w:rsidR="004B607F" w:rsidRPr="00845316" w:rsidRDefault="004B607F" w:rsidP="004B0475">
      <w:pPr>
        <w:pStyle w:val="ac"/>
        <w:numPr>
          <w:ilvl w:val="0"/>
          <w:numId w:val="185"/>
        </w:numPr>
        <w:rPr>
          <w:rFonts w:asciiTheme="minorBidi" w:hAnsiTheme="minorBidi"/>
          <w:rtl/>
        </w:rPr>
      </w:pPr>
      <w:r w:rsidRPr="00845316">
        <w:rPr>
          <w:rFonts w:asciiTheme="minorBidi" w:hAnsiTheme="minorBidi"/>
          <w:rtl/>
        </w:rPr>
        <w:t>מרדכי</w:t>
      </w:r>
      <w:r w:rsidRPr="00845316">
        <w:rPr>
          <w:rFonts w:asciiTheme="minorBidi" w:hAnsiTheme="minorBidi"/>
          <w:sz w:val="16"/>
          <w:szCs w:val="16"/>
          <w:rtl/>
        </w:rPr>
        <w:t xml:space="preserve"> (סי' תרצה)</w:t>
      </w:r>
      <w:r w:rsidRPr="00845316">
        <w:rPr>
          <w:rFonts w:asciiTheme="minorBidi" w:hAnsiTheme="minorBidi"/>
          <w:rtl/>
        </w:rPr>
        <w:t xml:space="preserve"> בשם הגאונים- הבועל ארוסתו בלא כתובה</w:t>
      </w:r>
      <w:r w:rsidRPr="00845316">
        <w:rPr>
          <w:rStyle w:val="ab"/>
          <w:rFonts w:asciiTheme="minorBidi" w:hAnsiTheme="minorBidi"/>
          <w:rtl/>
        </w:rPr>
        <w:footnoteReference w:id="2365"/>
      </w:r>
      <w:r w:rsidRPr="00845316">
        <w:rPr>
          <w:rFonts w:asciiTheme="minorBidi" w:hAnsiTheme="minorBidi"/>
          <w:rtl/>
        </w:rPr>
        <w:t xml:space="preserve"> ובועלי גויות או נדות פסולין להעיד. </w:t>
      </w:r>
    </w:p>
    <w:p w14:paraId="0C819E71" w14:textId="77777777" w:rsidR="004B607F" w:rsidRPr="00845316" w:rsidRDefault="004B607F" w:rsidP="004B607F">
      <w:pPr>
        <w:rPr>
          <w:rFonts w:asciiTheme="minorBidi" w:hAnsiTheme="minorBidi"/>
          <w:u w:val="single"/>
        </w:rPr>
      </w:pPr>
      <w:r w:rsidRPr="00845316">
        <w:rPr>
          <w:rFonts w:asciiTheme="minorBidi" w:hAnsiTheme="minorBidi"/>
          <w:u w:val="single"/>
          <w:rtl/>
        </w:rPr>
        <w:t xml:space="preserve">הבא על- ערוה/ זכר: </w:t>
      </w:r>
    </w:p>
    <w:p w14:paraId="63A80740" w14:textId="77777777" w:rsidR="004B607F" w:rsidRPr="00845316" w:rsidRDefault="004B607F" w:rsidP="004B0475">
      <w:pPr>
        <w:pStyle w:val="ac"/>
        <w:numPr>
          <w:ilvl w:val="0"/>
          <w:numId w:val="185"/>
        </w:numPr>
        <w:rPr>
          <w:rFonts w:asciiTheme="minorBidi" w:hAnsiTheme="minorBidi"/>
          <w:rtl/>
        </w:rPr>
      </w:pPr>
      <w:r w:rsidRPr="00845316">
        <w:rPr>
          <w:rFonts w:asciiTheme="minorBidi" w:hAnsiTheme="minorBidi"/>
          <w:rtl/>
        </w:rPr>
        <w:t xml:space="preserve">טור- הבא על הערוה או על הזכר </w:t>
      </w:r>
      <w:r>
        <w:rPr>
          <w:rFonts w:asciiTheme="minorBidi" w:hAnsiTheme="minorBidi" w:hint="cs"/>
          <w:rtl/>
        </w:rPr>
        <w:t xml:space="preserve">- </w:t>
      </w:r>
      <w:r w:rsidRPr="00845316">
        <w:rPr>
          <w:rFonts w:asciiTheme="minorBidi" w:hAnsiTheme="minorBidi"/>
          <w:rtl/>
        </w:rPr>
        <w:t>פסול לכל עדות.</w:t>
      </w:r>
    </w:p>
    <w:p w14:paraId="402B16EA" w14:textId="77777777" w:rsidR="004B607F" w:rsidRPr="00845316" w:rsidRDefault="004B607F" w:rsidP="004B607F">
      <w:pPr>
        <w:rPr>
          <w:rFonts w:asciiTheme="minorBidi" w:hAnsiTheme="minorBidi"/>
          <w:u w:val="single"/>
          <w:rtl/>
        </w:rPr>
      </w:pPr>
      <w:r w:rsidRPr="00845316">
        <w:rPr>
          <w:rFonts w:asciiTheme="minorBidi" w:hAnsiTheme="minorBidi"/>
          <w:u w:val="single"/>
          <w:rtl/>
        </w:rPr>
        <w:t>אדם שיצא עליו קלא דלא פסיק על דבר כיעור:</w:t>
      </w:r>
    </w:p>
    <w:p w14:paraId="501AE1BA" w14:textId="77777777" w:rsidR="004B607F" w:rsidRPr="00845316" w:rsidRDefault="004B607F" w:rsidP="004B0475">
      <w:pPr>
        <w:pStyle w:val="ac"/>
        <w:numPr>
          <w:ilvl w:val="0"/>
          <w:numId w:val="176"/>
        </w:numPr>
        <w:spacing w:before="240"/>
        <w:rPr>
          <w:rFonts w:asciiTheme="minorBidi" w:hAnsiTheme="minorBidi"/>
        </w:rPr>
      </w:pPr>
      <w:r w:rsidRPr="00845316">
        <w:rPr>
          <w:rFonts w:asciiTheme="minorBidi" w:hAnsiTheme="minorBidi"/>
          <w:rtl/>
        </w:rPr>
        <w:t>רא"ש</w:t>
      </w:r>
      <w:r w:rsidRPr="00845316">
        <w:rPr>
          <w:rFonts w:asciiTheme="minorBidi" w:hAnsiTheme="minorBidi"/>
          <w:sz w:val="16"/>
          <w:szCs w:val="16"/>
          <w:rtl/>
        </w:rPr>
        <w:t xml:space="preserve"> (סי' יג)</w:t>
      </w:r>
      <w:r w:rsidRPr="00845316">
        <w:rPr>
          <w:rFonts w:asciiTheme="minorBidi" w:hAnsiTheme="minorBidi"/>
          <w:rtl/>
        </w:rPr>
        <w:t xml:space="preserve"> ורי"ו</w:t>
      </w:r>
      <w:r w:rsidRPr="00845316">
        <w:rPr>
          <w:rFonts w:asciiTheme="minorBidi" w:hAnsiTheme="minorBidi"/>
          <w:sz w:val="16"/>
          <w:szCs w:val="16"/>
          <w:rtl/>
        </w:rPr>
        <w:t xml:space="preserve"> (נ"ב ח"ד)</w:t>
      </w:r>
      <w:r w:rsidRPr="00845316">
        <w:rPr>
          <w:rFonts w:asciiTheme="minorBidi" w:hAnsiTheme="minorBidi"/>
          <w:rtl/>
        </w:rPr>
        <w:t>- כשר לעדות</w:t>
      </w:r>
      <w:r w:rsidRPr="00845316">
        <w:rPr>
          <w:rStyle w:val="ab"/>
          <w:rFonts w:asciiTheme="minorBidi" w:hAnsiTheme="minorBidi"/>
          <w:rtl/>
        </w:rPr>
        <w:footnoteReference w:id="2366"/>
      </w:r>
      <w:r w:rsidRPr="00845316">
        <w:rPr>
          <w:rFonts w:asciiTheme="minorBidi" w:hAnsiTheme="minorBidi"/>
          <w:rtl/>
        </w:rPr>
        <w:t>.</w:t>
      </w:r>
    </w:p>
    <w:p w14:paraId="32528ACA" w14:textId="77777777" w:rsidR="004B607F" w:rsidRPr="00845316" w:rsidRDefault="004B607F" w:rsidP="004B0475">
      <w:pPr>
        <w:pStyle w:val="ac"/>
        <w:numPr>
          <w:ilvl w:val="0"/>
          <w:numId w:val="176"/>
        </w:numPr>
        <w:rPr>
          <w:rFonts w:asciiTheme="minorBidi" w:hAnsiTheme="minorBidi"/>
        </w:rPr>
      </w:pPr>
      <w:r w:rsidRPr="00845316">
        <w:rPr>
          <w:rFonts w:asciiTheme="minorBidi" w:hAnsiTheme="minorBidi"/>
          <w:rtl/>
        </w:rPr>
        <w:t>רשב"א</w:t>
      </w:r>
      <w:r w:rsidRPr="00845316">
        <w:rPr>
          <w:rFonts w:asciiTheme="minorBidi" w:hAnsiTheme="minorBidi"/>
          <w:sz w:val="16"/>
          <w:szCs w:val="16"/>
          <w:rtl/>
        </w:rPr>
        <w:t xml:space="preserve"> (ח"ד סי' קסו)</w:t>
      </w:r>
      <w:r w:rsidRPr="00845316">
        <w:rPr>
          <w:rFonts w:asciiTheme="minorBidi" w:hAnsiTheme="minorBidi"/>
          <w:rtl/>
        </w:rPr>
        <w:t>- מיחש חיישינן ליה ואין מוסרין לו שבועה ואין מוציאין ממון בעדותו.</w:t>
      </w:r>
    </w:p>
    <w:p w14:paraId="23A348A4" w14:textId="77777777" w:rsidR="004B607F" w:rsidRPr="00845316" w:rsidRDefault="004B607F" w:rsidP="004B607F">
      <w:pPr>
        <w:rPr>
          <w:rFonts w:asciiTheme="minorBidi" w:hAnsiTheme="minorBidi"/>
          <w:u w:val="single"/>
          <w:rtl/>
        </w:rPr>
      </w:pPr>
      <w:r>
        <w:rPr>
          <w:rFonts w:asciiTheme="minorBidi" w:hAnsiTheme="minorBidi" w:hint="cs"/>
          <w:u w:val="single"/>
          <w:rtl/>
        </w:rPr>
        <w:t xml:space="preserve">אדם שמתוך דבריו משמע שהוא רשע </w:t>
      </w:r>
      <w:r>
        <w:rPr>
          <w:rFonts w:asciiTheme="minorBidi" w:hAnsiTheme="minorBidi"/>
          <w:u w:val="single"/>
          <w:rtl/>
        </w:rPr>
        <w:t>–</w:t>
      </w:r>
      <w:r>
        <w:rPr>
          <w:rFonts w:asciiTheme="minorBidi" w:hAnsiTheme="minorBidi" w:hint="cs"/>
          <w:u w:val="single"/>
          <w:rtl/>
        </w:rPr>
        <w:t xml:space="preserve"> האם אמרינן גם בכה"ג 'אין אדם משים עצמו רשע'</w:t>
      </w:r>
      <w:r w:rsidRPr="00845316">
        <w:rPr>
          <w:rFonts w:asciiTheme="minorBidi" w:hAnsiTheme="minorBidi"/>
          <w:u w:val="single"/>
          <w:rtl/>
        </w:rPr>
        <w:t>:</w:t>
      </w:r>
    </w:p>
    <w:p w14:paraId="4A268C93" w14:textId="77777777" w:rsidR="004B607F" w:rsidRPr="00845316" w:rsidRDefault="004B607F" w:rsidP="004B0475">
      <w:pPr>
        <w:pStyle w:val="ac"/>
        <w:numPr>
          <w:ilvl w:val="0"/>
          <w:numId w:val="175"/>
        </w:numPr>
        <w:rPr>
          <w:rFonts w:asciiTheme="minorBidi" w:hAnsiTheme="minorBidi"/>
          <w:rtl/>
        </w:rPr>
      </w:pPr>
      <w:r w:rsidRPr="00845316">
        <w:rPr>
          <w:rFonts w:asciiTheme="minorBidi" w:hAnsiTheme="minorBidi"/>
          <w:rtl/>
        </w:rPr>
        <w:t>ספר התרומות</w:t>
      </w:r>
      <w:r w:rsidRPr="00845316">
        <w:rPr>
          <w:rStyle w:val="ab"/>
          <w:rFonts w:asciiTheme="minorBidi" w:hAnsiTheme="minorBidi"/>
          <w:rtl/>
        </w:rPr>
        <w:footnoteReference w:id="2367"/>
      </w:r>
      <w:r w:rsidRPr="00845316">
        <w:rPr>
          <w:rFonts w:asciiTheme="minorBidi" w:hAnsiTheme="minorBidi"/>
          <w:rtl/>
        </w:rPr>
        <w:t>- הא דאין אדם משים עצמו רשע דוקא לענין עדות</w:t>
      </w:r>
      <w:r>
        <w:rPr>
          <w:rFonts w:asciiTheme="minorBidi" w:hAnsiTheme="minorBidi" w:hint="cs"/>
          <w:rtl/>
        </w:rPr>
        <w:t>,</w:t>
      </w:r>
      <w:r w:rsidRPr="00845316">
        <w:rPr>
          <w:rFonts w:asciiTheme="minorBidi" w:hAnsiTheme="minorBidi"/>
          <w:rtl/>
        </w:rPr>
        <w:t xml:space="preserve"> אבל אם טוען על חבירו ענין שהוא משים עצמו רשע</w:t>
      </w:r>
      <w:r w:rsidRPr="00845316">
        <w:rPr>
          <w:rStyle w:val="ab"/>
          <w:rFonts w:asciiTheme="minorBidi" w:hAnsiTheme="minorBidi"/>
          <w:rtl/>
        </w:rPr>
        <w:footnoteReference w:id="2368"/>
      </w:r>
      <w:r w:rsidRPr="00845316">
        <w:rPr>
          <w:rFonts w:asciiTheme="minorBidi" w:hAnsiTheme="minorBidi"/>
          <w:rtl/>
        </w:rPr>
        <w:t xml:space="preserve"> </w:t>
      </w:r>
      <w:r>
        <w:rPr>
          <w:rFonts w:asciiTheme="minorBidi" w:hAnsiTheme="minorBidi" w:hint="cs"/>
          <w:rtl/>
        </w:rPr>
        <w:t xml:space="preserve">- </w:t>
      </w:r>
      <w:r w:rsidRPr="00845316">
        <w:rPr>
          <w:rFonts w:asciiTheme="minorBidi" w:hAnsiTheme="minorBidi"/>
          <w:rtl/>
        </w:rPr>
        <w:t>טענתיה טענה ולא מבטלינן ליה משום אין אדם משים עצמו רשע</w:t>
      </w:r>
      <w:r>
        <w:rPr>
          <w:rFonts w:asciiTheme="minorBidi" w:hAnsiTheme="minorBidi" w:hint="cs"/>
          <w:sz w:val="14"/>
          <w:szCs w:val="14"/>
          <w:rtl/>
        </w:rPr>
        <w:t xml:space="preserve"> {ועיין לקמן במחלוקת האחרונים}</w:t>
      </w:r>
      <w:r w:rsidRPr="00845316">
        <w:rPr>
          <w:rFonts w:asciiTheme="minorBidi" w:hAnsiTheme="minorBidi"/>
          <w:rtl/>
        </w:rPr>
        <w:t>.</w:t>
      </w:r>
    </w:p>
    <w:p w14:paraId="43EBCACE" w14:textId="77777777" w:rsidR="004B607F" w:rsidRPr="00845316" w:rsidRDefault="004B607F" w:rsidP="004B607F">
      <w:pPr>
        <w:jc w:val="both"/>
        <w:rPr>
          <w:rFonts w:asciiTheme="minorBidi" w:hAnsiTheme="minorBidi"/>
          <w:rtl/>
        </w:rPr>
      </w:pPr>
      <w:r w:rsidRPr="00845316">
        <w:rPr>
          <w:rFonts w:asciiTheme="minorBidi" w:hAnsiTheme="minorBidi"/>
          <w:b/>
          <w:bCs/>
          <w:sz w:val="32"/>
          <w:szCs w:val="28"/>
          <w:u w:val="single"/>
          <w:rtl/>
        </w:rPr>
        <w:t xml:space="preserve">שו"ע: </w:t>
      </w:r>
    </w:p>
    <w:p w14:paraId="47D00DCA" w14:textId="77777777" w:rsidR="004B607F" w:rsidRPr="00845316" w:rsidRDefault="004B607F" w:rsidP="004B607F">
      <w:pPr>
        <w:rPr>
          <w:rFonts w:asciiTheme="minorBidi" w:hAnsiTheme="minorBidi"/>
          <w:rtl/>
        </w:rPr>
      </w:pPr>
      <w:r w:rsidRPr="00845316">
        <w:rPr>
          <w:rFonts w:asciiTheme="minorBidi" w:hAnsiTheme="minorBidi"/>
          <w:rtl/>
        </w:rPr>
        <w:lastRenderedPageBreak/>
        <w:t>אין אדם נפסל בעבירה על פי עצמו אלא על פי עדים</w:t>
      </w:r>
      <w:r w:rsidRPr="00845316">
        <w:rPr>
          <w:rStyle w:val="ab"/>
          <w:rFonts w:asciiTheme="minorBidi" w:hAnsiTheme="minorBidi"/>
          <w:rtl/>
        </w:rPr>
        <w:footnoteReference w:id="2369"/>
      </w:r>
      <w:r w:rsidRPr="00845316">
        <w:rPr>
          <w:rFonts w:asciiTheme="minorBidi" w:hAnsiTheme="minorBidi"/>
          <w:rtl/>
        </w:rPr>
        <w:t xml:space="preserve"> שיעידו עליו, שאין אדם משים עצמו רשע</w:t>
      </w:r>
      <w:r w:rsidRPr="00845316">
        <w:rPr>
          <w:rStyle w:val="ab"/>
          <w:rFonts w:asciiTheme="minorBidi" w:hAnsiTheme="minorBidi"/>
          <w:rtl/>
        </w:rPr>
        <w:footnoteReference w:id="2370"/>
      </w:r>
      <w:r w:rsidRPr="00845316">
        <w:rPr>
          <w:rFonts w:asciiTheme="minorBidi" w:hAnsiTheme="minorBidi"/>
          <w:rtl/>
        </w:rPr>
        <w:t xml:space="preserve">. </w:t>
      </w:r>
      <w:r w:rsidRPr="00845316">
        <w:rPr>
          <w:rFonts w:asciiTheme="minorBidi" w:hAnsiTheme="minorBidi"/>
          <w:sz w:val="18"/>
          <w:szCs w:val="18"/>
          <w:rtl/>
        </w:rPr>
        <w:t>הגה: ומכל מקום אין עושין אותו עד לכתחילה</w:t>
      </w:r>
      <w:r w:rsidRPr="00845316">
        <w:rPr>
          <w:rStyle w:val="ab"/>
          <w:rFonts w:asciiTheme="minorBidi" w:hAnsiTheme="minorBidi"/>
          <w:sz w:val="18"/>
          <w:szCs w:val="18"/>
          <w:rtl/>
        </w:rPr>
        <w:footnoteReference w:id="2371"/>
      </w:r>
      <w:r w:rsidRPr="00845316">
        <w:rPr>
          <w:rFonts w:asciiTheme="minorBidi" w:hAnsiTheme="minorBidi"/>
          <w:sz w:val="18"/>
          <w:szCs w:val="18"/>
          <w:rtl/>
        </w:rPr>
        <w:t xml:space="preserve"> כדלקמן סי' צב סע"ה. וכן אין נפסל על קול וחשד בעלמא</w:t>
      </w:r>
      <w:r>
        <w:rPr>
          <w:rFonts w:asciiTheme="minorBidi" w:hAnsiTheme="minorBidi" w:hint="cs"/>
          <w:sz w:val="18"/>
          <w:szCs w:val="18"/>
          <w:rtl/>
        </w:rPr>
        <w:t>.</w:t>
      </w:r>
      <w:r w:rsidRPr="00845316">
        <w:rPr>
          <w:rFonts w:asciiTheme="minorBidi" w:hAnsiTheme="minorBidi"/>
          <w:sz w:val="18"/>
          <w:szCs w:val="18"/>
          <w:rtl/>
        </w:rPr>
        <w:t xml:space="preserve"> כגון מי שחשוד על עריות שרגיל עם עריות ומתייחד עמהם וקול יוצא עליו</w:t>
      </w:r>
      <w:r>
        <w:rPr>
          <w:rFonts w:asciiTheme="minorBidi" w:hAnsiTheme="minorBidi" w:hint="cs"/>
          <w:sz w:val="18"/>
          <w:szCs w:val="18"/>
          <w:rtl/>
        </w:rPr>
        <w:t>,</w:t>
      </w:r>
      <w:r w:rsidRPr="00845316">
        <w:rPr>
          <w:rFonts w:asciiTheme="minorBidi" w:hAnsiTheme="minorBidi"/>
          <w:sz w:val="18"/>
          <w:szCs w:val="18"/>
          <w:rtl/>
        </w:rPr>
        <w:t xml:space="preserve"> כשר לכל עדות חוץ מלעדות אשה</w:t>
      </w:r>
      <w:r w:rsidRPr="00845316">
        <w:rPr>
          <w:rStyle w:val="ab"/>
          <w:rFonts w:asciiTheme="minorBidi" w:hAnsiTheme="minorBidi"/>
          <w:sz w:val="18"/>
          <w:szCs w:val="18"/>
          <w:rtl/>
        </w:rPr>
        <w:footnoteReference w:id="2372"/>
      </w:r>
      <w:r w:rsidRPr="00845316">
        <w:rPr>
          <w:rFonts w:asciiTheme="minorBidi" w:hAnsiTheme="minorBidi"/>
          <w:sz w:val="18"/>
          <w:szCs w:val="18"/>
          <w:rtl/>
        </w:rPr>
        <w:t xml:space="preserve"> (טור). ועיין בדין החשודים ביו"ד סי' קיט.</w:t>
      </w:r>
      <w:r w:rsidRPr="00845316">
        <w:rPr>
          <w:rFonts w:asciiTheme="minorBidi" w:hAnsiTheme="minorBidi"/>
          <w:rtl/>
        </w:rPr>
        <w:t xml:space="preserve">  </w:t>
      </w:r>
    </w:p>
    <w:p w14:paraId="13ADC6C4" w14:textId="77777777" w:rsidR="004B607F" w:rsidRPr="00845316" w:rsidRDefault="004B607F" w:rsidP="004B607F">
      <w:pPr>
        <w:rPr>
          <w:rFonts w:asciiTheme="minorBidi" w:hAnsiTheme="minorBidi"/>
          <w:rtl/>
        </w:rPr>
      </w:pPr>
      <w:r w:rsidRPr="00845316">
        <w:rPr>
          <w:rFonts w:asciiTheme="minorBidi" w:hAnsiTheme="minorBidi"/>
          <w:u w:val="single"/>
          <w:rtl/>
        </w:rPr>
        <w:t>האם אדם יכול להיפסל ע"פ עצמו כשנתפס בדבריו:</w:t>
      </w:r>
      <w:r w:rsidRPr="00845316">
        <w:rPr>
          <w:rFonts w:asciiTheme="minorBidi" w:hAnsiTheme="minorBidi"/>
          <w:rtl/>
        </w:rPr>
        <w:t xml:space="preserve">   </w:t>
      </w:r>
      <w:r w:rsidRPr="00845316">
        <w:rPr>
          <w:rFonts w:asciiTheme="minorBidi" w:hAnsiTheme="minorBidi"/>
          <w:sz w:val="16"/>
          <w:szCs w:val="16"/>
          <w:rtl/>
        </w:rPr>
        <w:t>(פת"ש סק"מ)</w:t>
      </w:r>
    </w:p>
    <w:p w14:paraId="0CAF1284" w14:textId="77777777" w:rsidR="004B607F" w:rsidRPr="00845316" w:rsidRDefault="004B607F" w:rsidP="004B0475">
      <w:pPr>
        <w:pStyle w:val="ac"/>
        <w:numPr>
          <w:ilvl w:val="0"/>
          <w:numId w:val="186"/>
        </w:numPr>
        <w:rPr>
          <w:rFonts w:asciiTheme="minorBidi" w:hAnsiTheme="minorBidi"/>
        </w:rPr>
      </w:pPr>
      <w:r w:rsidRPr="00845316">
        <w:rPr>
          <w:rFonts w:asciiTheme="minorBidi" w:hAnsiTheme="minorBidi"/>
          <w:rtl/>
        </w:rPr>
        <w:t xml:space="preserve">מו"ה פייבוש </w:t>
      </w:r>
      <w:r w:rsidRPr="00845316">
        <w:rPr>
          <w:rFonts w:asciiTheme="minorBidi" w:hAnsiTheme="minorBidi"/>
          <w:sz w:val="16"/>
          <w:szCs w:val="16"/>
          <w:rtl/>
        </w:rPr>
        <w:t>(הובא בתשו' מהר"ם לובלין סי' פא)</w:t>
      </w:r>
      <w:r w:rsidRPr="00845316">
        <w:rPr>
          <w:rFonts w:asciiTheme="minorBidi" w:hAnsiTheme="minorBidi"/>
          <w:rtl/>
        </w:rPr>
        <w:t>- הא דקיי"ל אין אדם משים עצמו רשע היינו דוקא היכא שבא להודות שהוא רשע, ואף שרוצה לעשות תשובה י"ל אערומי קא מערים שהוא לפסול עדיותיו שהעיד כבר, אבל היכא שאנו רואים שאדרבה הוא רוצה להתנצל עצמו ולומר שלא חטא, רק שע"י דבריו הוא נתפס שאנו רואים שחטא, נעשה חשוד אף ע"פ עצמו</w:t>
      </w:r>
      <w:r w:rsidRPr="00845316">
        <w:rPr>
          <w:rStyle w:val="ab"/>
          <w:rFonts w:asciiTheme="minorBidi" w:hAnsiTheme="minorBidi"/>
          <w:rtl/>
        </w:rPr>
        <w:footnoteReference w:id="2373"/>
      </w:r>
      <w:r w:rsidRPr="00845316">
        <w:rPr>
          <w:rFonts w:asciiTheme="minorBidi" w:hAnsiTheme="minorBidi"/>
          <w:rtl/>
        </w:rPr>
        <w:t xml:space="preserve">. </w:t>
      </w:r>
    </w:p>
    <w:p w14:paraId="3366061B" w14:textId="77777777" w:rsidR="004B607F" w:rsidRPr="00845316" w:rsidRDefault="004B607F" w:rsidP="004B0475">
      <w:pPr>
        <w:pStyle w:val="ac"/>
        <w:numPr>
          <w:ilvl w:val="0"/>
          <w:numId w:val="186"/>
        </w:numPr>
        <w:rPr>
          <w:rFonts w:asciiTheme="minorBidi" w:hAnsiTheme="minorBidi"/>
        </w:rPr>
      </w:pPr>
      <w:r w:rsidRPr="00845316">
        <w:rPr>
          <w:rFonts w:asciiTheme="minorBidi" w:hAnsiTheme="minorBidi"/>
          <w:rtl/>
        </w:rPr>
        <w:t>מהר"ם לובלין</w:t>
      </w:r>
      <w:r w:rsidRPr="00845316">
        <w:rPr>
          <w:rFonts w:asciiTheme="minorBidi" w:hAnsiTheme="minorBidi"/>
          <w:sz w:val="16"/>
          <w:szCs w:val="16"/>
          <w:rtl/>
        </w:rPr>
        <w:t xml:space="preserve"> (סי' פא)</w:t>
      </w:r>
      <w:r w:rsidRPr="00845316">
        <w:rPr>
          <w:rFonts w:asciiTheme="minorBidi" w:hAnsiTheme="minorBidi"/>
          <w:rtl/>
        </w:rPr>
        <w:t>- הא דאין אדם נפסל על פי עצמו לא מסברא בעלמא אמרו כן אלא מדינא משום דאדם קרוב אצל עצמו וכו', וכיון דמן התורה הוא דאינו נפסל על פי עצמו מטעם קורבה</w:t>
      </w:r>
      <w:r>
        <w:rPr>
          <w:rFonts w:asciiTheme="minorBidi" w:hAnsiTheme="minorBidi" w:hint="cs"/>
          <w:rtl/>
        </w:rPr>
        <w:t xml:space="preserve"> </w:t>
      </w:r>
      <w:r w:rsidRPr="00845316">
        <w:rPr>
          <w:rFonts w:asciiTheme="minorBidi" w:hAnsiTheme="minorBidi"/>
          <w:rtl/>
        </w:rPr>
        <w:t xml:space="preserve">- אין לחלק בשום אופן. </w:t>
      </w:r>
    </w:p>
    <w:p w14:paraId="6C04FD77" w14:textId="77777777" w:rsidR="004B607F" w:rsidRPr="00845316" w:rsidRDefault="004B607F" w:rsidP="004B607F">
      <w:pPr>
        <w:rPr>
          <w:rFonts w:asciiTheme="minorBidi" w:hAnsiTheme="minorBidi"/>
          <w:u w:val="single"/>
          <w:rtl/>
        </w:rPr>
      </w:pPr>
      <w:r w:rsidRPr="00845316">
        <w:rPr>
          <w:rFonts w:asciiTheme="minorBidi" w:hAnsiTheme="minorBidi"/>
          <w:u w:val="single"/>
          <w:rtl/>
        </w:rPr>
        <w:t>האם אדם משים עצמו רשע כשיש עד אחד שמעיד לפוסלו והוא מודה לדברי העד:</w:t>
      </w:r>
      <w:r w:rsidRPr="00845316">
        <w:rPr>
          <w:rFonts w:asciiTheme="minorBidi" w:hAnsiTheme="minorBidi"/>
          <w:rtl/>
        </w:rPr>
        <w:t xml:space="preserve">  </w:t>
      </w:r>
      <w:r w:rsidRPr="00845316">
        <w:rPr>
          <w:rFonts w:asciiTheme="minorBidi" w:hAnsiTheme="minorBidi"/>
          <w:sz w:val="16"/>
          <w:szCs w:val="16"/>
          <w:rtl/>
        </w:rPr>
        <w:t>(פת"ש סק"מ)</w:t>
      </w:r>
    </w:p>
    <w:p w14:paraId="167CBF43" w14:textId="77777777" w:rsidR="004B607F" w:rsidRDefault="004B607F" w:rsidP="004B0475">
      <w:pPr>
        <w:pStyle w:val="ac"/>
        <w:numPr>
          <w:ilvl w:val="0"/>
          <w:numId w:val="187"/>
        </w:numPr>
        <w:rPr>
          <w:rFonts w:asciiTheme="minorBidi" w:hAnsiTheme="minorBidi"/>
        </w:rPr>
      </w:pPr>
      <w:r w:rsidRPr="00845316">
        <w:rPr>
          <w:rFonts w:asciiTheme="minorBidi" w:hAnsiTheme="minorBidi"/>
          <w:rtl/>
        </w:rPr>
        <w:t>ראב"ן רשב"א מהרי"ק רשד"ם ומשפטי צדק</w:t>
      </w:r>
      <w:r w:rsidRPr="00845316">
        <w:rPr>
          <w:rStyle w:val="ab"/>
          <w:rFonts w:asciiTheme="minorBidi" w:hAnsiTheme="minorBidi"/>
          <w:rtl/>
        </w:rPr>
        <w:footnoteReference w:id="2374"/>
      </w:r>
      <w:r w:rsidRPr="00845316">
        <w:rPr>
          <w:rFonts w:asciiTheme="minorBidi" w:hAnsiTheme="minorBidi"/>
          <w:rtl/>
        </w:rPr>
        <w:t>- נעשה רשע אף דאינו נפסל ע"פ עד אחד</w:t>
      </w:r>
      <w:r w:rsidRPr="00845316">
        <w:rPr>
          <w:rStyle w:val="ab"/>
          <w:rFonts w:asciiTheme="minorBidi" w:hAnsiTheme="minorBidi"/>
          <w:rtl/>
        </w:rPr>
        <w:footnoteReference w:id="2375"/>
      </w:r>
      <w:r w:rsidRPr="00845316">
        <w:rPr>
          <w:rFonts w:asciiTheme="minorBidi" w:hAnsiTheme="minorBidi"/>
          <w:rtl/>
        </w:rPr>
        <w:t>.</w:t>
      </w:r>
    </w:p>
    <w:p w14:paraId="4AC218B9" w14:textId="77777777" w:rsidR="004B607F" w:rsidRPr="00845316" w:rsidRDefault="004B607F" w:rsidP="004B0475">
      <w:pPr>
        <w:pStyle w:val="ac"/>
        <w:numPr>
          <w:ilvl w:val="0"/>
          <w:numId w:val="187"/>
        </w:numPr>
        <w:rPr>
          <w:rFonts w:asciiTheme="minorBidi" w:hAnsiTheme="minorBidi"/>
        </w:rPr>
      </w:pPr>
      <w:r>
        <w:rPr>
          <w:rFonts w:asciiTheme="minorBidi" w:hAnsiTheme="minorBidi" w:cs="Arial" w:hint="cs"/>
          <w:rtl/>
        </w:rPr>
        <w:t xml:space="preserve">רמב"ם </w:t>
      </w:r>
      <w:r>
        <w:rPr>
          <w:rFonts w:asciiTheme="minorBidi" w:hAnsiTheme="minorBidi" w:cs="Arial" w:hint="cs"/>
          <w:sz w:val="16"/>
          <w:szCs w:val="16"/>
          <w:rtl/>
        </w:rPr>
        <w:t>(עדות פי"ב ה"ב)</w:t>
      </w:r>
      <w:r>
        <w:rPr>
          <w:rFonts w:asciiTheme="minorBidi" w:hAnsiTheme="minorBidi" w:cs="Arial" w:hint="cs"/>
          <w:rtl/>
        </w:rPr>
        <w:t xml:space="preserve">- </w:t>
      </w:r>
      <w:r w:rsidRPr="00663F97">
        <w:rPr>
          <w:rFonts w:asciiTheme="minorBidi" w:hAnsiTheme="minorBidi" w:cs="Arial"/>
          <w:rtl/>
        </w:rPr>
        <w:t xml:space="preserve">אין אדם נפסל בעבירה על פי עצמו, כיצד הרי שבא לבית דין ואמר שגנב או גזל או הלוה בריבית, אף על פי שמשלם על פי עצמו אינו נפסל, וכן אם אמר שאכל נבילה או בעל אסורה אינו נפסל </w:t>
      </w:r>
      <w:r w:rsidRPr="00663F97">
        <w:rPr>
          <w:rFonts w:asciiTheme="minorBidi" w:hAnsiTheme="minorBidi" w:cs="Arial"/>
          <w:b/>
          <w:bCs/>
          <w:rtl/>
        </w:rPr>
        <w:t>עד שיהיו שם שני עדים</w:t>
      </w:r>
      <w:r w:rsidRPr="00663F97">
        <w:rPr>
          <w:rFonts w:asciiTheme="minorBidi" w:hAnsiTheme="minorBidi" w:cs="Arial"/>
          <w:rtl/>
        </w:rPr>
        <w:t xml:space="preserve"> שאין אדם משים את עצמו רשע</w:t>
      </w:r>
      <w:r>
        <w:rPr>
          <w:rFonts w:asciiTheme="minorBidi" w:hAnsiTheme="minorBidi" w:hint="cs"/>
          <w:rtl/>
        </w:rPr>
        <w:t>...</w:t>
      </w:r>
    </w:p>
    <w:p w14:paraId="133B5191" w14:textId="77777777" w:rsidR="004B607F" w:rsidRPr="00845316" w:rsidRDefault="004B607F" w:rsidP="004B607F">
      <w:pPr>
        <w:rPr>
          <w:rFonts w:asciiTheme="minorBidi" w:hAnsiTheme="minorBidi"/>
          <w:rtl/>
        </w:rPr>
      </w:pPr>
    </w:p>
    <w:p w14:paraId="65B4F1C7" w14:textId="77777777" w:rsidR="004B607F" w:rsidRPr="00845316" w:rsidRDefault="004B607F" w:rsidP="004B607F">
      <w:pPr>
        <w:pStyle w:val="2"/>
        <w:rPr>
          <w:rFonts w:asciiTheme="minorBidi" w:hAnsiTheme="minorBidi"/>
          <w:rtl/>
        </w:rPr>
      </w:pPr>
      <w:bookmarkStart w:id="315" w:name="_Toc24883773"/>
      <w:r w:rsidRPr="00845316">
        <w:rPr>
          <w:rFonts w:asciiTheme="minorBidi" w:hAnsiTheme="minorBidi"/>
          <w:rtl/>
        </w:rPr>
        <w:t>סעיף כו: לוה שהעיד על המלוה שהלוה לו ברבית ויש עמו עד אחד.</w:t>
      </w:r>
      <w:bookmarkEnd w:id="315"/>
    </w:p>
    <w:p w14:paraId="69AC51C8" w14:textId="77777777" w:rsidR="004B607F" w:rsidRPr="00845316" w:rsidRDefault="004B607F" w:rsidP="004B607F">
      <w:pPr>
        <w:rPr>
          <w:rFonts w:asciiTheme="minorBidi" w:hAnsiTheme="minorBidi"/>
          <w:rtl/>
        </w:rPr>
      </w:pPr>
      <w:r w:rsidRPr="00845316">
        <w:rPr>
          <w:rFonts w:asciiTheme="minorBidi" w:hAnsiTheme="minorBidi"/>
          <w:b/>
          <w:bCs/>
          <w:rtl/>
        </w:rPr>
        <w:t xml:space="preserve">סנהדרין כה ע"א: </w:t>
      </w:r>
      <w:r w:rsidRPr="00845316">
        <w:rPr>
          <w:rFonts w:asciiTheme="minorBidi" w:hAnsiTheme="minorBidi"/>
          <w:rtl/>
        </w:rPr>
        <w:t>בר ביניתוס אסהידו ביה תרי סהדי, חד אמר: קמי דידי אוזיף ברביתא, וחד אמר: לדידי אוזפי ברביתא. פסליה רבא לבר ביניתוס.</w:t>
      </w:r>
    </w:p>
    <w:p w14:paraId="12CA547A" w14:textId="77777777" w:rsidR="004B607F" w:rsidRDefault="004B607F" w:rsidP="004B607F">
      <w:pPr>
        <w:rPr>
          <w:rFonts w:asciiTheme="minorBidi" w:hAnsiTheme="minorBidi" w:cs="Arial"/>
          <w:rtl/>
        </w:rPr>
      </w:pPr>
      <w:r w:rsidRPr="00845316">
        <w:rPr>
          <w:rFonts w:asciiTheme="minorBidi" w:hAnsiTheme="minorBidi"/>
          <w:b/>
          <w:bCs/>
          <w:rtl/>
        </w:rPr>
        <w:t>סנהדרין ט</w:t>
      </w:r>
      <w:r>
        <w:rPr>
          <w:rStyle w:val="ab"/>
          <w:rFonts w:asciiTheme="minorBidi" w:hAnsiTheme="minorBidi"/>
          <w:b/>
          <w:bCs/>
          <w:rtl/>
        </w:rPr>
        <w:footnoteReference w:id="2376"/>
      </w:r>
      <w:r w:rsidRPr="00845316">
        <w:rPr>
          <w:rFonts w:asciiTheme="minorBidi" w:hAnsiTheme="minorBidi"/>
          <w:b/>
          <w:bCs/>
          <w:rtl/>
        </w:rPr>
        <w:t xml:space="preserve"> ע"ב: </w:t>
      </w:r>
      <w:r w:rsidRPr="00845316">
        <w:rPr>
          <w:rFonts w:asciiTheme="minorBidi" w:hAnsiTheme="minorBidi"/>
          <w:u w:val="single"/>
          <w:rtl/>
        </w:rPr>
        <w:t>ואמר רב יוסף</w:t>
      </w:r>
      <w:r w:rsidRPr="00845316">
        <w:rPr>
          <w:rFonts w:asciiTheme="minorBidi" w:hAnsiTheme="minorBidi"/>
          <w:rtl/>
        </w:rPr>
        <w:t>: פלוני רבעו</w:t>
      </w:r>
      <w:r w:rsidRPr="00845316">
        <w:rPr>
          <w:rStyle w:val="ab"/>
          <w:rFonts w:asciiTheme="minorBidi" w:hAnsiTheme="minorBidi"/>
          <w:rtl/>
        </w:rPr>
        <w:footnoteReference w:id="2377"/>
      </w:r>
      <w:r w:rsidRPr="00845316">
        <w:rPr>
          <w:rFonts w:asciiTheme="minorBidi" w:hAnsiTheme="minorBidi"/>
          <w:rtl/>
        </w:rPr>
        <w:t xml:space="preserve"> לאונסו - הוא ואחר</w:t>
      </w:r>
      <w:r w:rsidRPr="00845316">
        <w:rPr>
          <w:rStyle w:val="ab"/>
          <w:rFonts w:asciiTheme="minorBidi" w:hAnsiTheme="minorBidi"/>
          <w:rtl/>
        </w:rPr>
        <w:footnoteReference w:id="2378"/>
      </w:r>
      <w:r w:rsidRPr="00845316">
        <w:rPr>
          <w:rFonts w:asciiTheme="minorBidi" w:hAnsiTheme="minorBidi"/>
          <w:rtl/>
        </w:rPr>
        <w:t xml:space="preserve"> מצטרפין להרגו, לרצונו - רשע הוא, והתורה אמרה אל תשת רשע עד. </w:t>
      </w:r>
      <w:r w:rsidRPr="00845316">
        <w:rPr>
          <w:rFonts w:asciiTheme="minorBidi" w:hAnsiTheme="minorBidi"/>
          <w:u w:val="single"/>
          <w:rtl/>
        </w:rPr>
        <w:t>רבא אמר</w:t>
      </w:r>
      <w:r w:rsidRPr="00845316">
        <w:rPr>
          <w:rStyle w:val="ab"/>
          <w:rFonts w:asciiTheme="minorBidi" w:hAnsiTheme="minorBidi"/>
          <w:rtl/>
        </w:rPr>
        <w:footnoteReference w:id="2379"/>
      </w:r>
      <w:r w:rsidRPr="00845316">
        <w:rPr>
          <w:rFonts w:asciiTheme="minorBidi" w:hAnsiTheme="minorBidi"/>
          <w:rtl/>
        </w:rPr>
        <w:t xml:space="preserve">: אדם קרוב אצל עצמו, ואין אדם משים עצמו רשע. </w:t>
      </w:r>
      <w:r w:rsidRPr="00845316">
        <w:rPr>
          <w:rFonts w:asciiTheme="minorBidi" w:hAnsiTheme="minorBidi"/>
          <w:u w:val="single"/>
          <w:rtl/>
        </w:rPr>
        <w:t>אמר רבא</w:t>
      </w:r>
      <w:r w:rsidRPr="00845316">
        <w:rPr>
          <w:rFonts w:asciiTheme="minorBidi" w:hAnsiTheme="minorBidi"/>
          <w:rtl/>
        </w:rPr>
        <w:t xml:space="preserve">: </w:t>
      </w:r>
      <w:r>
        <w:rPr>
          <w:rFonts w:asciiTheme="minorBidi" w:hAnsiTheme="minorBidi" w:hint="cs"/>
          <w:sz w:val="14"/>
          <w:szCs w:val="14"/>
          <w:rtl/>
        </w:rPr>
        <w:t xml:space="preserve">(י.) </w:t>
      </w:r>
      <w:r w:rsidRPr="00845316">
        <w:rPr>
          <w:rFonts w:asciiTheme="minorBidi" w:hAnsiTheme="minorBidi"/>
          <w:rtl/>
        </w:rPr>
        <w:t>פלוני בא על אשתי</w:t>
      </w:r>
      <w:r>
        <w:rPr>
          <w:rFonts w:asciiTheme="minorBidi" w:hAnsiTheme="minorBidi" w:hint="cs"/>
          <w:rtl/>
        </w:rPr>
        <w:t xml:space="preserve"> </w:t>
      </w:r>
      <w:r w:rsidRPr="00845316">
        <w:rPr>
          <w:rFonts w:asciiTheme="minorBidi" w:hAnsiTheme="minorBidi"/>
          <w:rtl/>
        </w:rPr>
        <w:t>- הוא ואחר מצטרפין להורגו, אבל לא להורגה</w:t>
      </w:r>
      <w:r w:rsidRPr="00845316">
        <w:rPr>
          <w:rStyle w:val="ab"/>
          <w:rFonts w:asciiTheme="minorBidi" w:hAnsiTheme="minorBidi"/>
          <w:rtl/>
        </w:rPr>
        <w:footnoteReference w:id="2380"/>
      </w:r>
      <w:r w:rsidRPr="00845316">
        <w:rPr>
          <w:rFonts w:asciiTheme="minorBidi" w:hAnsiTheme="minorBidi"/>
          <w:rtl/>
        </w:rPr>
        <w:t>. מאי קא משמע לן - דמפלגינן בדיבורא? היינו הך! מהו דתימא: אדם קרוב אצל עצמו</w:t>
      </w:r>
      <w:r>
        <w:rPr>
          <w:rFonts w:asciiTheme="minorBidi" w:hAnsiTheme="minorBidi" w:hint="cs"/>
          <w:rtl/>
        </w:rPr>
        <w:t xml:space="preserve"> </w:t>
      </w:r>
      <w:r w:rsidRPr="00845316">
        <w:rPr>
          <w:rFonts w:asciiTheme="minorBidi" w:hAnsiTheme="minorBidi"/>
          <w:rtl/>
        </w:rPr>
        <w:t>- אמרינן, אצל אשתו</w:t>
      </w:r>
      <w:r>
        <w:rPr>
          <w:rFonts w:asciiTheme="minorBidi" w:hAnsiTheme="minorBidi" w:hint="cs"/>
          <w:rtl/>
        </w:rPr>
        <w:t xml:space="preserve"> </w:t>
      </w:r>
      <w:r w:rsidRPr="00845316">
        <w:rPr>
          <w:rFonts w:asciiTheme="minorBidi" w:hAnsiTheme="minorBidi"/>
          <w:rtl/>
        </w:rPr>
        <w:t>- לא אמרינן</w:t>
      </w:r>
      <w:r w:rsidRPr="00845316">
        <w:rPr>
          <w:rStyle w:val="ab"/>
          <w:rFonts w:asciiTheme="minorBidi" w:hAnsiTheme="minorBidi"/>
          <w:rtl/>
        </w:rPr>
        <w:footnoteReference w:id="2381"/>
      </w:r>
      <w:r w:rsidRPr="00845316">
        <w:rPr>
          <w:rFonts w:asciiTheme="minorBidi" w:hAnsiTheme="minorBidi"/>
          <w:rtl/>
        </w:rPr>
        <w:t>, קא משמע לן.... דבעי רבא: פלוני רבע שורי</w:t>
      </w:r>
      <w:r w:rsidRPr="00845316">
        <w:rPr>
          <w:rStyle w:val="ab"/>
          <w:rFonts w:asciiTheme="minorBidi" w:hAnsiTheme="minorBidi"/>
          <w:rtl/>
        </w:rPr>
        <w:footnoteReference w:id="2382"/>
      </w:r>
      <w:r w:rsidRPr="00845316">
        <w:rPr>
          <w:rFonts w:asciiTheme="minorBidi" w:hAnsiTheme="minorBidi"/>
          <w:rtl/>
        </w:rPr>
        <w:t xml:space="preserve"> </w:t>
      </w:r>
      <w:r w:rsidRPr="00845316">
        <w:rPr>
          <w:rFonts w:asciiTheme="minorBidi" w:hAnsiTheme="minorBidi"/>
          <w:rtl/>
        </w:rPr>
        <w:lastRenderedPageBreak/>
        <w:t>מהו</w:t>
      </w:r>
      <w:r w:rsidRPr="00845316">
        <w:rPr>
          <w:rStyle w:val="ab"/>
          <w:rFonts w:asciiTheme="minorBidi" w:hAnsiTheme="minorBidi"/>
          <w:rtl/>
        </w:rPr>
        <w:footnoteReference w:id="2383"/>
      </w:r>
      <w:r w:rsidRPr="00845316">
        <w:rPr>
          <w:rFonts w:asciiTheme="minorBidi" w:hAnsiTheme="minorBidi"/>
          <w:rtl/>
        </w:rPr>
        <w:t>? מי אמרינן: אדם קרוב אצל עצמו, ואין אדם קרוב אצל ממונו, או דילמא אמרינן: אדם קרוב אצל ממונו. בתר דבעיא הדר פשטה: אדם קרוב אצל עצמו, ואין אדם קרוב אצל ממונו.</w:t>
      </w:r>
      <w:r w:rsidRPr="00663F97">
        <w:rPr>
          <w:rtl/>
        </w:rPr>
        <w:t xml:space="preserve"> </w:t>
      </w:r>
      <w:r w:rsidRPr="00845316">
        <w:rPr>
          <w:rFonts w:asciiTheme="minorBidi" w:hAnsiTheme="minorBidi"/>
          <w:sz w:val="16"/>
          <w:szCs w:val="16"/>
          <w:rtl/>
        </w:rPr>
        <w:t>(והלכה כרבא דבתרא הוא, ב"י</w:t>
      </w:r>
      <w:r>
        <w:rPr>
          <w:rFonts w:asciiTheme="minorBidi" w:hAnsiTheme="minorBidi" w:hint="cs"/>
          <w:sz w:val="16"/>
          <w:szCs w:val="16"/>
          <w:rtl/>
        </w:rPr>
        <w:t>)</w:t>
      </w:r>
    </w:p>
    <w:p w14:paraId="77179898" w14:textId="77777777" w:rsidR="004B607F" w:rsidRPr="00663F97" w:rsidRDefault="004B607F" w:rsidP="004B607F">
      <w:pPr>
        <w:rPr>
          <w:rFonts w:asciiTheme="minorBidi" w:hAnsiTheme="minorBidi" w:cs="Arial"/>
          <w:u w:val="single"/>
          <w:rtl/>
        </w:rPr>
      </w:pPr>
      <w:r w:rsidRPr="00663F97">
        <w:rPr>
          <w:rFonts w:asciiTheme="minorBidi" w:hAnsiTheme="minorBidi" w:cs="Arial" w:hint="cs"/>
          <w:u w:val="single"/>
          <w:rtl/>
        </w:rPr>
        <w:t>אדם שאמר פלוני רבע שורי, ועוד אחד מעיד עמו</w:t>
      </w:r>
      <w:r>
        <w:rPr>
          <w:rFonts w:asciiTheme="minorBidi" w:hAnsiTheme="minorBidi" w:cs="Arial" w:hint="cs"/>
          <w:sz w:val="16"/>
          <w:szCs w:val="16"/>
          <w:u w:val="single"/>
          <w:rtl/>
        </w:rPr>
        <w:t xml:space="preserve"> (דהיינו מה כוונת רבא)</w:t>
      </w:r>
      <w:r w:rsidRPr="00663F97">
        <w:rPr>
          <w:rFonts w:asciiTheme="minorBidi" w:hAnsiTheme="minorBidi" w:cs="Arial" w:hint="cs"/>
          <w:u w:val="single"/>
          <w:rtl/>
        </w:rPr>
        <w:t>:</w:t>
      </w:r>
    </w:p>
    <w:p w14:paraId="5F45FBF9" w14:textId="77777777" w:rsidR="004B607F" w:rsidRPr="00663F97" w:rsidRDefault="004B607F" w:rsidP="004B0475">
      <w:pPr>
        <w:pStyle w:val="ac"/>
        <w:numPr>
          <w:ilvl w:val="0"/>
          <w:numId w:val="202"/>
        </w:numPr>
        <w:rPr>
          <w:rFonts w:asciiTheme="minorBidi" w:hAnsiTheme="minorBidi"/>
          <w:rtl/>
        </w:rPr>
      </w:pPr>
      <w:r w:rsidRPr="00663F97">
        <w:rPr>
          <w:rFonts w:asciiTheme="minorBidi" w:hAnsiTheme="minorBidi" w:hint="cs"/>
          <w:rtl/>
        </w:rPr>
        <w:t>רש"י</w:t>
      </w:r>
      <w:r w:rsidRPr="00663F97">
        <w:rPr>
          <w:rFonts w:asciiTheme="minorBidi" w:hAnsiTheme="minorBidi"/>
          <w:rtl/>
        </w:rPr>
        <w:t xml:space="preserve"> רמב"ם </w:t>
      </w:r>
      <w:r w:rsidRPr="00663F97">
        <w:rPr>
          <w:rFonts w:asciiTheme="minorBidi" w:hAnsiTheme="minorBidi"/>
          <w:sz w:val="16"/>
          <w:szCs w:val="16"/>
          <w:rtl/>
        </w:rPr>
        <w:t xml:space="preserve">(פי"ב ה"ב) </w:t>
      </w:r>
      <w:r w:rsidRPr="00663F97">
        <w:rPr>
          <w:rFonts w:asciiTheme="minorBidi" w:hAnsiTheme="minorBidi"/>
          <w:rtl/>
        </w:rPr>
        <w:t>וטור</w:t>
      </w:r>
      <w:r w:rsidRPr="00663F97">
        <w:rPr>
          <w:rFonts w:asciiTheme="minorBidi" w:hAnsiTheme="minorBidi" w:hint="cs"/>
          <w:rtl/>
        </w:rPr>
        <w:t xml:space="preserve"> -</w:t>
      </w:r>
      <w:r w:rsidRPr="00663F97">
        <w:rPr>
          <w:rFonts w:asciiTheme="minorBidi" w:hAnsiTheme="minorBidi"/>
          <w:rtl/>
        </w:rPr>
        <w:t xml:space="preserve"> לא אמרינן אדם קרוב אצל ממונו לענין פלגי דיבורא, והשור יסקל</w:t>
      </w:r>
      <w:r>
        <w:rPr>
          <w:rFonts w:asciiTheme="minorBidi" w:hAnsiTheme="minorBidi" w:hint="cs"/>
          <w:sz w:val="16"/>
          <w:szCs w:val="16"/>
          <w:rtl/>
        </w:rPr>
        <w:t xml:space="preserve"> (ל' רש"י)</w:t>
      </w:r>
      <w:r>
        <w:rPr>
          <w:rStyle w:val="ab"/>
          <w:rFonts w:asciiTheme="minorBidi" w:hAnsiTheme="minorBidi"/>
          <w:rtl/>
        </w:rPr>
        <w:footnoteReference w:id="2384"/>
      </w:r>
      <w:r w:rsidRPr="00663F97">
        <w:rPr>
          <w:rFonts w:asciiTheme="minorBidi" w:hAnsiTheme="minorBidi"/>
          <w:rtl/>
        </w:rPr>
        <w:t>.</w:t>
      </w:r>
    </w:p>
    <w:p w14:paraId="1AE069EF" w14:textId="77777777" w:rsidR="004B607F" w:rsidRPr="00663F97" w:rsidRDefault="004B607F" w:rsidP="004B0475">
      <w:pPr>
        <w:pStyle w:val="ac"/>
        <w:numPr>
          <w:ilvl w:val="0"/>
          <w:numId w:val="202"/>
        </w:numPr>
        <w:rPr>
          <w:rFonts w:asciiTheme="minorBidi" w:hAnsiTheme="minorBidi"/>
          <w:rtl/>
        </w:rPr>
      </w:pPr>
      <w:r w:rsidRPr="00663F97">
        <w:rPr>
          <w:rFonts w:asciiTheme="minorBidi" w:hAnsiTheme="minorBidi" w:cs="Arial" w:hint="cs"/>
          <w:rtl/>
        </w:rPr>
        <w:t>ראב"ד</w:t>
      </w:r>
      <w:r w:rsidRPr="00663F97">
        <w:rPr>
          <w:rFonts w:asciiTheme="minorBidi" w:hAnsiTheme="minorBidi" w:cs="Arial" w:hint="cs"/>
          <w:sz w:val="16"/>
          <w:szCs w:val="16"/>
          <w:rtl/>
        </w:rPr>
        <w:t xml:space="preserve"> (שם על הרמב"ם)</w:t>
      </w:r>
      <w:r w:rsidRPr="00663F97">
        <w:rPr>
          <w:rFonts w:asciiTheme="minorBidi" w:hAnsiTheme="minorBidi" w:cs="Arial" w:hint="cs"/>
          <w:rtl/>
        </w:rPr>
        <w:t xml:space="preserve">- </w:t>
      </w:r>
      <w:r w:rsidRPr="00663F97">
        <w:rPr>
          <w:rFonts w:asciiTheme="minorBidi" w:hAnsiTheme="minorBidi" w:cs="Arial"/>
          <w:rtl/>
        </w:rPr>
        <w:t>מן המפרשים הטובים יש שמפרשים פלוני רבע את שורי שגם הרובע אינו נהרג לפי שהעדות נגעה על שורו דלא פלגינן דיבורא וגם על שורו נתכוון להעיד וכשם שאינו נאמן על שורו כך אינו נאמן על הרובע דעדות שבטלה מקצתה בטלה כולה</w:t>
      </w:r>
      <w:r w:rsidRPr="00663F97">
        <w:rPr>
          <w:rStyle w:val="ab"/>
          <w:rFonts w:asciiTheme="minorBidi" w:hAnsiTheme="minorBidi"/>
          <w:rtl/>
        </w:rPr>
        <w:footnoteReference w:id="2385"/>
      </w:r>
      <w:r>
        <w:rPr>
          <w:rFonts w:asciiTheme="minorBidi" w:hAnsiTheme="minorBidi" w:hint="cs"/>
          <w:rtl/>
        </w:rPr>
        <w:t>.</w:t>
      </w:r>
    </w:p>
    <w:p w14:paraId="2E4CAD93" w14:textId="77777777" w:rsidR="004B607F" w:rsidRPr="00845316" w:rsidRDefault="004B607F" w:rsidP="004B607F">
      <w:pPr>
        <w:rPr>
          <w:rFonts w:asciiTheme="minorBidi" w:hAnsiTheme="minorBidi"/>
          <w:u w:val="single"/>
          <w:rtl/>
        </w:rPr>
      </w:pPr>
      <w:r>
        <w:rPr>
          <w:rFonts w:asciiTheme="minorBidi" w:hAnsiTheme="minorBidi" w:hint="cs"/>
          <w:u w:val="single"/>
          <w:rtl/>
        </w:rPr>
        <w:t xml:space="preserve">לוה שמעיד על המלוה שהלוה לו בריבית, האם צריך לומר </w:t>
      </w:r>
      <w:r w:rsidRPr="00845316">
        <w:rPr>
          <w:rFonts w:asciiTheme="minorBidi" w:hAnsiTheme="minorBidi"/>
          <w:u w:val="single"/>
          <w:rtl/>
        </w:rPr>
        <w:t xml:space="preserve">"לדידי אוזיף ברבית </w:t>
      </w:r>
      <w:r w:rsidRPr="00845316">
        <w:rPr>
          <w:rFonts w:asciiTheme="minorBidi" w:hAnsiTheme="minorBidi"/>
          <w:b/>
          <w:bCs/>
          <w:u w:val="single"/>
          <w:rtl/>
        </w:rPr>
        <w:t>ולא שקיל מידי</w:t>
      </w:r>
      <w:r w:rsidRPr="00845316">
        <w:rPr>
          <w:rFonts w:asciiTheme="minorBidi" w:hAnsiTheme="minorBidi"/>
          <w:u w:val="single"/>
          <w:rtl/>
        </w:rPr>
        <w:t xml:space="preserve">": </w:t>
      </w:r>
    </w:p>
    <w:p w14:paraId="4EAB9946" w14:textId="77777777" w:rsidR="004B607F" w:rsidRPr="00845316" w:rsidRDefault="004B607F" w:rsidP="004B0475">
      <w:pPr>
        <w:pStyle w:val="ac"/>
        <w:numPr>
          <w:ilvl w:val="0"/>
          <w:numId w:val="187"/>
        </w:numPr>
        <w:rPr>
          <w:rFonts w:asciiTheme="minorBidi" w:hAnsiTheme="minorBidi"/>
        </w:rPr>
      </w:pPr>
      <w:r w:rsidRPr="00845316">
        <w:rPr>
          <w:rFonts w:asciiTheme="minorBidi" w:hAnsiTheme="minorBidi"/>
          <w:rtl/>
        </w:rPr>
        <w:t>מרדכי בשם ראבי"ה</w:t>
      </w:r>
      <w:r w:rsidRPr="00845316">
        <w:rPr>
          <w:rFonts w:asciiTheme="minorBidi" w:hAnsiTheme="minorBidi"/>
          <w:sz w:val="16"/>
          <w:szCs w:val="16"/>
          <w:rtl/>
        </w:rPr>
        <w:t xml:space="preserve"> </w:t>
      </w:r>
      <w:r w:rsidRPr="00845316">
        <w:rPr>
          <w:rFonts w:asciiTheme="minorBidi" w:hAnsiTheme="minorBidi"/>
          <w:rtl/>
        </w:rPr>
        <w:t>(רמב"ם</w:t>
      </w:r>
      <w:r w:rsidRPr="00845316">
        <w:rPr>
          <w:rFonts w:asciiTheme="minorBidi" w:hAnsiTheme="minorBidi"/>
          <w:sz w:val="16"/>
          <w:szCs w:val="16"/>
          <w:rtl/>
        </w:rPr>
        <w:t xml:space="preserve"> </w:t>
      </w:r>
      <w:r w:rsidRPr="00845316">
        <w:rPr>
          <w:rFonts w:asciiTheme="minorBidi" w:hAnsiTheme="minorBidi"/>
          <w:rtl/>
        </w:rPr>
        <w:t xml:space="preserve">ושו"ע </w:t>
      </w:r>
      <w:r w:rsidRPr="00845316">
        <w:rPr>
          <w:rFonts w:asciiTheme="minorBidi" w:hAnsiTheme="minorBidi"/>
          <w:sz w:val="16"/>
          <w:szCs w:val="16"/>
          <w:rtl/>
        </w:rPr>
        <w:t>להב' הש"ך</w:t>
      </w:r>
      <w:r w:rsidRPr="00845316">
        <w:rPr>
          <w:rFonts w:asciiTheme="minorBidi" w:hAnsiTheme="minorBidi"/>
          <w:rtl/>
        </w:rPr>
        <w:t>)</w:t>
      </w:r>
      <w:r w:rsidRPr="00845316">
        <w:rPr>
          <w:rStyle w:val="ab"/>
          <w:rFonts w:asciiTheme="minorBidi" w:hAnsiTheme="minorBidi"/>
          <w:rtl/>
        </w:rPr>
        <w:footnoteReference w:id="2386"/>
      </w:r>
      <w:r w:rsidRPr="00845316">
        <w:rPr>
          <w:rFonts w:asciiTheme="minorBidi" w:hAnsiTheme="minorBidi"/>
          <w:rtl/>
        </w:rPr>
        <w:t>- כדי שניפלוג דיבוריה הוא צ"</w:t>
      </w:r>
      <w:r w:rsidRPr="00C63634">
        <w:rPr>
          <w:rFonts w:asciiTheme="minorBidi" w:hAnsiTheme="minorBidi"/>
          <w:rtl/>
        </w:rPr>
        <w:t>ל "לדידי אוזיף ברבית</w:t>
      </w:r>
      <w:r>
        <w:rPr>
          <w:rFonts w:asciiTheme="minorBidi" w:hAnsiTheme="minorBidi" w:hint="cs"/>
          <w:rtl/>
        </w:rPr>
        <w:t>א</w:t>
      </w:r>
      <w:r w:rsidRPr="00C63634">
        <w:rPr>
          <w:rFonts w:asciiTheme="minorBidi" w:hAnsiTheme="minorBidi"/>
          <w:rtl/>
        </w:rPr>
        <w:t xml:space="preserve"> ולא </w:t>
      </w:r>
      <w:r w:rsidRPr="00845316">
        <w:rPr>
          <w:rFonts w:asciiTheme="minorBidi" w:hAnsiTheme="minorBidi"/>
          <w:rtl/>
        </w:rPr>
        <w:t xml:space="preserve">שקיל מידי", דאל"כ הרי הוא נוגע בעדות. </w:t>
      </w:r>
      <w:r w:rsidRPr="00845316">
        <w:rPr>
          <w:rFonts w:asciiTheme="minorBidi" w:hAnsiTheme="minorBidi"/>
          <w:color w:val="00B0F0"/>
          <w:rtl/>
        </w:rPr>
        <w:t>(וכ"פ הרמ"א</w:t>
      </w:r>
      <w:r w:rsidRPr="00845316">
        <w:rPr>
          <w:rStyle w:val="ab"/>
          <w:rFonts w:asciiTheme="minorBidi" w:hAnsiTheme="minorBidi"/>
          <w:rtl/>
        </w:rPr>
        <w:footnoteReference w:id="2387"/>
      </w:r>
      <w:r w:rsidRPr="00845316">
        <w:rPr>
          <w:rFonts w:asciiTheme="minorBidi" w:hAnsiTheme="minorBidi"/>
          <w:color w:val="00B0F0"/>
          <w:rtl/>
        </w:rPr>
        <w:t>)</w:t>
      </w:r>
    </w:p>
    <w:p w14:paraId="2823E71A" w14:textId="77777777" w:rsidR="004B607F" w:rsidRPr="00845316" w:rsidRDefault="004B607F" w:rsidP="004B0475">
      <w:pPr>
        <w:pStyle w:val="ac"/>
        <w:numPr>
          <w:ilvl w:val="0"/>
          <w:numId w:val="187"/>
        </w:numPr>
        <w:rPr>
          <w:rFonts w:asciiTheme="minorBidi" w:hAnsiTheme="minorBidi"/>
          <w:rtl/>
        </w:rPr>
      </w:pPr>
      <w:r w:rsidRPr="00845316">
        <w:rPr>
          <w:rFonts w:asciiTheme="minorBidi" w:hAnsiTheme="minorBidi"/>
          <w:rtl/>
        </w:rPr>
        <w:t xml:space="preserve">(רמב"ם ושו"ע </w:t>
      </w:r>
      <w:r w:rsidRPr="00845316">
        <w:rPr>
          <w:rFonts w:asciiTheme="minorBidi" w:hAnsiTheme="minorBidi"/>
          <w:sz w:val="16"/>
          <w:szCs w:val="16"/>
          <w:rtl/>
        </w:rPr>
        <w:t>להב' הסמ"ע</w:t>
      </w:r>
      <w:r w:rsidRPr="00845316">
        <w:rPr>
          <w:rFonts w:asciiTheme="minorBidi" w:hAnsiTheme="minorBidi"/>
          <w:sz w:val="14"/>
          <w:szCs w:val="14"/>
          <w:rtl/>
        </w:rPr>
        <w:t xml:space="preserve"> [ס"ק סב]</w:t>
      </w:r>
      <w:r w:rsidRPr="00845316">
        <w:rPr>
          <w:rFonts w:asciiTheme="minorBidi" w:hAnsiTheme="minorBidi"/>
          <w:rtl/>
        </w:rPr>
        <w:t xml:space="preserve">) וריב"ש </w:t>
      </w:r>
      <w:r w:rsidRPr="00845316">
        <w:rPr>
          <w:rFonts w:asciiTheme="minorBidi" w:hAnsiTheme="minorBidi"/>
          <w:sz w:val="16"/>
          <w:szCs w:val="16"/>
          <w:rtl/>
        </w:rPr>
        <w:t>(סי' שלט)</w:t>
      </w:r>
      <w:r w:rsidRPr="00845316">
        <w:rPr>
          <w:rFonts w:asciiTheme="minorBidi" w:hAnsiTheme="minorBidi"/>
          <w:rtl/>
        </w:rPr>
        <w:t>- אינו צריך לומר "ולא שקיל מידי" ואעפ"כ פלגינן דיבוריה, "כיון שמעיד על עצמו הוי כאילו לא העיד כלל... וא"כ אין לומר בכאן שהוא נוגע בעדות</w:t>
      </w:r>
      <w:r w:rsidRPr="00845316">
        <w:rPr>
          <w:rFonts w:asciiTheme="minorBidi" w:hAnsiTheme="minorBidi"/>
          <w:sz w:val="16"/>
          <w:szCs w:val="16"/>
          <w:rtl/>
        </w:rPr>
        <w:t xml:space="preserve"> (ל' הריב"ש)</w:t>
      </w:r>
      <w:r w:rsidRPr="00845316">
        <w:rPr>
          <w:rFonts w:asciiTheme="minorBidi" w:hAnsiTheme="minorBidi"/>
          <w:rtl/>
        </w:rPr>
        <w:t>".</w:t>
      </w:r>
    </w:p>
    <w:p w14:paraId="04658DAA" w14:textId="77777777" w:rsidR="004B607F" w:rsidRPr="00845316" w:rsidRDefault="004B607F" w:rsidP="004B607F">
      <w:pPr>
        <w:jc w:val="both"/>
        <w:rPr>
          <w:rFonts w:asciiTheme="minorBidi" w:hAnsiTheme="minorBidi"/>
          <w:rtl/>
        </w:rPr>
      </w:pPr>
      <w:r w:rsidRPr="00845316">
        <w:rPr>
          <w:rFonts w:asciiTheme="minorBidi" w:hAnsiTheme="minorBidi"/>
          <w:b/>
          <w:bCs/>
          <w:sz w:val="32"/>
          <w:szCs w:val="28"/>
          <w:u w:val="single"/>
          <w:rtl/>
        </w:rPr>
        <w:t xml:space="preserve">שו"ע: </w:t>
      </w:r>
    </w:p>
    <w:p w14:paraId="46F87598" w14:textId="77777777" w:rsidR="004B607F" w:rsidRPr="00845316" w:rsidRDefault="004B607F" w:rsidP="004B607F">
      <w:pPr>
        <w:rPr>
          <w:rFonts w:asciiTheme="minorBidi" w:hAnsiTheme="minorBidi"/>
          <w:rtl/>
        </w:rPr>
      </w:pPr>
      <w:r w:rsidRPr="00845316">
        <w:rPr>
          <w:rFonts w:asciiTheme="minorBidi" w:hAnsiTheme="minorBidi"/>
          <w:rtl/>
        </w:rPr>
        <w:t>לוה שהעיד על המלוה שהלוה לו ברבית ויש עד אחד עמו מצטרפין לפסלו</w:t>
      </w:r>
      <w:r>
        <w:rPr>
          <w:rFonts w:asciiTheme="minorBidi" w:hAnsiTheme="minorBidi" w:hint="cs"/>
          <w:rtl/>
        </w:rPr>
        <w:t>,</w:t>
      </w:r>
      <w:r w:rsidRPr="00845316">
        <w:rPr>
          <w:rFonts w:asciiTheme="minorBidi" w:hAnsiTheme="minorBidi"/>
          <w:rtl/>
        </w:rPr>
        <w:t xml:space="preserve"> אף על פי שעושה עצמו רשע פלגינן דבוריה</w:t>
      </w:r>
      <w:r w:rsidRPr="00845316">
        <w:rPr>
          <w:rStyle w:val="ab"/>
          <w:rFonts w:asciiTheme="minorBidi" w:hAnsiTheme="minorBidi"/>
          <w:rtl/>
        </w:rPr>
        <w:footnoteReference w:id="2388"/>
      </w:r>
      <w:r w:rsidRPr="00845316">
        <w:rPr>
          <w:rFonts w:asciiTheme="minorBidi" w:hAnsiTheme="minorBidi"/>
          <w:rtl/>
        </w:rPr>
        <w:t xml:space="preserve"> ומאמינים אותו לגבי מלוה ולא לגבי עצמו. וכן אם העיד שפלוני רבעו אפילו לרצונו או שבא על אשתו</w:t>
      </w:r>
      <w:r w:rsidRPr="00845316">
        <w:rPr>
          <w:rStyle w:val="ab"/>
          <w:rFonts w:asciiTheme="minorBidi" w:hAnsiTheme="minorBidi"/>
          <w:rtl/>
        </w:rPr>
        <w:footnoteReference w:id="2389"/>
      </w:r>
      <w:r w:rsidRPr="00845316">
        <w:rPr>
          <w:rFonts w:asciiTheme="minorBidi" w:hAnsiTheme="minorBidi"/>
          <w:rtl/>
        </w:rPr>
        <w:t xml:space="preserve"> או שרבע שורו</w:t>
      </w:r>
      <w:r w:rsidRPr="00845316">
        <w:rPr>
          <w:rStyle w:val="ab"/>
          <w:rFonts w:asciiTheme="minorBidi" w:hAnsiTheme="minorBidi"/>
          <w:rtl/>
        </w:rPr>
        <w:footnoteReference w:id="2390"/>
      </w:r>
      <w:r w:rsidRPr="00845316">
        <w:rPr>
          <w:rFonts w:asciiTheme="minorBidi" w:hAnsiTheme="minorBidi"/>
          <w:rtl/>
        </w:rPr>
        <w:t xml:space="preserve">, הוא ואחר מצטרפין לפסלו. </w:t>
      </w:r>
      <w:r w:rsidRPr="00845316">
        <w:rPr>
          <w:rFonts w:asciiTheme="minorBidi" w:hAnsiTheme="minorBidi"/>
          <w:sz w:val="18"/>
          <w:szCs w:val="18"/>
          <w:rtl/>
        </w:rPr>
        <w:t>הגה: וה"ה שהנגזל יכול להעיד על הגזלן</w:t>
      </w:r>
      <w:r>
        <w:rPr>
          <w:rFonts w:asciiTheme="minorBidi" w:hAnsiTheme="minorBidi" w:hint="cs"/>
          <w:sz w:val="18"/>
          <w:szCs w:val="18"/>
          <w:rtl/>
        </w:rPr>
        <w:t>,</w:t>
      </w:r>
      <w:r w:rsidRPr="00845316">
        <w:rPr>
          <w:rFonts w:asciiTheme="minorBidi" w:hAnsiTheme="minorBidi"/>
          <w:sz w:val="18"/>
          <w:szCs w:val="18"/>
          <w:rtl/>
        </w:rPr>
        <w:t xml:space="preserve"> כמו הלוה על המלוה</w:t>
      </w:r>
      <w:r>
        <w:rPr>
          <w:rFonts w:asciiTheme="minorBidi" w:hAnsiTheme="minorBidi" w:hint="cs"/>
          <w:sz w:val="18"/>
          <w:szCs w:val="18"/>
          <w:rtl/>
        </w:rPr>
        <w:t>,</w:t>
      </w:r>
      <w:r w:rsidRPr="00845316">
        <w:rPr>
          <w:rFonts w:asciiTheme="minorBidi" w:hAnsiTheme="minorBidi"/>
          <w:sz w:val="18"/>
          <w:szCs w:val="18"/>
          <w:rtl/>
        </w:rPr>
        <w:t xml:space="preserve"> ובלבד שלא יהא להם הנאה מעדותן (מרדכי). </w:t>
      </w:r>
    </w:p>
    <w:p w14:paraId="44C422F5" w14:textId="77777777" w:rsidR="004B607F" w:rsidRPr="00845316" w:rsidRDefault="004B607F" w:rsidP="004B607F">
      <w:pPr>
        <w:rPr>
          <w:rFonts w:asciiTheme="minorBidi" w:hAnsiTheme="minorBidi"/>
          <w:rtl/>
        </w:rPr>
      </w:pPr>
    </w:p>
    <w:p w14:paraId="337DE992" w14:textId="77777777" w:rsidR="004B607F" w:rsidRPr="00845316" w:rsidRDefault="004B607F" w:rsidP="004B607F">
      <w:pPr>
        <w:pStyle w:val="2"/>
        <w:rPr>
          <w:rFonts w:asciiTheme="minorBidi" w:hAnsiTheme="minorBidi"/>
          <w:rtl/>
        </w:rPr>
      </w:pPr>
      <w:bookmarkStart w:id="316" w:name="_Toc24883774"/>
      <w:r w:rsidRPr="00845316">
        <w:rPr>
          <w:rFonts w:asciiTheme="minorBidi" w:hAnsiTheme="minorBidi"/>
          <w:rtl/>
        </w:rPr>
        <w:t>סעיף כז: פסילת הנשבע להכחיש.</w:t>
      </w:r>
      <w:bookmarkEnd w:id="316"/>
    </w:p>
    <w:p w14:paraId="00765458" w14:textId="77777777" w:rsidR="004B607F" w:rsidRPr="00845316" w:rsidRDefault="004B607F" w:rsidP="004B607F">
      <w:pPr>
        <w:rPr>
          <w:rFonts w:asciiTheme="minorBidi" w:hAnsiTheme="minorBidi"/>
          <w:rtl/>
        </w:rPr>
      </w:pPr>
      <w:r w:rsidRPr="00845316">
        <w:rPr>
          <w:rFonts w:asciiTheme="minorBidi" w:hAnsiTheme="minorBidi"/>
          <w:b/>
          <w:bCs/>
          <w:rtl/>
        </w:rPr>
        <w:t xml:space="preserve">סנהדרין כה ע"א: </w:t>
      </w:r>
      <w:r w:rsidRPr="00845316">
        <w:rPr>
          <w:rFonts w:asciiTheme="minorBidi" w:hAnsiTheme="minorBidi"/>
          <w:rtl/>
        </w:rPr>
        <w:t xml:space="preserve">מלוה ברבית. </w:t>
      </w:r>
      <w:r w:rsidRPr="00845316">
        <w:rPr>
          <w:rFonts w:asciiTheme="minorBidi" w:hAnsiTheme="minorBidi"/>
          <w:u w:val="single"/>
          <w:rtl/>
        </w:rPr>
        <w:t>אמר רבא</w:t>
      </w:r>
      <w:r w:rsidRPr="00845316">
        <w:rPr>
          <w:rFonts w:asciiTheme="minorBidi" w:hAnsiTheme="minorBidi"/>
          <w:rtl/>
        </w:rPr>
        <w:t>: לוה ברבית</w:t>
      </w:r>
      <w:r>
        <w:rPr>
          <w:rFonts w:asciiTheme="minorBidi" w:hAnsiTheme="minorBidi" w:hint="cs"/>
          <w:rtl/>
        </w:rPr>
        <w:t xml:space="preserve"> </w:t>
      </w:r>
      <w:r w:rsidRPr="00845316">
        <w:rPr>
          <w:rFonts w:asciiTheme="minorBidi" w:hAnsiTheme="minorBidi"/>
          <w:rtl/>
        </w:rPr>
        <w:t>- פסול לעדות. והאנן תנן: מלוה ברבית! מלוה הבאה ברבית</w:t>
      </w:r>
      <w:r w:rsidRPr="00845316">
        <w:rPr>
          <w:rStyle w:val="ab"/>
          <w:rFonts w:asciiTheme="minorBidi" w:hAnsiTheme="minorBidi"/>
          <w:rtl/>
        </w:rPr>
        <w:footnoteReference w:id="2391"/>
      </w:r>
      <w:r w:rsidRPr="00845316">
        <w:rPr>
          <w:rFonts w:asciiTheme="minorBidi" w:hAnsiTheme="minorBidi"/>
          <w:rtl/>
        </w:rPr>
        <w:t>. בר ביניתוס אסהידו ביה תרי סהדי, חד אמר: קמי דידי אוזיף ברביתא, וחד אמר: לדידי אוזפי ברביתא. פסליה רבא לבר ביניתוס.</w:t>
      </w:r>
    </w:p>
    <w:p w14:paraId="568E6053" w14:textId="77777777" w:rsidR="004B607F" w:rsidRPr="00845316" w:rsidRDefault="004B607F" w:rsidP="004B607F">
      <w:pPr>
        <w:rPr>
          <w:rFonts w:asciiTheme="minorBidi" w:hAnsiTheme="minorBidi"/>
          <w:rtl/>
        </w:rPr>
      </w:pPr>
      <w:r w:rsidRPr="00845316">
        <w:rPr>
          <w:rFonts w:asciiTheme="minorBidi" w:hAnsiTheme="minorBidi"/>
          <w:b/>
          <w:bCs/>
          <w:rtl/>
        </w:rPr>
        <w:t>סנהדרין כז</w:t>
      </w:r>
      <w:r>
        <w:rPr>
          <w:rStyle w:val="ab"/>
          <w:rFonts w:asciiTheme="minorBidi" w:hAnsiTheme="minorBidi"/>
          <w:b/>
          <w:bCs/>
          <w:rtl/>
        </w:rPr>
        <w:footnoteReference w:id="2392"/>
      </w:r>
      <w:r w:rsidRPr="00845316">
        <w:rPr>
          <w:rFonts w:asciiTheme="minorBidi" w:hAnsiTheme="minorBidi"/>
          <w:b/>
          <w:bCs/>
          <w:rtl/>
        </w:rPr>
        <w:t xml:space="preserve"> ע"א: </w:t>
      </w:r>
      <w:r w:rsidRPr="00845316">
        <w:rPr>
          <w:rFonts w:asciiTheme="minorBidi" w:hAnsiTheme="minorBidi"/>
          <w:rtl/>
        </w:rPr>
        <w:t xml:space="preserve">בר חמא קטל נפשא, </w:t>
      </w:r>
      <w:r w:rsidRPr="00845316">
        <w:rPr>
          <w:rFonts w:asciiTheme="minorBidi" w:hAnsiTheme="minorBidi"/>
          <w:u w:val="single"/>
          <w:rtl/>
        </w:rPr>
        <w:t>אמר ליה ריש גלותא לרב אבא בר יעקב</w:t>
      </w:r>
      <w:r w:rsidRPr="00845316">
        <w:rPr>
          <w:rFonts w:asciiTheme="minorBidi" w:hAnsiTheme="minorBidi"/>
          <w:rtl/>
        </w:rPr>
        <w:t xml:space="preserve">: פוק עיין בה, אי ודאי קטל - ליכהיוהו לעיניה. אתו תרי סהדי אסהידו ביה דודאי קטל. אזל איהו אייתי תרי סהדי, אסהידו ביה בחד מהנך, חד אמר: </w:t>
      </w:r>
      <w:r w:rsidRPr="00845316">
        <w:rPr>
          <w:rFonts w:asciiTheme="minorBidi" w:hAnsiTheme="minorBidi"/>
          <w:rtl/>
        </w:rPr>
        <w:lastRenderedPageBreak/>
        <w:t xml:space="preserve">קמאי דידי גנב קבא דחושלא, וחד אמר: </w:t>
      </w:r>
      <w:r w:rsidRPr="00845316">
        <w:rPr>
          <w:rStyle w:val="ab"/>
          <w:rFonts w:asciiTheme="minorBidi" w:hAnsiTheme="minorBidi"/>
          <w:rtl/>
        </w:rPr>
        <w:footnoteReference w:id="2393"/>
      </w:r>
      <w:r w:rsidRPr="00845316">
        <w:rPr>
          <w:rFonts w:asciiTheme="minorBidi" w:hAnsiTheme="minorBidi"/>
          <w:rtl/>
        </w:rPr>
        <w:t>קמאי דידי גנב קתא דבורטיא... קם בר חמא נשקיה אכרעיה</w:t>
      </w:r>
      <w:r w:rsidRPr="00845316">
        <w:rPr>
          <w:rStyle w:val="ab"/>
          <w:rFonts w:asciiTheme="minorBidi" w:hAnsiTheme="minorBidi"/>
          <w:rtl/>
        </w:rPr>
        <w:footnoteReference w:id="2394"/>
      </w:r>
      <w:r w:rsidRPr="00845316">
        <w:rPr>
          <w:rFonts w:asciiTheme="minorBidi" w:hAnsiTheme="minorBidi"/>
          <w:rtl/>
        </w:rPr>
        <w:t>, וקבליה לכרגיה דכולי שניה</w:t>
      </w:r>
      <w:r w:rsidRPr="00845316">
        <w:rPr>
          <w:rStyle w:val="ab"/>
          <w:rFonts w:asciiTheme="minorBidi" w:hAnsiTheme="minorBidi"/>
          <w:rtl/>
        </w:rPr>
        <w:footnoteReference w:id="2395"/>
      </w:r>
      <w:r w:rsidRPr="00845316">
        <w:rPr>
          <w:rFonts w:asciiTheme="minorBidi" w:hAnsiTheme="minorBidi"/>
          <w:rtl/>
        </w:rPr>
        <w:t xml:space="preserve">. </w:t>
      </w:r>
    </w:p>
    <w:p w14:paraId="2F123E60" w14:textId="77777777" w:rsidR="004B607F" w:rsidRPr="00845316" w:rsidRDefault="004B607F" w:rsidP="004B607F">
      <w:pPr>
        <w:rPr>
          <w:rFonts w:asciiTheme="minorBidi" w:hAnsiTheme="minorBidi"/>
          <w:u w:val="single"/>
          <w:rtl/>
        </w:rPr>
      </w:pPr>
      <w:bookmarkStart w:id="317" w:name="_Hlk19736711"/>
      <w:r w:rsidRPr="00845316">
        <w:rPr>
          <w:rFonts w:asciiTheme="minorBidi" w:hAnsiTheme="minorBidi"/>
          <w:u w:val="single"/>
          <w:rtl/>
        </w:rPr>
        <w:t xml:space="preserve">הנשבע שבועת הכחשה להכחיש העד, האם העד ובעל הדין </w:t>
      </w:r>
      <w:r w:rsidRPr="00845316">
        <w:rPr>
          <w:rFonts w:asciiTheme="minorBidi" w:hAnsiTheme="minorBidi"/>
          <w:sz w:val="16"/>
          <w:szCs w:val="16"/>
          <w:u w:val="single"/>
          <w:rtl/>
        </w:rPr>
        <w:t xml:space="preserve">(או ב' בעלי דין) </w:t>
      </w:r>
      <w:r w:rsidRPr="00845316">
        <w:rPr>
          <w:rFonts w:asciiTheme="minorBidi" w:hAnsiTheme="minorBidi"/>
          <w:u w:val="single"/>
          <w:rtl/>
        </w:rPr>
        <w:t>יכולים להצטרף ולהעיד עליו לפוסלו:</w:t>
      </w:r>
    </w:p>
    <w:p w14:paraId="69EFAF3B" w14:textId="77777777" w:rsidR="004B607F" w:rsidRPr="00845316" w:rsidRDefault="004B607F" w:rsidP="004B0475">
      <w:pPr>
        <w:pStyle w:val="ac"/>
        <w:numPr>
          <w:ilvl w:val="0"/>
          <w:numId w:val="177"/>
        </w:numPr>
        <w:rPr>
          <w:rFonts w:asciiTheme="minorBidi" w:hAnsiTheme="minorBidi"/>
        </w:rPr>
      </w:pPr>
      <w:r w:rsidRPr="00845316">
        <w:rPr>
          <w:rFonts w:asciiTheme="minorBidi" w:hAnsiTheme="minorBidi"/>
          <w:rtl/>
        </w:rPr>
        <w:t>רשב"א</w:t>
      </w:r>
      <w:r w:rsidRPr="00845316">
        <w:rPr>
          <w:rStyle w:val="ab"/>
          <w:rFonts w:asciiTheme="minorBidi" w:hAnsiTheme="minorBidi"/>
          <w:rtl/>
        </w:rPr>
        <w:footnoteReference w:id="2396"/>
      </w:r>
      <w:r w:rsidRPr="00845316">
        <w:rPr>
          <w:rFonts w:asciiTheme="minorBidi" w:hAnsiTheme="minorBidi"/>
          <w:rtl/>
        </w:rPr>
        <w:t>- גם בעל דין ועד וגם שני בעלי דין מצטרפים לפסול הנשבע להכחיש בתנאי שהוא קודם שנשבע</w:t>
      </w:r>
      <w:r>
        <w:rPr>
          <w:rFonts w:asciiTheme="minorBidi" w:hAnsiTheme="minorBidi" w:hint="cs"/>
          <w:rtl/>
        </w:rPr>
        <w:t>.</w:t>
      </w:r>
      <w:r w:rsidRPr="00845316">
        <w:rPr>
          <w:rFonts w:asciiTheme="minorBidi" w:hAnsiTheme="minorBidi"/>
          <w:rtl/>
        </w:rPr>
        <w:t xml:space="preserve"> אבל אם כבר נשבע אז אפילו עד ובעל דין לא מצטרפים, דכיון שהאמינתו תורה להכחיש עד אחד שוב אין אותו העד נאמן לפוסלו מחמת שנשבע להכחיש</w:t>
      </w:r>
      <w:r w:rsidRPr="00845316">
        <w:rPr>
          <w:rStyle w:val="ab"/>
          <w:rFonts w:asciiTheme="minorBidi" w:hAnsiTheme="minorBidi"/>
          <w:rtl/>
        </w:rPr>
        <w:footnoteReference w:id="2397"/>
      </w:r>
      <w:r>
        <w:rPr>
          <w:rFonts w:asciiTheme="minorBidi" w:hAnsiTheme="minorBidi" w:hint="cs"/>
          <w:rtl/>
        </w:rPr>
        <w:t>.</w:t>
      </w:r>
      <w:r w:rsidRPr="00845316">
        <w:rPr>
          <w:rFonts w:asciiTheme="minorBidi" w:hAnsiTheme="minorBidi"/>
          <w:rtl/>
        </w:rPr>
        <w:t xml:space="preserve"> (וכ"פ הב"ח)</w:t>
      </w:r>
    </w:p>
    <w:p w14:paraId="2B2259C7" w14:textId="77777777" w:rsidR="004B607F" w:rsidRDefault="004B607F" w:rsidP="004B0475">
      <w:pPr>
        <w:pStyle w:val="ac"/>
        <w:numPr>
          <w:ilvl w:val="0"/>
          <w:numId w:val="177"/>
        </w:numPr>
        <w:rPr>
          <w:rFonts w:asciiTheme="minorBidi" w:hAnsiTheme="minorBidi"/>
        </w:rPr>
      </w:pPr>
      <w:r w:rsidRPr="00845316">
        <w:rPr>
          <w:rFonts w:asciiTheme="minorBidi" w:hAnsiTheme="minorBidi"/>
          <w:rtl/>
        </w:rPr>
        <w:t>ה"ר יקר</w:t>
      </w:r>
      <w:r w:rsidRPr="00845316">
        <w:rPr>
          <w:rStyle w:val="ab"/>
          <w:rFonts w:asciiTheme="minorBidi" w:hAnsiTheme="minorBidi"/>
          <w:rtl/>
        </w:rPr>
        <w:footnoteReference w:id="2398"/>
      </w:r>
      <w:r w:rsidRPr="00845316">
        <w:rPr>
          <w:rFonts w:asciiTheme="minorBidi" w:hAnsiTheme="minorBidi"/>
          <w:rtl/>
        </w:rPr>
        <w:t xml:space="preserve">- </w:t>
      </w:r>
      <w:r>
        <w:rPr>
          <w:rFonts w:asciiTheme="minorBidi" w:hAnsiTheme="minorBidi" w:hint="cs"/>
          <w:rtl/>
        </w:rPr>
        <w:t>מי שתבעוהו שנים לדין בין בבת אחת בין בזה אחר זה ונשבע להם - יכולין להעיד ולפוסלו</w:t>
      </w:r>
      <w:r w:rsidRPr="00845316">
        <w:rPr>
          <w:rStyle w:val="ab"/>
          <w:rFonts w:asciiTheme="minorBidi" w:hAnsiTheme="minorBidi"/>
          <w:rtl/>
        </w:rPr>
        <w:footnoteReference w:id="2399"/>
      </w:r>
      <w:r>
        <w:rPr>
          <w:rFonts w:asciiTheme="minorBidi" w:hAnsiTheme="minorBidi" w:hint="cs"/>
          <w:sz w:val="16"/>
          <w:szCs w:val="16"/>
          <w:rtl/>
        </w:rPr>
        <w:t xml:space="preserve"> (ל' המרדכי בשם ה"ר יקר)</w:t>
      </w:r>
      <w:r w:rsidRPr="00845316">
        <w:rPr>
          <w:rFonts w:asciiTheme="minorBidi" w:hAnsiTheme="minorBidi"/>
          <w:rtl/>
        </w:rPr>
        <w:t>.</w:t>
      </w:r>
    </w:p>
    <w:p w14:paraId="5FDAFDFC" w14:textId="77777777" w:rsidR="004B607F" w:rsidRPr="00845316" w:rsidRDefault="004B607F" w:rsidP="004B0475">
      <w:pPr>
        <w:pStyle w:val="ac"/>
        <w:numPr>
          <w:ilvl w:val="0"/>
          <w:numId w:val="177"/>
        </w:numPr>
        <w:rPr>
          <w:rFonts w:asciiTheme="minorBidi" w:hAnsiTheme="minorBidi"/>
        </w:rPr>
      </w:pPr>
      <w:r w:rsidRPr="00845316">
        <w:rPr>
          <w:rFonts w:asciiTheme="minorBidi" w:hAnsiTheme="minorBidi"/>
          <w:rtl/>
        </w:rPr>
        <w:t>רמ"ה</w:t>
      </w:r>
      <w:r w:rsidRPr="00845316">
        <w:rPr>
          <w:rStyle w:val="ab"/>
          <w:rFonts w:asciiTheme="minorBidi" w:hAnsiTheme="minorBidi"/>
          <w:rtl/>
        </w:rPr>
        <w:footnoteReference w:id="2400"/>
      </w:r>
      <w:r w:rsidRPr="00845316">
        <w:rPr>
          <w:rFonts w:asciiTheme="minorBidi" w:hAnsiTheme="minorBidi"/>
          <w:rtl/>
        </w:rPr>
        <w:t>- בעל דין ועד מצטרפים לפסול את אותו שנשבע</w:t>
      </w:r>
      <w:r>
        <w:rPr>
          <w:rFonts w:asciiTheme="minorBidi" w:hAnsiTheme="minorBidi" w:hint="cs"/>
          <w:rtl/>
        </w:rPr>
        <w:t>.</w:t>
      </w:r>
      <w:r w:rsidRPr="00845316">
        <w:rPr>
          <w:rFonts w:asciiTheme="minorBidi" w:hAnsiTheme="minorBidi"/>
          <w:rtl/>
        </w:rPr>
        <w:t xml:space="preserve"> אבל שני בעלי דין שנשבע להם אין מצטרפין לפסלו.</w:t>
      </w:r>
    </w:p>
    <w:p w14:paraId="6F4E8C74" w14:textId="77777777" w:rsidR="004B607F" w:rsidRPr="00845316" w:rsidRDefault="004B607F" w:rsidP="004B607F">
      <w:pPr>
        <w:rPr>
          <w:rFonts w:asciiTheme="minorBidi" w:hAnsiTheme="minorBidi"/>
          <w:u w:val="single"/>
          <w:rtl/>
        </w:rPr>
      </w:pPr>
      <w:bookmarkStart w:id="318" w:name="_Hlk19736825"/>
      <w:bookmarkEnd w:id="317"/>
      <w:r w:rsidRPr="00845316">
        <w:rPr>
          <w:rFonts w:asciiTheme="minorBidi" w:hAnsiTheme="minorBidi"/>
          <w:u w:val="single"/>
          <w:rtl/>
        </w:rPr>
        <w:t>הנשבע להכחיש שנשבע לשקר, ממתי נפסל - משעה שנשבע לשקר בב"ד או משעה שמעידים עליו:</w:t>
      </w:r>
    </w:p>
    <w:p w14:paraId="336F2B2A" w14:textId="77777777" w:rsidR="004B607F" w:rsidRPr="00845316" w:rsidRDefault="004B607F" w:rsidP="004B0475">
      <w:pPr>
        <w:pStyle w:val="ac"/>
        <w:numPr>
          <w:ilvl w:val="0"/>
          <w:numId w:val="178"/>
        </w:numPr>
        <w:rPr>
          <w:rFonts w:asciiTheme="minorBidi" w:hAnsiTheme="minorBidi"/>
          <w:rtl/>
        </w:rPr>
      </w:pPr>
      <w:r w:rsidRPr="00845316">
        <w:rPr>
          <w:rFonts w:asciiTheme="minorBidi" w:hAnsiTheme="minorBidi"/>
          <w:rtl/>
        </w:rPr>
        <w:t xml:space="preserve">ריב"א </w:t>
      </w:r>
      <w:r w:rsidRPr="00845316">
        <w:rPr>
          <w:rFonts w:asciiTheme="minorBidi" w:hAnsiTheme="minorBidi"/>
          <w:sz w:val="16"/>
          <w:szCs w:val="16"/>
          <w:rtl/>
        </w:rPr>
        <w:t>(הביאו המרדכי סי תרצג)</w:t>
      </w:r>
      <w:r w:rsidRPr="00845316">
        <w:rPr>
          <w:rFonts w:asciiTheme="minorBidi" w:hAnsiTheme="minorBidi"/>
          <w:rtl/>
        </w:rPr>
        <w:t xml:space="preserve">- משעה שנשבע להכחיש נפסל לאלתר מכאן ולהבא </w:t>
      </w:r>
      <w:r w:rsidRPr="00845316">
        <w:rPr>
          <w:rFonts w:asciiTheme="minorBidi" w:hAnsiTheme="minorBidi"/>
          <w:sz w:val="16"/>
          <w:szCs w:val="16"/>
          <w:rtl/>
        </w:rPr>
        <w:t>(אע"פ שפטר עצמו בשבועתו)</w:t>
      </w:r>
      <w:r w:rsidRPr="00845316">
        <w:rPr>
          <w:rFonts w:asciiTheme="minorBidi" w:hAnsiTheme="minorBidi"/>
          <w:rtl/>
        </w:rPr>
        <w:t>, ודוקא בפקדון אבל לא במלוה</w:t>
      </w:r>
      <w:r w:rsidRPr="00845316">
        <w:rPr>
          <w:rStyle w:val="ab"/>
          <w:rFonts w:asciiTheme="minorBidi" w:hAnsiTheme="minorBidi"/>
          <w:rtl/>
        </w:rPr>
        <w:footnoteReference w:id="2401"/>
      </w:r>
      <w:r w:rsidRPr="00845316">
        <w:rPr>
          <w:rFonts w:asciiTheme="minorBidi" w:hAnsiTheme="minorBidi"/>
          <w:rtl/>
        </w:rPr>
        <w:t xml:space="preserve">. </w:t>
      </w:r>
    </w:p>
    <w:p w14:paraId="4AD7A8D3" w14:textId="77777777" w:rsidR="004B607F" w:rsidRPr="00845316" w:rsidRDefault="004B607F" w:rsidP="004B0475">
      <w:pPr>
        <w:pStyle w:val="ac"/>
        <w:numPr>
          <w:ilvl w:val="0"/>
          <w:numId w:val="178"/>
        </w:numPr>
        <w:rPr>
          <w:rFonts w:asciiTheme="minorBidi" w:hAnsiTheme="minorBidi"/>
          <w:rtl/>
        </w:rPr>
      </w:pPr>
      <w:r w:rsidRPr="00845316">
        <w:rPr>
          <w:rFonts w:asciiTheme="minorBidi" w:hAnsiTheme="minorBidi"/>
          <w:rtl/>
        </w:rPr>
        <w:t>רא"ש</w:t>
      </w:r>
      <w:r w:rsidRPr="00845316">
        <w:rPr>
          <w:rStyle w:val="ab"/>
          <w:rFonts w:asciiTheme="minorBidi" w:hAnsiTheme="minorBidi"/>
          <w:rtl/>
        </w:rPr>
        <w:footnoteReference w:id="2402"/>
      </w:r>
      <w:r w:rsidRPr="00845316">
        <w:rPr>
          <w:rFonts w:asciiTheme="minorBidi" w:hAnsiTheme="minorBidi"/>
          <w:rtl/>
        </w:rPr>
        <w:t>- כשיעידו שניהם בפני בית דין ויאמרו אנו מעידים על זה שעבר על שבועתו מאז והלאה הוא נפסל</w:t>
      </w:r>
      <w:r w:rsidRPr="00845316">
        <w:rPr>
          <w:rStyle w:val="ab"/>
          <w:rFonts w:asciiTheme="minorBidi" w:hAnsiTheme="minorBidi"/>
          <w:rtl/>
        </w:rPr>
        <w:footnoteReference w:id="2403"/>
      </w:r>
      <w:r w:rsidRPr="00845316">
        <w:rPr>
          <w:rFonts w:asciiTheme="minorBidi" w:hAnsiTheme="minorBidi"/>
          <w:rtl/>
        </w:rPr>
        <w:t>.</w:t>
      </w:r>
    </w:p>
    <w:bookmarkEnd w:id="318"/>
    <w:p w14:paraId="4E7473D4" w14:textId="77777777" w:rsidR="004B607F" w:rsidRPr="00845316" w:rsidRDefault="004B607F" w:rsidP="004B607F">
      <w:pPr>
        <w:rPr>
          <w:rFonts w:asciiTheme="minorBidi" w:hAnsiTheme="minorBidi"/>
          <w:u w:val="single"/>
          <w:rtl/>
        </w:rPr>
      </w:pPr>
      <w:r w:rsidRPr="00845316">
        <w:rPr>
          <w:rFonts w:asciiTheme="minorBidi" w:hAnsiTheme="minorBidi"/>
          <w:u w:val="single"/>
          <w:rtl/>
        </w:rPr>
        <w:t>לוה שנשבע לפרוע לזמן מסויים ועבר הזמן ולא פרע, והמלוה טענו שעבר על שבועתו, והלוה טוען שהאריך לו:</w:t>
      </w:r>
    </w:p>
    <w:p w14:paraId="648C694D" w14:textId="77777777" w:rsidR="004B607F" w:rsidRPr="00845316" w:rsidRDefault="004B607F" w:rsidP="004B0475">
      <w:pPr>
        <w:pStyle w:val="ac"/>
        <w:numPr>
          <w:ilvl w:val="0"/>
          <w:numId w:val="179"/>
        </w:numPr>
        <w:rPr>
          <w:rFonts w:asciiTheme="minorBidi" w:hAnsiTheme="minorBidi"/>
        </w:rPr>
      </w:pPr>
      <w:r w:rsidRPr="00845316">
        <w:rPr>
          <w:rFonts w:asciiTheme="minorBidi" w:hAnsiTheme="minorBidi"/>
          <w:rtl/>
        </w:rPr>
        <w:t xml:space="preserve">רשב"א </w:t>
      </w:r>
      <w:r w:rsidRPr="00845316">
        <w:rPr>
          <w:rFonts w:asciiTheme="minorBidi" w:hAnsiTheme="minorBidi"/>
          <w:sz w:val="16"/>
          <w:szCs w:val="16"/>
          <w:rtl/>
        </w:rPr>
        <w:t>(ח"א סי' אלף יח)</w:t>
      </w:r>
      <w:r w:rsidRPr="00845316">
        <w:rPr>
          <w:rFonts w:asciiTheme="minorBidi" w:hAnsiTheme="minorBidi"/>
          <w:rtl/>
        </w:rPr>
        <w:t>- אין אדם נפסל ע"פ עד אחד ולא עוד אלא אפילו המלוים שנים אינו נפסל על פיהם דנוגעים בעדותם הם, לכן הכופר במלוה אפילו במלוה שיש לשנים עליו אינו נפסל, ולא עוד אלא אפילו העידו העדים שלא האריכו המלוה</w:t>
      </w:r>
      <w:r w:rsidRPr="00845316">
        <w:rPr>
          <w:rFonts w:asciiTheme="minorBidi" w:hAnsiTheme="minorBidi"/>
          <w:sz w:val="16"/>
          <w:szCs w:val="16"/>
          <w:rtl/>
        </w:rPr>
        <w:t xml:space="preserve"> (וכגון שלא זזה ידם מתוך ידו) </w:t>
      </w:r>
      <w:r w:rsidRPr="00845316">
        <w:rPr>
          <w:rFonts w:asciiTheme="minorBidi" w:hAnsiTheme="minorBidi"/>
          <w:rtl/>
        </w:rPr>
        <w:t xml:space="preserve">אינו נפסל </w:t>
      </w:r>
      <w:r w:rsidRPr="00845316">
        <w:rPr>
          <w:rFonts w:asciiTheme="minorBidi" w:hAnsiTheme="minorBidi"/>
          <w:sz w:val="16"/>
          <w:szCs w:val="16"/>
          <w:rtl/>
        </w:rPr>
        <w:t>(די"ל אנוס היה ולא אתרמו ליה זוזי (ב"מ ה:))</w:t>
      </w:r>
      <w:r w:rsidRPr="00845316">
        <w:rPr>
          <w:rFonts w:asciiTheme="minorBidi" w:hAnsiTheme="minorBidi"/>
          <w:rtl/>
        </w:rPr>
        <w:t>.</w:t>
      </w:r>
    </w:p>
    <w:p w14:paraId="79B08E47" w14:textId="77777777" w:rsidR="004B607F" w:rsidRPr="00845316" w:rsidRDefault="004B607F" w:rsidP="004B607F">
      <w:pPr>
        <w:rPr>
          <w:rFonts w:asciiTheme="minorBidi" w:hAnsiTheme="minorBidi"/>
          <w:u w:val="single"/>
          <w:rtl/>
        </w:rPr>
      </w:pPr>
      <w:r w:rsidRPr="00845316">
        <w:rPr>
          <w:rFonts w:asciiTheme="minorBidi" w:hAnsiTheme="minorBidi"/>
          <w:u w:val="single"/>
          <w:rtl/>
        </w:rPr>
        <w:t xml:space="preserve">אדם שלוה משנים </w:t>
      </w:r>
      <w:r w:rsidRPr="00845316">
        <w:rPr>
          <w:rFonts w:asciiTheme="minorBidi" w:hAnsiTheme="minorBidi"/>
          <w:b/>
          <w:bCs/>
          <w:u w:val="single"/>
          <w:rtl/>
        </w:rPr>
        <w:t>בשטר</w:t>
      </w:r>
      <w:r w:rsidRPr="00845316">
        <w:rPr>
          <w:rFonts w:asciiTheme="minorBidi" w:hAnsiTheme="minorBidi"/>
          <w:u w:val="single"/>
          <w:rtl/>
        </w:rPr>
        <w:t xml:space="preserve"> ובשבועה ועבר הזמן ולא פרע, והם טוענים שעבר על שבועתו, והלוה טוען שהאריכו לו:</w:t>
      </w:r>
    </w:p>
    <w:p w14:paraId="054F3BCC" w14:textId="77777777" w:rsidR="004B607F" w:rsidRPr="00845316" w:rsidRDefault="004B607F" w:rsidP="004B0475">
      <w:pPr>
        <w:pStyle w:val="ac"/>
        <w:numPr>
          <w:ilvl w:val="0"/>
          <w:numId w:val="179"/>
        </w:numPr>
        <w:rPr>
          <w:rFonts w:asciiTheme="minorBidi" w:hAnsiTheme="minorBidi"/>
        </w:rPr>
      </w:pPr>
      <w:r w:rsidRPr="00845316">
        <w:rPr>
          <w:rFonts w:asciiTheme="minorBidi" w:hAnsiTheme="minorBidi"/>
          <w:rtl/>
        </w:rPr>
        <w:t xml:space="preserve">רשב"א </w:t>
      </w:r>
      <w:r w:rsidRPr="00845316">
        <w:rPr>
          <w:rFonts w:asciiTheme="minorBidi" w:hAnsiTheme="minorBidi"/>
          <w:sz w:val="16"/>
          <w:szCs w:val="16"/>
          <w:rtl/>
        </w:rPr>
        <w:t>(ח"ג סי' צד)</w:t>
      </w:r>
      <w:r w:rsidRPr="00845316">
        <w:rPr>
          <w:rFonts w:asciiTheme="minorBidi" w:hAnsiTheme="minorBidi"/>
          <w:rtl/>
        </w:rPr>
        <w:t>- אין אלו נוגעים בעדות, דמה יש להם בעדות זו והרי שטר השבועה בידם והזמן עבר, וכן מה יש להם הנאה לפוסלו, לפיכך, לגבי פריעת הממון- יפרע או יביא ראיה שהם האריכוהו כמו שטוען, ולגבי פסילתו לעדות- חלוקים בזה גדולי המורים, שיש מגדולי החכמים אומרים שאינו נעשה חשוד אלא כשבשעה שנשבע יצתה שבועה מפיו לשקר.</w:t>
      </w:r>
    </w:p>
    <w:p w14:paraId="4BB5BA47" w14:textId="77777777" w:rsidR="004B607F" w:rsidRPr="00845316" w:rsidRDefault="004B607F" w:rsidP="004B607F">
      <w:pPr>
        <w:rPr>
          <w:rFonts w:asciiTheme="minorBidi" w:hAnsiTheme="minorBidi"/>
          <w:u w:val="single"/>
        </w:rPr>
      </w:pPr>
      <w:r w:rsidRPr="00845316">
        <w:rPr>
          <w:rFonts w:asciiTheme="minorBidi" w:hAnsiTheme="minorBidi"/>
          <w:u w:val="single"/>
          <w:rtl/>
        </w:rPr>
        <w:t>ראובן נשבע לאשתו שלא יצא ממנה בלי רשותה, ויצא ממנה וטוען שהיא נתנה לו רשות, והיא מכחישתו:</w:t>
      </w:r>
    </w:p>
    <w:p w14:paraId="15B82657" w14:textId="77777777" w:rsidR="004B607F" w:rsidRPr="00845316" w:rsidRDefault="004B607F" w:rsidP="004B0475">
      <w:pPr>
        <w:pStyle w:val="ac"/>
        <w:numPr>
          <w:ilvl w:val="0"/>
          <w:numId w:val="179"/>
        </w:numPr>
        <w:rPr>
          <w:rFonts w:asciiTheme="minorBidi" w:hAnsiTheme="minorBidi"/>
          <w:rtl/>
        </w:rPr>
      </w:pPr>
      <w:r w:rsidRPr="00845316">
        <w:rPr>
          <w:rFonts w:asciiTheme="minorBidi" w:hAnsiTheme="minorBidi"/>
          <w:rtl/>
        </w:rPr>
        <w:t xml:space="preserve">רא"ש </w:t>
      </w:r>
      <w:r w:rsidRPr="00845316">
        <w:rPr>
          <w:rFonts w:asciiTheme="minorBidi" w:hAnsiTheme="minorBidi"/>
          <w:sz w:val="16"/>
          <w:szCs w:val="16"/>
          <w:rtl/>
        </w:rPr>
        <w:t>(בתשו' כלל י סי' ב)</w:t>
      </w:r>
      <w:r w:rsidRPr="00845316">
        <w:rPr>
          <w:rFonts w:asciiTheme="minorBidi" w:hAnsiTheme="minorBidi"/>
          <w:rtl/>
        </w:rPr>
        <w:t>- הוא נאמן ואינה נאמנת לפסלו.</w:t>
      </w:r>
    </w:p>
    <w:p w14:paraId="54A38456" w14:textId="77777777" w:rsidR="004B607F" w:rsidRPr="00845316" w:rsidRDefault="004B607F" w:rsidP="004B607F">
      <w:pPr>
        <w:jc w:val="both"/>
        <w:rPr>
          <w:rFonts w:asciiTheme="minorBidi" w:hAnsiTheme="minorBidi"/>
          <w:rtl/>
        </w:rPr>
      </w:pPr>
      <w:r w:rsidRPr="00845316">
        <w:rPr>
          <w:rFonts w:asciiTheme="minorBidi" w:hAnsiTheme="minorBidi"/>
          <w:b/>
          <w:bCs/>
          <w:sz w:val="32"/>
          <w:szCs w:val="28"/>
          <w:u w:val="single"/>
          <w:rtl/>
        </w:rPr>
        <w:t xml:space="preserve">שו"ע: </w:t>
      </w:r>
    </w:p>
    <w:p w14:paraId="2018C1F1" w14:textId="77777777" w:rsidR="004B607F" w:rsidRPr="00845316" w:rsidRDefault="004B607F" w:rsidP="004B607F">
      <w:pPr>
        <w:rPr>
          <w:rFonts w:asciiTheme="minorBidi" w:hAnsiTheme="minorBidi"/>
          <w:rtl/>
        </w:rPr>
      </w:pPr>
      <w:r w:rsidRPr="00845316">
        <w:rPr>
          <w:rFonts w:asciiTheme="minorBidi" w:hAnsiTheme="minorBidi"/>
          <w:rtl/>
        </w:rPr>
        <w:lastRenderedPageBreak/>
        <w:t>יש אומרים שהנשבע להכחיש העד</w:t>
      </w:r>
      <w:r w:rsidRPr="00845316">
        <w:rPr>
          <w:rStyle w:val="ab"/>
          <w:rFonts w:asciiTheme="minorBidi" w:hAnsiTheme="minorBidi"/>
          <w:rtl/>
        </w:rPr>
        <w:footnoteReference w:id="2404"/>
      </w:r>
      <w:r w:rsidRPr="00845316">
        <w:rPr>
          <w:rFonts w:asciiTheme="minorBidi" w:hAnsiTheme="minorBidi"/>
          <w:rtl/>
        </w:rPr>
        <w:t>, העד ואותו שנשבע לו מצטרפים להעיד עליו לפסלו</w:t>
      </w:r>
      <w:r w:rsidRPr="00845316">
        <w:rPr>
          <w:rStyle w:val="ab"/>
          <w:rFonts w:asciiTheme="minorBidi" w:hAnsiTheme="minorBidi"/>
          <w:rtl/>
        </w:rPr>
        <w:footnoteReference w:id="2405"/>
      </w:r>
      <w:r w:rsidRPr="00845316">
        <w:rPr>
          <w:rFonts w:asciiTheme="minorBidi" w:hAnsiTheme="minorBidi"/>
          <w:rtl/>
        </w:rPr>
        <w:t xml:space="preserve">. </w:t>
      </w:r>
      <w:r w:rsidRPr="00845316">
        <w:rPr>
          <w:rFonts w:asciiTheme="minorBidi" w:hAnsiTheme="minorBidi"/>
          <w:sz w:val="18"/>
          <w:szCs w:val="18"/>
          <w:rtl/>
        </w:rPr>
        <w:t xml:space="preserve">הגה: וה"ה אם נשבע לשנים הם מעידים עליו לפסלו, ואין חילוק אם נשבע להם כאחד או בזה אחר זה </w:t>
      </w:r>
      <w:r w:rsidRPr="00845316">
        <w:rPr>
          <w:rFonts w:asciiTheme="minorBidi" w:hAnsiTheme="minorBidi"/>
          <w:sz w:val="16"/>
          <w:szCs w:val="16"/>
          <w:rtl/>
        </w:rPr>
        <w:t>(מרדכי פ' זה בורר)</w:t>
      </w:r>
      <w:r w:rsidRPr="00845316">
        <w:rPr>
          <w:rFonts w:asciiTheme="minorBidi" w:hAnsiTheme="minorBidi"/>
          <w:sz w:val="18"/>
          <w:szCs w:val="18"/>
          <w:rtl/>
        </w:rPr>
        <w:t xml:space="preserve">. </w:t>
      </w:r>
      <w:r w:rsidRPr="00845316">
        <w:rPr>
          <w:rStyle w:val="ab"/>
          <w:rFonts w:asciiTheme="minorBidi" w:hAnsiTheme="minorBidi"/>
          <w:rtl/>
        </w:rPr>
        <w:footnoteReference w:id="2406"/>
      </w:r>
      <w:r w:rsidRPr="00845316">
        <w:rPr>
          <w:rFonts w:asciiTheme="minorBidi" w:hAnsiTheme="minorBidi"/>
          <w:rtl/>
        </w:rPr>
        <w:t>ויש חולקים</w:t>
      </w:r>
      <w:r w:rsidRPr="00845316">
        <w:rPr>
          <w:rStyle w:val="ab"/>
          <w:rFonts w:asciiTheme="minorBidi" w:hAnsiTheme="minorBidi"/>
          <w:rtl/>
        </w:rPr>
        <w:footnoteReference w:id="2407"/>
      </w:r>
      <w:r w:rsidRPr="00845316">
        <w:rPr>
          <w:rFonts w:asciiTheme="minorBidi" w:hAnsiTheme="minorBidi"/>
          <w:rtl/>
        </w:rPr>
        <w:t xml:space="preserve">. </w:t>
      </w:r>
      <w:r w:rsidRPr="00845316">
        <w:rPr>
          <w:rFonts w:asciiTheme="minorBidi" w:hAnsiTheme="minorBidi"/>
          <w:sz w:val="18"/>
          <w:szCs w:val="18"/>
          <w:rtl/>
        </w:rPr>
        <w:t>ואפי' אם היו ב' בעלי דינים ולכל אחד עד אחד, אינן מצטרפין אחר שעמד בדין ונשבע על עדותן, אבל קודם לכן</w:t>
      </w:r>
      <w:r w:rsidRPr="00845316">
        <w:rPr>
          <w:rStyle w:val="ab"/>
          <w:rFonts w:asciiTheme="minorBidi" w:hAnsiTheme="minorBidi"/>
          <w:sz w:val="18"/>
          <w:szCs w:val="18"/>
          <w:rtl/>
        </w:rPr>
        <w:footnoteReference w:id="2408"/>
      </w:r>
      <w:r w:rsidRPr="00845316">
        <w:rPr>
          <w:rFonts w:asciiTheme="minorBidi" w:hAnsiTheme="minorBidi"/>
          <w:sz w:val="18"/>
          <w:szCs w:val="18"/>
          <w:rtl/>
        </w:rPr>
        <w:t xml:space="preserve"> יכולין להעיד עליו</w:t>
      </w:r>
      <w:r w:rsidRPr="00845316">
        <w:rPr>
          <w:rStyle w:val="ab"/>
          <w:rFonts w:asciiTheme="minorBidi" w:hAnsiTheme="minorBidi"/>
          <w:sz w:val="18"/>
          <w:szCs w:val="18"/>
          <w:rtl/>
        </w:rPr>
        <w:footnoteReference w:id="2409"/>
      </w:r>
      <w:r w:rsidRPr="00845316">
        <w:rPr>
          <w:rFonts w:asciiTheme="minorBidi" w:hAnsiTheme="minorBidi"/>
          <w:sz w:val="18"/>
          <w:szCs w:val="18"/>
          <w:rtl/>
        </w:rPr>
        <w:t xml:space="preserve"> </w:t>
      </w:r>
      <w:r w:rsidRPr="00845316">
        <w:rPr>
          <w:rFonts w:asciiTheme="minorBidi" w:hAnsiTheme="minorBidi"/>
          <w:sz w:val="16"/>
          <w:szCs w:val="16"/>
          <w:rtl/>
        </w:rPr>
        <w:t>(רשב"א במיוחסות סי' קט)</w:t>
      </w:r>
      <w:r w:rsidRPr="00845316">
        <w:rPr>
          <w:rFonts w:asciiTheme="minorBidi" w:hAnsiTheme="minorBidi"/>
          <w:sz w:val="18"/>
          <w:szCs w:val="18"/>
          <w:rtl/>
        </w:rPr>
        <w:t xml:space="preserve">. </w:t>
      </w:r>
    </w:p>
    <w:p w14:paraId="70D50733" w14:textId="77777777" w:rsidR="004B607F" w:rsidRPr="00845316" w:rsidRDefault="004B607F" w:rsidP="004B607F">
      <w:pPr>
        <w:rPr>
          <w:rFonts w:asciiTheme="minorBidi" w:hAnsiTheme="minorBidi"/>
          <w:rtl/>
        </w:rPr>
      </w:pPr>
    </w:p>
    <w:p w14:paraId="378228C3" w14:textId="77777777" w:rsidR="004B607F" w:rsidRPr="00845316" w:rsidRDefault="004B607F" w:rsidP="004B607F">
      <w:pPr>
        <w:pStyle w:val="2"/>
        <w:rPr>
          <w:rFonts w:asciiTheme="minorBidi" w:hAnsiTheme="minorBidi"/>
          <w:rtl/>
        </w:rPr>
      </w:pPr>
      <w:bookmarkStart w:id="319" w:name="_Toc24883775"/>
      <w:r w:rsidRPr="00845316">
        <w:rPr>
          <w:rFonts w:asciiTheme="minorBidi" w:hAnsiTheme="minorBidi"/>
          <w:rtl/>
        </w:rPr>
        <w:t>סעיף כח: פסול לעדות שהעידו עליו שעשה תשובה/שלא חטא.</w:t>
      </w:r>
      <w:bookmarkEnd w:id="319"/>
    </w:p>
    <w:p w14:paraId="176296C9" w14:textId="77777777" w:rsidR="004B607F" w:rsidRPr="00845316" w:rsidRDefault="004B607F" w:rsidP="004B607F">
      <w:pPr>
        <w:rPr>
          <w:rFonts w:asciiTheme="minorBidi" w:hAnsiTheme="minorBidi"/>
          <w:rtl/>
        </w:rPr>
      </w:pPr>
      <w:r w:rsidRPr="00845316">
        <w:rPr>
          <w:rFonts w:asciiTheme="minorBidi" w:hAnsiTheme="minorBidi"/>
          <w:b/>
          <w:bCs/>
          <w:rtl/>
        </w:rPr>
        <w:t>כתובות כא</w:t>
      </w:r>
      <w:r>
        <w:rPr>
          <w:rStyle w:val="ab"/>
          <w:rFonts w:asciiTheme="minorBidi" w:hAnsiTheme="minorBidi"/>
          <w:b/>
          <w:bCs/>
          <w:rtl/>
        </w:rPr>
        <w:footnoteReference w:id="2410"/>
      </w:r>
      <w:r w:rsidRPr="00845316">
        <w:rPr>
          <w:rFonts w:asciiTheme="minorBidi" w:hAnsiTheme="minorBidi"/>
          <w:b/>
          <w:bCs/>
          <w:rtl/>
        </w:rPr>
        <w:t xml:space="preserve"> ע"ב: </w:t>
      </w:r>
      <w:r w:rsidRPr="00845316">
        <w:rPr>
          <w:rFonts w:asciiTheme="minorBidi" w:hAnsiTheme="minorBidi"/>
          <w:u w:val="single"/>
          <w:rtl/>
        </w:rPr>
        <w:t>אמר רבי אבא אמר רב הונא אמר רב</w:t>
      </w:r>
      <w:r w:rsidRPr="00845316">
        <w:rPr>
          <w:rFonts w:asciiTheme="minorBidi" w:hAnsiTheme="minorBidi"/>
          <w:rtl/>
        </w:rPr>
        <w:t>: שלשה שישבו לקיים את השטר, וקרא ערער על אחד מהן</w:t>
      </w:r>
      <w:r w:rsidRPr="00845316">
        <w:rPr>
          <w:rStyle w:val="ab"/>
          <w:rFonts w:asciiTheme="minorBidi" w:hAnsiTheme="minorBidi"/>
          <w:rtl/>
        </w:rPr>
        <w:footnoteReference w:id="2411"/>
      </w:r>
      <w:r w:rsidRPr="00845316">
        <w:rPr>
          <w:rFonts w:asciiTheme="minorBidi" w:hAnsiTheme="minorBidi"/>
          <w:rtl/>
        </w:rPr>
        <w:t>, עד שלא חתמו</w:t>
      </w:r>
      <w:r w:rsidRPr="00845316">
        <w:rPr>
          <w:rStyle w:val="ab"/>
          <w:rFonts w:asciiTheme="minorBidi" w:hAnsiTheme="minorBidi"/>
          <w:rtl/>
        </w:rPr>
        <w:footnoteReference w:id="2412"/>
      </w:r>
      <w:r w:rsidRPr="00845316">
        <w:rPr>
          <w:rFonts w:asciiTheme="minorBidi" w:hAnsiTheme="minorBidi"/>
          <w:rtl/>
        </w:rPr>
        <w:t xml:space="preserve"> - מעידין</w:t>
      </w:r>
      <w:r w:rsidRPr="00845316">
        <w:rPr>
          <w:rStyle w:val="ab"/>
          <w:rFonts w:asciiTheme="minorBidi" w:hAnsiTheme="minorBidi"/>
          <w:rtl/>
        </w:rPr>
        <w:footnoteReference w:id="2413"/>
      </w:r>
      <w:r w:rsidRPr="00845316">
        <w:rPr>
          <w:rFonts w:asciiTheme="minorBidi" w:hAnsiTheme="minorBidi"/>
          <w:rtl/>
        </w:rPr>
        <w:t xml:space="preserve"> עליו וחותם, משחתמו</w:t>
      </w:r>
      <w:r w:rsidRPr="00845316">
        <w:rPr>
          <w:rStyle w:val="ab"/>
          <w:rFonts w:asciiTheme="minorBidi" w:hAnsiTheme="minorBidi"/>
          <w:rtl/>
        </w:rPr>
        <w:footnoteReference w:id="2414"/>
      </w:r>
      <w:r w:rsidRPr="00845316">
        <w:rPr>
          <w:rFonts w:asciiTheme="minorBidi" w:hAnsiTheme="minorBidi"/>
          <w:rtl/>
        </w:rPr>
        <w:t xml:space="preserve"> - אין מעידין עליו וחותם. ערער דמאי? אי ערער דגזלנותא, תרי ותרי נינהו</w:t>
      </w:r>
      <w:r w:rsidRPr="00845316">
        <w:rPr>
          <w:rStyle w:val="ab"/>
          <w:rFonts w:asciiTheme="minorBidi" w:hAnsiTheme="minorBidi"/>
          <w:rtl/>
        </w:rPr>
        <w:footnoteReference w:id="2415"/>
      </w:r>
      <w:r w:rsidRPr="00845316">
        <w:rPr>
          <w:rFonts w:asciiTheme="minorBidi" w:hAnsiTheme="minorBidi"/>
          <w:rtl/>
        </w:rPr>
        <w:t>!.... לעולם אימא לך ערער דגזלנותא, וקאמרי הני: ידעינן ביה דעבד תשובה</w:t>
      </w:r>
      <w:r w:rsidRPr="00845316">
        <w:rPr>
          <w:rStyle w:val="ab"/>
          <w:rFonts w:asciiTheme="minorBidi" w:hAnsiTheme="minorBidi"/>
          <w:rtl/>
        </w:rPr>
        <w:footnoteReference w:id="2416"/>
      </w:r>
      <w:r w:rsidRPr="00845316">
        <w:rPr>
          <w:rFonts w:asciiTheme="minorBidi" w:hAnsiTheme="minorBidi"/>
          <w:rtl/>
        </w:rPr>
        <w:t>.</w:t>
      </w:r>
    </w:p>
    <w:p w14:paraId="3C3F5D9C" w14:textId="77777777" w:rsidR="004B607F" w:rsidRPr="00845316" w:rsidRDefault="004B607F" w:rsidP="004B607F">
      <w:pPr>
        <w:rPr>
          <w:rFonts w:asciiTheme="minorBidi" w:hAnsiTheme="minorBidi"/>
          <w:u w:val="single"/>
          <w:rtl/>
        </w:rPr>
      </w:pPr>
      <w:r w:rsidRPr="00845316">
        <w:rPr>
          <w:rFonts w:asciiTheme="minorBidi" w:hAnsiTheme="minorBidi"/>
          <w:u w:val="single"/>
          <w:rtl/>
        </w:rPr>
        <w:t>מתי אומרים בערער דגזלנותא "תרי ותרי נינהו</w:t>
      </w:r>
      <w:r w:rsidRPr="00845316">
        <w:rPr>
          <w:rStyle w:val="ab"/>
          <w:rFonts w:asciiTheme="minorBidi" w:hAnsiTheme="minorBidi"/>
          <w:u w:val="single"/>
          <w:rtl/>
        </w:rPr>
        <w:footnoteReference w:id="2417"/>
      </w:r>
      <w:r w:rsidRPr="00845316">
        <w:rPr>
          <w:rFonts w:asciiTheme="minorBidi" w:hAnsiTheme="minorBidi"/>
          <w:u w:val="single"/>
          <w:rtl/>
        </w:rPr>
        <w:t>":</w:t>
      </w:r>
    </w:p>
    <w:p w14:paraId="65F6F32D" w14:textId="77777777" w:rsidR="004B607F" w:rsidRPr="00845316" w:rsidRDefault="004B607F" w:rsidP="004B0475">
      <w:pPr>
        <w:pStyle w:val="ac"/>
        <w:numPr>
          <w:ilvl w:val="0"/>
          <w:numId w:val="179"/>
        </w:numPr>
        <w:rPr>
          <w:rFonts w:asciiTheme="minorBidi" w:hAnsiTheme="minorBidi"/>
        </w:rPr>
      </w:pPr>
      <w:r w:rsidRPr="00845316">
        <w:rPr>
          <w:rFonts w:asciiTheme="minorBidi" w:hAnsiTheme="minorBidi"/>
          <w:rtl/>
        </w:rPr>
        <w:t>רי"ף</w:t>
      </w:r>
      <w:r w:rsidRPr="00845316">
        <w:rPr>
          <w:rFonts w:asciiTheme="minorBidi" w:hAnsiTheme="minorBidi"/>
          <w:sz w:val="16"/>
          <w:szCs w:val="16"/>
          <w:rtl/>
        </w:rPr>
        <w:t xml:space="preserve"> </w:t>
      </w:r>
      <w:r w:rsidRPr="00845316">
        <w:rPr>
          <w:rFonts w:asciiTheme="minorBidi" w:hAnsiTheme="minorBidi"/>
          <w:rtl/>
        </w:rPr>
        <w:t>רש"י רמב"ם</w:t>
      </w:r>
      <w:r w:rsidRPr="00845316">
        <w:rPr>
          <w:rFonts w:asciiTheme="minorBidi" w:hAnsiTheme="minorBidi"/>
          <w:sz w:val="16"/>
          <w:szCs w:val="16"/>
          <w:rtl/>
        </w:rPr>
        <w:t xml:space="preserve"> </w:t>
      </w:r>
      <w:r w:rsidRPr="00845316">
        <w:rPr>
          <w:rFonts w:asciiTheme="minorBidi" w:hAnsiTheme="minorBidi"/>
          <w:rtl/>
        </w:rPr>
        <w:t>רא"ש</w:t>
      </w:r>
      <w:r w:rsidRPr="00845316">
        <w:rPr>
          <w:rFonts w:asciiTheme="minorBidi" w:hAnsiTheme="minorBidi"/>
          <w:sz w:val="16"/>
          <w:szCs w:val="16"/>
          <w:rtl/>
        </w:rPr>
        <w:t xml:space="preserve"> </w:t>
      </w:r>
      <w:r w:rsidRPr="00845316">
        <w:rPr>
          <w:rFonts w:asciiTheme="minorBidi" w:hAnsiTheme="minorBidi"/>
          <w:rtl/>
        </w:rPr>
        <w:t>ר"ן ורי"ו</w:t>
      </w:r>
      <w:r w:rsidRPr="00845316">
        <w:rPr>
          <w:rStyle w:val="ab"/>
          <w:rFonts w:asciiTheme="minorBidi" w:hAnsiTheme="minorBidi"/>
          <w:rtl/>
        </w:rPr>
        <w:footnoteReference w:id="2418"/>
      </w:r>
      <w:r w:rsidRPr="00845316">
        <w:rPr>
          <w:rFonts w:asciiTheme="minorBidi" w:hAnsiTheme="minorBidi"/>
          <w:rtl/>
        </w:rPr>
        <w:t>- אפי' עד שלא חתמו, הילכך פסול מספק</w:t>
      </w:r>
      <w:r w:rsidRPr="00845316">
        <w:rPr>
          <w:rStyle w:val="ab"/>
          <w:rFonts w:asciiTheme="minorBidi" w:hAnsiTheme="minorBidi"/>
          <w:rtl/>
        </w:rPr>
        <w:footnoteReference w:id="2419"/>
      </w:r>
      <w:r w:rsidRPr="00845316">
        <w:rPr>
          <w:rFonts w:asciiTheme="minorBidi" w:hAnsiTheme="minorBidi"/>
          <w:rtl/>
        </w:rPr>
        <w:t xml:space="preserve">. </w:t>
      </w:r>
      <w:r w:rsidRPr="00845316">
        <w:rPr>
          <w:rFonts w:asciiTheme="minorBidi" w:hAnsiTheme="minorBidi"/>
          <w:color w:val="E36C0A" w:themeColor="accent6" w:themeShade="BF"/>
          <w:rtl/>
        </w:rPr>
        <w:t>(וכ"פ בשו"ע)</w:t>
      </w:r>
    </w:p>
    <w:p w14:paraId="4DDBE674" w14:textId="77777777" w:rsidR="004B607F" w:rsidRPr="00845316" w:rsidRDefault="004B607F" w:rsidP="004B0475">
      <w:pPr>
        <w:pStyle w:val="ac"/>
        <w:numPr>
          <w:ilvl w:val="0"/>
          <w:numId w:val="179"/>
        </w:numPr>
        <w:rPr>
          <w:rFonts w:asciiTheme="minorBidi" w:hAnsiTheme="minorBidi"/>
        </w:rPr>
      </w:pPr>
      <w:r w:rsidRPr="00845316">
        <w:rPr>
          <w:rFonts w:asciiTheme="minorBidi" w:hAnsiTheme="minorBidi"/>
          <w:rtl/>
        </w:rPr>
        <w:t>ר"ח תוס' ורז"ה</w:t>
      </w:r>
      <w:r w:rsidRPr="00845316">
        <w:rPr>
          <w:rStyle w:val="ab"/>
          <w:rFonts w:asciiTheme="minorBidi" w:hAnsiTheme="minorBidi"/>
          <w:rtl/>
        </w:rPr>
        <w:footnoteReference w:id="2420"/>
      </w:r>
      <w:r w:rsidRPr="00845316">
        <w:rPr>
          <w:rFonts w:asciiTheme="minorBidi" w:hAnsiTheme="minorBidi"/>
          <w:rtl/>
        </w:rPr>
        <w:t xml:space="preserve">- משחתמו, אבל אם עדיין לא חתמו יכולים </w:t>
      </w:r>
      <w:r w:rsidRPr="00845316">
        <w:rPr>
          <w:rFonts w:asciiTheme="minorBidi" w:hAnsiTheme="minorBidi"/>
          <w:u w:val="single"/>
          <w:rtl/>
        </w:rPr>
        <w:t>ב' העדים מן השוק</w:t>
      </w:r>
      <w:r w:rsidRPr="00845316">
        <w:rPr>
          <w:rFonts w:asciiTheme="minorBidi" w:hAnsiTheme="minorBidi"/>
          <w:rtl/>
        </w:rPr>
        <w:t xml:space="preserve"> להעיד עליו.</w:t>
      </w:r>
    </w:p>
    <w:p w14:paraId="0824D992" w14:textId="77777777" w:rsidR="004B607F" w:rsidRPr="00845316" w:rsidRDefault="004B607F" w:rsidP="004B607F">
      <w:pPr>
        <w:rPr>
          <w:rFonts w:asciiTheme="minorBidi" w:hAnsiTheme="minorBidi"/>
          <w:sz w:val="16"/>
          <w:szCs w:val="16"/>
          <w:rtl/>
        </w:rPr>
      </w:pPr>
      <w:r w:rsidRPr="00845316">
        <w:rPr>
          <w:rFonts w:asciiTheme="minorBidi" w:hAnsiTheme="minorBidi"/>
          <w:u w:val="single"/>
          <w:rtl/>
        </w:rPr>
        <w:t>במקרה של הגמ'</w:t>
      </w:r>
      <w:r w:rsidRPr="00845316">
        <w:rPr>
          <w:rStyle w:val="ab"/>
          <w:rFonts w:asciiTheme="minorBidi" w:hAnsiTheme="minorBidi"/>
          <w:u w:val="single"/>
          <w:rtl/>
        </w:rPr>
        <w:footnoteReference w:id="2421"/>
      </w:r>
      <w:r w:rsidRPr="00845316">
        <w:rPr>
          <w:rFonts w:asciiTheme="minorBidi" w:hAnsiTheme="minorBidi"/>
          <w:u w:val="single"/>
          <w:rtl/>
        </w:rPr>
        <w:t>, מה דין כל השטרות שחתם עליהם אותו דיין עד שהעידו עליו שעשה תשובה:</w:t>
      </w:r>
      <w:r w:rsidRPr="00845316">
        <w:rPr>
          <w:rFonts w:asciiTheme="minorBidi" w:hAnsiTheme="minorBidi"/>
          <w:sz w:val="16"/>
          <w:szCs w:val="16"/>
          <w:rtl/>
        </w:rPr>
        <w:t xml:space="preserve"> (ב"י</w:t>
      </w:r>
      <w:r w:rsidRPr="00845316">
        <w:rPr>
          <w:rFonts w:asciiTheme="minorBidi" w:hAnsiTheme="minorBidi"/>
          <w:sz w:val="14"/>
          <w:szCs w:val="14"/>
          <w:rtl/>
        </w:rPr>
        <w:t xml:space="preserve"> [סע' מג]</w:t>
      </w:r>
      <w:r w:rsidRPr="00845316">
        <w:rPr>
          <w:rFonts w:asciiTheme="minorBidi" w:hAnsiTheme="minorBidi"/>
          <w:sz w:val="16"/>
          <w:szCs w:val="16"/>
          <w:rtl/>
        </w:rPr>
        <w:t xml:space="preserve">, ש"ך </w:t>
      </w:r>
      <w:r w:rsidRPr="00845316">
        <w:rPr>
          <w:rFonts w:asciiTheme="minorBidi" w:hAnsiTheme="minorBidi"/>
          <w:sz w:val="14"/>
          <w:szCs w:val="14"/>
          <w:rtl/>
        </w:rPr>
        <w:t>[סקל"ד]</w:t>
      </w:r>
      <w:r w:rsidRPr="00845316">
        <w:rPr>
          <w:rFonts w:asciiTheme="minorBidi" w:hAnsiTheme="minorBidi"/>
          <w:sz w:val="16"/>
          <w:szCs w:val="16"/>
          <w:rtl/>
        </w:rPr>
        <w:t>)</w:t>
      </w:r>
    </w:p>
    <w:p w14:paraId="08BB58F6" w14:textId="77777777" w:rsidR="004B607F" w:rsidRPr="00845316" w:rsidRDefault="004B607F" w:rsidP="004B0475">
      <w:pPr>
        <w:pStyle w:val="ac"/>
        <w:numPr>
          <w:ilvl w:val="0"/>
          <w:numId w:val="194"/>
        </w:numPr>
        <w:rPr>
          <w:rFonts w:asciiTheme="minorBidi" w:hAnsiTheme="minorBidi"/>
        </w:rPr>
      </w:pPr>
      <w:r w:rsidRPr="00845316">
        <w:rPr>
          <w:rFonts w:asciiTheme="minorBidi" w:hAnsiTheme="minorBidi"/>
          <w:rtl/>
        </w:rPr>
        <w:t>ר"ח רי"ף</w:t>
      </w:r>
      <w:r w:rsidRPr="00845316">
        <w:rPr>
          <w:rFonts w:asciiTheme="minorBidi" w:hAnsiTheme="minorBidi"/>
          <w:sz w:val="16"/>
          <w:szCs w:val="16"/>
          <w:rtl/>
        </w:rPr>
        <w:t xml:space="preserve"> (הביאם הר"ן </w:t>
      </w:r>
      <w:r w:rsidRPr="00845316">
        <w:rPr>
          <w:rFonts w:asciiTheme="minorBidi" w:hAnsiTheme="minorBidi"/>
          <w:sz w:val="14"/>
          <w:szCs w:val="14"/>
          <w:rtl/>
        </w:rPr>
        <w:t>[כתובות ט.]</w:t>
      </w:r>
      <w:r w:rsidRPr="00845316">
        <w:rPr>
          <w:rFonts w:asciiTheme="minorBidi" w:hAnsiTheme="minorBidi"/>
          <w:sz w:val="16"/>
          <w:szCs w:val="16"/>
          <w:rtl/>
        </w:rPr>
        <w:t>)</w:t>
      </w:r>
      <w:r w:rsidRPr="00845316">
        <w:rPr>
          <w:rFonts w:asciiTheme="minorBidi" w:hAnsiTheme="minorBidi"/>
          <w:rtl/>
        </w:rPr>
        <w:t xml:space="preserve"> ורמב"ם </w:t>
      </w:r>
      <w:r w:rsidRPr="00845316">
        <w:rPr>
          <w:rFonts w:asciiTheme="minorBidi" w:hAnsiTheme="minorBidi"/>
          <w:sz w:val="18"/>
          <w:szCs w:val="18"/>
          <w:rtl/>
        </w:rPr>
        <w:t>(</w:t>
      </w:r>
      <w:r w:rsidRPr="00845316">
        <w:rPr>
          <w:rFonts w:asciiTheme="minorBidi" w:hAnsiTheme="minorBidi"/>
          <w:sz w:val="14"/>
          <w:szCs w:val="14"/>
          <w:rtl/>
        </w:rPr>
        <w:t xml:space="preserve">[פ"ו ה"ז] </w:t>
      </w:r>
      <w:r w:rsidRPr="00845316">
        <w:rPr>
          <w:rFonts w:asciiTheme="minorBidi" w:hAnsiTheme="minorBidi"/>
          <w:sz w:val="16"/>
          <w:szCs w:val="16"/>
          <w:rtl/>
        </w:rPr>
        <w:t>כ"כ בשמו הכס"מ)</w:t>
      </w:r>
      <w:r w:rsidRPr="00845316">
        <w:rPr>
          <w:rFonts w:asciiTheme="minorBidi" w:hAnsiTheme="minorBidi"/>
          <w:rtl/>
        </w:rPr>
        <w:t>- לא מתכשר אלא משעה שהעידו עליו בבית דין שעשה תשובה וכל שטרות שחתם בנתיים פסולים דהא ההיא שעתא פסול היה</w:t>
      </w:r>
      <w:r w:rsidRPr="00845316">
        <w:rPr>
          <w:rStyle w:val="ab"/>
          <w:rFonts w:asciiTheme="minorBidi" w:hAnsiTheme="minorBidi"/>
          <w:rtl/>
        </w:rPr>
        <w:footnoteReference w:id="2422"/>
      </w:r>
      <w:r w:rsidRPr="00845316">
        <w:rPr>
          <w:rFonts w:asciiTheme="minorBidi" w:hAnsiTheme="minorBidi"/>
          <w:rtl/>
        </w:rPr>
        <w:t>.</w:t>
      </w:r>
    </w:p>
    <w:p w14:paraId="16507B35" w14:textId="77777777" w:rsidR="004B607F" w:rsidRPr="00845316" w:rsidRDefault="004B607F" w:rsidP="004B0475">
      <w:pPr>
        <w:pStyle w:val="ac"/>
        <w:numPr>
          <w:ilvl w:val="0"/>
          <w:numId w:val="179"/>
        </w:numPr>
        <w:rPr>
          <w:rFonts w:asciiTheme="minorBidi" w:hAnsiTheme="minorBidi"/>
        </w:rPr>
      </w:pPr>
      <w:r w:rsidRPr="00845316">
        <w:rPr>
          <w:rFonts w:asciiTheme="minorBidi" w:hAnsiTheme="minorBidi"/>
          <w:rtl/>
        </w:rPr>
        <w:t>ר"ן</w:t>
      </w:r>
      <w:r w:rsidRPr="00845316">
        <w:rPr>
          <w:rFonts w:asciiTheme="minorBidi" w:hAnsiTheme="minorBidi"/>
          <w:sz w:val="16"/>
          <w:szCs w:val="16"/>
          <w:rtl/>
        </w:rPr>
        <w:t xml:space="preserve"> (כתובות ט.)</w:t>
      </w:r>
      <w:r w:rsidRPr="00845316">
        <w:rPr>
          <w:rFonts w:asciiTheme="minorBidi" w:hAnsiTheme="minorBidi"/>
          <w:rtl/>
        </w:rPr>
        <w:t>- כשר, דכיון שהעידו עליו דכשר היה בשעה שחתם איגלאי מלתא שראוי היה להעיד באותה שעה. (וכ"פ הש"ך</w:t>
      </w:r>
      <w:r w:rsidRPr="00845316">
        <w:rPr>
          <w:rStyle w:val="ab"/>
          <w:rFonts w:asciiTheme="minorBidi" w:hAnsiTheme="minorBidi"/>
          <w:rtl/>
        </w:rPr>
        <w:footnoteReference w:id="2423"/>
      </w:r>
      <w:r w:rsidRPr="00845316">
        <w:rPr>
          <w:rFonts w:asciiTheme="minorBidi" w:hAnsiTheme="minorBidi"/>
          <w:rtl/>
        </w:rPr>
        <w:t xml:space="preserve"> הבאה"ט והשבות יעקב)</w:t>
      </w:r>
    </w:p>
    <w:p w14:paraId="28936FAE" w14:textId="77777777" w:rsidR="004B607F" w:rsidRPr="00845316" w:rsidRDefault="004B607F" w:rsidP="004B607F">
      <w:pPr>
        <w:rPr>
          <w:rFonts w:asciiTheme="minorBidi" w:hAnsiTheme="minorBidi"/>
          <w:u w:val="single"/>
          <w:rtl/>
        </w:rPr>
      </w:pPr>
      <w:r w:rsidRPr="00845316">
        <w:rPr>
          <w:rFonts w:asciiTheme="minorBidi" w:hAnsiTheme="minorBidi"/>
          <w:b/>
          <w:bCs/>
          <w:rtl/>
        </w:rPr>
        <w:lastRenderedPageBreak/>
        <w:t>סנהדרין כז</w:t>
      </w:r>
      <w:r>
        <w:rPr>
          <w:rStyle w:val="ab"/>
          <w:rFonts w:asciiTheme="minorBidi" w:hAnsiTheme="minorBidi"/>
          <w:b/>
          <w:bCs/>
          <w:rtl/>
        </w:rPr>
        <w:footnoteReference w:id="2424"/>
      </w:r>
      <w:r w:rsidRPr="00845316">
        <w:rPr>
          <w:rFonts w:asciiTheme="minorBidi" w:hAnsiTheme="minorBidi"/>
          <w:b/>
          <w:bCs/>
          <w:rtl/>
        </w:rPr>
        <w:t xml:space="preserve"> ע"א: </w:t>
      </w:r>
      <w:r w:rsidRPr="00845316">
        <w:rPr>
          <w:rFonts w:asciiTheme="minorBidi" w:hAnsiTheme="minorBidi"/>
          <w:rtl/>
        </w:rPr>
        <w:t xml:space="preserve">בר חמא קטל נפשא, </w:t>
      </w:r>
      <w:r w:rsidRPr="00845316">
        <w:rPr>
          <w:rFonts w:asciiTheme="minorBidi" w:hAnsiTheme="minorBidi"/>
          <w:u w:val="single"/>
          <w:rtl/>
        </w:rPr>
        <w:t>אמר ליה ריש גלותא לרב אבא בר יעקב</w:t>
      </w:r>
      <w:r w:rsidRPr="00845316">
        <w:rPr>
          <w:rFonts w:asciiTheme="minorBidi" w:hAnsiTheme="minorBidi"/>
          <w:rtl/>
        </w:rPr>
        <w:t xml:space="preserve">: פוק עיין בה, אי ודאי קטל - ליכהיוהו לעיניה. אתו תרי סהדי אסהידו ביה דודאי קטל. אזל איהו אייתי תרי סהדי, אסהידו ביה בחד מהנך, חד אמר: קמאי דידי גנב קבא דחושלא, וחד אמר: </w:t>
      </w:r>
      <w:r w:rsidRPr="00845316">
        <w:rPr>
          <w:rStyle w:val="ab"/>
          <w:rFonts w:asciiTheme="minorBidi" w:hAnsiTheme="minorBidi"/>
          <w:rtl/>
        </w:rPr>
        <w:footnoteReference w:id="2425"/>
      </w:r>
      <w:r w:rsidRPr="00845316">
        <w:rPr>
          <w:rFonts w:asciiTheme="minorBidi" w:hAnsiTheme="minorBidi"/>
          <w:rtl/>
        </w:rPr>
        <w:t>קמאי דידי גנב קתא דבורטיא... קם בר חמא נשקיה אכרעיה</w:t>
      </w:r>
      <w:r w:rsidRPr="00845316">
        <w:rPr>
          <w:rStyle w:val="ab"/>
          <w:rFonts w:asciiTheme="minorBidi" w:hAnsiTheme="minorBidi"/>
          <w:rtl/>
        </w:rPr>
        <w:footnoteReference w:id="2426"/>
      </w:r>
      <w:r w:rsidRPr="00845316">
        <w:rPr>
          <w:rFonts w:asciiTheme="minorBidi" w:hAnsiTheme="minorBidi"/>
          <w:rtl/>
        </w:rPr>
        <w:t>, וקבליה לכרגיה דכולי שניה</w:t>
      </w:r>
      <w:r w:rsidRPr="00845316">
        <w:rPr>
          <w:rStyle w:val="ab"/>
          <w:rFonts w:asciiTheme="minorBidi" w:hAnsiTheme="minorBidi"/>
          <w:rtl/>
        </w:rPr>
        <w:footnoteReference w:id="2427"/>
      </w:r>
      <w:r w:rsidRPr="00845316">
        <w:rPr>
          <w:rFonts w:asciiTheme="minorBidi" w:hAnsiTheme="minorBidi"/>
          <w:rtl/>
        </w:rPr>
        <w:t>.</w:t>
      </w:r>
    </w:p>
    <w:p w14:paraId="3B302E5E" w14:textId="77777777" w:rsidR="004B607F" w:rsidRPr="00845316" w:rsidRDefault="004B607F" w:rsidP="004B607F">
      <w:pPr>
        <w:rPr>
          <w:rFonts w:asciiTheme="minorBidi" w:hAnsiTheme="minorBidi"/>
          <w:u w:val="single"/>
          <w:rtl/>
        </w:rPr>
      </w:pPr>
      <w:r w:rsidRPr="00845316">
        <w:rPr>
          <w:rFonts w:asciiTheme="minorBidi" w:hAnsiTheme="minorBidi"/>
          <w:u w:val="single"/>
          <w:rtl/>
        </w:rPr>
        <w:t xml:space="preserve">האם שני עדים שהעידו על שתי עבירות שונות מצטרפים לפסול אדם </w:t>
      </w:r>
      <w:r w:rsidRPr="00845316">
        <w:rPr>
          <w:rFonts w:asciiTheme="minorBidi" w:hAnsiTheme="minorBidi"/>
          <w:sz w:val="16"/>
          <w:szCs w:val="16"/>
          <w:u w:val="single"/>
          <w:rtl/>
        </w:rPr>
        <w:t>(כגון אחד העיד שגנב והאחד העיד שלוה בריבית)</w:t>
      </w:r>
      <w:r w:rsidRPr="00845316">
        <w:rPr>
          <w:rFonts w:asciiTheme="minorBidi" w:hAnsiTheme="minorBidi"/>
          <w:u w:val="single"/>
          <w:rtl/>
        </w:rPr>
        <w:t>:</w:t>
      </w:r>
    </w:p>
    <w:p w14:paraId="426FA2EA" w14:textId="77777777" w:rsidR="004B607F" w:rsidRPr="00845316" w:rsidRDefault="004B607F" w:rsidP="004B0475">
      <w:pPr>
        <w:pStyle w:val="ac"/>
        <w:numPr>
          <w:ilvl w:val="0"/>
          <w:numId w:val="180"/>
        </w:numPr>
        <w:rPr>
          <w:rFonts w:asciiTheme="minorBidi" w:hAnsiTheme="minorBidi"/>
          <w:rtl/>
        </w:rPr>
      </w:pPr>
      <w:r w:rsidRPr="00845316">
        <w:rPr>
          <w:rFonts w:asciiTheme="minorBidi" w:hAnsiTheme="minorBidi"/>
          <w:rtl/>
        </w:rPr>
        <w:t xml:space="preserve">מאירי </w:t>
      </w:r>
      <w:r w:rsidRPr="00845316">
        <w:rPr>
          <w:rFonts w:asciiTheme="minorBidi" w:hAnsiTheme="minorBidi"/>
          <w:sz w:val="16"/>
          <w:szCs w:val="16"/>
          <w:rtl/>
        </w:rPr>
        <w:t>(כז. ד"ה כל שהעידו)</w:t>
      </w:r>
      <w:r w:rsidRPr="00845316">
        <w:rPr>
          <w:rFonts w:asciiTheme="minorBidi" w:hAnsiTheme="minorBidi"/>
          <w:rtl/>
        </w:rPr>
        <w:t>- אינם מצטרפים, אלא צריך שיעידו שניהם על מין עבירה אחת, וכל שהעידו במין עבירה אחת אע"פ שהעידו זה במעשה אחד וזה במעשה אחד הרי העד נפסל בכך.</w:t>
      </w:r>
    </w:p>
    <w:p w14:paraId="4FC9D1E2" w14:textId="77777777" w:rsidR="004B607F" w:rsidRPr="00845316" w:rsidRDefault="004B607F" w:rsidP="004B0475">
      <w:pPr>
        <w:pStyle w:val="ac"/>
        <w:numPr>
          <w:ilvl w:val="0"/>
          <w:numId w:val="180"/>
        </w:numPr>
        <w:rPr>
          <w:rFonts w:asciiTheme="minorBidi" w:hAnsiTheme="minorBidi"/>
        </w:rPr>
      </w:pPr>
      <w:r w:rsidRPr="00845316">
        <w:rPr>
          <w:rFonts w:asciiTheme="minorBidi" w:hAnsiTheme="minorBidi"/>
          <w:rtl/>
        </w:rPr>
        <w:t xml:space="preserve">מהר"ם פאדוו"ה </w:t>
      </w:r>
      <w:r w:rsidRPr="00845316">
        <w:rPr>
          <w:rFonts w:asciiTheme="minorBidi" w:hAnsiTheme="minorBidi"/>
          <w:sz w:val="16"/>
          <w:szCs w:val="16"/>
          <w:rtl/>
        </w:rPr>
        <w:t>(סי' לז)</w:t>
      </w:r>
      <w:r w:rsidRPr="00845316">
        <w:rPr>
          <w:rFonts w:asciiTheme="minorBidi" w:hAnsiTheme="minorBidi"/>
          <w:rtl/>
        </w:rPr>
        <w:t>- מצטרפין</w:t>
      </w:r>
      <w:r w:rsidRPr="00845316">
        <w:rPr>
          <w:rStyle w:val="ab"/>
          <w:rFonts w:asciiTheme="minorBidi" w:hAnsiTheme="minorBidi"/>
          <w:rtl/>
        </w:rPr>
        <w:footnoteReference w:id="2428"/>
      </w:r>
      <w:r w:rsidRPr="00845316">
        <w:rPr>
          <w:rFonts w:asciiTheme="minorBidi" w:hAnsiTheme="minorBidi"/>
          <w:rtl/>
        </w:rPr>
        <w:t>.</w:t>
      </w:r>
      <w:r w:rsidRPr="00845316">
        <w:rPr>
          <w:rFonts w:asciiTheme="minorBidi" w:hAnsiTheme="minorBidi"/>
          <w:color w:val="00B0F0"/>
          <w:rtl/>
        </w:rPr>
        <w:t xml:space="preserve"> (וכ"פ הרמ"א)</w:t>
      </w:r>
    </w:p>
    <w:p w14:paraId="0C85B401" w14:textId="77777777" w:rsidR="004B607F" w:rsidRPr="00845316" w:rsidRDefault="004B607F" w:rsidP="004B607F">
      <w:pPr>
        <w:rPr>
          <w:rFonts w:asciiTheme="minorBidi" w:hAnsiTheme="minorBidi"/>
          <w:u w:val="single"/>
          <w:rtl/>
        </w:rPr>
      </w:pPr>
      <w:r w:rsidRPr="00845316">
        <w:rPr>
          <w:rFonts w:asciiTheme="minorBidi" w:hAnsiTheme="minorBidi"/>
          <w:u w:val="single"/>
          <w:rtl/>
        </w:rPr>
        <w:t xml:space="preserve">עד פסול לעדות שמעיד ונשבע על עדותו – האם </w:t>
      </w:r>
      <w:r>
        <w:rPr>
          <w:rFonts w:asciiTheme="minorBidi" w:hAnsiTheme="minorBidi" w:hint="cs"/>
          <w:u w:val="single"/>
          <w:rtl/>
        </w:rPr>
        <w:t xml:space="preserve">מקבלין </w:t>
      </w:r>
      <w:r w:rsidRPr="00845316">
        <w:rPr>
          <w:rFonts w:asciiTheme="minorBidi" w:hAnsiTheme="minorBidi"/>
          <w:u w:val="single"/>
          <w:rtl/>
        </w:rPr>
        <w:t>עדותו:</w:t>
      </w:r>
    </w:p>
    <w:p w14:paraId="0057493B" w14:textId="77777777" w:rsidR="004B607F" w:rsidRPr="00845316" w:rsidRDefault="004B607F" w:rsidP="004B0475">
      <w:pPr>
        <w:pStyle w:val="ac"/>
        <w:numPr>
          <w:ilvl w:val="0"/>
          <w:numId w:val="179"/>
        </w:numPr>
        <w:rPr>
          <w:rFonts w:asciiTheme="minorBidi" w:hAnsiTheme="minorBidi"/>
          <w:rtl/>
        </w:rPr>
      </w:pPr>
      <w:r w:rsidRPr="00845316">
        <w:rPr>
          <w:rFonts w:asciiTheme="minorBidi" w:hAnsiTheme="minorBidi"/>
          <w:rtl/>
        </w:rPr>
        <w:t>ריב"ש</w:t>
      </w:r>
      <w:r w:rsidRPr="00845316">
        <w:rPr>
          <w:rFonts w:asciiTheme="minorBidi" w:hAnsiTheme="minorBidi"/>
          <w:sz w:val="16"/>
          <w:szCs w:val="16"/>
          <w:rtl/>
        </w:rPr>
        <w:t xml:space="preserve"> (סי' רסו)</w:t>
      </w:r>
      <w:r w:rsidRPr="00845316">
        <w:rPr>
          <w:rFonts w:asciiTheme="minorBidi" w:hAnsiTheme="minorBidi"/>
          <w:rtl/>
        </w:rPr>
        <w:t>- כל שאין העד נאמן מצד עדותו לבד</w:t>
      </w:r>
      <w:r>
        <w:rPr>
          <w:rFonts w:asciiTheme="minorBidi" w:hAnsiTheme="minorBidi" w:hint="cs"/>
          <w:rtl/>
        </w:rPr>
        <w:t xml:space="preserve"> -</w:t>
      </w:r>
      <w:r w:rsidRPr="00845316">
        <w:rPr>
          <w:rFonts w:asciiTheme="minorBidi" w:hAnsiTheme="minorBidi"/>
          <w:rtl/>
        </w:rPr>
        <w:t xml:space="preserve"> גם בשבועה אינו נאמן</w:t>
      </w:r>
      <w:r>
        <w:rPr>
          <w:rFonts w:asciiTheme="minorBidi" w:hAnsiTheme="minorBidi" w:hint="cs"/>
          <w:rtl/>
        </w:rPr>
        <w:t>,</w:t>
      </w:r>
      <w:r w:rsidRPr="00845316">
        <w:rPr>
          <w:rFonts w:asciiTheme="minorBidi" w:hAnsiTheme="minorBidi"/>
          <w:rtl/>
        </w:rPr>
        <w:t xml:space="preserve"> דהא נפיק ליה מתורת העד.</w:t>
      </w:r>
    </w:p>
    <w:p w14:paraId="2FA11F1F" w14:textId="77777777" w:rsidR="004B607F" w:rsidRPr="00845316" w:rsidRDefault="004B607F" w:rsidP="004B607F">
      <w:pPr>
        <w:jc w:val="both"/>
        <w:rPr>
          <w:rFonts w:asciiTheme="minorBidi" w:hAnsiTheme="minorBidi"/>
          <w:rtl/>
        </w:rPr>
      </w:pPr>
      <w:r w:rsidRPr="00845316">
        <w:rPr>
          <w:rFonts w:asciiTheme="minorBidi" w:hAnsiTheme="minorBidi"/>
          <w:b/>
          <w:bCs/>
          <w:sz w:val="32"/>
          <w:szCs w:val="28"/>
          <w:u w:val="single"/>
          <w:rtl/>
        </w:rPr>
        <w:t xml:space="preserve">שו"ע: </w:t>
      </w:r>
    </w:p>
    <w:p w14:paraId="5333B510" w14:textId="77777777" w:rsidR="004B607F" w:rsidRPr="00845316" w:rsidRDefault="004B607F" w:rsidP="004B607F">
      <w:pPr>
        <w:rPr>
          <w:rFonts w:asciiTheme="minorBidi" w:hAnsiTheme="minorBidi"/>
          <w:rtl/>
        </w:rPr>
      </w:pPr>
      <w:r w:rsidRPr="00845316">
        <w:rPr>
          <w:rFonts w:asciiTheme="minorBidi" w:hAnsiTheme="minorBidi"/>
          <w:rtl/>
        </w:rPr>
        <w:t>שנים שהעידו באחד שהוא פסול באחד מאלו העבירות ובאו שנים והעידו שחזר בו ועשה תשובה או שלקה הרי זה כשר</w:t>
      </w:r>
      <w:r>
        <w:rPr>
          <w:rFonts w:asciiTheme="minorBidi" w:hAnsiTheme="minorBidi" w:hint="cs"/>
          <w:rtl/>
        </w:rPr>
        <w:t>.</w:t>
      </w:r>
      <w:r w:rsidRPr="00845316">
        <w:rPr>
          <w:rFonts w:asciiTheme="minorBidi" w:hAnsiTheme="minorBidi"/>
          <w:rtl/>
        </w:rPr>
        <w:t xml:space="preserve"> אבל אם באו שנים והכחישום ואמרו לא עשה עבירה זו ולא נפסל</w:t>
      </w:r>
      <w:r>
        <w:rPr>
          <w:rFonts w:asciiTheme="minorBidi" w:hAnsiTheme="minorBidi" w:hint="cs"/>
          <w:rtl/>
        </w:rPr>
        <w:t>,</w:t>
      </w:r>
      <w:r w:rsidRPr="00845316">
        <w:rPr>
          <w:rFonts w:asciiTheme="minorBidi" w:hAnsiTheme="minorBidi"/>
          <w:rtl/>
        </w:rPr>
        <w:t xml:space="preserve"> הרי זה ספק פסול</w:t>
      </w:r>
      <w:r>
        <w:rPr>
          <w:rFonts w:asciiTheme="minorBidi" w:hAnsiTheme="minorBidi" w:hint="cs"/>
          <w:rtl/>
        </w:rPr>
        <w:t>.</w:t>
      </w:r>
      <w:r w:rsidRPr="00845316">
        <w:rPr>
          <w:rFonts w:asciiTheme="minorBidi" w:hAnsiTheme="minorBidi"/>
          <w:rtl/>
        </w:rPr>
        <w:t xml:space="preserve"> לפיכך לא יעיד</w:t>
      </w:r>
      <w:r>
        <w:rPr>
          <w:rFonts w:asciiTheme="minorBidi" w:hAnsiTheme="minorBidi" w:hint="cs"/>
          <w:rtl/>
        </w:rPr>
        <w:t>,</w:t>
      </w:r>
      <w:r w:rsidRPr="00845316">
        <w:rPr>
          <w:rFonts w:asciiTheme="minorBidi" w:hAnsiTheme="minorBidi"/>
          <w:rtl/>
        </w:rPr>
        <w:t xml:space="preserve"> ואין מוציאין ממון בעדותו</w:t>
      </w:r>
      <w:r>
        <w:rPr>
          <w:rFonts w:asciiTheme="minorBidi" w:hAnsiTheme="minorBidi" w:hint="cs"/>
          <w:rtl/>
        </w:rPr>
        <w:t>,</w:t>
      </w:r>
      <w:r w:rsidRPr="00845316">
        <w:rPr>
          <w:rFonts w:asciiTheme="minorBidi" w:hAnsiTheme="minorBidi"/>
          <w:rtl/>
        </w:rPr>
        <w:t xml:space="preserve"> ולא ידון עד שיודע שעשה תשובה</w:t>
      </w:r>
      <w:r w:rsidRPr="00845316">
        <w:rPr>
          <w:rStyle w:val="ab"/>
          <w:rFonts w:asciiTheme="minorBidi" w:hAnsiTheme="minorBidi"/>
          <w:rtl/>
        </w:rPr>
        <w:footnoteReference w:id="2429"/>
      </w:r>
      <w:r w:rsidRPr="00845316">
        <w:rPr>
          <w:rFonts w:asciiTheme="minorBidi" w:hAnsiTheme="minorBidi"/>
          <w:rtl/>
        </w:rPr>
        <w:t>.</w:t>
      </w:r>
      <w:r w:rsidRPr="00845316">
        <w:rPr>
          <w:rFonts w:asciiTheme="minorBidi" w:hAnsiTheme="minorBidi"/>
          <w:sz w:val="18"/>
          <w:szCs w:val="18"/>
          <w:rtl/>
        </w:rPr>
        <w:t xml:space="preserve"> הגה: שני עדים שהעידו על אחד שהוא פסול כגון שאחד אומר שגנב והשני אומר שהלוה ברבית מצטרפים לפסלו (מהר"ם פאדווה סי' לז). </w:t>
      </w:r>
    </w:p>
    <w:p w14:paraId="01B61603" w14:textId="77777777" w:rsidR="004B607F" w:rsidRPr="00845316" w:rsidRDefault="004B607F" w:rsidP="004B607F">
      <w:pPr>
        <w:rPr>
          <w:rFonts w:asciiTheme="minorBidi" w:hAnsiTheme="minorBidi"/>
          <w:u w:val="single"/>
          <w:rtl/>
        </w:rPr>
      </w:pPr>
      <w:r w:rsidRPr="00845316">
        <w:rPr>
          <w:rFonts w:asciiTheme="minorBidi" w:hAnsiTheme="minorBidi"/>
          <w:u w:val="single"/>
          <w:rtl/>
        </w:rPr>
        <w:t xml:space="preserve">עד זה </w:t>
      </w:r>
      <w:r w:rsidRPr="00845316">
        <w:rPr>
          <w:rFonts w:asciiTheme="minorBidi" w:hAnsiTheme="minorBidi"/>
          <w:sz w:val="16"/>
          <w:szCs w:val="16"/>
          <w:u w:val="single"/>
          <w:rtl/>
        </w:rPr>
        <w:t>(שנפסל מספק מחמת דתרי ותרי נינהו)</w:t>
      </w:r>
      <w:r w:rsidRPr="00845316">
        <w:rPr>
          <w:rFonts w:asciiTheme="minorBidi" w:hAnsiTheme="minorBidi"/>
          <w:u w:val="single"/>
          <w:rtl/>
        </w:rPr>
        <w:t xml:space="preserve">, נפסל רק כשמעידים עליו שעבר עבירה דאו' או גם על דרבנן: </w:t>
      </w:r>
    </w:p>
    <w:p w14:paraId="4177137B" w14:textId="77777777" w:rsidR="004B607F" w:rsidRPr="00845316" w:rsidRDefault="004B607F" w:rsidP="004B0475">
      <w:pPr>
        <w:pStyle w:val="ac"/>
        <w:numPr>
          <w:ilvl w:val="0"/>
          <w:numId w:val="179"/>
        </w:numPr>
        <w:rPr>
          <w:rFonts w:asciiTheme="minorBidi" w:hAnsiTheme="minorBidi"/>
          <w:rtl/>
        </w:rPr>
      </w:pPr>
      <w:r w:rsidRPr="00845316">
        <w:rPr>
          <w:rFonts w:asciiTheme="minorBidi" w:hAnsiTheme="minorBidi"/>
          <w:rtl/>
        </w:rPr>
        <w:t>אורים</w:t>
      </w:r>
      <w:r w:rsidRPr="00845316">
        <w:rPr>
          <w:rFonts w:asciiTheme="minorBidi" w:hAnsiTheme="minorBidi"/>
          <w:sz w:val="16"/>
          <w:szCs w:val="16"/>
          <w:rtl/>
        </w:rPr>
        <w:t xml:space="preserve"> (ס"ק סה)</w:t>
      </w:r>
      <w:r w:rsidRPr="00845316">
        <w:rPr>
          <w:rFonts w:asciiTheme="minorBidi" w:hAnsiTheme="minorBidi"/>
          <w:rtl/>
        </w:rPr>
        <w:t>- נראה אי תרי ותרי אמרו עליו שעבר איסור דרבנן משחק בקוביא וכדו' דהוי כשר דאוקמינן בחזקת כשרות.</w:t>
      </w:r>
    </w:p>
    <w:p w14:paraId="10333DD7" w14:textId="77777777" w:rsidR="004B607F" w:rsidRPr="00845316" w:rsidRDefault="004B607F" w:rsidP="004B607F">
      <w:pPr>
        <w:rPr>
          <w:rFonts w:asciiTheme="minorBidi" w:hAnsiTheme="minorBidi"/>
          <w:u w:val="single"/>
          <w:rtl/>
        </w:rPr>
      </w:pPr>
      <w:r w:rsidRPr="00845316">
        <w:rPr>
          <w:rFonts w:asciiTheme="minorBidi" w:hAnsiTheme="minorBidi"/>
          <w:u w:val="single"/>
          <w:rtl/>
        </w:rPr>
        <w:t xml:space="preserve">האם עד זה </w:t>
      </w:r>
      <w:r w:rsidRPr="00845316">
        <w:rPr>
          <w:rFonts w:asciiTheme="minorBidi" w:hAnsiTheme="minorBidi"/>
          <w:sz w:val="16"/>
          <w:szCs w:val="16"/>
          <w:u w:val="single"/>
          <w:rtl/>
        </w:rPr>
        <w:t>(כנ"ל)</w:t>
      </w:r>
      <w:r w:rsidRPr="00845316">
        <w:rPr>
          <w:rFonts w:asciiTheme="minorBidi" w:hAnsiTheme="minorBidi"/>
          <w:u w:val="single"/>
          <w:rtl/>
        </w:rPr>
        <w:t xml:space="preserve"> נפסל למפרע או שנפסל רק מעת שהעידו עליו שפסול:</w:t>
      </w:r>
    </w:p>
    <w:p w14:paraId="18D817A8" w14:textId="77777777" w:rsidR="004B607F" w:rsidRPr="00845316" w:rsidRDefault="004B607F" w:rsidP="004B0475">
      <w:pPr>
        <w:pStyle w:val="ac"/>
        <w:numPr>
          <w:ilvl w:val="0"/>
          <w:numId w:val="179"/>
        </w:numPr>
        <w:rPr>
          <w:rFonts w:asciiTheme="minorBidi" w:hAnsiTheme="minorBidi"/>
        </w:rPr>
      </w:pPr>
      <w:r w:rsidRPr="00845316">
        <w:rPr>
          <w:rFonts w:asciiTheme="minorBidi" w:hAnsiTheme="minorBidi"/>
          <w:rtl/>
        </w:rPr>
        <w:t>שעמ"ש</w:t>
      </w:r>
      <w:r w:rsidRPr="00845316">
        <w:rPr>
          <w:rFonts w:asciiTheme="minorBidi" w:hAnsiTheme="minorBidi"/>
          <w:sz w:val="16"/>
          <w:szCs w:val="16"/>
          <w:rtl/>
        </w:rPr>
        <w:t xml:space="preserve"> (סקט"ז)</w:t>
      </w:r>
      <w:r w:rsidRPr="00845316">
        <w:rPr>
          <w:rFonts w:asciiTheme="minorBidi" w:hAnsiTheme="minorBidi"/>
          <w:rtl/>
        </w:rPr>
        <w:t>- בתרי ותרי נמי כיון דנפסל מספק נפסל ג"כ למפרע מזמן שעשה העבירה לפי עדות הפוסלים.</w:t>
      </w:r>
    </w:p>
    <w:p w14:paraId="35104480" w14:textId="77777777" w:rsidR="004B607F" w:rsidRPr="00845316" w:rsidRDefault="004B607F" w:rsidP="004B0475">
      <w:pPr>
        <w:pStyle w:val="ac"/>
        <w:numPr>
          <w:ilvl w:val="0"/>
          <w:numId w:val="179"/>
        </w:numPr>
        <w:rPr>
          <w:rFonts w:asciiTheme="minorBidi" w:hAnsiTheme="minorBidi"/>
          <w:rtl/>
        </w:rPr>
      </w:pPr>
      <w:r w:rsidRPr="00845316">
        <w:rPr>
          <w:rFonts w:asciiTheme="minorBidi" w:hAnsiTheme="minorBidi"/>
          <w:rtl/>
        </w:rPr>
        <w:t>סמ"ע</w:t>
      </w:r>
      <w:r w:rsidRPr="00845316">
        <w:rPr>
          <w:rFonts w:asciiTheme="minorBidi" w:hAnsiTheme="minorBidi"/>
          <w:sz w:val="16"/>
          <w:szCs w:val="16"/>
          <w:rtl/>
        </w:rPr>
        <w:t xml:space="preserve"> (ס"ק סט)</w:t>
      </w:r>
      <w:r w:rsidRPr="00845316">
        <w:rPr>
          <w:rFonts w:asciiTheme="minorBidi" w:hAnsiTheme="minorBidi"/>
          <w:rtl/>
        </w:rPr>
        <w:t xml:space="preserve"> וב"ח- דוקא משעה זו שנעשה ספק בב"ד לא יעיד, אבל מה שכבר העיד קודם שנעשה ספק בב"ד אע"פ שהעיד לאחר שעשה העבירה </w:t>
      </w:r>
      <w:r w:rsidRPr="00845316">
        <w:rPr>
          <w:rFonts w:asciiTheme="minorBidi" w:hAnsiTheme="minorBidi"/>
          <w:sz w:val="16"/>
          <w:szCs w:val="16"/>
          <w:rtl/>
        </w:rPr>
        <w:t xml:space="preserve">(היינו העבירה שמיספקא לנו אי עבד) </w:t>
      </w:r>
      <w:r w:rsidRPr="00845316">
        <w:rPr>
          <w:rFonts w:asciiTheme="minorBidi" w:hAnsiTheme="minorBidi"/>
          <w:rtl/>
        </w:rPr>
        <w:t>אין מחזירין עדותו.</w:t>
      </w:r>
    </w:p>
    <w:p w14:paraId="4C20AC61" w14:textId="77777777" w:rsidR="004B607F" w:rsidRPr="00845316" w:rsidRDefault="004B607F" w:rsidP="004B607F">
      <w:pPr>
        <w:rPr>
          <w:rFonts w:asciiTheme="minorBidi" w:hAnsiTheme="minorBidi"/>
          <w:rtl/>
        </w:rPr>
      </w:pPr>
      <w:r w:rsidRPr="00845316">
        <w:rPr>
          <w:rFonts w:asciiTheme="minorBidi" w:hAnsiTheme="minorBidi"/>
          <w:u w:val="single"/>
          <w:rtl/>
        </w:rPr>
        <w:t>האם ספק מחמת מחלוקת רבוותא</w:t>
      </w:r>
      <w:r w:rsidRPr="00845316">
        <w:rPr>
          <w:rFonts w:asciiTheme="minorBidi" w:hAnsiTheme="minorBidi"/>
          <w:sz w:val="16"/>
          <w:szCs w:val="16"/>
          <w:u w:val="single"/>
          <w:rtl/>
        </w:rPr>
        <w:t xml:space="preserve"> (שנחלקים האם דבר מסויים מותר או אסור)</w:t>
      </w:r>
      <w:r w:rsidRPr="00845316">
        <w:rPr>
          <w:rFonts w:asciiTheme="minorBidi" w:hAnsiTheme="minorBidi"/>
          <w:u w:val="single"/>
          <w:rtl/>
        </w:rPr>
        <w:t xml:space="preserve"> הוי כספק שבא מחמת ב' כיתי עדים:</w:t>
      </w:r>
      <w:r w:rsidRPr="00845316">
        <w:rPr>
          <w:rFonts w:asciiTheme="minorBidi" w:hAnsiTheme="minorBidi"/>
          <w:rtl/>
        </w:rPr>
        <w:t xml:space="preserve">  </w:t>
      </w:r>
      <w:r w:rsidRPr="00845316">
        <w:rPr>
          <w:rFonts w:asciiTheme="minorBidi" w:hAnsiTheme="minorBidi"/>
          <w:sz w:val="16"/>
          <w:szCs w:val="16"/>
          <w:rtl/>
        </w:rPr>
        <w:t>(פת"ש סקמ"ג)</w:t>
      </w:r>
      <w:r w:rsidRPr="00845316">
        <w:rPr>
          <w:rFonts w:asciiTheme="minorBidi" w:hAnsiTheme="minorBidi"/>
          <w:rtl/>
        </w:rPr>
        <w:t xml:space="preserve"> </w:t>
      </w:r>
    </w:p>
    <w:p w14:paraId="1C81E2D4" w14:textId="77777777" w:rsidR="004B607F" w:rsidRPr="00845316" w:rsidRDefault="004B607F" w:rsidP="004B0475">
      <w:pPr>
        <w:pStyle w:val="ac"/>
        <w:numPr>
          <w:ilvl w:val="0"/>
          <w:numId w:val="179"/>
        </w:numPr>
        <w:rPr>
          <w:rFonts w:asciiTheme="minorBidi" w:hAnsiTheme="minorBidi"/>
        </w:rPr>
      </w:pPr>
      <w:r w:rsidRPr="00845316">
        <w:rPr>
          <w:rFonts w:asciiTheme="minorBidi" w:hAnsiTheme="minorBidi"/>
          <w:rtl/>
        </w:rPr>
        <w:t>מל"מ</w:t>
      </w:r>
      <w:r w:rsidRPr="00845316">
        <w:rPr>
          <w:rFonts w:asciiTheme="minorBidi" w:hAnsiTheme="minorBidi"/>
          <w:sz w:val="16"/>
          <w:szCs w:val="16"/>
          <w:rtl/>
        </w:rPr>
        <w:t xml:space="preserve"> (פ"ו דין ז)</w:t>
      </w:r>
      <w:r w:rsidRPr="00845316">
        <w:rPr>
          <w:rFonts w:asciiTheme="minorBidi" w:hAnsiTheme="minorBidi"/>
          <w:rtl/>
        </w:rPr>
        <w:t xml:space="preserve"> ותומים</w:t>
      </w:r>
      <w:r w:rsidRPr="00845316">
        <w:rPr>
          <w:rFonts w:asciiTheme="minorBidi" w:hAnsiTheme="minorBidi"/>
          <w:sz w:val="16"/>
          <w:szCs w:val="16"/>
          <w:rtl/>
        </w:rPr>
        <w:t xml:space="preserve"> (סקכ"ז)</w:t>
      </w:r>
      <w:r w:rsidRPr="00845316">
        <w:rPr>
          <w:rFonts w:asciiTheme="minorBidi" w:hAnsiTheme="minorBidi"/>
          <w:rtl/>
        </w:rPr>
        <w:t xml:space="preserve">- היכא דאיכא פלוגתא דרבוותא אם הוא כשר או פסול, הרי זה פסול מספק דהוי כתרי ותרי, ועדיפא מיניה, דאפילו לדעת ר"ח </w:t>
      </w:r>
      <w:r w:rsidRPr="00845316">
        <w:rPr>
          <w:rFonts w:asciiTheme="minorBidi" w:hAnsiTheme="minorBidi"/>
          <w:sz w:val="16"/>
          <w:szCs w:val="16"/>
          <w:rtl/>
        </w:rPr>
        <w:t xml:space="preserve">(בתוס' כתובות כב. ד"ה תרי) </w:t>
      </w:r>
      <w:r w:rsidRPr="00845316">
        <w:rPr>
          <w:rFonts w:asciiTheme="minorBidi" w:hAnsiTheme="minorBidi"/>
          <w:rtl/>
        </w:rPr>
        <w:t xml:space="preserve">והרז"ה </w:t>
      </w:r>
      <w:r w:rsidRPr="00845316">
        <w:rPr>
          <w:rFonts w:asciiTheme="minorBidi" w:hAnsiTheme="minorBidi"/>
          <w:sz w:val="16"/>
          <w:szCs w:val="16"/>
          <w:rtl/>
        </w:rPr>
        <w:t>(</w:t>
      </w:r>
      <w:r w:rsidRPr="00845316">
        <w:rPr>
          <w:rFonts w:asciiTheme="minorBidi" w:hAnsiTheme="minorBidi"/>
          <w:sz w:val="14"/>
          <w:szCs w:val="14"/>
          <w:rtl/>
        </w:rPr>
        <w:t>[שם ט. מדפי הרי"ף]</w:t>
      </w:r>
      <w:r w:rsidRPr="00845316">
        <w:rPr>
          <w:rFonts w:asciiTheme="minorBidi" w:hAnsiTheme="minorBidi"/>
          <w:sz w:val="16"/>
          <w:szCs w:val="16"/>
          <w:rtl/>
        </w:rPr>
        <w:t>, החולקים גבי תרי ותרי וס"ל דאמרינן אוקי תרי להדי תרי ואוקי גברא אחזקתיה וכשר)</w:t>
      </w:r>
      <w:r w:rsidRPr="00845316">
        <w:rPr>
          <w:rFonts w:asciiTheme="minorBidi" w:hAnsiTheme="minorBidi"/>
          <w:rtl/>
        </w:rPr>
        <w:t xml:space="preserve"> מודו הכא בפלוגתא דרבוותא, דלא שייך כאן לומר דמוקמינן ליה בחזקת כשרות כיון שהפעולה כבר נעשית כגון שאכל או שבעל, אלא דאיכא ספק אם אותה האכילה או הבעילה היא אסורה או מותרת, איך נאמר דמשום חזקתו אותה הפעולה היא מותרת. </w:t>
      </w:r>
    </w:p>
    <w:p w14:paraId="3DE78D79" w14:textId="77777777" w:rsidR="004B607F" w:rsidRPr="00845316" w:rsidRDefault="004B607F" w:rsidP="004B0475">
      <w:pPr>
        <w:pStyle w:val="ac"/>
        <w:numPr>
          <w:ilvl w:val="0"/>
          <w:numId w:val="179"/>
        </w:numPr>
        <w:rPr>
          <w:rFonts w:asciiTheme="minorBidi" w:hAnsiTheme="minorBidi"/>
          <w:rtl/>
        </w:rPr>
      </w:pPr>
      <w:r w:rsidRPr="00845316">
        <w:rPr>
          <w:rFonts w:asciiTheme="minorBidi" w:hAnsiTheme="minorBidi"/>
          <w:rtl/>
        </w:rPr>
        <w:t>פני משה</w:t>
      </w:r>
      <w:r w:rsidRPr="00845316">
        <w:rPr>
          <w:rFonts w:asciiTheme="minorBidi" w:hAnsiTheme="minorBidi"/>
          <w:sz w:val="16"/>
          <w:szCs w:val="16"/>
          <w:rtl/>
        </w:rPr>
        <w:t xml:space="preserve"> (סי' קח)</w:t>
      </w:r>
      <w:r w:rsidRPr="00845316">
        <w:rPr>
          <w:rFonts w:asciiTheme="minorBidi" w:hAnsiTheme="minorBidi"/>
          <w:rtl/>
        </w:rPr>
        <w:t>- בתרי ותרי לאו אוקמי גברא בחזקת כשרות דאם נעמידו על חזקת כשרות על כל פנים ב' עדים משקרין והם פסולים ויוצאים מחזקת כשרות, וא"כ סוף כל סוף אתה מוציא בני אדם מחזקתן, משא"כ במחלוקת הפוסקים, דאין כאן ריעותא בחזקת כשרות לשום אדם, אף דנימא דהדין כהך דמכשירין, לכן אוקמינן בחזקת כשרות.</w:t>
      </w:r>
    </w:p>
    <w:p w14:paraId="772B261B" w14:textId="77777777" w:rsidR="004B607F" w:rsidRPr="00845316" w:rsidRDefault="004B607F" w:rsidP="004B607F">
      <w:pPr>
        <w:rPr>
          <w:rFonts w:asciiTheme="minorBidi" w:hAnsiTheme="minorBidi"/>
          <w:rtl/>
        </w:rPr>
      </w:pPr>
    </w:p>
    <w:p w14:paraId="4D61E121" w14:textId="77777777" w:rsidR="004B607F" w:rsidRPr="00845316" w:rsidRDefault="004B607F" w:rsidP="004B607F">
      <w:pPr>
        <w:pStyle w:val="2"/>
        <w:rPr>
          <w:rFonts w:asciiTheme="minorBidi" w:hAnsiTheme="minorBidi"/>
          <w:rtl/>
        </w:rPr>
      </w:pPr>
      <w:bookmarkStart w:id="320" w:name="_Toc24883776"/>
      <w:r w:rsidRPr="00845316">
        <w:rPr>
          <w:rFonts w:asciiTheme="minorBidi" w:hAnsiTheme="minorBidi"/>
          <w:rtl/>
        </w:rPr>
        <w:lastRenderedPageBreak/>
        <w:t>סעיף כט: חזרת חייבי מלקות, פסולי עדות ומלווי ברבית.</w:t>
      </w:r>
      <w:bookmarkEnd w:id="320"/>
    </w:p>
    <w:p w14:paraId="3F068AA0" w14:textId="77777777" w:rsidR="004B607F" w:rsidRPr="00845316" w:rsidRDefault="004B607F" w:rsidP="004B607F">
      <w:pPr>
        <w:rPr>
          <w:rFonts w:asciiTheme="minorBidi" w:hAnsiTheme="minorBidi"/>
          <w:sz w:val="16"/>
          <w:szCs w:val="16"/>
          <w:rtl/>
        </w:rPr>
      </w:pPr>
      <w:r w:rsidRPr="00845316">
        <w:rPr>
          <w:rFonts w:asciiTheme="minorBidi" w:hAnsiTheme="minorBidi"/>
          <w:b/>
          <w:bCs/>
          <w:rtl/>
        </w:rPr>
        <w:t>מכות כג</w:t>
      </w:r>
      <w:r>
        <w:rPr>
          <w:rStyle w:val="ab"/>
          <w:rFonts w:asciiTheme="minorBidi" w:hAnsiTheme="minorBidi"/>
          <w:b/>
          <w:bCs/>
          <w:rtl/>
        </w:rPr>
        <w:footnoteReference w:id="2430"/>
      </w:r>
      <w:r w:rsidRPr="00845316">
        <w:rPr>
          <w:rFonts w:asciiTheme="minorBidi" w:hAnsiTheme="minorBidi"/>
          <w:b/>
          <w:bCs/>
          <w:rtl/>
        </w:rPr>
        <w:t xml:space="preserve"> ע"א: </w:t>
      </w:r>
      <w:r w:rsidRPr="00845316">
        <w:rPr>
          <w:rFonts w:asciiTheme="minorBidi" w:hAnsiTheme="minorBidi"/>
          <w:u w:val="double"/>
          <w:rtl/>
        </w:rPr>
        <w:t>מתני':</w:t>
      </w:r>
      <w:r w:rsidRPr="00845316">
        <w:rPr>
          <w:rFonts w:asciiTheme="minorBidi" w:hAnsiTheme="minorBidi"/>
          <w:rtl/>
        </w:rPr>
        <w:t xml:space="preserve"> כל חייבי כריתות שלקו - נפטרו ידי כריתתם, שנאמר: ונקלה אחיך לעיניך, כשלקה הרי הוא כאחיך, </w:t>
      </w:r>
      <w:r w:rsidRPr="00845316">
        <w:rPr>
          <w:rFonts w:asciiTheme="minorBidi" w:hAnsiTheme="minorBidi"/>
          <w:u w:val="single"/>
          <w:rtl/>
        </w:rPr>
        <w:t>דברי רבי חנניה בן גמליאל</w:t>
      </w:r>
      <w:r w:rsidRPr="00845316">
        <w:rPr>
          <w:rFonts w:asciiTheme="minorBidi" w:hAnsiTheme="minorBidi"/>
          <w:rtl/>
        </w:rPr>
        <w:t>.</w:t>
      </w:r>
      <w:r w:rsidRPr="00845316">
        <w:rPr>
          <w:rFonts w:asciiTheme="minorBidi" w:hAnsiTheme="minorBidi"/>
          <w:sz w:val="16"/>
          <w:szCs w:val="16"/>
          <w:rtl/>
        </w:rPr>
        <w:t xml:space="preserve"> (וכ"פ הרמב"ם פי"ב מהל' עדות ה"ד, </w:t>
      </w:r>
      <w:r w:rsidRPr="00845316">
        <w:rPr>
          <w:rFonts w:asciiTheme="minorBidi" w:hAnsiTheme="minorBidi"/>
          <w:color w:val="E36C0A" w:themeColor="accent6" w:themeShade="BF"/>
          <w:sz w:val="16"/>
          <w:szCs w:val="16"/>
          <w:rtl/>
        </w:rPr>
        <w:t>וכ"פ בשו"ע</w:t>
      </w:r>
      <w:r w:rsidRPr="00845316">
        <w:rPr>
          <w:rFonts w:asciiTheme="minorBidi" w:hAnsiTheme="minorBidi"/>
          <w:sz w:val="16"/>
          <w:szCs w:val="16"/>
          <w:rtl/>
        </w:rPr>
        <w:t>)</w:t>
      </w:r>
    </w:p>
    <w:p w14:paraId="7900FB95" w14:textId="77777777" w:rsidR="004B607F" w:rsidRPr="00845316" w:rsidRDefault="004B607F" w:rsidP="004B607F">
      <w:pPr>
        <w:rPr>
          <w:rFonts w:asciiTheme="minorBidi" w:hAnsiTheme="minorBidi"/>
          <w:u w:val="single"/>
          <w:rtl/>
        </w:rPr>
      </w:pPr>
      <w:r w:rsidRPr="00845316">
        <w:rPr>
          <w:rFonts w:asciiTheme="minorBidi" w:hAnsiTheme="minorBidi"/>
          <w:u w:val="single"/>
          <w:rtl/>
        </w:rPr>
        <w:t xml:space="preserve">אדם שעבר עברה שלא לוקין עליה או שעשה עברה בלי התראה </w:t>
      </w:r>
      <w:r w:rsidRPr="00845316">
        <w:rPr>
          <w:rFonts w:asciiTheme="minorBidi" w:hAnsiTheme="minorBidi"/>
          <w:sz w:val="16"/>
          <w:szCs w:val="16"/>
          <w:u w:val="single"/>
          <w:rtl/>
        </w:rPr>
        <w:t>(שאז אינו לוקה עליה)</w:t>
      </w:r>
      <w:r>
        <w:rPr>
          <w:rFonts w:asciiTheme="minorBidi" w:hAnsiTheme="minorBidi" w:hint="cs"/>
          <w:u w:val="single"/>
          <w:rtl/>
        </w:rPr>
        <w:t xml:space="preserve"> </w:t>
      </w:r>
      <w:r w:rsidRPr="00845316">
        <w:rPr>
          <w:rFonts w:asciiTheme="minorBidi" w:hAnsiTheme="minorBidi"/>
          <w:u w:val="single"/>
          <w:rtl/>
        </w:rPr>
        <w:t>- כיצד תשובתו:</w:t>
      </w:r>
    </w:p>
    <w:p w14:paraId="35C06CB4" w14:textId="77777777" w:rsidR="004B607F" w:rsidRPr="00845316" w:rsidRDefault="004B607F" w:rsidP="004B0475">
      <w:pPr>
        <w:pStyle w:val="ac"/>
        <w:numPr>
          <w:ilvl w:val="0"/>
          <w:numId w:val="179"/>
        </w:numPr>
        <w:rPr>
          <w:rFonts w:asciiTheme="minorBidi" w:hAnsiTheme="minorBidi"/>
        </w:rPr>
      </w:pPr>
      <w:r w:rsidRPr="00845316">
        <w:rPr>
          <w:rFonts w:asciiTheme="minorBidi" w:hAnsiTheme="minorBidi"/>
          <w:rtl/>
        </w:rPr>
        <w:t>יש מן הגדולים</w:t>
      </w:r>
      <w:r w:rsidRPr="00845316">
        <w:rPr>
          <w:rFonts w:asciiTheme="minorBidi" w:hAnsiTheme="minorBidi"/>
          <w:sz w:val="16"/>
          <w:szCs w:val="16"/>
          <w:rtl/>
        </w:rPr>
        <w:t xml:space="preserve"> (הביאם רי"ו </w:t>
      </w:r>
      <w:r w:rsidRPr="00845316">
        <w:rPr>
          <w:rFonts w:asciiTheme="minorBidi" w:hAnsiTheme="minorBidi"/>
          <w:sz w:val="14"/>
          <w:szCs w:val="14"/>
          <w:rtl/>
        </w:rPr>
        <w:t>[נ"ב ח"ד יב ע"ג]</w:t>
      </w:r>
      <w:r w:rsidRPr="00845316">
        <w:rPr>
          <w:rFonts w:asciiTheme="minorBidi" w:hAnsiTheme="minorBidi"/>
          <w:sz w:val="16"/>
          <w:szCs w:val="16"/>
          <w:rtl/>
        </w:rPr>
        <w:t>)</w:t>
      </w:r>
      <w:r w:rsidRPr="00845316">
        <w:rPr>
          <w:rFonts w:asciiTheme="minorBidi" w:hAnsiTheme="minorBidi"/>
          <w:rtl/>
        </w:rPr>
        <w:t xml:space="preserve">- די שילך לבית דין שבעירו ויקבל עליו שלא לעשות עוד. </w:t>
      </w:r>
    </w:p>
    <w:p w14:paraId="32170CAF" w14:textId="77777777" w:rsidR="004B607F" w:rsidRPr="00523DA9" w:rsidRDefault="004B607F" w:rsidP="004B607F">
      <w:pPr>
        <w:rPr>
          <w:rFonts w:asciiTheme="minorBidi" w:hAnsiTheme="minorBidi"/>
          <w:rtl/>
        </w:rPr>
      </w:pPr>
      <w:r w:rsidRPr="00523DA9">
        <w:rPr>
          <w:rFonts w:asciiTheme="minorBidi" w:hAnsiTheme="minorBidi"/>
          <w:b/>
          <w:bCs/>
          <w:rtl/>
        </w:rPr>
        <w:t xml:space="preserve">סנהדרין כה ע"ב: </w:t>
      </w:r>
      <w:r w:rsidRPr="00523DA9">
        <w:rPr>
          <w:rFonts w:asciiTheme="minorBidi" w:hAnsiTheme="minorBidi"/>
          <w:rtl/>
        </w:rPr>
        <w:t>מלוה בריבית, אחד המלוה ואחד הלוה, ואימתי חזרתן - משיקרעו את שטריהן</w:t>
      </w:r>
      <w:r w:rsidRPr="00845316">
        <w:rPr>
          <w:rStyle w:val="ab"/>
          <w:rFonts w:asciiTheme="minorBidi" w:hAnsiTheme="minorBidi"/>
          <w:rtl/>
        </w:rPr>
        <w:footnoteReference w:id="2431"/>
      </w:r>
      <w:r w:rsidRPr="00523DA9">
        <w:rPr>
          <w:rFonts w:asciiTheme="minorBidi" w:hAnsiTheme="minorBidi"/>
          <w:rtl/>
        </w:rPr>
        <w:t xml:space="preserve"> ויחזרו בהן חזרה גמורה</w:t>
      </w:r>
      <w:r w:rsidRPr="00845316">
        <w:rPr>
          <w:rStyle w:val="ab"/>
          <w:rFonts w:asciiTheme="minorBidi" w:hAnsiTheme="minorBidi"/>
          <w:rtl/>
        </w:rPr>
        <w:footnoteReference w:id="2432"/>
      </w:r>
      <w:r w:rsidRPr="00523DA9">
        <w:rPr>
          <w:rFonts w:asciiTheme="minorBidi" w:hAnsiTheme="minorBidi"/>
          <w:rtl/>
        </w:rPr>
        <w:t xml:space="preserve"> אפילו לנכרי לא מוזפי</w:t>
      </w:r>
      <w:r w:rsidRPr="00845316">
        <w:rPr>
          <w:rStyle w:val="ab"/>
          <w:rFonts w:asciiTheme="minorBidi" w:hAnsiTheme="minorBidi"/>
          <w:rtl/>
        </w:rPr>
        <w:footnoteReference w:id="2433"/>
      </w:r>
      <w:r w:rsidRPr="00523DA9">
        <w:rPr>
          <w:rFonts w:asciiTheme="minorBidi" w:hAnsiTheme="minorBidi"/>
          <w:rtl/>
        </w:rPr>
        <w:t xml:space="preserve">. </w:t>
      </w:r>
    </w:p>
    <w:p w14:paraId="394E6081" w14:textId="77777777" w:rsidR="004B607F" w:rsidRPr="00845316" w:rsidRDefault="004B607F" w:rsidP="004B607F">
      <w:pPr>
        <w:rPr>
          <w:rFonts w:asciiTheme="minorBidi" w:hAnsiTheme="minorBidi"/>
          <w:u w:val="single"/>
          <w:rtl/>
        </w:rPr>
      </w:pPr>
      <w:r>
        <w:rPr>
          <w:rFonts w:asciiTheme="minorBidi" w:hAnsiTheme="minorBidi" w:hint="cs"/>
          <w:u w:val="single"/>
          <w:rtl/>
        </w:rPr>
        <w:t>כש</w:t>
      </w:r>
      <w:r w:rsidRPr="00845316">
        <w:rPr>
          <w:rFonts w:asciiTheme="minorBidi" w:hAnsiTheme="minorBidi"/>
          <w:u w:val="single"/>
          <w:rtl/>
        </w:rPr>
        <w:t>הפסול לעדות רוצה לחזור בתשובה</w:t>
      </w:r>
      <w:r>
        <w:rPr>
          <w:rFonts w:asciiTheme="minorBidi" w:hAnsiTheme="minorBidi" w:hint="cs"/>
          <w:u w:val="single"/>
          <w:rtl/>
        </w:rPr>
        <w:t xml:space="preserve"> </w:t>
      </w:r>
      <w:r>
        <w:rPr>
          <w:rFonts w:asciiTheme="minorBidi" w:hAnsiTheme="minorBidi"/>
          <w:u w:val="single"/>
          <w:rtl/>
        </w:rPr>
        <w:t>–</w:t>
      </w:r>
      <w:r>
        <w:rPr>
          <w:rFonts w:asciiTheme="minorBidi" w:hAnsiTheme="minorBidi" w:hint="cs"/>
          <w:u w:val="single"/>
          <w:rtl/>
        </w:rPr>
        <w:t xml:space="preserve"> האם צריך לעשות לקבל על עצמו גדר לפנים מן הדין</w:t>
      </w:r>
      <w:r w:rsidRPr="00845316">
        <w:rPr>
          <w:rFonts w:asciiTheme="minorBidi" w:hAnsiTheme="minorBidi"/>
          <w:u w:val="single"/>
          <w:rtl/>
        </w:rPr>
        <w:t>:</w:t>
      </w:r>
    </w:p>
    <w:p w14:paraId="0ED900EB" w14:textId="77777777" w:rsidR="004B607F" w:rsidRPr="00845316" w:rsidRDefault="004B607F" w:rsidP="004B0475">
      <w:pPr>
        <w:pStyle w:val="ac"/>
        <w:numPr>
          <w:ilvl w:val="0"/>
          <w:numId w:val="179"/>
        </w:numPr>
        <w:rPr>
          <w:rFonts w:asciiTheme="minorBidi" w:hAnsiTheme="minorBidi"/>
        </w:rPr>
      </w:pPr>
      <w:r w:rsidRPr="00845316">
        <w:rPr>
          <w:rFonts w:asciiTheme="minorBidi" w:hAnsiTheme="minorBidi"/>
          <w:rtl/>
        </w:rPr>
        <w:t>בהעי"ט (טור</w:t>
      </w:r>
      <w:r w:rsidRPr="00845316">
        <w:rPr>
          <w:rFonts w:asciiTheme="minorBidi" w:hAnsiTheme="minorBidi"/>
          <w:sz w:val="16"/>
          <w:szCs w:val="16"/>
          <w:rtl/>
        </w:rPr>
        <w:t xml:space="preserve"> להב' הדרכ"מ</w:t>
      </w:r>
      <w:r w:rsidRPr="00845316">
        <w:rPr>
          <w:rFonts w:asciiTheme="minorBidi" w:hAnsiTheme="minorBidi"/>
          <w:rtl/>
        </w:rPr>
        <w:t>) ודרכ"מ</w:t>
      </w:r>
      <w:r w:rsidRPr="00845316">
        <w:rPr>
          <w:rStyle w:val="ab"/>
          <w:rFonts w:asciiTheme="minorBidi" w:hAnsiTheme="minorBidi"/>
          <w:rtl/>
        </w:rPr>
        <w:footnoteReference w:id="2434"/>
      </w:r>
      <w:r w:rsidRPr="00845316">
        <w:rPr>
          <w:rFonts w:asciiTheme="minorBidi" w:hAnsiTheme="minorBidi"/>
          <w:rtl/>
        </w:rPr>
        <w:t>- לא צריך לעשות לפנים מן השורה רק מי שהיה מלאכתו בכך והיה רגיל בזה, אבל אם עבר עבירה וחזר בתשובה סגי ליה בכך</w:t>
      </w:r>
      <w:r w:rsidRPr="00845316">
        <w:rPr>
          <w:rFonts w:asciiTheme="minorBidi" w:hAnsiTheme="minorBidi"/>
          <w:sz w:val="16"/>
          <w:szCs w:val="16"/>
          <w:rtl/>
        </w:rPr>
        <w:t xml:space="preserve"> (ל' הדרכ"מ)</w:t>
      </w:r>
      <w:r w:rsidRPr="00845316">
        <w:rPr>
          <w:rFonts w:asciiTheme="minorBidi" w:hAnsiTheme="minorBidi"/>
          <w:rtl/>
        </w:rPr>
        <w:t xml:space="preserve">. </w:t>
      </w:r>
      <w:r w:rsidRPr="00845316">
        <w:rPr>
          <w:rFonts w:asciiTheme="minorBidi" w:hAnsiTheme="minorBidi"/>
          <w:color w:val="00B0F0"/>
          <w:rtl/>
        </w:rPr>
        <w:t>(וכ"פ הרמ"א)</w:t>
      </w:r>
    </w:p>
    <w:p w14:paraId="3604F8DC" w14:textId="77777777" w:rsidR="004B607F" w:rsidRPr="00845316" w:rsidRDefault="004B607F" w:rsidP="004B0475">
      <w:pPr>
        <w:pStyle w:val="ac"/>
        <w:numPr>
          <w:ilvl w:val="0"/>
          <w:numId w:val="179"/>
        </w:numPr>
        <w:rPr>
          <w:rFonts w:asciiTheme="minorBidi" w:hAnsiTheme="minorBidi"/>
        </w:rPr>
      </w:pPr>
      <w:r w:rsidRPr="00845316">
        <w:rPr>
          <w:rFonts w:asciiTheme="minorBidi" w:hAnsiTheme="minorBidi"/>
          <w:rtl/>
        </w:rPr>
        <w:t>ב"י- כשיבוא לבית דין שבעירו לקבל עליו שלא יחזור לאותו חטא צריך שיקבל עליו שום גדר לאסור עצמו במותר לו בדבר הנוגע לאותו ענין, כדאשכחן במלוה ברבית ומפריחי יונים וכו'</w:t>
      </w:r>
      <w:r>
        <w:rPr>
          <w:rFonts w:asciiTheme="minorBidi" w:hAnsiTheme="minorBidi" w:hint="cs"/>
          <w:rtl/>
        </w:rPr>
        <w:t>.</w:t>
      </w:r>
      <w:r w:rsidRPr="00845316">
        <w:rPr>
          <w:rFonts w:asciiTheme="minorBidi" w:hAnsiTheme="minorBidi"/>
          <w:rtl/>
        </w:rPr>
        <w:t xml:space="preserve"> ואפשר דדוקא בפסולי ממון הוא דבעו לפנים מן השורה אבל לא באינך. </w:t>
      </w:r>
      <w:r w:rsidRPr="00845316">
        <w:rPr>
          <w:rFonts w:asciiTheme="minorBidi" w:hAnsiTheme="minorBidi"/>
          <w:color w:val="E36C0A" w:themeColor="accent6" w:themeShade="BF"/>
          <w:rtl/>
        </w:rPr>
        <w:t>(וכ"פ בשו"ע)</w:t>
      </w:r>
    </w:p>
    <w:p w14:paraId="77CBE051" w14:textId="77777777" w:rsidR="004B607F" w:rsidRPr="00845316" w:rsidRDefault="004B607F" w:rsidP="004B607F">
      <w:pPr>
        <w:jc w:val="both"/>
        <w:rPr>
          <w:rFonts w:asciiTheme="minorBidi" w:hAnsiTheme="minorBidi"/>
          <w:rtl/>
        </w:rPr>
      </w:pPr>
      <w:r w:rsidRPr="00845316">
        <w:rPr>
          <w:rFonts w:asciiTheme="minorBidi" w:hAnsiTheme="minorBidi"/>
          <w:b/>
          <w:bCs/>
          <w:sz w:val="32"/>
          <w:szCs w:val="28"/>
          <w:u w:val="single"/>
          <w:rtl/>
        </w:rPr>
        <w:t xml:space="preserve">שו"ע: </w:t>
      </w:r>
    </w:p>
    <w:p w14:paraId="63697FCE" w14:textId="77777777" w:rsidR="004B607F" w:rsidRPr="00845316" w:rsidRDefault="004B607F" w:rsidP="004B607F">
      <w:pPr>
        <w:rPr>
          <w:rFonts w:asciiTheme="minorBidi" w:hAnsiTheme="minorBidi"/>
          <w:sz w:val="18"/>
          <w:szCs w:val="18"/>
          <w:rtl/>
        </w:rPr>
      </w:pPr>
      <w:r w:rsidRPr="00845316">
        <w:rPr>
          <w:rFonts w:asciiTheme="minorBidi" w:hAnsiTheme="minorBidi"/>
          <w:rtl/>
        </w:rPr>
        <w:t>כל מי שנתחייב מלקות</w:t>
      </w:r>
      <w:r>
        <w:rPr>
          <w:rFonts w:asciiTheme="minorBidi" w:hAnsiTheme="minorBidi" w:hint="cs"/>
          <w:rtl/>
        </w:rPr>
        <w:t>,</w:t>
      </w:r>
      <w:r w:rsidRPr="00845316">
        <w:rPr>
          <w:rFonts w:asciiTheme="minorBidi" w:hAnsiTheme="minorBidi"/>
          <w:rtl/>
        </w:rPr>
        <w:t xml:space="preserve"> כיון שלקה בבית דין</w:t>
      </w:r>
      <w:r>
        <w:rPr>
          <w:rFonts w:asciiTheme="minorBidi" w:hAnsiTheme="minorBidi" w:hint="cs"/>
          <w:rtl/>
        </w:rPr>
        <w:t>,</w:t>
      </w:r>
      <w:r w:rsidRPr="00845316">
        <w:rPr>
          <w:rFonts w:asciiTheme="minorBidi" w:hAnsiTheme="minorBidi"/>
          <w:rtl/>
        </w:rPr>
        <w:t xml:space="preserve"> חוזר לכשרותו</w:t>
      </w:r>
      <w:r>
        <w:rPr>
          <w:rFonts w:asciiTheme="minorBidi" w:hAnsiTheme="minorBidi" w:hint="cs"/>
          <w:rtl/>
        </w:rPr>
        <w:t>.</w:t>
      </w:r>
      <w:r w:rsidRPr="00845316">
        <w:rPr>
          <w:rFonts w:asciiTheme="minorBidi" w:hAnsiTheme="minorBidi"/>
          <w:rtl/>
        </w:rPr>
        <w:t xml:space="preserve"> אבל שאר פסולי עדות שהם פסולים משום ממון שחמסו או שגזלו</w:t>
      </w:r>
      <w:r>
        <w:rPr>
          <w:rFonts w:asciiTheme="minorBidi" w:hAnsiTheme="minorBidi" w:hint="cs"/>
          <w:rtl/>
        </w:rPr>
        <w:t>,</w:t>
      </w:r>
      <w:r w:rsidRPr="00845316">
        <w:rPr>
          <w:rFonts w:asciiTheme="minorBidi" w:hAnsiTheme="minorBidi"/>
          <w:rtl/>
        </w:rPr>
        <w:t xml:space="preserve"> אף על פי ששלמו צריכים תשובה</w:t>
      </w:r>
      <w:r>
        <w:rPr>
          <w:rFonts w:asciiTheme="minorBidi" w:hAnsiTheme="minorBidi" w:hint="cs"/>
          <w:rtl/>
        </w:rPr>
        <w:t>,</w:t>
      </w:r>
      <w:r w:rsidRPr="00845316">
        <w:rPr>
          <w:rFonts w:asciiTheme="minorBidi" w:hAnsiTheme="minorBidi"/>
          <w:rtl/>
        </w:rPr>
        <w:t xml:space="preserve"> והרי הם פסולים עד שיודע שחזרו בהם מדרכם הרעה</w:t>
      </w:r>
      <w:r w:rsidRPr="00845316">
        <w:rPr>
          <w:rStyle w:val="ab"/>
          <w:rFonts w:asciiTheme="minorBidi" w:hAnsiTheme="minorBidi"/>
          <w:rtl/>
        </w:rPr>
        <w:footnoteReference w:id="2435"/>
      </w:r>
      <w:r>
        <w:rPr>
          <w:rFonts w:asciiTheme="minorBidi" w:hAnsiTheme="minorBidi" w:hint="cs"/>
          <w:rtl/>
        </w:rPr>
        <w:t>.</w:t>
      </w:r>
      <w:r w:rsidRPr="00845316">
        <w:rPr>
          <w:rFonts w:asciiTheme="minorBidi" w:hAnsiTheme="minorBidi"/>
          <w:rtl/>
        </w:rPr>
        <w:t xml:space="preserve"> מאימתי חזרת מלוה ברבית</w:t>
      </w:r>
      <w:r>
        <w:rPr>
          <w:rFonts w:asciiTheme="minorBidi" w:hAnsiTheme="minorBidi" w:hint="cs"/>
          <w:rtl/>
        </w:rPr>
        <w:t>,</w:t>
      </w:r>
      <w:r w:rsidRPr="00845316">
        <w:rPr>
          <w:rFonts w:asciiTheme="minorBidi" w:hAnsiTheme="minorBidi"/>
          <w:rtl/>
        </w:rPr>
        <w:t xml:space="preserve"> משיקרעו שטרותיהם</w:t>
      </w:r>
      <w:r w:rsidRPr="00845316">
        <w:rPr>
          <w:rStyle w:val="ab"/>
          <w:rFonts w:asciiTheme="minorBidi" w:hAnsiTheme="minorBidi"/>
          <w:rtl/>
        </w:rPr>
        <w:footnoteReference w:id="2436"/>
      </w:r>
      <w:r w:rsidRPr="00845316">
        <w:rPr>
          <w:rFonts w:asciiTheme="minorBidi" w:hAnsiTheme="minorBidi"/>
          <w:rtl/>
        </w:rPr>
        <w:t xml:space="preserve"> מעצמם ויחזרו בהם חזרה גמורה שלא ילוו ברבית אפילו לגוי</w:t>
      </w:r>
      <w:r w:rsidRPr="00845316">
        <w:rPr>
          <w:rStyle w:val="ab"/>
          <w:rFonts w:asciiTheme="minorBidi" w:hAnsiTheme="minorBidi"/>
          <w:rtl/>
        </w:rPr>
        <w:footnoteReference w:id="2437"/>
      </w:r>
      <w:r>
        <w:rPr>
          <w:rFonts w:asciiTheme="minorBidi" w:hAnsiTheme="minorBidi" w:hint="cs"/>
          <w:rtl/>
        </w:rPr>
        <w:t>.</w:t>
      </w:r>
      <w:r w:rsidRPr="00845316">
        <w:rPr>
          <w:rFonts w:asciiTheme="minorBidi" w:hAnsiTheme="minorBidi"/>
          <w:rtl/>
        </w:rPr>
        <w:t xml:space="preserve"> וצריך להחזיר כל מה שלקח ברבית לבעליהם</w:t>
      </w:r>
      <w:r w:rsidRPr="00845316">
        <w:rPr>
          <w:rStyle w:val="ab"/>
          <w:rFonts w:asciiTheme="minorBidi" w:hAnsiTheme="minorBidi"/>
          <w:rtl/>
        </w:rPr>
        <w:footnoteReference w:id="2438"/>
      </w:r>
      <w:r>
        <w:rPr>
          <w:rFonts w:asciiTheme="minorBidi" w:hAnsiTheme="minorBidi" w:hint="cs"/>
          <w:rtl/>
        </w:rPr>
        <w:t>.</w:t>
      </w:r>
      <w:r w:rsidRPr="00845316">
        <w:rPr>
          <w:rFonts w:asciiTheme="minorBidi" w:hAnsiTheme="minorBidi"/>
          <w:rtl/>
        </w:rPr>
        <w:t xml:space="preserve"> ואם אינו יודע ממי לקח</w:t>
      </w:r>
      <w:r>
        <w:rPr>
          <w:rFonts w:asciiTheme="minorBidi" w:hAnsiTheme="minorBidi" w:hint="cs"/>
          <w:rtl/>
        </w:rPr>
        <w:t>,</w:t>
      </w:r>
      <w:r w:rsidRPr="00845316">
        <w:rPr>
          <w:rFonts w:asciiTheme="minorBidi" w:hAnsiTheme="minorBidi"/>
          <w:rtl/>
        </w:rPr>
        <w:t xml:space="preserve"> צריך לעשות בו צרכי רבים</w:t>
      </w:r>
      <w:r w:rsidRPr="00845316">
        <w:rPr>
          <w:rStyle w:val="ab"/>
          <w:rFonts w:asciiTheme="minorBidi" w:hAnsiTheme="minorBidi"/>
          <w:rtl/>
        </w:rPr>
        <w:footnoteReference w:id="2439"/>
      </w:r>
      <w:r w:rsidRPr="00845316">
        <w:rPr>
          <w:rFonts w:asciiTheme="minorBidi" w:hAnsiTheme="minorBidi"/>
          <w:rtl/>
        </w:rPr>
        <w:t xml:space="preserve">. </w:t>
      </w:r>
      <w:r w:rsidRPr="00845316">
        <w:rPr>
          <w:rFonts w:asciiTheme="minorBidi" w:hAnsiTheme="minorBidi"/>
          <w:sz w:val="18"/>
          <w:szCs w:val="18"/>
          <w:rtl/>
        </w:rPr>
        <w:t>הגה: וי"א דכל זה דווקא במי שרגיל לגזול ולגנוב</w:t>
      </w:r>
      <w:r>
        <w:rPr>
          <w:rFonts w:asciiTheme="minorBidi" w:hAnsiTheme="minorBidi" w:hint="cs"/>
          <w:sz w:val="18"/>
          <w:szCs w:val="18"/>
          <w:rtl/>
        </w:rPr>
        <w:t>,</w:t>
      </w:r>
      <w:r w:rsidRPr="00845316">
        <w:rPr>
          <w:rFonts w:asciiTheme="minorBidi" w:hAnsiTheme="minorBidi"/>
          <w:sz w:val="18"/>
          <w:szCs w:val="18"/>
          <w:rtl/>
        </w:rPr>
        <w:t xml:space="preserve"> אבל מי שגנב וגזל באקראי בעלמא מיד שהחזיר מה שגנב וגזל הוי תשובה</w:t>
      </w:r>
      <w:r>
        <w:rPr>
          <w:rFonts w:asciiTheme="minorBidi" w:hAnsiTheme="minorBidi" w:hint="cs"/>
          <w:sz w:val="18"/>
          <w:szCs w:val="18"/>
          <w:rtl/>
        </w:rPr>
        <w:t>.</w:t>
      </w:r>
      <w:r w:rsidRPr="00845316">
        <w:rPr>
          <w:rFonts w:asciiTheme="minorBidi" w:hAnsiTheme="minorBidi"/>
          <w:sz w:val="18"/>
          <w:szCs w:val="18"/>
          <w:rtl/>
        </w:rPr>
        <w:t xml:space="preserve"> ודוקא אם החזירו מעצמו אבל אם לא החזיר רק ע"י כפיית ב"ד לא מהני החזרה עד שיעשה תשובה (טור והרא"ש כלל נ"ח)</w:t>
      </w:r>
      <w:r>
        <w:rPr>
          <w:rFonts w:asciiTheme="minorBidi" w:hAnsiTheme="minorBidi" w:hint="cs"/>
          <w:sz w:val="18"/>
          <w:szCs w:val="18"/>
          <w:rtl/>
        </w:rPr>
        <w:t>.</w:t>
      </w:r>
      <w:r w:rsidRPr="00845316">
        <w:rPr>
          <w:rFonts w:asciiTheme="minorBidi" w:hAnsiTheme="minorBidi"/>
          <w:sz w:val="18"/>
          <w:szCs w:val="18"/>
          <w:rtl/>
        </w:rPr>
        <w:t xml:space="preserve"> וכן נראה לי. </w:t>
      </w:r>
    </w:p>
    <w:p w14:paraId="6158EFC1" w14:textId="77777777" w:rsidR="004B607F" w:rsidRPr="00845316" w:rsidRDefault="004B607F" w:rsidP="004B607F">
      <w:pPr>
        <w:rPr>
          <w:rFonts w:asciiTheme="minorBidi" w:hAnsiTheme="minorBidi"/>
          <w:sz w:val="16"/>
          <w:szCs w:val="16"/>
          <w:rtl/>
        </w:rPr>
      </w:pPr>
      <w:r w:rsidRPr="00845316">
        <w:rPr>
          <w:rFonts w:asciiTheme="minorBidi" w:hAnsiTheme="minorBidi"/>
          <w:u w:val="single"/>
          <w:rtl/>
        </w:rPr>
        <w:t>האם בעינן תחילתו וסופו בכשרות גם בפסול מחמת עבירה:</w:t>
      </w:r>
      <w:r w:rsidRPr="00845316">
        <w:rPr>
          <w:rFonts w:asciiTheme="minorBidi" w:hAnsiTheme="minorBidi"/>
          <w:rtl/>
        </w:rPr>
        <w:t xml:space="preserve"> </w:t>
      </w:r>
      <w:r w:rsidRPr="00845316">
        <w:rPr>
          <w:rFonts w:asciiTheme="minorBidi" w:hAnsiTheme="minorBidi"/>
          <w:sz w:val="16"/>
          <w:szCs w:val="16"/>
          <w:rtl/>
        </w:rPr>
        <w:t>(פת"ש סקמ"ה)</w:t>
      </w:r>
    </w:p>
    <w:p w14:paraId="2BF2AADD" w14:textId="77777777" w:rsidR="004B607F" w:rsidRPr="00845316" w:rsidRDefault="004B607F" w:rsidP="004B0475">
      <w:pPr>
        <w:pStyle w:val="ac"/>
        <w:numPr>
          <w:ilvl w:val="0"/>
          <w:numId w:val="181"/>
        </w:numPr>
        <w:rPr>
          <w:rFonts w:asciiTheme="minorBidi" w:hAnsiTheme="minorBidi"/>
        </w:rPr>
      </w:pPr>
      <w:r w:rsidRPr="00845316">
        <w:rPr>
          <w:rFonts w:asciiTheme="minorBidi" w:hAnsiTheme="minorBidi"/>
          <w:rtl/>
        </w:rPr>
        <w:lastRenderedPageBreak/>
        <w:t>הר"ר העשיל</w:t>
      </w:r>
      <w:r w:rsidRPr="00845316">
        <w:rPr>
          <w:rStyle w:val="ab"/>
          <w:rFonts w:asciiTheme="minorBidi" w:hAnsiTheme="minorBidi"/>
          <w:rtl/>
        </w:rPr>
        <w:footnoteReference w:id="2440"/>
      </w:r>
      <w:r w:rsidRPr="00845316">
        <w:rPr>
          <w:rFonts w:asciiTheme="minorBidi" w:hAnsiTheme="minorBidi"/>
          <w:rtl/>
        </w:rPr>
        <w:t xml:space="preserve"> תומים </w:t>
      </w:r>
      <w:r w:rsidRPr="00845316">
        <w:rPr>
          <w:rFonts w:asciiTheme="minorBidi" w:hAnsiTheme="minorBidi"/>
          <w:sz w:val="16"/>
          <w:szCs w:val="16"/>
          <w:rtl/>
        </w:rPr>
        <w:t>(סקכ"ח)</w:t>
      </w:r>
      <w:r w:rsidRPr="00845316">
        <w:rPr>
          <w:rFonts w:asciiTheme="minorBidi" w:hAnsiTheme="minorBidi"/>
          <w:rtl/>
        </w:rPr>
        <w:t xml:space="preserve"> באה"ט</w:t>
      </w:r>
      <w:r w:rsidRPr="00845316">
        <w:rPr>
          <w:rFonts w:asciiTheme="minorBidi" w:hAnsiTheme="minorBidi"/>
          <w:sz w:val="16"/>
          <w:szCs w:val="16"/>
          <w:rtl/>
        </w:rPr>
        <w:t xml:space="preserve"> (סקל"ו)</w:t>
      </w:r>
      <w:r w:rsidRPr="00845316">
        <w:rPr>
          <w:rFonts w:asciiTheme="minorBidi" w:hAnsiTheme="minorBidi"/>
          <w:rtl/>
        </w:rPr>
        <w:t xml:space="preserve"> נתיבות ב"ש בית מאיר מראות הצובאות נו"ב ופת"ש</w:t>
      </w:r>
      <w:r w:rsidRPr="00845316">
        <w:rPr>
          <w:rStyle w:val="ab"/>
          <w:rFonts w:asciiTheme="minorBidi" w:hAnsiTheme="minorBidi"/>
          <w:rtl/>
        </w:rPr>
        <w:footnoteReference w:id="2441"/>
      </w:r>
      <w:r w:rsidRPr="00845316">
        <w:rPr>
          <w:rFonts w:asciiTheme="minorBidi" w:hAnsiTheme="minorBidi"/>
          <w:rtl/>
        </w:rPr>
        <w:t xml:space="preserve">- גם בפסול מחמת עבירה בעינן תחילתו וסופו בכשרות. </w:t>
      </w:r>
    </w:p>
    <w:p w14:paraId="17919B68" w14:textId="77777777" w:rsidR="004B607F" w:rsidRPr="00845316" w:rsidRDefault="004B607F" w:rsidP="004B0475">
      <w:pPr>
        <w:pStyle w:val="ac"/>
        <w:numPr>
          <w:ilvl w:val="0"/>
          <w:numId w:val="181"/>
        </w:numPr>
        <w:rPr>
          <w:rFonts w:asciiTheme="minorBidi" w:hAnsiTheme="minorBidi"/>
          <w:rtl/>
        </w:rPr>
      </w:pPr>
      <w:r w:rsidRPr="00845316">
        <w:rPr>
          <w:rFonts w:asciiTheme="minorBidi" w:hAnsiTheme="minorBidi"/>
          <w:rtl/>
        </w:rPr>
        <w:t xml:space="preserve">ש"ך </w:t>
      </w:r>
      <w:r w:rsidRPr="00845316">
        <w:rPr>
          <w:rFonts w:asciiTheme="minorBidi" w:hAnsiTheme="minorBidi"/>
          <w:sz w:val="16"/>
          <w:szCs w:val="16"/>
          <w:rtl/>
        </w:rPr>
        <w:t>(סקל"ג)</w:t>
      </w:r>
      <w:r w:rsidRPr="00845316">
        <w:rPr>
          <w:rFonts w:asciiTheme="minorBidi" w:hAnsiTheme="minorBidi"/>
          <w:rtl/>
        </w:rPr>
        <w:t>- נראה דכל הפסולים מחמת עבירה כשרים כשחזרו בתשובה הראויה להם אפילו בעדות שראו בשעה שהיו פסולים בעבירה ולא בעינן בזה תחילתו וסופו בכשרות</w:t>
      </w:r>
      <w:r w:rsidRPr="00845316">
        <w:rPr>
          <w:rStyle w:val="ab"/>
          <w:rFonts w:asciiTheme="minorBidi" w:hAnsiTheme="minorBidi"/>
          <w:rtl/>
        </w:rPr>
        <w:footnoteReference w:id="2442"/>
      </w:r>
      <w:r w:rsidRPr="00845316">
        <w:rPr>
          <w:rFonts w:asciiTheme="minorBidi" w:hAnsiTheme="minorBidi"/>
          <w:rtl/>
        </w:rPr>
        <w:t>.</w:t>
      </w:r>
    </w:p>
    <w:p w14:paraId="4803A452" w14:textId="77777777" w:rsidR="004B607F" w:rsidRPr="00845316" w:rsidRDefault="004B607F" w:rsidP="004B607F">
      <w:pPr>
        <w:rPr>
          <w:rFonts w:asciiTheme="minorBidi" w:hAnsiTheme="minorBidi"/>
          <w:rtl/>
        </w:rPr>
      </w:pPr>
    </w:p>
    <w:p w14:paraId="4EC3B8D4" w14:textId="77777777" w:rsidR="004B607F" w:rsidRPr="00845316" w:rsidRDefault="004B607F" w:rsidP="004B607F">
      <w:pPr>
        <w:pStyle w:val="2"/>
        <w:rPr>
          <w:rFonts w:asciiTheme="minorBidi" w:hAnsiTheme="minorBidi"/>
          <w:rtl/>
        </w:rPr>
      </w:pPr>
      <w:bookmarkStart w:id="321" w:name="_Toc24883777"/>
      <w:r w:rsidRPr="00845316">
        <w:rPr>
          <w:rFonts w:asciiTheme="minorBidi" w:hAnsiTheme="minorBidi"/>
          <w:rtl/>
        </w:rPr>
        <w:t>סעיף ל: חזרת המשחקים בקוביא.</w:t>
      </w:r>
      <w:bookmarkEnd w:id="321"/>
    </w:p>
    <w:p w14:paraId="45966B17" w14:textId="77777777" w:rsidR="004B607F" w:rsidRPr="00845316" w:rsidRDefault="004B607F" w:rsidP="004B607F">
      <w:pPr>
        <w:rPr>
          <w:rFonts w:asciiTheme="minorBidi" w:hAnsiTheme="minorBidi"/>
          <w:rtl/>
        </w:rPr>
      </w:pPr>
      <w:r w:rsidRPr="00845316">
        <w:rPr>
          <w:rFonts w:asciiTheme="minorBidi" w:hAnsiTheme="minorBidi"/>
          <w:b/>
          <w:bCs/>
          <w:rtl/>
        </w:rPr>
        <w:t xml:space="preserve">סנהדרין כה ע"ב: </w:t>
      </w:r>
      <w:r w:rsidRPr="00845316">
        <w:rPr>
          <w:rFonts w:asciiTheme="minorBidi" w:hAnsiTheme="minorBidi"/>
          <w:rtl/>
        </w:rPr>
        <w:t>המשחק בקוביא - אלו הן המשחקים בפיספסים</w:t>
      </w:r>
      <w:r w:rsidRPr="00845316">
        <w:rPr>
          <w:rStyle w:val="ab"/>
          <w:rFonts w:asciiTheme="minorBidi" w:hAnsiTheme="minorBidi"/>
          <w:rtl/>
        </w:rPr>
        <w:footnoteReference w:id="2443"/>
      </w:r>
      <w:r w:rsidRPr="00845316">
        <w:rPr>
          <w:rFonts w:asciiTheme="minorBidi" w:hAnsiTheme="minorBidi"/>
          <w:rtl/>
        </w:rPr>
        <w:t>, ולא בפיספסים בלבד אמרו, אלא אפילו קליפי אגוזים</w:t>
      </w:r>
      <w:r w:rsidRPr="00845316">
        <w:rPr>
          <w:rStyle w:val="ab"/>
          <w:rFonts w:asciiTheme="minorBidi" w:hAnsiTheme="minorBidi"/>
          <w:rtl/>
        </w:rPr>
        <w:footnoteReference w:id="2444"/>
      </w:r>
      <w:r w:rsidRPr="00845316">
        <w:rPr>
          <w:rFonts w:asciiTheme="minorBidi" w:hAnsiTheme="minorBidi"/>
          <w:rtl/>
        </w:rPr>
        <w:t xml:space="preserve"> וקליפי רימונים</w:t>
      </w:r>
      <w:r>
        <w:rPr>
          <w:rFonts w:asciiTheme="minorBidi" w:hAnsiTheme="minorBidi" w:hint="cs"/>
          <w:rtl/>
        </w:rPr>
        <w:t>.</w:t>
      </w:r>
      <w:r w:rsidRPr="00845316">
        <w:rPr>
          <w:rFonts w:asciiTheme="minorBidi" w:hAnsiTheme="minorBidi"/>
          <w:rtl/>
        </w:rPr>
        <w:t xml:space="preserve"> ואימתי חזרתן - משישברו את פיספסיהן ויחזרו בהן חזרה גמורה, דאפילו בחנם לא עבדי. </w:t>
      </w:r>
    </w:p>
    <w:p w14:paraId="36973589" w14:textId="77777777" w:rsidR="004B607F" w:rsidRPr="00845316" w:rsidRDefault="004B607F" w:rsidP="004B607F">
      <w:pPr>
        <w:jc w:val="both"/>
        <w:rPr>
          <w:rFonts w:asciiTheme="minorBidi" w:hAnsiTheme="minorBidi"/>
          <w:rtl/>
        </w:rPr>
      </w:pPr>
      <w:r w:rsidRPr="00845316">
        <w:rPr>
          <w:rFonts w:asciiTheme="minorBidi" w:hAnsiTheme="minorBidi"/>
          <w:b/>
          <w:bCs/>
          <w:sz w:val="32"/>
          <w:szCs w:val="28"/>
          <w:u w:val="single"/>
          <w:rtl/>
        </w:rPr>
        <w:t xml:space="preserve">שו"ע: </w:t>
      </w:r>
    </w:p>
    <w:p w14:paraId="61ED9CFD" w14:textId="77777777" w:rsidR="004B607F" w:rsidRPr="00845316" w:rsidRDefault="004B607F" w:rsidP="004B607F">
      <w:pPr>
        <w:rPr>
          <w:rFonts w:asciiTheme="minorBidi" w:hAnsiTheme="minorBidi"/>
          <w:rtl/>
        </w:rPr>
      </w:pPr>
      <w:r w:rsidRPr="00845316">
        <w:rPr>
          <w:rFonts w:asciiTheme="minorBidi" w:hAnsiTheme="minorBidi"/>
          <w:rtl/>
        </w:rPr>
        <w:t xml:space="preserve">מאימתי חזרת המשחקים בקוביא משישברו פספסיהם </w:t>
      </w:r>
      <w:r w:rsidRPr="00845316">
        <w:rPr>
          <w:rFonts w:asciiTheme="minorBidi" w:hAnsiTheme="minorBidi"/>
          <w:sz w:val="16"/>
          <w:szCs w:val="16"/>
          <w:rtl/>
        </w:rPr>
        <w:t>(פי' כלי השחוק הנזכר והם הקוביאות)</w:t>
      </w:r>
      <w:r w:rsidRPr="00845316">
        <w:rPr>
          <w:rFonts w:asciiTheme="minorBidi" w:hAnsiTheme="minorBidi"/>
          <w:rtl/>
        </w:rPr>
        <w:t xml:space="preserve"> ויחזרו בהם חזרה גמורה שלא יעשו אפילו בחנם. </w:t>
      </w:r>
    </w:p>
    <w:p w14:paraId="73AC760A" w14:textId="77777777" w:rsidR="004B607F" w:rsidRPr="00845316" w:rsidRDefault="004B607F" w:rsidP="004B607F">
      <w:pPr>
        <w:rPr>
          <w:rFonts w:asciiTheme="minorBidi" w:hAnsiTheme="minorBidi"/>
          <w:rtl/>
        </w:rPr>
      </w:pPr>
    </w:p>
    <w:p w14:paraId="3A395F8F" w14:textId="77777777" w:rsidR="004B607F" w:rsidRPr="00845316" w:rsidRDefault="004B607F" w:rsidP="004B607F">
      <w:pPr>
        <w:pStyle w:val="2"/>
        <w:rPr>
          <w:rFonts w:asciiTheme="minorBidi" w:hAnsiTheme="minorBidi"/>
          <w:rtl/>
        </w:rPr>
      </w:pPr>
      <w:bookmarkStart w:id="322" w:name="_Toc24883778"/>
      <w:r w:rsidRPr="00845316">
        <w:rPr>
          <w:rFonts w:asciiTheme="minorBidi" w:hAnsiTheme="minorBidi"/>
          <w:rtl/>
        </w:rPr>
        <w:t>סעיף לא: חזרת מפריחי יונים.</w:t>
      </w:r>
      <w:bookmarkEnd w:id="322"/>
    </w:p>
    <w:p w14:paraId="4613C997" w14:textId="77777777" w:rsidR="004B607F" w:rsidRPr="00845316" w:rsidRDefault="004B607F" w:rsidP="004B607F">
      <w:pPr>
        <w:rPr>
          <w:rFonts w:asciiTheme="minorBidi" w:hAnsiTheme="minorBidi"/>
          <w:rtl/>
        </w:rPr>
      </w:pPr>
      <w:r w:rsidRPr="00845316">
        <w:rPr>
          <w:rFonts w:asciiTheme="minorBidi" w:hAnsiTheme="minorBidi"/>
          <w:b/>
          <w:bCs/>
          <w:rtl/>
        </w:rPr>
        <w:t xml:space="preserve">סנהדרין כה ע"ב: </w:t>
      </w:r>
      <w:r w:rsidRPr="00845316">
        <w:rPr>
          <w:rFonts w:asciiTheme="minorBidi" w:hAnsiTheme="minorBidi"/>
          <w:rtl/>
        </w:rPr>
        <w:t>ומפריחי יונים - אלו שממרין את היונים</w:t>
      </w:r>
      <w:r w:rsidRPr="00845316">
        <w:rPr>
          <w:rStyle w:val="ab"/>
          <w:rFonts w:asciiTheme="minorBidi" w:hAnsiTheme="minorBidi"/>
          <w:rtl/>
        </w:rPr>
        <w:footnoteReference w:id="2445"/>
      </w:r>
      <w:r w:rsidRPr="00845316">
        <w:rPr>
          <w:rFonts w:asciiTheme="minorBidi" w:hAnsiTheme="minorBidi"/>
          <w:rtl/>
        </w:rPr>
        <w:t>, ולא יונים בלבד אמרו, אלא אפילו בהמה חיה ועוף</w:t>
      </w:r>
      <w:r w:rsidRPr="00845316">
        <w:rPr>
          <w:rStyle w:val="ab"/>
          <w:rFonts w:asciiTheme="minorBidi" w:hAnsiTheme="minorBidi"/>
          <w:rtl/>
        </w:rPr>
        <w:footnoteReference w:id="2446"/>
      </w:r>
      <w:r w:rsidRPr="00845316">
        <w:rPr>
          <w:rFonts w:asciiTheme="minorBidi" w:hAnsiTheme="minorBidi"/>
          <w:rtl/>
        </w:rPr>
        <w:t>, ואימתי חזרתן - משישברו את פגמיהן</w:t>
      </w:r>
      <w:r w:rsidRPr="00845316">
        <w:rPr>
          <w:rStyle w:val="ab"/>
          <w:rFonts w:asciiTheme="minorBidi" w:hAnsiTheme="minorBidi"/>
          <w:rtl/>
        </w:rPr>
        <w:footnoteReference w:id="2447"/>
      </w:r>
      <w:r w:rsidRPr="00845316">
        <w:rPr>
          <w:rFonts w:asciiTheme="minorBidi" w:hAnsiTheme="minorBidi"/>
          <w:rtl/>
        </w:rPr>
        <w:t>, ויחזרו בהן חזרה גמורה, דאפילו במדבר</w:t>
      </w:r>
      <w:r w:rsidRPr="00845316">
        <w:rPr>
          <w:rStyle w:val="ab"/>
          <w:rFonts w:asciiTheme="minorBidi" w:hAnsiTheme="minorBidi"/>
          <w:rtl/>
        </w:rPr>
        <w:footnoteReference w:id="2448"/>
      </w:r>
      <w:r w:rsidRPr="00845316">
        <w:rPr>
          <w:rFonts w:asciiTheme="minorBidi" w:hAnsiTheme="minorBidi"/>
          <w:rtl/>
        </w:rPr>
        <w:t xml:space="preserve"> נמי לא עבדי</w:t>
      </w:r>
      <w:r w:rsidRPr="00845316">
        <w:rPr>
          <w:rStyle w:val="ab"/>
          <w:rFonts w:asciiTheme="minorBidi" w:hAnsiTheme="minorBidi"/>
          <w:rtl/>
        </w:rPr>
        <w:footnoteReference w:id="2449"/>
      </w:r>
      <w:r w:rsidRPr="00845316">
        <w:rPr>
          <w:rFonts w:asciiTheme="minorBidi" w:hAnsiTheme="minorBidi"/>
          <w:rtl/>
        </w:rPr>
        <w:t xml:space="preserve">. </w:t>
      </w:r>
    </w:p>
    <w:p w14:paraId="00297B21" w14:textId="77777777" w:rsidR="004B607F" w:rsidRPr="00845316" w:rsidRDefault="004B607F" w:rsidP="004B607F">
      <w:pPr>
        <w:rPr>
          <w:rFonts w:asciiTheme="minorBidi" w:hAnsiTheme="minorBidi"/>
          <w:u w:val="single"/>
          <w:rtl/>
        </w:rPr>
      </w:pPr>
      <w:r w:rsidRPr="00845316">
        <w:rPr>
          <w:rFonts w:asciiTheme="minorBidi" w:hAnsiTheme="minorBidi"/>
          <w:u w:val="single"/>
          <w:rtl/>
        </w:rPr>
        <w:t>האם המשחקים בקוביא</w:t>
      </w:r>
      <w:r w:rsidRPr="00845316">
        <w:rPr>
          <w:rStyle w:val="ab"/>
          <w:rFonts w:asciiTheme="minorBidi" w:hAnsiTheme="minorBidi"/>
          <w:u w:val="single"/>
          <w:rtl/>
        </w:rPr>
        <w:footnoteReference w:id="2450"/>
      </w:r>
      <w:r w:rsidRPr="00845316">
        <w:rPr>
          <w:rFonts w:asciiTheme="minorBidi" w:hAnsiTheme="minorBidi"/>
          <w:u w:val="single"/>
          <w:rtl/>
        </w:rPr>
        <w:t xml:space="preserve"> שרוצים לחזור בתשובה צריכים להחזיר את המעות שהרויחו מהמשחק:</w:t>
      </w:r>
    </w:p>
    <w:p w14:paraId="52654939" w14:textId="77777777" w:rsidR="004B607F" w:rsidRPr="00845316" w:rsidRDefault="004B607F" w:rsidP="004B0475">
      <w:pPr>
        <w:pStyle w:val="ac"/>
        <w:numPr>
          <w:ilvl w:val="0"/>
          <w:numId w:val="182"/>
        </w:numPr>
        <w:rPr>
          <w:rFonts w:asciiTheme="minorBidi" w:hAnsiTheme="minorBidi"/>
          <w:rtl/>
        </w:rPr>
      </w:pPr>
      <w:r w:rsidRPr="00845316">
        <w:rPr>
          <w:rFonts w:asciiTheme="minorBidi" w:hAnsiTheme="minorBidi"/>
          <w:rtl/>
        </w:rPr>
        <w:t>(רמב"ם</w:t>
      </w:r>
      <w:r w:rsidRPr="00845316">
        <w:rPr>
          <w:rFonts w:asciiTheme="minorBidi" w:hAnsiTheme="minorBidi"/>
          <w:sz w:val="16"/>
          <w:szCs w:val="16"/>
          <w:rtl/>
        </w:rPr>
        <w:t xml:space="preserve"> להב' הגר"א </w:t>
      </w:r>
      <w:r w:rsidRPr="00845316">
        <w:rPr>
          <w:rFonts w:asciiTheme="minorBidi" w:hAnsiTheme="minorBidi"/>
          <w:sz w:val="14"/>
          <w:szCs w:val="14"/>
          <w:rtl/>
        </w:rPr>
        <w:t>[ס"ק סו]</w:t>
      </w:r>
      <w:r w:rsidRPr="00845316">
        <w:rPr>
          <w:rFonts w:asciiTheme="minorBidi" w:hAnsiTheme="minorBidi"/>
          <w:rtl/>
        </w:rPr>
        <w:t>) (רא"ש</w:t>
      </w:r>
      <w:r w:rsidRPr="00845316">
        <w:rPr>
          <w:rFonts w:asciiTheme="minorBidi" w:hAnsiTheme="minorBidi"/>
          <w:sz w:val="16"/>
          <w:szCs w:val="16"/>
          <w:rtl/>
        </w:rPr>
        <w:t xml:space="preserve"> </w:t>
      </w:r>
      <w:r w:rsidRPr="00845316">
        <w:rPr>
          <w:rFonts w:asciiTheme="minorBidi" w:hAnsiTheme="minorBidi"/>
          <w:sz w:val="14"/>
          <w:szCs w:val="14"/>
          <w:rtl/>
        </w:rPr>
        <w:t>[סנהדרין פ"ג סי' י]</w:t>
      </w:r>
      <w:r w:rsidRPr="00845316">
        <w:rPr>
          <w:rFonts w:asciiTheme="minorBidi" w:hAnsiTheme="minorBidi"/>
          <w:sz w:val="16"/>
          <w:szCs w:val="16"/>
          <w:rtl/>
        </w:rPr>
        <w:t xml:space="preserve"> להב' ב"י</w:t>
      </w:r>
      <w:r w:rsidRPr="00845316">
        <w:rPr>
          <w:rFonts w:asciiTheme="minorBidi" w:hAnsiTheme="minorBidi"/>
          <w:rtl/>
        </w:rPr>
        <w:t xml:space="preserve">) וי"א </w:t>
      </w:r>
      <w:r w:rsidRPr="00845316">
        <w:rPr>
          <w:rFonts w:asciiTheme="minorBidi" w:hAnsiTheme="minorBidi"/>
          <w:sz w:val="16"/>
          <w:szCs w:val="16"/>
          <w:rtl/>
        </w:rPr>
        <w:t>(הביאם רי"ו)</w:t>
      </w:r>
      <w:r w:rsidRPr="00845316">
        <w:rPr>
          <w:rFonts w:asciiTheme="minorBidi" w:hAnsiTheme="minorBidi"/>
          <w:rtl/>
        </w:rPr>
        <w:t>- כן, משום דאסמכתא הוא</w:t>
      </w:r>
      <w:r>
        <w:rPr>
          <w:rFonts w:asciiTheme="minorBidi" w:hAnsiTheme="minorBidi" w:hint="cs"/>
          <w:rtl/>
        </w:rPr>
        <w:t>.</w:t>
      </w:r>
      <w:r w:rsidRPr="00845316">
        <w:rPr>
          <w:rFonts w:asciiTheme="minorBidi" w:hAnsiTheme="minorBidi"/>
          <w:rtl/>
        </w:rPr>
        <w:t xml:space="preserve"> וה"ה לכל היכא דאיכא דררא דממונא, דאיך יעשה תשובה ושרץ בידו</w:t>
      </w:r>
      <w:r w:rsidRPr="00845316">
        <w:rPr>
          <w:rStyle w:val="ab"/>
          <w:rFonts w:asciiTheme="minorBidi" w:hAnsiTheme="minorBidi"/>
          <w:rtl/>
        </w:rPr>
        <w:footnoteReference w:id="2451"/>
      </w:r>
      <w:r w:rsidRPr="00845316">
        <w:rPr>
          <w:rFonts w:asciiTheme="minorBidi" w:hAnsiTheme="minorBidi"/>
          <w:rtl/>
        </w:rPr>
        <w:t xml:space="preserve">. </w:t>
      </w:r>
      <w:r w:rsidRPr="00845316">
        <w:rPr>
          <w:rFonts w:asciiTheme="minorBidi" w:hAnsiTheme="minorBidi"/>
          <w:color w:val="00B0F0"/>
          <w:rtl/>
        </w:rPr>
        <w:t>(וכ"כ הרמ"א)</w:t>
      </w:r>
    </w:p>
    <w:p w14:paraId="12B6FE4E" w14:textId="77777777" w:rsidR="004B607F" w:rsidRPr="00845316" w:rsidRDefault="004B607F" w:rsidP="004B0475">
      <w:pPr>
        <w:pStyle w:val="ac"/>
        <w:numPr>
          <w:ilvl w:val="0"/>
          <w:numId w:val="182"/>
        </w:numPr>
        <w:rPr>
          <w:rFonts w:asciiTheme="minorBidi" w:hAnsiTheme="minorBidi"/>
          <w:rtl/>
        </w:rPr>
      </w:pPr>
      <w:r w:rsidRPr="00845316">
        <w:rPr>
          <w:rFonts w:asciiTheme="minorBidi" w:hAnsiTheme="minorBidi"/>
          <w:rtl/>
        </w:rPr>
        <w:t>(רא"ש</w:t>
      </w:r>
      <w:r w:rsidRPr="00845316">
        <w:rPr>
          <w:rFonts w:asciiTheme="minorBidi" w:hAnsiTheme="minorBidi"/>
          <w:sz w:val="16"/>
          <w:szCs w:val="16"/>
          <w:rtl/>
        </w:rPr>
        <w:t xml:space="preserve"> להב' הגה' דו"פ</w:t>
      </w:r>
      <w:r w:rsidRPr="00845316">
        <w:rPr>
          <w:rStyle w:val="ab"/>
          <w:rFonts w:asciiTheme="minorBidi" w:hAnsiTheme="minorBidi"/>
          <w:rtl/>
        </w:rPr>
        <w:footnoteReference w:id="2452"/>
      </w:r>
      <w:r w:rsidRPr="00845316">
        <w:rPr>
          <w:rFonts w:asciiTheme="minorBidi" w:hAnsiTheme="minorBidi"/>
          <w:rtl/>
        </w:rPr>
        <w:t xml:space="preserve">) י"א </w:t>
      </w:r>
      <w:r w:rsidRPr="00845316">
        <w:rPr>
          <w:rFonts w:asciiTheme="minorBidi" w:hAnsiTheme="minorBidi"/>
          <w:sz w:val="16"/>
          <w:szCs w:val="16"/>
          <w:rtl/>
        </w:rPr>
        <w:t>(הביאם רי"ו)</w:t>
      </w:r>
      <w:r w:rsidRPr="00845316">
        <w:rPr>
          <w:rFonts w:asciiTheme="minorBidi" w:hAnsiTheme="minorBidi"/>
          <w:rtl/>
        </w:rPr>
        <w:t xml:space="preserve"> ורי"ו</w:t>
      </w:r>
      <w:r w:rsidRPr="00845316">
        <w:rPr>
          <w:rFonts w:asciiTheme="minorBidi" w:hAnsiTheme="minorBidi"/>
          <w:sz w:val="16"/>
          <w:szCs w:val="16"/>
          <w:rtl/>
        </w:rPr>
        <w:t xml:space="preserve"> (נ"ב ח"ד)</w:t>
      </w:r>
      <w:r w:rsidRPr="00845316">
        <w:rPr>
          <w:rFonts w:asciiTheme="minorBidi" w:hAnsiTheme="minorBidi"/>
          <w:rtl/>
        </w:rPr>
        <w:t>- לא, וה"ה למפריחי יונים. (וכ"פ הסמ"ע</w:t>
      </w:r>
      <w:r w:rsidRPr="00845316">
        <w:rPr>
          <w:rStyle w:val="ab"/>
          <w:rFonts w:asciiTheme="minorBidi" w:hAnsiTheme="minorBidi"/>
          <w:rtl/>
        </w:rPr>
        <w:footnoteReference w:id="2453"/>
      </w:r>
      <w:r w:rsidRPr="00845316">
        <w:rPr>
          <w:rFonts w:asciiTheme="minorBidi" w:hAnsiTheme="minorBidi"/>
          <w:rtl/>
        </w:rPr>
        <w:t>)</w:t>
      </w:r>
    </w:p>
    <w:p w14:paraId="1146BC19" w14:textId="77777777" w:rsidR="004B607F" w:rsidRPr="00845316" w:rsidRDefault="004B607F" w:rsidP="004B607F">
      <w:pPr>
        <w:rPr>
          <w:rFonts w:asciiTheme="minorBidi" w:hAnsiTheme="minorBidi"/>
          <w:u w:val="single"/>
          <w:rtl/>
        </w:rPr>
      </w:pPr>
      <w:r w:rsidRPr="00845316">
        <w:rPr>
          <w:rFonts w:asciiTheme="minorBidi" w:hAnsiTheme="minorBidi"/>
          <w:u w:val="single"/>
          <w:rtl/>
        </w:rPr>
        <w:t>חזרה בתשובה מחמת יראה ופחד:</w:t>
      </w:r>
    </w:p>
    <w:p w14:paraId="61AAC2AD" w14:textId="77777777" w:rsidR="004B607F" w:rsidRPr="00845316" w:rsidRDefault="004B607F" w:rsidP="004B0475">
      <w:pPr>
        <w:pStyle w:val="ac"/>
        <w:numPr>
          <w:ilvl w:val="0"/>
          <w:numId w:val="188"/>
        </w:numPr>
        <w:rPr>
          <w:rFonts w:asciiTheme="minorBidi" w:hAnsiTheme="minorBidi"/>
          <w:rtl/>
        </w:rPr>
      </w:pPr>
      <w:r w:rsidRPr="00845316">
        <w:rPr>
          <w:rFonts w:asciiTheme="minorBidi" w:hAnsiTheme="minorBidi"/>
          <w:rtl/>
        </w:rPr>
        <w:lastRenderedPageBreak/>
        <w:t>רי"ף</w:t>
      </w:r>
      <w:r w:rsidRPr="00845316">
        <w:rPr>
          <w:rStyle w:val="ab"/>
          <w:rFonts w:asciiTheme="minorBidi" w:hAnsiTheme="minorBidi"/>
          <w:rtl/>
        </w:rPr>
        <w:footnoteReference w:id="2454"/>
      </w:r>
      <w:r w:rsidRPr="00845316">
        <w:rPr>
          <w:rFonts w:asciiTheme="minorBidi" w:hAnsiTheme="minorBidi"/>
          <w:rtl/>
        </w:rPr>
        <w:t xml:space="preserve"> רא"ש</w:t>
      </w:r>
      <w:r w:rsidRPr="00845316">
        <w:rPr>
          <w:rStyle w:val="ab"/>
          <w:rFonts w:asciiTheme="minorBidi" w:hAnsiTheme="minorBidi"/>
          <w:rtl/>
        </w:rPr>
        <w:footnoteReference w:id="2455"/>
      </w:r>
      <w:r w:rsidRPr="00845316">
        <w:rPr>
          <w:rFonts w:asciiTheme="minorBidi" w:hAnsiTheme="minorBidi"/>
          <w:rtl/>
        </w:rPr>
        <w:t>- אינו מועיל עד שיעשה כן מעצמו ולא מחמת יראה ופחד.</w:t>
      </w:r>
    </w:p>
    <w:p w14:paraId="6EFB5E81" w14:textId="77777777" w:rsidR="004B607F" w:rsidRPr="00845316" w:rsidRDefault="004B607F" w:rsidP="004B607F">
      <w:pPr>
        <w:jc w:val="both"/>
        <w:rPr>
          <w:rFonts w:asciiTheme="minorBidi" w:hAnsiTheme="minorBidi"/>
          <w:rtl/>
        </w:rPr>
      </w:pPr>
      <w:r w:rsidRPr="00845316">
        <w:rPr>
          <w:rFonts w:asciiTheme="minorBidi" w:hAnsiTheme="minorBidi"/>
          <w:b/>
          <w:bCs/>
          <w:sz w:val="32"/>
          <w:szCs w:val="28"/>
          <w:u w:val="single"/>
          <w:rtl/>
        </w:rPr>
        <w:t xml:space="preserve">שו"ע: </w:t>
      </w:r>
    </w:p>
    <w:p w14:paraId="3C657E23" w14:textId="77777777" w:rsidR="004B607F" w:rsidRPr="00845316" w:rsidRDefault="004B607F" w:rsidP="004B607F">
      <w:pPr>
        <w:rPr>
          <w:rFonts w:asciiTheme="minorBidi" w:hAnsiTheme="minorBidi"/>
          <w:rtl/>
        </w:rPr>
      </w:pPr>
      <w:r w:rsidRPr="00845316">
        <w:rPr>
          <w:rFonts w:asciiTheme="minorBidi" w:hAnsiTheme="minorBidi"/>
          <w:rtl/>
        </w:rPr>
        <w:t>מאימתי חזרת מפריחי יונים משישברו הכלים שצדין בהם ויחזרו בהם חזרה גמורה שאפילו במדבר לא יעשו.</w:t>
      </w:r>
      <w:r w:rsidRPr="00845316">
        <w:rPr>
          <w:rFonts w:asciiTheme="minorBidi" w:hAnsiTheme="minorBidi"/>
          <w:sz w:val="18"/>
          <w:szCs w:val="18"/>
          <w:rtl/>
        </w:rPr>
        <w:t xml:space="preserve"> הגה: ויש אומרים דגם כאן ובמשחקים בקוביא צריכים להחזיר המעות שהרויחו (ב"י בשם הרא"ש פ' זה בורר). </w:t>
      </w:r>
    </w:p>
    <w:p w14:paraId="1CA4E78C" w14:textId="77777777" w:rsidR="004B607F" w:rsidRPr="00845316" w:rsidRDefault="004B607F" w:rsidP="004B607F">
      <w:pPr>
        <w:rPr>
          <w:rFonts w:asciiTheme="minorBidi" w:hAnsiTheme="minorBidi"/>
          <w:rtl/>
        </w:rPr>
      </w:pPr>
    </w:p>
    <w:p w14:paraId="7D53AFBC" w14:textId="77777777" w:rsidR="004B607F" w:rsidRPr="00845316" w:rsidRDefault="004B607F" w:rsidP="004B607F">
      <w:pPr>
        <w:pStyle w:val="2"/>
        <w:rPr>
          <w:rFonts w:asciiTheme="minorBidi" w:hAnsiTheme="minorBidi"/>
          <w:rtl/>
        </w:rPr>
      </w:pPr>
      <w:bookmarkStart w:id="323" w:name="_Toc24883779"/>
      <w:r w:rsidRPr="00845316">
        <w:rPr>
          <w:rFonts w:asciiTheme="minorBidi" w:hAnsiTheme="minorBidi"/>
          <w:rtl/>
        </w:rPr>
        <w:t>סעיף לב: חזרת סוחרי שביעית.</w:t>
      </w:r>
      <w:bookmarkEnd w:id="323"/>
    </w:p>
    <w:p w14:paraId="0E89C340" w14:textId="77777777" w:rsidR="004B607F" w:rsidRPr="00845316" w:rsidRDefault="004B607F" w:rsidP="004B607F">
      <w:pPr>
        <w:rPr>
          <w:rFonts w:asciiTheme="minorBidi" w:hAnsiTheme="minorBidi"/>
          <w:rtl/>
        </w:rPr>
      </w:pPr>
      <w:r w:rsidRPr="00845316">
        <w:rPr>
          <w:rFonts w:asciiTheme="minorBidi" w:hAnsiTheme="minorBidi"/>
          <w:b/>
          <w:bCs/>
          <w:rtl/>
        </w:rPr>
        <w:t xml:space="preserve">סנהדרין כה ע"ב: </w:t>
      </w:r>
      <w:r w:rsidRPr="00845316">
        <w:rPr>
          <w:rFonts w:asciiTheme="minorBidi" w:hAnsiTheme="minorBidi"/>
          <w:rtl/>
        </w:rPr>
        <w:t>סוחרי שביעית - אלו שנושאין ונותנין בפירות שביעית, ואימתי חזרתן - משתגיע שביעית אחרת ויבדלו</w:t>
      </w:r>
      <w:r w:rsidRPr="00845316">
        <w:rPr>
          <w:rStyle w:val="ab"/>
          <w:rFonts w:asciiTheme="minorBidi" w:hAnsiTheme="minorBidi"/>
          <w:rtl/>
        </w:rPr>
        <w:footnoteReference w:id="2456"/>
      </w:r>
      <w:r w:rsidRPr="00845316">
        <w:rPr>
          <w:rFonts w:asciiTheme="minorBidi" w:hAnsiTheme="minorBidi"/>
          <w:rtl/>
        </w:rPr>
        <w:t xml:space="preserve">. </w:t>
      </w:r>
      <w:r w:rsidRPr="00845316">
        <w:rPr>
          <w:rFonts w:asciiTheme="minorBidi" w:hAnsiTheme="minorBidi"/>
          <w:u w:val="single"/>
          <w:rtl/>
        </w:rPr>
        <w:t>ואמר רבי נחמיה</w:t>
      </w:r>
      <w:r w:rsidRPr="00845316">
        <w:rPr>
          <w:rFonts w:asciiTheme="minorBidi" w:hAnsiTheme="minorBidi"/>
          <w:rtl/>
        </w:rPr>
        <w:t>: לא חזרת דברים</w:t>
      </w:r>
      <w:r w:rsidRPr="00845316">
        <w:rPr>
          <w:rStyle w:val="ab"/>
          <w:rFonts w:asciiTheme="minorBidi" w:hAnsiTheme="minorBidi"/>
          <w:rtl/>
        </w:rPr>
        <w:footnoteReference w:id="2457"/>
      </w:r>
      <w:r w:rsidRPr="00845316">
        <w:rPr>
          <w:rFonts w:asciiTheme="minorBidi" w:hAnsiTheme="minorBidi"/>
          <w:rtl/>
        </w:rPr>
        <w:t xml:space="preserve"> בלבד אמרו, אלא חזרת ממון, כיצד? אומר: אני פלוני בר פלוני כינסתי מאתים זוז בפירות שביעית, והרי הן נתונין במתנה לעניים.</w:t>
      </w:r>
    </w:p>
    <w:p w14:paraId="56141CC8" w14:textId="77777777" w:rsidR="004B607F" w:rsidRPr="00845316" w:rsidRDefault="004B607F" w:rsidP="004B607F">
      <w:pPr>
        <w:jc w:val="both"/>
        <w:rPr>
          <w:rFonts w:asciiTheme="minorBidi" w:hAnsiTheme="minorBidi"/>
          <w:rtl/>
        </w:rPr>
      </w:pPr>
      <w:r w:rsidRPr="00845316">
        <w:rPr>
          <w:rFonts w:asciiTheme="minorBidi" w:hAnsiTheme="minorBidi"/>
          <w:b/>
          <w:bCs/>
          <w:sz w:val="32"/>
          <w:szCs w:val="28"/>
          <w:u w:val="single"/>
          <w:rtl/>
        </w:rPr>
        <w:t xml:space="preserve">שו"ע: </w:t>
      </w:r>
    </w:p>
    <w:p w14:paraId="5CA0F6C7" w14:textId="77777777" w:rsidR="004B607F" w:rsidRPr="00845316" w:rsidRDefault="004B607F" w:rsidP="004B607F">
      <w:pPr>
        <w:rPr>
          <w:rFonts w:asciiTheme="minorBidi" w:hAnsiTheme="minorBidi"/>
          <w:rtl/>
        </w:rPr>
      </w:pPr>
      <w:r w:rsidRPr="00845316">
        <w:rPr>
          <w:rFonts w:asciiTheme="minorBidi" w:hAnsiTheme="minorBidi"/>
          <w:rtl/>
        </w:rPr>
        <w:t>מאימתי חזרת סוחרי שביעית משתגיע שביעית ויבדקו</w:t>
      </w:r>
      <w:r>
        <w:rPr>
          <w:rFonts w:asciiTheme="minorBidi" w:hAnsiTheme="minorBidi" w:hint="cs"/>
          <w:rtl/>
        </w:rPr>
        <w:t>.</w:t>
      </w:r>
      <w:r w:rsidRPr="00845316">
        <w:rPr>
          <w:rFonts w:asciiTheme="minorBidi" w:hAnsiTheme="minorBidi"/>
          <w:rtl/>
        </w:rPr>
        <w:t xml:space="preserve"> ולא חזרת דברים בלבד אלא כותב</w:t>
      </w:r>
      <w:r w:rsidRPr="00845316">
        <w:rPr>
          <w:rStyle w:val="ab"/>
          <w:rFonts w:asciiTheme="minorBidi" w:hAnsiTheme="minorBidi"/>
          <w:rtl/>
        </w:rPr>
        <w:footnoteReference w:id="2458"/>
      </w:r>
      <w:r w:rsidRPr="00845316">
        <w:rPr>
          <w:rFonts w:asciiTheme="minorBidi" w:hAnsiTheme="minorBidi"/>
          <w:rtl/>
        </w:rPr>
        <w:t xml:space="preserve"> אני פלוני בן פלוני כנסתי מאתים זוז מפירות שביעית והרי הם נתונים במתנה לעניים. </w:t>
      </w:r>
    </w:p>
    <w:p w14:paraId="26280D22" w14:textId="77777777" w:rsidR="004B607F" w:rsidRPr="00845316" w:rsidRDefault="004B607F" w:rsidP="004B607F">
      <w:pPr>
        <w:rPr>
          <w:rFonts w:asciiTheme="minorBidi" w:hAnsiTheme="minorBidi"/>
          <w:rtl/>
        </w:rPr>
      </w:pPr>
    </w:p>
    <w:p w14:paraId="698C86D9" w14:textId="77777777" w:rsidR="004B607F" w:rsidRPr="00845316" w:rsidRDefault="004B607F" w:rsidP="004B607F">
      <w:pPr>
        <w:pStyle w:val="2"/>
        <w:rPr>
          <w:rFonts w:asciiTheme="minorBidi" w:hAnsiTheme="minorBidi"/>
          <w:rtl/>
        </w:rPr>
      </w:pPr>
      <w:bookmarkStart w:id="324" w:name="_Toc24883780"/>
      <w:r w:rsidRPr="00845316">
        <w:rPr>
          <w:rFonts w:asciiTheme="minorBidi" w:hAnsiTheme="minorBidi"/>
          <w:rtl/>
        </w:rPr>
        <w:t>סעיף לג: חזרת המועל בשבועה.</w:t>
      </w:r>
      <w:bookmarkEnd w:id="324"/>
    </w:p>
    <w:p w14:paraId="4F1E2732" w14:textId="77777777" w:rsidR="004B607F" w:rsidRPr="00845316" w:rsidRDefault="004B607F" w:rsidP="004B607F">
      <w:pPr>
        <w:rPr>
          <w:rFonts w:asciiTheme="minorBidi" w:hAnsiTheme="minorBidi"/>
          <w:rtl/>
        </w:rPr>
      </w:pPr>
      <w:r w:rsidRPr="00845316">
        <w:rPr>
          <w:rFonts w:asciiTheme="minorBidi" w:hAnsiTheme="minorBidi"/>
          <w:b/>
          <w:bCs/>
          <w:rtl/>
        </w:rPr>
        <w:t xml:space="preserve">ירושלמי </w:t>
      </w:r>
      <w:r w:rsidRPr="00845316">
        <w:rPr>
          <w:rFonts w:asciiTheme="minorBidi" w:hAnsiTheme="minorBidi"/>
          <w:b/>
          <w:bCs/>
          <w:sz w:val="16"/>
          <w:szCs w:val="16"/>
          <w:rtl/>
        </w:rPr>
        <w:t>(וילנא)</w:t>
      </w:r>
      <w:r w:rsidRPr="00845316">
        <w:rPr>
          <w:rFonts w:asciiTheme="minorBidi" w:hAnsiTheme="minorBidi"/>
          <w:b/>
          <w:bCs/>
          <w:rtl/>
        </w:rPr>
        <w:t xml:space="preserve"> שבועות פ"ז ה"ד:</w:t>
      </w:r>
      <w:r w:rsidRPr="00845316">
        <w:rPr>
          <w:rFonts w:asciiTheme="minorBidi" w:hAnsiTheme="minorBidi"/>
          <w:rtl/>
        </w:rPr>
        <w:t xml:space="preserve"> החשוד בשבועה מאימתי מקבלין אותו? משיבוא בב"ד ויאמר חשוד אני. מה נן קיימין? אם בהוא דקאים חייב לחבריה שבועה, ובית דין מוסרין שבועה לחשוד</w:t>
      </w:r>
      <w:r w:rsidRPr="00845316">
        <w:rPr>
          <w:rStyle w:val="ab"/>
          <w:rFonts w:asciiTheme="minorBidi" w:hAnsiTheme="minorBidi"/>
          <w:rtl/>
        </w:rPr>
        <w:footnoteReference w:id="2459"/>
      </w:r>
      <w:r w:rsidRPr="00845316">
        <w:rPr>
          <w:rFonts w:asciiTheme="minorBidi" w:hAnsiTheme="minorBidi"/>
          <w:rtl/>
        </w:rPr>
        <w:t>? אלא כן אנן קיימין</w:t>
      </w:r>
      <w:r w:rsidRPr="00845316">
        <w:rPr>
          <w:rStyle w:val="ab"/>
          <w:rFonts w:asciiTheme="minorBidi" w:hAnsiTheme="minorBidi"/>
          <w:rtl/>
        </w:rPr>
        <w:footnoteReference w:id="2460"/>
      </w:r>
      <w:r w:rsidRPr="00845316">
        <w:rPr>
          <w:rFonts w:asciiTheme="minorBidi" w:hAnsiTheme="minorBidi"/>
          <w:rtl/>
        </w:rPr>
        <w:t>- בהוא דאזל מידון בבית דין דלא חכמין ליה ויימר לון ההוא גברא חשוד הוא</w:t>
      </w:r>
      <w:r>
        <w:rPr>
          <w:rFonts w:asciiTheme="minorBidi" w:hAnsiTheme="minorBidi" w:hint="cs"/>
          <w:rtl/>
        </w:rPr>
        <w:t>.</w:t>
      </w:r>
      <w:r w:rsidRPr="00845316">
        <w:rPr>
          <w:rFonts w:asciiTheme="minorBidi" w:hAnsiTheme="minorBidi"/>
          <w:rtl/>
        </w:rPr>
        <w:t xml:space="preserve"> אף בהוא דקאים</w:t>
      </w:r>
      <w:r w:rsidRPr="00845316">
        <w:rPr>
          <w:rStyle w:val="ab"/>
          <w:rFonts w:asciiTheme="minorBidi" w:hAnsiTheme="minorBidi"/>
          <w:rtl/>
        </w:rPr>
        <w:footnoteReference w:id="2461"/>
      </w:r>
      <w:r w:rsidRPr="00845316">
        <w:rPr>
          <w:rFonts w:asciiTheme="minorBidi" w:hAnsiTheme="minorBidi"/>
          <w:rtl/>
        </w:rPr>
        <w:t xml:space="preserve"> וחייב ליה שבועה ומחליה עליה.</w:t>
      </w:r>
    </w:p>
    <w:p w14:paraId="52D28660" w14:textId="77777777" w:rsidR="004B607F" w:rsidRPr="00845316" w:rsidRDefault="004B607F" w:rsidP="004B607F">
      <w:pPr>
        <w:rPr>
          <w:rFonts w:asciiTheme="minorBidi" w:hAnsiTheme="minorBidi"/>
          <w:u w:val="single"/>
          <w:rtl/>
        </w:rPr>
      </w:pPr>
      <w:r w:rsidRPr="00845316">
        <w:rPr>
          <w:rFonts w:asciiTheme="minorBidi" w:hAnsiTheme="minorBidi"/>
          <w:u w:val="single"/>
          <w:rtl/>
        </w:rPr>
        <w:t>מה פירוש דברי הירושלמי- "דאזל מידון בבית דין דלא חכמין ליה ויימר לון ההוא גברא חשוד הוא"</w:t>
      </w:r>
      <w:r w:rsidRPr="00845316">
        <w:rPr>
          <w:rStyle w:val="ab"/>
          <w:rFonts w:asciiTheme="minorBidi" w:hAnsiTheme="minorBidi"/>
          <w:u w:val="single"/>
          <w:rtl/>
        </w:rPr>
        <w:footnoteReference w:id="2462"/>
      </w:r>
      <w:r w:rsidRPr="00845316">
        <w:rPr>
          <w:rFonts w:asciiTheme="minorBidi" w:hAnsiTheme="minorBidi"/>
          <w:u w:val="single"/>
          <w:rtl/>
        </w:rPr>
        <w:t>:</w:t>
      </w:r>
    </w:p>
    <w:p w14:paraId="7179E936" w14:textId="77777777" w:rsidR="004B607F" w:rsidRPr="00845316" w:rsidRDefault="004B607F" w:rsidP="004B0475">
      <w:pPr>
        <w:pStyle w:val="ac"/>
        <w:numPr>
          <w:ilvl w:val="0"/>
          <w:numId w:val="195"/>
        </w:numPr>
        <w:rPr>
          <w:rFonts w:asciiTheme="minorBidi" w:hAnsiTheme="minorBidi"/>
        </w:rPr>
      </w:pPr>
      <w:r w:rsidRPr="00845316">
        <w:rPr>
          <w:rFonts w:asciiTheme="minorBidi" w:hAnsiTheme="minorBidi"/>
          <w:rtl/>
        </w:rPr>
        <w:t>רי"ף</w:t>
      </w:r>
      <w:r w:rsidRPr="00845316">
        <w:rPr>
          <w:rStyle w:val="ab"/>
          <w:rFonts w:asciiTheme="minorBidi" w:hAnsiTheme="minorBidi"/>
          <w:rtl/>
        </w:rPr>
        <w:footnoteReference w:id="2463"/>
      </w:r>
      <w:r w:rsidRPr="00845316">
        <w:rPr>
          <w:rFonts w:asciiTheme="minorBidi" w:hAnsiTheme="minorBidi"/>
          <w:rtl/>
        </w:rPr>
        <w:t xml:space="preserve"> (רמב"ם </w:t>
      </w:r>
      <w:r w:rsidRPr="00845316">
        <w:rPr>
          <w:rFonts w:asciiTheme="minorBidi" w:hAnsiTheme="minorBidi"/>
          <w:sz w:val="16"/>
          <w:szCs w:val="16"/>
          <w:rtl/>
        </w:rPr>
        <w:t>להב' המראה פנים</w:t>
      </w:r>
      <w:r w:rsidRPr="00845316">
        <w:rPr>
          <w:rFonts w:asciiTheme="minorBidi" w:hAnsiTheme="minorBidi"/>
          <w:rtl/>
        </w:rPr>
        <w:t>) רשב"א נמוק"י</w:t>
      </w:r>
      <w:r w:rsidRPr="00845316">
        <w:rPr>
          <w:rFonts w:asciiTheme="minorBidi" w:hAnsiTheme="minorBidi"/>
          <w:sz w:val="16"/>
          <w:szCs w:val="16"/>
          <w:rtl/>
        </w:rPr>
        <w:t xml:space="preserve"> </w:t>
      </w:r>
      <w:r w:rsidRPr="00845316">
        <w:rPr>
          <w:rFonts w:asciiTheme="minorBidi" w:hAnsiTheme="minorBidi"/>
          <w:rtl/>
        </w:rPr>
        <w:t>רי"ו</w:t>
      </w:r>
      <w:r w:rsidRPr="00845316">
        <w:rPr>
          <w:rFonts w:asciiTheme="minorBidi" w:hAnsiTheme="minorBidi"/>
          <w:sz w:val="16"/>
          <w:szCs w:val="16"/>
          <w:rtl/>
        </w:rPr>
        <w:t xml:space="preserve"> </w:t>
      </w:r>
      <w:r w:rsidRPr="00845316">
        <w:rPr>
          <w:rFonts w:asciiTheme="minorBidi" w:hAnsiTheme="minorBidi"/>
          <w:rtl/>
        </w:rPr>
        <w:t>פלפולא חריפתא ופני משה</w:t>
      </w:r>
      <w:r w:rsidRPr="00845316">
        <w:rPr>
          <w:rStyle w:val="ab"/>
          <w:rFonts w:asciiTheme="minorBidi" w:hAnsiTheme="minorBidi"/>
          <w:rtl/>
        </w:rPr>
        <w:footnoteReference w:id="2464"/>
      </w:r>
      <w:r w:rsidRPr="00845316">
        <w:rPr>
          <w:rFonts w:asciiTheme="minorBidi" w:hAnsiTheme="minorBidi"/>
          <w:rtl/>
        </w:rPr>
        <w:t>- מדובר שהלך לב"ד שאין מכירים אותו ומסרו לו שם שבועה ואז אמר שהוא חשוד</w:t>
      </w:r>
      <w:r w:rsidRPr="00845316">
        <w:rPr>
          <w:rStyle w:val="ab"/>
          <w:rFonts w:asciiTheme="minorBidi" w:hAnsiTheme="minorBidi"/>
          <w:rtl/>
        </w:rPr>
        <w:footnoteReference w:id="2465"/>
      </w:r>
      <w:r w:rsidRPr="00845316">
        <w:rPr>
          <w:rFonts w:asciiTheme="minorBidi" w:hAnsiTheme="minorBidi"/>
          <w:rtl/>
        </w:rPr>
        <w:t xml:space="preserve">. </w:t>
      </w:r>
    </w:p>
    <w:p w14:paraId="6CF4C2BD" w14:textId="77777777" w:rsidR="004B607F" w:rsidRPr="00845316" w:rsidRDefault="004B607F" w:rsidP="004B0475">
      <w:pPr>
        <w:pStyle w:val="ac"/>
        <w:numPr>
          <w:ilvl w:val="0"/>
          <w:numId w:val="195"/>
        </w:numPr>
        <w:rPr>
          <w:rFonts w:asciiTheme="minorBidi" w:hAnsiTheme="minorBidi"/>
          <w:rtl/>
        </w:rPr>
      </w:pPr>
      <w:r w:rsidRPr="00845316">
        <w:rPr>
          <w:rFonts w:asciiTheme="minorBidi" w:hAnsiTheme="minorBidi"/>
          <w:rtl/>
        </w:rPr>
        <w:lastRenderedPageBreak/>
        <w:t>סמ"ע</w:t>
      </w:r>
      <w:r w:rsidRPr="00845316">
        <w:rPr>
          <w:rStyle w:val="ab"/>
          <w:rFonts w:asciiTheme="minorBidi" w:hAnsiTheme="minorBidi"/>
          <w:rtl/>
        </w:rPr>
        <w:footnoteReference w:id="2466"/>
      </w:r>
      <w:r w:rsidRPr="00845316">
        <w:rPr>
          <w:rFonts w:asciiTheme="minorBidi" w:hAnsiTheme="minorBidi"/>
          <w:rtl/>
        </w:rPr>
        <w:t>- מדובר שסתם הלך לב"ד ואמר להם שהוא חשוד.</w:t>
      </w:r>
    </w:p>
    <w:p w14:paraId="04DFABE6" w14:textId="77777777" w:rsidR="004B607F" w:rsidRPr="00845316" w:rsidRDefault="004B607F" w:rsidP="004B607F">
      <w:pPr>
        <w:rPr>
          <w:rFonts w:asciiTheme="minorBidi" w:hAnsiTheme="minorBidi"/>
          <w:u w:val="single"/>
          <w:rtl/>
        </w:rPr>
      </w:pPr>
      <w:r w:rsidRPr="00845316">
        <w:rPr>
          <w:rFonts w:asciiTheme="minorBidi" w:hAnsiTheme="minorBidi"/>
          <w:u w:val="single"/>
          <w:rtl/>
        </w:rPr>
        <w:t>כיצד חזרת המועל בשבועה:</w:t>
      </w:r>
    </w:p>
    <w:p w14:paraId="13D244F0" w14:textId="77777777" w:rsidR="004B607F" w:rsidRPr="00845316" w:rsidRDefault="004B607F" w:rsidP="004B0475">
      <w:pPr>
        <w:pStyle w:val="ac"/>
        <w:numPr>
          <w:ilvl w:val="0"/>
          <w:numId w:val="183"/>
        </w:numPr>
        <w:rPr>
          <w:rFonts w:asciiTheme="minorBidi" w:hAnsiTheme="minorBidi"/>
        </w:rPr>
      </w:pPr>
      <w:r w:rsidRPr="00845316">
        <w:rPr>
          <w:rFonts w:asciiTheme="minorBidi" w:hAnsiTheme="minorBidi"/>
          <w:rtl/>
        </w:rPr>
        <w:t>רי"ף רמב"ם סמ"ג וטור</w:t>
      </w:r>
      <w:r w:rsidRPr="00845316">
        <w:rPr>
          <w:rStyle w:val="ab"/>
          <w:rFonts w:asciiTheme="minorBidi" w:hAnsiTheme="minorBidi"/>
          <w:rtl/>
        </w:rPr>
        <w:footnoteReference w:id="2467"/>
      </w:r>
      <w:r w:rsidRPr="00845316">
        <w:rPr>
          <w:rFonts w:asciiTheme="minorBidi" w:hAnsiTheme="minorBidi"/>
          <w:rtl/>
        </w:rPr>
        <w:t>- "משיבא לב"ד שאין מכירין אותו</w:t>
      </w:r>
      <w:r w:rsidRPr="00845316">
        <w:rPr>
          <w:rStyle w:val="ab"/>
          <w:rFonts w:asciiTheme="minorBidi" w:hAnsiTheme="minorBidi"/>
          <w:rtl/>
        </w:rPr>
        <w:footnoteReference w:id="2468"/>
      </w:r>
      <w:r w:rsidRPr="00845316">
        <w:rPr>
          <w:rFonts w:asciiTheme="minorBidi" w:hAnsiTheme="minorBidi"/>
          <w:rtl/>
        </w:rPr>
        <w:t xml:space="preserve"> ויאמר להם חשוד אני</w:t>
      </w:r>
      <w:r w:rsidRPr="00845316">
        <w:rPr>
          <w:rStyle w:val="ab"/>
          <w:rFonts w:asciiTheme="minorBidi" w:hAnsiTheme="minorBidi"/>
          <w:rtl/>
        </w:rPr>
        <w:footnoteReference w:id="2469"/>
      </w:r>
      <w:r w:rsidRPr="00845316">
        <w:rPr>
          <w:rFonts w:asciiTheme="minorBidi" w:hAnsiTheme="minorBidi"/>
          <w:rtl/>
        </w:rPr>
        <w:t>, או יתחייב שבועה בבית דין שאין מכירין אותו בממון חשוב ישלם ולא ירצה להשבע</w:t>
      </w:r>
      <w:r w:rsidRPr="00845316">
        <w:rPr>
          <w:rFonts w:asciiTheme="minorBidi" w:hAnsiTheme="minorBidi"/>
          <w:sz w:val="16"/>
          <w:szCs w:val="16"/>
          <w:rtl/>
        </w:rPr>
        <w:t xml:space="preserve"> (ל' הרמב"ם)</w:t>
      </w:r>
      <w:r w:rsidRPr="00845316">
        <w:rPr>
          <w:rFonts w:asciiTheme="minorBidi" w:hAnsiTheme="minorBidi"/>
          <w:rtl/>
        </w:rPr>
        <w:t>".</w:t>
      </w:r>
      <w:r w:rsidRPr="00845316">
        <w:rPr>
          <w:rFonts w:asciiTheme="minorBidi" w:hAnsiTheme="minorBidi"/>
          <w:color w:val="E36C0A" w:themeColor="accent6" w:themeShade="BF"/>
          <w:rtl/>
        </w:rPr>
        <w:t xml:space="preserve"> (וכ"פ בשו"ע)</w:t>
      </w:r>
      <w:r w:rsidRPr="00845316">
        <w:rPr>
          <w:rFonts w:asciiTheme="minorBidi" w:hAnsiTheme="minorBidi"/>
          <w:rtl/>
        </w:rPr>
        <w:t xml:space="preserve"> </w:t>
      </w:r>
    </w:p>
    <w:p w14:paraId="04AB6F60" w14:textId="77777777" w:rsidR="004B607F" w:rsidRPr="00845316" w:rsidRDefault="004B607F" w:rsidP="004B607F">
      <w:pPr>
        <w:ind w:left="360"/>
        <w:rPr>
          <w:rFonts w:asciiTheme="minorBidi" w:hAnsiTheme="minorBidi"/>
          <w:u w:val="dotted"/>
        </w:rPr>
      </w:pPr>
      <w:r w:rsidRPr="00845316">
        <w:rPr>
          <w:rFonts w:asciiTheme="minorBidi" w:hAnsiTheme="minorBidi"/>
          <w:u w:val="dotted"/>
          <w:rtl/>
        </w:rPr>
        <w:t xml:space="preserve">האם הוא הדין כשהרויח ע"י השבועה ממון: </w:t>
      </w:r>
    </w:p>
    <w:p w14:paraId="3FDC7497" w14:textId="77777777" w:rsidR="004B607F" w:rsidRPr="00845316" w:rsidRDefault="004B607F" w:rsidP="004B0475">
      <w:pPr>
        <w:pStyle w:val="ac"/>
        <w:numPr>
          <w:ilvl w:val="0"/>
          <w:numId w:val="183"/>
        </w:numPr>
        <w:rPr>
          <w:rFonts w:asciiTheme="minorBidi" w:hAnsiTheme="minorBidi"/>
        </w:rPr>
      </w:pPr>
      <w:r w:rsidRPr="00845316">
        <w:rPr>
          <w:rFonts w:asciiTheme="minorBidi" w:hAnsiTheme="minorBidi"/>
          <w:rtl/>
        </w:rPr>
        <w:t>או"ז</w:t>
      </w:r>
      <w:r w:rsidRPr="00845316">
        <w:rPr>
          <w:rFonts w:asciiTheme="minorBidi" w:hAnsiTheme="minorBidi"/>
          <w:sz w:val="16"/>
          <w:szCs w:val="16"/>
          <w:rtl/>
        </w:rPr>
        <w:t xml:space="preserve"> (סי' לא, הביאו ההגה"א פ"ג סי' טז)</w:t>
      </w:r>
      <w:r w:rsidRPr="00845316">
        <w:rPr>
          <w:rFonts w:asciiTheme="minorBidi" w:hAnsiTheme="minorBidi"/>
          <w:rtl/>
        </w:rPr>
        <w:t>- "מועלי שבועות צריך שיחזיר מה שהרויח בשבועת שקר אבל איני יודע מתי חוזר להכשר, שהרי פירש בהנהו דלעיל אע"פ שהחזירו ממון אכתי צריך תשובה כגון משחקי בקוביא שישברו פספסיהם וגבי מלוה בריבית דאפילו לעובד כוכבים לא מוזפי וכן כולהו, שמא ה"נ לא מתכשר עד שתזדמן לו שבועה אחרת וימנע ולא ישבע, והא דאמר בירושלמי החשוד בשבועה מאימתי מקבלין אותו משיבא לב"ד שאין מכירין וכו' שמא זה איירי בשבועת ביטוי שלא היה בה ריוח ממון וכן גבי גזלן ומסור צריך לדקדק".</w:t>
      </w:r>
    </w:p>
    <w:p w14:paraId="07719FF9" w14:textId="77777777" w:rsidR="004B607F" w:rsidRPr="00845316" w:rsidRDefault="004B607F" w:rsidP="004B0475">
      <w:pPr>
        <w:pStyle w:val="ac"/>
        <w:numPr>
          <w:ilvl w:val="0"/>
          <w:numId w:val="183"/>
        </w:numPr>
        <w:rPr>
          <w:rFonts w:asciiTheme="minorBidi" w:hAnsiTheme="minorBidi"/>
        </w:rPr>
      </w:pPr>
      <w:r w:rsidRPr="00845316">
        <w:rPr>
          <w:rFonts w:asciiTheme="minorBidi" w:hAnsiTheme="minorBidi"/>
          <w:rtl/>
        </w:rPr>
        <w:t>(רמב"ם</w:t>
      </w:r>
      <w:r w:rsidRPr="00845316">
        <w:rPr>
          <w:rFonts w:asciiTheme="minorBidi" w:hAnsiTheme="minorBidi"/>
          <w:sz w:val="16"/>
          <w:szCs w:val="16"/>
          <w:rtl/>
        </w:rPr>
        <w:t xml:space="preserve"> (פי"ב ה"ט)</w:t>
      </w:r>
      <w:r w:rsidRPr="00845316">
        <w:rPr>
          <w:rFonts w:asciiTheme="minorBidi" w:hAnsiTheme="minorBidi"/>
          <w:rtl/>
        </w:rPr>
        <w:t xml:space="preserve"> וטור</w:t>
      </w:r>
      <w:r w:rsidRPr="00845316">
        <w:rPr>
          <w:rFonts w:asciiTheme="minorBidi" w:hAnsiTheme="minorBidi"/>
          <w:sz w:val="16"/>
          <w:szCs w:val="16"/>
          <w:rtl/>
        </w:rPr>
        <w:t xml:space="preserve"> להב' הב"י</w:t>
      </w:r>
      <w:r w:rsidRPr="00845316">
        <w:rPr>
          <w:rFonts w:asciiTheme="minorBidi" w:hAnsiTheme="minorBidi"/>
          <w:rtl/>
        </w:rPr>
        <w:t>)- הירושלמי מיירי אפילו בשבועה שיש בה ריוח ממון.</w:t>
      </w:r>
    </w:p>
    <w:p w14:paraId="2D12C224" w14:textId="77777777" w:rsidR="004B607F" w:rsidRPr="00845316" w:rsidRDefault="004B607F" w:rsidP="004B607F">
      <w:pPr>
        <w:rPr>
          <w:rFonts w:asciiTheme="minorBidi" w:hAnsiTheme="minorBidi"/>
          <w:u w:val="single"/>
          <w:rtl/>
        </w:rPr>
      </w:pPr>
      <w:r w:rsidRPr="00845316">
        <w:rPr>
          <w:rFonts w:asciiTheme="minorBidi" w:hAnsiTheme="minorBidi"/>
          <w:u w:val="single"/>
          <w:rtl/>
        </w:rPr>
        <w:t>אדם שעבר שאר עברות</w:t>
      </w:r>
      <w:r w:rsidRPr="00845316">
        <w:rPr>
          <w:rStyle w:val="ab"/>
          <w:rFonts w:asciiTheme="minorBidi" w:hAnsiTheme="minorBidi"/>
          <w:u w:val="single"/>
          <w:rtl/>
        </w:rPr>
        <w:footnoteReference w:id="2470"/>
      </w:r>
      <w:r w:rsidRPr="00845316">
        <w:rPr>
          <w:rFonts w:asciiTheme="minorBidi" w:hAnsiTheme="minorBidi"/>
          <w:u w:val="single"/>
          <w:rtl/>
        </w:rPr>
        <w:t>- כיצד תשובתו:</w:t>
      </w:r>
    </w:p>
    <w:p w14:paraId="43AE98C6" w14:textId="77777777" w:rsidR="004B607F" w:rsidRPr="00845316" w:rsidRDefault="004B607F" w:rsidP="004B0475">
      <w:pPr>
        <w:pStyle w:val="ac"/>
        <w:numPr>
          <w:ilvl w:val="0"/>
          <w:numId w:val="179"/>
        </w:numPr>
        <w:rPr>
          <w:rFonts w:asciiTheme="minorBidi" w:hAnsiTheme="minorBidi"/>
          <w:rtl/>
        </w:rPr>
      </w:pPr>
      <w:r w:rsidRPr="00845316">
        <w:rPr>
          <w:rFonts w:asciiTheme="minorBidi" w:hAnsiTheme="minorBidi"/>
          <w:rtl/>
        </w:rPr>
        <w:t>יש מן הגדולים</w:t>
      </w:r>
      <w:r w:rsidRPr="00845316">
        <w:rPr>
          <w:rFonts w:asciiTheme="minorBidi" w:hAnsiTheme="minorBidi"/>
          <w:sz w:val="16"/>
          <w:szCs w:val="16"/>
          <w:rtl/>
        </w:rPr>
        <w:t xml:space="preserve"> (הביאם רי"ו [נ"ב ח"ד יב ע"ג])</w:t>
      </w:r>
      <w:r w:rsidRPr="00845316">
        <w:rPr>
          <w:rFonts w:asciiTheme="minorBidi" w:hAnsiTheme="minorBidi"/>
          <w:rtl/>
        </w:rPr>
        <w:t>- די שילך לבית דין שבעירו ויקבל עליו שלא לעשות עוד</w:t>
      </w:r>
      <w:r w:rsidRPr="00845316">
        <w:rPr>
          <w:rStyle w:val="ab"/>
          <w:rFonts w:asciiTheme="minorBidi" w:hAnsiTheme="minorBidi"/>
          <w:rtl/>
        </w:rPr>
        <w:footnoteReference w:id="2471"/>
      </w:r>
      <w:r w:rsidRPr="00845316">
        <w:rPr>
          <w:rFonts w:asciiTheme="minorBidi" w:hAnsiTheme="minorBidi"/>
          <w:rtl/>
        </w:rPr>
        <w:t xml:space="preserve">. </w:t>
      </w:r>
    </w:p>
    <w:p w14:paraId="1C27B887" w14:textId="77777777" w:rsidR="004B607F" w:rsidRPr="00845316" w:rsidRDefault="004B607F" w:rsidP="004B607F">
      <w:pPr>
        <w:jc w:val="both"/>
        <w:rPr>
          <w:rFonts w:asciiTheme="minorBidi" w:hAnsiTheme="minorBidi"/>
          <w:rtl/>
        </w:rPr>
      </w:pPr>
      <w:r w:rsidRPr="00845316">
        <w:rPr>
          <w:rFonts w:asciiTheme="minorBidi" w:hAnsiTheme="minorBidi"/>
          <w:b/>
          <w:bCs/>
          <w:sz w:val="32"/>
          <w:szCs w:val="28"/>
          <w:u w:val="single"/>
          <w:rtl/>
        </w:rPr>
        <w:t xml:space="preserve">שו"ע: </w:t>
      </w:r>
    </w:p>
    <w:p w14:paraId="3ADEC94B" w14:textId="77777777" w:rsidR="004B607F" w:rsidRPr="00845316" w:rsidRDefault="004B607F" w:rsidP="004B607F">
      <w:pPr>
        <w:rPr>
          <w:rFonts w:asciiTheme="minorBidi" w:hAnsiTheme="minorBidi"/>
          <w:rtl/>
        </w:rPr>
      </w:pPr>
      <w:r w:rsidRPr="00845316">
        <w:rPr>
          <w:rFonts w:asciiTheme="minorBidi" w:hAnsiTheme="minorBidi"/>
          <w:rtl/>
        </w:rPr>
        <w:t>מאימתי חזרת המועל בשבועה</w:t>
      </w:r>
      <w:r>
        <w:rPr>
          <w:rFonts w:asciiTheme="minorBidi" w:hAnsiTheme="minorBidi" w:hint="cs"/>
          <w:rtl/>
        </w:rPr>
        <w:t>,</w:t>
      </w:r>
      <w:r w:rsidRPr="00845316">
        <w:rPr>
          <w:rFonts w:asciiTheme="minorBidi" w:hAnsiTheme="minorBidi"/>
          <w:rtl/>
        </w:rPr>
        <w:t xml:space="preserve"> משיבא לבית דין שאין מכירין אותו</w:t>
      </w:r>
      <w:r w:rsidRPr="00845316">
        <w:rPr>
          <w:rStyle w:val="ab"/>
          <w:rFonts w:asciiTheme="minorBidi" w:hAnsiTheme="minorBidi"/>
          <w:rtl/>
        </w:rPr>
        <w:footnoteReference w:id="2472"/>
      </w:r>
      <w:r w:rsidRPr="00845316">
        <w:rPr>
          <w:rFonts w:asciiTheme="minorBidi" w:hAnsiTheme="minorBidi"/>
          <w:rtl/>
        </w:rPr>
        <w:t xml:space="preserve"> ויאמר להם חשוד אני</w:t>
      </w:r>
      <w:r>
        <w:rPr>
          <w:rFonts w:asciiTheme="minorBidi" w:hAnsiTheme="minorBidi" w:hint="cs"/>
          <w:rtl/>
        </w:rPr>
        <w:t>.</w:t>
      </w:r>
      <w:r w:rsidRPr="00845316">
        <w:rPr>
          <w:rFonts w:asciiTheme="minorBidi" w:hAnsiTheme="minorBidi"/>
          <w:rtl/>
        </w:rPr>
        <w:t xml:space="preserve"> או יתחייב שבועה בבית דין שאין מכירין אותו בממון חשוב וישלם</w:t>
      </w:r>
      <w:r w:rsidRPr="00845316">
        <w:rPr>
          <w:rStyle w:val="ab"/>
          <w:rFonts w:asciiTheme="minorBidi" w:hAnsiTheme="minorBidi"/>
          <w:rtl/>
        </w:rPr>
        <w:footnoteReference w:id="2473"/>
      </w:r>
      <w:r w:rsidRPr="00845316">
        <w:rPr>
          <w:rFonts w:asciiTheme="minorBidi" w:hAnsiTheme="minorBidi"/>
          <w:rtl/>
        </w:rPr>
        <w:t xml:space="preserve"> ולא ירצה לישבע. </w:t>
      </w:r>
      <w:r w:rsidRPr="00845316">
        <w:rPr>
          <w:rFonts w:asciiTheme="minorBidi" w:hAnsiTheme="minorBidi"/>
          <w:sz w:val="18"/>
          <w:szCs w:val="18"/>
          <w:rtl/>
        </w:rPr>
        <w:t>הגה: ודוקא מועלי שבועות, אבל עבר על שאר עבירות מיד כשמקבל בבית דין שבעירו שלא לעשות עוד סגי ליה</w:t>
      </w:r>
      <w:r w:rsidRPr="00845316">
        <w:rPr>
          <w:rStyle w:val="ab"/>
          <w:rFonts w:asciiTheme="minorBidi" w:hAnsiTheme="minorBidi"/>
          <w:sz w:val="18"/>
          <w:szCs w:val="18"/>
          <w:rtl/>
        </w:rPr>
        <w:footnoteReference w:id="2474"/>
      </w:r>
      <w:r w:rsidRPr="00845316">
        <w:rPr>
          <w:rFonts w:asciiTheme="minorBidi" w:hAnsiTheme="minorBidi"/>
          <w:sz w:val="18"/>
          <w:szCs w:val="18"/>
          <w:rtl/>
        </w:rPr>
        <w:t xml:space="preserve"> (רי"ו נ"ב ח"ד ותוס'). ודוקא שלא העבירוהו בשביל העבירה מאיזה אומנות, אבל העבירוהו דינו כטבח שיתבאר בסמוך (ב"י</w:t>
      </w:r>
      <w:r w:rsidRPr="00845316">
        <w:rPr>
          <w:rStyle w:val="ab"/>
          <w:rFonts w:asciiTheme="minorBidi" w:hAnsiTheme="minorBidi"/>
          <w:sz w:val="18"/>
          <w:szCs w:val="18"/>
          <w:rtl/>
        </w:rPr>
        <w:footnoteReference w:id="2475"/>
      </w:r>
      <w:r w:rsidRPr="00845316">
        <w:rPr>
          <w:rFonts w:asciiTheme="minorBidi" w:hAnsiTheme="minorBidi"/>
          <w:sz w:val="18"/>
          <w:szCs w:val="18"/>
          <w:rtl/>
        </w:rPr>
        <w:t xml:space="preserve">). </w:t>
      </w:r>
    </w:p>
    <w:p w14:paraId="0FDD0935" w14:textId="77777777" w:rsidR="004B607F" w:rsidRPr="00845316" w:rsidRDefault="004B607F" w:rsidP="004B607F">
      <w:pPr>
        <w:rPr>
          <w:rFonts w:asciiTheme="minorBidi" w:hAnsiTheme="minorBidi"/>
          <w:rtl/>
        </w:rPr>
      </w:pPr>
    </w:p>
    <w:p w14:paraId="2DB6EA41" w14:textId="77777777" w:rsidR="004B607F" w:rsidRPr="00845316" w:rsidRDefault="004B607F" w:rsidP="004B607F">
      <w:pPr>
        <w:pStyle w:val="2"/>
        <w:rPr>
          <w:rFonts w:asciiTheme="minorBidi" w:hAnsiTheme="minorBidi"/>
          <w:rtl/>
        </w:rPr>
      </w:pPr>
      <w:bookmarkStart w:id="325" w:name="_Toc24883781"/>
      <w:r w:rsidRPr="00845316">
        <w:rPr>
          <w:rFonts w:asciiTheme="minorBidi" w:hAnsiTheme="minorBidi"/>
          <w:rtl/>
        </w:rPr>
        <w:t>סעיף לד: חזרת טבח שיצאה טריפה תחת ידו.</w:t>
      </w:r>
      <w:bookmarkEnd w:id="325"/>
    </w:p>
    <w:p w14:paraId="5D459BB3" w14:textId="77777777" w:rsidR="004B607F" w:rsidRPr="00845316" w:rsidRDefault="004B607F" w:rsidP="004B607F">
      <w:pPr>
        <w:rPr>
          <w:rFonts w:asciiTheme="minorBidi" w:hAnsiTheme="minorBidi"/>
          <w:rtl/>
        </w:rPr>
      </w:pPr>
      <w:r w:rsidRPr="00845316">
        <w:rPr>
          <w:rFonts w:asciiTheme="minorBidi" w:hAnsiTheme="minorBidi"/>
          <w:b/>
          <w:bCs/>
          <w:rtl/>
        </w:rPr>
        <w:t xml:space="preserve">סנהדרין כה ע"א: </w:t>
      </w:r>
      <w:r w:rsidRPr="00845316">
        <w:rPr>
          <w:rFonts w:asciiTheme="minorBidi" w:hAnsiTheme="minorBidi"/>
          <w:rtl/>
        </w:rPr>
        <w:t>ההוא טבחא דאישתכח דנפקא טריפתא מתותי ידיה, פסליה רב נחמן ועבריה. אזל רבי מזיה וטופריה</w:t>
      </w:r>
      <w:r w:rsidRPr="00845316">
        <w:rPr>
          <w:rStyle w:val="ab"/>
          <w:rFonts w:asciiTheme="minorBidi" w:hAnsiTheme="minorBidi"/>
          <w:rtl/>
        </w:rPr>
        <w:footnoteReference w:id="2476"/>
      </w:r>
      <w:r w:rsidRPr="00845316">
        <w:rPr>
          <w:rFonts w:asciiTheme="minorBidi" w:hAnsiTheme="minorBidi"/>
          <w:rtl/>
        </w:rPr>
        <w:t>. סבר רב נחמן לאכשוריה. אמר ליה רבא: דילמא איערומי קא מערים? אלא מאי תקנתיה? כדרב אידי בר אבין, דאמר רב אידי בר אבין: החשוד על הטריפות - אין לו תקנה עד שילך למקום שאין מכירין אותו</w:t>
      </w:r>
      <w:r w:rsidRPr="00845316">
        <w:rPr>
          <w:rStyle w:val="ab"/>
          <w:rFonts w:asciiTheme="minorBidi" w:hAnsiTheme="minorBidi"/>
          <w:rtl/>
        </w:rPr>
        <w:footnoteReference w:id="2477"/>
      </w:r>
      <w:r w:rsidRPr="00845316">
        <w:rPr>
          <w:rFonts w:asciiTheme="minorBidi" w:hAnsiTheme="minorBidi"/>
          <w:rtl/>
        </w:rPr>
        <w:t xml:space="preserve"> ויחזיר אבידה</w:t>
      </w:r>
      <w:r w:rsidRPr="00845316">
        <w:rPr>
          <w:rStyle w:val="ab"/>
          <w:rFonts w:asciiTheme="minorBidi" w:hAnsiTheme="minorBidi"/>
          <w:rtl/>
        </w:rPr>
        <w:footnoteReference w:id="2478"/>
      </w:r>
      <w:r w:rsidRPr="00845316">
        <w:rPr>
          <w:rFonts w:asciiTheme="minorBidi" w:hAnsiTheme="minorBidi"/>
          <w:rtl/>
        </w:rPr>
        <w:t xml:space="preserve"> בדבר חשוב או שיוציא טריפה מתחת ידו בדבר חשוב משלו. </w:t>
      </w:r>
    </w:p>
    <w:p w14:paraId="527304EF" w14:textId="77777777" w:rsidR="004B607F" w:rsidRPr="00845316" w:rsidRDefault="004B607F" w:rsidP="004B607F">
      <w:pPr>
        <w:rPr>
          <w:rFonts w:asciiTheme="minorBidi" w:hAnsiTheme="minorBidi"/>
          <w:sz w:val="16"/>
          <w:szCs w:val="16"/>
        </w:rPr>
      </w:pPr>
      <w:r w:rsidRPr="00845316">
        <w:rPr>
          <w:rFonts w:asciiTheme="minorBidi" w:hAnsiTheme="minorBidi"/>
          <w:u w:val="single"/>
          <w:rtl/>
        </w:rPr>
        <w:t>כיצד חזרת טבח שיצאה טריפה תחת ידו:</w:t>
      </w:r>
      <w:r w:rsidRPr="00845316">
        <w:rPr>
          <w:rFonts w:asciiTheme="minorBidi" w:hAnsiTheme="minorBidi"/>
          <w:sz w:val="16"/>
          <w:szCs w:val="16"/>
          <w:rtl/>
        </w:rPr>
        <w:t xml:space="preserve"> (ב"י סע' י-יא, וסע' מג)</w:t>
      </w:r>
    </w:p>
    <w:p w14:paraId="219115AD" w14:textId="77777777" w:rsidR="004B607F" w:rsidRPr="00845316" w:rsidRDefault="004B607F" w:rsidP="004B0475">
      <w:pPr>
        <w:pStyle w:val="ac"/>
        <w:numPr>
          <w:ilvl w:val="0"/>
          <w:numId w:val="146"/>
        </w:numPr>
        <w:rPr>
          <w:rFonts w:asciiTheme="minorBidi" w:hAnsiTheme="minorBidi"/>
        </w:rPr>
      </w:pPr>
      <w:r w:rsidRPr="00845316">
        <w:rPr>
          <w:rFonts w:asciiTheme="minorBidi" w:hAnsiTheme="minorBidi"/>
          <w:rtl/>
        </w:rPr>
        <w:lastRenderedPageBreak/>
        <w:t>(רמב"ם</w:t>
      </w:r>
      <w:r w:rsidRPr="00845316">
        <w:rPr>
          <w:rFonts w:asciiTheme="minorBidi" w:hAnsiTheme="minorBidi"/>
          <w:sz w:val="16"/>
          <w:szCs w:val="16"/>
          <w:rtl/>
        </w:rPr>
        <w:t xml:space="preserve"> להב' הטור</w:t>
      </w:r>
      <w:r w:rsidRPr="00845316">
        <w:rPr>
          <w:rFonts w:asciiTheme="minorBidi" w:hAnsiTheme="minorBidi"/>
          <w:rtl/>
        </w:rPr>
        <w:t>)- אם זה טבח שבודק לאחרים</w:t>
      </w:r>
      <w:r>
        <w:rPr>
          <w:rFonts w:asciiTheme="minorBidi" w:hAnsiTheme="minorBidi" w:hint="cs"/>
          <w:rtl/>
        </w:rPr>
        <w:t xml:space="preserve"> </w:t>
      </w:r>
      <w:r w:rsidRPr="00845316">
        <w:rPr>
          <w:rFonts w:asciiTheme="minorBidi" w:hAnsiTheme="minorBidi"/>
          <w:rtl/>
        </w:rPr>
        <w:t>- אינו פסול כיון שאין לו הנאת ממון</w:t>
      </w:r>
      <w:r>
        <w:rPr>
          <w:rFonts w:asciiTheme="minorBidi" w:hAnsiTheme="minorBidi" w:hint="cs"/>
          <w:rtl/>
        </w:rPr>
        <w:t>.</w:t>
      </w:r>
      <w:r w:rsidRPr="00845316">
        <w:rPr>
          <w:rFonts w:asciiTheme="minorBidi" w:hAnsiTheme="minorBidi"/>
          <w:rtl/>
        </w:rPr>
        <w:t xml:space="preserve"> אבל אם זה טבח שבודק לעצמו ומוכר </w:t>
      </w:r>
      <w:r w:rsidRPr="00845316">
        <w:rPr>
          <w:rFonts w:asciiTheme="minorBidi" w:hAnsiTheme="minorBidi"/>
          <w:sz w:val="16"/>
          <w:szCs w:val="16"/>
          <w:rtl/>
        </w:rPr>
        <w:t>(דיש לו הנאת ממון)</w:t>
      </w:r>
      <w:r w:rsidRPr="00845316">
        <w:rPr>
          <w:rFonts w:asciiTheme="minorBidi" w:hAnsiTheme="minorBidi"/>
          <w:rtl/>
        </w:rPr>
        <w:t xml:space="preserve"> </w:t>
      </w:r>
      <w:r>
        <w:rPr>
          <w:rFonts w:asciiTheme="minorBidi" w:hAnsiTheme="minorBidi" w:hint="cs"/>
          <w:rtl/>
        </w:rPr>
        <w:t xml:space="preserve">- </w:t>
      </w:r>
      <w:r w:rsidRPr="00845316">
        <w:rPr>
          <w:rFonts w:asciiTheme="minorBidi" w:hAnsiTheme="minorBidi"/>
          <w:rtl/>
        </w:rPr>
        <w:t>לא מתכפר לו עד שילך וכו' ויוציא וכו'. (וכ"פ הסמ"ע</w:t>
      </w:r>
      <w:r w:rsidRPr="00845316">
        <w:rPr>
          <w:rFonts w:asciiTheme="minorBidi" w:hAnsiTheme="minorBidi"/>
          <w:sz w:val="16"/>
          <w:szCs w:val="16"/>
          <w:rtl/>
        </w:rPr>
        <w:t xml:space="preserve"> [סע' ו]</w:t>
      </w:r>
      <w:r w:rsidRPr="00845316">
        <w:rPr>
          <w:rFonts w:asciiTheme="minorBidi" w:hAnsiTheme="minorBidi"/>
          <w:rtl/>
        </w:rPr>
        <w:t xml:space="preserve">) </w:t>
      </w:r>
    </w:p>
    <w:p w14:paraId="55F940F3" w14:textId="77777777" w:rsidR="004B607F" w:rsidRPr="00845316" w:rsidRDefault="004B607F" w:rsidP="004B0475">
      <w:pPr>
        <w:pStyle w:val="ac"/>
        <w:numPr>
          <w:ilvl w:val="0"/>
          <w:numId w:val="146"/>
        </w:numPr>
        <w:rPr>
          <w:rFonts w:asciiTheme="minorBidi" w:hAnsiTheme="minorBidi"/>
          <w:rtl/>
        </w:rPr>
      </w:pPr>
      <w:r w:rsidRPr="00845316">
        <w:rPr>
          <w:rFonts w:asciiTheme="minorBidi" w:hAnsiTheme="minorBidi"/>
          <w:rtl/>
        </w:rPr>
        <w:t>(רמב"ם ורא"ש</w:t>
      </w:r>
      <w:r w:rsidRPr="00845316">
        <w:rPr>
          <w:rFonts w:asciiTheme="minorBidi" w:hAnsiTheme="minorBidi"/>
          <w:sz w:val="16"/>
          <w:szCs w:val="16"/>
          <w:rtl/>
        </w:rPr>
        <w:t xml:space="preserve"> להב' הב"י</w:t>
      </w:r>
      <w:r w:rsidRPr="00845316">
        <w:rPr>
          <w:rFonts w:asciiTheme="minorBidi" w:hAnsiTheme="minorBidi"/>
          <w:rtl/>
        </w:rPr>
        <w:t>)</w:t>
      </w:r>
      <w:r w:rsidRPr="00845316">
        <w:rPr>
          <w:rStyle w:val="ab"/>
          <w:rFonts w:asciiTheme="minorBidi" w:hAnsiTheme="minorBidi"/>
          <w:rtl/>
        </w:rPr>
        <w:footnoteReference w:id="2479"/>
      </w:r>
      <w:r w:rsidRPr="00845316">
        <w:rPr>
          <w:rFonts w:asciiTheme="minorBidi" w:hAnsiTheme="minorBidi"/>
          <w:rtl/>
        </w:rPr>
        <w:t>- אם זה טבח שבודק לאחרים</w:t>
      </w:r>
      <w:r>
        <w:rPr>
          <w:rFonts w:asciiTheme="minorBidi" w:hAnsiTheme="minorBidi" w:hint="cs"/>
          <w:rtl/>
        </w:rPr>
        <w:t xml:space="preserve"> -</w:t>
      </w:r>
      <w:r w:rsidRPr="00845316">
        <w:rPr>
          <w:rFonts w:asciiTheme="minorBidi" w:hAnsiTheme="minorBidi"/>
          <w:rtl/>
        </w:rPr>
        <w:t xml:space="preserve"> עושה תשובה ומתכפר לו</w:t>
      </w:r>
      <w:r w:rsidRPr="00845316">
        <w:rPr>
          <w:rStyle w:val="ab"/>
          <w:rFonts w:asciiTheme="minorBidi" w:hAnsiTheme="minorBidi"/>
          <w:rtl/>
        </w:rPr>
        <w:footnoteReference w:id="2480"/>
      </w:r>
      <w:r>
        <w:rPr>
          <w:rFonts w:asciiTheme="minorBidi" w:hAnsiTheme="minorBidi" w:hint="cs"/>
          <w:rtl/>
        </w:rPr>
        <w:t>.</w:t>
      </w:r>
      <w:r w:rsidRPr="00845316">
        <w:rPr>
          <w:rFonts w:asciiTheme="minorBidi" w:hAnsiTheme="minorBidi"/>
          <w:rtl/>
        </w:rPr>
        <w:t xml:space="preserve"> אבל אם זה טבח שבודק לעצמו ומוכר</w:t>
      </w:r>
      <w:r w:rsidRPr="00845316">
        <w:rPr>
          <w:rFonts w:asciiTheme="minorBidi" w:hAnsiTheme="minorBidi"/>
          <w:sz w:val="16"/>
          <w:szCs w:val="16"/>
          <w:rtl/>
        </w:rPr>
        <w:t xml:space="preserve"> </w:t>
      </w:r>
      <w:r>
        <w:rPr>
          <w:rFonts w:asciiTheme="minorBidi" w:hAnsiTheme="minorBidi" w:hint="cs"/>
          <w:rtl/>
        </w:rPr>
        <w:t xml:space="preserve">- </w:t>
      </w:r>
      <w:r w:rsidRPr="00845316">
        <w:rPr>
          <w:rFonts w:asciiTheme="minorBidi" w:hAnsiTheme="minorBidi"/>
          <w:rtl/>
        </w:rPr>
        <w:t>לא מתכפר לו "עד שיראה ממעשיו שניחם על רעתו, וילבש שחורים ויכסה שחורים וילך למקום שאין מכירין אותו ויחזיר אבדה בממון חשוב או יוציא טרפה מתחת ידו בדבר חשוב</w:t>
      </w:r>
      <w:r w:rsidRPr="00845316">
        <w:rPr>
          <w:rStyle w:val="ab"/>
          <w:rFonts w:asciiTheme="minorBidi" w:hAnsiTheme="minorBidi"/>
          <w:rtl/>
        </w:rPr>
        <w:footnoteReference w:id="2481"/>
      </w:r>
      <w:r w:rsidRPr="00845316">
        <w:rPr>
          <w:rFonts w:asciiTheme="minorBidi" w:hAnsiTheme="minorBidi"/>
          <w:rtl/>
        </w:rPr>
        <w:t>".</w:t>
      </w:r>
      <w:r w:rsidRPr="00845316">
        <w:rPr>
          <w:rFonts w:asciiTheme="minorBidi" w:hAnsiTheme="minorBidi"/>
          <w:color w:val="E36C0A" w:themeColor="accent6" w:themeShade="BF"/>
          <w:rtl/>
        </w:rPr>
        <w:t xml:space="preserve"> (וכ"פ בשו"ע</w:t>
      </w:r>
      <w:r w:rsidRPr="00845316">
        <w:rPr>
          <w:rStyle w:val="ab"/>
          <w:rFonts w:asciiTheme="minorBidi" w:hAnsiTheme="minorBidi"/>
          <w:rtl/>
        </w:rPr>
        <w:footnoteReference w:id="2482"/>
      </w:r>
      <w:r w:rsidRPr="00845316">
        <w:rPr>
          <w:rFonts w:asciiTheme="minorBidi" w:hAnsiTheme="minorBidi"/>
          <w:color w:val="E36C0A" w:themeColor="accent6" w:themeShade="BF"/>
          <w:rtl/>
        </w:rPr>
        <w:t>)</w:t>
      </w:r>
      <w:r w:rsidRPr="00845316">
        <w:rPr>
          <w:rFonts w:asciiTheme="minorBidi" w:hAnsiTheme="minorBidi"/>
          <w:rtl/>
        </w:rPr>
        <w:t xml:space="preserve"> </w:t>
      </w:r>
    </w:p>
    <w:p w14:paraId="563D7F78" w14:textId="77777777" w:rsidR="004B607F" w:rsidRPr="00845316" w:rsidRDefault="004B607F" w:rsidP="004B0475">
      <w:pPr>
        <w:pStyle w:val="ac"/>
        <w:numPr>
          <w:ilvl w:val="0"/>
          <w:numId w:val="146"/>
        </w:numPr>
        <w:rPr>
          <w:rFonts w:asciiTheme="minorBidi" w:hAnsiTheme="minorBidi"/>
          <w:rtl/>
        </w:rPr>
      </w:pPr>
      <w:r w:rsidRPr="00845316">
        <w:rPr>
          <w:rFonts w:asciiTheme="minorBidi" w:hAnsiTheme="minorBidi"/>
          <w:rtl/>
        </w:rPr>
        <w:t>(תוס'</w:t>
      </w:r>
      <w:r w:rsidRPr="00845316">
        <w:rPr>
          <w:rFonts w:asciiTheme="minorBidi" w:hAnsiTheme="minorBidi"/>
          <w:sz w:val="16"/>
          <w:szCs w:val="16"/>
          <w:rtl/>
        </w:rPr>
        <w:t xml:space="preserve"> להב' הב"י</w:t>
      </w:r>
      <w:r w:rsidRPr="00845316">
        <w:rPr>
          <w:rStyle w:val="ab"/>
          <w:rFonts w:asciiTheme="minorBidi" w:hAnsiTheme="minorBidi"/>
          <w:rtl/>
        </w:rPr>
        <w:footnoteReference w:id="2483"/>
      </w:r>
      <w:r w:rsidRPr="00845316">
        <w:rPr>
          <w:rFonts w:asciiTheme="minorBidi" w:hAnsiTheme="minorBidi"/>
          <w:rtl/>
        </w:rPr>
        <w:t>)- אינו נכשר לעדות עד שילך למקום וכו' ויחזיר אבידה או יוציא טריפה וכו', דבטבח חיישינן דלמא איערומי מערים כדי שיחזירוהו לאומנותו, לא שנא בודק לעצמו או לאחרים, ואפילו לא נטל שכר על כך כיון דעדות שקר העיד לא מתכשר לעדות עד שילך למקום וכו' כחמור שבפסולים.</w:t>
      </w:r>
    </w:p>
    <w:p w14:paraId="10500C97" w14:textId="77777777" w:rsidR="004B607F" w:rsidRPr="00845316" w:rsidRDefault="004B607F" w:rsidP="004B607F">
      <w:pPr>
        <w:jc w:val="both"/>
        <w:rPr>
          <w:rFonts w:asciiTheme="minorBidi" w:hAnsiTheme="minorBidi"/>
          <w:rtl/>
        </w:rPr>
      </w:pPr>
      <w:r w:rsidRPr="00845316">
        <w:rPr>
          <w:rFonts w:asciiTheme="minorBidi" w:hAnsiTheme="minorBidi"/>
          <w:b/>
          <w:bCs/>
          <w:sz w:val="32"/>
          <w:szCs w:val="28"/>
          <w:u w:val="single"/>
          <w:rtl/>
        </w:rPr>
        <w:t xml:space="preserve">שו"ע: </w:t>
      </w:r>
    </w:p>
    <w:p w14:paraId="69FFC935" w14:textId="77777777" w:rsidR="004B607F" w:rsidRPr="00845316" w:rsidRDefault="004B607F" w:rsidP="004B607F">
      <w:pPr>
        <w:rPr>
          <w:rFonts w:asciiTheme="minorBidi" w:hAnsiTheme="minorBidi"/>
          <w:rtl/>
        </w:rPr>
      </w:pPr>
      <w:r w:rsidRPr="00845316">
        <w:rPr>
          <w:rFonts w:asciiTheme="minorBidi" w:hAnsiTheme="minorBidi"/>
          <w:rtl/>
        </w:rPr>
        <w:t>חזרת טבח שהיה בודק לעצמו ומוכר ויצא טריפה מתחת ידו שילבש שחורים</w:t>
      </w:r>
      <w:r w:rsidRPr="00845316">
        <w:rPr>
          <w:rStyle w:val="ab"/>
          <w:rFonts w:asciiTheme="minorBidi" w:hAnsiTheme="minorBidi"/>
          <w:rtl/>
        </w:rPr>
        <w:footnoteReference w:id="2484"/>
      </w:r>
      <w:r w:rsidRPr="00845316">
        <w:rPr>
          <w:rFonts w:asciiTheme="minorBidi" w:hAnsiTheme="minorBidi"/>
          <w:rtl/>
        </w:rPr>
        <w:t xml:space="preserve"> ויתכסה שחורים וילך למקום שאין מכירים אותו ויחזיר אבידה בדבר חשוב או יוציא טריפה מתחת ידו בדבר חשוב</w:t>
      </w:r>
      <w:r w:rsidRPr="00845316">
        <w:rPr>
          <w:rStyle w:val="ab"/>
          <w:rFonts w:asciiTheme="minorBidi" w:hAnsiTheme="minorBidi"/>
          <w:rtl/>
        </w:rPr>
        <w:footnoteReference w:id="2485"/>
      </w:r>
      <w:r w:rsidRPr="00845316">
        <w:rPr>
          <w:rFonts w:asciiTheme="minorBidi" w:hAnsiTheme="minorBidi"/>
          <w:rtl/>
        </w:rPr>
        <w:t xml:space="preserve">. </w:t>
      </w:r>
      <w:r w:rsidRPr="00845316">
        <w:rPr>
          <w:rFonts w:asciiTheme="minorBidi" w:hAnsiTheme="minorBidi"/>
          <w:sz w:val="18"/>
          <w:szCs w:val="18"/>
          <w:rtl/>
        </w:rPr>
        <w:t>הגה: ועיין ביו"ד סי' קיט.</w:t>
      </w:r>
      <w:r w:rsidRPr="00845316">
        <w:rPr>
          <w:rFonts w:asciiTheme="minorBidi" w:hAnsiTheme="minorBidi"/>
          <w:rtl/>
        </w:rPr>
        <w:t xml:space="preserve"> </w:t>
      </w:r>
    </w:p>
    <w:p w14:paraId="14D6D39E" w14:textId="77777777" w:rsidR="004B607F" w:rsidRPr="00845316" w:rsidRDefault="004B607F" w:rsidP="004B607F">
      <w:pPr>
        <w:rPr>
          <w:rFonts w:asciiTheme="minorBidi" w:hAnsiTheme="minorBidi"/>
          <w:rtl/>
        </w:rPr>
      </w:pPr>
    </w:p>
    <w:p w14:paraId="10811451" w14:textId="77777777" w:rsidR="004B607F" w:rsidRPr="00845316" w:rsidRDefault="004B607F" w:rsidP="004B607F">
      <w:pPr>
        <w:pStyle w:val="2"/>
        <w:rPr>
          <w:rFonts w:asciiTheme="minorBidi" w:hAnsiTheme="minorBidi"/>
          <w:rtl/>
        </w:rPr>
      </w:pPr>
      <w:bookmarkStart w:id="326" w:name="_Toc24883782"/>
      <w:r w:rsidRPr="00845316">
        <w:rPr>
          <w:rFonts w:asciiTheme="minorBidi" w:hAnsiTheme="minorBidi"/>
          <w:rtl/>
        </w:rPr>
        <w:t>סעיף לה: חזרת עד זומם.</w:t>
      </w:r>
      <w:bookmarkEnd w:id="326"/>
    </w:p>
    <w:p w14:paraId="42F51894" w14:textId="77777777" w:rsidR="004B607F" w:rsidRPr="00845316" w:rsidRDefault="004B607F" w:rsidP="004B607F">
      <w:pPr>
        <w:rPr>
          <w:rFonts w:asciiTheme="minorBidi" w:hAnsiTheme="minorBidi"/>
          <w:u w:val="single"/>
          <w:rtl/>
        </w:rPr>
      </w:pPr>
      <w:r w:rsidRPr="00845316">
        <w:rPr>
          <w:rFonts w:asciiTheme="minorBidi" w:hAnsiTheme="minorBidi"/>
          <w:u w:val="single"/>
          <w:rtl/>
        </w:rPr>
        <w:t>כיצד חזרת עד זומם:</w:t>
      </w:r>
    </w:p>
    <w:p w14:paraId="4FBCC599" w14:textId="77777777" w:rsidR="004B607F" w:rsidRPr="00845316" w:rsidRDefault="004B607F" w:rsidP="004B0475">
      <w:pPr>
        <w:pStyle w:val="ac"/>
        <w:numPr>
          <w:ilvl w:val="0"/>
          <w:numId w:val="184"/>
        </w:numPr>
        <w:rPr>
          <w:rFonts w:asciiTheme="minorBidi" w:hAnsiTheme="minorBidi"/>
        </w:rPr>
      </w:pPr>
      <w:r w:rsidRPr="00845316">
        <w:rPr>
          <w:rFonts w:asciiTheme="minorBidi" w:hAnsiTheme="minorBidi"/>
          <w:rtl/>
        </w:rPr>
        <w:t>רמב"ם</w:t>
      </w:r>
      <w:r w:rsidRPr="00845316">
        <w:rPr>
          <w:rFonts w:asciiTheme="minorBidi" w:hAnsiTheme="minorBidi"/>
          <w:sz w:val="16"/>
          <w:szCs w:val="16"/>
          <w:rtl/>
        </w:rPr>
        <w:t xml:space="preserve"> (פי"ב ה"י)</w:t>
      </w:r>
      <w:r w:rsidRPr="00845316">
        <w:rPr>
          <w:rFonts w:asciiTheme="minorBidi" w:hAnsiTheme="minorBidi"/>
          <w:rtl/>
        </w:rPr>
        <w:t>- שילך "למקום שאין מכירין אותו ונתנו לו ממון חשוב להעיד בשקר ולא רצה הרי זה עשה תשובה וחזר לכשרותו</w:t>
      </w:r>
      <w:r w:rsidRPr="00845316">
        <w:rPr>
          <w:rStyle w:val="ab"/>
          <w:rFonts w:asciiTheme="minorBidi" w:hAnsiTheme="minorBidi"/>
          <w:rtl/>
        </w:rPr>
        <w:footnoteReference w:id="2486"/>
      </w:r>
      <w:r w:rsidRPr="00845316">
        <w:rPr>
          <w:rFonts w:asciiTheme="minorBidi" w:hAnsiTheme="minorBidi"/>
          <w:rtl/>
        </w:rPr>
        <w:t>", כדין הטבח</w:t>
      </w:r>
      <w:r w:rsidRPr="00845316">
        <w:rPr>
          <w:rStyle w:val="ab"/>
          <w:rFonts w:asciiTheme="minorBidi" w:hAnsiTheme="minorBidi"/>
          <w:rtl/>
        </w:rPr>
        <w:footnoteReference w:id="2487"/>
      </w:r>
      <w:r w:rsidRPr="00845316">
        <w:rPr>
          <w:rFonts w:asciiTheme="minorBidi" w:hAnsiTheme="minorBidi"/>
          <w:rtl/>
        </w:rPr>
        <w:t>.</w:t>
      </w:r>
      <w:r w:rsidRPr="00845316">
        <w:rPr>
          <w:rFonts w:asciiTheme="minorBidi" w:hAnsiTheme="minorBidi"/>
          <w:color w:val="E36C0A" w:themeColor="accent6" w:themeShade="BF"/>
          <w:rtl/>
        </w:rPr>
        <w:t xml:space="preserve"> (וכ"פ בשו"ע)</w:t>
      </w:r>
    </w:p>
    <w:p w14:paraId="17F564A3" w14:textId="77777777" w:rsidR="004B607F" w:rsidRPr="00845316" w:rsidRDefault="004B607F" w:rsidP="004B0475">
      <w:pPr>
        <w:pStyle w:val="ac"/>
        <w:numPr>
          <w:ilvl w:val="0"/>
          <w:numId w:val="184"/>
        </w:numPr>
        <w:rPr>
          <w:rFonts w:asciiTheme="minorBidi" w:hAnsiTheme="minorBidi"/>
          <w:rtl/>
        </w:rPr>
      </w:pPr>
      <w:r w:rsidRPr="00845316">
        <w:rPr>
          <w:rFonts w:asciiTheme="minorBidi" w:hAnsiTheme="minorBidi"/>
          <w:rtl/>
        </w:rPr>
        <w:t>(תוס'</w:t>
      </w:r>
      <w:r w:rsidRPr="00845316">
        <w:rPr>
          <w:rFonts w:asciiTheme="minorBidi" w:hAnsiTheme="minorBidi"/>
          <w:sz w:val="16"/>
          <w:szCs w:val="16"/>
          <w:rtl/>
        </w:rPr>
        <w:t xml:space="preserve"> להב' הב"י</w:t>
      </w:r>
      <w:r w:rsidRPr="00845316">
        <w:rPr>
          <w:rStyle w:val="ab"/>
          <w:rFonts w:asciiTheme="minorBidi" w:hAnsiTheme="minorBidi"/>
          <w:rtl/>
        </w:rPr>
        <w:footnoteReference w:id="2488"/>
      </w:r>
      <w:r w:rsidRPr="00845316">
        <w:rPr>
          <w:rFonts w:asciiTheme="minorBidi" w:hAnsiTheme="minorBidi"/>
          <w:rtl/>
        </w:rPr>
        <w:t xml:space="preserve">)- שיקבל בפני דייני עירו שלא יעשה עוד </w:t>
      </w:r>
      <w:r w:rsidRPr="00845316">
        <w:rPr>
          <w:rFonts w:asciiTheme="minorBidi" w:hAnsiTheme="minorBidi"/>
          <w:sz w:val="16"/>
          <w:szCs w:val="16"/>
          <w:rtl/>
        </w:rPr>
        <w:t>(כשאר הפסולים)</w:t>
      </w:r>
      <w:r w:rsidRPr="00845316">
        <w:rPr>
          <w:rFonts w:asciiTheme="minorBidi" w:hAnsiTheme="minorBidi"/>
          <w:rtl/>
        </w:rPr>
        <w:t>, ובלבד שאם נטל שכר שיחזיר המעות</w:t>
      </w:r>
      <w:r w:rsidRPr="00845316">
        <w:rPr>
          <w:rStyle w:val="ab"/>
          <w:rFonts w:asciiTheme="minorBidi" w:hAnsiTheme="minorBidi"/>
          <w:rtl/>
        </w:rPr>
        <w:footnoteReference w:id="2489"/>
      </w:r>
      <w:r w:rsidRPr="00845316">
        <w:rPr>
          <w:rFonts w:asciiTheme="minorBidi" w:hAnsiTheme="minorBidi"/>
          <w:rtl/>
        </w:rPr>
        <w:t xml:space="preserve">. </w:t>
      </w:r>
    </w:p>
    <w:p w14:paraId="3C2283D4" w14:textId="77777777" w:rsidR="004B607F" w:rsidRPr="00845316" w:rsidRDefault="004B607F" w:rsidP="004B607F">
      <w:pPr>
        <w:jc w:val="both"/>
        <w:rPr>
          <w:rFonts w:asciiTheme="minorBidi" w:hAnsiTheme="minorBidi"/>
          <w:rtl/>
        </w:rPr>
      </w:pPr>
      <w:r w:rsidRPr="00845316">
        <w:rPr>
          <w:rFonts w:asciiTheme="minorBidi" w:hAnsiTheme="minorBidi"/>
          <w:b/>
          <w:bCs/>
          <w:sz w:val="32"/>
          <w:szCs w:val="28"/>
          <w:u w:val="single"/>
          <w:rtl/>
        </w:rPr>
        <w:t xml:space="preserve">שו"ע: </w:t>
      </w:r>
    </w:p>
    <w:p w14:paraId="132821DA" w14:textId="77777777" w:rsidR="004B607F" w:rsidRPr="00845316" w:rsidRDefault="004B607F" w:rsidP="004B607F">
      <w:pPr>
        <w:rPr>
          <w:rFonts w:asciiTheme="minorBidi" w:hAnsiTheme="minorBidi"/>
          <w:rtl/>
        </w:rPr>
      </w:pPr>
      <w:r w:rsidRPr="00845316">
        <w:rPr>
          <w:rFonts w:asciiTheme="minorBidi" w:hAnsiTheme="minorBidi"/>
          <w:rtl/>
        </w:rPr>
        <w:t>חזרת עד זומם שילך למקום שאין מכירים אותו ונתנו לו ממון חשוב להעיד שקר ולא רצה.</w:t>
      </w:r>
    </w:p>
    <w:p w14:paraId="05A766C4" w14:textId="77777777" w:rsidR="004B607F" w:rsidRDefault="004B607F" w:rsidP="004B607F">
      <w:pPr>
        <w:pStyle w:val="1"/>
        <w:rPr>
          <w:rtl/>
        </w:rPr>
        <w:sectPr w:rsidR="004B607F" w:rsidSect="004B607F">
          <w:headerReference w:type="default" r:id="rId44"/>
          <w:footnotePr>
            <w:numRestart w:val="eachSect"/>
          </w:footnotePr>
          <w:pgSz w:w="11906" w:h="16838"/>
          <w:pgMar w:top="720" w:right="1134" w:bottom="720" w:left="1134" w:header="0" w:footer="0" w:gutter="0"/>
          <w:cols w:space="720"/>
          <w:bidi/>
          <w:rtlGutter/>
          <w:docGrid w:linePitch="360"/>
        </w:sectPr>
      </w:pPr>
    </w:p>
    <w:p w14:paraId="021E1405" w14:textId="77777777" w:rsidR="004B607F" w:rsidRDefault="004B607F" w:rsidP="004B607F">
      <w:pPr>
        <w:pStyle w:val="1"/>
        <w:rPr>
          <w:rtl/>
        </w:rPr>
      </w:pPr>
      <w:bookmarkStart w:id="327" w:name="_Toc24883783"/>
      <w:r>
        <w:rPr>
          <w:rFonts w:hint="cs"/>
          <w:rtl/>
        </w:rPr>
        <w:lastRenderedPageBreak/>
        <w:t xml:space="preserve">סימן לה: </w:t>
      </w:r>
      <w:r>
        <w:rPr>
          <w:rtl/>
        </w:rPr>
        <w:t>פסול סומא וחרש, שוטה וקטן, ובו י"ד סעיפים.</w:t>
      </w:r>
      <w:bookmarkEnd w:id="327"/>
      <w:r>
        <w:rPr>
          <w:rtl/>
        </w:rPr>
        <w:t xml:space="preserve"> </w:t>
      </w:r>
    </w:p>
    <w:p w14:paraId="56F2BABD" w14:textId="77777777" w:rsidR="004B607F" w:rsidRDefault="004B607F" w:rsidP="004B607F">
      <w:pPr>
        <w:pStyle w:val="2"/>
        <w:rPr>
          <w:rtl/>
        </w:rPr>
      </w:pPr>
      <w:bookmarkStart w:id="328" w:name="_Toc24883784"/>
      <w:r>
        <w:rPr>
          <w:rtl/>
        </w:rPr>
        <w:t>סעיף א</w:t>
      </w:r>
      <w:r>
        <w:rPr>
          <w:rFonts w:hint="cs"/>
          <w:rtl/>
        </w:rPr>
        <w:t>: עדות קטן.</w:t>
      </w:r>
      <w:bookmarkEnd w:id="328"/>
    </w:p>
    <w:p w14:paraId="38F2C3F9" w14:textId="77777777" w:rsidR="004B607F" w:rsidRDefault="004B607F" w:rsidP="004B607F">
      <w:pPr>
        <w:rPr>
          <w:rFonts w:cs="Arial"/>
          <w:rtl/>
        </w:rPr>
      </w:pPr>
      <w:r>
        <w:rPr>
          <w:rFonts w:cs="Arial" w:hint="cs"/>
          <w:b/>
          <w:bCs/>
          <w:rtl/>
        </w:rPr>
        <w:t xml:space="preserve">בבא בתרא </w:t>
      </w:r>
      <w:r w:rsidRPr="007334C0">
        <w:rPr>
          <w:rFonts w:cs="Arial" w:hint="cs"/>
          <w:b/>
          <w:bCs/>
          <w:sz w:val="16"/>
          <w:szCs w:val="16"/>
          <w:rtl/>
        </w:rPr>
        <w:t>(פרק מי שמת)</w:t>
      </w:r>
      <w:r>
        <w:rPr>
          <w:rFonts w:cs="Arial" w:hint="cs"/>
          <w:b/>
          <w:bCs/>
          <w:rtl/>
        </w:rPr>
        <w:t xml:space="preserve"> קנה</w:t>
      </w:r>
      <w:r>
        <w:rPr>
          <w:rStyle w:val="ab"/>
          <w:rFonts w:cs="Arial"/>
          <w:b/>
          <w:bCs/>
          <w:rtl/>
        </w:rPr>
        <w:footnoteReference w:id="2490"/>
      </w:r>
      <w:r>
        <w:rPr>
          <w:rFonts w:cs="Arial" w:hint="cs"/>
          <w:b/>
          <w:bCs/>
          <w:rtl/>
        </w:rPr>
        <w:t xml:space="preserve"> ע"א: </w:t>
      </w:r>
      <w:r w:rsidRPr="009512B6">
        <w:rPr>
          <w:rFonts w:cs="Arial"/>
          <w:rtl/>
        </w:rPr>
        <w:t xml:space="preserve">איתמר: קטן מאימתי מוכר בנכסי אביו? </w:t>
      </w:r>
      <w:r w:rsidRPr="007334C0">
        <w:rPr>
          <w:rFonts w:cs="Arial"/>
          <w:u w:val="single"/>
          <w:rtl/>
        </w:rPr>
        <w:t>רבא אמר רב נחמן</w:t>
      </w:r>
      <w:r w:rsidRPr="009512B6">
        <w:rPr>
          <w:rFonts w:cs="Arial"/>
          <w:rtl/>
        </w:rPr>
        <w:t>: בן שמנה עשרה שנה</w:t>
      </w:r>
      <w:r>
        <w:rPr>
          <w:rFonts w:cs="Arial" w:hint="cs"/>
          <w:rtl/>
        </w:rPr>
        <w:t>.</w:t>
      </w:r>
      <w:r w:rsidRPr="009512B6">
        <w:rPr>
          <w:rFonts w:cs="Arial"/>
          <w:rtl/>
        </w:rPr>
        <w:t xml:space="preserve"> </w:t>
      </w:r>
      <w:r w:rsidRPr="007334C0">
        <w:rPr>
          <w:rFonts w:cs="Arial"/>
          <w:u w:val="single"/>
          <w:rtl/>
        </w:rPr>
        <w:t>ורב הונא בר חיננא אמר רב נחמן</w:t>
      </w:r>
      <w:r w:rsidRPr="009512B6">
        <w:rPr>
          <w:rFonts w:cs="Arial"/>
          <w:rtl/>
        </w:rPr>
        <w:t>: מבן עשרים שנה</w:t>
      </w:r>
      <w:r>
        <w:rPr>
          <w:rFonts w:cs="Arial" w:hint="cs"/>
          <w:rtl/>
        </w:rPr>
        <w:t>...</w:t>
      </w:r>
      <w:r>
        <w:rPr>
          <w:rFonts w:cs="Arial" w:hint="cs"/>
          <w:sz w:val="14"/>
          <w:szCs w:val="14"/>
          <w:rtl/>
        </w:rPr>
        <w:t xml:space="preserve"> (קנה:)</w:t>
      </w:r>
      <w:r w:rsidRPr="009512B6">
        <w:rPr>
          <w:rFonts w:cs="Arial"/>
          <w:rtl/>
        </w:rPr>
        <w:t xml:space="preserve"> </w:t>
      </w:r>
      <w:r w:rsidRPr="007334C0">
        <w:rPr>
          <w:rFonts w:cs="Arial"/>
          <w:u w:val="single"/>
          <w:rtl/>
        </w:rPr>
        <w:t>שלח ליה גידל בר מנשיא לרבא</w:t>
      </w:r>
      <w:r>
        <w:rPr>
          <w:rFonts w:cs="Arial" w:hint="cs"/>
          <w:rtl/>
        </w:rPr>
        <w:t>:</w:t>
      </w:r>
      <w:r w:rsidRPr="009512B6">
        <w:rPr>
          <w:rFonts w:cs="Arial"/>
          <w:rtl/>
        </w:rPr>
        <w:t xml:space="preserve"> ילמדנו רבינ</w:t>
      </w:r>
      <w:r>
        <w:rPr>
          <w:rFonts w:cs="Arial" w:hint="cs"/>
          <w:rtl/>
        </w:rPr>
        <w:t>ו,</w:t>
      </w:r>
      <w:r w:rsidRPr="009512B6">
        <w:rPr>
          <w:rFonts w:cs="Arial"/>
          <w:rtl/>
        </w:rPr>
        <w:t xml:space="preserve"> תינוקת בת ארבע עשרה שנה ויום אחד יודעת בטיב משא ומתן, מהו? </w:t>
      </w:r>
      <w:r w:rsidRPr="007334C0">
        <w:rPr>
          <w:rFonts w:cs="Arial"/>
          <w:u w:val="single"/>
          <w:rtl/>
        </w:rPr>
        <w:t>שלח ליה</w:t>
      </w:r>
      <w:r w:rsidRPr="009512B6">
        <w:rPr>
          <w:rFonts w:cs="Arial"/>
          <w:rtl/>
        </w:rPr>
        <w:t>: אם יודעת בטיב משא ומתן - מקחה מקח וממכרה ממכר. ולישלח ליה: תינוק! מעשה שהיה כך היה. ולישלח ליה: תינוקת בת שתים עשרה שנה ויום אחד! מעשה שהיה כך היה. ההוא פחות מבן עשרים דאזל זבין נכסי אבוהו, כגידל בר מנשיא, אתא לקמיה דרבא. אמרו ליה קרוביה: זיל אכול תמרי ושדי ביה קשייתא בי רבא, עבד הכי</w:t>
      </w:r>
      <w:r>
        <w:rPr>
          <w:rFonts w:cs="Arial" w:hint="cs"/>
          <w:rtl/>
        </w:rPr>
        <w:t>.</w:t>
      </w:r>
      <w:r w:rsidRPr="009512B6">
        <w:rPr>
          <w:rFonts w:cs="Arial"/>
          <w:rtl/>
        </w:rPr>
        <w:t xml:space="preserve"> אמר להו: זביניה לאו זביני. כי קא כתבו ליה שטרא, אמרו ליה לקוחות, זיל אימא ליה לרבא: מגלת אסתר בזוזא, שטרא דמר בזוזא? אזל א"ל</w:t>
      </w:r>
      <w:r>
        <w:rPr>
          <w:rFonts w:cs="Arial" w:hint="cs"/>
          <w:rtl/>
        </w:rPr>
        <w:t>.</w:t>
      </w:r>
      <w:r w:rsidRPr="009512B6">
        <w:rPr>
          <w:rFonts w:cs="Arial"/>
          <w:rtl/>
        </w:rPr>
        <w:t xml:space="preserve"> אמר להו: זביניה זביני. אמרו ליה קרוביה: לקוחות אגמרוהו! אמר להו: מסברי ליה סבר, כיון דמסברי ליה וסבר - מידע ידע, והאי דעבד הכי - חוצפא יתירא הוא דהוה ביה. </w:t>
      </w:r>
      <w:r w:rsidRPr="007334C0">
        <w:rPr>
          <w:rFonts w:cs="Arial"/>
          <w:u w:val="single"/>
          <w:rtl/>
        </w:rPr>
        <w:t>אמר רב הונא בריה דרב יהושע</w:t>
      </w:r>
      <w:r w:rsidRPr="009512B6">
        <w:rPr>
          <w:rFonts w:cs="Arial"/>
          <w:rtl/>
        </w:rPr>
        <w:t>: ולעדות - עדותו עדות</w:t>
      </w:r>
      <w:r>
        <w:rPr>
          <w:rStyle w:val="ab"/>
          <w:rFonts w:cs="Arial"/>
          <w:rtl/>
        </w:rPr>
        <w:footnoteReference w:id="2491"/>
      </w:r>
      <w:r w:rsidRPr="009512B6">
        <w:rPr>
          <w:rFonts w:cs="Arial"/>
          <w:rtl/>
        </w:rPr>
        <w:t xml:space="preserve">. </w:t>
      </w:r>
      <w:r w:rsidRPr="007334C0">
        <w:rPr>
          <w:rFonts w:cs="Arial"/>
          <w:u w:val="single"/>
          <w:rtl/>
        </w:rPr>
        <w:t>אמר מר זוטרא</w:t>
      </w:r>
      <w:r w:rsidRPr="009512B6">
        <w:rPr>
          <w:rFonts w:cs="Arial"/>
          <w:rtl/>
        </w:rPr>
        <w:t>: לא אמרן אלא למטלטלי</w:t>
      </w:r>
      <w:r>
        <w:rPr>
          <w:rStyle w:val="ab"/>
          <w:rFonts w:cs="Arial"/>
          <w:rtl/>
        </w:rPr>
        <w:footnoteReference w:id="2492"/>
      </w:r>
      <w:r w:rsidRPr="009512B6">
        <w:rPr>
          <w:rFonts w:cs="Arial"/>
          <w:rtl/>
        </w:rPr>
        <w:t xml:space="preserve">, אבל למקרקעי לא. </w:t>
      </w:r>
      <w:r w:rsidRPr="007334C0">
        <w:rPr>
          <w:rFonts w:cs="Arial"/>
          <w:u w:val="single"/>
          <w:rtl/>
        </w:rPr>
        <w:t>א"ל רב אשי למר זוטרא</w:t>
      </w:r>
      <w:r w:rsidRPr="009512B6">
        <w:rPr>
          <w:rFonts w:cs="Arial"/>
          <w:rtl/>
        </w:rPr>
        <w:t>: מ"ש מטלטלי</w:t>
      </w:r>
      <w:r>
        <w:rPr>
          <w:rStyle w:val="ab"/>
          <w:rFonts w:cs="Arial"/>
          <w:rtl/>
        </w:rPr>
        <w:footnoteReference w:id="2493"/>
      </w:r>
      <w:r w:rsidRPr="009512B6">
        <w:rPr>
          <w:rFonts w:cs="Arial"/>
          <w:rtl/>
        </w:rPr>
        <w:t>? דזביניה זביני, אלא מעתה, הא דתנן: הפעוטות</w:t>
      </w:r>
      <w:r>
        <w:rPr>
          <w:rStyle w:val="ab"/>
          <w:rFonts w:cs="Arial"/>
          <w:rtl/>
        </w:rPr>
        <w:footnoteReference w:id="2494"/>
      </w:r>
      <w:r w:rsidRPr="009512B6">
        <w:rPr>
          <w:rFonts w:cs="Arial"/>
          <w:rtl/>
        </w:rPr>
        <w:t xml:space="preserve"> - מקחן מקח וממכרן ממכר במטלטלין</w:t>
      </w:r>
      <w:r>
        <w:rPr>
          <w:rFonts w:cs="Arial" w:hint="cs"/>
          <w:rtl/>
        </w:rPr>
        <w:t>.</w:t>
      </w:r>
      <w:r w:rsidRPr="009512B6">
        <w:rPr>
          <w:rFonts w:cs="Arial"/>
          <w:rtl/>
        </w:rPr>
        <w:t xml:space="preserve"> ה"נ דעדותן עדות! </w:t>
      </w:r>
      <w:r w:rsidRPr="007334C0">
        <w:rPr>
          <w:rFonts w:cs="Arial"/>
          <w:u w:val="single"/>
          <w:rtl/>
        </w:rPr>
        <w:t>א"ל</w:t>
      </w:r>
      <w:r w:rsidRPr="009512B6">
        <w:rPr>
          <w:rFonts w:cs="Arial"/>
          <w:rtl/>
        </w:rPr>
        <w:t>: התם בעינא ועמדו שני האנשים</w:t>
      </w:r>
      <w:r>
        <w:rPr>
          <w:rStyle w:val="ab"/>
          <w:rFonts w:cs="Arial"/>
          <w:rtl/>
        </w:rPr>
        <w:footnoteReference w:id="2495"/>
      </w:r>
      <w:r w:rsidRPr="009512B6">
        <w:rPr>
          <w:rFonts w:cs="Arial"/>
          <w:rtl/>
        </w:rPr>
        <w:t xml:space="preserve"> וליכא</w:t>
      </w:r>
      <w:r>
        <w:rPr>
          <w:rStyle w:val="ab"/>
          <w:rFonts w:cs="Arial"/>
          <w:rtl/>
        </w:rPr>
        <w:footnoteReference w:id="2496"/>
      </w:r>
      <w:r w:rsidRPr="009512B6">
        <w:rPr>
          <w:rFonts w:cs="Arial"/>
          <w:rtl/>
        </w:rPr>
        <w:t>.</w:t>
      </w:r>
      <w:r>
        <w:rPr>
          <w:rFonts w:hint="cs"/>
          <w:rtl/>
        </w:rPr>
        <w:t>..</w:t>
      </w:r>
      <w:r>
        <w:rPr>
          <w:rFonts w:cs="Arial" w:hint="cs"/>
          <w:rtl/>
        </w:rPr>
        <w:t xml:space="preserve"> </w:t>
      </w:r>
      <w:r>
        <w:rPr>
          <w:rFonts w:hint="cs"/>
          <w:sz w:val="14"/>
          <w:szCs w:val="14"/>
          <w:rtl/>
        </w:rPr>
        <w:t xml:space="preserve"> (קנו.)</w:t>
      </w:r>
      <w:r>
        <w:rPr>
          <w:rFonts w:cs="Arial" w:hint="cs"/>
          <w:rtl/>
        </w:rPr>
        <w:t xml:space="preserve"> </w:t>
      </w:r>
      <w:r w:rsidRPr="00AC56B5">
        <w:rPr>
          <w:rFonts w:cs="Arial"/>
          <w:u w:val="single"/>
          <w:rtl/>
        </w:rPr>
        <w:t>אמר רב נחמן אמר שמואל</w:t>
      </w:r>
      <w:r w:rsidRPr="00AC56B5">
        <w:rPr>
          <w:rFonts w:cs="Arial"/>
          <w:rtl/>
        </w:rPr>
        <w:t>: בודקין לקדושין, לגרושין, ולחליצה ולמיאונין, ולמכור בנכסי אביו - עד שיהא בן עשרים</w:t>
      </w:r>
      <w:r>
        <w:rPr>
          <w:rStyle w:val="ab"/>
          <w:rFonts w:cs="Arial"/>
          <w:rtl/>
        </w:rPr>
        <w:footnoteReference w:id="2497"/>
      </w:r>
      <w:r w:rsidRPr="00AC56B5">
        <w:rPr>
          <w:rFonts w:cs="Arial"/>
          <w:rtl/>
        </w:rPr>
        <w:t>.</w:t>
      </w:r>
      <w:r>
        <w:rPr>
          <w:rFonts w:cs="Arial" w:hint="cs"/>
          <w:rtl/>
        </w:rPr>
        <w:t>..</w:t>
      </w:r>
      <w:r w:rsidRPr="00AC56B5">
        <w:rPr>
          <w:rFonts w:cs="Arial"/>
          <w:rtl/>
        </w:rPr>
        <w:t xml:space="preserve"> </w:t>
      </w:r>
      <w:r w:rsidRPr="009C7F0F">
        <w:rPr>
          <w:rFonts w:cs="Arial"/>
          <w:rtl/>
        </w:rPr>
        <w:t>והלכתא כגידל בר מנשה. והלכתא כמר זוטרא.</w:t>
      </w:r>
      <w:r>
        <w:rPr>
          <w:rFonts w:cs="Arial" w:hint="cs"/>
          <w:rtl/>
        </w:rPr>
        <w:t>.</w:t>
      </w:r>
      <w:r w:rsidRPr="00AC56B5">
        <w:rPr>
          <w:rFonts w:cs="Arial"/>
          <w:rtl/>
        </w:rPr>
        <w:t>. והלכתא כרב נחמן אמר שמואל בכולהו</w:t>
      </w:r>
      <w:r>
        <w:rPr>
          <w:rFonts w:cs="Arial" w:hint="cs"/>
          <w:rtl/>
        </w:rPr>
        <w:t>.</w:t>
      </w:r>
    </w:p>
    <w:p w14:paraId="5454F3BC" w14:textId="77777777" w:rsidR="004B607F" w:rsidRDefault="004B607F" w:rsidP="004B607F">
      <w:pPr>
        <w:rPr>
          <w:rFonts w:cs="Arial"/>
          <w:rtl/>
        </w:rPr>
      </w:pPr>
      <w:bookmarkStart w:id="329" w:name="_Hlk528509205"/>
      <w:bookmarkStart w:id="330" w:name="_Hlk19789150"/>
      <w:r>
        <w:rPr>
          <w:rFonts w:cs="Arial" w:hint="cs"/>
          <w:b/>
          <w:bCs/>
          <w:rtl/>
        </w:rPr>
        <w:t xml:space="preserve">נדה </w:t>
      </w:r>
      <w:r w:rsidRPr="007334C0">
        <w:rPr>
          <w:rFonts w:cs="Arial" w:hint="cs"/>
          <w:b/>
          <w:bCs/>
          <w:sz w:val="16"/>
          <w:szCs w:val="16"/>
          <w:rtl/>
        </w:rPr>
        <w:t xml:space="preserve">(פרק </w:t>
      </w:r>
      <w:r>
        <w:rPr>
          <w:rFonts w:cs="Arial" w:hint="cs"/>
          <w:b/>
          <w:bCs/>
          <w:sz w:val="16"/>
          <w:szCs w:val="16"/>
          <w:rtl/>
        </w:rPr>
        <w:t>יוצא דופן</w:t>
      </w:r>
      <w:r w:rsidRPr="007334C0">
        <w:rPr>
          <w:rFonts w:cs="Arial" w:hint="cs"/>
          <w:b/>
          <w:bCs/>
          <w:sz w:val="16"/>
          <w:szCs w:val="16"/>
          <w:rtl/>
        </w:rPr>
        <w:t>)</w:t>
      </w:r>
      <w:r>
        <w:rPr>
          <w:rFonts w:cs="Arial" w:hint="cs"/>
          <w:b/>
          <w:bCs/>
          <w:rtl/>
        </w:rPr>
        <w:t xml:space="preserve"> מו</w:t>
      </w:r>
      <w:r>
        <w:rPr>
          <w:rStyle w:val="ab"/>
          <w:rFonts w:cs="Arial"/>
          <w:b/>
          <w:bCs/>
          <w:rtl/>
        </w:rPr>
        <w:footnoteReference w:id="2498"/>
      </w:r>
      <w:r>
        <w:rPr>
          <w:rFonts w:cs="Arial" w:hint="cs"/>
          <w:b/>
          <w:bCs/>
          <w:rtl/>
        </w:rPr>
        <w:t xml:space="preserve"> ע"א: </w:t>
      </w:r>
      <w:bookmarkEnd w:id="329"/>
      <w:r w:rsidRPr="0097074C">
        <w:rPr>
          <w:rFonts w:cs="Arial"/>
          <w:u w:val="single"/>
          <w:rtl/>
        </w:rPr>
        <w:t>מתיב רבי זירא</w:t>
      </w:r>
      <w:r w:rsidRPr="00A1501B">
        <w:rPr>
          <w:rFonts w:cs="Arial"/>
          <w:rtl/>
        </w:rPr>
        <w:t>: איש כי יפליא לנדור נדר</w:t>
      </w:r>
      <w:r>
        <w:rPr>
          <w:rFonts w:cs="Arial" w:hint="cs"/>
          <w:rtl/>
        </w:rPr>
        <w:t>,</w:t>
      </w:r>
      <w:r w:rsidRPr="00A1501B">
        <w:rPr>
          <w:rFonts w:cs="Arial"/>
          <w:rtl/>
        </w:rPr>
        <w:t xml:space="preserve"> מה ת"ל איש - לרבות בן י"ג שנה ויום אחד, שאע"פ שאינו יודע להפליא - נדריו קיימין. ה"ד? אי דלא אייתי שתי שערות - קטן הוא, אלא לאו - דאייתי שתי שערות, וטעמא - דבן י"ג ויום אחד הוא דהוה ליה איש</w:t>
      </w:r>
      <w:r>
        <w:rPr>
          <w:rFonts w:cs="Arial" w:hint="cs"/>
          <w:rtl/>
        </w:rPr>
        <w:t>...</w:t>
      </w:r>
      <w:r w:rsidRPr="00620117">
        <w:rPr>
          <w:rFonts w:cs="Arial"/>
          <w:rtl/>
        </w:rPr>
        <w:t xml:space="preserve"> </w:t>
      </w:r>
      <w:r w:rsidRPr="00620117">
        <w:rPr>
          <w:rFonts w:cs="Arial" w:hint="cs"/>
          <w:sz w:val="16"/>
          <w:szCs w:val="16"/>
          <w:rtl/>
        </w:rPr>
        <w:t xml:space="preserve">(מכאן </w:t>
      </w:r>
      <w:r>
        <w:rPr>
          <w:rFonts w:cs="Arial" w:hint="cs"/>
          <w:sz w:val="16"/>
          <w:szCs w:val="16"/>
          <w:rtl/>
        </w:rPr>
        <w:t>ד</w:t>
      </w:r>
      <w:r w:rsidRPr="00620117">
        <w:rPr>
          <w:rFonts w:cs="Arial"/>
          <w:sz w:val="16"/>
          <w:szCs w:val="16"/>
          <w:rtl/>
        </w:rPr>
        <w:t>אע</w:t>
      </w:r>
      <w:r>
        <w:rPr>
          <w:rFonts w:cs="Arial" w:hint="cs"/>
          <w:sz w:val="16"/>
          <w:szCs w:val="16"/>
          <w:rtl/>
        </w:rPr>
        <w:t>"</w:t>
      </w:r>
      <w:r w:rsidRPr="00620117">
        <w:rPr>
          <w:rFonts w:cs="Arial"/>
          <w:sz w:val="16"/>
          <w:szCs w:val="16"/>
          <w:rtl/>
        </w:rPr>
        <w:t>פ שהוא בן י"ג ויום אחד ולא הביא שתי שערות אכתי קטן הוא</w:t>
      </w:r>
      <w:r>
        <w:rPr>
          <w:rFonts w:cs="Arial" w:hint="cs"/>
          <w:sz w:val="16"/>
          <w:szCs w:val="16"/>
          <w:rtl/>
        </w:rPr>
        <w:t xml:space="preserve">, </w:t>
      </w:r>
      <w:r w:rsidRPr="00620117">
        <w:rPr>
          <w:rFonts w:cs="Arial" w:hint="cs"/>
          <w:sz w:val="16"/>
          <w:szCs w:val="16"/>
          <w:rtl/>
        </w:rPr>
        <w:t>ב"י)</w:t>
      </w:r>
      <w:r w:rsidRPr="00620117">
        <w:rPr>
          <w:rFonts w:cs="Arial"/>
          <w:sz w:val="16"/>
          <w:szCs w:val="16"/>
          <w:rtl/>
        </w:rPr>
        <w:t xml:space="preserve"> </w:t>
      </w:r>
    </w:p>
    <w:p w14:paraId="5A1749B0" w14:textId="77777777" w:rsidR="004B607F" w:rsidRDefault="004B607F" w:rsidP="004B607F">
      <w:pPr>
        <w:rPr>
          <w:rFonts w:cs="Arial"/>
          <w:rtl/>
        </w:rPr>
      </w:pPr>
      <w:bookmarkStart w:id="331" w:name="_Hlk19789187"/>
      <w:bookmarkEnd w:id="330"/>
      <w:r>
        <w:rPr>
          <w:rFonts w:cs="Arial" w:hint="cs"/>
          <w:b/>
          <w:bCs/>
          <w:rtl/>
        </w:rPr>
        <w:t xml:space="preserve">נדה </w:t>
      </w:r>
      <w:r w:rsidRPr="007334C0">
        <w:rPr>
          <w:rFonts w:cs="Arial" w:hint="cs"/>
          <w:b/>
          <w:bCs/>
          <w:sz w:val="16"/>
          <w:szCs w:val="16"/>
          <w:rtl/>
        </w:rPr>
        <w:t xml:space="preserve">(פרק </w:t>
      </w:r>
      <w:r>
        <w:rPr>
          <w:rFonts w:cs="Arial" w:hint="cs"/>
          <w:b/>
          <w:bCs/>
          <w:sz w:val="16"/>
          <w:szCs w:val="16"/>
          <w:rtl/>
        </w:rPr>
        <w:t>בא סימן</w:t>
      </w:r>
      <w:r w:rsidRPr="007334C0">
        <w:rPr>
          <w:rFonts w:cs="Arial" w:hint="cs"/>
          <w:b/>
          <w:bCs/>
          <w:sz w:val="16"/>
          <w:szCs w:val="16"/>
          <w:rtl/>
        </w:rPr>
        <w:t>)</w:t>
      </w:r>
      <w:r>
        <w:rPr>
          <w:rFonts w:cs="Arial" w:hint="cs"/>
          <w:b/>
          <w:bCs/>
          <w:rtl/>
        </w:rPr>
        <w:t xml:space="preserve"> מח</w:t>
      </w:r>
      <w:r>
        <w:rPr>
          <w:rStyle w:val="ab"/>
          <w:rFonts w:cs="Arial"/>
          <w:b/>
          <w:bCs/>
          <w:rtl/>
        </w:rPr>
        <w:footnoteReference w:id="2499"/>
      </w:r>
      <w:r>
        <w:rPr>
          <w:rFonts w:cs="Arial" w:hint="cs"/>
          <w:b/>
          <w:bCs/>
          <w:rtl/>
        </w:rPr>
        <w:t xml:space="preserve"> ע"ב: </w:t>
      </w:r>
      <w:r w:rsidRPr="00915E1C">
        <w:rPr>
          <w:rFonts w:cs="Arial"/>
          <w:u w:val="single"/>
          <w:rtl/>
        </w:rPr>
        <w:t>אמר מר, רבי יהודה אומר</w:t>
      </w:r>
      <w:r w:rsidRPr="00915E1C">
        <w:rPr>
          <w:rFonts w:cs="Arial"/>
          <w:rtl/>
        </w:rPr>
        <w:t>: לפני הפרק ולאחר הפרק - נשים בודקות אותן. בשלמא לפני הפרק - בעי בדיקה, דאי משתכחי לאחר הפרק - שומא</w:t>
      </w:r>
      <w:r>
        <w:rPr>
          <w:rStyle w:val="ab"/>
          <w:rFonts w:cs="Arial"/>
          <w:rtl/>
        </w:rPr>
        <w:footnoteReference w:id="2500"/>
      </w:r>
      <w:r w:rsidRPr="00915E1C">
        <w:rPr>
          <w:rFonts w:cs="Arial"/>
          <w:rtl/>
        </w:rPr>
        <w:t xml:space="preserve"> נינהו.</w:t>
      </w:r>
      <w:r>
        <w:rPr>
          <w:rFonts w:cs="Arial" w:hint="cs"/>
          <w:rtl/>
        </w:rPr>
        <w:t>..</w:t>
      </w:r>
      <w:r w:rsidRPr="00915E1C">
        <w:rPr>
          <w:rFonts w:cs="Arial"/>
          <w:rtl/>
        </w:rPr>
        <w:t xml:space="preserve"> </w:t>
      </w:r>
      <w:r w:rsidRPr="00620117">
        <w:rPr>
          <w:rFonts w:cs="Arial"/>
          <w:u w:val="single"/>
          <w:rtl/>
        </w:rPr>
        <w:t>ר"ש אומר</w:t>
      </w:r>
      <w:r w:rsidRPr="00915E1C">
        <w:rPr>
          <w:rFonts w:cs="Arial"/>
          <w:rtl/>
        </w:rPr>
        <w:t>: אף תוך הפרק נשים בודקות אותן, קסבר: תוך הפרק - כלפני הפרק, ובעיא בדיקה, דאי משתכחי</w:t>
      </w:r>
      <w:r>
        <w:rPr>
          <w:rStyle w:val="ab"/>
          <w:rFonts w:cs="Arial"/>
          <w:rtl/>
        </w:rPr>
        <w:footnoteReference w:id="2501"/>
      </w:r>
      <w:r w:rsidRPr="00915E1C">
        <w:rPr>
          <w:rFonts w:cs="Arial"/>
          <w:rtl/>
        </w:rPr>
        <w:t xml:space="preserve"> לאחר הפרק - שומא נינהו</w:t>
      </w:r>
      <w:r>
        <w:rPr>
          <w:rFonts w:cs="Arial" w:hint="cs"/>
          <w:rtl/>
        </w:rPr>
        <w:t>..</w:t>
      </w:r>
      <w:r w:rsidRPr="00915E1C">
        <w:rPr>
          <w:rFonts w:cs="Arial"/>
          <w:rtl/>
        </w:rPr>
        <w:t xml:space="preserve">. </w:t>
      </w:r>
      <w:r w:rsidRPr="00620117">
        <w:rPr>
          <w:rFonts w:cs="Arial" w:hint="cs"/>
          <w:sz w:val="16"/>
          <w:szCs w:val="16"/>
          <w:rtl/>
        </w:rPr>
        <w:t>(מכאן ש</w:t>
      </w:r>
      <w:r w:rsidRPr="00620117">
        <w:rPr>
          <w:rFonts w:cs="Arial"/>
          <w:sz w:val="16"/>
          <w:szCs w:val="16"/>
          <w:rtl/>
        </w:rPr>
        <w:t xml:space="preserve">שתי שערות </w:t>
      </w:r>
      <w:r w:rsidRPr="00620117">
        <w:rPr>
          <w:rFonts w:cs="Arial" w:hint="cs"/>
          <w:sz w:val="16"/>
          <w:szCs w:val="16"/>
          <w:rtl/>
        </w:rPr>
        <w:t xml:space="preserve">מועילות לו להיקרא איש רק בתנאי שהביא אותן </w:t>
      </w:r>
      <w:r w:rsidRPr="00620117">
        <w:rPr>
          <w:rFonts w:cs="Arial"/>
          <w:sz w:val="16"/>
          <w:szCs w:val="16"/>
          <w:rtl/>
        </w:rPr>
        <w:t>אחר שהיה בן י"ג כלומר שאם הביאם קודם י"ג וגדל ולא נשרו לא הוו סימנים</w:t>
      </w:r>
      <w:r w:rsidRPr="00620117">
        <w:rPr>
          <w:rFonts w:cs="Arial" w:hint="cs"/>
          <w:sz w:val="16"/>
          <w:szCs w:val="16"/>
          <w:rtl/>
        </w:rPr>
        <w:t>, ע"פ ב"י)</w:t>
      </w:r>
    </w:p>
    <w:bookmarkEnd w:id="331"/>
    <w:p w14:paraId="4A72CF56" w14:textId="77777777" w:rsidR="004B607F" w:rsidRDefault="004B607F" w:rsidP="004B607F">
      <w:pPr>
        <w:rPr>
          <w:rFonts w:cs="Arial"/>
          <w:rtl/>
        </w:rPr>
      </w:pPr>
      <w:r w:rsidRPr="00620117">
        <w:rPr>
          <w:rFonts w:cs="Arial" w:hint="cs"/>
          <w:u w:val="single"/>
          <w:rtl/>
        </w:rPr>
        <w:t>עדות קטן:</w:t>
      </w:r>
    </w:p>
    <w:p w14:paraId="3188ED63" w14:textId="77777777" w:rsidR="004B607F" w:rsidRDefault="004B607F" w:rsidP="004B0475">
      <w:pPr>
        <w:pStyle w:val="ac"/>
        <w:numPr>
          <w:ilvl w:val="0"/>
          <w:numId w:val="97"/>
        </w:numPr>
        <w:rPr>
          <w:rFonts w:cs="Arial"/>
        </w:rPr>
      </w:pPr>
      <w:r w:rsidRPr="00620117">
        <w:rPr>
          <w:rFonts w:cs="Arial" w:hint="cs"/>
          <w:rtl/>
        </w:rPr>
        <w:t>טור-</w:t>
      </w:r>
      <w:r w:rsidRPr="00620117">
        <w:rPr>
          <w:rFonts w:cs="Arial"/>
          <w:rtl/>
        </w:rPr>
        <w:t xml:space="preserve"> קטן פסול להעיד אפילו פקח וחכם עד שיביא שתי שערות אחר שיהיה בן י"ג שנה ויום אחד</w:t>
      </w:r>
      <w:r w:rsidRPr="00620117">
        <w:rPr>
          <w:rFonts w:cs="Arial" w:hint="cs"/>
          <w:rtl/>
        </w:rPr>
        <w:t xml:space="preserve">. </w:t>
      </w:r>
      <w:r w:rsidRPr="00620117">
        <w:rPr>
          <w:rFonts w:cs="Arial"/>
          <w:rtl/>
        </w:rPr>
        <w:t>אפילו הגיע לכלל שנים אין מקבלין את עדותו עד שיבדקוהו שהביא ב' שערות</w:t>
      </w:r>
      <w:r>
        <w:rPr>
          <w:rFonts w:cs="Arial" w:hint="cs"/>
          <w:rtl/>
        </w:rPr>
        <w:t xml:space="preserve"> </w:t>
      </w:r>
      <w:r w:rsidRPr="00620117">
        <w:rPr>
          <w:rFonts w:cs="Arial" w:hint="cs"/>
          <w:sz w:val="16"/>
          <w:szCs w:val="16"/>
          <w:rtl/>
        </w:rPr>
        <w:t>(</w:t>
      </w:r>
      <w:r>
        <w:rPr>
          <w:rFonts w:cs="Arial" w:hint="cs"/>
          <w:sz w:val="16"/>
          <w:szCs w:val="16"/>
          <w:rtl/>
        </w:rPr>
        <w:t xml:space="preserve">רא"ש </w:t>
      </w:r>
      <w:r w:rsidRPr="00AC56B5">
        <w:rPr>
          <w:rFonts w:cs="Arial" w:hint="cs"/>
          <w:sz w:val="14"/>
          <w:szCs w:val="14"/>
          <w:rtl/>
        </w:rPr>
        <w:t>[</w:t>
      </w:r>
      <w:r w:rsidRPr="00AC56B5">
        <w:rPr>
          <w:rFonts w:cs="Arial"/>
          <w:sz w:val="14"/>
          <w:szCs w:val="14"/>
          <w:rtl/>
        </w:rPr>
        <w:t>כלל לג סי</w:t>
      </w:r>
      <w:r w:rsidRPr="00AC56B5">
        <w:rPr>
          <w:rFonts w:cs="Arial" w:hint="cs"/>
          <w:sz w:val="14"/>
          <w:szCs w:val="14"/>
          <w:rtl/>
        </w:rPr>
        <w:t>'</w:t>
      </w:r>
      <w:r w:rsidRPr="00AC56B5">
        <w:rPr>
          <w:rFonts w:cs="Arial"/>
          <w:sz w:val="14"/>
          <w:szCs w:val="14"/>
          <w:rtl/>
        </w:rPr>
        <w:t xml:space="preserve"> ה</w:t>
      </w:r>
      <w:r>
        <w:rPr>
          <w:rFonts w:cs="Arial" w:hint="cs"/>
          <w:sz w:val="14"/>
          <w:szCs w:val="14"/>
          <w:rtl/>
        </w:rPr>
        <w:t>]</w:t>
      </w:r>
      <w:r w:rsidRPr="00620117">
        <w:rPr>
          <w:rFonts w:cs="Arial" w:hint="cs"/>
          <w:sz w:val="16"/>
          <w:szCs w:val="16"/>
          <w:rtl/>
        </w:rPr>
        <w:t>)</w:t>
      </w:r>
      <w:r w:rsidRPr="00620117">
        <w:rPr>
          <w:rFonts w:cs="Arial" w:hint="cs"/>
          <w:rtl/>
        </w:rPr>
        <w:t>.</w:t>
      </w:r>
      <w:r w:rsidRPr="00620117">
        <w:rPr>
          <w:rFonts w:cs="Arial"/>
          <w:rtl/>
        </w:rPr>
        <w:t xml:space="preserve"> ואם משהין לבודקו זמן רב אחר שהיה לו י"ג שנים ובדקוהו ומצאו לו שתי שערות כתב א"א הרא"ש ז"ל בתשובה </w:t>
      </w:r>
      <w:r w:rsidRPr="00620117">
        <w:rPr>
          <w:rFonts w:cs="Arial" w:hint="cs"/>
          <w:sz w:val="16"/>
          <w:szCs w:val="16"/>
          <w:rtl/>
        </w:rPr>
        <w:t>(</w:t>
      </w:r>
      <w:r>
        <w:rPr>
          <w:rFonts w:cs="Arial" w:hint="cs"/>
          <w:sz w:val="16"/>
          <w:szCs w:val="16"/>
          <w:rtl/>
        </w:rPr>
        <w:t>שם</w:t>
      </w:r>
      <w:r w:rsidRPr="00620117">
        <w:rPr>
          <w:rFonts w:cs="Arial" w:hint="cs"/>
          <w:sz w:val="16"/>
          <w:szCs w:val="16"/>
          <w:rtl/>
        </w:rPr>
        <w:t xml:space="preserve">) </w:t>
      </w:r>
      <w:r w:rsidRPr="00620117">
        <w:rPr>
          <w:rFonts w:cs="Arial"/>
          <w:rtl/>
        </w:rPr>
        <w:t>שהוא בחזקת גדול משעה שהיו לו י"ג שנה</w:t>
      </w:r>
      <w:r w:rsidRPr="00620117">
        <w:rPr>
          <w:rFonts w:cs="Arial" w:hint="cs"/>
          <w:rtl/>
        </w:rPr>
        <w:t>.</w:t>
      </w:r>
      <w:r>
        <w:rPr>
          <w:rFonts w:cs="Arial" w:hint="cs"/>
          <w:rtl/>
        </w:rPr>
        <w:t xml:space="preserve"> </w:t>
      </w:r>
      <w:r w:rsidRPr="00520061">
        <w:rPr>
          <w:rFonts w:cs="Arial" w:hint="cs"/>
          <w:color w:val="E36C0A" w:themeColor="accent6" w:themeShade="BF"/>
          <w:rtl/>
        </w:rPr>
        <w:t>(וכ"פ בשו"ע)</w:t>
      </w:r>
    </w:p>
    <w:p w14:paraId="6D07ABF4" w14:textId="77777777" w:rsidR="004B607F" w:rsidRPr="001D2964" w:rsidRDefault="004B607F" w:rsidP="004B607F">
      <w:pPr>
        <w:rPr>
          <w:rFonts w:cs="Arial"/>
          <w:u w:val="single"/>
        </w:rPr>
      </w:pPr>
      <w:bookmarkStart w:id="332" w:name="_Hlk19789507"/>
      <w:r w:rsidRPr="001D2964">
        <w:rPr>
          <w:rFonts w:cs="Arial" w:hint="cs"/>
          <w:u w:val="single"/>
          <w:rtl/>
        </w:rPr>
        <w:t>הגיע לכלל שנים ויש לו זקן בפני</w:t>
      </w:r>
      <w:r>
        <w:rPr>
          <w:rFonts w:cs="Arial" w:hint="cs"/>
          <w:u w:val="single"/>
          <w:rtl/>
        </w:rPr>
        <w:t>ו</w:t>
      </w:r>
      <w:r w:rsidRPr="001D2964">
        <w:rPr>
          <w:rFonts w:cs="Arial" w:hint="cs"/>
          <w:u w:val="single"/>
          <w:rtl/>
        </w:rPr>
        <w:t xml:space="preserve"> </w:t>
      </w:r>
      <w:r w:rsidRPr="001D2964">
        <w:rPr>
          <w:rFonts w:cs="Arial"/>
          <w:u w:val="single"/>
          <w:rtl/>
        </w:rPr>
        <w:t>–</w:t>
      </w:r>
      <w:r w:rsidRPr="001D2964">
        <w:rPr>
          <w:rFonts w:cs="Arial" w:hint="cs"/>
          <w:u w:val="single"/>
          <w:rtl/>
        </w:rPr>
        <w:t xml:space="preserve"> האם צריך בדיקה למטה:</w:t>
      </w:r>
    </w:p>
    <w:p w14:paraId="5A5CAA4C" w14:textId="77777777" w:rsidR="004B607F" w:rsidRDefault="004B607F" w:rsidP="004B0475">
      <w:pPr>
        <w:pStyle w:val="ac"/>
        <w:numPr>
          <w:ilvl w:val="0"/>
          <w:numId w:val="97"/>
        </w:numPr>
        <w:rPr>
          <w:rFonts w:cs="Arial"/>
        </w:rPr>
      </w:pPr>
      <w:r>
        <w:rPr>
          <w:rFonts w:cs="Arial" w:hint="cs"/>
          <w:rtl/>
        </w:rPr>
        <w:t xml:space="preserve">טור- </w:t>
      </w:r>
      <w:r w:rsidRPr="00620117">
        <w:rPr>
          <w:rFonts w:cs="Arial"/>
          <w:rtl/>
        </w:rPr>
        <w:t>אם צמח זקנו למעלה א"צ בדיקה</w:t>
      </w:r>
      <w:r>
        <w:rPr>
          <w:rStyle w:val="ab"/>
          <w:rFonts w:cs="Arial"/>
          <w:rtl/>
        </w:rPr>
        <w:footnoteReference w:id="2502"/>
      </w:r>
      <w:r w:rsidRPr="00620117">
        <w:rPr>
          <w:rFonts w:cs="Arial" w:hint="cs"/>
          <w:rtl/>
        </w:rPr>
        <w:t>.</w:t>
      </w:r>
      <w:r>
        <w:rPr>
          <w:rFonts w:cs="Arial" w:hint="cs"/>
          <w:rtl/>
        </w:rPr>
        <w:t xml:space="preserve"> </w:t>
      </w:r>
    </w:p>
    <w:p w14:paraId="2FFE0CC9" w14:textId="77777777" w:rsidR="004B607F" w:rsidRPr="00620117" w:rsidRDefault="004B607F" w:rsidP="004B0475">
      <w:pPr>
        <w:pStyle w:val="ac"/>
        <w:numPr>
          <w:ilvl w:val="0"/>
          <w:numId w:val="97"/>
        </w:numPr>
        <w:rPr>
          <w:rFonts w:cs="Arial"/>
          <w:rtl/>
        </w:rPr>
      </w:pPr>
      <w:r>
        <w:rPr>
          <w:rFonts w:cs="Arial"/>
          <w:rtl/>
        </w:rPr>
        <w:lastRenderedPageBreak/>
        <w:t>תוס</w:t>
      </w:r>
      <w:r>
        <w:rPr>
          <w:rFonts w:cs="Arial" w:hint="cs"/>
          <w:rtl/>
        </w:rPr>
        <w:t>'</w:t>
      </w:r>
      <w:r>
        <w:rPr>
          <w:rFonts w:cs="Arial"/>
          <w:rtl/>
        </w:rPr>
        <w:t xml:space="preserve"> </w:t>
      </w:r>
      <w:r w:rsidRPr="001D2964">
        <w:rPr>
          <w:rFonts w:cs="Arial" w:hint="cs"/>
          <w:sz w:val="16"/>
          <w:szCs w:val="16"/>
          <w:rtl/>
        </w:rPr>
        <w:t>(ס"פ</w:t>
      </w:r>
      <w:r w:rsidRPr="001D2964">
        <w:rPr>
          <w:rFonts w:cs="Arial"/>
          <w:sz w:val="16"/>
          <w:szCs w:val="16"/>
          <w:rtl/>
        </w:rPr>
        <w:t xml:space="preserve"> הערל </w:t>
      </w:r>
      <w:r w:rsidRPr="001D2964">
        <w:rPr>
          <w:rFonts w:cs="Arial" w:hint="cs"/>
          <w:sz w:val="16"/>
          <w:szCs w:val="16"/>
          <w:rtl/>
        </w:rPr>
        <w:t>[</w:t>
      </w:r>
      <w:r w:rsidRPr="001D2964">
        <w:rPr>
          <w:rFonts w:cs="Arial"/>
          <w:sz w:val="16"/>
          <w:szCs w:val="16"/>
          <w:rtl/>
        </w:rPr>
        <w:t>יבמות פ: ד"ה דהביא</w:t>
      </w:r>
      <w:r w:rsidRPr="001D2964">
        <w:rPr>
          <w:rFonts w:cs="Arial" w:hint="cs"/>
          <w:sz w:val="16"/>
          <w:szCs w:val="16"/>
          <w:rtl/>
        </w:rPr>
        <w:t>]</w:t>
      </w:r>
      <w:r w:rsidRPr="001D2964">
        <w:rPr>
          <w:rFonts w:cs="Arial"/>
          <w:sz w:val="16"/>
          <w:szCs w:val="16"/>
          <w:rtl/>
        </w:rPr>
        <w:t>)</w:t>
      </w:r>
      <w:r>
        <w:rPr>
          <w:rFonts w:cs="Arial" w:hint="cs"/>
          <w:rtl/>
        </w:rPr>
        <w:t>-</w:t>
      </w:r>
      <w:r w:rsidRPr="001D2964">
        <w:rPr>
          <w:rtl/>
        </w:rPr>
        <w:t xml:space="preserve"> </w:t>
      </w:r>
      <w:r w:rsidRPr="001D2964">
        <w:rPr>
          <w:rFonts w:cs="Arial"/>
          <w:rtl/>
        </w:rPr>
        <w:t>ואמר ר"י דאין חשוב בהבאת שתי שערות לבד יש לו זקן אא</w:t>
      </w:r>
      <w:r>
        <w:rPr>
          <w:rFonts w:cs="Arial" w:hint="cs"/>
          <w:rtl/>
        </w:rPr>
        <w:t>"</w:t>
      </w:r>
      <w:r w:rsidRPr="001D2964">
        <w:rPr>
          <w:rFonts w:cs="Arial"/>
          <w:rtl/>
        </w:rPr>
        <w:t>כ נתמלא זקנו</w:t>
      </w:r>
      <w:r>
        <w:rPr>
          <w:rFonts w:cs="Arial" w:hint="cs"/>
          <w:rtl/>
        </w:rPr>
        <w:t>.</w:t>
      </w:r>
      <w:r w:rsidRPr="00520061">
        <w:rPr>
          <w:rFonts w:cs="Arial" w:hint="cs"/>
          <w:color w:val="E36C0A" w:themeColor="accent6" w:themeShade="BF"/>
          <w:rtl/>
        </w:rPr>
        <w:t xml:space="preserve"> (וכ"פ בשו"ע)</w:t>
      </w:r>
    </w:p>
    <w:bookmarkEnd w:id="332"/>
    <w:p w14:paraId="403D596E" w14:textId="77777777" w:rsidR="004B607F" w:rsidRPr="003024E5" w:rsidRDefault="004B607F" w:rsidP="004B607F">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0C9CA5B5" w14:textId="77777777" w:rsidR="004B607F" w:rsidRDefault="004B607F" w:rsidP="004B607F">
      <w:pPr>
        <w:rPr>
          <w:rtl/>
        </w:rPr>
      </w:pPr>
      <w:r>
        <w:rPr>
          <w:rFonts w:cs="Arial"/>
          <w:rtl/>
        </w:rPr>
        <w:t>קטן פסול להעיד אפילו היה נבון וחכם עד שיביא שתי שערות אחר י"ג שנים גמורות</w:t>
      </w:r>
      <w:r>
        <w:rPr>
          <w:rStyle w:val="ab"/>
          <w:rFonts w:cs="Arial"/>
          <w:rtl/>
        </w:rPr>
        <w:footnoteReference w:id="2503"/>
      </w:r>
      <w:r>
        <w:rPr>
          <w:rFonts w:cs="Arial"/>
          <w:rtl/>
        </w:rPr>
        <w:t>. ואם שהו מלבודקו זמן רב אחר שהיה לו י"ג שנה, ובדקוהו ונמצאו לו שתי שערות, הוא בחזקת גדול משעה שהיה לו י"ג שנה</w:t>
      </w:r>
      <w:r>
        <w:rPr>
          <w:rStyle w:val="ab"/>
          <w:rFonts w:cs="Arial"/>
          <w:rtl/>
        </w:rPr>
        <w:footnoteReference w:id="2504"/>
      </w:r>
      <w:r>
        <w:rPr>
          <w:rFonts w:cs="Arial"/>
          <w:rtl/>
        </w:rPr>
        <w:t xml:space="preserve">. ואם נתמלא זקנו אינו צריך בדיקה. </w:t>
      </w:r>
    </w:p>
    <w:p w14:paraId="708DD4F0" w14:textId="77777777" w:rsidR="004B607F" w:rsidRPr="006E724A" w:rsidRDefault="004B607F" w:rsidP="004B607F">
      <w:pPr>
        <w:rPr>
          <w:u w:val="single"/>
          <w:rtl/>
        </w:rPr>
      </w:pPr>
      <w:r>
        <w:rPr>
          <w:rFonts w:hint="cs"/>
          <w:u w:val="single"/>
          <w:rtl/>
        </w:rPr>
        <w:t>הגיע</w:t>
      </w:r>
      <w:r w:rsidRPr="006E724A">
        <w:rPr>
          <w:rFonts w:hint="cs"/>
          <w:u w:val="single"/>
          <w:rtl/>
        </w:rPr>
        <w:t xml:space="preserve"> </w:t>
      </w:r>
      <w:r>
        <w:rPr>
          <w:rFonts w:hint="cs"/>
          <w:u w:val="single"/>
          <w:rtl/>
        </w:rPr>
        <w:t>ל-</w:t>
      </w:r>
      <w:r w:rsidRPr="006E724A">
        <w:rPr>
          <w:rFonts w:hint="cs"/>
          <w:u w:val="single"/>
          <w:rtl/>
        </w:rPr>
        <w:t xml:space="preserve">י"ג שנים </w:t>
      </w:r>
      <w:r>
        <w:rPr>
          <w:rFonts w:hint="cs"/>
          <w:u w:val="single"/>
          <w:rtl/>
        </w:rPr>
        <w:t>ויום אחד</w:t>
      </w:r>
      <w:r w:rsidRPr="006E724A">
        <w:rPr>
          <w:rFonts w:hint="cs"/>
          <w:u w:val="single"/>
          <w:rtl/>
        </w:rPr>
        <w:t xml:space="preserve"> </w:t>
      </w:r>
      <w:r w:rsidRPr="006E724A">
        <w:rPr>
          <w:u w:val="single"/>
          <w:rtl/>
        </w:rPr>
        <w:t>–</w:t>
      </w:r>
      <w:r w:rsidRPr="006E724A">
        <w:rPr>
          <w:rFonts w:hint="cs"/>
          <w:u w:val="single"/>
          <w:rtl/>
        </w:rPr>
        <w:t xml:space="preserve"> ה</w:t>
      </w:r>
      <w:r>
        <w:rPr>
          <w:rFonts w:hint="cs"/>
          <w:u w:val="single"/>
          <w:rtl/>
        </w:rPr>
        <w:t>אם צריך להשלים עד השעה שנולד בה</w:t>
      </w:r>
      <w:r w:rsidRPr="006E724A">
        <w:rPr>
          <w:rFonts w:hint="cs"/>
          <w:u w:val="single"/>
          <w:rtl/>
        </w:rPr>
        <w:t>:</w:t>
      </w:r>
      <w:r w:rsidRPr="006E724A">
        <w:rPr>
          <w:rFonts w:hint="cs"/>
          <w:sz w:val="16"/>
          <w:szCs w:val="16"/>
          <w:rtl/>
        </w:rPr>
        <w:t xml:space="preserve"> </w:t>
      </w:r>
      <w:r>
        <w:rPr>
          <w:rFonts w:hint="cs"/>
          <w:sz w:val="16"/>
          <w:szCs w:val="16"/>
          <w:rtl/>
        </w:rPr>
        <w:t xml:space="preserve">  </w:t>
      </w:r>
      <w:r w:rsidRPr="006E724A">
        <w:rPr>
          <w:rFonts w:hint="cs"/>
          <w:sz w:val="16"/>
          <w:szCs w:val="16"/>
          <w:rtl/>
        </w:rPr>
        <w:t>(</w:t>
      </w:r>
      <w:r>
        <w:rPr>
          <w:rFonts w:hint="cs"/>
          <w:sz w:val="16"/>
          <w:szCs w:val="16"/>
          <w:rtl/>
        </w:rPr>
        <w:t>ש"ך סק"א</w:t>
      </w:r>
      <w:r w:rsidRPr="006E724A">
        <w:rPr>
          <w:rFonts w:hint="cs"/>
          <w:sz w:val="16"/>
          <w:szCs w:val="16"/>
          <w:rtl/>
        </w:rPr>
        <w:t>)</w:t>
      </w:r>
    </w:p>
    <w:p w14:paraId="0C2EE045" w14:textId="77777777" w:rsidR="004B607F" w:rsidRPr="006E724A" w:rsidRDefault="004B607F" w:rsidP="004B0475">
      <w:pPr>
        <w:pStyle w:val="ac"/>
        <w:numPr>
          <w:ilvl w:val="0"/>
          <w:numId w:val="97"/>
        </w:numPr>
      </w:pPr>
      <w:r w:rsidRPr="006E724A">
        <w:rPr>
          <w:rFonts w:cs="Arial"/>
          <w:rtl/>
        </w:rPr>
        <w:t xml:space="preserve">לחם חמודות </w:t>
      </w:r>
      <w:r w:rsidRPr="006E724A">
        <w:rPr>
          <w:rFonts w:cs="Arial" w:hint="cs"/>
          <w:sz w:val="16"/>
          <w:szCs w:val="16"/>
          <w:rtl/>
        </w:rPr>
        <w:t>(</w:t>
      </w:r>
      <w:r w:rsidRPr="006E724A">
        <w:rPr>
          <w:rFonts w:cs="Arial"/>
          <w:sz w:val="16"/>
          <w:szCs w:val="16"/>
          <w:rtl/>
        </w:rPr>
        <w:t>ר</w:t>
      </w:r>
      <w:r w:rsidRPr="006E724A">
        <w:rPr>
          <w:rFonts w:cs="Arial" w:hint="cs"/>
          <w:sz w:val="16"/>
          <w:szCs w:val="16"/>
          <w:rtl/>
        </w:rPr>
        <w:t>"</w:t>
      </w:r>
      <w:r w:rsidRPr="006E724A">
        <w:rPr>
          <w:rFonts w:cs="Arial"/>
          <w:sz w:val="16"/>
          <w:szCs w:val="16"/>
          <w:rtl/>
        </w:rPr>
        <w:t>פ יוצא דופן דברי חמודות נדה פ"ה אות ה</w:t>
      </w:r>
      <w:r w:rsidRPr="006E724A">
        <w:rPr>
          <w:rFonts w:cs="Arial" w:hint="cs"/>
          <w:sz w:val="16"/>
          <w:szCs w:val="16"/>
          <w:rtl/>
        </w:rPr>
        <w:t>)</w:t>
      </w:r>
      <w:r>
        <w:rPr>
          <w:rFonts w:cs="Arial" w:hint="cs"/>
          <w:rtl/>
        </w:rPr>
        <w:t xml:space="preserve">- יש להסתפק בזה ונראה </w:t>
      </w:r>
      <w:r w:rsidRPr="006E724A">
        <w:rPr>
          <w:rFonts w:cs="Arial"/>
          <w:rtl/>
        </w:rPr>
        <w:t>דבעינן מעת לעת בשעות</w:t>
      </w:r>
      <w:r>
        <w:rPr>
          <w:rFonts w:cs="Arial" w:hint="cs"/>
          <w:rtl/>
        </w:rPr>
        <w:t xml:space="preserve"> בשעה שנולד</w:t>
      </w:r>
      <w:r w:rsidRPr="006E724A">
        <w:rPr>
          <w:rFonts w:cs="Arial"/>
          <w:rtl/>
        </w:rPr>
        <w:t>.</w:t>
      </w:r>
    </w:p>
    <w:p w14:paraId="7D5E6BE3" w14:textId="77777777" w:rsidR="004B607F" w:rsidRDefault="004B607F" w:rsidP="004B0475">
      <w:pPr>
        <w:pStyle w:val="ac"/>
        <w:numPr>
          <w:ilvl w:val="0"/>
          <w:numId w:val="97"/>
        </w:numPr>
        <w:rPr>
          <w:rtl/>
        </w:rPr>
      </w:pPr>
      <w:r w:rsidRPr="006E724A">
        <w:rPr>
          <w:rFonts w:cs="Arial"/>
          <w:rtl/>
        </w:rPr>
        <w:t xml:space="preserve">ב"ח </w:t>
      </w:r>
      <w:r w:rsidRPr="006E724A">
        <w:rPr>
          <w:rFonts w:cs="Arial" w:hint="cs"/>
          <w:sz w:val="16"/>
          <w:szCs w:val="16"/>
          <w:rtl/>
        </w:rPr>
        <w:t>(א</w:t>
      </w:r>
      <w:r w:rsidRPr="006E724A">
        <w:rPr>
          <w:rFonts w:cs="Arial"/>
          <w:sz w:val="16"/>
          <w:szCs w:val="16"/>
          <w:rtl/>
        </w:rPr>
        <w:t>ו"ח ס</w:t>
      </w:r>
      <w:r w:rsidRPr="006E724A">
        <w:rPr>
          <w:rFonts w:cs="Arial" w:hint="cs"/>
          <w:sz w:val="16"/>
          <w:szCs w:val="16"/>
          <w:rtl/>
        </w:rPr>
        <w:t>"</w:t>
      </w:r>
      <w:r w:rsidRPr="006E724A">
        <w:rPr>
          <w:rFonts w:cs="Arial"/>
          <w:sz w:val="16"/>
          <w:szCs w:val="16"/>
          <w:rtl/>
        </w:rPr>
        <w:t>ס נג</w:t>
      </w:r>
      <w:r w:rsidRPr="006E724A">
        <w:rPr>
          <w:rFonts w:cs="Arial" w:hint="cs"/>
          <w:sz w:val="16"/>
          <w:szCs w:val="16"/>
          <w:rtl/>
        </w:rPr>
        <w:t>)</w:t>
      </w:r>
      <w:r>
        <w:rPr>
          <w:rFonts w:cs="Arial" w:hint="cs"/>
          <w:rtl/>
        </w:rPr>
        <w:t xml:space="preserve">- </w:t>
      </w:r>
      <w:r w:rsidRPr="006E724A">
        <w:rPr>
          <w:rFonts w:cs="Arial"/>
          <w:rtl/>
        </w:rPr>
        <w:t>אין צריך להשלים מעת לעת בשעות</w:t>
      </w:r>
      <w:r>
        <w:rPr>
          <w:rFonts w:hint="cs"/>
          <w:rtl/>
        </w:rPr>
        <w:t xml:space="preserve"> </w:t>
      </w:r>
      <w:r>
        <w:rPr>
          <w:rFonts w:hint="cs"/>
          <w:sz w:val="16"/>
          <w:szCs w:val="16"/>
          <w:rtl/>
        </w:rPr>
        <w:t>(</w:t>
      </w:r>
      <w:r w:rsidRPr="006E724A">
        <w:rPr>
          <w:rFonts w:hint="cs"/>
          <w:sz w:val="16"/>
          <w:szCs w:val="16"/>
          <w:rtl/>
        </w:rPr>
        <w:t>אלא בימים)</w:t>
      </w:r>
      <w:r>
        <w:rPr>
          <w:rFonts w:hint="cs"/>
          <w:rtl/>
        </w:rPr>
        <w:t>.</w:t>
      </w:r>
    </w:p>
    <w:p w14:paraId="2A5DE5D7" w14:textId="77777777" w:rsidR="004B607F" w:rsidRDefault="004B607F" w:rsidP="004B607F">
      <w:pPr>
        <w:rPr>
          <w:rtl/>
        </w:rPr>
      </w:pPr>
      <w:r>
        <w:rPr>
          <w:rFonts w:hint="cs"/>
          <w:rtl/>
        </w:rPr>
        <w:t xml:space="preserve"> </w:t>
      </w:r>
    </w:p>
    <w:p w14:paraId="6F47450A" w14:textId="77777777" w:rsidR="004B607F" w:rsidRDefault="004B607F" w:rsidP="004B607F">
      <w:pPr>
        <w:pStyle w:val="2"/>
        <w:rPr>
          <w:rtl/>
        </w:rPr>
      </w:pPr>
      <w:bookmarkStart w:id="333" w:name="_Toc24883785"/>
      <w:r>
        <w:rPr>
          <w:rtl/>
        </w:rPr>
        <w:t>סעיף ב</w:t>
      </w:r>
      <w:r>
        <w:rPr>
          <w:rFonts w:hint="cs"/>
          <w:rtl/>
        </w:rPr>
        <w:t>: עדות סריס.</w:t>
      </w:r>
      <w:bookmarkEnd w:id="333"/>
    </w:p>
    <w:p w14:paraId="1C308BF8" w14:textId="77777777" w:rsidR="004B607F" w:rsidRDefault="004B607F" w:rsidP="004B607F">
      <w:pPr>
        <w:rPr>
          <w:rFonts w:cs="Arial"/>
          <w:rtl/>
        </w:rPr>
      </w:pPr>
      <w:bookmarkStart w:id="334" w:name="_Hlk19789956"/>
      <w:r>
        <w:rPr>
          <w:rFonts w:cs="Arial" w:hint="cs"/>
          <w:b/>
          <w:bCs/>
          <w:rtl/>
        </w:rPr>
        <w:t xml:space="preserve">נדה </w:t>
      </w:r>
      <w:r w:rsidRPr="007334C0">
        <w:rPr>
          <w:rFonts w:cs="Arial" w:hint="cs"/>
          <w:b/>
          <w:bCs/>
          <w:sz w:val="16"/>
          <w:szCs w:val="16"/>
          <w:rtl/>
        </w:rPr>
        <w:t xml:space="preserve">(פרק </w:t>
      </w:r>
      <w:r>
        <w:rPr>
          <w:rFonts w:cs="Arial" w:hint="cs"/>
          <w:b/>
          <w:bCs/>
          <w:sz w:val="16"/>
          <w:szCs w:val="16"/>
          <w:rtl/>
        </w:rPr>
        <w:t>יוצא דופן</w:t>
      </w:r>
      <w:r w:rsidRPr="007334C0">
        <w:rPr>
          <w:rFonts w:cs="Arial" w:hint="cs"/>
          <w:b/>
          <w:bCs/>
          <w:sz w:val="16"/>
          <w:szCs w:val="16"/>
          <w:rtl/>
        </w:rPr>
        <w:t>)</w:t>
      </w:r>
      <w:r>
        <w:rPr>
          <w:rFonts w:cs="Arial" w:hint="cs"/>
          <w:b/>
          <w:bCs/>
          <w:rtl/>
        </w:rPr>
        <w:t xml:space="preserve"> מז</w:t>
      </w:r>
      <w:r>
        <w:rPr>
          <w:rStyle w:val="ab"/>
          <w:rFonts w:cs="Arial"/>
          <w:b/>
          <w:bCs/>
          <w:rtl/>
        </w:rPr>
        <w:footnoteReference w:id="2505"/>
      </w:r>
      <w:r>
        <w:rPr>
          <w:rFonts w:cs="Arial" w:hint="cs"/>
          <w:b/>
          <w:bCs/>
          <w:rtl/>
        </w:rPr>
        <w:t xml:space="preserve"> ע"ב: </w:t>
      </w:r>
      <w:r>
        <w:rPr>
          <w:rFonts w:cs="Arial" w:hint="cs"/>
          <w:u w:val="double"/>
          <w:rtl/>
        </w:rPr>
        <w:t>מתני'</w:t>
      </w:r>
      <w:r>
        <w:rPr>
          <w:rFonts w:cs="Arial" w:hint="cs"/>
          <w:rtl/>
        </w:rPr>
        <w:t xml:space="preserve">:... </w:t>
      </w:r>
      <w:r w:rsidRPr="00AC56B5">
        <w:rPr>
          <w:rFonts w:cs="Arial"/>
          <w:rtl/>
        </w:rPr>
        <w:t>בן עשרים שנה שלא הביא שתי שערות, יביאו ראיה שהוא בן עשרים שנה - והוא סריס, לא חולץ ולא מיבם - אלו דברי בית הלל.</w:t>
      </w:r>
      <w:r>
        <w:rPr>
          <w:rFonts w:cs="Arial" w:hint="cs"/>
          <w:rtl/>
        </w:rPr>
        <w:t>..</w:t>
      </w:r>
      <w:r w:rsidRPr="00AC56B5">
        <w:rPr>
          <w:rFonts w:cs="Arial"/>
          <w:rtl/>
        </w:rPr>
        <w:t xml:space="preserve"> </w:t>
      </w:r>
      <w:r>
        <w:rPr>
          <w:rFonts w:cs="Arial" w:hint="cs"/>
          <w:rtl/>
        </w:rPr>
        <w:t xml:space="preserve">   </w:t>
      </w:r>
      <w:r w:rsidRPr="00AC56B5">
        <w:rPr>
          <w:rFonts w:cs="Arial"/>
          <w:u w:val="double"/>
          <w:rtl/>
        </w:rPr>
        <w:t>גמ'</w:t>
      </w:r>
      <w:r>
        <w:rPr>
          <w:rFonts w:cs="Arial" w:hint="cs"/>
          <w:rtl/>
        </w:rPr>
        <w:t>:</w:t>
      </w:r>
      <w:r w:rsidRPr="00AC56B5">
        <w:rPr>
          <w:rFonts w:cs="Arial"/>
          <w:rtl/>
        </w:rPr>
        <w:t xml:space="preserve"> ורמינהי: אחד לי בן תשע שנים ויום אחד, ואחד לי בן עשרים שלא הביא שתי שערות! </w:t>
      </w:r>
      <w:r w:rsidRPr="00AC56B5">
        <w:rPr>
          <w:rFonts w:cs="Arial"/>
          <w:u w:val="single"/>
          <w:rtl/>
        </w:rPr>
        <w:t>אמר רב שמואל בר רב יצחק אמר רב</w:t>
      </w:r>
      <w:r w:rsidRPr="00AC56B5">
        <w:rPr>
          <w:rFonts w:cs="Arial"/>
          <w:rtl/>
        </w:rPr>
        <w:t>: והוא שנולדו בו סימני סריס</w:t>
      </w:r>
      <w:r>
        <w:rPr>
          <w:rStyle w:val="ab"/>
          <w:rFonts w:cs="Arial"/>
          <w:rtl/>
        </w:rPr>
        <w:footnoteReference w:id="2506"/>
      </w:r>
      <w:r w:rsidRPr="00AC56B5">
        <w:rPr>
          <w:rFonts w:cs="Arial"/>
          <w:rtl/>
        </w:rPr>
        <w:t xml:space="preserve">. </w:t>
      </w:r>
      <w:r w:rsidRPr="00AC56B5">
        <w:rPr>
          <w:rFonts w:cs="Arial"/>
          <w:u w:val="single"/>
          <w:rtl/>
        </w:rPr>
        <w:t>אמר רבא</w:t>
      </w:r>
      <w:r w:rsidRPr="00AC56B5">
        <w:rPr>
          <w:rFonts w:cs="Arial"/>
          <w:rtl/>
        </w:rPr>
        <w:t xml:space="preserve">: דיקא נמי, דקתני והוא סריס, ש"מ. וכי לא נולדו לו סימני סריס, עד כמה? </w:t>
      </w:r>
      <w:r w:rsidRPr="00AC56B5">
        <w:rPr>
          <w:rFonts w:cs="Arial"/>
          <w:u w:val="single"/>
          <w:rtl/>
        </w:rPr>
        <w:t>תני ר' חייא</w:t>
      </w:r>
      <w:r w:rsidRPr="00AC56B5">
        <w:rPr>
          <w:rFonts w:cs="Arial"/>
          <w:rtl/>
        </w:rPr>
        <w:t>: עד רוב שנותיו</w:t>
      </w:r>
      <w:r>
        <w:rPr>
          <w:rStyle w:val="ab"/>
          <w:rFonts w:cs="Arial"/>
          <w:rtl/>
        </w:rPr>
        <w:footnoteReference w:id="2507"/>
      </w:r>
      <w:r w:rsidRPr="00AC56B5">
        <w:rPr>
          <w:rFonts w:cs="Arial"/>
          <w:rtl/>
        </w:rPr>
        <w:t>.</w:t>
      </w:r>
      <w:r>
        <w:rPr>
          <w:rFonts w:cs="Arial" w:hint="cs"/>
          <w:rtl/>
        </w:rPr>
        <w:t>..</w:t>
      </w:r>
      <w:r w:rsidRPr="003A03B1">
        <w:rPr>
          <w:rtl/>
        </w:rPr>
        <w:t xml:space="preserve"> </w:t>
      </w:r>
      <w:r w:rsidRPr="003A03B1">
        <w:rPr>
          <w:rFonts w:cs="Arial"/>
          <w:rtl/>
        </w:rPr>
        <w:t xml:space="preserve">תני, </w:t>
      </w:r>
      <w:r w:rsidRPr="003A03B1">
        <w:rPr>
          <w:rFonts w:cs="Arial"/>
          <w:u w:val="single"/>
          <w:rtl/>
        </w:rPr>
        <w:t>רבי יוסי בן כיפר אומר משום רבי אליעזר</w:t>
      </w:r>
      <w:r w:rsidRPr="003A03B1">
        <w:rPr>
          <w:rFonts w:cs="Arial"/>
          <w:rtl/>
        </w:rPr>
        <w:t>: שנת עשרים שיצאו ממנה שלשים יום - הרי היא כשנת עשרים לכל דבריה</w:t>
      </w:r>
      <w:r>
        <w:rPr>
          <w:rStyle w:val="ab"/>
          <w:rFonts w:cs="Arial"/>
          <w:rtl/>
        </w:rPr>
        <w:footnoteReference w:id="2508"/>
      </w:r>
      <w:r>
        <w:rPr>
          <w:rFonts w:cs="Arial" w:hint="cs"/>
          <w:rtl/>
        </w:rPr>
        <w:t>...</w:t>
      </w:r>
      <w:r w:rsidRPr="003A03B1">
        <w:rPr>
          <w:rtl/>
        </w:rPr>
        <w:t xml:space="preserve"> </w:t>
      </w:r>
      <w:r>
        <w:rPr>
          <w:rFonts w:hint="cs"/>
          <w:sz w:val="14"/>
          <w:szCs w:val="14"/>
          <w:rtl/>
        </w:rPr>
        <w:t>(מח.)</w:t>
      </w:r>
      <w:r>
        <w:rPr>
          <w:rFonts w:cs="Arial" w:hint="cs"/>
          <w:rtl/>
        </w:rPr>
        <w:t xml:space="preserve"> </w:t>
      </w:r>
      <w:r w:rsidRPr="003A03B1">
        <w:rPr>
          <w:rFonts w:cs="Arial"/>
          <w:u w:val="single"/>
          <w:rtl/>
        </w:rPr>
        <w:t>אמר רב יצחק בר נחמני א"ר אלעזר</w:t>
      </w:r>
      <w:r w:rsidRPr="003A03B1">
        <w:rPr>
          <w:rFonts w:cs="Arial"/>
          <w:rtl/>
        </w:rPr>
        <w:t>: הלכה כר' יוסי בן כיפר שאמר משום ר' אליעזר.</w:t>
      </w:r>
    </w:p>
    <w:bookmarkEnd w:id="334"/>
    <w:p w14:paraId="0D765BF9" w14:textId="77777777" w:rsidR="004B607F" w:rsidRDefault="004B607F" w:rsidP="004B607F">
      <w:pPr>
        <w:rPr>
          <w:rFonts w:cs="Arial"/>
          <w:rtl/>
        </w:rPr>
      </w:pPr>
      <w:r>
        <w:rPr>
          <w:rFonts w:cs="Arial" w:hint="cs"/>
          <w:b/>
          <w:bCs/>
          <w:rtl/>
        </w:rPr>
        <w:t>יבמות</w:t>
      </w:r>
      <w:r w:rsidRPr="001E3A68">
        <w:rPr>
          <w:rFonts w:cs="Arial" w:hint="cs"/>
          <w:b/>
          <w:bCs/>
          <w:sz w:val="16"/>
          <w:szCs w:val="16"/>
          <w:rtl/>
        </w:rPr>
        <w:t xml:space="preserve"> (פרק הערל)</w:t>
      </w:r>
      <w:r>
        <w:rPr>
          <w:rFonts w:cs="Arial" w:hint="cs"/>
          <w:b/>
          <w:bCs/>
          <w:rtl/>
        </w:rPr>
        <w:t xml:space="preserve"> פ ע"א: </w:t>
      </w:r>
      <w:r w:rsidRPr="001E3A68">
        <w:rPr>
          <w:rFonts w:cs="Arial"/>
          <w:u w:val="single"/>
          <w:rtl/>
        </w:rPr>
        <w:t>אמר רבי אבהו</w:t>
      </w:r>
      <w:r w:rsidRPr="001E3A68">
        <w:rPr>
          <w:rFonts w:cs="Arial"/>
          <w:rtl/>
        </w:rPr>
        <w:t>: סימני סריס ואילונית ובן שמנה, אין עושין בהן מעשה</w:t>
      </w:r>
      <w:r>
        <w:rPr>
          <w:rStyle w:val="ab"/>
          <w:rFonts w:cs="Arial"/>
          <w:rtl/>
        </w:rPr>
        <w:footnoteReference w:id="2509"/>
      </w:r>
      <w:r w:rsidRPr="001E3A68">
        <w:rPr>
          <w:rFonts w:cs="Arial"/>
          <w:rtl/>
        </w:rPr>
        <w:t xml:space="preserve"> עד שיהו בן עשרים. </w:t>
      </w:r>
    </w:p>
    <w:p w14:paraId="10B31FC0" w14:textId="77777777" w:rsidR="004B607F" w:rsidRDefault="004B607F" w:rsidP="004B607F">
      <w:pPr>
        <w:rPr>
          <w:rFonts w:cs="Arial"/>
          <w:rtl/>
        </w:rPr>
      </w:pPr>
      <w:r w:rsidRPr="003A03B1">
        <w:rPr>
          <w:rFonts w:cs="Arial" w:hint="cs"/>
          <w:u w:val="single"/>
          <w:rtl/>
        </w:rPr>
        <w:t>עדות סריס:</w:t>
      </w:r>
    </w:p>
    <w:p w14:paraId="42D5B662" w14:textId="77777777" w:rsidR="004B607F" w:rsidRPr="003A03B1" w:rsidRDefault="004B607F" w:rsidP="004B0475">
      <w:pPr>
        <w:pStyle w:val="ac"/>
        <w:numPr>
          <w:ilvl w:val="0"/>
          <w:numId w:val="97"/>
        </w:numPr>
        <w:rPr>
          <w:rFonts w:cs="Arial"/>
          <w:rtl/>
        </w:rPr>
      </w:pPr>
      <w:r w:rsidRPr="003A03B1">
        <w:rPr>
          <w:rFonts w:cs="Arial" w:hint="cs"/>
          <w:rtl/>
        </w:rPr>
        <w:t>טור</w:t>
      </w:r>
      <w:r w:rsidRPr="003A03B1">
        <w:rPr>
          <w:rFonts w:cs="Arial" w:hint="cs"/>
          <w:sz w:val="16"/>
          <w:szCs w:val="16"/>
          <w:rtl/>
        </w:rPr>
        <w:t xml:space="preserve"> (לפי גיר' הב"י)</w:t>
      </w:r>
      <w:r w:rsidRPr="003A03B1">
        <w:rPr>
          <w:rFonts w:cs="Arial" w:hint="cs"/>
          <w:rtl/>
        </w:rPr>
        <w:t>-</w:t>
      </w:r>
      <w:r w:rsidRPr="003A03B1">
        <w:rPr>
          <w:rFonts w:cs="Arial"/>
          <w:rtl/>
        </w:rPr>
        <w:t xml:space="preserve"> ואם הגיע ל</w:t>
      </w:r>
      <w:r w:rsidRPr="003A03B1">
        <w:rPr>
          <w:rFonts w:cs="Arial" w:hint="cs"/>
          <w:rtl/>
        </w:rPr>
        <w:t>עשרים</w:t>
      </w:r>
      <w:r w:rsidRPr="003A03B1">
        <w:rPr>
          <w:rFonts w:cs="Arial"/>
          <w:rtl/>
        </w:rPr>
        <w:t xml:space="preserve"> שנ</w:t>
      </w:r>
      <w:r w:rsidRPr="003A03B1">
        <w:rPr>
          <w:rFonts w:cs="Arial" w:hint="cs"/>
          <w:rtl/>
        </w:rPr>
        <w:t>ה</w:t>
      </w:r>
      <w:r w:rsidRPr="003A03B1">
        <w:rPr>
          <w:rFonts w:cs="Arial"/>
          <w:rtl/>
        </w:rPr>
        <w:t xml:space="preserve"> ונולדו בו סימני סריס</w:t>
      </w:r>
      <w:r>
        <w:rPr>
          <w:rFonts w:cs="Arial" w:hint="cs"/>
          <w:rtl/>
        </w:rPr>
        <w:t xml:space="preserve"> -</w:t>
      </w:r>
      <w:r w:rsidRPr="003A03B1">
        <w:rPr>
          <w:rFonts w:cs="Arial"/>
          <w:rtl/>
        </w:rPr>
        <w:t xml:space="preserve"> הרי </w:t>
      </w:r>
      <w:r w:rsidRPr="003A03B1">
        <w:rPr>
          <w:rFonts w:cs="Arial" w:hint="cs"/>
          <w:rtl/>
        </w:rPr>
        <w:t>הוא</w:t>
      </w:r>
      <w:r w:rsidRPr="003A03B1">
        <w:rPr>
          <w:rFonts w:cs="Arial"/>
          <w:rtl/>
        </w:rPr>
        <w:t xml:space="preserve"> </w:t>
      </w:r>
      <w:r w:rsidRPr="003A03B1">
        <w:rPr>
          <w:rFonts w:cs="Arial" w:hint="cs"/>
          <w:rtl/>
        </w:rPr>
        <w:t>כ</w:t>
      </w:r>
      <w:r w:rsidRPr="003A03B1">
        <w:rPr>
          <w:rFonts w:cs="Arial"/>
          <w:rtl/>
        </w:rPr>
        <w:t>גדול ויעיד</w:t>
      </w:r>
      <w:r>
        <w:rPr>
          <w:rFonts w:cs="Arial" w:hint="cs"/>
          <w:rtl/>
        </w:rPr>
        <w:t>.</w:t>
      </w:r>
      <w:r w:rsidRPr="003A03B1">
        <w:rPr>
          <w:rFonts w:cs="Arial"/>
          <w:rtl/>
        </w:rPr>
        <w:t xml:space="preserve"> ואם לא נולדו לו סימני סריס </w:t>
      </w:r>
      <w:r>
        <w:rPr>
          <w:rFonts w:cs="Arial" w:hint="cs"/>
          <w:rtl/>
        </w:rPr>
        <w:t xml:space="preserve">- </w:t>
      </w:r>
      <w:r w:rsidRPr="003A03B1">
        <w:rPr>
          <w:rFonts w:cs="Arial"/>
          <w:rtl/>
        </w:rPr>
        <w:t>לא יעיד עד רוב שנותיו</w:t>
      </w:r>
      <w:r w:rsidRPr="003A03B1">
        <w:rPr>
          <w:rFonts w:cs="Arial" w:hint="cs"/>
          <w:rtl/>
        </w:rPr>
        <w:t>.</w:t>
      </w:r>
      <w:r>
        <w:rPr>
          <w:rFonts w:cs="Arial" w:hint="cs"/>
          <w:color w:val="E36C0A" w:themeColor="accent6" w:themeShade="BF"/>
          <w:rtl/>
        </w:rPr>
        <w:t xml:space="preserve"> </w:t>
      </w:r>
      <w:r w:rsidRPr="003A03B1">
        <w:rPr>
          <w:rFonts w:cs="Arial" w:hint="cs"/>
          <w:color w:val="E36C0A" w:themeColor="accent6" w:themeShade="BF"/>
          <w:rtl/>
        </w:rPr>
        <w:t>(וכ"פ בשו"ע)</w:t>
      </w:r>
    </w:p>
    <w:p w14:paraId="1BC298D5" w14:textId="77777777" w:rsidR="004B607F" w:rsidRPr="003024E5" w:rsidRDefault="004B607F" w:rsidP="004B607F">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136DE4F2" w14:textId="77777777" w:rsidR="004B607F" w:rsidRDefault="004B607F" w:rsidP="004B607F">
      <w:pPr>
        <w:rPr>
          <w:rtl/>
        </w:rPr>
      </w:pPr>
      <w:r>
        <w:rPr>
          <w:rFonts w:cs="Arial"/>
          <w:rtl/>
        </w:rPr>
        <w:lastRenderedPageBreak/>
        <w:t>הגיע לעשרים שנה</w:t>
      </w:r>
      <w:r>
        <w:rPr>
          <w:rStyle w:val="ab"/>
          <w:rFonts w:cs="Arial"/>
          <w:rtl/>
        </w:rPr>
        <w:footnoteReference w:id="2510"/>
      </w:r>
      <w:r>
        <w:rPr>
          <w:rFonts w:cs="Arial"/>
          <w:rtl/>
        </w:rPr>
        <w:t xml:space="preserve"> ולא הביא שתי שערות ונולד בו סימן מסימני סריס, הרי הוא גדול</w:t>
      </w:r>
      <w:r>
        <w:rPr>
          <w:rStyle w:val="ab"/>
          <w:rFonts w:cs="Arial"/>
          <w:rtl/>
        </w:rPr>
        <w:footnoteReference w:id="2511"/>
      </w:r>
      <w:r>
        <w:rPr>
          <w:rFonts w:cs="Arial"/>
          <w:rtl/>
        </w:rPr>
        <w:t xml:space="preserve"> ויעיד. ואם לא נולד בו, לא יעיד עד רוב שנותיו</w:t>
      </w:r>
      <w:r>
        <w:rPr>
          <w:rStyle w:val="ab"/>
          <w:rFonts w:cs="Arial"/>
          <w:rtl/>
        </w:rPr>
        <w:footnoteReference w:id="2512"/>
      </w:r>
      <w:r>
        <w:rPr>
          <w:rFonts w:cs="Arial"/>
          <w:rtl/>
        </w:rPr>
        <w:t xml:space="preserve">. </w:t>
      </w:r>
    </w:p>
    <w:p w14:paraId="79F4C8EA" w14:textId="77777777" w:rsidR="004B607F" w:rsidRDefault="004B607F" w:rsidP="004B607F">
      <w:pPr>
        <w:rPr>
          <w:rtl/>
        </w:rPr>
      </w:pPr>
    </w:p>
    <w:p w14:paraId="3ECCB145" w14:textId="77777777" w:rsidR="004B607F" w:rsidRDefault="004B607F" w:rsidP="004B607F">
      <w:pPr>
        <w:pStyle w:val="2"/>
        <w:rPr>
          <w:rtl/>
        </w:rPr>
      </w:pPr>
      <w:bookmarkStart w:id="335" w:name="_Toc24883786"/>
      <w:r>
        <w:rPr>
          <w:rtl/>
        </w:rPr>
        <w:t>סעיף ג</w:t>
      </w:r>
      <w:r>
        <w:rPr>
          <w:rFonts w:hint="cs"/>
          <w:rtl/>
        </w:rPr>
        <w:t>:</w:t>
      </w:r>
      <w:r w:rsidRPr="00D640DE">
        <w:rPr>
          <w:rFonts w:cs="Arial"/>
          <w:rtl/>
        </w:rPr>
        <w:t xml:space="preserve"> </w:t>
      </w:r>
      <w:r>
        <w:rPr>
          <w:rFonts w:cs="Arial"/>
          <w:rtl/>
        </w:rPr>
        <w:t>בן י"ג שנה ויום אחד שהביא שתי שערות ואינו יודע בטיב משא ומתן</w:t>
      </w:r>
      <w:r>
        <w:rPr>
          <w:rFonts w:hint="cs"/>
          <w:rtl/>
        </w:rPr>
        <w:t>.</w:t>
      </w:r>
      <w:bookmarkEnd w:id="335"/>
    </w:p>
    <w:p w14:paraId="4DB96C12" w14:textId="77777777" w:rsidR="004B607F" w:rsidRDefault="004B607F" w:rsidP="004B607F">
      <w:pPr>
        <w:rPr>
          <w:rFonts w:cs="Arial"/>
          <w:rtl/>
        </w:rPr>
      </w:pPr>
      <w:r>
        <w:rPr>
          <w:rFonts w:cs="Arial" w:hint="cs"/>
          <w:b/>
          <w:bCs/>
          <w:rtl/>
        </w:rPr>
        <w:t xml:space="preserve">בבא בתרא </w:t>
      </w:r>
      <w:r w:rsidRPr="007334C0">
        <w:rPr>
          <w:rFonts w:cs="Arial" w:hint="cs"/>
          <w:b/>
          <w:bCs/>
          <w:sz w:val="16"/>
          <w:szCs w:val="16"/>
          <w:rtl/>
        </w:rPr>
        <w:t>(פרק מי שמת)</w:t>
      </w:r>
      <w:r>
        <w:rPr>
          <w:rFonts w:cs="Arial" w:hint="cs"/>
          <w:b/>
          <w:bCs/>
          <w:rtl/>
        </w:rPr>
        <w:t xml:space="preserve"> קנה</w:t>
      </w:r>
      <w:r>
        <w:rPr>
          <w:rStyle w:val="ab"/>
          <w:rFonts w:cs="Arial"/>
          <w:b/>
          <w:bCs/>
          <w:rtl/>
        </w:rPr>
        <w:footnoteReference w:id="2513"/>
      </w:r>
      <w:r>
        <w:rPr>
          <w:rFonts w:cs="Arial" w:hint="cs"/>
          <w:b/>
          <w:bCs/>
          <w:rtl/>
        </w:rPr>
        <w:t xml:space="preserve"> ע"א: </w:t>
      </w:r>
      <w:r w:rsidRPr="009512B6">
        <w:rPr>
          <w:rFonts w:cs="Arial"/>
          <w:rtl/>
        </w:rPr>
        <w:t xml:space="preserve">איתמר: קטן מאימתי מוכר בנכסי אביו? </w:t>
      </w:r>
      <w:r w:rsidRPr="007334C0">
        <w:rPr>
          <w:rFonts w:cs="Arial"/>
          <w:u w:val="single"/>
          <w:rtl/>
        </w:rPr>
        <w:t>רבא אמר רב נחמן</w:t>
      </w:r>
      <w:r w:rsidRPr="009512B6">
        <w:rPr>
          <w:rFonts w:cs="Arial"/>
          <w:rtl/>
        </w:rPr>
        <w:t>: בן שמנה עשרה שנה</w:t>
      </w:r>
      <w:r>
        <w:rPr>
          <w:rFonts w:cs="Arial" w:hint="cs"/>
          <w:rtl/>
        </w:rPr>
        <w:t>.</w:t>
      </w:r>
      <w:r w:rsidRPr="009512B6">
        <w:rPr>
          <w:rFonts w:cs="Arial"/>
          <w:rtl/>
        </w:rPr>
        <w:t xml:space="preserve"> </w:t>
      </w:r>
      <w:r w:rsidRPr="007334C0">
        <w:rPr>
          <w:rFonts w:cs="Arial"/>
          <w:u w:val="single"/>
          <w:rtl/>
        </w:rPr>
        <w:t>ורב הונא בר חיננא אמר רב נחמן</w:t>
      </w:r>
      <w:r w:rsidRPr="009512B6">
        <w:rPr>
          <w:rFonts w:cs="Arial"/>
          <w:rtl/>
        </w:rPr>
        <w:t>: מבן עשרים שנה</w:t>
      </w:r>
      <w:r>
        <w:rPr>
          <w:rFonts w:cs="Arial" w:hint="cs"/>
          <w:rtl/>
        </w:rPr>
        <w:t>...</w:t>
      </w:r>
      <w:r>
        <w:rPr>
          <w:rFonts w:cs="Arial" w:hint="cs"/>
          <w:sz w:val="14"/>
          <w:szCs w:val="14"/>
          <w:rtl/>
        </w:rPr>
        <w:t xml:space="preserve"> (קנה:)</w:t>
      </w:r>
      <w:r w:rsidRPr="009512B6">
        <w:rPr>
          <w:rFonts w:cs="Arial"/>
          <w:rtl/>
        </w:rPr>
        <w:t xml:space="preserve"> </w:t>
      </w:r>
      <w:r w:rsidRPr="007334C0">
        <w:rPr>
          <w:rFonts w:cs="Arial"/>
          <w:u w:val="single"/>
          <w:rtl/>
        </w:rPr>
        <w:t>שלח ליה גידל בר מנשיא לרבא</w:t>
      </w:r>
      <w:r>
        <w:rPr>
          <w:rFonts w:cs="Arial" w:hint="cs"/>
          <w:rtl/>
        </w:rPr>
        <w:t>:</w:t>
      </w:r>
      <w:r w:rsidRPr="009512B6">
        <w:rPr>
          <w:rFonts w:cs="Arial"/>
          <w:rtl/>
        </w:rPr>
        <w:t xml:space="preserve"> ילמדנו רבינ</w:t>
      </w:r>
      <w:r>
        <w:rPr>
          <w:rFonts w:cs="Arial" w:hint="cs"/>
          <w:rtl/>
        </w:rPr>
        <w:t>ו,</w:t>
      </w:r>
      <w:r w:rsidRPr="009512B6">
        <w:rPr>
          <w:rFonts w:cs="Arial"/>
          <w:rtl/>
        </w:rPr>
        <w:t xml:space="preserve"> תינוקת בת ארבע עשרה שנה ויום אחד יודעת בטיב משא ומתן, מהו? </w:t>
      </w:r>
      <w:r w:rsidRPr="007334C0">
        <w:rPr>
          <w:rFonts w:cs="Arial"/>
          <w:u w:val="single"/>
          <w:rtl/>
        </w:rPr>
        <w:t>שלח ליה</w:t>
      </w:r>
      <w:r w:rsidRPr="009512B6">
        <w:rPr>
          <w:rFonts w:cs="Arial"/>
          <w:rtl/>
        </w:rPr>
        <w:t>: אם יודעת בטיב משא ומתן - מקחה מקח וממכרה ממכר.</w:t>
      </w:r>
      <w:r>
        <w:rPr>
          <w:rFonts w:cs="Arial" w:hint="cs"/>
          <w:rtl/>
        </w:rPr>
        <w:t>.</w:t>
      </w:r>
      <w:r w:rsidRPr="009512B6">
        <w:rPr>
          <w:rFonts w:cs="Arial"/>
          <w:rtl/>
        </w:rPr>
        <w:t xml:space="preserve">. </w:t>
      </w:r>
      <w:r w:rsidRPr="007334C0">
        <w:rPr>
          <w:rFonts w:cs="Arial"/>
          <w:u w:val="single"/>
          <w:rtl/>
        </w:rPr>
        <w:t>אמר רב הונא בריה דרב יהושע</w:t>
      </w:r>
      <w:r w:rsidRPr="009512B6">
        <w:rPr>
          <w:rFonts w:cs="Arial"/>
          <w:rtl/>
        </w:rPr>
        <w:t>: ולעדות - עדותו עדות</w:t>
      </w:r>
      <w:r>
        <w:rPr>
          <w:rStyle w:val="ab"/>
          <w:rFonts w:cs="Arial"/>
          <w:rtl/>
        </w:rPr>
        <w:footnoteReference w:id="2514"/>
      </w:r>
      <w:r w:rsidRPr="009512B6">
        <w:rPr>
          <w:rFonts w:cs="Arial"/>
          <w:rtl/>
        </w:rPr>
        <w:t xml:space="preserve">. </w:t>
      </w:r>
      <w:r w:rsidRPr="007334C0">
        <w:rPr>
          <w:rFonts w:cs="Arial"/>
          <w:u w:val="single"/>
          <w:rtl/>
        </w:rPr>
        <w:t>אמר מר זוטרא</w:t>
      </w:r>
      <w:r w:rsidRPr="009512B6">
        <w:rPr>
          <w:rFonts w:cs="Arial"/>
          <w:rtl/>
        </w:rPr>
        <w:t>: לא אמרן אלא למטלטלי</w:t>
      </w:r>
      <w:r>
        <w:rPr>
          <w:rStyle w:val="ab"/>
          <w:rFonts w:cs="Arial"/>
          <w:rtl/>
        </w:rPr>
        <w:footnoteReference w:id="2515"/>
      </w:r>
      <w:r w:rsidRPr="009512B6">
        <w:rPr>
          <w:rFonts w:cs="Arial"/>
          <w:rtl/>
        </w:rPr>
        <w:t xml:space="preserve">, אבל למקרקעי לא. </w:t>
      </w:r>
      <w:r w:rsidRPr="007334C0">
        <w:rPr>
          <w:rFonts w:cs="Arial"/>
          <w:u w:val="single"/>
          <w:rtl/>
        </w:rPr>
        <w:t>א"ל רב אשי למר זוטרא</w:t>
      </w:r>
      <w:r w:rsidRPr="009512B6">
        <w:rPr>
          <w:rFonts w:cs="Arial"/>
          <w:rtl/>
        </w:rPr>
        <w:t>: מ"ש מטלטלי</w:t>
      </w:r>
      <w:r>
        <w:rPr>
          <w:rStyle w:val="ab"/>
          <w:rFonts w:cs="Arial"/>
          <w:rtl/>
        </w:rPr>
        <w:footnoteReference w:id="2516"/>
      </w:r>
      <w:r w:rsidRPr="009512B6">
        <w:rPr>
          <w:rFonts w:cs="Arial"/>
          <w:rtl/>
        </w:rPr>
        <w:t>? דזביניה זביני</w:t>
      </w:r>
      <w:r w:rsidRPr="00AC56B5">
        <w:rPr>
          <w:rFonts w:cs="Arial"/>
          <w:rtl/>
        </w:rPr>
        <w:t>.</w:t>
      </w:r>
      <w:r>
        <w:rPr>
          <w:rFonts w:cs="Arial" w:hint="cs"/>
          <w:rtl/>
        </w:rPr>
        <w:t>..</w:t>
      </w:r>
      <w:r w:rsidRPr="00AC56B5">
        <w:rPr>
          <w:rFonts w:cs="Arial"/>
          <w:rtl/>
        </w:rPr>
        <w:t xml:space="preserve"> </w:t>
      </w:r>
      <w:r>
        <w:rPr>
          <w:rFonts w:hint="cs"/>
          <w:sz w:val="14"/>
          <w:szCs w:val="14"/>
          <w:rtl/>
        </w:rPr>
        <w:t>(קנו.)</w:t>
      </w:r>
      <w:r>
        <w:rPr>
          <w:rFonts w:cs="Arial" w:hint="cs"/>
          <w:rtl/>
        </w:rPr>
        <w:t xml:space="preserve"> </w:t>
      </w:r>
      <w:r w:rsidRPr="009C7F0F">
        <w:rPr>
          <w:rFonts w:cs="Arial"/>
          <w:rtl/>
        </w:rPr>
        <w:t>והלכתא כגידל בר מנשה. והלכתא כמר זוטרא</w:t>
      </w:r>
      <w:r w:rsidRPr="00AC56B5">
        <w:rPr>
          <w:rFonts w:cs="Arial"/>
          <w:rtl/>
        </w:rPr>
        <w:t>.</w:t>
      </w:r>
      <w:r>
        <w:rPr>
          <w:rFonts w:cs="Arial" w:hint="cs"/>
          <w:rtl/>
        </w:rPr>
        <w:t>..</w:t>
      </w:r>
    </w:p>
    <w:p w14:paraId="5D73DDBB" w14:textId="77777777" w:rsidR="004B607F" w:rsidRPr="00050FDE" w:rsidRDefault="004B607F" w:rsidP="004B607F">
      <w:pPr>
        <w:rPr>
          <w:rFonts w:cs="Arial"/>
          <w:u w:val="single"/>
          <w:rtl/>
        </w:rPr>
      </w:pPr>
      <w:r w:rsidRPr="00050FDE">
        <w:rPr>
          <w:rFonts w:cs="Arial" w:hint="cs"/>
          <w:u w:val="single"/>
          <w:rtl/>
        </w:rPr>
        <w:t xml:space="preserve">כיצד יש לפרש את </w:t>
      </w:r>
      <w:r>
        <w:rPr>
          <w:rFonts w:cs="Arial" w:hint="cs"/>
          <w:u w:val="single"/>
          <w:rtl/>
        </w:rPr>
        <w:t xml:space="preserve">דברי הגמרא </w:t>
      </w:r>
      <w:r w:rsidRPr="00050FDE">
        <w:rPr>
          <w:rFonts w:cs="Arial" w:hint="cs"/>
          <w:sz w:val="16"/>
          <w:szCs w:val="16"/>
          <w:u w:val="single"/>
          <w:rtl/>
        </w:rPr>
        <w:t>(מ-</w:t>
      </w:r>
      <w:r>
        <w:rPr>
          <w:rFonts w:cs="Arial" w:hint="cs"/>
          <w:sz w:val="16"/>
          <w:szCs w:val="16"/>
          <w:u w:val="single"/>
          <w:rtl/>
        </w:rPr>
        <w:t>'</w:t>
      </w:r>
      <w:r w:rsidRPr="00050FDE">
        <w:rPr>
          <w:rFonts w:cs="Arial" w:hint="cs"/>
          <w:sz w:val="16"/>
          <w:szCs w:val="16"/>
          <w:u w:val="single"/>
          <w:rtl/>
        </w:rPr>
        <w:t>אמר רב הונא</w:t>
      </w:r>
      <w:r>
        <w:rPr>
          <w:rFonts w:cs="Arial" w:hint="cs"/>
          <w:sz w:val="16"/>
          <w:szCs w:val="16"/>
          <w:u w:val="single"/>
          <w:rtl/>
        </w:rPr>
        <w:t>'</w:t>
      </w:r>
      <w:r w:rsidRPr="00050FDE">
        <w:rPr>
          <w:rFonts w:cs="Arial" w:hint="cs"/>
          <w:sz w:val="16"/>
          <w:szCs w:val="16"/>
          <w:u w:val="single"/>
          <w:rtl/>
        </w:rPr>
        <w:t xml:space="preserve"> עד הסוף)</w:t>
      </w:r>
      <w:r w:rsidRPr="00050FDE">
        <w:rPr>
          <w:rFonts w:cs="Arial" w:hint="cs"/>
          <w:u w:val="single"/>
          <w:rtl/>
        </w:rPr>
        <w:t>:</w:t>
      </w:r>
    </w:p>
    <w:p w14:paraId="410E3E0D" w14:textId="77777777" w:rsidR="004B607F" w:rsidRPr="00700F1A" w:rsidRDefault="004B607F" w:rsidP="004B0475">
      <w:pPr>
        <w:pStyle w:val="ac"/>
        <w:numPr>
          <w:ilvl w:val="0"/>
          <w:numId w:val="97"/>
        </w:numPr>
        <w:rPr>
          <w:rFonts w:cs="Arial"/>
          <w:rtl/>
        </w:rPr>
      </w:pPr>
      <w:r>
        <w:rPr>
          <w:rFonts w:cs="Arial" w:hint="cs"/>
          <w:rtl/>
        </w:rPr>
        <w:t xml:space="preserve">רי"ף </w:t>
      </w:r>
      <w:r>
        <w:rPr>
          <w:rFonts w:cs="Arial" w:hint="cs"/>
          <w:sz w:val="16"/>
          <w:szCs w:val="16"/>
          <w:rtl/>
        </w:rPr>
        <w:t>(עג:)</w:t>
      </w:r>
      <w:r>
        <w:rPr>
          <w:rFonts w:cs="Arial" w:hint="cs"/>
          <w:rtl/>
        </w:rPr>
        <w:t xml:space="preserve"> </w:t>
      </w:r>
      <w:r w:rsidRPr="00700F1A">
        <w:rPr>
          <w:rFonts w:cs="Arial"/>
          <w:rtl/>
        </w:rPr>
        <w:t xml:space="preserve">רמב"ם </w:t>
      </w:r>
      <w:r w:rsidRPr="00700F1A">
        <w:rPr>
          <w:rFonts w:cs="Arial" w:hint="cs"/>
          <w:sz w:val="16"/>
          <w:szCs w:val="16"/>
          <w:rtl/>
        </w:rPr>
        <w:t>(</w:t>
      </w:r>
      <w:r>
        <w:rPr>
          <w:rFonts w:cs="Arial" w:hint="cs"/>
          <w:sz w:val="16"/>
          <w:szCs w:val="16"/>
          <w:rtl/>
        </w:rPr>
        <w:t>[</w:t>
      </w:r>
      <w:r w:rsidRPr="00700F1A">
        <w:rPr>
          <w:rFonts w:cs="Arial"/>
          <w:sz w:val="16"/>
          <w:szCs w:val="16"/>
          <w:rtl/>
        </w:rPr>
        <w:t>פ"ט מהל</w:t>
      </w:r>
      <w:r w:rsidRPr="00700F1A">
        <w:rPr>
          <w:rFonts w:cs="Arial" w:hint="cs"/>
          <w:sz w:val="16"/>
          <w:szCs w:val="16"/>
          <w:rtl/>
        </w:rPr>
        <w:t>'</w:t>
      </w:r>
      <w:r w:rsidRPr="00700F1A">
        <w:rPr>
          <w:rFonts w:cs="Arial"/>
          <w:sz w:val="16"/>
          <w:szCs w:val="16"/>
          <w:rtl/>
        </w:rPr>
        <w:t xml:space="preserve"> עדות ה"ח</w:t>
      </w:r>
      <w:r>
        <w:rPr>
          <w:rFonts w:cs="Arial" w:hint="cs"/>
          <w:sz w:val="16"/>
          <w:szCs w:val="16"/>
          <w:rtl/>
        </w:rPr>
        <w:t>] להב' הב"י</w:t>
      </w:r>
      <w:r w:rsidRPr="00700F1A">
        <w:rPr>
          <w:rFonts w:cs="Arial"/>
          <w:sz w:val="16"/>
          <w:szCs w:val="16"/>
          <w:rtl/>
        </w:rPr>
        <w:t xml:space="preserve">) </w:t>
      </w:r>
      <w:r>
        <w:rPr>
          <w:rFonts w:cs="Arial" w:hint="cs"/>
          <w:rtl/>
        </w:rPr>
        <w:t xml:space="preserve">רשב"ם </w:t>
      </w:r>
      <w:r>
        <w:rPr>
          <w:rFonts w:cs="Arial" w:hint="cs"/>
          <w:sz w:val="16"/>
          <w:szCs w:val="16"/>
          <w:rtl/>
        </w:rPr>
        <w:t xml:space="preserve">(ד"ה אלא במטלטלי) </w:t>
      </w:r>
      <w:r w:rsidRPr="00700F1A">
        <w:rPr>
          <w:rFonts w:cs="Arial" w:hint="cs"/>
          <w:rtl/>
        </w:rPr>
        <w:t>וטור</w:t>
      </w:r>
      <w:r>
        <w:rPr>
          <w:rFonts w:cs="Arial" w:hint="cs"/>
          <w:sz w:val="16"/>
          <w:szCs w:val="16"/>
          <w:rtl/>
        </w:rPr>
        <w:t xml:space="preserve"> (להב' הב"י</w:t>
      </w:r>
      <w:r>
        <w:rPr>
          <w:rStyle w:val="ab"/>
          <w:rFonts w:cs="Arial"/>
          <w:rtl/>
        </w:rPr>
        <w:footnoteReference w:id="2517"/>
      </w:r>
      <w:r>
        <w:rPr>
          <w:rFonts w:cs="Arial" w:hint="cs"/>
          <w:sz w:val="16"/>
          <w:szCs w:val="16"/>
          <w:rtl/>
        </w:rPr>
        <w:t>)</w:t>
      </w:r>
      <w:r w:rsidRPr="00700F1A">
        <w:rPr>
          <w:rFonts w:cs="Arial" w:hint="cs"/>
          <w:rtl/>
        </w:rPr>
        <w:t xml:space="preserve"> - </w:t>
      </w:r>
      <w:r w:rsidRPr="00700F1A">
        <w:rPr>
          <w:rFonts w:cs="Arial"/>
          <w:rtl/>
        </w:rPr>
        <w:t>פיר</w:t>
      </w:r>
      <w:r>
        <w:rPr>
          <w:rFonts w:cs="Arial" w:hint="cs"/>
          <w:rtl/>
        </w:rPr>
        <w:t>ו</w:t>
      </w:r>
      <w:r w:rsidRPr="00700F1A">
        <w:rPr>
          <w:rFonts w:cs="Arial"/>
          <w:rtl/>
        </w:rPr>
        <w:t>ש האי מימרא כפשטה</w:t>
      </w:r>
      <w:r>
        <w:rPr>
          <w:rFonts w:cs="Arial" w:hint="cs"/>
          <w:rtl/>
        </w:rPr>
        <w:t>,</w:t>
      </w:r>
      <w:r w:rsidRPr="00700F1A">
        <w:rPr>
          <w:rFonts w:cs="Arial"/>
          <w:rtl/>
        </w:rPr>
        <w:t xml:space="preserve"> דלעדות קרקע </w:t>
      </w:r>
      <w:r>
        <w:rPr>
          <w:rFonts w:cs="Arial" w:hint="cs"/>
          <w:rtl/>
        </w:rPr>
        <w:t xml:space="preserve">- </w:t>
      </w:r>
      <w:r w:rsidRPr="00700F1A">
        <w:rPr>
          <w:rFonts w:cs="Arial"/>
          <w:rtl/>
        </w:rPr>
        <w:t>אין עדותו עדות</w:t>
      </w:r>
      <w:r>
        <w:rPr>
          <w:rFonts w:cs="Arial" w:hint="cs"/>
          <w:rtl/>
        </w:rPr>
        <w:t>,</w:t>
      </w:r>
      <w:r w:rsidRPr="00700F1A">
        <w:rPr>
          <w:rFonts w:cs="Arial"/>
          <w:rtl/>
        </w:rPr>
        <w:t xml:space="preserve"> דכיון דאינו בקי בטיב משא ומתן לא דייק בעדות קרקע כולי האי</w:t>
      </w:r>
      <w:r>
        <w:rPr>
          <w:rFonts w:cs="Arial" w:hint="cs"/>
          <w:rtl/>
        </w:rPr>
        <w:t>.</w:t>
      </w:r>
      <w:r w:rsidRPr="00700F1A">
        <w:rPr>
          <w:rFonts w:cs="Arial"/>
          <w:rtl/>
        </w:rPr>
        <w:t xml:space="preserve"> ומ</w:t>
      </w:r>
      <w:r>
        <w:rPr>
          <w:rFonts w:cs="Arial" w:hint="cs"/>
          <w:rtl/>
        </w:rPr>
        <w:t>"</w:t>
      </w:r>
      <w:r w:rsidRPr="00700F1A">
        <w:rPr>
          <w:rFonts w:cs="Arial"/>
          <w:rtl/>
        </w:rPr>
        <w:t xml:space="preserve">מ בעדות מטלטלין </w:t>
      </w:r>
      <w:r>
        <w:rPr>
          <w:rFonts w:cs="Arial" w:hint="cs"/>
          <w:rtl/>
        </w:rPr>
        <w:t xml:space="preserve">- </w:t>
      </w:r>
      <w:r w:rsidRPr="00700F1A">
        <w:rPr>
          <w:rFonts w:cs="Arial"/>
          <w:rtl/>
        </w:rPr>
        <w:t>דייק אע</w:t>
      </w:r>
      <w:r>
        <w:rPr>
          <w:rFonts w:cs="Arial" w:hint="cs"/>
          <w:rtl/>
        </w:rPr>
        <w:t>"</w:t>
      </w:r>
      <w:r w:rsidRPr="00700F1A">
        <w:rPr>
          <w:rFonts w:cs="Arial"/>
          <w:rtl/>
        </w:rPr>
        <w:t>פ שאינו בקי בהם</w:t>
      </w:r>
      <w:r>
        <w:rPr>
          <w:rFonts w:cs="Arial" w:hint="cs"/>
          <w:sz w:val="16"/>
          <w:szCs w:val="16"/>
          <w:rtl/>
        </w:rPr>
        <w:t xml:space="preserve"> (ל' הב"י בשם הרמב"ם)</w:t>
      </w:r>
      <w:r w:rsidRPr="00700F1A">
        <w:rPr>
          <w:rFonts w:cs="Arial"/>
          <w:rtl/>
        </w:rPr>
        <w:t xml:space="preserve">. </w:t>
      </w:r>
      <w:r>
        <w:rPr>
          <w:rFonts w:cs="Arial" w:hint="cs"/>
          <w:rtl/>
        </w:rPr>
        <w:t xml:space="preserve">לפיכך </w:t>
      </w:r>
      <w:r w:rsidRPr="00553D28">
        <w:rPr>
          <w:rFonts w:cs="Arial"/>
          <w:rtl/>
        </w:rPr>
        <w:t>בן י"ג שנה ויום אחד שהביא ב' שערות ואינו יודע בטיב משא ומתן אין עדותו עדות במקרקעי אלא במטלטלי</w:t>
      </w:r>
      <w:r>
        <w:rPr>
          <w:rFonts w:cs="Arial" w:hint="cs"/>
          <w:rtl/>
        </w:rPr>
        <w:t xml:space="preserve"> </w:t>
      </w:r>
      <w:r w:rsidRPr="00700F1A">
        <w:rPr>
          <w:rFonts w:cs="Arial" w:hint="cs"/>
          <w:sz w:val="16"/>
          <w:szCs w:val="16"/>
          <w:rtl/>
        </w:rPr>
        <w:t>(ל' הטור)</w:t>
      </w:r>
      <w:r>
        <w:rPr>
          <w:rFonts w:cs="Arial" w:hint="cs"/>
          <w:rtl/>
        </w:rPr>
        <w:t xml:space="preserve">. </w:t>
      </w:r>
      <w:r w:rsidRPr="003A03B1">
        <w:rPr>
          <w:rFonts w:cs="Arial" w:hint="cs"/>
          <w:color w:val="E36C0A" w:themeColor="accent6" w:themeShade="BF"/>
          <w:rtl/>
        </w:rPr>
        <w:t>(וכ"פ בשו"ע)</w:t>
      </w:r>
    </w:p>
    <w:p w14:paraId="5A6F60DF" w14:textId="77777777" w:rsidR="004B607F" w:rsidRPr="000F3AF8" w:rsidRDefault="004B607F" w:rsidP="004B0475">
      <w:pPr>
        <w:pStyle w:val="ac"/>
        <w:numPr>
          <w:ilvl w:val="0"/>
          <w:numId w:val="97"/>
        </w:numPr>
        <w:rPr>
          <w:rtl/>
        </w:rPr>
      </w:pPr>
      <w:r w:rsidRPr="00700F1A">
        <w:rPr>
          <w:rFonts w:cs="Arial"/>
          <w:rtl/>
        </w:rPr>
        <w:t>תוס</w:t>
      </w:r>
      <w:r w:rsidRPr="00700F1A">
        <w:rPr>
          <w:rFonts w:cs="Arial" w:hint="cs"/>
          <w:rtl/>
        </w:rPr>
        <w:t>'</w:t>
      </w:r>
      <w:r w:rsidRPr="00700F1A">
        <w:rPr>
          <w:rFonts w:cs="Arial"/>
          <w:rtl/>
        </w:rPr>
        <w:t xml:space="preserve"> </w:t>
      </w:r>
      <w:r w:rsidRPr="00700F1A">
        <w:rPr>
          <w:rFonts w:cs="Arial"/>
          <w:sz w:val="16"/>
          <w:szCs w:val="16"/>
          <w:rtl/>
        </w:rPr>
        <w:t xml:space="preserve">(ד"ה לא אמרו) </w:t>
      </w:r>
      <w:r w:rsidRPr="00700F1A">
        <w:rPr>
          <w:rFonts w:cs="Arial" w:hint="cs"/>
          <w:rtl/>
        </w:rPr>
        <w:t>ו</w:t>
      </w:r>
      <w:r w:rsidRPr="00700F1A">
        <w:rPr>
          <w:rFonts w:cs="Arial"/>
          <w:rtl/>
        </w:rPr>
        <w:t xml:space="preserve">מרדכי </w:t>
      </w:r>
      <w:r w:rsidRPr="00700F1A">
        <w:rPr>
          <w:rFonts w:cs="Arial"/>
          <w:sz w:val="16"/>
          <w:szCs w:val="16"/>
          <w:rtl/>
        </w:rPr>
        <w:t>(סי' תרלד)</w:t>
      </w:r>
      <w:r w:rsidRPr="00700F1A">
        <w:rPr>
          <w:rFonts w:cs="Arial" w:hint="cs"/>
          <w:rtl/>
        </w:rPr>
        <w:t xml:space="preserve">- </w:t>
      </w:r>
      <w:r w:rsidRPr="00700F1A">
        <w:rPr>
          <w:rFonts w:cs="Arial"/>
          <w:rtl/>
        </w:rPr>
        <w:t xml:space="preserve">אין לפרש </w:t>
      </w:r>
      <w:r>
        <w:rPr>
          <w:rFonts w:cs="Arial" w:hint="cs"/>
          <w:sz w:val="16"/>
          <w:szCs w:val="16"/>
          <w:rtl/>
        </w:rPr>
        <w:t xml:space="preserve">{הא דאמר מר זוטרא} </w:t>
      </w:r>
      <w:r w:rsidRPr="00700F1A">
        <w:rPr>
          <w:rFonts w:cs="Arial"/>
          <w:rtl/>
        </w:rPr>
        <w:t>לעדות קרקע</w:t>
      </w:r>
      <w:r>
        <w:rPr>
          <w:rFonts w:cs="Arial" w:hint="cs"/>
          <w:rtl/>
        </w:rPr>
        <w:t>,</w:t>
      </w:r>
      <w:r w:rsidRPr="00700F1A">
        <w:rPr>
          <w:rFonts w:cs="Arial"/>
          <w:rtl/>
        </w:rPr>
        <w:t xml:space="preserve"> דמאי שנא ממטלטלי</w:t>
      </w:r>
      <w:r>
        <w:rPr>
          <w:rFonts w:cs="Arial" w:hint="cs"/>
          <w:rtl/>
        </w:rPr>
        <w:t>.</w:t>
      </w:r>
      <w:r w:rsidRPr="00700F1A">
        <w:rPr>
          <w:rFonts w:cs="Arial"/>
          <w:rtl/>
        </w:rPr>
        <w:t xml:space="preserve"> ועוד דהכא לא שייך שום שטות</w:t>
      </w:r>
      <w:r>
        <w:rPr>
          <w:rFonts w:cs="Arial" w:hint="cs"/>
          <w:rtl/>
        </w:rPr>
        <w:t>.</w:t>
      </w:r>
      <w:r w:rsidRPr="00700F1A">
        <w:rPr>
          <w:rFonts w:cs="Arial"/>
          <w:rtl/>
        </w:rPr>
        <w:t xml:space="preserve"> אלא נראה לפרש דהיינו עדות שיאמרו </w:t>
      </w:r>
      <w:r>
        <w:rPr>
          <w:rFonts w:cs="Arial" w:hint="cs"/>
          <w:rtl/>
        </w:rPr>
        <w:t>'</w:t>
      </w:r>
      <w:r w:rsidRPr="00700F1A">
        <w:rPr>
          <w:rFonts w:cs="Arial"/>
          <w:rtl/>
        </w:rPr>
        <w:t>כך וכך היתה שוה זו הקרקע</w:t>
      </w:r>
      <w:r>
        <w:rPr>
          <w:rFonts w:cs="Arial" w:hint="cs"/>
          <w:rtl/>
        </w:rPr>
        <w:t>',</w:t>
      </w:r>
      <w:r w:rsidRPr="00700F1A">
        <w:rPr>
          <w:rFonts w:cs="Arial"/>
          <w:rtl/>
        </w:rPr>
        <w:t xml:space="preserve"> דכיון דמקרבא דעתיה לגבי זוזי </w:t>
      </w:r>
      <w:r w:rsidRPr="00700F1A">
        <w:rPr>
          <w:rFonts w:cs="Arial"/>
          <w:sz w:val="16"/>
          <w:szCs w:val="16"/>
          <w:rtl/>
        </w:rPr>
        <w:t xml:space="preserve">(קנו.) </w:t>
      </w:r>
      <w:r w:rsidRPr="00700F1A">
        <w:rPr>
          <w:rFonts w:cs="Arial"/>
          <w:rtl/>
        </w:rPr>
        <w:t>ישום אותה יותר משוויה</w:t>
      </w:r>
      <w:r>
        <w:rPr>
          <w:rFonts w:cs="Arial" w:hint="cs"/>
          <w:rtl/>
        </w:rPr>
        <w:t>.</w:t>
      </w:r>
      <w:r w:rsidRPr="00700F1A">
        <w:rPr>
          <w:rFonts w:cs="Arial"/>
          <w:rtl/>
        </w:rPr>
        <w:t xml:space="preserve"> אבל מטלטלין לא ישום אותם יותר משויים</w:t>
      </w:r>
      <w:r>
        <w:rPr>
          <w:rFonts w:cs="Arial" w:hint="cs"/>
          <w:rtl/>
        </w:rPr>
        <w:t>,</w:t>
      </w:r>
      <w:r w:rsidRPr="00700F1A">
        <w:rPr>
          <w:rFonts w:cs="Arial"/>
          <w:rtl/>
        </w:rPr>
        <w:t xml:space="preserve"> דמקרבא דעתיה נמי לגבי מטלטלי</w:t>
      </w:r>
      <w:r>
        <w:rPr>
          <w:rFonts w:cs="Arial" w:hint="cs"/>
          <w:rtl/>
        </w:rPr>
        <w:t xml:space="preserve">. וגם אין הפסד </w:t>
      </w:r>
      <w:r>
        <w:rPr>
          <w:rStyle w:val="ab"/>
          <w:rFonts w:cs="Arial"/>
          <w:rtl/>
        </w:rPr>
        <w:footnoteReference w:id="2518"/>
      </w:r>
      <w:r>
        <w:rPr>
          <w:rFonts w:cs="Arial" w:hint="cs"/>
          <w:rtl/>
        </w:rPr>
        <w:t>[במטלטלי כמו במקרקעי]</w:t>
      </w:r>
      <w:r>
        <w:rPr>
          <w:rFonts w:cs="Arial" w:hint="cs"/>
          <w:sz w:val="16"/>
          <w:szCs w:val="16"/>
          <w:rtl/>
        </w:rPr>
        <w:t xml:space="preserve"> (ל' התוס')</w:t>
      </w:r>
      <w:r w:rsidRPr="00700F1A">
        <w:rPr>
          <w:rFonts w:cs="Arial" w:hint="cs"/>
          <w:rtl/>
        </w:rPr>
        <w:t>.</w:t>
      </w:r>
      <w:r>
        <w:rPr>
          <w:rFonts w:cs="Arial" w:hint="cs"/>
          <w:rtl/>
        </w:rPr>
        <w:t xml:space="preserve"> (וכ"פ הש"ך</w:t>
      </w:r>
      <w:r>
        <w:rPr>
          <w:rStyle w:val="ab"/>
          <w:rFonts w:cs="Arial"/>
          <w:rtl/>
        </w:rPr>
        <w:footnoteReference w:id="2519"/>
      </w:r>
      <w:r>
        <w:rPr>
          <w:rFonts w:cs="Arial" w:hint="cs"/>
          <w:sz w:val="16"/>
          <w:szCs w:val="16"/>
          <w:rtl/>
        </w:rPr>
        <w:t xml:space="preserve"> [סק"ג]</w:t>
      </w:r>
      <w:r>
        <w:rPr>
          <w:rFonts w:cs="Arial" w:hint="cs"/>
          <w:rtl/>
        </w:rPr>
        <w:t>)</w:t>
      </w:r>
      <w:r w:rsidRPr="00700F1A">
        <w:rPr>
          <w:rFonts w:cs="Arial"/>
          <w:rtl/>
        </w:rPr>
        <w:t xml:space="preserve"> </w:t>
      </w:r>
    </w:p>
    <w:p w14:paraId="7DE43748" w14:textId="77777777" w:rsidR="004B607F" w:rsidRPr="003024E5" w:rsidRDefault="004B607F" w:rsidP="004B607F">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3729B10E" w14:textId="77777777" w:rsidR="004B607F" w:rsidRDefault="004B607F" w:rsidP="004B607F">
      <w:pPr>
        <w:rPr>
          <w:rtl/>
        </w:rPr>
      </w:pPr>
      <w:r>
        <w:rPr>
          <w:rFonts w:cs="Arial"/>
          <w:rtl/>
        </w:rPr>
        <w:t>בן י"ג שנה ויום אחד שהביא שתי שערות ואינו יודע בטיב משא ומתן, אין עדותו עדות בקרקעות, אבל במטלטלים עדותו עדות.</w:t>
      </w:r>
    </w:p>
    <w:p w14:paraId="557A2F24" w14:textId="77777777" w:rsidR="004B607F" w:rsidRDefault="004B607F" w:rsidP="004B607F">
      <w:pPr>
        <w:rPr>
          <w:rtl/>
        </w:rPr>
      </w:pPr>
    </w:p>
    <w:p w14:paraId="4B6F55BD" w14:textId="77777777" w:rsidR="004B607F" w:rsidRDefault="004B607F" w:rsidP="004B607F">
      <w:pPr>
        <w:pStyle w:val="2"/>
        <w:rPr>
          <w:rtl/>
        </w:rPr>
      </w:pPr>
      <w:bookmarkStart w:id="336" w:name="_Toc24883787"/>
      <w:r>
        <w:rPr>
          <w:rtl/>
        </w:rPr>
        <w:t>סעיף ד</w:t>
      </w:r>
      <w:r>
        <w:rPr>
          <w:rFonts w:hint="cs"/>
          <w:rtl/>
        </w:rPr>
        <w:t>:</w:t>
      </w:r>
      <w:r w:rsidRPr="00854B72">
        <w:rPr>
          <w:rFonts w:cs="Arial"/>
          <w:rtl/>
        </w:rPr>
        <w:t xml:space="preserve"> </w:t>
      </w:r>
      <w:r>
        <w:rPr>
          <w:rFonts w:cs="Arial"/>
          <w:rtl/>
        </w:rPr>
        <w:t>יודע בעדות כשהוא קטן</w:t>
      </w:r>
      <w:r>
        <w:rPr>
          <w:rFonts w:cs="Arial" w:hint="cs"/>
          <w:rtl/>
        </w:rPr>
        <w:t xml:space="preserve"> מהו שי</w:t>
      </w:r>
      <w:r>
        <w:rPr>
          <w:rFonts w:cs="Arial"/>
          <w:rtl/>
        </w:rPr>
        <w:t>עיד בה כשהוא גדול</w:t>
      </w:r>
      <w:r>
        <w:rPr>
          <w:rFonts w:cs="Arial" w:hint="cs"/>
          <w:rtl/>
        </w:rPr>
        <w:t xml:space="preserve"> </w:t>
      </w:r>
      <w:r>
        <w:rPr>
          <w:rFonts w:cs="Arial"/>
          <w:rtl/>
        </w:rPr>
        <w:t>–</w:t>
      </w:r>
      <w:r>
        <w:rPr>
          <w:rFonts w:cs="Arial" w:hint="cs"/>
          <w:rtl/>
        </w:rPr>
        <w:t xml:space="preserve"> בעדות על כתב ידו של פלוני.</w:t>
      </w:r>
      <w:bookmarkEnd w:id="336"/>
    </w:p>
    <w:p w14:paraId="09390F73" w14:textId="77777777" w:rsidR="004B607F" w:rsidRDefault="004B607F" w:rsidP="004B607F">
      <w:pPr>
        <w:rPr>
          <w:rFonts w:cs="Arial"/>
          <w:rtl/>
        </w:rPr>
      </w:pPr>
      <w:r>
        <w:rPr>
          <w:rFonts w:cs="Arial" w:hint="cs"/>
          <w:b/>
          <w:bCs/>
          <w:rtl/>
        </w:rPr>
        <w:t xml:space="preserve">כתובות </w:t>
      </w:r>
      <w:r w:rsidRPr="00854B72">
        <w:rPr>
          <w:rFonts w:cs="Arial" w:hint="cs"/>
          <w:b/>
          <w:bCs/>
          <w:sz w:val="16"/>
          <w:szCs w:val="16"/>
          <w:rtl/>
        </w:rPr>
        <w:t xml:space="preserve">(ספ"ב) </w:t>
      </w:r>
      <w:r>
        <w:rPr>
          <w:rFonts w:cs="Arial" w:hint="cs"/>
          <w:b/>
          <w:bCs/>
          <w:rtl/>
        </w:rPr>
        <w:t>כח</w:t>
      </w:r>
      <w:r>
        <w:rPr>
          <w:rStyle w:val="ab"/>
          <w:rFonts w:cs="Arial"/>
          <w:b/>
          <w:bCs/>
          <w:rtl/>
        </w:rPr>
        <w:footnoteReference w:id="2520"/>
      </w:r>
      <w:r>
        <w:rPr>
          <w:rFonts w:cs="Arial" w:hint="cs"/>
          <w:b/>
          <w:bCs/>
          <w:rtl/>
        </w:rPr>
        <w:t xml:space="preserve"> ע"א: </w:t>
      </w:r>
      <w:r w:rsidRPr="00854B72">
        <w:rPr>
          <w:rFonts w:cs="Arial"/>
          <w:u w:val="double"/>
          <w:rtl/>
        </w:rPr>
        <w:t>מתני'</w:t>
      </w:r>
      <w:r>
        <w:rPr>
          <w:rFonts w:cs="Arial" w:hint="cs"/>
          <w:rtl/>
        </w:rPr>
        <w:t>:</w:t>
      </w:r>
      <w:r w:rsidRPr="00854B72">
        <w:rPr>
          <w:rFonts w:cs="Arial"/>
          <w:rtl/>
        </w:rPr>
        <w:t xml:space="preserve"> ואלו נאמנין להעיד בגודלן מה שראו בקוטנן: נאמן אדם לומר זה כתב ידו של אבא</w:t>
      </w:r>
      <w:r>
        <w:rPr>
          <w:rStyle w:val="ab"/>
          <w:rFonts w:cs="Arial"/>
          <w:rtl/>
        </w:rPr>
        <w:footnoteReference w:id="2521"/>
      </w:r>
      <w:r w:rsidRPr="00854B72">
        <w:rPr>
          <w:rFonts w:cs="Arial"/>
          <w:rtl/>
        </w:rPr>
        <w:t xml:space="preserve"> וזה כתב ידו של רבי וזה כתב ידו של אחי</w:t>
      </w:r>
      <w:r>
        <w:rPr>
          <w:rStyle w:val="ab"/>
          <w:rFonts w:cs="Arial"/>
          <w:rtl/>
        </w:rPr>
        <w:footnoteReference w:id="2522"/>
      </w:r>
      <w:r w:rsidRPr="00854B72">
        <w:rPr>
          <w:rFonts w:cs="Arial"/>
          <w:rtl/>
        </w:rPr>
        <w:t>, זכור הייתי בפלונית שיצאה בהינומא</w:t>
      </w:r>
      <w:r>
        <w:rPr>
          <w:rStyle w:val="ab"/>
          <w:rFonts w:cs="Arial"/>
          <w:rtl/>
        </w:rPr>
        <w:footnoteReference w:id="2523"/>
      </w:r>
      <w:r w:rsidRPr="00854B72">
        <w:rPr>
          <w:rFonts w:cs="Arial"/>
          <w:rtl/>
        </w:rPr>
        <w:t xml:space="preserve"> וראשה פרוע, ושהיה איש פלוני יוצא מבית הספר</w:t>
      </w:r>
      <w:r>
        <w:rPr>
          <w:rStyle w:val="ab"/>
          <w:rFonts w:cs="Arial"/>
          <w:rtl/>
        </w:rPr>
        <w:footnoteReference w:id="2524"/>
      </w:r>
      <w:r w:rsidRPr="00854B72">
        <w:rPr>
          <w:rFonts w:cs="Arial"/>
          <w:rtl/>
        </w:rPr>
        <w:t xml:space="preserve"> לטבול לאכול בתרומה, ושהיה חולק עמנו על הגורן, והמקום הזה בית הפרס, ועד כאן היינו באין </w:t>
      </w:r>
      <w:r w:rsidRPr="00854B72">
        <w:rPr>
          <w:rFonts w:cs="Arial"/>
          <w:rtl/>
        </w:rPr>
        <w:lastRenderedPageBreak/>
        <w:t>בשבת</w:t>
      </w:r>
      <w:r>
        <w:rPr>
          <w:rFonts w:cs="Arial" w:hint="cs"/>
          <w:rtl/>
        </w:rPr>
        <w:t>.</w:t>
      </w:r>
      <w:r w:rsidRPr="00854B72">
        <w:rPr>
          <w:rFonts w:cs="Arial"/>
          <w:rtl/>
        </w:rPr>
        <w:t xml:space="preserve"> אבל אין אדם נאמן לומר דרך היה לפלוני במקום הזה, מעמד ומספד</w:t>
      </w:r>
      <w:r>
        <w:rPr>
          <w:rStyle w:val="ab"/>
          <w:rFonts w:cs="Arial"/>
          <w:rtl/>
        </w:rPr>
        <w:footnoteReference w:id="2525"/>
      </w:r>
      <w:r w:rsidRPr="00854B72">
        <w:rPr>
          <w:rFonts w:cs="Arial"/>
          <w:rtl/>
        </w:rPr>
        <w:t xml:space="preserve"> היה לפלוני במקום הזה.</w:t>
      </w:r>
      <w:r w:rsidRPr="00303906">
        <w:rPr>
          <w:rtl/>
        </w:rPr>
        <w:t xml:space="preserve"> </w:t>
      </w:r>
      <w:r>
        <w:rPr>
          <w:rFonts w:cs="Arial" w:hint="cs"/>
          <w:rtl/>
        </w:rPr>
        <w:t xml:space="preserve">    </w:t>
      </w:r>
      <w:r w:rsidRPr="00303906">
        <w:rPr>
          <w:rFonts w:cs="Arial"/>
          <w:u w:val="double"/>
          <w:rtl/>
        </w:rPr>
        <w:t>גמ'</w:t>
      </w:r>
      <w:r>
        <w:rPr>
          <w:rFonts w:cs="Arial" w:hint="cs"/>
          <w:rtl/>
        </w:rPr>
        <w:t>:</w:t>
      </w:r>
      <w:r w:rsidRPr="00303906">
        <w:rPr>
          <w:rFonts w:cs="Arial"/>
          <w:rtl/>
        </w:rPr>
        <w:t xml:space="preserve"> </w:t>
      </w:r>
      <w:r w:rsidRPr="00303906">
        <w:rPr>
          <w:rFonts w:cs="Arial"/>
          <w:u w:val="single"/>
          <w:rtl/>
        </w:rPr>
        <w:t>אמר רב הונא בריה דרב יהושע</w:t>
      </w:r>
      <w:r w:rsidRPr="00303906">
        <w:rPr>
          <w:rFonts w:cs="Arial"/>
          <w:rtl/>
        </w:rPr>
        <w:t>: והוא, שיש גדול עמו</w:t>
      </w:r>
      <w:r>
        <w:rPr>
          <w:rStyle w:val="ab"/>
          <w:rFonts w:cs="Arial"/>
          <w:rtl/>
        </w:rPr>
        <w:footnoteReference w:id="2526"/>
      </w:r>
      <w:r w:rsidRPr="00303906">
        <w:rPr>
          <w:rFonts w:cs="Arial"/>
          <w:rtl/>
        </w:rPr>
        <w:t>. וצריכא</w:t>
      </w:r>
      <w:r>
        <w:rPr>
          <w:rFonts w:cs="Arial" w:hint="cs"/>
          <w:rtl/>
        </w:rPr>
        <w:t>,</w:t>
      </w:r>
      <w:r w:rsidRPr="00303906">
        <w:rPr>
          <w:rFonts w:cs="Arial"/>
          <w:rtl/>
        </w:rPr>
        <w:t xml:space="preserve"> דאי אשמעינן אביו</w:t>
      </w:r>
      <w:r>
        <w:rPr>
          <w:rFonts w:cs="Arial" w:hint="cs"/>
          <w:rtl/>
        </w:rPr>
        <w:t xml:space="preserve"> -</w:t>
      </w:r>
      <w:r w:rsidRPr="00303906">
        <w:rPr>
          <w:rFonts w:cs="Arial"/>
          <w:rtl/>
        </w:rPr>
        <w:t xml:space="preserve"> משום דשכיח גביה, אבל רבו לא</w:t>
      </w:r>
      <w:r>
        <w:rPr>
          <w:rFonts w:cs="Arial" w:hint="cs"/>
          <w:rtl/>
        </w:rPr>
        <w:t>.</w:t>
      </w:r>
      <w:r w:rsidRPr="00303906">
        <w:rPr>
          <w:rFonts w:cs="Arial"/>
          <w:rtl/>
        </w:rPr>
        <w:t xml:space="preserve"> ואי אשמעינן רבו</w:t>
      </w:r>
      <w:r>
        <w:rPr>
          <w:rFonts w:cs="Arial" w:hint="cs"/>
          <w:rtl/>
        </w:rPr>
        <w:t xml:space="preserve"> -</w:t>
      </w:r>
      <w:r w:rsidRPr="00303906">
        <w:rPr>
          <w:rFonts w:cs="Arial"/>
          <w:rtl/>
        </w:rPr>
        <w:t xml:space="preserve"> משום דאית ליה אימתיה דרביה, אבל אביו לא</w:t>
      </w:r>
      <w:r>
        <w:rPr>
          <w:rFonts w:cs="Arial" w:hint="cs"/>
          <w:rtl/>
        </w:rPr>
        <w:t>.</w:t>
      </w:r>
      <w:r w:rsidRPr="00303906">
        <w:rPr>
          <w:rFonts w:cs="Arial"/>
          <w:rtl/>
        </w:rPr>
        <w:t xml:space="preserve"> ואי אשמעינן הני תרתי, אביו - דשכיח גביה, ורבו - דאית ליה אימתיה, אבל אחיו דלית ליה לא הא ולא הא - אימא לא, קמ"ל: כיון דקיום שטרות מדרבנן, הימנוהו רבנן בדרבנן.</w:t>
      </w:r>
    </w:p>
    <w:p w14:paraId="6D1275CF" w14:textId="77777777" w:rsidR="004B607F" w:rsidRDefault="004B607F" w:rsidP="004B607F">
      <w:pPr>
        <w:rPr>
          <w:rFonts w:cs="Arial"/>
          <w:rtl/>
        </w:rPr>
      </w:pPr>
      <w:r>
        <w:rPr>
          <w:rFonts w:cs="Arial" w:hint="cs"/>
          <w:u w:val="single"/>
          <w:rtl/>
        </w:rPr>
        <w:t>ראה דבר</w:t>
      </w:r>
      <w:r w:rsidRPr="00732BF4">
        <w:rPr>
          <w:rFonts w:cs="Arial"/>
          <w:u w:val="single"/>
          <w:rtl/>
        </w:rPr>
        <w:t xml:space="preserve"> כשה</w:t>
      </w:r>
      <w:r>
        <w:rPr>
          <w:rFonts w:cs="Arial" w:hint="cs"/>
          <w:u w:val="single"/>
          <w:rtl/>
        </w:rPr>
        <w:t>יה</w:t>
      </w:r>
      <w:r w:rsidRPr="00732BF4">
        <w:rPr>
          <w:rFonts w:cs="Arial"/>
          <w:u w:val="single"/>
          <w:rtl/>
        </w:rPr>
        <w:t xml:space="preserve"> קטן</w:t>
      </w:r>
      <w:r w:rsidRPr="00732BF4">
        <w:rPr>
          <w:rFonts w:cs="Arial" w:hint="cs"/>
          <w:u w:val="single"/>
          <w:rtl/>
        </w:rPr>
        <w:t xml:space="preserve"> מהו שי</w:t>
      </w:r>
      <w:r w:rsidRPr="00732BF4">
        <w:rPr>
          <w:rFonts w:cs="Arial"/>
          <w:u w:val="single"/>
          <w:rtl/>
        </w:rPr>
        <w:t>עיד ב</w:t>
      </w:r>
      <w:r>
        <w:rPr>
          <w:rFonts w:cs="Arial" w:hint="cs"/>
          <w:u w:val="single"/>
          <w:rtl/>
        </w:rPr>
        <w:t>ז</w:t>
      </w:r>
      <w:r w:rsidRPr="00732BF4">
        <w:rPr>
          <w:rFonts w:cs="Arial"/>
          <w:u w:val="single"/>
          <w:rtl/>
        </w:rPr>
        <w:t>ה כשגדל</w:t>
      </w:r>
      <w:r>
        <w:rPr>
          <w:rFonts w:cs="Arial" w:hint="cs"/>
          <w:u w:val="single"/>
          <w:rtl/>
        </w:rPr>
        <w:t xml:space="preserve"> </w:t>
      </w:r>
      <w:r>
        <w:rPr>
          <w:rFonts w:cs="Arial"/>
          <w:u w:val="single"/>
          <w:rtl/>
        </w:rPr>
        <w:t>–</w:t>
      </w:r>
      <w:r>
        <w:rPr>
          <w:rFonts w:cs="Arial" w:hint="cs"/>
          <w:u w:val="single"/>
          <w:rtl/>
        </w:rPr>
        <w:t xml:space="preserve"> גבי עדות על כתב ידו של פלוני</w:t>
      </w:r>
      <w:r w:rsidRPr="00732BF4">
        <w:rPr>
          <w:rFonts w:cs="Arial" w:hint="cs"/>
          <w:u w:val="single"/>
          <w:rtl/>
        </w:rPr>
        <w:t>:</w:t>
      </w:r>
    </w:p>
    <w:p w14:paraId="783E6787" w14:textId="77777777" w:rsidR="004B607F" w:rsidRDefault="004B607F" w:rsidP="004B0475">
      <w:pPr>
        <w:pStyle w:val="ac"/>
        <w:numPr>
          <w:ilvl w:val="0"/>
          <w:numId w:val="100"/>
        </w:numPr>
        <w:rPr>
          <w:rFonts w:cs="Arial"/>
        </w:rPr>
      </w:pPr>
      <w:r w:rsidRPr="00732BF4">
        <w:rPr>
          <w:rFonts w:cs="Arial" w:hint="cs"/>
          <w:rtl/>
        </w:rPr>
        <w:t>טור-</w:t>
      </w:r>
      <w:r w:rsidRPr="00732BF4">
        <w:rPr>
          <w:rFonts w:cs="Arial"/>
          <w:rtl/>
        </w:rPr>
        <w:t xml:space="preserve"> ואפילו לאחר שהגדיל הקטן </w:t>
      </w:r>
      <w:r>
        <w:rPr>
          <w:rFonts w:cs="Arial" w:hint="cs"/>
          <w:rtl/>
        </w:rPr>
        <w:t xml:space="preserve">- </w:t>
      </w:r>
      <w:r w:rsidRPr="00732BF4">
        <w:rPr>
          <w:rFonts w:cs="Arial"/>
          <w:rtl/>
        </w:rPr>
        <w:t>אינו יכול להעיד על מה שראה בקטנותו</w:t>
      </w:r>
      <w:r>
        <w:rPr>
          <w:rFonts w:cs="Arial" w:hint="cs"/>
          <w:rtl/>
        </w:rPr>
        <w:t>.</w:t>
      </w:r>
      <w:r w:rsidRPr="00732BF4">
        <w:rPr>
          <w:rFonts w:cs="Arial"/>
          <w:rtl/>
        </w:rPr>
        <w:t xml:space="preserve"> אבל יש דברים שמעיד עליהם בגדלו אע</w:t>
      </w:r>
      <w:r>
        <w:rPr>
          <w:rFonts w:cs="Arial" w:hint="cs"/>
          <w:rtl/>
        </w:rPr>
        <w:t>"</w:t>
      </w:r>
      <w:r w:rsidRPr="00732BF4">
        <w:rPr>
          <w:rFonts w:cs="Arial"/>
          <w:rtl/>
        </w:rPr>
        <w:t>פ שלא ראה אותם אלא בקטנותו</w:t>
      </w:r>
      <w:r>
        <w:rPr>
          <w:rFonts w:cs="Arial" w:hint="cs"/>
          <w:rtl/>
        </w:rPr>
        <w:t>,</w:t>
      </w:r>
      <w:r w:rsidRPr="00732BF4">
        <w:rPr>
          <w:rFonts w:cs="Arial"/>
          <w:rtl/>
        </w:rPr>
        <w:t xml:space="preserve"> כגון שמעיד זה כתב יד אבי או כתב יד רבי או אחי כדי לקיים השטר אע</w:t>
      </w:r>
      <w:r>
        <w:rPr>
          <w:rFonts w:cs="Arial" w:hint="cs"/>
          <w:rtl/>
        </w:rPr>
        <w:t>"</w:t>
      </w:r>
      <w:r w:rsidRPr="00732BF4">
        <w:rPr>
          <w:rFonts w:cs="Arial"/>
          <w:rtl/>
        </w:rPr>
        <w:t>פ דכבר מתו בעוד שהיה קטן</w:t>
      </w:r>
      <w:r>
        <w:rPr>
          <w:rFonts w:cs="Arial" w:hint="cs"/>
          <w:rtl/>
        </w:rPr>
        <w:t>.</w:t>
      </w:r>
      <w:r w:rsidRPr="00732BF4">
        <w:rPr>
          <w:rFonts w:cs="Arial"/>
          <w:rtl/>
        </w:rPr>
        <w:t xml:space="preserve"> ודווקא על אלו ג' מעיד שהוא רגיל בהם ומצוי אצלם</w:t>
      </w:r>
      <w:r>
        <w:rPr>
          <w:rFonts w:cs="Arial" w:hint="cs"/>
          <w:rtl/>
        </w:rPr>
        <w:t>,</w:t>
      </w:r>
      <w:r w:rsidRPr="00732BF4">
        <w:rPr>
          <w:rFonts w:cs="Arial"/>
          <w:rtl/>
        </w:rPr>
        <w:t xml:space="preserve"> אבל אם מעיד על אחר </w:t>
      </w:r>
      <w:r>
        <w:rPr>
          <w:rFonts w:cs="Arial"/>
          <w:rtl/>
        </w:rPr>
        <w:t>–</w:t>
      </w:r>
      <w:r>
        <w:rPr>
          <w:rFonts w:cs="Arial" w:hint="cs"/>
          <w:rtl/>
        </w:rPr>
        <w:t xml:space="preserve"> </w:t>
      </w:r>
      <w:r w:rsidRPr="00732BF4">
        <w:rPr>
          <w:rFonts w:cs="Arial"/>
          <w:rtl/>
        </w:rPr>
        <w:t>לא</w:t>
      </w:r>
      <w:r>
        <w:rPr>
          <w:rFonts w:cs="Arial" w:hint="cs"/>
          <w:rtl/>
        </w:rPr>
        <w:t>.</w:t>
      </w:r>
      <w:r w:rsidRPr="00732BF4">
        <w:rPr>
          <w:rFonts w:cs="Arial"/>
          <w:rtl/>
        </w:rPr>
        <w:t xml:space="preserve"> ודווקא שיש גדול עמו שמעיד כדבריו</w:t>
      </w:r>
      <w:r w:rsidRPr="00732BF4">
        <w:rPr>
          <w:rFonts w:cs="Arial" w:hint="cs"/>
          <w:rtl/>
        </w:rPr>
        <w:t>.</w:t>
      </w:r>
      <w:r>
        <w:rPr>
          <w:rFonts w:cs="Arial" w:hint="cs"/>
          <w:rtl/>
        </w:rPr>
        <w:t xml:space="preserve"> </w:t>
      </w:r>
    </w:p>
    <w:p w14:paraId="0D16A473" w14:textId="77777777" w:rsidR="004B607F" w:rsidRPr="00732BF4" w:rsidRDefault="004B607F" w:rsidP="004B0475">
      <w:pPr>
        <w:pStyle w:val="ac"/>
        <w:numPr>
          <w:ilvl w:val="0"/>
          <w:numId w:val="100"/>
        </w:numPr>
        <w:rPr>
          <w:rFonts w:cs="Arial"/>
          <w:rtl/>
        </w:rPr>
      </w:pPr>
      <w:r>
        <w:rPr>
          <w:rFonts w:cs="Arial" w:hint="cs"/>
          <w:rtl/>
        </w:rPr>
        <w:t xml:space="preserve">רמב"ם </w:t>
      </w:r>
      <w:r>
        <w:rPr>
          <w:rFonts w:cs="Arial" w:hint="cs"/>
          <w:sz w:val="16"/>
          <w:szCs w:val="16"/>
          <w:rtl/>
        </w:rPr>
        <w:t>(פ"ז מהל' עדות ה"ב)</w:t>
      </w:r>
      <w:r>
        <w:rPr>
          <w:rFonts w:cs="Arial" w:hint="cs"/>
          <w:rtl/>
        </w:rPr>
        <w:t xml:space="preserve">- </w:t>
      </w:r>
      <w:r w:rsidRPr="00CD6516">
        <w:rPr>
          <w:rFonts w:cs="Arial"/>
          <w:rtl/>
        </w:rPr>
        <w:t>ואלו מדברים שנאמנים הגדולים להעיד בגדלם מה שראו בקטנם, נאמן אדם לומר כשהוא גדול זהו כתב ידו של אבי</w:t>
      </w:r>
      <w:r>
        <w:rPr>
          <w:rFonts w:cs="Arial" w:hint="cs"/>
          <w:rtl/>
        </w:rPr>
        <w:t>,</w:t>
      </w:r>
      <w:r w:rsidRPr="00CD6516">
        <w:rPr>
          <w:rFonts w:cs="Arial"/>
          <w:rtl/>
        </w:rPr>
        <w:t xml:space="preserve"> זהו כתב ידו של רבי</w:t>
      </w:r>
      <w:r>
        <w:rPr>
          <w:rFonts w:cs="Arial" w:hint="cs"/>
          <w:rtl/>
        </w:rPr>
        <w:t>,</w:t>
      </w:r>
      <w:r w:rsidRPr="00CD6516">
        <w:rPr>
          <w:rFonts w:cs="Arial"/>
          <w:rtl/>
        </w:rPr>
        <w:t xml:space="preserve"> זהו כתב ידו של אחי</w:t>
      </w:r>
      <w:r>
        <w:rPr>
          <w:rFonts w:cs="Arial" w:hint="cs"/>
          <w:rtl/>
        </w:rPr>
        <w:t>,</w:t>
      </w:r>
      <w:r w:rsidRPr="00CD6516">
        <w:rPr>
          <w:rFonts w:cs="Arial"/>
          <w:rtl/>
        </w:rPr>
        <w:t xml:space="preserve"> שהייתי מכיר בכתב ידם כשהייתי קטן</w:t>
      </w:r>
      <w:r>
        <w:rPr>
          <w:rFonts w:cs="Arial" w:hint="cs"/>
          <w:rtl/>
        </w:rPr>
        <w:t>.</w:t>
      </w:r>
      <w:r w:rsidRPr="00CD6516">
        <w:rPr>
          <w:rFonts w:cs="Arial"/>
          <w:rtl/>
        </w:rPr>
        <w:t xml:space="preserve"> והוא שיצטרף עמו אחר שמכיר כתב ידן כשהוא גדול</w:t>
      </w:r>
      <w:r w:rsidRPr="006E5B54">
        <w:rPr>
          <w:rStyle w:val="ab"/>
          <w:rFonts w:cs="Arial"/>
          <w:color w:val="000000" w:themeColor="text1"/>
          <w:rtl/>
        </w:rPr>
        <w:footnoteReference w:id="2527"/>
      </w:r>
      <w:r w:rsidRPr="00CD6516">
        <w:rPr>
          <w:rFonts w:cs="Arial"/>
          <w:rtl/>
        </w:rPr>
        <w:t>.</w:t>
      </w:r>
      <w:r w:rsidRPr="006E5B54">
        <w:rPr>
          <w:rFonts w:cs="Arial" w:hint="cs"/>
          <w:color w:val="E36C0A" w:themeColor="accent6" w:themeShade="BF"/>
          <w:rtl/>
        </w:rPr>
        <w:t xml:space="preserve"> (וכ"ס בשו"ע</w:t>
      </w:r>
      <w:r w:rsidRPr="006E5B54">
        <w:rPr>
          <w:rStyle w:val="ab"/>
          <w:rFonts w:cs="Arial"/>
          <w:color w:val="000000" w:themeColor="text1"/>
          <w:rtl/>
        </w:rPr>
        <w:footnoteReference w:id="2528"/>
      </w:r>
      <w:r w:rsidRPr="006E5B54">
        <w:rPr>
          <w:rFonts w:cs="Arial" w:hint="cs"/>
          <w:color w:val="E36C0A" w:themeColor="accent6" w:themeShade="BF"/>
          <w:rtl/>
        </w:rPr>
        <w:t>)</w:t>
      </w:r>
    </w:p>
    <w:p w14:paraId="38AF93BD" w14:textId="77777777" w:rsidR="004B607F" w:rsidRPr="003024E5" w:rsidRDefault="004B607F" w:rsidP="004B607F">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42C389D5" w14:textId="77777777" w:rsidR="004B607F" w:rsidRDefault="004B607F" w:rsidP="004B607F">
      <w:pPr>
        <w:rPr>
          <w:rtl/>
        </w:rPr>
      </w:pPr>
      <w:r>
        <w:rPr>
          <w:rFonts w:cs="Arial"/>
          <w:rtl/>
        </w:rPr>
        <w:t>מי שהיה יודע בעדות כשהוא קטן, והעיד בה כשהוא גדול, אינו כלום. ויש דברים שסומכים בהם על עדות שמעיד כשהוא גדול שראה בקטנות, ואלו הם: נאמן לומר זה כתב ידו של אבי</w:t>
      </w:r>
      <w:r>
        <w:rPr>
          <w:rFonts w:cs="Arial" w:hint="cs"/>
          <w:rtl/>
        </w:rPr>
        <w:t>,</w:t>
      </w:r>
      <w:r>
        <w:rPr>
          <w:rFonts w:cs="Arial"/>
          <w:rtl/>
        </w:rPr>
        <w:t xml:space="preserve"> או של רבי</w:t>
      </w:r>
      <w:r>
        <w:rPr>
          <w:rFonts w:cs="Arial" w:hint="cs"/>
          <w:rtl/>
        </w:rPr>
        <w:t>,</w:t>
      </w:r>
      <w:r>
        <w:rPr>
          <w:rFonts w:cs="Arial"/>
          <w:rtl/>
        </w:rPr>
        <w:t xml:space="preserve"> או של אחי</w:t>
      </w:r>
      <w:r>
        <w:rPr>
          <w:rStyle w:val="ab"/>
          <w:rFonts w:cs="Arial"/>
          <w:rtl/>
        </w:rPr>
        <w:footnoteReference w:id="2529"/>
      </w:r>
      <w:r>
        <w:rPr>
          <w:rFonts w:cs="Arial"/>
          <w:rtl/>
        </w:rPr>
        <w:t>. ויש מי שאומר</w:t>
      </w:r>
      <w:r>
        <w:rPr>
          <w:rStyle w:val="ab"/>
          <w:rFonts w:cs="Arial"/>
          <w:rtl/>
        </w:rPr>
        <w:footnoteReference w:id="2530"/>
      </w:r>
      <w:r>
        <w:rPr>
          <w:rFonts w:cs="Arial"/>
          <w:rtl/>
        </w:rPr>
        <w:t xml:space="preserve"> דעל כתב של אלו נאמן, אבל לא על של אחרים.</w:t>
      </w:r>
    </w:p>
    <w:p w14:paraId="628B97DA" w14:textId="77777777" w:rsidR="004B607F" w:rsidRDefault="004B607F" w:rsidP="004B607F">
      <w:pPr>
        <w:rPr>
          <w:rtl/>
        </w:rPr>
      </w:pPr>
    </w:p>
    <w:p w14:paraId="204D807B" w14:textId="77777777" w:rsidR="004B607F" w:rsidRDefault="004B607F" w:rsidP="004B607F">
      <w:pPr>
        <w:pStyle w:val="2"/>
        <w:rPr>
          <w:rtl/>
        </w:rPr>
      </w:pPr>
      <w:bookmarkStart w:id="337" w:name="_Toc24883788"/>
      <w:r>
        <w:rPr>
          <w:rtl/>
        </w:rPr>
        <w:t>סעיף ה</w:t>
      </w:r>
      <w:r>
        <w:rPr>
          <w:rFonts w:hint="cs"/>
          <w:rtl/>
        </w:rPr>
        <w:t xml:space="preserve">: כנ"ל </w:t>
      </w:r>
      <w:r>
        <w:rPr>
          <w:rtl/>
        </w:rPr>
        <w:t>–</w:t>
      </w:r>
      <w:r>
        <w:rPr>
          <w:rFonts w:hint="cs"/>
          <w:rtl/>
        </w:rPr>
        <w:t xml:space="preserve"> בעדות שנעשה לפלונית כמנהג הבתולות, ועל בית הפרס.</w:t>
      </w:r>
      <w:bookmarkEnd w:id="337"/>
    </w:p>
    <w:p w14:paraId="5846B2F1" w14:textId="77777777" w:rsidR="004B607F" w:rsidRDefault="004B607F" w:rsidP="004B607F">
      <w:pPr>
        <w:rPr>
          <w:rFonts w:cs="Arial"/>
          <w:rtl/>
        </w:rPr>
      </w:pPr>
      <w:r>
        <w:rPr>
          <w:rFonts w:cs="Arial" w:hint="cs"/>
          <w:b/>
          <w:bCs/>
          <w:rtl/>
        </w:rPr>
        <w:t xml:space="preserve">כתובות </w:t>
      </w:r>
      <w:r w:rsidRPr="00854B72">
        <w:rPr>
          <w:rFonts w:cs="Arial" w:hint="cs"/>
          <w:b/>
          <w:bCs/>
          <w:sz w:val="16"/>
          <w:szCs w:val="16"/>
          <w:rtl/>
        </w:rPr>
        <w:t xml:space="preserve">(ספ"ב) </w:t>
      </w:r>
      <w:r>
        <w:rPr>
          <w:rFonts w:cs="Arial" w:hint="cs"/>
          <w:b/>
          <w:bCs/>
          <w:rtl/>
        </w:rPr>
        <w:t>כח</w:t>
      </w:r>
      <w:r>
        <w:rPr>
          <w:rStyle w:val="ab"/>
          <w:rFonts w:cs="Arial"/>
          <w:b/>
          <w:bCs/>
          <w:rtl/>
        </w:rPr>
        <w:footnoteReference w:id="2531"/>
      </w:r>
      <w:r>
        <w:rPr>
          <w:rFonts w:cs="Arial" w:hint="cs"/>
          <w:b/>
          <w:bCs/>
          <w:rtl/>
        </w:rPr>
        <w:t xml:space="preserve"> ע"א: </w:t>
      </w:r>
      <w:r w:rsidRPr="00854B72">
        <w:rPr>
          <w:rFonts w:cs="Arial"/>
          <w:u w:val="double"/>
          <w:rtl/>
        </w:rPr>
        <w:t>מתני'</w:t>
      </w:r>
      <w:r>
        <w:rPr>
          <w:rFonts w:cs="Arial" w:hint="cs"/>
          <w:rtl/>
        </w:rPr>
        <w:t>:</w:t>
      </w:r>
      <w:r w:rsidRPr="00854B72">
        <w:rPr>
          <w:rFonts w:cs="Arial"/>
          <w:rtl/>
        </w:rPr>
        <w:t xml:space="preserve"> ואלו נאמנין להעיד בגודלן מה שראו בקוטנן: נאמן אדם לומר זה כתב ידו של אבא וזה כתב ידו של רבי וזה כתב ידו של אחי, זכור הייתי בפלונית שיצאה בהינומא</w:t>
      </w:r>
      <w:r>
        <w:rPr>
          <w:rStyle w:val="ab"/>
          <w:rFonts w:cs="Arial"/>
          <w:rtl/>
        </w:rPr>
        <w:footnoteReference w:id="2532"/>
      </w:r>
      <w:r w:rsidRPr="00854B72">
        <w:rPr>
          <w:rFonts w:cs="Arial"/>
          <w:rtl/>
        </w:rPr>
        <w:t xml:space="preserve"> וראשה פרוע</w:t>
      </w:r>
      <w:r>
        <w:rPr>
          <w:rFonts w:cs="Arial" w:hint="cs"/>
          <w:rtl/>
        </w:rPr>
        <w:t>...</w:t>
      </w:r>
      <w:r w:rsidRPr="00854B72">
        <w:rPr>
          <w:rFonts w:cs="Arial"/>
          <w:rtl/>
        </w:rPr>
        <w:t xml:space="preserve"> והמקום הזה בית הפרס</w:t>
      </w:r>
      <w:r>
        <w:rPr>
          <w:rFonts w:cs="Arial" w:hint="cs"/>
          <w:rtl/>
        </w:rPr>
        <w:t>..</w:t>
      </w:r>
      <w:r w:rsidRPr="00854B72">
        <w:rPr>
          <w:rFonts w:cs="Arial"/>
          <w:rtl/>
        </w:rPr>
        <w:t>.</w:t>
      </w:r>
      <w:r w:rsidRPr="00303906">
        <w:rPr>
          <w:rtl/>
        </w:rPr>
        <w:t xml:space="preserve"> </w:t>
      </w:r>
      <w:r>
        <w:rPr>
          <w:rFonts w:cs="Arial" w:hint="cs"/>
          <w:rtl/>
        </w:rPr>
        <w:t xml:space="preserve">    </w:t>
      </w:r>
      <w:r w:rsidRPr="00303906">
        <w:rPr>
          <w:rFonts w:cs="Arial"/>
          <w:u w:val="double"/>
          <w:rtl/>
        </w:rPr>
        <w:t>גמ'</w:t>
      </w:r>
      <w:r>
        <w:rPr>
          <w:rFonts w:cs="Arial" w:hint="cs"/>
          <w:rtl/>
        </w:rPr>
        <w:t>:</w:t>
      </w:r>
      <w:r w:rsidRPr="00303906">
        <w:rPr>
          <w:rFonts w:cs="Arial"/>
          <w:rtl/>
        </w:rPr>
        <w:t xml:space="preserve"> </w:t>
      </w:r>
      <w:r w:rsidRPr="00303906">
        <w:rPr>
          <w:rFonts w:cs="Arial"/>
          <w:u w:val="single"/>
          <w:rtl/>
        </w:rPr>
        <w:t>אמר רב הונא בריה דרב יהושע</w:t>
      </w:r>
      <w:r w:rsidRPr="00303906">
        <w:rPr>
          <w:rFonts w:cs="Arial"/>
          <w:rtl/>
        </w:rPr>
        <w:t>: והוא, שיש גדול עמו</w:t>
      </w:r>
      <w:r>
        <w:rPr>
          <w:rStyle w:val="ab"/>
          <w:rFonts w:cs="Arial"/>
          <w:rtl/>
        </w:rPr>
        <w:footnoteReference w:id="2533"/>
      </w:r>
      <w:r w:rsidRPr="00303906">
        <w:rPr>
          <w:rFonts w:cs="Arial"/>
          <w:rtl/>
        </w:rPr>
        <w:t>.</w:t>
      </w:r>
      <w:r>
        <w:rPr>
          <w:rFonts w:cs="Arial" w:hint="cs"/>
          <w:rtl/>
        </w:rPr>
        <w:t xml:space="preserve">.. </w:t>
      </w:r>
      <w:r w:rsidRPr="00303906">
        <w:rPr>
          <w:rFonts w:cs="Arial"/>
          <w:rtl/>
        </w:rPr>
        <w:t xml:space="preserve">זכור הייתי בפלונית שיצאה בהינומא וראשה </w:t>
      </w:r>
      <w:r w:rsidRPr="00303906">
        <w:rPr>
          <w:rFonts w:cs="Arial"/>
          <w:rtl/>
        </w:rPr>
        <w:lastRenderedPageBreak/>
        <w:t>פרוע. מאי טעמא? כיון דרוב נשים בתולות נישאות, גלוי מלתא בעלמא הוא</w:t>
      </w:r>
      <w:r>
        <w:rPr>
          <w:rStyle w:val="ab"/>
          <w:rFonts w:cs="Arial"/>
          <w:rtl/>
        </w:rPr>
        <w:footnoteReference w:id="2534"/>
      </w:r>
      <w:r w:rsidRPr="00303906">
        <w:rPr>
          <w:rFonts w:cs="Arial"/>
          <w:rtl/>
        </w:rPr>
        <w:t>.</w:t>
      </w:r>
      <w:r>
        <w:rPr>
          <w:rFonts w:cs="Arial" w:hint="cs"/>
          <w:rtl/>
        </w:rPr>
        <w:t>..</w:t>
      </w:r>
      <w:r>
        <w:rPr>
          <w:rFonts w:hint="cs"/>
          <w:sz w:val="16"/>
          <w:szCs w:val="16"/>
          <w:rtl/>
        </w:rPr>
        <w:t xml:space="preserve"> (כח:)</w:t>
      </w:r>
      <w:r w:rsidRPr="00303906">
        <w:rPr>
          <w:rtl/>
        </w:rPr>
        <w:t xml:space="preserve"> </w:t>
      </w:r>
      <w:r w:rsidRPr="00D2669E">
        <w:rPr>
          <w:rFonts w:cs="Arial"/>
          <w:rtl/>
        </w:rPr>
        <w:t>ושהמקום הזה בית הפרס</w:t>
      </w:r>
      <w:r>
        <w:rPr>
          <w:rStyle w:val="ab"/>
          <w:rFonts w:cs="Arial"/>
          <w:rtl/>
        </w:rPr>
        <w:footnoteReference w:id="2535"/>
      </w:r>
      <w:r w:rsidRPr="00D2669E">
        <w:rPr>
          <w:rFonts w:cs="Arial"/>
          <w:rtl/>
        </w:rPr>
        <w:t xml:space="preserve"> הוא. מ"ט? בית הפרס דרבנן, </w:t>
      </w:r>
      <w:r w:rsidRPr="00D2669E">
        <w:rPr>
          <w:rFonts w:cs="Arial"/>
          <w:u w:val="single"/>
          <w:rtl/>
        </w:rPr>
        <w:t>דאמר רב יהודה אמר שמואל</w:t>
      </w:r>
      <w:r w:rsidRPr="00D2669E">
        <w:rPr>
          <w:rFonts w:cs="Arial"/>
          <w:rtl/>
        </w:rPr>
        <w:t>: מנפח אדם בית הפרס</w:t>
      </w:r>
      <w:r>
        <w:rPr>
          <w:rStyle w:val="ab"/>
          <w:rFonts w:cs="Arial"/>
          <w:rtl/>
        </w:rPr>
        <w:footnoteReference w:id="2536"/>
      </w:r>
      <w:r w:rsidRPr="00D2669E">
        <w:rPr>
          <w:rFonts w:cs="Arial"/>
          <w:rtl/>
        </w:rPr>
        <w:t xml:space="preserve"> והולך. </w:t>
      </w:r>
      <w:r w:rsidRPr="00D2669E">
        <w:rPr>
          <w:rFonts w:cs="Arial"/>
          <w:u w:val="single"/>
          <w:rtl/>
        </w:rPr>
        <w:t>ורב יהודה בר אמי משמיה דרב יהודה אמר</w:t>
      </w:r>
      <w:r w:rsidRPr="00D2669E">
        <w:rPr>
          <w:rFonts w:cs="Arial"/>
          <w:rtl/>
        </w:rPr>
        <w:t>: בית הפרס שנידש</w:t>
      </w:r>
      <w:r>
        <w:rPr>
          <w:rStyle w:val="ab"/>
          <w:rFonts w:cs="Arial"/>
          <w:rtl/>
        </w:rPr>
        <w:footnoteReference w:id="2537"/>
      </w:r>
      <w:r w:rsidRPr="00D2669E">
        <w:rPr>
          <w:rFonts w:cs="Arial"/>
          <w:rtl/>
        </w:rPr>
        <w:t xml:space="preserve"> </w:t>
      </w:r>
      <w:r>
        <w:rPr>
          <w:rFonts w:cs="Arial"/>
          <w:rtl/>
        </w:rPr>
        <w:t>–</w:t>
      </w:r>
      <w:r w:rsidRPr="00D2669E">
        <w:rPr>
          <w:rFonts w:cs="Arial"/>
          <w:rtl/>
        </w:rPr>
        <w:t xml:space="preserve"> טהור</w:t>
      </w:r>
      <w:r>
        <w:rPr>
          <w:rStyle w:val="ab"/>
          <w:rFonts w:cs="Arial"/>
          <w:rtl/>
        </w:rPr>
        <w:footnoteReference w:id="2538"/>
      </w:r>
      <w:r>
        <w:rPr>
          <w:rFonts w:cs="Arial" w:hint="cs"/>
          <w:rtl/>
        </w:rPr>
        <w:t>.</w:t>
      </w:r>
      <w:r w:rsidRPr="00D2669E">
        <w:rPr>
          <w:rFonts w:cs="Arial"/>
          <w:rtl/>
        </w:rPr>
        <w:t xml:space="preserve"> מאי טעמא? אי אפשר לעצם כשעורה שלא נידש ברגל. </w:t>
      </w:r>
    </w:p>
    <w:p w14:paraId="2B4BB399" w14:textId="77777777" w:rsidR="004B607F" w:rsidRDefault="004B607F" w:rsidP="004B607F">
      <w:pPr>
        <w:rPr>
          <w:rFonts w:cs="Arial"/>
          <w:rtl/>
        </w:rPr>
      </w:pPr>
      <w:r>
        <w:rPr>
          <w:rFonts w:cs="Arial" w:hint="cs"/>
          <w:u w:val="single"/>
          <w:rtl/>
        </w:rPr>
        <w:t>ראה דבר</w:t>
      </w:r>
      <w:r w:rsidRPr="00732BF4">
        <w:rPr>
          <w:rFonts w:cs="Arial"/>
          <w:u w:val="single"/>
          <w:rtl/>
        </w:rPr>
        <w:t xml:space="preserve"> כשה</w:t>
      </w:r>
      <w:r>
        <w:rPr>
          <w:rFonts w:cs="Arial" w:hint="cs"/>
          <w:u w:val="single"/>
          <w:rtl/>
        </w:rPr>
        <w:t>יה</w:t>
      </w:r>
      <w:r w:rsidRPr="00732BF4">
        <w:rPr>
          <w:rFonts w:cs="Arial"/>
          <w:u w:val="single"/>
          <w:rtl/>
        </w:rPr>
        <w:t xml:space="preserve"> קטן</w:t>
      </w:r>
      <w:r w:rsidRPr="00732BF4">
        <w:rPr>
          <w:rFonts w:cs="Arial" w:hint="cs"/>
          <w:u w:val="single"/>
          <w:rtl/>
        </w:rPr>
        <w:t xml:space="preserve"> מהו שי</w:t>
      </w:r>
      <w:r w:rsidRPr="00732BF4">
        <w:rPr>
          <w:rFonts w:cs="Arial"/>
          <w:u w:val="single"/>
          <w:rtl/>
        </w:rPr>
        <w:t>עיד ב</w:t>
      </w:r>
      <w:r>
        <w:rPr>
          <w:rFonts w:cs="Arial" w:hint="cs"/>
          <w:u w:val="single"/>
          <w:rtl/>
        </w:rPr>
        <w:t>ז</w:t>
      </w:r>
      <w:r w:rsidRPr="00732BF4">
        <w:rPr>
          <w:rFonts w:cs="Arial"/>
          <w:u w:val="single"/>
          <w:rtl/>
        </w:rPr>
        <w:t>ה כשגדל</w:t>
      </w:r>
      <w:r>
        <w:rPr>
          <w:rFonts w:cs="Arial" w:hint="cs"/>
          <w:u w:val="single"/>
          <w:rtl/>
        </w:rPr>
        <w:t xml:space="preserve"> </w:t>
      </w:r>
      <w:r>
        <w:rPr>
          <w:rFonts w:cs="Arial"/>
          <w:u w:val="single"/>
          <w:rtl/>
        </w:rPr>
        <w:t>–</w:t>
      </w:r>
      <w:r>
        <w:rPr>
          <w:rFonts w:cs="Arial" w:hint="cs"/>
          <w:u w:val="single"/>
          <w:rtl/>
        </w:rPr>
        <w:t xml:space="preserve"> גבי עדות על אשה שנעשה לה כמנהג הבתולות</w:t>
      </w:r>
      <w:r w:rsidRPr="00732BF4">
        <w:rPr>
          <w:rFonts w:cs="Arial" w:hint="cs"/>
          <w:u w:val="single"/>
          <w:rtl/>
        </w:rPr>
        <w:t>:</w:t>
      </w:r>
    </w:p>
    <w:p w14:paraId="1235CB94" w14:textId="77777777" w:rsidR="004B607F" w:rsidRDefault="004B607F" w:rsidP="004B0475">
      <w:pPr>
        <w:pStyle w:val="ac"/>
        <w:numPr>
          <w:ilvl w:val="0"/>
          <w:numId w:val="100"/>
        </w:numPr>
        <w:rPr>
          <w:rFonts w:cs="Arial"/>
        </w:rPr>
      </w:pPr>
      <w:r w:rsidRPr="00732BF4">
        <w:rPr>
          <w:rFonts w:cs="Arial" w:hint="cs"/>
          <w:rtl/>
        </w:rPr>
        <w:t>טור-</w:t>
      </w:r>
      <w:r w:rsidRPr="00732BF4">
        <w:rPr>
          <w:rFonts w:cs="Arial"/>
          <w:rtl/>
        </w:rPr>
        <w:t xml:space="preserve"> יש דברים שמעיד עליהם בגדלו אע</w:t>
      </w:r>
      <w:r>
        <w:rPr>
          <w:rFonts w:cs="Arial" w:hint="cs"/>
          <w:rtl/>
        </w:rPr>
        <w:t>"</w:t>
      </w:r>
      <w:r w:rsidRPr="00732BF4">
        <w:rPr>
          <w:rFonts w:cs="Arial"/>
          <w:rtl/>
        </w:rPr>
        <w:t>פ שלא ראה אותם אלא בקטנותו כגון שמעיד זה כתב יד אבי</w:t>
      </w:r>
      <w:r>
        <w:rPr>
          <w:rFonts w:cs="Arial" w:hint="cs"/>
          <w:rtl/>
        </w:rPr>
        <w:t>...</w:t>
      </w:r>
      <w:r w:rsidRPr="00732BF4">
        <w:rPr>
          <w:rFonts w:cs="Arial"/>
          <w:rtl/>
        </w:rPr>
        <w:t xml:space="preserve"> ודווקא שיש גדול עמו שמעיד כדבריו</w:t>
      </w:r>
      <w:r>
        <w:rPr>
          <w:rFonts w:cs="Arial" w:hint="cs"/>
          <w:rtl/>
        </w:rPr>
        <w:t>.</w:t>
      </w:r>
      <w:r w:rsidRPr="00732BF4">
        <w:rPr>
          <w:rFonts w:cs="Arial"/>
          <w:rtl/>
        </w:rPr>
        <w:t xml:space="preserve"> וכן נאמן להעיד כשיגדל על אשה שכשנשאת יצאה בהינומא ונעשה לה כמנהג הבתולות</w:t>
      </w:r>
      <w:r>
        <w:rPr>
          <w:rFonts w:cs="Arial" w:hint="cs"/>
          <w:rtl/>
        </w:rPr>
        <w:t>,</w:t>
      </w:r>
      <w:r w:rsidRPr="00732BF4">
        <w:rPr>
          <w:rFonts w:cs="Arial"/>
          <w:rtl/>
        </w:rPr>
        <w:t xml:space="preserve"> וגובה כתובתה מאתים</w:t>
      </w:r>
      <w:r>
        <w:rPr>
          <w:rFonts w:cs="Arial" w:hint="cs"/>
          <w:rtl/>
        </w:rPr>
        <w:t>,</w:t>
      </w:r>
      <w:r w:rsidRPr="00732BF4">
        <w:rPr>
          <w:rFonts w:cs="Arial"/>
          <w:rtl/>
        </w:rPr>
        <w:t xml:space="preserve"> כיון שהרוב בתולות נישאות</w:t>
      </w:r>
      <w:r>
        <w:rPr>
          <w:rFonts w:cs="Arial" w:hint="cs"/>
          <w:rtl/>
        </w:rPr>
        <w:t>.</w:t>
      </w:r>
      <w:r w:rsidRPr="00732BF4">
        <w:rPr>
          <w:rFonts w:cs="Arial"/>
          <w:rtl/>
        </w:rPr>
        <w:t xml:space="preserve"> </w:t>
      </w:r>
      <w:r>
        <w:rPr>
          <w:rStyle w:val="ab"/>
          <w:rFonts w:cs="Arial"/>
          <w:rtl/>
        </w:rPr>
        <w:footnoteReference w:id="2539"/>
      </w:r>
      <w:r w:rsidRPr="00732BF4">
        <w:rPr>
          <w:rFonts w:cs="Arial"/>
          <w:rtl/>
        </w:rPr>
        <w:t>וכן נאמן אפילו הוא לבדו לומר ע"כ תחום שבת כיון שתחומין דרבנן</w:t>
      </w:r>
      <w:r>
        <w:rPr>
          <w:rFonts w:cs="Arial" w:hint="cs"/>
          <w:rtl/>
        </w:rPr>
        <w:t>..</w:t>
      </w:r>
      <w:r w:rsidRPr="00732BF4">
        <w:rPr>
          <w:rFonts w:cs="Arial" w:hint="cs"/>
          <w:rtl/>
        </w:rPr>
        <w:t>.</w:t>
      </w:r>
      <w:r>
        <w:rPr>
          <w:rFonts w:cs="Arial" w:hint="cs"/>
          <w:rtl/>
        </w:rPr>
        <w:t xml:space="preserve"> </w:t>
      </w:r>
      <w:r w:rsidRPr="006E5B54">
        <w:rPr>
          <w:rFonts w:cs="Arial" w:hint="cs"/>
          <w:color w:val="E36C0A" w:themeColor="accent6" w:themeShade="BF"/>
          <w:rtl/>
        </w:rPr>
        <w:t>(וכ"</w:t>
      </w:r>
      <w:r>
        <w:rPr>
          <w:rFonts w:cs="Arial" w:hint="cs"/>
          <w:color w:val="E36C0A" w:themeColor="accent6" w:themeShade="BF"/>
          <w:rtl/>
        </w:rPr>
        <w:t>פ</w:t>
      </w:r>
      <w:r w:rsidRPr="006E5B54">
        <w:rPr>
          <w:rFonts w:cs="Arial" w:hint="cs"/>
          <w:color w:val="E36C0A" w:themeColor="accent6" w:themeShade="BF"/>
          <w:rtl/>
        </w:rPr>
        <w:t xml:space="preserve"> בשו"ע</w:t>
      </w:r>
      <w:r>
        <w:rPr>
          <w:rFonts w:cs="Arial" w:hint="cs"/>
          <w:sz w:val="16"/>
          <w:szCs w:val="16"/>
          <w:rtl/>
        </w:rPr>
        <w:t xml:space="preserve"> [אהע"ז סי' צו סט"ו]</w:t>
      </w:r>
      <w:r w:rsidRPr="006E5B54">
        <w:rPr>
          <w:rFonts w:cs="Arial" w:hint="cs"/>
          <w:color w:val="E36C0A" w:themeColor="accent6" w:themeShade="BF"/>
          <w:rtl/>
        </w:rPr>
        <w:t>)</w:t>
      </w:r>
    </w:p>
    <w:p w14:paraId="34CF9BD2" w14:textId="77777777" w:rsidR="004B607F" w:rsidRPr="00732BF4" w:rsidRDefault="004B607F" w:rsidP="004B0475">
      <w:pPr>
        <w:pStyle w:val="ac"/>
        <w:numPr>
          <w:ilvl w:val="0"/>
          <w:numId w:val="100"/>
        </w:numPr>
        <w:rPr>
          <w:rFonts w:cs="Arial"/>
          <w:rtl/>
        </w:rPr>
      </w:pPr>
      <w:r>
        <w:rPr>
          <w:rFonts w:cs="Arial" w:hint="cs"/>
          <w:rtl/>
        </w:rPr>
        <w:t xml:space="preserve">רמב"ם </w:t>
      </w:r>
      <w:r>
        <w:rPr>
          <w:rFonts w:cs="Arial" w:hint="cs"/>
          <w:sz w:val="16"/>
          <w:szCs w:val="16"/>
          <w:rtl/>
        </w:rPr>
        <w:t>(פט"ז מהל' אישות הכ"ה)</w:t>
      </w:r>
      <w:r>
        <w:rPr>
          <w:rFonts w:cs="Arial" w:hint="cs"/>
          <w:rtl/>
        </w:rPr>
        <w:t xml:space="preserve">- </w:t>
      </w:r>
      <w:r w:rsidRPr="00CD6516">
        <w:rPr>
          <w:rFonts w:cs="Arial"/>
          <w:rtl/>
        </w:rPr>
        <w:t xml:space="preserve">היא אומרת </w:t>
      </w:r>
      <w:r>
        <w:rPr>
          <w:rFonts w:cs="Arial" w:hint="cs"/>
          <w:rtl/>
        </w:rPr>
        <w:t>'</w:t>
      </w:r>
      <w:r w:rsidRPr="00CD6516">
        <w:rPr>
          <w:rFonts w:cs="Arial"/>
          <w:rtl/>
        </w:rPr>
        <w:t>בתולה נישאתי</w:t>
      </w:r>
      <w:r>
        <w:rPr>
          <w:rFonts w:cs="Arial" w:hint="cs"/>
          <w:rtl/>
        </w:rPr>
        <w:t>,</w:t>
      </w:r>
      <w:r w:rsidRPr="00CD6516">
        <w:rPr>
          <w:rFonts w:cs="Arial"/>
          <w:rtl/>
        </w:rPr>
        <w:t xml:space="preserve"> ועיקר כתובתי מאתים</w:t>
      </w:r>
      <w:r>
        <w:rPr>
          <w:rFonts w:cs="Arial" w:hint="cs"/>
          <w:rtl/>
        </w:rPr>
        <w:t>'.</w:t>
      </w:r>
      <w:r w:rsidRPr="00CD6516">
        <w:rPr>
          <w:rFonts w:cs="Arial"/>
          <w:rtl/>
        </w:rPr>
        <w:t xml:space="preserve"> והבעל או יורשיו אומרים </w:t>
      </w:r>
      <w:r>
        <w:rPr>
          <w:rFonts w:cs="Arial" w:hint="cs"/>
          <w:rtl/>
        </w:rPr>
        <w:t>'</w:t>
      </w:r>
      <w:r w:rsidRPr="00CD6516">
        <w:rPr>
          <w:rFonts w:cs="Arial"/>
          <w:rtl/>
        </w:rPr>
        <w:t>בעולה נשאת ואין לה אלא מאה</w:t>
      </w:r>
      <w:r>
        <w:rPr>
          <w:rFonts w:cs="Arial" w:hint="cs"/>
          <w:rtl/>
        </w:rPr>
        <w:t>'.</w:t>
      </w:r>
      <w:r w:rsidRPr="00CD6516">
        <w:rPr>
          <w:rFonts w:cs="Arial"/>
          <w:rtl/>
        </w:rPr>
        <w:t xml:space="preserve"> אם יש עדים שראו שעשו לה המנהגות שנהגו אנשי אותה העיר לעשותן לבתולה</w:t>
      </w:r>
      <w:r>
        <w:rPr>
          <w:rFonts w:cs="Arial" w:hint="cs"/>
          <w:rtl/>
        </w:rPr>
        <w:t>,</w:t>
      </w:r>
      <w:r w:rsidRPr="00CD6516">
        <w:rPr>
          <w:rFonts w:cs="Arial"/>
          <w:rtl/>
        </w:rPr>
        <w:t xml:space="preserve"> כגון מיני שמחה או כתרים או מלבוש ידוע או שאר דברים שאין עושין כך אלא לבתולה </w:t>
      </w:r>
      <w:r>
        <w:rPr>
          <w:rFonts w:cs="Arial" w:hint="cs"/>
          <w:rtl/>
        </w:rPr>
        <w:t xml:space="preserve">- </w:t>
      </w:r>
      <w:r w:rsidRPr="00CD6516">
        <w:rPr>
          <w:rFonts w:cs="Arial"/>
          <w:rtl/>
        </w:rPr>
        <w:t xml:space="preserve">הרי זו נוטלת מאתים, ואם אין לה עדים בזה </w:t>
      </w:r>
      <w:r>
        <w:rPr>
          <w:rFonts w:cs="Arial" w:hint="cs"/>
          <w:rtl/>
        </w:rPr>
        <w:t xml:space="preserve">- </w:t>
      </w:r>
      <w:r w:rsidRPr="00CD6516">
        <w:rPr>
          <w:rFonts w:cs="Arial"/>
          <w:rtl/>
        </w:rPr>
        <w:t>הרי זו נוטלת מנה</w:t>
      </w:r>
      <w:r>
        <w:rPr>
          <w:rFonts w:cs="Arial" w:hint="cs"/>
          <w:rtl/>
        </w:rPr>
        <w:t>.</w:t>
      </w:r>
      <w:r w:rsidRPr="00CD6516">
        <w:rPr>
          <w:rFonts w:cs="Arial"/>
          <w:rtl/>
        </w:rPr>
        <w:t xml:space="preserve"> ואם היה הבעל קיים</w:t>
      </w:r>
      <w:r>
        <w:rPr>
          <w:rFonts w:cs="Arial" w:hint="cs"/>
          <w:rtl/>
        </w:rPr>
        <w:t xml:space="preserve"> -</w:t>
      </w:r>
      <w:r w:rsidRPr="00CD6516">
        <w:rPr>
          <w:rFonts w:cs="Arial"/>
          <w:rtl/>
        </w:rPr>
        <w:t xml:space="preserve"> יש לה להשביעו שבועת התורה שהרי הודה במקצת הטענה</w:t>
      </w:r>
      <w:r>
        <w:rPr>
          <w:rFonts w:cs="Arial" w:hint="cs"/>
          <w:rtl/>
        </w:rPr>
        <w:t>.</w:t>
      </w:r>
      <w:r w:rsidRPr="00CD6516">
        <w:rPr>
          <w:rFonts w:cs="Arial"/>
          <w:rtl/>
        </w:rPr>
        <w:t xml:space="preserve"> ונאמן הקטן להעיד בגדלו ולומר </w:t>
      </w:r>
      <w:r>
        <w:rPr>
          <w:rFonts w:cs="Arial" w:hint="cs"/>
          <w:rtl/>
        </w:rPr>
        <w:t>'</w:t>
      </w:r>
      <w:r w:rsidRPr="00CD6516">
        <w:rPr>
          <w:rFonts w:cs="Arial"/>
          <w:rtl/>
        </w:rPr>
        <w:t>זכור אני כשהייתי קטן שנעשה לפלונית מנהג הבתולות</w:t>
      </w:r>
      <w:r>
        <w:rPr>
          <w:rFonts w:cs="Arial" w:hint="cs"/>
          <w:rtl/>
        </w:rPr>
        <w:t>'</w:t>
      </w:r>
      <w:r>
        <w:rPr>
          <w:rStyle w:val="ab"/>
          <w:rFonts w:cs="Arial"/>
          <w:rtl/>
        </w:rPr>
        <w:footnoteReference w:id="2540"/>
      </w:r>
      <w:r>
        <w:rPr>
          <w:rFonts w:cs="Arial" w:hint="cs"/>
          <w:rtl/>
        </w:rPr>
        <w:t>.</w:t>
      </w:r>
      <w:r w:rsidRPr="00CD6516">
        <w:rPr>
          <w:rFonts w:cs="Arial"/>
          <w:rtl/>
        </w:rPr>
        <w:t xml:space="preserve"> וכל הדברים האלו במקום שאין כותבין כתובה כמו שאמרנו.</w:t>
      </w:r>
      <w:r w:rsidRPr="00094049">
        <w:rPr>
          <w:rFonts w:cs="Arial" w:hint="cs"/>
          <w:color w:val="E36C0A" w:themeColor="accent6" w:themeShade="BF"/>
          <w:rtl/>
        </w:rPr>
        <w:t xml:space="preserve"> </w:t>
      </w:r>
    </w:p>
    <w:p w14:paraId="1B99A3D4" w14:textId="77777777" w:rsidR="004B607F" w:rsidRPr="003024E5" w:rsidRDefault="004B607F" w:rsidP="004B607F">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702EBC00" w14:textId="77777777" w:rsidR="004B607F" w:rsidRDefault="004B607F" w:rsidP="004B607F">
      <w:pPr>
        <w:rPr>
          <w:rtl/>
        </w:rPr>
      </w:pPr>
      <w:r>
        <w:rPr>
          <w:rFonts w:cs="Arial"/>
          <w:rtl/>
        </w:rPr>
        <w:t>ונאמן לומר: זכורני באשת פלוני שנעשה לה מנהג הבתולות כשנשאת. ונאמן לומר: המקום הזה בית הפרס</w:t>
      </w:r>
      <w:r>
        <w:rPr>
          <w:rStyle w:val="ab"/>
          <w:rFonts w:cs="Arial"/>
          <w:rtl/>
        </w:rPr>
        <w:footnoteReference w:id="2541"/>
      </w:r>
      <w:r>
        <w:rPr>
          <w:rFonts w:cs="Arial"/>
          <w:rtl/>
        </w:rPr>
        <w:t xml:space="preserve">. </w:t>
      </w:r>
    </w:p>
    <w:p w14:paraId="4BEF50D9" w14:textId="77777777" w:rsidR="004B607F" w:rsidRDefault="004B607F" w:rsidP="004B607F">
      <w:pPr>
        <w:rPr>
          <w:rtl/>
        </w:rPr>
      </w:pPr>
    </w:p>
    <w:p w14:paraId="36FD709F" w14:textId="77777777" w:rsidR="004B607F" w:rsidRDefault="004B607F" w:rsidP="004B607F">
      <w:pPr>
        <w:pStyle w:val="2"/>
        <w:rPr>
          <w:rtl/>
        </w:rPr>
      </w:pPr>
      <w:bookmarkStart w:id="338" w:name="_Toc24883789"/>
      <w:r>
        <w:rPr>
          <w:rtl/>
        </w:rPr>
        <w:t>סעיף ו</w:t>
      </w:r>
      <w:r>
        <w:rPr>
          <w:rFonts w:hint="cs"/>
          <w:rtl/>
        </w:rPr>
        <w:t xml:space="preserve">: כנ"ל </w:t>
      </w:r>
      <w:r>
        <w:rPr>
          <w:rtl/>
        </w:rPr>
        <w:t>–</w:t>
      </w:r>
      <w:r>
        <w:rPr>
          <w:rFonts w:hint="cs"/>
          <w:rtl/>
        </w:rPr>
        <w:t xml:space="preserve"> בעדות תחומין, טומאה וטהרה, ופיסול/הכשר משפחה.</w:t>
      </w:r>
      <w:bookmarkEnd w:id="338"/>
      <w:r>
        <w:rPr>
          <w:rFonts w:hint="cs"/>
          <w:rtl/>
        </w:rPr>
        <w:t xml:space="preserve"> </w:t>
      </w:r>
    </w:p>
    <w:p w14:paraId="33D64ACB" w14:textId="77777777" w:rsidR="004B607F" w:rsidRPr="006B2553" w:rsidRDefault="004B607F" w:rsidP="004B607F">
      <w:pPr>
        <w:rPr>
          <w:rFonts w:cs="Arial"/>
          <w:rtl/>
        </w:rPr>
      </w:pPr>
      <w:r>
        <w:rPr>
          <w:rFonts w:cs="Arial" w:hint="cs"/>
          <w:b/>
          <w:bCs/>
          <w:rtl/>
        </w:rPr>
        <w:t xml:space="preserve">כתובות </w:t>
      </w:r>
      <w:r w:rsidRPr="00854B72">
        <w:rPr>
          <w:rFonts w:cs="Arial" w:hint="cs"/>
          <w:b/>
          <w:bCs/>
          <w:sz w:val="16"/>
          <w:szCs w:val="16"/>
          <w:rtl/>
        </w:rPr>
        <w:t xml:space="preserve">(ספ"ב) </w:t>
      </w:r>
      <w:r>
        <w:rPr>
          <w:rFonts w:cs="Arial" w:hint="cs"/>
          <w:b/>
          <w:bCs/>
          <w:rtl/>
        </w:rPr>
        <w:t>כח</w:t>
      </w:r>
      <w:r>
        <w:rPr>
          <w:rStyle w:val="ab"/>
          <w:rFonts w:cs="Arial"/>
          <w:b/>
          <w:bCs/>
          <w:rtl/>
        </w:rPr>
        <w:footnoteReference w:id="2542"/>
      </w:r>
      <w:r>
        <w:rPr>
          <w:rFonts w:cs="Arial" w:hint="cs"/>
          <w:b/>
          <w:bCs/>
          <w:rtl/>
        </w:rPr>
        <w:t xml:space="preserve"> ע"א: </w:t>
      </w:r>
      <w:r w:rsidRPr="00854B72">
        <w:rPr>
          <w:rFonts w:cs="Arial"/>
          <w:u w:val="double"/>
          <w:rtl/>
        </w:rPr>
        <w:t>מתני'</w:t>
      </w:r>
      <w:r>
        <w:rPr>
          <w:rFonts w:cs="Arial" w:hint="cs"/>
          <w:rtl/>
        </w:rPr>
        <w:t>:</w:t>
      </w:r>
      <w:r w:rsidRPr="00854B72">
        <w:rPr>
          <w:rFonts w:cs="Arial"/>
          <w:rtl/>
        </w:rPr>
        <w:t xml:space="preserve"> ואלו נאמנין להעיד בגודלן מה שראו בקוטנן: נאמן אדם לומר</w:t>
      </w:r>
      <w:r>
        <w:rPr>
          <w:rFonts w:cs="Arial" w:hint="cs"/>
          <w:rtl/>
        </w:rPr>
        <w:t xml:space="preserve">... </w:t>
      </w:r>
      <w:r w:rsidRPr="00854B72">
        <w:rPr>
          <w:rFonts w:cs="Arial"/>
          <w:rtl/>
        </w:rPr>
        <w:t>שהיה איש פלוני יוצא מבית הספר</w:t>
      </w:r>
      <w:r>
        <w:rPr>
          <w:rStyle w:val="ab"/>
          <w:rFonts w:cs="Arial"/>
          <w:rtl/>
        </w:rPr>
        <w:footnoteReference w:id="2543"/>
      </w:r>
      <w:r w:rsidRPr="00854B72">
        <w:rPr>
          <w:rFonts w:cs="Arial"/>
          <w:rtl/>
        </w:rPr>
        <w:t xml:space="preserve"> לטבול לאכול בתרומה, ושהיה חולק עמנו על הגורן</w:t>
      </w:r>
      <w:r>
        <w:rPr>
          <w:rFonts w:cs="Arial" w:hint="cs"/>
          <w:rtl/>
        </w:rPr>
        <w:t>...</w:t>
      </w:r>
      <w:r w:rsidRPr="00854B72">
        <w:rPr>
          <w:rFonts w:cs="Arial"/>
          <w:rtl/>
        </w:rPr>
        <w:t xml:space="preserve"> ועד כאן היינו באין בשבת</w:t>
      </w:r>
      <w:r>
        <w:rPr>
          <w:rFonts w:cs="Arial" w:hint="cs"/>
          <w:rtl/>
        </w:rPr>
        <w:t>.</w:t>
      </w:r>
      <w:r w:rsidRPr="00854B72">
        <w:rPr>
          <w:rFonts w:cs="Arial"/>
          <w:rtl/>
        </w:rPr>
        <w:t xml:space="preserve"> אבל אין אדם נאמן לומר דרך היה לפלוני במקום הזה, מעמד ומספד</w:t>
      </w:r>
      <w:r>
        <w:rPr>
          <w:rStyle w:val="ab"/>
          <w:rFonts w:cs="Arial"/>
          <w:rtl/>
        </w:rPr>
        <w:footnoteReference w:id="2544"/>
      </w:r>
      <w:r w:rsidRPr="00854B72">
        <w:rPr>
          <w:rFonts w:cs="Arial"/>
          <w:rtl/>
        </w:rPr>
        <w:t xml:space="preserve"> היה לפלוני במקום הזה.</w:t>
      </w:r>
      <w:r w:rsidRPr="00303906">
        <w:rPr>
          <w:rtl/>
        </w:rPr>
        <w:t xml:space="preserve"> </w:t>
      </w:r>
      <w:r>
        <w:rPr>
          <w:rFonts w:cs="Arial" w:hint="cs"/>
          <w:rtl/>
        </w:rPr>
        <w:t xml:space="preserve">    </w:t>
      </w:r>
      <w:r w:rsidRPr="00303906">
        <w:rPr>
          <w:rFonts w:cs="Arial"/>
          <w:u w:val="double"/>
          <w:rtl/>
        </w:rPr>
        <w:t>גמ'</w:t>
      </w:r>
      <w:r w:rsidRPr="00094049">
        <w:rPr>
          <w:rFonts w:hint="cs"/>
          <w:sz w:val="16"/>
          <w:szCs w:val="16"/>
          <w:u w:val="double"/>
          <w:rtl/>
        </w:rPr>
        <w:t xml:space="preserve"> </w:t>
      </w:r>
      <w:r w:rsidRPr="00094049">
        <w:rPr>
          <w:rFonts w:hint="cs"/>
          <w:sz w:val="14"/>
          <w:szCs w:val="14"/>
          <w:u w:val="double"/>
          <w:rtl/>
        </w:rPr>
        <w:t>(כח:)</w:t>
      </w:r>
      <w:r w:rsidRPr="00094049">
        <w:rPr>
          <w:rFonts w:hint="cs"/>
          <w:u w:val="double"/>
          <w:rtl/>
        </w:rPr>
        <w:t>:</w:t>
      </w:r>
      <w:r w:rsidRPr="00303906">
        <w:rPr>
          <w:rtl/>
        </w:rPr>
        <w:t xml:space="preserve"> </w:t>
      </w:r>
      <w:r w:rsidRPr="005376BD">
        <w:rPr>
          <w:rFonts w:cs="Arial"/>
          <w:rtl/>
        </w:rPr>
        <w:t>לטבול לאכול בתרומה. בתרומה דרבנן</w:t>
      </w:r>
      <w:r>
        <w:rPr>
          <w:rStyle w:val="ab"/>
          <w:rFonts w:cs="Arial"/>
          <w:rtl/>
        </w:rPr>
        <w:footnoteReference w:id="2545"/>
      </w:r>
      <w:r w:rsidRPr="005376BD">
        <w:rPr>
          <w:rFonts w:cs="Arial"/>
          <w:rtl/>
        </w:rPr>
        <w:t>.</w:t>
      </w:r>
      <w:r>
        <w:rPr>
          <w:rFonts w:cs="Arial" w:hint="cs"/>
          <w:rtl/>
        </w:rPr>
        <w:t>..</w:t>
      </w:r>
      <w:r w:rsidRPr="00D2669E">
        <w:rPr>
          <w:rFonts w:cs="Arial"/>
          <w:rtl/>
        </w:rPr>
        <w:t xml:space="preserve"> </w:t>
      </w:r>
      <w:r w:rsidRPr="00303906">
        <w:rPr>
          <w:rFonts w:cs="Arial"/>
          <w:rtl/>
        </w:rPr>
        <w:t>ועד כאן היינו באין בשבת. קסבר: תחומין דרבנן.</w:t>
      </w:r>
      <w:r w:rsidRPr="00303906">
        <w:rPr>
          <w:rtl/>
        </w:rPr>
        <w:t xml:space="preserve"> </w:t>
      </w:r>
      <w:r w:rsidRPr="00303906">
        <w:rPr>
          <w:rFonts w:cs="Arial"/>
          <w:rtl/>
        </w:rPr>
        <w:t>ואין נאמן לומר דרך היה לפלוני במקום הזה, מעמד ומספד היה לפלוני במקום הזה. מאי טעמא? אפוקי ממונא לא מפקינן.</w:t>
      </w:r>
      <w:r w:rsidRPr="00303906">
        <w:rPr>
          <w:rtl/>
        </w:rPr>
        <w:t xml:space="preserve"> </w:t>
      </w:r>
      <w:r w:rsidRPr="00303906">
        <w:rPr>
          <w:rFonts w:cs="Arial"/>
          <w:rtl/>
        </w:rPr>
        <w:t>תנו רבנן: נאמן התינוק</w:t>
      </w:r>
      <w:r>
        <w:rPr>
          <w:rStyle w:val="ab"/>
          <w:rFonts w:cs="Arial"/>
          <w:rtl/>
        </w:rPr>
        <w:footnoteReference w:id="2546"/>
      </w:r>
      <w:r w:rsidRPr="00303906">
        <w:rPr>
          <w:rFonts w:cs="Arial"/>
          <w:rtl/>
        </w:rPr>
        <w:t xml:space="preserve"> לומר, כך אמר לי אבא משפחה זו טהורה, משפחה זו טמאה</w:t>
      </w:r>
      <w:r>
        <w:rPr>
          <w:rFonts w:cs="Arial" w:hint="cs"/>
          <w:rtl/>
        </w:rPr>
        <w:t>.</w:t>
      </w:r>
      <w:r w:rsidRPr="00303906">
        <w:rPr>
          <w:rFonts w:cs="Arial"/>
          <w:rtl/>
        </w:rPr>
        <w:t xml:space="preserve"> טהורה וטמאה סלקא דעתך? אלא, משפחה זו כשרה ומשפחה זו פסולה, ושאכלנו בקצצה של בת פלוני לפלוני</w:t>
      </w:r>
      <w:r>
        <w:rPr>
          <w:rFonts w:cs="Arial" w:hint="cs"/>
          <w:rtl/>
        </w:rPr>
        <w:t>,</w:t>
      </w:r>
      <w:r w:rsidRPr="00840402">
        <w:rPr>
          <w:rFonts w:cs="Arial"/>
          <w:rtl/>
        </w:rPr>
        <w:t xml:space="preserve"> </w:t>
      </w:r>
      <w:r w:rsidRPr="00611A6F">
        <w:rPr>
          <w:rFonts w:cs="Arial"/>
          <w:rtl/>
        </w:rPr>
        <w:t>ושהיינו מוליכים חלה ומתנות לפלוני כהן על ידי עצמו</w:t>
      </w:r>
      <w:r>
        <w:rPr>
          <w:rStyle w:val="ab"/>
          <w:rFonts w:cs="Arial"/>
          <w:rtl/>
        </w:rPr>
        <w:footnoteReference w:id="2547"/>
      </w:r>
      <w:r w:rsidRPr="00611A6F">
        <w:rPr>
          <w:rFonts w:cs="Arial"/>
          <w:rtl/>
        </w:rPr>
        <w:t>, אבל לא על ידי אחר.</w:t>
      </w:r>
      <w:r w:rsidRPr="00303906">
        <w:rPr>
          <w:rFonts w:cs="Arial"/>
          <w:rtl/>
        </w:rPr>
        <w:t>.</w:t>
      </w:r>
      <w:r>
        <w:rPr>
          <w:rFonts w:cs="Arial" w:hint="cs"/>
          <w:rtl/>
        </w:rPr>
        <w:t>.</w:t>
      </w:r>
      <w:r w:rsidRPr="00303906">
        <w:rPr>
          <w:rFonts w:cs="Arial"/>
          <w:rtl/>
        </w:rPr>
        <w:t xml:space="preserve"> מאי קצצה? דתנו רבנן: כיצד קצצה? אחד מן האחין שנשא אשה שאינה הוגנת לו, באין בני משפחה ומביאין </w:t>
      </w:r>
      <w:r w:rsidRPr="00303906">
        <w:rPr>
          <w:rFonts w:cs="Arial"/>
          <w:rtl/>
        </w:rPr>
        <w:lastRenderedPageBreak/>
        <w:t>חבית מליאה פירות, ושוברין אותה באמצע רחבה, ואומרים: אחינו בית ישראל שמעו, אחינו פלוני נשא אשה שאינה הוגנת לו, ומתייראים אנו שמא יתערב זרעו בזרעינו, בואו וקחו לכם דוגמא לדורות שלא יתערב זרעו בזרעינו, וזו היא קצצה שהתינוק נאמן להעיד עליה. הדרן עלך האשה שנתארמלה.</w:t>
      </w:r>
    </w:p>
    <w:p w14:paraId="3F002F14" w14:textId="77777777" w:rsidR="004B607F" w:rsidRDefault="004B607F" w:rsidP="004B607F">
      <w:pPr>
        <w:rPr>
          <w:u w:val="single"/>
          <w:rtl/>
        </w:rPr>
      </w:pPr>
      <w:r>
        <w:rPr>
          <w:rFonts w:cs="Arial" w:hint="cs"/>
          <w:u w:val="single"/>
          <w:rtl/>
        </w:rPr>
        <w:t>ראה דבר</w:t>
      </w:r>
      <w:r w:rsidRPr="00732BF4">
        <w:rPr>
          <w:rFonts w:cs="Arial"/>
          <w:u w:val="single"/>
          <w:rtl/>
        </w:rPr>
        <w:t xml:space="preserve"> כשה</w:t>
      </w:r>
      <w:r>
        <w:rPr>
          <w:rFonts w:cs="Arial" w:hint="cs"/>
          <w:u w:val="single"/>
          <w:rtl/>
        </w:rPr>
        <w:t>יה</w:t>
      </w:r>
      <w:r w:rsidRPr="00732BF4">
        <w:rPr>
          <w:rFonts w:cs="Arial"/>
          <w:u w:val="single"/>
          <w:rtl/>
        </w:rPr>
        <w:t xml:space="preserve"> קטן</w:t>
      </w:r>
      <w:r w:rsidRPr="00732BF4">
        <w:rPr>
          <w:rFonts w:cs="Arial" w:hint="cs"/>
          <w:u w:val="single"/>
          <w:rtl/>
        </w:rPr>
        <w:t xml:space="preserve"> מהו שי</w:t>
      </w:r>
      <w:r w:rsidRPr="00732BF4">
        <w:rPr>
          <w:rFonts w:cs="Arial"/>
          <w:u w:val="single"/>
          <w:rtl/>
        </w:rPr>
        <w:t>עיד ב</w:t>
      </w:r>
      <w:r>
        <w:rPr>
          <w:rFonts w:cs="Arial" w:hint="cs"/>
          <w:u w:val="single"/>
          <w:rtl/>
        </w:rPr>
        <w:t>ז</w:t>
      </w:r>
      <w:r w:rsidRPr="00732BF4">
        <w:rPr>
          <w:rFonts w:cs="Arial"/>
          <w:u w:val="single"/>
          <w:rtl/>
        </w:rPr>
        <w:t>ה כשגדל</w:t>
      </w:r>
      <w:r>
        <w:rPr>
          <w:rFonts w:cs="Arial" w:hint="cs"/>
          <w:u w:val="single"/>
          <w:rtl/>
        </w:rPr>
        <w:t xml:space="preserve"> </w:t>
      </w:r>
      <w:r w:rsidRPr="00094049">
        <w:rPr>
          <w:rFonts w:cs="Arial"/>
          <w:u w:val="single"/>
          <w:rtl/>
        </w:rPr>
        <w:t>–</w:t>
      </w:r>
      <w:r w:rsidRPr="00094049">
        <w:rPr>
          <w:rFonts w:cs="Arial" w:hint="cs"/>
          <w:u w:val="single"/>
          <w:rtl/>
        </w:rPr>
        <w:t xml:space="preserve"> </w:t>
      </w:r>
      <w:r>
        <w:rPr>
          <w:rFonts w:cs="Arial" w:hint="cs"/>
          <w:u w:val="single"/>
          <w:rtl/>
        </w:rPr>
        <w:t xml:space="preserve">גבי </w:t>
      </w:r>
      <w:r w:rsidRPr="00094049">
        <w:rPr>
          <w:rFonts w:cs="Arial" w:hint="cs"/>
          <w:u w:val="single"/>
          <w:rtl/>
        </w:rPr>
        <w:t>עדות</w:t>
      </w:r>
      <w:r w:rsidRPr="00094049">
        <w:rPr>
          <w:rFonts w:hint="cs"/>
          <w:u w:val="single"/>
          <w:rtl/>
        </w:rPr>
        <w:t xml:space="preserve"> תחומין</w:t>
      </w:r>
      <w:r>
        <w:rPr>
          <w:rFonts w:hint="cs"/>
          <w:u w:val="single"/>
          <w:rtl/>
        </w:rPr>
        <w:t>:</w:t>
      </w:r>
    </w:p>
    <w:p w14:paraId="051AEA3C" w14:textId="77777777" w:rsidR="004B607F" w:rsidRPr="00571361" w:rsidRDefault="004B607F" w:rsidP="004B0475">
      <w:pPr>
        <w:pStyle w:val="ac"/>
        <w:numPr>
          <w:ilvl w:val="0"/>
          <w:numId w:val="201"/>
        </w:numPr>
        <w:rPr>
          <w:u w:val="single"/>
          <w:rtl/>
        </w:rPr>
      </w:pPr>
      <w:r w:rsidRPr="00571361">
        <w:rPr>
          <w:rFonts w:cs="Arial" w:hint="cs"/>
          <w:rtl/>
        </w:rPr>
        <w:t>טור-</w:t>
      </w:r>
      <w:r w:rsidRPr="00571361">
        <w:rPr>
          <w:rFonts w:cs="Arial"/>
          <w:rtl/>
        </w:rPr>
        <w:t xml:space="preserve"> יש דברים שמעיד עליהם בגדלו אע</w:t>
      </w:r>
      <w:r w:rsidRPr="00571361">
        <w:rPr>
          <w:rFonts w:cs="Arial" w:hint="cs"/>
          <w:rtl/>
        </w:rPr>
        <w:t>"</w:t>
      </w:r>
      <w:r w:rsidRPr="00571361">
        <w:rPr>
          <w:rFonts w:cs="Arial"/>
          <w:rtl/>
        </w:rPr>
        <w:t>פ שלא ראה אותם אלא בקטנותו</w:t>
      </w:r>
      <w:r w:rsidRPr="00571361">
        <w:rPr>
          <w:rFonts w:cs="Arial" w:hint="cs"/>
          <w:rtl/>
        </w:rPr>
        <w:t>...</w:t>
      </w:r>
      <w:r w:rsidRPr="00571361">
        <w:rPr>
          <w:rFonts w:cs="Arial"/>
          <w:rtl/>
        </w:rPr>
        <w:t xml:space="preserve"> וכן נאמן אפילו הוא לבדו לומר ע"כ תחום שבת</w:t>
      </w:r>
      <w:r w:rsidRPr="00571361">
        <w:rPr>
          <w:rFonts w:cs="Arial" w:hint="cs"/>
          <w:rtl/>
        </w:rPr>
        <w:t>,</w:t>
      </w:r>
      <w:r w:rsidRPr="00571361">
        <w:rPr>
          <w:rFonts w:cs="Arial"/>
          <w:rtl/>
        </w:rPr>
        <w:t xml:space="preserve"> כיון שתחומין דרבנן</w:t>
      </w:r>
      <w:r>
        <w:rPr>
          <w:rStyle w:val="ab"/>
          <w:rFonts w:cs="Arial"/>
          <w:rtl/>
        </w:rPr>
        <w:footnoteReference w:id="2548"/>
      </w:r>
      <w:r w:rsidRPr="00571361">
        <w:rPr>
          <w:rFonts w:cs="Arial" w:hint="cs"/>
          <w:rtl/>
        </w:rPr>
        <w:t>.</w:t>
      </w:r>
      <w:r w:rsidRPr="00571361">
        <w:rPr>
          <w:rFonts w:cs="Arial"/>
          <w:rtl/>
        </w:rPr>
        <w:t xml:space="preserve"> </w:t>
      </w:r>
      <w:r w:rsidRPr="00571361">
        <w:rPr>
          <w:rFonts w:cs="Arial" w:hint="cs"/>
          <w:color w:val="E36C0A" w:themeColor="accent6" w:themeShade="BF"/>
          <w:rtl/>
        </w:rPr>
        <w:t>(וכ"פ בשו"ע)</w:t>
      </w:r>
      <w:r w:rsidRPr="00571361">
        <w:rPr>
          <w:rFonts w:cs="Arial" w:hint="cs"/>
          <w:rtl/>
        </w:rPr>
        <w:t xml:space="preserve"> </w:t>
      </w:r>
      <w:r w:rsidRPr="00571361">
        <w:rPr>
          <w:rFonts w:cs="Arial" w:hint="cs"/>
          <w:color w:val="00B0F0"/>
          <w:rtl/>
        </w:rPr>
        <w:t>(וכ"פ הרמ"א)</w:t>
      </w:r>
    </w:p>
    <w:p w14:paraId="7498BCB6" w14:textId="77777777" w:rsidR="004B607F" w:rsidRDefault="004B607F" w:rsidP="004B607F">
      <w:pPr>
        <w:rPr>
          <w:rFonts w:cs="Arial"/>
          <w:u w:val="single"/>
          <w:rtl/>
        </w:rPr>
      </w:pPr>
      <w:r w:rsidRPr="00571361">
        <w:rPr>
          <w:rFonts w:cs="Arial" w:hint="cs"/>
          <w:u w:val="single"/>
          <w:rtl/>
        </w:rPr>
        <w:t>הא ד</w:t>
      </w:r>
      <w:r w:rsidRPr="00571361">
        <w:rPr>
          <w:rFonts w:cs="Arial"/>
          <w:u w:val="single"/>
          <w:rtl/>
        </w:rPr>
        <w:t>ת</w:t>
      </w:r>
      <w:r w:rsidRPr="00571361">
        <w:rPr>
          <w:rFonts w:cs="Arial" w:hint="cs"/>
          <w:u w:val="single"/>
          <w:rtl/>
        </w:rPr>
        <w:t>"ר</w:t>
      </w:r>
      <w:r w:rsidRPr="00571361">
        <w:rPr>
          <w:rFonts w:cs="Arial"/>
          <w:u w:val="single"/>
          <w:rtl/>
        </w:rPr>
        <w:t xml:space="preserve"> </w:t>
      </w:r>
      <w:r w:rsidRPr="00571361">
        <w:rPr>
          <w:rFonts w:cs="Arial" w:hint="cs"/>
          <w:u w:val="single"/>
          <w:rtl/>
        </w:rPr>
        <w:t>'</w:t>
      </w:r>
      <w:r w:rsidRPr="00571361">
        <w:rPr>
          <w:rFonts w:cs="Arial"/>
          <w:u w:val="single"/>
          <w:rtl/>
        </w:rPr>
        <w:t xml:space="preserve">נאמן התינוק לומר </w:t>
      </w:r>
      <w:r w:rsidRPr="00571361">
        <w:rPr>
          <w:rFonts w:cs="Arial" w:hint="cs"/>
          <w:u w:val="single"/>
          <w:rtl/>
        </w:rPr>
        <w:t>'</w:t>
      </w:r>
      <w:r w:rsidRPr="00571361">
        <w:rPr>
          <w:rFonts w:cs="Arial"/>
          <w:u w:val="single"/>
          <w:rtl/>
        </w:rPr>
        <w:t>כך אמר לי אבא משפחה זו כשרה ומשפחה זו פסולה</w:t>
      </w:r>
      <w:r w:rsidRPr="00571361">
        <w:rPr>
          <w:rFonts w:cs="Arial" w:hint="cs"/>
          <w:u w:val="single"/>
          <w:rtl/>
        </w:rPr>
        <w:t>'</w:t>
      </w:r>
      <w:r w:rsidRPr="00571361">
        <w:rPr>
          <w:rFonts w:cs="Arial"/>
          <w:u w:val="single"/>
          <w:rtl/>
        </w:rPr>
        <w:t>, ו</w:t>
      </w:r>
      <w:r>
        <w:rPr>
          <w:rFonts w:cs="Arial" w:hint="cs"/>
          <w:u w:val="single"/>
          <w:rtl/>
        </w:rPr>
        <w:t>-'</w:t>
      </w:r>
      <w:r w:rsidRPr="00571361">
        <w:rPr>
          <w:rFonts w:cs="Arial"/>
          <w:u w:val="single"/>
          <w:rtl/>
        </w:rPr>
        <w:t>שאכלנו בקצצה</w:t>
      </w:r>
      <w:r w:rsidRPr="00571361">
        <w:rPr>
          <w:rFonts w:cs="Arial" w:hint="cs"/>
          <w:u w:val="single"/>
          <w:rtl/>
        </w:rPr>
        <w:t>...'</w:t>
      </w:r>
      <w:r>
        <w:rPr>
          <w:rFonts w:cs="Arial" w:hint="cs"/>
          <w:u w:val="single"/>
          <w:rtl/>
        </w:rPr>
        <w:t xml:space="preserve"> </w:t>
      </w:r>
      <w:r>
        <w:rPr>
          <w:rFonts w:cs="Arial"/>
          <w:u w:val="single"/>
          <w:rtl/>
        </w:rPr>
        <w:t>–</w:t>
      </w:r>
      <w:r>
        <w:rPr>
          <w:rFonts w:cs="Arial" w:hint="cs"/>
          <w:u w:val="single"/>
          <w:rtl/>
        </w:rPr>
        <w:t xml:space="preserve"> כיצד</w:t>
      </w:r>
      <w:r w:rsidRPr="00571361">
        <w:rPr>
          <w:rFonts w:cs="Arial" w:hint="cs"/>
          <w:u w:val="single"/>
          <w:rtl/>
        </w:rPr>
        <w:t>:</w:t>
      </w:r>
    </w:p>
    <w:p w14:paraId="228C85CF" w14:textId="77777777" w:rsidR="004B607F" w:rsidRPr="00732BF4" w:rsidRDefault="004B607F" w:rsidP="004B0475">
      <w:pPr>
        <w:pStyle w:val="ac"/>
        <w:numPr>
          <w:ilvl w:val="0"/>
          <w:numId w:val="100"/>
        </w:numPr>
        <w:rPr>
          <w:rFonts w:cs="Arial"/>
          <w:rtl/>
        </w:rPr>
      </w:pPr>
      <w:r w:rsidRPr="00732BF4">
        <w:rPr>
          <w:rFonts w:cs="Arial" w:hint="cs"/>
          <w:rtl/>
        </w:rPr>
        <w:t>טור</w:t>
      </w:r>
      <w:r>
        <w:rPr>
          <w:rFonts w:cs="Arial" w:hint="cs"/>
          <w:sz w:val="16"/>
          <w:szCs w:val="16"/>
          <w:rtl/>
        </w:rPr>
        <w:t xml:space="preserve"> (להב' הב"י)</w:t>
      </w:r>
      <w:r w:rsidRPr="00732BF4">
        <w:rPr>
          <w:rFonts w:cs="Arial" w:hint="cs"/>
          <w:rtl/>
        </w:rPr>
        <w:t>-</w:t>
      </w:r>
      <w:r w:rsidRPr="00732BF4">
        <w:rPr>
          <w:rFonts w:cs="Arial"/>
          <w:rtl/>
        </w:rPr>
        <w:t xml:space="preserve"> יש דברים שמעיד עליהם </w:t>
      </w:r>
      <w:r w:rsidRPr="00571361">
        <w:rPr>
          <w:rFonts w:cs="Arial"/>
          <w:b/>
          <w:bCs/>
          <w:rtl/>
        </w:rPr>
        <w:t>בגדלו</w:t>
      </w:r>
      <w:r w:rsidRPr="00732BF4">
        <w:rPr>
          <w:rFonts w:cs="Arial"/>
          <w:rtl/>
        </w:rPr>
        <w:t xml:space="preserve"> אע</w:t>
      </w:r>
      <w:r>
        <w:rPr>
          <w:rFonts w:cs="Arial" w:hint="cs"/>
          <w:rtl/>
        </w:rPr>
        <w:t>"</w:t>
      </w:r>
      <w:r w:rsidRPr="00732BF4">
        <w:rPr>
          <w:rFonts w:cs="Arial"/>
          <w:rtl/>
        </w:rPr>
        <w:t>פ שלא ראה אותם אלא בקטנותו</w:t>
      </w:r>
      <w:r>
        <w:rPr>
          <w:rFonts w:cs="Arial" w:hint="cs"/>
          <w:rtl/>
        </w:rPr>
        <w:t>...</w:t>
      </w:r>
      <w:r w:rsidRPr="00732BF4">
        <w:rPr>
          <w:rFonts w:cs="Arial"/>
          <w:rtl/>
        </w:rPr>
        <w:t xml:space="preserve"> וכן נאמן אפילו הוא לבדו לומר</w:t>
      </w:r>
      <w:r>
        <w:rPr>
          <w:rFonts w:cs="Arial" w:hint="cs"/>
          <w:rtl/>
        </w:rPr>
        <w:t>...</w:t>
      </w:r>
      <w:r w:rsidRPr="00732BF4">
        <w:rPr>
          <w:rFonts w:cs="Arial"/>
          <w:rtl/>
        </w:rPr>
        <w:t xml:space="preserve"> שאמר לו אביו </w:t>
      </w:r>
      <w:r>
        <w:rPr>
          <w:rFonts w:cs="Arial" w:hint="cs"/>
          <w:rtl/>
        </w:rPr>
        <w:t>'</w:t>
      </w:r>
      <w:r w:rsidRPr="00732BF4">
        <w:rPr>
          <w:rFonts w:cs="Arial"/>
          <w:rtl/>
        </w:rPr>
        <w:t>משפחה זו כשירה</w:t>
      </w:r>
      <w:r>
        <w:rPr>
          <w:rFonts w:cs="Arial" w:hint="cs"/>
          <w:rtl/>
        </w:rPr>
        <w:t>'</w:t>
      </w:r>
      <w:r w:rsidRPr="00732BF4">
        <w:rPr>
          <w:rFonts w:cs="Arial"/>
          <w:rtl/>
        </w:rPr>
        <w:t xml:space="preserve"> או </w:t>
      </w:r>
      <w:r>
        <w:rPr>
          <w:rFonts w:cs="Arial" w:hint="cs"/>
          <w:rtl/>
        </w:rPr>
        <w:t>'</w:t>
      </w:r>
      <w:r w:rsidRPr="00732BF4">
        <w:rPr>
          <w:rFonts w:cs="Arial"/>
          <w:rtl/>
        </w:rPr>
        <w:t>פסולה</w:t>
      </w:r>
      <w:r>
        <w:rPr>
          <w:rFonts w:cs="Arial" w:hint="cs"/>
          <w:rtl/>
        </w:rPr>
        <w:t>',</w:t>
      </w:r>
      <w:r w:rsidRPr="00732BF4">
        <w:rPr>
          <w:rFonts w:cs="Arial"/>
          <w:rtl/>
        </w:rPr>
        <w:t xml:space="preserve"> ושאכלנו בקצצה של פלוני שהאכילנו להודיע שאחיהם נשא אשה שאינה הוגנת לו</w:t>
      </w:r>
      <w:r>
        <w:rPr>
          <w:rStyle w:val="ab"/>
          <w:rFonts w:cs="Arial"/>
          <w:rtl/>
        </w:rPr>
        <w:footnoteReference w:id="2549"/>
      </w:r>
      <w:r w:rsidRPr="00732BF4">
        <w:rPr>
          <w:rFonts w:cs="Arial" w:hint="cs"/>
          <w:rtl/>
        </w:rPr>
        <w:t>.</w:t>
      </w:r>
      <w:r w:rsidRPr="00DF768C">
        <w:rPr>
          <w:rFonts w:cs="Arial"/>
          <w:rtl/>
        </w:rPr>
        <w:t xml:space="preserve"> </w:t>
      </w:r>
      <w:r w:rsidRPr="00732BF4">
        <w:rPr>
          <w:rFonts w:cs="Arial" w:hint="cs"/>
          <w:color w:val="E36C0A" w:themeColor="accent6" w:themeShade="BF"/>
          <w:rtl/>
        </w:rPr>
        <w:t>(וכ"פ בשו"ע</w:t>
      </w:r>
      <w:r>
        <w:rPr>
          <w:rStyle w:val="ab"/>
          <w:rFonts w:cs="Arial"/>
          <w:rtl/>
        </w:rPr>
        <w:footnoteReference w:id="2550"/>
      </w:r>
      <w:r w:rsidRPr="00732BF4">
        <w:rPr>
          <w:rFonts w:cs="Arial" w:hint="cs"/>
          <w:color w:val="E36C0A" w:themeColor="accent6" w:themeShade="BF"/>
          <w:rtl/>
        </w:rPr>
        <w:t>)</w:t>
      </w:r>
      <w:r>
        <w:rPr>
          <w:rFonts w:cs="Arial" w:hint="cs"/>
          <w:rtl/>
        </w:rPr>
        <w:t xml:space="preserve"> </w:t>
      </w:r>
      <w:r w:rsidRPr="0004046F">
        <w:rPr>
          <w:rFonts w:cs="Arial" w:hint="cs"/>
          <w:color w:val="00B0F0"/>
          <w:rtl/>
        </w:rPr>
        <w:t>(וכ"פ הרמ"א)</w:t>
      </w:r>
    </w:p>
    <w:p w14:paraId="03F61B10" w14:textId="77777777" w:rsidR="004B607F" w:rsidRPr="00DF768C" w:rsidRDefault="004B607F" w:rsidP="004B0475">
      <w:pPr>
        <w:pStyle w:val="ac"/>
        <w:numPr>
          <w:ilvl w:val="0"/>
          <w:numId w:val="99"/>
        </w:numPr>
        <w:rPr>
          <w:rFonts w:cs="Arial"/>
          <w:rtl/>
        </w:rPr>
      </w:pPr>
      <w:r w:rsidRPr="00DF768C">
        <w:rPr>
          <w:rFonts w:cs="Arial"/>
          <w:rtl/>
        </w:rPr>
        <w:t>ראב"ד</w:t>
      </w:r>
      <w:r w:rsidRPr="00DF768C">
        <w:rPr>
          <w:rFonts w:cs="Arial"/>
          <w:sz w:val="16"/>
          <w:szCs w:val="16"/>
          <w:rtl/>
        </w:rPr>
        <w:t xml:space="preserve"> </w:t>
      </w:r>
      <w:r w:rsidRPr="00DF768C">
        <w:rPr>
          <w:rFonts w:cs="Arial" w:hint="cs"/>
          <w:sz w:val="16"/>
          <w:szCs w:val="16"/>
          <w:rtl/>
        </w:rPr>
        <w:t>(כ"כ הר"ן בשמו)</w:t>
      </w:r>
      <w:r w:rsidRPr="00DF768C">
        <w:rPr>
          <w:rFonts w:cs="Arial" w:hint="cs"/>
          <w:rtl/>
        </w:rPr>
        <w:t xml:space="preserve">- </w:t>
      </w:r>
      <w:r w:rsidRPr="00DF768C">
        <w:rPr>
          <w:rFonts w:cs="Arial"/>
          <w:rtl/>
        </w:rPr>
        <w:t xml:space="preserve">הנך דברייתא אפילו </w:t>
      </w:r>
      <w:r w:rsidRPr="00571361">
        <w:rPr>
          <w:rFonts w:cs="Arial"/>
          <w:b/>
          <w:bCs/>
          <w:rtl/>
        </w:rPr>
        <w:t>כשהוא קטן</w:t>
      </w:r>
      <w:r w:rsidRPr="00DF768C">
        <w:rPr>
          <w:rFonts w:cs="Arial"/>
          <w:rtl/>
        </w:rPr>
        <w:t xml:space="preserve"> ואע</w:t>
      </w:r>
      <w:r>
        <w:rPr>
          <w:rFonts w:cs="Arial" w:hint="cs"/>
          <w:rtl/>
        </w:rPr>
        <w:t>"</w:t>
      </w:r>
      <w:r w:rsidRPr="00DF768C">
        <w:rPr>
          <w:rFonts w:cs="Arial"/>
          <w:rtl/>
        </w:rPr>
        <w:t>פ שאין גדול עמו</w:t>
      </w:r>
      <w:r>
        <w:rPr>
          <w:rFonts w:cs="Arial" w:hint="cs"/>
          <w:rtl/>
        </w:rPr>
        <w:t>,</w:t>
      </w:r>
      <w:r w:rsidRPr="00DF768C">
        <w:rPr>
          <w:rFonts w:cs="Arial"/>
          <w:rtl/>
        </w:rPr>
        <w:t xml:space="preserve"> משום דאית להו קלא יתירא ומפרסמא ליה מלתא ולא מחלפא ליה</w:t>
      </w:r>
      <w:r>
        <w:rPr>
          <w:rFonts w:cs="Arial" w:hint="cs"/>
          <w:rtl/>
        </w:rPr>
        <w:t>.</w:t>
      </w:r>
      <w:r w:rsidRPr="00DF768C">
        <w:rPr>
          <w:rFonts w:cs="Arial"/>
          <w:rtl/>
        </w:rPr>
        <w:t xml:space="preserve"> ומשפחה זו פסולה</w:t>
      </w:r>
      <w:r>
        <w:rPr>
          <w:rFonts w:cs="Arial" w:hint="cs"/>
          <w:rtl/>
        </w:rPr>
        <w:t>,</w:t>
      </w:r>
      <w:r w:rsidRPr="00DF768C">
        <w:rPr>
          <w:rFonts w:cs="Arial"/>
          <w:rtl/>
        </w:rPr>
        <w:t xml:space="preserve"> אי הוו תרי </w:t>
      </w:r>
      <w:r>
        <w:rPr>
          <w:rFonts w:cs="Arial" w:hint="cs"/>
          <w:rtl/>
        </w:rPr>
        <w:t xml:space="preserve">- </w:t>
      </w:r>
      <w:r w:rsidRPr="00DF768C">
        <w:rPr>
          <w:rFonts w:cs="Arial"/>
          <w:rtl/>
        </w:rPr>
        <w:t>פסלי לה אפומייהו</w:t>
      </w:r>
      <w:r>
        <w:rPr>
          <w:rFonts w:cs="Arial" w:hint="cs"/>
          <w:rtl/>
        </w:rPr>
        <w:t>,</w:t>
      </w:r>
      <w:r w:rsidRPr="00DF768C">
        <w:rPr>
          <w:rFonts w:cs="Arial"/>
          <w:rtl/>
        </w:rPr>
        <w:t xml:space="preserve"> ואי חד הוא </w:t>
      </w:r>
      <w:r>
        <w:rPr>
          <w:rFonts w:cs="Arial" w:hint="cs"/>
          <w:rtl/>
        </w:rPr>
        <w:t xml:space="preserve">- </w:t>
      </w:r>
      <w:r w:rsidRPr="00DF768C">
        <w:rPr>
          <w:rFonts w:cs="Arial"/>
          <w:rtl/>
        </w:rPr>
        <w:t>חיישינן ליה ולא מכרזינן עלה</w:t>
      </w:r>
      <w:r>
        <w:rPr>
          <w:rFonts w:cs="Arial" w:hint="cs"/>
          <w:rtl/>
        </w:rPr>
        <w:t>.</w:t>
      </w:r>
      <w:r w:rsidRPr="00DF768C">
        <w:rPr>
          <w:rFonts w:cs="Arial"/>
          <w:rtl/>
        </w:rPr>
        <w:t xml:space="preserve"> ומשפחה זו כשרה</w:t>
      </w:r>
      <w:r>
        <w:rPr>
          <w:rFonts w:cs="Arial" w:hint="cs"/>
          <w:rtl/>
        </w:rPr>
        <w:t>,</w:t>
      </w:r>
      <w:r w:rsidRPr="00DF768C">
        <w:rPr>
          <w:rFonts w:cs="Arial"/>
          <w:rtl/>
        </w:rPr>
        <w:t xml:space="preserve"> אי תרי נינהו </w:t>
      </w:r>
      <w:r>
        <w:rPr>
          <w:rFonts w:cs="Arial" w:hint="cs"/>
          <w:rtl/>
        </w:rPr>
        <w:t xml:space="preserve">- </w:t>
      </w:r>
      <w:r w:rsidRPr="00DF768C">
        <w:rPr>
          <w:rFonts w:cs="Arial"/>
          <w:rtl/>
        </w:rPr>
        <w:t>מכשרינן לה אפומייהו ואע</w:t>
      </w:r>
      <w:r>
        <w:rPr>
          <w:rFonts w:cs="Arial" w:hint="cs"/>
          <w:rtl/>
        </w:rPr>
        <w:t>"</w:t>
      </w:r>
      <w:r w:rsidRPr="00DF768C">
        <w:rPr>
          <w:rFonts w:cs="Arial"/>
          <w:rtl/>
        </w:rPr>
        <w:t>ג דהוות קיימא בחזקת פסלות</w:t>
      </w:r>
      <w:r>
        <w:rPr>
          <w:rFonts w:cs="Arial" w:hint="cs"/>
          <w:rtl/>
        </w:rPr>
        <w:t>.</w:t>
      </w:r>
      <w:r w:rsidRPr="00DF768C">
        <w:rPr>
          <w:rFonts w:cs="Arial"/>
          <w:rtl/>
        </w:rPr>
        <w:t xml:space="preserve"> וכן שאכלנו בקצצה של בת פלוני</w:t>
      </w:r>
      <w:r>
        <w:rPr>
          <w:rFonts w:cs="Arial" w:hint="cs"/>
          <w:rtl/>
        </w:rPr>
        <w:t>,</w:t>
      </w:r>
      <w:r w:rsidRPr="00DF768C">
        <w:rPr>
          <w:rFonts w:cs="Arial"/>
          <w:rtl/>
        </w:rPr>
        <w:t xml:space="preserve"> דאי תרי נינהו </w:t>
      </w:r>
      <w:r>
        <w:rPr>
          <w:rFonts w:cs="Arial" w:hint="cs"/>
          <w:rtl/>
        </w:rPr>
        <w:t xml:space="preserve">- </w:t>
      </w:r>
      <w:r w:rsidRPr="00DF768C">
        <w:rPr>
          <w:rFonts w:cs="Arial"/>
          <w:rtl/>
        </w:rPr>
        <w:t>פסלינן לזרעא אפומייהו</w:t>
      </w:r>
      <w:r>
        <w:rPr>
          <w:rFonts w:cs="Arial" w:hint="cs"/>
          <w:rtl/>
        </w:rPr>
        <w:t>,</w:t>
      </w:r>
      <w:r w:rsidRPr="00DF768C">
        <w:rPr>
          <w:rFonts w:cs="Arial"/>
          <w:rtl/>
        </w:rPr>
        <w:t xml:space="preserve"> ואי חד הוא </w:t>
      </w:r>
      <w:r>
        <w:rPr>
          <w:rFonts w:cs="Arial" w:hint="cs"/>
          <w:rtl/>
        </w:rPr>
        <w:t xml:space="preserve">- </w:t>
      </w:r>
      <w:r w:rsidRPr="00DF768C">
        <w:rPr>
          <w:rFonts w:cs="Arial"/>
          <w:rtl/>
        </w:rPr>
        <w:t>חיישינן לה</w:t>
      </w:r>
      <w:r w:rsidRPr="00DF768C">
        <w:rPr>
          <w:rFonts w:cs="Arial" w:hint="cs"/>
          <w:rtl/>
        </w:rPr>
        <w:t>.</w:t>
      </w:r>
    </w:p>
    <w:p w14:paraId="1378E585" w14:textId="77777777" w:rsidR="004B607F" w:rsidRPr="006B2553" w:rsidRDefault="004B607F" w:rsidP="004B0475">
      <w:pPr>
        <w:pStyle w:val="ac"/>
        <w:numPr>
          <w:ilvl w:val="0"/>
          <w:numId w:val="99"/>
        </w:numPr>
        <w:rPr>
          <w:rFonts w:cs="Arial"/>
          <w:rtl/>
        </w:rPr>
      </w:pPr>
      <w:r w:rsidRPr="00DF768C">
        <w:rPr>
          <w:rFonts w:cs="Arial"/>
          <w:rtl/>
        </w:rPr>
        <w:t xml:space="preserve">ר"ן </w:t>
      </w:r>
      <w:r w:rsidRPr="00DF768C">
        <w:rPr>
          <w:rFonts w:cs="Arial"/>
          <w:sz w:val="16"/>
          <w:szCs w:val="16"/>
          <w:rtl/>
        </w:rPr>
        <w:t>(יג. ד"ה כיון)</w:t>
      </w:r>
      <w:r w:rsidRPr="00DF768C">
        <w:rPr>
          <w:rFonts w:cs="Arial" w:hint="cs"/>
          <w:rtl/>
        </w:rPr>
        <w:t xml:space="preserve">- </w:t>
      </w:r>
      <w:r>
        <w:rPr>
          <w:rStyle w:val="ab"/>
          <w:rFonts w:cs="Arial"/>
          <w:rtl/>
        </w:rPr>
        <w:footnoteReference w:id="2551"/>
      </w:r>
      <w:r w:rsidRPr="00DF768C">
        <w:rPr>
          <w:rFonts w:cs="Arial"/>
          <w:rtl/>
        </w:rPr>
        <w:t xml:space="preserve">כי אמר </w:t>
      </w:r>
      <w:r>
        <w:rPr>
          <w:rFonts w:cs="Arial" w:hint="cs"/>
          <w:rtl/>
        </w:rPr>
        <w:t>'</w:t>
      </w:r>
      <w:r w:rsidRPr="00DF768C">
        <w:rPr>
          <w:rFonts w:cs="Arial"/>
          <w:rtl/>
        </w:rPr>
        <w:t>נאמן תינוק לומר כך אמר לי אבא משפחה זו פסולה או משפחה זו כשירה</w:t>
      </w:r>
      <w:r>
        <w:rPr>
          <w:rFonts w:cs="Arial" w:hint="cs"/>
          <w:rtl/>
        </w:rPr>
        <w:t>' -</w:t>
      </w:r>
      <w:r w:rsidRPr="00DF768C">
        <w:rPr>
          <w:rFonts w:cs="Arial"/>
          <w:rtl/>
        </w:rPr>
        <w:t xml:space="preserve"> מיירי במשפחת כהנים שיצא עליה חשש פיסול כהונה</w:t>
      </w:r>
      <w:r>
        <w:rPr>
          <w:rFonts w:cs="Arial" w:hint="cs"/>
          <w:rtl/>
        </w:rPr>
        <w:t>,</w:t>
      </w:r>
      <w:r w:rsidRPr="00DF768C">
        <w:rPr>
          <w:rFonts w:cs="Arial"/>
          <w:rtl/>
        </w:rPr>
        <w:t xml:space="preserve"> ואותה משפחה נחלקה לבתי אבות</w:t>
      </w:r>
      <w:r>
        <w:rPr>
          <w:rFonts w:cs="Arial" w:hint="cs"/>
          <w:rtl/>
        </w:rPr>
        <w:t>,</w:t>
      </w:r>
      <w:r w:rsidRPr="00DF768C">
        <w:rPr>
          <w:rFonts w:cs="Arial"/>
          <w:rtl/>
        </w:rPr>
        <w:t xml:space="preserve"> וקאמר שנאמן התינוק להכשיר משפחת בית אב אחד ממנה</w:t>
      </w:r>
      <w:r>
        <w:rPr>
          <w:rFonts w:cs="Arial" w:hint="cs"/>
          <w:rtl/>
        </w:rPr>
        <w:t>,</w:t>
      </w:r>
      <w:r w:rsidRPr="00DF768C">
        <w:rPr>
          <w:rFonts w:cs="Arial"/>
          <w:rtl/>
        </w:rPr>
        <w:t xml:space="preserve"> שיעיד ויאמר </w:t>
      </w:r>
      <w:r>
        <w:rPr>
          <w:rFonts w:cs="Arial" w:hint="cs"/>
          <w:rtl/>
        </w:rPr>
        <w:t>'</w:t>
      </w:r>
      <w:r w:rsidRPr="00DF768C">
        <w:rPr>
          <w:rFonts w:cs="Arial"/>
          <w:rtl/>
        </w:rPr>
        <w:t>אותו חשש פיסול על משפחת בית אב פלוני הוא ולא על משפחת בית אב פלוני</w:t>
      </w:r>
      <w:r>
        <w:rPr>
          <w:rFonts w:cs="Arial" w:hint="cs"/>
          <w:rtl/>
        </w:rPr>
        <w:t>'</w:t>
      </w:r>
      <w:r>
        <w:rPr>
          <w:rStyle w:val="ab"/>
          <w:rFonts w:cs="Arial"/>
          <w:rtl/>
        </w:rPr>
        <w:footnoteReference w:id="2552"/>
      </w:r>
      <w:r>
        <w:rPr>
          <w:rFonts w:cs="Arial" w:hint="cs"/>
          <w:rtl/>
        </w:rPr>
        <w:t>...</w:t>
      </w:r>
      <w:r w:rsidRPr="00DF768C">
        <w:rPr>
          <w:rFonts w:cs="Arial"/>
          <w:rtl/>
        </w:rPr>
        <w:t xml:space="preserve"> וסומכין על עדות זו להאכיל אותו</w:t>
      </w:r>
      <w:r>
        <w:rPr>
          <w:rFonts w:cs="Arial" w:hint="cs"/>
          <w:rtl/>
        </w:rPr>
        <w:t>,</w:t>
      </w:r>
      <w:r w:rsidRPr="00DF768C">
        <w:rPr>
          <w:rFonts w:cs="Arial"/>
          <w:rtl/>
        </w:rPr>
        <w:t xml:space="preserve"> שהוא מכשיר תרומה דרבנן</w:t>
      </w:r>
      <w:r>
        <w:rPr>
          <w:rStyle w:val="ab"/>
          <w:rFonts w:cs="Arial"/>
          <w:rtl/>
        </w:rPr>
        <w:footnoteReference w:id="2553"/>
      </w:r>
      <w:r>
        <w:rPr>
          <w:rFonts w:cs="Arial" w:hint="cs"/>
          <w:rtl/>
        </w:rPr>
        <w:t>.</w:t>
      </w:r>
    </w:p>
    <w:p w14:paraId="2009D558" w14:textId="77777777" w:rsidR="004B607F" w:rsidRPr="003024E5" w:rsidRDefault="004B607F" w:rsidP="004B607F">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344A4306" w14:textId="77777777" w:rsidR="004B607F" w:rsidRDefault="004B607F" w:rsidP="004B607F">
      <w:pPr>
        <w:rPr>
          <w:rtl/>
        </w:rPr>
      </w:pPr>
      <w:r>
        <w:rPr>
          <w:rFonts w:cs="Arial"/>
          <w:rtl/>
        </w:rPr>
        <w:t>ונאמן לומר</w:t>
      </w:r>
      <w:r w:rsidRPr="005376BD">
        <w:rPr>
          <w:rFonts w:cs="Arial"/>
          <w:sz w:val="18"/>
          <w:szCs w:val="18"/>
          <w:rtl/>
        </w:rPr>
        <w:t xml:space="preserve"> </w:t>
      </w:r>
      <w:r w:rsidRPr="005376BD">
        <w:rPr>
          <w:rFonts w:cs="Arial" w:hint="cs"/>
          <w:sz w:val="18"/>
          <w:szCs w:val="18"/>
          <w:rtl/>
        </w:rPr>
        <w:t xml:space="preserve">[הגה] </w:t>
      </w:r>
      <w:r w:rsidRPr="005376BD">
        <w:rPr>
          <w:rFonts w:cs="Arial"/>
          <w:sz w:val="18"/>
          <w:szCs w:val="18"/>
          <w:rtl/>
        </w:rPr>
        <w:t>אפילו הוא לבדו (טור)</w:t>
      </w:r>
      <w:r>
        <w:rPr>
          <w:rFonts w:cs="Arial"/>
          <w:rtl/>
        </w:rPr>
        <w:t xml:space="preserve"> עד כאן היינו באים בשבת </w:t>
      </w:r>
      <w:r>
        <w:rPr>
          <w:rStyle w:val="ab"/>
          <w:rFonts w:cs="Arial"/>
          <w:rtl/>
        </w:rPr>
        <w:footnoteReference w:id="2554"/>
      </w:r>
      <w:r>
        <w:rPr>
          <w:rFonts w:cs="Arial" w:hint="cs"/>
          <w:rtl/>
        </w:rPr>
        <w:t>[</w:t>
      </w:r>
      <w:r>
        <w:rPr>
          <w:rFonts w:cs="Arial"/>
          <w:rtl/>
        </w:rPr>
        <w:t>כיון שתחומים דרבנן</w:t>
      </w:r>
      <w:r>
        <w:rPr>
          <w:rStyle w:val="ab"/>
          <w:rFonts w:cs="Arial"/>
          <w:rtl/>
        </w:rPr>
        <w:footnoteReference w:id="2555"/>
      </w:r>
      <w:r>
        <w:rPr>
          <w:rFonts w:cs="Arial"/>
          <w:rtl/>
        </w:rPr>
        <w:t xml:space="preserve">. </w:t>
      </w:r>
      <w:r w:rsidRPr="0059549F">
        <w:rPr>
          <w:rFonts w:cs="Arial" w:hint="cs"/>
          <w:sz w:val="18"/>
          <w:szCs w:val="18"/>
          <w:rtl/>
        </w:rPr>
        <w:t>(</w:t>
      </w:r>
      <w:r w:rsidRPr="0059549F">
        <w:rPr>
          <w:rFonts w:cs="Arial"/>
          <w:sz w:val="18"/>
          <w:szCs w:val="18"/>
          <w:rtl/>
        </w:rPr>
        <w:t>וה</w:t>
      </w:r>
      <w:r w:rsidRPr="0059549F">
        <w:rPr>
          <w:rFonts w:cs="Arial" w:hint="cs"/>
          <w:sz w:val="18"/>
          <w:szCs w:val="18"/>
          <w:rtl/>
        </w:rPr>
        <w:t xml:space="preserve">וא </w:t>
      </w:r>
      <w:r w:rsidRPr="0059549F">
        <w:rPr>
          <w:rFonts w:cs="Arial"/>
          <w:sz w:val="18"/>
          <w:szCs w:val="18"/>
          <w:rtl/>
        </w:rPr>
        <w:t>ה</w:t>
      </w:r>
      <w:r w:rsidRPr="0059549F">
        <w:rPr>
          <w:rFonts w:cs="Arial" w:hint="cs"/>
          <w:sz w:val="18"/>
          <w:szCs w:val="18"/>
          <w:rtl/>
        </w:rPr>
        <w:t>דין</w:t>
      </w:r>
      <w:r w:rsidRPr="0059549F">
        <w:rPr>
          <w:rFonts w:cs="Arial"/>
          <w:sz w:val="18"/>
          <w:szCs w:val="18"/>
          <w:rtl/>
        </w:rPr>
        <w:t xml:space="preserve"> בשאר איסורי דרבנן</w:t>
      </w:r>
      <w:r>
        <w:rPr>
          <w:rStyle w:val="ab"/>
          <w:rFonts w:cs="Arial"/>
          <w:sz w:val="18"/>
          <w:szCs w:val="18"/>
          <w:rtl/>
        </w:rPr>
        <w:footnoteReference w:id="2556"/>
      </w:r>
      <w:r>
        <w:rPr>
          <w:rFonts w:cs="Arial" w:hint="cs"/>
          <w:sz w:val="18"/>
          <w:szCs w:val="18"/>
          <w:rtl/>
        </w:rPr>
        <w:t>)</w:t>
      </w:r>
      <w:r w:rsidRPr="0059549F">
        <w:rPr>
          <w:rFonts w:cs="Arial" w:hint="cs"/>
          <w:sz w:val="18"/>
          <w:szCs w:val="18"/>
          <w:rtl/>
        </w:rPr>
        <w:t xml:space="preserve"> </w:t>
      </w:r>
      <w:r w:rsidRPr="0059549F">
        <w:rPr>
          <w:rFonts w:cs="Arial"/>
          <w:sz w:val="18"/>
          <w:szCs w:val="18"/>
          <w:rtl/>
        </w:rPr>
        <w:t>(</w:t>
      </w:r>
      <w:r>
        <w:rPr>
          <w:rFonts w:cs="Arial" w:hint="cs"/>
          <w:sz w:val="18"/>
          <w:szCs w:val="18"/>
          <w:rtl/>
        </w:rPr>
        <w:t>שלט"ג</w:t>
      </w:r>
      <w:r w:rsidRPr="0059549F">
        <w:rPr>
          <w:rFonts w:cs="Arial"/>
          <w:sz w:val="18"/>
          <w:szCs w:val="18"/>
          <w:rtl/>
        </w:rPr>
        <w:t xml:space="preserve"> פ"ב דכתובות)</w:t>
      </w:r>
      <w:r>
        <w:rPr>
          <w:rFonts w:cs="Arial" w:hint="cs"/>
          <w:rtl/>
        </w:rPr>
        <w:t>]</w:t>
      </w:r>
      <w:r>
        <w:rPr>
          <w:rFonts w:cs="Arial"/>
          <w:rtl/>
        </w:rPr>
        <w:t>. ונאמן לומר שהיה פלוני יוצא מבית הספר</w:t>
      </w:r>
      <w:r>
        <w:rPr>
          <w:rStyle w:val="ab"/>
          <w:rFonts w:cs="Arial"/>
          <w:rtl/>
        </w:rPr>
        <w:footnoteReference w:id="2557"/>
      </w:r>
      <w:r>
        <w:rPr>
          <w:rFonts w:cs="Arial"/>
          <w:rtl/>
        </w:rPr>
        <w:t xml:space="preserve"> לטבול לאכול תרומתו לערב</w:t>
      </w:r>
      <w:r>
        <w:rPr>
          <w:rFonts w:cs="Arial" w:hint="cs"/>
          <w:rtl/>
        </w:rPr>
        <w:t>.</w:t>
      </w:r>
      <w:r>
        <w:rPr>
          <w:rFonts w:cs="Arial"/>
          <w:rtl/>
        </w:rPr>
        <w:t xml:space="preserve"> ושהיה חולק עמנו </w:t>
      </w:r>
      <w:r>
        <w:rPr>
          <w:rFonts w:cs="Arial"/>
          <w:rtl/>
        </w:rPr>
        <w:lastRenderedPageBreak/>
        <w:t>תרומה</w:t>
      </w:r>
      <w:r>
        <w:rPr>
          <w:rStyle w:val="ab"/>
          <w:rFonts w:cs="Arial"/>
          <w:rtl/>
        </w:rPr>
        <w:footnoteReference w:id="2558"/>
      </w:r>
      <w:r>
        <w:rPr>
          <w:rFonts w:cs="Arial" w:hint="cs"/>
          <w:rtl/>
        </w:rPr>
        <w:t>.</w:t>
      </w:r>
      <w:r>
        <w:rPr>
          <w:rFonts w:cs="Arial"/>
          <w:rtl/>
        </w:rPr>
        <w:t xml:space="preserve"> ושהיינו מוליכים חלה ומתנות לפלוני כהן על ידי עצמו</w:t>
      </w:r>
      <w:r>
        <w:rPr>
          <w:rStyle w:val="ab"/>
          <w:rFonts w:cs="Arial"/>
          <w:rtl/>
        </w:rPr>
        <w:footnoteReference w:id="2559"/>
      </w:r>
      <w:r>
        <w:rPr>
          <w:rFonts w:cs="Arial" w:hint="cs"/>
          <w:rtl/>
        </w:rPr>
        <w:t>.</w:t>
      </w:r>
      <w:r>
        <w:rPr>
          <w:rFonts w:cs="Arial"/>
          <w:rtl/>
        </w:rPr>
        <w:t xml:space="preserve"> ושאמר לו אבא: משפחה זו כשרה, משפחה זו פסולה</w:t>
      </w:r>
      <w:r>
        <w:rPr>
          <w:rFonts w:cs="Arial" w:hint="cs"/>
          <w:rtl/>
        </w:rPr>
        <w:t>.</w:t>
      </w:r>
      <w:r>
        <w:rPr>
          <w:rFonts w:cs="Arial"/>
          <w:rtl/>
        </w:rPr>
        <w:t xml:space="preserve"> </w:t>
      </w:r>
      <w:r w:rsidRPr="005376BD">
        <w:rPr>
          <w:rFonts w:cs="Arial" w:hint="cs"/>
          <w:sz w:val="18"/>
          <w:szCs w:val="18"/>
          <w:rtl/>
        </w:rPr>
        <w:t xml:space="preserve">[הגה] </w:t>
      </w:r>
      <w:r w:rsidRPr="005376BD">
        <w:rPr>
          <w:rFonts w:cs="Arial"/>
          <w:sz w:val="18"/>
          <w:szCs w:val="18"/>
          <w:rtl/>
        </w:rPr>
        <w:t>או שעשו איזה סימן להודיע שאחד מן המשפחה נשא פסולה (טור), כמו שנתבאר באבן העזר סימן ב'.</w:t>
      </w:r>
      <w:r>
        <w:rPr>
          <w:rFonts w:cs="Arial"/>
          <w:rtl/>
        </w:rPr>
        <w:t xml:space="preserve"> </w:t>
      </w:r>
    </w:p>
    <w:p w14:paraId="1FF9FD8C" w14:textId="77777777" w:rsidR="004B607F" w:rsidRDefault="004B607F" w:rsidP="004B607F">
      <w:pPr>
        <w:rPr>
          <w:rtl/>
        </w:rPr>
      </w:pPr>
    </w:p>
    <w:p w14:paraId="54809875" w14:textId="77777777" w:rsidR="004B607F" w:rsidRDefault="004B607F" w:rsidP="004B607F">
      <w:pPr>
        <w:pStyle w:val="2"/>
        <w:rPr>
          <w:rtl/>
        </w:rPr>
      </w:pPr>
      <w:bookmarkStart w:id="339" w:name="_Toc24883790"/>
      <w:r>
        <w:rPr>
          <w:rtl/>
        </w:rPr>
        <w:t>סעיף ז</w:t>
      </w:r>
      <w:r>
        <w:rPr>
          <w:rFonts w:hint="cs"/>
          <w:rtl/>
        </w:rPr>
        <w:t>:</w:t>
      </w:r>
      <w:r w:rsidRPr="00053873">
        <w:rPr>
          <w:rFonts w:cs="Arial"/>
          <w:rtl/>
        </w:rPr>
        <w:t xml:space="preserve"> </w:t>
      </w:r>
      <w:r>
        <w:rPr>
          <w:rFonts w:cs="Arial"/>
          <w:rtl/>
        </w:rPr>
        <w:t xml:space="preserve">יודע בעדות כשהוא </w:t>
      </w:r>
      <w:r>
        <w:rPr>
          <w:rFonts w:cs="Arial" w:hint="cs"/>
          <w:rtl/>
        </w:rPr>
        <w:t>גוי/עבד מהו שי</w:t>
      </w:r>
      <w:r>
        <w:rPr>
          <w:rFonts w:cs="Arial"/>
          <w:rtl/>
        </w:rPr>
        <w:t xml:space="preserve">עיד בה </w:t>
      </w:r>
      <w:r>
        <w:rPr>
          <w:rFonts w:cs="Arial" w:hint="cs"/>
          <w:rtl/>
        </w:rPr>
        <w:t>לאחר שנתגייר/נשתחרר.</w:t>
      </w:r>
      <w:bookmarkEnd w:id="339"/>
    </w:p>
    <w:p w14:paraId="6465ADF9" w14:textId="77777777" w:rsidR="004B607F" w:rsidRPr="00053873" w:rsidRDefault="004B607F" w:rsidP="004B607F">
      <w:pPr>
        <w:rPr>
          <w:rtl/>
        </w:rPr>
      </w:pPr>
      <w:r>
        <w:rPr>
          <w:rFonts w:cs="Arial" w:hint="cs"/>
          <w:b/>
          <w:bCs/>
          <w:rtl/>
        </w:rPr>
        <w:t xml:space="preserve">כתובות </w:t>
      </w:r>
      <w:r w:rsidRPr="00854B72">
        <w:rPr>
          <w:rFonts w:cs="Arial" w:hint="cs"/>
          <w:b/>
          <w:bCs/>
          <w:sz w:val="16"/>
          <w:szCs w:val="16"/>
          <w:rtl/>
        </w:rPr>
        <w:t xml:space="preserve">(ספ"ב) </w:t>
      </w:r>
      <w:r>
        <w:rPr>
          <w:rFonts w:cs="Arial" w:hint="cs"/>
          <w:b/>
          <w:bCs/>
          <w:rtl/>
        </w:rPr>
        <w:t>כח</w:t>
      </w:r>
      <w:r>
        <w:rPr>
          <w:rStyle w:val="ab"/>
          <w:rFonts w:cs="Arial"/>
          <w:b/>
          <w:bCs/>
          <w:rtl/>
        </w:rPr>
        <w:footnoteReference w:id="2560"/>
      </w:r>
      <w:r>
        <w:rPr>
          <w:rFonts w:cs="Arial" w:hint="cs"/>
          <w:b/>
          <w:bCs/>
          <w:rtl/>
        </w:rPr>
        <w:t xml:space="preserve"> ע"ב:</w:t>
      </w:r>
      <w:r w:rsidRPr="00303906">
        <w:rPr>
          <w:rFonts w:cs="Arial"/>
          <w:rtl/>
        </w:rPr>
        <w:t xml:space="preserve"> </w:t>
      </w:r>
      <w:r w:rsidRPr="00611A6F">
        <w:rPr>
          <w:rFonts w:cs="Arial"/>
          <w:rtl/>
        </w:rPr>
        <w:t xml:space="preserve">תנו רבנן: נאמן התינוק לומר, כך אמר לי אבא משפחה זו טהורה, משפחה זו טמאה; טהורה וטמאה סלקא דעתך? אלא, משפחה זו כשרה ומשפחה זו פסולה, ושאכלנו בקצצה של בת פלוני לפלוני, ושהיינו מוליכים חלה ומתנות לפלוני כהן על ידי עצמו, אבל לא על ידי אחר. וכולן, אם היה </w:t>
      </w:r>
      <w:r>
        <w:rPr>
          <w:rFonts w:cs="Arial" w:hint="cs"/>
          <w:rtl/>
        </w:rPr>
        <w:t>גוי</w:t>
      </w:r>
      <w:r w:rsidRPr="00611A6F">
        <w:rPr>
          <w:rFonts w:cs="Arial"/>
          <w:rtl/>
        </w:rPr>
        <w:t xml:space="preserve"> ונתגייר, עבד ונשתחרר - אין נאמנים.</w:t>
      </w:r>
      <w:r>
        <w:rPr>
          <w:rFonts w:cs="Arial" w:hint="cs"/>
          <w:rtl/>
        </w:rPr>
        <w:t xml:space="preserve">.. </w:t>
      </w:r>
      <w:r w:rsidRPr="00903BD5">
        <w:rPr>
          <w:rFonts w:cs="Arial"/>
          <w:u w:val="single"/>
          <w:rtl/>
        </w:rPr>
        <w:t>ר' יוחנן בן ברוקא אומר</w:t>
      </w:r>
      <w:r w:rsidRPr="00611A6F">
        <w:rPr>
          <w:rFonts w:cs="Arial"/>
          <w:rtl/>
        </w:rPr>
        <w:t xml:space="preserve">: נאמנין. במאי קמיפלגי? ת"ק סבר: כיון </w:t>
      </w:r>
      <w:r>
        <w:rPr>
          <w:rFonts w:cs="Arial" w:hint="cs"/>
          <w:rtl/>
        </w:rPr>
        <w:t>גוי</w:t>
      </w:r>
      <w:r w:rsidRPr="00611A6F">
        <w:rPr>
          <w:rFonts w:cs="Arial"/>
          <w:rtl/>
        </w:rPr>
        <w:t xml:space="preserve"> הוא לא הוה דייק</w:t>
      </w:r>
      <w:r>
        <w:rPr>
          <w:rStyle w:val="ab"/>
          <w:rFonts w:cs="Arial"/>
          <w:rtl/>
        </w:rPr>
        <w:footnoteReference w:id="2561"/>
      </w:r>
      <w:r>
        <w:rPr>
          <w:rFonts w:cs="Arial" w:hint="cs"/>
          <w:rtl/>
        </w:rPr>
        <w:t>.</w:t>
      </w:r>
      <w:r w:rsidRPr="00611A6F">
        <w:rPr>
          <w:rFonts w:cs="Arial"/>
          <w:rtl/>
        </w:rPr>
        <w:t xml:space="preserve"> ורבי יוחנן בן ברוקא סבר: כיון דדעתיה לאיגיורי מידק הוה דייק. </w:t>
      </w:r>
    </w:p>
    <w:p w14:paraId="2BD011C2" w14:textId="77777777" w:rsidR="004B607F" w:rsidRPr="00903BD5" w:rsidRDefault="004B607F" w:rsidP="004B607F">
      <w:pPr>
        <w:rPr>
          <w:rFonts w:cs="Arial"/>
          <w:u w:val="single"/>
          <w:rtl/>
        </w:rPr>
      </w:pPr>
      <w:r w:rsidRPr="00903BD5">
        <w:rPr>
          <w:rFonts w:cs="Arial"/>
          <w:u w:val="single"/>
          <w:rtl/>
        </w:rPr>
        <w:t xml:space="preserve">יודע בעדות כשהוא </w:t>
      </w:r>
      <w:r w:rsidRPr="00903BD5">
        <w:rPr>
          <w:rFonts w:cs="Arial" w:hint="cs"/>
          <w:u w:val="single"/>
          <w:rtl/>
        </w:rPr>
        <w:t>גוי/עבד מהו שי</w:t>
      </w:r>
      <w:r w:rsidRPr="00903BD5">
        <w:rPr>
          <w:rFonts w:cs="Arial"/>
          <w:u w:val="single"/>
          <w:rtl/>
        </w:rPr>
        <w:t xml:space="preserve">עיד בה </w:t>
      </w:r>
      <w:r w:rsidRPr="00903BD5">
        <w:rPr>
          <w:rFonts w:cs="Arial" w:hint="cs"/>
          <w:u w:val="single"/>
          <w:rtl/>
        </w:rPr>
        <w:t>לאחר שנתגייר/נשתחרר:</w:t>
      </w:r>
    </w:p>
    <w:p w14:paraId="68461352" w14:textId="77777777" w:rsidR="004B607F" w:rsidRPr="00903BD5" w:rsidRDefault="004B607F" w:rsidP="004B0475">
      <w:pPr>
        <w:pStyle w:val="ac"/>
        <w:numPr>
          <w:ilvl w:val="0"/>
          <w:numId w:val="101"/>
        </w:numPr>
        <w:rPr>
          <w:rFonts w:cs="Arial"/>
          <w:rtl/>
        </w:rPr>
      </w:pPr>
      <w:r w:rsidRPr="00903BD5">
        <w:rPr>
          <w:rFonts w:cs="Arial" w:hint="cs"/>
          <w:rtl/>
        </w:rPr>
        <w:t>טור-</w:t>
      </w:r>
      <w:r w:rsidRPr="00903BD5">
        <w:rPr>
          <w:rFonts w:cs="Arial"/>
          <w:rtl/>
        </w:rPr>
        <w:t xml:space="preserve"> ובכל אלו שמעיד בהן גדול שידע בהן כשהיה קטן</w:t>
      </w:r>
      <w:r>
        <w:rPr>
          <w:rFonts w:cs="Arial" w:hint="cs"/>
          <w:rtl/>
        </w:rPr>
        <w:t>,</w:t>
      </w:r>
      <w:r w:rsidRPr="00903BD5">
        <w:rPr>
          <w:rFonts w:cs="Arial"/>
          <w:rtl/>
        </w:rPr>
        <w:t xml:space="preserve"> אם היה </w:t>
      </w:r>
      <w:r w:rsidRPr="00903BD5">
        <w:rPr>
          <w:rFonts w:cs="Arial" w:hint="cs"/>
          <w:rtl/>
        </w:rPr>
        <w:t>גוי</w:t>
      </w:r>
      <w:r w:rsidRPr="00903BD5">
        <w:rPr>
          <w:rFonts w:cs="Arial"/>
          <w:rtl/>
        </w:rPr>
        <w:t xml:space="preserve"> או עבד כשראה דברים אלו ונתגייר או נשתחרר </w:t>
      </w:r>
      <w:r>
        <w:rPr>
          <w:rFonts w:cs="Arial" w:hint="cs"/>
          <w:rtl/>
        </w:rPr>
        <w:t xml:space="preserve">- </w:t>
      </w:r>
      <w:r w:rsidRPr="00903BD5">
        <w:rPr>
          <w:rFonts w:cs="Arial"/>
          <w:rtl/>
        </w:rPr>
        <w:t>אינו נאמן להעיד עליהם</w:t>
      </w:r>
      <w:r w:rsidRPr="00903BD5">
        <w:rPr>
          <w:rFonts w:cs="Arial" w:hint="cs"/>
          <w:rtl/>
        </w:rPr>
        <w:t>.</w:t>
      </w:r>
      <w:r w:rsidRPr="005665A3">
        <w:rPr>
          <w:rFonts w:cs="Arial" w:hint="cs"/>
          <w:color w:val="E36C0A" w:themeColor="accent6" w:themeShade="BF"/>
          <w:rtl/>
        </w:rPr>
        <w:t xml:space="preserve"> </w:t>
      </w:r>
      <w:r w:rsidRPr="00571361">
        <w:rPr>
          <w:rFonts w:cs="Arial" w:hint="cs"/>
          <w:color w:val="E36C0A" w:themeColor="accent6" w:themeShade="BF"/>
          <w:rtl/>
        </w:rPr>
        <w:t>(וכ"פ בשו"ע)</w:t>
      </w:r>
    </w:p>
    <w:p w14:paraId="63601471" w14:textId="77777777" w:rsidR="004B607F" w:rsidRPr="003024E5" w:rsidRDefault="004B607F" w:rsidP="004B607F">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77FD2337" w14:textId="77777777" w:rsidR="004B607F" w:rsidRDefault="004B607F" w:rsidP="004B607F">
      <w:pPr>
        <w:rPr>
          <w:rtl/>
        </w:rPr>
      </w:pPr>
      <w:r>
        <w:rPr>
          <w:rFonts w:cs="Arial"/>
          <w:rtl/>
        </w:rPr>
        <w:t xml:space="preserve">וכל אלו, אם </w:t>
      </w:r>
      <w:r>
        <w:rPr>
          <w:rFonts w:cs="Arial" w:hint="cs"/>
          <w:rtl/>
        </w:rPr>
        <w:t>גוי</w:t>
      </w:r>
      <w:r>
        <w:rPr>
          <w:rFonts w:cs="Arial"/>
          <w:rtl/>
        </w:rPr>
        <w:t xml:space="preserve"> או עבד ראה אותם והעיד אחר שנתגייר ונשתחרר, אינו נאמן</w:t>
      </w:r>
      <w:r>
        <w:rPr>
          <w:rStyle w:val="ab"/>
          <w:rFonts w:cs="Arial"/>
          <w:rtl/>
        </w:rPr>
        <w:footnoteReference w:id="2562"/>
      </w:r>
      <w:r>
        <w:rPr>
          <w:rFonts w:cs="Arial"/>
          <w:rtl/>
        </w:rPr>
        <w:t xml:space="preserve">. </w:t>
      </w:r>
    </w:p>
    <w:p w14:paraId="453CF1F6" w14:textId="77777777" w:rsidR="004B607F" w:rsidRPr="00F12BEF" w:rsidRDefault="004B607F" w:rsidP="004B607F">
      <w:pPr>
        <w:rPr>
          <w:u w:val="single"/>
          <w:rtl/>
        </w:rPr>
      </w:pPr>
      <w:r w:rsidRPr="00F12BEF">
        <w:rPr>
          <w:rFonts w:hint="cs"/>
          <w:u w:val="single"/>
          <w:rtl/>
        </w:rPr>
        <w:t>עדות האנוסים:</w:t>
      </w:r>
    </w:p>
    <w:p w14:paraId="4E1B434E" w14:textId="77777777" w:rsidR="004B607F" w:rsidRPr="00F12BEF" w:rsidRDefault="004B607F" w:rsidP="004B0475">
      <w:pPr>
        <w:pStyle w:val="ac"/>
        <w:numPr>
          <w:ilvl w:val="0"/>
          <w:numId w:val="101"/>
        </w:numPr>
      </w:pPr>
      <w:r w:rsidRPr="00F12BEF">
        <w:rPr>
          <w:rFonts w:cs="Arial"/>
          <w:rtl/>
        </w:rPr>
        <w:t xml:space="preserve">מהרא"ן ששון </w:t>
      </w:r>
      <w:r w:rsidRPr="00F12BEF">
        <w:rPr>
          <w:rFonts w:cs="Arial" w:hint="cs"/>
          <w:sz w:val="16"/>
          <w:szCs w:val="16"/>
          <w:rtl/>
        </w:rPr>
        <w:t>(</w:t>
      </w:r>
      <w:r w:rsidRPr="00F12BEF">
        <w:rPr>
          <w:rFonts w:cs="Arial"/>
          <w:sz w:val="16"/>
          <w:szCs w:val="16"/>
          <w:rtl/>
        </w:rPr>
        <w:t>סי' צ</w:t>
      </w:r>
      <w:r w:rsidRPr="00F12BEF">
        <w:rPr>
          <w:rFonts w:cs="Arial" w:hint="cs"/>
          <w:sz w:val="16"/>
          <w:szCs w:val="16"/>
          <w:rtl/>
        </w:rPr>
        <w:t>)</w:t>
      </w:r>
      <w:r>
        <w:rPr>
          <w:rFonts w:cs="Arial" w:hint="cs"/>
          <w:rtl/>
        </w:rPr>
        <w:t>-</w:t>
      </w:r>
      <w:r w:rsidRPr="00F12BEF">
        <w:rPr>
          <w:rFonts w:cs="Arial"/>
          <w:rtl/>
        </w:rPr>
        <w:t xml:space="preserve"> אינם נאמנים אף אחר שבאו לכלל כשרות, מטעם דבעינן תחילתו וסופו בכשרות</w:t>
      </w:r>
      <w:r>
        <w:rPr>
          <w:rFonts w:cs="Arial" w:hint="cs"/>
          <w:rtl/>
        </w:rPr>
        <w:t>.</w:t>
      </w:r>
    </w:p>
    <w:p w14:paraId="06F1F87B" w14:textId="77777777" w:rsidR="004B607F" w:rsidRPr="005665A3" w:rsidRDefault="004B607F" w:rsidP="004B0475">
      <w:pPr>
        <w:pStyle w:val="ac"/>
        <w:numPr>
          <w:ilvl w:val="0"/>
          <w:numId w:val="101"/>
        </w:numPr>
      </w:pPr>
      <w:r w:rsidRPr="005665A3">
        <w:rPr>
          <w:rFonts w:cs="Arial" w:hint="cs"/>
          <w:rtl/>
        </w:rPr>
        <w:t xml:space="preserve">ש"ך </w:t>
      </w:r>
      <w:r w:rsidRPr="005665A3">
        <w:rPr>
          <w:rFonts w:cs="Arial" w:hint="cs"/>
          <w:sz w:val="16"/>
          <w:szCs w:val="16"/>
          <w:rtl/>
        </w:rPr>
        <w:t>(סק"ז)</w:t>
      </w:r>
      <w:r w:rsidRPr="005665A3">
        <w:rPr>
          <w:rFonts w:cs="Arial" w:hint="cs"/>
          <w:rtl/>
        </w:rPr>
        <w:t>-</w:t>
      </w:r>
      <w:r w:rsidRPr="005665A3">
        <w:rPr>
          <w:rFonts w:cs="Arial"/>
          <w:rtl/>
        </w:rPr>
        <w:t xml:space="preserve"> </w:t>
      </w:r>
      <w:r w:rsidRPr="005665A3">
        <w:rPr>
          <w:rFonts w:cs="Arial" w:hint="cs"/>
          <w:rtl/>
        </w:rPr>
        <w:t xml:space="preserve">במילתא דאורייתא אינם כשרים דבעינן תחילתו וסופו בכשרות, אבל במילתא דרבנן, כיון דבאו לכלל כשרות </w:t>
      </w:r>
      <w:r w:rsidRPr="005665A3">
        <w:rPr>
          <w:rFonts w:cs="Arial"/>
          <w:rtl/>
        </w:rPr>
        <w:t>–</w:t>
      </w:r>
      <w:r w:rsidRPr="005665A3">
        <w:rPr>
          <w:rFonts w:cs="Arial" w:hint="cs"/>
          <w:rtl/>
        </w:rPr>
        <w:t xml:space="preserve"> כשרים, </w:t>
      </w:r>
      <w:r w:rsidRPr="005665A3">
        <w:rPr>
          <w:rFonts w:cs="Arial"/>
          <w:rtl/>
        </w:rPr>
        <w:t>דשפיר הוי דייקי כיון שהיו יהודים בינם לשמים</w:t>
      </w:r>
      <w:r w:rsidRPr="005665A3">
        <w:rPr>
          <w:rFonts w:cs="Arial" w:hint="cs"/>
          <w:rtl/>
        </w:rPr>
        <w:t xml:space="preserve">. </w:t>
      </w:r>
    </w:p>
    <w:p w14:paraId="0BD644CD" w14:textId="77777777" w:rsidR="004B607F" w:rsidRDefault="004B607F" w:rsidP="004B607F">
      <w:pPr>
        <w:rPr>
          <w:rtl/>
        </w:rPr>
      </w:pPr>
    </w:p>
    <w:p w14:paraId="361A3634" w14:textId="77777777" w:rsidR="004B607F" w:rsidRDefault="004B607F" w:rsidP="004B607F">
      <w:pPr>
        <w:pStyle w:val="2"/>
        <w:rPr>
          <w:rtl/>
        </w:rPr>
      </w:pPr>
      <w:bookmarkStart w:id="340" w:name="_Toc24883791"/>
      <w:r>
        <w:rPr>
          <w:rtl/>
        </w:rPr>
        <w:t>סעיף ח</w:t>
      </w:r>
      <w:r>
        <w:rPr>
          <w:rFonts w:hint="cs"/>
          <w:rtl/>
        </w:rPr>
        <w:t>: עדות שוטה.</w:t>
      </w:r>
      <w:bookmarkEnd w:id="340"/>
    </w:p>
    <w:p w14:paraId="269E388B" w14:textId="77777777" w:rsidR="004B607F" w:rsidRPr="00FE5F31" w:rsidRDefault="004B607F" w:rsidP="004B607F">
      <w:pPr>
        <w:rPr>
          <w:rFonts w:cs="Arial"/>
          <w:rtl/>
        </w:rPr>
      </w:pPr>
      <w:bookmarkStart w:id="341" w:name="_Hlk19806916"/>
      <w:r w:rsidRPr="00C4747B">
        <w:rPr>
          <w:rFonts w:cs="Arial"/>
          <w:b/>
          <w:bCs/>
          <w:rtl/>
        </w:rPr>
        <w:t xml:space="preserve">חגיגה </w:t>
      </w:r>
      <w:r w:rsidRPr="00C4747B">
        <w:rPr>
          <w:rFonts w:cs="Arial"/>
          <w:b/>
          <w:bCs/>
          <w:sz w:val="16"/>
          <w:szCs w:val="16"/>
          <w:rtl/>
        </w:rPr>
        <w:t>(</w:t>
      </w:r>
      <w:r w:rsidRPr="00C4747B">
        <w:rPr>
          <w:rFonts w:cs="Arial" w:hint="cs"/>
          <w:b/>
          <w:bCs/>
          <w:sz w:val="16"/>
          <w:szCs w:val="16"/>
          <w:rtl/>
        </w:rPr>
        <w:t xml:space="preserve">פ"ק) </w:t>
      </w:r>
      <w:r w:rsidRPr="00C4747B">
        <w:rPr>
          <w:rFonts w:cs="Arial"/>
          <w:b/>
          <w:bCs/>
          <w:rtl/>
        </w:rPr>
        <w:t>ג</w:t>
      </w:r>
      <w:r>
        <w:rPr>
          <w:rStyle w:val="ab"/>
          <w:rFonts w:cs="Arial"/>
          <w:b/>
          <w:bCs/>
          <w:rtl/>
        </w:rPr>
        <w:footnoteReference w:id="2563"/>
      </w:r>
      <w:r w:rsidRPr="00C4747B">
        <w:rPr>
          <w:rFonts w:cs="Arial" w:hint="cs"/>
          <w:b/>
          <w:bCs/>
          <w:rtl/>
        </w:rPr>
        <w:t xml:space="preserve"> ע"ב</w:t>
      </w:r>
      <w:r w:rsidRPr="00C4747B">
        <w:rPr>
          <w:rFonts w:cs="Arial"/>
          <w:b/>
          <w:bCs/>
          <w:rtl/>
        </w:rPr>
        <w:t>:</w:t>
      </w:r>
      <w:r>
        <w:rPr>
          <w:rFonts w:cs="Arial"/>
          <w:rtl/>
        </w:rPr>
        <w:t xml:space="preserve"> </w:t>
      </w:r>
      <w:r w:rsidRPr="001B7B13">
        <w:rPr>
          <w:rFonts w:cs="Arial"/>
          <w:rtl/>
        </w:rPr>
        <w:t xml:space="preserve">תנו רבנן: איזהו שוטה? היוצא יחידי בלילה, והלן בבית הקברות, והמקרע את כסותו. איתמר, </w:t>
      </w:r>
      <w:r w:rsidRPr="001B7B13">
        <w:rPr>
          <w:rFonts w:cs="Arial"/>
          <w:u w:val="single"/>
          <w:rtl/>
        </w:rPr>
        <w:t>רב הונא אמר</w:t>
      </w:r>
      <w:r w:rsidRPr="001B7B13">
        <w:rPr>
          <w:rFonts w:cs="Arial"/>
          <w:rtl/>
        </w:rPr>
        <w:t xml:space="preserve">: עד שיהו כולן בבת אחת. </w:t>
      </w:r>
      <w:r w:rsidRPr="001B7B13">
        <w:rPr>
          <w:rFonts w:cs="Arial"/>
          <w:u w:val="single"/>
          <w:rtl/>
        </w:rPr>
        <w:t>רבי יוחנן אמר</w:t>
      </w:r>
      <w:r w:rsidRPr="001B7B13">
        <w:rPr>
          <w:rFonts w:cs="Arial"/>
          <w:rtl/>
        </w:rPr>
        <w:t>: אפילו באחת מהן. היכי דמי</w:t>
      </w:r>
      <w:r>
        <w:rPr>
          <w:rStyle w:val="ab"/>
          <w:rFonts w:cs="Arial"/>
          <w:rtl/>
        </w:rPr>
        <w:footnoteReference w:id="2564"/>
      </w:r>
      <w:r w:rsidRPr="001B7B13">
        <w:rPr>
          <w:rFonts w:cs="Arial"/>
          <w:rtl/>
        </w:rPr>
        <w:t xml:space="preserve">? אי דעביד להו דרך שטות - אפילו בחדא נמי. אי דלא עביד להו דרך שטות - אפילו כולהו נמי לא! לעולם דקא עביד להו דרך שטות, והלן בבית הקברות - אימור כדי שתשרה עליו רוח טומאה הוא דקא עביד, והיוצא יחידי בלילה - אימור גנדריפס אחדיה, והמקרע את כסותו - אימור בעל מחשבות הוא. כיון דעבדינהו לכולהו - הוה להו </w:t>
      </w:r>
      <w:r>
        <w:rPr>
          <w:rFonts w:cs="Arial" w:hint="cs"/>
          <w:sz w:val="14"/>
          <w:szCs w:val="14"/>
          <w:rtl/>
        </w:rPr>
        <w:t>(ד.)</w:t>
      </w:r>
      <w:r>
        <w:rPr>
          <w:rFonts w:cs="Arial" w:hint="cs"/>
          <w:rtl/>
        </w:rPr>
        <w:t xml:space="preserve"> </w:t>
      </w:r>
      <w:r w:rsidRPr="001B7B13">
        <w:rPr>
          <w:rFonts w:cs="Arial"/>
          <w:rtl/>
        </w:rPr>
        <w:t xml:space="preserve">כמי שנגח שור חמור וגמל, ונעשה מועד לכל. </w:t>
      </w:r>
      <w:r w:rsidRPr="001B7B13">
        <w:rPr>
          <w:rFonts w:cs="Arial"/>
          <w:u w:val="single"/>
          <w:rtl/>
        </w:rPr>
        <w:t>אמר רב פפא</w:t>
      </w:r>
      <w:r w:rsidRPr="001B7B13">
        <w:rPr>
          <w:rFonts w:cs="Arial"/>
          <w:rtl/>
        </w:rPr>
        <w:t>: אי שמיע ליה לרב הונא הא דתניא: אי זהו שוטה - זה המאבד כל מה שנותנים לו, הוה הדר ביה. איבעיא להו: כי הוה הדר ביה - ממקרע כסותו הוא דהוה הדר ביה, דדמיא להא, או דלמא מכולהו הוה הדר? תיקו.</w:t>
      </w:r>
      <w:r>
        <w:rPr>
          <w:rFonts w:cs="Arial" w:hint="cs"/>
          <w:rtl/>
        </w:rPr>
        <w:t xml:space="preserve"> </w:t>
      </w:r>
      <w:r w:rsidRPr="00FE5F31">
        <w:rPr>
          <w:rFonts w:cs="Arial" w:hint="cs"/>
          <w:sz w:val="16"/>
          <w:szCs w:val="16"/>
          <w:rtl/>
        </w:rPr>
        <w:t>(</w:t>
      </w:r>
      <w:r w:rsidRPr="00FE5F31">
        <w:rPr>
          <w:rFonts w:cs="Arial"/>
          <w:sz w:val="16"/>
          <w:szCs w:val="16"/>
          <w:rtl/>
        </w:rPr>
        <w:t>וכרבי יוחנן קיי</w:t>
      </w:r>
      <w:r w:rsidRPr="00FE5F31">
        <w:rPr>
          <w:rFonts w:cs="Arial" w:hint="cs"/>
          <w:sz w:val="16"/>
          <w:szCs w:val="16"/>
          <w:rtl/>
        </w:rPr>
        <w:t>"</w:t>
      </w:r>
      <w:r w:rsidRPr="00FE5F31">
        <w:rPr>
          <w:rFonts w:cs="Arial"/>
          <w:sz w:val="16"/>
          <w:szCs w:val="16"/>
          <w:rtl/>
        </w:rPr>
        <w:t>ל</w:t>
      </w:r>
      <w:r w:rsidRPr="00FE5F31">
        <w:rPr>
          <w:rFonts w:cs="Arial" w:hint="cs"/>
          <w:sz w:val="16"/>
          <w:szCs w:val="16"/>
          <w:rtl/>
        </w:rPr>
        <w:t>,</w:t>
      </w:r>
      <w:r w:rsidRPr="00FE5F31">
        <w:rPr>
          <w:rFonts w:cs="Arial"/>
          <w:sz w:val="16"/>
          <w:szCs w:val="16"/>
          <w:rtl/>
        </w:rPr>
        <w:t xml:space="preserve"> דהלכתא כותיה לגבי רב (ביצה ד:) דרביה דרב הונא הוא (שבת קכח.) וכל שכן לגבי רב הונא</w:t>
      </w:r>
      <w:r w:rsidRPr="00FE5F31">
        <w:rPr>
          <w:rFonts w:cs="Arial" w:hint="cs"/>
          <w:sz w:val="16"/>
          <w:szCs w:val="16"/>
          <w:rtl/>
        </w:rPr>
        <w:t>,</w:t>
      </w:r>
      <w:r w:rsidRPr="00FE5F31">
        <w:rPr>
          <w:rFonts w:cs="Arial"/>
          <w:sz w:val="16"/>
          <w:szCs w:val="16"/>
          <w:rtl/>
        </w:rPr>
        <w:t xml:space="preserve"> וכ</w:t>
      </w:r>
      <w:r w:rsidRPr="00FE5F31">
        <w:rPr>
          <w:rFonts w:cs="Arial" w:hint="cs"/>
          <w:sz w:val="16"/>
          <w:szCs w:val="16"/>
          <w:rtl/>
        </w:rPr>
        <w:t>"</w:t>
      </w:r>
      <w:r w:rsidRPr="00FE5F31">
        <w:rPr>
          <w:rFonts w:cs="Arial"/>
          <w:sz w:val="16"/>
          <w:szCs w:val="16"/>
          <w:rtl/>
        </w:rPr>
        <w:t>פ הרא"ש בריש חולין (פ"א סי' ד)</w:t>
      </w:r>
      <w:r>
        <w:rPr>
          <w:rFonts w:cs="Arial" w:hint="cs"/>
          <w:sz w:val="16"/>
          <w:szCs w:val="16"/>
          <w:rtl/>
        </w:rPr>
        <w:t>,</w:t>
      </w:r>
      <w:r w:rsidRPr="00FE5F31">
        <w:rPr>
          <w:rFonts w:cs="Arial"/>
          <w:sz w:val="16"/>
          <w:szCs w:val="16"/>
          <w:rtl/>
        </w:rPr>
        <w:t xml:space="preserve"> </w:t>
      </w:r>
      <w:r w:rsidRPr="00E90083">
        <w:rPr>
          <w:rFonts w:cs="Arial"/>
          <w:sz w:val="16"/>
          <w:szCs w:val="16"/>
          <w:rtl/>
        </w:rPr>
        <w:t>וכן נראה מדברי הרמב"ם</w:t>
      </w:r>
      <w:r>
        <w:rPr>
          <w:rFonts w:cs="Arial" w:hint="cs"/>
          <w:sz w:val="16"/>
          <w:szCs w:val="16"/>
          <w:rtl/>
        </w:rPr>
        <w:t xml:space="preserve"> (פ"ט מהל' עדות ה"ט)</w:t>
      </w:r>
      <w:r w:rsidRPr="00E90083">
        <w:rPr>
          <w:rFonts w:cs="Arial"/>
          <w:sz w:val="16"/>
          <w:szCs w:val="16"/>
          <w:rtl/>
        </w:rPr>
        <w:t xml:space="preserve"> דהלכה כרבי יוחנן</w:t>
      </w:r>
      <w:r>
        <w:rPr>
          <w:rStyle w:val="ab"/>
          <w:rFonts w:cs="Arial"/>
          <w:sz w:val="16"/>
          <w:szCs w:val="16"/>
          <w:rtl/>
        </w:rPr>
        <w:footnoteReference w:id="2565"/>
      </w:r>
      <w:r>
        <w:rPr>
          <w:rFonts w:cs="Arial" w:hint="cs"/>
          <w:sz w:val="16"/>
          <w:szCs w:val="16"/>
          <w:rtl/>
        </w:rPr>
        <w:t>.</w:t>
      </w:r>
      <w:r w:rsidRPr="00E90083">
        <w:rPr>
          <w:rFonts w:cs="Arial"/>
          <w:sz w:val="16"/>
          <w:szCs w:val="16"/>
          <w:rtl/>
        </w:rPr>
        <w:t xml:space="preserve"> </w:t>
      </w:r>
      <w:r w:rsidRPr="00FE5F31">
        <w:rPr>
          <w:rFonts w:cs="Arial"/>
          <w:sz w:val="16"/>
          <w:szCs w:val="16"/>
          <w:rtl/>
        </w:rPr>
        <w:t xml:space="preserve">ונתבאר שם </w:t>
      </w:r>
      <w:r>
        <w:rPr>
          <w:rFonts w:cs="Arial" w:hint="cs"/>
          <w:sz w:val="14"/>
          <w:szCs w:val="14"/>
          <w:rtl/>
        </w:rPr>
        <w:t xml:space="preserve">{בגמ'} </w:t>
      </w:r>
      <w:r w:rsidRPr="00FE5F31">
        <w:rPr>
          <w:rFonts w:cs="Arial"/>
          <w:sz w:val="16"/>
          <w:szCs w:val="16"/>
          <w:rtl/>
        </w:rPr>
        <w:t>דדוקא בדעבד לה דרך שטות. ונראה לי שאין הכונה שבפעם אחת שיעשה אחד מאלו דרך שטות מיקרי שוטה אלא כשדרכו בכך</w:t>
      </w:r>
      <w:r>
        <w:rPr>
          <w:rFonts w:cs="Arial" w:hint="cs"/>
          <w:sz w:val="16"/>
          <w:szCs w:val="16"/>
          <w:rtl/>
        </w:rPr>
        <w:t>,</w:t>
      </w:r>
      <w:r w:rsidRPr="00FE5F31">
        <w:rPr>
          <w:rFonts w:cs="Arial"/>
          <w:sz w:val="16"/>
          <w:szCs w:val="16"/>
          <w:rtl/>
        </w:rPr>
        <w:t xml:space="preserve"> וזהו שכתב הרמב"ם ז"ל (עדות פ"ט ה"ט) ונמצאת דעתו משובשת תמיד</w:t>
      </w:r>
      <w:r w:rsidRPr="00FE5F31">
        <w:rPr>
          <w:rFonts w:cs="Arial" w:hint="cs"/>
          <w:sz w:val="16"/>
          <w:szCs w:val="16"/>
          <w:rtl/>
        </w:rPr>
        <w:t xml:space="preserve"> </w:t>
      </w:r>
      <w:r w:rsidRPr="00FE5F31">
        <w:rPr>
          <w:rFonts w:cs="Arial"/>
          <w:sz w:val="16"/>
          <w:szCs w:val="16"/>
          <w:rtl/>
        </w:rPr>
        <w:t>כנ"ל</w:t>
      </w:r>
      <w:r>
        <w:rPr>
          <w:rFonts w:cs="Arial" w:hint="cs"/>
          <w:sz w:val="16"/>
          <w:szCs w:val="16"/>
          <w:rtl/>
        </w:rPr>
        <w:t>, ב"י (כאן ובסי' קיט ס"ו))</w:t>
      </w:r>
      <w:bookmarkEnd w:id="341"/>
    </w:p>
    <w:p w14:paraId="1EEBE332" w14:textId="77777777" w:rsidR="004B607F" w:rsidRDefault="004B607F" w:rsidP="004B607F">
      <w:pPr>
        <w:rPr>
          <w:rFonts w:cs="Arial"/>
          <w:rtl/>
        </w:rPr>
      </w:pPr>
      <w:bookmarkStart w:id="342" w:name="_Hlk19807084"/>
      <w:r w:rsidRPr="004F7400">
        <w:rPr>
          <w:rFonts w:cs="Arial" w:hint="cs"/>
          <w:u w:val="single"/>
          <w:rtl/>
        </w:rPr>
        <w:t>עדות שוטה:</w:t>
      </w:r>
    </w:p>
    <w:p w14:paraId="5A77BF91" w14:textId="77777777" w:rsidR="004B607F" w:rsidRDefault="004B607F" w:rsidP="004B0475">
      <w:pPr>
        <w:pStyle w:val="ac"/>
        <w:numPr>
          <w:ilvl w:val="0"/>
          <w:numId w:val="102"/>
        </w:numPr>
        <w:rPr>
          <w:rFonts w:cs="Arial"/>
        </w:rPr>
      </w:pPr>
      <w:r w:rsidRPr="004F7400">
        <w:rPr>
          <w:rFonts w:cs="Arial" w:hint="cs"/>
          <w:rtl/>
        </w:rPr>
        <w:lastRenderedPageBreak/>
        <w:t xml:space="preserve">טור- </w:t>
      </w:r>
      <w:r w:rsidRPr="004F7400">
        <w:rPr>
          <w:rFonts w:cs="Arial"/>
          <w:rtl/>
        </w:rPr>
        <w:t>שוטה פסול להעיד</w:t>
      </w:r>
      <w:r>
        <w:rPr>
          <w:rStyle w:val="ab"/>
          <w:rFonts w:cs="Arial"/>
          <w:rtl/>
        </w:rPr>
        <w:footnoteReference w:id="2566"/>
      </w:r>
      <w:r w:rsidRPr="004F7400">
        <w:rPr>
          <w:rFonts w:cs="Arial" w:hint="cs"/>
          <w:rtl/>
        </w:rPr>
        <w:t>.</w:t>
      </w:r>
      <w:r w:rsidRPr="004F7400">
        <w:rPr>
          <w:rFonts w:cs="Arial"/>
          <w:rtl/>
        </w:rPr>
        <w:t xml:space="preserve"> וזהו שוטה</w:t>
      </w:r>
      <w:r>
        <w:rPr>
          <w:rFonts w:cs="Arial" w:hint="cs"/>
          <w:rtl/>
        </w:rPr>
        <w:t>,</w:t>
      </w:r>
      <w:r w:rsidRPr="004F7400">
        <w:rPr>
          <w:rFonts w:cs="Arial"/>
          <w:rtl/>
        </w:rPr>
        <w:t xml:space="preserve"> שיצא יחידי בלילה</w:t>
      </w:r>
      <w:r>
        <w:rPr>
          <w:rFonts w:cs="Arial" w:hint="cs"/>
          <w:rtl/>
        </w:rPr>
        <w:t>,</w:t>
      </w:r>
      <w:r w:rsidRPr="004F7400">
        <w:rPr>
          <w:rFonts w:cs="Arial"/>
          <w:rtl/>
        </w:rPr>
        <w:t xml:space="preserve"> והלן בב</w:t>
      </w:r>
      <w:r w:rsidRPr="004F7400">
        <w:rPr>
          <w:rFonts w:cs="Arial" w:hint="cs"/>
          <w:rtl/>
        </w:rPr>
        <w:t xml:space="preserve">ית </w:t>
      </w:r>
      <w:r w:rsidRPr="004F7400">
        <w:rPr>
          <w:rFonts w:cs="Arial"/>
          <w:rtl/>
        </w:rPr>
        <w:t>הק</w:t>
      </w:r>
      <w:r w:rsidRPr="004F7400">
        <w:rPr>
          <w:rFonts w:cs="Arial" w:hint="cs"/>
          <w:rtl/>
        </w:rPr>
        <w:t>ברות</w:t>
      </w:r>
      <w:r>
        <w:rPr>
          <w:rFonts w:cs="Arial" w:hint="cs"/>
          <w:rtl/>
        </w:rPr>
        <w:t>,</w:t>
      </w:r>
      <w:r w:rsidRPr="004F7400">
        <w:rPr>
          <w:rFonts w:cs="Arial"/>
          <w:rtl/>
        </w:rPr>
        <w:t xml:space="preserve"> והקורע כסותו</w:t>
      </w:r>
      <w:r>
        <w:rPr>
          <w:rFonts w:cs="Arial" w:hint="cs"/>
          <w:rtl/>
        </w:rPr>
        <w:t>,</w:t>
      </w:r>
      <w:r w:rsidRPr="004F7400">
        <w:rPr>
          <w:rFonts w:cs="Arial"/>
          <w:rtl/>
        </w:rPr>
        <w:t xml:space="preserve"> ומאבד מה שנותנין לו</w:t>
      </w:r>
      <w:r w:rsidRPr="004F7400">
        <w:rPr>
          <w:rFonts w:cs="Arial" w:hint="cs"/>
          <w:rtl/>
        </w:rPr>
        <w:t>,</w:t>
      </w:r>
      <w:r w:rsidRPr="004F7400">
        <w:rPr>
          <w:rFonts w:cs="Arial"/>
          <w:rtl/>
        </w:rPr>
        <w:t xml:space="preserve"> ובאחד מאלו שעושה דרך שטות נקרא שוטה. והרמב"ם </w:t>
      </w:r>
      <w:r w:rsidRPr="004F7400">
        <w:rPr>
          <w:rFonts w:cs="Arial" w:hint="cs"/>
          <w:sz w:val="16"/>
          <w:szCs w:val="16"/>
          <w:rtl/>
        </w:rPr>
        <w:t>(</w:t>
      </w:r>
      <w:r w:rsidRPr="004F7400">
        <w:rPr>
          <w:rFonts w:cs="Arial"/>
          <w:sz w:val="16"/>
          <w:szCs w:val="16"/>
          <w:rtl/>
        </w:rPr>
        <w:t>פ"ט מהל</w:t>
      </w:r>
      <w:r w:rsidRPr="004F7400">
        <w:rPr>
          <w:rFonts w:cs="Arial" w:hint="cs"/>
          <w:sz w:val="16"/>
          <w:szCs w:val="16"/>
          <w:rtl/>
        </w:rPr>
        <w:t>'</w:t>
      </w:r>
      <w:r w:rsidRPr="004F7400">
        <w:rPr>
          <w:rFonts w:cs="Arial"/>
          <w:sz w:val="16"/>
          <w:szCs w:val="16"/>
          <w:rtl/>
        </w:rPr>
        <w:t xml:space="preserve"> עדות ה"ט)</w:t>
      </w:r>
      <w:r w:rsidRPr="004F7400">
        <w:rPr>
          <w:rFonts w:cs="Arial" w:hint="cs"/>
          <w:rtl/>
        </w:rPr>
        <w:t xml:space="preserve"> </w:t>
      </w:r>
      <w:r w:rsidRPr="004F7400">
        <w:rPr>
          <w:rFonts w:cs="Arial"/>
          <w:rtl/>
        </w:rPr>
        <w:t xml:space="preserve">כתב </w:t>
      </w:r>
      <w:r>
        <w:rPr>
          <w:rStyle w:val="ab"/>
          <w:rFonts w:cs="Arial"/>
          <w:rtl/>
        </w:rPr>
        <w:footnoteReference w:id="2567"/>
      </w:r>
      <w:r w:rsidRPr="004F7400">
        <w:rPr>
          <w:rFonts w:cs="Arial"/>
          <w:rtl/>
        </w:rPr>
        <w:t>ולא שוטה שהולך ערום ומשבר כלים וזורק אבנים בלבד אלא כל מי שנטרפה דעתו ונמצא דעתו משובשת</w:t>
      </w:r>
      <w:r>
        <w:rPr>
          <w:rStyle w:val="ab"/>
          <w:rFonts w:cs="Arial"/>
          <w:rtl/>
        </w:rPr>
        <w:footnoteReference w:id="2568"/>
      </w:r>
      <w:r w:rsidRPr="004F7400">
        <w:rPr>
          <w:rFonts w:cs="Arial"/>
          <w:rtl/>
        </w:rPr>
        <w:t xml:space="preserve"> תמיד בדבר מן הדברים אע</w:t>
      </w:r>
      <w:r>
        <w:rPr>
          <w:rFonts w:cs="Arial" w:hint="cs"/>
          <w:rtl/>
        </w:rPr>
        <w:t>"</w:t>
      </w:r>
      <w:r w:rsidRPr="004F7400">
        <w:rPr>
          <w:rFonts w:cs="Arial"/>
          <w:rtl/>
        </w:rPr>
        <w:t>פ שהוא מדבר ושואל כענין בשאר הדברים הרי זה פסול ובכלל שוטה יחשב</w:t>
      </w:r>
      <w:r w:rsidRPr="004F7400">
        <w:rPr>
          <w:rFonts w:cs="Arial" w:hint="cs"/>
          <w:rtl/>
        </w:rPr>
        <w:t>.</w:t>
      </w:r>
      <w:r>
        <w:rPr>
          <w:rFonts w:cs="Arial" w:hint="cs"/>
          <w:rtl/>
        </w:rPr>
        <w:t xml:space="preserve"> </w:t>
      </w:r>
      <w:r w:rsidRPr="00681348">
        <w:rPr>
          <w:rFonts w:cs="Arial" w:hint="cs"/>
          <w:color w:val="E36C0A" w:themeColor="accent6" w:themeShade="BF"/>
          <w:rtl/>
        </w:rPr>
        <w:t>(וכ"פ בשו"ע)</w:t>
      </w:r>
    </w:p>
    <w:p w14:paraId="3EFD05AD" w14:textId="77777777" w:rsidR="004B607F" w:rsidRDefault="004B607F" w:rsidP="004B607F">
      <w:pPr>
        <w:rPr>
          <w:rFonts w:cs="Arial"/>
          <w:u w:val="single"/>
          <w:rtl/>
        </w:rPr>
      </w:pPr>
      <w:r w:rsidRPr="00E90083">
        <w:rPr>
          <w:rFonts w:cs="Arial" w:hint="cs"/>
          <w:u w:val="single"/>
          <w:rtl/>
        </w:rPr>
        <w:t>הא</w:t>
      </w:r>
      <w:r>
        <w:rPr>
          <w:rFonts w:cs="Arial" w:hint="cs"/>
          <w:u w:val="single"/>
          <w:rtl/>
        </w:rPr>
        <w:t xml:space="preserve"> דתניא בגמ' ארבעה דברים שהעושה אותם דרך שטות נקרא שוטה האם אלו דוקא או כל דכוותיה נמי:</w:t>
      </w:r>
    </w:p>
    <w:p w14:paraId="0BCF9C30" w14:textId="77777777" w:rsidR="004B607F" w:rsidRDefault="004B607F" w:rsidP="004B0475">
      <w:pPr>
        <w:pStyle w:val="ac"/>
        <w:numPr>
          <w:ilvl w:val="0"/>
          <w:numId w:val="103"/>
        </w:numPr>
        <w:rPr>
          <w:rFonts w:cs="Arial"/>
        </w:rPr>
      </w:pPr>
      <w:r>
        <w:rPr>
          <w:rFonts w:cs="Arial" w:hint="cs"/>
          <w:rtl/>
        </w:rPr>
        <w:t>רמב"ם</w:t>
      </w:r>
      <w:r w:rsidRPr="00813C8C">
        <w:rPr>
          <w:rFonts w:cs="Arial" w:hint="cs"/>
          <w:sz w:val="16"/>
          <w:szCs w:val="16"/>
          <w:rtl/>
        </w:rPr>
        <w:t xml:space="preserve"> (להב' הב"י</w:t>
      </w:r>
      <w:r w:rsidRPr="006341A4">
        <w:rPr>
          <w:rFonts w:cs="Arial" w:hint="cs"/>
          <w:sz w:val="16"/>
          <w:szCs w:val="16"/>
          <w:rtl/>
        </w:rPr>
        <w:t xml:space="preserve"> </w:t>
      </w:r>
      <w:r>
        <w:rPr>
          <w:rFonts w:cs="Arial" w:hint="cs"/>
          <w:sz w:val="16"/>
          <w:szCs w:val="16"/>
          <w:rtl/>
        </w:rPr>
        <w:t>[</w:t>
      </w:r>
      <w:r w:rsidRPr="006341A4">
        <w:rPr>
          <w:rFonts w:cs="Arial" w:hint="cs"/>
          <w:sz w:val="16"/>
          <w:szCs w:val="16"/>
          <w:rtl/>
        </w:rPr>
        <w:t>סי</w:t>
      </w:r>
      <w:r>
        <w:rPr>
          <w:rFonts w:cs="Arial" w:hint="cs"/>
          <w:sz w:val="16"/>
          <w:szCs w:val="16"/>
          <w:rtl/>
        </w:rPr>
        <w:t>'</w:t>
      </w:r>
      <w:r w:rsidRPr="006341A4">
        <w:rPr>
          <w:rFonts w:cs="Arial" w:hint="cs"/>
          <w:sz w:val="16"/>
          <w:szCs w:val="16"/>
          <w:rtl/>
        </w:rPr>
        <w:t xml:space="preserve"> ק</w:t>
      </w:r>
      <w:r>
        <w:rPr>
          <w:rFonts w:cs="Arial" w:hint="cs"/>
          <w:sz w:val="16"/>
          <w:szCs w:val="16"/>
          <w:rtl/>
        </w:rPr>
        <w:t>כא] וה</w:t>
      </w:r>
      <w:r w:rsidRPr="006341A4">
        <w:rPr>
          <w:rFonts w:cs="Arial" w:hint="cs"/>
          <w:sz w:val="16"/>
          <w:szCs w:val="16"/>
          <w:rtl/>
        </w:rPr>
        <w:t xml:space="preserve">דרכ"מ </w:t>
      </w:r>
      <w:r>
        <w:rPr>
          <w:rFonts w:cs="Arial" w:hint="cs"/>
          <w:sz w:val="16"/>
          <w:szCs w:val="16"/>
          <w:rtl/>
        </w:rPr>
        <w:t>[</w:t>
      </w:r>
      <w:r w:rsidRPr="006341A4">
        <w:rPr>
          <w:rFonts w:cs="Arial" w:hint="cs"/>
          <w:sz w:val="16"/>
          <w:szCs w:val="16"/>
          <w:rtl/>
        </w:rPr>
        <w:t>סי</w:t>
      </w:r>
      <w:r>
        <w:rPr>
          <w:rFonts w:cs="Arial" w:hint="cs"/>
          <w:sz w:val="16"/>
          <w:szCs w:val="16"/>
          <w:rtl/>
        </w:rPr>
        <w:t>'</w:t>
      </w:r>
      <w:r w:rsidRPr="006341A4">
        <w:rPr>
          <w:rFonts w:cs="Arial" w:hint="cs"/>
          <w:sz w:val="16"/>
          <w:szCs w:val="16"/>
          <w:rtl/>
        </w:rPr>
        <w:t xml:space="preserve"> קיט אות </w:t>
      </w:r>
      <w:r w:rsidRPr="006341A4">
        <w:rPr>
          <w:rFonts w:cs="Arial"/>
          <w:sz w:val="16"/>
          <w:szCs w:val="16"/>
          <w:rtl/>
        </w:rPr>
        <w:t>ה</w:t>
      </w:r>
      <w:r>
        <w:rPr>
          <w:rFonts w:cs="Arial" w:hint="cs"/>
          <w:sz w:val="16"/>
          <w:szCs w:val="16"/>
          <w:rtl/>
        </w:rPr>
        <w:t>]</w:t>
      </w:r>
      <w:r w:rsidRPr="00813C8C">
        <w:rPr>
          <w:rFonts w:cs="Arial" w:hint="cs"/>
          <w:sz w:val="16"/>
          <w:szCs w:val="16"/>
          <w:rtl/>
        </w:rPr>
        <w:t>)</w:t>
      </w:r>
      <w:r w:rsidRPr="006341A4">
        <w:rPr>
          <w:rFonts w:cs="Arial"/>
          <w:rtl/>
        </w:rPr>
        <w:t xml:space="preserve"> </w:t>
      </w:r>
      <w:r>
        <w:rPr>
          <w:rFonts w:cs="Arial" w:hint="cs"/>
          <w:rtl/>
        </w:rPr>
        <w:t>ו</w:t>
      </w:r>
      <w:r w:rsidRPr="00F921C1">
        <w:rPr>
          <w:rFonts w:cs="Arial"/>
          <w:rtl/>
        </w:rPr>
        <w:t>מהר</w:t>
      </w:r>
      <w:r>
        <w:rPr>
          <w:rFonts w:cs="Arial" w:hint="cs"/>
          <w:rtl/>
        </w:rPr>
        <w:t>י"ו</w:t>
      </w:r>
      <w:r>
        <w:rPr>
          <w:rStyle w:val="ab"/>
          <w:rFonts w:cs="Arial"/>
          <w:rtl/>
        </w:rPr>
        <w:footnoteReference w:id="2569"/>
      </w:r>
      <w:r w:rsidRPr="00F921C1">
        <w:rPr>
          <w:rFonts w:cs="Arial"/>
          <w:rtl/>
        </w:rPr>
        <w:t xml:space="preserve"> </w:t>
      </w:r>
      <w:r w:rsidRPr="006341A4">
        <w:rPr>
          <w:rFonts w:cs="Arial" w:hint="cs"/>
          <w:sz w:val="16"/>
          <w:szCs w:val="16"/>
          <w:rtl/>
        </w:rPr>
        <w:t>(</w:t>
      </w:r>
      <w:r w:rsidRPr="006341A4">
        <w:rPr>
          <w:rFonts w:cs="Arial"/>
          <w:sz w:val="16"/>
          <w:szCs w:val="16"/>
          <w:rtl/>
        </w:rPr>
        <w:t>סי</w:t>
      </w:r>
      <w:r w:rsidRPr="006341A4">
        <w:rPr>
          <w:rFonts w:cs="Arial" w:hint="cs"/>
          <w:sz w:val="16"/>
          <w:szCs w:val="16"/>
          <w:rtl/>
        </w:rPr>
        <w:t>'</w:t>
      </w:r>
      <w:r w:rsidRPr="006341A4">
        <w:rPr>
          <w:rFonts w:cs="Arial"/>
          <w:sz w:val="16"/>
          <w:szCs w:val="16"/>
          <w:rtl/>
        </w:rPr>
        <w:t xml:space="preserve"> נב</w:t>
      </w:r>
      <w:r>
        <w:rPr>
          <w:rFonts w:cs="Arial" w:hint="cs"/>
          <w:sz w:val="16"/>
          <w:szCs w:val="16"/>
          <w:rtl/>
        </w:rPr>
        <w:t>, הביאו ה</w:t>
      </w:r>
      <w:r w:rsidRPr="006341A4">
        <w:rPr>
          <w:rFonts w:cs="Arial" w:hint="cs"/>
          <w:sz w:val="16"/>
          <w:szCs w:val="16"/>
          <w:rtl/>
        </w:rPr>
        <w:t xml:space="preserve">דרכ"מ </w:t>
      </w:r>
      <w:r>
        <w:rPr>
          <w:rFonts w:cs="Arial" w:hint="cs"/>
          <w:sz w:val="16"/>
          <w:szCs w:val="16"/>
          <w:rtl/>
        </w:rPr>
        <w:t>[שם])</w:t>
      </w:r>
      <w:r w:rsidRPr="00F921C1">
        <w:rPr>
          <w:rFonts w:cs="Arial" w:hint="cs"/>
          <w:rtl/>
        </w:rPr>
        <w:t xml:space="preserve">- </w:t>
      </w:r>
      <w:r>
        <w:rPr>
          <w:rStyle w:val="ab"/>
          <w:rFonts w:cs="Arial"/>
          <w:rtl/>
        </w:rPr>
        <w:footnoteReference w:id="2570"/>
      </w:r>
      <w:r w:rsidRPr="00F921C1">
        <w:rPr>
          <w:rFonts w:cs="Arial"/>
          <w:rtl/>
        </w:rPr>
        <w:t>הני ד' דברים השנויים בברייתא לאו דוקא אלא לדוגמא נקטינהו והוא הדין לשאר דברים</w:t>
      </w:r>
      <w:r>
        <w:rPr>
          <w:rStyle w:val="ab"/>
          <w:rFonts w:cs="Arial"/>
          <w:rtl/>
        </w:rPr>
        <w:footnoteReference w:id="2571"/>
      </w:r>
      <w:r w:rsidRPr="00F921C1">
        <w:rPr>
          <w:rFonts w:cs="Arial"/>
          <w:rtl/>
        </w:rPr>
        <w:t xml:space="preserve">. </w:t>
      </w:r>
      <w:r w:rsidRPr="00681348">
        <w:rPr>
          <w:rFonts w:cs="Arial" w:hint="cs"/>
          <w:color w:val="E36C0A" w:themeColor="accent6" w:themeShade="BF"/>
          <w:rtl/>
        </w:rPr>
        <w:t>(וכ"פ בשו"ע)</w:t>
      </w:r>
    </w:p>
    <w:p w14:paraId="36A784DA" w14:textId="77777777" w:rsidR="004B607F" w:rsidRDefault="004B607F" w:rsidP="004B0475">
      <w:pPr>
        <w:pStyle w:val="ac"/>
        <w:numPr>
          <w:ilvl w:val="0"/>
          <w:numId w:val="103"/>
        </w:numPr>
        <w:rPr>
          <w:rFonts w:cs="Arial"/>
        </w:rPr>
      </w:pPr>
      <w:r w:rsidRPr="00F921C1">
        <w:rPr>
          <w:rFonts w:cs="Arial"/>
          <w:rtl/>
        </w:rPr>
        <w:t xml:space="preserve">ריב"ש </w:t>
      </w:r>
      <w:r w:rsidRPr="00813C8C">
        <w:rPr>
          <w:rFonts w:cs="Arial" w:hint="cs"/>
          <w:sz w:val="16"/>
          <w:szCs w:val="16"/>
          <w:rtl/>
        </w:rPr>
        <w:t>(</w:t>
      </w:r>
      <w:r w:rsidRPr="00813C8C">
        <w:rPr>
          <w:rFonts w:cs="Arial"/>
          <w:sz w:val="16"/>
          <w:szCs w:val="16"/>
          <w:rtl/>
        </w:rPr>
        <w:t>סי</w:t>
      </w:r>
      <w:r w:rsidRPr="00813C8C">
        <w:rPr>
          <w:rFonts w:cs="Arial" w:hint="cs"/>
          <w:sz w:val="16"/>
          <w:szCs w:val="16"/>
          <w:rtl/>
        </w:rPr>
        <w:t>'</w:t>
      </w:r>
      <w:r w:rsidRPr="00813C8C">
        <w:rPr>
          <w:rFonts w:cs="Arial"/>
          <w:sz w:val="16"/>
          <w:szCs w:val="16"/>
          <w:rtl/>
        </w:rPr>
        <w:t xml:space="preserve"> תסח</w:t>
      </w:r>
      <w:r w:rsidRPr="00813C8C">
        <w:rPr>
          <w:rFonts w:cs="Arial" w:hint="cs"/>
          <w:sz w:val="16"/>
          <w:szCs w:val="16"/>
          <w:rtl/>
        </w:rPr>
        <w:t xml:space="preserve"> </w:t>
      </w:r>
      <w:r w:rsidRPr="00813C8C">
        <w:rPr>
          <w:rFonts w:cs="Arial"/>
          <w:sz w:val="16"/>
          <w:szCs w:val="16"/>
          <w:rtl/>
        </w:rPr>
        <w:t>קמג. ד"ה דבר)</w:t>
      </w:r>
      <w:r>
        <w:rPr>
          <w:rFonts w:cs="Arial" w:hint="cs"/>
          <w:rtl/>
        </w:rPr>
        <w:t>-</w:t>
      </w:r>
      <w:r w:rsidRPr="00F921C1">
        <w:rPr>
          <w:rFonts w:cs="Arial"/>
          <w:rtl/>
        </w:rPr>
        <w:t xml:space="preserve"> סימני השוטה מפורשים בפ</w:t>
      </w:r>
      <w:r>
        <w:rPr>
          <w:rFonts w:cs="Arial" w:hint="cs"/>
          <w:rtl/>
        </w:rPr>
        <w:t>"</w:t>
      </w:r>
      <w:r w:rsidRPr="00F921C1">
        <w:rPr>
          <w:rFonts w:cs="Arial"/>
          <w:rtl/>
        </w:rPr>
        <w:t>ק דחגיגה איזהו שוטה היוצא יחידי בלילה וכו'</w:t>
      </w:r>
      <w:r>
        <w:rPr>
          <w:rFonts w:cs="Arial" w:hint="cs"/>
          <w:rtl/>
        </w:rPr>
        <w:t>,</w:t>
      </w:r>
      <w:r w:rsidRPr="00F921C1">
        <w:rPr>
          <w:rFonts w:cs="Arial"/>
          <w:rtl/>
        </w:rPr>
        <w:t xml:space="preserve"> ומפרש התם דעביד להו דרך שטות</w:t>
      </w:r>
      <w:r>
        <w:rPr>
          <w:rFonts w:cs="Arial" w:hint="cs"/>
          <w:rtl/>
        </w:rPr>
        <w:t>,</w:t>
      </w:r>
      <w:r w:rsidRPr="00F921C1">
        <w:rPr>
          <w:rFonts w:cs="Arial"/>
          <w:rtl/>
        </w:rPr>
        <w:t xml:space="preserve"> וכן כל מי שמאבד כל נכסיו לדעת כדתניא נמי התם איזהו שוטה המאבד כל מה שנותנין לו</w:t>
      </w:r>
      <w:r>
        <w:rPr>
          <w:rFonts w:cs="Arial" w:hint="cs"/>
          <w:rtl/>
        </w:rPr>
        <w:t>,</w:t>
      </w:r>
      <w:r w:rsidRPr="00F921C1">
        <w:rPr>
          <w:rFonts w:cs="Arial"/>
          <w:rtl/>
        </w:rPr>
        <w:t xml:space="preserve"> ואמרינן נמי בפרק מי שמת </w:t>
      </w:r>
      <w:r w:rsidRPr="00813C8C">
        <w:rPr>
          <w:rFonts w:cs="Arial"/>
          <w:sz w:val="16"/>
          <w:szCs w:val="16"/>
          <w:rtl/>
        </w:rPr>
        <w:t xml:space="preserve">(קנה:) </w:t>
      </w:r>
      <w:r w:rsidRPr="00F921C1">
        <w:rPr>
          <w:rFonts w:cs="Arial"/>
          <w:rtl/>
        </w:rPr>
        <w:t>ההוא שטותא יתירתא חזא ביה דמשחרר לכולהו עבדיה.</w:t>
      </w:r>
    </w:p>
    <w:p w14:paraId="53A06780" w14:textId="77777777" w:rsidR="004B607F" w:rsidRDefault="004B607F" w:rsidP="004B0475">
      <w:pPr>
        <w:pStyle w:val="ac"/>
        <w:numPr>
          <w:ilvl w:val="0"/>
          <w:numId w:val="103"/>
        </w:numPr>
        <w:rPr>
          <w:rFonts w:cs="Arial"/>
        </w:rPr>
      </w:pPr>
      <w:r w:rsidRPr="00F921C1">
        <w:rPr>
          <w:rFonts w:cs="Arial"/>
          <w:rtl/>
        </w:rPr>
        <w:t>רבינו אביגדור כהן</w:t>
      </w:r>
      <w:r>
        <w:rPr>
          <w:rFonts w:cs="Arial" w:hint="cs"/>
          <w:sz w:val="16"/>
          <w:szCs w:val="16"/>
          <w:rtl/>
        </w:rPr>
        <w:t xml:space="preserve"> (</w:t>
      </w:r>
      <w:r w:rsidRPr="00B45A35">
        <w:rPr>
          <w:rFonts w:cs="Arial" w:hint="cs"/>
          <w:sz w:val="16"/>
          <w:szCs w:val="16"/>
          <w:rtl/>
        </w:rPr>
        <w:t xml:space="preserve">כ"כ בשמו </w:t>
      </w:r>
      <w:r w:rsidRPr="00B45A35">
        <w:rPr>
          <w:rFonts w:cs="Arial"/>
          <w:sz w:val="16"/>
          <w:szCs w:val="16"/>
          <w:rtl/>
        </w:rPr>
        <w:t>מהר</w:t>
      </w:r>
      <w:r w:rsidRPr="00B45A35">
        <w:rPr>
          <w:rFonts w:cs="Arial" w:hint="cs"/>
          <w:sz w:val="16"/>
          <w:szCs w:val="16"/>
          <w:rtl/>
        </w:rPr>
        <w:t>י"ק</w:t>
      </w:r>
      <w:r w:rsidRPr="00B45A35">
        <w:rPr>
          <w:rStyle w:val="ab"/>
          <w:rFonts w:cs="Arial"/>
          <w:sz w:val="16"/>
          <w:szCs w:val="16"/>
          <w:rtl/>
        </w:rPr>
        <w:footnoteReference w:id="2572"/>
      </w:r>
      <w:r w:rsidRPr="00B45A35">
        <w:rPr>
          <w:rFonts w:cs="Arial"/>
          <w:sz w:val="16"/>
          <w:szCs w:val="16"/>
          <w:rtl/>
        </w:rPr>
        <w:t xml:space="preserve"> </w:t>
      </w:r>
      <w:r>
        <w:rPr>
          <w:rFonts w:cs="Arial" w:hint="cs"/>
          <w:sz w:val="16"/>
          <w:szCs w:val="16"/>
          <w:rtl/>
        </w:rPr>
        <w:t>[</w:t>
      </w:r>
      <w:r w:rsidRPr="00813C8C">
        <w:rPr>
          <w:rFonts w:cs="Arial"/>
          <w:sz w:val="16"/>
          <w:szCs w:val="16"/>
          <w:rtl/>
        </w:rPr>
        <w:t>שורש יט</w:t>
      </w:r>
      <w:r>
        <w:rPr>
          <w:rFonts w:cs="Arial" w:hint="cs"/>
          <w:sz w:val="16"/>
          <w:szCs w:val="16"/>
          <w:rtl/>
        </w:rPr>
        <w:t>]</w:t>
      </w:r>
      <w:r w:rsidRPr="00813C8C">
        <w:rPr>
          <w:rFonts w:cs="Arial" w:hint="cs"/>
          <w:sz w:val="16"/>
          <w:szCs w:val="16"/>
          <w:rtl/>
        </w:rPr>
        <w:t>)</w:t>
      </w:r>
      <w:r>
        <w:rPr>
          <w:rFonts w:cs="Arial" w:hint="cs"/>
          <w:rtl/>
        </w:rPr>
        <w:t>-</w:t>
      </w:r>
      <w:r w:rsidRPr="00F921C1">
        <w:rPr>
          <w:rFonts w:cs="Arial"/>
          <w:rtl/>
        </w:rPr>
        <w:t xml:space="preserve"> אם לא הוחזק שוטה בדברים האמורים בפ</w:t>
      </w:r>
      <w:r>
        <w:rPr>
          <w:rFonts w:cs="Arial" w:hint="cs"/>
          <w:rtl/>
        </w:rPr>
        <w:t>"</w:t>
      </w:r>
      <w:r w:rsidRPr="00F921C1">
        <w:rPr>
          <w:rFonts w:cs="Arial"/>
          <w:rtl/>
        </w:rPr>
        <w:t>ק דחגיגה הרי הוא כפקח לכל דבריו.</w:t>
      </w:r>
    </w:p>
    <w:p w14:paraId="4BAF7E34" w14:textId="77777777" w:rsidR="004B607F" w:rsidRPr="006341A4" w:rsidRDefault="004B607F" w:rsidP="004B0475">
      <w:pPr>
        <w:pStyle w:val="ac"/>
        <w:numPr>
          <w:ilvl w:val="0"/>
          <w:numId w:val="103"/>
        </w:numPr>
        <w:rPr>
          <w:rFonts w:cs="Arial"/>
          <w:rtl/>
        </w:rPr>
      </w:pPr>
      <w:r w:rsidRPr="00F921C1">
        <w:rPr>
          <w:rFonts w:cs="Arial"/>
          <w:rtl/>
        </w:rPr>
        <w:t>רבינו שמחה משפירא</w:t>
      </w:r>
      <w:r w:rsidRPr="00F921C1">
        <w:rPr>
          <w:rFonts w:cs="Arial" w:hint="cs"/>
          <w:sz w:val="16"/>
          <w:szCs w:val="16"/>
          <w:rtl/>
        </w:rPr>
        <w:t xml:space="preserve"> (הביאו הב"י בסי' קיט סע' ו</w:t>
      </w:r>
      <w:r w:rsidRPr="00F921C1">
        <w:rPr>
          <w:rFonts w:cs="Arial" w:hint="cs"/>
          <w:sz w:val="12"/>
          <w:szCs w:val="12"/>
          <w:rtl/>
        </w:rPr>
        <w:t>(ב)</w:t>
      </w:r>
      <w:r w:rsidRPr="00F921C1">
        <w:rPr>
          <w:rFonts w:cs="Arial" w:hint="cs"/>
          <w:sz w:val="16"/>
          <w:szCs w:val="16"/>
          <w:rtl/>
        </w:rPr>
        <w:t>)</w:t>
      </w:r>
      <w:r w:rsidRPr="00F921C1">
        <w:rPr>
          <w:rFonts w:cs="Arial" w:hint="cs"/>
          <w:rtl/>
        </w:rPr>
        <w:t>- ל</w:t>
      </w:r>
      <w:r w:rsidRPr="00F921C1">
        <w:rPr>
          <w:rFonts w:cs="Arial"/>
          <w:rtl/>
        </w:rPr>
        <w:t>א מחזיקינן בחזקת שוטה לגרש עד שיראו בה סימני שטות המפורשים בפ</w:t>
      </w:r>
      <w:r>
        <w:rPr>
          <w:rFonts w:cs="Arial" w:hint="cs"/>
          <w:rtl/>
        </w:rPr>
        <w:t>"</w:t>
      </w:r>
      <w:r w:rsidRPr="00F921C1">
        <w:rPr>
          <w:rFonts w:cs="Arial"/>
          <w:rtl/>
        </w:rPr>
        <w:t xml:space="preserve">ק דחגיגה </w:t>
      </w:r>
      <w:r w:rsidRPr="00813C8C">
        <w:rPr>
          <w:rFonts w:cs="Arial"/>
          <w:sz w:val="16"/>
          <w:szCs w:val="16"/>
          <w:rtl/>
        </w:rPr>
        <w:t>(ג:)</w:t>
      </w:r>
      <w:r>
        <w:rPr>
          <w:rFonts w:cs="Arial" w:hint="cs"/>
          <w:rtl/>
        </w:rPr>
        <w:t xml:space="preserve">. </w:t>
      </w:r>
      <w:r w:rsidRPr="00F921C1">
        <w:rPr>
          <w:rFonts w:cs="Arial"/>
          <w:rtl/>
        </w:rPr>
        <w:t xml:space="preserve">ובירושלמי דמסכת תרומות </w:t>
      </w:r>
      <w:r w:rsidRPr="00813C8C">
        <w:rPr>
          <w:rFonts w:cs="Arial"/>
          <w:sz w:val="16"/>
          <w:szCs w:val="16"/>
          <w:rtl/>
        </w:rPr>
        <w:t xml:space="preserve">(פ"א ה"א) </w:t>
      </w:r>
      <w:r w:rsidRPr="00F921C1">
        <w:rPr>
          <w:rFonts w:cs="Arial"/>
          <w:rtl/>
        </w:rPr>
        <w:t>משמע עד שיראו בה כולם</w:t>
      </w:r>
      <w:r>
        <w:rPr>
          <w:rFonts w:cs="Arial" w:hint="cs"/>
          <w:rtl/>
        </w:rPr>
        <w:t xml:space="preserve"> </w:t>
      </w:r>
      <w:r w:rsidRPr="00F921C1">
        <w:rPr>
          <w:rFonts w:cs="Arial"/>
          <w:rtl/>
        </w:rPr>
        <w:t>ופליג קצת אגמרא דידן</w:t>
      </w:r>
      <w:r>
        <w:rPr>
          <w:rFonts w:cs="Arial" w:hint="cs"/>
          <w:rtl/>
        </w:rPr>
        <w:t>,</w:t>
      </w:r>
      <w:r w:rsidRPr="00F921C1">
        <w:rPr>
          <w:rFonts w:cs="Arial"/>
          <w:rtl/>
        </w:rPr>
        <w:t xml:space="preserve"> ועיקר סימן</w:t>
      </w:r>
      <w:r>
        <w:rPr>
          <w:rFonts w:cs="Arial" w:hint="cs"/>
          <w:rtl/>
        </w:rPr>
        <w:t xml:space="preserve"> -</w:t>
      </w:r>
      <w:r w:rsidRPr="00F921C1">
        <w:rPr>
          <w:rFonts w:cs="Arial"/>
          <w:rtl/>
        </w:rPr>
        <w:t xml:space="preserve"> זה המאבד מה שנותנין לו</w:t>
      </w:r>
      <w:r>
        <w:rPr>
          <w:rFonts w:cs="Arial" w:hint="cs"/>
          <w:rtl/>
        </w:rPr>
        <w:t>,</w:t>
      </w:r>
      <w:r w:rsidRPr="00F921C1">
        <w:rPr>
          <w:rFonts w:cs="Arial"/>
          <w:rtl/>
        </w:rPr>
        <w:t xml:space="preserve"> דומיא שטותא יתירתא חזא ביה דהוה משחרר עבדו </w:t>
      </w:r>
      <w:r w:rsidRPr="00813C8C">
        <w:rPr>
          <w:rFonts w:cs="Arial"/>
          <w:sz w:val="16"/>
          <w:szCs w:val="16"/>
          <w:rtl/>
        </w:rPr>
        <w:t>(ב</w:t>
      </w:r>
      <w:r>
        <w:rPr>
          <w:rFonts w:cs="Arial" w:hint="cs"/>
          <w:sz w:val="16"/>
          <w:szCs w:val="16"/>
          <w:rtl/>
        </w:rPr>
        <w:t>"</w:t>
      </w:r>
      <w:r w:rsidRPr="00813C8C">
        <w:rPr>
          <w:rFonts w:cs="Arial"/>
          <w:sz w:val="16"/>
          <w:szCs w:val="16"/>
          <w:rtl/>
        </w:rPr>
        <w:t>ב קנה:)</w:t>
      </w:r>
      <w:r>
        <w:rPr>
          <w:rFonts w:cs="Arial" w:hint="cs"/>
          <w:rtl/>
        </w:rPr>
        <w:t xml:space="preserve">, </w:t>
      </w:r>
      <w:r w:rsidRPr="00F921C1">
        <w:rPr>
          <w:rFonts w:cs="Arial"/>
          <w:rtl/>
        </w:rPr>
        <w:t>ובעוד שלא ראינו סימן זה אפילו בדיקה לא צריך והרי הוא בחזקת פיקח</w:t>
      </w:r>
      <w:r w:rsidRPr="00F921C1">
        <w:rPr>
          <w:rFonts w:cs="Arial" w:hint="cs"/>
          <w:rtl/>
        </w:rPr>
        <w:t>.</w:t>
      </w:r>
    </w:p>
    <w:bookmarkEnd w:id="342"/>
    <w:p w14:paraId="26896F87" w14:textId="77777777" w:rsidR="004B607F" w:rsidRPr="00D124B8" w:rsidRDefault="004B607F" w:rsidP="004B607F">
      <w:pPr>
        <w:rPr>
          <w:rtl/>
        </w:rPr>
      </w:pPr>
      <w:r w:rsidRPr="003024E5">
        <w:rPr>
          <w:rFonts w:asciiTheme="minorBidi" w:hAnsiTheme="minorBidi"/>
          <w:b/>
          <w:bCs/>
          <w:color w:val="000000"/>
          <w:sz w:val="28"/>
          <w:szCs w:val="28"/>
          <w:u w:val="single"/>
          <w:rtl/>
        </w:rPr>
        <w:t>שו"ע:</w:t>
      </w:r>
    </w:p>
    <w:p w14:paraId="01885155" w14:textId="77777777" w:rsidR="004B607F" w:rsidRDefault="004B607F" w:rsidP="004B607F">
      <w:pPr>
        <w:rPr>
          <w:rtl/>
        </w:rPr>
      </w:pPr>
      <w:r>
        <w:rPr>
          <w:rFonts w:cs="Arial"/>
          <w:rtl/>
        </w:rPr>
        <w:t>שוטה פסול. ולא שוטה שהוא הולך ערום ומשבר כלים וזורק אבנים בלבד, אלא כל מי שנטרפה דעתו ונמצאת דעתו משובשת תמיד</w:t>
      </w:r>
      <w:r>
        <w:rPr>
          <w:rStyle w:val="ab"/>
          <w:rFonts w:cs="Arial"/>
          <w:rtl/>
        </w:rPr>
        <w:footnoteReference w:id="2573"/>
      </w:r>
      <w:r>
        <w:rPr>
          <w:rFonts w:cs="Arial"/>
          <w:rtl/>
        </w:rPr>
        <w:t xml:space="preserve"> בדבר מהדברים, אף על פי שהוא מדבר ושואל כענין בשאר דברים, הרי זה פסול, ובכלל שוטים יחשב. </w:t>
      </w:r>
    </w:p>
    <w:p w14:paraId="65A4E1B3" w14:textId="77777777" w:rsidR="004B607F" w:rsidRDefault="004B607F" w:rsidP="004B607F">
      <w:pPr>
        <w:rPr>
          <w:rtl/>
        </w:rPr>
      </w:pPr>
    </w:p>
    <w:p w14:paraId="0173763C" w14:textId="77777777" w:rsidR="004B607F" w:rsidRDefault="004B607F" w:rsidP="004B607F">
      <w:pPr>
        <w:pStyle w:val="2"/>
        <w:rPr>
          <w:rtl/>
        </w:rPr>
      </w:pPr>
      <w:bookmarkStart w:id="343" w:name="_Toc24883792"/>
      <w:r>
        <w:rPr>
          <w:rtl/>
        </w:rPr>
        <w:t>סעיף ט</w:t>
      </w:r>
      <w:r>
        <w:rPr>
          <w:rFonts w:hint="cs"/>
          <w:rtl/>
        </w:rPr>
        <w:t>: עדות הנכפה.</w:t>
      </w:r>
      <w:bookmarkEnd w:id="343"/>
    </w:p>
    <w:p w14:paraId="458B9172" w14:textId="77777777" w:rsidR="004B607F" w:rsidRPr="001808A4" w:rsidRDefault="004B607F" w:rsidP="004B607F">
      <w:pPr>
        <w:rPr>
          <w:rFonts w:cs="Arial"/>
          <w:rtl/>
        </w:rPr>
      </w:pPr>
      <w:bookmarkStart w:id="344" w:name="_Hlk19807150"/>
      <w:r w:rsidRPr="001808A4">
        <w:rPr>
          <w:rFonts w:cs="Arial"/>
          <w:b/>
          <w:bCs/>
          <w:rtl/>
        </w:rPr>
        <w:t>ראש השנה</w:t>
      </w:r>
      <w:r w:rsidRPr="001808A4">
        <w:rPr>
          <w:rFonts w:cs="Arial"/>
          <w:b/>
          <w:bCs/>
          <w:sz w:val="16"/>
          <w:szCs w:val="16"/>
          <w:rtl/>
        </w:rPr>
        <w:t xml:space="preserve"> </w:t>
      </w:r>
      <w:r w:rsidRPr="001808A4">
        <w:rPr>
          <w:rFonts w:cs="Arial" w:hint="cs"/>
          <w:b/>
          <w:bCs/>
          <w:sz w:val="16"/>
          <w:szCs w:val="16"/>
          <w:rtl/>
        </w:rPr>
        <w:t>(</w:t>
      </w:r>
      <w:r w:rsidRPr="001808A4">
        <w:rPr>
          <w:rFonts w:cs="Arial"/>
          <w:b/>
          <w:bCs/>
          <w:sz w:val="16"/>
          <w:szCs w:val="16"/>
          <w:rtl/>
        </w:rPr>
        <w:t>פרק ראוהו בית דין</w:t>
      </w:r>
      <w:r w:rsidRPr="001808A4">
        <w:rPr>
          <w:rFonts w:cs="Arial" w:hint="cs"/>
          <w:b/>
          <w:bCs/>
          <w:sz w:val="16"/>
          <w:szCs w:val="16"/>
          <w:rtl/>
        </w:rPr>
        <w:t>)</w:t>
      </w:r>
      <w:r w:rsidRPr="001808A4">
        <w:rPr>
          <w:rFonts w:cs="Arial" w:hint="cs"/>
          <w:b/>
          <w:bCs/>
          <w:rtl/>
        </w:rPr>
        <w:t xml:space="preserve"> </w:t>
      </w:r>
      <w:r w:rsidRPr="001808A4">
        <w:rPr>
          <w:rFonts w:cs="Arial"/>
          <w:b/>
          <w:bCs/>
          <w:rtl/>
        </w:rPr>
        <w:t>כח</w:t>
      </w:r>
      <w:r>
        <w:rPr>
          <w:rStyle w:val="ab"/>
          <w:rFonts w:cs="Arial"/>
          <w:b/>
          <w:bCs/>
          <w:rtl/>
        </w:rPr>
        <w:footnoteReference w:id="2574"/>
      </w:r>
      <w:r w:rsidRPr="001808A4">
        <w:rPr>
          <w:rFonts w:cs="Arial" w:hint="cs"/>
          <w:b/>
          <w:bCs/>
          <w:rtl/>
        </w:rPr>
        <w:t xml:space="preserve"> ע"א:</w:t>
      </w:r>
      <w:r w:rsidRPr="00553D28">
        <w:rPr>
          <w:rFonts w:cs="Arial"/>
          <w:rtl/>
        </w:rPr>
        <w:t xml:space="preserve"> </w:t>
      </w:r>
      <w:r>
        <w:rPr>
          <w:rFonts w:cs="Arial" w:hint="cs"/>
          <w:rtl/>
        </w:rPr>
        <w:t>וה</w:t>
      </w:r>
      <w:r w:rsidRPr="001808A4">
        <w:rPr>
          <w:rFonts w:cs="Arial"/>
          <w:rtl/>
        </w:rPr>
        <w:t xml:space="preserve">תניא: עתים חלים עתים שוטה, כשהוא חלים - הרי הוא כפקח לכל דבריו, כשהוא שוטה - הרי הוא כשוטה לכל דבריו! </w:t>
      </w:r>
      <w:r w:rsidRPr="00553D28">
        <w:rPr>
          <w:rFonts w:cs="Arial"/>
          <w:rtl/>
        </w:rPr>
        <w:t xml:space="preserve"> </w:t>
      </w:r>
      <w:r w:rsidRPr="001808A4">
        <w:rPr>
          <w:rFonts w:cs="Arial" w:hint="cs"/>
          <w:sz w:val="16"/>
          <w:szCs w:val="16"/>
          <w:rtl/>
        </w:rPr>
        <w:t>(</w:t>
      </w:r>
      <w:r w:rsidRPr="001808A4">
        <w:rPr>
          <w:rFonts w:cs="Arial"/>
          <w:sz w:val="16"/>
          <w:szCs w:val="16"/>
          <w:rtl/>
        </w:rPr>
        <w:t>ו</w:t>
      </w:r>
      <w:r>
        <w:rPr>
          <w:rFonts w:cs="Arial" w:hint="cs"/>
          <w:sz w:val="16"/>
          <w:szCs w:val="16"/>
          <w:rtl/>
        </w:rPr>
        <w:t>כתב הב"י ד</w:t>
      </w:r>
      <w:r w:rsidRPr="001808A4">
        <w:rPr>
          <w:rFonts w:cs="Arial"/>
          <w:sz w:val="16"/>
          <w:szCs w:val="16"/>
          <w:rtl/>
        </w:rPr>
        <w:t>הכי נמי משמע בפ"ב דכתובות (כ.) גבי עובדא דבר שטיא זבין נכסי</w:t>
      </w:r>
      <w:r>
        <w:rPr>
          <w:rFonts w:cs="Arial" w:hint="cs"/>
          <w:sz w:val="16"/>
          <w:szCs w:val="16"/>
          <w:rtl/>
        </w:rPr>
        <w:t xml:space="preserve">. עכ"ל. </w:t>
      </w:r>
      <w:r w:rsidRPr="001808A4">
        <w:rPr>
          <w:rFonts w:cs="Arial" w:hint="cs"/>
          <w:sz w:val="16"/>
          <w:szCs w:val="16"/>
          <w:rtl/>
        </w:rPr>
        <w:t xml:space="preserve">וז"ל הגמ' שם- </w:t>
      </w:r>
      <w:r w:rsidRPr="001808A4">
        <w:rPr>
          <w:rFonts w:cs="Arial"/>
          <w:sz w:val="16"/>
          <w:szCs w:val="16"/>
          <w:rtl/>
        </w:rPr>
        <w:t>בר שטיא זבין נכסי, אתו בי תרי אמרי כשהוא שוטה זבין, ואתו בי תרי ואמרי כשהוא חלים זבין</w:t>
      </w:r>
      <w:r>
        <w:rPr>
          <w:rFonts w:hint="cs"/>
          <w:sz w:val="16"/>
          <w:szCs w:val="16"/>
          <w:rtl/>
        </w:rPr>
        <w:t>)</w:t>
      </w:r>
    </w:p>
    <w:bookmarkEnd w:id="344"/>
    <w:p w14:paraId="16579E5B" w14:textId="77777777" w:rsidR="004B607F" w:rsidRDefault="004B607F" w:rsidP="004B607F">
      <w:pPr>
        <w:rPr>
          <w:rFonts w:cs="Arial"/>
          <w:rtl/>
        </w:rPr>
      </w:pPr>
      <w:r w:rsidRPr="001808A4">
        <w:rPr>
          <w:rFonts w:cs="Arial" w:hint="cs"/>
          <w:u w:val="single"/>
          <w:rtl/>
        </w:rPr>
        <w:t>עדות הנכפה:</w:t>
      </w:r>
    </w:p>
    <w:p w14:paraId="3A62C321" w14:textId="77777777" w:rsidR="004B607F" w:rsidRPr="001808A4" w:rsidRDefault="004B607F" w:rsidP="004B0475">
      <w:pPr>
        <w:pStyle w:val="ac"/>
        <w:numPr>
          <w:ilvl w:val="0"/>
          <w:numId w:val="104"/>
        </w:numPr>
        <w:rPr>
          <w:rFonts w:cs="Arial"/>
          <w:rtl/>
        </w:rPr>
      </w:pPr>
      <w:r>
        <w:rPr>
          <w:rFonts w:cs="Arial" w:hint="cs"/>
          <w:rtl/>
        </w:rPr>
        <w:t xml:space="preserve">רמב"ם </w:t>
      </w:r>
      <w:r>
        <w:rPr>
          <w:rFonts w:cs="Arial" w:hint="cs"/>
          <w:sz w:val="16"/>
          <w:szCs w:val="16"/>
          <w:rtl/>
        </w:rPr>
        <w:t xml:space="preserve">(פ"ט ה"ט) </w:t>
      </w:r>
      <w:r>
        <w:rPr>
          <w:rFonts w:cs="Arial" w:hint="cs"/>
          <w:rtl/>
        </w:rPr>
        <w:t>ו</w:t>
      </w:r>
      <w:r w:rsidRPr="001808A4">
        <w:rPr>
          <w:rFonts w:cs="Arial" w:hint="cs"/>
          <w:rtl/>
        </w:rPr>
        <w:t xml:space="preserve">טור- </w:t>
      </w:r>
      <w:r w:rsidRPr="001808A4">
        <w:rPr>
          <w:rFonts w:cs="Arial"/>
          <w:rtl/>
        </w:rPr>
        <w:t>הנכפה בעת כפייתו פסול</w:t>
      </w:r>
      <w:r>
        <w:rPr>
          <w:rFonts w:cs="Arial" w:hint="cs"/>
          <w:rtl/>
        </w:rPr>
        <w:t>,</w:t>
      </w:r>
      <w:r w:rsidRPr="001808A4">
        <w:rPr>
          <w:rFonts w:cs="Arial"/>
          <w:rtl/>
        </w:rPr>
        <w:t xml:space="preserve"> ובעת שהוא בריא כשר</w:t>
      </w:r>
      <w:r>
        <w:rPr>
          <w:rFonts w:cs="Arial" w:hint="cs"/>
          <w:rtl/>
        </w:rPr>
        <w:t>,</w:t>
      </w:r>
      <w:r w:rsidRPr="001808A4">
        <w:rPr>
          <w:rFonts w:cs="Arial"/>
          <w:rtl/>
        </w:rPr>
        <w:t xml:space="preserve"> ואחד הנכפה מזמן לזמן או הנכפה תמיד בלא עת קבוע</w:t>
      </w:r>
      <w:r>
        <w:rPr>
          <w:rFonts w:cs="Arial" w:hint="cs"/>
          <w:rtl/>
        </w:rPr>
        <w:t>.</w:t>
      </w:r>
      <w:r w:rsidRPr="001808A4">
        <w:rPr>
          <w:rFonts w:cs="Arial"/>
          <w:rtl/>
        </w:rPr>
        <w:t xml:space="preserve"> והוא שלא תהיה דעתו משובשת תמיד</w:t>
      </w:r>
      <w:r>
        <w:rPr>
          <w:rFonts w:cs="Arial" w:hint="cs"/>
          <w:rtl/>
        </w:rPr>
        <w:t>,</w:t>
      </w:r>
      <w:r w:rsidRPr="001808A4">
        <w:rPr>
          <w:rFonts w:cs="Arial"/>
          <w:rtl/>
        </w:rPr>
        <w:t xml:space="preserve"> שהרי יש שם נכפים שגם בעת בריאותם דעתם מטרפת עליהם</w:t>
      </w:r>
      <w:r>
        <w:rPr>
          <w:rFonts w:cs="Arial" w:hint="cs"/>
          <w:rtl/>
        </w:rPr>
        <w:t>.</w:t>
      </w:r>
      <w:r w:rsidRPr="001808A4">
        <w:rPr>
          <w:rFonts w:cs="Arial"/>
          <w:rtl/>
        </w:rPr>
        <w:t xml:space="preserve"> וצריך להתיישב בעדות הנכפין הרבה</w:t>
      </w:r>
      <w:r>
        <w:rPr>
          <w:rFonts w:cs="Arial" w:hint="cs"/>
          <w:sz w:val="16"/>
          <w:szCs w:val="16"/>
          <w:rtl/>
        </w:rPr>
        <w:t xml:space="preserve"> (ל' הרמב"ם</w:t>
      </w:r>
      <w:r w:rsidRPr="001808A4">
        <w:rPr>
          <w:rFonts w:cs="Arial" w:hint="cs"/>
          <w:sz w:val="14"/>
          <w:szCs w:val="14"/>
          <w:rtl/>
        </w:rPr>
        <w:t xml:space="preserve"> [והטור העתיקו]</w:t>
      </w:r>
      <w:r>
        <w:rPr>
          <w:rFonts w:cs="Arial" w:hint="cs"/>
          <w:sz w:val="16"/>
          <w:szCs w:val="16"/>
          <w:rtl/>
        </w:rPr>
        <w:t>)</w:t>
      </w:r>
      <w:r w:rsidRPr="001808A4">
        <w:rPr>
          <w:rFonts w:cs="Arial"/>
          <w:rtl/>
        </w:rPr>
        <w:t>.</w:t>
      </w:r>
      <w:r>
        <w:rPr>
          <w:rFonts w:cs="Arial" w:hint="cs"/>
          <w:rtl/>
        </w:rPr>
        <w:t xml:space="preserve"> </w:t>
      </w:r>
      <w:r w:rsidRPr="001808A4">
        <w:rPr>
          <w:rFonts w:cs="Arial" w:hint="cs"/>
          <w:color w:val="E36C0A" w:themeColor="accent6" w:themeShade="BF"/>
          <w:rtl/>
        </w:rPr>
        <w:t>(</w:t>
      </w:r>
      <w:r>
        <w:rPr>
          <w:rFonts w:cs="Arial" w:hint="cs"/>
          <w:color w:val="E36C0A" w:themeColor="accent6" w:themeShade="BF"/>
          <w:rtl/>
        </w:rPr>
        <w:t>ו</w:t>
      </w:r>
      <w:r w:rsidRPr="001808A4">
        <w:rPr>
          <w:rFonts w:cs="Arial" w:hint="cs"/>
          <w:color w:val="E36C0A" w:themeColor="accent6" w:themeShade="BF"/>
          <w:rtl/>
        </w:rPr>
        <w:t>כ"פ בשו"ע)</w:t>
      </w:r>
    </w:p>
    <w:p w14:paraId="79E49A0F" w14:textId="77777777" w:rsidR="004B607F" w:rsidRPr="003024E5" w:rsidRDefault="004B607F" w:rsidP="004B607F">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51F71FD1" w14:textId="77777777" w:rsidR="004B607F" w:rsidRDefault="004B607F" w:rsidP="004B607F">
      <w:pPr>
        <w:rPr>
          <w:rtl/>
        </w:rPr>
      </w:pPr>
      <w:r>
        <w:rPr>
          <w:rFonts w:cs="Arial"/>
          <w:rtl/>
        </w:rPr>
        <w:lastRenderedPageBreak/>
        <w:t>הנכפה, בעת כפייתו, פסול</w:t>
      </w:r>
      <w:r>
        <w:rPr>
          <w:rFonts w:cs="Arial" w:hint="cs"/>
          <w:rtl/>
        </w:rPr>
        <w:t>.</w:t>
      </w:r>
      <w:r>
        <w:rPr>
          <w:rFonts w:cs="Arial"/>
          <w:rtl/>
        </w:rPr>
        <w:t xml:space="preserve"> ובעת שהוא בריא, כשר. ואחד הנכפה מזמן לזמן, או הנכפה תמיד בלא עת קבוע</w:t>
      </w:r>
      <w:r>
        <w:rPr>
          <w:rFonts w:cs="Arial" w:hint="cs"/>
          <w:rtl/>
        </w:rPr>
        <w:t>.</w:t>
      </w:r>
      <w:r>
        <w:rPr>
          <w:rFonts w:cs="Arial"/>
          <w:rtl/>
        </w:rPr>
        <w:t xml:space="preserve"> והוא שלא תהיה דעתו משובשת תמיד, שהרי יש נכפים שגם בעת בריאותם דעתם מטורפת. וצריך להתיישב בעדות הנכפים הרבה. </w:t>
      </w:r>
    </w:p>
    <w:p w14:paraId="108C8433" w14:textId="77777777" w:rsidR="004B607F" w:rsidRDefault="004B607F" w:rsidP="004B607F">
      <w:pPr>
        <w:rPr>
          <w:rtl/>
        </w:rPr>
      </w:pPr>
    </w:p>
    <w:p w14:paraId="79B841E2" w14:textId="77777777" w:rsidR="004B607F" w:rsidRDefault="004B607F" w:rsidP="004B607F">
      <w:pPr>
        <w:pStyle w:val="2"/>
        <w:rPr>
          <w:rtl/>
        </w:rPr>
      </w:pPr>
      <w:bookmarkStart w:id="345" w:name="_Toc24883793"/>
      <w:r>
        <w:rPr>
          <w:rtl/>
        </w:rPr>
        <w:t>סעיף י</w:t>
      </w:r>
      <w:r>
        <w:rPr>
          <w:rFonts w:hint="cs"/>
          <w:rtl/>
        </w:rPr>
        <w:t>: עדות הפתאים.</w:t>
      </w:r>
      <w:bookmarkEnd w:id="345"/>
    </w:p>
    <w:p w14:paraId="2CC4857F" w14:textId="77777777" w:rsidR="004B607F" w:rsidRDefault="004B607F" w:rsidP="004B607F">
      <w:pPr>
        <w:rPr>
          <w:rFonts w:cs="Arial"/>
          <w:rtl/>
        </w:rPr>
      </w:pPr>
      <w:r w:rsidRPr="001808A4">
        <w:rPr>
          <w:rFonts w:cs="Arial" w:hint="cs"/>
          <w:u w:val="single"/>
          <w:rtl/>
        </w:rPr>
        <w:t>עדות ה</w:t>
      </w:r>
      <w:r>
        <w:rPr>
          <w:rFonts w:cs="Arial" w:hint="cs"/>
          <w:u w:val="single"/>
          <w:rtl/>
        </w:rPr>
        <w:t>פתאים</w:t>
      </w:r>
      <w:r w:rsidRPr="001808A4">
        <w:rPr>
          <w:rFonts w:cs="Arial" w:hint="cs"/>
          <w:u w:val="single"/>
          <w:rtl/>
        </w:rPr>
        <w:t>:</w:t>
      </w:r>
    </w:p>
    <w:p w14:paraId="0A421F7F" w14:textId="77777777" w:rsidR="004B607F" w:rsidRPr="00622CDE" w:rsidRDefault="004B607F" w:rsidP="004B0475">
      <w:pPr>
        <w:pStyle w:val="ac"/>
        <w:numPr>
          <w:ilvl w:val="0"/>
          <w:numId w:val="104"/>
        </w:numPr>
        <w:rPr>
          <w:rFonts w:cs="Arial"/>
          <w:rtl/>
        </w:rPr>
      </w:pPr>
      <w:r w:rsidRPr="001808A4">
        <w:rPr>
          <w:rFonts w:cs="Arial" w:hint="cs"/>
          <w:rtl/>
        </w:rPr>
        <w:t xml:space="preserve">רמב"ם </w:t>
      </w:r>
      <w:r w:rsidRPr="001808A4">
        <w:rPr>
          <w:rFonts w:cs="Arial" w:hint="cs"/>
          <w:sz w:val="16"/>
          <w:szCs w:val="16"/>
          <w:rtl/>
        </w:rPr>
        <w:t>(פ"ט ה"</w:t>
      </w:r>
      <w:r>
        <w:rPr>
          <w:rFonts w:cs="Arial" w:hint="cs"/>
          <w:sz w:val="16"/>
          <w:szCs w:val="16"/>
          <w:rtl/>
        </w:rPr>
        <w:t>י</w:t>
      </w:r>
      <w:r w:rsidRPr="001808A4">
        <w:rPr>
          <w:rFonts w:cs="Arial" w:hint="cs"/>
          <w:sz w:val="16"/>
          <w:szCs w:val="16"/>
          <w:rtl/>
        </w:rPr>
        <w:t xml:space="preserve">) </w:t>
      </w:r>
      <w:r w:rsidRPr="001808A4">
        <w:rPr>
          <w:rFonts w:cs="Arial" w:hint="cs"/>
          <w:rtl/>
        </w:rPr>
        <w:t>בהעי"ט</w:t>
      </w:r>
      <w:r>
        <w:rPr>
          <w:rStyle w:val="ab"/>
          <w:rFonts w:cs="Arial"/>
          <w:rtl/>
        </w:rPr>
        <w:footnoteReference w:id="2575"/>
      </w:r>
      <w:r w:rsidRPr="001808A4">
        <w:rPr>
          <w:rFonts w:cs="Arial"/>
          <w:rtl/>
        </w:rPr>
        <w:t xml:space="preserve"> </w:t>
      </w:r>
      <w:r w:rsidRPr="001808A4">
        <w:rPr>
          <w:rFonts w:cs="Arial"/>
          <w:sz w:val="16"/>
          <w:szCs w:val="16"/>
          <w:rtl/>
        </w:rPr>
        <w:t>(אות ק קבלת עדות נח.)</w:t>
      </w:r>
      <w:r>
        <w:rPr>
          <w:rFonts w:cs="Arial" w:hint="cs"/>
          <w:rtl/>
        </w:rPr>
        <w:t xml:space="preserve"> </w:t>
      </w:r>
      <w:r w:rsidRPr="001808A4">
        <w:rPr>
          <w:rFonts w:cs="Arial" w:hint="cs"/>
          <w:rtl/>
        </w:rPr>
        <w:t xml:space="preserve">וטור- </w:t>
      </w:r>
      <w:r w:rsidRPr="001808A4">
        <w:rPr>
          <w:rFonts w:cs="Arial"/>
          <w:rtl/>
        </w:rPr>
        <w:t>הפתאים ביותר</w:t>
      </w:r>
      <w:r>
        <w:rPr>
          <w:rFonts w:cs="Arial" w:hint="cs"/>
          <w:rtl/>
        </w:rPr>
        <w:t>,</w:t>
      </w:r>
      <w:r w:rsidRPr="001808A4">
        <w:rPr>
          <w:rFonts w:cs="Arial"/>
          <w:rtl/>
        </w:rPr>
        <w:t xml:space="preserve"> שאין מכירין דברים שסותרין זה את זה ולא יבינו עניני הדבר כדרך שמבינין שאר עם הארץ, וכן המבוהלים והנחפזים בדעתם והמשתגעים ביותר </w:t>
      </w:r>
      <w:r>
        <w:rPr>
          <w:rFonts w:cs="Arial" w:hint="cs"/>
          <w:rtl/>
        </w:rPr>
        <w:t xml:space="preserve">- </w:t>
      </w:r>
      <w:r w:rsidRPr="001808A4">
        <w:rPr>
          <w:rFonts w:cs="Arial"/>
          <w:rtl/>
        </w:rPr>
        <w:t>הרי אלו בכלל השוטים, ודבר זה לפי מה שיראה הדיין</w:t>
      </w:r>
      <w:r>
        <w:rPr>
          <w:rFonts w:cs="Arial" w:hint="cs"/>
          <w:rtl/>
        </w:rPr>
        <w:t>,</w:t>
      </w:r>
      <w:r w:rsidRPr="001808A4">
        <w:rPr>
          <w:rFonts w:cs="Arial"/>
          <w:rtl/>
        </w:rPr>
        <w:t xml:space="preserve"> שאי אפשר לכוין הדעת בכתב</w:t>
      </w:r>
      <w:r w:rsidRPr="001808A4">
        <w:rPr>
          <w:rFonts w:cs="Arial" w:hint="cs"/>
          <w:sz w:val="16"/>
          <w:szCs w:val="16"/>
          <w:rtl/>
        </w:rPr>
        <w:t xml:space="preserve"> (ל' הרמב"ם)</w:t>
      </w:r>
      <w:r w:rsidRPr="001808A4">
        <w:rPr>
          <w:rFonts w:cs="Arial"/>
          <w:rtl/>
        </w:rPr>
        <w:t>.</w:t>
      </w:r>
      <w:r w:rsidRPr="001808A4">
        <w:rPr>
          <w:rFonts w:cs="Arial" w:hint="cs"/>
          <w:rtl/>
        </w:rPr>
        <w:t xml:space="preserve"> </w:t>
      </w:r>
      <w:r w:rsidRPr="001808A4">
        <w:rPr>
          <w:rFonts w:cs="Arial" w:hint="cs"/>
          <w:color w:val="E36C0A" w:themeColor="accent6" w:themeShade="BF"/>
          <w:rtl/>
        </w:rPr>
        <w:t>(וכ"פ בשו"ע)</w:t>
      </w:r>
    </w:p>
    <w:p w14:paraId="25BF141E" w14:textId="77777777" w:rsidR="004B607F" w:rsidRPr="003024E5" w:rsidRDefault="004B607F" w:rsidP="004B607F">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2E739998" w14:textId="77777777" w:rsidR="004B607F" w:rsidRDefault="004B607F" w:rsidP="004B607F">
      <w:pPr>
        <w:rPr>
          <w:rtl/>
        </w:rPr>
      </w:pPr>
      <w:r>
        <w:rPr>
          <w:rFonts w:cs="Arial"/>
          <w:rtl/>
        </w:rPr>
        <w:t>הפתאים ביותר</w:t>
      </w:r>
      <w:r>
        <w:rPr>
          <w:rStyle w:val="ab"/>
          <w:rFonts w:cs="Arial"/>
          <w:rtl/>
        </w:rPr>
        <w:footnoteReference w:id="2576"/>
      </w:r>
      <w:r>
        <w:rPr>
          <w:rFonts w:cs="Arial" w:hint="cs"/>
          <w:rtl/>
        </w:rPr>
        <w:t>,</w:t>
      </w:r>
      <w:r>
        <w:rPr>
          <w:rFonts w:cs="Arial"/>
          <w:rtl/>
        </w:rPr>
        <w:t xml:space="preserve"> שאין מכירין דברים שסותרים זה את זה ולא יבינו עניני הדבר כדרך שמבינים שאר עם הארץ, וכן המבוהלים והנחפזים בדעתם והמשתגעים ביותר</w:t>
      </w:r>
      <w:r>
        <w:rPr>
          <w:rStyle w:val="ab"/>
          <w:rFonts w:cs="Arial"/>
          <w:rtl/>
        </w:rPr>
        <w:footnoteReference w:id="2577"/>
      </w:r>
      <w:r>
        <w:rPr>
          <w:rFonts w:cs="Arial"/>
          <w:rtl/>
        </w:rPr>
        <w:t xml:space="preserve">, הרי אלו בכלל השוטים. ודבר זה לפי מה שיראה לדיין, שאי אפשר לכוין הדעת בכתב. </w:t>
      </w:r>
    </w:p>
    <w:p w14:paraId="23D815C4" w14:textId="77777777" w:rsidR="004B607F" w:rsidRDefault="004B607F" w:rsidP="004B607F">
      <w:pPr>
        <w:rPr>
          <w:rtl/>
        </w:rPr>
      </w:pPr>
    </w:p>
    <w:p w14:paraId="33C7C6DD" w14:textId="77777777" w:rsidR="004B607F" w:rsidRPr="0090430F" w:rsidRDefault="004B607F" w:rsidP="004B607F">
      <w:pPr>
        <w:pStyle w:val="2"/>
        <w:rPr>
          <w:rtl/>
        </w:rPr>
      </w:pPr>
      <w:bookmarkStart w:id="346" w:name="_Toc24883794"/>
      <w:r>
        <w:rPr>
          <w:rtl/>
        </w:rPr>
        <w:t>סעיף יא</w:t>
      </w:r>
      <w:r>
        <w:rPr>
          <w:rFonts w:hint="cs"/>
          <w:rtl/>
        </w:rPr>
        <w:t>: עדות חרש ומי שנשתתק.</w:t>
      </w:r>
      <w:bookmarkEnd w:id="346"/>
    </w:p>
    <w:p w14:paraId="1224CAC7" w14:textId="77777777" w:rsidR="004B607F" w:rsidRDefault="004B607F" w:rsidP="004B607F">
      <w:pPr>
        <w:rPr>
          <w:rtl/>
        </w:rPr>
      </w:pPr>
      <w:r w:rsidRPr="0090430F">
        <w:rPr>
          <w:rFonts w:cs="Arial" w:hint="cs"/>
          <w:b/>
          <w:bCs/>
          <w:rtl/>
        </w:rPr>
        <w:t xml:space="preserve">משנה </w:t>
      </w:r>
      <w:r>
        <w:rPr>
          <w:rFonts w:cs="Arial" w:hint="cs"/>
          <w:b/>
          <w:bCs/>
          <w:rtl/>
        </w:rPr>
        <w:t>חולין</w:t>
      </w:r>
      <w:r w:rsidRPr="0090430F">
        <w:rPr>
          <w:rFonts w:cs="Arial"/>
          <w:b/>
          <w:bCs/>
          <w:rtl/>
        </w:rPr>
        <w:t xml:space="preserve"> פ"א מ"א</w:t>
      </w:r>
      <w:r w:rsidRPr="0090430F">
        <w:rPr>
          <w:rFonts w:cs="Arial" w:hint="cs"/>
          <w:b/>
          <w:bCs/>
          <w:rtl/>
        </w:rPr>
        <w:t>:</w:t>
      </w:r>
      <w:r>
        <w:rPr>
          <w:rFonts w:cs="Arial" w:hint="cs"/>
          <w:rtl/>
        </w:rPr>
        <w:t xml:space="preserve"> </w:t>
      </w:r>
      <w:r w:rsidRPr="0090430F">
        <w:rPr>
          <w:rFonts w:cs="Arial"/>
          <w:rtl/>
        </w:rPr>
        <w:t>הכל שוחטין ושחיטתן כשרה חוץ מחרש שוטה וקטן</w:t>
      </w:r>
      <w:r>
        <w:rPr>
          <w:rFonts w:hint="cs"/>
          <w:rtl/>
        </w:rPr>
        <w:t>...</w:t>
      </w:r>
    </w:p>
    <w:p w14:paraId="2883FA81" w14:textId="77777777" w:rsidR="004B607F" w:rsidRDefault="004B607F" w:rsidP="004B607F">
      <w:pPr>
        <w:rPr>
          <w:rtl/>
        </w:rPr>
      </w:pPr>
      <w:r w:rsidRPr="0090430F">
        <w:rPr>
          <w:rFonts w:cs="Arial" w:hint="cs"/>
          <w:b/>
          <w:bCs/>
          <w:rtl/>
        </w:rPr>
        <w:t xml:space="preserve">משנה </w:t>
      </w:r>
      <w:r w:rsidRPr="0090430F">
        <w:rPr>
          <w:rFonts w:cs="Arial"/>
          <w:b/>
          <w:bCs/>
          <w:rtl/>
        </w:rPr>
        <w:t>חגיגה פ"א מ"א</w:t>
      </w:r>
      <w:r w:rsidRPr="0090430F">
        <w:rPr>
          <w:rFonts w:cs="Arial" w:hint="cs"/>
          <w:b/>
          <w:bCs/>
          <w:rtl/>
        </w:rPr>
        <w:t>:</w:t>
      </w:r>
      <w:r>
        <w:rPr>
          <w:rFonts w:cs="Arial" w:hint="cs"/>
          <w:rtl/>
        </w:rPr>
        <w:t xml:space="preserve"> </w:t>
      </w:r>
      <w:r w:rsidRPr="0090430F">
        <w:rPr>
          <w:rFonts w:cs="Arial"/>
          <w:rtl/>
        </w:rPr>
        <w:t>הכל חייבין בראיה חוץ מחרש שוטה וקטן וטומטום ואנדרוגינוס ונשים ועבדים שאינם משוחררים החיגר והסומא והחולה והזקן ומי שאינו יכול לעלות ברגליו</w:t>
      </w:r>
      <w:r>
        <w:rPr>
          <w:rFonts w:hint="cs"/>
          <w:rtl/>
        </w:rPr>
        <w:t>...</w:t>
      </w:r>
      <w:r w:rsidRPr="0090430F">
        <w:rPr>
          <w:rFonts w:cs="Arial"/>
          <w:rtl/>
        </w:rPr>
        <w:t xml:space="preserve"> </w:t>
      </w:r>
      <w:r w:rsidRPr="0090430F">
        <w:rPr>
          <w:rFonts w:cs="Arial" w:hint="cs"/>
          <w:sz w:val="16"/>
          <w:szCs w:val="16"/>
          <w:rtl/>
        </w:rPr>
        <w:t>(</w:t>
      </w:r>
      <w:r w:rsidRPr="0090430F">
        <w:rPr>
          <w:rFonts w:cs="Arial"/>
          <w:sz w:val="16"/>
          <w:szCs w:val="16"/>
          <w:rtl/>
        </w:rPr>
        <w:t>מבואר דבכל דוכתי (</w:t>
      </w:r>
      <w:r w:rsidRPr="0090430F">
        <w:rPr>
          <w:rFonts w:cs="Arial" w:hint="cs"/>
          <w:sz w:val="16"/>
          <w:szCs w:val="16"/>
          <w:rtl/>
        </w:rPr>
        <w:t>כאן וב</w:t>
      </w:r>
      <w:r w:rsidRPr="0090430F">
        <w:rPr>
          <w:rFonts w:cs="Arial"/>
          <w:sz w:val="16"/>
          <w:szCs w:val="16"/>
          <w:rtl/>
        </w:rPr>
        <w:t>חולין פ"א מ"א) חרש בהדי שוטה וקטן שייך</w:t>
      </w:r>
      <w:r w:rsidRPr="0090430F">
        <w:rPr>
          <w:rFonts w:cs="Arial" w:hint="cs"/>
          <w:sz w:val="16"/>
          <w:szCs w:val="16"/>
          <w:rtl/>
        </w:rPr>
        <w:t>.</w:t>
      </w:r>
      <w:r w:rsidRPr="0090430F">
        <w:rPr>
          <w:rFonts w:cs="Arial"/>
          <w:sz w:val="16"/>
          <w:szCs w:val="16"/>
          <w:rtl/>
        </w:rPr>
        <w:t xml:space="preserve"> וטעם פיסול החרש כתב הרמב"ם (פ"ט הי"א) שהוא כשוטה לפי שאין דעתו נכונה ואינו בן מצות</w:t>
      </w:r>
      <w:r>
        <w:rPr>
          <w:rFonts w:cs="Arial" w:hint="cs"/>
          <w:sz w:val="16"/>
          <w:szCs w:val="16"/>
          <w:rtl/>
        </w:rPr>
        <w:t>,</w:t>
      </w:r>
      <w:r w:rsidRPr="0090430F">
        <w:rPr>
          <w:rFonts w:cs="Arial"/>
          <w:sz w:val="16"/>
          <w:szCs w:val="16"/>
          <w:rtl/>
        </w:rPr>
        <w:t xml:space="preserve"> ועוד נתבאר בסמוך בדברי הרמב"ם</w:t>
      </w:r>
      <w:r>
        <w:rPr>
          <w:rFonts w:cs="Arial" w:hint="cs"/>
          <w:sz w:val="16"/>
          <w:szCs w:val="16"/>
          <w:rtl/>
        </w:rPr>
        <w:t>, ב"י)</w:t>
      </w:r>
    </w:p>
    <w:p w14:paraId="6A2DE1E8" w14:textId="77777777" w:rsidR="004B607F" w:rsidRDefault="004B607F" w:rsidP="004B607F">
      <w:pPr>
        <w:rPr>
          <w:rtl/>
        </w:rPr>
      </w:pPr>
      <w:r w:rsidRPr="0090430F">
        <w:rPr>
          <w:rFonts w:cs="Arial"/>
          <w:b/>
          <w:bCs/>
          <w:rtl/>
        </w:rPr>
        <w:t>משנה תרומות פ</w:t>
      </w:r>
      <w:r w:rsidRPr="0090430F">
        <w:rPr>
          <w:rFonts w:cs="Arial" w:hint="cs"/>
          <w:b/>
          <w:bCs/>
          <w:rtl/>
        </w:rPr>
        <w:t>"</w:t>
      </w:r>
      <w:r w:rsidRPr="0090430F">
        <w:rPr>
          <w:rFonts w:cs="Arial"/>
          <w:b/>
          <w:bCs/>
          <w:rtl/>
        </w:rPr>
        <w:t>א מ"ב:</w:t>
      </w:r>
      <w:r w:rsidRPr="0090430F">
        <w:rPr>
          <w:rFonts w:cs="Arial"/>
          <w:rtl/>
        </w:rPr>
        <w:t xml:space="preserve"> חרש שדברו בו חכמים בכל מקום </w:t>
      </w:r>
      <w:r>
        <w:rPr>
          <w:rFonts w:cs="Arial" w:hint="cs"/>
          <w:rtl/>
        </w:rPr>
        <w:t xml:space="preserve">- </w:t>
      </w:r>
      <w:r w:rsidRPr="0090430F">
        <w:rPr>
          <w:rFonts w:cs="Arial"/>
          <w:rtl/>
        </w:rPr>
        <w:t>שאינו לא שומע ולא מדבר</w:t>
      </w:r>
      <w:r>
        <w:rPr>
          <w:rFonts w:cs="Arial" w:hint="cs"/>
          <w:rtl/>
        </w:rPr>
        <w:t>.</w:t>
      </w:r>
    </w:p>
    <w:p w14:paraId="7D406036" w14:textId="77777777" w:rsidR="004B607F" w:rsidRPr="00DE7800" w:rsidRDefault="004B607F" w:rsidP="004B607F">
      <w:pPr>
        <w:rPr>
          <w:rFonts w:cs="Arial"/>
          <w:rtl/>
        </w:rPr>
      </w:pPr>
      <w:r>
        <w:rPr>
          <w:rFonts w:cs="Arial" w:hint="cs"/>
          <w:b/>
          <w:bCs/>
          <w:rtl/>
        </w:rPr>
        <w:t>גיטין</w:t>
      </w:r>
      <w:r w:rsidRPr="000C329A">
        <w:rPr>
          <w:rFonts w:cs="Arial" w:hint="cs"/>
          <w:b/>
          <w:bCs/>
          <w:sz w:val="16"/>
          <w:szCs w:val="16"/>
          <w:rtl/>
        </w:rPr>
        <w:t xml:space="preserve"> (ר"פ מי שאחזו)</w:t>
      </w:r>
      <w:r>
        <w:rPr>
          <w:rFonts w:cs="Arial" w:hint="cs"/>
          <w:b/>
          <w:bCs/>
          <w:rtl/>
        </w:rPr>
        <w:t xml:space="preserve"> עא</w:t>
      </w:r>
      <w:r>
        <w:rPr>
          <w:rStyle w:val="ab"/>
          <w:rFonts w:cs="Arial"/>
          <w:b/>
          <w:bCs/>
          <w:rtl/>
        </w:rPr>
        <w:footnoteReference w:id="2578"/>
      </w:r>
      <w:r>
        <w:rPr>
          <w:rFonts w:cs="Arial" w:hint="cs"/>
          <w:b/>
          <w:bCs/>
          <w:rtl/>
        </w:rPr>
        <w:t xml:space="preserve"> ע"א:</w:t>
      </w:r>
      <w:r w:rsidRPr="007E4C6C">
        <w:rPr>
          <w:rFonts w:cs="Arial" w:hint="cs"/>
          <w:rtl/>
        </w:rPr>
        <w:t xml:space="preserve"> </w:t>
      </w:r>
      <w:r w:rsidRPr="007E4C6C">
        <w:rPr>
          <w:rFonts w:cs="Arial"/>
          <w:u w:val="single"/>
          <w:rtl/>
        </w:rPr>
        <w:t>אמר רב כהנא אמר רב</w:t>
      </w:r>
      <w:r w:rsidRPr="007E4C6C">
        <w:rPr>
          <w:rFonts w:cs="Arial"/>
          <w:rtl/>
        </w:rPr>
        <w:t xml:space="preserve">: חרש שיכול לדבר מתוך הכתב, כותבין ונותנין גט לאשתו. </w:t>
      </w:r>
      <w:r w:rsidRPr="007E4C6C">
        <w:rPr>
          <w:rFonts w:cs="Arial"/>
          <w:u w:val="single"/>
          <w:rtl/>
        </w:rPr>
        <w:t>אמר רב יוסף</w:t>
      </w:r>
      <w:r w:rsidRPr="007E4C6C">
        <w:rPr>
          <w:rFonts w:cs="Arial"/>
          <w:rtl/>
        </w:rPr>
        <w:t xml:space="preserve">: מאי קא משמע לן? תנינא: נשתתק, ואמרו לו נכתוב גט לאשתך והרכין בראשו, בודקין אותו שלשה פעמים, אם אמר על לאו לאו ועל הן הן - הרי אלו יכתבו ויתנו! </w:t>
      </w:r>
      <w:r w:rsidRPr="007E4C6C">
        <w:rPr>
          <w:rFonts w:cs="Arial"/>
          <w:u w:val="single"/>
          <w:rtl/>
        </w:rPr>
        <w:t>אמר ליה רבי זירא</w:t>
      </w:r>
      <w:r w:rsidRPr="007E4C6C">
        <w:rPr>
          <w:rFonts w:cs="Arial"/>
          <w:rtl/>
        </w:rPr>
        <w:t xml:space="preserve">: אלם קאמרת? שאני אלם, דתניא: מדבר ואינו שומע - זהו חרש, שומע ואינו מדבר - זהו אלם, וזה וזה הרי הן כפקחין לכל דבריהם. וממאי דמדבר ואינו שומע זהו חרש, שומע ואינו מדבר זהו אלם? דכתיב: ואני כחרש לא אשמע וכאלם לא יפתח פיו. ואי בעית אימא, כדאמרי אינשי: אישתקיל מילוליה. </w:t>
      </w:r>
      <w:r w:rsidRPr="00A96D69">
        <w:rPr>
          <w:rFonts w:cs="Arial"/>
          <w:u w:val="single"/>
          <w:rtl/>
        </w:rPr>
        <w:t>אמר ר' זירא</w:t>
      </w:r>
      <w:r w:rsidRPr="005D0270">
        <w:rPr>
          <w:rFonts w:cs="Arial"/>
          <w:rtl/>
        </w:rPr>
        <w:t>: אי קשיא לי הא קשיא לי, ד</w:t>
      </w:r>
      <w:r w:rsidRPr="000C329A">
        <w:rPr>
          <w:rFonts w:cs="Arial"/>
          <w:rtl/>
        </w:rPr>
        <w:t>תניא: אם לא יגיד - פרט לאלם</w:t>
      </w:r>
      <w:r>
        <w:rPr>
          <w:rStyle w:val="ab"/>
          <w:rFonts w:cs="Arial"/>
          <w:rtl/>
        </w:rPr>
        <w:footnoteReference w:id="2579"/>
      </w:r>
      <w:r w:rsidRPr="000C329A">
        <w:rPr>
          <w:rFonts w:cs="Arial"/>
          <w:rtl/>
        </w:rPr>
        <w:t xml:space="preserve"> שאינו יכול להגיד; אמאי? הא יכול להגיד מתוך הכתב! </w:t>
      </w:r>
      <w:r w:rsidRPr="00A96D69">
        <w:rPr>
          <w:rFonts w:cs="Arial"/>
          <w:u w:val="single"/>
          <w:rtl/>
        </w:rPr>
        <w:t>אמר ליה אביי</w:t>
      </w:r>
      <w:r w:rsidRPr="000C329A">
        <w:rPr>
          <w:rFonts w:cs="Arial"/>
          <w:rtl/>
        </w:rPr>
        <w:t>: עדות קאמרת? שאני עדות, דרחמנא אמר: מפיהם - ולא מפי כתבם. מיתיבי: כשם שבודקין אותו</w:t>
      </w:r>
      <w:r>
        <w:rPr>
          <w:rStyle w:val="ab"/>
          <w:rFonts w:cs="Arial"/>
          <w:rtl/>
        </w:rPr>
        <w:footnoteReference w:id="2580"/>
      </w:r>
      <w:r w:rsidRPr="000C329A">
        <w:rPr>
          <w:rFonts w:cs="Arial"/>
          <w:rtl/>
        </w:rPr>
        <w:t xml:space="preserve"> לגיטין, כך בודקין אותו למשאות ולמתנות, ולעדיות ולירושות; קתני מיהת עדיות! </w:t>
      </w:r>
      <w:r w:rsidRPr="00A96D69">
        <w:rPr>
          <w:rFonts w:cs="Arial"/>
          <w:u w:val="single"/>
          <w:rtl/>
        </w:rPr>
        <w:t>אמר רב יוסף בר מניומי אמר רב ששת</w:t>
      </w:r>
      <w:r w:rsidRPr="000C329A">
        <w:rPr>
          <w:rFonts w:cs="Arial"/>
          <w:rtl/>
        </w:rPr>
        <w:t>: בעדות אשה</w:t>
      </w:r>
      <w:r>
        <w:rPr>
          <w:rStyle w:val="ab"/>
          <w:rFonts w:cs="Arial"/>
          <w:rtl/>
        </w:rPr>
        <w:footnoteReference w:id="2581"/>
      </w:r>
      <w:r w:rsidRPr="000C329A">
        <w:rPr>
          <w:rFonts w:cs="Arial"/>
          <w:rtl/>
        </w:rPr>
        <w:t>, דאקילו בה רבנן</w:t>
      </w:r>
      <w:r>
        <w:rPr>
          <w:rStyle w:val="ab"/>
          <w:rFonts w:cs="Arial"/>
          <w:rtl/>
        </w:rPr>
        <w:footnoteReference w:id="2582"/>
      </w:r>
      <w:r w:rsidRPr="000C329A">
        <w:rPr>
          <w:rFonts w:cs="Arial"/>
          <w:rtl/>
        </w:rPr>
        <w:t>.</w:t>
      </w:r>
    </w:p>
    <w:p w14:paraId="29B7FD24" w14:textId="77777777" w:rsidR="004B607F" w:rsidRDefault="004B607F" w:rsidP="004B607F">
      <w:pPr>
        <w:rPr>
          <w:rFonts w:cs="Arial"/>
          <w:rtl/>
        </w:rPr>
      </w:pPr>
      <w:r w:rsidRPr="0090430F">
        <w:rPr>
          <w:rFonts w:cs="Arial" w:hint="cs"/>
          <w:u w:val="single"/>
          <w:rtl/>
        </w:rPr>
        <w:t>עדות חרש</w:t>
      </w:r>
      <w:r>
        <w:rPr>
          <w:rFonts w:cs="Arial" w:hint="cs"/>
          <w:u w:val="single"/>
          <w:rtl/>
        </w:rPr>
        <w:t xml:space="preserve"> ומי שנשתתק</w:t>
      </w:r>
      <w:r w:rsidRPr="0090430F">
        <w:rPr>
          <w:rFonts w:cs="Arial" w:hint="cs"/>
          <w:u w:val="single"/>
          <w:rtl/>
        </w:rPr>
        <w:t>:</w:t>
      </w:r>
    </w:p>
    <w:p w14:paraId="12771BEF" w14:textId="77777777" w:rsidR="004B607F" w:rsidRPr="00571D01" w:rsidRDefault="004B607F" w:rsidP="004B0475">
      <w:pPr>
        <w:pStyle w:val="ac"/>
        <w:numPr>
          <w:ilvl w:val="0"/>
          <w:numId w:val="104"/>
        </w:numPr>
        <w:rPr>
          <w:rFonts w:cs="Arial"/>
          <w:rtl/>
        </w:rPr>
      </w:pPr>
      <w:r w:rsidRPr="0090430F">
        <w:rPr>
          <w:rFonts w:cs="Arial"/>
          <w:rtl/>
        </w:rPr>
        <w:lastRenderedPageBreak/>
        <w:t xml:space="preserve">רמב"ם </w:t>
      </w:r>
      <w:r w:rsidRPr="001808A4">
        <w:rPr>
          <w:rFonts w:cs="Arial" w:hint="cs"/>
          <w:sz w:val="16"/>
          <w:szCs w:val="16"/>
          <w:rtl/>
        </w:rPr>
        <w:t>(פ"ט ה</w:t>
      </w:r>
      <w:r>
        <w:rPr>
          <w:rFonts w:cs="Arial" w:hint="cs"/>
          <w:sz w:val="16"/>
          <w:szCs w:val="16"/>
          <w:rtl/>
        </w:rPr>
        <w:t>י"א</w:t>
      </w:r>
      <w:r w:rsidRPr="001808A4">
        <w:rPr>
          <w:rFonts w:cs="Arial" w:hint="cs"/>
          <w:sz w:val="16"/>
          <w:szCs w:val="16"/>
          <w:rtl/>
        </w:rPr>
        <w:t>)</w:t>
      </w:r>
      <w:r>
        <w:rPr>
          <w:rFonts w:cs="Arial" w:hint="cs"/>
          <w:sz w:val="16"/>
          <w:szCs w:val="16"/>
          <w:rtl/>
        </w:rPr>
        <w:t xml:space="preserve"> </w:t>
      </w:r>
      <w:r>
        <w:rPr>
          <w:rFonts w:cs="Arial" w:hint="cs"/>
          <w:rtl/>
        </w:rPr>
        <w:t>ו</w:t>
      </w:r>
      <w:r w:rsidRPr="0090430F">
        <w:rPr>
          <w:rFonts w:cs="Arial" w:hint="cs"/>
          <w:rtl/>
        </w:rPr>
        <w:t>טור-</w:t>
      </w:r>
      <w:r w:rsidRPr="00996A68">
        <w:rPr>
          <w:rtl/>
        </w:rPr>
        <w:t xml:space="preserve"> </w:t>
      </w:r>
      <w:r w:rsidRPr="00996A68">
        <w:rPr>
          <w:rFonts w:cs="Arial"/>
          <w:rtl/>
        </w:rPr>
        <w:t>החרש כשוטה</w:t>
      </w:r>
      <w:r>
        <w:rPr>
          <w:rFonts w:cs="Arial" w:hint="cs"/>
          <w:rtl/>
        </w:rPr>
        <w:t>,</w:t>
      </w:r>
      <w:r w:rsidRPr="00996A68">
        <w:rPr>
          <w:rFonts w:cs="Arial"/>
          <w:rtl/>
        </w:rPr>
        <w:t xml:space="preserve"> שאין דעתו נכונה ואינו בן מצות</w:t>
      </w:r>
      <w:r>
        <w:rPr>
          <w:rFonts w:cs="Arial" w:hint="cs"/>
          <w:rtl/>
        </w:rPr>
        <w:t>.</w:t>
      </w:r>
      <w:r w:rsidRPr="00996A68">
        <w:rPr>
          <w:rFonts w:cs="Arial"/>
          <w:rtl/>
        </w:rPr>
        <w:t xml:space="preserve"> </w:t>
      </w:r>
      <w:r>
        <w:rPr>
          <w:rStyle w:val="ab"/>
          <w:rFonts w:cs="Arial"/>
          <w:rtl/>
        </w:rPr>
        <w:footnoteReference w:id="2583"/>
      </w:r>
      <w:r w:rsidRPr="00996A68">
        <w:rPr>
          <w:rFonts w:cs="Arial"/>
          <w:rtl/>
        </w:rPr>
        <w:t>ואחד חרש מדבר ואינו שומע או שומע ואינו מדבר, אע</w:t>
      </w:r>
      <w:r>
        <w:rPr>
          <w:rFonts w:cs="Arial" w:hint="cs"/>
          <w:rtl/>
        </w:rPr>
        <w:t>"</w:t>
      </w:r>
      <w:r w:rsidRPr="00996A68">
        <w:rPr>
          <w:rFonts w:cs="Arial"/>
          <w:rtl/>
        </w:rPr>
        <w:t>פ שראייתו ראייה מעולה ודעתו נכונה צריך להעיד בב</w:t>
      </w:r>
      <w:r>
        <w:rPr>
          <w:rFonts w:cs="Arial" w:hint="cs"/>
          <w:rtl/>
        </w:rPr>
        <w:t>"</w:t>
      </w:r>
      <w:r w:rsidRPr="00996A68">
        <w:rPr>
          <w:rFonts w:cs="Arial"/>
          <w:rtl/>
        </w:rPr>
        <w:t>ד בפיו, או שיהיה ראוי להעיד בפיו, ויהיה ראוי לשמוע הדיינים</w:t>
      </w:r>
      <w:r>
        <w:rPr>
          <w:rFonts w:cs="Arial" w:hint="cs"/>
          <w:rtl/>
        </w:rPr>
        <w:t>,</w:t>
      </w:r>
      <w:r w:rsidRPr="00996A68">
        <w:rPr>
          <w:rFonts w:cs="Arial"/>
          <w:rtl/>
        </w:rPr>
        <w:t xml:space="preserve"> והאיום שמאיימין עליו</w:t>
      </w:r>
      <w:r>
        <w:rPr>
          <w:rStyle w:val="ab"/>
          <w:rFonts w:cs="Arial"/>
          <w:rtl/>
        </w:rPr>
        <w:footnoteReference w:id="2584"/>
      </w:r>
      <w:r>
        <w:rPr>
          <w:rFonts w:cs="Arial" w:hint="cs"/>
          <w:rtl/>
        </w:rPr>
        <w:t>.</w:t>
      </w:r>
      <w:r w:rsidRPr="00996A68">
        <w:rPr>
          <w:rFonts w:cs="Arial"/>
          <w:rtl/>
        </w:rPr>
        <w:t xml:space="preserve"> וכן אם נשתתק</w:t>
      </w:r>
      <w:r>
        <w:rPr>
          <w:rFonts w:cs="Arial" w:hint="cs"/>
          <w:rtl/>
        </w:rPr>
        <w:t>,</w:t>
      </w:r>
      <w:r w:rsidRPr="00996A68">
        <w:rPr>
          <w:rFonts w:cs="Arial"/>
          <w:rtl/>
        </w:rPr>
        <w:t xml:space="preserve"> אע</w:t>
      </w:r>
      <w:r>
        <w:rPr>
          <w:rFonts w:cs="Arial" w:hint="cs"/>
          <w:rtl/>
        </w:rPr>
        <w:t>"</w:t>
      </w:r>
      <w:r w:rsidRPr="00996A68">
        <w:rPr>
          <w:rFonts w:cs="Arial"/>
          <w:rtl/>
        </w:rPr>
        <w:t xml:space="preserve">פ שנבדק בדרך שבודקין לענין גיטין ונמצאת עדותו מכוונת והעיד בפנינו בכתב ידו </w:t>
      </w:r>
      <w:r>
        <w:rPr>
          <w:rFonts w:cs="Arial" w:hint="cs"/>
          <w:rtl/>
        </w:rPr>
        <w:t xml:space="preserve">- </w:t>
      </w:r>
      <w:r w:rsidRPr="00996A68">
        <w:rPr>
          <w:rFonts w:cs="Arial"/>
          <w:rtl/>
        </w:rPr>
        <w:t>אינו עדות כלל, חוץ מעדות אשה לפי שבעיגונה הקילו.</w:t>
      </w:r>
      <w:r w:rsidRPr="00996A68">
        <w:rPr>
          <w:rFonts w:cs="Arial" w:hint="cs"/>
          <w:color w:val="E36C0A" w:themeColor="accent6" w:themeShade="BF"/>
          <w:rtl/>
        </w:rPr>
        <w:t xml:space="preserve"> </w:t>
      </w:r>
      <w:r w:rsidRPr="001808A4">
        <w:rPr>
          <w:rFonts w:cs="Arial" w:hint="cs"/>
          <w:color w:val="E36C0A" w:themeColor="accent6" w:themeShade="BF"/>
          <w:rtl/>
        </w:rPr>
        <w:t>(וכ"פ בשו"ע)</w:t>
      </w:r>
    </w:p>
    <w:p w14:paraId="7E7748BB" w14:textId="77777777" w:rsidR="004B607F" w:rsidRPr="003024E5" w:rsidRDefault="004B607F" w:rsidP="004B607F">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412E34E1" w14:textId="77777777" w:rsidR="004B607F" w:rsidRDefault="004B607F" w:rsidP="004B607F">
      <w:pPr>
        <w:rPr>
          <w:rtl/>
        </w:rPr>
      </w:pPr>
      <w:r>
        <w:rPr>
          <w:rFonts w:cs="Arial"/>
          <w:rtl/>
        </w:rPr>
        <w:t>חרש פסול</w:t>
      </w:r>
      <w:r>
        <w:rPr>
          <w:rFonts w:cs="Arial" w:hint="cs"/>
          <w:rtl/>
        </w:rPr>
        <w:t>,</w:t>
      </w:r>
      <w:r>
        <w:rPr>
          <w:rFonts w:cs="Arial"/>
          <w:rtl/>
        </w:rPr>
        <w:t xml:space="preserve"> אחד מדבר ואינו שומע או שומע ואינו מדבר ודעתו נכונה, מפני שצריך להעיד בבית דין בפיו</w:t>
      </w:r>
      <w:r>
        <w:rPr>
          <w:rStyle w:val="ab"/>
          <w:rFonts w:cs="Arial"/>
          <w:rtl/>
        </w:rPr>
        <w:footnoteReference w:id="2585"/>
      </w:r>
      <w:r>
        <w:rPr>
          <w:rFonts w:cs="Arial"/>
          <w:rtl/>
        </w:rPr>
        <w:t>, ושיהיה ראוי לשמוע דברי הדיינים והאיום שמאיימים עליו</w:t>
      </w:r>
      <w:r>
        <w:rPr>
          <w:rFonts w:cs="Arial" w:hint="cs"/>
          <w:rtl/>
        </w:rPr>
        <w:t>.</w:t>
      </w:r>
      <w:r>
        <w:rPr>
          <w:rFonts w:cs="Arial"/>
          <w:rtl/>
        </w:rPr>
        <w:t xml:space="preserve"> וכן אם נשתתק</w:t>
      </w:r>
      <w:r>
        <w:rPr>
          <w:rStyle w:val="ab"/>
          <w:rFonts w:cs="Arial"/>
          <w:rtl/>
        </w:rPr>
        <w:footnoteReference w:id="2586"/>
      </w:r>
      <w:r>
        <w:rPr>
          <w:rFonts w:cs="Arial"/>
          <w:rtl/>
        </w:rPr>
        <w:t>, אף על פי שנבדק כדרך שבודקים לענין גיטין ונמצאת עדותו מכוונת והעיד בפנינו בכתב ידו</w:t>
      </w:r>
      <w:r>
        <w:rPr>
          <w:rFonts w:cs="Arial" w:hint="cs"/>
          <w:rtl/>
        </w:rPr>
        <w:t>,</w:t>
      </w:r>
      <w:r>
        <w:rPr>
          <w:rFonts w:cs="Arial"/>
          <w:rtl/>
        </w:rPr>
        <w:t xml:space="preserve"> אינו עדות כלל</w:t>
      </w:r>
      <w:r>
        <w:rPr>
          <w:rStyle w:val="ab"/>
          <w:rFonts w:cs="Arial"/>
          <w:rtl/>
        </w:rPr>
        <w:footnoteReference w:id="2587"/>
      </w:r>
      <w:r>
        <w:rPr>
          <w:rFonts w:cs="Arial" w:hint="cs"/>
          <w:rtl/>
        </w:rPr>
        <w:t>,</w:t>
      </w:r>
      <w:r>
        <w:rPr>
          <w:rFonts w:cs="Arial"/>
          <w:rtl/>
        </w:rPr>
        <w:t xml:space="preserve"> חוץ מעדות אשה לפי שבעגונה הקילו. </w:t>
      </w:r>
    </w:p>
    <w:p w14:paraId="24AF7AD3" w14:textId="77777777" w:rsidR="004B607F" w:rsidRDefault="004B607F" w:rsidP="004B607F">
      <w:pPr>
        <w:rPr>
          <w:rtl/>
        </w:rPr>
      </w:pPr>
    </w:p>
    <w:p w14:paraId="7B07B762" w14:textId="77777777" w:rsidR="004B607F" w:rsidRDefault="004B607F" w:rsidP="004B607F">
      <w:pPr>
        <w:pStyle w:val="2"/>
        <w:rPr>
          <w:rtl/>
        </w:rPr>
      </w:pPr>
      <w:bookmarkStart w:id="347" w:name="_Toc24883795"/>
      <w:r>
        <w:rPr>
          <w:rtl/>
        </w:rPr>
        <w:t>סעיף יב</w:t>
      </w:r>
      <w:r>
        <w:rPr>
          <w:rFonts w:hint="cs"/>
          <w:rtl/>
        </w:rPr>
        <w:t>: עדות סומא.</w:t>
      </w:r>
      <w:bookmarkEnd w:id="347"/>
    </w:p>
    <w:p w14:paraId="7213166C" w14:textId="77777777" w:rsidR="004B607F" w:rsidRPr="00A432CF" w:rsidRDefault="004B607F" w:rsidP="004B607F">
      <w:pPr>
        <w:rPr>
          <w:rtl/>
        </w:rPr>
      </w:pPr>
      <w:r>
        <w:rPr>
          <w:rFonts w:cs="Arial" w:hint="cs"/>
          <w:b/>
          <w:bCs/>
          <w:rtl/>
        </w:rPr>
        <w:t xml:space="preserve">תוספתא </w:t>
      </w:r>
      <w:r>
        <w:rPr>
          <w:rFonts w:cs="Arial" w:hint="cs"/>
          <w:b/>
          <w:bCs/>
          <w:sz w:val="16"/>
          <w:szCs w:val="16"/>
          <w:rtl/>
        </w:rPr>
        <w:t>(צוקרמאנדל)</w:t>
      </w:r>
      <w:r>
        <w:rPr>
          <w:rFonts w:cs="Arial" w:hint="cs"/>
          <w:b/>
          <w:bCs/>
          <w:rtl/>
        </w:rPr>
        <w:t xml:space="preserve"> שבועות פ"ג ה"ח: </w:t>
      </w:r>
      <w:r w:rsidRPr="00A432CF">
        <w:rPr>
          <w:rFonts w:cs="Arial"/>
          <w:rtl/>
        </w:rPr>
        <w:t>והוא עד</w:t>
      </w:r>
      <w:r>
        <w:rPr>
          <w:rFonts w:cs="Arial" w:hint="cs"/>
          <w:rtl/>
        </w:rPr>
        <w:t xml:space="preserve">... </w:t>
      </w:r>
      <w:r w:rsidRPr="00A432CF">
        <w:rPr>
          <w:rFonts w:cs="Arial"/>
          <w:rtl/>
        </w:rPr>
        <w:t xml:space="preserve">או ראה </w:t>
      </w:r>
      <w:r>
        <w:rPr>
          <w:rFonts w:cs="Arial" w:hint="cs"/>
          <w:rtl/>
        </w:rPr>
        <w:t xml:space="preserve">- </w:t>
      </w:r>
      <w:r w:rsidRPr="00A432CF">
        <w:rPr>
          <w:rFonts w:cs="Arial"/>
          <w:rtl/>
        </w:rPr>
        <w:t>להוציא את הסומא</w:t>
      </w:r>
      <w:r>
        <w:rPr>
          <w:rFonts w:cs="Arial" w:hint="cs"/>
          <w:rtl/>
        </w:rPr>
        <w:t>.</w:t>
      </w:r>
    </w:p>
    <w:p w14:paraId="615015C2" w14:textId="77777777" w:rsidR="004B607F" w:rsidRDefault="004B607F" w:rsidP="004B607F">
      <w:pPr>
        <w:rPr>
          <w:rFonts w:cs="Arial"/>
          <w:rtl/>
        </w:rPr>
      </w:pPr>
      <w:bookmarkStart w:id="348" w:name="_Hlk19866673"/>
      <w:r w:rsidRPr="00CD7ECE">
        <w:rPr>
          <w:rFonts w:cs="Arial" w:hint="cs"/>
          <w:b/>
          <w:bCs/>
          <w:rtl/>
        </w:rPr>
        <w:t xml:space="preserve">נדה </w:t>
      </w:r>
      <w:r w:rsidRPr="00CD7ECE">
        <w:rPr>
          <w:rFonts w:cs="Arial" w:hint="cs"/>
          <w:b/>
          <w:bCs/>
          <w:sz w:val="16"/>
          <w:szCs w:val="16"/>
          <w:rtl/>
        </w:rPr>
        <w:t xml:space="preserve">(פרק בא סימן) </w:t>
      </w:r>
      <w:r w:rsidRPr="00CD7ECE">
        <w:rPr>
          <w:rFonts w:cs="Arial" w:hint="cs"/>
          <w:b/>
          <w:bCs/>
          <w:rtl/>
        </w:rPr>
        <w:t>מט</w:t>
      </w:r>
      <w:r>
        <w:rPr>
          <w:rStyle w:val="ab"/>
          <w:rFonts w:cs="Arial"/>
          <w:b/>
          <w:bCs/>
          <w:rtl/>
        </w:rPr>
        <w:footnoteReference w:id="2588"/>
      </w:r>
      <w:r w:rsidRPr="00CD7ECE">
        <w:rPr>
          <w:rFonts w:cs="Arial" w:hint="cs"/>
          <w:b/>
          <w:bCs/>
          <w:rtl/>
        </w:rPr>
        <w:t xml:space="preserve"> ע"ב: </w:t>
      </w:r>
      <w:r w:rsidRPr="00CD7ECE">
        <w:rPr>
          <w:rFonts w:cs="Arial"/>
          <w:u w:val="double"/>
          <w:rtl/>
        </w:rPr>
        <w:t>מתני'</w:t>
      </w:r>
      <w:r>
        <w:rPr>
          <w:rFonts w:cs="Arial" w:hint="cs"/>
          <w:rtl/>
        </w:rPr>
        <w:t>:</w:t>
      </w:r>
      <w:r w:rsidRPr="00CD7ECE">
        <w:rPr>
          <w:rFonts w:cs="Arial"/>
          <w:rtl/>
        </w:rPr>
        <w:t xml:space="preserve"> כל הכשר לדון - כשר להעיד, ויש שכשר להעיד ואינו כשר לדון. </w:t>
      </w:r>
      <w:r>
        <w:rPr>
          <w:rFonts w:cs="Arial" w:hint="cs"/>
          <w:rtl/>
        </w:rPr>
        <w:t xml:space="preserve">    </w:t>
      </w:r>
      <w:r w:rsidRPr="00CD7ECE">
        <w:rPr>
          <w:rFonts w:cs="Arial"/>
          <w:u w:val="double"/>
          <w:rtl/>
        </w:rPr>
        <w:t>גמ'</w:t>
      </w:r>
      <w:r>
        <w:rPr>
          <w:rFonts w:cs="Arial" w:hint="cs"/>
          <w:rtl/>
        </w:rPr>
        <w:t>:</w:t>
      </w:r>
      <w:r w:rsidRPr="00CD7ECE">
        <w:rPr>
          <w:rFonts w:cs="Arial"/>
          <w:rtl/>
        </w:rPr>
        <w:t xml:space="preserve"> לאתויי מאי? </w:t>
      </w:r>
      <w:r w:rsidRPr="00CD7ECE">
        <w:rPr>
          <w:rFonts w:cs="Arial"/>
          <w:u w:val="single"/>
          <w:rtl/>
        </w:rPr>
        <w:t>א"ר יוחנן</w:t>
      </w:r>
      <w:r w:rsidRPr="00CD7ECE">
        <w:rPr>
          <w:rFonts w:cs="Arial"/>
          <w:rtl/>
        </w:rPr>
        <w:t>: לאתויי סומא באחת מעיניו.</w:t>
      </w:r>
    </w:p>
    <w:p w14:paraId="585F9C4D" w14:textId="77777777" w:rsidR="004B607F" w:rsidRPr="00C91683" w:rsidRDefault="004B607F" w:rsidP="004B607F">
      <w:pPr>
        <w:rPr>
          <w:rtl/>
        </w:rPr>
      </w:pPr>
      <w:r>
        <w:rPr>
          <w:rFonts w:cs="Arial" w:hint="cs"/>
          <w:b/>
          <w:bCs/>
          <w:rtl/>
        </w:rPr>
        <w:t xml:space="preserve">בבא בתרא </w:t>
      </w:r>
      <w:r w:rsidRPr="00241977">
        <w:rPr>
          <w:rFonts w:cs="Arial" w:hint="cs"/>
          <w:b/>
          <w:bCs/>
          <w:sz w:val="16"/>
          <w:szCs w:val="16"/>
          <w:rtl/>
        </w:rPr>
        <w:t>(</w:t>
      </w:r>
      <w:r>
        <w:rPr>
          <w:rFonts w:cs="Arial" w:hint="cs"/>
          <w:b/>
          <w:bCs/>
          <w:sz w:val="16"/>
          <w:szCs w:val="16"/>
          <w:rtl/>
        </w:rPr>
        <w:t xml:space="preserve">פרק </w:t>
      </w:r>
      <w:r w:rsidRPr="00241977">
        <w:rPr>
          <w:rFonts w:cs="Arial" w:hint="cs"/>
          <w:b/>
          <w:bCs/>
          <w:sz w:val="16"/>
          <w:szCs w:val="16"/>
          <w:rtl/>
        </w:rPr>
        <w:t>יש נוחלין)</w:t>
      </w:r>
      <w:r>
        <w:rPr>
          <w:rFonts w:cs="Arial" w:hint="cs"/>
          <w:b/>
          <w:bCs/>
          <w:rtl/>
        </w:rPr>
        <w:t xml:space="preserve"> קכח</w:t>
      </w:r>
      <w:r>
        <w:rPr>
          <w:rStyle w:val="ab"/>
          <w:rFonts w:cs="Arial"/>
          <w:b/>
          <w:bCs/>
          <w:rtl/>
        </w:rPr>
        <w:footnoteReference w:id="2589"/>
      </w:r>
      <w:r>
        <w:rPr>
          <w:rFonts w:cs="Arial" w:hint="cs"/>
          <w:b/>
          <w:bCs/>
          <w:rtl/>
        </w:rPr>
        <w:t xml:space="preserve"> ע"א: </w:t>
      </w:r>
      <w:r w:rsidRPr="00C91683">
        <w:rPr>
          <w:rFonts w:cs="Arial"/>
          <w:rtl/>
        </w:rPr>
        <w:t xml:space="preserve">מיתיבי: היה יודע לו בעדות עד שלא נעשה חתנו ונעשה חתנו, פיקח ונתחרש, פיתח ונסתמא, שפוי ונשתטה </w:t>
      </w:r>
      <w:r>
        <w:rPr>
          <w:rFonts w:cs="Arial"/>
          <w:rtl/>
        </w:rPr>
        <w:t>–</w:t>
      </w:r>
      <w:r w:rsidRPr="00C91683">
        <w:rPr>
          <w:rFonts w:cs="Arial"/>
          <w:rtl/>
        </w:rPr>
        <w:t xml:space="preserve"> פסול</w:t>
      </w:r>
      <w:r>
        <w:rPr>
          <w:rFonts w:cs="Arial" w:hint="cs"/>
          <w:rtl/>
        </w:rPr>
        <w:t>.</w:t>
      </w:r>
      <w:r w:rsidRPr="00C91683">
        <w:rPr>
          <w:rFonts w:cs="Arial"/>
          <w:rtl/>
        </w:rPr>
        <w:t xml:space="preserve"> אבל היה יודע לו בעדות עד שלא נעשה חתנו ונעשה חתנו ומתה בתו, פיקח ונתחרש וחזר ונתפקח, פיתח ונסתמא וחזר ונתפתח, שפוי ונשתטה וחזר ונשתפה </w:t>
      </w:r>
      <w:r>
        <w:rPr>
          <w:rFonts w:cs="Arial"/>
          <w:rtl/>
        </w:rPr>
        <w:t>–</w:t>
      </w:r>
      <w:r w:rsidRPr="00C91683">
        <w:rPr>
          <w:rFonts w:cs="Arial"/>
          <w:rtl/>
        </w:rPr>
        <w:t xml:space="preserve"> כשר</w:t>
      </w:r>
      <w:r>
        <w:rPr>
          <w:rFonts w:cs="Arial" w:hint="cs"/>
          <w:rtl/>
        </w:rPr>
        <w:t>.</w:t>
      </w:r>
      <w:r w:rsidRPr="00C91683">
        <w:rPr>
          <w:rFonts w:cs="Arial"/>
          <w:rtl/>
        </w:rPr>
        <w:t xml:space="preserve"> זה הכלל: כל שתחלתו או סופו בפסלות - פסול, תחלתו וסופו בכשרות </w:t>
      </w:r>
      <w:r>
        <w:rPr>
          <w:rFonts w:cs="Arial"/>
          <w:rtl/>
        </w:rPr>
        <w:t>–</w:t>
      </w:r>
      <w:r w:rsidRPr="00C91683">
        <w:rPr>
          <w:rFonts w:cs="Arial"/>
          <w:rtl/>
        </w:rPr>
        <w:t xml:space="preserve"> כשר.</w:t>
      </w:r>
    </w:p>
    <w:p w14:paraId="66FC143B" w14:textId="77777777" w:rsidR="004B607F" w:rsidRPr="00A432CF" w:rsidRDefault="004B607F" w:rsidP="004B607F">
      <w:pPr>
        <w:rPr>
          <w:rFonts w:cs="Arial"/>
          <w:sz w:val="16"/>
          <w:szCs w:val="16"/>
          <w:rtl/>
        </w:rPr>
      </w:pPr>
      <w:r w:rsidRPr="00CD7ECE">
        <w:rPr>
          <w:rFonts w:cs="Arial" w:hint="cs"/>
          <w:b/>
          <w:bCs/>
          <w:rtl/>
        </w:rPr>
        <w:t xml:space="preserve">גיטין </w:t>
      </w:r>
      <w:r w:rsidRPr="00CD7ECE">
        <w:rPr>
          <w:rFonts w:cs="Arial" w:hint="cs"/>
          <w:b/>
          <w:bCs/>
          <w:sz w:val="16"/>
          <w:szCs w:val="16"/>
          <w:rtl/>
        </w:rPr>
        <w:t xml:space="preserve">(פ"ב) </w:t>
      </w:r>
      <w:r w:rsidRPr="00CD7ECE">
        <w:rPr>
          <w:rFonts w:cs="Arial" w:hint="cs"/>
          <w:b/>
          <w:bCs/>
          <w:rtl/>
        </w:rPr>
        <w:t xml:space="preserve">כג ע"א: </w:t>
      </w:r>
      <w:r w:rsidRPr="00CD7ECE">
        <w:rPr>
          <w:rFonts w:cs="Arial"/>
          <w:u w:val="double"/>
          <w:rtl/>
        </w:rPr>
        <w:t>מתני'</w:t>
      </w:r>
      <w:r>
        <w:rPr>
          <w:rFonts w:cs="Arial" w:hint="cs"/>
          <w:rtl/>
        </w:rPr>
        <w:t>:</w:t>
      </w:r>
      <w:r w:rsidRPr="00CD7ECE">
        <w:rPr>
          <w:rFonts w:cs="Arial"/>
          <w:rtl/>
        </w:rPr>
        <w:t xml:space="preserve"> הכל כשרין להביא את הגט, חוץ מחרש, שוטה, וקטן, וסומא, ועובד כוכבים.</w:t>
      </w:r>
      <w:r>
        <w:rPr>
          <w:rFonts w:cs="Arial" w:hint="cs"/>
          <w:rtl/>
        </w:rPr>
        <w:t xml:space="preserve">..    </w:t>
      </w:r>
      <w:r w:rsidRPr="00CD7ECE">
        <w:rPr>
          <w:rFonts w:cs="Arial"/>
          <w:rtl/>
        </w:rPr>
        <w:t xml:space="preserve"> </w:t>
      </w:r>
      <w:r w:rsidRPr="00CD7ECE">
        <w:rPr>
          <w:rFonts w:cs="Arial"/>
          <w:u w:val="double"/>
          <w:rtl/>
        </w:rPr>
        <w:t>גמ'</w:t>
      </w:r>
      <w:r>
        <w:rPr>
          <w:rFonts w:cs="Arial" w:hint="cs"/>
          <w:rtl/>
        </w:rPr>
        <w:t>:</w:t>
      </w:r>
      <w:r w:rsidRPr="00CD7ECE">
        <w:rPr>
          <w:rFonts w:cs="Arial"/>
          <w:rtl/>
        </w:rPr>
        <w:t xml:space="preserve"> בשלמא חרש, שוטה וקטן - דלאו בני דיעה נינהו, עובד כוכבים - נמי דלאו בר היתירא הוא, אלא סומא אמאי לא? </w:t>
      </w:r>
      <w:r w:rsidRPr="00CD7ECE">
        <w:rPr>
          <w:rFonts w:cs="Arial"/>
          <w:u w:val="single"/>
          <w:rtl/>
        </w:rPr>
        <w:t>אמר רב ששת</w:t>
      </w:r>
      <w:r w:rsidRPr="00CD7ECE">
        <w:rPr>
          <w:rFonts w:cs="Arial"/>
          <w:rtl/>
        </w:rPr>
        <w:t xml:space="preserve">: לפי שאינו יודע ממי נוטלו ולמי נותנו. </w:t>
      </w:r>
      <w:r w:rsidRPr="00CD7ECE">
        <w:rPr>
          <w:rFonts w:cs="Arial"/>
          <w:u w:val="single"/>
          <w:rtl/>
        </w:rPr>
        <w:t>מתקיף לה רב יוסף</w:t>
      </w:r>
      <w:r w:rsidRPr="00CD7ECE">
        <w:rPr>
          <w:rFonts w:cs="Arial"/>
          <w:rtl/>
        </w:rPr>
        <w:t xml:space="preserve">: היאך סומא מותר באשתו? היאך בני אדם מותרים בנשותיהם בלילה? אלא בטביעות עינא דקלא, הכא נמי בטביעות עינא דקלא! </w:t>
      </w:r>
      <w:r w:rsidRPr="000B1285">
        <w:rPr>
          <w:rFonts w:cs="Arial"/>
          <w:u w:val="single"/>
          <w:rtl/>
        </w:rPr>
        <w:t>אלא א"ר יוסף</w:t>
      </w:r>
      <w:r w:rsidRPr="00CD7ECE">
        <w:rPr>
          <w:rFonts w:cs="Arial"/>
          <w:rtl/>
        </w:rPr>
        <w:t xml:space="preserve">: הכא בחוצה לארץ עסקינן, דבעי למימר בפני נכתב ובפני נחתם, ולא מצי למימר. </w:t>
      </w:r>
      <w:r>
        <w:rPr>
          <w:rFonts w:cs="Arial" w:hint="cs"/>
          <w:sz w:val="16"/>
          <w:szCs w:val="16"/>
          <w:rtl/>
        </w:rPr>
        <w:t>(החידוש מגמ' זו הוא דאף דיש לסומא טביעות עינא דקלא דמועיל בשליחות גט לומר בפני נכתב ובפני נחתם מכל מקום פסול לעדות בגזרת הכתוב, כדמוכח לעיל)</w:t>
      </w:r>
    </w:p>
    <w:p w14:paraId="6FA1089A" w14:textId="77777777" w:rsidR="004B607F" w:rsidRDefault="004B607F" w:rsidP="004B607F">
      <w:pPr>
        <w:rPr>
          <w:rFonts w:cs="Arial"/>
          <w:rtl/>
        </w:rPr>
      </w:pPr>
      <w:r w:rsidRPr="00C91683">
        <w:rPr>
          <w:rFonts w:cs="Arial" w:hint="cs"/>
          <w:u w:val="single"/>
          <w:rtl/>
        </w:rPr>
        <w:t>עדות סומא:</w:t>
      </w:r>
    </w:p>
    <w:p w14:paraId="0FD3EEBD" w14:textId="77777777" w:rsidR="004B607F" w:rsidRPr="00C91683" w:rsidRDefault="004B607F" w:rsidP="004B0475">
      <w:pPr>
        <w:pStyle w:val="ac"/>
        <w:numPr>
          <w:ilvl w:val="0"/>
          <w:numId w:val="104"/>
        </w:numPr>
        <w:rPr>
          <w:rFonts w:cs="Arial"/>
          <w:rtl/>
        </w:rPr>
      </w:pPr>
      <w:r w:rsidRPr="00C91683">
        <w:rPr>
          <w:rFonts w:cs="Arial" w:hint="cs"/>
          <w:rtl/>
        </w:rPr>
        <w:t>טור-</w:t>
      </w:r>
      <w:r w:rsidRPr="00C91683">
        <w:rPr>
          <w:rFonts w:cs="Arial"/>
          <w:rtl/>
        </w:rPr>
        <w:t xml:space="preserve"> סומא פסול אע</w:t>
      </w:r>
      <w:r>
        <w:rPr>
          <w:rFonts w:cs="Arial" w:hint="cs"/>
          <w:rtl/>
        </w:rPr>
        <w:t>"</w:t>
      </w:r>
      <w:r w:rsidRPr="00C91683">
        <w:rPr>
          <w:rFonts w:cs="Arial"/>
          <w:rtl/>
        </w:rPr>
        <w:t>פ שהוא מכיר הקול והאנשים ומכוונת עדותו התורה פסלתו דכתיב והוא עד או ראה</w:t>
      </w:r>
      <w:r>
        <w:rPr>
          <w:rFonts w:cs="Arial" w:hint="cs"/>
          <w:rtl/>
        </w:rPr>
        <w:t>.</w:t>
      </w:r>
      <w:r w:rsidRPr="00C91683">
        <w:rPr>
          <w:rFonts w:cs="Arial"/>
          <w:rtl/>
        </w:rPr>
        <w:t xml:space="preserve"> אבל סומא באחד מעיניו כשר</w:t>
      </w:r>
      <w:r>
        <w:rPr>
          <w:rStyle w:val="ab"/>
          <w:rFonts w:cs="Arial"/>
          <w:rtl/>
        </w:rPr>
        <w:footnoteReference w:id="2590"/>
      </w:r>
      <w:r w:rsidRPr="00C91683">
        <w:rPr>
          <w:rFonts w:cs="Arial" w:hint="cs"/>
          <w:rtl/>
        </w:rPr>
        <w:t>.</w:t>
      </w:r>
      <w:r>
        <w:rPr>
          <w:rFonts w:cs="Arial" w:hint="cs"/>
          <w:rtl/>
        </w:rPr>
        <w:t xml:space="preserve"> </w:t>
      </w:r>
      <w:r w:rsidRPr="00012464">
        <w:rPr>
          <w:rFonts w:cs="Arial" w:hint="cs"/>
          <w:color w:val="E36C0A" w:themeColor="accent6" w:themeShade="BF"/>
          <w:rtl/>
        </w:rPr>
        <w:t>(וכ"פ בשו"ע)</w:t>
      </w:r>
    </w:p>
    <w:bookmarkEnd w:id="348"/>
    <w:p w14:paraId="507A86A0" w14:textId="77777777" w:rsidR="004B607F" w:rsidRPr="003024E5" w:rsidRDefault="004B607F" w:rsidP="004B607F">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078B8A49" w14:textId="77777777" w:rsidR="004B607F" w:rsidRDefault="004B607F" w:rsidP="004B607F">
      <w:pPr>
        <w:rPr>
          <w:rtl/>
        </w:rPr>
      </w:pPr>
      <w:r>
        <w:rPr>
          <w:rFonts w:cs="Arial"/>
          <w:rtl/>
        </w:rPr>
        <w:lastRenderedPageBreak/>
        <w:t xml:space="preserve">סומא בשתי עיניו, אף על פי שמכיר הקול והאנשים ומכוונת עדותו, פסול. </w:t>
      </w:r>
    </w:p>
    <w:p w14:paraId="0F44C40D" w14:textId="77777777" w:rsidR="004B607F" w:rsidRDefault="004B607F" w:rsidP="004B607F">
      <w:pPr>
        <w:rPr>
          <w:rtl/>
        </w:rPr>
      </w:pPr>
    </w:p>
    <w:p w14:paraId="5C21DCAB" w14:textId="77777777" w:rsidR="004B607F" w:rsidRDefault="004B607F" w:rsidP="004B607F">
      <w:pPr>
        <w:pStyle w:val="2"/>
        <w:rPr>
          <w:rtl/>
        </w:rPr>
      </w:pPr>
      <w:bookmarkStart w:id="349" w:name="_Toc24883796"/>
      <w:r>
        <w:rPr>
          <w:rtl/>
        </w:rPr>
        <w:t>סעיף יג</w:t>
      </w:r>
      <w:r>
        <w:rPr>
          <w:rFonts w:hint="cs"/>
          <w:rtl/>
        </w:rPr>
        <w:t>: חרש/שוטה/סומא שהבריא. בריא שנתחרש/נשתטה/נסתמא ושוב הבריא.</w:t>
      </w:r>
      <w:bookmarkEnd w:id="349"/>
    </w:p>
    <w:p w14:paraId="1A1B83EF" w14:textId="77777777" w:rsidR="004B607F" w:rsidRPr="00E77275" w:rsidRDefault="004B607F" w:rsidP="004B607F">
      <w:pPr>
        <w:rPr>
          <w:rtl/>
        </w:rPr>
      </w:pPr>
      <w:r>
        <w:rPr>
          <w:rFonts w:cs="Arial" w:hint="cs"/>
          <w:b/>
          <w:bCs/>
          <w:rtl/>
        </w:rPr>
        <w:t xml:space="preserve">בבא בתרא </w:t>
      </w:r>
      <w:r w:rsidRPr="00241977">
        <w:rPr>
          <w:rFonts w:cs="Arial" w:hint="cs"/>
          <w:b/>
          <w:bCs/>
          <w:sz w:val="16"/>
          <w:szCs w:val="16"/>
          <w:rtl/>
        </w:rPr>
        <w:t>(</w:t>
      </w:r>
      <w:r>
        <w:rPr>
          <w:rFonts w:cs="Arial" w:hint="cs"/>
          <w:b/>
          <w:bCs/>
          <w:sz w:val="16"/>
          <w:szCs w:val="16"/>
          <w:rtl/>
        </w:rPr>
        <w:t xml:space="preserve">פרק </w:t>
      </w:r>
      <w:r w:rsidRPr="00241977">
        <w:rPr>
          <w:rFonts w:cs="Arial" w:hint="cs"/>
          <w:b/>
          <w:bCs/>
          <w:sz w:val="16"/>
          <w:szCs w:val="16"/>
          <w:rtl/>
        </w:rPr>
        <w:t>יש נוחלין)</w:t>
      </w:r>
      <w:r>
        <w:rPr>
          <w:rFonts w:cs="Arial" w:hint="cs"/>
          <w:b/>
          <w:bCs/>
          <w:rtl/>
        </w:rPr>
        <w:t xml:space="preserve"> קכח</w:t>
      </w:r>
      <w:r>
        <w:rPr>
          <w:rStyle w:val="ab"/>
          <w:rFonts w:cs="Arial"/>
          <w:b/>
          <w:bCs/>
          <w:rtl/>
        </w:rPr>
        <w:footnoteReference w:id="2591"/>
      </w:r>
      <w:r>
        <w:rPr>
          <w:rFonts w:cs="Arial" w:hint="cs"/>
          <w:b/>
          <w:bCs/>
          <w:rtl/>
        </w:rPr>
        <w:t xml:space="preserve"> ע"א: </w:t>
      </w:r>
      <w:r w:rsidRPr="00C91683">
        <w:rPr>
          <w:rFonts w:cs="Arial"/>
          <w:rtl/>
        </w:rPr>
        <w:t xml:space="preserve">מיתיבי: היה יודע לו בעדות עד שלא נעשה חתנו ונעשה חתנו, פיקח ונתחרש, פיתח ונסתמא, שפוי ונשתטה </w:t>
      </w:r>
      <w:r>
        <w:rPr>
          <w:rFonts w:cs="Arial"/>
          <w:rtl/>
        </w:rPr>
        <w:t>–</w:t>
      </w:r>
      <w:r w:rsidRPr="00C91683">
        <w:rPr>
          <w:rFonts w:cs="Arial"/>
          <w:rtl/>
        </w:rPr>
        <w:t xml:space="preserve"> פסול</w:t>
      </w:r>
      <w:r>
        <w:rPr>
          <w:rFonts w:cs="Arial" w:hint="cs"/>
          <w:rtl/>
        </w:rPr>
        <w:t>.</w:t>
      </w:r>
      <w:r w:rsidRPr="00C91683">
        <w:rPr>
          <w:rFonts w:cs="Arial"/>
          <w:rtl/>
        </w:rPr>
        <w:t xml:space="preserve"> אבל היה יודע לו בעדות עד שלא נעשה חתנו ונעשה חתנו ומתה בתו, פיקח ונתחרש וחזר ונתפקח, פיתח ונסתמא וחזר ונתפתח, שפוי ונשתטה וחזר ונשתפה </w:t>
      </w:r>
      <w:r>
        <w:rPr>
          <w:rFonts w:cs="Arial"/>
          <w:rtl/>
        </w:rPr>
        <w:t>–</w:t>
      </w:r>
      <w:r w:rsidRPr="00C91683">
        <w:rPr>
          <w:rFonts w:cs="Arial"/>
          <w:rtl/>
        </w:rPr>
        <w:t xml:space="preserve"> כשר</w:t>
      </w:r>
      <w:r>
        <w:rPr>
          <w:rFonts w:cs="Arial" w:hint="cs"/>
          <w:rtl/>
        </w:rPr>
        <w:t>.</w:t>
      </w:r>
      <w:r w:rsidRPr="00C91683">
        <w:rPr>
          <w:rFonts w:cs="Arial"/>
          <w:rtl/>
        </w:rPr>
        <w:t xml:space="preserve"> זה הכלל: כל שתחלתו או סופו בפסלות - פסול, תחלתו וסופו בכשרות </w:t>
      </w:r>
      <w:r>
        <w:rPr>
          <w:rFonts w:cs="Arial"/>
          <w:rtl/>
        </w:rPr>
        <w:t>–</w:t>
      </w:r>
      <w:r w:rsidRPr="00C91683">
        <w:rPr>
          <w:rFonts w:cs="Arial"/>
          <w:rtl/>
        </w:rPr>
        <w:t xml:space="preserve"> כשר.</w:t>
      </w:r>
    </w:p>
    <w:p w14:paraId="2CA12C4F" w14:textId="77777777" w:rsidR="004B607F" w:rsidRDefault="004B607F" w:rsidP="004B607F">
      <w:pPr>
        <w:rPr>
          <w:rFonts w:cs="Arial"/>
          <w:rtl/>
        </w:rPr>
      </w:pPr>
      <w:r w:rsidRPr="00E77275">
        <w:rPr>
          <w:rFonts w:hint="cs"/>
          <w:u w:val="single"/>
          <w:rtl/>
        </w:rPr>
        <w:t>חרש/שוטה/סומא שהבריא</w:t>
      </w:r>
      <w:r>
        <w:rPr>
          <w:rFonts w:hint="cs"/>
          <w:u w:val="single"/>
          <w:rtl/>
        </w:rPr>
        <w:t>,</w:t>
      </w:r>
      <w:r w:rsidRPr="00E77275">
        <w:rPr>
          <w:rFonts w:hint="cs"/>
          <w:u w:val="single"/>
          <w:rtl/>
        </w:rPr>
        <w:t xml:space="preserve"> </w:t>
      </w:r>
      <w:r>
        <w:rPr>
          <w:rFonts w:hint="cs"/>
          <w:u w:val="single"/>
          <w:rtl/>
        </w:rPr>
        <w:t xml:space="preserve">וכן </w:t>
      </w:r>
      <w:r w:rsidRPr="00E77275">
        <w:rPr>
          <w:rFonts w:hint="cs"/>
          <w:u w:val="single"/>
          <w:rtl/>
        </w:rPr>
        <w:t>בריא שנתחרש/נשתטה/נסתמא ושוב הבריא</w:t>
      </w:r>
      <w:r w:rsidRPr="00E77275">
        <w:rPr>
          <w:rFonts w:cs="Arial" w:hint="cs"/>
          <w:u w:val="single"/>
          <w:rtl/>
        </w:rPr>
        <w:t>:</w:t>
      </w:r>
    </w:p>
    <w:p w14:paraId="3E2DAD4A" w14:textId="77777777" w:rsidR="004B607F" w:rsidRPr="00E77275" w:rsidRDefault="004B607F" w:rsidP="004B0475">
      <w:pPr>
        <w:pStyle w:val="ac"/>
        <w:numPr>
          <w:ilvl w:val="0"/>
          <w:numId w:val="104"/>
        </w:numPr>
        <w:rPr>
          <w:rFonts w:cs="Arial"/>
          <w:rtl/>
        </w:rPr>
      </w:pPr>
      <w:r w:rsidRPr="00E77275">
        <w:rPr>
          <w:rFonts w:cs="Arial"/>
          <w:rtl/>
        </w:rPr>
        <w:t>טו</w:t>
      </w:r>
      <w:r w:rsidRPr="00E77275">
        <w:rPr>
          <w:rFonts w:cs="Arial" w:hint="cs"/>
          <w:rtl/>
        </w:rPr>
        <w:t>ר-</w:t>
      </w:r>
      <w:r w:rsidRPr="00E77275">
        <w:rPr>
          <w:rFonts w:cs="Arial"/>
          <w:rtl/>
        </w:rPr>
        <w:t xml:space="preserve"> וכל אלו בין שהיה חרש שוטה וקטן או סומא בשעה שנמסר לו העדות ובריא בשעת העדאת העדות או איפכא </w:t>
      </w:r>
      <w:r>
        <w:rPr>
          <w:rFonts w:cs="Arial" w:hint="cs"/>
          <w:rtl/>
        </w:rPr>
        <w:t xml:space="preserve">- </w:t>
      </w:r>
      <w:r w:rsidRPr="00E77275">
        <w:rPr>
          <w:rFonts w:cs="Arial"/>
          <w:rtl/>
        </w:rPr>
        <w:t>פסולין</w:t>
      </w:r>
      <w:r>
        <w:rPr>
          <w:rFonts w:cs="Arial" w:hint="cs"/>
          <w:rtl/>
        </w:rPr>
        <w:t>,</w:t>
      </w:r>
      <w:r w:rsidRPr="00E77275">
        <w:rPr>
          <w:rFonts w:cs="Arial"/>
          <w:rtl/>
        </w:rPr>
        <w:t xml:space="preserve"> עד שיהא בריא בשעת העדאת העדות ובשעה שנמסר לו עדות</w:t>
      </w:r>
      <w:r>
        <w:rPr>
          <w:rFonts w:cs="Arial" w:hint="cs"/>
          <w:rtl/>
        </w:rPr>
        <w:t>,</w:t>
      </w:r>
      <w:r w:rsidRPr="00E77275">
        <w:rPr>
          <w:rFonts w:cs="Arial"/>
          <w:rtl/>
        </w:rPr>
        <w:t xml:space="preserve"> ואז הם כשרים אפילו הם פסולים באמצע</w:t>
      </w:r>
      <w:r>
        <w:rPr>
          <w:rFonts w:cs="Arial" w:hint="cs"/>
          <w:rtl/>
        </w:rPr>
        <w:t xml:space="preserve">. </w:t>
      </w:r>
      <w:r w:rsidRPr="00012464">
        <w:rPr>
          <w:rFonts w:cs="Arial" w:hint="cs"/>
          <w:color w:val="E36C0A" w:themeColor="accent6" w:themeShade="BF"/>
          <w:rtl/>
        </w:rPr>
        <w:t>(וכ"פ בשו"ע)</w:t>
      </w:r>
    </w:p>
    <w:p w14:paraId="795DBA82" w14:textId="77777777" w:rsidR="004B607F" w:rsidRPr="003024E5" w:rsidRDefault="004B607F" w:rsidP="004B607F">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1BC90A22" w14:textId="77777777" w:rsidR="004B607F" w:rsidRDefault="004B607F" w:rsidP="004B607F">
      <w:pPr>
        <w:rPr>
          <w:rtl/>
        </w:rPr>
      </w:pPr>
      <w:r>
        <w:rPr>
          <w:rFonts w:cs="Arial"/>
          <w:rtl/>
        </w:rPr>
        <w:t xml:space="preserve">היה חרש או שוטה או סומא בשעה שנמסר לו העדות, ובריא בשעת העדאת העדות, או איפכא, פסולים. אבל אם היה בריא בשעה שנמסר לו העדות ובשעת העדאת העדות, אף על פי שבאמצע נתחרש או נשתטה או נסתמא, מאחר שתחלתו וסופו בכשרות, כשר. </w:t>
      </w:r>
      <w:r>
        <w:rPr>
          <w:rFonts w:hint="cs"/>
          <w:rtl/>
        </w:rPr>
        <w:t xml:space="preserve"> </w:t>
      </w:r>
    </w:p>
    <w:p w14:paraId="0A968C67" w14:textId="77777777" w:rsidR="004B607F" w:rsidRDefault="004B607F" w:rsidP="004B607F">
      <w:pPr>
        <w:rPr>
          <w:rtl/>
        </w:rPr>
      </w:pPr>
    </w:p>
    <w:p w14:paraId="4C94FAEC" w14:textId="77777777" w:rsidR="004B607F" w:rsidRDefault="004B607F" w:rsidP="004B607F">
      <w:pPr>
        <w:pStyle w:val="2"/>
        <w:rPr>
          <w:rtl/>
        </w:rPr>
      </w:pPr>
      <w:bookmarkStart w:id="350" w:name="_Toc24883797"/>
      <w:r>
        <w:rPr>
          <w:rtl/>
        </w:rPr>
        <w:t>סעיף יד</w:t>
      </w:r>
      <w:r>
        <w:rPr>
          <w:rFonts w:hint="cs"/>
          <w:rtl/>
        </w:rPr>
        <w:t>: עדות אשה, טומטום ואנדרוגינוס.</w:t>
      </w:r>
      <w:bookmarkEnd w:id="350"/>
    </w:p>
    <w:p w14:paraId="0A6B0FB9" w14:textId="77777777" w:rsidR="004B607F" w:rsidRPr="00800DDC" w:rsidRDefault="004B607F" w:rsidP="004B607F">
      <w:pPr>
        <w:rPr>
          <w:rtl/>
        </w:rPr>
      </w:pPr>
      <w:r>
        <w:rPr>
          <w:rFonts w:cs="Arial" w:hint="cs"/>
          <w:b/>
          <w:bCs/>
          <w:rtl/>
        </w:rPr>
        <w:t xml:space="preserve">ראש השנה </w:t>
      </w:r>
      <w:r w:rsidRPr="00800DDC">
        <w:rPr>
          <w:rFonts w:cs="Arial" w:hint="cs"/>
          <w:b/>
          <w:bCs/>
          <w:sz w:val="16"/>
          <w:szCs w:val="16"/>
          <w:rtl/>
        </w:rPr>
        <w:t>(פ"ק)</w:t>
      </w:r>
      <w:r>
        <w:rPr>
          <w:rFonts w:cs="Arial" w:hint="cs"/>
          <w:b/>
          <w:bCs/>
          <w:rtl/>
        </w:rPr>
        <w:t xml:space="preserve"> כב</w:t>
      </w:r>
      <w:r>
        <w:rPr>
          <w:rStyle w:val="ab"/>
          <w:rFonts w:cs="Arial"/>
          <w:b/>
          <w:bCs/>
          <w:rtl/>
        </w:rPr>
        <w:footnoteReference w:id="2592"/>
      </w:r>
      <w:r>
        <w:rPr>
          <w:rFonts w:cs="Arial" w:hint="cs"/>
          <w:b/>
          <w:bCs/>
          <w:rtl/>
        </w:rPr>
        <w:t xml:space="preserve"> ע"א: </w:t>
      </w:r>
      <w:r w:rsidRPr="003322FF">
        <w:rPr>
          <w:rFonts w:cs="Arial"/>
          <w:u w:val="double"/>
          <w:rtl/>
        </w:rPr>
        <w:t>משנה</w:t>
      </w:r>
      <w:r>
        <w:rPr>
          <w:rFonts w:cs="Arial" w:hint="cs"/>
          <w:rtl/>
        </w:rPr>
        <w:t>:</w:t>
      </w:r>
      <w:r w:rsidRPr="00800DDC">
        <w:rPr>
          <w:rFonts w:cs="Arial"/>
          <w:rtl/>
        </w:rPr>
        <w:t xml:space="preserve"> אלו הן הפסולין: המשחק בקוביא, ומלוי ברבית, ומפריחי יונים, וסוחרי שביעית, ועבדים. זה הכלל: כל עדות שאין האשה כשירה לה - אף הן אינן כשירין לה.</w:t>
      </w:r>
    </w:p>
    <w:p w14:paraId="4846D378" w14:textId="77777777" w:rsidR="004B607F" w:rsidRDefault="004B607F" w:rsidP="004B607F">
      <w:pPr>
        <w:rPr>
          <w:rFonts w:cs="Arial"/>
          <w:rtl/>
        </w:rPr>
      </w:pPr>
      <w:r w:rsidRPr="002A6147">
        <w:rPr>
          <w:rFonts w:cs="Arial" w:hint="cs"/>
          <w:b/>
          <w:bCs/>
          <w:rtl/>
        </w:rPr>
        <w:t xml:space="preserve">בבא קמא </w:t>
      </w:r>
      <w:r w:rsidRPr="002A6147">
        <w:rPr>
          <w:rFonts w:cs="Arial" w:hint="cs"/>
          <w:b/>
          <w:bCs/>
          <w:sz w:val="16"/>
          <w:szCs w:val="16"/>
          <w:rtl/>
        </w:rPr>
        <w:t xml:space="preserve">(פרק החובל) </w:t>
      </w:r>
      <w:r w:rsidRPr="002A6147">
        <w:rPr>
          <w:rFonts w:cs="Arial" w:hint="cs"/>
          <w:b/>
          <w:bCs/>
          <w:rtl/>
        </w:rPr>
        <w:t>פח</w:t>
      </w:r>
      <w:r>
        <w:rPr>
          <w:rStyle w:val="ab"/>
          <w:rFonts w:cs="Arial"/>
          <w:b/>
          <w:bCs/>
          <w:rtl/>
        </w:rPr>
        <w:footnoteReference w:id="2593"/>
      </w:r>
      <w:r w:rsidRPr="002A6147">
        <w:rPr>
          <w:rFonts w:cs="Arial" w:hint="cs"/>
          <w:b/>
          <w:bCs/>
          <w:rtl/>
        </w:rPr>
        <w:t xml:space="preserve"> ע"א: </w:t>
      </w:r>
      <w:r w:rsidRPr="002A6147">
        <w:rPr>
          <w:rFonts w:cs="Arial"/>
          <w:rtl/>
        </w:rPr>
        <w:t>ומה אשה שהיא ראויה לבא בקהל - פסולה לעדות</w:t>
      </w:r>
      <w:r>
        <w:rPr>
          <w:rFonts w:cs="Arial" w:hint="cs"/>
          <w:rtl/>
        </w:rPr>
        <w:t>...</w:t>
      </w:r>
    </w:p>
    <w:p w14:paraId="602B8353" w14:textId="77777777" w:rsidR="004B607F" w:rsidRDefault="004B607F" w:rsidP="004B607F">
      <w:pPr>
        <w:rPr>
          <w:rFonts w:cs="Arial"/>
          <w:rtl/>
        </w:rPr>
      </w:pPr>
      <w:r w:rsidRPr="002A6147">
        <w:rPr>
          <w:rFonts w:cs="Arial"/>
          <w:b/>
          <w:bCs/>
          <w:rtl/>
        </w:rPr>
        <w:t xml:space="preserve">שבועות </w:t>
      </w:r>
      <w:r w:rsidRPr="002A6147">
        <w:rPr>
          <w:rFonts w:cs="Arial" w:hint="cs"/>
          <w:b/>
          <w:bCs/>
          <w:sz w:val="16"/>
          <w:szCs w:val="16"/>
          <w:rtl/>
        </w:rPr>
        <w:t>(</w:t>
      </w:r>
      <w:r w:rsidRPr="002A6147">
        <w:rPr>
          <w:rFonts w:cs="Arial"/>
          <w:b/>
          <w:bCs/>
          <w:sz w:val="16"/>
          <w:szCs w:val="16"/>
          <w:rtl/>
        </w:rPr>
        <w:t>פרק שבועת העדות</w:t>
      </w:r>
      <w:r w:rsidRPr="002A6147">
        <w:rPr>
          <w:rFonts w:cs="Arial" w:hint="cs"/>
          <w:b/>
          <w:bCs/>
          <w:sz w:val="16"/>
          <w:szCs w:val="16"/>
          <w:rtl/>
        </w:rPr>
        <w:t>)</w:t>
      </w:r>
      <w:r w:rsidRPr="002A6147">
        <w:rPr>
          <w:rFonts w:cs="Arial"/>
          <w:b/>
          <w:bCs/>
          <w:rtl/>
        </w:rPr>
        <w:t xml:space="preserve"> ל</w:t>
      </w:r>
      <w:r>
        <w:rPr>
          <w:rStyle w:val="ab"/>
          <w:rFonts w:cs="Arial"/>
          <w:b/>
          <w:bCs/>
          <w:rtl/>
        </w:rPr>
        <w:footnoteReference w:id="2594"/>
      </w:r>
      <w:r w:rsidRPr="002A6147">
        <w:rPr>
          <w:rFonts w:cs="Arial" w:hint="cs"/>
          <w:b/>
          <w:bCs/>
          <w:rtl/>
        </w:rPr>
        <w:t xml:space="preserve"> ע"א:</w:t>
      </w:r>
      <w:r w:rsidRPr="00553D28">
        <w:rPr>
          <w:rFonts w:cs="Arial"/>
          <w:rtl/>
        </w:rPr>
        <w:t xml:space="preserve"> </w:t>
      </w:r>
      <w:r w:rsidRPr="0015395F">
        <w:rPr>
          <w:rFonts w:cs="Arial"/>
          <w:u w:val="double"/>
          <w:rtl/>
        </w:rPr>
        <w:t>מתני'</w:t>
      </w:r>
      <w:r>
        <w:rPr>
          <w:rFonts w:cs="Arial" w:hint="cs"/>
          <w:rtl/>
        </w:rPr>
        <w:t>:</w:t>
      </w:r>
      <w:r w:rsidRPr="0015395F">
        <w:rPr>
          <w:rFonts w:cs="Arial"/>
          <w:rtl/>
        </w:rPr>
        <w:t xml:space="preserve"> שבועת העדות נוהגת באנשים ולא בנשים</w:t>
      </w:r>
      <w:r>
        <w:rPr>
          <w:rStyle w:val="ab"/>
          <w:rFonts w:cs="Arial"/>
          <w:rtl/>
        </w:rPr>
        <w:footnoteReference w:id="2595"/>
      </w:r>
      <w:r w:rsidRPr="0015395F">
        <w:rPr>
          <w:rFonts w:cs="Arial"/>
          <w:rtl/>
        </w:rPr>
        <w:t>, ברחוקין ולא בקרובין, בכשרין ולא בפסולין, ואינה נוהגת אלא בראוין להעיד, בפני בית דין</w:t>
      </w:r>
      <w:r>
        <w:rPr>
          <w:rFonts w:cs="Arial" w:hint="cs"/>
          <w:rtl/>
        </w:rPr>
        <w:t xml:space="preserve">...   </w:t>
      </w:r>
      <w:r w:rsidRPr="0015395F">
        <w:rPr>
          <w:rFonts w:cs="Arial"/>
          <w:rtl/>
        </w:rPr>
        <w:t xml:space="preserve"> </w:t>
      </w:r>
      <w:r>
        <w:rPr>
          <w:rFonts w:cs="Arial" w:hint="cs"/>
          <w:rtl/>
        </w:rPr>
        <w:t xml:space="preserve"> </w:t>
      </w:r>
      <w:r w:rsidRPr="0015395F">
        <w:rPr>
          <w:rFonts w:cs="Arial"/>
          <w:u w:val="double"/>
          <w:rtl/>
        </w:rPr>
        <w:t>גמ'</w:t>
      </w:r>
      <w:r>
        <w:rPr>
          <w:rFonts w:cs="Arial" w:hint="cs"/>
          <w:rtl/>
        </w:rPr>
        <w:t>:</w:t>
      </w:r>
      <w:r w:rsidRPr="0015395F">
        <w:rPr>
          <w:rFonts w:cs="Arial"/>
          <w:rtl/>
        </w:rPr>
        <w:t xml:space="preserve"> מנהני מילי</w:t>
      </w:r>
      <w:r>
        <w:rPr>
          <w:rStyle w:val="ab"/>
          <w:rFonts w:cs="Arial"/>
          <w:rtl/>
        </w:rPr>
        <w:footnoteReference w:id="2596"/>
      </w:r>
      <w:r w:rsidRPr="0015395F">
        <w:rPr>
          <w:rFonts w:cs="Arial"/>
          <w:rtl/>
        </w:rPr>
        <w:t>? דת"ר: ועמדו שני האנשים - בעדים הכתוב מדבר</w:t>
      </w:r>
      <w:r>
        <w:rPr>
          <w:rStyle w:val="ab"/>
          <w:rFonts w:cs="Arial"/>
          <w:rtl/>
        </w:rPr>
        <w:footnoteReference w:id="2597"/>
      </w:r>
      <w:r w:rsidRPr="0015395F">
        <w:rPr>
          <w:rFonts w:cs="Arial"/>
          <w:rtl/>
        </w:rPr>
        <w:t>; אתה אומר: בעדים, או אינו אלא בבעלי דינין? כשהוא אומר: אשר להם הריב - הרי בעלי דינין אמור, הא מה אני מקיים ועמדו שני האנשים? בעדים הכתוב מדבר</w:t>
      </w:r>
      <w:r>
        <w:rPr>
          <w:rStyle w:val="ab"/>
          <w:rFonts w:cs="Arial"/>
          <w:rtl/>
        </w:rPr>
        <w:footnoteReference w:id="2598"/>
      </w:r>
      <w:r>
        <w:rPr>
          <w:rFonts w:cs="Arial" w:hint="cs"/>
          <w:rtl/>
        </w:rPr>
        <w:t>...</w:t>
      </w:r>
    </w:p>
    <w:p w14:paraId="0059F41A" w14:textId="77777777" w:rsidR="004B607F" w:rsidRDefault="004B607F" w:rsidP="004B607F">
      <w:pPr>
        <w:rPr>
          <w:rFonts w:cs="Arial"/>
          <w:rtl/>
        </w:rPr>
      </w:pPr>
      <w:r w:rsidRPr="00B06C77">
        <w:rPr>
          <w:rFonts w:cs="Arial"/>
          <w:b/>
          <w:bCs/>
          <w:rtl/>
        </w:rPr>
        <w:t>ספרי דברים שופטים פיסקא קצ</w:t>
      </w:r>
      <w:r w:rsidRPr="00B06C77">
        <w:rPr>
          <w:rFonts w:cs="Arial" w:hint="cs"/>
          <w:b/>
          <w:bCs/>
          <w:rtl/>
        </w:rPr>
        <w:t xml:space="preserve">: </w:t>
      </w:r>
      <w:r w:rsidRPr="00B06C77">
        <w:rPr>
          <w:rFonts w:cs="Arial"/>
          <w:rtl/>
        </w:rPr>
        <w:t xml:space="preserve">יכול אף אשה תהא כשירה לעדות נאמר כאן שני ונאמר להלן </w:t>
      </w:r>
      <w:r>
        <w:rPr>
          <w:rFonts w:cs="Arial" w:hint="cs"/>
          <w:sz w:val="16"/>
          <w:szCs w:val="16"/>
          <w:rtl/>
        </w:rPr>
        <w:t>(</w:t>
      </w:r>
      <w:r w:rsidRPr="00B06C77">
        <w:rPr>
          <w:rFonts w:cs="Arial"/>
          <w:sz w:val="16"/>
          <w:szCs w:val="16"/>
          <w:rtl/>
        </w:rPr>
        <w:t>דברים יט טו</w:t>
      </w:r>
      <w:r w:rsidRPr="00B06C77">
        <w:rPr>
          <w:rFonts w:cs="Arial" w:hint="cs"/>
          <w:sz w:val="16"/>
          <w:szCs w:val="16"/>
          <w:rtl/>
        </w:rPr>
        <w:t>)</w:t>
      </w:r>
      <w:r w:rsidRPr="00B06C77">
        <w:rPr>
          <w:rFonts w:cs="Arial"/>
          <w:rtl/>
        </w:rPr>
        <w:t xml:space="preserve"> שני</w:t>
      </w:r>
      <w:r>
        <w:rPr>
          <w:rFonts w:cs="Arial" w:hint="cs"/>
          <w:rtl/>
        </w:rPr>
        <w:t>,</w:t>
      </w:r>
      <w:r w:rsidRPr="00B06C77">
        <w:rPr>
          <w:rFonts w:cs="Arial"/>
          <w:rtl/>
        </w:rPr>
        <w:t xml:space="preserve"> מה שני האמור כאן אנשים ולא נשים אף שני האמור להלן אנשים ולא נשים.</w:t>
      </w:r>
    </w:p>
    <w:p w14:paraId="15F640F8" w14:textId="77777777" w:rsidR="004B607F" w:rsidRDefault="004B607F" w:rsidP="004B607F">
      <w:pPr>
        <w:rPr>
          <w:rFonts w:cs="Arial"/>
          <w:rtl/>
        </w:rPr>
      </w:pPr>
      <w:r w:rsidRPr="002A6147">
        <w:rPr>
          <w:rFonts w:cs="Arial" w:hint="cs"/>
          <w:u w:val="single"/>
          <w:rtl/>
        </w:rPr>
        <w:t>עדות אשה:</w:t>
      </w:r>
    </w:p>
    <w:p w14:paraId="2327346D" w14:textId="77777777" w:rsidR="004B607F" w:rsidRPr="002A6147" w:rsidRDefault="004B607F" w:rsidP="004B0475">
      <w:pPr>
        <w:pStyle w:val="ac"/>
        <w:numPr>
          <w:ilvl w:val="0"/>
          <w:numId w:val="104"/>
        </w:numPr>
        <w:rPr>
          <w:rFonts w:cs="Arial"/>
          <w:rtl/>
        </w:rPr>
      </w:pPr>
      <w:r w:rsidRPr="002A6147">
        <w:rPr>
          <w:rFonts w:cs="Arial"/>
          <w:rtl/>
        </w:rPr>
        <w:t xml:space="preserve">רמב"ם </w:t>
      </w:r>
      <w:r w:rsidRPr="002A6147">
        <w:rPr>
          <w:rFonts w:cs="Arial" w:hint="cs"/>
          <w:sz w:val="16"/>
          <w:szCs w:val="16"/>
          <w:rtl/>
        </w:rPr>
        <w:t>(</w:t>
      </w:r>
      <w:r w:rsidRPr="002A6147">
        <w:rPr>
          <w:rFonts w:cs="Arial"/>
          <w:sz w:val="16"/>
          <w:szCs w:val="16"/>
          <w:rtl/>
        </w:rPr>
        <w:t>פ"ט מהל</w:t>
      </w:r>
      <w:r w:rsidRPr="002A6147">
        <w:rPr>
          <w:rFonts w:cs="Arial" w:hint="cs"/>
          <w:sz w:val="16"/>
          <w:szCs w:val="16"/>
          <w:rtl/>
        </w:rPr>
        <w:t>'</w:t>
      </w:r>
      <w:r w:rsidRPr="002A6147">
        <w:rPr>
          <w:rFonts w:cs="Arial"/>
          <w:sz w:val="16"/>
          <w:szCs w:val="16"/>
          <w:rtl/>
        </w:rPr>
        <w:t xml:space="preserve"> עדות ה"ב-ג)</w:t>
      </w:r>
      <w:r>
        <w:rPr>
          <w:rStyle w:val="ab"/>
          <w:rFonts w:cs="Arial"/>
          <w:rtl/>
        </w:rPr>
        <w:footnoteReference w:id="2599"/>
      </w:r>
      <w:r w:rsidRPr="002A6147">
        <w:rPr>
          <w:rFonts w:cs="Arial" w:hint="cs"/>
          <w:rtl/>
        </w:rPr>
        <w:t>-</w:t>
      </w:r>
      <w:r w:rsidRPr="002A6147">
        <w:rPr>
          <w:rFonts w:cs="Arial"/>
          <w:rtl/>
        </w:rPr>
        <w:t xml:space="preserve"> נשים פסולות לעדות מן התורה</w:t>
      </w:r>
      <w:r>
        <w:rPr>
          <w:rFonts w:cs="Arial" w:hint="cs"/>
          <w:rtl/>
        </w:rPr>
        <w:t>,</w:t>
      </w:r>
      <w:r w:rsidRPr="002A6147">
        <w:rPr>
          <w:rFonts w:cs="Arial"/>
          <w:rtl/>
        </w:rPr>
        <w:t xml:space="preserve"> שנאמר </w:t>
      </w:r>
      <w:r w:rsidRPr="002A6147">
        <w:rPr>
          <w:rFonts w:cs="Arial"/>
          <w:sz w:val="16"/>
          <w:szCs w:val="16"/>
          <w:rtl/>
        </w:rPr>
        <w:t xml:space="preserve">(דברים יט טו) </w:t>
      </w:r>
      <w:r w:rsidRPr="002A6147">
        <w:rPr>
          <w:rFonts w:cs="Arial"/>
          <w:rtl/>
        </w:rPr>
        <w:t>על פי שנים</w:t>
      </w:r>
      <w:r>
        <w:rPr>
          <w:rFonts w:cs="Arial" w:hint="cs"/>
          <w:rtl/>
        </w:rPr>
        <w:t>,</w:t>
      </w:r>
      <w:r w:rsidRPr="002A6147">
        <w:rPr>
          <w:rFonts w:cs="Arial"/>
          <w:rtl/>
        </w:rPr>
        <w:t xml:space="preserve"> לשון זכר ולא לשון נקבה</w:t>
      </w:r>
      <w:r>
        <w:rPr>
          <w:rFonts w:cs="Arial" w:hint="cs"/>
          <w:rtl/>
        </w:rPr>
        <w:t>.</w:t>
      </w:r>
      <w:r w:rsidRPr="002A6147">
        <w:rPr>
          <w:rFonts w:cs="Arial"/>
          <w:rtl/>
        </w:rPr>
        <w:t xml:space="preserve"> וכן הטומטום והאנדרוגינוס פסולים מפני שהם ספק אשה</w:t>
      </w:r>
      <w:r>
        <w:rPr>
          <w:rFonts w:cs="Arial" w:hint="cs"/>
          <w:rtl/>
        </w:rPr>
        <w:t>,</w:t>
      </w:r>
      <w:r w:rsidRPr="002A6147">
        <w:rPr>
          <w:rFonts w:cs="Arial"/>
          <w:rtl/>
        </w:rPr>
        <w:t xml:space="preserve"> וכל מי שהוא ספק כשר ספק פסול </w:t>
      </w:r>
      <w:r>
        <w:rPr>
          <w:rFonts w:cs="Arial" w:hint="cs"/>
          <w:rtl/>
        </w:rPr>
        <w:t xml:space="preserve">- </w:t>
      </w:r>
      <w:r w:rsidRPr="002A6147">
        <w:rPr>
          <w:rFonts w:cs="Arial"/>
          <w:rtl/>
        </w:rPr>
        <w:t>הרי הוא פסול</w:t>
      </w:r>
      <w:r>
        <w:rPr>
          <w:rFonts w:cs="Arial" w:hint="cs"/>
          <w:rtl/>
        </w:rPr>
        <w:t>,</w:t>
      </w:r>
      <w:r w:rsidRPr="002A6147">
        <w:rPr>
          <w:rFonts w:cs="Arial"/>
          <w:rtl/>
        </w:rPr>
        <w:t xml:space="preserve"> שאין העד בא אלא להוציא ממון על פיו או לחייב על פיו ואין מוציאין ממון מספק</w:t>
      </w:r>
      <w:r>
        <w:rPr>
          <w:rStyle w:val="ab"/>
          <w:rFonts w:cs="Arial"/>
          <w:rtl/>
        </w:rPr>
        <w:footnoteReference w:id="2600"/>
      </w:r>
      <w:r w:rsidRPr="002A6147">
        <w:rPr>
          <w:rFonts w:cs="Arial"/>
          <w:rtl/>
        </w:rPr>
        <w:t xml:space="preserve"> ואין עונשין מספק דין תורה</w:t>
      </w:r>
      <w:r w:rsidRPr="002A6147">
        <w:rPr>
          <w:rFonts w:cs="Arial" w:hint="cs"/>
          <w:rtl/>
        </w:rPr>
        <w:t>.</w:t>
      </w:r>
      <w:r w:rsidRPr="002A6147">
        <w:rPr>
          <w:rFonts w:cs="Arial"/>
          <w:rtl/>
        </w:rPr>
        <w:t xml:space="preserve"> </w:t>
      </w:r>
      <w:r w:rsidRPr="00B06C77">
        <w:rPr>
          <w:rFonts w:cs="Arial" w:hint="cs"/>
          <w:color w:val="E36C0A" w:themeColor="accent6" w:themeShade="BF"/>
          <w:rtl/>
        </w:rPr>
        <w:t>(וכ"פ בשו"ע)</w:t>
      </w:r>
    </w:p>
    <w:p w14:paraId="321302A3" w14:textId="77777777" w:rsidR="004B607F" w:rsidRDefault="004B607F" w:rsidP="004B607F">
      <w:pPr>
        <w:rPr>
          <w:rFonts w:cs="Arial"/>
          <w:rtl/>
        </w:rPr>
      </w:pPr>
      <w:r w:rsidRPr="002A6147">
        <w:rPr>
          <w:rFonts w:cs="Arial" w:hint="cs"/>
          <w:u w:val="single"/>
          <w:rtl/>
        </w:rPr>
        <w:lastRenderedPageBreak/>
        <w:t xml:space="preserve">עדות אשה במקום שאין </w:t>
      </w:r>
      <w:r>
        <w:rPr>
          <w:rFonts w:cs="Arial" w:hint="cs"/>
          <w:u w:val="single"/>
          <w:rtl/>
        </w:rPr>
        <w:t>עדים כשרים</w:t>
      </w:r>
      <w:r w:rsidRPr="002A6147">
        <w:rPr>
          <w:rFonts w:cs="Arial" w:hint="cs"/>
          <w:u w:val="single"/>
          <w:rtl/>
        </w:rPr>
        <w:t xml:space="preserve"> מצויים:</w:t>
      </w:r>
    </w:p>
    <w:p w14:paraId="1E58E662" w14:textId="77777777" w:rsidR="004B607F" w:rsidRPr="008007A2" w:rsidRDefault="004B607F" w:rsidP="004B0475">
      <w:pPr>
        <w:pStyle w:val="ac"/>
        <w:numPr>
          <w:ilvl w:val="0"/>
          <w:numId w:val="104"/>
        </w:numPr>
        <w:rPr>
          <w:rFonts w:cs="Arial"/>
          <w:rtl/>
        </w:rPr>
      </w:pPr>
      <w:r w:rsidRPr="00553D28">
        <w:rPr>
          <w:rFonts w:cs="Arial"/>
          <w:rtl/>
        </w:rPr>
        <w:t xml:space="preserve">מהרי"ק </w:t>
      </w:r>
      <w:r w:rsidRPr="00005782">
        <w:rPr>
          <w:rFonts w:cs="Arial" w:hint="cs"/>
          <w:sz w:val="16"/>
          <w:szCs w:val="16"/>
          <w:rtl/>
        </w:rPr>
        <w:t>(</w:t>
      </w:r>
      <w:r w:rsidRPr="00005782">
        <w:rPr>
          <w:rFonts w:cs="Arial"/>
          <w:sz w:val="16"/>
          <w:szCs w:val="16"/>
          <w:rtl/>
        </w:rPr>
        <w:t>סי</w:t>
      </w:r>
      <w:r w:rsidRPr="00005782">
        <w:rPr>
          <w:rFonts w:cs="Arial" w:hint="cs"/>
          <w:sz w:val="16"/>
          <w:szCs w:val="16"/>
          <w:rtl/>
        </w:rPr>
        <w:t>'</w:t>
      </w:r>
      <w:r w:rsidRPr="00005782">
        <w:rPr>
          <w:rFonts w:cs="Arial"/>
          <w:sz w:val="16"/>
          <w:szCs w:val="16"/>
          <w:rtl/>
        </w:rPr>
        <w:t xml:space="preserve"> קעט ענף ג)</w:t>
      </w:r>
      <w:r>
        <w:rPr>
          <w:rFonts w:cs="Arial" w:hint="cs"/>
          <w:rtl/>
        </w:rPr>
        <w:t xml:space="preserve">- </w:t>
      </w:r>
      <w:r w:rsidRPr="00005782">
        <w:rPr>
          <w:rFonts w:cs="Arial"/>
          <w:rtl/>
        </w:rPr>
        <w:t>כתב בתקנת קדמוניות מר"ת שאפילו אשה יחידה או קרוב נאמנים להעיד שראו שהכהו כו'</w:t>
      </w:r>
      <w:r>
        <w:rPr>
          <w:rFonts w:cs="Arial" w:hint="cs"/>
          <w:rtl/>
        </w:rPr>
        <w:t>,</w:t>
      </w:r>
      <w:r w:rsidRPr="00005782">
        <w:rPr>
          <w:rFonts w:cs="Arial"/>
          <w:rtl/>
        </w:rPr>
        <w:t xml:space="preserve"> וכן קטן כדאיתא התם</w:t>
      </w:r>
      <w:r>
        <w:rPr>
          <w:rFonts w:cs="Arial" w:hint="cs"/>
          <w:rtl/>
        </w:rPr>
        <w:t>,</w:t>
      </w:r>
      <w:r w:rsidRPr="00005782">
        <w:rPr>
          <w:rFonts w:cs="Arial"/>
          <w:rtl/>
        </w:rPr>
        <w:t xml:space="preserve"> ומפרש שם הטעם לפי שאין פנאי להזמין כשרים פתאום לזה</w:t>
      </w:r>
      <w:r>
        <w:rPr>
          <w:rFonts w:cs="Arial" w:hint="cs"/>
          <w:rtl/>
        </w:rPr>
        <w:t>..</w:t>
      </w:r>
      <w:r w:rsidRPr="00005782">
        <w:rPr>
          <w:rFonts w:cs="Arial"/>
          <w:rtl/>
        </w:rPr>
        <w:t>. ועוד שהרי מצאתי כתוב במקום אחר בשם ר"ת וז"ל ואשה או קרוב נאמנים על זה וכן בכל דבר קטטה שאין עדים רגילין להיות בדבר מזומנים וכן למוסר מאומד נאמנים עליו לפי שכשהלשין לא היו שם עדים עכ"ל</w:t>
      </w:r>
      <w:r>
        <w:rPr>
          <w:rFonts w:cs="Arial" w:hint="cs"/>
          <w:rtl/>
        </w:rPr>
        <w:t>,</w:t>
      </w:r>
      <w:r w:rsidRPr="00005782">
        <w:rPr>
          <w:rFonts w:cs="Arial"/>
          <w:rtl/>
        </w:rPr>
        <w:t xml:space="preserve"> הרי לך בהדיא דלכל דבר קטטה אשה או קרוב נאמנים</w:t>
      </w:r>
      <w:r>
        <w:rPr>
          <w:rFonts w:cs="Arial" w:hint="cs"/>
          <w:rtl/>
        </w:rPr>
        <w:t>.</w:t>
      </w:r>
      <w:r w:rsidRPr="00005782">
        <w:rPr>
          <w:rFonts w:cs="Arial"/>
          <w:rtl/>
        </w:rPr>
        <w:t xml:space="preserve"> עוד נמצא בתשו' שאלה סביב המרדכי</w:t>
      </w:r>
      <w:r>
        <w:rPr>
          <w:rStyle w:val="ab"/>
          <w:rFonts w:cs="Arial"/>
          <w:rtl/>
        </w:rPr>
        <w:footnoteReference w:id="2601"/>
      </w:r>
      <w:r w:rsidRPr="00005782">
        <w:rPr>
          <w:rFonts w:cs="Arial"/>
          <w:rtl/>
        </w:rPr>
        <w:t xml:space="preserve"> בפרק החובל וז"ל נשאל נשאלנו על דבר הריבות והמחלוקת והחרופים אם הנשים והקרובים יכולין להעיד</w:t>
      </w:r>
      <w:r>
        <w:rPr>
          <w:rFonts w:cs="Arial" w:hint="cs"/>
          <w:rtl/>
        </w:rPr>
        <w:t>,</w:t>
      </w:r>
      <w:r w:rsidRPr="00005782">
        <w:rPr>
          <w:rFonts w:cs="Arial"/>
          <w:rtl/>
        </w:rPr>
        <w:t xml:space="preserve"> ודאי הוא דנאמנת אפילו בדבר שיש בו ממון כדאמרינן התם החיה נאמנת לומר זה בכור אפילו יש בו הוצאות ממון ה' סלעים לכהן עכ"ל</w:t>
      </w:r>
      <w:r>
        <w:rPr>
          <w:rFonts w:cs="Arial" w:hint="cs"/>
          <w:rtl/>
        </w:rPr>
        <w:t>,</w:t>
      </w:r>
      <w:r w:rsidRPr="00005782">
        <w:rPr>
          <w:rFonts w:cs="Arial"/>
          <w:rtl/>
        </w:rPr>
        <w:t xml:space="preserve"> הרי לנו כמה עדים נאמנים דבכ</w:t>
      </w:r>
      <w:r>
        <w:rPr>
          <w:rFonts w:cs="Arial" w:hint="cs"/>
          <w:rtl/>
        </w:rPr>
        <w:t>ה"</w:t>
      </w:r>
      <w:r w:rsidRPr="00005782">
        <w:rPr>
          <w:rFonts w:cs="Arial"/>
          <w:rtl/>
        </w:rPr>
        <w:t>ג נאמנים הנשים והקרובים</w:t>
      </w:r>
      <w:r>
        <w:rPr>
          <w:rFonts w:cs="Arial" w:hint="cs"/>
          <w:sz w:val="16"/>
          <w:szCs w:val="16"/>
          <w:rtl/>
        </w:rPr>
        <w:t xml:space="preserve"> (ל' מהרי"ק בסי' קעט)</w:t>
      </w:r>
      <w:r>
        <w:rPr>
          <w:rStyle w:val="ab"/>
          <w:rFonts w:cs="Arial"/>
          <w:rtl/>
        </w:rPr>
        <w:footnoteReference w:id="2602"/>
      </w:r>
      <w:r w:rsidRPr="00AD5578">
        <w:rPr>
          <w:rFonts w:cs="Arial"/>
          <w:rtl/>
        </w:rPr>
        <w:t xml:space="preserve">. </w:t>
      </w:r>
      <w:r>
        <w:rPr>
          <w:rFonts w:cs="Arial" w:hint="cs"/>
          <w:rtl/>
        </w:rPr>
        <w:t xml:space="preserve">מיהו </w:t>
      </w:r>
      <w:r w:rsidRPr="008007A2">
        <w:rPr>
          <w:rFonts w:cs="Arial"/>
          <w:rtl/>
        </w:rPr>
        <w:t>אין הפסולין נאמנים אלא כשהתובע טוען ברי אבל אם טוען שמא על פי אלו הפסולין אינן נאמנים</w:t>
      </w:r>
      <w:r>
        <w:rPr>
          <w:rFonts w:cs="Arial" w:hint="cs"/>
          <w:rtl/>
        </w:rPr>
        <w:t xml:space="preserve"> </w:t>
      </w:r>
      <w:r>
        <w:rPr>
          <w:rFonts w:cs="Arial" w:hint="cs"/>
          <w:sz w:val="16"/>
          <w:szCs w:val="16"/>
          <w:rtl/>
        </w:rPr>
        <w:t>(ל' מהרי"ק בסי' צג)</w:t>
      </w:r>
      <w:r w:rsidRPr="008007A2">
        <w:rPr>
          <w:rFonts w:cs="Arial" w:hint="cs"/>
          <w:rtl/>
        </w:rPr>
        <w:t>.</w:t>
      </w:r>
      <w:r w:rsidRPr="008007A2">
        <w:rPr>
          <w:rFonts w:cs="Arial" w:hint="cs"/>
          <w:color w:val="00B0F0"/>
          <w:rtl/>
        </w:rPr>
        <w:t xml:space="preserve"> (וכ"פ הרמ"א)</w:t>
      </w:r>
    </w:p>
    <w:p w14:paraId="538AF5CC" w14:textId="77777777" w:rsidR="004B607F" w:rsidRDefault="004B607F" w:rsidP="004B0475">
      <w:pPr>
        <w:pStyle w:val="ac"/>
        <w:numPr>
          <w:ilvl w:val="0"/>
          <w:numId w:val="104"/>
        </w:numPr>
        <w:rPr>
          <w:rFonts w:cs="Arial"/>
        </w:rPr>
      </w:pPr>
      <w:r>
        <w:rPr>
          <w:rFonts w:cs="Arial" w:hint="cs"/>
          <w:rtl/>
        </w:rPr>
        <w:t>רמב"ם</w:t>
      </w:r>
      <w:r>
        <w:rPr>
          <w:rStyle w:val="ab"/>
          <w:rFonts w:cs="Arial"/>
          <w:rtl/>
        </w:rPr>
        <w:footnoteReference w:id="2603"/>
      </w:r>
      <w:r w:rsidRPr="002A6147">
        <w:rPr>
          <w:rFonts w:cs="Arial"/>
          <w:sz w:val="16"/>
          <w:szCs w:val="16"/>
          <w:rtl/>
        </w:rPr>
        <w:t xml:space="preserve"> </w:t>
      </w:r>
      <w:r w:rsidRPr="002A6147">
        <w:rPr>
          <w:rFonts w:cs="Arial" w:hint="cs"/>
          <w:sz w:val="16"/>
          <w:szCs w:val="16"/>
          <w:rtl/>
        </w:rPr>
        <w:t>(</w:t>
      </w:r>
      <w:r w:rsidRPr="002A6147">
        <w:rPr>
          <w:rFonts w:cs="Arial"/>
          <w:sz w:val="16"/>
          <w:szCs w:val="16"/>
          <w:rtl/>
        </w:rPr>
        <w:t>פ"ח מהל</w:t>
      </w:r>
      <w:r w:rsidRPr="002A6147">
        <w:rPr>
          <w:rFonts w:cs="Arial" w:hint="cs"/>
          <w:sz w:val="16"/>
          <w:szCs w:val="16"/>
          <w:rtl/>
        </w:rPr>
        <w:t xml:space="preserve">' </w:t>
      </w:r>
      <w:r w:rsidRPr="002A6147">
        <w:rPr>
          <w:rFonts w:cs="Arial"/>
          <w:sz w:val="16"/>
          <w:szCs w:val="16"/>
          <w:rtl/>
        </w:rPr>
        <w:t>נזקי ממון הי"ג)</w:t>
      </w:r>
      <w:r>
        <w:rPr>
          <w:rFonts w:cs="Arial" w:hint="cs"/>
          <w:rtl/>
        </w:rPr>
        <w:t xml:space="preserve"> ו</w:t>
      </w:r>
      <w:r w:rsidRPr="002A6147">
        <w:rPr>
          <w:rFonts w:cs="Arial"/>
          <w:rtl/>
        </w:rPr>
        <w:t xml:space="preserve">רשב"א </w:t>
      </w:r>
      <w:r w:rsidRPr="002A6147">
        <w:rPr>
          <w:rFonts w:cs="Arial"/>
          <w:sz w:val="16"/>
          <w:szCs w:val="16"/>
          <w:rtl/>
        </w:rPr>
        <w:t>(ח"ב סי' קפב, ח"ה סי' קלט)</w:t>
      </w:r>
      <w:r w:rsidRPr="002A6147">
        <w:rPr>
          <w:rFonts w:cs="Arial" w:hint="cs"/>
          <w:rtl/>
        </w:rPr>
        <w:t>-</w:t>
      </w:r>
      <w:r w:rsidRPr="002A6147">
        <w:rPr>
          <w:rFonts w:cs="Arial"/>
          <w:rtl/>
        </w:rPr>
        <w:t xml:space="preserve"> אני רואה מתוך הקונדריס שכתבתם שאתם תוקעים עצמכם על עדות הנשים</w:t>
      </w:r>
      <w:r w:rsidRPr="002A6147">
        <w:rPr>
          <w:rFonts w:cs="Arial" w:hint="cs"/>
          <w:rtl/>
        </w:rPr>
        <w:t>,</w:t>
      </w:r>
      <w:r w:rsidRPr="002A6147">
        <w:rPr>
          <w:rFonts w:cs="Arial"/>
          <w:rtl/>
        </w:rPr>
        <w:t xml:space="preserve"> ואולי מצאתם כן לאחד מן הראשונים במקומות שהנשים יושבות שם מפני שאין האנשים נכנסים שם</w:t>
      </w:r>
      <w:r w:rsidRPr="002A6147">
        <w:rPr>
          <w:rFonts w:cs="Arial" w:hint="cs"/>
          <w:rtl/>
        </w:rPr>
        <w:t>,</w:t>
      </w:r>
      <w:r w:rsidRPr="002A6147">
        <w:rPr>
          <w:rFonts w:cs="Arial"/>
          <w:rtl/>
        </w:rPr>
        <w:t xml:space="preserve"> ואנחנו לא נדע דברים אלו ולא שמענום מעולם ואין ראוי לסמוך עליהם</w:t>
      </w:r>
      <w:r>
        <w:rPr>
          <w:rStyle w:val="ab"/>
          <w:rFonts w:cs="Arial"/>
          <w:rtl/>
        </w:rPr>
        <w:footnoteReference w:id="2604"/>
      </w:r>
      <w:r>
        <w:rPr>
          <w:rFonts w:cs="Arial" w:hint="cs"/>
          <w:sz w:val="16"/>
          <w:szCs w:val="16"/>
          <w:rtl/>
        </w:rPr>
        <w:t xml:space="preserve"> (ל' הרשב"א)</w:t>
      </w:r>
      <w:r w:rsidRPr="002A6147">
        <w:rPr>
          <w:rFonts w:cs="Arial" w:hint="cs"/>
          <w:rtl/>
        </w:rPr>
        <w:t>.</w:t>
      </w:r>
      <w:r w:rsidRPr="002A6147">
        <w:rPr>
          <w:rFonts w:cs="Arial"/>
          <w:rtl/>
        </w:rPr>
        <w:t xml:space="preserve"> </w:t>
      </w:r>
    </w:p>
    <w:p w14:paraId="150475CB" w14:textId="77777777" w:rsidR="004B607F" w:rsidRPr="003024E5" w:rsidRDefault="004B607F" w:rsidP="004B607F">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6727A8B0" w14:textId="77777777" w:rsidR="004B607F" w:rsidRDefault="004B607F" w:rsidP="004B607F">
      <w:pPr>
        <w:rPr>
          <w:rtl/>
        </w:rPr>
      </w:pPr>
      <w:r>
        <w:rPr>
          <w:rFonts w:cs="Arial"/>
          <w:rtl/>
        </w:rPr>
        <w:t>אשה פסולה. וטומטום ואנדרוגינוס פסולים מספק</w:t>
      </w:r>
      <w:r>
        <w:rPr>
          <w:rFonts w:cs="Arial" w:hint="cs"/>
          <w:rtl/>
        </w:rPr>
        <w:t>,</w:t>
      </w:r>
      <w:r>
        <w:rPr>
          <w:rFonts w:cs="Arial"/>
          <w:rtl/>
        </w:rPr>
        <w:t xml:space="preserve"> וכל מי שהוא ספק כשר ספק פסול</w:t>
      </w:r>
      <w:r>
        <w:rPr>
          <w:rFonts w:cs="Arial" w:hint="cs"/>
          <w:rtl/>
        </w:rPr>
        <w:t>,</w:t>
      </w:r>
      <w:r>
        <w:rPr>
          <w:rFonts w:cs="Arial"/>
          <w:rtl/>
        </w:rPr>
        <w:t xml:space="preserve"> הרי הוא פסול</w:t>
      </w:r>
      <w:r>
        <w:rPr>
          <w:rStyle w:val="ab"/>
          <w:rFonts w:cs="Arial"/>
          <w:rtl/>
        </w:rPr>
        <w:footnoteReference w:id="2605"/>
      </w:r>
      <w:r>
        <w:rPr>
          <w:rFonts w:cs="Arial"/>
          <w:rtl/>
        </w:rPr>
        <w:t xml:space="preserve">. </w:t>
      </w:r>
      <w:r w:rsidRPr="00E77275">
        <w:rPr>
          <w:rFonts w:cs="Arial"/>
          <w:sz w:val="18"/>
          <w:szCs w:val="18"/>
          <w:rtl/>
        </w:rPr>
        <w:t>הגה: וכל אלו הפסולים פסולים אפילו במקום דלא שכיחא אנשים כשרים להעיד (רשב"א ורמב"ם וכ"כ הב"י)</w:t>
      </w:r>
      <w:r>
        <w:rPr>
          <w:rFonts w:cs="Arial" w:hint="cs"/>
          <w:sz w:val="18"/>
          <w:szCs w:val="18"/>
          <w:rtl/>
        </w:rPr>
        <w:t>.</w:t>
      </w:r>
      <w:r w:rsidRPr="00E77275">
        <w:rPr>
          <w:rFonts w:cs="Arial"/>
          <w:sz w:val="18"/>
          <w:szCs w:val="18"/>
          <w:rtl/>
        </w:rPr>
        <w:t xml:space="preserve"> וכל זה מדינא, אבל י"א דתקנת קדמונים הוא דבמקום שאין אנשים רגילים להיות, כגון בב</w:t>
      </w:r>
      <w:r>
        <w:rPr>
          <w:rFonts w:cs="Arial" w:hint="cs"/>
          <w:sz w:val="18"/>
          <w:szCs w:val="18"/>
          <w:rtl/>
        </w:rPr>
        <w:t xml:space="preserve">ית </w:t>
      </w:r>
      <w:r w:rsidRPr="00E77275">
        <w:rPr>
          <w:rFonts w:cs="Arial"/>
          <w:sz w:val="18"/>
          <w:szCs w:val="18"/>
          <w:rtl/>
        </w:rPr>
        <w:t>ה</w:t>
      </w:r>
      <w:r>
        <w:rPr>
          <w:rFonts w:cs="Arial" w:hint="cs"/>
          <w:sz w:val="18"/>
          <w:szCs w:val="18"/>
          <w:rtl/>
        </w:rPr>
        <w:t>כנסת</w:t>
      </w:r>
      <w:r w:rsidRPr="00E77275">
        <w:rPr>
          <w:rFonts w:cs="Arial"/>
          <w:sz w:val="18"/>
          <w:szCs w:val="18"/>
          <w:rtl/>
        </w:rPr>
        <w:t xml:space="preserve"> של נשים</w:t>
      </w:r>
      <w:r>
        <w:rPr>
          <w:rStyle w:val="ab"/>
          <w:rFonts w:cs="Arial"/>
          <w:sz w:val="18"/>
          <w:szCs w:val="18"/>
          <w:rtl/>
        </w:rPr>
        <w:footnoteReference w:id="2606"/>
      </w:r>
      <w:r w:rsidRPr="00E77275">
        <w:rPr>
          <w:rFonts w:cs="Arial"/>
          <w:sz w:val="18"/>
          <w:szCs w:val="18"/>
          <w:rtl/>
        </w:rPr>
        <w:t xml:space="preserve"> או בשאר דבר אקראי שאשה רגילה ולא אנשים, כגון לומר שבגדים אלו לבשה אשה פלונית והן שלה, ואין רגילים אנשים לדקדק בזה, נשים נאמנות (ת</w:t>
      </w:r>
      <w:r>
        <w:rPr>
          <w:rFonts w:cs="Arial" w:hint="cs"/>
          <w:sz w:val="18"/>
          <w:szCs w:val="18"/>
          <w:rtl/>
        </w:rPr>
        <w:t>רו</w:t>
      </w:r>
      <w:r w:rsidRPr="00E77275">
        <w:rPr>
          <w:rFonts w:cs="Arial"/>
          <w:sz w:val="18"/>
          <w:szCs w:val="18"/>
          <w:rtl/>
        </w:rPr>
        <w:t>ה</w:t>
      </w:r>
      <w:r>
        <w:rPr>
          <w:rFonts w:cs="Arial" w:hint="cs"/>
          <w:sz w:val="18"/>
          <w:szCs w:val="18"/>
          <w:rtl/>
        </w:rPr>
        <w:t>"ד</w:t>
      </w:r>
      <w:r w:rsidRPr="00E77275">
        <w:rPr>
          <w:rFonts w:cs="Arial"/>
          <w:sz w:val="18"/>
          <w:szCs w:val="18"/>
          <w:rtl/>
        </w:rPr>
        <w:t xml:space="preserve"> סי' שנג ואגודה). ולכן יש מי שכתב דאפילו אשה יחידה או קרוב</w:t>
      </w:r>
      <w:r>
        <w:rPr>
          <w:rStyle w:val="ab"/>
          <w:rFonts w:cs="Arial"/>
          <w:sz w:val="18"/>
          <w:szCs w:val="18"/>
          <w:rtl/>
        </w:rPr>
        <w:footnoteReference w:id="2607"/>
      </w:r>
      <w:r w:rsidRPr="00E77275">
        <w:rPr>
          <w:rFonts w:cs="Arial"/>
          <w:sz w:val="18"/>
          <w:szCs w:val="18"/>
          <w:rtl/>
        </w:rPr>
        <w:t xml:space="preserve"> או קטן נאמנים בענין הכאה ובזיון ת"ח או שאר קטטות ומסירות, לפי שאין דרך להזמין עדים כשרים לזה, ואין פנאי להזמין (מהרי"ק שורש קעט ומהר"ם מריזבורג וכלבו סי' קטז). והוא שהתובע טוען ברי (מהרי"ק שורש צג)</w:t>
      </w:r>
      <w:r>
        <w:rPr>
          <w:rStyle w:val="ab"/>
          <w:rFonts w:cs="Arial"/>
          <w:sz w:val="18"/>
          <w:szCs w:val="18"/>
          <w:rtl/>
        </w:rPr>
        <w:footnoteReference w:id="2608"/>
      </w:r>
      <w:r w:rsidRPr="00E77275">
        <w:rPr>
          <w:rFonts w:cs="Arial"/>
          <w:sz w:val="18"/>
          <w:szCs w:val="18"/>
          <w:rtl/>
        </w:rPr>
        <w:t>.</w:t>
      </w:r>
    </w:p>
    <w:p w14:paraId="777F4DC3" w14:textId="77777777" w:rsidR="004B607F" w:rsidRDefault="004B607F" w:rsidP="004B607F">
      <w:pPr>
        <w:pStyle w:val="1"/>
        <w:rPr>
          <w:rtl/>
        </w:rPr>
        <w:sectPr w:rsidR="004B607F" w:rsidSect="004B607F">
          <w:headerReference w:type="default" r:id="rId45"/>
          <w:footnotePr>
            <w:numRestart w:val="eachPage"/>
          </w:footnotePr>
          <w:pgSz w:w="11906" w:h="16838"/>
          <w:pgMar w:top="720" w:right="1134" w:bottom="720" w:left="1134" w:header="0" w:footer="0" w:gutter="0"/>
          <w:cols w:space="720"/>
          <w:bidi/>
          <w:rtlGutter/>
          <w:docGrid w:linePitch="360"/>
        </w:sectPr>
      </w:pPr>
    </w:p>
    <w:p w14:paraId="69D72C45" w14:textId="77777777" w:rsidR="004B607F" w:rsidRDefault="004B607F" w:rsidP="004B607F">
      <w:pPr>
        <w:pStyle w:val="1"/>
        <w:rPr>
          <w:rtl/>
        </w:rPr>
      </w:pPr>
      <w:bookmarkStart w:id="351" w:name="_Toc24883798"/>
      <w:r>
        <w:rPr>
          <w:rFonts w:hint="cs"/>
          <w:rtl/>
        </w:rPr>
        <w:lastRenderedPageBreak/>
        <w:t xml:space="preserve">סימן לו: </w:t>
      </w:r>
      <w:r>
        <w:rPr>
          <w:rtl/>
        </w:rPr>
        <w:t>רבים שהעידו, ונמצא אחד מהם קרוב או פסול, ובו ב' סעיפים.</w:t>
      </w:r>
      <w:bookmarkEnd w:id="351"/>
      <w:r>
        <w:rPr>
          <w:rtl/>
        </w:rPr>
        <w:t xml:space="preserve"> </w:t>
      </w:r>
    </w:p>
    <w:p w14:paraId="7ECA4BC6" w14:textId="77777777" w:rsidR="004B607F" w:rsidRDefault="004B607F" w:rsidP="004B607F">
      <w:pPr>
        <w:pStyle w:val="2"/>
        <w:rPr>
          <w:rtl/>
        </w:rPr>
      </w:pPr>
      <w:bookmarkStart w:id="352" w:name="_Toc24883799"/>
      <w:r>
        <w:rPr>
          <w:rtl/>
        </w:rPr>
        <w:t>סעיף א</w:t>
      </w:r>
      <w:r>
        <w:rPr>
          <w:rFonts w:hint="cs"/>
          <w:rtl/>
        </w:rPr>
        <w:t>:</w:t>
      </w:r>
      <w:r w:rsidRPr="000D227A">
        <w:rPr>
          <w:rFonts w:cs="Arial"/>
          <w:rtl/>
        </w:rPr>
        <w:t xml:space="preserve"> </w:t>
      </w:r>
      <w:r w:rsidRPr="006C6C05">
        <w:rPr>
          <w:rFonts w:cs="Arial"/>
          <w:rtl/>
        </w:rPr>
        <w:t>עדים רבים שהעידו בעדות אחת ונמצא אחד מהם קרוב או פסול</w:t>
      </w:r>
      <w:r>
        <w:rPr>
          <w:rFonts w:hint="cs"/>
          <w:rtl/>
        </w:rPr>
        <w:t>.</w:t>
      </w:r>
      <w:bookmarkEnd w:id="352"/>
    </w:p>
    <w:p w14:paraId="31C9DCAC" w14:textId="77777777" w:rsidR="004B607F" w:rsidRDefault="004B607F" w:rsidP="004B607F">
      <w:pPr>
        <w:rPr>
          <w:rFonts w:cs="Arial"/>
          <w:rtl/>
        </w:rPr>
      </w:pPr>
      <w:r>
        <w:rPr>
          <w:rFonts w:cs="Arial" w:hint="cs"/>
          <w:b/>
          <w:bCs/>
          <w:rtl/>
        </w:rPr>
        <w:t xml:space="preserve">מכות </w:t>
      </w:r>
      <w:r w:rsidRPr="006C6C05">
        <w:rPr>
          <w:rFonts w:cs="Arial" w:hint="cs"/>
          <w:b/>
          <w:bCs/>
          <w:sz w:val="16"/>
          <w:szCs w:val="16"/>
          <w:rtl/>
        </w:rPr>
        <w:t xml:space="preserve">(פ"ק) </w:t>
      </w:r>
      <w:r>
        <w:rPr>
          <w:rFonts w:cs="Arial" w:hint="cs"/>
          <w:b/>
          <w:bCs/>
          <w:rtl/>
        </w:rPr>
        <w:t>ה</w:t>
      </w:r>
      <w:r>
        <w:rPr>
          <w:rStyle w:val="ab"/>
          <w:rFonts w:cs="Arial"/>
          <w:b/>
          <w:bCs/>
          <w:rtl/>
        </w:rPr>
        <w:footnoteReference w:id="2609"/>
      </w:r>
      <w:r>
        <w:rPr>
          <w:rFonts w:cs="Arial" w:hint="cs"/>
          <w:b/>
          <w:bCs/>
          <w:rtl/>
        </w:rPr>
        <w:t xml:space="preserve"> ע"ב: </w:t>
      </w:r>
      <w:r w:rsidRPr="00486918">
        <w:rPr>
          <w:rFonts w:cs="Arial"/>
          <w:u w:val="double"/>
          <w:rtl/>
        </w:rPr>
        <w:t>מתני'</w:t>
      </w:r>
      <w:r>
        <w:rPr>
          <w:rFonts w:cs="Arial" w:hint="cs"/>
          <w:rtl/>
        </w:rPr>
        <w:t xml:space="preserve">: </w:t>
      </w:r>
      <w:r w:rsidRPr="006C6C05">
        <w:rPr>
          <w:rFonts w:cs="Arial"/>
          <w:rtl/>
        </w:rPr>
        <w:t>על פי שנים עדים או שלשה עדים יומת המת - אם מתקיימת העדות בשנים, למה פרט הכתוב בשלשה? אלא להקיש שנים לשלשה</w:t>
      </w:r>
      <w:r>
        <w:rPr>
          <w:rFonts w:cs="Arial" w:hint="cs"/>
          <w:rtl/>
        </w:rPr>
        <w:t>,</w:t>
      </w:r>
      <w:r w:rsidRPr="00B35AC1">
        <w:rPr>
          <w:rtl/>
        </w:rPr>
        <w:t xml:space="preserve"> </w:t>
      </w:r>
      <w:r w:rsidRPr="00B35AC1">
        <w:rPr>
          <w:rFonts w:cs="Arial"/>
          <w:rtl/>
        </w:rPr>
        <w:t>מה שלשה מזימין את השנים, אף השנים יזומו את הג'</w:t>
      </w:r>
      <w:r>
        <w:rPr>
          <w:rFonts w:cs="Arial" w:hint="cs"/>
          <w:rtl/>
        </w:rPr>
        <w:t>,</w:t>
      </w:r>
      <w:r w:rsidRPr="00B35AC1">
        <w:rPr>
          <w:rFonts w:cs="Arial"/>
          <w:rtl/>
        </w:rPr>
        <w:t xml:space="preserve"> ומנין אפי' מאה? ת"ל: עדים.</w:t>
      </w:r>
      <w:r>
        <w:rPr>
          <w:rFonts w:cs="Arial" w:hint="cs"/>
          <w:rtl/>
        </w:rPr>
        <w:t xml:space="preserve">... </w:t>
      </w:r>
      <w:r w:rsidRPr="006C6C05">
        <w:rPr>
          <w:rFonts w:cs="Arial"/>
          <w:rtl/>
        </w:rPr>
        <w:t>מה שנים, נמצא אחד מהן קרוב או פסול - עדותן בטלה, אף שלשה, נמצא אחד מהן קרוב או פסול - עדותן בטלה; מנין אפי' מאה? ת"ל: עדים.</w:t>
      </w:r>
      <w:r>
        <w:rPr>
          <w:rFonts w:cs="Arial" w:hint="cs"/>
          <w:rtl/>
        </w:rPr>
        <w:t xml:space="preserve"> </w:t>
      </w:r>
      <w:r>
        <w:rPr>
          <w:rFonts w:cs="Arial" w:hint="cs"/>
          <w:sz w:val="14"/>
          <w:szCs w:val="14"/>
          <w:rtl/>
        </w:rPr>
        <w:t>(ו.)</w:t>
      </w:r>
      <w:r w:rsidRPr="006C6C05">
        <w:rPr>
          <w:rFonts w:cs="Arial"/>
          <w:rtl/>
        </w:rPr>
        <w:t xml:space="preserve"> </w:t>
      </w:r>
      <w:r w:rsidRPr="00486918">
        <w:rPr>
          <w:rFonts w:cs="Arial"/>
          <w:u w:val="single"/>
          <w:rtl/>
        </w:rPr>
        <w:t>אמר רבי יוסי</w:t>
      </w:r>
      <w:r w:rsidRPr="00486918">
        <w:rPr>
          <w:rFonts w:cs="Arial"/>
          <w:rtl/>
        </w:rPr>
        <w:t>: במה דברים אמורים - בדיני נפשות, אבל בדיני ממונות - תתקיים העדות בשאר</w:t>
      </w:r>
      <w:r>
        <w:rPr>
          <w:rFonts w:cs="Arial" w:hint="cs"/>
          <w:rtl/>
        </w:rPr>
        <w:t>.</w:t>
      </w:r>
      <w:r w:rsidRPr="00486918">
        <w:rPr>
          <w:rFonts w:cs="Arial"/>
          <w:rtl/>
        </w:rPr>
        <w:t xml:space="preserve"> </w:t>
      </w:r>
      <w:r w:rsidRPr="00486918">
        <w:rPr>
          <w:rFonts w:cs="Arial"/>
          <w:u w:val="single"/>
          <w:rtl/>
        </w:rPr>
        <w:t>רבי אומר</w:t>
      </w:r>
      <w:r w:rsidRPr="00486918">
        <w:rPr>
          <w:rFonts w:cs="Arial"/>
          <w:rtl/>
        </w:rPr>
        <w:t>: אחד דיני ממונות ואחד דיני נפשות. ואימתי? בזמן שהתרו בהן</w:t>
      </w:r>
      <w:r>
        <w:rPr>
          <w:rStyle w:val="ab"/>
          <w:rFonts w:cs="Arial"/>
          <w:rtl/>
        </w:rPr>
        <w:footnoteReference w:id="2610"/>
      </w:r>
      <w:r w:rsidRPr="00486918">
        <w:rPr>
          <w:rFonts w:cs="Arial"/>
          <w:rtl/>
        </w:rPr>
        <w:t>, אבל בזמן שלא התרו בהן</w:t>
      </w:r>
      <w:r>
        <w:rPr>
          <w:rStyle w:val="ab"/>
          <w:rFonts w:cs="Arial"/>
          <w:rtl/>
        </w:rPr>
        <w:footnoteReference w:id="2611"/>
      </w:r>
      <w:r w:rsidRPr="00486918">
        <w:rPr>
          <w:rFonts w:cs="Arial"/>
          <w:rtl/>
        </w:rPr>
        <w:t>, מה יעשו שני אחין שראו באחד שהרג את הנפש?</w:t>
      </w:r>
      <w:r>
        <w:rPr>
          <w:rFonts w:cs="Arial" w:hint="cs"/>
          <w:rtl/>
        </w:rPr>
        <w:t xml:space="preserve">.       </w:t>
      </w:r>
      <w:r w:rsidRPr="00486918">
        <w:rPr>
          <w:rFonts w:cs="Arial" w:hint="cs"/>
          <w:u w:val="double"/>
          <w:rtl/>
        </w:rPr>
        <w:t>גמ'</w:t>
      </w:r>
      <w:r>
        <w:rPr>
          <w:rFonts w:cs="Arial" w:hint="cs"/>
          <w:rtl/>
        </w:rPr>
        <w:t>:</w:t>
      </w:r>
      <w:r w:rsidRPr="00486918">
        <w:rPr>
          <w:rtl/>
        </w:rPr>
        <w:t xml:space="preserve"> </w:t>
      </w:r>
      <w:r w:rsidRPr="00717EF0">
        <w:rPr>
          <w:rFonts w:cs="Arial"/>
          <w:u w:val="single"/>
          <w:rtl/>
        </w:rPr>
        <w:t>אמר רבא</w:t>
      </w:r>
      <w:r w:rsidRPr="00717EF0">
        <w:rPr>
          <w:rFonts w:cs="Arial"/>
          <w:rtl/>
        </w:rPr>
        <w:t>: והוא, שהעידו כולם בתוך כדי דיבור</w:t>
      </w:r>
      <w:r>
        <w:rPr>
          <w:rStyle w:val="ab"/>
          <w:rFonts w:cs="Arial"/>
          <w:rtl/>
        </w:rPr>
        <w:footnoteReference w:id="2612"/>
      </w:r>
      <w:r w:rsidRPr="00717EF0">
        <w:rPr>
          <w:rFonts w:cs="Arial"/>
          <w:rtl/>
        </w:rPr>
        <w:t xml:space="preserve">. </w:t>
      </w:r>
      <w:r w:rsidRPr="00717EF0">
        <w:rPr>
          <w:rFonts w:cs="Arial"/>
          <w:u w:val="single"/>
          <w:rtl/>
        </w:rPr>
        <w:t>אמר ליה רב אחא מדפתי לרבינא</w:t>
      </w:r>
      <w:r w:rsidRPr="00717EF0">
        <w:rPr>
          <w:rFonts w:cs="Arial"/>
          <w:rtl/>
        </w:rPr>
        <w:t xml:space="preserve">: מכדי תוך כדי דיבור היכי דמי? כדי שאילת תלמיד לרב, מאה טובא הוו! </w:t>
      </w:r>
      <w:r w:rsidRPr="00717EF0">
        <w:rPr>
          <w:rFonts w:cs="Arial"/>
          <w:u w:val="single"/>
          <w:rtl/>
        </w:rPr>
        <w:t>אמר ליה</w:t>
      </w:r>
      <w:r w:rsidRPr="00717EF0">
        <w:rPr>
          <w:rFonts w:cs="Arial"/>
          <w:rtl/>
        </w:rPr>
        <w:t>: כל חד וחד בתוך כדי דיבור של חבירו.</w:t>
      </w:r>
      <w:r>
        <w:rPr>
          <w:rFonts w:cs="Arial" w:hint="cs"/>
          <w:rtl/>
        </w:rPr>
        <w:t>..</w:t>
      </w:r>
      <w:r w:rsidRPr="00717EF0">
        <w:rPr>
          <w:rFonts w:cs="Arial"/>
          <w:rtl/>
        </w:rPr>
        <w:t xml:space="preserve"> </w:t>
      </w:r>
      <w:r w:rsidRPr="00486918">
        <w:rPr>
          <w:rFonts w:cs="Arial"/>
          <w:rtl/>
        </w:rPr>
        <w:t>אמר רבי יוסי: במה דברים אמורים וכו' מה יעשו שני אחים כו'. היכי אמרינן להו</w:t>
      </w:r>
      <w:r>
        <w:rPr>
          <w:rStyle w:val="ab"/>
          <w:rFonts w:cs="Arial"/>
          <w:rtl/>
        </w:rPr>
        <w:footnoteReference w:id="2613"/>
      </w:r>
      <w:r w:rsidRPr="00486918">
        <w:rPr>
          <w:rFonts w:cs="Arial"/>
          <w:rtl/>
        </w:rPr>
        <w:t xml:space="preserve">? </w:t>
      </w:r>
      <w:r w:rsidRPr="00486918">
        <w:rPr>
          <w:rFonts w:cs="Arial"/>
          <w:u w:val="single"/>
          <w:rtl/>
        </w:rPr>
        <w:t>אמר רבא</w:t>
      </w:r>
      <w:r w:rsidRPr="00486918">
        <w:rPr>
          <w:rFonts w:cs="Arial"/>
          <w:rtl/>
        </w:rPr>
        <w:t>, הכי אמרי' להו</w:t>
      </w:r>
      <w:r>
        <w:rPr>
          <w:rStyle w:val="ab"/>
          <w:rFonts w:cs="Arial"/>
          <w:rtl/>
        </w:rPr>
        <w:footnoteReference w:id="2614"/>
      </w:r>
      <w:r w:rsidRPr="00486918">
        <w:rPr>
          <w:rFonts w:cs="Arial"/>
          <w:rtl/>
        </w:rPr>
        <w:t xml:space="preserve">: למיחזי אתיתו או לאסהודי אתיתו? אי אמרי: לאסהודי אתו, נמצא אחד מהן קרוב או פסול - עדותן בטלה, אי אמרי: למיחזי אתו, מה יעשו שני אחין שראו באחד שהרג את הנפש? איתמר, </w:t>
      </w:r>
      <w:r w:rsidRPr="00486918">
        <w:rPr>
          <w:rFonts w:cs="Arial"/>
          <w:u w:val="single"/>
          <w:rtl/>
        </w:rPr>
        <w:t>אמר רב יהודה אמר שמואל</w:t>
      </w:r>
      <w:r w:rsidRPr="00486918">
        <w:rPr>
          <w:rFonts w:cs="Arial"/>
          <w:rtl/>
        </w:rPr>
        <w:t xml:space="preserve">: הלכה כר' יוסי, </w:t>
      </w:r>
      <w:r w:rsidRPr="00486918">
        <w:rPr>
          <w:rFonts w:cs="Arial"/>
          <w:u w:val="single"/>
          <w:rtl/>
        </w:rPr>
        <w:t>ורב נחמן אומר</w:t>
      </w:r>
      <w:r w:rsidRPr="00486918">
        <w:rPr>
          <w:rFonts w:cs="Arial"/>
          <w:rtl/>
        </w:rPr>
        <w:t>: הלכה כרבי.</w:t>
      </w:r>
      <w:r w:rsidRPr="000D227A">
        <w:rPr>
          <w:rFonts w:cs="Arial" w:hint="cs"/>
          <w:sz w:val="16"/>
          <w:szCs w:val="16"/>
          <w:rtl/>
        </w:rPr>
        <w:t xml:space="preserve"> (</w:t>
      </w:r>
      <w:r w:rsidRPr="000D227A">
        <w:rPr>
          <w:rFonts w:cs="Arial"/>
          <w:sz w:val="16"/>
          <w:szCs w:val="16"/>
          <w:rtl/>
        </w:rPr>
        <w:t>ופסקו הפוסקים כרב נחמן דהלכתא כוותיה בדיני (כתובות יג.)</w:t>
      </w:r>
      <w:r>
        <w:rPr>
          <w:rFonts w:cs="Arial" w:hint="cs"/>
          <w:sz w:val="16"/>
          <w:szCs w:val="16"/>
          <w:rtl/>
        </w:rPr>
        <w:t>,</w:t>
      </w:r>
      <w:r w:rsidRPr="000D227A">
        <w:rPr>
          <w:rFonts w:cs="Arial"/>
          <w:sz w:val="16"/>
          <w:szCs w:val="16"/>
          <w:rtl/>
        </w:rPr>
        <w:t xml:space="preserve"> ואע</w:t>
      </w:r>
      <w:r>
        <w:rPr>
          <w:rFonts w:cs="Arial" w:hint="cs"/>
          <w:sz w:val="16"/>
          <w:szCs w:val="16"/>
          <w:rtl/>
        </w:rPr>
        <w:t>"</w:t>
      </w:r>
      <w:r w:rsidRPr="000D227A">
        <w:rPr>
          <w:rFonts w:cs="Arial"/>
          <w:sz w:val="16"/>
          <w:szCs w:val="16"/>
          <w:rtl/>
        </w:rPr>
        <w:t>ג דשמואל רביה הוה</w:t>
      </w:r>
      <w:r>
        <w:rPr>
          <w:rFonts w:cs="Arial" w:hint="cs"/>
          <w:sz w:val="16"/>
          <w:szCs w:val="16"/>
          <w:rtl/>
        </w:rPr>
        <w:t>,</w:t>
      </w:r>
      <w:r w:rsidRPr="000D227A">
        <w:rPr>
          <w:rFonts w:cs="Arial"/>
          <w:sz w:val="16"/>
          <w:szCs w:val="16"/>
          <w:rtl/>
        </w:rPr>
        <w:t xml:space="preserve"> מ</w:t>
      </w:r>
      <w:r>
        <w:rPr>
          <w:rFonts w:cs="Arial" w:hint="cs"/>
          <w:sz w:val="16"/>
          <w:szCs w:val="16"/>
          <w:rtl/>
        </w:rPr>
        <w:t>"</w:t>
      </w:r>
      <w:r w:rsidRPr="000D227A">
        <w:rPr>
          <w:rFonts w:cs="Arial"/>
          <w:sz w:val="16"/>
          <w:szCs w:val="16"/>
          <w:rtl/>
        </w:rPr>
        <w:t>מ הלכה כרב נחמן דהא רבינא דבתרא הוא מוקי פ</w:t>
      </w:r>
      <w:r>
        <w:rPr>
          <w:rFonts w:cs="Arial" w:hint="cs"/>
          <w:sz w:val="16"/>
          <w:szCs w:val="16"/>
          <w:rtl/>
        </w:rPr>
        <w:t>"ק</w:t>
      </w:r>
      <w:r w:rsidRPr="000D227A">
        <w:rPr>
          <w:rFonts w:cs="Arial"/>
          <w:sz w:val="16"/>
          <w:szCs w:val="16"/>
          <w:rtl/>
        </w:rPr>
        <w:t xml:space="preserve"> דסנהדרין (ט.) רבי מאיר כרבי יוסי ורבנן כרבי</w:t>
      </w:r>
      <w:r>
        <w:rPr>
          <w:rFonts w:cs="Arial" w:hint="cs"/>
          <w:sz w:val="16"/>
          <w:szCs w:val="16"/>
          <w:rtl/>
        </w:rPr>
        <w:t>,</w:t>
      </w:r>
      <w:r w:rsidRPr="000D227A">
        <w:rPr>
          <w:rFonts w:cs="Arial"/>
          <w:sz w:val="16"/>
          <w:szCs w:val="16"/>
          <w:rtl/>
        </w:rPr>
        <w:t xml:space="preserve"> אלמא הלכה כרבי סבירא ליה</w:t>
      </w:r>
      <w:r>
        <w:rPr>
          <w:rFonts w:cs="Arial" w:hint="cs"/>
          <w:sz w:val="16"/>
          <w:szCs w:val="16"/>
          <w:rtl/>
        </w:rPr>
        <w:t>, ב"י)</w:t>
      </w:r>
    </w:p>
    <w:p w14:paraId="28238223" w14:textId="77777777" w:rsidR="004B607F" w:rsidRPr="002A633F" w:rsidRDefault="004B607F" w:rsidP="004B607F">
      <w:pPr>
        <w:rPr>
          <w:rFonts w:cs="Arial"/>
        </w:rPr>
      </w:pPr>
      <w:r w:rsidRPr="000D227A">
        <w:rPr>
          <w:rFonts w:cs="Arial"/>
          <w:u w:val="single"/>
          <w:rtl/>
        </w:rPr>
        <w:t>עדים רבים שהעידו בעדות אחת ונמצא אחד מהם קרוב או פסול</w:t>
      </w:r>
      <w:r w:rsidRPr="000D227A">
        <w:rPr>
          <w:rFonts w:cs="Arial" w:hint="cs"/>
          <w:u w:val="single"/>
          <w:rtl/>
        </w:rPr>
        <w:t>:</w:t>
      </w:r>
    </w:p>
    <w:p w14:paraId="75442F69" w14:textId="77777777" w:rsidR="004B607F" w:rsidRPr="00963C6C" w:rsidRDefault="004B607F" w:rsidP="004B0475">
      <w:pPr>
        <w:pStyle w:val="ac"/>
        <w:numPr>
          <w:ilvl w:val="0"/>
          <w:numId w:val="106"/>
        </w:numPr>
        <w:rPr>
          <w:rFonts w:cs="Arial"/>
          <w:rtl/>
        </w:rPr>
      </w:pPr>
      <w:r>
        <w:rPr>
          <w:rFonts w:cs="Arial" w:hint="cs"/>
          <w:rtl/>
        </w:rPr>
        <w:t xml:space="preserve">רמב"ם </w:t>
      </w:r>
      <w:r w:rsidRPr="00741FC5">
        <w:rPr>
          <w:rFonts w:hint="cs"/>
          <w:sz w:val="16"/>
          <w:szCs w:val="16"/>
          <w:rtl/>
        </w:rPr>
        <w:t>(פ"ה ה"</w:t>
      </w:r>
      <w:r>
        <w:rPr>
          <w:rFonts w:hint="cs"/>
          <w:sz w:val="16"/>
          <w:szCs w:val="16"/>
          <w:rtl/>
        </w:rPr>
        <w:t>ג-ה)</w:t>
      </w:r>
      <w:r w:rsidRPr="002A633F">
        <w:rPr>
          <w:rFonts w:cs="Arial" w:hint="cs"/>
          <w:rtl/>
        </w:rPr>
        <w:t xml:space="preserve"> </w:t>
      </w:r>
      <w:r>
        <w:rPr>
          <w:rFonts w:cs="Arial" w:hint="cs"/>
          <w:rtl/>
        </w:rPr>
        <w:t>ו</w:t>
      </w:r>
      <w:r w:rsidRPr="00CB68FE">
        <w:rPr>
          <w:rFonts w:cs="Arial" w:hint="cs"/>
          <w:rtl/>
        </w:rPr>
        <w:t>טור</w:t>
      </w:r>
      <w:r>
        <w:rPr>
          <w:rStyle w:val="ab"/>
          <w:rFonts w:cs="Arial"/>
          <w:rtl/>
        </w:rPr>
        <w:footnoteReference w:id="2615"/>
      </w:r>
      <w:r>
        <w:rPr>
          <w:rFonts w:cs="Arial" w:hint="cs"/>
          <w:rtl/>
        </w:rPr>
        <w:t xml:space="preserve">- </w:t>
      </w:r>
      <w:r w:rsidRPr="00963C6C">
        <w:rPr>
          <w:rFonts w:cs="Arial"/>
          <w:rtl/>
        </w:rPr>
        <w:t>על פי שנים עדים או על פי שלשה עדים</w:t>
      </w:r>
      <w:r>
        <w:rPr>
          <w:rFonts w:cs="Arial" w:hint="cs"/>
          <w:rtl/>
        </w:rPr>
        <w:t xml:space="preserve"> -</w:t>
      </w:r>
      <w:r w:rsidRPr="00963C6C">
        <w:rPr>
          <w:rFonts w:cs="Arial"/>
          <w:rtl/>
        </w:rPr>
        <w:t xml:space="preserve"> לעשות שלשה כשנים</w:t>
      </w:r>
      <w:r>
        <w:rPr>
          <w:rFonts w:cs="Arial" w:hint="cs"/>
          <w:rtl/>
        </w:rPr>
        <w:t>,</w:t>
      </w:r>
      <w:r w:rsidRPr="00963C6C">
        <w:rPr>
          <w:rFonts w:cs="Arial"/>
          <w:rtl/>
        </w:rPr>
        <w:t xml:space="preserve"> מה שנים נמצא אחד מהן קרוב או פסול בטל העדות</w:t>
      </w:r>
      <w:r>
        <w:rPr>
          <w:rFonts w:cs="Arial" w:hint="cs"/>
          <w:rtl/>
        </w:rPr>
        <w:t>,</w:t>
      </w:r>
      <w:r w:rsidRPr="00963C6C">
        <w:rPr>
          <w:rFonts w:cs="Arial"/>
          <w:rtl/>
        </w:rPr>
        <w:t xml:space="preserve"> אף שלשה</w:t>
      </w:r>
      <w:r>
        <w:rPr>
          <w:rFonts w:cs="Arial" w:hint="cs"/>
          <w:rtl/>
        </w:rPr>
        <w:t>,</w:t>
      </w:r>
      <w:r w:rsidRPr="00963C6C">
        <w:rPr>
          <w:rFonts w:cs="Arial"/>
          <w:rtl/>
        </w:rPr>
        <w:t xml:space="preserve"> והוא הדין למאה</w:t>
      </w:r>
      <w:r>
        <w:rPr>
          <w:rFonts w:cs="Arial" w:hint="cs"/>
          <w:rtl/>
        </w:rPr>
        <w:t>.</w:t>
      </w:r>
      <w:r w:rsidRPr="00963C6C">
        <w:rPr>
          <w:rFonts w:cs="Arial"/>
          <w:rtl/>
        </w:rPr>
        <w:t xml:space="preserve"> נמצא אחד מהן קרוב או פסול </w:t>
      </w:r>
      <w:r>
        <w:rPr>
          <w:rFonts w:cs="Arial" w:hint="cs"/>
          <w:rtl/>
        </w:rPr>
        <w:t xml:space="preserve">- </w:t>
      </w:r>
      <w:r w:rsidRPr="00963C6C">
        <w:rPr>
          <w:rFonts w:cs="Arial"/>
          <w:rtl/>
        </w:rPr>
        <w:t>בטלה העדות</w:t>
      </w:r>
      <w:r>
        <w:rPr>
          <w:rFonts w:cs="Arial" w:hint="cs"/>
          <w:rtl/>
        </w:rPr>
        <w:t>,</w:t>
      </w:r>
      <w:r w:rsidRPr="00963C6C">
        <w:rPr>
          <w:rFonts w:cs="Arial"/>
          <w:rtl/>
        </w:rPr>
        <w:t xml:space="preserve"> בין בדיני ממונות בין בדיני נפשות. במה דברים אמורים</w:t>
      </w:r>
      <w:r>
        <w:rPr>
          <w:rFonts w:cs="Arial" w:hint="cs"/>
          <w:rtl/>
        </w:rPr>
        <w:t>,</w:t>
      </w:r>
      <w:r w:rsidRPr="00963C6C">
        <w:rPr>
          <w:rFonts w:cs="Arial"/>
          <w:rtl/>
        </w:rPr>
        <w:t xml:space="preserve"> בזמן שנתכוונו כולן להעיד, אבל אם לא נתכוונו כולם להעיד</w:t>
      </w:r>
      <w:r>
        <w:rPr>
          <w:rFonts w:cs="Arial" w:hint="cs"/>
          <w:rtl/>
        </w:rPr>
        <w:t>,</w:t>
      </w:r>
      <w:r w:rsidRPr="00963C6C">
        <w:rPr>
          <w:rFonts w:cs="Arial"/>
          <w:rtl/>
        </w:rPr>
        <w:t xml:space="preserve"> מה יעשו שני אחים בכלל העם וראו העם כשהרג זה את זה או כשחבל בו או כשחטף חפץ מידו</w:t>
      </w:r>
      <w:r>
        <w:rPr>
          <w:rFonts w:cs="Arial" w:hint="cs"/>
          <w:rtl/>
        </w:rPr>
        <w:t>?</w:t>
      </w:r>
      <w:r w:rsidRPr="00963C6C">
        <w:rPr>
          <w:rFonts w:cs="Arial"/>
          <w:rtl/>
        </w:rPr>
        <w:t>. וכיצד בודקין את הדבר</w:t>
      </w:r>
      <w:r>
        <w:rPr>
          <w:rFonts w:cs="Arial" w:hint="cs"/>
          <w:rtl/>
        </w:rPr>
        <w:t>,</w:t>
      </w:r>
      <w:r w:rsidRPr="00963C6C">
        <w:rPr>
          <w:rFonts w:cs="Arial"/>
          <w:rtl/>
        </w:rPr>
        <w:t xml:space="preserve"> כשיבואו לבית דין עדים מרובין כת אחת</w:t>
      </w:r>
      <w:r>
        <w:rPr>
          <w:rFonts w:cs="Arial" w:hint="cs"/>
          <w:rtl/>
        </w:rPr>
        <w:t>,</w:t>
      </w:r>
      <w:r w:rsidRPr="00963C6C">
        <w:rPr>
          <w:rFonts w:cs="Arial"/>
          <w:rtl/>
        </w:rPr>
        <w:t xml:space="preserve"> אומר להם</w:t>
      </w:r>
      <w:r>
        <w:rPr>
          <w:rFonts w:cs="Arial" w:hint="cs"/>
          <w:rtl/>
        </w:rPr>
        <w:t xml:space="preserve"> -</w:t>
      </w:r>
      <w:r w:rsidRPr="00963C6C">
        <w:rPr>
          <w:rFonts w:cs="Arial"/>
          <w:rtl/>
        </w:rPr>
        <w:t xml:space="preserve"> </w:t>
      </w:r>
      <w:r>
        <w:rPr>
          <w:rFonts w:cs="Arial" w:hint="cs"/>
          <w:rtl/>
        </w:rPr>
        <w:t>'</w:t>
      </w:r>
      <w:r w:rsidRPr="00963C6C">
        <w:rPr>
          <w:rFonts w:cs="Arial"/>
          <w:rtl/>
        </w:rPr>
        <w:t>כשראיתם זה שהרג או חבל להעיד באתם או לראות</w:t>
      </w:r>
      <w:r>
        <w:rPr>
          <w:rFonts w:cs="Arial" w:hint="cs"/>
          <w:rtl/>
        </w:rPr>
        <w:t>'.</w:t>
      </w:r>
      <w:r w:rsidRPr="00963C6C">
        <w:rPr>
          <w:rFonts w:cs="Arial"/>
          <w:rtl/>
        </w:rPr>
        <w:t xml:space="preserve"> כל מי שאומר </w:t>
      </w:r>
      <w:r>
        <w:rPr>
          <w:rFonts w:cs="Arial" w:hint="cs"/>
          <w:rtl/>
        </w:rPr>
        <w:t>'</w:t>
      </w:r>
      <w:r w:rsidRPr="00963C6C">
        <w:rPr>
          <w:rFonts w:cs="Arial"/>
          <w:rtl/>
        </w:rPr>
        <w:t>לא להעיד עליו אלא לראות מה הדבר ובכלל העם באתי</w:t>
      </w:r>
      <w:r>
        <w:rPr>
          <w:rFonts w:cs="Arial" w:hint="cs"/>
          <w:rtl/>
        </w:rPr>
        <w:t>'</w:t>
      </w:r>
      <w:r w:rsidRPr="00963C6C">
        <w:rPr>
          <w:rFonts w:cs="Arial"/>
          <w:rtl/>
        </w:rPr>
        <w:t xml:space="preserve"> </w:t>
      </w:r>
      <w:r>
        <w:rPr>
          <w:rFonts w:cs="Arial" w:hint="cs"/>
          <w:rtl/>
        </w:rPr>
        <w:t xml:space="preserve">- </w:t>
      </w:r>
      <w:r w:rsidRPr="00963C6C">
        <w:rPr>
          <w:rFonts w:cs="Arial"/>
          <w:rtl/>
        </w:rPr>
        <w:t>מפרישין אותו</w:t>
      </w:r>
      <w:r>
        <w:rPr>
          <w:rFonts w:cs="Arial" w:hint="cs"/>
          <w:rtl/>
        </w:rPr>
        <w:t>.</w:t>
      </w:r>
      <w:r w:rsidRPr="00963C6C">
        <w:rPr>
          <w:rFonts w:cs="Arial"/>
          <w:rtl/>
        </w:rPr>
        <w:t xml:space="preserve"> וכל מי שאומר </w:t>
      </w:r>
      <w:r>
        <w:rPr>
          <w:rFonts w:cs="Arial" w:hint="cs"/>
          <w:rtl/>
        </w:rPr>
        <w:t>'</w:t>
      </w:r>
      <w:r w:rsidRPr="00963C6C">
        <w:rPr>
          <w:rFonts w:cs="Arial"/>
          <w:rtl/>
        </w:rPr>
        <w:t>לא הייתי עומד אלא להעיד ולכוין העדות</w:t>
      </w:r>
      <w:r>
        <w:rPr>
          <w:rFonts w:cs="Arial" w:hint="cs"/>
          <w:rtl/>
        </w:rPr>
        <w:t>'</w:t>
      </w:r>
      <w:r w:rsidRPr="00963C6C">
        <w:rPr>
          <w:rFonts w:cs="Arial"/>
          <w:rtl/>
        </w:rPr>
        <w:t xml:space="preserve"> </w:t>
      </w:r>
      <w:r>
        <w:rPr>
          <w:rFonts w:cs="Arial" w:hint="cs"/>
          <w:rtl/>
        </w:rPr>
        <w:t xml:space="preserve">- </w:t>
      </w:r>
      <w:r w:rsidRPr="00963C6C">
        <w:rPr>
          <w:rFonts w:cs="Arial"/>
          <w:rtl/>
        </w:rPr>
        <w:t>מפרישין אותו</w:t>
      </w:r>
      <w:r>
        <w:rPr>
          <w:rFonts w:cs="Arial" w:hint="cs"/>
          <w:rtl/>
        </w:rPr>
        <w:t>.</w:t>
      </w:r>
      <w:r w:rsidRPr="00963C6C">
        <w:rPr>
          <w:rFonts w:cs="Arial"/>
          <w:rtl/>
        </w:rPr>
        <w:t xml:space="preserve"> אם נמצא באלו שנתכוונו להעיד קרוב או פסול </w:t>
      </w:r>
      <w:r>
        <w:rPr>
          <w:rFonts w:cs="Arial" w:hint="cs"/>
          <w:rtl/>
        </w:rPr>
        <w:t xml:space="preserve">- </w:t>
      </w:r>
      <w:r w:rsidRPr="00963C6C">
        <w:rPr>
          <w:rFonts w:cs="Arial"/>
          <w:rtl/>
        </w:rPr>
        <w:t>עדות כולם בטלה</w:t>
      </w:r>
      <w:r>
        <w:rPr>
          <w:rFonts w:cs="Arial" w:hint="cs"/>
          <w:rtl/>
        </w:rPr>
        <w:t>.</w:t>
      </w:r>
      <w:r w:rsidRPr="00963C6C">
        <w:rPr>
          <w:rFonts w:cs="Arial"/>
          <w:rtl/>
        </w:rPr>
        <w:t xml:space="preserve"> במה דברים</w:t>
      </w:r>
      <w:r>
        <w:rPr>
          <w:rStyle w:val="ab"/>
          <w:rFonts w:cs="Arial"/>
          <w:rtl/>
        </w:rPr>
        <w:footnoteReference w:id="2616"/>
      </w:r>
      <w:r w:rsidRPr="00963C6C">
        <w:rPr>
          <w:rFonts w:cs="Arial"/>
          <w:rtl/>
        </w:rPr>
        <w:t xml:space="preserve"> אמורים כשהיה בהן קרוב או פסול</w:t>
      </w:r>
      <w:r>
        <w:rPr>
          <w:rFonts w:cs="Arial" w:hint="cs"/>
          <w:rtl/>
        </w:rPr>
        <w:t>,</w:t>
      </w:r>
      <w:r w:rsidRPr="00963C6C">
        <w:rPr>
          <w:rFonts w:cs="Arial"/>
          <w:rtl/>
        </w:rPr>
        <w:t xml:space="preserve"> אבל אם כולם כשרים</w:t>
      </w:r>
      <w:r>
        <w:rPr>
          <w:rFonts w:cs="Arial" w:hint="cs"/>
          <w:rtl/>
        </w:rPr>
        <w:t>,</w:t>
      </w:r>
      <w:r w:rsidRPr="00963C6C">
        <w:rPr>
          <w:rFonts w:cs="Arial"/>
          <w:rtl/>
        </w:rPr>
        <w:t xml:space="preserve"> אחד שנתכוון להעיד או שלא נתכוון להעיד הואיל וראה הדבר וכיון עדותו והיה שם התראה חותכין הדין על פיו, בין בדיני ממונות בין בדיני נפשות</w:t>
      </w:r>
      <w:r>
        <w:rPr>
          <w:rFonts w:cs="Arial" w:hint="cs"/>
          <w:sz w:val="16"/>
          <w:szCs w:val="16"/>
          <w:rtl/>
        </w:rPr>
        <w:t xml:space="preserve"> (ל' הרמב"ם)</w:t>
      </w:r>
      <w:r w:rsidRPr="00963C6C">
        <w:rPr>
          <w:rFonts w:cs="Arial"/>
          <w:rtl/>
        </w:rPr>
        <w:t>.</w:t>
      </w:r>
      <w:r w:rsidRPr="00963C6C">
        <w:rPr>
          <w:rFonts w:cs="Arial" w:hint="cs"/>
          <w:color w:val="E36C0A" w:themeColor="accent6" w:themeShade="BF"/>
          <w:rtl/>
        </w:rPr>
        <w:t xml:space="preserve"> </w:t>
      </w:r>
      <w:r w:rsidRPr="00AA46F3">
        <w:rPr>
          <w:rFonts w:cs="Arial" w:hint="cs"/>
          <w:color w:val="E36C0A" w:themeColor="accent6" w:themeShade="BF"/>
          <w:rtl/>
        </w:rPr>
        <w:t>(וכ"פ בשו"ע)</w:t>
      </w:r>
    </w:p>
    <w:p w14:paraId="53DBBFE9" w14:textId="77777777" w:rsidR="004B607F" w:rsidRPr="00D350BC" w:rsidRDefault="004B607F" w:rsidP="004B607F">
      <w:pPr>
        <w:ind w:left="360"/>
        <w:rPr>
          <w:rFonts w:cs="Arial"/>
          <w:u w:val="dotted"/>
        </w:rPr>
      </w:pPr>
      <w:r w:rsidRPr="00D350BC">
        <w:rPr>
          <w:rFonts w:cs="Arial" w:hint="cs"/>
          <w:u w:val="dotted"/>
          <w:rtl/>
        </w:rPr>
        <w:t xml:space="preserve">האם כדי לפסול עדות כולם בעינן גם שיתכוון </w:t>
      </w:r>
      <w:r w:rsidRPr="00D350BC">
        <w:rPr>
          <w:rFonts w:cs="Arial" w:hint="cs"/>
          <w:sz w:val="16"/>
          <w:szCs w:val="16"/>
          <w:u w:val="dotted"/>
          <w:rtl/>
        </w:rPr>
        <w:t>(הקרוב/הפסול)</w:t>
      </w:r>
      <w:r>
        <w:rPr>
          <w:rFonts w:cs="Arial" w:hint="cs"/>
          <w:sz w:val="16"/>
          <w:szCs w:val="16"/>
          <w:u w:val="dotted"/>
          <w:rtl/>
        </w:rPr>
        <w:t xml:space="preserve"> </w:t>
      </w:r>
      <w:r w:rsidRPr="00D350BC">
        <w:rPr>
          <w:rFonts w:cs="Arial" w:hint="cs"/>
          <w:u w:val="dotted"/>
          <w:rtl/>
        </w:rPr>
        <w:t>להעיד וגם שיעיד בפועל</w:t>
      </w:r>
      <w:r>
        <w:rPr>
          <w:rFonts w:cs="Arial" w:hint="cs"/>
          <w:u w:val="dotted"/>
          <w:rtl/>
        </w:rPr>
        <w:t>,</w:t>
      </w:r>
      <w:r w:rsidRPr="00D350BC">
        <w:rPr>
          <w:rFonts w:cs="Arial" w:hint="cs"/>
          <w:u w:val="dotted"/>
          <w:rtl/>
        </w:rPr>
        <w:t xml:space="preserve"> או שדי באחד מהם</w:t>
      </w:r>
      <w:r w:rsidRPr="00D350BC">
        <w:rPr>
          <w:rFonts w:cs="Arial" w:hint="cs"/>
          <w:sz w:val="16"/>
          <w:szCs w:val="16"/>
          <w:u w:val="dotted"/>
          <w:rtl/>
        </w:rPr>
        <w:t xml:space="preserve"> (כוונה/עדות)</w:t>
      </w:r>
      <w:r w:rsidRPr="00D350BC">
        <w:rPr>
          <w:rFonts w:cs="Arial" w:hint="cs"/>
          <w:u w:val="dotted"/>
          <w:rtl/>
        </w:rPr>
        <w:t>:</w:t>
      </w:r>
    </w:p>
    <w:p w14:paraId="305E35B9" w14:textId="77777777" w:rsidR="004B607F" w:rsidRDefault="004B607F" w:rsidP="004B0475">
      <w:pPr>
        <w:pStyle w:val="ac"/>
        <w:numPr>
          <w:ilvl w:val="0"/>
          <w:numId w:val="106"/>
        </w:numPr>
        <w:rPr>
          <w:rFonts w:cs="Arial"/>
        </w:rPr>
      </w:pPr>
      <w:r>
        <w:rPr>
          <w:rFonts w:hint="cs"/>
          <w:rtl/>
        </w:rPr>
        <w:lastRenderedPageBreak/>
        <w:t xml:space="preserve">רש"י </w:t>
      </w:r>
      <w:r w:rsidRPr="00741FC5">
        <w:rPr>
          <w:rFonts w:hint="cs"/>
          <w:sz w:val="16"/>
          <w:szCs w:val="16"/>
          <w:rtl/>
        </w:rPr>
        <w:t xml:space="preserve">(היכי אמרינן) </w:t>
      </w:r>
      <w:r>
        <w:rPr>
          <w:rFonts w:hint="cs"/>
          <w:rtl/>
        </w:rPr>
        <w:t xml:space="preserve">רשב"ם </w:t>
      </w:r>
      <w:r w:rsidRPr="00741FC5">
        <w:rPr>
          <w:rFonts w:hint="cs"/>
          <w:sz w:val="16"/>
          <w:szCs w:val="16"/>
          <w:rtl/>
        </w:rPr>
        <w:t xml:space="preserve">(ב"ב קיג: ד"ה ג' שנכנסו) </w:t>
      </w:r>
      <w:r>
        <w:rPr>
          <w:rFonts w:hint="cs"/>
          <w:rtl/>
        </w:rPr>
        <w:t>ורמב"ם</w:t>
      </w:r>
      <w:r w:rsidRPr="00741FC5">
        <w:rPr>
          <w:rFonts w:hint="cs"/>
          <w:sz w:val="16"/>
          <w:szCs w:val="16"/>
          <w:rtl/>
        </w:rPr>
        <w:t xml:space="preserve"> (פ"ה ה"ד והלאה)</w:t>
      </w:r>
      <w:r>
        <w:rPr>
          <w:rStyle w:val="ab"/>
          <w:rFonts w:cs="Arial"/>
          <w:rtl/>
        </w:rPr>
        <w:footnoteReference w:id="2617"/>
      </w:r>
      <w:r>
        <w:rPr>
          <w:rFonts w:cs="Arial" w:hint="cs"/>
          <w:rtl/>
        </w:rPr>
        <w:t xml:space="preserve">- אפילו לא העיד הפסול/הקרוב אלא רק נתכוון להעיד בשעת הראיה </w:t>
      </w:r>
      <w:r>
        <w:rPr>
          <w:rFonts w:cs="Arial"/>
          <w:rtl/>
        </w:rPr>
        <w:t>–</w:t>
      </w:r>
      <w:r>
        <w:rPr>
          <w:rFonts w:cs="Arial" w:hint="cs"/>
          <w:rtl/>
        </w:rPr>
        <w:t xml:space="preserve"> נפסלת עדות כולם.</w:t>
      </w:r>
      <w:r w:rsidRPr="00FA6F3D">
        <w:rPr>
          <w:rFonts w:cs="Arial" w:hint="cs"/>
          <w:color w:val="E36C0A" w:themeColor="accent6" w:themeShade="BF"/>
          <w:rtl/>
        </w:rPr>
        <w:t xml:space="preserve"> </w:t>
      </w:r>
      <w:r w:rsidRPr="00AA46F3">
        <w:rPr>
          <w:rFonts w:cs="Arial" w:hint="cs"/>
          <w:color w:val="E36C0A" w:themeColor="accent6" w:themeShade="BF"/>
          <w:rtl/>
        </w:rPr>
        <w:t>(וכ"</w:t>
      </w:r>
      <w:r>
        <w:rPr>
          <w:rFonts w:cs="Arial" w:hint="cs"/>
          <w:color w:val="E36C0A" w:themeColor="accent6" w:themeShade="BF"/>
          <w:rtl/>
        </w:rPr>
        <w:t>ס</w:t>
      </w:r>
      <w:r w:rsidRPr="00AA46F3">
        <w:rPr>
          <w:rFonts w:cs="Arial" w:hint="cs"/>
          <w:color w:val="E36C0A" w:themeColor="accent6" w:themeShade="BF"/>
          <w:rtl/>
        </w:rPr>
        <w:t xml:space="preserve"> בשו"ע)</w:t>
      </w:r>
      <w:r>
        <w:rPr>
          <w:rFonts w:cs="Arial" w:hint="cs"/>
          <w:rtl/>
        </w:rPr>
        <w:t xml:space="preserve"> (וכ"פ הש"ך</w:t>
      </w:r>
      <w:r>
        <w:rPr>
          <w:rFonts w:cs="Arial" w:hint="cs"/>
          <w:sz w:val="16"/>
          <w:szCs w:val="16"/>
          <w:rtl/>
        </w:rPr>
        <w:t xml:space="preserve"> [סק"ח]</w:t>
      </w:r>
      <w:r>
        <w:rPr>
          <w:rFonts w:cs="Arial" w:hint="cs"/>
          <w:rtl/>
        </w:rPr>
        <w:t>)</w:t>
      </w:r>
    </w:p>
    <w:p w14:paraId="293FB926" w14:textId="77777777" w:rsidR="004B607F" w:rsidRDefault="004B607F" w:rsidP="004B0475">
      <w:pPr>
        <w:pStyle w:val="ac"/>
        <w:numPr>
          <w:ilvl w:val="0"/>
          <w:numId w:val="106"/>
        </w:numPr>
        <w:rPr>
          <w:rFonts w:cs="Arial"/>
        </w:rPr>
      </w:pPr>
      <w:r w:rsidRPr="00EF2643">
        <w:rPr>
          <w:rFonts w:cs="Arial"/>
          <w:rtl/>
        </w:rPr>
        <w:t>רמ"ה</w:t>
      </w:r>
      <w:r w:rsidRPr="00EF2643">
        <w:rPr>
          <w:rFonts w:cs="Arial"/>
          <w:sz w:val="16"/>
          <w:szCs w:val="16"/>
          <w:rtl/>
        </w:rPr>
        <w:t xml:space="preserve"> </w:t>
      </w:r>
      <w:r w:rsidRPr="00EF2643">
        <w:rPr>
          <w:rFonts w:cs="Arial" w:hint="cs"/>
          <w:sz w:val="16"/>
          <w:szCs w:val="16"/>
          <w:rtl/>
        </w:rPr>
        <w:t>(הביאו הטור)</w:t>
      </w:r>
      <w:r>
        <w:rPr>
          <w:rFonts w:cs="Arial" w:hint="cs"/>
          <w:rtl/>
        </w:rPr>
        <w:t xml:space="preserve">- </w:t>
      </w:r>
      <w:r w:rsidRPr="00EF2643">
        <w:rPr>
          <w:rFonts w:cs="Arial"/>
          <w:rtl/>
        </w:rPr>
        <w:t>ל"ש נצטרף עמהם קרוב או פסול בשעת ראיה להעיד ולא העיד עמהם בשעת הגדה</w:t>
      </w:r>
      <w:r w:rsidRPr="00EF2643">
        <w:rPr>
          <w:rFonts w:cs="Arial" w:hint="cs"/>
          <w:rtl/>
        </w:rPr>
        <w:t>,</w:t>
      </w:r>
      <w:r w:rsidRPr="00EF2643">
        <w:rPr>
          <w:rFonts w:cs="Arial"/>
          <w:rtl/>
        </w:rPr>
        <w:t xml:space="preserve"> ול"ש נצטרף עמהם בשעת הגדה ולא בא להעיד בשעת ראיה</w:t>
      </w:r>
      <w:r>
        <w:rPr>
          <w:rStyle w:val="ab"/>
          <w:rFonts w:cs="Arial"/>
          <w:rtl/>
        </w:rPr>
        <w:footnoteReference w:id="2618"/>
      </w:r>
      <w:r w:rsidRPr="00EF2643">
        <w:rPr>
          <w:rFonts w:cs="Arial"/>
          <w:rtl/>
        </w:rPr>
        <w:t xml:space="preserve"> או שלא ראו כאחד</w:t>
      </w:r>
      <w:r>
        <w:rPr>
          <w:rFonts w:cs="Arial" w:hint="cs"/>
          <w:rtl/>
        </w:rPr>
        <w:t xml:space="preserve"> -</w:t>
      </w:r>
      <w:r w:rsidRPr="00EF2643">
        <w:rPr>
          <w:rFonts w:cs="Arial"/>
          <w:rtl/>
        </w:rPr>
        <w:t xml:space="preserve"> עדותן בטילה</w:t>
      </w:r>
      <w:r>
        <w:rPr>
          <w:rStyle w:val="ab"/>
          <w:rFonts w:cs="Arial"/>
          <w:rtl/>
        </w:rPr>
        <w:footnoteReference w:id="2619"/>
      </w:r>
      <w:r>
        <w:rPr>
          <w:rFonts w:cs="Arial" w:hint="cs"/>
          <w:rtl/>
        </w:rPr>
        <w:t xml:space="preserve"> </w:t>
      </w:r>
      <w:r>
        <w:rPr>
          <w:rFonts w:cs="Arial" w:hint="cs"/>
          <w:sz w:val="16"/>
          <w:szCs w:val="16"/>
          <w:rtl/>
        </w:rPr>
        <w:t>(ל' הטור בשם הרמ"ה)</w:t>
      </w:r>
      <w:r w:rsidRPr="00EF2643">
        <w:rPr>
          <w:rFonts w:cs="Arial" w:hint="cs"/>
          <w:rtl/>
        </w:rPr>
        <w:t>.</w:t>
      </w:r>
      <w:r w:rsidRPr="00EF2643">
        <w:rPr>
          <w:rFonts w:cs="Arial"/>
          <w:rtl/>
        </w:rPr>
        <w:t xml:space="preserve"> </w:t>
      </w:r>
    </w:p>
    <w:p w14:paraId="0CAEB076" w14:textId="77777777" w:rsidR="004B607F" w:rsidRPr="00EF2643" w:rsidRDefault="004B607F" w:rsidP="004B0475">
      <w:pPr>
        <w:pStyle w:val="ac"/>
        <w:numPr>
          <w:ilvl w:val="0"/>
          <w:numId w:val="106"/>
        </w:numPr>
        <w:rPr>
          <w:rFonts w:cs="Arial"/>
          <w:rtl/>
        </w:rPr>
      </w:pPr>
      <w:r>
        <w:rPr>
          <w:rFonts w:cs="Arial"/>
          <w:rtl/>
        </w:rPr>
        <w:t>תוס</w:t>
      </w:r>
      <w:r>
        <w:rPr>
          <w:rFonts w:cs="Arial" w:hint="cs"/>
          <w:rtl/>
        </w:rPr>
        <w:t>'</w:t>
      </w:r>
      <w:r>
        <w:rPr>
          <w:rFonts w:cs="Arial"/>
          <w:rtl/>
        </w:rPr>
        <w:t xml:space="preserve"> </w:t>
      </w:r>
      <w:r w:rsidRPr="0017077A">
        <w:rPr>
          <w:rFonts w:cs="Arial" w:hint="cs"/>
          <w:sz w:val="16"/>
          <w:szCs w:val="16"/>
          <w:rtl/>
        </w:rPr>
        <w:t>(</w:t>
      </w:r>
      <w:r w:rsidRPr="0017077A">
        <w:rPr>
          <w:rFonts w:cs="Arial"/>
          <w:sz w:val="16"/>
          <w:szCs w:val="16"/>
          <w:rtl/>
        </w:rPr>
        <w:t>פרק יש נוחלין קיד. ד"ה אבל</w:t>
      </w:r>
      <w:r w:rsidRPr="0017077A">
        <w:rPr>
          <w:rFonts w:cs="Arial" w:hint="cs"/>
          <w:sz w:val="16"/>
          <w:szCs w:val="16"/>
          <w:rtl/>
        </w:rPr>
        <w:t>,</w:t>
      </w:r>
      <w:r w:rsidRPr="0017077A">
        <w:rPr>
          <w:rFonts w:cs="Arial"/>
          <w:sz w:val="16"/>
          <w:szCs w:val="16"/>
          <w:rtl/>
        </w:rPr>
        <w:t xml:space="preserve"> ובפ</w:t>
      </w:r>
      <w:r w:rsidRPr="0017077A">
        <w:rPr>
          <w:rFonts w:cs="Arial" w:hint="cs"/>
          <w:sz w:val="16"/>
          <w:szCs w:val="16"/>
          <w:rtl/>
        </w:rPr>
        <w:t>"</w:t>
      </w:r>
      <w:r w:rsidRPr="0017077A">
        <w:rPr>
          <w:rFonts w:cs="Arial"/>
          <w:sz w:val="16"/>
          <w:szCs w:val="16"/>
          <w:rtl/>
        </w:rPr>
        <w:t>ק דמכות ו. ד"ה שמואל</w:t>
      </w:r>
      <w:r>
        <w:rPr>
          <w:rStyle w:val="ab"/>
          <w:rFonts w:cs="Arial"/>
          <w:sz w:val="16"/>
          <w:szCs w:val="16"/>
          <w:rtl/>
        </w:rPr>
        <w:footnoteReference w:id="2620"/>
      </w:r>
      <w:r w:rsidRPr="0017077A">
        <w:rPr>
          <w:rFonts w:cs="Arial"/>
          <w:sz w:val="16"/>
          <w:szCs w:val="16"/>
          <w:rtl/>
        </w:rPr>
        <w:t>)</w:t>
      </w:r>
      <w:r>
        <w:rPr>
          <w:rFonts w:cs="Arial" w:hint="cs"/>
          <w:rtl/>
        </w:rPr>
        <w:t xml:space="preserve"> </w:t>
      </w:r>
      <w:r w:rsidRPr="00EF2643">
        <w:rPr>
          <w:rFonts w:cs="Arial"/>
          <w:rtl/>
        </w:rPr>
        <w:t>רא"ש</w:t>
      </w:r>
      <w:r>
        <w:rPr>
          <w:rFonts w:cs="Arial" w:hint="cs"/>
          <w:sz w:val="16"/>
          <w:szCs w:val="16"/>
          <w:rtl/>
        </w:rPr>
        <w:t xml:space="preserve"> (פ"ק דמכות סי' יא)</w:t>
      </w:r>
      <w:r>
        <w:rPr>
          <w:rFonts w:cs="Arial" w:hint="cs"/>
          <w:rtl/>
        </w:rPr>
        <w:t xml:space="preserve"> וטור</w:t>
      </w:r>
      <w:r>
        <w:rPr>
          <w:rStyle w:val="ab"/>
          <w:rFonts w:cs="Arial"/>
          <w:rtl/>
        </w:rPr>
        <w:footnoteReference w:id="2621"/>
      </w:r>
      <w:r>
        <w:rPr>
          <w:rFonts w:cs="Arial" w:hint="cs"/>
          <w:rtl/>
        </w:rPr>
        <w:t xml:space="preserve">- </w:t>
      </w:r>
      <w:r w:rsidRPr="00EF2643">
        <w:rPr>
          <w:rFonts w:cs="Arial"/>
          <w:rtl/>
        </w:rPr>
        <w:t>אפי' אם כיון לראות כדי להעיד אינו פוסל אא"כ כיון לראות כדי להעיד ובא לב"ד והעיד</w:t>
      </w:r>
      <w:r w:rsidRPr="00EF2643">
        <w:rPr>
          <w:rFonts w:cs="Arial" w:hint="cs"/>
          <w:rtl/>
        </w:rPr>
        <w:t>,</w:t>
      </w:r>
      <w:r w:rsidRPr="00EF2643">
        <w:rPr>
          <w:rFonts w:cs="Arial"/>
          <w:rtl/>
        </w:rPr>
        <w:t xml:space="preserve"> אבל אם לא כיון לראות כדי להעיד אפילו בא לב"ד והעיד או שכיון לראות כדי להעיד ולא העיד אינו פוסל</w:t>
      </w:r>
      <w:r>
        <w:rPr>
          <w:rStyle w:val="ab"/>
          <w:rFonts w:cs="Arial"/>
          <w:rtl/>
        </w:rPr>
        <w:footnoteReference w:id="2622"/>
      </w:r>
      <w:r>
        <w:rPr>
          <w:rFonts w:cs="Arial" w:hint="cs"/>
          <w:sz w:val="16"/>
          <w:szCs w:val="16"/>
          <w:rtl/>
        </w:rPr>
        <w:t xml:space="preserve"> (ל' הטור בשם הרא"ש)</w:t>
      </w:r>
      <w:r w:rsidRPr="00EF2643">
        <w:rPr>
          <w:rFonts w:cs="Arial" w:hint="cs"/>
          <w:rtl/>
        </w:rPr>
        <w:t>.</w:t>
      </w:r>
      <w:r w:rsidRPr="00A01EC7">
        <w:rPr>
          <w:rFonts w:hint="cs"/>
          <w:color w:val="00B0F0"/>
          <w:rtl/>
        </w:rPr>
        <w:t xml:space="preserve"> </w:t>
      </w:r>
      <w:r>
        <w:rPr>
          <w:rFonts w:hint="cs"/>
          <w:color w:val="00B0F0"/>
          <w:rtl/>
        </w:rPr>
        <w:t>(</w:t>
      </w:r>
      <w:r w:rsidRPr="00AA46F3">
        <w:rPr>
          <w:rFonts w:hint="cs"/>
          <w:color w:val="00B0F0"/>
          <w:rtl/>
        </w:rPr>
        <w:t>וכ"פ הרמ"א</w:t>
      </w:r>
      <w:r>
        <w:rPr>
          <w:rFonts w:hint="cs"/>
          <w:color w:val="00B0F0"/>
          <w:sz w:val="16"/>
          <w:szCs w:val="16"/>
          <w:rtl/>
        </w:rPr>
        <w:t xml:space="preserve"> </w:t>
      </w:r>
      <w:r>
        <w:rPr>
          <w:rFonts w:hint="cs"/>
          <w:color w:val="000000" w:themeColor="text1"/>
          <w:sz w:val="16"/>
          <w:szCs w:val="16"/>
          <w:rtl/>
        </w:rPr>
        <w:t>[סע' ב]</w:t>
      </w:r>
      <w:r>
        <w:rPr>
          <w:rFonts w:hint="cs"/>
          <w:color w:val="00B0F0"/>
          <w:rtl/>
        </w:rPr>
        <w:t>)</w:t>
      </w:r>
    </w:p>
    <w:p w14:paraId="24B4678D" w14:textId="77777777" w:rsidR="004B607F" w:rsidRPr="00A1271C" w:rsidRDefault="004B607F" w:rsidP="004B0475">
      <w:pPr>
        <w:pStyle w:val="ac"/>
        <w:numPr>
          <w:ilvl w:val="0"/>
          <w:numId w:val="106"/>
        </w:numPr>
        <w:rPr>
          <w:rFonts w:cs="Arial"/>
        </w:rPr>
      </w:pPr>
      <w:r w:rsidRPr="00B74041">
        <w:rPr>
          <w:rFonts w:cs="Arial"/>
          <w:rtl/>
        </w:rPr>
        <w:t>הר"ר ישעיה</w:t>
      </w:r>
      <w:r>
        <w:rPr>
          <w:rFonts w:cs="Arial" w:hint="cs"/>
          <w:rtl/>
        </w:rPr>
        <w:t xml:space="preserve"> </w:t>
      </w:r>
      <w:r w:rsidRPr="00C61141">
        <w:rPr>
          <w:rFonts w:cs="Arial" w:hint="cs"/>
          <w:sz w:val="16"/>
          <w:szCs w:val="16"/>
          <w:rtl/>
        </w:rPr>
        <w:t>(הביאו הטור בסי' לח סי"ד)</w:t>
      </w:r>
      <w:r>
        <w:rPr>
          <w:rFonts w:cs="Arial" w:hint="cs"/>
          <w:rtl/>
        </w:rPr>
        <w:t>-</w:t>
      </w:r>
      <w:r w:rsidRPr="00B74041">
        <w:rPr>
          <w:rFonts w:cs="Arial"/>
          <w:rtl/>
        </w:rPr>
        <w:t xml:space="preserve"> מה שצריך שיעידו כולם בתכ"ד זהו דוקא כשהעידו מאליהם בלא התראת הדיינין לומר להם למיחזי קאתיתו או לאסהודי קא אתיתו</w:t>
      </w:r>
      <w:r>
        <w:rPr>
          <w:rFonts w:cs="Arial" w:hint="cs"/>
          <w:rtl/>
        </w:rPr>
        <w:t>,</w:t>
      </w:r>
      <w:r w:rsidRPr="00B74041">
        <w:rPr>
          <w:rFonts w:cs="Arial"/>
          <w:rtl/>
        </w:rPr>
        <w:t xml:space="preserve"> אבל אם כשבאו להעיד אמר להעיד כיוננו כבר נעשו אגודה אחת בין לענין הזמה דבעינן שיוזמו כולם כאחד בין לענין שאם נמצא אחד מהם קרוב או פסול שעדותן בטלה ובלבד שיראו כלם כאחד</w:t>
      </w:r>
      <w:r>
        <w:rPr>
          <w:rStyle w:val="ab"/>
          <w:rFonts w:cs="Arial"/>
          <w:rtl/>
        </w:rPr>
        <w:footnoteReference w:id="2623"/>
      </w:r>
      <w:r>
        <w:rPr>
          <w:rFonts w:cs="Arial" w:hint="cs"/>
          <w:sz w:val="16"/>
          <w:szCs w:val="16"/>
          <w:rtl/>
        </w:rPr>
        <w:t xml:space="preserve"> (ל' הטור בשמו)</w:t>
      </w:r>
      <w:r>
        <w:rPr>
          <w:rFonts w:cs="Arial" w:hint="cs"/>
          <w:rtl/>
        </w:rPr>
        <w:t>.</w:t>
      </w:r>
    </w:p>
    <w:p w14:paraId="37F5470B" w14:textId="77777777" w:rsidR="004B607F" w:rsidRPr="00C55FAE" w:rsidRDefault="004B607F" w:rsidP="004B607F">
      <w:pPr>
        <w:rPr>
          <w:rFonts w:cs="Arial"/>
          <w:u w:val="single"/>
        </w:rPr>
      </w:pPr>
      <w:r w:rsidRPr="00C55FAE">
        <w:rPr>
          <w:rFonts w:cs="Arial"/>
          <w:b/>
          <w:bCs/>
          <w:u w:val="single"/>
          <w:rtl/>
        </w:rPr>
        <w:t>הזמין</w:t>
      </w:r>
      <w:r w:rsidRPr="00C55FAE">
        <w:rPr>
          <w:rFonts w:cs="Arial"/>
          <w:u w:val="single"/>
          <w:rtl/>
        </w:rPr>
        <w:t xml:space="preserve"> </w:t>
      </w:r>
      <w:r w:rsidRPr="00C55FAE">
        <w:rPr>
          <w:rFonts w:cs="Arial" w:hint="cs"/>
          <w:u w:val="single"/>
          <w:rtl/>
        </w:rPr>
        <w:t>ה</w:t>
      </w:r>
      <w:r w:rsidRPr="00C55FAE">
        <w:rPr>
          <w:rFonts w:cs="Arial"/>
          <w:u w:val="single"/>
          <w:rtl/>
        </w:rPr>
        <w:t xml:space="preserve">תובע עדים כשרים </w:t>
      </w:r>
      <w:r w:rsidRPr="00C55FAE">
        <w:rPr>
          <w:rFonts w:cs="Arial" w:hint="cs"/>
          <w:sz w:val="16"/>
          <w:szCs w:val="16"/>
          <w:u w:val="single"/>
          <w:rtl/>
        </w:rPr>
        <w:t>(או שהכריז שכל היודע לו עדות שיעיד)</w:t>
      </w:r>
      <w:r w:rsidRPr="00C55FAE">
        <w:rPr>
          <w:rFonts w:cs="Arial" w:hint="cs"/>
          <w:u w:val="single"/>
          <w:rtl/>
        </w:rPr>
        <w:t xml:space="preserve"> - </w:t>
      </w:r>
      <w:r w:rsidRPr="00C55FAE">
        <w:rPr>
          <w:rFonts w:cs="Arial"/>
          <w:u w:val="single"/>
          <w:rtl/>
        </w:rPr>
        <w:t>ועמדו שם עדים קרובים או פסולין</w:t>
      </w:r>
      <w:r w:rsidRPr="00C55FAE">
        <w:rPr>
          <w:rFonts w:cs="Arial" w:hint="cs"/>
          <w:u w:val="single"/>
          <w:rtl/>
        </w:rPr>
        <w:t xml:space="preserve">: </w:t>
      </w:r>
    </w:p>
    <w:p w14:paraId="57B33B06" w14:textId="77777777" w:rsidR="004B607F" w:rsidRDefault="004B607F" w:rsidP="004B0475">
      <w:pPr>
        <w:pStyle w:val="ac"/>
        <w:numPr>
          <w:ilvl w:val="0"/>
          <w:numId w:val="106"/>
        </w:numPr>
        <w:rPr>
          <w:rFonts w:cs="Arial"/>
        </w:rPr>
      </w:pPr>
      <w:r w:rsidRPr="00DF749E">
        <w:rPr>
          <w:rFonts w:cs="Arial"/>
          <w:rtl/>
        </w:rPr>
        <w:t>רא"ש</w:t>
      </w:r>
      <w:r>
        <w:rPr>
          <w:rFonts w:cs="Arial" w:hint="cs"/>
          <w:rtl/>
        </w:rPr>
        <w:t xml:space="preserve"> </w:t>
      </w:r>
      <w:r w:rsidRPr="00D25DDF">
        <w:rPr>
          <w:rFonts w:cs="Arial" w:hint="cs"/>
          <w:sz w:val="16"/>
          <w:szCs w:val="16"/>
          <w:rtl/>
        </w:rPr>
        <w:t>(</w:t>
      </w:r>
      <w:r w:rsidRPr="00D25DDF">
        <w:rPr>
          <w:rFonts w:cs="Arial"/>
          <w:sz w:val="16"/>
          <w:szCs w:val="16"/>
          <w:rtl/>
        </w:rPr>
        <w:t>פ</w:t>
      </w:r>
      <w:r w:rsidRPr="00D25DDF">
        <w:rPr>
          <w:rFonts w:cs="Arial" w:hint="cs"/>
          <w:sz w:val="16"/>
          <w:szCs w:val="16"/>
          <w:rtl/>
        </w:rPr>
        <w:t>"</w:t>
      </w:r>
      <w:r w:rsidRPr="00D25DDF">
        <w:rPr>
          <w:rFonts w:cs="Arial"/>
          <w:sz w:val="16"/>
          <w:szCs w:val="16"/>
          <w:rtl/>
        </w:rPr>
        <w:t>ק דמכות סי' יא)</w:t>
      </w:r>
      <w:r w:rsidRPr="00D25DDF">
        <w:rPr>
          <w:rFonts w:cs="Arial" w:hint="cs"/>
          <w:sz w:val="16"/>
          <w:szCs w:val="16"/>
          <w:rtl/>
        </w:rPr>
        <w:t xml:space="preserve"> </w:t>
      </w:r>
      <w:r>
        <w:rPr>
          <w:rFonts w:cs="Arial" w:hint="cs"/>
          <w:rtl/>
        </w:rPr>
        <w:t>ו</w:t>
      </w:r>
      <w:r w:rsidRPr="00425EBC">
        <w:rPr>
          <w:rFonts w:cs="Arial" w:hint="cs"/>
          <w:rtl/>
        </w:rPr>
        <w:t xml:space="preserve">טור- </w:t>
      </w:r>
      <w:r w:rsidRPr="00425EBC">
        <w:rPr>
          <w:rFonts w:cs="Arial"/>
          <w:rtl/>
        </w:rPr>
        <w:t>אם הזמין התובע עדים כשרים ועמדו שם עדים קרובים או פסולין</w:t>
      </w:r>
      <w:r>
        <w:rPr>
          <w:rFonts w:cs="Arial" w:hint="cs"/>
          <w:rtl/>
        </w:rPr>
        <w:t>,</w:t>
      </w:r>
      <w:r w:rsidRPr="00425EBC">
        <w:rPr>
          <w:rFonts w:cs="Arial"/>
          <w:rtl/>
        </w:rPr>
        <w:t xml:space="preserve"> אפי' אם כיוונו להעיד והעידו </w:t>
      </w:r>
      <w:r>
        <w:rPr>
          <w:rFonts w:cs="Arial" w:hint="cs"/>
          <w:rtl/>
        </w:rPr>
        <w:t xml:space="preserve">- </w:t>
      </w:r>
      <w:r w:rsidRPr="00425EBC">
        <w:rPr>
          <w:rFonts w:cs="Arial"/>
          <w:rtl/>
        </w:rPr>
        <w:t>לא נתבטל העדות של כשרים</w:t>
      </w:r>
      <w:r>
        <w:rPr>
          <w:rFonts w:cs="Arial" w:hint="cs"/>
          <w:rtl/>
        </w:rPr>
        <w:t>,</w:t>
      </w:r>
      <w:r w:rsidRPr="00425EBC">
        <w:rPr>
          <w:rFonts w:cs="Arial"/>
          <w:rtl/>
        </w:rPr>
        <w:t xml:space="preserve"> דכיון שהזמין עדיו והוציא את האחרים מכלל העדות לאו כל כמינייהו לבטל העדות</w:t>
      </w:r>
      <w:r w:rsidRPr="00425EBC">
        <w:rPr>
          <w:rFonts w:cs="Arial" w:hint="cs"/>
          <w:rtl/>
        </w:rPr>
        <w:t>.</w:t>
      </w:r>
      <w:r>
        <w:rPr>
          <w:rFonts w:cs="Arial" w:hint="cs"/>
          <w:rtl/>
        </w:rPr>
        <w:t xml:space="preserve"> </w:t>
      </w:r>
      <w:r w:rsidRPr="00425EBC">
        <w:rPr>
          <w:rFonts w:cs="Arial"/>
          <w:rtl/>
        </w:rPr>
        <w:t>וכן כשאדם צריך לעדות</w:t>
      </w:r>
      <w:r>
        <w:rPr>
          <w:rFonts w:cs="Arial" w:hint="cs"/>
          <w:rtl/>
        </w:rPr>
        <w:t>,</w:t>
      </w:r>
      <w:r w:rsidRPr="00425EBC">
        <w:rPr>
          <w:rFonts w:cs="Arial"/>
          <w:rtl/>
        </w:rPr>
        <w:t xml:space="preserve"> ומצוה להכריז כל מי שיודע לו עדות שיבא ויעיד</w:t>
      </w:r>
      <w:r>
        <w:rPr>
          <w:rFonts w:cs="Arial" w:hint="cs"/>
          <w:rtl/>
        </w:rPr>
        <w:t>,</w:t>
      </w:r>
      <w:r w:rsidRPr="00425EBC">
        <w:rPr>
          <w:rFonts w:cs="Arial"/>
          <w:rtl/>
        </w:rPr>
        <w:t xml:space="preserve"> והעידו כשרים ופסולין</w:t>
      </w:r>
      <w:r>
        <w:rPr>
          <w:rFonts w:cs="Arial" w:hint="cs"/>
          <w:rtl/>
        </w:rPr>
        <w:t xml:space="preserve"> -</w:t>
      </w:r>
      <w:r w:rsidRPr="00425EBC">
        <w:rPr>
          <w:rFonts w:cs="Arial"/>
          <w:rtl/>
        </w:rPr>
        <w:t xml:space="preserve"> לא נתבטל עדות הכשרים</w:t>
      </w:r>
      <w:r>
        <w:rPr>
          <w:rFonts w:cs="Arial" w:hint="cs"/>
          <w:rtl/>
        </w:rPr>
        <w:t>,</w:t>
      </w:r>
      <w:r w:rsidRPr="00425EBC">
        <w:rPr>
          <w:rFonts w:cs="Arial"/>
          <w:rtl/>
        </w:rPr>
        <w:t xml:space="preserve"> שלא היה כוונתו אלא בראוי להעיד</w:t>
      </w:r>
      <w:r>
        <w:rPr>
          <w:rFonts w:cs="Arial" w:hint="cs"/>
          <w:sz w:val="16"/>
          <w:szCs w:val="16"/>
          <w:rtl/>
        </w:rPr>
        <w:t xml:space="preserve"> (ל' הטור)</w:t>
      </w:r>
      <w:r w:rsidRPr="00425EBC">
        <w:rPr>
          <w:rFonts w:cs="Arial" w:hint="cs"/>
          <w:rtl/>
        </w:rPr>
        <w:t>.</w:t>
      </w:r>
      <w:r>
        <w:rPr>
          <w:rFonts w:cs="Arial" w:hint="cs"/>
          <w:color w:val="E36C0A" w:themeColor="accent6" w:themeShade="BF"/>
          <w:rtl/>
        </w:rPr>
        <w:t xml:space="preserve"> </w:t>
      </w:r>
      <w:r w:rsidRPr="00AA46F3">
        <w:rPr>
          <w:rFonts w:cs="Arial" w:hint="cs"/>
          <w:color w:val="E36C0A" w:themeColor="accent6" w:themeShade="BF"/>
          <w:rtl/>
        </w:rPr>
        <w:t>(וכ"פ בשו"ע)</w:t>
      </w:r>
    </w:p>
    <w:p w14:paraId="11EC40B4" w14:textId="77777777" w:rsidR="004B607F" w:rsidRPr="00C55FAE" w:rsidRDefault="004B607F" w:rsidP="004B607F">
      <w:pPr>
        <w:ind w:left="360"/>
        <w:rPr>
          <w:rFonts w:cs="Arial"/>
          <w:u w:val="dotted"/>
        </w:rPr>
      </w:pPr>
      <w:r w:rsidRPr="00C55FAE">
        <w:rPr>
          <w:rFonts w:cs="Arial" w:hint="cs"/>
          <w:u w:val="dotted"/>
          <w:rtl/>
        </w:rPr>
        <w:t xml:space="preserve">ומה הדין אם הזמין בערבוביא: </w:t>
      </w:r>
    </w:p>
    <w:p w14:paraId="2F7B05F8" w14:textId="77777777" w:rsidR="004B607F" w:rsidRDefault="004B607F" w:rsidP="004B0475">
      <w:pPr>
        <w:pStyle w:val="ac"/>
        <w:numPr>
          <w:ilvl w:val="0"/>
          <w:numId w:val="106"/>
        </w:numPr>
        <w:rPr>
          <w:rFonts w:cs="Arial"/>
        </w:rPr>
      </w:pPr>
      <w:r>
        <w:rPr>
          <w:rFonts w:cs="Arial" w:hint="cs"/>
          <w:rtl/>
        </w:rPr>
        <w:t xml:space="preserve">רי"ו </w:t>
      </w:r>
      <w:r w:rsidRPr="00AC0BB7">
        <w:rPr>
          <w:rFonts w:cs="Arial" w:hint="cs"/>
          <w:sz w:val="16"/>
          <w:szCs w:val="16"/>
          <w:rtl/>
        </w:rPr>
        <w:t>(</w:t>
      </w:r>
      <w:r w:rsidRPr="00AC0BB7">
        <w:rPr>
          <w:rFonts w:cs="Arial"/>
          <w:sz w:val="16"/>
          <w:szCs w:val="16"/>
          <w:rtl/>
        </w:rPr>
        <w:t>מישרים נ</w:t>
      </w:r>
      <w:r w:rsidRPr="00AC0BB7">
        <w:rPr>
          <w:rFonts w:cs="Arial" w:hint="cs"/>
          <w:sz w:val="16"/>
          <w:szCs w:val="16"/>
          <w:rtl/>
        </w:rPr>
        <w:t>"</w:t>
      </w:r>
      <w:r w:rsidRPr="00AC0BB7">
        <w:rPr>
          <w:rFonts w:cs="Arial"/>
          <w:sz w:val="16"/>
          <w:szCs w:val="16"/>
          <w:rtl/>
        </w:rPr>
        <w:t>ב ח"ב יא ע"ד)</w:t>
      </w:r>
      <w:r>
        <w:rPr>
          <w:rFonts w:cs="Arial" w:hint="cs"/>
          <w:rtl/>
        </w:rPr>
        <w:t xml:space="preserve">- מהני </w:t>
      </w:r>
      <w:r>
        <w:rPr>
          <w:rFonts w:cs="Arial"/>
          <w:rtl/>
        </w:rPr>
        <w:t>אפילו הזמין בערבוביא</w:t>
      </w:r>
      <w:r>
        <w:rPr>
          <w:rFonts w:cs="Arial" w:hint="cs"/>
          <w:rtl/>
        </w:rPr>
        <w:t>,</w:t>
      </w:r>
      <w:r>
        <w:rPr>
          <w:rFonts w:cs="Arial"/>
          <w:rtl/>
        </w:rPr>
        <w:t xml:space="preserve"> דאין כוונתו אלא בכשרים</w:t>
      </w:r>
      <w:r>
        <w:rPr>
          <w:rStyle w:val="ab"/>
          <w:rFonts w:cs="Arial"/>
          <w:rtl/>
        </w:rPr>
        <w:footnoteReference w:id="2624"/>
      </w:r>
      <w:r>
        <w:rPr>
          <w:rFonts w:cs="Arial" w:hint="cs"/>
          <w:rtl/>
        </w:rPr>
        <w:t>.</w:t>
      </w:r>
    </w:p>
    <w:p w14:paraId="1DA0C700" w14:textId="77777777" w:rsidR="004B607F" w:rsidRDefault="004B607F" w:rsidP="004B607F">
      <w:pPr>
        <w:rPr>
          <w:rFonts w:cs="Arial"/>
          <w:rtl/>
        </w:rPr>
      </w:pPr>
      <w:r w:rsidRPr="006C79F6">
        <w:rPr>
          <w:rFonts w:cs="Arial" w:hint="cs"/>
          <w:u w:val="single"/>
          <w:rtl/>
        </w:rPr>
        <w:t>מ</w:t>
      </w:r>
      <w:r>
        <w:rPr>
          <w:rFonts w:cs="Arial" w:hint="cs"/>
          <w:u w:val="single"/>
          <w:rtl/>
        </w:rPr>
        <w:t xml:space="preserve">ספר הבדלים </w:t>
      </w:r>
      <w:r w:rsidRPr="006C79F6">
        <w:rPr>
          <w:rFonts w:cs="Arial" w:hint="cs"/>
          <w:u w:val="single"/>
          <w:rtl/>
        </w:rPr>
        <w:t>בין עדים מזומנים לעדים שאינם מזומנים:</w:t>
      </w:r>
    </w:p>
    <w:p w14:paraId="3BFEFE8D" w14:textId="77777777" w:rsidR="004B607F" w:rsidRDefault="004B607F" w:rsidP="004B0475">
      <w:pPr>
        <w:pStyle w:val="ac"/>
        <w:numPr>
          <w:ilvl w:val="0"/>
          <w:numId w:val="105"/>
        </w:numPr>
      </w:pPr>
      <w:r w:rsidRPr="006C79F6">
        <w:rPr>
          <w:rFonts w:cs="Arial"/>
          <w:rtl/>
        </w:rPr>
        <w:t xml:space="preserve">רשב"א </w:t>
      </w:r>
      <w:r w:rsidRPr="006C79F6">
        <w:rPr>
          <w:rFonts w:cs="Arial" w:hint="cs"/>
          <w:sz w:val="16"/>
          <w:szCs w:val="16"/>
          <w:rtl/>
        </w:rPr>
        <w:t>(</w:t>
      </w:r>
      <w:r w:rsidRPr="006C79F6">
        <w:rPr>
          <w:rFonts w:cs="Arial"/>
          <w:sz w:val="16"/>
          <w:szCs w:val="16"/>
          <w:rtl/>
        </w:rPr>
        <w:t>סי</w:t>
      </w:r>
      <w:r w:rsidRPr="006C79F6">
        <w:rPr>
          <w:rFonts w:cs="Arial" w:hint="cs"/>
          <w:sz w:val="16"/>
          <w:szCs w:val="16"/>
          <w:rtl/>
        </w:rPr>
        <w:t>'</w:t>
      </w:r>
      <w:r w:rsidRPr="006C79F6">
        <w:rPr>
          <w:rFonts w:cs="Arial"/>
          <w:sz w:val="16"/>
          <w:szCs w:val="16"/>
          <w:rtl/>
        </w:rPr>
        <w:t xml:space="preserve"> אלף עג</w:t>
      </w:r>
      <w:r w:rsidRPr="006C79F6">
        <w:rPr>
          <w:rFonts w:cs="Arial" w:hint="cs"/>
          <w:sz w:val="16"/>
          <w:szCs w:val="16"/>
          <w:rtl/>
        </w:rPr>
        <w:t>)</w:t>
      </w:r>
      <w:r w:rsidRPr="006C79F6">
        <w:rPr>
          <w:rFonts w:cs="Arial" w:hint="cs"/>
          <w:rtl/>
        </w:rPr>
        <w:t>-</w:t>
      </w:r>
      <w:r w:rsidRPr="006C79F6">
        <w:rPr>
          <w:rFonts w:cs="Arial"/>
          <w:rtl/>
        </w:rPr>
        <w:t xml:space="preserve"> אין עדים צריכים להיות מזומנים</w:t>
      </w:r>
      <w:r>
        <w:rPr>
          <w:rFonts w:cs="Arial" w:hint="cs"/>
          <w:rtl/>
        </w:rPr>
        <w:t>.</w:t>
      </w:r>
      <w:r w:rsidRPr="006C79F6">
        <w:rPr>
          <w:rFonts w:cs="Arial"/>
          <w:rtl/>
        </w:rPr>
        <w:t xml:space="preserve"> אבל מכל מקום אין יכולים לכתוב אלו את השטר כשהזמין אחרים בקניינו</w:t>
      </w:r>
      <w:r w:rsidRPr="006C79F6">
        <w:rPr>
          <w:rFonts w:cs="Arial" w:hint="cs"/>
          <w:rtl/>
        </w:rPr>
        <w:t>,</w:t>
      </w:r>
      <w:r w:rsidRPr="006C79F6">
        <w:rPr>
          <w:rFonts w:cs="Arial"/>
          <w:rtl/>
        </w:rPr>
        <w:t xml:space="preserve"> דכי אמרינן </w:t>
      </w:r>
      <w:r w:rsidRPr="006C79F6">
        <w:rPr>
          <w:rFonts w:cs="Arial"/>
          <w:sz w:val="16"/>
          <w:szCs w:val="16"/>
          <w:rtl/>
        </w:rPr>
        <w:t xml:space="preserve">(ב"ב מ.) </w:t>
      </w:r>
      <w:r w:rsidRPr="006C79F6">
        <w:rPr>
          <w:rFonts w:cs="Arial"/>
          <w:rtl/>
        </w:rPr>
        <w:t>סתם קנין לכתיבה עומד הני מילי אלו דמייחדי ועשאן שלוחים</w:t>
      </w:r>
      <w:r>
        <w:rPr>
          <w:rFonts w:cs="Arial" w:hint="cs"/>
          <w:rtl/>
        </w:rPr>
        <w:t>,</w:t>
      </w:r>
      <w:r w:rsidRPr="006C79F6">
        <w:rPr>
          <w:rFonts w:cs="Arial"/>
          <w:rtl/>
        </w:rPr>
        <w:t xml:space="preserve"> </w:t>
      </w:r>
      <w:r w:rsidRPr="006C79F6">
        <w:rPr>
          <w:rFonts w:cs="Arial"/>
          <w:rtl/>
        </w:rPr>
        <w:lastRenderedPageBreak/>
        <w:t>שלעולם אין כותבין אלא המזומנין שנעשו שלוחים</w:t>
      </w:r>
      <w:r>
        <w:rPr>
          <w:rStyle w:val="ab"/>
          <w:rFonts w:cs="Arial"/>
          <w:rtl/>
        </w:rPr>
        <w:footnoteReference w:id="2625"/>
      </w:r>
      <w:r>
        <w:rPr>
          <w:rFonts w:cs="Arial" w:hint="cs"/>
          <w:rtl/>
        </w:rPr>
        <w:t>.</w:t>
      </w:r>
      <w:r w:rsidRPr="006C79F6">
        <w:rPr>
          <w:rFonts w:cs="Arial"/>
          <w:rtl/>
        </w:rPr>
        <w:t xml:space="preserve"> אבל אם העידו בעל פה מקבלין אותם</w:t>
      </w:r>
      <w:r>
        <w:rPr>
          <w:rFonts w:cs="Arial" w:hint="cs"/>
          <w:rtl/>
        </w:rPr>
        <w:t>,</w:t>
      </w:r>
      <w:r w:rsidRPr="006C79F6">
        <w:rPr>
          <w:rFonts w:cs="Arial"/>
          <w:rtl/>
        </w:rPr>
        <w:t xml:space="preserve"> ועדותם עדות שאם כפר זה בעיקר הדבר הוחזק כפרן על פי עדות אלו </w:t>
      </w:r>
      <w:r w:rsidRPr="006C79F6">
        <w:rPr>
          <w:rFonts w:cs="Arial"/>
          <w:sz w:val="16"/>
          <w:szCs w:val="16"/>
          <w:rtl/>
        </w:rPr>
        <w:t>(ב"מ יז.)</w:t>
      </w:r>
      <w:r>
        <w:rPr>
          <w:rFonts w:cs="Arial" w:hint="cs"/>
          <w:rtl/>
        </w:rPr>
        <w:t xml:space="preserve">, </w:t>
      </w:r>
      <w:r w:rsidRPr="006C79F6">
        <w:rPr>
          <w:rFonts w:cs="Arial"/>
          <w:rtl/>
        </w:rPr>
        <w:t>אבל באומר פרעתי נאמן</w:t>
      </w:r>
      <w:r>
        <w:rPr>
          <w:rFonts w:cs="Arial" w:hint="cs"/>
          <w:rtl/>
        </w:rPr>
        <w:t>,</w:t>
      </w:r>
      <w:r w:rsidRPr="006C79F6">
        <w:rPr>
          <w:rFonts w:cs="Arial"/>
          <w:rtl/>
        </w:rPr>
        <w:t xml:space="preserve"> ואע</w:t>
      </w:r>
      <w:r w:rsidRPr="006C79F6">
        <w:rPr>
          <w:rFonts w:cs="Arial" w:hint="cs"/>
          <w:rtl/>
        </w:rPr>
        <w:t>"</w:t>
      </w:r>
      <w:r w:rsidRPr="006C79F6">
        <w:rPr>
          <w:rFonts w:cs="Arial"/>
          <w:rtl/>
        </w:rPr>
        <w:t>פ שראו שקנו ממנו</w:t>
      </w:r>
      <w:r>
        <w:rPr>
          <w:rFonts w:cs="Arial" w:hint="cs"/>
          <w:rtl/>
        </w:rPr>
        <w:t>.</w:t>
      </w:r>
      <w:r w:rsidRPr="006C79F6">
        <w:rPr>
          <w:rFonts w:cs="Arial"/>
          <w:rtl/>
        </w:rPr>
        <w:t xml:space="preserve"> ולא עוד אלא שאפילו תוך זמנו נאמן לומר פרעתי משום דריע טענתו של מלוה בשלא הוציא שטר</w:t>
      </w:r>
      <w:r w:rsidRPr="006C79F6">
        <w:rPr>
          <w:rFonts w:cs="Arial" w:hint="cs"/>
          <w:rtl/>
        </w:rPr>
        <w:t>,</w:t>
      </w:r>
      <w:r w:rsidRPr="006C79F6">
        <w:rPr>
          <w:rFonts w:cs="Arial"/>
          <w:rtl/>
        </w:rPr>
        <w:t xml:space="preserve"> ודמיא למצא שטר חוב בשוק דאפילו כתיב ביה הנפק ואפילו תוך זמנו לא יחזיר דכל שנפל הורע כחו </w:t>
      </w:r>
      <w:r w:rsidRPr="006C79F6">
        <w:rPr>
          <w:rFonts w:cs="Arial"/>
          <w:sz w:val="16"/>
          <w:szCs w:val="16"/>
          <w:rtl/>
        </w:rPr>
        <w:t>(ב"מ טז:)</w:t>
      </w:r>
      <w:r w:rsidRPr="006C79F6">
        <w:rPr>
          <w:rFonts w:cs="Arial" w:hint="cs"/>
          <w:rtl/>
        </w:rPr>
        <w:t>,</w:t>
      </w:r>
      <w:r w:rsidRPr="006C79F6">
        <w:rPr>
          <w:rFonts w:cs="Arial"/>
          <w:rtl/>
        </w:rPr>
        <w:t xml:space="preserve"> והכי נמי כל דליתיה לשטריה הורע טענתיה. אבל אם אין שם קנין ושטר והעידו שהוא תוך זמן </w:t>
      </w:r>
      <w:r>
        <w:rPr>
          <w:rFonts w:cs="Arial" w:hint="cs"/>
          <w:rtl/>
        </w:rPr>
        <w:t xml:space="preserve">- </w:t>
      </w:r>
      <w:r w:rsidRPr="006C79F6">
        <w:rPr>
          <w:rFonts w:cs="Arial"/>
          <w:rtl/>
        </w:rPr>
        <w:t>גובה על פי עדים אלו דחזקה לא פרע</w:t>
      </w:r>
      <w:r>
        <w:rPr>
          <w:rFonts w:cs="Arial" w:hint="cs"/>
          <w:rtl/>
        </w:rPr>
        <w:t>,</w:t>
      </w:r>
      <w:r w:rsidRPr="006C79F6">
        <w:rPr>
          <w:rFonts w:cs="Arial"/>
          <w:rtl/>
        </w:rPr>
        <w:t xml:space="preserve"> דאין אדם עשוי לפרוע תוך זמן </w:t>
      </w:r>
      <w:r w:rsidRPr="006C79F6">
        <w:rPr>
          <w:rFonts w:cs="Arial"/>
          <w:sz w:val="16"/>
          <w:szCs w:val="16"/>
          <w:rtl/>
        </w:rPr>
        <w:t>(ב"ב ה:)</w:t>
      </w:r>
      <w:r w:rsidRPr="006C79F6">
        <w:rPr>
          <w:rFonts w:cs="Arial" w:hint="cs"/>
          <w:rtl/>
        </w:rPr>
        <w:t>.</w:t>
      </w:r>
    </w:p>
    <w:p w14:paraId="40783FDD" w14:textId="77777777" w:rsidR="004B607F" w:rsidRPr="009B506C" w:rsidRDefault="004B607F" w:rsidP="004B607F">
      <w:r w:rsidRPr="009B506C">
        <w:rPr>
          <w:rFonts w:cs="Arial" w:hint="cs"/>
          <w:u w:val="single"/>
          <w:rtl/>
        </w:rPr>
        <w:t>לראובן יש שטר חוב על שמעון, ולפני מיתת ראובן ציוה שלא לגבות משמעון ואחד מהעדים קרוב:</w:t>
      </w:r>
      <w:r w:rsidRPr="009B506C">
        <w:rPr>
          <w:rFonts w:cs="Arial"/>
          <w:sz w:val="16"/>
          <w:szCs w:val="16"/>
          <w:rtl/>
        </w:rPr>
        <w:t xml:space="preserve"> </w:t>
      </w:r>
      <w:r>
        <w:rPr>
          <w:rFonts w:cs="Arial" w:hint="cs"/>
          <w:sz w:val="16"/>
          <w:szCs w:val="16"/>
          <w:rtl/>
        </w:rPr>
        <w:t xml:space="preserve"> </w:t>
      </w:r>
      <w:r w:rsidRPr="009B506C">
        <w:rPr>
          <w:rFonts w:cs="Arial" w:hint="cs"/>
          <w:sz w:val="16"/>
          <w:szCs w:val="16"/>
          <w:rtl/>
        </w:rPr>
        <w:t xml:space="preserve">(דרכ"מ  אות </w:t>
      </w:r>
      <w:r w:rsidRPr="009B506C">
        <w:rPr>
          <w:rFonts w:cs="Arial"/>
          <w:sz w:val="16"/>
          <w:szCs w:val="16"/>
          <w:rtl/>
        </w:rPr>
        <w:t>א)</w:t>
      </w:r>
      <w:r w:rsidRPr="009B506C">
        <w:rPr>
          <w:rFonts w:cs="Arial"/>
          <w:rtl/>
        </w:rPr>
        <w:t xml:space="preserve"> </w:t>
      </w:r>
      <w:r w:rsidRPr="009B506C">
        <w:rPr>
          <w:rFonts w:cs="Arial" w:hint="cs"/>
          <w:rtl/>
        </w:rPr>
        <w:t xml:space="preserve"> </w:t>
      </w:r>
    </w:p>
    <w:p w14:paraId="6036D68D" w14:textId="77777777" w:rsidR="004B607F" w:rsidRDefault="004B607F" w:rsidP="004B0475">
      <w:pPr>
        <w:pStyle w:val="ac"/>
        <w:numPr>
          <w:ilvl w:val="0"/>
          <w:numId w:val="105"/>
        </w:numPr>
      </w:pPr>
      <w:r w:rsidRPr="006C6C05">
        <w:rPr>
          <w:rFonts w:cs="Arial"/>
          <w:rtl/>
        </w:rPr>
        <w:t>רא"</w:t>
      </w:r>
      <w:r>
        <w:rPr>
          <w:rFonts w:cs="Arial" w:hint="cs"/>
          <w:rtl/>
        </w:rPr>
        <w:t xml:space="preserve">ש </w:t>
      </w:r>
      <w:r w:rsidRPr="00F06C62">
        <w:rPr>
          <w:rFonts w:cs="Arial" w:hint="cs"/>
          <w:sz w:val="16"/>
          <w:szCs w:val="16"/>
          <w:rtl/>
        </w:rPr>
        <w:t>(</w:t>
      </w:r>
      <w:r w:rsidRPr="00F06C62">
        <w:rPr>
          <w:rFonts w:cs="Arial"/>
          <w:sz w:val="16"/>
          <w:szCs w:val="16"/>
          <w:rtl/>
        </w:rPr>
        <w:t>כלל ס סי</w:t>
      </w:r>
      <w:r w:rsidRPr="00F06C62">
        <w:rPr>
          <w:rFonts w:cs="Arial" w:hint="cs"/>
          <w:sz w:val="16"/>
          <w:szCs w:val="16"/>
          <w:rtl/>
        </w:rPr>
        <w:t>'</w:t>
      </w:r>
      <w:r w:rsidRPr="00F06C62">
        <w:rPr>
          <w:rFonts w:cs="Arial"/>
          <w:sz w:val="16"/>
          <w:szCs w:val="16"/>
          <w:rtl/>
        </w:rPr>
        <w:t xml:space="preserve"> ג</w:t>
      </w:r>
      <w:r w:rsidRPr="00F06C62">
        <w:rPr>
          <w:rFonts w:cs="Arial" w:hint="cs"/>
          <w:sz w:val="16"/>
          <w:szCs w:val="16"/>
          <w:rtl/>
        </w:rPr>
        <w:t>)</w:t>
      </w:r>
      <w:r>
        <w:rPr>
          <w:rFonts w:cs="Arial" w:hint="cs"/>
          <w:rtl/>
        </w:rPr>
        <w:t xml:space="preserve">- </w:t>
      </w:r>
      <w:r w:rsidRPr="006C6C05">
        <w:rPr>
          <w:rFonts w:cs="Arial"/>
          <w:rtl/>
        </w:rPr>
        <w:t>שטר הצוואה פסול מאחר שאחד מן העדים פסול</w:t>
      </w:r>
      <w:r>
        <w:rPr>
          <w:rFonts w:cs="Arial" w:hint="cs"/>
          <w:rtl/>
        </w:rPr>
        <w:t>.</w:t>
      </w:r>
      <w:r w:rsidRPr="006C6C05">
        <w:rPr>
          <w:rFonts w:cs="Arial"/>
          <w:rtl/>
        </w:rPr>
        <w:t xml:space="preserve"> אבל אם העד שאינו פסול זוכר עדותו</w:t>
      </w:r>
      <w:r>
        <w:rPr>
          <w:rFonts w:cs="Arial" w:hint="cs"/>
          <w:rtl/>
        </w:rPr>
        <w:t>,</w:t>
      </w:r>
      <w:r w:rsidRPr="006C6C05">
        <w:rPr>
          <w:rFonts w:cs="Arial"/>
          <w:rtl/>
        </w:rPr>
        <w:t xml:space="preserve"> ויש עוד אחד ששמע הדבר </w:t>
      </w:r>
      <w:r>
        <w:rPr>
          <w:rFonts w:cs="Arial" w:hint="cs"/>
          <w:rtl/>
        </w:rPr>
        <w:t xml:space="preserve">- </w:t>
      </w:r>
      <w:r w:rsidRPr="006C6C05">
        <w:rPr>
          <w:rFonts w:cs="Arial"/>
          <w:rtl/>
        </w:rPr>
        <w:t xml:space="preserve">מצטרף להעיד עמו. </w:t>
      </w:r>
    </w:p>
    <w:p w14:paraId="32D1D430" w14:textId="77777777" w:rsidR="004B607F" w:rsidRPr="009B506C" w:rsidRDefault="004B607F" w:rsidP="004B607F">
      <w:r w:rsidRPr="009B506C">
        <w:rPr>
          <w:rFonts w:cs="Arial"/>
          <w:u w:val="single"/>
          <w:rtl/>
        </w:rPr>
        <w:t>שטר שחת</w:t>
      </w:r>
      <w:r>
        <w:rPr>
          <w:rFonts w:cs="Arial" w:hint="cs"/>
          <w:u w:val="single"/>
          <w:rtl/>
        </w:rPr>
        <w:t>ו</w:t>
      </w:r>
      <w:r w:rsidRPr="009B506C">
        <w:rPr>
          <w:rFonts w:cs="Arial"/>
          <w:u w:val="single"/>
          <w:rtl/>
        </w:rPr>
        <w:t>מין עליו כשרים ופסולים</w:t>
      </w:r>
      <w:r>
        <w:rPr>
          <w:rFonts w:cs="Arial" w:hint="cs"/>
          <w:u w:val="single"/>
          <w:rtl/>
        </w:rPr>
        <w:t xml:space="preserve"> </w:t>
      </w:r>
      <w:r>
        <w:rPr>
          <w:rFonts w:cs="Arial"/>
          <w:u w:val="single"/>
          <w:rtl/>
        </w:rPr>
        <w:t>–</w:t>
      </w:r>
      <w:r>
        <w:rPr>
          <w:rFonts w:cs="Arial" w:hint="cs"/>
          <w:u w:val="single"/>
          <w:rtl/>
        </w:rPr>
        <w:t xml:space="preserve"> מהו שיעידו הכשרים בעל פה בבית דין:</w:t>
      </w:r>
      <w:r w:rsidRPr="009B506C">
        <w:rPr>
          <w:rFonts w:cs="Arial"/>
          <w:sz w:val="16"/>
          <w:szCs w:val="16"/>
          <w:rtl/>
        </w:rPr>
        <w:t xml:space="preserve"> </w:t>
      </w:r>
      <w:r>
        <w:rPr>
          <w:rFonts w:cs="Arial" w:hint="cs"/>
          <w:sz w:val="16"/>
          <w:szCs w:val="16"/>
          <w:rtl/>
        </w:rPr>
        <w:t xml:space="preserve"> </w:t>
      </w:r>
      <w:r w:rsidRPr="009B506C">
        <w:rPr>
          <w:rFonts w:cs="Arial" w:hint="cs"/>
          <w:sz w:val="16"/>
          <w:szCs w:val="16"/>
          <w:rtl/>
        </w:rPr>
        <w:t xml:space="preserve">(דרכ"מ אות </w:t>
      </w:r>
      <w:r w:rsidRPr="009B506C">
        <w:rPr>
          <w:rFonts w:cs="Arial"/>
          <w:sz w:val="16"/>
          <w:szCs w:val="16"/>
          <w:rtl/>
        </w:rPr>
        <w:t>א)</w:t>
      </w:r>
      <w:r w:rsidRPr="009B506C">
        <w:rPr>
          <w:rFonts w:cs="Arial"/>
          <w:rtl/>
        </w:rPr>
        <w:t xml:space="preserve"> </w:t>
      </w:r>
      <w:r w:rsidRPr="009B506C">
        <w:rPr>
          <w:rFonts w:cs="Arial" w:hint="cs"/>
          <w:rtl/>
        </w:rPr>
        <w:t xml:space="preserve"> </w:t>
      </w:r>
    </w:p>
    <w:p w14:paraId="36C5FDAB" w14:textId="77777777" w:rsidR="004B607F" w:rsidRDefault="004B607F" w:rsidP="004B0475">
      <w:pPr>
        <w:pStyle w:val="ac"/>
        <w:numPr>
          <w:ilvl w:val="0"/>
          <w:numId w:val="105"/>
        </w:numPr>
      </w:pPr>
      <w:r w:rsidRPr="006C6C05">
        <w:rPr>
          <w:rFonts w:cs="Arial"/>
          <w:rtl/>
        </w:rPr>
        <w:t>רא"</w:t>
      </w:r>
      <w:r>
        <w:rPr>
          <w:rFonts w:cs="Arial" w:hint="cs"/>
          <w:rtl/>
        </w:rPr>
        <w:t xml:space="preserve">ש </w:t>
      </w:r>
      <w:r w:rsidRPr="00F06C62">
        <w:rPr>
          <w:rFonts w:cs="Arial" w:hint="cs"/>
          <w:sz w:val="16"/>
          <w:szCs w:val="16"/>
          <w:rtl/>
        </w:rPr>
        <w:t>(</w:t>
      </w:r>
      <w:r w:rsidRPr="00F06C62">
        <w:rPr>
          <w:rFonts w:cs="Arial"/>
          <w:sz w:val="16"/>
          <w:szCs w:val="16"/>
          <w:rtl/>
        </w:rPr>
        <w:t>כלל ס סי</w:t>
      </w:r>
      <w:r w:rsidRPr="00F06C62">
        <w:rPr>
          <w:rFonts w:cs="Arial" w:hint="cs"/>
          <w:sz w:val="16"/>
          <w:szCs w:val="16"/>
          <w:rtl/>
        </w:rPr>
        <w:t>'</w:t>
      </w:r>
      <w:r w:rsidRPr="00F06C62">
        <w:rPr>
          <w:rFonts w:cs="Arial"/>
          <w:sz w:val="16"/>
          <w:szCs w:val="16"/>
          <w:rtl/>
        </w:rPr>
        <w:t xml:space="preserve"> </w:t>
      </w:r>
      <w:r>
        <w:rPr>
          <w:rFonts w:cs="Arial" w:hint="cs"/>
          <w:sz w:val="16"/>
          <w:szCs w:val="16"/>
          <w:rtl/>
        </w:rPr>
        <w:t>ה</w:t>
      </w:r>
      <w:r w:rsidRPr="00F06C62">
        <w:rPr>
          <w:rFonts w:cs="Arial" w:hint="cs"/>
          <w:sz w:val="16"/>
          <w:szCs w:val="16"/>
          <w:rtl/>
        </w:rPr>
        <w:t>)</w:t>
      </w:r>
      <w:r>
        <w:rPr>
          <w:rFonts w:cs="Arial" w:hint="cs"/>
          <w:rtl/>
        </w:rPr>
        <w:t xml:space="preserve">- </w:t>
      </w:r>
      <w:r w:rsidRPr="006C6C05">
        <w:rPr>
          <w:rFonts w:cs="Arial"/>
          <w:rtl/>
        </w:rPr>
        <w:t>שטר שחתם בו קרוב או פסול</w:t>
      </w:r>
      <w:r>
        <w:rPr>
          <w:rFonts w:cs="Arial" w:hint="cs"/>
          <w:rtl/>
        </w:rPr>
        <w:t>,</w:t>
      </w:r>
      <w:r w:rsidRPr="006C6C05">
        <w:rPr>
          <w:rFonts w:cs="Arial"/>
          <w:rtl/>
        </w:rPr>
        <w:t xml:space="preserve"> אם העדים האחרים החתומים זוכרים העדות אפילו על ידי ראיית אותו שטר </w:t>
      </w:r>
      <w:r>
        <w:rPr>
          <w:rFonts w:cs="Arial" w:hint="cs"/>
          <w:rtl/>
        </w:rPr>
        <w:t xml:space="preserve">- </w:t>
      </w:r>
      <w:r w:rsidRPr="006C6C05">
        <w:rPr>
          <w:rFonts w:cs="Arial"/>
          <w:rtl/>
        </w:rPr>
        <w:t>יכולין להעיד על פה</w:t>
      </w:r>
      <w:r>
        <w:rPr>
          <w:rFonts w:cs="Arial" w:hint="cs"/>
          <w:rtl/>
        </w:rPr>
        <w:t>,</w:t>
      </w:r>
      <w:r w:rsidRPr="006C6C05">
        <w:rPr>
          <w:rFonts w:cs="Arial"/>
          <w:rtl/>
        </w:rPr>
        <w:t xml:space="preserve"> ובית דין יכתבו עדותן וחשוב שטר</w:t>
      </w:r>
      <w:r>
        <w:rPr>
          <w:rFonts w:cs="Arial" w:hint="cs"/>
          <w:rtl/>
        </w:rPr>
        <w:t>.</w:t>
      </w:r>
      <w:r>
        <w:rPr>
          <w:rFonts w:hint="cs"/>
          <w:rtl/>
        </w:rPr>
        <w:t xml:space="preserve"> </w:t>
      </w:r>
      <w:r w:rsidRPr="00AA46F3">
        <w:rPr>
          <w:rFonts w:hint="cs"/>
          <w:color w:val="00B0F0"/>
          <w:rtl/>
        </w:rPr>
        <w:t>(וכ"פ הרמ"א)</w:t>
      </w:r>
    </w:p>
    <w:p w14:paraId="64A166DB" w14:textId="77777777" w:rsidR="004B607F" w:rsidRDefault="004B607F" w:rsidP="004B607F">
      <w:r>
        <w:rPr>
          <w:rFonts w:cs="Arial" w:hint="cs"/>
          <w:u w:val="single"/>
          <w:rtl/>
        </w:rPr>
        <w:t>תקנת הקהל לגבי עדות קרוב/פסול/נוגע. ושטר שחתום עליו בעל הדבר בהדי העדים הכשרים:</w:t>
      </w:r>
      <w:r w:rsidRPr="009B506C">
        <w:rPr>
          <w:rFonts w:cs="Arial"/>
          <w:sz w:val="16"/>
          <w:szCs w:val="16"/>
          <w:rtl/>
        </w:rPr>
        <w:t xml:space="preserve"> </w:t>
      </w:r>
      <w:r>
        <w:rPr>
          <w:rFonts w:cs="Arial" w:hint="cs"/>
          <w:sz w:val="16"/>
          <w:szCs w:val="16"/>
          <w:rtl/>
        </w:rPr>
        <w:t xml:space="preserve"> </w:t>
      </w:r>
      <w:r w:rsidRPr="009B506C">
        <w:rPr>
          <w:rFonts w:cs="Arial" w:hint="cs"/>
          <w:sz w:val="16"/>
          <w:szCs w:val="16"/>
          <w:rtl/>
        </w:rPr>
        <w:t>(</w:t>
      </w:r>
      <w:r>
        <w:rPr>
          <w:rFonts w:cs="Arial" w:hint="cs"/>
          <w:sz w:val="16"/>
          <w:szCs w:val="16"/>
          <w:rtl/>
        </w:rPr>
        <w:t xml:space="preserve">ב"י, </w:t>
      </w:r>
      <w:r w:rsidRPr="009B506C">
        <w:rPr>
          <w:rFonts w:cs="Arial" w:hint="cs"/>
          <w:sz w:val="16"/>
          <w:szCs w:val="16"/>
          <w:rtl/>
        </w:rPr>
        <w:t xml:space="preserve">דרכ"מ אות </w:t>
      </w:r>
      <w:r>
        <w:rPr>
          <w:rFonts w:cs="Arial" w:hint="cs"/>
          <w:sz w:val="16"/>
          <w:szCs w:val="16"/>
          <w:rtl/>
        </w:rPr>
        <w:t>ב</w:t>
      </w:r>
      <w:r w:rsidRPr="009B506C">
        <w:rPr>
          <w:rFonts w:cs="Arial"/>
          <w:sz w:val="16"/>
          <w:szCs w:val="16"/>
          <w:rtl/>
        </w:rPr>
        <w:t>)</w:t>
      </w:r>
      <w:r w:rsidRPr="009B506C">
        <w:rPr>
          <w:rFonts w:cs="Arial"/>
          <w:rtl/>
        </w:rPr>
        <w:t xml:space="preserve"> </w:t>
      </w:r>
      <w:r w:rsidRPr="009B506C">
        <w:rPr>
          <w:rFonts w:cs="Arial" w:hint="cs"/>
          <w:rtl/>
        </w:rPr>
        <w:t xml:space="preserve"> </w:t>
      </w:r>
    </w:p>
    <w:p w14:paraId="1EF3C251" w14:textId="77777777" w:rsidR="004B607F" w:rsidRDefault="004B607F" w:rsidP="004B0475">
      <w:pPr>
        <w:pStyle w:val="ac"/>
        <w:numPr>
          <w:ilvl w:val="0"/>
          <w:numId w:val="105"/>
        </w:numPr>
      </w:pPr>
      <w:r>
        <w:rPr>
          <w:rFonts w:cs="Arial" w:hint="cs"/>
          <w:rtl/>
        </w:rPr>
        <w:t>ריב"ש</w:t>
      </w:r>
      <w:r w:rsidRPr="00D202EA">
        <w:rPr>
          <w:rFonts w:cs="Arial"/>
          <w:sz w:val="16"/>
          <w:szCs w:val="16"/>
          <w:rtl/>
        </w:rPr>
        <w:t xml:space="preserve"> </w:t>
      </w:r>
      <w:r w:rsidRPr="00D202EA">
        <w:rPr>
          <w:rFonts w:cs="Arial" w:hint="cs"/>
          <w:sz w:val="16"/>
          <w:szCs w:val="16"/>
          <w:rtl/>
        </w:rPr>
        <w:t>(</w:t>
      </w:r>
      <w:r w:rsidRPr="00D202EA">
        <w:rPr>
          <w:rFonts w:cs="Arial"/>
          <w:sz w:val="16"/>
          <w:szCs w:val="16"/>
          <w:rtl/>
        </w:rPr>
        <w:t>ס"ס קצה</w:t>
      </w:r>
      <w:r w:rsidRPr="00D202EA">
        <w:rPr>
          <w:rFonts w:cs="Arial" w:hint="cs"/>
          <w:sz w:val="16"/>
          <w:szCs w:val="16"/>
          <w:rtl/>
        </w:rPr>
        <w:t>)</w:t>
      </w:r>
      <w:r>
        <w:rPr>
          <w:rFonts w:cs="Arial" w:hint="cs"/>
          <w:rtl/>
        </w:rPr>
        <w:t xml:space="preserve">- </w:t>
      </w:r>
      <w:r w:rsidRPr="00D202EA">
        <w:rPr>
          <w:rFonts w:cs="Arial"/>
          <w:rtl/>
        </w:rPr>
        <w:t>בהסכמת הקהל כבר נהגו כל הקהלות שאין פוסלין לעדות ולא לדין אף הנוגעין בדבר</w:t>
      </w:r>
      <w:r>
        <w:rPr>
          <w:rFonts w:cs="Arial" w:hint="cs"/>
          <w:rtl/>
        </w:rPr>
        <w:t>,</w:t>
      </w:r>
      <w:r w:rsidRPr="00D202EA">
        <w:rPr>
          <w:rFonts w:cs="Arial"/>
          <w:rtl/>
        </w:rPr>
        <w:t xml:space="preserve"> וכמ"ש הרשב"א ז"ל בתשו</w:t>
      </w:r>
      <w:r>
        <w:rPr>
          <w:rFonts w:cs="Arial" w:hint="cs"/>
          <w:rtl/>
        </w:rPr>
        <w:t>',</w:t>
      </w:r>
      <w:r w:rsidRPr="00D202EA">
        <w:rPr>
          <w:rFonts w:cs="Arial"/>
          <w:rtl/>
        </w:rPr>
        <w:t xml:space="preserve"> שאל</w:t>
      </w:r>
      <w:r>
        <w:rPr>
          <w:rFonts w:cs="Arial" w:hint="cs"/>
          <w:rtl/>
        </w:rPr>
        <w:t>"</w:t>
      </w:r>
      <w:r w:rsidRPr="00D202EA">
        <w:rPr>
          <w:rFonts w:cs="Arial"/>
          <w:rtl/>
        </w:rPr>
        <w:t>כ אין תקנה לענייני הקהל ולהסכמותיהם שהיו צריכין להביא עדים ממקום אחר ושלא יהיה להם קרוב בעיר. ועוד שלפעמים תהיה ההסכמה בענין שיהיה בה תועלת אף ליהודים הדרים חוץ לעיר וכ</w:t>
      </w:r>
      <w:r>
        <w:rPr>
          <w:rFonts w:cs="Arial" w:hint="cs"/>
          <w:rtl/>
        </w:rPr>
        <w:t>ו</w:t>
      </w:r>
      <w:r w:rsidRPr="00D202EA">
        <w:rPr>
          <w:rFonts w:cs="Arial"/>
          <w:rtl/>
        </w:rPr>
        <w:t>לם יהיו פסולין להעיד. ואע</w:t>
      </w:r>
      <w:r>
        <w:rPr>
          <w:rFonts w:cs="Arial" w:hint="cs"/>
          <w:rtl/>
        </w:rPr>
        <w:t>"</w:t>
      </w:r>
      <w:r w:rsidRPr="00D202EA">
        <w:rPr>
          <w:rFonts w:cs="Arial"/>
          <w:rtl/>
        </w:rPr>
        <w:t>פ שמדין הגמ' צריך סלוק</w:t>
      </w:r>
      <w:r>
        <w:rPr>
          <w:rFonts w:cs="Arial" w:hint="cs"/>
          <w:rtl/>
        </w:rPr>
        <w:t>,</w:t>
      </w:r>
      <w:r w:rsidRPr="00D202EA">
        <w:rPr>
          <w:rFonts w:cs="Arial"/>
          <w:rtl/>
        </w:rPr>
        <w:t xml:space="preserve"> ר"ל שיסתלקו מחלקם ומזכותם הדיינין או העדים קודם שיוכלו לדון ולהעיד בדבר כדאיתא בפ' חזקת</w:t>
      </w:r>
      <w:r w:rsidRPr="00D202EA">
        <w:rPr>
          <w:rFonts w:cs="Arial"/>
          <w:sz w:val="16"/>
          <w:szCs w:val="16"/>
          <w:rtl/>
        </w:rPr>
        <w:t xml:space="preserve"> (מ"ג)</w:t>
      </w:r>
      <w:r>
        <w:rPr>
          <w:rFonts w:cs="Arial" w:hint="cs"/>
          <w:rtl/>
        </w:rPr>
        <w:t xml:space="preserve">, </w:t>
      </w:r>
      <w:r w:rsidRPr="00D202EA">
        <w:rPr>
          <w:rFonts w:cs="Arial"/>
          <w:rtl/>
        </w:rPr>
        <w:t>כבר נהגו שלא לדקדק בזה מן הטעם שכתבתי</w:t>
      </w:r>
      <w:r>
        <w:rPr>
          <w:rFonts w:cs="Arial" w:hint="cs"/>
          <w:rtl/>
        </w:rPr>
        <w:t>,</w:t>
      </w:r>
      <w:r w:rsidRPr="00D202EA">
        <w:rPr>
          <w:rFonts w:cs="Arial"/>
          <w:rtl/>
        </w:rPr>
        <w:t xml:space="preserve"> ומנהגם בזה תורה היא</w:t>
      </w:r>
      <w:r>
        <w:rPr>
          <w:rFonts w:cs="Arial" w:hint="cs"/>
          <w:rtl/>
        </w:rPr>
        <w:t xml:space="preserve">. </w:t>
      </w:r>
      <w:r w:rsidRPr="00D202EA">
        <w:rPr>
          <w:rFonts w:cs="Arial"/>
          <w:rtl/>
        </w:rPr>
        <w:t>אא"כ עשו הקהל בפי' הסכמה שלא ינהגו כן</w:t>
      </w:r>
      <w:r>
        <w:rPr>
          <w:rFonts w:cs="Arial" w:hint="cs"/>
          <w:rtl/>
        </w:rPr>
        <w:t>,</w:t>
      </w:r>
      <w:r w:rsidRPr="00D202EA">
        <w:rPr>
          <w:rFonts w:cs="Arial"/>
          <w:rtl/>
        </w:rPr>
        <w:t xml:space="preserve"> כמו שעשו קהל ברצלונה י"ץ, שעשו תקנה שלא יוכלו לדבר בשום מעמד מענייני שום אדם מיוחד בהיותו במעמד הוא או שום אחד מקרוביו הפסולין לו להעיד.</w:t>
      </w:r>
      <w:r>
        <w:rPr>
          <w:rFonts w:hint="cs"/>
          <w:rtl/>
        </w:rPr>
        <w:t>..</w:t>
      </w:r>
      <w:r w:rsidRPr="00FC734B">
        <w:rPr>
          <w:rtl/>
        </w:rPr>
        <w:t xml:space="preserve"> </w:t>
      </w:r>
      <w:r w:rsidRPr="00FC734B">
        <w:rPr>
          <w:rFonts w:cs="Arial"/>
          <w:rtl/>
        </w:rPr>
        <w:t>ועוד נראה לומר דבבעל דבר אף מן הדין בלא מנהג מועיל כל שנשאר במעמד מנין מספיק בלעדיו</w:t>
      </w:r>
      <w:r>
        <w:rPr>
          <w:rFonts w:cs="Arial" w:hint="cs"/>
          <w:rtl/>
        </w:rPr>
        <w:t>.</w:t>
      </w:r>
      <w:r w:rsidRPr="00FC734B">
        <w:rPr>
          <w:rFonts w:cs="Arial"/>
          <w:rtl/>
        </w:rPr>
        <w:t xml:space="preserve"> לפי שהסופר כיון שהוא בעל דבר לא נצטרף עם האחרים כלל כדי שיבטל מנינם בצרופו מפני פסלותו. דבשלמא אם היה קרוב או פסול מחמת פסול אחר היה אפשר לומר שיבטל מנינם בצרופו, אבל בעל דבר עצמו לא שייך למימר ביה לא תורת עד ולא תורת דיין כיון שהוא בעל דין</w:t>
      </w:r>
      <w:r>
        <w:rPr>
          <w:rFonts w:cs="Arial" w:hint="cs"/>
          <w:rtl/>
        </w:rPr>
        <w:t xml:space="preserve"> -</w:t>
      </w:r>
      <w:r w:rsidRPr="00FC734B">
        <w:rPr>
          <w:rFonts w:cs="Arial"/>
          <w:rtl/>
        </w:rPr>
        <w:t xml:space="preserve"> ולכן לא יצטרף כלל עם האחרים. דהכי נמי אמרינן בפ</w:t>
      </w:r>
      <w:r>
        <w:rPr>
          <w:rFonts w:cs="Arial" w:hint="cs"/>
          <w:rtl/>
        </w:rPr>
        <w:t>"</w:t>
      </w:r>
      <w:r w:rsidRPr="00FC734B">
        <w:rPr>
          <w:rFonts w:cs="Arial"/>
          <w:rtl/>
        </w:rPr>
        <w:t>ק דמכות גבי נמצא אחד מהן קרוב או פסול עדותן בטלה, דמקשינן התם בגמרא נרבע יציל הרוג יציל רובע יציל הורג יציל, ומתרצינן במקיימי דבר הכתוב מדבר, כלומר באותן שאפשר להיות עדים אם הן פסולין פוסלין האחרים בצרופן. אבל הבעל דבר עצמו לא חל עליו שום עדות כלל כדי שיצטרף עם האחרים ולפוסלן בצרופו</w:t>
      </w:r>
      <w:r>
        <w:rPr>
          <w:rFonts w:cs="Arial" w:hint="cs"/>
          <w:rtl/>
        </w:rPr>
        <w:t>.</w:t>
      </w:r>
      <w:r w:rsidRPr="00FC734B">
        <w:rPr>
          <w:rFonts w:cs="Arial"/>
          <w:rtl/>
        </w:rPr>
        <w:t xml:space="preserve"> וכל שיש עדות שלם בלעדיו עושין על פיהם.</w:t>
      </w:r>
      <w:r>
        <w:rPr>
          <w:rFonts w:hint="cs"/>
          <w:rtl/>
        </w:rPr>
        <w:t xml:space="preserve"> </w:t>
      </w:r>
      <w:r w:rsidRPr="00FC734B">
        <w:rPr>
          <w:rFonts w:hint="cs"/>
          <w:color w:val="00B0F0"/>
          <w:rtl/>
        </w:rPr>
        <w:t>(וכ"פ הרמ"א)</w:t>
      </w:r>
    </w:p>
    <w:p w14:paraId="08726057" w14:textId="77777777" w:rsidR="004B607F" w:rsidRPr="003024E5" w:rsidRDefault="004B607F" w:rsidP="004B607F">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26E6A4F3" w14:textId="77777777" w:rsidR="004B607F" w:rsidRPr="00B01FE1" w:rsidRDefault="004B607F" w:rsidP="004B607F">
      <w:pPr>
        <w:rPr>
          <w:rFonts w:cs="Arial"/>
          <w:sz w:val="18"/>
          <w:szCs w:val="18"/>
          <w:rtl/>
        </w:rPr>
      </w:pPr>
      <w:r>
        <w:rPr>
          <w:rFonts w:cs="Arial"/>
          <w:rtl/>
        </w:rPr>
        <w:t>עדים רבים שנמצא אחד מהם קרוב או פסול, עדותן בטלה. במה דברים אמורים, בזמן שנתכוונו כולן להעיד</w:t>
      </w:r>
      <w:r>
        <w:rPr>
          <w:rFonts w:cs="Arial" w:hint="cs"/>
          <w:rtl/>
        </w:rPr>
        <w:t>,</w:t>
      </w:r>
      <w:r>
        <w:rPr>
          <w:rFonts w:cs="Arial"/>
          <w:rtl/>
        </w:rPr>
        <w:t xml:space="preserve"> אבל אם לא נתכוונו כולם להעיד, תתקיים העדות בשאר. וכיצד בודקים הדבר, אומרים להם בית דין</w:t>
      </w:r>
      <w:r>
        <w:rPr>
          <w:rStyle w:val="ab"/>
          <w:rFonts w:cs="Arial"/>
          <w:rtl/>
        </w:rPr>
        <w:footnoteReference w:id="2626"/>
      </w:r>
      <w:r>
        <w:rPr>
          <w:rFonts w:cs="Arial"/>
          <w:rtl/>
        </w:rPr>
        <w:t>: כשראיתם דבר זה, באתם כדי להעיד או כדי לראות בלבד, כל מי שאמר להעיד באתי</w:t>
      </w:r>
      <w:r>
        <w:rPr>
          <w:rStyle w:val="ab"/>
          <w:rFonts w:cs="Arial"/>
          <w:rtl/>
        </w:rPr>
        <w:footnoteReference w:id="2627"/>
      </w:r>
      <w:r>
        <w:rPr>
          <w:rFonts w:cs="Arial"/>
          <w:rtl/>
        </w:rPr>
        <w:t>, מפרישים אותו, אם נמצא באלו שנתכוונו להעיד קרוב או פסול, עדותן בטלה</w:t>
      </w:r>
      <w:r>
        <w:rPr>
          <w:rStyle w:val="ab"/>
          <w:rFonts w:cs="Arial"/>
          <w:rtl/>
        </w:rPr>
        <w:footnoteReference w:id="2628"/>
      </w:r>
      <w:r w:rsidRPr="00A9603D">
        <w:rPr>
          <w:rFonts w:cs="Arial"/>
          <w:sz w:val="18"/>
          <w:szCs w:val="18"/>
          <w:rtl/>
        </w:rPr>
        <w:t xml:space="preserve"> </w:t>
      </w:r>
      <w:r w:rsidRPr="00A9603D">
        <w:rPr>
          <w:rFonts w:cs="Arial" w:hint="cs"/>
          <w:sz w:val="18"/>
          <w:szCs w:val="18"/>
          <w:rtl/>
        </w:rPr>
        <w:t xml:space="preserve">[הגה] </w:t>
      </w:r>
      <w:r w:rsidRPr="00A9603D">
        <w:rPr>
          <w:rFonts w:cs="Arial"/>
          <w:sz w:val="18"/>
          <w:szCs w:val="18"/>
          <w:rtl/>
        </w:rPr>
        <w:t>אפי' לא ידעו זה מזה</w:t>
      </w:r>
      <w:r>
        <w:rPr>
          <w:rStyle w:val="ab"/>
          <w:rFonts w:cs="Arial"/>
          <w:sz w:val="18"/>
          <w:szCs w:val="18"/>
          <w:rtl/>
        </w:rPr>
        <w:footnoteReference w:id="2629"/>
      </w:r>
      <w:r w:rsidRPr="00A9603D">
        <w:rPr>
          <w:rFonts w:cs="Arial" w:hint="cs"/>
          <w:sz w:val="18"/>
          <w:szCs w:val="18"/>
          <w:rtl/>
        </w:rPr>
        <w:t xml:space="preserve"> </w:t>
      </w:r>
      <w:r w:rsidRPr="00963C6C">
        <w:rPr>
          <w:rFonts w:cs="Arial"/>
          <w:sz w:val="16"/>
          <w:szCs w:val="16"/>
          <w:rtl/>
        </w:rPr>
        <w:t>(תוס</w:t>
      </w:r>
      <w:r w:rsidRPr="00963C6C">
        <w:rPr>
          <w:rFonts w:cs="Arial" w:hint="cs"/>
          <w:sz w:val="16"/>
          <w:szCs w:val="16"/>
          <w:rtl/>
        </w:rPr>
        <w:t>'</w:t>
      </w:r>
      <w:r w:rsidRPr="00963C6C">
        <w:rPr>
          <w:rFonts w:cs="Arial"/>
          <w:sz w:val="16"/>
          <w:szCs w:val="16"/>
          <w:rtl/>
        </w:rPr>
        <w:t>)</w:t>
      </w:r>
      <w:r w:rsidRPr="00A9603D">
        <w:rPr>
          <w:rFonts w:cs="Arial" w:hint="cs"/>
          <w:sz w:val="18"/>
          <w:szCs w:val="18"/>
          <w:rtl/>
        </w:rPr>
        <w:t>.</w:t>
      </w:r>
      <w:r>
        <w:rPr>
          <w:rFonts w:cs="Arial"/>
          <w:rtl/>
        </w:rPr>
        <w:t xml:space="preserve"> ואם היו כל העדים כשרים, אחד שנתכוון להעיד ואחד שלא נתכוון להעיד וראה הדבר וכוון עדותו, חותכין הדין על פי עדותו. </w:t>
      </w:r>
      <w:r w:rsidRPr="00A9603D">
        <w:rPr>
          <w:rFonts w:cs="Arial"/>
          <w:sz w:val="18"/>
          <w:szCs w:val="18"/>
          <w:rtl/>
        </w:rPr>
        <w:t>הגה: אבל אינן יכולים לכתוב שטר על כך, אע</w:t>
      </w:r>
      <w:r>
        <w:rPr>
          <w:rFonts w:cs="Arial" w:hint="cs"/>
          <w:sz w:val="18"/>
          <w:szCs w:val="18"/>
          <w:rtl/>
        </w:rPr>
        <w:t>"</w:t>
      </w:r>
      <w:r w:rsidRPr="00A9603D">
        <w:rPr>
          <w:rFonts w:cs="Arial"/>
          <w:sz w:val="18"/>
          <w:szCs w:val="18"/>
          <w:rtl/>
        </w:rPr>
        <w:t xml:space="preserve">פ שראו הקנין </w:t>
      </w:r>
      <w:r w:rsidRPr="00A9603D">
        <w:rPr>
          <w:rFonts w:cs="Arial"/>
          <w:sz w:val="18"/>
          <w:szCs w:val="18"/>
          <w:rtl/>
        </w:rPr>
        <w:lastRenderedPageBreak/>
        <w:t xml:space="preserve">וסתם קנין לכתיבה עומד, הואיל ולא הזמינם לכך </w:t>
      </w:r>
      <w:r w:rsidRPr="00963C6C">
        <w:rPr>
          <w:rFonts w:cs="Arial"/>
          <w:sz w:val="16"/>
          <w:szCs w:val="16"/>
          <w:rtl/>
        </w:rPr>
        <w:t>(רשב"א סי</w:t>
      </w:r>
      <w:r w:rsidRPr="00963C6C">
        <w:rPr>
          <w:rFonts w:cs="Arial" w:hint="cs"/>
          <w:sz w:val="16"/>
          <w:szCs w:val="16"/>
          <w:rtl/>
        </w:rPr>
        <w:t>' אלף עג</w:t>
      </w:r>
      <w:r w:rsidRPr="00963C6C">
        <w:rPr>
          <w:rFonts w:cs="Arial"/>
          <w:sz w:val="16"/>
          <w:szCs w:val="16"/>
          <w:rtl/>
        </w:rPr>
        <w:t>)</w:t>
      </w:r>
      <w:r>
        <w:rPr>
          <w:rFonts w:cs="Arial" w:hint="cs"/>
          <w:sz w:val="18"/>
          <w:szCs w:val="18"/>
          <w:rtl/>
        </w:rPr>
        <w:t>,</w:t>
      </w:r>
      <w:r w:rsidRPr="00A9603D">
        <w:rPr>
          <w:rFonts w:cs="Arial"/>
          <w:sz w:val="18"/>
          <w:szCs w:val="18"/>
          <w:rtl/>
        </w:rPr>
        <w:t xml:space="preserve"> וע"ל סימן ל"ט סעיף ה'. </w:t>
      </w:r>
      <w:r>
        <w:rPr>
          <w:rFonts w:cs="Arial"/>
          <w:rtl/>
        </w:rPr>
        <w:t>וי</w:t>
      </w:r>
      <w:r>
        <w:rPr>
          <w:rFonts w:cs="Arial" w:hint="cs"/>
          <w:rtl/>
        </w:rPr>
        <w:t xml:space="preserve">ש </w:t>
      </w:r>
      <w:r>
        <w:rPr>
          <w:rFonts w:cs="Arial"/>
          <w:rtl/>
        </w:rPr>
        <w:t>א</w:t>
      </w:r>
      <w:r>
        <w:rPr>
          <w:rFonts w:cs="Arial" w:hint="cs"/>
          <w:rtl/>
        </w:rPr>
        <w:t>ומרים</w:t>
      </w:r>
      <w:r>
        <w:rPr>
          <w:rFonts w:cs="Arial"/>
          <w:rtl/>
        </w:rPr>
        <w:t xml:space="preserve"> שאפילו כוון לראות כדי להעיד, אינו פוסל אלא אם כן בא לבית דין והעיד</w:t>
      </w:r>
      <w:r>
        <w:rPr>
          <w:rStyle w:val="ab"/>
          <w:rFonts w:cs="Arial"/>
          <w:rtl/>
        </w:rPr>
        <w:footnoteReference w:id="2630"/>
      </w:r>
      <w:r>
        <w:rPr>
          <w:rFonts w:cs="Arial" w:hint="cs"/>
          <w:rtl/>
        </w:rPr>
        <w:t>,</w:t>
      </w:r>
      <w:r>
        <w:rPr>
          <w:rFonts w:cs="Arial"/>
          <w:rtl/>
        </w:rPr>
        <w:t xml:space="preserve"> דתרתי בעינן, כוון לראות כדי להעיד, ובא לב</w:t>
      </w:r>
      <w:r>
        <w:rPr>
          <w:rFonts w:cs="Arial" w:hint="cs"/>
          <w:rtl/>
        </w:rPr>
        <w:t xml:space="preserve">ית </w:t>
      </w:r>
      <w:r>
        <w:rPr>
          <w:rFonts w:cs="Arial"/>
          <w:rtl/>
        </w:rPr>
        <w:t>ד</w:t>
      </w:r>
      <w:r>
        <w:rPr>
          <w:rFonts w:cs="Arial" w:hint="cs"/>
          <w:rtl/>
        </w:rPr>
        <w:t>ין</w:t>
      </w:r>
      <w:r>
        <w:rPr>
          <w:rFonts w:cs="Arial"/>
          <w:rtl/>
        </w:rPr>
        <w:t xml:space="preserve"> והעיד</w:t>
      </w:r>
      <w:r>
        <w:rPr>
          <w:rStyle w:val="ab"/>
          <w:rFonts w:cs="Arial"/>
          <w:rtl/>
        </w:rPr>
        <w:footnoteReference w:id="2631"/>
      </w:r>
      <w:r>
        <w:rPr>
          <w:rFonts w:cs="Arial"/>
          <w:rtl/>
        </w:rPr>
        <w:t xml:space="preserve">. </w:t>
      </w:r>
      <w:r w:rsidRPr="00A9603D">
        <w:rPr>
          <w:rFonts w:cs="Arial"/>
          <w:sz w:val="18"/>
          <w:szCs w:val="18"/>
          <w:rtl/>
        </w:rPr>
        <w:t>הגה: שטר שחתם עליו עד פסול ונתבטל כל העדות, מ</w:t>
      </w:r>
      <w:r>
        <w:rPr>
          <w:rFonts w:cs="Arial" w:hint="cs"/>
          <w:sz w:val="18"/>
          <w:szCs w:val="18"/>
          <w:rtl/>
        </w:rPr>
        <w:t>"מ</w:t>
      </w:r>
      <w:r w:rsidRPr="00A9603D">
        <w:rPr>
          <w:rFonts w:cs="Arial"/>
          <w:sz w:val="18"/>
          <w:szCs w:val="18"/>
          <w:rtl/>
        </w:rPr>
        <w:t xml:space="preserve"> אם העדים הכשרים זוכרין העדות ע"י ראיית השטר, יכולין לחזור ולהעיד</w:t>
      </w:r>
      <w:r>
        <w:rPr>
          <w:rStyle w:val="ab"/>
          <w:rFonts w:cs="Arial"/>
          <w:sz w:val="18"/>
          <w:szCs w:val="18"/>
          <w:rtl/>
        </w:rPr>
        <w:footnoteReference w:id="2632"/>
      </w:r>
      <w:r w:rsidRPr="00A9603D">
        <w:rPr>
          <w:rFonts w:cs="Arial"/>
          <w:sz w:val="18"/>
          <w:szCs w:val="18"/>
          <w:rtl/>
        </w:rPr>
        <w:t xml:space="preserve"> לבד לפני ב</w:t>
      </w:r>
      <w:r>
        <w:rPr>
          <w:rFonts w:cs="Arial" w:hint="cs"/>
          <w:sz w:val="18"/>
          <w:szCs w:val="18"/>
          <w:rtl/>
        </w:rPr>
        <w:t>"</w:t>
      </w:r>
      <w:r w:rsidRPr="00A9603D">
        <w:rPr>
          <w:rFonts w:cs="Arial"/>
          <w:sz w:val="18"/>
          <w:szCs w:val="18"/>
          <w:rtl/>
        </w:rPr>
        <w:t>ד, וב</w:t>
      </w:r>
      <w:r>
        <w:rPr>
          <w:rFonts w:cs="Arial" w:hint="cs"/>
          <w:sz w:val="18"/>
          <w:szCs w:val="18"/>
          <w:rtl/>
        </w:rPr>
        <w:t>"</w:t>
      </w:r>
      <w:r w:rsidRPr="00A9603D">
        <w:rPr>
          <w:rFonts w:cs="Arial"/>
          <w:sz w:val="18"/>
          <w:szCs w:val="18"/>
          <w:rtl/>
        </w:rPr>
        <w:t>ד</w:t>
      </w:r>
      <w:r>
        <w:rPr>
          <w:rStyle w:val="ab"/>
          <w:rFonts w:cs="Arial"/>
          <w:sz w:val="18"/>
          <w:szCs w:val="18"/>
          <w:rtl/>
        </w:rPr>
        <w:footnoteReference w:id="2633"/>
      </w:r>
      <w:r w:rsidRPr="00A9603D">
        <w:rPr>
          <w:rFonts w:cs="Arial"/>
          <w:sz w:val="18"/>
          <w:szCs w:val="18"/>
          <w:rtl/>
        </w:rPr>
        <w:t xml:space="preserve"> יכתבו עדותן וחשוב שטר </w:t>
      </w:r>
      <w:r w:rsidRPr="00963C6C">
        <w:rPr>
          <w:rFonts w:cs="Arial"/>
          <w:sz w:val="16"/>
          <w:szCs w:val="16"/>
          <w:rtl/>
        </w:rPr>
        <w:t>(רא"ש כלל ס סי' ה)</w:t>
      </w:r>
      <w:r w:rsidRPr="00A9603D">
        <w:rPr>
          <w:rFonts w:cs="Arial"/>
          <w:sz w:val="18"/>
          <w:szCs w:val="18"/>
          <w:rtl/>
        </w:rPr>
        <w:t>. תקנת הקהל שחתום עליה עד פסול</w:t>
      </w:r>
      <w:r>
        <w:rPr>
          <w:rStyle w:val="ab"/>
          <w:rFonts w:cs="Arial"/>
          <w:sz w:val="18"/>
          <w:szCs w:val="18"/>
          <w:rtl/>
        </w:rPr>
        <w:footnoteReference w:id="2634"/>
      </w:r>
      <w:r w:rsidRPr="00A9603D">
        <w:rPr>
          <w:rFonts w:cs="Arial"/>
          <w:sz w:val="18"/>
          <w:szCs w:val="18"/>
          <w:rtl/>
        </w:rPr>
        <w:t>, או שטר שחתם עליו בעל דבר עצמו, כשר באחרים, דאלו לא נתכוונו להעיד</w:t>
      </w:r>
      <w:r>
        <w:rPr>
          <w:rStyle w:val="ab"/>
          <w:rFonts w:cs="Arial"/>
          <w:sz w:val="18"/>
          <w:szCs w:val="18"/>
          <w:rtl/>
        </w:rPr>
        <w:footnoteReference w:id="2635"/>
      </w:r>
      <w:r w:rsidRPr="00A9603D">
        <w:rPr>
          <w:rFonts w:cs="Arial"/>
          <w:sz w:val="18"/>
          <w:szCs w:val="18"/>
          <w:rtl/>
        </w:rPr>
        <w:t xml:space="preserve"> </w:t>
      </w:r>
      <w:r w:rsidRPr="00963C6C">
        <w:rPr>
          <w:rFonts w:cs="Arial"/>
          <w:sz w:val="16"/>
          <w:szCs w:val="16"/>
          <w:rtl/>
        </w:rPr>
        <w:t>(ריב"ש ס"ס קצה)</w:t>
      </w:r>
      <w:r w:rsidRPr="00A9603D">
        <w:rPr>
          <w:rFonts w:cs="Arial"/>
          <w:sz w:val="18"/>
          <w:szCs w:val="18"/>
          <w:rtl/>
        </w:rPr>
        <w:t xml:space="preserve"> וע"ל סי' מ"ה סעי' י"ב וי"ג.</w:t>
      </w:r>
      <w:r>
        <w:rPr>
          <w:rFonts w:cs="Arial"/>
          <w:rtl/>
        </w:rPr>
        <w:t xml:space="preserve"> ואם הזמין התובע עדים כשרים, ועמדו שם קרובים ופסולים, אפי</w:t>
      </w:r>
      <w:r>
        <w:rPr>
          <w:rFonts w:cs="Arial" w:hint="cs"/>
          <w:rtl/>
        </w:rPr>
        <w:t>לו</w:t>
      </w:r>
      <w:r>
        <w:rPr>
          <w:rFonts w:cs="Arial"/>
          <w:rtl/>
        </w:rPr>
        <w:t xml:space="preserve"> נתכוונו להעיד והעידו, לא נתבטלה עדות הכשרים. וכן כשאדם צריך לעדות ומצוה להחרים כל מי שיודע לו עדות שיבא ויעיד, והעידו כשרים ופסולים, לא נתבטלה עדות הכשרים</w:t>
      </w:r>
      <w:r>
        <w:rPr>
          <w:rStyle w:val="ab"/>
          <w:rFonts w:cs="Arial"/>
          <w:rtl/>
        </w:rPr>
        <w:footnoteReference w:id="2636"/>
      </w:r>
      <w:r>
        <w:rPr>
          <w:rFonts w:cs="Arial"/>
          <w:rtl/>
        </w:rPr>
        <w:t xml:space="preserve">, שלא היתה כוונתו אלא בראויים להעיד. </w:t>
      </w:r>
    </w:p>
    <w:p w14:paraId="7952D2B8" w14:textId="77777777" w:rsidR="004B607F" w:rsidRDefault="004B607F" w:rsidP="004B607F">
      <w:pPr>
        <w:rPr>
          <w:rtl/>
        </w:rPr>
      </w:pPr>
    </w:p>
    <w:p w14:paraId="796AD1E1" w14:textId="77777777" w:rsidR="004B607F" w:rsidRDefault="004B607F" w:rsidP="004B607F">
      <w:pPr>
        <w:pStyle w:val="2"/>
        <w:rPr>
          <w:rtl/>
        </w:rPr>
      </w:pPr>
      <w:bookmarkStart w:id="353" w:name="_Toc24883800"/>
      <w:r>
        <w:rPr>
          <w:rtl/>
        </w:rPr>
        <w:t>סעיף ב</w:t>
      </w:r>
      <w:r>
        <w:rPr>
          <w:rFonts w:hint="cs"/>
          <w:rtl/>
        </w:rPr>
        <w:t>: עד כשר שאינו יודע בפיסולו של העד השני.</w:t>
      </w:r>
      <w:bookmarkEnd w:id="353"/>
    </w:p>
    <w:p w14:paraId="12029A74" w14:textId="77777777" w:rsidR="004B607F" w:rsidRPr="00F25EA1" w:rsidRDefault="004B607F" w:rsidP="004B607F">
      <w:pPr>
        <w:rPr>
          <w:u w:val="single"/>
          <w:rtl/>
        </w:rPr>
      </w:pPr>
      <w:r w:rsidRPr="00F7573E">
        <w:rPr>
          <w:rFonts w:hint="cs"/>
          <w:u w:val="single"/>
          <w:rtl/>
        </w:rPr>
        <w:t>עד כשר שאינו יודע בפיסולו של העד השני</w:t>
      </w:r>
      <w:r>
        <w:rPr>
          <w:rFonts w:hint="cs"/>
          <w:u w:val="single"/>
          <w:rtl/>
        </w:rPr>
        <w:t>:</w:t>
      </w:r>
    </w:p>
    <w:p w14:paraId="08EC1568" w14:textId="77777777" w:rsidR="004B607F" w:rsidRDefault="004B607F" w:rsidP="004B0475">
      <w:pPr>
        <w:pStyle w:val="ac"/>
        <w:numPr>
          <w:ilvl w:val="0"/>
          <w:numId w:val="105"/>
        </w:numPr>
        <w:rPr>
          <w:rFonts w:cs="Arial"/>
        </w:rPr>
      </w:pPr>
      <w:r w:rsidRPr="00F7573E">
        <w:rPr>
          <w:rFonts w:cs="Arial"/>
          <w:rtl/>
        </w:rPr>
        <w:t>רי"ף</w:t>
      </w:r>
      <w:r>
        <w:rPr>
          <w:rStyle w:val="ab"/>
          <w:rFonts w:cs="Arial"/>
          <w:rtl/>
        </w:rPr>
        <w:footnoteReference w:id="2637"/>
      </w:r>
      <w:r>
        <w:rPr>
          <w:rFonts w:cs="Arial" w:hint="cs"/>
          <w:rtl/>
        </w:rPr>
        <w:t xml:space="preserve"> ו</w:t>
      </w:r>
      <w:r w:rsidRPr="008D5828">
        <w:rPr>
          <w:rFonts w:cs="Arial"/>
          <w:rtl/>
        </w:rPr>
        <w:t>רשב"א</w:t>
      </w:r>
      <w:r>
        <w:rPr>
          <w:rStyle w:val="ab"/>
          <w:rFonts w:cs="Arial"/>
          <w:rtl/>
        </w:rPr>
        <w:footnoteReference w:id="2638"/>
      </w:r>
      <w:r w:rsidRPr="008D5828">
        <w:rPr>
          <w:rFonts w:cs="Arial"/>
          <w:rtl/>
        </w:rPr>
        <w:t xml:space="preserve"> </w:t>
      </w:r>
      <w:r w:rsidRPr="008D5828">
        <w:rPr>
          <w:rFonts w:cs="Arial" w:hint="cs"/>
          <w:sz w:val="16"/>
          <w:szCs w:val="16"/>
          <w:rtl/>
        </w:rPr>
        <w:t>(</w:t>
      </w:r>
      <w:r w:rsidRPr="008D5828">
        <w:rPr>
          <w:rFonts w:cs="Arial"/>
          <w:sz w:val="16"/>
          <w:szCs w:val="16"/>
          <w:rtl/>
        </w:rPr>
        <w:t>בתשובה</w:t>
      </w:r>
      <w:r w:rsidRPr="008D5828">
        <w:rPr>
          <w:rFonts w:cs="Arial" w:hint="cs"/>
          <w:sz w:val="16"/>
          <w:szCs w:val="16"/>
          <w:rtl/>
        </w:rPr>
        <w:t>, כ"כ הב"י בשמו</w:t>
      </w:r>
      <w:r>
        <w:rPr>
          <w:rFonts w:cs="Arial" w:hint="cs"/>
          <w:sz w:val="16"/>
          <w:szCs w:val="16"/>
          <w:rtl/>
        </w:rPr>
        <w:t>, ועי' במיוחסות סי' קי</w:t>
      </w:r>
      <w:r w:rsidRPr="008D5828">
        <w:rPr>
          <w:rFonts w:cs="Arial" w:hint="cs"/>
          <w:sz w:val="16"/>
          <w:szCs w:val="16"/>
          <w:rtl/>
        </w:rPr>
        <w:t>)</w:t>
      </w:r>
      <w:r w:rsidRPr="00F7573E">
        <w:rPr>
          <w:rFonts w:cs="Arial" w:hint="cs"/>
          <w:rtl/>
        </w:rPr>
        <w:t>-</w:t>
      </w:r>
      <w:r>
        <w:rPr>
          <w:rFonts w:cs="Arial" w:hint="cs"/>
          <w:rtl/>
        </w:rPr>
        <w:t xml:space="preserve"> </w:t>
      </w:r>
      <w:r w:rsidRPr="00F7573E">
        <w:rPr>
          <w:rFonts w:cs="Arial"/>
          <w:rtl/>
        </w:rPr>
        <w:t>שנים החתומים על השטר ונמצא אחד מהן קרוב והשני רחוק</w:t>
      </w:r>
      <w:r>
        <w:rPr>
          <w:rFonts w:cs="Arial" w:hint="cs"/>
          <w:rtl/>
        </w:rPr>
        <w:t>,</w:t>
      </w:r>
      <w:r w:rsidRPr="00F7573E">
        <w:rPr>
          <w:rFonts w:cs="Arial"/>
          <w:rtl/>
        </w:rPr>
        <w:t xml:space="preserve"> וזכור העדות</w:t>
      </w:r>
      <w:r>
        <w:rPr>
          <w:rFonts w:cs="Arial" w:hint="cs"/>
          <w:rtl/>
        </w:rPr>
        <w:t>,</w:t>
      </w:r>
      <w:r w:rsidRPr="00F7573E">
        <w:rPr>
          <w:rFonts w:cs="Arial"/>
          <w:rtl/>
        </w:rPr>
        <w:t xml:space="preserve"> ושניהם באו להעיד אלא שלא היה יודע בקורבתו</w:t>
      </w:r>
      <w:r>
        <w:rPr>
          <w:rFonts w:cs="Arial" w:hint="cs"/>
          <w:rtl/>
        </w:rPr>
        <w:t xml:space="preserve"> -</w:t>
      </w:r>
      <w:r w:rsidRPr="00F7573E">
        <w:rPr>
          <w:rFonts w:cs="Arial"/>
          <w:rtl/>
        </w:rPr>
        <w:t xml:space="preserve"> עדותו של שני </w:t>
      </w:r>
      <w:r>
        <w:rPr>
          <w:rFonts w:cs="Arial" w:hint="cs"/>
          <w:rtl/>
        </w:rPr>
        <w:t>כשרה ו</w:t>
      </w:r>
      <w:r w:rsidRPr="00F7573E">
        <w:rPr>
          <w:rFonts w:cs="Arial"/>
          <w:rtl/>
        </w:rPr>
        <w:t>חייב שבועה על פיו</w:t>
      </w:r>
      <w:r>
        <w:rPr>
          <w:rFonts w:cs="Arial" w:hint="cs"/>
          <w:rtl/>
        </w:rPr>
        <w:t>,</w:t>
      </w:r>
      <w:r w:rsidRPr="00F7573E">
        <w:rPr>
          <w:rFonts w:cs="Arial"/>
          <w:rtl/>
        </w:rPr>
        <w:t xml:space="preserve"> ובלבד שלא יהא רגיל בו שאפשר הוא שלא ידע בקורבתו</w:t>
      </w:r>
      <w:r>
        <w:rPr>
          <w:rFonts w:cs="Arial" w:hint="cs"/>
          <w:rtl/>
        </w:rPr>
        <w:t>.</w:t>
      </w:r>
      <w:r w:rsidRPr="00F7573E">
        <w:rPr>
          <w:rFonts w:cs="Arial"/>
          <w:rtl/>
        </w:rPr>
        <w:t xml:space="preserve"> ונאמן הוא לומר שלא ידע בקורבתו כשם שנאמן לומר למיחזי אתינא</w:t>
      </w:r>
      <w:r>
        <w:rPr>
          <w:rStyle w:val="ab"/>
          <w:rFonts w:cs="Arial"/>
          <w:rtl/>
        </w:rPr>
        <w:footnoteReference w:id="2639"/>
      </w:r>
      <w:r>
        <w:rPr>
          <w:rFonts w:cs="Arial" w:hint="cs"/>
          <w:sz w:val="16"/>
          <w:szCs w:val="16"/>
          <w:rtl/>
        </w:rPr>
        <w:t xml:space="preserve"> (ל' הרי"ף</w:t>
      </w:r>
      <w:r>
        <w:rPr>
          <w:rStyle w:val="ab"/>
          <w:rFonts w:cs="Arial"/>
          <w:sz w:val="16"/>
          <w:szCs w:val="16"/>
          <w:rtl/>
        </w:rPr>
        <w:footnoteReference w:id="2640"/>
      </w:r>
      <w:r>
        <w:rPr>
          <w:rFonts w:cs="Arial" w:hint="cs"/>
          <w:sz w:val="16"/>
          <w:szCs w:val="16"/>
          <w:rtl/>
        </w:rPr>
        <w:t>)</w:t>
      </w:r>
      <w:r w:rsidRPr="00F7573E">
        <w:rPr>
          <w:rFonts w:cs="Arial"/>
          <w:rtl/>
        </w:rPr>
        <w:t xml:space="preserve">. </w:t>
      </w:r>
    </w:p>
    <w:p w14:paraId="63FDF246" w14:textId="77777777" w:rsidR="004B607F" w:rsidRPr="004C7702" w:rsidRDefault="004B607F" w:rsidP="004B0475">
      <w:pPr>
        <w:pStyle w:val="ac"/>
        <w:numPr>
          <w:ilvl w:val="0"/>
          <w:numId w:val="105"/>
        </w:numPr>
        <w:rPr>
          <w:rFonts w:cs="Arial"/>
          <w:rtl/>
        </w:rPr>
      </w:pPr>
      <w:r w:rsidRPr="00F7573E">
        <w:rPr>
          <w:rFonts w:cs="Arial"/>
          <w:rtl/>
        </w:rPr>
        <w:t xml:space="preserve">רא"ש </w:t>
      </w:r>
      <w:r w:rsidRPr="00F25EA1">
        <w:rPr>
          <w:rFonts w:cs="Arial" w:hint="cs"/>
          <w:sz w:val="16"/>
          <w:szCs w:val="16"/>
          <w:rtl/>
        </w:rPr>
        <w:t>(</w:t>
      </w:r>
      <w:r w:rsidRPr="00F25EA1">
        <w:rPr>
          <w:rFonts w:cs="Arial"/>
          <w:sz w:val="16"/>
          <w:szCs w:val="16"/>
          <w:rtl/>
        </w:rPr>
        <w:t>פ</w:t>
      </w:r>
      <w:r w:rsidRPr="00F25EA1">
        <w:rPr>
          <w:rFonts w:cs="Arial" w:hint="cs"/>
          <w:sz w:val="16"/>
          <w:szCs w:val="16"/>
          <w:rtl/>
        </w:rPr>
        <w:t>"ק</w:t>
      </w:r>
      <w:r w:rsidRPr="00F25EA1">
        <w:rPr>
          <w:rFonts w:cs="Arial"/>
          <w:sz w:val="16"/>
          <w:szCs w:val="16"/>
          <w:rtl/>
        </w:rPr>
        <w:t xml:space="preserve"> דמכות סי' יא)</w:t>
      </w:r>
      <w:r w:rsidRPr="00F25EA1">
        <w:rPr>
          <w:rFonts w:cs="Arial" w:hint="cs"/>
          <w:sz w:val="16"/>
          <w:szCs w:val="16"/>
          <w:rtl/>
        </w:rPr>
        <w:t xml:space="preserve"> </w:t>
      </w:r>
      <w:r>
        <w:rPr>
          <w:rFonts w:cs="Arial" w:hint="cs"/>
          <w:rtl/>
        </w:rPr>
        <w:t xml:space="preserve">- </w:t>
      </w:r>
      <w:r>
        <w:rPr>
          <w:rStyle w:val="ab"/>
          <w:rFonts w:cs="Arial"/>
          <w:rtl/>
        </w:rPr>
        <w:footnoteReference w:id="2641"/>
      </w:r>
      <w:r w:rsidRPr="00F7573E">
        <w:rPr>
          <w:rFonts w:cs="Arial"/>
          <w:rtl/>
        </w:rPr>
        <w:t>כיון שהעיד הפסול בב"ד נתבטלה גם עדות הכשירין ואין תלוי במה שלא הכיר הכשר בקורבתו</w:t>
      </w:r>
      <w:r>
        <w:rPr>
          <w:rStyle w:val="ab"/>
          <w:rFonts w:cs="Arial"/>
          <w:rtl/>
        </w:rPr>
        <w:footnoteReference w:id="2642"/>
      </w:r>
      <w:r>
        <w:rPr>
          <w:rFonts w:cs="Arial" w:hint="cs"/>
          <w:rtl/>
        </w:rPr>
        <w:t xml:space="preserve">. </w:t>
      </w:r>
      <w:r w:rsidRPr="008D5828">
        <w:rPr>
          <w:rFonts w:cs="Arial" w:hint="cs"/>
          <w:color w:val="E36C0A" w:themeColor="accent6" w:themeShade="BF"/>
          <w:rtl/>
        </w:rPr>
        <w:t>(וכ"פ בשו"ע)</w:t>
      </w:r>
    </w:p>
    <w:p w14:paraId="204449D0" w14:textId="77777777" w:rsidR="004B607F" w:rsidRPr="003024E5" w:rsidRDefault="004B607F" w:rsidP="004B607F">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76D076FE" w14:textId="77777777" w:rsidR="004B607F" w:rsidRDefault="004B607F" w:rsidP="004B607F">
      <w:pPr>
        <w:rPr>
          <w:rtl/>
        </w:rPr>
      </w:pPr>
      <w:r>
        <w:rPr>
          <w:rFonts w:cs="Arial"/>
          <w:rtl/>
        </w:rPr>
        <w:lastRenderedPageBreak/>
        <w:t>אם העיד קרוב עם רחוק, ואין הרחוק יודע בקורבתו של זה, י</w:t>
      </w:r>
      <w:r>
        <w:rPr>
          <w:rFonts w:cs="Arial" w:hint="cs"/>
          <w:rtl/>
        </w:rPr>
        <w:t xml:space="preserve">ש </w:t>
      </w:r>
      <w:r>
        <w:rPr>
          <w:rFonts w:cs="Arial"/>
          <w:rtl/>
        </w:rPr>
        <w:t>א</w:t>
      </w:r>
      <w:r>
        <w:rPr>
          <w:rFonts w:cs="Arial" w:hint="cs"/>
          <w:rtl/>
        </w:rPr>
        <w:t>ומרים</w:t>
      </w:r>
      <w:r>
        <w:rPr>
          <w:rFonts w:cs="Arial"/>
          <w:rtl/>
        </w:rPr>
        <w:t xml:space="preserve"> שעדות הרחוק כשר</w:t>
      </w:r>
      <w:r>
        <w:rPr>
          <w:rFonts w:cs="Arial" w:hint="cs"/>
          <w:rtl/>
        </w:rPr>
        <w:t>ה</w:t>
      </w:r>
      <w:r>
        <w:rPr>
          <w:rFonts w:cs="Arial"/>
          <w:rtl/>
        </w:rPr>
        <w:t xml:space="preserve"> ומחייבו שבועה, ונאמן לומר שלא הכיר</w:t>
      </w:r>
      <w:r>
        <w:rPr>
          <w:rStyle w:val="ab"/>
          <w:rFonts w:cs="Arial"/>
          <w:rtl/>
        </w:rPr>
        <w:footnoteReference w:id="2643"/>
      </w:r>
      <w:r>
        <w:rPr>
          <w:rFonts w:cs="Arial" w:hint="cs"/>
          <w:rtl/>
        </w:rPr>
        <w:t>.</w:t>
      </w:r>
      <w:r>
        <w:rPr>
          <w:rFonts w:cs="Arial"/>
          <w:rtl/>
        </w:rPr>
        <w:t xml:space="preserve"> והוא שאינו רגיל אצלו, אבל אם הוא רגיל אצלו אינו נאמן</w:t>
      </w:r>
      <w:r>
        <w:rPr>
          <w:rFonts w:cs="Arial" w:hint="cs"/>
          <w:rtl/>
        </w:rPr>
        <w:t>.</w:t>
      </w:r>
      <w:r>
        <w:rPr>
          <w:rFonts w:cs="Arial"/>
          <w:rtl/>
        </w:rPr>
        <w:t xml:space="preserve"> ויש מי שחולק על זה, ואומר שאפי</w:t>
      </w:r>
      <w:r>
        <w:rPr>
          <w:rFonts w:cs="Arial" w:hint="cs"/>
          <w:rtl/>
        </w:rPr>
        <w:t>לו</w:t>
      </w:r>
      <w:r>
        <w:rPr>
          <w:rFonts w:cs="Arial"/>
          <w:rtl/>
        </w:rPr>
        <w:t xml:space="preserve"> לא הכיר בקורבתו, נתבטלה עדות הרחוק </w:t>
      </w:r>
      <w:r>
        <w:rPr>
          <w:rFonts w:cs="Arial" w:hint="cs"/>
          <w:sz w:val="18"/>
          <w:szCs w:val="18"/>
          <w:rtl/>
        </w:rPr>
        <w:t>[הגה]</w:t>
      </w:r>
      <w:r w:rsidRPr="00B42109">
        <w:rPr>
          <w:rFonts w:cs="Arial"/>
          <w:sz w:val="18"/>
          <w:szCs w:val="18"/>
          <w:rtl/>
        </w:rPr>
        <w:t xml:space="preserve"> כיון שהעיד הפסול עמו בבית דין</w:t>
      </w:r>
      <w:r>
        <w:rPr>
          <w:rStyle w:val="ab"/>
          <w:rFonts w:cs="Arial"/>
          <w:sz w:val="18"/>
          <w:szCs w:val="18"/>
          <w:rtl/>
        </w:rPr>
        <w:footnoteReference w:id="2644"/>
      </w:r>
      <w:r>
        <w:rPr>
          <w:rFonts w:cs="Arial" w:hint="cs"/>
          <w:sz w:val="18"/>
          <w:szCs w:val="18"/>
          <w:rtl/>
        </w:rPr>
        <w:t xml:space="preserve"> </w:t>
      </w:r>
      <w:r w:rsidRPr="00B42109">
        <w:rPr>
          <w:rFonts w:cs="Arial"/>
          <w:sz w:val="18"/>
          <w:szCs w:val="18"/>
          <w:rtl/>
        </w:rPr>
        <w:t>(טור).</w:t>
      </w:r>
    </w:p>
    <w:p w14:paraId="3671E496" w14:textId="77777777" w:rsidR="004B607F" w:rsidRDefault="004B607F" w:rsidP="004B607F">
      <w:pPr>
        <w:pStyle w:val="1"/>
        <w:rPr>
          <w:rtl/>
        </w:rPr>
        <w:sectPr w:rsidR="004B607F" w:rsidSect="004B607F">
          <w:headerReference w:type="default" r:id="rId46"/>
          <w:footnotePr>
            <w:numRestart w:val="eachPage"/>
          </w:footnotePr>
          <w:pgSz w:w="11906" w:h="16838"/>
          <w:pgMar w:top="720" w:right="1134" w:bottom="720" w:left="1134" w:header="0" w:footer="0" w:gutter="0"/>
          <w:cols w:space="720"/>
          <w:bidi/>
          <w:rtlGutter/>
          <w:docGrid w:linePitch="360"/>
        </w:sectPr>
      </w:pPr>
    </w:p>
    <w:p w14:paraId="4A5B2123" w14:textId="77777777" w:rsidR="004B607F" w:rsidRDefault="004B607F" w:rsidP="004B607F">
      <w:pPr>
        <w:pStyle w:val="1"/>
        <w:rPr>
          <w:rtl/>
        </w:rPr>
      </w:pPr>
      <w:bookmarkStart w:id="354" w:name="_Toc24883801"/>
      <w:r>
        <w:rPr>
          <w:rFonts w:hint="cs"/>
          <w:rtl/>
        </w:rPr>
        <w:lastRenderedPageBreak/>
        <w:t xml:space="preserve">סימן לז: </w:t>
      </w:r>
      <w:r>
        <w:rPr>
          <w:rtl/>
        </w:rPr>
        <w:t>הפסולים מחמת הנאה, ובו כ"ב סעיפים.</w:t>
      </w:r>
      <w:bookmarkEnd w:id="354"/>
      <w:r>
        <w:rPr>
          <w:rtl/>
        </w:rPr>
        <w:t xml:space="preserve"> </w:t>
      </w:r>
    </w:p>
    <w:p w14:paraId="251322F8" w14:textId="77777777" w:rsidR="004B607F" w:rsidRDefault="004B607F" w:rsidP="004B607F">
      <w:pPr>
        <w:pStyle w:val="2"/>
        <w:rPr>
          <w:rtl/>
        </w:rPr>
      </w:pPr>
      <w:bookmarkStart w:id="355" w:name="_Toc24883802"/>
      <w:r>
        <w:rPr>
          <w:rtl/>
        </w:rPr>
        <w:t>סעיף א</w:t>
      </w:r>
      <w:r>
        <w:rPr>
          <w:rFonts w:hint="cs"/>
          <w:rtl/>
        </w:rPr>
        <w:t>:</w:t>
      </w:r>
      <w:r w:rsidRPr="00F1347E">
        <w:rPr>
          <w:rFonts w:cs="Arial"/>
          <w:rtl/>
        </w:rPr>
        <w:t xml:space="preserve"> </w:t>
      </w:r>
      <w:r>
        <w:rPr>
          <w:rFonts w:cs="Arial" w:hint="cs"/>
          <w:rtl/>
        </w:rPr>
        <w:t>שותפים בשדה ובא מערער להוציא מהם.</w:t>
      </w:r>
      <w:bookmarkEnd w:id="355"/>
    </w:p>
    <w:p w14:paraId="6A31431B" w14:textId="77777777" w:rsidR="004B607F" w:rsidRPr="004F7C92" w:rsidRDefault="004B607F" w:rsidP="004B607F">
      <w:pPr>
        <w:rPr>
          <w:rFonts w:cs="Arial"/>
          <w:sz w:val="16"/>
          <w:szCs w:val="16"/>
          <w:rtl/>
        </w:rPr>
      </w:pPr>
      <w:r w:rsidRPr="00092023">
        <w:rPr>
          <w:rFonts w:cs="Arial"/>
          <w:b/>
          <w:bCs/>
          <w:rtl/>
        </w:rPr>
        <w:t>בב</w:t>
      </w:r>
      <w:r w:rsidRPr="00092023">
        <w:rPr>
          <w:rFonts w:cs="Arial" w:hint="cs"/>
          <w:b/>
          <w:bCs/>
          <w:rtl/>
        </w:rPr>
        <w:t xml:space="preserve">א בתרא </w:t>
      </w:r>
      <w:r w:rsidRPr="00092023">
        <w:rPr>
          <w:rFonts w:cs="Arial" w:hint="cs"/>
          <w:b/>
          <w:bCs/>
          <w:sz w:val="16"/>
          <w:szCs w:val="16"/>
          <w:rtl/>
        </w:rPr>
        <w:t>(</w:t>
      </w:r>
      <w:r w:rsidRPr="00092023">
        <w:rPr>
          <w:rFonts w:cs="Arial"/>
          <w:b/>
          <w:bCs/>
          <w:sz w:val="16"/>
          <w:szCs w:val="16"/>
          <w:rtl/>
        </w:rPr>
        <w:t>פרק חזקת</w:t>
      </w:r>
      <w:r w:rsidRPr="00092023">
        <w:rPr>
          <w:rFonts w:cs="Arial" w:hint="cs"/>
          <w:b/>
          <w:bCs/>
          <w:sz w:val="16"/>
          <w:szCs w:val="16"/>
          <w:rtl/>
        </w:rPr>
        <w:t>)</w:t>
      </w:r>
      <w:r w:rsidRPr="00092023">
        <w:rPr>
          <w:rFonts w:cs="Arial"/>
          <w:b/>
          <w:bCs/>
          <w:sz w:val="16"/>
          <w:szCs w:val="16"/>
          <w:rtl/>
        </w:rPr>
        <w:t xml:space="preserve"> </w:t>
      </w:r>
      <w:r w:rsidRPr="00092023">
        <w:rPr>
          <w:rFonts w:cs="Arial"/>
          <w:b/>
          <w:bCs/>
          <w:rtl/>
        </w:rPr>
        <w:t>מב</w:t>
      </w:r>
      <w:r>
        <w:rPr>
          <w:rStyle w:val="ab"/>
          <w:rFonts w:cs="Arial"/>
          <w:b/>
          <w:bCs/>
          <w:rtl/>
        </w:rPr>
        <w:footnoteReference w:id="2645"/>
      </w:r>
      <w:r w:rsidRPr="00092023">
        <w:rPr>
          <w:rFonts w:cs="Arial" w:hint="cs"/>
          <w:b/>
          <w:bCs/>
          <w:rtl/>
        </w:rPr>
        <w:t xml:space="preserve"> ע"ב</w:t>
      </w:r>
      <w:r w:rsidRPr="00092023">
        <w:rPr>
          <w:rFonts w:cs="Arial"/>
          <w:b/>
          <w:bCs/>
          <w:rtl/>
        </w:rPr>
        <w:t>:</w:t>
      </w:r>
      <w:r>
        <w:rPr>
          <w:rFonts w:cs="Arial"/>
          <w:rtl/>
        </w:rPr>
        <w:t xml:space="preserve"> </w:t>
      </w:r>
      <w:r>
        <w:rPr>
          <w:rFonts w:cs="Arial" w:hint="cs"/>
          <w:u w:val="single"/>
          <w:rtl/>
        </w:rPr>
        <w:t>ד</w:t>
      </w:r>
      <w:r w:rsidRPr="00092023">
        <w:rPr>
          <w:rFonts w:cs="Arial"/>
          <w:u w:val="single"/>
          <w:rtl/>
        </w:rPr>
        <w:t>אמר שמואל</w:t>
      </w:r>
      <w:r w:rsidRPr="00092023">
        <w:rPr>
          <w:rFonts w:cs="Arial"/>
          <w:rtl/>
        </w:rPr>
        <w:t>: השותפין מחזיקין זה על זה, ומעידין זה על זה</w:t>
      </w:r>
      <w:r>
        <w:rPr>
          <w:rFonts w:cs="Arial" w:hint="cs"/>
          <w:rtl/>
        </w:rPr>
        <w:t>...</w:t>
      </w:r>
      <w:r w:rsidRPr="00092023">
        <w:rPr>
          <w:rtl/>
        </w:rPr>
        <w:t xml:space="preserve"> </w:t>
      </w:r>
      <w:r w:rsidRPr="00092023">
        <w:rPr>
          <w:rFonts w:cs="Arial"/>
          <w:rtl/>
        </w:rPr>
        <w:t xml:space="preserve">ומעידין זה </w:t>
      </w:r>
      <w:r>
        <w:rPr>
          <w:rFonts w:cs="Arial" w:hint="cs"/>
          <w:rtl/>
        </w:rPr>
        <w:t>ע</w:t>
      </w:r>
      <w:r w:rsidRPr="00092023">
        <w:rPr>
          <w:rFonts w:cs="Arial"/>
          <w:rtl/>
        </w:rPr>
        <w:t>ל</w:t>
      </w:r>
      <w:r>
        <w:rPr>
          <w:rFonts w:cs="Arial" w:hint="cs"/>
          <w:rtl/>
        </w:rPr>
        <w:t xml:space="preserve"> </w:t>
      </w:r>
      <w:r w:rsidRPr="00092023">
        <w:rPr>
          <w:rFonts w:cs="Arial"/>
          <w:rtl/>
        </w:rPr>
        <w:t>זה.</w:t>
      </w:r>
      <w:r>
        <w:rPr>
          <w:rFonts w:cs="Arial" w:hint="cs"/>
          <w:rtl/>
        </w:rPr>
        <w:t xml:space="preserve"> </w:t>
      </w:r>
      <w:r>
        <w:rPr>
          <w:rFonts w:cs="Arial" w:hint="cs"/>
          <w:sz w:val="14"/>
          <w:szCs w:val="14"/>
          <w:rtl/>
        </w:rPr>
        <w:t>(מג.)</w:t>
      </w:r>
      <w:r w:rsidRPr="00092023">
        <w:rPr>
          <w:rFonts w:cs="Arial"/>
          <w:rtl/>
        </w:rPr>
        <w:t xml:space="preserve"> אמאי? נוגעין בעדותן הן</w:t>
      </w:r>
      <w:r>
        <w:rPr>
          <w:rStyle w:val="ab"/>
          <w:rFonts w:cs="Arial"/>
          <w:rtl/>
        </w:rPr>
        <w:footnoteReference w:id="2646"/>
      </w:r>
      <w:r w:rsidRPr="00092023">
        <w:rPr>
          <w:rFonts w:cs="Arial"/>
          <w:rtl/>
        </w:rPr>
        <w:t>! הכא במאי עסקינן - דכתב ליה</w:t>
      </w:r>
      <w:r>
        <w:rPr>
          <w:rStyle w:val="ab"/>
          <w:rFonts w:cs="Arial"/>
          <w:rtl/>
        </w:rPr>
        <w:footnoteReference w:id="2647"/>
      </w:r>
      <w:r w:rsidRPr="00092023">
        <w:rPr>
          <w:rFonts w:cs="Arial"/>
          <w:rtl/>
        </w:rPr>
        <w:t>: דין ודברים אין לי על שדה זו. וכי כתב לו מאי הוי</w:t>
      </w:r>
      <w:r>
        <w:rPr>
          <w:rStyle w:val="ab"/>
          <w:rFonts w:cs="Arial"/>
          <w:rtl/>
        </w:rPr>
        <w:footnoteReference w:id="2648"/>
      </w:r>
      <w:r w:rsidRPr="00092023">
        <w:rPr>
          <w:rFonts w:cs="Arial"/>
          <w:rtl/>
        </w:rPr>
        <w:t>? והתניא, האומר לחבירו</w:t>
      </w:r>
      <w:r>
        <w:rPr>
          <w:rStyle w:val="ab"/>
          <w:rFonts w:cs="Arial"/>
          <w:rtl/>
        </w:rPr>
        <w:footnoteReference w:id="2649"/>
      </w:r>
      <w:r w:rsidRPr="00092023">
        <w:rPr>
          <w:rFonts w:cs="Arial"/>
          <w:rtl/>
        </w:rPr>
        <w:t>: דין ודברים אין לי על שדה זו ואין לי עסק בה וידי מסולקות הימנה - לא אמר כלום! הכא במאי עסקינן - כשקנו מידו</w:t>
      </w:r>
      <w:r>
        <w:rPr>
          <w:rStyle w:val="ab"/>
          <w:rFonts w:cs="Arial"/>
          <w:rtl/>
        </w:rPr>
        <w:footnoteReference w:id="2650"/>
      </w:r>
      <w:r w:rsidRPr="00092023">
        <w:rPr>
          <w:rFonts w:cs="Arial"/>
          <w:rtl/>
        </w:rPr>
        <w:t>. וכי קנו מידו מאי הוי</w:t>
      </w:r>
      <w:r>
        <w:rPr>
          <w:rStyle w:val="ab"/>
          <w:rFonts w:cs="Arial"/>
          <w:rtl/>
        </w:rPr>
        <w:footnoteReference w:id="2651"/>
      </w:r>
      <w:r w:rsidRPr="00092023">
        <w:rPr>
          <w:rFonts w:cs="Arial"/>
          <w:rtl/>
        </w:rPr>
        <w:t>? הרי מעמידה בפני בעל חובו! דאמר רבין בר שמואל משמיה דשמואל: המוכר שדה לחבירו שלא באחריות</w:t>
      </w:r>
      <w:r>
        <w:rPr>
          <w:rStyle w:val="ab"/>
          <w:rFonts w:cs="Arial"/>
          <w:rtl/>
        </w:rPr>
        <w:footnoteReference w:id="2652"/>
      </w:r>
      <w:r w:rsidRPr="00092023">
        <w:rPr>
          <w:rFonts w:cs="Arial"/>
          <w:rtl/>
        </w:rPr>
        <w:t xml:space="preserve"> - אין מעיד לו עליה</w:t>
      </w:r>
      <w:r>
        <w:rPr>
          <w:rStyle w:val="ab"/>
          <w:rFonts w:cs="Arial"/>
          <w:rtl/>
        </w:rPr>
        <w:footnoteReference w:id="2653"/>
      </w:r>
      <w:r w:rsidRPr="00092023">
        <w:rPr>
          <w:rFonts w:cs="Arial"/>
          <w:rtl/>
        </w:rPr>
        <w:t>, מפני שמעמידה בפני בעל חובו</w:t>
      </w:r>
      <w:r>
        <w:rPr>
          <w:rStyle w:val="ab"/>
          <w:rFonts w:cs="Arial"/>
          <w:rtl/>
        </w:rPr>
        <w:footnoteReference w:id="2654"/>
      </w:r>
      <w:r w:rsidRPr="00092023">
        <w:rPr>
          <w:rFonts w:cs="Arial"/>
          <w:rtl/>
        </w:rPr>
        <w:t>! הכא במאי עסקינן - דקביל עליה אחריות</w:t>
      </w:r>
      <w:r>
        <w:rPr>
          <w:rStyle w:val="ab"/>
          <w:rFonts w:cs="Arial"/>
          <w:rtl/>
        </w:rPr>
        <w:footnoteReference w:id="2655"/>
      </w:r>
      <w:r w:rsidRPr="00092023">
        <w:rPr>
          <w:rFonts w:cs="Arial"/>
          <w:rtl/>
        </w:rPr>
        <w:t>. אחריות דמאן? אי נימא אחריות דעלמא</w:t>
      </w:r>
      <w:r>
        <w:rPr>
          <w:rStyle w:val="ab"/>
          <w:rFonts w:cs="Arial"/>
          <w:rtl/>
        </w:rPr>
        <w:footnoteReference w:id="2656"/>
      </w:r>
      <w:r w:rsidRPr="00092023">
        <w:rPr>
          <w:rFonts w:cs="Arial"/>
          <w:rtl/>
        </w:rPr>
        <w:t>, כל שכן</w:t>
      </w:r>
      <w:r>
        <w:rPr>
          <w:rStyle w:val="ab"/>
          <w:rFonts w:cs="Arial"/>
          <w:rtl/>
        </w:rPr>
        <w:footnoteReference w:id="2657"/>
      </w:r>
      <w:r>
        <w:rPr>
          <w:rFonts w:cs="Arial" w:hint="cs"/>
          <w:rtl/>
        </w:rPr>
        <w:t>,</w:t>
      </w:r>
      <w:r w:rsidRPr="00092023">
        <w:rPr>
          <w:rFonts w:cs="Arial"/>
          <w:rtl/>
        </w:rPr>
        <w:t xml:space="preserve"> דניחא ליה! אלא אחריות דאתיא ליה מחמתיה</w:t>
      </w:r>
      <w:r>
        <w:rPr>
          <w:rStyle w:val="ab"/>
          <w:rFonts w:cs="Arial"/>
          <w:rtl/>
        </w:rPr>
        <w:footnoteReference w:id="2658"/>
      </w:r>
      <w:r w:rsidRPr="00092023">
        <w:rPr>
          <w:rFonts w:cs="Arial"/>
          <w:rtl/>
        </w:rPr>
        <w:t xml:space="preserve">. </w:t>
      </w:r>
      <w:r>
        <w:rPr>
          <w:rFonts w:cs="Arial" w:hint="cs"/>
          <w:sz w:val="16"/>
          <w:szCs w:val="16"/>
          <w:rtl/>
        </w:rPr>
        <w:t>(</w:t>
      </w:r>
      <w:r w:rsidRPr="004F7C92">
        <w:rPr>
          <w:rFonts w:cs="Arial"/>
          <w:sz w:val="16"/>
          <w:szCs w:val="16"/>
          <w:rtl/>
        </w:rPr>
        <w:t>וכתב נמוק</w:t>
      </w:r>
      <w:r w:rsidRPr="004F7C92">
        <w:rPr>
          <w:rFonts w:cs="Arial" w:hint="cs"/>
          <w:sz w:val="16"/>
          <w:szCs w:val="16"/>
          <w:rtl/>
        </w:rPr>
        <w:t>"</w:t>
      </w:r>
      <w:r w:rsidRPr="004F7C92">
        <w:rPr>
          <w:rFonts w:cs="Arial"/>
          <w:sz w:val="16"/>
          <w:szCs w:val="16"/>
          <w:rtl/>
        </w:rPr>
        <w:t>י (כג. ד"ה גרסינן בגמ' ומעידין</w:t>
      </w:r>
      <w:r>
        <w:rPr>
          <w:rFonts w:cs="Arial" w:hint="cs"/>
          <w:sz w:val="16"/>
          <w:szCs w:val="16"/>
          <w:rtl/>
        </w:rPr>
        <w:t>, הביאו הב"י</w:t>
      </w:r>
      <w:r w:rsidRPr="004F7C92">
        <w:rPr>
          <w:rFonts w:cs="Arial"/>
          <w:sz w:val="16"/>
          <w:szCs w:val="16"/>
          <w:rtl/>
        </w:rPr>
        <w:t>)</w:t>
      </w:r>
      <w:r w:rsidRPr="004F7C92">
        <w:rPr>
          <w:rFonts w:cs="Arial" w:hint="cs"/>
          <w:sz w:val="16"/>
          <w:szCs w:val="16"/>
          <w:rtl/>
        </w:rPr>
        <w:t xml:space="preserve"> ד</w:t>
      </w:r>
      <w:r w:rsidRPr="004F7C92">
        <w:rPr>
          <w:rFonts w:cs="Arial"/>
          <w:sz w:val="16"/>
          <w:szCs w:val="16"/>
          <w:rtl/>
        </w:rPr>
        <w:t>קמ</w:t>
      </w:r>
      <w:r>
        <w:rPr>
          <w:rFonts w:cs="Arial" w:hint="cs"/>
          <w:sz w:val="16"/>
          <w:szCs w:val="16"/>
          <w:rtl/>
        </w:rPr>
        <w:t>"</w:t>
      </w:r>
      <w:r w:rsidRPr="004F7C92">
        <w:rPr>
          <w:rFonts w:cs="Arial"/>
          <w:sz w:val="16"/>
          <w:szCs w:val="16"/>
          <w:rtl/>
        </w:rPr>
        <w:t>ל שמואל שותפין מעידין זה על זה דלא חיישינן לקנוניא שיעיד לו ואח</w:t>
      </w:r>
      <w:r w:rsidRPr="004F7C92">
        <w:rPr>
          <w:rFonts w:cs="Arial" w:hint="cs"/>
          <w:sz w:val="16"/>
          <w:szCs w:val="16"/>
          <w:rtl/>
        </w:rPr>
        <w:t>"</w:t>
      </w:r>
      <w:r w:rsidRPr="004F7C92">
        <w:rPr>
          <w:rFonts w:cs="Arial"/>
          <w:sz w:val="16"/>
          <w:szCs w:val="16"/>
          <w:rtl/>
        </w:rPr>
        <w:t>כ יחזרו לשותפותן אע</w:t>
      </w:r>
      <w:r w:rsidRPr="004F7C92">
        <w:rPr>
          <w:rFonts w:cs="Arial" w:hint="cs"/>
          <w:sz w:val="16"/>
          <w:szCs w:val="16"/>
          <w:rtl/>
        </w:rPr>
        <w:t>"</w:t>
      </w:r>
      <w:r w:rsidRPr="004F7C92">
        <w:rPr>
          <w:rFonts w:cs="Arial"/>
          <w:sz w:val="16"/>
          <w:szCs w:val="16"/>
          <w:rtl/>
        </w:rPr>
        <w:t>פ שלא נתן לו אלא עכשיו כשבא מערער</w:t>
      </w:r>
      <w:r w:rsidRPr="004F7C92">
        <w:rPr>
          <w:rFonts w:cs="Arial" w:hint="cs"/>
          <w:sz w:val="16"/>
          <w:szCs w:val="16"/>
          <w:rtl/>
        </w:rPr>
        <w:t>,</w:t>
      </w:r>
      <w:r w:rsidRPr="004F7C92">
        <w:rPr>
          <w:rFonts w:cs="Arial"/>
          <w:sz w:val="16"/>
          <w:szCs w:val="16"/>
          <w:rtl/>
        </w:rPr>
        <w:t xml:space="preserve"> דלעולם לא חיישינן להכי כשמסתלק מממון</w:t>
      </w:r>
      <w:r>
        <w:rPr>
          <w:rFonts w:cs="Arial" w:hint="cs"/>
          <w:sz w:val="16"/>
          <w:szCs w:val="16"/>
          <w:rtl/>
        </w:rPr>
        <w:t>,</w:t>
      </w:r>
      <w:r w:rsidRPr="004F7C92">
        <w:rPr>
          <w:rFonts w:cs="Arial"/>
          <w:sz w:val="16"/>
          <w:szCs w:val="16"/>
          <w:rtl/>
        </w:rPr>
        <w:t xml:space="preserve"> אלא דוקא כשמקבל איזו הנאה</w:t>
      </w:r>
      <w:r>
        <w:rPr>
          <w:rFonts w:cs="Arial" w:hint="cs"/>
          <w:sz w:val="16"/>
          <w:szCs w:val="16"/>
          <w:rtl/>
        </w:rPr>
        <w:t>,</w:t>
      </w:r>
      <w:r w:rsidRPr="004F7C92">
        <w:rPr>
          <w:rFonts w:cs="Arial"/>
          <w:sz w:val="16"/>
          <w:szCs w:val="16"/>
          <w:rtl/>
        </w:rPr>
        <w:t xml:space="preserve"> כגון אם קבל עליו אחריות דעלמא והוא פטרו </w:t>
      </w:r>
      <w:r>
        <w:rPr>
          <w:rFonts w:cs="Arial" w:hint="cs"/>
          <w:sz w:val="16"/>
          <w:szCs w:val="16"/>
          <w:rtl/>
        </w:rPr>
        <w:t xml:space="preserve">- </w:t>
      </w:r>
      <w:r w:rsidRPr="004F7C92">
        <w:rPr>
          <w:rFonts w:cs="Arial"/>
          <w:sz w:val="16"/>
          <w:szCs w:val="16"/>
          <w:rtl/>
        </w:rPr>
        <w:t>דאז ודאי לא יעיד לו</w:t>
      </w:r>
      <w:r>
        <w:rPr>
          <w:rFonts w:cs="Arial" w:hint="cs"/>
          <w:sz w:val="16"/>
          <w:szCs w:val="16"/>
          <w:rtl/>
        </w:rPr>
        <w:t>,</w:t>
      </w:r>
      <w:r w:rsidRPr="004F7C92">
        <w:rPr>
          <w:rFonts w:cs="Arial"/>
          <w:sz w:val="16"/>
          <w:szCs w:val="16"/>
          <w:rtl/>
        </w:rPr>
        <w:t xml:space="preserve"> כיון דאיכא סרך הנאה חיישינן לומר דבשביל זה מעיד לו</w:t>
      </w:r>
      <w:r w:rsidRPr="004F7C92">
        <w:rPr>
          <w:rStyle w:val="ab"/>
          <w:rFonts w:cs="Arial"/>
          <w:sz w:val="16"/>
          <w:szCs w:val="16"/>
          <w:rtl/>
        </w:rPr>
        <w:footnoteReference w:id="2659"/>
      </w:r>
      <w:r>
        <w:rPr>
          <w:rFonts w:cs="Arial" w:hint="cs"/>
          <w:sz w:val="16"/>
          <w:szCs w:val="16"/>
          <w:rtl/>
        </w:rPr>
        <w:t>)</w:t>
      </w:r>
      <w:r w:rsidRPr="004F7C92">
        <w:rPr>
          <w:rFonts w:cs="Arial"/>
          <w:sz w:val="16"/>
          <w:szCs w:val="16"/>
          <w:rtl/>
        </w:rPr>
        <w:t xml:space="preserve"> </w:t>
      </w:r>
    </w:p>
    <w:p w14:paraId="7EE859CB" w14:textId="77777777" w:rsidR="004B607F" w:rsidRPr="004F7C92" w:rsidRDefault="004B607F" w:rsidP="004B607F">
      <w:pPr>
        <w:rPr>
          <w:rFonts w:cs="Arial"/>
          <w:u w:val="single"/>
          <w:rtl/>
        </w:rPr>
      </w:pPr>
      <w:r w:rsidRPr="004F7C92">
        <w:rPr>
          <w:rFonts w:cs="Arial" w:hint="cs"/>
          <w:u w:val="single"/>
          <w:rtl/>
        </w:rPr>
        <w:t>שותפים בשדה ובא מערער להוציא מהם</w:t>
      </w:r>
      <w:r>
        <w:rPr>
          <w:rFonts w:cs="Arial" w:hint="cs"/>
          <w:u w:val="single"/>
          <w:rtl/>
        </w:rPr>
        <w:t xml:space="preserve"> </w:t>
      </w:r>
      <w:r>
        <w:rPr>
          <w:rFonts w:cs="Arial"/>
          <w:u w:val="single"/>
          <w:rtl/>
        </w:rPr>
        <w:t>–</w:t>
      </w:r>
      <w:r>
        <w:rPr>
          <w:rFonts w:cs="Arial" w:hint="cs"/>
          <w:u w:val="single"/>
          <w:rtl/>
        </w:rPr>
        <w:t xml:space="preserve"> האם יכול אחד מהם להסתלק מחלקו ע"מ לפסול את עדי המערער</w:t>
      </w:r>
      <w:r w:rsidRPr="004F7C92">
        <w:rPr>
          <w:rFonts w:cs="Arial" w:hint="cs"/>
          <w:u w:val="single"/>
          <w:rtl/>
        </w:rPr>
        <w:t xml:space="preserve">: </w:t>
      </w:r>
    </w:p>
    <w:p w14:paraId="32C9ABAB" w14:textId="77777777" w:rsidR="004B607F" w:rsidRPr="00F1347E" w:rsidRDefault="004B607F" w:rsidP="004B0475">
      <w:pPr>
        <w:pStyle w:val="ac"/>
        <w:numPr>
          <w:ilvl w:val="0"/>
          <w:numId w:val="109"/>
        </w:numPr>
        <w:rPr>
          <w:rFonts w:cs="Arial"/>
          <w:rtl/>
        </w:rPr>
      </w:pPr>
      <w:r w:rsidRPr="00F1347E">
        <w:rPr>
          <w:rFonts w:cs="Arial" w:hint="cs"/>
          <w:rtl/>
        </w:rPr>
        <w:t>טור-</w:t>
      </w:r>
      <w:r w:rsidRPr="00F1347E">
        <w:rPr>
          <w:rFonts w:cs="Arial"/>
          <w:rtl/>
        </w:rPr>
        <w:t xml:space="preserve"> כל עדות שיש לו לאדם הנאה בו פסול להעיד</w:t>
      </w:r>
      <w:r w:rsidRPr="00F1347E">
        <w:rPr>
          <w:rFonts w:cs="Arial" w:hint="cs"/>
          <w:rtl/>
        </w:rPr>
        <w:t>.</w:t>
      </w:r>
      <w:r w:rsidRPr="00F1347E">
        <w:rPr>
          <w:rFonts w:cs="Arial"/>
          <w:rtl/>
        </w:rPr>
        <w:t xml:space="preserve"> לפיכך קרקע של שני שותפין ובא אחר להוציאה מתחת יד האחד לומר שאותו שמכרה להם גזלה ממנו</w:t>
      </w:r>
      <w:r>
        <w:rPr>
          <w:rFonts w:cs="Arial" w:hint="cs"/>
          <w:rtl/>
        </w:rPr>
        <w:t xml:space="preserve"> -</w:t>
      </w:r>
      <w:r w:rsidRPr="00F1347E">
        <w:rPr>
          <w:rFonts w:cs="Arial"/>
          <w:rtl/>
        </w:rPr>
        <w:t xml:space="preserve"> אין שותפו מעיד לו עליה לפסול עדי המערער</w:t>
      </w:r>
      <w:r>
        <w:rPr>
          <w:rFonts w:cs="Arial" w:hint="cs"/>
          <w:rtl/>
        </w:rPr>
        <w:t>.</w:t>
      </w:r>
      <w:r w:rsidRPr="00F1347E">
        <w:rPr>
          <w:rFonts w:cs="Arial"/>
          <w:rtl/>
        </w:rPr>
        <w:t xml:space="preserve"> ואפילו על חלק השותף לא יועיל עדותו</w:t>
      </w:r>
      <w:r>
        <w:rPr>
          <w:rFonts w:cs="Arial" w:hint="cs"/>
          <w:rtl/>
        </w:rPr>
        <w:t>,</w:t>
      </w:r>
      <w:r w:rsidRPr="00F1347E">
        <w:rPr>
          <w:rFonts w:cs="Arial"/>
          <w:rtl/>
        </w:rPr>
        <w:t xml:space="preserve"> אא"כ שסילק עצמו ממנו וקנה מידו שלא נשאר לו כלום זכות בו</w:t>
      </w:r>
      <w:r w:rsidRPr="00F1347E">
        <w:rPr>
          <w:rFonts w:cs="Arial" w:hint="cs"/>
          <w:rtl/>
        </w:rPr>
        <w:t>,</w:t>
      </w:r>
      <w:r w:rsidRPr="00F1347E">
        <w:rPr>
          <w:rFonts w:cs="Arial"/>
          <w:rtl/>
        </w:rPr>
        <w:t xml:space="preserve"> ואפילו שלא סילק את עצמו עד לאחר הערעור</w:t>
      </w:r>
      <w:r w:rsidRPr="00F1347E">
        <w:rPr>
          <w:rFonts w:cs="Arial" w:hint="cs"/>
          <w:rtl/>
        </w:rPr>
        <w:t>.</w:t>
      </w:r>
      <w:r w:rsidRPr="00F1347E">
        <w:rPr>
          <w:rFonts w:cs="Arial"/>
          <w:rtl/>
        </w:rPr>
        <w:t xml:space="preserve"> וצריך להתנות אם יבא בעל חובו לגבותו ממנו בשביל חובו שהוא יסלקו במעות</w:t>
      </w:r>
      <w:r w:rsidRPr="00F1347E">
        <w:rPr>
          <w:rFonts w:cs="Arial" w:hint="cs"/>
          <w:rtl/>
        </w:rPr>
        <w:t>,</w:t>
      </w:r>
      <w:r w:rsidRPr="00F1347E">
        <w:rPr>
          <w:rFonts w:cs="Arial"/>
          <w:rtl/>
        </w:rPr>
        <w:t xml:space="preserve"> דאל"כ שמא הוא מעיד כדי להעמידו בידו כדי שיפרע ממנו בעל חובו</w:t>
      </w:r>
      <w:r w:rsidRPr="00F1347E">
        <w:rPr>
          <w:rFonts w:cs="Arial" w:hint="cs"/>
          <w:rtl/>
        </w:rPr>
        <w:t>,</w:t>
      </w:r>
      <w:r w:rsidRPr="00F1347E">
        <w:rPr>
          <w:rFonts w:cs="Arial"/>
          <w:rtl/>
        </w:rPr>
        <w:t xml:space="preserve"> אפילו יש לו שדה אחרת</w:t>
      </w:r>
      <w:r>
        <w:rPr>
          <w:rFonts w:cs="Arial" w:hint="cs"/>
          <w:rtl/>
        </w:rPr>
        <w:t>,</w:t>
      </w:r>
      <w:r w:rsidRPr="00F1347E">
        <w:rPr>
          <w:rFonts w:cs="Arial"/>
          <w:rtl/>
        </w:rPr>
        <w:t xml:space="preserve"> כי מי יודע כמה בעלי חובים יש לו</w:t>
      </w:r>
      <w:r>
        <w:rPr>
          <w:rFonts w:cs="Arial" w:hint="cs"/>
          <w:rtl/>
        </w:rPr>
        <w:t>.</w:t>
      </w:r>
      <w:r w:rsidRPr="00F1347E">
        <w:rPr>
          <w:rFonts w:cs="Arial"/>
          <w:rtl/>
        </w:rPr>
        <w:t xml:space="preserve"> וגם צריך להתנות שאם יבא לחטפה ממנו בטענות אחרות לומר שהיתה גזולה בידו וכיוצא באלו שאינו מקבל עליו אחריות</w:t>
      </w:r>
      <w:r>
        <w:rPr>
          <w:rStyle w:val="ab"/>
          <w:rFonts w:cs="Arial"/>
          <w:rtl/>
        </w:rPr>
        <w:footnoteReference w:id="2660"/>
      </w:r>
      <w:r>
        <w:rPr>
          <w:rFonts w:cs="Arial" w:hint="cs"/>
          <w:rtl/>
        </w:rPr>
        <w:t>.</w:t>
      </w:r>
      <w:r w:rsidRPr="00F1347E">
        <w:rPr>
          <w:rFonts w:cs="Arial"/>
          <w:rtl/>
        </w:rPr>
        <w:t xml:space="preserve"> </w:t>
      </w:r>
      <w:r>
        <w:rPr>
          <w:rStyle w:val="ab"/>
          <w:rFonts w:cs="Arial"/>
          <w:rtl/>
        </w:rPr>
        <w:footnoteReference w:id="2661"/>
      </w:r>
      <w:r w:rsidRPr="00F1347E">
        <w:rPr>
          <w:rFonts w:cs="Arial"/>
          <w:rtl/>
        </w:rPr>
        <w:t>אבל אם אין המערער טוען אלא על חלק השותף בלבד</w:t>
      </w:r>
      <w:r>
        <w:rPr>
          <w:rFonts w:cs="Arial" w:hint="cs"/>
          <w:rtl/>
        </w:rPr>
        <w:t>,</w:t>
      </w:r>
      <w:r w:rsidRPr="00F1347E">
        <w:rPr>
          <w:rFonts w:cs="Arial"/>
          <w:rtl/>
        </w:rPr>
        <w:t xml:space="preserve"> כגון שטוען שמכרה לו השותף </w:t>
      </w:r>
      <w:r>
        <w:rPr>
          <w:rFonts w:cs="Arial" w:hint="cs"/>
          <w:rtl/>
        </w:rPr>
        <w:t xml:space="preserve">- </w:t>
      </w:r>
      <w:r w:rsidRPr="00F1347E">
        <w:rPr>
          <w:rFonts w:cs="Arial"/>
          <w:rtl/>
        </w:rPr>
        <w:t>יכול להעיד לו</w:t>
      </w:r>
      <w:r>
        <w:rPr>
          <w:rFonts w:cs="Arial" w:hint="cs"/>
          <w:rtl/>
        </w:rPr>
        <w:t>,</w:t>
      </w:r>
      <w:r w:rsidRPr="00F1347E">
        <w:rPr>
          <w:rFonts w:cs="Arial"/>
          <w:rtl/>
        </w:rPr>
        <w:t xml:space="preserve"> שאז אינו נוגע כלל בעדות</w:t>
      </w:r>
      <w:r w:rsidRPr="00F1347E">
        <w:rPr>
          <w:rFonts w:cs="Arial" w:hint="cs"/>
          <w:rtl/>
        </w:rPr>
        <w:t>.</w:t>
      </w:r>
      <w:r w:rsidRPr="00AE6573">
        <w:rPr>
          <w:rFonts w:hint="cs"/>
          <w:color w:val="E36C0A" w:themeColor="accent6" w:themeShade="BF"/>
          <w:rtl/>
        </w:rPr>
        <w:t xml:space="preserve"> </w:t>
      </w:r>
      <w:r w:rsidRPr="00397F13">
        <w:rPr>
          <w:rFonts w:hint="cs"/>
          <w:color w:val="E36C0A" w:themeColor="accent6" w:themeShade="BF"/>
          <w:rtl/>
        </w:rPr>
        <w:t>(וכ"פ בשו"ע)</w:t>
      </w:r>
    </w:p>
    <w:p w14:paraId="7DCBA0C0" w14:textId="77777777" w:rsidR="004B607F" w:rsidRPr="004F7C92" w:rsidRDefault="004B607F" w:rsidP="004B607F">
      <w:pPr>
        <w:rPr>
          <w:rFonts w:cs="Arial"/>
          <w:u w:val="single"/>
          <w:rtl/>
        </w:rPr>
      </w:pPr>
      <w:r w:rsidRPr="004F7C92">
        <w:rPr>
          <w:rFonts w:cs="Arial" w:hint="cs"/>
          <w:u w:val="single"/>
          <w:rtl/>
        </w:rPr>
        <w:t xml:space="preserve">כשמקנה השותף לחברו את השדה </w:t>
      </w:r>
      <w:r w:rsidRPr="004F7C92">
        <w:rPr>
          <w:rFonts w:cs="Arial"/>
          <w:u w:val="single"/>
          <w:rtl/>
        </w:rPr>
        <w:t>–</w:t>
      </w:r>
      <w:r w:rsidRPr="004F7C92">
        <w:rPr>
          <w:rFonts w:cs="Arial" w:hint="cs"/>
          <w:u w:val="single"/>
          <w:rtl/>
        </w:rPr>
        <w:t xml:space="preserve"> כיצד צריך לכתוב לו:</w:t>
      </w:r>
    </w:p>
    <w:p w14:paraId="07E2D998" w14:textId="77777777" w:rsidR="004B607F" w:rsidRDefault="004B607F" w:rsidP="004B0475">
      <w:pPr>
        <w:pStyle w:val="ac"/>
        <w:numPr>
          <w:ilvl w:val="0"/>
          <w:numId w:val="109"/>
        </w:numPr>
        <w:rPr>
          <w:rFonts w:cs="Arial"/>
        </w:rPr>
      </w:pPr>
      <w:r w:rsidRPr="004F7C92">
        <w:rPr>
          <w:rFonts w:cs="Arial"/>
          <w:rtl/>
        </w:rPr>
        <w:t xml:space="preserve">רש"י </w:t>
      </w:r>
      <w:r w:rsidRPr="004F7C92">
        <w:rPr>
          <w:rFonts w:cs="Arial"/>
          <w:sz w:val="16"/>
          <w:szCs w:val="16"/>
          <w:rtl/>
        </w:rPr>
        <w:t xml:space="preserve">(כתובות פג. ד"ה מהו) </w:t>
      </w:r>
      <w:r w:rsidRPr="004F7C92">
        <w:rPr>
          <w:rFonts w:cs="Arial"/>
          <w:rtl/>
        </w:rPr>
        <w:t>ורשב"ם</w:t>
      </w:r>
      <w:r>
        <w:rPr>
          <w:rFonts w:cs="Arial" w:hint="cs"/>
          <w:rtl/>
        </w:rPr>
        <w:t xml:space="preserve"> </w:t>
      </w:r>
      <w:r w:rsidRPr="004F7C92">
        <w:rPr>
          <w:rFonts w:cs="Arial"/>
          <w:sz w:val="16"/>
          <w:szCs w:val="16"/>
          <w:rtl/>
        </w:rPr>
        <w:t>(</w:t>
      </w:r>
      <w:r>
        <w:rPr>
          <w:rFonts w:cs="Arial" w:hint="cs"/>
          <w:sz w:val="16"/>
          <w:szCs w:val="16"/>
          <w:rtl/>
        </w:rPr>
        <w:t>כ"כ הג"א בשמם [</w:t>
      </w:r>
      <w:r w:rsidRPr="004F7C92">
        <w:rPr>
          <w:rFonts w:cs="Arial"/>
          <w:sz w:val="16"/>
          <w:szCs w:val="16"/>
          <w:rtl/>
        </w:rPr>
        <w:t>סי' לט</w:t>
      </w:r>
      <w:r>
        <w:rPr>
          <w:rFonts w:cs="Arial" w:hint="cs"/>
          <w:sz w:val="16"/>
          <w:szCs w:val="16"/>
          <w:rtl/>
        </w:rPr>
        <w:t>]</w:t>
      </w:r>
      <w:r w:rsidRPr="004F7C92">
        <w:rPr>
          <w:rFonts w:cs="Arial" w:hint="cs"/>
          <w:sz w:val="16"/>
          <w:szCs w:val="16"/>
          <w:rtl/>
        </w:rPr>
        <w:t>)</w:t>
      </w:r>
      <w:r>
        <w:rPr>
          <w:rFonts w:cs="Arial" w:hint="cs"/>
          <w:rtl/>
        </w:rPr>
        <w:t>-</w:t>
      </w:r>
      <w:r w:rsidRPr="004F7C92">
        <w:rPr>
          <w:rFonts w:cs="Arial"/>
          <w:rtl/>
        </w:rPr>
        <w:t xml:space="preserve"> מהני בשקנו מידם אפילו אם כתב לו בזה הלשון</w:t>
      </w:r>
      <w:r>
        <w:rPr>
          <w:rFonts w:cs="Arial" w:hint="cs"/>
          <w:rtl/>
        </w:rPr>
        <w:t xml:space="preserve"> -</w:t>
      </w:r>
      <w:r w:rsidRPr="004F7C92">
        <w:rPr>
          <w:rFonts w:cs="Arial"/>
          <w:rtl/>
        </w:rPr>
        <w:t xml:space="preserve"> </w:t>
      </w:r>
      <w:r w:rsidRPr="004F7C92">
        <w:rPr>
          <w:rFonts w:cs="Arial" w:hint="cs"/>
          <w:rtl/>
        </w:rPr>
        <w:t>'</w:t>
      </w:r>
      <w:r w:rsidRPr="004F7C92">
        <w:rPr>
          <w:rFonts w:cs="Arial"/>
          <w:rtl/>
        </w:rPr>
        <w:t>דין ודברים אין לי על שדה זו</w:t>
      </w:r>
      <w:r w:rsidRPr="004F7C92">
        <w:rPr>
          <w:rFonts w:cs="Arial" w:hint="cs"/>
          <w:rtl/>
        </w:rPr>
        <w:t>'</w:t>
      </w:r>
      <w:r>
        <w:rPr>
          <w:rFonts w:cs="Arial" w:hint="cs"/>
          <w:rtl/>
        </w:rPr>
        <w:t>.</w:t>
      </w:r>
      <w:r w:rsidRPr="004F7C92">
        <w:rPr>
          <w:rFonts w:cs="Arial"/>
          <w:rtl/>
        </w:rPr>
        <w:t xml:space="preserve"> </w:t>
      </w:r>
    </w:p>
    <w:p w14:paraId="24C248CE" w14:textId="77777777" w:rsidR="004B607F" w:rsidRPr="004F7C92" w:rsidRDefault="004B607F" w:rsidP="004B0475">
      <w:pPr>
        <w:pStyle w:val="ac"/>
        <w:numPr>
          <w:ilvl w:val="0"/>
          <w:numId w:val="109"/>
        </w:numPr>
        <w:rPr>
          <w:rFonts w:cs="Arial"/>
          <w:rtl/>
        </w:rPr>
      </w:pPr>
      <w:r w:rsidRPr="004F7C92">
        <w:rPr>
          <w:rFonts w:cs="Arial"/>
          <w:rtl/>
        </w:rPr>
        <w:lastRenderedPageBreak/>
        <w:t>ר</w:t>
      </w:r>
      <w:r w:rsidRPr="004F7C92">
        <w:rPr>
          <w:rFonts w:cs="Arial" w:hint="cs"/>
          <w:rtl/>
        </w:rPr>
        <w:t>"ח</w:t>
      </w:r>
      <w:r w:rsidRPr="004F7C92">
        <w:rPr>
          <w:rFonts w:cs="Arial"/>
          <w:rtl/>
        </w:rPr>
        <w:t xml:space="preserve"> רי"ף ר"י בר שמואל וריב"ם</w:t>
      </w:r>
      <w:r>
        <w:rPr>
          <w:rFonts w:cs="Arial" w:hint="cs"/>
          <w:rtl/>
        </w:rPr>
        <w:t xml:space="preserve"> </w:t>
      </w:r>
      <w:r w:rsidRPr="004F7C92">
        <w:rPr>
          <w:rFonts w:cs="Arial"/>
          <w:sz w:val="16"/>
          <w:szCs w:val="16"/>
          <w:rtl/>
        </w:rPr>
        <w:t>(</w:t>
      </w:r>
      <w:r>
        <w:rPr>
          <w:rFonts w:cs="Arial" w:hint="cs"/>
          <w:sz w:val="16"/>
          <w:szCs w:val="16"/>
          <w:rtl/>
        </w:rPr>
        <w:t>כ"כ הג"א בשמם [</w:t>
      </w:r>
      <w:r w:rsidRPr="004F7C92">
        <w:rPr>
          <w:rFonts w:cs="Arial"/>
          <w:sz w:val="16"/>
          <w:szCs w:val="16"/>
          <w:rtl/>
        </w:rPr>
        <w:t>סי' לט</w:t>
      </w:r>
      <w:r>
        <w:rPr>
          <w:rFonts w:cs="Arial" w:hint="cs"/>
          <w:sz w:val="16"/>
          <w:szCs w:val="16"/>
          <w:rtl/>
        </w:rPr>
        <w:t>]</w:t>
      </w:r>
      <w:r w:rsidRPr="004F7C92">
        <w:rPr>
          <w:rFonts w:cs="Arial" w:hint="cs"/>
          <w:sz w:val="16"/>
          <w:szCs w:val="16"/>
          <w:rtl/>
        </w:rPr>
        <w:t>)</w:t>
      </w:r>
      <w:r>
        <w:rPr>
          <w:rFonts w:cs="Arial" w:hint="cs"/>
          <w:rtl/>
        </w:rPr>
        <w:t>-</w:t>
      </w:r>
      <w:r w:rsidRPr="004F7C92">
        <w:rPr>
          <w:rFonts w:cs="Arial"/>
          <w:rtl/>
        </w:rPr>
        <w:t xml:space="preserve"> לא מהני בזה הלשון </w:t>
      </w:r>
      <w:r>
        <w:rPr>
          <w:rFonts w:cs="Arial" w:hint="cs"/>
          <w:sz w:val="16"/>
          <w:szCs w:val="16"/>
          <w:rtl/>
        </w:rPr>
        <w:t>{היינו 'דין ודברים אין לי על שדה זו'}</w:t>
      </w:r>
      <w:r>
        <w:rPr>
          <w:rFonts w:cs="Arial" w:hint="cs"/>
          <w:rtl/>
        </w:rPr>
        <w:t xml:space="preserve"> </w:t>
      </w:r>
      <w:r w:rsidRPr="004F7C92">
        <w:rPr>
          <w:rFonts w:cs="Arial"/>
          <w:rtl/>
        </w:rPr>
        <w:t>עד שיקנו מידו בפירוש מגופה של קרקע</w:t>
      </w:r>
      <w:r>
        <w:rPr>
          <w:rFonts w:cs="Arial" w:hint="cs"/>
          <w:rtl/>
        </w:rPr>
        <w:t>.</w:t>
      </w:r>
      <w:r w:rsidRPr="004F7C92">
        <w:rPr>
          <w:rFonts w:cs="Arial"/>
          <w:rtl/>
        </w:rPr>
        <w:t xml:space="preserve"> אבל אם לא קנו מידו </w:t>
      </w:r>
      <w:r>
        <w:rPr>
          <w:rFonts w:cs="Arial" w:hint="cs"/>
          <w:rtl/>
        </w:rPr>
        <w:t xml:space="preserve">- </w:t>
      </w:r>
      <w:r w:rsidRPr="004F7C92">
        <w:rPr>
          <w:rFonts w:cs="Arial"/>
          <w:rtl/>
        </w:rPr>
        <w:t>מצי אמר מדין ודברים סליק נפשיה ולא סליק נפשיה משדה ההיא</w:t>
      </w:r>
      <w:r w:rsidRPr="004F7C92">
        <w:rPr>
          <w:rFonts w:cs="Arial" w:hint="cs"/>
          <w:rtl/>
        </w:rPr>
        <w:t>.</w:t>
      </w:r>
      <w:r>
        <w:rPr>
          <w:rFonts w:cs="Arial" w:hint="cs"/>
          <w:rtl/>
        </w:rPr>
        <w:t xml:space="preserve"> (וכ"פ הסמ"ע</w:t>
      </w:r>
      <w:r>
        <w:rPr>
          <w:rFonts w:cs="Arial" w:hint="cs"/>
          <w:sz w:val="16"/>
          <w:szCs w:val="16"/>
          <w:rtl/>
        </w:rPr>
        <w:t xml:space="preserve"> [סק"ז]</w:t>
      </w:r>
      <w:r>
        <w:rPr>
          <w:rFonts w:cs="Arial" w:hint="cs"/>
          <w:rtl/>
        </w:rPr>
        <w:t>)</w:t>
      </w:r>
    </w:p>
    <w:p w14:paraId="4C6FBD3C" w14:textId="77777777" w:rsidR="004B607F" w:rsidRPr="003024E5" w:rsidRDefault="004B607F" w:rsidP="004B607F">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75BB7BB0" w14:textId="77777777" w:rsidR="004B607F" w:rsidRDefault="004B607F" w:rsidP="004B607F">
      <w:pPr>
        <w:rPr>
          <w:rtl/>
        </w:rPr>
      </w:pPr>
      <w:r>
        <w:rPr>
          <w:rFonts w:cs="Arial"/>
          <w:rtl/>
        </w:rPr>
        <w:t>כל עדות שיש לאדם הנאה בה, פסול להעיד</w:t>
      </w:r>
      <w:r>
        <w:rPr>
          <w:rStyle w:val="ab"/>
          <w:rFonts w:cs="Arial"/>
          <w:rtl/>
        </w:rPr>
        <w:footnoteReference w:id="2662"/>
      </w:r>
      <w:r>
        <w:rPr>
          <w:rFonts w:cs="Arial" w:hint="cs"/>
          <w:rtl/>
        </w:rPr>
        <w:t>.</w:t>
      </w:r>
      <w:r>
        <w:rPr>
          <w:rFonts w:cs="Arial"/>
          <w:rtl/>
        </w:rPr>
        <w:t xml:space="preserve"> לפיכך קרקע של שני שותפים, ובא אח</w:t>
      </w:r>
      <w:r>
        <w:rPr>
          <w:rFonts w:cs="Arial" w:hint="cs"/>
          <w:rtl/>
        </w:rPr>
        <w:t>ד</w:t>
      </w:r>
      <w:r>
        <w:rPr>
          <w:rFonts w:cs="Arial"/>
          <w:rtl/>
        </w:rPr>
        <w:t xml:space="preserve"> להוציא</w:t>
      </w:r>
      <w:r>
        <w:rPr>
          <w:rFonts w:cs="Arial" w:hint="cs"/>
          <w:rtl/>
        </w:rPr>
        <w:t>ה</w:t>
      </w:r>
      <w:r>
        <w:rPr>
          <w:rFonts w:cs="Arial"/>
          <w:rtl/>
        </w:rPr>
        <w:t xml:space="preserve"> מתחת יד האחד</w:t>
      </w:r>
      <w:r>
        <w:rPr>
          <w:rStyle w:val="ab"/>
          <w:rFonts w:cs="Arial"/>
          <w:rtl/>
        </w:rPr>
        <w:footnoteReference w:id="2663"/>
      </w:r>
      <w:r>
        <w:rPr>
          <w:rFonts w:cs="Arial"/>
          <w:rtl/>
        </w:rPr>
        <w:t>, לומר שאותו שמכרה להם גזלה ממנו</w:t>
      </w:r>
      <w:r>
        <w:rPr>
          <w:rStyle w:val="ab"/>
          <w:rFonts w:cs="Arial"/>
          <w:rtl/>
        </w:rPr>
        <w:footnoteReference w:id="2664"/>
      </w:r>
      <w:r>
        <w:rPr>
          <w:rFonts w:cs="Arial"/>
          <w:rtl/>
        </w:rPr>
        <w:t>, אין שותפו מעיד לו עליה לפסול עידי המערער, ואפילו על חלק השותף לא יועיל עדותו</w:t>
      </w:r>
      <w:r>
        <w:rPr>
          <w:rStyle w:val="ab"/>
          <w:rFonts w:cs="Arial"/>
          <w:rtl/>
        </w:rPr>
        <w:footnoteReference w:id="2665"/>
      </w:r>
      <w:r>
        <w:rPr>
          <w:rFonts w:cs="Arial"/>
          <w:rtl/>
        </w:rPr>
        <w:t xml:space="preserve"> אלא אם כן סלק עצמו ממנה</w:t>
      </w:r>
      <w:r>
        <w:rPr>
          <w:rStyle w:val="ab"/>
          <w:rFonts w:cs="Arial"/>
          <w:rtl/>
        </w:rPr>
        <w:footnoteReference w:id="2666"/>
      </w:r>
      <w:r>
        <w:rPr>
          <w:rFonts w:cs="Arial"/>
          <w:rtl/>
        </w:rPr>
        <w:t xml:space="preserve"> וקנו מידו שנתנו לשותף. ואפילו לא סלק עצמו עד לאחר הערעור, מהני</w:t>
      </w:r>
      <w:r>
        <w:rPr>
          <w:rStyle w:val="ab"/>
          <w:rFonts w:cs="Arial"/>
          <w:rtl/>
        </w:rPr>
        <w:footnoteReference w:id="2667"/>
      </w:r>
      <w:r>
        <w:rPr>
          <w:rFonts w:cs="Arial" w:hint="cs"/>
          <w:rtl/>
        </w:rPr>
        <w:t>.</w:t>
      </w:r>
      <w:r>
        <w:rPr>
          <w:rFonts w:cs="Arial"/>
          <w:rtl/>
        </w:rPr>
        <w:t xml:space="preserve"> וצריך שיקבל עליו שאם יבא בע</w:t>
      </w:r>
      <w:r>
        <w:rPr>
          <w:rFonts w:cs="Arial" w:hint="cs"/>
          <w:rtl/>
        </w:rPr>
        <w:t xml:space="preserve">ל </w:t>
      </w:r>
      <w:r>
        <w:rPr>
          <w:rFonts w:cs="Arial"/>
          <w:rtl/>
        </w:rPr>
        <w:t>ח</w:t>
      </w:r>
      <w:r>
        <w:rPr>
          <w:rFonts w:cs="Arial" w:hint="cs"/>
          <w:rtl/>
        </w:rPr>
        <w:t>וב</w:t>
      </w:r>
      <w:r>
        <w:rPr>
          <w:rFonts w:cs="Arial"/>
          <w:rtl/>
        </w:rPr>
        <w:t xml:space="preserve"> ויטרפנה מיד השותף ישלם לו דמיה. וצריך להתנות שאם יבא לחטפה ממנו בטענות אחרות לומר שהיתה גזולה בידו וכיוצא בזה שאינו מקבל אחריות</w:t>
      </w:r>
      <w:r>
        <w:rPr>
          <w:rStyle w:val="ab"/>
          <w:rFonts w:cs="Arial"/>
          <w:rtl/>
        </w:rPr>
        <w:footnoteReference w:id="2668"/>
      </w:r>
      <w:r>
        <w:rPr>
          <w:rFonts w:cs="Arial"/>
          <w:rtl/>
        </w:rPr>
        <w:t>. אבל אם אין המערער טוען אלא על חלק השותף בלבד, כגון שטוען שמכרה לו השותף, יכול להעיד לו</w:t>
      </w:r>
      <w:r>
        <w:rPr>
          <w:rFonts w:cs="Arial" w:hint="cs"/>
          <w:rtl/>
        </w:rPr>
        <w:t>,</w:t>
      </w:r>
      <w:r>
        <w:rPr>
          <w:rFonts w:cs="Arial"/>
          <w:rtl/>
        </w:rPr>
        <w:t xml:space="preserve"> שאז אינו נוגע בעדות כלל. </w:t>
      </w:r>
    </w:p>
    <w:p w14:paraId="3485076C" w14:textId="77777777" w:rsidR="004B607F" w:rsidRDefault="004B607F" w:rsidP="004B607F">
      <w:pPr>
        <w:rPr>
          <w:rtl/>
        </w:rPr>
      </w:pPr>
    </w:p>
    <w:p w14:paraId="6E7A9711" w14:textId="77777777" w:rsidR="004B607F" w:rsidRDefault="004B607F" w:rsidP="004B607F">
      <w:pPr>
        <w:pStyle w:val="2"/>
        <w:rPr>
          <w:rtl/>
        </w:rPr>
      </w:pPr>
      <w:bookmarkStart w:id="356" w:name="_Toc24883803"/>
      <w:r>
        <w:rPr>
          <w:rtl/>
        </w:rPr>
        <w:t>סעיף ב</w:t>
      </w:r>
      <w:r>
        <w:rPr>
          <w:rFonts w:hint="cs"/>
          <w:rtl/>
        </w:rPr>
        <w:t>: אריס שרוצה להעיד לבעל שדהו.</w:t>
      </w:r>
      <w:bookmarkEnd w:id="356"/>
    </w:p>
    <w:p w14:paraId="70026966" w14:textId="77777777" w:rsidR="004B607F" w:rsidRDefault="004B607F" w:rsidP="004B607F">
      <w:pPr>
        <w:rPr>
          <w:rFonts w:cs="Arial"/>
          <w:rtl/>
        </w:rPr>
      </w:pPr>
      <w:r w:rsidRPr="00092023">
        <w:rPr>
          <w:rFonts w:cs="Arial"/>
          <w:b/>
          <w:bCs/>
          <w:rtl/>
        </w:rPr>
        <w:t>בב</w:t>
      </w:r>
      <w:r w:rsidRPr="00092023">
        <w:rPr>
          <w:rFonts w:cs="Arial" w:hint="cs"/>
          <w:b/>
          <w:bCs/>
          <w:rtl/>
        </w:rPr>
        <w:t xml:space="preserve">א בתרא </w:t>
      </w:r>
      <w:r w:rsidRPr="00092023">
        <w:rPr>
          <w:rFonts w:cs="Arial" w:hint="cs"/>
          <w:b/>
          <w:bCs/>
          <w:sz w:val="16"/>
          <w:szCs w:val="16"/>
          <w:rtl/>
        </w:rPr>
        <w:t>(</w:t>
      </w:r>
      <w:r w:rsidRPr="00092023">
        <w:rPr>
          <w:rFonts w:cs="Arial"/>
          <w:b/>
          <w:bCs/>
          <w:sz w:val="16"/>
          <w:szCs w:val="16"/>
          <w:rtl/>
        </w:rPr>
        <w:t>פרק חזקת</w:t>
      </w:r>
      <w:r w:rsidRPr="00092023">
        <w:rPr>
          <w:rFonts w:cs="Arial" w:hint="cs"/>
          <w:b/>
          <w:bCs/>
          <w:sz w:val="16"/>
          <w:szCs w:val="16"/>
          <w:rtl/>
        </w:rPr>
        <w:t>)</w:t>
      </w:r>
      <w:r w:rsidRPr="00092023">
        <w:rPr>
          <w:rFonts w:cs="Arial"/>
          <w:b/>
          <w:bCs/>
          <w:sz w:val="16"/>
          <w:szCs w:val="16"/>
          <w:rtl/>
        </w:rPr>
        <w:t xml:space="preserve"> </w:t>
      </w:r>
      <w:r w:rsidRPr="00092023">
        <w:rPr>
          <w:rFonts w:cs="Arial"/>
          <w:b/>
          <w:bCs/>
          <w:rtl/>
        </w:rPr>
        <w:t>מ</w:t>
      </w:r>
      <w:r>
        <w:rPr>
          <w:rFonts w:cs="Arial" w:hint="cs"/>
          <w:b/>
          <w:bCs/>
          <w:rtl/>
        </w:rPr>
        <w:t>ו</w:t>
      </w:r>
      <w:r>
        <w:rPr>
          <w:rStyle w:val="ab"/>
          <w:rFonts w:cs="Arial"/>
          <w:b/>
          <w:bCs/>
          <w:rtl/>
        </w:rPr>
        <w:footnoteReference w:id="2669"/>
      </w:r>
      <w:r w:rsidRPr="00092023">
        <w:rPr>
          <w:rFonts w:cs="Arial" w:hint="cs"/>
          <w:b/>
          <w:bCs/>
          <w:rtl/>
        </w:rPr>
        <w:t xml:space="preserve"> ע"ב</w:t>
      </w:r>
      <w:r w:rsidRPr="00092023">
        <w:rPr>
          <w:rFonts w:cs="Arial"/>
          <w:b/>
          <w:bCs/>
          <w:rtl/>
        </w:rPr>
        <w:t>:</w:t>
      </w:r>
      <w:r>
        <w:rPr>
          <w:rFonts w:cs="Arial"/>
          <w:rtl/>
        </w:rPr>
        <w:t xml:space="preserve"> </w:t>
      </w:r>
      <w:r w:rsidRPr="00B17F09">
        <w:rPr>
          <w:rFonts w:cs="Arial"/>
          <w:u w:val="single"/>
          <w:rtl/>
        </w:rPr>
        <w:t>שלח ליה ר"נ בר רב חסדא לר"נ בר יעקב</w:t>
      </w:r>
      <w:r>
        <w:rPr>
          <w:rFonts w:cs="Arial" w:hint="cs"/>
          <w:rtl/>
        </w:rPr>
        <w:t>:</w:t>
      </w:r>
      <w:r w:rsidRPr="00B17F09">
        <w:rPr>
          <w:rFonts w:cs="Arial"/>
          <w:rtl/>
        </w:rPr>
        <w:t xml:space="preserve"> ילמדנו רבינו</w:t>
      </w:r>
      <w:r>
        <w:rPr>
          <w:rFonts w:cs="Arial" w:hint="cs"/>
          <w:rtl/>
        </w:rPr>
        <w:t>,</w:t>
      </w:r>
      <w:r w:rsidRPr="00B17F09">
        <w:rPr>
          <w:rFonts w:cs="Arial"/>
          <w:rtl/>
        </w:rPr>
        <w:t xml:space="preserve"> אריס</w:t>
      </w:r>
      <w:r>
        <w:rPr>
          <w:rStyle w:val="ab"/>
          <w:rFonts w:cs="Arial"/>
          <w:rtl/>
        </w:rPr>
        <w:footnoteReference w:id="2670"/>
      </w:r>
      <w:r w:rsidRPr="00B17F09">
        <w:rPr>
          <w:rFonts w:cs="Arial"/>
          <w:rtl/>
        </w:rPr>
        <w:t xml:space="preserve"> מעיד או אינו מעיד? </w:t>
      </w:r>
      <w:r w:rsidRPr="00B17F09">
        <w:rPr>
          <w:rFonts w:cs="Arial"/>
          <w:u w:val="single"/>
          <w:rtl/>
        </w:rPr>
        <w:t>הוה יתיב רב יוסף קמיה, אמר ליה</w:t>
      </w:r>
      <w:r>
        <w:rPr>
          <w:rFonts w:cs="Arial" w:hint="cs"/>
          <w:u w:val="single"/>
          <w:rtl/>
        </w:rPr>
        <w:t xml:space="preserve"> </w:t>
      </w:r>
      <w:r w:rsidRPr="00A46019">
        <w:rPr>
          <w:rFonts w:cs="Arial"/>
          <w:u w:val="single"/>
          <w:rtl/>
        </w:rPr>
        <w:t>הכי אמר שמואל</w:t>
      </w:r>
      <w:r>
        <w:rPr>
          <w:rFonts w:cs="Arial" w:hint="cs"/>
          <w:rtl/>
        </w:rPr>
        <w:t>:</w:t>
      </w:r>
      <w:r w:rsidRPr="00B17F09">
        <w:rPr>
          <w:rFonts w:cs="Arial"/>
          <w:rtl/>
        </w:rPr>
        <w:t xml:space="preserve"> אריס מעיד. והתניא: אינו מעיד! לא קשיא: הא דאיכא פירא בארעא</w:t>
      </w:r>
      <w:r>
        <w:rPr>
          <w:rStyle w:val="ab"/>
          <w:rFonts w:cs="Arial"/>
          <w:rtl/>
        </w:rPr>
        <w:footnoteReference w:id="2671"/>
      </w:r>
      <w:r w:rsidRPr="00B17F09">
        <w:rPr>
          <w:rFonts w:cs="Arial"/>
          <w:rtl/>
        </w:rPr>
        <w:t>, והא דליכא פירא בארעא</w:t>
      </w:r>
      <w:r>
        <w:rPr>
          <w:rStyle w:val="ab"/>
          <w:rFonts w:cs="Arial"/>
          <w:rtl/>
        </w:rPr>
        <w:footnoteReference w:id="2672"/>
      </w:r>
      <w:r w:rsidRPr="00B17F09">
        <w:rPr>
          <w:rFonts w:cs="Arial"/>
          <w:rtl/>
        </w:rPr>
        <w:t xml:space="preserve">. </w:t>
      </w:r>
    </w:p>
    <w:p w14:paraId="27926292" w14:textId="77777777" w:rsidR="004B607F" w:rsidRPr="007C1C9A" w:rsidRDefault="004B607F" w:rsidP="004B607F">
      <w:pPr>
        <w:rPr>
          <w:rFonts w:cs="Arial"/>
          <w:u w:val="single"/>
          <w:rtl/>
        </w:rPr>
      </w:pPr>
      <w:r w:rsidRPr="007C1C9A">
        <w:rPr>
          <w:rFonts w:hint="cs"/>
          <w:u w:val="single"/>
          <w:rtl/>
        </w:rPr>
        <w:t>אריס שרוצה להעיד לבעל שדהו</w:t>
      </w:r>
      <w:r w:rsidRPr="007C1C9A">
        <w:rPr>
          <w:rFonts w:cs="Arial" w:hint="cs"/>
          <w:u w:val="single"/>
          <w:rtl/>
        </w:rPr>
        <w:t>:</w:t>
      </w:r>
    </w:p>
    <w:p w14:paraId="35DC3FE6" w14:textId="77777777" w:rsidR="004B607F" w:rsidRDefault="004B607F" w:rsidP="004B0475">
      <w:pPr>
        <w:pStyle w:val="ac"/>
        <w:numPr>
          <w:ilvl w:val="0"/>
          <w:numId w:val="110"/>
        </w:numPr>
      </w:pPr>
      <w:r w:rsidRPr="00B17F09">
        <w:rPr>
          <w:rFonts w:cs="Arial" w:hint="cs"/>
          <w:rtl/>
        </w:rPr>
        <w:t>טור-</w:t>
      </w:r>
      <w:r w:rsidRPr="00B17F09">
        <w:rPr>
          <w:rFonts w:cs="Arial"/>
          <w:rtl/>
        </w:rPr>
        <w:t xml:space="preserve"> אריס אינו מעיד לבעל השדה להעמידה בידו כשיש בה פירות</w:t>
      </w:r>
      <w:r w:rsidRPr="00B17F09">
        <w:rPr>
          <w:rFonts w:cs="Arial" w:hint="cs"/>
          <w:rtl/>
        </w:rPr>
        <w:t>,</w:t>
      </w:r>
      <w:r w:rsidRPr="00B17F09">
        <w:rPr>
          <w:rFonts w:cs="Arial"/>
          <w:rtl/>
        </w:rPr>
        <w:t xml:space="preserve"> דשמא מעיד כדי להעמידה בידו כדי שיטול חלקו בפירות</w:t>
      </w:r>
      <w:r>
        <w:rPr>
          <w:rFonts w:cs="Arial" w:hint="cs"/>
          <w:rtl/>
        </w:rPr>
        <w:t>.</w:t>
      </w:r>
      <w:r w:rsidRPr="00B17F09">
        <w:rPr>
          <w:rFonts w:cs="Arial"/>
          <w:rtl/>
        </w:rPr>
        <w:t xml:space="preserve"> ואם אין בה פירות </w:t>
      </w:r>
      <w:r>
        <w:rPr>
          <w:rFonts w:cs="Arial" w:hint="cs"/>
          <w:rtl/>
        </w:rPr>
        <w:t xml:space="preserve">- </w:t>
      </w:r>
      <w:r w:rsidRPr="00B17F09">
        <w:rPr>
          <w:rFonts w:cs="Arial"/>
          <w:rtl/>
        </w:rPr>
        <w:t>מעיד לו</w:t>
      </w:r>
      <w:r>
        <w:rPr>
          <w:rStyle w:val="ab"/>
          <w:rFonts w:cs="Arial"/>
          <w:rtl/>
        </w:rPr>
        <w:footnoteReference w:id="2673"/>
      </w:r>
      <w:r>
        <w:rPr>
          <w:rFonts w:cs="Arial" w:hint="cs"/>
          <w:sz w:val="16"/>
          <w:szCs w:val="16"/>
          <w:rtl/>
        </w:rPr>
        <w:t xml:space="preserve"> (ל' הטור)</w:t>
      </w:r>
      <w:r w:rsidRPr="00B17F09">
        <w:rPr>
          <w:rFonts w:cs="Arial" w:hint="cs"/>
          <w:rtl/>
        </w:rPr>
        <w:t>.</w:t>
      </w:r>
      <w:r>
        <w:rPr>
          <w:rFonts w:hint="cs"/>
          <w:rtl/>
        </w:rPr>
        <w:t xml:space="preserve"> </w:t>
      </w:r>
      <w:r w:rsidRPr="00397F13">
        <w:rPr>
          <w:rFonts w:hint="cs"/>
          <w:color w:val="E36C0A" w:themeColor="accent6" w:themeShade="BF"/>
          <w:rtl/>
        </w:rPr>
        <w:t>(וכ"פ בשו"ע)</w:t>
      </w:r>
    </w:p>
    <w:p w14:paraId="5D8C319F" w14:textId="77777777" w:rsidR="004B607F" w:rsidRPr="00397F13" w:rsidRDefault="004B607F" w:rsidP="004B0475">
      <w:pPr>
        <w:pStyle w:val="ac"/>
        <w:numPr>
          <w:ilvl w:val="0"/>
          <w:numId w:val="110"/>
        </w:numPr>
        <w:rPr>
          <w:rFonts w:cs="Arial"/>
        </w:rPr>
      </w:pPr>
      <w:r w:rsidRPr="00B17F09">
        <w:rPr>
          <w:rFonts w:cs="Arial"/>
          <w:rtl/>
        </w:rPr>
        <w:lastRenderedPageBreak/>
        <w:t>ר"י</w:t>
      </w:r>
      <w:r>
        <w:rPr>
          <w:rFonts w:cs="Arial" w:hint="cs"/>
          <w:sz w:val="16"/>
          <w:szCs w:val="16"/>
          <w:rtl/>
        </w:rPr>
        <w:t xml:space="preserve"> (כ"כ הטור בשמו)</w:t>
      </w:r>
      <w:r>
        <w:rPr>
          <w:rFonts w:cs="Arial" w:hint="cs"/>
          <w:rtl/>
        </w:rPr>
        <w:t>-</w:t>
      </w:r>
      <w:r w:rsidRPr="00B17F09">
        <w:rPr>
          <w:rFonts w:cs="Arial"/>
          <w:rtl/>
        </w:rPr>
        <w:t xml:space="preserve"> אפילו אם אית בה פירי בארעא מעיד שאפי' אם יטרפנה המערער יטול האריס חלקו דחשיב כיורד ברשות</w:t>
      </w:r>
      <w:r w:rsidRPr="00B17F09">
        <w:rPr>
          <w:rFonts w:cs="Arial" w:hint="cs"/>
          <w:rtl/>
        </w:rPr>
        <w:t>,</w:t>
      </w:r>
      <w:r w:rsidRPr="00B17F09">
        <w:rPr>
          <w:rFonts w:cs="Arial"/>
          <w:rtl/>
        </w:rPr>
        <w:t xml:space="preserve"> אלא היכא שהתנה בעל השדה ליתן לאריס יותר מלאריסי העיר שאז אינו מעיד דשמא המערער לא ירצה ליתן לו אלא כמו לשאר אריסי העיר</w:t>
      </w:r>
      <w:r w:rsidRPr="00B17F09">
        <w:rPr>
          <w:rFonts w:cs="Arial" w:hint="cs"/>
          <w:rtl/>
        </w:rPr>
        <w:t>.</w:t>
      </w:r>
      <w:r w:rsidRPr="00B17F09">
        <w:rPr>
          <w:rFonts w:cs="Arial"/>
          <w:rtl/>
        </w:rPr>
        <w:t xml:space="preserve"> </w:t>
      </w:r>
    </w:p>
    <w:p w14:paraId="66587D25" w14:textId="77777777" w:rsidR="004B607F" w:rsidRPr="000C7184" w:rsidRDefault="004B607F" w:rsidP="004B607F">
      <w:pPr>
        <w:ind w:left="360"/>
        <w:rPr>
          <w:rFonts w:cs="Arial"/>
          <w:u w:val="dotted"/>
          <w:rtl/>
        </w:rPr>
      </w:pPr>
      <w:r w:rsidRPr="000C7184">
        <w:rPr>
          <w:rFonts w:cs="Arial" w:hint="cs"/>
          <w:u w:val="dotted"/>
          <w:rtl/>
        </w:rPr>
        <w:t>הא דאריס מעיד כשאין פיר</w:t>
      </w:r>
      <w:r>
        <w:rPr>
          <w:rFonts w:cs="Arial" w:hint="cs"/>
          <w:u w:val="dotted"/>
          <w:rtl/>
        </w:rPr>
        <w:t>י</w:t>
      </w:r>
      <w:r w:rsidRPr="000C7184">
        <w:rPr>
          <w:rFonts w:cs="Arial" w:hint="cs"/>
          <w:u w:val="dotted"/>
          <w:rtl/>
        </w:rPr>
        <w:t xml:space="preserve"> בארעא </w:t>
      </w:r>
      <w:r w:rsidRPr="000C7184">
        <w:rPr>
          <w:rFonts w:cs="Arial"/>
          <w:u w:val="dotted"/>
          <w:rtl/>
        </w:rPr>
        <w:t>–</w:t>
      </w:r>
      <w:r w:rsidRPr="000C7184">
        <w:rPr>
          <w:rFonts w:cs="Arial" w:hint="cs"/>
          <w:u w:val="dotted"/>
          <w:rtl/>
        </w:rPr>
        <w:t xml:space="preserve"> האם מדובר שטרח משהו בשנה זו </w:t>
      </w:r>
      <w:r w:rsidRPr="000C7184">
        <w:rPr>
          <w:rFonts w:cs="Arial" w:hint="cs"/>
          <w:sz w:val="16"/>
          <w:szCs w:val="16"/>
          <w:u w:val="dotted"/>
          <w:rtl/>
        </w:rPr>
        <w:t>(כגון חרישה</w:t>
      </w:r>
      <w:r>
        <w:rPr>
          <w:rFonts w:cs="Arial" w:hint="cs"/>
          <w:sz w:val="16"/>
          <w:szCs w:val="16"/>
          <w:u w:val="dotted"/>
          <w:rtl/>
        </w:rPr>
        <w:t xml:space="preserve"> ו</w:t>
      </w:r>
      <w:r w:rsidRPr="000C7184">
        <w:rPr>
          <w:rFonts w:cs="Arial" w:hint="cs"/>
          <w:sz w:val="16"/>
          <w:szCs w:val="16"/>
          <w:u w:val="dotted"/>
          <w:rtl/>
        </w:rPr>
        <w:t>זריעה)</w:t>
      </w:r>
      <w:r w:rsidRPr="000C7184">
        <w:rPr>
          <w:rFonts w:cs="Arial" w:hint="cs"/>
          <w:u w:val="dotted"/>
          <w:rtl/>
        </w:rPr>
        <w:t xml:space="preserve"> או דלא טרח מידי:</w:t>
      </w:r>
    </w:p>
    <w:p w14:paraId="6BC5F338" w14:textId="77777777" w:rsidR="004B607F" w:rsidRPr="00B17F09" w:rsidRDefault="004B607F" w:rsidP="004B0475">
      <w:pPr>
        <w:pStyle w:val="ac"/>
        <w:numPr>
          <w:ilvl w:val="0"/>
          <w:numId w:val="110"/>
        </w:numPr>
        <w:rPr>
          <w:rFonts w:cs="Arial"/>
          <w:rtl/>
        </w:rPr>
      </w:pPr>
      <w:r w:rsidRPr="00B17F09">
        <w:rPr>
          <w:rFonts w:cs="Arial"/>
          <w:rtl/>
        </w:rPr>
        <w:t>רשב"ם</w:t>
      </w:r>
      <w:r>
        <w:rPr>
          <w:rFonts w:cs="Arial" w:hint="cs"/>
          <w:sz w:val="16"/>
          <w:szCs w:val="16"/>
          <w:rtl/>
        </w:rPr>
        <w:t xml:space="preserve"> (ד"ה דליכא פירא)</w:t>
      </w:r>
      <w:r>
        <w:rPr>
          <w:rFonts w:cs="Arial" w:hint="cs"/>
          <w:rtl/>
        </w:rPr>
        <w:t>-</w:t>
      </w:r>
      <w:r w:rsidRPr="00B17F09">
        <w:rPr>
          <w:rFonts w:cs="Arial"/>
          <w:rtl/>
        </w:rPr>
        <w:t xml:space="preserve"> </w:t>
      </w:r>
      <w:r>
        <w:rPr>
          <w:rFonts w:cs="Arial" w:hint="cs"/>
          <w:rtl/>
        </w:rPr>
        <w:t>ו</w:t>
      </w:r>
      <w:r w:rsidRPr="00B17F09">
        <w:rPr>
          <w:rFonts w:cs="Arial"/>
          <w:rtl/>
        </w:rPr>
        <w:t>הוא שלא טרח בה האריס כלום בשנה זו</w:t>
      </w:r>
      <w:r>
        <w:rPr>
          <w:rFonts w:cs="Arial" w:hint="cs"/>
          <w:rtl/>
        </w:rPr>
        <w:t>, אז</w:t>
      </w:r>
      <w:r w:rsidRPr="00B17F09">
        <w:rPr>
          <w:rFonts w:cs="Arial"/>
          <w:rtl/>
        </w:rPr>
        <w:t xml:space="preserve"> מצי להעיד דלא מרויח מידי בהאי עדות</w:t>
      </w:r>
      <w:r>
        <w:rPr>
          <w:rStyle w:val="ab"/>
          <w:rFonts w:cs="Arial"/>
          <w:rtl/>
        </w:rPr>
        <w:footnoteReference w:id="2674"/>
      </w:r>
      <w:r w:rsidRPr="00B17F09">
        <w:rPr>
          <w:rFonts w:cs="Arial" w:hint="cs"/>
          <w:rtl/>
        </w:rPr>
        <w:t>.</w:t>
      </w:r>
      <w:r w:rsidRPr="00B17F09">
        <w:rPr>
          <w:rFonts w:cs="Arial"/>
          <w:rtl/>
        </w:rPr>
        <w:t xml:space="preserve"> </w:t>
      </w:r>
    </w:p>
    <w:p w14:paraId="24109213" w14:textId="77777777" w:rsidR="004B607F" w:rsidRDefault="004B607F" w:rsidP="004B0475">
      <w:pPr>
        <w:pStyle w:val="ac"/>
        <w:numPr>
          <w:ilvl w:val="0"/>
          <w:numId w:val="110"/>
        </w:numPr>
        <w:rPr>
          <w:rFonts w:cs="Arial"/>
        </w:rPr>
      </w:pPr>
      <w:r w:rsidRPr="00B17F09">
        <w:rPr>
          <w:rFonts w:cs="Arial"/>
          <w:rtl/>
        </w:rPr>
        <w:t>רמ"ה</w:t>
      </w:r>
      <w:r>
        <w:rPr>
          <w:rFonts w:cs="Arial" w:hint="cs"/>
          <w:sz w:val="16"/>
          <w:szCs w:val="16"/>
          <w:rtl/>
        </w:rPr>
        <w:t xml:space="preserve"> (ב"ב שם סי' געג)</w:t>
      </w:r>
      <w:r w:rsidRPr="00B17F09">
        <w:rPr>
          <w:rFonts w:cs="Arial"/>
          <w:rtl/>
        </w:rPr>
        <w:t xml:space="preserve"> </w:t>
      </w:r>
      <w:r>
        <w:rPr>
          <w:rFonts w:cs="Arial" w:hint="cs"/>
          <w:rtl/>
        </w:rPr>
        <w:t>ו</w:t>
      </w:r>
      <w:r w:rsidRPr="00B17F09">
        <w:rPr>
          <w:rFonts w:cs="Arial"/>
          <w:rtl/>
        </w:rPr>
        <w:t>רא"ש</w:t>
      </w:r>
      <w:r>
        <w:rPr>
          <w:rStyle w:val="ab"/>
          <w:rFonts w:cs="Arial"/>
          <w:rtl/>
        </w:rPr>
        <w:footnoteReference w:id="2675"/>
      </w:r>
      <w:r w:rsidRPr="00B17F09">
        <w:rPr>
          <w:rFonts w:cs="Arial"/>
          <w:rtl/>
        </w:rPr>
        <w:t xml:space="preserve"> </w:t>
      </w:r>
      <w:r>
        <w:rPr>
          <w:rFonts w:cs="Arial" w:hint="cs"/>
          <w:sz w:val="16"/>
          <w:szCs w:val="16"/>
          <w:rtl/>
        </w:rPr>
        <w:t>(כ"כ הטור בשמם)</w:t>
      </w:r>
      <w:r>
        <w:rPr>
          <w:rFonts w:cs="Arial" w:hint="cs"/>
          <w:rtl/>
        </w:rPr>
        <w:t xml:space="preserve">- </w:t>
      </w:r>
      <w:r w:rsidRPr="00B17F09">
        <w:rPr>
          <w:rFonts w:cs="Arial"/>
          <w:rtl/>
        </w:rPr>
        <w:t>כשאין בה פירות מעיד לו אע</w:t>
      </w:r>
      <w:r>
        <w:rPr>
          <w:rFonts w:cs="Arial" w:hint="cs"/>
          <w:rtl/>
        </w:rPr>
        <w:t>"</w:t>
      </w:r>
      <w:r w:rsidRPr="00B17F09">
        <w:rPr>
          <w:rFonts w:cs="Arial"/>
          <w:rtl/>
        </w:rPr>
        <w:t>פ שטרח בה</w:t>
      </w:r>
      <w:r>
        <w:rPr>
          <w:rFonts w:cs="Arial" w:hint="cs"/>
          <w:rtl/>
        </w:rPr>
        <w:t>,</w:t>
      </w:r>
      <w:r w:rsidRPr="00B17F09">
        <w:rPr>
          <w:rFonts w:cs="Arial"/>
          <w:rtl/>
        </w:rPr>
        <w:t xml:space="preserve"> שהמערער צריך לשלם שכר טרחו כדין השוכר פועל לעשות בשלו והראהו בשל חבירו</w:t>
      </w:r>
      <w:r w:rsidRPr="00B17F09">
        <w:rPr>
          <w:rFonts w:cs="Arial" w:hint="cs"/>
          <w:rtl/>
        </w:rPr>
        <w:t>.</w:t>
      </w:r>
      <w:r w:rsidRPr="00397F13">
        <w:rPr>
          <w:rFonts w:cs="Arial"/>
          <w:rtl/>
        </w:rPr>
        <w:t xml:space="preserve"> </w:t>
      </w:r>
    </w:p>
    <w:p w14:paraId="2AC09794" w14:textId="77777777" w:rsidR="004B607F" w:rsidRPr="00397F13" w:rsidRDefault="004B607F" w:rsidP="004B607F">
      <w:pPr>
        <w:rPr>
          <w:rFonts w:cs="Arial"/>
          <w:u w:val="single"/>
        </w:rPr>
      </w:pPr>
      <w:r w:rsidRPr="00397F13">
        <w:rPr>
          <w:rFonts w:hint="cs"/>
          <w:u w:val="single"/>
          <w:rtl/>
        </w:rPr>
        <w:t>אריס שרוצה להעיד לבעל שדהו</w:t>
      </w:r>
      <w:r>
        <w:rPr>
          <w:rFonts w:hint="cs"/>
          <w:u w:val="single"/>
          <w:rtl/>
        </w:rPr>
        <w:t xml:space="preserve"> </w:t>
      </w:r>
      <w:r>
        <w:rPr>
          <w:u w:val="single"/>
          <w:rtl/>
        </w:rPr>
        <w:t>–</w:t>
      </w:r>
      <w:r>
        <w:rPr>
          <w:rFonts w:hint="cs"/>
          <w:u w:val="single"/>
          <w:rtl/>
        </w:rPr>
        <w:t xml:space="preserve"> ושדה זו נמצאת אצל אריס זה מספר שנים </w:t>
      </w:r>
      <w:r w:rsidRPr="00397F13">
        <w:rPr>
          <w:rFonts w:hint="cs"/>
          <w:sz w:val="16"/>
          <w:szCs w:val="16"/>
          <w:u w:val="single"/>
          <w:rtl/>
        </w:rPr>
        <w:t xml:space="preserve">(כך </w:t>
      </w:r>
      <w:r>
        <w:rPr>
          <w:rFonts w:hint="cs"/>
          <w:sz w:val="16"/>
          <w:szCs w:val="16"/>
          <w:u w:val="single"/>
          <w:rtl/>
        </w:rPr>
        <w:t>ש</w:t>
      </w:r>
      <w:r w:rsidRPr="00397F13">
        <w:rPr>
          <w:rFonts w:hint="cs"/>
          <w:sz w:val="16"/>
          <w:szCs w:val="16"/>
          <w:u w:val="single"/>
          <w:rtl/>
        </w:rPr>
        <w:t>אכל בשנים קודמות מפירות השדה</w:t>
      </w:r>
      <w:r>
        <w:rPr>
          <w:rFonts w:hint="cs"/>
          <w:sz w:val="16"/>
          <w:szCs w:val="16"/>
          <w:u w:val="single"/>
          <w:rtl/>
        </w:rPr>
        <w:t>)</w:t>
      </w:r>
      <w:r w:rsidRPr="00397F13">
        <w:rPr>
          <w:rFonts w:cs="Arial" w:hint="cs"/>
          <w:u w:val="single"/>
          <w:rtl/>
        </w:rPr>
        <w:t>:</w:t>
      </w:r>
    </w:p>
    <w:p w14:paraId="3983D6D7" w14:textId="77777777" w:rsidR="004B607F" w:rsidRDefault="004B607F" w:rsidP="004B0475">
      <w:pPr>
        <w:pStyle w:val="ac"/>
        <w:numPr>
          <w:ilvl w:val="0"/>
          <w:numId w:val="110"/>
        </w:numPr>
        <w:rPr>
          <w:rFonts w:cs="Arial"/>
        </w:rPr>
      </w:pPr>
      <w:r w:rsidRPr="00B17F09">
        <w:rPr>
          <w:rFonts w:cs="Arial"/>
          <w:rtl/>
        </w:rPr>
        <w:t>ה"ר יונה</w:t>
      </w:r>
      <w:r w:rsidRPr="00B17F09">
        <w:rPr>
          <w:rFonts w:cs="Arial" w:hint="cs"/>
          <w:sz w:val="16"/>
          <w:szCs w:val="16"/>
          <w:rtl/>
        </w:rPr>
        <w:t xml:space="preserve"> (ב"ב מו: ד"ה לא קשה</w:t>
      </w:r>
      <w:r>
        <w:rPr>
          <w:rFonts w:cs="Arial" w:hint="cs"/>
          <w:sz w:val="16"/>
          <w:szCs w:val="16"/>
          <w:rtl/>
        </w:rPr>
        <w:t>,</w:t>
      </w:r>
      <w:r w:rsidRPr="00B17F09">
        <w:rPr>
          <w:rFonts w:cs="Arial" w:hint="cs"/>
          <w:sz w:val="16"/>
          <w:szCs w:val="16"/>
          <w:rtl/>
        </w:rPr>
        <w:t xml:space="preserve"> </w:t>
      </w:r>
      <w:r>
        <w:rPr>
          <w:rFonts w:cs="Arial" w:hint="cs"/>
          <w:sz w:val="16"/>
          <w:szCs w:val="16"/>
          <w:rtl/>
        </w:rPr>
        <w:t>כ"כ הטור בשמו</w:t>
      </w:r>
      <w:r w:rsidRPr="00B17F09">
        <w:rPr>
          <w:rFonts w:cs="Arial" w:hint="cs"/>
          <w:sz w:val="16"/>
          <w:szCs w:val="16"/>
          <w:rtl/>
        </w:rPr>
        <w:t>)</w:t>
      </w:r>
      <w:r>
        <w:rPr>
          <w:rFonts w:cs="Arial" w:hint="cs"/>
          <w:rtl/>
        </w:rPr>
        <w:t>-</w:t>
      </w:r>
      <w:r w:rsidRPr="00B17F09">
        <w:rPr>
          <w:rFonts w:cs="Arial"/>
          <w:rtl/>
        </w:rPr>
        <w:t xml:space="preserve"> אם אכל פירי מעולם </w:t>
      </w:r>
      <w:r>
        <w:rPr>
          <w:rFonts w:cs="Arial" w:hint="cs"/>
          <w:rtl/>
        </w:rPr>
        <w:t xml:space="preserve">- </w:t>
      </w:r>
      <w:r w:rsidRPr="00B17F09">
        <w:rPr>
          <w:rFonts w:cs="Arial"/>
          <w:rtl/>
        </w:rPr>
        <w:t>אינו מעיד</w:t>
      </w:r>
      <w:r>
        <w:rPr>
          <w:rFonts w:cs="Arial" w:hint="cs"/>
          <w:rtl/>
        </w:rPr>
        <w:t>,</w:t>
      </w:r>
      <w:r w:rsidRPr="00B17F09">
        <w:rPr>
          <w:rFonts w:cs="Arial"/>
          <w:rtl/>
        </w:rPr>
        <w:t xml:space="preserve"> שצריך לשלם לנגזל כל הפירות היתרים על ההוצאה שלקח ממנו מעולם</w:t>
      </w:r>
      <w:r>
        <w:rPr>
          <w:rFonts w:cs="Arial" w:hint="cs"/>
          <w:rtl/>
        </w:rPr>
        <w:t>.</w:t>
      </w:r>
      <w:r w:rsidRPr="00B17F09">
        <w:rPr>
          <w:rFonts w:cs="Arial"/>
          <w:rtl/>
        </w:rPr>
        <w:t xml:space="preserve"> ומיהו אם אין עדים שלקח ממנו פירות או כמה לקח </w:t>
      </w:r>
      <w:r>
        <w:rPr>
          <w:rFonts w:cs="Arial" w:hint="cs"/>
          <w:rtl/>
        </w:rPr>
        <w:t xml:space="preserve">- </w:t>
      </w:r>
      <w:r w:rsidRPr="00B17F09">
        <w:rPr>
          <w:rFonts w:cs="Arial"/>
          <w:rtl/>
        </w:rPr>
        <w:t>נאמן להעיד במיגו דלא לקחתי אלא כדי ההוצאה</w:t>
      </w:r>
      <w:r>
        <w:rPr>
          <w:rFonts w:cs="Arial" w:hint="cs"/>
          <w:rtl/>
        </w:rPr>
        <w:t>,</w:t>
      </w:r>
      <w:r w:rsidRPr="00B17F09">
        <w:rPr>
          <w:rFonts w:cs="Arial"/>
          <w:rtl/>
        </w:rPr>
        <w:t xml:space="preserve"> ואין צריך שבועה כיון שאין המערער טוען בודאי שלקח יותר מההוצאה</w:t>
      </w:r>
      <w:r>
        <w:rPr>
          <w:rFonts w:cs="Arial" w:hint="cs"/>
          <w:rtl/>
        </w:rPr>
        <w:t>.</w:t>
      </w:r>
      <w:r w:rsidRPr="00B17F09">
        <w:rPr>
          <w:rFonts w:cs="Arial"/>
          <w:rtl/>
        </w:rPr>
        <w:t xml:space="preserve"> ואם טוען בריא</w:t>
      </w:r>
      <w:r>
        <w:rPr>
          <w:rFonts w:cs="Arial" w:hint="cs"/>
          <w:rtl/>
        </w:rPr>
        <w:t xml:space="preserve"> -</w:t>
      </w:r>
      <w:r w:rsidRPr="00B17F09">
        <w:rPr>
          <w:rFonts w:cs="Arial"/>
          <w:rtl/>
        </w:rPr>
        <w:t xml:space="preserve"> אז הוא צריך שבועה וליכא מיגו ואינו נאמן אם לקח ממנו פירות מעולם</w:t>
      </w:r>
      <w:r w:rsidRPr="00B17F09">
        <w:rPr>
          <w:rFonts w:cs="Arial" w:hint="cs"/>
          <w:rtl/>
        </w:rPr>
        <w:t>.</w:t>
      </w:r>
      <w:r w:rsidRPr="00B17F09">
        <w:rPr>
          <w:rFonts w:cs="Arial"/>
          <w:rtl/>
        </w:rPr>
        <w:t xml:space="preserve"> </w:t>
      </w:r>
    </w:p>
    <w:p w14:paraId="11D5DA4A" w14:textId="77777777" w:rsidR="004B607F" w:rsidRDefault="004B607F" w:rsidP="004B607F">
      <w:pPr>
        <w:rPr>
          <w:rFonts w:cs="Arial"/>
          <w:rtl/>
        </w:rPr>
      </w:pPr>
      <w:r w:rsidRPr="00397F13">
        <w:rPr>
          <w:rFonts w:cs="Arial" w:hint="cs"/>
          <w:u w:val="single"/>
          <w:rtl/>
        </w:rPr>
        <w:t>אריס בתי אבות:</w:t>
      </w:r>
    </w:p>
    <w:p w14:paraId="5423F6BD" w14:textId="77777777" w:rsidR="004B607F" w:rsidRPr="00E7304A" w:rsidRDefault="004B607F" w:rsidP="004B0475">
      <w:pPr>
        <w:pStyle w:val="ac"/>
        <w:numPr>
          <w:ilvl w:val="0"/>
          <w:numId w:val="111"/>
        </w:numPr>
        <w:rPr>
          <w:rFonts w:cs="Arial"/>
          <w:rtl/>
        </w:rPr>
      </w:pPr>
      <w:r w:rsidRPr="00397F13">
        <w:rPr>
          <w:rFonts w:cs="Arial"/>
          <w:rtl/>
        </w:rPr>
        <w:t>נמוק</w:t>
      </w:r>
      <w:r w:rsidRPr="00397F13">
        <w:rPr>
          <w:rFonts w:cs="Arial" w:hint="cs"/>
          <w:rtl/>
        </w:rPr>
        <w:t>"</w:t>
      </w:r>
      <w:r w:rsidRPr="00397F13">
        <w:rPr>
          <w:rFonts w:cs="Arial"/>
          <w:rtl/>
        </w:rPr>
        <w:t>י</w:t>
      </w:r>
      <w:r w:rsidRPr="00397F13">
        <w:rPr>
          <w:rFonts w:cs="Arial"/>
          <w:sz w:val="16"/>
          <w:szCs w:val="16"/>
          <w:rtl/>
        </w:rPr>
        <w:t xml:space="preserve"> (כה:)</w:t>
      </w:r>
      <w:r>
        <w:rPr>
          <w:rFonts w:cs="Arial" w:hint="cs"/>
          <w:rtl/>
        </w:rPr>
        <w:t xml:space="preserve">- </w:t>
      </w:r>
      <w:r w:rsidRPr="00397F13">
        <w:rPr>
          <w:rFonts w:cs="Arial"/>
          <w:rtl/>
        </w:rPr>
        <w:t>פירש רשב"ם ואי משום דבעל השדה מורידו אריס</w:t>
      </w:r>
      <w:r>
        <w:rPr>
          <w:rFonts w:cs="Arial" w:hint="cs"/>
          <w:rtl/>
        </w:rPr>
        <w:t>,</w:t>
      </w:r>
      <w:r w:rsidRPr="00397F13">
        <w:rPr>
          <w:rFonts w:cs="Arial"/>
          <w:rtl/>
        </w:rPr>
        <w:t xml:space="preserve"> כך ימצא במקום אחר</w:t>
      </w:r>
      <w:r>
        <w:rPr>
          <w:rFonts w:cs="Arial" w:hint="cs"/>
          <w:rtl/>
        </w:rPr>
        <w:t>,</w:t>
      </w:r>
      <w:r w:rsidRPr="00397F13">
        <w:rPr>
          <w:rFonts w:cs="Arial"/>
          <w:rtl/>
        </w:rPr>
        <w:t xml:space="preserve"> וגם בידו לסלקו כשירצה</w:t>
      </w:r>
      <w:r>
        <w:rPr>
          <w:rFonts w:cs="Arial" w:hint="cs"/>
          <w:sz w:val="16"/>
          <w:szCs w:val="16"/>
          <w:rtl/>
        </w:rPr>
        <w:t xml:space="preserve"> {ע"כ}</w:t>
      </w:r>
      <w:r>
        <w:rPr>
          <w:rFonts w:cs="Arial" w:hint="cs"/>
          <w:rtl/>
        </w:rPr>
        <w:t xml:space="preserve"> -</w:t>
      </w:r>
      <w:r w:rsidRPr="00397F13">
        <w:rPr>
          <w:rFonts w:cs="Arial"/>
          <w:rtl/>
        </w:rPr>
        <w:t xml:space="preserve"> משמע דאריס בתי אבות לעולם אינו מעיד. </w:t>
      </w:r>
    </w:p>
    <w:p w14:paraId="02BD90CC" w14:textId="77777777" w:rsidR="004B607F" w:rsidRPr="003024E5" w:rsidRDefault="004B607F" w:rsidP="004B607F">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3D68974F" w14:textId="77777777" w:rsidR="004B607F" w:rsidRDefault="004B607F" w:rsidP="004B607F">
      <w:pPr>
        <w:rPr>
          <w:rtl/>
        </w:rPr>
      </w:pPr>
      <w:r>
        <w:rPr>
          <w:rFonts w:cs="Arial"/>
          <w:rtl/>
        </w:rPr>
        <w:t>העורר על השדה, אם יש בה פירות</w:t>
      </w:r>
      <w:r>
        <w:rPr>
          <w:rFonts w:cs="Arial" w:hint="cs"/>
          <w:rtl/>
        </w:rPr>
        <w:t>,</w:t>
      </w:r>
      <w:r>
        <w:rPr>
          <w:rFonts w:cs="Arial"/>
          <w:rtl/>
        </w:rPr>
        <w:t xml:space="preserve"> אין האריס מעיד לו עליה, שהרי רוצה האריס להעמידה ביד בעליה כדי שיטול חלקו בפירות. ואם אין בו פירות</w:t>
      </w:r>
      <w:r>
        <w:rPr>
          <w:rFonts w:cs="Arial" w:hint="cs"/>
          <w:rtl/>
        </w:rPr>
        <w:t>,</w:t>
      </w:r>
      <w:r>
        <w:rPr>
          <w:rFonts w:cs="Arial"/>
          <w:rtl/>
        </w:rPr>
        <w:t xml:space="preserve"> מעיד. </w:t>
      </w:r>
      <w:r w:rsidRPr="007C1C9A">
        <w:rPr>
          <w:rFonts w:cs="Arial" w:hint="cs"/>
          <w:sz w:val="18"/>
          <w:szCs w:val="18"/>
          <w:rtl/>
        </w:rPr>
        <w:t xml:space="preserve">[הגה] </w:t>
      </w:r>
      <w:r w:rsidRPr="007C1C9A">
        <w:rPr>
          <w:rFonts w:cs="Arial"/>
          <w:sz w:val="18"/>
          <w:szCs w:val="18"/>
          <w:rtl/>
        </w:rPr>
        <w:t>אם אין לו הנאה אחרת מזה</w:t>
      </w:r>
      <w:r>
        <w:rPr>
          <w:rStyle w:val="ab"/>
          <w:rFonts w:cs="Arial"/>
          <w:sz w:val="18"/>
          <w:szCs w:val="18"/>
          <w:rtl/>
        </w:rPr>
        <w:footnoteReference w:id="2676"/>
      </w:r>
      <w:r w:rsidRPr="007C1C9A">
        <w:rPr>
          <w:rFonts w:cs="Arial"/>
          <w:sz w:val="18"/>
          <w:szCs w:val="18"/>
          <w:rtl/>
        </w:rPr>
        <w:t xml:space="preserve"> (טור).</w:t>
      </w:r>
      <w:r>
        <w:rPr>
          <w:rFonts w:cs="Arial"/>
          <w:rtl/>
        </w:rPr>
        <w:t xml:space="preserve"> </w:t>
      </w:r>
    </w:p>
    <w:p w14:paraId="70818A30" w14:textId="77777777" w:rsidR="004B607F" w:rsidRDefault="004B607F" w:rsidP="004B607F">
      <w:pPr>
        <w:rPr>
          <w:rtl/>
        </w:rPr>
      </w:pPr>
    </w:p>
    <w:p w14:paraId="349F5823" w14:textId="77777777" w:rsidR="004B607F" w:rsidRDefault="004B607F" w:rsidP="004B607F">
      <w:pPr>
        <w:pStyle w:val="2"/>
        <w:rPr>
          <w:rtl/>
        </w:rPr>
      </w:pPr>
      <w:bookmarkStart w:id="357" w:name="_Toc24883804"/>
      <w:r>
        <w:rPr>
          <w:rtl/>
        </w:rPr>
        <w:t>סעיף ג</w:t>
      </w:r>
      <w:r>
        <w:rPr>
          <w:rFonts w:hint="cs"/>
          <w:rtl/>
        </w:rPr>
        <w:t>:</w:t>
      </w:r>
      <w:r w:rsidRPr="009E502B">
        <w:rPr>
          <w:rFonts w:cs="Arial"/>
          <w:rtl/>
        </w:rPr>
        <w:t xml:space="preserve"> </w:t>
      </w:r>
      <w:r>
        <w:rPr>
          <w:rFonts w:cs="Arial"/>
          <w:rtl/>
        </w:rPr>
        <w:t>עדים שהודו שיש להם חלק באותו חוב שה</w:t>
      </w:r>
      <w:r>
        <w:rPr>
          <w:rFonts w:cs="Arial" w:hint="cs"/>
          <w:rtl/>
        </w:rPr>
        <w:t>ם מ</w:t>
      </w:r>
      <w:r>
        <w:rPr>
          <w:rFonts w:cs="Arial"/>
          <w:rtl/>
        </w:rPr>
        <w:t>עיד</w:t>
      </w:r>
      <w:r>
        <w:rPr>
          <w:rFonts w:cs="Arial" w:hint="cs"/>
          <w:rtl/>
        </w:rPr>
        <w:t>ים עליו.</w:t>
      </w:r>
      <w:bookmarkEnd w:id="357"/>
    </w:p>
    <w:p w14:paraId="60050490" w14:textId="77777777" w:rsidR="004B607F" w:rsidRDefault="004B607F" w:rsidP="004B607F">
      <w:pPr>
        <w:rPr>
          <w:rFonts w:cs="Arial"/>
          <w:rtl/>
        </w:rPr>
      </w:pPr>
      <w:r w:rsidRPr="009E502B">
        <w:rPr>
          <w:rFonts w:cs="Arial"/>
          <w:u w:val="single"/>
          <w:rtl/>
        </w:rPr>
        <w:t>עדים שהודו שיש להם חלק באותו חוב שהם מעידים עליו</w:t>
      </w:r>
      <w:r w:rsidRPr="009E502B">
        <w:rPr>
          <w:rFonts w:cs="Arial" w:hint="cs"/>
          <w:u w:val="single"/>
          <w:rtl/>
        </w:rPr>
        <w:t>:</w:t>
      </w:r>
    </w:p>
    <w:p w14:paraId="3B8CFDF3" w14:textId="77777777" w:rsidR="004B607F" w:rsidRDefault="004B607F" w:rsidP="004B0475">
      <w:pPr>
        <w:pStyle w:val="ac"/>
        <w:numPr>
          <w:ilvl w:val="0"/>
          <w:numId w:val="111"/>
        </w:numPr>
        <w:rPr>
          <w:rFonts w:cs="Arial"/>
        </w:rPr>
      </w:pPr>
      <w:r w:rsidRPr="009E502B">
        <w:rPr>
          <w:rFonts w:cs="Arial"/>
          <w:rtl/>
        </w:rPr>
        <w:t>חזה התנופה</w:t>
      </w:r>
      <w:r>
        <w:rPr>
          <w:rStyle w:val="ab"/>
          <w:rFonts w:cs="Arial"/>
          <w:rtl/>
        </w:rPr>
        <w:footnoteReference w:id="2677"/>
      </w:r>
      <w:r w:rsidRPr="009E502B">
        <w:rPr>
          <w:rFonts w:cs="Arial"/>
          <w:sz w:val="16"/>
          <w:szCs w:val="16"/>
          <w:rtl/>
        </w:rPr>
        <w:t xml:space="preserve"> (סי' א)</w:t>
      </w:r>
      <w:r w:rsidRPr="009E502B">
        <w:rPr>
          <w:rFonts w:cs="Arial" w:hint="cs"/>
          <w:rtl/>
        </w:rPr>
        <w:t>-</w:t>
      </w:r>
      <w:r w:rsidRPr="009E502B">
        <w:rPr>
          <w:rFonts w:cs="Arial"/>
          <w:rtl/>
        </w:rPr>
        <w:t xml:space="preserve"> עדים שהודו שיש להם חלק באותו חוב שהם מעידים עליו</w:t>
      </w:r>
      <w:r w:rsidRPr="009E502B">
        <w:rPr>
          <w:rFonts w:cs="Arial" w:hint="cs"/>
          <w:rtl/>
        </w:rPr>
        <w:t>,</w:t>
      </w:r>
      <w:r w:rsidRPr="009E502B">
        <w:rPr>
          <w:rFonts w:cs="Arial"/>
          <w:rtl/>
        </w:rPr>
        <w:t xml:space="preserve"> אם קודם שהעידו הודו כן </w:t>
      </w:r>
      <w:r>
        <w:rPr>
          <w:rFonts w:cs="Arial" w:hint="cs"/>
          <w:rtl/>
        </w:rPr>
        <w:t xml:space="preserve">- </w:t>
      </w:r>
      <w:r w:rsidRPr="009E502B">
        <w:rPr>
          <w:rFonts w:cs="Arial"/>
          <w:rtl/>
        </w:rPr>
        <w:t xml:space="preserve">אין עדותן עדות. אבל אם לאחר שהעידו הודו כן </w:t>
      </w:r>
      <w:r>
        <w:rPr>
          <w:rFonts w:cs="Arial" w:hint="cs"/>
          <w:rtl/>
        </w:rPr>
        <w:t xml:space="preserve">- </w:t>
      </w:r>
      <w:r w:rsidRPr="009E502B">
        <w:rPr>
          <w:rFonts w:cs="Arial"/>
          <w:rtl/>
        </w:rPr>
        <w:t>אין בהודאה זו ממש</w:t>
      </w:r>
      <w:r>
        <w:rPr>
          <w:rFonts w:cs="Arial" w:hint="cs"/>
          <w:rtl/>
        </w:rPr>
        <w:t>,</w:t>
      </w:r>
      <w:r w:rsidRPr="009E502B">
        <w:rPr>
          <w:rFonts w:cs="Arial"/>
          <w:rtl/>
        </w:rPr>
        <w:t xml:space="preserve"> דאחר שכבר העידו אין בידם להפסיד זכותו של זה</w:t>
      </w:r>
      <w:r w:rsidRPr="009E502B">
        <w:rPr>
          <w:rFonts w:cs="Arial" w:hint="cs"/>
          <w:rtl/>
        </w:rPr>
        <w:t>.</w:t>
      </w:r>
      <w:r w:rsidRPr="009E502B">
        <w:rPr>
          <w:rFonts w:cs="Arial" w:hint="cs"/>
          <w:color w:val="E36C0A" w:themeColor="accent6" w:themeShade="BF"/>
          <w:rtl/>
        </w:rPr>
        <w:t xml:space="preserve"> (וכ"פ בשו"ע)</w:t>
      </w:r>
      <w:r>
        <w:rPr>
          <w:rFonts w:cs="Arial" w:hint="cs"/>
          <w:rtl/>
        </w:rPr>
        <w:t xml:space="preserve"> </w:t>
      </w:r>
      <w:r w:rsidRPr="009E502B">
        <w:rPr>
          <w:rFonts w:cs="Arial" w:hint="cs"/>
          <w:color w:val="00B0F0"/>
          <w:rtl/>
        </w:rPr>
        <w:t>(וכ"פ הרמ"א)</w:t>
      </w:r>
    </w:p>
    <w:p w14:paraId="2AF733DD" w14:textId="77777777" w:rsidR="004B607F" w:rsidRPr="009E502B" w:rsidRDefault="004B607F" w:rsidP="004B607F">
      <w:pPr>
        <w:rPr>
          <w:rFonts w:cs="Arial"/>
          <w:u w:val="single"/>
        </w:rPr>
      </w:pPr>
      <w:r w:rsidRPr="009E502B">
        <w:rPr>
          <w:rFonts w:cs="Arial"/>
          <w:u w:val="single"/>
          <w:rtl/>
        </w:rPr>
        <w:t xml:space="preserve">מי שבאו עדים לחייבו </w:t>
      </w:r>
      <w:r>
        <w:rPr>
          <w:rFonts w:cs="Arial" w:hint="cs"/>
          <w:u w:val="single"/>
          <w:rtl/>
        </w:rPr>
        <w:t xml:space="preserve">- </w:t>
      </w:r>
      <w:r w:rsidRPr="009E502B">
        <w:rPr>
          <w:rFonts w:cs="Arial"/>
          <w:u w:val="single"/>
          <w:rtl/>
        </w:rPr>
        <w:t>ובא הוא ואחד מן השוק לפסול אחד מהעדים</w:t>
      </w:r>
      <w:r w:rsidRPr="009E502B">
        <w:rPr>
          <w:rFonts w:cs="Arial" w:hint="cs"/>
          <w:u w:val="single"/>
          <w:rtl/>
        </w:rPr>
        <w:t>:</w:t>
      </w:r>
    </w:p>
    <w:p w14:paraId="688D5DEE" w14:textId="77777777" w:rsidR="004B607F" w:rsidRDefault="004B607F" w:rsidP="004B0475">
      <w:pPr>
        <w:pStyle w:val="ac"/>
        <w:numPr>
          <w:ilvl w:val="0"/>
          <w:numId w:val="111"/>
        </w:numPr>
        <w:rPr>
          <w:rFonts w:cs="Arial"/>
        </w:rPr>
      </w:pPr>
      <w:r>
        <w:rPr>
          <w:rFonts w:cs="Arial" w:hint="cs"/>
          <w:rtl/>
        </w:rPr>
        <w:t xml:space="preserve">רי"ו </w:t>
      </w:r>
      <w:r w:rsidRPr="009E502B">
        <w:rPr>
          <w:rFonts w:cs="Arial" w:hint="cs"/>
          <w:sz w:val="16"/>
          <w:szCs w:val="16"/>
          <w:rtl/>
        </w:rPr>
        <w:t>(</w:t>
      </w:r>
      <w:r w:rsidRPr="009E502B">
        <w:rPr>
          <w:rFonts w:cs="Arial"/>
          <w:sz w:val="16"/>
          <w:szCs w:val="16"/>
          <w:rtl/>
        </w:rPr>
        <w:t>מישרים נ"ב ח"ה יג ע"ג)</w:t>
      </w:r>
      <w:r>
        <w:rPr>
          <w:rFonts w:cs="Arial" w:hint="cs"/>
          <w:rtl/>
        </w:rPr>
        <w:t>-</w:t>
      </w:r>
      <w:r w:rsidRPr="009E502B">
        <w:rPr>
          <w:rFonts w:cs="Arial"/>
          <w:rtl/>
        </w:rPr>
        <w:t xml:space="preserve"> מי שבאו עדים לחייבו ובא הוא ואחד מן השוק לפסול אחד מהעדים אפילו בפגם משפחה שמעידים שהוא ממשפחת עבדים ונראה שמעידים על המשפחה וממילא העד נפסל </w:t>
      </w:r>
      <w:r>
        <w:rPr>
          <w:rFonts w:cs="Arial" w:hint="cs"/>
          <w:rtl/>
        </w:rPr>
        <w:t xml:space="preserve">- </w:t>
      </w:r>
      <w:r w:rsidRPr="009E502B">
        <w:rPr>
          <w:rFonts w:cs="Arial"/>
          <w:rtl/>
        </w:rPr>
        <w:t>אפילו הכי הוי נוגע בעדות ואין יכול לפסלו בשום ענין</w:t>
      </w:r>
      <w:r>
        <w:rPr>
          <w:rFonts w:cs="Arial" w:hint="cs"/>
          <w:rtl/>
        </w:rPr>
        <w:t>,</w:t>
      </w:r>
      <w:r w:rsidRPr="009E502B">
        <w:rPr>
          <w:rFonts w:cs="Arial"/>
          <w:rtl/>
        </w:rPr>
        <w:t xml:space="preserve"> בפרק ג' דסנהדרין </w:t>
      </w:r>
      <w:r w:rsidRPr="009E502B">
        <w:rPr>
          <w:rFonts w:cs="Arial"/>
          <w:sz w:val="16"/>
          <w:szCs w:val="16"/>
          <w:rtl/>
        </w:rPr>
        <w:t>(כג:)</w:t>
      </w:r>
      <w:r>
        <w:rPr>
          <w:rFonts w:cs="Arial" w:hint="cs"/>
          <w:rtl/>
        </w:rPr>
        <w:t xml:space="preserve">. </w:t>
      </w:r>
      <w:r w:rsidRPr="009E502B">
        <w:rPr>
          <w:rFonts w:cs="Arial"/>
          <w:rtl/>
        </w:rPr>
        <w:t>ואפילו אמר מתחלה שיש לו שתי כיתי עדים והביא כת ראשונה אין הנתבע יכול להעיד לפסלה</w:t>
      </w:r>
      <w:r>
        <w:rPr>
          <w:rFonts w:cs="Arial" w:hint="cs"/>
          <w:rtl/>
        </w:rPr>
        <w:t>.</w:t>
      </w:r>
    </w:p>
    <w:p w14:paraId="12595997" w14:textId="77777777" w:rsidR="004B607F" w:rsidRDefault="004B607F" w:rsidP="004B607F">
      <w:pPr>
        <w:rPr>
          <w:rFonts w:cs="Arial"/>
          <w:rtl/>
        </w:rPr>
      </w:pPr>
      <w:bookmarkStart w:id="358" w:name="_Hlk20049192"/>
      <w:r w:rsidRPr="009E502B">
        <w:rPr>
          <w:rFonts w:cs="Arial" w:hint="cs"/>
          <w:b/>
          <w:bCs/>
          <w:rtl/>
        </w:rPr>
        <w:lastRenderedPageBreak/>
        <w:t>יבמות</w:t>
      </w:r>
      <w:r w:rsidRPr="00390A15">
        <w:rPr>
          <w:rFonts w:cs="Arial" w:hint="cs"/>
          <w:b/>
          <w:bCs/>
          <w:sz w:val="16"/>
          <w:szCs w:val="16"/>
          <w:rtl/>
        </w:rPr>
        <w:t xml:space="preserve"> (ספ"ב)</w:t>
      </w:r>
      <w:r w:rsidRPr="009E502B">
        <w:rPr>
          <w:rFonts w:cs="Arial" w:hint="cs"/>
          <w:b/>
          <w:bCs/>
          <w:rtl/>
        </w:rPr>
        <w:t xml:space="preserve"> כה</w:t>
      </w:r>
      <w:r>
        <w:rPr>
          <w:rStyle w:val="ab"/>
          <w:rFonts w:cs="Arial"/>
          <w:b/>
          <w:bCs/>
          <w:rtl/>
        </w:rPr>
        <w:footnoteReference w:id="2678"/>
      </w:r>
      <w:r w:rsidRPr="009E502B">
        <w:rPr>
          <w:rFonts w:cs="Arial" w:hint="cs"/>
          <w:b/>
          <w:bCs/>
          <w:rtl/>
        </w:rPr>
        <w:t xml:space="preserve"> ע"ב: </w:t>
      </w:r>
      <w:r w:rsidRPr="00390A15">
        <w:rPr>
          <w:rFonts w:cs="Arial"/>
          <w:u w:val="double"/>
          <w:rtl/>
        </w:rPr>
        <w:t>מתני'</w:t>
      </w:r>
      <w:r>
        <w:rPr>
          <w:rFonts w:cs="Arial" w:hint="cs"/>
          <w:rtl/>
        </w:rPr>
        <w:t>:</w:t>
      </w:r>
      <w:r w:rsidRPr="009E502B">
        <w:rPr>
          <w:rFonts w:cs="Arial"/>
          <w:rtl/>
        </w:rPr>
        <w:t xml:space="preserve"> החכם שאסר את האשה בנדר</w:t>
      </w:r>
      <w:r>
        <w:rPr>
          <w:rStyle w:val="ab"/>
          <w:rFonts w:cs="Arial"/>
          <w:rtl/>
        </w:rPr>
        <w:footnoteReference w:id="2679"/>
      </w:r>
      <w:r w:rsidRPr="009E502B">
        <w:rPr>
          <w:rFonts w:cs="Arial"/>
          <w:rtl/>
        </w:rPr>
        <w:t xml:space="preserve"> על בעלה - הרי זה לא ישאנה</w:t>
      </w:r>
      <w:r>
        <w:rPr>
          <w:rStyle w:val="ab"/>
          <w:rFonts w:cs="Arial"/>
          <w:rtl/>
        </w:rPr>
        <w:footnoteReference w:id="2680"/>
      </w:r>
      <w:r>
        <w:rPr>
          <w:rFonts w:cs="Arial" w:hint="cs"/>
          <w:rtl/>
        </w:rPr>
        <w:t>;</w:t>
      </w:r>
      <w:r w:rsidRPr="009E502B">
        <w:rPr>
          <w:rFonts w:cs="Arial"/>
          <w:rtl/>
        </w:rPr>
        <w:t xml:space="preserve"> מיאנה או שחלצה בפניו - ישאנה, מפני שהוא ב"ד</w:t>
      </w:r>
      <w:r>
        <w:rPr>
          <w:rStyle w:val="ab"/>
          <w:rFonts w:cs="Arial"/>
          <w:rtl/>
        </w:rPr>
        <w:footnoteReference w:id="2681"/>
      </w:r>
      <w:r w:rsidRPr="009E502B">
        <w:rPr>
          <w:rFonts w:cs="Arial"/>
          <w:rtl/>
        </w:rPr>
        <w:t xml:space="preserve">. </w:t>
      </w:r>
      <w:r>
        <w:rPr>
          <w:rFonts w:cs="Arial" w:hint="cs"/>
          <w:rtl/>
        </w:rPr>
        <w:t xml:space="preserve">     </w:t>
      </w:r>
      <w:r w:rsidRPr="009E502B">
        <w:rPr>
          <w:rFonts w:cs="Arial" w:hint="cs"/>
          <w:u w:val="double"/>
          <w:rtl/>
        </w:rPr>
        <w:t>גמ'</w:t>
      </w:r>
      <w:r>
        <w:rPr>
          <w:rFonts w:cs="Arial" w:hint="cs"/>
          <w:rtl/>
        </w:rPr>
        <w:t xml:space="preserve">: </w:t>
      </w:r>
      <w:r w:rsidRPr="009E502B">
        <w:rPr>
          <w:rFonts w:cs="Arial"/>
          <w:rtl/>
        </w:rPr>
        <w:t>מיאנה או שחלצה וכו'. טעמא דב"ד, הא בתרי - לא, מ"ש מהא דתנן: עדים החתומים על שדה מקח ועל גט אשה - לא חשו חכמים לדבר זה</w:t>
      </w:r>
      <w:r>
        <w:rPr>
          <w:rStyle w:val="ab"/>
          <w:rFonts w:cs="Arial"/>
          <w:rtl/>
        </w:rPr>
        <w:footnoteReference w:id="2682"/>
      </w:r>
      <w:r w:rsidRPr="00E14E98">
        <w:rPr>
          <w:rFonts w:cs="Arial"/>
          <w:rtl/>
        </w:rPr>
        <w:t>? היא גופה</w:t>
      </w:r>
      <w:r>
        <w:rPr>
          <w:rStyle w:val="ab"/>
          <w:rFonts w:cs="Arial"/>
          <w:rtl/>
        </w:rPr>
        <w:footnoteReference w:id="2683"/>
      </w:r>
      <w:r w:rsidRPr="00E14E98">
        <w:rPr>
          <w:rFonts w:cs="Arial"/>
          <w:rtl/>
        </w:rPr>
        <w:t xml:space="preserve"> קמשמע לן, לאפוקי ממ"ד מיאון בפני שנים, קמשמע לן</w:t>
      </w:r>
      <w:r>
        <w:rPr>
          <w:rFonts w:cs="Arial" w:hint="cs"/>
          <w:rtl/>
        </w:rPr>
        <w:t>!.</w:t>
      </w:r>
    </w:p>
    <w:p w14:paraId="08CEBF70" w14:textId="77777777" w:rsidR="004B607F" w:rsidRDefault="004B607F" w:rsidP="004B607F">
      <w:pPr>
        <w:rPr>
          <w:rFonts w:cs="Arial"/>
          <w:rtl/>
        </w:rPr>
      </w:pPr>
      <w:r w:rsidRPr="00390A15">
        <w:rPr>
          <w:rFonts w:cs="Arial" w:hint="cs"/>
          <w:b/>
          <w:bCs/>
          <w:rtl/>
        </w:rPr>
        <w:t xml:space="preserve">חולין </w:t>
      </w:r>
      <w:r w:rsidRPr="00390A15">
        <w:rPr>
          <w:rFonts w:cs="Arial" w:hint="cs"/>
          <w:b/>
          <w:bCs/>
          <w:sz w:val="16"/>
          <w:szCs w:val="16"/>
          <w:rtl/>
        </w:rPr>
        <w:t xml:space="preserve">(פרק אלו טריפות) </w:t>
      </w:r>
      <w:r w:rsidRPr="00390A15">
        <w:rPr>
          <w:rFonts w:cs="Arial" w:hint="cs"/>
          <w:b/>
          <w:bCs/>
          <w:rtl/>
        </w:rPr>
        <w:t>מד</w:t>
      </w:r>
      <w:r>
        <w:rPr>
          <w:rStyle w:val="ab"/>
          <w:rFonts w:cs="Arial"/>
          <w:b/>
          <w:bCs/>
          <w:rtl/>
        </w:rPr>
        <w:footnoteReference w:id="2684"/>
      </w:r>
      <w:r w:rsidRPr="00390A15">
        <w:rPr>
          <w:rFonts w:cs="Arial" w:hint="cs"/>
          <w:b/>
          <w:bCs/>
          <w:rtl/>
        </w:rPr>
        <w:t xml:space="preserve"> ע"ב: </w:t>
      </w:r>
      <w:r w:rsidRPr="000B1DE8">
        <w:rPr>
          <w:rFonts w:cs="Arial"/>
          <w:rtl/>
        </w:rPr>
        <w:t xml:space="preserve">ההיא פסוקת הגרגרת דאתאי לקמיה דרב, יתיב וקא בדיק לה ברוב עוביה; </w:t>
      </w:r>
      <w:r w:rsidRPr="000B1DE8">
        <w:rPr>
          <w:rFonts w:cs="Arial"/>
          <w:u w:val="single"/>
          <w:rtl/>
        </w:rPr>
        <w:t>אמרו ליה רב כהנא ורב אסי לרב</w:t>
      </w:r>
      <w:r w:rsidRPr="000B1DE8">
        <w:rPr>
          <w:rFonts w:cs="Arial"/>
          <w:rtl/>
        </w:rPr>
        <w:t>: לימדתנו רבינו ברוב חללה</w:t>
      </w:r>
      <w:r>
        <w:rPr>
          <w:rFonts w:cs="Arial" w:hint="cs"/>
          <w:rtl/>
        </w:rPr>
        <w:t>.</w:t>
      </w:r>
      <w:r w:rsidRPr="000B1DE8">
        <w:rPr>
          <w:rFonts w:cs="Arial"/>
          <w:rtl/>
        </w:rPr>
        <w:t xml:space="preserve"> שדריה לקמיה דרבה בר בר חנה, בדקה ברוב חללה ואכשרה, וזבן מינה בתליסר איסתירי פשיטי בישרא. והיכי עביד הכי?</w:t>
      </w:r>
      <w:r>
        <w:rPr>
          <w:rFonts w:cs="Arial" w:hint="cs"/>
          <w:rtl/>
        </w:rPr>
        <w:t>..</w:t>
      </w:r>
      <w:r w:rsidRPr="000B1DE8">
        <w:rPr>
          <w:rFonts w:cs="Arial"/>
          <w:rtl/>
        </w:rPr>
        <w:t>. ותיפוק ליה משום חשדא</w:t>
      </w:r>
      <w:r>
        <w:rPr>
          <w:rStyle w:val="ab"/>
          <w:rFonts w:cs="Arial"/>
          <w:rtl/>
        </w:rPr>
        <w:footnoteReference w:id="2685"/>
      </w:r>
      <w:r w:rsidRPr="000B1DE8">
        <w:rPr>
          <w:rFonts w:cs="Arial"/>
          <w:rtl/>
        </w:rPr>
        <w:t>! דתניא, דן את הדין</w:t>
      </w:r>
      <w:r>
        <w:rPr>
          <w:rStyle w:val="ab"/>
          <w:rFonts w:cs="Arial"/>
          <w:rtl/>
        </w:rPr>
        <w:footnoteReference w:id="2686"/>
      </w:r>
      <w:r w:rsidRPr="000B1DE8">
        <w:rPr>
          <w:rFonts w:cs="Arial"/>
          <w:rtl/>
        </w:rPr>
        <w:t>; זיכה וחייב, טימא וטיהר, אסר והתיר, וכן העדים שהעידו</w:t>
      </w:r>
      <w:r>
        <w:rPr>
          <w:rStyle w:val="ab"/>
          <w:rFonts w:cs="Arial"/>
          <w:rtl/>
        </w:rPr>
        <w:footnoteReference w:id="2687"/>
      </w:r>
      <w:r w:rsidRPr="000B1DE8">
        <w:rPr>
          <w:rFonts w:cs="Arial"/>
          <w:rtl/>
        </w:rPr>
        <w:t xml:space="preserve"> - כולן רשאין ליקח</w:t>
      </w:r>
      <w:r>
        <w:rPr>
          <w:rStyle w:val="ab"/>
          <w:rFonts w:cs="Arial"/>
          <w:rtl/>
        </w:rPr>
        <w:footnoteReference w:id="2688"/>
      </w:r>
      <w:r w:rsidRPr="000B1DE8">
        <w:rPr>
          <w:rFonts w:cs="Arial"/>
          <w:rtl/>
        </w:rPr>
        <w:t>, אבל אמרו חכמים: הרחק מן הכיעור</w:t>
      </w:r>
      <w:r>
        <w:rPr>
          <w:rStyle w:val="ab"/>
          <w:rFonts w:cs="Arial"/>
          <w:rtl/>
        </w:rPr>
        <w:footnoteReference w:id="2689"/>
      </w:r>
      <w:r w:rsidRPr="000B1DE8">
        <w:rPr>
          <w:rFonts w:cs="Arial"/>
          <w:rtl/>
        </w:rPr>
        <w:t xml:space="preserve"> ומן הדומה לו. ה"מ</w:t>
      </w:r>
      <w:r>
        <w:rPr>
          <w:rStyle w:val="ab"/>
          <w:rFonts w:cs="Arial"/>
          <w:rtl/>
        </w:rPr>
        <w:footnoteReference w:id="2690"/>
      </w:r>
      <w:r w:rsidRPr="000B1DE8">
        <w:rPr>
          <w:rFonts w:cs="Arial"/>
          <w:rtl/>
        </w:rPr>
        <w:t xml:space="preserve"> מידי דמזבין משומא, הכא מתקלא מוכח</w:t>
      </w:r>
      <w:r w:rsidRPr="00390A15">
        <w:rPr>
          <w:rFonts w:cs="Arial"/>
          <w:rtl/>
        </w:rPr>
        <w:t>.</w:t>
      </w:r>
      <w:r>
        <w:rPr>
          <w:rFonts w:cs="Arial" w:hint="cs"/>
          <w:rtl/>
        </w:rPr>
        <w:t xml:space="preserve"> </w:t>
      </w:r>
    </w:p>
    <w:p w14:paraId="7E92ED65" w14:textId="77777777" w:rsidR="004B607F" w:rsidRDefault="004B607F" w:rsidP="004B607F">
      <w:pPr>
        <w:rPr>
          <w:rFonts w:cs="Arial"/>
          <w:rtl/>
        </w:rPr>
      </w:pPr>
      <w:r w:rsidRPr="00346C62">
        <w:rPr>
          <w:rFonts w:cs="Arial" w:hint="cs"/>
          <w:u w:val="single"/>
          <w:rtl/>
        </w:rPr>
        <w:t xml:space="preserve">עד שחתם על מקח שדה </w:t>
      </w:r>
      <w:r w:rsidRPr="00346C62">
        <w:rPr>
          <w:rFonts w:cs="Arial"/>
          <w:u w:val="single"/>
          <w:rtl/>
        </w:rPr>
        <w:t>–</w:t>
      </w:r>
      <w:r w:rsidRPr="00346C62">
        <w:rPr>
          <w:rFonts w:cs="Arial" w:hint="cs"/>
          <w:u w:val="single"/>
          <w:rtl/>
        </w:rPr>
        <w:t xml:space="preserve"> מהו </w:t>
      </w:r>
      <w:r>
        <w:rPr>
          <w:rFonts w:cs="Arial" w:hint="cs"/>
          <w:u w:val="single"/>
          <w:rtl/>
        </w:rPr>
        <w:t>שיקנה את השדה</w:t>
      </w:r>
      <w:r w:rsidRPr="00346C62">
        <w:rPr>
          <w:rFonts w:cs="Arial" w:hint="cs"/>
          <w:u w:val="single"/>
          <w:rtl/>
        </w:rPr>
        <w:t>:</w:t>
      </w:r>
    </w:p>
    <w:p w14:paraId="65AA475B" w14:textId="77777777" w:rsidR="004B607F" w:rsidRDefault="004B607F" w:rsidP="004B0475">
      <w:pPr>
        <w:pStyle w:val="ac"/>
        <w:numPr>
          <w:ilvl w:val="0"/>
          <w:numId w:val="111"/>
        </w:numPr>
        <w:rPr>
          <w:rFonts w:cs="Arial"/>
        </w:rPr>
      </w:pPr>
      <w:r w:rsidRPr="00346C62">
        <w:rPr>
          <w:rFonts w:cs="Arial" w:hint="cs"/>
          <w:rtl/>
        </w:rPr>
        <w:t xml:space="preserve">רי"ו </w:t>
      </w:r>
      <w:r w:rsidRPr="00346C62">
        <w:rPr>
          <w:rFonts w:cs="Arial" w:hint="cs"/>
          <w:sz w:val="16"/>
          <w:szCs w:val="16"/>
          <w:rtl/>
        </w:rPr>
        <w:t>(</w:t>
      </w:r>
      <w:r w:rsidRPr="00346C62">
        <w:rPr>
          <w:rFonts w:cs="Arial"/>
          <w:sz w:val="16"/>
          <w:szCs w:val="16"/>
          <w:rtl/>
        </w:rPr>
        <w:t>בנ"ב ח"ה שם)</w:t>
      </w:r>
      <w:r w:rsidRPr="00346C62">
        <w:rPr>
          <w:rFonts w:cs="Arial" w:hint="cs"/>
          <w:rtl/>
        </w:rPr>
        <w:t>- יכולים ה</w:t>
      </w:r>
      <w:r w:rsidRPr="00346C62">
        <w:rPr>
          <w:rFonts w:cs="Arial"/>
          <w:rtl/>
        </w:rPr>
        <w:t>עדים החתומים על מקח שדה ליקח אותה</w:t>
      </w:r>
      <w:r w:rsidRPr="00346C62">
        <w:rPr>
          <w:rFonts w:cs="Arial" w:hint="cs"/>
          <w:rtl/>
        </w:rPr>
        <w:t>,</w:t>
      </w:r>
      <w:r w:rsidRPr="00346C62">
        <w:rPr>
          <w:rFonts w:cs="Arial"/>
          <w:rtl/>
        </w:rPr>
        <w:t xml:space="preserve"> </w:t>
      </w:r>
      <w:r w:rsidRPr="00346C62">
        <w:rPr>
          <w:rFonts w:cs="Arial" w:hint="cs"/>
          <w:rtl/>
        </w:rPr>
        <w:t>אלא ד</w:t>
      </w:r>
      <w:r w:rsidRPr="00346C62">
        <w:rPr>
          <w:rFonts w:cs="Arial"/>
          <w:rtl/>
        </w:rPr>
        <w:t>בר</w:t>
      </w:r>
      <w:r>
        <w:rPr>
          <w:rFonts w:cs="Arial" w:hint="cs"/>
          <w:rtl/>
        </w:rPr>
        <w:t>"פ</w:t>
      </w:r>
      <w:r w:rsidRPr="00346C62">
        <w:rPr>
          <w:rFonts w:cs="Arial"/>
          <w:rtl/>
        </w:rPr>
        <w:t xml:space="preserve"> אלו טריפות </w:t>
      </w:r>
      <w:r w:rsidRPr="00346C62">
        <w:rPr>
          <w:rFonts w:cs="Arial"/>
          <w:sz w:val="16"/>
          <w:szCs w:val="16"/>
          <w:rtl/>
        </w:rPr>
        <w:t xml:space="preserve">(חולין מד:) </w:t>
      </w:r>
      <w:r w:rsidRPr="00346C62">
        <w:rPr>
          <w:rFonts w:cs="Arial"/>
          <w:rtl/>
        </w:rPr>
        <w:t>אמרו דעל זה אמרו חכמים הרחק מן הכיעור ומן הדומה לכיעור</w:t>
      </w:r>
      <w:r w:rsidRPr="00346C62">
        <w:rPr>
          <w:rFonts w:cs="Arial" w:hint="cs"/>
          <w:rtl/>
        </w:rPr>
        <w:t>.</w:t>
      </w:r>
    </w:p>
    <w:p w14:paraId="50805E13" w14:textId="77777777" w:rsidR="004B607F" w:rsidRPr="006A100A" w:rsidRDefault="004B607F" w:rsidP="004B607F">
      <w:pPr>
        <w:ind w:left="360"/>
        <w:rPr>
          <w:rFonts w:cs="Arial"/>
          <w:u w:val="dotted"/>
          <w:rtl/>
        </w:rPr>
      </w:pPr>
      <w:r w:rsidRPr="006A100A">
        <w:rPr>
          <w:rFonts w:cs="Arial" w:hint="cs"/>
          <w:u w:val="dotted"/>
          <w:rtl/>
        </w:rPr>
        <w:t>האם הדין כן אף לגבי דיין שדן דין</w:t>
      </w:r>
      <w:r w:rsidRPr="006A100A">
        <w:rPr>
          <w:rFonts w:cs="Arial" w:hint="cs"/>
          <w:sz w:val="16"/>
          <w:szCs w:val="16"/>
          <w:u w:val="dotted"/>
          <w:rtl/>
        </w:rPr>
        <w:t xml:space="preserve"> (היינו האם יכול לקנות את מה שדן בו)</w:t>
      </w:r>
      <w:r w:rsidRPr="006A100A">
        <w:rPr>
          <w:rFonts w:cs="Arial" w:hint="cs"/>
          <w:u w:val="dotted"/>
          <w:rtl/>
        </w:rPr>
        <w:t>:</w:t>
      </w:r>
    </w:p>
    <w:p w14:paraId="67A5EDF2" w14:textId="77777777" w:rsidR="004B607F" w:rsidRPr="00022365" w:rsidRDefault="004B607F" w:rsidP="004B0475">
      <w:pPr>
        <w:pStyle w:val="ac"/>
        <w:numPr>
          <w:ilvl w:val="0"/>
          <w:numId w:val="111"/>
        </w:numPr>
        <w:rPr>
          <w:rtl/>
        </w:rPr>
      </w:pPr>
      <w:r w:rsidRPr="00346C62">
        <w:rPr>
          <w:rFonts w:cs="Arial"/>
          <w:rtl/>
        </w:rPr>
        <w:t>תוס</w:t>
      </w:r>
      <w:r w:rsidRPr="00346C62">
        <w:rPr>
          <w:rFonts w:cs="Arial" w:hint="cs"/>
          <w:rtl/>
        </w:rPr>
        <w:t>'</w:t>
      </w:r>
      <w:r w:rsidRPr="00346C62">
        <w:rPr>
          <w:rFonts w:cs="Arial"/>
          <w:rtl/>
        </w:rPr>
        <w:t xml:space="preserve"> </w:t>
      </w:r>
      <w:r w:rsidRPr="00346C62">
        <w:rPr>
          <w:rFonts w:cs="Arial" w:hint="cs"/>
          <w:sz w:val="16"/>
          <w:szCs w:val="16"/>
          <w:rtl/>
        </w:rPr>
        <w:t>(</w:t>
      </w:r>
      <w:r w:rsidRPr="00346C62">
        <w:rPr>
          <w:rFonts w:cs="Arial"/>
          <w:sz w:val="16"/>
          <w:szCs w:val="16"/>
          <w:rtl/>
        </w:rPr>
        <w:t>פרק אלו טריפות</w:t>
      </w:r>
      <w:r w:rsidRPr="00346C62">
        <w:rPr>
          <w:rFonts w:cs="Arial" w:hint="cs"/>
          <w:sz w:val="16"/>
          <w:szCs w:val="16"/>
          <w:rtl/>
        </w:rPr>
        <w:t xml:space="preserve"> </w:t>
      </w:r>
      <w:r w:rsidRPr="00346C62">
        <w:rPr>
          <w:rFonts w:cs="Arial"/>
          <w:sz w:val="16"/>
          <w:szCs w:val="16"/>
          <w:rtl/>
        </w:rPr>
        <w:t>ד"ה וכן</w:t>
      </w:r>
      <w:r>
        <w:rPr>
          <w:rFonts w:cs="Arial" w:hint="cs"/>
          <w:sz w:val="16"/>
          <w:szCs w:val="16"/>
          <w:rtl/>
        </w:rPr>
        <w:t>, הב"י שלח לעיין בדבריו</w:t>
      </w:r>
      <w:r w:rsidRPr="00346C62">
        <w:rPr>
          <w:rFonts w:cs="Arial"/>
          <w:sz w:val="16"/>
          <w:szCs w:val="16"/>
          <w:rtl/>
        </w:rPr>
        <w:t>)</w:t>
      </w:r>
      <w:r w:rsidRPr="00346C62">
        <w:rPr>
          <w:rFonts w:cs="Arial" w:hint="cs"/>
          <w:rtl/>
        </w:rPr>
        <w:t>-</w:t>
      </w:r>
      <w:r w:rsidRPr="00390A15">
        <w:rPr>
          <w:rtl/>
        </w:rPr>
        <w:t xml:space="preserve"> </w:t>
      </w:r>
      <w:r w:rsidRPr="00346C62">
        <w:rPr>
          <w:rFonts w:cs="Arial"/>
          <w:rtl/>
        </w:rPr>
        <w:t>אם תאמר דן את הדין דהכא היאך רשאי ליקח</w:t>
      </w:r>
      <w:r w:rsidRPr="00346C62">
        <w:rPr>
          <w:rFonts w:cs="Arial" w:hint="cs"/>
          <w:rtl/>
        </w:rPr>
        <w:t>,</w:t>
      </w:r>
      <w:r w:rsidRPr="00346C62">
        <w:rPr>
          <w:rFonts w:cs="Arial"/>
          <w:rtl/>
        </w:rPr>
        <w:t xml:space="preserve"> והלא יחיד הוה מדקתני דן</w:t>
      </w:r>
      <w:r>
        <w:rPr>
          <w:rFonts w:cs="Arial" w:hint="cs"/>
          <w:rtl/>
        </w:rPr>
        <w:t>,</w:t>
      </w:r>
      <w:r w:rsidRPr="00346C62">
        <w:rPr>
          <w:rFonts w:cs="Arial"/>
          <w:rtl/>
        </w:rPr>
        <w:t xml:space="preserve"> דמכח מתני' דבכורות </w:t>
      </w:r>
      <w:r>
        <w:rPr>
          <w:rFonts w:cs="Arial" w:hint="cs"/>
          <w:sz w:val="16"/>
          <w:szCs w:val="16"/>
          <w:rtl/>
        </w:rPr>
        <w:t>(</w:t>
      </w:r>
      <w:r w:rsidRPr="00346C62">
        <w:rPr>
          <w:rFonts w:cs="Arial"/>
          <w:sz w:val="16"/>
          <w:szCs w:val="16"/>
          <w:rtl/>
        </w:rPr>
        <w:t xml:space="preserve">כח:) </w:t>
      </w:r>
      <w:r w:rsidRPr="00346C62">
        <w:rPr>
          <w:rFonts w:cs="Arial"/>
          <w:rtl/>
        </w:rPr>
        <w:t xml:space="preserve">דתנן דן את הדין מייתי בפ"ק דסנהדרין </w:t>
      </w:r>
      <w:r w:rsidRPr="00346C62">
        <w:rPr>
          <w:rFonts w:cs="Arial"/>
          <w:sz w:val="16"/>
          <w:szCs w:val="16"/>
          <w:rtl/>
        </w:rPr>
        <w:t xml:space="preserve">(ו.) </w:t>
      </w:r>
      <w:r w:rsidRPr="00346C62">
        <w:rPr>
          <w:rFonts w:cs="Arial"/>
          <w:rtl/>
        </w:rPr>
        <w:t>דשנים שדנו דיניהם דין</w:t>
      </w:r>
      <w:r>
        <w:rPr>
          <w:rFonts w:cs="Arial" w:hint="cs"/>
          <w:rtl/>
        </w:rPr>
        <w:t>,</w:t>
      </w:r>
      <w:r w:rsidRPr="00346C62">
        <w:rPr>
          <w:rFonts w:cs="Arial"/>
          <w:rtl/>
        </w:rPr>
        <w:t xml:space="preserve"> ולאו דוקא ב' אלא ה"ה אחד</w:t>
      </w:r>
      <w:r w:rsidRPr="00346C62">
        <w:rPr>
          <w:rFonts w:cs="Arial" w:hint="cs"/>
          <w:rtl/>
        </w:rPr>
        <w:t>,</w:t>
      </w:r>
      <w:r w:rsidRPr="00346C62">
        <w:rPr>
          <w:rFonts w:cs="Arial"/>
          <w:rtl/>
        </w:rPr>
        <w:t xml:space="preserve"> ואין לומר דדיין לא חשיד דהא אמרינן בפ"ב דיבמות </w:t>
      </w:r>
      <w:r w:rsidRPr="00346C62">
        <w:rPr>
          <w:rFonts w:cs="Arial"/>
          <w:sz w:val="16"/>
          <w:szCs w:val="16"/>
          <w:rtl/>
        </w:rPr>
        <w:t xml:space="preserve">(כה:) </w:t>
      </w:r>
      <w:r w:rsidRPr="00346C62">
        <w:rPr>
          <w:rFonts w:cs="Arial"/>
          <w:rtl/>
        </w:rPr>
        <w:t>החכם שאסר את האשה בנדר דלא ישאנה</w:t>
      </w:r>
      <w:r>
        <w:rPr>
          <w:rFonts w:cs="Arial" w:hint="cs"/>
          <w:rtl/>
        </w:rPr>
        <w:t>.</w:t>
      </w:r>
      <w:r w:rsidRPr="00346C62">
        <w:rPr>
          <w:rFonts w:cs="Arial"/>
          <w:rtl/>
        </w:rPr>
        <w:t xml:space="preserve"> ושמא חיישינן התם טפי שמא עיניו נתן בה</w:t>
      </w:r>
      <w:r>
        <w:rPr>
          <w:rFonts w:cs="Arial" w:hint="cs"/>
          <w:rtl/>
        </w:rPr>
        <w:t>.</w:t>
      </w:r>
      <w:r w:rsidRPr="00346C62">
        <w:rPr>
          <w:rFonts w:cs="Arial"/>
          <w:rtl/>
        </w:rPr>
        <w:t xml:space="preserve"> ועוד יש לומר דההיא דבכורות מוכחא טפי דביחיד איירי</w:t>
      </w:r>
      <w:r>
        <w:rPr>
          <w:rFonts w:cs="Arial" w:hint="cs"/>
          <w:rtl/>
        </w:rPr>
        <w:t>,</w:t>
      </w:r>
      <w:r w:rsidRPr="00346C62">
        <w:rPr>
          <w:rFonts w:cs="Arial"/>
          <w:rtl/>
        </w:rPr>
        <w:t xml:space="preserve"> דקתני רישא מי שאינו מומחה וראה את הבכור כו' בפרק עד כמה </w:t>
      </w:r>
      <w:r w:rsidRPr="00346C62">
        <w:rPr>
          <w:rFonts w:cs="Arial"/>
          <w:sz w:val="16"/>
          <w:szCs w:val="16"/>
          <w:rtl/>
        </w:rPr>
        <w:t>(בכורות כח:)</w:t>
      </w:r>
      <w:r>
        <w:rPr>
          <w:rFonts w:cs="Arial" w:hint="cs"/>
          <w:rtl/>
        </w:rPr>
        <w:t xml:space="preserve">, </w:t>
      </w:r>
      <w:r w:rsidRPr="00346C62">
        <w:rPr>
          <w:rFonts w:cs="Arial"/>
          <w:rtl/>
        </w:rPr>
        <w:t>ולהכי דייק מינה בסנהדרין.</w:t>
      </w:r>
    </w:p>
    <w:bookmarkEnd w:id="358"/>
    <w:p w14:paraId="63A63E18" w14:textId="77777777" w:rsidR="004B607F" w:rsidRPr="003024E5" w:rsidRDefault="004B607F" w:rsidP="004B607F">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7BA90F1C" w14:textId="77777777" w:rsidR="004B607F" w:rsidRDefault="004B607F" w:rsidP="004B607F">
      <w:pPr>
        <w:rPr>
          <w:rtl/>
        </w:rPr>
      </w:pPr>
      <w:r>
        <w:rPr>
          <w:rFonts w:cs="Arial"/>
          <w:rtl/>
        </w:rPr>
        <w:t xml:space="preserve">עדים שהודו שיש להם חלק באותו חוב שהעידו כבר עליו, אין באותה הודאה ממש. </w:t>
      </w:r>
      <w:r>
        <w:rPr>
          <w:rFonts w:cs="Arial" w:hint="cs"/>
          <w:sz w:val="18"/>
          <w:szCs w:val="18"/>
          <w:rtl/>
        </w:rPr>
        <w:t xml:space="preserve">[הגה] </w:t>
      </w:r>
      <w:r w:rsidRPr="009E502B">
        <w:rPr>
          <w:rFonts w:cs="Arial"/>
          <w:sz w:val="18"/>
          <w:szCs w:val="18"/>
          <w:rtl/>
        </w:rPr>
        <w:t>אבל אם אמרו כן קודם שהעידו העדות בטל (ב"י בשם תשובות שבסוף חזה התנופה).</w:t>
      </w:r>
      <w:r>
        <w:rPr>
          <w:rFonts w:cs="Arial"/>
          <w:rtl/>
        </w:rPr>
        <w:t xml:space="preserve"> </w:t>
      </w:r>
    </w:p>
    <w:p w14:paraId="1FB590B2" w14:textId="77777777" w:rsidR="004B607F" w:rsidRDefault="004B607F" w:rsidP="004B607F">
      <w:pPr>
        <w:rPr>
          <w:rtl/>
        </w:rPr>
      </w:pPr>
    </w:p>
    <w:p w14:paraId="137CC952" w14:textId="77777777" w:rsidR="004B607F" w:rsidRDefault="004B607F" w:rsidP="004B607F">
      <w:pPr>
        <w:pStyle w:val="2"/>
        <w:rPr>
          <w:rtl/>
        </w:rPr>
      </w:pPr>
      <w:bookmarkStart w:id="359" w:name="_Toc24883805"/>
      <w:r>
        <w:rPr>
          <w:rtl/>
        </w:rPr>
        <w:t>סעיף ד</w:t>
      </w:r>
      <w:r>
        <w:rPr>
          <w:rFonts w:hint="cs"/>
          <w:rtl/>
        </w:rPr>
        <w:t>:</w:t>
      </w:r>
      <w:r>
        <w:rPr>
          <w:rFonts w:hint="cs"/>
        </w:rPr>
        <w:t xml:space="preserve"> </w:t>
      </w:r>
      <w:r>
        <w:rPr>
          <w:rFonts w:cs="Arial" w:hint="cs"/>
          <w:rtl/>
        </w:rPr>
        <w:t>אחד</w:t>
      </w:r>
      <w:r w:rsidRPr="00022365">
        <w:rPr>
          <w:rFonts w:cs="Arial"/>
          <w:rtl/>
        </w:rPr>
        <w:t xml:space="preserve"> תבע לשנים שהלוה להן וכפר אחד והודה השני שהוא וחבירו חייבים</w:t>
      </w:r>
      <w:r>
        <w:rPr>
          <w:rFonts w:cs="Arial" w:hint="cs"/>
          <w:rtl/>
        </w:rPr>
        <w:t>.</w:t>
      </w:r>
      <w:bookmarkEnd w:id="359"/>
    </w:p>
    <w:p w14:paraId="3543FB4C" w14:textId="77777777" w:rsidR="004B607F" w:rsidRPr="00723EA5" w:rsidRDefault="004B607F" w:rsidP="004B607F">
      <w:pPr>
        <w:rPr>
          <w:rFonts w:cs="Arial"/>
          <w:u w:val="single"/>
          <w:rtl/>
        </w:rPr>
      </w:pPr>
      <w:r>
        <w:rPr>
          <w:rFonts w:cs="Arial" w:hint="cs"/>
          <w:u w:val="single"/>
          <w:rtl/>
        </w:rPr>
        <w:t>אחד</w:t>
      </w:r>
      <w:r w:rsidRPr="00723EA5">
        <w:rPr>
          <w:rFonts w:cs="Arial"/>
          <w:u w:val="single"/>
          <w:rtl/>
        </w:rPr>
        <w:t xml:space="preserve"> תבע לשנים שהלוה להן וכפר אחד והודה השני שהוא וחבירו חייבים</w:t>
      </w:r>
      <w:r w:rsidRPr="00723EA5">
        <w:rPr>
          <w:rFonts w:cs="Arial" w:hint="cs"/>
          <w:u w:val="single"/>
          <w:rtl/>
        </w:rPr>
        <w:t>:</w:t>
      </w:r>
    </w:p>
    <w:p w14:paraId="0C0C6868" w14:textId="77777777" w:rsidR="004B607F" w:rsidRPr="00022365" w:rsidRDefault="004B607F" w:rsidP="004B0475">
      <w:pPr>
        <w:pStyle w:val="ac"/>
        <w:numPr>
          <w:ilvl w:val="0"/>
          <w:numId w:val="111"/>
        </w:numPr>
        <w:rPr>
          <w:rtl/>
        </w:rPr>
      </w:pPr>
      <w:r w:rsidRPr="00723EA5">
        <w:rPr>
          <w:rFonts w:cs="Arial"/>
          <w:rtl/>
        </w:rPr>
        <w:t xml:space="preserve">תשובות רבני צרפת </w:t>
      </w:r>
      <w:r w:rsidRPr="00723EA5">
        <w:rPr>
          <w:rFonts w:cs="Arial" w:hint="cs"/>
          <w:sz w:val="16"/>
          <w:szCs w:val="16"/>
          <w:rtl/>
        </w:rPr>
        <w:t>(כ"כ הב"י בשמם, ועי' שו"ת הרי"ף סי' קנד)</w:t>
      </w:r>
      <w:r w:rsidRPr="00723EA5">
        <w:rPr>
          <w:rFonts w:cs="Arial" w:hint="cs"/>
          <w:rtl/>
        </w:rPr>
        <w:t xml:space="preserve">- </w:t>
      </w:r>
      <w:r w:rsidRPr="00723EA5">
        <w:rPr>
          <w:rFonts w:cs="Arial"/>
          <w:rtl/>
        </w:rPr>
        <w:t>ראובן תבע לשנים שהלוה להן</w:t>
      </w:r>
      <w:r>
        <w:rPr>
          <w:rFonts w:cs="Arial" w:hint="cs"/>
          <w:rtl/>
        </w:rPr>
        <w:t>,</w:t>
      </w:r>
      <w:r w:rsidRPr="00723EA5">
        <w:rPr>
          <w:rFonts w:cs="Arial"/>
          <w:rtl/>
        </w:rPr>
        <w:t xml:space="preserve"> וכפר אחד</w:t>
      </w:r>
      <w:r>
        <w:rPr>
          <w:rFonts w:cs="Arial" w:hint="cs"/>
          <w:rtl/>
        </w:rPr>
        <w:t>,</w:t>
      </w:r>
      <w:r w:rsidRPr="00723EA5">
        <w:rPr>
          <w:rFonts w:cs="Arial"/>
          <w:rtl/>
        </w:rPr>
        <w:t xml:space="preserve"> והודה השני שהוא וחבירו חייבים</w:t>
      </w:r>
      <w:r>
        <w:rPr>
          <w:rFonts w:cs="Arial" w:hint="cs"/>
          <w:rtl/>
        </w:rPr>
        <w:t xml:space="preserve"> -</w:t>
      </w:r>
      <w:r w:rsidRPr="00723EA5">
        <w:rPr>
          <w:rFonts w:cs="Arial"/>
          <w:rtl/>
        </w:rPr>
        <w:t xml:space="preserve"> אם אותו ממון לקחו בשיתוף נעשו אחראין זה לזה </w:t>
      </w:r>
      <w:r w:rsidRPr="00723EA5">
        <w:rPr>
          <w:rFonts w:cs="Arial"/>
          <w:sz w:val="16"/>
          <w:szCs w:val="16"/>
          <w:rtl/>
        </w:rPr>
        <w:t xml:space="preserve">(ירושלמי שבועות פ"ה ה"א) </w:t>
      </w:r>
      <w:r w:rsidRPr="00723EA5">
        <w:rPr>
          <w:rFonts w:cs="Arial"/>
          <w:rtl/>
        </w:rPr>
        <w:t>וזה שהודה יתחייב בכל</w:t>
      </w:r>
      <w:r>
        <w:rPr>
          <w:rFonts w:cs="Arial" w:hint="cs"/>
          <w:rtl/>
        </w:rPr>
        <w:t>,</w:t>
      </w:r>
      <w:r w:rsidRPr="00723EA5">
        <w:rPr>
          <w:rFonts w:cs="Arial"/>
          <w:rtl/>
        </w:rPr>
        <w:t xml:space="preserve"> ואין מקבלין עדותו על חבירו מפני שהוא נוגע בדבר</w:t>
      </w:r>
      <w:r w:rsidRPr="00723EA5">
        <w:rPr>
          <w:rFonts w:cs="Arial" w:hint="cs"/>
          <w:rtl/>
        </w:rPr>
        <w:t>.</w:t>
      </w:r>
      <w:r>
        <w:rPr>
          <w:rFonts w:hint="cs"/>
          <w:rtl/>
        </w:rPr>
        <w:t xml:space="preserve"> </w:t>
      </w:r>
      <w:r w:rsidRPr="00723EA5">
        <w:rPr>
          <w:rFonts w:hint="cs"/>
          <w:color w:val="E36C0A" w:themeColor="accent6" w:themeShade="BF"/>
          <w:rtl/>
        </w:rPr>
        <w:t>(וכ"פ בשו"ע)</w:t>
      </w:r>
    </w:p>
    <w:p w14:paraId="530E106F" w14:textId="77777777" w:rsidR="004B607F" w:rsidRPr="003024E5" w:rsidRDefault="004B607F" w:rsidP="004B607F">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5D994412" w14:textId="77777777" w:rsidR="004B607F" w:rsidRDefault="004B607F" w:rsidP="004B607F">
      <w:pPr>
        <w:rPr>
          <w:rtl/>
        </w:rPr>
      </w:pPr>
      <w:r>
        <w:rPr>
          <w:rFonts w:cs="Arial"/>
          <w:rtl/>
        </w:rPr>
        <w:lastRenderedPageBreak/>
        <w:t>ראובן תבע לשנים שהלוה להם, וכפר א</w:t>
      </w:r>
      <w:r>
        <w:rPr>
          <w:rFonts w:cs="Arial" w:hint="cs"/>
          <w:rtl/>
        </w:rPr>
        <w:t>חד,</w:t>
      </w:r>
      <w:r>
        <w:rPr>
          <w:rFonts w:cs="Arial"/>
          <w:rtl/>
        </w:rPr>
        <w:t xml:space="preserve"> והודה השני שהוא וחבירו חייבים</w:t>
      </w:r>
      <w:r>
        <w:rPr>
          <w:rFonts w:cs="Arial" w:hint="cs"/>
          <w:rtl/>
        </w:rPr>
        <w:t>.</w:t>
      </w:r>
      <w:r>
        <w:rPr>
          <w:rFonts w:cs="Arial"/>
          <w:rtl/>
        </w:rPr>
        <w:t xml:space="preserve"> אם אותו ממון לקחו בשותפות</w:t>
      </w:r>
      <w:r>
        <w:rPr>
          <w:rFonts w:cs="Arial" w:hint="cs"/>
          <w:rtl/>
        </w:rPr>
        <w:t>,</w:t>
      </w:r>
      <w:r>
        <w:rPr>
          <w:rFonts w:cs="Arial"/>
          <w:rtl/>
        </w:rPr>
        <w:t xml:space="preserve"> אינו נאמן על חבירו, והוא לבדו יתחייב בכל. </w:t>
      </w:r>
    </w:p>
    <w:p w14:paraId="5BD546E5" w14:textId="77777777" w:rsidR="004B607F" w:rsidRDefault="004B607F" w:rsidP="004B607F">
      <w:pPr>
        <w:rPr>
          <w:rtl/>
        </w:rPr>
      </w:pPr>
    </w:p>
    <w:p w14:paraId="200DAFA9" w14:textId="77777777" w:rsidR="004B607F" w:rsidRDefault="004B607F" w:rsidP="004B607F">
      <w:pPr>
        <w:pStyle w:val="2"/>
        <w:rPr>
          <w:rtl/>
        </w:rPr>
      </w:pPr>
      <w:bookmarkStart w:id="360" w:name="_Toc24883806"/>
      <w:r>
        <w:rPr>
          <w:rtl/>
        </w:rPr>
        <w:t>סעיף ה</w:t>
      </w:r>
      <w:r>
        <w:rPr>
          <w:rFonts w:hint="cs"/>
          <w:rtl/>
        </w:rPr>
        <w:t>:</w:t>
      </w:r>
      <w:r w:rsidRPr="00723EA5">
        <w:rPr>
          <w:rFonts w:cs="Arial"/>
          <w:rtl/>
        </w:rPr>
        <w:t xml:space="preserve"> </w:t>
      </w:r>
      <w:r>
        <w:rPr>
          <w:rFonts w:cs="Arial" w:hint="cs"/>
          <w:rtl/>
        </w:rPr>
        <w:t xml:space="preserve">אחד </w:t>
      </w:r>
      <w:r w:rsidRPr="00022365">
        <w:rPr>
          <w:rFonts w:cs="Arial"/>
          <w:rtl/>
        </w:rPr>
        <w:t>הוציא שטר חוב על שלשה אנשים וטענו כלם ואמרו פרענו</w:t>
      </w:r>
      <w:r>
        <w:rPr>
          <w:rFonts w:hint="cs"/>
          <w:rtl/>
        </w:rPr>
        <w:t>.</w:t>
      </w:r>
      <w:bookmarkEnd w:id="360"/>
    </w:p>
    <w:p w14:paraId="4818B286" w14:textId="77777777" w:rsidR="004B607F" w:rsidRDefault="004B607F" w:rsidP="004B607F">
      <w:pPr>
        <w:rPr>
          <w:rFonts w:cs="Arial"/>
          <w:rtl/>
        </w:rPr>
      </w:pPr>
      <w:r w:rsidRPr="00723EA5">
        <w:rPr>
          <w:rFonts w:cs="Arial" w:hint="cs"/>
          <w:u w:val="single"/>
          <w:rtl/>
        </w:rPr>
        <w:t xml:space="preserve">אחד </w:t>
      </w:r>
      <w:r w:rsidRPr="00723EA5">
        <w:rPr>
          <w:rFonts w:cs="Arial"/>
          <w:u w:val="single"/>
          <w:rtl/>
        </w:rPr>
        <w:t>הוציא שטר חוב על שלשה אנשים וטענו כלם ואמרו פרענו</w:t>
      </w:r>
      <w:r w:rsidRPr="00723EA5">
        <w:rPr>
          <w:rFonts w:cs="Arial" w:hint="cs"/>
          <w:u w:val="single"/>
          <w:rtl/>
        </w:rPr>
        <w:t>:</w:t>
      </w:r>
    </w:p>
    <w:p w14:paraId="76858722" w14:textId="77777777" w:rsidR="004B607F" w:rsidRPr="00022365" w:rsidRDefault="004B607F" w:rsidP="004B0475">
      <w:pPr>
        <w:pStyle w:val="ac"/>
        <w:numPr>
          <w:ilvl w:val="0"/>
          <w:numId w:val="111"/>
        </w:numPr>
        <w:rPr>
          <w:rtl/>
        </w:rPr>
      </w:pPr>
      <w:r w:rsidRPr="00723EA5">
        <w:rPr>
          <w:rFonts w:cs="Arial"/>
          <w:rtl/>
        </w:rPr>
        <w:t xml:space="preserve">תשובות רבני צרפת </w:t>
      </w:r>
      <w:r w:rsidRPr="00723EA5">
        <w:rPr>
          <w:rFonts w:cs="Arial" w:hint="cs"/>
          <w:sz w:val="16"/>
          <w:szCs w:val="16"/>
          <w:rtl/>
        </w:rPr>
        <w:t>(כ"כ הב"י בשמם, ועי' שו"ת הרי"ף סי' קנד)</w:t>
      </w:r>
      <w:r w:rsidRPr="00723EA5">
        <w:rPr>
          <w:rFonts w:cs="Arial" w:hint="cs"/>
          <w:rtl/>
        </w:rPr>
        <w:t>-</w:t>
      </w:r>
      <w:r>
        <w:rPr>
          <w:rFonts w:hint="cs"/>
          <w:rtl/>
        </w:rPr>
        <w:t xml:space="preserve"> </w:t>
      </w:r>
      <w:r w:rsidRPr="00723EA5">
        <w:rPr>
          <w:rFonts w:cs="Arial"/>
          <w:rtl/>
        </w:rPr>
        <w:t>ראובן הוציא שטר חוב על שלשה אנשים</w:t>
      </w:r>
      <w:r>
        <w:rPr>
          <w:rFonts w:cs="Arial" w:hint="cs"/>
          <w:rtl/>
        </w:rPr>
        <w:t>,</w:t>
      </w:r>
      <w:r w:rsidRPr="00723EA5">
        <w:rPr>
          <w:rFonts w:cs="Arial"/>
          <w:rtl/>
        </w:rPr>
        <w:t xml:space="preserve"> וטענו כלם ואמרו </w:t>
      </w:r>
      <w:r>
        <w:rPr>
          <w:rFonts w:cs="Arial" w:hint="cs"/>
          <w:rtl/>
        </w:rPr>
        <w:t>'</w:t>
      </w:r>
      <w:r w:rsidRPr="00723EA5">
        <w:rPr>
          <w:rFonts w:cs="Arial"/>
          <w:rtl/>
        </w:rPr>
        <w:t>פרענו</w:t>
      </w:r>
      <w:r>
        <w:rPr>
          <w:rFonts w:cs="Arial" w:hint="cs"/>
          <w:rtl/>
        </w:rPr>
        <w:t>',</w:t>
      </w:r>
      <w:r w:rsidRPr="00723EA5">
        <w:rPr>
          <w:rFonts w:cs="Arial"/>
          <w:rtl/>
        </w:rPr>
        <w:t xml:space="preserve"> אם כל אחד מהם חייב עשרה זהובים לעצמו ואין לחבירו בהם שותפות </w:t>
      </w:r>
      <w:r>
        <w:rPr>
          <w:rFonts w:cs="Arial" w:hint="cs"/>
          <w:rtl/>
        </w:rPr>
        <w:t xml:space="preserve">- </w:t>
      </w:r>
      <w:r w:rsidRPr="00723EA5">
        <w:rPr>
          <w:rFonts w:cs="Arial"/>
          <w:rtl/>
        </w:rPr>
        <w:t>עדותו כשרה על חבירו</w:t>
      </w:r>
      <w:r>
        <w:rPr>
          <w:rFonts w:cs="Arial" w:hint="cs"/>
          <w:rtl/>
        </w:rPr>
        <w:t>,</w:t>
      </w:r>
      <w:r w:rsidRPr="00723EA5">
        <w:rPr>
          <w:rFonts w:cs="Arial"/>
          <w:rtl/>
        </w:rPr>
        <w:t xml:space="preserve"> ולא חיישינן לגומלין</w:t>
      </w:r>
      <w:r w:rsidRPr="00723EA5">
        <w:rPr>
          <w:rFonts w:cs="Arial" w:hint="cs"/>
          <w:rtl/>
        </w:rPr>
        <w:t>.</w:t>
      </w:r>
      <w:r>
        <w:rPr>
          <w:rFonts w:hint="cs"/>
          <w:rtl/>
        </w:rPr>
        <w:t xml:space="preserve"> </w:t>
      </w:r>
      <w:r w:rsidRPr="00723EA5">
        <w:rPr>
          <w:rFonts w:hint="cs"/>
          <w:color w:val="E36C0A" w:themeColor="accent6" w:themeShade="BF"/>
          <w:rtl/>
        </w:rPr>
        <w:t>(וכ"פ בשו"ע)</w:t>
      </w:r>
    </w:p>
    <w:p w14:paraId="7B9E15FD" w14:textId="77777777" w:rsidR="004B607F" w:rsidRPr="003024E5" w:rsidRDefault="004B607F" w:rsidP="004B607F">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7ABE87D0" w14:textId="77777777" w:rsidR="004B607F" w:rsidRDefault="004B607F" w:rsidP="004B607F">
      <w:pPr>
        <w:rPr>
          <w:rtl/>
        </w:rPr>
      </w:pPr>
      <w:r>
        <w:rPr>
          <w:rFonts w:cs="Arial"/>
          <w:rtl/>
        </w:rPr>
        <w:t>המוציא ש</w:t>
      </w:r>
      <w:r>
        <w:rPr>
          <w:rFonts w:cs="Arial" w:hint="cs"/>
          <w:rtl/>
        </w:rPr>
        <w:t xml:space="preserve">טר </w:t>
      </w:r>
      <w:r>
        <w:rPr>
          <w:rFonts w:cs="Arial"/>
          <w:rtl/>
        </w:rPr>
        <w:t>ח</w:t>
      </w:r>
      <w:r>
        <w:rPr>
          <w:rFonts w:cs="Arial" w:hint="cs"/>
          <w:rtl/>
        </w:rPr>
        <w:t>וב</w:t>
      </w:r>
      <w:r>
        <w:rPr>
          <w:rFonts w:cs="Arial"/>
          <w:rtl/>
        </w:rPr>
        <w:t xml:space="preserve"> על </w:t>
      </w:r>
      <w:r>
        <w:rPr>
          <w:rFonts w:cs="Arial" w:hint="cs"/>
          <w:rtl/>
        </w:rPr>
        <w:t>שלשה</w:t>
      </w:r>
      <w:r>
        <w:rPr>
          <w:rFonts w:cs="Arial"/>
          <w:rtl/>
        </w:rPr>
        <w:t xml:space="preserve"> וטענו כולם פרענו, אם כל אחד מהם חייב עשרה זהובים לעצמו, ואין לחבירו בהם שותפות, עדותו כשרה על חבירו</w:t>
      </w:r>
      <w:r>
        <w:rPr>
          <w:rStyle w:val="ab"/>
          <w:rFonts w:cs="Arial"/>
          <w:rtl/>
        </w:rPr>
        <w:footnoteReference w:id="2691"/>
      </w:r>
      <w:r>
        <w:rPr>
          <w:rFonts w:cs="Arial"/>
          <w:rtl/>
        </w:rPr>
        <w:t xml:space="preserve">. </w:t>
      </w:r>
    </w:p>
    <w:p w14:paraId="7A6D2EF8" w14:textId="77777777" w:rsidR="004B607F" w:rsidRDefault="004B607F" w:rsidP="004B607F">
      <w:pPr>
        <w:rPr>
          <w:rtl/>
        </w:rPr>
      </w:pPr>
    </w:p>
    <w:p w14:paraId="49AFDC66" w14:textId="77777777" w:rsidR="004B607F" w:rsidRDefault="004B607F" w:rsidP="004B607F">
      <w:pPr>
        <w:pStyle w:val="2"/>
        <w:rPr>
          <w:rtl/>
        </w:rPr>
      </w:pPr>
      <w:bookmarkStart w:id="361" w:name="_Toc24883807"/>
      <w:r>
        <w:rPr>
          <w:rtl/>
        </w:rPr>
        <w:t>סעיף ו</w:t>
      </w:r>
      <w:r>
        <w:rPr>
          <w:rFonts w:hint="cs"/>
          <w:rtl/>
        </w:rPr>
        <w:t>:</w:t>
      </w:r>
      <w:r w:rsidRPr="002D15B1">
        <w:rPr>
          <w:rFonts w:hint="cs"/>
          <w:rtl/>
        </w:rPr>
        <w:t xml:space="preserve"> </w:t>
      </w:r>
      <w:r>
        <w:rPr>
          <w:rFonts w:hint="cs"/>
          <w:rtl/>
        </w:rPr>
        <w:t>הטוען דבר שהוא חוב לו ולחבריו.</w:t>
      </w:r>
      <w:bookmarkEnd w:id="361"/>
    </w:p>
    <w:p w14:paraId="7AA71C14" w14:textId="77777777" w:rsidR="004B607F" w:rsidRPr="002D15B1" w:rsidRDefault="004B607F" w:rsidP="004B607F">
      <w:pPr>
        <w:rPr>
          <w:u w:val="single"/>
          <w:rtl/>
        </w:rPr>
      </w:pPr>
      <w:r w:rsidRPr="002D15B1">
        <w:rPr>
          <w:rFonts w:hint="cs"/>
          <w:u w:val="single"/>
          <w:rtl/>
        </w:rPr>
        <w:t>הטוען דבר שהוא חוב לו ולחבריו:</w:t>
      </w:r>
    </w:p>
    <w:p w14:paraId="77ED2219" w14:textId="77777777" w:rsidR="004B607F" w:rsidRDefault="004B607F" w:rsidP="004B0475">
      <w:pPr>
        <w:pStyle w:val="ac"/>
        <w:numPr>
          <w:ilvl w:val="0"/>
          <w:numId w:val="111"/>
        </w:numPr>
        <w:rPr>
          <w:rFonts w:cs="Arial"/>
        </w:rPr>
      </w:pPr>
      <w:r w:rsidRPr="002D15B1">
        <w:rPr>
          <w:rFonts w:cs="Arial" w:hint="cs"/>
          <w:rtl/>
        </w:rPr>
        <w:t xml:space="preserve">ב"י- </w:t>
      </w:r>
      <w:r w:rsidRPr="002D15B1">
        <w:rPr>
          <w:rFonts w:cs="Arial"/>
          <w:rtl/>
        </w:rPr>
        <w:t>מצאתי כתוב</w:t>
      </w:r>
      <w:r>
        <w:rPr>
          <w:rFonts w:cs="Arial" w:hint="cs"/>
          <w:rtl/>
        </w:rPr>
        <w:t>,</w:t>
      </w:r>
      <w:r w:rsidRPr="002D15B1">
        <w:rPr>
          <w:rFonts w:cs="Arial"/>
          <w:rtl/>
        </w:rPr>
        <w:t xml:space="preserve"> אי טעין חד מהשותפין דבר שהוא חוב לו ולחביריו </w:t>
      </w:r>
      <w:r>
        <w:rPr>
          <w:rFonts w:cs="Arial" w:hint="cs"/>
          <w:rtl/>
        </w:rPr>
        <w:t xml:space="preserve">- </w:t>
      </w:r>
      <w:r w:rsidRPr="002D15B1">
        <w:rPr>
          <w:rFonts w:cs="Arial"/>
          <w:rtl/>
        </w:rPr>
        <w:t>נאמן כעד אחד לחייב שבועה את חבירו ולפטור משבועה את ראובן</w:t>
      </w:r>
      <w:r>
        <w:rPr>
          <w:rFonts w:cs="Arial" w:hint="cs"/>
          <w:rtl/>
        </w:rPr>
        <w:t>.</w:t>
      </w:r>
      <w:r w:rsidRPr="002D15B1">
        <w:rPr>
          <w:rFonts w:cs="Arial"/>
          <w:rtl/>
        </w:rPr>
        <w:t xml:space="preserve"> ואי טעני תרי שותפי חובתם </w:t>
      </w:r>
      <w:r>
        <w:rPr>
          <w:rFonts w:cs="Arial" w:hint="cs"/>
          <w:rtl/>
        </w:rPr>
        <w:t xml:space="preserve">- </w:t>
      </w:r>
      <w:r w:rsidRPr="002D15B1">
        <w:rPr>
          <w:rFonts w:cs="Arial"/>
          <w:rtl/>
        </w:rPr>
        <w:t>מהימני לחייב חביריהם</w:t>
      </w:r>
      <w:r>
        <w:rPr>
          <w:rFonts w:cs="Arial" w:hint="cs"/>
          <w:rtl/>
        </w:rPr>
        <w:t>,</w:t>
      </w:r>
      <w:r w:rsidRPr="002D15B1">
        <w:rPr>
          <w:rFonts w:cs="Arial"/>
          <w:rtl/>
        </w:rPr>
        <w:t xml:space="preserve"> דקי</w:t>
      </w:r>
      <w:r w:rsidRPr="002D15B1">
        <w:rPr>
          <w:rFonts w:cs="Arial" w:hint="cs"/>
          <w:rtl/>
        </w:rPr>
        <w:t>י"</w:t>
      </w:r>
      <w:r w:rsidRPr="002D15B1">
        <w:rPr>
          <w:rFonts w:cs="Arial"/>
          <w:rtl/>
        </w:rPr>
        <w:t xml:space="preserve">ל בפרק חזקת </w:t>
      </w:r>
      <w:r w:rsidRPr="002D15B1">
        <w:rPr>
          <w:rFonts w:cs="Arial"/>
          <w:sz w:val="16"/>
          <w:szCs w:val="16"/>
          <w:rtl/>
        </w:rPr>
        <w:t xml:space="preserve">(ב"ב מב:) </w:t>
      </w:r>
      <w:r w:rsidRPr="002D15B1">
        <w:rPr>
          <w:rFonts w:cs="Arial"/>
          <w:rtl/>
        </w:rPr>
        <w:t>דשותפין מעידין זה את זה היכא דלא נוגע בעדות נינהו</w:t>
      </w:r>
      <w:r>
        <w:rPr>
          <w:rStyle w:val="ab"/>
          <w:rFonts w:cs="Arial"/>
          <w:rtl/>
        </w:rPr>
        <w:footnoteReference w:id="2692"/>
      </w:r>
      <w:r w:rsidRPr="002D15B1">
        <w:rPr>
          <w:rFonts w:cs="Arial" w:hint="cs"/>
          <w:rtl/>
        </w:rPr>
        <w:t>.</w:t>
      </w:r>
      <w:r w:rsidRPr="002D15B1">
        <w:rPr>
          <w:rFonts w:cs="Arial"/>
          <w:rtl/>
        </w:rPr>
        <w:t xml:space="preserve"> </w:t>
      </w:r>
      <w:r w:rsidRPr="00723EA5">
        <w:rPr>
          <w:rFonts w:hint="cs"/>
          <w:color w:val="E36C0A" w:themeColor="accent6" w:themeShade="BF"/>
          <w:rtl/>
        </w:rPr>
        <w:t>(וכ"פ בשו"ע)</w:t>
      </w:r>
    </w:p>
    <w:p w14:paraId="5F421C94" w14:textId="77777777" w:rsidR="004B607F" w:rsidRPr="002D15B1" w:rsidRDefault="004B607F" w:rsidP="004B607F">
      <w:pPr>
        <w:rPr>
          <w:rFonts w:cs="Arial"/>
          <w:u w:val="single"/>
        </w:rPr>
      </w:pPr>
      <w:r>
        <w:rPr>
          <w:rFonts w:cs="Arial" w:hint="cs"/>
          <w:u w:val="single"/>
          <w:rtl/>
        </w:rPr>
        <w:t>ג'</w:t>
      </w:r>
      <w:r w:rsidRPr="002D15B1">
        <w:rPr>
          <w:rFonts w:cs="Arial"/>
          <w:u w:val="single"/>
          <w:rtl/>
        </w:rPr>
        <w:t xml:space="preserve"> שישבו לקיים את השטר וחתמו השנים ואח"כ קרא ערער דגזל על אחד מהם</w:t>
      </w:r>
      <w:r w:rsidRPr="002D15B1">
        <w:rPr>
          <w:rFonts w:cs="Arial" w:hint="cs"/>
          <w:u w:val="single"/>
          <w:rtl/>
        </w:rPr>
        <w:t xml:space="preserve"> </w:t>
      </w:r>
      <w:r w:rsidRPr="002D15B1">
        <w:rPr>
          <w:rFonts w:cs="Arial"/>
          <w:u w:val="single"/>
          <w:rtl/>
        </w:rPr>
        <w:t>–</w:t>
      </w:r>
      <w:r w:rsidRPr="002D15B1">
        <w:rPr>
          <w:rFonts w:cs="Arial" w:hint="cs"/>
          <w:u w:val="single"/>
          <w:rtl/>
        </w:rPr>
        <w:t xml:space="preserve"> האם יכולים להעיד על השלישי:</w:t>
      </w:r>
    </w:p>
    <w:p w14:paraId="064F5194" w14:textId="77777777" w:rsidR="004B607F" w:rsidRPr="002D15B1" w:rsidRDefault="004B607F" w:rsidP="004B0475">
      <w:pPr>
        <w:pStyle w:val="ac"/>
        <w:numPr>
          <w:ilvl w:val="0"/>
          <w:numId w:val="111"/>
        </w:numPr>
        <w:rPr>
          <w:rFonts w:cs="Arial"/>
          <w:rtl/>
        </w:rPr>
      </w:pPr>
      <w:r w:rsidRPr="002D15B1">
        <w:rPr>
          <w:rFonts w:cs="Arial" w:hint="cs"/>
          <w:rtl/>
        </w:rPr>
        <w:t>טור</w:t>
      </w:r>
      <w:r w:rsidRPr="002D15B1">
        <w:rPr>
          <w:rFonts w:cs="Arial"/>
          <w:rtl/>
        </w:rPr>
        <w:t xml:space="preserve"> </w:t>
      </w:r>
      <w:r w:rsidRPr="002D15B1">
        <w:rPr>
          <w:rFonts w:cs="Arial" w:hint="cs"/>
          <w:sz w:val="16"/>
          <w:szCs w:val="16"/>
          <w:rtl/>
        </w:rPr>
        <w:t>(</w:t>
      </w:r>
      <w:r w:rsidRPr="002D15B1">
        <w:rPr>
          <w:rFonts w:cs="Arial"/>
          <w:sz w:val="16"/>
          <w:szCs w:val="16"/>
          <w:rtl/>
        </w:rPr>
        <w:t>סי מו סכ"ב)</w:t>
      </w:r>
      <w:r w:rsidRPr="002D15B1">
        <w:rPr>
          <w:rFonts w:cs="Arial" w:hint="cs"/>
          <w:rtl/>
        </w:rPr>
        <w:t xml:space="preserve">- </w:t>
      </w:r>
      <w:r w:rsidRPr="002D15B1">
        <w:rPr>
          <w:rFonts w:cs="Arial"/>
          <w:rtl/>
        </w:rPr>
        <w:t>שלשה שישבו לקיים את השטר וחתמו השנים ואח"כ קרא ערער דגזל על אחד מהם</w:t>
      </w:r>
      <w:r>
        <w:rPr>
          <w:rFonts w:cs="Arial" w:hint="cs"/>
          <w:rtl/>
        </w:rPr>
        <w:t xml:space="preserve"> -</w:t>
      </w:r>
      <w:r w:rsidRPr="002D15B1">
        <w:rPr>
          <w:rFonts w:cs="Arial"/>
          <w:rtl/>
        </w:rPr>
        <w:t xml:space="preserve"> אין השנים יכולין להעיד עליו ששב בתשובה מפני שהן נוגעים בעדות</w:t>
      </w:r>
      <w:r w:rsidRPr="002D15B1">
        <w:rPr>
          <w:rFonts w:cs="Arial" w:hint="cs"/>
          <w:rtl/>
        </w:rPr>
        <w:t>.</w:t>
      </w:r>
      <w:r w:rsidRPr="007750F0">
        <w:rPr>
          <w:rFonts w:hint="cs"/>
          <w:color w:val="E36C0A" w:themeColor="accent6" w:themeShade="BF"/>
          <w:rtl/>
        </w:rPr>
        <w:t xml:space="preserve"> </w:t>
      </w:r>
      <w:r w:rsidRPr="00723EA5">
        <w:rPr>
          <w:rFonts w:hint="cs"/>
          <w:color w:val="E36C0A" w:themeColor="accent6" w:themeShade="BF"/>
          <w:rtl/>
        </w:rPr>
        <w:t>(וכ"פ בשו"ע</w:t>
      </w:r>
      <w:r>
        <w:rPr>
          <w:rFonts w:hint="cs"/>
          <w:color w:val="000000" w:themeColor="text1"/>
          <w:sz w:val="16"/>
          <w:szCs w:val="16"/>
          <w:rtl/>
        </w:rPr>
        <w:t xml:space="preserve"> [בסי' מו סכ"ו]</w:t>
      </w:r>
      <w:r w:rsidRPr="00723EA5">
        <w:rPr>
          <w:rFonts w:hint="cs"/>
          <w:color w:val="E36C0A" w:themeColor="accent6" w:themeShade="BF"/>
          <w:rtl/>
        </w:rPr>
        <w:t>)</w:t>
      </w:r>
    </w:p>
    <w:p w14:paraId="2BF95F40" w14:textId="77777777" w:rsidR="004B607F" w:rsidRPr="003024E5" w:rsidRDefault="004B607F" w:rsidP="004B607F">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18C7F4D7" w14:textId="77777777" w:rsidR="004B607F" w:rsidRPr="00823DD8" w:rsidRDefault="004B607F" w:rsidP="004B607F">
      <w:pPr>
        <w:rPr>
          <w:rFonts w:cs="Arial"/>
          <w:rtl/>
        </w:rPr>
      </w:pPr>
      <w:r>
        <w:rPr>
          <w:rFonts w:cs="Arial"/>
          <w:rtl/>
        </w:rPr>
        <w:t>אם טען אחד מהשותפים</w:t>
      </w:r>
      <w:r>
        <w:rPr>
          <w:rStyle w:val="ab"/>
          <w:rFonts w:cs="Arial"/>
          <w:rtl/>
        </w:rPr>
        <w:footnoteReference w:id="2693"/>
      </w:r>
      <w:r>
        <w:rPr>
          <w:rFonts w:cs="Arial"/>
          <w:rtl/>
        </w:rPr>
        <w:t xml:space="preserve"> דבר שהוא חובה לו ולחבירו, נאמן כעד אחד לחייב שבועה את חבירו ולפטור</w:t>
      </w:r>
      <w:r>
        <w:rPr>
          <w:rStyle w:val="ab"/>
          <w:rFonts w:cs="Arial"/>
          <w:rtl/>
        </w:rPr>
        <w:footnoteReference w:id="2694"/>
      </w:r>
      <w:r>
        <w:rPr>
          <w:rFonts w:cs="Arial"/>
          <w:rtl/>
        </w:rPr>
        <w:t xml:space="preserve"> משבועה את שכנגדם. ואם שני שותפים </w:t>
      </w:r>
      <w:r w:rsidRPr="0074286F">
        <w:rPr>
          <w:rFonts w:cs="Arial"/>
          <w:rtl/>
        </w:rPr>
        <w:t>העידו</w:t>
      </w:r>
      <w:r>
        <w:rPr>
          <w:rFonts w:cs="Arial"/>
          <w:rtl/>
        </w:rPr>
        <w:t xml:space="preserve"> חובתם, נאמנים לחייב את חביריהם </w:t>
      </w:r>
      <w:r w:rsidRPr="002D15B1">
        <w:rPr>
          <w:rFonts w:cs="Arial"/>
          <w:sz w:val="18"/>
          <w:szCs w:val="18"/>
          <w:rtl/>
        </w:rPr>
        <w:t>(וע"ל סימן ע"ז סעיף ה')</w:t>
      </w:r>
      <w:r>
        <w:rPr>
          <w:rFonts w:cs="Arial"/>
          <w:rtl/>
        </w:rPr>
        <w:t xml:space="preserve">. </w:t>
      </w:r>
    </w:p>
    <w:p w14:paraId="4A08A6BC" w14:textId="77777777" w:rsidR="004B607F" w:rsidRDefault="004B607F" w:rsidP="004B607F">
      <w:pPr>
        <w:rPr>
          <w:rtl/>
        </w:rPr>
      </w:pPr>
    </w:p>
    <w:p w14:paraId="48F150D7" w14:textId="77777777" w:rsidR="004B607F" w:rsidRDefault="004B607F" w:rsidP="004B607F">
      <w:pPr>
        <w:pStyle w:val="2"/>
        <w:rPr>
          <w:rtl/>
        </w:rPr>
      </w:pPr>
      <w:bookmarkStart w:id="362" w:name="_Toc24883808"/>
      <w:r>
        <w:rPr>
          <w:rtl/>
        </w:rPr>
        <w:t>סעיף ז</w:t>
      </w:r>
      <w:r>
        <w:rPr>
          <w:rFonts w:hint="cs"/>
          <w:rtl/>
        </w:rPr>
        <w:t>:</w:t>
      </w:r>
      <w:r w:rsidRPr="00262CD2">
        <w:rPr>
          <w:rFonts w:cs="Arial"/>
          <w:rtl/>
        </w:rPr>
        <w:t xml:space="preserve"> </w:t>
      </w:r>
      <w:r>
        <w:rPr>
          <w:rFonts w:cs="Arial"/>
          <w:rtl/>
        </w:rPr>
        <w:t>המוכר ש</w:t>
      </w:r>
      <w:r>
        <w:rPr>
          <w:rFonts w:cs="Arial" w:hint="cs"/>
          <w:rtl/>
        </w:rPr>
        <w:t xml:space="preserve">טר </w:t>
      </w:r>
      <w:r>
        <w:rPr>
          <w:rFonts w:cs="Arial"/>
          <w:rtl/>
        </w:rPr>
        <w:t>ח</w:t>
      </w:r>
      <w:r>
        <w:rPr>
          <w:rFonts w:cs="Arial" w:hint="cs"/>
          <w:rtl/>
        </w:rPr>
        <w:t>וב</w:t>
      </w:r>
      <w:r>
        <w:rPr>
          <w:rFonts w:cs="Arial"/>
          <w:rtl/>
        </w:rPr>
        <w:t xml:space="preserve"> לאחד מהחתומים בו</w:t>
      </w:r>
      <w:r>
        <w:rPr>
          <w:rFonts w:hint="cs"/>
          <w:rtl/>
        </w:rPr>
        <w:t>.</w:t>
      </w:r>
      <w:bookmarkEnd w:id="362"/>
    </w:p>
    <w:p w14:paraId="6CB71A13" w14:textId="77777777" w:rsidR="004B607F" w:rsidRDefault="004B607F" w:rsidP="004B607F">
      <w:pPr>
        <w:rPr>
          <w:rFonts w:cs="Arial"/>
          <w:rtl/>
        </w:rPr>
      </w:pPr>
      <w:r w:rsidRPr="00262CD2">
        <w:rPr>
          <w:rFonts w:cs="Arial"/>
          <w:u w:val="single"/>
          <w:rtl/>
        </w:rPr>
        <w:t>המוכר שטר חוב לאחד מ</w:t>
      </w:r>
      <w:r>
        <w:rPr>
          <w:rFonts w:cs="Arial" w:hint="cs"/>
          <w:u w:val="single"/>
          <w:rtl/>
        </w:rPr>
        <w:t>ה</w:t>
      </w:r>
      <w:r w:rsidRPr="00262CD2">
        <w:rPr>
          <w:rFonts w:cs="Arial"/>
          <w:u w:val="single"/>
          <w:rtl/>
        </w:rPr>
        <w:t xml:space="preserve">עדים החתומים בו </w:t>
      </w:r>
      <w:r w:rsidRPr="0074286F">
        <w:rPr>
          <w:rFonts w:cs="Arial" w:hint="cs"/>
          <w:sz w:val="16"/>
          <w:szCs w:val="16"/>
          <w:u w:val="single"/>
          <w:rtl/>
        </w:rPr>
        <w:t>(</w:t>
      </w:r>
      <w:r w:rsidRPr="0074286F">
        <w:rPr>
          <w:rFonts w:cs="Arial"/>
          <w:sz w:val="16"/>
          <w:szCs w:val="16"/>
          <w:u w:val="single"/>
          <w:rtl/>
        </w:rPr>
        <w:t>או לשניהם</w:t>
      </w:r>
      <w:r>
        <w:rPr>
          <w:rFonts w:cs="Arial" w:hint="cs"/>
          <w:sz w:val="16"/>
          <w:szCs w:val="16"/>
          <w:u w:val="single"/>
          <w:rtl/>
        </w:rPr>
        <w:t>)</w:t>
      </w:r>
      <w:r w:rsidRPr="00262CD2">
        <w:rPr>
          <w:rFonts w:cs="Arial" w:hint="cs"/>
          <w:u w:val="single"/>
          <w:rtl/>
        </w:rPr>
        <w:t>:</w:t>
      </w:r>
    </w:p>
    <w:p w14:paraId="4770402A" w14:textId="77777777" w:rsidR="004B607F" w:rsidRPr="00262CD2" w:rsidRDefault="004B607F" w:rsidP="004B0475">
      <w:pPr>
        <w:pStyle w:val="ac"/>
        <w:numPr>
          <w:ilvl w:val="0"/>
          <w:numId w:val="111"/>
        </w:numPr>
        <w:rPr>
          <w:rFonts w:cs="Arial"/>
          <w:rtl/>
        </w:rPr>
      </w:pPr>
      <w:r w:rsidRPr="003B7A8B">
        <w:rPr>
          <w:rFonts w:cs="Arial"/>
          <w:rtl/>
        </w:rPr>
        <w:t xml:space="preserve">בעל התרומות </w:t>
      </w:r>
      <w:r w:rsidRPr="003B7A8B">
        <w:rPr>
          <w:rFonts w:cs="Arial" w:hint="cs"/>
          <w:sz w:val="16"/>
          <w:szCs w:val="16"/>
          <w:rtl/>
        </w:rPr>
        <w:t>(</w:t>
      </w:r>
      <w:r w:rsidRPr="003B7A8B">
        <w:rPr>
          <w:rFonts w:cs="Arial"/>
          <w:sz w:val="16"/>
          <w:szCs w:val="16"/>
          <w:rtl/>
        </w:rPr>
        <w:t>שער נא ח"ה סי' א)</w:t>
      </w:r>
      <w:r w:rsidRPr="003B7A8B">
        <w:rPr>
          <w:rFonts w:cs="Arial" w:hint="cs"/>
          <w:rtl/>
        </w:rPr>
        <w:t xml:space="preserve"> </w:t>
      </w:r>
      <w:r>
        <w:rPr>
          <w:rFonts w:cs="Arial" w:hint="cs"/>
          <w:rtl/>
        </w:rPr>
        <w:t>ו</w:t>
      </w:r>
      <w:r w:rsidRPr="00262CD2">
        <w:rPr>
          <w:rFonts w:cs="Arial" w:hint="cs"/>
          <w:rtl/>
        </w:rPr>
        <w:t>טור</w:t>
      </w:r>
      <w:r>
        <w:rPr>
          <w:rFonts w:cs="Arial" w:hint="cs"/>
          <w:sz w:val="16"/>
          <w:szCs w:val="16"/>
          <w:rtl/>
        </w:rPr>
        <w:t xml:space="preserve"> (סי' סו סכ"א)</w:t>
      </w:r>
      <w:r w:rsidRPr="00262CD2">
        <w:rPr>
          <w:rFonts w:cs="Arial" w:hint="cs"/>
          <w:rtl/>
        </w:rPr>
        <w:t>-</w:t>
      </w:r>
      <w:r w:rsidRPr="00262CD2">
        <w:rPr>
          <w:rFonts w:cs="Arial"/>
          <w:rtl/>
        </w:rPr>
        <w:t xml:space="preserve"> ראובן היה לו שטר על שמעון</w:t>
      </w:r>
      <w:r>
        <w:rPr>
          <w:rFonts w:cs="Arial" w:hint="cs"/>
          <w:rtl/>
        </w:rPr>
        <w:t>,</w:t>
      </w:r>
      <w:r w:rsidRPr="00262CD2">
        <w:rPr>
          <w:rFonts w:cs="Arial"/>
          <w:rtl/>
        </w:rPr>
        <w:t xml:space="preserve"> ולוי חתום בו</w:t>
      </w:r>
      <w:r>
        <w:rPr>
          <w:rFonts w:cs="Arial" w:hint="cs"/>
          <w:rtl/>
        </w:rPr>
        <w:t>,</w:t>
      </w:r>
      <w:r w:rsidRPr="00262CD2">
        <w:rPr>
          <w:rFonts w:cs="Arial"/>
          <w:rtl/>
        </w:rPr>
        <w:t xml:space="preserve"> ומכרו ללוי העד</w:t>
      </w:r>
      <w:r>
        <w:rPr>
          <w:rFonts w:cs="Arial" w:hint="cs"/>
          <w:rtl/>
        </w:rPr>
        <w:t xml:space="preserve"> -</w:t>
      </w:r>
      <w:r w:rsidRPr="00262CD2">
        <w:rPr>
          <w:rFonts w:cs="Arial"/>
          <w:rtl/>
        </w:rPr>
        <w:t xml:space="preserve"> אין לוי חשוב נוגע בדבר ולא חיישינן לחשדא לומר שהוא חתם לו שקר כדי שיקנהו ממנו אח"כ</w:t>
      </w:r>
      <w:r w:rsidRPr="00262CD2">
        <w:rPr>
          <w:rFonts w:cs="Arial" w:hint="cs"/>
          <w:rtl/>
        </w:rPr>
        <w:t>,</w:t>
      </w:r>
      <w:r w:rsidRPr="00262CD2">
        <w:rPr>
          <w:rFonts w:cs="Arial"/>
          <w:rtl/>
        </w:rPr>
        <w:t xml:space="preserve"> לפי שהעד האחר לא היה מסכים עמו להעיד שקר בשביל הנאתו של לוי</w:t>
      </w:r>
      <w:r>
        <w:rPr>
          <w:rFonts w:cs="Arial" w:hint="cs"/>
          <w:rtl/>
        </w:rPr>
        <w:t>.</w:t>
      </w:r>
      <w:r w:rsidRPr="00262CD2">
        <w:rPr>
          <w:rFonts w:cs="Arial"/>
          <w:rtl/>
        </w:rPr>
        <w:t xml:space="preserve"> ואם מכרו לב' העדים החתומים עליו</w:t>
      </w:r>
      <w:r>
        <w:rPr>
          <w:rFonts w:cs="Arial" w:hint="cs"/>
          <w:rtl/>
        </w:rPr>
        <w:t xml:space="preserve"> -</w:t>
      </w:r>
      <w:r w:rsidRPr="00262CD2">
        <w:rPr>
          <w:rFonts w:cs="Arial"/>
          <w:rtl/>
        </w:rPr>
        <w:t xml:space="preserve"> חיישינן להכי</w:t>
      </w:r>
      <w:r w:rsidRPr="00262CD2">
        <w:rPr>
          <w:rFonts w:cs="Arial" w:hint="cs"/>
          <w:rtl/>
        </w:rPr>
        <w:t>,</w:t>
      </w:r>
      <w:r w:rsidRPr="00262CD2">
        <w:rPr>
          <w:rFonts w:cs="Arial"/>
          <w:rtl/>
        </w:rPr>
        <w:t xml:space="preserve"> ואם אין הלוה מודה בו אין יכולין לגבות</w:t>
      </w:r>
      <w:r>
        <w:rPr>
          <w:rFonts w:cs="Arial" w:hint="cs"/>
          <w:rtl/>
        </w:rPr>
        <w:t xml:space="preserve"> </w:t>
      </w:r>
      <w:r w:rsidRPr="003B7A8B">
        <w:rPr>
          <w:rFonts w:cs="Arial" w:hint="cs"/>
          <w:sz w:val="16"/>
          <w:szCs w:val="16"/>
          <w:rtl/>
        </w:rPr>
        <w:t>(ל' הטור)</w:t>
      </w:r>
      <w:r>
        <w:rPr>
          <w:rStyle w:val="ab"/>
          <w:rFonts w:cs="Arial"/>
          <w:rtl/>
        </w:rPr>
        <w:footnoteReference w:id="2695"/>
      </w:r>
      <w:r w:rsidRPr="003B7A8B">
        <w:rPr>
          <w:rFonts w:cs="Arial" w:hint="cs"/>
          <w:rtl/>
        </w:rPr>
        <w:t>.</w:t>
      </w:r>
      <w:r w:rsidRPr="002B1EA8">
        <w:rPr>
          <w:rFonts w:hint="cs"/>
          <w:color w:val="E36C0A" w:themeColor="accent6" w:themeShade="BF"/>
          <w:rtl/>
        </w:rPr>
        <w:t xml:space="preserve"> </w:t>
      </w:r>
      <w:r w:rsidRPr="00723EA5">
        <w:rPr>
          <w:rFonts w:hint="cs"/>
          <w:color w:val="E36C0A" w:themeColor="accent6" w:themeShade="BF"/>
          <w:rtl/>
        </w:rPr>
        <w:t>(וכ"פ בשו"ע</w:t>
      </w:r>
      <w:r>
        <w:rPr>
          <w:rFonts w:hint="cs"/>
          <w:color w:val="000000" w:themeColor="text1"/>
          <w:sz w:val="16"/>
          <w:szCs w:val="16"/>
          <w:rtl/>
        </w:rPr>
        <w:t xml:space="preserve"> </w:t>
      </w:r>
      <w:bookmarkStart w:id="363" w:name="_Hlk12525674"/>
      <w:r>
        <w:rPr>
          <w:rFonts w:hint="cs"/>
          <w:color w:val="000000" w:themeColor="text1"/>
          <w:sz w:val="16"/>
          <w:szCs w:val="16"/>
          <w:rtl/>
        </w:rPr>
        <w:t>[כאן ובסי' סו סכ"א]</w:t>
      </w:r>
      <w:bookmarkEnd w:id="363"/>
      <w:r w:rsidRPr="00723EA5">
        <w:rPr>
          <w:rFonts w:hint="cs"/>
          <w:color w:val="E36C0A" w:themeColor="accent6" w:themeShade="BF"/>
          <w:rtl/>
        </w:rPr>
        <w:t>)</w:t>
      </w:r>
    </w:p>
    <w:p w14:paraId="385A6F70" w14:textId="77777777" w:rsidR="004B607F" w:rsidRPr="00262CD2" w:rsidRDefault="004B607F" w:rsidP="004B607F">
      <w:pPr>
        <w:rPr>
          <w:rFonts w:cs="Arial"/>
          <w:u w:val="single"/>
          <w:rtl/>
        </w:rPr>
      </w:pPr>
      <w:r w:rsidRPr="00262CD2">
        <w:rPr>
          <w:rFonts w:cs="Arial"/>
          <w:u w:val="single"/>
          <w:rtl/>
        </w:rPr>
        <w:t xml:space="preserve">מורשה </w:t>
      </w:r>
      <w:r w:rsidRPr="00262CD2">
        <w:rPr>
          <w:rFonts w:cs="Arial" w:hint="cs"/>
          <w:sz w:val="16"/>
          <w:szCs w:val="16"/>
          <w:u w:val="single"/>
          <w:rtl/>
        </w:rPr>
        <w:t xml:space="preserve">(או </w:t>
      </w:r>
      <w:r w:rsidRPr="00262CD2">
        <w:rPr>
          <w:rFonts w:cs="Arial"/>
          <w:sz w:val="16"/>
          <w:szCs w:val="16"/>
          <w:u w:val="single"/>
          <w:rtl/>
        </w:rPr>
        <w:t>קרובי</w:t>
      </w:r>
      <w:r w:rsidRPr="00262CD2">
        <w:rPr>
          <w:rFonts w:cs="Arial" w:hint="cs"/>
          <w:sz w:val="16"/>
          <w:szCs w:val="16"/>
          <w:u w:val="single"/>
          <w:rtl/>
        </w:rPr>
        <w:t xml:space="preserve"> המורשה)</w:t>
      </w:r>
      <w:r w:rsidRPr="00262CD2">
        <w:rPr>
          <w:rFonts w:cs="Arial"/>
          <w:u w:val="single"/>
          <w:rtl/>
        </w:rPr>
        <w:t xml:space="preserve"> –</w:t>
      </w:r>
      <w:r w:rsidRPr="00262CD2">
        <w:rPr>
          <w:rFonts w:cs="Arial" w:hint="cs"/>
          <w:u w:val="single"/>
          <w:rtl/>
        </w:rPr>
        <w:t xml:space="preserve"> האם </w:t>
      </w:r>
      <w:r w:rsidRPr="00262CD2">
        <w:rPr>
          <w:rFonts w:cs="Arial"/>
          <w:u w:val="single"/>
          <w:rtl/>
        </w:rPr>
        <w:t>כשר להעיד בענין אותה תביעה</w:t>
      </w:r>
      <w:r w:rsidRPr="00262CD2">
        <w:rPr>
          <w:rFonts w:cs="Arial" w:hint="cs"/>
          <w:u w:val="single"/>
          <w:rtl/>
        </w:rPr>
        <w:t>:</w:t>
      </w:r>
    </w:p>
    <w:p w14:paraId="0071EFE9" w14:textId="77777777" w:rsidR="004B607F" w:rsidRPr="00262CD2" w:rsidRDefault="004B607F" w:rsidP="004B0475">
      <w:pPr>
        <w:pStyle w:val="ac"/>
        <w:numPr>
          <w:ilvl w:val="0"/>
          <w:numId w:val="111"/>
        </w:numPr>
        <w:rPr>
          <w:rFonts w:cs="Arial"/>
          <w:rtl/>
        </w:rPr>
      </w:pPr>
      <w:r>
        <w:rPr>
          <w:rFonts w:cs="Arial" w:hint="cs"/>
          <w:rtl/>
        </w:rPr>
        <w:t>טור</w:t>
      </w:r>
      <w:r>
        <w:rPr>
          <w:rFonts w:cs="Arial" w:hint="cs"/>
          <w:sz w:val="16"/>
          <w:szCs w:val="16"/>
          <w:rtl/>
        </w:rPr>
        <w:t xml:space="preserve"> (סי' קכג סע' יב-יג)</w:t>
      </w:r>
      <w:r>
        <w:rPr>
          <w:rFonts w:cs="Arial" w:hint="cs"/>
          <w:rtl/>
        </w:rPr>
        <w:t xml:space="preserve">- </w:t>
      </w:r>
      <w:r w:rsidRPr="00262CD2">
        <w:rPr>
          <w:rFonts w:cs="Arial"/>
          <w:rtl/>
        </w:rPr>
        <w:t>כתב הרמב"ן ז"ל בתשובה מורשה שהורשה בשכר ידוע</w:t>
      </w:r>
      <w:r>
        <w:rPr>
          <w:rFonts w:cs="Arial" w:hint="cs"/>
          <w:rtl/>
        </w:rPr>
        <w:t>,</w:t>
      </w:r>
      <w:r w:rsidRPr="00262CD2">
        <w:rPr>
          <w:rFonts w:cs="Arial"/>
          <w:rtl/>
        </w:rPr>
        <w:t xml:space="preserve"> אפילו אם לא יוציא הממון מיד הנתבע </w:t>
      </w:r>
      <w:r>
        <w:rPr>
          <w:rFonts w:cs="Arial" w:hint="cs"/>
          <w:rtl/>
        </w:rPr>
        <w:t xml:space="preserve">- </w:t>
      </w:r>
      <w:r w:rsidRPr="00262CD2">
        <w:rPr>
          <w:rFonts w:cs="Arial"/>
          <w:rtl/>
        </w:rPr>
        <w:t>כשרים הם קרוביו בין לעדות בין לדין</w:t>
      </w:r>
      <w:r>
        <w:rPr>
          <w:rFonts w:cs="Arial" w:hint="cs"/>
          <w:rtl/>
        </w:rPr>
        <w:t>,</w:t>
      </w:r>
      <w:r w:rsidRPr="00262CD2">
        <w:rPr>
          <w:rFonts w:cs="Arial"/>
          <w:rtl/>
        </w:rPr>
        <w:t xml:space="preserve"> שההפסד וההוצאה הכל לבעל הממון</w:t>
      </w:r>
      <w:r>
        <w:rPr>
          <w:rFonts w:cs="Arial" w:hint="cs"/>
          <w:rtl/>
        </w:rPr>
        <w:t>.</w:t>
      </w:r>
      <w:r w:rsidRPr="00262CD2">
        <w:rPr>
          <w:rFonts w:cs="Arial"/>
          <w:rtl/>
        </w:rPr>
        <w:t xml:space="preserve"> אבל מורשה שיש לו </w:t>
      </w:r>
      <w:r w:rsidRPr="00262CD2">
        <w:rPr>
          <w:rFonts w:cs="Arial"/>
          <w:rtl/>
        </w:rPr>
        <w:lastRenderedPageBreak/>
        <w:t xml:space="preserve">חלק במה שמוציא מהנתבע </w:t>
      </w:r>
      <w:r>
        <w:rPr>
          <w:rFonts w:cs="Arial" w:hint="cs"/>
          <w:rtl/>
        </w:rPr>
        <w:t xml:space="preserve">- </w:t>
      </w:r>
      <w:r w:rsidRPr="00262CD2">
        <w:rPr>
          <w:rFonts w:cs="Arial"/>
          <w:rtl/>
        </w:rPr>
        <w:t>קרוביו פסולין הם בין לדין בין לעדות</w:t>
      </w:r>
      <w:r>
        <w:rPr>
          <w:rFonts w:cs="Arial" w:hint="cs"/>
          <w:rtl/>
        </w:rPr>
        <w:t>.</w:t>
      </w:r>
      <w:r w:rsidRPr="00262CD2">
        <w:rPr>
          <w:rFonts w:cs="Arial"/>
          <w:rtl/>
        </w:rPr>
        <w:t xml:space="preserve"> לפיכך מי שיש לו עדים על תביעתו לא ירשה אחד מהעדים אא"כ קצץ לו שכר ידוע</w:t>
      </w:r>
      <w:r>
        <w:rPr>
          <w:rFonts w:cs="Arial" w:hint="cs"/>
          <w:rtl/>
        </w:rPr>
        <w:t xml:space="preserve">. </w:t>
      </w:r>
      <w:r w:rsidRPr="00262CD2">
        <w:rPr>
          <w:rFonts w:cs="Arial"/>
          <w:rtl/>
        </w:rPr>
        <w:t>וכן נתבע שיש לו עדים בפריעתו לא יבא לדון עם המורשה בזמן שיש לו חלק בתביעתו אם הוא קרוב לעדים שהרי יבטל העדות</w:t>
      </w:r>
      <w:r>
        <w:rPr>
          <w:rStyle w:val="ab"/>
          <w:rFonts w:cs="Arial"/>
          <w:rtl/>
        </w:rPr>
        <w:footnoteReference w:id="2696"/>
      </w:r>
      <w:r>
        <w:rPr>
          <w:rFonts w:cs="Arial" w:hint="cs"/>
          <w:rtl/>
        </w:rPr>
        <w:t>.</w:t>
      </w:r>
      <w:r>
        <w:rPr>
          <w:rFonts w:hint="cs"/>
          <w:color w:val="E36C0A" w:themeColor="accent6" w:themeShade="BF"/>
          <w:rtl/>
        </w:rPr>
        <w:t xml:space="preserve"> </w:t>
      </w:r>
      <w:r w:rsidRPr="00723EA5">
        <w:rPr>
          <w:rFonts w:hint="cs"/>
          <w:color w:val="E36C0A" w:themeColor="accent6" w:themeShade="BF"/>
          <w:rtl/>
        </w:rPr>
        <w:t>(וכ"פ בשו"ע</w:t>
      </w:r>
      <w:r>
        <w:rPr>
          <w:rFonts w:hint="cs"/>
          <w:color w:val="000000" w:themeColor="text1"/>
          <w:sz w:val="16"/>
          <w:szCs w:val="16"/>
          <w:rtl/>
        </w:rPr>
        <w:t xml:space="preserve"> [בסי' קכג ס"י-יב]</w:t>
      </w:r>
      <w:r w:rsidRPr="00723EA5">
        <w:rPr>
          <w:rFonts w:hint="cs"/>
          <w:color w:val="E36C0A" w:themeColor="accent6" w:themeShade="BF"/>
          <w:rtl/>
        </w:rPr>
        <w:t>)</w:t>
      </w:r>
    </w:p>
    <w:p w14:paraId="2E0D776A" w14:textId="77777777" w:rsidR="004B607F" w:rsidRPr="003024E5" w:rsidRDefault="004B607F" w:rsidP="004B607F">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55AAF912" w14:textId="77777777" w:rsidR="004B607F" w:rsidRDefault="004B607F" w:rsidP="004B607F">
      <w:pPr>
        <w:rPr>
          <w:rtl/>
        </w:rPr>
      </w:pPr>
      <w:r>
        <w:rPr>
          <w:rFonts w:cs="Arial"/>
          <w:rtl/>
        </w:rPr>
        <w:t>המוכר ש</w:t>
      </w:r>
      <w:r>
        <w:rPr>
          <w:rFonts w:cs="Arial" w:hint="cs"/>
          <w:rtl/>
        </w:rPr>
        <w:t xml:space="preserve">טר </w:t>
      </w:r>
      <w:r>
        <w:rPr>
          <w:rFonts w:cs="Arial"/>
          <w:rtl/>
        </w:rPr>
        <w:t>ח</w:t>
      </w:r>
      <w:r>
        <w:rPr>
          <w:rFonts w:cs="Arial" w:hint="cs"/>
          <w:rtl/>
        </w:rPr>
        <w:t>וב</w:t>
      </w:r>
      <w:r>
        <w:rPr>
          <w:rFonts w:cs="Arial"/>
          <w:rtl/>
        </w:rPr>
        <w:t xml:space="preserve"> לאחד מהחתומים</w:t>
      </w:r>
      <w:r>
        <w:rPr>
          <w:rStyle w:val="ab"/>
          <w:rFonts w:cs="Arial"/>
          <w:rtl/>
        </w:rPr>
        <w:footnoteReference w:id="2697"/>
      </w:r>
      <w:r>
        <w:rPr>
          <w:rFonts w:cs="Arial"/>
          <w:rtl/>
        </w:rPr>
        <w:t xml:space="preserve"> בו שפיר דמי</w:t>
      </w:r>
      <w:r>
        <w:rPr>
          <w:rStyle w:val="ab"/>
          <w:rFonts w:cs="Arial"/>
          <w:rtl/>
        </w:rPr>
        <w:footnoteReference w:id="2698"/>
      </w:r>
      <w:r>
        <w:rPr>
          <w:rFonts w:cs="Arial"/>
          <w:rtl/>
        </w:rPr>
        <w:t xml:space="preserve">. </w:t>
      </w:r>
      <w:r>
        <w:rPr>
          <w:rFonts w:cs="Arial" w:hint="cs"/>
          <w:sz w:val="18"/>
          <w:szCs w:val="18"/>
          <w:rtl/>
        </w:rPr>
        <w:t xml:space="preserve">[הגה] </w:t>
      </w:r>
      <w:r w:rsidRPr="00394469">
        <w:rPr>
          <w:rFonts w:cs="Arial"/>
          <w:sz w:val="18"/>
          <w:szCs w:val="18"/>
          <w:rtl/>
        </w:rPr>
        <w:t>וע"ל סי</w:t>
      </w:r>
      <w:r>
        <w:rPr>
          <w:rFonts w:cs="Arial" w:hint="cs"/>
          <w:sz w:val="18"/>
          <w:szCs w:val="18"/>
          <w:rtl/>
        </w:rPr>
        <w:t>'</w:t>
      </w:r>
      <w:r w:rsidRPr="00394469">
        <w:rPr>
          <w:rFonts w:cs="Arial"/>
          <w:sz w:val="18"/>
          <w:szCs w:val="18"/>
          <w:rtl/>
        </w:rPr>
        <w:t xml:space="preserve"> ק</w:t>
      </w:r>
      <w:r>
        <w:rPr>
          <w:rFonts w:cs="Arial" w:hint="cs"/>
          <w:sz w:val="18"/>
          <w:szCs w:val="18"/>
          <w:rtl/>
        </w:rPr>
        <w:t>כ</w:t>
      </w:r>
      <w:r w:rsidRPr="00394469">
        <w:rPr>
          <w:rFonts w:cs="Arial"/>
          <w:sz w:val="18"/>
          <w:szCs w:val="18"/>
          <w:rtl/>
        </w:rPr>
        <w:t>ג סע</w:t>
      </w:r>
      <w:r>
        <w:rPr>
          <w:rFonts w:cs="Arial" w:hint="cs"/>
          <w:sz w:val="18"/>
          <w:szCs w:val="18"/>
          <w:rtl/>
        </w:rPr>
        <w:t>'</w:t>
      </w:r>
      <w:r w:rsidRPr="00394469">
        <w:rPr>
          <w:rFonts w:cs="Arial"/>
          <w:sz w:val="18"/>
          <w:szCs w:val="18"/>
          <w:rtl/>
        </w:rPr>
        <w:t xml:space="preserve"> י' וי"א וי"ב אם מורשה </w:t>
      </w:r>
      <w:r>
        <w:rPr>
          <w:rFonts w:cs="Arial" w:hint="cs"/>
          <w:sz w:val="18"/>
          <w:szCs w:val="18"/>
          <w:rtl/>
        </w:rPr>
        <w:t xml:space="preserve">וקרוביו </w:t>
      </w:r>
      <w:r w:rsidRPr="00394469">
        <w:rPr>
          <w:rFonts w:cs="Arial"/>
          <w:sz w:val="18"/>
          <w:szCs w:val="18"/>
          <w:rtl/>
        </w:rPr>
        <w:t>יכול</w:t>
      </w:r>
      <w:r>
        <w:rPr>
          <w:rFonts w:cs="Arial" w:hint="cs"/>
          <w:sz w:val="18"/>
          <w:szCs w:val="18"/>
          <w:rtl/>
        </w:rPr>
        <w:t>ים</w:t>
      </w:r>
      <w:r w:rsidRPr="00394469">
        <w:rPr>
          <w:rFonts w:cs="Arial"/>
          <w:sz w:val="18"/>
          <w:szCs w:val="18"/>
          <w:rtl/>
        </w:rPr>
        <w:t xml:space="preserve"> להעיד.</w:t>
      </w:r>
      <w:r>
        <w:rPr>
          <w:rFonts w:cs="Arial"/>
          <w:rtl/>
        </w:rPr>
        <w:t xml:space="preserve"> </w:t>
      </w:r>
    </w:p>
    <w:p w14:paraId="1B220B89" w14:textId="77777777" w:rsidR="004B607F" w:rsidRDefault="004B607F" w:rsidP="004B607F">
      <w:pPr>
        <w:rPr>
          <w:rtl/>
        </w:rPr>
      </w:pPr>
    </w:p>
    <w:p w14:paraId="0421366E" w14:textId="77777777" w:rsidR="004B607F" w:rsidRDefault="004B607F" w:rsidP="004B607F">
      <w:pPr>
        <w:pStyle w:val="2"/>
        <w:rPr>
          <w:rtl/>
        </w:rPr>
      </w:pPr>
      <w:bookmarkStart w:id="364" w:name="_Toc24883809"/>
      <w:r>
        <w:rPr>
          <w:rtl/>
        </w:rPr>
        <w:t>סעיף ח</w:t>
      </w:r>
      <w:r>
        <w:rPr>
          <w:rFonts w:hint="cs"/>
          <w:rtl/>
        </w:rPr>
        <w:t>: פשרנים דיינים ואפוטרופסים.</w:t>
      </w:r>
      <w:bookmarkEnd w:id="364"/>
    </w:p>
    <w:p w14:paraId="0931BB28" w14:textId="77777777" w:rsidR="004B607F" w:rsidRPr="000845F5" w:rsidRDefault="004B607F" w:rsidP="004B607F">
      <w:pPr>
        <w:rPr>
          <w:rFonts w:cs="Arial"/>
          <w:u w:val="single"/>
          <w:rtl/>
        </w:rPr>
      </w:pPr>
      <w:r w:rsidRPr="000845F5">
        <w:rPr>
          <w:rFonts w:cs="Arial"/>
          <w:u w:val="single"/>
          <w:rtl/>
        </w:rPr>
        <w:t>פשרנים</w:t>
      </w:r>
      <w:r w:rsidRPr="000845F5">
        <w:rPr>
          <w:rFonts w:cs="Arial" w:hint="cs"/>
          <w:u w:val="single"/>
          <w:rtl/>
        </w:rPr>
        <w:t>/</w:t>
      </w:r>
      <w:r w:rsidRPr="000845F5">
        <w:rPr>
          <w:rFonts w:cs="Arial"/>
          <w:u w:val="single"/>
          <w:rtl/>
        </w:rPr>
        <w:t>דיינים</w:t>
      </w:r>
      <w:r w:rsidRPr="000845F5">
        <w:rPr>
          <w:rFonts w:cs="Arial" w:hint="cs"/>
          <w:u w:val="single"/>
          <w:rtl/>
        </w:rPr>
        <w:t xml:space="preserve"> </w:t>
      </w:r>
      <w:r>
        <w:rPr>
          <w:rFonts w:cs="Arial"/>
          <w:u w:val="single"/>
          <w:rtl/>
        </w:rPr>
        <w:t>–</w:t>
      </w:r>
      <w:r>
        <w:rPr>
          <w:rFonts w:cs="Arial" w:hint="cs"/>
          <w:u w:val="single"/>
          <w:rtl/>
        </w:rPr>
        <w:t xml:space="preserve"> </w:t>
      </w:r>
      <w:r w:rsidRPr="000845F5">
        <w:rPr>
          <w:rFonts w:cs="Arial" w:hint="cs"/>
          <w:u w:val="single"/>
          <w:rtl/>
        </w:rPr>
        <w:t>מהו שיעידו:</w:t>
      </w:r>
      <w:r w:rsidRPr="000845F5">
        <w:rPr>
          <w:rFonts w:cs="Arial"/>
          <w:u w:val="single"/>
          <w:rtl/>
        </w:rPr>
        <w:t xml:space="preserve"> </w:t>
      </w:r>
    </w:p>
    <w:p w14:paraId="53E5B2EA" w14:textId="77777777" w:rsidR="004B607F" w:rsidRDefault="004B607F" w:rsidP="004B0475">
      <w:pPr>
        <w:pStyle w:val="ac"/>
        <w:numPr>
          <w:ilvl w:val="0"/>
          <w:numId w:val="111"/>
        </w:numPr>
        <w:rPr>
          <w:rtl/>
        </w:rPr>
      </w:pPr>
      <w:r w:rsidRPr="000845F5">
        <w:rPr>
          <w:rFonts w:cs="Arial"/>
          <w:rtl/>
        </w:rPr>
        <w:t>נמוק</w:t>
      </w:r>
      <w:r w:rsidRPr="000845F5">
        <w:rPr>
          <w:rFonts w:cs="Arial" w:hint="cs"/>
          <w:rtl/>
        </w:rPr>
        <w:t>"</w:t>
      </w:r>
      <w:r w:rsidRPr="000845F5">
        <w:rPr>
          <w:rFonts w:cs="Arial"/>
          <w:rtl/>
        </w:rPr>
        <w:t xml:space="preserve">י </w:t>
      </w:r>
      <w:r w:rsidRPr="000845F5">
        <w:rPr>
          <w:rFonts w:cs="Arial" w:hint="cs"/>
          <w:sz w:val="16"/>
          <w:szCs w:val="16"/>
          <w:rtl/>
        </w:rPr>
        <w:t>(</w:t>
      </w:r>
      <w:r w:rsidRPr="000845F5">
        <w:rPr>
          <w:rFonts w:cs="Arial"/>
          <w:sz w:val="16"/>
          <w:szCs w:val="16"/>
          <w:rtl/>
        </w:rPr>
        <w:t>ריש סנהדרין א: ד"ה אמר רב)</w:t>
      </w:r>
      <w:r>
        <w:rPr>
          <w:rFonts w:cs="Arial" w:hint="cs"/>
          <w:rtl/>
        </w:rPr>
        <w:t xml:space="preserve">- </w:t>
      </w:r>
      <w:r w:rsidRPr="000845F5">
        <w:rPr>
          <w:rFonts w:cs="Arial"/>
          <w:rtl/>
        </w:rPr>
        <w:t>פשרנים או דיינים יכולים להיות עדים</w:t>
      </w:r>
      <w:r>
        <w:rPr>
          <w:rStyle w:val="ab"/>
          <w:rFonts w:cs="Arial"/>
          <w:rtl/>
        </w:rPr>
        <w:footnoteReference w:id="2699"/>
      </w:r>
      <w:r>
        <w:rPr>
          <w:rFonts w:cs="Arial" w:hint="cs"/>
          <w:rtl/>
        </w:rPr>
        <w:t>.</w:t>
      </w:r>
      <w:r w:rsidRPr="000845F5">
        <w:rPr>
          <w:rFonts w:cs="Arial"/>
          <w:rtl/>
        </w:rPr>
        <w:t xml:space="preserve"> </w:t>
      </w:r>
      <w:r w:rsidRPr="00723EA5">
        <w:rPr>
          <w:rFonts w:hint="cs"/>
          <w:color w:val="E36C0A" w:themeColor="accent6" w:themeShade="BF"/>
          <w:rtl/>
        </w:rPr>
        <w:t>(וכ"פ בשו"ע)</w:t>
      </w:r>
    </w:p>
    <w:p w14:paraId="2E0D9C7E" w14:textId="77777777" w:rsidR="004B607F" w:rsidRPr="000845F5" w:rsidRDefault="004B607F" w:rsidP="004B607F">
      <w:pPr>
        <w:rPr>
          <w:rFonts w:cs="Arial"/>
          <w:u w:val="single"/>
          <w:rtl/>
        </w:rPr>
      </w:pPr>
      <w:r>
        <w:rPr>
          <w:rFonts w:cs="Arial" w:hint="cs"/>
          <w:u w:val="single"/>
          <w:rtl/>
        </w:rPr>
        <w:t xml:space="preserve">אפוטרופוס </w:t>
      </w:r>
      <w:r>
        <w:rPr>
          <w:rFonts w:cs="Arial"/>
          <w:u w:val="single"/>
          <w:rtl/>
        </w:rPr>
        <w:t>–</w:t>
      </w:r>
      <w:r>
        <w:rPr>
          <w:rFonts w:cs="Arial" w:hint="cs"/>
          <w:u w:val="single"/>
          <w:rtl/>
        </w:rPr>
        <w:t xml:space="preserve"> מהו </w:t>
      </w:r>
      <w:r w:rsidRPr="000845F5">
        <w:rPr>
          <w:rFonts w:cs="Arial" w:hint="cs"/>
          <w:u w:val="single"/>
          <w:rtl/>
        </w:rPr>
        <w:t>שיעיד:</w:t>
      </w:r>
      <w:r w:rsidRPr="000845F5">
        <w:rPr>
          <w:rFonts w:cs="Arial"/>
          <w:u w:val="single"/>
          <w:rtl/>
        </w:rPr>
        <w:t xml:space="preserve"> </w:t>
      </w:r>
    </w:p>
    <w:p w14:paraId="5B394D50" w14:textId="77777777" w:rsidR="004B607F" w:rsidRPr="000845F5" w:rsidRDefault="004B607F" w:rsidP="004B0475">
      <w:pPr>
        <w:pStyle w:val="ac"/>
        <w:numPr>
          <w:ilvl w:val="0"/>
          <w:numId w:val="111"/>
        </w:numPr>
        <w:rPr>
          <w:rFonts w:cs="Arial"/>
          <w:rtl/>
        </w:rPr>
      </w:pPr>
      <w:r w:rsidRPr="000845F5">
        <w:rPr>
          <w:rFonts w:cs="Arial"/>
          <w:rtl/>
        </w:rPr>
        <w:t>ב</w:t>
      </w:r>
      <w:r w:rsidRPr="000845F5">
        <w:rPr>
          <w:rFonts w:cs="Arial" w:hint="cs"/>
          <w:rtl/>
        </w:rPr>
        <w:t>ה</w:t>
      </w:r>
      <w:r w:rsidRPr="000845F5">
        <w:rPr>
          <w:rFonts w:cs="Arial"/>
          <w:rtl/>
        </w:rPr>
        <w:t>עי</w:t>
      </w:r>
      <w:r w:rsidRPr="000845F5">
        <w:rPr>
          <w:rFonts w:cs="Arial" w:hint="cs"/>
          <w:rtl/>
        </w:rPr>
        <w:t>"</w:t>
      </w:r>
      <w:r w:rsidRPr="000845F5">
        <w:rPr>
          <w:rFonts w:cs="Arial"/>
          <w:rtl/>
        </w:rPr>
        <w:t>ט</w:t>
      </w:r>
      <w:r w:rsidRPr="000845F5">
        <w:rPr>
          <w:rFonts w:cs="Arial" w:hint="cs"/>
          <w:rtl/>
        </w:rPr>
        <w:t xml:space="preserve"> </w:t>
      </w:r>
      <w:r w:rsidRPr="000845F5">
        <w:rPr>
          <w:rFonts w:cs="Arial"/>
          <w:sz w:val="16"/>
          <w:szCs w:val="16"/>
          <w:rtl/>
        </w:rPr>
        <w:t>(ח"א סב:)</w:t>
      </w:r>
      <w:r w:rsidRPr="000845F5">
        <w:rPr>
          <w:rFonts w:cs="Arial"/>
          <w:rtl/>
        </w:rPr>
        <w:t xml:space="preserve"> </w:t>
      </w:r>
      <w:r w:rsidRPr="000845F5">
        <w:rPr>
          <w:rFonts w:cs="Arial" w:hint="cs"/>
          <w:rtl/>
        </w:rPr>
        <w:t>ו</w:t>
      </w:r>
      <w:r w:rsidRPr="000845F5">
        <w:rPr>
          <w:rFonts w:cs="Arial"/>
          <w:rtl/>
        </w:rPr>
        <w:t xml:space="preserve">רא"ש </w:t>
      </w:r>
      <w:r w:rsidRPr="000845F5">
        <w:rPr>
          <w:rFonts w:cs="Arial" w:hint="cs"/>
          <w:sz w:val="16"/>
          <w:szCs w:val="16"/>
          <w:rtl/>
        </w:rPr>
        <w:t>(</w:t>
      </w:r>
      <w:r w:rsidRPr="000845F5">
        <w:rPr>
          <w:rFonts w:cs="Arial"/>
          <w:sz w:val="16"/>
          <w:szCs w:val="16"/>
          <w:rtl/>
        </w:rPr>
        <w:t>כלל פז סי</w:t>
      </w:r>
      <w:r w:rsidRPr="000845F5">
        <w:rPr>
          <w:rFonts w:cs="Arial" w:hint="cs"/>
          <w:sz w:val="16"/>
          <w:szCs w:val="16"/>
          <w:rtl/>
        </w:rPr>
        <w:t>'</w:t>
      </w:r>
      <w:r w:rsidRPr="000845F5">
        <w:rPr>
          <w:rFonts w:cs="Arial"/>
          <w:sz w:val="16"/>
          <w:szCs w:val="16"/>
          <w:rtl/>
        </w:rPr>
        <w:t xml:space="preserve"> ג</w:t>
      </w:r>
      <w:r w:rsidRPr="000845F5">
        <w:rPr>
          <w:rFonts w:cs="Arial" w:hint="cs"/>
          <w:sz w:val="16"/>
          <w:szCs w:val="16"/>
          <w:rtl/>
        </w:rPr>
        <w:t>,</w:t>
      </w:r>
      <w:r w:rsidRPr="000845F5">
        <w:rPr>
          <w:rFonts w:cs="Arial"/>
          <w:sz w:val="16"/>
          <w:szCs w:val="16"/>
          <w:rtl/>
        </w:rPr>
        <w:t xml:space="preserve"> וכתבו </w:t>
      </w:r>
      <w:r w:rsidRPr="000845F5">
        <w:rPr>
          <w:rFonts w:cs="Arial" w:hint="cs"/>
          <w:sz w:val="16"/>
          <w:szCs w:val="16"/>
          <w:rtl/>
        </w:rPr>
        <w:t>הטור</w:t>
      </w:r>
      <w:r w:rsidRPr="000845F5">
        <w:rPr>
          <w:rFonts w:cs="Arial"/>
          <w:sz w:val="16"/>
          <w:szCs w:val="16"/>
          <w:rtl/>
        </w:rPr>
        <w:t xml:space="preserve"> בסי</w:t>
      </w:r>
      <w:r w:rsidRPr="000845F5">
        <w:rPr>
          <w:rFonts w:cs="Arial" w:hint="cs"/>
          <w:sz w:val="16"/>
          <w:szCs w:val="16"/>
          <w:rtl/>
        </w:rPr>
        <w:t>'</w:t>
      </w:r>
      <w:r w:rsidRPr="000845F5">
        <w:rPr>
          <w:rFonts w:cs="Arial"/>
          <w:sz w:val="16"/>
          <w:szCs w:val="16"/>
          <w:rtl/>
        </w:rPr>
        <w:t xml:space="preserve"> רצ סל"ה</w:t>
      </w:r>
      <w:r w:rsidRPr="000845F5">
        <w:rPr>
          <w:rFonts w:cs="Arial" w:hint="cs"/>
          <w:sz w:val="16"/>
          <w:szCs w:val="16"/>
          <w:rtl/>
        </w:rPr>
        <w:t>)</w:t>
      </w:r>
      <w:r w:rsidRPr="000845F5">
        <w:rPr>
          <w:rFonts w:cs="Arial"/>
          <w:sz w:val="16"/>
          <w:szCs w:val="16"/>
          <w:rtl/>
        </w:rPr>
        <w:t xml:space="preserve"> </w:t>
      </w:r>
      <w:r w:rsidRPr="000845F5">
        <w:rPr>
          <w:rFonts w:cs="Arial"/>
          <w:rtl/>
        </w:rPr>
        <w:t>בשם התוס</w:t>
      </w:r>
      <w:r w:rsidRPr="000845F5">
        <w:rPr>
          <w:rFonts w:cs="Arial" w:hint="cs"/>
          <w:rtl/>
        </w:rPr>
        <w:t>'-</w:t>
      </w:r>
      <w:r w:rsidRPr="000845F5">
        <w:rPr>
          <w:rFonts w:cs="Arial"/>
          <w:rtl/>
        </w:rPr>
        <w:t xml:space="preserve"> אפוטרופוס מעיד</w:t>
      </w:r>
      <w:r w:rsidRPr="000845F5">
        <w:rPr>
          <w:rFonts w:cs="Arial" w:hint="cs"/>
          <w:rtl/>
        </w:rPr>
        <w:t>.</w:t>
      </w:r>
      <w:r w:rsidRPr="000845F5">
        <w:rPr>
          <w:rFonts w:cs="Arial"/>
          <w:rtl/>
        </w:rPr>
        <w:t xml:space="preserve"> </w:t>
      </w:r>
      <w:r w:rsidRPr="00723EA5">
        <w:rPr>
          <w:rFonts w:hint="cs"/>
          <w:color w:val="E36C0A" w:themeColor="accent6" w:themeShade="BF"/>
          <w:rtl/>
        </w:rPr>
        <w:t>(וכ"פ בשו"ע)</w:t>
      </w:r>
    </w:p>
    <w:p w14:paraId="4057D11A" w14:textId="77777777" w:rsidR="004B607F" w:rsidRPr="0027258B" w:rsidRDefault="004B607F" w:rsidP="004B607F">
      <w:pPr>
        <w:rPr>
          <w:rtl/>
        </w:rPr>
      </w:pPr>
      <w:r w:rsidRPr="0027258B">
        <w:rPr>
          <w:rFonts w:cs="Arial" w:hint="cs"/>
          <w:b/>
          <w:bCs/>
          <w:rtl/>
        </w:rPr>
        <w:t>קדושין</w:t>
      </w:r>
      <w:r>
        <w:rPr>
          <w:rFonts w:cs="Arial" w:hint="cs"/>
          <w:b/>
          <w:bCs/>
          <w:sz w:val="16"/>
          <w:szCs w:val="16"/>
          <w:rtl/>
        </w:rPr>
        <w:t xml:space="preserve"> (פ"ב)</w:t>
      </w:r>
      <w:r w:rsidRPr="0027258B">
        <w:rPr>
          <w:rFonts w:cs="Arial" w:hint="cs"/>
          <w:b/>
          <w:bCs/>
          <w:rtl/>
        </w:rPr>
        <w:t xml:space="preserve"> מג</w:t>
      </w:r>
      <w:r>
        <w:rPr>
          <w:rStyle w:val="ab"/>
          <w:rFonts w:cs="Arial"/>
          <w:b/>
          <w:bCs/>
          <w:rtl/>
        </w:rPr>
        <w:footnoteReference w:id="2700"/>
      </w:r>
      <w:r w:rsidRPr="0027258B">
        <w:rPr>
          <w:rFonts w:cs="Arial" w:hint="cs"/>
          <w:b/>
          <w:bCs/>
          <w:rtl/>
        </w:rPr>
        <w:t xml:space="preserve"> ע"א: </w:t>
      </w:r>
      <w:r w:rsidRPr="0027258B">
        <w:rPr>
          <w:rFonts w:cs="Arial"/>
          <w:u w:val="single"/>
          <w:rtl/>
        </w:rPr>
        <w:t>רב אמר</w:t>
      </w:r>
      <w:r w:rsidRPr="0027258B">
        <w:rPr>
          <w:rFonts w:cs="Arial"/>
          <w:rtl/>
        </w:rPr>
        <w:t>: אין שליח נעשה עד</w:t>
      </w:r>
      <w:r>
        <w:rPr>
          <w:rFonts w:cs="Arial" w:hint="cs"/>
          <w:rtl/>
        </w:rPr>
        <w:t>.</w:t>
      </w:r>
      <w:r w:rsidRPr="0027258B">
        <w:rPr>
          <w:rFonts w:cs="Arial"/>
          <w:rtl/>
        </w:rPr>
        <w:t xml:space="preserve"> </w:t>
      </w:r>
      <w:r w:rsidRPr="0027258B">
        <w:rPr>
          <w:rFonts w:cs="Arial"/>
          <w:u w:val="single"/>
          <w:rtl/>
        </w:rPr>
        <w:t>דבי ר' שילא אמרי</w:t>
      </w:r>
      <w:r w:rsidRPr="0027258B">
        <w:rPr>
          <w:rFonts w:cs="Arial"/>
          <w:rtl/>
        </w:rPr>
        <w:t>: שליח נעשה עד. והילכתא: שליח נעשה עד.</w:t>
      </w:r>
      <w:r w:rsidRPr="004335D9">
        <w:rPr>
          <w:rtl/>
        </w:rPr>
        <w:t xml:space="preserve"> </w:t>
      </w:r>
      <w:r w:rsidRPr="004335D9">
        <w:rPr>
          <w:rFonts w:cs="Arial"/>
          <w:u w:val="single"/>
          <w:rtl/>
        </w:rPr>
        <w:t>אמר רבא אמר רב נחמן</w:t>
      </w:r>
      <w:r w:rsidRPr="004335D9">
        <w:rPr>
          <w:rFonts w:cs="Arial"/>
          <w:rtl/>
        </w:rPr>
        <w:t>: אמר לשנים צאו וקדשו לי את האשה - הן הן שלוחיו, הן הן עדיו; וכן בגירושין וכן בדיני ממונות.</w:t>
      </w:r>
      <w:r>
        <w:rPr>
          <w:rFonts w:cs="Arial" w:hint="cs"/>
          <w:rtl/>
        </w:rPr>
        <w:t>.</w:t>
      </w:r>
      <w:r w:rsidRPr="004335D9">
        <w:rPr>
          <w:rFonts w:cs="Arial"/>
          <w:rtl/>
        </w:rPr>
        <w:t>. מאי קסבר</w:t>
      </w:r>
      <w:r>
        <w:rPr>
          <w:rStyle w:val="ab"/>
          <w:rFonts w:cs="Arial"/>
          <w:rtl/>
        </w:rPr>
        <w:footnoteReference w:id="2701"/>
      </w:r>
      <w:r w:rsidRPr="004335D9">
        <w:rPr>
          <w:rFonts w:cs="Arial"/>
          <w:rtl/>
        </w:rPr>
        <w:t>? אי קסבר: המלוה חבירו בעדים צריך לפורעו בעדים, הני נוגעים בעדות נינהו, דאי אמרי לא פרעניה, אמר להו פרעוני! אלא לעולם קסבר: המלוה את חבירו בעדים א"צ לפורעו בעדים, ומגו דיכלי למימר אהדרינהו ללוה</w:t>
      </w:r>
      <w:r>
        <w:rPr>
          <w:rStyle w:val="ab"/>
          <w:rFonts w:cs="Arial"/>
          <w:rtl/>
        </w:rPr>
        <w:footnoteReference w:id="2702"/>
      </w:r>
      <w:r w:rsidRPr="004335D9">
        <w:rPr>
          <w:rFonts w:cs="Arial"/>
          <w:rtl/>
        </w:rPr>
        <w:t>, יכולין למימר</w:t>
      </w:r>
      <w:r>
        <w:rPr>
          <w:rStyle w:val="ab"/>
          <w:rFonts w:cs="Arial"/>
          <w:rtl/>
        </w:rPr>
        <w:footnoteReference w:id="2703"/>
      </w:r>
      <w:r w:rsidRPr="004335D9">
        <w:rPr>
          <w:rFonts w:cs="Arial"/>
          <w:rtl/>
        </w:rPr>
        <w:t xml:space="preserve"> פרעניה למלוה. והשתא דתקון רבנן שבועת היסת</w:t>
      </w:r>
      <w:r>
        <w:rPr>
          <w:rStyle w:val="ab"/>
          <w:rFonts w:cs="Arial"/>
          <w:rtl/>
        </w:rPr>
        <w:footnoteReference w:id="2704"/>
      </w:r>
      <w:r w:rsidRPr="004335D9">
        <w:rPr>
          <w:rFonts w:cs="Arial"/>
          <w:rtl/>
        </w:rPr>
        <w:t xml:space="preserve">, משתבעי הני עדים דיהיבנא ליה, ומשתבע מלוה דלא שקיל ליה, ופרע ליה לוה למלוה. </w:t>
      </w:r>
      <w:r w:rsidRPr="0027258B">
        <w:rPr>
          <w:rFonts w:cs="Arial"/>
          <w:rtl/>
        </w:rPr>
        <w:t xml:space="preserve"> </w:t>
      </w:r>
    </w:p>
    <w:p w14:paraId="03FDA086" w14:textId="77777777" w:rsidR="004B607F" w:rsidRPr="000845F5" w:rsidRDefault="004B607F" w:rsidP="004B607F">
      <w:pPr>
        <w:rPr>
          <w:u w:val="single"/>
        </w:rPr>
      </w:pPr>
      <w:r w:rsidRPr="000845F5">
        <w:rPr>
          <w:rFonts w:hint="cs"/>
          <w:u w:val="single"/>
          <w:rtl/>
        </w:rPr>
        <w:t xml:space="preserve">שליח </w:t>
      </w:r>
      <w:r w:rsidRPr="000845F5">
        <w:rPr>
          <w:u w:val="single"/>
          <w:rtl/>
        </w:rPr>
        <w:t>–</w:t>
      </w:r>
      <w:r w:rsidRPr="000845F5">
        <w:rPr>
          <w:rFonts w:hint="cs"/>
          <w:u w:val="single"/>
          <w:rtl/>
        </w:rPr>
        <w:t xml:space="preserve"> מהו שיעיד:</w:t>
      </w:r>
    </w:p>
    <w:p w14:paraId="3403F27F" w14:textId="77777777" w:rsidR="004B607F" w:rsidRDefault="004B607F" w:rsidP="004B0475">
      <w:pPr>
        <w:pStyle w:val="ac"/>
        <w:numPr>
          <w:ilvl w:val="0"/>
          <w:numId w:val="111"/>
        </w:numPr>
        <w:rPr>
          <w:rtl/>
        </w:rPr>
      </w:pPr>
      <w:r w:rsidRPr="000845F5">
        <w:rPr>
          <w:rFonts w:cs="Arial"/>
          <w:rtl/>
        </w:rPr>
        <w:t>רי"ף</w:t>
      </w:r>
      <w:r w:rsidRPr="000845F5">
        <w:rPr>
          <w:rFonts w:cs="Arial"/>
          <w:sz w:val="16"/>
          <w:szCs w:val="16"/>
          <w:rtl/>
        </w:rPr>
        <w:t xml:space="preserve"> </w:t>
      </w:r>
      <w:r w:rsidRPr="000845F5">
        <w:rPr>
          <w:rFonts w:cs="Arial" w:hint="cs"/>
          <w:sz w:val="16"/>
          <w:szCs w:val="16"/>
          <w:rtl/>
        </w:rPr>
        <w:t>(</w:t>
      </w:r>
      <w:r w:rsidRPr="000845F5">
        <w:rPr>
          <w:rFonts w:cs="Arial"/>
          <w:sz w:val="16"/>
          <w:szCs w:val="16"/>
          <w:rtl/>
        </w:rPr>
        <w:t>פ"ב דקידושין</w:t>
      </w:r>
      <w:r w:rsidRPr="000845F5">
        <w:rPr>
          <w:rFonts w:cs="Arial" w:hint="cs"/>
          <w:sz w:val="16"/>
          <w:szCs w:val="16"/>
          <w:rtl/>
        </w:rPr>
        <w:t xml:space="preserve"> </w:t>
      </w:r>
      <w:r w:rsidRPr="000845F5">
        <w:rPr>
          <w:rFonts w:cs="Arial"/>
          <w:sz w:val="16"/>
          <w:szCs w:val="16"/>
          <w:rtl/>
        </w:rPr>
        <w:t>יז:</w:t>
      </w:r>
      <w:r>
        <w:rPr>
          <w:rFonts w:cs="Arial" w:hint="cs"/>
          <w:sz w:val="16"/>
          <w:szCs w:val="16"/>
          <w:rtl/>
        </w:rPr>
        <w:t xml:space="preserve"> מדפה"ר</w:t>
      </w:r>
      <w:r w:rsidRPr="000845F5">
        <w:rPr>
          <w:rFonts w:cs="Arial"/>
          <w:sz w:val="16"/>
          <w:szCs w:val="16"/>
          <w:rtl/>
        </w:rPr>
        <w:t>)</w:t>
      </w:r>
      <w:r>
        <w:rPr>
          <w:rFonts w:cs="Arial" w:hint="cs"/>
          <w:rtl/>
        </w:rPr>
        <w:t xml:space="preserve">- </w:t>
      </w:r>
      <w:r w:rsidRPr="000845F5">
        <w:rPr>
          <w:rFonts w:cs="Arial"/>
          <w:rtl/>
        </w:rPr>
        <w:t>איתמר רב אמר אין שליח נעשה עד דבי ר' שילא אמרי שליח נעשה עד והלכתא שליח נעשה עד</w:t>
      </w:r>
      <w:r>
        <w:rPr>
          <w:rFonts w:cs="Arial" w:hint="cs"/>
          <w:rtl/>
        </w:rPr>
        <w:t>.</w:t>
      </w:r>
      <w:r w:rsidRPr="000845F5">
        <w:rPr>
          <w:rFonts w:cs="Arial"/>
          <w:rtl/>
        </w:rPr>
        <w:t xml:space="preserve"> [ירושלמי] חד בר נש אפקיד גרבוי גבי חבריה</w:t>
      </w:r>
      <w:r>
        <w:rPr>
          <w:rFonts w:cs="Arial" w:hint="cs"/>
          <w:rtl/>
        </w:rPr>
        <w:t>.</w:t>
      </w:r>
      <w:r w:rsidRPr="000845F5">
        <w:rPr>
          <w:rFonts w:cs="Arial"/>
          <w:rtl/>
        </w:rPr>
        <w:t xml:space="preserve"> וכפר ביה</w:t>
      </w:r>
      <w:r>
        <w:rPr>
          <w:rFonts w:cs="Arial" w:hint="cs"/>
          <w:rtl/>
        </w:rPr>
        <w:t>.</w:t>
      </w:r>
      <w:r w:rsidRPr="000845F5">
        <w:rPr>
          <w:rFonts w:cs="Arial"/>
          <w:rtl/>
        </w:rPr>
        <w:t xml:space="preserve"> אתא עובדא קומי רבי ירמיה</w:t>
      </w:r>
      <w:r>
        <w:rPr>
          <w:rFonts w:cs="Arial" w:hint="cs"/>
          <w:rtl/>
        </w:rPr>
        <w:t>,</w:t>
      </w:r>
      <w:r w:rsidRPr="000845F5">
        <w:rPr>
          <w:rFonts w:cs="Arial"/>
          <w:rtl/>
        </w:rPr>
        <w:t xml:space="preserve"> ועשה שליח עד וחייבו שבועה על ידי הכתף</w:t>
      </w:r>
      <w:r>
        <w:rPr>
          <w:rFonts w:cs="Arial" w:hint="cs"/>
          <w:rtl/>
        </w:rPr>
        <w:t>.</w:t>
      </w:r>
      <w:r w:rsidRPr="000845F5">
        <w:rPr>
          <w:rFonts w:cs="Arial"/>
          <w:rtl/>
        </w:rPr>
        <w:t xml:space="preserve"> אמר רבא אמר רב נחמן אמר לשנים צאו וקדשו לי את האשה הן הן שלוחיו הן הן עדיו וכן בגירושין וכן בדיני ממונות כגון שאמר לשנים תנו מנה זה לפלוני שאני חייב לו הם אומרים נתננו והוא אומר לא נטלתי</w:t>
      </w:r>
      <w:r>
        <w:rPr>
          <w:rFonts w:cs="Arial" w:hint="cs"/>
          <w:rtl/>
        </w:rPr>
        <w:t>,</w:t>
      </w:r>
      <w:r w:rsidRPr="000845F5">
        <w:rPr>
          <w:rFonts w:cs="Arial"/>
          <w:rtl/>
        </w:rPr>
        <w:t xml:space="preserve"> מגו דיכלי למימר אהדרינהו ללוה</w:t>
      </w:r>
      <w:r>
        <w:rPr>
          <w:rFonts w:cs="Arial" w:hint="cs"/>
          <w:rtl/>
        </w:rPr>
        <w:t xml:space="preserve"> -</w:t>
      </w:r>
      <w:r w:rsidRPr="000845F5">
        <w:rPr>
          <w:rFonts w:cs="Arial"/>
          <w:rtl/>
        </w:rPr>
        <w:t xml:space="preserve"> יכלי למימר פרענוהו למלוה</w:t>
      </w:r>
      <w:r>
        <w:rPr>
          <w:rFonts w:cs="Arial" w:hint="cs"/>
          <w:rtl/>
        </w:rPr>
        <w:t>.</w:t>
      </w:r>
      <w:r w:rsidRPr="000845F5">
        <w:rPr>
          <w:rFonts w:cs="Arial"/>
          <w:rtl/>
        </w:rPr>
        <w:t xml:space="preserve"> והני מילי מקמי דליתקון רבנן שבועת היסת אבל השתא דאתקון רבנן שבועת היסת כיון דאי בעו למימר אהדרינהו ללוה</w:t>
      </w:r>
      <w:r>
        <w:rPr>
          <w:rFonts w:cs="Arial" w:hint="cs"/>
          <w:rtl/>
        </w:rPr>
        <w:t xml:space="preserve"> </w:t>
      </w:r>
      <w:r w:rsidRPr="00C33A0E">
        <w:rPr>
          <w:rFonts w:cs="Arial"/>
          <w:rtl/>
        </w:rPr>
        <w:t>מיחייבי לאשתבועי שבועת היסת ולא מיקבלא עדותן דנוגעין בעדותן הן הלכך כדאמרי פרענוה למלוה הוו כמאן דאמר ליה מנה לי בידך והלה אומר אין לך בידי כלום דמשתבע היסת ומפטר</w:t>
      </w:r>
      <w:r>
        <w:rPr>
          <w:rFonts w:cs="Arial" w:hint="cs"/>
          <w:rtl/>
        </w:rPr>
        <w:t>,</w:t>
      </w:r>
      <w:r w:rsidRPr="00C33A0E">
        <w:rPr>
          <w:rFonts w:cs="Arial"/>
          <w:rtl/>
        </w:rPr>
        <w:t xml:space="preserve"> הלכך משתבעי הני שלוחי דיהבוה ליה למלוה ומפטרי</w:t>
      </w:r>
      <w:r>
        <w:rPr>
          <w:rFonts w:hint="cs"/>
          <w:rtl/>
        </w:rPr>
        <w:t>.</w:t>
      </w:r>
    </w:p>
    <w:p w14:paraId="167AC65C" w14:textId="77777777" w:rsidR="004B607F" w:rsidRDefault="004B607F" w:rsidP="004B607F">
      <w:pPr>
        <w:rPr>
          <w:rFonts w:cs="Arial"/>
          <w:rtl/>
        </w:rPr>
      </w:pPr>
      <w:r w:rsidRPr="00C33A0E">
        <w:rPr>
          <w:rFonts w:cs="Arial" w:hint="cs"/>
          <w:u w:val="single"/>
          <w:rtl/>
        </w:rPr>
        <w:t xml:space="preserve">האומר לבעל דין 'איני רוצה שתקצוץ לי שכר עבור עדותי אבל אם תזכה ותרצה להביא לי </w:t>
      </w:r>
      <w:r w:rsidRPr="00C33A0E">
        <w:rPr>
          <w:rFonts w:cs="Arial"/>
          <w:u w:val="single"/>
          <w:rtl/>
        </w:rPr>
        <w:t>–</w:t>
      </w:r>
      <w:r w:rsidRPr="00C33A0E">
        <w:rPr>
          <w:rFonts w:cs="Arial" w:hint="cs"/>
          <w:u w:val="single"/>
          <w:rtl/>
        </w:rPr>
        <w:t xml:space="preserve"> אקבל':</w:t>
      </w:r>
    </w:p>
    <w:p w14:paraId="7F187130" w14:textId="77777777" w:rsidR="004B607F" w:rsidRPr="00C33A0E" w:rsidRDefault="004B607F" w:rsidP="004B0475">
      <w:pPr>
        <w:pStyle w:val="ac"/>
        <w:numPr>
          <w:ilvl w:val="0"/>
          <w:numId w:val="111"/>
        </w:numPr>
        <w:rPr>
          <w:rFonts w:cs="Arial"/>
          <w:rtl/>
        </w:rPr>
      </w:pPr>
      <w:r>
        <w:rPr>
          <w:rFonts w:cs="Arial" w:hint="cs"/>
          <w:rtl/>
        </w:rPr>
        <w:t>תרוה"ד</w:t>
      </w:r>
      <w:r>
        <w:rPr>
          <w:rFonts w:cs="Arial" w:hint="cs"/>
          <w:sz w:val="16"/>
          <w:szCs w:val="16"/>
          <w:rtl/>
        </w:rPr>
        <w:t xml:space="preserve"> (סי' שנד)</w:t>
      </w:r>
      <w:r>
        <w:rPr>
          <w:rFonts w:cs="Arial" w:hint="cs"/>
          <w:rtl/>
        </w:rPr>
        <w:t xml:space="preserve">- </w:t>
      </w:r>
      <w:r w:rsidRPr="0027258B">
        <w:rPr>
          <w:rFonts w:cs="Arial"/>
          <w:rtl/>
        </w:rPr>
        <w:t>לעולם בשביל הנייה תלויה על הספק לעתיד לא מפסלי.</w:t>
      </w:r>
    </w:p>
    <w:p w14:paraId="67BB405C" w14:textId="77777777" w:rsidR="004B607F" w:rsidRDefault="004B607F" w:rsidP="004B0475">
      <w:pPr>
        <w:pStyle w:val="ac"/>
        <w:numPr>
          <w:ilvl w:val="0"/>
          <w:numId w:val="111"/>
        </w:numPr>
        <w:rPr>
          <w:rFonts w:cs="Arial"/>
        </w:rPr>
      </w:pPr>
      <w:r w:rsidRPr="00C33A0E">
        <w:rPr>
          <w:rFonts w:cs="Arial" w:hint="cs"/>
          <w:rtl/>
        </w:rPr>
        <w:lastRenderedPageBreak/>
        <w:t xml:space="preserve">ב"י- </w:t>
      </w:r>
      <w:r w:rsidRPr="00C33A0E">
        <w:rPr>
          <w:rFonts w:cs="Arial"/>
          <w:rtl/>
        </w:rPr>
        <w:t>לי נראה דפשיטא דנוגע בעדות הוי שהדבר ודאי שישלם לו</w:t>
      </w:r>
      <w:r w:rsidRPr="00C33A0E">
        <w:rPr>
          <w:rFonts w:cs="Arial" w:hint="cs"/>
          <w:rtl/>
        </w:rPr>
        <w:t>.</w:t>
      </w:r>
      <w:r>
        <w:rPr>
          <w:rFonts w:cs="Arial" w:hint="cs"/>
          <w:rtl/>
        </w:rPr>
        <w:t xml:space="preserve"> </w:t>
      </w:r>
    </w:p>
    <w:p w14:paraId="15A1086E" w14:textId="77777777" w:rsidR="004B607F" w:rsidRDefault="004B607F" w:rsidP="004B607F">
      <w:pPr>
        <w:rPr>
          <w:rFonts w:cs="Arial"/>
          <w:rtl/>
        </w:rPr>
      </w:pPr>
      <w:r w:rsidRPr="00C33A0E">
        <w:rPr>
          <w:rFonts w:cs="Arial"/>
          <w:u w:val="single"/>
          <w:rtl/>
        </w:rPr>
        <w:t>הבא להעיד בדבר שיש לאחד מהבעלי דינים תרעומת עליו</w:t>
      </w:r>
      <w:r w:rsidRPr="00C33A0E">
        <w:rPr>
          <w:rFonts w:cs="Arial" w:hint="cs"/>
          <w:u w:val="single"/>
          <w:rtl/>
        </w:rPr>
        <w:t>:</w:t>
      </w:r>
    </w:p>
    <w:p w14:paraId="5DCD12DD" w14:textId="77777777" w:rsidR="004B607F" w:rsidRPr="00022365" w:rsidRDefault="004B607F" w:rsidP="004B0475">
      <w:pPr>
        <w:pStyle w:val="ac"/>
        <w:numPr>
          <w:ilvl w:val="0"/>
          <w:numId w:val="111"/>
        </w:numPr>
        <w:rPr>
          <w:rtl/>
        </w:rPr>
      </w:pPr>
      <w:r w:rsidRPr="00C33A0E">
        <w:rPr>
          <w:rFonts w:cs="Arial" w:hint="cs"/>
          <w:rtl/>
        </w:rPr>
        <w:t xml:space="preserve">טור </w:t>
      </w:r>
      <w:r w:rsidRPr="00C33A0E">
        <w:rPr>
          <w:rFonts w:cs="Arial" w:hint="cs"/>
          <w:sz w:val="16"/>
          <w:szCs w:val="16"/>
          <w:rtl/>
        </w:rPr>
        <w:t>(</w:t>
      </w:r>
      <w:r w:rsidRPr="00C33A0E">
        <w:rPr>
          <w:rFonts w:cs="Arial"/>
          <w:sz w:val="16"/>
          <w:szCs w:val="16"/>
          <w:rtl/>
        </w:rPr>
        <w:t>סי</w:t>
      </w:r>
      <w:r w:rsidRPr="00C33A0E">
        <w:rPr>
          <w:rFonts w:cs="Arial" w:hint="cs"/>
          <w:sz w:val="16"/>
          <w:szCs w:val="16"/>
          <w:rtl/>
        </w:rPr>
        <w:t>'</w:t>
      </w:r>
      <w:r w:rsidRPr="00C33A0E">
        <w:rPr>
          <w:rFonts w:cs="Arial"/>
          <w:sz w:val="16"/>
          <w:szCs w:val="16"/>
          <w:rtl/>
        </w:rPr>
        <w:t xml:space="preserve"> נה ס"א)</w:t>
      </w:r>
      <w:r>
        <w:rPr>
          <w:rFonts w:cs="Arial" w:hint="cs"/>
          <w:rtl/>
        </w:rPr>
        <w:t xml:space="preserve"> וב"י</w:t>
      </w:r>
      <w:r w:rsidRPr="00C33A0E">
        <w:rPr>
          <w:rFonts w:cs="Arial" w:hint="cs"/>
          <w:rtl/>
        </w:rPr>
        <w:t xml:space="preserve">- </w:t>
      </w:r>
      <w:r w:rsidRPr="00C33A0E">
        <w:rPr>
          <w:rFonts w:cs="Arial"/>
          <w:rtl/>
        </w:rPr>
        <w:t xml:space="preserve">הבא להעיד בדבר שיש לאחד מהבעלי דינים תרעומת עליו </w:t>
      </w:r>
      <w:r>
        <w:rPr>
          <w:rFonts w:cs="Arial" w:hint="cs"/>
          <w:rtl/>
        </w:rPr>
        <w:t xml:space="preserve">- </w:t>
      </w:r>
      <w:r w:rsidRPr="00C33A0E">
        <w:rPr>
          <w:rFonts w:cs="Arial"/>
          <w:rtl/>
        </w:rPr>
        <w:t>הוי נוגע בעדות</w:t>
      </w:r>
      <w:r>
        <w:rPr>
          <w:rFonts w:cs="Arial" w:hint="cs"/>
          <w:sz w:val="16"/>
          <w:szCs w:val="16"/>
          <w:rtl/>
        </w:rPr>
        <w:t xml:space="preserve"> (ל' הב"י)</w:t>
      </w:r>
      <w:r>
        <w:rPr>
          <w:rStyle w:val="ab"/>
          <w:rFonts w:cs="Arial"/>
          <w:rtl/>
        </w:rPr>
        <w:footnoteReference w:id="2705"/>
      </w:r>
      <w:r w:rsidRPr="00C33A0E">
        <w:rPr>
          <w:rFonts w:cs="Arial" w:hint="cs"/>
          <w:rtl/>
        </w:rPr>
        <w:t>.</w:t>
      </w:r>
    </w:p>
    <w:p w14:paraId="1F599D40" w14:textId="77777777" w:rsidR="004B607F" w:rsidRPr="003024E5" w:rsidRDefault="004B607F" w:rsidP="004B607F">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4BF2687B" w14:textId="77777777" w:rsidR="004B607F" w:rsidRDefault="004B607F" w:rsidP="004B607F">
      <w:pPr>
        <w:rPr>
          <w:rtl/>
        </w:rPr>
      </w:pPr>
      <w:r>
        <w:rPr>
          <w:rFonts w:cs="Arial"/>
          <w:rtl/>
        </w:rPr>
        <w:t xml:space="preserve">פשרנים או דיינים או אפוטרופסים כשרים להעיד. </w:t>
      </w:r>
      <w:r w:rsidRPr="00D60C1E">
        <w:rPr>
          <w:rFonts w:cs="Arial"/>
          <w:sz w:val="18"/>
          <w:szCs w:val="18"/>
          <w:rtl/>
        </w:rPr>
        <w:t>(וע"ל סי</w:t>
      </w:r>
      <w:r>
        <w:rPr>
          <w:rFonts w:cs="Arial" w:hint="cs"/>
          <w:sz w:val="18"/>
          <w:szCs w:val="18"/>
          <w:rtl/>
        </w:rPr>
        <w:t>'</w:t>
      </w:r>
      <w:r w:rsidRPr="00D60C1E">
        <w:rPr>
          <w:rFonts w:cs="Arial"/>
          <w:sz w:val="18"/>
          <w:szCs w:val="18"/>
          <w:rtl/>
        </w:rPr>
        <w:t xml:space="preserve"> כ</w:t>
      </w:r>
      <w:r>
        <w:rPr>
          <w:rFonts w:cs="Arial" w:hint="cs"/>
          <w:sz w:val="18"/>
          <w:szCs w:val="18"/>
          <w:rtl/>
        </w:rPr>
        <w:t>ג</w:t>
      </w:r>
      <w:r w:rsidRPr="00D60C1E">
        <w:rPr>
          <w:rFonts w:cs="Arial"/>
          <w:sz w:val="18"/>
          <w:szCs w:val="18"/>
          <w:rtl/>
        </w:rPr>
        <w:t xml:space="preserve"> בדין דיינים ופשרנים ולקמן סי' מו סכ</w:t>
      </w:r>
      <w:r>
        <w:rPr>
          <w:rFonts w:cs="Arial" w:hint="cs"/>
          <w:sz w:val="18"/>
          <w:szCs w:val="18"/>
          <w:rtl/>
        </w:rPr>
        <w:t>"</w:t>
      </w:r>
      <w:r w:rsidRPr="00D60C1E">
        <w:rPr>
          <w:rFonts w:cs="Arial"/>
          <w:sz w:val="18"/>
          <w:szCs w:val="18"/>
          <w:rtl/>
        </w:rPr>
        <w:t>ד ובדין אפוטרופסים לקמן סי</w:t>
      </w:r>
      <w:r>
        <w:rPr>
          <w:rFonts w:cs="Arial" w:hint="cs"/>
          <w:sz w:val="18"/>
          <w:szCs w:val="18"/>
          <w:rtl/>
        </w:rPr>
        <w:t>'</w:t>
      </w:r>
      <w:r w:rsidRPr="00D60C1E">
        <w:rPr>
          <w:rFonts w:cs="Arial"/>
          <w:sz w:val="18"/>
          <w:szCs w:val="18"/>
          <w:rtl/>
        </w:rPr>
        <w:t xml:space="preserve"> רץ).</w:t>
      </w:r>
      <w:r>
        <w:rPr>
          <w:rFonts w:cs="Arial"/>
          <w:rtl/>
        </w:rPr>
        <w:t xml:space="preserve"> </w:t>
      </w:r>
    </w:p>
    <w:p w14:paraId="2D9F146C" w14:textId="77777777" w:rsidR="004B607F" w:rsidRDefault="004B607F" w:rsidP="004B607F">
      <w:pPr>
        <w:rPr>
          <w:rtl/>
        </w:rPr>
      </w:pPr>
    </w:p>
    <w:p w14:paraId="4ADF2FA0" w14:textId="77777777" w:rsidR="004B607F" w:rsidRDefault="004B607F" w:rsidP="004B607F">
      <w:pPr>
        <w:pStyle w:val="2"/>
        <w:rPr>
          <w:rtl/>
        </w:rPr>
      </w:pPr>
      <w:bookmarkStart w:id="365" w:name="_Toc24883810"/>
      <w:r>
        <w:rPr>
          <w:rtl/>
        </w:rPr>
        <w:t>סעיף ט</w:t>
      </w:r>
      <w:r>
        <w:rPr>
          <w:rFonts w:hint="cs"/>
          <w:rtl/>
        </w:rPr>
        <w:t>: גזברים.</w:t>
      </w:r>
      <w:bookmarkEnd w:id="365"/>
    </w:p>
    <w:p w14:paraId="6F32F666" w14:textId="77777777" w:rsidR="004B607F" w:rsidRPr="000845F5" w:rsidRDefault="004B607F" w:rsidP="004B607F">
      <w:pPr>
        <w:rPr>
          <w:u w:val="single"/>
        </w:rPr>
      </w:pPr>
      <w:r>
        <w:rPr>
          <w:rFonts w:hint="cs"/>
          <w:u w:val="single"/>
          <w:rtl/>
        </w:rPr>
        <w:t>גזברים</w:t>
      </w:r>
      <w:r w:rsidRPr="000845F5">
        <w:rPr>
          <w:rFonts w:hint="cs"/>
          <w:u w:val="single"/>
          <w:rtl/>
        </w:rPr>
        <w:t xml:space="preserve"> </w:t>
      </w:r>
      <w:r w:rsidRPr="000845F5">
        <w:rPr>
          <w:u w:val="single"/>
          <w:rtl/>
        </w:rPr>
        <w:t>–</w:t>
      </w:r>
      <w:r w:rsidRPr="000845F5">
        <w:rPr>
          <w:rFonts w:hint="cs"/>
          <w:u w:val="single"/>
          <w:rtl/>
        </w:rPr>
        <w:t xml:space="preserve"> מהו שיעיד</w:t>
      </w:r>
      <w:r>
        <w:rPr>
          <w:rFonts w:hint="cs"/>
          <w:u w:val="single"/>
          <w:rtl/>
        </w:rPr>
        <w:t>ו</w:t>
      </w:r>
      <w:r w:rsidRPr="000845F5">
        <w:rPr>
          <w:rFonts w:hint="cs"/>
          <w:u w:val="single"/>
          <w:rtl/>
        </w:rPr>
        <w:t>:</w:t>
      </w:r>
    </w:p>
    <w:p w14:paraId="112388C4" w14:textId="77777777" w:rsidR="004B607F" w:rsidRDefault="004B607F" w:rsidP="004B0475">
      <w:pPr>
        <w:pStyle w:val="ac"/>
        <w:numPr>
          <w:ilvl w:val="0"/>
          <w:numId w:val="111"/>
        </w:numPr>
      </w:pPr>
      <w:r w:rsidRPr="0027258B">
        <w:rPr>
          <w:rFonts w:cs="Arial"/>
          <w:rtl/>
        </w:rPr>
        <w:t xml:space="preserve">רשב"א </w:t>
      </w:r>
      <w:r w:rsidRPr="0027258B">
        <w:rPr>
          <w:rFonts w:cs="Arial"/>
          <w:sz w:val="16"/>
          <w:szCs w:val="16"/>
          <w:rtl/>
        </w:rPr>
        <w:t>(ח"א סי</w:t>
      </w:r>
      <w:r w:rsidRPr="0027258B">
        <w:rPr>
          <w:rFonts w:cs="Arial" w:hint="cs"/>
          <w:sz w:val="16"/>
          <w:szCs w:val="16"/>
          <w:rtl/>
        </w:rPr>
        <w:t>'</w:t>
      </w:r>
      <w:r w:rsidRPr="0027258B">
        <w:rPr>
          <w:rFonts w:cs="Arial"/>
          <w:sz w:val="16"/>
          <w:szCs w:val="16"/>
          <w:rtl/>
        </w:rPr>
        <w:t xml:space="preserve"> תרמב)</w:t>
      </w:r>
      <w:r w:rsidRPr="0027258B">
        <w:rPr>
          <w:rFonts w:cs="Arial" w:hint="cs"/>
          <w:rtl/>
        </w:rPr>
        <w:t>-</w:t>
      </w:r>
      <w:r w:rsidRPr="0027258B">
        <w:rPr>
          <w:rFonts w:cs="Arial"/>
          <w:rtl/>
        </w:rPr>
        <w:t xml:space="preserve"> הגזברים כל זמן שאין להם ולא לקרוביהם שום חלק ושום זכות בנכסי ההקדש ולא בפירותיהם </w:t>
      </w:r>
      <w:r>
        <w:rPr>
          <w:rFonts w:cs="Arial" w:hint="cs"/>
          <w:rtl/>
        </w:rPr>
        <w:t xml:space="preserve">- </w:t>
      </w:r>
      <w:r w:rsidRPr="0027258B">
        <w:rPr>
          <w:rFonts w:cs="Arial"/>
          <w:rtl/>
        </w:rPr>
        <w:t>הרי הם כאחרים דעלמא ונאמנים להעיד</w:t>
      </w:r>
      <w:r w:rsidRPr="0027258B">
        <w:rPr>
          <w:rFonts w:cs="Arial" w:hint="cs"/>
          <w:rtl/>
        </w:rPr>
        <w:t>.</w:t>
      </w:r>
      <w:r w:rsidRPr="006B06ED">
        <w:rPr>
          <w:rFonts w:hint="cs"/>
          <w:color w:val="E36C0A" w:themeColor="accent6" w:themeShade="BF"/>
          <w:rtl/>
        </w:rPr>
        <w:t xml:space="preserve"> </w:t>
      </w:r>
      <w:r w:rsidRPr="00723EA5">
        <w:rPr>
          <w:rFonts w:hint="cs"/>
          <w:color w:val="E36C0A" w:themeColor="accent6" w:themeShade="BF"/>
          <w:rtl/>
        </w:rPr>
        <w:t>(וכ"פ בשו"ע)</w:t>
      </w:r>
    </w:p>
    <w:p w14:paraId="1B427549" w14:textId="77777777" w:rsidR="004B607F" w:rsidRPr="004354E5" w:rsidRDefault="004B607F" w:rsidP="004B607F">
      <w:pPr>
        <w:rPr>
          <w:u w:val="single"/>
        </w:rPr>
      </w:pPr>
      <w:r w:rsidRPr="004354E5">
        <w:rPr>
          <w:rFonts w:hint="cs"/>
          <w:u w:val="single"/>
          <w:rtl/>
        </w:rPr>
        <w:t>קרובו של הגזבר שמעיד על ההקדש עדות שיש בה טובת הנאה לגזבר:</w:t>
      </w:r>
    </w:p>
    <w:p w14:paraId="5F9A4031" w14:textId="77777777" w:rsidR="004B607F" w:rsidRPr="00022365" w:rsidRDefault="004B607F" w:rsidP="004B0475">
      <w:pPr>
        <w:pStyle w:val="ac"/>
        <w:numPr>
          <w:ilvl w:val="0"/>
          <w:numId w:val="111"/>
        </w:numPr>
        <w:rPr>
          <w:rtl/>
        </w:rPr>
      </w:pPr>
      <w:r w:rsidRPr="0027258B">
        <w:rPr>
          <w:rFonts w:cs="Arial"/>
          <w:rtl/>
        </w:rPr>
        <w:t>ריטב"א</w:t>
      </w:r>
      <w:r w:rsidRPr="0027258B">
        <w:rPr>
          <w:rFonts w:cs="Arial"/>
          <w:sz w:val="16"/>
          <w:szCs w:val="16"/>
          <w:rtl/>
        </w:rPr>
        <w:t xml:space="preserve"> (סי' קסז ד"ה ובמה)</w:t>
      </w:r>
      <w:r w:rsidRPr="0027258B">
        <w:rPr>
          <w:rFonts w:cs="Arial" w:hint="cs"/>
          <w:rtl/>
        </w:rPr>
        <w:t>-</w:t>
      </w:r>
      <w:r w:rsidRPr="0027258B">
        <w:rPr>
          <w:rFonts w:cs="Arial"/>
          <w:rtl/>
        </w:rPr>
        <w:t xml:space="preserve"> מה שאמרת שהאלמנה טוענת שההקדש שצוה השכיב מרע בטל</w:t>
      </w:r>
      <w:r>
        <w:rPr>
          <w:rFonts w:cs="Arial" w:hint="cs"/>
          <w:rtl/>
        </w:rPr>
        <w:t>,</w:t>
      </w:r>
      <w:r w:rsidRPr="0027258B">
        <w:rPr>
          <w:rFonts w:cs="Arial"/>
          <w:rtl/>
        </w:rPr>
        <w:t xml:space="preserve"> לפי שהעד האחד אחיו של ר' יעקב הגזבר</w:t>
      </w:r>
      <w:r>
        <w:rPr>
          <w:rFonts w:cs="Arial" w:hint="cs"/>
          <w:rtl/>
        </w:rPr>
        <w:t>.</w:t>
      </w:r>
      <w:r w:rsidRPr="0027258B">
        <w:rPr>
          <w:rFonts w:cs="Arial"/>
          <w:rtl/>
        </w:rPr>
        <w:t xml:space="preserve"> טעם נגיעת עדות אין כאן</w:t>
      </w:r>
      <w:r>
        <w:rPr>
          <w:rFonts w:cs="Arial" w:hint="cs"/>
          <w:rtl/>
        </w:rPr>
        <w:t>,</w:t>
      </w:r>
      <w:r w:rsidRPr="0027258B">
        <w:rPr>
          <w:rFonts w:cs="Arial"/>
          <w:rtl/>
        </w:rPr>
        <w:t xml:space="preserve"> שאין כאן הנאה הנכרת לעד עצמו בשעת העדות</w:t>
      </w:r>
      <w:r>
        <w:rPr>
          <w:rFonts w:cs="Arial" w:hint="cs"/>
          <w:rtl/>
        </w:rPr>
        <w:t>.</w:t>
      </w:r>
      <w:r w:rsidRPr="0027258B">
        <w:rPr>
          <w:rFonts w:cs="Arial"/>
          <w:rtl/>
        </w:rPr>
        <w:t xml:space="preserve"> ואע</w:t>
      </w:r>
      <w:r>
        <w:rPr>
          <w:rFonts w:cs="Arial" w:hint="cs"/>
          <w:rtl/>
        </w:rPr>
        <w:t>"</w:t>
      </w:r>
      <w:r w:rsidRPr="0027258B">
        <w:rPr>
          <w:rFonts w:cs="Arial"/>
          <w:rtl/>
        </w:rPr>
        <w:t>פ שאח</w:t>
      </w:r>
      <w:r>
        <w:rPr>
          <w:rFonts w:cs="Arial" w:hint="cs"/>
          <w:rtl/>
        </w:rPr>
        <w:t>"</w:t>
      </w:r>
      <w:r w:rsidRPr="0027258B">
        <w:rPr>
          <w:rFonts w:cs="Arial"/>
          <w:rtl/>
        </w:rPr>
        <w:t xml:space="preserve">כ נתן רבי יעקב לבת אחיו הסמוכה עליו מההקדש ההוא </w:t>
      </w:r>
      <w:r>
        <w:rPr>
          <w:rFonts w:cs="Arial" w:hint="cs"/>
          <w:rtl/>
        </w:rPr>
        <w:t xml:space="preserve">- </w:t>
      </w:r>
      <w:r w:rsidRPr="0027258B">
        <w:rPr>
          <w:rFonts w:cs="Arial"/>
          <w:rtl/>
        </w:rPr>
        <w:t>אין פוסלין העדות למפרע</w:t>
      </w:r>
      <w:r>
        <w:rPr>
          <w:rFonts w:cs="Arial" w:hint="cs"/>
          <w:rtl/>
        </w:rPr>
        <w:t xml:space="preserve">, </w:t>
      </w:r>
      <w:r w:rsidRPr="0027258B">
        <w:rPr>
          <w:rFonts w:cs="Arial"/>
          <w:rtl/>
        </w:rPr>
        <w:t xml:space="preserve">וכדתניא עדים החתומים על גט אשה ועל שדה מקח לא חשו חכמים לדבר זה כדאיתא בפרק התקבל </w:t>
      </w:r>
      <w:r w:rsidRPr="00BB06FB">
        <w:rPr>
          <w:rFonts w:cs="Arial"/>
          <w:sz w:val="16"/>
          <w:szCs w:val="16"/>
          <w:rtl/>
        </w:rPr>
        <w:t xml:space="preserve">(גיטין סז.) </w:t>
      </w:r>
      <w:r w:rsidRPr="0027258B">
        <w:rPr>
          <w:rFonts w:cs="Arial"/>
          <w:rtl/>
        </w:rPr>
        <w:t xml:space="preserve">ובפרק אלו טרפות </w:t>
      </w:r>
      <w:r w:rsidRPr="00BB06FB">
        <w:rPr>
          <w:rFonts w:cs="Arial"/>
          <w:sz w:val="16"/>
          <w:szCs w:val="16"/>
          <w:rtl/>
        </w:rPr>
        <w:t>(חולין מד:)</w:t>
      </w:r>
      <w:r>
        <w:rPr>
          <w:rFonts w:cs="Arial" w:hint="cs"/>
          <w:rtl/>
        </w:rPr>
        <w:t>.</w:t>
      </w:r>
      <w:r w:rsidRPr="0027258B">
        <w:rPr>
          <w:rFonts w:cs="Arial"/>
          <w:rtl/>
        </w:rPr>
        <w:t xml:space="preserve"> אבל יש לבעל דין לחלוק ולומר נהי דנגיעת עדות אין כאן</w:t>
      </w:r>
      <w:r>
        <w:rPr>
          <w:rFonts w:cs="Arial" w:hint="cs"/>
          <w:rtl/>
        </w:rPr>
        <w:t>,</w:t>
      </w:r>
      <w:r w:rsidRPr="0027258B">
        <w:rPr>
          <w:rFonts w:cs="Arial"/>
          <w:rtl/>
        </w:rPr>
        <w:t xml:space="preserve"> עדות קורבה יש כאן</w:t>
      </w:r>
      <w:r>
        <w:rPr>
          <w:rFonts w:cs="Arial" w:hint="cs"/>
          <w:rtl/>
        </w:rPr>
        <w:t>,</w:t>
      </w:r>
      <w:r w:rsidRPr="0027258B">
        <w:rPr>
          <w:rFonts w:cs="Arial"/>
          <w:rtl/>
        </w:rPr>
        <w:t xml:space="preserve"> לפי שיש בהקדש לפי עדות זו טובת הנאה גדולה לר' יעקב</w:t>
      </w:r>
      <w:r>
        <w:rPr>
          <w:rFonts w:cs="Arial" w:hint="cs"/>
          <w:rtl/>
        </w:rPr>
        <w:t>,</w:t>
      </w:r>
      <w:r w:rsidRPr="0027258B">
        <w:rPr>
          <w:rFonts w:cs="Arial"/>
          <w:rtl/>
        </w:rPr>
        <w:t xml:space="preserve"> ופסקו ר</w:t>
      </w:r>
      <w:r>
        <w:rPr>
          <w:rFonts w:cs="Arial" w:hint="cs"/>
          <w:rtl/>
        </w:rPr>
        <w:t>"ח</w:t>
      </w:r>
      <w:r w:rsidRPr="0027258B">
        <w:rPr>
          <w:rFonts w:cs="Arial"/>
          <w:rtl/>
        </w:rPr>
        <w:t xml:space="preserve"> והרמב"ן דטובת הנאה</w:t>
      </w:r>
      <w:r>
        <w:rPr>
          <w:rFonts w:cs="Arial" w:hint="cs"/>
          <w:rtl/>
        </w:rPr>
        <w:t xml:space="preserve"> -</w:t>
      </w:r>
      <w:r w:rsidRPr="0027258B">
        <w:rPr>
          <w:rFonts w:cs="Arial"/>
          <w:rtl/>
        </w:rPr>
        <w:t xml:space="preserve"> ממון</w:t>
      </w:r>
      <w:r>
        <w:rPr>
          <w:rFonts w:cs="Arial" w:hint="cs"/>
          <w:rtl/>
        </w:rPr>
        <w:t>,</w:t>
      </w:r>
      <w:r w:rsidRPr="0027258B">
        <w:rPr>
          <w:rFonts w:cs="Arial"/>
          <w:rtl/>
        </w:rPr>
        <w:t xml:space="preserve"> ובכאן יש לו הנאה לאחיו לחלק ההקדש למי שירצה</w:t>
      </w:r>
      <w:r>
        <w:rPr>
          <w:rFonts w:cs="Arial" w:hint="cs"/>
          <w:rtl/>
        </w:rPr>
        <w:t>,</w:t>
      </w:r>
      <w:r w:rsidRPr="0027258B">
        <w:rPr>
          <w:rFonts w:cs="Arial"/>
          <w:rtl/>
        </w:rPr>
        <w:t xml:space="preserve"> ואפילו לבניו ולבנותיו הסמוכים על שלחנו</w:t>
      </w:r>
      <w:r>
        <w:rPr>
          <w:rFonts w:cs="Arial" w:hint="cs"/>
          <w:rtl/>
        </w:rPr>
        <w:t>.</w:t>
      </w:r>
      <w:r w:rsidRPr="0027258B">
        <w:rPr>
          <w:rFonts w:cs="Arial"/>
          <w:rtl/>
        </w:rPr>
        <w:t xml:space="preserve"> ומ</w:t>
      </w:r>
      <w:r>
        <w:rPr>
          <w:rFonts w:cs="Arial" w:hint="cs"/>
          <w:rtl/>
        </w:rPr>
        <w:t>"</w:t>
      </w:r>
      <w:r w:rsidRPr="0027258B">
        <w:rPr>
          <w:rFonts w:cs="Arial"/>
          <w:rtl/>
        </w:rPr>
        <w:t>מ אומר אני שאין ההקדש מפסיד זכותו בכך</w:t>
      </w:r>
      <w:r>
        <w:rPr>
          <w:rStyle w:val="ab"/>
          <w:rFonts w:cs="Arial"/>
          <w:rtl/>
        </w:rPr>
        <w:footnoteReference w:id="2706"/>
      </w:r>
      <w:r>
        <w:rPr>
          <w:rFonts w:cs="Arial" w:hint="cs"/>
          <w:rtl/>
        </w:rPr>
        <w:t>...</w:t>
      </w:r>
      <w:r w:rsidRPr="0027258B">
        <w:rPr>
          <w:rFonts w:cs="Arial"/>
          <w:rtl/>
        </w:rPr>
        <w:t xml:space="preserve"> ועוד דכיון שבעדות הראשון שהעידו בבית דין העידו על ההקדש סתם</w:t>
      </w:r>
      <w:r>
        <w:rPr>
          <w:rFonts w:cs="Arial" w:hint="cs"/>
          <w:rtl/>
        </w:rPr>
        <w:t>,</w:t>
      </w:r>
      <w:r w:rsidRPr="0027258B">
        <w:rPr>
          <w:rFonts w:cs="Arial"/>
          <w:rtl/>
        </w:rPr>
        <w:t xml:space="preserve"> כשחזרו ואמרו במעמד השני על ענין זה של ר' יעקב זו סתירה היא לעדות הראשון</w:t>
      </w:r>
      <w:r>
        <w:rPr>
          <w:rFonts w:cs="Arial" w:hint="cs"/>
          <w:rtl/>
        </w:rPr>
        <w:t>,</w:t>
      </w:r>
      <w:r w:rsidRPr="0027258B">
        <w:rPr>
          <w:rFonts w:cs="Arial"/>
          <w:rtl/>
        </w:rPr>
        <w:t xml:space="preserve"> שהרי בעדות הראשון זכו העניים ואי אפשר להפקיע זכותם</w:t>
      </w:r>
      <w:r>
        <w:rPr>
          <w:rFonts w:cs="Arial" w:hint="cs"/>
          <w:rtl/>
        </w:rPr>
        <w:t>,</w:t>
      </w:r>
      <w:r w:rsidRPr="0027258B">
        <w:rPr>
          <w:rFonts w:cs="Arial"/>
          <w:rtl/>
        </w:rPr>
        <w:t xml:space="preserve"> ועכשיו הם מעידים שיוכל ר' יעקב לחלק כמו שירצה ושיוכל להפקיע ההקדש מעיקרו אין לך ביטול עדות וסתירה גדולה מזו</w:t>
      </w:r>
      <w:r>
        <w:rPr>
          <w:rFonts w:cs="Arial" w:hint="cs"/>
          <w:rtl/>
        </w:rPr>
        <w:t>,</w:t>
      </w:r>
      <w:r w:rsidRPr="0027258B">
        <w:rPr>
          <w:rFonts w:cs="Arial"/>
          <w:rtl/>
        </w:rPr>
        <w:t xml:space="preserve"> וכיון שכן אין מקבלין עדותן דכיון שהגיד שוב אינו חוזר ומגיד </w:t>
      </w:r>
      <w:r w:rsidRPr="00BB06FB">
        <w:rPr>
          <w:rFonts w:cs="Arial"/>
          <w:sz w:val="16"/>
          <w:szCs w:val="16"/>
          <w:rtl/>
        </w:rPr>
        <w:t xml:space="preserve">(כתובות יח:) </w:t>
      </w:r>
      <w:r w:rsidRPr="0027258B">
        <w:rPr>
          <w:rFonts w:cs="Arial"/>
          <w:rtl/>
        </w:rPr>
        <w:t>כיון שלא העידו תוך כדי דיבור</w:t>
      </w:r>
      <w:r>
        <w:rPr>
          <w:rFonts w:cs="Arial" w:hint="cs"/>
          <w:rtl/>
        </w:rPr>
        <w:t>,</w:t>
      </w:r>
      <w:r w:rsidRPr="0027258B">
        <w:rPr>
          <w:rFonts w:cs="Arial"/>
          <w:rtl/>
        </w:rPr>
        <w:t xml:space="preserve"> הילכך עדות העדים קיימת לזכות ההקדש והעניים אבל עדותו של רבי יעקב בטלה</w:t>
      </w:r>
      <w:r>
        <w:rPr>
          <w:rFonts w:cs="Arial" w:hint="cs"/>
          <w:rtl/>
        </w:rPr>
        <w:t>.</w:t>
      </w:r>
      <w:r>
        <w:rPr>
          <w:rFonts w:hint="cs"/>
          <w:rtl/>
        </w:rPr>
        <w:t xml:space="preserve"> </w:t>
      </w:r>
      <w:r w:rsidRPr="006B06ED">
        <w:rPr>
          <w:rFonts w:hint="cs"/>
          <w:color w:val="00B0F0"/>
          <w:rtl/>
        </w:rPr>
        <w:t>(וכ"פ הרמ"א)</w:t>
      </w:r>
    </w:p>
    <w:p w14:paraId="3B9D8D5D" w14:textId="77777777" w:rsidR="004B607F" w:rsidRPr="003024E5" w:rsidRDefault="004B607F" w:rsidP="004B607F">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26450267" w14:textId="77777777" w:rsidR="004B607F" w:rsidRDefault="004B607F" w:rsidP="004B607F">
      <w:pPr>
        <w:rPr>
          <w:rtl/>
        </w:rPr>
      </w:pPr>
      <w:r>
        <w:rPr>
          <w:rFonts w:cs="Arial"/>
          <w:rtl/>
        </w:rPr>
        <w:t>הגזברים, כל זמן שאין להם ולא לקרוביהם שום זכות בנכסי ההקדש ולא בפירותיהם, כשרים להעיד.</w:t>
      </w:r>
      <w:r w:rsidRPr="00022365">
        <w:rPr>
          <w:rFonts w:cs="Arial"/>
          <w:sz w:val="18"/>
          <w:szCs w:val="18"/>
          <w:rtl/>
        </w:rPr>
        <w:t xml:space="preserve"> הגה: וכ"ש שקרוביהם כשרים להעיד, אע</w:t>
      </w:r>
      <w:r>
        <w:rPr>
          <w:rFonts w:cs="Arial" w:hint="cs"/>
          <w:sz w:val="18"/>
          <w:szCs w:val="18"/>
          <w:rtl/>
        </w:rPr>
        <w:t>"</w:t>
      </w:r>
      <w:r w:rsidRPr="00022365">
        <w:rPr>
          <w:rFonts w:cs="Arial"/>
          <w:sz w:val="18"/>
          <w:szCs w:val="18"/>
          <w:rtl/>
        </w:rPr>
        <w:t>פ שהגזבר מחלק הממון למי שירצה, למ"ד טובת הנאה אינו ממון</w:t>
      </w:r>
      <w:r>
        <w:rPr>
          <w:rStyle w:val="ab"/>
          <w:rFonts w:cs="Arial"/>
          <w:sz w:val="18"/>
          <w:szCs w:val="18"/>
          <w:rtl/>
        </w:rPr>
        <w:footnoteReference w:id="2707"/>
      </w:r>
      <w:r w:rsidRPr="00022365">
        <w:rPr>
          <w:rFonts w:cs="Arial"/>
          <w:sz w:val="18"/>
          <w:szCs w:val="18"/>
          <w:rtl/>
        </w:rPr>
        <w:t>. ואע</w:t>
      </w:r>
      <w:r>
        <w:rPr>
          <w:rFonts w:cs="Arial" w:hint="cs"/>
          <w:sz w:val="18"/>
          <w:szCs w:val="18"/>
          <w:rtl/>
        </w:rPr>
        <w:t>"</w:t>
      </w:r>
      <w:r w:rsidRPr="00022365">
        <w:rPr>
          <w:rFonts w:cs="Arial"/>
          <w:sz w:val="18"/>
          <w:szCs w:val="18"/>
          <w:rtl/>
        </w:rPr>
        <w:t>פ שנותן אח</w:t>
      </w:r>
      <w:r>
        <w:rPr>
          <w:rFonts w:cs="Arial" w:hint="cs"/>
          <w:sz w:val="18"/>
          <w:szCs w:val="18"/>
          <w:rtl/>
        </w:rPr>
        <w:t>"</w:t>
      </w:r>
      <w:r w:rsidRPr="00022365">
        <w:rPr>
          <w:rFonts w:cs="Arial"/>
          <w:sz w:val="18"/>
          <w:szCs w:val="18"/>
          <w:rtl/>
        </w:rPr>
        <w:t>כ לקרוביו עניים, מ"מ אין מבטלים העדות משום זה, מאחר שלא היה הנאה נכרת בשעת העדות (ב"י בשם הריטב"א).</w:t>
      </w:r>
      <w:r>
        <w:rPr>
          <w:rFonts w:cs="Arial"/>
          <w:rtl/>
        </w:rPr>
        <w:t xml:space="preserve"> </w:t>
      </w:r>
    </w:p>
    <w:p w14:paraId="4079E62F" w14:textId="77777777" w:rsidR="004B607F" w:rsidRDefault="004B607F" w:rsidP="004B607F">
      <w:pPr>
        <w:rPr>
          <w:rtl/>
        </w:rPr>
      </w:pPr>
    </w:p>
    <w:p w14:paraId="1F807ED4" w14:textId="77777777" w:rsidR="004B607F" w:rsidRDefault="004B607F" w:rsidP="004B607F">
      <w:pPr>
        <w:pStyle w:val="2"/>
        <w:rPr>
          <w:rtl/>
        </w:rPr>
      </w:pPr>
      <w:bookmarkStart w:id="366" w:name="_Toc24883811"/>
      <w:r w:rsidRPr="004C7D8B">
        <w:rPr>
          <w:rtl/>
        </w:rPr>
        <w:t>סעיף י</w:t>
      </w:r>
      <w:r w:rsidRPr="004C7D8B">
        <w:rPr>
          <w:rFonts w:hint="cs"/>
          <w:rtl/>
        </w:rPr>
        <w:t>:</w:t>
      </w:r>
      <w:r w:rsidRPr="004C7D8B">
        <w:rPr>
          <w:rFonts w:cs="Arial" w:hint="cs"/>
          <w:rtl/>
        </w:rPr>
        <w:t xml:space="preserve"> אדם שעכשיו אינו נוגע בעדות אבל אם יתעשר יהנה בעדותו</w:t>
      </w:r>
      <w:r w:rsidRPr="004C7D8B">
        <w:rPr>
          <w:rFonts w:hint="cs"/>
          <w:rtl/>
        </w:rPr>
        <w:t>.</w:t>
      </w:r>
      <w:bookmarkEnd w:id="366"/>
    </w:p>
    <w:p w14:paraId="1F8E581F" w14:textId="77777777" w:rsidR="004B607F" w:rsidRPr="004B0249" w:rsidRDefault="004B607F" w:rsidP="004B607F">
      <w:pPr>
        <w:rPr>
          <w:rtl/>
        </w:rPr>
      </w:pPr>
      <w:r>
        <w:rPr>
          <w:rFonts w:cs="Arial" w:hint="cs"/>
          <w:b/>
          <w:bCs/>
          <w:rtl/>
        </w:rPr>
        <w:t xml:space="preserve">בבא בתרא </w:t>
      </w:r>
      <w:r>
        <w:rPr>
          <w:rFonts w:cs="Arial" w:hint="cs"/>
          <w:b/>
          <w:bCs/>
          <w:sz w:val="16"/>
          <w:szCs w:val="16"/>
          <w:rtl/>
        </w:rPr>
        <w:t>(פ' חזקת הבתים)</w:t>
      </w:r>
      <w:r>
        <w:rPr>
          <w:rFonts w:cs="Arial" w:hint="cs"/>
          <w:b/>
          <w:bCs/>
          <w:rtl/>
        </w:rPr>
        <w:t xml:space="preserve"> מד</w:t>
      </w:r>
      <w:r>
        <w:rPr>
          <w:rStyle w:val="ab"/>
          <w:rFonts w:cs="Arial"/>
          <w:b/>
          <w:bCs/>
          <w:rtl/>
        </w:rPr>
        <w:footnoteReference w:id="2708"/>
      </w:r>
      <w:r>
        <w:rPr>
          <w:rFonts w:cs="Arial" w:hint="cs"/>
          <w:b/>
          <w:bCs/>
          <w:rtl/>
        </w:rPr>
        <w:t xml:space="preserve"> ע"ב:</w:t>
      </w:r>
      <w:r>
        <w:rPr>
          <w:rFonts w:cs="Arial" w:hint="cs"/>
          <w:rtl/>
        </w:rPr>
        <w:t xml:space="preserve"> </w:t>
      </w:r>
      <w:r w:rsidRPr="004B0249">
        <w:rPr>
          <w:rFonts w:cs="Arial"/>
          <w:rtl/>
        </w:rPr>
        <w:t xml:space="preserve">גופא, </w:t>
      </w:r>
      <w:r w:rsidRPr="004B0249">
        <w:rPr>
          <w:rFonts w:cs="Arial"/>
          <w:u w:val="single"/>
          <w:rtl/>
        </w:rPr>
        <w:t>אמר רבין בר שמואל משמיה דשמואל</w:t>
      </w:r>
      <w:r w:rsidRPr="004B0249">
        <w:rPr>
          <w:rFonts w:cs="Arial"/>
          <w:rtl/>
        </w:rPr>
        <w:t>: המוכר שדה לחבירו שלא באחריות - אין מעיד לו עליה, מפני שמעמידה בפני בעל חובו. היכי דמי?</w:t>
      </w:r>
      <w:r>
        <w:rPr>
          <w:rFonts w:cs="Arial" w:hint="cs"/>
          <w:rtl/>
        </w:rPr>
        <w:t xml:space="preserve"> </w:t>
      </w:r>
      <w:r>
        <w:rPr>
          <w:rFonts w:cs="Arial" w:hint="cs"/>
          <w:sz w:val="14"/>
          <w:szCs w:val="14"/>
          <w:rtl/>
        </w:rPr>
        <w:t xml:space="preserve">(מה.) </w:t>
      </w:r>
      <w:r w:rsidRPr="004B0249">
        <w:rPr>
          <w:rFonts w:cs="Arial"/>
          <w:rtl/>
        </w:rPr>
        <w:t>אי דאית ליה</w:t>
      </w:r>
      <w:r>
        <w:rPr>
          <w:rStyle w:val="ab"/>
          <w:rFonts w:cs="Arial"/>
          <w:rtl/>
        </w:rPr>
        <w:footnoteReference w:id="2709"/>
      </w:r>
      <w:r w:rsidRPr="004B0249">
        <w:rPr>
          <w:rFonts w:cs="Arial"/>
          <w:rtl/>
        </w:rPr>
        <w:t xml:space="preserve"> ארעא אחריתי, עליה דידיה הדר! אי דלית ליה ארעא אחריתי, מאי נפקא ליה מינה</w:t>
      </w:r>
      <w:r>
        <w:rPr>
          <w:rStyle w:val="ab"/>
          <w:rFonts w:cs="Arial"/>
          <w:rtl/>
        </w:rPr>
        <w:footnoteReference w:id="2710"/>
      </w:r>
      <w:r w:rsidRPr="004B0249">
        <w:rPr>
          <w:rFonts w:cs="Arial"/>
          <w:rtl/>
        </w:rPr>
        <w:t>? לעולם דלית ליה ארעא אחריתי, דאמר: לא ניחא</w:t>
      </w:r>
      <w:r>
        <w:rPr>
          <w:rStyle w:val="ab"/>
          <w:rFonts w:cs="Arial"/>
          <w:rtl/>
        </w:rPr>
        <w:footnoteReference w:id="2711"/>
      </w:r>
      <w:r w:rsidRPr="004B0249">
        <w:rPr>
          <w:rFonts w:cs="Arial"/>
          <w:rtl/>
        </w:rPr>
        <w:t xml:space="preserve"> דליהוי לוה רשע ולא ישלם. סוף סוף</w:t>
      </w:r>
      <w:r>
        <w:rPr>
          <w:rStyle w:val="ab"/>
          <w:rFonts w:cs="Arial"/>
          <w:rtl/>
        </w:rPr>
        <w:footnoteReference w:id="2712"/>
      </w:r>
      <w:r w:rsidRPr="004B0249">
        <w:rPr>
          <w:rFonts w:cs="Arial"/>
          <w:rtl/>
        </w:rPr>
        <w:t xml:space="preserve"> לגבי אידך נמי לוה רשע ולא ישלם הוא! דאמר</w:t>
      </w:r>
      <w:r>
        <w:rPr>
          <w:rStyle w:val="ab"/>
          <w:rFonts w:cs="Arial"/>
          <w:rtl/>
        </w:rPr>
        <w:footnoteReference w:id="2713"/>
      </w:r>
      <w:r w:rsidRPr="004B0249">
        <w:rPr>
          <w:rFonts w:cs="Arial"/>
          <w:rtl/>
        </w:rPr>
        <w:t>: להכי זביני לך שלא באחריות.</w:t>
      </w:r>
    </w:p>
    <w:p w14:paraId="32D74D38" w14:textId="77777777" w:rsidR="004B607F" w:rsidRDefault="004B607F" w:rsidP="004B607F">
      <w:pPr>
        <w:rPr>
          <w:rFonts w:cs="Arial"/>
          <w:rtl/>
        </w:rPr>
      </w:pPr>
      <w:r w:rsidRPr="004C7D8B">
        <w:rPr>
          <w:rFonts w:cs="Arial" w:hint="cs"/>
          <w:u w:val="single"/>
          <w:rtl/>
        </w:rPr>
        <w:t>אדם שעכשיו אינו נוגע בעדות אבל אם יתעשר יהנה בעדותו:</w:t>
      </w:r>
    </w:p>
    <w:p w14:paraId="08BA1A6A" w14:textId="77777777" w:rsidR="004B607F" w:rsidRPr="00022365" w:rsidRDefault="004B607F" w:rsidP="004B0475">
      <w:pPr>
        <w:pStyle w:val="ac"/>
        <w:numPr>
          <w:ilvl w:val="0"/>
          <w:numId w:val="112"/>
        </w:numPr>
        <w:rPr>
          <w:rtl/>
        </w:rPr>
      </w:pPr>
      <w:r>
        <w:rPr>
          <w:rFonts w:cs="Arial" w:hint="cs"/>
          <w:rtl/>
        </w:rPr>
        <w:t xml:space="preserve">תוס' </w:t>
      </w:r>
      <w:r>
        <w:rPr>
          <w:rFonts w:cs="Arial" w:hint="cs"/>
          <w:sz w:val="16"/>
          <w:szCs w:val="16"/>
          <w:rtl/>
        </w:rPr>
        <w:t xml:space="preserve">(מה. ד"ה מאי) </w:t>
      </w:r>
      <w:r>
        <w:rPr>
          <w:rFonts w:cs="Arial" w:hint="cs"/>
          <w:rtl/>
        </w:rPr>
        <w:t>ו</w:t>
      </w:r>
      <w:r w:rsidRPr="004C7D8B">
        <w:rPr>
          <w:rFonts w:cs="Arial" w:hint="cs"/>
          <w:rtl/>
        </w:rPr>
        <w:t>הג"א</w:t>
      </w:r>
      <w:r w:rsidRPr="004C7D8B">
        <w:rPr>
          <w:rFonts w:cs="Arial"/>
          <w:sz w:val="16"/>
          <w:szCs w:val="16"/>
          <w:rtl/>
        </w:rPr>
        <w:t xml:space="preserve"> </w:t>
      </w:r>
      <w:r w:rsidRPr="004C7D8B">
        <w:rPr>
          <w:rFonts w:cs="Arial" w:hint="cs"/>
          <w:sz w:val="16"/>
          <w:szCs w:val="16"/>
          <w:rtl/>
        </w:rPr>
        <w:t>(</w:t>
      </w:r>
      <w:r w:rsidRPr="004C7D8B">
        <w:rPr>
          <w:rFonts w:cs="Arial"/>
          <w:sz w:val="16"/>
          <w:szCs w:val="16"/>
          <w:rtl/>
        </w:rPr>
        <w:t>פרק חזקת סי' מב)</w:t>
      </w:r>
      <w:r w:rsidRPr="004C7D8B">
        <w:rPr>
          <w:rFonts w:cs="Arial" w:hint="cs"/>
          <w:rtl/>
        </w:rPr>
        <w:t>-</w:t>
      </w:r>
      <w:r w:rsidRPr="004C7D8B">
        <w:rPr>
          <w:rFonts w:cs="Arial"/>
          <w:rtl/>
        </w:rPr>
        <w:t xml:space="preserve"> כל היכא דהשתא אין נוגע בעדות משום דלית ליה</w:t>
      </w:r>
      <w:r w:rsidRPr="004C7D8B">
        <w:rPr>
          <w:rFonts w:cs="Arial" w:hint="cs"/>
          <w:rtl/>
        </w:rPr>
        <w:t>,</w:t>
      </w:r>
      <w:r w:rsidRPr="004C7D8B">
        <w:rPr>
          <w:rFonts w:cs="Arial"/>
          <w:rtl/>
        </w:rPr>
        <w:t xml:space="preserve"> </w:t>
      </w:r>
      <w:r w:rsidRPr="004C7D8B">
        <w:rPr>
          <w:rFonts w:cs="Arial" w:hint="cs"/>
          <w:rtl/>
        </w:rPr>
        <w:t>אע"פ</w:t>
      </w:r>
      <w:r w:rsidRPr="004C7D8B">
        <w:rPr>
          <w:rFonts w:cs="Arial"/>
          <w:rtl/>
        </w:rPr>
        <w:t xml:space="preserve"> שאם יתעשר יהנה בעדותו כשר להעיד</w:t>
      </w:r>
      <w:r w:rsidRPr="004C7D8B">
        <w:rPr>
          <w:rFonts w:cs="Arial" w:hint="cs"/>
          <w:rtl/>
        </w:rPr>
        <w:t>.</w:t>
      </w:r>
      <w:r w:rsidRPr="006B06ED">
        <w:rPr>
          <w:rFonts w:hint="cs"/>
          <w:color w:val="E36C0A" w:themeColor="accent6" w:themeShade="BF"/>
          <w:rtl/>
        </w:rPr>
        <w:t xml:space="preserve"> </w:t>
      </w:r>
      <w:r w:rsidRPr="00723EA5">
        <w:rPr>
          <w:rFonts w:hint="cs"/>
          <w:color w:val="E36C0A" w:themeColor="accent6" w:themeShade="BF"/>
          <w:rtl/>
        </w:rPr>
        <w:t>(וכ"פ בשו"ע)</w:t>
      </w:r>
    </w:p>
    <w:p w14:paraId="66940968" w14:textId="77777777" w:rsidR="004B607F" w:rsidRPr="003024E5" w:rsidRDefault="004B607F" w:rsidP="004B607F">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5839BDC3" w14:textId="77777777" w:rsidR="004B607F" w:rsidRDefault="004B607F" w:rsidP="004B607F">
      <w:pPr>
        <w:rPr>
          <w:rtl/>
        </w:rPr>
      </w:pPr>
      <w:r>
        <w:rPr>
          <w:rFonts w:cs="Arial"/>
          <w:rtl/>
        </w:rPr>
        <w:t>כל היכא דהשתא אינו נוגע בעדות, אף על פי שאם יתעשר יהנה בעדותו, כשר להעיד</w:t>
      </w:r>
      <w:r>
        <w:rPr>
          <w:rStyle w:val="ab"/>
          <w:rFonts w:cs="Arial"/>
          <w:rtl/>
        </w:rPr>
        <w:footnoteReference w:id="2714"/>
      </w:r>
      <w:r>
        <w:rPr>
          <w:rFonts w:cs="Arial"/>
          <w:rtl/>
        </w:rPr>
        <w:t xml:space="preserve">. </w:t>
      </w:r>
    </w:p>
    <w:p w14:paraId="3A31B9A8" w14:textId="77777777" w:rsidR="004B607F" w:rsidRDefault="004B607F" w:rsidP="004B607F">
      <w:pPr>
        <w:rPr>
          <w:rtl/>
        </w:rPr>
      </w:pPr>
    </w:p>
    <w:p w14:paraId="20AC3760" w14:textId="77777777" w:rsidR="004B607F" w:rsidRDefault="004B607F" w:rsidP="004B607F">
      <w:pPr>
        <w:pStyle w:val="2"/>
        <w:rPr>
          <w:rtl/>
        </w:rPr>
      </w:pPr>
      <w:bookmarkStart w:id="367" w:name="_Toc24883812"/>
      <w:r>
        <w:rPr>
          <w:rtl/>
        </w:rPr>
        <w:t>סעיף יא</w:t>
      </w:r>
      <w:r>
        <w:rPr>
          <w:rFonts w:hint="cs"/>
          <w:rtl/>
        </w:rPr>
        <w:t>:</w:t>
      </w:r>
      <w:r w:rsidRPr="00F26B68">
        <w:rPr>
          <w:rFonts w:cs="Arial"/>
          <w:rtl/>
        </w:rPr>
        <w:t xml:space="preserve"> </w:t>
      </w:r>
      <w:r w:rsidRPr="00FA0181">
        <w:rPr>
          <w:rFonts w:cs="Arial"/>
          <w:rtl/>
        </w:rPr>
        <w:t>ראובן נת</w:t>
      </w:r>
      <w:r>
        <w:rPr>
          <w:rFonts w:cs="Arial" w:hint="cs"/>
          <w:rtl/>
        </w:rPr>
        <w:t>ן</w:t>
      </w:r>
      <w:r w:rsidRPr="00FA0181">
        <w:rPr>
          <w:rFonts w:cs="Arial"/>
          <w:rtl/>
        </w:rPr>
        <w:t xml:space="preserve"> ללוי בכתיבה ובמסירה </w:t>
      </w:r>
      <w:r>
        <w:rPr>
          <w:rFonts w:cs="Arial" w:hint="cs"/>
          <w:rtl/>
        </w:rPr>
        <w:t xml:space="preserve">שטר שיש לו על שמעון, </w:t>
      </w:r>
      <w:r w:rsidRPr="00FA0181">
        <w:rPr>
          <w:rFonts w:cs="Arial"/>
          <w:rtl/>
        </w:rPr>
        <w:t>ושמעון אחד מעדי המתנה</w:t>
      </w:r>
      <w:r>
        <w:rPr>
          <w:rFonts w:cs="Arial" w:hint="cs"/>
          <w:rtl/>
        </w:rPr>
        <w:t>:</w:t>
      </w:r>
      <w:bookmarkEnd w:id="367"/>
    </w:p>
    <w:p w14:paraId="09D53372" w14:textId="77777777" w:rsidR="004B607F" w:rsidRPr="00FA0181" w:rsidRDefault="004B607F" w:rsidP="004B607F">
      <w:pPr>
        <w:rPr>
          <w:b/>
          <w:bCs/>
          <w:u w:val="single"/>
          <w:rtl/>
        </w:rPr>
      </w:pPr>
      <w:r w:rsidRPr="00F26B68">
        <w:rPr>
          <w:rFonts w:cs="Arial"/>
          <w:u w:val="single"/>
          <w:rtl/>
        </w:rPr>
        <w:t>ראובן נת</w:t>
      </w:r>
      <w:r w:rsidRPr="00F26B68">
        <w:rPr>
          <w:rFonts w:cs="Arial" w:hint="cs"/>
          <w:u w:val="single"/>
          <w:rtl/>
        </w:rPr>
        <w:t>ן</w:t>
      </w:r>
      <w:r w:rsidRPr="00F26B68">
        <w:rPr>
          <w:rFonts w:cs="Arial"/>
          <w:u w:val="single"/>
          <w:rtl/>
        </w:rPr>
        <w:t xml:space="preserve"> ללוי בכתיבה ובמסירה </w:t>
      </w:r>
      <w:r w:rsidRPr="00F26B68">
        <w:rPr>
          <w:rFonts w:cs="Arial" w:hint="cs"/>
          <w:u w:val="single"/>
          <w:rtl/>
        </w:rPr>
        <w:t xml:space="preserve">שטר שיש לו על שמעון, </w:t>
      </w:r>
      <w:r w:rsidRPr="00F26B68">
        <w:rPr>
          <w:rFonts w:cs="Arial"/>
          <w:u w:val="single"/>
          <w:rtl/>
        </w:rPr>
        <w:t>ושמעון אחד מעדי המתנה</w:t>
      </w:r>
      <w:r w:rsidRPr="00FA0181">
        <w:rPr>
          <w:rFonts w:cs="Arial" w:hint="cs"/>
          <w:u w:val="single"/>
          <w:rtl/>
        </w:rPr>
        <w:t>:</w:t>
      </w:r>
    </w:p>
    <w:p w14:paraId="53236086" w14:textId="77777777" w:rsidR="004B607F" w:rsidRDefault="004B607F" w:rsidP="004B0475">
      <w:pPr>
        <w:pStyle w:val="ac"/>
        <w:numPr>
          <w:ilvl w:val="0"/>
          <w:numId w:val="112"/>
        </w:numPr>
        <w:rPr>
          <w:rFonts w:cs="Arial"/>
        </w:rPr>
      </w:pPr>
      <w:r w:rsidRPr="00FA0181">
        <w:rPr>
          <w:rFonts w:cs="Arial" w:hint="cs"/>
          <w:rtl/>
        </w:rPr>
        <w:t xml:space="preserve">טור </w:t>
      </w:r>
      <w:r w:rsidRPr="00FA0181">
        <w:rPr>
          <w:rFonts w:cs="Arial" w:hint="cs"/>
          <w:sz w:val="16"/>
          <w:szCs w:val="16"/>
          <w:rtl/>
        </w:rPr>
        <w:t>(</w:t>
      </w:r>
      <w:r w:rsidRPr="00FA0181">
        <w:rPr>
          <w:rFonts w:cs="Arial"/>
          <w:sz w:val="16"/>
          <w:szCs w:val="16"/>
          <w:rtl/>
        </w:rPr>
        <w:t>סי</w:t>
      </w:r>
      <w:r w:rsidRPr="00FA0181">
        <w:rPr>
          <w:rFonts w:cs="Arial" w:hint="cs"/>
          <w:sz w:val="16"/>
          <w:szCs w:val="16"/>
          <w:rtl/>
        </w:rPr>
        <w:t>'</w:t>
      </w:r>
      <w:r w:rsidRPr="00FA0181">
        <w:rPr>
          <w:rFonts w:cs="Arial"/>
          <w:sz w:val="16"/>
          <w:szCs w:val="16"/>
          <w:rtl/>
        </w:rPr>
        <w:t xml:space="preserve"> סו סכ"ב)</w:t>
      </w:r>
      <w:r w:rsidRPr="00FA0181">
        <w:rPr>
          <w:rFonts w:cs="Arial" w:hint="cs"/>
          <w:rtl/>
        </w:rPr>
        <w:t>-</w:t>
      </w:r>
      <w:r>
        <w:rPr>
          <w:rFonts w:cs="Arial" w:hint="cs"/>
          <w:rtl/>
        </w:rPr>
        <w:t xml:space="preserve"> </w:t>
      </w:r>
      <w:r w:rsidRPr="00FA0181">
        <w:rPr>
          <w:rFonts w:cs="Arial"/>
          <w:rtl/>
        </w:rPr>
        <w:t>ראובן שיש לו שטר על שמעון</w:t>
      </w:r>
      <w:r>
        <w:rPr>
          <w:rFonts w:cs="Arial" w:hint="cs"/>
          <w:rtl/>
        </w:rPr>
        <w:t>,</w:t>
      </w:r>
      <w:r w:rsidRPr="00FA0181">
        <w:rPr>
          <w:rFonts w:cs="Arial"/>
          <w:rtl/>
        </w:rPr>
        <w:t xml:space="preserve"> ונתנו ללוי בכתיבה ובמסירה</w:t>
      </w:r>
      <w:r>
        <w:rPr>
          <w:rFonts w:cs="Arial" w:hint="cs"/>
          <w:rtl/>
        </w:rPr>
        <w:t>,</w:t>
      </w:r>
      <w:r w:rsidRPr="00FA0181">
        <w:rPr>
          <w:rFonts w:cs="Arial"/>
          <w:rtl/>
        </w:rPr>
        <w:t xml:space="preserve"> והיה שמעון אחד מעדי המתנה ואחר עמו</w:t>
      </w:r>
      <w:r>
        <w:rPr>
          <w:rFonts w:cs="Arial" w:hint="cs"/>
          <w:rtl/>
        </w:rPr>
        <w:t>.</w:t>
      </w:r>
      <w:r w:rsidRPr="00FA0181">
        <w:rPr>
          <w:rFonts w:cs="Arial"/>
          <w:rtl/>
        </w:rPr>
        <w:t xml:space="preserve"> ורוצה ראובן לחזור מן המתנה</w:t>
      </w:r>
      <w:r>
        <w:rPr>
          <w:rFonts w:cs="Arial" w:hint="cs"/>
          <w:rtl/>
        </w:rPr>
        <w:t>,</w:t>
      </w:r>
      <w:r w:rsidRPr="00FA0181">
        <w:rPr>
          <w:rFonts w:cs="Arial"/>
          <w:rtl/>
        </w:rPr>
        <w:t xml:space="preserve"> וטוען שהשטר פסול הוא לפי ששמעון נוגע בעדות הוא שרוצה להעיד כדי שיפטר מבעל דינו</w:t>
      </w:r>
      <w:r>
        <w:rPr>
          <w:rFonts w:cs="Arial" w:hint="cs"/>
          <w:rtl/>
        </w:rPr>
        <w:t>,</w:t>
      </w:r>
      <w:r w:rsidRPr="00FA0181">
        <w:rPr>
          <w:rFonts w:cs="Arial"/>
          <w:rtl/>
        </w:rPr>
        <w:t xml:space="preserve"> שהשני נוח לו</w:t>
      </w:r>
      <w:r>
        <w:rPr>
          <w:rFonts w:cs="Arial" w:hint="cs"/>
          <w:rtl/>
        </w:rPr>
        <w:t xml:space="preserve"> -</w:t>
      </w:r>
      <w:r w:rsidRPr="00FA0181">
        <w:rPr>
          <w:rFonts w:cs="Arial"/>
          <w:rtl/>
        </w:rPr>
        <w:t xml:space="preserve"> הדין עמו והרי הוא חשוב נוגע בדבר</w:t>
      </w:r>
      <w:r>
        <w:rPr>
          <w:rFonts w:cs="Arial" w:hint="cs"/>
          <w:rtl/>
        </w:rPr>
        <w:t>.</w:t>
      </w:r>
      <w:r w:rsidRPr="00F26B68">
        <w:rPr>
          <w:rFonts w:hint="cs"/>
          <w:color w:val="E36C0A" w:themeColor="accent6" w:themeShade="BF"/>
          <w:rtl/>
        </w:rPr>
        <w:t xml:space="preserve"> </w:t>
      </w:r>
      <w:r w:rsidRPr="00723EA5">
        <w:rPr>
          <w:rFonts w:hint="cs"/>
          <w:color w:val="E36C0A" w:themeColor="accent6" w:themeShade="BF"/>
          <w:rtl/>
        </w:rPr>
        <w:t>(וכ"פ בשו"ע)</w:t>
      </w:r>
    </w:p>
    <w:p w14:paraId="0F3AD2CB" w14:textId="77777777" w:rsidR="004B607F" w:rsidRPr="00F26B68" w:rsidRDefault="004B607F" w:rsidP="004B607F">
      <w:pPr>
        <w:rPr>
          <w:rFonts w:cs="Arial"/>
          <w:sz w:val="16"/>
          <w:szCs w:val="16"/>
          <w:rtl/>
        </w:rPr>
      </w:pPr>
      <w:r w:rsidRPr="00F26B68">
        <w:rPr>
          <w:rFonts w:cs="Arial" w:hint="cs"/>
          <w:u w:val="single"/>
          <w:rtl/>
        </w:rPr>
        <w:t>מעשה באחד שהקנה את השטר לאחד מעדי השטר קודם שחתם על השטר:</w:t>
      </w:r>
      <w:r>
        <w:rPr>
          <w:rFonts w:cs="Arial" w:hint="cs"/>
          <w:sz w:val="16"/>
          <w:szCs w:val="16"/>
          <w:rtl/>
        </w:rPr>
        <w:t xml:space="preserve">  (ב"י ודרכ"מ [אות ד])</w:t>
      </w:r>
    </w:p>
    <w:p w14:paraId="5EB56E9D" w14:textId="77777777" w:rsidR="004B607F" w:rsidRPr="00F26B68" w:rsidRDefault="004B607F" w:rsidP="004B0475">
      <w:pPr>
        <w:pStyle w:val="ac"/>
        <w:numPr>
          <w:ilvl w:val="0"/>
          <w:numId w:val="112"/>
        </w:numPr>
        <w:rPr>
          <w:rFonts w:cs="Arial"/>
          <w:rtl/>
        </w:rPr>
      </w:pPr>
      <w:r w:rsidRPr="00022365">
        <w:rPr>
          <w:rFonts w:cs="Arial"/>
          <w:rtl/>
        </w:rPr>
        <w:lastRenderedPageBreak/>
        <w:t xml:space="preserve">ריב"ש </w:t>
      </w:r>
      <w:r w:rsidRPr="00F26B68">
        <w:rPr>
          <w:rFonts w:cs="Arial" w:hint="cs"/>
          <w:sz w:val="16"/>
          <w:szCs w:val="16"/>
          <w:rtl/>
        </w:rPr>
        <w:t>(</w:t>
      </w:r>
      <w:r w:rsidRPr="00F26B68">
        <w:rPr>
          <w:rFonts w:cs="Arial"/>
          <w:sz w:val="16"/>
          <w:szCs w:val="16"/>
          <w:rtl/>
        </w:rPr>
        <w:t>סי</w:t>
      </w:r>
      <w:r w:rsidRPr="00F26B68">
        <w:rPr>
          <w:rFonts w:cs="Arial" w:hint="cs"/>
          <w:sz w:val="16"/>
          <w:szCs w:val="16"/>
          <w:rtl/>
        </w:rPr>
        <w:t>'</w:t>
      </w:r>
      <w:r w:rsidRPr="00F26B68">
        <w:rPr>
          <w:rFonts w:cs="Arial"/>
          <w:sz w:val="16"/>
          <w:szCs w:val="16"/>
          <w:rtl/>
        </w:rPr>
        <w:t xml:space="preserve"> רי</w:t>
      </w:r>
      <w:r w:rsidRPr="00F26B68">
        <w:rPr>
          <w:rFonts w:cs="Arial" w:hint="cs"/>
          <w:sz w:val="16"/>
          <w:szCs w:val="16"/>
          <w:rtl/>
        </w:rPr>
        <w:t>)</w:t>
      </w:r>
      <w:r>
        <w:rPr>
          <w:rFonts w:cs="Arial" w:hint="cs"/>
          <w:rtl/>
        </w:rPr>
        <w:t xml:space="preserve">- </w:t>
      </w:r>
      <w:r w:rsidRPr="00FA0181">
        <w:rPr>
          <w:rFonts w:cs="Arial"/>
          <w:rtl/>
        </w:rPr>
        <w:t>ראובן חייב מנה לשמעון</w:t>
      </w:r>
      <w:r>
        <w:rPr>
          <w:rFonts w:cs="Arial" w:hint="cs"/>
          <w:rtl/>
        </w:rPr>
        <w:t>.</w:t>
      </w:r>
      <w:r w:rsidRPr="00FA0181">
        <w:rPr>
          <w:rFonts w:cs="Arial"/>
          <w:rtl/>
        </w:rPr>
        <w:t xml:space="preserve"> ועדי השטר חתמו בטופס שבספר הסופר</w:t>
      </w:r>
      <w:r>
        <w:rPr>
          <w:rFonts w:cs="Arial" w:hint="cs"/>
          <w:rtl/>
        </w:rPr>
        <w:t>,</w:t>
      </w:r>
      <w:r w:rsidRPr="00FA0181">
        <w:rPr>
          <w:rFonts w:cs="Arial"/>
          <w:rtl/>
        </w:rPr>
        <w:t xml:space="preserve"> וקודם שיוציאו השטר מטופס הסופר הקנהו שמעון המלוה ליהודה שהוא אחד מעדי השטר</w:t>
      </w:r>
      <w:r>
        <w:rPr>
          <w:rFonts w:cs="Arial" w:hint="cs"/>
          <w:rtl/>
        </w:rPr>
        <w:t xml:space="preserve"> -</w:t>
      </w:r>
      <w:r w:rsidRPr="00FA0181">
        <w:rPr>
          <w:rFonts w:cs="Arial"/>
          <w:rtl/>
        </w:rPr>
        <w:t xml:space="preserve"> </w:t>
      </w:r>
      <w:r w:rsidRPr="00022365">
        <w:rPr>
          <w:rFonts w:cs="Arial"/>
          <w:rtl/>
        </w:rPr>
        <w:t>יהודה מקרי נוגע ואין לו לחתום על השטר</w:t>
      </w:r>
      <w:r>
        <w:rPr>
          <w:rStyle w:val="ab"/>
          <w:rFonts w:cs="Arial"/>
          <w:rtl/>
        </w:rPr>
        <w:footnoteReference w:id="2715"/>
      </w:r>
      <w:r w:rsidRPr="00FA0181">
        <w:rPr>
          <w:rFonts w:cs="Arial" w:hint="cs"/>
          <w:rtl/>
        </w:rPr>
        <w:t>.</w:t>
      </w:r>
      <w:r w:rsidRPr="00FA0181">
        <w:rPr>
          <w:rFonts w:cs="Arial"/>
          <w:rtl/>
        </w:rPr>
        <w:t xml:space="preserve"> </w:t>
      </w:r>
    </w:p>
    <w:p w14:paraId="71617811" w14:textId="77777777" w:rsidR="004B607F" w:rsidRPr="003024E5" w:rsidRDefault="004B607F" w:rsidP="004B607F">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434807C1" w14:textId="77777777" w:rsidR="004B607F" w:rsidRDefault="004B607F" w:rsidP="004B607F">
      <w:pPr>
        <w:rPr>
          <w:rtl/>
        </w:rPr>
      </w:pPr>
      <w:r>
        <w:rPr>
          <w:rFonts w:cs="Arial"/>
          <w:rtl/>
        </w:rPr>
        <w:t>ראובן שיש לו ש</w:t>
      </w:r>
      <w:r>
        <w:rPr>
          <w:rFonts w:cs="Arial" w:hint="cs"/>
          <w:rtl/>
        </w:rPr>
        <w:t xml:space="preserve">טר </w:t>
      </w:r>
      <w:r>
        <w:rPr>
          <w:rFonts w:cs="Arial"/>
          <w:rtl/>
        </w:rPr>
        <w:t>ח</w:t>
      </w:r>
      <w:r>
        <w:rPr>
          <w:rFonts w:cs="Arial" w:hint="cs"/>
          <w:rtl/>
        </w:rPr>
        <w:t>וב</w:t>
      </w:r>
      <w:r>
        <w:rPr>
          <w:rFonts w:cs="Arial"/>
          <w:rtl/>
        </w:rPr>
        <w:t xml:space="preserve"> על שמעון, ונתנו ללוי בכתיבה ומסירה, והיה שמעון מעידי המתנה, פסול</w:t>
      </w:r>
      <w:r>
        <w:rPr>
          <w:rStyle w:val="ab"/>
          <w:rFonts w:cs="Arial"/>
          <w:rtl/>
        </w:rPr>
        <w:footnoteReference w:id="2716"/>
      </w:r>
      <w:r>
        <w:rPr>
          <w:rFonts w:cs="Arial"/>
          <w:rtl/>
        </w:rPr>
        <w:t xml:space="preserve">. </w:t>
      </w:r>
      <w:r w:rsidRPr="00022365">
        <w:rPr>
          <w:rFonts w:cs="Arial"/>
          <w:sz w:val="18"/>
          <w:szCs w:val="18"/>
          <w:rtl/>
        </w:rPr>
        <w:t>(וע"ל סימן ס"ו סעיף כ"א וכ"ב אם עד החתום הקונה השטר מיקרי נוגע בעדות).</w:t>
      </w:r>
      <w:r>
        <w:rPr>
          <w:rFonts w:cs="Arial"/>
          <w:rtl/>
        </w:rPr>
        <w:t xml:space="preserve"> </w:t>
      </w:r>
    </w:p>
    <w:p w14:paraId="3D5E6063" w14:textId="77777777" w:rsidR="004B607F" w:rsidRDefault="004B607F" w:rsidP="004B607F">
      <w:pPr>
        <w:rPr>
          <w:rtl/>
        </w:rPr>
      </w:pPr>
    </w:p>
    <w:p w14:paraId="68A497AB" w14:textId="77777777" w:rsidR="004B607F" w:rsidRDefault="004B607F" w:rsidP="004B607F">
      <w:pPr>
        <w:pStyle w:val="2"/>
        <w:rPr>
          <w:rtl/>
        </w:rPr>
      </w:pPr>
      <w:bookmarkStart w:id="368" w:name="_Toc24883813"/>
      <w:r>
        <w:rPr>
          <w:rtl/>
        </w:rPr>
        <w:t>סעיף יב</w:t>
      </w:r>
      <w:r>
        <w:rPr>
          <w:rFonts w:hint="cs"/>
          <w:rtl/>
        </w:rPr>
        <w:t>: שוכר שרוצה להעיד למשכיר על השדה שמשכיר ממנו.</w:t>
      </w:r>
      <w:bookmarkEnd w:id="368"/>
    </w:p>
    <w:p w14:paraId="0D5B75EF" w14:textId="77777777" w:rsidR="004B607F" w:rsidRDefault="004B607F" w:rsidP="004B607F">
      <w:pPr>
        <w:rPr>
          <w:rFonts w:cs="Arial"/>
          <w:rtl/>
        </w:rPr>
      </w:pPr>
      <w:r w:rsidRPr="00CE2EF4">
        <w:rPr>
          <w:rFonts w:cs="Arial" w:hint="cs"/>
          <w:b/>
          <w:bCs/>
          <w:rtl/>
        </w:rPr>
        <w:t xml:space="preserve">בבא בתרא </w:t>
      </w:r>
      <w:r w:rsidRPr="00CE2EF4">
        <w:rPr>
          <w:rFonts w:cs="Arial" w:hint="cs"/>
          <w:b/>
          <w:bCs/>
          <w:sz w:val="16"/>
          <w:szCs w:val="16"/>
          <w:rtl/>
        </w:rPr>
        <w:t>(ר"פ</w:t>
      </w:r>
      <w:r>
        <w:rPr>
          <w:rFonts w:cs="Arial" w:hint="cs"/>
          <w:b/>
          <w:bCs/>
          <w:sz w:val="16"/>
          <w:szCs w:val="16"/>
          <w:rtl/>
        </w:rPr>
        <w:t xml:space="preserve"> חזקת הבתים</w:t>
      </w:r>
      <w:r w:rsidRPr="00CE2EF4">
        <w:rPr>
          <w:rFonts w:cs="Arial" w:hint="cs"/>
          <w:b/>
          <w:bCs/>
          <w:sz w:val="16"/>
          <w:szCs w:val="16"/>
          <w:rtl/>
        </w:rPr>
        <w:t xml:space="preserve">) </w:t>
      </w:r>
      <w:r w:rsidRPr="00CE2EF4">
        <w:rPr>
          <w:rFonts w:cs="Arial"/>
          <w:b/>
          <w:bCs/>
          <w:rtl/>
        </w:rPr>
        <w:t>כ</w:t>
      </w:r>
      <w:r>
        <w:rPr>
          <w:rFonts w:cs="Arial" w:hint="cs"/>
          <w:b/>
          <w:bCs/>
          <w:rtl/>
        </w:rPr>
        <w:t>ח</w:t>
      </w:r>
      <w:r>
        <w:rPr>
          <w:rStyle w:val="ab"/>
          <w:rFonts w:cs="Arial"/>
          <w:b/>
          <w:bCs/>
          <w:rtl/>
        </w:rPr>
        <w:footnoteReference w:id="2717"/>
      </w:r>
      <w:r w:rsidRPr="00CE2EF4">
        <w:rPr>
          <w:rFonts w:cs="Arial" w:hint="cs"/>
          <w:b/>
          <w:bCs/>
          <w:rtl/>
        </w:rPr>
        <w:t xml:space="preserve"> ע"א:</w:t>
      </w:r>
      <w:r w:rsidRPr="00022365">
        <w:rPr>
          <w:rFonts w:cs="Arial"/>
          <w:rtl/>
        </w:rPr>
        <w:t xml:space="preserve"> </w:t>
      </w:r>
      <w:r w:rsidRPr="00B40C02">
        <w:rPr>
          <w:rFonts w:cs="Arial"/>
          <w:u w:val="double"/>
          <w:rtl/>
        </w:rPr>
        <w:t>מתני'</w:t>
      </w:r>
      <w:r>
        <w:rPr>
          <w:rFonts w:cs="Arial" w:hint="cs"/>
          <w:rtl/>
        </w:rPr>
        <w:t>:</w:t>
      </w:r>
      <w:r w:rsidRPr="00CE2EF4">
        <w:rPr>
          <w:rFonts w:cs="Arial"/>
          <w:rtl/>
        </w:rPr>
        <w:t xml:space="preserve"> חזקת הבתים, והבורות, והשיחין, והמערות</w:t>
      </w:r>
      <w:r>
        <w:rPr>
          <w:rFonts w:cs="Arial" w:hint="cs"/>
          <w:rtl/>
        </w:rPr>
        <w:t>...</w:t>
      </w:r>
      <w:r w:rsidRPr="00CE2EF4">
        <w:rPr>
          <w:rFonts w:cs="Arial"/>
          <w:rtl/>
        </w:rPr>
        <w:t xml:space="preserve"> חזקתן שלש שנים מיום ליום</w:t>
      </w:r>
      <w:r>
        <w:rPr>
          <w:rFonts w:cs="Arial" w:hint="cs"/>
          <w:rtl/>
        </w:rPr>
        <w:t xml:space="preserve">... </w:t>
      </w:r>
      <w:r w:rsidRPr="00CE2EF4">
        <w:rPr>
          <w:rFonts w:cs="Arial"/>
          <w:rtl/>
        </w:rPr>
        <w:t xml:space="preserve"> </w:t>
      </w:r>
      <w:r>
        <w:rPr>
          <w:rFonts w:cs="Arial" w:hint="cs"/>
          <w:rtl/>
        </w:rPr>
        <w:t xml:space="preserve">   </w:t>
      </w:r>
      <w:r w:rsidRPr="00B40C02">
        <w:rPr>
          <w:rFonts w:cs="Arial" w:hint="cs"/>
          <w:u w:val="double"/>
          <w:rtl/>
        </w:rPr>
        <w:t>גמ'</w:t>
      </w:r>
      <w:r w:rsidRPr="00B40C02">
        <w:rPr>
          <w:rFonts w:cs="Arial" w:hint="cs"/>
          <w:sz w:val="14"/>
          <w:szCs w:val="14"/>
          <w:u w:val="double"/>
          <w:rtl/>
        </w:rPr>
        <w:t>(כט.)</w:t>
      </w:r>
      <w:r w:rsidRPr="00B40C02">
        <w:rPr>
          <w:rFonts w:cs="Arial" w:hint="cs"/>
          <w:u w:val="double"/>
          <w:rtl/>
        </w:rPr>
        <w:t>:</w:t>
      </w:r>
      <w:r>
        <w:rPr>
          <w:rFonts w:cs="Arial" w:hint="cs"/>
          <w:rtl/>
        </w:rPr>
        <w:t xml:space="preserve"> </w:t>
      </w:r>
      <w:r w:rsidRPr="00CE2EF4">
        <w:rPr>
          <w:rFonts w:cs="Arial"/>
          <w:rtl/>
        </w:rPr>
        <w:t>תנן: חזקת הבתים</w:t>
      </w:r>
      <w:r>
        <w:rPr>
          <w:rFonts w:cs="Arial" w:hint="cs"/>
          <w:rtl/>
        </w:rPr>
        <w:t>.</w:t>
      </w:r>
      <w:r w:rsidRPr="00CE2EF4">
        <w:rPr>
          <w:rFonts w:cs="Arial"/>
          <w:rtl/>
        </w:rPr>
        <w:t xml:space="preserve"> והא בתים - דביממא ידעי, בליליא לא ידעי! </w:t>
      </w:r>
      <w:r w:rsidRPr="00B40C02">
        <w:rPr>
          <w:rFonts w:cs="Arial"/>
          <w:u w:val="single"/>
          <w:rtl/>
        </w:rPr>
        <w:t>אמר אביי</w:t>
      </w:r>
      <w:r w:rsidRPr="00CE2EF4">
        <w:rPr>
          <w:rFonts w:cs="Arial"/>
          <w:rtl/>
        </w:rPr>
        <w:t xml:space="preserve">: מאן מסהיד אבתים? שיבבי, שיבבי מידע ידעי ביממא ובליליא. </w:t>
      </w:r>
      <w:r w:rsidRPr="00B40C02">
        <w:rPr>
          <w:rFonts w:cs="Arial"/>
          <w:u w:val="single"/>
          <w:rtl/>
        </w:rPr>
        <w:t>רבא אמר</w:t>
      </w:r>
      <w:r>
        <w:rPr>
          <w:rFonts w:cs="Arial" w:hint="cs"/>
          <w:rtl/>
        </w:rPr>
        <w:t>:</w:t>
      </w:r>
      <w:r w:rsidRPr="00CE2EF4">
        <w:rPr>
          <w:rFonts w:cs="Arial"/>
          <w:rtl/>
        </w:rPr>
        <w:t xml:space="preserve"> כגון דאתו בי תרי ואמרי: אנן אגרינן מיניה, ודרינן ביה תלת שנין ביממא ובליליא. </w:t>
      </w:r>
      <w:r w:rsidRPr="00B40C02">
        <w:rPr>
          <w:rFonts w:cs="Arial"/>
          <w:u w:val="single"/>
          <w:rtl/>
        </w:rPr>
        <w:t>אמר ליה רב יימר לרב אשי</w:t>
      </w:r>
      <w:r w:rsidRPr="00CE2EF4">
        <w:rPr>
          <w:rFonts w:cs="Arial"/>
          <w:rtl/>
        </w:rPr>
        <w:t xml:space="preserve">: הני נוגעין בעדותן הן, דאי לא אמרי הכי, אמרינן להו: זילו הבו ליה אגר ביתא להאי! </w:t>
      </w:r>
      <w:r w:rsidRPr="00B40C02">
        <w:rPr>
          <w:rFonts w:cs="Arial"/>
          <w:u w:val="single"/>
          <w:rtl/>
        </w:rPr>
        <w:t>א"ל</w:t>
      </w:r>
      <w:r w:rsidRPr="00CE2EF4">
        <w:rPr>
          <w:rFonts w:cs="Arial"/>
          <w:rtl/>
        </w:rPr>
        <w:t>: דייני דשפילי</w:t>
      </w:r>
      <w:r>
        <w:rPr>
          <w:rStyle w:val="ab"/>
          <w:rFonts w:cs="Arial"/>
          <w:rtl/>
        </w:rPr>
        <w:footnoteReference w:id="2718"/>
      </w:r>
      <w:r w:rsidRPr="00CE2EF4">
        <w:rPr>
          <w:rFonts w:cs="Arial"/>
          <w:rtl/>
        </w:rPr>
        <w:t xml:space="preserve"> הכי דאיני, מי לא עסקינן כגון דנקיטי אגר ביתא ואמרי: למאן ליתביה?. </w:t>
      </w:r>
    </w:p>
    <w:p w14:paraId="08C7FA24" w14:textId="77777777" w:rsidR="004B607F" w:rsidRDefault="004B607F" w:rsidP="004B607F">
      <w:pPr>
        <w:rPr>
          <w:rFonts w:cs="Arial"/>
          <w:rtl/>
        </w:rPr>
      </w:pPr>
      <w:r w:rsidRPr="00CE2EF4">
        <w:rPr>
          <w:rFonts w:cs="Arial" w:hint="cs"/>
          <w:u w:val="single"/>
          <w:rtl/>
        </w:rPr>
        <w:t>האם שוכר יכול להעיד למשכיר</w:t>
      </w:r>
      <w:r>
        <w:rPr>
          <w:rFonts w:cs="Arial" w:hint="cs"/>
          <w:u w:val="single"/>
          <w:rtl/>
        </w:rPr>
        <w:t xml:space="preserve"> על השדה שמשכיר ממנו</w:t>
      </w:r>
      <w:r w:rsidRPr="00CE2EF4">
        <w:rPr>
          <w:rFonts w:cs="Arial" w:hint="cs"/>
          <w:u w:val="single"/>
          <w:rtl/>
        </w:rPr>
        <w:t>:</w:t>
      </w:r>
    </w:p>
    <w:p w14:paraId="7AD3DFE9" w14:textId="77777777" w:rsidR="004B607F" w:rsidRDefault="004B607F" w:rsidP="004B0475">
      <w:pPr>
        <w:pStyle w:val="ac"/>
        <w:numPr>
          <w:ilvl w:val="0"/>
          <w:numId w:val="112"/>
        </w:numPr>
        <w:rPr>
          <w:rFonts w:cs="Arial"/>
        </w:rPr>
      </w:pPr>
      <w:r w:rsidRPr="00CE2EF4">
        <w:rPr>
          <w:rFonts w:cs="Arial" w:hint="cs"/>
          <w:rtl/>
        </w:rPr>
        <w:t xml:space="preserve">טור- </w:t>
      </w:r>
      <w:r w:rsidRPr="00CE2EF4">
        <w:rPr>
          <w:rFonts w:cs="Arial"/>
          <w:rtl/>
        </w:rPr>
        <w:t>השוכר אם לקח בידו השכירות ואומר כל מי שתתקיים השדה בידו ה"ז יטול</w:t>
      </w:r>
      <w:r>
        <w:rPr>
          <w:rFonts w:cs="Arial" w:hint="cs"/>
          <w:rtl/>
        </w:rPr>
        <w:t xml:space="preserve"> -</w:t>
      </w:r>
      <w:r w:rsidRPr="00CE2EF4">
        <w:rPr>
          <w:rFonts w:cs="Arial"/>
          <w:rtl/>
        </w:rPr>
        <w:t xml:space="preserve"> אז מעיד למשכיר</w:t>
      </w:r>
      <w:r>
        <w:rPr>
          <w:rFonts w:cs="Arial" w:hint="cs"/>
          <w:rtl/>
        </w:rPr>
        <w:t>.</w:t>
      </w:r>
      <w:r w:rsidRPr="00CE2EF4">
        <w:rPr>
          <w:rFonts w:cs="Arial"/>
          <w:rtl/>
        </w:rPr>
        <w:t xml:space="preserve"> ואם נתן כבר השכירות </w:t>
      </w:r>
      <w:r>
        <w:rPr>
          <w:rFonts w:cs="Arial" w:hint="cs"/>
          <w:rtl/>
        </w:rPr>
        <w:t xml:space="preserve">- </w:t>
      </w:r>
      <w:r w:rsidRPr="00CE2EF4">
        <w:rPr>
          <w:rFonts w:cs="Arial"/>
          <w:rtl/>
        </w:rPr>
        <w:t>אינו מעיד</w:t>
      </w:r>
      <w:r>
        <w:rPr>
          <w:rFonts w:cs="Arial" w:hint="cs"/>
          <w:rtl/>
        </w:rPr>
        <w:t>,</w:t>
      </w:r>
      <w:r w:rsidRPr="00CE2EF4">
        <w:rPr>
          <w:rFonts w:cs="Arial"/>
          <w:rtl/>
        </w:rPr>
        <w:t xml:space="preserve"> שאם תצא השדה למערער חייב ליתן לו השכירות פעם אחרת</w:t>
      </w:r>
      <w:r>
        <w:rPr>
          <w:rStyle w:val="ab"/>
          <w:rFonts w:cs="Arial"/>
          <w:rtl/>
        </w:rPr>
        <w:footnoteReference w:id="2719"/>
      </w:r>
      <w:r>
        <w:rPr>
          <w:rFonts w:cs="Arial" w:hint="cs"/>
          <w:rtl/>
        </w:rPr>
        <w:t>.</w:t>
      </w:r>
      <w:r w:rsidRPr="00CE2EF4">
        <w:rPr>
          <w:rFonts w:cs="Arial"/>
          <w:rtl/>
        </w:rPr>
        <w:t xml:space="preserve"> ומיהו הר"ר יונה </w:t>
      </w:r>
      <w:r>
        <w:rPr>
          <w:rFonts w:cs="Arial" w:hint="cs"/>
          <w:sz w:val="16"/>
          <w:szCs w:val="16"/>
          <w:rtl/>
        </w:rPr>
        <w:t xml:space="preserve">(ב"ב כט.) </w:t>
      </w:r>
      <w:r w:rsidRPr="00CE2EF4">
        <w:rPr>
          <w:rFonts w:cs="Arial"/>
          <w:rtl/>
        </w:rPr>
        <w:t>כתב יכול המשכיר לחזור וליתנו לשוכר ויאמר לו תנהו למי שיזכה בדין</w:t>
      </w:r>
      <w:r>
        <w:rPr>
          <w:rFonts w:cs="Arial" w:hint="cs"/>
          <w:rtl/>
        </w:rPr>
        <w:t>,</w:t>
      </w:r>
      <w:r w:rsidRPr="00CE2EF4">
        <w:rPr>
          <w:rFonts w:cs="Arial"/>
          <w:rtl/>
        </w:rPr>
        <w:t xml:space="preserve"> כדי שלא יהא נוגע בעדות</w:t>
      </w:r>
      <w:r w:rsidRPr="00CE2EF4">
        <w:rPr>
          <w:rFonts w:cs="Arial" w:hint="cs"/>
          <w:rtl/>
        </w:rPr>
        <w:t>.</w:t>
      </w:r>
      <w:r w:rsidRPr="00B40C02">
        <w:rPr>
          <w:rFonts w:hint="cs"/>
          <w:color w:val="E36C0A" w:themeColor="accent6" w:themeShade="BF"/>
          <w:rtl/>
        </w:rPr>
        <w:t xml:space="preserve"> </w:t>
      </w:r>
      <w:r w:rsidRPr="00723EA5">
        <w:rPr>
          <w:rFonts w:hint="cs"/>
          <w:color w:val="E36C0A" w:themeColor="accent6" w:themeShade="BF"/>
          <w:rtl/>
        </w:rPr>
        <w:t>(וכ"פ בשו"ע)</w:t>
      </w:r>
      <w:r>
        <w:rPr>
          <w:rFonts w:cs="Arial" w:hint="cs"/>
          <w:rtl/>
        </w:rPr>
        <w:t xml:space="preserve"> </w:t>
      </w:r>
    </w:p>
    <w:p w14:paraId="2D41EDA0" w14:textId="77777777" w:rsidR="004B607F" w:rsidRPr="002345FB" w:rsidRDefault="004B607F" w:rsidP="004B607F">
      <w:pPr>
        <w:ind w:left="360"/>
        <w:rPr>
          <w:rFonts w:cs="Arial"/>
          <w:u w:val="dotted"/>
        </w:rPr>
      </w:pPr>
      <w:r w:rsidRPr="002345FB">
        <w:rPr>
          <w:rFonts w:cs="Arial" w:hint="cs"/>
          <w:u w:val="dotted"/>
          <w:rtl/>
        </w:rPr>
        <w:t xml:space="preserve">ומה הדין אם </w:t>
      </w:r>
      <w:r>
        <w:rPr>
          <w:rFonts w:cs="Arial" w:hint="cs"/>
          <w:u w:val="dotted"/>
          <w:rtl/>
        </w:rPr>
        <w:t>אין עדים שגרו השוכרים הללו בבית</w:t>
      </w:r>
      <w:r w:rsidRPr="002345FB">
        <w:rPr>
          <w:rFonts w:cs="Arial" w:hint="cs"/>
          <w:u w:val="dotted"/>
          <w:rtl/>
        </w:rPr>
        <w:t>:</w:t>
      </w:r>
    </w:p>
    <w:p w14:paraId="5545CFE4" w14:textId="77777777" w:rsidR="004B607F" w:rsidRPr="002345FB" w:rsidRDefault="004B607F" w:rsidP="004B0475">
      <w:pPr>
        <w:pStyle w:val="ac"/>
        <w:numPr>
          <w:ilvl w:val="0"/>
          <w:numId w:val="112"/>
        </w:numPr>
        <w:rPr>
          <w:rFonts w:cs="Arial"/>
          <w:rtl/>
        </w:rPr>
      </w:pPr>
      <w:r w:rsidRPr="002345FB">
        <w:rPr>
          <w:rFonts w:cs="Arial"/>
          <w:rtl/>
        </w:rPr>
        <w:t xml:space="preserve">מרדכי </w:t>
      </w:r>
      <w:r w:rsidRPr="002345FB">
        <w:rPr>
          <w:rFonts w:cs="Arial"/>
          <w:sz w:val="16"/>
          <w:szCs w:val="16"/>
          <w:rtl/>
        </w:rPr>
        <w:t>(סי' תקכג)</w:t>
      </w:r>
      <w:r w:rsidRPr="002345FB">
        <w:rPr>
          <w:rFonts w:cs="Arial" w:hint="cs"/>
          <w:rtl/>
        </w:rPr>
        <w:t xml:space="preserve">- </w:t>
      </w:r>
      <w:r w:rsidRPr="002345FB">
        <w:rPr>
          <w:rFonts w:cs="Arial"/>
          <w:rtl/>
        </w:rPr>
        <w:t>מיהו אם אין בני אדם יודעין שיש כבר זמן גדול שיצאו מן הבית</w:t>
      </w:r>
      <w:r w:rsidRPr="002345FB">
        <w:rPr>
          <w:rFonts w:cs="Arial" w:hint="cs"/>
          <w:rtl/>
        </w:rPr>
        <w:t>,</w:t>
      </w:r>
      <w:r w:rsidRPr="002345FB">
        <w:rPr>
          <w:rFonts w:cs="Arial"/>
          <w:rtl/>
        </w:rPr>
        <w:t xml:space="preserve"> רק הם בעצמם</w:t>
      </w:r>
      <w:r w:rsidRPr="002345FB">
        <w:rPr>
          <w:rFonts w:cs="Arial" w:hint="cs"/>
          <w:rtl/>
        </w:rPr>
        <w:t>,</w:t>
      </w:r>
      <w:r w:rsidRPr="002345FB">
        <w:rPr>
          <w:rFonts w:cs="Arial"/>
          <w:rtl/>
        </w:rPr>
        <w:t xml:space="preserve"> ומעידין שהי</w:t>
      </w:r>
      <w:r>
        <w:rPr>
          <w:rFonts w:cs="Arial" w:hint="cs"/>
          <w:rtl/>
        </w:rPr>
        <w:t>ינ</w:t>
      </w:r>
      <w:r w:rsidRPr="002345FB">
        <w:rPr>
          <w:rFonts w:cs="Arial"/>
          <w:rtl/>
        </w:rPr>
        <w:t>ו דרים בו מכחו ונתנ</w:t>
      </w:r>
      <w:r>
        <w:rPr>
          <w:rFonts w:cs="Arial" w:hint="cs"/>
          <w:rtl/>
        </w:rPr>
        <w:t>נו</w:t>
      </w:r>
      <w:r w:rsidRPr="002345FB">
        <w:rPr>
          <w:rFonts w:cs="Arial"/>
          <w:rtl/>
        </w:rPr>
        <w:t xml:space="preserve"> לו השכירות</w:t>
      </w:r>
      <w:r w:rsidRPr="002345FB">
        <w:rPr>
          <w:rFonts w:cs="Arial" w:hint="cs"/>
          <w:rtl/>
        </w:rPr>
        <w:t xml:space="preserve"> </w:t>
      </w:r>
      <w:r w:rsidRPr="002345FB">
        <w:rPr>
          <w:rFonts w:cs="Arial"/>
          <w:rtl/>
        </w:rPr>
        <w:t>– נאמנים</w:t>
      </w:r>
      <w:r w:rsidRPr="002345FB">
        <w:rPr>
          <w:rFonts w:cs="Arial" w:hint="cs"/>
          <w:rtl/>
        </w:rPr>
        <w:t>,</w:t>
      </w:r>
      <w:r w:rsidRPr="002345FB">
        <w:rPr>
          <w:rFonts w:cs="Arial"/>
          <w:rtl/>
        </w:rPr>
        <w:t xml:space="preserve"> כיון שאין ידוע שדר בתוכו כי על פיהם</w:t>
      </w:r>
      <w:r>
        <w:rPr>
          <w:rFonts w:cs="Arial" w:hint="cs"/>
          <w:rtl/>
        </w:rPr>
        <w:t xml:space="preserve"> </w:t>
      </w:r>
      <w:r>
        <w:rPr>
          <w:rFonts w:cs="Arial"/>
          <w:rtl/>
        </w:rPr>
        <w:t>–</w:t>
      </w:r>
      <w:r w:rsidRPr="002345FB">
        <w:rPr>
          <w:rFonts w:cs="Arial"/>
          <w:rtl/>
        </w:rPr>
        <w:t xml:space="preserve"> אינם</w:t>
      </w:r>
      <w:r>
        <w:rPr>
          <w:rFonts w:cs="Arial" w:hint="cs"/>
          <w:rtl/>
        </w:rPr>
        <w:t xml:space="preserve"> </w:t>
      </w:r>
      <w:r w:rsidRPr="002345FB">
        <w:rPr>
          <w:rFonts w:cs="Arial"/>
          <w:rtl/>
        </w:rPr>
        <w:t>נוגעין בעדות</w:t>
      </w:r>
      <w:r>
        <w:rPr>
          <w:rFonts w:cs="Arial" w:hint="cs"/>
          <w:rtl/>
        </w:rPr>
        <w:t>,</w:t>
      </w:r>
      <w:r w:rsidRPr="002345FB">
        <w:rPr>
          <w:rFonts w:cs="Arial"/>
          <w:rtl/>
        </w:rPr>
        <w:t xml:space="preserve"> דאי בעי הוו שתקי</w:t>
      </w:r>
      <w:r>
        <w:rPr>
          <w:rFonts w:cs="Arial" w:hint="cs"/>
          <w:sz w:val="16"/>
          <w:szCs w:val="16"/>
          <w:rtl/>
        </w:rPr>
        <w:t xml:space="preserve"> (ל' המרדכי</w:t>
      </w:r>
      <w:r w:rsidRPr="00F9368C">
        <w:rPr>
          <w:rStyle w:val="ab"/>
          <w:rFonts w:cs="Arial"/>
          <w:sz w:val="16"/>
          <w:szCs w:val="16"/>
          <w:rtl/>
        </w:rPr>
        <w:footnoteReference w:id="2720"/>
      </w:r>
      <w:r>
        <w:rPr>
          <w:rFonts w:cs="Arial" w:hint="cs"/>
          <w:sz w:val="16"/>
          <w:szCs w:val="16"/>
          <w:rtl/>
        </w:rPr>
        <w:t>)</w:t>
      </w:r>
      <w:r w:rsidRPr="002345FB">
        <w:rPr>
          <w:rFonts w:cs="Arial" w:hint="cs"/>
          <w:rtl/>
        </w:rPr>
        <w:t>.</w:t>
      </w:r>
      <w:r>
        <w:rPr>
          <w:rFonts w:cs="Arial" w:hint="cs"/>
          <w:rtl/>
        </w:rPr>
        <w:t xml:space="preserve"> </w:t>
      </w:r>
      <w:r w:rsidRPr="00F9368C">
        <w:rPr>
          <w:rFonts w:cs="Arial" w:hint="cs"/>
          <w:color w:val="00B0F0"/>
          <w:rtl/>
        </w:rPr>
        <w:t>(וכ"פ הרמ"א)</w:t>
      </w:r>
    </w:p>
    <w:p w14:paraId="72454394" w14:textId="77777777" w:rsidR="004B607F" w:rsidRPr="003024E5" w:rsidRDefault="004B607F" w:rsidP="004B607F">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663E783A" w14:textId="77777777" w:rsidR="004B607F" w:rsidRDefault="004B607F" w:rsidP="004B607F">
      <w:pPr>
        <w:rPr>
          <w:rtl/>
        </w:rPr>
      </w:pPr>
      <w:r>
        <w:rPr>
          <w:rFonts w:cs="Arial"/>
          <w:rtl/>
        </w:rPr>
        <w:t>השוכר, אם לקח בידו השכירות ואמר</w:t>
      </w:r>
      <w:r>
        <w:rPr>
          <w:rFonts w:cs="Arial" w:hint="cs"/>
          <w:rtl/>
        </w:rPr>
        <w:t xml:space="preserve"> '</w:t>
      </w:r>
      <w:r>
        <w:rPr>
          <w:rFonts w:cs="Arial"/>
          <w:rtl/>
        </w:rPr>
        <w:t>כל מי שיתקיים קרקע זה בידו יטול</w:t>
      </w:r>
      <w:r>
        <w:rPr>
          <w:rFonts w:cs="Arial" w:hint="cs"/>
          <w:rtl/>
        </w:rPr>
        <w:t>'</w:t>
      </w:r>
      <w:r>
        <w:rPr>
          <w:rFonts w:cs="Arial"/>
          <w:rtl/>
        </w:rPr>
        <w:t>, ה</w:t>
      </w:r>
      <w:r>
        <w:rPr>
          <w:rFonts w:cs="Arial" w:hint="cs"/>
          <w:rtl/>
        </w:rPr>
        <w:t xml:space="preserve">רי </w:t>
      </w:r>
      <w:r>
        <w:rPr>
          <w:rFonts w:cs="Arial"/>
          <w:rtl/>
        </w:rPr>
        <w:t>ז</w:t>
      </w:r>
      <w:r>
        <w:rPr>
          <w:rFonts w:cs="Arial" w:hint="cs"/>
          <w:rtl/>
        </w:rPr>
        <w:t>ה</w:t>
      </w:r>
      <w:r>
        <w:rPr>
          <w:rFonts w:cs="Arial"/>
          <w:rtl/>
        </w:rPr>
        <w:t xml:space="preserve"> מעיד למשכיר. ואם כבר נתן השכירות לבעל הקרקע, אינו מעיד לו, שאם תצא הקרקע למערער חייב לשלם השכירות פעם אחרת. ואם לקח המשכיר דמי השכירות והחזירו לשוכר כדי שיתנהו למי שיזכה בדין, הרי זה מעיד לו</w:t>
      </w:r>
      <w:r>
        <w:rPr>
          <w:rStyle w:val="ab"/>
          <w:rFonts w:cs="Arial"/>
          <w:rtl/>
        </w:rPr>
        <w:footnoteReference w:id="2721"/>
      </w:r>
      <w:r>
        <w:rPr>
          <w:rFonts w:cs="Arial"/>
          <w:rtl/>
        </w:rPr>
        <w:t xml:space="preserve">. </w:t>
      </w:r>
      <w:r w:rsidRPr="00022365">
        <w:rPr>
          <w:rFonts w:cs="Arial"/>
          <w:sz w:val="18"/>
          <w:szCs w:val="18"/>
          <w:rtl/>
        </w:rPr>
        <w:t>הגה: וכל זה שיש עדים שדר השוכר בבית, אבל אי ליכא עדים</w:t>
      </w:r>
      <w:r>
        <w:rPr>
          <w:rStyle w:val="ab"/>
          <w:rFonts w:cs="Arial"/>
          <w:sz w:val="18"/>
          <w:szCs w:val="18"/>
          <w:rtl/>
        </w:rPr>
        <w:footnoteReference w:id="2722"/>
      </w:r>
      <w:r w:rsidRPr="00022365">
        <w:rPr>
          <w:rFonts w:cs="Arial"/>
          <w:sz w:val="18"/>
          <w:szCs w:val="18"/>
          <w:rtl/>
        </w:rPr>
        <w:t>, נאמן בכל ענין במיגו דאי בעי שתיק (מרדכי).</w:t>
      </w:r>
      <w:r>
        <w:rPr>
          <w:rFonts w:cs="Arial"/>
          <w:rtl/>
        </w:rPr>
        <w:t xml:space="preserve"> </w:t>
      </w:r>
    </w:p>
    <w:p w14:paraId="059745D4" w14:textId="77777777" w:rsidR="004B607F" w:rsidRDefault="004B607F" w:rsidP="004B607F">
      <w:pPr>
        <w:rPr>
          <w:rtl/>
        </w:rPr>
      </w:pPr>
    </w:p>
    <w:p w14:paraId="175E9A0E" w14:textId="77777777" w:rsidR="004B607F" w:rsidRDefault="004B607F" w:rsidP="004B607F">
      <w:pPr>
        <w:pStyle w:val="2"/>
        <w:rPr>
          <w:rtl/>
        </w:rPr>
      </w:pPr>
      <w:bookmarkStart w:id="369" w:name="_Toc24883814"/>
      <w:r>
        <w:rPr>
          <w:rtl/>
        </w:rPr>
        <w:t>סעיף יג</w:t>
      </w:r>
      <w:r>
        <w:rPr>
          <w:rFonts w:hint="cs"/>
          <w:rtl/>
        </w:rPr>
        <w:t>:</w:t>
      </w:r>
      <w:r w:rsidRPr="00352834">
        <w:rPr>
          <w:rFonts w:cs="Arial"/>
          <w:rtl/>
        </w:rPr>
        <w:t xml:space="preserve"> לוה שבא </w:t>
      </w:r>
      <w:r w:rsidRPr="00352834">
        <w:rPr>
          <w:rFonts w:cs="Arial" w:hint="cs"/>
          <w:rtl/>
        </w:rPr>
        <w:t>א</w:t>
      </w:r>
      <w:r>
        <w:rPr>
          <w:rFonts w:cs="Arial" w:hint="cs"/>
          <w:rtl/>
        </w:rPr>
        <w:t>'</w:t>
      </w:r>
      <w:r w:rsidRPr="00352834">
        <w:rPr>
          <w:rFonts w:cs="Arial" w:hint="cs"/>
          <w:rtl/>
        </w:rPr>
        <w:t xml:space="preserve"> </w:t>
      </w:r>
      <w:r w:rsidRPr="00352834">
        <w:rPr>
          <w:rFonts w:cs="Arial"/>
          <w:rtl/>
        </w:rPr>
        <w:t>לערער עליו להוציא קרקע מידו</w:t>
      </w:r>
      <w:r w:rsidRPr="00352834">
        <w:rPr>
          <w:rFonts w:cs="Arial" w:hint="cs"/>
          <w:rtl/>
        </w:rPr>
        <w:t xml:space="preserve"> </w:t>
      </w:r>
      <w:r>
        <w:rPr>
          <w:rFonts w:cs="Arial" w:hint="cs"/>
          <w:rtl/>
        </w:rPr>
        <w:t>-</w:t>
      </w:r>
      <w:r w:rsidRPr="00352834">
        <w:rPr>
          <w:rFonts w:cs="Arial" w:hint="cs"/>
          <w:rtl/>
        </w:rPr>
        <w:t xml:space="preserve"> האם המלוה</w:t>
      </w:r>
      <w:r>
        <w:rPr>
          <w:rFonts w:cs="Arial" w:hint="cs"/>
          <w:rtl/>
        </w:rPr>
        <w:t xml:space="preserve"> ו</w:t>
      </w:r>
      <w:r w:rsidRPr="00352834">
        <w:rPr>
          <w:rFonts w:cs="Arial" w:hint="cs"/>
          <w:rtl/>
        </w:rPr>
        <w:t>הערב יכול</w:t>
      </w:r>
      <w:r>
        <w:rPr>
          <w:rFonts w:cs="Arial" w:hint="cs"/>
          <w:rtl/>
        </w:rPr>
        <w:t>ים</w:t>
      </w:r>
      <w:r w:rsidRPr="00352834">
        <w:rPr>
          <w:rFonts w:cs="Arial" w:hint="cs"/>
          <w:rtl/>
        </w:rPr>
        <w:t xml:space="preserve"> להעיד ללוה</w:t>
      </w:r>
      <w:r>
        <w:rPr>
          <w:rFonts w:cs="Arial" w:hint="cs"/>
          <w:rtl/>
        </w:rPr>
        <w:t>.</w:t>
      </w:r>
      <w:bookmarkEnd w:id="369"/>
    </w:p>
    <w:p w14:paraId="2348BBDE" w14:textId="77777777" w:rsidR="004B607F" w:rsidRPr="00352834" w:rsidRDefault="004B607F" w:rsidP="004B607F">
      <w:pPr>
        <w:rPr>
          <w:rFonts w:cs="Arial"/>
          <w:rtl/>
        </w:rPr>
      </w:pPr>
      <w:r w:rsidRPr="00CE2EF4">
        <w:rPr>
          <w:rFonts w:cs="Arial" w:hint="cs"/>
          <w:b/>
          <w:bCs/>
          <w:rtl/>
        </w:rPr>
        <w:t xml:space="preserve">בבא בתרא </w:t>
      </w:r>
      <w:r w:rsidRPr="00CE2EF4">
        <w:rPr>
          <w:rFonts w:cs="Arial" w:hint="cs"/>
          <w:b/>
          <w:bCs/>
          <w:sz w:val="16"/>
          <w:szCs w:val="16"/>
          <w:rtl/>
        </w:rPr>
        <w:t>(</w:t>
      </w:r>
      <w:r>
        <w:rPr>
          <w:rFonts w:cs="Arial" w:hint="cs"/>
          <w:b/>
          <w:bCs/>
          <w:sz w:val="16"/>
          <w:szCs w:val="16"/>
          <w:rtl/>
        </w:rPr>
        <w:t>פרק חזקת הבתים</w:t>
      </w:r>
      <w:r w:rsidRPr="00CE2EF4">
        <w:rPr>
          <w:rFonts w:cs="Arial" w:hint="cs"/>
          <w:b/>
          <w:bCs/>
          <w:sz w:val="16"/>
          <w:szCs w:val="16"/>
          <w:rtl/>
        </w:rPr>
        <w:t xml:space="preserve">) </w:t>
      </w:r>
      <w:r>
        <w:rPr>
          <w:rFonts w:cs="Arial" w:hint="cs"/>
          <w:b/>
          <w:bCs/>
          <w:rtl/>
        </w:rPr>
        <w:t>מו</w:t>
      </w:r>
      <w:r>
        <w:rPr>
          <w:rStyle w:val="ab"/>
          <w:rFonts w:cs="Arial"/>
          <w:b/>
          <w:bCs/>
          <w:rtl/>
        </w:rPr>
        <w:footnoteReference w:id="2723"/>
      </w:r>
      <w:r w:rsidRPr="00CE2EF4">
        <w:rPr>
          <w:rFonts w:cs="Arial" w:hint="cs"/>
          <w:b/>
          <w:bCs/>
          <w:rtl/>
        </w:rPr>
        <w:t xml:space="preserve"> ע"</w:t>
      </w:r>
      <w:r>
        <w:rPr>
          <w:rFonts w:cs="Arial" w:hint="cs"/>
          <w:b/>
          <w:bCs/>
          <w:rtl/>
        </w:rPr>
        <w:t>ב</w:t>
      </w:r>
      <w:r w:rsidRPr="00CE2EF4">
        <w:rPr>
          <w:rFonts w:cs="Arial" w:hint="cs"/>
          <w:b/>
          <w:bCs/>
          <w:rtl/>
        </w:rPr>
        <w:t>:</w:t>
      </w:r>
      <w:r w:rsidRPr="00022365">
        <w:rPr>
          <w:rFonts w:cs="Arial"/>
          <w:rtl/>
        </w:rPr>
        <w:t xml:space="preserve"> </w:t>
      </w:r>
      <w:r w:rsidRPr="00352834">
        <w:rPr>
          <w:rFonts w:cs="Arial"/>
          <w:rtl/>
        </w:rPr>
        <w:t>תנו רבנן: ערב</w:t>
      </w:r>
      <w:r>
        <w:rPr>
          <w:rStyle w:val="ab"/>
          <w:rFonts w:cs="Arial"/>
          <w:rtl/>
        </w:rPr>
        <w:footnoteReference w:id="2724"/>
      </w:r>
      <w:r w:rsidRPr="00352834">
        <w:rPr>
          <w:rFonts w:cs="Arial"/>
          <w:rtl/>
        </w:rPr>
        <w:t xml:space="preserve"> מעיד ללוה, והוא דאית ליה</w:t>
      </w:r>
      <w:r>
        <w:rPr>
          <w:rStyle w:val="ab"/>
          <w:rFonts w:cs="Arial"/>
          <w:rtl/>
        </w:rPr>
        <w:footnoteReference w:id="2725"/>
      </w:r>
      <w:r w:rsidRPr="00352834">
        <w:rPr>
          <w:rFonts w:cs="Arial"/>
          <w:rtl/>
        </w:rPr>
        <w:t xml:space="preserve"> ארעא אחריתי</w:t>
      </w:r>
      <w:r>
        <w:rPr>
          <w:rStyle w:val="ab"/>
          <w:rFonts w:cs="Arial"/>
          <w:rtl/>
        </w:rPr>
        <w:footnoteReference w:id="2726"/>
      </w:r>
      <w:r>
        <w:rPr>
          <w:rFonts w:cs="Arial" w:hint="cs"/>
          <w:rtl/>
        </w:rPr>
        <w:t>.</w:t>
      </w:r>
      <w:r w:rsidRPr="00352834">
        <w:rPr>
          <w:rFonts w:cs="Arial"/>
          <w:rtl/>
        </w:rPr>
        <w:t xml:space="preserve"> מלוה מעיד ללוה, והוא דאית ליה ארעא אחריתי</w:t>
      </w:r>
      <w:r>
        <w:rPr>
          <w:rFonts w:cs="Arial" w:hint="cs"/>
          <w:rtl/>
        </w:rPr>
        <w:t>...</w:t>
      </w:r>
      <w:r w:rsidRPr="00352834">
        <w:rPr>
          <w:rtl/>
        </w:rPr>
        <w:t xml:space="preserve"> </w:t>
      </w:r>
      <w:r>
        <w:rPr>
          <w:rFonts w:cs="Arial" w:hint="cs"/>
          <w:sz w:val="14"/>
          <w:szCs w:val="14"/>
          <w:rtl/>
        </w:rPr>
        <w:t xml:space="preserve">(מז.) </w:t>
      </w:r>
      <w:r w:rsidRPr="00352834">
        <w:rPr>
          <w:rFonts w:cs="Arial"/>
          <w:rtl/>
        </w:rPr>
        <w:t>קבלן</w:t>
      </w:r>
      <w:r>
        <w:rPr>
          <w:rStyle w:val="ab"/>
          <w:rFonts w:cs="Arial"/>
          <w:rtl/>
        </w:rPr>
        <w:footnoteReference w:id="2727"/>
      </w:r>
      <w:r w:rsidRPr="00352834">
        <w:rPr>
          <w:rFonts w:cs="Arial"/>
          <w:rtl/>
        </w:rPr>
        <w:t xml:space="preserve"> - אמרי לה: מעיד</w:t>
      </w:r>
      <w:r>
        <w:rPr>
          <w:rStyle w:val="ab"/>
          <w:rFonts w:cs="Arial"/>
          <w:rtl/>
        </w:rPr>
        <w:footnoteReference w:id="2728"/>
      </w:r>
      <w:r w:rsidRPr="00352834">
        <w:rPr>
          <w:rFonts w:cs="Arial"/>
          <w:rtl/>
        </w:rPr>
        <w:t>, ואמרי לה: אינו מעיד</w:t>
      </w:r>
      <w:r>
        <w:rPr>
          <w:rStyle w:val="ab"/>
          <w:rFonts w:cs="Arial"/>
          <w:rtl/>
        </w:rPr>
        <w:footnoteReference w:id="2729"/>
      </w:r>
      <w:r w:rsidRPr="00352834">
        <w:rPr>
          <w:rFonts w:cs="Arial"/>
          <w:rtl/>
        </w:rPr>
        <w:t>. אמרי לה מעיד, כערב דמי</w:t>
      </w:r>
      <w:r>
        <w:rPr>
          <w:rFonts w:cs="Arial" w:hint="cs"/>
          <w:rtl/>
        </w:rPr>
        <w:t>.</w:t>
      </w:r>
      <w:r w:rsidRPr="00352834">
        <w:rPr>
          <w:rFonts w:cs="Arial"/>
          <w:rtl/>
        </w:rPr>
        <w:t xml:space="preserve"> ואמרי לה אינו מעיד, דניחא ליה דלהוו בידיה תרוייהו, דכי אתי בע"ח מאי דבעי שקיל.</w:t>
      </w:r>
    </w:p>
    <w:p w14:paraId="385BF0A4" w14:textId="77777777" w:rsidR="004B607F" w:rsidRPr="00352834" w:rsidRDefault="004B607F" w:rsidP="004B607F">
      <w:pPr>
        <w:rPr>
          <w:rFonts w:cs="Arial"/>
          <w:u w:val="single"/>
          <w:rtl/>
        </w:rPr>
      </w:pPr>
      <w:r w:rsidRPr="002710F0">
        <w:rPr>
          <w:rFonts w:cs="Arial" w:hint="cs"/>
          <w:b/>
          <w:bCs/>
          <w:u w:val="single"/>
          <w:rtl/>
        </w:rPr>
        <w:t xml:space="preserve">מלוה </w:t>
      </w:r>
      <w:r>
        <w:rPr>
          <w:rFonts w:cs="Arial" w:hint="cs"/>
          <w:u w:val="single"/>
          <w:rtl/>
        </w:rPr>
        <w:t xml:space="preserve">או </w:t>
      </w:r>
      <w:r w:rsidRPr="002710F0">
        <w:rPr>
          <w:rFonts w:cs="Arial" w:hint="cs"/>
          <w:b/>
          <w:bCs/>
          <w:u w:val="single"/>
          <w:rtl/>
        </w:rPr>
        <w:t xml:space="preserve">ערב </w:t>
      </w:r>
      <w:r>
        <w:rPr>
          <w:rFonts w:cs="Arial" w:hint="cs"/>
          <w:u w:val="single"/>
          <w:rtl/>
        </w:rPr>
        <w:t>שרוצים להעיד ללוה על קרקע אחרת שלו שיצאו עליה עוררין</w:t>
      </w:r>
      <w:r w:rsidRPr="00352834">
        <w:rPr>
          <w:rFonts w:cs="Arial" w:hint="cs"/>
          <w:u w:val="single"/>
          <w:rtl/>
        </w:rPr>
        <w:t>:</w:t>
      </w:r>
    </w:p>
    <w:p w14:paraId="3A2B97E0" w14:textId="77777777" w:rsidR="004B607F" w:rsidRDefault="004B607F" w:rsidP="004B0475">
      <w:pPr>
        <w:pStyle w:val="ac"/>
        <w:numPr>
          <w:ilvl w:val="0"/>
          <w:numId w:val="112"/>
        </w:numPr>
        <w:rPr>
          <w:rFonts w:cs="Arial"/>
        </w:rPr>
      </w:pPr>
      <w:r w:rsidRPr="00352834">
        <w:rPr>
          <w:rFonts w:cs="Arial" w:hint="cs"/>
          <w:rtl/>
        </w:rPr>
        <w:t>ט</w:t>
      </w:r>
      <w:r w:rsidRPr="00352834">
        <w:rPr>
          <w:rFonts w:cs="Arial"/>
          <w:rtl/>
        </w:rPr>
        <w:t>ו</w:t>
      </w:r>
      <w:r w:rsidRPr="00352834">
        <w:rPr>
          <w:rFonts w:cs="Arial" w:hint="cs"/>
          <w:rtl/>
        </w:rPr>
        <w:t>ר-</w:t>
      </w:r>
      <w:r w:rsidRPr="00352834">
        <w:rPr>
          <w:rFonts w:cs="Arial"/>
          <w:rtl/>
        </w:rPr>
        <w:t xml:space="preserve"> לוה שבא לערער עליו להוציא קרקע שלו מידו</w:t>
      </w:r>
      <w:r w:rsidRPr="00352834">
        <w:rPr>
          <w:rFonts w:cs="Arial" w:hint="cs"/>
          <w:rtl/>
        </w:rPr>
        <w:t>,</w:t>
      </w:r>
      <w:r w:rsidRPr="00352834">
        <w:rPr>
          <w:rFonts w:cs="Arial"/>
          <w:rtl/>
        </w:rPr>
        <w:t xml:space="preserve"> אם לא ישאר בידו קרקע אחרת כנגד החוב שיש למלוה עליו </w:t>
      </w:r>
      <w:r>
        <w:rPr>
          <w:rFonts w:cs="Arial" w:hint="cs"/>
          <w:rtl/>
        </w:rPr>
        <w:t xml:space="preserve">- </w:t>
      </w:r>
      <w:r w:rsidRPr="00352834">
        <w:rPr>
          <w:rFonts w:cs="Arial"/>
          <w:rtl/>
        </w:rPr>
        <w:t>אין המלוה והערב יכולין להעיד לו להעמידה בידו</w:t>
      </w:r>
      <w:r w:rsidRPr="00352834">
        <w:rPr>
          <w:rFonts w:cs="Arial" w:hint="cs"/>
          <w:rtl/>
        </w:rPr>
        <w:t>,</w:t>
      </w:r>
      <w:r w:rsidRPr="00352834">
        <w:rPr>
          <w:rFonts w:cs="Arial"/>
          <w:rtl/>
        </w:rPr>
        <w:t xml:space="preserve"> שהן מעידין להעמידה בידו</w:t>
      </w:r>
      <w:r>
        <w:rPr>
          <w:rFonts w:cs="Arial" w:hint="cs"/>
          <w:rtl/>
        </w:rPr>
        <w:t>,</w:t>
      </w:r>
      <w:r w:rsidRPr="00352834">
        <w:rPr>
          <w:rFonts w:cs="Arial"/>
          <w:rtl/>
        </w:rPr>
        <w:t xml:space="preserve"> המלוה כדי לגבות ממנו חובו</w:t>
      </w:r>
      <w:r>
        <w:rPr>
          <w:rFonts w:cs="Arial" w:hint="cs"/>
          <w:rtl/>
        </w:rPr>
        <w:t>,</w:t>
      </w:r>
      <w:r w:rsidRPr="00352834">
        <w:rPr>
          <w:rFonts w:cs="Arial"/>
          <w:rtl/>
        </w:rPr>
        <w:t xml:space="preserve"> והערב כדי שלא יחזור המלוה עליו כשלא ימצא כלום ביד הלוה</w:t>
      </w:r>
      <w:r w:rsidRPr="00352834">
        <w:rPr>
          <w:rFonts w:cs="Arial" w:hint="cs"/>
          <w:rtl/>
        </w:rPr>
        <w:t>.</w:t>
      </w:r>
      <w:r w:rsidRPr="00EF17EE">
        <w:rPr>
          <w:rFonts w:cs="Arial"/>
          <w:rtl/>
        </w:rPr>
        <w:t xml:space="preserve"> </w:t>
      </w:r>
      <w:r w:rsidRPr="00352834">
        <w:rPr>
          <w:rFonts w:cs="Arial"/>
          <w:rtl/>
        </w:rPr>
        <w:t>אבל אם ישאר קרקע בידו כנגד החוב</w:t>
      </w:r>
      <w:r>
        <w:rPr>
          <w:rFonts w:cs="Arial" w:hint="cs"/>
          <w:rtl/>
        </w:rPr>
        <w:t xml:space="preserve">... - </w:t>
      </w:r>
      <w:r w:rsidRPr="00352834">
        <w:rPr>
          <w:rFonts w:cs="Arial"/>
          <w:rtl/>
        </w:rPr>
        <w:t>יכולין להעיד</w:t>
      </w:r>
      <w:r>
        <w:rPr>
          <w:rFonts w:cs="Arial" w:hint="cs"/>
          <w:rtl/>
        </w:rPr>
        <w:t>.</w:t>
      </w:r>
      <w:r w:rsidRPr="00352834">
        <w:rPr>
          <w:rFonts w:cs="Arial"/>
          <w:rtl/>
        </w:rPr>
        <w:t xml:space="preserve"> </w:t>
      </w:r>
      <w:r w:rsidRPr="00EF17EE">
        <w:rPr>
          <w:rFonts w:cs="Arial" w:hint="cs"/>
          <w:color w:val="E36C0A" w:themeColor="accent6" w:themeShade="BF"/>
          <w:rtl/>
        </w:rPr>
        <w:t>(וכ"פ בשו"ע)</w:t>
      </w:r>
    </w:p>
    <w:p w14:paraId="356E2D1D" w14:textId="77777777" w:rsidR="004B607F" w:rsidRPr="00EF17EE" w:rsidRDefault="004B607F" w:rsidP="004B607F">
      <w:pPr>
        <w:ind w:left="360"/>
        <w:rPr>
          <w:rFonts w:cs="Arial"/>
          <w:u w:val="dotted"/>
        </w:rPr>
      </w:pPr>
      <w:r w:rsidRPr="00EF17EE">
        <w:rPr>
          <w:rFonts w:cs="Arial" w:hint="cs"/>
          <w:u w:val="dotted"/>
          <w:rtl/>
        </w:rPr>
        <w:t>ומה הדין אם לא נשאר ביד הלוה אלא קרקע זיבורית</w:t>
      </w:r>
      <w:r>
        <w:rPr>
          <w:rFonts w:cs="Arial" w:hint="cs"/>
          <w:sz w:val="16"/>
          <w:szCs w:val="16"/>
          <w:u w:val="dotted"/>
          <w:rtl/>
        </w:rPr>
        <w:t xml:space="preserve"> (האם המלוה והערב עדיין יכולים להעיד)</w:t>
      </w:r>
      <w:r w:rsidRPr="00EF17EE">
        <w:rPr>
          <w:rFonts w:cs="Arial" w:hint="cs"/>
          <w:u w:val="dotted"/>
          <w:rtl/>
        </w:rPr>
        <w:t>:</w:t>
      </w:r>
    </w:p>
    <w:p w14:paraId="5EC588FA" w14:textId="77777777" w:rsidR="004B607F" w:rsidRDefault="004B607F" w:rsidP="004B0475">
      <w:pPr>
        <w:pStyle w:val="ac"/>
        <w:numPr>
          <w:ilvl w:val="0"/>
          <w:numId w:val="112"/>
        </w:numPr>
        <w:rPr>
          <w:rFonts w:cs="Arial"/>
        </w:rPr>
      </w:pPr>
      <w:r w:rsidRPr="00022365">
        <w:rPr>
          <w:rFonts w:cs="Arial"/>
          <w:rtl/>
        </w:rPr>
        <w:t>תוס</w:t>
      </w:r>
      <w:r>
        <w:rPr>
          <w:rFonts w:cs="Arial" w:hint="cs"/>
          <w:rtl/>
        </w:rPr>
        <w:t>'</w:t>
      </w:r>
      <w:r w:rsidRPr="00022365">
        <w:rPr>
          <w:rFonts w:cs="Arial"/>
          <w:rtl/>
        </w:rPr>
        <w:t xml:space="preserve"> </w:t>
      </w:r>
      <w:r w:rsidRPr="00180F93">
        <w:rPr>
          <w:rFonts w:cs="Arial"/>
          <w:sz w:val="16"/>
          <w:szCs w:val="16"/>
          <w:rtl/>
        </w:rPr>
        <w:t>(מז. ד"ה קבלן)</w:t>
      </w:r>
      <w:r w:rsidRPr="00180F93">
        <w:rPr>
          <w:rFonts w:cs="Arial" w:hint="cs"/>
          <w:sz w:val="16"/>
          <w:szCs w:val="16"/>
          <w:rtl/>
        </w:rPr>
        <w:t xml:space="preserve"> </w:t>
      </w:r>
      <w:r w:rsidRPr="00022365">
        <w:rPr>
          <w:rFonts w:cs="Arial"/>
          <w:rtl/>
        </w:rPr>
        <w:t xml:space="preserve">רא"ש </w:t>
      </w:r>
      <w:r w:rsidRPr="00180F93">
        <w:rPr>
          <w:rFonts w:cs="Arial"/>
          <w:sz w:val="16"/>
          <w:szCs w:val="16"/>
          <w:rtl/>
        </w:rPr>
        <w:t>(סי' מט)</w:t>
      </w:r>
      <w:r>
        <w:rPr>
          <w:rFonts w:cs="Arial" w:hint="cs"/>
          <w:rtl/>
        </w:rPr>
        <w:t xml:space="preserve"> וטור- </w:t>
      </w:r>
      <w:r w:rsidRPr="00352834">
        <w:rPr>
          <w:rFonts w:cs="Arial"/>
          <w:rtl/>
        </w:rPr>
        <w:t xml:space="preserve">אם ישאר קרקע בידו כנגד החוב אפי' אם היא זיבורית </w:t>
      </w:r>
      <w:r>
        <w:rPr>
          <w:rFonts w:cs="Arial" w:hint="cs"/>
          <w:rtl/>
        </w:rPr>
        <w:t xml:space="preserve">- </w:t>
      </w:r>
      <w:r w:rsidRPr="00352834">
        <w:rPr>
          <w:rFonts w:cs="Arial"/>
          <w:rtl/>
        </w:rPr>
        <w:t>יכולין להעיד</w:t>
      </w:r>
      <w:r>
        <w:rPr>
          <w:rFonts w:cs="Arial" w:hint="cs"/>
          <w:rtl/>
        </w:rPr>
        <w:t>,</w:t>
      </w:r>
      <w:r w:rsidRPr="00352834">
        <w:rPr>
          <w:rFonts w:cs="Arial"/>
          <w:rtl/>
        </w:rPr>
        <w:t xml:space="preserve"> אפי' אם הקרקע שמעידין עליה בינונית לא חשוד להעיד שקר משום חילוף שבין בינונית לזיבורית</w:t>
      </w:r>
      <w:r>
        <w:rPr>
          <w:rFonts w:cs="Arial" w:hint="cs"/>
          <w:rtl/>
        </w:rPr>
        <w:t>,</w:t>
      </w:r>
      <w:r w:rsidRPr="00352834">
        <w:rPr>
          <w:rFonts w:cs="Arial"/>
          <w:rtl/>
        </w:rPr>
        <w:t xml:space="preserve"> כיון שמוצא כדי לגבות בו חובו</w:t>
      </w:r>
      <w:r>
        <w:rPr>
          <w:rFonts w:cs="Arial" w:hint="cs"/>
          <w:rtl/>
        </w:rPr>
        <w:t>.</w:t>
      </w:r>
      <w:r w:rsidRPr="00352834">
        <w:rPr>
          <w:rFonts w:cs="Arial"/>
          <w:rtl/>
        </w:rPr>
        <w:t xml:space="preserve"> </w:t>
      </w:r>
    </w:p>
    <w:p w14:paraId="5B24B7AF" w14:textId="77777777" w:rsidR="004B607F" w:rsidRPr="002710F0" w:rsidRDefault="004B607F" w:rsidP="004B607F">
      <w:pPr>
        <w:rPr>
          <w:rFonts w:cs="Arial"/>
          <w:u w:val="single"/>
        </w:rPr>
      </w:pPr>
      <w:r w:rsidRPr="002710F0">
        <w:rPr>
          <w:rFonts w:cs="Arial" w:hint="cs"/>
          <w:b/>
          <w:bCs/>
          <w:u w:val="single"/>
          <w:rtl/>
        </w:rPr>
        <w:t>ערב</w:t>
      </w:r>
      <w:r>
        <w:rPr>
          <w:rFonts w:cs="Arial" w:hint="cs"/>
          <w:b/>
          <w:bCs/>
          <w:u w:val="single"/>
          <w:rtl/>
        </w:rPr>
        <w:t xml:space="preserve"> קבלן</w:t>
      </w:r>
      <w:r w:rsidRPr="002710F0">
        <w:rPr>
          <w:rFonts w:cs="Arial" w:hint="cs"/>
          <w:b/>
          <w:bCs/>
          <w:u w:val="single"/>
          <w:rtl/>
        </w:rPr>
        <w:t xml:space="preserve"> </w:t>
      </w:r>
      <w:r w:rsidRPr="002710F0">
        <w:rPr>
          <w:rFonts w:cs="Arial" w:hint="cs"/>
          <w:u w:val="single"/>
          <w:rtl/>
        </w:rPr>
        <w:t>שרוצ</w:t>
      </w:r>
      <w:r>
        <w:rPr>
          <w:rFonts w:cs="Arial" w:hint="cs"/>
          <w:u w:val="single"/>
          <w:rtl/>
        </w:rPr>
        <w:t>ה</w:t>
      </w:r>
      <w:r w:rsidRPr="002710F0">
        <w:rPr>
          <w:rFonts w:cs="Arial" w:hint="cs"/>
          <w:u w:val="single"/>
          <w:rtl/>
        </w:rPr>
        <w:t xml:space="preserve"> להעיד ללוה על קרקע אחרת שלו שיצאו עליה עוררין</w:t>
      </w:r>
      <w:r w:rsidRPr="002710F0">
        <w:rPr>
          <w:rFonts w:cs="Arial" w:hint="cs"/>
          <w:sz w:val="16"/>
          <w:szCs w:val="16"/>
          <w:u w:val="single"/>
          <w:rtl/>
        </w:rPr>
        <w:t xml:space="preserve"> (</w:t>
      </w:r>
      <w:r>
        <w:rPr>
          <w:rFonts w:cs="Arial" w:hint="cs"/>
          <w:sz w:val="16"/>
          <w:szCs w:val="16"/>
          <w:u w:val="single"/>
          <w:rtl/>
        </w:rPr>
        <w:t>ו</w:t>
      </w:r>
      <w:r w:rsidRPr="002710F0">
        <w:rPr>
          <w:rFonts w:cs="Arial" w:hint="cs"/>
          <w:sz w:val="16"/>
          <w:szCs w:val="16"/>
          <w:u w:val="single"/>
          <w:rtl/>
        </w:rPr>
        <w:t>יש ללוה קרקע</w:t>
      </w:r>
      <w:r>
        <w:rPr>
          <w:rFonts w:cs="Arial" w:hint="cs"/>
          <w:sz w:val="16"/>
          <w:szCs w:val="16"/>
          <w:u w:val="single"/>
          <w:rtl/>
        </w:rPr>
        <w:t xml:space="preserve"> נוספת</w:t>
      </w:r>
      <w:r w:rsidRPr="002710F0">
        <w:rPr>
          <w:rFonts w:cs="Arial" w:hint="cs"/>
          <w:sz w:val="16"/>
          <w:szCs w:val="16"/>
          <w:u w:val="single"/>
          <w:rtl/>
        </w:rPr>
        <w:t>)</w:t>
      </w:r>
      <w:r w:rsidRPr="002710F0">
        <w:rPr>
          <w:rFonts w:cs="Arial" w:hint="cs"/>
          <w:u w:val="single"/>
          <w:rtl/>
        </w:rPr>
        <w:t>:</w:t>
      </w:r>
    </w:p>
    <w:p w14:paraId="2AA79EC0" w14:textId="77777777" w:rsidR="004B607F" w:rsidRDefault="004B607F" w:rsidP="004B0475">
      <w:pPr>
        <w:pStyle w:val="ac"/>
        <w:numPr>
          <w:ilvl w:val="0"/>
          <w:numId w:val="112"/>
        </w:numPr>
        <w:rPr>
          <w:rFonts w:cs="Arial"/>
        </w:rPr>
      </w:pPr>
      <w:r w:rsidRPr="00876BE6">
        <w:rPr>
          <w:rFonts w:cs="Arial"/>
          <w:rtl/>
        </w:rPr>
        <w:t xml:space="preserve">רמב"ם </w:t>
      </w:r>
      <w:r w:rsidRPr="00876BE6">
        <w:rPr>
          <w:rFonts w:cs="Arial" w:hint="cs"/>
          <w:sz w:val="16"/>
          <w:szCs w:val="16"/>
          <w:rtl/>
        </w:rPr>
        <w:t>(</w:t>
      </w:r>
      <w:r w:rsidRPr="00B36056">
        <w:rPr>
          <w:rFonts w:cs="Arial"/>
          <w:sz w:val="16"/>
          <w:szCs w:val="16"/>
          <w:rtl/>
        </w:rPr>
        <w:t>פט"ו מהל</w:t>
      </w:r>
      <w:r w:rsidRPr="00B36056">
        <w:rPr>
          <w:rFonts w:cs="Arial" w:hint="cs"/>
          <w:sz w:val="16"/>
          <w:szCs w:val="16"/>
          <w:rtl/>
        </w:rPr>
        <w:t>'</w:t>
      </w:r>
      <w:r w:rsidRPr="00B36056">
        <w:rPr>
          <w:rFonts w:cs="Arial"/>
          <w:sz w:val="16"/>
          <w:szCs w:val="16"/>
          <w:rtl/>
        </w:rPr>
        <w:t xml:space="preserve"> עדות ה"ו</w:t>
      </w:r>
      <w:r>
        <w:rPr>
          <w:rFonts w:cs="Arial" w:hint="cs"/>
          <w:sz w:val="16"/>
          <w:szCs w:val="16"/>
          <w:rtl/>
        </w:rPr>
        <w:t>)</w:t>
      </w:r>
      <w:r w:rsidRPr="00B36056">
        <w:rPr>
          <w:rStyle w:val="ab"/>
          <w:rFonts w:cs="Arial"/>
          <w:rtl/>
        </w:rPr>
        <w:footnoteReference w:id="2730"/>
      </w:r>
      <w:r>
        <w:rPr>
          <w:rFonts w:cs="Arial" w:hint="cs"/>
          <w:rtl/>
        </w:rPr>
        <w:t>-</w:t>
      </w:r>
      <w:r w:rsidRPr="00876BE6">
        <w:rPr>
          <w:rFonts w:cs="Arial"/>
          <w:rtl/>
        </w:rPr>
        <w:t xml:space="preserve"> </w:t>
      </w:r>
      <w:r>
        <w:rPr>
          <w:rFonts w:cs="Arial" w:hint="cs"/>
          <w:rtl/>
        </w:rPr>
        <w:t xml:space="preserve">מעיד, </w:t>
      </w:r>
      <w:r w:rsidRPr="00876BE6">
        <w:rPr>
          <w:rFonts w:cs="Arial"/>
          <w:rtl/>
        </w:rPr>
        <w:t>כלישנא קמא</w:t>
      </w:r>
      <w:r>
        <w:rPr>
          <w:rStyle w:val="ab"/>
          <w:rFonts w:cs="Arial"/>
          <w:rtl/>
        </w:rPr>
        <w:footnoteReference w:id="2731"/>
      </w:r>
      <w:r>
        <w:rPr>
          <w:rFonts w:cs="Arial" w:hint="cs"/>
          <w:rtl/>
        </w:rPr>
        <w:t xml:space="preserve">. </w:t>
      </w:r>
      <w:r w:rsidRPr="00EF17EE">
        <w:rPr>
          <w:rFonts w:cs="Arial" w:hint="cs"/>
          <w:color w:val="E36C0A" w:themeColor="accent6" w:themeShade="BF"/>
          <w:rtl/>
        </w:rPr>
        <w:t>(וכ"</w:t>
      </w:r>
      <w:r>
        <w:rPr>
          <w:rFonts w:cs="Arial" w:hint="cs"/>
          <w:color w:val="E36C0A" w:themeColor="accent6" w:themeShade="BF"/>
          <w:rtl/>
        </w:rPr>
        <w:t>ס</w:t>
      </w:r>
      <w:r w:rsidRPr="00EF17EE">
        <w:rPr>
          <w:rFonts w:cs="Arial" w:hint="cs"/>
          <w:color w:val="E36C0A" w:themeColor="accent6" w:themeShade="BF"/>
          <w:rtl/>
        </w:rPr>
        <w:t xml:space="preserve"> בשו"ע)</w:t>
      </w:r>
      <w:r>
        <w:rPr>
          <w:rFonts w:cs="Arial" w:hint="cs"/>
          <w:rtl/>
        </w:rPr>
        <w:t xml:space="preserve"> (וכ"כ הש"ך</w:t>
      </w:r>
      <w:r>
        <w:rPr>
          <w:rFonts w:cs="Arial" w:hint="cs"/>
          <w:sz w:val="16"/>
          <w:szCs w:val="16"/>
          <w:rtl/>
        </w:rPr>
        <w:t xml:space="preserve"> [סקי"ז]</w:t>
      </w:r>
      <w:r>
        <w:rPr>
          <w:rFonts w:cs="Arial" w:hint="cs"/>
          <w:rtl/>
        </w:rPr>
        <w:t>)</w:t>
      </w:r>
    </w:p>
    <w:p w14:paraId="7B81EDFC" w14:textId="77777777" w:rsidR="004B607F" w:rsidRDefault="004B607F" w:rsidP="004B0475">
      <w:pPr>
        <w:pStyle w:val="ac"/>
        <w:numPr>
          <w:ilvl w:val="0"/>
          <w:numId w:val="112"/>
        </w:numPr>
        <w:rPr>
          <w:rFonts w:cs="Arial"/>
        </w:rPr>
      </w:pPr>
      <w:r w:rsidRPr="00EF17EE">
        <w:rPr>
          <w:rFonts w:cs="Arial"/>
          <w:rtl/>
        </w:rPr>
        <w:t>ריטב"א</w:t>
      </w:r>
      <w:r>
        <w:rPr>
          <w:rStyle w:val="ab"/>
          <w:rFonts w:cs="Arial"/>
          <w:rtl/>
        </w:rPr>
        <w:footnoteReference w:id="2732"/>
      </w:r>
      <w:r w:rsidRPr="00EF17EE">
        <w:rPr>
          <w:rFonts w:cs="Arial"/>
          <w:rtl/>
        </w:rPr>
        <w:t xml:space="preserve"> </w:t>
      </w:r>
      <w:r w:rsidRPr="00EF17EE">
        <w:rPr>
          <w:rFonts w:cs="Arial"/>
          <w:sz w:val="16"/>
          <w:szCs w:val="16"/>
          <w:rtl/>
        </w:rPr>
        <w:t xml:space="preserve">(מז. ד"ה </w:t>
      </w:r>
      <w:r>
        <w:rPr>
          <w:rFonts w:cs="Arial" w:hint="cs"/>
          <w:sz w:val="16"/>
          <w:szCs w:val="16"/>
          <w:rtl/>
        </w:rPr>
        <w:t>קבלן אמרי, והעתיק הנמוק"י [כו.] דבריו</w:t>
      </w:r>
      <w:r w:rsidRPr="00EF17EE">
        <w:rPr>
          <w:rFonts w:cs="Arial"/>
          <w:sz w:val="16"/>
          <w:szCs w:val="16"/>
          <w:rtl/>
        </w:rPr>
        <w:t>)</w:t>
      </w:r>
      <w:r>
        <w:rPr>
          <w:rFonts w:cs="Arial" w:hint="cs"/>
          <w:rtl/>
        </w:rPr>
        <w:t xml:space="preserve"> וטור- </w:t>
      </w:r>
      <w:r w:rsidRPr="00352834">
        <w:rPr>
          <w:rFonts w:cs="Arial"/>
          <w:rtl/>
        </w:rPr>
        <w:t>אבל אם הערב קבלן</w:t>
      </w:r>
      <w:r>
        <w:rPr>
          <w:rFonts w:cs="Arial" w:hint="cs"/>
          <w:rtl/>
        </w:rPr>
        <w:t>,</w:t>
      </w:r>
      <w:r w:rsidRPr="00352834">
        <w:rPr>
          <w:rFonts w:cs="Arial"/>
          <w:rtl/>
        </w:rPr>
        <w:t xml:space="preserve"> שמן הדין יכולין לגבות הימנו תחלה </w:t>
      </w:r>
      <w:r>
        <w:rPr>
          <w:rFonts w:cs="Arial" w:hint="cs"/>
          <w:rtl/>
        </w:rPr>
        <w:t xml:space="preserve">- </w:t>
      </w:r>
      <w:r w:rsidRPr="00352834">
        <w:rPr>
          <w:rFonts w:cs="Arial"/>
          <w:rtl/>
        </w:rPr>
        <w:t>אינו מעיד אפילו אם ישאר קרקע אחרת ביד הלוה</w:t>
      </w:r>
      <w:r>
        <w:rPr>
          <w:rStyle w:val="ab"/>
          <w:rFonts w:cs="Arial"/>
          <w:rtl/>
        </w:rPr>
        <w:footnoteReference w:id="2733"/>
      </w:r>
      <w:r>
        <w:rPr>
          <w:rFonts w:cs="Arial" w:hint="cs"/>
          <w:rtl/>
        </w:rPr>
        <w:t>,</w:t>
      </w:r>
      <w:r w:rsidRPr="00352834">
        <w:rPr>
          <w:rFonts w:cs="Arial"/>
          <w:rtl/>
        </w:rPr>
        <w:t xml:space="preserve"> שהוא חפץ שימצא המלוה לגבות בריוח מן הלוה שמתוך כך לא יחזור עליו</w:t>
      </w:r>
      <w:r>
        <w:rPr>
          <w:rFonts w:cs="Arial" w:hint="cs"/>
          <w:rtl/>
        </w:rPr>
        <w:t>,</w:t>
      </w:r>
      <w:r w:rsidRPr="00352834">
        <w:rPr>
          <w:rFonts w:cs="Arial"/>
          <w:rtl/>
        </w:rPr>
        <w:t xml:space="preserve"> ואפי' אם השדה שמעיד עליו עידית או זיבורית</w:t>
      </w:r>
      <w:r>
        <w:rPr>
          <w:rFonts w:cs="Arial" w:hint="cs"/>
          <w:rtl/>
        </w:rPr>
        <w:t>,</w:t>
      </w:r>
      <w:r w:rsidRPr="00352834">
        <w:rPr>
          <w:rFonts w:cs="Arial"/>
          <w:rtl/>
        </w:rPr>
        <w:t xml:space="preserve"> שמא ניחא ליה למלוה ליקח בזיבורית טפי פורתא</w:t>
      </w:r>
      <w:r>
        <w:rPr>
          <w:rFonts w:cs="Arial" w:hint="cs"/>
          <w:rtl/>
        </w:rPr>
        <w:t>,</w:t>
      </w:r>
      <w:r w:rsidRPr="00352834">
        <w:rPr>
          <w:rFonts w:cs="Arial"/>
          <w:rtl/>
        </w:rPr>
        <w:t xml:space="preserve"> ושמא ניחא ליה ללוה ליתן ליה בעידית בציר פורתא</w:t>
      </w:r>
      <w:r>
        <w:rPr>
          <w:rFonts w:cs="Arial" w:hint="cs"/>
          <w:rtl/>
        </w:rPr>
        <w:t xml:space="preserve">. </w:t>
      </w:r>
      <w:r w:rsidRPr="00EF17EE">
        <w:rPr>
          <w:rFonts w:cs="Arial" w:hint="cs"/>
          <w:color w:val="00B0F0"/>
          <w:rtl/>
        </w:rPr>
        <w:t>(וכ"פ הרמ"א)</w:t>
      </w:r>
    </w:p>
    <w:p w14:paraId="4293CC44" w14:textId="77777777" w:rsidR="004B607F" w:rsidRPr="008B76C1" w:rsidRDefault="004B607F" w:rsidP="004B607F">
      <w:pPr>
        <w:ind w:left="360"/>
        <w:rPr>
          <w:rFonts w:cs="Arial"/>
          <w:u w:val="dotted"/>
        </w:rPr>
      </w:pPr>
      <w:r>
        <w:rPr>
          <w:rFonts w:cs="Arial" w:hint="cs"/>
          <w:u w:val="dotted"/>
          <w:rtl/>
        </w:rPr>
        <w:t xml:space="preserve">לריטב"א וסיעתו - </w:t>
      </w:r>
      <w:r w:rsidRPr="008B76C1">
        <w:rPr>
          <w:rFonts w:cs="Arial" w:hint="cs"/>
          <w:u w:val="dotted"/>
          <w:rtl/>
        </w:rPr>
        <w:t>מה הדין אם יש ללוה ג' קרקעות עידית בינונית וזיבורית</w:t>
      </w:r>
      <w:r>
        <w:rPr>
          <w:rFonts w:cs="Arial" w:hint="cs"/>
          <w:u w:val="dotted"/>
          <w:rtl/>
        </w:rPr>
        <w:t>:</w:t>
      </w:r>
    </w:p>
    <w:p w14:paraId="3B101FF3" w14:textId="77777777" w:rsidR="004B607F" w:rsidRPr="008B76C1" w:rsidRDefault="004B607F" w:rsidP="004B0475">
      <w:pPr>
        <w:pStyle w:val="ac"/>
        <w:numPr>
          <w:ilvl w:val="0"/>
          <w:numId w:val="112"/>
        </w:numPr>
        <w:rPr>
          <w:rFonts w:cs="Arial"/>
          <w:rtl/>
        </w:rPr>
      </w:pPr>
      <w:r w:rsidRPr="00EF17EE">
        <w:rPr>
          <w:rFonts w:cs="Arial"/>
          <w:rtl/>
        </w:rPr>
        <w:lastRenderedPageBreak/>
        <w:t xml:space="preserve">ריטב"א </w:t>
      </w:r>
      <w:r w:rsidRPr="00EF17EE">
        <w:rPr>
          <w:rFonts w:cs="Arial"/>
          <w:sz w:val="16"/>
          <w:szCs w:val="16"/>
          <w:rtl/>
        </w:rPr>
        <w:t>(</w:t>
      </w:r>
      <w:r>
        <w:rPr>
          <w:rFonts w:cs="Arial" w:hint="cs"/>
          <w:sz w:val="16"/>
          <w:szCs w:val="16"/>
          <w:rtl/>
        </w:rPr>
        <w:t>שם. והעתיק הנמוק"י [כו.] דבריו</w:t>
      </w:r>
      <w:r w:rsidRPr="00EF17EE">
        <w:rPr>
          <w:rFonts w:cs="Arial"/>
          <w:sz w:val="16"/>
          <w:szCs w:val="16"/>
          <w:rtl/>
        </w:rPr>
        <w:t>)</w:t>
      </w:r>
      <w:r>
        <w:rPr>
          <w:rFonts w:cs="Arial" w:hint="cs"/>
          <w:rtl/>
        </w:rPr>
        <w:t xml:space="preserve">- </w:t>
      </w:r>
      <w:r w:rsidRPr="008B76C1">
        <w:rPr>
          <w:rFonts w:cs="Arial"/>
          <w:rtl/>
        </w:rPr>
        <w:t>ונראה דכי איכא בידא דלוה תלת ארעתא עידית ובינונית וזיבורית כי מיהת דעידית יכול קבלן להעיד דהא תו ליכא למיחש ליה כיון דאמרן דלחובות שאינם ידועין לא חיישי מלוה ולא ערב ולא לוקח ותו לא מידי</w:t>
      </w:r>
      <w:r w:rsidRPr="008B76C1">
        <w:rPr>
          <w:rFonts w:cs="Arial" w:hint="cs"/>
          <w:rtl/>
        </w:rPr>
        <w:t>. (וכ"</w:t>
      </w:r>
      <w:r>
        <w:rPr>
          <w:rFonts w:cs="Arial" w:hint="cs"/>
          <w:rtl/>
        </w:rPr>
        <w:t>כ</w:t>
      </w:r>
      <w:r w:rsidRPr="008B76C1">
        <w:rPr>
          <w:rFonts w:cs="Arial" w:hint="cs"/>
          <w:rtl/>
        </w:rPr>
        <w:t xml:space="preserve"> הסמ"ע</w:t>
      </w:r>
      <w:r w:rsidRPr="008B76C1">
        <w:rPr>
          <w:rFonts w:cs="Arial" w:hint="cs"/>
          <w:sz w:val="16"/>
          <w:szCs w:val="16"/>
          <w:rtl/>
        </w:rPr>
        <w:t xml:space="preserve"> [סקל"ב]</w:t>
      </w:r>
      <w:r>
        <w:rPr>
          <w:rFonts w:cs="Arial" w:hint="cs"/>
          <w:rtl/>
        </w:rPr>
        <w:t xml:space="preserve"> אורים </w:t>
      </w:r>
      <w:r>
        <w:rPr>
          <w:rFonts w:cs="Arial" w:hint="cs"/>
          <w:sz w:val="16"/>
          <w:szCs w:val="16"/>
          <w:rtl/>
        </w:rPr>
        <w:t>[סקכ"ח]</w:t>
      </w:r>
      <w:r>
        <w:rPr>
          <w:rFonts w:cs="Arial" w:hint="cs"/>
          <w:rtl/>
        </w:rPr>
        <w:t xml:space="preserve"> ונתיבות </w:t>
      </w:r>
      <w:r>
        <w:rPr>
          <w:rFonts w:cs="Arial" w:hint="cs"/>
          <w:sz w:val="16"/>
          <w:szCs w:val="16"/>
          <w:rtl/>
        </w:rPr>
        <w:t>[סקכ"ב]</w:t>
      </w:r>
      <w:r w:rsidRPr="008B76C1">
        <w:rPr>
          <w:rFonts w:cs="Arial" w:hint="cs"/>
          <w:rtl/>
        </w:rPr>
        <w:t>)</w:t>
      </w:r>
    </w:p>
    <w:p w14:paraId="74A67F8C" w14:textId="77777777" w:rsidR="004B607F" w:rsidRPr="003024E5" w:rsidRDefault="004B607F" w:rsidP="004B607F">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327808A2" w14:textId="77777777" w:rsidR="004B607F" w:rsidRDefault="004B607F" w:rsidP="004B607F">
      <w:pPr>
        <w:rPr>
          <w:rtl/>
        </w:rPr>
      </w:pPr>
      <w:r>
        <w:rPr>
          <w:rFonts w:cs="Arial"/>
          <w:rtl/>
        </w:rPr>
        <w:t xml:space="preserve">לוה שבאו לערער עליו להוציא קרקע שלו מידו, אם לא ישאר בידו קרקע אחר כנגד החוב שיש למלוה עליו, אין המלוה והערב יכולים להעיד לו להעמידה בידו. ואם ישאר בידו קרקע אחר כנגד החוב, יכולים להעיד לו. </w:t>
      </w:r>
      <w:r>
        <w:rPr>
          <w:rFonts w:cs="Arial" w:hint="cs"/>
          <w:sz w:val="18"/>
          <w:szCs w:val="18"/>
          <w:rtl/>
        </w:rPr>
        <w:t xml:space="preserve">[הגה] </w:t>
      </w:r>
      <w:r w:rsidRPr="00D60C1E">
        <w:rPr>
          <w:rFonts w:cs="Arial"/>
          <w:sz w:val="18"/>
          <w:szCs w:val="18"/>
          <w:rtl/>
        </w:rPr>
        <w:t>וערב קבלן י"א דאינו יכול להעיד בכל ענין (טור).</w:t>
      </w:r>
      <w:r>
        <w:rPr>
          <w:rFonts w:cs="Arial"/>
          <w:rtl/>
        </w:rPr>
        <w:t xml:space="preserve"> </w:t>
      </w:r>
    </w:p>
    <w:p w14:paraId="41F0028C" w14:textId="77777777" w:rsidR="004B607F" w:rsidRDefault="004B607F" w:rsidP="004B607F">
      <w:pPr>
        <w:rPr>
          <w:rtl/>
        </w:rPr>
      </w:pPr>
    </w:p>
    <w:p w14:paraId="2F9E8A94" w14:textId="77777777" w:rsidR="004B607F" w:rsidRDefault="004B607F" w:rsidP="004B607F">
      <w:pPr>
        <w:pStyle w:val="2"/>
        <w:rPr>
          <w:rtl/>
        </w:rPr>
      </w:pPr>
      <w:bookmarkStart w:id="370" w:name="_Toc24883815"/>
      <w:r>
        <w:rPr>
          <w:rtl/>
        </w:rPr>
        <w:t>סעיף יד</w:t>
      </w:r>
      <w:r>
        <w:rPr>
          <w:rFonts w:hint="cs"/>
          <w:rtl/>
        </w:rPr>
        <w:t>: לוקח ראשון שרוצה להעיד ללוקח שני.</w:t>
      </w:r>
      <w:bookmarkEnd w:id="370"/>
    </w:p>
    <w:p w14:paraId="703721CF" w14:textId="77777777" w:rsidR="004B607F" w:rsidRDefault="004B607F" w:rsidP="004B607F">
      <w:pPr>
        <w:rPr>
          <w:rFonts w:cs="Arial"/>
          <w:rtl/>
        </w:rPr>
      </w:pPr>
      <w:r w:rsidRPr="00CE2EF4">
        <w:rPr>
          <w:rFonts w:cs="Arial" w:hint="cs"/>
          <w:b/>
          <w:bCs/>
          <w:rtl/>
        </w:rPr>
        <w:t xml:space="preserve">בבא בתרא </w:t>
      </w:r>
      <w:r w:rsidRPr="00CE2EF4">
        <w:rPr>
          <w:rFonts w:cs="Arial" w:hint="cs"/>
          <w:b/>
          <w:bCs/>
          <w:sz w:val="16"/>
          <w:szCs w:val="16"/>
          <w:rtl/>
        </w:rPr>
        <w:t>(</w:t>
      </w:r>
      <w:r>
        <w:rPr>
          <w:rFonts w:cs="Arial" w:hint="cs"/>
          <w:b/>
          <w:bCs/>
          <w:sz w:val="16"/>
          <w:szCs w:val="16"/>
          <w:rtl/>
        </w:rPr>
        <w:t>פרק חזקת הבתים</w:t>
      </w:r>
      <w:r w:rsidRPr="00CE2EF4">
        <w:rPr>
          <w:rFonts w:cs="Arial" w:hint="cs"/>
          <w:b/>
          <w:bCs/>
          <w:sz w:val="16"/>
          <w:szCs w:val="16"/>
          <w:rtl/>
        </w:rPr>
        <w:t xml:space="preserve">) </w:t>
      </w:r>
      <w:r>
        <w:rPr>
          <w:rFonts w:cs="Arial" w:hint="cs"/>
          <w:b/>
          <w:bCs/>
          <w:rtl/>
        </w:rPr>
        <w:t>מו</w:t>
      </w:r>
      <w:r>
        <w:rPr>
          <w:rStyle w:val="ab"/>
          <w:rFonts w:cs="Arial"/>
          <w:b/>
          <w:bCs/>
          <w:rtl/>
        </w:rPr>
        <w:footnoteReference w:id="2734"/>
      </w:r>
      <w:r w:rsidRPr="00CE2EF4">
        <w:rPr>
          <w:rFonts w:cs="Arial" w:hint="cs"/>
          <w:b/>
          <w:bCs/>
          <w:rtl/>
        </w:rPr>
        <w:t xml:space="preserve"> ע"</w:t>
      </w:r>
      <w:r>
        <w:rPr>
          <w:rFonts w:cs="Arial" w:hint="cs"/>
          <w:b/>
          <w:bCs/>
          <w:rtl/>
        </w:rPr>
        <w:t>ב</w:t>
      </w:r>
      <w:r w:rsidRPr="00CE2EF4">
        <w:rPr>
          <w:rFonts w:cs="Arial" w:hint="cs"/>
          <w:b/>
          <w:bCs/>
          <w:rtl/>
        </w:rPr>
        <w:t>:</w:t>
      </w:r>
      <w:r w:rsidRPr="00022365">
        <w:rPr>
          <w:rFonts w:cs="Arial"/>
          <w:rtl/>
        </w:rPr>
        <w:t xml:space="preserve"> </w:t>
      </w:r>
      <w:r w:rsidRPr="00352834">
        <w:rPr>
          <w:rFonts w:cs="Arial"/>
          <w:rtl/>
        </w:rPr>
        <w:t>תנו רבנן:</w:t>
      </w:r>
      <w:r>
        <w:rPr>
          <w:rFonts w:cs="Arial" w:hint="cs"/>
          <w:rtl/>
        </w:rPr>
        <w:t>...</w:t>
      </w:r>
      <w:r w:rsidRPr="00B36056">
        <w:rPr>
          <w:rFonts w:cs="Arial"/>
          <w:rtl/>
        </w:rPr>
        <w:t xml:space="preserve"> לוקח ראשון מעיד ללוקח שני, והוא דאית ליה ארעא אחריתי</w:t>
      </w:r>
      <w:r>
        <w:rPr>
          <w:rStyle w:val="ab"/>
          <w:rFonts w:cs="Arial"/>
          <w:rtl/>
        </w:rPr>
        <w:footnoteReference w:id="2735"/>
      </w:r>
      <w:r>
        <w:rPr>
          <w:rFonts w:cs="Arial" w:hint="cs"/>
          <w:rtl/>
        </w:rPr>
        <w:t>.</w:t>
      </w:r>
      <w:r w:rsidRPr="009A7967">
        <w:rPr>
          <w:rStyle w:val="ab"/>
          <w:rFonts w:cs="Arial"/>
          <w:rtl/>
        </w:rPr>
        <w:t xml:space="preserve"> </w:t>
      </w:r>
    </w:p>
    <w:p w14:paraId="0E18FE6F" w14:textId="77777777" w:rsidR="004B607F" w:rsidRPr="002F7996" w:rsidRDefault="004B607F" w:rsidP="004B607F">
      <w:pPr>
        <w:rPr>
          <w:rFonts w:cs="Arial"/>
          <w:u w:val="single"/>
        </w:rPr>
      </w:pPr>
      <w:r w:rsidRPr="002F7996">
        <w:rPr>
          <w:rFonts w:cs="Arial" w:hint="cs"/>
          <w:u w:val="single"/>
          <w:rtl/>
        </w:rPr>
        <w:t xml:space="preserve">לוקח ראשון </w:t>
      </w:r>
      <w:r w:rsidRPr="002F7996">
        <w:rPr>
          <w:rFonts w:cs="Arial"/>
          <w:u w:val="single"/>
          <w:rtl/>
        </w:rPr>
        <w:t>–</w:t>
      </w:r>
      <w:r w:rsidRPr="002F7996">
        <w:rPr>
          <w:rFonts w:cs="Arial" w:hint="cs"/>
          <w:u w:val="single"/>
          <w:rtl/>
        </w:rPr>
        <w:t xml:space="preserve"> מהו שיעיד ללוקח שני:</w:t>
      </w:r>
    </w:p>
    <w:p w14:paraId="6FE5A217" w14:textId="77777777" w:rsidR="004B607F" w:rsidRDefault="004B607F" w:rsidP="004B0475">
      <w:pPr>
        <w:pStyle w:val="ac"/>
        <w:numPr>
          <w:ilvl w:val="0"/>
          <w:numId w:val="113"/>
        </w:numPr>
        <w:rPr>
          <w:rFonts w:cs="Arial"/>
        </w:rPr>
      </w:pPr>
      <w:r w:rsidRPr="007C6B85">
        <w:rPr>
          <w:rFonts w:cs="Arial" w:hint="cs"/>
          <w:rtl/>
        </w:rPr>
        <w:t>טור-</w:t>
      </w:r>
      <w:r w:rsidRPr="007C6B85">
        <w:rPr>
          <w:rFonts w:cs="Arial"/>
          <w:rtl/>
        </w:rPr>
        <w:t xml:space="preserve"> לוקח ראשון מעיד ללוקח שני להעמידה בידו</w:t>
      </w:r>
      <w:r w:rsidRPr="007C6B85">
        <w:rPr>
          <w:rFonts w:cs="Arial" w:hint="cs"/>
          <w:rtl/>
        </w:rPr>
        <w:t>,</w:t>
      </w:r>
      <w:r w:rsidRPr="007C6B85">
        <w:rPr>
          <w:rFonts w:cs="Arial"/>
          <w:rtl/>
        </w:rPr>
        <w:t xml:space="preserve"> והוא שתשאר למוכר שדה אחרת בת חורין כנגד דמי שדה זו של לוקח ראשון</w:t>
      </w:r>
      <w:r w:rsidRPr="007C6B85">
        <w:rPr>
          <w:rFonts w:cs="Arial" w:hint="cs"/>
          <w:rtl/>
        </w:rPr>
        <w:t>,</w:t>
      </w:r>
      <w:r w:rsidRPr="007C6B85">
        <w:rPr>
          <w:rFonts w:cs="Arial"/>
          <w:rtl/>
        </w:rPr>
        <w:t xml:space="preserve"> או שתשאר שדה אחרת ביד לוקח שני</w:t>
      </w:r>
      <w:r w:rsidRPr="007C6B85">
        <w:rPr>
          <w:rFonts w:cs="Arial" w:hint="cs"/>
          <w:rtl/>
        </w:rPr>
        <w:t>,</w:t>
      </w:r>
      <w:r w:rsidRPr="007C6B85">
        <w:rPr>
          <w:rFonts w:cs="Arial"/>
          <w:rtl/>
        </w:rPr>
        <w:t xml:space="preserve"> שאז אין ללוקח ראשון הנאה במה שתשאר השדה ביד הלוקח שני</w:t>
      </w:r>
      <w:r w:rsidRPr="007C6B85">
        <w:rPr>
          <w:rFonts w:cs="Arial" w:hint="cs"/>
          <w:rtl/>
        </w:rPr>
        <w:t>,</w:t>
      </w:r>
      <w:r w:rsidRPr="007C6B85">
        <w:rPr>
          <w:rFonts w:cs="Arial"/>
          <w:rtl/>
        </w:rPr>
        <w:t xml:space="preserve"> שאפי</w:t>
      </w:r>
      <w:r w:rsidRPr="007C6B85">
        <w:rPr>
          <w:rFonts w:cs="Arial" w:hint="cs"/>
          <w:rtl/>
        </w:rPr>
        <w:t>לו</w:t>
      </w:r>
      <w:r w:rsidRPr="007C6B85">
        <w:rPr>
          <w:rFonts w:cs="Arial"/>
          <w:rtl/>
        </w:rPr>
        <w:t xml:space="preserve"> אם יטרפו ממנו השדה שקנה יש לו על מי לחזור</w:t>
      </w:r>
      <w:r>
        <w:rPr>
          <w:rFonts w:cs="Arial" w:hint="cs"/>
          <w:rtl/>
        </w:rPr>
        <w:t>.</w:t>
      </w:r>
      <w:r w:rsidRPr="007C6B85">
        <w:rPr>
          <w:rFonts w:cs="Arial"/>
          <w:rtl/>
        </w:rPr>
        <w:t xml:space="preserve"> אבל אם לא תשאר שדה על מה שיחזור</w:t>
      </w:r>
      <w:r>
        <w:rPr>
          <w:rFonts w:cs="Arial" w:hint="cs"/>
          <w:rtl/>
        </w:rPr>
        <w:t xml:space="preserve"> - </w:t>
      </w:r>
      <w:r w:rsidRPr="007C6B85">
        <w:rPr>
          <w:rFonts w:cs="Arial"/>
          <w:rtl/>
        </w:rPr>
        <w:t>לא יעיד</w:t>
      </w:r>
      <w:r w:rsidRPr="007C6B85">
        <w:rPr>
          <w:rFonts w:cs="Arial" w:hint="cs"/>
          <w:rtl/>
        </w:rPr>
        <w:t>.</w:t>
      </w:r>
      <w:r w:rsidRPr="007C6B85">
        <w:rPr>
          <w:rFonts w:cs="Arial"/>
          <w:rtl/>
        </w:rPr>
        <w:t xml:space="preserve"> </w:t>
      </w:r>
      <w:r w:rsidRPr="00EF17EE">
        <w:rPr>
          <w:rFonts w:cs="Arial" w:hint="cs"/>
          <w:color w:val="E36C0A" w:themeColor="accent6" w:themeShade="BF"/>
          <w:rtl/>
        </w:rPr>
        <w:t>(וכ"פ בשו"ע)</w:t>
      </w:r>
    </w:p>
    <w:p w14:paraId="57884E48" w14:textId="77777777" w:rsidR="004B607F" w:rsidRPr="002F7996" w:rsidRDefault="004B607F" w:rsidP="004B607F">
      <w:pPr>
        <w:ind w:left="360"/>
        <w:rPr>
          <w:rFonts w:cs="Arial"/>
          <w:u w:val="dotted"/>
        </w:rPr>
      </w:pPr>
      <w:r w:rsidRPr="002F7996">
        <w:rPr>
          <w:rFonts w:cs="Arial" w:hint="cs"/>
          <w:u w:val="dotted"/>
          <w:rtl/>
        </w:rPr>
        <w:t>ומהו שיעיד לוקח שני ללוקח ראשון:</w:t>
      </w:r>
    </w:p>
    <w:p w14:paraId="232FF8CC" w14:textId="77777777" w:rsidR="004B607F" w:rsidRDefault="004B607F" w:rsidP="004B0475">
      <w:pPr>
        <w:pStyle w:val="ac"/>
        <w:numPr>
          <w:ilvl w:val="0"/>
          <w:numId w:val="113"/>
        </w:numPr>
        <w:rPr>
          <w:rFonts w:cs="Arial"/>
        </w:rPr>
      </w:pPr>
      <w:r>
        <w:rPr>
          <w:rFonts w:cs="Arial" w:hint="cs"/>
          <w:rtl/>
        </w:rPr>
        <w:t>רשב"ם</w:t>
      </w:r>
      <w:r>
        <w:rPr>
          <w:rFonts w:cs="Arial" w:hint="cs"/>
          <w:sz w:val="16"/>
          <w:szCs w:val="16"/>
          <w:rtl/>
        </w:rPr>
        <w:t xml:space="preserve"> (ד"ה לוקח ראשון)</w:t>
      </w:r>
      <w:r>
        <w:rPr>
          <w:rFonts w:cs="Arial" w:hint="cs"/>
          <w:rtl/>
        </w:rPr>
        <w:t xml:space="preserve">- </w:t>
      </w:r>
      <w:r w:rsidRPr="00424B27">
        <w:rPr>
          <w:rFonts w:cs="Arial"/>
          <w:rtl/>
        </w:rPr>
        <w:t>לוקח שני מעיד ללוקח ראשון אפילו היכא דלית למוכר קרקע אחרת</w:t>
      </w:r>
      <w:r w:rsidRPr="00424B27">
        <w:rPr>
          <w:rFonts w:cs="Arial" w:hint="cs"/>
          <w:rtl/>
        </w:rPr>
        <w:t>,</w:t>
      </w:r>
      <w:r w:rsidRPr="00424B27">
        <w:rPr>
          <w:rFonts w:cs="Arial"/>
          <w:rtl/>
        </w:rPr>
        <w:t xml:space="preserve"> דהא בעל חוב דמוכר לעולם אלוקח שני הדר בין שיש קרקע ללוקח ראשון ובין אין לו והילכך לא מרויח מידי מעדותו</w:t>
      </w:r>
      <w:r w:rsidRPr="00424B27">
        <w:rPr>
          <w:rFonts w:cs="Arial" w:hint="cs"/>
          <w:rtl/>
        </w:rPr>
        <w:t>,</w:t>
      </w:r>
      <w:r w:rsidRPr="00424B27">
        <w:rPr>
          <w:rFonts w:cs="Arial"/>
          <w:rtl/>
        </w:rPr>
        <w:t xml:space="preserve"> וכגון שמכר המוכר ללוקח ראשון שלא באחריות</w:t>
      </w:r>
      <w:r w:rsidRPr="00424B27">
        <w:rPr>
          <w:rFonts w:cs="Arial" w:hint="cs"/>
          <w:rtl/>
        </w:rPr>
        <w:t>,</w:t>
      </w:r>
      <w:r w:rsidRPr="00424B27">
        <w:rPr>
          <w:rFonts w:cs="Arial"/>
          <w:rtl/>
        </w:rPr>
        <w:t xml:space="preserve"> אבל אם מכר לו באחריות לא מסהיד ליה שני לראשון אא</w:t>
      </w:r>
      <w:r w:rsidRPr="00424B27">
        <w:rPr>
          <w:rFonts w:cs="Arial" w:hint="cs"/>
          <w:rtl/>
        </w:rPr>
        <w:t>"</w:t>
      </w:r>
      <w:r w:rsidRPr="00424B27">
        <w:rPr>
          <w:rFonts w:cs="Arial"/>
          <w:rtl/>
        </w:rPr>
        <w:t>כ יש לו קרקע למוכר דלהדר לוקח אחר עילווה דנוגע בעדותו הוא</w:t>
      </w:r>
      <w:r>
        <w:rPr>
          <w:rFonts w:cs="Arial" w:hint="cs"/>
          <w:rtl/>
        </w:rPr>
        <w:t>,</w:t>
      </w:r>
      <w:r w:rsidRPr="00424B27">
        <w:rPr>
          <w:rFonts w:cs="Arial"/>
          <w:rtl/>
        </w:rPr>
        <w:t xml:space="preserve"> דחייש דאי מפקי ליה מלוקח ראשון הדר לוקח ראשון עילוואי שקניתי אחריו קרקע המשועבדת לו</w:t>
      </w:r>
      <w:r>
        <w:rPr>
          <w:rFonts w:cs="Arial" w:hint="cs"/>
          <w:rtl/>
        </w:rPr>
        <w:t>.</w:t>
      </w:r>
    </w:p>
    <w:p w14:paraId="02687F62" w14:textId="77777777" w:rsidR="004B607F" w:rsidRPr="007C6B85" w:rsidRDefault="004B607F" w:rsidP="004B0475">
      <w:pPr>
        <w:pStyle w:val="ac"/>
        <w:numPr>
          <w:ilvl w:val="0"/>
          <w:numId w:val="113"/>
        </w:numPr>
        <w:rPr>
          <w:rFonts w:cs="Arial"/>
          <w:rtl/>
        </w:rPr>
      </w:pPr>
      <w:r>
        <w:rPr>
          <w:rFonts w:cs="Arial" w:hint="cs"/>
          <w:rtl/>
        </w:rPr>
        <w:t xml:space="preserve">טור- </w:t>
      </w:r>
      <w:r w:rsidRPr="007C6B85">
        <w:rPr>
          <w:rFonts w:cs="Arial"/>
          <w:rtl/>
        </w:rPr>
        <w:t>וכן לוקח שני</w:t>
      </w:r>
      <w:r>
        <w:rPr>
          <w:rStyle w:val="ab"/>
          <w:rFonts w:cs="Arial"/>
          <w:rtl/>
        </w:rPr>
        <w:footnoteReference w:id="2736"/>
      </w:r>
      <w:r w:rsidRPr="007C6B85">
        <w:rPr>
          <w:rFonts w:cs="Arial"/>
          <w:rtl/>
        </w:rPr>
        <w:t xml:space="preserve"> לא יעיד ללוקח ראשון אא"כ שתשאר ביד המוכר קרקע כדי חובו של לוקח ראשון</w:t>
      </w:r>
      <w:r w:rsidRPr="007C6B85">
        <w:rPr>
          <w:rFonts w:cs="Arial" w:hint="cs"/>
          <w:rtl/>
        </w:rPr>
        <w:t>.</w:t>
      </w:r>
      <w:r>
        <w:rPr>
          <w:rFonts w:cs="Arial" w:hint="cs"/>
          <w:rtl/>
        </w:rPr>
        <w:t xml:space="preserve"> </w:t>
      </w:r>
      <w:r w:rsidRPr="002F7996">
        <w:rPr>
          <w:rFonts w:cs="Arial" w:hint="cs"/>
          <w:color w:val="00B0F0"/>
          <w:rtl/>
        </w:rPr>
        <w:t>(וכ"פ הרמ"א)</w:t>
      </w:r>
      <w:r>
        <w:rPr>
          <w:rFonts w:cs="Arial" w:hint="cs"/>
          <w:rtl/>
        </w:rPr>
        <w:t xml:space="preserve"> </w:t>
      </w:r>
    </w:p>
    <w:p w14:paraId="7DEB7AD6" w14:textId="77777777" w:rsidR="004B607F" w:rsidRPr="003024E5" w:rsidRDefault="004B607F" w:rsidP="004B607F">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4DD45257" w14:textId="77777777" w:rsidR="004B607F" w:rsidRDefault="004B607F" w:rsidP="004B607F">
      <w:pPr>
        <w:rPr>
          <w:rtl/>
        </w:rPr>
      </w:pPr>
      <w:r>
        <w:rPr>
          <w:rFonts w:cs="Arial"/>
          <w:rtl/>
        </w:rPr>
        <w:t xml:space="preserve">לוקח ראשון מעיד ללוקח שני שלקח אחריו להעמידה בידו, והוא שתשאר למוכר שדה אחרת בת חורין כנגד דמי שדה זו של לוקח ראשון, או שתשאר שדה אחרת ביד שני. </w:t>
      </w:r>
      <w:r w:rsidRPr="00D60C1E">
        <w:rPr>
          <w:rFonts w:cs="Arial"/>
          <w:sz w:val="18"/>
          <w:szCs w:val="18"/>
          <w:rtl/>
        </w:rPr>
        <w:t>הגה: וכן לוקח שני אינו מעיד ללוקח ראשון, אא"כ נשאר ביד מוכר קרקע כדי דמי לוקח ראשון (טור).</w:t>
      </w:r>
      <w:r>
        <w:rPr>
          <w:rFonts w:cs="Arial"/>
          <w:rtl/>
        </w:rPr>
        <w:t xml:space="preserve"> </w:t>
      </w:r>
      <w:r>
        <w:rPr>
          <w:rFonts w:hint="cs"/>
          <w:rtl/>
        </w:rPr>
        <w:t xml:space="preserve"> </w:t>
      </w:r>
    </w:p>
    <w:p w14:paraId="6567A20E" w14:textId="77777777" w:rsidR="004B607F" w:rsidRDefault="004B607F" w:rsidP="004B607F">
      <w:pPr>
        <w:rPr>
          <w:rtl/>
        </w:rPr>
      </w:pPr>
    </w:p>
    <w:p w14:paraId="53C0D3BE" w14:textId="77777777" w:rsidR="004B607F" w:rsidRDefault="004B607F" w:rsidP="004B607F">
      <w:pPr>
        <w:pStyle w:val="2"/>
        <w:rPr>
          <w:rtl/>
        </w:rPr>
      </w:pPr>
      <w:bookmarkStart w:id="371" w:name="_Toc24883816"/>
      <w:r>
        <w:rPr>
          <w:rtl/>
        </w:rPr>
        <w:t>סעיף טו</w:t>
      </w:r>
      <w:r>
        <w:rPr>
          <w:rFonts w:hint="cs"/>
          <w:rtl/>
        </w:rPr>
        <w:t>:</w:t>
      </w:r>
      <w:r w:rsidRPr="00C904B2">
        <w:rPr>
          <w:rFonts w:cs="Arial"/>
          <w:rtl/>
        </w:rPr>
        <w:t xml:space="preserve"> ראובן מכר שדה לשמעון שלא באחריות</w:t>
      </w:r>
      <w:r>
        <w:rPr>
          <w:rFonts w:cs="Arial" w:hint="cs"/>
          <w:rtl/>
        </w:rPr>
        <w:t xml:space="preserve"> ורוצה להעיד לשמעון עליה.</w:t>
      </w:r>
      <w:bookmarkEnd w:id="371"/>
    </w:p>
    <w:p w14:paraId="27880601" w14:textId="77777777" w:rsidR="004B607F" w:rsidRDefault="004B607F" w:rsidP="004B607F">
      <w:pPr>
        <w:rPr>
          <w:rFonts w:cs="Arial"/>
          <w:rtl/>
        </w:rPr>
      </w:pPr>
      <w:r w:rsidRPr="00CE2EF4">
        <w:rPr>
          <w:rFonts w:cs="Arial" w:hint="cs"/>
          <w:b/>
          <w:bCs/>
          <w:rtl/>
        </w:rPr>
        <w:t xml:space="preserve">בבא בתרא </w:t>
      </w:r>
      <w:r w:rsidRPr="00CE2EF4">
        <w:rPr>
          <w:rFonts w:cs="Arial" w:hint="cs"/>
          <w:b/>
          <w:bCs/>
          <w:sz w:val="16"/>
          <w:szCs w:val="16"/>
          <w:rtl/>
        </w:rPr>
        <w:t>(</w:t>
      </w:r>
      <w:r>
        <w:rPr>
          <w:rFonts w:cs="Arial" w:hint="cs"/>
          <w:b/>
          <w:bCs/>
          <w:sz w:val="16"/>
          <w:szCs w:val="16"/>
          <w:rtl/>
        </w:rPr>
        <w:t>פרק חזקת הבתים</w:t>
      </w:r>
      <w:r w:rsidRPr="00CE2EF4">
        <w:rPr>
          <w:rFonts w:cs="Arial" w:hint="cs"/>
          <w:b/>
          <w:bCs/>
          <w:sz w:val="16"/>
          <w:szCs w:val="16"/>
          <w:rtl/>
        </w:rPr>
        <w:t xml:space="preserve">) </w:t>
      </w:r>
      <w:r>
        <w:rPr>
          <w:rFonts w:cs="Arial" w:hint="cs"/>
          <w:b/>
          <w:bCs/>
          <w:rtl/>
        </w:rPr>
        <w:t>מד</w:t>
      </w:r>
      <w:r>
        <w:rPr>
          <w:rStyle w:val="ab"/>
          <w:rFonts w:cs="Arial"/>
          <w:b/>
          <w:bCs/>
          <w:rtl/>
        </w:rPr>
        <w:footnoteReference w:id="2737"/>
      </w:r>
      <w:r w:rsidRPr="00CE2EF4">
        <w:rPr>
          <w:rFonts w:cs="Arial" w:hint="cs"/>
          <w:b/>
          <w:bCs/>
          <w:rtl/>
        </w:rPr>
        <w:t xml:space="preserve"> ע"</w:t>
      </w:r>
      <w:r>
        <w:rPr>
          <w:rFonts w:cs="Arial" w:hint="cs"/>
          <w:b/>
          <w:bCs/>
          <w:rtl/>
        </w:rPr>
        <w:t>א</w:t>
      </w:r>
      <w:r w:rsidRPr="00CE2EF4">
        <w:rPr>
          <w:rFonts w:cs="Arial" w:hint="cs"/>
          <w:b/>
          <w:bCs/>
          <w:rtl/>
        </w:rPr>
        <w:t>:</w:t>
      </w:r>
      <w:r w:rsidRPr="00022365">
        <w:rPr>
          <w:rFonts w:cs="Arial"/>
          <w:rtl/>
        </w:rPr>
        <w:t xml:space="preserve"> </w:t>
      </w:r>
      <w:r w:rsidRPr="007C022F">
        <w:rPr>
          <w:rFonts w:cs="Arial"/>
          <w:u w:val="single"/>
          <w:rtl/>
        </w:rPr>
        <w:t>אמר רבין בר שמואל משמיה דשמואל</w:t>
      </w:r>
      <w:r w:rsidRPr="007C022F">
        <w:rPr>
          <w:rFonts w:cs="Arial"/>
          <w:rtl/>
        </w:rPr>
        <w:t>: המוכר שדה לחבירו שלא באחריות - אין מעיד לו עליה, מפני שמעמידה בפני בעל חובו</w:t>
      </w:r>
      <w:r>
        <w:rPr>
          <w:rFonts w:cs="Arial" w:hint="cs"/>
          <w:rtl/>
        </w:rPr>
        <w:t>.</w:t>
      </w:r>
      <w:r w:rsidRPr="007C022F">
        <w:rPr>
          <w:rFonts w:cs="Arial"/>
          <w:rtl/>
        </w:rPr>
        <w:t xml:space="preserve"> ודוקא בית או שדה, אבל פרה וטלית, לא מיבעיא </w:t>
      </w:r>
      <w:r>
        <w:rPr>
          <w:rFonts w:cs="Arial" w:hint="cs"/>
          <w:sz w:val="14"/>
          <w:szCs w:val="14"/>
          <w:rtl/>
        </w:rPr>
        <w:t xml:space="preserve">(מד:) </w:t>
      </w:r>
      <w:r w:rsidRPr="007C022F">
        <w:rPr>
          <w:rFonts w:cs="Arial"/>
          <w:rtl/>
        </w:rPr>
        <w:t>בסתמא</w:t>
      </w:r>
      <w:r>
        <w:rPr>
          <w:rFonts w:cs="Arial" w:hint="cs"/>
          <w:rtl/>
        </w:rPr>
        <w:t>,</w:t>
      </w:r>
      <w:r w:rsidRPr="007C022F">
        <w:rPr>
          <w:rFonts w:cs="Arial"/>
          <w:rtl/>
        </w:rPr>
        <w:t xml:space="preserve"> דלא משתעבדא ליה, מאי טעמא? מטלטלי נינהו, ומטלטלי לבע"ח לא משתעבדי, ואף על גב דכתב ליה מגלימא דעל כתפיה, הני מילי דאיתנהו בעינייהו, אבל ליתנהו בעינייהו לא</w:t>
      </w:r>
      <w:r>
        <w:rPr>
          <w:rFonts w:cs="Arial" w:hint="cs"/>
          <w:rtl/>
        </w:rPr>
        <w:t>;</w:t>
      </w:r>
      <w:r w:rsidRPr="007C022F">
        <w:rPr>
          <w:rFonts w:cs="Arial"/>
          <w:rtl/>
        </w:rPr>
        <w:t xml:space="preserve"> אלא אפילו עשאו אפותיקי נמי לא, מאי טעמא? כדרבא, </w:t>
      </w:r>
      <w:r w:rsidRPr="009F5A62">
        <w:rPr>
          <w:rFonts w:cs="Arial"/>
          <w:u w:val="single"/>
          <w:rtl/>
        </w:rPr>
        <w:t>דאמר רבא</w:t>
      </w:r>
      <w:r w:rsidRPr="007C022F">
        <w:rPr>
          <w:rFonts w:cs="Arial"/>
          <w:rtl/>
        </w:rPr>
        <w:t>: עשה עבדו אפותיקי ומכרו - בעל חוב גובה ממנו, שורו וחמורו אפותיקי ומכרו - אין בעל חוב גובה הימנו, מאי טעמא? האי אית ליה קלא, והא לית ליה קלא. וליחוש דלמא אקני ליה מטלטלי אגב מקרקעי, דאמר רבה: אי אקני ליה מטלטלי אגב מקרקעי - קני מקרקעי קני מטלטלי</w:t>
      </w:r>
      <w:r>
        <w:rPr>
          <w:rFonts w:cs="Arial" w:hint="cs"/>
          <w:rtl/>
        </w:rPr>
        <w:t>...</w:t>
      </w:r>
      <w:r w:rsidRPr="007C022F">
        <w:rPr>
          <w:rFonts w:cs="Arial"/>
          <w:rtl/>
        </w:rPr>
        <w:t xml:space="preserve"> הכא במאי עסקינן - כגון שלקח ומכר לאלתר. וליחוש דילמא דאיקני הוא</w:t>
      </w:r>
      <w:r>
        <w:rPr>
          <w:rStyle w:val="ab"/>
          <w:rFonts w:cs="Arial"/>
          <w:rtl/>
        </w:rPr>
        <w:footnoteReference w:id="2738"/>
      </w:r>
      <w:r w:rsidRPr="007C022F">
        <w:rPr>
          <w:rFonts w:cs="Arial"/>
          <w:rtl/>
        </w:rPr>
        <w:t>, שמעת מינה: דאיקני, קנה ומכר, קנה והוריש - לא משתעבד! לא צריכא</w:t>
      </w:r>
      <w:r>
        <w:rPr>
          <w:rStyle w:val="ab"/>
          <w:rFonts w:cs="Arial"/>
          <w:rtl/>
        </w:rPr>
        <w:footnoteReference w:id="2739"/>
      </w:r>
      <w:r w:rsidRPr="007C022F">
        <w:rPr>
          <w:rFonts w:cs="Arial"/>
          <w:rtl/>
        </w:rPr>
        <w:t>, דקאמרי עדים: ידעינן ביה בהאי דלא הוה ליה ארעא מעולם.</w:t>
      </w:r>
      <w:r w:rsidRPr="00B63B26">
        <w:rPr>
          <w:rtl/>
        </w:rPr>
        <w:t xml:space="preserve"> </w:t>
      </w:r>
      <w:r w:rsidRPr="000F2F80">
        <w:rPr>
          <w:rFonts w:cs="Arial"/>
          <w:u w:val="single"/>
          <w:rtl/>
        </w:rPr>
        <w:t>והאמר רב פפא</w:t>
      </w:r>
      <w:r>
        <w:rPr>
          <w:rFonts w:cs="Arial" w:hint="cs"/>
          <w:rtl/>
        </w:rPr>
        <w:t>:</w:t>
      </w:r>
      <w:r w:rsidRPr="00B63B26">
        <w:rPr>
          <w:rFonts w:cs="Arial"/>
          <w:rtl/>
        </w:rPr>
        <w:t xml:space="preserve"> אף על גב דאמור רבנן המוכר שדה לחבירו שלא באחריות ובא בע"ח וטרפה - אינו חוזר עליו, נמצאת שאינה שלו - חוזר עליו! הכא במאי עסקינן - במכיר בה שהיא בת חמורו. </w:t>
      </w:r>
      <w:r w:rsidRPr="00B63B26">
        <w:rPr>
          <w:rFonts w:cs="Arial"/>
          <w:u w:val="single"/>
          <w:rtl/>
        </w:rPr>
        <w:t>ורב זביד אמר</w:t>
      </w:r>
      <w:r w:rsidRPr="00B63B26">
        <w:rPr>
          <w:rFonts w:cs="Arial"/>
          <w:rtl/>
        </w:rPr>
        <w:t>: אפילו נמצאת שאינה שלו - אינו חוזר עליו, דא"ל: להכי זביני לך שלא באחריות</w:t>
      </w:r>
      <w:r w:rsidRPr="007C022F">
        <w:rPr>
          <w:rFonts w:cs="Arial"/>
          <w:rtl/>
        </w:rPr>
        <w:t xml:space="preserve">. גופא, </w:t>
      </w:r>
      <w:r w:rsidRPr="007C022F">
        <w:rPr>
          <w:rFonts w:cs="Arial"/>
          <w:u w:val="single"/>
          <w:rtl/>
        </w:rPr>
        <w:t>אמר רבין בר שמואל משמיה דשמואל</w:t>
      </w:r>
      <w:r w:rsidRPr="00F96D46">
        <w:rPr>
          <w:rFonts w:cs="Arial"/>
          <w:rtl/>
        </w:rPr>
        <w:t>: המוכר שדה לחבירו שלא באחריות - אין מעיד לו עליה, מפני שמעמידה בפני בעל חובו. היכי דמי?</w:t>
      </w:r>
      <w:r w:rsidRPr="00F96D46">
        <w:rPr>
          <w:rtl/>
        </w:rPr>
        <w:t xml:space="preserve"> </w:t>
      </w:r>
      <w:r>
        <w:rPr>
          <w:rFonts w:cs="Arial" w:hint="cs"/>
          <w:sz w:val="14"/>
          <w:szCs w:val="14"/>
          <w:rtl/>
        </w:rPr>
        <w:t xml:space="preserve">(מה.) </w:t>
      </w:r>
      <w:r w:rsidRPr="00F96D46">
        <w:rPr>
          <w:rFonts w:cs="Arial"/>
          <w:rtl/>
        </w:rPr>
        <w:t>אי דאית ליה ארעא אחריתי, עליה דידיה הדר! אי דלית ליה ארעא אחריתי, מאי נפקא ליה מינה</w:t>
      </w:r>
      <w:r>
        <w:rPr>
          <w:rStyle w:val="ab"/>
          <w:rFonts w:cs="Arial"/>
          <w:rtl/>
        </w:rPr>
        <w:footnoteReference w:id="2740"/>
      </w:r>
      <w:r w:rsidRPr="00F96D46">
        <w:rPr>
          <w:rFonts w:cs="Arial"/>
          <w:rtl/>
        </w:rPr>
        <w:t>? לעולם דלית ליה ארעא אחריתי, דאמר: לא ניחא</w:t>
      </w:r>
      <w:r>
        <w:rPr>
          <w:rStyle w:val="ab"/>
          <w:rFonts w:cs="Arial"/>
          <w:rtl/>
        </w:rPr>
        <w:footnoteReference w:id="2741"/>
      </w:r>
      <w:r w:rsidRPr="00F96D46">
        <w:rPr>
          <w:rFonts w:cs="Arial"/>
          <w:rtl/>
        </w:rPr>
        <w:t xml:space="preserve"> דליהוי לוה רשע ולא ישלם. סוף סוף לגבי אידך נמי לוה רשע ולא ישלם הוא! דאמר: להכי זביני לך שלא באחריות.</w:t>
      </w:r>
    </w:p>
    <w:p w14:paraId="285B1002" w14:textId="77777777" w:rsidR="004B607F" w:rsidRDefault="004B607F" w:rsidP="004B607F">
      <w:pPr>
        <w:rPr>
          <w:rFonts w:cs="Arial"/>
          <w:rtl/>
        </w:rPr>
      </w:pPr>
      <w:r w:rsidRPr="00C904B2">
        <w:rPr>
          <w:rFonts w:cs="Arial"/>
          <w:u w:val="single"/>
          <w:rtl/>
        </w:rPr>
        <w:t xml:space="preserve">ראובן שמכר </w:t>
      </w:r>
      <w:r w:rsidRPr="00D334DB">
        <w:rPr>
          <w:rFonts w:cs="Arial"/>
          <w:b/>
          <w:bCs/>
          <w:u w:val="single"/>
          <w:rtl/>
        </w:rPr>
        <w:t>שדה</w:t>
      </w:r>
      <w:r w:rsidRPr="00C904B2">
        <w:rPr>
          <w:rFonts w:cs="Arial"/>
          <w:u w:val="single"/>
          <w:rtl/>
        </w:rPr>
        <w:t xml:space="preserve"> לשמעון שלא באחריות</w:t>
      </w:r>
      <w:r w:rsidRPr="00C904B2">
        <w:rPr>
          <w:rFonts w:cs="Arial" w:hint="cs"/>
          <w:u w:val="single"/>
          <w:rtl/>
        </w:rPr>
        <w:t xml:space="preserve"> ובא מערער להוציאה משמעון </w:t>
      </w:r>
      <w:r w:rsidRPr="00C904B2">
        <w:rPr>
          <w:rFonts w:cs="Arial"/>
          <w:u w:val="single"/>
          <w:rtl/>
        </w:rPr>
        <w:t>–</w:t>
      </w:r>
      <w:r w:rsidRPr="00C904B2">
        <w:rPr>
          <w:rFonts w:cs="Arial" w:hint="cs"/>
          <w:u w:val="single"/>
          <w:rtl/>
        </w:rPr>
        <w:t xml:space="preserve"> האם יכול </w:t>
      </w:r>
      <w:r>
        <w:rPr>
          <w:rFonts w:cs="Arial" w:hint="cs"/>
          <w:u w:val="single"/>
          <w:rtl/>
        </w:rPr>
        <w:t xml:space="preserve">ראובן </w:t>
      </w:r>
      <w:r w:rsidRPr="00C904B2">
        <w:rPr>
          <w:rFonts w:cs="Arial" w:hint="cs"/>
          <w:u w:val="single"/>
          <w:rtl/>
        </w:rPr>
        <w:t>להעיד ל</w:t>
      </w:r>
      <w:r>
        <w:rPr>
          <w:rFonts w:cs="Arial" w:hint="cs"/>
          <w:u w:val="single"/>
          <w:rtl/>
        </w:rPr>
        <w:t>שמעון</w:t>
      </w:r>
      <w:r w:rsidRPr="00C904B2">
        <w:rPr>
          <w:rFonts w:cs="Arial" w:hint="cs"/>
          <w:u w:val="single"/>
          <w:rtl/>
        </w:rPr>
        <w:t xml:space="preserve"> עליה:</w:t>
      </w:r>
    </w:p>
    <w:p w14:paraId="4881E6AE" w14:textId="77777777" w:rsidR="004B607F" w:rsidRDefault="004B607F" w:rsidP="004B0475">
      <w:pPr>
        <w:pStyle w:val="ac"/>
        <w:numPr>
          <w:ilvl w:val="0"/>
          <w:numId w:val="114"/>
        </w:numPr>
        <w:rPr>
          <w:rFonts w:cs="Arial"/>
        </w:rPr>
      </w:pPr>
      <w:r w:rsidRPr="00C904B2">
        <w:rPr>
          <w:rFonts w:cs="Arial" w:hint="cs"/>
          <w:rtl/>
        </w:rPr>
        <w:t>טור-</w:t>
      </w:r>
      <w:r w:rsidRPr="00C904B2">
        <w:rPr>
          <w:rFonts w:cs="Arial"/>
          <w:rtl/>
        </w:rPr>
        <w:t xml:space="preserve"> ראובן שמכר שדה לשמעון</w:t>
      </w:r>
      <w:r w:rsidRPr="00C904B2">
        <w:rPr>
          <w:rFonts w:cs="Arial" w:hint="cs"/>
          <w:rtl/>
        </w:rPr>
        <w:t>,</w:t>
      </w:r>
      <w:r w:rsidRPr="00C904B2">
        <w:rPr>
          <w:rFonts w:cs="Arial"/>
          <w:rtl/>
        </w:rPr>
        <w:t xml:space="preserve"> ובא לוי לערער עליו לומר שראובן גזלה ממנו</w:t>
      </w:r>
      <w:r>
        <w:rPr>
          <w:rFonts w:cs="Arial" w:hint="cs"/>
          <w:rtl/>
        </w:rPr>
        <w:t xml:space="preserve"> -</w:t>
      </w:r>
      <w:r w:rsidRPr="00C904B2">
        <w:rPr>
          <w:rFonts w:cs="Arial"/>
          <w:rtl/>
        </w:rPr>
        <w:t xml:space="preserve"> פשיטא שראובן אינו יכול להעיד ולפסול עדי לוי אפי' מכרה שלא באחריות</w:t>
      </w:r>
      <w:r>
        <w:rPr>
          <w:rFonts w:cs="Arial" w:hint="cs"/>
          <w:rtl/>
        </w:rPr>
        <w:t>,</w:t>
      </w:r>
      <w:r w:rsidRPr="00C904B2">
        <w:rPr>
          <w:rFonts w:cs="Arial"/>
          <w:rtl/>
        </w:rPr>
        <w:t xml:space="preserve"> שודאי נוגע בעדות הוא דניחא ליה דלא לקרויה גזלנא</w:t>
      </w:r>
      <w:r w:rsidRPr="00C904B2">
        <w:rPr>
          <w:rFonts w:cs="Arial" w:hint="cs"/>
          <w:rtl/>
        </w:rPr>
        <w:t>,</w:t>
      </w:r>
      <w:r w:rsidRPr="00C904B2">
        <w:rPr>
          <w:rFonts w:cs="Arial"/>
          <w:rtl/>
        </w:rPr>
        <w:t xml:space="preserve"> אלא אפי' אם אין טוען לוי שראובן בעצמו גזלה אלא שקנאו ממי שגזלה ממנו</w:t>
      </w:r>
      <w:r>
        <w:rPr>
          <w:rFonts w:cs="Arial" w:hint="cs"/>
          <w:rtl/>
        </w:rPr>
        <w:t xml:space="preserve"> -</w:t>
      </w:r>
      <w:r w:rsidRPr="00C904B2">
        <w:rPr>
          <w:rFonts w:cs="Arial"/>
          <w:rtl/>
        </w:rPr>
        <w:t xml:space="preserve"> אפ"ה אין ראובן מעיד להעמידה ביד שמעון</w:t>
      </w:r>
      <w:r>
        <w:rPr>
          <w:rFonts w:cs="Arial" w:hint="cs"/>
          <w:rtl/>
        </w:rPr>
        <w:t>,</w:t>
      </w:r>
      <w:r w:rsidRPr="00C904B2">
        <w:rPr>
          <w:rFonts w:cs="Arial"/>
          <w:rtl/>
        </w:rPr>
        <w:t xml:space="preserve"> אע</w:t>
      </w:r>
      <w:r w:rsidRPr="00C904B2">
        <w:rPr>
          <w:rFonts w:cs="Arial" w:hint="cs"/>
          <w:rtl/>
        </w:rPr>
        <w:t>"</w:t>
      </w:r>
      <w:r w:rsidRPr="00C904B2">
        <w:rPr>
          <w:rFonts w:cs="Arial"/>
          <w:rtl/>
        </w:rPr>
        <w:t>פ שמכרה לו שלא באח</w:t>
      </w:r>
      <w:r>
        <w:rPr>
          <w:rFonts w:cs="Arial" w:hint="cs"/>
          <w:rtl/>
        </w:rPr>
        <w:t>ר</w:t>
      </w:r>
      <w:r w:rsidRPr="00C904B2">
        <w:rPr>
          <w:rFonts w:cs="Arial"/>
          <w:rtl/>
        </w:rPr>
        <w:t xml:space="preserve">יות </w:t>
      </w:r>
      <w:r w:rsidRPr="00C904B2">
        <w:rPr>
          <w:rFonts w:cs="Arial"/>
          <w:sz w:val="16"/>
          <w:szCs w:val="16"/>
          <w:rtl/>
        </w:rPr>
        <w:t>(או באחריות</w:t>
      </w:r>
      <w:r w:rsidRPr="009E313B">
        <w:rPr>
          <w:rStyle w:val="ab"/>
          <w:rFonts w:cs="Arial"/>
          <w:sz w:val="16"/>
          <w:szCs w:val="16"/>
          <w:rtl/>
        </w:rPr>
        <w:footnoteReference w:id="2742"/>
      </w:r>
      <w:r w:rsidRPr="00C904B2">
        <w:rPr>
          <w:rFonts w:cs="Arial"/>
          <w:sz w:val="16"/>
          <w:szCs w:val="16"/>
          <w:rtl/>
        </w:rPr>
        <w:t xml:space="preserve">) </w:t>
      </w:r>
      <w:r w:rsidRPr="00C904B2">
        <w:rPr>
          <w:rFonts w:cs="Arial"/>
          <w:rtl/>
        </w:rPr>
        <w:t>ושמעון מכיר שזו השדה היתה של ראובן ושל אבותיו מעולם</w:t>
      </w:r>
      <w:r>
        <w:rPr>
          <w:rStyle w:val="ab"/>
          <w:rFonts w:cs="Arial"/>
          <w:rtl/>
        </w:rPr>
        <w:footnoteReference w:id="2743"/>
      </w:r>
      <w:r w:rsidRPr="00C904B2">
        <w:rPr>
          <w:rFonts w:cs="Arial"/>
          <w:rtl/>
        </w:rPr>
        <w:t xml:space="preserve"> אלא שלוי בא להוציאה מידו בעדים שקרים והודה בזה ונמצא שאפי' אם יוציאנה לוי מידו אינו חוזר על ראובן</w:t>
      </w:r>
      <w:r>
        <w:rPr>
          <w:rStyle w:val="ab"/>
          <w:rFonts w:cs="Arial"/>
          <w:rtl/>
        </w:rPr>
        <w:footnoteReference w:id="2744"/>
      </w:r>
      <w:r w:rsidRPr="00C904B2">
        <w:rPr>
          <w:rFonts w:cs="Arial"/>
          <w:rtl/>
        </w:rPr>
        <w:t xml:space="preserve"> </w:t>
      </w:r>
      <w:r>
        <w:rPr>
          <w:rFonts w:cs="Arial" w:hint="cs"/>
          <w:rtl/>
        </w:rPr>
        <w:t xml:space="preserve">- </w:t>
      </w:r>
      <w:r w:rsidRPr="00C904B2">
        <w:rPr>
          <w:rFonts w:cs="Arial"/>
          <w:rtl/>
        </w:rPr>
        <w:t>אפ"ה אינו יכול להעיד לו עליה לפי שהוא חפץ שתשאר בידו שאם יבא בעל חובו של ראובן ליפרע מראובן ולא ימצא לו כלום שיטרפנה משמעון ולא יהיה לוה רשע ולא ישלם</w:t>
      </w:r>
      <w:r>
        <w:rPr>
          <w:rFonts w:cs="Arial" w:hint="cs"/>
          <w:rtl/>
        </w:rPr>
        <w:t>.</w:t>
      </w:r>
      <w:r w:rsidRPr="00C904B2">
        <w:rPr>
          <w:rFonts w:cs="Arial"/>
          <w:rtl/>
        </w:rPr>
        <w:t xml:space="preserve"> ולגבי שמעון הלוקח אינו </w:t>
      </w:r>
      <w:r w:rsidRPr="00C904B2">
        <w:rPr>
          <w:rFonts w:cs="Arial"/>
          <w:rtl/>
        </w:rPr>
        <w:lastRenderedPageBreak/>
        <w:t>לוה רשע ולא ישלם שהרי מכרה לו שלא באחריות</w:t>
      </w:r>
      <w:r>
        <w:rPr>
          <w:rFonts w:cs="Arial" w:hint="cs"/>
          <w:rtl/>
        </w:rPr>
        <w:t>.</w:t>
      </w:r>
      <w:r w:rsidRPr="00C904B2">
        <w:rPr>
          <w:rFonts w:cs="Arial"/>
          <w:rtl/>
        </w:rPr>
        <w:t xml:space="preserve"> ואפי' אם קנה השדה ומכרה מיד ולא לוה בנתיים אפ"ה חיישינן שמא ל</w:t>
      </w:r>
      <w:r>
        <w:rPr>
          <w:rFonts w:cs="Arial" w:hint="cs"/>
          <w:rtl/>
        </w:rPr>
        <w:t>ַ</w:t>
      </w:r>
      <w:r w:rsidRPr="00C904B2">
        <w:rPr>
          <w:rFonts w:cs="Arial"/>
          <w:rtl/>
        </w:rPr>
        <w:t>ו</w:t>
      </w:r>
      <w:r>
        <w:rPr>
          <w:rFonts w:cs="Arial" w:hint="cs"/>
          <w:rtl/>
        </w:rPr>
        <w:t>ָ</w:t>
      </w:r>
      <w:r w:rsidRPr="00C904B2">
        <w:rPr>
          <w:rFonts w:cs="Arial"/>
          <w:rtl/>
        </w:rPr>
        <w:t>ה קודם שקנאו וכתב למלוה דאקני וקי"ל דאקני וקנה ומכר משתעבד</w:t>
      </w:r>
      <w:r>
        <w:rPr>
          <w:rFonts w:cs="Arial" w:hint="cs"/>
          <w:rtl/>
        </w:rPr>
        <w:t>.</w:t>
      </w:r>
      <w:r w:rsidRPr="00C904B2">
        <w:rPr>
          <w:rFonts w:cs="Arial"/>
          <w:rtl/>
        </w:rPr>
        <w:t xml:space="preserve"> ואפילו אם אין אנו יודעין לו שום ב"ח או שאם יודעין שיש לו קרקע המספקת כנגד חובו אפ"ה אינו מעי</w:t>
      </w:r>
      <w:r>
        <w:rPr>
          <w:rFonts w:cs="Arial" w:hint="cs"/>
          <w:rtl/>
        </w:rPr>
        <w:t>ד,</w:t>
      </w:r>
      <w:r w:rsidRPr="00C904B2">
        <w:rPr>
          <w:rFonts w:cs="Arial"/>
          <w:rtl/>
        </w:rPr>
        <w:t xml:space="preserve"> שאנו חוששין שמא יש לו עליו חובות שאינן ידועין לנו</w:t>
      </w:r>
      <w:r>
        <w:rPr>
          <w:rStyle w:val="ab"/>
          <w:rFonts w:cs="Arial"/>
          <w:rtl/>
        </w:rPr>
        <w:footnoteReference w:id="2745"/>
      </w:r>
      <w:r w:rsidRPr="00C904B2">
        <w:rPr>
          <w:rFonts w:cs="Arial" w:hint="cs"/>
          <w:rtl/>
        </w:rPr>
        <w:t>,</w:t>
      </w:r>
      <w:r w:rsidRPr="00C904B2">
        <w:rPr>
          <w:rFonts w:cs="Arial"/>
          <w:rtl/>
        </w:rPr>
        <w:t xml:space="preserve"> או שמא עשה זה השדה אפותיקי מפורש שנמצא אפי' שיש בידו שדות אחרות אינו יכול לגבות אלא מזו</w:t>
      </w:r>
      <w:r>
        <w:rPr>
          <w:rStyle w:val="ab"/>
          <w:rFonts w:cs="Arial"/>
          <w:rtl/>
        </w:rPr>
        <w:footnoteReference w:id="2746"/>
      </w:r>
      <w:r w:rsidRPr="00C904B2">
        <w:rPr>
          <w:rFonts w:cs="Arial" w:hint="cs"/>
          <w:rtl/>
        </w:rPr>
        <w:t>.</w:t>
      </w:r>
      <w:r w:rsidRPr="00C904B2">
        <w:rPr>
          <w:rFonts w:cs="Arial"/>
          <w:rtl/>
        </w:rPr>
        <w:t xml:space="preserve"> </w:t>
      </w:r>
      <w:r w:rsidRPr="00EF17EE">
        <w:rPr>
          <w:rFonts w:cs="Arial" w:hint="cs"/>
          <w:color w:val="E36C0A" w:themeColor="accent6" w:themeShade="BF"/>
          <w:rtl/>
        </w:rPr>
        <w:t>(וכ"פ בשו"ע)</w:t>
      </w:r>
      <w:r>
        <w:rPr>
          <w:rFonts w:cs="Arial" w:hint="cs"/>
          <w:rtl/>
        </w:rPr>
        <w:t xml:space="preserve"> </w:t>
      </w:r>
    </w:p>
    <w:p w14:paraId="3A7B85C4" w14:textId="77777777" w:rsidR="004B607F" w:rsidRPr="00FF7FE9" w:rsidRDefault="004B607F" w:rsidP="004B607F">
      <w:pPr>
        <w:ind w:left="360"/>
        <w:rPr>
          <w:rFonts w:cs="Arial"/>
          <w:u w:val="dotted"/>
        </w:rPr>
      </w:pPr>
      <w:r w:rsidRPr="00FF7FE9">
        <w:rPr>
          <w:rFonts w:cs="Arial" w:hint="cs"/>
          <w:u w:val="dotted"/>
          <w:rtl/>
        </w:rPr>
        <w:t>ומה הדין</w:t>
      </w:r>
      <w:r>
        <w:rPr>
          <w:rFonts w:cs="Arial" w:hint="cs"/>
          <w:u w:val="dotted"/>
          <w:rtl/>
        </w:rPr>
        <w:t xml:space="preserve"> </w:t>
      </w:r>
      <w:r w:rsidRPr="00FF7FE9">
        <w:rPr>
          <w:rFonts w:cs="Arial" w:hint="cs"/>
          <w:u w:val="dotted"/>
          <w:rtl/>
        </w:rPr>
        <w:t>אם המערער בא מכח הלוקח ולא מכח המוכר:</w:t>
      </w:r>
    </w:p>
    <w:p w14:paraId="2FC780E7" w14:textId="77777777" w:rsidR="004B607F" w:rsidRPr="00C904B2" w:rsidRDefault="004B607F" w:rsidP="004B0475">
      <w:pPr>
        <w:pStyle w:val="ac"/>
        <w:numPr>
          <w:ilvl w:val="0"/>
          <w:numId w:val="114"/>
        </w:numPr>
        <w:rPr>
          <w:rFonts w:cs="Arial"/>
          <w:rtl/>
        </w:rPr>
      </w:pPr>
      <w:r>
        <w:rPr>
          <w:rFonts w:cs="Arial" w:hint="cs"/>
          <w:rtl/>
        </w:rPr>
        <w:t xml:space="preserve">טור- </w:t>
      </w:r>
      <w:r w:rsidRPr="00C904B2">
        <w:rPr>
          <w:rFonts w:cs="Arial"/>
          <w:rtl/>
        </w:rPr>
        <w:t>ואם אין המערער בא מכח המוכר אלא מכח שמעון הלוקח</w:t>
      </w:r>
      <w:r>
        <w:rPr>
          <w:rFonts w:cs="Arial" w:hint="cs"/>
          <w:rtl/>
        </w:rPr>
        <w:t>,</w:t>
      </w:r>
      <w:r w:rsidRPr="00C904B2">
        <w:rPr>
          <w:rFonts w:cs="Arial"/>
          <w:rtl/>
        </w:rPr>
        <w:t xml:space="preserve"> כגון שיש לו חוב או שום תביעה עליו</w:t>
      </w:r>
      <w:r>
        <w:rPr>
          <w:rFonts w:cs="Arial" w:hint="cs"/>
          <w:rtl/>
        </w:rPr>
        <w:t xml:space="preserve"> -</w:t>
      </w:r>
      <w:r w:rsidRPr="00C904B2">
        <w:rPr>
          <w:rFonts w:cs="Arial"/>
          <w:rtl/>
        </w:rPr>
        <w:t xml:space="preserve"> אז יכול ראובן להעיד</w:t>
      </w:r>
      <w:r>
        <w:rPr>
          <w:rFonts w:cs="Arial" w:hint="cs"/>
          <w:rtl/>
        </w:rPr>
        <w:t>,</w:t>
      </w:r>
      <w:r w:rsidRPr="00C904B2">
        <w:rPr>
          <w:rFonts w:cs="Arial"/>
          <w:rtl/>
        </w:rPr>
        <w:t xml:space="preserve"> שאינו נוגע בעדות כלל</w:t>
      </w:r>
      <w:r>
        <w:rPr>
          <w:rFonts w:cs="Arial" w:hint="cs"/>
          <w:rtl/>
        </w:rPr>
        <w:t>,</w:t>
      </w:r>
      <w:r w:rsidRPr="00C904B2">
        <w:rPr>
          <w:rFonts w:cs="Arial"/>
          <w:rtl/>
        </w:rPr>
        <w:t xml:space="preserve"> שבעל חובו יכול להוציאו מיד לוי המערער כמו מיד שמעון</w:t>
      </w:r>
      <w:r>
        <w:rPr>
          <w:rStyle w:val="ab"/>
          <w:rFonts w:cs="Arial"/>
          <w:rtl/>
        </w:rPr>
        <w:footnoteReference w:id="2747"/>
      </w:r>
      <w:r w:rsidRPr="00C904B2">
        <w:rPr>
          <w:rFonts w:cs="Arial" w:hint="cs"/>
          <w:rtl/>
        </w:rPr>
        <w:t>.</w:t>
      </w:r>
      <w:r>
        <w:rPr>
          <w:rFonts w:cs="Arial" w:hint="cs"/>
          <w:rtl/>
        </w:rPr>
        <w:t xml:space="preserve"> </w:t>
      </w:r>
      <w:r w:rsidRPr="002F7996">
        <w:rPr>
          <w:rFonts w:cs="Arial" w:hint="cs"/>
          <w:color w:val="00B0F0"/>
          <w:rtl/>
        </w:rPr>
        <w:t>(וכ"פ הרמ"א)</w:t>
      </w:r>
    </w:p>
    <w:p w14:paraId="13A8E973" w14:textId="77777777" w:rsidR="004B607F" w:rsidRPr="003024E5" w:rsidRDefault="004B607F" w:rsidP="004B607F">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521097D9" w14:textId="77777777" w:rsidR="004B607F" w:rsidRDefault="004B607F" w:rsidP="004B607F">
      <w:pPr>
        <w:rPr>
          <w:rtl/>
        </w:rPr>
      </w:pPr>
      <w:r>
        <w:rPr>
          <w:rFonts w:cs="Arial"/>
          <w:rtl/>
        </w:rPr>
        <w:t>ראובן שמכר שדה לשמעון שלא באחריות, ובא יהודה לערער על שמעון להוציאה מתחת ידו, אין ראובן מעיד לו עליה</w:t>
      </w:r>
      <w:r>
        <w:rPr>
          <w:rFonts w:cs="Arial" w:hint="cs"/>
          <w:rtl/>
        </w:rPr>
        <w:t>,</w:t>
      </w:r>
      <w:r>
        <w:rPr>
          <w:rFonts w:cs="Arial"/>
          <w:rtl/>
        </w:rPr>
        <w:t xml:space="preserve"> אף על פי שאין עליו אחריות הרי הוא רוצה שתעמוד ביד שמעון כדי שיבא בע</w:t>
      </w:r>
      <w:r>
        <w:rPr>
          <w:rFonts w:cs="Arial" w:hint="cs"/>
          <w:rtl/>
        </w:rPr>
        <w:t xml:space="preserve">ל </w:t>
      </w:r>
      <w:r>
        <w:rPr>
          <w:rFonts w:cs="Arial"/>
          <w:rtl/>
        </w:rPr>
        <w:t>ח</w:t>
      </w:r>
      <w:r>
        <w:rPr>
          <w:rFonts w:cs="Arial" w:hint="cs"/>
          <w:rtl/>
        </w:rPr>
        <w:t>וב</w:t>
      </w:r>
      <w:r>
        <w:rPr>
          <w:rFonts w:cs="Arial"/>
          <w:rtl/>
        </w:rPr>
        <w:t xml:space="preserve"> של ראובן ויטרפנה בחובו</w:t>
      </w:r>
      <w:r>
        <w:rPr>
          <w:rStyle w:val="ab"/>
          <w:rFonts w:cs="Arial"/>
          <w:rtl/>
        </w:rPr>
        <w:footnoteReference w:id="2748"/>
      </w:r>
      <w:r>
        <w:rPr>
          <w:rFonts w:cs="Arial"/>
          <w:rtl/>
        </w:rPr>
        <w:t xml:space="preserve"> ולא יהיה לוה רשע ולא ישלם. </w:t>
      </w:r>
      <w:r>
        <w:rPr>
          <w:rFonts w:cs="Arial" w:hint="cs"/>
          <w:sz w:val="18"/>
          <w:szCs w:val="18"/>
          <w:rtl/>
        </w:rPr>
        <w:t xml:space="preserve">[הגה] </w:t>
      </w:r>
      <w:r w:rsidRPr="00D60C1E">
        <w:rPr>
          <w:rFonts w:cs="Arial"/>
          <w:sz w:val="18"/>
          <w:szCs w:val="18"/>
          <w:rtl/>
        </w:rPr>
        <w:t>ודוקא שבא יהודה לערער מכח המוכר, אבל אם בא לערער מכח הלוקח שאמר שחייב לו, אז יוכל המוכר להעיד עליה (טור).</w:t>
      </w:r>
      <w:r>
        <w:rPr>
          <w:rFonts w:cs="Arial"/>
          <w:rtl/>
        </w:rPr>
        <w:t xml:space="preserve"> </w:t>
      </w:r>
    </w:p>
    <w:p w14:paraId="619E4D13" w14:textId="77777777" w:rsidR="004B607F" w:rsidRDefault="004B607F" w:rsidP="004B607F">
      <w:pPr>
        <w:rPr>
          <w:rtl/>
        </w:rPr>
      </w:pPr>
    </w:p>
    <w:p w14:paraId="10FFCBAA" w14:textId="77777777" w:rsidR="004B607F" w:rsidRDefault="004B607F" w:rsidP="004B607F">
      <w:pPr>
        <w:pStyle w:val="2"/>
        <w:rPr>
          <w:rtl/>
        </w:rPr>
      </w:pPr>
      <w:bookmarkStart w:id="372" w:name="_Toc24883817"/>
      <w:r>
        <w:rPr>
          <w:rtl/>
        </w:rPr>
        <w:t>סעיף טז</w:t>
      </w:r>
      <w:r>
        <w:rPr>
          <w:rFonts w:hint="cs"/>
          <w:rtl/>
        </w:rPr>
        <w:t>:</w:t>
      </w:r>
      <w:r w:rsidRPr="00861CC6">
        <w:rPr>
          <w:rFonts w:cs="Arial"/>
          <w:rtl/>
        </w:rPr>
        <w:t xml:space="preserve"> </w:t>
      </w:r>
      <w:r w:rsidRPr="00C904B2">
        <w:rPr>
          <w:rFonts w:cs="Arial"/>
          <w:rtl/>
        </w:rPr>
        <w:t xml:space="preserve">ראובן מכר </w:t>
      </w:r>
      <w:r>
        <w:rPr>
          <w:rFonts w:cs="Arial" w:hint="cs"/>
          <w:rtl/>
        </w:rPr>
        <w:t>פרה או טלית</w:t>
      </w:r>
      <w:r w:rsidRPr="00C904B2">
        <w:rPr>
          <w:rFonts w:cs="Arial"/>
          <w:rtl/>
        </w:rPr>
        <w:t xml:space="preserve"> לשמעון שלא באחריות</w:t>
      </w:r>
      <w:r>
        <w:rPr>
          <w:rFonts w:cs="Arial" w:hint="cs"/>
          <w:rtl/>
        </w:rPr>
        <w:t xml:space="preserve"> ורוצה להעיד לשמעון עליה.</w:t>
      </w:r>
      <w:bookmarkEnd w:id="372"/>
    </w:p>
    <w:p w14:paraId="4034F29A" w14:textId="77777777" w:rsidR="004B607F" w:rsidRDefault="004B607F" w:rsidP="004B607F">
      <w:pPr>
        <w:rPr>
          <w:rFonts w:cs="Arial"/>
          <w:rtl/>
        </w:rPr>
      </w:pPr>
      <w:r w:rsidRPr="00CE2EF4">
        <w:rPr>
          <w:rFonts w:cs="Arial" w:hint="cs"/>
          <w:b/>
          <w:bCs/>
          <w:rtl/>
        </w:rPr>
        <w:t xml:space="preserve">בבא בתרא </w:t>
      </w:r>
      <w:r w:rsidRPr="00CE2EF4">
        <w:rPr>
          <w:rFonts w:cs="Arial" w:hint="cs"/>
          <w:b/>
          <w:bCs/>
          <w:sz w:val="16"/>
          <w:szCs w:val="16"/>
          <w:rtl/>
        </w:rPr>
        <w:t>(</w:t>
      </w:r>
      <w:r>
        <w:rPr>
          <w:rFonts w:cs="Arial" w:hint="cs"/>
          <w:b/>
          <w:bCs/>
          <w:sz w:val="16"/>
          <w:szCs w:val="16"/>
          <w:rtl/>
        </w:rPr>
        <w:t>פרק חזקת הבתים</w:t>
      </w:r>
      <w:r w:rsidRPr="00CE2EF4">
        <w:rPr>
          <w:rFonts w:cs="Arial" w:hint="cs"/>
          <w:b/>
          <w:bCs/>
          <w:sz w:val="16"/>
          <w:szCs w:val="16"/>
          <w:rtl/>
        </w:rPr>
        <w:t xml:space="preserve">) </w:t>
      </w:r>
      <w:r>
        <w:rPr>
          <w:rFonts w:cs="Arial" w:hint="cs"/>
          <w:b/>
          <w:bCs/>
          <w:rtl/>
        </w:rPr>
        <w:t>מג</w:t>
      </w:r>
      <w:r>
        <w:rPr>
          <w:rStyle w:val="ab"/>
          <w:rFonts w:cs="Arial"/>
          <w:b/>
          <w:bCs/>
          <w:rtl/>
        </w:rPr>
        <w:footnoteReference w:id="2749"/>
      </w:r>
      <w:r w:rsidRPr="00CE2EF4">
        <w:rPr>
          <w:rFonts w:cs="Arial" w:hint="cs"/>
          <w:b/>
          <w:bCs/>
          <w:rtl/>
        </w:rPr>
        <w:t xml:space="preserve"> ע"</w:t>
      </w:r>
      <w:r>
        <w:rPr>
          <w:rFonts w:cs="Arial" w:hint="cs"/>
          <w:b/>
          <w:bCs/>
          <w:rtl/>
        </w:rPr>
        <w:t>ב</w:t>
      </w:r>
      <w:r w:rsidRPr="00CE2EF4">
        <w:rPr>
          <w:rFonts w:cs="Arial" w:hint="cs"/>
          <w:b/>
          <w:bCs/>
          <w:rtl/>
        </w:rPr>
        <w:t>:</w:t>
      </w:r>
      <w:r w:rsidRPr="00022365">
        <w:rPr>
          <w:rFonts w:cs="Arial"/>
          <w:rtl/>
        </w:rPr>
        <w:t xml:space="preserve"> </w:t>
      </w:r>
      <w:r w:rsidRPr="00D334DB">
        <w:rPr>
          <w:rFonts w:cs="Arial"/>
          <w:rtl/>
        </w:rPr>
        <w:t>תנו רבנן: מכר לו בית, מכר לו שדה - אין מעיד לו עליה, מפני שאחריותו עליו</w:t>
      </w:r>
      <w:r>
        <w:rPr>
          <w:rFonts w:cs="Arial" w:hint="cs"/>
          <w:rtl/>
        </w:rPr>
        <w:t>.</w:t>
      </w:r>
      <w:r w:rsidRPr="00D334DB">
        <w:rPr>
          <w:rFonts w:cs="Arial"/>
          <w:rtl/>
        </w:rPr>
        <w:t xml:space="preserve"> מכר לו פרה, מכר לו טלית - מעיד לו עליה, מפני שאין </w:t>
      </w:r>
      <w:r w:rsidRPr="002817A3">
        <w:rPr>
          <w:rFonts w:cs="Arial"/>
          <w:rtl/>
        </w:rPr>
        <w:t>אחריותו עליו. מאי שנא רישא ומאי שנא סיפא?</w:t>
      </w:r>
      <w:r w:rsidRPr="002817A3">
        <w:rPr>
          <w:rFonts w:cs="Arial" w:hint="cs"/>
          <w:rtl/>
        </w:rPr>
        <w:t>..</w:t>
      </w:r>
      <w:r w:rsidRPr="002817A3">
        <w:rPr>
          <w:rFonts w:cs="Arial"/>
          <w:rtl/>
        </w:rPr>
        <w:t xml:space="preserve">. </w:t>
      </w:r>
      <w:r w:rsidRPr="002817A3">
        <w:rPr>
          <w:rFonts w:cs="Arial" w:hint="cs"/>
          <w:sz w:val="14"/>
          <w:szCs w:val="14"/>
          <w:rtl/>
        </w:rPr>
        <w:t>(מד.)</w:t>
      </w:r>
      <w:r w:rsidRPr="002817A3">
        <w:rPr>
          <w:rFonts w:cs="Arial"/>
          <w:sz w:val="16"/>
          <w:szCs w:val="16"/>
          <w:rtl/>
        </w:rPr>
        <w:softHyphen/>
      </w:r>
      <w:r w:rsidRPr="002817A3">
        <w:rPr>
          <w:rFonts w:cs="Arial"/>
          <w:sz w:val="16"/>
          <w:szCs w:val="16"/>
          <w:rtl/>
        </w:rPr>
        <w:softHyphen/>
      </w:r>
      <w:r w:rsidRPr="002817A3">
        <w:rPr>
          <w:rFonts w:cs="Arial" w:hint="cs"/>
          <w:rtl/>
        </w:rPr>
        <w:t xml:space="preserve"> </w:t>
      </w:r>
      <w:r w:rsidRPr="002817A3">
        <w:rPr>
          <w:rFonts w:cs="Arial"/>
          <w:rtl/>
        </w:rPr>
        <w:t>כדרבין בר שמואל, דאמר רבין בר שמואל משמיה דשמואל: המוכר שדה לחבירו שלא באחריות - אין מעיד לו עליה, מפני שמעמידה בפני בעל חובו</w:t>
      </w:r>
      <w:r w:rsidRPr="002817A3">
        <w:rPr>
          <w:rFonts w:cs="Arial" w:hint="cs"/>
          <w:rtl/>
        </w:rPr>
        <w:t>,</w:t>
      </w:r>
      <w:r w:rsidRPr="002817A3">
        <w:rPr>
          <w:rFonts w:cs="Arial"/>
          <w:rtl/>
        </w:rPr>
        <w:t xml:space="preserve"> ודוקא בית או שדה, אבל פרה וטלית</w:t>
      </w:r>
      <w:r>
        <w:rPr>
          <w:rFonts w:cs="Arial" w:hint="cs"/>
          <w:rtl/>
        </w:rPr>
        <w:t xml:space="preserve"> -</w:t>
      </w:r>
      <w:r w:rsidRPr="007246B9">
        <w:rPr>
          <w:rFonts w:cs="Arial"/>
          <w:rtl/>
        </w:rPr>
        <w:t xml:space="preserve"> לא מיבעיא</w:t>
      </w:r>
      <w:r>
        <w:rPr>
          <w:rFonts w:cs="Arial" w:hint="cs"/>
          <w:sz w:val="14"/>
          <w:szCs w:val="14"/>
          <w:rtl/>
        </w:rPr>
        <w:t xml:space="preserve"> (מד:)</w:t>
      </w:r>
      <w:r>
        <w:rPr>
          <w:rFonts w:cs="Arial" w:hint="cs"/>
          <w:rtl/>
        </w:rPr>
        <w:t xml:space="preserve"> </w:t>
      </w:r>
      <w:r w:rsidRPr="007246B9">
        <w:rPr>
          <w:rFonts w:cs="Arial"/>
          <w:rtl/>
        </w:rPr>
        <w:t>בסתמא</w:t>
      </w:r>
      <w:r>
        <w:rPr>
          <w:rFonts w:cs="Arial" w:hint="cs"/>
          <w:rtl/>
        </w:rPr>
        <w:t>,</w:t>
      </w:r>
      <w:r w:rsidRPr="007246B9">
        <w:rPr>
          <w:rFonts w:cs="Arial"/>
          <w:rtl/>
        </w:rPr>
        <w:t xml:space="preserve"> דלא משתעבדא ליה, מאי טעמא? מטלטלי נינהו, ומטלטלי לבע"ח לא משתעבדי, ואף על גב דכתב ליה מגלימא דעל כתפיה, הני מילי דאיתנהו בעינייהו, אבל ליתנהו בעינייהו לא; אלא אפילו עשאו אפותיקי נמי לא, מאי טעמא? כדרבא, דאמר רבא: עשה עבדו אפותיקי ומכרו - בעל חוב גובה ממנו, שורו וחמורו אפותיקי ומכרו - אין בעל חוב גובה הימנו, מאי טעמא? האי אית ליה קלא, והא לית ליה קלא. וליחוש דלמא אקני ליה מטלטלי אגב מקרקעי, דאמר רבה: אי אקני ליה מטלטלי אגב מקרקעי - קני מקרקעי קני מטלטלי, ואמר רב חסדא: והוא דכתב ליה דלא כאסמכתא ודלא כטופסא דשטרי! הכא במאי עסקינן - כגון שלקח ומכר לאלתר. וליחוש דילמא דאיקני הוא, שמעת מינה: דאיקני, קנה ומכר, קנה והוריש - לא משתעבד! לא צריכא, דקאמרי עדים: ידעינן ביה בהאי דלא הוה ליה ארעא מעולם. </w:t>
      </w:r>
      <w:r w:rsidRPr="002817A3">
        <w:rPr>
          <w:rFonts w:cs="Arial"/>
          <w:u w:val="single"/>
          <w:rtl/>
        </w:rPr>
        <w:t>והאמר רב פפא</w:t>
      </w:r>
      <w:r>
        <w:rPr>
          <w:rFonts w:cs="Arial" w:hint="cs"/>
          <w:rtl/>
        </w:rPr>
        <w:t>:</w:t>
      </w:r>
      <w:r w:rsidRPr="007246B9">
        <w:rPr>
          <w:rFonts w:cs="Arial"/>
          <w:rtl/>
        </w:rPr>
        <w:t xml:space="preserve"> אף על גב דאמור רבנן המוכר שדה לחבירו שלא באחריות ובא בע"ח וטרפה - אינו חוזר עליו, נמצאת שאינה שלו - חוזר עליו</w:t>
      </w:r>
      <w:r>
        <w:rPr>
          <w:rStyle w:val="ab"/>
          <w:rFonts w:cs="Arial"/>
          <w:rtl/>
        </w:rPr>
        <w:footnoteReference w:id="2750"/>
      </w:r>
      <w:r>
        <w:rPr>
          <w:rFonts w:cs="Arial" w:hint="cs"/>
          <w:rtl/>
        </w:rPr>
        <w:t>,</w:t>
      </w:r>
      <w:r w:rsidRPr="007246B9">
        <w:rPr>
          <w:rFonts w:cs="Arial"/>
          <w:rtl/>
        </w:rPr>
        <w:t xml:space="preserve"> הכא במאי עסקינן - במכיר בה שהיא בת חמורו</w:t>
      </w:r>
      <w:r>
        <w:rPr>
          <w:rStyle w:val="ab"/>
          <w:rFonts w:cs="Arial"/>
          <w:rtl/>
        </w:rPr>
        <w:footnoteReference w:id="2751"/>
      </w:r>
      <w:r w:rsidRPr="007246B9">
        <w:rPr>
          <w:rFonts w:cs="Arial"/>
          <w:rtl/>
        </w:rPr>
        <w:t xml:space="preserve">. </w:t>
      </w:r>
      <w:r w:rsidRPr="002817A3">
        <w:rPr>
          <w:rFonts w:cs="Arial"/>
          <w:u w:val="single"/>
          <w:rtl/>
        </w:rPr>
        <w:t>ורב זביד אמר</w:t>
      </w:r>
      <w:r w:rsidRPr="007246B9">
        <w:rPr>
          <w:rFonts w:cs="Arial"/>
          <w:rtl/>
        </w:rPr>
        <w:t>: אפילו נמצאת שאינה שלו - אינו חוזר עליו, דא"ל: להכי זביני לך שלא באחריות.</w:t>
      </w:r>
    </w:p>
    <w:p w14:paraId="4A4BE07A" w14:textId="77777777" w:rsidR="004B607F" w:rsidRDefault="004B607F" w:rsidP="004B607F">
      <w:pPr>
        <w:rPr>
          <w:rFonts w:cs="Arial"/>
          <w:rtl/>
        </w:rPr>
      </w:pPr>
      <w:r w:rsidRPr="00C904B2">
        <w:rPr>
          <w:rFonts w:cs="Arial"/>
          <w:u w:val="single"/>
          <w:rtl/>
        </w:rPr>
        <w:t xml:space="preserve">ראובן שמכר </w:t>
      </w:r>
      <w:r w:rsidRPr="00D334DB">
        <w:rPr>
          <w:rFonts w:cs="Arial" w:hint="cs"/>
          <w:b/>
          <w:bCs/>
          <w:u w:val="single"/>
          <w:rtl/>
        </w:rPr>
        <w:t>פרה</w:t>
      </w:r>
      <w:r w:rsidRPr="00C904B2">
        <w:rPr>
          <w:rFonts w:cs="Arial"/>
          <w:u w:val="single"/>
          <w:rtl/>
        </w:rPr>
        <w:t xml:space="preserve"> לשמעון שלא באחריות</w:t>
      </w:r>
      <w:r w:rsidRPr="00C904B2">
        <w:rPr>
          <w:rFonts w:cs="Arial" w:hint="cs"/>
          <w:u w:val="single"/>
          <w:rtl/>
        </w:rPr>
        <w:t xml:space="preserve"> ובא מערער להוציאה משמעון </w:t>
      </w:r>
      <w:r w:rsidRPr="00C904B2">
        <w:rPr>
          <w:rFonts w:cs="Arial"/>
          <w:u w:val="single"/>
          <w:rtl/>
        </w:rPr>
        <w:t>–</w:t>
      </w:r>
      <w:r w:rsidRPr="00C904B2">
        <w:rPr>
          <w:rFonts w:cs="Arial" w:hint="cs"/>
          <w:u w:val="single"/>
          <w:rtl/>
        </w:rPr>
        <w:t xml:space="preserve"> האם יכול </w:t>
      </w:r>
      <w:r>
        <w:rPr>
          <w:rFonts w:cs="Arial" w:hint="cs"/>
          <w:u w:val="single"/>
          <w:rtl/>
        </w:rPr>
        <w:t xml:space="preserve">ראובן </w:t>
      </w:r>
      <w:r w:rsidRPr="00C904B2">
        <w:rPr>
          <w:rFonts w:cs="Arial" w:hint="cs"/>
          <w:u w:val="single"/>
          <w:rtl/>
        </w:rPr>
        <w:t>להעיד ל</w:t>
      </w:r>
      <w:r>
        <w:rPr>
          <w:rFonts w:cs="Arial" w:hint="cs"/>
          <w:u w:val="single"/>
          <w:rtl/>
        </w:rPr>
        <w:t>שמעון</w:t>
      </w:r>
      <w:r w:rsidRPr="00C904B2">
        <w:rPr>
          <w:rFonts w:cs="Arial" w:hint="cs"/>
          <w:u w:val="single"/>
          <w:rtl/>
        </w:rPr>
        <w:t xml:space="preserve"> עליה:</w:t>
      </w:r>
    </w:p>
    <w:p w14:paraId="5BEF7CB0" w14:textId="77777777" w:rsidR="004B607F" w:rsidRDefault="004B607F" w:rsidP="004B0475">
      <w:pPr>
        <w:pStyle w:val="ac"/>
        <w:numPr>
          <w:ilvl w:val="0"/>
          <w:numId w:val="114"/>
        </w:numPr>
        <w:rPr>
          <w:rFonts w:cs="Arial"/>
        </w:rPr>
      </w:pPr>
      <w:r w:rsidRPr="00D334DB">
        <w:rPr>
          <w:rFonts w:cs="Arial"/>
          <w:rtl/>
        </w:rPr>
        <w:t>ט</w:t>
      </w:r>
      <w:r w:rsidRPr="00D334DB">
        <w:rPr>
          <w:rFonts w:cs="Arial" w:hint="cs"/>
          <w:rtl/>
        </w:rPr>
        <w:t>ור-</w:t>
      </w:r>
      <w:r w:rsidRPr="00D334DB">
        <w:rPr>
          <w:rFonts w:cs="Arial"/>
          <w:rtl/>
        </w:rPr>
        <w:t xml:space="preserve"> מכר לו ראובן פרה או טלית שלא באחריות</w:t>
      </w:r>
      <w:r w:rsidRPr="00D334DB">
        <w:rPr>
          <w:rFonts w:cs="Arial" w:hint="cs"/>
          <w:rtl/>
        </w:rPr>
        <w:t>,</w:t>
      </w:r>
      <w:r w:rsidRPr="00D334DB">
        <w:rPr>
          <w:rFonts w:cs="Arial"/>
          <w:rtl/>
        </w:rPr>
        <w:t xml:space="preserve"> ובא לוי לערער עליה להוציאה מידו בטענה שקנאה מגזלן</w:t>
      </w:r>
      <w:r>
        <w:rPr>
          <w:rFonts w:cs="Arial" w:hint="cs"/>
          <w:rtl/>
        </w:rPr>
        <w:t xml:space="preserve"> - </w:t>
      </w:r>
      <w:r w:rsidRPr="00D334DB">
        <w:rPr>
          <w:rFonts w:cs="Arial"/>
          <w:rtl/>
        </w:rPr>
        <w:t>יכול ראובן להעיד לו</w:t>
      </w:r>
      <w:r>
        <w:rPr>
          <w:rFonts w:cs="Arial" w:hint="cs"/>
          <w:rtl/>
        </w:rPr>
        <w:t>,</w:t>
      </w:r>
      <w:r w:rsidRPr="00D334DB">
        <w:rPr>
          <w:rFonts w:cs="Arial"/>
          <w:rtl/>
        </w:rPr>
        <w:t xml:space="preserve"> שאין לו בזה שום הנאה שתשאר בידו שאפי' יבא בעל חובו אינו יכול לטורפה</w:t>
      </w:r>
      <w:r>
        <w:rPr>
          <w:rFonts w:cs="Arial" w:hint="cs"/>
          <w:rtl/>
        </w:rPr>
        <w:t>,</w:t>
      </w:r>
      <w:r w:rsidRPr="00D334DB">
        <w:rPr>
          <w:rFonts w:cs="Arial"/>
          <w:rtl/>
        </w:rPr>
        <w:t xml:space="preserve"> שאין ב"ח גובה ממטלטלין שביד לוקח אפי' עשאה לו אפותיקי</w:t>
      </w:r>
      <w:r>
        <w:rPr>
          <w:rFonts w:cs="Arial" w:hint="cs"/>
          <w:rtl/>
        </w:rPr>
        <w:t>.</w:t>
      </w:r>
      <w:r w:rsidRPr="00D334DB">
        <w:rPr>
          <w:rFonts w:cs="Arial"/>
          <w:rtl/>
        </w:rPr>
        <w:t xml:space="preserve"> בד"א שיכול להעיד להעמיד המטלטלין בידו </w:t>
      </w:r>
      <w:r w:rsidRPr="00D334DB">
        <w:rPr>
          <w:rFonts w:cs="Arial" w:hint="cs"/>
          <w:rtl/>
        </w:rPr>
        <w:t xml:space="preserve">- </w:t>
      </w:r>
      <w:r w:rsidRPr="00D334DB">
        <w:rPr>
          <w:rFonts w:cs="Arial"/>
          <w:rtl/>
        </w:rPr>
        <w:t>כשעדים מעידים שלא היה לראובן קרקע מעולם</w:t>
      </w:r>
      <w:r>
        <w:rPr>
          <w:rStyle w:val="ab"/>
          <w:rFonts w:cs="Arial"/>
          <w:rtl/>
        </w:rPr>
        <w:footnoteReference w:id="2752"/>
      </w:r>
      <w:r w:rsidRPr="00D334DB">
        <w:rPr>
          <w:rFonts w:cs="Arial" w:hint="cs"/>
          <w:rtl/>
        </w:rPr>
        <w:t>.</w:t>
      </w:r>
      <w:r>
        <w:rPr>
          <w:rFonts w:cs="Arial" w:hint="cs"/>
          <w:rtl/>
        </w:rPr>
        <w:t>.</w:t>
      </w:r>
      <w:r w:rsidRPr="00D334DB">
        <w:rPr>
          <w:rFonts w:cs="Arial" w:hint="cs"/>
          <w:rtl/>
        </w:rPr>
        <w:t>.</w:t>
      </w:r>
      <w:r w:rsidRPr="00D334DB">
        <w:rPr>
          <w:rFonts w:cs="Arial"/>
          <w:rtl/>
        </w:rPr>
        <w:t xml:space="preserve"> אבל אם אין עדים שלא היה לו קרקע אינו יכול להעיד גם על </w:t>
      </w:r>
      <w:r w:rsidRPr="00D334DB">
        <w:rPr>
          <w:rFonts w:cs="Arial"/>
          <w:rtl/>
        </w:rPr>
        <w:lastRenderedPageBreak/>
        <w:t>המטלטלין כי שמא הקנה אותם לבעל חוב אגב קרקע וכתב לו דאקני שנקנו לו מטלטלין אגב קרקע והיה לו קרקע ונשתעבדו לו המטלטלין ונמצא ב"ח יכול לטורפה מן הלקוחות ומעיד כדי להעמידה לפני בעל חובו</w:t>
      </w:r>
      <w:r>
        <w:rPr>
          <w:rStyle w:val="ab"/>
          <w:rFonts w:cs="Arial"/>
          <w:rtl/>
        </w:rPr>
        <w:footnoteReference w:id="2753"/>
      </w:r>
      <w:r w:rsidRPr="00D334DB">
        <w:rPr>
          <w:rFonts w:cs="Arial" w:hint="cs"/>
          <w:rtl/>
        </w:rPr>
        <w:t>.</w:t>
      </w:r>
      <w:r w:rsidRPr="00D334DB">
        <w:rPr>
          <w:rFonts w:cs="Arial"/>
          <w:rtl/>
        </w:rPr>
        <w:t xml:space="preserve"> </w:t>
      </w:r>
    </w:p>
    <w:p w14:paraId="0D8F5A03" w14:textId="77777777" w:rsidR="004B607F" w:rsidRPr="00846A8B" w:rsidRDefault="004B607F" w:rsidP="004B607F">
      <w:pPr>
        <w:ind w:left="360"/>
        <w:rPr>
          <w:rFonts w:cs="Arial"/>
          <w:u w:val="dotted"/>
        </w:rPr>
      </w:pPr>
      <w:r>
        <w:rPr>
          <w:rFonts w:cs="Arial" w:hint="cs"/>
          <w:u w:val="dotted"/>
          <w:rtl/>
        </w:rPr>
        <w:t>האם כדי</w:t>
      </w:r>
      <w:r w:rsidRPr="00846A8B">
        <w:rPr>
          <w:rFonts w:cs="Arial" w:hint="cs"/>
          <w:u w:val="dotted"/>
          <w:rtl/>
        </w:rPr>
        <w:t xml:space="preserve"> </w:t>
      </w:r>
      <w:r>
        <w:rPr>
          <w:rFonts w:cs="Arial" w:hint="cs"/>
          <w:u w:val="dotted"/>
          <w:rtl/>
        </w:rPr>
        <w:t>ש</w:t>
      </w:r>
      <w:r w:rsidRPr="00846A8B">
        <w:rPr>
          <w:rFonts w:cs="Arial" w:hint="cs"/>
          <w:u w:val="dotted"/>
          <w:rtl/>
        </w:rPr>
        <w:t>ראובן</w:t>
      </w:r>
      <w:r>
        <w:rPr>
          <w:rFonts w:cs="Arial" w:hint="cs"/>
          <w:u w:val="dotted"/>
          <w:rtl/>
        </w:rPr>
        <w:t xml:space="preserve"> יעיד לשמעון בעינן שיודה שמעון שזו הפרה היא של ראובן</w:t>
      </w:r>
      <w:r w:rsidRPr="00846A8B">
        <w:rPr>
          <w:rFonts w:cs="Arial" w:hint="cs"/>
          <w:u w:val="dotted"/>
          <w:rtl/>
        </w:rPr>
        <w:t>:</w:t>
      </w:r>
    </w:p>
    <w:p w14:paraId="4F7CD20C" w14:textId="77777777" w:rsidR="004B607F" w:rsidRPr="00861CC6" w:rsidRDefault="004B607F" w:rsidP="004B0475">
      <w:pPr>
        <w:pStyle w:val="ac"/>
        <w:numPr>
          <w:ilvl w:val="0"/>
          <w:numId w:val="114"/>
        </w:numPr>
        <w:rPr>
          <w:rFonts w:cs="Arial"/>
        </w:rPr>
      </w:pPr>
      <w:r w:rsidRPr="00D334DB">
        <w:rPr>
          <w:rFonts w:cs="Arial"/>
          <w:rtl/>
        </w:rPr>
        <w:t xml:space="preserve">רמב"ם </w:t>
      </w:r>
      <w:r w:rsidRPr="002817A3">
        <w:rPr>
          <w:rFonts w:cs="Arial" w:hint="cs"/>
          <w:sz w:val="16"/>
          <w:szCs w:val="16"/>
          <w:rtl/>
        </w:rPr>
        <w:t>(</w:t>
      </w:r>
      <w:r w:rsidRPr="002817A3">
        <w:rPr>
          <w:rFonts w:cs="Arial"/>
          <w:sz w:val="16"/>
          <w:szCs w:val="16"/>
          <w:rtl/>
        </w:rPr>
        <w:t>פט"ז מהל</w:t>
      </w:r>
      <w:r w:rsidRPr="002817A3">
        <w:rPr>
          <w:rFonts w:cs="Arial" w:hint="cs"/>
          <w:sz w:val="16"/>
          <w:szCs w:val="16"/>
          <w:rtl/>
        </w:rPr>
        <w:t>'</w:t>
      </w:r>
      <w:r w:rsidRPr="002817A3">
        <w:rPr>
          <w:rFonts w:cs="Arial"/>
          <w:sz w:val="16"/>
          <w:szCs w:val="16"/>
          <w:rtl/>
        </w:rPr>
        <w:t xml:space="preserve"> עדות ה"ד)</w:t>
      </w:r>
      <w:r>
        <w:rPr>
          <w:rFonts w:cs="Arial" w:hint="cs"/>
          <w:rtl/>
        </w:rPr>
        <w:t xml:space="preserve">- </w:t>
      </w:r>
      <w:r w:rsidRPr="00861CC6">
        <w:rPr>
          <w:rFonts w:cs="Arial"/>
          <w:rtl/>
        </w:rPr>
        <w:t>במה דברים אמורים</w:t>
      </w:r>
      <w:r>
        <w:rPr>
          <w:rFonts w:cs="Arial" w:hint="cs"/>
          <w:sz w:val="16"/>
          <w:szCs w:val="16"/>
          <w:rtl/>
        </w:rPr>
        <w:t xml:space="preserve"> {שמעיד המוכר ללוקח במטלטלין}</w:t>
      </w:r>
      <w:r>
        <w:rPr>
          <w:rFonts w:cs="Arial" w:hint="cs"/>
          <w:rtl/>
        </w:rPr>
        <w:t>,</w:t>
      </w:r>
      <w:r w:rsidRPr="00861CC6">
        <w:rPr>
          <w:rFonts w:cs="Arial"/>
          <w:rtl/>
        </w:rPr>
        <w:t xml:space="preserve"> כשהיה שמעון מודה שזו הפרה והטלית הם של ראובן המוכר בודאי</w:t>
      </w:r>
      <w:r>
        <w:rPr>
          <w:rFonts w:cs="Arial" w:hint="cs"/>
          <w:rtl/>
        </w:rPr>
        <w:t>,</w:t>
      </w:r>
      <w:r w:rsidRPr="00861CC6">
        <w:rPr>
          <w:rFonts w:cs="Arial"/>
          <w:rtl/>
        </w:rPr>
        <w:t xml:space="preserve"> והוא יודע שבאמת הן שלו</w:t>
      </w:r>
      <w:r>
        <w:rPr>
          <w:rStyle w:val="ab"/>
          <w:rFonts w:cs="Arial"/>
          <w:rtl/>
        </w:rPr>
        <w:footnoteReference w:id="2754"/>
      </w:r>
      <w:r>
        <w:rPr>
          <w:rFonts w:cs="Arial" w:hint="cs"/>
          <w:rtl/>
        </w:rPr>
        <w:t>.</w:t>
      </w:r>
      <w:r w:rsidRPr="00861CC6">
        <w:rPr>
          <w:rFonts w:cs="Arial"/>
          <w:rtl/>
        </w:rPr>
        <w:t xml:space="preserve"> אבל אם לא הודה שמעון </w:t>
      </w:r>
      <w:r>
        <w:rPr>
          <w:rFonts w:cs="Arial" w:hint="cs"/>
          <w:rtl/>
        </w:rPr>
        <w:t xml:space="preserve">- </w:t>
      </w:r>
      <w:r w:rsidRPr="00861CC6">
        <w:rPr>
          <w:rFonts w:cs="Arial"/>
          <w:rtl/>
        </w:rPr>
        <w:t>אין ראובן מעיד לאבד זכות יהודה, שאם תצא מתחת ידי שמעון יחזור שמעון ויתבע דמים ויאמר לו מכרת לי דבר שאינו שלך שהרי באו עדים ואמרו שהן של יהודה</w:t>
      </w:r>
      <w:r>
        <w:rPr>
          <w:rFonts w:cs="Arial" w:hint="cs"/>
          <w:sz w:val="16"/>
          <w:szCs w:val="16"/>
          <w:rtl/>
        </w:rPr>
        <w:t xml:space="preserve"> (ל' הרמב"ם)</w:t>
      </w:r>
      <w:r>
        <w:rPr>
          <w:rStyle w:val="ab"/>
          <w:rFonts w:cs="Arial"/>
          <w:rtl/>
        </w:rPr>
        <w:footnoteReference w:id="2755"/>
      </w:r>
      <w:r w:rsidRPr="00861CC6">
        <w:rPr>
          <w:rFonts w:cs="Arial" w:hint="cs"/>
          <w:rtl/>
        </w:rPr>
        <w:t>.</w:t>
      </w:r>
    </w:p>
    <w:p w14:paraId="0292EF9A" w14:textId="77777777" w:rsidR="004B607F" w:rsidRDefault="004B607F" w:rsidP="004B0475">
      <w:pPr>
        <w:pStyle w:val="ac"/>
        <w:numPr>
          <w:ilvl w:val="0"/>
          <w:numId w:val="114"/>
        </w:numPr>
        <w:rPr>
          <w:rFonts w:cs="Arial"/>
        </w:rPr>
      </w:pPr>
      <w:r>
        <w:rPr>
          <w:rFonts w:cs="Arial" w:hint="cs"/>
          <w:rtl/>
        </w:rPr>
        <w:t xml:space="preserve">רי"ף </w:t>
      </w:r>
      <w:r>
        <w:rPr>
          <w:rFonts w:cs="Arial" w:hint="cs"/>
          <w:sz w:val="16"/>
          <w:szCs w:val="16"/>
          <w:rtl/>
        </w:rPr>
        <w:t xml:space="preserve">(כד:, כ"כ הב"י בשמו) </w:t>
      </w:r>
      <w:r>
        <w:rPr>
          <w:rFonts w:cs="Arial" w:hint="cs"/>
          <w:rtl/>
        </w:rPr>
        <w:t>ו</w:t>
      </w:r>
      <w:r w:rsidRPr="00D334DB">
        <w:rPr>
          <w:rFonts w:cs="Arial"/>
          <w:rtl/>
        </w:rPr>
        <w:t xml:space="preserve">רא"ש </w:t>
      </w:r>
      <w:r w:rsidRPr="002817A3">
        <w:rPr>
          <w:rFonts w:cs="Arial" w:hint="cs"/>
          <w:sz w:val="16"/>
          <w:szCs w:val="16"/>
          <w:rtl/>
        </w:rPr>
        <w:t>(</w:t>
      </w:r>
      <w:r w:rsidRPr="002817A3">
        <w:rPr>
          <w:rFonts w:cs="Arial"/>
          <w:sz w:val="16"/>
          <w:szCs w:val="16"/>
          <w:rtl/>
        </w:rPr>
        <w:t>פרק חזקת סי' מד)</w:t>
      </w:r>
      <w:r>
        <w:rPr>
          <w:rFonts w:cs="Arial" w:hint="cs"/>
          <w:rtl/>
        </w:rPr>
        <w:t xml:space="preserve">- </w:t>
      </w:r>
      <w:r w:rsidRPr="00D334DB">
        <w:rPr>
          <w:rFonts w:cs="Arial"/>
          <w:rtl/>
        </w:rPr>
        <w:t>א</w:t>
      </w:r>
      <w:r>
        <w:rPr>
          <w:rFonts w:cs="Arial" w:hint="cs"/>
          <w:rtl/>
        </w:rPr>
        <w:t xml:space="preserve">ינו </w:t>
      </w:r>
      <w:r w:rsidRPr="00D334DB">
        <w:rPr>
          <w:rFonts w:cs="Arial"/>
          <w:rtl/>
        </w:rPr>
        <w:t>צ</w:t>
      </w:r>
      <w:r>
        <w:rPr>
          <w:rFonts w:cs="Arial" w:hint="cs"/>
          <w:rtl/>
        </w:rPr>
        <w:t>ריך</w:t>
      </w:r>
      <w:r w:rsidRPr="00D334DB">
        <w:rPr>
          <w:rFonts w:cs="Arial" w:hint="cs"/>
          <w:rtl/>
        </w:rPr>
        <w:t>,</w:t>
      </w:r>
      <w:r w:rsidRPr="00D334DB">
        <w:rPr>
          <w:rFonts w:cs="Arial"/>
          <w:rtl/>
        </w:rPr>
        <w:t xml:space="preserve"> כרב זביד</w:t>
      </w:r>
      <w:r>
        <w:rPr>
          <w:rStyle w:val="ab"/>
          <w:rFonts w:cs="Arial"/>
          <w:rtl/>
        </w:rPr>
        <w:footnoteReference w:id="2756"/>
      </w:r>
      <w:r>
        <w:rPr>
          <w:rFonts w:cs="Arial" w:hint="cs"/>
          <w:rtl/>
        </w:rPr>
        <w:t xml:space="preserve">, </w:t>
      </w:r>
      <w:r w:rsidRPr="00D334DB">
        <w:rPr>
          <w:rFonts w:cs="Arial"/>
          <w:rtl/>
        </w:rPr>
        <w:t>דכיון שמכר לו שלא באחריות אפילו נמצאת שלא היתה שלו א"צ לשלם לו</w:t>
      </w:r>
      <w:r w:rsidRPr="00D334DB">
        <w:rPr>
          <w:rFonts w:cs="Arial" w:hint="cs"/>
          <w:rtl/>
        </w:rPr>
        <w:t>.</w:t>
      </w:r>
      <w:r w:rsidRPr="00D334DB">
        <w:rPr>
          <w:rFonts w:cs="Arial"/>
          <w:rtl/>
        </w:rPr>
        <w:t xml:space="preserve"> </w:t>
      </w:r>
    </w:p>
    <w:p w14:paraId="59FEA73C" w14:textId="77777777" w:rsidR="004B607F" w:rsidRPr="00E70E2D" w:rsidRDefault="004B607F" w:rsidP="004B0475">
      <w:pPr>
        <w:pStyle w:val="ac"/>
        <w:numPr>
          <w:ilvl w:val="1"/>
          <w:numId w:val="114"/>
        </w:numPr>
        <w:rPr>
          <w:rFonts w:cs="Arial"/>
          <w:rtl/>
        </w:rPr>
      </w:pPr>
      <w:r w:rsidRPr="00E70E2D">
        <w:rPr>
          <w:rFonts w:cs="Arial" w:hint="cs"/>
          <w:rtl/>
        </w:rPr>
        <w:t xml:space="preserve">ב"י </w:t>
      </w:r>
      <w:r w:rsidRPr="00E70E2D">
        <w:rPr>
          <w:rFonts w:cs="Arial" w:hint="cs"/>
          <w:sz w:val="16"/>
          <w:szCs w:val="16"/>
          <w:rtl/>
        </w:rPr>
        <w:t>(בבדה"ב)</w:t>
      </w:r>
      <w:r w:rsidRPr="00E70E2D">
        <w:rPr>
          <w:rFonts w:cs="Arial" w:hint="cs"/>
          <w:rtl/>
        </w:rPr>
        <w:t xml:space="preserve">- </w:t>
      </w:r>
      <w:r w:rsidRPr="00E70E2D">
        <w:rPr>
          <w:rFonts w:cs="Arial"/>
          <w:rtl/>
        </w:rPr>
        <w:t>האידנא שפשט המנהג שאין בעל חוב טורף ממטלטלים שמכר הלוה אפילו שעבד לו מטלטלי אגב מקרקעי דקנאי ודאקנה</w:t>
      </w:r>
      <w:r>
        <w:rPr>
          <w:rFonts w:cs="Arial" w:hint="cs"/>
          <w:rtl/>
        </w:rPr>
        <w:t>,</w:t>
      </w:r>
      <w:r w:rsidRPr="00E70E2D">
        <w:rPr>
          <w:rFonts w:cs="Arial"/>
          <w:rtl/>
        </w:rPr>
        <w:t xml:space="preserve"> ע</w:t>
      </w:r>
      <w:r>
        <w:rPr>
          <w:rFonts w:cs="Arial" w:hint="cs"/>
          <w:rtl/>
        </w:rPr>
        <w:t>"</w:t>
      </w:r>
      <w:r w:rsidRPr="00E70E2D">
        <w:rPr>
          <w:rFonts w:cs="Arial"/>
          <w:rtl/>
        </w:rPr>
        <w:t>פ תשו</w:t>
      </w:r>
      <w:r>
        <w:rPr>
          <w:rFonts w:cs="Arial" w:hint="cs"/>
          <w:rtl/>
        </w:rPr>
        <w:t>'</w:t>
      </w:r>
      <w:r w:rsidRPr="00E70E2D">
        <w:rPr>
          <w:rFonts w:cs="Arial"/>
          <w:rtl/>
        </w:rPr>
        <w:t xml:space="preserve"> הרא"ש </w:t>
      </w:r>
      <w:r w:rsidRPr="00C77DE6">
        <w:rPr>
          <w:rFonts w:cs="Arial"/>
          <w:sz w:val="16"/>
          <w:szCs w:val="16"/>
          <w:rtl/>
        </w:rPr>
        <w:t xml:space="preserve">(כלל עט סי' ד) </w:t>
      </w:r>
      <w:r w:rsidRPr="00E70E2D">
        <w:rPr>
          <w:rFonts w:cs="Arial"/>
          <w:rtl/>
        </w:rPr>
        <w:t xml:space="preserve">שכתב רבינו בסימן ס' </w:t>
      </w:r>
      <w:r w:rsidRPr="00C77DE6">
        <w:rPr>
          <w:rFonts w:cs="Arial"/>
          <w:sz w:val="16"/>
          <w:szCs w:val="16"/>
          <w:rtl/>
        </w:rPr>
        <w:t>(ס"ד)</w:t>
      </w:r>
      <w:r>
        <w:rPr>
          <w:rFonts w:cs="Arial" w:hint="cs"/>
          <w:rtl/>
        </w:rPr>
        <w:t>,</w:t>
      </w:r>
      <w:r w:rsidRPr="00E70E2D">
        <w:rPr>
          <w:rFonts w:cs="Arial"/>
          <w:rtl/>
        </w:rPr>
        <w:t xml:space="preserve"> אפילו ידענו שיש לו קרקע וששעבד לו מטלטלין אגבו דקנאי ודאקנה כיון שמכרם לו שלא באחריות </w:t>
      </w:r>
      <w:r>
        <w:rPr>
          <w:rFonts w:cs="Arial" w:hint="cs"/>
          <w:rtl/>
        </w:rPr>
        <w:t xml:space="preserve">- </w:t>
      </w:r>
      <w:r w:rsidRPr="00E70E2D">
        <w:rPr>
          <w:rFonts w:cs="Arial"/>
          <w:rtl/>
        </w:rPr>
        <w:t>מעיד לו עליהם</w:t>
      </w:r>
      <w:r>
        <w:rPr>
          <w:rFonts w:cs="Arial" w:hint="cs"/>
          <w:rtl/>
        </w:rPr>
        <w:t xml:space="preserve">. </w:t>
      </w:r>
      <w:r w:rsidRPr="00651528">
        <w:rPr>
          <w:rFonts w:cs="Arial" w:hint="cs"/>
          <w:color w:val="E36C0A" w:themeColor="accent6" w:themeShade="BF"/>
          <w:rtl/>
        </w:rPr>
        <w:t>(וכ"פ בשו"ע)</w:t>
      </w:r>
    </w:p>
    <w:p w14:paraId="19627CCC" w14:textId="77777777" w:rsidR="004B607F" w:rsidRPr="008221BD" w:rsidRDefault="004B607F" w:rsidP="004B607F">
      <w:pPr>
        <w:rPr>
          <w:rFonts w:cs="Arial"/>
          <w:u w:val="single"/>
        </w:rPr>
      </w:pPr>
      <w:r w:rsidRPr="008221BD">
        <w:rPr>
          <w:rFonts w:cs="Arial" w:hint="cs"/>
          <w:u w:val="single"/>
          <w:rtl/>
        </w:rPr>
        <w:t>עדות המוכר בעניינים שיש בהם תקנת השוק:</w:t>
      </w:r>
    </w:p>
    <w:p w14:paraId="725A59F9" w14:textId="77777777" w:rsidR="004B607F" w:rsidRDefault="004B607F" w:rsidP="004B0475">
      <w:pPr>
        <w:pStyle w:val="ac"/>
        <w:numPr>
          <w:ilvl w:val="0"/>
          <w:numId w:val="114"/>
        </w:numPr>
        <w:rPr>
          <w:rFonts w:cs="Arial"/>
        </w:rPr>
      </w:pPr>
      <w:r w:rsidRPr="00D334DB">
        <w:rPr>
          <w:rFonts w:cs="Arial"/>
          <w:rtl/>
        </w:rPr>
        <w:t xml:space="preserve">רמב"ן </w:t>
      </w:r>
      <w:r w:rsidRPr="00E9064F">
        <w:rPr>
          <w:rFonts w:cs="Arial"/>
          <w:sz w:val="16"/>
          <w:szCs w:val="16"/>
          <w:rtl/>
        </w:rPr>
        <w:t>(מד: ד"ה אין)</w:t>
      </w:r>
      <w:r>
        <w:rPr>
          <w:rFonts w:cs="Arial" w:hint="cs"/>
          <w:rtl/>
        </w:rPr>
        <w:t xml:space="preserve"> וטור-</w:t>
      </w:r>
      <w:r w:rsidRPr="00D334DB">
        <w:rPr>
          <w:rFonts w:cs="Arial"/>
          <w:rtl/>
        </w:rPr>
        <w:t xml:space="preserve"> הא דמעיד </w:t>
      </w:r>
      <w:r>
        <w:rPr>
          <w:rFonts w:cs="Arial" w:hint="cs"/>
          <w:rtl/>
        </w:rPr>
        <w:t xml:space="preserve">- </w:t>
      </w:r>
      <w:r w:rsidRPr="00D334DB">
        <w:rPr>
          <w:rFonts w:cs="Arial"/>
          <w:rtl/>
        </w:rPr>
        <w:t>דווקא בהנך עניינים דלית בהו תקנת השוק</w:t>
      </w:r>
      <w:r>
        <w:rPr>
          <w:rStyle w:val="ab"/>
          <w:rFonts w:cs="Arial"/>
          <w:rtl/>
        </w:rPr>
        <w:footnoteReference w:id="2757"/>
      </w:r>
      <w:r w:rsidRPr="00D334DB">
        <w:rPr>
          <w:rFonts w:cs="Arial"/>
          <w:rtl/>
        </w:rPr>
        <w:t xml:space="preserve"> דלאו נוגע בעדות הוא</w:t>
      </w:r>
      <w:r>
        <w:rPr>
          <w:rFonts w:cs="Arial" w:hint="cs"/>
          <w:rtl/>
        </w:rPr>
        <w:t>,</w:t>
      </w:r>
      <w:r w:rsidRPr="00D334DB">
        <w:rPr>
          <w:rFonts w:cs="Arial"/>
          <w:rtl/>
        </w:rPr>
        <w:t xml:space="preserve"> דאי מערער זכה בטענותיו אין משלם כלום</w:t>
      </w:r>
      <w:r>
        <w:rPr>
          <w:rFonts w:cs="Arial" w:hint="cs"/>
          <w:rtl/>
        </w:rPr>
        <w:t>,</w:t>
      </w:r>
      <w:r w:rsidRPr="00D334DB">
        <w:rPr>
          <w:rFonts w:cs="Arial"/>
          <w:rtl/>
        </w:rPr>
        <w:t xml:space="preserve"> ואי לוקח זכי לה לא מהני ליה כלום</w:t>
      </w:r>
      <w:r>
        <w:rPr>
          <w:rFonts w:cs="Arial" w:hint="cs"/>
          <w:rtl/>
        </w:rPr>
        <w:t>.</w:t>
      </w:r>
      <w:r w:rsidRPr="00D334DB">
        <w:rPr>
          <w:rFonts w:cs="Arial"/>
          <w:rtl/>
        </w:rPr>
        <w:t xml:space="preserve"> א"נ כשהמערער טוען שלי הוא</w:t>
      </w:r>
      <w:r>
        <w:rPr>
          <w:rFonts w:cs="Arial" w:hint="cs"/>
          <w:rtl/>
        </w:rPr>
        <w:t>,</w:t>
      </w:r>
      <w:r w:rsidRPr="00D334DB">
        <w:rPr>
          <w:rFonts w:cs="Arial"/>
          <w:rtl/>
        </w:rPr>
        <w:t xml:space="preserve"> וזה מעיד ללוקח ואומר אני מכרתיו לו ואינו שלך</w:t>
      </w:r>
      <w:r>
        <w:rPr>
          <w:rFonts w:cs="Arial" w:hint="cs"/>
          <w:rtl/>
        </w:rPr>
        <w:t>.</w:t>
      </w:r>
      <w:r w:rsidRPr="00D334DB">
        <w:rPr>
          <w:rFonts w:cs="Arial"/>
          <w:rtl/>
        </w:rPr>
        <w:t xml:space="preserve"> א"נ כגון שאינו טוען שהמוכר גזלה אלא שלקחה מגזלן</w:t>
      </w:r>
      <w:r>
        <w:rPr>
          <w:rFonts w:cs="Arial" w:hint="cs"/>
          <w:rtl/>
        </w:rPr>
        <w:t>.</w:t>
      </w:r>
      <w:r w:rsidRPr="00D334DB">
        <w:rPr>
          <w:rFonts w:cs="Arial"/>
          <w:rtl/>
        </w:rPr>
        <w:t xml:space="preserve"> אבל אם טוען שהמוכר גזלה </w:t>
      </w:r>
      <w:r>
        <w:rPr>
          <w:rFonts w:cs="Arial" w:hint="cs"/>
          <w:rtl/>
        </w:rPr>
        <w:t xml:space="preserve">- </w:t>
      </w:r>
      <w:r w:rsidRPr="00D334DB">
        <w:rPr>
          <w:rFonts w:cs="Arial"/>
          <w:rtl/>
        </w:rPr>
        <w:t>ודאי נוגע בעדות הוא</w:t>
      </w:r>
      <w:r>
        <w:rPr>
          <w:rFonts w:cs="Arial" w:hint="cs"/>
          <w:rtl/>
        </w:rPr>
        <w:t>,</w:t>
      </w:r>
      <w:r w:rsidRPr="00D334DB">
        <w:rPr>
          <w:rFonts w:cs="Arial"/>
          <w:rtl/>
        </w:rPr>
        <w:t xml:space="preserve"> שהמערער כשבא להוציאה מיד הלוקח צריך ליתן לו דמים משום תקנת השוק והדר גבי להו </w:t>
      </w:r>
      <w:r>
        <w:rPr>
          <w:rFonts w:cs="Arial" w:hint="cs"/>
          <w:sz w:val="16"/>
          <w:szCs w:val="16"/>
          <w:rtl/>
        </w:rPr>
        <w:t xml:space="preserve">{המערער} </w:t>
      </w:r>
      <w:r w:rsidRPr="00D334DB">
        <w:rPr>
          <w:rFonts w:cs="Arial"/>
          <w:rtl/>
        </w:rPr>
        <w:t>מהאי מוכר שהוא גזלן</w:t>
      </w:r>
      <w:r>
        <w:rPr>
          <w:rFonts w:cs="Arial" w:hint="cs"/>
          <w:sz w:val="16"/>
          <w:szCs w:val="16"/>
          <w:rtl/>
        </w:rPr>
        <w:t xml:space="preserve"> (לשון הטור בשם הרמב"ן)</w:t>
      </w:r>
      <w:r w:rsidRPr="00D334DB">
        <w:rPr>
          <w:rFonts w:cs="Arial" w:hint="cs"/>
          <w:rtl/>
        </w:rPr>
        <w:t>.</w:t>
      </w:r>
      <w:r>
        <w:rPr>
          <w:rFonts w:cs="Arial" w:hint="cs"/>
          <w:rtl/>
        </w:rPr>
        <w:t xml:space="preserve"> </w:t>
      </w:r>
      <w:r w:rsidRPr="00651528">
        <w:rPr>
          <w:rFonts w:cs="Arial" w:hint="cs"/>
          <w:color w:val="00B0F0"/>
          <w:rtl/>
        </w:rPr>
        <w:t>(וכ"פ הרמ"א)</w:t>
      </w:r>
    </w:p>
    <w:p w14:paraId="0F3AAAAF" w14:textId="77777777" w:rsidR="004B607F" w:rsidRPr="003024E5" w:rsidRDefault="004B607F" w:rsidP="004B607F">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58B2AD8D" w14:textId="77777777" w:rsidR="004B607F" w:rsidRDefault="004B607F" w:rsidP="004B607F">
      <w:pPr>
        <w:rPr>
          <w:rtl/>
        </w:rPr>
      </w:pPr>
      <w:r>
        <w:rPr>
          <w:rFonts w:cs="Arial"/>
          <w:rtl/>
        </w:rPr>
        <w:lastRenderedPageBreak/>
        <w:t>ראובן שמכר פרה או טלית לשמעון שלא באחריות, ובא יהודה לערער להוציאה מיד שמעון בטענה שקנאה מגזלן</w:t>
      </w:r>
      <w:r>
        <w:rPr>
          <w:rStyle w:val="ab"/>
          <w:rFonts w:cs="Arial"/>
          <w:rtl/>
        </w:rPr>
        <w:footnoteReference w:id="2758"/>
      </w:r>
      <w:r>
        <w:rPr>
          <w:rFonts w:cs="Arial"/>
          <w:rtl/>
        </w:rPr>
        <w:t>, יכול ראובן להעיד לו</w:t>
      </w:r>
      <w:r>
        <w:rPr>
          <w:rStyle w:val="ab"/>
          <w:rFonts w:cs="Arial"/>
          <w:rtl/>
        </w:rPr>
        <w:footnoteReference w:id="2759"/>
      </w:r>
      <w:r>
        <w:rPr>
          <w:rFonts w:cs="Arial"/>
          <w:rtl/>
        </w:rPr>
        <w:t>, שאין לו בזה שום הנאה שתשאר בידו, שאפילו יבא בעל חובו אינו יכול לטרפה, שאין בעל חוב טורף ממטלטלים אפילו עשאם לו אפותיקי</w:t>
      </w:r>
      <w:r>
        <w:rPr>
          <w:rStyle w:val="ab"/>
          <w:rFonts w:cs="Arial"/>
          <w:rtl/>
        </w:rPr>
        <w:footnoteReference w:id="2760"/>
      </w:r>
      <w:r>
        <w:rPr>
          <w:rFonts w:cs="Arial"/>
          <w:rtl/>
        </w:rPr>
        <w:t>. ובזמן הזה, אפילו שעבד לו מטלטלים אגב קרקע אינו טורף ממטלטלים שמכר</w:t>
      </w:r>
      <w:r>
        <w:rPr>
          <w:rStyle w:val="ab"/>
          <w:rFonts w:cs="Arial"/>
          <w:rtl/>
        </w:rPr>
        <w:footnoteReference w:id="2761"/>
      </w:r>
      <w:r>
        <w:rPr>
          <w:rFonts w:cs="Arial"/>
          <w:rtl/>
        </w:rPr>
        <w:t xml:space="preserve">. </w:t>
      </w:r>
      <w:r w:rsidRPr="00D60C1E">
        <w:rPr>
          <w:rFonts w:cs="Arial"/>
          <w:sz w:val="18"/>
          <w:szCs w:val="18"/>
          <w:rtl/>
        </w:rPr>
        <w:t>הגה: אבל אם יהודה טוען שראובן גזלה בעצמו, לא יוכל ראובן להעיד עליה במקום שהמערער צריך ליתן לשמעון מעותיו משום תקנת השוק ויכול יהודה לחזור ולהוציאה מראובן</w:t>
      </w:r>
      <w:r>
        <w:rPr>
          <w:rStyle w:val="ab"/>
          <w:rFonts w:cs="Arial"/>
          <w:sz w:val="18"/>
          <w:szCs w:val="18"/>
          <w:rtl/>
        </w:rPr>
        <w:footnoteReference w:id="2762"/>
      </w:r>
      <w:r w:rsidRPr="00D60C1E">
        <w:rPr>
          <w:rFonts w:cs="Arial"/>
          <w:sz w:val="18"/>
          <w:szCs w:val="18"/>
          <w:rtl/>
        </w:rPr>
        <w:t xml:space="preserve"> (טור).</w:t>
      </w:r>
      <w:r>
        <w:rPr>
          <w:rFonts w:cs="Arial"/>
          <w:rtl/>
        </w:rPr>
        <w:t xml:space="preserve"> </w:t>
      </w:r>
    </w:p>
    <w:p w14:paraId="59B8D9FB" w14:textId="77777777" w:rsidR="004B607F" w:rsidRDefault="004B607F" w:rsidP="004B607F">
      <w:pPr>
        <w:rPr>
          <w:rtl/>
        </w:rPr>
      </w:pPr>
    </w:p>
    <w:p w14:paraId="238F5145" w14:textId="77777777" w:rsidR="004B607F" w:rsidRPr="00353556" w:rsidRDefault="004B607F" w:rsidP="004B607F">
      <w:pPr>
        <w:pStyle w:val="2"/>
        <w:rPr>
          <w:rtl/>
        </w:rPr>
      </w:pPr>
      <w:bookmarkStart w:id="373" w:name="_Toc24883818"/>
      <w:r w:rsidRPr="00353556">
        <w:rPr>
          <w:rtl/>
        </w:rPr>
        <w:t>סעיף יז</w:t>
      </w:r>
      <w:r w:rsidRPr="00353556">
        <w:rPr>
          <w:rFonts w:hint="cs"/>
          <w:rtl/>
        </w:rPr>
        <w:t>:</w:t>
      </w:r>
      <w:r w:rsidRPr="00353556">
        <w:rPr>
          <w:rFonts w:cs="Arial"/>
          <w:rtl/>
        </w:rPr>
        <w:t xml:space="preserve"> ראובן גזל שדה</w:t>
      </w:r>
      <w:r>
        <w:rPr>
          <w:rFonts w:cs="Arial" w:hint="cs"/>
          <w:rtl/>
        </w:rPr>
        <w:t>/</w:t>
      </w:r>
      <w:r w:rsidRPr="00353556">
        <w:rPr>
          <w:rFonts w:cs="Arial"/>
          <w:rtl/>
        </w:rPr>
        <w:t>טלית משמעון</w:t>
      </w:r>
      <w:r w:rsidRPr="00353556">
        <w:rPr>
          <w:rFonts w:cs="Arial" w:hint="cs"/>
          <w:rtl/>
        </w:rPr>
        <w:t>,</w:t>
      </w:r>
      <w:r w:rsidRPr="00353556">
        <w:rPr>
          <w:rFonts w:cs="Arial"/>
          <w:rtl/>
        </w:rPr>
        <w:t xml:space="preserve"> ולוי </w:t>
      </w:r>
      <w:r>
        <w:rPr>
          <w:rFonts w:cs="Arial" w:hint="cs"/>
          <w:rtl/>
        </w:rPr>
        <w:t xml:space="preserve">מערער </w:t>
      </w:r>
      <w:r w:rsidRPr="00353556">
        <w:rPr>
          <w:rFonts w:cs="Arial"/>
          <w:rtl/>
        </w:rPr>
        <w:t>להוציאה מידו</w:t>
      </w:r>
      <w:r>
        <w:rPr>
          <w:rFonts w:cs="Arial" w:hint="cs"/>
          <w:rtl/>
        </w:rPr>
        <w:t>,</w:t>
      </w:r>
      <w:r w:rsidRPr="00353556">
        <w:rPr>
          <w:rFonts w:cs="Arial"/>
          <w:rtl/>
        </w:rPr>
        <w:t xml:space="preserve"> </w:t>
      </w:r>
      <w:r>
        <w:rPr>
          <w:rFonts w:cs="Arial" w:hint="cs"/>
          <w:rtl/>
        </w:rPr>
        <w:t>ו</w:t>
      </w:r>
      <w:r w:rsidRPr="00353556">
        <w:rPr>
          <w:rFonts w:cs="Arial"/>
          <w:rtl/>
        </w:rPr>
        <w:t xml:space="preserve">שמעון </w:t>
      </w:r>
      <w:r>
        <w:rPr>
          <w:rFonts w:cs="Arial" w:hint="cs"/>
          <w:rtl/>
        </w:rPr>
        <w:t>רוצה</w:t>
      </w:r>
      <w:r w:rsidRPr="00353556">
        <w:rPr>
          <w:rFonts w:cs="Arial" w:hint="cs"/>
          <w:rtl/>
        </w:rPr>
        <w:t xml:space="preserve"> להעיד</w:t>
      </w:r>
      <w:r>
        <w:rPr>
          <w:rFonts w:cs="Arial" w:hint="cs"/>
          <w:rtl/>
        </w:rPr>
        <w:t>.</w:t>
      </w:r>
      <w:bookmarkEnd w:id="373"/>
    </w:p>
    <w:p w14:paraId="4C2D8ACC" w14:textId="77777777" w:rsidR="004B607F" w:rsidRDefault="004B607F" w:rsidP="004B607F">
      <w:pPr>
        <w:rPr>
          <w:rFonts w:cs="Arial"/>
          <w:rtl/>
        </w:rPr>
      </w:pPr>
      <w:r w:rsidRPr="00CE2EF4">
        <w:rPr>
          <w:rFonts w:cs="Arial" w:hint="cs"/>
          <w:b/>
          <w:bCs/>
          <w:rtl/>
        </w:rPr>
        <w:t xml:space="preserve">בבא בתרא </w:t>
      </w:r>
      <w:r w:rsidRPr="00CE2EF4">
        <w:rPr>
          <w:rFonts w:cs="Arial" w:hint="cs"/>
          <w:b/>
          <w:bCs/>
          <w:sz w:val="16"/>
          <w:szCs w:val="16"/>
          <w:rtl/>
        </w:rPr>
        <w:t>(</w:t>
      </w:r>
      <w:r>
        <w:rPr>
          <w:rFonts w:cs="Arial" w:hint="cs"/>
          <w:b/>
          <w:bCs/>
          <w:sz w:val="16"/>
          <w:szCs w:val="16"/>
          <w:rtl/>
        </w:rPr>
        <w:t>פרק חזקת הבתים</w:t>
      </w:r>
      <w:r w:rsidRPr="00CE2EF4">
        <w:rPr>
          <w:rFonts w:cs="Arial" w:hint="cs"/>
          <w:b/>
          <w:bCs/>
          <w:sz w:val="16"/>
          <w:szCs w:val="16"/>
          <w:rtl/>
        </w:rPr>
        <w:t xml:space="preserve">) </w:t>
      </w:r>
      <w:r>
        <w:rPr>
          <w:rFonts w:cs="Arial" w:hint="cs"/>
          <w:b/>
          <w:bCs/>
          <w:rtl/>
        </w:rPr>
        <w:t>מג</w:t>
      </w:r>
      <w:r w:rsidRPr="00CE2EF4">
        <w:rPr>
          <w:rFonts w:cs="Arial" w:hint="cs"/>
          <w:b/>
          <w:bCs/>
          <w:rtl/>
        </w:rPr>
        <w:t xml:space="preserve"> ע"</w:t>
      </w:r>
      <w:r>
        <w:rPr>
          <w:rFonts w:cs="Arial" w:hint="cs"/>
          <w:b/>
          <w:bCs/>
          <w:rtl/>
        </w:rPr>
        <w:t>ב</w:t>
      </w:r>
      <w:r w:rsidRPr="00CE2EF4">
        <w:rPr>
          <w:rFonts w:cs="Arial" w:hint="cs"/>
          <w:b/>
          <w:bCs/>
          <w:rtl/>
        </w:rPr>
        <w:t>:</w:t>
      </w:r>
      <w:r w:rsidRPr="00022365">
        <w:rPr>
          <w:rFonts w:cs="Arial"/>
          <w:rtl/>
        </w:rPr>
        <w:t xml:space="preserve"> </w:t>
      </w:r>
      <w:r w:rsidRPr="009B18F8">
        <w:rPr>
          <w:rFonts w:cs="Arial"/>
          <w:rtl/>
        </w:rPr>
        <w:t>תנו רבנן: מכר לו בית, מכר לו שדה - אין מעיד לו עליה, מפני שאחריותו עליו</w:t>
      </w:r>
      <w:r>
        <w:rPr>
          <w:rFonts w:cs="Arial" w:hint="cs"/>
          <w:rtl/>
        </w:rPr>
        <w:t>.</w:t>
      </w:r>
      <w:r w:rsidRPr="009B18F8">
        <w:rPr>
          <w:rFonts w:cs="Arial"/>
          <w:rtl/>
        </w:rPr>
        <w:t xml:space="preserve"> מכר לו פרה, מכר לו טלית - מעיד לו עליה, מפני שאין אחריותו עליו. מאי שנא רישא ומאי שנא סיפא? </w:t>
      </w:r>
      <w:r w:rsidRPr="009B18F8">
        <w:rPr>
          <w:rFonts w:cs="Arial"/>
          <w:u w:val="single"/>
          <w:rtl/>
        </w:rPr>
        <w:t>אמר רב ששת</w:t>
      </w:r>
      <w:r w:rsidRPr="009B18F8">
        <w:rPr>
          <w:rFonts w:cs="Arial"/>
          <w:rtl/>
        </w:rPr>
        <w:t>: רישא - בראובן שגזל שדה משמעון ומכרה ללוי, ואתא יהודה וקא מערער</w:t>
      </w:r>
      <w:r>
        <w:rPr>
          <w:rStyle w:val="ab"/>
          <w:rFonts w:cs="Arial"/>
          <w:rtl/>
        </w:rPr>
        <w:footnoteReference w:id="2763"/>
      </w:r>
      <w:r w:rsidRPr="009B18F8">
        <w:rPr>
          <w:rFonts w:cs="Arial"/>
          <w:rtl/>
        </w:rPr>
        <w:t>, דלא ליזיל שמעון לאסהיד ליה ללוי</w:t>
      </w:r>
      <w:r>
        <w:rPr>
          <w:rStyle w:val="ab"/>
          <w:rFonts w:cs="Arial"/>
          <w:rtl/>
        </w:rPr>
        <w:footnoteReference w:id="2764"/>
      </w:r>
      <w:r w:rsidRPr="009B18F8">
        <w:rPr>
          <w:rFonts w:cs="Arial"/>
          <w:rtl/>
        </w:rPr>
        <w:t>, דניחא ליה דהדרא</w:t>
      </w:r>
      <w:r>
        <w:rPr>
          <w:rStyle w:val="ab"/>
          <w:rFonts w:cs="Arial"/>
          <w:rtl/>
        </w:rPr>
        <w:footnoteReference w:id="2765"/>
      </w:r>
      <w:r w:rsidRPr="009B18F8">
        <w:rPr>
          <w:rFonts w:cs="Arial"/>
          <w:rtl/>
        </w:rPr>
        <w:t>. וכיון דאסהיד ליה דלוי הוא</w:t>
      </w:r>
      <w:r>
        <w:rPr>
          <w:rStyle w:val="ab"/>
          <w:rFonts w:cs="Arial"/>
          <w:rtl/>
        </w:rPr>
        <w:footnoteReference w:id="2766"/>
      </w:r>
      <w:r w:rsidRPr="009B18F8">
        <w:rPr>
          <w:rFonts w:cs="Arial"/>
          <w:rtl/>
        </w:rPr>
        <w:t xml:space="preserve"> היכי מצי מפיק לה מיניה? דאמר: ידענא דהאי ארעא דלאו דיהודה היא. ובההוא זכותא דקא מפיק לה מלוי ליפקה מיהודה! דאמר: השני נוח לי</w:t>
      </w:r>
      <w:r>
        <w:rPr>
          <w:rStyle w:val="ab"/>
          <w:rFonts w:cs="Arial"/>
          <w:rtl/>
        </w:rPr>
        <w:footnoteReference w:id="2767"/>
      </w:r>
      <w:r w:rsidRPr="009B18F8">
        <w:rPr>
          <w:rFonts w:cs="Arial"/>
          <w:rtl/>
        </w:rPr>
        <w:t>, הראשון קשה הימנו.</w:t>
      </w:r>
      <w:r>
        <w:rPr>
          <w:rFonts w:cs="Arial" w:hint="cs"/>
          <w:rtl/>
        </w:rPr>
        <w:t>..</w:t>
      </w:r>
      <w:r w:rsidRPr="009B18F8">
        <w:rPr>
          <w:rFonts w:cs="Arial"/>
          <w:rtl/>
        </w:rPr>
        <w:t xml:space="preserve"> </w:t>
      </w:r>
      <w:r>
        <w:rPr>
          <w:rFonts w:cs="Arial" w:hint="cs"/>
          <w:sz w:val="14"/>
          <w:szCs w:val="14"/>
          <w:rtl/>
        </w:rPr>
        <w:t>(מד.)</w:t>
      </w:r>
      <w:r>
        <w:rPr>
          <w:rFonts w:cs="Arial" w:hint="cs"/>
          <w:rtl/>
        </w:rPr>
        <w:t xml:space="preserve"> </w:t>
      </w:r>
      <w:r w:rsidRPr="00EC768C">
        <w:rPr>
          <w:rFonts w:cs="Arial"/>
          <w:rtl/>
        </w:rPr>
        <w:t>ולוקמה בגזלן</w:t>
      </w:r>
      <w:r>
        <w:rPr>
          <w:rStyle w:val="ab"/>
          <w:rFonts w:cs="Arial"/>
          <w:rtl/>
        </w:rPr>
        <w:footnoteReference w:id="2768"/>
      </w:r>
      <w:r w:rsidRPr="00EC768C">
        <w:rPr>
          <w:rFonts w:cs="Arial"/>
          <w:rtl/>
        </w:rPr>
        <w:t>! משום דקא בעי למיתנא סיפא: מכר לו פרה, מכר לו טלית, דדוקא מכר, דהוה ליה יאוש</w:t>
      </w:r>
      <w:r>
        <w:rPr>
          <w:rStyle w:val="ab"/>
          <w:rFonts w:cs="Arial"/>
          <w:rtl/>
        </w:rPr>
        <w:footnoteReference w:id="2769"/>
      </w:r>
      <w:r w:rsidRPr="00EC768C">
        <w:rPr>
          <w:rFonts w:cs="Arial"/>
          <w:rtl/>
        </w:rPr>
        <w:t xml:space="preserve"> ושינוי רשות</w:t>
      </w:r>
      <w:r>
        <w:rPr>
          <w:rStyle w:val="ab"/>
          <w:rFonts w:cs="Arial"/>
          <w:rtl/>
        </w:rPr>
        <w:footnoteReference w:id="2770"/>
      </w:r>
      <w:r w:rsidRPr="00EC768C">
        <w:rPr>
          <w:rFonts w:cs="Arial"/>
          <w:rtl/>
        </w:rPr>
        <w:t>, אבל לא מכר, דהדרא ליה - לא, תנא רישא נמי מכר. וסיפא נמי נהי דמייאש מגופיה, מדמיה מי מייאש</w:t>
      </w:r>
      <w:r>
        <w:rPr>
          <w:rStyle w:val="ab"/>
          <w:rFonts w:cs="Arial"/>
          <w:rtl/>
        </w:rPr>
        <w:footnoteReference w:id="2771"/>
      </w:r>
      <w:r w:rsidRPr="00EC768C">
        <w:rPr>
          <w:rFonts w:cs="Arial"/>
          <w:rtl/>
        </w:rPr>
        <w:t>? לא צריכא דמית גזלן, דתנן: הגוזל ומאכיל את בניו, והניח לפניהם - פטורים מלשלם.</w:t>
      </w:r>
    </w:p>
    <w:p w14:paraId="0A329FEF" w14:textId="77777777" w:rsidR="004B607F" w:rsidRPr="00A2312D" w:rsidRDefault="004B607F" w:rsidP="004B607F">
      <w:pPr>
        <w:rPr>
          <w:rFonts w:cs="Arial"/>
          <w:u w:val="single"/>
          <w:rtl/>
        </w:rPr>
      </w:pPr>
      <w:r w:rsidRPr="00A2312D">
        <w:rPr>
          <w:rFonts w:cs="Arial"/>
          <w:u w:val="single"/>
          <w:rtl/>
        </w:rPr>
        <w:t>ראובן גזל שדה או טלית משמעון</w:t>
      </w:r>
      <w:r w:rsidRPr="00A2312D">
        <w:rPr>
          <w:rFonts w:cs="Arial" w:hint="cs"/>
          <w:u w:val="single"/>
          <w:rtl/>
        </w:rPr>
        <w:t>,</w:t>
      </w:r>
      <w:r w:rsidRPr="00A2312D">
        <w:rPr>
          <w:rFonts w:cs="Arial"/>
          <w:u w:val="single"/>
          <w:rtl/>
        </w:rPr>
        <w:t xml:space="preserve"> ובא לוי להוציאה מידו לומר שהיא שלו</w:t>
      </w:r>
      <w:r>
        <w:rPr>
          <w:rFonts w:cs="Arial" w:hint="cs"/>
          <w:u w:val="single"/>
          <w:rtl/>
        </w:rPr>
        <w:t xml:space="preserve"> </w:t>
      </w:r>
      <w:r>
        <w:rPr>
          <w:rFonts w:cs="Arial"/>
          <w:u w:val="single"/>
          <w:rtl/>
        </w:rPr>
        <w:t>–</w:t>
      </w:r>
      <w:r w:rsidRPr="00A2312D">
        <w:rPr>
          <w:rFonts w:cs="Arial"/>
          <w:u w:val="single"/>
          <w:rtl/>
        </w:rPr>
        <w:t xml:space="preserve"> </w:t>
      </w:r>
      <w:r>
        <w:rPr>
          <w:rFonts w:cs="Arial" w:hint="cs"/>
          <w:u w:val="single"/>
          <w:rtl/>
        </w:rPr>
        <w:t>ה</w:t>
      </w:r>
      <w:r w:rsidRPr="00A2312D">
        <w:rPr>
          <w:rFonts w:cs="Arial"/>
          <w:u w:val="single"/>
          <w:rtl/>
        </w:rPr>
        <w:t xml:space="preserve">אם שמעון </w:t>
      </w:r>
      <w:r>
        <w:rPr>
          <w:rFonts w:cs="Arial" w:hint="cs"/>
          <w:u w:val="single"/>
          <w:rtl/>
        </w:rPr>
        <w:t xml:space="preserve">יכול להעיד </w:t>
      </w:r>
      <w:r w:rsidRPr="002E3BA6">
        <w:rPr>
          <w:rFonts w:cs="Arial" w:hint="cs"/>
          <w:b/>
          <w:bCs/>
          <w:u w:val="single"/>
          <w:rtl/>
        </w:rPr>
        <w:t>לראובן</w:t>
      </w:r>
      <w:r>
        <w:rPr>
          <w:rFonts w:cs="Arial" w:hint="cs"/>
          <w:sz w:val="16"/>
          <w:szCs w:val="16"/>
          <w:u w:val="single"/>
          <w:rtl/>
        </w:rPr>
        <w:t xml:space="preserve"> (הגזלן)</w:t>
      </w:r>
      <w:r>
        <w:rPr>
          <w:rFonts w:cs="Arial" w:hint="cs"/>
          <w:u w:val="single"/>
          <w:rtl/>
        </w:rPr>
        <w:t>:</w:t>
      </w:r>
    </w:p>
    <w:p w14:paraId="532E55E9" w14:textId="77777777" w:rsidR="004B607F" w:rsidRDefault="004B607F" w:rsidP="004B0475">
      <w:pPr>
        <w:pStyle w:val="ac"/>
        <w:numPr>
          <w:ilvl w:val="0"/>
          <w:numId w:val="114"/>
        </w:numPr>
        <w:rPr>
          <w:rFonts w:cs="Arial"/>
        </w:rPr>
      </w:pPr>
      <w:r w:rsidRPr="00A2312D">
        <w:rPr>
          <w:rFonts w:cs="Arial" w:hint="cs"/>
          <w:rtl/>
        </w:rPr>
        <w:lastRenderedPageBreak/>
        <w:t xml:space="preserve">טור- </w:t>
      </w:r>
      <w:r w:rsidRPr="00A2312D">
        <w:rPr>
          <w:rFonts w:cs="Arial"/>
          <w:rtl/>
        </w:rPr>
        <w:t>ראובן שגזל שדה או טלית משמעון</w:t>
      </w:r>
      <w:r w:rsidRPr="00A2312D">
        <w:rPr>
          <w:rFonts w:cs="Arial" w:hint="cs"/>
          <w:rtl/>
        </w:rPr>
        <w:t>,</w:t>
      </w:r>
      <w:r w:rsidRPr="00A2312D">
        <w:rPr>
          <w:rFonts w:cs="Arial"/>
          <w:rtl/>
        </w:rPr>
        <w:t xml:space="preserve"> ובא לוי להוציאה מידו לומר שהיא שלו</w:t>
      </w:r>
      <w:r w:rsidRPr="00A2312D">
        <w:rPr>
          <w:rFonts w:cs="Arial" w:hint="cs"/>
          <w:rtl/>
        </w:rPr>
        <w:t>,</w:t>
      </w:r>
      <w:r w:rsidRPr="00A2312D">
        <w:rPr>
          <w:rFonts w:cs="Arial"/>
          <w:rtl/>
        </w:rPr>
        <w:t xml:space="preserve"> אם שמעון מעיד שיודע ששדה זו או טלית זו שהיא של ראובן </w:t>
      </w:r>
      <w:r w:rsidRPr="00A2312D">
        <w:rPr>
          <w:rFonts w:cs="Arial" w:hint="cs"/>
          <w:rtl/>
        </w:rPr>
        <w:t xml:space="preserve">- </w:t>
      </w:r>
      <w:r w:rsidRPr="00A2312D">
        <w:rPr>
          <w:rFonts w:cs="Arial"/>
          <w:rtl/>
        </w:rPr>
        <w:t>שומעין לו</w:t>
      </w:r>
      <w:r w:rsidRPr="00A2312D">
        <w:rPr>
          <w:rFonts w:cs="Arial" w:hint="cs"/>
          <w:rtl/>
        </w:rPr>
        <w:t>,</w:t>
      </w:r>
      <w:r w:rsidRPr="00A2312D">
        <w:rPr>
          <w:rFonts w:cs="Arial"/>
          <w:rtl/>
        </w:rPr>
        <w:t xml:space="preserve"> שאז אינו יכול להוציאה מיד ראובן כיון שהודה שהיא שלו</w:t>
      </w:r>
      <w:r>
        <w:rPr>
          <w:rFonts w:cs="Arial" w:hint="cs"/>
          <w:rtl/>
        </w:rPr>
        <w:t xml:space="preserve">. </w:t>
      </w:r>
      <w:r w:rsidRPr="00B20CF2">
        <w:rPr>
          <w:rFonts w:cs="Arial" w:hint="cs"/>
          <w:color w:val="00B0F0"/>
          <w:rtl/>
        </w:rPr>
        <w:t>(וכ"פ הרמ"א)</w:t>
      </w:r>
    </w:p>
    <w:p w14:paraId="33A2AD6D" w14:textId="77777777" w:rsidR="004B607F" w:rsidRPr="00B20CF2" w:rsidRDefault="004B607F" w:rsidP="004B607F">
      <w:pPr>
        <w:ind w:left="360"/>
        <w:rPr>
          <w:rFonts w:cs="Arial"/>
          <w:sz w:val="16"/>
          <w:szCs w:val="16"/>
          <w:u w:val="dotted"/>
        </w:rPr>
      </w:pPr>
      <w:r w:rsidRPr="00B20CF2">
        <w:rPr>
          <w:rFonts w:cs="Arial" w:hint="cs"/>
          <w:u w:val="dotted"/>
          <w:rtl/>
        </w:rPr>
        <w:t xml:space="preserve">ומה הדין אם בא שמעון לפסול עדיו של לוי </w:t>
      </w:r>
      <w:r w:rsidRPr="00B20CF2">
        <w:rPr>
          <w:rFonts w:cs="Arial" w:hint="cs"/>
          <w:sz w:val="16"/>
          <w:szCs w:val="16"/>
          <w:u w:val="dotted"/>
          <w:rtl/>
        </w:rPr>
        <w:t xml:space="preserve">(או </w:t>
      </w:r>
      <w:r>
        <w:rPr>
          <w:rFonts w:cs="Arial" w:hint="cs"/>
          <w:sz w:val="16"/>
          <w:szCs w:val="16"/>
          <w:u w:val="dotted"/>
          <w:rtl/>
        </w:rPr>
        <w:t>שיעיד '</w:t>
      </w:r>
      <w:r w:rsidRPr="00B20CF2">
        <w:rPr>
          <w:rFonts w:cs="Arial" w:hint="cs"/>
          <w:sz w:val="16"/>
          <w:szCs w:val="16"/>
          <w:u w:val="dotted"/>
          <w:rtl/>
        </w:rPr>
        <w:t xml:space="preserve">יודע </w:t>
      </w:r>
      <w:r>
        <w:rPr>
          <w:rFonts w:cs="Arial" w:hint="cs"/>
          <w:sz w:val="16"/>
          <w:szCs w:val="16"/>
          <w:u w:val="dotted"/>
          <w:rtl/>
        </w:rPr>
        <w:t xml:space="preserve">אני </w:t>
      </w:r>
      <w:r w:rsidRPr="00B20CF2">
        <w:rPr>
          <w:rFonts w:cs="Arial" w:hint="cs"/>
          <w:sz w:val="16"/>
          <w:szCs w:val="16"/>
          <w:u w:val="dotted"/>
          <w:rtl/>
        </w:rPr>
        <w:t>שאינ</w:t>
      </w:r>
      <w:r>
        <w:rPr>
          <w:rFonts w:cs="Arial" w:hint="cs"/>
          <w:sz w:val="16"/>
          <w:szCs w:val="16"/>
          <w:u w:val="dotted"/>
          <w:rtl/>
        </w:rPr>
        <w:t>ה</w:t>
      </w:r>
      <w:r w:rsidRPr="00B20CF2">
        <w:rPr>
          <w:rFonts w:cs="Arial" w:hint="cs"/>
          <w:sz w:val="16"/>
          <w:szCs w:val="16"/>
          <w:u w:val="dotted"/>
          <w:rtl/>
        </w:rPr>
        <w:t xml:space="preserve"> של לוי</w:t>
      </w:r>
      <w:r>
        <w:rPr>
          <w:rFonts w:cs="Arial" w:hint="cs"/>
          <w:sz w:val="16"/>
          <w:szCs w:val="16"/>
          <w:u w:val="dotted"/>
          <w:rtl/>
        </w:rPr>
        <w:t>'</w:t>
      </w:r>
      <w:r w:rsidRPr="00B20CF2">
        <w:rPr>
          <w:rFonts w:cs="Arial" w:hint="cs"/>
          <w:sz w:val="16"/>
          <w:szCs w:val="16"/>
          <w:u w:val="dotted"/>
          <w:rtl/>
        </w:rPr>
        <w:t>):</w:t>
      </w:r>
    </w:p>
    <w:p w14:paraId="02E40A04" w14:textId="77777777" w:rsidR="004B607F" w:rsidRDefault="004B607F" w:rsidP="004B0475">
      <w:pPr>
        <w:pStyle w:val="ac"/>
        <w:numPr>
          <w:ilvl w:val="0"/>
          <w:numId w:val="114"/>
        </w:numPr>
        <w:rPr>
          <w:rFonts w:cs="Arial"/>
        </w:rPr>
      </w:pPr>
      <w:r>
        <w:rPr>
          <w:rFonts w:cs="Arial" w:hint="cs"/>
          <w:rtl/>
        </w:rPr>
        <w:t>טור-</w:t>
      </w:r>
      <w:r w:rsidRPr="00A2312D">
        <w:rPr>
          <w:rFonts w:cs="Arial"/>
          <w:rtl/>
        </w:rPr>
        <w:t xml:space="preserve"> אבל אם בא לפסול עדי לוי כדי להעמיד השדה והטלית ביד ראובן </w:t>
      </w:r>
      <w:r w:rsidRPr="00A2312D">
        <w:rPr>
          <w:rFonts w:cs="Arial" w:hint="cs"/>
          <w:rtl/>
        </w:rPr>
        <w:t xml:space="preserve">- </w:t>
      </w:r>
      <w:r w:rsidRPr="00A2312D">
        <w:rPr>
          <w:rFonts w:cs="Arial"/>
          <w:rtl/>
        </w:rPr>
        <w:t>אין שומעין לו</w:t>
      </w:r>
      <w:r w:rsidRPr="00A2312D">
        <w:rPr>
          <w:rFonts w:cs="Arial" w:hint="cs"/>
          <w:rtl/>
        </w:rPr>
        <w:t>,</w:t>
      </w:r>
      <w:r w:rsidRPr="00A2312D">
        <w:rPr>
          <w:rFonts w:cs="Arial"/>
          <w:rtl/>
        </w:rPr>
        <w:t xml:space="preserve"> שהוא מכוין להעמידם בידו ולחזור ולהוציאם מידו בטענה שגזלם ממנו ואפשר שנוח לו יותר להוציאם מיד ראובן משאם יבואו לידי לוי</w:t>
      </w:r>
      <w:r w:rsidRPr="00A2312D">
        <w:rPr>
          <w:rFonts w:cs="Arial" w:hint="cs"/>
          <w:rtl/>
        </w:rPr>
        <w:t>.</w:t>
      </w:r>
      <w:r w:rsidRPr="00A2312D">
        <w:rPr>
          <w:rFonts w:cs="Arial"/>
          <w:rtl/>
        </w:rPr>
        <w:t xml:space="preserve"> </w:t>
      </w:r>
      <w:r w:rsidRPr="00E375B4">
        <w:rPr>
          <w:rFonts w:cs="Arial" w:hint="cs"/>
          <w:color w:val="E36C0A" w:themeColor="accent6" w:themeShade="BF"/>
          <w:rtl/>
        </w:rPr>
        <w:t>(וכ"פ בשו"ע)</w:t>
      </w:r>
    </w:p>
    <w:p w14:paraId="0160DFA6" w14:textId="77777777" w:rsidR="004B607F" w:rsidRPr="00795DD7" w:rsidRDefault="004B607F" w:rsidP="004B607F">
      <w:pPr>
        <w:ind w:left="360"/>
        <w:rPr>
          <w:rFonts w:cs="Arial"/>
          <w:u w:val="dotted"/>
        </w:rPr>
      </w:pPr>
      <w:r>
        <w:rPr>
          <w:rFonts w:cs="Arial" w:hint="cs"/>
          <w:u w:val="dotted"/>
          <w:rtl/>
        </w:rPr>
        <w:t xml:space="preserve">מתי ב"ד קובעים </w:t>
      </w:r>
      <w:r w:rsidRPr="000E700C">
        <w:rPr>
          <w:rFonts w:cs="Arial" w:hint="cs"/>
          <w:sz w:val="16"/>
          <w:szCs w:val="16"/>
          <w:u w:val="dotted"/>
          <w:rtl/>
        </w:rPr>
        <w:t>(במקרה הנ"ל</w:t>
      </w:r>
      <w:r>
        <w:rPr>
          <w:rFonts w:cs="Arial" w:hint="cs"/>
          <w:sz w:val="16"/>
          <w:szCs w:val="16"/>
          <w:u w:val="dotted"/>
          <w:rtl/>
        </w:rPr>
        <w:t>)</w:t>
      </w:r>
      <w:r>
        <w:rPr>
          <w:rFonts w:cs="Arial" w:hint="cs"/>
          <w:u w:val="dotted"/>
          <w:rtl/>
        </w:rPr>
        <w:t xml:space="preserve"> ששמעון פסול </w:t>
      </w:r>
      <w:r w:rsidRPr="00795DD7">
        <w:rPr>
          <w:rFonts w:cs="Arial" w:hint="cs"/>
          <w:u w:val="dotted"/>
          <w:rtl/>
        </w:rPr>
        <w:t xml:space="preserve">מלהעיד </w:t>
      </w:r>
      <w:r>
        <w:rPr>
          <w:rFonts w:cs="Arial" w:hint="cs"/>
          <w:u w:val="dotted"/>
          <w:rtl/>
        </w:rPr>
        <w:t>על שדה/טלית זו:</w:t>
      </w:r>
    </w:p>
    <w:p w14:paraId="7C708C84" w14:textId="77777777" w:rsidR="004B607F" w:rsidRDefault="004B607F" w:rsidP="004B0475">
      <w:pPr>
        <w:pStyle w:val="ac"/>
        <w:numPr>
          <w:ilvl w:val="0"/>
          <w:numId w:val="114"/>
        </w:numPr>
        <w:rPr>
          <w:rFonts w:cs="Arial"/>
        </w:rPr>
      </w:pPr>
      <w:r w:rsidRPr="00A2312D">
        <w:rPr>
          <w:rFonts w:cs="Arial"/>
          <w:rtl/>
        </w:rPr>
        <w:t>ה"ר יונה</w:t>
      </w:r>
      <w:r>
        <w:rPr>
          <w:rFonts w:cs="Arial" w:hint="cs"/>
          <w:sz w:val="16"/>
          <w:szCs w:val="16"/>
          <w:rtl/>
        </w:rPr>
        <w:t xml:space="preserve"> (כ"כ הטור בשמו)</w:t>
      </w:r>
      <w:r>
        <w:rPr>
          <w:rFonts w:cs="Arial" w:hint="cs"/>
          <w:rtl/>
        </w:rPr>
        <w:t>-</w:t>
      </w:r>
      <w:r w:rsidRPr="00A2312D">
        <w:rPr>
          <w:rFonts w:cs="Arial"/>
          <w:rtl/>
        </w:rPr>
        <w:t xml:space="preserve"> אפי' אם אין אנו יודעין שנוגע בעדות אלא על ידי שנתרעם על ראובן בב"ד </w:t>
      </w:r>
      <w:r>
        <w:rPr>
          <w:rFonts w:cs="Arial" w:hint="cs"/>
          <w:rtl/>
        </w:rPr>
        <w:t xml:space="preserve">- </w:t>
      </w:r>
      <w:r w:rsidRPr="00A2312D">
        <w:rPr>
          <w:rFonts w:cs="Arial"/>
          <w:rtl/>
        </w:rPr>
        <w:t>יש לנו לפוסלו ע"פ דבריו</w:t>
      </w:r>
      <w:r>
        <w:rPr>
          <w:rFonts w:cs="Arial" w:hint="cs"/>
          <w:rtl/>
        </w:rPr>
        <w:t>,</w:t>
      </w:r>
      <w:r w:rsidRPr="00A2312D">
        <w:rPr>
          <w:rFonts w:cs="Arial"/>
          <w:rtl/>
        </w:rPr>
        <w:t xml:space="preserve"> שיש לנו לחוש שמא נוגע הוא בעדות</w:t>
      </w:r>
      <w:r w:rsidRPr="00A2312D">
        <w:rPr>
          <w:rFonts w:cs="Arial" w:hint="cs"/>
          <w:rtl/>
        </w:rPr>
        <w:t>.</w:t>
      </w:r>
      <w:r w:rsidRPr="00A2312D">
        <w:rPr>
          <w:rFonts w:cs="Arial"/>
          <w:rtl/>
        </w:rPr>
        <w:t xml:space="preserve"> </w:t>
      </w:r>
    </w:p>
    <w:p w14:paraId="04CB910C" w14:textId="77777777" w:rsidR="004B607F" w:rsidRPr="00A2312D" w:rsidRDefault="004B607F" w:rsidP="004B0475">
      <w:pPr>
        <w:pStyle w:val="ac"/>
        <w:numPr>
          <w:ilvl w:val="0"/>
          <w:numId w:val="114"/>
        </w:numPr>
        <w:rPr>
          <w:rFonts w:cs="Arial"/>
          <w:rtl/>
        </w:rPr>
      </w:pPr>
      <w:r w:rsidRPr="00A2312D">
        <w:rPr>
          <w:rFonts w:cs="Arial"/>
          <w:rtl/>
        </w:rPr>
        <w:t>ר"י</w:t>
      </w:r>
      <w:r>
        <w:rPr>
          <w:rFonts w:cs="Arial" w:hint="cs"/>
          <w:sz w:val="16"/>
          <w:szCs w:val="16"/>
          <w:rtl/>
        </w:rPr>
        <w:t xml:space="preserve"> (כ"כ הטור בשמו)</w:t>
      </w:r>
      <w:r>
        <w:rPr>
          <w:rFonts w:cs="Arial" w:hint="cs"/>
          <w:rtl/>
        </w:rPr>
        <w:t xml:space="preserve">- </w:t>
      </w:r>
      <w:r w:rsidRPr="00A2312D">
        <w:rPr>
          <w:rFonts w:cs="Arial"/>
          <w:rtl/>
        </w:rPr>
        <w:t>משום חששא שנתרעם עליו בב"ד שגזלה ממנו אין לפוסלו לעדות אא"כ ידוע לנו שיש לו עדים שיכול לזכות בדין</w:t>
      </w:r>
      <w:r w:rsidRPr="00A2312D">
        <w:rPr>
          <w:rFonts w:cs="Arial" w:hint="cs"/>
          <w:rtl/>
        </w:rPr>
        <w:t xml:space="preserve">. </w:t>
      </w:r>
      <w:r>
        <w:rPr>
          <w:rFonts w:cs="Arial" w:hint="cs"/>
          <w:rtl/>
        </w:rPr>
        <w:t xml:space="preserve"> </w:t>
      </w:r>
    </w:p>
    <w:p w14:paraId="10882BCA" w14:textId="77777777" w:rsidR="004B607F" w:rsidRPr="00FF6928" w:rsidRDefault="004B607F" w:rsidP="004B607F">
      <w:pPr>
        <w:rPr>
          <w:rFonts w:cs="Arial"/>
          <w:u w:val="single"/>
        </w:rPr>
      </w:pPr>
      <w:r w:rsidRPr="00FF6928">
        <w:rPr>
          <w:rFonts w:cs="Arial"/>
          <w:u w:val="single"/>
          <w:rtl/>
        </w:rPr>
        <w:t>ראובן גזל שדה</w:t>
      </w:r>
      <w:r>
        <w:rPr>
          <w:rFonts w:cs="Arial" w:hint="cs"/>
          <w:u w:val="single"/>
          <w:rtl/>
        </w:rPr>
        <w:t>/</w:t>
      </w:r>
      <w:r w:rsidRPr="00FF6928">
        <w:rPr>
          <w:rFonts w:cs="Arial"/>
          <w:u w:val="single"/>
          <w:rtl/>
        </w:rPr>
        <w:t>טלית משמעון</w:t>
      </w:r>
      <w:r>
        <w:rPr>
          <w:rFonts w:cs="Arial" w:hint="cs"/>
          <w:u w:val="single"/>
          <w:rtl/>
        </w:rPr>
        <w:t xml:space="preserve"> </w:t>
      </w:r>
      <w:r>
        <w:rPr>
          <w:rFonts w:cs="Arial" w:hint="cs"/>
          <w:b/>
          <w:bCs/>
          <w:u w:val="single"/>
          <w:rtl/>
        </w:rPr>
        <w:t>ומכרה ליהודה</w:t>
      </w:r>
      <w:r w:rsidRPr="00FF6928">
        <w:rPr>
          <w:rFonts w:cs="Arial" w:hint="cs"/>
          <w:u w:val="single"/>
          <w:rtl/>
        </w:rPr>
        <w:t>,</w:t>
      </w:r>
      <w:r w:rsidRPr="00FF6928">
        <w:rPr>
          <w:rFonts w:cs="Arial"/>
          <w:u w:val="single"/>
          <w:rtl/>
        </w:rPr>
        <w:t xml:space="preserve"> ובא לוי להוציאה מידו</w:t>
      </w:r>
      <w:r>
        <w:rPr>
          <w:rFonts w:cs="Arial" w:hint="cs"/>
          <w:u w:val="single"/>
          <w:rtl/>
        </w:rPr>
        <w:t xml:space="preserve"> </w:t>
      </w:r>
      <w:r w:rsidRPr="00FF6928">
        <w:rPr>
          <w:rFonts w:cs="Arial"/>
          <w:u w:val="single"/>
          <w:rtl/>
        </w:rPr>
        <w:t xml:space="preserve">– </w:t>
      </w:r>
      <w:r w:rsidRPr="00FF6928">
        <w:rPr>
          <w:rFonts w:cs="Arial" w:hint="cs"/>
          <w:u w:val="single"/>
          <w:rtl/>
        </w:rPr>
        <w:t>ה</w:t>
      </w:r>
      <w:r w:rsidRPr="00FF6928">
        <w:rPr>
          <w:rFonts w:cs="Arial"/>
          <w:u w:val="single"/>
          <w:rtl/>
        </w:rPr>
        <w:t xml:space="preserve">אם שמעון </w:t>
      </w:r>
      <w:r w:rsidRPr="00FF6928">
        <w:rPr>
          <w:rFonts w:cs="Arial" w:hint="cs"/>
          <w:u w:val="single"/>
          <w:rtl/>
        </w:rPr>
        <w:t>יכול להעיד</w:t>
      </w:r>
      <w:r>
        <w:rPr>
          <w:rFonts w:cs="Arial" w:hint="cs"/>
          <w:u w:val="single"/>
          <w:rtl/>
        </w:rPr>
        <w:t xml:space="preserve"> </w:t>
      </w:r>
      <w:r w:rsidRPr="002E3BA6">
        <w:rPr>
          <w:rFonts w:cs="Arial" w:hint="cs"/>
          <w:b/>
          <w:bCs/>
          <w:u w:val="single"/>
          <w:rtl/>
        </w:rPr>
        <w:t>ליהודה</w:t>
      </w:r>
      <w:r>
        <w:rPr>
          <w:rFonts w:cs="Arial" w:hint="cs"/>
          <w:u w:val="single"/>
          <w:rtl/>
        </w:rPr>
        <w:t xml:space="preserve"> </w:t>
      </w:r>
      <w:r>
        <w:rPr>
          <w:rFonts w:cs="Arial" w:hint="cs"/>
          <w:sz w:val="16"/>
          <w:szCs w:val="16"/>
          <w:u w:val="single"/>
          <w:rtl/>
        </w:rPr>
        <w:t>(הלוקח מהגזלן)</w:t>
      </w:r>
      <w:r w:rsidRPr="00FF6928">
        <w:rPr>
          <w:rFonts w:cs="Arial" w:hint="cs"/>
          <w:u w:val="single"/>
          <w:rtl/>
        </w:rPr>
        <w:t>:</w:t>
      </w:r>
    </w:p>
    <w:p w14:paraId="5304A139" w14:textId="77777777" w:rsidR="004B607F" w:rsidRPr="00E92D2A" w:rsidRDefault="004B607F" w:rsidP="004B0475">
      <w:pPr>
        <w:pStyle w:val="ac"/>
        <w:numPr>
          <w:ilvl w:val="0"/>
          <w:numId w:val="114"/>
        </w:numPr>
        <w:rPr>
          <w:rFonts w:cs="Arial"/>
          <w:u w:val="single"/>
          <w:rtl/>
        </w:rPr>
      </w:pPr>
      <w:r w:rsidRPr="00FF6928">
        <w:rPr>
          <w:rFonts w:cs="Arial" w:hint="cs"/>
          <w:rtl/>
        </w:rPr>
        <w:t>טור-</w:t>
      </w:r>
      <w:r w:rsidRPr="00FF6928">
        <w:rPr>
          <w:rFonts w:cs="Arial"/>
          <w:rtl/>
        </w:rPr>
        <w:t xml:space="preserve"> וכן הדין אם מכר ראובן את השדה הגזולה ליהודה</w:t>
      </w:r>
      <w:r w:rsidRPr="00FF6928">
        <w:rPr>
          <w:rFonts w:cs="Arial" w:hint="cs"/>
          <w:rtl/>
        </w:rPr>
        <w:t>,</w:t>
      </w:r>
      <w:r w:rsidRPr="00FF6928">
        <w:rPr>
          <w:rFonts w:cs="Arial"/>
          <w:rtl/>
        </w:rPr>
        <w:t xml:space="preserve"> ובא לוי לערער עם יהודה</w:t>
      </w:r>
      <w:r>
        <w:rPr>
          <w:rFonts w:cs="Arial" w:hint="cs"/>
          <w:rtl/>
        </w:rPr>
        <w:t xml:space="preserve"> -</w:t>
      </w:r>
      <w:r w:rsidRPr="00FF6928">
        <w:rPr>
          <w:rFonts w:cs="Arial"/>
          <w:rtl/>
        </w:rPr>
        <w:t xml:space="preserve"> אין שמעון יכול להעיד לו להעמידה בידו מטעם דהראשון נוח לו והשני קשה לו</w:t>
      </w:r>
      <w:r w:rsidRPr="00FF6928">
        <w:rPr>
          <w:rFonts w:cs="Arial" w:hint="cs"/>
          <w:rtl/>
        </w:rPr>
        <w:t>,</w:t>
      </w:r>
      <w:r w:rsidRPr="00FF6928">
        <w:rPr>
          <w:rFonts w:cs="Arial"/>
          <w:rtl/>
        </w:rPr>
        <w:t xml:space="preserve"> שכשם שמוציאה מיד הגזלן כך מוציאה מיד</w:t>
      </w:r>
      <w:r>
        <w:rPr>
          <w:rFonts w:cs="Arial" w:hint="cs"/>
          <w:rtl/>
        </w:rPr>
        <w:t xml:space="preserve"> </w:t>
      </w:r>
      <w:r w:rsidRPr="00FF6928">
        <w:rPr>
          <w:rFonts w:cs="Arial"/>
          <w:rtl/>
        </w:rPr>
        <w:t>הלוקח אפי' נתייאש קודם שמכרה</w:t>
      </w:r>
      <w:r>
        <w:rPr>
          <w:rStyle w:val="ab"/>
          <w:rFonts w:cs="Arial"/>
          <w:rtl/>
        </w:rPr>
        <w:footnoteReference w:id="2772"/>
      </w:r>
      <w:r w:rsidRPr="00FF6928">
        <w:rPr>
          <w:rFonts w:cs="Arial" w:hint="cs"/>
          <w:rtl/>
        </w:rPr>
        <w:t>.</w:t>
      </w:r>
      <w:r w:rsidRPr="00FF6928">
        <w:rPr>
          <w:rFonts w:cs="Arial"/>
          <w:rtl/>
        </w:rPr>
        <w:t xml:space="preserve"> אבל אם מכר הטלית הגזולה ליהודה</w:t>
      </w:r>
      <w:r w:rsidRPr="00FF6928">
        <w:rPr>
          <w:rFonts w:cs="Arial" w:hint="cs"/>
          <w:rtl/>
        </w:rPr>
        <w:t>,</w:t>
      </w:r>
      <w:r w:rsidRPr="00FF6928">
        <w:rPr>
          <w:rFonts w:cs="Arial"/>
          <w:rtl/>
        </w:rPr>
        <w:t xml:space="preserve"> ובא לוי לערער</w:t>
      </w:r>
      <w:r w:rsidRPr="00FF6928">
        <w:rPr>
          <w:rFonts w:cs="Arial" w:hint="cs"/>
          <w:rtl/>
        </w:rPr>
        <w:t>,</w:t>
      </w:r>
      <w:r w:rsidRPr="00FF6928">
        <w:rPr>
          <w:rFonts w:cs="Arial"/>
          <w:rtl/>
        </w:rPr>
        <w:t xml:space="preserve"> אם מת ראובן ושמעינן ליה לנגזל דאייאש קודם</w:t>
      </w:r>
      <w:r>
        <w:rPr>
          <w:rStyle w:val="ab"/>
          <w:rFonts w:cs="Arial"/>
          <w:rtl/>
        </w:rPr>
        <w:footnoteReference w:id="2773"/>
      </w:r>
      <w:r w:rsidRPr="00FF6928">
        <w:rPr>
          <w:rFonts w:cs="Arial"/>
          <w:rtl/>
        </w:rPr>
        <w:t xml:space="preserve"> שנמכר </w:t>
      </w:r>
      <w:r>
        <w:rPr>
          <w:rFonts w:cs="Arial" w:hint="cs"/>
          <w:rtl/>
        </w:rPr>
        <w:t xml:space="preserve">- </w:t>
      </w:r>
      <w:r w:rsidRPr="00FF6928">
        <w:rPr>
          <w:rFonts w:cs="Arial"/>
          <w:rtl/>
        </w:rPr>
        <w:t>יכול להעיד ליהודה הלוקח להעמיד בידו</w:t>
      </w:r>
      <w:r w:rsidRPr="00FF6928">
        <w:rPr>
          <w:rFonts w:cs="Arial" w:hint="cs"/>
          <w:rtl/>
        </w:rPr>
        <w:t xml:space="preserve">, </w:t>
      </w:r>
      <w:r w:rsidRPr="00FF6928">
        <w:rPr>
          <w:rFonts w:cs="Arial"/>
          <w:rtl/>
        </w:rPr>
        <w:t>שאין לו שום הנאה בזה העדות</w:t>
      </w:r>
      <w:r>
        <w:rPr>
          <w:rFonts w:cs="Arial" w:hint="cs"/>
          <w:rtl/>
        </w:rPr>
        <w:t>,</w:t>
      </w:r>
      <w:r w:rsidRPr="00FF6928">
        <w:rPr>
          <w:rFonts w:cs="Arial"/>
          <w:rtl/>
        </w:rPr>
        <w:t xml:space="preserve"> שאפי' אם תשאר ביד יהודה לא תחזור לו שקנאה בייאוש ושינוי רשות</w:t>
      </w:r>
      <w:r w:rsidRPr="00FF6928">
        <w:rPr>
          <w:rFonts w:cs="Arial" w:hint="cs"/>
          <w:rtl/>
        </w:rPr>
        <w:t>,</w:t>
      </w:r>
      <w:r w:rsidRPr="00FF6928">
        <w:rPr>
          <w:rFonts w:cs="Arial"/>
          <w:rtl/>
        </w:rPr>
        <w:t xml:space="preserve"> ואף דמיה לא יחזרו לו כיון שמת ראובן</w:t>
      </w:r>
      <w:r>
        <w:rPr>
          <w:rFonts w:cs="Arial" w:hint="cs"/>
          <w:rtl/>
        </w:rPr>
        <w:t>.</w:t>
      </w:r>
      <w:r w:rsidRPr="00FF6928">
        <w:rPr>
          <w:rFonts w:cs="Arial"/>
          <w:rtl/>
        </w:rPr>
        <w:t xml:space="preserve"> אבל אם ראובן חי לא יעיד שהוא נהנה בדבר שתשאר ביד יהודה</w:t>
      </w:r>
      <w:r w:rsidRPr="00FF6928">
        <w:rPr>
          <w:rFonts w:cs="Arial" w:hint="cs"/>
          <w:rtl/>
        </w:rPr>
        <w:t>,</w:t>
      </w:r>
      <w:r w:rsidRPr="00FF6928">
        <w:rPr>
          <w:rFonts w:cs="Arial"/>
          <w:rtl/>
        </w:rPr>
        <w:t xml:space="preserve"> דנהי שהטלית אינה חוזרת לו מ"מ ראובן מתחייב לו בדמיה ואם תבא ליד לוי לא יתחייב לו כלום</w:t>
      </w:r>
      <w:r w:rsidRPr="00FF6928">
        <w:rPr>
          <w:rFonts w:cs="Arial" w:hint="cs"/>
          <w:rtl/>
        </w:rPr>
        <w:t>.</w:t>
      </w:r>
      <w:r w:rsidRPr="00E92D2A">
        <w:rPr>
          <w:rFonts w:cs="Arial" w:hint="cs"/>
          <w:rtl/>
        </w:rPr>
        <w:t xml:space="preserve"> </w:t>
      </w:r>
      <w:r w:rsidRPr="00E92D2A">
        <w:rPr>
          <w:rFonts w:cs="Arial"/>
          <w:rtl/>
        </w:rPr>
        <w:t>ואפי' מת</w:t>
      </w:r>
      <w:r>
        <w:rPr>
          <w:rFonts w:cs="Arial" w:hint="cs"/>
          <w:rtl/>
        </w:rPr>
        <w:t>,</w:t>
      </w:r>
      <w:r w:rsidRPr="00E92D2A">
        <w:rPr>
          <w:rFonts w:cs="Arial"/>
          <w:rtl/>
        </w:rPr>
        <w:t xml:space="preserve"> דוקא שלא הניח אחריות נכסים אבל אם הניח אחריות נכסים חייב לשלם</w:t>
      </w:r>
      <w:r>
        <w:rPr>
          <w:rStyle w:val="ab"/>
          <w:rFonts w:cs="Arial"/>
          <w:rtl/>
        </w:rPr>
        <w:footnoteReference w:id="2774"/>
      </w:r>
      <w:r w:rsidRPr="00E92D2A">
        <w:rPr>
          <w:rFonts w:cs="Arial"/>
          <w:rtl/>
        </w:rPr>
        <w:t xml:space="preserve"> ונמצא בזה שנוגע בעדות</w:t>
      </w:r>
      <w:r>
        <w:rPr>
          <w:rFonts w:cs="Arial" w:hint="cs"/>
          <w:rtl/>
        </w:rPr>
        <w:t>.</w:t>
      </w:r>
      <w:r w:rsidRPr="00E92D2A">
        <w:rPr>
          <w:rFonts w:cs="Arial"/>
          <w:rtl/>
        </w:rPr>
        <w:t xml:space="preserve"> וכתב הרמ"ה</w:t>
      </w:r>
      <w:r>
        <w:rPr>
          <w:rStyle w:val="ab"/>
          <w:rFonts w:cs="Arial"/>
          <w:rtl/>
        </w:rPr>
        <w:footnoteReference w:id="2775"/>
      </w:r>
      <w:r w:rsidRPr="00E92D2A">
        <w:rPr>
          <w:rFonts w:cs="Arial" w:hint="cs"/>
          <w:rtl/>
        </w:rPr>
        <w:t xml:space="preserve"> </w:t>
      </w:r>
      <w:r w:rsidRPr="00E92D2A">
        <w:rPr>
          <w:rFonts w:cs="Arial"/>
          <w:sz w:val="16"/>
          <w:szCs w:val="16"/>
          <w:rtl/>
        </w:rPr>
        <w:t>(</w:t>
      </w:r>
      <w:r w:rsidRPr="00470D07">
        <w:rPr>
          <w:rFonts w:cs="Arial"/>
          <w:sz w:val="16"/>
          <w:szCs w:val="16"/>
          <w:rtl/>
        </w:rPr>
        <w:t>יד רמ"ה ב</w:t>
      </w:r>
      <w:r>
        <w:rPr>
          <w:rFonts w:cs="Arial" w:hint="cs"/>
          <w:sz w:val="16"/>
          <w:szCs w:val="16"/>
          <w:rtl/>
        </w:rPr>
        <w:t>"</w:t>
      </w:r>
      <w:r w:rsidRPr="00470D07">
        <w:rPr>
          <w:rFonts w:cs="Arial"/>
          <w:sz w:val="16"/>
          <w:szCs w:val="16"/>
          <w:rtl/>
        </w:rPr>
        <w:t>ב</w:t>
      </w:r>
      <w:r>
        <w:rPr>
          <w:rFonts w:cs="Arial" w:hint="cs"/>
          <w:sz w:val="16"/>
          <w:szCs w:val="16"/>
          <w:rtl/>
        </w:rPr>
        <w:t xml:space="preserve"> מד.)</w:t>
      </w:r>
      <w:r w:rsidRPr="00E92D2A">
        <w:rPr>
          <w:rFonts w:cs="Arial"/>
          <w:rtl/>
        </w:rPr>
        <w:t xml:space="preserve"> והאידנא דתקינו רבנן לב"ח למיגבי אפי' ממטלטלי דיתמי אע</w:t>
      </w:r>
      <w:r w:rsidRPr="00E92D2A">
        <w:rPr>
          <w:rFonts w:cs="Arial" w:hint="cs"/>
          <w:rtl/>
        </w:rPr>
        <w:t>"</w:t>
      </w:r>
      <w:r w:rsidRPr="00E92D2A">
        <w:rPr>
          <w:rFonts w:cs="Arial"/>
          <w:rtl/>
        </w:rPr>
        <w:t xml:space="preserve">פ שמת הגזלן ולא הניח אחריות נכסים </w:t>
      </w:r>
      <w:r>
        <w:rPr>
          <w:rFonts w:cs="Arial" w:hint="cs"/>
          <w:rtl/>
        </w:rPr>
        <w:t xml:space="preserve">- </w:t>
      </w:r>
      <w:r w:rsidRPr="00E92D2A">
        <w:rPr>
          <w:rFonts w:cs="Arial"/>
          <w:rtl/>
        </w:rPr>
        <w:t>אין הנגזל מעיד לו דאכתי נוגע בעדות הוא</w:t>
      </w:r>
      <w:r>
        <w:rPr>
          <w:rFonts w:cs="Arial" w:hint="cs"/>
          <w:rtl/>
        </w:rPr>
        <w:t>.</w:t>
      </w:r>
      <w:r w:rsidRPr="00E92D2A">
        <w:rPr>
          <w:rFonts w:cs="Arial"/>
          <w:rtl/>
        </w:rPr>
        <w:t xml:space="preserve"> ואם לא מכרו הגזלן אפי' אם מת ולא הניח אחריות נכסים חייבין הבנים להחזיר אף מדינא דקיי"ל רשות יורש לאו כרשות לוקח</w:t>
      </w:r>
      <w:r>
        <w:rPr>
          <w:rStyle w:val="ab"/>
          <w:rFonts w:cs="Arial"/>
          <w:rtl/>
        </w:rPr>
        <w:footnoteReference w:id="2776"/>
      </w:r>
      <w:r w:rsidRPr="00E92D2A">
        <w:rPr>
          <w:rFonts w:cs="Arial"/>
          <w:rtl/>
        </w:rPr>
        <w:t xml:space="preserve"> ונוגע בעדות הוא</w:t>
      </w:r>
      <w:r w:rsidRPr="00E92D2A">
        <w:rPr>
          <w:rFonts w:cs="Arial" w:hint="cs"/>
          <w:rtl/>
        </w:rPr>
        <w:t>.</w:t>
      </w:r>
      <w:r w:rsidRPr="00E375B4">
        <w:rPr>
          <w:rFonts w:cs="Arial" w:hint="cs"/>
          <w:color w:val="E36C0A" w:themeColor="accent6" w:themeShade="BF"/>
          <w:rtl/>
        </w:rPr>
        <w:t xml:space="preserve"> (וכ"פ בשו"ע)</w:t>
      </w:r>
    </w:p>
    <w:p w14:paraId="73A9F46D" w14:textId="77777777" w:rsidR="004B607F" w:rsidRDefault="004B607F" w:rsidP="004B607F">
      <w:pPr>
        <w:rPr>
          <w:rFonts w:cs="Arial"/>
          <w:rtl/>
        </w:rPr>
      </w:pPr>
      <w:r w:rsidRPr="00E92D2A">
        <w:rPr>
          <w:rFonts w:cs="Arial"/>
          <w:u w:val="single"/>
          <w:rtl/>
        </w:rPr>
        <w:t>מת גזלן ובא מערער בטענת שאלה ושכירות ולא שמעיניה דאייאש</w:t>
      </w:r>
      <w:r>
        <w:rPr>
          <w:rFonts w:cs="Arial" w:hint="cs"/>
          <w:u w:val="single"/>
          <w:rtl/>
        </w:rPr>
        <w:t xml:space="preserve"> </w:t>
      </w:r>
      <w:r>
        <w:rPr>
          <w:rFonts w:cs="Arial"/>
          <w:u w:val="single"/>
          <w:rtl/>
        </w:rPr>
        <w:t>–</w:t>
      </w:r>
      <w:r>
        <w:rPr>
          <w:rFonts w:cs="Arial" w:hint="cs"/>
          <w:u w:val="single"/>
          <w:rtl/>
        </w:rPr>
        <w:t xml:space="preserve"> האם יכול הנגזל להעיד</w:t>
      </w:r>
      <w:r w:rsidRPr="00E92D2A">
        <w:rPr>
          <w:rFonts w:cs="Arial" w:hint="cs"/>
          <w:u w:val="single"/>
          <w:rtl/>
        </w:rPr>
        <w:t>:</w:t>
      </w:r>
    </w:p>
    <w:p w14:paraId="5A12E8F1" w14:textId="77777777" w:rsidR="004B607F" w:rsidRPr="00D60C1E" w:rsidRDefault="004B607F" w:rsidP="004B0475">
      <w:pPr>
        <w:pStyle w:val="ac"/>
        <w:numPr>
          <w:ilvl w:val="0"/>
          <w:numId w:val="114"/>
        </w:numPr>
        <w:rPr>
          <w:rtl/>
        </w:rPr>
      </w:pPr>
      <w:r w:rsidRPr="00E92D2A">
        <w:rPr>
          <w:rFonts w:cs="Arial" w:hint="cs"/>
          <w:rtl/>
        </w:rPr>
        <w:t xml:space="preserve">רי"ו </w:t>
      </w:r>
      <w:r w:rsidRPr="00E92D2A">
        <w:rPr>
          <w:rFonts w:cs="Arial" w:hint="cs"/>
          <w:sz w:val="16"/>
          <w:szCs w:val="16"/>
          <w:rtl/>
        </w:rPr>
        <w:t>(</w:t>
      </w:r>
      <w:r w:rsidRPr="00E92D2A">
        <w:rPr>
          <w:rFonts w:cs="Arial"/>
          <w:sz w:val="16"/>
          <w:szCs w:val="16"/>
          <w:rtl/>
        </w:rPr>
        <w:t>מישרים נ"ב ח"ה יג:)</w:t>
      </w:r>
      <w:r w:rsidRPr="00E92D2A">
        <w:rPr>
          <w:rFonts w:cs="Arial" w:hint="cs"/>
          <w:rtl/>
        </w:rPr>
        <w:t>-</w:t>
      </w:r>
      <w:r w:rsidRPr="00E92D2A">
        <w:rPr>
          <w:rFonts w:cs="Arial"/>
          <w:rtl/>
        </w:rPr>
        <w:t xml:space="preserve"> אפילו מת גזלן ובא מערער בטענת שאלה ושכירות ולא שמעיניה דאייאש </w:t>
      </w:r>
      <w:r>
        <w:rPr>
          <w:rFonts w:cs="Arial" w:hint="cs"/>
          <w:rtl/>
        </w:rPr>
        <w:t xml:space="preserve">- </w:t>
      </w:r>
      <w:r w:rsidRPr="00E92D2A">
        <w:rPr>
          <w:rFonts w:cs="Arial"/>
          <w:rtl/>
        </w:rPr>
        <w:t>אינו מעיד</w:t>
      </w:r>
      <w:r>
        <w:rPr>
          <w:rFonts w:cs="Arial" w:hint="cs"/>
          <w:rtl/>
        </w:rPr>
        <w:t>,</w:t>
      </w:r>
      <w:r w:rsidRPr="00E92D2A">
        <w:rPr>
          <w:rFonts w:cs="Arial"/>
          <w:rtl/>
        </w:rPr>
        <w:t xml:space="preserve"> שטוב בעיניו להעמידה ביד לוקח כדי שיוציאנה אחר כך ממנו בעדים שיש לו</w:t>
      </w:r>
      <w:r w:rsidRPr="00E92D2A">
        <w:rPr>
          <w:rFonts w:cs="Arial" w:hint="cs"/>
          <w:rtl/>
        </w:rPr>
        <w:t>.</w:t>
      </w:r>
    </w:p>
    <w:p w14:paraId="227F3C65" w14:textId="77777777" w:rsidR="004B607F" w:rsidRPr="003024E5" w:rsidRDefault="004B607F" w:rsidP="004B607F">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063CB62D" w14:textId="77777777" w:rsidR="004B607F" w:rsidRDefault="004B607F" w:rsidP="004B607F">
      <w:pPr>
        <w:rPr>
          <w:rtl/>
        </w:rPr>
      </w:pPr>
      <w:r>
        <w:rPr>
          <w:rFonts w:cs="Arial"/>
          <w:rtl/>
        </w:rPr>
        <w:t xml:space="preserve">ראובן שגזל טלית או שדה משמעון, ובא יהודה וערער על ראובן, ואמר שדה זו או טלית זו שלי היא, אין שמעון יכול להעיד שאין זו השדה והטלית של יהודה, שהרי שמעון רוצה להעמיד שדה זו או טלית זו ביד ראובן מפני שאפשר </w:t>
      </w:r>
      <w:r>
        <w:rPr>
          <w:rFonts w:cs="Arial"/>
          <w:rtl/>
        </w:rPr>
        <w:lastRenderedPageBreak/>
        <w:t>שנוח</w:t>
      </w:r>
      <w:r>
        <w:rPr>
          <w:rStyle w:val="ab"/>
          <w:rFonts w:cs="Arial"/>
          <w:rtl/>
        </w:rPr>
        <w:footnoteReference w:id="2777"/>
      </w:r>
      <w:r>
        <w:rPr>
          <w:rFonts w:cs="Arial"/>
          <w:rtl/>
        </w:rPr>
        <w:t xml:space="preserve"> לו להוציאה מיד ראובן יותר מלהוציאה מיד יהודה. וכן אם מכר ראובן השדה</w:t>
      </w:r>
      <w:r>
        <w:rPr>
          <w:rStyle w:val="ab"/>
          <w:rFonts w:cs="Arial"/>
          <w:rtl/>
        </w:rPr>
        <w:footnoteReference w:id="2778"/>
      </w:r>
      <w:r>
        <w:rPr>
          <w:rFonts w:cs="Arial"/>
          <w:rtl/>
        </w:rPr>
        <w:t xml:space="preserve"> הגזולה או הורישה ללוי, ובא יהודה לערער על לוי, אין שמעון מעיד שאינה של יהודה. ואם מכר הטלית הגזולה ללוי, ונתיאש שמעון ממנה</w:t>
      </w:r>
      <w:r>
        <w:rPr>
          <w:rStyle w:val="ab"/>
          <w:rFonts w:cs="Arial"/>
          <w:rtl/>
        </w:rPr>
        <w:footnoteReference w:id="2779"/>
      </w:r>
      <w:r>
        <w:rPr>
          <w:rFonts w:cs="Arial"/>
          <w:rtl/>
        </w:rPr>
        <w:t>, ובא יהודה לערער על לוי, אם מת ראובן, שמעון מעיד עליה שאינה של יהודה, שהרי אין טלית זו חוזרת לשמעון לעולם, שכבר קנאה הלוקח ביאוש ושינוי רשות וכבר מת ראובן הגזלן ואין לו ממי יטול דמיה</w:t>
      </w:r>
      <w:r>
        <w:rPr>
          <w:rFonts w:cs="Arial" w:hint="cs"/>
          <w:rtl/>
        </w:rPr>
        <w:t>.</w:t>
      </w:r>
      <w:r>
        <w:rPr>
          <w:rFonts w:cs="Arial"/>
          <w:rtl/>
        </w:rPr>
        <w:t xml:space="preserve"> אבל אם עדיין ראובן קיים אין שמעון מעיד אף על הטלית, שהנאה היא לו שלא תעמוד ביד יהודה כדי שיביא ראיה שראובן גזלה וישלם דמיה</w:t>
      </w:r>
      <w:r>
        <w:rPr>
          <w:rFonts w:cs="Arial" w:hint="cs"/>
          <w:rtl/>
        </w:rPr>
        <w:t>.</w:t>
      </w:r>
      <w:r>
        <w:rPr>
          <w:rFonts w:cs="Arial"/>
          <w:rtl/>
        </w:rPr>
        <w:t xml:space="preserve"> וכן אם היתה הטלית ביד יורשי ראובן אין שמעון מעיד עליה, מפני שסופה שאם תעמוד ביד היורש לחזור לו</w:t>
      </w:r>
      <w:r>
        <w:rPr>
          <w:rStyle w:val="ab"/>
          <w:rFonts w:cs="Arial"/>
          <w:rtl/>
        </w:rPr>
        <w:footnoteReference w:id="2780"/>
      </w:r>
      <w:r>
        <w:rPr>
          <w:rFonts w:cs="Arial" w:hint="cs"/>
          <w:rtl/>
        </w:rPr>
        <w:t>.</w:t>
      </w:r>
      <w:r>
        <w:rPr>
          <w:rFonts w:cs="Arial"/>
          <w:rtl/>
        </w:rPr>
        <w:t xml:space="preserve"> וכן כל כיוצא בזה. ואפילו כשמת, דוקא שלא הניח אחריות נכסים, אבל אם הניח אחריות נכסים, חייב, ונמצא שזה נוגע בעדות. והאידנא </w:t>
      </w:r>
      <w:r>
        <w:rPr>
          <w:rFonts w:cs="Arial" w:hint="cs"/>
          <w:rtl/>
        </w:rPr>
        <w:t>ד</w:t>
      </w:r>
      <w:r>
        <w:rPr>
          <w:rFonts w:cs="Arial"/>
          <w:rtl/>
        </w:rPr>
        <w:t>תקינו רבנן לבעל חוב למגבי אפילו ממטלטלי דיתמי</w:t>
      </w:r>
      <w:r>
        <w:rPr>
          <w:rFonts w:cs="Arial" w:hint="cs"/>
          <w:rtl/>
        </w:rPr>
        <w:t>,</w:t>
      </w:r>
      <w:r>
        <w:rPr>
          <w:rFonts w:cs="Arial"/>
          <w:rtl/>
        </w:rPr>
        <w:t xml:space="preserve"> אף על פי שמת הגזלן ולא הניח אחריות נכסים, אין הנגזל מעיד לו, דאכתי נוגע בעדות הוא</w:t>
      </w:r>
      <w:r>
        <w:rPr>
          <w:rStyle w:val="ab"/>
          <w:rFonts w:cs="Arial"/>
          <w:rtl/>
        </w:rPr>
        <w:footnoteReference w:id="2781"/>
      </w:r>
      <w:r>
        <w:rPr>
          <w:rFonts w:cs="Arial"/>
          <w:rtl/>
        </w:rPr>
        <w:t>.</w:t>
      </w:r>
      <w:r w:rsidRPr="00D60C1E">
        <w:rPr>
          <w:rFonts w:cs="Arial"/>
          <w:sz w:val="18"/>
          <w:szCs w:val="18"/>
          <w:rtl/>
        </w:rPr>
        <w:t xml:space="preserve"> הגה: וכל זה ששמעון לא בא להעיד רק שהשדה או הטלית אינו של יהודה, אבל אם בא להעיד שהוא של ראובן, בכל ענין יכול להעיד, שכיון שהודה על הדבר שהוא של ראובן שוב אינו יכול לערער עליו ולומר שהוא שלו</w:t>
      </w:r>
      <w:r>
        <w:rPr>
          <w:rFonts w:cs="Arial" w:hint="cs"/>
          <w:sz w:val="18"/>
          <w:szCs w:val="18"/>
          <w:rtl/>
        </w:rPr>
        <w:t>,</w:t>
      </w:r>
      <w:r w:rsidRPr="00D60C1E">
        <w:rPr>
          <w:rFonts w:cs="Arial"/>
          <w:sz w:val="18"/>
          <w:szCs w:val="18"/>
          <w:rtl/>
        </w:rPr>
        <w:t xml:space="preserve"> ואינו נוגע בעדות (טור).</w:t>
      </w:r>
      <w:r>
        <w:rPr>
          <w:rFonts w:cs="Arial"/>
          <w:rtl/>
        </w:rPr>
        <w:t xml:space="preserve"> </w:t>
      </w:r>
    </w:p>
    <w:p w14:paraId="62259AC3" w14:textId="77777777" w:rsidR="004B607F" w:rsidRDefault="004B607F" w:rsidP="004B607F">
      <w:pPr>
        <w:rPr>
          <w:rtl/>
        </w:rPr>
      </w:pPr>
    </w:p>
    <w:p w14:paraId="57AF1071" w14:textId="77777777" w:rsidR="004B607F" w:rsidRDefault="004B607F" w:rsidP="004B607F">
      <w:pPr>
        <w:pStyle w:val="2"/>
        <w:rPr>
          <w:rtl/>
        </w:rPr>
      </w:pPr>
      <w:bookmarkStart w:id="374" w:name="_Toc24883819"/>
      <w:r>
        <w:rPr>
          <w:rtl/>
        </w:rPr>
        <w:t>סעיף יח</w:t>
      </w:r>
      <w:r>
        <w:rPr>
          <w:rFonts w:hint="cs"/>
          <w:rtl/>
        </w:rPr>
        <w:t>:</w:t>
      </w:r>
      <w:r w:rsidRPr="003A1061">
        <w:rPr>
          <w:rFonts w:cs="Arial"/>
          <w:rtl/>
        </w:rPr>
        <w:t xml:space="preserve"> </w:t>
      </w:r>
      <w:r w:rsidRPr="00D60C1E">
        <w:rPr>
          <w:rFonts w:cs="Arial"/>
          <w:rtl/>
        </w:rPr>
        <w:t>בני העיר שבא אדם לערער על שום דבר משלהן</w:t>
      </w:r>
      <w:r>
        <w:rPr>
          <w:rFonts w:hint="cs"/>
          <w:rtl/>
        </w:rPr>
        <w:t>.</w:t>
      </w:r>
      <w:bookmarkEnd w:id="374"/>
    </w:p>
    <w:p w14:paraId="7216A493" w14:textId="77777777" w:rsidR="004B607F" w:rsidRDefault="004B607F" w:rsidP="004B607F">
      <w:pPr>
        <w:rPr>
          <w:rFonts w:cs="Arial"/>
          <w:rtl/>
        </w:rPr>
      </w:pPr>
      <w:r w:rsidRPr="00CE2EF4">
        <w:rPr>
          <w:rFonts w:cs="Arial" w:hint="cs"/>
          <w:b/>
          <w:bCs/>
          <w:rtl/>
        </w:rPr>
        <w:t xml:space="preserve">בבא בתרא </w:t>
      </w:r>
      <w:r w:rsidRPr="00CE2EF4">
        <w:rPr>
          <w:rFonts w:cs="Arial" w:hint="cs"/>
          <w:b/>
          <w:bCs/>
          <w:sz w:val="16"/>
          <w:szCs w:val="16"/>
          <w:rtl/>
        </w:rPr>
        <w:t>(</w:t>
      </w:r>
      <w:r>
        <w:rPr>
          <w:rFonts w:cs="Arial" w:hint="cs"/>
          <w:b/>
          <w:bCs/>
          <w:sz w:val="16"/>
          <w:szCs w:val="16"/>
          <w:rtl/>
        </w:rPr>
        <w:t>פרק חזקת הבתים</w:t>
      </w:r>
      <w:r w:rsidRPr="00CE2EF4">
        <w:rPr>
          <w:rFonts w:cs="Arial" w:hint="cs"/>
          <w:b/>
          <w:bCs/>
          <w:sz w:val="16"/>
          <w:szCs w:val="16"/>
          <w:rtl/>
        </w:rPr>
        <w:t xml:space="preserve">) </w:t>
      </w:r>
      <w:r>
        <w:rPr>
          <w:rFonts w:cs="Arial" w:hint="cs"/>
          <w:b/>
          <w:bCs/>
          <w:rtl/>
        </w:rPr>
        <w:t>מב</w:t>
      </w:r>
      <w:r>
        <w:rPr>
          <w:rStyle w:val="ab"/>
          <w:rFonts w:cs="Arial"/>
          <w:b/>
          <w:bCs/>
          <w:rtl/>
        </w:rPr>
        <w:footnoteReference w:id="2782"/>
      </w:r>
      <w:r w:rsidRPr="00CE2EF4">
        <w:rPr>
          <w:rFonts w:cs="Arial" w:hint="cs"/>
          <w:b/>
          <w:bCs/>
          <w:rtl/>
        </w:rPr>
        <w:t xml:space="preserve"> ע"</w:t>
      </w:r>
      <w:r>
        <w:rPr>
          <w:rFonts w:cs="Arial" w:hint="cs"/>
          <w:b/>
          <w:bCs/>
          <w:rtl/>
        </w:rPr>
        <w:t>ב</w:t>
      </w:r>
      <w:r w:rsidRPr="00CE2EF4">
        <w:rPr>
          <w:rFonts w:cs="Arial" w:hint="cs"/>
          <w:b/>
          <w:bCs/>
          <w:rtl/>
        </w:rPr>
        <w:t>:</w:t>
      </w:r>
      <w:r w:rsidRPr="00022365">
        <w:rPr>
          <w:rFonts w:cs="Arial"/>
          <w:rtl/>
        </w:rPr>
        <w:t xml:space="preserve"> </w:t>
      </w:r>
      <w:r w:rsidRPr="003A1061">
        <w:rPr>
          <w:rFonts w:cs="Arial"/>
          <w:u w:val="single"/>
          <w:rtl/>
        </w:rPr>
        <w:t>אמר שמואל</w:t>
      </w:r>
      <w:r w:rsidRPr="003A1061">
        <w:rPr>
          <w:rFonts w:cs="Arial"/>
          <w:rtl/>
        </w:rPr>
        <w:t>: השותפין מחזיקין זה על זה, ומעידין זה על זה</w:t>
      </w:r>
      <w:r>
        <w:rPr>
          <w:rFonts w:cs="Arial" w:hint="cs"/>
          <w:rtl/>
        </w:rPr>
        <w:t>...</w:t>
      </w:r>
      <w:r w:rsidRPr="003A1061">
        <w:rPr>
          <w:rtl/>
        </w:rPr>
        <w:t xml:space="preserve"> </w:t>
      </w:r>
      <w:r w:rsidRPr="003A1061">
        <w:rPr>
          <w:rFonts w:cs="Arial"/>
          <w:rtl/>
        </w:rPr>
        <w:t>ומעידין זה לזה</w:t>
      </w:r>
      <w:r>
        <w:rPr>
          <w:rFonts w:hint="cs"/>
          <w:rtl/>
        </w:rPr>
        <w:t xml:space="preserve"> </w:t>
      </w:r>
      <w:r>
        <w:rPr>
          <w:rFonts w:hint="cs"/>
          <w:sz w:val="14"/>
          <w:szCs w:val="14"/>
          <w:rtl/>
        </w:rPr>
        <w:t>(מג.)</w:t>
      </w:r>
      <w:r w:rsidRPr="003A1061">
        <w:rPr>
          <w:rtl/>
        </w:rPr>
        <w:t xml:space="preserve"> </w:t>
      </w:r>
      <w:r w:rsidRPr="003A1061">
        <w:rPr>
          <w:rFonts w:cs="Arial"/>
          <w:rtl/>
        </w:rPr>
        <w:t>אמאי? נוגעין בעדותן הן! הכא במאי עסקינן - דכתב ליה: דין ודברים אין לי על שדה זו. וכי כתב לו מאי הוי? והתניא, האומר לחבירו: דין ודברים אין לי על שדה זו ואין לי עסק בה וידי מסולקות הימנה - לא אמר כלום! הכא במאי עסקינן - כשקנו מידו.</w:t>
      </w:r>
      <w:r>
        <w:rPr>
          <w:rFonts w:cs="Arial" w:hint="cs"/>
          <w:rtl/>
        </w:rPr>
        <w:t xml:space="preserve">.. </w:t>
      </w:r>
      <w:r w:rsidRPr="003A1061">
        <w:rPr>
          <w:rFonts w:cs="Arial"/>
          <w:rtl/>
        </w:rPr>
        <w:t>דקביל עליה אחריות.</w:t>
      </w:r>
      <w:r>
        <w:rPr>
          <w:rFonts w:cs="Arial" w:hint="cs"/>
          <w:rtl/>
        </w:rPr>
        <w:t xml:space="preserve">.. </w:t>
      </w:r>
      <w:r w:rsidRPr="003A1061">
        <w:rPr>
          <w:rFonts w:cs="Arial"/>
          <w:rtl/>
        </w:rPr>
        <w:t>אחריות דאתיא ליה מחמתיה. וכי מסלק נפשיה מיניה מי מסתלק? והתניא: בני עיר שנגנב ספר תורה שלהן - אין דנין בדייני אותה העיר, ואין מביאין ראיה מאנשי אותה העיר</w:t>
      </w:r>
      <w:r>
        <w:rPr>
          <w:rFonts w:cs="Arial" w:hint="cs"/>
          <w:rtl/>
        </w:rPr>
        <w:t>.</w:t>
      </w:r>
      <w:r w:rsidRPr="003A1061">
        <w:rPr>
          <w:rFonts w:cs="Arial"/>
          <w:rtl/>
        </w:rPr>
        <w:t xml:space="preserve"> ואם איתא, ליסלקו בי תרי מינייהו ולידיינו! שאני ס"ת, דלשמיעה קאי</w:t>
      </w:r>
      <w:r>
        <w:rPr>
          <w:rStyle w:val="ab"/>
          <w:rFonts w:cs="Arial"/>
          <w:rtl/>
        </w:rPr>
        <w:footnoteReference w:id="2783"/>
      </w:r>
      <w:r w:rsidRPr="003A1061">
        <w:rPr>
          <w:rFonts w:cs="Arial"/>
          <w:rtl/>
        </w:rPr>
        <w:t>. תא שמע: האומר תנו מנה לבני עירי</w:t>
      </w:r>
      <w:r>
        <w:rPr>
          <w:rStyle w:val="ab"/>
          <w:rFonts w:cs="Arial"/>
          <w:rtl/>
        </w:rPr>
        <w:footnoteReference w:id="2784"/>
      </w:r>
      <w:r w:rsidRPr="003A1061">
        <w:rPr>
          <w:rFonts w:cs="Arial"/>
          <w:rtl/>
        </w:rPr>
        <w:t xml:space="preserve"> - אין דנין בדייני אותה העיר, ואין מביאין ראיה מאנשי אותה העיר</w:t>
      </w:r>
      <w:r>
        <w:rPr>
          <w:rFonts w:cs="Arial" w:hint="cs"/>
          <w:rtl/>
        </w:rPr>
        <w:t>.</w:t>
      </w:r>
      <w:r w:rsidRPr="003A1061">
        <w:rPr>
          <w:rFonts w:cs="Arial"/>
          <w:rtl/>
        </w:rPr>
        <w:t xml:space="preserve"> אמאי? ליסלקו בי תרי נפשייהו ולידיינו! הכא נמי בס"ת. </w:t>
      </w:r>
    </w:p>
    <w:p w14:paraId="69B4A053" w14:textId="77777777" w:rsidR="004B607F" w:rsidRDefault="004B607F" w:rsidP="004B607F">
      <w:pPr>
        <w:rPr>
          <w:rFonts w:cs="Arial"/>
          <w:rtl/>
        </w:rPr>
      </w:pPr>
      <w:r w:rsidRPr="003A1061">
        <w:rPr>
          <w:rFonts w:cs="Arial"/>
          <w:u w:val="single"/>
          <w:rtl/>
        </w:rPr>
        <w:t>בני העיר שבא אדם לערער על שום דבר משלהן</w:t>
      </w:r>
      <w:r w:rsidRPr="003A1061">
        <w:rPr>
          <w:rFonts w:cs="Arial" w:hint="cs"/>
          <w:u w:val="single"/>
          <w:rtl/>
        </w:rPr>
        <w:t>:</w:t>
      </w:r>
    </w:p>
    <w:p w14:paraId="517772FB" w14:textId="77777777" w:rsidR="004B607F" w:rsidRDefault="004B607F" w:rsidP="004B0475">
      <w:pPr>
        <w:pStyle w:val="ac"/>
        <w:numPr>
          <w:ilvl w:val="0"/>
          <w:numId w:val="114"/>
        </w:numPr>
        <w:rPr>
          <w:rFonts w:cs="Arial"/>
        </w:rPr>
      </w:pPr>
      <w:r w:rsidRPr="003A1061">
        <w:rPr>
          <w:rFonts w:cs="Arial" w:hint="cs"/>
          <w:rtl/>
        </w:rPr>
        <w:t>טור-</w:t>
      </w:r>
      <w:r w:rsidRPr="003A1061">
        <w:rPr>
          <w:rFonts w:cs="Arial"/>
          <w:rtl/>
        </w:rPr>
        <w:t xml:space="preserve"> בני העיר שבא אדם לערער על שום דבר משלהן כגון מרחץ או רחוב של עיר או כל דבר</w:t>
      </w:r>
      <w:r>
        <w:rPr>
          <w:rStyle w:val="ab"/>
          <w:rFonts w:cs="Arial"/>
          <w:rtl/>
        </w:rPr>
        <w:footnoteReference w:id="2785"/>
      </w:r>
      <w:r w:rsidRPr="003A1061">
        <w:rPr>
          <w:rFonts w:cs="Arial"/>
          <w:rtl/>
        </w:rPr>
        <w:t xml:space="preserve"> שהוא צרכי העיר </w:t>
      </w:r>
      <w:r>
        <w:rPr>
          <w:rFonts w:cs="Arial" w:hint="cs"/>
          <w:rtl/>
        </w:rPr>
        <w:t xml:space="preserve">- </w:t>
      </w:r>
      <w:r w:rsidRPr="003A1061">
        <w:rPr>
          <w:rFonts w:cs="Arial"/>
          <w:rtl/>
        </w:rPr>
        <w:t>אין אחד מבני העיר יכול להעיד עליו</w:t>
      </w:r>
      <w:r>
        <w:rPr>
          <w:rFonts w:cs="Arial" w:hint="cs"/>
          <w:rtl/>
        </w:rPr>
        <w:t>,</w:t>
      </w:r>
      <w:r w:rsidRPr="003A1061">
        <w:rPr>
          <w:rFonts w:cs="Arial"/>
          <w:rtl/>
        </w:rPr>
        <w:t xml:space="preserve"> וגם א"א לו להסתלק כיון שהוא צרכי העיר</w:t>
      </w:r>
      <w:r>
        <w:rPr>
          <w:rFonts w:cs="Arial" w:hint="cs"/>
          <w:rtl/>
        </w:rPr>
        <w:t>.</w:t>
      </w:r>
      <w:r w:rsidRPr="003A1061">
        <w:rPr>
          <w:rFonts w:cs="Arial"/>
          <w:rtl/>
        </w:rPr>
        <w:t xml:space="preserve"> אבל במקום שאפשר </w:t>
      </w:r>
      <w:r w:rsidRPr="003A1061">
        <w:rPr>
          <w:rFonts w:cs="Arial"/>
          <w:rtl/>
        </w:rPr>
        <w:lastRenderedPageBreak/>
        <w:t>להסתלק</w:t>
      </w:r>
      <w:r>
        <w:rPr>
          <w:rFonts w:cs="Arial" w:hint="cs"/>
          <w:rtl/>
        </w:rPr>
        <w:t>,</w:t>
      </w:r>
      <w:r w:rsidRPr="003A1061">
        <w:rPr>
          <w:rFonts w:cs="Arial"/>
          <w:rtl/>
        </w:rPr>
        <w:t xml:space="preserve"> כגון שותפין דלעיל</w:t>
      </w:r>
      <w:r>
        <w:rPr>
          <w:rFonts w:cs="Arial" w:hint="cs"/>
          <w:rtl/>
        </w:rPr>
        <w:t xml:space="preserve"> -</w:t>
      </w:r>
      <w:r w:rsidRPr="003A1061">
        <w:rPr>
          <w:rFonts w:cs="Arial"/>
          <w:rtl/>
        </w:rPr>
        <w:t xml:space="preserve"> מסתלק ומעיד אע</w:t>
      </w:r>
      <w:r>
        <w:rPr>
          <w:rFonts w:cs="Arial" w:hint="cs"/>
          <w:rtl/>
        </w:rPr>
        <w:t>"</w:t>
      </w:r>
      <w:r w:rsidRPr="003A1061">
        <w:rPr>
          <w:rFonts w:cs="Arial"/>
          <w:rtl/>
        </w:rPr>
        <w:t>פ שלא היה תחלתו וסופו בכשרות</w:t>
      </w:r>
      <w:r>
        <w:rPr>
          <w:rFonts w:cs="Arial" w:hint="cs"/>
          <w:rtl/>
        </w:rPr>
        <w:t xml:space="preserve">, </w:t>
      </w:r>
      <w:r w:rsidRPr="003A1061">
        <w:rPr>
          <w:rFonts w:cs="Arial"/>
          <w:rtl/>
        </w:rPr>
        <w:t>דלא בעינן תחלתו וסופו בכשרות אלא בפסול הגוף אבל בפסול ממון כי הא לא</w:t>
      </w:r>
      <w:r>
        <w:rPr>
          <w:rFonts w:cs="Arial" w:hint="cs"/>
          <w:rtl/>
        </w:rPr>
        <w:t>.</w:t>
      </w:r>
      <w:r w:rsidRPr="003A1061">
        <w:rPr>
          <w:rFonts w:cs="Arial"/>
          <w:rtl/>
        </w:rPr>
        <w:t xml:space="preserve"> </w:t>
      </w:r>
      <w:r w:rsidRPr="00A279A4">
        <w:rPr>
          <w:rFonts w:cs="Arial" w:hint="cs"/>
          <w:color w:val="00B0F0"/>
          <w:rtl/>
        </w:rPr>
        <w:t>(וכ"פ הרמ"א)</w:t>
      </w:r>
    </w:p>
    <w:p w14:paraId="6E82F76C" w14:textId="77777777" w:rsidR="004B607F" w:rsidRDefault="004B607F" w:rsidP="004B0475">
      <w:pPr>
        <w:pStyle w:val="ac"/>
        <w:numPr>
          <w:ilvl w:val="0"/>
          <w:numId w:val="114"/>
        </w:numPr>
        <w:rPr>
          <w:rFonts w:cs="Arial"/>
        </w:rPr>
      </w:pPr>
      <w:r>
        <w:rPr>
          <w:rFonts w:cs="Arial" w:hint="cs"/>
          <w:rtl/>
        </w:rPr>
        <w:t xml:space="preserve">רמב"ם </w:t>
      </w:r>
      <w:r>
        <w:rPr>
          <w:rFonts w:cs="Arial" w:hint="cs"/>
          <w:sz w:val="16"/>
          <w:szCs w:val="16"/>
          <w:rtl/>
        </w:rPr>
        <w:t>(פט"ו ה"א)</w:t>
      </w:r>
      <w:r>
        <w:rPr>
          <w:rFonts w:cs="Arial" w:hint="cs"/>
          <w:rtl/>
        </w:rPr>
        <w:t xml:space="preserve">- </w:t>
      </w:r>
      <w:r w:rsidRPr="00A279A4">
        <w:rPr>
          <w:rFonts w:cs="Arial"/>
          <w:rtl/>
        </w:rPr>
        <w:t xml:space="preserve">כל עדות שתבא הנאה לאדם ממנה </w:t>
      </w:r>
      <w:r>
        <w:rPr>
          <w:rFonts w:cs="Arial" w:hint="cs"/>
          <w:rtl/>
        </w:rPr>
        <w:t xml:space="preserve">- </w:t>
      </w:r>
      <w:r w:rsidRPr="00A279A4">
        <w:rPr>
          <w:rFonts w:cs="Arial"/>
          <w:rtl/>
        </w:rPr>
        <w:t>אינו מעיד בה</w:t>
      </w:r>
      <w:r>
        <w:rPr>
          <w:rFonts w:cs="Arial" w:hint="cs"/>
          <w:rtl/>
        </w:rPr>
        <w:t>,</w:t>
      </w:r>
      <w:r w:rsidRPr="00A279A4">
        <w:rPr>
          <w:rFonts w:cs="Arial"/>
          <w:rtl/>
        </w:rPr>
        <w:t xml:space="preserve"> שזה הוא כמעיד על עצמו</w:t>
      </w:r>
      <w:r>
        <w:rPr>
          <w:rFonts w:cs="Arial" w:hint="cs"/>
          <w:rtl/>
        </w:rPr>
        <w:t>.</w:t>
      </w:r>
      <w:r w:rsidRPr="00A279A4">
        <w:rPr>
          <w:rFonts w:cs="Arial"/>
          <w:rtl/>
        </w:rPr>
        <w:t xml:space="preserve"> לפיכך בני העיר שבא מערער לערער עליהם במרחץ או ברחוב של עיר</w:t>
      </w:r>
      <w:r>
        <w:rPr>
          <w:rFonts w:cs="Arial" w:hint="cs"/>
          <w:rtl/>
        </w:rPr>
        <w:t xml:space="preserve"> -</w:t>
      </w:r>
      <w:r w:rsidRPr="00A279A4">
        <w:rPr>
          <w:rFonts w:cs="Arial"/>
          <w:rtl/>
        </w:rPr>
        <w:t xml:space="preserve"> אין אחד מבעלי העיר מעיד בדבר זה ולא דן עד שיסלק עצמו בקנין גמור ואח</w:t>
      </w:r>
      <w:r>
        <w:rPr>
          <w:rFonts w:cs="Arial" w:hint="cs"/>
          <w:rtl/>
        </w:rPr>
        <w:t>"</w:t>
      </w:r>
      <w:r w:rsidRPr="00A279A4">
        <w:rPr>
          <w:rFonts w:cs="Arial"/>
          <w:rtl/>
        </w:rPr>
        <w:t>כ יעיד או ידין.</w:t>
      </w:r>
      <w:r w:rsidRPr="00A279A4">
        <w:rPr>
          <w:rFonts w:cs="Arial" w:hint="cs"/>
          <w:color w:val="E36C0A" w:themeColor="accent6" w:themeShade="BF"/>
          <w:rtl/>
        </w:rPr>
        <w:t xml:space="preserve"> (וכ"פ בשו"ע)</w:t>
      </w:r>
    </w:p>
    <w:p w14:paraId="315AEE2F" w14:textId="77777777" w:rsidR="004B607F" w:rsidRPr="003024E5" w:rsidRDefault="004B607F" w:rsidP="004B607F">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087055F9" w14:textId="77777777" w:rsidR="004B607F" w:rsidRDefault="004B607F" w:rsidP="004B607F">
      <w:pPr>
        <w:rPr>
          <w:rFonts w:cs="Arial"/>
          <w:rtl/>
        </w:rPr>
      </w:pPr>
      <w:r>
        <w:rPr>
          <w:rFonts w:cs="Arial"/>
          <w:rtl/>
        </w:rPr>
        <w:t>בני העיר שבא מערער לערער עליהם במרחץ או ברחוב של עיר, אין אחד מבני העיר מעיד</w:t>
      </w:r>
      <w:r>
        <w:rPr>
          <w:rStyle w:val="ab"/>
          <w:rFonts w:cs="Arial"/>
          <w:rtl/>
        </w:rPr>
        <w:footnoteReference w:id="2786"/>
      </w:r>
      <w:r>
        <w:rPr>
          <w:rFonts w:cs="Arial"/>
          <w:rtl/>
        </w:rPr>
        <w:t xml:space="preserve"> בדבר זה ולא דן עד שיסתלק עצמו בקנין גמור</w:t>
      </w:r>
      <w:r>
        <w:rPr>
          <w:rStyle w:val="ab"/>
          <w:rFonts w:cs="Arial"/>
          <w:rtl/>
        </w:rPr>
        <w:footnoteReference w:id="2787"/>
      </w:r>
      <w:r>
        <w:rPr>
          <w:rFonts w:cs="Arial"/>
          <w:rtl/>
        </w:rPr>
        <w:t xml:space="preserve">. </w:t>
      </w:r>
      <w:r w:rsidRPr="00D60C1E">
        <w:rPr>
          <w:rFonts w:cs="Arial"/>
          <w:sz w:val="18"/>
          <w:szCs w:val="18"/>
          <w:rtl/>
        </w:rPr>
        <w:t>הגה: ויש אומרים דאי אפשר להסתלק מדבר שהוא צרכי בני העיר (טור)</w:t>
      </w:r>
      <w:r>
        <w:rPr>
          <w:rFonts w:cs="Arial" w:hint="cs"/>
          <w:sz w:val="18"/>
          <w:szCs w:val="18"/>
          <w:rtl/>
        </w:rPr>
        <w:t>,</w:t>
      </w:r>
      <w:r w:rsidRPr="00D60C1E">
        <w:rPr>
          <w:rFonts w:cs="Arial"/>
          <w:sz w:val="18"/>
          <w:szCs w:val="18"/>
          <w:rtl/>
        </w:rPr>
        <w:t xml:space="preserve"> אם לא שיש להם דבר אחר שהוא כיוצא בזה (תשו</w:t>
      </w:r>
      <w:r>
        <w:rPr>
          <w:rFonts w:cs="Arial" w:hint="cs"/>
          <w:sz w:val="18"/>
          <w:szCs w:val="18"/>
          <w:rtl/>
        </w:rPr>
        <w:t>' ה</w:t>
      </w:r>
      <w:r w:rsidRPr="00D60C1E">
        <w:rPr>
          <w:rFonts w:cs="Arial"/>
          <w:sz w:val="18"/>
          <w:szCs w:val="18"/>
          <w:rtl/>
        </w:rPr>
        <w:t>רא"ש כלל יג), וכן עיקר.</w:t>
      </w:r>
    </w:p>
    <w:p w14:paraId="589EDD37" w14:textId="77777777" w:rsidR="004B607F" w:rsidRDefault="004B607F" w:rsidP="004B607F">
      <w:pPr>
        <w:rPr>
          <w:rtl/>
        </w:rPr>
      </w:pPr>
      <w:r>
        <w:rPr>
          <w:rFonts w:cs="Arial"/>
          <w:rtl/>
        </w:rPr>
        <w:t xml:space="preserve"> </w:t>
      </w:r>
    </w:p>
    <w:p w14:paraId="619963D1" w14:textId="77777777" w:rsidR="004B607F" w:rsidRDefault="004B607F" w:rsidP="004B607F">
      <w:pPr>
        <w:pStyle w:val="2"/>
        <w:rPr>
          <w:rtl/>
        </w:rPr>
      </w:pPr>
      <w:bookmarkStart w:id="375" w:name="_Toc24883820"/>
      <w:r>
        <w:rPr>
          <w:rtl/>
        </w:rPr>
        <w:t>סעיף יט</w:t>
      </w:r>
      <w:r>
        <w:rPr>
          <w:rFonts w:hint="cs"/>
          <w:rtl/>
        </w:rPr>
        <w:t>:</w:t>
      </w:r>
      <w:r w:rsidRPr="003A1061">
        <w:rPr>
          <w:rFonts w:cs="Arial"/>
          <w:rtl/>
        </w:rPr>
        <w:t xml:space="preserve"> </w:t>
      </w:r>
      <w:r>
        <w:rPr>
          <w:rFonts w:cs="Arial"/>
          <w:rtl/>
        </w:rPr>
        <w:t>בני העיר שנגנב ספר תורה שלהם</w:t>
      </w:r>
      <w:r>
        <w:rPr>
          <w:rFonts w:hint="cs"/>
          <w:rtl/>
        </w:rPr>
        <w:t>.</w:t>
      </w:r>
      <w:bookmarkEnd w:id="375"/>
    </w:p>
    <w:p w14:paraId="549724C9" w14:textId="77777777" w:rsidR="004B607F" w:rsidRPr="00765F54" w:rsidRDefault="004B607F" w:rsidP="004B607F">
      <w:pPr>
        <w:rPr>
          <w:rtl/>
        </w:rPr>
      </w:pPr>
      <w:r>
        <w:rPr>
          <w:rFonts w:hint="cs"/>
          <w:rtl/>
        </w:rPr>
        <w:t>עיין במקורות בסעיף יח.</w:t>
      </w:r>
    </w:p>
    <w:p w14:paraId="456B2762" w14:textId="77777777" w:rsidR="004B607F" w:rsidRPr="00305474" w:rsidRDefault="004B607F" w:rsidP="004B607F">
      <w:pPr>
        <w:rPr>
          <w:rFonts w:cs="Arial"/>
        </w:rPr>
      </w:pPr>
      <w:r w:rsidRPr="00D53352">
        <w:rPr>
          <w:rFonts w:cs="Arial" w:hint="cs"/>
          <w:u w:val="single"/>
          <w:rtl/>
        </w:rPr>
        <w:t>דין/עדות על ספר תורה ש</w:t>
      </w:r>
      <w:r>
        <w:rPr>
          <w:rFonts w:cs="Arial" w:hint="cs"/>
          <w:u w:val="single"/>
          <w:rtl/>
        </w:rPr>
        <w:t>ב</w:t>
      </w:r>
      <w:r w:rsidRPr="00D53352">
        <w:rPr>
          <w:rFonts w:cs="Arial" w:hint="cs"/>
          <w:u w:val="single"/>
          <w:rtl/>
        </w:rPr>
        <w:t>עיר</w:t>
      </w:r>
      <w:r>
        <w:rPr>
          <w:rFonts w:cs="Arial" w:hint="cs"/>
          <w:u w:val="single"/>
          <w:rtl/>
        </w:rPr>
        <w:t>:</w:t>
      </w:r>
    </w:p>
    <w:p w14:paraId="3AD2B7D0" w14:textId="77777777" w:rsidR="004B607F" w:rsidRDefault="004B607F" w:rsidP="004B0475">
      <w:pPr>
        <w:pStyle w:val="ac"/>
        <w:numPr>
          <w:ilvl w:val="0"/>
          <w:numId w:val="114"/>
        </w:numPr>
        <w:rPr>
          <w:rFonts w:cs="Arial"/>
        </w:rPr>
      </w:pPr>
      <w:r>
        <w:rPr>
          <w:rFonts w:cs="Arial" w:hint="cs"/>
          <w:rtl/>
        </w:rPr>
        <w:t xml:space="preserve">רמב"ם </w:t>
      </w:r>
      <w:r>
        <w:rPr>
          <w:rFonts w:cs="Arial" w:hint="cs"/>
          <w:sz w:val="16"/>
          <w:szCs w:val="16"/>
          <w:rtl/>
        </w:rPr>
        <w:t>(פט"ו ה"א)</w:t>
      </w:r>
      <w:r>
        <w:rPr>
          <w:rFonts w:cs="Arial" w:hint="cs"/>
          <w:rtl/>
        </w:rPr>
        <w:t xml:space="preserve"> </w:t>
      </w:r>
      <w:r w:rsidRPr="00D53352">
        <w:rPr>
          <w:rFonts w:cs="Arial"/>
          <w:rtl/>
        </w:rPr>
        <w:t xml:space="preserve">רא"ש </w:t>
      </w:r>
      <w:r w:rsidRPr="00D53352">
        <w:rPr>
          <w:rFonts w:cs="Arial" w:hint="cs"/>
          <w:sz w:val="16"/>
          <w:szCs w:val="16"/>
          <w:rtl/>
        </w:rPr>
        <w:t>(</w:t>
      </w:r>
      <w:r w:rsidRPr="00D53352">
        <w:rPr>
          <w:rFonts w:cs="Arial"/>
          <w:sz w:val="16"/>
          <w:szCs w:val="16"/>
          <w:rtl/>
        </w:rPr>
        <w:t>כלל ג סי</w:t>
      </w:r>
      <w:r w:rsidRPr="00D53352">
        <w:rPr>
          <w:rFonts w:cs="Arial" w:hint="cs"/>
          <w:sz w:val="16"/>
          <w:szCs w:val="16"/>
          <w:rtl/>
        </w:rPr>
        <w:t>'</w:t>
      </w:r>
      <w:r w:rsidRPr="00D53352">
        <w:rPr>
          <w:rFonts w:cs="Arial"/>
          <w:sz w:val="16"/>
          <w:szCs w:val="16"/>
          <w:rtl/>
        </w:rPr>
        <w:t xml:space="preserve"> יג</w:t>
      </w:r>
      <w:r w:rsidRPr="00D53352">
        <w:rPr>
          <w:rFonts w:cs="Arial" w:hint="cs"/>
          <w:sz w:val="16"/>
          <w:szCs w:val="16"/>
          <w:rtl/>
        </w:rPr>
        <w:t>)</w:t>
      </w:r>
      <w:r>
        <w:rPr>
          <w:rFonts w:cs="Arial" w:hint="cs"/>
          <w:rtl/>
        </w:rPr>
        <w:t xml:space="preserve"> וטור</w:t>
      </w:r>
      <w:r>
        <w:rPr>
          <w:rStyle w:val="ab"/>
          <w:rFonts w:cs="Arial"/>
          <w:rtl/>
        </w:rPr>
        <w:footnoteReference w:id="2788"/>
      </w:r>
      <w:r>
        <w:rPr>
          <w:rFonts w:cs="Arial" w:hint="cs"/>
          <w:rtl/>
        </w:rPr>
        <w:t>-</w:t>
      </w:r>
      <w:r w:rsidRPr="00A279A4">
        <w:rPr>
          <w:rFonts w:cs="Arial"/>
          <w:rtl/>
        </w:rPr>
        <w:t xml:space="preserve"> בני העיר שנגנב ספר תורה שלהן הואיל ולשמיעה הוא עשוי שאי אפשר לאדם לסלק עצמו ממנו </w:t>
      </w:r>
      <w:r>
        <w:rPr>
          <w:rFonts w:cs="Arial" w:hint="cs"/>
          <w:rtl/>
        </w:rPr>
        <w:t xml:space="preserve">- </w:t>
      </w:r>
      <w:r w:rsidRPr="00A279A4">
        <w:rPr>
          <w:rFonts w:cs="Arial"/>
          <w:rtl/>
        </w:rPr>
        <w:t>אין דנין בדייני אותה העיר ואין מביאין ראיה מאנשי אותה העיר</w:t>
      </w:r>
      <w:r>
        <w:rPr>
          <w:rFonts w:cs="Arial" w:hint="cs"/>
          <w:rtl/>
        </w:rPr>
        <w:t>,</w:t>
      </w:r>
      <w:r w:rsidRPr="00A279A4">
        <w:rPr>
          <w:rFonts w:cs="Arial"/>
          <w:rtl/>
        </w:rPr>
        <w:t xml:space="preserve"> וכן כל כיוצא בזה</w:t>
      </w:r>
      <w:r>
        <w:rPr>
          <w:rFonts w:cs="Arial" w:hint="cs"/>
          <w:sz w:val="16"/>
          <w:szCs w:val="16"/>
          <w:rtl/>
        </w:rPr>
        <w:t xml:space="preserve"> (ל' הרמב"ם)</w:t>
      </w:r>
      <w:r w:rsidRPr="00A279A4">
        <w:rPr>
          <w:rFonts w:cs="Arial"/>
          <w:rtl/>
        </w:rPr>
        <w:t xml:space="preserve">. </w:t>
      </w:r>
      <w:r w:rsidRPr="00A279A4">
        <w:rPr>
          <w:rFonts w:cs="Arial" w:hint="cs"/>
          <w:color w:val="E36C0A" w:themeColor="accent6" w:themeShade="BF"/>
          <w:rtl/>
        </w:rPr>
        <w:t>(וכ"</w:t>
      </w:r>
      <w:r>
        <w:rPr>
          <w:rFonts w:cs="Arial" w:hint="cs"/>
          <w:color w:val="E36C0A" w:themeColor="accent6" w:themeShade="BF"/>
          <w:rtl/>
        </w:rPr>
        <w:t>פ</w:t>
      </w:r>
      <w:r w:rsidRPr="00A279A4">
        <w:rPr>
          <w:rFonts w:cs="Arial" w:hint="cs"/>
          <w:color w:val="E36C0A" w:themeColor="accent6" w:themeShade="BF"/>
          <w:rtl/>
        </w:rPr>
        <w:t xml:space="preserve"> בשו"ע)</w:t>
      </w:r>
    </w:p>
    <w:p w14:paraId="40E27EE7" w14:textId="77777777" w:rsidR="004B607F" w:rsidRPr="00305474" w:rsidRDefault="004B607F" w:rsidP="004B607F">
      <w:pPr>
        <w:ind w:left="360"/>
        <w:rPr>
          <w:rFonts w:cs="Arial"/>
          <w:u w:val="dotted"/>
        </w:rPr>
      </w:pPr>
      <w:r>
        <w:rPr>
          <w:rFonts w:cs="Arial" w:hint="cs"/>
          <w:u w:val="dotted"/>
          <w:rtl/>
        </w:rPr>
        <w:t>ומה הדין אם יש להם ספר תורה אחר בעיר:</w:t>
      </w:r>
    </w:p>
    <w:p w14:paraId="4C2B43AD" w14:textId="77777777" w:rsidR="004B607F" w:rsidRDefault="004B607F" w:rsidP="004B0475">
      <w:pPr>
        <w:pStyle w:val="ac"/>
        <w:numPr>
          <w:ilvl w:val="0"/>
          <w:numId w:val="114"/>
        </w:numPr>
        <w:rPr>
          <w:rFonts w:cs="Arial"/>
        </w:rPr>
      </w:pPr>
      <w:r w:rsidRPr="00D53352">
        <w:rPr>
          <w:rFonts w:cs="Arial"/>
          <w:rtl/>
        </w:rPr>
        <w:t xml:space="preserve">רא"ש </w:t>
      </w:r>
      <w:r w:rsidRPr="00D53352">
        <w:rPr>
          <w:rFonts w:cs="Arial" w:hint="cs"/>
          <w:sz w:val="16"/>
          <w:szCs w:val="16"/>
          <w:rtl/>
        </w:rPr>
        <w:t>(</w:t>
      </w:r>
      <w:r>
        <w:rPr>
          <w:rFonts w:cs="Arial" w:hint="cs"/>
          <w:sz w:val="16"/>
          <w:szCs w:val="16"/>
          <w:rtl/>
        </w:rPr>
        <w:t>שם</w:t>
      </w:r>
      <w:r w:rsidRPr="00D53352">
        <w:rPr>
          <w:rFonts w:cs="Arial" w:hint="cs"/>
          <w:sz w:val="16"/>
          <w:szCs w:val="16"/>
          <w:rtl/>
        </w:rPr>
        <w:t>)</w:t>
      </w:r>
      <w:r>
        <w:rPr>
          <w:rFonts w:cs="Arial" w:hint="cs"/>
          <w:rtl/>
        </w:rPr>
        <w:t xml:space="preserve"> וטור-</w:t>
      </w:r>
      <w:r w:rsidRPr="00A279A4">
        <w:rPr>
          <w:rFonts w:cs="Arial"/>
          <w:rtl/>
        </w:rPr>
        <w:t xml:space="preserve"> </w:t>
      </w:r>
      <w:r w:rsidRPr="00D53352">
        <w:rPr>
          <w:rFonts w:cs="Arial"/>
          <w:rtl/>
        </w:rPr>
        <w:t>אם יש ספר תורה אחר בעיר איפשר להסתלק שלא יקראו באותו ספר כשהם בבית הכנסת</w:t>
      </w:r>
      <w:r w:rsidRPr="00D53352">
        <w:rPr>
          <w:rFonts w:cs="Arial" w:hint="cs"/>
          <w:rtl/>
        </w:rPr>
        <w:t>,</w:t>
      </w:r>
      <w:r w:rsidRPr="00D53352">
        <w:rPr>
          <w:rFonts w:cs="Arial"/>
          <w:rtl/>
        </w:rPr>
        <w:t xml:space="preserve"> ואפילו אם יקראו בו בעודם בבית הכנסת לא מיקרי הנאה כיון שאפשר בספר אחר</w:t>
      </w:r>
      <w:r>
        <w:rPr>
          <w:rStyle w:val="ab"/>
          <w:rFonts w:cs="Arial"/>
          <w:rtl/>
        </w:rPr>
        <w:footnoteReference w:id="2789"/>
      </w:r>
      <w:r>
        <w:rPr>
          <w:rFonts w:cs="Arial" w:hint="cs"/>
          <w:sz w:val="16"/>
          <w:szCs w:val="16"/>
          <w:rtl/>
        </w:rPr>
        <w:t xml:space="preserve"> (ל' הרא"ש)</w:t>
      </w:r>
      <w:r>
        <w:rPr>
          <w:rFonts w:cs="Arial" w:hint="cs"/>
          <w:rtl/>
        </w:rPr>
        <w:t>.</w:t>
      </w:r>
      <w:r w:rsidRPr="00305474">
        <w:rPr>
          <w:rFonts w:cs="Arial" w:hint="cs"/>
          <w:color w:val="00B0F0"/>
          <w:rtl/>
        </w:rPr>
        <w:t xml:space="preserve"> </w:t>
      </w:r>
      <w:r w:rsidRPr="00A279A4">
        <w:rPr>
          <w:rFonts w:cs="Arial" w:hint="cs"/>
          <w:color w:val="E36C0A" w:themeColor="accent6" w:themeShade="BF"/>
          <w:rtl/>
        </w:rPr>
        <w:t>(וכ"</w:t>
      </w:r>
      <w:r>
        <w:rPr>
          <w:rFonts w:cs="Arial" w:hint="cs"/>
          <w:color w:val="E36C0A" w:themeColor="accent6" w:themeShade="BF"/>
          <w:rtl/>
        </w:rPr>
        <w:t>פ</w:t>
      </w:r>
      <w:r w:rsidRPr="00A279A4">
        <w:rPr>
          <w:rFonts w:cs="Arial" w:hint="cs"/>
          <w:color w:val="E36C0A" w:themeColor="accent6" w:themeShade="BF"/>
          <w:rtl/>
        </w:rPr>
        <w:t xml:space="preserve"> בשו"ע</w:t>
      </w:r>
      <w:r>
        <w:rPr>
          <w:rFonts w:cs="Arial" w:hint="cs"/>
          <w:color w:val="E36C0A" w:themeColor="accent6" w:themeShade="BF"/>
          <w:sz w:val="16"/>
          <w:szCs w:val="16"/>
          <w:rtl/>
        </w:rPr>
        <w:t xml:space="preserve"> </w:t>
      </w:r>
      <w:r w:rsidRPr="00F311AF">
        <w:rPr>
          <w:rFonts w:cs="Arial" w:hint="cs"/>
          <w:color w:val="000000" w:themeColor="text1"/>
          <w:sz w:val="16"/>
          <w:szCs w:val="16"/>
          <w:rtl/>
        </w:rPr>
        <w:t>[</w:t>
      </w:r>
      <w:r>
        <w:rPr>
          <w:rFonts w:cs="Arial" w:hint="cs"/>
          <w:color w:val="000000" w:themeColor="text1"/>
          <w:sz w:val="16"/>
          <w:szCs w:val="16"/>
          <w:rtl/>
        </w:rPr>
        <w:t>סי' ז סי"ב]</w:t>
      </w:r>
      <w:r w:rsidRPr="00A279A4">
        <w:rPr>
          <w:rFonts w:cs="Arial" w:hint="cs"/>
          <w:color w:val="E36C0A" w:themeColor="accent6" w:themeShade="BF"/>
          <w:rtl/>
        </w:rPr>
        <w:t>)</w:t>
      </w:r>
      <w:r w:rsidRPr="00A279A4">
        <w:rPr>
          <w:rFonts w:cs="Arial" w:hint="cs"/>
          <w:color w:val="00B0F0"/>
          <w:rtl/>
        </w:rPr>
        <w:t xml:space="preserve"> (וכ"פ הרמ"א)</w:t>
      </w:r>
    </w:p>
    <w:p w14:paraId="32D022EF" w14:textId="77777777" w:rsidR="004B607F" w:rsidRPr="003024E5" w:rsidRDefault="004B607F" w:rsidP="004B607F">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75D8F18E" w14:textId="77777777" w:rsidR="004B607F" w:rsidRDefault="004B607F" w:rsidP="004B607F">
      <w:pPr>
        <w:rPr>
          <w:rFonts w:cs="Arial"/>
          <w:sz w:val="18"/>
          <w:szCs w:val="18"/>
          <w:rtl/>
        </w:rPr>
      </w:pPr>
      <w:r>
        <w:rPr>
          <w:rFonts w:cs="Arial"/>
          <w:rtl/>
        </w:rPr>
        <w:t xml:space="preserve">בני העיר שנגנב ספר תורה שלהם, הואיל ולשמיעה הוא עשוי, שאי אפשר לאדם לסלק עצמו ממנו, אין דנין בדייני אותה העיר, ואין מביאים ראיה מאנשי אותה העיר, וכן כל כיוצא בזה. </w:t>
      </w:r>
      <w:r w:rsidRPr="00D60C1E">
        <w:rPr>
          <w:rFonts w:cs="Arial"/>
          <w:sz w:val="18"/>
          <w:szCs w:val="18"/>
          <w:rtl/>
        </w:rPr>
        <w:t>הגה: ועיין לעיל סימן ז' סעיף י"ב דכשיש להם ספר תורה אחרת מותר</w:t>
      </w:r>
      <w:r>
        <w:rPr>
          <w:rStyle w:val="ab"/>
          <w:rFonts w:cs="Arial"/>
          <w:sz w:val="18"/>
          <w:szCs w:val="18"/>
          <w:rtl/>
        </w:rPr>
        <w:footnoteReference w:id="2790"/>
      </w:r>
      <w:r w:rsidRPr="00D60C1E">
        <w:rPr>
          <w:rFonts w:cs="Arial"/>
          <w:sz w:val="18"/>
          <w:szCs w:val="18"/>
          <w:rtl/>
        </w:rPr>
        <w:t>. והוא הדין כל כיוצא בזה, כגון בית הכנסת</w:t>
      </w:r>
      <w:r>
        <w:rPr>
          <w:rStyle w:val="ab"/>
          <w:rFonts w:cs="Arial"/>
          <w:sz w:val="18"/>
          <w:szCs w:val="18"/>
          <w:rtl/>
        </w:rPr>
        <w:footnoteReference w:id="2791"/>
      </w:r>
      <w:r w:rsidRPr="00D60C1E">
        <w:rPr>
          <w:rFonts w:cs="Arial"/>
          <w:sz w:val="18"/>
          <w:szCs w:val="18"/>
          <w:rtl/>
        </w:rPr>
        <w:t xml:space="preserve"> או שאר ספרים וכדומה להם, שבני העיר דיינים עליהם. </w:t>
      </w:r>
    </w:p>
    <w:p w14:paraId="1EB7C069" w14:textId="77777777" w:rsidR="004B607F" w:rsidRDefault="004B607F" w:rsidP="004B607F">
      <w:pPr>
        <w:rPr>
          <w:rtl/>
        </w:rPr>
      </w:pPr>
    </w:p>
    <w:p w14:paraId="0A5D3E4F" w14:textId="77777777" w:rsidR="004B607F" w:rsidRDefault="004B607F" w:rsidP="004B607F">
      <w:pPr>
        <w:pStyle w:val="2"/>
        <w:rPr>
          <w:rtl/>
        </w:rPr>
      </w:pPr>
      <w:bookmarkStart w:id="376" w:name="_Toc24883821"/>
      <w:r>
        <w:rPr>
          <w:rtl/>
        </w:rPr>
        <w:t>סעיף כ</w:t>
      </w:r>
      <w:r>
        <w:rPr>
          <w:rFonts w:hint="cs"/>
          <w:rtl/>
        </w:rPr>
        <w:t>:</w:t>
      </w:r>
      <w:r w:rsidRPr="003A1061">
        <w:rPr>
          <w:rFonts w:cs="Arial"/>
          <w:rtl/>
        </w:rPr>
        <w:t xml:space="preserve"> </w:t>
      </w:r>
      <w:r>
        <w:rPr>
          <w:rFonts w:cs="Arial"/>
          <w:rtl/>
        </w:rPr>
        <w:t xml:space="preserve">האומר </w:t>
      </w:r>
      <w:r>
        <w:rPr>
          <w:rFonts w:cs="Arial" w:hint="cs"/>
          <w:rtl/>
        </w:rPr>
        <w:t>'</w:t>
      </w:r>
      <w:r>
        <w:rPr>
          <w:rFonts w:cs="Arial"/>
          <w:rtl/>
        </w:rPr>
        <w:t>תנו מנה לעניי עירי</w:t>
      </w:r>
      <w:r>
        <w:rPr>
          <w:rFonts w:hint="cs"/>
          <w:rtl/>
        </w:rPr>
        <w:t>'.</w:t>
      </w:r>
      <w:bookmarkEnd w:id="376"/>
    </w:p>
    <w:p w14:paraId="362C1F16" w14:textId="77777777" w:rsidR="004B607F" w:rsidRPr="007D3DCB" w:rsidRDefault="004B607F" w:rsidP="004B607F">
      <w:pPr>
        <w:rPr>
          <w:sz w:val="16"/>
          <w:szCs w:val="16"/>
          <w:rtl/>
        </w:rPr>
      </w:pPr>
      <w:r w:rsidRPr="00CE2EF4">
        <w:rPr>
          <w:rFonts w:cs="Arial" w:hint="cs"/>
          <w:b/>
          <w:bCs/>
          <w:rtl/>
        </w:rPr>
        <w:t xml:space="preserve">בבא בתרא </w:t>
      </w:r>
      <w:r w:rsidRPr="00CE2EF4">
        <w:rPr>
          <w:rFonts w:cs="Arial" w:hint="cs"/>
          <w:b/>
          <w:bCs/>
          <w:sz w:val="16"/>
          <w:szCs w:val="16"/>
          <w:rtl/>
        </w:rPr>
        <w:t>(</w:t>
      </w:r>
      <w:r>
        <w:rPr>
          <w:rFonts w:cs="Arial" w:hint="cs"/>
          <w:b/>
          <w:bCs/>
          <w:sz w:val="16"/>
          <w:szCs w:val="16"/>
          <w:rtl/>
        </w:rPr>
        <w:t>פרק חזקת הבתים</w:t>
      </w:r>
      <w:r w:rsidRPr="00CE2EF4">
        <w:rPr>
          <w:rFonts w:cs="Arial" w:hint="cs"/>
          <w:b/>
          <w:bCs/>
          <w:sz w:val="16"/>
          <w:szCs w:val="16"/>
          <w:rtl/>
        </w:rPr>
        <w:t xml:space="preserve">) </w:t>
      </w:r>
      <w:r>
        <w:rPr>
          <w:rFonts w:cs="Arial" w:hint="cs"/>
          <w:b/>
          <w:bCs/>
          <w:rtl/>
        </w:rPr>
        <w:t>מג</w:t>
      </w:r>
      <w:r>
        <w:rPr>
          <w:rStyle w:val="ab"/>
          <w:rFonts w:cs="Arial"/>
          <w:b/>
          <w:bCs/>
          <w:rtl/>
        </w:rPr>
        <w:footnoteReference w:id="2792"/>
      </w:r>
      <w:r w:rsidRPr="00CE2EF4">
        <w:rPr>
          <w:rFonts w:cs="Arial" w:hint="cs"/>
          <w:b/>
          <w:bCs/>
          <w:rtl/>
        </w:rPr>
        <w:t xml:space="preserve"> ע"</w:t>
      </w:r>
      <w:r>
        <w:rPr>
          <w:rFonts w:cs="Arial" w:hint="cs"/>
          <w:b/>
          <w:bCs/>
          <w:rtl/>
        </w:rPr>
        <w:t>א</w:t>
      </w:r>
      <w:r w:rsidRPr="00CE2EF4">
        <w:rPr>
          <w:rFonts w:cs="Arial" w:hint="cs"/>
          <w:b/>
          <w:bCs/>
          <w:rtl/>
        </w:rPr>
        <w:t>:</w:t>
      </w:r>
      <w:r w:rsidRPr="00022365">
        <w:rPr>
          <w:rFonts w:cs="Arial"/>
          <w:rtl/>
        </w:rPr>
        <w:t xml:space="preserve"> </w:t>
      </w:r>
      <w:r w:rsidRPr="003A1061">
        <w:rPr>
          <w:rFonts w:cs="Arial"/>
          <w:rtl/>
        </w:rPr>
        <w:t>ת"ש: האומר תנו מנה לעניי עירי - אין דנין בדייני אותה העיר, ואין מביאין ראיה מאנשי אותה העיר</w:t>
      </w:r>
      <w:r>
        <w:rPr>
          <w:rFonts w:cs="Arial" w:hint="cs"/>
          <w:rtl/>
        </w:rPr>
        <w:t>.</w:t>
      </w:r>
      <w:r w:rsidRPr="003A1061">
        <w:rPr>
          <w:rFonts w:cs="Arial"/>
          <w:rtl/>
        </w:rPr>
        <w:t xml:space="preserve"> ותסברא? עניים שקלי, דייני מיפסלי? אלא אימא: אין דנין בדייני עניי אותה העיר, ואין מביאין ראיה מעניי אותה העיר</w:t>
      </w:r>
      <w:r>
        <w:rPr>
          <w:rFonts w:cs="Arial" w:hint="cs"/>
          <w:rtl/>
        </w:rPr>
        <w:t>.</w:t>
      </w:r>
      <w:r w:rsidRPr="003A1061">
        <w:rPr>
          <w:rFonts w:cs="Arial"/>
          <w:rtl/>
        </w:rPr>
        <w:t xml:space="preserve"> ואמאי? לסתלקו בי תרי נפשייהו ולידיינו! הכא נמי בספר תורה. ואמאי קרי להו עניים? דהכל אצל ספר תורה עניים הן. ואיבעית אימא: לעולם כדקתני עניים ממש, ובעניי דראמו עלייהו</w:t>
      </w:r>
      <w:r>
        <w:rPr>
          <w:rStyle w:val="ab"/>
          <w:rFonts w:cs="Arial"/>
          <w:rtl/>
        </w:rPr>
        <w:footnoteReference w:id="2793"/>
      </w:r>
      <w:r w:rsidRPr="003A1061">
        <w:rPr>
          <w:rFonts w:cs="Arial"/>
          <w:rtl/>
        </w:rPr>
        <w:t>. והיכי דמי? אי דקיץ להו</w:t>
      </w:r>
      <w:r>
        <w:rPr>
          <w:rStyle w:val="ab"/>
          <w:rFonts w:cs="Arial"/>
          <w:rtl/>
        </w:rPr>
        <w:footnoteReference w:id="2794"/>
      </w:r>
      <w:r w:rsidRPr="003A1061">
        <w:rPr>
          <w:rFonts w:cs="Arial"/>
          <w:rtl/>
        </w:rPr>
        <w:t>, ליתבו בי תרי מינייהו מאי דקיץ להו ולידיינו! הכא במאי עסקינן - דלא קיץ להו</w:t>
      </w:r>
      <w:r>
        <w:rPr>
          <w:rStyle w:val="ab"/>
          <w:rFonts w:cs="Arial"/>
          <w:rtl/>
        </w:rPr>
        <w:footnoteReference w:id="2795"/>
      </w:r>
      <w:r w:rsidRPr="003A1061">
        <w:rPr>
          <w:rFonts w:cs="Arial"/>
          <w:rtl/>
        </w:rPr>
        <w:t>. ואב"א: לעולם דקיץ להו, וניחא להו, דכיון דרווח - רווח</w:t>
      </w:r>
      <w:r>
        <w:rPr>
          <w:rStyle w:val="ab"/>
          <w:rFonts w:cs="Arial"/>
          <w:rtl/>
        </w:rPr>
        <w:footnoteReference w:id="2796"/>
      </w:r>
      <w:r w:rsidRPr="003A1061">
        <w:rPr>
          <w:rFonts w:cs="Arial"/>
          <w:rtl/>
        </w:rPr>
        <w:t xml:space="preserve">. </w:t>
      </w:r>
      <w:r>
        <w:rPr>
          <w:rFonts w:cs="Arial" w:hint="cs"/>
          <w:sz w:val="16"/>
          <w:szCs w:val="16"/>
          <w:rtl/>
        </w:rPr>
        <w:t>(</w:t>
      </w:r>
      <w:r w:rsidRPr="007D3DCB">
        <w:rPr>
          <w:rFonts w:cs="Arial"/>
          <w:sz w:val="16"/>
          <w:szCs w:val="16"/>
          <w:rtl/>
        </w:rPr>
        <w:t>ורבינו פסק כלישנא בתרא לחומרא</w:t>
      </w:r>
      <w:r w:rsidRPr="007D3DCB">
        <w:rPr>
          <w:rFonts w:cs="Arial" w:hint="cs"/>
          <w:sz w:val="16"/>
          <w:szCs w:val="16"/>
          <w:rtl/>
        </w:rPr>
        <w:t>, ב"י)</w:t>
      </w:r>
    </w:p>
    <w:p w14:paraId="55B16648" w14:textId="77777777" w:rsidR="004B607F" w:rsidRDefault="004B607F" w:rsidP="004B607F">
      <w:pPr>
        <w:rPr>
          <w:rFonts w:cs="Arial"/>
          <w:rtl/>
        </w:rPr>
      </w:pPr>
      <w:r w:rsidRPr="00BC2353">
        <w:rPr>
          <w:rFonts w:cs="Arial" w:hint="cs"/>
          <w:u w:val="single"/>
          <w:rtl/>
        </w:rPr>
        <w:t>האומר תנו מנה ל</w:t>
      </w:r>
      <w:r>
        <w:rPr>
          <w:rFonts w:cs="Arial" w:hint="cs"/>
          <w:u w:val="single"/>
          <w:rtl/>
        </w:rPr>
        <w:t>עני</w:t>
      </w:r>
      <w:r w:rsidRPr="00BC2353">
        <w:rPr>
          <w:rFonts w:cs="Arial" w:hint="cs"/>
          <w:u w:val="single"/>
          <w:rtl/>
        </w:rPr>
        <w:t>י עירי:</w:t>
      </w:r>
    </w:p>
    <w:p w14:paraId="11ADC973" w14:textId="77777777" w:rsidR="004B607F" w:rsidRPr="00DF46DB" w:rsidRDefault="004B607F" w:rsidP="004B0475">
      <w:pPr>
        <w:pStyle w:val="ac"/>
        <w:numPr>
          <w:ilvl w:val="0"/>
          <w:numId w:val="114"/>
        </w:numPr>
        <w:rPr>
          <w:rFonts w:cs="Arial"/>
          <w:rtl/>
        </w:rPr>
      </w:pPr>
      <w:r w:rsidRPr="00DF46DB">
        <w:rPr>
          <w:rFonts w:cs="Arial" w:hint="cs"/>
          <w:rtl/>
        </w:rPr>
        <w:t xml:space="preserve">רמב"ם </w:t>
      </w:r>
      <w:r w:rsidRPr="00DF46DB">
        <w:rPr>
          <w:rFonts w:cs="Arial" w:hint="cs"/>
          <w:sz w:val="16"/>
          <w:szCs w:val="16"/>
          <w:rtl/>
        </w:rPr>
        <w:t>(פט"ו ה"ג)</w:t>
      </w:r>
      <w:r w:rsidRPr="00DF46DB">
        <w:rPr>
          <w:rFonts w:cs="Arial" w:hint="cs"/>
          <w:rtl/>
        </w:rPr>
        <w:t xml:space="preserve"> </w:t>
      </w:r>
      <w:r>
        <w:rPr>
          <w:rFonts w:cs="Arial" w:hint="cs"/>
          <w:rtl/>
        </w:rPr>
        <w:t>ו</w:t>
      </w:r>
      <w:r w:rsidRPr="00BC2353">
        <w:rPr>
          <w:rFonts w:cs="Arial" w:hint="cs"/>
          <w:rtl/>
        </w:rPr>
        <w:t>טור</w:t>
      </w:r>
      <w:r>
        <w:rPr>
          <w:rStyle w:val="ab"/>
          <w:rFonts w:cs="Arial"/>
          <w:rtl/>
        </w:rPr>
        <w:footnoteReference w:id="2797"/>
      </w:r>
      <w:r w:rsidRPr="00DF46DB">
        <w:rPr>
          <w:rFonts w:cs="Arial" w:hint="cs"/>
          <w:rtl/>
        </w:rPr>
        <w:t xml:space="preserve">- </w:t>
      </w:r>
      <w:r w:rsidRPr="00DF46DB">
        <w:rPr>
          <w:rFonts w:cs="Arial"/>
          <w:rtl/>
        </w:rPr>
        <w:t xml:space="preserve">האומר תנו מנה לעניי עירי </w:t>
      </w:r>
      <w:r w:rsidRPr="00DF46DB">
        <w:rPr>
          <w:rFonts w:cs="Arial" w:hint="cs"/>
          <w:rtl/>
        </w:rPr>
        <w:t xml:space="preserve">- </w:t>
      </w:r>
      <w:r w:rsidRPr="00DF46DB">
        <w:rPr>
          <w:rFonts w:cs="Arial"/>
          <w:rtl/>
        </w:rPr>
        <w:t>אין דנין בדייני אותה העיר ואין מביאין ראיה מאנשי אותה העיר</w:t>
      </w:r>
      <w:r>
        <w:rPr>
          <w:rFonts w:cs="Arial" w:hint="cs"/>
          <w:rtl/>
        </w:rPr>
        <w:t>.</w:t>
      </w:r>
      <w:r w:rsidRPr="00DF46DB">
        <w:rPr>
          <w:rFonts w:cs="Arial"/>
          <w:rtl/>
        </w:rPr>
        <w:t xml:space="preserve"> במה דברים אמורים כשהיו העניים סמוכים עליהם ופוסקין עליהן צדקה, אפילו אמרו שנים מאנשי אותה העיר אנו נתן דבר הקצוב עלינו ונעיד </w:t>
      </w:r>
      <w:r w:rsidRPr="00DF46DB">
        <w:rPr>
          <w:rFonts w:cs="Arial" w:hint="cs"/>
          <w:rtl/>
        </w:rPr>
        <w:t xml:space="preserve">- </w:t>
      </w:r>
      <w:r w:rsidRPr="00DF46DB">
        <w:rPr>
          <w:rFonts w:cs="Arial"/>
          <w:rtl/>
        </w:rPr>
        <w:t>אין שומעין להם, שהנאה הוא להם שיתעשרו עניים אלו הואיל והן סמוכין על בני העיר</w:t>
      </w:r>
      <w:r w:rsidRPr="00DF46DB">
        <w:rPr>
          <w:rFonts w:cs="Arial" w:hint="cs"/>
          <w:rtl/>
        </w:rPr>
        <w:t>.</w:t>
      </w:r>
      <w:r w:rsidRPr="00DF46DB">
        <w:rPr>
          <w:rFonts w:cs="Arial"/>
          <w:rtl/>
        </w:rPr>
        <w:t xml:space="preserve"> וכן כל כיוצא בזה</w:t>
      </w:r>
      <w:r>
        <w:rPr>
          <w:rFonts w:cs="Arial" w:hint="cs"/>
          <w:sz w:val="16"/>
          <w:szCs w:val="16"/>
          <w:rtl/>
        </w:rPr>
        <w:t xml:space="preserve"> (ל' הרמב"ם)</w:t>
      </w:r>
      <w:r w:rsidRPr="00DF46DB">
        <w:rPr>
          <w:rFonts w:cs="Arial"/>
          <w:rtl/>
        </w:rPr>
        <w:t>.</w:t>
      </w:r>
      <w:r w:rsidRPr="00DF46DB">
        <w:rPr>
          <w:rFonts w:cs="Arial" w:hint="cs"/>
          <w:rtl/>
        </w:rPr>
        <w:t xml:space="preserve"> </w:t>
      </w:r>
      <w:r w:rsidRPr="00DF46DB">
        <w:rPr>
          <w:rFonts w:cs="Arial" w:hint="cs"/>
          <w:color w:val="E36C0A" w:themeColor="accent6" w:themeShade="BF"/>
          <w:rtl/>
        </w:rPr>
        <w:t>(וכ"</w:t>
      </w:r>
      <w:r>
        <w:rPr>
          <w:rFonts w:cs="Arial" w:hint="cs"/>
          <w:color w:val="E36C0A" w:themeColor="accent6" w:themeShade="BF"/>
          <w:rtl/>
        </w:rPr>
        <w:t>פ</w:t>
      </w:r>
      <w:r w:rsidRPr="00DF46DB">
        <w:rPr>
          <w:rFonts w:cs="Arial" w:hint="cs"/>
          <w:color w:val="E36C0A" w:themeColor="accent6" w:themeShade="BF"/>
          <w:rtl/>
        </w:rPr>
        <w:t xml:space="preserve"> בשו"ע)</w:t>
      </w:r>
    </w:p>
    <w:p w14:paraId="53160CD4" w14:textId="77777777" w:rsidR="004B607F" w:rsidRPr="003024E5" w:rsidRDefault="004B607F" w:rsidP="004B607F">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0FF708DF" w14:textId="77777777" w:rsidR="004B607F" w:rsidRDefault="004B607F" w:rsidP="004B607F">
      <w:pPr>
        <w:rPr>
          <w:rtl/>
        </w:rPr>
      </w:pPr>
      <w:r>
        <w:rPr>
          <w:rFonts w:cs="Arial"/>
          <w:rtl/>
        </w:rPr>
        <w:t>האומר תנו מנה לעניי עירי, אין דנין בדייני אותה העיר, ואין מביאים ראיה מאנשי אותה העיר. במה דברים אמורים, כשהיו העניים סמוכים עליהם ופוסקים עליהם צדקה</w:t>
      </w:r>
      <w:r>
        <w:rPr>
          <w:rFonts w:cs="Arial" w:hint="cs"/>
          <w:rtl/>
        </w:rPr>
        <w:t>,</w:t>
      </w:r>
      <w:r>
        <w:rPr>
          <w:rFonts w:cs="Arial"/>
          <w:rtl/>
        </w:rPr>
        <w:t xml:space="preserve"> אפילו אמרו שנים מאותה העיר אנו ניתן הדבר הקצוב עלינו ונעיד, אין שומעין להם, שהנאה הוא להם שיתעשרו העניים האלו הואיל והם סמוכים על בני העיר, וכן כל כיוצא בזה </w:t>
      </w:r>
      <w:r w:rsidRPr="00BC0AF2">
        <w:rPr>
          <w:rFonts w:cs="Arial"/>
          <w:sz w:val="18"/>
          <w:szCs w:val="18"/>
          <w:rtl/>
        </w:rPr>
        <w:t>(ועיין לעיל סוף סימן ז' דיני מסים שבעיר)</w:t>
      </w:r>
      <w:r>
        <w:rPr>
          <w:rFonts w:cs="Arial"/>
          <w:rtl/>
        </w:rPr>
        <w:t xml:space="preserve">. </w:t>
      </w:r>
    </w:p>
    <w:p w14:paraId="131BFD0D" w14:textId="77777777" w:rsidR="004B607F" w:rsidRDefault="004B607F" w:rsidP="004B607F">
      <w:pPr>
        <w:rPr>
          <w:rtl/>
        </w:rPr>
      </w:pPr>
    </w:p>
    <w:p w14:paraId="33C78B61" w14:textId="77777777" w:rsidR="004B607F" w:rsidRDefault="004B607F" w:rsidP="004B607F">
      <w:pPr>
        <w:pStyle w:val="2"/>
        <w:rPr>
          <w:rtl/>
        </w:rPr>
      </w:pPr>
      <w:bookmarkStart w:id="377" w:name="_Toc24883822"/>
      <w:r>
        <w:rPr>
          <w:rtl/>
        </w:rPr>
        <w:t>סעיף כא</w:t>
      </w:r>
      <w:r>
        <w:rPr>
          <w:rFonts w:hint="cs"/>
          <w:rtl/>
        </w:rPr>
        <w:t>: כל דבר שנראה לדיין שיש בו צד הנאה לעדים.</w:t>
      </w:r>
      <w:bookmarkEnd w:id="377"/>
    </w:p>
    <w:p w14:paraId="093ACFCC" w14:textId="77777777" w:rsidR="004B607F" w:rsidRPr="000F7F5E" w:rsidRDefault="004B607F" w:rsidP="004B607F">
      <w:pPr>
        <w:rPr>
          <w:rFonts w:cs="Arial"/>
          <w:u w:val="single"/>
          <w:rtl/>
        </w:rPr>
      </w:pPr>
      <w:r w:rsidRPr="000F7F5E">
        <w:rPr>
          <w:rFonts w:hint="cs"/>
          <w:u w:val="single"/>
          <w:rtl/>
        </w:rPr>
        <w:t>דבר שנראה לדיין שיש בו צד הנאה לעדים</w:t>
      </w:r>
      <w:r w:rsidRPr="000F7F5E">
        <w:rPr>
          <w:rFonts w:cs="Arial" w:hint="cs"/>
          <w:u w:val="single"/>
          <w:rtl/>
        </w:rPr>
        <w:t>:</w:t>
      </w:r>
      <w:r w:rsidRPr="000F7F5E">
        <w:rPr>
          <w:rFonts w:cs="Arial"/>
          <w:u w:val="single"/>
          <w:rtl/>
        </w:rPr>
        <w:t xml:space="preserve"> </w:t>
      </w:r>
    </w:p>
    <w:p w14:paraId="30428A7F" w14:textId="77777777" w:rsidR="004B607F" w:rsidRPr="000F7F5E" w:rsidRDefault="004B607F" w:rsidP="004B0475">
      <w:pPr>
        <w:pStyle w:val="ac"/>
        <w:numPr>
          <w:ilvl w:val="0"/>
          <w:numId w:val="116"/>
        </w:numPr>
        <w:rPr>
          <w:rFonts w:cs="Arial"/>
          <w:rtl/>
        </w:rPr>
      </w:pPr>
      <w:r>
        <w:rPr>
          <w:rFonts w:cs="Arial" w:hint="cs"/>
          <w:rtl/>
        </w:rPr>
        <w:t xml:space="preserve">רמב"ם </w:t>
      </w:r>
      <w:r>
        <w:rPr>
          <w:rFonts w:cs="Arial" w:hint="cs"/>
          <w:sz w:val="16"/>
          <w:szCs w:val="16"/>
          <w:rtl/>
        </w:rPr>
        <w:t xml:space="preserve">(פט"ז ה"ד) </w:t>
      </w:r>
      <w:r>
        <w:rPr>
          <w:rFonts w:cs="Arial" w:hint="cs"/>
          <w:rtl/>
        </w:rPr>
        <w:t>ו</w:t>
      </w:r>
      <w:r w:rsidRPr="000F7F5E">
        <w:rPr>
          <w:rFonts w:cs="Arial"/>
          <w:rtl/>
        </w:rPr>
        <w:t>טו</w:t>
      </w:r>
      <w:r w:rsidRPr="000F7F5E">
        <w:rPr>
          <w:rFonts w:cs="Arial" w:hint="cs"/>
          <w:rtl/>
        </w:rPr>
        <w:t>ר-</w:t>
      </w:r>
      <w:r w:rsidRPr="000F7F5E">
        <w:rPr>
          <w:rFonts w:cs="Arial"/>
          <w:rtl/>
        </w:rPr>
        <w:t xml:space="preserve"> </w:t>
      </w:r>
      <w:r w:rsidRPr="00DF46DB">
        <w:rPr>
          <w:rFonts w:cs="Arial"/>
          <w:rtl/>
        </w:rPr>
        <w:t>וכן כל כיוצא בדברים אלו, ודברים אלו אינן תלויין אלא בדעת הדיין ועוצם בינתו שיבין עיקר המשפטים וידע דבר הגורם לדבר אחר ויעמיק לראות, אם ימצא שיש לזה העד צד הנאה בעדות זו אפילו בדרך רחוקה ונפלאה</w:t>
      </w:r>
      <w:r>
        <w:rPr>
          <w:rFonts w:cs="Arial" w:hint="cs"/>
          <w:rtl/>
        </w:rPr>
        <w:t xml:space="preserve"> -</w:t>
      </w:r>
      <w:r w:rsidRPr="00DF46DB">
        <w:rPr>
          <w:rFonts w:cs="Arial"/>
          <w:rtl/>
        </w:rPr>
        <w:t xml:space="preserve"> הרי זה לא יעיד בה</w:t>
      </w:r>
      <w:r>
        <w:rPr>
          <w:rFonts w:cs="Arial" w:hint="cs"/>
          <w:rtl/>
        </w:rPr>
        <w:t>.</w:t>
      </w:r>
      <w:r w:rsidRPr="00DF46DB">
        <w:rPr>
          <w:rFonts w:cs="Arial"/>
          <w:rtl/>
        </w:rPr>
        <w:t xml:space="preserve"> וכדרך שלא יעיד בדבר זה שמא נוגע בעדותו הוא</w:t>
      </w:r>
      <w:r>
        <w:rPr>
          <w:rFonts w:cs="Arial" w:hint="cs"/>
          <w:rtl/>
        </w:rPr>
        <w:t xml:space="preserve"> -</w:t>
      </w:r>
      <w:r w:rsidRPr="00DF46DB">
        <w:rPr>
          <w:rFonts w:cs="Arial"/>
          <w:rtl/>
        </w:rPr>
        <w:t xml:space="preserve"> כך לא ידון באותו דבר</w:t>
      </w:r>
      <w:r>
        <w:rPr>
          <w:rFonts w:cs="Arial" w:hint="cs"/>
          <w:rtl/>
        </w:rPr>
        <w:t>.</w:t>
      </w:r>
      <w:r w:rsidRPr="00DF46DB">
        <w:rPr>
          <w:rFonts w:cs="Arial"/>
          <w:rtl/>
        </w:rPr>
        <w:t xml:space="preserve"> וכן שאר מיני פסולין כשם שפוסלין בעדים כך פוסלין בדיינים</w:t>
      </w:r>
      <w:r>
        <w:rPr>
          <w:rFonts w:cs="Arial" w:hint="cs"/>
          <w:sz w:val="16"/>
          <w:szCs w:val="16"/>
          <w:rtl/>
        </w:rPr>
        <w:t xml:space="preserve"> (ל' הרמב"ם)</w:t>
      </w:r>
      <w:r w:rsidRPr="000F7F5E">
        <w:rPr>
          <w:rFonts w:cs="Arial" w:hint="cs"/>
          <w:rtl/>
        </w:rPr>
        <w:t>.</w:t>
      </w:r>
      <w:r w:rsidRPr="000F7F5E">
        <w:rPr>
          <w:rFonts w:cs="Arial" w:hint="cs"/>
          <w:color w:val="E36C0A" w:themeColor="accent6" w:themeShade="BF"/>
          <w:rtl/>
        </w:rPr>
        <w:t xml:space="preserve"> (וכ"פ בשו"ע)</w:t>
      </w:r>
    </w:p>
    <w:p w14:paraId="03C7E542" w14:textId="77777777" w:rsidR="004B607F" w:rsidRPr="003024E5" w:rsidRDefault="004B607F" w:rsidP="004B607F">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26B2D485" w14:textId="77777777" w:rsidR="004B607F" w:rsidRDefault="004B607F" w:rsidP="004B607F">
      <w:pPr>
        <w:rPr>
          <w:rtl/>
        </w:rPr>
      </w:pPr>
      <w:r>
        <w:rPr>
          <w:rFonts w:cs="Arial"/>
          <w:rtl/>
        </w:rPr>
        <w:t xml:space="preserve">דברים אלו תלויים בדעת הדיין ועוצם בינתו, שיבין עיקר המשפטים וידע דבר הגורם לדבר אחר, ויעמיק לראות אם ימצא לזה העד צד הנאה בעדות זו, אפילו בדרך רחוקה ונפלאה, הרי זה לא יעיד בה, וכן לא יהיה דיין בדבר. </w:t>
      </w:r>
    </w:p>
    <w:p w14:paraId="358FA6FE" w14:textId="77777777" w:rsidR="004B607F" w:rsidRDefault="004B607F" w:rsidP="004B607F">
      <w:pPr>
        <w:rPr>
          <w:rtl/>
        </w:rPr>
      </w:pPr>
    </w:p>
    <w:p w14:paraId="63062C59" w14:textId="77777777" w:rsidR="004B607F" w:rsidRDefault="004B607F" w:rsidP="004B607F">
      <w:pPr>
        <w:pStyle w:val="2"/>
        <w:rPr>
          <w:rtl/>
        </w:rPr>
      </w:pPr>
      <w:bookmarkStart w:id="378" w:name="_Toc24883823"/>
      <w:r>
        <w:rPr>
          <w:rtl/>
        </w:rPr>
        <w:t>סעיף כב</w:t>
      </w:r>
      <w:r>
        <w:rPr>
          <w:rFonts w:hint="cs"/>
          <w:rtl/>
        </w:rPr>
        <w:t>: מנהג לקבל עדים</w:t>
      </w:r>
      <w:r>
        <w:rPr>
          <w:rFonts w:hint="cs"/>
          <w:sz w:val="18"/>
          <w:szCs w:val="18"/>
          <w:rtl/>
        </w:rPr>
        <w:t xml:space="preserve"> </w:t>
      </w:r>
      <w:r w:rsidRPr="000F7F5E">
        <w:rPr>
          <w:rFonts w:hint="cs"/>
          <w:rtl/>
        </w:rPr>
        <w:t>קרובים</w:t>
      </w:r>
      <w:r>
        <w:rPr>
          <w:rFonts w:hint="cs"/>
          <w:rtl/>
        </w:rPr>
        <w:t xml:space="preserve"> </w:t>
      </w:r>
      <w:r w:rsidRPr="0064569C">
        <w:rPr>
          <w:rFonts w:hint="cs"/>
          <w:rtl/>
        </w:rPr>
        <w:t>או נוגעים בדבר</w:t>
      </w:r>
      <w:r>
        <w:rPr>
          <w:rFonts w:hint="cs"/>
          <w:rtl/>
        </w:rPr>
        <w:t xml:space="preserve"> בענייני הקהל.</w:t>
      </w:r>
      <w:bookmarkEnd w:id="378"/>
    </w:p>
    <w:p w14:paraId="7EE03682" w14:textId="77777777" w:rsidR="004B607F" w:rsidRDefault="004B607F" w:rsidP="004B607F">
      <w:pPr>
        <w:rPr>
          <w:rFonts w:cs="Arial"/>
          <w:rtl/>
        </w:rPr>
      </w:pPr>
      <w:r w:rsidRPr="000F7F5E">
        <w:rPr>
          <w:rFonts w:cs="Arial" w:hint="cs"/>
          <w:u w:val="single"/>
          <w:rtl/>
        </w:rPr>
        <w:t>קבלת עדים קרובים</w:t>
      </w:r>
      <w:r>
        <w:rPr>
          <w:rFonts w:cs="Arial" w:hint="cs"/>
          <w:sz w:val="16"/>
          <w:szCs w:val="16"/>
          <w:u w:val="single"/>
          <w:rtl/>
        </w:rPr>
        <w:t xml:space="preserve"> </w:t>
      </w:r>
      <w:r w:rsidRPr="0064569C">
        <w:rPr>
          <w:rFonts w:cs="Arial" w:hint="cs"/>
          <w:u w:val="single"/>
          <w:rtl/>
        </w:rPr>
        <w:t>או נוגעים בדבר</w:t>
      </w:r>
      <w:r w:rsidRPr="000F7F5E">
        <w:rPr>
          <w:rFonts w:cs="Arial" w:hint="cs"/>
          <w:u w:val="single"/>
          <w:rtl/>
        </w:rPr>
        <w:t xml:space="preserve"> </w:t>
      </w:r>
      <w:r>
        <w:rPr>
          <w:rFonts w:cs="Arial"/>
          <w:u w:val="single"/>
          <w:rtl/>
        </w:rPr>
        <w:t>–</w:t>
      </w:r>
      <w:r>
        <w:rPr>
          <w:rFonts w:cs="Arial" w:hint="cs"/>
          <w:u w:val="single"/>
          <w:rtl/>
        </w:rPr>
        <w:t xml:space="preserve"> </w:t>
      </w:r>
      <w:r w:rsidRPr="000F7F5E">
        <w:rPr>
          <w:rFonts w:cs="Arial" w:hint="cs"/>
          <w:u w:val="single"/>
          <w:rtl/>
        </w:rPr>
        <w:t>בענייני הקהל:</w:t>
      </w:r>
    </w:p>
    <w:p w14:paraId="7A9813CE" w14:textId="77777777" w:rsidR="004B607F" w:rsidRDefault="004B607F" w:rsidP="004B0475">
      <w:pPr>
        <w:pStyle w:val="ac"/>
        <w:numPr>
          <w:ilvl w:val="0"/>
          <w:numId w:val="116"/>
        </w:numPr>
        <w:rPr>
          <w:rFonts w:cs="Arial"/>
        </w:rPr>
      </w:pPr>
      <w:r w:rsidRPr="000F7F5E">
        <w:rPr>
          <w:rFonts w:cs="Arial"/>
          <w:rtl/>
        </w:rPr>
        <w:lastRenderedPageBreak/>
        <w:t>רשב"א</w:t>
      </w:r>
      <w:r>
        <w:rPr>
          <w:rStyle w:val="ab"/>
          <w:rFonts w:cs="Arial"/>
          <w:rtl/>
        </w:rPr>
        <w:footnoteReference w:id="2798"/>
      </w:r>
      <w:r w:rsidRPr="000F7F5E">
        <w:rPr>
          <w:rFonts w:cs="Arial"/>
          <w:rtl/>
        </w:rPr>
        <w:t xml:space="preserve"> </w:t>
      </w:r>
      <w:r w:rsidRPr="001A07B9">
        <w:rPr>
          <w:rFonts w:cs="Arial"/>
          <w:sz w:val="16"/>
          <w:szCs w:val="16"/>
          <w:rtl/>
        </w:rPr>
        <w:t>(ח"א סי</w:t>
      </w:r>
      <w:r>
        <w:rPr>
          <w:rFonts w:cs="Arial" w:hint="cs"/>
          <w:sz w:val="16"/>
          <w:szCs w:val="16"/>
          <w:rtl/>
        </w:rPr>
        <w:t>'</w:t>
      </w:r>
      <w:r w:rsidRPr="001A07B9">
        <w:rPr>
          <w:rFonts w:cs="Arial"/>
          <w:sz w:val="16"/>
          <w:szCs w:val="16"/>
          <w:rtl/>
        </w:rPr>
        <w:t xml:space="preserve"> תתיא</w:t>
      </w:r>
      <w:r>
        <w:rPr>
          <w:rFonts w:cs="Arial" w:hint="cs"/>
          <w:sz w:val="16"/>
          <w:szCs w:val="16"/>
          <w:rtl/>
        </w:rPr>
        <w:t xml:space="preserve"> [וכ"כ בשמו רי"ו </w:t>
      </w:r>
      <w:r w:rsidRPr="001A07B9">
        <w:rPr>
          <w:rFonts w:cs="Arial"/>
          <w:sz w:val="16"/>
          <w:szCs w:val="16"/>
          <w:rtl/>
        </w:rPr>
        <w:t>נל"ב ח"א קג ע"ג</w:t>
      </w:r>
      <w:r>
        <w:rPr>
          <w:rFonts w:cs="Arial" w:hint="cs"/>
          <w:sz w:val="16"/>
          <w:szCs w:val="16"/>
          <w:rtl/>
        </w:rPr>
        <w:t>], וכן ב</w:t>
      </w:r>
      <w:r w:rsidRPr="001A07B9">
        <w:rPr>
          <w:rFonts w:cs="Arial"/>
          <w:sz w:val="16"/>
          <w:szCs w:val="16"/>
          <w:rtl/>
        </w:rPr>
        <w:t>ח"א סי' תרפ)</w:t>
      </w:r>
      <w:r>
        <w:rPr>
          <w:rFonts w:cs="Arial" w:hint="cs"/>
          <w:rtl/>
        </w:rPr>
        <w:t xml:space="preserve"> ו</w:t>
      </w:r>
      <w:r w:rsidRPr="000F7F5E">
        <w:rPr>
          <w:rFonts w:cs="Arial"/>
          <w:rtl/>
        </w:rPr>
        <w:t xml:space="preserve">רא"ש </w:t>
      </w:r>
      <w:r w:rsidRPr="000F7F5E">
        <w:rPr>
          <w:rFonts w:cs="Arial" w:hint="cs"/>
          <w:sz w:val="16"/>
          <w:szCs w:val="16"/>
          <w:rtl/>
        </w:rPr>
        <w:t>(</w:t>
      </w:r>
      <w:r w:rsidRPr="000F7F5E">
        <w:rPr>
          <w:rFonts w:cs="Arial"/>
          <w:sz w:val="16"/>
          <w:szCs w:val="16"/>
          <w:rtl/>
        </w:rPr>
        <w:t>כלל ה סי</w:t>
      </w:r>
      <w:r w:rsidRPr="000F7F5E">
        <w:rPr>
          <w:rFonts w:cs="Arial" w:hint="cs"/>
          <w:sz w:val="16"/>
          <w:szCs w:val="16"/>
          <w:rtl/>
        </w:rPr>
        <w:t>'</w:t>
      </w:r>
      <w:r w:rsidRPr="000F7F5E">
        <w:rPr>
          <w:rFonts w:cs="Arial"/>
          <w:sz w:val="16"/>
          <w:szCs w:val="16"/>
          <w:rtl/>
        </w:rPr>
        <w:t xml:space="preserve"> ד</w:t>
      </w:r>
      <w:r w:rsidRPr="000F7F5E">
        <w:rPr>
          <w:rFonts w:cs="Arial" w:hint="cs"/>
          <w:sz w:val="16"/>
          <w:szCs w:val="16"/>
          <w:rtl/>
        </w:rPr>
        <w:t>)</w:t>
      </w:r>
      <w:r w:rsidRPr="000F7F5E">
        <w:rPr>
          <w:rFonts w:cs="Arial" w:hint="cs"/>
          <w:rtl/>
        </w:rPr>
        <w:t>-</w:t>
      </w:r>
      <w:r w:rsidRPr="000F7F5E">
        <w:rPr>
          <w:rFonts w:cs="Arial"/>
          <w:rtl/>
        </w:rPr>
        <w:t xml:space="preserve"> מנהג פשוט בכל ישראל שאין מביאין עדים מחוץ לעיר להעיד על תקנתם והסכמתם</w:t>
      </w:r>
      <w:r>
        <w:rPr>
          <w:rFonts w:cs="Arial" w:hint="cs"/>
          <w:rtl/>
        </w:rPr>
        <w:t>,</w:t>
      </w:r>
      <w:r w:rsidRPr="000F7F5E">
        <w:rPr>
          <w:rFonts w:cs="Arial"/>
          <w:rtl/>
        </w:rPr>
        <w:t xml:space="preserve"> אלא מקבלין עליהם עדי העיר על כל ענייניהם</w:t>
      </w:r>
      <w:r>
        <w:rPr>
          <w:rFonts w:cs="Arial" w:hint="cs"/>
          <w:rtl/>
        </w:rPr>
        <w:t>.</w:t>
      </w:r>
      <w:r w:rsidRPr="000F7F5E">
        <w:rPr>
          <w:rFonts w:cs="Arial"/>
          <w:rtl/>
        </w:rPr>
        <w:t xml:space="preserve"> וכשרים אפילו לקרוביהם כיון שקבלום עליהם אנשי העיר</w:t>
      </w:r>
      <w:r>
        <w:rPr>
          <w:rFonts w:cs="Arial" w:hint="cs"/>
          <w:sz w:val="16"/>
          <w:szCs w:val="16"/>
          <w:rtl/>
        </w:rPr>
        <w:t xml:space="preserve"> (ל' הרא"ש)</w:t>
      </w:r>
      <w:r>
        <w:rPr>
          <w:rStyle w:val="ab"/>
          <w:rFonts w:cs="Arial"/>
          <w:rtl/>
        </w:rPr>
        <w:footnoteReference w:id="2799"/>
      </w:r>
      <w:r w:rsidRPr="000F7F5E">
        <w:rPr>
          <w:rFonts w:cs="Arial"/>
          <w:rtl/>
        </w:rPr>
        <w:t xml:space="preserve">. </w:t>
      </w:r>
    </w:p>
    <w:p w14:paraId="373CCC55" w14:textId="77777777" w:rsidR="004B607F" w:rsidRPr="001A07B9" w:rsidRDefault="004B607F" w:rsidP="004B607F">
      <w:r w:rsidRPr="000F7F5E">
        <w:rPr>
          <w:rFonts w:cs="Arial" w:hint="cs"/>
          <w:u w:val="single"/>
          <w:rtl/>
        </w:rPr>
        <w:t>קבלת עד</w:t>
      </w:r>
      <w:r>
        <w:rPr>
          <w:rFonts w:cs="Arial" w:hint="cs"/>
          <w:u w:val="single"/>
          <w:rtl/>
        </w:rPr>
        <w:t xml:space="preserve">ות של עד מפי עד </w:t>
      </w:r>
      <w:r w:rsidRPr="000F7F5E">
        <w:rPr>
          <w:rFonts w:cs="Arial" w:hint="cs"/>
          <w:u w:val="single"/>
          <w:rtl/>
        </w:rPr>
        <w:t>בענייני הקהל:</w:t>
      </w:r>
      <w:r w:rsidRPr="001A07B9">
        <w:rPr>
          <w:rFonts w:cs="Arial" w:hint="cs"/>
          <w:rtl/>
        </w:rPr>
        <w:t xml:space="preserve"> </w:t>
      </w:r>
      <w:r>
        <w:rPr>
          <w:rFonts w:cs="Arial" w:hint="cs"/>
          <w:rtl/>
        </w:rPr>
        <w:t xml:space="preserve"> </w:t>
      </w:r>
      <w:r w:rsidRPr="001A07B9">
        <w:rPr>
          <w:rFonts w:cs="Arial" w:hint="cs"/>
          <w:sz w:val="16"/>
          <w:szCs w:val="16"/>
          <w:rtl/>
        </w:rPr>
        <w:t>(דרכ"מ אות א)</w:t>
      </w:r>
      <w:r w:rsidRPr="001A07B9">
        <w:rPr>
          <w:rFonts w:cs="Arial" w:hint="cs"/>
          <w:rtl/>
        </w:rPr>
        <w:t xml:space="preserve"> </w:t>
      </w:r>
    </w:p>
    <w:p w14:paraId="3277B484" w14:textId="77777777" w:rsidR="004B607F" w:rsidRPr="001A07B9" w:rsidRDefault="004B607F" w:rsidP="004B0475">
      <w:pPr>
        <w:pStyle w:val="ac"/>
        <w:numPr>
          <w:ilvl w:val="0"/>
          <w:numId w:val="116"/>
        </w:numPr>
      </w:pPr>
      <w:r>
        <w:rPr>
          <w:rFonts w:cs="Arial"/>
          <w:rtl/>
        </w:rPr>
        <w:t>תשו</w:t>
      </w:r>
      <w:r>
        <w:rPr>
          <w:rFonts w:cs="Arial" w:hint="cs"/>
          <w:rtl/>
        </w:rPr>
        <w:t>'</w:t>
      </w:r>
      <w:r>
        <w:rPr>
          <w:rFonts w:cs="Arial"/>
          <w:rtl/>
        </w:rPr>
        <w:t xml:space="preserve"> מיימון </w:t>
      </w:r>
      <w:r w:rsidRPr="001A07B9">
        <w:rPr>
          <w:rFonts w:cs="Arial" w:hint="cs"/>
          <w:sz w:val="16"/>
          <w:szCs w:val="16"/>
          <w:rtl/>
        </w:rPr>
        <w:t>(ב</w:t>
      </w:r>
      <w:r w:rsidRPr="001A07B9">
        <w:rPr>
          <w:rFonts w:cs="Arial"/>
          <w:sz w:val="16"/>
          <w:szCs w:val="16"/>
          <w:rtl/>
        </w:rPr>
        <w:t>הל</w:t>
      </w:r>
      <w:r w:rsidRPr="001A07B9">
        <w:rPr>
          <w:rFonts w:cs="Arial" w:hint="cs"/>
          <w:sz w:val="16"/>
          <w:szCs w:val="16"/>
          <w:rtl/>
        </w:rPr>
        <w:t>'</w:t>
      </w:r>
      <w:r w:rsidRPr="001A07B9">
        <w:rPr>
          <w:rFonts w:cs="Arial"/>
          <w:sz w:val="16"/>
          <w:szCs w:val="16"/>
          <w:rtl/>
        </w:rPr>
        <w:t xml:space="preserve"> עדות סי</w:t>
      </w:r>
      <w:r w:rsidRPr="001A07B9">
        <w:rPr>
          <w:rFonts w:cs="Arial" w:hint="cs"/>
          <w:sz w:val="16"/>
          <w:szCs w:val="16"/>
          <w:rtl/>
        </w:rPr>
        <w:t>'</w:t>
      </w:r>
      <w:r w:rsidRPr="001A07B9">
        <w:rPr>
          <w:rFonts w:cs="Arial"/>
          <w:sz w:val="16"/>
          <w:szCs w:val="16"/>
          <w:rtl/>
        </w:rPr>
        <w:t xml:space="preserve"> יג</w:t>
      </w:r>
      <w:r w:rsidRPr="001A07B9">
        <w:rPr>
          <w:rFonts w:cs="Arial" w:hint="cs"/>
          <w:sz w:val="16"/>
          <w:szCs w:val="16"/>
          <w:rtl/>
        </w:rPr>
        <w:t>)</w:t>
      </w:r>
      <w:r w:rsidRPr="001A07B9">
        <w:rPr>
          <w:rFonts w:cs="Arial"/>
          <w:sz w:val="16"/>
          <w:szCs w:val="16"/>
          <w:rtl/>
        </w:rPr>
        <w:t xml:space="preserve"> </w:t>
      </w:r>
      <w:r>
        <w:rPr>
          <w:rFonts w:cs="Arial" w:hint="cs"/>
          <w:rtl/>
        </w:rPr>
        <w:t>בשם</w:t>
      </w:r>
      <w:r>
        <w:rPr>
          <w:rFonts w:cs="Arial"/>
          <w:rtl/>
        </w:rPr>
        <w:t xml:space="preserve"> מהר"ם </w:t>
      </w:r>
      <w:r w:rsidRPr="001A07B9">
        <w:rPr>
          <w:rFonts w:cs="Arial"/>
          <w:sz w:val="16"/>
          <w:szCs w:val="16"/>
          <w:rtl/>
        </w:rPr>
        <w:t>(ד"ל סי' ריד)</w:t>
      </w:r>
      <w:r>
        <w:rPr>
          <w:rFonts w:cs="Arial" w:hint="cs"/>
          <w:rtl/>
        </w:rPr>
        <w:t>-</w:t>
      </w:r>
      <w:r>
        <w:rPr>
          <w:rFonts w:cs="Arial"/>
          <w:rtl/>
        </w:rPr>
        <w:t xml:space="preserve"> על אודות חזקת הישוב אפילו קרובים כשרים להעיד ואפילו עד מפי עד מפי הקבלה</w:t>
      </w:r>
      <w:r>
        <w:rPr>
          <w:rFonts w:cs="Arial" w:hint="cs"/>
          <w:rtl/>
        </w:rPr>
        <w:t>.</w:t>
      </w:r>
      <w:r>
        <w:rPr>
          <w:rFonts w:cs="Arial"/>
          <w:rtl/>
        </w:rPr>
        <w:t xml:space="preserve"> וטעמא</w:t>
      </w:r>
      <w:r>
        <w:rPr>
          <w:rFonts w:cs="Arial" w:hint="cs"/>
          <w:rtl/>
        </w:rPr>
        <w:t>,</w:t>
      </w:r>
      <w:r>
        <w:rPr>
          <w:rFonts w:cs="Arial"/>
          <w:rtl/>
        </w:rPr>
        <w:t xml:space="preserve"> דבלאו הכי כולן נוגעין בעדותן הם</w:t>
      </w:r>
      <w:r>
        <w:rPr>
          <w:rFonts w:cs="Arial" w:hint="cs"/>
          <w:rtl/>
        </w:rPr>
        <w:t>.</w:t>
      </w:r>
      <w:r>
        <w:rPr>
          <w:rFonts w:cs="Arial"/>
          <w:rtl/>
        </w:rPr>
        <w:t xml:space="preserve"> ואי איכא תרי ותרי</w:t>
      </w:r>
      <w:r>
        <w:rPr>
          <w:rFonts w:cs="Arial" w:hint="cs"/>
          <w:rtl/>
        </w:rPr>
        <w:t xml:space="preserve"> -</w:t>
      </w:r>
      <w:r>
        <w:rPr>
          <w:rFonts w:cs="Arial"/>
          <w:rtl/>
        </w:rPr>
        <w:t xml:space="preserve"> אוקי היישוב בחזקת בני מתא</w:t>
      </w:r>
      <w:r>
        <w:rPr>
          <w:rFonts w:cs="Arial" w:hint="cs"/>
          <w:rtl/>
        </w:rPr>
        <w:t>.</w:t>
      </w:r>
      <w:r>
        <w:rPr>
          <w:rFonts w:cs="Arial"/>
          <w:rtl/>
        </w:rPr>
        <w:t xml:space="preserve"> ואי איכא רבים המכחישים זה את זה</w:t>
      </w:r>
      <w:r>
        <w:rPr>
          <w:rFonts w:cs="Arial" w:hint="cs"/>
          <w:rtl/>
        </w:rPr>
        <w:t xml:space="preserve"> -</w:t>
      </w:r>
      <w:r>
        <w:rPr>
          <w:rFonts w:cs="Arial"/>
          <w:rtl/>
        </w:rPr>
        <w:t xml:space="preserve"> אזלינן בתר רוב דיעות.</w:t>
      </w:r>
      <w:r w:rsidRPr="0064569C">
        <w:rPr>
          <w:rFonts w:cs="Arial"/>
          <w:color w:val="00B0F0"/>
          <w:rtl/>
        </w:rPr>
        <w:t xml:space="preserve"> </w:t>
      </w:r>
      <w:r w:rsidRPr="0064569C">
        <w:rPr>
          <w:rFonts w:hint="cs"/>
          <w:color w:val="00B0F0"/>
          <w:rtl/>
        </w:rPr>
        <w:t>(וכ"פ הרמ"א)</w:t>
      </w:r>
    </w:p>
    <w:p w14:paraId="35550B6A" w14:textId="77777777" w:rsidR="004B607F" w:rsidRPr="003024E5" w:rsidRDefault="004B607F" w:rsidP="004B607F">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1AA3A4B9" w14:textId="77777777" w:rsidR="004B607F" w:rsidRDefault="004B607F" w:rsidP="004B607F">
      <w:pPr>
        <w:rPr>
          <w:rtl/>
        </w:rPr>
      </w:pPr>
      <w:r>
        <w:rPr>
          <w:rFonts w:cs="Arial"/>
          <w:rtl/>
        </w:rPr>
        <w:t>עכשיו נהגו לקבל עדים מהקהל על תקנתם והסכמתם, ועל ההקדשות ועל כל ענייניהם</w:t>
      </w:r>
      <w:r>
        <w:rPr>
          <w:rFonts w:cs="Arial" w:hint="cs"/>
          <w:rtl/>
        </w:rPr>
        <w:t>.</w:t>
      </w:r>
      <w:r>
        <w:rPr>
          <w:rFonts w:cs="Arial"/>
          <w:rtl/>
        </w:rPr>
        <w:t xml:space="preserve"> וכשרים אפילו לקרוביהם, כיון שקבלום עליהם. </w:t>
      </w:r>
      <w:r w:rsidRPr="009F25CE">
        <w:rPr>
          <w:rFonts w:cs="Arial"/>
          <w:sz w:val="18"/>
          <w:szCs w:val="18"/>
          <w:rtl/>
        </w:rPr>
        <w:t>הגה: כל דבר התלוי במנהג בני העיר, אין אומרים בו תרי כמאה, אלא אזלינן ביה בתר הרוב. וכן כל כיוצא בזה שאין אנו צריכים עדות ממש. וכן לא אמרינן בכיוצא בזה לא ראינו אינו ראיה, אלא הוי ראיה</w:t>
      </w:r>
      <w:r>
        <w:rPr>
          <w:rStyle w:val="ab"/>
          <w:rFonts w:cs="Arial"/>
          <w:sz w:val="18"/>
          <w:szCs w:val="18"/>
          <w:rtl/>
        </w:rPr>
        <w:footnoteReference w:id="2800"/>
      </w:r>
      <w:r w:rsidRPr="009F25CE">
        <w:rPr>
          <w:rFonts w:cs="Arial"/>
          <w:sz w:val="18"/>
          <w:szCs w:val="18"/>
          <w:rtl/>
        </w:rPr>
        <w:t xml:space="preserve"> (מהרי"ק שורש קעב), ודנין בחזקת הישוב וכדומה לזה מצורכי העיר, אפילו על פי עד מפי עד מפי הקבלה, דהרי בלאו הכי כולן נוגעין בדבר (תשובת מיימוני ה"ע סי' יג). ועיין לקמן סי' קנ"ז וקס"ג מדינים אלו. טובי הקהל הממונים לעסוק בצרכי רבים או יחידים, הרי הן כדיינים ואסורים להושיב ביניהם מי שפסול לדון משום רשעה</w:t>
      </w:r>
      <w:r>
        <w:rPr>
          <w:rFonts w:cs="Arial" w:hint="cs"/>
          <w:sz w:val="16"/>
          <w:szCs w:val="16"/>
          <w:rtl/>
        </w:rPr>
        <w:t xml:space="preserve"> </w:t>
      </w:r>
      <w:r>
        <w:rPr>
          <w:rFonts w:cs="Arial" w:hint="cs"/>
          <w:sz w:val="18"/>
          <w:szCs w:val="18"/>
          <w:rtl/>
        </w:rPr>
        <w:t>(פסקי מהרא"י סי' ריד)</w:t>
      </w:r>
      <w:r w:rsidRPr="009F25CE">
        <w:rPr>
          <w:rFonts w:cs="Arial"/>
          <w:sz w:val="18"/>
          <w:szCs w:val="18"/>
          <w:rtl/>
        </w:rPr>
        <w:t>.</w:t>
      </w:r>
    </w:p>
    <w:p w14:paraId="12F2FE10" w14:textId="77777777" w:rsidR="004B607F" w:rsidRDefault="004B607F" w:rsidP="004B607F">
      <w:pPr>
        <w:pStyle w:val="1"/>
        <w:rPr>
          <w:rtl/>
        </w:rPr>
        <w:sectPr w:rsidR="004B607F" w:rsidSect="004B607F">
          <w:headerReference w:type="default" r:id="rId47"/>
          <w:footnotePr>
            <w:numRestart w:val="eachPage"/>
          </w:footnotePr>
          <w:pgSz w:w="11906" w:h="16838"/>
          <w:pgMar w:top="720" w:right="1134" w:bottom="720" w:left="1134" w:header="0" w:footer="0" w:gutter="0"/>
          <w:cols w:space="720"/>
          <w:bidi/>
          <w:rtlGutter/>
          <w:docGrid w:linePitch="360"/>
        </w:sectPr>
      </w:pPr>
    </w:p>
    <w:p w14:paraId="0F096FC7" w14:textId="77777777" w:rsidR="004B607F" w:rsidRDefault="004B607F" w:rsidP="004B607F">
      <w:pPr>
        <w:pStyle w:val="1"/>
        <w:rPr>
          <w:rtl/>
        </w:rPr>
      </w:pPr>
      <w:bookmarkStart w:id="379" w:name="_Toc24883824"/>
      <w:r>
        <w:rPr>
          <w:rFonts w:hint="cs"/>
          <w:rtl/>
        </w:rPr>
        <w:lastRenderedPageBreak/>
        <w:t xml:space="preserve">סימן לח: </w:t>
      </w:r>
      <w:r>
        <w:rPr>
          <w:rtl/>
        </w:rPr>
        <w:t>קצת דיני הזמה, ובו סעיף אחד.</w:t>
      </w:r>
      <w:bookmarkEnd w:id="379"/>
      <w:r>
        <w:rPr>
          <w:rtl/>
        </w:rPr>
        <w:t xml:space="preserve"> </w:t>
      </w:r>
    </w:p>
    <w:p w14:paraId="7811CF1A" w14:textId="77777777" w:rsidR="004B607F" w:rsidRDefault="004B607F" w:rsidP="004B607F">
      <w:pPr>
        <w:pStyle w:val="2"/>
        <w:rPr>
          <w:rtl/>
        </w:rPr>
      </w:pPr>
      <w:bookmarkStart w:id="380" w:name="_Toc24883825"/>
      <w:r>
        <w:rPr>
          <w:rtl/>
        </w:rPr>
        <w:t>סעיף א</w:t>
      </w:r>
      <w:bookmarkEnd w:id="380"/>
    </w:p>
    <w:p w14:paraId="5E42FFEB" w14:textId="77777777" w:rsidR="004B607F" w:rsidRDefault="004B607F" w:rsidP="004B607F">
      <w:pPr>
        <w:rPr>
          <w:rFonts w:cs="Arial"/>
          <w:rtl/>
        </w:rPr>
      </w:pPr>
      <w:r>
        <w:rPr>
          <w:rFonts w:cs="Arial" w:hint="cs"/>
          <w:b/>
          <w:bCs/>
          <w:rtl/>
        </w:rPr>
        <w:t xml:space="preserve">שבועות </w:t>
      </w:r>
      <w:r w:rsidRPr="00396CE2">
        <w:rPr>
          <w:rFonts w:cs="Arial" w:hint="cs"/>
          <w:b/>
          <w:bCs/>
          <w:sz w:val="16"/>
          <w:szCs w:val="16"/>
          <w:rtl/>
        </w:rPr>
        <w:t xml:space="preserve">(פרק כל הנשבעין) </w:t>
      </w:r>
      <w:r>
        <w:rPr>
          <w:rFonts w:cs="Arial" w:hint="cs"/>
          <w:b/>
          <w:bCs/>
          <w:rtl/>
        </w:rPr>
        <w:t>מז</w:t>
      </w:r>
      <w:r>
        <w:rPr>
          <w:rStyle w:val="ab"/>
          <w:rFonts w:cs="Arial"/>
          <w:b/>
          <w:bCs/>
          <w:rtl/>
        </w:rPr>
        <w:footnoteReference w:id="2801"/>
      </w:r>
      <w:r>
        <w:rPr>
          <w:rFonts w:cs="Arial" w:hint="cs"/>
          <w:b/>
          <w:bCs/>
          <w:rtl/>
        </w:rPr>
        <w:t xml:space="preserve"> ע"ב: </w:t>
      </w:r>
      <w:r w:rsidRPr="00396CE2">
        <w:rPr>
          <w:rFonts w:cs="Arial"/>
          <w:rtl/>
        </w:rPr>
        <w:t>איתמר: שתי כיתי עדים המכחישות זו את זו</w:t>
      </w:r>
      <w:r>
        <w:rPr>
          <w:rFonts w:cs="Arial" w:hint="cs"/>
          <w:rtl/>
        </w:rPr>
        <w:t>,</w:t>
      </w:r>
      <w:r w:rsidRPr="00396CE2">
        <w:rPr>
          <w:rFonts w:cs="Arial"/>
          <w:rtl/>
        </w:rPr>
        <w:t xml:space="preserve"> </w:t>
      </w:r>
      <w:r w:rsidRPr="00396CE2">
        <w:rPr>
          <w:rFonts w:cs="Arial"/>
          <w:u w:val="single"/>
          <w:rtl/>
        </w:rPr>
        <w:t>אמר רב הונא</w:t>
      </w:r>
      <w:r w:rsidRPr="00396CE2">
        <w:rPr>
          <w:rFonts w:cs="Arial"/>
          <w:rtl/>
        </w:rPr>
        <w:t>: זו באה בפני עצמה ומעידה</w:t>
      </w:r>
      <w:r>
        <w:rPr>
          <w:rStyle w:val="ab"/>
          <w:rFonts w:cs="Arial"/>
          <w:rtl/>
        </w:rPr>
        <w:footnoteReference w:id="2802"/>
      </w:r>
      <w:r w:rsidRPr="00396CE2">
        <w:rPr>
          <w:rFonts w:cs="Arial"/>
          <w:rtl/>
        </w:rPr>
        <w:t>, וזו באה בפני עצמה ומעידה</w:t>
      </w:r>
      <w:r>
        <w:rPr>
          <w:rFonts w:cs="Arial" w:hint="cs"/>
          <w:rtl/>
        </w:rPr>
        <w:t>.</w:t>
      </w:r>
      <w:r w:rsidRPr="00396CE2">
        <w:rPr>
          <w:rFonts w:cs="Arial"/>
          <w:rtl/>
        </w:rPr>
        <w:t xml:space="preserve"> </w:t>
      </w:r>
      <w:r w:rsidRPr="00396CE2">
        <w:rPr>
          <w:rFonts w:cs="Arial"/>
          <w:u w:val="single"/>
          <w:rtl/>
        </w:rPr>
        <w:t>רב חסדא אמר</w:t>
      </w:r>
      <w:r w:rsidRPr="00396CE2">
        <w:rPr>
          <w:rFonts w:cs="Arial"/>
          <w:rtl/>
        </w:rPr>
        <w:t xml:space="preserve">: בהדי סהדי שקרי למה לי! </w:t>
      </w:r>
    </w:p>
    <w:p w14:paraId="4B60D4BB" w14:textId="77777777" w:rsidR="004B607F" w:rsidRDefault="004B607F" w:rsidP="004B607F">
      <w:pPr>
        <w:rPr>
          <w:rFonts w:cs="Arial"/>
          <w:rtl/>
        </w:rPr>
      </w:pPr>
      <w:r w:rsidRPr="007F09C6">
        <w:rPr>
          <w:rFonts w:cs="Arial"/>
          <w:b/>
          <w:bCs/>
          <w:rtl/>
        </w:rPr>
        <w:t xml:space="preserve">מכות </w:t>
      </w:r>
      <w:r w:rsidRPr="007F09C6">
        <w:rPr>
          <w:rFonts w:cs="Arial"/>
          <w:b/>
          <w:bCs/>
          <w:sz w:val="16"/>
          <w:szCs w:val="16"/>
          <w:rtl/>
        </w:rPr>
        <w:t>(</w:t>
      </w:r>
      <w:r w:rsidRPr="007F09C6">
        <w:rPr>
          <w:rFonts w:cs="Arial" w:hint="cs"/>
          <w:b/>
          <w:bCs/>
          <w:sz w:val="16"/>
          <w:szCs w:val="16"/>
          <w:rtl/>
        </w:rPr>
        <w:t xml:space="preserve">פ"ק) </w:t>
      </w:r>
      <w:r w:rsidRPr="007F09C6">
        <w:rPr>
          <w:rFonts w:cs="Arial"/>
          <w:b/>
          <w:bCs/>
          <w:rtl/>
        </w:rPr>
        <w:t>ה</w:t>
      </w:r>
      <w:r>
        <w:rPr>
          <w:rStyle w:val="ab"/>
          <w:rFonts w:cs="Arial"/>
          <w:b/>
          <w:bCs/>
          <w:rtl/>
        </w:rPr>
        <w:footnoteReference w:id="2803"/>
      </w:r>
      <w:r w:rsidRPr="007F09C6">
        <w:rPr>
          <w:rFonts w:cs="Arial" w:hint="cs"/>
          <w:b/>
          <w:bCs/>
          <w:rtl/>
        </w:rPr>
        <w:t xml:space="preserve"> ע"א:</w:t>
      </w:r>
      <w:r>
        <w:rPr>
          <w:rFonts w:cs="Arial"/>
          <w:rtl/>
        </w:rPr>
        <w:t xml:space="preserve"> </w:t>
      </w:r>
      <w:r w:rsidRPr="007F09C6">
        <w:rPr>
          <w:rFonts w:cs="Arial"/>
          <w:u w:val="double"/>
          <w:rtl/>
        </w:rPr>
        <w:t>מתני'</w:t>
      </w:r>
      <w:r>
        <w:rPr>
          <w:rFonts w:cs="Arial" w:hint="cs"/>
          <w:rtl/>
        </w:rPr>
        <w:t>:</w:t>
      </w:r>
      <w:r w:rsidRPr="007F09C6">
        <w:rPr>
          <w:rFonts w:cs="Arial"/>
          <w:rtl/>
        </w:rPr>
        <w:t xml:space="preserve"> משלשין בממון ואין משלשין במכות. כיצד? העידוהו שהוא חייב לחבירו מאתים זוז ונמצאו זוממין - משלשין ביניהם, אבל אם העידוהו שהוא חייב מלקות ארבעים ונמצאו זוממין - כל אחד ואחד לוקה ארבעים. </w:t>
      </w:r>
    </w:p>
    <w:p w14:paraId="5CCDD529" w14:textId="77777777" w:rsidR="004B607F" w:rsidRDefault="004B607F" w:rsidP="004B607F">
      <w:pPr>
        <w:rPr>
          <w:rFonts w:cs="Arial"/>
          <w:rtl/>
        </w:rPr>
      </w:pPr>
      <w:r w:rsidRPr="007F09C6">
        <w:rPr>
          <w:rFonts w:cs="Arial"/>
          <w:b/>
          <w:bCs/>
          <w:rtl/>
        </w:rPr>
        <w:t xml:space="preserve">מכות </w:t>
      </w:r>
      <w:r w:rsidRPr="007F09C6">
        <w:rPr>
          <w:rFonts w:cs="Arial"/>
          <w:b/>
          <w:bCs/>
          <w:sz w:val="16"/>
          <w:szCs w:val="16"/>
          <w:rtl/>
        </w:rPr>
        <w:t>(</w:t>
      </w:r>
      <w:r w:rsidRPr="007F09C6">
        <w:rPr>
          <w:rFonts w:cs="Arial" w:hint="cs"/>
          <w:b/>
          <w:bCs/>
          <w:sz w:val="16"/>
          <w:szCs w:val="16"/>
          <w:rtl/>
        </w:rPr>
        <w:t xml:space="preserve">פ"ק) </w:t>
      </w:r>
      <w:r>
        <w:rPr>
          <w:rFonts w:cs="Arial" w:hint="cs"/>
          <w:b/>
          <w:bCs/>
          <w:rtl/>
        </w:rPr>
        <w:t>ד</w:t>
      </w:r>
      <w:r>
        <w:rPr>
          <w:rStyle w:val="ab"/>
          <w:rFonts w:cs="Arial"/>
          <w:b/>
          <w:bCs/>
          <w:rtl/>
        </w:rPr>
        <w:footnoteReference w:id="2804"/>
      </w:r>
      <w:r w:rsidRPr="007F09C6">
        <w:rPr>
          <w:rFonts w:cs="Arial" w:hint="cs"/>
          <w:b/>
          <w:bCs/>
          <w:rtl/>
        </w:rPr>
        <w:t xml:space="preserve"> ע"א:</w:t>
      </w:r>
      <w:r>
        <w:rPr>
          <w:rFonts w:cs="Arial"/>
          <w:rtl/>
        </w:rPr>
        <w:t xml:space="preserve"> </w:t>
      </w:r>
      <w:r w:rsidRPr="007F09C6">
        <w:rPr>
          <w:rFonts w:cs="Arial"/>
          <w:u w:val="double"/>
          <w:rtl/>
        </w:rPr>
        <w:t>מתני'</w:t>
      </w:r>
      <w:r>
        <w:rPr>
          <w:rFonts w:cs="Arial" w:hint="cs"/>
          <w:rtl/>
        </w:rPr>
        <w:t>:</w:t>
      </w:r>
      <w:r w:rsidRPr="007F09C6">
        <w:rPr>
          <w:rFonts w:cs="Arial"/>
          <w:rtl/>
        </w:rPr>
        <w:t xml:space="preserve"> מעידין אנו באיש פלוני שחייב לחבירו מאתים זוז, ונמצאו זוממין - לוקין ומשלמין, שלא השם המביאן לידי מכות מביאן לידי תשלומין, </w:t>
      </w:r>
      <w:r w:rsidRPr="007F09C6">
        <w:rPr>
          <w:rFonts w:cs="Arial"/>
          <w:u w:val="single"/>
          <w:rtl/>
        </w:rPr>
        <w:t>דברי ר' מאיר</w:t>
      </w:r>
      <w:r>
        <w:rPr>
          <w:rFonts w:cs="Arial" w:hint="cs"/>
          <w:rtl/>
        </w:rPr>
        <w:t>.</w:t>
      </w:r>
      <w:r w:rsidRPr="007F09C6">
        <w:rPr>
          <w:rFonts w:cs="Arial"/>
          <w:rtl/>
        </w:rPr>
        <w:t xml:space="preserve"> </w:t>
      </w:r>
      <w:r w:rsidRPr="007F09C6">
        <w:rPr>
          <w:rFonts w:cs="Arial"/>
          <w:u w:val="single"/>
          <w:rtl/>
        </w:rPr>
        <w:t>וחכ"א</w:t>
      </w:r>
      <w:r w:rsidRPr="007F09C6">
        <w:rPr>
          <w:rFonts w:cs="Arial"/>
          <w:rtl/>
        </w:rPr>
        <w:t xml:space="preserve">: כל המשלם אינו לוקה. </w:t>
      </w:r>
      <w:r>
        <w:rPr>
          <w:rFonts w:cs="Arial" w:hint="cs"/>
          <w:sz w:val="16"/>
          <w:szCs w:val="16"/>
          <w:rtl/>
        </w:rPr>
        <w:t>(</w:t>
      </w:r>
      <w:r w:rsidRPr="007F09C6">
        <w:rPr>
          <w:rFonts w:cs="Arial"/>
          <w:sz w:val="16"/>
          <w:szCs w:val="16"/>
          <w:rtl/>
        </w:rPr>
        <w:t xml:space="preserve">ופסק </w:t>
      </w:r>
      <w:r>
        <w:rPr>
          <w:rFonts w:cs="Arial" w:hint="cs"/>
          <w:sz w:val="16"/>
          <w:szCs w:val="16"/>
          <w:rtl/>
        </w:rPr>
        <w:t xml:space="preserve">הטור </w:t>
      </w:r>
      <w:r w:rsidRPr="007F09C6">
        <w:rPr>
          <w:rFonts w:cs="Arial"/>
          <w:sz w:val="16"/>
          <w:szCs w:val="16"/>
          <w:rtl/>
        </w:rPr>
        <w:t>כ</w:t>
      </w:r>
      <w:r>
        <w:rPr>
          <w:rFonts w:cs="Arial" w:hint="cs"/>
          <w:sz w:val="16"/>
          <w:szCs w:val="16"/>
          <w:rtl/>
        </w:rPr>
        <w:t>חכמים)</w:t>
      </w:r>
    </w:p>
    <w:p w14:paraId="5F776DD2" w14:textId="77777777" w:rsidR="004B607F" w:rsidRPr="007F09C6" w:rsidRDefault="004B607F" w:rsidP="004B607F">
      <w:pPr>
        <w:rPr>
          <w:rFonts w:cs="Arial"/>
          <w:sz w:val="18"/>
          <w:szCs w:val="18"/>
          <w:rtl/>
        </w:rPr>
      </w:pPr>
      <w:r w:rsidRPr="007F09C6">
        <w:rPr>
          <w:rFonts w:cs="Arial" w:hint="cs"/>
          <w:b/>
          <w:bCs/>
          <w:rtl/>
        </w:rPr>
        <w:t xml:space="preserve">כתובות </w:t>
      </w:r>
      <w:r>
        <w:rPr>
          <w:rFonts w:cs="Arial" w:hint="cs"/>
          <w:b/>
          <w:bCs/>
          <w:sz w:val="16"/>
          <w:szCs w:val="16"/>
          <w:rtl/>
        </w:rPr>
        <w:t xml:space="preserve">(פרק אלו נערות) </w:t>
      </w:r>
      <w:r w:rsidRPr="007F09C6">
        <w:rPr>
          <w:rFonts w:cs="Arial" w:hint="cs"/>
          <w:b/>
          <w:bCs/>
          <w:rtl/>
        </w:rPr>
        <w:t xml:space="preserve">לב ע"ב: </w:t>
      </w:r>
      <w:r w:rsidRPr="007F09C6">
        <w:rPr>
          <w:rFonts w:cs="Arial"/>
          <w:rtl/>
        </w:rPr>
        <w:t xml:space="preserve">מעידין אנו את איש פלוני שחייב לחבירו מאתים זוז, ונמצאו זוממין - לוקין ומשלמין, שלא השם המביאן לידי מכות מביאן לידי תשלומין, </w:t>
      </w:r>
      <w:r w:rsidRPr="007F09C6">
        <w:rPr>
          <w:rFonts w:cs="Arial"/>
          <w:u w:val="single"/>
          <w:rtl/>
        </w:rPr>
        <w:t>דברי ר"מ</w:t>
      </w:r>
      <w:r>
        <w:rPr>
          <w:rFonts w:cs="Arial" w:hint="cs"/>
          <w:rtl/>
        </w:rPr>
        <w:t>.</w:t>
      </w:r>
      <w:r w:rsidRPr="007F09C6">
        <w:rPr>
          <w:rFonts w:cs="Arial"/>
          <w:rtl/>
        </w:rPr>
        <w:t xml:space="preserve"> </w:t>
      </w:r>
      <w:r w:rsidRPr="007F09C6">
        <w:rPr>
          <w:rFonts w:cs="Arial"/>
          <w:u w:val="single"/>
          <w:rtl/>
        </w:rPr>
        <w:t>וחכמים אומרים</w:t>
      </w:r>
      <w:r w:rsidRPr="007F09C6">
        <w:rPr>
          <w:rFonts w:cs="Arial"/>
          <w:rtl/>
        </w:rPr>
        <w:t>: כל המשלם אינו לוקה</w:t>
      </w:r>
      <w:r>
        <w:rPr>
          <w:rFonts w:cs="Arial" w:hint="cs"/>
          <w:rtl/>
        </w:rPr>
        <w:t>.</w:t>
      </w:r>
      <w:r w:rsidRPr="007F09C6">
        <w:rPr>
          <w:rFonts w:cs="Arial"/>
          <w:rtl/>
        </w:rPr>
        <w:t xml:space="preserve"> ונימא: כל הלוקה אינו משלם! </w:t>
      </w:r>
      <w:r w:rsidRPr="007F09C6">
        <w:rPr>
          <w:rFonts w:cs="Arial"/>
          <w:u w:val="single"/>
          <w:rtl/>
        </w:rPr>
        <w:t>א"ר אילעא</w:t>
      </w:r>
      <w:r w:rsidRPr="007F09C6">
        <w:rPr>
          <w:rFonts w:cs="Arial"/>
          <w:rtl/>
        </w:rPr>
        <w:t>: בפירוש ריבתה תורה עדים זוממין לתשלומין. היכן ריבתה תורה? מכדי כתיב: ועשיתם לו כאשר זמם לעשות לאחיו, יד ביד למה לי? דבר הניתן מיד ליד, ומאי ניהו? ממון</w:t>
      </w:r>
      <w:r>
        <w:rPr>
          <w:rFonts w:cs="Arial" w:hint="cs"/>
          <w:rtl/>
        </w:rPr>
        <w:t>..</w:t>
      </w:r>
      <w:r w:rsidRPr="007F09C6">
        <w:rPr>
          <w:rFonts w:cs="Arial"/>
          <w:rtl/>
        </w:rPr>
        <w:t>.</w:t>
      </w:r>
      <w:r w:rsidRPr="007F09C6">
        <w:rPr>
          <w:rtl/>
        </w:rPr>
        <w:t xml:space="preserve"> </w:t>
      </w:r>
      <w:r>
        <w:rPr>
          <w:rFonts w:hint="cs"/>
          <w:sz w:val="14"/>
          <w:szCs w:val="14"/>
          <w:rtl/>
        </w:rPr>
        <w:t>(לג.)</w:t>
      </w:r>
      <w:r w:rsidRPr="007F09C6">
        <w:rPr>
          <w:rFonts w:cs="Arial"/>
          <w:rtl/>
        </w:rPr>
        <w:t xml:space="preserve"> </w:t>
      </w:r>
      <w:r w:rsidRPr="007F09C6">
        <w:rPr>
          <w:rFonts w:cs="Arial"/>
          <w:u w:val="single"/>
          <w:rtl/>
        </w:rPr>
        <w:t>רבי אליעזר אומר</w:t>
      </w:r>
      <w:r w:rsidRPr="007F09C6">
        <w:rPr>
          <w:rFonts w:cs="Arial"/>
          <w:rtl/>
        </w:rPr>
        <w:t xml:space="preserve">: עדים זוממין ממונא משלמי ומילקא לא לקי, משום דלאו בני התראה נינהו. </w:t>
      </w:r>
      <w:r w:rsidRPr="007F09C6">
        <w:rPr>
          <w:rFonts w:cs="Arial" w:hint="cs"/>
          <w:sz w:val="16"/>
          <w:szCs w:val="16"/>
          <w:rtl/>
        </w:rPr>
        <w:t>(</w:t>
      </w:r>
      <w:r w:rsidRPr="007F09C6">
        <w:rPr>
          <w:rFonts w:cs="Arial"/>
          <w:sz w:val="16"/>
          <w:szCs w:val="16"/>
          <w:rtl/>
        </w:rPr>
        <w:t>ולא ידעתי למה לא הזכיר רבינו דין המלקות מאחר שבא לכתוב כל החילוקים</w:t>
      </w:r>
      <w:r>
        <w:rPr>
          <w:rFonts w:cs="Arial" w:hint="cs"/>
          <w:sz w:val="16"/>
          <w:szCs w:val="16"/>
          <w:rtl/>
        </w:rPr>
        <w:t>, ב"י)</w:t>
      </w:r>
    </w:p>
    <w:p w14:paraId="03BCE8A9" w14:textId="77777777" w:rsidR="004B607F" w:rsidRDefault="004B607F" w:rsidP="004B607F">
      <w:pPr>
        <w:rPr>
          <w:rFonts w:cs="Arial"/>
          <w:rtl/>
        </w:rPr>
      </w:pPr>
      <w:r w:rsidRPr="007F09C6">
        <w:rPr>
          <w:rFonts w:cs="Arial"/>
          <w:u w:val="single"/>
          <w:rtl/>
        </w:rPr>
        <w:t>שני עדים שהעידו ובאו ב' והכחישום</w:t>
      </w:r>
      <w:r w:rsidRPr="007F09C6">
        <w:rPr>
          <w:rFonts w:cs="Arial" w:hint="cs"/>
          <w:u w:val="single"/>
          <w:rtl/>
        </w:rPr>
        <w:t>:</w:t>
      </w:r>
    </w:p>
    <w:p w14:paraId="013646EF" w14:textId="77777777" w:rsidR="004B607F" w:rsidRDefault="004B607F" w:rsidP="004B0475">
      <w:pPr>
        <w:pStyle w:val="ac"/>
        <w:numPr>
          <w:ilvl w:val="0"/>
          <w:numId w:val="116"/>
        </w:numPr>
      </w:pPr>
      <w:r w:rsidRPr="007F09C6">
        <w:rPr>
          <w:rFonts w:cs="Arial" w:hint="cs"/>
          <w:rtl/>
        </w:rPr>
        <w:t xml:space="preserve">טור- </w:t>
      </w:r>
      <w:r w:rsidRPr="007F09C6">
        <w:rPr>
          <w:rFonts w:cs="Arial"/>
          <w:rtl/>
        </w:rPr>
        <w:t>שני עדים שהעידו באחד שהרג הנפש או שחייב לפלוני מנה</w:t>
      </w:r>
      <w:r>
        <w:rPr>
          <w:rFonts w:cs="Arial" w:hint="cs"/>
          <w:rtl/>
        </w:rPr>
        <w:t>,</w:t>
      </w:r>
      <w:r w:rsidRPr="007F09C6">
        <w:rPr>
          <w:rFonts w:cs="Arial"/>
          <w:rtl/>
        </w:rPr>
        <w:t xml:space="preserve"> ובאו ב' והכחישום </w:t>
      </w:r>
      <w:r w:rsidRPr="007F09C6">
        <w:rPr>
          <w:rFonts w:cs="Arial" w:hint="cs"/>
          <w:rtl/>
        </w:rPr>
        <w:t xml:space="preserve">- </w:t>
      </w:r>
      <w:r w:rsidRPr="007F09C6">
        <w:rPr>
          <w:rFonts w:cs="Arial"/>
          <w:rtl/>
        </w:rPr>
        <w:t>דברי שניהם בטלין</w:t>
      </w:r>
      <w:r w:rsidRPr="007F09C6">
        <w:rPr>
          <w:rFonts w:cs="Arial" w:hint="cs"/>
          <w:rtl/>
        </w:rPr>
        <w:t>,</w:t>
      </w:r>
      <w:r w:rsidRPr="007F09C6">
        <w:rPr>
          <w:rFonts w:cs="Arial"/>
          <w:rtl/>
        </w:rPr>
        <w:t xml:space="preserve"> והוא והן פטורין</w:t>
      </w:r>
      <w:r w:rsidRPr="007F09C6">
        <w:rPr>
          <w:rFonts w:cs="Arial" w:hint="cs"/>
          <w:rtl/>
        </w:rPr>
        <w:t>.</w:t>
      </w:r>
      <w:r w:rsidRPr="007F09C6">
        <w:rPr>
          <w:rFonts w:cs="Arial"/>
          <w:rtl/>
        </w:rPr>
        <w:t xml:space="preserve"> אבל אם באו האחרונים והזימום </w:t>
      </w:r>
      <w:r>
        <w:rPr>
          <w:rFonts w:cs="Arial" w:hint="cs"/>
          <w:rtl/>
        </w:rPr>
        <w:t xml:space="preserve">- </w:t>
      </w:r>
      <w:r w:rsidRPr="007F09C6">
        <w:rPr>
          <w:rFonts w:cs="Arial"/>
          <w:rtl/>
        </w:rPr>
        <w:t>אז האחרונים נאמנין ועדות הראשונים בטלה</w:t>
      </w:r>
      <w:r>
        <w:rPr>
          <w:rFonts w:cs="Arial" w:hint="cs"/>
          <w:rtl/>
        </w:rPr>
        <w:t>,</w:t>
      </w:r>
      <w:r w:rsidRPr="007F09C6">
        <w:rPr>
          <w:rFonts w:cs="Arial"/>
          <w:rtl/>
        </w:rPr>
        <w:t xml:space="preserve"> והן חייבין כפי מה אשר רצו לחייב אותן שהעידו עליו</w:t>
      </w:r>
      <w:r w:rsidRPr="007F09C6">
        <w:rPr>
          <w:rFonts w:cs="Arial" w:hint="cs"/>
          <w:rtl/>
        </w:rPr>
        <w:t>,</w:t>
      </w:r>
      <w:r w:rsidRPr="007F09C6">
        <w:rPr>
          <w:rFonts w:cs="Arial"/>
          <w:rtl/>
        </w:rPr>
        <w:t xml:space="preserve"> אם באו לחייבו מיתה </w:t>
      </w:r>
      <w:r>
        <w:rPr>
          <w:rFonts w:cs="Arial" w:hint="cs"/>
          <w:rtl/>
        </w:rPr>
        <w:t xml:space="preserve">- </w:t>
      </w:r>
      <w:r w:rsidRPr="007F09C6">
        <w:rPr>
          <w:rFonts w:cs="Arial"/>
          <w:rtl/>
        </w:rPr>
        <w:t>נהרגין</w:t>
      </w:r>
      <w:r>
        <w:rPr>
          <w:rFonts w:cs="Arial" w:hint="cs"/>
          <w:rtl/>
        </w:rPr>
        <w:t xml:space="preserve"> </w:t>
      </w:r>
      <w:r w:rsidRPr="007F09C6">
        <w:rPr>
          <w:rFonts w:cs="Arial"/>
          <w:rtl/>
        </w:rPr>
        <w:t>במיתה שבאו להרגו בה</w:t>
      </w:r>
      <w:r w:rsidRPr="007F09C6">
        <w:rPr>
          <w:rFonts w:cs="Arial" w:hint="cs"/>
          <w:rtl/>
        </w:rPr>
        <w:t>.</w:t>
      </w:r>
      <w:r>
        <w:rPr>
          <w:rFonts w:hint="cs"/>
          <w:rtl/>
        </w:rPr>
        <w:t xml:space="preserve"> </w:t>
      </w:r>
      <w:r w:rsidRPr="007F09C6">
        <w:rPr>
          <w:rFonts w:cs="Arial"/>
          <w:rtl/>
        </w:rPr>
        <w:t xml:space="preserve">ואם לחייבו ממון באו </w:t>
      </w:r>
      <w:r>
        <w:rPr>
          <w:rFonts w:cs="Arial" w:hint="cs"/>
          <w:rtl/>
        </w:rPr>
        <w:t xml:space="preserve">- </w:t>
      </w:r>
      <w:r w:rsidRPr="007F09C6">
        <w:rPr>
          <w:rFonts w:cs="Arial"/>
          <w:rtl/>
        </w:rPr>
        <w:t>משלמין הממון בין שניהן</w:t>
      </w:r>
      <w:r>
        <w:rPr>
          <w:rFonts w:cs="Arial" w:hint="cs"/>
          <w:rtl/>
        </w:rPr>
        <w:t>.</w:t>
      </w:r>
      <w:r w:rsidRPr="007F09C6">
        <w:rPr>
          <w:rFonts w:cs="Arial"/>
          <w:rtl/>
        </w:rPr>
        <w:t xml:space="preserve"> ואין לוקין כיון שמשלמין</w:t>
      </w:r>
      <w:r w:rsidRPr="007F09C6">
        <w:rPr>
          <w:rFonts w:cs="Arial" w:hint="cs"/>
          <w:rtl/>
        </w:rPr>
        <w:t>.</w:t>
      </w:r>
    </w:p>
    <w:p w14:paraId="1A4BE065" w14:textId="77777777" w:rsidR="004B607F" w:rsidRDefault="004B607F" w:rsidP="004B607F">
      <w:pPr>
        <w:rPr>
          <w:rFonts w:cs="Arial"/>
          <w:rtl/>
        </w:rPr>
      </w:pPr>
      <w:r w:rsidRPr="007F09C6">
        <w:rPr>
          <w:rFonts w:cs="Arial"/>
          <w:b/>
          <w:bCs/>
          <w:rtl/>
        </w:rPr>
        <w:t xml:space="preserve">מכות </w:t>
      </w:r>
      <w:r w:rsidRPr="007F09C6">
        <w:rPr>
          <w:rFonts w:cs="Arial"/>
          <w:b/>
          <w:bCs/>
          <w:sz w:val="16"/>
          <w:szCs w:val="16"/>
          <w:rtl/>
        </w:rPr>
        <w:t>(</w:t>
      </w:r>
      <w:r w:rsidRPr="007F09C6">
        <w:rPr>
          <w:rFonts w:cs="Arial" w:hint="cs"/>
          <w:b/>
          <w:bCs/>
          <w:sz w:val="16"/>
          <w:szCs w:val="16"/>
          <w:rtl/>
        </w:rPr>
        <w:t xml:space="preserve">פ"ק) </w:t>
      </w:r>
      <w:r>
        <w:rPr>
          <w:rFonts w:cs="Arial" w:hint="cs"/>
          <w:b/>
          <w:bCs/>
          <w:rtl/>
        </w:rPr>
        <w:t>ב</w:t>
      </w:r>
      <w:r w:rsidRPr="007F09C6">
        <w:rPr>
          <w:rFonts w:cs="Arial" w:hint="cs"/>
          <w:b/>
          <w:bCs/>
          <w:rtl/>
        </w:rPr>
        <w:t xml:space="preserve"> ע"א:</w:t>
      </w:r>
      <w:r>
        <w:rPr>
          <w:rFonts w:cs="Arial"/>
          <w:rtl/>
        </w:rPr>
        <w:t xml:space="preserve"> </w:t>
      </w:r>
      <w:r w:rsidRPr="007F09C6">
        <w:rPr>
          <w:rFonts w:cs="Arial"/>
          <w:u w:val="double"/>
          <w:rtl/>
        </w:rPr>
        <w:t>מתני'</w:t>
      </w:r>
      <w:r>
        <w:rPr>
          <w:rFonts w:cs="Arial" w:hint="cs"/>
          <w:rtl/>
        </w:rPr>
        <w:t>:</w:t>
      </w:r>
      <w:r w:rsidRPr="007F09C6">
        <w:rPr>
          <w:rFonts w:cs="Arial"/>
          <w:rtl/>
        </w:rPr>
        <w:t xml:space="preserve"> </w:t>
      </w:r>
      <w:r>
        <w:rPr>
          <w:rFonts w:cs="Arial"/>
          <w:rtl/>
        </w:rPr>
        <w:t>כיצד העדים נעשים זוממין? מעידין אנו באיש פלוני שהוא בן גרושה או בן חלוצה, אין אומרים: יעשה זה בן גרושה או בן חלוצה תחתיו, אלא לוקה ארבעים</w:t>
      </w:r>
      <w:r>
        <w:rPr>
          <w:rFonts w:cs="Arial" w:hint="cs"/>
          <w:rtl/>
        </w:rPr>
        <w:t>.</w:t>
      </w:r>
      <w:r>
        <w:rPr>
          <w:rFonts w:cs="Arial"/>
          <w:rtl/>
        </w:rPr>
        <w:t xml:space="preserve"> מעידין אנו באיש פלוני שהוא חייב לגלות, אין אומרים: יגלה זה תחתיו, אלא לוקה ארבעים. </w:t>
      </w:r>
      <w:r>
        <w:rPr>
          <w:rFonts w:hint="cs"/>
          <w:rtl/>
        </w:rPr>
        <w:t xml:space="preserve">     </w:t>
      </w:r>
      <w:r w:rsidRPr="007F09C6">
        <w:rPr>
          <w:rFonts w:cs="Arial"/>
          <w:u w:val="double"/>
          <w:rtl/>
        </w:rPr>
        <w:t>גמ'</w:t>
      </w:r>
      <w:r>
        <w:rPr>
          <w:rFonts w:cs="Arial" w:hint="cs"/>
          <w:rtl/>
        </w:rPr>
        <w:t>:</w:t>
      </w:r>
      <w:r>
        <w:rPr>
          <w:rFonts w:cs="Arial"/>
          <w:rtl/>
        </w:rPr>
        <w:t xml:space="preserve"> </w:t>
      </w:r>
      <w:r w:rsidRPr="000E1FE9">
        <w:rPr>
          <w:rFonts w:cs="Arial"/>
          <w:rtl/>
        </w:rPr>
        <w:t xml:space="preserve">ויש עדים זוממין אחרים, שאין עושין בהן דין הזמה כל עיקר אלא מלקות ארבעים, כיצד? מעידין אנו באיש פלוני שהוא בן גרושה או בן חלוצה, אין אומרים: יעשה זה בן גרושה או בן חלוצה תחתיו, אלא לוקה את הארבעים. </w:t>
      </w:r>
      <w:r>
        <w:rPr>
          <w:rFonts w:cs="Arial"/>
          <w:rtl/>
        </w:rPr>
        <w:t xml:space="preserve">מנהני מילי? </w:t>
      </w:r>
      <w:r w:rsidRPr="000E1FE9">
        <w:rPr>
          <w:rFonts w:cs="Arial"/>
          <w:u w:val="single"/>
          <w:rtl/>
        </w:rPr>
        <w:t>א"ר יהושע בן לוי אמר ר"ש בן לקיש</w:t>
      </w:r>
      <w:r w:rsidRPr="000E1FE9">
        <w:rPr>
          <w:rFonts w:cs="Arial" w:hint="cs"/>
          <w:u w:val="single"/>
          <w:rtl/>
        </w:rPr>
        <w:t>:</w:t>
      </w:r>
      <w:r>
        <w:rPr>
          <w:rFonts w:cs="Arial"/>
          <w:rtl/>
        </w:rPr>
        <w:t xml:space="preserve"> דאמר קרא</w:t>
      </w:r>
      <w:r>
        <w:rPr>
          <w:rFonts w:cs="Arial" w:hint="cs"/>
          <w:rtl/>
        </w:rPr>
        <w:t xml:space="preserve"> -</w:t>
      </w:r>
      <w:r>
        <w:rPr>
          <w:rFonts w:cs="Arial"/>
          <w:rtl/>
        </w:rPr>
        <w:t xml:space="preserve"> ועשיתם לו כאשר זמם, לו - ולא לזרעו. וליפסלוהו לדידיה ולא ליפסלו לזרעיה! בעינן כאשר זמם לעשות וליכא.</w:t>
      </w:r>
      <w:r>
        <w:rPr>
          <w:rFonts w:cs="Arial" w:hint="cs"/>
          <w:rtl/>
        </w:rPr>
        <w:t>..</w:t>
      </w:r>
      <w:r>
        <w:rPr>
          <w:rFonts w:hint="cs"/>
          <w:rtl/>
        </w:rPr>
        <w:t xml:space="preserve"> </w:t>
      </w:r>
      <w:r>
        <w:rPr>
          <w:rFonts w:hint="cs"/>
          <w:sz w:val="14"/>
          <w:szCs w:val="14"/>
          <w:rtl/>
        </w:rPr>
        <w:t>(ב:)</w:t>
      </w:r>
      <w:r w:rsidRPr="000E1FE9">
        <w:rPr>
          <w:rtl/>
        </w:rPr>
        <w:t xml:space="preserve"> </w:t>
      </w:r>
      <w:r w:rsidRPr="000E1FE9">
        <w:rPr>
          <w:rFonts w:cs="Arial"/>
          <w:rtl/>
        </w:rPr>
        <w:t xml:space="preserve">מעידין אנו באיש פלוני שהוא חייב גלות כו'. מנא הני מילי? </w:t>
      </w:r>
      <w:r w:rsidRPr="000E1FE9">
        <w:rPr>
          <w:rFonts w:cs="Arial"/>
          <w:u w:val="single"/>
          <w:rtl/>
        </w:rPr>
        <w:t>אמר ר"ל</w:t>
      </w:r>
      <w:r>
        <w:rPr>
          <w:rFonts w:cs="Arial" w:hint="cs"/>
          <w:rtl/>
        </w:rPr>
        <w:t>:</w:t>
      </w:r>
      <w:r w:rsidRPr="000E1FE9">
        <w:rPr>
          <w:rFonts w:cs="Arial"/>
          <w:rtl/>
        </w:rPr>
        <w:t xml:space="preserve"> דאמר קרא: הוא ינוס אל אחת הערים, הוא - ולא זוממין.</w:t>
      </w:r>
      <w:r>
        <w:rPr>
          <w:rFonts w:cs="Arial" w:hint="cs"/>
          <w:rtl/>
        </w:rPr>
        <w:t>..</w:t>
      </w:r>
      <w:r w:rsidRPr="000E1FE9">
        <w:rPr>
          <w:rtl/>
        </w:rPr>
        <w:t xml:space="preserve"> </w:t>
      </w:r>
      <w:r w:rsidRPr="000E1FE9">
        <w:rPr>
          <w:rFonts w:cs="Arial"/>
          <w:rtl/>
        </w:rPr>
        <w:t>ת"ר, ד' דברים נאמרו בעדים זוממין: אין נעשין בן גרושה ובן חלוצה, ואין גולין לערי מקלט, ואין משלמין את הכופר</w:t>
      </w:r>
      <w:r>
        <w:rPr>
          <w:rStyle w:val="ab"/>
          <w:rFonts w:cs="Arial"/>
          <w:rtl/>
        </w:rPr>
        <w:footnoteReference w:id="2805"/>
      </w:r>
      <w:r w:rsidRPr="000E1FE9">
        <w:rPr>
          <w:rFonts w:cs="Arial"/>
          <w:rtl/>
        </w:rPr>
        <w:t>, ואין נמכרין</w:t>
      </w:r>
      <w:r>
        <w:rPr>
          <w:rStyle w:val="ab"/>
          <w:rFonts w:cs="Arial"/>
          <w:rtl/>
        </w:rPr>
        <w:footnoteReference w:id="2806"/>
      </w:r>
      <w:r w:rsidRPr="000E1FE9">
        <w:rPr>
          <w:rFonts w:cs="Arial"/>
          <w:rtl/>
        </w:rPr>
        <w:t xml:space="preserve"> בעבד עברי</w:t>
      </w:r>
      <w:r>
        <w:rPr>
          <w:rFonts w:cs="Arial" w:hint="cs"/>
          <w:rtl/>
        </w:rPr>
        <w:t>...</w:t>
      </w:r>
      <w:r w:rsidRPr="000E1FE9">
        <w:rPr>
          <w:rFonts w:cs="Arial"/>
          <w:rtl/>
        </w:rPr>
        <w:t xml:space="preserve"> אין נעשין בן גרושה ובן חלוצה, כדאמרן. ואין גולין לערי מקלט, כדאמרן. ואין משלמין את הכופר, קסברי: כופרא כפרה, והני לאו בני כפרה נינהו.</w:t>
      </w:r>
      <w:r>
        <w:rPr>
          <w:rFonts w:cs="Arial" w:hint="cs"/>
          <w:rtl/>
        </w:rPr>
        <w:t>..</w:t>
      </w:r>
      <w:r w:rsidRPr="000E1FE9">
        <w:rPr>
          <w:rFonts w:cs="Arial"/>
          <w:rtl/>
        </w:rPr>
        <w:t xml:space="preserve"> ואין נמכרין בעבד עברי</w:t>
      </w:r>
      <w:r>
        <w:rPr>
          <w:rFonts w:cs="Arial" w:hint="cs"/>
          <w:rtl/>
        </w:rPr>
        <w:t xml:space="preserve">... </w:t>
      </w:r>
      <w:r w:rsidRPr="000E1FE9">
        <w:rPr>
          <w:rFonts w:cs="Arial"/>
          <w:u w:val="single"/>
          <w:rtl/>
        </w:rPr>
        <w:t>א"ל רבא</w:t>
      </w:r>
      <w:r w:rsidRPr="000E1FE9">
        <w:rPr>
          <w:rFonts w:cs="Arial"/>
          <w:rtl/>
        </w:rPr>
        <w:t xml:space="preserve">: ונמכר בגנבתו אמר רחמנא בגנבתו - ולא בזממו.  </w:t>
      </w:r>
      <w:r>
        <w:rPr>
          <w:rFonts w:cs="Arial"/>
          <w:rtl/>
        </w:rPr>
        <w:t xml:space="preserve"> </w:t>
      </w:r>
    </w:p>
    <w:p w14:paraId="6BEC448D" w14:textId="77777777" w:rsidR="004B607F" w:rsidRPr="000E1FE9" w:rsidRDefault="004B607F" w:rsidP="004B607F">
      <w:pPr>
        <w:rPr>
          <w:u w:val="single"/>
        </w:rPr>
      </w:pPr>
      <w:r w:rsidRPr="000E1FE9">
        <w:rPr>
          <w:rFonts w:hint="cs"/>
          <w:u w:val="single"/>
          <w:rtl/>
        </w:rPr>
        <w:t>מתי עדים זוממי</w:t>
      </w:r>
      <w:r>
        <w:rPr>
          <w:rFonts w:hint="cs"/>
          <w:u w:val="single"/>
          <w:rtl/>
        </w:rPr>
        <w:t>ם</w:t>
      </w:r>
      <w:r w:rsidRPr="000E1FE9">
        <w:rPr>
          <w:rFonts w:hint="cs"/>
          <w:u w:val="single"/>
          <w:rtl/>
        </w:rPr>
        <w:t xml:space="preserve"> לוקי</w:t>
      </w:r>
      <w:r>
        <w:rPr>
          <w:rFonts w:hint="cs"/>
          <w:u w:val="single"/>
          <w:rtl/>
        </w:rPr>
        <w:t>ם</w:t>
      </w:r>
      <w:r w:rsidRPr="000E1FE9">
        <w:rPr>
          <w:rFonts w:hint="cs"/>
          <w:u w:val="single"/>
          <w:rtl/>
        </w:rPr>
        <w:t xml:space="preserve"> </w:t>
      </w:r>
      <w:r>
        <w:rPr>
          <w:rFonts w:hint="cs"/>
          <w:u w:val="single"/>
          <w:rtl/>
        </w:rPr>
        <w:t xml:space="preserve">ולא עושים להם </w:t>
      </w:r>
      <w:r w:rsidRPr="000E1FE9">
        <w:rPr>
          <w:rFonts w:hint="cs"/>
          <w:u w:val="single"/>
          <w:rtl/>
        </w:rPr>
        <w:t>כאשר זממו:</w:t>
      </w:r>
    </w:p>
    <w:p w14:paraId="620ED3F6" w14:textId="77777777" w:rsidR="004B607F" w:rsidRDefault="004B607F" w:rsidP="004B0475">
      <w:pPr>
        <w:pStyle w:val="ac"/>
        <w:numPr>
          <w:ilvl w:val="0"/>
          <w:numId w:val="116"/>
        </w:numPr>
        <w:rPr>
          <w:rtl/>
        </w:rPr>
      </w:pPr>
      <w:r w:rsidRPr="007F09C6">
        <w:rPr>
          <w:rFonts w:cs="Arial" w:hint="cs"/>
          <w:rtl/>
        </w:rPr>
        <w:t xml:space="preserve">טור- </w:t>
      </w:r>
      <w:r w:rsidRPr="007F09C6">
        <w:rPr>
          <w:rFonts w:cs="Arial"/>
          <w:rtl/>
        </w:rPr>
        <w:t xml:space="preserve">חוץ מאם העידו על כהן שהוא בן גרושה או בן חלוצה </w:t>
      </w:r>
      <w:r>
        <w:rPr>
          <w:rFonts w:cs="Arial" w:hint="cs"/>
          <w:rtl/>
        </w:rPr>
        <w:t xml:space="preserve">- </w:t>
      </w:r>
      <w:r w:rsidRPr="007F09C6">
        <w:rPr>
          <w:rFonts w:cs="Arial"/>
          <w:rtl/>
        </w:rPr>
        <w:t>שאז לוקין</w:t>
      </w:r>
      <w:r>
        <w:rPr>
          <w:rFonts w:cs="Arial" w:hint="cs"/>
          <w:rtl/>
        </w:rPr>
        <w:t>,</w:t>
      </w:r>
      <w:r w:rsidRPr="007F09C6">
        <w:rPr>
          <w:rFonts w:cs="Arial"/>
          <w:rtl/>
        </w:rPr>
        <w:t xml:space="preserve"> לפי שא"א לקיים בהם ועשיתם לו כאשר זמם</w:t>
      </w:r>
      <w:r>
        <w:rPr>
          <w:rFonts w:cs="Arial" w:hint="cs"/>
          <w:rtl/>
        </w:rPr>
        <w:t>.</w:t>
      </w:r>
      <w:r w:rsidRPr="007F09C6">
        <w:rPr>
          <w:rFonts w:cs="Arial"/>
          <w:rtl/>
        </w:rPr>
        <w:t xml:space="preserve"> וכן אם העידו באחד שהרג שוגג ובאו לחייבו גלות והוזמו</w:t>
      </w:r>
      <w:r w:rsidRPr="007F09C6">
        <w:rPr>
          <w:rFonts w:cs="Arial" w:hint="cs"/>
          <w:rtl/>
        </w:rPr>
        <w:t>,</w:t>
      </w:r>
      <w:r w:rsidRPr="007F09C6">
        <w:rPr>
          <w:rFonts w:cs="Arial"/>
          <w:rtl/>
        </w:rPr>
        <w:t xml:space="preserve"> או שהעידו באחד בשור המועד שלו שהרג ובאו לחייבו כופר והוזמו</w:t>
      </w:r>
      <w:r w:rsidRPr="007F09C6">
        <w:rPr>
          <w:rFonts w:cs="Arial" w:hint="cs"/>
          <w:rtl/>
        </w:rPr>
        <w:t>,</w:t>
      </w:r>
      <w:r w:rsidRPr="007F09C6">
        <w:rPr>
          <w:rFonts w:cs="Arial"/>
          <w:rtl/>
        </w:rPr>
        <w:t xml:space="preserve"> או שהעידו באחד שגנב ואין לו לשלם ובאו לחייבו להיותו נמכר בגנבתו והוזמו</w:t>
      </w:r>
      <w:r w:rsidRPr="007F09C6">
        <w:rPr>
          <w:rFonts w:cs="Arial" w:hint="cs"/>
          <w:rtl/>
        </w:rPr>
        <w:t xml:space="preserve"> -</w:t>
      </w:r>
      <w:r w:rsidRPr="007F09C6">
        <w:rPr>
          <w:rFonts w:cs="Arial"/>
          <w:rtl/>
        </w:rPr>
        <w:t xml:space="preserve"> באחד מכל אלו לוקין</w:t>
      </w:r>
      <w:r w:rsidRPr="007F09C6">
        <w:rPr>
          <w:rFonts w:cs="Arial" w:hint="cs"/>
          <w:rtl/>
        </w:rPr>
        <w:t>.</w:t>
      </w:r>
    </w:p>
    <w:p w14:paraId="6DE67AD4" w14:textId="77777777" w:rsidR="004B607F" w:rsidRDefault="004B607F" w:rsidP="004B607F">
      <w:pPr>
        <w:rPr>
          <w:rtl/>
        </w:rPr>
      </w:pPr>
      <w:r w:rsidRPr="007F09C6">
        <w:rPr>
          <w:rFonts w:cs="Arial"/>
          <w:b/>
          <w:bCs/>
          <w:rtl/>
        </w:rPr>
        <w:t xml:space="preserve">מכות </w:t>
      </w:r>
      <w:r w:rsidRPr="007F09C6">
        <w:rPr>
          <w:rFonts w:cs="Arial"/>
          <w:b/>
          <w:bCs/>
          <w:sz w:val="16"/>
          <w:szCs w:val="16"/>
          <w:rtl/>
        </w:rPr>
        <w:t>(</w:t>
      </w:r>
      <w:r w:rsidRPr="007F09C6">
        <w:rPr>
          <w:rFonts w:cs="Arial" w:hint="cs"/>
          <w:b/>
          <w:bCs/>
          <w:sz w:val="16"/>
          <w:szCs w:val="16"/>
          <w:rtl/>
        </w:rPr>
        <w:t xml:space="preserve">פ"ק) </w:t>
      </w:r>
      <w:r>
        <w:rPr>
          <w:rFonts w:cs="Arial" w:hint="cs"/>
          <w:b/>
          <w:bCs/>
          <w:rtl/>
        </w:rPr>
        <w:t>ב</w:t>
      </w:r>
      <w:r w:rsidRPr="007F09C6">
        <w:rPr>
          <w:rFonts w:cs="Arial" w:hint="cs"/>
          <w:b/>
          <w:bCs/>
          <w:rtl/>
        </w:rPr>
        <w:t xml:space="preserve"> ע"</w:t>
      </w:r>
      <w:r>
        <w:rPr>
          <w:rFonts w:cs="Arial" w:hint="cs"/>
          <w:b/>
          <w:bCs/>
          <w:rtl/>
        </w:rPr>
        <w:t>ב</w:t>
      </w:r>
      <w:r w:rsidRPr="007F09C6">
        <w:rPr>
          <w:rFonts w:cs="Arial" w:hint="cs"/>
          <w:b/>
          <w:bCs/>
          <w:rtl/>
        </w:rPr>
        <w:t>:</w:t>
      </w:r>
      <w:r>
        <w:rPr>
          <w:rFonts w:cs="Arial"/>
          <w:rtl/>
        </w:rPr>
        <w:t xml:space="preserve"> </w:t>
      </w:r>
      <w:r w:rsidRPr="000E1FE9">
        <w:rPr>
          <w:rFonts w:cs="Arial"/>
          <w:rtl/>
        </w:rPr>
        <w:t>ת"ר, ד' דברים נאמרו בעדים זוממין</w:t>
      </w:r>
      <w:r>
        <w:rPr>
          <w:rFonts w:cs="Arial" w:hint="cs"/>
          <w:rtl/>
        </w:rPr>
        <w:t>...</w:t>
      </w:r>
      <w:r w:rsidRPr="000E1FE9">
        <w:rPr>
          <w:rFonts w:cs="Arial"/>
          <w:rtl/>
        </w:rPr>
        <w:t xml:space="preserve"> </w:t>
      </w:r>
      <w:r w:rsidRPr="001A2457">
        <w:rPr>
          <w:rFonts w:cs="Arial"/>
          <w:u w:val="single"/>
          <w:rtl/>
        </w:rPr>
        <w:t>משום ר"ע אמרו</w:t>
      </w:r>
      <w:r w:rsidRPr="000E1FE9">
        <w:rPr>
          <w:rFonts w:cs="Arial"/>
          <w:rtl/>
        </w:rPr>
        <w:t>: אף אין משלמין ע"פ עצמן.</w:t>
      </w:r>
      <w:r>
        <w:rPr>
          <w:rFonts w:cs="Arial" w:hint="cs"/>
          <w:rtl/>
        </w:rPr>
        <w:t>..</w:t>
      </w:r>
      <w:r w:rsidRPr="001A2457">
        <w:rPr>
          <w:rtl/>
        </w:rPr>
        <w:t xml:space="preserve"> </w:t>
      </w:r>
      <w:r>
        <w:rPr>
          <w:rFonts w:cs="Arial"/>
          <w:rtl/>
        </w:rPr>
        <w:t>מאי טעמא דר"ע? קסבר: קנסא הוא, וקנס אין משלם ע"פ עצמו</w:t>
      </w:r>
      <w:r>
        <w:rPr>
          <w:rFonts w:cs="Arial" w:hint="cs"/>
          <w:rtl/>
        </w:rPr>
        <w:t>..</w:t>
      </w:r>
      <w:r>
        <w:rPr>
          <w:rFonts w:cs="Arial"/>
          <w:rtl/>
        </w:rPr>
        <w:t>.</w:t>
      </w:r>
      <w:r w:rsidRPr="001A2457">
        <w:rPr>
          <w:rtl/>
        </w:rPr>
        <w:t xml:space="preserve"> </w:t>
      </w:r>
      <w:r>
        <w:rPr>
          <w:rFonts w:hint="cs"/>
          <w:sz w:val="14"/>
          <w:szCs w:val="14"/>
          <w:rtl/>
        </w:rPr>
        <w:t xml:space="preserve">(ג.) </w:t>
      </w:r>
      <w:r w:rsidRPr="001A2457">
        <w:rPr>
          <w:rFonts w:cs="Arial"/>
          <w:u w:val="single"/>
          <w:rtl/>
        </w:rPr>
        <w:t>אמר רב יהודה אמר רב</w:t>
      </w:r>
      <w:r w:rsidRPr="001A2457">
        <w:rPr>
          <w:rFonts w:cs="Arial"/>
          <w:rtl/>
        </w:rPr>
        <w:t xml:space="preserve">: עד זומם משלם לפי חלקו. מאי </w:t>
      </w:r>
      <w:r w:rsidRPr="001A2457">
        <w:rPr>
          <w:rFonts w:cs="Arial"/>
          <w:rtl/>
        </w:rPr>
        <w:lastRenderedPageBreak/>
        <w:t xml:space="preserve">משלם לפי חלקו? אילימא דהאי משלם פלגא והאי משלם פלגא, תנינא: משלשין בממון ואין משלשין במלקות! אלא, כגון דאיתזום חד מינייהו, דמשלם פלגא דידיה. ומי משלם? והא תניא: אין עד זומם משלם ממון עד שיזומו שניהם! </w:t>
      </w:r>
      <w:r w:rsidRPr="003A5B83">
        <w:rPr>
          <w:rFonts w:cs="Arial"/>
          <w:u w:val="single"/>
          <w:rtl/>
        </w:rPr>
        <w:t>אמר רבא</w:t>
      </w:r>
      <w:r w:rsidRPr="001A2457">
        <w:rPr>
          <w:rFonts w:cs="Arial"/>
          <w:rtl/>
        </w:rPr>
        <w:t>: באומר עדות שקר העדתי. כל כמיניה</w:t>
      </w:r>
      <w:r>
        <w:rPr>
          <w:rStyle w:val="ab"/>
          <w:rFonts w:cs="Arial"/>
          <w:rtl/>
        </w:rPr>
        <w:footnoteReference w:id="2807"/>
      </w:r>
      <w:r w:rsidRPr="001A2457">
        <w:rPr>
          <w:rFonts w:cs="Arial"/>
          <w:rtl/>
        </w:rPr>
        <w:t>? כיון שהגיד שוב אינו חוזר ומגיד! אלא, באומר העדנו והוזמנו בב"ד פלוני. כמאן? דלא כר"ע, דאי כר"ע, הא אמר: אף אינו משלם ע"פ עצמו! אלא, באומר העדנו והוזמנו בב"ד פלוני וחוייבנו ממון, ס"ד אמינא: כיון דלחבריה לא מצי מחייב ליה</w:t>
      </w:r>
      <w:r>
        <w:rPr>
          <w:rStyle w:val="ab"/>
          <w:rFonts w:cs="Arial"/>
          <w:rtl/>
        </w:rPr>
        <w:footnoteReference w:id="2808"/>
      </w:r>
      <w:r w:rsidRPr="001A2457">
        <w:rPr>
          <w:rFonts w:cs="Arial"/>
          <w:rtl/>
        </w:rPr>
        <w:t>, איהו נמי לא מיחייב, קמ"ל.</w:t>
      </w:r>
      <w:r w:rsidRPr="000E1FE9">
        <w:rPr>
          <w:rFonts w:cs="Arial"/>
          <w:rtl/>
        </w:rPr>
        <w:t xml:space="preserve"> </w:t>
      </w:r>
      <w:r>
        <w:rPr>
          <w:rFonts w:cs="Arial" w:hint="cs"/>
          <w:sz w:val="16"/>
          <w:szCs w:val="16"/>
          <w:rtl/>
        </w:rPr>
        <w:t>(</w:t>
      </w:r>
      <w:r w:rsidRPr="001A2457">
        <w:rPr>
          <w:rFonts w:cs="Arial"/>
          <w:sz w:val="16"/>
          <w:szCs w:val="16"/>
          <w:rtl/>
        </w:rPr>
        <w:t>ומדמתמהי כמאן דלא כרבי עקיבא אלמא הלכתא כרבי עקיבא</w:t>
      </w:r>
      <w:r>
        <w:rPr>
          <w:rFonts w:cs="Arial" w:hint="cs"/>
          <w:sz w:val="16"/>
          <w:szCs w:val="16"/>
          <w:rtl/>
        </w:rPr>
        <w:t>.</w:t>
      </w:r>
      <w:r w:rsidRPr="001A2457">
        <w:rPr>
          <w:rFonts w:cs="Arial"/>
          <w:sz w:val="16"/>
          <w:szCs w:val="16"/>
          <w:rtl/>
        </w:rPr>
        <w:t xml:space="preserve"> ועוד דהתם יהבי אמוראי טעמא למלתיה אלמא הכי סבירא להו</w:t>
      </w:r>
      <w:r>
        <w:rPr>
          <w:rFonts w:cs="Arial" w:hint="cs"/>
          <w:sz w:val="16"/>
          <w:szCs w:val="16"/>
          <w:rtl/>
        </w:rPr>
        <w:t>, ב"י)</w:t>
      </w:r>
    </w:p>
    <w:p w14:paraId="3E02F786" w14:textId="77777777" w:rsidR="004B607F" w:rsidRPr="000B383C" w:rsidRDefault="004B607F" w:rsidP="004B607F">
      <w:pPr>
        <w:rPr>
          <w:u w:val="single"/>
          <w:rtl/>
        </w:rPr>
      </w:pPr>
      <w:r w:rsidRPr="000B383C">
        <w:rPr>
          <w:rFonts w:cs="Arial" w:hint="cs"/>
          <w:u w:val="single"/>
          <w:rtl/>
        </w:rPr>
        <w:t xml:space="preserve">עדים </w:t>
      </w:r>
      <w:r>
        <w:rPr>
          <w:rFonts w:cs="Arial" w:hint="cs"/>
          <w:u w:val="single"/>
          <w:rtl/>
        </w:rPr>
        <w:t xml:space="preserve">שאומרים שהזימו אותם בבית דין אחר </w:t>
      </w:r>
      <w:r>
        <w:rPr>
          <w:rFonts w:cs="Arial"/>
          <w:u w:val="single"/>
          <w:rtl/>
        </w:rPr>
        <w:t>–</w:t>
      </w:r>
      <w:r>
        <w:rPr>
          <w:rFonts w:cs="Arial" w:hint="cs"/>
          <w:u w:val="single"/>
          <w:rtl/>
        </w:rPr>
        <w:t xml:space="preserve"> האם מחייבם אותם ממון ע"פ עצמם:</w:t>
      </w:r>
    </w:p>
    <w:p w14:paraId="12DEA7B9" w14:textId="77777777" w:rsidR="004B607F" w:rsidRDefault="004B607F" w:rsidP="004B0475">
      <w:pPr>
        <w:pStyle w:val="ac"/>
        <w:numPr>
          <w:ilvl w:val="0"/>
          <w:numId w:val="116"/>
        </w:numPr>
        <w:rPr>
          <w:rFonts w:cs="Arial"/>
        </w:rPr>
      </w:pPr>
      <w:r w:rsidRPr="001A2457">
        <w:rPr>
          <w:rFonts w:cs="Arial" w:hint="cs"/>
          <w:rtl/>
        </w:rPr>
        <w:t xml:space="preserve">טור- </w:t>
      </w:r>
      <w:r w:rsidRPr="001A2457">
        <w:rPr>
          <w:rFonts w:cs="Arial"/>
          <w:rtl/>
        </w:rPr>
        <w:t>ומה שמתחייבין הניזמין אינו אלא קנס</w:t>
      </w:r>
      <w:r>
        <w:rPr>
          <w:rFonts w:cs="Arial" w:hint="cs"/>
          <w:rtl/>
        </w:rPr>
        <w:t xml:space="preserve">, </w:t>
      </w:r>
      <w:r w:rsidRPr="001A2457">
        <w:rPr>
          <w:rFonts w:cs="Arial"/>
          <w:rtl/>
        </w:rPr>
        <w:t xml:space="preserve">לפיכך </w:t>
      </w:r>
      <w:r>
        <w:rPr>
          <w:rFonts w:cs="Arial" w:hint="cs"/>
          <w:rtl/>
        </w:rPr>
        <w:t xml:space="preserve">- </w:t>
      </w:r>
      <w:r w:rsidRPr="001A2457">
        <w:rPr>
          <w:rFonts w:cs="Arial"/>
          <w:rtl/>
        </w:rPr>
        <w:t>אין משלמין על פי עצמן</w:t>
      </w:r>
      <w:r>
        <w:rPr>
          <w:rFonts w:cs="Arial" w:hint="cs"/>
          <w:rtl/>
        </w:rPr>
        <w:t>,</w:t>
      </w:r>
      <w:r w:rsidRPr="001A2457">
        <w:rPr>
          <w:rFonts w:cs="Arial"/>
          <w:rtl/>
        </w:rPr>
        <w:t xml:space="preserve"> שאם אמרו העדנו בב"ד פלוני והוזמנו </w:t>
      </w:r>
      <w:r>
        <w:rPr>
          <w:rFonts w:cs="Arial" w:hint="cs"/>
          <w:rtl/>
        </w:rPr>
        <w:t xml:space="preserve">- </w:t>
      </w:r>
      <w:r w:rsidRPr="001A2457">
        <w:rPr>
          <w:rFonts w:cs="Arial"/>
          <w:rtl/>
        </w:rPr>
        <w:t>אינן חייבי</w:t>
      </w:r>
      <w:r>
        <w:rPr>
          <w:rFonts w:cs="Arial" w:hint="cs"/>
          <w:rtl/>
        </w:rPr>
        <w:t>ן.</w:t>
      </w:r>
      <w:r w:rsidRPr="001A2457">
        <w:rPr>
          <w:rFonts w:cs="Arial"/>
          <w:rtl/>
        </w:rPr>
        <w:t xml:space="preserve"> אבל אם אמרו הוזמנו בב"ד פלוני ונתחייבנו ליתן לו כך וכך</w:t>
      </w:r>
      <w:r>
        <w:rPr>
          <w:rFonts w:cs="Arial" w:hint="cs"/>
          <w:rtl/>
        </w:rPr>
        <w:t xml:space="preserve"> -</w:t>
      </w:r>
      <w:r w:rsidRPr="001A2457">
        <w:rPr>
          <w:rFonts w:cs="Arial"/>
          <w:rtl/>
        </w:rPr>
        <w:t xml:space="preserve"> הרי אלו משלמין</w:t>
      </w:r>
      <w:r>
        <w:rPr>
          <w:rFonts w:cs="Arial" w:hint="cs"/>
          <w:rtl/>
        </w:rPr>
        <w:t>,</w:t>
      </w:r>
      <w:r w:rsidRPr="001A2457">
        <w:rPr>
          <w:rFonts w:cs="Arial"/>
          <w:rtl/>
        </w:rPr>
        <w:t xml:space="preserve"> שזה ממון גמור הוא כיון שכבר נתחייבו בו בב"ד</w:t>
      </w:r>
      <w:r>
        <w:rPr>
          <w:rFonts w:cs="Arial" w:hint="cs"/>
          <w:rtl/>
        </w:rPr>
        <w:t>.</w:t>
      </w:r>
    </w:p>
    <w:p w14:paraId="02D52819" w14:textId="77777777" w:rsidR="004B607F" w:rsidRPr="003A5B83" w:rsidRDefault="004B607F" w:rsidP="004B607F">
      <w:pPr>
        <w:ind w:left="360"/>
        <w:rPr>
          <w:rFonts w:cs="Arial"/>
          <w:u w:val="dotted"/>
        </w:rPr>
      </w:pPr>
      <w:r w:rsidRPr="003A5B83">
        <w:rPr>
          <w:rFonts w:cs="Arial" w:hint="cs"/>
          <w:u w:val="dotted"/>
          <w:rtl/>
        </w:rPr>
        <w:t>ומ</w:t>
      </w:r>
      <w:r>
        <w:rPr>
          <w:rFonts w:cs="Arial" w:hint="cs"/>
          <w:u w:val="dotted"/>
          <w:rtl/>
        </w:rPr>
        <w:t>ה הדין אם הודו העדים הנ"ל שהעידו שקר</w:t>
      </w:r>
      <w:r w:rsidRPr="003A5B83">
        <w:rPr>
          <w:rFonts w:cs="Arial" w:hint="cs"/>
          <w:u w:val="dotted"/>
          <w:rtl/>
        </w:rPr>
        <w:t>:</w:t>
      </w:r>
    </w:p>
    <w:p w14:paraId="466FE9EC" w14:textId="77777777" w:rsidR="004B607F" w:rsidRDefault="004B607F" w:rsidP="004B0475">
      <w:pPr>
        <w:pStyle w:val="ac"/>
        <w:numPr>
          <w:ilvl w:val="0"/>
          <w:numId w:val="116"/>
        </w:numPr>
        <w:rPr>
          <w:rFonts w:cs="Arial"/>
        </w:rPr>
      </w:pPr>
      <w:r w:rsidRPr="003A5B83">
        <w:rPr>
          <w:rFonts w:cs="Arial"/>
          <w:rtl/>
        </w:rPr>
        <w:t xml:space="preserve">רא"ש </w:t>
      </w:r>
      <w:r w:rsidRPr="003A5B83">
        <w:rPr>
          <w:rFonts w:cs="Arial" w:hint="cs"/>
          <w:sz w:val="16"/>
          <w:szCs w:val="16"/>
          <w:rtl/>
        </w:rPr>
        <w:t>(</w:t>
      </w:r>
      <w:r w:rsidRPr="003A5B83">
        <w:rPr>
          <w:rFonts w:cs="Arial"/>
          <w:sz w:val="16"/>
          <w:szCs w:val="16"/>
          <w:rtl/>
        </w:rPr>
        <w:t>בתשובות</w:t>
      </w:r>
      <w:r>
        <w:rPr>
          <w:rStyle w:val="ab"/>
          <w:rFonts w:cs="Arial"/>
          <w:sz w:val="16"/>
          <w:szCs w:val="16"/>
          <w:rtl/>
        </w:rPr>
        <w:footnoteReference w:id="2809"/>
      </w:r>
      <w:r w:rsidRPr="003A5B83">
        <w:rPr>
          <w:rFonts w:cs="Arial"/>
          <w:sz w:val="16"/>
          <w:szCs w:val="16"/>
          <w:rtl/>
        </w:rPr>
        <w:t xml:space="preserve"> בכלל הפסולין לדון ולהעיד</w:t>
      </w:r>
      <w:r w:rsidRPr="003A5B83">
        <w:rPr>
          <w:rFonts w:cs="Arial" w:hint="cs"/>
          <w:sz w:val="16"/>
          <w:szCs w:val="16"/>
          <w:rtl/>
        </w:rPr>
        <w:t xml:space="preserve"> [כלל נח סי' ו])</w:t>
      </w:r>
      <w:r w:rsidRPr="003A5B83">
        <w:rPr>
          <w:rFonts w:cs="Arial" w:hint="cs"/>
          <w:rtl/>
        </w:rPr>
        <w:t xml:space="preserve"> </w:t>
      </w:r>
      <w:r>
        <w:rPr>
          <w:rFonts w:cs="Arial" w:hint="cs"/>
          <w:rtl/>
        </w:rPr>
        <w:t>ו</w:t>
      </w:r>
      <w:r w:rsidRPr="003A5B83">
        <w:rPr>
          <w:rFonts w:cs="Arial" w:hint="cs"/>
          <w:rtl/>
        </w:rPr>
        <w:t xml:space="preserve">רי"ו </w:t>
      </w:r>
      <w:r w:rsidRPr="003A5B83">
        <w:rPr>
          <w:rFonts w:cs="Arial" w:hint="cs"/>
          <w:sz w:val="16"/>
          <w:szCs w:val="16"/>
          <w:rtl/>
        </w:rPr>
        <w:t>(</w:t>
      </w:r>
      <w:r w:rsidRPr="003A5B83">
        <w:rPr>
          <w:rFonts w:cs="Arial"/>
          <w:sz w:val="16"/>
          <w:szCs w:val="16"/>
          <w:rtl/>
        </w:rPr>
        <w:t>מישרים נ"ב ח"ז יג ע"ד)</w:t>
      </w:r>
      <w:r w:rsidRPr="003A5B83">
        <w:rPr>
          <w:rFonts w:cs="Arial" w:hint="cs"/>
          <w:rtl/>
        </w:rPr>
        <w:t xml:space="preserve">- </w:t>
      </w:r>
      <w:r w:rsidRPr="003A5B83">
        <w:rPr>
          <w:rFonts w:cs="Arial"/>
          <w:rtl/>
        </w:rPr>
        <w:t>הא דאמרינן אין משלמין ע</w:t>
      </w:r>
      <w:r>
        <w:rPr>
          <w:rFonts w:cs="Arial" w:hint="cs"/>
          <w:rtl/>
        </w:rPr>
        <w:t>"</w:t>
      </w:r>
      <w:r w:rsidRPr="003A5B83">
        <w:rPr>
          <w:rFonts w:cs="Arial"/>
          <w:rtl/>
        </w:rPr>
        <w:t xml:space="preserve">פ עצמן דוקא כשאמרו </w:t>
      </w:r>
      <w:r>
        <w:rPr>
          <w:rFonts w:cs="Arial" w:hint="cs"/>
          <w:rtl/>
        </w:rPr>
        <w:t>'</w:t>
      </w:r>
      <w:r w:rsidRPr="003A5B83">
        <w:rPr>
          <w:rFonts w:cs="Arial"/>
          <w:rtl/>
        </w:rPr>
        <w:t>העדנו בב</w:t>
      </w:r>
      <w:r>
        <w:rPr>
          <w:rFonts w:cs="Arial" w:hint="cs"/>
          <w:rtl/>
        </w:rPr>
        <w:t>"</w:t>
      </w:r>
      <w:r w:rsidRPr="003A5B83">
        <w:rPr>
          <w:rFonts w:cs="Arial"/>
          <w:rtl/>
        </w:rPr>
        <w:t>ד והוזמנו ולא נגמר הדין לחייבנו ממון והאמת העדנו</w:t>
      </w:r>
      <w:r>
        <w:rPr>
          <w:rFonts w:cs="Arial" w:hint="cs"/>
          <w:rtl/>
        </w:rPr>
        <w:t>'.</w:t>
      </w:r>
      <w:r w:rsidRPr="003A5B83">
        <w:rPr>
          <w:rFonts w:cs="Arial"/>
          <w:rtl/>
        </w:rPr>
        <w:t xml:space="preserve"> אבל אמרו </w:t>
      </w:r>
      <w:r>
        <w:rPr>
          <w:rFonts w:cs="Arial" w:hint="cs"/>
          <w:rtl/>
        </w:rPr>
        <w:t>'</w:t>
      </w:r>
      <w:r w:rsidRPr="003A5B83">
        <w:rPr>
          <w:rFonts w:cs="Arial"/>
          <w:rtl/>
        </w:rPr>
        <w:t>העדנו שקר</w:t>
      </w:r>
      <w:r>
        <w:rPr>
          <w:rFonts w:cs="Arial" w:hint="cs"/>
          <w:rtl/>
        </w:rPr>
        <w:t>'</w:t>
      </w:r>
      <w:r w:rsidRPr="003A5B83">
        <w:rPr>
          <w:rFonts w:cs="Arial"/>
          <w:rtl/>
        </w:rPr>
        <w:t xml:space="preserve"> </w:t>
      </w:r>
      <w:r>
        <w:rPr>
          <w:rFonts w:cs="Arial" w:hint="cs"/>
          <w:rtl/>
        </w:rPr>
        <w:t xml:space="preserve">- </w:t>
      </w:r>
      <w:r w:rsidRPr="003A5B83">
        <w:rPr>
          <w:rFonts w:cs="Arial"/>
          <w:rtl/>
        </w:rPr>
        <w:t>משלמין ע</w:t>
      </w:r>
      <w:r>
        <w:rPr>
          <w:rFonts w:cs="Arial" w:hint="cs"/>
          <w:rtl/>
        </w:rPr>
        <w:t>"</w:t>
      </w:r>
      <w:r w:rsidRPr="003A5B83">
        <w:rPr>
          <w:rFonts w:cs="Arial"/>
          <w:rtl/>
        </w:rPr>
        <w:t>פ עצמן למאן דדאין דינא דגרמי</w:t>
      </w:r>
      <w:r>
        <w:rPr>
          <w:rFonts w:cs="Arial" w:hint="cs"/>
          <w:rtl/>
        </w:rPr>
        <w:t xml:space="preserve"> </w:t>
      </w:r>
      <w:r w:rsidRPr="003A5B83">
        <w:rPr>
          <w:rFonts w:cs="Arial"/>
          <w:rtl/>
        </w:rPr>
        <w:t>שאין זה קנס</w:t>
      </w:r>
      <w:r w:rsidRPr="003A5B83">
        <w:rPr>
          <w:rFonts w:cs="Arial" w:hint="cs"/>
          <w:sz w:val="16"/>
          <w:szCs w:val="16"/>
          <w:rtl/>
        </w:rPr>
        <w:t xml:space="preserve"> (ל' רי"ו)</w:t>
      </w:r>
      <w:r w:rsidRPr="003A5B83">
        <w:rPr>
          <w:rFonts w:cs="Arial" w:hint="cs"/>
          <w:rtl/>
        </w:rPr>
        <w:t>.</w:t>
      </w:r>
      <w:r w:rsidRPr="003A5B83">
        <w:rPr>
          <w:rFonts w:cs="Arial"/>
          <w:rtl/>
        </w:rPr>
        <w:t xml:space="preserve"> </w:t>
      </w:r>
      <w:bookmarkStart w:id="381" w:name="_Hlk11579963"/>
      <w:r w:rsidRPr="00480779">
        <w:rPr>
          <w:rFonts w:cs="Arial" w:hint="cs"/>
          <w:color w:val="E36C0A" w:themeColor="accent6" w:themeShade="BF"/>
          <w:rtl/>
        </w:rPr>
        <w:t>(וכ"פ בשו"ע</w:t>
      </w:r>
      <w:r>
        <w:rPr>
          <w:rFonts w:cs="Arial" w:hint="cs"/>
          <w:color w:val="E36C0A" w:themeColor="accent6" w:themeShade="BF"/>
          <w:sz w:val="16"/>
          <w:szCs w:val="16"/>
          <w:rtl/>
        </w:rPr>
        <w:t xml:space="preserve"> </w:t>
      </w:r>
      <w:r>
        <w:rPr>
          <w:rFonts w:cs="Arial" w:hint="cs"/>
          <w:color w:val="000000" w:themeColor="text1"/>
          <w:sz w:val="16"/>
          <w:szCs w:val="16"/>
          <w:rtl/>
        </w:rPr>
        <w:t>[כאן, ובסי' כט ס"ב, ובסי' מו סל"ז]</w:t>
      </w:r>
      <w:r w:rsidRPr="00480779">
        <w:rPr>
          <w:rFonts w:cs="Arial" w:hint="cs"/>
          <w:color w:val="E36C0A" w:themeColor="accent6" w:themeShade="BF"/>
          <w:rtl/>
        </w:rPr>
        <w:t>)</w:t>
      </w:r>
      <w:bookmarkEnd w:id="381"/>
    </w:p>
    <w:p w14:paraId="4E6DEE55" w14:textId="77777777" w:rsidR="004B607F" w:rsidRPr="000B383C" w:rsidRDefault="004B607F" w:rsidP="004B0475">
      <w:pPr>
        <w:pStyle w:val="ac"/>
        <w:numPr>
          <w:ilvl w:val="0"/>
          <w:numId w:val="116"/>
        </w:numPr>
        <w:rPr>
          <w:rFonts w:cs="Arial"/>
          <w:rtl/>
        </w:rPr>
      </w:pPr>
      <w:bookmarkStart w:id="382" w:name="_Hlk11579924"/>
      <w:r>
        <w:rPr>
          <w:rFonts w:cs="Arial" w:hint="cs"/>
          <w:rtl/>
        </w:rPr>
        <w:t xml:space="preserve">ר"ח </w:t>
      </w:r>
      <w:r>
        <w:rPr>
          <w:rFonts w:cs="Arial" w:hint="cs"/>
          <w:sz w:val="16"/>
          <w:szCs w:val="16"/>
          <w:rtl/>
        </w:rPr>
        <w:t>(כ"כ הטור בשמו)</w:t>
      </w:r>
      <w:r>
        <w:rPr>
          <w:rFonts w:cs="Arial" w:hint="cs"/>
          <w:rtl/>
        </w:rPr>
        <w:t xml:space="preserve">- </w:t>
      </w:r>
      <w:r w:rsidRPr="003A5B83">
        <w:rPr>
          <w:rFonts w:cs="Arial"/>
          <w:rtl/>
        </w:rPr>
        <w:t xml:space="preserve">אם אמרו עדים </w:t>
      </w:r>
      <w:r>
        <w:rPr>
          <w:rFonts w:cs="Arial" w:hint="cs"/>
          <w:rtl/>
        </w:rPr>
        <w:t>'</w:t>
      </w:r>
      <w:r w:rsidRPr="003A5B83">
        <w:rPr>
          <w:rFonts w:cs="Arial"/>
          <w:rtl/>
        </w:rPr>
        <w:t>שקר העדנו</w:t>
      </w:r>
      <w:r>
        <w:rPr>
          <w:rFonts w:cs="Arial" w:hint="cs"/>
          <w:rtl/>
        </w:rPr>
        <w:t>'</w:t>
      </w:r>
      <w:r w:rsidRPr="003A5B83">
        <w:rPr>
          <w:rFonts w:cs="Arial"/>
          <w:rtl/>
        </w:rPr>
        <w:t xml:space="preserve"> לא מיבעיא שאין משלמין ע"פ עצמן אלא אפי' העדות שהעידו נכונה חשבינן ליה ומתקיימת שכיון שהגיד שוב אינו חוזר ומגיד</w:t>
      </w:r>
      <w:r>
        <w:rPr>
          <w:rFonts w:cs="Arial" w:hint="cs"/>
          <w:sz w:val="16"/>
          <w:szCs w:val="16"/>
          <w:rtl/>
        </w:rPr>
        <w:t xml:space="preserve"> (ל' הטור בשם ר"ח)</w:t>
      </w:r>
      <w:r>
        <w:rPr>
          <w:rStyle w:val="ab"/>
          <w:rFonts w:cs="Arial"/>
          <w:rtl/>
        </w:rPr>
        <w:footnoteReference w:id="2810"/>
      </w:r>
      <w:r>
        <w:rPr>
          <w:rFonts w:cs="Arial" w:hint="cs"/>
          <w:rtl/>
        </w:rPr>
        <w:t>.</w:t>
      </w:r>
    </w:p>
    <w:bookmarkEnd w:id="382"/>
    <w:p w14:paraId="6A5D1D6D" w14:textId="77777777" w:rsidR="004B607F" w:rsidRDefault="004B607F" w:rsidP="004B607F">
      <w:pPr>
        <w:rPr>
          <w:rFonts w:cs="Arial"/>
          <w:rtl/>
        </w:rPr>
      </w:pPr>
      <w:r w:rsidRPr="00C50F3D">
        <w:rPr>
          <w:rFonts w:cs="Arial" w:hint="cs"/>
          <w:b/>
          <w:bCs/>
          <w:rtl/>
        </w:rPr>
        <w:t xml:space="preserve">שבועות </w:t>
      </w:r>
      <w:r w:rsidRPr="00C50F3D">
        <w:rPr>
          <w:rFonts w:cs="Arial" w:hint="cs"/>
          <w:b/>
          <w:bCs/>
          <w:sz w:val="16"/>
          <w:szCs w:val="16"/>
          <w:rtl/>
        </w:rPr>
        <w:t xml:space="preserve">(פרק כל הנשבעין) </w:t>
      </w:r>
      <w:r w:rsidRPr="00C50F3D">
        <w:rPr>
          <w:rFonts w:cs="Arial" w:hint="cs"/>
          <w:b/>
          <w:bCs/>
          <w:rtl/>
        </w:rPr>
        <w:t xml:space="preserve">מז ע"ב: </w:t>
      </w:r>
      <w:r w:rsidRPr="00C50F3D">
        <w:rPr>
          <w:rFonts w:cs="Arial"/>
          <w:rtl/>
        </w:rPr>
        <w:t>איתמר: שתי כיתי עדים המכחישות זו את זו</w:t>
      </w:r>
      <w:r>
        <w:rPr>
          <w:rStyle w:val="ab"/>
          <w:rFonts w:cs="Arial"/>
          <w:rtl/>
        </w:rPr>
        <w:footnoteReference w:id="2811"/>
      </w:r>
      <w:r>
        <w:rPr>
          <w:rFonts w:cs="Arial" w:hint="cs"/>
          <w:rtl/>
        </w:rPr>
        <w:t>...</w:t>
      </w:r>
      <w:r w:rsidRPr="00C50F3D">
        <w:rPr>
          <w:rFonts w:cs="Arial"/>
          <w:rtl/>
        </w:rPr>
        <w:t xml:space="preserve"> </w:t>
      </w:r>
    </w:p>
    <w:p w14:paraId="113EC3AE" w14:textId="77777777" w:rsidR="004B607F" w:rsidRPr="00C50F3D" w:rsidRDefault="004B607F" w:rsidP="004B607F">
      <w:pPr>
        <w:rPr>
          <w:rFonts w:cs="Arial"/>
          <w:rtl/>
        </w:rPr>
      </w:pPr>
      <w:r w:rsidRPr="00C50F3D">
        <w:rPr>
          <w:rFonts w:cs="Arial" w:hint="cs"/>
          <w:b/>
          <w:bCs/>
          <w:rtl/>
        </w:rPr>
        <w:t xml:space="preserve">בבא קמא </w:t>
      </w:r>
      <w:r w:rsidRPr="00C50F3D">
        <w:rPr>
          <w:rFonts w:cs="Arial" w:hint="cs"/>
          <w:b/>
          <w:bCs/>
          <w:sz w:val="16"/>
          <w:szCs w:val="16"/>
          <w:rtl/>
        </w:rPr>
        <w:t xml:space="preserve">(פרק מרובה) </w:t>
      </w:r>
      <w:r w:rsidRPr="00C50F3D">
        <w:rPr>
          <w:rFonts w:cs="Arial" w:hint="cs"/>
          <w:b/>
          <w:bCs/>
          <w:rtl/>
        </w:rPr>
        <w:t xml:space="preserve">עג ע"ב: </w:t>
      </w:r>
      <w:r w:rsidRPr="00C50F3D">
        <w:rPr>
          <w:rFonts w:cs="Arial"/>
          <w:u w:val="single"/>
          <w:rtl/>
        </w:rPr>
        <w:t>אמר רבא</w:t>
      </w:r>
      <w:r w:rsidRPr="00C50F3D">
        <w:rPr>
          <w:rFonts w:cs="Arial"/>
          <w:rtl/>
        </w:rPr>
        <w:t>: עדים שהוכחשו</w:t>
      </w:r>
      <w:r>
        <w:rPr>
          <w:rStyle w:val="ab"/>
          <w:rFonts w:cs="Arial"/>
          <w:rtl/>
        </w:rPr>
        <w:footnoteReference w:id="2812"/>
      </w:r>
      <w:r w:rsidRPr="00C50F3D">
        <w:rPr>
          <w:rFonts w:cs="Arial"/>
          <w:rtl/>
        </w:rPr>
        <w:t xml:space="preserve"> ולבסוף הוזמו</w:t>
      </w:r>
      <w:r>
        <w:rPr>
          <w:rStyle w:val="ab"/>
          <w:rFonts w:cs="Arial"/>
          <w:rtl/>
        </w:rPr>
        <w:footnoteReference w:id="2813"/>
      </w:r>
      <w:r>
        <w:rPr>
          <w:rFonts w:cs="Arial" w:hint="cs"/>
          <w:rtl/>
        </w:rPr>
        <w:t>...</w:t>
      </w:r>
    </w:p>
    <w:p w14:paraId="2FE59EF6" w14:textId="77777777" w:rsidR="004B607F" w:rsidRDefault="004B607F" w:rsidP="004B607F">
      <w:pPr>
        <w:rPr>
          <w:rFonts w:cs="Arial"/>
          <w:rtl/>
        </w:rPr>
      </w:pPr>
      <w:r w:rsidRPr="007F09C6">
        <w:rPr>
          <w:rFonts w:cs="Arial"/>
          <w:b/>
          <w:bCs/>
          <w:rtl/>
        </w:rPr>
        <w:t xml:space="preserve">מכות </w:t>
      </w:r>
      <w:r w:rsidRPr="007F09C6">
        <w:rPr>
          <w:rFonts w:cs="Arial"/>
          <w:b/>
          <w:bCs/>
          <w:sz w:val="16"/>
          <w:szCs w:val="16"/>
          <w:rtl/>
        </w:rPr>
        <w:t>(</w:t>
      </w:r>
      <w:r w:rsidRPr="007F09C6">
        <w:rPr>
          <w:rFonts w:cs="Arial" w:hint="cs"/>
          <w:b/>
          <w:bCs/>
          <w:sz w:val="16"/>
          <w:szCs w:val="16"/>
          <w:rtl/>
        </w:rPr>
        <w:t xml:space="preserve">פ"ק) </w:t>
      </w:r>
      <w:r w:rsidRPr="007F09C6">
        <w:rPr>
          <w:rFonts w:cs="Arial"/>
          <w:b/>
          <w:bCs/>
          <w:rtl/>
        </w:rPr>
        <w:t>ה</w:t>
      </w:r>
      <w:r w:rsidRPr="007F09C6">
        <w:rPr>
          <w:rFonts w:cs="Arial" w:hint="cs"/>
          <w:b/>
          <w:bCs/>
          <w:rtl/>
        </w:rPr>
        <w:t xml:space="preserve"> ע"א:</w:t>
      </w:r>
      <w:r>
        <w:rPr>
          <w:rFonts w:cs="Arial"/>
          <w:rtl/>
        </w:rPr>
        <w:t xml:space="preserve"> </w:t>
      </w:r>
      <w:r w:rsidRPr="007F09C6">
        <w:rPr>
          <w:rFonts w:cs="Arial"/>
          <w:u w:val="double"/>
          <w:rtl/>
        </w:rPr>
        <w:t>מתני'</w:t>
      </w:r>
      <w:r>
        <w:rPr>
          <w:rFonts w:cs="Arial" w:hint="cs"/>
          <w:rtl/>
        </w:rPr>
        <w:t>:</w:t>
      </w:r>
      <w:r w:rsidRPr="00C50F3D">
        <w:rPr>
          <w:rtl/>
        </w:rPr>
        <w:t xml:space="preserve"> </w:t>
      </w:r>
      <w:r w:rsidRPr="00C50F3D">
        <w:rPr>
          <w:rFonts w:cs="Arial"/>
          <w:rtl/>
        </w:rPr>
        <w:t>אין העדים נעשים זוממין עד שיזימו את עצמן</w:t>
      </w:r>
      <w:r>
        <w:rPr>
          <w:rStyle w:val="ab"/>
          <w:rFonts w:cs="Arial"/>
          <w:rtl/>
        </w:rPr>
        <w:footnoteReference w:id="2814"/>
      </w:r>
      <w:r w:rsidRPr="00C50F3D">
        <w:rPr>
          <w:rFonts w:cs="Arial"/>
          <w:rtl/>
        </w:rPr>
        <w:t>. כיצד? אמרו: מעידין אנו באיש פלוני שהרג את הנפש, אמרו להם: היאך אתם מעידין? שהרי נהרג זה או ההורג זה היה עמנו אותו היום במקום פלוני - אין אלו זוממין</w:t>
      </w:r>
      <w:r>
        <w:rPr>
          <w:rFonts w:cs="Arial" w:hint="cs"/>
          <w:rtl/>
        </w:rPr>
        <w:t>.</w:t>
      </w:r>
      <w:r w:rsidRPr="00C50F3D">
        <w:rPr>
          <w:rFonts w:cs="Arial"/>
          <w:rtl/>
        </w:rPr>
        <w:t xml:space="preserve"> אבל אמרו להם: היאך אתם מעידין? שהרי אתם הייתם עמנו אותו היום במקום פלוני - הרי אלו זוממין ונהרגין על פיהם.</w:t>
      </w:r>
    </w:p>
    <w:p w14:paraId="1710186A" w14:textId="77777777" w:rsidR="004B607F" w:rsidRDefault="004B607F" w:rsidP="004B607F">
      <w:pPr>
        <w:rPr>
          <w:rFonts w:cs="Arial"/>
          <w:rtl/>
        </w:rPr>
      </w:pPr>
      <w:r w:rsidRPr="00C50F3D">
        <w:rPr>
          <w:rFonts w:cs="Arial"/>
          <w:u w:val="single"/>
          <w:rtl/>
        </w:rPr>
        <w:t>מה יש בין הכחשה להזמה</w:t>
      </w:r>
      <w:r w:rsidRPr="00C50F3D">
        <w:rPr>
          <w:rFonts w:cs="Arial" w:hint="cs"/>
          <w:u w:val="single"/>
          <w:rtl/>
        </w:rPr>
        <w:t>:</w:t>
      </w:r>
    </w:p>
    <w:p w14:paraId="5F855433" w14:textId="77777777" w:rsidR="004B607F" w:rsidRDefault="004B607F" w:rsidP="004B0475">
      <w:pPr>
        <w:pStyle w:val="ac"/>
        <w:numPr>
          <w:ilvl w:val="0"/>
          <w:numId w:val="117"/>
        </w:numPr>
        <w:rPr>
          <w:rtl/>
        </w:rPr>
      </w:pPr>
      <w:r w:rsidRPr="00C50F3D">
        <w:rPr>
          <w:rFonts w:cs="Arial" w:hint="cs"/>
          <w:rtl/>
        </w:rPr>
        <w:t>טור-</w:t>
      </w:r>
      <w:r w:rsidRPr="00C50F3D">
        <w:rPr>
          <w:rFonts w:cs="Arial"/>
          <w:rtl/>
        </w:rPr>
        <w:t xml:space="preserve"> ומה יש בין הכחשה להזמה</w:t>
      </w:r>
      <w:r w:rsidRPr="00C50F3D">
        <w:rPr>
          <w:rFonts w:cs="Arial" w:hint="cs"/>
          <w:rtl/>
        </w:rPr>
        <w:t>,</w:t>
      </w:r>
      <w:r w:rsidRPr="00C50F3D">
        <w:rPr>
          <w:rFonts w:cs="Arial"/>
          <w:rtl/>
        </w:rPr>
        <w:t xml:space="preserve"> הכחשה </w:t>
      </w:r>
      <w:r>
        <w:rPr>
          <w:rFonts w:cs="Arial" w:hint="cs"/>
          <w:rtl/>
        </w:rPr>
        <w:t xml:space="preserve">- </w:t>
      </w:r>
      <w:r w:rsidRPr="00C50F3D">
        <w:rPr>
          <w:rFonts w:cs="Arial"/>
          <w:rtl/>
        </w:rPr>
        <w:t>אינה בגוף העדים</w:t>
      </w:r>
      <w:r w:rsidRPr="00C50F3D">
        <w:rPr>
          <w:rFonts w:cs="Arial" w:hint="cs"/>
          <w:rtl/>
        </w:rPr>
        <w:t>,</w:t>
      </w:r>
      <w:r w:rsidRPr="00C50F3D">
        <w:rPr>
          <w:rFonts w:cs="Arial"/>
          <w:rtl/>
        </w:rPr>
        <w:t xml:space="preserve"> אלא שמכחישין אותן שאלו אומרים </w:t>
      </w:r>
      <w:r>
        <w:rPr>
          <w:rFonts w:cs="Arial" w:hint="cs"/>
          <w:rtl/>
        </w:rPr>
        <w:t>'</w:t>
      </w:r>
      <w:r w:rsidRPr="00C50F3D">
        <w:rPr>
          <w:rFonts w:cs="Arial"/>
          <w:rtl/>
        </w:rPr>
        <w:t>פלוני לוה מפלוני</w:t>
      </w:r>
      <w:r>
        <w:rPr>
          <w:rFonts w:cs="Arial" w:hint="cs"/>
          <w:rtl/>
        </w:rPr>
        <w:t>',</w:t>
      </w:r>
      <w:r w:rsidRPr="00C50F3D">
        <w:rPr>
          <w:rFonts w:cs="Arial"/>
          <w:rtl/>
        </w:rPr>
        <w:t xml:space="preserve"> ואלו אומרים </w:t>
      </w:r>
      <w:r>
        <w:rPr>
          <w:rFonts w:cs="Arial" w:hint="cs"/>
          <w:rtl/>
        </w:rPr>
        <w:t>'</w:t>
      </w:r>
      <w:r w:rsidRPr="00C50F3D">
        <w:rPr>
          <w:rFonts w:cs="Arial"/>
          <w:rtl/>
        </w:rPr>
        <w:t>יודעין אנו שלא לוה כי היינו אצלו כל היום וראינו שלא לוה</w:t>
      </w:r>
      <w:r>
        <w:rPr>
          <w:rFonts w:cs="Arial" w:hint="cs"/>
          <w:rtl/>
        </w:rPr>
        <w:t>'</w:t>
      </w:r>
      <w:r w:rsidRPr="00C50F3D">
        <w:rPr>
          <w:rFonts w:cs="Arial" w:hint="cs"/>
          <w:rtl/>
        </w:rPr>
        <w:t>.</w:t>
      </w:r>
      <w:r w:rsidRPr="00C50F3D">
        <w:rPr>
          <w:rFonts w:cs="Arial"/>
          <w:rtl/>
        </w:rPr>
        <w:t xml:space="preserve"> והזמה </w:t>
      </w:r>
      <w:r>
        <w:rPr>
          <w:rFonts w:cs="Arial" w:hint="cs"/>
          <w:rtl/>
        </w:rPr>
        <w:t xml:space="preserve">- </w:t>
      </w:r>
      <w:r w:rsidRPr="00C50F3D">
        <w:rPr>
          <w:rFonts w:cs="Arial"/>
          <w:rtl/>
        </w:rPr>
        <w:t>בגוף העדים</w:t>
      </w:r>
      <w:r w:rsidRPr="00C50F3D">
        <w:rPr>
          <w:rFonts w:cs="Arial" w:hint="cs"/>
          <w:rtl/>
        </w:rPr>
        <w:t>,</w:t>
      </w:r>
      <w:r w:rsidRPr="00C50F3D">
        <w:rPr>
          <w:rFonts w:cs="Arial"/>
          <w:rtl/>
        </w:rPr>
        <w:t xml:space="preserve"> שאומר </w:t>
      </w:r>
      <w:r>
        <w:rPr>
          <w:rFonts w:cs="Arial" w:hint="cs"/>
          <w:rtl/>
        </w:rPr>
        <w:t>'</w:t>
      </w:r>
      <w:r w:rsidRPr="00C50F3D">
        <w:rPr>
          <w:rFonts w:cs="Arial"/>
          <w:rtl/>
        </w:rPr>
        <w:t>באותו שעה שאתם אומרים שלוה הייתם עמנו</w:t>
      </w:r>
      <w:r>
        <w:rPr>
          <w:rFonts w:cs="Arial" w:hint="cs"/>
          <w:rtl/>
        </w:rPr>
        <w:t>'</w:t>
      </w:r>
      <w:r w:rsidRPr="00C50F3D">
        <w:rPr>
          <w:rFonts w:cs="Arial" w:hint="cs"/>
          <w:rtl/>
        </w:rPr>
        <w:t>.</w:t>
      </w:r>
      <w:r>
        <w:rPr>
          <w:rFonts w:cs="Arial" w:hint="cs"/>
          <w:rtl/>
        </w:rPr>
        <w:t xml:space="preserve"> </w:t>
      </w:r>
      <w:r w:rsidRPr="00C50F3D">
        <w:rPr>
          <w:rFonts w:cs="Arial"/>
          <w:rtl/>
        </w:rPr>
        <w:t>ומפני זה האחרונים נאמנין כיון שמעידין על גופן של העדים והוי כאלו העידו עליהן שהרגו הנפש או שחללו שבת</w:t>
      </w:r>
      <w:r>
        <w:rPr>
          <w:rFonts w:cs="Arial" w:hint="cs"/>
          <w:rtl/>
        </w:rPr>
        <w:t>,</w:t>
      </w:r>
      <w:r w:rsidRPr="00C50F3D">
        <w:rPr>
          <w:rFonts w:cs="Arial"/>
          <w:rtl/>
        </w:rPr>
        <w:t xml:space="preserve"> והן אינן נאמנין על עצמן לומר לא עשינו כך וכך</w:t>
      </w:r>
      <w:r>
        <w:rPr>
          <w:rStyle w:val="ab"/>
          <w:rFonts w:cs="Arial"/>
          <w:rtl/>
        </w:rPr>
        <w:footnoteReference w:id="2815"/>
      </w:r>
      <w:r w:rsidRPr="00C50F3D">
        <w:rPr>
          <w:rFonts w:cs="Arial" w:hint="cs"/>
          <w:rtl/>
        </w:rPr>
        <w:t>.</w:t>
      </w:r>
    </w:p>
    <w:p w14:paraId="18FC237D" w14:textId="77777777" w:rsidR="004B607F" w:rsidRDefault="004B607F" w:rsidP="004B607F">
      <w:pPr>
        <w:rPr>
          <w:rFonts w:cs="Arial"/>
          <w:rtl/>
        </w:rPr>
      </w:pPr>
      <w:r w:rsidRPr="007F09C6">
        <w:rPr>
          <w:rFonts w:cs="Arial"/>
          <w:b/>
          <w:bCs/>
          <w:rtl/>
        </w:rPr>
        <w:t xml:space="preserve">מכות </w:t>
      </w:r>
      <w:r w:rsidRPr="007F09C6">
        <w:rPr>
          <w:rFonts w:cs="Arial"/>
          <w:b/>
          <w:bCs/>
          <w:sz w:val="16"/>
          <w:szCs w:val="16"/>
          <w:rtl/>
        </w:rPr>
        <w:t>(</w:t>
      </w:r>
      <w:r w:rsidRPr="007F09C6">
        <w:rPr>
          <w:rFonts w:cs="Arial" w:hint="cs"/>
          <w:b/>
          <w:bCs/>
          <w:sz w:val="16"/>
          <w:szCs w:val="16"/>
          <w:rtl/>
        </w:rPr>
        <w:t xml:space="preserve">פ"ק) </w:t>
      </w:r>
      <w:r w:rsidRPr="007F09C6">
        <w:rPr>
          <w:rFonts w:cs="Arial"/>
          <w:b/>
          <w:bCs/>
          <w:rtl/>
        </w:rPr>
        <w:t>ה</w:t>
      </w:r>
      <w:r w:rsidRPr="007F09C6">
        <w:rPr>
          <w:rFonts w:cs="Arial" w:hint="cs"/>
          <w:b/>
          <w:bCs/>
          <w:rtl/>
        </w:rPr>
        <w:t xml:space="preserve"> ע"א:</w:t>
      </w:r>
      <w:r w:rsidRPr="00DB5462">
        <w:rPr>
          <w:rtl/>
        </w:rPr>
        <w:t xml:space="preserve"> </w:t>
      </w:r>
      <w:r w:rsidRPr="007F09C6">
        <w:rPr>
          <w:rFonts w:cs="Arial"/>
          <w:u w:val="double"/>
          <w:rtl/>
        </w:rPr>
        <w:t>מתני'</w:t>
      </w:r>
      <w:r>
        <w:rPr>
          <w:rFonts w:cs="Arial" w:hint="cs"/>
          <w:rtl/>
        </w:rPr>
        <w:t xml:space="preserve">:... </w:t>
      </w:r>
      <w:r w:rsidRPr="00DB5462">
        <w:rPr>
          <w:rFonts w:cs="Arial"/>
          <w:rtl/>
        </w:rPr>
        <w:t>אבל אמרו להם: היאך אתם מעידין? שהרי אתם הייתם עמנו אותו היום במקום פלוני - הרי אלו זוממין ונהרגין על פיהם. באו אחרים</w:t>
      </w:r>
      <w:r>
        <w:rPr>
          <w:rStyle w:val="ab"/>
          <w:rFonts w:cs="Arial"/>
          <w:rtl/>
        </w:rPr>
        <w:footnoteReference w:id="2816"/>
      </w:r>
      <w:r w:rsidRPr="00DB5462">
        <w:rPr>
          <w:rFonts w:cs="Arial"/>
          <w:rtl/>
        </w:rPr>
        <w:t xml:space="preserve"> והזימום</w:t>
      </w:r>
      <w:r>
        <w:rPr>
          <w:rStyle w:val="ab"/>
          <w:rFonts w:cs="Arial"/>
          <w:rtl/>
        </w:rPr>
        <w:footnoteReference w:id="2817"/>
      </w:r>
      <w:r w:rsidRPr="00DB5462">
        <w:rPr>
          <w:rFonts w:cs="Arial"/>
          <w:rtl/>
        </w:rPr>
        <w:t>, באו אחרים והזימום, אפי'</w:t>
      </w:r>
      <w:r>
        <w:rPr>
          <w:rStyle w:val="ab"/>
          <w:rFonts w:cs="Arial"/>
          <w:rtl/>
        </w:rPr>
        <w:footnoteReference w:id="2818"/>
      </w:r>
      <w:r w:rsidRPr="00DB5462">
        <w:rPr>
          <w:rFonts w:cs="Arial"/>
          <w:rtl/>
        </w:rPr>
        <w:t xml:space="preserve"> מאה - כולם יהרגו</w:t>
      </w:r>
      <w:r>
        <w:rPr>
          <w:rFonts w:cs="Arial" w:hint="cs"/>
          <w:rtl/>
        </w:rPr>
        <w:t>.</w:t>
      </w:r>
      <w:r w:rsidRPr="00DB5462">
        <w:rPr>
          <w:rFonts w:cs="Arial"/>
          <w:rtl/>
        </w:rPr>
        <w:t xml:space="preserve"> </w:t>
      </w:r>
      <w:r w:rsidRPr="00DB5462">
        <w:rPr>
          <w:rFonts w:cs="Arial"/>
          <w:u w:val="single"/>
          <w:rtl/>
        </w:rPr>
        <w:t xml:space="preserve">רבי יהודה </w:t>
      </w:r>
      <w:r w:rsidRPr="00DB5462">
        <w:rPr>
          <w:rFonts w:cs="Arial"/>
          <w:u w:val="single"/>
          <w:rtl/>
        </w:rPr>
        <w:lastRenderedPageBreak/>
        <w:t>אומר</w:t>
      </w:r>
      <w:r w:rsidRPr="00DB5462">
        <w:rPr>
          <w:rFonts w:cs="Arial"/>
          <w:rtl/>
        </w:rPr>
        <w:t>: איסטטית היא זו</w:t>
      </w:r>
      <w:r>
        <w:rPr>
          <w:rStyle w:val="ab"/>
          <w:rFonts w:cs="Arial"/>
          <w:rtl/>
        </w:rPr>
        <w:footnoteReference w:id="2819"/>
      </w:r>
      <w:r w:rsidRPr="00DB5462">
        <w:rPr>
          <w:rFonts w:cs="Arial"/>
          <w:rtl/>
        </w:rPr>
        <w:t>, ואינו נהרג אלא כת הראשונה בלבד</w:t>
      </w:r>
      <w:r>
        <w:rPr>
          <w:rStyle w:val="ab"/>
          <w:rFonts w:cs="Arial"/>
          <w:rtl/>
        </w:rPr>
        <w:footnoteReference w:id="2820"/>
      </w:r>
      <w:r w:rsidRPr="00DB5462">
        <w:rPr>
          <w:rFonts w:cs="Arial"/>
          <w:rtl/>
        </w:rPr>
        <w:t>.</w:t>
      </w:r>
      <w:r>
        <w:rPr>
          <w:rFonts w:cs="Arial" w:hint="cs"/>
          <w:rtl/>
        </w:rPr>
        <w:t>..</w:t>
      </w:r>
      <w:r>
        <w:rPr>
          <w:rFonts w:cs="Arial" w:hint="cs"/>
          <w:sz w:val="14"/>
          <w:szCs w:val="14"/>
          <w:rtl/>
        </w:rPr>
        <w:t xml:space="preserve"> (ה:)</w:t>
      </w:r>
      <w:r>
        <w:rPr>
          <w:rFonts w:cs="Arial"/>
          <w:rtl/>
        </w:rPr>
        <w:t xml:space="preserve"> </w:t>
      </w:r>
      <w:r w:rsidRPr="007F09C6">
        <w:rPr>
          <w:rFonts w:cs="Arial"/>
          <w:u w:val="double"/>
          <w:rtl/>
        </w:rPr>
        <w:t>מתני'</w:t>
      </w:r>
      <w:r>
        <w:rPr>
          <w:rFonts w:cs="Arial" w:hint="cs"/>
          <w:rtl/>
        </w:rPr>
        <w:t>:</w:t>
      </w:r>
      <w:r w:rsidRPr="00C50F3D">
        <w:rPr>
          <w:rtl/>
        </w:rPr>
        <w:t xml:space="preserve"> </w:t>
      </w:r>
      <w:r w:rsidRPr="00C50F3D">
        <w:rPr>
          <w:rFonts w:cs="Arial"/>
          <w:rtl/>
        </w:rPr>
        <w:t>על פי שנים עדים או שלשה עדים יומת המת - אם מתקיימת העדות בשנים, למה פרט הכתוב בשלשה? אלא להקיש שנים לשלשה מה שלשה מזימין את השנים, אף השנים יזומו את הג'</w:t>
      </w:r>
      <w:r>
        <w:rPr>
          <w:rFonts w:cs="Arial" w:hint="cs"/>
          <w:rtl/>
        </w:rPr>
        <w:t>.</w:t>
      </w:r>
      <w:r w:rsidRPr="00C50F3D">
        <w:rPr>
          <w:rFonts w:cs="Arial"/>
          <w:rtl/>
        </w:rPr>
        <w:t xml:space="preserve"> ומנין אפי' מאה? ת"ל: עדים.</w:t>
      </w:r>
    </w:p>
    <w:p w14:paraId="1BEA28A9" w14:textId="77777777" w:rsidR="004B607F" w:rsidRDefault="004B607F" w:rsidP="004B607F">
      <w:pPr>
        <w:rPr>
          <w:rFonts w:cs="Arial"/>
          <w:rtl/>
        </w:rPr>
      </w:pPr>
      <w:r w:rsidRPr="00DB5462">
        <w:rPr>
          <w:rFonts w:cs="Arial" w:hint="cs"/>
          <w:u w:val="single"/>
          <w:rtl/>
        </w:rPr>
        <w:t>האם ב' עדים יכולים להזים רבים מהם:</w:t>
      </w:r>
    </w:p>
    <w:p w14:paraId="0126A25B" w14:textId="77777777" w:rsidR="004B607F" w:rsidRDefault="004B607F" w:rsidP="004B0475">
      <w:pPr>
        <w:pStyle w:val="ac"/>
        <w:numPr>
          <w:ilvl w:val="0"/>
          <w:numId w:val="117"/>
        </w:numPr>
        <w:rPr>
          <w:rtl/>
        </w:rPr>
      </w:pPr>
      <w:r w:rsidRPr="00DB5462">
        <w:rPr>
          <w:rFonts w:cs="Arial" w:hint="cs"/>
          <w:rtl/>
        </w:rPr>
        <w:t>טור-</w:t>
      </w:r>
      <w:r w:rsidRPr="00DB5462">
        <w:rPr>
          <w:rFonts w:cs="Arial"/>
          <w:rtl/>
        </w:rPr>
        <w:t xml:space="preserve"> ואפי' היו הראשונים ק' נאמנין אלו עליהן להורגם בין אם העידו המאה בבת אחת בין אם העידו בזה אחר זה שנים אחר שנים ואלו המזימין הזימו כל כת וכת בזה אחר זה</w:t>
      </w:r>
      <w:r w:rsidRPr="00DB5462">
        <w:rPr>
          <w:rFonts w:cs="Arial" w:hint="cs"/>
          <w:rtl/>
        </w:rPr>
        <w:t>.</w:t>
      </w:r>
    </w:p>
    <w:p w14:paraId="422F310F" w14:textId="77777777" w:rsidR="004B607F" w:rsidRDefault="004B607F" w:rsidP="004B607F">
      <w:pPr>
        <w:rPr>
          <w:rFonts w:cs="Arial"/>
          <w:rtl/>
        </w:rPr>
      </w:pPr>
      <w:r w:rsidRPr="007F09C6">
        <w:rPr>
          <w:rFonts w:cs="Arial" w:hint="cs"/>
          <w:b/>
          <w:bCs/>
          <w:rtl/>
        </w:rPr>
        <w:t xml:space="preserve">כתובות </w:t>
      </w:r>
      <w:r>
        <w:rPr>
          <w:rFonts w:cs="Arial" w:hint="cs"/>
          <w:b/>
          <w:bCs/>
          <w:sz w:val="16"/>
          <w:szCs w:val="16"/>
          <w:rtl/>
        </w:rPr>
        <w:t xml:space="preserve">(פרק אלו נערות) </w:t>
      </w:r>
      <w:r w:rsidRPr="007F09C6">
        <w:rPr>
          <w:rFonts w:cs="Arial" w:hint="cs"/>
          <w:b/>
          <w:bCs/>
          <w:rtl/>
        </w:rPr>
        <w:t>ל</w:t>
      </w:r>
      <w:r>
        <w:rPr>
          <w:rFonts w:cs="Arial" w:hint="cs"/>
          <w:b/>
          <w:bCs/>
          <w:rtl/>
        </w:rPr>
        <w:t>ג</w:t>
      </w:r>
      <w:r>
        <w:rPr>
          <w:rStyle w:val="ab"/>
          <w:rFonts w:cs="Arial"/>
          <w:b/>
          <w:bCs/>
          <w:rtl/>
        </w:rPr>
        <w:footnoteReference w:id="2821"/>
      </w:r>
      <w:r w:rsidRPr="007F09C6">
        <w:rPr>
          <w:rFonts w:cs="Arial" w:hint="cs"/>
          <w:b/>
          <w:bCs/>
          <w:rtl/>
        </w:rPr>
        <w:t xml:space="preserve"> ע"</w:t>
      </w:r>
      <w:r>
        <w:rPr>
          <w:rFonts w:cs="Arial" w:hint="cs"/>
          <w:b/>
          <w:bCs/>
          <w:rtl/>
        </w:rPr>
        <w:t>א</w:t>
      </w:r>
      <w:r w:rsidRPr="007F09C6">
        <w:rPr>
          <w:rFonts w:cs="Arial" w:hint="cs"/>
          <w:b/>
          <w:bCs/>
          <w:rtl/>
        </w:rPr>
        <w:t xml:space="preserve">: </w:t>
      </w:r>
      <w:r w:rsidRPr="007F09C6">
        <w:rPr>
          <w:rFonts w:cs="Arial"/>
          <w:u w:val="single"/>
          <w:rtl/>
        </w:rPr>
        <w:t>רבי אליעזר אומר</w:t>
      </w:r>
      <w:r w:rsidRPr="007F09C6">
        <w:rPr>
          <w:rFonts w:cs="Arial"/>
          <w:rtl/>
        </w:rPr>
        <w:t xml:space="preserve">: עדים זוממין ממונא משלמי ומילקא לא לקי, משום דלאו בני התראה נינהו. </w:t>
      </w:r>
      <w:r>
        <w:rPr>
          <w:rFonts w:cs="Arial" w:hint="cs"/>
          <w:sz w:val="16"/>
          <w:szCs w:val="16"/>
          <w:rtl/>
        </w:rPr>
        <w:t>(</w:t>
      </w:r>
      <w:r w:rsidRPr="00DB5462">
        <w:rPr>
          <w:rFonts w:cs="Arial"/>
          <w:sz w:val="16"/>
          <w:szCs w:val="16"/>
          <w:rtl/>
        </w:rPr>
        <w:t>ואביי נמי א</w:t>
      </w:r>
      <w:r>
        <w:rPr>
          <w:rFonts w:cs="Arial" w:hint="cs"/>
          <w:sz w:val="16"/>
          <w:szCs w:val="16"/>
          <w:rtl/>
        </w:rPr>
        <w:t>ע"ג</w:t>
      </w:r>
      <w:r w:rsidRPr="00DB5462">
        <w:rPr>
          <w:rFonts w:cs="Arial"/>
          <w:sz w:val="16"/>
          <w:szCs w:val="16"/>
          <w:rtl/>
        </w:rPr>
        <w:t xml:space="preserve"> דמעיקרא פליג עליה לבסוף הדר ביה</w:t>
      </w:r>
      <w:r>
        <w:rPr>
          <w:rFonts w:cs="Arial" w:hint="cs"/>
          <w:sz w:val="16"/>
          <w:szCs w:val="16"/>
          <w:rtl/>
        </w:rPr>
        <w:t>, ב"י)</w:t>
      </w:r>
    </w:p>
    <w:p w14:paraId="2779E88A" w14:textId="77777777" w:rsidR="004B607F" w:rsidRDefault="004B607F" w:rsidP="004B607F">
      <w:pPr>
        <w:rPr>
          <w:rFonts w:cs="Arial"/>
          <w:rtl/>
        </w:rPr>
      </w:pPr>
      <w:r w:rsidRPr="007F09C6">
        <w:rPr>
          <w:rFonts w:cs="Arial" w:hint="cs"/>
          <w:b/>
          <w:bCs/>
          <w:rtl/>
        </w:rPr>
        <w:t xml:space="preserve">כתובות </w:t>
      </w:r>
      <w:r>
        <w:rPr>
          <w:rFonts w:cs="Arial" w:hint="cs"/>
          <w:b/>
          <w:bCs/>
          <w:sz w:val="16"/>
          <w:szCs w:val="16"/>
          <w:rtl/>
        </w:rPr>
        <w:t xml:space="preserve">(פ"ב) </w:t>
      </w:r>
      <w:r>
        <w:rPr>
          <w:rFonts w:cs="Arial" w:hint="cs"/>
          <w:b/>
          <w:bCs/>
          <w:rtl/>
        </w:rPr>
        <w:t>כ</w:t>
      </w:r>
      <w:r>
        <w:rPr>
          <w:rStyle w:val="ab"/>
          <w:rFonts w:cs="Arial"/>
          <w:b/>
          <w:bCs/>
          <w:rtl/>
        </w:rPr>
        <w:footnoteReference w:id="2822"/>
      </w:r>
      <w:r w:rsidRPr="007F09C6">
        <w:rPr>
          <w:rFonts w:cs="Arial" w:hint="cs"/>
          <w:b/>
          <w:bCs/>
          <w:rtl/>
        </w:rPr>
        <w:t xml:space="preserve"> ע"</w:t>
      </w:r>
      <w:r>
        <w:rPr>
          <w:rFonts w:cs="Arial" w:hint="cs"/>
          <w:b/>
          <w:bCs/>
          <w:rtl/>
        </w:rPr>
        <w:t>א</w:t>
      </w:r>
      <w:r w:rsidRPr="007F09C6">
        <w:rPr>
          <w:rFonts w:cs="Arial" w:hint="cs"/>
          <w:b/>
          <w:bCs/>
          <w:rtl/>
        </w:rPr>
        <w:t xml:space="preserve">: </w:t>
      </w:r>
      <w:r w:rsidRPr="00DB5462">
        <w:rPr>
          <w:rFonts w:cs="Arial"/>
          <w:u w:val="single"/>
          <w:rtl/>
        </w:rPr>
        <w:t>א"ר אבהו</w:t>
      </w:r>
      <w:r w:rsidRPr="00DB5462">
        <w:rPr>
          <w:rFonts w:cs="Arial"/>
          <w:rtl/>
        </w:rPr>
        <w:t>: אין מזימין את העדים אלא בפניהן</w:t>
      </w:r>
      <w:r>
        <w:rPr>
          <w:rStyle w:val="ab"/>
          <w:rFonts w:cs="Arial"/>
          <w:rtl/>
        </w:rPr>
        <w:footnoteReference w:id="2823"/>
      </w:r>
      <w:r w:rsidRPr="00DB5462">
        <w:rPr>
          <w:rFonts w:cs="Arial"/>
          <w:rtl/>
        </w:rPr>
        <w:t>, ומכחישין את העדים שלא בפניהן, והזמה שלא בפניהן נהי דהזמה לא הוי, הכחשה מיהא הויא.</w:t>
      </w:r>
    </w:p>
    <w:p w14:paraId="0ADABE24" w14:textId="77777777" w:rsidR="004B607F" w:rsidRDefault="004B607F" w:rsidP="004B607F">
      <w:pPr>
        <w:rPr>
          <w:rFonts w:cs="Arial"/>
          <w:rtl/>
        </w:rPr>
      </w:pPr>
      <w:r w:rsidRPr="006A03E5">
        <w:rPr>
          <w:rFonts w:cs="Arial" w:hint="cs"/>
          <w:u w:val="single"/>
          <w:rtl/>
        </w:rPr>
        <w:t>התראה וכו' בעדים זוממים:</w:t>
      </w:r>
    </w:p>
    <w:p w14:paraId="04BD33EA" w14:textId="77777777" w:rsidR="004B607F" w:rsidRDefault="004B607F" w:rsidP="004B0475">
      <w:pPr>
        <w:pStyle w:val="ac"/>
        <w:numPr>
          <w:ilvl w:val="0"/>
          <w:numId w:val="117"/>
        </w:numPr>
      </w:pPr>
      <w:r w:rsidRPr="006A03E5">
        <w:rPr>
          <w:rFonts w:cs="Arial" w:hint="cs"/>
          <w:rtl/>
        </w:rPr>
        <w:t xml:space="preserve">טור- </w:t>
      </w:r>
      <w:r w:rsidRPr="006A03E5">
        <w:rPr>
          <w:rFonts w:cs="Arial"/>
          <w:rtl/>
        </w:rPr>
        <w:t>עדים זוממין אין צריכין התראה</w:t>
      </w:r>
      <w:r w:rsidRPr="006A03E5">
        <w:rPr>
          <w:rFonts w:cs="Arial" w:hint="cs"/>
          <w:rtl/>
        </w:rPr>
        <w:t>.</w:t>
      </w:r>
      <w:r>
        <w:rPr>
          <w:rFonts w:hint="cs"/>
          <w:rtl/>
        </w:rPr>
        <w:t xml:space="preserve"> </w:t>
      </w:r>
      <w:r w:rsidRPr="006A03E5">
        <w:rPr>
          <w:rFonts w:cs="Arial"/>
          <w:rtl/>
        </w:rPr>
        <w:t>ואין מזימין אותן אלא בפניהם</w:t>
      </w:r>
      <w:r w:rsidRPr="006A03E5">
        <w:rPr>
          <w:rFonts w:cs="Arial" w:hint="cs"/>
          <w:rtl/>
        </w:rPr>
        <w:t>.</w:t>
      </w:r>
      <w:r>
        <w:rPr>
          <w:rFonts w:hint="cs"/>
          <w:rtl/>
        </w:rPr>
        <w:t xml:space="preserve"> </w:t>
      </w:r>
      <w:r w:rsidRPr="006A03E5">
        <w:rPr>
          <w:rFonts w:cs="Arial"/>
          <w:rtl/>
        </w:rPr>
        <w:t>אבל מכחישין אותן אפילו שלא בפניהם</w:t>
      </w:r>
      <w:r w:rsidRPr="006A03E5">
        <w:rPr>
          <w:rFonts w:cs="Arial" w:hint="cs"/>
          <w:rtl/>
        </w:rPr>
        <w:t>.</w:t>
      </w:r>
      <w:r w:rsidRPr="00446EC5">
        <w:rPr>
          <w:rFonts w:cs="Arial"/>
          <w:rtl/>
        </w:rPr>
        <w:t xml:space="preserve"> </w:t>
      </w:r>
      <w:r>
        <w:rPr>
          <w:rFonts w:cs="Arial"/>
          <w:rtl/>
        </w:rPr>
        <w:t>והזמה שלא בפניהם אע</w:t>
      </w:r>
      <w:r>
        <w:rPr>
          <w:rFonts w:cs="Arial" w:hint="cs"/>
          <w:rtl/>
        </w:rPr>
        <w:t>"</w:t>
      </w:r>
      <w:r>
        <w:rPr>
          <w:rFonts w:cs="Arial"/>
          <w:rtl/>
        </w:rPr>
        <w:t xml:space="preserve">פ שאינה הזמה </w:t>
      </w:r>
      <w:r>
        <w:rPr>
          <w:rFonts w:cs="Arial" w:hint="cs"/>
          <w:rtl/>
        </w:rPr>
        <w:t xml:space="preserve">- </w:t>
      </w:r>
      <w:r>
        <w:rPr>
          <w:rFonts w:cs="Arial"/>
          <w:rtl/>
        </w:rPr>
        <w:t>הכחשה מיהא הוי לבטל עדותן</w:t>
      </w:r>
      <w:r>
        <w:rPr>
          <w:rFonts w:hint="cs"/>
          <w:rtl/>
        </w:rPr>
        <w:t>.</w:t>
      </w:r>
    </w:p>
    <w:p w14:paraId="697D3A66" w14:textId="77777777" w:rsidR="004B607F" w:rsidRPr="007B1CB1" w:rsidRDefault="004B607F" w:rsidP="004B607F">
      <w:pPr>
        <w:ind w:left="360"/>
        <w:rPr>
          <w:rFonts w:cs="Arial"/>
          <w:u w:val="dotted"/>
          <w:rtl/>
        </w:rPr>
      </w:pPr>
      <w:r w:rsidRPr="007B1CB1">
        <w:rPr>
          <w:rFonts w:cs="Arial" w:hint="cs"/>
          <w:u w:val="dotted"/>
          <w:rtl/>
        </w:rPr>
        <w:t xml:space="preserve">כשהוזמו העדים שלא בפניהם </w:t>
      </w:r>
      <w:r w:rsidRPr="007B1CB1">
        <w:rPr>
          <w:rFonts w:cs="Arial" w:hint="cs"/>
          <w:sz w:val="16"/>
          <w:szCs w:val="16"/>
          <w:u w:val="dotted"/>
          <w:rtl/>
        </w:rPr>
        <w:t>(דקיי"ל דהכחשה מיהא הויא)</w:t>
      </w:r>
      <w:r w:rsidRPr="007B1CB1">
        <w:rPr>
          <w:rFonts w:cs="Arial" w:hint="cs"/>
          <w:u w:val="dotted"/>
          <w:rtl/>
        </w:rPr>
        <w:t xml:space="preserve"> </w:t>
      </w:r>
      <w:r w:rsidRPr="007B1CB1">
        <w:rPr>
          <w:rFonts w:cs="Arial"/>
          <w:u w:val="dotted"/>
          <w:rtl/>
        </w:rPr>
        <w:t>–</w:t>
      </w:r>
      <w:r w:rsidRPr="007B1CB1">
        <w:rPr>
          <w:rFonts w:cs="Arial" w:hint="cs"/>
          <w:u w:val="dotted"/>
          <w:rtl/>
        </w:rPr>
        <w:t xml:space="preserve"> האם יש להם דין של עדים מוכחשים לגמרי:</w:t>
      </w:r>
    </w:p>
    <w:p w14:paraId="04364336" w14:textId="77777777" w:rsidR="004B607F" w:rsidRDefault="004B607F" w:rsidP="004B0475">
      <w:pPr>
        <w:pStyle w:val="ac"/>
        <w:numPr>
          <w:ilvl w:val="0"/>
          <w:numId w:val="117"/>
        </w:numPr>
        <w:rPr>
          <w:rtl/>
        </w:rPr>
      </w:pPr>
      <w:r w:rsidRPr="000D6608">
        <w:rPr>
          <w:rFonts w:cs="Arial"/>
          <w:rtl/>
        </w:rPr>
        <w:t xml:space="preserve">ריב"ש </w:t>
      </w:r>
      <w:r w:rsidRPr="000D6608">
        <w:rPr>
          <w:rFonts w:cs="Arial" w:hint="cs"/>
          <w:sz w:val="16"/>
          <w:szCs w:val="16"/>
          <w:rtl/>
        </w:rPr>
        <w:t>(</w:t>
      </w:r>
      <w:r w:rsidRPr="000D6608">
        <w:rPr>
          <w:rFonts w:cs="Arial"/>
          <w:sz w:val="16"/>
          <w:szCs w:val="16"/>
          <w:rtl/>
        </w:rPr>
        <w:t>סי</w:t>
      </w:r>
      <w:r w:rsidRPr="000D6608">
        <w:rPr>
          <w:rFonts w:cs="Arial" w:hint="cs"/>
          <w:sz w:val="16"/>
          <w:szCs w:val="16"/>
          <w:rtl/>
        </w:rPr>
        <w:t>'</w:t>
      </w:r>
      <w:r w:rsidRPr="000D6608">
        <w:rPr>
          <w:rFonts w:cs="Arial"/>
          <w:sz w:val="16"/>
          <w:szCs w:val="16"/>
          <w:rtl/>
        </w:rPr>
        <w:t xml:space="preserve"> רסו עג ע"ג)</w:t>
      </w:r>
      <w:r>
        <w:rPr>
          <w:rFonts w:cs="Arial" w:hint="cs"/>
          <w:rtl/>
        </w:rPr>
        <w:t>-</w:t>
      </w:r>
      <w:r w:rsidRPr="000D6608">
        <w:rPr>
          <w:rFonts w:cs="Arial"/>
          <w:rtl/>
        </w:rPr>
        <w:t xml:space="preserve"> כי אמרינן דהכחשה הויא היינו לומר שהמוזמת היא המוכחשת בודאי אבל לא לומר שיהיה זה כשתי כיתי עדים המכחישות זו את זו דקיי</w:t>
      </w:r>
      <w:r>
        <w:rPr>
          <w:rFonts w:cs="Arial" w:hint="cs"/>
          <w:rtl/>
        </w:rPr>
        <w:t>"</w:t>
      </w:r>
      <w:r w:rsidRPr="000D6608">
        <w:rPr>
          <w:rFonts w:cs="Arial"/>
          <w:rtl/>
        </w:rPr>
        <w:t xml:space="preserve">ל </w:t>
      </w:r>
      <w:r w:rsidRPr="000D6608">
        <w:rPr>
          <w:rFonts w:cs="Arial"/>
          <w:sz w:val="16"/>
          <w:szCs w:val="16"/>
          <w:rtl/>
        </w:rPr>
        <w:t xml:space="preserve">(שבועות מז:) </w:t>
      </w:r>
      <w:r w:rsidRPr="000D6608">
        <w:rPr>
          <w:rFonts w:cs="Arial"/>
          <w:rtl/>
        </w:rPr>
        <w:t>זו באה בפני עצמה ומעידה וזו באה בפני עצמה ומעידה</w:t>
      </w:r>
      <w:r w:rsidRPr="000D6608">
        <w:rPr>
          <w:rFonts w:cs="Arial" w:hint="cs"/>
          <w:rtl/>
        </w:rPr>
        <w:t>,</w:t>
      </w:r>
      <w:r w:rsidRPr="000D6608">
        <w:rPr>
          <w:rFonts w:cs="Arial"/>
          <w:rtl/>
        </w:rPr>
        <w:t xml:space="preserve"> אלא כיון שהוזמו בגופן אפילו שלא בפניהם הכת המוזמת היא המוכחשת לבדה והאחרונה המזימה כשרה ודאית</w:t>
      </w:r>
      <w:r>
        <w:rPr>
          <w:rFonts w:cs="Arial" w:hint="cs"/>
          <w:rtl/>
        </w:rPr>
        <w:t>.</w:t>
      </w:r>
      <w:r w:rsidRPr="000D6608">
        <w:rPr>
          <w:rFonts w:cs="Arial"/>
          <w:rtl/>
        </w:rPr>
        <w:t xml:space="preserve"> והרי היא כההיא דתנן </w:t>
      </w:r>
      <w:r w:rsidRPr="000D6608">
        <w:rPr>
          <w:rFonts w:cs="Arial"/>
          <w:sz w:val="16"/>
          <w:szCs w:val="16"/>
          <w:rtl/>
        </w:rPr>
        <w:t xml:space="preserve">(מכות ה:) </w:t>
      </w:r>
      <w:r w:rsidRPr="000D6608">
        <w:rPr>
          <w:rFonts w:cs="Arial"/>
          <w:rtl/>
        </w:rPr>
        <w:t>שאין העדים נעשין זוממין עד שיזומו כולם וכן עד שיגמר הדין</w:t>
      </w:r>
      <w:r>
        <w:rPr>
          <w:rFonts w:cs="Arial" w:hint="cs"/>
          <w:rtl/>
        </w:rPr>
        <w:t>,</w:t>
      </w:r>
      <w:r w:rsidRPr="000D6608">
        <w:rPr>
          <w:rFonts w:cs="Arial"/>
          <w:rtl/>
        </w:rPr>
        <w:t xml:space="preserve"> דהיינו לענין עונש העדים</w:t>
      </w:r>
      <w:r>
        <w:rPr>
          <w:rFonts w:cs="Arial" w:hint="cs"/>
          <w:rtl/>
        </w:rPr>
        <w:t>,</w:t>
      </w:r>
      <w:r w:rsidRPr="000D6608">
        <w:rPr>
          <w:rFonts w:cs="Arial"/>
          <w:rtl/>
        </w:rPr>
        <w:t xml:space="preserve"> אבל עדותן בטלה ופסולים הם לכל עדות שבתורה</w:t>
      </w:r>
      <w:r>
        <w:rPr>
          <w:rFonts w:cs="Arial" w:hint="cs"/>
          <w:rtl/>
        </w:rPr>
        <w:t>,</w:t>
      </w:r>
      <w:r w:rsidRPr="000D6608">
        <w:rPr>
          <w:rFonts w:cs="Arial"/>
          <w:rtl/>
        </w:rPr>
        <w:t xml:space="preserve"> וכמו שכתב הרמב"ם פ"ב מהלכות עדות </w:t>
      </w:r>
      <w:r w:rsidRPr="000D6608">
        <w:rPr>
          <w:rFonts w:cs="Arial"/>
          <w:sz w:val="16"/>
          <w:szCs w:val="16"/>
          <w:rtl/>
        </w:rPr>
        <w:t>(ה"א)</w:t>
      </w:r>
      <w:r>
        <w:rPr>
          <w:rFonts w:cs="Arial" w:hint="cs"/>
          <w:rtl/>
        </w:rPr>
        <w:t xml:space="preserve">. </w:t>
      </w:r>
      <w:r w:rsidRPr="000D6608">
        <w:rPr>
          <w:rFonts w:cs="Arial"/>
          <w:rtl/>
        </w:rPr>
        <w:t>וכן הדין נמי בעדים שהוזמו שלא בפניהם</w:t>
      </w:r>
      <w:r>
        <w:rPr>
          <w:rFonts w:cs="Arial" w:hint="cs"/>
          <w:rtl/>
        </w:rPr>
        <w:t>.</w:t>
      </w:r>
      <w:r w:rsidRPr="000D6608">
        <w:rPr>
          <w:rFonts w:cs="Arial"/>
          <w:rtl/>
        </w:rPr>
        <w:t xml:space="preserve"> וכן נראה מלשון רש"י</w:t>
      </w:r>
      <w:r>
        <w:rPr>
          <w:rStyle w:val="ab"/>
          <w:rFonts w:cs="Arial"/>
          <w:rtl/>
        </w:rPr>
        <w:footnoteReference w:id="2824"/>
      </w:r>
      <w:r w:rsidRPr="000D6608">
        <w:rPr>
          <w:rFonts w:cs="Arial" w:hint="cs"/>
          <w:rtl/>
        </w:rPr>
        <w:t>.</w:t>
      </w:r>
    </w:p>
    <w:p w14:paraId="30BD0E2A" w14:textId="77777777" w:rsidR="004B607F" w:rsidRPr="000D6608" w:rsidRDefault="004B607F" w:rsidP="004B607F">
      <w:pPr>
        <w:rPr>
          <w:rFonts w:cs="Arial"/>
          <w:rtl/>
        </w:rPr>
      </w:pPr>
      <w:r w:rsidRPr="000D6608">
        <w:rPr>
          <w:rFonts w:cs="Arial" w:hint="cs"/>
          <w:b/>
          <w:bCs/>
          <w:rtl/>
        </w:rPr>
        <w:t xml:space="preserve">בבא קמא </w:t>
      </w:r>
      <w:r w:rsidRPr="000D6608">
        <w:rPr>
          <w:rFonts w:cs="Arial" w:hint="cs"/>
          <w:b/>
          <w:bCs/>
          <w:sz w:val="16"/>
          <w:szCs w:val="16"/>
          <w:rtl/>
        </w:rPr>
        <w:t xml:space="preserve">(פרק מרובה) </w:t>
      </w:r>
      <w:r w:rsidRPr="000D6608">
        <w:rPr>
          <w:rFonts w:cs="Arial" w:hint="cs"/>
          <w:b/>
          <w:bCs/>
          <w:rtl/>
        </w:rPr>
        <w:t>עג</w:t>
      </w:r>
      <w:r>
        <w:rPr>
          <w:rStyle w:val="ab"/>
          <w:rFonts w:cs="Arial"/>
          <w:b/>
          <w:bCs/>
          <w:rtl/>
        </w:rPr>
        <w:footnoteReference w:id="2825"/>
      </w:r>
      <w:r w:rsidRPr="000D6608">
        <w:rPr>
          <w:rFonts w:cs="Arial" w:hint="cs"/>
          <w:b/>
          <w:bCs/>
          <w:rtl/>
        </w:rPr>
        <w:t xml:space="preserve"> ע"ב: </w:t>
      </w:r>
      <w:r w:rsidRPr="000D6608">
        <w:rPr>
          <w:rFonts w:cs="Arial"/>
          <w:u w:val="single"/>
          <w:rtl/>
        </w:rPr>
        <w:t>אמר רבא</w:t>
      </w:r>
      <w:r w:rsidRPr="000D6608">
        <w:rPr>
          <w:rFonts w:cs="Arial"/>
          <w:rtl/>
        </w:rPr>
        <w:t>: עדים שהוכחשו ולבסוף הוזמו - נהרגין, דהכחשה תחילת הזמה היא, אלא שלא נגמרה.</w:t>
      </w:r>
      <w:r w:rsidRPr="000D6608">
        <w:rPr>
          <w:rFonts w:cs="Arial" w:hint="cs"/>
          <w:sz w:val="16"/>
          <w:szCs w:val="16"/>
          <w:rtl/>
        </w:rPr>
        <w:t xml:space="preserve"> (</w:t>
      </w:r>
      <w:r w:rsidRPr="000D6608">
        <w:rPr>
          <w:rFonts w:cs="Arial"/>
          <w:sz w:val="16"/>
          <w:szCs w:val="16"/>
          <w:rtl/>
        </w:rPr>
        <w:t>ואע</w:t>
      </w:r>
      <w:r w:rsidRPr="000D6608">
        <w:rPr>
          <w:rFonts w:cs="Arial" w:hint="cs"/>
          <w:sz w:val="16"/>
          <w:szCs w:val="16"/>
          <w:rtl/>
        </w:rPr>
        <w:t>"</w:t>
      </w:r>
      <w:r w:rsidRPr="000D6608">
        <w:rPr>
          <w:rFonts w:cs="Arial"/>
          <w:sz w:val="16"/>
          <w:szCs w:val="16"/>
          <w:rtl/>
        </w:rPr>
        <w:t>ג דפליג עליה אביי הא קיימא לן דהלכה כרבא לגבי אביי</w:t>
      </w:r>
      <w:r>
        <w:rPr>
          <w:rFonts w:cs="Arial" w:hint="cs"/>
          <w:sz w:val="16"/>
          <w:szCs w:val="16"/>
          <w:rtl/>
        </w:rPr>
        <w:t>, ב"י)</w:t>
      </w:r>
    </w:p>
    <w:p w14:paraId="5FD526CA" w14:textId="77777777" w:rsidR="004B607F" w:rsidRDefault="004B607F" w:rsidP="004B607F">
      <w:pPr>
        <w:rPr>
          <w:rFonts w:cs="Arial"/>
          <w:rtl/>
        </w:rPr>
      </w:pPr>
      <w:r w:rsidRPr="000D6608">
        <w:rPr>
          <w:rFonts w:cs="Arial" w:hint="cs"/>
          <w:u w:val="single"/>
          <w:rtl/>
        </w:rPr>
        <w:t>עדים שהוכחשו ולבסוף הוזמו:</w:t>
      </w:r>
    </w:p>
    <w:p w14:paraId="0F3E02CE" w14:textId="77777777" w:rsidR="004B607F" w:rsidRPr="00446EC5" w:rsidRDefault="004B607F" w:rsidP="004B0475">
      <w:pPr>
        <w:pStyle w:val="ac"/>
        <w:numPr>
          <w:ilvl w:val="0"/>
          <w:numId w:val="117"/>
        </w:numPr>
      </w:pPr>
      <w:r w:rsidRPr="000D6608">
        <w:rPr>
          <w:rFonts w:cs="Arial" w:hint="cs"/>
          <w:rtl/>
        </w:rPr>
        <w:t xml:space="preserve">טור- </w:t>
      </w:r>
      <w:r w:rsidRPr="000D6608">
        <w:rPr>
          <w:rFonts w:cs="Arial"/>
          <w:rtl/>
        </w:rPr>
        <w:t xml:space="preserve">ואם הוכחשו ואח"כ הוזמו </w:t>
      </w:r>
      <w:r>
        <w:rPr>
          <w:rFonts w:cs="Arial" w:hint="cs"/>
          <w:rtl/>
        </w:rPr>
        <w:t xml:space="preserve">- </w:t>
      </w:r>
      <w:r w:rsidRPr="000D6608">
        <w:rPr>
          <w:rFonts w:cs="Arial"/>
          <w:rtl/>
        </w:rPr>
        <w:t>לוקין או משלמין שהכחשה תחלת הזמה היא</w:t>
      </w:r>
      <w:r w:rsidRPr="000D6608">
        <w:rPr>
          <w:rFonts w:cs="Arial" w:hint="cs"/>
          <w:rtl/>
        </w:rPr>
        <w:t>.</w:t>
      </w:r>
    </w:p>
    <w:p w14:paraId="58FE5022" w14:textId="77777777" w:rsidR="004B607F" w:rsidRPr="00446EC5" w:rsidRDefault="004B607F" w:rsidP="004B607F">
      <w:r w:rsidRPr="007F09C6">
        <w:rPr>
          <w:rFonts w:cs="Arial"/>
          <w:b/>
          <w:bCs/>
          <w:rtl/>
        </w:rPr>
        <w:t xml:space="preserve">מכות </w:t>
      </w:r>
      <w:r w:rsidRPr="007F09C6">
        <w:rPr>
          <w:rFonts w:cs="Arial"/>
          <w:b/>
          <w:bCs/>
          <w:sz w:val="16"/>
          <w:szCs w:val="16"/>
          <w:rtl/>
        </w:rPr>
        <w:t>(</w:t>
      </w:r>
      <w:r w:rsidRPr="007F09C6">
        <w:rPr>
          <w:rFonts w:cs="Arial" w:hint="cs"/>
          <w:b/>
          <w:bCs/>
          <w:sz w:val="16"/>
          <w:szCs w:val="16"/>
          <w:rtl/>
        </w:rPr>
        <w:t xml:space="preserve">פ"ק) </w:t>
      </w:r>
      <w:r w:rsidRPr="007F09C6">
        <w:rPr>
          <w:rFonts w:cs="Arial"/>
          <w:b/>
          <w:bCs/>
          <w:rtl/>
        </w:rPr>
        <w:t>ה</w:t>
      </w:r>
      <w:r w:rsidRPr="007F09C6">
        <w:rPr>
          <w:rFonts w:cs="Arial" w:hint="cs"/>
          <w:b/>
          <w:bCs/>
          <w:rtl/>
        </w:rPr>
        <w:t xml:space="preserve"> ע"א:</w:t>
      </w:r>
      <w:r w:rsidRPr="00DB5462">
        <w:rPr>
          <w:rtl/>
        </w:rPr>
        <w:t xml:space="preserve"> </w:t>
      </w:r>
      <w:r w:rsidRPr="007F09C6">
        <w:rPr>
          <w:rFonts w:cs="Arial"/>
          <w:u w:val="double"/>
          <w:rtl/>
        </w:rPr>
        <w:t>מתני'</w:t>
      </w:r>
      <w:r>
        <w:rPr>
          <w:rFonts w:cs="Arial" w:hint="cs"/>
          <w:rtl/>
        </w:rPr>
        <w:t>:</w:t>
      </w:r>
      <w:r w:rsidRPr="004218E4">
        <w:rPr>
          <w:rFonts w:cs="Arial"/>
          <w:rtl/>
        </w:rPr>
        <w:t xml:space="preserve"> אין העדים זוממין נהרגין עד שיגמר הדין, שהרי הצדוקין אומרים: עד שיהרג, שנאמר: נפש תחת נפש. אמרו להם חכמים: והלא כבר נאמר ועשיתם לו כאשר זמם לעשות לאחיו, והרי אחיו קיים; ואם כן, למה נאמר נפש תחת נפש? יכול משעה שקבלו עדותן יהרגו? תלמוד לומר: נפש תחת נפש, הא אינן נהרגין עד שיגמר הדין.</w:t>
      </w:r>
      <w:r>
        <w:rPr>
          <w:rFonts w:cs="Arial" w:hint="cs"/>
          <w:rtl/>
        </w:rPr>
        <w:t>...</w:t>
      </w:r>
      <w:r w:rsidRPr="004218E4">
        <w:rPr>
          <w:rFonts w:cs="Arial"/>
          <w:rtl/>
        </w:rPr>
        <w:t xml:space="preserve"> </w:t>
      </w:r>
      <w:r>
        <w:rPr>
          <w:rFonts w:cs="Arial" w:hint="cs"/>
          <w:rtl/>
        </w:rPr>
        <w:t xml:space="preserve">  </w:t>
      </w:r>
      <w:r w:rsidRPr="007F09C6">
        <w:rPr>
          <w:rFonts w:cs="Arial"/>
          <w:u w:val="double"/>
          <w:rtl/>
        </w:rPr>
        <w:t>מתני'</w:t>
      </w:r>
      <w:r>
        <w:rPr>
          <w:rFonts w:cs="Arial" w:hint="cs"/>
          <w:rtl/>
        </w:rPr>
        <w:t>:</w:t>
      </w:r>
      <w:r w:rsidRPr="000278C9">
        <w:rPr>
          <w:rtl/>
        </w:rPr>
        <w:t xml:space="preserve"> </w:t>
      </w:r>
      <w:r w:rsidRPr="000278C9">
        <w:rPr>
          <w:rFonts w:cs="Arial"/>
          <w:rtl/>
        </w:rPr>
        <w:t>על פי שנים עדים או שלשה עדים יומת המת - אם מתקיימת העדות בשנים, למה פרט הכתוב בשלשה? אלא להקיש שנים לשלשה</w:t>
      </w:r>
      <w:r>
        <w:rPr>
          <w:rFonts w:cs="Arial" w:hint="cs"/>
          <w:rtl/>
        </w:rPr>
        <w:t>...</w:t>
      </w:r>
      <w:r w:rsidRPr="004218E4">
        <w:rPr>
          <w:rtl/>
        </w:rPr>
        <w:t xml:space="preserve"> </w:t>
      </w:r>
      <w:r w:rsidRPr="004218E4">
        <w:rPr>
          <w:rFonts w:cs="Arial"/>
          <w:u w:val="single"/>
          <w:rtl/>
        </w:rPr>
        <w:t>ר' שמעון אומר</w:t>
      </w:r>
      <w:r>
        <w:rPr>
          <w:rStyle w:val="ab"/>
          <w:rFonts w:cs="Arial"/>
          <w:rtl/>
        </w:rPr>
        <w:footnoteReference w:id="2826"/>
      </w:r>
      <w:r w:rsidRPr="004218E4">
        <w:rPr>
          <w:rFonts w:cs="Arial"/>
          <w:rtl/>
        </w:rPr>
        <w:t>: מה שנים אינן נהרגין עד שיהיו שניהם זוממין, אף שלשה אינן נהרגין עד שיהיו שלשתן זוממין; ומנין אפי' מאה? ת"ל: עדים.</w:t>
      </w:r>
      <w:r w:rsidRPr="004218E4">
        <w:rPr>
          <w:rtl/>
        </w:rPr>
        <w:t xml:space="preserve"> </w:t>
      </w:r>
      <w:r w:rsidRPr="004218E4">
        <w:rPr>
          <w:rFonts w:cs="Arial"/>
          <w:u w:val="single"/>
          <w:rtl/>
        </w:rPr>
        <w:t>רבי עקיבא אומר</w:t>
      </w:r>
      <w:r w:rsidRPr="004218E4">
        <w:rPr>
          <w:rFonts w:cs="Arial"/>
          <w:rtl/>
        </w:rPr>
        <w:t>: לא בא השלישי להקל אלא להחמיר עליו ולעשות דינו כיוצא באלו; ואם כן ענש הכתוב לנטפל לעוברי עבירה כעוברי עבירה, על אחת כמה וכמה ישלם שכר לנטפל לעושי מצוה כעושי מצוה.</w:t>
      </w:r>
      <w:r>
        <w:rPr>
          <w:rFonts w:cs="Arial" w:hint="cs"/>
          <w:rtl/>
        </w:rPr>
        <w:t xml:space="preserve"> </w:t>
      </w:r>
      <w:r w:rsidRPr="000278C9">
        <w:rPr>
          <w:rFonts w:cs="Arial"/>
          <w:rtl/>
        </w:rPr>
        <w:t xml:space="preserve">ומה שנים, נמצא אחד מהן קרוב או פסול - עדותן בטלה, אף שלשה, </w:t>
      </w:r>
      <w:r w:rsidRPr="000278C9">
        <w:rPr>
          <w:rFonts w:cs="Arial"/>
          <w:rtl/>
        </w:rPr>
        <w:lastRenderedPageBreak/>
        <w:t>נמצא אחד מהן קרוב או פסול - עדותן בטלה</w:t>
      </w:r>
      <w:r>
        <w:rPr>
          <w:rStyle w:val="ab"/>
          <w:rFonts w:cs="Arial"/>
          <w:rtl/>
        </w:rPr>
        <w:footnoteReference w:id="2827"/>
      </w:r>
      <w:r>
        <w:rPr>
          <w:rFonts w:cs="Arial" w:hint="cs"/>
          <w:rtl/>
        </w:rPr>
        <w:t>.</w:t>
      </w:r>
      <w:r w:rsidRPr="000278C9">
        <w:rPr>
          <w:rFonts w:cs="Arial"/>
          <w:rtl/>
        </w:rPr>
        <w:t xml:space="preserve"> מנין אפי' מאה? ת"ל: עדים.</w:t>
      </w:r>
      <w:r>
        <w:rPr>
          <w:rFonts w:hint="cs"/>
          <w:rtl/>
        </w:rPr>
        <w:t>..</w:t>
      </w:r>
      <w:r w:rsidRPr="004218E4">
        <w:rPr>
          <w:rtl/>
        </w:rPr>
        <w:t xml:space="preserve"> </w:t>
      </w:r>
      <w:r w:rsidRPr="004218E4">
        <w:rPr>
          <w:rFonts w:cs="Arial"/>
          <w:u w:val="double"/>
          <w:rtl/>
        </w:rPr>
        <w:t>גמ'</w:t>
      </w:r>
      <w:r w:rsidRPr="004218E4">
        <w:rPr>
          <w:rFonts w:cs="Arial" w:hint="cs"/>
          <w:sz w:val="14"/>
          <w:szCs w:val="14"/>
          <w:u w:val="double"/>
          <w:rtl/>
        </w:rPr>
        <w:t xml:space="preserve"> (ה:)</w:t>
      </w:r>
      <w:r w:rsidRPr="004218E4">
        <w:rPr>
          <w:rFonts w:cs="Arial" w:hint="cs"/>
          <w:u w:val="double"/>
          <w:rtl/>
        </w:rPr>
        <w:t>:</w:t>
      </w:r>
      <w:r w:rsidRPr="004218E4">
        <w:rPr>
          <w:rFonts w:cs="Arial"/>
          <w:rtl/>
        </w:rPr>
        <w:t xml:space="preserve"> </w:t>
      </w:r>
      <w:r w:rsidRPr="004218E4">
        <w:rPr>
          <w:rFonts w:cs="Arial"/>
          <w:u w:val="single"/>
          <w:rtl/>
        </w:rPr>
        <w:t>אמר רבא</w:t>
      </w:r>
      <w:r w:rsidRPr="004218E4">
        <w:rPr>
          <w:rFonts w:cs="Arial"/>
          <w:rtl/>
        </w:rPr>
        <w:t>: והוא, שהעידו כולם בתוך כדי דיבור</w:t>
      </w:r>
      <w:r>
        <w:rPr>
          <w:rStyle w:val="ab"/>
          <w:rFonts w:cs="Arial"/>
          <w:rtl/>
        </w:rPr>
        <w:footnoteReference w:id="2828"/>
      </w:r>
      <w:r w:rsidRPr="004218E4">
        <w:rPr>
          <w:rFonts w:cs="Arial"/>
          <w:rtl/>
        </w:rPr>
        <w:t xml:space="preserve">. </w:t>
      </w:r>
      <w:r w:rsidRPr="004218E4">
        <w:rPr>
          <w:rFonts w:cs="Arial"/>
          <w:u w:val="single"/>
          <w:rtl/>
        </w:rPr>
        <w:t>אמר ליה רב אחא מדפתי לרבינא</w:t>
      </w:r>
      <w:r w:rsidRPr="004218E4">
        <w:rPr>
          <w:rFonts w:cs="Arial"/>
          <w:rtl/>
        </w:rPr>
        <w:t>: מכדי תוך כדי דיבור היכי דמי? כדי שאילת תלמיד לרב, מאה טובא הוו! אמר ליה: כל חד וחד בתוך כדי דיבור של חבירו.</w:t>
      </w:r>
    </w:p>
    <w:p w14:paraId="2F550424" w14:textId="77777777" w:rsidR="004B607F" w:rsidRDefault="004B607F" w:rsidP="004B607F">
      <w:pPr>
        <w:rPr>
          <w:rFonts w:cs="Arial"/>
          <w:rtl/>
        </w:rPr>
      </w:pPr>
      <w:r w:rsidRPr="004132BA">
        <w:rPr>
          <w:rFonts w:cs="Arial" w:hint="cs"/>
          <w:b/>
          <w:bCs/>
          <w:rtl/>
        </w:rPr>
        <w:t xml:space="preserve">סנהדרין </w:t>
      </w:r>
      <w:r w:rsidRPr="004132BA">
        <w:rPr>
          <w:rFonts w:cs="Arial" w:hint="cs"/>
          <w:b/>
          <w:bCs/>
          <w:sz w:val="16"/>
          <w:szCs w:val="16"/>
          <w:rtl/>
        </w:rPr>
        <w:t>(פ' ארבע מיתות)</w:t>
      </w:r>
      <w:r w:rsidRPr="004132BA">
        <w:rPr>
          <w:rFonts w:cs="Arial" w:hint="cs"/>
          <w:b/>
          <w:bCs/>
          <w:rtl/>
        </w:rPr>
        <w:t xml:space="preserve"> </w:t>
      </w:r>
      <w:r>
        <w:rPr>
          <w:rFonts w:cs="Arial" w:hint="cs"/>
          <w:b/>
          <w:bCs/>
          <w:rtl/>
        </w:rPr>
        <w:t>נה</w:t>
      </w:r>
      <w:r>
        <w:rPr>
          <w:rStyle w:val="ab"/>
          <w:rFonts w:cs="Arial"/>
          <w:b/>
          <w:bCs/>
          <w:rtl/>
        </w:rPr>
        <w:footnoteReference w:id="2829"/>
      </w:r>
      <w:r w:rsidRPr="004132BA">
        <w:rPr>
          <w:rFonts w:cs="Arial" w:hint="cs"/>
          <w:b/>
          <w:bCs/>
          <w:rtl/>
        </w:rPr>
        <w:t xml:space="preserve"> ע"</w:t>
      </w:r>
      <w:r>
        <w:rPr>
          <w:rFonts w:cs="Arial" w:hint="cs"/>
          <w:b/>
          <w:bCs/>
          <w:rtl/>
        </w:rPr>
        <w:t>ב</w:t>
      </w:r>
      <w:r w:rsidRPr="004132BA">
        <w:rPr>
          <w:rFonts w:cs="Arial" w:hint="cs"/>
          <w:b/>
          <w:bCs/>
          <w:rtl/>
        </w:rPr>
        <w:t>:</w:t>
      </w:r>
      <w:r w:rsidRPr="004132BA">
        <w:rPr>
          <w:rtl/>
        </w:rPr>
        <w:t xml:space="preserve"> </w:t>
      </w:r>
      <w:r w:rsidRPr="008C7AC2">
        <w:rPr>
          <w:rFonts w:cs="Arial"/>
          <w:u w:val="double"/>
          <w:rtl/>
        </w:rPr>
        <w:t>משנה</w:t>
      </w:r>
      <w:r>
        <w:rPr>
          <w:rFonts w:cs="Arial" w:hint="cs"/>
          <w:u w:val="double"/>
          <w:rtl/>
        </w:rPr>
        <w:t>:</w:t>
      </w:r>
      <w:r w:rsidRPr="004132BA">
        <w:rPr>
          <w:rFonts w:cs="Arial"/>
          <w:rtl/>
        </w:rPr>
        <w:t xml:space="preserve"> המגדף אינו חייב עד שיפרש השם. </w:t>
      </w:r>
      <w:r w:rsidRPr="007D0663">
        <w:rPr>
          <w:rFonts w:cs="Arial"/>
          <w:u w:val="single"/>
          <w:rtl/>
        </w:rPr>
        <w:t>אמר רבי יהושע בן קרחה</w:t>
      </w:r>
      <w:r w:rsidRPr="004132BA">
        <w:rPr>
          <w:rFonts w:cs="Arial"/>
          <w:rtl/>
        </w:rPr>
        <w:t>: בכל יום דנין את העדים בכינוי יכה יוסי את יוסי. נגמר הדין לא הורגין בכינוי, אלא מוציאין כל אדם לחוץ, שואלין את הגדול שביניהן, ואומר לו: אמור מה ששמעת בפירוש, והוא אומר, והדיינין עומדין על רגליהן וקורעין ולא מאחין. והשני אומר: אף אני כמוהו, והשלישי אומר: אף אני כמוהו.</w:t>
      </w:r>
      <w:r>
        <w:rPr>
          <w:rFonts w:cs="Arial" w:hint="cs"/>
          <w:rtl/>
        </w:rPr>
        <w:t xml:space="preserve">..   </w:t>
      </w:r>
      <w:r w:rsidRPr="008C7AC2">
        <w:rPr>
          <w:rFonts w:cs="Arial" w:hint="cs"/>
          <w:u w:val="double"/>
          <w:rtl/>
        </w:rPr>
        <w:t>גמרא</w:t>
      </w:r>
      <w:r w:rsidRPr="008C7AC2">
        <w:rPr>
          <w:rFonts w:cs="Arial" w:hint="cs"/>
          <w:sz w:val="16"/>
          <w:szCs w:val="16"/>
          <w:u w:val="double"/>
          <w:rtl/>
        </w:rPr>
        <w:t xml:space="preserve"> (ס.)</w:t>
      </w:r>
      <w:r w:rsidRPr="008C7AC2">
        <w:rPr>
          <w:rFonts w:cs="Arial" w:hint="cs"/>
          <w:u w:val="double"/>
          <w:rtl/>
        </w:rPr>
        <w:t>:</w:t>
      </w:r>
      <w:r>
        <w:rPr>
          <w:rFonts w:cs="Arial" w:hint="cs"/>
          <w:rtl/>
        </w:rPr>
        <w:t xml:space="preserve"> </w:t>
      </w:r>
      <w:r w:rsidRPr="004C4AFA">
        <w:rPr>
          <w:rFonts w:cs="Arial"/>
          <w:rtl/>
        </w:rPr>
        <w:t xml:space="preserve">השני אומר אף אני כמוהו. </w:t>
      </w:r>
      <w:r w:rsidRPr="004C4AFA">
        <w:rPr>
          <w:rFonts w:cs="Arial"/>
          <w:u w:val="single"/>
          <w:rtl/>
        </w:rPr>
        <w:t>אמר ריש לקיש</w:t>
      </w:r>
      <w:r w:rsidRPr="004C4AFA">
        <w:rPr>
          <w:rFonts w:cs="Arial"/>
          <w:rtl/>
        </w:rPr>
        <w:t>: שמע מינה אף אני כמוהו - כשר בדיני ממונות ובדיני נפשות, ומעלה הוא דעביד רבנן</w:t>
      </w:r>
      <w:r>
        <w:rPr>
          <w:rStyle w:val="ab"/>
          <w:rFonts w:cs="Arial"/>
          <w:rtl/>
        </w:rPr>
        <w:footnoteReference w:id="2830"/>
      </w:r>
      <w:r w:rsidRPr="004C4AFA">
        <w:rPr>
          <w:rFonts w:cs="Arial"/>
          <w:rtl/>
        </w:rPr>
        <w:t xml:space="preserve">, והכא כיון דלא אפשר - אוקמוה רבנן אדאורייתא. </w:t>
      </w:r>
    </w:p>
    <w:p w14:paraId="6B8CA01C" w14:textId="77777777" w:rsidR="004B607F" w:rsidRPr="004C4AFA" w:rsidRDefault="004B607F" w:rsidP="004B607F">
      <w:pPr>
        <w:rPr>
          <w:rFonts w:cs="Arial"/>
          <w:u w:val="single"/>
          <w:rtl/>
        </w:rPr>
      </w:pPr>
      <w:r w:rsidRPr="004C4AFA">
        <w:rPr>
          <w:rFonts w:cs="Arial" w:hint="cs"/>
          <w:u w:val="single"/>
          <w:rtl/>
        </w:rPr>
        <w:t>מספר תנאים שצריכים להתקיים כדי שהעדים הזוממים ילקו/ישלמו:</w:t>
      </w:r>
    </w:p>
    <w:p w14:paraId="0CE73382" w14:textId="77777777" w:rsidR="004B607F" w:rsidRDefault="004B607F" w:rsidP="004B0475">
      <w:pPr>
        <w:pStyle w:val="ac"/>
        <w:numPr>
          <w:ilvl w:val="0"/>
          <w:numId w:val="117"/>
        </w:numPr>
      </w:pPr>
      <w:r w:rsidRPr="00446EC5">
        <w:rPr>
          <w:rFonts w:cs="Arial" w:hint="cs"/>
          <w:rtl/>
        </w:rPr>
        <w:t>טור-</w:t>
      </w:r>
      <w:r w:rsidRPr="00446EC5">
        <w:rPr>
          <w:rFonts w:cs="Arial"/>
          <w:rtl/>
        </w:rPr>
        <w:t xml:space="preserve"> אין העדים זוממין לוקין או משלמין עד שיהו כולם כשרים</w:t>
      </w:r>
      <w:r>
        <w:rPr>
          <w:rStyle w:val="ab"/>
          <w:rFonts w:cs="Arial"/>
          <w:rtl/>
        </w:rPr>
        <w:footnoteReference w:id="2831"/>
      </w:r>
      <w:r w:rsidRPr="00446EC5">
        <w:rPr>
          <w:rFonts w:cs="Arial"/>
          <w:rtl/>
        </w:rPr>
        <w:t xml:space="preserve"> ראוים להעיד</w:t>
      </w:r>
      <w:r w:rsidRPr="00446EC5">
        <w:rPr>
          <w:rFonts w:cs="Arial" w:hint="cs"/>
          <w:rtl/>
        </w:rPr>
        <w:t>,</w:t>
      </w:r>
      <w:r w:rsidRPr="00446EC5">
        <w:rPr>
          <w:rFonts w:cs="Arial"/>
          <w:rtl/>
        </w:rPr>
        <w:t xml:space="preserve"> ויגמר הדין על פיהם</w:t>
      </w:r>
      <w:r w:rsidRPr="00446EC5">
        <w:rPr>
          <w:rFonts w:cs="Arial" w:hint="cs"/>
          <w:rtl/>
        </w:rPr>
        <w:t>,</w:t>
      </w:r>
      <w:r w:rsidRPr="00446EC5">
        <w:rPr>
          <w:rFonts w:cs="Arial"/>
          <w:rtl/>
        </w:rPr>
        <w:t xml:space="preserve"> ויוזמו כולם אפי' מאה</w:t>
      </w:r>
      <w:r w:rsidRPr="00446EC5">
        <w:rPr>
          <w:rFonts w:cs="Arial" w:hint="cs"/>
          <w:rtl/>
        </w:rPr>
        <w:t>,</w:t>
      </w:r>
      <w:r w:rsidRPr="00446EC5">
        <w:rPr>
          <w:rFonts w:cs="Arial"/>
          <w:rtl/>
        </w:rPr>
        <w:t xml:space="preserve"> אע</w:t>
      </w:r>
      <w:r w:rsidRPr="00446EC5">
        <w:rPr>
          <w:rFonts w:cs="Arial" w:hint="cs"/>
          <w:rtl/>
        </w:rPr>
        <w:t>"</w:t>
      </w:r>
      <w:r w:rsidRPr="00446EC5">
        <w:rPr>
          <w:rFonts w:cs="Arial"/>
          <w:rtl/>
        </w:rPr>
        <w:t>פ שהעדות מתקיים אפי' בב' אין חייבין עד שיוזמו כולם</w:t>
      </w:r>
      <w:r w:rsidRPr="00446EC5">
        <w:rPr>
          <w:rFonts w:cs="Arial" w:hint="cs"/>
          <w:rtl/>
        </w:rPr>
        <w:t>,</w:t>
      </w:r>
      <w:r w:rsidRPr="00446EC5">
        <w:rPr>
          <w:rFonts w:cs="Arial"/>
          <w:rtl/>
        </w:rPr>
        <w:t xml:space="preserve"> והוא שהעיד כל אחד ואחד תוך כדי דבור</w:t>
      </w:r>
      <w:r>
        <w:rPr>
          <w:rStyle w:val="ab"/>
          <w:rFonts w:cs="Arial"/>
          <w:rtl/>
        </w:rPr>
        <w:footnoteReference w:id="2832"/>
      </w:r>
      <w:r w:rsidRPr="00446EC5">
        <w:rPr>
          <w:rFonts w:cs="Arial"/>
          <w:rtl/>
        </w:rPr>
        <w:t xml:space="preserve"> של חבירו</w:t>
      </w:r>
      <w:r>
        <w:rPr>
          <w:rFonts w:cs="Arial" w:hint="cs"/>
          <w:rtl/>
        </w:rPr>
        <w:t>,</w:t>
      </w:r>
      <w:r w:rsidRPr="00446EC5">
        <w:rPr>
          <w:rFonts w:cs="Arial"/>
          <w:rtl/>
        </w:rPr>
        <w:t xml:space="preserve"> או שאמר אחר עדות חבירו ואני כמותך</w:t>
      </w:r>
      <w:r>
        <w:rPr>
          <w:rStyle w:val="ab"/>
          <w:rFonts w:cs="Arial"/>
          <w:rtl/>
        </w:rPr>
        <w:footnoteReference w:id="2833"/>
      </w:r>
      <w:r>
        <w:rPr>
          <w:rFonts w:cs="Arial" w:hint="cs"/>
          <w:rtl/>
        </w:rPr>
        <w:t>.</w:t>
      </w:r>
      <w:r w:rsidRPr="00446EC5">
        <w:rPr>
          <w:rFonts w:cs="Arial"/>
          <w:rtl/>
        </w:rPr>
        <w:t xml:space="preserve"> אבל אם יש ביניהם הפסק יותר מכדי דבור </w:t>
      </w:r>
      <w:r>
        <w:rPr>
          <w:rFonts w:cs="Arial" w:hint="cs"/>
          <w:rtl/>
        </w:rPr>
        <w:t xml:space="preserve">- </w:t>
      </w:r>
      <w:r w:rsidRPr="00446EC5">
        <w:rPr>
          <w:rFonts w:cs="Arial"/>
          <w:rtl/>
        </w:rPr>
        <w:t>אז נחלקה העדות</w:t>
      </w:r>
      <w:r>
        <w:rPr>
          <w:rFonts w:cs="Arial" w:hint="cs"/>
          <w:rtl/>
        </w:rPr>
        <w:t>,</w:t>
      </w:r>
      <w:r w:rsidRPr="00446EC5">
        <w:rPr>
          <w:rFonts w:cs="Arial"/>
          <w:rtl/>
        </w:rPr>
        <w:t xml:space="preserve"> והשנים שהוזמו נענשים</w:t>
      </w:r>
      <w:r>
        <w:rPr>
          <w:rFonts w:cs="Arial" w:hint="cs"/>
          <w:rtl/>
        </w:rPr>
        <w:t>,</w:t>
      </w:r>
      <w:r w:rsidRPr="00446EC5">
        <w:rPr>
          <w:rFonts w:cs="Arial"/>
          <w:rtl/>
        </w:rPr>
        <w:t xml:space="preserve"> והאחרונים שהיה הפסק ביניהן ובין דברי הראשונים אינן נענשין</w:t>
      </w:r>
      <w:r>
        <w:rPr>
          <w:rFonts w:cs="Arial" w:hint="cs"/>
          <w:rtl/>
        </w:rPr>
        <w:t>,</w:t>
      </w:r>
      <w:r w:rsidRPr="00446EC5">
        <w:rPr>
          <w:rFonts w:cs="Arial"/>
          <w:rtl/>
        </w:rPr>
        <w:t xml:space="preserve"> אע"פ שכל העדות בטילה</w:t>
      </w:r>
      <w:r w:rsidRPr="00446EC5">
        <w:rPr>
          <w:rFonts w:cs="Arial" w:hint="cs"/>
          <w:rtl/>
        </w:rPr>
        <w:t>.</w:t>
      </w:r>
      <w:r w:rsidRPr="00446EC5">
        <w:rPr>
          <w:rFonts w:cs="Arial"/>
          <w:rtl/>
        </w:rPr>
        <w:t xml:space="preserve"> וכתב הר"ר ישעיה מה שצריך שיעידו כולם בתכ"ד זהו דוקא כשהעידו מאליהם בלא התראת הדיינין לומר להם למיחזי קאתיתו או לאסהודי קא אתיתו</w:t>
      </w:r>
      <w:r>
        <w:rPr>
          <w:rFonts w:cs="Arial" w:hint="cs"/>
          <w:rtl/>
        </w:rPr>
        <w:t>,</w:t>
      </w:r>
      <w:r w:rsidRPr="00446EC5">
        <w:rPr>
          <w:rFonts w:cs="Arial"/>
          <w:rtl/>
        </w:rPr>
        <w:t xml:space="preserve"> אבל אם כשבאו להעיד אמר </w:t>
      </w:r>
      <w:r>
        <w:rPr>
          <w:rFonts w:cs="Arial" w:hint="cs"/>
          <w:rtl/>
        </w:rPr>
        <w:t>'</w:t>
      </w:r>
      <w:r w:rsidRPr="00446EC5">
        <w:rPr>
          <w:rFonts w:cs="Arial"/>
          <w:rtl/>
        </w:rPr>
        <w:t>להעיד כיוננו</w:t>
      </w:r>
      <w:r>
        <w:rPr>
          <w:rFonts w:cs="Arial" w:hint="cs"/>
          <w:rtl/>
        </w:rPr>
        <w:t>'</w:t>
      </w:r>
      <w:r w:rsidRPr="00446EC5">
        <w:rPr>
          <w:rFonts w:cs="Arial"/>
          <w:rtl/>
        </w:rPr>
        <w:t xml:space="preserve"> </w:t>
      </w:r>
      <w:r>
        <w:rPr>
          <w:rFonts w:cs="Arial" w:hint="cs"/>
          <w:rtl/>
        </w:rPr>
        <w:t xml:space="preserve">- </w:t>
      </w:r>
      <w:r w:rsidRPr="00446EC5">
        <w:rPr>
          <w:rFonts w:cs="Arial"/>
          <w:rtl/>
        </w:rPr>
        <w:t>כבר נעשו אגודה אחת</w:t>
      </w:r>
      <w:r>
        <w:rPr>
          <w:rFonts w:cs="Arial" w:hint="cs"/>
          <w:rtl/>
        </w:rPr>
        <w:t>,</w:t>
      </w:r>
      <w:r w:rsidRPr="00446EC5">
        <w:rPr>
          <w:rFonts w:cs="Arial"/>
          <w:rtl/>
        </w:rPr>
        <w:t xml:space="preserve"> בין לענין הזמה דבעינן שיוזמו כולם כאחד</w:t>
      </w:r>
      <w:r>
        <w:rPr>
          <w:rFonts w:cs="Arial" w:hint="cs"/>
          <w:rtl/>
        </w:rPr>
        <w:t>,</w:t>
      </w:r>
      <w:r w:rsidRPr="00446EC5">
        <w:rPr>
          <w:rFonts w:cs="Arial"/>
          <w:rtl/>
        </w:rPr>
        <w:t xml:space="preserve"> בין לענין שאם נמצא אחד מהם קרוב או פסול שעדותן בטלה</w:t>
      </w:r>
      <w:r w:rsidRPr="00446EC5">
        <w:rPr>
          <w:rFonts w:cs="Arial" w:hint="cs"/>
          <w:rtl/>
        </w:rPr>
        <w:t>,</w:t>
      </w:r>
      <w:r w:rsidRPr="00446EC5">
        <w:rPr>
          <w:rFonts w:cs="Arial"/>
          <w:rtl/>
        </w:rPr>
        <w:t xml:space="preserve"> ובלבד שיראו כלם כאחד</w:t>
      </w:r>
      <w:r w:rsidRPr="00446EC5">
        <w:rPr>
          <w:rFonts w:cs="Arial" w:hint="cs"/>
          <w:rtl/>
        </w:rPr>
        <w:t>,</w:t>
      </w:r>
      <w:r w:rsidRPr="00446EC5">
        <w:rPr>
          <w:rFonts w:cs="Arial"/>
          <w:rtl/>
        </w:rPr>
        <w:t xml:space="preserve"> ודוקא בשאר העדים בעינן שיעידו תכ"ד לצרפם עם ב' הראשונים אבל בשנים הראשונים אע</w:t>
      </w:r>
      <w:r w:rsidRPr="00446EC5">
        <w:rPr>
          <w:rFonts w:cs="Arial" w:hint="cs"/>
          <w:rtl/>
        </w:rPr>
        <w:t>"</w:t>
      </w:r>
      <w:r w:rsidRPr="00446EC5">
        <w:rPr>
          <w:rFonts w:cs="Arial"/>
          <w:rtl/>
        </w:rPr>
        <w:t>פ שהפסיקו בין זה לזה אין בכך כלום</w:t>
      </w:r>
      <w:r w:rsidRPr="00446EC5">
        <w:rPr>
          <w:rFonts w:cs="Arial" w:hint="cs"/>
          <w:rtl/>
        </w:rPr>
        <w:t>.</w:t>
      </w:r>
      <w:r w:rsidRPr="00446EC5">
        <w:rPr>
          <w:rFonts w:cs="Arial"/>
          <w:rtl/>
        </w:rPr>
        <w:t xml:space="preserve"> אבל אם לא הוזמו כולם או שהוזמו קודם שנגמר הדין על פיהם או שנמצא אחד מהן קרוב או פסול</w:t>
      </w:r>
      <w:r>
        <w:rPr>
          <w:rFonts w:cs="Arial" w:hint="cs"/>
          <w:rtl/>
        </w:rPr>
        <w:t xml:space="preserve"> -</w:t>
      </w:r>
      <w:r w:rsidRPr="00446EC5">
        <w:rPr>
          <w:rFonts w:cs="Arial"/>
          <w:rtl/>
        </w:rPr>
        <w:t xml:space="preserve"> פטורין</w:t>
      </w:r>
      <w:r w:rsidRPr="00446EC5">
        <w:rPr>
          <w:rFonts w:cs="Arial" w:hint="cs"/>
          <w:rtl/>
        </w:rPr>
        <w:t>.</w:t>
      </w:r>
    </w:p>
    <w:p w14:paraId="1CAFB3E8" w14:textId="77777777" w:rsidR="004B607F" w:rsidRDefault="004B607F" w:rsidP="004B607F">
      <w:pPr>
        <w:rPr>
          <w:rFonts w:cs="Arial"/>
          <w:rtl/>
        </w:rPr>
      </w:pPr>
      <w:r w:rsidRPr="007F09C6">
        <w:rPr>
          <w:rFonts w:cs="Arial"/>
          <w:b/>
          <w:bCs/>
          <w:rtl/>
        </w:rPr>
        <w:t xml:space="preserve">מכות </w:t>
      </w:r>
      <w:r w:rsidRPr="007F09C6">
        <w:rPr>
          <w:rFonts w:cs="Arial"/>
          <w:b/>
          <w:bCs/>
          <w:sz w:val="16"/>
          <w:szCs w:val="16"/>
          <w:rtl/>
        </w:rPr>
        <w:t>(</w:t>
      </w:r>
      <w:r w:rsidRPr="007F09C6">
        <w:rPr>
          <w:rFonts w:cs="Arial" w:hint="cs"/>
          <w:b/>
          <w:bCs/>
          <w:sz w:val="16"/>
          <w:szCs w:val="16"/>
          <w:rtl/>
        </w:rPr>
        <w:t xml:space="preserve">פ"ק) </w:t>
      </w:r>
      <w:r w:rsidRPr="007F09C6">
        <w:rPr>
          <w:rFonts w:cs="Arial"/>
          <w:b/>
          <w:bCs/>
          <w:rtl/>
        </w:rPr>
        <w:t>ה</w:t>
      </w:r>
      <w:r w:rsidRPr="007F09C6">
        <w:rPr>
          <w:rFonts w:cs="Arial" w:hint="cs"/>
          <w:b/>
          <w:bCs/>
          <w:rtl/>
        </w:rPr>
        <w:t xml:space="preserve"> ע"א:</w:t>
      </w:r>
      <w:r w:rsidRPr="00DB5462">
        <w:rPr>
          <w:rtl/>
        </w:rPr>
        <w:t xml:space="preserve"> </w:t>
      </w:r>
      <w:r w:rsidRPr="006548EF">
        <w:rPr>
          <w:rFonts w:cs="Arial"/>
          <w:u w:val="single"/>
          <w:rtl/>
        </w:rPr>
        <w:t>אמר רבא</w:t>
      </w:r>
      <w:r>
        <w:rPr>
          <w:rFonts w:cs="Arial" w:hint="cs"/>
          <w:rtl/>
        </w:rPr>
        <w:t>:</w:t>
      </w:r>
      <w:r w:rsidRPr="004C4AFA">
        <w:rPr>
          <w:rFonts w:cs="Arial"/>
          <w:rtl/>
        </w:rPr>
        <w:t xml:space="preserve"> באו שנים ואמרו במזרח בירה הרג פלוני את הנפש, ובאו שנים ואמרו: והלא במערב בירה עמנו הייתם, חזינן, אי כדקיימי במערב בירה מיחזא חזו למזרח בירה - אין אלו זוממין, ואם לאו - הרי אלו זוממין. פשיטא! מהו דתימא: ליחוש לנהורא בריא, קמשמע לן. </w:t>
      </w:r>
      <w:r w:rsidRPr="006548EF">
        <w:rPr>
          <w:rFonts w:cs="Arial"/>
          <w:u w:val="single"/>
          <w:rtl/>
        </w:rPr>
        <w:t>ואמר רבא</w:t>
      </w:r>
      <w:r>
        <w:rPr>
          <w:rFonts w:cs="Arial" w:hint="cs"/>
          <w:rtl/>
        </w:rPr>
        <w:t>:</w:t>
      </w:r>
      <w:r w:rsidRPr="004C4AFA">
        <w:rPr>
          <w:rFonts w:cs="Arial"/>
          <w:rtl/>
        </w:rPr>
        <w:t xml:space="preserve"> באו שנים ואמרו בסורא בצפרא בחד בשבתא הרג פלוני את הנפש, ובאו שנים ואמרו: בפניא בחד בשבתא עמנו הייתם בנהרדעא, חזינן, אי מצפרא לפניא מצי אזיל מסורא לנהרדעא - לא הוו זוממין, ואי לאו - הוו זוממין. פשיטא! מהו דתימא: ליחוש לגמלא פרחא, קמ"ל. </w:t>
      </w:r>
    </w:p>
    <w:p w14:paraId="1B958F2B" w14:textId="77777777" w:rsidR="004B607F" w:rsidRPr="006548EF" w:rsidRDefault="004B607F" w:rsidP="004B607F">
      <w:pPr>
        <w:rPr>
          <w:u w:val="single"/>
        </w:rPr>
      </w:pPr>
      <w:r>
        <w:rPr>
          <w:rFonts w:hint="cs"/>
          <w:u w:val="single"/>
          <w:rtl/>
        </w:rPr>
        <w:t xml:space="preserve">הזמת עדים ע"י </w:t>
      </w:r>
      <w:r w:rsidRPr="006548EF">
        <w:rPr>
          <w:rFonts w:hint="cs"/>
          <w:u w:val="single"/>
          <w:rtl/>
        </w:rPr>
        <w:t xml:space="preserve">הערכת המצב </w:t>
      </w:r>
      <w:r>
        <w:rPr>
          <w:rFonts w:hint="cs"/>
          <w:u w:val="single"/>
          <w:rtl/>
        </w:rPr>
        <w:t>ב</w:t>
      </w:r>
      <w:r w:rsidRPr="006548EF">
        <w:rPr>
          <w:rFonts w:hint="cs"/>
          <w:u w:val="single"/>
          <w:rtl/>
        </w:rPr>
        <w:t>דר</w:t>
      </w:r>
      <w:r>
        <w:rPr>
          <w:rFonts w:hint="cs"/>
          <w:u w:val="single"/>
          <w:rtl/>
        </w:rPr>
        <w:t>כו</w:t>
      </w:r>
      <w:r w:rsidRPr="006548EF">
        <w:rPr>
          <w:rFonts w:hint="cs"/>
          <w:u w:val="single"/>
          <w:rtl/>
        </w:rPr>
        <w:t xml:space="preserve"> </w:t>
      </w:r>
      <w:r>
        <w:rPr>
          <w:rFonts w:hint="cs"/>
          <w:u w:val="single"/>
          <w:rtl/>
        </w:rPr>
        <w:t xml:space="preserve">של </w:t>
      </w:r>
      <w:r w:rsidRPr="006548EF">
        <w:rPr>
          <w:rFonts w:hint="cs"/>
          <w:u w:val="single"/>
          <w:rtl/>
        </w:rPr>
        <w:t>עולם:</w:t>
      </w:r>
    </w:p>
    <w:p w14:paraId="53A22DD3" w14:textId="77777777" w:rsidR="004B607F" w:rsidRPr="0020096F" w:rsidRDefault="004B607F" w:rsidP="004B0475">
      <w:pPr>
        <w:pStyle w:val="ac"/>
        <w:numPr>
          <w:ilvl w:val="0"/>
          <w:numId w:val="117"/>
        </w:numPr>
      </w:pPr>
      <w:r w:rsidRPr="004C4AFA">
        <w:rPr>
          <w:rFonts w:cs="Arial" w:hint="cs"/>
          <w:rtl/>
        </w:rPr>
        <w:t xml:space="preserve">טור- </w:t>
      </w:r>
      <w:r w:rsidRPr="004C4AFA">
        <w:rPr>
          <w:rFonts w:cs="Arial"/>
          <w:rtl/>
        </w:rPr>
        <w:t>העידו שנים פלוני לוה מפלוני מנה במזרח הבירה</w:t>
      </w:r>
      <w:r>
        <w:rPr>
          <w:rFonts w:cs="Arial" w:hint="cs"/>
          <w:rtl/>
        </w:rPr>
        <w:t>,</w:t>
      </w:r>
      <w:r w:rsidRPr="004C4AFA">
        <w:rPr>
          <w:rFonts w:cs="Arial"/>
          <w:rtl/>
        </w:rPr>
        <w:t xml:space="preserve"> ובאו שנים ואמרו עמנו הייתם במערב הבירה</w:t>
      </w:r>
      <w:r>
        <w:rPr>
          <w:rFonts w:cs="Arial" w:hint="cs"/>
          <w:rtl/>
        </w:rPr>
        <w:t>,</w:t>
      </w:r>
      <w:r w:rsidRPr="004C4AFA">
        <w:rPr>
          <w:rFonts w:cs="Arial"/>
          <w:rtl/>
        </w:rPr>
        <w:t xml:space="preserve"> אם העומד במערב הבירה יכול להביט מה שעושין במזרחה אינן זוממין</w:t>
      </w:r>
      <w:r>
        <w:rPr>
          <w:rFonts w:cs="Arial" w:hint="cs"/>
          <w:rtl/>
        </w:rPr>
        <w:t>,</w:t>
      </w:r>
      <w:r w:rsidRPr="004C4AFA">
        <w:rPr>
          <w:rFonts w:cs="Arial"/>
          <w:rtl/>
        </w:rPr>
        <w:t xml:space="preserve"> ואם לאו זוממין הם</w:t>
      </w:r>
      <w:r>
        <w:rPr>
          <w:rFonts w:cs="Arial" w:hint="cs"/>
          <w:rtl/>
        </w:rPr>
        <w:t>,</w:t>
      </w:r>
      <w:r w:rsidRPr="004C4AFA">
        <w:rPr>
          <w:rFonts w:cs="Arial"/>
          <w:rtl/>
        </w:rPr>
        <w:t xml:space="preserve"> ואין אומרים מאור עיניהם של ראשונים גדול והביטו מרחוק יותר משאר כל אדם. וכן אם אמרו פלוני לוה מפלוני מנה בסוריא ביום פלוני בבקר</w:t>
      </w:r>
      <w:r>
        <w:rPr>
          <w:rFonts w:cs="Arial" w:hint="cs"/>
          <w:rtl/>
        </w:rPr>
        <w:t>,</w:t>
      </w:r>
      <w:r w:rsidRPr="004C4AFA">
        <w:rPr>
          <w:rFonts w:cs="Arial"/>
          <w:rtl/>
        </w:rPr>
        <w:t xml:space="preserve"> ובאו שנים ואמרו באותו יום הייתם עמנו בנהרדעא בערב</w:t>
      </w:r>
      <w:r>
        <w:rPr>
          <w:rFonts w:cs="Arial" w:hint="cs"/>
          <w:rtl/>
        </w:rPr>
        <w:t>,</w:t>
      </w:r>
      <w:r w:rsidRPr="004C4AFA">
        <w:rPr>
          <w:rFonts w:cs="Arial"/>
          <w:rtl/>
        </w:rPr>
        <w:t xml:space="preserve"> אם אדם יכול לרוץ בסוס מסוריא לנהרדעא מבוקר עד ערב אינם זוממין</w:t>
      </w:r>
      <w:r>
        <w:rPr>
          <w:rFonts w:cs="Arial" w:hint="cs"/>
          <w:rtl/>
        </w:rPr>
        <w:t>,</w:t>
      </w:r>
      <w:r w:rsidRPr="004C4AFA">
        <w:rPr>
          <w:rFonts w:cs="Arial"/>
          <w:rtl/>
        </w:rPr>
        <w:t xml:space="preserve"> ואם לאו זוממין הם</w:t>
      </w:r>
      <w:r>
        <w:rPr>
          <w:rFonts w:cs="Arial" w:hint="cs"/>
          <w:rtl/>
        </w:rPr>
        <w:t>,</w:t>
      </w:r>
      <w:r w:rsidRPr="004C4AFA">
        <w:rPr>
          <w:rFonts w:cs="Arial"/>
          <w:rtl/>
        </w:rPr>
        <w:t xml:space="preserve"> ואין אומרים שמא נזדמן להם סוס רץ יותר מבדרך העולם ובאו בו ביום</w:t>
      </w:r>
      <w:r>
        <w:rPr>
          <w:rFonts w:cs="Arial" w:hint="cs"/>
          <w:rtl/>
        </w:rPr>
        <w:t>,</w:t>
      </w:r>
      <w:r w:rsidRPr="004C4AFA">
        <w:rPr>
          <w:rFonts w:cs="Arial"/>
          <w:rtl/>
        </w:rPr>
        <w:t xml:space="preserve"> אלא משערים כפי דרך העולם ולא יותר</w:t>
      </w:r>
      <w:r>
        <w:rPr>
          <w:rFonts w:cs="Arial" w:hint="cs"/>
          <w:rtl/>
        </w:rPr>
        <w:t>.</w:t>
      </w:r>
    </w:p>
    <w:p w14:paraId="0FC4E341" w14:textId="77777777" w:rsidR="004B607F" w:rsidRDefault="004B607F" w:rsidP="004B607F">
      <w:pPr>
        <w:rPr>
          <w:rtl/>
        </w:rPr>
      </w:pPr>
      <w:r w:rsidRPr="007F09C6">
        <w:rPr>
          <w:rFonts w:cs="Arial"/>
          <w:b/>
          <w:bCs/>
          <w:rtl/>
        </w:rPr>
        <w:t xml:space="preserve">מכות </w:t>
      </w:r>
      <w:r w:rsidRPr="007F09C6">
        <w:rPr>
          <w:rFonts w:cs="Arial"/>
          <w:b/>
          <w:bCs/>
          <w:sz w:val="16"/>
          <w:szCs w:val="16"/>
          <w:rtl/>
        </w:rPr>
        <w:t>(</w:t>
      </w:r>
      <w:r w:rsidRPr="007F09C6">
        <w:rPr>
          <w:rFonts w:cs="Arial" w:hint="cs"/>
          <w:b/>
          <w:bCs/>
          <w:sz w:val="16"/>
          <w:szCs w:val="16"/>
          <w:rtl/>
        </w:rPr>
        <w:t xml:space="preserve">פ"ק) </w:t>
      </w:r>
      <w:r>
        <w:rPr>
          <w:rFonts w:cs="Arial" w:hint="cs"/>
          <w:b/>
          <w:bCs/>
          <w:rtl/>
        </w:rPr>
        <w:t>ג</w:t>
      </w:r>
      <w:r w:rsidRPr="007F09C6">
        <w:rPr>
          <w:rFonts w:cs="Arial" w:hint="cs"/>
          <w:b/>
          <w:bCs/>
          <w:rtl/>
        </w:rPr>
        <w:t xml:space="preserve"> ע"א:</w:t>
      </w:r>
      <w:r w:rsidRPr="00DB5462">
        <w:rPr>
          <w:rtl/>
        </w:rPr>
        <w:t xml:space="preserve"> </w:t>
      </w:r>
      <w:r w:rsidRPr="007F09C6">
        <w:rPr>
          <w:rFonts w:cs="Arial"/>
          <w:u w:val="double"/>
          <w:rtl/>
        </w:rPr>
        <w:t>מתני'</w:t>
      </w:r>
      <w:r>
        <w:rPr>
          <w:rFonts w:cs="Arial" w:hint="cs"/>
          <w:rtl/>
        </w:rPr>
        <w:t>:</w:t>
      </w:r>
      <w:r w:rsidRPr="004218E4">
        <w:rPr>
          <w:rFonts w:cs="Arial"/>
          <w:rtl/>
        </w:rPr>
        <w:t xml:space="preserve"> </w:t>
      </w:r>
      <w:r w:rsidRPr="006548EF">
        <w:rPr>
          <w:rFonts w:cs="Arial"/>
          <w:rtl/>
        </w:rPr>
        <w:t xml:space="preserve">מעידין אנו את איש פלוני שגירש את אשתו ולא נתן לה כתובתה, והלא בין היום ובין למחר סופו ליתן לה כתובתה - אומדין כמה אדם רוצה ליתן בכתובתה של זו, שאם נתאלמנה או נתגרשה ואם מתה יירשנה </w:t>
      </w:r>
      <w:r w:rsidRPr="006548EF">
        <w:rPr>
          <w:rFonts w:cs="Arial"/>
          <w:rtl/>
        </w:rPr>
        <w:lastRenderedPageBreak/>
        <w:t>בעלה</w:t>
      </w:r>
      <w:r>
        <w:rPr>
          <w:rStyle w:val="ab"/>
          <w:rFonts w:cs="Arial"/>
          <w:rtl/>
        </w:rPr>
        <w:footnoteReference w:id="2834"/>
      </w:r>
      <w:r w:rsidRPr="006548EF">
        <w:rPr>
          <w:rFonts w:cs="Arial"/>
          <w:rtl/>
        </w:rPr>
        <w:t>.</w:t>
      </w:r>
      <w:r>
        <w:rPr>
          <w:rFonts w:cs="Arial" w:hint="cs"/>
          <w:rtl/>
        </w:rPr>
        <w:t xml:space="preserve">      </w:t>
      </w:r>
      <w:r w:rsidRPr="006548EF">
        <w:rPr>
          <w:rtl/>
        </w:rPr>
        <w:t xml:space="preserve"> </w:t>
      </w:r>
      <w:r w:rsidRPr="006548EF">
        <w:rPr>
          <w:rFonts w:cs="Arial"/>
          <w:u w:val="double"/>
          <w:rtl/>
        </w:rPr>
        <w:t>גמ'</w:t>
      </w:r>
      <w:r>
        <w:rPr>
          <w:rFonts w:cs="Arial" w:hint="cs"/>
          <w:rtl/>
        </w:rPr>
        <w:t>:</w:t>
      </w:r>
      <w:r w:rsidRPr="006548EF">
        <w:rPr>
          <w:rFonts w:cs="Arial"/>
          <w:rtl/>
        </w:rPr>
        <w:t xml:space="preserve"> כיצד שמין</w:t>
      </w:r>
      <w:r>
        <w:rPr>
          <w:rStyle w:val="ab"/>
          <w:rFonts w:cs="Arial"/>
          <w:rtl/>
        </w:rPr>
        <w:footnoteReference w:id="2835"/>
      </w:r>
      <w:r w:rsidRPr="006548EF">
        <w:rPr>
          <w:rFonts w:cs="Arial"/>
          <w:rtl/>
        </w:rPr>
        <w:t xml:space="preserve">? </w:t>
      </w:r>
      <w:r w:rsidRPr="006548EF">
        <w:rPr>
          <w:rFonts w:cs="Arial"/>
          <w:u w:val="single"/>
          <w:rtl/>
        </w:rPr>
        <w:t>אמר רב חסדא</w:t>
      </w:r>
      <w:r w:rsidRPr="006548EF">
        <w:rPr>
          <w:rFonts w:cs="Arial"/>
          <w:rtl/>
        </w:rPr>
        <w:t>: בבעל</w:t>
      </w:r>
      <w:r>
        <w:rPr>
          <w:rStyle w:val="ab"/>
          <w:rFonts w:cs="Arial"/>
          <w:rtl/>
        </w:rPr>
        <w:footnoteReference w:id="2836"/>
      </w:r>
      <w:r>
        <w:rPr>
          <w:rFonts w:cs="Arial" w:hint="cs"/>
          <w:rtl/>
        </w:rPr>
        <w:t>.</w:t>
      </w:r>
      <w:r w:rsidRPr="006548EF">
        <w:rPr>
          <w:rFonts w:cs="Arial"/>
          <w:rtl/>
        </w:rPr>
        <w:t xml:space="preserve"> </w:t>
      </w:r>
      <w:r w:rsidRPr="006548EF">
        <w:rPr>
          <w:rFonts w:cs="Arial"/>
          <w:u w:val="single"/>
          <w:rtl/>
        </w:rPr>
        <w:t>רב נתן בר אושעיא אומר</w:t>
      </w:r>
      <w:r w:rsidRPr="006548EF">
        <w:rPr>
          <w:rFonts w:cs="Arial"/>
          <w:rtl/>
        </w:rPr>
        <w:t>: באשה</w:t>
      </w:r>
      <w:r>
        <w:rPr>
          <w:rStyle w:val="ab"/>
          <w:rFonts w:cs="Arial"/>
          <w:rtl/>
        </w:rPr>
        <w:footnoteReference w:id="2837"/>
      </w:r>
      <w:r w:rsidRPr="006548EF">
        <w:rPr>
          <w:rFonts w:cs="Arial"/>
          <w:rtl/>
        </w:rPr>
        <w:t xml:space="preserve">. </w:t>
      </w:r>
      <w:r w:rsidRPr="006548EF">
        <w:rPr>
          <w:rFonts w:cs="Arial"/>
          <w:u w:val="single"/>
          <w:rtl/>
        </w:rPr>
        <w:t>אמר רב פפא</w:t>
      </w:r>
      <w:r w:rsidRPr="006548EF">
        <w:rPr>
          <w:rFonts w:cs="Arial"/>
          <w:rtl/>
        </w:rPr>
        <w:t>: באשה ובכתובתה</w:t>
      </w:r>
      <w:r>
        <w:rPr>
          <w:rStyle w:val="ab"/>
          <w:rFonts w:cs="Arial"/>
          <w:rtl/>
        </w:rPr>
        <w:footnoteReference w:id="2838"/>
      </w:r>
      <w:r w:rsidRPr="006548EF">
        <w:rPr>
          <w:rFonts w:cs="Arial"/>
          <w:rtl/>
        </w:rPr>
        <w:t>.</w:t>
      </w:r>
      <w:r>
        <w:rPr>
          <w:rFonts w:hint="cs"/>
          <w:rtl/>
        </w:rPr>
        <w:t xml:space="preserve"> </w:t>
      </w:r>
      <w:r w:rsidRPr="000C788D">
        <w:rPr>
          <w:rFonts w:hint="cs"/>
          <w:sz w:val="16"/>
          <w:szCs w:val="16"/>
          <w:rtl/>
        </w:rPr>
        <w:t>(ופסק הטור כרב פפא)</w:t>
      </w:r>
    </w:p>
    <w:p w14:paraId="0F4EE1CC" w14:textId="77777777" w:rsidR="004B607F" w:rsidRPr="000C788D" w:rsidRDefault="004B607F" w:rsidP="004B607F">
      <w:pPr>
        <w:rPr>
          <w:u w:val="single"/>
        </w:rPr>
      </w:pPr>
      <w:r w:rsidRPr="000C788D">
        <w:rPr>
          <w:rFonts w:hint="cs"/>
          <w:u w:val="single"/>
          <w:rtl/>
        </w:rPr>
        <w:t xml:space="preserve">עדים שזממו לחייב איש ליתן כתובה לאשתו </w:t>
      </w:r>
      <w:r w:rsidRPr="000C788D">
        <w:rPr>
          <w:u w:val="single"/>
          <w:rtl/>
        </w:rPr>
        <w:t>–</w:t>
      </w:r>
      <w:r w:rsidRPr="000C788D">
        <w:rPr>
          <w:rFonts w:hint="cs"/>
          <w:u w:val="single"/>
          <w:rtl/>
        </w:rPr>
        <w:t xml:space="preserve"> כיצד שמין את הסכום שעליהם לשלם:</w:t>
      </w:r>
    </w:p>
    <w:p w14:paraId="603916E4" w14:textId="77777777" w:rsidR="004B607F" w:rsidRPr="000C788D" w:rsidRDefault="004B607F" w:rsidP="004B0475">
      <w:pPr>
        <w:pStyle w:val="ac"/>
        <w:numPr>
          <w:ilvl w:val="0"/>
          <w:numId w:val="117"/>
        </w:numPr>
      </w:pPr>
      <w:r w:rsidRPr="0020096F">
        <w:rPr>
          <w:rFonts w:cs="Arial" w:hint="cs"/>
          <w:rtl/>
        </w:rPr>
        <w:t xml:space="preserve">טור- </w:t>
      </w:r>
      <w:r w:rsidRPr="0020096F">
        <w:rPr>
          <w:rFonts w:cs="Arial"/>
          <w:rtl/>
        </w:rPr>
        <w:t>שנים שהעידו באחד שגירש את אישתו ובאו לחייבו ליתן לה כתובתה</w:t>
      </w:r>
      <w:r>
        <w:rPr>
          <w:rFonts w:cs="Arial" w:hint="cs"/>
          <w:rtl/>
        </w:rPr>
        <w:t>,</w:t>
      </w:r>
      <w:r w:rsidRPr="0020096F">
        <w:rPr>
          <w:rFonts w:cs="Arial"/>
          <w:rtl/>
        </w:rPr>
        <w:t xml:space="preserve"> והוזמו</w:t>
      </w:r>
      <w:r>
        <w:rPr>
          <w:rFonts w:cs="Arial" w:hint="cs"/>
          <w:rtl/>
        </w:rPr>
        <w:t>,</w:t>
      </w:r>
      <w:r w:rsidRPr="0020096F">
        <w:rPr>
          <w:rFonts w:cs="Arial"/>
          <w:rtl/>
        </w:rPr>
        <w:t xml:space="preserve"> אין חייבים לפרוע לו כל הכתובה שהרי אף לפי מה שהוזמו נשאר עליו חיוב הכתובה לכשתתאלמן או שתתגרש</w:t>
      </w:r>
      <w:r>
        <w:rPr>
          <w:rFonts w:cs="Arial" w:hint="cs"/>
          <w:rtl/>
        </w:rPr>
        <w:t>,</w:t>
      </w:r>
      <w:r w:rsidRPr="0020096F">
        <w:rPr>
          <w:rFonts w:cs="Arial"/>
          <w:rtl/>
        </w:rPr>
        <w:t xml:space="preserve"> אלא אומדין כמה אדם רוצה ליתן בכתובתה של זאת אם היתה עומדת לגבות מיד ורואין כמה היא שוה מי שבא לקנותה מספק אם תתאלמן או תתגרש</w:t>
      </w:r>
      <w:r>
        <w:rPr>
          <w:rFonts w:cs="Arial" w:hint="cs"/>
          <w:rtl/>
        </w:rPr>
        <w:t>,</w:t>
      </w:r>
      <w:r w:rsidRPr="0020096F">
        <w:rPr>
          <w:rFonts w:cs="Arial"/>
          <w:rtl/>
        </w:rPr>
        <w:t xml:space="preserve"> ומאי דבינו ביני יתנו הם לבעל</w:t>
      </w:r>
      <w:r>
        <w:rPr>
          <w:rFonts w:cs="Arial" w:hint="cs"/>
          <w:rtl/>
        </w:rPr>
        <w:t>,</w:t>
      </w:r>
      <w:r w:rsidRPr="0020096F">
        <w:rPr>
          <w:rFonts w:cs="Arial"/>
          <w:rtl/>
        </w:rPr>
        <w:t xml:space="preserve"> שכל כך באו להפסידו שרצו לחייבו ליתן לה מיד. ושומא זו תלויה באשה שאם היא זקנה או חולה שקרובה למות אז שוה יותר. וכן לענין גירושין אם היא קנטרנית בענין שאין הבעל יכול לסובלה אז קרובה להתגרש יותר</w:t>
      </w:r>
      <w:r>
        <w:rPr>
          <w:rFonts w:cs="Arial" w:hint="cs"/>
          <w:rtl/>
        </w:rPr>
        <w:t>.</w:t>
      </w:r>
      <w:r w:rsidRPr="0020096F">
        <w:rPr>
          <w:rFonts w:cs="Arial"/>
          <w:rtl/>
        </w:rPr>
        <w:t xml:space="preserve"> וגם שמין לפי מה שהיא השדה המיוחדת לכתובתה אם היא עידית או בינונית או זיבורית</w:t>
      </w:r>
      <w:r>
        <w:rPr>
          <w:rFonts w:cs="Arial" w:hint="cs"/>
          <w:rtl/>
        </w:rPr>
        <w:t>.</w:t>
      </w:r>
    </w:p>
    <w:p w14:paraId="0930031F" w14:textId="77777777" w:rsidR="004B607F" w:rsidRDefault="004B607F" w:rsidP="004B607F">
      <w:pPr>
        <w:rPr>
          <w:rtl/>
        </w:rPr>
      </w:pPr>
      <w:r w:rsidRPr="007F09C6">
        <w:rPr>
          <w:rFonts w:cs="Arial"/>
          <w:b/>
          <w:bCs/>
          <w:rtl/>
        </w:rPr>
        <w:t xml:space="preserve">מכות </w:t>
      </w:r>
      <w:r w:rsidRPr="007F09C6">
        <w:rPr>
          <w:rFonts w:cs="Arial"/>
          <w:b/>
          <w:bCs/>
          <w:sz w:val="16"/>
          <w:szCs w:val="16"/>
          <w:rtl/>
        </w:rPr>
        <w:t>(</w:t>
      </w:r>
      <w:r w:rsidRPr="007F09C6">
        <w:rPr>
          <w:rFonts w:cs="Arial" w:hint="cs"/>
          <w:b/>
          <w:bCs/>
          <w:sz w:val="16"/>
          <w:szCs w:val="16"/>
          <w:rtl/>
        </w:rPr>
        <w:t xml:space="preserve">פ"ק) </w:t>
      </w:r>
      <w:r>
        <w:rPr>
          <w:rFonts w:cs="Arial" w:hint="cs"/>
          <w:b/>
          <w:bCs/>
          <w:rtl/>
        </w:rPr>
        <w:t>ג</w:t>
      </w:r>
      <w:r w:rsidRPr="007F09C6">
        <w:rPr>
          <w:rFonts w:cs="Arial" w:hint="cs"/>
          <w:b/>
          <w:bCs/>
          <w:rtl/>
        </w:rPr>
        <w:t xml:space="preserve"> ע"א:</w:t>
      </w:r>
      <w:r w:rsidRPr="00DB5462">
        <w:rPr>
          <w:rtl/>
        </w:rPr>
        <w:t xml:space="preserve"> </w:t>
      </w:r>
      <w:r w:rsidRPr="007F09C6">
        <w:rPr>
          <w:rFonts w:cs="Arial"/>
          <w:u w:val="double"/>
          <w:rtl/>
        </w:rPr>
        <w:t>מתני'</w:t>
      </w:r>
      <w:r>
        <w:rPr>
          <w:rFonts w:cs="Arial" w:hint="cs"/>
          <w:rtl/>
        </w:rPr>
        <w:t>:</w:t>
      </w:r>
      <w:r w:rsidRPr="000C788D">
        <w:rPr>
          <w:rFonts w:cs="Arial"/>
          <w:rtl/>
        </w:rPr>
        <w:t xml:space="preserve"> מעידין אנו באיש פלוני שהוא חייב לחבירו אלף זוז על מנת ליתנן לו מכאן ועד שלשים יום, והוא אומר מכאן ועד עשר שנים - אומדים כמה אדם רוצה ליתן ויהיו בידו אלף זוז, בין נותנן מכאן ועד ל' יום, בין נותנן מכאן ועד עשר שנים.</w:t>
      </w:r>
    </w:p>
    <w:p w14:paraId="11F46B05" w14:textId="77777777" w:rsidR="004B607F" w:rsidRPr="000C788D" w:rsidRDefault="004B607F" w:rsidP="004B607F">
      <w:r w:rsidRPr="000C788D">
        <w:rPr>
          <w:rFonts w:hint="cs"/>
          <w:u w:val="single"/>
          <w:rtl/>
        </w:rPr>
        <w:t>עדים שזממו לחייב איש ל</w:t>
      </w:r>
      <w:r>
        <w:rPr>
          <w:rFonts w:hint="cs"/>
          <w:u w:val="single"/>
          <w:rtl/>
        </w:rPr>
        <w:t xml:space="preserve">החזיר חובו אחר ל' יום ובאמת יש לו חמשה שנים </w:t>
      </w:r>
      <w:r w:rsidRPr="000C788D">
        <w:rPr>
          <w:u w:val="single"/>
          <w:rtl/>
        </w:rPr>
        <w:t>–</w:t>
      </w:r>
      <w:r w:rsidRPr="000C788D">
        <w:rPr>
          <w:rFonts w:hint="cs"/>
          <w:u w:val="single"/>
          <w:rtl/>
        </w:rPr>
        <w:t xml:space="preserve"> כיצד שמין את הסכום שעליהם לשלם:</w:t>
      </w:r>
    </w:p>
    <w:p w14:paraId="68BA5F7A" w14:textId="77777777" w:rsidR="004B607F" w:rsidRDefault="004B607F" w:rsidP="004B0475">
      <w:pPr>
        <w:pStyle w:val="ac"/>
        <w:numPr>
          <w:ilvl w:val="0"/>
          <w:numId w:val="117"/>
        </w:numPr>
        <w:rPr>
          <w:rtl/>
        </w:rPr>
      </w:pPr>
      <w:r w:rsidRPr="000C788D">
        <w:rPr>
          <w:rFonts w:cs="Arial" w:hint="cs"/>
          <w:rtl/>
        </w:rPr>
        <w:t xml:space="preserve">טור- </w:t>
      </w:r>
      <w:r w:rsidRPr="000C788D">
        <w:rPr>
          <w:rFonts w:cs="Arial"/>
          <w:rtl/>
        </w:rPr>
        <w:t>העידו באחד שחייב לחבירו מנה ליתנו לו לאחר שלשים יום</w:t>
      </w:r>
      <w:r>
        <w:rPr>
          <w:rFonts w:cs="Arial" w:hint="cs"/>
          <w:rtl/>
        </w:rPr>
        <w:t>,</w:t>
      </w:r>
      <w:r w:rsidRPr="000C788D">
        <w:rPr>
          <w:rFonts w:cs="Arial"/>
          <w:rtl/>
        </w:rPr>
        <w:t xml:space="preserve"> והוא אומר שאינו חייב ליתנו לו אלא לאחר חמשה שנים</w:t>
      </w:r>
      <w:r>
        <w:rPr>
          <w:rFonts w:cs="Arial" w:hint="cs"/>
          <w:rtl/>
        </w:rPr>
        <w:t>,</w:t>
      </w:r>
      <w:r w:rsidRPr="000C788D">
        <w:rPr>
          <w:rFonts w:cs="Arial"/>
          <w:rtl/>
        </w:rPr>
        <w:t xml:space="preserve"> והוזמו</w:t>
      </w:r>
      <w:r>
        <w:rPr>
          <w:rFonts w:cs="Arial" w:hint="cs"/>
          <w:rtl/>
        </w:rPr>
        <w:t>,</w:t>
      </w:r>
      <w:r w:rsidRPr="000C788D">
        <w:rPr>
          <w:rFonts w:cs="Arial"/>
          <w:rtl/>
        </w:rPr>
        <w:t xml:space="preserve"> אומדים כמה אדם רוצה ליתן וישאר מנה בידו מל' יום ואילך על תשלום חמשה שנים </w:t>
      </w:r>
      <w:r>
        <w:rPr>
          <w:rFonts w:cs="Arial" w:hint="cs"/>
          <w:rtl/>
        </w:rPr>
        <w:t xml:space="preserve">- </w:t>
      </w:r>
      <w:r w:rsidRPr="000C788D">
        <w:rPr>
          <w:rFonts w:cs="Arial"/>
          <w:rtl/>
        </w:rPr>
        <w:t>וכך יתנו לו</w:t>
      </w:r>
      <w:r>
        <w:rPr>
          <w:rFonts w:cs="Arial" w:hint="cs"/>
          <w:rtl/>
        </w:rPr>
        <w:t>.</w:t>
      </w:r>
      <w:r w:rsidRPr="000C788D">
        <w:rPr>
          <w:rFonts w:cs="Arial"/>
          <w:rtl/>
        </w:rPr>
        <w:t xml:space="preserve"> וכן כל כיוצא בזה</w:t>
      </w:r>
      <w:r>
        <w:rPr>
          <w:rFonts w:cs="Arial" w:hint="cs"/>
          <w:rtl/>
        </w:rPr>
        <w:t>.</w:t>
      </w:r>
    </w:p>
    <w:p w14:paraId="50EDC228" w14:textId="77777777" w:rsidR="004B607F" w:rsidRDefault="004B607F" w:rsidP="004B607F">
      <w:pPr>
        <w:rPr>
          <w:rFonts w:cs="Arial"/>
          <w:rtl/>
        </w:rPr>
      </w:pPr>
      <w:r w:rsidRPr="000C788D">
        <w:rPr>
          <w:rFonts w:cs="Arial" w:hint="cs"/>
          <w:b/>
          <w:bCs/>
          <w:rtl/>
        </w:rPr>
        <w:t>בבא בתרא</w:t>
      </w:r>
      <w:r w:rsidRPr="000C788D">
        <w:rPr>
          <w:rFonts w:cs="Arial"/>
          <w:b/>
          <w:bCs/>
          <w:rtl/>
        </w:rPr>
        <w:t xml:space="preserve"> </w:t>
      </w:r>
      <w:r w:rsidRPr="000C788D">
        <w:rPr>
          <w:rFonts w:cs="Arial" w:hint="cs"/>
          <w:b/>
          <w:bCs/>
          <w:sz w:val="16"/>
          <w:szCs w:val="16"/>
          <w:rtl/>
        </w:rPr>
        <w:t>(</w:t>
      </w:r>
      <w:r w:rsidRPr="000C788D">
        <w:rPr>
          <w:rFonts w:cs="Arial"/>
          <w:b/>
          <w:bCs/>
          <w:sz w:val="16"/>
          <w:szCs w:val="16"/>
          <w:rtl/>
        </w:rPr>
        <w:t>פרק חזקת</w:t>
      </w:r>
      <w:r w:rsidRPr="000C788D">
        <w:rPr>
          <w:rFonts w:cs="Arial" w:hint="cs"/>
          <w:b/>
          <w:bCs/>
          <w:sz w:val="16"/>
          <w:szCs w:val="16"/>
          <w:rtl/>
        </w:rPr>
        <w:t>)</w:t>
      </w:r>
      <w:r w:rsidRPr="000C788D">
        <w:rPr>
          <w:rFonts w:cs="Arial"/>
          <w:b/>
          <w:bCs/>
          <w:sz w:val="16"/>
          <w:szCs w:val="16"/>
          <w:rtl/>
        </w:rPr>
        <w:t xml:space="preserve"> </w:t>
      </w:r>
      <w:r w:rsidRPr="000C788D">
        <w:rPr>
          <w:rFonts w:cs="Arial"/>
          <w:b/>
          <w:bCs/>
          <w:rtl/>
        </w:rPr>
        <w:t>נו</w:t>
      </w:r>
      <w:r>
        <w:rPr>
          <w:rStyle w:val="ab"/>
          <w:rFonts w:cs="Arial"/>
          <w:b/>
          <w:bCs/>
          <w:rtl/>
        </w:rPr>
        <w:footnoteReference w:id="2839"/>
      </w:r>
      <w:r w:rsidRPr="000C788D">
        <w:rPr>
          <w:rFonts w:cs="Arial" w:hint="cs"/>
          <w:b/>
          <w:bCs/>
          <w:rtl/>
        </w:rPr>
        <w:t xml:space="preserve"> ע"</w:t>
      </w:r>
      <w:r>
        <w:rPr>
          <w:rFonts w:cs="Arial" w:hint="cs"/>
          <w:b/>
          <w:bCs/>
          <w:rtl/>
        </w:rPr>
        <w:t>א</w:t>
      </w:r>
      <w:r w:rsidRPr="000C788D">
        <w:rPr>
          <w:rFonts w:cs="Arial"/>
          <w:b/>
          <w:bCs/>
          <w:rtl/>
        </w:rPr>
        <w:t>:</w:t>
      </w:r>
      <w:r>
        <w:rPr>
          <w:rFonts w:cs="Arial" w:hint="cs"/>
          <w:rtl/>
        </w:rPr>
        <w:t xml:space="preserve"> </w:t>
      </w:r>
      <w:r w:rsidRPr="00480779">
        <w:rPr>
          <w:rFonts w:cs="Arial"/>
          <w:u w:val="double"/>
          <w:rtl/>
        </w:rPr>
        <w:t>מתני'</w:t>
      </w:r>
      <w:r>
        <w:rPr>
          <w:rFonts w:cs="Arial" w:hint="cs"/>
          <w:rtl/>
        </w:rPr>
        <w:t>:</w:t>
      </w:r>
      <w:r w:rsidRPr="00480779">
        <w:rPr>
          <w:rFonts w:cs="Arial"/>
          <w:rtl/>
        </w:rPr>
        <w:t xml:space="preserve"> היו שנים מעידין אותו שאכלה שלש שנים, ונמצאו זוממים - משלמין לו את הכל. שנים בראשונה, שנים בשניה, ושנים בשלישית </w:t>
      </w:r>
      <w:r>
        <w:rPr>
          <w:rFonts w:cs="Arial"/>
          <w:rtl/>
        </w:rPr>
        <w:t>–</w:t>
      </w:r>
      <w:r>
        <w:rPr>
          <w:rFonts w:cs="Arial" w:hint="cs"/>
          <w:sz w:val="14"/>
          <w:szCs w:val="14"/>
          <w:rtl/>
        </w:rPr>
        <w:t xml:space="preserve"> (נו:)</w:t>
      </w:r>
      <w:r w:rsidRPr="00480779">
        <w:rPr>
          <w:rtl/>
        </w:rPr>
        <w:t xml:space="preserve"> </w:t>
      </w:r>
      <w:r w:rsidRPr="00480779">
        <w:rPr>
          <w:rFonts w:cs="Arial"/>
          <w:rtl/>
        </w:rPr>
        <w:t>משלשין ביניהם. שלשה אחים ואחד מצטרף עמהם - הרי אלו שלש עדיות</w:t>
      </w:r>
      <w:r>
        <w:rPr>
          <w:rStyle w:val="ab"/>
          <w:rFonts w:cs="Arial"/>
          <w:rtl/>
        </w:rPr>
        <w:footnoteReference w:id="2840"/>
      </w:r>
      <w:r w:rsidRPr="00480779">
        <w:rPr>
          <w:rFonts w:cs="Arial"/>
          <w:rtl/>
        </w:rPr>
        <w:t>, והן עדות אחת להזמה</w:t>
      </w:r>
      <w:r>
        <w:rPr>
          <w:rStyle w:val="ab"/>
          <w:rFonts w:cs="Arial"/>
          <w:rtl/>
        </w:rPr>
        <w:footnoteReference w:id="2841"/>
      </w:r>
      <w:r w:rsidRPr="00480779">
        <w:rPr>
          <w:rFonts w:cs="Arial"/>
          <w:rtl/>
        </w:rPr>
        <w:t>.</w:t>
      </w:r>
    </w:p>
    <w:p w14:paraId="4C3E5584" w14:textId="77777777" w:rsidR="004B607F" w:rsidRPr="00480779" w:rsidRDefault="004B607F" w:rsidP="004B607F">
      <w:pPr>
        <w:rPr>
          <w:rFonts w:cs="Arial"/>
          <w:u w:val="single"/>
          <w:rtl/>
        </w:rPr>
      </w:pPr>
      <w:r w:rsidRPr="00480779">
        <w:rPr>
          <w:rFonts w:cs="Arial" w:hint="cs"/>
          <w:u w:val="single"/>
          <w:rtl/>
        </w:rPr>
        <w:t xml:space="preserve">עדים זוממים שהעידו על איש </w:t>
      </w:r>
      <w:r>
        <w:rPr>
          <w:rFonts w:cs="Arial" w:hint="cs"/>
          <w:u w:val="single"/>
          <w:rtl/>
        </w:rPr>
        <w:t>שהחזיק</w:t>
      </w:r>
      <w:r w:rsidRPr="00480779">
        <w:rPr>
          <w:rFonts w:cs="Arial" w:hint="cs"/>
          <w:u w:val="single"/>
          <w:rtl/>
        </w:rPr>
        <w:t xml:space="preserve"> </w:t>
      </w:r>
      <w:r>
        <w:rPr>
          <w:rFonts w:cs="Arial" w:hint="cs"/>
          <w:u w:val="single"/>
          <w:rtl/>
        </w:rPr>
        <w:t>ב</w:t>
      </w:r>
      <w:r w:rsidRPr="00480779">
        <w:rPr>
          <w:rFonts w:cs="Arial" w:hint="cs"/>
          <w:u w:val="single"/>
          <w:rtl/>
        </w:rPr>
        <w:t>שדה</w:t>
      </w:r>
      <w:r>
        <w:rPr>
          <w:rFonts w:cs="Arial" w:hint="cs"/>
          <w:u w:val="single"/>
          <w:rtl/>
        </w:rPr>
        <w:t xml:space="preserve"> חברו</w:t>
      </w:r>
      <w:r w:rsidRPr="00480779">
        <w:rPr>
          <w:rFonts w:cs="Arial" w:hint="cs"/>
          <w:u w:val="single"/>
          <w:rtl/>
        </w:rPr>
        <w:t xml:space="preserve"> ג' שנים:</w:t>
      </w:r>
    </w:p>
    <w:p w14:paraId="0E6392C1" w14:textId="77777777" w:rsidR="004B607F" w:rsidRDefault="004B607F" w:rsidP="004B0475">
      <w:pPr>
        <w:pStyle w:val="ac"/>
        <w:numPr>
          <w:ilvl w:val="0"/>
          <w:numId w:val="117"/>
        </w:numPr>
      </w:pPr>
      <w:r w:rsidRPr="000C788D">
        <w:rPr>
          <w:rFonts w:cs="Arial" w:hint="cs"/>
          <w:rtl/>
        </w:rPr>
        <w:t xml:space="preserve">טור- </w:t>
      </w:r>
      <w:r w:rsidRPr="000C788D">
        <w:rPr>
          <w:rFonts w:cs="Arial"/>
          <w:rtl/>
        </w:rPr>
        <w:t>שנים שהעידו לאחד שהחזיק בשדה חבירו ג' שנים</w:t>
      </w:r>
      <w:r>
        <w:rPr>
          <w:rFonts w:cs="Arial" w:hint="cs"/>
          <w:rtl/>
        </w:rPr>
        <w:t>,</w:t>
      </w:r>
      <w:r w:rsidRPr="000C788D">
        <w:rPr>
          <w:rFonts w:cs="Arial"/>
          <w:rtl/>
        </w:rPr>
        <w:t xml:space="preserve"> והוזמו</w:t>
      </w:r>
      <w:r>
        <w:rPr>
          <w:rFonts w:cs="Arial" w:hint="cs"/>
          <w:rtl/>
        </w:rPr>
        <w:t xml:space="preserve"> -</w:t>
      </w:r>
      <w:r w:rsidRPr="000C788D">
        <w:rPr>
          <w:rFonts w:cs="Arial"/>
          <w:rtl/>
        </w:rPr>
        <w:t xml:space="preserve"> משלמין לבעל השדה כל דמי השדה</w:t>
      </w:r>
      <w:r w:rsidRPr="000C788D">
        <w:rPr>
          <w:rFonts w:cs="Arial" w:hint="cs"/>
          <w:rtl/>
        </w:rPr>
        <w:t xml:space="preserve">. </w:t>
      </w:r>
      <w:r w:rsidRPr="000C788D">
        <w:rPr>
          <w:rFonts w:cs="Arial"/>
          <w:rtl/>
        </w:rPr>
        <w:t>העידו שנים שאכלה שנה ראשונה</w:t>
      </w:r>
      <w:r>
        <w:rPr>
          <w:rFonts w:cs="Arial" w:hint="cs"/>
          <w:rtl/>
        </w:rPr>
        <w:t>,</w:t>
      </w:r>
      <w:r w:rsidRPr="000C788D">
        <w:rPr>
          <w:rFonts w:cs="Arial"/>
          <w:rtl/>
        </w:rPr>
        <w:t xml:space="preserve"> ושנים העידו על שנה שנייה</w:t>
      </w:r>
      <w:r>
        <w:rPr>
          <w:rFonts w:cs="Arial" w:hint="cs"/>
          <w:rtl/>
        </w:rPr>
        <w:t>,</w:t>
      </w:r>
      <w:r w:rsidRPr="000C788D">
        <w:rPr>
          <w:rFonts w:cs="Arial"/>
          <w:rtl/>
        </w:rPr>
        <w:t xml:space="preserve"> ושנים העידו על שנה השלישית</w:t>
      </w:r>
      <w:r>
        <w:rPr>
          <w:rFonts w:cs="Arial" w:hint="cs"/>
          <w:rtl/>
        </w:rPr>
        <w:t>,</w:t>
      </w:r>
      <w:r w:rsidRPr="000C788D">
        <w:rPr>
          <w:rFonts w:cs="Arial"/>
          <w:rtl/>
        </w:rPr>
        <w:t xml:space="preserve"> והוזמו</w:t>
      </w:r>
      <w:r>
        <w:rPr>
          <w:rFonts w:cs="Arial" w:hint="cs"/>
          <w:rtl/>
        </w:rPr>
        <w:t xml:space="preserve"> - </w:t>
      </w:r>
      <w:r w:rsidRPr="000C788D">
        <w:rPr>
          <w:rFonts w:cs="Arial"/>
          <w:rtl/>
        </w:rPr>
        <w:t>משלשין ביניהן כל כת וכת השליש</w:t>
      </w:r>
      <w:r w:rsidRPr="000C788D">
        <w:rPr>
          <w:rFonts w:cs="Arial" w:hint="cs"/>
          <w:rtl/>
        </w:rPr>
        <w:t xml:space="preserve">. </w:t>
      </w:r>
      <w:r w:rsidRPr="000C788D">
        <w:rPr>
          <w:rFonts w:cs="Arial"/>
          <w:rtl/>
        </w:rPr>
        <w:t>לפיכך ג' אחין ואחד מצטרף עם כל אחד ואחד מהם</w:t>
      </w:r>
      <w:r>
        <w:rPr>
          <w:rFonts w:cs="Arial" w:hint="cs"/>
          <w:rtl/>
        </w:rPr>
        <w:t>,</w:t>
      </w:r>
      <w:r w:rsidRPr="000C788D">
        <w:rPr>
          <w:rFonts w:cs="Arial"/>
          <w:rtl/>
        </w:rPr>
        <w:t xml:space="preserve"> והעידו שנה שנה שנה</w:t>
      </w:r>
      <w:r>
        <w:rPr>
          <w:rFonts w:cs="Arial" w:hint="cs"/>
          <w:rtl/>
        </w:rPr>
        <w:t>,</w:t>
      </w:r>
      <w:r w:rsidRPr="000C788D">
        <w:rPr>
          <w:rFonts w:cs="Arial"/>
          <w:rtl/>
        </w:rPr>
        <w:t xml:space="preserve"> הרי אלו שלשה עדיות</w:t>
      </w:r>
      <w:r>
        <w:rPr>
          <w:rFonts w:cs="Arial" w:hint="cs"/>
          <w:rtl/>
        </w:rPr>
        <w:t>,</w:t>
      </w:r>
      <w:r w:rsidRPr="000C788D">
        <w:rPr>
          <w:rFonts w:cs="Arial"/>
          <w:rtl/>
        </w:rPr>
        <w:t xml:space="preserve"> ותתקיים בהם החזקה</w:t>
      </w:r>
      <w:r>
        <w:rPr>
          <w:rFonts w:cs="Arial" w:hint="cs"/>
          <w:rtl/>
        </w:rPr>
        <w:t>,</w:t>
      </w:r>
      <w:r w:rsidRPr="000C788D">
        <w:rPr>
          <w:rFonts w:cs="Arial"/>
          <w:rtl/>
        </w:rPr>
        <w:t xml:space="preserve"> והם כעדות אחת לענין הזמה</w:t>
      </w:r>
      <w:r>
        <w:rPr>
          <w:rFonts w:cs="Arial" w:hint="cs"/>
          <w:rtl/>
        </w:rPr>
        <w:t>,</w:t>
      </w:r>
      <w:r w:rsidRPr="000C788D">
        <w:rPr>
          <w:rFonts w:cs="Arial"/>
          <w:rtl/>
        </w:rPr>
        <w:t xml:space="preserve"> שאם הוזמו כולם שלשת האחים משלמים דמי חצי השדה וזה שנצטרף עם כל אחד ואחד משלם החצי האחר</w:t>
      </w:r>
      <w:r>
        <w:rPr>
          <w:rStyle w:val="ab"/>
          <w:rFonts w:cs="Arial"/>
          <w:rtl/>
        </w:rPr>
        <w:footnoteReference w:id="2842"/>
      </w:r>
      <w:r w:rsidRPr="000C788D">
        <w:rPr>
          <w:rFonts w:cs="Arial" w:hint="cs"/>
          <w:rtl/>
        </w:rPr>
        <w:t>.</w:t>
      </w:r>
    </w:p>
    <w:p w14:paraId="1D01BBE0" w14:textId="77777777" w:rsidR="004B607F" w:rsidRPr="00603336" w:rsidRDefault="004B607F" w:rsidP="004B607F">
      <w:pPr>
        <w:rPr>
          <w:sz w:val="16"/>
          <w:szCs w:val="16"/>
        </w:rPr>
      </w:pPr>
      <w:r w:rsidRPr="00603336">
        <w:rPr>
          <w:rFonts w:hint="cs"/>
          <w:u w:val="single"/>
          <w:rtl/>
        </w:rPr>
        <w:t>הזמת עדים שעידו בשטר:</w:t>
      </w:r>
      <w:r>
        <w:rPr>
          <w:rFonts w:hint="cs"/>
          <w:sz w:val="16"/>
          <w:szCs w:val="16"/>
          <w:rtl/>
        </w:rPr>
        <w:t xml:space="preserve">  (ש"ך סק"ב)</w:t>
      </w:r>
    </w:p>
    <w:p w14:paraId="669137F8" w14:textId="77777777" w:rsidR="004B607F" w:rsidRPr="00603336" w:rsidRDefault="004B607F" w:rsidP="004B0475">
      <w:pPr>
        <w:pStyle w:val="ac"/>
        <w:numPr>
          <w:ilvl w:val="0"/>
          <w:numId w:val="117"/>
        </w:numPr>
      </w:pPr>
      <w:r>
        <w:rPr>
          <w:rFonts w:cs="Arial" w:hint="cs"/>
          <w:rtl/>
        </w:rPr>
        <w:t>(</w:t>
      </w:r>
      <w:r>
        <w:rPr>
          <w:rFonts w:cs="Arial"/>
          <w:rtl/>
        </w:rPr>
        <w:t xml:space="preserve">רי"ף </w:t>
      </w:r>
      <w:r w:rsidRPr="00603336">
        <w:rPr>
          <w:rFonts w:cs="Arial" w:hint="cs"/>
          <w:sz w:val="14"/>
          <w:szCs w:val="14"/>
          <w:rtl/>
        </w:rPr>
        <w:t xml:space="preserve">[פ' מרובה </w:t>
      </w:r>
      <w:r w:rsidRPr="00603336">
        <w:rPr>
          <w:rFonts w:cs="Arial"/>
          <w:sz w:val="14"/>
          <w:szCs w:val="14"/>
          <w:rtl/>
        </w:rPr>
        <w:t>ב"ק כח</w:t>
      </w:r>
      <w:r w:rsidRPr="00603336">
        <w:rPr>
          <w:rFonts w:cs="Arial" w:hint="cs"/>
          <w:sz w:val="14"/>
          <w:szCs w:val="14"/>
          <w:rtl/>
        </w:rPr>
        <w:t>:]</w:t>
      </w:r>
      <w:r>
        <w:rPr>
          <w:rFonts w:cs="Arial" w:hint="cs"/>
          <w:sz w:val="16"/>
          <w:szCs w:val="16"/>
          <w:rtl/>
        </w:rPr>
        <w:t xml:space="preserve"> להב' הר"ן</w:t>
      </w:r>
      <w:r>
        <w:rPr>
          <w:rStyle w:val="ab"/>
          <w:rFonts w:cs="Arial"/>
          <w:sz w:val="16"/>
          <w:szCs w:val="16"/>
          <w:rtl/>
        </w:rPr>
        <w:footnoteReference w:id="2843"/>
      </w:r>
      <w:r>
        <w:rPr>
          <w:rFonts w:cs="Arial" w:hint="cs"/>
          <w:rtl/>
        </w:rPr>
        <w:t>)</w:t>
      </w:r>
      <w:r w:rsidRPr="00603336">
        <w:rPr>
          <w:rFonts w:cs="Arial"/>
          <w:rtl/>
        </w:rPr>
        <w:t xml:space="preserve"> </w:t>
      </w:r>
      <w:r>
        <w:rPr>
          <w:rFonts w:cs="Arial" w:hint="cs"/>
          <w:rtl/>
        </w:rPr>
        <w:t>ו</w:t>
      </w:r>
      <w:r>
        <w:rPr>
          <w:rFonts w:cs="Arial"/>
          <w:rtl/>
        </w:rPr>
        <w:t xml:space="preserve">ר"ן </w:t>
      </w:r>
      <w:r w:rsidRPr="00603336">
        <w:rPr>
          <w:rFonts w:cs="Arial" w:hint="cs"/>
          <w:sz w:val="16"/>
          <w:szCs w:val="16"/>
          <w:rtl/>
        </w:rPr>
        <w:t xml:space="preserve">(ספ"ב </w:t>
      </w:r>
      <w:r w:rsidRPr="00603336">
        <w:rPr>
          <w:rFonts w:cs="Arial"/>
          <w:sz w:val="16"/>
          <w:szCs w:val="16"/>
          <w:rtl/>
        </w:rPr>
        <w:t>דכתובות יב</w:t>
      </w:r>
      <w:r w:rsidRPr="00603336">
        <w:rPr>
          <w:rFonts w:cs="Arial" w:hint="cs"/>
          <w:sz w:val="16"/>
          <w:szCs w:val="16"/>
          <w:rtl/>
        </w:rPr>
        <w:t>:</w:t>
      </w:r>
      <w:r w:rsidRPr="00603336">
        <w:rPr>
          <w:rFonts w:cs="Arial"/>
          <w:sz w:val="16"/>
          <w:szCs w:val="16"/>
          <w:rtl/>
        </w:rPr>
        <w:t xml:space="preserve"> מדפ</w:t>
      </w:r>
      <w:r w:rsidRPr="00603336">
        <w:rPr>
          <w:rFonts w:cs="Arial" w:hint="cs"/>
          <w:sz w:val="16"/>
          <w:szCs w:val="16"/>
          <w:rtl/>
        </w:rPr>
        <w:t>ה"ר)</w:t>
      </w:r>
      <w:r>
        <w:rPr>
          <w:rFonts w:cs="Arial" w:hint="cs"/>
          <w:rtl/>
        </w:rPr>
        <w:t>-</w:t>
      </w:r>
      <w:r>
        <w:rPr>
          <w:rFonts w:cs="Arial"/>
          <w:rtl/>
        </w:rPr>
        <w:t xml:space="preserve"> בשטר נמי איכא הזמה כל שכתוב בו שנכתב בזמנו.</w:t>
      </w:r>
    </w:p>
    <w:p w14:paraId="6C1D1CC0" w14:textId="77777777" w:rsidR="004B607F" w:rsidRDefault="004B607F" w:rsidP="004B0475">
      <w:pPr>
        <w:pStyle w:val="ac"/>
        <w:numPr>
          <w:ilvl w:val="0"/>
          <w:numId w:val="117"/>
        </w:numPr>
      </w:pPr>
      <w:r>
        <w:rPr>
          <w:rFonts w:cs="Arial"/>
          <w:rtl/>
        </w:rPr>
        <w:lastRenderedPageBreak/>
        <w:t>רז"ה</w:t>
      </w:r>
      <w:r>
        <w:rPr>
          <w:rFonts w:cs="Arial" w:hint="cs"/>
          <w:sz w:val="16"/>
          <w:szCs w:val="16"/>
          <w:rtl/>
        </w:rPr>
        <w:t xml:space="preserve"> (הביאו הר"ן)</w:t>
      </w:r>
      <w:r>
        <w:rPr>
          <w:rFonts w:cs="Arial" w:hint="cs"/>
          <w:rtl/>
        </w:rPr>
        <w:t xml:space="preserve">- </w:t>
      </w:r>
      <w:r>
        <w:rPr>
          <w:rFonts w:cs="Arial"/>
          <w:rtl/>
        </w:rPr>
        <w:t>בעדות בע"פ הוא דאיכא הזמה אבל לא בעדות בשטר לעולם</w:t>
      </w:r>
      <w:r>
        <w:rPr>
          <w:rStyle w:val="ab"/>
          <w:rFonts w:cs="Arial"/>
          <w:rtl/>
        </w:rPr>
        <w:footnoteReference w:id="2844"/>
      </w:r>
      <w:r>
        <w:rPr>
          <w:rFonts w:cs="Arial" w:hint="cs"/>
          <w:rtl/>
        </w:rPr>
        <w:t>.</w:t>
      </w:r>
      <w:r>
        <w:rPr>
          <w:rFonts w:cs="Arial"/>
          <w:rtl/>
        </w:rPr>
        <w:t xml:space="preserve"> </w:t>
      </w:r>
      <w:r>
        <w:rPr>
          <w:rFonts w:hint="cs"/>
          <w:rtl/>
        </w:rPr>
        <w:t>(וכ"פ הש"ך)</w:t>
      </w:r>
    </w:p>
    <w:p w14:paraId="33E4F507" w14:textId="77777777" w:rsidR="004B607F" w:rsidRPr="003024E5" w:rsidRDefault="004B607F" w:rsidP="004B607F">
      <w:pPr>
        <w:rPr>
          <w:rFonts w:asciiTheme="minorBidi" w:hAnsiTheme="minorBidi"/>
          <w:b/>
          <w:bCs/>
          <w:color w:val="000000"/>
          <w:sz w:val="28"/>
          <w:szCs w:val="28"/>
          <w:u w:val="single"/>
          <w:rtl/>
        </w:rPr>
      </w:pPr>
      <w:r w:rsidRPr="003024E5">
        <w:rPr>
          <w:rFonts w:asciiTheme="minorBidi" w:hAnsiTheme="minorBidi"/>
          <w:b/>
          <w:bCs/>
          <w:color w:val="000000"/>
          <w:sz w:val="28"/>
          <w:szCs w:val="28"/>
          <w:u w:val="single"/>
          <w:rtl/>
        </w:rPr>
        <w:t>שו"ע:</w:t>
      </w:r>
    </w:p>
    <w:p w14:paraId="7198CA02" w14:textId="77777777" w:rsidR="003850F1" w:rsidRDefault="004B607F" w:rsidP="003850F1">
      <w:pPr>
        <w:rPr>
          <w:rFonts w:cs="Arial"/>
          <w:sz w:val="18"/>
          <w:szCs w:val="18"/>
          <w:rtl/>
        </w:rPr>
      </w:pPr>
      <w:r>
        <w:rPr>
          <w:rFonts w:cs="Arial"/>
          <w:rtl/>
        </w:rPr>
        <w:t>שנים שהעידו באחד שחייב לפלוני מנה, ובאו שנים והכחישום או הזימום, הרי זה פטור. עדים שהעידו בבית דין באחד שחייב לחבירו מנה, ואחר כך אמרו: שקר העדנו, עדותם הראשונה קיימת, דכיון שהגיד שוב אינו חוזר ומגיד</w:t>
      </w:r>
      <w:r>
        <w:rPr>
          <w:rFonts w:cs="Arial" w:hint="cs"/>
          <w:rtl/>
        </w:rPr>
        <w:t>,</w:t>
      </w:r>
      <w:r>
        <w:rPr>
          <w:rFonts w:cs="Arial"/>
          <w:rtl/>
        </w:rPr>
        <w:t xml:space="preserve"> אבל נאמנים לגבי עצמם, לשלם לו כל מה שהפסידוהו</w:t>
      </w:r>
      <w:r>
        <w:rPr>
          <w:rStyle w:val="ab"/>
          <w:rFonts w:cs="Arial"/>
          <w:rtl/>
        </w:rPr>
        <w:footnoteReference w:id="2845"/>
      </w:r>
      <w:r>
        <w:rPr>
          <w:rFonts w:cs="Arial"/>
          <w:rtl/>
        </w:rPr>
        <w:t xml:space="preserve">. </w:t>
      </w:r>
      <w:r w:rsidRPr="00B74041">
        <w:rPr>
          <w:rFonts w:cs="Arial"/>
          <w:sz w:val="18"/>
          <w:szCs w:val="18"/>
          <w:rtl/>
        </w:rPr>
        <w:t>הגה: הרב המחבר קצר כאן במקום שהיה לו להאריך, כי אע</w:t>
      </w:r>
      <w:r>
        <w:rPr>
          <w:rFonts w:cs="Arial" w:hint="cs"/>
          <w:sz w:val="18"/>
          <w:szCs w:val="18"/>
          <w:rtl/>
        </w:rPr>
        <w:t>"</w:t>
      </w:r>
      <w:r w:rsidRPr="00B74041">
        <w:rPr>
          <w:rFonts w:cs="Arial"/>
          <w:sz w:val="18"/>
          <w:szCs w:val="18"/>
          <w:rtl/>
        </w:rPr>
        <w:t>פ שאין דנין דין עדים זוממים האידנא, משום שהוא קנס, מ</w:t>
      </w:r>
      <w:r>
        <w:rPr>
          <w:rFonts w:cs="Arial" w:hint="cs"/>
          <w:sz w:val="18"/>
          <w:szCs w:val="18"/>
          <w:rtl/>
        </w:rPr>
        <w:t>"מ</w:t>
      </w:r>
      <w:r w:rsidRPr="00B74041">
        <w:rPr>
          <w:rFonts w:cs="Arial"/>
          <w:sz w:val="18"/>
          <w:szCs w:val="18"/>
          <w:rtl/>
        </w:rPr>
        <w:t xml:space="preserve"> איכא נפקותא, דעד זומם פסול להעיד</w:t>
      </w:r>
      <w:r>
        <w:rPr>
          <w:rStyle w:val="ab"/>
          <w:rFonts w:cs="Arial"/>
          <w:sz w:val="18"/>
          <w:szCs w:val="18"/>
          <w:rtl/>
        </w:rPr>
        <w:footnoteReference w:id="2846"/>
      </w:r>
      <w:r w:rsidRPr="00B74041">
        <w:rPr>
          <w:rFonts w:cs="Arial"/>
          <w:sz w:val="18"/>
          <w:szCs w:val="18"/>
          <w:rtl/>
        </w:rPr>
        <w:t>, כמו שנתבאר לעיל סימן ל"ד, ועידי הכחשה כשרים, כמו שנתבאר לעיל סימן ל"א. ועל כן כתב בעל הטור הרבה דינים מעדים זוממים, והרוצה לעמוד עליהם יעיין שם</w:t>
      </w:r>
      <w:bookmarkEnd w:id="2"/>
      <w:r w:rsidR="003850F1">
        <w:rPr>
          <w:rFonts w:cs="Arial" w:hint="cs"/>
          <w:sz w:val="18"/>
          <w:szCs w:val="18"/>
          <w:rtl/>
        </w:rPr>
        <w:t>.</w:t>
      </w:r>
    </w:p>
    <w:p w14:paraId="0D8A9EF9" w14:textId="77777777" w:rsidR="001D49D4" w:rsidRDefault="001D49D4" w:rsidP="001D49D4">
      <w:pPr>
        <w:rPr>
          <w:rFonts w:ascii="Calibri" w:eastAsia="Calibri" w:hAnsi="Calibri" w:cs="Arial"/>
          <w:b/>
          <w:bCs/>
          <w:sz w:val="40"/>
          <w:szCs w:val="40"/>
          <w:u w:val="single"/>
          <w:rtl/>
        </w:rPr>
        <w:sectPr w:rsidR="001D49D4">
          <w:footnotePr>
            <w:numRestart w:val="eachPage"/>
          </w:footnotePr>
          <w:pgSz w:w="11906" w:h="16838"/>
          <w:pgMar w:top="720" w:right="1134" w:bottom="720" w:left="1134" w:header="454" w:footer="0" w:gutter="0"/>
          <w:cols w:space="720"/>
          <w:bidi/>
          <w:rtlGutter/>
        </w:sectPr>
      </w:pPr>
    </w:p>
    <w:p w14:paraId="1A016DD5" w14:textId="77777777" w:rsidR="001D49D4" w:rsidRPr="001D49D4" w:rsidRDefault="001D49D4" w:rsidP="001D49D4">
      <w:pPr>
        <w:rPr>
          <w:rFonts w:ascii="Calibri" w:eastAsia="Calibri" w:hAnsi="Calibri" w:cs="Arial"/>
          <w:b/>
          <w:bCs/>
          <w:sz w:val="40"/>
          <w:szCs w:val="40"/>
          <w:u w:val="single"/>
          <w:rtl/>
        </w:rPr>
      </w:pPr>
      <w:r w:rsidRPr="001D49D4">
        <w:rPr>
          <w:rFonts w:ascii="Calibri" w:eastAsia="Calibri" w:hAnsi="Calibri" w:cs="Arial"/>
          <w:b/>
          <w:bCs/>
          <w:sz w:val="40"/>
          <w:szCs w:val="40"/>
          <w:u w:val="single"/>
          <w:rtl/>
        </w:rPr>
        <w:lastRenderedPageBreak/>
        <w:t xml:space="preserve">הלכות הלואה </w:t>
      </w:r>
      <w:r w:rsidRPr="001D49D4">
        <w:rPr>
          <w:rFonts w:ascii="Calibri" w:eastAsia="Calibri" w:hAnsi="Calibri" w:cs="Arial"/>
          <w:b/>
          <w:bCs/>
          <w:sz w:val="18"/>
          <w:szCs w:val="18"/>
          <w:u w:val="single"/>
          <w:rtl/>
        </w:rPr>
        <w:t xml:space="preserve">(סימנים לט - </w:t>
      </w:r>
      <w:r>
        <w:rPr>
          <w:rFonts w:ascii="Calibri" w:eastAsia="Calibri" w:hAnsi="Calibri" w:cs="Arial" w:hint="cs"/>
          <w:b/>
          <w:bCs/>
          <w:sz w:val="18"/>
          <w:szCs w:val="18"/>
          <w:u w:val="single"/>
          <w:rtl/>
        </w:rPr>
        <w:t>עד</w:t>
      </w:r>
      <w:r w:rsidRPr="001D49D4">
        <w:rPr>
          <w:rFonts w:ascii="Calibri" w:eastAsia="Calibri" w:hAnsi="Calibri" w:cs="Arial"/>
          <w:b/>
          <w:bCs/>
          <w:sz w:val="18"/>
          <w:szCs w:val="18"/>
          <w:u w:val="single"/>
          <w:rtl/>
        </w:rPr>
        <w:t>)</w:t>
      </w:r>
      <w:r w:rsidRPr="001D49D4">
        <w:rPr>
          <w:rFonts w:ascii="Calibri" w:eastAsia="Calibri" w:hAnsi="Calibri" w:cs="Arial"/>
          <w:b/>
          <w:bCs/>
          <w:sz w:val="40"/>
          <w:szCs w:val="40"/>
          <w:u w:val="single"/>
          <w:rtl/>
        </w:rPr>
        <w:t>:</w:t>
      </w:r>
    </w:p>
    <w:p w14:paraId="43DF40C5" w14:textId="77777777" w:rsidR="001D49D4" w:rsidRPr="001D49D4" w:rsidRDefault="001D49D4" w:rsidP="001D49D4">
      <w:pPr>
        <w:keepNext/>
        <w:keepLines/>
        <w:spacing w:before="480" w:after="0"/>
        <w:outlineLvl w:val="0"/>
        <w:rPr>
          <w:rFonts w:ascii="Cambria" w:eastAsia="Times New Roman" w:hAnsi="Cambria" w:cs="Arial"/>
          <w:b/>
          <w:bCs/>
          <w:color w:val="365F91" w:themeColor="accent1" w:themeShade="BF"/>
          <w:sz w:val="28"/>
          <w:szCs w:val="28"/>
          <w:rtl/>
        </w:rPr>
      </w:pPr>
      <w:bookmarkStart w:id="384" w:name="_Toc24883826"/>
      <w:r w:rsidRPr="001D49D4">
        <w:rPr>
          <w:rFonts w:ascii="Cambria" w:eastAsia="Times New Roman" w:hAnsi="Cambria" w:cs="Arial"/>
          <w:b/>
          <w:bCs/>
          <w:color w:val="365F91" w:themeColor="accent1" w:themeShade="BF"/>
          <w:sz w:val="28"/>
          <w:szCs w:val="28"/>
          <w:rtl/>
        </w:rPr>
        <w:t>סימן לט: כותבין שטר ללוה בלא מלוה, ועל איזה הודאה כותבין, ובו י"ז סעיפים.</w:t>
      </w:r>
      <w:bookmarkEnd w:id="384"/>
      <w:r w:rsidRPr="001D49D4">
        <w:rPr>
          <w:rFonts w:ascii="Cambria" w:eastAsia="Times New Roman" w:hAnsi="Cambria" w:cs="Arial"/>
          <w:b/>
          <w:bCs/>
          <w:color w:val="365F91" w:themeColor="accent1" w:themeShade="BF"/>
          <w:sz w:val="28"/>
          <w:szCs w:val="28"/>
          <w:rtl/>
        </w:rPr>
        <w:t xml:space="preserve"> </w:t>
      </w:r>
    </w:p>
    <w:p w14:paraId="66C4AED7" w14:textId="77777777" w:rsidR="001D49D4" w:rsidRPr="001D49D4" w:rsidRDefault="001D49D4" w:rsidP="001D49D4">
      <w:pPr>
        <w:keepNext/>
        <w:keepLines/>
        <w:spacing w:before="40" w:after="0"/>
        <w:outlineLvl w:val="1"/>
        <w:rPr>
          <w:rFonts w:ascii="Cambria" w:eastAsia="Times New Roman" w:hAnsi="Cambria" w:cs="Arial"/>
          <w:bCs/>
          <w:color w:val="548DD4" w:themeColor="text2" w:themeTint="99"/>
          <w:sz w:val="26"/>
          <w:szCs w:val="26"/>
          <w:rtl/>
        </w:rPr>
      </w:pPr>
      <w:bookmarkStart w:id="385" w:name="_Toc24883827"/>
      <w:r w:rsidRPr="001D49D4">
        <w:rPr>
          <w:rFonts w:ascii="Cambria" w:eastAsia="Times New Roman" w:hAnsi="Cambria" w:cs="Arial"/>
          <w:bCs/>
          <w:color w:val="548DD4" w:themeColor="text2" w:themeTint="99"/>
          <w:sz w:val="26"/>
          <w:szCs w:val="26"/>
          <w:rtl/>
        </w:rPr>
        <w:t>סעיף א: מתי גובה המלוה מנכסים משועבדים ומתי מבני חורין.</w:t>
      </w:r>
      <w:bookmarkEnd w:id="385"/>
    </w:p>
    <w:p w14:paraId="22744FD0" w14:textId="77777777" w:rsidR="001D49D4" w:rsidRPr="001D49D4" w:rsidRDefault="001D49D4" w:rsidP="0004348D">
      <w:pPr>
        <w:spacing w:before="360" w:after="240"/>
        <w:rPr>
          <w:rFonts w:ascii="Calibri" w:eastAsia="Calibri" w:hAnsi="Calibri" w:cs="Arial"/>
          <w:sz w:val="14"/>
          <w:szCs w:val="14"/>
          <w:rtl/>
        </w:rPr>
      </w:pPr>
      <w:r w:rsidRPr="001D49D4">
        <w:rPr>
          <w:rFonts w:ascii="Calibri" w:eastAsia="Calibri" w:hAnsi="Calibri" w:cs="Arial"/>
          <w:b/>
          <w:bCs/>
          <w:rtl/>
        </w:rPr>
        <w:t xml:space="preserve">בבא בתרא </w:t>
      </w:r>
      <w:r w:rsidRPr="001D49D4">
        <w:rPr>
          <w:rFonts w:ascii="Calibri" w:eastAsia="Calibri" w:hAnsi="Calibri" w:cs="Arial"/>
          <w:b/>
          <w:bCs/>
          <w:sz w:val="16"/>
          <w:szCs w:val="16"/>
          <w:rtl/>
        </w:rPr>
        <w:t xml:space="preserve">(פרק בתרא) </w:t>
      </w:r>
      <w:r w:rsidRPr="001D49D4">
        <w:rPr>
          <w:rFonts w:ascii="Calibri" w:eastAsia="Calibri" w:hAnsi="Calibri" w:cs="Arial"/>
          <w:b/>
          <w:bCs/>
          <w:rtl/>
        </w:rPr>
        <w:t>קעה</w:t>
      </w:r>
      <w:r w:rsidRPr="001D49D4">
        <w:rPr>
          <w:rFonts w:ascii="Calibri" w:eastAsia="Calibri" w:hAnsi="Calibri" w:cs="Arial"/>
          <w:b/>
          <w:bCs/>
          <w:vertAlign w:val="superscript"/>
          <w:rtl/>
        </w:rPr>
        <w:footnoteReference w:id="2847"/>
      </w:r>
      <w:r w:rsidRPr="001D49D4">
        <w:rPr>
          <w:rFonts w:ascii="Calibri" w:eastAsia="Calibri" w:hAnsi="Calibri" w:cs="Arial"/>
          <w:b/>
          <w:bCs/>
          <w:rtl/>
        </w:rPr>
        <w:t xml:space="preserve"> ע"א: </w:t>
      </w:r>
      <w:r w:rsidRPr="001D49D4">
        <w:rPr>
          <w:rFonts w:ascii="Calibri" w:eastAsia="Calibri" w:hAnsi="Calibri" w:cs="Arial"/>
          <w:u w:val="double"/>
          <w:rtl/>
        </w:rPr>
        <w:t>מתני'</w:t>
      </w:r>
      <w:r w:rsidRPr="001D49D4">
        <w:rPr>
          <w:rFonts w:ascii="Calibri" w:eastAsia="Calibri" w:hAnsi="Calibri" w:cs="Arial"/>
          <w:rtl/>
        </w:rPr>
        <w:t>: המלוה את חבירו בשטר - גובה מנכסים משועבדים</w:t>
      </w:r>
      <w:r w:rsidRPr="001D49D4">
        <w:rPr>
          <w:rFonts w:ascii="Calibri" w:eastAsia="Calibri" w:hAnsi="Calibri" w:cs="Arial"/>
          <w:vertAlign w:val="superscript"/>
          <w:rtl/>
        </w:rPr>
        <w:footnoteReference w:id="2848"/>
      </w:r>
      <w:r w:rsidRPr="001D49D4">
        <w:rPr>
          <w:rFonts w:ascii="Calibri" w:eastAsia="Calibri" w:hAnsi="Calibri" w:cs="Arial"/>
          <w:rtl/>
        </w:rPr>
        <w:t>, על ידי עדים - גובין מנכסים בני חורין.</w:t>
      </w:r>
      <w:r w:rsidRPr="001D49D4">
        <w:rPr>
          <w:rFonts w:ascii="Calibri" w:eastAsia="Calibri" w:hAnsi="Calibri" w:cs="Arial"/>
          <w:sz w:val="14"/>
          <w:szCs w:val="14"/>
          <w:rtl/>
        </w:rPr>
        <w:t xml:space="preserve"> (קעה:) </w:t>
      </w:r>
      <w:r w:rsidRPr="001D49D4">
        <w:rPr>
          <w:rFonts w:ascii="Calibri" w:eastAsia="Calibri" w:hAnsi="Calibri" w:cs="Arial"/>
          <w:rtl/>
        </w:rPr>
        <w:t xml:space="preserve">הוציא עליו כתב ידו שהוא חייב לו - גובה מנכסים בני חורין...        </w:t>
      </w:r>
      <w:r w:rsidRPr="001D49D4">
        <w:rPr>
          <w:rFonts w:ascii="Calibri" w:eastAsia="Calibri" w:hAnsi="Calibri" w:cs="Arial"/>
          <w:u w:val="double"/>
          <w:rtl/>
        </w:rPr>
        <w:t>גמ'</w:t>
      </w:r>
      <w:r w:rsidRPr="001D49D4">
        <w:rPr>
          <w:rFonts w:ascii="Calibri" w:eastAsia="Calibri" w:hAnsi="Calibri" w:cs="Arial"/>
          <w:rtl/>
        </w:rPr>
        <w:t xml:space="preserve">: </w:t>
      </w:r>
      <w:r w:rsidRPr="001D49D4">
        <w:rPr>
          <w:rFonts w:ascii="Calibri" w:eastAsia="Calibri" w:hAnsi="Calibri" w:cs="Arial"/>
          <w:u w:val="single"/>
          <w:rtl/>
        </w:rPr>
        <w:t>אמר עולא</w:t>
      </w:r>
      <w:r w:rsidRPr="001D49D4">
        <w:rPr>
          <w:rFonts w:ascii="Calibri" w:eastAsia="Calibri" w:hAnsi="Calibri" w:cs="Arial"/>
          <w:rtl/>
        </w:rPr>
        <w:t>: דבר תורה, אחד מלוה בשטר ואחד מלוה ע"פ - גובה מנכסים משועבדים, מאי טעמא? שעבודא דאורייתא</w:t>
      </w:r>
      <w:r w:rsidRPr="001D49D4">
        <w:rPr>
          <w:rFonts w:ascii="Calibri" w:eastAsia="Calibri" w:hAnsi="Calibri" w:cs="Arial"/>
          <w:vertAlign w:val="superscript"/>
          <w:rtl/>
        </w:rPr>
        <w:footnoteReference w:id="2849"/>
      </w:r>
      <w:r w:rsidRPr="001D49D4">
        <w:rPr>
          <w:rFonts w:ascii="Calibri" w:eastAsia="Calibri" w:hAnsi="Calibri" w:cs="Arial"/>
          <w:rtl/>
        </w:rPr>
        <w:t>, ואלא מה טעם אמרו מלוה על פה - אינו גובה אלא מנכסין בני חורין? משום פסידא דלקוחות</w:t>
      </w:r>
      <w:r w:rsidRPr="001D49D4">
        <w:rPr>
          <w:rFonts w:ascii="Calibri" w:eastAsia="Calibri" w:hAnsi="Calibri" w:cs="Arial"/>
          <w:vertAlign w:val="superscript"/>
          <w:rtl/>
        </w:rPr>
        <w:footnoteReference w:id="2850"/>
      </w:r>
      <w:r w:rsidRPr="001D49D4">
        <w:rPr>
          <w:rFonts w:ascii="Calibri" w:eastAsia="Calibri" w:hAnsi="Calibri" w:cs="Arial"/>
          <w:rtl/>
        </w:rPr>
        <w:t>. אי הכי, מלוה בשטר נמי! התם אינהו נינהו דאפסידו אנפשייהו.</w:t>
      </w:r>
    </w:p>
    <w:p w14:paraId="6326B301"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b/>
          <w:bCs/>
          <w:rtl/>
        </w:rPr>
        <w:t>בבא מציעא</w:t>
      </w:r>
      <w:r w:rsidRPr="001D49D4">
        <w:rPr>
          <w:rFonts w:ascii="Calibri" w:eastAsia="Calibri" w:hAnsi="Calibri" w:cs="Arial"/>
          <w:b/>
          <w:bCs/>
          <w:sz w:val="16"/>
          <w:szCs w:val="16"/>
          <w:rtl/>
        </w:rPr>
        <w:t xml:space="preserve"> (פרק שנים אוחזין)</w:t>
      </w:r>
      <w:r w:rsidRPr="001D49D4">
        <w:rPr>
          <w:rFonts w:ascii="Calibri" w:eastAsia="Calibri" w:hAnsi="Calibri" w:cs="Arial"/>
          <w:b/>
          <w:bCs/>
          <w:rtl/>
        </w:rPr>
        <w:t xml:space="preserve"> יד</w:t>
      </w:r>
      <w:r w:rsidRPr="001D49D4">
        <w:rPr>
          <w:rFonts w:ascii="Calibri" w:eastAsia="Calibri" w:hAnsi="Calibri" w:cs="Arial"/>
          <w:b/>
          <w:bCs/>
          <w:vertAlign w:val="superscript"/>
          <w:rtl/>
        </w:rPr>
        <w:footnoteReference w:id="2851"/>
      </w:r>
      <w:r w:rsidRPr="001D49D4">
        <w:rPr>
          <w:rFonts w:ascii="Calibri" w:eastAsia="Calibri" w:hAnsi="Calibri" w:cs="Arial"/>
          <w:b/>
          <w:bCs/>
          <w:rtl/>
        </w:rPr>
        <w:t xml:space="preserve"> ע"א:</w:t>
      </w:r>
      <w:r w:rsidRPr="001D49D4">
        <w:rPr>
          <w:rFonts w:ascii="Calibri" w:eastAsia="Calibri" w:hAnsi="Calibri" w:cs="Arial"/>
          <w:rtl/>
        </w:rPr>
        <w:t xml:space="preserve"> </w:t>
      </w:r>
      <w:r w:rsidRPr="001D49D4">
        <w:rPr>
          <w:rFonts w:ascii="Calibri" w:eastAsia="Calibri" w:hAnsi="Calibri" w:cs="Arial"/>
          <w:u w:val="single"/>
          <w:rtl/>
        </w:rPr>
        <w:t>אמר שמואל</w:t>
      </w:r>
      <w:r w:rsidRPr="001D49D4">
        <w:rPr>
          <w:rFonts w:ascii="Calibri" w:eastAsia="Calibri" w:hAnsi="Calibri" w:cs="Arial"/>
          <w:rtl/>
        </w:rPr>
        <w:t>: מאי טעמייהו דרבנן</w:t>
      </w:r>
      <w:r w:rsidRPr="001D49D4">
        <w:rPr>
          <w:rFonts w:ascii="Calibri" w:eastAsia="Calibri" w:hAnsi="Calibri" w:cs="Arial"/>
          <w:vertAlign w:val="superscript"/>
          <w:rtl/>
        </w:rPr>
        <w:footnoteReference w:id="2852"/>
      </w:r>
      <w:r w:rsidRPr="001D49D4">
        <w:rPr>
          <w:rFonts w:ascii="Calibri" w:eastAsia="Calibri" w:hAnsi="Calibri" w:cs="Arial"/>
          <w:rtl/>
        </w:rPr>
        <w:t xml:space="preserve"> - סברי: אחריות</w:t>
      </w:r>
      <w:r w:rsidRPr="001D49D4">
        <w:rPr>
          <w:rFonts w:ascii="Calibri" w:eastAsia="Calibri" w:hAnsi="Calibri" w:cs="Arial"/>
          <w:vertAlign w:val="superscript"/>
          <w:rtl/>
        </w:rPr>
        <w:footnoteReference w:id="2853"/>
      </w:r>
      <w:r w:rsidRPr="001D49D4">
        <w:rPr>
          <w:rFonts w:ascii="Calibri" w:eastAsia="Calibri" w:hAnsi="Calibri" w:cs="Arial"/>
          <w:rtl/>
        </w:rPr>
        <w:t xml:space="preserve"> טעות סופר הוא</w:t>
      </w:r>
      <w:r w:rsidRPr="001D49D4">
        <w:rPr>
          <w:rFonts w:ascii="Calibri" w:eastAsia="Calibri" w:hAnsi="Calibri" w:cs="Arial"/>
          <w:vertAlign w:val="superscript"/>
          <w:rtl/>
        </w:rPr>
        <w:footnoteReference w:id="2854"/>
      </w:r>
      <w:r w:rsidRPr="001D49D4">
        <w:rPr>
          <w:rFonts w:ascii="Calibri" w:eastAsia="Calibri" w:hAnsi="Calibri" w:cs="Arial"/>
          <w:rtl/>
        </w:rPr>
        <w:t xml:space="preserve">. </w:t>
      </w:r>
      <w:r w:rsidRPr="001D49D4">
        <w:rPr>
          <w:rFonts w:ascii="Calibri" w:eastAsia="Calibri" w:hAnsi="Calibri" w:cs="Arial"/>
          <w:u w:val="single"/>
          <w:rtl/>
        </w:rPr>
        <w:t>אמר ליה רבא בר איתי לרב אידי בר אבין</w:t>
      </w:r>
      <w:r w:rsidRPr="001D49D4">
        <w:rPr>
          <w:rFonts w:ascii="Calibri" w:eastAsia="Calibri" w:hAnsi="Calibri" w:cs="Arial"/>
          <w:rtl/>
        </w:rPr>
        <w:t>: ומי אמר שמואל הכי? והאמר שמואל: שבח, שפר ושעבוד צריך לימלך? לימא מאן דאמר הא לא אמר הא? לא קשיא: כאן - בשטר הלואה, דלא יהיב אינש זוזי בכדי. כאן - במקח וממכר, דעביד אינש דזבין ארעא ליומיה.</w:t>
      </w:r>
    </w:p>
    <w:p w14:paraId="5EAE2266"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u w:val="single"/>
          <w:rtl/>
        </w:rPr>
        <w:t>המלוה את חברו בעדים או בשטר:</w:t>
      </w:r>
      <w:r w:rsidRPr="001D49D4">
        <w:rPr>
          <w:rFonts w:ascii="Calibri" w:eastAsia="Calibri" w:hAnsi="Calibri" w:cs="Arial"/>
          <w:rtl/>
        </w:rPr>
        <w:t xml:space="preserve"> </w:t>
      </w:r>
    </w:p>
    <w:p w14:paraId="596A989E" w14:textId="77777777" w:rsidR="001D49D4" w:rsidRPr="001D49D4" w:rsidRDefault="001D49D4" w:rsidP="0004348D">
      <w:pPr>
        <w:numPr>
          <w:ilvl w:val="0"/>
          <w:numId w:val="203"/>
        </w:numPr>
        <w:spacing w:before="360" w:after="240"/>
        <w:contextualSpacing/>
        <w:rPr>
          <w:rtl/>
        </w:rPr>
      </w:pPr>
      <w:r w:rsidRPr="001D49D4">
        <w:rPr>
          <w:rtl/>
        </w:rPr>
        <w:t xml:space="preserve">טור- המלוה את חבירו בעדים - זהו נקרא מלוה על פה ואינו גובה מן המשועבדים. ואם נתן לו כתב ידו - גם זה דינו כמלוה על פה שאינו גובה מן המשועבדים. ולקמן בסימן ס"ו יתבאר אם נאמן לומר פרעתי. ואם מלוה את חבירו בשטר - גובה מן המשועבדין אפילו לא כתב בו אחריות, דקי"ל אחריות טעות סופר הוא. </w:t>
      </w:r>
      <w:r w:rsidRPr="001D49D4">
        <w:rPr>
          <w:color w:val="E36C0A" w:themeColor="accent6" w:themeShade="BF"/>
          <w:rtl/>
        </w:rPr>
        <w:t>(וכ"פ בשו"ע)</w:t>
      </w:r>
    </w:p>
    <w:p w14:paraId="696DBF03" w14:textId="77777777" w:rsidR="001D49D4" w:rsidRPr="001D49D4" w:rsidRDefault="001D49D4" w:rsidP="0004348D">
      <w:pPr>
        <w:spacing w:before="360" w:after="240"/>
        <w:rPr>
          <w:rFonts w:ascii="Calibri" w:eastAsia="Calibri" w:hAnsi="Calibri" w:cs="Arial"/>
          <w:u w:val="single"/>
          <w:rtl/>
        </w:rPr>
      </w:pPr>
      <w:r w:rsidRPr="001D49D4">
        <w:rPr>
          <w:rFonts w:ascii="Calibri" w:eastAsia="Calibri" w:hAnsi="Calibri" w:cs="Arial"/>
          <w:u w:val="single"/>
          <w:rtl/>
        </w:rPr>
        <w:t>לוה שהביא למלוה בפני עדים שטר שלא חתומים בו עדים:</w:t>
      </w:r>
    </w:p>
    <w:p w14:paraId="3245B939" w14:textId="77777777" w:rsidR="001D49D4" w:rsidRPr="001D49D4" w:rsidRDefault="001D49D4" w:rsidP="0004348D">
      <w:pPr>
        <w:numPr>
          <w:ilvl w:val="0"/>
          <w:numId w:val="204"/>
        </w:numPr>
        <w:spacing w:before="360" w:after="240"/>
        <w:contextualSpacing/>
        <w:rPr>
          <w:rtl/>
        </w:rPr>
      </w:pPr>
      <w:r w:rsidRPr="001D49D4">
        <w:rPr>
          <w:rtl/>
        </w:rPr>
        <w:t>רמב"ם</w:t>
      </w:r>
      <w:r w:rsidRPr="001D49D4">
        <w:rPr>
          <w:sz w:val="16"/>
          <w:szCs w:val="16"/>
          <w:rtl/>
        </w:rPr>
        <w:t xml:space="preserve"> (פי"א מהל' מלוה ולוה ה"ב, הביאו הטור בס' מ ס"ה)</w:t>
      </w:r>
      <w:r w:rsidRPr="001D49D4">
        <w:rPr>
          <w:rtl/>
        </w:rPr>
        <w:t>- וכן אם כתב שטר, אע"פ שאין בו עדים, ונתנו למלוה בפני עדים - הרי זו מלוה בשטר, והוא שיהיה כתב שאינו יכול להזדייף ויקראו אותו העדים שנמסר בפניהם. ויש מן הגאונים שהורה שצריך לומר לעדים שמסרו בפניהם 'חתמו והעידו שנמסר בפניכם'</w:t>
      </w:r>
      <w:r w:rsidRPr="001D49D4">
        <w:rPr>
          <w:vertAlign w:val="superscript"/>
          <w:rtl/>
        </w:rPr>
        <w:footnoteReference w:id="2855"/>
      </w:r>
      <w:r w:rsidRPr="001D49D4">
        <w:rPr>
          <w:rtl/>
        </w:rPr>
        <w:t xml:space="preserve">. </w:t>
      </w:r>
    </w:p>
    <w:p w14:paraId="37DF7F19" w14:textId="77777777" w:rsidR="001D49D4" w:rsidRPr="001D49D4" w:rsidRDefault="001D49D4" w:rsidP="0004348D">
      <w:pPr>
        <w:spacing w:before="360" w:after="240"/>
        <w:rPr>
          <w:rFonts w:ascii="Calibri" w:eastAsia="Calibri" w:hAnsi="Calibri" w:cs="Arial"/>
          <w:u w:val="single"/>
          <w:rtl/>
        </w:rPr>
      </w:pPr>
      <w:r w:rsidRPr="001D49D4">
        <w:rPr>
          <w:rFonts w:ascii="Calibri" w:eastAsia="Calibri" w:hAnsi="Calibri" w:cs="Arial"/>
          <w:u w:val="single"/>
          <w:rtl/>
        </w:rPr>
        <w:t>שטר שיש בו מספר עניינים ויש ספק במשמעות לשון השטר האם על דבר מסויים יש אחריות:</w:t>
      </w:r>
    </w:p>
    <w:p w14:paraId="141BAF30" w14:textId="77777777" w:rsidR="001D49D4" w:rsidRPr="001D49D4" w:rsidRDefault="001D49D4" w:rsidP="0004348D">
      <w:pPr>
        <w:numPr>
          <w:ilvl w:val="0"/>
          <w:numId w:val="204"/>
        </w:numPr>
        <w:spacing w:before="360" w:after="240"/>
        <w:contextualSpacing/>
        <w:rPr>
          <w:rtl/>
        </w:rPr>
      </w:pPr>
      <w:r w:rsidRPr="001D49D4">
        <w:rPr>
          <w:rtl/>
        </w:rPr>
        <w:t xml:space="preserve">רשב"א </w:t>
      </w:r>
      <w:r w:rsidRPr="001D49D4">
        <w:rPr>
          <w:sz w:val="16"/>
          <w:szCs w:val="16"/>
          <w:rtl/>
        </w:rPr>
        <w:t>(ח"ב סו"ס קצה)</w:t>
      </w:r>
      <w:r w:rsidRPr="001D49D4">
        <w:rPr>
          <w:rtl/>
        </w:rPr>
        <w:t>- אע"פ שאין לשון השטר מוכיח על זה, אם הוא מודה שאף על זה קיבל אחריות – חייב</w:t>
      </w:r>
      <w:r w:rsidRPr="001D49D4">
        <w:rPr>
          <w:sz w:val="16"/>
          <w:szCs w:val="16"/>
          <w:rtl/>
        </w:rPr>
        <w:t xml:space="preserve"> (ל' הב"י בשם הרשב"א)</w:t>
      </w:r>
      <w:r w:rsidRPr="001D49D4">
        <w:rPr>
          <w:rtl/>
        </w:rPr>
        <w:t>.</w:t>
      </w:r>
    </w:p>
    <w:p w14:paraId="051C7465" w14:textId="77777777" w:rsidR="001D49D4" w:rsidRPr="001D49D4" w:rsidRDefault="001D49D4" w:rsidP="0004348D">
      <w:pPr>
        <w:spacing w:before="360" w:after="240"/>
        <w:rPr>
          <w:rFonts w:ascii="Calibri" w:eastAsia="Calibri" w:hAnsi="Calibri" w:cs="Arial"/>
          <w:sz w:val="16"/>
          <w:szCs w:val="16"/>
          <w:u w:val="single"/>
          <w:rtl/>
        </w:rPr>
      </w:pPr>
      <w:r w:rsidRPr="001D49D4">
        <w:rPr>
          <w:rFonts w:ascii="Calibri" w:eastAsia="Calibri" w:hAnsi="Calibri" w:cs="Arial"/>
          <w:u w:val="single"/>
          <w:rtl/>
        </w:rPr>
        <w:t xml:space="preserve">שטר שהיה להם לכתוב רחל וכתבו לאה – האם גם בכה"ג אמרינן ט"ס </w:t>
      </w:r>
      <w:r w:rsidRPr="001D49D4">
        <w:rPr>
          <w:rFonts w:ascii="Calibri" w:eastAsia="Calibri" w:hAnsi="Calibri" w:cs="Arial"/>
          <w:sz w:val="16"/>
          <w:szCs w:val="16"/>
          <w:u w:val="single"/>
          <w:rtl/>
        </w:rPr>
        <w:t>(דומיא דאחריות)</w:t>
      </w:r>
      <w:r w:rsidRPr="001D49D4">
        <w:rPr>
          <w:rFonts w:ascii="Calibri" w:eastAsia="Calibri" w:hAnsi="Calibri" w:cs="Arial"/>
          <w:u w:val="single"/>
          <w:rtl/>
        </w:rPr>
        <w:t>:</w:t>
      </w:r>
      <w:r w:rsidRPr="001D49D4">
        <w:rPr>
          <w:rFonts w:ascii="Calibri" w:eastAsia="Calibri" w:hAnsi="Calibri" w:cs="Arial"/>
          <w:sz w:val="16"/>
          <w:szCs w:val="16"/>
          <w:rtl/>
        </w:rPr>
        <w:t xml:space="preserve">  (דרכ"מ אות ב)</w:t>
      </w:r>
    </w:p>
    <w:p w14:paraId="2FAA03C2" w14:textId="77777777" w:rsidR="001D49D4" w:rsidRPr="001D49D4" w:rsidRDefault="001D49D4" w:rsidP="0004348D">
      <w:pPr>
        <w:numPr>
          <w:ilvl w:val="0"/>
          <w:numId w:val="204"/>
        </w:numPr>
        <w:spacing w:before="360" w:after="240"/>
        <w:contextualSpacing/>
        <w:rPr>
          <w:rtl/>
        </w:rPr>
      </w:pPr>
      <w:r w:rsidRPr="001D49D4">
        <w:rPr>
          <w:rtl/>
        </w:rPr>
        <w:lastRenderedPageBreak/>
        <w:t xml:space="preserve">רא"ש </w:t>
      </w:r>
      <w:r w:rsidRPr="001D49D4">
        <w:rPr>
          <w:sz w:val="16"/>
          <w:szCs w:val="16"/>
          <w:rtl/>
        </w:rPr>
        <w:t>(כלל סח סי' לב)</w:t>
      </w:r>
      <w:r w:rsidRPr="001D49D4">
        <w:rPr>
          <w:rtl/>
        </w:rPr>
        <w:t>- שטר שהיה להם לכתוב רחל וכתבו לאה והעידו העדים שטעו - כותבין שטר אחר, ואפילו לא כתבו אחר ונודע שטעו - השטר כשר, דכל טעות סופר השטר כשר דומיא דאחריות דאמרינן דט"ס הוא</w:t>
      </w:r>
      <w:r w:rsidRPr="001D49D4">
        <w:rPr>
          <w:vertAlign w:val="superscript"/>
          <w:rtl/>
        </w:rPr>
        <w:footnoteReference w:id="2856"/>
      </w:r>
      <w:r w:rsidRPr="001D49D4">
        <w:rPr>
          <w:rtl/>
        </w:rPr>
        <w:t xml:space="preserve">. </w:t>
      </w:r>
      <w:r w:rsidRPr="001D49D4">
        <w:rPr>
          <w:color w:val="00B0F0"/>
          <w:rtl/>
        </w:rPr>
        <w:t>(וכ"פ הרמ"א</w:t>
      </w:r>
      <w:r w:rsidRPr="001D49D4">
        <w:rPr>
          <w:color w:val="00B0F0"/>
          <w:sz w:val="16"/>
          <w:szCs w:val="16"/>
          <w:rtl/>
        </w:rPr>
        <w:t xml:space="preserve"> </w:t>
      </w:r>
      <w:r w:rsidRPr="001D49D4">
        <w:rPr>
          <w:sz w:val="16"/>
          <w:szCs w:val="16"/>
          <w:rtl/>
        </w:rPr>
        <w:t>[בסי' מט ס"ב]</w:t>
      </w:r>
      <w:r w:rsidRPr="001D49D4">
        <w:rPr>
          <w:color w:val="00B0F0"/>
          <w:rtl/>
        </w:rPr>
        <w:t>)</w:t>
      </w:r>
    </w:p>
    <w:p w14:paraId="285F04BE"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u w:val="single"/>
          <w:rtl/>
        </w:rPr>
        <w:t>האם אומרים אחריות טעות סופר גם גבי מטלטלין:</w:t>
      </w:r>
      <w:r w:rsidRPr="001D49D4">
        <w:rPr>
          <w:rFonts w:ascii="Calibri" w:eastAsia="Calibri" w:hAnsi="Calibri" w:cs="Arial"/>
          <w:sz w:val="16"/>
          <w:szCs w:val="16"/>
          <w:rtl/>
        </w:rPr>
        <w:t xml:space="preserve">  (דרכ"מ אות ב)</w:t>
      </w:r>
    </w:p>
    <w:p w14:paraId="6045A9A4" w14:textId="77777777" w:rsidR="001D49D4" w:rsidRPr="001D49D4" w:rsidRDefault="001D49D4" w:rsidP="0004348D">
      <w:pPr>
        <w:numPr>
          <w:ilvl w:val="0"/>
          <w:numId w:val="204"/>
        </w:numPr>
        <w:spacing w:before="360" w:after="240"/>
        <w:contextualSpacing/>
        <w:rPr>
          <w:rtl/>
        </w:rPr>
      </w:pPr>
      <w:r w:rsidRPr="001D49D4">
        <w:rPr>
          <w:rtl/>
        </w:rPr>
        <w:t xml:space="preserve">מהרי"ק </w:t>
      </w:r>
      <w:r w:rsidRPr="001D49D4">
        <w:rPr>
          <w:sz w:val="16"/>
          <w:szCs w:val="16"/>
          <w:rtl/>
        </w:rPr>
        <w:t>(שורש קפב ענף ד)</w:t>
      </w:r>
      <w:r w:rsidRPr="001D49D4">
        <w:rPr>
          <w:rtl/>
        </w:rPr>
        <w:t>- אפשר דאף לענין מטלטלין נאמר דאחריות טעות סופר הוא מאחר דאין לנו קרקעות בזמן הזה</w:t>
      </w:r>
      <w:r w:rsidRPr="001D49D4">
        <w:rPr>
          <w:vertAlign w:val="superscript"/>
          <w:rtl/>
        </w:rPr>
        <w:footnoteReference w:id="2857"/>
      </w:r>
      <w:r w:rsidRPr="001D49D4">
        <w:rPr>
          <w:rtl/>
        </w:rPr>
        <w:t>.</w:t>
      </w:r>
      <w:r w:rsidRPr="001D49D4">
        <w:rPr>
          <w:color w:val="E36C0A" w:themeColor="accent6" w:themeShade="BF"/>
          <w:rtl/>
        </w:rPr>
        <w:t xml:space="preserve"> </w:t>
      </w:r>
    </w:p>
    <w:p w14:paraId="6B89D064"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b/>
          <w:bCs/>
          <w:rtl/>
        </w:rPr>
        <w:t xml:space="preserve">בבא בתרא </w:t>
      </w:r>
      <w:r w:rsidRPr="001D49D4">
        <w:rPr>
          <w:rFonts w:ascii="Calibri" w:eastAsia="Calibri" w:hAnsi="Calibri" w:cs="Arial"/>
          <w:b/>
          <w:bCs/>
          <w:sz w:val="16"/>
          <w:szCs w:val="16"/>
          <w:rtl/>
        </w:rPr>
        <w:t>(פרק חזקת)</w:t>
      </w:r>
      <w:r w:rsidRPr="001D49D4">
        <w:rPr>
          <w:rFonts w:ascii="Calibri" w:eastAsia="Calibri" w:hAnsi="Calibri" w:cs="Arial"/>
          <w:b/>
          <w:bCs/>
          <w:rtl/>
        </w:rPr>
        <w:t xml:space="preserve"> לט</w:t>
      </w:r>
      <w:r w:rsidRPr="001D49D4">
        <w:rPr>
          <w:rFonts w:ascii="Calibri" w:eastAsia="Calibri" w:hAnsi="Calibri" w:cs="Arial"/>
          <w:b/>
          <w:bCs/>
          <w:vertAlign w:val="superscript"/>
          <w:rtl/>
        </w:rPr>
        <w:footnoteReference w:id="2858"/>
      </w:r>
      <w:r w:rsidRPr="001D49D4">
        <w:rPr>
          <w:rFonts w:ascii="Calibri" w:eastAsia="Calibri" w:hAnsi="Calibri" w:cs="Arial"/>
          <w:b/>
          <w:bCs/>
          <w:rtl/>
        </w:rPr>
        <w:t xml:space="preserve"> ע"ב:</w:t>
      </w:r>
      <w:r w:rsidRPr="001D49D4">
        <w:rPr>
          <w:rFonts w:ascii="Calibri" w:eastAsia="Calibri" w:hAnsi="Calibri" w:cs="Arial"/>
          <w:rtl/>
        </w:rPr>
        <w:t xml:space="preserve"> </w:t>
      </w:r>
      <w:r w:rsidRPr="001D49D4">
        <w:rPr>
          <w:rFonts w:ascii="Calibri" w:eastAsia="Calibri" w:hAnsi="Calibri" w:cs="Arial"/>
          <w:u w:val="single"/>
          <w:rtl/>
        </w:rPr>
        <w:t>אמר רבא א"ר נחמן</w:t>
      </w:r>
      <w:r w:rsidRPr="001D49D4">
        <w:rPr>
          <w:rFonts w:ascii="Calibri" w:eastAsia="Calibri" w:hAnsi="Calibri" w:cs="Arial"/>
          <w:rtl/>
        </w:rPr>
        <w:t>: מחאה בפני שנים,</w:t>
      </w:r>
      <w:r w:rsidRPr="001D49D4">
        <w:rPr>
          <w:rFonts w:ascii="Calibri" w:eastAsia="Calibri" w:hAnsi="Calibri" w:cs="Arial"/>
          <w:sz w:val="16"/>
          <w:szCs w:val="16"/>
          <w:rtl/>
        </w:rPr>
        <w:t xml:space="preserve"> </w:t>
      </w:r>
      <w:r w:rsidRPr="001D49D4">
        <w:rPr>
          <w:rFonts w:ascii="Calibri" w:eastAsia="Calibri" w:hAnsi="Calibri" w:cs="Arial"/>
          <w:sz w:val="14"/>
          <w:szCs w:val="14"/>
          <w:rtl/>
        </w:rPr>
        <w:t>(מ.)</w:t>
      </w:r>
      <w:r w:rsidRPr="001D49D4">
        <w:rPr>
          <w:rFonts w:ascii="Calibri" w:eastAsia="Calibri" w:hAnsi="Calibri" w:cs="Arial"/>
          <w:rtl/>
        </w:rPr>
        <w:t xml:space="preserve"> ואין צריך לומר כתובו. מודעא בפני שנים, ואין צריך לומר כתובו. הודאה בפני שנים, וצריך לומר כתובו. קנין בפני שנים, ואינו צריך לומר כתובו. וקיום שטרות בשלשה. </w:t>
      </w:r>
      <w:r w:rsidRPr="001D49D4">
        <w:rPr>
          <w:rFonts w:ascii="Calibri" w:eastAsia="Calibri" w:hAnsi="Calibri" w:cs="Arial"/>
          <w:u w:val="single"/>
          <w:rtl/>
        </w:rPr>
        <w:t>אמר רבא</w:t>
      </w:r>
      <w:r w:rsidRPr="001D49D4">
        <w:rPr>
          <w:rFonts w:ascii="Calibri" w:eastAsia="Calibri" w:hAnsi="Calibri" w:cs="Arial"/>
          <w:rtl/>
        </w:rPr>
        <w:t>: אי קשיא לי - הא קשיא לי, האי קנין היכי דמי? אי כמעשה בית דין דמי, ליבעי תלתא! אי לא כמעשה בית דין דמי, אמאי אינו צריך לומר כתובו? בתר דבעי הדר פשטא, לעולם לאו כמעשה בית דין דמי, והכא טעמא מאי דאינו צריך לומר כתובו? משום דסתם קנין לכתיבה עומד</w:t>
      </w:r>
      <w:r w:rsidRPr="001D49D4">
        <w:rPr>
          <w:rFonts w:ascii="Calibri" w:eastAsia="Calibri" w:hAnsi="Calibri" w:cs="Arial"/>
          <w:vertAlign w:val="superscript"/>
          <w:rtl/>
        </w:rPr>
        <w:footnoteReference w:id="2859"/>
      </w:r>
      <w:r w:rsidRPr="001D49D4">
        <w:rPr>
          <w:rFonts w:ascii="Calibri" w:eastAsia="Calibri" w:hAnsi="Calibri" w:cs="Arial"/>
          <w:rtl/>
        </w:rPr>
        <w:t xml:space="preserve">. </w:t>
      </w:r>
    </w:p>
    <w:p w14:paraId="210C8809"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b/>
          <w:bCs/>
          <w:rtl/>
        </w:rPr>
        <w:t xml:space="preserve">סנהדרין </w:t>
      </w:r>
      <w:r w:rsidRPr="001D49D4">
        <w:rPr>
          <w:rFonts w:ascii="Calibri" w:eastAsia="Calibri" w:hAnsi="Calibri" w:cs="Arial"/>
          <w:b/>
          <w:bCs/>
          <w:sz w:val="16"/>
          <w:szCs w:val="16"/>
          <w:rtl/>
        </w:rPr>
        <w:t xml:space="preserve">(פ' זה בורר) </w:t>
      </w:r>
      <w:r w:rsidRPr="001D49D4">
        <w:rPr>
          <w:rFonts w:ascii="Calibri" w:eastAsia="Calibri" w:hAnsi="Calibri" w:cs="Arial"/>
          <w:b/>
          <w:bCs/>
          <w:rtl/>
        </w:rPr>
        <w:t>כט</w:t>
      </w:r>
      <w:r w:rsidRPr="001D49D4">
        <w:rPr>
          <w:rFonts w:ascii="Calibri" w:eastAsia="Calibri" w:hAnsi="Calibri" w:cs="Arial"/>
          <w:b/>
          <w:bCs/>
          <w:vertAlign w:val="superscript"/>
          <w:rtl/>
        </w:rPr>
        <w:footnoteReference w:id="2860"/>
      </w:r>
      <w:r w:rsidRPr="001D49D4">
        <w:rPr>
          <w:rFonts w:ascii="Calibri" w:eastAsia="Calibri" w:hAnsi="Calibri" w:cs="Arial"/>
          <w:b/>
          <w:bCs/>
          <w:rtl/>
        </w:rPr>
        <w:t xml:space="preserve"> ע"ב: </w:t>
      </w:r>
      <w:r w:rsidRPr="001D49D4">
        <w:rPr>
          <w:rFonts w:ascii="Calibri" w:eastAsia="Calibri" w:hAnsi="Calibri" w:cs="Arial"/>
          <w:rtl/>
        </w:rPr>
        <w:t>הודה בפני שנים וקנו מידו - כותבין, ואם לאו - אין כותבין.</w:t>
      </w:r>
      <w:r w:rsidRPr="001D49D4">
        <w:rPr>
          <w:rFonts w:ascii="Calibri" w:eastAsia="Calibri" w:hAnsi="Calibri" w:cs="Arial"/>
          <w:sz w:val="16"/>
          <w:szCs w:val="16"/>
          <w:rtl/>
        </w:rPr>
        <w:t xml:space="preserve"> (ומשמע התם </w:t>
      </w:r>
      <w:r w:rsidRPr="001D49D4">
        <w:rPr>
          <w:rFonts w:ascii="Calibri" w:eastAsia="Calibri" w:hAnsi="Calibri" w:cs="Arial"/>
          <w:sz w:val="14"/>
          <w:szCs w:val="14"/>
          <w:rtl/>
        </w:rPr>
        <w:t xml:space="preserve">{דאם רוצה שיכתבו לו אע"פ שלא עשה קנין} </w:t>
      </w:r>
      <w:r w:rsidRPr="001D49D4">
        <w:rPr>
          <w:rFonts w:ascii="Calibri" w:eastAsia="Calibri" w:hAnsi="Calibri" w:cs="Arial"/>
          <w:sz w:val="16"/>
          <w:szCs w:val="16"/>
          <w:rtl/>
        </w:rPr>
        <w:t xml:space="preserve">דבעי למימר 'כתבו וחתמו והבו ליה' דאמרינן </w:t>
      </w:r>
      <w:r w:rsidRPr="001D49D4">
        <w:rPr>
          <w:rFonts w:ascii="Calibri" w:eastAsia="Calibri" w:hAnsi="Calibri" w:cs="Arial"/>
          <w:sz w:val="14"/>
          <w:szCs w:val="14"/>
          <w:rtl/>
        </w:rPr>
        <w:t xml:space="preserve">{שם} </w:t>
      </w:r>
      <w:r w:rsidRPr="001D49D4">
        <w:rPr>
          <w:rFonts w:ascii="Calibri" w:eastAsia="Calibri" w:hAnsi="Calibri" w:cs="Arial"/>
          <w:sz w:val="16"/>
          <w:szCs w:val="16"/>
          <w:rtl/>
        </w:rPr>
        <w:t>'ההיא אודיתא דלא הוה כתיב בה אמר לנא כתובו וחתומו והבו ליה'. ודאמרינן בפרק חזקת (מ.) צריך לומר 'כתובו' פירושו 'כתובו וחתומו והבו ליה' אלא שקצר בלשונו, ב"י)</w:t>
      </w:r>
    </w:p>
    <w:p w14:paraId="78CB96E9"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u w:val="single"/>
          <w:rtl/>
        </w:rPr>
        <w:t>עדים שראו שהלוה פלוני לפלוני – האם כותבין לו שטר בלי שיבקש:</w:t>
      </w:r>
    </w:p>
    <w:p w14:paraId="35695A16" w14:textId="77777777" w:rsidR="001D49D4" w:rsidRPr="001D49D4" w:rsidRDefault="001D49D4" w:rsidP="0004348D">
      <w:pPr>
        <w:numPr>
          <w:ilvl w:val="0"/>
          <w:numId w:val="204"/>
        </w:numPr>
        <w:spacing w:before="360" w:after="240"/>
        <w:contextualSpacing/>
        <w:rPr>
          <w:rtl/>
        </w:rPr>
      </w:pPr>
      <w:r w:rsidRPr="001D49D4">
        <w:rPr>
          <w:rtl/>
        </w:rPr>
        <w:t>טור- לפיכך אע"פ שראו העדים שהלוה פלוני לפלוני - לא יכתבו לו שטר למלוה עד שיאמר להם הלוה כתבו וחתמו ותנו, שאולי אינו רוצה שיהא לו שטר עליו. אבל אם לקח לו בקנין - כותבין לו סתמא, דסתם קנין לכתיבה עומד</w:t>
      </w:r>
      <w:r w:rsidRPr="001D49D4">
        <w:rPr>
          <w:vertAlign w:val="superscript"/>
          <w:rtl/>
        </w:rPr>
        <w:footnoteReference w:id="2861"/>
      </w:r>
      <w:r w:rsidRPr="001D49D4">
        <w:rPr>
          <w:rtl/>
        </w:rPr>
        <w:t xml:space="preserve">. </w:t>
      </w:r>
      <w:r w:rsidRPr="001D49D4">
        <w:rPr>
          <w:color w:val="E36C0A" w:themeColor="accent6" w:themeShade="BF"/>
          <w:rtl/>
        </w:rPr>
        <w:t>(וכ"פ בשו"ע</w:t>
      </w:r>
      <w:r w:rsidRPr="001D49D4">
        <w:rPr>
          <w:color w:val="E36C0A" w:themeColor="accent6" w:themeShade="BF"/>
          <w:sz w:val="16"/>
          <w:szCs w:val="16"/>
          <w:rtl/>
        </w:rPr>
        <w:t xml:space="preserve"> </w:t>
      </w:r>
      <w:r w:rsidRPr="001D49D4">
        <w:rPr>
          <w:color w:val="000000" w:themeColor="text1"/>
          <w:sz w:val="16"/>
          <w:szCs w:val="16"/>
          <w:rtl/>
        </w:rPr>
        <w:t>[סע' ב-ג]</w:t>
      </w:r>
      <w:r w:rsidRPr="001D49D4">
        <w:rPr>
          <w:color w:val="E36C0A" w:themeColor="accent6" w:themeShade="BF"/>
          <w:rtl/>
        </w:rPr>
        <w:t>)</w:t>
      </w:r>
    </w:p>
    <w:p w14:paraId="25B1D822" w14:textId="77777777" w:rsidR="001D49D4" w:rsidRPr="001D49D4" w:rsidRDefault="001D49D4" w:rsidP="0004348D">
      <w:pPr>
        <w:spacing w:before="360" w:after="240"/>
        <w:ind w:left="360"/>
        <w:rPr>
          <w:rFonts w:ascii="Calibri" w:eastAsia="Calibri" w:hAnsi="Calibri" w:cs="Arial"/>
          <w:u w:val="dotted"/>
        </w:rPr>
      </w:pPr>
      <w:r w:rsidRPr="001D49D4">
        <w:rPr>
          <w:rFonts w:ascii="Calibri" w:eastAsia="Calibri" w:hAnsi="Calibri" w:cs="Arial"/>
          <w:u w:val="dotted"/>
          <w:rtl/>
        </w:rPr>
        <w:t>האם העדים יכולם לפחות לכתוב זכרון דברים</w:t>
      </w:r>
      <w:r w:rsidRPr="001D49D4">
        <w:rPr>
          <w:rFonts w:ascii="Calibri" w:eastAsia="Calibri" w:hAnsi="Calibri" w:cs="Arial"/>
          <w:sz w:val="16"/>
          <w:szCs w:val="16"/>
          <w:u w:val="dotted"/>
          <w:rtl/>
        </w:rPr>
        <w:t xml:space="preserve"> (כשהלוה בפניהם בלא קנין ולא ביקש מהם לכתוב)</w:t>
      </w:r>
      <w:r w:rsidRPr="001D49D4">
        <w:rPr>
          <w:rFonts w:ascii="Calibri" w:eastAsia="Calibri" w:hAnsi="Calibri" w:cs="Arial"/>
          <w:u w:val="dotted"/>
          <w:rtl/>
        </w:rPr>
        <w:t>:</w:t>
      </w:r>
    </w:p>
    <w:p w14:paraId="32BD5789" w14:textId="77777777" w:rsidR="001D49D4" w:rsidRPr="001D49D4" w:rsidRDefault="001D49D4" w:rsidP="0004348D">
      <w:pPr>
        <w:numPr>
          <w:ilvl w:val="0"/>
          <w:numId w:val="204"/>
        </w:numPr>
        <w:spacing w:before="360" w:after="240"/>
        <w:contextualSpacing/>
      </w:pPr>
      <w:r w:rsidRPr="001D49D4">
        <w:rPr>
          <w:rtl/>
        </w:rPr>
        <w:t xml:space="preserve">רא"ש </w:t>
      </w:r>
      <w:r w:rsidRPr="001D49D4">
        <w:rPr>
          <w:sz w:val="16"/>
          <w:szCs w:val="16"/>
          <w:rtl/>
        </w:rPr>
        <w:t>(כלל סה סי' ג, להב' הב"י)</w:t>
      </w:r>
      <w:r w:rsidRPr="001D49D4">
        <w:rPr>
          <w:rtl/>
        </w:rPr>
        <w:t>- דוקא שטר הוא שאין כותבין אבל זכרון הדברים שהודה בפניהם יכולין לכתוב ולחתום, רק שלא יכתבו שהעידם על עצמו כמו שכותבים בשטרות</w:t>
      </w:r>
      <w:r w:rsidRPr="001D49D4">
        <w:rPr>
          <w:vertAlign w:val="superscript"/>
          <w:rtl/>
        </w:rPr>
        <w:footnoteReference w:id="2862"/>
      </w:r>
      <w:r w:rsidRPr="001D49D4">
        <w:rPr>
          <w:rtl/>
        </w:rPr>
        <w:t>.</w:t>
      </w:r>
    </w:p>
    <w:p w14:paraId="24D3EBAD" w14:textId="77777777" w:rsidR="001D49D4" w:rsidRPr="001D49D4" w:rsidRDefault="001D49D4" w:rsidP="0004348D">
      <w:pPr>
        <w:spacing w:before="360" w:after="240"/>
        <w:ind w:left="360"/>
        <w:rPr>
          <w:rFonts w:ascii="Calibri" w:eastAsia="Calibri" w:hAnsi="Calibri" w:cs="Arial"/>
          <w:u w:val="dotted"/>
        </w:rPr>
      </w:pPr>
      <w:r w:rsidRPr="001D49D4">
        <w:rPr>
          <w:rFonts w:ascii="Calibri" w:eastAsia="Calibri" w:hAnsi="Calibri" w:cs="Arial"/>
          <w:u w:val="dotted"/>
          <w:rtl/>
        </w:rPr>
        <w:t xml:space="preserve">ומה הדין אם כתבו העדים </w:t>
      </w:r>
      <w:r w:rsidRPr="001D49D4">
        <w:rPr>
          <w:rFonts w:ascii="Calibri" w:eastAsia="Calibri" w:hAnsi="Calibri" w:cs="Arial"/>
          <w:b/>
          <w:bCs/>
          <w:u w:val="dotted"/>
          <w:rtl/>
        </w:rPr>
        <w:t>שטר</w:t>
      </w:r>
      <w:r w:rsidRPr="001D49D4">
        <w:rPr>
          <w:rFonts w:ascii="Calibri" w:eastAsia="Calibri" w:hAnsi="Calibri" w:cs="Arial"/>
          <w:u w:val="dotted"/>
          <w:rtl/>
        </w:rPr>
        <w:t xml:space="preserve"> אע"פ שלא ביקש מהם:</w:t>
      </w:r>
    </w:p>
    <w:p w14:paraId="71051B92" w14:textId="77777777" w:rsidR="001D49D4" w:rsidRPr="001D49D4" w:rsidRDefault="001D49D4" w:rsidP="0004348D">
      <w:pPr>
        <w:numPr>
          <w:ilvl w:val="0"/>
          <w:numId w:val="204"/>
        </w:numPr>
        <w:spacing w:before="360" w:after="240"/>
        <w:contextualSpacing/>
      </w:pPr>
      <w:r w:rsidRPr="001D49D4">
        <w:rPr>
          <w:rtl/>
        </w:rPr>
        <w:t xml:space="preserve">רשב"א </w:t>
      </w:r>
      <w:r w:rsidRPr="001D49D4">
        <w:rPr>
          <w:sz w:val="16"/>
          <w:szCs w:val="16"/>
          <w:rtl/>
        </w:rPr>
        <w:t>(סי' אלף רט)</w:t>
      </w:r>
      <w:r w:rsidRPr="001D49D4">
        <w:rPr>
          <w:rtl/>
        </w:rPr>
        <w:t>- אם כתבו שטר בלי שיאמר להם כתובו וחתומו והבו ליה - אינו אלא כפנקס בעלמא</w:t>
      </w:r>
      <w:r w:rsidRPr="001D49D4">
        <w:rPr>
          <w:vertAlign w:val="superscript"/>
          <w:rtl/>
        </w:rPr>
        <w:footnoteReference w:id="2863"/>
      </w:r>
      <w:r w:rsidRPr="001D49D4">
        <w:rPr>
          <w:rtl/>
        </w:rPr>
        <w:t xml:space="preserve">. </w:t>
      </w:r>
      <w:r w:rsidRPr="001D49D4">
        <w:rPr>
          <w:color w:val="00B0F0"/>
          <w:rtl/>
        </w:rPr>
        <w:t>(וכ"פ הרמ"א</w:t>
      </w:r>
      <w:r w:rsidRPr="001D49D4">
        <w:rPr>
          <w:color w:val="00B0F0"/>
          <w:sz w:val="16"/>
          <w:szCs w:val="16"/>
          <w:rtl/>
        </w:rPr>
        <w:t xml:space="preserve"> </w:t>
      </w:r>
      <w:r w:rsidRPr="001D49D4">
        <w:rPr>
          <w:sz w:val="16"/>
          <w:szCs w:val="16"/>
          <w:rtl/>
        </w:rPr>
        <w:t>[סע' ג]</w:t>
      </w:r>
      <w:r w:rsidRPr="001D49D4">
        <w:rPr>
          <w:color w:val="00B0F0"/>
          <w:rtl/>
        </w:rPr>
        <w:t>)</w:t>
      </w:r>
      <w:r w:rsidRPr="001D49D4">
        <w:rPr>
          <w:rtl/>
        </w:rPr>
        <w:t xml:space="preserve"> </w:t>
      </w:r>
    </w:p>
    <w:p w14:paraId="6BFF9411"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u w:val="single"/>
          <w:rtl/>
        </w:rPr>
        <w:t xml:space="preserve">שכיב מרע שהודה </w:t>
      </w:r>
      <w:r w:rsidRPr="001D49D4">
        <w:rPr>
          <w:rFonts w:ascii="Calibri" w:eastAsia="Calibri" w:hAnsi="Calibri" w:cs="Arial"/>
          <w:sz w:val="16"/>
          <w:szCs w:val="16"/>
          <w:u w:val="single"/>
          <w:rtl/>
        </w:rPr>
        <w:t xml:space="preserve">(בפני עדים) </w:t>
      </w:r>
      <w:r w:rsidRPr="001D49D4">
        <w:rPr>
          <w:rFonts w:ascii="Calibri" w:eastAsia="Calibri" w:hAnsi="Calibri" w:cs="Arial"/>
          <w:u w:val="single"/>
          <w:rtl/>
        </w:rPr>
        <w:t>כשתבעוהו:</w:t>
      </w:r>
    </w:p>
    <w:p w14:paraId="46E03CE6" w14:textId="77777777" w:rsidR="001D49D4" w:rsidRPr="001D49D4" w:rsidRDefault="001D49D4" w:rsidP="0004348D">
      <w:pPr>
        <w:numPr>
          <w:ilvl w:val="0"/>
          <w:numId w:val="204"/>
        </w:numPr>
        <w:spacing w:before="360" w:after="240"/>
        <w:contextualSpacing/>
        <w:rPr>
          <w:rtl/>
        </w:rPr>
      </w:pPr>
      <w:r w:rsidRPr="001D49D4">
        <w:rPr>
          <w:rtl/>
        </w:rPr>
        <w:t xml:space="preserve">רי"ו </w:t>
      </w:r>
      <w:r w:rsidRPr="001D49D4">
        <w:rPr>
          <w:sz w:val="16"/>
          <w:szCs w:val="16"/>
          <w:rtl/>
        </w:rPr>
        <w:t>(נכ"ד סט.)</w:t>
      </w:r>
      <w:r w:rsidRPr="001D49D4">
        <w:rPr>
          <w:rtl/>
        </w:rPr>
        <w:t xml:space="preserve">- שכיב מרע שהודה כשתבעוהו 'אני חייב לפלוני' - אין צריך לומר אתם עדי ולא כתובו </w:t>
      </w:r>
      <w:r w:rsidRPr="001D49D4">
        <w:rPr>
          <w:sz w:val="16"/>
          <w:szCs w:val="16"/>
          <w:rtl/>
        </w:rPr>
        <w:t>(ב"ב קעה.)</w:t>
      </w:r>
      <w:r w:rsidRPr="001D49D4">
        <w:rPr>
          <w:rtl/>
        </w:rPr>
        <w:t>, ופירש הראב"ד</w:t>
      </w:r>
      <w:r w:rsidRPr="001D49D4">
        <w:rPr>
          <w:vertAlign w:val="superscript"/>
          <w:rtl/>
        </w:rPr>
        <w:footnoteReference w:id="2864"/>
      </w:r>
      <w:r w:rsidRPr="001D49D4">
        <w:rPr>
          <w:rtl/>
        </w:rPr>
        <w:t xml:space="preserve"> דעדים כותבין שטר אפילו לא אמר להם כתובו, ולפי דבריו אחר שכתבו הוי ליה כמו מלוה בשטר ואין נאמנין לומר פרענו.</w:t>
      </w:r>
    </w:p>
    <w:p w14:paraId="238D0C9D"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u w:val="single"/>
          <w:rtl/>
        </w:rPr>
        <w:t xml:space="preserve">שטר שחתומים עליו עדים ואינו כתקון חכמים – האם מ"מ חשיב עדות </w:t>
      </w:r>
      <w:r w:rsidRPr="001D49D4">
        <w:rPr>
          <w:rFonts w:ascii="Calibri" w:eastAsia="Calibri" w:hAnsi="Calibri" w:cs="Arial"/>
          <w:b/>
          <w:bCs/>
          <w:u w:val="single"/>
          <w:rtl/>
        </w:rPr>
        <w:t>כשהעדים לא זוכרים</w:t>
      </w:r>
      <w:r w:rsidRPr="001D49D4">
        <w:rPr>
          <w:rFonts w:ascii="Calibri" w:eastAsia="Calibri" w:hAnsi="Calibri" w:cs="Arial"/>
          <w:u w:val="single"/>
          <w:rtl/>
        </w:rPr>
        <w:t>:</w:t>
      </w:r>
      <w:r w:rsidRPr="001D49D4">
        <w:rPr>
          <w:rFonts w:ascii="Calibri" w:eastAsia="Calibri" w:hAnsi="Calibri" w:cs="Arial"/>
          <w:sz w:val="16"/>
          <w:szCs w:val="16"/>
          <w:rtl/>
        </w:rPr>
        <w:t xml:space="preserve"> (דרכ"מ אות ג)</w:t>
      </w:r>
      <w:r w:rsidRPr="001D49D4">
        <w:rPr>
          <w:rFonts w:ascii="Calibri" w:eastAsia="Calibri" w:hAnsi="Calibri" w:cs="Arial"/>
          <w:rtl/>
        </w:rPr>
        <w:t xml:space="preserve"> </w:t>
      </w:r>
    </w:p>
    <w:p w14:paraId="75299A54" w14:textId="77777777" w:rsidR="001D49D4" w:rsidRPr="001D49D4" w:rsidRDefault="001D49D4" w:rsidP="0004348D">
      <w:pPr>
        <w:numPr>
          <w:ilvl w:val="0"/>
          <w:numId w:val="204"/>
        </w:numPr>
        <w:spacing w:before="360" w:after="240"/>
        <w:contextualSpacing/>
        <w:rPr>
          <w:rtl/>
        </w:rPr>
      </w:pPr>
      <w:r w:rsidRPr="001D49D4">
        <w:rPr>
          <w:rtl/>
        </w:rPr>
        <w:lastRenderedPageBreak/>
        <w:t xml:space="preserve">מהר"ם </w:t>
      </w:r>
      <w:r w:rsidRPr="001D49D4">
        <w:rPr>
          <w:sz w:val="16"/>
          <w:szCs w:val="16"/>
          <w:rtl/>
        </w:rPr>
        <w:t>(ד"ק סי' רי, הביאו בהגמ"ר [כתובות סי' רפד])</w:t>
      </w:r>
      <w:r w:rsidRPr="001D49D4">
        <w:rPr>
          <w:rtl/>
        </w:rPr>
        <w:t xml:space="preserve">- ושכתבתם כיון שבכתב התנאים אין כתוב בו קניין אינו חשוב שטר, והימניה טפי משטרא. זה אינו מכמה טעמים. חדא דכמה שטרות יש שאין כתוב בהן קנין, שטר קדושין שטרי בירורין ואגרות שום ואגרות מזון וכהנה איש תבונות ידלנה, וכולן דין שטרות להן. וכן כותב אדם עדותו על השטר ומעיד עליה אחר כמה שנים </w:t>
      </w:r>
      <w:r w:rsidRPr="001D49D4">
        <w:rPr>
          <w:sz w:val="16"/>
          <w:szCs w:val="16"/>
          <w:rtl/>
        </w:rPr>
        <w:t>(כתובות כ.)</w:t>
      </w:r>
      <w:r w:rsidRPr="001D49D4">
        <w:rPr>
          <w:rtl/>
        </w:rPr>
        <w:t xml:space="preserve">, ואע"ג דמסיק והוא שזוכרה מעצמו </w:t>
      </w:r>
      <w:r w:rsidRPr="001D49D4">
        <w:rPr>
          <w:color w:val="FF0000"/>
          <w:sz w:val="16"/>
          <w:szCs w:val="16"/>
          <w:rtl/>
        </w:rPr>
        <w:t>{צל"ע דהרי רב הונא אמר כן, והלכה כר' יוחנן}</w:t>
      </w:r>
      <w:r w:rsidRPr="001D49D4">
        <w:rPr>
          <w:rtl/>
        </w:rPr>
        <w:t>, הני מילי בעד אחד, אבל בשני עדים חתומים על השטר ונכתב מדעת שניהם כי הכא - שטר גמור הוא לכל דבר, ומביאין השטר לבית דין ונאמין לכל דברי השטר אפילו כשאינו זוכרה, וכן פירש ר"י בפרק שני דכתובות</w:t>
      </w:r>
      <w:r w:rsidRPr="001D49D4">
        <w:rPr>
          <w:sz w:val="16"/>
          <w:szCs w:val="16"/>
          <w:rtl/>
        </w:rPr>
        <w:t xml:space="preserve"> (כ: דיבור ראשון [כן יוצא ממש"כ- א"נ אומר ר"י דע"א...])</w:t>
      </w:r>
      <w:r w:rsidRPr="001D49D4">
        <w:rPr>
          <w:vertAlign w:val="superscript"/>
          <w:rtl/>
        </w:rPr>
        <w:footnoteReference w:id="2865"/>
      </w:r>
      <w:r w:rsidRPr="001D49D4">
        <w:rPr>
          <w:rtl/>
        </w:rPr>
        <w:t xml:space="preserve">. </w:t>
      </w:r>
    </w:p>
    <w:p w14:paraId="58128AAA"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u w:val="single"/>
          <w:rtl/>
        </w:rPr>
        <w:t>נעשה קנין אך לא כתבו את זה בשטר:</w:t>
      </w:r>
      <w:r w:rsidRPr="001D49D4">
        <w:rPr>
          <w:rFonts w:ascii="Calibri" w:eastAsia="Calibri" w:hAnsi="Calibri" w:cs="Arial"/>
          <w:rtl/>
        </w:rPr>
        <w:t xml:space="preserve">   </w:t>
      </w:r>
      <w:r w:rsidRPr="001D49D4">
        <w:rPr>
          <w:rFonts w:ascii="Calibri" w:eastAsia="Calibri" w:hAnsi="Calibri" w:cs="Arial"/>
          <w:sz w:val="16"/>
          <w:szCs w:val="16"/>
          <w:rtl/>
        </w:rPr>
        <w:t>(דרכ"מ אות ד)</w:t>
      </w:r>
    </w:p>
    <w:p w14:paraId="5A5E893A" w14:textId="77777777" w:rsidR="001D49D4" w:rsidRPr="001D49D4" w:rsidRDefault="001D49D4" w:rsidP="0004348D">
      <w:pPr>
        <w:numPr>
          <w:ilvl w:val="0"/>
          <w:numId w:val="204"/>
        </w:numPr>
        <w:spacing w:before="360" w:after="240"/>
        <w:contextualSpacing/>
        <w:rPr>
          <w:rtl/>
        </w:rPr>
      </w:pPr>
      <w:r w:rsidRPr="001D49D4">
        <w:rPr>
          <w:rtl/>
        </w:rPr>
        <w:t xml:space="preserve">נמוק"י </w:t>
      </w:r>
      <w:r w:rsidRPr="001D49D4">
        <w:rPr>
          <w:sz w:val="16"/>
          <w:szCs w:val="16"/>
          <w:rtl/>
        </w:rPr>
        <w:t>(פרק גט פשוט עט: ד"ה אמר)</w:t>
      </w:r>
      <w:r w:rsidRPr="001D49D4">
        <w:rPr>
          <w:rtl/>
        </w:rPr>
        <w:t xml:space="preserve">- סתם קנין לכתיבה עומד וקול יש לדבר וגובה ממשעבדי, אבל כשלא נכתב הקנין אינו גובה מנכסים משועבדים דהא בטיל קלא, כן כתב ר"י. </w:t>
      </w:r>
    </w:p>
    <w:p w14:paraId="77C35E5E" w14:textId="77777777" w:rsidR="001D49D4" w:rsidRPr="001D49D4" w:rsidRDefault="001D49D4" w:rsidP="0004348D">
      <w:pPr>
        <w:numPr>
          <w:ilvl w:val="0"/>
          <w:numId w:val="204"/>
        </w:numPr>
        <w:spacing w:before="360" w:after="240"/>
        <w:contextualSpacing/>
        <w:rPr>
          <w:rtl/>
        </w:rPr>
      </w:pPr>
      <w:r w:rsidRPr="001D49D4">
        <w:rPr>
          <w:rtl/>
        </w:rPr>
        <w:t xml:space="preserve">בעל התרומות </w:t>
      </w:r>
      <w:r w:rsidRPr="001D49D4">
        <w:rPr>
          <w:sz w:val="16"/>
          <w:szCs w:val="16"/>
          <w:rtl/>
        </w:rPr>
        <w:t xml:space="preserve">(שער נו ח"א ס"ד) </w:t>
      </w:r>
      <w:r w:rsidRPr="001D49D4">
        <w:rPr>
          <w:rtl/>
        </w:rPr>
        <w:t xml:space="preserve">ומרדכי </w:t>
      </w:r>
      <w:r w:rsidRPr="001D49D4">
        <w:rPr>
          <w:sz w:val="16"/>
          <w:szCs w:val="16"/>
          <w:rtl/>
        </w:rPr>
        <w:t>(ר"פ הניזקין [גיטין] סי' שפח)</w:t>
      </w:r>
      <w:r w:rsidRPr="001D49D4">
        <w:rPr>
          <w:rtl/>
        </w:rPr>
        <w:t>- קנין בעדים חשוב כשטר לכל דבר.</w:t>
      </w:r>
      <w:r w:rsidRPr="001D49D4">
        <w:rPr>
          <w:color w:val="E36C0A" w:themeColor="accent6" w:themeShade="BF"/>
          <w:rtl/>
        </w:rPr>
        <w:t xml:space="preserve"> (וכ"פ בשו"ע)</w:t>
      </w:r>
    </w:p>
    <w:p w14:paraId="1D08365C" w14:textId="77777777" w:rsidR="001D49D4" w:rsidRPr="001D49D4" w:rsidRDefault="001D49D4" w:rsidP="0004348D">
      <w:pPr>
        <w:spacing w:before="360" w:after="240"/>
        <w:rPr>
          <w:rFonts w:ascii="Arial" w:eastAsia="Calibri" w:hAnsi="Arial" w:cs="Arial"/>
          <w:b/>
          <w:bCs/>
          <w:color w:val="000000"/>
          <w:sz w:val="28"/>
          <w:szCs w:val="28"/>
          <w:u w:val="single"/>
          <w:rtl/>
        </w:rPr>
      </w:pPr>
      <w:r w:rsidRPr="001D49D4">
        <w:rPr>
          <w:rFonts w:ascii="Arial" w:eastAsia="Calibri" w:hAnsi="Arial" w:cs="Arial"/>
          <w:b/>
          <w:bCs/>
          <w:color w:val="000000"/>
          <w:sz w:val="28"/>
          <w:szCs w:val="28"/>
          <w:u w:val="single"/>
          <w:rtl/>
        </w:rPr>
        <w:t>שו"ע:</w:t>
      </w:r>
    </w:p>
    <w:p w14:paraId="5F1A24C9"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rtl/>
        </w:rPr>
        <w:t>המלוה את חבירו בעדים או שהודה</w:t>
      </w:r>
      <w:r w:rsidRPr="001D49D4">
        <w:rPr>
          <w:rFonts w:ascii="Calibri" w:eastAsia="Calibri" w:hAnsi="Calibri" w:cs="Arial"/>
          <w:vertAlign w:val="superscript"/>
          <w:rtl/>
        </w:rPr>
        <w:footnoteReference w:id="2866"/>
      </w:r>
      <w:r w:rsidRPr="001D49D4">
        <w:rPr>
          <w:rFonts w:ascii="Calibri" w:eastAsia="Calibri" w:hAnsi="Calibri" w:cs="Arial"/>
          <w:rtl/>
        </w:rPr>
        <w:t xml:space="preserve"> בפני עדים שהוא חייב לו, נקרא מלוה על פה, ואינו גובה מהמשועבדים</w:t>
      </w:r>
      <w:r w:rsidRPr="001D49D4">
        <w:rPr>
          <w:rFonts w:ascii="Calibri" w:eastAsia="Calibri" w:hAnsi="Calibri" w:cs="Arial"/>
          <w:vertAlign w:val="superscript"/>
          <w:rtl/>
        </w:rPr>
        <w:footnoteReference w:id="2867"/>
      </w:r>
      <w:r w:rsidRPr="001D49D4">
        <w:rPr>
          <w:rFonts w:ascii="Calibri" w:eastAsia="Calibri" w:hAnsi="Calibri" w:cs="Arial"/>
          <w:rtl/>
        </w:rPr>
        <w:t xml:space="preserve">. והמלוה את חבירו בשטר </w:t>
      </w:r>
      <w:r w:rsidRPr="001D49D4">
        <w:rPr>
          <w:rFonts w:ascii="Calibri" w:eastAsia="Calibri" w:hAnsi="Calibri" w:cs="Arial"/>
          <w:vertAlign w:val="superscript"/>
          <w:rtl/>
        </w:rPr>
        <w:footnoteReference w:id="2868"/>
      </w:r>
      <w:r w:rsidRPr="001D49D4">
        <w:rPr>
          <w:rFonts w:ascii="Calibri" w:eastAsia="Calibri" w:hAnsi="Calibri" w:cs="Arial"/>
          <w:rtl/>
        </w:rPr>
        <w:t>[גובה מן המשועבדים]</w:t>
      </w:r>
      <w:r w:rsidRPr="001D49D4">
        <w:rPr>
          <w:rFonts w:ascii="Calibri" w:eastAsia="Calibri" w:hAnsi="Calibri" w:cs="Arial"/>
          <w:sz w:val="18"/>
          <w:szCs w:val="18"/>
          <w:rtl/>
        </w:rPr>
        <w:t xml:space="preserve"> </w:t>
      </w:r>
      <w:r w:rsidRPr="001D49D4">
        <w:rPr>
          <w:rFonts w:ascii="Calibri" w:eastAsia="Calibri" w:hAnsi="Calibri" w:cs="Arial"/>
          <w:rtl/>
        </w:rPr>
        <w:t xml:space="preserve">אפילו לא כתב אחריות, דקיימא לן אחריות טעות סופר הוא. ואם יש עדים שקנו מידו, אפילו לא נכתב, גובה ממשעבדי. </w:t>
      </w:r>
      <w:r w:rsidRPr="001D49D4">
        <w:rPr>
          <w:rFonts w:ascii="Calibri" w:eastAsia="Calibri" w:hAnsi="Calibri" w:cs="Arial"/>
          <w:sz w:val="18"/>
          <w:szCs w:val="18"/>
          <w:rtl/>
        </w:rPr>
        <w:t>הגה: ועיין לקמן סימן ס"א סעיף ב' וסעיף י' איזה מקרי שטר, ועיין לקמן ריש סימן רכ"ה</w:t>
      </w:r>
      <w:r w:rsidRPr="001D49D4">
        <w:rPr>
          <w:rFonts w:ascii="Calibri" w:eastAsia="Calibri" w:hAnsi="Calibri" w:cs="Arial"/>
          <w:sz w:val="18"/>
          <w:szCs w:val="18"/>
          <w:vertAlign w:val="superscript"/>
          <w:rtl/>
        </w:rPr>
        <w:footnoteReference w:id="2869"/>
      </w:r>
      <w:r w:rsidRPr="001D49D4">
        <w:rPr>
          <w:rFonts w:ascii="Calibri" w:eastAsia="Calibri" w:hAnsi="Calibri" w:cs="Arial"/>
          <w:sz w:val="18"/>
          <w:szCs w:val="18"/>
          <w:rtl/>
        </w:rPr>
        <w:t xml:space="preserve"> מדין אחריות טעות סופר.</w:t>
      </w:r>
      <w:r w:rsidRPr="001D49D4">
        <w:rPr>
          <w:rFonts w:ascii="Calibri" w:eastAsia="Calibri" w:hAnsi="Calibri" w:cs="Arial"/>
          <w:rtl/>
        </w:rPr>
        <w:t xml:space="preserve"> </w:t>
      </w:r>
    </w:p>
    <w:p w14:paraId="09022A29" w14:textId="77777777" w:rsidR="001D49D4" w:rsidRPr="001D49D4" w:rsidRDefault="001D49D4" w:rsidP="0004348D">
      <w:pPr>
        <w:spacing w:before="360" w:after="240"/>
        <w:rPr>
          <w:rFonts w:ascii="Calibri" w:eastAsia="Calibri" w:hAnsi="Calibri" w:cs="Arial"/>
          <w:rtl/>
        </w:rPr>
      </w:pPr>
    </w:p>
    <w:p w14:paraId="33181307" w14:textId="77777777" w:rsidR="001D49D4" w:rsidRPr="001D49D4" w:rsidRDefault="001D49D4" w:rsidP="0004348D">
      <w:pPr>
        <w:keepNext/>
        <w:keepLines/>
        <w:spacing w:before="360" w:after="240"/>
        <w:outlineLvl w:val="1"/>
        <w:rPr>
          <w:rFonts w:ascii="Cambria" w:eastAsia="Times New Roman" w:hAnsi="Cambria" w:cs="Arial"/>
          <w:bCs/>
          <w:color w:val="548DD4" w:themeColor="text2" w:themeTint="99"/>
          <w:sz w:val="26"/>
          <w:szCs w:val="26"/>
          <w:rtl/>
        </w:rPr>
      </w:pPr>
      <w:bookmarkStart w:id="386" w:name="_Toc24883828"/>
      <w:r w:rsidRPr="001D49D4">
        <w:rPr>
          <w:rFonts w:ascii="Cambria" w:eastAsia="Times New Roman" w:hAnsi="Cambria" w:cs="Arial"/>
          <w:bCs/>
          <w:color w:val="548DD4" w:themeColor="text2" w:themeTint="99"/>
          <w:sz w:val="26"/>
          <w:szCs w:val="26"/>
          <w:rtl/>
        </w:rPr>
        <w:t>סעיף ב: כתיבת שטר כשמלוה את חברו בעדים.</w:t>
      </w:r>
      <w:bookmarkEnd w:id="386"/>
    </w:p>
    <w:p w14:paraId="3D9ECCDC" w14:textId="77777777" w:rsidR="001D49D4" w:rsidRPr="001D49D4" w:rsidRDefault="001D49D4" w:rsidP="0004348D">
      <w:pPr>
        <w:spacing w:before="360" w:after="240"/>
        <w:rPr>
          <w:rFonts w:ascii="Calibri" w:eastAsia="Calibri" w:hAnsi="Calibri" w:cs="Arial"/>
          <w:u w:val="single"/>
          <w:rtl/>
        </w:rPr>
      </w:pPr>
      <w:r w:rsidRPr="001D49D4">
        <w:rPr>
          <w:rFonts w:ascii="Calibri" w:eastAsia="Calibri" w:hAnsi="Calibri" w:cs="Arial"/>
          <w:u w:val="single"/>
          <w:rtl/>
        </w:rPr>
        <w:t>מקבלי עדות שקבלו עדות מעדים שהעידו שזה לוה בפניהם מנה – האם בית דין יכולים לכתוב על פי האחרונים שטר:</w:t>
      </w:r>
    </w:p>
    <w:p w14:paraId="1025DB2F" w14:textId="77777777" w:rsidR="001D49D4" w:rsidRPr="001D49D4" w:rsidRDefault="001D49D4" w:rsidP="0004348D">
      <w:pPr>
        <w:numPr>
          <w:ilvl w:val="0"/>
          <w:numId w:val="205"/>
        </w:numPr>
        <w:spacing w:before="360" w:after="240"/>
        <w:contextualSpacing/>
      </w:pPr>
      <w:r w:rsidRPr="001D49D4">
        <w:rPr>
          <w:rtl/>
        </w:rPr>
        <w:lastRenderedPageBreak/>
        <w:t xml:space="preserve">בעל התרומות </w:t>
      </w:r>
      <w:r w:rsidRPr="001D49D4">
        <w:rPr>
          <w:sz w:val="16"/>
          <w:szCs w:val="16"/>
          <w:rtl/>
        </w:rPr>
        <w:t>(שער נז ח"ב סו"ס ה)</w:t>
      </w:r>
      <w:r w:rsidRPr="001D49D4">
        <w:rPr>
          <w:rtl/>
        </w:rPr>
        <w:t>- מסתברא מקבלי עדות שקבלו עדות מעדים שהעידו שזה לוה בפניהם מנה, אם בלא קנין ולא אמר כתובו - אין לבית דין לכתוב אותו עדות בשטר</w:t>
      </w:r>
      <w:r w:rsidRPr="001D49D4">
        <w:rPr>
          <w:vertAlign w:val="superscript"/>
          <w:rtl/>
        </w:rPr>
        <w:footnoteReference w:id="2870"/>
      </w:r>
      <w:r w:rsidRPr="001D49D4">
        <w:rPr>
          <w:rtl/>
        </w:rPr>
        <w:t xml:space="preserve">, דכמעשה בית דין דמי ותו לא מצי למיטען פרעתי, ולפיכך אין לחתמו להם, שלא לעשות ממלוה על פה מלוה בשטר. </w:t>
      </w:r>
      <w:r w:rsidRPr="001D49D4">
        <w:rPr>
          <w:color w:val="E36C0A" w:themeColor="accent6" w:themeShade="BF"/>
          <w:rtl/>
        </w:rPr>
        <w:t>(וכ"פ בשו"ע)</w:t>
      </w:r>
    </w:p>
    <w:p w14:paraId="17564396"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b/>
          <w:bCs/>
          <w:rtl/>
        </w:rPr>
        <w:t xml:space="preserve">כתובות </w:t>
      </w:r>
      <w:r w:rsidRPr="001D49D4">
        <w:rPr>
          <w:rFonts w:ascii="Calibri" w:eastAsia="Calibri" w:hAnsi="Calibri" w:cs="Arial"/>
          <w:b/>
          <w:bCs/>
          <w:sz w:val="16"/>
          <w:szCs w:val="16"/>
          <w:rtl/>
        </w:rPr>
        <w:t xml:space="preserve">(ר"פ אף על פי) </w:t>
      </w:r>
      <w:r w:rsidRPr="001D49D4">
        <w:rPr>
          <w:rFonts w:ascii="Calibri" w:eastAsia="Calibri" w:hAnsi="Calibri" w:cs="Arial"/>
          <w:b/>
          <w:bCs/>
          <w:rtl/>
        </w:rPr>
        <w:t>נד</w:t>
      </w:r>
      <w:r w:rsidRPr="001D49D4">
        <w:rPr>
          <w:rFonts w:ascii="Calibri" w:eastAsia="Calibri" w:hAnsi="Calibri" w:cs="Arial"/>
          <w:b/>
          <w:bCs/>
          <w:vertAlign w:val="superscript"/>
          <w:rtl/>
        </w:rPr>
        <w:footnoteReference w:id="2871"/>
      </w:r>
      <w:r w:rsidRPr="001D49D4">
        <w:rPr>
          <w:rFonts w:ascii="Calibri" w:eastAsia="Calibri" w:hAnsi="Calibri" w:cs="Arial"/>
          <w:b/>
          <w:bCs/>
          <w:rtl/>
        </w:rPr>
        <w:t xml:space="preserve"> ע"ב: </w:t>
      </w:r>
      <w:r w:rsidRPr="001D49D4">
        <w:rPr>
          <w:rFonts w:ascii="Calibri" w:eastAsia="Calibri" w:hAnsi="Calibri" w:cs="Arial"/>
          <w:u w:val="double"/>
          <w:rtl/>
        </w:rPr>
        <w:t>מתני':</w:t>
      </w:r>
      <w:r w:rsidRPr="001D49D4">
        <w:rPr>
          <w:rFonts w:ascii="Calibri" w:eastAsia="Calibri" w:hAnsi="Calibri" w:cs="Arial"/>
          <w:rtl/>
        </w:rPr>
        <w:t xml:space="preserve"> אף על פי שאמרו בתולה גובה מאתים ואלמנה מנה, אם רצה להוסיף אפי' מאה מנה - יוסיף...        </w:t>
      </w:r>
      <w:r w:rsidRPr="001D49D4">
        <w:rPr>
          <w:rFonts w:ascii="Calibri" w:eastAsia="Calibri" w:hAnsi="Calibri" w:cs="Arial"/>
          <w:u w:val="double"/>
          <w:rtl/>
        </w:rPr>
        <w:t>גמ'</w:t>
      </w:r>
      <w:r w:rsidRPr="001D49D4">
        <w:rPr>
          <w:rFonts w:ascii="Calibri" w:eastAsia="Calibri" w:hAnsi="Calibri" w:cs="Arial"/>
          <w:sz w:val="14"/>
          <w:szCs w:val="14"/>
          <w:u w:val="double"/>
          <w:rtl/>
        </w:rPr>
        <w:t xml:space="preserve"> (נה.)</w:t>
      </w:r>
      <w:r w:rsidRPr="001D49D4">
        <w:rPr>
          <w:rFonts w:ascii="Calibri" w:eastAsia="Calibri" w:hAnsi="Calibri" w:cs="Arial"/>
          <w:u w:val="double"/>
          <w:rtl/>
        </w:rPr>
        <w:t>:</w:t>
      </w:r>
      <w:r w:rsidRPr="001D49D4">
        <w:rPr>
          <w:rFonts w:ascii="Calibri" w:eastAsia="Calibri" w:hAnsi="Calibri" w:cs="Arial"/>
          <w:rtl/>
        </w:rPr>
        <w:t xml:space="preserve"> אמר לעדים כתבו וחתמו והבו ליה, קנו מיניה - לא צריך אימלוכי ביה</w:t>
      </w:r>
      <w:r w:rsidRPr="001D49D4">
        <w:rPr>
          <w:rFonts w:ascii="Calibri" w:eastAsia="Calibri" w:hAnsi="Calibri" w:cs="Arial"/>
          <w:vertAlign w:val="superscript"/>
          <w:rtl/>
        </w:rPr>
        <w:footnoteReference w:id="2872"/>
      </w:r>
      <w:r w:rsidRPr="001D49D4">
        <w:rPr>
          <w:rFonts w:ascii="Calibri" w:eastAsia="Calibri" w:hAnsi="Calibri" w:cs="Arial"/>
          <w:rtl/>
        </w:rPr>
        <w:t xml:space="preserve">, לא קנו מיניה - </w:t>
      </w:r>
      <w:r w:rsidRPr="001D49D4">
        <w:rPr>
          <w:rFonts w:ascii="Calibri" w:eastAsia="Calibri" w:hAnsi="Calibri" w:cs="Arial"/>
          <w:u w:val="single"/>
          <w:rtl/>
        </w:rPr>
        <w:t>פומבדיתא אמרי</w:t>
      </w:r>
      <w:r w:rsidRPr="001D49D4">
        <w:rPr>
          <w:rFonts w:ascii="Calibri" w:eastAsia="Calibri" w:hAnsi="Calibri" w:cs="Arial"/>
          <w:rtl/>
        </w:rPr>
        <w:t xml:space="preserve">: לא צריך אימלוכי ביה. </w:t>
      </w:r>
      <w:r w:rsidRPr="001D49D4">
        <w:rPr>
          <w:rFonts w:ascii="Calibri" w:eastAsia="Calibri" w:hAnsi="Calibri" w:cs="Arial"/>
          <w:u w:val="single"/>
          <w:rtl/>
        </w:rPr>
        <w:t>בני מתא מחסיא אמרי</w:t>
      </w:r>
      <w:r w:rsidRPr="001D49D4">
        <w:rPr>
          <w:rFonts w:ascii="Calibri" w:eastAsia="Calibri" w:hAnsi="Calibri" w:cs="Arial"/>
          <w:rtl/>
        </w:rPr>
        <w:t xml:space="preserve">: צריך אימלוכי ביה. והלכתא: צריך אימלוכי ביה. </w:t>
      </w:r>
    </w:p>
    <w:p w14:paraId="636B9D18" w14:textId="77777777" w:rsidR="001D49D4" w:rsidRPr="001D49D4" w:rsidRDefault="001D49D4" w:rsidP="0004348D">
      <w:pPr>
        <w:spacing w:before="360" w:after="240"/>
        <w:rPr>
          <w:rFonts w:ascii="Calibri" w:eastAsia="Calibri" w:hAnsi="Calibri" w:cs="Arial"/>
          <w:u w:val="single"/>
          <w:rtl/>
        </w:rPr>
      </w:pPr>
      <w:r w:rsidRPr="001D49D4">
        <w:rPr>
          <w:rFonts w:ascii="Calibri" w:eastAsia="Calibri" w:hAnsi="Calibri" w:cs="Arial"/>
          <w:u w:val="single"/>
          <w:rtl/>
        </w:rPr>
        <w:t>הודה בחובו בפני ב' ואמר 'כתבו וחתמו והבו ליה' ולא קנו מידו – האם צריכים להמלך בו אחר שחתמו בשטר:</w:t>
      </w:r>
    </w:p>
    <w:p w14:paraId="32768620" w14:textId="77777777" w:rsidR="001D49D4" w:rsidRPr="001D49D4" w:rsidRDefault="001D49D4" w:rsidP="0004348D">
      <w:pPr>
        <w:numPr>
          <w:ilvl w:val="0"/>
          <w:numId w:val="206"/>
        </w:numPr>
        <w:spacing w:before="360" w:after="240"/>
        <w:contextualSpacing/>
        <w:rPr>
          <w:rtl/>
        </w:rPr>
      </w:pPr>
      <w:r w:rsidRPr="001D49D4">
        <w:rPr>
          <w:rtl/>
        </w:rPr>
        <w:t xml:space="preserve">רמב"ם </w:t>
      </w:r>
      <w:r w:rsidRPr="001D49D4">
        <w:rPr>
          <w:sz w:val="16"/>
          <w:szCs w:val="16"/>
          <w:rtl/>
        </w:rPr>
        <w:t>(פי"א ממלוה ולוה ה"א)</w:t>
      </w:r>
      <w:r w:rsidRPr="001D49D4">
        <w:rPr>
          <w:rtl/>
        </w:rPr>
        <w:t>- הודה בפני שנים ולא קנו מידו אע"פ שאמר להם כתבו וחתמו והבו ליה - צריכין להמלך בו אחר שחתמו בשטר, ואח"כ נותנין השטר ביד המלוה</w:t>
      </w:r>
      <w:r w:rsidRPr="001D49D4">
        <w:rPr>
          <w:vertAlign w:val="superscript"/>
          <w:rtl/>
        </w:rPr>
        <w:footnoteReference w:id="2873"/>
      </w:r>
      <w:r w:rsidRPr="001D49D4">
        <w:rPr>
          <w:rtl/>
        </w:rPr>
        <w:t>.</w:t>
      </w:r>
      <w:r w:rsidRPr="001D49D4">
        <w:rPr>
          <w:color w:val="E36C0A" w:themeColor="accent6" w:themeShade="BF"/>
          <w:rtl/>
        </w:rPr>
        <w:t xml:space="preserve"> (וכ"ס בשו"ע)</w:t>
      </w:r>
    </w:p>
    <w:p w14:paraId="08043C64" w14:textId="77777777" w:rsidR="001D49D4" w:rsidRPr="001D49D4" w:rsidRDefault="001D49D4" w:rsidP="0004348D">
      <w:pPr>
        <w:numPr>
          <w:ilvl w:val="0"/>
          <w:numId w:val="206"/>
        </w:numPr>
        <w:spacing w:before="360" w:after="240"/>
        <w:contextualSpacing/>
        <w:rPr>
          <w:rtl/>
        </w:rPr>
      </w:pPr>
      <w:r w:rsidRPr="001D49D4">
        <w:rPr>
          <w:rtl/>
        </w:rPr>
        <w:t xml:space="preserve">ראב"ד </w:t>
      </w:r>
      <w:r w:rsidRPr="001D49D4">
        <w:rPr>
          <w:sz w:val="16"/>
          <w:szCs w:val="16"/>
          <w:rtl/>
        </w:rPr>
        <w:t>(בהשגות שם)</w:t>
      </w:r>
      <w:r w:rsidRPr="001D49D4">
        <w:rPr>
          <w:rtl/>
        </w:rPr>
        <w:t>- אני קבלתי שלא נאמר כן בגמרא אלא בכותב כתובה לאשתו ומוסיף לה, אבל בהודאות והלואות לא צריך לאמלוכי ביה</w:t>
      </w:r>
      <w:r w:rsidRPr="001D49D4">
        <w:rPr>
          <w:vertAlign w:val="superscript"/>
          <w:rtl/>
        </w:rPr>
        <w:footnoteReference w:id="2874"/>
      </w:r>
      <w:r w:rsidRPr="001D49D4">
        <w:rPr>
          <w:rtl/>
        </w:rPr>
        <w:t xml:space="preserve">.  </w:t>
      </w:r>
    </w:p>
    <w:p w14:paraId="258D75BD"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u w:val="single"/>
          <w:rtl/>
        </w:rPr>
        <w:t>הודה בפני זה ואח"כ הודה בפני אחר:</w:t>
      </w:r>
    </w:p>
    <w:p w14:paraId="3EEA89FC" w14:textId="77777777" w:rsidR="001D49D4" w:rsidRPr="001D49D4" w:rsidRDefault="001D49D4" w:rsidP="0004348D">
      <w:pPr>
        <w:numPr>
          <w:ilvl w:val="0"/>
          <w:numId w:val="205"/>
        </w:numPr>
        <w:spacing w:before="360" w:after="240"/>
        <w:contextualSpacing/>
        <w:rPr>
          <w:rtl/>
        </w:rPr>
      </w:pPr>
      <w:r w:rsidRPr="001D49D4">
        <w:rPr>
          <w:rtl/>
        </w:rPr>
        <w:t xml:space="preserve">רשב"א </w:t>
      </w:r>
      <w:r w:rsidRPr="001D49D4">
        <w:rPr>
          <w:sz w:val="16"/>
          <w:szCs w:val="16"/>
          <w:rtl/>
        </w:rPr>
        <w:t xml:space="preserve">(סי' אלף קיב) </w:t>
      </w:r>
      <w:r w:rsidRPr="001D49D4">
        <w:rPr>
          <w:rtl/>
        </w:rPr>
        <w:t xml:space="preserve">ורי"ו </w:t>
      </w:r>
      <w:r w:rsidRPr="001D49D4">
        <w:rPr>
          <w:sz w:val="16"/>
          <w:szCs w:val="16"/>
          <w:rtl/>
        </w:rPr>
        <w:t>(מישרים נ"ד ח"א יט ע"ג)</w:t>
      </w:r>
      <w:r w:rsidRPr="001D49D4">
        <w:rPr>
          <w:rtl/>
        </w:rPr>
        <w:t>- הא דאמרינן הודאה בפני שנים לאו דוקא שניהם יחד אלא אפילו זה אחר זה</w:t>
      </w:r>
      <w:r w:rsidRPr="001D49D4">
        <w:rPr>
          <w:vertAlign w:val="superscript"/>
          <w:rtl/>
        </w:rPr>
        <w:footnoteReference w:id="2875"/>
      </w:r>
      <w:r w:rsidRPr="001D49D4">
        <w:rPr>
          <w:rtl/>
        </w:rPr>
        <w:t xml:space="preserve">. </w:t>
      </w:r>
    </w:p>
    <w:p w14:paraId="46BC5679" w14:textId="77777777" w:rsidR="001D49D4" w:rsidRPr="001D49D4" w:rsidRDefault="001D49D4" w:rsidP="0004348D">
      <w:pPr>
        <w:spacing w:before="360" w:after="240"/>
        <w:rPr>
          <w:rFonts w:ascii="Arial" w:eastAsia="Calibri" w:hAnsi="Arial" w:cs="Arial"/>
          <w:b/>
          <w:bCs/>
          <w:color w:val="000000"/>
          <w:sz w:val="28"/>
          <w:szCs w:val="28"/>
          <w:u w:val="single"/>
        </w:rPr>
      </w:pPr>
      <w:r w:rsidRPr="001D49D4">
        <w:rPr>
          <w:rFonts w:ascii="Arial" w:eastAsia="Calibri" w:hAnsi="Arial" w:cs="Arial"/>
          <w:b/>
          <w:bCs/>
          <w:color w:val="000000"/>
          <w:sz w:val="28"/>
          <w:szCs w:val="28"/>
          <w:u w:val="single"/>
          <w:rtl/>
        </w:rPr>
        <w:t>שו"ע:</w:t>
      </w:r>
    </w:p>
    <w:p w14:paraId="424E3633"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rtl/>
        </w:rPr>
        <w:t>המלוה את חבירו בעדים, אין כותבין עדותן ונותנין למלוה, שלא יחזירו למלוה על פה מלוה בשטר, עד שיאמר להם הלוה כתבו שטר וחתמו ותנו לו. ואף על פי שאמר להם כן, צריכים להמלך בו אחר שחתמו בשטר, ואחר כך נותנים השטר ביד המלוה. ויש אומרים שאינם צריכים להמלך בו</w:t>
      </w:r>
      <w:r w:rsidRPr="001D49D4">
        <w:rPr>
          <w:rFonts w:ascii="Calibri" w:eastAsia="Calibri" w:hAnsi="Calibri" w:cs="Arial"/>
          <w:vertAlign w:val="superscript"/>
          <w:rtl/>
        </w:rPr>
        <w:footnoteReference w:id="2876"/>
      </w:r>
      <w:r w:rsidRPr="001D49D4">
        <w:rPr>
          <w:rFonts w:ascii="Calibri" w:eastAsia="Calibri" w:hAnsi="Calibri" w:cs="Arial"/>
          <w:rtl/>
        </w:rPr>
        <w:t xml:space="preserve">. </w:t>
      </w:r>
    </w:p>
    <w:p w14:paraId="4D821EFD" w14:textId="77777777" w:rsidR="001D49D4" w:rsidRPr="001D49D4" w:rsidRDefault="001D49D4" w:rsidP="0004348D">
      <w:pPr>
        <w:spacing w:before="360" w:after="240"/>
        <w:rPr>
          <w:rFonts w:ascii="Calibri" w:eastAsia="Calibri" w:hAnsi="Calibri" w:cs="Arial"/>
          <w:rtl/>
        </w:rPr>
      </w:pPr>
    </w:p>
    <w:p w14:paraId="13EBAF4C" w14:textId="77777777" w:rsidR="001D49D4" w:rsidRPr="001D49D4" w:rsidRDefault="001D49D4" w:rsidP="0004348D">
      <w:pPr>
        <w:keepNext/>
        <w:keepLines/>
        <w:spacing w:before="360" w:after="240"/>
        <w:outlineLvl w:val="1"/>
        <w:rPr>
          <w:rFonts w:ascii="Cambria" w:eastAsia="Times New Roman" w:hAnsi="Cambria" w:cs="Arial"/>
          <w:bCs/>
          <w:color w:val="548DD4" w:themeColor="text2" w:themeTint="99"/>
          <w:sz w:val="26"/>
          <w:szCs w:val="26"/>
          <w:rtl/>
        </w:rPr>
      </w:pPr>
      <w:bookmarkStart w:id="387" w:name="_Toc24883829"/>
      <w:r w:rsidRPr="001D49D4">
        <w:rPr>
          <w:rFonts w:ascii="Cambria" w:eastAsia="Times New Roman" w:hAnsi="Cambria" w:cs="Arial"/>
          <w:bCs/>
          <w:color w:val="548DD4" w:themeColor="text2" w:themeTint="99"/>
          <w:sz w:val="26"/>
          <w:szCs w:val="26"/>
          <w:rtl/>
        </w:rPr>
        <w:t>סעיף ג: כתיבת שטר כשמלוה את חברו בעדים וקנו מידו.</w:t>
      </w:r>
      <w:bookmarkEnd w:id="387"/>
    </w:p>
    <w:p w14:paraId="53B0B2DA"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b/>
          <w:bCs/>
          <w:rtl/>
        </w:rPr>
        <w:t xml:space="preserve">בבא בתרא </w:t>
      </w:r>
      <w:r w:rsidRPr="001D49D4">
        <w:rPr>
          <w:rFonts w:ascii="Calibri" w:eastAsia="Calibri" w:hAnsi="Calibri" w:cs="Arial"/>
          <w:b/>
          <w:bCs/>
          <w:sz w:val="16"/>
          <w:szCs w:val="16"/>
          <w:rtl/>
        </w:rPr>
        <w:t>(פרק חזקת)</w:t>
      </w:r>
      <w:r w:rsidRPr="001D49D4">
        <w:rPr>
          <w:rFonts w:ascii="Calibri" w:eastAsia="Calibri" w:hAnsi="Calibri" w:cs="Arial"/>
          <w:b/>
          <w:bCs/>
          <w:rtl/>
        </w:rPr>
        <w:t xml:space="preserve"> מ</w:t>
      </w:r>
      <w:r w:rsidRPr="001D49D4">
        <w:rPr>
          <w:rFonts w:ascii="Calibri" w:eastAsia="Calibri" w:hAnsi="Calibri" w:cs="Arial"/>
          <w:b/>
          <w:bCs/>
          <w:vertAlign w:val="superscript"/>
          <w:rtl/>
        </w:rPr>
        <w:footnoteReference w:id="2877"/>
      </w:r>
      <w:r w:rsidRPr="001D49D4">
        <w:rPr>
          <w:rFonts w:ascii="Calibri" w:eastAsia="Calibri" w:hAnsi="Calibri" w:cs="Arial"/>
          <w:b/>
          <w:bCs/>
          <w:rtl/>
        </w:rPr>
        <w:t xml:space="preserve"> ע"א</w:t>
      </w:r>
      <w:r w:rsidRPr="001D49D4">
        <w:rPr>
          <w:rFonts w:ascii="Calibri" w:eastAsia="Calibri" w:hAnsi="Calibri" w:cs="Arial"/>
          <w:b/>
          <w:bCs/>
          <w:vertAlign w:val="superscript"/>
          <w:rtl/>
        </w:rPr>
        <w:footnoteReference w:id="2878"/>
      </w:r>
      <w:r w:rsidRPr="001D49D4">
        <w:rPr>
          <w:rFonts w:ascii="Calibri" w:eastAsia="Calibri" w:hAnsi="Calibri" w:cs="Arial"/>
          <w:b/>
          <w:bCs/>
          <w:rtl/>
        </w:rPr>
        <w:t>:</w:t>
      </w:r>
      <w:r w:rsidRPr="001D49D4">
        <w:rPr>
          <w:rFonts w:ascii="Calibri" w:eastAsia="Calibri" w:hAnsi="Calibri" w:cs="Arial"/>
          <w:rtl/>
        </w:rPr>
        <w:t xml:space="preserve"> </w:t>
      </w:r>
      <w:r w:rsidRPr="001D49D4">
        <w:rPr>
          <w:rFonts w:ascii="Calibri" w:eastAsia="Calibri" w:hAnsi="Calibri" w:cs="Arial"/>
          <w:u w:val="single"/>
          <w:rtl/>
        </w:rPr>
        <w:t>אמר רבא א"ר נחמן</w:t>
      </w:r>
      <w:r w:rsidRPr="001D49D4">
        <w:rPr>
          <w:rFonts w:ascii="Calibri" w:eastAsia="Calibri" w:hAnsi="Calibri" w:cs="Arial"/>
          <w:rtl/>
        </w:rPr>
        <w:t xml:space="preserve">:... </w:t>
      </w:r>
      <w:r w:rsidRPr="001D49D4">
        <w:rPr>
          <w:rFonts w:ascii="Calibri" w:eastAsia="Calibri" w:hAnsi="Calibri" w:cs="Arial"/>
          <w:sz w:val="14"/>
          <w:szCs w:val="14"/>
          <w:rtl/>
        </w:rPr>
        <w:t>(מ.)</w:t>
      </w:r>
      <w:r w:rsidRPr="001D49D4">
        <w:rPr>
          <w:rFonts w:ascii="Calibri" w:eastAsia="Calibri" w:hAnsi="Calibri" w:cs="Arial"/>
          <w:rtl/>
        </w:rPr>
        <w:t xml:space="preserve"> הודאה בפני שנים, וצריך לומר כתובו...</w:t>
      </w:r>
    </w:p>
    <w:p w14:paraId="3CCA3089" w14:textId="77777777" w:rsidR="001D49D4" w:rsidRPr="001D49D4" w:rsidRDefault="001D49D4" w:rsidP="0004348D">
      <w:pPr>
        <w:spacing w:before="360" w:after="240"/>
        <w:rPr>
          <w:rFonts w:ascii="Calibri" w:eastAsia="Calibri" w:hAnsi="Calibri" w:cs="Arial"/>
          <w:u w:val="single"/>
          <w:rtl/>
        </w:rPr>
      </w:pPr>
      <w:r w:rsidRPr="001D49D4">
        <w:rPr>
          <w:rFonts w:ascii="Calibri" w:eastAsia="Calibri" w:hAnsi="Calibri" w:cs="Arial"/>
          <w:u w:val="single"/>
          <w:rtl/>
        </w:rPr>
        <w:t>הודה בפני ב' עדים שחייב לפלוני ולקח בקנין:</w:t>
      </w:r>
    </w:p>
    <w:p w14:paraId="33B4BB5B" w14:textId="77777777" w:rsidR="001D49D4" w:rsidRPr="001D49D4" w:rsidRDefault="001D49D4" w:rsidP="0004348D">
      <w:pPr>
        <w:numPr>
          <w:ilvl w:val="0"/>
          <w:numId w:val="205"/>
        </w:numPr>
        <w:spacing w:before="360" w:after="240"/>
        <w:contextualSpacing/>
        <w:rPr>
          <w:rtl/>
        </w:rPr>
      </w:pPr>
      <w:r w:rsidRPr="001D49D4">
        <w:rPr>
          <w:rtl/>
        </w:rPr>
        <w:lastRenderedPageBreak/>
        <w:t xml:space="preserve">רמב"ם </w:t>
      </w:r>
      <w:r w:rsidRPr="001D49D4">
        <w:rPr>
          <w:sz w:val="16"/>
          <w:szCs w:val="16"/>
          <w:rtl/>
        </w:rPr>
        <w:t>(פי"א ממלוה ה"א)</w:t>
      </w:r>
      <w:r w:rsidRPr="001D49D4">
        <w:rPr>
          <w:rtl/>
        </w:rPr>
        <w:t xml:space="preserve"> וטור- אפילו לא ראו ההלואה אלא שהודה בפניהם שחייב לו מנה ולקח בקנין - כותבין לו</w:t>
      </w:r>
      <w:r w:rsidRPr="001D49D4">
        <w:rPr>
          <w:sz w:val="16"/>
          <w:szCs w:val="16"/>
          <w:rtl/>
        </w:rPr>
        <w:t xml:space="preserve"> (ל' הטור)</w:t>
      </w:r>
      <w:r w:rsidRPr="001D49D4">
        <w:rPr>
          <w:rtl/>
        </w:rPr>
        <w:t xml:space="preserve">. </w:t>
      </w:r>
      <w:r w:rsidRPr="001D49D4">
        <w:rPr>
          <w:color w:val="E36C0A" w:themeColor="accent6" w:themeShade="BF"/>
          <w:rtl/>
        </w:rPr>
        <w:t>(וכ"ס בשו"ע)</w:t>
      </w:r>
    </w:p>
    <w:p w14:paraId="378465C1" w14:textId="77777777" w:rsidR="001D49D4" w:rsidRPr="001D49D4" w:rsidRDefault="001D49D4" w:rsidP="0004348D">
      <w:pPr>
        <w:numPr>
          <w:ilvl w:val="0"/>
          <w:numId w:val="205"/>
        </w:numPr>
        <w:spacing w:before="360" w:after="240"/>
        <w:contextualSpacing/>
      </w:pPr>
      <w:r w:rsidRPr="001D49D4">
        <w:rPr>
          <w:rtl/>
        </w:rPr>
        <w:t xml:space="preserve">הג"א </w:t>
      </w:r>
      <w:r w:rsidRPr="001D49D4">
        <w:rPr>
          <w:sz w:val="16"/>
          <w:szCs w:val="16"/>
          <w:rtl/>
        </w:rPr>
        <w:t>(פרק זה בורר סי' כז)</w:t>
      </w:r>
      <w:r w:rsidRPr="001D49D4">
        <w:rPr>
          <w:rtl/>
        </w:rPr>
        <w:t xml:space="preserve">- הודה בפני שנים וקנו מידו כותבין פירש ריב"ן </w:t>
      </w:r>
      <w:r w:rsidRPr="001D49D4">
        <w:rPr>
          <w:sz w:val="16"/>
          <w:szCs w:val="16"/>
          <w:rtl/>
        </w:rPr>
        <w:t xml:space="preserve">(או"ז סנהדרין כט: סי' נג) </w:t>
      </w:r>
      <w:r w:rsidRPr="001D49D4">
        <w:rPr>
          <w:rtl/>
        </w:rPr>
        <w:t>שקנו מידו שיתן לו חובו עד זמן פלוני, אבל אם אמר בסתם 'הנני מודה לך בקנין בפני עדים שאני חייב' לא ידעתי על מה יחול הואיל ואין מקנה לו עתה שום דבר</w:t>
      </w:r>
      <w:r w:rsidRPr="001D49D4">
        <w:rPr>
          <w:vertAlign w:val="superscript"/>
          <w:rtl/>
        </w:rPr>
        <w:footnoteReference w:id="2879"/>
      </w:r>
      <w:r w:rsidRPr="001D49D4">
        <w:rPr>
          <w:rtl/>
        </w:rPr>
        <w:t>.</w:t>
      </w:r>
    </w:p>
    <w:p w14:paraId="6D4072D4"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b/>
          <w:bCs/>
          <w:rtl/>
        </w:rPr>
        <w:t xml:space="preserve">כתובות </w:t>
      </w:r>
      <w:r w:rsidRPr="001D49D4">
        <w:rPr>
          <w:rFonts w:ascii="Calibri" w:eastAsia="Calibri" w:hAnsi="Calibri" w:cs="Arial"/>
          <w:b/>
          <w:bCs/>
          <w:sz w:val="16"/>
          <w:szCs w:val="16"/>
          <w:rtl/>
        </w:rPr>
        <w:t xml:space="preserve">(פ"ב) </w:t>
      </w:r>
      <w:r w:rsidRPr="001D49D4">
        <w:rPr>
          <w:rFonts w:ascii="Calibri" w:eastAsia="Calibri" w:hAnsi="Calibri" w:cs="Arial"/>
          <w:b/>
          <w:bCs/>
          <w:rtl/>
        </w:rPr>
        <w:t xml:space="preserve">כ ע"א: </w:t>
      </w:r>
      <w:r w:rsidRPr="001D49D4">
        <w:rPr>
          <w:rFonts w:ascii="Calibri" w:eastAsia="Calibri" w:hAnsi="Calibri" w:cs="Arial"/>
          <w:rtl/>
        </w:rPr>
        <w:t xml:space="preserve">ת"ר: כותב אדם עדותו על השטר, ומעיד עליה אפילו לאחר כמה שנים. </w:t>
      </w:r>
    </w:p>
    <w:p w14:paraId="5C82276D"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b/>
          <w:bCs/>
          <w:rtl/>
        </w:rPr>
        <w:t xml:space="preserve">בבא בתרא </w:t>
      </w:r>
      <w:r w:rsidRPr="001D49D4">
        <w:rPr>
          <w:rFonts w:ascii="Calibri" w:eastAsia="Calibri" w:hAnsi="Calibri" w:cs="Arial"/>
          <w:b/>
          <w:bCs/>
          <w:sz w:val="16"/>
          <w:szCs w:val="16"/>
          <w:rtl/>
        </w:rPr>
        <w:t xml:space="preserve">(פרק גט פשוט) </w:t>
      </w:r>
      <w:r w:rsidRPr="001D49D4">
        <w:rPr>
          <w:rFonts w:ascii="Calibri" w:eastAsia="Calibri" w:hAnsi="Calibri" w:cs="Arial"/>
          <w:b/>
          <w:bCs/>
          <w:rtl/>
        </w:rPr>
        <w:t>קעב</w:t>
      </w:r>
      <w:r w:rsidRPr="001D49D4">
        <w:rPr>
          <w:rFonts w:ascii="Calibri" w:eastAsia="Calibri" w:hAnsi="Calibri" w:cs="Arial"/>
          <w:b/>
          <w:bCs/>
          <w:vertAlign w:val="superscript"/>
          <w:rtl/>
        </w:rPr>
        <w:footnoteReference w:id="2880"/>
      </w:r>
      <w:r w:rsidRPr="001D49D4">
        <w:rPr>
          <w:rFonts w:ascii="Calibri" w:eastAsia="Calibri" w:hAnsi="Calibri" w:cs="Arial"/>
          <w:b/>
          <w:bCs/>
          <w:rtl/>
        </w:rPr>
        <w:t xml:space="preserve"> ע"א: </w:t>
      </w:r>
      <w:r w:rsidRPr="001D49D4">
        <w:rPr>
          <w:rFonts w:ascii="Calibri" w:eastAsia="Calibri" w:hAnsi="Calibri" w:cs="Arial"/>
          <w:u w:val="single"/>
          <w:rtl/>
        </w:rPr>
        <w:t>אמר להו רבא בר רב שילא להנהו כתבי שטרא אקניאתא</w:t>
      </w:r>
      <w:r w:rsidRPr="001D49D4">
        <w:rPr>
          <w:rFonts w:ascii="Calibri" w:eastAsia="Calibri" w:hAnsi="Calibri" w:cs="Arial"/>
          <w:rtl/>
        </w:rPr>
        <w:t xml:space="preserve">: כי כתביתו שטרי אקניאתא, אי ידעיתו יומא דקניתו ביה - כתבו, ואי לא - כתבו יומא דקיימיתו ביה, כי היכי דלא מתחזי כשקרא. </w:t>
      </w:r>
    </w:p>
    <w:p w14:paraId="082F568B" w14:textId="77777777" w:rsidR="001D49D4" w:rsidRPr="001D49D4" w:rsidRDefault="001D49D4" w:rsidP="0004348D">
      <w:pPr>
        <w:spacing w:before="360" w:after="240"/>
        <w:rPr>
          <w:rFonts w:ascii="Calibri" w:eastAsia="Calibri" w:hAnsi="Calibri" w:cs="Arial"/>
          <w:u w:val="single"/>
          <w:rtl/>
        </w:rPr>
      </w:pPr>
      <w:r w:rsidRPr="001D49D4">
        <w:rPr>
          <w:rFonts w:ascii="Calibri" w:eastAsia="Calibri" w:hAnsi="Calibri" w:cs="Arial"/>
          <w:u w:val="single"/>
          <w:rtl/>
        </w:rPr>
        <w:t xml:space="preserve">הלואה שנעשתה בפני עדים בקנין – </w:t>
      </w:r>
      <w:r w:rsidRPr="001D49D4">
        <w:rPr>
          <w:rFonts w:ascii="Calibri" w:eastAsia="Calibri" w:hAnsi="Calibri" w:cs="Arial"/>
          <w:b/>
          <w:bCs/>
          <w:u w:val="single"/>
          <w:rtl/>
        </w:rPr>
        <w:t>ולאחר זמן הפרעון</w:t>
      </w:r>
      <w:r w:rsidRPr="001D49D4">
        <w:rPr>
          <w:rFonts w:ascii="Calibri" w:eastAsia="Calibri" w:hAnsi="Calibri" w:cs="Arial"/>
          <w:u w:val="single"/>
          <w:rtl/>
        </w:rPr>
        <w:t xml:space="preserve"> ביקש המלוה מהעדים שיכתבו לו עדותן:</w:t>
      </w:r>
    </w:p>
    <w:p w14:paraId="1B17D316" w14:textId="77777777" w:rsidR="001D49D4" w:rsidRPr="001D49D4" w:rsidRDefault="001D49D4" w:rsidP="0004348D">
      <w:pPr>
        <w:numPr>
          <w:ilvl w:val="0"/>
          <w:numId w:val="207"/>
        </w:numPr>
        <w:spacing w:before="360" w:after="240"/>
        <w:contextualSpacing/>
        <w:rPr>
          <w:rtl/>
        </w:rPr>
      </w:pPr>
      <w:r w:rsidRPr="001D49D4">
        <w:rPr>
          <w:rtl/>
        </w:rPr>
        <w:t>גאונים בהעי"ט</w:t>
      </w:r>
      <w:r w:rsidRPr="001D49D4">
        <w:rPr>
          <w:vertAlign w:val="superscript"/>
          <w:rtl/>
        </w:rPr>
        <w:footnoteReference w:id="2881"/>
      </w:r>
      <w:r w:rsidRPr="001D49D4">
        <w:rPr>
          <w:rtl/>
        </w:rPr>
        <w:t xml:space="preserve"> רמב"ן ורא"ה</w:t>
      </w:r>
      <w:r w:rsidRPr="001D49D4">
        <w:rPr>
          <w:vertAlign w:val="superscript"/>
          <w:rtl/>
        </w:rPr>
        <w:footnoteReference w:id="2882"/>
      </w:r>
      <w:r w:rsidRPr="001D49D4">
        <w:rPr>
          <w:rtl/>
        </w:rPr>
        <w:t>- לא שנא שכיב לוה ולא שנא שכיב מלוה כל דסמיך לקנין כותב, אבל ודאי משך מילתא ולא תבע ליה למכתב איכא למימר דילמא פרע. וכל סתם הלואה מקמי דלשהי שלשים יום כותבין ונותנין. והמוציא מחבירו עליו הראיה ועל הדיינין</w:t>
      </w:r>
      <w:r w:rsidRPr="001D49D4">
        <w:rPr>
          <w:sz w:val="16"/>
          <w:szCs w:val="16"/>
          <w:rtl/>
        </w:rPr>
        <w:t xml:space="preserve"> (ל' הגאונים שהעתיק הרמב"ן)</w:t>
      </w:r>
      <w:r w:rsidRPr="001D49D4">
        <w:rPr>
          <w:rtl/>
        </w:rPr>
        <w:t xml:space="preserve">.  </w:t>
      </w:r>
    </w:p>
    <w:p w14:paraId="7C09BC7E" w14:textId="77777777" w:rsidR="001D49D4" w:rsidRPr="001D49D4" w:rsidRDefault="001D49D4" w:rsidP="0004348D">
      <w:pPr>
        <w:numPr>
          <w:ilvl w:val="0"/>
          <w:numId w:val="207"/>
        </w:numPr>
        <w:spacing w:before="360" w:after="240"/>
        <w:contextualSpacing/>
        <w:rPr>
          <w:rtl/>
        </w:rPr>
      </w:pPr>
      <w:r w:rsidRPr="001D49D4">
        <w:rPr>
          <w:rtl/>
        </w:rPr>
        <w:t>ספר התרומות</w:t>
      </w:r>
      <w:r w:rsidRPr="001D49D4">
        <w:rPr>
          <w:vertAlign w:val="superscript"/>
          <w:rtl/>
        </w:rPr>
        <w:footnoteReference w:id="2883"/>
      </w:r>
      <w:r w:rsidRPr="001D49D4">
        <w:rPr>
          <w:rtl/>
        </w:rPr>
        <w:t xml:space="preserve"> </w:t>
      </w:r>
      <w:r w:rsidRPr="001D49D4">
        <w:rPr>
          <w:sz w:val="16"/>
          <w:szCs w:val="16"/>
          <w:rtl/>
        </w:rPr>
        <w:t>(שער כה ח"א סי' ג)</w:t>
      </w:r>
      <w:r w:rsidRPr="001D49D4">
        <w:rPr>
          <w:rtl/>
        </w:rPr>
        <w:t xml:space="preserve"> רשב"א </w:t>
      </w:r>
      <w:r w:rsidRPr="001D49D4">
        <w:rPr>
          <w:sz w:val="16"/>
          <w:szCs w:val="16"/>
          <w:rtl/>
        </w:rPr>
        <w:t>(כ. ד"ה כותב, כ"כ בשמו הר"ן</w:t>
      </w:r>
      <w:r w:rsidRPr="001D49D4">
        <w:rPr>
          <w:sz w:val="14"/>
          <w:szCs w:val="14"/>
          <w:rtl/>
        </w:rPr>
        <w:t xml:space="preserve"> [ז: סוד"ה כותב]</w:t>
      </w:r>
      <w:r w:rsidRPr="001D49D4">
        <w:rPr>
          <w:sz w:val="16"/>
          <w:szCs w:val="16"/>
          <w:rtl/>
        </w:rPr>
        <w:t xml:space="preserve"> והנמוק"י </w:t>
      </w:r>
      <w:r w:rsidRPr="001D49D4">
        <w:rPr>
          <w:sz w:val="14"/>
          <w:szCs w:val="14"/>
          <w:rtl/>
        </w:rPr>
        <w:t>[שם]</w:t>
      </w:r>
      <w:r w:rsidRPr="001D49D4">
        <w:rPr>
          <w:sz w:val="16"/>
          <w:szCs w:val="16"/>
          <w:rtl/>
        </w:rPr>
        <w:t xml:space="preserve">) </w:t>
      </w:r>
      <w:r w:rsidRPr="001D49D4">
        <w:rPr>
          <w:rtl/>
        </w:rPr>
        <w:t xml:space="preserve">רא"ש </w:t>
      </w:r>
      <w:r w:rsidRPr="001D49D4">
        <w:rPr>
          <w:sz w:val="16"/>
          <w:szCs w:val="16"/>
          <w:rtl/>
        </w:rPr>
        <w:t>(סי' טז)</w:t>
      </w:r>
      <w:r w:rsidRPr="001D49D4">
        <w:rPr>
          <w:rtl/>
        </w:rPr>
        <w:t xml:space="preserve"> וטור- </w:t>
      </w:r>
      <w:r w:rsidRPr="001D49D4">
        <w:rPr>
          <w:vertAlign w:val="superscript"/>
          <w:rtl/>
        </w:rPr>
        <w:footnoteReference w:id="2884"/>
      </w:r>
      <w:r w:rsidRPr="001D49D4">
        <w:rPr>
          <w:rtl/>
        </w:rPr>
        <w:t>יכול אדם לחתום עדות הנמסר לו ולהעיד עליו אחר כמה שנים, ואין לחוש לפרעון או למחילה, דאית ליה למימר דאם איתא דפרע איבעי ליה לאודועי לסהדי שלא יחתמו או שלא יעידו</w:t>
      </w:r>
      <w:r w:rsidRPr="001D49D4">
        <w:rPr>
          <w:vertAlign w:val="superscript"/>
          <w:rtl/>
        </w:rPr>
        <w:footnoteReference w:id="2885"/>
      </w:r>
      <w:r w:rsidRPr="001D49D4">
        <w:rPr>
          <w:rtl/>
        </w:rPr>
        <w:t>, ואיהו הוא דאפסיד אנפשיה</w:t>
      </w:r>
      <w:r w:rsidRPr="001D49D4">
        <w:rPr>
          <w:vertAlign w:val="superscript"/>
          <w:rtl/>
        </w:rPr>
        <w:footnoteReference w:id="2886"/>
      </w:r>
      <w:r w:rsidRPr="001D49D4">
        <w:rPr>
          <w:sz w:val="16"/>
          <w:szCs w:val="16"/>
          <w:rtl/>
        </w:rPr>
        <w:t xml:space="preserve"> (ל' הרא"ש)</w:t>
      </w:r>
      <w:r w:rsidRPr="001D49D4">
        <w:rPr>
          <w:rtl/>
        </w:rPr>
        <w:t>. ואפילו אם מת הלוה קודם כתיבת השטר - יכולין לכותבו אחר מותו. וכן אם מת המלוה ובאו יורשיו לעדים שיכתבו להם השטר - כותבין להם</w:t>
      </w:r>
      <w:r w:rsidRPr="001D49D4">
        <w:rPr>
          <w:vertAlign w:val="superscript"/>
          <w:rtl/>
        </w:rPr>
        <w:footnoteReference w:id="2887"/>
      </w:r>
      <w:r w:rsidRPr="001D49D4">
        <w:rPr>
          <w:sz w:val="16"/>
          <w:szCs w:val="16"/>
          <w:rtl/>
        </w:rPr>
        <w:t xml:space="preserve"> (ל' הטור)</w:t>
      </w:r>
      <w:r w:rsidRPr="001D49D4">
        <w:rPr>
          <w:rtl/>
        </w:rPr>
        <w:t xml:space="preserve">. </w:t>
      </w:r>
      <w:r w:rsidRPr="001D49D4">
        <w:rPr>
          <w:color w:val="E36C0A" w:themeColor="accent6" w:themeShade="BF"/>
          <w:rtl/>
        </w:rPr>
        <w:t>(וכ"ס בשו"ע)</w:t>
      </w:r>
    </w:p>
    <w:p w14:paraId="1C91353F" w14:textId="77777777" w:rsidR="001D49D4" w:rsidRPr="001D49D4" w:rsidRDefault="001D49D4" w:rsidP="0004348D">
      <w:pPr>
        <w:spacing w:before="360" w:after="240"/>
        <w:rPr>
          <w:rFonts w:ascii="Calibri" w:eastAsia="Calibri" w:hAnsi="Calibri" w:cs="Arial"/>
        </w:rPr>
      </w:pPr>
      <w:r w:rsidRPr="001D49D4">
        <w:rPr>
          <w:rFonts w:ascii="Calibri" w:eastAsia="Calibri" w:hAnsi="Calibri" w:cs="Arial"/>
          <w:u w:val="single"/>
          <w:rtl/>
        </w:rPr>
        <w:t xml:space="preserve">האם לקנין יש קול </w:t>
      </w:r>
      <w:r w:rsidRPr="001D49D4">
        <w:rPr>
          <w:rFonts w:ascii="Calibri" w:eastAsia="Calibri" w:hAnsi="Calibri" w:cs="Arial"/>
          <w:b/>
          <w:bCs/>
          <w:u w:val="single"/>
          <w:rtl/>
        </w:rPr>
        <w:t>וטורף</w:t>
      </w:r>
      <w:r w:rsidRPr="001D49D4">
        <w:rPr>
          <w:rFonts w:ascii="Calibri" w:eastAsia="Calibri" w:hAnsi="Calibri" w:cs="Arial"/>
          <w:u w:val="single"/>
          <w:vertAlign w:val="superscript"/>
          <w:rtl/>
        </w:rPr>
        <w:footnoteReference w:id="2888"/>
      </w:r>
      <w:r w:rsidRPr="001D49D4">
        <w:rPr>
          <w:rFonts w:ascii="Calibri" w:eastAsia="Calibri" w:hAnsi="Calibri" w:cs="Arial"/>
          <w:u w:val="single"/>
          <w:rtl/>
        </w:rPr>
        <w:t xml:space="preserve"> בו אע"ג דלא כתיב שטרא:</w:t>
      </w:r>
    </w:p>
    <w:p w14:paraId="09B474F4" w14:textId="77777777" w:rsidR="001D49D4" w:rsidRPr="001D49D4" w:rsidRDefault="001D49D4" w:rsidP="0004348D">
      <w:pPr>
        <w:numPr>
          <w:ilvl w:val="0"/>
          <w:numId w:val="208"/>
        </w:numPr>
        <w:spacing w:before="360" w:after="240"/>
        <w:contextualSpacing/>
      </w:pPr>
      <w:r w:rsidRPr="001D49D4">
        <w:rPr>
          <w:rtl/>
        </w:rPr>
        <w:t xml:space="preserve">רי"ף </w:t>
      </w:r>
      <w:r w:rsidRPr="001D49D4">
        <w:rPr>
          <w:sz w:val="16"/>
          <w:szCs w:val="16"/>
          <w:rtl/>
        </w:rPr>
        <w:t xml:space="preserve">(בתשו', כ"כ בשמו בעל התרומות </w:t>
      </w:r>
      <w:r w:rsidRPr="001D49D4">
        <w:rPr>
          <w:sz w:val="14"/>
          <w:szCs w:val="14"/>
          <w:rtl/>
        </w:rPr>
        <w:t>[שנ"ו ח"א ס"ד]</w:t>
      </w:r>
      <w:r w:rsidRPr="001D49D4">
        <w:rPr>
          <w:sz w:val="16"/>
          <w:szCs w:val="16"/>
          <w:rtl/>
        </w:rPr>
        <w:t>)</w:t>
      </w:r>
      <w:r w:rsidRPr="001D49D4">
        <w:rPr>
          <w:rtl/>
        </w:rPr>
        <w:t xml:space="preserve"> ראב"ד</w:t>
      </w:r>
      <w:r w:rsidRPr="001D49D4">
        <w:rPr>
          <w:sz w:val="16"/>
          <w:szCs w:val="16"/>
          <w:rtl/>
        </w:rPr>
        <w:t xml:space="preserve"> (תמים דעים סי' נה)</w:t>
      </w:r>
      <w:r w:rsidRPr="001D49D4">
        <w:rPr>
          <w:rtl/>
        </w:rPr>
        <w:t xml:space="preserve"> ורמב"ם </w:t>
      </w:r>
      <w:r w:rsidRPr="001D49D4">
        <w:rPr>
          <w:sz w:val="16"/>
          <w:szCs w:val="16"/>
          <w:rtl/>
        </w:rPr>
        <w:t>(מלוה פכ"ג ה"ו)</w:t>
      </w:r>
      <w:r w:rsidRPr="001D49D4">
        <w:rPr>
          <w:rtl/>
        </w:rPr>
        <w:t xml:space="preserve">- הקנין יש לו קול וטורף. </w:t>
      </w:r>
    </w:p>
    <w:p w14:paraId="6AF7578E" w14:textId="77777777" w:rsidR="001D49D4" w:rsidRPr="001D49D4" w:rsidRDefault="001D49D4" w:rsidP="0004348D">
      <w:pPr>
        <w:numPr>
          <w:ilvl w:val="0"/>
          <w:numId w:val="208"/>
        </w:numPr>
        <w:spacing w:before="360" w:after="240"/>
        <w:contextualSpacing/>
      </w:pPr>
      <w:r w:rsidRPr="001D49D4">
        <w:rPr>
          <w:rtl/>
        </w:rPr>
        <w:t xml:space="preserve">רשב"ם </w:t>
      </w:r>
      <w:r w:rsidRPr="001D49D4">
        <w:rPr>
          <w:sz w:val="16"/>
          <w:szCs w:val="16"/>
          <w:rtl/>
        </w:rPr>
        <w:t>(קעב. ד"ה להנך דכתבי, וכ"כ בשמו בעל התרומות [שם])</w:t>
      </w:r>
      <w:r w:rsidRPr="001D49D4">
        <w:rPr>
          <w:rtl/>
        </w:rPr>
        <w:t xml:space="preserve"> ותוס'</w:t>
      </w:r>
      <w:r w:rsidRPr="001D49D4">
        <w:rPr>
          <w:sz w:val="16"/>
          <w:szCs w:val="16"/>
          <w:rtl/>
        </w:rPr>
        <w:t xml:space="preserve"> (קעב. ד"ה אי ידעיתו)</w:t>
      </w:r>
      <w:r w:rsidRPr="001D49D4">
        <w:rPr>
          <w:rtl/>
        </w:rPr>
        <w:t>- הקנין לבד לא טורף ממשעבדי אלא רק לאחר שנכתב שטר, הלכך יכול למחות מלכתובו וכל זמן שלא נכתב אישתכח דהוי מלוה ע"פ עד שיכתב.</w:t>
      </w:r>
    </w:p>
    <w:p w14:paraId="2DE6D527" w14:textId="77777777" w:rsidR="001D49D4" w:rsidRPr="001D49D4" w:rsidRDefault="001D49D4" w:rsidP="0004348D">
      <w:pPr>
        <w:spacing w:before="360" w:after="240"/>
        <w:rPr>
          <w:rFonts w:ascii="Calibri" w:eastAsia="Calibri" w:hAnsi="Calibri" w:cs="Arial"/>
          <w:u w:val="single"/>
          <w:rtl/>
        </w:rPr>
      </w:pPr>
      <w:r w:rsidRPr="001D49D4">
        <w:rPr>
          <w:rFonts w:ascii="Calibri" w:eastAsia="Calibri" w:hAnsi="Calibri" w:cs="Arial"/>
          <w:u w:val="single"/>
          <w:rtl/>
        </w:rPr>
        <w:t>המודה לחבירו בפני עדים 'קבלתי ממך כך וכך מחוב שיש לי עליך', או שמודה שפרע חובו, או שמוחל לו חובו:</w:t>
      </w:r>
    </w:p>
    <w:p w14:paraId="0B8C08AC" w14:textId="77777777" w:rsidR="001D49D4" w:rsidRPr="001D49D4" w:rsidRDefault="001D49D4" w:rsidP="0004348D">
      <w:pPr>
        <w:numPr>
          <w:ilvl w:val="0"/>
          <w:numId w:val="205"/>
        </w:numPr>
        <w:spacing w:before="360" w:after="240"/>
        <w:contextualSpacing/>
        <w:rPr>
          <w:rtl/>
        </w:rPr>
      </w:pPr>
      <w:r w:rsidRPr="001D49D4">
        <w:rPr>
          <w:rtl/>
        </w:rPr>
        <w:t xml:space="preserve">בעל התרומות </w:t>
      </w:r>
      <w:r w:rsidRPr="001D49D4">
        <w:rPr>
          <w:sz w:val="16"/>
          <w:szCs w:val="16"/>
          <w:rtl/>
        </w:rPr>
        <w:t>(שער מב ח"ה סי' ד)</w:t>
      </w:r>
      <w:r w:rsidRPr="001D49D4">
        <w:rPr>
          <w:rtl/>
        </w:rPr>
        <w:t xml:space="preserve"> וטור </w:t>
      </w:r>
      <w:r w:rsidRPr="001D49D4">
        <w:rPr>
          <w:sz w:val="16"/>
          <w:szCs w:val="16"/>
          <w:rtl/>
        </w:rPr>
        <w:t>(סי' פא סל"ב-לג)</w:t>
      </w:r>
      <w:r w:rsidRPr="001D49D4">
        <w:rPr>
          <w:rtl/>
        </w:rPr>
        <w:t>- המודה לחבירו בפני עדים קבלתי ממך כך וכך מחוב שיש לי עליך או שפורע חובו או מוחל חובו בפני עדים - אין צריך לומר כתובו, שאין צריך לומר כתובו אלא כשהוא מחייב עצמו בהודאתו שלא תהא עליו כמלוה בשטר, אבל בענין מחילה ופיטור אין צריך</w:t>
      </w:r>
      <w:r w:rsidRPr="001D49D4">
        <w:rPr>
          <w:vertAlign w:val="superscript"/>
          <w:rtl/>
        </w:rPr>
        <w:footnoteReference w:id="2889"/>
      </w:r>
      <w:r w:rsidRPr="001D49D4">
        <w:rPr>
          <w:rtl/>
        </w:rPr>
        <w:t xml:space="preserve">. </w:t>
      </w:r>
      <w:r w:rsidRPr="001D49D4">
        <w:rPr>
          <w:color w:val="00B0F0"/>
          <w:rtl/>
        </w:rPr>
        <w:t>(וכ"פ הרמ"א)</w:t>
      </w:r>
    </w:p>
    <w:p w14:paraId="16355740" w14:textId="77777777" w:rsidR="001D49D4" w:rsidRPr="001D49D4" w:rsidRDefault="001D49D4" w:rsidP="0004348D">
      <w:pPr>
        <w:spacing w:before="360" w:after="240"/>
        <w:rPr>
          <w:rFonts w:ascii="Arial" w:eastAsia="Calibri" w:hAnsi="Arial" w:cs="Arial"/>
          <w:b/>
          <w:bCs/>
          <w:color w:val="000000"/>
          <w:sz w:val="28"/>
          <w:szCs w:val="28"/>
          <w:u w:val="single"/>
          <w:rtl/>
        </w:rPr>
      </w:pPr>
      <w:r w:rsidRPr="001D49D4">
        <w:rPr>
          <w:rFonts w:ascii="Arial" w:eastAsia="Calibri" w:hAnsi="Arial" w:cs="Arial"/>
          <w:b/>
          <w:bCs/>
          <w:color w:val="000000"/>
          <w:sz w:val="28"/>
          <w:szCs w:val="28"/>
          <w:u w:val="single"/>
          <w:rtl/>
        </w:rPr>
        <w:lastRenderedPageBreak/>
        <w:t>שו"ע:</w:t>
      </w:r>
    </w:p>
    <w:p w14:paraId="1760DE89"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rtl/>
        </w:rPr>
        <w:t>במה דברים אמורים, בשלא קנו מידו. אבל אם קנו מידו שהוא חייב לו מנה, הרי אלו כותבים ונותנים אף על פי שלא אמר להם כתבו, שסתם קנין לכתיבה עומד. ואפילו נשתהא זמן מרובה ואחר כך בא המלוה ותבעם שיכתבו לו, הרי אלו יכתבו ויתנו, ואין צריכים לחוש שמא פרע</w:t>
      </w:r>
      <w:r w:rsidRPr="001D49D4">
        <w:rPr>
          <w:rFonts w:ascii="Calibri" w:eastAsia="Calibri" w:hAnsi="Calibri" w:cs="Arial"/>
          <w:vertAlign w:val="superscript"/>
          <w:rtl/>
        </w:rPr>
        <w:footnoteReference w:id="2890"/>
      </w:r>
      <w:r w:rsidRPr="001D49D4">
        <w:rPr>
          <w:rFonts w:ascii="Calibri" w:eastAsia="Calibri" w:hAnsi="Calibri" w:cs="Arial"/>
          <w:rtl/>
        </w:rPr>
        <w:t>. וכותבים זמן הקנין, או יכתבו שטרא דנן איחרנוהו וכתבנוהו</w:t>
      </w:r>
      <w:r w:rsidRPr="001D49D4">
        <w:rPr>
          <w:rFonts w:ascii="Calibri" w:eastAsia="Calibri" w:hAnsi="Calibri" w:cs="Arial"/>
          <w:vertAlign w:val="superscript"/>
          <w:rtl/>
        </w:rPr>
        <w:footnoteReference w:id="2891"/>
      </w:r>
      <w:r w:rsidRPr="001D49D4">
        <w:rPr>
          <w:rFonts w:ascii="Calibri" w:eastAsia="Calibri" w:hAnsi="Calibri" w:cs="Arial"/>
          <w:rtl/>
        </w:rPr>
        <w:t>. ואפילו מת הלוה קודם כתיבת השטר, אפילו קבע לו זמן ועבר הזמן, יכולים לכתבו אחר מותו. וכן אם מת המלוה</w:t>
      </w:r>
      <w:r w:rsidRPr="001D49D4">
        <w:rPr>
          <w:rFonts w:ascii="Calibri" w:eastAsia="Calibri" w:hAnsi="Calibri" w:cs="Arial"/>
          <w:vertAlign w:val="superscript"/>
          <w:rtl/>
        </w:rPr>
        <w:footnoteReference w:id="2892"/>
      </w:r>
      <w:r w:rsidRPr="001D49D4">
        <w:rPr>
          <w:rFonts w:ascii="Calibri" w:eastAsia="Calibri" w:hAnsi="Calibri" w:cs="Arial"/>
          <w:rtl/>
        </w:rPr>
        <w:t>, ובאו יורשיו לעדים שיכתבו להם השטר, כותבים להם. ויש חולקים ואומרים דאי משך מילתא טפי משלשים יום אין כותבין</w:t>
      </w:r>
      <w:r w:rsidRPr="001D49D4">
        <w:rPr>
          <w:rFonts w:ascii="Calibri" w:eastAsia="Calibri" w:hAnsi="Calibri" w:cs="Arial"/>
          <w:vertAlign w:val="superscript"/>
          <w:rtl/>
        </w:rPr>
        <w:footnoteReference w:id="2893"/>
      </w:r>
      <w:r w:rsidRPr="001D49D4">
        <w:rPr>
          <w:rFonts w:ascii="Calibri" w:eastAsia="Calibri" w:hAnsi="Calibri" w:cs="Arial"/>
          <w:rtl/>
        </w:rPr>
        <w:t xml:space="preserve">, ואם קבע לו זמן לפרעון אין כותבין אחר אותו זמן, דחיישינן שמא פרע. </w:t>
      </w:r>
      <w:r w:rsidRPr="001D49D4">
        <w:rPr>
          <w:rFonts w:ascii="Calibri" w:eastAsia="Calibri" w:hAnsi="Calibri" w:cs="Arial"/>
          <w:sz w:val="18"/>
          <w:szCs w:val="18"/>
          <w:rtl/>
        </w:rPr>
        <w:t>הגה: וכל שלא אמר כתבו וחתמו, אע"פ שכתבו בשטר אינו אלא כפנקס בעלמא (רשב"א סי' אלף רט ואלף ריא). מיהו י"א דאם נתקיים, דנין על פיו</w:t>
      </w:r>
      <w:r w:rsidRPr="001D49D4">
        <w:rPr>
          <w:rFonts w:ascii="Calibri" w:eastAsia="Calibri" w:hAnsi="Calibri" w:cs="Arial"/>
          <w:sz w:val="18"/>
          <w:szCs w:val="18"/>
          <w:vertAlign w:val="superscript"/>
          <w:rtl/>
        </w:rPr>
        <w:footnoteReference w:id="2894"/>
      </w:r>
      <w:r w:rsidRPr="001D49D4">
        <w:rPr>
          <w:rFonts w:ascii="Calibri" w:eastAsia="Calibri" w:hAnsi="Calibri" w:cs="Arial"/>
          <w:sz w:val="18"/>
          <w:szCs w:val="18"/>
          <w:rtl/>
        </w:rPr>
        <w:t>. וע"ל סימן מ"ו סעיף י'. והא דבעינן דצריך לומר כתבו וחתמו, היינו כשמתחייב עצמו, אבל כשמוחל דבר לחבירו, או פטרו, אין צריך. וע"ל סימן פ"א סעיף כ"ט.</w:t>
      </w:r>
    </w:p>
    <w:p w14:paraId="7A45EEA7" w14:textId="77777777" w:rsidR="001D49D4" w:rsidRPr="001D49D4" w:rsidRDefault="001D49D4" w:rsidP="0004348D">
      <w:pPr>
        <w:spacing w:before="360" w:after="240"/>
        <w:rPr>
          <w:rFonts w:ascii="Calibri" w:eastAsia="Calibri" w:hAnsi="Calibri" w:cs="Arial"/>
          <w:rtl/>
        </w:rPr>
      </w:pPr>
    </w:p>
    <w:p w14:paraId="67E18868" w14:textId="77777777" w:rsidR="001D49D4" w:rsidRPr="001D49D4" w:rsidRDefault="001D49D4" w:rsidP="0004348D">
      <w:pPr>
        <w:keepNext/>
        <w:keepLines/>
        <w:spacing w:before="360" w:after="240"/>
        <w:outlineLvl w:val="1"/>
        <w:rPr>
          <w:rFonts w:ascii="Cambria" w:eastAsia="Times New Roman" w:hAnsi="Cambria" w:cs="Arial"/>
          <w:bCs/>
          <w:color w:val="548DD4" w:themeColor="text2" w:themeTint="99"/>
          <w:sz w:val="26"/>
          <w:szCs w:val="26"/>
          <w:rtl/>
        </w:rPr>
      </w:pPr>
      <w:bookmarkStart w:id="388" w:name="_Toc24883830"/>
      <w:r w:rsidRPr="001D49D4">
        <w:rPr>
          <w:rFonts w:ascii="Cambria" w:eastAsia="Times New Roman" w:hAnsi="Cambria" w:cs="Arial"/>
          <w:bCs/>
          <w:color w:val="548DD4" w:themeColor="text2" w:themeTint="99"/>
          <w:sz w:val="26"/>
          <w:szCs w:val="26"/>
          <w:rtl/>
        </w:rPr>
        <w:t>סעיף ד: לוה שמוחה בעדים שלא יכתבו שטר על הלוואתו.</w:t>
      </w:r>
      <w:bookmarkEnd w:id="388"/>
    </w:p>
    <w:p w14:paraId="523AF4D7" w14:textId="77777777" w:rsidR="001D49D4" w:rsidRPr="001D49D4" w:rsidRDefault="001D49D4" w:rsidP="0004348D">
      <w:pPr>
        <w:spacing w:before="360" w:after="240"/>
        <w:rPr>
          <w:rFonts w:ascii="Calibri" w:eastAsia="Calibri" w:hAnsi="Calibri" w:cs="Arial"/>
          <w:u w:val="single"/>
          <w:rtl/>
        </w:rPr>
      </w:pPr>
      <w:r w:rsidRPr="001D49D4">
        <w:rPr>
          <w:rFonts w:ascii="Calibri" w:eastAsia="Calibri" w:hAnsi="Calibri" w:cs="Arial"/>
          <w:u w:val="single"/>
          <w:rtl/>
        </w:rPr>
        <w:t>קנו מיד הלוה/המוכר שלא בפני מלוה/לוקח - ובאו המלוה/הלוקח ותבעו שיכתבו להם:</w:t>
      </w:r>
    </w:p>
    <w:p w14:paraId="3ACFCDFF" w14:textId="77777777" w:rsidR="001D49D4" w:rsidRPr="001D49D4" w:rsidRDefault="001D49D4" w:rsidP="0004348D">
      <w:pPr>
        <w:numPr>
          <w:ilvl w:val="0"/>
          <w:numId w:val="205"/>
        </w:numPr>
        <w:spacing w:before="360" w:after="240"/>
        <w:contextualSpacing/>
        <w:rPr>
          <w:rtl/>
        </w:rPr>
      </w:pPr>
      <w:r w:rsidRPr="001D49D4">
        <w:rPr>
          <w:rtl/>
        </w:rPr>
        <w:t xml:space="preserve">רמב"ן </w:t>
      </w:r>
      <w:r w:rsidRPr="001D49D4">
        <w:rPr>
          <w:sz w:val="16"/>
          <w:szCs w:val="16"/>
          <w:rtl/>
        </w:rPr>
        <w:t>(ב"ב קסז: ד"ה כותבין, כ"כ בשמו הנמוק"י [פ' גט פשוט])</w:t>
      </w:r>
      <w:r w:rsidRPr="001D49D4">
        <w:rPr>
          <w:rtl/>
        </w:rPr>
        <w:t xml:space="preserve">- אם קנו מיד הלוה או מיד המוכר שלא בפני לוקח ומלוה, ובאו לוקח ומלוה ותבעו שיכתבו ויתנו להם - אין כותבים ונותנים להם כלל, שלא אמרו סתם קנין לכתיבה עומד אלא כשהוא לפניהם. אי נמי דלא ניחא ליה שיתנו לו עד שיקבל מעותיו. </w:t>
      </w:r>
      <w:r w:rsidRPr="001D49D4">
        <w:rPr>
          <w:color w:val="E36C0A" w:themeColor="accent6" w:themeShade="BF"/>
          <w:rtl/>
        </w:rPr>
        <w:t>(וכ"ס בשו"ע)</w:t>
      </w:r>
    </w:p>
    <w:p w14:paraId="511E8D12" w14:textId="77777777" w:rsidR="001D49D4" w:rsidRPr="001D49D4" w:rsidRDefault="001D49D4" w:rsidP="0004348D">
      <w:pPr>
        <w:numPr>
          <w:ilvl w:val="0"/>
          <w:numId w:val="205"/>
        </w:numPr>
        <w:spacing w:before="360" w:after="240"/>
        <w:contextualSpacing/>
        <w:rPr>
          <w:rtl/>
        </w:rPr>
      </w:pPr>
      <w:r w:rsidRPr="001D49D4">
        <w:rPr>
          <w:rtl/>
        </w:rPr>
        <w:t xml:space="preserve">רשב"א </w:t>
      </w:r>
      <w:r w:rsidRPr="001D49D4">
        <w:rPr>
          <w:sz w:val="16"/>
          <w:szCs w:val="16"/>
          <w:rtl/>
        </w:rPr>
        <w:t xml:space="preserve">(ב"ב קסז: ד"ה הא, כ"כ בשמו הנמוק"י [שם]) </w:t>
      </w:r>
      <w:r w:rsidRPr="001D49D4">
        <w:rPr>
          <w:rtl/>
        </w:rPr>
        <w:t xml:space="preserve">ורא"ה </w:t>
      </w:r>
      <w:r w:rsidRPr="001D49D4">
        <w:rPr>
          <w:sz w:val="16"/>
          <w:szCs w:val="16"/>
          <w:rtl/>
        </w:rPr>
        <w:t>(כ"כ בשמו הנמוק"י [שם])</w:t>
      </w:r>
      <w:r w:rsidRPr="001D49D4">
        <w:rPr>
          <w:rtl/>
        </w:rPr>
        <w:t>- כל שקנו מיד הלוה או מיד המוכר סתם - כותבין ונותנין למלוה וללוקח.</w:t>
      </w:r>
      <w:r w:rsidRPr="001D49D4">
        <w:rPr>
          <w:color w:val="00B0F0"/>
          <w:rtl/>
        </w:rPr>
        <w:t xml:space="preserve"> (וכ"כ הרמ"א)</w:t>
      </w:r>
    </w:p>
    <w:p w14:paraId="1C16D8C9"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u w:val="single"/>
          <w:rtl/>
        </w:rPr>
        <w:t>הא דאמרינן 'אחריות טעות סופר' הוא דוקא שהתנו עמו כן בשעת קנין או לא:</w:t>
      </w:r>
    </w:p>
    <w:p w14:paraId="33876A6A" w14:textId="77777777" w:rsidR="001D49D4" w:rsidRPr="001D49D4" w:rsidRDefault="001D49D4" w:rsidP="0004348D">
      <w:pPr>
        <w:numPr>
          <w:ilvl w:val="0"/>
          <w:numId w:val="209"/>
        </w:numPr>
        <w:spacing w:before="360" w:after="240"/>
        <w:contextualSpacing/>
        <w:rPr>
          <w:rtl/>
        </w:rPr>
      </w:pPr>
      <w:r w:rsidRPr="001D49D4">
        <w:rPr>
          <w:rtl/>
        </w:rPr>
        <w:t xml:space="preserve">נמוק"י </w:t>
      </w:r>
      <w:r w:rsidRPr="001D49D4">
        <w:rPr>
          <w:sz w:val="16"/>
          <w:szCs w:val="16"/>
          <w:rtl/>
        </w:rPr>
        <w:t>(שם פג.)</w:t>
      </w:r>
      <w:r w:rsidRPr="001D49D4">
        <w:rPr>
          <w:rtl/>
        </w:rPr>
        <w:t>- אע"ג דסתם קנין לכתיבה עומד אינו עומד לכתוב בו אחריות ושאר יפויין עד שיתנו עמו בשעת קנין, ואע"ג דסבירא לן אחריות טעות סופר הוא היינו כשהתנה ולא כתב</w:t>
      </w:r>
      <w:r w:rsidRPr="001D49D4">
        <w:rPr>
          <w:vertAlign w:val="superscript"/>
          <w:rtl/>
        </w:rPr>
        <w:footnoteReference w:id="2895"/>
      </w:r>
      <w:r w:rsidRPr="001D49D4">
        <w:rPr>
          <w:rtl/>
        </w:rPr>
        <w:t>.</w:t>
      </w:r>
    </w:p>
    <w:p w14:paraId="6D0A44B7"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b/>
          <w:bCs/>
          <w:rtl/>
        </w:rPr>
        <w:t xml:space="preserve">בבא בתרא </w:t>
      </w:r>
      <w:r w:rsidRPr="001D49D4">
        <w:rPr>
          <w:rFonts w:ascii="Calibri" w:eastAsia="Calibri" w:hAnsi="Calibri" w:cs="Arial"/>
          <w:b/>
          <w:bCs/>
          <w:sz w:val="16"/>
          <w:szCs w:val="16"/>
          <w:rtl/>
        </w:rPr>
        <w:t xml:space="preserve">(פרק המוכר את הספינה) </w:t>
      </w:r>
      <w:r w:rsidRPr="001D49D4">
        <w:rPr>
          <w:rFonts w:ascii="Calibri" w:eastAsia="Calibri" w:hAnsi="Calibri" w:cs="Arial"/>
          <w:b/>
          <w:bCs/>
          <w:rtl/>
        </w:rPr>
        <w:t>עז</w:t>
      </w:r>
      <w:r w:rsidRPr="001D49D4">
        <w:rPr>
          <w:rFonts w:ascii="Calibri" w:eastAsia="Calibri" w:hAnsi="Calibri" w:cs="Arial"/>
          <w:b/>
          <w:bCs/>
          <w:vertAlign w:val="superscript"/>
          <w:rtl/>
        </w:rPr>
        <w:footnoteReference w:id="2896"/>
      </w:r>
      <w:r w:rsidRPr="001D49D4">
        <w:rPr>
          <w:rFonts w:ascii="Calibri" w:eastAsia="Calibri" w:hAnsi="Calibri" w:cs="Arial"/>
          <w:b/>
          <w:bCs/>
          <w:rtl/>
        </w:rPr>
        <w:t xml:space="preserve"> ע"א:</w:t>
      </w:r>
      <w:r w:rsidRPr="001D49D4">
        <w:rPr>
          <w:rFonts w:ascii="Calibri" w:eastAsia="Calibri" w:hAnsi="Calibri" w:cs="Arial"/>
          <w:rtl/>
        </w:rPr>
        <w:t xml:space="preserve"> </w:t>
      </w:r>
      <w:r w:rsidRPr="001D49D4">
        <w:rPr>
          <w:rFonts w:ascii="Calibri" w:eastAsia="Calibri" w:hAnsi="Calibri" w:cs="Arial"/>
          <w:u w:val="single"/>
          <w:rtl/>
        </w:rPr>
        <w:t>והאמר רבה בר יצחק אמר רב</w:t>
      </w:r>
      <w:r w:rsidRPr="001D49D4">
        <w:rPr>
          <w:rFonts w:ascii="Calibri" w:eastAsia="Calibri" w:hAnsi="Calibri" w:cs="Arial"/>
          <w:rtl/>
        </w:rPr>
        <w:t>: שני שטרות הם: זכו בשדה לפלוני וכתבו לו את השטר - חוזר בשטר ואינו חוזר בשדה.</w:t>
      </w:r>
    </w:p>
    <w:p w14:paraId="3DFB0303"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u w:val="single"/>
          <w:rtl/>
        </w:rPr>
        <w:t>לוה שמוחה בעדים שלא יכתבו שטר על הלוואתו:</w:t>
      </w:r>
      <w:r w:rsidRPr="001D49D4">
        <w:rPr>
          <w:rFonts w:ascii="Calibri" w:eastAsia="Calibri" w:hAnsi="Calibri" w:cs="Arial"/>
          <w:rtl/>
        </w:rPr>
        <w:t xml:space="preserve"> </w:t>
      </w:r>
    </w:p>
    <w:p w14:paraId="61AF5E88" w14:textId="77777777" w:rsidR="001D49D4" w:rsidRPr="001D49D4" w:rsidRDefault="001D49D4" w:rsidP="0004348D">
      <w:pPr>
        <w:numPr>
          <w:ilvl w:val="0"/>
          <w:numId w:val="209"/>
        </w:numPr>
        <w:spacing w:before="360" w:after="240"/>
        <w:contextualSpacing/>
        <w:rPr>
          <w:rtl/>
        </w:rPr>
      </w:pPr>
      <w:r w:rsidRPr="001D49D4">
        <w:rPr>
          <w:rtl/>
        </w:rPr>
        <w:lastRenderedPageBreak/>
        <w:t>רא"ש</w:t>
      </w:r>
      <w:r w:rsidRPr="001D49D4">
        <w:rPr>
          <w:vertAlign w:val="superscript"/>
          <w:rtl/>
        </w:rPr>
        <w:footnoteReference w:id="2897"/>
      </w:r>
      <w:r w:rsidRPr="001D49D4">
        <w:rPr>
          <w:sz w:val="16"/>
          <w:szCs w:val="16"/>
          <w:rtl/>
        </w:rPr>
        <w:t xml:space="preserve"> (ב"ב שם סי' ה, ובפרק חזקת סי' ל-לא)</w:t>
      </w:r>
      <w:r w:rsidRPr="001D49D4">
        <w:rPr>
          <w:rtl/>
        </w:rPr>
        <w:t xml:space="preserve"> וטור- אם הלוה מוחה בעדים שלא יכתבו - אין כותבין לו אפילו מיד אע"פ שלקח בקנין. לפיכך אם יאמר המלוה 'כיון שאינך רוצה שיכתבו לי השטר תחזיר לי מעותי' - שומעין לו</w:t>
      </w:r>
      <w:r w:rsidRPr="001D49D4">
        <w:rPr>
          <w:vertAlign w:val="superscript"/>
          <w:rtl/>
        </w:rPr>
        <w:footnoteReference w:id="2898"/>
      </w:r>
      <w:r w:rsidRPr="001D49D4">
        <w:rPr>
          <w:rtl/>
        </w:rPr>
        <w:t>, כי ודאי לא הלוה לו אלא אדעתא שיהא לו שטר בידו לראיה לטרוף לו ממשעבדי</w:t>
      </w:r>
      <w:r w:rsidRPr="001D49D4">
        <w:rPr>
          <w:sz w:val="16"/>
          <w:szCs w:val="16"/>
          <w:rtl/>
        </w:rPr>
        <w:t xml:space="preserve"> (ל' הטור)</w:t>
      </w:r>
      <w:r w:rsidRPr="001D49D4">
        <w:rPr>
          <w:rtl/>
        </w:rPr>
        <w:t xml:space="preserve">. </w:t>
      </w:r>
    </w:p>
    <w:p w14:paraId="1FCA7C72" w14:textId="77777777" w:rsidR="001D49D4" w:rsidRPr="001D49D4" w:rsidRDefault="001D49D4" w:rsidP="0004348D">
      <w:pPr>
        <w:numPr>
          <w:ilvl w:val="0"/>
          <w:numId w:val="209"/>
        </w:numPr>
        <w:spacing w:before="360" w:after="240"/>
        <w:contextualSpacing/>
      </w:pPr>
      <w:r w:rsidRPr="001D49D4">
        <w:rPr>
          <w:rtl/>
        </w:rPr>
        <w:t xml:space="preserve">רשב"א </w:t>
      </w:r>
      <w:r w:rsidRPr="001D49D4">
        <w:rPr>
          <w:sz w:val="16"/>
          <w:szCs w:val="16"/>
          <w:rtl/>
        </w:rPr>
        <w:t>(ח"ג סי' יח)</w:t>
      </w:r>
      <w:r w:rsidRPr="001D49D4">
        <w:rPr>
          <w:rtl/>
        </w:rPr>
        <w:t>- לוה שכבר קבל המעות ורוצה לקיים ההלואה אלא שמונע העדים מלכתוב השטר אע"פ שקנו מידו, מחלוקת ישנה בין גדולי חכמי ישראל, יש מי שאמר דסתם קנין לכתיבה עומד אמרו לומר שאין צריכין לימלך אבל כל שהוא מונעם מלכתוב שומעין לו, וי"א שאין שומעין לו, ולזה הדעת נוטה</w:t>
      </w:r>
      <w:r w:rsidRPr="001D49D4">
        <w:rPr>
          <w:vertAlign w:val="superscript"/>
          <w:rtl/>
        </w:rPr>
        <w:footnoteReference w:id="2899"/>
      </w:r>
      <w:r w:rsidRPr="001D49D4">
        <w:rPr>
          <w:rtl/>
        </w:rPr>
        <w:t xml:space="preserve">. </w:t>
      </w:r>
      <w:r w:rsidRPr="001D49D4">
        <w:rPr>
          <w:color w:val="E36C0A" w:themeColor="accent6" w:themeShade="BF"/>
          <w:rtl/>
        </w:rPr>
        <w:t>(וכ"פ בשו"ע)</w:t>
      </w:r>
    </w:p>
    <w:p w14:paraId="3614F09D" w14:textId="77777777" w:rsidR="001D49D4" w:rsidRPr="001D49D4" w:rsidRDefault="001D49D4" w:rsidP="0004348D">
      <w:pPr>
        <w:spacing w:before="360" w:after="240"/>
        <w:ind w:left="360"/>
        <w:rPr>
          <w:rFonts w:ascii="Calibri" w:eastAsia="Calibri" w:hAnsi="Calibri" w:cs="Arial"/>
          <w:rtl/>
        </w:rPr>
      </w:pPr>
      <w:r w:rsidRPr="001D49D4">
        <w:rPr>
          <w:rFonts w:ascii="Calibri" w:eastAsia="Calibri" w:hAnsi="Calibri" w:cs="Arial"/>
          <w:u w:val="dotted"/>
          <w:rtl/>
        </w:rPr>
        <w:t>ומה הדין אם כתבו השטר אע"ג דמיחה:</w:t>
      </w:r>
    </w:p>
    <w:p w14:paraId="5C5F90A6" w14:textId="77777777" w:rsidR="001D49D4" w:rsidRPr="001D49D4" w:rsidRDefault="001D49D4" w:rsidP="0004348D">
      <w:pPr>
        <w:numPr>
          <w:ilvl w:val="0"/>
          <w:numId w:val="205"/>
        </w:numPr>
        <w:spacing w:before="360" w:after="240"/>
        <w:contextualSpacing/>
        <w:rPr>
          <w:rtl/>
        </w:rPr>
      </w:pPr>
      <w:r w:rsidRPr="001D49D4">
        <w:rPr>
          <w:rtl/>
        </w:rPr>
        <w:t xml:space="preserve">רי"ו </w:t>
      </w:r>
      <w:r w:rsidRPr="001D49D4">
        <w:rPr>
          <w:sz w:val="16"/>
          <w:szCs w:val="16"/>
          <w:rtl/>
        </w:rPr>
        <w:t>(מישרים נט"ו ח"ב מז ע"ג)</w:t>
      </w:r>
      <w:r w:rsidRPr="001D49D4">
        <w:rPr>
          <w:rtl/>
        </w:rPr>
        <w:t xml:space="preserve">- אם מיחה שלא יכתבו השטר וכתבוהו יש מי שכתב דיש לו דין שטר לגבות ממשעבדי, ויש מי שכתב דאין לו דין שטר כלל, בפרק ה' דבתרא </w:t>
      </w:r>
      <w:r w:rsidRPr="001D49D4">
        <w:rPr>
          <w:sz w:val="16"/>
          <w:szCs w:val="16"/>
          <w:rtl/>
        </w:rPr>
        <w:t>(עז.)</w:t>
      </w:r>
      <w:r w:rsidRPr="001D49D4">
        <w:rPr>
          <w:rtl/>
        </w:rPr>
        <w:t xml:space="preserve">. </w:t>
      </w:r>
    </w:p>
    <w:p w14:paraId="593D136F" w14:textId="77777777" w:rsidR="001D49D4" w:rsidRPr="001D49D4" w:rsidRDefault="001D49D4" w:rsidP="0004348D">
      <w:pPr>
        <w:numPr>
          <w:ilvl w:val="0"/>
          <w:numId w:val="205"/>
        </w:numPr>
        <w:spacing w:before="360" w:after="240"/>
        <w:contextualSpacing/>
        <w:rPr>
          <w:rtl/>
        </w:rPr>
      </w:pPr>
      <w:r w:rsidRPr="001D49D4">
        <w:rPr>
          <w:rtl/>
        </w:rPr>
        <w:t xml:space="preserve">רא"ש </w:t>
      </w:r>
      <w:r w:rsidRPr="001D49D4">
        <w:rPr>
          <w:sz w:val="16"/>
          <w:szCs w:val="16"/>
          <w:rtl/>
        </w:rPr>
        <w:t>(כלל לד סי' ג)</w:t>
      </w:r>
      <w:r w:rsidRPr="001D49D4">
        <w:rPr>
          <w:rtl/>
        </w:rPr>
        <w:t>- אין לו דין שטר</w:t>
      </w:r>
      <w:r w:rsidRPr="001D49D4">
        <w:rPr>
          <w:sz w:val="16"/>
          <w:szCs w:val="16"/>
          <w:rtl/>
        </w:rPr>
        <w:t xml:space="preserve"> {לגבות ממשועבדים}</w:t>
      </w:r>
      <w:r w:rsidRPr="001D49D4">
        <w:rPr>
          <w:vertAlign w:val="superscript"/>
          <w:rtl/>
        </w:rPr>
        <w:footnoteReference w:id="2900"/>
      </w:r>
      <w:r w:rsidRPr="001D49D4">
        <w:rPr>
          <w:rtl/>
        </w:rPr>
        <w:t xml:space="preserve">. </w:t>
      </w:r>
    </w:p>
    <w:p w14:paraId="171F6F14" w14:textId="77777777" w:rsidR="001D49D4" w:rsidRPr="001D49D4" w:rsidRDefault="001D49D4" w:rsidP="0004348D">
      <w:pPr>
        <w:spacing w:before="360" w:after="240"/>
        <w:ind w:left="360"/>
        <w:rPr>
          <w:rFonts w:ascii="Calibri" w:eastAsia="Calibri" w:hAnsi="Calibri" w:cs="Arial"/>
          <w:u w:val="dotted"/>
          <w:rtl/>
        </w:rPr>
      </w:pPr>
      <w:r w:rsidRPr="001D49D4">
        <w:rPr>
          <w:rFonts w:ascii="Calibri" w:eastAsia="Calibri" w:hAnsi="Calibri" w:cs="Arial"/>
          <w:u w:val="dotted"/>
          <w:rtl/>
        </w:rPr>
        <w:t>לרא"ש וסיעתו – מה הדין אם העדים רוצים לילך למדינת הים:</w:t>
      </w:r>
    </w:p>
    <w:p w14:paraId="2BF51F5E" w14:textId="77777777" w:rsidR="001D49D4" w:rsidRPr="001D49D4" w:rsidRDefault="001D49D4" w:rsidP="0004348D">
      <w:pPr>
        <w:numPr>
          <w:ilvl w:val="0"/>
          <w:numId w:val="209"/>
        </w:numPr>
        <w:spacing w:before="360" w:after="240"/>
        <w:contextualSpacing/>
        <w:rPr>
          <w:rtl/>
        </w:rPr>
      </w:pPr>
      <w:r w:rsidRPr="001D49D4">
        <w:rPr>
          <w:rtl/>
        </w:rPr>
        <w:t xml:space="preserve">הג"א </w:t>
      </w:r>
      <w:r w:rsidRPr="001D49D4">
        <w:rPr>
          <w:sz w:val="16"/>
          <w:szCs w:val="16"/>
          <w:rtl/>
        </w:rPr>
        <w:t xml:space="preserve">(סנהדרין פ"ג סי' כז) </w:t>
      </w:r>
      <w:r w:rsidRPr="001D49D4">
        <w:rPr>
          <w:rtl/>
        </w:rPr>
        <w:t xml:space="preserve">בשם ריב"ם </w:t>
      </w:r>
      <w:r w:rsidRPr="001D49D4">
        <w:rPr>
          <w:sz w:val="16"/>
          <w:szCs w:val="16"/>
          <w:rtl/>
        </w:rPr>
        <w:t>(או"ז סנהדרין כט: סי' נג)</w:t>
      </w:r>
      <w:r w:rsidRPr="001D49D4">
        <w:rPr>
          <w:rtl/>
        </w:rPr>
        <w:t xml:space="preserve">- אם העדים רוצים לילך למדינת הים - הולך לפני בית דין וכותבים לו, אבל עדים מיהא אין רשאין לכתוב. </w:t>
      </w:r>
    </w:p>
    <w:p w14:paraId="75C12F76" w14:textId="77777777" w:rsidR="001D49D4" w:rsidRPr="001D49D4" w:rsidRDefault="001D49D4" w:rsidP="0004348D">
      <w:pPr>
        <w:spacing w:before="360" w:after="240"/>
        <w:ind w:left="360"/>
        <w:rPr>
          <w:rFonts w:ascii="Calibri" w:eastAsia="Calibri" w:hAnsi="Calibri" w:cs="Arial"/>
          <w:u w:val="dotted"/>
          <w:rtl/>
        </w:rPr>
      </w:pPr>
      <w:r w:rsidRPr="001D49D4">
        <w:rPr>
          <w:rFonts w:ascii="Calibri" w:eastAsia="Calibri" w:hAnsi="Calibri" w:cs="Arial"/>
          <w:u w:val="dotted"/>
          <w:rtl/>
        </w:rPr>
        <w:t>לרא"ש וסיעתו – מה הדין אם העדים כתבו זכירה על עדותן וחתמו בכתב הזכירה ומיחה הנותן מלכתוב שטר:</w:t>
      </w:r>
    </w:p>
    <w:p w14:paraId="0F46CBAA" w14:textId="77777777" w:rsidR="001D49D4" w:rsidRPr="001D49D4" w:rsidRDefault="001D49D4" w:rsidP="0004348D">
      <w:pPr>
        <w:numPr>
          <w:ilvl w:val="0"/>
          <w:numId w:val="209"/>
        </w:numPr>
        <w:spacing w:before="360" w:after="240"/>
        <w:contextualSpacing/>
        <w:rPr>
          <w:rtl/>
        </w:rPr>
      </w:pPr>
      <w:r w:rsidRPr="001D49D4">
        <w:rPr>
          <w:rtl/>
        </w:rPr>
        <w:t xml:space="preserve">רא"ש </w:t>
      </w:r>
      <w:r w:rsidRPr="001D49D4">
        <w:rPr>
          <w:sz w:val="16"/>
          <w:szCs w:val="16"/>
          <w:rtl/>
        </w:rPr>
        <w:t>(כלל סו סי' א, הביאו הטור [סי' רמג שם])</w:t>
      </w:r>
      <w:r w:rsidRPr="001D49D4">
        <w:rPr>
          <w:rtl/>
        </w:rPr>
        <w:t xml:space="preserve"> וטור </w:t>
      </w:r>
      <w:r w:rsidRPr="001D49D4">
        <w:rPr>
          <w:sz w:val="16"/>
          <w:szCs w:val="16"/>
          <w:rtl/>
        </w:rPr>
        <w:t>(סי' רמג סי"ב-יד)</w:t>
      </w:r>
      <w:r w:rsidRPr="001D49D4">
        <w:rPr>
          <w:rtl/>
        </w:rPr>
        <w:t xml:space="preserve">- ראובן שקנו מידו שנתן לשמעון בית, והעדים עשו כתב זכירה על זה וחתמו עליו, וכשבאו לכתוב השטר מיחה הנותן שלא יכתבו השטר. אם יכול לעכב אם לא. תשובה, יראה שיכול למחות אע"פ דסתם קנין לכתיבה עומד ה"מ סתמא, דמסתמא ניחא ליה למקנה שיכתבו שטר לקונה, אבל אם מיחה - לא כתבינן. ואי משום שכבר כתבו הזכירה רשב"ם </w:t>
      </w:r>
      <w:r w:rsidRPr="001D49D4">
        <w:rPr>
          <w:sz w:val="16"/>
          <w:szCs w:val="16"/>
          <w:rtl/>
        </w:rPr>
        <w:t xml:space="preserve">(עז.) </w:t>
      </w:r>
      <w:r w:rsidRPr="001D49D4">
        <w:rPr>
          <w:rtl/>
        </w:rPr>
        <w:t xml:space="preserve">פי' אפי' אם נכתב שטר גמור ונחתם - יכול לחזור בו עד שלא בא ליד המקבל מתנה. </w:t>
      </w:r>
    </w:p>
    <w:p w14:paraId="29FFEDBC" w14:textId="77777777" w:rsidR="001D49D4" w:rsidRPr="001D49D4" w:rsidRDefault="001D49D4" w:rsidP="0004348D">
      <w:pPr>
        <w:spacing w:before="360" w:after="240"/>
        <w:ind w:left="360"/>
        <w:rPr>
          <w:rFonts w:ascii="Calibri" w:eastAsia="Calibri" w:hAnsi="Calibri" w:cs="Arial"/>
        </w:rPr>
      </w:pPr>
      <w:r w:rsidRPr="001D49D4">
        <w:rPr>
          <w:rFonts w:ascii="Calibri" w:eastAsia="Calibri" w:hAnsi="Calibri" w:cs="Arial"/>
          <w:u w:val="dotted"/>
          <w:rtl/>
        </w:rPr>
        <w:t>לרא"ש וסיעתו – מה הדין אם קנו מידו שלא יוכל למחות, ומחה:</w:t>
      </w:r>
    </w:p>
    <w:p w14:paraId="5A5008E2" w14:textId="77777777" w:rsidR="001D49D4" w:rsidRPr="001D49D4" w:rsidRDefault="001D49D4" w:rsidP="0004348D">
      <w:pPr>
        <w:numPr>
          <w:ilvl w:val="0"/>
          <w:numId w:val="209"/>
        </w:numPr>
        <w:spacing w:before="360" w:after="240"/>
        <w:contextualSpacing/>
      </w:pPr>
      <w:r w:rsidRPr="001D49D4">
        <w:rPr>
          <w:rtl/>
        </w:rPr>
        <w:t xml:space="preserve">רא"ש </w:t>
      </w:r>
      <w:r w:rsidRPr="001D49D4">
        <w:rPr>
          <w:sz w:val="16"/>
          <w:szCs w:val="16"/>
          <w:rtl/>
        </w:rPr>
        <w:t>(כלל סו סי' א, הביאו הטור [סי' רמג שם])</w:t>
      </w:r>
      <w:r w:rsidRPr="001D49D4">
        <w:rPr>
          <w:rtl/>
        </w:rPr>
        <w:t xml:space="preserve"> וטור </w:t>
      </w:r>
      <w:r w:rsidRPr="001D49D4">
        <w:rPr>
          <w:sz w:val="16"/>
          <w:szCs w:val="16"/>
          <w:rtl/>
        </w:rPr>
        <w:t>(סי' רמג סי"ב-יד)</w:t>
      </w:r>
      <w:r w:rsidRPr="001D49D4">
        <w:rPr>
          <w:rtl/>
        </w:rPr>
        <w:t>- במקומינו נוהגין שהעדים אומרין למקנה בשעת הקנין 'דע כי נכתוב השטר ולא תוכל למחות בנו', ואפילו אם קנו מידו על השטר שאמר בפירוש 'אני מקנה לכתוב השטר ולא אוכל לחזור בי למחות בסופר מלכתוב ובעדים מלחתום' - עדיין יכול לחזור בו, דהאי קנין דברים בעלמא הוא ואין קנין חל עליו, שאין כאן שעבוד נכסים שיחול הקנין עליו, דבשטר מתנה אין משעבד נכסיו. ואפילו המקנה לחבירו שיכתוב שטר על מכר - נמי קנין דברים הוא, שכבר נשתעבדו לו נכסיו משעת מכירה. הילכך אין תקנה שלא יוכל לחזור בו עד שיבוא השטר ליד מקבל מתנה.</w:t>
      </w:r>
    </w:p>
    <w:p w14:paraId="4B7199CC" w14:textId="77777777" w:rsidR="001D49D4" w:rsidRPr="001D49D4" w:rsidRDefault="001D49D4" w:rsidP="0004348D">
      <w:pPr>
        <w:spacing w:before="360" w:after="240"/>
        <w:rPr>
          <w:rFonts w:ascii="Calibri" w:eastAsia="Calibri" w:hAnsi="Calibri" w:cs="Arial"/>
        </w:rPr>
      </w:pPr>
      <w:r w:rsidRPr="001D49D4">
        <w:rPr>
          <w:rFonts w:ascii="Calibri" w:eastAsia="Calibri" w:hAnsi="Calibri" w:cs="Arial"/>
          <w:u w:val="single"/>
          <w:rtl/>
        </w:rPr>
        <w:t>ראובן שנטל קנין והתנה על מנת שיכתב ויחתם - ומיחה בטרם נכתב:</w:t>
      </w:r>
    </w:p>
    <w:p w14:paraId="6025FCD3" w14:textId="77777777" w:rsidR="001D49D4" w:rsidRPr="001D49D4" w:rsidRDefault="001D49D4" w:rsidP="0004348D">
      <w:pPr>
        <w:numPr>
          <w:ilvl w:val="0"/>
          <w:numId w:val="209"/>
        </w:numPr>
        <w:spacing w:before="360" w:after="240"/>
        <w:contextualSpacing/>
        <w:rPr>
          <w:rtl/>
        </w:rPr>
      </w:pPr>
      <w:r w:rsidRPr="001D49D4">
        <w:rPr>
          <w:rtl/>
        </w:rPr>
        <w:lastRenderedPageBreak/>
        <w:t xml:space="preserve">רא"ש </w:t>
      </w:r>
      <w:r w:rsidRPr="001D49D4">
        <w:rPr>
          <w:sz w:val="16"/>
          <w:szCs w:val="16"/>
          <w:rtl/>
        </w:rPr>
        <w:t>(כלל סו סי' ה)</w:t>
      </w:r>
      <w:r w:rsidRPr="001D49D4">
        <w:rPr>
          <w:rtl/>
        </w:rPr>
        <w:t xml:space="preserve">- ראובן שנטל קנין והתנה על מנת שיכתב ויחתם, ומיחה בטרם נכתב - כל תנאי שבבמון קיים </w:t>
      </w:r>
      <w:r w:rsidRPr="001D49D4">
        <w:rPr>
          <w:sz w:val="16"/>
          <w:szCs w:val="16"/>
          <w:rtl/>
        </w:rPr>
        <w:t xml:space="preserve">(כתובות נו.) </w:t>
      </w:r>
      <w:r w:rsidRPr="001D49D4">
        <w:rPr>
          <w:rtl/>
        </w:rPr>
        <w:t>ואם לא נכתב ונחתם ומיחה בו קודם כתיבה יכול לחזור בו</w:t>
      </w:r>
      <w:r w:rsidRPr="001D49D4">
        <w:rPr>
          <w:vertAlign w:val="superscript"/>
          <w:rtl/>
        </w:rPr>
        <w:footnoteReference w:id="2901"/>
      </w:r>
      <w:r w:rsidRPr="001D49D4">
        <w:rPr>
          <w:rtl/>
        </w:rPr>
        <w:t>.</w:t>
      </w:r>
    </w:p>
    <w:p w14:paraId="2C612310" w14:textId="77777777" w:rsidR="001D49D4" w:rsidRPr="001D49D4" w:rsidRDefault="001D49D4" w:rsidP="0004348D">
      <w:pPr>
        <w:spacing w:before="360" w:after="240"/>
        <w:rPr>
          <w:rFonts w:ascii="Arial" w:eastAsia="Calibri" w:hAnsi="Arial" w:cs="Arial"/>
          <w:b/>
          <w:bCs/>
          <w:color w:val="000000"/>
          <w:sz w:val="28"/>
          <w:szCs w:val="28"/>
          <w:u w:val="single"/>
          <w:rtl/>
        </w:rPr>
      </w:pPr>
      <w:r w:rsidRPr="001D49D4">
        <w:rPr>
          <w:rFonts w:ascii="Arial" w:eastAsia="Calibri" w:hAnsi="Arial" w:cs="Arial"/>
          <w:b/>
          <w:bCs/>
          <w:color w:val="000000"/>
          <w:sz w:val="28"/>
          <w:szCs w:val="28"/>
          <w:u w:val="single"/>
          <w:rtl/>
        </w:rPr>
        <w:t>שו"ע:</w:t>
      </w:r>
    </w:p>
    <w:p w14:paraId="258AF2AF"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rtl/>
        </w:rPr>
        <w:t xml:space="preserve">אם הלוה מוחה בעדים שלא יכתבו לו שטר, יש אומרים שאין כותבים, ואפילו קנו מידו שלא יוכל למחות בהם מלכתוב, אינו מועיל </w:t>
      </w:r>
      <w:r w:rsidRPr="001D49D4">
        <w:rPr>
          <w:rFonts w:ascii="Calibri" w:eastAsia="Calibri" w:hAnsi="Calibri" w:cs="Arial"/>
          <w:sz w:val="18"/>
          <w:szCs w:val="18"/>
          <w:rtl/>
        </w:rPr>
        <w:t>(ועיין לקמן סי' רמ"ג סעיף ז')</w:t>
      </w:r>
      <w:r w:rsidRPr="001D49D4">
        <w:rPr>
          <w:rFonts w:ascii="Calibri" w:eastAsia="Calibri" w:hAnsi="Calibri" w:cs="Arial"/>
          <w:rtl/>
        </w:rPr>
        <w:t>. ואם יאמר המלוה: כיון שאינך רוצה שיכתבו לי שטר תחזיר לי מעותי, שומעין לו. ואם עידיו רוצים לילך למדינת הים, יש מי שאומר שהולך לפני בית דין וכותב לו אבל העדים אין רשאים לכתוב</w:t>
      </w:r>
      <w:r w:rsidRPr="001D49D4">
        <w:rPr>
          <w:rFonts w:ascii="Calibri" w:eastAsia="Calibri" w:hAnsi="Calibri" w:cs="Arial"/>
          <w:vertAlign w:val="superscript"/>
          <w:rtl/>
        </w:rPr>
        <w:footnoteReference w:id="2902"/>
      </w:r>
      <w:r w:rsidRPr="001D49D4">
        <w:rPr>
          <w:rFonts w:ascii="Calibri" w:eastAsia="Calibri" w:hAnsi="Calibri" w:cs="Arial"/>
          <w:rtl/>
        </w:rPr>
        <w:t>. ויש אומרים שאפילו עומד וצווח אל תכתבו לו שטר, כותבים לו על כרחו</w:t>
      </w:r>
      <w:r w:rsidRPr="001D49D4">
        <w:rPr>
          <w:rFonts w:ascii="Calibri" w:eastAsia="Calibri" w:hAnsi="Calibri" w:cs="Arial"/>
          <w:vertAlign w:val="superscript"/>
          <w:rtl/>
        </w:rPr>
        <w:footnoteReference w:id="2903"/>
      </w:r>
      <w:r w:rsidRPr="001D49D4">
        <w:rPr>
          <w:rFonts w:ascii="Calibri" w:eastAsia="Calibri" w:hAnsi="Calibri" w:cs="Arial"/>
          <w:rtl/>
        </w:rPr>
        <w:t>, אף על פי שאין עדיו רוצים לילך למדינת הים. יש מי שאומר</w:t>
      </w:r>
      <w:r w:rsidRPr="001D49D4">
        <w:rPr>
          <w:rFonts w:ascii="Calibri" w:eastAsia="Calibri" w:hAnsi="Calibri" w:cs="Arial"/>
          <w:vertAlign w:val="superscript"/>
          <w:rtl/>
        </w:rPr>
        <w:footnoteReference w:id="2904"/>
      </w:r>
      <w:r w:rsidRPr="001D49D4">
        <w:rPr>
          <w:rFonts w:ascii="Calibri" w:eastAsia="Calibri" w:hAnsi="Calibri" w:cs="Arial"/>
          <w:rtl/>
        </w:rPr>
        <w:t xml:space="preserve"> דלא אמרינן סתם קנין לכתיבה עומד אלא כשקנו ממנו בפני המלוה, אבל אם קנו ממנו שלא בפני המלוה, אין כותבים. </w:t>
      </w:r>
      <w:r w:rsidRPr="001D49D4">
        <w:rPr>
          <w:rFonts w:ascii="Calibri" w:eastAsia="Calibri" w:hAnsi="Calibri" w:cs="Arial"/>
          <w:sz w:val="18"/>
          <w:szCs w:val="18"/>
          <w:rtl/>
        </w:rPr>
        <w:t>[הגה] ויש חולקין בזה (נמוק"י בשם הרשב"א והרא"ה).</w:t>
      </w:r>
      <w:r w:rsidRPr="001D49D4">
        <w:rPr>
          <w:rFonts w:ascii="Calibri" w:eastAsia="Calibri" w:hAnsi="Calibri" w:cs="Arial"/>
          <w:rtl/>
        </w:rPr>
        <w:t xml:space="preserve"> </w:t>
      </w:r>
    </w:p>
    <w:p w14:paraId="5E8CDD31" w14:textId="77777777" w:rsidR="001D49D4" w:rsidRPr="001D49D4" w:rsidRDefault="001D49D4" w:rsidP="0004348D">
      <w:pPr>
        <w:spacing w:before="360" w:after="240"/>
        <w:rPr>
          <w:rFonts w:ascii="Calibri" w:eastAsia="Calibri" w:hAnsi="Calibri" w:cs="Arial"/>
          <w:rtl/>
        </w:rPr>
      </w:pPr>
    </w:p>
    <w:p w14:paraId="5D0E94CA" w14:textId="77777777" w:rsidR="001D49D4" w:rsidRPr="001D49D4" w:rsidRDefault="001D49D4" w:rsidP="0004348D">
      <w:pPr>
        <w:keepNext/>
        <w:keepLines/>
        <w:spacing w:before="360" w:after="240"/>
        <w:outlineLvl w:val="1"/>
        <w:rPr>
          <w:rFonts w:ascii="Cambria" w:eastAsia="Times New Roman" w:hAnsi="Cambria" w:cs="Arial"/>
          <w:bCs/>
          <w:color w:val="548DD4" w:themeColor="text2" w:themeTint="99"/>
          <w:sz w:val="26"/>
          <w:szCs w:val="26"/>
          <w:rtl/>
        </w:rPr>
      </w:pPr>
      <w:bookmarkStart w:id="389" w:name="_Toc24883831"/>
      <w:r w:rsidRPr="001D49D4">
        <w:rPr>
          <w:rFonts w:ascii="Cambria" w:eastAsia="Times New Roman" w:hAnsi="Cambria" w:cs="Arial"/>
          <w:bCs/>
          <w:color w:val="548DD4" w:themeColor="text2" w:themeTint="99"/>
          <w:sz w:val="26"/>
          <w:szCs w:val="26"/>
          <w:rtl/>
        </w:rPr>
        <w:t>סעיף ה: עדים שאינם מזומנים.</w:t>
      </w:r>
      <w:bookmarkEnd w:id="389"/>
    </w:p>
    <w:p w14:paraId="136EEA1E"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u w:val="single"/>
          <w:rtl/>
        </w:rPr>
        <w:t>עדים שאינם מזומנים – מהו שיעידו או יכתבו שטר על מה שראו:</w:t>
      </w:r>
    </w:p>
    <w:p w14:paraId="2118477C" w14:textId="77777777" w:rsidR="001D49D4" w:rsidRPr="001D49D4" w:rsidRDefault="001D49D4" w:rsidP="0004348D">
      <w:pPr>
        <w:numPr>
          <w:ilvl w:val="0"/>
          <w:numId w:val="209"/>
        </w:numPr>
        <w:spacing w:before="360" w:after="240"/>
        <w:contextualSpacing/>
        <w:rPr>
          <w:rtl/>
        </w:rPr>
      </w:pPr>
      <w:r w:rsidRPr="001D49D4">
        <w:rPr>
          <w:rtl/>
        </w:rPr>
        <w:t xml:space="preserve">רשב"א </w:t>
      </w:r>
      <w:r w:rsidRPr="001D49D4">
        <w:rPr>
          <w:sz w:val="16"/>
          <w:szCs w:val="16"/>
          <w:rtl/>
        </w:rPr>
        <w:t>(סי' אלף עג)</w:t>
      </w:r>
      <w:r w:rsidRPr="001D49D4">
        <w:rPr>
          <w:rtl/>
        </w:rPr>
        <w:t xml:space="preserve">- העדים אינם צריכים להיות מזומנים. אבל מכל מקום אין יכולים לכתוב לו שטר כשהזמין אחרים בקניינו, דכי אמרינן סתם קנין לכתיבה עומד הני מילי אלו דמיחדי ועשאן שלוחים, ואפילו אלו אם כתבו אינם יכולים לכתוב פעם שניה, כי העדים שעשו שליחותן אינם חוזרים ועושים שליחות אחרת, וכל שכן השאר שראו הקנין ולא נעשו שלוחים בכתיבת השטר. והדין נותן, שאם כן אם היו שם הרבה בני אדם כל שנים מהם יכתבו לו שטר וגובה וחוזר וגובה. אלא לעולם אין כותבין אלא המזומנים שעשאן שלוחים. אבל אם העידו בעל פה מקבלים אותם ועדותם עדות, שאם כפר זה בעיקר הדבר - הוחזק כפרן על פי עדות אלו. אבל באומר פרעתי - נאמן, ואע"פ שראו שקנו ממנו. ולא עוד אלא שאפילו תוך זמנו נאמן לומר פרעתי, משום דריע טענתו של מלוה כשלא הוציא שטר. אבל אם אין שם קנין ושטר והעידו שהוא תוך זמן - גובה על פי עדים אלו, דאין אדם עשוי לפרוע תוך זמן </w:t>
      </w:r>
      <w:r w:rsidRPr="001D49D4">
        <w:rPr>
          <w:sz w:val="16"/>
          <w:szCs w:val="16"/>
          <w:rtl/>
        </w:rPr>
        <w:t>(ב"ב ה:)</w:t>
      </w:r>
      <w:r w:rsidRPr="001D49D4">
        <w:rPr>
          <w:vertAlign w:val="superscript"/>
          <w:rtl/>
        </w:rPr>
        <w:footnoteReference w:id="2905"/>
      </w:r>
      <w:r w:rsidRPr="001D49D4">
        <w:rPr>
          <w:rtl/>
        </w:rPr>
        <w:t xml:space="preserve">. </w:t>
      </w:r>
      <w:r w:rsidRPr="001D49D4">
        <w:rPr>
          <w:color w:val="E36C0A" w:themeColor="accent6" w:themeShade="BF"/>
          <w:rtl/>
        </w:rPr>
        <w:t>(וכ"פ בשו"ע)</w:t>
      </w:r>
    </w:p>
    <w:p w14:paraId="3B7B1792" w14:textId="77777777" w:rsidR="001D49D4" w:rsidRPr="001D49D4" w:rsidRDefault="001D49D4" w:rsidP="0004348D">
      <w:pPr>
        <w:spacing w:before="360" w:after="240"/>
        <w:rPr>
          <w:rFonts w:ascii="Arial" w:eastAsia="Calibri" w:hAnsi="Arial" w:cs="Arial"/>
          <w:b/>
          <w:bCs/>
          <w:color w:val="000000"/>
          <w:sz w:val="28"/>
          <w:szCs w:val="28"/>
          <w:u w:val="single"/>
          <w:rtl/>
        </w:rPr>
      </w:pPr>
      <w:r w:rsidRPr="001D49D4">
        <w:rPr>
          <w:rFonts w:ascii="Arial" w:eastAsia="Calibri" w:hAnsi="Arial" w:cs="Arial"/>
          <w:b/>
          <w:bCs/>
          <w:color w:val="000000"/>
          <w:sz w:val="28"/>
          <w:szCs w:val="28"/>
          <w:u w:val="single"/>
          <w:rtl/>
        </w:rPr>
        <w:t>שו"ע:</w:t>
      </w:r>
    </w:p>
    <w:p w14:paraId="7C44065D"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rtl/>
        </w:rPr>
        <w:t xml:space="preserve">העדים אינם צריכים להיות מזומנים, אבל מכל מקום אין יכולים לכתוב לו שטר כשהזמין אחרים בקנינו, דכי אמרינן סתם קנין לכתיבה עומד הני מילי דמיחדי ועשאן שלוחים. אבל אם העידו בעל פה עדותם עדות אם כפר זה בעיקר הדבר. אבל באומר פרעתי, נאמן, ואפילו תוך זמנו, משום דריע טענתו של מלוה כשלא הוציא שטר. אבל אם לא היה קנין ולא שטר, והעידו שהוא תוך זמן, גובה על פיהם </w:t>
      </w:r>
      <w:r w:rsidRPr="001D49D4">
        <w:rPr>
          <w:rFonts w:ascii="Calibri" w:eastAsia="Calibri" w:hAnsi="Calibri" w:cs="Arial"/>
          <w:sz w:val="18"/>
          <w:szCs w:val="18"/>
          <w:rtl/>
        </w:rPr>
        <w:t>(וע"ל ריש סימן ע')</w:t>
      </w:r>
      <w:r w:rsidRPr="001D49D4">
        <w:rPr>
          <w:rFonts w:ascii="Calibri" w:eastAsia="Calibri" w:hAnsi="Calibri" w:cs="Arial"/>
          <w:rtl/>
        </w:rPr>
        <w:t xml:space="preserve">. </w:t>
      </w:r>
    </w:p>
    <w:p w14:paraId="58B5252E" w14:textId="77777777" w:rsidR="001D49D4" w:rsidRPr="001D49D4" w:rsidRDefault="001D49D4" w:rsidP="0004348D">
      <w:pPr>
        <w:spacing w:before="360" w:after="240"/>
        <w:rPr>
          <w:rFonts w:ascii="Calibri" w:eastAsia="Calibri" w:hAnsi="Calibri" w:cs="Arial"/>
          <w:rtl/>
        </w:rPr>
      </w:pPr>
    </w:p>
    <w:p w14:paraId="3860383E" w14:textId="77777777" w:rsidR="001D49D4" w:rsidRPr="001D49D4" w:rsidRDefault="001D49D4" w:rsidP="0004348D">
      <w:pPr>
        <w:keepNext/>
        <w:keepLines/>
        <w:spacing w:before="360" w:after="240"/>
        <w:outlineLvl w:val="1"/>
        <w:rPr>
          <w:rFonts w:ascii="Cambria" w:eastAsia="Times New Roman" w:hAnsi="Cambria" w:cs="Arial"/>
          <w:bCs/>
          <w:color w:val="548DD4" w:themeColor="text2" w:themeTint="99"/>
          <w:sz w:val="26"/>
          <w:szCs w:val="26"/>
          <w:rtl/>
        </w:rPr>
      </w:pPr>
      <w:bookmarkStart w:id="390" w:name="_Toc24883832"/>
      <w:r w:rsidRPr="001D49D4">
        <w:rPr>
          <w:rFonts w:ascii="Cambria" w:eastAsia="Times New Roman" w:hAnsi="Cambria" w:cs="Arial"/>
          <w:bCs/>
          <w:color w:val="548DD4" w:themeColor="text2" w:themeTint="99"/>
          <w:sz w:val="26"/>
          <w:szCs w:val="26"/>
          <w:rtl/>
        </w:rPr>
        <w:lastRenderedPageBreak/>
        <w:t>סעיף ו: עדים שכתבו וחתמו במקום שלא היה להם לכתוב ולחתום.</w:t>
      </w:r>
      <w:bookmarkEnd w:id="390"/>
    </w:p>
    <w:p w14:paraId="5E5A76E4" w14:textId="77777777" w:rsidR="001D49D4" w:rsidRPr="001D49D4" w:rsidRDefault="001D49D4" w:rsidP="0004348D">
      <w:pPr>
        <w:spacing w:before="360" w:after="240"/>
        <w:rPr>
          <w:rFonts w:ascii="Calibri" w:eastAsia="Calibri" w:hAnsi="Calibri" w:cs="Arial"/>
          <w:u w:val="single"/>
          <w:rtl/>
        </w:rPr>
      </w:pPr>
      <w:r w:rsidRPr="001D49D4">
        <w:rPr>
          <w:rFonts w:ascii="Calibri" w:eastAsia="Calibri" w:hAnsi="Calibri" w:cs="Arial"/>
          <w:u w:val="single"/>
          <w:rtl/>
        </w:rPr>
        <w:t>עדים שכתבו וחתמו במקום שלא היה להם לכתוב ולחתום:</w:t>
      </w:r>
    </w:p>
    <w:p w14:paraId="4F8FF6E6" w14:textId="77777777" w:rsidR="001D49D4" w:rsidRPr="001D49D4" w:rsidRDefault="001D49D4" w:rsidP="0004348D">
      <w:pPr>
        <w:numPr>
          <w:ilvl w:val="0"/>
          <w:numId w:val="209"/>
        </w:numPr>
        <w:spacing w:before="360" w:after="240"/>
        <w:contextualSpacing/>
        <w:rPr>
          <w:rtl/>
        </w:rPr>
      </w:pPr>
      <w:r w:rsidRPr="001D49D4">
        <w:rPr>
          <w:rtl/>
        </w:rPr>
        <w:t xml:space="preserve">רשב"א </w:t>
      </w:r>
      <w:r w:rsidRPr="001D49D4">
        <w:rPr>
          <w:sz w:val="16"/>
          <w:szCs w:val="16"/>
          <w:rtl/>
        </w:rPr>
        <w:t>(ח"ב סי' שלח)</w:t>
      </w:r>
      <w:r w:rsidRPr="001D49D4">
        <w:rPr>
          <w:rtl/>
        </w:rPr>
        <w:t>- כל שכתבו וחתמו במקום שלא היה להם לכתוב ולחתום - אין לו דין מלוה בשטר אלא כמלוה על פה לכל דבריה דחתימה שלא כדין לית לה קלא</w:t>
      </w:r>
      <w:r w:rsidRPr="001D49D4">
        <w:rPr>
          <w:vertAlign w:val="superscript"/>
          <w:rtl/>
        </w:rPr>
        <w:footnoteReference w:id="2906"/>
      </w:r>
      <w:r w:rsidRPr="001D49D4">
        <w:rPr>
          <w:rtl/>
        </w:rPr>
        <w:t xml:space="preserve">. </w:t>
      </w:r>
      <w:r w:rsidRPr="001D49D4">
        <w:rPr>
          <w:color w:val="E36C0A" w:themeColor="accent6" w:themeShade="BF"/>
          <w:rtl/>
        </w:rPr>
        <w:t>(וכ"פ בשו"ע)</w:t>
      </w:r>
    </w:p>
    <w:p w14:paraId="60FFA8E0" w14:textId="77777777" w:rsidR="001D49D4" w:rsidRPr="001D49D4" w:rsidRDefault="001D49D4" w:rsidP="0004348D">
      <w:pPr>
        <w:spacing w:before="360" w:after="240"/>
        <w:rPr>
          <w:rFonts w:ascii="Arial" w:eastAsia="Calibri" w:hAnsi="Arial" w:cs="Arial"/>
          <w:b/>
          <w:bCs/>
          <w:color w:val="000000"/>
          <w:sz w:val="28"/>
          <w:szCs w:val="28"/>
          <w:u w:val="single"/>
          <w:rtl/>
        </w:rPr>
      </w:pPr>
      <w:r w:rsidRPr="001D49D4">
        <w:rPr>
          <w:rFonts w:ascii="Arial" w:eastAsia="Calibri" w:hAnsi="Arial" w:cs="Arial"/>
          <w:b/>
          <w:bCs/>
          <w:color w:val="000000"/>
          <w:sz w:val="28"/>
          <w:szCs w:val="28"/>
          <w:u w:val="single"/>
          <w:rtl/>
        </w:rPr>
        <w:t>שו"ע:</w:t>
      </w:r>
    </w:p>
    <w:p w14:paraId="4AFE729D"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rtl/>
        </w:rPr>
        <w:t xml:space="preserve">כל שכתבו וחתמו במקום שלא היה להם לכתוב ולחתום, אין לו דין מלוה בשטר. </w:t>
      </w:r>
    </w:p>
    <w:p w14:paraId="1E7FD7B0" w14:textId="77777777" w:rsidR="001D49D4" w:rsidRPr="001D49D4" w:rsidRDefault="001D49D4" w:rsidP="0004348D">
      <w:pPr>
        <w:spacing w:before="360" w:after="240"/>
        <w:rPr>
          <w:rFonts w:ascii="Calibri" w:eastAsia="Calibri" w:hAnsi="Calibri" w:cs="Arial"/>
          <w:rtl/>
        </w:rPr>
      </w:pPr>
    </w:p>
    <w:p w14:paraId="29824EEF" w14:textId="77777777" w:rsidR="001D49D4" w:rsidRPr="001D49D4" w:rsidRDefault="001D49D4" w:rsidP="0004348D">
      <w:pPr>
        <w:keepNext/>
        <w:keepLines/>
        <w:spacing w:before="360" w:after="240"/>
        <w:outlineLvl w:val="1"/>
        <w:rPr>
          <w:rFonts w:ascii="Cambria" w:eastAsia="Times New Roman" w:hAnsi="Cambria" w:cs="Arial"/>
          <w:bCs/>
          <w:color w:val="548DD4" w:themeColor="text2" w:themeTint="99"/>
          <w:sz w:val="26"/>
          <w:szCs w:val="26"/>
          <w:rtl/>
        </w:rPr>
      </w:pPr>
      <w:bookmarkStart w:id="391" w:name="_Toc24883833"/>
      <w:r w:rsidRPr="001D49D4">
        <w:rPr>
          <w:rFonts w:ascii="Cambria" w:eastAsia="Times New Roman" w:hAnsi="Cambria" w:cs="Arial"/>
          <w:bCs/>
          <w:color w:val="548DD4" w:themeColor="text2" w:themeTint="99"/>
          <w:sz w:val="26"/>
          <w:szCs w:val="26"/>
          <w:rtl/>
        </w:rPr>
        <w:t>סעיף ז: לוה שהלוה ולא לקח בקנין אבל הודה בפני שלשה שהלווה.</w:t>
      </w:r>
      <w:bookmarkEnd w:id="391"/>
    </w:p>
    <w:p w14:paraId="071AF20E"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b/>
          <w:bCs/>
          <w:rtl/>
        </w:rPr>
        <w:t xml:space="preserve">סנהדרין </w:t>
      </w:r>
      <w:r w:rsidRPr="001D49D4">
        <w:rPr>
          <w:rFonts w:ascii="Calibri" w:eastAsia="Calibri" w:hAnsi="Calibri" w:cs="Arial"/>
          <w:b/>
          <w:bCs/>
          <w:sz w:val="16"/>
          <w:szCs w:val="16"/>
          <w:rtl/>
        </w:rPr>
        <w:t xml:space="preserve">(פרק זה בורר) </w:t>
      </w:r>
      <w:r w:rsidRPr="001D49D4">
        <w:rPr>
          <w:rFonts w:ascii="Calibri" w:eastAsia="Calibri" w:hAnsi="Calibri" w:cs="Arial"/>
          <w:b/>
          <w:bCs/>
          <w:rtl/>
        </w:rPr>
        <w:t>כט</w:t>
      </w:r>
      <w:r w:rsidRPr="001D49D4">
        <w:rPr>
          <w:rFonts w:ascii="Calibri" w:eastAsia="Calibri" w:hAnsi="Calibri" w:cs="Arial"/>
          <w:b/>
          <w:bCs/>
          <w:vertAlign w:val="superscript"/>
          <w:rtl/>
        </w:rPr>
        <w:footnoteReference w:id="2907"/>
      </w:r>
      <w:r w:rsidRPr="001D49D4">
        <w:rPr>
          <w:rFonts w:ascii="Calibri" w:eastAsia="Calibri" w:hAnsi="Calibri" w:cs="Arial"/>
          <w:b/>
          <w:bCs/>
          <w:rtl/>
        </w:rPr>
        <w:t xml:space="preserve"> ע"ב:</w:t>
      </w:r>
      <w:r w:rsidRPr="001D49D4">
        <w:rPr>
          <w:rFonts w:ascii="Calibri" w:eastAsia="Calibri" w:hAnsi="Calibri" w:cs="Arial"/>
          <w:rtl/>
        </w:rPr>
        <w:t xml:space="preserve"> הודה בפני שנים וקנו מידו - כותבין, ואם לאו - אין כותבין. בפני שלשה ולא קנו מידו, </w:t>
      </w:r>
      <w:r w:rsidRPr="001D49D4">
        <w:rPr>
          <w:rFonts w:ascii="Calibri" w:eastAsia="Calibri" w:hAnsi="Calibri" w:cs="Arial"/>
          <w:u w:val="single"/>
          <w:rtl/>
        </w:rPr>
        <w:t>רב אמר</w:t>
      </w:r>
      <w:r w:rsidRPr="001D49D4">
        <w:rPr>
          <w:rFonts w:ascii="Calibri" w:eastAsia="Calibri" w:hAnsi="Calibri" w:cs="Arial"/>
          <w:rtl/>
        </w:rPr>
        <w:t xml:space="preserve">: כותבין. </w:t>
      </w:r>
      <w:r w:rsidRPr="001D49D4">
        <w:rPr>
          <w:rFonts w:ascii="Calibri" w:eastAsia="Calibri" w:hAnsi="Calibri" w:cs="Arial"/>
          <w:u w:val="single"/>
          <w:rtl/>
        </w:rPr>
        <w:t>ורב אסי אמר</w:t>
      </w:r>
      <w:r w:rsidRPr="001D49D4">
        <w:rPr>
          <w:rFonts w:ascii="Calibri" w:eastAsia="Calibri" w:hAnsi="Calibri" w:cs="Arial"/>
          <w:rtl/>
        </w:rPr>
        <w:t xml:space="preserve">: אין כותבין. הוה עובדא וחש לה רב להא דרב אסי. </w:t>
      </w:r>
      <w:r w:rsidRPr="001D49D4">
        <w:rPr>
          <w:rFonts w:ascii="Calibri" w:eastAsia="Calibri" w:hAnsi="Calibri" w:cs="Arial"/>
          <w:u w:val="single"/>
          <w:rtl/>
        </w:rPr>
        <w:t>אמר רב אדא בר אהבה</w:t>
      </w:r>
      <w:r w:rsidRPr="001D49D4">
        <w:rPr>
          <w:rFonts w:ascii="Calibri" w:eastAsia="Calibri" w:hAnsi="Calibri" w:cs="Arial"/>
          <w:rtl/>
        </w:rPr>
        <w:t>: הא אודיתא</w:t>
      </w:r>
      <w:r w:rsidRPr="001D49D4">
        <w:rPr>
          <w:rFonts w:ascii="Calibri" w:eastAsia="Calibri" w:hAnsi="Calibri" w:cs="Arial"/>
          <w:vertAlign w:val="superscript"/>
          <w:rtl/>
        </w:rPr>
        <w:footnoteReference w:id="2908"/>
      </w:r>
      <w:r w:rsidRPr="001D49D4">
        <w:rPr>
          <w:rFonts w:ascii="Calibri" w:eastAsia="Calibri" w:hAnsi="Calibri" w:cs="Arial"/>
          <w:rtl/>
        </w:rPr>
        <w:t>, זימנין כתבינן וזימנין לא כתבינן. כניפי ויתבי</w:t>
      </w:r>
      <w:r w:rsidRPr="001D49D4">
        <w:rPr>
          <w:rFonts w:ascii="Calibri" w:eastAsia="Calibri" w:hAnsi="Calibri" w:cs="Arial"/>
          <w:vertAlign w:val="superscript"/>
          <w:rtl/>
        </w:rPr>
        <w:footnoteReference w:id="2909"/>
      </w:r>
      <w:r w:rsidRPr="001D49D4">
        <w:rPr>
          <w:rFonts w:ascii="Calibri" w:eastAsia="Calibri" w:hAnsi="Calibri" w:cs="Arial"/>
          <w:rtl/>
        </w:rPr>
        <w:t xml:space="preserve"> - לא כתבינן, כנפינהו איהו - כתבינן</w:t>
      </w:r>
      <w:r w:rsidRPr="001D49D4">
        <w:rPr>
          <w:rFonts w:ascii="Calibri" w:eastAsia="Calibri" w:hAnsi="Calibri" w:cs="Arial"/>
          <w:vertAlign w:val="superscript"/>
          <w:rtl/>
        </w:rPr>
        <w:footnoteReference w:id="2910"/>
      </w:r>
      <w:r w:rsidRPr="001D49D4">
        <w:rPr>
          <w:rFonts w:ascii="Calibri" w:eastAsia="Calibri" w:hAnsi="Calibri" w:cs="Arial"/>
          <w:rtl/>
        </w:rPr>
        <w:t xml:space="preserve">. </w:t>
      </w:r>
      <w:r w:rsidRPr="001D49D4">
        <w:rPr>
          <w:rFonts w:ascii="Calibri" w:eastAsia="Calibri" w:hAnsi="Calibri" w:cs="Arial"/>
          <w:u w:val="single"/>
          <w:rtl/>
        </w:rPr>
        <w:t>רבא אמר</w:t>
      </w:r>
      <w:r w:rsidRPr="001D49D4">
        <w:rPr>
          <w:rFonts w:ascii="Calibri" w:eastAsia="Calibri" w:hAnsi="Calibri" w:cs="Arial"/>
          <w:rtl/>
        </w:rPr>
        <w:t xml:space="preserve">: אפילו כנפינהו איהו - לא כתבינן, עד דאמר להו הוו עלי דייני. </w:t>
      </w:r>
      <w:r w:rsidRPr="001D49D4">
        <w:rPr>
          <w:rFonts w:ascii="Calibri" w:eastAsia="Calibri" w:hAnsi="Calibri" w:cs="Arial"/>
          <w:u w:val="single"/>
          <w:rtl/>
        </w:rPr>
        <w:t>מר בר רב אשי אמר</w:t>
      </w:r>
      <w:r w:rsidRPr="001D49D4">
        <w:rPr>
          <w:rFonts w:ascii="Calibri" w:eastAsia="Calibri" w:hAnsi="Calibri" w:cs="Arial"/>
          <w:rtl/>
        </w:rPr>
        <w:t>: אפילו אמר הוו עלי דייני - לא כתבינן, עד דקבעי דוכתא</w:t>
      </w:r>
      <w:r w:rsidRPr="001D49D4">
        <w:rPr>
          <w:rFonts w:ascii="Calibri" w:eastAsia="Calibri" w:hAnsi="Calibri" w:cs="Arial"/>
          <w:vertAlign w:val="superscript"/>
          <w:rtl/>
        </w:rPr>
        <w:footnoteReference w:id="2911"/>
      </w:r>
      <w:r w:rsidRPr="001D49D4">
        <w:rPr>
          <w:rFonts w:ascii="Calibri" w:eastAsia="Calibri" w:hAnsi="Calibri" w:cs="Arial"/>
          <w:rtl/>
        </w:rPr>
        <w:t>, ושלחי</w:t>
      </w:r>
      <w:r w:rsidRPr="001D49D4">
        <w:rPr>
          <w:rFonts w:ascii="Calibri" w:eastAsia="Calibri" w:hAnsi="Calibri" w:cs="Arial"/>
          <w:vertAlign w:val="superscript"/>
          <w:rtl/>
        </w:rPr>
        <w:footnoteReference w:id="2912"/>
      </w:r>
      <w:r w:rsidRPr="001D49D4">
        <w:rPr>
          <w:rFonts w:ascii="Calibri" w:eastAsia="Calibri" w:hAnsi="Calibri" w:cs="Arial"/>
          <w:rtl/>
        </w:rPr>
        <w:t xml:space="preserve"> ומזמני ליה לבי דינא.</w:t>
      </w:r>
      <w:r w:rsidRPr="001D49D4">
        <w:rPr>
          <w:rFonts w:ascii="Calibri" w:eastAsia="Calibri" w:hAnsi="Calibri" w:cs="Arial"/>
          <w:sz w:val="16"/>
          <w:szCs w:val="16"/>
          <w:rtl/>
        </w:rPr>
        <w:t xml:space="preserve"> (וכתבו הרי"ף (ח.) והרא"ש (סי' כז)- הא מילתא חזינא בה פלוגתא ביני רבואתא, איכא מאן דאמר דלית הלכתא כמר בר רב אשי, ואיכא מ"ד הלכה כמר בר רב אשי דכל היכא דלא איתמר בהדיא לית הלכתא כמר בר רב אשי הלכתא כותיה ולא אשכחנן בכוליה תלמודא דלית הלכתא כותיה בר מהני תרי דמיפך שבועה (שבועות מ.) וחיוארי (חולין עו:) וסימניך הפך לבן, והאי סברא דרבינו האי גאון זצ"ל. עכ"ל הרי"ף. ומכאן הכריע נמוק"י (ח.) דהכי סבירא ליה להרי"ף כיון שהזכיר בעל הסברא ההיא, מכל מקום כיון דפלוגתא היא הבא לכתוב שטר - עליו הראיה דלית הלכתא כמר בר רב אשי ולא כתבינן שטרא עד דקבעי דוכתא וכו'. וכן דעת הרמב"ם פ"ז מטוען ונטען (שם), ב"י)</w:t>
      </w:r>
    </w:p>
    <w:p w14:paraId="2FC4C4A6"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u w:val="single"/>
          <w:rtl/>
        </w:rPr>
        <w:t>הא דאמר מר בר רב אשי 'לא כתבינן עד דקבעי דוכתא' – כיצד:</w:t>
      </w:r>
    </w:p>
    <w:p w14:paraId="2AB8EBAC" w14:textId="77777777" w:rsidR="001D49D4" w:rsidRPr="001D49D4" w:rsidRDefault="001D49D4" w:rsidP="0004348D">
      <w:pPr>
        <w:numPr>
          <w:ilvl w:val="0"/>
          <w:numId w:val="209"/>
        </w:numPr>
        <w:spacing w:before="360" w:after="240"/>
        <w:contextualSpacing/>
        <w:rPr>
          <w:rtl/>
        </w:rPr>
      </w:pPr>
      <w:r w:rsidRPr="001D49D4">
        <w:rPr>
          <w:rtl/>
        </w:rPr>
        <w:t xml:space="preserve">טור- לא לקח בקנין אפילו הודה בפני שלשה אין כותבין אפילו אמר הוו עלי (עדים)[דיינים], אא"כ קבעו השלשה מקום להתקבץ בו לדון ושלחו לו לבא ובא והודה בפניהן - אז כותבין אפילו לא אמר אתם עדי. </w:t>
      </w:r>
    </w:p>
    <w:p w14:paraId="1335F762" w14:textId="77777777" w:rsidR="001D49D4" w:rsidRPr="001D49D4" w:rsidRDefault="001D49D4" w:rsidP="0004348D">
      <w:pPr>
        <w:numPr>
          <w:ilvl w:val="0"/>
          <w:numId w:val="209"/>
        </w:numPr>
        <w:spacing w:before="360" w:after="240"/>
        <w:contextualSpacing/>
        <w:rPr>
          <w:rtl/>
        </w:rPr>
      </w:pPr>
      <w:r w:rsidRPr="001D49D4">
        <w:rPr>
          <w:rtl/>
        </w:rPr>
        <w:t xml:space="preserve">רמב"ם </w:t>
      </w:r>
      <w:r w:rsidRPr="001D49D4">
        <w:rPr>
          <w:sz w:val="16"/>
          <w:szCs w:val="16"/>
          <w:rtl/>
        </w:rPr>
        <w:t>(פ"ז מהל' טוען ונטען ה"ג)</w:t>
      </w:r>
      <w:r w:rsidRPr="001D49D4">
        <w:rPr>
          <w:rtl/>
        </w:rPr>
        <w:t xml:space="preserve">- </w:t>
      </w:r>
      <w:r w:rsidRPr="001D49D4">
        <w:rPr>
          <w:vertAlign w:val="superscript"/>
          <w:rtl/>
        </w:rPr>
        <w:footnoteReference w:id="2913"/>
      </w:r>
      <w:r w:rsidRPr="001D49D4">
        <w:rPr>
          <w:rtl/>
        </w:rPr>
        <w:t xml:space="preserve">בית דין של שלשה שהיו יושבין </w:t>
      </w:r>
      <w:r w:rsidRPr="001D49D4">
        <w:rPr>
          <w:b/>
          <w:bCs/>
          <w:rtl/>
        </w:rPr>
        <w:t>מעצמם</w:t>
      </w:r>
      <w:r w:rsidRPr="001D49D4">
        <w:rPr>
          <w:rtl/>
        </w:rPr>
        <w:t xml:space="preserve"> </w:t>
      </w:r>
      <w:r w:rsidRPr="001D49D4">
        <w:rPr>
          <w:b/>
          <w:bCs/>
          <w:rtl/>
        </w:rPr>
        <w:t>במקום הקבוע להם</w:t>
      </w:r>
      <w:r w:rsidRPr="001D49D4">
        <w:rPr>
          <w:rtl/>
        </w:rPr>
        <w:t>, ובא התובע וקבל לפניהם, ושלחו שליח אצל הנתבע, ובא והודה בפניהם - הרי אלו כותבין ונותנין לבעל דינו. אבל אם לא היו קבועים ולא שלחו לו, אפילו קבץ אותם והושיב השלשה והודה בפניהם ואמר להם הוו עלי דיינים, ובא אח"כ התובע ואמר כתבו לי הודייתו - אין כותבין, שמא יתן לו ונמצא תובע אותו בשטר</w:t>
      </w:r>
      <w:r w:rsidRPr="001D49D4">
        <w:rPr>
          <w:vertAlign w:val="superscript"/>
          <w:rtl/>
        </w:rPr>
        <w:footnoteReference w:id="2914"/>
      </w:r>
      <w:r w:rsidRPr="001D49D4">
        <w:rPr>
          <w:rtl/>
        </w:rPr>
        <w:t xml:space="preserve">. </w:t>
      </w:r>
      <w:r w:rsidRPr="001D49D4">
        <w:rPr>
          <w:color w:val="E36C0A" w:themeColor="accent6" w:themeShade="BF"/>
          <w:rtl/>
        </w:rPr>
        <w:t>(וכ"פ בשו"ע)</w:t>
      </w:r>
    </w:p>
    <w:p w14:paraId="18603289" w14:textId="77777777" w:rsidR="001D49D4" w:rsidRPr="001D49D4" w:rsidRDefault="001D49D4" w:rsidP="0004348D">
      <w:pPr>
        <w:spacing w:before="360" w:after="240"/>
        <w:ind w:left="360"/>
        <w:rPr>
          <w:rFonts w:ascii="Calibri" w:eastAsia="Calibri" w:hAnsi="Calibri" w:cs="Arial"/>
          <w:u w:val="dotted"/>
        </w:rPr>
      </w:pPr>
      <w:r w:rsidRPr="001D49D4">
        <w:rPr>
          <w:rFonts w:ascii="Calibri" w:eastAsia="Calibri" w:hAnsi="Calibri" w:cs="Arial"/>
          <w:u w:val="dotted"/>
          <w:rtl/>
        </w:rPr>
        <w:t xml:space="preserve">האם צריך שיכירו בית הדין את הלוה והמלוה </w:t>
      </w:r>
      <w:r w:rsidRPr="001D49D4">
        <w:rPr>
          <w:rFonts w:ascii="Calibri" w:eastAsia="Calibri" w:hAnsi="Calibri" w:cs="Arial"/>
          <w:sz w:val="16"/>
          <w:szCs w:val="16"/>
          <w:u w:val="dotted"/>
          <w:rtl/>
        </w:rPr>
        <w:t>(כדי שלא יעירמו לכתוב על אדם אחר)</w:t>
      </w:r>
      <w:r w:rsidRPr="001D49D4">
        <w:rPr>
          <w:rFonts w:ascii="Calibri" w:eastAsia="Calibri" w:hAnsi="Calibri" w:cs="Arial"/>
          <w:u w:val="dotted"/>
          <w:rtl/>
        </w:rPr>
        <w:t>:</w:t>
      </w:r>
    </w:p>
    <w:p w14:paraId="3D7F73A2" w14:textId="77777777" w:rsidR="001D49D4" w:rsidRPr="001D49D4" w:rsidRDefault="001D49D4" w:rsidP="0004348D">
      <w:pPr>
        <w:numPr>
          <w:ilvl w:val="0"/>
          <w:numId w:val="209"/>
        </w:numPr>
        <w:spacing w:before="360" w:after="240"/>
        <w:contextualSpacing/>
      </w:pPr>
      <w:r w:rsidRPr="001D49D4">
        <w:rPr>
          <w:rtl/>
        </w:rPr>
        <w:t xml:space="preserve">רמב"ם </w:t>
      </w:r>
      <w:r w:rsidRPr="001D49D4">
        <w:rPr>
          <w:sz w:val="16"/>
          <w:szCs w:val="16"/>
          <w:rtl/>
        </w:rPr>
        <w:t xml:space="preserve">(פ"ז מהלכות טוען ונטען ה"ב) </w:t>
      </w:r>
      <w:r w:rsidRPr="001D49D4">
        <w:rPr>
          <w:rtl/>
        </w:rPr>
        <w:t>וטור- והוא שיכירו ב"ד את שניהם כדי שלא יערימו לחייב את איש אחר</w:t>
      </w:r>
      <w:r w:rsidRPr="001D49D4">
        <w:rPr>
          <w:vertAlign w:val="superscript"/>
          <w:rtl/>
        </w:rPr>
        <w:footnoteReference w:id="2915"/>
      </w:r>
      <w:r w:rsidRPr="001D49D4">
        <w:rPr>
          <w:rtl/>
        </w:rPr>
        <w:t xml:space="preserve">. </w:t>
      </w:r>
      <w:r w:rsidRPr="001D49D4">
        <w:rPr>
          <w:color w:val="E36C0A" w:themeColor="accent6" w:themeShade="BF"/>
          <w:rtl/>
        </w:rPr>
        <w:t>(וכ"פ בשו"ע)</w:t>
      </w:r>
    </w:p>
    <w:p w14:paraId="5D83DABA" w14:textId="77777777" w:rsidR="001D49D4" w:rsidRPr="001D49D4" w:rsidRDefault="001D49D4" w:rsidP="0004348D">
      <w:pPr>
        <w:spacing w:before="360" w:after="240"/>
        <w:ind w:left="360"/>
        <w:rPr>
          <w:rFonts w:ascii="Calibri" w:eastAsia="Calibri" w:hAnsi="Calibri" w:cs="Arial"/>
          <w:u w:val="dotted"/>
        </w:rPr>
      </w:pPr>
      <w:r w:rsidRPr="001D49D4">
        <w:rPr>
          <w:rFonts w:ascii="Calibri" w:eastAsia="Calibri" w:hAnsi="Calibri" w:cs="Arial"/>
          <w:u w:val="dotted"/>
          <w:rtl/>
        </w:rPr>
        <w:t>מה הדין אם תבע המלוה את הלוה לבוא להודות בפני שלשה:</w:t>
      </w:r>
    </w:p>
    <w:p w14:paraId="266AF959" w14:textId="77777777" w:rsidR="001D49D4" w:rsidRPr="001D49D4" w:rsidRDefault="001D49D4" w:rsidP="0004348D">
      <w:pPr>
        <w:numPr>
          <w:ilvl w:val="0"/>
          <w:numId w:val="209"/>
        </w:numPr>
        <w:spacing w:before="360" w:after="240"/>
        <w:contextualSpacing/>
        <w:rPr>
          <w:rtl/>
        </w:rPr>
      </w:pPr>
      <w:r w:rsidRPr="001D49D4">
        <w:rPr>
          <w:rtl/>
        </w:rPr>
        <w:lastRenderedPageBreak/>
        <w:t xml:space="preserve">נמוק"י </w:t>
      </w:r>
      <w:r w:rsidRPr="001D49D4">
        <w:rPr>
          <w:sz w:val="16"/>
          <w:szCs w:val="16"/>
          <w:rtl/>
        </w:rPr>
        <w:t>(שם ע"ב)</w:t>
      </w:r>
      <w:r w:rsidRPr="001D49D4">
        <w:rPr>
          <w:rtl/>
        </w:rPr>
        <w:t>- יש מן המפרשים שכתבו דהא דמר בר רב אשי היינו במודה מעצמו בלא תביעת בעל דבר, הילכך אין שם דיינים עליהם, אבל במודה על ידי תביעה בפני שלשה ואומר הוו עלי דיינים - הרי זה בית דין גמור ויכולין לחייבו, וכל שהם יכולין לחייבו כותבין לו שטר</w:t>
      </w:r>
      <w:r w:rsidRPr="001D49D4">
        <w:rPr>
          <w:vertAlign w:val="superscript"/>
          <w:rtl/>
        </w:rPr>
        <w:footnoteReference w:id="2916"/>
      </w:r>
      <w:r w:rsidRPr="001D49D4">
        <w:rPr>
          <w:rtl/>
        </w:rPr>
        <w:t>. ודע דכל הודאה דקמי בי דינא, בין דאודי על ידי תביעה בין דאודי מנפשיה - אין צריך לאתם עדי ולא למסור עדות דלעולם הויא הודאה.</w:t>
      </w:r>
    </w:p>
    <w:p w14:paraId="70EC94C2" w14:textId="77777777" w:rsidR="001D49D4" w:rsidRPr="001D49D4" w:rsidRDefault="001D49D4" w:rsidP="0004348D">
      <w:pPr>
        <w:numPr>
          <w:ilvl w:val="0"/>
          <w:numId w:val="209"/>
        </w:numPr>
        <w:spacing w:before="360" w:after="240"/>
        <w:contextualSpacing/>
        <w:rPr>
          <w:rtl/>
        </w:rPr>
      </w:pPr>
      <w:r w:rsidRPr="001D49D4">
        <w:rPr>
          <w:rtl/>
        </w:rPr>
        <w:t xml:space="preserve">רי"ו </w:t>
      </w:r>
      <w:r w:rsidRPr="001D49D4">
        <w:rPr>
          <w:sz w:val="16"/>
          <w:szCs w:val="16"/>
          <w:rtl/>
        </w:rPr>
        <w:t>(מישרים נ"א ח"ז ט ע"ג)</w:t>
      </w:r>
      <w:r w:rsidRPr="001D49D4">
        <w:rPr>
          <w:rtl/>
        </w:rPr>
        <w:t>- פירש הרמב"ם</w:t>
      </w:r>
      <w:r w:rsidRPr="001D49D4">
        <w:rPr>
          <w:vertAlign w:val="superscript"/>
          <w:rtl/>
        </w:rPr>
        <w:footnoteReference w:id="2917"/>
      </w:r>
      <w:r w:rsidRPr="001D49D4">
        <w:rPr>
          <w:rtl/>
        </w:rPr>
        <w:t xml:space="preserve"> אפילו אם קבצם הוא והושיבם ואמר הוו עלי דייני אין כותבין </w:t>
      </w:r>
      <w:r w:rsidRPr="001D49D4">
        <w:rPr>
          <w:sz w:val="16"/>
          <w:szCs w:val="16"/>
          <w:rtl/>
        </w:rPr>
        <w:t xml:space="preserve">{אע"ג דשלחו ליה, ש"ך [סקי"ח]} </w:t>
      </w:r>
      <w:r w:rsidRPr="001D49D4">
        <w:rPr>
          <w:rtl/>
        </w:rPr>
        <w:t>מאחר שאינם קבועים, אבל אם הם קבועים מעצמם לדון ותבעם התובע ושלחו לו והודה בפניהם כותבין, וכן נראה עיקר.</w:t>
      </w:r>
    </w:p>
    <w:p w14:paraId="3F13D6FB" w14:textId="77777777" w:rsidR="001D49D4" w:rsidRPr="001D49D4" w:rsidRDefault="001D49D4" w:rsidP="0004348D">
      <w:pPr>
        <w:spacing w:before="360" w:after="240"/>
        <w:rPr>
          <w:rFonts w:ascii="Arial" w:eastAsia="Calibri" w:hAnsi="Arial" w:cs="Arial"/>
          <w:b/>
          <w:bCs/>
          <w:color w:val="000000"/>
          <w:sz w:val="28"/>
          <w:szCs w:val="28"/>
          <w:u w:val="single"/>
        </w:rPr>
      </w:pPr>
      <w:r w:rsidRPr="001D49D4">
        <w:rPr>
          <w:rFonts w:ascii="Arial" w:eastAsia="Calibri" w:hAnsi="Arial" w:cs="Arial"/>
          <w:b/>
          <w:bCs/>
          <w:color w:val="000000"/>
          <w:sz w:val="28"/>
          <w:szCs w:val="28"/>
          <w:u w:val="single"/>
          <w:rtl/>
        </w:rPr>
        <w:t>שו"ע:</w:t>
      </w:r>
    </w:p>
    <w:p w14:paraId="772B2270"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rtl/>
        </w:rPr>
        <w:t>כל שלא קנו מידו, אפילו הודה בפני בית דין של שלשה, אם לא היו קבועים ולא שלחו לו</w:t>
      </w:r>
      <w:r w:rsidRPr="001D49D4">
        <w:rPr>
          <w:rFonts w:ascii="Calibri" w:eastAsia="Calibri" w:hAnsi="Calibri" w:cs="Arial"/>
          <w:vertAlign w:val="superscript"/>
          <w:rtl/>
        </w:rPr>
        <w:footnoteReference w:id="2918"/>
      </w:r>
      <w:r w:rsidRPr="001D49D4">
        <w:rPr>
          <w:rFonts w:ascii="Calibri" w:eastAsia="Calibri" w:hAnsi="Calibri" w:cs="Arial"/>
          <w:rtl/>
        </w:rPr>
        <w:t>, אפילו קבץ אותם והושיבם והודה בפניהם ואמר להם הוו עלי דיינים, אם בא אחר כך התובע ואמר כתבו לי הודאתו, אין כותבין, שמא יתן לו ונמצא זה תובע אותו בשטר</w:t>
      </w:r>
      <w:r w:rsidRPr="001D49D4">
        <w:rPr>
          <w:rFonts w:ascii="Calibri" w:eastAsia="Calibri" w:hAnsi="Calibri" w:cs="Arial"/>
          <w:vertAlign w:val="superscript"/>
          <w:rtl/>
        </w:rPr>
        <w:footnoteReference w:id="2919"/>
      </w:r>
      <w:r w:rsidRPr="001D49D4">
        <w:rPr>
          <w:rFonts w:ascii="Calibri" w:eastAsia="Calibri" w:hAnsi="Calibri" w:cs="Arial"/>
          <w:rtl/>
        </w:rPr>
        <w:t xml:space="preserve">. אבל אם היו בית דין של שלשה יושבים מעצמם במקום הקבוע להם, ובא התובע וקבל לפניהם, ושלחו שליח אצל הנתבע ובא והודה בפניהם, הרי אלו כותבים הודאתו ונותנים לבעל דינו </w:t>
      </w:r>
      <w:r w:rsidRPr="001D49D4">
        <w:rPr>
          <w:rFonts w:ascii="Calibri" w:eastAsia="Calibri" w:hAnsi="Calibri" w:cs="Arial"/>
          <w:sz w:val="18"/>
          <w:szCs w:val="18"/>
          <w:rtl/>
        </w:rPr>
        <w:t>[הגה] אפילו לא אמר אתם עדים</w:t>
      </w:r>
      <w:r w:rsidRPr="001D49D4">
        <w:rPr>
          <w:rFonts w:ascii="Calibri" w:eastAsia="Calibri" w:hAnsi="Calibri" w:cs="Arial"/>
          <w:sz w:val="18"/>
          <w:szCs w:val="18"/>
          <w:vertAlign w:val="superscript"/>
          <w:rtl/>
        </w:rPr>
        <w:footnoteReference w:id="2920"/>
      </w:r>
      <w:r w:rsidRPr="001D49D4">
        <w:rPr>
          <w:rFonts w:ascii="Calibri" w:eastAsia="Calibri" w:hAnsi="Calibri" w:cs="Arial"/>
          <w:sz w:val="18"/>
          <w:szCs w:val="18"/>
          <w:rtl/>
        </w:rPr>
        <w:t xml:space="preserve"> (טור)</w:t>
      </w:r>
      <w:r w:rsidRPr="001D49D4">
        <w:rPr>
          <w:rFonts w:ascii="Calibri" w:eastAsia="Calibri" w:hAnsi="Calibri" w:cs="Arial"/>
          <w:rtl/>
        </w:rPr>
        <w:t>, והוא שיהיו בית דין מכירים את שניהם</w:t>
      </w:r>
      <w:r w:rsidRPr="001D49D4">
        <w:rPr>
          <w:rFonts w:ascii="Calibri" w:eastAsia="Calibri" w:hAnsi="Calibri" w:cs="Arial"/>
          <w:vertAlign w:val="superscript"/>
          <w:rtl/>
        </w:rPr>
        <w:footnoteReference w:id="2921"/>
      </w:r>
      <w:r w:rsidRPr="001D49D4">
        <w:rPr>
          <w:rFonts w:ascii="Calibri" w:eastAsia="Calibri" w:hAnsi="Calibri" w:cs="Arial"/>
          <w:rtl/>
        </w:rPr>
        <w:t xml:space="preserve">, כדי שלא יערימו שניהם לחייב איש אחר. </w:t>
      </w:r>
    </w:p>
    <w:p w14:paraId="4CD518ED" w14:textId="77777777" w:rsidR="001D49D4" w:rsidRPr="001D49D4" w:rsidRDefault="001D49D4" w:rsidP="0004348D">
      <w:pPr>
        <w:spacing w:before="360" w:after="240"/>
        <w:rPr>
          <w:rFonts w:ascii="Calibri" w:eastAsia="Calibri" w:hAnsi="Calibri" w:cs="Arial"/>
          <w:rtl/>
        </w:rPr>
      </w:pPr>
    </w:p>
    <w:p w14:paraId="262A07DA" w14:textId="77777777" w:rsidR="001D49D4" w:rsidRPr="001D49D4" w:rsidRDefault="001D49D4" w:rsidP="0004348D">
      <w:pPr>
        <w:keepNext/>
        <w:keepLines/>
        <w:spacing w:before="360" w:after="240"/>
        <w:outlineLvl w:val="1"/>
        <w:rPr>
          <w:rFonts w:ascii="Cambria" w:eastAsia="Times New Roman" w:hAnsi="Cambria" w:cs="Arial"/>
          <w:bCs/>
          <w:color w:val="548DD4" w:themeColor="text2" w:themeTint="99"/>
          <w:sz w:val="26"/>
          <w:szCs w:val="26"/>
          <w:rtl/>
        </w:rPr>
      </w:pPr>
      <w:bookmarkStart w:id="392" w:name="_Toc24883834"/>
      <w:r w:rsidRPr="001D49D4">
        <w:rPr>
          <w:rFonts w:ascii="Cambria" w:eastAsia="Times New Roman" w:hAnsi="Cambria" w:cs="Arial"/>
          <w:bCs/>
          <w:color w:val="548DD4" w:themeColor="text2" w:themeTint="99"/>
          <w:sz w:val="26"/>
          <w:szCs w:val="26"/>
          <w:rtl/>
        </w:rPr>
        <w:t>סעיף ח: כתיבת שטר ע"פ הודאה – בקרקעות.</w:t>
      </w:r>
      <w:bookmarkEnd w:id="392"/>
    </w:p>
    <w:p w14:paraId="357C022C"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b/>
          <w:bCs/>
          <w:rtl/>
        </w:rPr>
        <w:t xml:space="preserve">סנהדרין </w:t>
      </w:r>
      <w:r w:rsidRPr="001D49D4">
        <w:rPr>
          <w:rFonts w:ascii="Calibri" w:eastAsia="Calibri" w:hAnsi="Calibri" w:cs="Arial"/>
          <w:b/>
          <w:bCs/>
          <w:sz w:val="16"/>
          <w:szCs w:val="16"/>
          <w:rtl/>
        </w:rPr>
        <w:t xml:space="preserve">(פרק זה בורר) </w:t>
      </w:r>
      <w:r w:rsidRPr="001D49D4">
        <w:rPr>
          <w:rFonts w:ascii="Calibri" w:eastAsia="Calibri" w:hAnsi="Calibri" w:cs="Arial"/>
          <w:b/>
          <w:bCs/>
          <w:rtl/>
        </w:rPr>
        <w:t>כט</w:t>
      </w:r>
      <w:r w:rsidRPr="001D49D4">
        <w:rPr>
          <w:rFonts w:ascii="Calibri" w:eastAsia="Calibri" w:hAnsi="Calibri" w:cs="Arial"/>
          <w:b/>
          <w:bCs/>
          <w:vertAlign w:val="superscript"/>
          <w:rtl/>
        </w:rPr>
        <w:footnoteReference w:id="2922"/>
      </w:r>
      <w:r w:rsidRPr="001D49D4">
        <w:rPr>
          <w:rFonts w:ascii="Calibri" w:eastAsia="Calibri" w:hAnsi="Calibri" w:cs="Arial"/>
          <w:b/>
          <w:bCs/>
          <w:rtl/>
        </w:rPr>
        <w:t xml:space="preserve"> ע"ב:</w:t>
      </w:r>
      <w:r w:rsidRPr="001D49D4">
        <w:rPr>
          <w:rFonts w:ascii="Calibri" w:eastAsia="Calibri" w:hAnsi="Calibri" w:cs="Arial"/>
          <w:rtl/>
        </w:rPr>
        <w:t xml:space="preserve"> הודה במטלטלי וקנו מידו - כותבין, ואם לאו - אין כותבין. במקרקעי ולא קנו מידו, מאי? </w:t>
      </w:r>
      <w:r w:rsidRPr="001D49D4">
        <w:rPr>
          <w:rFonts w:ascii="Calibri" w:eastAsia="Calibri" w:hAnsi="Calibri" w:cs="Arial"/>
          <w:u w:val="single"/>
          <w:rtl/>
        </w:rPr>
        <w:t>אמימר אמר</w:t>
      </w:r>
      <w:r w:rsidRPr="001D49D4">
        <w:rPr>
          <w:rFonts w:ascii="Calibri" w:eastAsia="Calibri" w:hAnsi="Calibri" w:cs="Arial"/>
          <w:rtl/>
        </w:rPr>
        <w:t xml:space="preserve">: אין כותבין. </w:t>
      </w:r>
      <w:r w:rsidRPr="001D49D4">
        <w:rPr>
          <w:rFonts w:ascii="Calibri" w:eastAsia="Calibri" w:hAnsi="Calibri" w:cs="Arial"/>
          <w:u w:val="single"/>
          <w:rtl/>
        </w:rPr>
        <w:t>מר זוטרא אמר</w:t>
      </w:r>
      <w:r w:rsidRPr="001D49D4">
        <w:rPr>
          <w:rFonts w:ascii="Calibri" w:eastAsia="Calibri" w:hAnsi="Calibri" w:cs="Arial"/>
          <w:rtl/>
        </w:rPr>
        <w:t>: כותבין. והלכתא: כותבין</w:t>
      </w:r>
      <w:r w:rsidRPr="001D49D4">
        <w:rPr>
          <w:rFonts w:ascii="Calibri" w:eastAsia="Calibri" w:hAnsi="Calibri" w:cs="Arial"/>
          <w:vertAlign w:val="superscript"/>
          <w:rtl/>
        </w:rPr>
        <w:footnoteReference w:id="2923"/>
      </w:r>
      <w:r w:rsidRPr="001D49D4">
        <w:rPr>
          <w:rFonts w:ascii="Calibri" w:eastAsia="Calibri" w:hAnsi="Calibri" w:cs="Arial"/>
          <w:rtl/>
        </w:rPr>
        <w:t xml:space="preserve">. רבינא איקלע לדמהריא, </w:t>
      </w:r>
      <w:r w:rsidRPr="001D49D4">
        <w:rPr>
          <w:rFonts w:ascii="Calibri" w:eastAsia="Calibri" w:hAnsi="Calibri" w:cs="Arial"/>
          <w:u w:val="single"/>
          <w:rtl/>
        </w:rPr>
        <w:t xml:space="preserve">אמר ליה רב דימי </w:t>
      </w:r>
      <w:r w:rsidRPr="001D49D4">
        <w:rPr>
          <w:rFonts w:ascii="Calibri" w:eastAsia="Calibri" w:hAnsi="Calibri" w:cs="Arial"/>
          <w:u w:val="single"/>
          <w:rtl/>
        </w:rPr>
        <w:lastRenderedPageBreak/>
        <w:t>בר רב הונא מדמהריא לרבינא</w:t>
      </w:r>
      <w:r w:rsidRPr="001D49D4">
        <w:rPr>
          <w:rFonts w:ascii="Calibri" w:eastAsia="Calibri" w:hAnsi="Calibri" w:cs="Arial"/>
          <w:rtl/>
        </w:rPr>
        <w:t xml:space="preserve">: מטלטלי ואיתנהו בעינייהו, מאי? </w:t>
      </w:r>
      <w:r w:rsidRPr="001D49D4">
        <w:rPr>
          <w:rFonts w:ascii="Calibri" w:eastAsia="Calibri" w:hAnsi="Calibri" w:cs="Arial"/>
          <w:u w:val="single"/>
          <w:rtl/>
        </w:rPr>
        <w:t>אמר ליה</w:t>
      </w:r>
      <w:r w:rsidRPr="001D49D4">
        <w:rPr>
          <w:rFonts w:ascii="Calibri" w:eastAsia="Calibri" w:hAnsi="Calibri" w:cs="Arial"/>
          <w:rtl/>
        </w:rPr>
        <w:t xml:space="preserve">: כמקרקעי דמו. </w:t>
      </w:r>
      <w:r w:rsidRPr="001D49D4">
        <w:rPr>
          <w:rFonts w:ascii="Calibri" w:eastAsia="Calibri" w:hAnsi="Calibri" w:cs="Arial"/>
          <w:u w:val="single"/>
          <w:rtl/>
        </w:rPr>
        <w:t>רב אשי אמר</w:t>
      </w:r>
      <w:r w:rsidRPr="001D49D4">
        <w:rPr>
          <w:rFonts w:ascii="Calibri" w:eastAsia="Calibri" w:hAnsi="Calibri" w:cs="Arial"/>
          <w:rtl/>
        </w:rPr>
        <w:t>: כיון דמחסרי גוביינא - לא</w:t>
      </w:r>
      <w:r w:rsidRPr="001D49D4">
        <w:rPr>
          <w:rFonts w:ascii="Calibri" w:eastAsia="Calibri" w:hAnsi="Calibri" w:cs="Arial"/>
          <w:vertAlign w:val="superscript"/>
          <w:rtl/>
        </w:rPr>
        <w:footnoteReference w:id="2924"/>
      </w:r>
      <w:r w:rsidRPr="001D49D4">
        <w:rPr>
          <w:rFonts w:ascii="Calibri" w:eastAsia="Calibri" w:hAnsi="Calibri" w:cs="Arial"/>
          <w:rtl/>
        </w:rPr>
        <w:t xml:space="preserve">. </w:t>
      </w:r>
    </w:p>
    <w:p w14:paraId="716C32DD" w14:textId="77777777" w:rsidR="001D49D4" w:rsidRPr="001D49D4" w:rsidRDefault="001D49D4" w:rsidP="0004348D">
      <w:pPr>
        <w:spacing w:before="360" w:after="240"/>
        <w:rPr>
          <w:rFonts w:ascii="Calibri" w:eastAsia="Calibri" w:hAnsi="Calibri" w:cs="Arial"/>
          <w:u w:val="single"/>
          <w:rtl/>
        </w:rPr>
      </w:pPr>
      <w:r w:rsidRPr="001D49D4">
        <w:rPr>
          <w:rFonts w:ascii="Calibri" w:eastAsia="Calibri" w:hAnsi="Calibri" w:cs="Arial"/>
          <w:u w:val="single"/>
          <w:rtl/>
        </w:rPr>
        <w:t>כתיבת הודאה בקרקעות:</w:t>
      </w:r>
    </w:p>
    <w:p w14:paraId="5EE8432A" w14:textId="77777777" w:rsidR="001D49D4" w:rsidRPr="001D49D4" w:rsidRDefault="001D49D4" w:rsidP="0004348D">
      <w:pPr>
        <w:numPr>
          <w:ilvl w:val="0"/>
          <w:numId w:val="209"/>
        </w:numPr>
        <w:spacing w:before="360" w:after="240"/>
        <w:contextualSpacing/>
        <w:rPr>
          <w:rtl/>
        </w:rPr>
      </w:pPr>
      <w:r w:rsidRPr="001D49D4">
        <w:rPr>
          <w:rtl/>
        </w:rPr>
        <w:t xml:space="preserve">טור- בד"א שאין כותבין ההודאה כל זמן שלא לקח בקנין - שהודה לו במטלטלין אפי' הן בעין דהא מיחסרא גוביינא, אבל הודה לו במקרקעי - כותבין. </w:t>
      </w:r>
      <w:r w:rsidRPr="001D49D4">
        <w:rPr>
          <w:vertAlign w:val="superscript"/>
          <w:rtl/>
        </w:rPr>
        <w:footnoteReference w:id="2925"/>
      </w:r>
      <w:r w:rsidRPr="001D49D4">
        <w:rPr>
          <w:rtl/>
        </w:rPr>
        <w:t>ובמטלטלי נמי אם המודה חייב באחריות משעה שהודה כותבין אע"פ שלא לקח בקנין.</w:t>
      </w:r>
    </w:p>
    <w:p w14:paraId="0F659E44" w14:textId="77777777" w:rsidR="001D49D4" w:rsidRPr="001D49D4" w:rsidRDefault="001D49D4" w:rsidP="0004348D">
      <w:pPr>
        <w:numPr>
          <w:ilvl w:val="0"/>
          <w:numId w:val="209"/>
        </w:numPr>
        <w:spacing w:before="360" w:after="240"/>
        <w:contextualSpacing/>
      </w:pPr>
      <w:r w:rsidRPr="001D49D4">
        <w:rPr>
          <w:rtl/>
        </w:rPr>
        <w:t xml:space="preserve">רמב"ם </w:t>
      </w:r>
      <w:r w:rsidRPr="001D49D4">
        <w:rPr>
          <w:sz w:val="16"/>
          <w:szCs w:val="16"/>
          <w:rtl/>
        </w:rPr>
        <w:t>(פ"ז מהלכות טוען ונטען ה"ג)</w:t>
      </w:r>
      <w:r w:rsidRPr="001D49D4">
        <w:rPr>
          <w:rtl/>
        </w:rPr>
        <w:t xml:space="preserve">- במה דברים אמורים במטלטלין, אבל אם הודה בקרקעות אפילו בפני שנים אע"פ שלא קנו מידו ולא אמר להם כתבו ותנו - הרי אלו כותבים ונותנין, שאין כאן לחוש שמא יתן לו ונמצא תובעו פעם שנייה. </w:t>
      </w:r>
      <w:r w:rsidRPr="001D49D4">
        <w:rPr>
          <w:color w:val="E36C0A" w:themeColor="accent6" w:themeShade="BF"/>
          <w:rtl/>
        </w:rPr>
        <w:t>(וכ"פ בשו"ע)</w:t>
      </w:r>
    </w:p>
    <w:p w14:paraId="487561C8" w14:textId="77777777" w:rsidR="001D49D4" w:rsidRPr="001D49D4" w:rsidRDefault="001D49D4" w:rsidP="0004348D">
      <w:pPr>
        <w:spacing w:before="360" w:after="240"/>
        <w:rPr>
          <w:rFonts w:ascii="Calibri" w:eastAsia="Calibri" w:hAnsi="Calibri" w:cs="Arial"/>
          <w:u w:val="single"/>
        </w:rPr>
      </w:pPr>
      <w:r w:rsidRPr="001D49D4">
        <w:rPr>
          <w:rFonts w:ascii="Calibri" w:eastAsia="Calibri" w:hAnsi="Calibri" w:cs="Arial"/>
          <w:u w:val="single"/>
          <w:rtl/>
        </w:rPr>
        <w:t>עדים שכתבו שטר על הודאת קרקע – האם יכולים לכתוב כתב אחר או אמרינן דכבר עשו שליחותן:</w:t>
      </w:r>
    </w:p>
    <w:p w14:paraId="5A350FA5" w14:textId="77777777" w:rsidR="001D49D4" w:rsidRPr="001D49D4" w:rsidRDefault="001D49D4" w:rsidP="0004348D">
      <w:pPr>
        <w:numPr>
          <w:ilvl w:val="0"/>
          <w:numId w:val="209"/>
        </w:numPr>
        <w:spacing w:before="360" w:after="240"/>
        <w:contextualSpacing/>
      </w:pPr>
      <w:r w:rsidRPr="001D49D4">
        <w:rPr>
          <w:rtl/>
        </w:rPr>
        <w:t xml:space="preserve">ריב"ש </w:t>
      </w:r>
      <w:r w:rsidRPr="001D49D4">
        <w:rPr>
          <w:sz w:val="16"/>
          <w:szCs w:val="16"/>
          <w:rtl/>
        </w:rPr>
        <w:t>(סי' קסא)</w:t>
      </w:r>
      <w:r w:rsidRPr="001D49D4">
        <w:rPr>
          <w:rtl/>
        </w:rPr>
        <w:t xml:space="preserve">- שטר הודאת קרקע כגון זה אפילו לא היה בו קנין כיון שהודה כבר בפני עדים שהקרקע הוא של ראובן הרי העדים כותבים שטר לראובן מהודאת יעקב אע"ג דלא אמר להם כתובו וחתומו והבו ליה, אע"ג דלא אמרינן הכי בהודאת הלואה, דהכי אמרינן בפרק זה בורר </w:t>
      </w:r>
      <w:r w:rsidRPr="001D49D4">
        <w:rPr>
          <w:sz w:val="16"/>
          <w:szCs w:val="16"/>
          <w:rtl/>
        </w:rPr>
        <w:t xml:space="preserve">(כט:) </w:t>
      </w:r>
      <w:r w:rsidRPr="001D49D4">
        <w:rPr>
          <w:rtl/>
        </w:rPr>
        <w:t>דבהודאת מקרקעי אין צריך לומר כתובו וכותבין בלא רשותו, וכתב רש"י וז"ל- קרקע שהיה מוחזק לראובן והודה לשמעון שהיא שלו כותבין דהא כיון דאודי ליה דידיה הוא ולא מיחסר גוביינא דבשלמא מטלטלי מלוה להוצאה ניתנה וחוב בעלמא הוא ומלוה על פה ריעא ממלוה דשטר ולא ניחא ליה לאלומא אבל הכא גלויי מילתא בעלמא הוא עכ"ל. ואם כן העדים שהעידו על שטר הודאת קרקע זה - יכולים לחזור ולכתוב לראובן שטר אחר מהודאת יעקב, ואין לומר שכיון שכתבו כתב אחד כבר עשו עדים שליחותן שהרי כיון שכותבין בלא רשותו אין כאן שליחות</w:t>
      </w:r>
      <w:r w:rsidRPr="001D49D4">
        <w:rPr>
          <w:vertAlign w:val="superscript"/>
          <w:rtl/>
        </w:rPr>
        <w:footnoteReference w:id="2926"/>
      </w:r>
      <w:r w:rsidRPr="001D49D4">
        <w:rPr>
          <w:rtl/>
        </w:rPr>
        <w:t xml:space="preserve">. </w:t>
      </w:r>
    </w:p>
    <w:p w14:paraId="40A60C8D" w14:textId="77777777" w:rsidR="001D49D4" w:rsidRPr="001D49D4" w:rsidRDefault="001D49D4" w:rsidP="0004348D">
      <w:pPr>
        <w:spacing w:before="360" w:after="240"/>
        <w:rPr>
          <w:rFonts w:ascii="Arial" w:eastAsia="Calibri" w:hAnsi="Arial" w:cs="Arial"/>
          <w:b/>
          <w:bCs/>
          <w:color w:val="000000"/>
          <w:sz w:val="28"/>
          <w:szCs w:val="28"/>
          <w:u w:val="single"/>
          <w:rtl/>
        </w:rPr>
      </w:pPr>
      <w:r w:rsidRPr="001D49D4">
        <w:rPr>
          <w:rFonts w:ascii="Arial" w:eastAsia="Calibri" w:hAnsi="Arial" w:cs="Arial"/>
          <w:b/>
          <w:bCs/>
          <w:color w:val="000000"/>
          <w:sz w:val="28"/>
          <w:szCs w:val="28"/>
          <w:u w:val="single"/>
          <w:rtl/>
        </w:rPr>
        <w:t>שו"ע:</w:t>
      </w:r>
    </w:p>
    <w:p w14:paraId="3D3C4E5F"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rtl/>
        </w:rPr>
        <w:t xml:space="preserve">במה דברים אמורים שאין כותבים ההודאות כשלא קנו מידו, שהודה לו במטלטלים אפילו הם בעין ואפילו הם של פקדון. אבל אם הודה בקרקעות, אפילו בפני שנים, אף על פי שלא קנו מידו ולא אמר להם כתבו ותנו, הרי אלו כותבים ונותנים, שאין כאן לחוש שמא יתן לו ונמצא תובעו פעם שנייה. </w:t>
      </w:r>
    </w:p>
    <w:p w14:paraId="4D97617C" w14:textId="77777777" w:rsidR="001D49D4" w:rsidRPr="001D49D4" w:rsidRDefault="001D49D4" w:rsidP="0004348D">
      <w:pPr>
        <w:spacing w:before="360" w:after="240"/>
        <w:rPr>
          <w:rFonts w:ascii="Calibri" w:eastAsia="Calibri" w:hAnsi="Calibri" w:cs="Arial"/>
          <w:rtl/>
        </w:rPr>
      </w:pPr>
    </w:p>
    <w:p w14:paraId="4383BD1F" w14:textId="77777777" w:rsidR="001D49D4" w:rsidRPr="001D49D4" w:rsidRDefault="001D49D4" w:rsidP="0004348D">
      <w:pPr>
        <w:keepNext/>
        <w:keepLines/>
        <w:spacing w:before="360" w:after="240"/>
        <w:outlineLvl w:val="1"/>
        <w:rPr>
          <w:rFonts w:ascii="Cambria" w:eastAsia="Times New Roman" w:hAnsi="Cambria" w:cs="Arial"/>
          <w:bCs/>
          <w:color w:val="548DD4" w:themeColor="text2" w:themeTint="99"/>
          <w:sz w:val="26"/>
          <w:szCs w:val="26"/>
          <w:rtl/>
        </w:rPr>
      </w:pPr>
      <w:bookmarkStart w:id="393" w:name="_Toc24883835"/>
      <w:r w:rsidRPr="001D49D4">
        <w:rPr>
          <w:rFonts w:ascii="Cambria" w:eastAsia="Times New Roman" w:hAnsi="Cambria" w:cs="Arial"/>
          <w:bCs/>
          <w:color w:val="548DD4" w:themeColor="text2" w:themeTint="99"/>
          <w:sz w:val="26"/>
          <w:szCs w:val="26"/>
          <w:rtl/>
        </w:rPr>
        <w:lastRenderedPageBreak/>
        <w:t>סעיף ט: שנים שבאו לדין ותבע אחד מהם את חבירו וחבירו הודה לו ולאחר זמן אמר פרעתי.</w:t>
      </w:r>
      <w:bookmarkEnd w:id="393"/>
    </w:p>
    <w:p w14:paraId="2FFB1765"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b/>
          <w:bCs/>
          <w:rtl/>
        </w:rPr>
        <w:t>בבא מציעא</w:t>
      </w:r>
      <w:r w:rsidRPr="001D49D4">
        <w:rPr>
          <w:rFonts w:ascii="Calibri" w:eastAsia="Calibri" w:hAnsi="Calibri" w:cs="Arial"/>
          <w:b/>
          <w:bCs/>
          <w:sz w:val="16"/>
          <w:szCs w:val="16"/>
          <w:rtl/>
        </w:rPr>
        <w:t xml:space="preserve"> (פ"ק) </w:t>
      </w:r>
      <w:r w:rsidRPr="001D49D4">
        <w:rPr>
          <w:rFonts w:ascii="Calibri" w:eastAsia="Calibri" w:hAnsi="Calibri" w:cs="Arial"/>
          <w:b/>
          <w:bCs/>
          <w:rtl/>
        </w:rPr>
        <w:t>טז</w:t>
      </w:r>
      <w:r w:rsidRPr="001D49D4">
        <w:rPr>
          <w:rFonts w:ascii="Calibri" w:eastAsia="Calibri" w:hAnsi="Calibri" w:cs="Arial"/>
          <w:b/>
          <w:bCs/>
          <w:vertAlign w:val="superscript"/>
          <w:rtl/>
        </w:rPr>
        <w:footnoteReference w:id="2927"/>
      </w:r>
      <w:r w:rsidRPr="001D49D4">
        <w:rPr>
          <w:rFonts w:ascii="Calibri" w:eastAsia="Calibri" w:hAnsi="Calibri" w:cs="Arial"/>
          <w:b/>
          <w:bCs/>
          <w:rtl/>
        </w:rPr>
        <w:t xml:space="preserve"> ע"ב: </w:t>
      </w:r>
      <w:r w:rsidRPr="001D49D4">
        <w:rPr>
          <w:rFonts w:ascii="Calibri" w:eastAsia="Calibri" w:hAnsi="Calibri" w:cs="Arial"/>
          <w:rtl/>
        </w:rPr>
        <w:t xml:space="preserve">כפרן, הואיל ואתא לידן נימא ביה מלתא. </w:t>
      </w:r>
      <w:r w:rsidRPr="001D49D4">
        <w:rPr>
          <w:rFonts w:ascii="Calibri" w:eastAsia="Calibri" w:hAnsi="Calibri" w:cs="Arial"/>
          <w:u w:val="single"/>
          <w:rtl/>
        </w:rPr>
        <w:t>דאמר רב יוסף בר מניומי אמר רב נחמן</w:t>
      </w:r>
      <w:r w:rsidRPr="001D49D4">
        <w:rPr>
          <w:rFonts w:ascii="Calibri" w:eastAsia="Calibri" w:hAnsi="Calibri" w:cs="Arial"/>
          <w:rtl/>
        </w:rPr>
        <w:t>: אמרו לו צא תן לו</w:t>
      </w:r>
      <w:r w:rsidRPr="001D49D4">
        <w:rPr>
          <w:rFonts w:ascii="Calibri" w:eastAsia="Calibri" w:hAnsi="Calibri" w:cs="Arial"/>
          <w:vertAlign w:val="superscript"/>
          <w:rtl/>
        </w:rPr>
        <w:footnoteReference w:id="2928"/>
      </w:r>
      <w:r w:rsidRPr="001D49D4">
        <w:rPr>
          <w:rFonts w:ascii="Calibri" w:eastAsia="Calibri" w:hAnsi="Calibri" w:cs="Arial"/>
          <w:rtl/>
        </w:rPr>
        <w:t xml:space="preserve"> </w:t>
      </w:r>
      <w:r w:rsidRPr="001D49D4">
        <w:rPr>
          <w:rFonts w:ascii="Calibri" w:eastAsia="Calibri" w:hAnsi="Calibri" w:cs="Arial"/>
          <w:sz w:val="14"/>
          <w:szCs w:val="14"/>
          <w:rtl/>
        </w:rPr>
        <w:t xml:space="preserve">(יז.) </w:t>
      </w:r>
      <w:r w:rsidRPr="001D49D4">
        <w:rPr>
          <w:rFonts w:ascii="Calibri" w:eastAsia="Calibri" w:hAnsi="Calibri" w:cs="Arial"/>
          <w:rtl/>
        </w:rPr>
        <w:t>ואמר</w:t>
      </w:r>
      <w:r w:rsidRPr="001D49D4">
        <w:rPr>
          <w:rFonts w:ascii="Calibri" w:eastAsia="Calibri" w:hAnsi="Calibri" w:cs="Arial"/>
          <w:vertAlign w:val="superscript"/>
          <w:rtl/>
        </w:rPr>
        <w:footnoteReference w:id="2929"/>
      </w:r>
      <w:r w:rsidRPr="001D49D4">
        <w:rPr>
          <w:rFonts w:ascii="Calibri" w:eastAsia="Calibri" w:hAnsi="Calibri" w:cs="Arial"/>
          <w:rtl/>
        </w:rPr>
        <w:t>: פרעתי</w:t>
      </w:r>
      <w:r w:rsidRPr="001D49D4">
        <w:rPr>
          <w:rFonts w:ascii="Calibri" w:eastAsia="Calibri" w:hAnsi="Calibri" w:cs="Arial"/>
          <w:vertAlign w:val="superscript"/>
          <w:rtl/>
        </w:rPr>
        <w:footnoteReference w:id="2930"/>
      </w:r>
      <w:r w:rsidRPr="001D49D4">
        <w:rPr>
          <w:rFonts w:ascii="Calibri" w:eastAsia="Calibri" w:hAnsi="Calibri" w:cs="Arial"/>
          <w:rtl/>
        </w:rPr>
        <w:t xml:space="preserve"> - נאמן</w:t>
      </w:r>
      <w:r w:rsidRPr="001D49D4">
        <w:rPr>
          <w:rFonts w:ascii="Calibri" w:eastAsia="Calibri" w:hAnsi="Calibri" w:cs="Arial"/>
          <w:vertAlign w:val="superscript"/>
          <w:rtl/>
        </w:rPr>
        <w:footnoteReference w:id="2931"/>
      </w:r>
      <w:r w:rsidRPr="001D49D4">
        <w:rPr>
          <w:rFonts w:ascii="Calibri" w:eastAsia="Calibri" w:hAnsi="Calibri" w:cs="Arial"/>
          <w:rtl/>
        </w:rPr>
        <w:t>. בא מלוה</w:t>
      </w:r>
      <w:r w:rsidRPr="001D49D4">
        <w:rPr>
          <w:rFonts w:ascii="Calibri" w:eastAsia="Calibri" w:hAnsi="Calibri" w:cs="Arial"/>
          <w:vertAlign w:val="superscript"/>
          <w:rtl/>
        </w:rPr>
        <w:footnoteReference w:id="2932"/>
      </w:r>
      <w:r w:rsidRPr="001D49D4">
        <w:rPr>
          <w:rFonts w:ascii="Calibri" w:eastAsia="Calibri" w:hAnsi="Calibri" w:cs="Arial"/>
          <w:rtl/>
        </w:rPr>
        <w:t xml:space="preserve"> לכתוב - אין כותבין ונותנין לו. חייב אתה ליתן לו, ואמר: פרעתי - אינו נאמן</w:t>
      </w:r>
      <w:r w:rsidRPr="001D49D4">
        <w:rPr>
          <w:rFonts w:ascii="Calibri" w:eastAsia="Calibri" w:hAnsi="Calibri" w:cs="Arial"/>
          <w:vertAlign w:val="superscript"/>
          <w:rtl/>
        </w:rPr>
        <w:footnoteReference w:id="2933"/>
      </w:r>
      <w:r w:rsidRPr="001D49D4">
        <w:rPr>
          <w:rFonts w:ascii="Calibri" w:eastAsia="Calibri" w:hAnsi="Calibri" w:cs="Arial"/>
          <w:rtl/>
        </w:rPr>
        <w:t xml:space="preserve">. בא מלוה לכתוב - כותבין ונותנין לו. </w:t>
      </w:r>
      <w:r w:rsidRPr="001D49D4">
        <w:rPr>
          <w:rFonts w:ascii="Calibri" w:eastAsia="Calibri" w:hAnsi="Calibri" w:cs="Arial"/>
          <w:u w:val="single"/>
          <w:rtl/>
        </w:rPr>
        <w:t>רב זביד משמיה דרב נחמן אמר</w:t>
      </w:r>
      <w:r w:rsidRPr="001D49D4">
        <w:rPr>
          <w:rFonts w:ascii="Calibri" w:eastAsia="Calibri" w:hAnsi="Calibri" w:cs="Arial"/>
          <w:rtl/>
        </w:rPr>
        <w:t>: בין צא תן לו בין חייב אתה ליתן לו ואמר פרעתי - נאמן. בא מלוה לכתוב - אין כותבין ונותנין לו</w:t>
      </w:r>
      <w:r w:rsidRPr="001D49D4">
        <w:rPr>
          <w:rFonts w:ascii="Calibri" w:eastAsia="Calibri" w:hAnsi="Calibri" w:cs="Arial"/>
          <w:vertAlign w:val="superscript"/>
          <w:rtl/>
        </w:rPr>
        <w:footnoteReference w:id="2934"/>
      </w:r>
      <w:r w:rsidRPr="001D49D4">
        <w:rPr>
          <w:rFonts w:ascii="Calibri" w:eastAsia="Calibri" w:hAnsi="Calibri" w:cs="Arial"/>
          <w:rtl/>
        </w:rPr>
        <w:t>.</w:t>
      </w:r>
    </w:p>
    <w:p w14:paraId="4EBD3BF5" w14:textId="77777777" w:rsidR="001D49D4" w:rsidRPr="001D49D4" w:rsidRDefault="001D49D4" w:rsidP="0004348D">
      <w:pPr>
        <w:spacing w:before="360" w:after="240"/>
        <w:rPr>
          <w:rFonts w:ascii="Calibri" w:eastAsia="Calibri" w:hAnsi="Calibri" w:cs="Arial"/>
          <w:u w:val="single"/>
          <w:rtl/>
        </w:rPr>
      </w:pPr>
      <w:r w:rsidRPr="001D49D4">
        <w:rPr>
          <w:rFonts w:ascii="Calibri" w:eastAsia="Calibri" w:hAnsi="Calibri" w:cs="Arial"/>
          <w:u w:val="single"/>
          <w:rtl/>
        </w:rPr>
        <w:t xml:space="preserve">שנים שבאו לדין ותבע אחד מהם את חבירו וחבירו הודה לו - ולאחר זמן אמר פרעתי: </w:t>
      </w:r>
    </w:p>
    <w:p w14:paraId="4CB1FDAB" w14:textId="77777777" w:rsidR="001D49D4" w:rsidRPr="001D49D4" w:rsidRDefault="001D49D4" w:rsidP="0004348D">
      <w:pPr>
        <w:numPr>
          <w:ilvl w:val="0"/>
          <w:numId w:val="209"/>
        </w:numPr>
        <w:spacing w:before="360" w:after="240"/>
        <w:contextualSpacing/>
        <w:rPr>
          <w:rtl/>
        </w:rPr>
      </w:pPr>
      <w:r w:rsidRPr="001D49D4">
        <w:rPr>
          <w:rtl/>
        </w:rPr>
        <w:t>רי"ף</w:t>
      </w:r>
      <w:r w:rsidRPr="001D49D4">
        <w:rPr>
          <w:vertAlign w:val="superscript"/>
          <w:rtl/>
        </w:rPr>
        <w:footnoteReference w:id="2935"/>
      </w:r>
      <w:r w:rsidRPr="001D49D4">
        <w:rPr>
          <w:rtl/>
        </w:rPr>
        <w:t xml:space="preserve"> </w:t>
      </w:r>
      <w:r w:rsidRPr="001D49D4">
        <w:rPr>
          <w:sz w:val="16"/>
          <w:szCs w:val="16"/>
          <w:rtl/>
        </w:rPr>
        <w:t>(י.)</w:t>
      </w:r>
      <w:r w:rsidRPr="001D49D4">
        <w:rPr>
          <w:rtl/>
        </w:rPr>
        <w:t xml:space="preserve"> ורמב"ם</w:t>
      </w:r>
      <w:r w:rsidRPr="001D49D4">
        <w:rPr>
          <w:sz w:val="16"/>
          <w:szCs w:val="16"/>
          <w:rtl/>
        </w:rPr>
        <w:t xml:space="preserve"> (פ"ז ה"ה מטוען ונטען)</w:t>
      </w:r>
      <w:r w:rsidRPr="001D49D4">
        <w:rPr>
          <w:rtl/>
        </w:rPr>
        <w:t>- כבר בארנו שהודיה בבית דין או עדות בבית דין כמלוה הכתובה בשטר, ולפיכך - כותבין ונותנין לבעל דינו. בד"א בשלא קבל את הדין עד ששלחו והביאוהו כמו שבארנו, אבל שנים שבאו לדין ותבע אחד מהן את חבירו ואמר 'מנה לי בידך', ואמר לו הנתבע 'הן יש לך בידי', בין שאמרו הדיינין חייב אתה ליתן לו בין שאמרו צא תן לו ויצא ואמר פרעתי – נאמן, וישבע היסת שפרעו, לפיכך אם התובע חזר לדיינים ואמר כתבו לי הודייתו - אין כותבין לו, שמא פרעו</w:t>
      </w:r>
      <w:r w:rsidRPr="001D49D4">
        <w:rPr>
          <w:sz w:val="16"/>
          <w:szCs w:val="16"/>
          <w:rtl/>
        </w:rPr>
        <w:t xml:space="preserve"> (ל' הרמב"ם)</w:t>
      </w:r>
      <w:r w:rsidRPr="001D49D4">
        <w:rPr>
          <w:rtl/>
        </w:rPr>
        <w:t xml:space="preserve">. </w:t>
      </w:r>
      <w:r w:rsidRPr="001D49D4">
        <w:rPr>
          <w:color w:val="E36C0A" w:themeColor="accent6" w:themeShade="BF"/>
          <w:rtl/>
        </w:rPr>
        <w:t>(וכ"פ בשו"ע)</w:t>
      </w:r>
    </w:p>
    <w:p w14:paraId="635D76E4" w14:textId="77777777" w:rsidR="001D49D4" w:rsidRPr="001D49D4" w:rsidRDefault="001D49D4" w:rsidP="0004348D">
      <w:pPr>
        <w:numPr>
          <w:ilvl w:val="0"/>
          <w:numId w:val="209"/>
        </w:numPr>
        <w:spacing w:before="360" w:after="240"/>
        <w:contextualSpacing/>
      </w:pPr>
      <w:r w:rsidRPr="001D49D4">
        <w:rPr>
          <w:rtl/>
        </w:rPr>
        <w:t>רא"ש</w:t>
      </w:r>
      <w:r w:rsidRPr="001D49D4">
        <w:rPr>
          <w:vertAlign w:val="superscript"/>
          <w:rtl/>
        </w:rPr>
        <w:footnoteReference w:id="2936"/>
      </w:r>
      <w:r w:rsidRPr="001D49D4">
        <w:rPr>
          <w:rtl/>
        </w:rPr>
        <w:t xml:space="preserve"> </w:t>
      </w:r>
      <w:r w:rsidRPr="001D49D4">
        <w:rPr>
          <w:sz w:val="16"/>
          <w:szCs w:val="16"/>
          <w:rtl/>
        </w:rPr>
        <w:t xml:space="preserve">(פ"ק דמציעא סי' מב) </w:t>
      </w:r>
      <w:r w:rsidRPr="001D49D4">
        <w:rPr>
          <w:rtl/>
        </w:rPr>
        <w:t>וטור- פירשו התוספות הא דהודאה בפני ב"ד חשיב כמלוה בשטר לטרוף מהלקוחות - דוקא כל זמן שידוע שלא פרעו או שהוא מודה שלא פרעו, אבל אם טוען שפרעו - נאמן בין אמרו לו צא תן לו בין אם אמרו לו חייב אתה ליתן לו, לפיכך אין ב"ד כותבין לו אע"פ שהודה בפניהם, אא"כ ידוע שהוא לא פרע ע"פ עדים או על פיו</w:t>
      </w:r>
      <w:r w:rsidRPr="001D49D4">
        <w:rPr>
          <w:sz w:val="16"/>
          <w:szCs w:val="16"/>
          <w:rtl/>
        </w:rPr>
        <w:t xml:space="preserve"> (ל' הטור בשם התוס')</w:t>
      </w:r>
      <w:r w:rsidRPr="001D49D4">
        <w:rPr>
          <w:rtl/>
        </w:rPr>
        <w:t xml:space="preserve">. </w:t>
      </w:r>
    </w:p>
    <w:p w14:paraId="13A6E6A4" w14:textId="77777777" w:rsidR="001D49D4" w:rsidRPr="001D49D4" w:rsidRDefault="001D49D4" w:rsidP="0004348D">
      <w:pPr>
        <w:spacing w:before="360" w:after="240"/>
        <w:ind w:left="360"/>
        <w:rPr>
          <w:rFonts w:ascii="Calibri" w:eastAsia="Calibri" w:hAnsi="Calibri" w:cs="Arial"/>
          <w:u w:val="dotted"/>
        </w:rPr>
      </w:pPr>
      <w:r w:rsidRPr="001D49D4">
        <w:rPr>
          <w:rFonts w:ascii="Calibri" w:eastAsia="Calibri" w:hAnsi="Calibri" w:cs="Arial"/>
          <w:u w:val="dotted"/>
          <w:rtl/>
        </w:rPr>
        <w:t>ומה הדין אם בית הדין הביא לתובע פסק דין</w:t>
      </w:r>
      <w:r w:rsidRPr="001D49D4">
        <w:rPr>
          <w:rFonts w:ascii="Calibri" w:eastAsia="Calibri" w:hAnsi="Calibri" w:cs="Arial"/>
          <w:u w:val="dotted"/>
          <w:vertAlign w:val="superscript"/>
          <w:rtl/>
        </w:rPr>
        <w:footnoteReference w:id="2937"/>
      </w:r>
      <w:r w:rsidRPr="001D49D4">
        <w:rPr>
          <w:rFonts w:ascii="Calibri" w:eastAsia="Calibri" w:hAnsi="Calibri" w:cs="Arial"/>
          <w:u w:val="dotted"/>
          <w:rtl/>
        </w:rPr>
        <w:t xml:space="preserve"> – האם עדיין נאמן הנתבע לומר פרעתי:</w:t>
      </w:r>
    </w:p>
    <w:p w14:paraId="04EAE4F1" w14:textId="77777777" w:rsidR="001D49D4" w:rsidRPr="001D49D4" w:rsidRDefault="001D49D4" w:rsidP="0004348D">
      <w:pPr>
        <w:numPr>
          <w:ilvl w:val="0"/>
          <w:numId w:val="209"/>
        </w:numPr>
        <w:spacing w:before="360" w:after="240"/>
        <w:contextualSpacing/>
      </w:pPr>
      <w:r w:rsidRPr="001D49D4">
        <w:rPr>
          <w:rtl/>
        </w:rPr>
        <w:t xml:space="preserve">רי"ף </w:t>
      </w:r>
      <w:r w:rsidRPr="001D49D4">
        <w:rPr>
          <w:sz w:val="16"/>
          <w:szCs w:val="16"/>
          <w:rtl/>
        </w:rPr>
        <w:t xml:space="preserve">(י., להב' הב"י) </w:t>
      </w:r>
      <w:r w:rsidRPr="001D49D4">
        <w:rPr>
          <w:rtl/>
        </w:rPr>
        <w:t>רמב"ם</w:t>
      </w:r>
      <w:r w:rsidRPr="001D49D4">
        <w:rPr>
          <w:vertAlign w:val="superscript"/>
          <w:rtl/>
        </w:rPr>
        <w:footnoteReference w:id="2938"/>
      </w:r>
      <w:r w:rsidRPr="001D49D4">
        <w:rPr>
          <w:sz w:val="14"/>
          <w:szCs w:val="14"/>
          <w:rtl/>
        </w:rPr>
        <w:t xml:space="preserve"> </w:t>
      </w:r>
      <w:r w:rsidRPr="001D49D4">
        <w:rPr>
          <w:sz w:val="16"/>
          <w:szCs w:val="16"/>
          <w:rtl/>
        </w:rPr>
        <w:t>(שם, להב' הב"י)</w:t>
      </w:r>
      <w:r w:rsidRPr="001D49D4">
        <w:rPr>
          <w:rtl/>
        </w:rPr>
        <w:t xml:space="preserve"> ומהר"ם</w:t>
      </w:r>
      <w:r w:rsidRPr="001D49D4">
        <w:rPr>
          <w:sz w:val="16"/>
          <w:szCs w:val="16"/>
          <w:rtl/>
        </w:rPr>
        <w:t xml:space="preserve"> (כ"כ בתשו' מיימוניות</w:t>
      </w:r>
      <w:r w:rsidRPr="001D49D4">
        <w:rPr>
          <w:sz w:val="18"/>
          <w:szCs w:val="18"/>
          <w:vertAlign w:val="superscript"/>
          <w:rtl/>
        </w:rPr>
        <w:footnoteReference w:id="2939"/>
      </w:r>
      <w:r w:rsidRPr="001D49D4">
        <w:rPr>
          <w:sz w:val="16"/>
          <w:szCs w:val="16"/>
          <w:rtl/>
        </w:rPr>
        <w:t xml:space="preserve"> בשמו </w:t>
      </w:r>
      <w:r w:rsidRPr="001D49D4">
        <w:rPr>
          <w:sz w:val="14"/>
          <w:szCs w:val="14"/>
          <w:rtl/>
        </w:rPr>
        <w:t>[משפטים סי' סו]</w:t>
      </w:r>
      <w:r w:rsidRPr="001D49D4">
        <w:rPr>
          <w:sz w:val="16"/>
          <w:szCs w:val="16"/>
          <w:rtl/>
        </w:rPr>
        <w:t>)</w:t>
      </w:r>
      <w:r w:rsidRPr="001D49D4">
        <w:rPr>
          <w:rtl/>
        </w:rPr>
        <w:t>- אינו נאמן</w:t>
      </w:r>
      <w:r w:rsidRPr="001D49D4">
        <w:rPr>
          <w:vertAlign w:val="superscript"/>
          <w:rtl/>
        </w:rPr>
        <w:footnoteReference w:id="2940"/>
      </w:r>
      <w:r w:rsidRPr="001D49D4">
        <w:rPr>
          <w:rtl/>
        </w:rPr>
        <w:t xml:space="preserve">. </w:t>
      </w:r>
      <w:r w:rsidRPr="001D49D4">
        <w:rPr>
          <w:color w:val="E36C0A" w:themeColor="accent6" w:themeShade="BF"/>
          <w:rtl/>
        </w:rPr>
        <w:t>(וכ"פ בשו"ע</w:t>
      </w:r>
      <w:r w:rsidRPr="001D49D4">
        <w:rPr>
          <w:color w:val="E36C0A" w:themeColor="accent6" w:themeShade="BF"/>
          <w:sz w:val="16"/>
          <w:szCs w:val="16"/>
          <w:rtl/>
        </w:rPr>
        <w:t xml:space="preserve"> </w:t>
      </w:r>
      <w:r w:rsidRPr="001D49D4">
        <w:rPr>
          <w:color w:val="000000" w:themeColor="text1"/>
          <w:sz w:val="16"/>
          <w:szCs w:val="16"/>
          <w:rtl/>
        </w:rPr>
        <w:t>[בסע' הבא]</w:t>
      </w:r>
      <w:r w:rsidRPr="001D49D4">
        <w:rPr>
          <w:color w:val="E36C0A" w:themeColor="accent6" w:themeShade="BF"/>
          <w:rtl/>
        </w:rPr>
        <w:t>)</w:t>
      </w:r>
      <w:r w:rsidRPr="001D49D4">
        <w:rPr>
          <w:rtl/>
        </w:rPr>
        <w:t xml:space="preserve"> (וכ"פ הש"ך</w:t>
      </w:r>
      <w:r w:rsidRPr="001D49D4">
        <w:rPr>
          <w:vertAlign w:val="superscript"/>
          <w:rtl/>
        </w:rPr>
        <w:footnoteReference w:id="2941"/>
      </w:r>
      <w:r w:rsidRPr="001D49D4">
        <w:rPr>
          <w:sz w:val="16"/>
          <w:szCs w:val="16"/>
          <w:rtl/>
        </w:rPr>
        <w:t xml:space="preserve"> [סקכ"ט]</w:t>
      </w:r>
      <w:r w:rsidRPr="001D49D4">
        <w:rPr>
          <w:rtl/>
        </w:rPr>
        <w:t>)</w:t>
      </w:r>
      <w:r w:rsidRPr="001D49D4">
        <w:rPr>
          <w:color w:val="000000" w:themeColor="text1"/>
          <w:vertAlign w:val="superscript"/>
          <w:rtl/>
        </w:rPr>
        <w:t xml:space="preserve"> </w:t>
      </w:r>
    </w:p>
    <w:p w14:paraId="425DB057" w14:textId="77777777" w:rsidR="001D49D4" w:rsidRPr="001D49D4" w:rsidRDefault="001D49D4" w:rsidP="0004348D">
      <w:pPr>
        <w:numPr>
          <w:ilvl w:val="0"/>
          <w:numId w:val="209"/>
        </w:numPr>
        <w:spacing w:before="360" w:after="240"/>
        <w:contextualSpacing/>
        <w:rPr>
          <w:rtl/>
        </w:rPr>
      </w:pPr>
      <w:r w:rsidRPr="001D49D4">
        <w:rPr>
          <w:rtl/>
        </w:rPr>
        <w:t xml:space="preserve">ראבי"ה </w:t>
      </w:r>
      <w:r w:rsidRPr="001D49D4">
        <w:rPr>
          <w:sz w:val="16"/>
          <w:szCs w:val="16"/>
          <w:rtl/>
        </w:rPr>
        <w:t xml:space="preserve">(כ"כ הטור בשמו) </w:t>
      </w:r>
      <w:r w:rsidRPr="001D49D4">
        <w:rPr>
          <w:rtl/>
        </w:rPr>
        <w:t>וטור</w:t>
      </w:r>
      <w:r w:rsidRPr="001D49D4">
        <w:rPr>
          <w:vertAlign w:val="superscript"/>
          <w:rtl/>
        </w:rPr>
        <w:footnoteReference w:id="2942"/>
      </w:r>
      <w:r w:rsidRPr="001D49D4">
        <w:rPr>
          <w:rtl/>
        </w:rPr>
        <w:t>- נאמן לומר פרעתי, ובשבועה</w:t>
      </w:r>
      <w:r w:rsidRPr="001D49D4">
        <w:rPr>
          <w:vertAlign w:val="superscript"/>
          <w:rtl/>
        </w:rPr>
        <w:footnoteReference w:id="2943"/>
      </w:r>
      <w:r w:rsidRPr="001D49D4">
        <w:rPr>
          <w:rtl/>
        </w:rPr>
        <w:t xml:space="preserve">. </w:t>
      </w:r>
    </w:p>
    <w:p w14:paraId="1F42DBB0" w14:textId="77777777" w:rsidR="001D49D4" w:rsidRPr="001D49D4" w:rsidRDefault="001D49D4" w:rsidP="0004348D">
      <w:pPr>
        <w:spacing w:before="360" w:after="240"/>
        <w:ind w:left="360"/>
        <w:rPr>
          <w:rFonts w:ascii="Calibri" w:eastAsia="Calibri" w:hAnsi="Calibri" w:cs="Arial"/>
          <w:u w:val="dotted"/>
        </w:rPr>
      </w:pPr>
      <w:r w:rsidRPr="001D49D4">
        <w:rPr>
          <w:rFonts w:ascii="Calibri" w:eastAsia="Calibri" w:hAnsi="Calibri" w:cs="Arial"/>
          <w:u w:val="dotted"/>
          <w:rtl/>
        </w:rPr>
        <w:lastRenderedPageBreak/>
        <w:t xml:space="preserve">לסוברים שאינו נאמן </w:t>
      </w:r>
      <w:r w:rsidRPr="001D49D4">
        <w:rPr>
          <w:rFonts w:ascii="Calibri" w:eastAsia="Calibri" w:hAnsi="Calibri" w:cs="Arial"/>
          <w:sz w:val="16"/>
          <w:szCs w:val="16"/>
          <w:u w:val="dotted"/>
          <w:rtl/>
        </w:rPr>
        <w:t xml:space="preserve">(כשקיבל התובע פס"ד) </w:t>
      </w:r>
      <w:r w:rsidRPr="001D49D4">
        <w:rPr>
          <w:rFonts w:ascii="Calibri" w:eastAsia="Calibri" w:hAnsi="Calibri" w:cs="Arial"/>
          <w:u w:val="dotted"/>
          <w:rtl/>
        </w:rPr>
        <w:t>– מה הדין אם התובע איחר כמה ימים את הפסק דין בידו ולא תבע:</w:t>
      </w:r>
    </w:p>
    <w:p w14:paraId="62F2BFDC" w14:textId="77777777" w:rsidR="001D49D4" w:rsidRPr="001D49D4" w:rsidRDefault="001D49D4" w:rsidP="0004348D">
      <w:pPr>
        <w:numPr>
          <w:ilvl w:val="0"/>
          <w:numId w:val="209"/>
        </w:numPr>
        <w:spacing w:before="360" w:after="240"/>
        <w:contextualSpacing/>
      </w:pPr>
      <w:r w:rsidRPr="001D49D4">
        <w:rPr>
          <w:rtl/>
        </w:rPr>
        <w:t>מהר"ם</w:t>
      </w:r>
      <w:r w:rsidRPr="001D49D4">
        <w:rPr>
          <w:sz w:val="16"/>
          <w:szCs w:val="16"/>
          <w:rtl/>
        </w:rPr>
        <w:t xml:space="preserve"> (כ"כ בתשו' מיימוניות בשמו </w:t>
      </w:r>
      <w:r w:rsidRPr="001D49D4">
        <w:rPr>
          <w:sz w:val="14"/>
          <w:szCs w:val="14"/>
          <w:rtl/>
        </w:rPr>
        <w:t>[שם]</w:t>
      </w:r>
      <w:r w:rsidRPr="001D49D4">
        <w:rPr>
          <w:sz w:val="16"/>
          <w:szCs w:val="16"/>
          <w:rtl/>
        </w:rPr>
        <w:t>)</w:t>
      </w:r>
      <w:r w:rsidRPr="001D49D4">
        <w:rPr>
          <w:rtl/>
        </w:rPr>
        <w:t>- ומיהו אם זה איחר כמה ימים הפסק דין בידו ולא תבע - סברא הוא דנפרע מדשתק כולי האי</w:t>
      </w:r>
      <w:r w:rsidRPr="001D49D4">
        <w:rPr>
          <w:vertAlign w:val="superscript"/>
          <w:rtl/>
        </w:rPr>
        <w:footnoteReference w:id="2944"/>
      </w:r>
      <w:r w:rsidRPr="001D49D4">
        <w:rPr>
          <w:rtl/>
        </w:rPr>
        <w:t>. והדיינים יש להם לומר לנתבע שנתנו פסק דין לתובע, ואם אמרו הדיינים שלא אמרו לו - נאמן לומר פרעתי, ואם שכחו אם אמרו לו אם לאו - חזקה שהם עשו כדין ואמרו לו שנתנו הפסק דין לתובע.</w:t>
      </w:r>
    </w:p>
    <w:p w14:paraId="15B73B5C" w14:textId="77777777" w:rsidR="001D49D4" w:rsidRPr="001D49D4" w:rsidRDefault="001D49D4" w:rsidP="0004348D">
      <w:pPr>
        <w:spacing w:before="360" w:after="240"/>
        <w:ind w:left="360"/>
        <w:rPr>
          <w:rFonts w:ascii="Calibri" w:eastAsia="Calibri" w:hAnsi="Calibri" w:cs="Arial"/>
        </w:rPr>
      </w:pPr>
      <w:r w:rsidRPr="001D49D4">
        <w:rPr>
          <w:rFonts w:ascii="Calibri" w:eastAsia="Calibri" w:hAnsi="Calibri" w:cs="Arial"/>
          <w:u w:val="dotted"/>
          <w:rtl/>
        </w:rPr>
        <w:t xml:space="preserve">לסוברים שאינו נאמן </w:t>
      </w:r>
      <w:r w:rsidRPr="001D49D4">
        <w:rPr>
          <w:rFonts w:ascii="Calibri" w:eastAsia="Calibri" w:hAnsi="Calibri" w:cs="Arial"/>
          <w:sz w:val="16"/>
          <w:szCs w:val="16"/>
          <w:u w:val="dotted"/>
          <w:rtl/>
        </w:rPr>
        <w:t xml:space="preserve">(כשקיבל התובע פס"ד) </w:t>
      </w:r>
      <w:r w:rsidRPr="001D49D4">
        <w:rPr>
          <w:rFonts w:ascii="Calibri" w:eastAsia="Calibri" w:hAnsi="Calibri" w:cs="Arial"/>
          <w:u w:val="dotted"/>
          <w:rtl/>
        </w:rPr>
        <w:t xml:space="preserve">– מה הדין אם הפס"ד ניתן מדיין שנמצא חוץ לעירם </w:t>
      </w:r>
      <w:r w:rsidRPr="001D49D4">
        <w:rPr>
          <w:rFonts w:ascii="Calibri" w:eastAsia="Calibri" w:hAnsi="Calibri" w:cs="Arial"/>
          <w:sz w:val="16"/>
          <w:szCs w:val="16"/>
          <w:u w:val="dotted"/>
          <w:rtl/>
        </w:rPr>
        <w:t>(ששלחו אליו טענותיהם)</w:t>
      </w:r>
      <w:r w:rsidRPr="001D49D4">
        <w:rPr>
          <w:rFonts w:ascii="Calibri" w:eastAsia="Calibri" w:hAnsi="Calibri" w:cs="Arial"/>
          <w:u w:val="dotted"/>
          <w:rtl/>
        </w:rPr>
        <w:t>:</w:t>
      </w:r>
    </w:p>
    <w:p w14:paraId="316CE322" w14:textId="77777777" w:rsidR="001D49D4" w:rsidRPr="001D49D4" w:rsidRDefault="001D49D4" w:rsidP="0004348D">
      <w:pPr>
        <w:numPr>
          <w:ilvl w:val="0"/>
          <w:numId w:val="209"/>
        </w:numPr>
        <w:spacing w:before="360" w:after="240"/>
        <w:contextualSpacing/>
      </w:pPr>
      <w:r w:rsidRPr="001D49D4">
        <w:rPr>
          <w:rtl/>
        </w:rPr>
        <w:t xml:space="preserve">מהרי"ק </w:t>
      </w:r>
      <w:r w:rsidRPr="001D49D4">
        <w:rPr>
          <w:sz w:val="16"/>
          <w:szCs w:val="16"/>
          <w:rtl/>
        </w:rPr>
        <w:t>(שורש קיח)</w:t>
      </w:r>
      <w:r w:rsidRPr="001D49D4">
        <w:rPr>
          <w:rtl/>
        </w:rPr>
        <w:t>- אפילו לדעת מהר"מ אם מקבל טענות כתבו לדיין אחר חוץ לעירם ושלח הדיין דבריו בכתב נאמן לומר פרעתי</w:t>
      </w:r>
      <w:r w:rsidRPr="001D49D4">
        <w:rPr>
          <w:color w:val="000000" w:themeColor="text1"/>
          <w:vertAlign w:val="superscript"/>
          <w:rtl/>
        </w:rPr>
        <w:footnoteReference w:id="2945"/>
      </w:r>
      <w:r w:rsidRPr="001D49D4">
        <w:rPr>
          <w:rtl/>
        </w:rPr>
        <w:t xml:space="preserve">. </w:t>
      </w:r>
    </w:p>
    <w:p w14:paraId="3952575C" w14:textId="77777777" w:rsidR="001D49D4" w:rsidRPr="001D49D4" w:rsidRDefault="001D49D4" w:rsidP="0004348D">
      <w:pPr>
        <w:spacing w:before="360" w:after="240"/>
        <w:rPr>
          <w:rFonts w:ascii="Arial" w:eastAsia="Calibri" w:hAnsi="Arial" w:cs="Arial"/>
          <w:b/>
          <w:bCs/>
          <w:color w:val="000000"/>
          <w:sz w:val="28"/>
          <w:szCs w:val="28"/>
          <w:u w:val="single"/>
          <w:rtl/>
        </w:rPr>
      </w:pPr>
      <w:r w:rsidRPr="001D49D4">
        <w:rPr>
          <w:rFonts w:ascii="Arial" w:eastAsia="Calibri" w:hAnsi="Arial" w:cs="Arial"/>
          <w:b/>
          <w:bCs/>
          <w:color w:val="000000"/>
          <w:sz w:val="28"/>
          <w:szCs w:val="28"/>
          <w:u w:val="single"/>
          <w:rtl/>
        </w:rPr>
        <w:t>שו"ע:</w:t>
      </w:r>
    </w:p>
    <w:p w14:paraId="26EE2D41"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rtl/>
        </w:rPr>
        <w:t>במה דברים אמורים שכשהודה בבית דין הוא כמלוה הכתובה בשטר ולפיכך כותבין ונותנים לבעל דינו, כשלא קבל עליו את הדין עד ששלחו והביאוהו כמו שנתבאר. אבל שנים שבאו לדין ותבע אחד מהם את חבירו ואמר ליה מנה לי בידך, ואמר ליה הנתבע הן</w:t>
      </w:r>
      <w:r w:rsidRPr="001D49D4">
        <w:rPr>
          <w:rFonts w:ascii="Calibri" w:eastAsia="Calibri" w:hAnsi="Calibri" w:cs="Arial"/>
          <w:vertAlign w:val="superscript"/>
          <w:rtl/>
        </w:rPr>
        <w:footnoteReference w:id="2946"/>
      </w:r>
      <w:r w:rsidRPr="001D49D4">
        <w:rPr>
          <w:rFonts w:ascii="Calibri" w:eastAsia="Calibri" w:hAnsi="Calibri" w:cs="Arial"/>
          <w:rtl/>
        </w:rPr>
        <w:t>, בין שאמרו הדיינים חייב אתה ליתן לו</w:t>
      </w:r>
      <w:r w:rsidRPr="001D49D4">
        <w:rPr>
          <w:rFonts w:ascii="Calibri" w:eastAsia="Calibri" w:hAnsi="Calibri" w:cs="Arial"/>
          <w:vertAlign w:val="superscript"/>
          <w:rtl/>
        </w:rPr>
        <w:footnoteReference w:id="2947"/>
      </w:r>
      <w:r w:rsidRPr="001D49D4">
        <w:rPr>
          <w:rFonts w:ascii="Calibri" w:eastAsia="Calibri" w:hAnsi="Calibri" w:cs="Arial"/>
          <w:rtl/>
        </w:rPr>
        <w:t xml:space="preserve"> בין שאמרו צא תן לו, ויצא ואמר פרעתי, נאמן, וישבע היסת שפרעו. לפיכך אם חזר התובע לדיינים ואמר כתבו לי הודאתו, אין כותבין לו, שמא פרעו. </w:t>
      </w:r>
      <w:r w:rsidRPr="001D49D4">
        <w:rPr>
          <w:rFonts w:ascii="Calibri" w:eastAsia="Calibri" w:hAnsi="Calibri" w:cs="Arial"/>
          <w:sz w:val="18"/>
          <w:szCs w:val="18"/>
          <w:rtl/>
        </w:rPr>
        <w:t>[הגה] ואפילו למאן דאמר שנאמן לומר פרעתי נגד פסק דין, כמו שנתבאר בסמוך, אפילו הכי אין נותנין לו, שמא פרעו</w:t>
      </w:r>
      <w:r w:rsidRPr="001D49D4">
        <w:rPr>
          <w:rFonts w:ascii="Calibri" w:eastAsia="Calibri" w:hAnsi="Calibri" w:cs="Arial"/>
          <w:sz w:val="18"/>
          <w:szCs w:val="18"/>
          <w:vertAlign w:val="superscript"/>
          <w:rtl/>
        </w:rPr>
        <w:footnoteReference w:id="2948"/>
      </w:r>
      <w:r w:rsidRPr="001D49D4">
        <w:rPr>
          <w:rFonts w:ascii="Calibri" w:eastAsia="Calibri" w:hAnsi="Calibri" w:cs="Arial"/>
          <w:sz w:val="18"/>
          <w:szCs w:val="18"/>
          <w:rtl/>
        </w:rPr>
        <w:t>.</w:t>
      </w:r>
      <w:r w:rsidRPr="001D49D4">
        <w:rPr>
          <w:rFonts w:ascii="Calibri" w:eastAsia="Calibri" w:hAnsi="Calibri" w:cs="Arial"/>
          <w:rtl/>
        </w:rPr>
        <w:t xml:space="preserve"> </w:t>
      </w:r>
    </w:p>
    <w:p w14:paraId="1A4ADF5F" w14:textId="77777777" w:rsidR="001D49D4" w:rsidRPr="001D49D4" w:rsidRDefault="001D49D4" w:rsidP="0004348D">
      <w:pPr>
        <w:spacing w:before="360" w:after="240"/>
        <w:rPr>
          <w:rFonts w:ascii="Calibri" w:eastAsia="Calibri" w:hAnsi="Calibri" w:cs="Arial"/>
          <w:color w:val="FF0000"/>
          <w:rtl/>
        </w:rPr>
      </w:pPr>
    </w:p>
    <w:p w14:paraId="4568014C" w14:textId="77777777" w:rsidR="001D49D4" w:rsidRPr="001D49D4" w:rsidRDefault="001D49D4" w:rsidP="0004348D">
      <w:pPr>
        <w:keepNext/>
        <w:keepLines/>
        <w:spacing w:before="360" w:after="240"/>
        <w:outlineLvl w:val="1"/>
        <w:rPr>
          <w:rFonts w:ascii="Cambria" w:eastAsia="Times New Roman" w:hAnsi="Cambria" w:cs="Arial"/>
          <w:bCs/>
          <w:color w:val="548DD4" w:themeColor="text2" w:themeTint="99"/>
          <w:sz w:val="26"/>
          <w:szCs w:val="26"/>
          <w:rtl/>
        </w:rPr>
      </w:pPr>
      <w:bookmarkStart w:id="394" w:name="_Toc24883836"/>
      <w:r w:rsidRPr="001D49D4">
        <w:rPr>
          <w:rFonts w:ascii="Cambria" w:eastAsia="Times New Roman" w:hAnsi="Cambria" w:cs="Arial"/>
          <w:bCs/>
          <w:color w:val="548DD4" w:themeColor="text2" w:themeTint="99"/>
          <w:sz w:val="26"/>
          <w:szCs w:val="26"/>
          <w:rtl/>
        </w:rPr>
        <w:t>סעיף י: כנ"ל, ויש ביד התובע פסק דין</w:t>
      </w:r>
      <w:r w:rsidRPr="001D49D4">
        <w:rPr>
          <w:rFonts w:ascii="Cambria" w:eastAsia="Times New Roman" w:hAnsi="Cambria" w:cs="Arial"/>
          <w:bCs/>
          <w:color w:val="548DD4" w:themeColor="text2" w:themeTint="99"/>
          <w:sz w:val="18"/>
          <w:szCs w:val="18"/>
          <w:rtl/>
        </w:rPr>
        <w:t xml:space="preserve"> (על הודאתו של חברו)</w:t>
      </w:r>
      <w:r w:rsidRPr="001D49D4">
        <w:rPr>
          <w:rFonts w:ascii="Cambria" w:eastAsia="Times New Roman" w:hAnsi="Cambria" w:cs="Arial"/>
          <w:bCs/>
          <w:color w:val="548DD4" w:themeColor="text2" w:themeTint="99"/>
          <w:sz w:val="26"/>
          <w:szCs w:val="26"/>
          <w:rtl/>
        </w:rPr>
        <w:t>.</w:t>
      </w:r>
      <w:bookmarkEnd w:id="394"/>
    </w:p>
    <w:p w14:paraId="4206ACE2"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rtl/>
        </w:rPr>
        <w:t>עיין במקורות בסעיף ט.</w:t>
      </w:r>
    </w:p>
    <w:p w14:paraId="15231FA3" w14:textId="77777777" w:rsidR="001D49D4" w:rsidRPr="001D49D4" w:rsidRDefault="001D49D4" w:rsidP="0004348D">
      <w:pPr>
        <w:spacing w:before="360" w:after="240"/>
        <w:rPr>
          <w:rFonts w:ascii="Arial" w:eastAsia="Calibri" w:hAnsi="Arial" w:cs="Arial"/>
          <w:b/>
          <w:bCs/>
          <w:color w:val="000000"/>
          <w:sz w:val="28"/>
          <w:szCs w:val="28"/>
          <w:u w:val="single"/>
          <w:rtl/>
        </w:rPr>
      </w:pPr>
      <w:r w:rsidRPr="001D49D4">
        <w:rPr>
          <w:rFonts w:ascii="Arial" w:eastAsia="Calibri" w:hAnsi="Arial" w:cs="Arial"/>
          <w:b/>
          <w:bCs/>
          <w:color w:val="000000"/>
          <w:sz w:val="28"/>
          <w:szCs w:val="28"/>
          <w:u w:val="single"/>
          <w:rtl/>
        </w:rPr>
        <w:lastRenderedPageBreak/>
        <w:t>שו"ע:</w:t>
      </w:r>
    </w:p>
    <w:p w14:paraId="7F817944"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rtl/>
        </w:rPr>
        <w:t>אם יש בידו פסק דין</w:t>
      </w:r>
      <w:r w:rsidRPr="001D49D4">
        <w:rPr>
          <w:rFonts w:ascii="Calibri" w:eastAsia="Calibri" w:hAnsi="Calibri" w:cs="Arial"/>
          <w:vertAlign w:val="superscript"/>
          <w:rtl/>
        </w:rPr>
        <w:footnoteReference w:id="2949"/>
      </w:r>
      <w:r w:rsidRPr="001D49D4">
        <w:rPr>
          <w:rFonts w:ascii="Calibri" w:eastAsia="Calibri" w:hAnsi="Calibri" w:cs="Arial"/>
          <w:rtl/>
        </w:rPr>
        <w:t xml:space="preserve">, אין הלוה נאמן לומר פרעתי. </w:t>
      </w:r>
      <w:r w:rsidRPr="001D49D4">
        <w:rPr>
          <w:rFonts w:ascii="Calibri" w:eastAsia="Calibri" w:hAnsi="Calibri" w:cs="Arial"/>
          <w:sz w:val="18"/>
          <w:szCs w:val="18"/>
          <w:rtl/>
        </w:rPr>
        <w:t>הגה: ואם זה איחר כמה ימים הפסק דין בידו ולא תבעו, סברא שפרעו, מדשתק כולי האי. והדיינים יש להם לומר לנתבע שנתנו הפסק דין לתובע. ואם לא אמרו לו, נאמן לומר פרעתי</w:t>
      </w:r>
      <w:r w:rsidRPr="001D49D4">
        <w:rPr>
          <w:rFonts w:ascii="Calibri" w:eastAsia="Calibri" w:hAnsi="Calibri" w:cs="Arial"/>
          <w:sz w:val="18"/>
          <w:szCs w:val="18"/>
          <w:vertAlign w:val="superscript"/>
          <w:rtl/>
        </w:rPr>
        <w:footnoteReference w:id="2950"/>
      </w:r>
      <w:r w:rsidRPr="001D49D4">
        <w:rPr>
          <w:rFonts w:ascii="Calibri" w:eastAsia="Calibri" w:hAnsi="Calibri" w:cs="Arial"/>
          <w:sz w:val="18"/>
          <w:szCs w:val="18"/>
          <w:rtl/>
        </w:rPr>
        <w:t xml:space="preserve">. ואם שכחו אם אמרו לו או לא, חזקה שכדין עשו ואמרו לו </w:t>
      </w:r>
      <w:r w:rsidRPr="001D49D4">
        <w:rPr>
          <w:rFonts w:ascii="Calibri" w:eastAsia="Calibri" w:hAnsi="Calibri" w:cs="Arial"/>
          <w:sz w:val="16"/>
          <w:szCs w:val="16"/>
          <w:rtl/>
        </w:rPr>
        <w:t>(מהר"ם)</w:t>
      </w:r>
      <w:r w:rsidRPr="001D49D4">
        <w:rPr>
          <w:rFonts w:ascii="Calibri" w:eastAsia="Calibri" w:hAnsi="Calibri" w:cs="Arial"/>
          <w:sz w:val="18"/>
          <w:szCs w:val="18"/>
          <w:rtl/>
        </w:rPr>
        <w:t>. ויש חולקין</w:t>
      </w:r>
      <w:r w:rsidRPr="001D49D4">
        <w:rPr>
          <w:rFonts w:ascii="Calibri" w:eastAsia="Calibri" w:hAnsi="Calibri" w:cs="Arial"/>
          <w:sz w:val="18"/>
          <w:szCs w:val="18"/>
          <w:vertAlign w:val="superscript"/>
          <w:rtl/>
        </w:rPr>
        <w:footnoteReference w:id="2951"/>
      </w:r>
      <w:r w:rsidRPr="001D49D4">
        <w:rPr>
          <w:rFonts w:ascii="Calibri" w:eastAsia="Calibri" w:hAnsi="Calibri" w:cs="Arial"/>
          <w:sz w:val="18"/>
          <w:szCs w:val="18"/>
          <w:rtl/>
        </w:rPr>
        <w:t xml:space="preserve"> ואומרים דבכל ענין נאמן הנתבע לומר פרעתי נגד פסק דין</w:t>
      </w:r>
      <w:r w:rsidRPr="001D49D4">
        <w:rPr>
          <w:rFonts w:ascii="Calibri" w:eastAsia="Calibri" w:hAnsi="Calibri" w:cs="Arial"/>
          <w:sz w:val="18"/>
          <w:szCs w:val="18"/>
          <w:vertAlign w:val="superscript"/>
          <w:rtl/>
        </w:rPr>
        <w:footnoteReference w:id="2952"/>
      </w:r>
      <w:r w:rsidRPr="001D49D4">
        <w:rPr>
          <w:rFonts w:ascii="Calibri" w:eastAsia="Calibri" w:hAnsi="Calibri" w:cs="Arial"/>
          <w:sz w:val="18"/>
          <w:szCs w:val="18"/>
          <w:rtl/>
        </w:rPr>
        <w:t xml:space="preserve"> </w:t>
      </w:r>
      <w:r w:rsidRPr="001D49D4">
        <w:rPr>
          <w:rFonts w:ascii="Calibri" w:eastAsia="Calibri" w:hAnsi="Calibri" w:cs="Arial"/>
          <w:sz w:val="16"/>
          <w:szCs w:val="16"/>
          <w:rtl/>
        </w:rPr>
        <w:t>(טור בשם ראבי"ה וב"י בשם רש"י)</w:t>
      </w:r>
      <w:r w:rsidRPr="001D49D4">
        <w:rPr>
          <w:rFonts w:ascii="Calibri" w:eastAsia="Calibri" w:hAnsi="Calibri" w:cs="Arial"/>
          <w:sz w:val="18"/>
          <w:szCs w:val="18"/>
          <w:rtl/>
        </w:rPr>
        <w:t xml:space="preserve">. </w:t>
      </w:r>
    </w:p>
    <w:p w14:paraId="251629BB" w14:textId="77777777" w:rsidR="001D49D4" w:rsidRPr="001D49D4" w:rsidRDefault="001D49D4" w:rsidP="0004348D">
      <w:pPr>
        <w:spacing w:before="360" w:after="240"/>
        <w:rPr>
          <w:rFonts w:ascii="Calibri" w:eastAsia="Calibri" w:hAnsi="Calibri" w:cs="Arial"/>
          <w:rtl/>
        </w:rPr>
      </w:pPr>
    </w:p>
    <w:p w14:paraId="5E4BA081" w14:textId="77777777" w:rsidR="001D49D4" w:rsidRPr="001D49D4" w:rsidRDefault="001D49D4" w:rsidP="0004348D">
      <w:pPr>
        <w:keepNext/>
        <w:keepLines/>
        <w:spacing w:before="360" w:after="240"/>
        <w:outlineLvl w:val="1"/>
        <w:rPr>
          <w:rFonts w:ascii="Cambria" w:eastAsia="Times New Roman" w:hAnsi="Cambria" w:cs="Arial"/>
          <w:bCs/>
          <w:color w:val="548DD4" w:themeColor="text2" w:themeTint="99"/>
          <w:sz w:val="26"/>
          <w:szCs w:val="26"/>
          <w:rtl/>
        </w:rPr>
      </w:pPr>
      <w:bookmarkStart w:id="395" w:name="_Toc24883837"/>
      <w:r w:rsidRPr="001D49D4">
        <w:rPr>
          <w:rFonts w:ascii="Cambria" w:eastAsia="Times New Roman" w:hAnsi="Cambria" w:cs="Arial"/>
          <w:bCs/>
          <w:color w:val="548DD4" w:themeColor="text2" w:themeTint="99"/>
          <w:sz w:val="26"/>
          <w:szCs w:val="26"/>
          <w:rtl/>
        </w:rPr>
        <w:t>סעיף יא: שטר הודאה שחתומים עליו שנים - ולא כתוב בו 'אמר לנו כתבו וחתמו ותנו לו'.</w:t>
      </w:r>
      <w:bookmarkEnd w:id="395"/>
    </w:p>
    <w:p w14:paraId="16597033" w14:textId="77777777" w:rsidR="001D49D4" w:rsidRPr="001D49D4" w:rsidRDefault="001D49D4" w:rsidP="0004348D">
      <w:pPr>
        <w:spacing w:before="360" w:after="240"/>
        <w:rPr>
          <w:rFonts w:ascii="Calibri" w:eastAsia="Calibri" w:hAnsi="Calibri" w:cs="Arial"/>
          <w:sz w:val="16"/>
          <w:szCs w:val="16"/>
          <w:rtl/>
        </w:rPr>
      </w:pPr>
      <w:r w:rsidRPr="001D49D4">
        <w:rPr>
          <w:rFonts w:ascii="Calibri" w:eastAsia="Calibri" w:hAnsi="Calibri" w:cs="Arial"/>
          <w:b/>
          <w:bCs/>
          <w:rtl/>
        </w:rPr>
        <w:t xml:space="preserve">סנהדרין </w:t>
      </w:r>
      <w:r w:rsidRPr="001D49D4">
        <w:rPr>
          <w:rFonts w:ascii="Calibri" w:eastAsia="Calibri" w:hAnsi="Calibri" w:cs="Arial"/>
          <w:b/>
          <w:bCs/>
          <w:sz w:val="16"/>
          <w:szCs w:val="16"/>
          <w:rtl/>
        </w:rPr>
        <w:t xml:space="preserve">(פרק זה בורר) </w:t>
      </w:r>
      <w:r w:rsidRPr="001D49D4">
        <w:rPr>
          <w:rFonts w:ascii="Calibri" w:eastAsia="Calibri" w:hAnsi="Calibri" w:cs="Arial"/>
          <w:b/>
          <w:bCs/>
          <w:rtl/>
        </w:rPr>
        <w:t>כט</w:t>
      </w:r>
      <w:r w:rsidRPr="001D49D4">
        <w:rPr>
          <w:rFonts w:ascii="Calibri" w:eastAsia="Calibri" w:hAnsi="Calibri" w:cs="Arial"/>
          <w:b/>
          <w:bCs/>
          <w:vertAlign w:val="superscript"/>
          <w:rtl/>
        </w:rPr>
        <w:footnoteReference w:id="2953"/>
      </w:r>
      <w:r w:rsidRPr="001D49D4">
        <w:rPr>
          <w:rFonts w:ascii="Calibri" w:eastAsia="Calibri" w:hAnsi="Calibri" w:cs="Arial"/>
          <w:b/>
          <w:bCs/>
          <w:rtl/>
        </w:rPr>
        <w:t xml:space="preserve"> ע"ב:</w:t>
      </w:r>
      <w:r w:rsidRPr="001D49D4">
        <w:rPr>
          <w:rFonts w:ascii="Calibri" w:eastAsia="Calibri" w:hAnsi="Calibri" w:cs="Arial"/>
          <w:rtl/>
        </w:rPr>
        <w:t xml:space="preserve"> ההיא אודיתא</w:t>
      </w:r>
      <w:r w:rsidRPr="001D49D4">
        <w:rPr>
          <w:rFonts w:ascii="Calibri" w:eastAsia="Calibri" w:hAnsi="Calibri" w:cs="Arial"/>
          <w:vertAlign w:val="superscript"/>
          <w:rtl/>
        </w:rPr>
        <w:footnoteReference w:id="2954"/>
      </w:r>
      <w:r w:rsidRPr="001D49D4">
        <w:rPr>
          <w:rFonts w:ascii="Calibri" w:eastAsia="Calibri" w:hAnsi="Calibri" w:cs="Arial"/>
          <w:rtl/>
        </w:rPr>
        <w:t xml:space="preserve"> דלא הוה כתוב בה אמר לנא כתבו וחתמו והבו ליה. </w:t>
      </w:r>
      <w:r w:rsidRPr="001D49D4">
        <w:rPr>
          <w:rFonts w:ascii="Calibri" w:eastAsia="Calibri" w:hAnsi="Calibri" w:cs="Arial"/>
          <w:u w:val="single"/>
          <w:rtl/>
        </w:rPr>
        <w:t>אביי ורבא דאמרי תרוייהו</w:t>
      </w:r>
      <w:r w:rsidRPr="001D49D4">
        <w:rPr>
          <w:rFonts w:ascii="Calibri" w:eastAsia="Calibri" w:hAnsi="Calibri" w:cs="Arial"/>
          <w:rtl/>
        </w:rPr>
        <w:t xml:space="preserve">: היינו דריש לקיש, </w:t>
      </w:r>
      <w:r w:rsidRPr="001D49D4">
        <w:rPr>
          <w:rFonts w:ascii="Calibri" w:eastAsia="Calibri" w:hAnsi="Calibri" w:cs="Arial"/>
          <w:u w:val="single"/>
          <w:rtl/>
        </w:rPr>
        <w:t>דאמר ריש לקיש</w:t>
      </w:r>
      <w:r w:rsidRPr="001D49D4">
        <w:rPr>
          <w:rFonts w:ascii="Calibri" w:eastAsia="Calibri" w:hAnsi="Calibri" w:cs="Arial"/>
          <w:rtl/>
        </w:rPr>
        <w:t>: חזקה אין העדים חותמין על השטר אלא אם כן נעשה גדול</w:t>
      </w:r>
      <w:r w:rsidRPr="001D49D4">
        <w:rPr>
          <w:rFonts w:ascii="Calibri" w:eastAsia="Calibri" w:hAnsi="Calibri" w:cs="Arial"/>
          <w:vertAlign w:val="superscript"/>
          <w:rtl/>
        </w:rPr>
        <w:footnoteReference w:id="2955"/>
      </w:r>
      <w:r w:rsidRPr="001D49D4">
        <w:rPr>
          <w:rFonts w:ascii="Calibri" w:eastAsia="Calibri" w:hAnsi="Calibri" w:cs="Arial"/>
          <w:rtl/>
        </w:rPr>
        <w:t xml:space="preserve">. </w:t>
      </w:r>
      <w:r w:rsidRPr="001D49D4">
        <w:rPr>
          <w:rFonts w:ascii="Calibri" w:eastAsia="Calibri" w:hAnsi="Calibri" w:cs="Arial"/>
          <w:u w:val="single"/>
          <w:rtl/>
        </w:rPr>
        <w:t>מתקיף לה רב פפי, ואיתימא רב הונא בריה דרב יהושע</w:t>
      </w:r>
      <w:r w:rsidRPr="001D49D4">
        <w:rPr>
          <w:rFonts w:ascii="Calibri" w:eastAsia="Calibri" w:hAnsi="Calibri" w:cs="Arial"/>
          <w:rtl/>
        </w:rPr>
        <w:t>: מי איכא מידי דאנן לא ידעינן</w:t>
      </w:r>
      <w:r w:rsidRPr="001D49D4">
        <w:rPr>
          <w:rFonts w:ascii="Calibri" w:eastAsia="Calibri" w:hAnsi="Calibri" w:cs="Arial"/>
          <w:vertAlign w:val="superscript"/>
          <w:rtl/>
        </w:rPr>
        <w:footnoteReference w:id="2956"/>
      </w:r>
      <w:r w:rsidRPr="001D49D4">
        <w:rPr>
          <w:rFonts w:ascii="Calibri" w:eastAsia="Calibri" w:hAnsi="Calibri" w:cs="Arial"/>
          <w:rtl/>
        </w:rPr>
        <w:t>, וספרי דבי דינא ידעי? שאילינהו לספרי דאביי - וידעי, לספרי דרבא - וידעי.</w:t>
      </w:r>
    </w:p>
    <w:p w14:paraId="00320742" w14:textId="77777777" w:rsidR="001D49D4" w:rsidRPr="001D49D4" w:rsidRDefault="001D49D4" w:rsidP="0004348D">
      <w:pPr>
        <w:spacing w:before="360" w:after="240"/>
        <w:rPr>
          <w:rFonts w:ascii="Calibri" w:eastAsia="Calibri" w:hAnsi="Calibri" w:cs="Arial"/>
          <w:u w:val="single"/>
          <w:rtl/>
        </w:rPr>
      </w:pPr>
      <w:r w:rsidRPr="001D49D4">
        <w:rPr>
          <w:rFonts w:ascii="Calibri" w:eastAsia="Calibri" w:hAnsi="Calibri" w:cs="Arial"/>
          <w:u w:val="single"/>
          <w:rtl/>
        </w:rPr>
        <w:t>שטר הודאה שחתומים עליו שנים - ולא כתוב בו 'אמר לנו כתבו וחתמו ותנו לו':</w:t>
      </w:r>
    </w:p>
    <w:p w14:paraId="1A4D2155" w14:textId="77777777" w:rsidR="001D49D4" w:rsidRPr="001D49D4" w:rsidRDefault="001D49D4" w:rsidP="0004348D">
      <w:pPr>
        <w:numPr>
          <w:ilvl w:val="0"/>
          <w:numId w:val="209"/>
        </w:numPr>
        <w:spacing w:before="360" w:after="240"/>
        <w:contextualSpacing/>
        <w:rPr>
          <w:rtl/>
        </w:rPr>
      </w:pPr>
      <w:r w:rsidRPr="001D49D4">
        <w:rPr>
          <w:rtl/>
        </w:rPr>
        <w:t xml:space="preserve">רמב"ם </w:t>
      </w:r>
      <w:r w:rsidRPr="001D49D4">
        <w:rPr>
          <w:sz w:val="16"/>
          <w:szCs w:val="16"/>
          <w:rtl/>
        </w:rPr>
        <w:t>(פ"ז ה"ד)</w:t>
      </w:r>
      <w:r w:rsidRPr="001D49D4">
        <w:rPr>
          <w:rtl/>
        </w:rPr>
        <w:t xml:space="preserve"> וטור- שטר הודיה שיצא ולא היה כתוב בו 'אמר לנו כתבו וחתמו ותנו לו' - הרי זה כשר, שחזקה היא שאילו לא אמר להם כתבו וחתמו ותנו לא היו נותנין</w:t>
      </w:r>
      <w:r w:rsidRPr="001D49D4">
        <w:rPr>
          <w:sz w:val="16"/>
          <w:szCs w:val="16"/>
          <w:rtl/>
        </w:rPr>
        <w:t xml:space="preserve"> (ל' הרמב"ם)</w:t>
      </w:r>
      <w:r w:rsidRPr="001D49D4">
        <w:rPr>
          <w:rtl/>
        </w:rPr>
        <w:t>.</w:t>
      </w:r>
      <w:r w:rsidRPr="001D49D4">
        <w:rPr>
          <w:color w:val="E36C0A" w:themeColor="accent6" w:themeShade="BF"/>
          <w:rtl/>
        </w:rPr>
        <w:t xml:space="preserve"> (וכ"ס בשו"ע) </w:t>
      </w:r>
      <w:r w:rsidRPr="001D49D4">
        <w:rPr>
          <w:rtl/>
        </w:rPr>
        <w:t xml:space="preserve"> </w:t>
      </w:r>
    </w:p>
    <w:p w14:paraId="1C046FC2" w14:textId="77777777" w:rsidR="001D49D4" w:rsidRPr="001D49D4" w:rsidRDefault="001D49D4" w:rsidP="0004348D">
      <w:pPr>
        <w:numPr>
          <w:ilvl w:val="0"/>
          <w:numId w:val="209"/>
        </w:numPr>
        <w:spacing w:before="360" w:after="240"/>
        <w:contextualSpacing/>
      </w:pPr>
      <w:r w:rsidRPr="001D49D4">
        <w:rPr>
          <w:rtl/>
        </w:rPr>
        <w:t xml:space="preserve">הג"א </w:t>
      </w:r>
      <w:r w:rsidRPr="001D49D4">
        <w:rPr>
          <w:sz w:val="16"/>
          <w:szCs w:val="16"/>
          <w:rtl/>
        </w:rPr>
        <w:t>(סי' כח)</w:t>
      </w:r>
      <w:r w:rsidRPr="001D49D4">
        <w:rPr>
          <w:rtl/>
        </w:rPr>
        <w:t xml:space="preserve">- מיהו לבי אומר לי דהאידנא שנתמעטה התורה דאפילו הלומדים לא פקיעי בדיני ולית לן סופרים מיוחדים לשטרות כמו שהיה בימי החכמים אי אתיא אודיתא לקמן </w:t>
      </w:r>
      <w:r w:rsidRPr="001D49D4">
        <w:rPr>
          <w:b/>
          <w:bCs/>
          <w:rtl/>
        </w:rPr>
        <w:t>אפילו בשלשה חתומים</w:t>
      </w:r>
      <w:r w:rsidRPr="001D49D4">
        <w:rPr>
          <w:rtl/>
        </w:rPr>
        <w:t xml:space="preserve"> - לא מכשרינן ליה כלל אא"כ כתוב בה ואמר לנא כתבו וחתמו והבו ליה. והני מילי לענין לקוחות למיגבא ממשעבדי, אבל מיניה שלא יוכל לכפור כשרה דשיקרא לא כתבי ולא חתמי.</w:t>
      </w:r>
    </w:p>
    <w:p w14:paraId="714017F5" w14:textId="77777777" w:rsidR="001D49D4" w:rsidRPr="001D49D4" w:rsidRDefault="001D49D4" w:rsidP="0004348D">
      <w:pPr>
        <w:spacing w:before="360" w:after="240"/>
        <w:rPr>
          <w:rFonts w:ascii="Arial" w:eastAsia="Calibri" w:hAnsi="Arial" w:cs="Arial"/>
          <w:b/>
          <w:bCs/>
          <w:color w:val="000000"/>
          <w:sz w:val="28"/>
          <w:szCs w:val="28"/>
          <w:u w:val="single"/>
          <w:rtl/>
        </w:rPr>
      </w:pPr>
      <w:r w:rsidRPr="001D49D4">
        <w:rPr>
          <w:rFonts w:ascii="Arial" w:eastAsia="Calibri" w:hAnsi="Arial" w:cs="Arial"/>
          <w:b/>
          <w:bCs/>
          <w:color w:val="000000"/>
          <w:sz w:val="28"/>
          <w:szCs w:val="28"/>
          <w:u w:val="single"/>
          <w:rtl/>
        </w:rPr>
        <w:t>שו"ע:</w:t>
      </w:r>
    </w:p>
    <w:p w14:paraId="42E4040C"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rtl/>
        </w:rPr>
        <w:t>שטר הודאה</w:t>
      </w:r>
      <w:r w:rsidRPr="001D49D4">
        <w:rPr>
          <w:rFonts w:ascii="Calibri" w:eastAsia="Calibri" w:hAnsi="Calibri" w:cs="Arial"/>
          <w:vertAlign w:val="superscript"/>
          <w:rtl/>
        </w:rPr>
        <w:footnoteReference w:id="2957"/>
      </w:r>
      <w:r w:rsidRPr="001D49D4">
        <w:rPr>
          <w:rFonts w:ascii="Calibri" w:eastAsia="Calibri" w:hAnsi="Calibri" w:cs="Arial"/>
          <w:rtl/>
        </w:rPr>
        <w:t xml:space="preserve"> שיצא</w:t>
      </w:r>
      <w:r w:rsidRPr="001D49D4">
        <w:rPr>
          <w:rFonts w:ascii="Calibri" w:eastAsia="Calibri" w:hAnsi="Calibri" w:cs="Arial"/>
          <w:vertAlign w:val="superscript"/>
          <w:rtl/>
        </w:rPr>
        <w:footnoteReference w:id="2958"/>
      </w:r>
      <w:r w:rsidRPr="001D49D4">
        <w:rPr>
          <w:rFonts w:ascii="Calibri" w:eastAsia="Calibri" w:hAnsi="Calibri" w:cs="Arial"/>
          <w:rtl/>
        </w:rPr>
        <w:t xml:space="preserve"> ולא היה כתוב בו 'אמר לנו כתבו וחתמו ותנו לו', הרי זה כשר, שאילו לא אמר להם 'כתבו וחתמו ותנו לו' לא היו נותנים. ויש אומרים שבסופרים שבזמן הזה חוששים לענין טריפת לקוחות</w:t>
      </w:r>
      <w:r w:rsidRPr="001D49D4">
        <w:rPr>
          <w:rFonts w:ascii="Calibri" w:eastAsia="Calibri" w:hAnsi="Calibri" w:cs="Arial"/>
          <w:vertAlign w:val="superscript"/>
          <w:rtl/>
        </w:rPr>
        <w:footnoteReference w:id="2959"/>
      </w:r>
      <w:r w:rsidRPr="001D49D4">
        <w:rPr>
          <w:rFonts w:ascii="Calibri" w:eastAsia="Calibri" w:hAnsi="Calibri" w:cs="Arial"/>
          <w:rtl/>
        </w:rPr>
        <w:t xml:space="preserve">, שמא לא אמר להם. </w:t>
      </w:r>
    </w:p>
    <w:p w14:paraId="407C0585" w14:textId="77777777" w:rsidR="001D49D4" w:rsidRPr="001D49D4" w:rsidRDefault="001D49D4" w:rsidP="0004348D">
      <w:pPr>
        <w:spacing w:before="360" w:after="240"/>
        <w:rPr>
          <w:rFonts w:ascii="Calibri" w:eastAsia="Calibri" w:hAnsi="Calibri" w:cs="Arial"/>
          <w:rtl/>
        </w:rPr>
      </w:pPr>
    </w:p>
    <w:p w14:paraId="70EC8BE4" w14:textId="77777777" w:rsidR="001D49D4" w:rsidRPr="001D49D4" w:rsidRDefault="001D49D4" w:rsidP="0004348D">
      <w:pPr>
        <w:keepNext/>
        <w:keepLines/>
        <w:spacing w:before="360" w:after="240"/>
        <w:outlineLvl w:val="1"/>
        <w:rPr>
          <w:rFonts w:ascii="Cambria" w:eastAsia="Times New Roman" w:hAnsi="Cambria" w:cs="Arial"/>
          <w:bCs/>
          <w:color w:val="548DD4" w:themeColor="text2" w:themeTint="99"/>
          <w:sz w:val="26"/>
          <w:szCs w:val="26"/>
          <w:rtl/>
        </w:rPr>
      </w:pPr>
      <w:bookmarkStart w:id="396" w:name="_Toc24883838"/>
      <w:r w:rsidRPr="001D49D4">
        <w:rPr>
          <w:rFonts w:ascii="Cambria" w:eastAsia="Times New Roman" w:hAnsi="Cambria" w:cs="Arial"/>
          <w:bCs/>
          <w:color w:val="548DD4" w:themeColor="text2" w:themeTint="99"/>
          <w:sz w:val="26"/>
          <w:szCs w:val="26"/>
          <w:rtl/>
        </w:rPr>
        <w:t xml:space="preserve">סעיף יב: שטר כנ"ל </w:t>
      </w:r>
      <w:r w:rsidRPr="001D49D4">
        <w:rPr>
          <w:rFonts w:ascii="Cambria" w:eastAsia="Times New Roman" w:hAnsi="Cambria" w:cs="Arial"/>
          <w:bCs/>
          <w:color w:val="548DD4" w:themeColor="text2" w:themeTint="99"/>
          <w:sz w:val="20"/>
          <w:szCs w:val="20"/>
          <w:rtl/>
        </w:rPr>
        <w:t xml:space="preserve">(שחתומים בו שנים ולא כתוב אמר לנו וכו') </w:t>
      </w:r>
      <w:r w:rsidRPr="001D49D4">
        <w:rPr>
          <w:rFonts w:ascii="Cambria" w:eastAsia="Times New Roman" w:hAnsi="Cambria" w:cs="Arial"/>
          <w:bCs/>
          <w:color w:val="548DD4" w:themeColor="text2" w:themeTint="99"/>
          <w:sz w:val="26"/>
          <w:szCs w:val="26"/>
          <w:rtl/>
        </w:rPr>
        <w:t>– והשטר כתוב בלשון בית דין.</w:t>
      </w:r>
      <w:bookmarkEnd w:id="396"/>
    </w:p>
    <w:p w14:paraId="3DBF9C18" w14:textId="77777777" w:rsidR="001D49D4" w:rsidRPr="001D49D4" w:rsidRDefault="001D49D4" w:rsidP="0004348D">
      <w:pPr>
        <w:spacing w:before="360" w:after="240"/>
        <w:rPr>
          <w:rFonts w:ascii="Calibri" w:eastAsia="Calibri" w:hAnsi="Calibri" w:cs="Arial"/>
          <w:sz w:val="16"/>
          <w:szCs w:val="16"/>
          <w:rtl/>
        </w:rPr>
      </w:pPr>
      <w:r w:rsidRPr="001D49D4">
        <w:rPr>
          <w:rFonts w:ascii="Calibri" w:eastAsia="Calibri" w:hAnsi="Calibri" w:cs="Arial"/>
          <w:b/>
          <w:bCs/>
          <w:rtl/>
        </w:rPr>
        <w:t xml:space="preserve">סנהדרין </w:t>
      </w:r>
      <w:r w:rsidRPr="001D49D4">
        <w:rPr>
          <w:rFonts w:ascii="Calibri" w:eastAsia="Calibri" w:hAnsi="Calibri" w:cs="Arial"/>
          <w:b/>
          <w:bCs/>
          <w:sz w:val="16"/>
          <w:szCs w:val="16"/>
          <w:rtl/>
        </w:rPr>
        <w:t xml:space="preserve">(פרק זה בורר) </w:t>
      </w:r>
      <w:r w:rsidRPr="001D49D4">
        <w:rPr>
          <w:rFonts w:ascii="Calibri" w:eastAsia="Calibri" w:hAnsi="Calibri" w:cs="Arial"/>
          <w:b/>
          <w:bCs/>
          <w:rtl/>
        </w:rPr>
        <w:t>כט</w:t>
      </w:r>
      <w:r w:rsidRPr="001D49D4">
        <w:rPr>
          <w:rFonts w:ascii="Calibri" w:eastAsia="Calibri" w:hAnsi="Calibri" w:cs="Arial"/>
          <w:b/>
          <w:bCs/>
          <w:vertAlign w:val="superscript"/>
          <w:rtl/>
        </w:rPr>
        <w:footnoteReference w:id="2960"/>
      </w:r>
      <w:r w:rsidRPr="001D49D4">
        <w:rPr>
          <w:rFonts w:ascii="Calibri" w:eastAsia="Calibri" w:hAnsi="Calibri" w:cs="Arial"/>
          <w:b/>
          <w:bCs/>
          <w:rtl/>
        </w:rPr>
        <w:t xml:space="preserve"> ע"ב:</w:t>
      </w:r>
      <w:r w:rsidRPr="001D49D4">
        <w:rPr>
          <w:rFonts w:ascii="Calibri" w:eastAsia="Calibri" w:hAnsi="Calibri" w:cs="Arial"/>
          <w:rtl/>
        </w:rPr>
        <w:t xml:space="preserve"> ההיא אודיתא דהוה כתב ביה, דוכרן פיתגמי</w:t>
      </w:r>
      <w:r w:rsidRPr="001D49D4">
        <w:rPr>
          <w:rFonts w:ascii="Calibri" w:eastAsia="Calibri" w:hAnsi="Calibri" w:cs="Arial"/>
          <w:vertAlign w:val="superscript"/>
          <w:rtl/>
        </w:rPr>
        <w:footnoteReference w:id="2961"/>
      </w:r>
      <w:r w:rsidRPr="001D49D4">
        <w:rPr>
          <w:rFonts w:ascii="Calibri" w:eastAsia="Calibri" w:hAnsi="Calibri" w:cs="Arial"/>
          <w:rtl/>
        </w:rPr>
        <w:t xml:space="preserve"> </w:t>
      </w:r>
      <w:r w:rsidRPr="001D49D4">
        <w:rPr>
          <w:rFonts w:ascii="Calibri" w:eastAsia="Calibri" w:hAnsi="Calibri" w:cs="Arial"/>
          <w:sz w:val="14"/>
          <w:szCs w:val="14"/>
          <w:rtl/>
        </w:rPr>
        <w:t xml:space="preserve">(ל.) </w:t>
      </w:r>
      <w:r w:rsidRPr="001D49D4">
        <w:rPr>
          <w:rFonts w:ascii="Calibri" w:eastAsia="Calibri" w:hAnsi="Calibri" w:cs="Arial"/>
          <w:rtl/>
        </w:rPr>
        <w:t>וכל לישני דבי דינא</w:t>
      </w:r>
      <w:r w:rsidRPr="001D49D4">
        <w:rPr>
          <w:rFonts w:ascii="Calibri" w:eastAsia="Calibri" w:hAnsi="Calibri" w:cs="Arial"/>
          <w:vertAlign w:val="superscript"/>
          <w:rtl/>
        </w:rPr>
        <w:footnoteReference w:id="2962"/>
      </w:r>
      <w:r w:rsidRPr="001D49D4">
        <w:rPr>
          <w:rFonts w:ascii="Calibri" w:eastAsia="Calibri" w:hAnsi="Calibri" w:cs="Arial"/>
          <w:rtl/>
        </w:rPr>
        <w:t>, ולא הוה כתב בה במותב תלתא הוינא וחד ליתוהי</w:t>
      </w:r>
      <w:r w:rsidRPr="001D49D4">
        <w:rPr>
          <w:rFonts w:ascii="Calibri" w:eastAsia="Calibri" w:hAnsi="Calibri" w:cs="Arial"/>
          <w:vertAlign w:val="superscript"/>
          <w:rtl/>
        </w:rPr>
        <w:footnoteReference w:id="2963"/>
      </w:r>
      <w:r w:rsidRPr="001D49D4">
        <w:rPr>
          <w:rFonts w:ascii="Calibri" w:eastAsia="Calibri" w:hAnsi="Calibri" w:cs="Arial"/>
          <w:rtl/>
        </w:rPr>
        <w:t xml:space="preserve">. </w:t>
      </w:r>
      <w:r w:rsidRPr="001D49D4">
        <w:rPr>
          <w:rFonts w:ascii="Calibri" w:eastAsia="Calibri" w:hAnsi="Calibri" w:cs="Arial"/>
          <w:u w:val="single"/>
          <w:rtl/>
        </w:rPr>
        <w:t>סבר רבינא למימר</w:t>
      </w:r>
      <w:r w:rsidRPr="001D49D4">
        <w:rPr>
          <w:rFonts w:ascii="Calibri" w:eastAsia="Calibri" w:hAnsi="Calibri" w:cs="Arial"/>
          <w:rtl/>
        </w:rPr>
        <w:t>: היינו דריש לקיש</w:t>
      </w:r>
      <w:r w:rsidRPr="001D49D4">
        <w:rPr>
          <w:rFonts w:ascii="Calibri" w:eastAsia="Calibri" w:hAnsi="Calibri" w:cs="Arial"/>
          <w:vertAlign w:val="superscript"/>
          <w:rtl/>
        </w:rPr>
        <w:footnoteReference w:id="2964"/>
      </w:r>
      <w:r w:rsidRPr="001D49D4">
        <w:rPr>
          <w:rFonts w:ascii="Calibri" w:eastAsia="Calibri" w:hAnsi="Calibri" w:cs="Arial"/>
          <w:rtl/>
        </w:rPr>
        <w:t xml:space="preserve">. </w:t>
      </w:r>
      <w:r w:rsidRPr="001D49D4">
        <w:rPr>
          <w:rFonts w:ascii="Calibri" w:eastAsia="Calibri" w:hAnsi="Calibri" w:cs="Arial"/>
          <w:u w:val="single"/>
          <w:rtl/>
        </w:rPr>
        <w:t>אמר ליה רב נתן בר אמי</w:t>
      </w:r>
      <w:r w:rsidRPr="001D49D4">
        <w:rPr>
          <w:rFonts w:ascii="Calibri" w:eastAsia="Calibri" w:hAnsi="Calibri" w:cs="Arial"/>
          <w:rtl/>
        </w:rPr>
        <w:t>: הכי אמרינן משמיה דרבא, כל כי האי גוונא - חיישינן לבית דין טועין</w:t>
      </w:r>
      <w:r w:rsidRPr="001D49D4">
        <w:rPr>
          <w:rFonts w:ascii="Calibri" w:eastAsia="Calibri" w:hAnsi="Calibri" w:cs="Arial"/>
          <w:vertAlign w:val="superscript"/>
          <w:rtl/>
        </w:rPr>
        <w:footnoteReference w:id="2965"/>
      </w:r>
      <w:r w:rsidRPr="001D49D4">
        <w:rPr>
          <w:rFonts w:ascii="Calibri" w:eastAsia="Calibri" w:hAnsi="Calibri" w:cs="Arial"/>
          <w:rtl/>
        </w:rPr>
        <w:t xml:space="preserve">. </w:t>
      </w:r>
      <w:r w:rsidRPr="001D49D4">
        <w:rPr>
          <w:rFonts w:ascii="Calibri" w:eastAsia="Calibri" w:hAnsi="Calibri" w:cs="Arial"/>
          <w:u w:val="single"/>
          <w:rtl/>
        </w:rPr>
        <w:t>אמר רב נחמן בר יצחק</w:t>
      </w:r>
      <w:r w:rsidRPr="001D49D4">
        <w:rPr>
          <w:rFonts w:ascii="Calibri" w:eastAsia="Calibri" w:hAnsi="Calibri" w:cs="Arial"/>
          <w:rtl/>
        </w:rPr>
        <w:t>: אי כתב בה בי דינא - תו לא צריך</w:t>
      </w:r>
      <w:r w:rsidRPr="001D49D4">
        <w:rPr>
          <w:rFonts w:ascii="Calibri" w:eastAsia="Calibri" w:hAnsi="Calibri" w:cs="Arial"/>
          <w:vertAlign w:val="superscript"/>
          <w:rtl/>
        </w:rPr>
        <w:footnoteReference w:id="2966"/>
      </w:r>
      <w:r w:rsidRPr="001D49D4">
        <w:rPr>
          <w:rFonts w:ascii="Calibri" w:eastAsia="Calibri" w:hAnsi="Calibri" w:cs="Arial"/>
          <w:rtl/>
        </w:rPr>
        <w:t>. - ודילמא בית דין חצוף הוא, דאמר שמואל: שנים שדנו - דיניהן דין, אלא שנקראו בית דין חצוף! דכתב ביה בי דינא דרבנא אשי</w:t>
      </w:r>
      <w:r w:rsidRPr="001D49D4">
        <w:rPr>
          <w:rFonts w:ascii="Calibri" w:eastAsia="Calibri" w:hAnsi="Calibri" w:cs="Arial"/>
          <w:vertAlign w:val="superscript"/>
          <w:rtl/>
        </w:rPr>
        <w:footnoteReference w:id="2967"/>
      </w:r>
      <w:r w:rsidRPr="001D49D4">
        <w:rPr>
          <w:rFonts w:ascii="Calibri" w:eastAsia="Calibri" w:hAnsi="Calibri" w:cs="Arial"/>
          <w:rtl/>
        </w:rPr>
        <w:t>. ודילמא רבנן דבי רב אשי כשמואל סבירא להו? דכתיב בו, ואמרנא ליה לרבנא אשי ואמר לן רבנא אשי</w:t>
      </w:r>
      <w:r w:rsidRPr="001D49D4">
        <w:rPr>
          <w:rFonts w:ascii="Calibri" w:eastAsia="Calibri" w:hAnsi="Calibri" w:cs="Arial"/>
          <w:vertAlign w:val="superscript"/>
          <w:rtl/>
        </w:rPr>
        <w:footnoteReference w:id="2968"/>
      </w:r>
      <w:r w:rsidRPr="001D49D4">
        <w:rPr>
          <w:rFonts w:ascii="Calibri" w:eastAsia="Calibri" w:hAnsi="Calibri" w:cs="Arial"/>
          <w:rtl/>
        </w:rPr>
        <w:t xml:space="preserve">. </w:t>
      </w:r>
      <w:r w:rsidRPr="001D49D4">
        <w:rPr>
          <w:rFonts w:ascii="Calibri" w:eastAsia="Calibri" w:hAnsi="Calibri" w:cs="Arial"/>
          <w:sz w:val="16"/>
          <w:szCs w:val="16"/>
          <w:rtl/>
        </w:rPr>
        <w:t>(וכתב הב"י דבפ"ב דכתובות (כב.) מביא דין אחר כיוצא בזה ופירש שם רש"י כמו שכתבתי וכתב עוד ויש מפרשים 'ואמר לנא רבנא אשי' - תלתא נינהו, ולא נהירא לי דאי רב אשי חד מנהון מאי 'ואמר לנא' דכתבי ביה עכ"ל</w:t>
      </w:r>
      <w:r w:rsidRPr="001D49D4">
        <w:rPr>
          <w:rFonts w:ascii="Calibri" w:eastAsia="Calibri" w:hAnsi="Calibri" w:cs="Arial"/>
          <w:sz w:val="14"/>
          <w:szCs w:val="14"/>
          <w:rtl/>
        </w:rPr>
        <w:t xml:space="preserve"> {רש"י}</w:t>
      </w:r>
      <w:r w:rsidRPr="001D49D4">
        <w:rPr>
          <w:rFonts w:ascii="Calibri" w:eastAsia="Calibri" w:hAnsi="Calibri" w:cs="Arial"/>
          <w:sz w:val="16"/>
          <w:szCs w:val="16"/>
          <w:rtl/>
        </w:rPr>
        <w:t>. ורבינו לא חשש לקושית ולא נהירא, די"ל דהכי קאמר- אמר לנא רבנא אשי שנכתוב לו אנחנו, כלומר שהוא לא היה יכול להתאפק מעסקיו לחתום בו, ולכן כתב שני הפירושים, גם במישרים נ"א ח"ז (ט ע"ד) כתב שאם כתוב אמר לנא פלוני שמשמע שהם שלשה, וכן אם מוכח שעשו אותה במצות גדול כשירה, דסבירא ליה דבאיזה מהם סגי. ודברי הרמב"ם בפ"ז מהלכות טוען (ה"ד) כדברי הפירוש השני)</w:t>
      </w:r>
    </w:p>
    <w:p w14:paraId="7AD41EB4" w14:textId="77777777" w:rsidR="001D49D4" w:rsidRPr="001D49D4" w:rsidRDefault="001D49D4" w:rsidP="0004348D">
      <w:pPr>
        <w:spacing w:before="360" w:after="240"/>
        <w:rPr>
          <w:rFonts w:ascii="Calibri" w:eastAsia="Calibri" w:hAnsi="Calibri" w:cs="Arial"/>
          <w:u w:val="single"/>
          <w:rtl/>
        </w:rPr>
      </w:pPr>
      <w:r w:rsidRPr="001D49D4">
        <w:rPr>
          <w:rFonts w:ascii="Calibri" w:eastAsia="Calibri" w:hAnsi="Calibri" w:cs="Arial"/>
          <w:u w:val="single"/>
          <w:rtl/>
        </w:rPr>
        <w:t>שטר הודאה שחתומים עליו שנים ולא כתוב בו 'אמר לנו כתבו וחתמו ותנו לו' - והשטר כתוב בלשון בית דין:</w:t>
      </w:r>
    </w:p>
    <w:p w14:paraId="36AAE55D" w14:textId="77777777" w:rsidR="001D49D4" w:rsidRPr="001D49D4" w:rsidRDefault="001D49D4" w:rsidP="0004348D">
      <w:pPr>
        <w:numPr>
          <w:ilvl w:val="0"/>
          <w:numId w:val="210"/>
        </w:numPr>
        <w:spacing w:before="360" w:after="240"/>
        <w:contextualSpacing/>
        <w:rPr>
          <w:rtl/>
        </w:rPr>
      </w:pPr>
      <w:r w:rsidRPr="001D49D4">
        <w:rPr>
          <w:rtl/>
        </w:rPr>
        <w:t xml:space="preserve">טור- בד"א </w:t>
      </w:r>
      <w:r w:rsidRPr="001D49D4">
        <w:rPr>
          <w:sz w:val="16"/>
          <w:szCs w:val="16"/>
          <w:rtl/>
        </w:rPr>
        <w:t xml:space="preserve">{ששטר הודאה שחתומים בו שנים ולא כתוב בו 'אמרו לנו...' - כשר} </w:t>
      </w:r>
      <w:r w:rsidRPr="001D49D4">
        <w:rPr>
          <w:rtl/>
        </w:rPr>
        <w:t>שהיא כתובה בלשון שמוכח שלא היו ב"ד, כגון 'זכרון עדות'. אבל אם כתובה בלשון ב"ד כגון זכרון דברים 'בפנינו בית דין הודה' ואין חתום בו אלא שנים ואין כתוב בו 'וחד ליתוהי' – פסולה, דשמא טעו לומר ב' חשובים ב"ד, אא"כ מוכיח מתוכו שהיו ג', כגון שכתוב בו שנעשה בפני מומחה שלא היה טועה לומר ב"ד בשנים. ויש מפרשים אם יש בו לשון שמוכיח שהיו ג' שפיר דמי, כגון 'ואמר לנו', הרי ג', שהשנים אומרים שהשלישי אמר להם. (וכ"כ הסמ"ע</w:t>
      </w:r>
      <w:r w:rsidRPr="001D49D4">
        <w:rPr>
          <w:sz w:val="16"/>
          <w:szCs w:val="16"/>
          <w:rtl/>
        </w:rPr>
        <w:t xml:space="preserve"> [סקל"ג]</w:t>
      </w:r>
      <w:r w:rsidRPr="001D49D4">
        <w:rPr>
          <w:rtl/>
        </w:rPr>
        <w:t>)</w:t>
      </w:r>
    </w:p>
    <w:p w14:paraId="552DF1EE" w14:textId="77777777" w:rsidR="001D49D4" w:rsidRPr="001D49D4" w:rsidRDefault="001D49D4" w:rsidP="0004348D">
      <w:pPr>
        <w:numPr>
          <w:ilvl w:val="0"/>
          <w:numId w:val="210"/>
        </w:numPr>
        <w:spacing w:before="360" w:after="240"/>
        <w:contextualSpacing/>
      </w:pPr>
      <w:r w:rsidRPr="001D49D4">
        <w:rPr>
          <w:rtl/>
        </w:rPr>
        <w:t xml:space="preserve">רמב"ם </w:t>
      </w:r>
      <w:r w:rsidRPr="001D49D4">
        <w:rPr>
          <w:sz w:val="16"/>
          <w:szCs w:val="16"/>
          <w:rtl/>
        </w:rPr>
        <w:t>(פ"ז ה"ד)</w:t>
      </w:r>
      <w:r w:rsidRPr="001D49D4">
        <w:rPr>
          <w:rtl/>
        </w:rPr>
        <w:t xml:space="preserve">- היה כתוב בשטר 'הודה פלוני בפנינו בית דין', אם אין כתוב בו שהיו שלשה או דברים ששומעין מכלל שהיו שלשה - חוששין שמא שנים היו וטעו ודימו שההודיה בשנים הודיה בבית דין, ולפיכך אין דנין בו דין שטר. </w:t>
      </w:r>
      <w:r w:rsidRPr="001D49D4">
        <w:rPr>
          <w:color w:val="E36C0A" w:themeColor="accent6" w:themeShade="BF"/>
          <w:rtl/>
        </w:rPr>
        <w:t>(וכ"פ בשו"ע)</w:t>
      </w:r>
    </w:p>
    <w:p w14:paraId="5EA72CCC" w14:textId="77777777" w:rsidR="001D49D4" w:rsidRPr="001D49D4" w:rsidRDefault="001D49D4" w:rsidP="0004348D">
      <w:pPr>
        <w:numPr>
          <w:ilvl w:val="0"/>
          <w:numId w:val="210"/>
        </w:numPr>
        <w:spacing w:before="360" w:after="240"/>
        <w:contextualSpacing/>
      </w:pPr>
      <w:r w:rsidRPr="001D49D4">
        <w:rPr>
          <w:rtl/>
        </w:rPr>
        <w:t xml:space="preserve">רי"ו </w:t>
      </w:r>
      <w:r w:rsidRPr="001D49D4">
        <w:rPr>
          <w:sz w:val="16"/>
          <w:szCs w:val="16"/>
          <w:rtl/>
        </w:rPr>
        <w:t>(ח"א נ"ז ט ע"ג)</w:t>
      </w:r>
      <w:r w:rsidRPr="001D49D4">
        <w:rPr>
          <w:rtl/>
        </w:rPr>
        <w:t>- הודה בפני ג' ולא קנו מידו... ואם כתבו הדיינין ההודאה ולא כתבו בה 'אמר לנו פלוני' - לא חיישינן לבית דין טועין כי בודאי לא היו כותבין אם לא אמר הוא לכתוב. והרשב"א כתב בתשובה</w:t>
      </w:r>
      <w:r w:rsidRPr="001D49D4">
        <w:rPr>
          <w:vertAlign w:val="superscript"/>
          <w:rtl/>
        </w:rPr>
        <w:footnoteReference w:id="2969"/>
      </w:r>
      <w:r w:rsidRPr="001D49D4">
        <w:rPr>
          <w:sz w:val="16"/>
          <w:szCs w:val="16"/>
          <w:rtl/>
        </w:rPr>
        <w:t xml:space="preserve"> (ח"א סי' אלף קמט)</w:t>
      </w:r>
      <w:r w:rsidRPr="001D49D4">
        <w:rPr>
          <w:rtl/>
        </w:rPr>
        <w:t xml:space="preserve"> כי בודאי באלו הדיינים של זה הזמן חיישינן שטעו וכתבו בלא רשות דלא דינא גמירי ודינא כמו בפני ב'.</w:t>
      </w:r>
    </w:p>
    <w:p w14:paraId="4E6E792E" w14:textId="77777777" w:rsidR="001D49D4" w:rsidRPr="001D49D4" w:rsidRDefault="001D49D4" w:rsidP="0004348D">
      <w:pPr>
        <w:spacing w:before="360" w:after="240"/>
        <w:rPr>
          <w:rFonts w:ascii="Calibri" w:eastAsia="Calibri" w:hAnsi="Calibri" w:cs="Arial"/>
          <w:sz w:val="16"/>
          <w:szCs w:val="16"/>
        </w:rPr>
      </w:pPr>
      <w:r w:rsidRPr="001D49D4">
        <w:rPr>
          <w:rFonts w:ascii="Calibri" w:eastAsia="Calibri" w:hAnsi="Calibri" w:cs="Arial"/>
          <w:u w:val="single"/>
          <w:rtl/>
        </w:rPr>
        <w:lastRenderedPageBreak/>
        <w:t>דבר שצריך בו רק שני עדים וכתוב בו בלשון 'בית דין':</w:t>
      </w:r>
      <w:r w:rsidRPr="001D49D4">
        <w:rPr>
          <w:rFonts w:ascii="Calibri" w:eastAsia="Calibri" w:hAnsi="Calibri" w:cs="Arial"/>
          <w:rtl/>
        </w:rPr>
        <w:t xml:space="preserve">   </w:t>
      </w:r>
      <w:r w:rsidRPr="001D49D4">
        <w:rPr>
          <w:rFonts w:ascii="Calibri" w:eastAsia="Calibri" w:hAnsi="Calibri" w:cs="Arial"/>
          <w:sz w:val="16"/>
          <w:szCs w:val="16"/>
          <w:rtl/>
        </w:rPr>
        <w:t>(דרכ"מ אות ט)</w:t>
      </w:r>
    </w:p>
    <w:p w14:paraId="7F2BC933" w14:textId="77777777" w:rsidR="001D49D4" w:rsidRPr="001D49D4" w:rsidRDefault="001D49D4" w:rsidP="0004348D">
      <w:pPr>
        <w:numPr>
          <w:ilvl w:val="0"/>
          <w:numId w:val="210"/>
        </w:numPr>
        <w:spacing w:before="360" w:after="240"/>
        <w:contextualSpacing/>
      </w:pPr>
      <w:r w:rsidRPr="001D49D4">
        <w:rPr>
          <w:rtl/>
        </w:rPr>
        <w:t xml:space="preserve">ריב"ש </w:t>
      </w:r>
      <w:r w:rsidRPr="001D49D4">
        <w:rPr>
          <w:sz w:val="16"/>
          <w:szCs w:val="16"/>
          <w:rtl/>
        </w:rPr>
        <w:t>(סי' תיג ד"ה מה שטוען)</w:t>
      </w:r>
      <w:r w:rsidRPr="001D49D4">
        <w:rPr>
          <w:rtl/>
        </w:rPr>
        <w:t>- בדבר שאין אנו צריכין רק שני עדים אע"פ שכתב בלשון בית דין - כשר.</w:t>
      </w:r>
    </w:p>
    <w:p w14:paraId="4DD2B485" w14:textId="77777777" w:rsidR="001D49D4" w:rsidRPr="001D49D4" w:rsidRDefault="001D49D4" w:rsidP="0004348D">
      <w:pPr>
        <w:spacing w:before="360" w:after="240"/>
        <w:rPr>
          <w:rFonts w:ascii="Arial" w:eastAsia="Calibri" w:hAnsi="Arial" w:cs="Arial"/>
          <w:b/>
          <w:bCs/>
          <w:color w:val="000000"/>
          <w:sz w:val="28"/>
          <w:szCs w:val="28"/>
          <w:u w:val="single"/>
          <w:rtl/>
        </w:rPr>
      </w:pPr>
      <w:r w:rsidRPr="001D49D4">
        <w:rPr>
          <w:rFonts w:ascii="Arial" w:eastAsia="Calibri" w:hAnsi="Arial" w:cs="Arial"/>
          <w:b/>
          <w:bCs/>
          <w:color w:val="000000"/>
          <w:sz w:val="28"/>
          <w:szCs w:val="28"/>
          <w:u w:val="single"/>
          <w:rtl/>
        </w:rPr>
        <w:t>שו"ע:</w:t>
      </w:r>
    </w:p>
    <w:p w14:paraId="27642A0F"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rtl/>
        </w:rPr>
        <w:t>היה כתוב בשטר 'הודה בפנינו בבית דין', ואין חתומים בו אלא שנים, אם אין כתוב דברים שמשמע מתוכן שהיו שלשה</w:t>
      </w:r>
      <w:r w:rsidRPr="001D49D4">
        <w:rPr>
          <w:rFonts w:ascii="Calibri" w:eastAsia="Calibri" w:hAnsi="Calibri" w:cs="Arial"/>
          <w:vertAlign w:val="superscript"/>
          <w:rtl/>
        </w:rPr>
        <w:footnoteReference w:id="2970"/>
      </w:r>
      <w:r w:rsidRPr="001D49D4">
        <w:rPr>
          <w:rFonts w:ascii="Calibri" w:eastAsia="Calibri" w:hAnsi="Calibri" w:cs="Arial"/>
          <w:rtl/>
        </w:rPr>
        <w:t>, חוששין שמא שנים היו וטעו</w:t>
      </w:r>
      <w:r w:rsidRPr="001D49D4">
        <w:rPr>
          <w:rFonts w:ascii="Calibri" w:eastAsia="Calibri" w:hAnsi="Calibri" w:cs="Arial"/>
          <w:vertAlign w:val="superscript"/>
          <w:rtl/>
        </w:rPr>
        <w:footnoteReference w:id="2971"/>
      </w:r>
      <w:r w:rsidRPr="001D49D4">
        <w:rPr>
          <w:rFonts w:ascii="Calibri" w:eastAsia="Calibri" w:hAnsi="Calibri" w:cs="Arial"/>
          <w:rtl/>
        </w:rPr>
        <w:t xml:space="preserve"> ודימו שהודאה בפני שנים הוי הודאה בבית דין, ולפיכך אין דנין בו דין שטר. </w:t>
      </w:r>
    </w:p>
    <w:p w14:paraId="48AE4FD3" w14:textId="77777777" w:rsidR="001D49D4" w:rsidRPr="001D49D4" w:rsidRDefault="001D49D4" w:rsidP="0004348D">
      <w:pPr>
        <w:spacing w:before="360" w:after="240"/>
        <w:rPr>
          <w:rFonts w:ascii="Calibri" w:eastAsia="Calibri" w:hAnsi="Calibri" w:cs="Arial"/>
          <w:rtl/>
        </w:rPr>
      </w:pPr>
    </w:p>
    <w:p w14:paraId="62392B57" w14:textId="77777777" w:rsidR="001D49D4" w:rsidRPr="001D49D4" w:rsidRDefault="001D49D4" w:rsidP="0004348D">
      <w:pPr>
        <w:keepNext/>
        <w:keepLines/>
        <w:spacing w:before="360" w:after="240"/>
        <w:outlineLvl w:val="1"/>
        <w:rPr>
          <w:rFonts w:ascii="Cambria" w:eastAsia="Times New Roman" w:hAnsi="Cambria" w:cs="Arial"/>
          <w:bCs/>
          <w:color w:val="548DD4" w:themeColor="text2" w:themeTint="99"/>
          <w:sz w:val="26"/>
          <w:szCs w:val="26"/>
          <w:rtl/>
        </w:rPr>
      </w:pPr>
      <w:bookmarkStart w:id="397" w:name="_Toc24883839"/>
      <w:r w:rsidRPr="001D49D4">
        <w:rPr>
          <w:rFonts w:ascii="Cambria" w:eastAsia="Times New Roman" w:hAnsi="Cambria" w:cs="Arial"/>
          <w:bCs/>
          <w:color w:val="548DD4" w:themeColor="text2" w:themeTint="99"/>
          <w:sz w:val="26"/>
          <w:szCs w:val="26"/>
          <w:rtl/>
        </w:rPr>
        <w:t>סעיף יג: כתיבת שטר ללוה אע"פ שאין מלוה עמו.</w:t>
      </w:r>
      <w:bookmarkEnd w:id="397"/>
    </w:p>
    <w:p w14:paraId="464092B4"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b/>
          <w:bCs/>
          <w:rtl/>
        </w:rPr>
        <w:t xml:space="preserve">בבא בתרא </w:t>
      </w:r>
      <w:r w:rsidRPr="001D49D4">
        <w:rPr>
          <w:rFonts w:ascii="Calibri" w:eastAsia="Calibri" w:hAnsi="Calibri" w:cs="Arial"/>
          <w:b/>
          <w:bCs/>
          <w:sz w:val="16"/>
          <w:szCs w:val="16"/>
          <w:rtl/>
        </w:rPr>
        <w:t xml:space="preserve">(פרק גט פשוט) </w:t>
      </w:r>
      <w:r w:rsidRPr="001D49D4">
        <w:rPr>
          <w:rFonts w:ascii="Calibri" w:eastAsia="Calibri" w:hAnsi="Calibri" w:cs="Arial"/>
          <w:b/>
          <w:bCs/>
          <w:rtl/>
        </w:rPr>
        <w:t>קסז</w:t>
      </w:r>
      <w:r w:rsidRPr="001D49D4">
        <w:rPr>
          <w:rFonts w:ascii="Calibri" w:eastAsia="Calibri" w:hAnsi="Calibri" w:cs="Arial"/>
          <w:b/>
          <w:bCs/>
          <w:vertAlign w:val="superscript"/>
          <w:rtl/>
        </w:rPr>
        <w:footnoteReference w:id="2972"/>
      </w:r>
      <w:r w:rsidRPr="001D49D4">
        <w:rPr>
          <w:rFonts w:ascii="Calibri" w:eastAsia="Calibri" w:hAnsi="Calibri" w:cs="Arial"/>
          <w:b/>
          <w:bCs/>
          <w:rtl/>
        </w:rPr>
        <w:t xml:space="preserve"> ע"א: </w:t>
      </w:r>
      <w:r w:rsidRPr="001D49D4">
        <w:rPr>
          <w:rFonts w:ascii="Calibri" w:eastAsia="Calibri" w:hAnsi="Calibri" w:cs="Arial"/>
          <w:u w:val="double"/>
          <w:rtl/>
        </w:rPr>
        <w:t>מתני'</w:t>
      </w:r>
      <w:r w:rsidRPr="001D49D4">
        <w:rPr>
          <w:rFonts w:ascii="Calibri" w:eastAsia="Calibri" w:hAnsi="Calibri" w:cs="Arial"/>
          <w:rtl/>
        </w:rPr>
        <w:t xml:space="preserve">: כותבין גט לאיש אף על פי שאין אשתו עמו, והשובר לאשה - אף על פי שאין בעלה עמה, ובלבד שיהא מכירן. והבעל נותן שכר. </w:t>
      </w:r>
      <w:r w:rsidRPr="001D49D4">
        <w:rPr>
          <w:rFonts w:ascii="Calibri" w:eastAsia="Calibri" w:hAnsi="Calibri" w:cs="Arial"/>
          <w:sz w:val="14"/>
          <w:szCs w:val="14"/>
          <w:rtl/>
        </w:rPr>
        <w:t>(קסז:)</w:t>
      </w:r>
      <w:r w:rsidRPr="001D49D4">
        <w:rPr>
          <w:rFonts w:ascii="Calibri" w:eastAsia="Calibri" w:hAnsi="Calibri" w:cs="Arial"/>
          <w:rtl/>
        </w:rPr>
        <w:t xml:space="preserve"> כותבין שטר ללוה אף על פי שאין מלוה עמו, ואין כותבין למלוה עד שיהא לוה עמו, והלוה נותן שכר... </w:t>
      </w:r>
      <w:r w:rsidRPr="001D49D4">
        <w:rPr>
          <w:rFonts w:ascii="Calibri" w:eastAsia="Calibri" w:hAnsi="Calibri" w:cs="Arial"/>
          <w:u w:val="double"/>
          <w:rtl/>
        </w:rPr>
        <w:t>גמ'</w:t>
      </w:r>
      <w:r w:rsidRPr="001D49D4">
        <w:rPr>
          <w:rFonts w:ascii="Calibri" w:eastAsia="Calibri" w:hAnsi="Calibri" w:cs="Arial"/>
          <w:sz w:val="14"/>
          <w:szCs w:val="14"/>
          <w:u w:val="double"/>
          <w:rtl/>
        </w:rPr>
        <w:t xml:space="preserve"> (קסח.)</w:t>
      </w:r>
      <w:r w:rsidRPr="001D49D4">
        <w:rPr>
          <w:rFonts w:ascii="Calibri" w:eastAsia="Calibri" w:hAnsi="Calibri" w:cs="Arial"/>
          <w:rtl/>
        </w:rPr>
        <w:t>: כותבין שטר ללוה אף על פי שאין מלוה עמו וכו'</w:t>
      </w:r>
      <w:r w:rsidRPr="001D49D4">
        <w:rPr>
          <w:rFonts w:ascii="Calibri" w:eastAsia="Calibri" w:hAnsi="Calibri" w:cs="Arial"/>
          <w:vertAlign w:val="superscript"/>
          <w:rtl/>
        </w:rPr>
        <w:footnoteReference w:id="2973"/>
      </w:r>
      <w:r w:rsidRPr="001D49D4">
        <w:rPr>
          <w:rFonts w:ascii="Calibri" w:eastAsia="Calibri" w:hAnsi="Calibri" w:cs="Arial"/>
          <w:rtl/>
        </w:rPr>
        <w:t>. פשיטא</w:t>
      </w:r>
      <w:r w:rsidRPr="001D49D4">
        <w:rPr>
          <w:rFonts w:ascii="Calibri" w:eastAsia="Calibri" w:hAnsi="Calibri" w:cs="Arial"/>
          <w:vertAlign w:val="superscript"/>
          <w:rtl/>
        </w:rPr>
        <w:footnoteReference w:id="2974"/>
      </w:r>
      <w:r w:rsidRPr="001D49D4">
        <w:rPr>
          <w:rFonts w:ascii="Calibri" w:eastAsia="Calibri" w:hAnsi="Calibri" w:cs="Arial"/>
          <w:rtl/>
        </w:rPr>
        <w:t>! לא צריכא, בעיסקא</w:t>
      </w:r>
      <w:r w:rsidRPr="001D49D4">
        <w:rPr>
          <w:rFonts w:ascii="Calibri" w:eastAsia="Calibri" w:hAnsi="Calibri" w:cs="Arial"/>
          <w:vertAlign w:val="superscript"/>
          <w:rtl/>
        </w:rPr>
        <w:footnoteReference w:id="2975"/>
      </w:r>
      <w:r w:rsidRPr="001D49D4">
        <w:rPr>
          <w:rFonts w:ascii="Calibri" w:eastAsia="Calibri" w:hAnsi="Calibri" w:cs="Arial"/>
          <w:rtl/>
        </w:rPr>
        <w:t>.</w:t>
      </w:r>
    </w:p>
    <w:p w14:paraId="3648E506"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b/>
          <w:bCs/>
          <w:rtl/>
        </w:rPr>
        <w:t>כתובות</w:t>
      </w:r>
      <w:r w:rsidRPr="001D49D4">
        <w:rPr>
          <w:rFonts w:ascii="Calibri" w:eastAsia="Calibri" w:hAnsi="Calibri" w:cs="Arial"/>
          <w:b/>
          <w:bCs/>
          <w:sz w:val="16"/>
          <w:szCs w:val="16"/>
          <w:rtl/>
        </w:rPr>
        <w:t xml:space="preserve"> (פ"ב) </w:t>
      </w:r>
      <w:r w:rsidRPr="001D49D4">
        <w:rPr>
          <w:rFonts w:ascii="Calibri" w:eastAsia="Calibri" w:hAnsi="Calibri" w:cs="Arial"/>
          <w:b/>
          <w:bCs/>
          <w:rtl/>
        </w:rPr>
        <w:t>יט</w:t>
      </w:r>
      <w:r w:rsidRPr="001D49D4">
        <w:rPr>
          <w:rFonts w:ascii="Calibri" w:eastAsia="Calibri" w:hAnsi="Calibri" w:cs="Arial"/>
          <w:b/>
          <w:bCs/>
          <w:vertAlign w:val="superscript"/>
          <w:rtl/>
        </w:rPr>
        <w:footnoteReference w:id="2976"/>
      </w:r>
      <w:r w:rsidRPr="001D49D4">
        <w:rPr>
          <w:rFonts w:ascii="Calibri" w:eastAsia="Calibri" w:hAnsi="Calibri" w:cs="Arial"/>
          <w:b/>
          <w:bCs/>
          <w:rtl/>
        </w:rPr>
        <w:t xml:space="preserve"> ע"א:</w:t>
      </w:r>
      <w:r w:rsidRPr="001D49D4">
        <w:rPr>
          <w:rFonts w:ascii="Calibri" w:eastAsia="Calibri" w:hAnsi="Calibri" w:cs="Arial"/>
          <w:rtl/>
        </w:rPr>
        <w:t xml:space="preserve"> </w:t>
      </w:r>
      <w:r w:rsidRPr="001D49D4">
        <w:rPr>
          <w:rFonts w:ascii="Calibri" w:eastAsia="Calibri" w:hAnsi="Calibri" w:cs="Arial"/>
          <w:u w:val="single"/>
          <w:rtl/>
        </w:rPr>
        <w:t>א"ר יהודה אמר רב</w:t>
      </w:r>
      <w:r w:rsidRPr="001D49D4">
        <w:rPr>
          <w:rFonts w:ascii="Calibri" w:eastAsia="Calibri" w:hAnsi="Calibri" w:cs="Arial"/>
          <w:rtl/>
        </w:rPr>
        <w:t>: האומר שטר אמנה</w:t>
      </w:r>
      <w:r w:rsidRPr="001D49D4">
        <w:rPr>
          <w:rFonts w:ascii="Calibri" w:eastAsia="Calibri" w:hAnsi="Calibri" w:cs="Arial"/>
          <w:vertAlign w:val="superscript"/>
          <w:rtl/>
        </w:rPr>
        <w:footnoteReference w:id="2977"/>
      </w:r>
      <w:r w:rsidRPr="001D49D4">
        <w:rPr>
          <w:rFonts w:ascii="Calibri" w:eastAsia="Calibri" w:hAnsi="Calibri" w:cs="Arial"/>
          <w:rtl/>
        </w:rPr>
        <w:t xml:space="preserve"> הוא זה - אינו נאמן. דקאמר מאן?... </w:t>
      </w:r>
      <w:r w:rsidRPr="001D49D4">
        <w:rPr>
          <w:rFonts w:ascii="Calibri" w:eastAsia="Calibri" w:hAnsi="Calibri" w:cs="Arial"/>
          <w:u w:val="single"/>
          <w:rtl/>
        </w:rPr>
        <w:t>רב אשי אמר</w:t>
      </w:r>
      <w:r w:rsidRPr="001D49D4">
        <w:rPr>
          <w:rFonts w:ascii="Calibri" w:eastAsia="Calibri" w:hAnsi="Calibri" w:cs="Arial"/>
          <w:rtl/>
        </w:rPr>
        <w:t xml:space="preserve">: לעולם דקאמרי עדים, ודאין כתב ידם יוצא ממקום אחר, ודקאמרת אמאי לא מהימני, כדרב כהנא, </w:t>
      </w:r>
      <w:r w:rsidRPr="001D49D4">
        <w:rPr>
          <w:rFonts w:ascii="Calibri" w:eastAsia="Calibri" w:hAnsi="Calibri" w:cs="Arial"/>
          <w:u w:val="single"/>
          <w:rtl/>
        </w:rPr>
        <w:t>דא"ר כהנא</w:t>
      </w:r>
      <w:r w:rsidRPr="001D49D4">
        <w:rPr>
          <w:rFonts w:ascii="Calibri" w:eastAsia="Calibri" w:hAnsi="Calibri" w:cs="Arial"/>
          <w:rtl/>
        </w:rPr>
        <w:t xml:space="preserve">: אסור לו לאדם שישהה שטר אמנה בתוך ביתו, משום שנאמר: אל תשכן באהליך עולה. </w:t>
      </w:r>
      <w:r w:rsidRPr="001D49D4">
        <w:rPr>
          <w:rFonts w:ascii="Calibri" w:eastAsia="Calibri" w:hAnsi="Calibri" w:cs="Arial"/>
          <w:sz w:val="14"/>
          <w:szCs w:val="14"/>
          <w:rtl/>
        </w:rPr>
        <w:t xml:space="preserve">(יט:) </w:t>
      </w:r>
      <w:r w:rsidRPr="001D49D4">
        <w:rPr>
          <w:rFonts w:ascii="Calibri" w:eastAsia="Calibri" w:hAnsi="Calibri" w:cs="Arial"/>
          <w:u w:val="single"/>
          <w:rtl/>
        </w:rPr>
        <w:t>ואמר רב ששת בריה דרב אידי</w:t>
      </w:r>
      <w:r w:rsidRPr="001D49D4">
        <w:rPr>
          <w:rFonts w:ascii="Calibri" w:eastAsia="Calibri" w:hAnsi="Calibri" w:cs="Arial"/>
          <w:rtl/>
        </w:rPr>
        <w:t>: ש"מ מדרב כהנא, עדים שאמרו אמנה היו דברינו - אין נאמנין. מאי טעמא? כיון דעולה הוא, אעולה לא חתמי</w:t>
      </w:r>
      <w:r w:rsidRPr="001D49D4">
        <w:rPr>
          <w:rFonts w:ascii="Calibri" w:eastAsia="Calibri" w:hAnsi="Calibri" w:cs="Arial"/>
          <w:vertAlign w:val="superscript"/>
          <w:rtl/>
        </w:rPr>
        <w:footnoteReference w:id="2978"/>
      </w:r>
      <w:r w:rsidRPr="001D49D4">
        <w:rPr>
          <w:rFonts w:ascii="Calibri" w:eastAsia="Calibri" w:hAnsi="Calibri" w:cs="Arial"/>
          <w:rtl/>
        </w:rPr>
        <w:t xml:space="preserve">. </w:t>
      </w:r>
      <w:r w:rsidRPr="001D49D4">
        <w:rPr>
          <w:rFonts w:ascii="Calibri" w:eastAsia="Calibri" w:hAnsi="Calibri" w:cs="Arial"/>
          <w:sz w:val="16"/>
          <w:szCs w:val="16"/>
          <w:rtl/>
        </w:rPr>
        <w:t>(וכתבו התוס' אעולה לא חתמי והא דכותבין שטר ללוה אע"פ שאין מלוה עמו היינו למוסרו ללוה ולא למלוה, וכן כתוב בהג"א (שם סי' י), ב"י)</w:t>
      </w:r>
    </w:p>
    <w:p w14:paraId="2586E4A8" w14:textId="77777777" w:rsidR="001D49D4" w:rsidRPr="001D49D4" w:rsidRDefault="001D49D4" w:rsidP="0004348D">
      <w:pPr>
        <w:spacing w:before="360" w:after="240"/>
        <w:rPr>
          <w:rFonts w:ascii="Calibri" w:eastAsia="Calibri" w:hAnsi="Calibri" w:cs="Arial"/>
          <w:u w:val="single"/>
          <w:rtl/>
        </w:rPr>
      </w:pPr>
      <w:r w:rsidRPr="001D49D4">
        <w:rPr>
          <w:rFonts w:ascii="Calibri" w:eastAsia="Calibri" w:hAnsi="Calibri" w:cs="Arial"/>
          <w:u w:val="single"/>
          <w:rtl/>
        </w:rPr>
        <w:t>כתיבת שטר ללוה אע"פ שאין המלוה עמו:</w:t>
      </w:r>
    </w:p>
    <w:p w14:paraId="42FED3D4" w14:textId="77777777" w:rsidR="001D49D4" w:rsidRPr="001D49D4" w:rsidRDefault="001D49D4" w:rsidP="0004348D">
      <w:pPr>
        <w:numPr>
          <w:ilvl w:val="0"/>
          <w:numId w:val="210"/>
        </w:numPr>
        <w:spacing w:before="360" w:after="240"/>
        <w:contextualSpacing/>
        <w:rPr>
          <w:rtl/>
        </w:rPr>
      </w:pPr>
      <w:r w:rsidRPr="001D49D4">
        <w:rPr>
          <w:rtl/>
        </w:rPr>
        <w:t>טור- כותבים שטר ללוה אע"פ שאין מלוה עמו, ובלבד שיכירו הלוה</w:t>
      </w:r>
      <w:r w:rsidRPr="001D49D4">
        <w:rPr>
          <w:vertAlign w:val="superscript"/>
          <w:rtl/>
        </w:rPr>
        <w:footnoteReference w:id="2979"/>
      </w:r>
      <w:r w:rsidRPr="001D49D4">
        <w:rPr>
          <w:rtl/>
        </w:rPr>
        <w:t>, כדאיתא לקמן בסימן מ"ט. כיצד, אמר 'קנו ממני שאני חייב לפלוני כך וכך וכתבו השטר ותנו אותו בידי' - הרי אלו כותבין ונותנים ללוה. ולא יזכה בו המלוה</w:t>
      </w:r>
      <w:r w:rsidRPr="001D49D4">
        <w:rPr>
          <w:vertAlign w:val="superscript"/>
          <w:rtl/>
        </w:rPr>
        <w:footnoteReference w:id="2980"/>
      </w:r>
      <w:r w:rsidRPr="001D49D4">
        <w:rPr>
          <w:rtl/>
        </w:rPr>
        <w:t xml:space="preserve"> עד שיצא מתחת יד הלוה, ואינם רשאין ליתנו למלוה</w:t>
      </w:r>
      <w:r w:rsidRPr="001D49D4">
        <w:rPr>
          <w:vertAlign w:val="superscript"/>
          <w:rtl/>
        </w:rPr>
        <w:footnoteReference w:id="2981"/>
      </w:r>
      <w:r w:rsidRPr="001D49D4">
        <w:rPr>
          <w:rtl/>
        </w:rPr>
        <w:t>. אבל כשיצוה שיתנוהו למלוה נשתעבדו לו נכסי הלוה משעת הקנין. ואם אמר 'קנו ממני שאני חייב לפלוני כך וכך' וכתבו לו שטר, או אפילו כתבו סתם</w:t>
      </w:r>
      <w:r w:rsidRPr="001D49D4">
        <w:rPr>
          <w:vertAlign w:val="superscript"/>
          <w:rtl/>
        </w:rPr>
        <w:footnoteReference w:id="2982"/>
      </w:r>
      <w:r w:rsidRPr="001D49D4">
        <w:rPr>
          <w:rtl/>
        </w:rPr>
        <w:t xml:space="preserve"> - הרי אלו כותבין ונותנין לו ואין נותנים אותו ליד הלוה. ואין כותבין שטר למלוה בלא לוה.</w:t>
      </w:r>
      <w:r w:rsidRPr="001D49D4">
        <w:rPr>
          <w:color w:val="00B0F0"/>
          <w:rtl/>
        </w:rPr>
        <w:t xml:space="preserve"> </w:t>
      </w:r>
      <w:r w:rsidRPr="001D49D4">
        <w:rPr>
          <w:color w:val="E36C0A" w:themeColor="accent6" w:themeShade="BF"/>
          <w:rtl/>
        </w:rPr>
        <w:t>(וכ"פ בשו"ע)</w:t>
      </w:r>
    </w:p>
    <w:p w14:paraId="45113AD7" w14:textId="77777777" w:rsidR="001D49D4" w:rsidRPr="001D49D4" w:rsidRDefault="001D49D4" w:rsidP="0004348D">
      <w:pPr>
        <w:spacing w:before="360" w:after="240"/>
        <w:ind w:left="360"/>
        <w:rPr>
          <w:rFonts w:ascii="Calibri" w:eastAsia="Calibri" w:hAnsi="Calibri" w:cs="Arial"/>
        </w:rPr>
      </w:pPr>
      <w:r w:rsidRPr="001D49D4">
        <w:rPr>
          <w:rFonts w:ascii="Calibri" w:eastAsia="Calibri" w:hAnsi="Calibri" w:cs="Arial"/>
          <w:u w:val="dotted"/>
          <w:rtl/>
        </w:rPr>
        <w:lastRenderedPageBreak/>
        <w:t>ומה הדין אם המלוה מוחה שלא יכתבו שטר שלא בפניו:</w:t>
      </w:r>
      <w:r w:rsidRPr="001D49D4">
        <w:rPr>
          <w:rFonts w:ascii="Calibri" w:eastAsia="Calibri" w:hAnsi="Calibri" w:cs="Arial"/>
          <w:rtl/>
        </w:rPr>
        <w:t xml:space="preserve">  </w:t>
      </w:r>
      <w:r w:rsidRPr="001D49D4">
        <w:rPr>
          <w:rFonts w:ascii="Calibri" w:eastAsia="Calibri" w:hAnsi="Calibri" w:cs="Arial"/>
          <w:sz w:val="16"/>
          <w:szCs w:val="16"/>
          <w:rtl/>
        </w:rPr>
        <w:t>(דרכ"מ אות י)</w:t>
      </w:r>
    </w:p>
    <w:p w14:paraId="410B273E" w14:textId="77777777" w:rsidR="001D49D4" w:rsidRPr="001D49D4" w:rsidRDefault="001D49D4" w:rsidP="0004348D">
      <w:pPr>
        <w:numPr>
          <w:ilvl w:val="0"/>
          <w:numId w:val="210"/>
        </w:numPr>
        <w:spacing w:before="360" w:after="240"/>
        <w:contextualSpacing/>
      </w:pPr>
      <w:r w:rsidRPr="001D49D4">
        <w:rPr>
          <w:rtl/>
        </w:rPr>
        <w:t xml:space="preserve">רשב"א </w:t>
      </w:r>
      <w:r w:rsidRPr="001D49D4">
        <w:rPr>
          <w:sz w:val="16"/>
          <w:szCs w:val="16"/>
          <w:rtl/>
        </w:rPr>
        <w:t>(ח"א סי' תתקמה)</w:t>
      </w:r>
      <w:r w:rsidRPr="001D49D4">
        <w:rPr>
          <w:rtl/>
        </w:rPr>
        <w:t xml:space="preserve">- אע"ג דכותבין שטר ללוה בלא מלוה, מכל מקום אם המלוה מוחה משום טענה שלא להשביע או כיוצא בזו - אין כותבין. </w:t>
      </w:r>
      <w:r w:rsidRPr="001D49D4">
        <w:rPr>
          <w:color w:val="00B0F0"/>
          <w:rtl/>
        </w:rPr>
        <w:t>(וכ"פ הרמ"א)</w:t>
      </w:r>
    </w:p>
    <w:p w14:paraId="63ED46E5"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u w:val="single"/>
          <w:rtl/>
        </w:rPr>
        <w:t>כתיבת שטר למלוה אע"פ שאין הלוה עמו – על מנת שישמרוהו אצלם ואם ילוה הלוה היום יקנו ממנו ויתנוהו לו:</w:t>
      </w:r>
      <w:r w:rsidRPr="001D49D4">
        <w:rPr>
          <w:rFonts w:ascii="Calibri" w:eastAsia="Calibri" w:hAnsi="Calibri" w:cs="Arial"/>
          <w:rtl/>
        </w:rPr>
        <w:t xml:space="preserve"> </w:t>
      </w:r>
    </w:p>
    <w:p w14:paraId="20C5A313" w14:textId="77777777" w:rsidR="001D49D4" w:rsidRPr="001D49D4" w:rsidRDefault="001D49D4" w:rsidP="0004348D">
      <w:pPr>
        <w:numPr>
          <w:ilvl w:val="0"/>
          <w:numId w:val="210"/>
        </w:numPr>
        <w:spacing w:before="360" w:after="240"/>
        <w:contextualSpacing/>
        <w:rPr>
          <w:rtl/>
        </w:rPr>
      </w:pPr>
      <w:r w:rsidRPr="001D49D4">
        <w:rPr>
          <w:rtl/>
        </w:rPr>
        <w:t>הה"מ</w:t>
      </w:r>
      <w:r w:rsidRPr="001D49D4">
        <w:rPr>
          <w:sz w:val="16"/>
          <w:szCs w:val="16"/>
          <w:rtl/>
        </w:rPr>
        <w:t xml:space="preserve"> (פכ"ג ממלוה ולוה ה"ה)</w:t>
      </w:r>
      <w:r w:rsidRPr="001D49D4">
        <w:rPr>
          <w:rtl/>
        </w:rPr>
        <w:t xml:space="preserve">- </w:t>
      </w:r>
      <w:r w:rsidRPr="001D49D4">
        <w:rPr>
          <w:vertAlign w:val="superscript"/>
          <w:rtl/>
        </w:rPr>
        <w:footnoteReference w:id="2983"/>
      </w:r>
      <w:r w:rsidRPr="001D49D4">
        <w:rPr>
          <w:rtl/>
        </w:rPr>
        <w:t>אם בא מלוה לעדים ואמר להם 'אני מלוה לפלוני מנה כתבו שטר ויהיה בידכם ואם יבא הלוה היום ויאמר לכם כי כן הוא האמת תקנו ממנו ותתנוהו לי ואם אין תקרעוהו' – אעפ"כ אין כותבין, לפי שבשעת כתיבה הוא שקר, ויש לחוש אולי מערים הוא</w:t>
      </w:r>
      <w:r w:rsidRPr="001D49D4">
        <w:rPr>
          <w:vertAlign w:val="superscript"/>
          <w:rtl/>
        </w:rPr>
        <w:footnoteReference w:id="2984"/>
      </w:r>
      <w:r w:rsidRPr="001D49D4">
        <w:rPr>
          <w:rtl/>
        </w:rPr>
        <w:t>.</w:t>
      </w:r>
      <w:r w:rsidRPr="001D49D4">
        <w:rPr>
          <w:color w:val="E36C0A" w:themeColor="accent6" w:themeShade="BF"/>
          <w:rtl/>
        </w:rPr>
        <w:t xml:space="preserve"> (וכ"פ בשו"ע)</w:t>
      </w:r>
    </w:p>
    <w:p w14:paraId="590DC83F"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b/>
          <w:bCs/>
          <w:rtl/>
        </w:rPr>
        <w:t xml:space="preserve">בבא מציעא </w:t>
      </w:r>
      <w:r w:rsidRPr="001D49D4">
        <w:rPr>
          <w:rFonts w:ascii="Calibri" w:eastAsia="Calibri" w:hAnsi="Calibri" w:cs="Arial"/>
          <w:b/>
          <w:bCs/>
          <w:sz w:val="16"/>
          <w:szCs w:val="16"/>
          <w:rtl/>
        </w:rPr>
        <w:t xml:space="preserve">(פ"ק) </w:t>
      </w:r>
      <w:r w:rsidRPr="001D49D4">
        <w:rPr>
          <w:rFonts w:ascii="Calibri" w:eastAsia="Calibri" w:hAnsi="Calibri" w:cs="Arial"/>
          <w:b/>
          <w:bCs/>
          <w:rtl/>
        </w:rPr>
        <w:t>יב</w:t>
      </w:r>
      <w:r w:rsidRPr="001D49D4">
        <w:rPr>
          <w:rFonts w:ascii="Calibri" w:eastAsia="Calibri" w:hAnsi="Calibri" w:cs="Arial"/>
          <w:b/>
          <w:bCs/>
          <w:vertAlign w:val="superscript"/>
          <w:rtl/>
        </w:rPr>
        <w:footnoteReference w:id="2985"/>
      </w:r>
      <w:r w:rsidRPr="001D49D4">
        <w:rPr>
          <w:rFonts w:ascii="Calibri" w:eastAsia="Calibri" w:hAnsi="Calibri" w:cs="Arial"/>
          <w:b/>
          <w:bCs/>
          <w:rtl/>
        </w:rPr>
        <w:t xml:space="preserve"> ע"ב: </w:t>
      </w:r>
      <w:r w:rsidRPr="001D49D4">
        <w:rPr>
          <w:rFonts w:ascii="Calibri" w:eastAsia="Calibri" w:hAnsi="Calibri" w:cs="Arial"/>
          <w:rtl/>
        </w:rPr>
        <w:t xml:space="preserve">אלא הא דתנן: כותבין שטר ללוה אף על פי שאין מלוה עמו, לכתחילה היכי כתבינהו? ניחוש שמא כתב ללות בניסן, ולא לוה עד תשרי, ואתי למטרף לקוחות שלא כדין! </w:t>
      </w:r>
      <w:r w:rsidRPr="001D49D4">
        <w:rPr>
          <w:rFonts w:ascii="Calibri" w:eastAsia="Calibri" w:hAnsi="Calibri" w:cs="Arial"/>
          <w:u w:val="single"/>
          <w:rtl/>
        </w:rPr>
        <w:t>אמר רב אסי:</w:t>
      </w:r>
      <w:r w:rsidRPr="001D49D4">
        <w:rPr>
          <w:rFonts w:ascii="Calibri" w:eastAsia="Calibri" w:hAnsi="Calibri" w:cs="Arial"/>
          <w:rtl/>
        </w:rPr>
        <w:t xml:space="preserve"> </w:t>
      </w:r>
      <w:r w:rsidRPr="001D49D4">
        <w:rPr>
          <w:rFonts w:ascii="Calibri" w:eastAsia="Calibri" w:hAnsi="Calibri" w:cs="Arial"/>
          <w:sz w:val="14"/>
          <w:szCs w:val="14"/>
          <w:rtl/>
        </w:rPr>
        <w:t xml:space="preserve">(יג.) </w:t>
      </w:r>
      <w:r w:rsidRPr="001D49D4">
        <w:rPr>
          <w:rFonts w:ascii="Calibri" w:eastAsia="Calibri" w:hAnsi="Calibri" w:cs="Arial"/>
          <w:rtl/>
        </w:rPr>
        <w:t xml:space="preserve">בשטרי הקנאה, דהא שעביד נפשיה... </w:t>
      </w:r>
      <w:r w:rsidRPr="001D49D4">
        <w:rPr>
          <w:rFonts w:ascii="Calibri" w:eastAsia="Calibri" w:hAnsi="Calibri" w:cs="Arial"/>
          <w:u w:val="single"/>
          <w:rtl/>
        </w:rPr>
        <w:t>אביי אמר</w:t>
      </w:r>
      <w:r w:rsidRPr="001D49D4">
        <w:rPr>
          <w:rFonts w:ascii="Calibri" w:eastAsia="Calibri" w:hAnsi="Calibri" w:cs="Arial"/>
          <w:rtl/>
        </w:rPr>
        <w:t>: עדיו בחתומיו זכין לו, ואפילו שטרי דלאו הקנאה... הני מילי היכא דקא מטו לידיה, אבל היכא דלא מטו לידיה - לא אמרינן</w:t>
      </w:r>
      <w:r w:rsidRPr="001D49D4">
        <w:rPr>
          <w:rFonts w:ascii="Calibri" w:eastAsia="Calibri" w:hAnsi="Calibri" w:cs="Arial"/>
          <w:vertAlign w:val="superscript"/>
          <w:rtl/>
        </w:rPr>
        <w:footnoteReference w:id="2986"/>
      </w:r>
      <w:r w:rsidRPr="001D49D4">
        <w:rPr>
          <w:rFonts w:ascii="Calibri" w:eastAsia="Calibri" w:hAnsi="Calibri" w:cs="Arial"/>
          <w:rtl/>
        </w:rPr>
        <w:t xml:space="preserve">.  </w:t>
      </w:r>
    </w:p>
    <w:p w14:paraId="00C80982" w14:textId="77777777" w:rsidR="001D49D4" w:rsidRPr="001D49D4" w:rsidRDefault="001D49D4" w:rsidP="0004348D">
      <w:pPr>
        <w:spacing w:before="360" w:after="240"/>
        <w:rPr>
          <w:rFonts w:ascii="Calibri" w:eastAsia="Calibri" w:hAnsi="Calibri" w:cs="Arial"/>
          <w:u w:val="single"/>
          <w:rtl/>
        </w:rPr>
      </w:pPr>
      <w:r w:rsidRPr="001D49D4">
        <w:rPr>
          <w:rFonts w:ascii="Calibri" w:eastAsia="Calibri" w:hAnsi="Calibri" w:cs="Arial"/>
          <w:u w:val="single"/>
          <w:rtl/>
        </w:rPr>
        <w:t>מה פירוש 'שטרי הקנאה' דאמר רב אסי:</w:t>
      </w:r>
    </w:p>
    <w:p w14:paraId="152173EE" w14:textId="77777777" w:rsidR="001D49D4" w:rsidRPr="001D49D4" w:rsidRDefault="001D49D4" w:rsidP="0004348D">
      <w:pPr>
        <w:numPr>
          <w:ilvl w:val="0"/>
          <w:numId w:val="210"/>
        </w:numPr>
        <w:spacing w:before="360" w:after="240"/>
        <w:contextualSpacing/>
        <w:rPr>
          <w:rtl/>
        </w:rPr>
      </w:pPr>
      <w:r w:rsidRPr="001D49D4">
        <w:rPr>
          <w:rtl/>
        </w:rPr>
        <w:t xml:space="preserve">רי"ף </w:t>
      </w:r>
      <w:r w:rsidRPr="001D49D4">
        <w:rPr>
          <w:sz w:val="16"/>
          <w:szCs w:val="16"/>
          <w:rtl/>
        </w:rPr>
        <w:t>(ו.)</w:t>
      </w:r>
      <w:r w:rsidRPr="001D49D4">
        <w:rPr>
          <w:rtl/>
        </w:rPr>
        <w:t xml:space="preserve"> (רש"י </w:t>
      </w:r>
      <w:r w:rsidRPr="001D49D4">
        <w:rPr>
          <w:sz w:val="16"/>
          <w:szCs w:val="16"/>
          <w:rtl/>
        </w:rPr>
        <w:t>להב' חלק מהמפרשים</w:t>
      </w:r>
      <w:r w:rsidRPr="001D49D4">
        <w:rPr>
          <w:vertAlign w:val="superscript"/>
          <w:rtl/>
        </w:rPr>
        <w:footnoteReference w:id="2987"/>
      </w:r>
      <w:r w:rsidRPr="001D49D4">
        <w:rPr>
          <w:rtl/>
        </w:rPr>
        <w:t xml:space="preserve">) ורמב"ם </w:t>
      </w:r>
      <w:r w:rsidRPr="001D49D4">
        <w:rPr>
          <w:sz w:val="16"/>
          <w:szCs w:val="16"/>
          <w:rtl/>
        </w:rPr>
        <w:t>(כ"כ הטור והב"י בשמו)</w:t>
      </w:r>
      <w:r w:rsidRPr="001D49D4">
        <w:rPr>
          <w:rtl/>
        </w:rPr>
        <w:t>- שטר שיש בו קנין, שמשעה שקנו מידו של לוה שיש בידו למלוה כך וכך - שעביד ליה נפשיה</w:t>
      </w:r>
      <w:r w:rsidRPr="001D49D4">
        <w:rPr>
          <w:vertAlign w:val="superscript"/>
          <w:rtl/>
        </w:rPr>
        <w:footnoteReference w:id="2988"/>
      </w:r>
      <w:r w:rsidRPr="001D49D4">
        <w:rPr>
          <w:sz w:val="16"/>
          <w:szCs w:val="16"/>
          <w:rtl/>
        </w:rPr>
        <w:t xml:space="preserve"> (ל' הרי"ף)</w:t>
      </w:r>
      <w:r w:rsidRPr="001D49D4">
        <w:rPr>
          <w:rtl/>
        </w:rPr>
        <w:t xml:space="preserve">. </w:t>
      </w:r>
    </w:p>
    <w:p w14:paraId="3F6931AD" w14:textId="77777777" w:rsidR="001D49D4" w:rsidRPr="001D49D4" w:rsidRDefault="001D49D4" w:rsidP="0004348D">
      <w:pPr>
        <w:numPr>
          <w:ilvl w:val="0"/>
          <w:numId w:val="210"/>
        </w:numPr>
        <w:spacing w:before="360" w:after="240"/>
        <w:contextualSpacing/>
        <w:rPr>
          <w:rtl/>
        </w:rPr>
      </w:pPr>
      <w:r w:rsidRPr="001D49D4">
        <w:rPr>
          <w:rtl/>
        </w:rPr>
        <w:t>(רש"י</w:t>
      </w:r>
      <w:r w:rsidRPr="001D49D4">
        <w:rPr>
          <w:sz w:val="16"/>
          <w:szCs w:val="16"/>
          <w:rtl/>
        </w:rPr>
        <w:t xml:space="preserve"> להב' הרא"ש</w:t>
      </w:r>
      <w:r w:rsidRPr="001D49D4">
        <w:rPr>
          <w:rtl/>
        </w:rPr>
        <w:t xml:space="preserve">) ורא"ש </w:t>
      </w:r>
      <w:r w:rsidRPr="001D49D4">
        <w:rPr>
          <w:sz w:val="16"/>
          <w:szCs w:val="16"/>
          <w:rtl/>
        </w:rPr>
        <w:t>(פ"ק דב"מ סי' לו)</w:t>
      </w:r>
      <w:r w:rsidRPr="001D49D4">
        <w:rPr>
          <w:rtl/>
        </w:rPr>
        <w:t xml:space="preserve">- </w:t>
      </w:r>
      <w:r w:rsidRPr="001D49D4">
        <w:rPr>
          <w:vertAlign w:val="superscript"/>
          <w:rtl/>
        </w:rPr>
        <w:footnoteReference w:id="2989"/>
      </w:r>
      <w:r w:rsidRPr="001D49D4">
        <w:rPr>
          <w:rtl/>
        </w:rPr>
        <w:t>שטר הקנאה שמקנה לו נכסיו בין ילוה בין לא ילוה יגבה מהם מאותו היום, ודבר תימה הוא שאדם ישתעבד נכסיו קודם הלואה ומחמת זה הקול יוצא משעת כתיבה</w:t>
      </w:r>
      <w:r w:rsidRPr="001D49D4">
        <w:rPr>
          <w:sz w:val="16"/>
          <w:szCs w:val="16"/>
          <w:rtl/>
        </w:rPr>
        <w:t xml:space="preserve"> (ל' הרא"ש)</w:t>
      </w:r>
      <w:r w:rsidRPr="001D49D4">
        <w:rPr>
          <w:rtl/>
        </w:rPr>
        <w:t xml:space="preserve">. </w:t>
      </w:r>
    </w:p>
    <w:p w14:paraId="41A39260"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u w:val="single"/>
          <w:rtl/>
        </w:rPr>
        <w:t>כתיבת שטר ללוה אע"פ שאין מלוה עמו</w:t>
      </w:r>
      <w:r w:rsidRPr="001D49D4">
        <w:rPr>
          <w:rFonts w:ascii="Calibri" w:eastAsia="Calibri" w:hAnsi="Calibri" w:cs="Arial"/>
          <w:rtl/>
        </w:rPr>
        <w:t>:</w:t>
      </w:r>
    </w:p>
    <w:p w14:paraId="3B334AD6" w14:textId="77777777" w:rsidR="001D49D4" w:rsidRPr="001D49D4" w:rsidRDefault="001D49D4" w:rsidP="0004348D">
      <w:pPr>
        <w:numPr>
          <w:ilvl w:val="0"/>
          <w:numId w:val="210"/>
        </w:numPr>
        <w:spacing w:before="360" w:after="240"/>
        <w:contextualSpacing/>
        <w:rPr>
          <w:rtl/>
        </w:rPr>
      </w:pPr>
      <w:r w:rsidRPr="001D49D4">
        <w:rPr>
          <w:rtl/>
        </w:rPr>
        <w:t xml:space="preserve">רי"ף </w:t>
      </w:r>
      <w:r w:rsidRPr="001D49D4">
        <w:rPr>
          <w:sz w:val="16"/>
          <w:szCs w:val="16"/>
          <w:rtl/>
        </w:rPr>
        <w:t>(ו., כ"כ הטור בשמו)</w:t>
      </w:r>
      <w:r w:rsidRPr="001D49D4">
        <w:rPr>
          <w:rtl/>
        </w:rPr>
        <w:t xml:space="preserve"> ורמב"ם </w:t>
      </w:r>
      <w:r w:rsidRPr="001D49D4">
        <w:rPr>
          <w:sz w:val="16"/>
          <w:szCs w:val="16"/>
          <w:rtl/>
        </w:rPr>
        <w:t>(פכ"ג ממלוה ולוה ה"ה)</w:t>
      </w:r>
      <w:r w:rsidRPr="001D49D4">
        <w:rPr>
          <w:rtl/>
        </w:rPr>
        <w:t>- כותבין שטר ללוה אע"פ שאין המלוה עמו ואין כותבין למלוה עד שיהיה לוה עמו. בד"א בשטר שיש בו  קנין, שהרי משעה שקנו מידו נשתעבדו נכסיו, אבל שטר שאין בו קנין - אין כותבין אפילו ללוה עד שיהיה מלוה עמו ויתן השטר ביד המלוה בפנינו</w:t>
      </w:r>
      <w:r w:rsidRPr="001D49D4">
        <w:rPr>
          <w:vertAlign w:val="superscript"/>
          <w:rtl/>
        </w:rPr>
        <w:footnoteReference w:id="2990"/>
      </w:r>
      <w:r w:rsidRPr="001D49D4">
        <w:rPr>
          <w:rtl/>
        </w:rPr>
        <w:t>, שמא יכתוב עתה ללוות ממנו בניסן ולא ילוה ממנו עד תשרי ונמצא המלוה טורף בשטר זה מניסן שלא כדין שלא הגיע לידו עד תשרי</w:t>
      </w:r>
      <w:r w:rsidRPr="001D49D4">
        <w:rPr>
          <w:sz w:val="16"/>
          <w:szCs w:val="16"/>
          <w:rtl/>
        </w:rPr>
        <w:t xml:space="preserve"> (ל' הרמב"ם)</w:t>
      </w:r>
      <w:r w:rsidRPr="001D49D4">
        <w:rPr>
          <w:rtl/>
        </w:rPr>
        <w:t xml:space="preserve">. </w:t>
      </w:r>
      <w:r w:rsidRPr="001D49D4">
        <w:rPr>
          <w:color w:val="E36C0A" w:themeColor="accent6" w:themeShade="BF"/>
          <w:rtl/>
        </w:rPr>
        <w:t>(וכ"פ בשו"ע)</w:t>
      </w:r>
    </w:p>
    <w:p w14:paraId="39CAC50A" w14:textId="77777777" w:rsidR="001D49D4" w:rsidRPr="001D49D4" w:rsidRDefault="001D49D4" w:rsidP="0004348D">
      <w:pPr>
        <w:numPr>
          <w:ilvl w:val="0"/>
          <w:numId w:val="210"/>
        </w:numPr>
        <w:spacing w:before="360" w:after="240"/>
        <w:contextualSpacing/>
        <w:rPr>
          <w:rtl/>
        </w:rPr>
      </w:pPr>
      <w:r w:rsidRPr="001D49D4">
        <w:rPr>
          <w:rtl/>
        </w:rPr>
        <w:t>ר"י</w:t>
      </w:r>
      <w:r w:rsidRPr="001D49D4">
        <w:rPr>
          <w:sz w:val="16"/>
          <w:szCs w:val="16"/>
          <w:rtl/>
        </w:rPr>
        <w:t xml:space="preserve"> (תוס' כתובות צד: ד"ה כתב) </w:t>
      </w:r>
      <w:r w:rsidRPr="001D49D4">
        <w:rPr>
          <w:rtl/>
        </w:rPr>
        <w:t xml:space="preserve">ורא"ש </w:t>
      </w:r>
      <w:r w:rsidRPr="001D49D4">
        <w:rPr>
          <w:sz w:val="16"/>
          <w:szCs w:val="16"/>
          <w:rtl/>
        </w:rPr>
        <w:t>(ספ"ק דמציעא סי' מט)</w:t>
      </w:r>
      <w:r w:rsidRPr="001D49D4">
        <w:rPr>
          <w:rtl/>
        </w:rPr>
        <w:t xml:space="preserve">- הלכה כאביי, לפיכך כותבין כל שטר ללוה אע"פ שאין מלוה עמו ואפילו אין בו קנין, דמשעה שיגיע השטר לידו יזכה למפרע משעה שנחתם בין שהוא שטר הלואה בין שהוא שטר מכר זכה בקרקע למפרע, אפילו אם מכרו המוכר או נתנו לאחר </w:t>
      </w:r>
      <w:r w:rsidRPr="001D49D4">
        <w:rPr>
          <w:sz w:val="16"/>
          <w:szCs w:val="16"/>
          <w:rtl/>
        </w:rPr>
        <w:t>{בשטר אחר}</w:t>
      </w:r>
      <w:r w:rsidRPr="001D49D4">
        <w:rPr>
          <w:rtl/>
        </w:rPr>
        <w:t xml:space="preserve"> אח"כ קודם שמסרו לראשון – קנאו</w:t>
      </w:r>
      <w:r w:rsidRPr="001D49D4">
        <w:rPr>
          <w:sz w:val="16"/>
          <w:szCs w:val="16"/>
          <w:rtl/>
        </w:rPr>
        <w:t xml:space="preserve"> {הראשון כשהגיע לידיו השטר הראשון}</w:t>
      </w:r>
      <w:r w:rsidRPr="001D49D4">
        <w:rPr>
          <w:rtl/>
        </w:rPr>
        <w:t xml:space="preserve">. ודוקא שניכר מזמן שכתוב בו שקדם למעשה שנעשה אחריו, כגון שהיה בב' ימים, אבל בשני שטרות שנכתבו ביום אחד ומסר האחרון תחילה - קנה אותו שנמסר לו </w:t>
      </w:r>
      <w:r w:rsidRPr="001D49D4">
        <w:rPr>
          <w:rtl/>
        </w:rPr>
        <w:lastRenderedPageBreak/>
        <w:t>תחילה</w:t>
      </w:r>
      <w:r w:rsidRPr="001D49D4">
        <w:rPr>
          <w:vertAlign w:val="superscript"/>
          <w:rtl/>
        </w:rPr>
        <w:footnoteReference w:id="2991"/>
      </w:r>
      <w:r w:rsidRPr="001D49D4">
        <w:rPr>
          <w:rtl/>
        </w:rPr>
        <w:t xml:space="preserve">. ואפילו בשניכר מזמן הכתוב בו דוקא שבא לידו לבסוף אז קנה משעת חתימה, אבל לא הגיע לידו לא קנה. ומיהו דוקא בדבר שצריך מקבל השטר לזכות ע"י השטר דבר שלא היה בא לידו, כגון שטר הלואה שזוכה בנכסי הלוה ע"י השטר, אבל כשזוכה ע"י השטר דבר שהיה בידו, כגון שמחל לו על מה שהיה חייב לו - זכה למפרע משעת חתימה אפילו אם לא יגיע השטר לידו לעולם </w:t>
      </w:r>
      <w:r w:rsidRPr="001D49D4">
        <w:rPr>
          <w:sz w:val="16"/>
          <w:szCs w:val="16"/>
          <w:rtl/>
        </w:rPr>
        <w:t>(ל' הטור)</w:t>
      </w:r>
      <w:r w:rsidRPr="001D49D4">
        <w:rPr>
          <w:rtl/>
        </w:rPr>
        <w:t>.</w:t>
      </w:r>
    </w:p>
    <w:p w14:paraId="32F5ED8C" w14:textId="77777777" w:rsidR="001D49D4" w:rsidRPr="001D49D4" w:rsidRDefault="001D49D4" w:rsidP="0004348D">
      <w:pPr>
        <w:spacing w:before="360" w:after="240"/>
        <w:ind w:left="360"/>
        <w:rPr>
          <w:rFonts w:ascii="Calibri" w:eastAsia="Calibri" w:hAnsi="Calibri" w:cs="Arial"/>
        </w:rPr>
      </w:pPr>
      <w:r w:rsidRPr="001D49D4">
        <w:rPr>
          <w:rFonts w:ascii="Calibri" w:eastAsia="Calibri" w:hAnsi="Calibri" w:cs="Arial"/>
          <w:u w:val="dotted"/>
          <w:rtl/>
        </w:rPr>
        <w:t xml:space="preserve">לפוסקים כרב אסי </w:t>
      </w:r>
      <w:r w:rsidRPr="001D49D4">
        <w:rPr>
          <w:rFonts w:ascii="Calibri" w:eastAsia="Calibri" w:hAnsi="Calibri" w:cs="Arial"/>
          <w:sz w:val="16"/>
          <w:szCs w:val="16"/>
          <w:u w:val="dotted"/>
          <w:rtl/>
        </w:rPr>
        <w:t>(רי"ף וסיעתו)</w:t>
      </w:r>
      <w:r w:rsidRPr="001D49D4">
        <w:rPr>
          <w:rFonts w:ascii="Calibri" w:eastAsia="Calibri" w:hAnsi="Calibri" w:cs="Arial"/>
          <w:u w:val="dotted"/>
          <w:rtl/>
        </w:rPr>
        <w:t xml:space="preserve"> – מה הדין היכא דלא מטי השטר ליד המלוה:</w:t>
      </w:r>
    </w:p>
    <w:p w14:paraId="1FA6D054" w14:textId="77777777" w:rsidR="001D49D4" w:rsidRPr="001D49D4" w:rsidRDefault="001D49D4" w:rsidP="0004348D">
      <w:pPr>
        <w:numPr>
          <w:ilvl w:val="0"/>
          <w:numId w:val="210"/>
        </w:numPr>
        <w:spacing w:before="360" w:after="240"/>
        <w:contextualSpacing/>
      </w:pPr>
      <w:r w:rsidRPr="001D49D4">
        <w:rPr>
          <w:rtl/>
        </w:rPr>
        <w:t xml:space="preserve">ר"ח </w:t>
      </w:r>
      <w:r w:rsidRPr="001D49D4">
        <w:rPr>
          <w:sz w:val="16"/>
          <w:szCs w:val="16"/>
          <w:rtl/>
        </w:rPr>
        <w:t xml:space="preserve">(גליון יג.) </w:t>
      </w:r>
      <w:r w:rsidRPr="001D49D4">
        <w:rPr>
          <w:rtl/>
        </w:rPr>
        <w:t xml:space="preserve">ורי"ף </w:t>
      </w:r>
      <w:r w:rsidRPr="001D49D4">
        <w:rPr>
          <w:sz w:val="16"/>
          <w:szCs w:val="16"/>
          <w:rtl/>
        </w:rPr>
        <w:t>(בתשו' ח"א סי' קפג, ח"ב סי' קעב)</w:t>
      </w:r>
      <w:r w:rsidRPr="001D49D4">
        <w:rPr>
          <w:rtl/>
        </w:rPr>
        <w:t>- הא דאמרינן בשטרי הקנאה דמשעת קנין שעביד נפשיה הני מילי היכא דמטא שטרא לידיה אבל אי לא מטא שטרא לידיה לא</w:t>
      </w:r>
      <w:r w:rsidRPr="001D49D4">
        <w:rPr>
          <w:sz w:val="16"/>
          <w:szCs w:val="16"/>
          <w:rtl/>
        </w:rPr>
        <w:t xml:space="preserve"> (ל' הב"י בשם ר"ח)</w:t>
      </w:r>
      <w:r w:rsidRPr="001D49D4">
        <w:rPr>
          <w:vertAlign w:val="superscript"/>
          <w:rtl/>
        </w:rPr>
        <w:footnoteReference w:id="2992"/>
      </w:r>
      <w:r w:rsidRPr="001D49D4">
        <w:rPr>
          <w:rtl/>
        </w:rPr>
        <w:t xml:space="preserve">. </w:t>
      </w:r>
    </w:p>
    <w:p w14:paraId="5D92F065" w14:textId="77777777" w:rsidR="001D49D4" w:rsidRPr="001D49D4" w:rsidRDefault="001D49D4" w:rsidP="0004348D">
      <w:pPr>
        <w:numPr>
          <w:ilvl w:val="0"/>
          <w:numId w:val="210"/>
        </w:numPr>
        <w:spacing w:before="360" w:after="240"/>
        <w:contextualSpacing/>
      </w:pPr>
      <w:r w:rsidRPr="001D49D4">
        <w:rPr>
          <w:rtl/>
        </w:rPr>
        <w:t>רש"י ר"י מגא"ש רמב"ם רמב"ן רשב"א וריטב"א</w:t>
      </w:r>
      <w:r w:rsidRPr="001D49D4">
        <w:rPr>
          <w:vertAlign w:val="superscript"/>
          <w:rtl/>
        </w:rPr>
        <w:footnoteReference w:id="2993"/>
      </w:r>
      <w:r w:rsidRPr="001D49D4">
        <w:rPr>
          <w:rtl/>
        </w:rPr>
        <w:t>- הא דאמרינן בשטרי הקנאה דמשעת קנין שעביד נפשיה הוא אע"ג דלא מטא שטרא לידיה</w:t>
      </w:r>
      <w:r w:rsidRPr="001D49D4">
        <w:rPr>
          <w:vertAlign w:val="superscript"/>
          <w:rtl/>
        </w:rPr>
        <w:footnoteReference w:id="2994"/>
      </w:r>
      <w:r w:rsidRPr="001D49D4">
        <w:rPr>
          <w:rtl/>
        </w:rPr>
        <w:t>.</w:t>
      </w:r>
    </w:p>
    <w:p w14:paraId="691D3046" w14:textId="77777777" w:rsidR="001D49D4" w:rsidRPr="001D49D4" w:rsidRDefault="001D49D4" w:rsidP="0004348D">
      <w:pPr>
        <w:numPr>
          <w:ilvl w:val="1"/>
          <w:numId w:val="210"/>
        </w:numPr>
        <w:spacing w:before="360" w:after="240"/>
        <w:contextualSpacing/>
        <w:rPr>
          <w:rtl/>
        </w:rPr>
      </w:pPr>
      <w:r w:rsidRPr="001D49D4">
        <w:rPr>
          <w:rtl/>
        </w:rPr>
        <w:t>ב"י- כדבריהם</w:t>
      </w:r>
      <w:r w:rsidRPr="001D49D4">
        <w:rPr>
          <w:sz w:val="16"/>
          <w:szCs w:val="16"/>
          <w:rtl/>
        </w:rPr>
        <w:t xml:space="preserve"> {של רש"י רי מגא"ש וסיעתם}</w:t>
      </w:r>
      <w:r w:rsidRPr="001D49D4">
        <w:rPr>
          <w:rtl/>
        </w:rPr>
        <w:t xml:space="preserve"> סתם דבריו רבינו בסימן ס"ה </w:t>
      </w:r>
      <w:r w:rsidRPr="001D49D4">
        <w:rPr>
          <w:sz w:val="16"/>
          <w:szCs w:val="16"/>
          <w:rtl/>
        </w:rPr>
        <w:t>(סט"ז-יז)</w:t>
      </w:r>
      <w:r w:rsidRPr="001D49D4">
        <w:rPr>
          <w:rtl/>
        </w:rPr>
        <w:t xml:space="preserve"> והכי נקטינן דהוה להו רבינו חננאל ורי"ף יחידאי לגבי כל הני רבוותא. </w:t>
      </w:r>
    </w:p>
    <w:p w14:paraId="1FD1E89D" w14:textId="77777777" w:rsidR="001D49D4" w:rsidRPr="001D49D4" w:rsidRDefault="001D49D4" w:rsidP="0004348D">
      <w:pPr>
        <w:spacing w:before="360" w:after="240"/>
        <w:ind w:left="360"/>
        <w:rPr>
          <w:rFonts w:ascii="Calibri" w:eastAsia="Calibri" w:hAnsi="Calibri" w:cs="Arial"/>
          <w:u w:val="dotted"/>
          <w:rtl/>
        </w:rPr>
      </w:pPr>
      <w:r w:rsidRPr="001D49D4">
        <w:rPr>
          <w:rFonts w:ascii="Calibri" w:eastAsia="Calibri" w:hAnsi="Calibri" w:cs="Arial"/>
          <w:u w:val="dotted"/>
          <w:rtl/>
        </w:rPr>
        <w:t xml:space="preserve">לפוסקים כרב אסי </w:t>
      </w:r>
      <w:r w:rsidRPr="001D49D4">
        <w:rPr>
          <w:rFonts w:ascii="Calibri" w:eastAsia="Calibri" w:hAnsi="Calibri" w:cs="Arial"/>
          <w:sz w:val="16"/>
          <w:szCs w:val="16"/>
          <w:u w:val="dotted"/>
          <w:rtl/>
        </w:rPr>
        <w:t>(רי"ף וסיעתו)</w:t>
      </w:r>
      <w:r w:rsidRPr="001D49D4">
        <w:rPr>
          <w:rFonts w:ascii="Calibri" w:eastAsia="Calibri" w:hAnsi="Calibri" w:cs="Arial"/>
          <w:u w:val="dotted"/>
          <w:rtl/>
        </w:rPr>
        <w:t xml:space="preserve"> – מה הדין אם זכו העדים למלוה והם שומרים את השטר בשביל המלוה:</w:t>
      </w:r>
    </w:p>
    <w:p w14:paraId="52D59A30" w14:textId="77777777" w:rsidR="001D49D4" w:rsidRPr="001D49D4" w:rsidRDefault="001D49D4" w:rsidP="0004348D">
      <w:pPr>
        <w:numPr>
          <w:ilvl w:val="0"/>
          <w:numId w:val="211"/>
        </w:numPr>
        <w:spacing w:before="360" w:after="240"/>
        <w:contextualSpacing/>
        <w:rPr>
          <w:rtl/>
        </w:rPr>
      </w:pPr>
      <w:r w:rsidRPr="001D49D4">
        <w:rPr>
          <w:rtl/>
        </w:rPr>
        <w:t xml:space="preserve">נמוק"י </w:t>
      </w:r>
      <w:r w:rsidRPr="001D49D4">
        <w:rPr>
          <w:sz w:val="16"/>
          <w:szCs w:val="16"/>
          <w:rtl/>
        </w:rPr>
        <w:t>(ו:)</w:t>
      </w:r>
      <w:r w:rsidRPr="001D49D4">
        <w:rPr>
          <w:rtl/>
        </w:rPr>
        <w:t xml:space="preserve"> בשם הר"ן- אפילו בשטרי דלאו אקנייתא</w:t>
      </w:r>
      <w:r w:rsidRPr="001D49D4">
        <w:rPr>
          <w:sz w:val="16"/>
          <w:szCs w:val="16"/>
          <w:rtl/>
        </w:rPr>
        <w:t xml:space="preserve"> {אפילו לרי"ף והרמב"ם, ב"י}</w:t>
      </w:r>
      <w:r w:rsidRPr="001D49D4">
        <w:rPr>
          <w:rtl/>
        </w:rPr>
        <w:t xml:space="preserve"> כותבין שטר ללוה אע"פ שאין מלוה עמו ובלבד שיזכו עדים למלוה ושיעמוד השטר בידם מאותה שעה ואילך בשביל המלוה. דבכה"ג הרי מלוה עמו, דזכין לאדם שלא בפניו, ולא באנו למעט בשטרי דלאו אקנייתא אלא שלא יכתבו שטר ללוה ויתנוהו לו או שיעמיד בידן של עדים בעדו</w:t>
      </w:r>
      <w:r w:rsidRPr="001D49D4">
        <w:rPr>
          <w:sz w:val="16"/>
          <w:szCs w:val="16"/>
          <w:rtl/>
        </w:rPr>
        <w:t xml:space="preserve"> (ל' הנמוק"י בשם הר"ן)</w:t>
      </w:r>
      <w:r w:rsidRPr="001D49D4">
        <w:rPr>
          <w:rtl/>
        </w:rPr>
        <w:t>. (וכ"כ הדרכ"מ</w:t>
      </w:r>
      <w:r w:rsidRPr="001D49D4">
        <w:rPr>
          <w:sz w:val="16"/>
          <w:szCs w:val="16"/>
          <w:rtl/>
        </w:rPr>
        <w:t xml:space="preserve"> [סע' כג]</w:t>
      </w:r>
      <w:r w:rsidRPr="001D49D4">
        <w:rPr>
          <w:rtl/>
        </w:rPr>
        <w:t xml:space="preserve"> סמ"ע </w:t>
      </w:r>
      <w:r w:rsidRPr="001D49D4">
        <w:rPr>
          <w:sz w:val="16"/>
          <w:szCs w:val="16"/>
          <w:rtl/>
        </w:rPr>
        <w:t xml:space="preserve">[סק"מ] </w:t>
      </w:r>
      <w:r w:rsidRPr="001D49D4">
        <w:rPr>
          <w:rtl/>
        </w:rPr>
        <w:t xml:space="preserve">וש"ך </w:t>
      </w:r>
      <w:r w:rsidRPr="001D49D4">
        <w:rPr>
          <w:sz w:val="16"/>
          <w:szCs w:val="16"/>
          <w:rtl/>
        </w:rPr>
        <w:t>[סקמ"א]</w:t>
      </w:r>
      <w:r w:rsidRPr="001D49D4">
        <w:rPr>
          <w:rtl/>
        </w:rPr>
        <w:t>).</w:t>
      </w:r>
    </w:p>
    <w:p w14:paraId="67890465" w14:textId="77777777" w:rsidR="001D49D4" w:rsidRPr="001D49D4" w:rsidRDefault="001D49D4" w:rsidP="0004348D">
      <w:pPr>
        <w:spacing w:before="360" w:after="240"/>
        <w:rPr>
          <w:rFonts w:ascii="Calibri" w:eastAsia="Calibri" w:hAnsi="Calibri" w:cs="Arial"/>
          <w:u w:val="single"/>
          <w:rtl/>
        </w:rPr>
      </w:pPr>
      <w:r w:rsidRPr="001D49D4">
        <w:rPr>
          <w:rFonts w:ascii="Calibri" w:eastAsia="Calibri" w:hAnsi="Calibri" w:cs="Arial"/>
          <w:u w:val="single"/>
          <w:rtl/>
        </w:rPr>
        <w:t>כתיבת שטר ללוה אע"פ שאין מלוה עמו בשטרי דלאו אקנייתא – ומפרש לוה שלכשילוה ישתעבד מעכשיו:</w:t>
      </w:r>
    </w:p>
    <w:p w14:paraId="0E7A722F" w14:textId="77777777" w:rsidR="001D49D4" w:rsidRPr="001D49D4" w:rsidRDefault="001D49D4" w:rsidP="0004348D">
      <w:pPr>
        <w:numPr>
          <w:ilvl w:val="0"/>
          <w:numId w:val="210"/>
        </w:numPr>
        <w:spacing w:before="360" w:after="240"/>
        <w:contextualSpacing/>
        <w:rPr>
          <w:rtl/>
        </w:rPr>
      </w:pPr>
      <w:r w:rsidRPr="001D49D4">
        <w:rPr>
          <w:rtl/>
        </w:rPr>
        <w:t xml:space="preserve">ר"ן </w:t>
      </w:r>
      <w:r w:rsidRPr="001D49D4">
        <w:rPr>
          <w:sz w:val="16"/>
          <w:szCs w:val="16"/>
          <w:rtl/>
        </w:rPr>
        <w:t>(כתובות [יט סוע"א] ו: מדפה"ר ד"ה ונ"ל דהתם)</w:t>
      </w:r>
      <w:r w:rsidRPr="001D49D4">
        <w:rPr>
          <w:rtl/>
        </w:rPr>
        <w:t xml:space="preserve"> ונמוק"י </w:t>
      </w:r>
      <w:r w:rsidRPr="001D49D4">
        <w:rPr>
          <w:sz w:val="16"/>
          <w:szCs w:val="16"/>
          <w:rtl/>
        </w:rPr>
        <w:t>(פ"ק דמציעא יא.)</w:t>
      </w:r>
      <w:r w:rsidRPr="001D49D4">
        <w:rPr>
          <w:rtl/>
        </w:rPr>
        <w:t>- כל שמפרש לוה לכשילוה ישתעבד מעכשיו כותבין אפילו בשטרי דלאו אקנייתא ואפילו אין מלוה עמו</w:t>
      </w:r>
      <w:r w:rsidRPr="001D49D4">
        <w:rPr>
          <w:sz w:val="16"/>
          <w:szCs w:val="16"/>
          <w:rtl/>
        </w:rPr>
        <w:t xml:space="preserve"> (ל' הר"ן)</w:t>
      </w:r>
      <w:r w:rsidRPr="001D49D4">
        <w:rPr>
          <w:rtl/>
        </w:rPr>
        <w:t xml:space="preserve">. </w:t>
      </w:r>
      <w:r w:rsidRPr="001D49D4">
        <w:rPr>
          <w:color w:val="00B0F0"/>
          <w:rtl/>
        </w:rPr>
        <w:t>(וכ"פ הרמ"א)</w:t>
      </w:r>
    </w:p>
    <w:p w14:paraId="0A7B203D" w14:textId="77777777" w:rsidR="001D49D4" w:rsidRPr="001D49D4" w:rsidRDefault="001D49D4" w:rsidP="0004348D">
      <w:pPr>
        <w:spacing w:before="360" w:after="240"/>
        <w:rPr>
          <w:rFonts w:ascii="Calibri" w:eastAsia="Calibri" w:hAnsi="Calibri" w:cs="Arial"/>
          <w:u w:val="single"/>
          <w:rtl/>
        </w:rPr>
      </w:pPr>
      <w:r w:rsidRPr="001D49D4">
        <w:rPr>
          <w:rFonts w:ascii="Calibri" w:eastAsia="Calibri" w:hAnsi="Calibri" w:cs="Arial"/>
          <w:u w:val="single"/>
          <w:rtl/>
        </w:rPr>
        <w:t>כתיבת שטר ללוה אע"פ שאין מלוה עמו בשטרי אקנייתא – כשלא העיד על עצמו שקיבל המעות:</w:t>
      </w:r>
      <w:r w:rsidRPr="001D49D4">
        <w:rPr>
          <w:rFonts w:ascii="Calibri" w:eastAsia="Calibri" w:hAnsi="Calibri" w:cs="Arial"/>
          <w:rtl/>
        </w:rPr>
        <w:t xml:space="preserve"> </w:t>
      </w:r>
    </w:p>
    <w:p w14:paraId="30906940" w14:textId="77777777" w:rsidR="001D49D4" w:rsidRPr="001D49D4" w:rsidRDefault="001D49D4" w:rsidP="0004348D">
      <w:pPr>
        <w:numPr>
          <w:ilvl w:val="0"/>
          <w:numId w:val="210"/>
        </w:numPr>
        <w:spacing w:before="360" w:after="240"/>
        <w:contextualSpacing/>
      </w:pPr>
      <w:r w:rsidRPr="001D49D4">
        <w:rPr>
          <w:rtl/>
        </w:rPr>
        <w:t xml:space="preserve">ר"י מיגאש </w:t>
      </w:r>
      <w:r w:rsidRPr="001D49D4">
        <w:rPr>
          <w:sz w:val="16"/>
          <w:szCs w:val="16"/>
          <w:rtl/>
        </w:rPr>
        <w:t>(ב"ב קסח. ד"ה כותבין שטר ללוה)</w:t>
      </w:r>
      <w:r w:rsidRPr="001D49D4">
        <w:rPr>
          <w:rtl/>
        </w:rPr>
        <w:t>- הא דכותבין שטר ללוה אע"פ שאין מלוה עמו היינו דוקא כשהעיד על עצמו שכבר קבל המעות, אבל אם לא העיד על עצמו אין העדים רשאים לכתוב ולחתום אלא מדעת שניהם</w:t>
      </w:r>
      <w:r w:rsidRPr="001D49D4">
        <w:rPr>
          <w:vertAlign w:val="superscript"/>
          <w:rtl/>
        </w:rPr>
        <w:footnoteReference w:id="2995"/>
      </w:r>
      <w:r w:rsidRPr="001D49D4">
        <w:rPr>
          <w:rtl/>
        </w:rPr>
        <w:t xml:space="preserve">. </w:t>
      </w:r>
    </w:p>
    <w:p w14:paraId="2F2292B8" w14:textId="77777777" w:rsidR="001D49D4" w:rsidRPr="001D49D4" w:rsidRDefault="001D49D4" w:rsidP="0004348D">
      <w:pPr>
        <w:numPr>
          <w:ilvl w:val="0"/>
          <w:numId w:val="210"/>
        </w:numPr>
        <w:spacing w:before="360" w:after="240"/>
        <w:contextualSpacing/>
      </w:pPr>
      <w:r w:rsidRPr="001D49D4">
        <w:rPr>
          <w:rtl/>
        </w:rPr>
        <w:t xml:space="preserve">רמב"ן </w:t>
      </w:r>
      <w:r w:rsidRPr="001D49D4">
        <w:rPr>
          <w:sz w:val="16"/>
          <w:szCs w:val="16"/>
          <w:rtl/>
        </w:rPr>
        <w:t xml:space="preserve">(שם קסז: ד"ה כותבין) </w:t>
      </w:r>
      <w:r w:rsidRPr="001D49D4">
        <w:rPr>
          <w:rtl/>
        </w:rPr>
        <w:t xml:space="preserve">ובעל התרומות </w:t>
      </w:r>
      <w:r w:rsidRPr="001D49D4">
        <w:rPr>
          <w:sz w:val="16"/>
          <w:szCs w:val="16"/>
          <w:rtl/>
        </w:rPr>
        <w:t>(שער מח ח"א סי' א)</w:t>
      </w:r>
      <w:r w:rsidRPr="001D49D4">
        <w:rPr>
          <w:rtl/>
        </w:rPr>
        <w:t>- כללו של דבר, בשטרי אקנייתא - כתבינן בין במקח בין בהלואה אע"פ שלא הודה שקבל המעות</w:t>
      </w:r>
      <w:r w:rsidRPr="001D49D4">
        <w:rPr>
          <w:vertAlign w:val="superscript"/>
          <w:rtl/>
        </w:rPr>
        <w:footnoteReference w:id="2996"/>
      </w:r>
      <w:r w:rsidRPr="001D49D4">
        <w:rPr>
          <w:rtl/>
        </w:rPr>
        <w:t xml:space="preserve">, ובשטרי דלאו אקנייתא - אפילו מסר מעות ללוה בפנינו אין כותבין אא"כ מלוה עמו וימסור לו השטר מיד בפנינו... </w:t>
      </w:r>
      <w:r w:rsidRPr="001D49D4">
        <w:rPr>
          <w:sz w:val="16"/>
          <w:szCs w:val="16"/>
          <w:rtl/>
        </w:rPr>
        <w:t>(ל' בעל התרומות)</w:t>
      </w:r>
      <w:r w:rsidRPr="001D49D4">
        <w:rPr>
          <w:vertAlign w:val="superscript"/>
          <w:rtl/>
        </w:rPr>
        <w:footnoteReference w:id="2997"/>
      </w:r>
      <w:r w:rsidRPr="001D49D4">
        <w:rPr>
          <w:rtl/>
        </w:rPr>
        <w:t>.</w:t>
      </w:r>
      <w:r w:rsidRPr="001D49D4">
        <w:rPr>
          <w:color w:val="E36C0A" w:themeColor="accent6" w:themeShade="BF"/>
          <w:rtl/>
        </w:rPr>
        <w:t xml:space="preserve"> (וכ"פ בשו"ע)</w:t>
      </w:r>
    </w:p>
    <w:p w14:paraId="5C6367D8" w14:textId="77777777" w:rsidR="001D49D4" w:rsidRPr="001D49D4" w:rsidRDefault="001D49D4" w:rsidP="0004348D">
      <w:pPr>
        <w:spacing w:before="360" w:after="240"/>
        <w:rPr>
          <w:rFonts w:ascii="Calibri" w:eastAsia="Calibri" w:hAnsi="Calibri" w:cs="Arial"/>
          <w:u w:val="single"/>
        </w:rPr>
      </w:pPr>
      <w:r w:rsidRPr="001D49D4">
        <w:rPr>
          <w:rFonts w:ascii="Calibri" w:eastAsia="Calibri" w:hAnsi="Calibri" w:cs="Arial"/>
          <w:u w:val="single"/>
          <w:rtl/>
        </w:rPr>
        <w:t>מי שחייב עצמו לחבירו בשטר בקנין והפקידו ביד אחר בסתם ומת המפקיד:</w:t>
      </w:r>
    </w:p>
    <w:p w14:paraId="6C93C2DA" w14:textId="77777777" w:rsidR="001D49D4" w:rsidRPr="001D49D4" w:rsidRDefault="001D49D4" w:rsidP="0004348D">
      <w:pPr>
        <w:numPr>
          <w:ilvl w:val="0"/>
          <w:numId w:val="210"/>
        </w:numPr>
        <w:spacing w:before="360" w:after="240"/>
        <w:contextualSpacing/>
      </w:pPr>
      <w:r w:rsidRPr="001D49D4">
        <w:rPr>
          <w:rtl/>
        </w:rPr>
        <w:lastRenderedPageBreak/>
        <w:t xml:space="preserve">טור </w:t>
      </w:r>
      <w:r w:rsidRPr="001D49D4">
        <w:rPr>
          <w:sz w:val="16"/>
          <w:szCs w:val="16"/>
          <w:rtl/>
        </w:rPr>
        <w:t>(סי' נה ס"י)</w:t>
      </w:r>
      <w:r w:rsidRPr="001D49D4">
        <w:rPr>
          <w:rtl/>
        </w:rPr>
        <w:t xml:space="preserve">- מי שחייב עצמו לחבירו בשטר בקנין והפקידו החייב ביד אחר בסתם ולא פירש לו באיזה ענין מוסרו לידו ומת המפקיד - לא יתננו לא למלוה ולא ליורשי לוה. </w:t>
      </w:r>
    </w:p>
    <w:p w14:paraId="7BA708EC" w14:textId="77777777" w:rsidR="001D49D4" w:rsidRPr="001D49D4" w:rsidRDefault="001D49D4" w:rsidP="0004348D">
      <w:pPr>
        <w:spacing w:before="360" w:after="240"/>
        <w:rPr>
          <w:rFonts w:ascii="Calibri" w:eastAsia="Calibri" w:hAnsi="Calibri" w:cs="Arial"/>
          <w:u w:val="single"/>
        </w:rPr>
      </w:pPr>
      <w:r w:rsidRPr="001D49D4">
        <w:rPr>
          <w:rFonts w:ascii="Calibri" w:eastAsia="Calibri" w:hAnsi="Calibri" w:cs="Arial"/>
          <w:u w:val="single"/>
          <w:rtl/>
        </w:rPr>
        <w:t>עדים שראו שמסר שטר חוב לחבירו ומכרו לו:</w:t>
      </w:r>
    </w:p>
    <w:p w14:paraId="520E3CF2" w14:textId="77777777" w:rsidR="001D49D4" w:rsidRPr="001D49D4" w:rsidRDefault="001D49D4" w:rsidP="0004348D">
      <w:pPr>
        <w:numPr>
          <w:ilvl w:val="0"/>
          <w:numId w:val="210"/>
        </w:numPr>
        <w:spacing w:before="360" w:after="240"/>
        <w:contextualSpacing/>
      </w:pPr>
      <w:r w:rsidRPr="001D49D4">
        <w:rPr>
          <w:rtl/>
        </w:rPr>
        <w:t xml:space="preserve">טור </w:t>
      </w:r>
      <w:r w:rsidRPr="001D49D4">
        <w:rPr>
          <w:sz w:val="16"/>
          <w:szCs w:val="16"/>
          <w:rtl/>
        </w:rPr>
        <w:t>(סי' סו ס"ב)</w:t>
      </w:r>
      <w:r w:rsidRPr="001D49D4">
        <w:rPr>
          <w:rtl/>
        </w:rPr>
        <w:t>- עדים שראו שמסר שטר חוב לחבירו ומכרו לו ואמר ליה קני לך איהו וכל שעבודא דאית ביה וקנו מידו - אין כותבין שטר מכר.</w:t>
      </w:r>
    </w:p>
    <w:p w14:paraId="0744E975" w14:textId="77777777" w:rsidR="001D49D4" w:rsidRPr="001D49D4" w:rsidRDefault="001D49D4" w:rsidP="0004348D">
      <w:pPr>
        <w:spacing w:before="360" w:after="240"/>
        <w:rPr>
          <w:rFonts w:ascii="Arial" w:eastAsia="Calibri" w:hAnsi="Arial" w:cs="Arial"/>
          <w:b/>
          <w:bCs/>
          <w:color w:val="000000"/>
          <w:sz w:val="28"/>
          <w:szCs w:val="28"/>
          <w:u w:val="single"/>
          <w:rtl/>
        </w:rPr>
      </w:pPr>
      <w:r w:rsidRPr="001D49D4">
        <w:rPr>
          <w:rFonts w:ascii="Arial" w:eastAsia="Calibri" w:hAnsi="Arial" w:cs="Arial"/>
          <w:b/>
          <w:bCs/>
          <w:color w:val="000000"/>
          <w:sz w:val="28"/>
          <w:szCs w:val="28"/>
          <w:u w:val="single"/>
          <w:rtl/>
        </w:rPr>
        <w:t>שו"ע:</w:t>
      </w:r>
    </w:p>
    <w:p w14:paraId="79BCE34D"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rtl/>
        </w:rPr>
        <w:t>כותבין שטר ללוה אף על פי שאין המלוה עמו</w:t>
      </w:r>
      <w:r w:rsidRPr="001D49D4">
        <w:rPr>
          <w:rFonts w:ascii="Calibri" w:eastAsia="Calibri" w:hAnsi="Calibri" w:cs="Arial"/>
          <w:vertAlign w:val="superscript"/>
          <w:rtl/>
        </w:rPr>
        <w:footnoteReference w:id="2998"/>
      </w:r>
      <w:r w:rsidRPr="001D49D4">
        <w:rPr>
          <w:rFonts w:ascii="Calibri" w:eastAsia="Calibri" w:hAnsi="Calibri" w:cs="Arial"/>
          <w:rtl/>
        </w:rPr>
        <w:t xml:space="preserve">. </w:t>
      </w:r>
      <w:r w:rsidRPr="001D49D4">
        <w:rPr>
          <w:rFonts w:ascii="Calibri" w:eastAsia="Calibri" w:hAnsi="Calibri" w:cs="Arial"/>
          <w:sz w:val="18"/>
          <w:szCs w:val="18"/>
          <w:rtl/>
        </w:rPr>
        <w:t>[הגה] מיהו אם המלוה מוחה שלא לכתוב השטר ללוה אין כותבין בעל כרחו</w:t>
      </w:r>
      <w:r w:rsidRPr="001D49D4">
        <w:rPr>
          <w:rFonts w:ascii="Calibri" w:eastAsia="Calibri" w:hAnsi="Calibri" w:cs="Arial"/>
          <w:sz w:val="18"/>
          <w:szCs w:val="18"/>
          <w:vertAlign w:val="superscript"/>
          <w:rtl/>
        </w:rPr>
        <w:footnoteReference w:id="2999"/>
      </w:r>
      <w:r w:rsidRPr="001D49D4">
        <w:rPr>
          <w:rFonts w:ascii="Calibri" w:eastAsia="Calibri" w:hAnsi="Calibri" w:cs="Arial"/>
          <w:sz w:val="18"/>
          <w:szCs w:val="18"/>
          <w:rtl/>
        </w:rPr>
        <w:t xml:space="preserve"> (רשב"א סי' אלף תתקמה). </w:t>
      </w:r>
      <w:r w:rsidRPr="001D49D4">
        <w:rPr>
          <w:rFonts w:ascii="Calibri" w:eastAsia="Calibri" w:hAnsi="Calibri" w:cs="Arial"/>
          <w:rtl/>
        </w:rPr>
        <w:t>ואין כותבין שטר למלוה עד שיהא לוה עמו. ואפילו אומר המלוה לעדים כתבו השטר וחתמוהו</w:t>
      </w:r>
      <w:r w:rsidRPr="001D49D4">
        <w:rPr>
          <w:rFonts w:ascii="Calibri" w:eastAsia="Calibri" w:hAnsi="Calibri" w:cs="Arial"/>
          <w:vertAlign w:val="superscript"/>
          <w:rtl/>
        </w:rPr>
        <w:footnoteReference w:id="3000"/>
      </w:r>
      <w:r w:rsidRPr="001D49D4">
        <w:rPr>
          <w:rFonts w:ascii="Calibri" w:eastAsia="Calibri" w:hAnsi="Calibri" w:cs="Arial"/>
          <w:rtl/>
        </w:rPr>
        <w:t xml:space="preserve"> ויהיה בידכם ואם יבא</w:t>
      </w:r>
      <w:r w:rsidRPr="001D49D4">
        <w:rPr>
          <w:rFonts w:ascii="Calibri" w:eastAsia="Calibri" w:hAnsi="Calibri" w:cs="Arial"/>
          <w:vertAlign w:val="superscript"/>
          <w:rtl/>
        </w:rPr>
        <w:footnoteReference w:id="3001"/>
      </w:r>
      <w:r w:rsidRPr="001D49D4">
        <w:rPr>
          <w:rFonts w:ascii="Calibri" w:eastAsia="Calibri" w:hAnsi="Calibri" w:cs="Arial"/>
          <w:rtl/>
        </w:rPr>
        <w:t xml:space="preserve"> הלוה להקנות ממנו תתנוהו לי ואם לאו תקרעוהו, אין שומעין לו</w:t>
      </w:r>
      <w:r w:rsidRPr="001D49D4">
        <w:rPr>
          <w:rFonts w:ascii="Calibri" w:eastAsia="Calibri" w:hAnsi="Calibri" w:cs="Arial"/>
          <w:vertAlign w:val="superscript"/>
          <w:rtl/>
        </w:rPr>
        <w:footnoteReference w:id="3002"/>
      </w:r>
      <w:r w:rsidRPr="001D49D4">
        <w:rPr>
          <w:rFonts w:ascii="Calibri" w:eastAsia="Calibri" w:hAnsi="Calibri" w:cs="Arial"/>
          <w:rtl/>
        </w:rPr>
        <w:t xml:space="preserve">. במה דברים אמורים, בשטר שיש בו קנין, שהרי משעה שקנו מידו נשתעבדו נכסיו לו </w:t>
      </w:r>
      <w:r w:rsidRPr="001D49D4">
        <w:rPr>
          <w:rFonts w:ascii="Calibri" w:eastAsia="Calibri" w:hAnsi="Calibri" w:cs="Arial"/>
          <w:sz w:val="18"/>
          <w:szCs w:val="18"/>
          <w:rtl/>
        </w:rPr>
        <w:t>[הגה] או שכתב בשטר בהדיא שהנכסים יהיו משועבדים לו מעכשיו</w:t>
      </w:r>
      <w:r w:rsidRPr="001D49D4">
        <w:rPr>
          <w:rFonts w:ascii="Calibri" w:eastAsia="Calibri" w:hAnsi="Calibri" w:cs="Arial"/>
          <w:sz w:val="18"/>
          <w:szCs w:val="18"/>
          <w:vertAlign w:val="superscript"/>
          <w:rtl/>
        </w:rPr>
        <w:footnoteReference w:id="3003"/>
      </w:r>
      <w:r w:rsidRPr="001D49D4">
        <w:rPr>
          <w:rFonts w:ascii="Calibri" w:eastAsia="Calibri" w:hAnsi="Calibri" w:cs="Arial"/>
          <w:sz w:val="18"/>
          <w:szCs w:val="18"/>
          <w:rtl/>
        </w:rPr>
        <w:t xml:space="preserve"> </w:t>
      </w:r>
      <w:r w:rsidRPr="001D49D4">
        <w:rPr>
          <w:rFonts w:ascii="Calibri" w:eastAsia="Calibri" w:hAnsi="Calibri" w:cs="Arial"/>
          <w:sz w:val="16"/>
          <w:szCs w:val="16"/>
          <w:rtl/>
        </w:rPr>
        <w:t>(ר"ן)</w:t>
      </w:r>
      <w:r w:rsidRPr="001D49D4">
        <w:rPr>
          <w:rFonts w:ascii="Calibri" w:eastAsia="Calibri" w:hAnsi="Calibri" w:cs="Arial"/>
          <w:rtl/>
        </w:rPr>
        <w:t>, אבל שטר שאין בו קנין אפילו מסר מעות ללוה בפנינו אין כותבין אפילו ללוה עד שיהיה מלוה עמו ויתן השטר ביד המלוה בפנינו</w:t>
      </w:r>
      <w:r w:rsidRPr="001D49D4">
        <w:rPr>
          <w:rFonts w:ascii="Calibri" w:eastAsia="Calibri" w:hAnsi="Calibri" w:cs="Arial"/>
          <w:vertAlign w:val="superscript"/>
          <w:rtl/>
        </w:rPr>
        <w:footnoteReference w:id="3004"/>
      </w:r>
      <w:r w:rsidRPr="001D49D4">
        <w:rPr>
          <w:rFonts w:ascii="Calibri" w:eastAsia="Calibri" w:hAnsi="Calibri" w:cs="Arial"/>
          <w:rtl/>
        </w:rPr>
        <w:t>, שמא יכתוב עתה ללות ממנו בניסן ולא ילוה ממנו עד תשרי או</w:t>
      </w:r>
      <w:r w:rsidRPr="001D49D4">
        <w:rPr>
          <w:rFonts w:ascii="Calibri" w:eastAsia="Calibri" w:hAnsi="Calibri" w:cs="Arial"/>
          <w:vertAlign w:val="superscript"/>
          <w:rtl/>
        </w:rPr>
        <w:footnoteReference w:id="3005"/>
      </w:r>
      <w:r w:rsidRPr="001D49D4">
        <w:rPr>
          <w:rFonts w:ascii="Calibri" w:eastAsia="Calibri" w:hAnsi="Calibri" w:cs="Arial"/>
          <w:rtl/>
        </w:rPr>
        <w:t xml:space="preserve"> לא ימסור לו השטר ונמצא המלוה טורף בשטר זה מניסן שלא כדין, שלא הגיע לידו עד תשרי. </w:t>
      </w:r>
      <w:r w:rsidRPr="001D49D4">
        <w:rPr>
          <w:rFonts w:ascii="Calibri" w:eastAsia="Calibri" w:hAnsi="Calibri" w:cs="Arial"/>
          <w:sz w:val="18"/>
          <w:szCs w:val="18"/>
          <w:rtl/>
        </w:rPr>
        <w:t>הגה: אמר: קנו ממני שאני חייב לפלוני כך וכך וכתבו</w:t>
      </w:r>
      <w:r w:rsidRPr="001D49D4">
        <w:rPr>
          <w:rFonts w:ascii="Calibri" w:eastAsia="Calibri" w:hAnsi="Calibri" w:cs="Arial"/>
          <w:sz w:val="18"/>
          <w:szCs w:val="18"/>
          <w:vertAlign w:val="superscript"/>
          <w:rtl/>
        </w:rPr>
        <w:footnoteReference w:id="3006"/>
      </w:r>
      <w:r w:rsidRPr="001D49D4">
        <w:rPr>
          <w:rFonts w:ascii="Calibri" w:eastAsia="Calibri" w:hAnsi="Calibri" w:cs="Arial"/>
          <w:sz w:val="18"/>
          <w:szCs w:val="18"/>
          <w:rtl/>
        </w:rPr>
        <w:t xml:space="preserve"> לו</w:t>
      </w:r>
      <w:r w:rsidRPr="001D49D4">
        <w:rPr>
          <w:rFonts w:ascii="Calibri" w:eastAsia="Calibri" w:hAnsi="Calibri" w:cs="Arial"/>
          <w:sz w:val="18"/>
          <w:szCs w:val="18"/>
          <w:vertAlign w:val="superscript"/>
          <w:rtl/>
        </w:rPr>
        <w:footnoteReference w:id="3007"/>
      </w:r>
      <w:r w:rsidRPr="001D49D4">
        <w:rPr>
          <w:rFonts w:ascii="Calibri" w:eastAsia="Calibri" w:hAnsi="Calibri" w:cs="Arial"/>
          <w:sz w:val="18"/>
          <w:szCs w:val="18"/>
          <w:rtl/>
        </w:rPr>
        <w:t>, הרי אלו כותבין ונותנין לו</w:t>
      </w:r>
      <w:r w:rsidRPr="001D49D4">
        <w:rPr>
          <w:rFonts w:ascii="Calibri" w:eastAsia="Calibri" w:hAnsi="Calibri" w:cs="Arial"/>
          <w:sz w:val="18"/>
          <w:szCs w:val="18"/>
          <w:vertAlign w:val="superscript"/>
          <w:rtl/>
        </w:rPr>
        <w:footnoteReference w:id="3008"/>
      </w:r>
      <w:r w:rsidRPr="001D49D4">
        <w:rPr>
          <w:rFonts w:ascii="Calibri" w:eastAsia="Calibri" w:hAnsi="Calibri" w:cs="Arial"/>
          <w:sz w:val="18"/>
          <w:szCs w:val="18"/>
          <w:rtl/>
        </w:rPr>
        <w:t xml:space="preserve"> ואין נותנין אותו ליד הלוה. אבל אם אמר כתבו ותנו אותו בידי, לא יתנו למלוה, ולא יזכה המלוה עד שיצא מתחת יד הלוה</w:t>
      </w:r>
      <w:r w:rsidRPr="001D49D4">
        <w:rPr>
          <w:rFonts w:ascii="Calibri" w:eastAsia="Calibri" w:hAnsi="Calibri" w:cs="Arial"/>
          <w:sz w:val="18"/>
          <w:szCs w:val="18"/>
          <w:vertAlign w:val="superscript"/>
          <w:rtl/>
        </w:rPr>
        <w:footnoteReference w:id="3009"/>
      </w:r>
      <w:r w:rsidRPr="001D49D4">
        <w:rPr>
          <w:rFonts w:ascii="Calibri" w:eastAsia="Calibri" w:hAnsi="Calibri" w:cs="Arial"/>
          <w:sz w:val="18"/>
          <w:szCs w:val="18"/>
          <w:rtl/>
        </w:rPr>
        <w:t xml:space="preserve"> (טור). </w:t>
      </w:r>
    </w:p>
    <w:p w14:paraId="5E68EAD8" w14:textId="77777777" w:rsidR="001D49D4" w:rsidRPr="001D49D4" w:rsidRDefault="001D49D4" w:rsidP="0004348D">
      <w:pPr>
        <w:spacing w:before="360" w:after="240"/>
        <w:rPr>
          <w:rFonts w:ascii="Calibri" w:eastAsia="Calibri" w:hAnsi="Calibri" w:cs="Arial"/>
          <w:rtl/>
        </w:rPr>
      </w:pPr>
    </w:p>
    <w:p w14:paraId="7A0653A1" w14:textId="77777777" w:rsidR="001D49D4" w:rsidRPr="001D49D4" w:rsidRDefault="001D49D4" w:rsidP="0004348D">
      <w:pPr>
        <w:keepNext/>
        <w:keepLines/>
        <w:spacing w:before="360" w:after="240"/>
        <w:outlineLvl w:val="1"/>
        <w:rPr>
          <w:rFonts w:ascii="Cambria" w:eastAsia="Times New Roman" w:hAnsi="Cambria" w:cs="Arial"/>
          <w:bCs/>
          <w:color w:val="548DD4" w:themeColor="text2" w:themeTint="99"/>
          <w:sz w:val="26"/>
          <w:szCs w:val="26"/>
          <w:rtl/>
        </w:rPr>
      </w:pPr>
      <w:bookmarkStart w:id="398" w:name="_Toc24883840"/>
      <w:r w:rsidRPr="001D49D4">
        <w:rPr>
          <w:rFonts w:ascii="Cambria" w:eastAsia="Times New Roman" w:hAnsi="Cambria" w:cs="Arial"/>
          <w:bCs/>
          <w:color w:val="548DD4" w:themeColor="text2" w:themeTint="99"/>
          <w:sz w:val="26"/>
          <w:szCs w:val="26"/>
          <w:rtl/>
        </w:rPr>
        <w:t>סעיף יד: חייב עצמו לשנים בקנין ואמר לעדים לכתוב וליתן לידו ונתן אח"כ לאחד מהם.</w:t>
      </w:r>
      <w:bookmarkEnd w:id="398"/>
    </w:p>
    <w:p w14:paraId="5FC34EA8" w14:textId="77777777" w:rsidR="001D49D4" w:rsidRPr="001D49D4" w:rsidRDefault="001D49D4" w:rsidP="0004348D">
      <w:pPr>
        <w:spacing w:before="360" w:after="240"/>
        <w:rPr>
          <w:rFonts w:ascii="Calibri" w:eastAsia="Calibri" w:hAnsi="Calibri" w:cs="Arial"/>
          <w:u w:val="single"/>
          <w:rtl/>
        </w:rPr>
      </w:pPr>
      <w:r w:rsidRPr="001D49D4">
        <w:rPr>
          <w:rFonts w:ascii="Calibri" w:eastAsia="Calibri" w:hAnsi="Calibri" w:cs="Arial"/>
          <w:u w:val="single"/>
          <w:rtl/>
        </w:rPr>
        <w:t>חייב עצמו לשנים בקנין ואמר לעדים לכתוב וליתן לידו - ונתן אח"כ לאחד מאלו שהתחייב להם:</w:t>
      </w:r>
    </w:p>
    <w:p w14:paraId="62AD76F2" w14:textId="77777777" w:rsidR="001D49D4" w:rsidRPr="001D49D4" w:rsidRDefault="001D49D4" w:rsidP="0004348D">
      <w:pPr>
        <w:numPr>
          <w:ilvl w:val="0"/>
          <w:numId w:val="210"/>
        </w:numPr>
        <w:spacing w:before="360" w:after="240"/>
        <w:contextualSpacing/>
        <w:rPr>
          <w:rtl/>
        </w:rPr>
      </w:pPr>
      <w:r w:rsidRPr="001D49D4">
        <w:rPr>
          <w:rtl/>
        </w:rPr>
        <w:t>בעל התרומות</w:t>
      </w:r>
      <w:r w:rsidRPr="001D49D4">
        <w:rPr>
          <w:vertAlign w:val="superscript"/>
          <w:rtl/>
        </w:rPr>
        <w:footnoteReference w:id="3010"/>
      </w:r>
      <w:r w:rsidRPr="001D49D4">
        <w:rPr>
          <w:rtl/>
        </w:rPr>
        <w:t xml:space="preserve"> </w:t>
      </w:r>
      <w:r w:rsidRPr="001D49D4">
        <w:rPr>
          <w:sz w:val="16"/>
          <w:szCs w:val="16"/>
          <w:rtl/>
        </w:rPr>
        <w:t xml:space="preserve">(שער נב ח"ד סי' א) </w:t>
      </w:r>
      <w:r w:rsidRPr="001D49D4">
        <w:rPr>
          <w:rtl/>
        </w:rPr>
        <w:t xml:space="preserve">וטור- חייב עצמו לשנים בקנין, ואמר לעדים שיכתבו השטר ויתנו לידו, וכן עשו, ומסר החייב השטר לאחד מאלו שחייב עצמו להם - אע"פ שלא ידע האחר מזו המסירה ואפילו מת ולא </w:t>
      </w:r>
      <w:r w:rsidRPr="001D49D4">
        <w:rPr>
          <w:rtl/>
        </w:rPr>
        <w:lastRenderedPageBreak/>
        <w:t>ידע ממסירה זו לעולם מכיון שיצא השטר מתחת יד החייב זכו בו שניהם ויגבו בו יתומים חלקם</w:t>
      </w:r>
      <w:r w:rsidRPr="001D49D4">
        <w:rPr>
          <w:vertAlign w:val="superscript"/>
          <w:rtl/>
        </w:rPr>
        <w:footnoteReference w:id="3011"/>
      </w:r>
      <w:r w:rsidRPr="001D49D4">
        <w:rPr>
          <w:sz w:val="16"/>
          <w:szCs w:val="16"/>
          <w:rtl/>
        </w:rPr>
        <w:t xml:space="preserve"> (ל' הטור)</w:t>
      </w:r>
      <w:r w:rsidRPr="001D49D4">
        <w:rPr>
          <w:rtl/>
        </w:rPr>
        <w:t>.</w:t>
      </w:r>
      <w:r w:rsidRPr="001D49D4">
        <w:rPr>
          <w:color w:val="E36C0A" w:themeColor="accent6" w:themeShade="BF"/>
          <w:rtl/>
        </w:rPr>
        <w:t xml:space="preserve"> (וכ"פ בשו"ע)</w:t>
      </w:r>
    </w:p>
    <w:p w14:paraId="33B8FBAE" w14:textId="77777777" w:rsidR="001D49D4" w:rsidRPr="001D49D4" w:rsidRDefault="001D49D4" w:rsidP="0004348D">
      <w:pPr>
        <w:spacing w:before="360" w:after="240"/>
        <w:rPr>
          <w:rFonts w:ascii="Arial" w:eastAsia="Calibri" w:hAnsi="Arial" w:cs="Arial"/>
          <w:b/>
          <w:bCs/>
          <w:color w:val="000000"/>
          <w:sz w:val="28"/>
          <w:szCs w:val="28"/>
          <w:u w:val="single"/>
          <w:rtl/>
        </w:rPr>
      </w:pPr>
      <w:r w:rsidRPr="001D49D4">
        <w:rPr>
          <w:rFonts w:ascii="Arial" w:eastAsia="Calibri" w:hAnsi="Arial" w:cs="Arial"/>
          <w:b/>
          <w:bCs/>
          <w:color w:val="000000"/>
          <w:sz w:val="28"/>
          <w:szCs w:val="28"/>
          <w:u w:val="single"/>
          <w:rtl/>
        </w:rPr>
        <w:t>שו"ע:</w:t>
      </w:r>
    </w:p>
    <w:p w14:paraId="5A9C0CEA"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rtl/>
        </w:rPr>
        <w:t>חייב עצמו לשנים בקנין, ואמר לעדים שיכתבו ויתנו בידו, וכן עשו, ומסר החייב השטר לאחד מהם, אף על פי שלא ידע האחר מזו המסירה, ואפילו מת ולא ידע, זכה בחלקו</w:t>
      </w:r>
      <w:r w:rsidRPr="001D49D4">
        <w:rPr>
          <w:rFonts w:ascii="Calibri" w:eastAsia="Calibri" w:hAnsi="Calibri" w:cs="Arial"/>
          <w:vertAlign w:val="superscript"/>
          <w:rtl/>
        </w:rPr>
        <w:footnoteReference w:id="3012"/>
      </w:r>
      <w:r w:rsidRPr="001D49D4">
        <w:rPr>
          <w:rFonts w:ascii="Calibri" w:eastAsia="Calibri" w:hAnsi="Calibri" w:cs="Arial"/>
          <w:rtl/>
        </w:rPr>
        <w:t xml:space="preserve">, ויגבוהו היתומים. </w:t>
      </w:r>
    </w:p>
    <w:p w14:paraId="2FA84A85" w14:textId="77777777" w:rsidR="001D49D4" w:rsidRPr="001D49D4" w:rsidRDefault="001D49D4" w:rsidP="0004348D">
      <w:pPr>
        <w:spacing w:before="360" w:after="240"/>
        <w:rPr>
          <w:rFonts w:ascii="Calibri" w:eastAsia="Calibri" w:hAnsi="Calibri" w:cs="Arial"/>
          <w:rtl/>
        </w:rPr>
      </w:pPr>
    </w:p>
    <w:p w14:paraId="663F9E2A" w14:textId="77777777" w:rsidR="001D49D4" w:rsidRPr="001D49D4" w:rsidRDefault="001D49D4" w:rsidP="0004348D">
      <w:pPr>
        <w:keepNext/>
        <w:keepLines/>
        <w:spacing w:before="360" w:after="240"/>
        <w:outlineLvl w:val="1"/>
        <w:rPr>
          <w:rFonts w:ascii="Cambria" w:eastAsia="Times New Roman" w:hAnsi="Cambria" w:cs="Arial"/>
          <w:bCs/>
          <w:color w:val="548DD4" w:themeColor="text2" w:themeTint="99"/>
          <w:sz w:val="26"/>
          <w:szCs w:val="26"/>
          <w:rtl/>
        </w:rPr>
      </w:pPr>
      <w:bookmarkStart w:id="399" w:name="_Toc24883841"/>
      <w:r w:rsidRPr="001D49D4">
        <w:rPr>
          <w:rFonts w:ascii="Cambria" w:eastAsia="Times New Roman" w:hAnsi="Cambria" w:cs="Arial"/>
          <w:bCs/>
          <w:color w:val="548DD4" w:themeColor="text2" w:themeTint="99"/>
          <w:sz w:val="26"/>
          <w:szCs w:val="26"/>
          <w:rtl/>
        </w:rPr>
        <w:t>סעיף טו: עדים שראו קטן שקנו מידו.</w:t>
      </w:r>
      <w:bookmarkEnd w:id="399"/>
    </w:p>
    <w:p w14:paraId="31A3A6E5"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b/>
          <w:bCs/>
          <w:rtl/>
        </w:rPr>
        <w:t xml:space="preserve">כתובות </w:t>
      </w:r>
      <w:r w:rsidRPr="001D49D4">
        <w:rPr>
          <w:rFonts w:ascii="Calibri" w:eastAsia="Calibri" w:hAnsi="Calibri" w:cs="Arial"/>
          <w:b/>
          <w:bCs/>
          <w:sz w:val="16"/>
          <w:szCs w:val="16"/>
          <w:rtl/>
        </w:rPr>
        <w:t xml:space="preserve">(פ"ב) </w:t>
      </w:r>
      <w:r w:rsidRPr="001D49D4">
        <w:rPr>
          <w:rFonts w:ascii="Calibri" w:eastAsia="Calibri" w:hAnsi="Calibri" w:cs="Arial"/>
          <w:b/>
          <w:bCs/>
          <w:rtl/>
        </w:rPr>
        <w:t>יח</w:t>
      </w:r>
      <w:r w:rsidRPr="001D49D4">
        <w:rPr>
          <w:rFonts w:ascii="Calibri" w:eastAsia="Calibri" w:hAnsi="Calibri" w:cs="Arial"/>
          <w:b/>
          <w:bCs/>
          <w:vertAlign w:val="superscript"/>
          <w:rtl/>
        </w:rPr>
        <w:footnoteReference w:id="3013"/>
      </w:r>
      <w:r w:rsidRPr="001D49D4">
        <w:rPr>
          <w:rFonts w:ascii="Calibri" w:eastAsia="Calibri" w:hAnsi="Calibri" w:cs="Arial"/>
          <w:b/>
          <w:bCs/>
          <w:rtl/>
        </w:rPr>
        <w:t xml:space="preserve"> ע"ב:</w:t>
      </w:r>
      <w:r w:rsidRPr="001D49D4">
        <w:rPr>
          <w:rFonts w:ascii="Calibri" w:eastAsia="Calibri" w:hAnsi="Calibri" w:cs="Arial"/>
          <w:rtl/>
        </w:rPr>
        <w:t xml:space="preserve"> </w:t>
      </w:r>
      <w:r w:rsidRPr="001D49D4">
        <w:rPr>
          <w:rFonts w:ascii="Calibri" w:eastAsia="Calibri" w:hAnsi="Calibri" w:cs="Arial"/>
          <w:u w:val="single"/>
          <w:rtl/>
        </w:rPr>
        <w:t>דאמר ריש לקיש</w:t>
      </w:r>
      <w:r w:rsidRPr="001D49D4">
        <w:rPr>
          <w:rFonts w:ascii="Calibri" w:eastAsia="Calibri" w:hAnsi="Calibri" w:cs="Arial"/>
          <w:rtl/>
        </w:rPr>
        <w:t>:</w:t>
      </w:r>
      <w:r w:rsidRPr="001D49D4">
        <w:rPr>
          <w:rFonts w:ascii="Calibri" w:eastAsia="Calibri" w:hAnsi="Calibri" w:cs="Arial"/>
          <w:sz w:val="14"/>
          <w:szCs w:val="14"/>
          <w:rtl/>
        </w:rPr>
        <w:t xml:space="preserve"> (יט.) </w:t>
      </w:r>
      <w:r w:rsidRPr="001D49D4">
        <w:rPr>
          <w:rFonts w:ascii="Calibri" w:eastAsia="Calibri" w:hAnsi="Calibri" w:cs="Arial"/>
          <w:rtl/>
        </w:rPr>
        <w:t xml:space="preserve">חזקה אין העדים חותמין על השטר אא"כ נעשה בגדול. </w:t>
      </w:r>
    </w:p>
    <w:p w14:paraId="6E467FC5" w14:textId="77777777" w:rsidR="001D49D4" w:rsidRPr="001D49D4" w:rsidRDefault="001D49D4" w:rsidP="0004348D">
      <w:pPr>
        <w:spacing w:before="360" w:after="240"/>
        <w:rPr>
          <w:rFonts w:ascii="Calibri" w:eastAsia="Calibri" w:hAnsi="Calibri" w:cs="Arial"/>
          <w:u w:val="single"/>
          <w:rtl/>
        </w:rPr>
      </w:pPr>
      <w:r w:rsidRPr="001D49D4">
        <w:rPr>
          <w:rFonts w:ascii="Calibri" w:eastAsia="Calibri" w:hAnsi="Calibri" w:cs="Arial"/>
          <w:u w:val="single"/>
          <w:rtl/>
        </w:rPr>
        <w:t>עדים שראו קטן שקנו מידו:</w:t>
      </w:r>
    </w:p>
    <w:p w14:paraId="21A0ADF1" w14:textId="77777777" w:rsidR="001D49D4" w:rsidRPr="001D49D4" w:rsidRDefault="001D49D4" w:rsidP="0004348D">
      <w:pPr>
        <w:numPr>
          <w:ilvl w:val="0"/>
          <w:numId w:val="210"/>
        </w:numPr>
        <w:spacing w:before="360" w:after="240"/>
        <w:contextualSpacing/>
        <w:rPr>
          <w:rtl/>
        </w:rPr>
      </w:pPr>
      <w:r w:rsidRPr="001D49D4">
        <w:rPr>
          <w:rtl/>
        </w:rPr>
        <w:t xml:space="preserve">רמב"ם </w:t>
      </w:r>
      <w:r w:rsidRPr="001D49D4">
        <w:rPr>
          <w:sz w:val="16"/>
          <w:szCs w:val="16"/>
          <w:rtl/>
        </w:rPr>
        <w:t xml:space="preserve">(פכ"ט מהל' מכירה ה"ט) </w:t>
      </w:r>
      <w:r w:rsidRPr="001D49D4">
        <w:rPr>
          <w:rtl/>
        </w:rPr>
        <w:t xml:space="preserve">בעל התרומות </w:t>
      </w:r>
      <w:r w:rsidRPr="001D49D4">
        <w:rPr>
          <w:sz w:val="16"/>
          <w:szCs w:val="16"/>
          <w:rtl/>
        </w:rPr>
        <w:t xml:space="preserve">(שער לו ח"ב סי' ט) </w:t>
      </w:r>
      <w:r w:rsidRPr="001D49D4">
        <w:rPr>
          <w:rtl/>
        </w:rPr>
        <w:t>וטור</w:t>
      </w:r>
      <w:r w:rsidRPr="001D49D4">
        <w:rPr>
          <w:sz w:val="16"/>
          <w:szCs w:val="16"/>
          <w:rtl/>
        </w:rPr>
        <w:t xml:space="preserve"> (סי' צו סי"ד)</w:t>
      </w:r>
      <w:r w:rsidRPr="001D49D4">
        <w:rPr>
          <w:rtl/>
        </w:rPr>
        <w:t>- קטן... קניינו אינו כלום, לפיכך עדים שראו קנין שלו לא יכתבו עליו שטר</w:t>
      </w:r>
      <w:r w:rsidRPr="001D49D4">
        <w:rPr>
          <w:sz w:val="16"/>
          <w:szCs w:val="16"/>
          <w:rtl/>
        </w:rPr>
        <w:t xml:space="preserve"> (ל' הטור)</w:t>
      </w:r>
      <w:r w:rsidRPr="001D49D4">
        <w:rPr>
          <w:rtl/>
        </w:rPr>
        <w:t xml:space="preserve">. </w:t>
      </w:r>
      <w:r w:rsidRPr="001D49D4">
        <w:rPr>
          <w:color w:val="E36C0A" w:themeColor="accent6" w:themeShade="BF"/>
          <w:rtl/>
        </w:rPr>
        <w:t>(וכ"פ בשו"ע)</w:t>
      </w:r>
      <w:r w:rsidRPr="001D49D4">
        <w:rPr>
          <w:rtl/>
        </w:rPr>
        <w:t xml:space="preserve"> </w:t>
      </w:r>
    </w:p>
    <w:p w14:paraId="2C3DB651" w14:textId="77777777" w:rsidR="001D49D4" w:rsidRPr="001D49D4" w:rsidRDefault="001D49D4" w:rsidP="0004348D">
      <w:pPr>
        <w:spacing w:before="360" w:after="240"/>
        <w:rPr>
          <w:rFonts w:ascii="Arial" w:eastAsia="Calibri" w:hAnsi="Arial" w:cs="Arial"/>
          <w:b/>
          <w:bCs/>
          <w:color w:val="000000"/>
          <w:sz w:val="28"/>
          <w:szCs w:val="28"/>
          <w:u w:val="single"/>
          <w:rtl/>
        </w:rPr>
      </w:pPr>
      <w:r w:rsidRPr="001D49D4">
        <w:rPr>
          <w:rFonts w:ascii="Arial" w:eastAsia="Calibri" w:hAnsi="Arial" w:cs="Arial"/>
          <w:b/>
          <w:bCs/>
          <w:color w:val="000000"/>
          <w:sz w:val="28"/>
          <w:szCs w:val="28"/>
          <w:u w:val="single"/>
          <w:rtl/>
        </w:rPr>
        <w:t>שו"ע:</w:t>
      </w:r>
    </w:p>
    <w:p w14:paraId="56880B01"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rtl/>
        </w:rPr>
        <w:t xml:space="preserve">עדים שראו קטן שקנו מידו, לא יכתבו עליו שטר. </w:t>
      </w:r>
    </w:p>
    <w:p w14:paraId="3C1B0D70" w14:textId="77777777" w:rsidR="001D49D4" w:rsidRPr="001D49D4" w:rsidRDefault="001D49D4" w:rsidP="0004348D">
      <w:pPr>
        <w:spacing w:before="360" w:after="240"/>
        <w:rPr>
          <w:rFonts w:ascii="Calibri" w:eastAsia="Calibri" w:hAnsi="Calibri" w:cs="Arial"/>
          <w:rtl/>
        </w:rPr>
      </w:pPr>
    </w:p>
    <w:p w14:paraId="74DF66FD" w14:textId="77777777" w:rsidR="001D49D4" w:rsidRPr="001D49D4" w:rsidRDefault="001D49D4" w:rsidP="0004348D">
      <w:pPr>
        <w:keepNext/>
        <w:keepLines/>
        <w:spacing w:before="360" w:after="240"/>
        <w:outlineLvl w:val="1"/>
        <w:rPr>
          <w:rFonts w:ascii="Cambria" w:eastAsia="Times New Roman" w:hAnsi="Cambria" w:cs="Arial"/>
          <w:bCs/>
          <w:color w:val="548DD4" w:themeColor="text2" w:themeTint="99"/>
          <w:sz w:val="26"/>
          <w:szCs w:val="26"/>
          <w:rtl/>
        </w:rPr>
      </w:pPr>
      <w:bookmarkStart w:id="400" w:name="_Toc24883842"/>
      <w:r w:rsidRPr="001D49D4">
        <w:rPr>
          <w:rFonts w:ascii="Cambria" w:eastAsia="Times New Roman" w:hAnsi="Cambria" w:cs="Arial"/>
          <w:bCs/>
          <w:color w:val="548DD4" w:themeColor="text2" w:themeTint="99"/>
          <w:sz w:val="26"/>
          <w:szCs w:val="26"/>
          <w:rtl/>
        </w:rPr>
        <w:t>סעיף טז: כתיבת עדות שאינה מספיקה כדי לגמור את הדין.</w:t>
      </w:r>
      <w:bookmarkEnd w:id="400"/>
    </w:p>
    <w:p w14:paraId="397EE7EE"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u w:val="single"/>
          <w:rtl/>
        </w:rPr>
        <w:t>שטר שביד הסופר והוא יודע שנפרע:</w:t>
      </w:r>
    </w:p>
    <w:p w14:paraId="54945E37" w14:textId="77777777" w:rsidR="001D49D4" w:rsidRPr="001D49D4" w:rsidRDefault="001D49D4" w:rsidP="0004348D">
      <w:pPr>
        <w:numPr>
          <w:ilvl w:val="0"/>
          <w:numId w:val="210"/>
        </w:numPr>
        <w:spacing w:before="360" w:after="240"/>
        <w:contextualSpacing/>
        <w:rPr>
          <w:rtl/>
        </w:rPr>
      </w:pPr>
      <w:r w:rsidRPr="001D49D4">
        <w:rPr>
          <w:rtl/>
        </w:rPr>
        <w:t xml:space="preserve">רשב"א </w:t>
      </w:r>
      <w:r w:rsidRPr="001D49D4">
        <w:rPr>
          <w:sz w:val="16"/>
          <w:szCs w:val="16"/>
          <w:rtl/>
        </w:rPr>
        <w:t>(ח"ו סי' קמו)</w:t>
      </w:r>
      <w:r w:rsidRPr="001D49D4">
        <w:rPr>
          <w:rtl/>
        </w:rPr>
        <w:t xml:space="preserve">- שטר שביד הסופר והוא יודע שנפרע - מחזירו ללוה, אא"כ נקיט ליה משום פשיטי דספרא </w:t>
      </w:r>
      <w:r w:rsidRPr="001D49D4">
        <w:rPr>
          <w:sz w:val="16"/>
          <w:szCs w:val="16"/>
          <w:rtl/>
        </w:rPr>
        <w:t>(ב"מ טז:)</w:t>
      </w:r>
      <w:r w:rsidRPr="001D49D4">
        <w:rPr>
          <w:rtl/>
        </w:rPr>
        <w:t>.</w:t>
      </w:r>
    </w:p>
    <w:p w14:paraId="5AEF4C21" w14:textId="77777777" w:rsidR="001D49D4" w:rsidRPr="001D49D4" w:rsidRDefault="001D49D4" w:rsidP="0004348D">
      <w:pPr>
        <w:spacing w:before="360" w:after="240"/>
        <w:rPr>
          <w:rFonts w:ascii="Arial" w:eastAsia="Calibri" w:hAnsi="Arial" w:cs="Arial"/>
          <w:b/>
          <w:bCs/>
          <w:color w:val="000000"/>
          <w:sz w:val="28"/>
          <w:szCs w:val="28"/>
          <w:u w:val="single"/>
          <w:rtl/>
        </w:rPr>
      </w:pPr>
      <w:r w:rsidRPr="001D49D4">
        <w:rPr>
          <w:rFonts w:ascii="Arial" w:eastAsia="Calibri" w:hAnsi="Arial" w:cs="Arial"/>
          <w:b/>
          <w:bCs/>
          <w:color w:val="000000"/>
          <w:sz w:val="28"/>
          <w:szCs w:val="28"/>
          <w:u w:val="single"/>
          <w:rtl/>
        </w:rPr>
        <w:t>שו"ע:</w:t>
      </w:r>
    </w:p>
    <w:p w14:paraId="29487A43"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rtl/>
        </w:rPr>
        <w:t>עדים שראו דבר לזכות ראובן, ואין זכותו נגמר עד שיביא עדים שראו עוד דבר אחר, אם כותבין העדים ונותנים מה שראו, בסימן ר"ה</w:t>
      </w:r>
      <w:r w:rsidRPr="001D49D4">
        <w:rPr>
          <w:rFonts w:ascii="Calibri" w:eastAsia="Calibri" w:hAnsi="Calibri" w:cs="Arial"/>
          <w:vertAlign w:val="superscript"/>
          <w:rtl/>
        </w:rPr>
        <w:footnoteReference w:id="3014"/>
      </w:r>
      <w:r w:rsidRPr="001D49D4">
        <w:rPr>
          <w:rFonts w:ascii="Calibri" w:eastAsia="Calibri" w:hAnsi="Calibri" w:cs="Arial"/>
          <w:rtl/>
        </w:rPr>
        <w:t xml:space="preserve">. </w:t>
      </w:r>
    </w:p>
    <w:p w14:paraId="5C8721DF" w14:textId="77777777" w:rsidR="001D49D4" w:rsidRPr="001D49D4" w:rsidRDefault="001D49D4" w:rsidP="0004348D">
      <w:pPr>
        <w:spacing w:before="360" w:after="240"/>
        <w:rPr>
          <w:rFonts w:ascii="Calibri" w:eastAsia="Calibri" w:hAnsi="Calibri" w:cs="Arial"/>
          <w:rtl/>
        </w:rPr>
      </w:pPr>
    </w:p>
    <w:p w14:paraId="472B576E" w14:textId="77777777" w:rsidR="001D49D4" w:rsidRPr="001D49D4" w:rsidRDefault="001D49D4" w:rsidP="0004348D">
      <w:pPr>
        <w:keepNext/>
        <w:keepLines/>
        <w:spacing w:before="360" w:after="240"/>
        <w:outlineLvl w:val="1"/>
        <w:rPr>
          <w:rFonts w:ascii="Cambria" w:eastAsia="Times New Roman" w:hAnsi="Cambria" w:cs="Arial"/>
          <w:bCs/>
          <w:color w:val="548DD4" w:themeColor="text2" w:themeTint="99"/>
          <w:sz w:val="26"/>
          <w:szCs w:val="26"/>
          <w:rtl/>
        </w:rPr>
      </w:pPr>
      <w:bookmarkStart w:id="401" w:name="_Toc24883843"/>
      <w:r w:rsidRPr="001D49D4">
        <w:rPr>
          <w:rFonts w:ascii="Cambria" w:eastAsia="Times New Roman" w:hAnsi="Cambria" w:cs="Arial"/>
          <w:bCs/>
          <w:color w:val="548DD4" w:themeColor="text2" w:themeTint="99"/>
          <w:sz w:val="26"/>
          <w:szCs w:val="26"/>
          <w:rtl/>
        </w:rPr>
        <w:lastRenderedPageBreak/>
        <w:t>סעיף יז: מלוה שכתב בשטר שמסכים להלות ללוה ולבסוף רוצה לחזור בו.</w:t>
      </w:r>
      <w:bookmarkEnd w:id="401"/>
    </w:p>
    <w:p w14:paraId="64C5F49F" w14:textId="77777777" w:rsidR="001D49D4" w:rsidRPr="001D49D4" w:rsidRDefault="001D49D4" w:rsidP="0004348D">
      <w:pPr>
        <w:spacing w:before="360" w:after="240"/>
        <w:rPr>
          <w:rFonts w:ascii="Calibri" w:eastAsia="Calibri" w:hAnsi="Calibri" w:cs="Arial"/>
          <w:u w:val="single"/>
          <w:rtl/>
        </w:rPr>
      </w:pPr>
      <w:r w:rsidRPr="001D49D4">
        <w:rPr>
          <w:rFonts w:ascii="Calibri" w:eastAsia="Calibri" w:hAnsi="Calibri" w:cs="Arial"/>
          <w:u w:val="single"/>
          <w:rtl/>
        </w:rPr>
        <w:t>מלוה שכתב בשטר שמסכים להלות ללוה ולבסוף רוצה לחזור בו:</w:t>
      </w:r>
    </w:p>
    <w:p w14:paraId="1946538D" w14:textId="77777777" w:rsidR="001D49D4" w:rsidRPr="001D49D4" w:rsidRDefault="001D49D4" w:rsidP="0004348D">
      <w:pPr>
        <w:numPr>
          <w:ilvl w:val="0"/>
          <w:numId w:val="210"/>
        </w:numPr>
        <w:spacing w:before="360" w:after="240"/>
        <w:contextualSpacing/>
        <w:rPr>
          <w:rtl/>
        </w:rPr>
      </w:pPr>
      <w:r w:rsidRPr="001D49D4">
        <w:rPr>
          <w:rtl/>
        </w:rPr>
        <w:t>רמב"ן</w:t>
      </w:r>
      <w:r w:rsidRPr="001D49D4">
        <w:rPr>
          <w:vertAlign w:val="superscript"/>
          <w:rtl/>
        </w:rPr>
        <w:footnoteReference w:id="3015"/>
      </w:r>
      <w:r w:rsidRPr="001D49D4">
        <w:rPr>
          <w:rtl/>
        </w:rPr>
        <w:t>- ראובן שהתנדב להלוות לשמעון מנה, ואמר לו 'לך לסופר לכתוב ולעדים שיחתמו שאתה חייב לי מנה ומסור לי השטר ואלווך'. והלך והביא לו השטר, כאותה ששנינו כותבין שטר ללוה אע"פ שאין מלוה עמו. ואח"כ חזר בו ראובן. אם היה מודה ראובן שמדעתו נכתב השטר הואיל ונשתעבדו לו נכסי שמעון מעכשיו - חייב להלוותו עד זמן שקבע לו ויקנה נכסיו לשיעבודו. ואם כפר ואמר שלא צוהו לכתוב אלא מדעתו עשה הכל - שמעון התובע צריך להביא ראיה שמדעת ראובן כתב השטר ואז יתחייב להלוות לו מעותיו, ואם אין לו ראיה אז ישבע ראובן היסת שלא צוהו לכתוב השטר ויפטר</w:t>
      </w:r>
      <w:r w:rsidRPr="001D49D4">
        <w:rPr>
          <w:vertAlign w:val="superscript"/>
          <w:rtl/>
        </w:rPr>
        <w:footnoteReference w:id="3016"/>
      </w:r>
      <w:r w:rsidRPr="001D49D4">
        <w:rPr>
          <w:sz w:val="16"/>
          <w:szCs w:val="16"/>
          <w:rtl/>
        </w:rPr>
        <w:t xml:space="preserve"> (ל' הטור בשם הרמב"ן)</w:t>
      </w:r>
      <w:r w:rsidRPr="001D49D4">
        <w:rPr>
          <w:rtl/>
        </w:rPr>
        <w:t>.</w:t>
      </w:r>
    </w:p>
    <w:p w14:paraId="3A000F41" w14:textId="77777777" w:rsidR="001D49D4" w:rsidRPr="001D49D4" w:rsidRDefault="001D49D4" w:rsidP="0004348D">
      <w:pPr>
        <w:numPr>
          <w:ilvl w:val="0"/>
          <w:numId w:val="210"/>
        </w:numPr>
        <w:spacing w:before="360" w:after="240"/>
        <w:contextualSpacing/>
      </w:pPr>
      <w:r w:rsidRPr="001D49D4">
        <w:rPr>
          <w:rtl/>
        </w:rPr>
        <w:t xml:space="preserve">רשב"א </w:t>
      </w:r>
      <w:r w:rsidRPr="001D49D4">
        <w:rPr>
          <w:sz w:val="16"/>
          <w:szCs w:val="16"/>
          <w:rtl/>
        </w:rPr>
        <w:t>(ב"ב שם ד"ה כותבין, כ"כ הה"מ [שם] בשמו)</w:t>
      </w:r>
      <w:r w:rsidRPr="001D49D4">
        <w:rPr>
          <w:rtl/>
        </w:rPr>
        <w:t xml:space="preserve"> וטור</w:t>
      </w:r>
      <w:r w:rsidRPr="001D49D4">
        <w:rPr>
          <w:vertAlign w:val="superscript"/>
          <w:rtl/>
        </w:rPr>
        <w:footnoteReference w:id="3017"/>
      </w:r>
      <w:r w:rsidRPr="001D49D4">
        <w:rPr>
          <w:rtl/>
        </w:rPr>
        <w:t>- לעולם מלוה יכול לחזור בו</w:t>
      </w:r>
      <w:r w:rsidRPr="001D49D4">
        <w:rPr>
          <w:sz w:val="16"/>
          <w:szCs w:val="16"/>
          <w:rtl/>
        </w:rPr>
        <w:t xml:space="preserve"> (ל' הב"י בשם הרשב"א)</w:t>
      </w:r>
      <w:r w:rsidRPr="001D49D4">
        <w:rPr>
          <w:vertAlign w:val="superscript"/>
          <w:rtl/>
        </w:rPr>
        <w:footnoteReference w:id="3018"/>
      </w:r>
      <w:r w:rsidRPr="001D49D4">
        <w:rPr>
          <w:rtl/>
        </w:rPr>
        <w:t xml:space="preserve">. </w:t>
      </w:r>
      <w:r w:rsidRPr="001D49D4">
        <w:rPr>
          <w:color w:val="E36C0A" w:themeColor="accent6" w:themeShade="BF"/>
          <w:rtl/>
        </w:rPr>
        <w:t>(וכ"פ בשו"ע)</w:t>
      </w:r>
    </w:p>
    <w:p w14:paraId="2F5611F2"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b/>
          <w:bCs/>
          <w:rtl/>
        </w:rPr>
        <w:t xml:space="preserve">בבא בתרא </w:t>
      </w:r>
      <w:r w:rsidRPr="001D49D4">
        <w:rPr>
          <w:rFonts w:ascii="Calibri" w:eastAsia="Calibri" w:hAnsi="Calibri" w:cs="Arial"/>
          <w:b/>
          <w:bCs/>
          <w:sz w:val="16"/>
          <w:szCs w:val="16"/>
          <w:rtl/>
        </w:rPr>
        <w:t xml:space="preserve">(פרק גט פשוט) </w:t>
      </w:r>
      <w:r w:rsidRPr="001D49D4">
        <w:rPr>
          <w:rFonts w:ascii="Calibri" w:eastAsia="Calibri" w:hAnsi="Calibri" w:cs="Arial"/>
          <w:b/>
          <w:bCs/>
          <w:rtl/>
        </w:rPr>
        <w:t>קסז</w:t>
      </w:r>
      <w:r w:rsidRPr="001D49D4">
        <w:rPr>
          <w:rFonts w:ascii="Calibri" w:eastAsia="Calibri" w:hAnsi="Calibri" w:cs="Arial"/>
          <w:b/>
          <w:bCs/>
          <w:vertAlign w:val="superscript"/>
          <w:rtl/>
        </w:rPr>
        <w:footnoteReference w:id="3019"/>
      </w:r>
      <w:r w:rsidRPr="001D49D4">
        <w:rPr>
          <w:rFonts w:ascii="Calibri" w:eastAsia="Calibri" w:hAnsi="Calibri" w:cs="Arial"/>
          <w:b/>
          <w:bCs/>
          <w:rtl/>
        </w:rPr>
        <w:t xml:space="preserve"> ע"א: </w:t>
      </w:r>
      <w:r w:rsidRPr="001D49D4">
        <w:rPr>
          <w:rFonts w:ascii="Calibri" w:eastAsia="Calibri" w:hAnsi="Calibri" w:cs="Arial"/>
          <w:u w:val="double"/>
          <w:rtl/>
        </w:rPr>
        <w:t>מתני'</w:t>
      </w:r>
      <w:r w:rsidRPr="001D49D4">
        <w:rPr>
          <w:rFonts w:ascii="Calibri" w:eastAsia="Calibri" w:hAnsi="Calibri" w:cs="Arial"/>
          <w:rtl/>
        </w:rPr>
        <w:t xml:space="preserve">: כותבין גט לאיש אף על פי שאין אשתו עמו, והשובר לאשה - אף על פי שאין בעלה עמה, ובלבד שיהא מכירן. והבעל נותן שכר. </w:t>
      </w:r>
      <w:r w:rsidRPr="001D49D4">
        <w:rPr>
          <w:rFonts w:ascii="Calibri" w:eastAsia="Calibri" w:hAnsi="Calibri" w:cs="Arial"/>
          <w:sz w:val="14"/>
          <w:szCs w:val="14"/>
          <w:rtl/>
        </w:rPr>
        <w:t>(קסז:)</w:t>
      </w:r>
      <w:r w:rsidRPr="001D49D4">
        <w:rPr>
          <w:rFonts w:ascii="Calibri" w:eastAsia="Calibri" w:hAnsi="Calibri" w:cs="Arial"/>
          <w:rtl/>
        </w:rPr>
        <w:t xml:space="preserve"> כותבין שטר ללוה אף על פי שאין מלוה עמו, ואין כותבין למלוה עד שיהא לוה עמו, והלוה נותן שכר... </w:t>
      </w:r>
      <w:r w:rsidRPr="001D49D4">
        <w:rPr>
          <w:rFonts w:ascii="Calibri" w:eastAsia="Calibri" w:hAnsi="Calibri" w:cs="Arial"/>
          <w:u w:val="double"/>
          <w:rtl/>
        </w:rPr>
        <w:t>גמ'</w:t>
      </w:r>
      <w:r w:rsidRPr="001D49D4">
        <w:rPr>
          <w:rFonts w:ascii="Calibri" w:eastAsia="Calibri" w:hAnsi="Calibri" w:cs="Arial"/>
          <w:sz w:val="14"/>
          <w:szCs w:val="14"/>
          <w:u w:val="double"/>
          <w:rtl/>
        </w:rPr>
        <w:t xml:space="preserve"> (קסח.)</w:t>
      </w:r>
      <w:r w:rsidRPr="001D49D4">
        <w:rPr>
          <w:rFonts w:ascii="Calibri" w:eastAsia="Calibri" w:hAnsi="Calibri" w:cs="Arial"/>
          <w:rtl/>
        </w:rPr>
        <w:t>: כותבין שטר ללוה אף על פי שאין מלוה עמו וכו'</w:t>
      </w:r>
      <w:r w:rsidRPr="001D49D4">
        <w:rPr>
          <w:rFonts w:ascii="Calibri" w:eastAsia="Calibri" w:hAnsi="Calibri" w:cs="Arial"/>
          <w:vertAlign w:val="superscript"/>
          <w:rtl/>
        </w:rPr>
        <w:footnoteReference w:id="3020"/>
      </w:r>
      <w:r w:rsidRPr="001D49D4">
        <w:rPr>
          <w:rFonts w:ascii="Calibri" w:eastAsia="Calibri" w:hAnsi="Calibri" w:cs="Arial"/>
          <w:rtl/>
        </w:rPr>
        <w:t>. פשיטא</w:t>
      </w:r>
      <w:r w:rsidRPr="001D49D4">
        <w:rPr>
          <w:rFonts w:ascii="Calibri" w:eastAsia="Calibri" w:hAnsi="Calibri" w:cs="Arial"/>
          <w:vertAlign w:val="superscript"/>
          <w:rtl/>
        </w:rPr>
        <w:footnoteReference w:id="3021"/>
      </w:r>
      <w:r w:rsidRPr="001D49D4">
        <w:rPr>
          <w:rFonts w:ascii="Calibri" w:eastAsia="Calibri" w:hAnsi="Calibri" w:cs="Arial"/>
          <w:rtl/>
        </w:rPr>
        <w:t>! לא צריכא, בעיסקא</w:t>
      </w:r>
      <w:r w:rsidRPr="001D49D4">
        <w:rPr>
          <w:rFonts w:ascii="Calibri" w:eastAsia="Calibri" w:hAnsi="Calibri" w:cs="Arial"/>
          <w:vertAlign w:val="superscript"/>
          <w:rtl/>
        </w:rPr>
        <w:footnoteReference w:id="3022"/>
      </w:r>
      <w:r w:rsidRPr="001D49D4">
        <w:rPr>
          <w:rFonts w:ascii="Calibri" w:eastAsia="Calibri" w:hAnsi="Calibri" w:cs="Arial"/>
          <w:rtl/>
        </w:rPr>
        <w:t>.</w:t>
      </w:r>
    </w:p>
    <w:p w14:paraId="13FB48E2" w14:textId="77777777" w:rsidR="001D49D4" w:rsidRPr="001D49D4" w:rsidRDefault="001D49D4" w:rsidP="0004348D">
      <w:pPr>
        <w:spacing w:before="360" w:after="240"/>
        <w:rPr>
          <w:rFonts w:ascii="Calibri" w:eastAsia="Calibri" w:hAnsi="Calibri" w:cs="Arial"/>
          <w:u w:val="single"/>
          <w:rtl/>
        </w:rPr>
      </w:pPr>
      <w:r w:rsidRPr="001D49D4">
        <w:rPr>
          <w:rFonts w:ascii="Calibri" w:eastAsia="Calibri" w:hAnsi="Calibri" w:cs="Arial"/>
          <w:u w:val="single"/>
          <w:rtl/>
        </w:rPr>
        <w:t>מי נותן את שכר הסופר:</w:t>
      </w:r>
    </w:p>
    <w:p w14:paraId="2A27C305" w14:textId="77777777" w:rsidR="001D49D4" w:rsidRPr="001D49D4" w:rsidRDefault="001D49D4" w:rsidP="0004348D">
      <w:pPr>
        <w:numPr>
          <w:ilvl w:val="0"/>
          <w:numId w:val="210"/>
        </w:numPr>
        <w:spacing w:before="360" w:after="240"/>
        <w:contextualSpacing/>
        <w:rPr>
          <w:u w:val="single"/>
          <w:rtl/>
        </w:rPr>
      </w:pPr>
      <w:r w:rsidRPr="001D49D4">
        <w:rPr>
          <w:rtl/>
        </w:rPr>
        <w:t>טור- הלוה נותן השכר, ואפילו הוא שטר עיסקא.</w:t>
      </w:r>
      <w:r w:rsidRPr="001D49D4">
        <w:rPr>
          <w:color w:val="00B0F0"/>
          <w:rtl/>
        </w:rPr>
        <w:t xml:space="preserve"> </w:t>
      </w:r>
      <w:r w:rsidRPr="001D49D4">
        <w:rPr>
          <w:color w:val="E36C0A" w:themeColor="accent6" w:themeShade="BF"/>
          <w:rtl/>
        </w:rPr>
        <w:t>(וכ"פ בשו"ע)</w:t>
      </w:r>
    </w:p>
    <w:p w14:paraId="52716424" w14:textId="77777777" w:rsidR="001D49D4" w:rsidRPr="001D49D4" w:rsidRDefault="001D49D4" w:rsidP="0004348D">
      <w:pPr>
        <w:spacing w:before="360" w:after="240"/>
        <w:ind w:left="360"/>
        <w:rPr>
          <w:rFonts w:ascii="Calibri" w:eastAsia="Calibri" w:hAnsi="Calibri" w:cs="Arial"/>
          <w:u w:val="dotted"/>
          <w:rtl/>
        </w:rPr>
      </w:pPr>
      <w:r w:rsidRPr="001D49D4">
        <w:rPr>
          <w:rFonts w:ascii="Calibri" w:eastAsia="Calibri" w:hAnsi="Calibri" w:cs="Arial"/>
          <w:u w:val="dotted"/>
          <w:rtl/>
        </w:rPr>
        <w:t xml:space="preserve">ומה הדין אם המלוה אבד את השטר ורוצה לכתוב שטר אחר: </w:t>
      </w:r>
    </w:p>
    <w:p w14:paraId="631BA44C" w14:textId="77777777" w:rsidR="001D49D4" w:rsidRPr="001D49D4" w:rsidRDefault="001D49D4" w:rsidP="0004348D">
      <w:pPr>
        <w:numPr>
          <w:ilvl w:val="0"/>
          <w:numId w:val="210"/>
        </w:numPr>
        <w:spacing w:before="360" w:after="240"/>
        <w:contextualSpacing/>
        <w:rPr>
          <w:rtl/>
        </w:rPr>
      </w:pPr>
      <w:r w:rsidRPr="001D49D4">
        <w:rPr>
          <w:rtl/>
        </w:rPr>
        <w:t xml:space="preserve">נמוק"י </w:t>
      </w:r>
      <w:r w:rsidRPr="001D49D4">
        <w:rPr>
          <w:sz w:val="16"/>
          <w:szCs w:val="16"/>
          <w:rtl/>
        </w:rPr>
        <w:t>(ב"ב עז: ד"ה גמ')</w:t>
      </w:r>
      <w:r w:rsidRPr="001D49D4">
        <w:rPr>
          <w:rtl/>
        </w:rPr>
        <w:t>- אם אבד המלוה את השטר וצריך לכתוב אחר - הוא נותן השכר</w:t>
      </w:r>
      <w:r w:rsidRPr="001D49D4">
        <w:rPr>
          <w:vertAlign w:val="superscript"/>
          <w:rtl/>
        </w:rPr>
        <w:footnoteReference w:id="3023"/>
      </w:r>
      <w:r w:rsidRPr="001D49D4">
        <w:rPr>
          <w:rtl/>
        </w:rPr>
        <w:t>.</w:t>
      </w:r>
      <w:r w:rsidRPr="001D49D4">
        <w:rPr>
          <w:color w:val="00B0F0"/>
          <w:rtl/>
        </w:rPr>
        <w:t>(וכ"פ הרמ"א</w:t>
      </w:r>
      <w:r w:rsidRPr="001D49D4">
        <w:rPr>
          <w:color w:val="000000" w:themeColor="text1"/>
          <w:sz w:val="16"/>
          <w:szCs w:val="16"/>
          <w:rtl/>
        </w:rPr>
        <w:t xml:space="preserve"> [סע' יז]</w:t>
      </w:r>
      <w:r w:rsidRPr="001D49D4">
        <w:rPr>
          <w:color w:val="00B0F0"/>
          <w:rtl/>
        </w:rPr>
        <w:t>)</w:t>
      </w:r>
    </w:p>
    <w:p w14:paraId="367AF50A" w14:textId="77777777" w:rsidR="001D49D4" w:rsidRPr="001D49D4" w:rsidRDefault="001D49D4" w:rsidP="0004348D">
      <w:pPr>
        <w:spacing w:before="360" w:after="240"/>
        <w:rPr>
          <w:rFonts w:ascii="Arial" w:eastAsia="Calibri" w:hAnsi="Arial" w:cs="Arial"/>
          <w:b/>
          <w:bCs/>
          <w:color w:val="000000"/>
          <w:sz w:val="28"/>
          <w:szCs w:val="28"/>
          <w:u w:val="single"/>
          <w:rtl/>
        </w:rPr>
      </w:pPr>
      <w:r w:rsidRPr="001D49D4">
        <w:rPr>
          <w:rFonts w:ascii="Arial" w:eastAsia="Calibri" w:hAnsi="Arial" w:cs="Arial"/>
          <w:b/>
          <w:bCs/>
          <w:color w:val="000000"/>
          <w:sz w:val="28"/>
          <w:szCs w:val="28"/>
          <w:u w:val="single"/>
          <w:rtl/>
        </w:rPr>
        <w:t>שו"ע:</w:t>
      </w:r>
    </w:p>
    <w:p w14:paraId="26175D05"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rtl/>
        </w:rPr>
        <w:lastRenderedPageBreak/>
        <w:t>לוה שבא לבית דין בשטר חוב שבידו, לכפות את המלוה להלוותו עד זמן שקבע, אפילו נתברר שמדעת המלוה נכתב, יכול לחזור בו</w:t>
      </w:r>
      <w:r w:rsidRPr="001D49D4">
        <w:rPr>
          <w:rFonts w:ascii="Calibri" w:eastAsia="Calibri" w:hAnsi="Calibri" w:cs="Arial"/>
          <w:vertAlign w:val="superscript"/>
          <w:rtl/>
        </w:rPr>
        <w:footnoteReference w:id="3024"/>
      </w:r>
      <w:r w:rsidRPr="001D49D4">
        <w:rPr>
          <w:rFonts w:ascii="Calibri" w:eastAsia="Calibri" w:hAnsi="Calibri" w:cs="Arial"/>
          <w:rtl/>
        </w:rPr>
        <w:t xml:space="preserve">. </w:t>
      </w:r>
      <w:r w:rsidRPr="001D49D4">
        <w:rPr>
          <w:rFonts w:ascii="Calibri" w:eastAsia="Calibri" w:hAnsi="Calibri" w:cs="Arial"/>
          <w:sz w:val="18"/>
          <w:szCs w:val="18"/>
          <w:rtl/>
        </w:rPr>
        <w:t xml:space="preserve">[הגה] אבל אמר להלוות לו על משכון והחזיק במשכון, לא יוכל לחזור בו (רשב"א סי' אלף נד). </w:t>
      </w:r>
      <w:r w:rsidRPr="001D49D4">
        <w:rPr>
          <w:rFonts w:ascii="Calibri" w:eastAsia="Calibri" w:hAnsi="Calibri" w:cs="Arial"/>
          <w:rtl/>
        </w:rPr>
        <w:t>הלוה נותן שכר הסופר, אפילו הוא שטר עיסקא</w:t>
      </w:r>
      <w:r w:rsidRPr="001D49D4">
        <w:rPr>
          <w:rFonts w:ascii="Calibri" w:eastAsia="Calibri" w:hAnsi="Calibri" w:cs="Arial"/>
          <w:vertAlign w:val="superscript"/>
          <w:rtl/>
        </w:rPr>
        <w:footnoteReference w:id="3025"/>
      </w:r>
      <w:r w:rsidRPr="001D49D4">
        <w:rPr>
          <w:rFonts w:ascii="Calibri" w:eastAsia="Calibri" w:hAnsi="Calibri" w:cs="Arial"/>
          <w:rtl/>
        </w:rPr>
        <w:t xml:space="preserve">. </w:t>
      </w:r>
      <w:r w:rsidRPr="001D49D4">
        <w:rPr>
          <w:rFonts w:ascii="Calibri" w:eastAsia="Calibri" w:hAnsi="Calibri" w:cs="Arial"/>
          <w:sz w:val="18"/>
          <w:szCs w:val="18"/>
          <w:rtl/>
        </w:rPr>
        <w:t>ואם המלוה אבד השטר וצריך לכתוב אחר, הוא נותן השכר (נמוק"י והה"מ</w:t>
      </w:r>
      <w:r w:rsidRPr="001D49D4">
        <w:rPr>
          <w:rFonts w:ascii="Calibri" w:eastAsia="Calibri" w:hAnsi="Calibri" w:cs="Arial"/>
          <w:sz w:val="18"/>
          <w:szCs w:val="18"/>
          <w:vertAlign w:val="superscript"/>
          <w:rtl/>
        </w:rPr>
        <w:footnoteReference w:id="3026"/>
      </w:r>
      <w:r w:rsidRPr="001D49D4">
        <w:rPr>
          <w:rFonts w:ascii="Calibri" w:eastAsia="Calibri" w:hAnsi="Calibri" w:cs="Arial"/>
          <w:sz w:val="18"/>
          <w:szCs w:val="18"/>
          <w:rtl/>
        </w:rPr>
        <w:t>).</w:t>
      </w:r>
    </w:p>
    <w:p w14:paraId="6958613B" w14:textId="77777777" w:rsidR="001D49D4" w:rsidRPr="001D49D4" w:rsidRDefault="001D49D4" w:rsidP="0004348D">
      <w:pPr>
        <w:spacing w:before="360" w:after="240"/>
        <w:rPr>
          <w:rFonts w:ascii="Calibri" w:eastAsia="Calibri" w:hAnsi="Calibri" w:cs="Arial"/>
          <w:rtl/>
        </w:rPr>
      </w:pPr>
    </w:p>
    <w:p w14:paraId="7E96FB28" w14:textId="77777777" w:rsidR="001D49D4" w:rsidRPr="001D49D4" w:rsidRDefault="001D49D4" w:rsidP="0004348D">
      <w:pPr>
        <w:bidi w:val="0"/>
        <w:spacing w:before="360" w:after="240"/>
        <w:rPr>
          <w:rFonts w:ascii="Cambria" w:eastAsia="Times New Roman" w:hAnsi="Cambria" w:cs="Arial"/>
          <w:b/>
          <w:bCs/>
          <w:color w:val="365F91" w:themeColor="accent1" w:themeShade="BF"/>
          <w:sz w:val="28"/>
          <w:szCs w:val="28"/>
          <w:rtl/>
        </w:rPr>
        <w:sectPr w:rsidR="001D49D4" w:rsidRPr="001D49D4" w:rsidSect="001D49D4">
          <w:headerReference w:type="default" r:id="rId48"/>
          <w:footnotePr>
            <w:numRestart w:val="eachPage"/>
          </w:footnotePr>
          <w:pgSz w:w="11906" w:h="16838"/>
          <w:pgMar w:top="720" w:right="1134" w:bottom="720" w:left="1134" w:header="0" w:footer="0" w:gutter="0"/>
          <w:cols w:space="720"/>
          <w:bidi/>
          <w:rtlGutter/>
          <w:docGrid w:linePitch="299"/>
        </w:sectPr>
      </w:pPr>
    </w:p>
    <w:p w14:paraId="012E2EDD" w14:textId="77777777" w:rsidR="001D49D4" w:rsidRPr="001D49D4" w:rsidRDefault="001D49D4" w:rsidP="0004348D">
      <w:pPr>
        <w:keepNext/>
        <w:keepLines/>
        <w:spacing w:before="360" w:after="240"/>
        <w:outlineLvl w:val="0"/>
        <w:rPr>
          <w:rFonts w:ascii="Cambria" w:eastAsia="Times New Roman" w:hAnsi="Cambria" w:cs="Arial"/>
          <w:b/>
          <w:bCs/>
          <w:color w:val="365F91" w:themeColor="accent1" w:themeShade="BF"/>
          <w:sz w:val="28"/>
          <w:szCs w:val="28"/>
          <w:rtl/>
        </w:rPr>
      </w:pPr>
      <w:bookmarkStart w:id="402" w:name="_Toc24883844"/>
      <w:r w:rsidRPr="001D49D4">
        <w:rPr>
          <w:rFonts w:ascii="Cambria" w:eastAsia="Times New Roman" w:hAnsi="Cambria" w:cs="Arial"/>
          <w:b/>
          <w:bCs/>
          <w:color w:val="365F91" w:themeColor="accent1" w:themeShade="BF"/>
          <w:sz w:val="28"/>
          <w:szCs w:val="28"/>
          <w:rtl/>
        </w:rPr>
        <w:lastRenderedPageBreak/>
        <w:t>סימן מ: דין המחייב עצמו לחבירו, ובו ב' סעיפים.</w:t>
      </w:r>
      <w:bookmarkEnd w:id="402"/>
      <w:r w:rsidRPr="001D49D4">
        <w:rPr>
          <w:rFonts w:ascii="Cambria" w:eastAsia="Times New Roman" w:hAnsi="Cambria" w:cs="Arial"/>
          <w:b/>
          <w:bCs/>
          <w:color w:val="365F91" w:themeColor="accent1" w:themeShade="BF"/>
          <w:sz w:val="28"/>
          <w:szCs w:val="28"/>
          <w:rtl/>
        </w:rPr>
        <w:t xml:space="preserve"> </w:t>
      </w:r>
    </w:p>
    <w:p w14:paraId="63C8752D" w14:textId="77777777" w:rsidR="001D49D4" w:rsidRPr="001D49D4" w:rsidRDefault="001D49D4" w:rsidP="0004348D">
      <w:pPr>
        <w:keepNext/>
        <w:keepLines/>
        <w:spacing w:before="360" w:after="240"/>
        <w:outlineLvl w:val="1"/>
        <w:rPr>
          <w:rFonts w:ascii="Cambria" w:eastAsia="Times New Roman" w:hAnsi="Cambria" w:cs="Arial"/>
          <w:bCs/>
          <w:color w:val="548DD4" w:themeColor="text2" w:themeTint="99"/>
          <w:sz w:val="26"/>
          <w:szCs w:val="26"/>
          <w:rtl/>
        </w:rPr>
      </w:pPr>
      <w:bookmarkStart w:id="403" w:name="_Toc24883845"/>
      <w:r w:rsidRPr="001D49D4">
        <w:rPr>
          <w:rFonts w:ascii="Cambria" w:eastAsia="Times New Roman" w:hAnsi="Cambria" w:cs="Arial"/>
          <w:bCs/>
          <w:color w:val="548DD4" w:themeColor="text2" w:themeTint="99"/>
          <w:sz w:val="26"/>
          <w:szCs w:val="26"/>
          <w:rtl/>
        </w:rPr>
        <w:t xml:space="preserve">סעיף א: המחייב עצמו בממון לחברו סתם </w:t>
      </w:r>
      <w:r w:rsidRPr="001D49D4">
        <w:rPr>
          <w:rFonts w:ascii="Cambria" w:eastAsia="Times New Roman" w:hAnsi="Cambria" w:cs="Arial"/>
          <w:bCs/>
          <w:color w:val="548DD4" w:themeColor="text2" w:themeTint="99"/>
          <w:sz w:val="18"/>
          <w:szCs w:val="18"/>
          <w:rtl/>
        </w:rPr>
        <w:t>(בלא תנאי)</w:t>
      </w:r>
      <w:r w:rsidRPr="001D49D4">
        <w:rPr>
          <w:rFonts w:ascii="Cambria" w:eastAsia="Times New Roman" w:hAnsi="Cambria" w:cs="Arial"/>
          <w:bCs/>
          <w:color w:val="548DD4" w:themeColor="text2" w:themeTint="99"/>
          <w:sz w:val="26"/>
          <w:szCs w:val="26"/>
          <w:rtl/>
        </w:rPr>
        <w:t>.</w:t>
      </w:r>
      <w:bookmarkEnd w:id="403"/>
    </w:p>
    <w:p w14:paraId="1C443597" w14:textId="77777777" w:rsidR="001D49D4" w:rsidRPr="001D49D4" w:rsidRDefault="001D49D4" w:rsidP="0004348D">
      <w:pPr>
        <w:spacing w:before="360" w:after="240"/>
        <w:rPr>
          <w:rFonts w:ascii="Calibri" w:eastAsia="Calibri" w:hAnsi="Calibri" w:cs="Arial"/>
          <w:sz w:val="16"/>
          <w:szCs w:val="16"/>
          <w:rtl/>
        </w:rPr>
      </w:pPr>
      <w:r w:rsidRPr="001D49D4">
        <w:rPr>
          <w:rFonts w:ascii="Calibri" w:eastAsia="Calibri" w:hAnsi="Calibri" w:cs="Arial"/>
          <w:b/>
          <w:bCs/>
          <w:rtl/>
        </w:rPr>
        <w:t xml:space="preserve">כתובות </w:t>
      </w:r>
      <w:r w:rsidRPr="001D49D4">
        <w:rPr>
          <w:rFonts w:ascii="Calibri" w:eastAsia="Calibri" w:hAnsi="Calibri" w:cs="Arial"/>
          <w:b/>
          <w:bCs/>
          <w:sz w:val="16"/>
          <w:szCs w:val="16"/>
          <w:rtl/>
        </w:rPr>
        <w:t>(ר"פ הנושא)</w:t>
      </w:r>
      <w:r w:rsidRPr="001D49D4">
        <w:rPr>
          <w:rFonts w:ascii="Calibri" w:eastAsia="Calibri" w:hAnsi="Calibri" w:cs="Arial"/>
          <w:b/>
          <w:bCs/>
          <w:rtl/>
        </w:rPr>
        <w:t xml:space="preserve"> קא</w:t>
      </w:r>
      <w:r w:rsidRPr="001D49D4">
        <w:rPr>
          <w:rFonts w:ascii="Calibri" w:eastAsia="Calibri" w:hAnsi="Calibri" w:cs="Arial"/>
          <w:b/>
          <w:bCs/>
          <w:vertAlign w:val="superscript"/>
          <w:rtl/>
        </w:rPr>
        <w:footnoteReference w:id="3027"/>
      </w:r>
      <w:r w:rsidRPr="001D49D4">
        <w:rPr>
          <w:rFonts w:ascii="Calibri" w:eastAsia="Calibri" w:hAnsi="Calibri" w:cs="Arial"/>
          <w:b/>
          <w:bCs/>
          <w:rtl/>
        </w:rPr>
        <w:t xml:space="preserve"> ע"ב:</w:t>
      </w:r>
      <w:r w:rsidRPr="001D49D4">
        <w:rPr>
          <w:rFonts w:ascii="Calibri" w:eastAsia="Calibri" w:hAnsi="Calibri" w:cs="Arial"/>
          <w:rtl/>
        </w:rPr>
        <w:t xml:space="preserve"> אתמר: האומר לחבירו חייב אני לך מנה, </w:t>
      </w:r>
      <w:r w:rsidRPr="001D49D4">
        <w:rPr>
          <w:rFonts w:ascii="Calibri" w:eastAsia="Calibri" w:hAnsi="Calibri" w:cs="Arial"/>
          <w:u w:val="single"/>
          <w:rtl/>
        </w:rPr>
        <w:t>רבי יוחנן אמר</w:t>
      </w:r>
      <w:r w:rsidRPr="001D49D4">
        <w:rPr>
          <w:rFonts w:ascii="Calibri" w:eastAsia="Calibri" w:hAnsi="Calibri" w:cs="Arial"/>
          <w:rtl/>
        </w:rPr>
        <w:t xml:space="preserve">: חייב, </w:t>
      </w:r>
      <w:r w:rsidRPr="001D49D4">
        <w:rPr>
          <w:rFonts w:ascii="Calibri" w:eastAsia="Calibri" w:hAnsi="Calibri" w:cs="Arial"/>
          <w:u w:val="single"/>
          <w:rtl/>
        </w:rPr>
        <w:t>ור"ל אמר</w:t>
      </w:r>
      <w:r w:rsidRPr="001D49D4">
        <w:rPr>
          <w:rFonts w:ascii="Calibri" w:eastAsia="Calibri" w:hAnsi="Calibri" w:cs="Arial"/>
          <w:rtl/>
        </w:rPr>
        <w:t>: פטור. ה"ד? אי דאמר להו</w:t>
      </w:r>
      <w:r w:rsidRPr="001D49D4">
        <w:rPr>
          <w:rFonts w:ascii="Calibri" w:eastAsia="Calibri" w:hAnsi="Calibri" w:cs="Arial"/>
          <w:vertAlign w:val="superscript"/>
          <w:rtl/>
        </w:rPr>
        <w:footnoteReference w:id="3028"/>
      </w:r>
      <w:r w:rsidRPr="001D49D4">
        <w:rPr>
          <w:rFonts w:ascii="Calibri" w:eastAsia="Calibri" w:hAnsi="Calibri" w:cs="Arial"/>
          <w:rtl/>
        </w:rPr>
        <w:t xml:space="preserve"> אתם עדיי, מ"ט דר"ל דקפטר? אי דלא אמר להו</w:t>
      </w:r>
      <w:r w:rsidRPr="001D49D4">
        <w:rPr>
          <w:rFonts w:ascii="Calibri" w:eastAsia="Calibri" w:hAnsi="Calibri" w:cs="Arial"/>
          <w:vertAlign w:val="superscript"/>
          <w:rtl/>
        </w:rPr>
        <w:footnoteReference w:id="3029"/>
      </w:r>
      <w:r w:rsidRPr="001D49D4">
        <w:rPr>
          <w:rFonts w:ascii="Calibri" w:eastAsia="Calibri" w:hAnsi="Calibri" w:cs="Arial"/>
          <w:rtl/>
        </w:rPr>
        <w:t xml:space="preserve"> אתם עדיי, מ"ט דרבי יוחנן</w:t>
      </w:r>
      <w:r w:rsidRPr="001D49D4">
        <w:rPr>
          <w:rFonts w:ascii="Calibri" w:eastAsia="Calibri" w:hAnsi="Calibri" w:cs="Arial"/>
          <w:vertAlign w:val="superscript"/>
          <w:rtl/>
        </w:rPr>
        <w:footnoteReference w:id="3030"/>
      </w:r>
      <w:r w:rsidRPr="001D49D4">
        <w:rPr>
          <w:rFonts w:ascii="Calibri" w:eastAsia="Calibri" w:hAnsi="Calibri" w:cs="Arial"/>
          <w:rtl/>
        </w:rPr>
        <w:t xml:space="preserve"> דקמחייב? לעולם דלא קאמר להו אתם עדיי, והכא במאי עסקינן - דא"ל חייב אני לך מנה בשטר, </w:t>
      </w:r>
      <w:r w:rsidRPr="001D49D4">
        <w:rPr>
          <w:rFonts w:ascii="Calibri" w:eastAsia="Calibri" w:hAnsi="Calibri" w:cs="Arial"/>
          <w:u w:val="single"/>
          <w:rtl/>
        </w:rPr>
        <w:t>רבי יוחנן אמר</w:t>
      </w:r>
      <w:r w:rsidRPr="001D49D4">
        <w:rPr>
          <w:rFonts w:ascii="Calibri" w:eastAsia="Calibri" w:hAnsi="Calibri" w:cs="Arial"/>
          <w:rtl/>
        </w:rPr>
        <w:t>: חייב, אלימא מילתא דשטרא</w:t>
      </w:r>
      <w:r w:rsidRPr="001D49D4">
        <w:rPr>
          <w:rFonts w:ascii="Calibri" w:eastAsia="Calibri" w:hAnsi="Calibri" w:cs="Arial"/>
          <w:vertAlign w:val="superscript"/>
          <w:rtl/>
        </w:rPr>
        <w:footnoteReference w:id="3031"/>
      </w:r>
      <w:r w:rsidRPr="001D49D4">
        <w:rPr>
          <w:rFonts w:ascii="Calibri" w:eastAsia="Calibri" w:hAnsi="Calibri" w:cs="Arial"/>
          <w:rtl/>
        </w:rPr>
        <w:t xml:space="preserve"> כמאן דאמר להו אתם עדים דמי. </w:t>
      </w:r>
      <w:r w:rsidRPr="001D49D4">
        <w:rPr>
          <w:rFonts w:ascii="Calibri" w:eastAsia="Calibri" w:hAnsi="Calibri" w:cs="Arial"/>
          <w:u w:val="single"/>
          <w:rtl/>
        </w:rPr>
        <w:t>ר"ל אמר</w:t>
      </w:r>
      <w:r w:rsidRPr="001D49D4">
        <w:rPr>
          <w:rFonts w:ascii="Calibri" w:eastAsia="Calibri" w:hAnsi="Calibri" w:cs="Arial"/>
          <w:rtl/>
        </w:rPr>
        <w:t>: פטור, לא אלימא מילתא דשטרא.</w:t>
      </w:r>
      <w:r w:rsidRPr="001D49D4">
        <w:rPr>
          <w:rFonts w:ascii="Calibri" w:eastAsia="Calibri" w:hAnsi="Calibri" w:cs="Arial"/>
          <w:sz w:val="16"/>
          <w:szCs w:val="16"/>
          <w:rtl/>
        </w:rPr>
        <w:t xml:space="preserve"> (והלכה כרבי יוחנן, ועי' לקמן בסמוך כיצד)</w:t>
      </w:r>
    </w:p>
    <w:p w14:paraId="7FC8928E" w14:textId="77777777" w:rsidR="001D49D4" w:rsidRPr="001D49D4" w:rsidRDefault="001D49D4" w:rsidP="0004348D">
      <w:pPr>
        <w:spacing w:before="360" w:after="240"/>
        <w:rPr>
          <w:rFonts w:ascii="Calibri" w:eastAsia="Calibri" w:hAnsi="Calibri" w:cs="Arial"/>
          <w:u w:val="single"/>
          <w:rtl/>
        </w:rPr>
      </w:pPr>
      <w:r w:rsidRPr="001D49D4">
        <w:rPr>
          <w:rFonts w:ascii="Calibri" w:eastAsia="Calibri" w:hAnsi="Calibri" w:cs="Arial"/>
          <w:u w:val="single"/>
          <w:rtl/>
        </w:rPr>
        <w:t>'והכא במאי עסקינן דא"ל חייב אני לך מנה בשטר' – כיצד פירושו:</w:t>
      </w:r>
    </w:p>
    <w:p w14:paraId="4CAB5456" w14:textId="77777777" w:rsidR="001D49D4" w:rsidRPr="001D49D4" w:rsidRDefault="001D49D4" w:rsidP="0004348D">
      <w:pPr>
        <w:numPr>
          <w:ilvl w:val="0"/>
          <w:numId w:val="212"/>
        </w:numPr>
        <w:spacing w:before="360" w:after="240"/>
        <w:contextualSpacing/>
        <w:rPr>
          <w:rtl/>
        </w:rPr>
      </w:pPr>
      <w:r w:rsidRPr="001D49D4">
        <w:rPr>
          <w:rtl/>
        </w:rPr>
        <w:t>רש"י</w:t>
      </w:r>
      <w:r w:rsidRPr="001D49D4">
        <w:rPr>
          <w:sz w:val="16"/>
          <w:szCs w:val="16"/>
          <w:rtl/>
        </w:rPr>
        <w:t xml:space="preserve"> (ד"ה ה"ג לעולם)</w:t>
      </w:r>
      <w:r w:rsidRPr="001D49D4">
        <w:rPr>
          <w:rtl/>
        </w:rPr>
        <w:t xml:space="preserve">- שמסר לו שטר בפני עדים שכתוב בו 'פלוני חייב לפלוני מנה' או 'אני חייב לך מנה </w:t>
      </w:r>
      <w:r w:rsidRPr="001D49D4">
        <w:rPr>
          <w:vertAlign w:val="superscript"/>
          <w:rtl/>
        </w:rPr>
        <w:footnoteReference w:id="3032"/>
      </w:r>
      <w:r w:rsidRPr="001D49D4">
        <w:rPr>
          <w:rtl/>
        </w:rPr>
        <w:t>(בשטר)' ואינו כתב ידו</w:t>
      </w:r>
      <w:r w:rsidRPr="001D49D4">
        <w:rPr>
          <w:vertAlign w:val="superscript"/>
          <w:rtl/>
        </w:rPr>
        <w:footnoteReference w:id="3033"/>
      </w:r>
      <w:r w:rsidRPr="001D49D4">
        <w:rPr>
          <w:rtl/>
        </w:rPr>
        <w:t xml:space="preserve"> - הוי הודאה וחייב לו אע"פ שלא אמר אתם עדים, אע"פ שאילו אמר לו זה על פה היה צ"ל אתם עדי - אלימא מילתא דשטרא כשכתב לו בשטר ומסרו לו בפני עדים שאצ"ל אתם עדי</w:t>
      </w:r>
      <w:r w:rsidRPr="001D49D4">
        <w:rPr>
          <w:vertAlign w:val="superscript"/>
          <w:rtl/>
        </w:rPr>
        <w:footnoteReference w:id="3034"/>
      </w:r>
      <w:r w:rsidRPr="001D49D4">
        <w:rPr>
          <w:rtl/>
        </w:rPr>
        <w:t xml:space="preserve"> </w:t>
      </w:r>
      <w:r w:rsidRPr="001D49D4">
        <w:rPr>
          <w:sz w:val="16"/>
          <w:szCs w:val="16"/>
          <w:rtl/>
        </w:rPr>
        <w:t>(ל' הטור בשם רש"י)</w:t>
      </w:r>
      <w:r w:rsidRPr="001D49D4">
        <w:rPr>
          <w:rtl/>
        </w:rPr>
        <w:t>.</w:t>
      </w:r>
    </w:p>
    <w:p w14:paraId="63CF3FBB" w14:textId="77777777" w:rsidR="001D49D4" w:rsidRPr="001D49D4" w:rsidRDefault="001D49D4" w:rsidP="0004348D">
      <w:pPr>
        <w:numPr>
          <w:ilvl w:val="0"/>
          <w:numId w:val="212"/>
        </w:numPr>
        <w:spacing w:before="360" w:after="240"/>
        <w:contextualSpacing/>
        <w:rPr>
          <w:rtl/>
        </w:rPr>
      </w:pPr>
      <w:r w:rsidRPr="001D49D4">
        <w:rPr>
          <w:rtl/>
        </w:rPr>
        <w:t xml:space="preserve">ר"ת </w:t>
      </w:r>
      <w:r w:rsidRPr="001D49D4">
        <w:rPr>
          <w:sz w:val="16"/>
          <w:szCs w:val="16"/>
          <w:rtl/>
        </w:rPr>
        <w:t>(שם קב. תוס' ד"ה אליבא, וכ"כ הרא"ש והטור בשמו)</w:t>
      </w:r>
      <w:r w:rsidRPr="001D49D4">
        <w:rPr>
          <w:rtl/>
        </w:rPr>
        <w:t xml:space="preserve"> ורא"ש </w:t>
      </w:r>
      <w:r w:rsidRPr="001D49D4">
        <w:rPr>
          <w:sz w:val="16"/>
          <w:szCs w:val="16"/>
          <w:rtl/>
        </w:rPr>
        <w:t>(סי' ב)</w:t>
      </w:r>
      <w:r w:rsidRPr="001D49D4">
        <w:rPr>
          <w:vertAlign w:val="superscript"/>
          <w:rtl/>
        </w:rPr>
        <w:footnoteReference w:id="3035"/>
      </w:r>
      <w:r w:rsidRPr="001D49D4">
        <w:rPr>
          <w:rtl/>
        </w:rPr>
        <w:t>- לא מיירי בהודאה שמודה בדבר שחייב בו, אלא מתחייב לו עתה</w:t>
      </w:r>
      <w:r w:rsidRPr="001D49D4">
        <w:rPr>
          <w:vertAlign w:val="superscript"/>
          <w:rtl/>
        </w:rPr>
        <w:footnoteReference w:id="3036"/>
      </w:r>
      <w:r w:rsidRPr="001D49D4">
        <w:rPr>
          <w:rtl/>
        </w:rPr>
        <w:t xml:space="preserve"> מנה, וכותב בכתב ידו 'אני פלוני חייב לך מנה', ומוסר לו השטר - ובמסירת זה השטר מתחייב לו עתה במנה. אם מוסרו לו בפני עדים גובה ממשעבדי, ואם מוסרו לו בינו לבין עצמו גובה מבני חרי</w:t>
      </w:r>
      <w:r w:rsidRPr="001D49D4">
        <w:rPr>
          <w:vertAlign w:val="superscript"/>
          <w:rtl/>
        </w:rPr>
        <w:footnoteReference w:id="3037"/>
      </w:r>
      <w:r w:rsidRPr="001D49D4">
        <w:rPr>
          <w:sz w:val="16"/>
          <w:szCs w:val="16"/>
          <w:rtl/>
        </w:rPr>
        <w:t xml:space="preserve"> (ל' הטור בשם ר"ת)</w:t>
      </w:r>
      <w:r w:rsidRPr="001D49D4">
        <w:rPr>
          <w:rtl/>
        </w:rPr>
        <w:t>.</w:t>
      </w:r>
    </w:p>
    <w:p w14:paraId="20CCD6A1" w14:textId="77777777" w:rsidR="001D49D4" w:rsidRPr="001D49D4" w:rsidRDefault="001D49D4" w:rsidP="0004348D">
      <w:pPr>
        <w:numPr>
          <w:ilvl w:val="0"/>
          <w:numId w:val="212"/>
        </w:numPr>
        <w:spacing w:before="360" w:after="240"/>
        <w:contextualSpacing/>
        <w:rPr>
          <w:rtl/>
        </w:rPr>
      </w:pPr>
      <w:r w:rsidRPr="001D49D4">
        <w:rPr>
          <w:rtl/>
        </w:rPr>
        <w:t xml:space="preserve">רמב"ם </w:t>
      </w:r>
      <w:r w:rsidRPr="001D49D4">
        <w:rPr>
          <w:sz w:val="16"/>
          <w:szCs w:val="16"/>
          <w:rtl/>
        </w:rPr>
        <w:t xml:space="preserve">(פי"א מהל' מכירה הט"ו) </w:t>
      </w:r>
      <w:r w:rsidRPr="001D49D4">
        <w:rPr>
          <w:rtl/>
        </w:rPr>
        <w:t>ורמ"ה</w:t>
      </w:r>
      <w:r w:rsidRPr="001D49D4">
        <w:rPr>
          <w:sz w:val="16"/>
          <w:szCs w:val="16"/>
          <w:rtl/>
        </w:rPr>
        <w:t xml:space="preserve"> (כ"כ הטור בשמו)</w:t>
      </w:r>
      <w:r w:rsidRPr="001D49D4">
        <w:rPr>
          <w:vertAlign w:val="superscript"/>
          <w:rtl/>
        </w:rPr>
        <w:footnoteReference w:id="3038"/>
      </w:r>
      <w:r w:rsidRPr="001D49D4">
        <w:rPr>
          <w:rtl/>
        </w:rPr>
        <w:t>- המחייב עצמו בממון לאחר בלא תנאי כלל, אע"פ שלא היה חייב לו כלום - הרי זה חייב, שדבר זה מתנה היא ואינה אסמכתא. כיצד, האומר לעדים 'הוו עלי עדים שאני חייב לפלוני מנה', או שכתב לו בשטר 'הריני חייב לך מנה' אע"פ שאין שם עדים</w:t>
      </w:r>
      <w:r w:rsidRPr="001D49D4">
        <w:rPr>
          <w:vertAlign w:val="superscript"/>
          <w:rtl/>
        </w:rPr>
        <w:footnoteReference w:id="3039"/>
      </w:r>
      <w:r w:rsidRPr="001D49D4">
        <w:rPr>
          <w:rtl/>
        </w:rPr>
        <w:t xml:space="preserve">, או שאמר לו בפני עדים 'הריני חייב לך מנה בשטר' אע"פ שלא אמר אתם עדי הואיל ואמר בשטר הרי זה כמי שאמר הוו עלי עדים -  וחייב לשלם, אע"פ ששניהם מודים והעדים יודעים שלא היה לו אצלו כלום, שהרי חייב עצמו, כמו שישתעבד הערב, וכזה הורו רוב הגאונים. </w:t>
      </w:r>
      <w:r w:rsidRPr="001D49D4">
        <w:rPr>
          <w:sz w:val="16"/>
          <w:szCs w:val="16"/>
          <w:rtl/>
        </w:rPr>
        <w:t>(ל' הרמב"ם)</w:t>
      </w:r>
      <w:r w:rsidRPr="001D49D4">
        <w:rPr>
          <w:rtl/>
        </w:rPr>
        <w:t>.</w:t>
      </w:r>
      <w:r w:rsidRPr="001D49D4">
        <w:rPr>
          <w:color w:val="E36C0A" w:themeColor="accent6" w:themeShade="BF"/>
          <w:rtl/>
        </w:rPr>
        <w:t xml:space="preserve"> </w:t>
      </w:r>
    </w:p>
    <w:p w14:paraId="6D52B554" w14:textId="77777777" w:rsidR="001D49D4" w:rsidRPr="001D49D4" w:rsidRDefault="001D49D4" w:rsidP="0004348D">
      <w:pPr>
        <w:numPr>
          <w:ilvl w:val="1"/>
          <w:numId w:val="212"/>
        </w:numPr>
        <w:spacing w:before="360" w:after="240"/>
        <w:contextualSpacing/>
      </w:pPr>
      <w:r w:rsidRPr="001D49D4">
        <w:rPr>
          <w:rtl/>
        </w:rPr>
        <w:lastRenderedPageBreak/>
        <w:t xml:space="preserve">ב"י </w:t>
      </w:r>
      <w:r w:rsidRPr="001D49D4">
        <w:rPr>
          <w:sz w:val="16"/>
          <w:szCs w:val="16"/>
          <w:rtl/>
        </w:rPr>
        <w:t>(בדה"ב)</w:t>
      </w:r>
      <w:r w:rsidRPr="001D49D4">
        <w:rPr>
          <w:rtl/>
        </w:rPr>
        <w:t xml:space="preserve">- </w:t>
      </w:r>
      <w:r w:rsidRPr="001D49D4">
        <w:rPr>
          <w:vertAlign w:val="superscript"/>
          <w:rtl/>
        </w:rPr>
        <w:footnoteReference w:id="3040"/>
      </w:r>
      <w:r w:rsidRPr="001D49D4">
        <w:rPr>
          <w:rtl/>
        </w:rPr>
        <w:t>ולענין הלכה נקטינן כהרמב"ם שהרי כתב שכזה הורו רוב הגאונים, ועוד שהרי"ף סובר כן לדעת הר"ן והה"מ.</w:t>
      </w:r>
    </w:p>
    <w:p w14:paraId="1903455D" w14:textId="77777777" w:rsidR="001D49D4" w:rsidRPr="001D49D4" w:rsidRDefault="001D49D4" w:rsidP="0004348D">
      <w:pPr>
        <w:spacing w:before="360" w:after="240"/>
        <w:rPr>
          <w:rFonts w:ascii="Calibri" w:eastAsia="Calibri" w:hAnsi="Calibri" w:cs="Arial"/>
          <w:u w:val="single"/>
          <w:rtl/>
        </w:rPr>
      </w:pPr>
      <w:r w:rsidRPr="001D49D4">
        <w:rPr>
          <w:rFonts w:ascii="Calibri" w:eastAsia="Calibri" w:hAnsi="Calibri" w:cs="Arial"/>
          <w:u w:val="single"/>
          <w:rtl/>
        </w:rPr>
        <w:t>המודה לחבירו בחזקת שהוא חייב לו ואח"כ נודע שטעה:</w:t>
      </w:r>
    </w:p>
    <w:p w14:paraId="2D88BF5A" w14:textId="77777777" w:rsidR="001D49D4" w:rsidRPr="001D49D4" w:rsidRDefault="001D49D4" w:rsidP="0004348D">
      <w:pPr>
        <w:numPr>
          <w:ilvl w:val="0"/>
          <w:numId w:val="213"/>
        </w:numPr>
        <w:spacing w:before="360" w:after="240"/>
        <w:contextualSpacing/>
        <w:rPr>
          <w:rtl/>
        </w:rPr>
      </w:pPr>
      <w:r w:rsidRPr="001D49D4">
        <w:rPr>
          <w:rtl/>
        </w:rPr>
        <w:t>בעל התרומות</w:t>
      </w:r>
      <w:r w:rsidRPr="001D49D4">
        <w:rPr>
          <w:vertAlign w:val="superscript"/>
          <w:rtl/>
        </w:rPr>
        <w:footnoteReference w:id="3041"/>
      </w:r>
      <w:r w:rsidRPr="001D49D4">
        <w:rPr>
          <w:rtl/>
        </w:rPr>
        <w:t xml:space="preserve"> </w:t>
      </w:r>
      <w:r w:rsidRPr="001D49D4">
        <w:rPr>
          <w:sz w:val="16"/>
          <w:szCs w:val="16"/>
          <w:rtl/>
        </w:rPr>
        <w:t>(שער סד ח"ד סי' א)</w:t>
      </w:r>
      <w:r w:rsidRPr="001D49D4">
        <w:rPr>
          <w:rtl/>
        </w:rPr>
        <w:t xml:space="preserve"> וטור- המודה לחבירו בחזקת שהוא חייב לו, ואח"כ נודע שטעה, ונתברר הדבר בעדים או שהודה לו מלוה שאינו חייב לו - הרי זה הודאה בטעות ואינו כלום, אפילו מסר לו השטר בעדים ועדים חתומים בו</w:t>
      </w:r>
      <w:r w:rsidRPr="001D49D4">
        <w:rPr>
          <w:sz w:val="16"/>
          <w:szCs w:val="16"/>
          <w:rtl/>
        </w:rPr>
        <w:t xml:space="preserve"> (ל' הטור)</w:t>
      </w:r>
      <w:r w:rsidRPr="001D49D4">
        <w:rPr>
          <w:rtl/>
        </w:rPr>
        <w:t xml:space="preserve">. </w:t>
      </w:r>
      <w:r w:rsidRPr="001D49D4">
        <w:rPr>
          <w:color w:val="E36C0A" w:themeColor="accent6" w:themeShade="BF"/>
          <w:rtl/>
        </w:rPr>
        <w:t xml:space="preserve">(וכ"פ בשו"ע </w:t>
      </w:r>
      <w:r w:rsidRPr="001D49D4">
        <w:rPr>
          <w:sz w:val="16"/>
          <w:szCs w:val="16"/>
          <w:rtl/>
        </w:rPr>
        <w:t>[סי' קכו סי"ג]</w:t>
      </w:r>
      <w:r w:rsidRPr="001D49D4">
        <w:rPr>
          <w:color w:val="E36C0A" w:themeColor="accent6" w:themeShade="BF"/>
          <w:rtl/>
        </w:rPr>
        <w:t>)</w:t>
      </w:r>
      <w:r w:rsidRPr="001D49D4">
        <w:rPr>
          <w:rtl/>
        </w:rPr>
        <w:t xml:space="preserve"> (וכ"פ הש"ך</w:t>
      </w:r>
      <w:r w:rsidRPr="001D49D4">
        <w:rPr>
          <w:sz w:val="16"/>
          <w:szCs w:val="16"/>
          <w:rtl/>
        </w:rPr>
        <w:t xml:space="preserve"> [סק"א]</w:t>
      </w:r>
      <w:r w:rsidRPr="001D49D4">
        <w:rPr>
          <w:rtl/>
        </w:rPr>
        <w:t>)</w:t>
      </w:r>
    </w:p>
    <w:p w14:paraId="7221ACDE" w14:textId="77777777" w:rsidR="001D49D4" w:rsidRPr="001D49D4" w:rsidRDefault="001D49D4" w:rsidP="0004348D">
      <w:pPr>
        <w:spacing w:before="360" w:after="240"/>
        <w:rPr>
          <w:rFonts w:ascii="Arial" w:eastAsia="Calibri" w:hAnsi="Arial" w:cs="Arial"/>
          <w:b/>
          <w:bCs/>
          <w:color w:val="000000"/>
          <w:sz w:val="28"/>
          <w:szCs w:val="28"/>
          <w:u w:val="single"/>
          <w:rtl/>
        </w:rPr>
      </w:pPr>
      <w:r w:rsidRPr="001D49D4">
        <w:rPr>
          <w:rFonts w:ascii="Arial" w:eastAsia="Calibri" w:hAnsi="Arial" w:cs="Arial"/>
          <w:b/>
          <w:bCs/>
          <w:color w:val="000000"/>
          <w:sz w:val="28"/>
          <w:szCs w:val="28"/>
          <w:u w:val="single"/>
          <w:rtl/>
        </w:rPr>
        <w:t>שו"ע:</w:t>
      </w:r>
    </w:p>
    <w:p w14:paraId="10F1C44D"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rtl/>
        </w:rPr>
        <w:t xml:space="preserve">המחייב עצמו בממון לאחר בלא תנאי אף על פי שלא היה חייב לו כלום, הרי זה חייב. כיצד, </w:t>
      </w:r>
      <w:r w:rsidRPr="001D49D4">
        <w:rPr>
          <w:rFonts w:ascii="Calibri" w:eastAsia="Calibri" w:hAnsi="Calibri" w:cs="Arial"/>
          <w:vertAlign w:val="superscript"/>
          <w:rtl/>
        </w:rPr>
        <w:footnoteReference w:id="3042"/>
      </w:r>
      <w:r w:rsidRPr="001D49D4">
        <w:rPr>
          <w:rFonts w:ascii="Calibri" w:eastAsia="Calibri" w:hAnsi="Calibri" w:cs="Arial"/>
          <w:rtl/>
        </w:rPr>
        <w:t>האומר לעדים 'הוו עלי עדים שאני חייב לפלוני מנה'</w:t>
      </w:r>
      <w:r w:rsidRPr="001D49D4">
        <w:rPr>
          <w:rFonts w:ascii="Calibri" w:eastAsia="Calibri" w:hAnsi="Calibri" w:cs="Arial"/>
          <w:vertAlign w:val="superscript"/>
          <w:rtl/>
        </w:rPr>
        <w:footnoteReference w:id="3043"/>
      </w:r>
      <w:r w:rsidRPr="001D49D4">
        <w:rPr>
          <w:rFonts w:ascii="Calibri" w:eastAsia="Calibri" w:hAnsi="Calibri" w:cs="Arial"/>
          <w:rtl/>
        </w:rPr>
        <w:t>, או שכתב</w:t>
      </w:r>
      <w:r w:rsidRPr="001D49D4">
        <w:rPr>
          <w:rFonts w:ascii="Calibri" w:eastAsia="Calibri" w:hAnsi="Calibri" w:cs="Arial"/>
          <w:vertAlign w:val="superscript"/>
          <w:rtl/>
        </w:rPr>
        <w:footnoteReference w:id="3044"/>
      </w:r>
      <w:r w:rsidRPr="001D49D4">
        <w:rPr>
          <w:rFonts w:ascii="Calibri" w:eastAsia="Calibri" w:hAnsi="Calibri" w:cs="Arial"/>
          <w:rtl/>
        </w:rPr>
        <w:t xml:space="preserve"> לו בשטר 'הריני חייב לך מנה' אף על פי שאין שם עדים</w:t>
      </w:r>
      <w:r w:rsidRPr="001D49D4">
        <w:rPr>
          <w:rFonts w:ascii="Calibri" w:eastAsia="Calibri" w:hAnsi="Calibri" w:cs="Arial"/>
          <w:vertAlign w:val="superscript"/>
          <w:rtl/>
        </w:rPr>
        <w:footnoteReference w:id="3045"/>
      </w:r>
      <w:r w:rsidRPr="001D49D4">
        <w:rPr>
          <w:rFonts w:ascii="Calibri" w:eastAsia="Calibri" w:hAnsi="Calibri" w:cs="Arial"/>
          <w:rtl/>
        </w:rPr>
        <w:t>, או שאמר לו בפני עדים 'הריני חייב לך מנה בשטר' אף על פי שלא אמר אתם עידי, הואיל ואמר 'בשטר' הרי זה כמי שאמר 'הוו עלי עדים', וחייב לשלם אע"פ ששניהם מודים והעדים יודעים שלא היה לו אצלו כלום, שהרי חייב עצמו כמו שישתעבד הערב</w:t>
      </w:r>
      <w:r w:rsidRPr="001D49D4">
        <w:rPr>
          <w:rFonts w:ascii="Calibri" w:eastAsia="Calibri" w:hAnsi="Calibri" w:cs="Arial"/>
          <w:vertAlign w:val="superscript"/>
          <w:rtl/>
        </w:rPr>
        <w:footnoteReference w:id="3046"/>
      </w:r>
      <w:r w:rsidRPr="001D49D4">
        <w:rPr>
          <w:rFonts w:ascii="Calibri" w:eastAsia="Calibri" w:hAnsi="Calibri" w:cs="Arial"/>
          <w:rtl/>
        </w:rPr>
        <w:t xml:space="preserve">. </w:t>
      </w:r>
      <w:r w:rsidRPr="001D49D4">
        <w:rPr>
          <w:rFonts w:ascii="Calibri" w:eastAsia="Calibri" w:hAnsi="Calibri" w:cs="Arial"/>
          <w:sz w:val="18"/>
          <w:szCs w:val="18"/>
          <w:rtl/>
        </w:rPr>
        <w:t>[הגה] וכ"ש כשכותב לאחד 'קבלתי ממך כך וכך על החוב שלי שיש בידך' דהוי מחילה אע"ג דידעינן דלא קבל</w:t>
      </w:r>
      <w:r w:rsidRPr="001D49D4">
        <w:rPr>
          <w:rFonts w:ascii="Calibri" w:eastAsia="Calibri" w:hAnsi="Calibri" w:cs="Arial"/>
          <w:sz w:val="18"/>
          <w:szCs w:val="18"/>
          <w:vertAlign w:val="superscript"/>
          <w:rtl/>
        </w:rPr>
        <w:footnoteReference w:id="3047"/>
      </w:r>
      <w:r w:rsidRPr="001D49D4">
        <w:rPr>
          <w:rFonts w:ascii="Calibri" w:eastAsia="Calibri" w:hAnsi="Calibri" w:cs="Arial"/>
          <w:sz w:val="18"/>
          <w:szCs w:val="18"/>
          <w:rtl/>
        </w:rPr>
        <w:t xml:space="preserve"> </w:t>
      </w:r>
      <w:r w:rsidRPr="001D49D4">
        <w:rPr>
          <w:rFonts w:ascii="Calibri" w:eastAsia="Calibri" w:hAnsi="Calibri" w:cs="Arial"/>
          <w:sz w:val="16"/>
          <w:szCs w:val="16"/>
          <w:rtl/>
        </w:rPr>
        <w:t>(ב"י סי' עג בשם ריטב"א)</w:t>
      </w:r>
      <w:r w:rsidRPr="001D49D4">
        <w:rPr>
          <w:rFonts w:ascii="Calibri" w:eastAsia="Calibri" w:hAnsi="Calibri" w:cs="Arial"/>
          <w:sz w:val="18"/>
          <w:szCs w:val="18"/>
          <w:rtl/>
        </w:rPr>
        <w:t>.</w:t>
      </w:r>
    </w:p>
    <w:p w14:paraId="260476FF"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rtl/>
        </w:rPr>
        <w:t xml:space="preserve"> </w:t>
      </w:r>
    </w:p>
    <w:p w14:paraId="1455D0E2" w14:textId="77777777" w:rsidR="001D49D4" w:rsidRPr="001D49D4" w:rsidRDefault="001D49D4" w:rsidP="0004348D">
      <w:pPr>
        <w:keepNext/>
        <w:keepLines/>
        <w:spacing w:before="360" w:after="240"/>
        <w:outlineLvl w:val="1"/>
        <w:rPr>
          <w:rFonts w:ascii="Cambria" w:eastAsia="Times New Roman" w:hAnsi="Cambria" w:cs="Arial"/>
          <w:bCs/>
          <w:color w:val="548DD4" w:themeColor="text2" w:themeTint="99"/>
          <w:sz w:val="26"/>
          <w:szCs w:val="26"/>
          <w:rtl/>
        </w:rPr>
      </w:pPr>
      <w:bookmarkStart w:id="404" w:name="_Toc24883846"/>
      <w:r w:rsidRPr="001D49D4">
        <w:rPr>
          <w:rFonts w:ascii="Cambria" w:eastAsia="Times New Roman" w:hAnsi="Cambria" w:cs="Arial"/>
          <w:bCs/>
          <w:color w:val="548DD4" w:themeColor="text2" w:themeTint="99"/>
          <w:sz w:val="26"/>
          <w:szCs w:val="26"/>
          <w:rtl/>
        </w:rPr>
        <w:t>סעיף ב: לוה שכתב שטר בלא עדים ונתנו למלוה בפני עדים.</w:t>
      </w:r>
      <w:bookmarkEnd w:id="404"/>
    </w:p>
    <w:p w14:paraId="3B3B2314"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b/>
          <w:bCs/>
          <w:rtl/>
        </w:rPr>
        <w:t xml:space="preserve">גיטין </w:t>
      </w:r>
      <w:r w:rsidRPr="001D49D4">
        <w:rPr>
          <w:rFonts w:ascii="Calibri" w:eastAsia="Calibri" w:hAnsi="Calibri" w:cs="Arial"/>
          <w:b/>
          <w:bCs/>
          <w:sz w:val="16"/>
          <w:szCs w:val="16"/>
          <w:rtl/>
        </w:rPr>
        <w:t xml:space="preserve">(פרק המגרש) </w:t>
      </w:r>
      <w:r w:rsidRPr="001D49D4">
        <w:rPr>
          <w:rFonts w:ascii="Calibri" w:eastAsia="Calibri" w:hAnsi="Calibri" w:cs="Arial"/>
          <w:b/>
          <w:bCs/>
          <w:rtl/>
        </w:rPr>
        <w:t>פו</w:t>
      </w:r>
      <w:r w:rsidRPr="001D49D4">
        <w:rPr>
          <w:rFonts w:ascii="Calibri" w:eastAsia="Calibri" w:hAnsi="Calibri" w:cs="Arial"/>
          <w:b/>
          <w:bCs/>
          <w:vertAlign w:val="superscript"/>
          <w:rtl/>
        </w:rPr>
        <w:footnoteReference w:id="3048"/>
      </w:r>
      <w:r w:rsidRPr="001D49D4">
        <w:rPr>
          <w:rFonts w:ascii="Calibri" w:eastAsia="Calibri" w:hAnsi="Calibri" w:cs="Arial"/>
          <w:b/>
          <w:bCs/>
          <w:rtl/>
        </w:rPr>
        <w:t xml:space="preserve"> ע"א:</w:t>
      </w:r>
      <w:r w:rsidRPr="001D49D4">
        <w:rPr>
          <w:rFonts w:ascii="Calibri" w:eastAsia="Calibri" w:hAnsi="Calibri" w:cs="Arial"/>
          <w:rtl/>
        </w:rPr>
        <w:t xml:space="preserve"> </w:t>
      </w:r>
      <w:r w:rsidRPr="001D49D4">
        <w:rPr>
          <w:rFonts w:ascii="Calibri" w:eastAsia="Calibri" w:hAnsi="Calibri" w:cs="Arial"/>
          <w:u w:val="double"/>
          <w:rtl/>
        </w:rPr>
        <w:t>מתני':</w:t>
      </w:r>
      <w:r w:rsidRPr="001D49D4">
        <w:rPr>
          <w:rFonts w:ascii="Calibri" w:eastAsia="Calibri" w:hAnsi="Calibri" w:cs="Arial"/>
          <w:rtl/>
        </w:rPr>
        <w:t xml:space="preserve"> שלשה גיטין פסולין, ואם נשאת - הוולד כשר: כתב בכתב ידו ואין עליו עדים</w:t>
      </w:r>
      <w:r w:rsidRPr="001D49D4">
        <w:rPr>
          <w:rFonts w:ascii="Calibri" w:eastAsia="Calibri" w:hAnsi="Calibri" w:cs="Arial"/>
          <w:vertAlign w:val="superscript"/>
          <w:rtl/>
        </w:rPr>
        <w:footnoteReference w:id="3049"/>
      </w:r>
      <w:r w:rsidRPr="001D49D4">
        <w:rPr>
          <w:rFonts w:ascii="Calibri" w:eastAsia="Calibri" w:hAnsi="Calibri" w:cs="Arial"/>
          <w:rtl/>
        </w:rPr>
        <w:t>... רבי אליעזר אומר: אף על פי שאין עליו עדים אלא שנתנו לה בפני עדים - כשר, וגובה מנכסים משועבדים</w:t>
      </w:r>
      <w:r w:rsidRPr="001D49D4">
        <w:rPr>
          <w:rFonts w:ascii="Calibri" w:eastAsia="Calibri" w:hAnsi="Calibri" w:cs="Arial"/>
          <w:vertAlign w:val="superscript"/>
          <w:rtl/>
        </w:rPr>
        <w:footnoteReference w:id="3050"/>
      </w:r>
      <w:r w:rsidRPr="001D49D4">
        <w:rPr>
          <w:rFonts w:ascii="Calibri" w:eastAsia="Calibri" w:hAnsi="Calibri" w:cs="Arial"/>
          <w:rtl/>
        </w:rPr>
        <w:t xml:space="preserve">, שאין העדים חותמים על הגט אלא מפני תיקון העולם.  </w:t>
      </w:r>
    </w:p>
    <w:p w14:paraId="66BD79D9" w14:textId="77777777" w:rsidR="001D49D4" w:rsidRPr="001D49D4" w:rsidRDefault="001D49D4" w:rsidP="0004348D">
      <w:pPr>
        <w:spacing w:before="360" w:after="240"/>
        <w:rPr>
          <w:rFonts w:ascii="Calibri" w:eastAsia="Calibri" w:hAnsi="Calibri" w:cs="Arial"/>
          <w:u w:val="single"/>
          <w:rtl/>
        </w:rPr>
      </w:pPr>
      <w:r w:rsidRPr="001D49D4">
        <w:rPr>
          <w:rFonts w:ascii="Calibri" w:eastAsia="Calibri" w:hAnsi="Calibri" w:cs="Arial"/>
          <w:u w:val="single"/>
          <w:rtl/>
        </w:rPr>
        <w:lastRenderedPageBreak/>
        <w:t>לוה שכתב שטר בלא עדים ונתנו למלוה בפני עדים:</w:t>
      </w:r>
    </w:p>
    <w:p w14:paraId="0DF873E5" w14:textId="77777777" w:rsidR="001D49D4" w:rsidRPr="001D49D4" w:rsidRDefault="001D49D4" w:rsidP="0004348D">
      <w:pPr>
        <w:numPr>
          <w:ilvl w:val="0"/>
          <w:numId w:val="213"/>
        </w:numPr>
        <w:spacing w:before="360" w:after="240"/>
        <w:contextualSpacing/>
        <w:rPr>
          <w:rtl/>
        </w:rPr>
      </w:pPr>
      <w:r w:rsidRPr="001D49D4">
        <w:rPr>
          <w:rtl/>
        </w:rPr>
        <w:t xml:space="preserve">רמב"ם </w:t>
      </w:r>
      <w:r w:rsidRPr="001D49D4">
        <w:rPr>
          <w:sz w:val="16"/>
          <w:szCs w:val="16"/>
          <w:rtl/>
        </w:rPr>
        <w:t>(פי"א ממלוה ולוה ה"ב)</w:t>
      </w:r>
      <w:r w:rsidRPr="001D49D4">
        <w:rPr>
          <w:rtl/>
        </w:rPr>
        <w:t xml:space="preserve"> וטור- לוה שכתב שטר בכתב ידו והעיד בו עדים ונתנו למלוה - הרי זה שטר כשר. וכן אם כתב שטר אע"פ שאין בו עדים ונתנו למלוה בפני עדים הרי זו מלוה בשטר והוא שיהיה כתב שאינו יכול להזדייף ויקראו אותו העדים שנמסר בפניהם</w:t>
      </w:r>
      <w:r w:rsidRPr="001D49D4">
        <w:rPr>
          <w:vertAlign w:val="superscript"/>
          <w:rtl/>
        </w:rPr>
        <w:footnoteReference w:id="3051"/>
      </w:r>
      <w:r w:rsidRPr="001D49D4">
        <w:rPr>
          <w:rtl/>
        </w:rPr>
        <w:t>. ויש מן הגאונים שהורה שצריך לומר לעדים שמסרו בפניהם חתמו והעידו</w:t>
      </w:r>
      <w:r w:rsidRPr="001D49D4">
        <w:rPr>
          <w:vertAlign w:val="superscript"/>
          <w:rtl/>
        </w:rPr>
        <w:footnoteReference w:id="3052"/>
      </w:r>
      <w:r w:rsidRPr="001D49D4">
        <w:rPr>
          <w:rtl/>
        </w:rPr>
        <w:t xml:space="preserve"> שנמסר בפניכם</w:t>
      </w:r>
      <w:r w:rsidRPr="001D49D4">
        <w:rPr>
          <w:sz w:val="16"/>
          <w:szCs w:val="16"/>
          <w:rtl/>
        </w:rPr>
        <w:t xml:space="preserve"> (ל' הרמב"ם)</w:t>
      </w:r>
      <w:r w:rsidRPr="001D49D4">
        <w:rPr>
          <w:rtl/>
        </w:rPr>
        <w:t xml:space="preserve">. </w:t>
      </w:r>
      <w:r w:rsidRPr="001D49D4">
        <w:rPr>
          <w:color w:val="E36C0A" w:themeColor="accent6" w:themeShade="BF"/>
          <w:rtl/>
        </w:rPr>
        <w:t>(וכ"פ בשו"ע)</w:t>
      </w:r>
    </w:p>
    <w:p w14:paraId="0F82C78D"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u w:val="single"/>
          <w:rtl/>
        </w:rPr>
        <w:t>שאלה על שטר התחייבות בתורת הלואה:</w:t>
      </w:r>
    </w:p>
    <w:p w14:paraId="272E17E8" w14:textId="77777777" w:rsidR="001D49D4" w:rsidRPr="001D49D4" w:rsidRDefault="001D49D4" w:rsidP="0004348D">
      <w:pPr>
        <w:numPr>
          <w:ilvl w:val="0"/>
          <w:numId w:val="213"/>
        </w:numPr>
        <w:spacing w:before="360" w:after="240"/>
        <w:contextualSpacing/>
        <w:rPr>
          <w:rtl/>
        </w:rPr>
      </w:pPr>
      <w:r w:rsidRPr="001D49D4">
        <w:rPr>
          <w:rtl/>
        </w:rPr>
        <w:t>רשב"א</w:t>
      </w:r>
      <w:r w:rsidRPr="001D49D4">
        <w:rPr>
          <w:sz w:val="16"/>
          <w:szCs w:val="16"/>
          <w:rtl/>
        </w:rPr>
        <w:t xml:space="preserve"> (ח"ב סי' קלה, וח"ג סי' כו, כ"כ הב"י בשמו)</w:t>
      </w:r>
      <w:r w:rsidRPr="001D49D4">
        <w:rPr>
          <w:rtl/>
        </w:rPr>
        <w:t>- שאלתם על שטר שזה לשונו 'העידנו על עצמו בקנין ראובן מחמת שנתחייב בקנין גמור בתורת הלואה בנאמנות לתת לפלוני מנה לזמן פלוני'. תשובה, דין שטר גמור יש לו.</w:t>
      </w:r>
    </w:p>
    <w:p w14:paraId="2E57F527" w14:textId="77777777" w:rsidR="001D49D4" w:rsidRPr="001D49D4" w:rsidRDefault="001D49D4" w:rsidP="0004348D">
      <w:pPr>
        <w:spacing w:before="360" w:after="240"/>
        <w:rPr>
          <w:rFonts w:ascii="Arial" w:eastAsia="Calibri" w:hAnsi="Arial" w:cs="Arial"/>
          <w:b/>
          <w:bCs/>
          <w:color w:val="000000"/>
          <w:sz w:val="28"/>
          <w:szCs w:val="28"/>
          <w:u w:val="single"/>
          <w:rtl/>
        </w:rPr>
      </w:pPr>
      <w:r w:rsidRPr="001D49D4">
        <w:rPr>
          <w:rFonts w:ascii="Arial" w:eastAsia="Calibri" w:hAnsi="Arial" w:cs="Arial"/>
          <w:b/>
          <w:bCs/>
          <w:color w:val="000000"/>
          <w:sz w:val="28"/>
          <w:szCs w:val="28"/>
          <w:u w:val="single"/>
          <w:rtl/>
        </w:rPr>
        <w:t>שו"ע:</w:t>
      </w:r>
    </w:p>
    <w:p w14:paraId="7F6492C9"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rtl/>
        </w:rPr>
        <w:t>לוה שכתב בכתב ידו והעיד בו עדים</w:t>
      </w:r>
      <w:r w:rsidRPr="001D49D4">
        <w:rPr>
          <w:rFonts w:ascii="Calibri" w:eastAsia="Calibri" w:hAnsi="Calibri" w:cs="Arial"/>
          <w:vertAlign w:val="superscript"/>
          <w:rtl/>
        </w:rPr>
        <w:footnoteReference w:id="3053"/>
      </w:r>
      <w:r w:rsidRPr="001D49D4">
        <w:rPr>
          <w:rFonts w:ascii="Calibri" w:eastAsia="Calibri" w:hAnsi="Calibri" w:cs="Arial"/>
          <w:rtl/>
        </w:rPr>
        <w:t xml:space="preserve"> ונתנו למלוה, הרי זה שטר כשר. וכן אם כתב שטר אף על פי שאין בו עדים ונתנו למלוה בפני עדים</w:t>
      </w:r>
      <w:r w:rsidRPr="001D49D4">
        <w:rPr>
          <w:rFonts w:ascii="Calibri" w:eastAsia="Calibri" w:hAnsi="Calibri" w:cs="Arial"/>
          <w:vertAlign w:val="superscript"/>
          <w:rtl/>
        </w:rPr>
        <w:footnoteReference w:id="3054"/>
      </w:r>
      <w:r w:rsidRPr="001D49D4">
        <w:rPr>
          <w:rFonts w:ascii="Calibri" w:eastAsia="Calibri" w:hAnsi="Calibri" w:cs="Arial"/>
          <w:rtl/>
        </w:rPr>
        <w:t>, הרי זה מלוה בשטר</w:t>
      </w:r>
      <w:r w:rsidRPr="001D49D4">
        <w:rPr>
          <w:rFonts w:ascii="Calibri" w:eastAsia="Calibri" w:hAnsi="Calibri" w:cs="Arial"/>
          <w:vertAlign w:val="superscript"/>
          <w:rtl/>
        </w:rPr>
        <w:footnoteReference w:id="3055"/>
      </w:r>
      <w:r w:rsidRPr="001D49D4">
        <w:rPr>
          <w:rFonts w:ascii="Calibri" w:eastAsia="Calibri" w:hAnsi="Calibri" w:cs="Arial"/>
          <w:rtl/>
        </w:rPr>
        <w:t>, והוא שיהיה כתב ידו</w:t>
      </w:r>
      <w:r w:rsidRPr="001D49D4">
        <w:rPr>
          <w:rFonts w:ascii="Calibri" w:eastAsia="Calibri" w:hAnsi="Calibri" w:cs="Arial"/>
          <w:vertAlign w:val="superscript"/>
          <w:rtl/>
        </w:rPr>
        <w:footnoteReference w:id="3056"/>
      </w:r>
      <w:r w:rsidRPr="001D49D4">
        <w:rPr>
          <w:rFonts w:ascii="Calibri" w:eastAsia="Calibri" w:hAnsi="Calibri" w:cs="Arial"/>
          <w:rtl/>
        </w:rPr>
        <w:t xml:space="preserve"> שאינו יכול להזדייף ויקראו אותו העדים שנמסר בפניהם. ויש מהגאונים שהורו שצריך לומר לעדים שמסרו בפניהם חתמו</w:t>
      </w:r>
      <w:r w:rsidRPr="001D49D4">
        <w:rPr>
          <w:rFonts w:ascii="Calibri" w:eastAsia="Calibri" w:hAnsi="Calibri" w:cs="Arial"/>
          <w:vertAlign w:val="superscript"/>
          <w:rtl/>
        </w:rPr>
        <w:footnoteReference w:id="3057"/>
      </w:r>
      <w:r w:rsidRPr="001D49D4">
        <w:rPr>
          <w:rFonts w:ascii="Calibri" w:eastAsia="Calibri" w:hAnsi="Calibri" w:cs="Arial"/>
          <w:rtl/>
        </w:rPr>
        <w:t xml:space="preserve"> והעידו שנמסר בפניכם</w:t>
      </w:r>
      <w:r w:rsidRPr="001D49D4">
        <w:rPr>
          <w:rFonts w:ascii="Calibri" w:eastAsia="Calibri" w:hAnsi="Calibri" w:cs="Arial"/>
          <w:vertAlign w:val="superscript"/>
          <w:rtl/>
        </w:rPr>
        <w:footnoteReference w:id="3058"/>
      </w:r>
      <w:r w:rsidRPr="001D49D4">
        <w:rPr>
          <w:rFonts w:ascii="Calibri" w:eastAsia="Calibri" w:hAnsi="Calibri" w:cs="Arial"/>
          <w:rtl/>
        </w:rPr>
        <w:t xml:space="preserve">. </w:t>
      </w:r>
    </w:p>
    <w:p w14:paraId="50601D02" w14:textId="77777777" w:rsidR="001D49D4" w:rsidRPr="001D49D4" w:rsidRDefault="001D49D4" w:rsidP="0004348D">
      <w:pPr>
        <w:spacing w:before="360" w:after="240"/>
        <w:rPr>
          <w:rFonts w:ascii="Calibri" w:eastAsia="Calibri" w:hAnsi="Calibri" w:cs="Arial"/>
          <w:rtl/>
        </w:rPr>
      </w:pPr>
    </w:p>
    <w:p w14:paraId="1245B676" w14:textId="77777777" w:rsidR="001D49D4" w:rsidRPr="001D49D4" w:rsidRDefault="001D49D4" w:rsidP="0004348D">
      <w:pPr>
        <w:bidi w:val="0"/>
        <w:spacing w:before="360" w:after="240"/>
        <w:rPr>
          <w:rFonts w:ascii="Cambria" w:eastAsia="Times New Roman" w:hAnsi="Cambria" w:cs="Arial"/>
          <w:b/>
          <w:bCs/>
          <w:color w:val="365F91" w:themeColor="accent1" w:themeShade="BF"/>
          <w:sz w:val="28"/>
          <w:szCs w:val="28"/>
          <w:rtl/>
        </w:rPr>
        <w:sectPr w:rsidR="001D49D4" w:rsidRPr="001D49D4">
          <w:headerReference w:type="default" r:id="rId49"/>
          <w:footnotePr>
            <w:numRestart w:val="eachPage"/>
          </w:footnotePr>
          <w:pgSz w:w="11906" w:h="16838"/>
          <w:pgMar w:top="720" w:right="1134" w:bottom="720" w:left="1134" w:header="0" w:footer="0" w:gutter="0"/>
          <w:cols w:space="720"/>
          <w:bidi/>
          <w:rtlGutter/>
        </w:sectPr>
      </w:pPr>
    </w:p>
    <w:p w14:paraId="17759374" w14:textId="77777777" w:rsidR="001D49D4" w:rsidRPr="001D49D4" w:rsidRDefault="001D49D4" w:rsidP="0004348D">
      <w:pPr>
        <w:keepNext/>
        <w:keepLines/>
        <w:spacing w:before="360" w:after="240"/>
        <w:outlineLvl w:val="0"/>
        <w:rPr>
          <w:rFonts w:ascii="Cambria" w:eastAsia="Times New Roman" w:hAnsi="Cambria" w:cs="Arial"/>
          <w:b/>
          <w:bCs/>
          <w:color w:val="365F91" w:themeColor="accent1" w:themeShade="BF"/>
          <w:sz w:val="28"/>
          <w:szCs w:val="28"/>
          <w:rtl/>
        </w:rPr>
      </w:pPr>
      <w:bookmarkStart w:id="405" w:name="_Toc24883847"/>
      <w:r w:rsidRPr="001D49D4">
        <w:rPr>
          <w:rFonts w:ascii="Cambria" w:eastAsia="Times New Roman" w:hAnsi="Cambria" w:cs="Arial"/>
          <w:b/>
          <w:bCs/>
          <w:color w:val="365F91" w:themeColor="accent1" w:themeShade="BF"/>
          <w:sz w:val="28"/>
          <w:szCs w:val="28"/>
          <w:rtl/>
        </w:rPr>
        <w:lastRenderedPageBreak/>
        <w:t>סימן מא: דין מי שנמחק או אבד שטר חובו, ובו ד' סעיפים.</w:t>
      </w:r>
      <w:bookmarkEnd w:id="405"/>
      <w:r w:rsidRPr="001D49D4">
        <w:rPr>
          <w:rFonts w:ascii="Cambria" w:eastAsia="Times New Roman" w:hAnsi="Cambria" w:cs="Arial"/>
          <w:b/>
          <w:bCs/>
          <w:color w:val="365F91" w:themeColor="accent1" w:themeShade="BF"/>
          <w:sz w:val="28"/>
          <w:szCs w:val="28"/>
          <w:rtl/>
        </w:rPr>
        <w:t xml:space="preserve"> </w:t>
      </w:r>
    </w:p>
    <w:p w14:paraId="14A680AA" w14:textId="77777777" w:rsidR="001D49D4" w:rsidRPr="001D49D4" w:rsidRDefault="001D49D4" w:rsidP="0004348D">
      <w:pPr>
        <w:keepNext/>
        <w:keepLines/>
        <w:spacing w:before="360" w:after="240"/>
        <w:outlineLvl w:val="1"/>
        <w:rPr>
          <w:rFonts w:ascii="Cambria" w:eastAsia="Times New Roman" w:hAnsi="Cambria" w:cs="Arial"/>
          <w:bCs/>
          <w:color w:val="548DD4" w:themeColor="text2" w:themeTint="99"/>
          <w:sz w:val="26"/>
          <w:szCs w:val="26"/>
          <w:rtl/>
        </w:rPr>
      </w:pPr>
      <w:bookmarkStart w:id="406" w:name="_Toc24883848"/>
      <w:r w:rsidRPr="001D49D4">
        <w:rPr>
          <w:rFonts w:ascii="Cambria" w:eastAsia="Times New Roman" w:hAnsi="Cambria" w:cs="Arial"/>
          <w:bCs/>
          <w:color w:val="548DD4" w:themeColor="text2" w:themeTint="99"/>
          <w:sz w:val="26"/>
          <w:szCs w:val="26"/>
          <w:rtl/>
        </w:rPr>
        <w:t>סעיף א: מי שנמחק שטר חובו.</w:t>
      </w:r>
      <w:bookmarkEnd w:id="406"/>
    </w:p>
    <w:p w14:paraId="52A2C416"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b/>
          <w:bCs/>
          <w:rtl/>
        </w:rPr>
        <w:t xml:space="preserve">בבא בתרא </w:t>
      </w:r>
      <w:r w:rsidRPr="001D49D4">
        <w:rPr>
          <w:rFonts w:ascii="Calibri" w:eastAsia="Calibri" w:hAnsi="Calibri" w:cs="Arial"/>
          <w:b/>
          <w:bCs/>
          <w:sz w:val="16"/>
          <w:szCs w:val="16"/>
          <w:rtl/>
        </w:rPr>
        <w:t xml:space="preserve">(פרק גט פשוט) </w:t>
      </w:r>
      <w:r w:rsidRPr="001D49D4">
        <w:rPr>
          <w:rFonts w:ascii="Calibri" w:eastAsia="Calibri" w:hAnsi="Calibri" w:cs="Arial"/>
          <w:b/>
          <w:bCs/>
          <w:rtl/>
        </w:rPr>
        <w:t>קסח</w:t>
      </w:r>
      <w:r w:rsidRPr="001D49D4">
        <w:rPr>
          <w:rFonts w:ascii="Calibri" w:eastAsia="Calibri" w:hAnsi="Calibri" w:cs="Arial"/>
          <w:b/>
          <w:bCs/>
          <w:vertAlign w:val="superscript"/>
          <w:rtl/>
        </w:rPr>
        <w:footnoteReference w:id="3059"/>
      </w:r>
      <w:r w:rsidRPr="001D49D4">
        <w:rPr>
          <w:rFonts w:ascii="Calibri" w:eastAsia="Calibri" w:hAnsi="Calibri" w:cs="Arial"/>
          <w:b/>
          <w:bCs/>
          <w:rtl/>
        </w:rPr>
        <w:t xml:space="preserve"> ע"א:</w:t>
      </w:r>
      <w:r w:rsidRPr="001D49D4">
        <w:rPr>
          <w:rFonts w:ascii="Calibri" w:eastAsia="Calibri" w:hAnsi="Calibri" w:cs="Arial"/>
          <w:rtl/>
        </w:rPr>
        <w:t xml:space="preserve"> </w:t>
      </w:r>
      <w:r w:rsidRPr="001D49D4">
        <w:rPr>
          <w:rFonts w:ascii="Calibri" w:eastAsia="Calibri" w:hAnsi="Calibri" w:cs="Arial"/>
          <w:u w:val="double"/>
          <w:rtl/>
        </w:rPr>
        <w:t>מתני'</w:t>
      </w:r>
      <w:r w:rsidRPr="001D49D4">
        <w:rPr>
          <w:rFonts w:ascii="Calibri" w:eastAsia="Calibri" w:hAnsi="Calibri" w:cs="Arial"/>
          <w:rtl/>
        </w:rPr>
        <w:t>: מי שנמחק שטר חובו</w:t>
      </w:r>
      <w:r w:rsidRPr="001D49D4">
        <w:rPr>
          <w:rFonts w:ascii="Calibri" w:eastAsia="Calibri" w:hAnsi="Calibri" w:cs="Arial"/>
          <w:vertAlign w:val="superscript"/>
          <w:rtl/>
        </w:rPr>
        <w:footnoteReference w:id="3060"/>
      </w:r>
      <w:r w:rsidRPr="001D49D4">
        <w:rPr>
          <w:rFonts w:ascii="Calibri" w:eastAsia="Calibri" w:hAnsi="Calibri" w:cs="Arial"/>
          <w:rtl/>
        </w:rPr>
        <w:t xml:space="preserve"> - מעמיד עליו עדים, ובא לפני בית דין ועושין לו קיום: איש פלוני בן פלוני נמחק שטרו ביום פלוני, </w:t>
      </w:r>
      <w:r w:rsidRPr="001D49D4">
        <w:rPr>
          <w:rFonts w:ascii="Calibri" w:eastAsia="Calibri" w:hAnsi="Calibri" w:cs="Arial"/>
          <w:sz w:val="14"/>
          <w:szCs w:val="14"/>
          <w:rtl/>
        </w:rPr>
        <w:t xml:space="preserve">(קסח:) </w:t>
      </w:r>
      <w:r w:rsidRPr="001D49D4">
        <w:rPr>
          <w:rFonts w:ascii="Calibri" w:eastAsia="Calibri" w:hAnsi="Calibri" w:cs="Arial"/>
          <w:rtl/>
        </w:rPr>
        <w:t>ופלוני ופלוני עדיו.</w:t>
      </w:r>
    </w:p>
    <w:p w14:paraId="49496106" w14:textId="77777777" w:rsidR="001D49D4" w:rsidRPr="001D49D4" w:rsidRDefault="001D49D4" w:rsidP="0004348D">
      <w:pPr>
        <w:spacing w:before="360" w:after="240"/>
        <w:rPr>
          <w:rFonts w:ascii="Calibri" w:eastAsia="Calibri" w:hAnsi="Calibri" w:cs="Arial"/>
          <w:u w:val="single"/>
          <w:rtl/>
        </w:rPr>
      </w:pPr>
      <w:r w:rsidRPr="001D49D4">
        <w:rPr>
          <w:rFonts w:ascii="Calibri" w:eastAsia="Calibri" w:hAnsi="Calibri" w:cs="Arial"/>
          <w:u w:val="single"/>
          <w:rtl/>
        </w:rPr>
        <w:t>מי שבלה שטר חובו והרי הוא הולך לימחק</w:t>
      </w:r>
      <w:r w:rsidRPr="001D49D4">
        <w:rPr>
          <w:rFonts w:ascii="Calibri" w:eastAsia="Calibri" w:hAnsi="Calibri" w:cs="Arial"/>
          <w:sz w:val="16"/>
          <w:szCs w:val="16"/>
          <w:u w:val="single"/>
          <w:rtl/>
        </w:rPr>
        <w:t xml:space="preserve"> (או שכבר נמחק)</w:t>
      </w:r>
      <w:r w:rsidRPr="001D49D4">
        <w:rPr>
          <w:rFonts w:ascii="Calibri" w:eastAsia="Calibri" w:hAnsi="Calibri" w:cs="Arial"/>
          <w:u w:val="single"/>
          <w:rtl/>
        </w:rPr>
        <w:t xml:space="preserve"> – מה יעשה:</w:t>
      </w:r>
    </w:p>
    <w:p w14:paraId="1F1C05A3" w14:textId="77777777" w:rsidR="001D49D4" w:rsidRPr="001D49D4" w:rsidRDefault="001D49D4" w:rsidP="0004348D">
      <w:pPr>
        <w:numPr>
          <w:ilvl w:val="0"/>
          <w:numId w:val="213"/>
        </w:numPr>
        <w:spacing w:before="360" w:after="240"/>
        <w:contextualSpacing/>
        <w:rPr>
          <w:rtl/>
        </w:rPr>
      </w:pPr>
      <w:r w:rsidRPr="001D49D4">
        <w:rPr>
          <w:rtl/>
        </w:rPr>
        <w:t>טור- מי שנמחק שטר חובו, בין שלא נמחק לגמרי אלא שרישומו עדיין ניכר אבל הוא ירא שמא ימחק לגמרי, ובין אם נמחק לגמרי</w:t>
      </w:r>
      <w:r w:rsidRPr="001D49D4">
        <w:rPr>
          <w:vertAlign w:val="superscript"/>
          <w:rtl/>
        </w:rPr>
        <w:footnoteReference w:id="3061"/>
      </w:r>
      <w:r w:rsidRPr="001D49D4">
        <w:rPr>
          <w:rtl/>
        </w:rPr>
        <w:t xml:space="preserve"> - מעמיד עליו עדים שמכירין החתימות ובאין לפני ב"ד ומעידין</w:t>
      </w:r>
      <w:r w:rsidRPr="001D49D4">
        <w:rPr>
          <w:vertAlign w:val="superscript"/>
          <w:rtl/>
        </w:rPr>
        <w:footnoteReference w:id="3062"/>
      </w:r>
      <w:r w:rsidRPr="001D49D4">
        <w:rPr>
          <w:rtl/>
        </w:rPr>
        <w:t xml:space="preserve"> שראו ביד פלוני שטר שהתחיל לימחק והכירו החתימות</w:t>
      </w:r>
      <w:r w:rsidRPr="001D49D4">
        <w:rPr>
          <w:sz w:val="16"/>
          <w:szCs w:val="16"/>
          <w:rtl/>
        </w:rPr>
        <w:t xml:space="preserve"> (ע"פ דברי הטור)</w:t>
      </w:r>
      <w:r w:rsidRPr="001D49D4">
        <w:rPr>
          <w:rtl/>
        </w:rPr>
        <w:t>.</w:t>
      </w:r>
      <w:r w:rsidRPr="001D49D4">
        <w:rPr>
          <w:color w:val="00B0F0"/>
          <w:rtl/>
        </w:rPr>
        <w:t xml:space="preserve"> (וכ"כ הרמ"א)</w:t>
      </w:r>
    </w:p>
    <w:p w14:paraId="11110B9E" w14:textId="77777777" w:rsidR="001D49D4" w:rsidRPr="001D49D4" w:rsidRDefault="001D49D4" w:rsidP="0004348D">
      <w:pPr>
        <w:numPr>
          <w:ilvl w:val="0"/>
          <w:numId w:val="213"/>
        </w:numPr>
        <w:spacing w:before="360" w:after="240"/>
        <w:contextualSpacing/>
      </w:pPr>
      <w:r w:rsidRPr="001D49D4">
        <w:rPr>
          <w:rtl/>
        </w:rPr>
        <w:t>רמב"ם</w:t>
      </w:r>
      <w:r w:rsidRPr="001D49D4">
        <w:rPr>
          <w:sz w:val="16"/>
          <w:szCs w:val="16"/>
          <w:rtl/>
        </w:rPr>
        <w:t xml:space="preserve"> (שם)</w:t>
      </w:r>
      <w:r w:rsidRPr="001D49D4">
        <w:rPr>
          <w:rtl/>
        </w:rPr>
        <w:t>- מי שבלה שטר חובו והרי הוא הולך להמחק - מעמיד עליו עדים</w:t>
      </w:r>
      <w:r w:rsidRPr="001D49D4">
        <w:rPr>
          <w:vertAlign w:val="superscript"/>
          <w:rtl/>
        </w:rPr>
        <w:footnoteReference w:id="3063"/>
      </w:r>
      <w:r w:rsidRPr="001D49D4">
        <w:rPr>
          <w:rtl/>
        </w:rPr>
        <w:t xml:space="preserve"> ובא לב"ד והם עושין לו קיום.</w:t>
      </w:r>
      <w:r w:rsidRPr="001D49D4">
        <w:rPr>
          <w:color w:val="E36C0A" w:themeColor="accent6" w:themeShade="BF"/>
          <w:rtl/>
        </w:rPr>
        <w:t xml:space="preserve"> (וכ"כ בשו"ע)</w:t>
      </w:r>
    </w:p>
    <w:p w14:paraId="55F7783A" w14:textId="77777777" w:rsidR="001D49D4" w:rsidRPr="001D49D4" w:rsidRDefault="001D49D4" w:rsidP="0004348D">
      <w:pPr>
        <w:numPr>
          <w:ilvl w:val="0"/>
          <w:numId w:val="213"/>
        </w:numPr>
        <w:spacing w:before="360" w:after="240"/>
        <w:contextualSpacing/>
      </w:pPr>
      <w:r w:rsidRPr="001D49D4">
        <w:rPr>
          <w:rtl/>
        </w:rPr>
        <w:t xml:space="preserve">ראב"ד </w:t>
      </w:r>
      <w:r w:rsidRPr="001D49D4">
        <w:rPr>
          <w:sz w:val="16"/>
          <w:szCs w:val="16"/>
          <w:rtl/>
        </w:rPr>
        <w:t>(כ"כ הה"מ בשמו)</w:t>
      </w:r>
      <w:r w:rsidRPr="001D49D4">
        <w:rPr>
          <w:rtl/>
        </w:rPr>
        <w:t xml:space="preserve"> ור"א בר יצחק </w:t>
      </w:r>
      <w:r w:rsidRPr="001D49D4">
        <w:rPr>
          <w:sz w:val="16"/>
          <w:szCs w:val="16"/>
          <w:rtl/>
        </w:rPr>
        <w:t>(כ"כ בשמו בעל התרומות [שם])</w:t>
      </w:r>
      <w:r w:rsidRPr="001D49D4">
        <w:rPr>
          <w:rtl/>
        </w:rPr>
        <w:t>- אם נמחק שטר חובו כגון שנפלו מים על הטופס ולא על חתימת העדים מעמיד עליו עדים קודם שלא יהא רשומו ניכר שיראו מה שכתוב בו ויעידו לפני בית דין ובית דין יראו חתימת העדים ויקיימוהו</w:t>
      </w:r>
      <w:r w:rsidRPr="001D49D4">
        <w:rPr>
          <w:sz w:val="16"/>
          <w:szCs w:val="16"/>
          <w:rtl/>
        </w:rPr>
        <w:t xml:space="preserve"> (ל' בעל התרומות בשם ר"א בר יצחק)</w:t>
      </w:r>
      <w:r w:rsidRPr="001D49D4">
        <w:rPr>
          <w:rtl/>
        </w:rPr>
        <w:t xml:space="preserve">.  </w:t>
      </w:r>
    </w:p>
    <w:p w14:paraId="11CC1C05" w14:textId="77777777" w:rsidR="001D49D4" w:rsidRPr="001D49D4" w:rsidRDefault="001D49D4" w:rsidP="0004348D">
      <w:pPr>
        <w:spacing w:before="360" w:after="240"/>
        <w:ind w:left="360"/>
        <w:rPr>
          <w:rFonts w:ascii="Calibri" w:eastAsia="Calibri" w:hAnsi="Calibri" w:cs="Arial"/>
          <w:u w:val="dotted"/>
          <w:rtl/>
        </w:rPr>
      </w:pPr>
      <w:r w:rsidRPr="001D49D4">
        <w:rPr>
          <w:rFonts w:ascii="Calibri" w:eastAsia="Calibri" w:hAnsi="Calibri" w:cs="Arial"/>
          <w:u w:val="dotted"/>
          <w:rtl/>
        </w:rPr>
        <w:t>האם העדים יכולים לכתוב שטר חדש בעצמם</w:t>
      </w:r>
      <w:r w:rsidRPr="001D49D4">
        <w:rPr>
          <w:rFonts w:ascii="Calibri" w:eastAsia="Calibri" w:hAnsi="Calibri" w:cs="Arial"/>
          <w:sz w:val="16"/>
          <w:szCs w:val="16"/>
          <w:u w:val="dotted"/>
          <w:rtl/>
        </w:rPr>
        <w:t xml:space="preserve"> (בלי ללכת לב"ד)</w:t>
      </w:r>
      <w:r w:rsidRPr="001D49D4">
        <w:rPr>
          <w:rFonts w:ascii="Calibri" w:eastAsia="Calibri" w:hAnsi="Calibri" w:cs="Arial"/>
          <w:u w:val="dotted"/>
          <w:rtl/>
        </w:rPr>
        <w:t>:</w:t>
      </w:r>
    </w:p>
    <w:p w14:paraId="5E5BA236" w14:textId="77777777" w:rsidR="001D49D4" w:rsidRPr="001D49D4" w:rsidRDefault="001D49D4" w:rsidP="0004348D">
      <w:pPr>
        <w:numPr>
          <w:ilvl w:val="0"/>
          <w:numId w:val="213"/>
        </w:numPr>
        <w:spacing w:before="360" w:after="240"/>
        <w:contextualSpacing/>
      </w:pPr>
      <w:r w:rsidRPr="001D49D4">
        <w:rPr>
          <w:rtl/>
        </w:rPr>
        <w:t xml:space="preserve">רמב"ם </w:t>
      </w:r>
      <w:r w:rsidRPr="001D49D4">
        <w:rPr>
          <w:sz w:val="16"/>
          <w:szCs w:val="16"/>
          <w:rtl/>
        </w:rPr>
        <w:t>(שם)</w:t>
      </w:r>
      <w:r w:rsidRPr="001D49D4">
        <w:rPr>
          <w:rtl/>
        </w:rPr>
        <w:t xml:space="preserve"> וטור- אבל עדי השטר עצמן אין כותבין לו שטר אחר</w:t>
      </w:r>
      <w:r w:rsidRPr="001D49D4">
        <w:rPr>
          <w:vertAlign w:val="superscript"/>
          <w:rtl/>
        </w:rPr>
        <w:footnoteReference w:id="3064"/>
      </w:r>
      <w:r w:rsidRPr="001D49D4">
        <w:rPr>
          <w:rtl/>
        </w:rPr>
        <w:t xml:space="preserve"> אע"פ שנמחק בפניהם, אבל באין לבית דין וב"ד עושין לו קיום</w:t>
      </w:r>
      <w:r w:rsidRPr="001D49D4">
        <w:rPr>
          <w:vertAlign w:val="superscript"/>
          <w:rtl/>
        </w:rPr>
        <w:footnoteReference w:id="3065"/>
      </w:r>
      <w:r w:rsidRPr="001D49D4">
        <w:rPr>
          <w:sz w:val="16"/>
          <w:szCs w:val="16"/>
          <w:rtl/>
        </w:rPr>
        <w:t xml:space="preserve"> (ל' הרמב"ם)</w:t>
      </w:r>
      <w:r w:rsidRPr="001D49D4">
        <w:rPr>
          <w:rtl/>
        </w:rPr>
        <w:t>.</w:t>
      </w:r>
      <w:r w:rsidRPr="001D49D4">
        <w:rPr>
          <w:color w:val="E36C0A" w:themeColor="accent6" w:themeShade="BF"/>
          <w:rtl/>
        </w:rPr>
        <w:t xml:space="preserve"> (וכ"כ בשו"ע)</w:t>
      </w:r>
    </w:p>
    <w:p w14:paraId="7C6AECDF" w14:textId="77777777" w:rsidR="001D49D4" w:rsidRPr="001D49D4" w:rsidRDefault="001D49D4" w:rsidP="0004348D">
      <w:pPr>
        <w:spacing w:before="360" w:after="240"/>
        <w:ind w:left="360"/>
        <w:rPr>
          <w:rFonts w:ascii="Calibri" w:eastAsia="Calibri" w:hAnsi="Calibri" w:cs="Arial"/>
          <w:u w:val="dotted"/>
          <w:rtl/>
        </w:rPr>
      </w:pPr>
      <w:r w:rsidRPr="001D49D4">
        <w:rPr>
          <w:rFonts w:ascii="Calibri" w:eastAsia="Calibri" w:hAnsi="Calibri" w:cs="Arial"/>
          <w:u w:val="dotted"/>
          <w:rtl/>
        </w:rPr>
        <w:t>כיצד מקיימין שטר זה:</w:t>
      </w:r>
    </w:p>
    <w:p w14:paraId="2D0E1F7F" w14:textId="77777777" w:rsidR="001D49D4" w:rsidRPr="001D49D4" w:rsidRDefault="001D49D4" w:rsidP="0004348D">
      <w:pPr>
        <w:numPr>
          <w:ilvl w:val="0"/>
          <w:numId w:val="213"/>
        </w:numPr>
        <w:spacing w:before="360" w:after="240"/>
        <w:contextualSpacing/>
      </w:pPr>
      <w:r w:rsidRPr="001D49D4">
        <w:rPr>
          <w:rtl/>
        </w:rPr>
        <w:t>רמב"ם</w:t>
      </w:r>
      <w:r w:rsidRPr="001D49D4">
        <w:rPr>
          <w:sz w:val="16"/>
          <w:szCs w:val="16"/>
          <w:rtl/>
        </w:rPr>
        <w:t xml:space="preserve"> (פכ"ג ממלוה ולוה הי"ב)</w:t>
      </w:r>
      <w:r w:rsidRPr="001D49D4">
        <w:rPr>
          <w:rtl/>
        </w:rPr>
        <w:t xml:space="preserve">- כיצד מקיימין שטר זה, כותבין שטר אחר ואומרים 'אנו בית דין פלוני ופלוני ופלוני, הוציא פלוני בן פלוני שטר נמחק לפנינו, וזמנו ביום פלוני, ופלוני ופלוני עדיו'. </w:t>
      </w:r>
      <w:r w:rsidRPr="001D49D4">
        <w:rPr>
          <w:color w:val="E36C0A" w:themeColor="accent6" w:themeShade="BF"/>
          <w:rtl/>
        </w:rPr>
        <w:t>(וכ"כ בשו"ע)</w:t>
      </w:r>
    </w:p>
    <w:p w14:paraId="11DB27FA" w14:textId="77777777" w:rsidR="001D49D4" w:rsidRPr="001D49D4" w:rsidRDefault="001D49D4" w:rsidP="0004348D">
      <w:pPr>
        <w:numPr>
          <w:ilvl w:val="0"/>
          <w:numId w:val="213"/>
        </w:numPr>
        <w:spacing w:before="360" w:after="240"/>
        <w:contextualSpacing/>
      </w:pPr>
      <w:r w:rsidRPr="001D49D4">
        <w:rPr>
          <w:rtl/>
        </w:rPr>
        <w:t>ר"י</w:t>
      </w:r>
      <w:r w:rsidRPr="001D49D4">
        <w:rPr>
          <w:sz w:val="16"/>
          <w:szCs w:val="16"/>
          <w:rtl/>
        </w:rPr>
        <w:t xml:space="preserve"> (כ"כ הטור בשמו)</w:t>
      </w:r>
      <w:r w:rsidRPr="001D49D4">
        <w:rPr>
          <w:rtl/>
        </w:rPr>
        <w:t xml:space="preserve"> וטור- כותבין לו ב"ד 'אנחנו ב"ד פלוני ופלוני ופלוני, הוציא פלוני שטר מחוק לפנינו שזמנו ביום פלוני, ופלוני ופלוני היו עדי השטר, ופלוני ופלוני העידו עליו שנמחק</w:t>
      </w:r>
      <w:r w:rsidRPr="001D49D4">
        <w:rPr>
          <w:vertAlign w:val="superscript"/>
          <w:rtl/>
        </w:rPr>
        <w:footnoteReference w:id="3066"/>
      </w:r>
      <w:r w:rsidRPr="001D49D4">
        <w:rPr>
          <w:rtl/>
        </w:rPr>
        <w:t xml:space="preserve">' </w:t>
      </w:r>
      <w:r w:rsidRPr="001D49D4">
        <w:rPr>
          <w:sz w:val="16"/>
          <w:szCs w:val="16"/>
          <w:rtl/>
        </w:rPr>
        <w:t>(ל' הטור בשם ר"י)</w:t>
      </w:r>
      <w:r w:rsidRPr="001D49D4">
        <w:rPr>
          <w:rtl/>
        </w:rPr>
        <w:t>.</w:t>
      </w:r>
    </w:p>
    <w:p w14:paraId="1F995752" w14:textId="77777777" w:rsidR="001D49D4" w:rsidRPr="001D49D4" w:rsidRDefault="001D49D4" w:rsidP="0004348D">
      <w:pPr>
        <w:spacing w:before="360" w:after="240"/>
        <w:ind w:left="360"/>
        <w:rPr>
          <w:rFonts w:ascii="Calibri" w:eastAsia="Calibri" w:hAnsi="Calibri" w:cs="Arial"/>
          <w:u w:val="dotted"/>
        </w:rPr>
      </w:pPr>
      <w:r w:rsidRPr="001D49D4">
        <w:rPr>
          <w:rFonts w:ascii="Calibri" w:eastAsia="Calibri" w:hAnsi="Calibri" w:cs="Arial"/>
          <w:u w:val="dotted"/>
          <w:rtl/>
        </w:rPr>
        <w:t>מאיזה זמן גובה את הנכסים בזה השטר</w:t>
      </w:r>
      <w:r w:rsidRPr="001D49D4">
        <w:rPr>
          <w:rFonts w:ascii="Calibri" w:eastAsia="Calibri" w:hAnsi="Calibri" w:cs="Arial"/>
          <w:sz w:val="16"/>
          <w:szCs w:val="16"/>
          <w:u w:val="dotted"/>
          <w:rtl/>
        </w:rPr>
        <w:t xml:space="preserve"> (מזמנו של שטר ראשון או מזמנו של החדש)</w:t>
      </w:r>
      <w:r w:rsidRPr="001D49D4">
        <w:rPr>
          <w:rFonts w:ascii="Calibri" w:eastAsia="Calibri" w:hAnsi="Calibri" w:cs="Arial"/>
          <w:u w:val="dotted"/>
          <w:rtl/>
        </w:rPr>
        <w:t>:</w:t>
      </w:r>
    </w:p>
    <w:p w14:paraId="58B7B2CA" w14:textId="77777777" w:rsidR="001D49D4" w:rsidRPr="001D49D4" w:rsidRDefault="001D49D4" w:rsidP="0004348D">
      <w:pPr>
        <w:numPr>
          <w:ilvl w:val="0"/>
          <w:numId w:val="214"/>
        </w:numPr>
        <w:spacing w:before="360" w:after="240"/>
        <w:contextualSpacing/>
        <w:rPr>
          <w:rtl/>
        </w:rPr>
      </w:pPr>
      <w:r w:rsidRPr="001D49D4">
        <w:rPr>
          <w:rtl/>
        </w:rPr>
        <w:lastRenderedPageBreak/>
        <w:t xml:space="preserve">רשב"ם </w:t>
      </w:r>
      <w:r w:rsidRPr="001D49D4">
        <w:rPr>
          <w:sz w:val="16"/>
          <w:szCs w:val="16"/>
          <w:rtl/>
        </w:rPr>
        <w:t>(קסח: ד"ה גובה, וכ"כ בשמו התוס' [קע: ד"ה אין])</w:t>
      </w:r>
      <w:r w:rsidRPr="001D49D4">
        <w:rPr>
          <w:rtl/>
        </w:rPr>
        <w:t xml:space="preserve"> ר"י</w:t>
      </w:r>
      <w:r w:rsidRPr="001D49D4">
        <w:rPr>
          <w:sz w:val="16"/>
          <w:szCs w:val="16"/>
          <w:rtl/>
        </w:rPr>
        <w:t xml:space="preserve"> (כ"כ הטור בשמו)</w:t>
      </w:r>
      <w:r w:rsidRPr="001D49D4">
        <w:rPr>
          <w:rtl/>
        </w:rPr>
        <w:t xml:space="preserve"> וטור- גובה בזה השטר ממונו מזמן הראשון. (וכ"פ הש"ך</w:t>
      </w:r>
      <w:r w:rsidRPr="001D49D4">
        <w:rPr>
          <w:sz w:val="16"/>
          <w:szCs w:val="16"/>
          <w:rtl/>
        </w:rPr>
        <w:t xml:space="preserve"> [סק"ה]</w:t>
      </w:r>
      <w:r w:rsidRPr="001D49D4">
        <w:rPr>
          <w:rtl/>
        </w:rPr>
        <w:t>)</w:t>
      </w:r>
    </w:p>
    <w:p w14:paraId="1A52CC99" w14:textId="77777777" w:rsidR="001D49D4" w:rsidRPr="001D49D4" w:rsidRDefault="001D49D4" w:rsidP="0004348D">
      <w:pPr>
        <w:spacing w:before="360" w:after="240"/>
        <w:rPr>
          <w:rFonts w:ascii="Calibri" w:eastAsia="Calibri" w:hAnsi="Calibri" w:cs="Arial"/>
        </w:rPr>
      </w:pPr>
      <w:r w:rsidRPr="001D49D4">
        <w:rPr>
          <w:rFonts w:ascii="Calibri" w:eastAsia="Calibri" w:hAnsi="Calibri" w:cs="Arial"/>
          <w:b/>
          <w:bCs/>
          <w:rtl/>
        </w:rPr>
        <w:t xml:space="preserve">בבא בתרא </w:t>
      </w:r>
      <w:r w:rsidRPr="001D49D4">
        <w:rPr>
          <w:rFonts w:ascii="Calibri" w:eastAsia="Calibri" w:hAnsi="Calibri" w:cs="Arial"/>
          <w:b/>
          <w:bCs/>
          <w:sz w:val="16"/>
          <w:szCs w:val="16"/>
          <w:rtl/>
        </w:rPr>
        <w:t xml:space="preserve">(פרק גט פשוט) </w:t>
      </w:r>
      <w:r w:rsidRPr="001D49D4">
        <w:rPr>
          <w:rFonts w:ascii="Calibri" w:eastAsia="Calibri" w:hAnsi="Calibri" w:cs="Arial"/>
          <w:b/>
          <w:bCs/>
          <w:rtl/>
        </w:rPr>
        <w:t>קסח ע"ב:</w:t>
      </w:r>
      <w:r w:rsidRPr="001D49D4">
        <w:rPr>
          <w:rFonts w:ascii="Calibri" w:eastAsia="Calibri" w:hAnsi="Calibri" w:cs="Arial"/>
          <w:rtl/>
        </w:rPr>
        <w:t xml:space="preserve"> ת"ר: איזהו קיומו? במותב תלתא הוינא אנו פלוני ופלוני ופלוני, הוציא פלוני בן פלוני שטר מחוק לפנינו ביום פלוני, ופלוני ופלוני עדיו. ואם כתוב בו: הוזקקנו לעדותן של עדים ונמצאת עדותן מכוונת - גובה ואינו צריך להביא ראיה, ואם לאו - צריך להביא ראיה.</w:t>
      </w:r>
    </w:p>
    <w:p w14:paraId="757FBB8E" w14:textId="77777777" w:rsidR="001D49D4" w:rsidRPr="001D49D4" w:rsidRDefault="001D49D4" w:rsidP="0004348D">
      <w:pPr>
        <w:spacing w:before="360" w:after="240"/>
        <w:rPr>
          <w:rFonts w:ascii="Calibri" w:eastAsia="Calibri" w:hAnsi="Calibri" w:cs="Arial"/>
          <w:u w:val="single"/>
          <w:rtl/>
        </w:rPr>
      </w:pPr>
      <w:r w:rsidRPr="001D49D4">
        <w:rPr>
          <w:rFonts w:ascii="Calibri" w:eastAsia="Calibri" w:hAnsi="Calibri" w:cs="Arial"/>
          <w:u w:val="single"/>
          <w:rtl/>
        </w:rPr>
        <w:t>מה הדין אם כתבו/לא כתבו הדיינים בקיום השטר 'הוזקקנו לעדותן של עדים ונמצאת עדותן מכוונת':</w:t>
      </w:r>
    </w:p>
    <w:p w14:paraId="404B3CB5" w14:textId="77777777" w:rsidR="001D49D4" w:rsidRPr="001D49D4" w:rsidRDefault="001D49D4" w:rsidP="0004348D">
      <w:pPr>
        <w:numPr>
          <w:ilvl w:val="0"/>
          <w:numId w:val="215"/>
        </w:numPr>
        <w:spacing w:before="360" w:after="240"/>
        <w:contextualSpacing/>
        <w:rPr>
          <w:rtl/>
        </w:rPr>
      </w:pPr>
      <w:r w:rsidRPr="001D49D4">
        <w:rPr>
          <w:rtl/>
        </w:rPr>
        <w:t>רשב"ם</w:t>
      </w:r>
      <w:r w:rsidRPr="001D49D4">
        <w:rPr>
          <w:vertAlign w:val="superscript"/>
          <w:rtl/>
        </w:rPr>
        <w:footnoteReference w:id="3067"/>
      </w:r>
      <w:r w:rsidRPr="001D49D4">
        <w:rPr>
          <w:sz w:val="16"/>
          <w:szCs w:val="16"/>
          <w:rtl/>
        </w:rPr>
        <w:t xml:space="preserve"> (שם, ד"ה אם כתוב, וד"ה גובה)</w:t>
      </w:r>
      <w:r w:rsidRPr="001D49D4">
        <w:rPr>
          <w:color w:val="000000" w:themeColor="text1"/>
          <w:rtl/>
        </w:rPr>
        <w:t xml:space="preserve"> רמב"ם </w:t>
      </w:r>
      <w:r w:rsidRPr="001D49D4">
        <w:rPr>
          <w:color w:val="000000" w:themeColor="text1"/>
          <w:sz w:val="16"/>
          <w:szCs w:val="16"/>
          <w:rtl/>
        </w:rPr>
        <w:t xml:space="preserve">(שם, להב' הה"מ והב"י) </w:t>
      </w:r>
      <w:r w:rsidRPr="001D49D4">
        <w:rPr>
          <w:color w:val="000000" w:themeColor="text1"/>
          <w:rtl/>
        </w:rPr>
        <w:t xml:space="preserve">והה"מ </w:t>
      </w:r>
      <w:r w:rsidRPr="001D49D4">
        <w:rPr>
          <w:color w:val="000000" w:themeColor="text1"/>
          <w:sz w:val="16"/>
          <w:szCs w:val="16"/>
          <w:rtl/>
        </w:rPr>
        <w:t>(שם)</w:t>
      </w:r>
      <w:r w:rsidRPr="001D49D4">
        <w:rPr>
          <w:color w:val="000000" w:themeColor="text1"/>
          <w:rtl/>
        </w:rPr>
        <w:t xml:space="preserve">- ב"ד עושין לו קיום שמזכירים הדברים שהיו בשטר עם הזכרת עדיו, ובכל זה </w:t>
      </w:r>
      <w:r w:rsidRPr="001D49D4">
        <w:rPr>
          <w:rtl/>
        </w:rPr>
        <w:t>אין אנו צריכים לעדי השטר כלל. ולפיכך אם כתבו ב"ד שעדי השטר באו לפניהם וחקרום ונמצאת עדותן מכוונת - גובה ואינו צריך להביא ראיה כלל, והרי שטר זה אליו כשטר הראשון אם היה מקויים, ואם לאו</w:t>
      </w:r>
      <w:r w:rsidRPr="001D49D4">
        <w:rPr>
          <w:vertAlign w:val="superscript"/>
          <w:rtl/>
        </w:rPr>
        <w:footnoteReference w:id="3068"/>
      </w:r>
      <w:r w:rsidRPr="001D49D4">
        <w:rPr>
          <w:rtl/>
        </w:rPr>
        <w:t xml:space="preserve"> - צריך להביא ראיה, שהרי זה כשטר ראשון שלא היה מקויים, ויכול הלוה לטעון לא היו דברים מעולם בטענת מזוייף</w:t>
      </w:r>
      <w:r w:rsidRPr="001D49D4">
        <w:rPr>
          <w:vertAlign w:val="superscript"/>
          <w:rtl/>
        </w:rPr>
        <w:footnoteReference w:id="3069"/>
      </w:r>
      <w:r w:rsidRPr="001D49D4">
        <w:rPr>
          <w:sz w:val="16"/>
          <w:szCs w:val="16"/>
          <w:rtl/>
        </w:rPr>
        <w:t xml:space="preserve"> (ל' הרמב"ם)</w:t>
      </w:r>
      <w:r w:rsidRPr="001D49D4">
        <w:rPr>
          <w:rtl/>
        </w:rPr>
        <w:t xml:space="preserve">. </w:t>
      </w:r>
      <w:r w:rsidRPr="001D49D4">
        <w:rPr>
          <w:color w:val="E36C0A" w:themeColor="accent6" w:themeShade="BF"/>
          <w:rtl/>
        </w:rPr>
        <w:t>(וכ"פ בשו"ע)</w:t>
      </w:r>
    </w:p>
    <w:p w14:paraId="2164CAFD" w14:textId="77777777" w:rsidR="001D49D4" w:rsidRPr="001D49D4" w:rsidRDefault="001D49D4" w:rsidP="0004348D">
      <w:pPr>
        <w:numPr>
          <w:ilvl w:val="0"/>
          <w:numId w:val="215"/>
        </w:numPr>
        <w:spacing w:before="360" w:after="240"/>
        <w:contextualSpacing/>
        <w:rPr>
          <w:rtl/>
        </w:rPr>
      </w:pPr>
      <w:r w:rsidRPr="001D49D4">
        <w:rPr>
          <w:rtl/>
        </w:rPr>
        <w:t xml:space="preserve">טור- אם כתבו ב"ד שעמדו על דברי </w:t>
      </w:r>
      <w:r w:rsidRPr="001D49D4">
        <w:rPr>
          <w:b/>
          <w:bCs/>
          <w:rtl/>
        </w:rPr>
        <w:t>המעידים שהעידו עליו שנמחק</w:t>
      </w:r>
      <w:r w:rsidRPr="001D49D4">
        <w:rPr>
          <w:rtl/>
        </w:rPr>
        <w:t xml:space="preserve"> ונמצאו מכוונין - גובה בזה וא"צ ראיה אחרת. ואם לא כתבו כן - צריך להביא ראיה על כל מה שהיה כתוב בשטר.</w:t>
      </w:r>
    </w:p>
    <w:p w14:paraId="32CC2095" w14:textId="77777777" w:rsidR="001D49D4" w:rsidRPr="001D49D4" w:rsidRDefault="001D49D4" w:rsidP="0004348D">
      <w:pPr>
        <w:numPr>
          <w:ilvl w:val="0"/>
          <w:numId w:val="215"/>
        </w:numPr>
        <w:spacing w:before="360" w:after="240"/>
        <w:contextualSpacing/>
        <w:rPr>
          <w:rtl/>
        </w:rPr>
      </w:pPr>
      <w:r w:rsidRPr="001D49D4">
        <w:rPr>
          <w:rtl/>
        </w:rPr>
        <w:t>ראב"ד</w:t>
      </w:r>
      <w:r w:rsidRPr="001D49D4">
        <w:rPr>
          <w:sz w:val="16"/>
          <w:szCs w:val="16"/>
          <w:rtl/>
        </w:rPr>
        <w:t xml:space="preserve"> (כ"כ הה"מ בשמו)</w:t>
      </w:r>
      <w:r w:rsidRPr="001D49D4">
        <w:rPr>
          <w:rtl/>
        </w:rPr>
        <w:t xml:space="preserve">- מיירי שלא נמחקו עדי השטר ויכולין להתקיים, ופירוש הוזקקנו לעדותן של עדים - אותם שראו השטר בעוד שהיה רשומו ניכר, ואם לאו - צריך להביא ראיה דחיישינן לבית דין טועים </w:t>
      </w:r>
      <w:r w:rsidRPr="001D49D4">
        <w:rPr>
          <w:sz w:val="16"/>
          <w:szCs w:val="16"/>
          <w:rtl/>
        </w:rPr>
        <w:t xml:space="preserve">(ב"ב קסד.) </w:t>
      </w:r>
      <w:r w:rsidRPr="001D49D4">
        <w:rPr>
          <w:rtl/>
        </w:rPr>
        <w:t>שקיימו השטר בלא חקירת העדים</w:t>
      </w:r>
      <w:r w:rsidRPr="001D49D4">
        <w:rPr>
          <w:vertAlign w:val="superscript"/>
          <w:rtl/>
        </w:rPr>
        <w:footnoteReference w:id="3070"/>
      </w:r>
      <w:r w:rsidRPr="001D49D4">
        <w:rPr>
          <w:rtl/>
        </w:rPr>
        <w:t xml:space="preserve">. </w:t>
      </w:r>
    </w:p>
    <w:p w14:paraId="5C0AB158" w14:textId="77777777" w:rsidR="001D49D4" w:rsidRPr="001D49D4" w:rsidRDefault="001D49D4" w:rsidP="0004348D">
      <w:pPr>
        <w:spacing w:before="360" w:after="240"/>
        <w:rPr>
          <w:rFonts w:ascii="Calibri" w:eastAsia="Calibri" w:hAnsi="Calibri" w:cs="Arial"/>
          <w:u w:val="single"/>
          <w:rtl/>
        </w:rPr>
      </w:pPr>
      <w:r w:rsidRPr="001D49D4">
        <w:rPr>
          <w:rFonts w:ascii="Calibri" w:eastAsia="Calibri" w:hAnsi="Calibri" w:cs="Arial"/>
          <w:u w:val="single"/>
          <w:rtl/>
        </w:rPr>
        <w:t>לוה שטוען 'פרעתי' על אותו שטר שני שעשו בית דין  – מה דינו:</w:t>
      </w:r>
    </w:p>
    <w:p w14:paraId="2142662C" w14:textId="77777777" w:rsidR="001D49D4" w:rsidRPr="001D49D4" w:rsidRDefault="001D49D4" w:rsidP="0004348D">
      <w:pPr>
        <w:numPr>
          <w:ilvl w:val="0"/>
          <w:numId w:val="215"/>
        </w:numPr>
        <w:spacing w:before="360" w:after="240"/>
        <w:contextualSpacing/>
        <w:rPr>
          <w:rtl/>
        </w:rPr>
      </w:pPr>
      <w:r w:rsidRPr="001D49D4">
        <w:rPr>
          <w:rtl/>
        </w:rPr>
        <w:t xml:space="preserve">בעל התרומות </w:t>
      </w:r>
      <w:r w:rsidRPr="001D49D4">
        <w:rPr>
          <w:sz w:val="16"/>
          <w:szCs w:val="16"/>
          <w:rtl/>
        </w:rPr>
        <w:t>(שער נז ח"ב סי' ה)</w:t>
      </w:r>
      <w:r w:rsidRPr="001D49D4">
        <w:rPr>
          <w:rtl/>
        </w:rPr>
        <w:t xml:space="preserve">- יש לברר, לוה שטוען על אותו שטר שני שעשו בית דין 'פרעתי', מה דינו, אחר שאין בידו שטר חובו הראשון, על זה פסק הראב"ד שאין יכול לומר פרעתי, כדגרסינן </w:t>
      </w:r>
      <w:r w:rsidRPr="001D49D4">
        <w:rPr>
          <w:sz w:val="16"/>
          <w:szCs w:val="16"/>
          <w:rtl/>
        </w:rPr>
        <w:t xml:space="preserve">(ב"מ יז.) </w:t>
      </w:r>
      <w:r w:rsidRPr="001D49D4">
        <w:rPr>
          <w:rtl/>
        </w:rPr>
        <w:t xml:space="preserve">הטוען אחר מעשה בית דין לא עשה כלום, והעמידה הרב כגון מי שנמחק שטר חובו והעמיד עליו עדים ובאו לבית דין, דכל מעשה בית דין כמאן דנקיט שטרא בידיה דמי. וכן הטוען אחר מעשה בית דין כגון </w:t>
      </w:r>
      <w:r w:rsidRPr="001D49D4">
        <w:rPr>
          <w:sz w:val="16"/>
          <w:szCs w:val="16"/>
          <w:rtl/>
        </w:rPr>
        <w:t xml:space="preserve">(ב"ב קע:) </w:t>
      </w:r>
      <w:r w:rsidRPr="001D49D4">
        <w:rPr>
          <w:rtl/>
        </w:rPr>
        <w:t>מי שפרע מקצת חובו וכותבין לו בית דין מזמן ראשון, ואע"פ שגוף השטר שעשה לו הלוה אינו קיים אעפ"כ אינו יכול לטעון פרעתי, ולא עוד אלא שדינו כדין שטר שכתב על עצמו הלוה אף לענין שעבוד קרקעות.</w:t>
      </w:r>
    </w:p>
    <w:p w14:paraId="0B565A5D"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b/>
          <w:bCs/>
          <w:rtl/>
        </w:rPr>
        <w:t xml:space="preserve">בבא בתרא </w:t>
      </w:r>
      <w:r w:rsidRPr="001D49D4">
        <w:rPr>
          <w:rFonts w:ascii="Calibri" w:eastAsia="Calibri" w:hAnsi="Calibri" w:cs="Arial"/>
          <w:b/>
          <w:bCs/>
          <w:sz w:val="16"/>
          <w:szCs w:val="16"/>
          <w:rtl/>
        </w:rPr>
        <w:t xml:space="preserve">(פרק גט פשוט) </w:t>
      </w:r>
      <w:r w:rsidRPr="001D49D4">
        <w:rPr>
          <w:rFonts w:ascii="Calibri" w:eastAsia="Calibri" w:hAnsi="Calibri" w:cs="Arial"/>
          <w:b/>
          <w:bCs/>
          <w:rtl/>
        </w:rPr>
        <w:t>קסח ע"ב:</w:t>
      </w:r>
      <w:r w:rsidRPr="001D49D4">
        <w:rPr>
          <w:rFonts w:ascii="Calibri" w:eastAsia="Calibri" w:hAnsi="Calibri" w:cs="Arial"/>
          <w:rtl/>
        </w:rPr>
        <w:t xml:space="preserve"> תנו רבנן: הרי שבא ואמר אבד שטר חובי, אף על פי שאמרו עדים אנו כתבנו וחתמנו ונתננו לו</w:t>
      </w:r>
      <w:r w:rsidRPr="001D49D4">
        <w:rPr>
          <w:rFonts w:ascii="Calibri" w:eastAsia="Calibri" w:hAnsi="Calibri" w:cs="Arial"/>
          <w:vertAlign w:val="superscript"/>
          <w:rtl/>
        </w:rPr>
        <w:footnoteReference w:id="3071"/>
      </w:r>
      <w:r w:rsidRPr="001D49D4">
        <w:rPr>
          <w:rFonts w:ascii="Calibri" w:eastAsia="Calibri" w:hAnsi="Calibri" w:cs="Arial"/>
          <w:rtl/>
        </w:rPr>
        <w:t xml:space="preserve"> - אין כותבין לו את השטר. בד"א - בשטרי הלואה, אבל שטרי מקח וממכר - כותבין, חוץ מן האחריות שבו</w:t>
      </w:r>
      <w:r w:rsidRPr="001D49D4">
        <w:rPr>
          <w:rFonts w:ascii="Calibri" w:eastAsia="Calibri" w:hAnsi="Calibri" w:cs="Arial"/>
          <w:vertAlign w:val="superscript"/>
          <w:rtl/>
        </w:rPr>
        <w:footnoteReference w:id="3072"/>
      </w:r>
      <w:r w:rsidRPr="001D49D4">
        <w:rPr>
          <w:rFonts w:ascii="Calibri" w:eastAsia="Calibri" w:hAnsi="Calibri" w:cs="Arial"/>
          <w:rtl/>
        </w:rPr>
        <w:t>...</w:t>
      </w:r>
      <w:r w:rsidRPr="001D49D4">
        <w:rPr>
          <w:rFonts w:ascii="Calibri" w:eastAsia="Calibri" w:hAnsi="Calibri" w:cs="Arial"/>
          <w:sz w:val="14"/>
          <w:szCs w:val="14"/>
          <w:rtl/>
        </w:rPr>
        <w:t xml:space="preserve"> (קסט:) </w:t>
      </w:r>
      <w:r w:rsidRPr="001D49D4">
        <w:rPr>
          <w:rFonts w:ascii="Calibri" w:eastAsia="Calibri" w:hAnsi="Calibri" w:cs="Arial"/>
          <w:u w:val="single"/>
          <w:rtl/>
        </w:rPr>
        <w:t>אמר מר</w:t>
      </w:r>
      <w:r w:rsidRPr="001D49D4">
        <w:rPr>
          <w:rFonts w:ascii="Calibri" w:eastAsia="Calibri" w:hAnsi="Calibri" w:cs="Arial"/>
          <w:rtl/>
        </w:rPr>
        <w:t xml:space="preserve">: חוץ מן האחריות שבו, היכי כתבינן? </w:t>
      </w:r>
      <w:r w:rsidRPr="001D49D4">
        <w:rPr>
          <w:rFonts w:ascii="Calibri" w:eastAsia="Calibri" w:hAnsi="Calibri" w:cs="Arial"/>
          <w:u w:val="single"/>
          <w:rtl/>
        </w:rPr>
        <w:t>אמר רב נחמן</w:t>
      </w:r>
      <w:r w:rsidRPr="001D49D4">
        <w:rPr>
          <w:rFonts w:ascii="Calibri" w:eastAsia="Calibri" w:hAnsi="Calibri" w:cs="Arial"/>
          <w:rtl/>
        </w:rPr>
        <w:t xml:space="preserve">: דכתבי הכי - שטרא דנן דלא למיגבי ביה לא ממשעבדי ולא מבני חרי, אלא כי היכי דתיקום ארעא בידיה דלוקח. </w:t>
      </w:r>
      <w:r w:rsidRPr="001D49D4">
        <w:rPr>
          <w:rFonts w:ascii="Calibri" w:eastAsia="Calibri" w:hAnsi="Calibri" w:cs="Arial"/>
          <w:sz w:val="16"/>
          <w:szCs w:val="16"/>
          <w:rtl/>
        </w:rPr>
        <w:t>(וכתבו התוס' (קסח: ד"ה אבל) דהא דכותבין שטר מכר שלא באחריות היינו שכותבין אותו מזמן ראשון, דאי מזימנא דהאידנא שמא חזר ומכרה למוכר ויוציא אח"כ שטר עליה ויאמר האידנא הוא דזבינתה מינך והדר טריף שלא כדין עכ"ל.</w:t>
      </w:r>
      <w:r w:rsidRPr="001D49D4">
        <w:rPr>
          <w:rFonts w:ascii="Calibri" w:eastAsia="Calibri" w:hAnsi="Calibri" w:cs="Arial"/>
          <w:color w:val="00B0F0"/>
          <w:sz w:val="16"/>
          <w:szCs w:val="16"/>
          <w:rtl/>
        </w:rPr>
        <w:t xml:space="preserve"> (וכ"פ הרמ"א)</w:t>
      </w:r>
      <w:r w:rsidRPr="001D49D4">
        <w:rPr>
          <w:rFonts w:ascii="Calibri" w:eastAsia="Calibri" w:hAnsi="Calibri" w:cs="Arial"/>
          <w:sz w:val="16"/>
          <w:szCs w:val="16"/>
          <w:rtl/>
        </w:rPr>
        <w:t>. והרמ"ה למד דין המתנה מדין המכר ומילתא דסברא הוא ובברייתא בגמרא נמי מוכח שדינם שוה, ב"י)</w:t>
      </w:r>
    </w:p>
    <w:p w14:paraId="0AD553FE"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u w:val="single"/>
          <w:rtl/>
        </w:rPr>
        <w:lastRenderedPageBreak/>
        <w:t>קריעת השטר הראשון לאחר כתיבת השטר השני:</w:t>
      </w:r>
    </w:p>
    <w:p w14:paraId="3503DF36" w14:textId="77777777" w:rsidR="001D49D4" w:rsidRPr="001D49D4" w:rsidRDefault="001D49D4" w:rsidP="0004348D">
      <w:pPr>
        <w:numPr>
          <w:ilvl w:val="0"/>
          <w:numId w:val="216"/>
        </w:numPr>
        <w:spacing w:before="360" w:after="240"/>
        <w:contextualSpacing/>
        <w:rPr>
          <w:rtl/>
        </w:rPr>
      </w:pPr>
      <w:r w:rsidRPr="001D49D4">
        <w:rPr>
          <w:rtl/>
        </w:rPr>
        <w:t>רמ"ה</w:t>
      </w:r>
      <w:r w:rsidRPr="001D49D4">
        <w:rPr>
          <w:sz w:val="16"/>
          <w:szCs w:val="16"/>
          <w:rtl/>
        </w:rPr>
        <w:t xml:space="preserve"> (מתני' ב"ב קסח. סי' יג, כ"כ הטור בשמו)</w:t>
      </w:r>
      <w:r w:rsidRPr="001D49D4">
        <w:rPr>
          <w:rtl/>
        </w:rPr>
        <w:t xml:space="preserve"> בעל התרומות</w:t>
      </w:r>
      <w:r w:rsidRPr="001D49D4">
        <w:rPr>
          <w:vertAlign w:val="superscript"/>
          <w:rtl/>
        </w:rPr>
        <w:footnoteReference w:id="3073"/>
      </w:r>
      <w:r w:rsidRPr="001D49D4">
        <w:rPr>
          <w:rtl/>
        </w:rPr>
        <w:t xml:space="preserve"> </w:t>
      </w:r>
      <w:r w:rsidRPr="001D49D4">
        <w:rPr>
          <w:sz w:val="16"/>
          <w:szCs w:val="16"/>
          <w:rtl/>
        </w:rPr>
        <w:t xml:space="preserve">(שער נז שם סי' ב-ג) </w:t>
      </w:r>
      <w:r w:rsidRPr="001D49D4">
        <w:rPr>
          <w:rtl/>
        </w:rPr>
        <w:t>וטור- צריך לכתוב בקיום שקרעו שטר הראשון, דאל"כ פסול הוא, דשמא ילך לב"ד אחר ויעשו לו קיום אחר ויגבה ויחזור ויגבה. אבל שטר מתנה שנמחק כותבין לו אחר אע"פ שלא נקרע הראשון דלא נפקא מיניה חורבא שאינו אלא להעמיד המתנה בידו, אבל אם היה במתנה אחריות וכן בשטרי מקח וממכר צריך לקרוע הראשון, או לכתוב בפירוש בשני 'זה השטר לא נכתב לטרוף בו ממשעבדי ולא מבני חרי אלא כדי להעמיד שדה זו ביד מקבל מתנה או הלוקח שלא יוציאנו מידו הנותן או המוכר'</w:t>
      </w:r>
      <w:r w:rsidRPr="001D49D4">
        <w:rPr>
          <w:vertAlign w:val="superscript"/>
          <w:rtl/>
        </w:rPr>
        <w:footnoteReference w:id="3074"/>
      </w:r>
      <w:r w:rsidRPr="001D49D4">
        <w:rPr>
          <w:sz w:val="16"/>
          <w:szCs w:val="16"/>
          <w:rtl/>
        </w:rPr>
        <w:t xml:space="preserve"> (ל' הטור בשם הרמ"ה)</w:t>
      </w:r>
      <w:r w:rsidRPr="001D49D4">
        <w:rPr>
          <w:rtl/>
        </w:rPr>
        <w:t>.</w:t>
      </w:r>
      <w:r w:rsidRPr="001D49D4">
        <w:rPr>
          <w:color w:val="E36C0A" w:themeColor="accent6" w:themeShade="BF"/>
          <w:rtl/>
        </w:rPr>
        <w:t xml:space="preserve"> (וכ"פ בשו"ע)</w:t>
      </w:r>
    </w:p>
    <w:p w14:paraId="7096ED56" w14:textId="77777777" w:rsidR="001D49D4" w:rsidRPr="001D49D4" w:rsidRDefault="001D49D4" w:rsidP="0004348D">
      <w:pPr>
        <w:spacing w:before="360" w:after="240"/>
        <w:ind w:left="360"/>
        <w:rPr>
          <w:rFonts w:ascii="Calibri" w:eastAsia="Calibri" w:hAnsi="Calibri" w:cs="Arial"/>
          <w:u w:val="dotted"/>
        </w:rPr>
      </w:pPr>
      <w:r w:rsidRPr="001D49D4">
        <w:rPr>
          <w:rFonts w:ascii="Calibri" w:eastAsia="Calibri" w:hAnsi="Calibri" w:cs="Arial"/>
          <w:u w:val="dotted"/>
          <w:rtl/>
        </w:rPr>
        <w:t>ומה הדין אם אין לחוש שיטרוף פעמיים:</w:t>
      </w:r>
    </w:p>
    <w:p w14:paraId="691BEA76" w14:textId="77777777" w:rsidR="001D49D4" w:rsidRPr="001D49D4" w:rsidRDefault="001D49D4" w:rsidP="0004348D">
      <w:pPr>
        <w:numPr>
          <w:ilvl w:val="0"/>
          <w:numId w:val="216"/>
        </w:numPr>
        <w:spacing w:before="360" w:after="240"/>
        <w:contextualSpacing/>
      </w:pPr>
      <w:r w:rsidRPr="001D49D4">
        <w:rPr>
          <w:rtl/>
        </w:rPr>
        <w:t xml:space="preserve">רי"ו </w:t>
      </w:r>
      <w:r w:rsidRPr="001D49D4">
        <w:rPr>
          <w:sz w:val="16"/>
          <w:szCs w:val="16"/>
          <w:rtl/>
        </w:rPr>
        <w:t>(מישרים נ"ד ח"ד כ ע"ג)</w:t>
      </w:r>
      <w:r w:rsidRPr="001D49D4">
        <w:rPr>
          <w:rtl/>
        </w:rPr>
        <w:t>- אם אבד או נשרף בודאי - כותבים שני שטרות של מכר אפילו באחריות או של הלואה, דאין לחוש שיטרוף שני פעמים, וכותבין אותה בית דין כאשר כתבתי.</w:t>
      </w:r>
    </w:p>
    <w:p w14:paraId="6EFE9232" w14:textId="77777777" w:rsidR="001D49D4" w:rsidRPr="001D49D4" w:rsidRDefault="001D49D4" w:rsidP="0004348D">
      <w:pPr>
        <w:spacing w:before="360" w:after="240"/>
        <w:rPr>
          <w:rFonts w:ascii="Arial" w:eastAsia="Calibri" w:hAnsi="Arial" w:cs="Arial"/>
          <w:b/>
          <w:bCs/>
          <w:color w:val="000000"/>
          <w:sz w:val="28"/>
          <w:szCs w:val="28"/>
          <w:u w:val="single"/>
          <w:rtl/>
        </w:rPr>
      </w:pPr>
      <w:r w:rsidRPr="001D49D4">
        <w:rPr>
          <w:rFonts w:ascii="Arial" w:eastAsia="Calibri" w:hAnsi="Arial" w:cs="Arial"/>
          <w:b/>
          <w:bCs/>
          <w:color w:val="000000"/>
          <w:sz w:val="28"/>
          <w:szCs w:val="28"/>
          <w:u w:val="single"/>
          <w:rtl/>
        </w:rPr>
        <w:t>שו"ע:</w:t>
      </w:r>
    </w:p>
    <w:p w14:paraId="373B867E"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rtl/>
        </w:rPr>
        <w:t>מי שבלה שטר חובו והרי הוא הולך להמחק, מעמיד עליו עדים</w:t>
      </w:r>
      <w:r w:rsidRPr="001D49D4">
        <w:rPr>
          <w:rFonts w:ascii="Calibri" w:eastAsia="Calibri" w:hAnsi="Calibri" w:cs="Arial"/>
          <w:vertAlign w:val="superscript"/>
          <w:rtl/>
        </w:rPr>
        <w:footnoteReference w:id="3075"/>
      </w:r>
      <w:r w:rsidRPr="001D49D4">
        <w:rPr>
          <w:rFonts w:ascii="Calibri" w:eastAsia="Calibri" w:hAnsi="Calibri" w:cs="Arial"/>
          <w:rtl/>
        </w:rPr>
        <w:t xml:space="preserve"> ובא לבית דין</w:t>
      </w:r>
      <w:r w:rsidRPr="001D49D4">
        <w:rPr>
          <w:rFonts w:ascii="Calibri" w:eastAsia="Calibri" w:hAnsi="Calibri" w:cs="Arial"/>
          <w:vertAlign w:val="superscript"/>
          <w:rtl/>
        </w:rPr>
        <w:footnoteReference w:id="3076"/>
      </w:r>
      <w:r w:rsidRPr="001D49D4">
        <w:rPr>
          <w:rFonts w:ascii="Calibri" w:eastAsia="Calibri" w:hAnsi="Calibri" w:cs="Arial"/>
          <w:rtl/>
        </w:rPr>
        <w:t xml:space="preserve"> והם עושים לו קיום. </w:t>
      </w:r>
      <w:r w:rsidRPr="001D49D4">
        <w:rPr>
          <w:rFonts w:ascii="Calibri" w:eastAsia="Calibri" w:hAnsi="Calibri" w:cs="Arial"/>
          <w:sz w:val="18"/>
          <w:szCs w:val="18"/>
          <w:rtl/>
        </w:rPr>
        <w:t>הגה: ויש אומרים אפילו נמחק לגמרי, מאחר שהעדים יודעים מה היה כתוב בו (טור בשם הרשב"ם ונמוק"י פ' גט פשוט). ועדות זו שמעידין על השטר יכולין להעיד שלא בפני בעל הדבר</w:t>
      </w:r>
      <w:r w:rsidRPr="001D49D4">
        <w:rPr>
          <w:rFonts w:ascii="Calibri" w:eastAsia="Calibri" w:hAnsi="Calibri" w:cs="Arial"/>
          <w:sz w:val="18"/>
          <w:szCs w:val="18"/>
          <w:vertAlign w:val="superscript"/>
          <w:rtl/>
        </w:rPr>
        <w:footnoteReference w:id="3077"/>
      </w:r>
      <w:r w:rsidRPr="001D49D4">
        <w:rPr>
          <w:rFonts w:ascii="Calibri" w:eastAsia="Calibri" w:hAnsi="Calibri" w:cs="Arial"/>
          <w:sz w:val="18"/>
          <w:szCs w:val="18"/>
          <w:rtl/>
        </w:rPr>
        <w:t xml:space="preserve"> (רי"ו בשם הרשב"א).</w:t>
      </w:r>
      <w:r w:rsidRPr="001D49D4">
        <w:rPr>
          <w:rFonts w:ascii="Calibri" w:eastAsia="Calibri" w:hAnsi="Calibri" w:cs="Arial"/>
          <w:rtl/>
        </w:rPr>
        <w:t xml:space="preserve"> אבל עידי השטר עצמם</w:t>
      </w:r>
      <w:r w:rsidRPr="001D49D4">
        <w:rPr>
          <w:rFonts w:ascii="Calibri" w:eastAsia="Calibri" w:hAnsi="Calibri" w:cs="Arial"/>
          <w:vertAlign w:val="superscript"/>
          <w:rtl/>
        </w:rPr>
        <w:footnoteReference w:id="3078"/>
      </w:r>
      <w:r w:rsidRPr="001D49D4">
        <w:rPr>
          <w:rFonts w:ascii="Calibri" w:eastAsia="Calibri" w:hAnsi="Calibri" w:cs="Arial"/>
          <w:rtl/>
        </w:rPr>
        <w:t xml:space="preserve"> אין כותבין לו שטר אחר אף על פי שנמחק בפניהם</w:t>
      </w:r>
      <w:r w:rsidRPr="001D49D4">
        <w:rPr>
          <w:rFonts w:ascii="Calibri" w:eastAsia="Calibri" w:hAnsi="Calibri" w:cs="Arial"/>
          <w:vertAlign w:val="superscript"/>
          <w:rtl/>
        </w:rPr>
        <w:footnoteReference w:id="3079"/>
      </w:r>
      <w:r w:rsidRPr="001D49D4">
        <w:rPr>
          <w:rFonts w:ascii="Calibri" w:eastAsia="Calibri" w:hAnsi="Calibri" w:cs="Arial"/>
          <w:rtl/>
        </w:rPr>
        <w:t>, אבל באים לבית דין</w:t>
      </w:r>
      <w:r w:rsidRPr="001D49D4">
        <w:rPr>
          <w:rFonts w:ascii="Calibri" w:eastAsia="Calibri" w:hAnsi="Calibri" w:cs="Arial"/>
          <w:vertAlign w:val="superscript"/>
          <w:rtl/>
        </w:rPr>
        <w:footnoteReference w:id="3080"/>
      </w:r>
      <w:r w:rsidRPr="001D49D4">
        <w:rPr>
          <w:rFonts w:ascii="Calibri" w:eastAsia="Calibri" w:hAnsi="Calibri" w:cs="Arial"/>
          <w:rtl/>
        </w:rPr>
        <w:t xml:space="preserve"> ובית דין עושים לו קיום. כיצד מקיימים שטר זה, כותבים שטר אחר ואומרים 'אנו בית דין פלוני ופלוני ופלוני, הוציא פלוני בן פלוני שטר נמחק לפנינו, וזמנו ביום פלוני, ופלוני ופלוני עדיו</w:t>
      </w:r>
      <w:r w:rsidRPr="001D49D4">
        <w:rPr>
          <w:rFonts w:ascii="Calibri" w:eastAsia="Calibri" w:hAnsi="Calibri" w:cs="Arial"/>
          <w:vertAlign w:val="superscript"/>
          <w:rtl/>
        </w:rPr>
        <w:footnoteReference w:id="3081"/>
      </w:r>
      <w:r w:rsidRPr="001D49D4">
        <w:rPr>
          <w:rFonts w:ascii="Calibri" w:eastAsia="Calibri" w:hAnsi="Calibri" w:cs="Arial"/>
          <w:rtl/>
        </w:rPr>
        <w:t>'. ואם כתבו 'והוזקקנו לעדותם של עדים ונמצאת מכוונת'</w:t>
      </w:r>
      <w:r w:rsidRPr="001D49D4">
        <w:rPr>
          <w:rFonts w:ascii="Calibri" w:eastAsia="Calibri" w:hAnsi="Calibri" w:cs="Arial"/>
          <w:vertAlign w:val="superscript"/>
          <w:rtl/>
        </w:rPr>
        <w:footnoteReference w:id="3082"/>
      </w:r>
      <w:r w:rsidRPr="001D49D4">
        <w:rPr>
          <w:rFonts w:ascii="Calibri" w:eastAsia="Calibri" w:hAnsi="Calibri" w:cs="Arial"/>
          <w:rtl/>
        </w:rPr>
        <w:t>, גובה בשטר זה שכתבו לו, ואין צריך קיום אחר. ואם לא כתבו כן, צריך להביא ראיה על העדים הראשונים</w:t>
      </w:r>
      <w:r w:rsidRPr="001D49D4">
        <w:rPr>
          <w:rFonts w:ascii="Calibri" w:eastAsia="Calibri" w:hAnsi="Calibri" w:cs="Arial"/>
          <w:vertAlign w:val="superscript"/>
          <w:rtl/>
        </w:rPr>
        <w:footnoteReference w:id="3083"/>
      </w:r>
      <w:r w:rsidRPr="001D49D4">
        <w:rPr>
          <w:rFonts w:ascii="Calibri" w:eastAsia="Calibri" w:hAnsi="Calibri" w:cs="Arial"/>
          <w:rtl/>
        </w:rPr>
        <w:t xml:space="preserve"> עד שתתקיים עדותם</w:t>
      </w:r>
      <w:r w:rsidRPr="001D49D4">
        <w:rPr>
          <w:rFonts w:ascii="Calibri" w:eastAsia="Calibri" w:hAnsi="Calibri" w:cs="Arial"/>
          <w:vertAlign w:val="superscript"/>
          <w:rtl/>
        </w:rPr>
        <w:footnoteReference w:id="3084"/>
      </w:r>
      <w:r w:rsidRPr="001D49D4">
        <w:rPr>
          <w:rFonts w:ascii="Calibri" w:eastAsia="Calibri" w:hAnsi="Calibri" w:cs="Arial"/>
          <w:sz w:val="18"/>
          <w:szCs w:val="18"/>
          <w:rtl/>
        </w:rPr>
        <w:t xml:space="preserve">. הגה: ואם אינן מקיימים, הוי כאלו הוציא עליו שטר שאינו מקוים </w:t>
      </w:r>
      <w:r w:rsidRPr="001D49D4">
        <w:rPr>
          <w:rFonts w:ascii="Calibri" w:eastAsia="Calibri" w:hAnsi="Calibri" w:cs="Arial"/>
          <w:sz w:val="18"/>
          <w:szCs w:val="18"/>
          <w:rtl/>
        </w:rPr>
        <w:lastRenderedPageBreak/>
        <w:t xml:space="preserve">(הה"מ פכ"ג). </w:t>
      </w:r>
      <w:r w:rsidRPr="001D49D4">
        <w:rPr>
          <w:rFonts w:ascii="Calibri" w:eastAsia="Calibri" w:hAnsi="Calibri" w:cs="Arial"/>
          <w:rtl/>
        </w:rPr>
        <w:t>ויש מי שאומר שצריך לכתוב בקיום שקרעו השטר הראשון</w:t>
      </w:r>
      <w:r w:rsidRPr="001D49D4">
        <w:rPr>
          <w:rFonts w:ascii="Calibri" w:eastAsia="Calibri" w:hAnsi="Calibri" w:cs="Arial"/>
          <w:vertAlign w:val="superscript"/>
          <w:rtl/>
        </w:rPr>
        <w:footnoteReference w:id="3085"/>
      </w:r>
      <w:r w:rsidRPr="001D49D4">
        <w:rPr>
          <w:rFonts w:ascii="Calibri" w:eastAsia="Calibri" w:hAnsi="Calibri" w:cs="Arial"/>
          <w:rtl/>
        </w:rPr>
        <w:t>, ואם לא כן פסול הוא</w:t>
      </w:r>
      <w:r w:rsidRPr="001D49D4">
        <w:rPr>
          <w:rFonts w:ascii="Calibri" w:eastAsia="Calibri" w:hAnsi="Calibri" w:cs="Arial"/>
          <w:vertAlign w:val="superscript"/>
          <w:rtl/>
        </w:rPr>
        <w:footnoteReference w:id="3086"/>
      </w:r>
      <w:r w:rsidRPr="001D49D4">
        <w:rPr>
          <w:rFonts w:ascii="Calibri" w:eastAsia="Calibri" w:hAnsi="Calibri" w:cs="Arial"/>
          <w:rtl/>
        </w:rPr>
        <w:t>, דחיישינן שמא ילך לבית דין אחר ויעשו לו קיום אחר ויגבה ויחזור ויגבה</w:t>
      </w:r>
      <w:r w:rsidRPr="001D49D4">
        <w:rPr>
          <w:rFonts w:ascii="Calibri" w:eastAsia="Calibri" w:hAnsi="Calibri" w:cs="Arial"/>
          <w:vertAlign w:val="superscript"/>
          <w:rtl/>
        </w:rPr>
        <w:footnoteReference w:id="3087"/>
      </w:r>
      <w:r w:rsidRPr="001D49D4">
        <w:rPr>
          <w:rFonts w:ascii="Calibri" w:eastAsia="Calibri" w:hAnsi="Calibri" w:cs="Arial"/>
          <w:rtl/>
        </w:rPr>
        <w:t>, אבל שטר מתנה שנמחק</w:t>
      </w:r>
      <w:r w:rsidRPr="001D49D4">
        <w:rPr>
          <w:rFonts w:ascii="Calibri" w:eastAsia="Calibri" w:hAnsi="Calibri" w:cs="Arial"/>
          <w:vertAlign w:val="superscript"/>
          <w:rtl/>
        </w:rPr>
        <w:footnoteReference w:id="3088"/>
      </w:r>
      <w:r w:rsidRPr="001D49D4">
        <w:rPr>
          <w:rFonts w:ascii="Calibri" w:eastAsia="Calibri" w:hAnsi="Calibri" w:cs="Arial"/>
          <w:rtl/>
        </w:rPr>
        <w:t xml:space="preserve"> כותבים לו אחר</w:t>
      </w:r>
      <w:r w:rsidRPr="001D49D4">
        <w:rPr>
          <w:rFonts w:ascii="Calibri" w:eastAsia="Calibri" w:hAnsi="Calibri" w:cs="Arial"/>
          <w:vertAlign w:val="superscript"/>
          <w:rtl/>
        </w:rPr>
        <w:footnoteReference w:id="3089"/>
      </w:r>
      <w:r w:rsidRPr="001D49D4">
        <w:rPr>
          <w:rFonts w:ascii="Calibri" w:eastAsia="Calibri" w:hAnsi="Calibri" w:cs="Arial"/>
          <w:rtl/>
        </w:rPr>
        <w:t xml:space="preserve"> אף על פי שלא נקרע הראשון. </w:t>
      </w:r>
      <w:r w:rsidRPr="001D49D4">
        <w:rPr>
          <w:rFonts w:ascii="Calibri" w:eastAsia="Calibri" w:hAnsi="Calibri" w:cs="Arial"/>
          <w:sz w:val="18"/>
          <w:szCs w:val="18"/>
          <w:rtl/>
        </w:rPr>
        <w:t>הגה: וכותבים השטר מזמן הראשון ולא מזמן שכותבין לו בית דין</w:t>
      </w:r>
      <w:r w:rsidRPr="001D49D4">
        <w:rPr>
          <w:rFonts w:ascii="Calibri" w:eastAsia="Calibri" w:hAnsi="Calibri" w:cs="Arial"/>
          <w:sz w:val="18"/>
          <w:szCs w:val="18"/>
          <w:vertAlign w:val="superscript"/>
          <w:rtl/>
        </w:rPr>
        <w:footnoteReference w:id="3090"/>
      </w:r>
      <w:r w:rsidRPr="001D49D4">
        <w:rPr>
          <w:rFonts w:ascii="Calibri" w:eastAsia="Calibri" w:hAnsi="Calibri" w:cs="Arial"/>
          <w:sz w:val="18"/>
          <w:szCs w:val="18"/>
          <w:rtl/>
        </w:rPr>
        <w:t xml:space="preserve"> (טור וב"י בשם התוס').  </w:t>
      </w:r>
      <w:r w:rsidRPr="001D49D4">
        <w:rPr>
          <w:rFonts w:ascii="Calibri" w:eastAsia="Calibri" w:hAnsi="Calibri" w:cs="Arial"/>
          <w:rtl/>
        </w:rPr>
        <w:t>אבל אם היה במתנה אחריות, וכן בשטרי מקח וממכר</w:t>
      </w:r>
      <w:r w:rsidRPr="001D49D4">
        <w:rPr>
          <w:rFonts w:ascii="Calibri" w:eastAsia="Calibri" w:hAnsi="Calibri" w:cs="Arial"/>
          <w:vertAlign w:val="superscript"/>
          <w:rtl/>
        </w:rPr>
        <w:footnoteReference w:id="3091"/>
      </w:r>
      <w:r w:rsidRPr="001D49D4">
        <w:rPr>
          <w:rFonts w:ascii="Calibri" w:eastAsia="Calibri" w:hAnsi="Calibri" w:cs="Arial"/>
          <w:rtl/>
        </w:rPr>
        <w:t>, צריך לקרוע הראשון או לכתוב בשני 'שטר זה לא נכתב לטרוף בו ממשעבדי ולא מבני חרי</w:t>
      </w:r>
      <w:r w:rsidRPr="001D49D4">
        <w:rPr>
          <w:rFonts w:ascii="Calibri" w:eastAsia="Calibri" w:hAnsi="Calibri" w:cs="Arial"/>
          <w:vertAlign w:val="superscript"/>
          <w:rtl/>
        </w:rPr>
        <w:footnoteReference w:id="3092"/>
      </w:r>
      <w:r w:rsidRPr="001D49D4">
        <w:rPr>
          <w:rFonts w:ascii="Calibri" w:eastAsia="Calibri" w:hAnsi="Calibri" w:cs="Arial"/>
          <w:rtl/>
        </w:rPr>
        <w:t xml:space="preserve"> אלא כדי להעמיד שדה זו ביד מקבל המתנה או הלוקח שלא יוציאנו מידו הנותן או המוכר'</w:t>
      </w:r>
      <w:r w:rsidRPr="001D49D4">
        <w:rPr>
          <w:rFonts w:ascii="Calibri" w:eastAsia="Calibri" w:hAnsi="Calibri" w:cs="Arial"/>
          <w:vertAlign w:val="superscript"/>
          <w:rtl/>
        </w:rPr>
        <w:footnoteReference w:id="3093"/>
      </w:r>
      <w:r w:rsidRPr="001D49D4">
        <w:rPr>
          <w:rFonts w:ascii="Calibri" w:eastAsia="Calibri" w:hAnsi="Calibri" w:cs="Arial"/>
          <w:rtl/>
        </w:rPr>
        <w:t xml:space="preserve">. </w:t>
      </w:r>
    </w:p>
    <w:p w14:paraId="01A37335" w14:textId="77777777" w:rsidR="001D49D4" w:rsidRPr="001D49D4" w:rsidRDefault="001D49D4" w:rsidP="0004348D">
      <w:pPr>
        <w:spacing w:before="360" w:after="240"/>
        <w:rPr>
          <w:rFonts w:ascii="Calibri" w:eastAsia="Calibri" w:hAnsi="Calibri" w:cs="Arial"/>
          <w:rtl/>
        </w:rPr>
      </w:pPr>
    </w:p>
    <w:p w14:paraId="76876D26" w14:textId="77777777" w:rsidR="001D49D4" w:rsidRPr="001D49D4" w:rsidRDefault="001D49D4" w:rsidP="0004348D">
      <w:pPr>
        <w:keepNext/>
        <w:keepLines/>
        <w:spacing w:before="360" w:after="240"/>
        <w:outlineLvl w:val="1"/>
        <w:rPr>
          <w:rFonts w:ascii="Cambria" w:eastAsia="Times New Roman" w:hAnsi="Cambria" w:cs="Arial"/>
          <w:bCs/>
          <w:color w:val="548DD4" w:themeColor="text2" w:themeTint="99"/>
          <w:sz w:val="26"/>
          <w:szCs w:val="26"/>
          <w:rtl/>
        </w:rPr>
      </w:pPr>
      <w:bookmarkStart w:id="407" w:name="_Toc24883849"/>
      <w:r w:rsidRPr="001D49D4">
        <w:rPr>
          <w:rFonts w:ascii="Cambria" w:eastAsia="Times New Roman" w:hAnsi="Cambria" w:cs="Arial"/>
          <w:bCs/>
          <w:color w:val="548DD4" w:themeColor="text2" w:themeTint="99"/>
          <w:sz w:val="26"/>
          <w:szCs w:val="26"/>
          <w:rtl/>
        </w:rPr>
        <w:t>סעיף ב: שטר הלואה שנמחק מדעת.</w:t>
      </w:r>
      <w:bookmarkEnd w:id="407"/>
    </w:p>
    <w:p w14:paraId="44735426"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u w:val="single"/>
          <w:rtl/>
        </w:rPr>
        <w:t>שטר הלואה שנמחק מדעת:</w:t>
      </w:r>
    </w:p>
    <w:p w14:paraId="1770193D" w14:textId="77777777" w:rsidR="001D49D4" w:rsidRPr="001D49D4" w:rsidRDefault="001D49D4" w:rsidP="0004348D">
      <w:pPr>
        <w:numPr>
          <w:ilvl w:val="0"/>
          <w:numId w:val="216"/>
        </w:numPr>
        <w:spacing w:before="360" w:after="240"/>
        <w:contextualSpacing/>
        <w:rPr>
          <w:rtl/>
        </w:rPr>
      </w:pPr>
      <w:r w:rsidRPr="001D49D4">
        <w:rPr>
          <w:rtl/>
        </w:rPr>
        <w:t xml:space="preserve">טור- ודוקא שיש עדים שנמחק באונס, אבל מחקו מלוה מדעת או שהניחו במקום שאינו משתמר ונמחק - אין עושין לו קיום, דכיון שהניחו במקום שראוי למחוק ודאי פרעיה ורוצה שיעשו קיום כדי שיגבה בו פעם שנית. </w:t>
      </w:r>
      <w:r w:rsidRPr="001D49D4">
        <w:rPr>
          <w:color w:val="E36C0A" w:themeColor="accent6" w:themeShade="BF"/>
          <w:rtl/>
        </w:rPr>
        <w:t>(וכ"פ בשו"ע)</w:t>
      </w:r>
    </w:p>
    <w:p w14:paraId="4284EE0F" w14:textId="77777777" w:rsidR="001D49D4" w:rsidRPr="001D49D4" w:rsidRDefault="001D49D4" w:rsidP="0004348D">
      <w:pPr>
        <w:spacing w:before="360" w:after="240"/>
        <w:rPr>
          <w:rFonts w:ascii="Arial" w:eastAsia="Calibri" w:hAnsi="Arial" w:cs="Arial"/>
          <w:b/>
          <w:bCs/>
          <w:color w:val="000000"/>
          <w:sz w:val="28"/>
          <w:szCs w:val="28"/>
          <w:u w:val="single"/>
          <w:rtl/>
        </w:rPr>
      </w:pPr>
      <w:r w:rsidRPr="001D49D4">
        <w:rPr>
          <w:rFonts w:ascii="Arial" w:eastAsia="Calibri" w:hAnsi="Arial" w:cs="Arial"/>
          <w:b/>
          <w:bCs/>
          <w:color w:val="000000"/>
          <w:sz w:val="28"/>
          <w:szCs w:val="28"/>
          <w:u w:val="single"/>
          <w:rtl/>
        </w:rPr>
        <w:t>שו"ע:</w:t>
      </w:r>
    </w:p>
    <w:p w14:paraId="00AD986F"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rtl/>
        </w:rPr>
        <w:t>מי שנמחק שטר חובו</w:t>
      </w:r>
      <w:r w:rsidRPr="001D49D4">
        <w:rPr>
          <w:rFonts w:ascii="Calibri" w:eastAsia="Calibri" w:hAnsi="Calibri" w:cs="Arial"/>
          <w:vertAlign w:val="superscript"/>
          <w:rtl/>
        </w:rPr>
        <w:footnoteReference w:id="3094"/>
      </w:r>
      <w:r w:rsidRPr="001D49D4">
        <w:rPr>
          <w:rFonts w:ascii="Calibri" w:eastAsia="Calibri" w:hAnsi="Calibri" w:cs="Arial"/>
          <w:rtl/>
        </w:rPr>
        <w:t>, מעמיד עליו עדים לפני בית דין ועושים לו קיומו. ודוקא שיש עדים שנמחק באונס, אבל מחקו מלוה מדעת</w:t>
      </w:r>
      <w:r w:rsidRPr="001D49D4">
        <w:rPr>
          <w:rFonts w:ascii="Calibri" w:eastAsia="Calibri" w:hAnsi="Calibri" w:cs="Arial"/>
          <w:vertAlign w:val="superscript"/>
          <w:rtl/>
        </w:rPr>
        <w:footnoteReference w:id="3095"/>
      </w:r>
      <w:r w:rsidRPr="001D49D4">
        <w:rPr>
          <w:rFonts w:ascii="Calibri" w:eastAsia="Calibri" w:hAnsi="Calibri" w:cs="Arial"/>
          <w:rtl/>
        </w:rPr>
        <w:t xml:space="preserve">, או שהניחו במקום שאינו משתמר ונמחק, אין עושים לו קיום, דכיון שהניחו במקום שראוי להמחק, ודאי פרעיה. </w:t>
      </w:r>
    </w:p>
    <w:p w14:paraId="1EBD8BC7" w14:textId="77777777" w:rsidR="001D49D4" w:rsidRPr="001D49D4" w:rsidRDefault="001D49D4" w:rsidP="0004348D">
      <w:pPr>
        <w:spacing w:before="360" w:after="240"/>
        <w:rPr>
          <w:rFonts w:ascii="Calibri" w:eastAsia="Calibri" w:hAnsi="Calibri" w:cs="Arial"/>
          <w:rtl/>
        </w:rPr>
      </w:pPr>
    </w:p>
    <w:p w14:paraId="68A826A3" w14:textId="77777777" w:rsidR="001D49D4" w:rsidRPr="001D49D4" w:rsidRDefault="001D49D4" w:rsidP="0004348D">
      <w:pPr>
        <w:keepNext/>
        <w:keepLines/>
        <w:spacing w:before="360" w:after="240"/>
        <w:outlineLvl w:val="1"/>
        <w:rPr>
          <w:rFonts w:ascii="Cambria" w:eastAsia="Times New Roman" w:hAnsi="Cambria" w:cs="Arial"/>
          <w:bCs/>
          <w:color w:val="548DD4" w:themeColor="text2" w:themeTint="99"/>
          <w:sz w:val="26"/>
          <w:szCs w:val="26"/>
          <w:rtl/>
        </w:rPr>
      </w:pPr>
      <w:bookmarkStart w:id="408" w:name="_Toc24883850"/>
      <w:r w:rsidRPr="001D49D4">
        <w:rPr>
          <w:rFonts w:ascii="Cambria" w:eastAsia="Times New Roman" w:hAnsi="Cambria" w:cs="Arial"/>
          <w:bCs/>
          <w:color w:val="548DD4" w:themeColor="text2" w:themeTint="99"/>
          <w:sz w:val="26"/>
          <w:szCs w:val="26"/>
          <w:rtl/>
        </w:rPr>
        <w:lastRenderedPageBreak/>
        <w:t>סעיף ג: שטר שאבד. כתיבת טופס שטר. כתיבת שטר שני והשארתו בבית דין.</w:t>
      </w:r>
      <w:bookmarkEnd w:id="408"/>
    </w:p>
    <w:p w14:paraId="15DF1C4A"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b/>
          <w:bCs/>
          <w:rtl/>
        </w:rPr>
        <w:t xml:space="preserve">בבא בתרא </w:t>
      </w:r>
      <w:r w:rsidRPr="001D49D4">
        <w:rPr>
          <w:rFonts w:ascii="Calibri" w:eastAsia="Calibri" w:hAnsi="Calibri" w:cs="Arial"/>
          <w:b/>
          <w:bCs/>
          <w:sz w:val="16"/>
          <w:szCs w:val="16"/>
          <w:rtl/>
        </w:rPr>
        <w:t xml:space="preserve">(פרק גט פשוט) </w:t>
      </w:r>
      <w:r w:rsidRPr="001D49D4">
        <w:rPr>
          <w:rFonts w:ascii="Calibri" w:eastAsia="Calibri" w:hAnsi="Calibri" w:cs="Arial"/>
          <w:b/>
          <w:bCs/>
          <w:rtl/>
        </w:rPr>
        <w:t>קסח</w:t>
      </w:r>
      <w:r w:rsidRPr="001D49D4">
        <w:rPr>
          <w:rFonts w:ascii="Calibri" w:eastAsia="Calibri" w:hAnsi="Calibri" w:cs="Arial"/>
          <w:b/>
          <w:bCs/>
          <w:vertAlign w:val="superscript"/>
          <w:rtl/>
        </w:rPr>
        <w:footnoteReference w:id="3096"/>
      </w:r>
      <w:r w:rsidRPr="001D49D4">
        <w:rPr>
          <w:rFonts w:ascii="Calibri" w:eastAsia="Calibri" w:hAnsi="Calibri" w:cs="Arial"/>
          <w:b/>
          <w:bCs/>
          <w:rtl/>
        </w:rPr>
        <w:t xml:space="preserve"> ע"ב:</w:t>
      </w:r>
      <w:r w:rsidRPr="001D49D4">
        <w:rPr>
          <w:rFonts w:ascii="Calibri" w:eastAsia="Calibri" w:hAnsi="Calibri" w:cs="Arial"/>
          <w:rtl/>
        </w:rPr>
        <w:t xml:space="preserve"> תנו רבנן: הרי שבא ואמר אבד שטר חובי, אף על פי שאמרו עדים אנו כתבנו וחתמנו ונתננו לו - אין כותבין לו את השטר. בד"א - בשטרי הלואה, אבל שטרי מקח וממכר - כותבין, חוץ מן האחריות שבו.</w:t>
      </w:r>
    </w:p>
    <w:p w14:paraId="2B4CEF3E"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u w:val="single"/>
          <w:rtl/>
        </w:rPr>
        <w:t>שטר הלואה שאבד:</w:t>
      </w:r>
    </w:p>
    <w:p w14:paraId="4182E561" w14:textId="77777777" w:rsidR="001D49D4" w:rsidRPr="001D49D4" w:rsidRDefault="001D49D4" w:rsidP="0004348D">
      <w:pPr>
        <w:numPr>
          <w:ilvl w:val="0"/>
          <w:numId w:val="216"/>
        </w:numPr>
        <w:spacing w:before="360" w:after="240"/>
        <w:contextualSpacing/>
      </w:pPr>
      <w:r w:rsidRPr="001D49D4">
        <w:rPr>
          <w:rtl/>
        </w:rPr>
        <w:t xml:space="preserve">רא"ש </w:t>
      </w:r>
      <w:r w:rsidRPr="001D49D4">
        <w:rPr>
          <w:sz w:val="16"/>
          <w:szCs w:val="16"/>
          <w:rtl/>
        </w:rPr>
        <w:t>(כלל צד סי' ה)</w:t>
      </w:r>
      <w:r w:rsidRPr="001D49D4">
        <w:rPr>
          <w:rtl/>
        </w:rPr>
        <w:t xml:space="preserve"> וטור- אבל מי שהיה לו שטר ואבד ובא לב"ד שיכתבו לו שטר אחר - אין כותבין לו אפילו אם הביא עדי שטר הראשון ומעידין שכתבו ונתנו לו הראשון, דאיכא למיחש שמא פרע</w:t>
      </w:r>
      <w:r w:rsidRPr="001D49D4">
        <w:rPr>
          <w:sz w:val="16"/>
          <w:szCs w:val="16"/>
          <w:rtl/>
        </w:rPr>
        <w:t xml:space="preserve"> (ל' הטור)</w:t>
      </w:r>
      <w:r w:rsidRPr="001D49D4">
        <w:rPr>
          <w:rtl/>
        </w:rPr>
        <w:t xml:space="preserve">. </w:t>
      </w:r>
      <w:r w:rsidRPr="001D49D4">
        <w:rPr>
          <w:color w:val="E36C0A" w:themeColor="accent6" w:themeShade="BF"/>
          <w:rtl/>
        </w:rPr>
        <w:t>(וכ"פ בשו"ע)</w:t>
      </w:r>
    </w:p>
    <w:p w14:paraId="55A69B7F" w14:textId="77777777" w:rsidR="001D49D4" w:rsidRPr="001D49D4" w:rsidRDefault="001D49D4" w:rsidP="0004348D">
      <w:pPr>
        <w:spacing w:before="360" w:after="240"/>
        <w:ind w:left="360"/>
        <w:rPr>
          <w:rFonts w:ascii="Calibri" w:eastAsia="Calibri" w:hAnsi="Calibri" w:cs="Arial"/>
          <w:u w:val="dotted"/>
        </w:rPr>
      </w:pPr>
      <w:r w:rsidRPr="001D49D4">
        <w:rPr>
          <w:rFonts w:ascii="Calibri" w:eastAsia="Calibri" w:hAnsi="Calibri" w:cs="Arial"/>
          <w:u w:val="dotted"/>
          <w:rtl/>
        </w:rPr>
        <w:t>ומה הדין אם יש לו עדים שאבד ממנו השטר:</w:t>
      </w:r>
    </w:p>
    <w:p w14:paraId="73A82822" w14:textId="77777777" w:rsidR="001D49D4" w:rsidRPr="001D49D4" w:rsidRDefault="001D49D4" w:rsidP="0004348D">
      <w:pPr>
        <w:numPr>
          <w:ilvl w:val="0"/>
          <w:numId w:val="216"/>
        </w:numPr>
        <w:spacing w:before="360" w:after="240"/>
        <w:contextualSpacing/>
        <w:rPr>
          <w:rtl/>
        </w:rPr>
      </w:pPr>
      <w:r w:rsidRPr="001D49D4">
        <w:rPr>
          <w:rtl/>
        </w:rPr>
        <w:t xml:space="preserve">רא"ש </w:t>
      </w:r>
      <w:r w:rsidRPr="001D49D4">
        <w:rPr>
          <w:sz w:val="16"/>
          <w:szCs w:val="16"/>
          <w:rtl/>
        </w:rPr>
        <w:t>(כלל סח סי' לא</w:t>
      </w:r>
      <w:r w:rsidRPr="001D49D4">
        <w:rPr>
          <w:vertAlign w:val="superscript"/>
          <w:rtl/>
        </w:rPr>
        <w:footnoteReference w:id="3097"/>
      </w:r>
      <w:r w:rsidRPr="001D49D4">
        <w:rPr>
          <w:sz w:val="16"/>
          <w:szCs w:val="16"/>
          <w:rtl/>
        </w:rPr>
        <w:t>, ובכלל צד סי' ה</w:t>
      </w:r>
      <w:r w:rsidRPr="001D49D4">
        <w:rPr>
          <w:vertAlign w:val="superscript"/>
          <w:rtl/>
        </w:rPr>
        <w:footnoteReference w:id="3098"/>
      </w:r>
      <w:r w:rsidRPr="001D49D4">
        <w:rPr>
          <w:sz w:val="16"/>
          <w:szCs w:val="16"/>
          <w:rtl/>
        </w:rPr>
        <w:t>)</w:t>
      </w:r>
      <w:r w:rsidRPr="001D49D4">
        <w:rPr>
          <w:rtl/>
        </w:rPr>
        <w:t xml:space="preserve"> ורי"ו</w:t>
      </w:r>
      <w:r w:rsidRPr="001D49D4">
        <w:rPr>
          <w:vertAlign w:val="superscript"/>
          <w:rtl/>
        </w:rPr>
        <w:footnoteReference w:id="3099"/>
      </w:r>
      <w:r w:rsidRPr="001D49D4">
        <w:rPr>
          <w:rtl/>
        </w:rPr>
        <w:t xml:space="preserve"> </w:t>
      </w:r>
      <w:r w:rsidRPr="001D49D4">
        <w:rPr>
          <w:sz w:val="16"/>
          <w:szCs w:val="16"/>
          <w:rtl/>
        </w:rPr>
        <w:t>(מישרים נ"ד ח"ד כ ע"ג)</w:t>
      </w:r>
      <w:r w:rsidRPr="001D49D4">
        <w:rPr>
          <w:rtl/>
        </w:rPr>
        <w:t>- אם ידעו העדים שנקרע או נשרף ולא נפרע כותבין למלוה שטר אחר</w:t>
      </w:r>
      <w:r w:rsidRPr="001D49D4">
        <w:rPr>
          <w:sz w:val="16"/>
          <w:szCs w:val="16"/>
          <w:rtl/>
        </w:rPr>
        <w:t xml:space="preserve"> (ל' הרא"ש בכלל סח)</w:t>
      </w:r>
      <w:r w:rsidRPr="001D49D4">
        <w:rPr>
          <w:rtl/>
        </w:rPr>
        <w:t>. ואם אבד השטר יש לחלק, דכשנאבד השטר ממנו הוא מכיר ונזכר באיזה מקום נאבד ממנו ויכול לחזר אחריו ואיכא למיחש שמא ימצאנו – הילכך אין כותבין לו, אבל כשנפל מיד אחר לא חיישינן שמא ימצאנו זה – ואי הוו תרי סהדי כתבינן ליה שטרא אחרינא</w:t>
      </w:r>
      <w:r w:rsidRPr="001D49D4">
        <w:rPr>
          <w:sz w:val="16"/>
          <w:szCs w:val="16"/>
          <w:rtl/>
        </w:rPr>
        <w:t xml:space="preserve"> (ע"פ הרא"ש בכלל צד)</w:t>
      </w:r>
      <w:r w:rsidRPr="001D49D4">
        <w:rPr>
          <w:rtl/>
        </w:rPr>
        <w:t xml:space="preserve">. </w:t>
      </w:r>
      <w:r w:rsidRPr="001D49D4">
        <w:rPr>
          <w:color w:val="E36C0A" w:themeColor="accent6" w:themeShade="BF"/>
          <w:rtl/>
        </w:rPr>
        <w:t>(וכ"פ בשו"ע)</w:t>
      </w:r>
    </w:p>
    <w:p w14:paraId="151887C1" w14:textId="77777777" w:rsidR="001D49D4" w:rsidRPr="001D49D4" w:rsidRDefault="001D49D4" w:rsidP="0004348D">
      <w:pPr>
        <w:numPr>
          <w:ilvl w:val="0"/>
          <w:numId w:val="216"/>
        </w:numPr>
        <w:spacing w:before="360" w:after="240"/>
        <w:contextualSpacing/>
      </w:pPr>
      <w:r w:rsidRPr="001D49D4">
        <w:rPr>
          <w:rtl/>
        </w:rPr>
        <w:t xml:space="preserve">רשב"ם </w:t>
      </w:r>
      <w:r w:rsidRPr="001D49D4">
        <w:rPr>
          <w:sz w:val="16"/>
          <w:szCs w:val="16"/>
          <w:rtl/>
        </w:rPr>
        <w:t>(ד"ה אבד שטר חובי)</w:t>
      </w:r>
      <w:r w:rsidRPr="001D49D4">
        <w:rPr>
          <w:rtl/>
        </w:rPr>
        <w:t>- אם יש לו עדים שאבד ממנו כותבין לו</w:t>
      </w:r>
      <w:r w:rsidRPr="001D49D4">
        <w:rPr>
          <w:vertAlign w:val="superscript"/>
          <w:rtl/>
        </w:rPr>
        <w:footnoteReference w:id="3100"/>
      </w:r>
      <w:r w:rsidRPr="001D49D4">
        <w:rPr>
          <w:rtl/>
        </w:rPr>
        <w:t>. (וכ"פ הש"ך</w:t>
      </w:r>
      <w:r w:rsidRPr="001D49D4">
        <w:rPr>
          <w:vertAlign w:val="superscript"/>
          <w:rtl/>
        </w:rPr>
        <w:footnoteReference w:id="3101"/>
      </w:r>
      <w:r w:rsidRPr="001D49D4">
        <w:rPr>
          <w:sz w:val="16"/>
          <w:szCs w:val="16"/>
          <w:rtl/>
        </w:rPr>
        <w:t xml:space="preserve"> [סקי"א]</w:t>
      </w:r>
      <w:r w:rsidRPr="001D49D4">
        <w:rPr>
          <w:rtl/>
        </w:rPr>
        <w:t>)</w:t>
      </w:r>
    </w:p>
    <w:p w14:paraId="691CC410" w14:textId="77777777" w:rsidR="001D49D4" w:rsidRPr="001D49D4" w:rsidRDefault="001D49D4" w:rsidP="0004348D">
      <w:pPr>
        <w:spacing w:before="360" w:after="240"/>
        <w:rPr>
          <w:rFonts w:ascii="Calibri" w:eastAsia="Calibri" w:hAnsi="Calibri" w:cs="Arial"/>
          <w:u w:val="single"/>
        </w:rPr>
      </w:pPr>
      <w:r w:rsidRPr="001D49D4">
        <w:rPr>
          <w:rFonts w:ascii="Calibri" w:eastAsia="Calibri" w:hAnsi="Calibri" w:cs="Arial"/>
          <w:u w:val="single"/>
          <w:rtl/>
        </w:rPr>
        <w:t>לוקח שמוחזק במקחו ואיבד את שטר מקחו – האם כותבין לו:</w:t>
      </w:r>
    </w:p>
    <w:p w14:paraId="0F9A888F" w14:textId="77777777" w:rsidR="001D49D4" w:rsidRPr="001D49D4" w:rsidRDefault="001D49D4" w:rsidP="0004348D">
      <w:pPr>
        <w:numPr>
          <w:ilvl w:val="0"/>
          <w:numId w:val="216"/>
        </w:numPr>
        <w:spacing w:before="360" w:after="240"/>
        <w:contextualSpacing/>
      </w:pPr>
      <w:r w:rsidRPr="001D49D4">
        <w:rPr>
          <w:rtl/>
        </w:rPr>
        <w:t xml:space="preserve">רשב"א </w:t>
      </w:r>
      <w:r w:rsidRPr="001D49D4">
        <w:rPr>
          <w:sz w:val="16"/>
          <w:szCs w:val="16"/>
          <w:rtl/>
        </w:rPr>
        <w:t>(ח"ב סימן שסב)</w:t>
      </w:r>
      <w:r w:rsidRPr="001D49D4">
        <w:rPr>
          <w:rtl/>
        </w:rPr>
        <w:t>- שאלתם על מי שבא לבית דין ואמר 'אבד שטר מקחי או קרקע פלוני בחרבן העיר כתבו לי שטר והרי עדי מקחי', אם מקבלים עדותן שלא בפני בעל דין. תשובה, כיון שהלוקח מוחזק במקחו אין אנו חוששין מן הסתם למערער, וההיא דמי שאבד שטר חובו מוכחת כל אותה סוגיא דלא בעינן בפני בעל דין, ובנדון שלפנינו דבר ברור הוא לפי דעתי שאין העדים צריכים להעיד על כך בפני בית דין אלא הם בעצמם כותבים לו שטר אחר מזמן ראשון בלא אחריות</w:t>
      </w:r>
      <w:r w:rsidRPr="001D49D4">
        <w:rPr>
          <w:vertAlign w:val="superscript"/>
          <w:rtl/>
        </w:rPr>
        <w:footnoteReference w:id="3102"/>
      </w:r>
      <w:r w:rsidRPr="001D49D4">
        <w:rPr>
          <w:rtl/>
        </w:rPr>
        <w:t xml:space="preserve"> מפורש כדאיתא בפרק גט פשוט </w:t>
      </w:r>
      <w:r w:rsidRPr="001D49D4">
        <w:rPr>
          <w:sz w:val="16"/>
          <w:szCs w:val="16"/>
          <w:rtl/>
        </w:rPr>
        <w:t>(קסח:)</w:t>
      </w:r>
      <w:r w:rsidRPr="001D49D4">
        <w:rPr>
          <w:rtl/>
        </w:rPr>
        <w:t xml:space="preserve">. </w:t>
      </w:r>
    </w:p>
    <w:p w14:paraId="36759B42" w14:textId="77777777" w:rsidR="001D49D4" w:rsidRPr="001D49D4" w:rsidRDefault="001D49D4" w:rsidP="0004348D">
      <w:pPr>
        <w:spacing w:before="360" w:after="240"/>
        <w:rPr>
          <w:rFonts w:ascii="Calibri" w:eastAsia="Calibri" w:hAnsi="Calibri" w:cs="Arial"/>
          <w:u w:val="single"/>
          <w:rtl/>
        </w:rPr>
      </w:pPr>
      <w:r w:rsidRPr="001D49D4">
        <w:rPr>
          <w:rFonts w:ascii="Calibri" w:eastAsia="Calibri" w:hAnsi="Calibri" w:cs="Arial"/>
          <w:u w:val="single"/>
          <w:rtl/>
        </w:rPr>
        <w:t>כתיבת טופסי שטרות:</w:t>
      </w:r>
    </w:p>
    <w:p w14:paraId="58D20D7D" w14:textId="77777777" w:rsidR="001D49D4" w:rsidRPr="001D49D4" w:rsidRDefault="001D49D4" w:rsidP="0004348D">
      <w:pPr>
        <w:numPr>
          <w:ilvl w:val="0"/>
          <w:numId w:val="216"/>
        </w:numPr>
        <w:spacing w:before="360" w:after="240"/>
        <w:contextualSpacing/>
      </w:pPr>
      <w:r w:rsidRPr="001D49D4">
        <w:rPr>
          <w:rtl/>
        </w:rPr>
        <w:lastRenderedPageBreak/>
        <w:t xml:space="preserve">רשב"א </w:t>
      </w:r>
      <w:r w:rsidRPr="001D49D4">
        <w:rPr>
          <w:sz w:val="16"/>
          <w:szCs w:val="16"/>
          <w:rtl/>
        </w:rPr>
        <w:t>(החדשות כתב יד סי' רמה</w:t>
      </w:r>
      <w:r w:rsidRPr="001D49D4">
        <w:rPr>
          <w:vertAlign w:val="superscript"/>
          <w:rtl/>
        </w:rPr>
        <w:footnoteReference w:id="3103"/>
      </w:r>
      <w:r w:rsidRPr="001D49D4">
        <w:rPr>
          <w:sz w:val="16"/>
          <w:szCs w:val="16"/>
          <w:rtl/>
        </w:rPr>
        <w:t>-רמו</w:t>
      </w:r>
      <w:r w:rsidRPr="001D49D4">
        <w:rPr>
          <w:vertAlign w:val="superscript"/>
          <w:rtl/>
        </w:rPr>
        <w:footnoteReference w:id="3104"/>
      </w:r>
      <w:r w:rsidRPr="001D49D4">
        <w:rPr>
          <w:sz w:val="16"/>
          <w:szCs w:val="16"/>
          <w:rtl/>
        </w:rPr>
        <w:t>)</w:t>
      </w:r>
      <w:r w:rsidRPr="001D49D4">
        <w:rPr>
          <w:rtl/>
        </w:rPr>
        <w:t xml:space="preserve"> רא"ש </w:t>
      </w:r>
      <w:r w:rsidRPr="001D49D4">
        <w:rPr>
          <w:sz w:val="16"/>
          <w:szCs w:val="16"/>
          <w:rtl/>
        </w:rPr>
        <w:t>(כלל סח סי'- כא</w:t>
      </w:r>
      <w:r w:rsidRPr="001D49D4">
        <w:rPr>
          <w:vertAlign w:val="superscript"/>
          <w:rtl/>
        </w:rPr>
        <w:footnoteReference w:id="3105"/>
      </w:r>
      <w:r w:rsidRPr="001D49D4">
        <w:rPr>
          <w:sz w:val="16"/>
          <w:szCs w:val="16"/>
          <w:rtl/>
        </w:rPr>
        <w:t>, כג</w:t>
      </w:r>
      <w:r w:rsidRPr="001D49D4">
        <w:rPr>
          <w:vertAlign w:val="superscript"/>
          <w:rtl/>
        </w:rPr>
        <w:footnoteReference w:id="3106"/>
      </w:r>
      <w:r w:rsidRPr="001D49D4">
        <w:rPr>
          <w:sz w:val="16"/>
          <w:szCs w:val="16"/>
          <w:rtl/>
        </w:rPr>
        <w:t xml:space="preserve">, כז) </w:t>
      </w:r>
      <w:r w:rsidRPr="001D49D4">
        <w:rPr>
          <w:rtl/>
        </w:rPr>
        <w:t>וטור- אין לב"ד לכתוב העתקת שום שטר</w:t>
      </w:r>
      <w:r w:rsidRPr="001D49D4">
        <w:rPr>
          <w:b/>
          <w:bCs/>
          <w:rtl/>
        </w:rPr>
        <w:t xml:space="preserve"> </w:t>
      </w:r>
      <w:r w:rsidRPr="001D49D4">
        <w:rPr>
          <w:rtl/>
        </w:rPr>
        <w:t>אם לא שיראו שיש בו צורך, כי ההיא דנמחק שטר חובו. ואם כתבו לאדם טופס שטר, ובא לפני ב"ד, אין ב"ד גובין בו עד שיוציא גוף השטר אם לא כתבו בו טעם למה עשו שטר אחר, כי ההיא דנמחק שטר חובו וכיוצא בו, כגון שידוע לעדים שאבד, אבל אין ידוע לעדים לא יכתבו לו</w:t>
      </w:r>
      <w:r w:rsidRPr="001D49D4">
        <w:rPr>
          <w:sz w:val="16"/>
          <w:szCs w:val="16"/>
          <w:rtl/>
        </w:rPr>
        <w:t xml:space="preserve"> (ל' הטור)</w:t>
      </w:r>
      <w:r w:rsidRPr="001D49D4">
        <w:rPr>
          <w:rtl/>
        </w:rPr>
        <w:t xml:space="preserve">. </w:t>
      </w:r>
      <w:r w:rsidRPr="001D49D4">
        <w:rPr>
          <w:color w:val="E36C0A" w:themeColor="accent6" w:themeShade="BF"/>
          <w:rtl/>
        </w:rPr>
        <w:t>(וכ"פ בשו"ע)</w:t>
      </w:r>
      <w:r w:rsidRPr="001D49D4">
        <w:rPr>
          <w:rtl/>
        </w:rPr>
        <w:t xml:space="preserve"> </w:t>
      </w:r>
    </w:p>
    <w:p w14:paraId="0D5C5E70" w14:textId="77777777" w:rsidR="001D49D4" w:rsidRPr="001D49D4" w:rsidRDefault="001D49D4" w:rsidP="0004348D">
      <w:pPr>
        <w:spacing w:before="360" w:after="240"/>
        <w:rPr>
          <w:rFonts w:ascii="Calibri" w:eastAsia="Calibri" w:hAnsi="Calibri" w:cs="Arial"/>
          <w:u w:val="single"/>
        </w:rPr>
      </w:pPr>
      <w:r w:rsidRPr="001D49D4">
        <w:rPr>
          <w:rFonts w:ascii="Calibri" w:eastAsia="Calibri" w:hAnsi="Calibri" w:cs="Arial"/>
          <w:u w:val="single"/>
          <w:rtl/>
        </w:rPr>
        <w:t>הטפסת שטרות שאינם עומדים לגוביינא:</w:t>
      </w:r>
    </w:p>
    <w:p w14:paraId="2B9FA2FD" w14:textId="77777777" w:rsidR="001D49D4" w:rsidRPr="001D49D4" w:rsidRDefault="001D49D4" w:rsidP="0004348D">
      <w:pPr>
        <w:numPr>
          <w:ilvl w:val="0"/>
          <w:numId w:val="216"/>
        </w:numPr>
        <w:spacing w:before="360" w:after="240"/>
        <w:contextualSpacing/>
        <w:rPr>
          <w:rtl/>
        </w:rPr>
      </w:pPr>
      <w:r w:rsidRPr="001D49D4">
        <w:rPr>
          <w:rtl/>
        </w:rPr>
        <w:t xml:space="preserve">רשב"א </w:t>
      </w:r>
      <w:r w:rsidRPr="001D49D4">
        <w:rPr>
          <w:sz w:val="16"/>
          <w:szCs w:val="16"/>
          <w:rtl/>
        </w:rPr>
        <w:t xml:space="preserve">(ח"ג סי' יט) </w:t>
      </w:r>
      <w:r w:rsidRPr="001D49D4">
        <w:rPr>
          <w:rtl/>
        </w:rPr>
        <w:t>כתב שטר אפוטרופסות אינו עומד לגוביינא אלא לראיה שהשכיב מרע עשה את זה אפוטרופוס וכל כיוצא בזה בית דין יכולין להטפיסו ושטר ההטפסה כגופו של שטר ראשון.</w:t>
      </w:r>
    </w:p>
    <w:p w14:paraId="263C9582" w14:textId="77777777" w:rsidR="001D49D4" w:rsidRPr="001D49D4" w:rsidRDefault="001D49D4" w:rsidP="0004348D">
      <w:pPr>
        <w:numPr>
          <w:ilvl w:val="0"/>
          <w:numId w:val="216"/>
        </w:numPr>
        <w:spacing w:before="360" w:after="240"/>
        <w:contextualSpacing/>
        <w:rPr>
          <w:rtl/>
        </w:rPr>
      </w:pPr>
      <w:r w:rsidRPr="001D49D4">
        <w:rPr>
          <w:rtl/>
        </w:rPr>
        <w:t xml:space="preserve">רשב"א </w:t>
      </w:r>
      <w:r w:rsidRPr="001D49D4">
        <w:rPr>
          <w:sz w:val="16"/>
          <w:szCs w:val="16"/>
          <w:rtl/>
        </w:rPr>
        <w:t>(סי' תתקעח, ובמיוחסות סי' פג)</w:t>
      </w:r>
      <w:r w:rsidRPr="001D49D4">
        <w:rPr>
          <w:rtl/>
        </w:rPr>
        <w:t>- שאלתם, שכיב מרע שחילק נכסיו לבני אדם והשאר הניח ליורשיו והניח להם אפוטרופסים. והעדים כתבו וחתמו הכל ונתנו ביד האפוטרופסים. ועכשיו בא אחד ממקבלי המתנה ואמר כתבו לי לבדי שטר להיות לי לראיה. תשובה, כל כי הא כותבים וחוזרין וכותבין, כיון דנאמנים היתומים לומר פרענו, משום דצוואה אינה אלא דוכרני פתגמי. ומ"מ אין מחייבין את העדים לכתוב אא"כ רצו, או מעידים כן בב"ד. ואם רצו האפוטרופוסים מוציאין שטר הצוואה להטפיס זכותו בב"ד. ומיהו אם יש שם הודאת חוב שהוא חייב היינו דאיבעיא ליה לרבא בשילהי גט פשוט</w:t>
      </w:r>
      <w:r w:rsidRPr="001D49D4">
        <w:rPr>
          <w:sz w:val="16"/>
          <w:szCs w:val="16"/>
          <w:rtl/>
        </w:rPr>
        <w:t xml:space="preserve"> (קעה.) </w:t>
      </w:r>
      <w:r w:rsidRPr="001D49D4">
        <w:rPr>
          <w:rtl/>
        </w:rPr>
        <w:t xml:space="preserve">שכיב מרע שהודה אם צריך לומר כתובו. </w:t>
      </w:r>
      <w:r w:rsidRPr="001D49D4">
        <w:rPr>
          <w:color w:val="00B0F0"/>
          <w:rtl/>
        </w:rPr>
        <w:t>(וכ"פ הרמ"א)</w:t>
      </w:r>
    </w:p>
    <w:p w14:paraId="7D406EA5" w14:textId="77777777" w:rsidR="001D49D4" w:rsidRPr="001D49D4" w:rsidRDefault="001D49D4" w:rsidP="0004348D">
      <w:pPr>
        <w:spacing w:before="360" w:after="240"/>
        <w:rPr>
          <w:rFonts w:ascii="Calibri" w:eastAsia="Calibri" w:hAnsi="Calibri" w:cs="Arial"/>
          <w:u w:val="single"/>
          <w:rtl/>
        </w:rPr>
      </w:pPr>
      <w:r w:rsidRPr="001D49D4">
        <w:rPr>
          <w:rFonts w:ascii="Calibri" w:eastAsia="Calibri" w:hAnsi="Calibri" w:cs="Arial"/>
          <w:u w:val="single"/>
          <w:rtl/>
        </w:rPr>
        <w:t>מעשה שהוצרכו לעשות הטפסה, ונתבאר בו גם האם מעתיקים אות באות, והאם צריך ב"ד כדי לכתוב את ההטפסה:</w:t>
      </w:r>
    </w:p>
    <w:p w14:paraId="2BE1A8A7" w14:textId="77777777" w:rsidR="001D49D4" w:rsidRPr="001D49D4" w:rsidRDefault="001D49D4" w:rsidP="0004348D">
      <w:pPr>
        <w:numPr>
          <w:ilvl w:val="0"/>
          <w:numId w:val="216"/>
        </w:numPr>
        <w:spacing w:before="360" w:after="240"/>
        <w:contextualSpacing/>
      </w:pPr>
      <w:r w:rsidRPr="001D49D4">
        <w:rPr>
          <w:rtl/>
        </w:rPr>
        <w:t xml:space="preserve">ריב"ש </w:t>
      </w:r>
      <w:r w:rsidRPr="001D49D4">
        <w:rPr>
          <w:sz w:val="16"/>
          <w:szCs w:val="16"/>
          <w:rtl/>
        </w:rPr>
        <w:t>(סי' תיג קלא ע"ד)</w:t>
      </w:r>
      <w:r w:rsidRPr="001D49D4">
        <w:rPr>
          <w:rtl/>
        </w:rPr>
        <w:t>- ימין וחנה באו בקשרי שידוכין, והסכימו הוריהם כך: ראובן אבי הכלה יתן לימין בנדונית בתו כך וכך. ושמעון ואשתו יתנו לימין בנם בעת הנשואין באחריות נכסיהם הבתים שיש להם בפרפניאן מקום דירתם, בשיור דירה להם כל ימי חייהם... ושיעשו הטפסה לראובן מן המתנה הנזכר לראיה ולזכות בעד כתובת בתו. כמו שנהוג במתנות הנעשות בכגון זה... ובהגיע תור הנשואין כמו שמנה ימים קודם, עשו שמעון ואשתו בפרפניאן שטר המתנה הנזכרת כנזכר לבנם. בגופן שלנו ועדיו אחד מטובי הקהל, וסופר הקהל שהיה סופר מומחה ובקי בשיור דירה כנז'... עוד נעשה שם בפרפניאן ע"י ב"ד שטר הטפסה לראובן מהמתנה הנזכרת... וההטפסה הנזכרת כתובה כלה מיד סופר הקהל שהיה אחד מעדי המתנה זולתי חתימת הג' החתומים בה. עתה מת ימין בן שמעון והניח בת קטנה. ונתמנה ראובן אפטרופא על נכסיה מאת גזבר גירונד"א. ובקש מאת שמעון למסור לו הבתים בכח הטפסת המתנה שבידו. כי המתנה עצמה שהיתה ביד ימין בן שמעון לא נמצאה. ואומר כי בנו עם כל מטלטליו וכתביו מת בבית שמעון אביו. והוא עכב שטר המתנה בידו. והסופר מת ואיננו שיעיד על המתנה. אבל העד השני הוא חי וזכור מן המתנה ומעיד עליה. וגם הוא אחד מן החתומים בהטפסה. כי באה חנה לגבות כתובתה. וגם נתקיים תנאי אחר שהיה במתנה שבעבורו נמחל השיור דירה. ולא רצה שמעון וכפר במתנה ובתנאין. ועל זה נתעצמו בדין בפני דיין נתמנה על זה מכח המלכות לדון בדיני ישראל. והדיין דן הדין ופסק כנגד שמעון. ושמעון נסתלק מן הדין. ואדונינו המלך יר"ה מנה אחר לראות אם נסתלק כדין. ועתה אומר שמעון כי שטר ההטפסה שביד ראובן פסולה מפני שני דברים. האחד כי אחד מן השלשה החתומים בהטפסה הוא אחד מעדי המתנה. ובהטפסה צריך ב"ד... תשובה... לא נאמר דאין כותבין אלא חוץ מהאחריות שבו אלא כשהעדים עצמם כותבין שטר אחר כמו הראשון או שהבית דין עושים לו מעשה בית דין מהקרקע שהוא שלו, אבל בהטפסה - ודאי כותבין אות באות תיבה בתיבה</w:t>
      </w:r>
      <w:r w:rsidRPr="001D49D4">
        <w:rPr>
          <w:vertAlign w:val="superscript"/>
          <w:rtl/>
        </w:rPr>
        <w:footnoteReference w:id="3107"/>
      </w:r>
      <w:r w:rsidRPr="001D49D4">
        <w:rPr>
          <w:rtl/>
        </w:rPr>
        <w:t xml:space="preserve">, ואין </w:t>
      </w:r>
      <w:r w:rsidRPr="001D49D4">
        <w:rPr>
          <w:rtl/>
        </w:rPr>
        <w:lastRenderedPageBreak/>
        <w:t>לחוש דילמא טריף והדר טריף שהרי מוכיח ממנו שהטפיסוהו מאחר ולא יגבו לו בית דין אחריות. ועוד דאף אם לא ניתן ליכתב האחריות - אם כתבו לא נפסל בכך, אלא שאין גובין בו אחריות. ועוד שבהטפסה כזו גובין בה אף האחריות וניתן ליכתב שהרי המתנה מוכיח מתוכה שקיימוה על דעת להטפיסה לאשה שהרי כתוב בה דבר שהוא זכות לה ואם לא יטפיסוה אליה מה תועלת יש לה אם אינה בידה. ועוד שהרי מנהג המדינה להטפיס מתנה לאשה בכגון זה, ואם כן על דעת מנהג המדינה קיימוה... שטר הטפסה כזה אין צריך בית דין אלא כל שני עדים שראו אותו והכירו החתימות מטפיסין אותו... אפילו שנים מהחתומים בהטפסה קרובים זה לזה - כשרה.</w:t>
      </w:r>
      <w:r w:rsidRPr="001D49D4">
        <w:rPr>
          <w:color w:val="00B0F0"/>
          <w:rtl/>
        </w:rPr>
        <w:t xml:space="preserve"> (וכ"פ הרמ"א)</w:t>
      </w:r>
    </w:p>
    <w:p w14:paraId="0B0FDA20" w14:textId="77777777" w:rsidR="001D49D4" w:rsidRPr="001D49D4" w:rsidRDefault="001D49D4" w:rsidP="0004348D">
      <w:pPr>
        <w:spacing w:before="360" w:after="240"/>
        <w:rPr>
          <w:rFonts w:ascii="Calibri" w:eastAsia="Calibri" w:hAnsi="Calibri" w:cs="Arial"/>
        </w:rPr>
      </w:pPr>
      <w:r w:rsidRPr="001D49D4">
        <w:rPr>
          <w:rFonts w:ascii="Calibri" w:eastAsia="Calibri" w:hAnsi="Calibri" w:cs="Arial"/>
          <w:u w:val="single"/>
          <w:rtl/>
        </w:rPr>
        <w:t xml:space="preserve">הטפסת </w:t>
      </w:r>
      <w:r w:rsidRPr="001D49D4">
        <w:rPr>
          <w:rFonts w:ascii="Calibri" w:eastAsia="Calibri" w:hAnsi="Calibri" w:cs="Arial"/>
          <w:b/>
          <w:bCs/>
          <w:u w:val="single"/>
          <w:rtl/>
        </w:rPr>
        <w:t>שטר חוב</w:t>
      </w:r>
      <w:r w:rsidRPr="001D49D4">
        <w:rPr>
          <w:rFonts w:ascii="Calibri" w:eastAsia="Calibri" w:hAnsi="Calibri" w:cs="Arial"/>
          <w:u w:val="single"/>
          <w:rtl/>
        </w:rPr>
        <w:t xml:space="preserve"> והשארתו בבית הדין:</w:t>
      </w:r>
    </w:p>
    <w:p w14:paraId="7A2FADBA" w14:textId="77777777" w:rsidR="001D49D4" w:rsidRPr="001D49D4" w:rsidRDefault="001D49D4" w:rsidP="0004348D">
      <w:pPr>
        <w:numPr>
          <w:ilvl w:val="0"/>
          <w:numId w:val="217"/>
        </w:numPr>
        <w:spacing w:before="360" w:after="240"/>
        <w:contextualSpacing/>
        <w:rPr>
          <w:rtl/>
        </w:rPr>
      </w:pPr>
      <w:r w:rsidRPr="001D49D4">
        <w:rPr>
          <w:rtl/>
        </w:rPr>
        <w:t xml:space="preserve">בעל התרומות </w:t>
      </w:r>
      <w:r w:rsidRPr="001D49D4">
        <w:rPr>
          <w:sz w:val="16"/>
          <w:szCs w:val="16"/>
          <w:rtl/>
        </w:rPr>
        <w:t>(שער נז ח"ב סי' ד, כ"כ הטור בשמו)</w:t>
      </w:r>
      <w:r w:rsidRPr="001D49D4">
        <w:rPr>
          <w:rtl/>
        </w:rPr>
        <w:t>- יש מהמורים שהורו אם הלוה במדינת הים, והמלוה חושש שלא יוליך שטרו בידו שמא יאבד לו בדרך - בא לב"ד וכותבין לו אחר והוא מניח את שטרו ביד ב"ד זה שבעירו</w:t>
      </w:r>
      <w:r w:rsidRPr="001D49D4">
        <w:rPr>
          <w:vertAlign w:val="superscript"/>
          <w:rtl/>
        </w:rPr>
        <w:footnoteReference w:id="3108"/>
      </w:r>
      <w:r w:rsidRPr="001D49D4">
        <w:rPr>
          <w:rtl/>
        </w:rPr>
        <w:t>, וב"ד שבמקום שהלוה שם יודיעו לב"ד שבמקום המלוה שהוא נפרע מחובו וקורעין השטר הראשון שבידם, ואם נאבד השטר כשהוא הולך לבעל חובו, וידוע זה בעדים - הולך לפני ב"ד ומחזירין לו השטר. אבל על דרך אחרת אין מתפישין שטר חוב.</w:t>
      </w:r>
      <w:r w:rsidRPr="001D49D4">
        <w:rPr>
          <w:color w:val="E36C0A" w:themeColor="accent6" w:themeShade="BF"/>
          <w:rtl/>
        </w:rPr>
        <w:t xml:space="preserve"> (וכ"פ בשו"ע)</w:t>
      </w:r>
    </w:p>
    <w:p w14:paraId="1228A9F1"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b/>
          <w:bCs/>
          <w:rtl/>
        </w:rPr>
        <w:t xml:space="preserve">בבא מציעא </w:t>
      </w:r>
      <w:r w:rsidRPr="001D49D4">
        <w:rPr>
          <w:rFonts w:ascii="Calibri" w:eastAsia="Calibri" w:hAnsi="Calibri" w:cs="Arial"/>
          <w:b/>
          <w:bCs/>
          <w:sz w:val="16"/>
          <w:szCs w:val="16"/>
          <w:rtl/>
        </w:rPr>
        <w:t xml:space="preserve">(פ"ק) </w:t>
      </w:r>
      <w:r w:rsidRPr="001D49D4">
        <w:rPr>
          <w:rFonts w:ascii="Calibri" w:eastAsia="Calibri" w:hAnsi="Calibri" w:cs="Arial"/>
          <w:b/>
          <w:bCs/>
          <w:rtl/>
        </w:rPr>
        <w:t>ז</w:t>
      </w:r>
      <w:r w:rsidRPr="001D49D4">
        <w:rPr>
          <w:rFonts w:ascii="Calibri" w:eastAsia="Calibri" w:hAnsi="Calibri" w:cs="Arial"/>
          <w:b/>
          <w:bCs/>
          <w:vertAlign w:val="superscript"/>
          <w:rtl/>
        </w:rPr>
        <w:footnoteReference w:id="3109"/>
      </w:r>
      <w:r w:rsidRPr="001D49D4">
        <w:rPr>
          <w:rFonts w:ascii="Calibri" w:eastAsia="Calibri" w:hAnsi="Calibri" w:cs="Arial"/>
          <w:b/>
          <w:bCs/>
          <w:rtl/>
        </w:rPr>
        <w:t xml:space="preserve"> ע"ב: </w:t>
      </w:r>
      <w:bookmarkStart w:id="409" w:name="_Hlk13219732"/>
      <w:r w:rsidRPr="001D49D4">
        <w:rPr>
          <w:rFonts w:ascii="Calibri" w:eastAsia="Calibri" w:hAnsi="Calibri" w:cs="Arial"/>
          <w:u w:val="single"/>
          <w:rtl/>
        </w:rPr>
        <w:t>אמר רבי אלעזר</w:t>
      </w:r>
      <w:r w:rsidRPr="001D49D4">
        <w:rPr>
          <w:rFonts w:ascii="Calibri" w:eastAsia="Calibri" w:hAnsi="Calibri" w:cs="Arial"/>
          <w:rtl/>
        </w:rPr>
        <w:t xml:space="preserve">: מחלוקת בששניהם אדוקים בטופס ושניהם בתורף, אבל אחד אדוק בטופס ואחד אדוק בתורף - זה נוטל טופס וזה נוטל תורף... </w:t>
      </w:r>
      <w:r w:rsidRPr="001D49D4">
        <w:rPr>
          <w:rFonts w:ascii="Calibri" w:eastAsia="Calibri" w:hAnsi="Calibri" w:cs="Arial"/>
          <w:u w:val="single"/>
          <w:rtl/>
        </w:rPr>
        <w:t>אמר ליה רב אחא מדפתי לרבינא</w:t>
      </w:r>
      <w:r w:rsidRPr="001D49D4">
        <w:rPr>
          <w:rFonts w:ascii="Calibri" w:eastAsia="Calibri" w:hAnsi="Calibri" w:cs="Arial"/>
          <w:rtl/>
        </w:rPr>
        <w:t xml:space="preserve">: לרבי אלעזר, דאמר זה נוטל טופס וזה נוטל תורף, למה ליה? וכי לצור על פי צלוחיתו הוא צריך? </w:t>
      </w:r>
      <w:r w:rsidRPr="001D49D4">
        <w:rPr>
          <w:rFonts w:ascii="Calibri" w:eastAsia="Calibri" w:hAnsi="Calibri" w:cs="Arial"/>
          <w:u w:val="single"/>
          <w:rtl/>
        </w:rPr>
        <w:t>אמר ליה</w:t>
      </w:r>
      <w:r w:rsidRPr="001D49D4">
        <w:rPr>
          <w:rFonts w:ascii="Calibri" w:eastAsia="Calibri" w:hAnsi="Calibri" w:cs="Arial"/>
          <w:rtl/>
        </w:rPr>
        <w:t>: לדמי. דאמר הכי: שטרא דאית ביה זמן כמה שוי, ודלית ביה זמן כמה שוי? בשטרא דאית ביה זמן - גבי ממשעבדי, ואידך לא גבי ממשעבדי, יהיב ליה היאך דביני ביני.</w:t>
      </w:r>
      <w:bookmarkEnd w:id="409"/>
    </w:p>
    <w:p w14:paraId="3D0C2F49" w14:textId="77777777" w:rsidR="001D49D4" w:rsidRPr="001D49D4" w:rsidRDefault="001D49D4" w:rsidP="0004348D">
      <w:pPr>
        <w:spacing w:before="360" w:after="240"/>
        <w:rPr>
          <w:rFonts w:ascii="Calibri" w:eastAsia="Calibri" w:hAnsi="Calibri" w:cs="Arial"/>
          <w:u w:val="single"/>
          <w:rtl/>
        </w:rPr>
      </w:pPr>
      <w:r w:rsidRPr="001D49D4">
        <w:rPr>
          <w:rFonts w:ascii="Calibri" w:eastAsia="Calibri" w:hAnsi="Calibri" w:cs="Arial"/>
          <w:u w:val="single"/>
          <w:rtl/>
        </w:rPr>
        <w:t>שנים אוחזים בשטר, אחד אוחז בתורף ואחד בטופס – כיצד גובים בתורף, והרי אין בו עדים וכדו':</w:t>
      </w:r>
    </w:p>
    <w:p w14:paraId="177EC7DB" w14:textId="77777777" w:rsidR="001D49D4" w:rsidRPr="001D49D4" w:rsidRDefault="001D49D4" w:rsidP="0004348D">
      <w:pPr>
        <w:numPr>
          <w:ilvl w:val="0"/>
          <w:numId w:val="217"/>
        </w:numPr>
        <w:spacing w:before="360" w:after="240"/>
        <w:contextualSpacing/>
        <w:rPr>
          <w:rtl/>
        </w:rPr>
      </w:pPr>
      <w:r w:rsidRPr="001D49D4">
        <w:rPr>
          <w:rtl/>
        </w:rPr>
        <w:t>ר"ן</w:t>
      </w:r>
      <w:r w:rsidRPr="001D49D4">
        <w:rPr>
          <w:sz w:val="16"/>
          <w:szCs w:val="16"/>
          <w:rtl/>
        </w:rPr>
        <w:t xml:space="preserve"> (ב"מ ז: ד"ה מחלוקת)</w:t>
      </w:r>
      <w:r w:rsidRPr="001D49D4">
        <w:rPr>
          <w:rtl/>
        </w:rPr>
        <w:t xml:space="preserve">- אע"פ שאין עדים בתורף כיון שהדבר ברור לפנינו שהוא של שטר גמור ואינו מזוייף הרי אנו עליו כעדי מסירה או כב"ד שנמחק חתימת שטר לפניהם והרי אנו קיומו וגובה בו בתורף שבידו מן הדין. </w:t>
      </w:r>
    </w:p>
    <w:p w14:paraId="75C5E935" w14:textId="77777777" w:rsidR="001D49D4" w:rsidRPr="001D49D4" w:rsidRDefault="001D49D4" w:rsidP="0004348D">
      <w:pPr>
        <w:spacing w:before="360" w:after="240"/>
        <w:rPr>
          <w:rFonts w:ascii="Calibri" w:eastAsia="Calibri" w:hAnsi="Calibri" w:cs="Arial"/>
          <w:u w:val="single"/>
        </w:rPr>
      </w:pPr>
      <w:r w:rsidRPr="001D49D4">
        <w:rPr>
          <w:rFonts w:ascii="Calibri" w:eastAsia="Calibri" w:hAnsi="Calibri" w:cs="Arial"/>
          <w:u w:val="single"/>
          <w:rtl/>
        </w:rPr>
        <w:t>ראובן נתן מתנה לשמעון בשטר ובקנין מהיום ולאחר מיתה, והלוה ראובן מלוי, ונקרע השטר של לוי:</w:t>
      </w:r>
    </w:p>
    <w:p w14:paraId="44908F7D" w14:textId="77777777" w:rsidR="001D49D4" w:rsidRPr="001D49D4" w:rsidRDefault="001D49D4" w:rsidP="0004348D">
      <w:pPr>
        <w:numPr>
          <w:ilvl w:val="0"/>
          <w:numId w:val="217"/>
        </w:numPr>
        <w:spacing w:before="360" w:after="240"/>
        <w:contextualSpacing/>
      </w:pPr>
      <w:r w:rsidRPr="001D49D4">
        <w:rPr>
          <w:rtl/>
        </w:rPr>
        <w:t xml:space="preserve">ריטב"א </w:t>
      </w:r>
      <w:r w:rsidRPr="001D49D4">
        <w:rPr>
          <w:sz w:val="16"/>
          <w:szCs w:val="16"/>
          <w:rtl/>
        </w:rPr>
        <w:t>(סי' קטז)</w:t>
      </w:r>
      <w:r w:rsidRPr="001D49D4">
        <w:rPr>
          <w:rtl/>
        </w:rPr>
        <w:t xml:space="preserve">- שאלת, מי שנתן לחבירו או נתחייב לו בשטר ובקנין מהיום ולאחר מיתה, וְהֵלְוַה בחיים, ועדיין לא חל זמן פרעונו עד לאחר פטירתו של לוה. ובחיי הלוה נקרע השטר. והלוה אומר שכבר נמחל שעבודו, והמלוה אומר שעדיין לא חל שעבודו ולא אבד זכותו ורוצה שיקבלו בית דין עדות העדים. תשובה, הפרש גדול יש בין מתנה לחיוב, דאלו מתנה דלאו בת פרעון ומחילה היא - אע"פ שנקרע השטר קרע ב"ד לא בטלה המתנה, ואפילו החזיר לו השטר לא בטלה מתנתו כדאיתא בפרק גט פשוט </w:t>
      </w:r>
      <w:r w:rsidRPr="001D49D4">
        <w:rPr>
          <w:sz w:val="16"/>
          <w:szCs w:val="16"/>
          <w:rtl/>
        </w:rPr>
        <w:t>(קסט.)</w:t>
      </w:r>
      <w:r w:rsidRPr="001D49D4">
        <w:rPr>
          <w:rtl/>
        </w:rPr>
        <w:t xml:space="preserve">, וכיון שכן העדים יעידו בב"ד ויעשו לו מעשה ב"ד כדין מי שנמחק שטרו </w:t>
      </w:r>
      <w:r w:rsidRPr="001D49D4">
        <w:rPr>
          <w:sz w:val="16"/>
          <w:szCs w:val="16"/>
          <w:rtl/>
        </w:rPr>
        <w:t>(קסח.)</w:t>
      </w:r>
      <w:r w:rsidRPr="001D49D4">
        <w:rPr>
          <w:rtl/>
        </w:rPr>
        <w:t xml:space="preserve">. אבל המתחייב בחיוב מלוה דהוי בר פרעון ומחילה, אם הלוה מודה שלא פרע ולא נמחל לו - פשיטא שהוא חייב מחמת הודאתו בתורת מלוה על פה, אבל מעשה בית דין אין עושים לו לגבות בו מנכסים משועבדים, דדילמא נמחל או נפרע ועביד קנוניא על הלקוחות, וכמו שאמרו </w:t>
      </w:r>
      <w:r w:rsidRPr="001D49D4">
        <w:rPr>
          <w:sz w:val="16"/>
          <w:szCs w:val="16"/>
          <w:rtl/>
        </w:rPr>
        <w:t xml:space="preserve">(ב"מ יג.) </w:t>
      </w:r>
      <w:r w:rsidRPr="001D49D4">
        <w:rPr>
          <w:rtl/>
        </w:rPr>
        <w:t>גבי מצא שטר חוב בשוק. ואם אמר שנמחל או נתפרע ולכך נקרע קרע בית דין - הרי זה פטור.</w:t>
      </w:r>
    </w:p>
    <w:p w14:paraId="78DD845A"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u w:val="single"/>
          <w:rtl/>
        </w:rPr>
        <w:t>עדים שמעידים על שטר שנשרף:</w:t>
      </w:r>
      <w:r w:rsidRPr="001D49D4">
        <w:rPr>
          <w:rFonts w:ascii="Calibri" w:eastAsia="Calibri" w:hAnsi="Calibri" w:cs="Arial"/>
          <w:rtl/>
        </w:rPr>
        <w:t xml:space="preserve"> </w:t>
      </w:r>
      <w:r w:rsidRPr="001D49D4">
        <w:rPr>
          <w:rFonts w:ascii="Calibri" w:eastAsia="Calibri" w:hAnsi="Calibri" w:cs="Arial"/>
          <w:sz w:val="16"/>
          <w:szCs w:val="16"/>
          <w:rtl/>
        </w:rPr>
        <w:t xml:space="preserve"> (דרכ"מ אות ג, וב"י [סי' כח סע' כד(א)])</w:t>
      </w:r>
      <w:r w:rsidRPr="001D49D4">
        <w:rPr>
          <w:rFonts w:ascii="Calibri" w:eastAsia="Calibri" w:hAnsi="Calibri" w:cs="Arial"/>
          <w:rtl/>
        </w:rPr>
        <w:t xml:space="preserve"> </w:t>
      </w:r>
    </w:p>
    <w:p w14:paraId="652B57A5" w14:textId="77777777" w:rsidR="001D49D4" w:rsidRPr="001D49D4" w:rsidRDefault="001D49D4" w:rsidP="0004348D">
      <w:pPr>
        <w:numPr>
          <w:ilvl w:val="0"/>
          <w:numId w:val="217"/>
        </w:numPr>
        <w:spacing w:before="360" w:after="240"/>
        <w:contextualSpacing/>
        <w:rPr>
          <w:rFonts w:ascii="Arial" w:hAnsi="Arial"/>
          <w:b/>
          <w:bCs/>
          <w:color w:val="000000"/>
          <w:u w:val="single"/>
          <w:rtl/>
        </w:rPr>
      </w:pPr>
      <w:r w:rsidRPr="001D49D4">
        <w:rPr>
          <w:rtl/>
        </w:rPr>
        <w:t xml:space="preserve">רי"ו </w:t>
      </w:r>
      <w:r w:rsidRPr="001D49D4">
        <w:rPr>
          <w:sz w:val="16"/>
          <w:szCs w:val="16"/>
          <w:rtl/>
        </w:rPr>
        <w:t>(נ"ב ח"ב יא ע"ד)</w:t>
      </w:r>
      <w:r w:rsidRPr="001D49D4">
        <w:rPr>
          <w:rtl/>
        </w:rPr>
        <w:t>- עדים שמעידים על שטר שנשרף, ואינן עדים מן השטר, וראו השטר והכירו חתימת עדים - די כי אין זה מפיהם ולא מפי כתבם</w:t>
      </w:r>
      <w:r w:rsidRPr="001D49D4">
        <w:rPr>
          <w:vertAlign w:val="superscript"/>
          <w:rtl/>
        </w:rPr>
        <w:footnoteReference w:id="3110"/>
      </w:r>
      <w:r w:rsidRPr="001D49D4">
        <w:rPr>
          <w:rtl/>
        </w:rPr>
        <w:t>. ואם הם עדים מן השטר - צריכין לזכור מענין השטר משום מפיהם ולא מפי כתבם</w:t>
      </w:r>
      <w:r w:rsidRPr="001D49D4">
        <w:rPr>
          <w:vertAlign w:val="superscript"/>
          <w:rtl/>
        </w:rPr>
        <w:footnoteReference w:id="3111"/>
      </w:r>
      <w:r w:rsidRPr="001D49D4">
        <w:rPr>
          <w:rtl/>
        </w:rPr>
        <w:t xml:space="preserve">.  </w:t>
      </w:r>
    </w:p>
    <w:p w14:paraId="4ACE44F5" w14:textId="77777777" w:rsidR="001D49D4" w:rsidRPr="001D49D4" w:rsidRDefault="001D49D4" w:rsidP="0004348D">
      <w:pPr>
        <w:spacing w:before="360" w:after="240"/>
        <w:rPr>
          <w:rFonts w:ascii="Arial" w:eastAsia="Calibri" w:hAnsi="Arial" w:cs="Arial"/>
          <w:b/>
          <w:bCs/>
          <w:color w:val="000000"/>
          <w:sz w:val="28"/>
          <w:szCs w:val="28"/>
          <w:u w:val="single"/>
          <w:rtl/>
        </w:rPr>
      </w:pPr>
      <w:r w:rsidRPr="001D49D4">
        <w:rPr>
          <w:rFonts w:ascii="Arial" w:eastAsia="Calibri" w:hAnsi="Arial" w:cs="Arial"/>
          <w:b/>
          <w:bCs/>
          <w:color w:val="000000"/>
          <w:sz w:val="28"/>
          <w:szCs w:val="28"/>
          <w:u w:val="single"/>
          <w:rtl/>
        </w:rPr>
        <w:lastRenderedPageBreak/>
        <w:t>שו"ע:</w:t>
      </w:r>
    </w:p>
    <w:p w14:paraId="66385A0C"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rtl/>
        </w:rPr>
        <w:t>מי שהיה לו שטר ואבד ובא לבית דין שיכתבו לו שטר אחר, אין כותבין לו</w:t>
      </w:r>
      <w:r w:rsidRPr="001D49D4">
        <w:rPr>
          <w:rFonts w:ascii="Calibri" w:eastAsia="Calibri" w:hAnsi="Calibri" w:cs="Arial"/>
          <w:vertAlign w:val="superscript"/>
          <w:rtl/>
        </w:rPr>
        <w:footnoteReference w:id="3112"/>
      </w:r>
      <w:r w:rsidRPr="001D49D4">
        <w:rPr>
          <w:rFonts w:ascii="Calibri" w:eastAsia="Calibri" w:hAnsi="Calibri" w:cs="Arial"/>
          <w:rtl/>
        </w:rPr>
        <w:t xml:space="preserve"> אפילו אם הביא עידי שטר הראשון ומעידים שכתבו ונתנו לו. על כן אין לבית דין לכתוב העתקת שום שטר אם לא יראו שיש בו צורך, </w:t>
      </w:r>
      <w:bookmarkStart w:id="410" w:name="_Hlk13235427"/>
      <w:r w:rsidRPr="001D49D4">
        <w:rPr>
          <w:rFonts w:ascii="Calibri" w:eastAsia="Calibri" w:hAnsi="Calibri" w:cs="Arial"/>
          <w:rtl/>
        </w:rPr>
        <w:t xml:space="preserve">כי האי דמי שנמחק שטר </w:t>
      </w:r>
      <w:bookmarkEnd w:id="410"/>
      <w:r w:rsidRPr="001D49D4">
        <w:rPr>
          <w:rFonts w:ascii="Calibri" w:eastAsia="Calibri" w:hAnsi="Calibri" w:cs="Arial"/>
          <w:rtl/>
        </w:rPr>
        <w:t>חובו. ואם כתבו לאדם טופס שטר ובא לפני בית דין, אין בית דין גובים בו עד שיוציא גוף השטר אם לא כתבו בו טעם למה עשו שטר אחר, כי ההיא דנמחק שטר חובו וכיוצא בו כגון שידוע לעדים שאבד, אבל אין ידוע לעדים לא יכתבו לו, ואפילו נאבד בעדים אין כותבים לו, דשמא ימצא, אלא אם כן עדים מעידים שנשרף</w:t>
      </w:r>
      <w:r w:rsidRPr="001D49D4">
        <w:rPr>
          <w:rFonts w:ascii="Calibri" w:eastAsia="Calibri" w:hAnsi="Calibri" w:cs="Arial"/>
          <w:vertAlign w:val="superscript"/>
          <w:rtl/>
        </w:rPr>
        <w:footnoteReference w:id="3113"/>
      </w:r>
      <w:r w:rsidRPr="001D49D4">
        <w:rPr>
          <w:rFonts w:ascii="Calibri" w:eastAsia="Calibri" w:hAnsi="Calibri" w:cs="Arial"/>
          <w:rtl/>
        </w:rPr>
        <w:t xml:space="preserve">. </w:t>
      </w:r>
      <w:r w:rsidRPr="001D49D4">
        <w:rPr>
          <w:rFonts w:ascii="Calibri" w:eastAsia="Calibri" w:hAnsi="Calibri" w:cs="Arial"/>
          <w:sz w:val="18"/>
          <w:szCs w:val="18"/>
          <w:rtl/>
        </w:rPr>
        <w:t>הגה: ודוקא בשטר הלואה, אבל שטרי מקח ומתנה בלא אחריות</w:t>
      </w:r>
      <w:r w:rsidRPr="001D49D4">
        <w:rPr>
          <w:rFonts w:ascii="Calibri" w:eastAsia="Calibri" w:hAnsi="Calibri" w:cs="Arial"/>
          <w:sz w:val="18"/>
          <w:szCs w:val="18"/>
          <w:vertAlign w:val="superscript"/>
          <w:rtl/>
        </w:rPr>
        <w:footnoteReference w:id="3114"/>
      </w:r>
      <w:r w:rsidRPr="001D49D4">
        <w:rPr>
          <w:rFonts w:ascii="Calibri" w:eastAsia="Calibri" w:hAnsi="Calibri" w:cs="Arial"/>
          <w:sz w:val="18"/>
          <w:szCs w:val="18"/>
          <w:rtl/>
        </w:rPr>
        <w:t xml:space="preserve"> כותבין לו אחר, מאחר שנאבד</w:t>
      </w:r>
      <w:r w:rsidRPr="001D49D4">
        <w:rPr>
          <w:rFonts w:ascii="Calibri" w:eastAsia="Calibri" w:hAnsi="Calibri" w:cs="Arial"/>
          <w:sz w:val="18"/>
          <w:szCs w:val="18"/>
          <w:vertAlign w:val="superscript"/>
          <w:rtl/>
        </w:rPr>
        <w:footnoteReference w:id="3115"/>
      </w:r>
      <w:r w:rsidRPr="001D49D4">
        <w:rPr>
          <w:rFonts w:ascii="Calibri" w:eastAsia="Calibri" w:hAnsi="Calibri" w:cs="Arial"/>
          <w:sz w:val="18"/>
          <w:szCs w:val="18"/>
          <w:rtl/>
        </w:rPr>
        <w:t>. אבל אין מטפיסין שום שטר ללא צורך</w:t>
      </w:r>
      <w:r w:rsidRPr="001D49D4">
        <w:rPr>
          <w:rFonts w:ascii="Calibri" w:eastAsia="Calibri" w:hAnsi="Calibri" w:cs="Arial"/>
          <w:sz w:val="18"/>
          <w:szCs w:val="18"/>
          <w:vertAlign w:val="superscript"/>
          <w:rtl/>
        </w:rPr>
        <w:footnoteReference w:id="3116"/>
      </w:r>
      <w:r w:rsidRPr="001D49D4">
        <w:rPr>
          <w:rFonts w:ascii="Calibri" w:eastAsia="Calibri" w:hAnsi="Calibri" w:cs="Arial"/>
          <w:sz w:val="18"/>
          <w:szCs w:val="18"/>
          <w:rtl/>
        </w:rPr>
        <w:t xml:space="preserve"> </w:t>
      </w:r>
      <w:r w:rsidRPr="001D49D4">
        <w:rPr>
          <w:rFonts w:ascii="Calibri" w:eastAsia="Calibri" w:hAnsi="Calibri" w:cs="Arial"/>
          <w:sz w:val="16"/>
          <w:szCs w:val="16"/>
          <w:rtl/>
        </w:rPr>
        <w:t>(רא"ש כלל סח סי' טז, כא, כג, כו)</w:t>
      </w:r>
      <w:r w:rsidRPr="001D49D4">
        <w:rPr>
          <w:rFonts w:ascii="Calibri" w:eastAsia="Calibri" w:hAnsi="Calibri" w:cs="Arial"/>
          <w:sz w:val="18"/>
          <w:szCs w:val="18"/>
          <w:rtl/>
        </w:rPr>
        <w:t xml:space="preserve">. שטר צוואה שכתוב בו מתנות לרבים, ובא אחד לב"ד שיכתבו לו לבדו חלקו במתנה, כותבים לו, דהא לאו לגוביינא קאי דהרי לאו שטרא הוא, והיתומים יכולים למימר פרענו </w:t>
      </w:r>
      <w:r w:rsidRPr="001D49D4">
        <w:rPr>
          <w:rFonts w:ascii="Calibri" w:eastAsia="Calibri" w:hAnsi="Calibri" w:cs="Arial"/>
          <w:sz w:val="16"/>
          <w:szCs w:val="16"/>
          <w:rtl/>
        </w:rPr>
        <w:t>(רשב"א סי' תתקעח ובמיוחסות סי' פג)</w:t>
      </w:r>
      <w:r w:rsidRPr="001D49D4">
        <w:rPr>
          <w:rFonts w:ascii="Calibri" w:eastAsia="Calibri" w:hAnsi="Calibri" w:cs="Arial"/>
          <w:sz w:val="18"/>
          <w:szCs w:val="18"/>
          <w:rtl/>
        </w:rPr>
        <w:t>.</w:t>
      </w:r>
      <w:r w:rsidRPr="001D49D4">
        <w:rPr>
          <w:rFonts w:ascii="Calibri" w:eastAsia="Calibri" w:hAnsi="Calibri" w:cs="Arial"/>
          <w:rtl/>
        </w:rPr>
        <w:t xml:space="preserve"> ומיהו אם היה ביד אחר ונאבד משם, כותבים לו אחר, דליכא למיחש שמא ימצאנו כיון שלא היה בידו. ואם הלוה במדינת הים, והמלוה חושש שלא יוליך שטרו בידו שמא יאבד לו בדרך, יבא לבית דין וכותבים לו אחר, והוא מניח שטרו ביד בית דין שבעירו, ובית דין שבמקום שהלוה שם יודיעו לבית דין שבמקום המלוה שהוא נפרע מחובו, וקורעים השטר הראשון שבידם, ואם נאבד השטר שהטפיס כשהוא הולך לו אצל הלוה וידוע זה בעדים</w:t>
      </w:r>
      <w:r w:rsidRPr="001D49D4">
        <w:rPr>
          <w:rFonts w:ascii="Calibri" w:eastAsia="Calibri" w:hAnsi="Calibri" w:cs="Arial"/>
          <w:vertAlign w:val="superscript"/>
          <w:rtl/>
        </w:rPr>
        <w:footnoteReference w:id="3117"/>
      </w:r>
      <w:r w:rsidRPr="001D49D4">
        <w:rPr>
          <w:rFonts w:ascii="Calibri" w:eastAsia="Calibri" w:hAnsi="Calibri" w:cs="Arial"/>
          <w:rtl/>
        </w:rPr>
        <w:t>, הולך לפני ב"ד ויעידו לפניהם שנאבד, ויחזירו לו שטר שבידם</w:t>
      </w:r>
      <w:r w:rsidRPr="001D49D4">
        <w:rPr>
          <w:rFonts w:ascii="Calibri" w:eastAsia="Calibri" w:hAnsi="Calibri" w:cs="Arial"/>
          <w:vertAlign w:val="superscript"/>
          <w:rtl/>
        </w:rPr>
        <w:footnoteReference w:id="3118"/>
      </w:r>
      <w:r w:rsidRPr="001D49D4">
        <w:rPr>
          <w:rFonts w:ascii="Calibri" w:eastAsia="Calibri" w:hAnsi="Calibri" w:cs="Arial"/>
          <w:rtl/>
        </w:rPr>
        <w:t xml:space="preserve">. </w:t>
      </w:r>
      <w:r w:rsidRPr="001D49D4">
        <w:rPr>
          <w:rFonts w:ascii="Calibri" w:eastAsia="Calibri" w:hAnsi="Calibri" w:cs="Arial"/>
          <w:sz w:val="18"/>
          <w:szCs w:val="18"/>
          <w:rtl/>
        </w:rPr>
        <w:t>הגה: וכל שטר שמטפיסין מעתיקין אותו אות באות משטר הראשון, וכותבין שהוא העתק, ואין צריכין ב"ד להעתקת שטר, אלא אפילו שני עדים יכולין להעתיקו</w:t>
      </w:r>
      <w:r w:rsidRPr="001D49D4">
        <w:rPr>
          <w:rFonts w:ascii="Calibri" w:eastAsia="Calibri" w:hAnsi="Calibri" w:cs="Arial"/>
          <w:sz w:val="18"/>
          <w:szCs w:val="18"/>
          <w:vertAlign w:val="superscript"/>
          <w:rtl/>
        </w:rPr>
        <w:footnoteReference w:id="3119"/>
      </w:r>
      <w:r w:rsidRPr="001D49D4">
        <w:rPr>
          <w:rFonts w:ascii="Calibri" w:eastAsia="Calibri" w:hAnsi="Calibri" w:cs="Arial"/>
          <w:sz w:val="16"/>
          <w:szCs w:val="16"/>
          <w:rtl/>
        </w:rPr>
        <w:t xml:space="preserve"> (ריב"ש סי' תיג)</w:t>
      </w:r>
      <w:r w:rsidRPr="001D49D4">
        <w:rPr>
          <w:rFonts w:ascii="Calibri" w:eastAsia="Calibri" w:hAnsi="Calibri" w:cs="Arial"/>
          <w:sz w:val="18"/>
          <w:szCs w:val="18"/>
          <w:rtl/>
        </w:rPr>
        <w:t xml:space="preserve">. </w:t>
      </w:r>
    </w:p>
    <w:p w14:paraId="1AE35F8B" w14:textId="77777777" w:rsidR="001D49D4" w:rsidRPr="001D49D4" w:rsidRDefault="001D49D4" w:rsidP="0004348D">
      <w:pPr>
        <w:spacing w:before="360" w:after="240"/>
        <w:rPr>
          <w:rFonts w:ascii="Calibri" w:eastAsia="Calibri" w:hAnsi="Calibri" w:cs="Arial"/>
          <w:rtl/>
        </w:rPr>
      </w:pPr>
    </w:p>
    <w:p w14:paraId="1FD52187" w14:textId="77777777" w:rsidR="001D49D4" w:rsidRPr="001D49D4" w:rsidRDefault="001D49D4" w:rsidP="0004348D">
      <w:pPr>
        <w:keepNext/>
        <w:keepLines/>
        <w:spacing w:before="360" w:after="240"/>
        <w:outlineLvl w:val="1"/>
        <w:rPr>
          <w:rFonts w:ascii="Cambria" w:eastAsia="Times New Roman" w:hAnsi="Cambria" w:cs="Arial"/>
          <w:bCs/>
          <w:color w:val="548DD4" w:themeColor="text2" w:themeTint="99"/>
          <w:sz w:val="26"/>
          <w:szCs w:val="26"/>
          <w:rtl/>
        </w:rPr>
      </w:pPr>
      <w:bookmarkStart w:id="411" w:name="_Toc24883851"/>
      <w:r w:rsidRPr="001D49D4">
        <w:rPr>
          <w:rFonts w:ascii="Cambria" w:eastAsia="Times New Roman" w:hAnsi="Cambria" w:cs="Arial"/>
          <w:bCs/>
          <w:color w:val="548DD4" w:themeColor="text2" w:themeTint="99"/>
          <w:sz w:val="26"/>
          <w:szCs w:val="26"/>
          <w:rtl/>
        </w:rPr>
        <w:t>סעיף ד: אדם שיש לו חוב על חבירו בשטר ואבד השטר והעדים קיימים – והלוה טוען פרעתי.</w:t>
      </w:r>
      <w:bookmarkEnd w:id="411"/>
    </w:p>
    <w:p w14:paraId="4E73FD34" w14:textId="77777777" w:rsidR="001D49D4" w:rsidRPr="001D49D4" w:rsidRDefault="001D49D4" w:rsidP="0004348D">
      <w:pPr>
        <w:spacing w:before="360" w:after="240"/>
        <w:rPr>
          <w:rFonts w:ascii="Calibri" w:eastAsia="Calibri" w:hAnsi="Calibri" w:cs="Arial"/>
          <w:u w:val="single"/>
          <w:rtl/>
        </w:rPr>
      </w:pPr>
      <w:r w:rsidRPr="001D49D4">
        <w:rPr>
          <w:rFonts w:ascii="Calibri" w:eastAsia="Calibri" w:hAnsi="Calibri" w:cs="Arial"/>
          <w:u w:val="single"/>
          <w:rtl/>
        </w:rPr>
        <w:t>אדם שיש לו חוב על חבירו בשטר ואבד השטר והעדים קיימים – והלוה טוען פרעתי:</w:t>
      </w:r>
    </w:p>
    <w:p w14:paraId="52C58077" w14:textId="77777777" w:rsidR="001D49D4" w:rsidRPr="001D49D4" w:rsidRDefault="001D49D4" w:rsidP="0004348D">
      <w:pPr>
        <w:numPr>
          <w:ilvl w:val="0"/>
          <w:numId w:val="217"/>
        </w:numPr>
        <w:spacing w:before="360" w:after="240"/>
        <w:contextualSpacing/>
        <w:rPr>
          <w:rtl/>
        </w:rPr>
      </w:pPr>
      <w:r w:rsidRPr="001D49D4">
        <w:rPr>
          <w:rtl/>
        </w:rPr>
        <w:t>רמב"ם</w:t>
      </w:r>
      <w:r w:rsidRPr="001D49D4">
        <w:rPr>
          <w:vertAlign w:val="superscript"/>
          <w:rtl/>
        </w:rPr>
        <w:footnoteReference w:id="3120"/>
      </w:r>
      <w:r w:rsidRPr="001D49D4">
        <w:rPr>
          <w:sz w:val="16"/>
          <w:szCs w:val="16"/>
          <w:rtl/>
        </w:rPr>
        <w:t xml:space="preserve"> (פי"ד ממלוה ולוה הי"ג)</w:t>
      </w:r>
      <w:r w:rsidRPr="001D49D4">
        <w:rPr>
          <w:rtl/>
        </w:rPr>
        <w:t xml:space="preserve"> וטור- מי שהיה לו חוב על חבירו בשטר ואבד השטר, והרי העדים קיימין - אע"פ שקנו מידו וטען שפרע ה"ז נשבע היסת. והורו רבותי שאפילו היה החוב לזמן ועדיין לא הגיע זמנו להפרע, הואיל וכתבו לו השטר ואין בידו שטר והלוה טוען פרעתי - נאמן ונשבע היסת שפרעו, שאנו חוששין שמא פרעו ולפיכך קרע השטר או שרפו. וכן הורו רבותי שאפילו היה השטר יוצא מתחת ידי אחר והלוה טוען ממני נפל אחר שפרעתי אע"פ שהוא בתוך זמנו - נשבע היסת ונפטר, שכיון שאין השטר ביד המלוה אין שם חזקה</w:t>
      </w:r>
      <w:r w:rsidRPr="001D49D4">
        <w:rPr>
          <w:vertAlign w:val="superscript"/>
          <w:rtl/>
        </w:rPr>
        <w:footnoteReference w:id="3121"/>
      </w:r>
      <w:r w:rsidRPr="001D49D4">
        <w:rPr>
          <w:rtl/>
        </w:rPr>
        <w:t>.</w:t>
      </w:r>
      <w:r w:rsidRPr="001D49D4">
        <w:rPr>
          <w:color w:val="E36C0A" w:themeColor="accent6" w:themeShade="BF"/>
          <w:rtl/>
        </w:rPr>
        <w:t xml:space="preserve"> (וכ"פ בשו"ע)</w:t>
      </w:r>
    </w:p>
    <w:p w14:paraId="7DDE477E" w14:textId="77777777" w:rsidR="001D49D4" w:rsidRPr="001D49D4" w:rsidRDefault="001D49D4" w:rsidP="0004348D">
      <w:pPr>
        <w:numPr>
          <w:ilvl w:val="0"/>
          <w:numId w:val="217"/>
        </w:numPr>
        <w:spacing w:before="360" w:after="240"/>
        <w:contextualSpacing/>
        <w:rPr>
          <w:rtl/>
        </w:rPr>
      </w:pPr>
      <w:r w:rsidRPr="001D49D4">
        <w:rPr>
          <w:rtl/>
        </w:rPr>
        <w:t xml:space="preserve">ראב"ד </w:t>
      </w:r>
      <w:r w:rsidRPr="001D49D4">
        <w:rPr>
          <w:sz w:val="16"/>
          <w:szCs w:val="16"/>
          <w:rtl/>
        </w:rPr>
        <w:t>(שם)</w:t>
      </w:r>
      <w:r w:rsidRPr="001D49D4">
        <w:rPr>
          <w:rtl/>
        </w:rPr>
        <w:t xml:space="preserve">- </w:t>
      </w:r>
      <w:r w:rsidRPr="001D49D4">
        <w:rPr>
          <w:vertAlign w:val="superscript"/>
          <w:rtl/>
        </w:rPr>
        <w:footnoteReference w:id="3122"/>
      </w:r>
      <w:r w:rsidRPr="001D49D4">
        <w:rPr>
          <w:rtl/>
        </w:rPr>
        <w:t>בשבועה מיהא יטול</w:t>
      </w:r>
      <w:r w:rsidRPr="001D49D4">
        <w:rPr>
          <w:vertAlign w:val="superscript"/>
          <w:rtl/>
        </w:rPr>
        <w:footnoteReference w:id="3123"/>
      </w:r>
      <w:r w:rsidRPr="001D49D4">
        <w:rPr>
          <w:rtl/>
        </w:rPr>
        <w:t>.</w:t>
      </w:r>
    </w:p>
    <w:p w14:paraId="5369AD0D" w14:textId="77777777" w:rsidR="001D49D4" w:rsidRPr="001D49D4" w:rsidRDefault="001D49D4" w:rsidP="0004348D">
      <w:pPr>
        <w:spacing w:before="360" w:after="240"/>
        <w:ind w:left="360"/>
        <w:rPr>
          <w:rFonts w:ascii="Calibri" w:eastAsia="Calibri" w:hAnsi="Calibri" w:cs="Arial"/>
          <w:u w:val="dotted"/>
        </w:rPr>
      </w:pPr>
      <w:r w:rsidRPr="001D49D4">
        <w:rPr>
          <w:rFonts w:ascii="Calibri" w:eastAsia="Calibri" w:hAnsi="Calibri" w:cs="Arial"/>
          <w:u w:val="dotted"/>
          <w:rtl/>
        </w:rPr>
        <w:lastRenderedPageBreak/>
        <w:t xml:space="preserve">לרמב"ם והטור – האם הלוה נאמן לומר 'נפל ממני' גם נגד הנפקד </w:t>
      </w:r>
      <w:r w:rsidRPr="001D49D4">
        <w:rPr>
          <w:rFonts w:ascii="Calibri" w:eastAsia="Calibri" w:hAnsi="Calibri" w:cs="Arial"/>
          <w:sz w:val="16"/>
          <w:szCs w:val="16"/>
          <w:u w:val="dotted"/>
          <w:rtl/>
        </w:rPr>
        <w:t>(היינו כשהמלוה הפקיד את שטרו)</w:t>
      </w:r>
      <w:r w:rsidRPr="001D49D4">
        <w:rPr>
          <w:rFonts w:ascii="Calibri" w:eastAsia="Calibri" w:hAnsi="Calibri" w:cs="Arial"/>
          <w:u w:val="dotted"/>
          <w:rtl/>
        </w:rPr>
        <w:t>:</w:t>
      </w:r>
    </w:p>
    <w:p w14:paraId="1820A45E" w14:textId="77777777" w:rsidR="001D49D4" w:rsidRPr="001D49D4" w:rsidRDefault="001D49D4" w:rsidP="0004348D">
      <w:pPr>
        <w:numPr>
          <w:ilvl w:val="0"/>
          <w:numId w:val="217"/>
        </w:numPr>
        <w:spacing w:before="360" w:after="240"/>
        <w:contextualSpacing/>
      </w:pPr>
      <w:r w:rsidRPr="001D49D4">
        <w:rPr>
          <w:rtl/>
        </w:rPr>
        <w:t>טור- אבל אם הפקידו המלוה אצל אחר, אע"פ שיוציא מתחת יד הנפקד - אין הלוה נאמן לומר 'פרעתי וממני נפל ואתה מצאתו', ואע"פ שלא הפקיד לו בעדים, כי הנפקד נאמן לומר שהמלוה הפקידו אצלו במיגו שהיה מחזירו לו בינו לבינו</w:t>
      </w:r>
      <w:r w:rsidRPr="001D49D4">
        <w:rPr>
          <w:vertAlign w:val="superscript"/>
          <w:rtl/>
        </w:rPr>
        <w:footnoteReference w:id="3124"/>
      </w:r>
      <w:r w:rsidRPr="001D49D4">
        <w:rPr>
          <w:rtl/>
        </w:rPr>
        <w:t>.</w:t>
      </w:r>
      <w:r w:rsidRPr="001D49D4">
        <w:rPr>
          <w:color w:val="E36C0A" w:themeColor="accent6" w:themeShade="BF"/>
          <w:rtl/>
        </w:rPr>
        <w:t xml:space="preserve"> (וכ"פ בשו"ע)</w:t>
      </w:r>
    </w:p>
    <w:p w14:paraId="374E590E" w14:textId="77777777" w:rsidR="001D49D4" w:rsidRPr="001D49D4" w:rsidRDefault="001D49D4" w:rsidP="0004348D">
      <w:pPr>
        <w:spacing w:before="360" w:after="240"/>
        <w:rPr>
          <w:rFonts w:ascii="Calibri" w:eastAsia="Calibri" w:hAnsi="Calibri" w:cs="Arial"/>
          <w:sz w:val="16"/>
          <w:szCs w:val="16"/>
          <w:rtl/>
        </w:rPr>
      </w:pPr>
      <w:r w:rsidRPr="001D49D4">
        <w:rPr>
          <w:rFonts w:ascii="Calibri" w:eastAsia="Calibri" w:hAnsi="Calibri" w:cs="Arial"/>
          <w:b/>
          <w:bCs/>
          <w:rtl/>
        </w:rPr>
        <w:t>בבא מציעא</w:t>
      </w:r>
      <w:r w:rsidRPr="001D49D4">
        <w:rPr>
          <w:rFonts w:ascii="Calibri" w:eastAsia="Calibri" w:hAnsi="Calibri" w:cs="Arial"/>
          <w:b/>
          <w:bCs/>
          <w:sz w:val="16"/>
          <w:szCs w:val="16"/>
          <w:rtl/>
        </w:rPr>
        <w:t xml:space="preserve"> (פ"ק) </w:t>
      </w:r>
      <w:r w:rsidRPr="001D49D4">
        <w:rPr>
          <w:rFonts w:ascii="Calibri" w:eastAsia="Calibri" w:hAnsi="Calibri" w:cs="Arial"/>
          <w:b/>
          <w:bCs/>
          <w:rtl/>
        </w:rPr>
        <w:t>יז</w:t>
      </w:r>
      <w:r w:rsidRPr="001D49D4">
        <w:rPr>
          <w:rFonts w:ascii="Calibri" w:eastAsia="Calibri" w:hAnsi="Calibri" w:cs="Arial"/>
          <w:b/>
          <w:bCs/>
          <w:vertAlign w:val="superscript"/>
          <w:rtl/>
        </w:rPr>
        <w:footnoteReference w:id="3125"/>
      </w:r>
      <w:r w:rsidRPr="001D49D4">
        <w:rPr>
          <w:rFonts w:ascii="Calibri" w:eastAsia="Calibri" w:hAnsi="Calibri" w:cs="Arial"/>
          <w:b/>
          <w:bCs/>
          <w:rtl/>
        </w:rPr>
        <w:t xml:space="preserve"> ע"א: </w:t>
      </w:r>
      <w:r w:rsidRPr="001D49D4">
        <w:rPr>
          <w:rFonts w:ascii="Calibri" w:eastAsia="Calibri" w:hAnsi="Calibri" w:cs="Arial"/>
          <w:u w:val="single"/>
          <w:rtl/>
        </w:rPr>
        <w:t>אמר רבה בר בר חנה אמר רבי יוחנן</w:t>
      </w:r>
      <w:r w:rsidRPr="001D49D4">
        <w:rPr>
          <w:rFonts w:ascii="Calibri" w:eastAsia="Calibri" w:hAnsi="Calibri" w:cs="Arial"/>
          <w:rtl/>
        </w:rPr>
        <w:t xml:space="preserve">: מנה לי בידך, והלה אומר: אין לך בידי כלום, והעדים מעידים אותו שיש לו, וחזר ואמר: פרעתי - הוחזק כפרן לאותו ממון. כי הא דשבתאי בריה דרבי מרינוס כתב לה לכלתיה איצטלא דמילתא בכתובתה, וקבלה עליה. אירכס כתובתה. אמר לה לא היו דברים מעולם. אתו סהדי ואמרי: אין, כתב לה. לסוף אמר להו: פרעתיה. </w:t>
      </w:r>
      <w:r w:rsidRPr="001D49D4">
        <w:rPr>
          <w:rFonts w:ascii="Calibri" w:eastAsia="Calibri" w:hAnsi="Calibri" w:cs="Arial"/>
          <w:u w:val="single"/>
          <w:rtl/>
        </w:rPr>
        <w:t>אתא לקמיה דרבי חייא, אמר ליה</w:t>
      </w:r>
      <w:r w:rsidRPr="001D49D4">
        <w:rPr>
          <w:rFonts w:ascii="Calibri" w:eastAsia="Calibri" w:hAnsi="Calibri" w:cs="Arial"/>
          <w:rtl/>
        </w:rPr>
        <w:t xml:space="preserve">: הוחזקת כפרן לאותה איצטלא. </w:t>
      </w:r>
      <w:r w:rsidRPr="001D49D4">
        <w:rPr>
          <w:rFonts w:ascii="Calibri" w:eastAsia="Calibri" w:hAnsi="Calibri" w:cs="Arial"/>
          <w:sz w:val="16"/>
          <w:szCs w:val="16"/>
          <w:rtl/>
        </w:rPr>
        <w:t>(ופשוט הוא שדין הכתובה ודין שאר השטרות שוין בדין זה, ב"י)</w:t>
      </w:r>
    </w:p>
    <w:p w14:paraId="53BB3CAF" w14:textId="77777777" w:rsidR="001D49D4" w:rsidRPr="001D49D4" w:rsidRDefault="001D49D4" w:rsidP="0004348D">
      <w:pPr>
        <w:spacing w:before="360" w:after="240"/>
        <w:rPr>
          <w:rFonts w:ascii="Calibri" w:eastAsia="Calibri" w:hAnsi="Calibri" w:cs="Arial"/>
          <w:u w:val="single"/>
          <w:rtl/>
        </w:rPr>
      </w:pPr>
      <w:r w:rsidRPr="001D49D4">
        <w:rPr>
          <w:rFonts w:ascii="Calibri" w:eastAsia="Calibri" w:hAnsi="Calibri" w:cs="Arial"/>
          <w:u w:val="single"/>
          <w:rtl/>
        </w:rPr>
        <w:t xml:space="preserve">אבד שטרו ותבע את הלוה בב"ד ואמר הלוה להד"מ ועדים מעידים שלוה </w:t>
      </w:r>
      <w:r w:rsidRPr="001D49D4">
        <w:rPr>
          <w:rFonts w:ascii="Calibri" w:eastAsia="Calibri" w:hAnsi="Calibri" w:cs="Arial"/>
          <w:sz w:val="16"/>
          <w:szCs w:val="16"/>
          <w:u w:val="single"/>
          <w:rtl/>
        </w:rPr>
        <w:t>(וכתבו שטר למלוה)</w:t>
      </w:r>
      <w:r w:rsidRPr="001D49D4">
        <w:rPr>
          <w:rFonts w:ascii="Calibri" w:eastAsia="Calibri" w:hAnsi="Calibri" w:cs="Arial"/>
          <w:u w:val="single"/>
          <w:rtl/>
        </w:rPr>
        <w:t xml:space="preserve"> – האם נאמן לומר פרעתי:</w:t>
      </w:r>
    </w:p>
    <w:p w14:paraId="5113F42B" w14:textId="77777777" w:rsidR="001D49D4" w:rsidRPr="001D49D4" w:rsidRDefault="001D49D4" w:rsidP="0004348D">
      <w:pPr>
        <w:numPr>
          <w:ilvl w:val="0"/>
          <w:numId w:val="217"/>
        </w:numPr>
        <w:spacing w:before="360" w:after="240"/>
        <w:contextualSpacing/>
      </w:pPr>
      <w:r w:rsidRPr="001D49D4">
        <w:rPr>
          <w:rtl/>
        </w:rPr>
        <w:t>טור- אבד שטרו, ותבע את הלוה בב"ד, ואומר לא היו דברים מעולם, ועדים מעידים שלוה וכתבו שטר למלוה - הוחזק כפרן ושוב אינו נאמן לומר פרעתי.</w:t>
      </w:r>
    </w:p>
    <w:p w14:paraId="058AF35C" w14:textId="77777777" w:rsidR="001D49D4" w:rsidRPr="001D49D4" w:rsidRDefault="001D49D4" w:rsidP="0004348D">
      <w:pPr>
        <w:spacing w:before="360" w:after="240"/>
        <w:rPr>
          <w:rFonts w:ascii="Calibri" w:eastAsia="Calibri" w:hAnsi="Calibri" w:cs="Arial"/>
          <w:u w:val="single"/>
        </w:rPr>
      </w:pPr>
      <w:r w:rsidRPr="001D49D4">
        <w:rPr>
          <w:rFonts w:ascii="Calibri" w:eastAsia="Calibri" w:hAnsi="Calibri" w:cs="Arial"/>
          <w:u w:val="single"/>
          <w:rtl/>
        </w:rPr>
        <w:t>אחד שהיה לו שטר בעיר שכבשוה כרכום – האם העדים כותבין לו שטר אחר:</w:t>
      </w:r>
    </w:p>
    <w:p w14:paraId="3EA6CCD1" w14:textId="77777777" w:rsidR="001D49D4" w:rsidRPr="001D49D4" w:rsidRDefault="001D49D4" w:rsidP="0004348D">
      <w:pPr>
        <w:numPr>
          <w:ilvl w:val="0"/>
          <w:numId w:val="217"/>
        </w:numPr>
        <w:spacing w:before="360" w:after="240"/>
        <w:contextualSpacing/>
        <w:rPr>
          <w:rtl/>
        </w:rPr>
      </w:pPr>
      <w:r w:rsidRPr="001D49D4">
        <w:rPr>
          <w:rtl/>
        </w:rPr>
        <w:t xml:space="preserve">מהרי"ק </w:t>
      </w:r>
      <w:r w:rsidRPr="001D49D4">
        <w:rPr>
          <w:sz w:val="16"/>
          <w:szCs w:val="16"/>
          <w:rtl/>
        </w:rPr>
        <w:t>(שורש קטז, הביאו הדרכ"מ אות ב)</w:t>
      </w:r>
      <w:r w:rsidRPr="001D49D4">
        <w:rPr>
          <w:rtl/>
        </w:rPr>
        <w:t xml:space="preserve">- אם היו לו שטרותיו בעיר שכבשוה כרכום מסתמא הם בחזקת אבודין וכותבין לו שטר אחר, ואפילו הלוה עומד ומוחה אין משגיחין בו, וכל מקום שהעדים כותבין לו אחר גם הלוה בעצמו חייב לכתוב לו אחר. </w:t>
      </w:r>
      <w:r w:rsidRPr="001D49D4">
        <w:rPr>
          <w:color w:val="00B0F0"/>
          <w:rtl/>
        </w:rPr>
        <w:t>(וכ"פ הרמ"א)</w:t>
      </w:r>
    </w:p>
    <w:p w14:paraId="200C30D7" w14:textId="77777777" w:rsidR="001D49D4" w:rsidRPr="001D49D4" w:rsidRDefault="001D49D4" w:rsidP="0004348D">
      <w:pPr>
        <w:spacing w:before="360" w:after="240"/>
        <w:rPr>
          <w:rFonts w:ascii="Arial" w:eastAsia="Calibri" w:hAnsi="Arial" w:cs="Arial"/>
          <w:b/>
          <w:bCs/>
          <w:color w:val="000000"/>
          <w:sz w:val="28"/>
          <w:szCs w:val="28"/>
          <w:u w:val="single"/>
          <w:rtl/>
        </w:rPr>
      </w:pPr>
      <w:r w:rsidRPr="001D49D4">
        <w:rPr>
          <w:rFonts w:ascii="Arial" w:eastAsia="Calibri" w:hAnsi="Arial" w:cs="Arial"/>
          <w:b/>
          <w:bCs/>
          <w:color w:val="000000"/>
          <w:sz w:val="28"/>
          <w:szCs w:val="28"/>
          <w:u w:val="single"/>
          <w:rtl/>
        </w:rPr>
        <w:t>שו"ע:</w:t>
      </w:r>
    </w:p>
    <w:p w14:paraId="0EBA6374"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rtl/>
        </w:rPr>
        <w:t>מי שהיה לו חוב על חבירו בשטר, ואבד השטר, והרי העדים קיימים, אף על פי שקנו מידו אם טען שפרע, הרי זה נשבע היסת. ואפילו היה החוב לזמן ועדיין לא הגיע זמנו להפרע, הואיל וכתבו לו שטר ואינו בידו, אם טען הלוה פרעתיו נאמן ונשבע היסת שפרעו, שאנו חוששין שמא פרעו ולפיכך קרע השטר או שרפו. ואפילו היה השטר יוצא מתחת ידי אחר, והלוה טוען ממני נפל אחר שפרעתי, אף על פי שהוא בתוך זמנו נשבע היסת ונפטר, שכיון שאין השטר ביד המלוה אין שם חזקה אין אדם פורע בתוך זמנו. אבל אם הפקידו המלוה אצל אחר והוא יוצא מתחת ידי הנפקד, אין הלוה נאמן לומר פרעתי וממני נפל ואתה מצאתו, ואף על פי שלא הפקידו אצלו בעדים</w:t>
      </w:r>
      <w:r w:rsidRPr="001D49D4">
        <w:rPr>
          <w:rFonts w:ascii="Calibri" w:eastAsia="Calibri" w:hAnsi="Calibri" w:cs="Arial"/>
          <w:vertAlign w:val="superscript"/>
          <w:rtl/>
        </w:rPr>
        <w:footnoteReference w:id="3126"/>
      </w:r>
      <w:r w:rsidRPr="001D49D4">
        <w:rPr>
          <w:rFonts w:ascii="Calibri" w:eastAsia="Calibri" w:hAnsi="Calibri" w:cs="Arial"/>
          <w:rtl/>
        </w:rPr>
        <w:t xml:space="preserve">. </w:t>
      </w:r>
      <w:r w:rsidRPr="001D49D4">
        <w:rPr>
          <w:rFonts w:ascii="Calibri" w:eastAsia="Calibri" w:hAnsi="Calibri" w:cs="Arial"/>
          <w:sz w:val="18"/>
          <w:szCs w:val="18"/>
          <w:rtl/>
        </w:rPr>
        <w:t xml:space="preserve">הגה: מי שהיו שטרותיו בעיר שכבשוה כרכום, מסתמא הם בחזקת אבודים וכותבין לו שטר אחר, ואפילו הלוה עומד ומוחה אין משגיחין בו </w:t>
      </w:r>
      <w:r w:rsidRPr="001D49D4">
        <w:rPr>
          <w:rFonts w:ascii="Calibri" w:eastAsia="Calibri" w:hAnsi="Calibri" w:cs="Arial"/>
          <w:sz w:val="16"/>
          <w:szCs w:val="16"/>
          <w:rtl/>
        </w:rPr>
        <w:t>(מהרי"ק שורש קטז)</w:t>
      </w:r>
      <w:r w:rsidRPr="001D49D4">
        <w:rPr>
          <w:rFonts w:ascii="Calibri" w:eastAsia="Calibri" w:hAnsi="Calibri" w:cs="Arial"/>
          <w:sz w:val="18"/>
          <w:szCs w:val="18"/>
          <w:rtl/>
        </w:rPr>
        <w:t>.</w:t>
      </w:r>
    </w:p>
    <w:p w14:paraId="1F860739" w14:textId="77777777" w:rsidR="001D49D4" w:rsidRPr="001D49D4" w:rsidRDefault="001D49D4" w:rsidP="0004348D">
      <w:pPr>
        <w:spacing w:before="360" w:after="240"/>
        <w:rPr>
          <w:rFonts w:ascii="Calibri" w:eastAsia="Calibri" w:hAnsi="Calibri" w:cs="Arial"/>
          <w:rtl/>
        </w:rPr>
      </w:pPr>
    </w:p>
    <w:p w14:paraId="73CFE461" w14:textId="77777777" w:rsidR="001D49D4" w:rsidRPr="001D49D4" w:rsidRDefault="001D49D4" w:rsidP="0004348D">
      <w:pPr>
        <w:bidi w:val="0"/>
        <w:spacing w:before="360" w:after="240"/>
        <w:rPr>
          <w:rFonts w:ascii="Cambria" w:eastAsia="Times New Roman" w:hAnsi="Cambria" w:cs="Arial"/>
          <w:b/>
          <w:bCs/>
          <w:color w:val="365F91" w:themeColor="accent1" w:themeShade="BF"/>
          <w:sz w:val="28"/>
          <w:szCs w:val="28"/>
          <w:rtl/>
        </w:rPr>
        <w:sectPr w:rsidR="001D49D4" w:rsidRPr="001D49D4">
          <w:headerReference w:type="default" r:id="rId50"/>
          <w:footnotePr>
            <w:numRestart w:val="eachPage"/>
          </w:footnotePr>
          <w:pgSz w:w="11906" w:h="16838"/>
          <w:pgMar w:top="720" w:right="1134" w:bottom="720" w:left="1134" w:header="0" w:footer="0" w:gutter="0"/>
          <w:cols w:space="720"/>
          <w:bidi/>
          <w:rtlGutter/>
        </w:sectPr>
      </w:pPr>
    </w:p>
    <w:p w14:paraId="097952CE" w14:textId="77777777" w:rsidR="001D49D4" w:rsidRPr="001D49D4" w:rsidRDefault="001D49D4" w:rsidP="0004348D">
      <w:pPr>
        <w:keepNext/>
        <w:keepLines/>
        <w:spacing w:before="360" w:after="240"/>
        <w:outlineLvl w:val="0"/>
        <w:rPr>
          <w:rFonts w:ascii="Arial" w:eastAsia="Times New Roman" w:hAnsi="Arial" w:cs="Arial"/>
          <w:b/>
          <w:bCs/>
          <w:color w:val="365F91" w:themeColor="accent1" w:themeShade="BF"/>
          <w:sz w:val="28"/>
          <w:szCs w:val="28"/>
          <w:rtl/>
        </w:rPr>
      </w:pPr>
      <w:bookmarkStart w:id="412" w:name="_Toc24883852"/>
      <w:r w:rsidRPr="001D49D4">
        <w:rPr>
          <w:rFonts w:ascii="Arial" w:eastAsia="Times New Roman" w:hAnsi="Arial" w:cs="Arial"/>
          <w:b/>
          <w:bCs/>
          <w:color w:val="365F91" w:themeColor="accent1" w:themeShade="BF"/>
          <w:sz w:val="28"/>
          <w:szCs w:val="28"/>
          <w:rtl/>
        </w:rPr>
        <w:lastRenderedPageBreak/>
        <w:t>סימן מב: שכותבין השטר בכל לשון, ודין אם אין המטבע מפורש בו, ובו ט"ו סעיפים.</w:t>
      </w:r>
      <w:bookmarkEnd w:id="412"/>
      <w:r w:rsidRPr="001D49D4">
        <w:rPr>
          <w:rFonts w:ascii="Arial" w:eastAsia="Times New Roman" w:hAnsi="Arial" w:cs="Arial"/>
          <w:b/>
          <w:bCs/>
          <w:color w:val="365F91" w:themeColor="accent1" w:themeShade="BF"/>
          <w:sz w:val="28"/>
          <w:szCs w:val="28"/>
          <w:rtl/>
        </w:rPr>
        <w:t xml:space="preserve"> </w:t>
      </w:r>
    </w:p>
    <w:p w14:paraId="0E6A5C2A" w14:textId="77777777" w:rsidR="001D49D4" w:rsidRPr="001D49D4" w:rsidRDefault="001D49D4" w:rsidP="0004348D">
      <w:pPr>
        <w:keepNext/>
        <w:keepLines/>
        <w:spacing w:before="360" w:after="240"/>
        <w:outlineLvl w:val="1"/>
        <w:rPr>
          <w:rFonts w:ascii="Arial" w:eastAsia="Times New Roman" w:hAnsi="Arial" w:cs="Arial"/>
          <w:bCs/>
          <w:color w:val="548DD4" w:themeColor="text2" w:themeTint="99"/>
          <w:sz w:val="26"/>
          <w:szCs w:val="26"/>
          <w:rtl/>
        </w:rPr>
      </w:pPr>
      <w:bookmarkStart w:id="413" w:name="_Toc24883853"/>
      <w:r w:rsidRPr="001D49D4">
        <w:rPr>
          <w:rFonts w:ascii="Arial" w:eastAsia="Times New Roman" w:hAnsi="Arial" w:cs="Arial"/>
          <w:bCs/>
          <w:color w:val="548DD4" w:themeColor="text2" w:themeTint="99"/>
          <w:sz w:val="26"/>
          <w:szCs w:val="26"/>
          <w:rtl/>
        </w:rPr>
        <w:t>סעיף א: שטר שיכול להזדייף.</w:t>
      </w:r>
      <w:bookmarkEnd w:id="413"/>
    </w:p>
    <w:p w14:paraId="215E7AFF" w14:textId="77777777" w:rsidR="001D49D4" w:rsidRPr="001D49D4" w:rsidRDefault="001D49D4" w:rsidP="0004348D">
      <w:pPr>
        <w:spacing w:before="360" w:after="240"/>
        <w:rPr>
          <w:rFonts w:ascii="Arial" w:eastAsia="Calibri" w:hAnsi="Arial" w:cs="Arial"/>
          <w:rtl/>
        </w:rPr>
      </w:pPr>
      <w:r w:rsidRPr="001D49D4">
        <w:rPr>
          <w:rFonts w:ascii="Arial" w:eastAsia="Calibri" w:hAnsi="Arial" w:cs="Arial"/>
          <w:b/>
          <w:bCs/>
          <w:rtl/>
        </w:rPr>
        <w:t xml:space="preserve">גיטין כא ע"ב: </w:t>
      </w:r>
      <w:r w:rsidRPr="001D49D4">
        <w:rPr>
          <w:rFonts w:ascii="Arial" w:eastAsia="Calibri" w:hAnsi="Arial" w:cs="Arial"/>
          <w:u w:val="double"/>
          <w:rtl/>
        </w:rPr>
        <w:t>מתני':</w:t>
      </w:r>
      <w:r w:rsidRPr="001D49D4">
        <w:rPr>
          <w:rFonts w:ascii="Arial" w:eastAsia="Calibri" w:hAnsi="Arial" w:cs="Arial"/>
          <w:rtl/>
        </w:rPr>
        <w:t xml:space="preserve"> אין כותבין במחובר לקרקע</w:t>
      </w:r>
      <w:r w:rsidRPr="001D49D4">
        <w:rPr>
          <w:rFonts w:ascii="Arial" w:eastAsia="Calibri" w:hAnsi="Arial" w:cs="Arial"/>
          <w:vertAlign w:val="superscript"/>
          <w:rtl/>
        </w:rPr>
        <w:footnoteReference w:id="3127"/>
      </w:r>
      <w:r w:rsidRPr="001D49D4">
        <w:rPr>
          <w:rFonts w:ascii="Arial" w:eastAsia="Calibri" w:hAnsi="Arial" w:cs="Arial"/>
          <w:rtl/>
        </w:rPr>
        <w:t xml:space="preserve">. כתבו במחובר, תלשו וחתמו ונתנו לה- כשר, </w:t>
      </w:r>
      <w:r w:rsidRPr="001D49D4">
        <w:rPr>
          <w:rFonts w:ascii="Arial" w:eastAsia="Calibri" w:hAnsi="Arial" w:cs="Arial"/>
          <w:u w:val="single"/>
          <w:rtl/>
        </w:rPr>
        <w:t>רבי יהודה</w:t>
      </w:r>
      <w:r w:rsidRPr="001D49D4">
        <w:rPr>
          <w:rFonts w:ascii="Arial" w:eastAsia="Calibri" w:hAnsi="Arial" w:cs="Arial"/>
          <w:rtl/>
        </w:rPr>
        <w:t xml:space="preserve"> פוסל עד שתהא כתיבתו וחתימתו בתלוש. </w:t>
      </w:r>
      <w:r w:rsidRPr="001D49D4">
        <w:rPr>
          <w:rFonts w:ascii="Arial" w:eastAsia="Calibri" w:hAnsi="Arial" w:cs="Arial"/>
          <w:u w:val="single"/>
          <w:rtl/>
        </w:rPr>
        <w:t>ר' יהודה בן בתירא אומר</w:t>
      </w:r>
      <w:r w:rsidRPr="001D49D4">
        <w:rPr>
          <w:rFonts w:ascii="Arial" w:eastAsia="Calibri" w:hAnsi="Arial" w:cs="Arial"/>
          <w:rtl/>
        </w:rPr>
        <w:t>: אין כותבין לא על הנייר המחוק</w:t>
      </w:r>
      <w:r w:rsidRPr="001D49D4">
        <w:rPr>
          <w:rFonts w:ascii="Arial" w:eastAsia="Calibri" w:hAnsi="Arial" w:cs="Arial"/>
          <w:vertAlign w:val="superscript"/>
          <w:rtl/>
        </w:rPr>
        <w:footnoteReference w:id="3128"/>
      </w:r>
      <w:r w:rsidRPr="001D49D4">
        <w:rPr>
          <w:rFonts w:ascii="Arial" w:eastAsia="Calibri" w:hAnsi="Arial" w:cs="Arial"/>
          <w:rtl/>
        </w:rPr>
        <w:t xml:space="preserve"> ולא על הדיפתרא, מפני שהוא יכול להזדייף, </w:t>
      </w:r>
      <w:r w:rsidRPr="001D49D4">
        <w:rPr>
          <w:rFonts w:ascii="Arial" w:eastAsia="Calibri" w:hAnsi="Arial" w:cs="Arial"/>
          <w:u w:val="single"/>
          <w:rtl/>
        </w:rPr>
        <w:t>וחכמים</w:t>
      </w:r>
      <w:r w:rsidRPr="001D49D4">
        <w:rPr>
          <w:rFonts w:ascii="Arial" w:eastAsia="Calibri" w:hAnsi="Arial" w:cs="Arial"/>
          <w:rtl/>
        </w:rPr>
        <w:t xml:space="preserve"> מכשירין....     </w:t>
      </w:r>
      <w:r w:rsidRPr="001D49D4">
        <w:rPr>
          <w:rFonts w:ascii="Arial" w:eastAsia="Calibri" w:hAnsi="Arial" w:cs="Arial"/>
          <w:u w:val="double"/>
          <w:rtl/>
        </w:rPr>
        <w:t>גמ':</w:t>
      </w:r>
      <w:r w:rsidRPr="001D49D4">
        <w:rPr>
          <w:rFonts w:ascii="Arial" w:eastAsia="Calibri" w:hAnsi="Arial" w:cs="Arial"/>
          <w:rtl/>
        </w:rPr>
        <w:t xml:space="preserve"> וחכמים מכשירין. מאן חכמים</w:t>
      </w:r>
      <w:r w:rsidRPr="001D49D4">
        <w:rPr>
          <w:rFonts w:ascii="Arial" w:eastAsia="Calibri" w:hAnsi="Arial" w:cs="Arial"/>
          <w:vertAlign w:val="superscript"/>
          <w:rtl/>
        </w:rPr>
        <w:footnoteReference w:id="3129"/>
      </w:r>
      <w:r w:rsidRPr="001D49D4">
        <w:rPr>
          <w:rFonts w:ascii="Arial" w:eastAsia="Calibri" w:hAnsi="Arial" w:cs="Arial"/>
          <w:rtl/>
        </w:rPr>
        <w:t xml:space="preserve">? </w:t>
      </w:r>
      <w:r w:rsidRPr="001D49D4">
        <w:rPr>
          <w:rFonts w:ascii="Arial" w:eastAsia="Calibri" w:hAnsi="Arial" w:cs="Arial"/>
          <w:u w:val="single"/>
          <w:rtl/>
        </w:rPr>
        <w:t>אמר רבי אלעזר</w:t>
      </w:r>
      <w:r w:rsidRPr="001D49D4">
        <w:rPr>
          <w:rFonts w:ascii="Arial" w:eastAsia="Calibri" w:hAnsi="Arial" w:cs="Arial"/>
          <w:rtl/>
        </w:rPr>
        <w:t xml:space="preserve">: ר' </w:t>
      </w:r>
      <w:r w:rsidRPr="001D49D4">
        <w:rPr>
          <w:rFonts w:ascii="Arial" w:eastAsia="Calibri" w:hAnsi="Arial" w:cs="Arial"/>
          <w:vertAlign w:val="superscript"/>
          <w:rtl/>
        </w:rPr>
        <w:footnoteReference w:id="3130"/>
      </w:r>
      <w:r w:rsidRPr="001D49D4">
        <w:rPr>
          <w:rFonts w:ascii="Arial" w:eastAsia="Calibri" w:hAnsi="Arial" w:cs="Arial"/>
          <w:rtl/>
        </w:rPr>
        <w:t>אלעזר היא</w:t>
      </w:r>
      <w:r w:rsidRPr="001D49D4">
        <w:rPr>
          <w:rFonts w:ascii="Arial" w:eastAsia="Calibri" w:hAnsi="Arial" w:cs="Arial"/>
          <w:vertAlign w:val="superscript"/>
          <w:rtl/>
        </w:rPr>
        <w:footnoteReference w:id="3131"/>
      </w:r>
      <w:r w:rsidRPr="001D49D4">
        <w:rPr>
          <w:rFonts w:ascii="Arial" w:eastAsia="Calibri" w:hAnsi="Arial" w:cs="Arial"/>
          <w:rtl/>
        </w:rPr>
        <w:t xml:space="preserve"> דאמר עדי מסירה כרתי. </w:t>
      </w:r>
      <w:r w:rsidRPr="001D49D4">
        <w:rPr>
          <w:rFonts w:ascii="Arial" w:eastAsia="Calibri" w:hAnsi="Arial" w:cs="Arial"/>
          <w:u w:val="single"/>
          <w:rtl/>
        </w:rPr>
        <w:t>ואמר ר"א</w:t>
      </w:r>
      <w:r w:rsidRPr="001D49D4">
        <w:rPr>
          <w:rFonts w:ascii="Arial" w:eastAsia="Calibri" w:hAnsi="Arial" w:cs="Arial"/>
          <w:rtl/>
        </w:rPr>
        <w:t>: לא הכשיר ר"א אלא לאלתר</w:t>
      </w:r>
      <w:r w:rsidRPr="001D49D4">
        <w:rPr>
          <w:rFonts w:ascii="Arial" w:eastAsia="Calibri" w:hAnsi="Arial" w:cs="Arial"/>
          <w:vertAlign w:val="superscript"/>
          <w:rtl/>
        </w:rPr>
        <w:footnoteReference w:id="3132"/>
      </w:r>
      <w:r w:rsidRPr="001D49D4">
        <w:rPr>
          <w:rFonts w:ascii="Arial" w:eastAsia="Calibri" w:hAnsi="Arial" w:cs="Arial"/>
          <w:rtl/>
        </w:rPr>
        <w:t>, אבל מכאן עד עשרה ימים לא, חיישי' דילמא הוה ביה תנאה וזייפתיה</w:t>
      </w:r>
      <w:r w:rsidRPr="001D49D4">
        <w:rPr>
          <w:rFonts w:ascii="Arial" w:eastAsia="Calibri" w:hAnsi="Arial" w:cs="Arial"/>
          <w:vertAlign w:val="superscript"/>
          <w:rtl/>
        </w:rPr>
        <w:footnoteReference w:id="3133"/>
      </w:r>
      <w:r w:rsidRPr="001D49D4">
        <w:rPr>
          <w:rFonts w:ascii="Arial" w:eastAsia="Calibri" w:hAnsi="Arial" w:cs="Arial"/>
          <w:rtl/>
        </w:rPr>
        <w:t xml:space="preserve">, </w:t>
      </w:r>
      <w:r w:rsidRPr="001D49D4">
        <w:rPr>
          <w:rFonts w:ascii="Arial" w:eastAsia="Calibri" w:hAnsi="Arial" w:cs="Arial"/>
          <w:u w:val="single"/>
          <w:rtl/>
        </w:rPr>
        <w:t>ור' יוחנן אמר</w:t>
      </w:r>
      <w:r w:rsidRPr="001D49D4">
        <w:rPr>
          <w:rFonts w:ascii="Arial" w:eastAsia="Calibri" w:hAnsi="Arial" w:cs="Arial"/>
          <w:rtl/>
        </w:rPr>
        <w:t xml:space="preserve">: אפי' מכאן עד עשרה ימים, דאם איתא דהוה ביה תנאי, מידכר דכירי. </w:t>
      </w:r>
      <w:r w:rsidRPr="001D49D4">
        <w:rPr>
          <w:rFonts w:ascii="Arial" w:eastAsia="Calibri" w:hAnsi="Arial" w:cs="Arial"/>
          <w:u w:val="single"/>
          <w:rtl/>
        </w:rPr>
        <w:t>ואמר ר"א</w:t>
      </w:r>
      <w:r w:rsidRPr="001D49D4">
        <w:rPr>
          <w:rFonts w:ascii="Arial" w:eastAsia="Calibri" w:hAnsi="Arial" w:cs="Arial"/>
          <w:rtl/>
        </w:rPr>
        <w:t>: לא הכשיר ר"א אלא בגיטין</w:t>
      </w:r>
      <w:r w:rsidRPr="001D49D4">
        <w:rPr>
          <w:rFonts w:ascii="Arial" w:eastAsia="Calibri" w:hAnsi="Arial" w:cs="Arial"/>
          <w:vertAlign w:val="superscript"/>
          <w:rtl/>
        </w:rPr>
        <w:footnoteReference w:id="3134"/>
      </w:r>
      <w:r w:rsidRPr="001D49D4">
        <w:rPr>
          <w:rFonts w:ascii="Arial" w:eastAsia="Calibri" w:hAnsi="Arial" w:cs="Arial"/>
          <w:rtl/>
        </w:rPr>
        <w:t>, אבל בשאר שטרות</w:t>
      </w:r>
      <w:r w:rsidRPr="001D49D4">
        <w:rPr>
          <w:rFonts w:ascii="Arial" w:eastAsia="Calibri" w:hAnsi="Arial" w:cs="Arial"/>
          <w:vertAlign w:val="superscript"/>
          <w:rtl/>
        </w:rPr>
        <w:footnoteReference w:id="3135"/>
      </w:r>
      <w:r w:rsidRPr="001D49D4">
        <w:rPr>
          <w:rFonts w:ascii="Arial" w:eastAsia="Calibri" w:hAnsi="Arial" w:cs="Arial"/>
          <w:rtl/>
        </w:rPr>
        <w:t xml:space="preserve"> - לא, דכתי': ונתתם בכלי חרש למען יעמדו ימים רבים</w:t>
      </w:r>
      <w:r w:rsidRPr="001D49D4">
        <w:rPr>
          <w:rFonts w:ascii="Arial" w:eastAsia="Calibri" w:hAnsi="Arial" w:cs="Arial"/>
          <w:vertAlign w:val="superscript"/>
          <w:rtl/>
        </w:rPr>
        <w:footnoteReference w:id="3136"/>
      </w:r>
      <w:r w:rsidRPr="001D49D4">
        <w:rPr>
          <w:rFonts w:ascii="Arial" w:eastAsia="Calibri" w:hAnsi="Arial" w:cs="Arial"/>
          <w:rtl/>
        </w:rPr>
        <w:t xml:space="preserve">, </w:t>
      </w:r>
      <w:r w:rsidRPr="001D49D4">
        <w:rPr>
          <w:rFonts w:ascii="Arial" w:eastAsia="Calibri" w:hAnsi="Arial" w:cs="Arial"/>
          <w:u w:val="single"/>
          <w:rtl/>
        </w:rPr>
        <w:t>ורבי יוחנן אמר</w:t>
      </w:r>
      <w:r w:rsidRPr="001D49D4">
        <w:rPr>
          <w:rFonts w:ascii="Arial" w:eastAsia="Calibri" w:hAnsi="Arial" w:cs="Arial"/>
          <w:rtl/>
        </w:rPr>
        <w:t xml:space="preserve">: אפי' בשטרות. והכתיב: למען יעמדו ימים רבים! התם עצה טובה קמ"ל. </w:t>
      </w:r>
    </w:p>
    <w:p w14:paraId="40A143E8" w14:textId="77777777" w:rsidR="001D49D4" w:rsidRPr="001D49D4" w:rsidRDefault="001D49D4" w:rsidP="0004348D">
      <w:pPr>
        <w:spacing w:before="360" w:after="240"/>
        <w:rPr>
          <w:rFonts w:ascii="Arial" w:eastAsia="Calibri" w:hAnsi="Arial" w:cs="Arial"/>
          <w:u w:val="single"/>
          <w:rtl/>
        </w:rPr>
      </w:pPr>
      <w:r w:rsidRPr="001D49D4">
        <w:rPr>
          <w:rFonts w:ascii="Arial" w:eastAsia="Calibri" w:hAnsi="Arial" w:cs="Arial"/>
          <w:b/>
          <w:bCs/>
          <w:u w:val="single"/>
          <w:rtl/>
        </w:rPr>
        <w:t>גט</w:t>
      </w:r>
      <w:r w:rsidRPr="001D49D4">
        <w:rPr>
          <w:rFonts w:ascii="Arial" w:eastAsia="Calibri" w:hAnsi="Arial" w:cs="Arial"/>
          <w:u w:val="single"/>
          <w:rtl/>
        </w:rPr>
        <w:t xml:space="preserve"> שנכתב על דבר שיכול להזדייף - כמה זמן הוא נשאר בכשרותו:</w:t>
      </w:r>
    </w:p>
    <w:p w14:paraId="05B6E8C3" w14:textId="77777777" w:rsidR="001D49D4" w:rsidRPr="001D49D4" w:rsidRDefault="001D49D4" w:rsidP="0004348D">
      <w:pPr>
        <w:numPr>
          <w:ilvl w:val="0"/>
          <w:numId w:val="218"/>
        </w:numPr>
        <w:spacing w:before="360" w:after="240"/>
        <w:contextualSpacing/>
        <w:rPr>
          <w:rFonts w:ascii="Arial" w:hAnsi="Arial"/>
          <w:rtl/>
        </w:rPr>
      </w:pPr>
      <w:r w:rsidRPr="001D49D4">
        <w:rPr>
          <w:rFonts w:ascii="Arial" w:hAnsi="Arial"/>
          <w:rtl/>
        </w:rPr>
        <w:t>רא"ש</w:t>
      </w:r>
      <w:r w:rsidRPr="001D49D4">
        <w:rPr>
          <w:rFonts w:ascii="Arial" w:hAnsi="Arial"/>
          <w:vertAlign w:val="superscript"/>
          <w:rtl/>
        </w:rPr>
        <w:footnoteReference w:id="3137"/>
      </w:r>
      <w:r w:rsidRPr="001D49D4">
        <w:rPr>
          <w:rFonts w:ascii="Arial" w:hAnsi="Arial"/>
          <w:rtl/>
        </w:rPr>
        <w:t xml:space="preserve"> </w:t>
      </w:r>
      <w:r w:rsidRPr="001D49D4">
        <w:rPr>
          <w:rFonts w:ascii="Arial" w:hAnsi="Arial"/>
          <w:sz w:val="16"/>
          <w:szCs w:val="16"/>
          <w:rtl/>
        </w:rPr>
        <w:t>(סי' כד)</w:t>
      </w:r>
      <w:r w:rsidRPr="001D49D4">
        <w:rPr>
          <w:rFonts w:ascii="Arial" w:hAnsi="Arial"/>
          <w:rtl/>
        </w:rPr>
        <w:t xml:space="preserve">- אפי' מכאן עד עשרה ימים, כרבי יוחנן </w:t>
      </w:r>
      <w:r w:rsidRPr="001D49D4">
        <w:rPr>
          <w:rFonts w:ascii="Arial" w:hAnsi="Arial"/>
          <w:sz w:val="16"/>
          <w:szCs w:val="16"/>
          <w:rtl/>
        </w:rPr>
        <w:t>(דהוה רביה דרבי אלעזר)</w:t>
      </w:r>
      <w:r w:rsidRPr="001D49D4">
        <w:rPr>
          <w:rFonts w:ascii="Arial" w:hAnsi="Arial"/>
          <w:rtl/>
        </w:rPr>
        <w:t>.</w:t>
      </w:r>
    </w:p>
    <w:p w14:paraId="550C2D45" w14:textId="77777777" w:rsidR="001D49D4" w:rsidRPr="001D49D4" w:rsidRDefault="001D49D4" w:rsidP="0004348D">
      <w:pPr>
        <w:spacing w:before="360" w:after="240"/>
        <w:rPr>
          <w:rFonts w:ascii="Arial" w:eastAsia="Calibri" w:hAnsi="Arial" w:cs="Arial"/>
          <w:u w:val="single"/>
        </w:rPr>
      </w:pPr>
      <w:r w:rsidRPr="001D49D4">
        <w:rPr>
          <w:rFonts w:ascii="Arial" w:eastAsia="Calibri" w:hAnsi="Arial" w:cs="Arial"/>
          <w:b/>
          <w:bCs/>
          <w:u w:val="single"/>
          <w:rtl/>
        </w:rPr>
        <w:t>שטר</w:t>
      </w:r>
      <w:r w:rsidRPr="001D49D4">
        <w:rPr>
          <w:rFonts w:ascii="Arial" w:eastAsia="Calibri" w:hAnsi="Arial" w:cs="Arial"/>
          <w:u w:val="single"/>
          <w:rtl/>
        </w:rPr>
        <w:t xml:space="preserve"> שנכתב על דבר שיכול להזדייף:</w:t>
      </w:r>
    </w:p>
    <w:p w14:paraId="4F31A541" w14:textId="77777777" w:rsidR="001D49D4" w:rsidRPr="001D49D4" w:rsidRDefault="001D49D4" w:rsidP="0004348D">
      <w:pPr>
        <w:numPr>
          <w:ilvl w:val="0"/>
          <w:numId w:val="218"/>
        </w:numPr>
        <w:spacing w:before="360" w:after="240"/>
        <w:contextualSpacing/>
        <w:rPr>
          <w:rFonts w:ascii="Arial" w:hAnsi="Arial"/>
        </w:rPr>
      </w:pPr>
      <w:r w:rsidRPr="001D49D4">
        <w:rPr>
          <w:rFonts w:ascii="Arial" w:hAnsi="Arial"/>
          <w:rtl/>
        </w:rPr>
        <w:t>רי"ף רמב"ם (ורא"ש</w:t>
      </w:r>
      <w:r w:rsidRPr="001D49D4">
        <w:rPr>
          <w:rFonts w:ascii="Arial" w:hAnsi="Arial"/>
          <w:sz w:val="16"/>
          <w:szCs w:val="16"/>
          <w:rtl/>
        </w:rPr>
        <w:t xml:space="preserve"> להב' הב"י</w:t>
      </w:r>
      <w:r w:rsidRPr="001D49D4">
        <w:rPr>
          <w:rFonts w:ascii="Arial" w:hAnsi="Arial"/>
          <w:rtl/>
        </w:rPr>
        <w:t>)</w:t>
      </w:r>
      <w:r w:rsidRPr="001D49D4">
        <w:rPr>
          <w:rFonts w:ascii="Arial" w:hAnsi="Arial"/>
          <w:vertAlign w:val="superscript"/>
          <w:rtl/>
        </w:rPr>
        <w:footnoteReference w:id="3138"/>
      </w:r>
      <w:r w:rsidRPr="001D49D4">
        <w:rPr>
          <w:rFonts w:ascii="Arial" w:hAnsi="Arial"/>
          <w:rtl/>
        </w:rPr>
        <w:t>- לא מכשרינן אפילו לאלתר, כרבי אלעזר.</w:t>
      </w:r>
      <w:r w:rsidRPr="001D49D4">
        <w:rPr>
          <w:rFonts w:ascii="Arial" w:hAnsi="Arial"/>
          <w:color w:val="E36C0A" w:themeColor="accent6" w:themeShade="BF"/>
          <w:rtl/>
        </w:rPr>
        <w:t xml:space="preserve"> (וכ"פ בשו"ע)</w:t>
      </w:r>
    </w:p>
    <w:p w14:paraId="3E9D8BC0" w14:textId="77777777" w:rsidR="001D49D4" w:rsidRPr="001D49D4" w:rsidRDefault="001D49D4" w:rsidP="0004348D">
      <w:pPr>
        <w:numPr>
          <w:ilvl w:val="0"/>
          <w:numId w:val="218"/>
        </w:numPr>
        <w:spacing w:before="360" w:after="240"/>
        <w:contextualSpacing/>
        <w:rPr>
          <w:rFonts w:ascii="Arial" w:hAnsi="Arial"/>
        </w:rPr>
      </w:pPr>
      <w:r w:rsidRPr="001D49D4">
        <w:rPr>
          <w:rFonts w:ascii="Arial" w:hAnsi="Arial"/>
          <w:rtl/>
        </w:rPr>
        <w:t xml:space="preserve">ר"ן </w:t>
      </w:r>
      <w:r w:rsidRPr="001D49D4">
        <w:rPr>
          <w:rFonts w:ascii="Arial" w:hAnsi="Arial"/>
          <w:sz w:val="16"/>
          <w:szCs w:val="16"/>
          <w:rtl/>
        </w:rPr>
        <w:t xml:space="preserve">(יא. ד"ה וה"מ) </w:t>
      </w:r>
      <w:r w:rsidRPr="001D49D4">
        <w:rPr>
          <w:rFonts w:ascii="Arial" w:hAnsi="Arial"/>
          <w:rtl/>
        </w:rPr>
        <w:t xml:space="preserve">- לא מכשרינן אפילו לאלתר, כרבי אלעזר, מיהו זהו דוקא בשטרות העומדים לראיה אבל בשטרי אקנייתא יכול לכותבן על דבר הראוי להזדייף. </w:t>
      </w:r>
      <w:r w:rsidRPr="001D49D4">
        <w:rPr>
          <w:rFonts w:ascii="Arial" w:hAnsi="Arial"/>
          <w:color w:val="00B0F0"/>
          <w:rtl/>
        </w:rPr>
        <w:t>(וכ"פ הרמ"א)</w:t>
      </w:r>
    </w:p>
    <w:p w14:paraId="3D07161F" w14:textId="77777777" w:rsidR="001D49D4" w:rsidRPr="001D49D4" w:rsidRDefault="001D49D4" w:rsidP="0004348D">
      <w:pPr>
        <w:numPr>
          <w:ilvl w:val="0"/>
          <w:numId w:val="218"/>
        </w:numPr>
        <w:spacing w:before="360" w:after="240"/>
        <w:contextualSpacing/>
        <w:rPr>
          <w:rFonts w:ascii="Arial" w:hAnsi="Arial"/>
          <w:rtl/>
        </w:rPr>
      </w:pPr>
      <w:r w:rsidRPr="001D49D4">
        <w:rPr>
          <w:rFonts w:ascii="Arial" w:hAnsi="Arial"/>
          <w:rtl/>
        </w:rPr>
        <w:t>ר"ח- גם בשטרות כשר, כרבי יוחנן</w:t>
      </w:r>
      <w:r w:rsidRPr="001D49D4">
        <w:rPr>
          <w:rFonts w:ascii="Arial" w:hAnsi="Arial"/>
          <w:vertAlign w:val="superscript"/>
          <w:rtl/>
        </w:rPr>
        <w:footnoteReference w:id="3139"/>
      </w:r>
      <w:r w:rsidRPr="001D49D4">
        <w:rPr>
          <w:rFonts w:ascii="Arial" w:hAnsi="Arial"/>
          <w:rtl/>
        </w:rPr>
        <w:t xml:space="preserve">. </w:t>
      </w:r>
    </w:p>
    <w:p w14:paraId="53E88724" w14:textId="77777777" w:rsidR="001D49D4" w:rsidRPr="001D49D4" w:rsidRDefault="001D49D4" w:rsidP="0004348D">
      <w:pPr>
        <w:numPr>
          <w:ilvl w:val="0"/>
          <w:numId w:val="218"/>
        </w:numPr>
        <w:spacing w:before="360" w:after="240"/>
        <w:contextualSpacing/>
        <w:rPr>
          <w:rFonts w:ascii="Arial" w:hAnsi="Arial"/>
        </w:rPr>
      </w:pPr>
      <w:r w:rsidRPr="001D49D4">
        <w:rPr>
          <w:rFonts w:ascii="Arial" w:hAnsi="Arial"/>
          <w:rtl/>
        </w:rPr>
        <w:t xml:space="preserve">(רשב"א רא"ש ורי"ו </w:t>
      </w:r>
      <w:r w:rsidRPr="001D49D4">
        <w:rPr>
          <w:rFonts w:ascii="Arial" w:hAnsi="Arial"/>
          <w:sz w:val="16"/>
          <w:szCs w:val="16"/>
          <w:rtl/>
        </w:rPr>
        <w:t>להב' הש"ך</w:t>
      </w:r>
      <w:r w:rsidRPr="001D49D4">
        <w:rPr>
          <w:rFonts w:ascii="Arial" w:hAnsi="Arial"/>
          <w:rtl/>
        </w:rPr>
        <w:t>)- לאלתר כשר, אבל לימים רבים לא שמא לא יזכרו את כל התנאים שמצויים בשטרות. (וכ"פ הש"ך</w:t>
      </w:r>
      <w:r w:rsidRPr="001D49D4">
        <w:rPr>
          <w:rFonts w:ascii="Arial" w:hAnsi="Arial"/>
          <w:vertAlign w:val="superscript"/>
          <w:rtl/>
        </w:rPr>
        <w:footnoteReference w:id="3140"/>
      </w:r>
      <w:r w:rsidRPr="001D49D4">
        <w:rPr>
          <w:rFonts w:ascii="Arial" w:hAnsi="Arial"/>
          <w:rtl/>
        </w:rPr>
        <w:t>)</w:t>
      </w:r>
    </w:p>
    <w:p w14:paraId="1A954ECA" w14:textId="77777777" w:rsidR="001D49D4" w:rsidRPr="001D49D4" w:rsidRDefault="001D49D4" w:rsidP="0004348D">
      <w:pPr>
        <w:spacing w:before="360" w:after="240"/>
        <w:jc w:val="both"/>
        <w:rPr>
          <w:rFonts w:ascii="Arial" w:eastAsia="Calibri" w:hAnsi="Arial" w:cs="Arial"/>
        </w:rPr>
      </w:pPr>
      <w:r w:rsidRPr="001D49D4">
        <w:rPr>
          <w:rFonts w:ascii="Arial" w:eastAsia="Calibri" w:hAnsi="Arial" w:cs="Arial"/>
          <w:b/>
          <w:bCs/>
          <w:sz w:val="32"/>
          <w:szCs w:val="28"/>
          <w:u w:val="single"/>
          <w:rtl/>
        </w:rPr>
        <w:t xml:space="preserve">שו"ע: </w:t>
      </w:r>
    </w:p>
    <w:p w14:paraId="6CFC65A2" w14:textId="77777777" w:rsidR="001D49D4" w:rsidRPr="001D49D4" w:rsidRDefault="001D49D4" w:rsidP="0004348D">
      <w:pPr>
        <w:spacing w:before="360" w:after="240"/>
        <w:rPr>
          <w:rFonts w:ascii="Arial" w:eastAsia="Calibri" w:hAnsi="Arial" w:cs="Arial"/>
          <w:rtl/>
        </w:rPr>
      </w:pPr>
      <w:r w:rsidRPr="001D49D4">
        <w:rPr>
          <w:rFonts w:ascii="Arial" w:eastAsia="Calibri" w:hAnsi="Arial" w:cs="Arial"/>
          <w:rtl/>
        </w:rPr>
        <w:lastRenderedPageBreak/>
        <w:t>אין כותבין שטר חוב על דבר שיכול להזדייף, ואם כתבו עליו פסול אפילו לגבות בו לאלתר</w:t>
      </w:r>
      <w:r w:rsidRPr="001D49D4">
        <w:rPr>
          <w:rFonts w:ascii="Arial" w:eastAsia="Calibri" w:hAnsi="Arial" w:cs="Arial"/>
          <w:vertAlign w:val="superscript"/>
          <w:rtl/>
        </w:rPr>
        <w:footnoteReference w:id="3141"/>
      </w:r>
      <w:r w:rsidRPr="001D49D4">
        <w:rPr>
          <w:rFonts w:ascii="Arial" w:eastAsia="Calibri" w:hAnsi="Arial" w:cs="Arial"/>
          <w:rtl/>
        </w:rPr>
        <w:t xml:space="preserve">. </w:t>
      </w:r>
      <w:r w:rsidRPr="001D49D4">
        <w:rPr>
          <w:rFonts w:ascii="Arial" w:eastAsia="Calibri" w:hAnsi="Arial" w:cs="Arial"/>
          <w:sz w:val="18"/>
          <w:szCs w:val="18"/>
          <w:rtl/>
        </w:rPr>
        <w:t>הגה: ודוקא שטר חוב, אבל שטר אקנייתא</w:t>
      </w:r>
      <w:r w:rsidRPr="001D49D4">
        <w:rPr>
          <w:rFonts w:ascii="Arial" w:eastAsia="Calibri" w:hAnsi="Arial" w:cs="Arial"/>
          <w:sz w:val="18"/>
          <w:szCs w:val="18"/>
          <w:vertAlign w:val="superscript"/>
          <w:rtl/>
        </w:rPr>
        <w:footnoteReference w:id="3142"/>
      </w:r>
      <w:r w:rsidRPr="001D49D4">
        <w:rPr>
          <w:rFonts w:ascii="Arial" w:eastAsia="Calibri" w:hAnsi="Arial" w:cs="Arial"/>
          <w:sz w:val="18"/>
          <w:szCs w:val="18"/>
          <w:rtl/>
        </w:rPr>
        <w:t xml:space="preserve"> כשר </w:t>
      </w:r>
      <w:r w:rsidRPr="001D49D4">
        <w:rPr>
          <w:rFonts w:ascii="Arial" w:eastAsia="Calibri" w:hAnsi="Arial" w:cs="Arial"/>
          <w:sz w:val="16"/>
          <w:szCs w:val="16"/>
          <w:rtl/>
        </w:rPr>
        <w:t>(ר"ן פ"ב דגיטין)</w:t>
      </w:r>
      <w:r w:rsidRPr="001D49D4">
        <w:rPr>
          <w:rFonts w:ascii="Arial" w:eastAsia="Calibri" w:hAnsi="Arial" w:cs="Arial"/>
          <w:sz w:val="18"/>
          <w:szCs w:val="18"/>
          <w:rtl/>
        </w:rPr>
        <w:t>. כל שטר שאינו עשוי כתקנת חכמים, אף על פי שאין טעם לפסלו פסול, ולכן אם עשה בזמן הזה שטר מקושר</w:t>
      </w:r>
      <w:r w:rsidRPr="001D49D4">
        <w:rPr>
          <w:rFonts w:ascii="Arial" w:eastAsia="Calibri" w:hAnsi="Arial" w:cs="Arial"/>
          <w:sz w:val="18"/>
          <w:szCs w:val="18"/>
          <w:vertAlign w:val="superscript"/>
          <w:rtl/>
        </w:rPr>
        <w:footnoteReference w:id="3143"/>
      </w:r>
      <w:r w:rsidRPr="001D49D4">
        <w:rPr>
          <w:rFonts w:ascii="Arial" w:eastAsia="Calibri" w:hAnsi="Arial" w:cs="Arial"/>
          <w:sz w:val="18"/>
          <w:szCs w:val="18"/>
          <w:rtl/>
        </w:rPr>
        <w:t xml:space="preserve"> פסול </w:t>
      </w:r>
      <w:r w:rsidRPr="001D49D4">
        <w:rPr>
          <w:rFonts w:ascii="Arial" w:eastAsia="Calibri" w:hAnsi="Arial" w:cs="Arial"/>
          <w:sz w:val="16"/>
          <w:szCs w:val="16"/>
          <w:rtl/>
        </w:rPr>
        <w:t>(נמוק"י ריש פ' ג"פ לד' הרא"ש).</w:t>
      </w:r>
      <w:r w:rsidRPr="001D49D4">
        <w:rPr>
          <w:rFonts w:ascii="Arial" w:eastAsia="Calibri" w:hAnsi="Arial" w:cs="Arial"/>
          <w:sz w:val="18"/>
          <w:szCs w:val="18"/>
          <w:rtl/>
        </w:rPr>
        <w:t xml:space="preserve"> ויש חולקין </w:t>
      </w:r>
      <w:r w:rsidRPr="001D49D4">
        <w:rPr>
          <w:rFonts w:ascii="Arial" w:eastAsia="Calibri" w:hAnsi="Arial" w:cs="Arial"/>
          <w:sz w:val="16"/>
          <w:szCs w:val="16"/>
          <w:rtl/>
        </w:rPr>
        <w:t>(רמב"ן ועוד הרבה פוסקים)</w:t>
      </w:r>
      <w:r w:rsidRPr="001D49D4">
        <w:rPr>
          <w:rFonts w:ascii="Arial" w:eastAsia="Calibri" w:hAnsi="Arial" w:cs="Arial"/>
          <w:sz w:val="18"/>
          <w:szCs w:val="18"/>
          <w:rtl/>
        </w:rPr>
        <w:t>, והכי קיימא לן</w:t>
      </w:r>
      <w:r w:rsidRPr="001D49D4">
        <w:rPr>
          <w:rFonts w:ascii="Arial" w:eastAsia="Calibri" w:hAnsi="Arial" w:cs="Arial"/>
          <w:sz w:val="18"/>
          <w:szCs w:val="18"/>
          <w:vertAlign w:val="superscript"/>
          <w:rtl/>
        </w:rPr>
        <w:footnoteReference w:id="3144"/>
      </w:r>
      <w:r w:rsidRPr="001D49D4">
        <w:rPr>
          <w:rFonts w:ascii="Arial" w:eastAsia="Calibri" w:hAnsi="Arial" w:cs="Arial"/>
          <w:sz w:val="18"/>
          <w:szCs w:val="18"/>
          <w:rtl/>
        </w:rPr>
        <w:t xml:space="preserve"> </w:t>
      </w:r>
      <w:r w:rsidRPr="001D49D4">
        <w:rPr>
          <w:rFonts w:ascii="Arial" w:eastAsia="Calibri" w:hAnsi="Arial" w:cs="Arial"/>
          <w:sz w:val="16"/>
          <w:szCs w:val="16"/>
          <w:rtl/>
        </w:rPr>
        <w:t>(ועיין לקמן סימן מ"ד סעיף א')</w:t>
      </w:r>
      <w:r w:rsidRPr="001D49D4">
        <w:rPr>
          <w:rFonts w:ascii="Arial" w:eastAsia="Calibri" w:hAnsi="Arial" w:cs="Arial"/>
          <w:sz w:val="18"/>
          <w:szCs w:val="18"/>
          <w:rtl/>
        </w:rPr>
        <w:t xml:space="preserve">. </w:t>
      </w:r>
    </w:p>
    <w:p w14:paraId="29D3F848" w14:textId="77777777" w:rsidR="001D49D4" w:rsidRPr="001D49D4" w:rsidRDefault="001D49D4" w:rsidP="0004348D">
      <w:pPr>
        <w:spacing w:before="360" w:after="240"/>
        <w:rPr>
          <w:rFonts w:ascii="Arial" w:eastAsia="Calibri" w:hAnsi="Arial" w:cs="Arial"/>
          <w:rtl/>
        </w:rPr>
      </w:pPr>
    </w:p>
    <w:p w14:paraId="43E8A285" w14:textId="77777777" w:rsidR="001D49D4" w:rsidRPr="001D49D4" w:rsidRDefault="001D49D4" w:rsidP="0004348D">
      <w:pPr>
        <w:keepNext/>
        <w:keepLines/>
        <w:spacing w:before="360" w:after="240"/>
        <w:outlineLvl w:val="1"/>
        <w:rPr>
          <w:rFonts w:ascii="Arial" w:eastAsia="Times New Roman" w:hAnsi="Arial" w:cs="Arial"/>
          <w:bCs/>
          <w:color w:val="548DD4" w:themeColor="text2" w:themeTint="99"/>
          <w:sz w:val="26"/>
          <w:szCs w:val="26"/>
          <w:rtl/>
        </w:rPr>
      </w:pPr>
      <w:bookmarkStart w:id="414" w:name="_Toc24883854"/>
      <w:r w:rsidRPr="001D49D4">
        <w:rPr>
          <w:rFonts w:ascii="Arial" w:eastAsia="Times New Roman" w:hAnsi="Arial" w:cs="Arial"/>
          <w:bCs/>
          <w:color w:val="548DD4" w:themeColor="text2" w:themeTint="99"/>
          <w:sz w:val="26"/>
          <w:szCs w:val="26"/>
          <w:rtl/>
        </w:rPr>
        <w:t>סעיף ב: נכתב בכל לשון.</w:t>
      </w:r>
      <w:bookmarkEnd w:id="414"/>
    </w:p>
    <w:p w14:paraId="4EAFA347" w14:textId="77777777" w:rsidR="001D49D4" w:rsidRPr="001D49D4" w:rsidRDefault="001D49D4" w:rsidP="0004348D">
      <w:pPr>
        <w:spacing w:before="360" w:after="240"/>
        <w:rPr>
          <w:rFonts w:ascii="Arial" w:eastAsia="Calibri" w:hAnsi="Arial" w:cs="Arial"/>
          <w:rtl/>
        </w:rPr>
      </w:pPr>
      <w:r w:rsidRPr="001D49D4">
        <w:rPr>
          <w:rFonts w:ascii="Arial" w:eastAsia="Calibri" w:hAnsi="Arial" w:cs="Arial"/>
          <w:b/>
          <w:bCs/>
          <w:rtl/>
        </w:rPr>
        <w:t xml:space="preserve">גיטין כא ע"ב: </w:t>
      </w:r>
      <w:r w:rsidRPr="001D49D4">
        <w:rPr>
          <w:rFonts w:ascii="Arial" w:eastAsia="Calibri" w:hAnsi="Arial" w:cs="Arial"/>
          <w:u w:val="single"/>
          <w:rtl/>
        </w:rPr>
        <w:t>אמר רב אשי</w:t>
      </w:r>
      <w:r w:rsidRPr="001D49D4">
        <w:rPr>
          <w:rFonts w:ascii="Arial" w:eastAsia="Calibri" w:hAnsi="Arial" w:cs="Arial"/>
          <w:rtl/>
        </w:rPr>
        <w:t>: אמר לי רב הונא בר נתן, הכי אמר אמימר: האי שטרא פרסאה דחתימי עליה סהדי ישראל</w:t>
      </w:r>
      <w:r w:rsidRPr="001D49D4">
        <w:rPr>
          <w:rFonts w:ascii="Arial" w:eastAsia="Calibri" w:hAnsi="Arial" w:cs="Arial"/>
          <w:vertAlign w:val="superscript"/>
          <w:rtl/>
        </w:rPr>
        <w:footnoteReference w:id="3145"/>
      </w:r>
      <w:r w:rsidRPr="001D49D4">
        <w:rPr>
          <w:rFonts w:ascii="Arial" w:eastAsia="Calibri" w:hAnsi="Arial" w:cs="Arial"/>
          <w:rtl/>
        </w:rPr>
        <w:t xml:space="preserve"> מגבינן ביה ממשעבדי. והא לא ידעי למיקרי! בדידעי. והא בעינן כתב שאינו יכול להזדייף וליכא! בדאפיצן. והא בעינן צריך לחזור מענינו של שטר בשיטה אחרונה וליכא! בדמהדר. ואלא מאי קמ"ל? דכל לשון כשר, תנינא! גט שכתבו</w:t>
      </w:r>
      <w:r w:rsidRPr="001D49D4">
        <w:rPr>
          <w:rFonts w:ascii="Arial" w:eastAsia="Calibri" w:hAnsi="Arial" w:cs="Arial"/>
          <w:vertAlign w:val="superscript"/>
          <w:rtl/>
        </w:rPr>
        <w:footnoteReference w:id="3146"/>
      </w:r>
      <w:r w:rsidRPr="001D49D4">
        <w:rPr>
          <w:rFonts w:ascii="Arial" w:eastAsia="Calibri" w:hAnsi="Arial" w:cs="Arial"/>
          <w:rtl/>
        </w:rPr>
        <w:t xml:space="preserve"> עברית ועדיו יונית, יונית ועדיו עברית- כשר! אי מההיא הוה אמינא הני מילי בגיטין</w:t>
      </w:r>
      <w:r w:rsidRPr="001D49D4">
        <w:rPr>
          <w:rFonts w:ascii="Arial" w:eastAsia="Calibri" w:hAnsi="Arial" w:cs="Arial"/>
          <w:vertAlign w:val="superscript"/>
          <w:rtl/>
        </w:rPr>
        <w:footnoteReference w:id="3147"/>
      </w:r>
      <w:r w:rsidRPr="001D49D4">
        <w:rPr>
          <w:rFonts w:ascii="Arial" w:eastAsia="Calibri" w:hAnsi="Arial" w:cs="Arial"/>
          <w:rtl/>
        </w:rPr>
        <w:t xml:space="preserve"> אבל בשאר שטרות לא, קמ"ל. </w:t>
      </w:r>
    </w:p>
    <w:p w14:paraId="4317C843" w14:textId="77777777" w:rsidR="001D49D4" w:rsidRPr="001D49D4" w:rsidRDefault="001D49D4" w:rsidP="0004348D">
      <w:pPr>
        <w:spacing w:before="360" w:after="240"/>
        <w:jc w:val="both"/>
        <w:rPr>
          <w:rFonts w:ascii="Arial" w:eastAsia="Calibri" w:hAnsi="Arial" w:cs="Arial"/>
          <w:rtl/>
        </w:rPr>
      </w:pPr>
      <w:r w:rsidRPr="001D49D4">
        <w:rPr>
          <w:rFonts w:ascii="Arial" w:eastAsia="Calibri" w:hAnsi="Arial" w:cs="Arial"/>
          <w:b/>
          <w:bCs/>
          <w:sz w:val="32"/>
          <w:szCs w:val="28"/>
          <w:u w:val="single"/>
          <w:rtl/>
        </w:rPr>
        <w:t xml:space="preserve">שו"ע: </w:t>
      </w:r>
    </w:p>
    <w:p w14:paraId="026A9AA5" w14:textId="77777777" w:rsidR="001D49D4" w:rsidRPr="001D49D4" w:rsidRDefault="001D49D4" w:rsidP="0004348D">
      <w:pPr>
        <w:spacing w:before="360" w:after="240"/>
        <w:rPr>
          <w:rFonts w:ascii="Arial" w:eastAsia="Calibri" w:hAnsi="Arial" w:cs="Arial"/>
          <w:rtl/>
        </w:rPr>
      </w:pPr>
      <w:r w:rsidRPr="001D49D4">
        <w:rPr>
          <w:rFonts w:ascii="Arial" w:eastAsia="Calibri" w:hAnsi="Arial" w:cs="Arial"/>
          <w:rtl/>
        </w:rPr>
        <w:t xml:space="preserve">נכתב בכל לשון וכל כתב, ובלבד שידקדק הסופר בכתב ההוא שלא יהא בו שום שינוי. </w:t>
      </w:r>
    </w:p>
    <w:p w14:paraId="4EBB596C" w14:textId="77777777" w:rsidR="001D49D4" w:rsidRPr="001D49D4" w:rsidRDefault="001D49D4" w:rsidP="0004348D">
      <w:pPr>
        <w:spacing w:before="360" w:after="240"/>
        <w:rPr>
          <w:rFonts w:ascii="Arial" w:eastAsia="Calibri" w:hAnsi="Arial" w:cs="Arial"/>
          <w:rtl/>
        </w:rPr>
      </w:pPr>
    </w:p>
    <w:p w14:paraId="046267E5" w14:textId="77777777" w:rsidR="001D49D4" w:rsidRPr="001D49D4" w:rsidRDefault="001D49D4" w:rsidP="0004348D">
      <w:pPr>
        <w:keepNext/>
        <w:keepLines/>
        <w:spacing w:before="360" w:after="240"/>
        <w:outlineLvl w:val="1"/>
        <w:rPr>
          <w:rFonts w:ascii="Arial" w:eastAsia="Times New Roman" w:hAnsi="Arial" w:cs="Arial"/>
          <w:bCs/>
          <w:color w:val="548DD4" w:themeColor="text2" w:themeTint="99"/>
          <w:sz w:val="26"/>
          <w:szCs w:val="26"/>
          <w:rtl/>
        </w:rPr>
      </w:pPr>
      <w:bookmarkStart w:id="415" w:name="_Toc24883855"/>
      <w:r w:rsidRPr="001D49D4">
        <w:rPr>
          <w:rFonts w:ascii="Arial" w:eastAsia="Times New Roman" w:hAnsi="Arial" w:cs="Arial"/>
          <w:bCs/>
          <w:color w:val="548DD4" w:themeColor="text2" w:themeTint="99"/>
          <w:sz w:val="26"/>
          <w:szCs w:val="26"/>
          <w:rtl/>
        </w:rPr>
        <w:t>סעיף ג: התבוננות בשטר, וכתיבתו בדקדוק.</w:t>
      </w:r>
      <w:bookmarkEnd w:id="415"/>
    </w:p>
    <w:p w14:paraId="4E3876A3" w14:textId="77777777" w:rsidR="001D49D4" w:rsidRPr="001D49D4" w:rsidRDefault="001D49D4" w:rsidP="0004348D">
      <w:pPr>
        <w:spacing w:before="360" w:after="240"/>
        <w:rPr>
          <w:rFonts w:ascii="Arial" w:eastAsia="Calibri" w:hAnsi="Arial" w:cs="Arial"/>
          <w:rtl/>
        </w:rPr>
      </w:pPr>
      <w:r w:rsidRPr="001D49D4">
        <w:rPr>
          <w:rFonts w:ascii="Arial" w:eastAsia="Calibri" w:hAnsi="Arial" w:cs="Arial"/>
          <w:b/>
          <w:bCs/>
          <w:rtl/>
        </w:rPr>
        <w:t xml:space="preserve">בבא בתרא קסז ע"א: </w:t>
      </w:r>
      <w:r w:rsidRPr="001D49D4">
        <w:rPr>
          <w:rFonts w:ascii="Arial" w:eastAsia="Calibri" w:hAnsi="Arial" w:cs="Arial"/>
          <w:rtl/>
        </w:rPr>
        <w:t>ההוא בזבינא</w:t>
      </w:r>
      <w:r w:rsidRPr="001D49D4">
        <w:rPr>
          <w:rFonts w:ascii="Arial" w:eastAsia="Calibri" w:hAnsi="Arial" w:cs="Arial"/>
          <w:vertAlign w:val="superscript"/>
          <w:rtl/>
        </w:rPr>
        <w:footnoteReference w:id="3148"/>
      </w:r>
      <w:r w:rsidRPr="001D49D4">
        <w:rPr>
          <w:rFonts w:ascii="Arial" w:eastAsia="Calibri" w:hAnsi="Arial" w:cs="Arial"/>
          <w:rtl/>
        </w:rPr>
        <w:t xml:space="preserve"> דאתא לקמיה דאביי, אמר ליה: ניחזי לי מר חתימות ידיה, דכי אתו רבנן</w:t>
      </w:r>
      <w:r w:rsidRPr="001D49D4">
        <w:rPr>
          <w:rFonts w:ascii="Arial" w:eastAsia="Calibri" w:hAnsi="Arial" w:cs="Arial"/>
          <w:vertAlign w:val="superscript"/>
          <w:rtl/>
        </w:rPr>
        <w:footnoteReference w:id="3149"/>
      </w:r>
      <w:r w:rsidRPr="001D49D4">
        <w:rPr>
          <w:rFonts w:ascii="Arial" w:eastAsia="Calibri" w:hAnsi="Arial" w:cs="Arial"/>
          <w:rtl/>
        </w:rPr>
        <w:t xml:space="preserve"> מחוו לי מעברנא להו בלא מכסא. אחוי ליה בריש מגילתא</w:t>
      </w:r>
      <w:r w:rsidRPr="001D49D4">
        <w:rPr>
          <w:rFonts w:ascii="Arial" w:eastAsia="Calibri" w:hAnsi="Arial" w:cs="Arial"/>
          <w:vertAlign w:val="superscript"/>
          <w:rtl/>
        </w:rPr>
        <w:footnoteReference w:id="3150"/>
      </w:r>
      <w:r w:rsidRPr="001D49D4">
        <w:rPr>
          <w:rFonts w:ascii="Arial" w:eastAsia="Calibri" w:hAnsi="Arial" w:cs="Arial"/>
          <w:rtl/>
        </w:rPr>
        <w:t>, הוה קא נגיד ביה</w:t>
      </w:r>
      <w:r w:rsidRPr="001D49D4">
        <w:rPr>
          <w:rFonts w:ascii="Arial" w:eastAsia="Calibri" w:hAnsi="Arial" w:cs="Arial"/>
          <w:vertAlign w:val="superscript"/>
          <w:rtl/>
        </w:rPr>
        <w:footnoteReference w:id="3151"/>
      </w:r>
      <w:r w:rsidRPr="001D49D4">
        <w:rPr>
          <w:rFonts w:ascii="Arial" w:eastAsia="Calibri" w:hAnsi="Arial" w:cs="Arial"/>
          <w:rtl/>
        </w:rPr>
        <w:t>, א"ל: כבר קדמוך רבנן</w:t>
      </w:r>
      <w:r w:rsidRPr="001D49D4">
        <w:rPr>
          <w:rFonts w:ascii="Arial" w:eastAsia="Calibri" w:hAnsi="Arial" w:cs="Arial"/>
          <w:vertAlign w:val="superscript"/>
          <w:rtl/>
        </w:rPr>
        <w:footnoteReference w:id="3152"/>
      </w:r>
      <w:r w:rsidRPr="001D49D4">
        <w:rPr>
          <w:rFonts w:ascii="Arial" w:eastAsia="Calibri" w:hAnsi="Arial" w:cs="Arial"/>
          <w:rtl/>
        </w:rPr>
        <w:t xml:space="preserve">. </w:t>
      </w:r>
      <w:r w:rsidRPr="001D49D4">
        <w:rPr>
          <w:rFonts w:ascii="Arial" w:eastAsia="Calibri" w:hAnsi="Arial" w:cs="Arial"/>
          <w:u w:val="single"/>
          <w:rtl/>
        </w:rPr>
        <w:t>אמר אביי:</w:t>
      </w:r>
      <w:r w:rsidRPr="001D49D4">
        <w:rPr>
          <w:rFonts w:ascii="Arial" w:eastAsia="Calibri" w:hAnsi="Arial" w:cs="Arial"/>
          <w:rtl/>
        </w:rPr>
        <w:t xml:space="preserve"> מתלת ועד עשר לא לכתוב בסוף שיטה</w:t>
      </w:r>
      <w:r w:rsidRPr="001D49D4">
        <w:rPr>
          <w:rFonts w:ascii="Arial" w:eastAsia="Calibri" w:hAnsi="Arial" w:cs="Arial"/>
          <w:vertAlign w:val="superscript"/>
          <w:rtl/>
        </w:rPr>
        <w:footnoteReference w:id="3153"/>
      </w:r>
      <w:r w:rsidRPr="001D49D4">
        <w:rPr>
          <w:rFonts w:ascii="Arial" w:eastAsia="Calibri" w:hAnsi="Arial" w:cs="Arial"/>
          <w:rtl/>
        </w:rPr>
        <w:t>, דלמא מזייף וכתב, ואי איתרמי ליה</w:t>
      </w:r>
      <w:r w:rsidRPr="001D49D4">
        <w:rPr>
          <w:rFonts w:ascii="Arial" w:eastAsia="Calibri" w:hAnsi="Arial" w:cs="Arial"/>
          <w:vertAlign w:val="superscript"/>
          <w:rtl/>
        </w:rPr>
        <w:footnoteReference w:id="3154"/>
      </w:r>
      <w:r w:rsidRPr="001D49D4">
        <w:rPr>
          <w:rFonts w:ascii="Arial" w:eastAsia="Calibri" w:hAnsi="Arial" w:cs="Arial"/>
          <w:rtl/>
        </w:rPr>
        <w:t xml:space="preserve"> - ניהדריה</w:t>
      </w:r>
      <w:r w:rsidRPr="001D49D4">
        <w:rPr>
          <w:rFonts w:ascii="Arial" w:eastAsia="Calibri" w:hAnsi="Arial" w:cs="Arial"/>
          <w:vertAlign w:val="superscript"/>
          <w:rtl/>
        </w:rPr>
        <w:footnoteReference w:id="3155"/>
      </w:r>
      <w:r w:rsidRPr="001D49D4">
        <w:rPr>
          <w:rFonts w:ascii="Arial" w:eastAsia="Calibri" w:hAnsi="Arial" w:cs="Arial"/>
          <w:rtl/>
        </w:rPr>
        <w:t xml:space="preserve"> לדבוריה תרין תלתא זימני, אי אפשר דלא מיתרמי ליה באמצע שיטה. ההוא דהוה כתיב ביה תילתא בפרדיסא</w:t>
      </w:r>
      <w:r w:rsidRPr="001D49D4">
        <w:rPr>
          <w:rFonts w:ascii="Arial" w:eastAsia="Calibri" w:hAnsi="Arial" w:cs="Arial"/>
          <w:vertAlign w:val="superscript"/>
          <w:rtl/>
        </w:rPr>
        <w:footnoteReference w:id="3156"/>
      </w:r>
      <w:r w:rsidRPr="001D49D4">
        <w:rPr>
          <w:rFonts w:ascii="Arial" w:eastAsia="Calibri" w:hAnsi="Arial" w:cs="Arial"/>
          <w:rtl/>
        </w:rPr>
        <w:t xml:space="preserve">, אזל מחקיה לגגיה דבי"ת וכרעיה ושויה ופרדיסא, אתא לקמיה דאביי, אמר ליה: מאי טעמא רויח ליה עלמא להאי וי"ו? כפתיה ואודי. ההוא </w:t>
      </w:r>
      <w:r w:rsidRPr="001D49D4">
        <w:rPr>
          <w:rFonts w:ascii="Arial" w:eastAsia="Calibri" w:hAnsi="Arial" w:cs="Arial"/>
          <w:rtl/>
        </w:rPr>
        <w:lastRenderedPageBreak/>
        <w:t>דהוה כתב ביה מנת ראובן ושמעון אחי</w:t>
      </w:r>
      <w:r w:rsidRPr="001D49D4">
        <w:rPr>
          <w:rFonts w:ascii="Arial" w:eastAsia="Calibri" w:hAnsi="Arial" w:cs="Arial"/>
          <w:vertAlign w:val="superscript"/>
          <w:rtl/>
        </w:rPr>
        <w:footnoteReference w:id="3157"/>
      </w:r>
      <w:r w:rsidRPr="001D49D4">
        <w:rPr>
          <w:rFonts w:ascii="Arial" w:eastAsia="Calibri" w:hAnsi="Arial" w:cs="Arial"/>
          <w:rtl/>
        </w:rPr>
        <w:t>, הוה להו אחא דשמיה אחי, אזל כתב ביה וי"ו ושויה ואחי, אתא לקמיה דאביי, אמר ליה: מאי טעמא דחיק ליה עלמא להאי וי"ו כולי האי? כפתיה ואודי.</w:t>
      </w:r>
    </w:p>
    <w:p w14:paraId="672C18C3" w14:textId="77777777" w:rsidR="001D49D4" w:rsidRPr="001D49D4" w:rsidRDefault="001D49D4" w:rsidP="0004348D">
      <w:pPr>
        <w:spacing w:before="360" w:after="240"/>
        <w:rPr>
          <w:rFonts w:ascii="Arial" w:eastAsia="Calibri" w:hAnsi="Arial" w:cs="Arial"/>
          <w:rtl/>
        </w:rPr>
      </w:pPr>
      <w:r w:rsidRPr="001D49D4">
        <w:rPr>
          <w:rFonts w:ascii="Arial" w:eastAsia="Calibri" w:hAnsi="Arial" w:cs="Arial"/>
          <w:b/>
          <w:bCs/>
          <w:rtl/>
        </w:rPr>
        <w:t xml:space="preserve">ירושלמי </w:t>
      </w:r>
      <w:r w:rsidRPr="001D49D4">
        <w:rPr>
          <w:rFonts w:ascii="Arial" w:eastAsia="Calibri" w:hAnsi="Arial" w:cs="Arial"/>
          <w:b/>
          <w:bCs/>
          <w:sz w:val="16"/>
          <w:szCs w:val="16"/>
          <w:rtl/>
        </w:rPr>
        <w:t xml:space="preserve">(וילנא) </w:t>
      </w:r>
      <w:r w:rsidRPr="001D49D4">
        <w:rPr>
          <w:rFonts w:ascii="Arial" w:eastAsia="Calibri" w:hAnsi="Arial" w:cs="Arial"/>
          <w:b/>
          <w:bCs/>
          <w:rtl/>
        </w:rPr>
        <w:t>בבא בתרא פ"י ה"א:</w:t>
      </w:r>
      <w:r w:rsidRPr="001D49D4">
        <w:rPr>
          <w:rFonts w:ascii="Arial" w:eastAsia="Calibri" w:hAnsi="Arial" w:cs="Arial"/>
          <w:rtl/>
        </w:rPr>
        <w:t xml:space="preserve"> </w:t>
      </w:r>
      <w:r w:rsidRPr="001D49D4">
        <w:rPr>
          <w:rFonts w:ascii="Arial" w:eastAsia="Calibri" w:hAnsi="Arial" w:cs="Arial"/>
          <w:u w:val="single"/>
          <w:rtl/>
        </w:rPr>
        <w:t>ר' אבהו בשם ר' יצחק בן חקולא</w:t>
      </w:r>
      <w:r w:rsidRPr="001D49D4">
        <w:rPr>
          <w:rFonts w:ascii="Arial" w:eastAsia="Calibri" w:hAnsi="Arial" w:cs="Arial"/>
          <w:rtl/>
        </w:rPr>
        <w:t>: כל מה שאת יכול לתלות במחק תלה.</w:t>
      </w:r>
    </w:p>
    <w:p w14:paraId="21BEF0F8" w14:textId="77777777" w:rsidR="001D49D4" w:rsidRPr="001D49D4" w:rsidRDefault="001D49D4" w:rsidP="0004348D">
      <w:pPr>
        <w:spacing w:before="360" w:after="240"/>
        <w:rPr>
          <w:rFonts w:ascii="Arial" w:eastAsia="Calibri" w:hAnsi="Arial" w:cs="Arial"/>
          <w:u w:val="single"/>
          <w:rtl/>
        </w:rPr>
      </w:pPr>
      <w:r w:rsidRPr="001D49D4">
        <w:rPr>
          <w:rFonts w:ascii="Arial" w:eastAsia="Calibri" w:hAnsi="Arial" w:cs="Arial"/>
          <w:u w:val="single"/>
          <w:rtl/>
        </w:rPr>
        <w:t>שטר שנכתב כהלכתו אבל יש שם כמה אותיות רווחות או דחוקות שאינן מקוימות:</w:t>
      </w:r>
      <w:r w:rsidRPr="001D49D4">
        <w:rPr>
          <w:rFonts w:ascii="Arial" w:eastAsia="Calibri" w:hAnsi="Arial" w:cs="Arial"/>
          <w:sz w:val="16"/>
          <w:szCs w:val="16"/>
          <w:rtl/>
        </w:rPr>
        <w:t xml:space="preserve">  (ב"י)</w:t>
      </w:r>
    </w:p>
    <w:p w14:paraId="352F24CC" w14:textId="77777777" w:rsidR="001D49D4" w:rsidRPr="001D49D4" w:rsidRDefault="001D49D4" w:rsidP="0004348D">
      <w:pPr>
        <w:numPr>
          <w:ilvl w:val="0"/>
          <w:numId w:val="219"/>
        </w:numPr>
        <w:spacing w:before="360" w:after="240"/>
        <w:contextualSpacing/>
        <w:rPr>
          <w:rFonts w:ascii="Arial" w:hAnsi="Arial"/>
        </w:rPr>
      </w:pPr>
      <w:r w:rsidRPr="001D49D4">
        <w:rPr>
          <w:rFonts w:ascii="Arial" w:hAnsi="Arial"/>
          <w:rtl/>
        </w:rPr>
        <w:t xml:space="preserve">נמוק"י </w:t>
      </w:r>
      <w:r w:rsidRPr="001D49D4">
        <w:rPr>
          <w:rFonts w:ascii="Arial" w:hAnsi="Arial"/>
          <w:sz w:val="16"/>
          <w:szCs w:val="16"/>
          <w:rtl/>
        </w:rPr>
        <w:t>(עז. ד"ה אמר אביי)</w:t>
      </w:r>
      <w:r w:rsidRPr="001D49D4">
        <w:rPr>
          <w:rFonts w:ascii="Arial" w:hAnsi="Arial"/>
          <w:rtl/>
        </w:rPr>
        <w:t>- אותיות רווחות או דחוקות שאינן מקוימות כשרות, מיהו מוטב לקיימם כדי שלא יהא נראה כהערמה ויצטרכו בית דין לכוף עליהם.</w:t>
      </w:r>
    </w:p>
    <w:p w14:paraId="6CA3839E" w14:textId="77777777" w:rsidR="001D49D4" w:rsidRPr="001D49D4" w:rsidRDefault="001D49D4" w:rsidP="0004348D">
      <w:pPr>
        <w:spacing w:before="360" w:after="240"/>
        <w:rPr>
          <w:rFonts w:ascii="Arial" w:eastAsia="Calibri" w:hAnsi="Arial" w:cs="Arial"/>
          <w:u w:val="single"/>
          <w:rtl/>
        </w:rPr>
      </w:pPr>
      <w:r w:rsidRPr="001D49D4">
        <w:rPr>
          <w:rFonts w:ascii="Arial" w:eastAsia="Calibri" w:hAnsi="Arial" w:cs="Arial"/>
          <w:u w:val="single"/>
          <w:rtl/>
        </w:rPr>
        <w:t>שטר שהדיין חושד שנעשה בו זיוף וכופת את בעל השטר שיודה- מה הדין אם הוא לא מודה:</w:t>
      </w:r>
    </w:p>
    <w:p w14:paraId="57FD389C" w14:textId="77777777" w:rsidR="001D49D4" w:rsidRPr="001D49D4" w:rsidRDefault="001D49D4" w:rsidP="0004348D">
      <w:pPr>
        <w:numPr>
          <w:ilvl w:val="0"/>
          <w:numId w:val="219"/>
        </w:numPr>
        <w:spacing w:before="360" w:after="240"/>
        <w:contextualSpacing/>
        <w:rPr>
          <w:rFonts w:ascii="Arial" w:hAnsi="Arial"/>
          <w:rtl/>
        </w:rPr>
      </w:pPr>
      <w:r w:rsidRPr="001D49D4">
        <w:rPr>
          <w:rFonts w:ascii="Arial" w:hAnsi="Arial"/>
          <w:rtl/>
        </w:rPr>
        <w:t>נמוק"י</w:t>
      </w:r>
      <w:r w:rsidRPr="001D49D4">
        <w:rPr>
          <w:rFonts w:ascii="Arial" w:hAnsi="Arial"/>
          <w:sz w:val="16"/>
          <w:szCs w:val="16"/>
          <w:rtl/>
        </w:rPr>
        <w:t xml:space="preserve"> (שם)</w:t>
      </w:r>
      <w:r w:rsidRPr="001D49D4">
        <w:rPr>
          <w:rFonts w:ascii="Arial" w:hAnsi="Arial"/>
          <w:rtl/>
        </w:rPr>
        <w:t xml:space="preserve">- לא פסלינן שטרא, ומיירי שלא היה המחק ניכר, דאי לא- כל מה שאתה יכול לתלות במחק תלה. </w:t>
      </w:r>
    </w:p>
    <w:p w14:paraId="2871AE63" w14:textId="77777777" w:rsidR="001D49D4" w:rsidRPr="001D49D4" w:rsidRDefault="001D49D4" w:rsidP="0004348D">
      <w:pPr>
        <w:spacing w:before="360" w:after="240"/>
        <w:rPr>
          <w:rFonts w:ascii="Arial" w:eastAsia="Calibri" w:hAnsi="Arial" w:cs="Arial"/>
          <w:u w:val="single"/>
        </w:rPr>
      </w:pPr>
      <w:r w:rsidRPr="001D49D4">
        <w:rPr>
          <w:rFonts w:ascii="Arial" w:eastAsia="Calibri" w:hAnsi="Arial" w:cs="Arial"/>
          <w:u w:val="single"/>
          <w:rtl/>
        </w:rPr>
        <w:t>עשיית גליונות רחבות בשטרות:</w:t>
      </w:r>
    </w:p>
    <w:p w14:paraId="2C3BCD27" w14:textId="77777777" w:rsidR="001D49D4" w:rsidRPr="001D49D4" w:rsidRDefault="001D49D4" w:rsidP="0004348D">
      <w:pPr>
        <w:numPr>
          <w:ilvl w:val="0"/>
          <w:numId w:val="219"/>
        </w:numPr>
        <w:spacing w:before="360" w:after="240"/>
        <w:contextualSpacing/>
        <w:rPr>
          <w:rFonts w:ascii="Arial" w:hAnsi="Arial"/>
          <w:rtl/>
        </w:rPr>
      </w:pPr>
      <w:r w:rsidRPr="001D49D4">
        <w:rPr>
          <w:rFonts w:ascii="Arial" w:hAnsi="Arial"/>
          <w:rtl/>
        </w:rPr>
        <w:t>מהרי"ל</w:t>
      </w:r>
      <w:r w:rsidRPr="001D49D4">
        <w:rPr>
          <w:rFonts w:ascii="Arial" w:hAnsi="Arial"/>
          <w:vertAlign w:val="superscript"/>
          <w:rtl/>
        </w:rPr>
        <w:footnoteReference w:id="3158"/>
      </w:r>
      <w:r w:rsidRPr="001D49D4">
        <w:rPr>
          <w:rFonts w:ascii="Arial" w:hAnsi="Arial"/>
          <w:rtl/>
        </w:rPr>
        <w:t>- טוב שלא לעשות בשטרות גליונות רחבות שלא יזייפו ויכתבו שם דברים אחרים.</w:t>
      </w:r>
    </w:p>
    <w:p w14:paraId="0D3A2C0F" w14:textId="77777777" w:rsidR="001D49D4" w:rsidRPr="001D49D4" w:rsidRDefault="001D49D4" w:rsidP="0004348D">
      <w:pPr>
        <w:spacing w:before="360" w:after="240"/>
        <w:rPr>
          <w:rFonts w:ascii="Arial" w:eastAsia="Calibri" w:hAnsi="Arial" w:cs="Arial"/>
          <w:rtl/>
        </w:rPr>
      </w:pPr>
      <w:r w:rsidRPr="001D49D4">
        <w:rPr>
          <w:rFonts w:ascii="Arial" w:eastAsia="Calibri" w:hAnsi="Arial" w:cs="Arial"/>
          <w:u w:val="single"/>
          <w:rtl/>
        </w:rPr>
        <w:t>האם הדיין צריך לטעון על זיוף אפשרי שרואה- גם כשהנתבע לא טוען</w:t>
      </w:r>
      <w:r w:rsidRPr="001D49D4">
        <w:rPr>
          <w:rFonts w:ascii="Arial" w:eastAsia="Calibri" w:hAnsi="Arial" w:cs="Arial"/>
          <w:u w:val="single"/>
          <w:vertAlign w:val="superscript"/>
          <w:rtl/>
        </w:rPr>
        <w:footnoteReference w:id="3159"/>
      </w:r>
      <w:r w:rsidRPr="001D49D4">
        <w:rPr>
          <w:rFonts w:ascii="Arial" w:eastAsia="Calibri" w:hAnsi="Arial" w:cs="Arial"/>
          <w:u w:val="single"/>
          <w:rtl/>
        </w:rPr>
        <w:t>:</w:t>
      </w:r>
      <w:r w:rsidRPr="001D49D4">
        <w:rPr>
          <w:rFonts w:ascii="Arial" w:eastAsia="Calibri" w:hAnsi="Arial" w:cs="Arial"/>
          <w:rtl/>
        </w:rPr>
        <w:t xml:space="preserve"> </w:t>
      </w:r>
    </w:p>
    <w:p w14:paraId="0BB8FB97" w14:textId="77777777" w:rsidR="001D49D4" w:rsidRPr="001D49D4" w:rsidRDefault="001D49D4" w:rsidP="0004348D">
      <w:pPr>
        <w:numPr>
          <w:ilvl w:val="0"/>
          <w:numId w:val="220"/>
        </w:numPr>
        <w:spacing w:before="360" w:after="240"/>
        <w:contextualSpacing/>
        <w:rPr>
          <w:rFonts w:ascii="Arial" w:hAnsi="Arial"/>
          <w:rtl/>
        </w:rPr>
      </w:pPr>
      <w:r w:rsidRPr="001D49D4">
        <w:rPr>
          <w:rFonts w:ascii="Arial" w:hAnsi="Arial"/>
          <w:rtl/>
        </w:rPr>
        <w:t xml:space="preserve">(טור </w:t>
      </w:r>
      <w:r w:rsidRPr="001D49D4">
        <w:rPr>
          <w:rFonts w:ascii="Arial" w:hAnsi="Arial"/>
          <w:sz w:val="16"/>
          <w:szCs w:val="16"/>
          <w:rtl/>
        </w:rPr>
        <w:t>להב' הסמ"ע</w:t>
      </w:r>
      <w:r w:rsidRPr="001D49D4">
        <w:rPr>
          <w:rFonts w:ascii="Arial" w:hAnsi="Arial"/>
          <w:sz w:val="16"/>
          <w:szCs w:val="16"/>
          <w:vertAlign w:val="superscript"/>
          <w:rtl/>
        </w:rPr>
        <w:footnoteReference w:id="3160"/>
      </w:r>
      <w:r w:rsidRPr="001D49D4">
        <w:rPr>
          <w:rFonts w:ascii="Arial" w:hAnsi="Arial"/>
          <w:sz w:val="16"/>
          <w:szCs w:val="16"/>
          <w:rtl/>
        </w:rPr>
        <w:t xml:space="preserve"> והט"ז</w:t>
      </w:r>
      <w:r w:rsidRPr="001D49D4">
        <w:rPr>
          <w:rFonts w:ascii="Arial" w:hAnsi="Arial"/>
          <w:rtl/>
        </w:rPr>
        <w:t xml:space="preserve">)- אע"ג דלא מיתרמי האי ריעותא כלל לטענה דידיה טענינן ליה. </w:t>
      </w:r>
      <w:r w:rsidRPr="001D49D4">
        <w:rPr>
          <w:rFonts w:ascii="Arial" w:hAnsi="Arial"/>
          <w:color w:val="E36C0A" w:themeColor="accent6" w:themeShade="BF"/>
          <w:rtl/>
        </w:rPr>
        <w:t>(וכן סתם בשו"ע)</w:t>
      </w:r>
    </w:p>
    <w:p w14:paraId="529895EA" w14:textId="77777777" w:rsidR="001D49D4" w:rsidRPr="001D49D4" w:rsidRDefault="001D49D4" w:rsidP="0004348D">
      <w:pPr>
        <w:numPr>
          <w:ilvl w:val="0"/>
          <w:numId w:val="220"/>
        </w:numPr>
        <w:spacing w:before="360" w:after="240"/>
        <w:contextualSpacing/>
        <w:rPr>
          <w:rFonts w:ascii="Arial" w:hAnsi="Arial"/>
          <w:rtl/>
        </w:rPr>
      </w:pPr>
      <w:r w:rsidRPr="001D49D4">
        <w:rPr>
          <w:rFonts w:ascii="Arial" w:hAnsi="Arial"/>
          <w:rtl/>
        </w:rPr>
        <w:t xml:space="preserve">(רמ"ה </w:t>
      </w:r>
      <w:r w:rsidRPr="001D49D4">
        <w:rPr>
          <w:rFonts w:ascii="Arial" w:hAnsi="Arial"/>
          <w:sz w:val="16"/>
          <w:szCs w:val="16"/>
          <w:rtl/>
        </w:rPr>
        <w:t>להב' הסמ"ע והט"ז</w:t>
      </w:r>
      <w:r w:rsidRPr="001D49D4">
        <w:rPr>
          <w:rFonts w:ascii="Arial" w:hAnsi="Arial"/>
          <w:rtl/>
        </w:rPr>
        <w:t>)- כל שטוען איזה טענה והריעותא שייך לאותו דבר טענינן ליה</w:t>
      </w:r>
      <w:r w:rsidRPr="001D49D4">
        <w:rPr>
          <w:rFonts w:ascii="Arial" w:hAnsi="Arial"/>
          <w:vertAlign w:val="superscript"/>
          <w:rtl/>
        </w:rPr>
        <w:footnoteReference w:id="3161"/>
      </w:r>
      <w:r w:rsidRPr="001D49D4">
        <w:rPr>
          <w:rFonts w:ascii="Arial" w:hAnsi="Arial"/>
          <w:rtl/>
        </w:rPr>
        <w:t xml:space="preserve">, אבל אם לא שייך לאותה ריעותא כלל לא טענינן ליה. </w:t>
      </w:r>
    </w:p>
    <w:p w14:paraId="42BC057A" w14:textId="77777777" w:rsidR="001D49D4" w:rsidRPr="001D49D4" w:rsidRDefault="001D49D4" w:rsidP="0004348D">
      <w:pPr>
        <w:numPr>
          <w:ilvl w:val="0"/>
          <w:numId w:val="220"/>
        </w:numPr>
        <w:spacing w:before="360" w:after="240"/>
        <w:contextualSpacing/>
        <w:rPr>
          <w:rFonts w:ascii="Arial" w:hAnsi="Arial"/>
        </w:rPr>
      </w:pPr>
      <w:r w:rsidRPr="001D49D4">
        <w:rPr>
          <w:rFonts w:ascii="Arial" w:hAnsi="Arial"/>
          <w:rtl/>
        </w:rPr>
        <w:t xml:space="preserve">(רמ"ה וטור </w:t>
      </w:r>
      <w:r w:rsidRPr="001D49D4">
        <w:rPr>
          <w:rFonts w:ascii="Arial" w:hAnsi="Arial"/>
          <w:sz w:val="16"/>
          <w:szCs w:val="16"/>
          <w:rtl/>
        </w:rPr>
        <w:t>להב' הש"ך</w:t>
      </w:r>
      <w:r w:rsidRPr="001D49D4">
        <w:rPr>
          <w:rFonts w:ascii="Arial" w:hAnsi="Arial"/>
          <w:sz w:val="14"/>
          <w:szCs w:val="14"/>
          <w:rtl/>
        </w:rPr>
        <w:t xml:space="preserve"> [סק"ד]</w:t>
      </w:r>
      <w:r w:rsidRPr="001D49D4">
        <w:rPr>
          <w:rFonts w:ascii="Arial" w:hAnsi="Arial"/>
          <w:rtl/>
        </w:rPr>
        <w:t>)- אם הנתבע טוען שהתובע שינה את השטר והצביע על ריעותא מסויימת בשטר, אין הדיין צריך לטעון על ריעותא אחרת אם הוא מוצא כזו</w:t>
      </w:r>
      <w:r w:rsidRPr="001D49D4">
        <w:rPr>
          <w:rFonts w:ascii="Arial" w:hAnsi="Arial"/>
          <w:sz w:val="16"/>
          <w:szCs w:val="16"/>
          <w:rtl/>
        </w:rPr>
        <w:t xml:space="preserve"> (ובמקרה זה דיבר הרמ"ה)</w:t>
      </w:r>
      <w:r w:rsidRPr="001D49D4">
        <w:rPr>
          <w:rFonts w:ascii="Arial" w:hAnsi="Arial"/>
          <w:rtl/>
        </w:rPr>
        <w:t xml:space="preserve">, אבל אם הנתבע אומר שאינו חייב כלום בשטר זה </w:t>
      </w:r>
      <w:r w:rsidRPr="001D49D4">
        <w:rPr>
          <w:rFonts w:ascii="Arial" w:hAnsi="Arial"/>
          <w:sz w:val="16"/>
          <w:szCs w:val="16"/>
          <w:rtl/>
        </w:rPr>
        <w:t>(להד"מ וכדו')</w:t>
      </w:r>
      <w:r w:rsidRPr="001D49D4">
        <w:rPr>
          <w:rFonts w:ascii="Arial" w:hAnsi="Arial"/>
          <w:rtl/>
        </w:rPr>
        <w:t xml:space="preserve">- אז אע"ג דלא טעין שנעשה זיוף פלוני ופלוני, הדיין צריך לטעון בשבילו שנעשה אותו הזיוף </w:t>
      </w:r>
      <w:r w:rsidRPr="001D49D4">
        <w:rPr>
          <w:rFonts w:ascii="Arial" w:hAnsi="Arial"/>
          <w:sz w:val="16"/>
          <w:szCs w:val="16"/>
          <w:rtl/>
        </w:rPr>
        <w:t>(ובמקרה זה דיבר הטור)</w:t>
      </w:r>
      <w:r w:rsidRPr="001D49D4">
        <w:rPr>
          <w:rFonts w:ascii="Arial" w:hAnsi="Arial"/>
          <w:rtl/>
        </w:rPr>
        <w:t>. (וכ"פ הש"ך)</w:t>
      </w:r>
    </w:p>
    <w:p w14:paraId="422B007F" w14:textId="77777777" w:rsidR="001D49D4" w:rsidRPr="001D49D4" w:rsidRDefault="001D49D4" w:rsidP="0004348D">
      <w:pPr>
        <w:spacing w:before="360" w:after="240"/>
        <w:jc w:val="both"/>
        <w:rPr>
          <w:rFonts w:ascii="Arial" w:eastAsia="Calibri" w:hAnsi="Arial" w:cs="Arial"/>
        </w:rPr>
      </w:pPr>
      <w:r w:rsidRPr="001D49D4">
        <w:rPr>
          <w:rFonts w:ascii="Arial" w:eastAsia="Calibri" w:hAnsi="Arial" w:cs="Arial"/>
          <w:b/>
          <w:bCs/>
          <w:sz w:val="32"/>
          <w:szCs w:val="28"/>
          <w:u w:val="single"/>
          <w:rtl/>
        </w:rPr>
        <w:t xml:space="preserve">שו"ע: </w:t>
      </w:r>
    </w:p>
    <w:p w14:paraId="06BEE68D" w14:textId="77777777" w:rsidR="001D49D4" w:rsidRPr="001D49D4" w:rsidRDefault="001D49D4" w:rsidP="0004348D">
      <w:pPr>
        <w:spacing w:before="360" w:after="240"/>
        <w:rPr>
          <w:rFonts w:ascii="Arial" w:eastAsia="Calibri" w:hAnsi="Arial" w:cs="Arial"/>
          <w:rtl/>
        </w:rPr>
      </w:pPr>
      <w:r w:rsidRPr="001D49D4">
        <w:rPr>
          <w:rFonts w:ascii="Arial" w:eastAsia="Calibri" w:hAnsi="Arial" w:cs="Arial"/>
          <w:rtl/>
        </w:rPr>
        <w:t>מתיקון שטרות להתבונן בואוי"ן וזייני"ן שלו שלא יהיו דחוקים בין התיבות שמא זייף והוסיף וא"ו או זיי"ן, ולא יהיו מרוחקים שמא מחק אות אחת כגון ה"א או חי"ת והניח רגלה אחת במקום וי"ו, וכל כיוצא בו מדקדקים בו בכל לשון ובכל כתב, לכן צריך הסופר ליזהר בכתיבת השטר שיהיו אותיותיו דומות זו לזו, ויהיה הכתב מיושר ושוה בכל דבריו, שלא ירחיק האותיות זו מזו יותר מדאי, ואל ידחוק הכתב יותר מדאי, ואל ידחוק במקום אחד</w:t>
      </w:r>
      <w:r w:rsidRPr="001D49D4">
        <w:rPr>
          <w:rFonts w:ascii="Arial" w:eastAsia="Calibri" w:hAnsi="Arial" w:cs="Arial"/>
          <w:vertAlign w:val="superscript"/>
          <w:rtl/>
        </w:rPr>
        <w:footnoteReference w:id="3162"/>
      </w:r>
      <w:r w:rsidRPr="001D49D4">
        <w:rPr>
          <w:rFonts w:ascii="Arial" w:eastAsia="Calibri" w:hAnsi="Arial" w:cs="Arial"/>
          <w:rtl/>
        </w:rPr>
        <w:t xml:space="preserve"> וירחיק במקום אחר. לפיכך אין העדים רשאין לחתום עד שידקדקו היטב בכל אותיותיו, ולפיכך כשיבא השטר לפני הדיין צריך לעיין בכל אותיותיו ולדמות אות לאות ואם רואה בו שום שינוי לא יגבה בו עד שיבדוק הדבר היטיב,</w:t>
      </w:r>
      <w:r w:rsidRPr="001D49D4">
        <w:rPr>
          <w:rFonts w:ascii="Arial" w:eastAsia="Calibri" w:hAnsi="Arial" w:cs="Arial"/>
          <w:sz w:val="18"/>
          <w:szCs w:val="18"/>
          <w:rtl/>
        </w:rPr>
        <w:t xml:space="preserve"> הגה: וכל דבר שנוכל לתלות במחק תלינן (נמוק"י פ' גט פשוט)</w:t>
      </w:r>
      <w:r w:rsidRPr="001D49D4">
        <w:rPr>
          <w:rFonts w:ascii="Arial" w:eastAsia="Calibri" w:hAnsi="Arial" w:cs="Arial"/>
          <w:rtl/>
        </w:rPr>
        <w:t>. ואם צריך לכוף בעל השטר ולהכותו כדי שיודה, יעשה, כדי שיוציא הדין לאמיתו. ויש מי שאומר דהני מילי היכא דאתי לאפוקי מיורשים או מלקוחות, קי"ל טוענים ליורש וללוקח, אבל היכא דאתי לאפוקי מלוה או ממוכר ומנותן גופייהו ולא טוען נתבע</w:t>
      </w:r>
      <w:r w:rsidRPr="001D49D4">
        <w:rPr>
          <w:rFonts w:ascii="Arial" w:eastAsia="Calibri" w:hAnsi="Arial" w:cs="Arial"/>
          <w:sz w:val="16"/>
          <w:szCs w:val="16"/>
          <w:rtl/>
        </w:rPr>
        <w:t xml:space="preserve"> </w:t>
      </w:r>
      <w:r w:rsidRPr="001D49D4">
        <w:rPr>
          <w:rFonts w:ascii="Arial" w:eastAsia="Calibri" w:hAnsi="Arial" w:cs="Arial"/>
          <w:vertAlign w:val="superscript"/>
          <w:rtl/>
        </w:rPr>
        <w:footnoteReference w:id="3163"/>
      </w:r>
      <w:r w:rsidRPr="001D49D4">
        <w:rPr>
          <w:rFonts w:ascii="Arial" w:eastAsia="Calibri" w:hAnsi="Arial" w:cs="Arial"/>
          <w:rtl/>
        </w:rPr>
        <w:t xml:space="preserve">[טענות דשייכא] כההיא ריעותא דאשתכח בשטרא, לא טענינן ליה. </w:t>
      </w:r>
    </w:p>
    <w:p w14:paraId="649F5D9A" w14:textId="77777777" w:rsidR="001D49D4" w:rsidRPr="001D49D4" w:rsidRDefault="001D49D4" w:rsidP="0004348D">
      <w:pPr>
        <w:spacing w:before="360" w:after="240"/>
        <w:rPr>
          <w:rFonts w:ascii="Arial" w:eastAsia="Calibri" w:hAnsi="Arial" w:cs="Arial"/>
          <w:rtl/>
        </w:rPr>
      </w:pPr>
    </w:p>
    <w:p w14:paraId="50D6C77E" w14:textId="77777777" w:rsidR="001D49D4" w:rsidRPr="001D49D4" w:rsidRDefault="001D49D4" w:rsidP="0004348D">
      <w:pPr>
        <w:keepNext/>
        <w:keepLines/>
        <w:spacing w:before="360" w:after="240"/>
        <w:outlineLvl w:val="1"/>
        <w:rPr>
          <w:rFonts w:ascii="Arial" w:eastAsia="Times New Roman" w:hAnsi="Arial" w:cs="Arial"/>
          <w:bCs/>
          <w:color w:val="548DD4" w:themeColor="text2" w:themeTint="99"/>
          <w:sz w:val="26"/>
          <w:szCs w:val="26"/>
          <w:rtl/>
        </w:rPr>
      </w:pPr>
      <w:bookmarkStart w:id="416" w:name="_Toc24883856"/>
      <w:r w:rsidRPr="001D49D4">
        <w:rPr>
          <w:rFonts w:ascii="Arial" w:eastAsia="Times New Roman" w:hAnsi="Arial" w:cs="Arial"/>
          <w:bCs/>
          <w:color w:val="548DD4" w:themeColor="text2" w:themeTint="99"/>
          <w:sz w:val="26"/>
          <w:szCs w:val="26"/>
          <w:rtl/>
        </w:rPr>
        <w:t>סעיף ד: כתיבה בסוף השיטה, וכתיבת גימטריאות.</w:t>
      </w:r>
      <w:bookmarkEnd w:id="416"/>
    </w:p>
    <w:p w14:paraId="5AB011DA" w14:textId="77777777" w:rsidR="001D49D4" w:rsidRPr="001D49D4" w:rsidRDefault="001D49D4" w:rsidP="0004348D">
      <w:pPr>
        <w:spacing w:before="360" w:after="240"/>
        <w:rPr>
          <w:rFonts w:ascii="Arial" w:eastAsia="Calibri" w:hAnsi="Arial" w:cs="Arial"/>
          <w:rtl/>
        </w:rPr>
      </w:pPr>
      <w:r w:rsidRPr="001D49D4">
        <w:rPr>
          <w:rFonts w:ascii="Arial" w:eastAsia="Calibri" w:hAnsi="Arial" w:cs="Arial"/>
          <w:b/>
          <w:bCs/>
          <w:rtl/>
        </w:rPr>
        <w:t xml:space="preserve">בבא בתרא קסז ע"א: </w:t>
      </w:r>
      <w:r w:rsidRPr="001D49D4">
        <w:rPr>
          <w:rFonts w:ascii="Arial" w:eastAsia="Calibri" w:hAnsi="Arial" w:cs="Arial"/>
          <w:u w:val="single"/>
          <w:rtl/>
        </w:rPr>
        <w:t>אמר אביי:</w:t>
      </w:r>
      <w:r w:rsidRPr="001D49D4">
        <w:rPr>
          <w:rFonts w:ascii="Arial" w:eastAsia="Calibri" w:hAnsi="Arial" w:cs="Arial"/>
          <w:rtl/>
        </w:rPr>
        <w:t xml:space="preserve"> מתלת ועד עשר לא לכתוב בסוף שיטה</w:t>
      </w:r>
      <w:r w:rsidRPr="001D49D4">
        <w:rPr>
          <w:rFonts w:ascii="Arial" w:eastAsia="Calibri" w:hAnsi="Arial" w:cs="Arial"/>
          <w:vertAlign w:val="superscript"/>
          <w:rtl/>
        </w:rPr>
        <w:footnoteReference w:id="3164"/>
      </w:r>
      <w:r w:rsidRPr="001D49D4">
        <w:rPr>
          <w:rFonts w:ascii="Arial" w:eastAsia="Calibri" w:hAnsi="Arial" w:cs="Arial"/>
          <w:rtl/>
        </w:rPr>
        <w:t>, דלמא מזייף וכתב, ואי איתרמי ליה</w:t>
      </w:r>
      <w:r w:rsidRPr="001D49D4">
        <w:rPr>
          <w:rFonts w:ascii="Arial" w:eastAsia="Calibri" w:hAnsi="Arial" w:cs="Arial"/>
          <w:vertAlign w:val="superscript"/>
          <w:rtl/>
        </w:rPr>
        <w:footnoteReference w:id="3165"/>
      </w:r>
      <w:r w:rsidRPr="001D49D4">
        <w:rPr>
          <w:rFonts w:ascii="Arial" w:eastAsia="Calibri" w:hAnsi="Arial" w:cs="Arial"/>
          <w:rtl/>
        </w:rPr>
        <w:t xml:space="preserve"> - ניהדריה</w:t>
      </w:r>
      <w:r w:rsidRPr="001D49D4">
        <w:rPr>
          <w:rFonts w:ascii="Arial" w:eastAsia="Calibri" w:hAnsi="Arial" w:cs="Arial"/>
          <w:vertAlign w:val="superscript"/>
          <w:rtl/>
        </w:rPr>
        <w:footnoteReference w:id="3166"/>
      </w:r>
      <w:r w:rsidRPr="001D49D4">
        <w:rPr>
          <w:rFonts w:ascii="Arial" w:eastAsia="Calibri" w:hAnsi="Arial" w:cs="Arial"/>
          <w:rtl/>
        </w:rPr>
        <w:t xml:space="preserve"> לדבוריה תרין תלתא זימני, אי אפשר דלא מיתרמי ליה באמצע שיטה.</w:t>
      </w:r>
    </w:p>
    <w:p w14:paraId="2FA9B34F" w14:textId="77777777" w:rsidR="001D49D4" w:rsidRPr="001D49D4" w:rsidRDefault="001D49D4" w:rsidP="0004348D">
      <w:pPr>
        <w:spacing w:before="360" w:after="240"/>
        <w:rPr>
          <w:rFonts w:ascii="Arial" w:eastAsia="Calibri" w:hAnsi="Arial" w:cs="Arial"/>
          <w:u w:val="single"/>
          <w:rtl/>
        </w:rPr>
      </w:pPr>
      <w:r w:rsidRPr="001D49D4">
        <w:rPr>
          <w:rFonts w:ascii="Arial" w:eastAsia="Calibri" w:hAnsi="Arial" w:cs="Arial"/>
          <w:u w:val="single"/>
          <w:rtl/>
        </w:rPr>
        <w:t>כיצד יכתוב מספר בסוף שיטה:</w:t>
      </w:r>
    </w:p>
    <w:p w14:paraId="1C50B2BF" w14:textId="77777777" w:rsidR="001D49D4" w:rsidRPr="001D49D4" w:rsidRDefault="001D49D4" w:rsidP="0004348D">
      <w:pPr>
        <w:numPr>
          <w:ilvl w:val="0"/>
          <w:numId w:val="221"/>
        </w:numPr>
        <w:spacing w:before="360" w:after="240"/>
        <w:contextualSpacing/>
        <w:rPr>
          <w:rFonts w:ascii="Arial" w:hAnsi="Arial"/>
          <w:rtl/>
        </w:rPr>
      </w:pPr>
      <w:r w:rsidRPr="001D49D4">
        <w:rPr>
          <w:rFonts w:ascii="Arial" w:hAnsi="Arial"/>
          <w:rtl/>
        </w:rPr>
        <w:t>תוס'</w:t>
      </w:r>
      <w:r w:rsidRPr="001D49D4">
        <w:rPr>
          <w:rFonts w:ascii="Arial" w:hAnsi="Arial"/>
          <w:vertAlign w:val="superscript"/>
          <w:rtl/>
        </w:rPr>
        <w:footnoteReference w:id="3167"/>
      </w:r>
      <w:r w:rsidRPr="001D49D4">
        <w:rPr>
          <w:rFonts w:ascii="Arial" w:hAnsi="Arial"/>
          <w:rtl/>
        </w:rPr>
        <w:t xml:space="preserve">- לא יכתוב בלשון נקבה תלת דאפשר להופכו לתלתין, אבל תלתא שפיר דמי. </w:t>
      </w:r>
      <w:r w:rsidRPr="001D49D4">
        <w:rPr>
          <w:rFonts w:ascii="Arial" w:hAnsi="Arial"/>
          <w:color w:val="00B0F0"/>
          <w:rtl/>
        </w:rPr>
        <w:t>(וכ"פ הרמ"א)</w:t>
      </w:r>
    </w:p>
    <w:p w14:paraId="5EE60314" w14:textId="77777777" w:rsidR="001D49D4" w:rsidRPr="001D49D4" w:rsidRDefault="001D49D4" w:rsidP="0004348D">
      <w:pPr>
        <w:numPr>
          <w:ilvl w:val="0"/>
          <w:numId w:val="221"/>
        </w:numPr>
        <w:spacing w:before="360" w:after="240"/>
        <w:contextualSpacing/>
        <w:rPr>
          <w:rFonts w:ascii="Arial" w:hAnsi="Arial"/>
        </w:rPr>
      </w:pPr>
      <w:r w:rsidRPr="001D49D4">
        <w:rPr>
          <w:rFonts w:ascii="Arial" w:hAnsi="Arial"/>
          <w:rtl/>
        </w:rPr>
        <w:t xml:space="preserve">טור- "צריך ליזהר שלא יכתוב בסוף שיטה משלש עד עשר שמא יעשה מעשר עשרים ומשלש שלשים". </w:t>
      </w:r>
      <w:r w:rsidRPr="001D49D4">
        <w:rPr>
          <w:rFonts w:ascii="Arial" w:hAnsi="Arial"/>
          <w:color w:val="E36C0A" w:themeColor="accent6" w:themeShade="BF"/>
          <w:rtl/>
        </w:rPr>
        <w:t>(וכ"פ בשו"ע)</w:t>
      </w:r>
    </w:p>
    <w:p w14:paraId="39111139" w14:textId="77777777" w:rsidR="001D49D4" w:rsidRPr="001D49D4" w:rsidRDefault="001D49D4" w:rsidP="0004348D">
      <w:pPr>
        <w:numPr>
          <w:ilvl w:val="0"/>
          <w:numId w:val="221"/>
        </w:numPr>
        <w:spacing w:before="360" w:after="240"/>
        <w:contextualSpacing/>
        <w:rPr>
          <w:rFonts w:ascii="Arial" w:hAnsi="Arial"/>
        </w:rPr>
      </w:pPr>
      <w:r w:rsidRPr="001D49D4">
        <w:rPr>
          <w:rFonts w:ascii="Arial" w:hAnsi="Arial"/>
          <w:rtl/>
        </w:rPr>
        <w:t>ראב"ן</w:t>
      </w:r>
      <w:r w:rsidRPr="001D49D4">
        <w:rPr>
          <w:rFonts w:ascii="Arial" w:hAnsi="Arial"/>
          <w:sz w:val="16"/>
          <w:szCs w:val="16"/>
          <w:rtl/>
        </w:rPr>
        <w:t xml:space="preserve"> (ב"ב קי:)</w:t>
      </w:r>
      <w:r w:rsidRPr="001D49D4">
        <w:rPr>
          <w:rFonts w:ascii="Arial" w:hAnsi="Arial"/>
          <w:rtl/>
        </w:rPr>
        <w:t>- "לא יכתוב אדם בסוף שיטה בשטר 'שלשה' זקוקים חייב פלוני לפלוני, 'שלשה' בסוף השיטה, 'זקוק' בתחילת השיטה, שלא יזייף בעל השטר וימחוק ה' של שלשה ויכתוב שלשים, וכן מארבעה ארבעים ומחמשה חמשים ומששה ששים ומשבעה שבעים ומשמונה שמונים ומתשעה תשעים ומעשרה עשרים". (וכ"פ התורת חיים</w:t>
      </w:r>
      <w:r w:rsidRPr="001D49D4">
        <w:rPr>
          <w:rFonts w:ascii="Arial" w:hAnsi="Arial"/>
          <w:vertAlign w:val="superscript"/>
          <w:rtl/>
        </w:rPr>
        <w:footnoteReference w:id="3168"/>
      </w:r>
      <w:r w:rsidRPr="001D49D4">
        <w:rPr>
          <w:rFonts w:ascii="Arial" w:hAnsi="Arial"/>
          <w:rtl/>
        </w:rPr>
        <w:t>)</w:t>
      </w:r>
    </w:p>
    <w:p w14:paraId="5ECE9451" w14:textId="77777777" w:rsidR="001D49D4" w:rsidRPr="001D49D4" w:rsidRDefault="001D49D4" w:rsidP="0004348D">
      <w:pPr>
        <w:spacing w:before="360" w:after="240"/>
        <w:rPr>
          <w:rFonts w:ascii="Arial" w:eastAsia="Calibri" w:hAnsi="Arial" w:cs="Arial"/>
          <w:u w:val="single"/>
        </w:rPr>
      </w:pPr>
      <w:r w:rsidRPr="001D49D4">
        <w:rPr>
          <w:rFonts w:ascii="Arial" w:eastAsia="Calibri" w:hAnsi="Arial" w:cs="Arial"/>
          <w:u w:val="single"/>
          <w:rtl/>
        </w:rPr>
        <w:t>הנחת מקום חלק בסוף השיטה:</w:t>
      </w:r>
      <w:r w:rsidRPr="001D49D4">
        <w:rPr>
          <w:rFonts w:ascii="Arial" w:eastAsia="Calibri" w:hAnsi="Arial" w:cs="Arial"/>
          <w:sz w:val="16"/>
          <w:szCs w:val="16"/>
          <w:rtl/>
        </w:rPr>
        <w:t xml:space="preserve">  (ב"י)</w:t>
      </w:r>
    </w:p>
    <w:p w14:paraId="361CD4BF" w14:textId="77777777" w:rsidR="001D49D4" w:rsidRPr="001D49D4" w:rsidRDefault="001D49D4" w:rsidP="0004348D">
      <w:pPr>
        <w:numPr>
          <w:ilvl w:val="0"/>
          <w:numId w:val="221"/>
        </w:numPr>
        <w:spacing w:before="360" w:after="240"/>
        <w:contextualSpacing/>
        <w:rPr>
          <w:rFonts w:ascii="Arial" w:hAnsi="Arial"/>
        </w:rPr>
      </w:pPr>
      <w:r w:rsidRPr="001D49D4">
        <w:rPr>
          <w:rFonts w:ascii="Arial" w:hAnsi="Arial"/>
          <w:rtl/>
        </w:rPr>
        <w:t xml:space="preserve">נמוק"י </w:t>
      </w:r>
      <w:r w:rsidRPr="001D49D4">
        <w:rPr>
          <w:rFonts w:ascii="Arial" w:hAnsi="Arial"/>
          <w:sz w:val="16"/>
          <w:szCs w:val="16"/>
          <w:rtl/>
        </w:rPr>
        <w:t>(ב"ב עז. ד"ה אמר אביי)</w:t>
      </w:r>
      <w:r w:rsidRPr="001D49D4">
        <w:rPr>
          <w:rFonts w:ascii="Arial" w:hAnsi="Arial"/>
          <w:rtl/>
        </w:rPr>
        <w:t xml:space="preserve">- כל שמניח ריוח חלק בסוף שטה במקום שיכול לזייף בו כלום- פסול. </w:t>
      </w:r>
    </w:p>
    <w:p w14:paraId="0B1A7DC1" w14:textId="77777777" w:rsidR="001D49D4" w:rsidRPr="001D49D4" w:rsidRDefault="001D49D4" w:rsidP="0004348D">
      <w:pPr>
        <w:spacing w:before="360" w:after="240"/>
        <w:rPr>
          <w:rFonts w:ascii="Arial" w:eastAsia="Calibri" w:hAnsi="Arial" w:cs="Arial"/>
          <w:u w:val="single"/>
        </w:rPr>
      </w:pPr>
      <w:r w:rsidRPr="001D49D4">
        <w:rPr>
          <w:rFonts w:ascii="Arial" w:eastAsia="Calibri" w:hAnsi="Arial" w:cs="Arial"/>
          <w:u w:val="single"/>
          <w:rtl/>
        </w:rPr>
        <w:t>נמצאו 'חמשין' או 'תלתין' בסוף השיטה:</w:t>
      </w:r>
    </w:p>
    <w:p w14:paraId="12570AD7" w14:textId="77777777" w:rsidR="001D49D4" w:rsidRPr="001D49D4" w:rsidRDefault="001D49D4" w:rsidP="0004348D">
      <w:pPr>
        <w:numPr>
          <w:ilvl w:val="0"/>
          <w:numId w:val="221"/>
        </w:numPr>
        <w:spacing w:before="360" w:after="240"/>
        <w:contextualSpacing/>
        <w:rPr>
          <w:rFonts w:ascii="Arial" w:hAnsi="Arial"/>
        </w:rPr>
      </w:pPr>
      <w:r w:rsidRPr="001D49D4">
        <w:rPr>
          <w:rFonts w:ascii="Arial" w:hAnsi="Arial"/>
          <w:rtl/>
        </w:rPr>
        <w:t xml:space="preserve">נמוק"י </w:t>
      </w:r>
      <w:r w:rsidRPr="001D49D4">
        <w:rPr>
          <w:rFonts w:ascii="Arial" w:hAnsi="Arial"/>
          <w:sz w:val="16"/>
          <w:szCs w:val="16"/>
          <w:rtl/>
        </w:rPr>
        <w:t>(שם)</w:t>
      </w:r>
      <w:r w:rsidRPr="001D49D4">
        <w:rPr>
          <w:rFonts w:ascii="Arial" w:hAnsi="Arial"/>
          <w:rtl/>
        </w:rPr>
        <w:t>- "אי אשכח תלתין וחמשין בסוף שטה כשר השטר ולא אמרינן שמא תלת וחמש היה, דחזקה על העדים שעושים כהוגן, וכן דנתי לפני רבותי".</w:t>
      </w:r>
    </w:p>
    <w:p w14:paraId="304796A6" w14:textId="77777777" w:rsidR="001D49D4" w:rsidRPr="001D49D4" w:rsidRDefault="001D49D4" w:rsidP="0004348D">
      <w:pPr>
        <w:spacing w:before="360" w:after="240"/>
        <w:rPr>
          <w:rFonts w:ascii="Arial" w:eastAsia="Calibri" w:hAnsi="Arial" w:cs="Arial"/>
          <w:u w:val="single"/>
        </w:rPr>
      </w:pPr>
      <w:r w:rsidRPr="001D49D4">
        <w:rPr>
          <w:rFonts w:ascii="Arial" w:eastAsia="Calibri" w:hAnsi="Arial" w:cs="Arial"/>
          <w:u w:val="single"/>
          <w:rtl/>
        </w:rPr>
        <w:t>כתיבת "אחד עשר" בסוף השיטה:</w:t>
      </w:r>
    </w:p>
    <w:p w14:paraId="456B2F27" w14:textId="77777777" w:rsidR="001D49D4" w:rsidRPr="001D49D4" w:rsidRDefault="001D49D4" w:rsidP="0004348D">
      <w:pPr>
        <w:numPr>
          <w:ilvl w:val="0"/>
          <w:numId w:val="221"/>
        </w:numPr>
        <w:spacing w:before="360" w:after="240"/>
        <w:contextualSpacing/>
        <w:rPr>
          <w:rFonts w:ascii="Arial" w:hAnsi="Arial"/>
        </w:rPr>
      </w:pPr>
      <w:r w:rsidRPr="001D49D4">
        <w:rPr>
          <w:rFonts w:ascii="Arial" w:hAnsi="Arial"/>
          <w:rtl/>
        </w:rPr>
        <w:t xml:space="preserve">רשב"ם </w:t>
      </w:r>
      <w:r w:rsidRPr="001D49D4">
        <w:rPr>
          <w:rFonts w:ascii="Arial" w:hAnsi="Arial"/>
          <w:sz w:val="16"/>
          <w:szCs w:val="16"/>
          <w:rtl/>
        </w:rPr>
        <w:t>(ד"ה אמר אביי, הובא בסמ"ע סק"ו)</w:t>
      </w:r>
      <w:r w:rsidRPr="001D49D4">
        <w:rPr>
          <w:rFonts w:ascii="Arial" w:hAnsi="Arial"/>
          <w:rtl/>
        </w:rPr>
        <w:t>- יכול לכתוב בסוף שיטה אחד עשר, ולא חיישינן שיזייף לעשרים, שאז צריך להוסיף וי"ו שיהיה אחד ועשרים ויהיה ניכר.</w:t>
      </w:r>
    </w:p>
    <w:p w14:paraId="3BFCC4A2" w14:textId="77777777" w:rsidR="001D49D4" w:rsidRPr="001D49D4" w:rsidRDefault="001D49D4" w:rsidP="0004348D">
      <w:pPr>
        <w:spacing w:before="360" w:after="240"/>
        <w:jc w:val="both"/>
        <w:rPr>
          <w:rFonts w:ascii="Arial" w:eastAsia="Calibri" w:hAnsi="Arial" w:cs="Arial"/>
          <w:rtl/>
        </w:rPr>
      </w:pPr>
      <w:r w:rsidRPr="001D49D4">
        <w:rPr>
          <w:rFonts w:ascii="Arial" w:eastAsia="Calibri" w:hAnsi="Arial" w:cs="Arial"/>
          <w:b/>
          <w:bCs/>
          <w:sz w:val="32"/>
          <w:szCs w:val="28"/>
          <w:u w:val="single"/>
          <w:rtl/>
        </w:rPr>
        <w:t xml:space="preserve">שו"ע: </w:t>
      </w:r>
    </w:p>
    <w:p w14:paraId="6B10500B" w14:textId="77777777" w:rsidR="001D49D4" w:rsidRPr="001D49D4" w:rsidRDefault="001D49D4" w:rsidP="0004348D">
      <w:pPr>
        <w:spacing w:before="360" w:after="240"/>
        <w:rPr>
          <w:rFonts w:ascii="Arial" w:eastAsia="Calibri" w:hAnsi="Arial" w:cs="Arial"/>
          <w:rtl/>
        </w:rPr>
      </w:pPr>
      <w:r w:rsidRPr="001D49D4">
        <w:rPr>
          <w:rFonts w:ascii="Arial" w:eastAsia="Calibri" w:hAnsi="Arial" w:cs="Arial"/>
          <w:rtl/>
        </w:rPr>
        <w:t xml:space="preserve">צריך ליזהר שלא יכתוב בסוף שטה משלש ועד עשר שמא יעשה מעשר עשרים ומשלש שלשים. </w:t>
      </w:r>
      <w:r w:rsidRPr="001D49D4">
        <w:rPr>
          <w:rFonts w:ascii="Arial" w:eastAsia="Calibri" w:hAnsi="Arial" w:cs="Arial"/>
          <w:sz w:val="18"/>
          <w:szCs w:val="18"/>
          <w:rtl/>
        </w:rPr>
        <w:t xml:space="preserve">הגה: ואם כתב שלשה או עשרה שפיר דמי דהא ליכא למיחש לזיוף (ב"י בשם תוס' והגה"מ). </w:t>
      </w:r>
      <w:r w:rsidRPr="001D49D4">
        <w:rPr>
          <w:rFonts w:ascii="Arial" w:eastAsia="Calibri" w:hAnsi="Arial" w:cs="Arial"/>
          <w:rtl/>
        </w:rPr>
        <w:t>ואם נזדמן לו בסוף שטה מחזיר הדבר פעמים הרבה עד שיבא בתוך שטה</w:t>
      </w:r>
      <w:r w:rsidRPr="001D49D4">
        <w:rPr>
          <w:rFonts w:ascii="Arial" w:eastAsia="Calibri" w:hAnsi="Arial" w:cs="Arial"/>
          <w:vertAlign w:val="superscript"/>
          <w:rtl/>
        </w:rPr>
        <w:footnoteReference w:id="3169"/>
      </w:r>
      <w:r w:rsidRPr="001D49D4">
        <w:rPr>
          <w:rFonts w:ascii="Arial" w:eastAsia="Calibri" w:hAnsi="Arial" w:cs="Arial"/>
          <w:rtl/>
        </w:rPr>
        <w:t>. וכן יזהר שלא יכתוב החשבון באותיות כגון ב' או ד'</w:t>
      </w:r>
      <w:r w:rsidRPr="001D49D4">
        <w:rPr>
          <w:rFonts w:ascii="Arial" w:eastAsia="Calibri" w:hAnsi="Arial" w:cs="Arial"/>
          <w:vertAlign w:val="superscript"/>
          <w:rtl/>
        </w:rPr>
        <w:footnoteReference w:id="3170"/>
      </w:r>
      <w:r w:rsidRPr="001D49D4">
        <w:rPr>
          <w:rFonts w:ascii="Arial" w:eastAsia="Calibri" w:hAnsi="Arial" w:cs="Arial"/>
          <w:rtl/>
        </w:rPr>
        <w:t xml:space="preserve">, שלא יעשו כ"ף או רי"ש. </w:t>
      </w:r>
      <w:r w:rsidRPr="001D49D4">
        <w:rPr>
          <w:rFonts w:ascii="Arial" w:eastAsia="Calibri" w:hAnsi="Arial" w:cs="Arial"/>
          <w:sz w:val="18"/>
          <w:szCs w:val="18"/>
          <w:rtl/>
        </w:rPr>
        <w:t>הגה: ואם לא עשה כן הוי שטר שאפשר לזייף ופסול, אבל אי כתב גימטריאות או ראשי תיבות מדברים שא"א לזייף</w:t>
      </w:r>
      <w:r w:rsidRPr="001D49D4">
        <w:rPr>
          <w:rFonts w:ascii="Arial" w:eastAsia="Calibri" w:hAnsi="Arial" w:cs="Arial"/>
          <w:sz w:val="18"/>
          <w:szCs w:val="18"/>
          <w:vertAlign w:val="superscript"/>
          <w:rtl/>
        </w:rPr>
        <w:footnoteReference w:id="3171"/>
      </w:r>
      <w:r w:rsidRPr="001D49D4">
        <w:rPr>
          <w:rFonts w:ascii="Arial" w:eastAsia="Calibri" w:hAnsi="Arial" w:cs="Arial"/>
          <w:sz w:val="18"/>
          <w:szCs w:val="18"/>
          <w:rtl/>
        </w:rPr>
        <w:t xml:space="preserve"> כשר (הגהות מרדכי דגיטין).</w:t>
      </w:r>
      <w:r w:rsidRPr="001D49D4">
        <w:rPr>
          <w:rFonts w:ascii="Arial" w:eastAsia="Calibri" w:hAnsi="Arial" w:cs="Arial"/>
          <w:rtl/>
        </w:rPr>
        <w:t xml:space="preserve"> </w:t>
      </w:r>
    </w:p>
    <w:p w14:paraId="6BDBA3FD" w14:textId="77777777" w:rsidR="001D49D4" w:rsidRPr="001D49D4" w:rsidRDefault="001D49D4" w:rsidP="0004348D">
      <w:pPr>
        <w:spacing w:before="360" w:after="240"/>
        <w:rPr>
          <w:rFonts w:ascii="Arial" w:eastAsia="Calibri" w:hAnsi="Arial" w:cs="Arial"/>
          <w:u w:val="single"/>
          <w:rtl/>
        </w:rPr>
      </w:pPr>
      <w:r w:rsidRPr="001D49D4">
        <w:rPr>
          <w:rFonts w:ascii="Arial" w:eastAsia="Calibri" w:hAnsi="Arial" w:cs="Arial"/>
          <w:u w:val="single"/>
          <w:rtl/>
        </w:rPr>
        <w:t>כתב "שלשה" באמצע השיטה ולאחר כמה שורות כתב "שלש" בסוף השורה:</w:t>
      </w:r>
    </w:p>
    <w:p w14:paraId="642F13A0" w14:textId="77777777" w:rsidR="001D49D4" w:rsidRPr="001D49D4" w:rsidRDefault="001D49D4" w:rsidP="0004348D">
      <w:pPr>
        <w:numPr>
          <w:ilvl w:val="0"/>
          <w:numId w:val="221"/>
        </w:numPr>
        <w:spacing w:before="360" w:after="240"/>
        <w:contextualSpacing/>
        <w:rPr>
          <w:rFonts w:ascii="Arial" w:hAnsi="Arial"/>
          <w:rtl/>
        </w:rPr>
      </w:pPr>
      <w:r w:rsidRPr="001D49D4">
        <w:rPr>
          <w:rFonts w:ascii="Arial" w:hAnsi="Arial"/>
          <w:rtl/>
        </w:rPr>
        <w:lastRenderedPageBreak/>
        <w:t>ב"ח- פסול, דאכתי יזייף והכל הולך אחר התחתון</w:t>
      </w:r>
      <w:r w:rsidRPr="001D49D4">
        <w:rPr>
          <w:rFonts w:ascii="Arial" w:hAnsi="Arial"/>
          <w:vertAlign w:val="superscript"/>
          <w:rtl/>
        </w:rPr>
        <w:footnoteReference w:id="3172"/>
      </w:r>
      <w:r w:rsidRPr="001D49D4">
        <w:rPr>
          <w:rFonts w:ascii="Arial" w:hAnsi="Arial"/>
          <w:rtl/>
        </w:rPr>
        <w:t>.</w:t>
      </w:r>
    </w:p>
    <w:p w14:paraId="7D10BE8F" w14:textId="77777777" w:rsidR="001D49D4" w:rsidRPr="001D49D4" w:rsidRDefault="001D49D4" w:rsidP="0004348D">
      <w:pPr>
        <w:spacing w:before="360" w:after="240"/>
        <w:rPr>
          <w:rFonts w:ascii="Arial" w:eastAsia="Calibri" w:hAnsi="Arial" w:cs="Arial"/>
          <w:rtl/>
        </w:rPr>
      </w:pPr>
    </w:p>
    <w:p w14:paraId="066B6133" w14:textId="77777777" w:rsidR="001D49D4" w:rsidRPr="001D49D4" w:rsidRDefault="001D49D4" w:rsidP="0004348D">
      <w:pPr>
        <w:keepNext/>
        <w:keepLines/>
        <w:spacing w:before="360" w:after="240"/>
        <w:outlineLvl w:val="1"/>
        <w:rPr>
          <w:rFonts w:ascii="Arial" w:eastAsia="Times New Roman" w:hAnsi="Arial" w:cs="Arial"/>
          <w:bCs/>
          <w:color w:val="548DD4" w:themeColor="text2" w:themeTint="99"/>
          <w:sz w:val="26"/>
          <w:szCs w:val="26"/>
          <w:rtl/>
        </w:rPr>
      </w:pPr>
      <w:bookmarkStart w:id="417" w:name="_Toc24883857"/>
      <w:r w:rsidRPr="001D49D4">
        <w:rPr>
          <w:rFonts w:ascii="Arial" w:eastAsia="Times New Roman" w:hAnsi="Arial" w:cs="Arial"/>
          <w:bCs/>
          <w:color w:val="548DD4" w:themeColor="text2" w:themeTint="99"/>
          <w:sz w:val="26"/>
          <w:szCs w:val="26"/>
          <w:rtl/>
        </w:rPr>
        <w:t>סעיף ה: היה כתוב בשטר דבר אחד למעלה ודבר אחר למטה.</w:t>
      </w:r>
      <w:bookmarkEnd w:id="417"/>
    </w:p>
    <w:p w14:paraId="607C8EB5" w14:textId="77777777" w:rsidR="001D49D4" w:rsidRPr="001D49D4" w:rsidRDefault="001D49D4" w:rsidP="0004348D">
      <w:pPr>
        <w:spacing w:before="360" w:after="240"/>
        <w:rPr>
          <w:rFonts w:ascii="Arial" w:eastAsia="Calibri" w:hAnsi="Arial" w:cs="Arial"/>
          <w:rtl/>
        </w:rPr>
      </w:pPr>
      <w:r w:rsidRPr="001D49D4">
        <w:rPr>
          <w:rFonts w:ascii="Arial" w:eastAsia="Calibri" w:hAnsi="Arial" w:cs="Arial"/>
          <w:b/>
          <w:bCs/>
          <w:rtl/>
        </w:rPr>
        <w:t xml:space="preserve">בבא בתרא קסה ע"ב: </w:t>
      </w:r>
      <w:r w:rsidRPr="001D49D4">
        <w:rPr>
          <w:rFonts w:ascii="Arial" w:eastAsia="Calibri" w:hAnsi="Arial" w:cs="Arial"/>
          <w:u w:val="double"/>
          <w:rtl/>
        </w:rPr>
        <w:t>מתני':</w:t>
      </w:r>
      <w:r w:rsidRPr="001D49D4">
        <w:rPr>
          <w:rFonts w:ascii="Arial" w:eastAsia="Calibri" w:hAnsi="Arial" w:cs="Arial"/>
          <w:rtl/>
        </w:rPr>
        <w:t xml:space="preserve"> כתוב בו</w:t>
      </w:r>
      <w:r w:rsidRPr="001D49D4">
        <w:rPr>
          <w:rFonts w:ascii="Arial" w:eastAsia="Calibri" w:hAnsi="Arial" w:cs="Arial"/>
          <w:vertAlign w:val="superscript"/>
          <w:rtl/>
        </w:rPr>
        <w:footnoteReference w:id="3173"/>
      </w:r>
      <w:r w:rsidRPr="001D49D4">
        <w:rPr>
          <w:rFonts w:ascii="Arial" w:eastAsia="Calibri" w:hAnsi="Arial" w:cs="Arial"/>
          <w:rtl/>
        </w:rPr>
        <w:t xml:space="preserve"> זוזין מאה דאינון סלעין עשרין- אין לו אלא עשרין, זוזין מאה דאינון תלתין סלעין - אין לו אלא מנה</w:t>
      </w:r>
      <w:r w:rsidRPr="001D49D4">
        <w:rPr>
          <w:rFonts w:ascii="Arial" w:eastAsia="Calibri" w:hAnsi="Arial" w:cs="Arial"/>
          <w:vertAlign w:val="superscript"/>
          <w:rtl/>
        </w:rPr>
        <w:footnoteReference w:id="3174"/>
      </w:r>
      <w:r w:rsidRPr="001D49D4">
        <w:rPr>
          <w:rFonts w:ascii="Arial" w:eastAsia="Calibri" w:hAnsi="Arial" w:cs="Arial"/>
          <w:rtl/>
        </w:rPr>
        <w:t>...  כתוב בו מלמעלה מנה ומלמטה</w:t>
      </w:r>
      <w:r w:rsidRPr="001D49D4">
        <w:rPr>
          <w:rFonts w:ascii="Arial" w:eastAsia="Calibri" w:hAnsi="Arial" w:cs="Arial"/>
          <w:vertAlign w:val="superscript"/>
          <w:rtl/>
        </w:rPr>
        <w:footnoteReference w:id="3175"/>
      </w:r>
      <w:r w:rsidRPr="001D49D4">
        <w:rPr>
          <w:rFonts w:ascii="Arial" w:eastAsia="Calibri" w:hAnsi="Arial" w:cs="Arial"/>
          <w:rtl/>
        </w:rPr>
        <w:t xml:space="preserve"> מאתים, מלמעלה מאתים ומלמטה מנה - הכל הולך אחר התחתון</w:t>
      </w:r>
      <w:r w:rsidRPr="001D49D4">
        <w:rPr>
          <w:rFonts w:ascii="Arial" w:eastAsia="Calibri" w:hAnsi="Arial" w:cs="Arial"/>
          <w:vertAlign w:val="superscript"/>
          <w:rtl/>
        </w:rPr>
        <w:footnoteReference w:id="3176"/>
      </w:r>
      <w:r w:rsidRPr="001D49D4">
        <w:rPr>
          <w:rFonts w:ascii="Arial" w:eastAsia="Calibri" w:hAnsi="Arial" w:cs="Arial"/>
          <w:rtl/>
        </w:rPr>
        <w:t>. א"כ למה כותבין את העליון</w:t>
      </w:r>
      <w:r w:rsidRPr="001D49D4">
        <w:rPr>
          <w:rFonts w:ascii="Arial" w:eastAsia="Calibri" w:hAnsi="Arial" w:cs="Arial"/>
          <w:vertAlign w:val="superscript"/>
          <w:rtl/>
        </w:rPr>
        <w:footnoteReference w:id="3177"/>
      </w:r>
      <w:r w:rsidRPr="001D49D4">
        <w:rPr>
          <w:rFonts w:ascii="Arial" w:eastAsia="Calibri" w:hAnsi="Arial" w:cs="Arial"/>
          <w:rtl/>
        </w:rPr>
        <w:t>? שאם תמחק אות אחת מן התחתון - ילמד מן העליון.</w:t>
      </w:r>
    </w:p>
    <w:p w14:paraId="257BA3E7" w14:textId="77777777" w:rsidR="001D49D4" w:rsidRPr="001D49D4" w:rsidRDefault="001D49D4" w:rsidP="0004348D">
      <w:pPr>
        <w:spacing w:before="360" w:after="240"/>
        <w:rPr>
          <w:rFonts w:ascii="Arial" w:eastAsia="Calibri" w:hAnsi="Arial" w:cs="Arial"/>
          <w:rtl/>
        </w:rPr>
      </w:pPr>
      <w:r w:rsidRPr="001D49D4">
        <w:rPr>
          <w:rFonts w:ascii="Arial" w:eastAsia="Calibri" w:hAnsi="Arial" w:cs="Arial"/>
          <w:b/>
          <w:bCs/>
          <w:rtl/>
        </w:rPr>
        <w:t>בבא בתרא קסא ע"ב:</w:t>
      </w:r>
      <w:r w:rsidRPr="001D49D4">
        <w:rPr>
          <w:rFonts w:ascii="Arial" w:eastAsia="Calibri" w:hAnsi="Arial" w:cs="Arial"/>
          <w:rtl/>
        </w:rPr>
        <w:t xml:space="preserve"> וצריך שיחזור</w:t>
      </w:r>
      <w:r w:rsidRPr="001D49D4">
        <w:rPr>
          <w:rFonts w:ascii="Arial" w:eastAsia="Calibri" w:hAnsi="Arial" w:cs="Arial"/>
          <w:vertAlign w:val="superscript"/>
          <w:rtl/>
        </w:rPr>
        <w:footnoteReference w:id="3178"/>
      </w:r>
      <w:r w:rsidRPr="001D49D4">
        <w:rPr>
          <w:rFonts w:ascii="Arial" w:eastAsia="Calibri" w:hAnsi="Arial" w:cs="Arial"/>
          <w:rtl/>
        </w:rPr>
        <w:t xml:space="preserve"> מענינו של שטר בשיטה אחרונה, מאי טעמא? </w:t>
      </w:r>
      <w:r w:rsidRPr="001D49D4">
        <w:rPr>
          <w:rFonts w:ascii="Arial" w:eastAsia="Calibri" w:hAnsi="Arial" w:cs="Arial"/>
          <w:u w:val="single"/>
          <w:rtl/>
        </w:rPr>
        <w:t>אמר רב עמרם</w:t>
      </w:r>
      <w:r w:rsidRPr="001D49D4">
        <w:rPr>
          <w:rFonts w:ascii="Arial" w:eastAsia="Calibri" w:hAnsi="Arial" w:cs="Arial"/>
          <w:rtl/>
        </w:rPr>
        <w:t>: לפי שאין למדין משיטה אחרונה</w:t>
      </w:r>
      <w:r w:rsidRPr="001D49D4">
        <w:rPr>
          <w:rFonts w:ascii="Arial" w:eastAsia="Calibri" w:hAnsi="Arial" w:cs="Arial"/>
          <w:vertAlign w:val="superscript"/>
          <w:rtl/>
        </w:rPr>
        <w:footnoteReference w:id="3179"/>
      </w:r>
      <w:r w:rsidRPr="001D49D4">
        <w:rPr>
          <w:rFonts w:ascii="Arial" w:eastAsia="Calibri" w:hAnsi="Arial" w:cs="Arial"/>
          <w:rtl/>
        </w:rPr>
        <w:t>.</w:t>
      </w:r>
    </w:p>
    <w:p w14:paraId="134B88D9" w14:textId="77777777" w:rsidR="001D49D4" w:rsidRPr="001D49D4" w:rsidRDefault="001D49D4" w:rsidP="0004348D">
      <w:pPr>
        <w:spacing w:before="360" w:after="240"/>
        <w:jc w:val="both"/>
        <w:rPr>
          <w:rFonts w:ascii="Arial" w:eastAsia="Calibri" w:hAnsi="Arial" w:cs="Arial"/>
          <w:rtl/>
        </w:rPr>
      </w:pPr>
      <w:r w:rsidRPr="001D49D4">
        <w:rPr>
          <w:rFonts w:ascii="Arial" w:eastAsia="Calibri" w:hAnsi="Arial" w:cs="Arial"/>
          <w:b/>
          <w:bCs/>
          <w:sz w:val="32"/>
          <w:szCs w:val="28"/>
          <w:u w:val="single"/>
          <w:rtl/>
        </w:rPr>
        <w:t xml:space="preserve">שו"ע: </w:t>
      </w:r>
    </w:p>
    <w:p w14:paraId="53CD9B96" w14:textId="77777777" w:rsidR="001D49D4" w:rsidRPr="001D49D4" w:rsidRDefault="001D49D4" w:rsidP="0004348D">
      <w:pPr>
        <w:spacing w:before="360" w:after="240"/>
        <w:rPr>
          <w:rFonts w:ascii="Arial" w:eastAsia="Calibri" w:hAnsi="Arial" w:cs="Arial"/>
          <w:rtl/>
        </w:rPr>
      </w:pPr>
      <w:r w:rsidRPr="001D49D4">
        <w:rPr>
          <w:rFonts w:ascii="Arial" w:eastAsia="Calibri" w:hAnsi="Arial" w:cs="Arial"/>
          <w:rtl/>
        </w:rPr>
        <w:t xml:space="preserve">היה כתוב בו למעלה דבר אחד ולמטה דבר אחר ואפשר לקיימם </w:t>
      </w:r>
      <w:r w:rsidRPr="001D49D4">
        <w:rPr>
          <w:rFonts w:ascii="Arial" w:eastAsia="Calibri" w:hAnsi="Arial" w:cs="Arial"/>
          <w:sz w:val="18"/>
          <w:szCs w:val="18"/>
          <w:rtl/>
        </w:rPr>
        <w:t>(שניהם)</w:t>
      </w:r>
      <w:r w:rsidRPr="001D49D4">
        <w:rPr>
          <w:rFonts w:ascii="Arial" w:eastAsia="Calibri" w:hAnsi="Arial" w:cs="Arial"/>
          <w:rtl/>
        </w:rPr>
        <w:t xml:space="preserve"> מקיימים אותם</w:t>
      </w:r>
      <w:r w:rsidRPr="001D49D4">
        <w:rPr>
          <w:rFonts w:ascii="Arial" w:eastAsia="Calibri" w:hAnsi="Arial" w:cs="Arial"/>
          <w:vertAlign w:val="superscript"/>
          <w:rtl/>
        </w:rPr>
        <w:footnoteReference w:id="3180"/>
      </w:r>
      <w:r w:rsidRPr="001D49D4">
        <w:rPr>
          <w:rFonts w:ascii="Arial" w:eastAsia="Calibri" w:hAnsi="Arial" w:cs="Arial"/>
          <w:rtl/>
        </w:rPr>
        <w:t>, אבל אם הם סותרים זה את זה כגון שכתוב למעלה מנה ולמטה מאתים או איפכא הולכים אחר התחתון והוא שלא יהיה בשטה אחרונה</w:t>
      </w:r>
      <w:r w:rsidRPr="001D49D4">
        <w:rPr>
          <w:rFonts w:ascii="Arial" w:eastAsia="Calibri" w:hAnsi="Arial" w:cs="Arial"/>
          <w:vertAlign w:val="superscript"/>
          <w:rtl/>
        </w:rPr>
        <w:footnoteReference w:id="3181"/>
      </w:r>
      <w:r w:rsidRPr="001D49D4">
        <w:rPr>
          <w:rFonts w:ascii="Arial" w:eastAsia="Calibri" w:hAnsi="Arial" w:cs="Arial"/>
          <w:rtl/>
        </w:rPr>
        <w:t xml:space="preserve"> ואין כתוב בשטר: והכל שריר וקיים</w:t>
      </w:r>
      <w:r w:rsidRPr="001D49D4">
        <w:rPr>
          <w:rFonts w:ascii="Arial" w:eastAsia="Calibri" w:hAnsi="Arial" w:cs="Arial"/>
          <w:vertAlign w:val="superscript"/>
          <w:rtl/>
        </w:rPr>
        <w:footnoteReference w:id="3182"/>
      </w:r>
      <w:r w:rsidRPr="001D49D4">
        <w:rPr>
          <w:rFonts w:ascii="Arial" w:eastAsia="Calibri" w:hAnsi="Arial" w:cs="Arial"/>
          <w:rtl/>
        </w:rPr>
        <w:t xml:space="preserve">. </w:t>
      </w:r>
      <w:r w:rsidRPr="001D49D4">
        <w:rPr>
          <w:rFonts w:ascii="Arial" w:eastAsia="Calibri" w:hAnsi="Arial" w:cs="Arial"/>
          <w:sz w:val="18"/>
          <w:szCs w:val="18"/>
          <w:rtl/>
        </w:rPr>
        <w:t>הגה: מיהו לאפקועי מבעל השטר למדין ואפילו משיטה אחרונה</w:t>
      </w:r>
      <w:r w:rsidRPr="001D49D4">
        <w:rPr>
          <w:rFonts w:ascii="Arial" w:eastAsia="Calibri" w:hAnsi="Arial" w:cs="Arial"/>
          <w:sz w:val="18"/>
          <w:szCs w:val="18"/>
          <w:vertAlign w:val="superscript"/>
          <w:rtl/>
        </w:rPr>
        <w:footnoteReference w:id="3183"/>
      </w:r>
      <w:r w:rsidRPr="001D49D4">
        <w:rPr>
          <w:rFonts w:ascii="Arial" w:eastAsia="Calibri" w:hAnsi="Arial" w:cs="Arial"/>
          <w:sz w:val="18"/>
          <w:szCs w:val="18"/>
          <w:rtl/>
        </w:rPr>
        <w:t xml:space="preserve"> </w:t>
      </w:r>
      <w:r w:rsidRPr="001D49D4">
        <w:rPr>
          <w:rFonts w:ascii="Arial" w:eastAsia="Calibri" w:hAnsi="Arial" w:cs="Arial"/>
          <w:sz w:val="16"/>
          <w:szCs w:val="16"/>
          <w:rtl/>
        </w:rPr>
        <w:t>(נמוק"י פ' ג"פ בשם ריטב"א והרא"ה)</w:t>
      </w:r>
      <w:r w:rsidRPr="001D49D4">
        <w:rPr>
          <w:rFonts w:ascii="Arial" w:eastAsia="Calibri" w:hAnsi="Arial" w:cs="Arial"/>
          <w:sz w:val="18"/>
          <w:szCs w:val="18"/>
          <w:rtl/>
        </w:rPr>
        <w:t xml:space="preserve">, ואם נמחק סכום של מטה הכל פסול דאפשר שהיה כתוב בו למטה רק דינר אחד </w:t>
      </w:r>
      <w:r w:rsidRPr="001D49D4">
        <w:rPr>
          <w:rFonts w:ascii="Arial" w:eastAsia="Calibri" w:hAnsi="Arial" w:cs="Arial"/>
          <w:sz w:val="16"/>
          <w:szCs w:val="16"/>
          <w:rtl/>
        </w:rPr>
        <w:t>(הגה"א, הובא בב"י)</w:t>
      </w:r>
      <w:r w:rsidRPr="001D49D4">
        <w:rPr>
          <w:rFonts w:ascii="Arial" w:eastAsia="Calibri" w:hAnsi="Arial" w:cs="Arial"/>
          <w:sz w:val="18"/>
          <w:szCs w:val="18"/>
          <w:rtl/>
        </w:rPr>
        <w:t xml:space="preserve">. </w:t>
      </w:r>
      <w:r w:rsidRPr="001D49D4">
        <w:rPr>
          <w:rFonts w:ascii="Arial" w:eastAsia="Calibri" w:hAnsi="Arial" w:cs="Arial"/>
          <w:rtl/>
        </w:rPr>
        <w:t>ויש מי שאומר</w:t>
      </w:r>
      <w:r w:rsidRPr="001D49D4">
        <w:rPr>
          <w:rFonts w:ascii="Arial" w:eastAsia="Calibri" w:hAnsi="Arial" w:cs="Arial"/>
          <w:vertAlign w:val="superscript"/>
          <w:rtl/>
        </w:rPr>
        <w:footnoteReference w:id="3184"/>
      </w:r>
      <w:r w:rsidRPr="001D49D4">
        <w:rPr>
          <w:rFonts w:ascii="Arial" w:eastAsia="Calibri" w:hAnsi="Arial" w:cs="Arial"/>
          <w:rtl/>
        </w:rPr>
        <w:t xml:space="preserve"> שאם למעלה היה פורט והולך, ולמטה כתוב סכום הכל כך וכך, ופיחת או הוסיף, בזה אנו אומרים ודאי טעה בחשבון ואחר הפרט אנו הולכים, ונראין דבריו. במה דברים אמורים שהולכים אחר התחתון כשאין האחד תלוי בחבירו, אבל אם היה כתוב בו </w:t>
      </w:r>
      <w:r w:rsidRPr="001D49D4">
        <w:rPr>
          <w:rFonts w:ascii="Arial" w:eastAsia="Calibri" w:hAnsi="Arial" w:cs="Arial"/>
          <w:rtl/>
        </w:rPr>
        <w:lastRenderedPageBreak/>
        <w:t>מאה שהם מאתים</w:t>
      </w:r>
      <w:r w:rsidRPr="001D49D4">
        <w:rPr>
          <w:rFonts w:ascii="Arial" w:eastAsia="Calibri" w:hAnsi="Arial" w:cs="Arial"/>
          <w:vertAlign w:val="superscript"/>
          <w:rtl/>
        </w:rPr>
        <w:footnoteReference w:id="3185"/>
      </w:r>
      <w:r w:rsidRPr="001D49D4">
        <w:rPr>
          <w:rFonts w:ascii="Arial" w:eastAsia="Calibri" w:hAnsi="Arial" w:cs="Arial"/>
          <w:rtl/>
        </w:rPr>
        <w:t xml:space="preserve"> או מאתים שהם מאה, אינו גובה אלא מאה שהוא הפחות שבשניהם</w:t>
      </w:r>
      <w:r w:rsidRPr="001D49D4">
        <w:rPr>
          <w:rFonts w:ascii="Arial" w:eastAsia="Calibri" w:hAnsi="Arial" w:cs="Arial"/>
          <w:vertAlign w:val="superscript"/>
          <w:rtl/>
        </w:rPr>
        <w:footnoteReference w:id="3186"/>
      </w:r>
      <w:r w:rsidRPr="001D49D4">
        <w:rPr>
          <w:rFonts w:ascii="Arial" w:eastAsia="Calibri" w:hAnsi="Arial" w:cs="Arial"/>
          <w:rtl/>
        </w:rPr>
        <w:t xml:space="preserve">, דיד בעל השטר על התחתונה. </w:t>
      </w:r>
    </w:p>
    <w:p w14:paraId="11D6B086" w14:textId="77777777" w:rsidR="001D49D4" w:rsidRPr="001D49D4" w:rsidRDefault="001D49D4" w:rsidP="0004348D">
      <w:pPr>
        <w:spacing w:before="360" w:after="240"/>
        <w:rPr>
          <w:rFonts w:ascii="Arial" w:eastAsia="Calibri" w:hAnsi="Arial" w:cs="Arial"/>
          <w:rtl/>
        </w:rPr>
      </w:pPr>
      <w:r w:rsidRPr="001D49D4">
        <w:rPr>
          <w:rFonts w:ascii="Arial" w:eastAsia="Calibri" w:hAnsi="Arial" w:cs="Arial"/>
          <w:u w:val="single"/>
          <w:rtl/>
        </w:rPr>
        <w:t>שטר אחד שהיה כתוב בו "וכל הא דלעיל קיבל עליו בקנין" ולא היה כתוב ביה "במנא דכשר למיקניא ביה":</w:t>
      </w:r>
      <w:r w:rsidRPr="001D49D4">
        <w:rPr>
          <w:rFonts w:ascii="Arial" w:eastAsia="Calibri" w:hAnsi="Arial" w:cs="Arial"/>
          <w:rtl/>
        </w:rPr>
        <w:t xml:space="preserve"> </w:t>
      </w:r>
    </w:p>
    <w:p w14:paraId="743EAEC9" w14:textId="77777777" w:rsidR="001D49D4" w:rsidRPr="001D49D4" w:rsidRDefault="001D49D4" w:rsidP="0004348D">
      <w:pPr>
        <w:numPr>
          <w:ilvl w:val="0"/>
          <w:numId w:val="222"/>
        </w:numPr>
        <w:spacing w:before="360" w:after="240"/>
        <w:contextualSpacing/>
        <w:rPr>
          <w:rFonts w:ascii="Arial" w:hAnsi="Arial"/>
          <w:rtl/>
        </w:rPr>
      </w:pPr>
      <w:r w:rsidRPr="001D49D4">
        <w:rPr>
          <w:rFonts w:ascii="Arial" w:hAnsi="Arial"/>
          <w:rtl/>
        </w:rPr>
        <w:t>תרוה"ד</w:t>
      </w:r>
      <w:r w:rsidRPr="001D49D4">
        <w:rPr>
          <w:rFonts w:ascii="Arial" w:hAnsi="Arial"/>
          <w:sz w:val="16"/>
          <w:szCs w:val="16"/>
          <w:rtl/>
        </w:rPr>
        <w:t xml:space="preserve"> (בפסקים סי' ר"ו</w:t>
      </w:r>
      <w:r w:rsidRPr="001D49D4">
        <w:rPr>
          <w:rFonts w:ascii="Arial" w:hAnsi="Arial"/>
          <w:sz w:val="16"/>
          <w:szCs w:val="16"/>
          <w:vertAlign w:val="superscript"/>
          <w:rtl/>
        </w:rPr>
        <w:footnoteReference w:id="3187"/>
      </w:r>
      <w:r w:rsidRPr="001D49D4">
        <w:rPr>
          <w:rFonts w:ascii="Arial" w:hAnsi="Arial"/>
          <w:sz w:val="16"/>
          <w:szCs w:val="16"/>
          <w:rtl/>
        </w:rPr>
        <w:t>)</w:t>
      </w:r>
      <w:r w:rsidRPr="001D49D4">
        <w:rPr>
          <w:rFonts w:ascii="Arial" w:hAnsi="Arial"/>
          <w:rtl/>
        </w:rPr>
        <w:t>- יש לחוש שקנה בקנין אחר ולא בקנין חליפין, ויד בעל השטר על התחתונה</w:t>
      </w:r>
      <w:r w:rsidRPr="001D49D4">
        <w:rPr>
          <w:rFonts w:ascii="Arial" w:hAnsi="Arial"/>
          <w:vertAlign w:val="superscript"/>
          <w:rtl/>
        </w:rPr>
        <w:footnoteReference w:id="3188"/>
      </w:r>
      <w:r w:rsidRPr="001D49D4">
        <w:rPr>
          <w:rFonts w:ascii="Arial" w:hAnsi="Arial"/>
          <w:rtl/>
        </w:rPr>
        <w:t>.</w:t>
      </w:r>
    </w:p>
    <w:p w14:paraId="23C4585F" w14:textId="77777777" w:rsidR="001D49D4" w:rsidRPr="001D49D4" w:rsidRDefault="001D49D4" w:rsidP="0004348D">
      <w:pPr>
        <w:spacing w:before="360" w:after="240"/>
        <w:rPr>
          <w:rFonts w:ascii="Arial" w:eastAsia="Calibri" w:hAnsi="Arial" w:cs="Arial"/>
          <w:u w:val="dotted"/>
        </w:rPr>
      </w:pPr>
      <w:r w:rsidRPr="001D49D4">
        <w:rPr>
          <w:rFonts w:ascii="Arial" w:eastAsia="Calibri" w:hAnsi="Arial" w:cs="Arial"/>
          <w:u w:val="dotted"/>
          <w:rtl/>
        </w:rPr>
        <w:t>נחלקו האחרונים בפירוש דבריו:</w:t>
      </w:r>
    </w:p>
    <w:p w14:paraId="3E7EF806" w14:textId="77777777" w:rsidR="001D49D4" w:rsidRPr="001D49D4" w:rsidRDefault="001D49D4" w:rsidP="0004348D">
      <w:pPr>
        <w:numPr>
          <w:ilvl w:val="0"/>
          <w:numId w:val="222"/>
        </w:numPr>
        <w:spacing w:before="360" w:after="240"/>
        <w:contextualSpacing/>
        <w:rPr>
          <w:rFonts w:ascii="Arial" w:hAnsi="Arial"/>
          <w:rtl/>
        </w:rPr>
      </w:pPr>
      <w:r w:rsidRPr="001D49D4">
        <w:rPr>
          <w:rFonts w:ascii="Arial" w:hAnsi="Arial"/>
          <w:rtl/>
        </w:rPr>
        <w:t>ט"ז- דבר זה אינו הלכה אלא השטר כשר, דסתם קנין שבתלמוד הוא קנין חליפין כדאיתא בתוס'</w:t>
      </w:r>
      <w:r w:rsidRPr="001D49D4">
        <w:rPr>
          <w:rFonts w:ascii="Arial" w:hAnsi="Arial"/>
          <w:sz w:val="16"/>
          <w:szCs w:val="16"/>
          <w:rtl/>
        </w:rPr>
        <w:t xml:space="preserve"> (ב"מ סו. ד"ה ומניומי)</w:t>
      </w:r>
      <w:r w:rsidRPr="001D49D4">
        <w:rPr>
          <w:rFonts w:ascii="Arial" w:hAnsi="Arial"/>
          <w:rtl/>
        </w:rPr>
        <w:t xml:space="preserve">, וראיית מהרא"י מהתוס' </w:t>
      </w:r>
      <w:r w:rsidRPr="001D49D4">
        <w:rPr>
          <w:rFonts w:ascii="Arial" w:hAnsi="Arial"/>
          <w:sz w:val="16"/>
          <w:szCs w:val="16"/>
          <w:rtl/>
        </w:rPr>
        <w:t>(כתובות נה: ד"ה מתנת)</w:t>
      </w:r>
      <w:r w:rsidRPr="001D49D4">
        <w:rPr>
          <w:rFonts w:ascii="Arial" w:hAnsi="Arial"/>
          <w:rtl/>
        </w:rPr>
        <w:t xml:space="preserve"> בשם ריצב"א אינה ראיה למעיין שם. ועוד שהרי כ' הרמ"א</w:t>
      </w:r>
      <w:r w:rsidRPr="001D49D4">
        <w:rPr>
          <w:rFonts w:ascii="Arial" w:hAnsi="Arial"/>
          <w:sz w:val="16"/>
          <w:szCs w:val="16"/>
          <w:rtl/>
        </w:rPr>
        <w:t xml:space="preserve"> (חו"מ סי' רי"ב סע"א)</w:t>
      </w:r>
      <w:r w:rsidRPr="001D49D4">
        <w:rPr>
          <w:rFonts w:ascii="Arial" w:hAnsi="Arial"/>
          <w:rtl/>
        </w:rPr>
        <w:t xml:space="preserve"> "ושטר שכתוב בו... וקנו ממנו על זה, יש לפרש השטר שקנה ממנו בענין המועיל וכו". והב"י </w:t>
      </w:r>
      <w:r w:rsidRPr="001D49D4">
        <w:rPr>
          <w:rFonts w:ascii="Arial" w:hAnsi="Arial"/>
          <w:sz w:val="16"/>
          <w:szCs w:val="16"/>
          <w:rtl/>
        </w:rPr>
        <w:t>(בדה"ב חו"מ סי' קצ"ה מחודש כ"ד)</w:t>
      </w:r>
      <w:r w:rsidRPr="001D49D4">
        <w:rPr>
          <w:rFonts w:ascii="Arial" w:hAnsi="Arial"/>
          <w:rtl/>
        </w:rPr>
        <w:t xml:space="preserve"> כ' על דברי מהרא"י הללו- "ואין דבריו נראים לי דמסתמא אמרינן שקנה במנא דכשר ומה שנוהגים לכתוב בשטרות אינו אלא לרווחא דמילתא", על כן אין לסמוך כלל על דברי מהרא"י בזה אף שהביאו בסמ"ע.</w:t>
      </w:r>
    </w:p>
    <w:p w14:paraId="27FDCAE8" w14:textId="77777777" w:rsidR="001D49D4" w:rsidRPr="001D49D4" w:rsidRDefault="001D49D4" w:rsidP="0004348D">
      <w:pPr>
        <w:numPr>
          <w:ilvl w:val="0"/>
          <w:numId w:val="222"/>
        </w:numPr>
        <w:spacing w:before="360" w:after="240"/>
        <w:contextualSpacing/>
        <w:rPr>
          <w:rFonts w:ascii="Arial" w:hAnsi="Arial"/>
        </w:rPr>
      </w:pPr>
      <w:r w:rsidRPr="001D49D4">
        <w:rPr>
          <w:rFonts w:ascii="Arial" w:hAnsi="Arial"/>
          <w:rtl/>
        </w:rPr>
        <w:t>ש"ך</w:t>
      </w:r>
      <w:r w:rsidRPr="001D49D4">
        <w:rPr>
          <w:rFonts w:ascii="Arial" w:hAnsi="Arial"/>
          <w:sz w:val="16"/>
          <w:szCs w:val="16"/>
          <w:rtl/>
        </w:rPr>
        <w:t xml:space="preserve"> (סקי"א)</w:t>
      </w:r>
      <w:r w:rsidRPr="001D49D4">
        <w:rPr>
          <w:rFonts w:ascii="Arial" w:hAnsi="Arial"/>
          <w:rtl/>
        </w:rPr>
        <w:t xml:space="preserve">- </w:t>
      </w:r>
      <w:r w:rsidRPr="001D49D4">
        <w:rPr>
          <w:rFonts w:ascii="Arial" w:hAnsi="Arial"/>
          <w:vertAlign w:val="superscript"/>
          <w:rtl/>
        </w:rPr>
        <w:footnoteReference w:id="3189"/>
      </w:r>
      <w:r w:rsidRPr="001D49D4">
        <w:rPr>
          <w:rFonts w:ascii="Arial" w:hAnsi="Arial"/>
          <w:rtl/>
        </w:rPr>
        <w:t>המקרה שדיבר בו תרוה"ד הוא שהסופר טעה והיה סבור שאותו קנין האחר היה מועיל, והוא בענין דמספקינן בהאי דינא אי מועיל.</w:t>
      </w:r>
    </w:p>
    <w:p w14:paraId="4E5E001F" w14:textId="77777777" w:rsidR="001D49D4" w:rsidRPr="001D49D4" w:rsidRDefault="001D49D4" w:rsidP="0004348D">
      <w:pPr>
        <w:numPr>
          <w:ilvl w:val="0"/>
          <w:numId w:val="222"/>
        </w:numPr>
        <w:spacing w:before="360" w:after="240"/>
        <w:contextualSpacing/>
        <w:rPr>
          <w:rFonts w:ascii="Arial" w:hAnsi="Arial"/>
        </w:rPr>
      </w:pPr>
      <w:r w:rsidRPr="001D49D4">
        <w:rPr>
          <w:rFonts w:ascii="Arial" w:hAnsi="Arial"/>
          <w:rtl/>
        </w:rPr>
        <w:t>חכם צבי</w:t>
      </w:r>
      <w:r w:rsidRPr="001D49D4">
        <w:rPr>
          <w:rFonts w:ascii="Arial" w:hAnsi="Arial"/>
          <w:vertAlign w:val="superscript"/>
          <w:rtl/>
        </w:rPr>
        <w:footnoteReference w:id="3190"/>
      </w:r>
      <w:r w:rsidRPr="001D49D4">
        <w:rPr>
          <w:rFonts w:ascii="Arial" w:hAnsi="Arial"/>
          <w:sz w:val="16"/>
          <w:szCs w:val="16"/>
          <w:rtl/>
        </w:rPr>
        <w:t xml:space="preserve"> </w:t>
      </w:r>
      <w:r w:rsidRPr="001D49D4">
        <w:rPr>
          <w:rFonts w:ascii="Arial" w:hAnsi="Arial"/>
          <w:rtl/>
        </w:rPr>
        <w:t xml:space="preserve"> תומים </w:t>
      </w:r>
      <w:r w:rsidRPr="001D49D4">
        <w:rPr>
          <w:rFonts w:ascii="Arial" w:hAnsi="Arial"/>
          <w:sz w:val="16"/>
          <w:szCs w:val="16"/>
          <w:rtl/>
        </w:rPr>
        <w:t>(סק"ו)</w:t>
      </w:r>
      <w:r w:rsidRPr="001D49D4">
        <w:rPr>
          <w:rFonts w:ascii="Arial" w:hAnsi="Arial"/>
          <w:rtl/>
        </w:rPr>
        <w:t xml:space="preserve"> ונתיבות </w:t>
      </w:r>
      <w:r w:rsidRPr="001D49D4">
        <w:rPr>
          <w:rFonts w:ascii="Arial" w:hAnsi="Arial"/>
          <w:sz w:val="16"/>
          <w:szCs w:val="16"/>
          <w:rtl/>
        </w:rPr>
        <w:t>(משה"כ סקי"ג)</w:t>
      </w:r>
      <w:r w:rsidRPr="001D49D4">
        <w:rPr>
          <w:rFonts w:ascii="Arial" w:hAnsi="Arial"/>
          <w:rtl/>
        </w:rPr>
        <w:t xml:space="preserve">- במקרה שעליו דיבר מהרא"י הוא בשטר שלא היה מועיל בו קנין חליפין ע"י מטבע וכדו', והיה צריך להקנותו אגב קרקע וכדו', והשואל למהרא"י הביא ראיה מתוס' </w:t>
      </w:r>
      <w:r w:rsidRPr="001D49D4">
        <w:rPr>
          <w:rFonts w:ascii="Arial" w:hAnsi="Arial"/>
          <w:sz w:val="16"/>
          <w:szCs w:val="16"/>
          <w:rtl/>
        </w:rPr>
        <w:t xml:space="preserve">(ב"מ סו. ד"ה ומניומי) </w:t>
      </w:r>
      <w:r w:rsidRPr="001D49D4">
        <w:rPr>
          <w:rFonts w:ascii="Arial" w:hAnsi="Arial"/>
          <w:rtl/>
        </w:rPr>
        <w:t>דסתם קנין הוא חליפין וא"כ השטר בטל דלא היה מועיל קנין חליפין באותו הנידון, והשיב מהרא"י דריצב"א חילק, דקנו מיניה משמע שפיר קנין חזקה, ר"ל שאע"פ שאינו קנין סודר מיקרי שפיר קנו מיניה סתמא, ואף קנין אגב קרקע איכא למישמע מקנו מיניה, וכ"ש כי האי לישנא שכ' קנין גמור- ר"ל קנין המועיל, ויש לנו לומר שהקנה אגב קרקע או במשיכה או בחזקה או כיוצא בה כדי שיהא השטר קיים, וא"כ היה מן הראוי לקיים השטר. ומ"מ חזר בו מהרא"י מטעם דיד בעל השטר על התחתונה, ואמרינן מסתמא כיון לסתם קנין שהוא קנין חליפין, וממילא השטר בטל, ומכיון דמידי ספיקא לא נפקי- המוציא מחבירו עליו הראיה, ואמרינן דהיה בקנין סודר ובטל שטר.</w:t>
      </w:r>
    </w:p>
    <w:p w14:paraId="073776F0" w14:textId="77777777" w:rsidR="001D49D4" w:rsidRPr="001D49D4" w:rsidRDefault="001D49D4" w:rsidP="0004348D">
      <w:pPr>
        <w:spacing w:before="360" w:after="240"/>
        <w:rPr>
          <w:rFonts w:ascii="Arial" w:eastAsia="Calibri" w:hAnsi="Arial" w:cs="Arial"/>
          <w:u w:val="single"/>
        </w:rPr>
      </w:pPr>
      <w:r w:rsidRPr="001D49D4">
        <w:rPr>
          <w:rFonts w:ascii="Arial" w:eastAsia="Calibri" w:hAnsi="Arial" w:cs="Arial"/>
          <w:u w:val="single"/>
          <w:rtl/>
        </w:rPr>
        <w:t>האם הולכים אחר התחתון גם כששתי הלשונות שונות לגמרי:</w:t>
      </w:r>
      <w:r w:rsidRPr="001D49D4">
        <w:rPr>
          <w:rFonts w:ascii="Arial" w:eastAsia="Calibri" w:hAnsi="Arial" w:cs="Arial"/>
          <w:sz w:val="16"/>
          <w:szCs w:val="16"/>
          <w:rtl/>
        </w:rPr>
        <w:t xml:space="preserve">   (פת"ש סק"ג)</w:t>
      </w:r>
    </w:p>
    <w:p w14:paraId="75DA8836" w14:textId="77777777" w:rsidR="001D49D4" w:rsidRPr="001D49D4" w:rsidRDefault="001D49D4" w:rsidP="0004348D">
      <w:pPr>
        <w:numPr>
          <w:ilvl w:val="0"/>
          <w:numId w:val="222"/>
        </w:numPr>
        <w:spacing w:before="360" w:after="240"/>
        <w:contextualSpacing/>
        <w:rPr>
          <w:rFonts w:ascii="Arial" w:hAnsi="Arial"/>
          <w:rtl/>
        </w:rPr>
      </w:pPr>
      <w:r w:rsidRPr="001D49D4">
        <w:rPr>
          <w:rFonts w:ascii="Arial" w:hAnsi="Arial"/>
          <w:rtl/>
        </w:rPr>
        <w:t xml:space="preserve">חוט השני </w:t>
      </w:r>
      <w:r w:rsidRPr="001D49D4">
        <w:rPr>
          <w:rFonts w:ascii="Arial" w:hAnsi="Arial"/>
          <w:sz w:val="16"/>
          <w:szCs w:val="16"/>
          <w:rtl/>
        </w:rPr>
        <w:t>(ס"ס ל"ט)</w:t>
      </w:r>
      <w:r w:rsidRPr="001D49D4">
        <w:rPr>
          <w:rFonts w:ascii="Arial" w:hAnsi="Arial"/>
          <w:rtl/>
        </w:rPr>
        <w:t xml:space="preserve">- יש להסתפק אם דין זה שייך בכל מילי, שאפשר שאינו שייך אלא במנה ומאתים שיש בכלל מאתים מנה, אבל אם כתב למעלה חבית של יין ולמטה של שמן, אפשר שהוא פסול. ועוד דנראה לחלק ולומר דוקא חזרה התלויה בבעלי הדבר אמרינן, אבל חזרה התלויה בעדים </w:t>
      </w:r>
      <w:r w:rsidRPr="001D49D4">
        <w:rPr>
          <w:rFonts w:ascii="Arial" w:hAnsi="Arial"/>
          <w:sz w:val="16"/>
          <w:szCs w:val="16"/>
          <w:rtl/>
        </w:rPr>
        <w:t>(כמו בנידון דידיה שהיה שינוי בזמן)</w:t>
      </w:r>
      <w:r w:rsidRPr="001D49D4">
        <w:rPr>
          <w:rFonts w:ascii="Arial" w:hAnsi="Arial"/>
          <w:rtl/>
        </w:rPr>
        <w:t xml:space="preserve"> לא אמרינן, שהרי מה שהתחיל לכתוב שנת שמ"ז הוא זיוף ומוקדם, ולא שייך לומר חזר בו, דמ"מ מתחילה לא ניתן לכתוב, וכן עיקר.</w:t>
      </w:r>
    </w:p>
    <w:p w14:paraId="5BA87434" w14:textId="77777777" w:rsidR="001D49D4" w:rsidRPr="001D49D4" w:rsidRDefault="001D49D4" w:rsidP="0004348D">
      <w:pPr>
        <w:spacing w:before="360" w:after="240"/>
        <w:rPr>
          <w:rFonts w:ascii="Arial" w:eastAsia="Calibri" w:hAnsi="Arial" w:cs="Arial"/>
          <w:u w:val="single"/>
        </w:rPr>
      </w:pPr>
      <w:r w:rsidRPr="001D49D4">
        <w:rPr>
          <w:rFonts w:ascii="Arial" w:eastAsia="Calibri" w:hAnsi="Arial" w:cs="Arial"/>
          <w:u w:val="single"/>
          <w:rtl/>
        </w:rPr>
        <w:t>האם יד בעל השטר על התחתונה אף שכותבים בכל נוסחי השטרות בשבועה דאו' ובחרם חמור בתקיעת כף:</w:t>
      </w:r>
    </w:p>
    <w:p w14:paraId="687EE101" w14:textId="77777777" w:rsidR="001D49D4" w:rsidRPr="001D49D4" w:rsidRDefault="001D49D4" w:rsidP="0004348D">
      <w:pPr>
        <w:numPr>
          <w:ilvl w:val="0"/>
          <w:numId w:val="222"/>
        </w:numPr>
        <w:spacing w:before="360" w:after="240"/>
        <w:contextualSpacing/>
        <w:rPr>
          <w:rFonts w:ascii="Arial" w:hAnsi="Arial"/>
        </w:rPr>
      </w:pPr>
      <w:r w:rsidRPr="001D49D4">
        <w:rPr>
          <w:rFonts w:ascii="Arial" w:hAnsi="Arial"/>
          <w:rtl/>
        </w:rPr>
        <w:t xml:space="preserve">שבות יעקב </w:t>
      </w:r>
      <w:r w:rsidRPr="001D49D4">
        <w:rPr>
          <w:rFonts w:ascii="Arial" w:hAnsi="Arial"/>
          <w:sz w:val="16"/>
          <w:szCs w:val="16"/>
          <w:rtl/>
        </w:rPr>
        <w:t>(בתשו' ח"ב סי' קנ"ב, הובא בפת"ש סק"ד)</w:t>
      </w:r>
      <w:r w:rsidRPr="001D49D4">
        <w:rPr>
          <w:rFonts w:ascii="Arial" w:hAnsi="Arial"/>
          <w:rtl/>
        </w:rPr>
        <w:t xml:space="preserve">- אף דכותבין בכל נוסחי השטרות בשבועה דאורייתא ובחרם חמור בתקיעת כף בפועל ממש </w:t>
      </w:r>
      <w:r w:rsidRPr="001D49D4">
        <w:rPr>
          <w:rFonts w:ascii="Arial" w:hAnsi="Arial"/>
          <w:sz w:val="16"/>
          <w:szCs w:val="16"/>
          <w:rtl/>
        </w:rPr>
        <w:t>(וספק שבועה או חרם ותקיעת כף ראוי להחמיר)</w:t>
      </w:r>
      <w:r w:rsidRPr="001D49D4">
        <w:rPr>
          <w:rFonts w:ascii="Arial" w:hAnsi="Arial"/>
          <w:rtl/>
        </w:rPr>
        <w:t xml:space="preserve">, מ"מ לענין ממון אמרינן יד בעל השטר </w:t>
      </w:r>
      <w:r w:rsidRPr="001D49D4">
        <w:rPr>
          <w:rFonts w:ascii="Arial" w:hAnsi="Arial"/>
          <w:rtl/>
        </w:rPr>
        <w:lastRenderedPageBreak/>
        <w:t xml:space="preserve">על התחתונה ואין מוציאין מיד המוחזק. ותו, דאף שכותבין בשטרות שנעשו בפועל ממש, מ"מ הכל יודעין שאין עושין שום שבועה ותקיעת כף כלל </w:t>
      </w:r>
      <w:r w:rsidRPr="001D49D4">
        <w:rPr>
          <w:rFonts w:ascii="Arial" w:hAnsi="Arial"/>
          <w:sz w:val="16"/>
          <w:szCs w:val="16"/>
          <w:rtl/>
        </w:rPr>
        <w:t>(ומ"מ אין בזה משום עדות שקר, דבעל השטר מקבל על עצמו לקיים כאילו נשבע בפועל ממש דלא יהא בו משום אסמכתא וקנין דברים, אבל לא שיהא בו משום חומר שבועה ממש)</w:t>
      </w:r>
      <w:r w:rsidRPr="001D49D4">
        <w:rPr>
          <w:rFonts w:ascii="Arial" w:hAnsi="Arial"/>
          <w:rtl/>
        </w:rPr>
        <w:t>.</w:t>
      </w:r>
    </w:p>
    <w:p w14:paraId="668AD5B4" w14:textId="77777777" w:rsidR="001D49D4" w:rsidRPr="001D49D4" w:rsidRDefault="001D49D4" w:rsidP="0004348D">
      <w:pPr>
        <w:spacing w:before="360" w:after="240"/>
        <w:rPr>
          <w:rFonts w:ascii="Arial" w:eastAsia="Calibri" w:hAnsi="Arial" w:cs="Arial"/>
          <w:u w:val="single"/>
        </w:rPr>
      </w:pPr>
      <w:r w:rsidRPr="001D49D4">
        <w:rPr>
          <w:rFonts w:ascii="Arial" w:eastAsia="Calibri" w:hAnsi="Arial" w:cs="Arial"/>
          <w:u w:val="single"/>
          <w:rtl/>
        </w:rPr>
        <w:t>שטר שכותבים בו דהכל יהיה נדרש לטובת בעל השטר:</w:t>
      </w:r>
      <w:r w:rsidRPr="001D49D4">
        <w:rPr>
          <w:rFonts w:ascii="Arial" w:eastAsia="Calibri" w:hAnsi="Arial" w:cs="Arial"/>
          <w:sz w:val="16"/>
          <w:szCs w:val="16"/>
          <w:rtl/>
        </w:rPr>
        <w:t xml:space="preserve">    (פת"ש סק"ד)</w:t>
      </w:r>
    </w:p>
    <w:p w14:paraId="77353B45" w14:textId="77777777" w:rsidR="001D49D4" w:rsidRPr="001D49D4" w:rsidRDefault="001D49D4" w:rsidP="0004348D">
      <w:pPr>
        <w:numPr>
          <w:ilvl w:val="0"/>
          <w:numId w:val="222"/>
        </w:numPr>
        <w:spacing w:before="360" w:after="240"/>
        <w:contextualSpacing/>
        <w:rPr>
          <w:rFonts w:ascii="Arial" w:hAnsi="Arial"/>
        </w:rPr>
      </w:pPr>
      <w:r w:rsidRPr="001D49D4">
        <w:rPr>
          <w:rFonts w:ascii="Arial" w:hAnsi="Arial"/>
          <w:rtl/>
        </w:rPr>
        <w:t>רעק"א</w:t>
      </w:r>
      <w:r w:rsidRPr="001D49D4">
        <w:rPr>
          <w:rFonts w:ascii="Arial" w:hAnsi="Arial"/>
          <w:sz w:val="16"/>
          <w:szCs w:val="16"/>
          <w:rtl/>
        </w:rPr>
        <w:t xml:space="preserve"> (בתשו' ח"א ס"ס קכ"ט)</w:t>
      </w:r>
      <w:r w:rsidRPr="001D49D4">
        <w:rPr>
          <w:rFonts w:ascii="Arial" w:hAnsi="Arial"/>
          <w:rtl/>
        </w:rPr>
        <w:t>- אף בשטר חצי זכר שכותבים בו דהכל יהיה נדרש לטובת בעל השטר, אם הספק הוא בפירוש השטר- יד בעל השטר על התחתונה, אבל בספיקא דדינא לא, אבל, גם בספיקא דדינא אם שורש הספק תלוי בפירוש השטר, אמרינן יד בעל השטר על העליונה, זולת היכא שהוא נגד המנהג.</w:t>
      </w:r>
    </w:p>
    <w:p w14:paraId="502FC0F3" w14:textId="77777777" w:rsidR="001D49D4" w:rsidRPr="001D49D4" w:rsidRDefault="001D49D4" w:rsidP="0004348D">
      <w:pPr>
        <w:spacing w:before="360" w:after="240"/>
        <w:rPr>
          <w:rFonts w:ascii="Arial" w:eastAsia="Calibri" w:hAnsi="Arial" w:cs="Arial"/>
        </w:rPr>
      </w:pPr>
    </w:p>
    <w:p w14:paraId="5309FFEB" w14:textId="77777777" w:rsidR="001D49D4" w:rsidRPr="001D49D4" w:rsidRDefault="001D49D4" w:rsidP="0004348D">
      <w:pPr>
        <w:keepNext/>
        <w:keepLines/>
        <w:spacing w:before="360" w:after="240"/>
        <w:outlineLvl w:val="1"/>
        <w:rPr>
          <w:rFonts w:ascii="Arial" w:eastAsia="Times New Roman" w:hAnsi="Arial" w:cs="Arial"/>
          <w:bCs/>
          <w:color w:val="548DD4" w:themeColor="text2" w:themeTint="99"/>
          <w:sz w:val="26"/>
          <w:szCs w:val="26"/>
          <w:rtl/>
        </w:rPr>
      </w:pPr>
      <w:bookmarkStart w:id="418" w:name="_Toc24883858"/>
      <w:r w:rsidRPr="001D49D4">
        <w:rPr>
          <w:rFonts w:ascii="Arial" w:eastAsia="Times New Roman" w:hAnsi="Arial" w:cs="Arial"/>
          <w:bCs/>
          <w:color w:val="548DD4" w:themeColor="text2" w:themeTint="99"/>
          <w:sz w:val="26"/>
          <w:szCs w:val="26"/>
          <w:rtl/>
        </w:rPr>
        <w:t>סעיף ו: נמחק מהתחתון אות אחת, ואפשר להבין עניינו מהעליון.</w:t>
      </w:r>
      <w:bookmarkEnd w:id="418"/>
    </w:p>
    <w:p w14:paraId="41ABCBD0" w14:textId="77777777" w:rsidR="001D49D4" w:rsidRPr="001D49D4" w:rsidRDefault="001D49D4" w:rsidP="0004348D">
      <w:pPr>
        <w:spacing w:before="360" w:after="240"/>
        <w:rPr>
          <w:rFonts w:ascii="Arial" w:eastAsia="Calibri" w:hAnsi="Arial" w:cs="Arial"/>
          <w:rtl/>
        </w:rPr>
      </w:pPr>
      <w:r w:rsidRPr="001D49D4">
        <w:rPr>
          <w:rFonts w:ascii="Arial" w:eastAsia="Calibri" w:hAnsi="Arial" w:cs="Arial"/>
          <w:b/>
          <w:bCs/>
          <w:rtl/>
        </w:rPr>
        <w:t xml:space="preserve">בבא בתרא קסה ע"ב: </w:t>
      </w:r>
      <w:r w:rsidRPr="001D49D4">
        <w:rPr>
          <w:rFonts w:ascii="Arial" w:eastAsia="Calibri" w:hAnsi="Arial" w:cs="Arial"/>
          <w:u w:val="double"/>
          <w:rtl/>
        </w:rPr>
        <w:t>מתני':</w:t>
      </w:r>
      <w:r w:rsidRPr="001D49D4">
        <w:rPr>
          <w:rFonts w:ascii="Arial" w:eastAsia="Calibri" w:hAnsi="Arial" w:cs="Arial"/>
          <w:rtl/>
        </w:rPr>
        <w:t xml:space="preserve"> כתוב בו מלמעלה מנה ומלמטה</w:t>
      </w:r>
      <w:r w:rsidRPr="001D49D4">
        <w:rPr>
          <w:rFonts w:ascii="Arial" w:eastAsia="Calibri" w:hAnsi="Arial" w:cs="Arial"/>
          <w:vertAlign w:val="superscript"/>
          <w:rtl/>
        </w:rPr>
        <w:footnoteReference w:id="3191"/>
      </w:r>
      <w:r w:rsidRPr="001D49D4">
        <w:rPr>
          <w:rFonts w:ascii="Arial" w:eastAsia="Calibri" w:hAnsi="Arial" w:cs="Arial"/>
          <w:rtl/>
        </w:rPr>
        <w:t xml:space="preserve"> מאתים, מלמעלה מאתים ומלמטה מנה- הכל הולך אחר התחתון</w:t>
      </w:r>
      <w:r w:rsidRPr="001D49D4">
        <w:rPr>
          <w:rFonts w:ascii="Arial" w:eastAsia="Calibri" w:hAnsi="Arial" w:cs="Arial"/>
          <w:vertAlign w:val="superscript"/>
          <w:rtl/>
        </w:rPr>
        <w:footnoteReference w:id="3192"/>
      </w:r>
      <w:r w:rsidRPr="001D49D4">
        <w:rPr>
          <w:rFonts w:ascii="Arial" w:eastAsia="Calibri" w:hAnsi="Arial" w:cs="Arial"/>
          <w:rtl/>
        </w:rPr>
        <w:t>. א"כ למה כותבין את העליון</w:t>
      </w:r>
      <w:r w:rsidRPr="001D49D4">
        <w:rPr>
          <w:rFonts w:ascii="Arial" w:eastAsia="Calibri" w:hAnsi="Arial" w:cs="Arial"/>
          <w:vertAlign w:val="superscript"/>
          <w:rtl/>
        </w:rPr>
        <w:footnoteReference w:id="3193"/>
      </w:r>
      <w:r w:rsidRPr="001D49D4">
        <w:rPr>
          <w:rFonts w:ascii="Arial" w:eastAsia="Calibri" w:hAnsi="Arial" w:cs="Arial"/>
          <w:rtl/>
        </w:rPr>
        <w:t>? שאם תמחק</w:t>
      </w:r>
      <w:r w:rsidRPr="001D49D4">
        <w:rPr>
          <w:rFonts w:ascii="Arial" w:eastAsia="Calibri" w:hAnsi="Arial" w:cs="Arial"/>
          <w:vertAlign w:val="superscript"/>
          <w:rtl/>
        </w:rPr>
        <w:footnoteReference w:id="3194"/>
      </w:r>
      <w:r w:rsidRPr="001D49D4">
        <w:rPr>
          <w:rFonts w:ascii="Arial" w:eastAsia="Calibri" w:hAnsi="Arial" w:cs="Arial"/>
          <w:rtl/>
        </w:rPr>
        <w:t xml:space="preserve"> אות אחת מן התחתון ילמד מן העליון.      </w:t>
      </w:r>
      <w:r w:rsidRPr="001D49D4">
        <w:rPr>
          <w:rFonts w:ascii="Arial" w:eastAsia="Calibri" w:hAnsi="Arial" w:cs="Arial"/>
          <w:u w:val="double"/>
          <w:rtl/>
        </w:rPr>
        <w:t>גמ':</w:t>
      </w:r>
      <w:r w:rsidRPr="001D49D4">
        <w:rPr>
          <w:rFonts w:ascii="Arial" w:eastAsia="Calibri" w:hAnsi="Arial" w:cs="Arial"/>
          <w:rtl/>
        </w:rPr>
        <w:t xml:space="preserve"> תנו רבנן: ילמד התחתון מן העליון באות אחת אבל לא בשתי אותיות, כגון חנן מחנני וענן מענני. מאי שנא שתי אותיות דלא? דלמא מיתרמי שם בן ארבע אותיות והוה ליה פלגיה דשמא; אי הכי, אות אחת נמי, דלמא מיתרמי שם בן שתי אותיות והוה ליה פלגיה דשמא! אלא שתי אותיות היינו טעמא דלמא מיתרמי שם בן שלש אותיות והוה ליה רובא דשמא</w:t>
      </w:r>
      <w:r w:rsidRPr="001D49D4">
        <w:rPr>
          <w:rFonts w:ascii="Arial" w:eastAsia="Calibri" w:hAnsi="Arial" w:cs="Arial"/>
          <w:vertAlign w:val="superscript"/>
          <w:rtl/>
        </w:rPr>
        <w:footnoteReference w:id="3195"/>
      </w:r>
      <w:r w:rsidRPr="001D49D4">
        <w:rPr>
          <w:rFonts w:ascii="Arial" w:eastAsia="Calibri" w:hAnsi="Arial" w:cs="Arial"/>
          <w:rtl/>
        </w:rPr>
        <w:t xml:space="preserve">. </w:t>
      </w:r>
    </w:p>
    <w:p w14:paraId="76B6C48C" w14:textId="77777777" w:rsidR="001D49D4" w:rsidRPr="001D49D4" w:rsidRDefault="001D49D4" w:rsidP="0004348D">
      <w:pPr>
        <w:spacing w:before="360" w:after="240"/>
        <w:rPr>
          <w:rFonts w:ascii="Arial" w:eastAsia="Calibri" w:hAnsi="Arial" w:cs="Arial"/>
          <w:u w:val="single"/>
          <w:rtl/>
        </w:rPr>
      </w:pPr>
      <w:r w:rsidRPr="001D49D4">
        <w:rPr>
          <w:rFonts w:ascii="Arial" w:eastAsia="Calibri" w:hAnsi="Arial" w:cs="Arial"/>
          <w:b/>
          <w:bCs/>
          <w:rtl/>
        </w:rPr>
        <w:t xml:space="preserve">ירושלמי </w:t>
      </w:r>
      <w:r w:rsidRPr="001D49D4">
        <w:rPr>
          <w:rFonts w:ascii="Arial" w:eastAsia="Calibri" w:hAnsi="Arial" w:cs="Arial"/>
          <w:b/>
          <w:bCs/>
          <w:sz w:val="16"/>
          <w:szCs w:val="16"/>
          <w:rtl/>
        </w:rPr>
        <w:t>(וילנא)</w:t>
      </w:r>
      <w:r w:rsidRPr="001D49D4">
        <w:rPr>
          <w:rFonts w:ascii="Arial" w:eastAsia="Calibri" w:hAnsi="Arial" w:cs="Arial"/>
          <w:b/>
          <w:bCs/>
          <w:rtl/>
        </w:rPr>
        <w:t xml:space="preserve"> בבא בתרא פ"י ה"ג:</w:t>
      </w:r>
      <w:r w:rsidRPr="001D49D4">
        <w:rPr>
          <w:rFonts w:ascii="Arial" w:eastAsia="Calibri" w:hAnsi="Arial" w:cs="Arial"/>
          <w:rtl/>
        </w:rPr>
        <w:t xml:space="preserve"> </w:t>
      </w:r>
      <w:r w:rsidRPr="001D49D4">
        <w:rPr>
          <w:rFonts w:ascii="Arial" w:eastAsia="Calibri" w:hAnsi="Arial" w:cs="Arial"/>
          <w:u w:val="single"/>
          <w:rtl/>
        </w:rPr>
        <w:t>ר' יצחק שאל</w:t>
      </w:r>
      <w:r w:rsidRPr="001D49D4">
        <w:rPr>
          <w:rFonts w:ascii="Arial" w:eastAsia="Calibri" w:hAnsi="Arial" w:cs="Arial"/>
          <w:rtl/>
        </w:rPr>
        <w:t>: מלמעלן כתוב חנן ומלמטן נני מהו ללמד התחתון מעליון חנן ועליון מתחתון נני.</w:t>
      </w:r>
      <w:r w:rsidRPr="001D49D4">
        <w:rPr>
          <w:rFonts w:ascii="Arial" w:eastAsia="Calibri" w:hAnsi="Arial" w:cs="Arial"/>
          <w:sz w:val="16"/>
          <w:szCs w:val="16"/>
          <w:rtl/>
        </w:rPr>
        <w:t xml:space="preserve"> (הביאו הה"מ (פכ"ז הי"ד) וכ' דלא איפשיטא. וכ' הב"י דלא יגבה בשטר זה משום אחד מהם ואם הוא שטר מתנה לא ינתן לשום אחד דהמוציא מחבירו עליו הראיה</w:t>
      </w:r>
      <w:r w:rsidRPr="001D49D4">
        <w:rPr>
          <w:rFonts w:ascii="Arial" w:eastAsia="Calibri" w:hAnsi="Arial" w:cs="Arial"/>
          <w:sz w:val="18"/>
          <w:szCs w:val="18"/>
          <w:vertAlign w:val="superscript"/>
          <w:rtl/>
        </w:rPr>
        <w:footnoteReference w:id="3196"/>
      </w:r>
      <w:r w:rsidRPr="001D49D4">
        <w:rPr>
          <w:rFonts w:ascii="Arial" w:eastAsia="Calibri" w:hAnsi="Arial" w:cs="Arial"/>
          <w:sz w:val="16"/>
          <w:szCs w:val="16"/>
          <w:rtl/>
        </w:rPr>
        <w:t>)</w:t>
      </w:r>
    </w:p>
    <w:p w14:paraId="5C9F34D4" w14:textId="77777777" w:rsidR="001D49D4" w:rsidRPr="001D49D4" w:rsidRDefault="001D49D4" w:rsidP="0004348D">
      <w:pPr>
        <w:spacing w:before="360" w:after="240"/>
        <w:jc w:val="both"/>
        <w:rPr>
          <w:rFonts w:ascii="Arial" w:eastAsia="Calibri" w:hAnsi="Arial" w:cs="Arial"/>
          <w:rtl/>
        </w:rPr>
      </w:pPr>
      <w:r w:rsidRPr="001D49D4">
        <w:rPr>
          <w:rFonts w:ascii="Arial" w:eastAsia="Calibri" w:hAnsi="Arial" w:cs="Arial"/>
          <w:b/>
          <w:bCs/>
          <w:sz w:val="32"/>
          <w:szCs w:val="28"/>
          <w:u w:val="single"/>
          <w:rtl/>
        </w:rPr>
        <w:t xml:space="preserve">שו"ע: </w:t>
      </w:r>
    </w:p>
    <w:p w14:paraId="62BAA086" w14:textId="77777777" w:rsidR="001D49D4" w:rsidRPr="001D49D4" w:rsidRDefault="001D49D4" w:rsidP="0004348D">
      <w:pPr>
        <w:spacing w:before="360" w:after="240"/>
        <w:rPr>
          <w:rFonts w:ascii="Arial" w:eastAsia="Calibri" w:hAnsi="Arial" w:cs="Arial"/>
          <w:rtl/>
        </w:rPr>
      </w:pPr>
      <w:r w:rsidRPr="001D49D4">
        <w:rPr>
          <w:rFonts w:ascii="Arial" w:eastAsia="Calibri" w:hAnsi="Arial" w:cs="Arial"/>
          <w:rtl/>
        </w:rPr>
        <w:t>אם נמחק מהתחתון אות אחת שאפשר להבין עניינו מהעליון למדין ממנו, כגון שכתוב למעלה שנתחייב לחנני ולמטה כתוב לחנן ילמד תחתון מעליון וינתן לחנני</w:t>
      </w:r>
      <w:r w:rsidRPr="001D49D4">
        <w:rPr>
          <w:rFonts w:ascii="Arial" w:eastAsia="Calibri" w:hAnsi="Arial" w:cs="Arial"/>
          <w:vertAlign w:val="superscript"/>
          <w:rtl/>
        </w:rPr>
        <w:footnoteReference w:id="3197"/>
      </w:r>
      <w:r w:rsidRPr="001D49D4">
        <w:rPr>
          <w:rFonts w:ascii="Arial" w:eastAsia="Calibri" w:hAnsi="Arial" w:cs="Arial"/>
          <w:rtl/>
        </w:rPr>
        <w:t>, אבל שני אותיות אין למדים כגון למעלה חנני ולמטה חן, ואפילו אם יש בתיבה העליונה ששה אותיות ולא נמחק בתחתון אלא שתים אין למדין ממנו, וכיון שאין למדין וידוע שנמחק השטר פסול ואין גובין בו</w:t>
      </w:r>
      <w:r w:rsidRPr="001D49D4">
        <w:rPr>
          <w:rFonts w:ascii="Arial" w:eastAsia="Calibri" w:hAnsi="Arial" w:cs="Arial"/>
          <w:vertAlign w:val="superscript"/>
          <w:rtl/>
        </w:rPr>
        <w:footnoteReference w:id="3198"/>
      </w:r>
      <w:r w:rsidRPr="001D49D4">
        <w:rPr>
          <w:rFonts w:ascii="Arial" w:eastAsia="Calibri" w:hAnsi="Arial" w:cs="Arial"/>
          <w:rtl/>
        </w:rPr>
        <w:t>. אבל אות אחת למדין אפילו אין בעליון אלא שתי אותיות ואנו צריכים ללמוד חצי תיבה. ואם היה חסרון בלא מחק, שלמעלה כתב חנני ולמטה כתב חן, ודאי חזרה היא, שהסופר לא היה טועה שתי אותיות, וינתן לחן</w:t>
      </w:r>
      <w:r w:rsidRPr="001D49D4">
        <w:rPr>
          <w:rFonts w:ascii="Arial" w:eastAsia="Calibri" w:hAnsi="Arial" w:cs="Arial"/>
          <w:vertAlign w:val="superscript"/>
          <w:rtl/>
        </w:rPr>
        <w:footnoteReference w:id="3199"/>
      </w:r>
      <w:r w:rsidRPr="001D49D4">
        <w:rPr>
          <w:rFonts w:ascii="Arial" w:eastAsia="Calibri" w:hAnsi="Arial" w:cs="Arial"/>
          <w:rtl/>
        </w:rPr>
        <w:t xml:space="preserve">. </w:t>
      </w:r>
    </w:p>
    <w:p w14:paraId="2CAD2A05" w14:textId="77777777" w:rsidR="001D49D4" w:rsidRPr="001D49D4" w:rsidRDefault="001D49D4" w:rsidP="0004348D">
      <w:pPr>
        <w:spacing w:before="360" w:after="240"/>
        <w:rPr>
          <w:rFonts w:ascii="Arial" w:eastAsia="Calibri" w:hAnsi="Arial" w:cs="Arial"/>
          <w:u w:val="single"/>
          <w:rtl/>
        </w:rPr>
      </w:pPr>
      <w:r w:rsidRPr="001D49D4">
        <w:rPr>
          <w:rFonts w:ascii="Arial" w:eastAsia="Calibri" w:hAnsi="Arial" w:cs="Arial"/>
          <w:u w:val="single"/>
          <w:rtl/>
        </w:rPr>
        <w:t xml:space="preserve">מה הדין כשכ' למעלה "חנני" ולמטה "חן" והשטר נמצא אצל אחד מהם </w:t>
      </w:r>
      <w:r w:rsidRPr="001D49D4">
        <w:rPr>
          <w:rFonts w:ascii="Arial" w:eastAsia="Calibri" w:hAnsi="Arial" w:cs="Arial"/>
          <w:sz w:val="16"/>
          <w:szCs w:val="16"/>
          <w:u w:val="single"/>
          <w:rtl/>
        </w:rPr>
        <w:t>(וכל א' מהם טוען שהוא המלוה ולו מגיע הכסף מהלוה)</w:t>
      </w:r>
      <w:r w:rsidRPr="001D49D4">
        <w:rPr>
          <w:rFonts w:ascii="Arial" w:eastAsia="Calibri" w:hAnsi="Arial" w:cs="Arial"/>
          <w:u w:val="single"/>
          <w:rtl/>
        </w:rPr>
        <w:t>:</w:t>
      </w:r>
    </w:p>
    <w:p w14:paraId="0A31C687" w14:textId="77777777" w:rsidR="001D49D4" w:rsidRPr="001D49D4" w:rsidRDefault="001D49D4" w:rsidP="0004348D">
      <w:pPr>
        <w:numPr>
          <w:ilvl w:val="0"/>
          <w:numId w:val="222"/>
        </w:numPr>
        <w:spacing w:before="360" w:after="240"/>
        <w:contextualSpacing/>
        <w:rPr>
          <w:rFonts w:ascii="Arial" w:hAnsi="Arial"/>
          <w:rtl/>
        </w:rPr>
      </w:pPr>
      <w:r w:rsidRPr="001D49D4">
        <w:rPr>
          <w:rFonts w:ascii="Arial" w:hAnsi="Arial"/>
          <w:rtl/>
        </w:rPr>
        <w:lastRenderedPageBreak/>
        <w:t>(ב"י ודרכ"מ</w:t>
      </w:r>
      <w:r w:rsidRPr="001D49D4">
        <w:rPr>
          <w:rFonts w:ascii="Arial" w:hAnsi="Arial"/>
          <w:sz w:val="14"/>
          <w:szCs w:val="14"/>
          <w:rtl/>
        </w:rPr>
        <w:t xml:space="preserve"> [אות ב]</w:t>
      </w:r>
      <w:r w:rsidRPr="001D49D4">
        <w:rPr>
          <w:rFonts w:ascii="Arial" w:hAnsi="Arial"/>
          <w:rtl/>
        </w:rPr>
        <w:t xml:space="preserve"> </w:t>
      </w:r>
      <w:r w:rsidRPr="001D49D4">
        <w:rPr>
          <w:rFonts w:ascii="Arial" w:hAnsi="Arial"/>
          <w:sz w:val="16"/>
          <w:szCs w:val="16"/>
          <w:rtl/>
        </w:rPr>
        <w:t>להב' הסמ"ע</w:t>
      </w:r>
      <w:r w:rsidRPr="001D49D4">
        <w:rPr>
          <w:rFonts w:ascii="Arial" w:hAnsi="Arial"/>
          <w:sz w:val="16"/>
          <w:szCs w:val="16"/>
          <w:vertAlign w:val="superscript"/>
          <w:rtl/>
        </w:rPr>
        <w:footnoteReference w:id="3200"/>
      </w:r>
      <w:r w:rsidRPr="001D49D4">
        <w:rPr>
          <w:rFonts w:ascii="Arial" w:hAnsi="Arial"/>
          <w:rtl/>
        </w:rPr>
        <w:t xml:space="preserve">) וסמ"ע </w:t>
      </w:r>
      <w:r w:rsidRPr="001D49D4">
        <w:rPr>
          <w:rFonts w:ascii="Arial" w:hAnsi="Arial"/>
          <w:sz w:val="16"/>
          <w:szCs w:val="16"/>
          <w:rtl/>
        </w:rPr>
        <w:t>(סקי"ז)</w:t>
      </w:r>
      <w:r w:rsidRPr="001D49D4">
        <w:rPr>
          <w:rFonts w:ascii="Arial" w:hAnsi="Arial"/>
          <w:rtl/>
        </w:rPr>
        <w:t>- אותו שהשטר בידו גובה בו בין בחסרון בין בנמחק</w:t>
      </w:r>
      <w:r w:rsidRPr="001D49D4">
        <w:rPr>
          <w:rFonts w:ascii="Arial" w:hAnsi="Arial"/>
          <w:vertAlign w:val="superscript"/>
          <w:rtl/>
        </w:rPr>
        <w:footnoteReference w:id="3201"/>
      </w:r>
      <w:r w:rsidRPr="001D49D4">
        <w:rPr>
          <w:rFonts w:ascii="Arial" w:hAnsi="Arial"/>
          <w:rtl/>
        </w:rPr>
        <w:t>.</w:t>
      </w:r>
    </w:p>
    <w:p w14:paraId="3299F22D" w14:textId="77777777" w:rsidR="001D49D4" w:rsidRPr="001D49D4" w:rsidRDefault="001D49D4" w:rsidP="0004348D">
      <w:pPr>
        <w:numPr>
          <w:ilvl w:val="0"/>
          <w:numId w:val="222"/>
        </w:numPr>
        <w:spacing w:before="360" w:after="240"/>
        <w:contextualSpacing/>
        <w:rPr>
          <w:rFonts w:ascii="Arial" w:hAnsi="Arial"/>
        </w:rPr>
      </w:pPr>
      <w:r w:rsidRPr="001D49D4">
        <w:rPr>
          <w:rFonts w:ascii="Arial" w:hAnsi="Arial"/>
          <w:rtl/>
        </w:rPr>
        <w:t>ש"ך</w:t>
      </w:r>
      <w:r w:rsidRPr="001D49D4">
        <w:rPr>
          <w:rFonts w:ascii="Arial" w:hAnsi="Arial"/>
          <w:sz w:val="16"/>
          <w:szCs w:val="16"/>
          <w:rtl/>
        </w:rPr>
        <w:t xml:space="preserve"> (סקי"ג)</w:t>
      </w:r>
      <w:r w:rsidRPr="001D49D4">
        <w:rPr>
          <w:rFonts w:ascii="Arial" w:hAnsi="Arial"/>
          <w:rtl/>
        </w:rPr>
        <w:t>- בין בחסרון בין במחק אם השטר ביד חן יגבה בו</w:t>
      </w:r>
      <w:r w:rsidRPr="001D49D4">
        <w:rPr>
          <w:rFonts w:ascii="Arial" w:hAnsi="Arial"/>
          <w:vertAlign w:val="superscript"/>
          <w:rtl/>
        </w:rPr>
        <w:footnoteReference w:id="3202"/>
      </w:r>
      <w:r w:rsidRPr="001D49D4">
        <w:rPr>
          <w:rFonts w:ascii="Arial" w:hAnsi="Arial"/>
          <w:rtl/>
        </w:rPr>
        <w:t>, ואם הוא ביד חנני אינו גובה בו</w:t>
      </w:r>
      <w:r w:rsidRPr="001D49D4">
        <w:rPr>
          <w:rFonts w:ascii="Arial" w:hAnsi="Arial"/>
          <w:vertAlign w:val="superscript"/>
          <w:rtl/>
        </w:rPr>
        <w:footnoteReference w:id="3203"/>
      </w:r>
      <w:r w:rsidRPr="001D49D4">
        <w:rPr>
          <w:rFonts w:ascii="Arial" w:hAnsi="Arial"/>
          <w:rtl/>
        </w:rPr>
        <w:t>.</w:t>
      </w:r>
    </w:p>
    <w:p w14:paraId="56EC669D" w14:textId="77777777" w:rsidR="001D49D4" w:rsidRPr="001D49D4" w:rsidRDefault="001D49D4" w:rsidP="0004348D">
      <w:pPr>
        <w:numPr>
          <w:ilvl w:val="0"/>
          <w:numId w:val="222"/>
        </w:numPr>
        <w:spacing w:before="360" w:after="240"/>
        <w:contextualSpacing/>
        <w:rPr>
          <w:rFonts w:ascii="Arial" w:hAnsi="Arial"/>
        </w:rPr>
      </w:pPr>
      <w:r w:rsidRPr="001D49D4">
        <w:rPr>
          <w:rFonts w:ascii="Arial" w:hAnsi="Arial"/>
          <w:rtl/>
        </w:rPr>
        <w:t xml:space="preserve">(דרכ"מ </w:t>
      </w:r>
      <w:r w:rsidRPr="001D49D4">
        <w:rPr>
          <w:rFonts w:ascii="Arial" w:hAnsi="Arial"/>
          <w:sz w:val="16"/>
          <w:szCs w:val="16"/>
          <w:rtl/>
        </w:rPr>
        <w:t>להב' התומים</w:t>
      </w:r>
      <w:r w:rsidRPr="001D49D4">
        <w:rPr>
          <w:rFonts w:ascii="Arial" w:hAnsi="Arial"/>
          <w:sz w:val="16"/>
          <w:szCs w:val="16"/>
          <w:vertAlign w:val="superscript"/>
          <w:rtl/>
        </w:rPr>
        <w:footnoteReference w:id="3204"/>
      </w:r>
      <w:r w:rsidRPr="001D49D4">
        <w:rPr>
          <w:rFonts w:ascii="Arial" w:hAnsi="Arial"/>
          <w:rtl/>
        </w:rPr>
        <w:t xml:space="preserve">) ותומים </w:t>
      </w:r>
      <w:r w:rsidRPr="001D49D4">
        <w:rPr>
          <w:rFonts w:ascii="Arial" w:hAnsi="Arial"/>
          <w:sz w:val="16"/>
          <w:szCs w:val="16"/>
          <w:rtl/>
        </w:rPr>
        <w:t>(סק"ח)</w:t>
      </w:r>
      <w:r w:rsidRPr="001D49D4">
        <w:rPr>
          <w:rFonts w:ascii="Arial" w:hAnsi="Arial"/>
          <w:rtl/>
        </w:rPr>
        <w:t>- בין שהוא ביד חן ובין שהוא ביד חנני אינו גובה בשטר, דאיך יגבה מספק אולי הוא נמחק וצריך לפוסלו.</w:t>
      </w:r>
    </w:p>
    <w:p w14:paraId="46296CB4" w14:textId="77777777" w:rsidR="001D49D4" w:rsidRPr="001D49D4" w:rsidRDefault="001D49D4" w:rsidP="0004348D">
      <w:pPr>
        <w:spacing w:before="360" w:after="240"/>
        <w:rPr>
          <w:rFonts w:ascii="Arial" w:eastAsia="Calibri" w:hAnsi="Arial" w:cs="Arial"/>
        </w:rPr>
      </w:pPr>
    </w:p>
    <w:p w14:paraId="3E3BFCCC" w14:textId="77777777" w:rsidR="001D49D4" w:rsidRPr="001D49D4" w:rsidRDefault="001D49D4" w:rsidP="0004348D">
      <w:pPr>
        <w:keepNext/>
        <w:keepLines/>
        <w:spacing w:before="360" w:after="240"/>
        <w:outlineLvl w:val="1"/>
        <w:rPr>
          <w:rFonts w:ascii="Arial" w:eastAsia="Times New Roman" w:hAnsi="Arial" w:cs="Arial"/>
          <w:bCs/>
          <w:color w:val="548DD4" w:themeColor="text2" w:themeTint="99"/>
          <w:sz w:val="26"/>
          <w:szCs w:val="26"/>
          <w:rtl/>
        </w:rPr>
      </w:pPr>
      <w:bookmarkStart w:id="419" w:name="_Toc24883859"/>
      <w:r w:rsidRPr="001D49D4">
        <w:rPr>
          <w:rFonts w:ascii="Arial" w:eastAsia="Times New Roman" w:hAnsi="Arial" w:cs="Arial"/>
          <w:bCs/>
          <w:color w:val="548DD4" w:themeColor="text2" w:themeTint="99"/>
          <w:sz w:val="26"/>
          <w:szCs w:val="26"/>
          <w:rtl/>
        </w:rPr>
        <w:t>סעיף ז: שינוי בסכום שאפשר לתלותו בזבוב.</w:t>
      </w:r>
      <w:bookmarkEnd w:id="419"/>
    </w:p>
    <w:p w14:paraId="1E5DFBEC" w14:textId="77777777" w:rsidR="001D49D4" w:rsidRPr="001D49D4" w:rsidRDefault="001D49D4" w:rsidP="0004348D">
      <w:pPr>
        <w:spacing w:before="360" w:after="240"/>
        <w:rPr>
          <w:rFonts w:ascii="Arial" w:eastAsia="Calibri" w:hAnsi="Arial" w:cs="Arial"/>
          <w:sz w:val="16"/>
          <w:szCs w:val="16"/>
          <w:rtl/>
        </w:rPr>
      </w:pPr>
      <w:r w:rsidRPr="001D49D4">
        <w:rPr>
          <w:rFonts w:ascii="Arial" w:eastAsia="Calibri" w:hAnsi="Arial" w:cs="Arial"/>
          <w:b/>
          <w:bCs/>
          <w:rtl/>
        </w:rPr>
        <w:t xml:space="preserve">בבא בתרא קסו ע"ב: </w:t>
      </w:r>
      <w:r w:rsidRPr="001D49D4">
        <w:rPr>
          <w:rFonts w:ascii="Arial" w:eastAsia="Calibri" w:hAnsi="Arial" w:cs="Arial"/>
          <w:u w:val="single"/>
          <w:rtl/>
        </w:rPr>
        <w:t>אמר רב פפא</w:t>
      </w:r>
      <w:r w:rsidRPr="001D49D4">
        <w:rPr>
          <w:rFonts w:ascii="Arial" w:eastAsia="Calibri" w:hAnsi="Arial" w:cs="Arial"/>
          <w:rtl/>
        </w:rPr>
        <w:t>: פשיטא לי, ספל</w:t>
      </w:r>
      <w:r w:rsidRPr="001D49D4">
        <w:rPr>
          <w:rFonts w:ascii="Arial" w:eastAsia="Calibri" w:hAnsi="Arial" w:cs="Arial"/>
          <w:vertAlign w:val="superscript"/>
          <w:rtl/>
        </w:rPr>
        <w:footnoteReference w:id="3205"/>
      </w:r>
      <w:r w:rsidRPr="001D49D4">
        <w:rPr>
          <w:rFonts w:ascii="Arial" w:eastAsia="Calibri" w:hAnsi="Arial" w:cs="Arial"/>
          <w:rtl/>
        </w:rPr>
        <w:t xml:space="preserve"> מלמעלה וקפל</w:t>
      </w:r>
      <w:r w:rsidRPr="001D49D4">
        <w:rPr>
          <w:rFonts w:ascii="Arial" w:eastAsia="Calibri" w:hAnsi="Arial" w:cs="Arial"/>
          <w:vertAlign w:val="superscript"/>
          <w:rtl/>
        </w:rPr>
        <w:t xml:space="preserve"> </w:t>
      </w:r>
      <w:r w:rsidRPr="001D49D4">
        <w:rPr>
          <w:rFonts w:ascii="Arial" w:eastAsia="Calibri" w:hAnsi="Arial" w:cs="Arial"/>
          <w:rtl/>
        </w:rPr>
        <w:t xml:space="preserve">מלמטה- הכל הולך אחר התחתון. </w:t>
      </w:r>
      <w:r w:rsidRPr="001D49D4">
        <w:rPr>
          <w:rFonts w:ascii="Arial" w:eastAsia="Calibri" w:hAnsi="Arial" w:cs="Arial"/>
          <w:u w:val="single"/>
          <w:rtl/>
        </w:rPr>
        <w:t>בעי רב פפא</w:t>
      </w:r>
      <w:r w:rsidRPr="001D49D4">
        <w:rPr>
          <w:rFonts w:ascii="Arial" w:eastAsia="Calibri" w:hAnsi="Arial" w:cs="Arial"/>
          <w:rtl/>
        </w:rPr>
        <w:t>: קפל מלמעלה וספל מלמטה מאי? מי חיישינן לזבוב</w:t>
      </w:r>
      <w:r w:rsidRPr="001D49D4">
        <w:rPr>
          <w:rFonts w:ascii="Arial" w:eastAsia="Calibri" w:hAnsi="Arial" w:cs="Arial"/>
          <w:vertAlign w:val="superscript"/>
          <w:rtl/>
        </w:rPr>
        <w:footnoteReference w:id="3206"/>
      </w:r>
      <w:r w:rsidRPr="001D49D4">
        <w:rPr>
          <w:rFonts w:ascii="Arial" w:eastAsia="Calibri" w:hAnsi="Arial" w:cs="Arial"/>
          <w:rtl/>
        </w:rPr>
        <w:t xml:space="preserve"> או לא? תיקו</w:t>
      </w:r>
      <w:r w:rsidRPr="001D49D4">
        <w:rPr>
          <w:rFonts w:ascii="Arial" w:eastAsia="Calibri" w:hAnsi="Arial" w:cs="Arial"/>
          <w:vertAlign w:val="superscript"/>
          <w:rtl/>
        </w:rPr>
        <w:footnoteReference w:id="3207"/>
      </w:r>
      <w:r w:rsidRPr="001D49D4">
        <w:rPr>
          <w:rFonts w:ascii="Arial" w:eastAsia="Calibri" w:hAnsi="Arial" w:cs="Arial"/>
          <w:rtl/>
        </w:rPr>
        <w:t xml:space="preserve">. </w:t>
      </w:r>
      <w:r w:rsidRPr="001D49D4">
        <w:rPr>
          <w:rFonts w:ascii="Arial" w:eastAsia="Calibri" w:hAnsi="Arial" w:cs="Arial"/>
          <w:sz w:val="16"/>
          <w:szCs w:val="16"/>
          <w:rtl/>
        </w:rPr>
        <w:t>(וכל תיקו דממונא חומרא לתובע וקולא לנתבע ותלינן בזבוב ולא גבי אלא קפל</w:t>
      </w:r>
      <w:r w:rsidRPr="001D49D4">
        <w:rPr>
          <w:rFonts w:ascii="Arial" w:eastAsia="Calibri" w:hAnsi="Arial" w:cs="Arial"/>
          <w:sz w:val="16"/>
          <w:szCs w:val="16"/>
          <w:vertAlign w:val="superscript"/>
          <w:rtl/>
        </w:rPr>
        <w:footnoteReference w:id="3208"/>
      </w:r>
      <w:r w:rsidRPr="001D49D4">
        <w:rPr>
          <w:rFonts w:ascii="Arial" w:eastAsia="Calibri" w:hAnsi="Arial" w:cs="Arial"/>
          <w:sz w:val="16"/>
          <w:szCs w:val="16"/>
          <w:rtl/>
        </w:rPr>
        <w:t xml:space="preserve">, ב"י) </w:t>
      </w:r>
    </w:p>
    <w:p w14:paraId="16965019" w14:textId="77777777" w:rsidR="001D49D4" w:rsidRPr="001D49D4" w:rsidRDefault="001D49D4" w:rsidP="0004348D">
      <w:pPr>
        <w:spacing w:before="360" w:after="240"/>
        <w:rPr>
          <w:rFonts w:ascii="Arial" w:eastAsia="Calibri" w:hAnsi="Arial" w:cs="Arial"/>
          <w:u w:val="single"/>
          <w:rtl/>
        </w:rPr>
      </w:pPr>
      <w:r w:rsidRPr="001D49D4">
        <w:rPr>
          <w:rFonts w:ascii="Arial" w:eastAsia="Calibri" w:hAnsi="Arial" w:cs="Arial"/>
          <w:u w:val="single"/>
          <w:rtl/>
        </w:rPr>
        <w:t>מדוע כשכתוב "ספל" למעלה ו-"קפל" למטה פשיטא לרב פפא שהכל הולך אחר התחתון</w:t>
      </w:r>
      <w:r w:rsidRPr="001D49D4">
        <w:rPr>
          <w:rFonts w:ascii="Arial" w:eastAsia="Calibri" w:hAnsi="Arial" w:cs="Arial"/>
          <w:sz w:val="16"/>
          <w:szCs w:val="16"/>
          <w:u w:val="single"/>
          <w:rtl/>
        </w:rPr>
        <w:t xml:space="preserve"> (היינו דגובה קפל)</w:t>
      </w:r>
      <w:r w:rsidRPr="001D49D4">
        <w:rPr>
          <w:rFonts w:ascii="Arial" w:eastAsia="Calibri" w:hAnsi="Arial" w:cs="Arial"/>
          <w:u w:val="single"/>
          <w:rtl/>
        </w:rPr>
        <w:t>:</w:t>
      </w:r>
    </w:p>
    <w:p w14:paraId="1F8B8DE0" w14:textId="77777777" w:rsidR="001D49D4" w:rsidRPr="001D49D4" w:rsidRDefault="001D49D4" w:rsidP="0004348D">
      <w:pPr>
        <w:numPr>
          <w:ilvl w:val="0"/>
          <w:numId w:val="223"/>
        </w:numPr>
        <w:spacing w:before="360" w:after="240"/>
        <w:contextualSpacing/>
        <w:rPr>
          <w:rFonts w:ascii="Arial" w:hAnsi="Arial"/>
          <w:rtl/>
        </w:rPr>
      </w:pPr>
      <w:r w:rsidRPr="001D49D4">
        <w:rPr>
          <w:rFonts w:ascii="Arial" w:hAnsi="Arial"/>
          <w:rtl/>
        </w:rPr>
        <w:t>רמב"ם</w:t>
      </w:r>
      <w:r w:rsidRPr="001D49D4">
        <w:rPr>
          <w:rFonts w:ascii="Arial" w:hAnsi="Arial"/>
          <w:sz w:val="16"/>
          <w:szCs w:val="16"/>
          <w:rtl/>
        </w:rPr>
        <w:t xml:space="preserve"> (הל' מלוה פכ"ז הט"ו)</w:t>
      </w:r>
      <w:r w:rsidRPr="001D49D4">
        <w:rPr>
          <w:rFonts w:ascii="Arial" w:hAnsi="Arial"/>
          <w:rtl/>
        </w:rPr>
        <w:t>- משום שהקפל פחות מן הספל</w:t>
      </w:r>
      <w:r w:rsidRPr="001D49D4">
        <w:rPr>
          <w:rFonts w:ascii="Arial" w:hAnsi="Arial"/>
          <w:vertAlign w:val="superscript"/>
          <w:rtl/>
        </w:rPr>
        <w:footnoteReference w:id="3209"/>
      </w:r>
      <w:r w:rsidRPr="001D49D4">
        <w:rPr>
          <w:rFonts w:ascii="Arial" w:hAnsi="Arial"/>
          <w:rtl/>
        </w:rPr>
        <w:t xml:space="preserve">. </w:t>
      </w:r>
      <w:r w:rsidRPr="001D49D4">
        <w:rPr>
          <w:rFonts w:ascii="Arial" w:hAnsi="Arial"/>
          <w:color w:val="E36C0A" w:themeColor="accent6" w:themeShade="BF"/>
          <w:rtl/>
        </w:rPr>
        <w:t>(וכ"פ בשו"ע)</w:t>
      </w:r>
    </w:p>
    <w:p w14:paraId="47CE8618" w14:textId="77777777" w:rsidR="001D49D4" w:rsidRPr="001D49D4" w:rsidRDefault="001D49D4" w:rsidP="0004348D">
      <w:pPr>
        <w:numPr>
          <w:ilvl w:val="0"/>
          <w:numId w:val="223"/>
        </w:numPr>
        <w:spacing w:before="360" w:after="240"/>
        <w:contextualSpacing/>
        <w:rPr>
          <w:rFonts w:ascii="Arial" w:hAnsi="Arial"/>
        </w:rPr>
      </w:pPr>
      <w:r w:rsidRPr="001D49D4">
        <w:rPr>
          <w:rFonts w:ascii="Arial" w:hAnsi="Arial"/>
          <w:rtl/>
        </w:rPr>
        <w:t>(רשב"ם ותוס'</w:t>
      </w:r>
      <w:r w:rsidRPr="001D49D4">
        <w:rPr>
          <w:rFonts w:ascii="Arial" w:hAnsi="Arial"/>
          <w:sz w:val="16"/>
          <w:szCs w:val="16"/>
          <w:rtl/>
        </w:rPr>
        <w:t xml:space="preserve"> להב' הסמ"ע</w:t>
      </w:r>
      <w:r w:rsidRPr="001D49D4">
        <w:rPr>
          <w:rFonts w:ascii="Arial" w:hAnsi="Arial"/>
          <w:rtl/>
        </w:rPr>
        <w:t>)</w:t>
      </w:r>
      <w:r w:rsidRPr="001D49D4">
        <w:rPr>
          <w:rFonts w:ascii="Arial" w:hAnsi="Arial"/>
          <w:vertAlign w:val="superscript"/>
          <w:rtl/>
        </w:rPr>
        <w:footnoteReference w:id="3210"/>
      </w:r>
      <w:r w:rsidRPr="001D49D4">
        <w:rPr>
          <w:rFonts w:ascii="Arial" w:hAnsi="Arial"/>
          <w:rtl/>
        </w:rPr>
        <w:t>- דדרך הזבוב לקצר האות ולעשות מקו"ף סמ"ך ולא להאריך לעשות מסמך קו"ף</w:t>
      </w:r>
      <w:r w:rsidRPr="001D49D4">
        <w:rPr>
          <w:rFonts w:ascii="Arial" w:hAnsi="Arial"/>
          <w:vertAlign w:val="superscript"/>
          <w:rtl/>
        </w:rPr>
        <w:footnoteReference w:id="3211"/>
      </w:r>
      <w:r w:rsidRPr="001D49D4">
        <w:rPr>
          <w:rFonts w:ascii="Arial" w:hAnsi="Arial"/>
          <w:rtl/>
        </w:rPr>
        <w:t>.</w:t>
      </w:r>
    </w:p>
    <w:p w14:paraId="58FB17A4" w14:textId="77777777" w:rsidR="001D49D4" w:rsidRPr="001D49D4" w:rsidRDefault="001D49D4" w:rsidP="0004348D">
      <w:pPr>
        <w:spacing w:before="360" w:after="240"/>
        <w:rPr>
          <w:rFonts w:ascii="Arial" w:eastAsia="Calibri" w:hAnsi="Arial" w:cs="Arial"/>
          <w:u w:val="single"/>
        </w:rPr>
      </w:pPr>
      <w:r w:rsidRPr="001D49D4">
        <w:rPr>
          <w:rFonts w:ascii="Arial" w:eastAsia="Calibri" w:hAnsi="Arial" w:cs="Arial"/>
          <w:u w:val="single"/>
          <w:rtl/>
        </w:rPr>
        <w:lastRenderedPageBreak/>
        <w:t>האם גם בשטר מחילה אפשר לתלות בזבוב:</w:t>
      </w:r>
    </w:p>
    <w:p w14:paraId="33C6CF03" w14:textId="77777777" w:rsidR="001D49D4" w:rsidRPr="001D49D4" w:rsidRDefault="001D49D4" w:rsidP="0004348D">
      <w:pPr>
        <w:numPr>
          <w:ilvl w:val="0"/>
          <w:numId w:val="224"/>
        </w:numPr>
        <w:spacing w:before="360" w:after="240"/>
        <w:contextualSpacing/>
        <w:rPr>
          <w:rFonts w:ascii="Arial" w:hAnsi="Arial"/>
          <w:color w:val="000000" w:themeColor="text1"/>
          <w:rtl/>
        </w:rPr>
      </w:pPr>
      <w:r w:rsidRPr="001D49D4">
        <w:rPr>
          <w:rFonts w:ascii="Arial" w:hAnsi="Arial"/>
          <w:color w:val="000000" w:themeColor="text1"/>
          <w:rtl/>
        </w:rPr>
        <w:t xml:space="preserve">ב"י- נראה שאם הוא שטר מחילה לא תלינן בזבוב דהמוציא מחבירו עליו הראיה. </w:t>
      </w:r>
    </w:p>
    <w:p w14:paraId="6D007729" w14:textId="77777777" w:rsidR="001D49D4" w:rsidRPr="001D49D4" w:rsidRDefault="001D49D4" w:rsidP="0004348D">
      <w:pPr>
        <w:spacing w:before="360" w:after="240"/>
        <w:jc w:val="both"/>
        <w:rPr>
          <w:rFonts w:ascii="Arial" w:eastAsia="Calibri" w:hAnsi="Arial" w:cs="Arial"/>
          <w:rtl/>
        </w:rPr>
      </w:pPr>
      <w:r w:rsidRPr="001D49D4">
        <w:rPr>
          <w:rFonts w:ascii="Arial" w:eastAsia="Calibri" w:hAnsi="Arial" w:cs="Arial"/>
          <w:b/>
          <w:bCs/>
          <w:sz w:val="32"/>
          <w:szCs w:val="28"/>
          <w:u w:val="single"/>
          <w:rtl/>
        </w:rPr>
        <w:t xml:space="preserve">שו"ע: </w:t>
      </w:r>
    </w:p>
    <w:p w14:paraId="45E84E44" w14:textId="77777777" w:rsidR="001D49D4" w:rsidRPr="001D49D4" w:rsidRDefault="001D49D4" w:rsidP="0004348D">
      <w:pPr>
        <w:spacing w:before="360" w:after="240"/>
        <w:rPr>
          <w:rFonts w:ascii="Arial" w:eastAsia="Calibri" w:hAnsi="Arial" w:cs="Arial"/>
          <w:rtl/>
        </w:rPr>
      </w:pPr>
      <w:r w:rsidRPr="001D49D4">
        <w:rPr>
          <w:rFonts w:ascii="Arial" w:eastAsia="Calibri" w:hAnsi="Arial" w:cs="Arial"/>
          <w:rtl/>
        </w:rPr>
        <w:t>כתוב בו מלמעלה ספל ומלמטה קפל, הכל הולך אחר התחתון שהקפל פחות מספל</w:t>
      </w:r>
      <w:r w:rsidRPr="001D49D4">
        <w:rPr>
          <w:rFonts w:ascii="Arial" w:eastAsia="Calibri" w:hAnsi="Arial" w:cs="Arial"/>
          <w:vertAlign w:val="superscript"/>
          <w:rtl/>
        </w:rPr>
        <w:footnoteReference w:id="3212"/>
      </w:r>
      <w:r w:rsidRPr="001D49D4">
        <w:rPr>
          <w:rFonts w:ascii="Arial" w:eastAsia="Calibri" w:hAnsi="Arial" w:cs="Arial"/>
          <w:rtl/>
        </w:rPr>
        <w:t xml:space="preserve">. כתוב מלמעלה קפל ומלמטה ספל, חוששים שמא זבוב הסיר רגל הקוף ונעשה סמ"ך ואינו גובה אלא קפל, וכן כל כיוצא בזה, שיד בעל השטר על התחתונה. </w:t>
      </w:r>
    </w:p>
    <w:p w14:paraId="7C0F4F9B" w14:textId="77777777" w:rsidR="001D49D4" w:rsidRPr="001D49D4" w:rsidRDefault="001D49D4" w:rsidP="0004348D">
      <w:pPr>
        <w:spacing w:before="360" w:after="240"/>
        <w:rPr>
          <w:rFonts w:ascii="Arial" w:eastAsia="Calibri" w:hAnsi="Arial" w:cs="Arial"/>
          <w:rtl/>
        </w:rPr>
      </w:pPr>
    </w:p>
    <w:p w14:paraId="726DE365" w14:textId="77777777" w:rsidR="001D49D4" w:rsidRPr="001D49D4" w:rsidRDefault="001D49D4" w:rsidP="0004348D">
      <w:pPr>
        <w:keepNext/>
        <w:keepLines/>
        <w:spacing w:before="360" w:after="240"/>
        <w:outlineLvl w:val="1"/>
        <w:rPr>
          <w:rFonts w:ascii="Arial" w:eastAsia="Times New Roman" w:hAnsi="Arial" w:cs="Arial"/>
          <w:bCs/>
          <w:color w:val="548DD4" w:themeColor="text2" w:themeTint="99"/>
          <w:sz w:val="26"/>
          <w:szCs w:val="26"/>
          <w:rtl/>
        </w:rPr>
      </w:pPr>
      <w:bookmarkStart w:id="420" w:name="_Toc24883860"/>
      <w:r w:rsidRPr="001D49D4">
        <w:rPr>
          <w:rFonts w:ascii="Arial" w:eastAsia="Times New Roman" w:hAnsi="Arial" w:cs="Arial"/>
          <w:bCs/>
          <w:color w:val="548DD4" w:themeColor="text2" w:themeTint="99"/>
          <w:sz w:val="26"/>
          <w:szCs w:val="26"/>
          <w:rtl/>
        </w:rPr>
        <w:t>סעיף ח: בעל שטר שתפס מטלטלין.</w:t>
      </w:r>
      <w:bookmarkEnd w:id="420"/>
    </w:p>
    <w:p w14:paraId="7CB97DB8" w14:textId="77777777" w:rsidR="001D49D4" w:rsidRPr="001D49D4" w:rsidRDefault="001D49D4" w:rsidP="0004348D">
      <w:pPr>
        <w:spacing w:before="360" w:after="240"/>
        <w:rPr>
          <w:rFonts w:ascii="Arial" w:eastAsia="Calibri" w:hAnsi="Arial" w:cs="Arial"/>
          <w:u w:val="single"/>
          <w:rtl/>
        </w:rPr>
      </w:pPr>
      <w:r w:rsidRPr="001D49D4">
        <w:rPr>
          <w:rFonts w:ascii="Arial" w:eastAsia="Calibri" w:hAnsi="Arial" w:cs="Arial"/>
          <w:u w:val="single"/>
          <w:rtl/>
        </w:rPr>
        <w:t>בעל שטר שתפס/מוחזק – האם עדיין ידו על התחתונה:</w:t>
      </w:r>
    </w:p>
    <w:p w14:paraId="7318E890" w14:textId="77777777" w:rsidR="001D49D4" w:rsidRPr="001D49D4" w:rsidRDefault="001D49D4" w:rsidP="0004348D">
      <w:pPr>
        <w:numPr>
          <w:ilvl w:val="0"/>
          <w:numId w:val="225"/>
        </w:numPr>
        <w:spacing w:before="360" w:after="240"/>
        <w:contextualSpacing/>
        <w:rPr>
          <w:rFonts w:ascii="Arial" w:hAnsi="Arial"/>
          <w:rtl/>
        </w:rPr>
      </w:pPr>
      <w:r w:rsidRPr="001D49D4">
        <w:rPr>
          <w:rFonts w:ascii="Arial" w:hAnsi="Arial"/>
          <w:rtl/>
        </w:rPr>
        <w:t>רי"ף רמב"ם רא"ה ורא"ש</w:t>
      </w:r>
      <w:r w:rsidRPr="001D49D4">
        <w:rPr>
          <w:rFonts w:ascii="Arial" w:hAnsi="Arial"/>
          <w:vertAlign w:val="superscript"/>
          <w:rtl/>
        </w:rPr>
        <w:footnoteReference w:id="3213"/>
      </w:r>
      <w:r w:rsidRPr="001D49D4">
        <w:rPr>
          <w:rFonts w:ascii="Arial" w:hAnsi="Arial"/>
          <w:rtl/>
        </w:rPr>
        <w:t xml:space="preserve">- בכל הני דאמרינן לעיל שיד בעל השטר על התחתונה אי תפס מטלטלי לא מפקינן מיניה. </w:t>
      </w:r>
      <w:r w:rsidRPr="001D49D4">
        <w:rPr>
          <w:rFonts w:ascii="Arial" w:hAnsi="Arial"/>
          <w:color w:val="E36C0A" w:themeColor="accent6" w:themeShade="BF"/>
          <w:rtl/>
        </w:rPr>
        <w:t>(וכ"פ בשו"ע)</w:t>
      </w:r>
    </w:p>
    <w:p w14:paraId="1D9ECBBC" w14:textId="77777777" w:rsidR="001D49D4" w:rsidRPr="001D49D4" w:rsidRDefault="001D49D4" w:rsidP="0004348D">
      <w:pPr>
        <w:numPr>
          <w:ilvl w:val="0"/>
          <w:numId w:val="225"/>
        </w:numPr>
        <w:spacing w:before="360" w:after="240"/>
        <w:contextualSpacing/>
        <w:rPr>
          <w:rFonts w:ascii="Arial" w:hAnsi="Arial"/>
        </w:rPr>
      </w:pPr>
      <w:r w:rsidRPr="001D49D4">
        <w:rPr>
          <w:rFonts w:ascii="Arial" w:hAnsi="Arial"/>
          <w:rtl/>
        </w:rPr>
        <w:t>ריטב"א ומהרי"ק</w:t>
      </w:r>
      <w:r w:rsidRPr="001D49D4">
        <w:rPr>
          <w:rFonts w:ascii="Arial" w:hAnsi="Arial"/>
          <w:vertAlign w:val="superscript"/>
          <w:rtl/>
        </w:rPr>
        <w:footnoteReference w:id="3214"/>
      </w:r>
      <w:r w:rsidRPr="001D49D4">
        <w:rPr>
          <w:rFonts w:ascii="Arial" w:hAnsi="Arial"/>
          <w:rtl/>
        </w:rPr>
        <w:t>- "כשהלשון תלוי ומסופק יד בעל השטר על התחתונה אפילו כשהלשון משמע קצת כדברי בעל השטר ואפילו כשהוא מוחזק אם בא להפקיע בשטר מה שהוא מחוייב בדין אומרים יד בעל השטר על התחתונה</w:t>
      </w:r>
      <w:r w:rsidRPr="001D49D4">
        <w:rPr>
          <w:rFonts w:ascii="Arial" w:hAnsi="Arial"/>
          <w:sz w:val="16"/>
          <w:szCs w:val="16"/>
          <w:rtl/>
        </w:rPr>
        <w:t xml:space="preserve"> (ל' מהרי"ק)</w:t>
      </w:r>
      <w:r w:rsidRPr="001D49D4">
        <w:rPr>
          <w:rFonts w:ascii="Arial" w:hAnsi="Arial"/>
          <w:vertAlign w:val="superscript"/>
          <w:rtl/>
        </w:rPr>
        <w:footnoteReference w:id="3215"/>
      </w:r>
      <w:r w:rsidRPr="001D49D4">
        <w:rPr>
          <w:rFonts w:ascii="Arial" w:hAnsi="Arial"/>
          <w:sz w:val="16"/>
          <w:szCs w:val="16"/>
          <w:rtl/>
        </w:rPr>
        <w:t xml:space="preserve"> </w:t>
      </w:r>
      <w:r w:rsidRPr="001D49D4">
        <w:rPr>
          <w:rFonts w:ascii="Arial" w:hAnsi="Arial"/>
          <w:rtl/>
        </w:rPr>
        <w:t xml:space="preserve">". </w:t>
      </w:r>
    </w:p>
    <w:p w14:paraId="6FFAA2AB" w14:textId="77777777" w:rsidR="001D49D4" w:rsidRPr="001D49D4" w:rsidRDefault="001D49D4" w:rsidP="0004348D">
      <w:pPr>
        <w:spacing w:before="360" w:after="240"/>
        <w:ind w:left="360"/>
        <w:rPr>
          <w:rFonts w:ascii="Arial" w:eastAsia="Calibri" w:hAnsi="Arial" w:cs="Arial"/>
          <w:u w:val="dotted"/>
          <w:rtl/>
        </w:rPr>
      </w:pPr>
      <w:r w:rsidRPr="001D49D4">
        <w:rPr>
          <w:rFonts w:ascii="Arial" w:eastAsia="Calibri" w:hAnsi="Arial" w:cs="Arial"/>
          <w:u w:val="dotted"/>
          <w:rtl/>
        </w:rPr>
        <w:t xml:space="preserve">תפיסה זו </w:t>
      </w:r>
      <w:r w:rsidRPr="001D49D4">
        <w:rPr>
          <w:rFonts w:ascii="Arial" w:eastAsia="Calibri" w:hAnsi="Arial" w:cs="Arial"/>
          <w:sz w:val="16"/>
          <w:szCs w:val="16"/>
          <w:u w:val="dotted"/>
          <w:rtl/>
        </w:rPr>
        <w:t>(שמועילה אף לבעל השטר שידו הייתה צריכה להיות על התחתונה)</w:t>
      </w:r>
      <w:r w:rsidRPr="001D49D4">
        <w:rPr>
          <w:rFonts w:ascii="Arial" w:eastAsia="Calibri" w:hAnsi="Arial" w:cs="Arial"/>
          <w:u w:val="dotted"/>
          <w:rtl/>
        </w:rPr>
        <w:t xml:space="preserve"> היא ברשות הבעלים או אף שלא ברשות הבעלים:</w:t>
      </w:r>
    </w:p>
    <w:p w14:paraId="7D3F5CE0" w14:textId="77777777" w:rsidR="001D49D4" w:rsidRPr="001D49D4" w:rsidRDefault="001D49D4" w:rsidP="0004348D">
      <w:pPr>
        <w:numPr>
          <w:ilvl w:val="0"/>
          <w:numId w:val="226"/>
        </w:numPr>
        <w:spacing w:before="360" w:after="240"/>
        <w:contextualSpacing/>
        <w:rPr>
          <w:rFonts w:ascii="Arial" w:hAnsi="Arial"/>
          <w:rtl/>
        </w:rPr>
      </w:pPr>
      <w:r w:rsidRPr="001D49D4">
        <w:rPr>
          <w:rFonts w:ascii="Arial" w:hAnsi="Arial"/>
          <w:rtl/>
        </w:rPr>
        <w:t>(רי"ף</w:t>
      </w:r>
      <w:r w:rsidRPr="001D49D4">
        <w:rPr>
          <w:rFonts w:ascii="Arial" w:hAnsi="Arial"/>
          <w:sz w:val="16"/>
          <w:szCs w:val="16"/>
          <w:rtl/>
        </w:rPr>
        <w:t xml:space="preserve"> להב' הרמב"ן</w:t>
      </w:r>
      <w:r w:rsidRPr="001D49D4">
        <w:rPr>
          <w:rFonts w:ascii="Arial" w:hAnsi="Arial"/>
          <w:vertAlign w:val="superscript"/>
          <w:rtl/>
        </w:rPr>
        <w:footnoteReference w:id="3216"/>
      </w:r>
      <w:r w:rsidRPr="001D49D4">
        <w:rPr>
          <w:rFonts w:ascii="Arial" w:hAnsi="Arial"/>
          <w:rtl/>
        </w:rPr>
        <w:t>)- רק כשתפס בהסכמת הבעלים מהני תפיסה</w:t>
      </w:r>
      <w:r w:rsidRPr="001D49D4">
        <w:rPr>
          <w:rFonts w:ascii="Arial" w:hAnsi="Arial"/>
          <w:vertAlign w:val="superscript"/>
          <w:rtl/>
        </w:rPr>
        <w:footnoteReference w:id="3217"/>
      </w:r>
      <w:r w:rsidRPr="001D49D4">
        <w:rPr>
          <w:rFonts w:ascii="Arial" w:hAnsi="Arial"/>
          <w:rtl/>
        </w:rPr>
        <w:t>.</w:t>
      </w:r>
    </w:p>
    <w:p w14:paraId="02DAE6CE" w14:textId="77777777" w:rsidR="001D49D4" w:rsidRPr="001D49D4" w:rsidRDefault="001D49D4" w:rsidP="0004348D">
      <w:pPr>
        <w:numPr>
          <w:ilvl w:val="0"/>
          <w:numId w:val="226"/>
        </w:numPr>
        <w:spacing w:before="360" w:after="240"/>
        <w:contextualSpacing/>
        <w:rPr>
          <w:rFonts w:ascii="Arial" w:hAnsi="Arial"/>
          <w:rtl/>
        </w:rPr>
      </w:pPr>
      <w:r w:rsidRPr="001D49D4">
        <w:rPr>
          <w:rFonts w:ascii="Arial" w:hAnsi="Arial"/>
          <w:rtl/>
        </w:rPr>
        <w:t>רא"ש (וטור</w:t>
      </w:r>
      <w:r w:rsidRPr="001D49D4">
        <w:rPr>
          <w:rFonts w:ascii="Arial" w:hAnsi="Arial"/>
          <w:sz w:val="16"/>
          <w:szCs w:val="16"/>
          <w:rtl/>
        </w:rPr>
        <w:t xml:space="preserve"> להב' הפרישה</w:t>
      </w:r>
      <w:r w:rsidRPr="001D49D4">
        <w:rPr>
          <w:rFonts w:ascii="Arial" w:hAnsi="Arial"/>
          <w:rtl/>
        </w:rPr>
        <w:t>)</w:t>
      </w:r>
      <w:r w:rsidRPr="001D49D4">
        <w:rPr>
          <w:rFonts w:ascii="Arial" w:hAnsi="Arial"/>
          <w:vertAlign w:val="superscript"/>
          <w:rtl/>
        </w:rPr>
        <w:footnoteReference w:id="3218"/>
      </w:r>
      <w:r w:rsidRPr="001D49D4">
        <w:rPr>
          <w:rFonts w:ascii="Arial" w:hAnsi="Arial"/>
          <w:rtl/>
        </w:rPr>
        <w:t>- אפי' תפיס שלא בידיעת הבעלים מהני תפיסה</w:t>
      </w:r>
      <w:r w:rsidRPr="001D49D4">
        <w:rPr>
          <w:rFonts w:ascii="Arial" w:hAnsi="Arial"/>
          <w:vertAlign w:val="superscript"/>
          <w:rtl/>
        </w:rPr>
        <w:footnoteReference w:id="3219"/>
      </w:r>
      <w:r w:rsidRPr="001D49D4">
        <w:rPr>
          <w:rFonts w:ascii="Arial" w:hAnsi="Arial"/>
          <w:rtl/>
        </w:rPr>
        <w:t>. (וכ"פ סמ"ע</w:t>
      </w:r>
      <w:r w:rsidRPr="001D49D4">
        <w:rPr>
          <w:rFonts w:ascii="Arial" w:hAnsi="Arial"/>
          <w:sz w:val="14"/>
          <w:szCs w:val="14"/>
          <w:rtl/>
        </w:rPr>
        <w:t xml:space="preserve"> [סקכ"ג]</w:t>
      </w:r>
      <w:r w:rsidRPr="001D49D4">
        <w:rPr>
          <w:rFonts w:ascii="Arial" w:hAnsi="Arial"/>
          <w:rtl/>
        </w:rPr>
        <w:t xml:space="preserve"> וש"ך</w:t>
      </w:r>
      <w:r w:rsidRPr="001D49D4">
        <w:rPr>
          <w:rFonts w:ascii="Arial" w:hAnsi="Arial"/>
          <w:sz w:val="16"/>
          <w:szCs w:val="16"/>
          <w:rtl/>
        </w:rPr>
        <w:t xml:space="preserve"> [סקט"ו]</w:t>
      </w:r>
      <w:r w:rsidRPr="001D49D4">
        <w:rPr>
          <w:rFonts w:ascii="Arial" w:hAnsi="Arial"/>
          <w:rtl/>
        </w:rPr>
        <w:t>)</w:t>
      </w:r>
    </w:p>
    <w:p w14:paraId="22D50FD4" w14:textId="77777777" w:rsidR="001D49D4" w:rsidRPr="001D49D4" w:rsidRDefault="001D49D4" w:rsidP="0004348D">
      <w:pPr>
        <w:spacing w:before="360" w:after="240"/>
        <w:rPr>
          <w:rFonts w:ascii="Arial" w:eastAsia="Calibri" w:hAnsi="Arial" w:cs="Arial"/>
        </w:rPr>
      </w:pPr>
      <w:r w:rsidRPr="001D49D4">
        <w:rPr>
          <w:rFonts w:ascii="Arial" w:eastAsia="Calibri" w:hAnsi="Arial" w:cs="Arial"/>
          <w:b/>
          <w:bCs/>
          <w:rtl/>
        </w:rPr>
        <w:t xml:space="preserve">כתובות יט ע"ב: </w:t>
      </w:r>
      <w:r w:rsidRPr="001D49D4">
        <w:rPr>
          <w:rFonts w:ascii="Arial" w:eastAsia="Calibri" w:hAnsi="Arial" w:cs="Arial"/>
          <w:rtl/>
        </w:rPr>
        <w:t>ת"ר: שנים חתומין על השטר ומתו, ובאו שנים מן השוק ואמרו ידענו שכתב ידם הוא, אבל אנוסים היו, קטנים היו, פסולי עדות היו- הרי אלו נאמנים... ומגבינן ביה כבשטרא מעליא? ואמאי? תרי ותרי נינהו</w:t>
      </w:r>
      <w:r w:rsidRPr="001D49D4">
        <w:rPr>
          <w:rFonts w:ascii="Arial" w:eastAsia="Calibri" w:hAnsi="Arial" w:cs="Arial"/>
          <w:vertAlign w:val="superscript"/>
          <w:rtl/>
        </w:rPr>
        <w:footnoteReference w:id="3220"/>
      </w:r>
      <w:r w:rsidRPr="001D49D4">
        <w:rPr>
          <w:rFonts w:ascii="Arial" w:eastAsia="Calibri" w:hAnsi="Arial" w:cs="Arial"/>
          <w:rtl/>
        </w:rPr>
        <w:t xml:space="preserve">!... </w:t>
      </w:r>
      <w:r w:rsidRPr="001D49D4">
        <w:rPr>
          <w:rFonts w:ascii="Arial" w:eastAsia="Calibri" w:hAnsi="Arial" w:cs="Arial"/>
          <w:u w:val="single"/>
          <w:rtl/>
        </w:rPr>
        <w:t>אלא אמר רב נחמן</w:t>
      </w:r>
      <w:r w:rsidRPr="001D49D4">
        <w:rPr>
          <w:rFonts w:ascii="Arial" w:eastAsia="Calibri" w:hAnsi="Arial" w:cs="Arial"/>
          <w:rtl/>
        </w:rPr>
        <w:t>: אוקי תרי להדי תרי ואוקי ממונא בחזקת מריה</w:t>
      </w:r>
      <w:r w:rsidRPr="001D49D4">
        <w:rPr>
          <w:rFonts w:ascii="Arial" w:eastAsia="Calibri" w:hAnsi="Arial" w:cs="Arial"/>
          <w:vertAlign w:val="superscript"/>
          <w:rtl/>
        </w:rPr>
        <w:footnoteReference w:id="3221"/>
      </w:r>
      <w:r w:rsidRPr="001D49D4">
        <w:rPr>
          <w:rFonts w:ascii="Arial" w:eastAsia="Calibri" w:hAnsi="Arial" w:cs="Arial"/>
          <w:rtl/>
        </w:rPr>
        <w:t>.</w:t>
      </w:r>
    </w:p>
    <w:p w14:paraId="62CD0B30" w14:textId="77777777" w:rsidR="001D49D4" w:rsidRPr="001D49D4" w:rsidRDefault="001D49D4" w:rsidP="0004348D">
      <w:pPr>
        <w:spacing w:before="360" w:after="240"/>
        <w:rPr>
          <w:rFonts w:ascii="Arial" w:eastAsia="Calibri" w:hAnsi="Arial" w:cs="Arial"/>
          <w:u w:val="single"/>
        </w:rPr>
      </w:pPr>
      <w:r w:rsidRPr="001D49D4">
        <w:rPr>
          <w:rFonts w:ascii="Arial" w:eastAsia="Calibri" w:hAnsi="Arial" w:cs="Arial"/>
          <w:u w:val="single"/>
          <w:rtl/>
        </w:rPr>
        <w:t>התופס בעדים:</w:t>
      </w:r>
    </w:p>
    <w:p w14:paraId="6F3312BE" w14:textId="77777777" w:rsidR="001D49D4" w:rsidRPr="001D49D4" w:rsidRDefault="001D49D4" w:rsidP="0004348D">
      <w:pPr>
        <w:numPr>
          <w:ilvl w:val="0"/>
          <w:numId w:val="226"/>
        </w:numPr>
        <w:spacing w:before="360" w:after="240"/>
        <w:contextualSpacing/>
        <w:rPr>
          <w:rFonts w:ascii="Arial" w:hAnsi="Arial"/>
          <w:rtl/>
        </w:rPr>
      </w:pPr>
      <w:r w:rsidRPr="001D49D4">
        <w:rPr>
          <w:rFonts w:ascii="Arial" w:hAnsi="Arial"/>
          <w:rtl/>
        </w:rPr>
        <w:t>(טור</w:t>
      </w:r>
      <w:r w:rsidRPr="001D49D4">
        <w:rPr>
          <w:rFonts w:ascii="Arial" w:hAnsi="Arial"/>
          <w:sz w:val="16"/>
          <w:szCs w:val="16"/>
          <w:rtl/>
        </w:rPr>
        <w:t xml:space="preserve"> להב' הב"י והפרישה</w:t>
      </w:r>
      <w:r w:rsidRPr="001D49D4">
        <w:rPr>
          <w:rFonts w:ascii="Arial" w:hAnsi="Arial"/>
          <w:sz w:val="14"/>
          <w:szCs w:val="14"/>
          <w:rtl/>
        </w:rPr>
        <w:t xml:space="preserve"> [אות יג]</w:t>
      </w:r>
      <w:r w:rsidRPr="001D49D4">
        <w:rPr>
          <w:rFonts w:ascii="Arial" w:hAnsi="Arial"/>
          <w:rtl/>
        </w:rPr>
        <w:t>) והה"מ</w:t>
      </w:r>
      <w:r w:rsidRPr="001D49D4">
        <w:rPr>
          <w:rFonts w:ascii="Arial" w:hAnsi="Arial"/>
          <w:sz w:val="16"/>
          <w:szCs w:val="16"/>
          <w:rtl/>
        </w:rPr>
        <w:t xml:space="preserve"> (פכ"ז הט"ז)</w:t>
      </w:r>
      <w:r w:rsidRPr="001D49D4">
        <w:rPr>
          <w:rFonts w:ascii="Arial" w:hAnsi="Arial"/>
          <w:rtl/>
        </w:rPr>
        <w:t xml:space="preserve">- אפילו תפס בעדים דליכא מגו מהני תפיסתו, ומ"מ שטר שכתוב בו דינרים סתם, שאין גובה בו אלא שנים, אם תפס יותר </w:t>
      </w:r>
      <w:r w:rsidRPr="001D49D4">
        <w:rPr>
          <w:rFonts w:ascii="Arial" w:hAnsi="Arial"/>
          <w:u w:val="single"/>
          <w:rtl/>
        </w:rPr>
        <w:t>בעדים</w:t>
      </w:r>
      <w:r w:rsidRPr="001D49D4">
        <w:rPr>
          <w:rFonts w:ascii="Arial" w:hAnsi="Arial"/>
          <w:vertAlign w:val="superscript"/>
          <w:rtl/>
        </w:rPr>
        <w:footnoteReference w:id="3222"/>
      </w:r>
      <w:r w:rsidRPr="001D49D4">
        <w:rPr>
          <w:rFonts w:ascii="Arial" w:hAnsi="Arial"/>
          <w:rtl/>
        </w:rPr>
        <w:t xml:space="preserve"> מוציאין מידו. </w:t>
      </w:r>
    </w:p>
    <w:p w14:paraId="1562E8DB" w14:textId="77777777" w:rsidR="001D49D4" w:rsidRPr="001D49D4" w:rsidRDefault="001D49D4" w:rsidP="0004348D">
      <w:pPr>
        <w:spacing w:before="360" w:after="240"/>
        <w:rPr>
          <w:rFonts w:ascii="Arial" w:eastAsia="Calibri" w:hAnsi="Arial" w:cs="Arial"/>
          <w:u w:val="single"/>
        </w:rPr>
      </w:pPr>
      <w:r w:rsidRPr="001D49D4">
        <w:rPr>
          <w:rFonts w:ascii="Arial" w:eastAsia="Calibri" w:hAnsi="Arial" w:cs="Arial"/>
          <w:u w:val="single"/>
          <w:rtl/>
        </w:rPr>
        <w:t>האם אמרינן בשובר יד בעל השטר על התחתונה:</w:t>
      </w:r>
    </w:p>
    <w:p w14:paraId="0E8BC758" w14:textId="77777777" w:rsidR="001D49D4" w:rsidRPr="001D49D4" w:rsidRDefault="001D49D4" w:rsidP="0004348D">
      <w:pPr>
        <w:numPr>
          <w:ilvl w:val="0"/>
          <w:numId w:val="227"/>
        </w:numPr>
        <w:spacing w:before="360" w:after="240"/>
        <w:contextualSpacing/>
        <w:rPr>
          <w:rFonts w:ascii="Arial" w:hAnsi="Arial"/>
          <w:rtl/>
        </w:rPr>
      </w:pPr>
      <w:r w:rsidRPr="001D49D4">
        <w:rPr>
          <w:rFonts w:ascii="Arial" w:hAnsi="Arial"/>
          <w:rtl/>
        </w:rPr>
        <w:lastRenderedPageBreak/>
        <w:t xml:space="preserve">נמוק"י </w:t>
      </w:r>
      <w:r w:rsidRPr="001D49D4">
        <w:rPr>
          <w:rFonts w:ascii="Arial" w:hAnsi="Arial"/>
          <w:sz w:val="16"/>
          <w:szCs w:val="16"/>
          <w:rtl/>
        </w:rPr>
        <w:t>(ב"ב עו: ד"ה אמר המחבר, הביאו הב"י סע' ח</w:t>
      </w:r>
      <w:r w:rsidRPr="001D49D4">
        <w:rPr>
          <w:rFonts w:ascii="Arial" w:hAnsi="Arial"/>
          <w:sz w:val="14"/>
          <w:szCs w:val="14"/>
          <w:rtl/>
        </w:rPr>
        <w:t>[ב]</w:t>
      </w:r>
      <w:r w:rsidRPr="001D49D4">
        <w:rPr>
          <w:rFonts w:ascii="Arial" w:hAnsi="Arial"/>
          <w:sz w:val="16"/>
          <w:szCs w:val="16"/>
          <w:rtl/>
        </w:rPr>
        <w:t>)</w:t>
      </w:r>
      <w:r w:rsidRPr="001D49D4">
        <w:rPr>
          <w:rFonts w:ascii="Arial" w:hAnsi="Arial"/>
          <w:rtl/>
        </w:rPr>
        <w:t>- "שובר שיצא והיה כתוב בו שנתפרע ממנו דינרין יש אומרים דגבי שובר נדון הלשון על העליונה והמוציא מחבירו עליו הראיה ודיינין הכי דטובא קאמר, ולזה נוטה דעת הרא"ה ז"ל, אע"פ שאינו נראה בעיני הריטב"א ז"ל תלמידו".</w:t>
      </w:r>
    </w:p>
    <w:p w14:paraId="236B2DC6" w14:textId="77777777" w:rsidR="001D49D4" w:rsidRPr="001D49D4" w:rsidRDefault="001D49D4" w:rsidP="0004348D">
      <w:pPr>
        <w:spacing w:before="360" w:after="240"/>
        <w:jc w:val="both"/>
        <w:rPr>
          <w:rFonts w:ascii="Arial" w:eastAsia="Calibri" w:hAnsi="Arial" w:cs="Arial"/>
        </w:rPr>
      </w:pPr>
      <w:r w:rsidRPr="001D49D4">
        <w:rPr>
          <w:rFonts w:ascii="Arial" w:eastAsia="Calibri" w:hAnsi="Arial" w:cs="Arial"/>
          <w:b/>
          <w:bCs/>
          <w:sz w:val="32"/>
          <w:szCs w:val="28"/>
          <w:u w:val="single"/>
          <w:rtl/>
        </w:rPr>
        <w:t xml:space="preserve">שו"ע: </w:t>
      </w:r>
    </w:p>
    <w:p w14:paraId="61C7BE40" w14:textId="77777777" w:rsidR="001D49D4" w:rsidRPr="001D49D4" w:rsidRDefault="001D49D4" w:rsidP="0004348D">
      <w:pPr>
        <w:spacing w:before="360" w:after="240"/>
        <w:rPr>
          <w:rFonts w:ascii="Arial" w:eastAsia="Calibri" w:hAnsi="Arial" w:cs="Arial"/>
          <w:rtl/>
        </w:rPr>
      </w:pPr>
      <w:r w:rsidRPr="001D49D4">
        <w:rPr>
          <w:rFonts w:ascii="Arial" w:eastAsia="Calibri" w:hAnsi="Arial" w:cs="Arial"/>
          <w:rtl/>
        </w:rPr>
        <w:t>בכל הני דאמרינן לעיל שיד בעל השטר על התחתונה אי תפס</w:t>
      </w:r>
      <w:r w:rsidRPr="001D49D4">
        <w:rPr>
          <w:rFonts w:ascii="Arial" w:eastAsia="Calibri" w:hAnsi="Arial" w:cs="Arial"/>
          <w:vertAlign w:val="superscript"/>
          <w:rtl/>
        </w:rPr>
        <w:footnoteReference w:id="3223"/>
      </w:r>
      <w:r w:rsidRPr="001D49D4">
        <w:rPr>
          <w:rFonts w:ascii="Arial" w:eastAsia="Calibri" w:hAnsi="Arial" w:cs="Arial"/>
          <w:rtl/>
        </w:rPr>
        <w:t xml:space="preserve"> מטלטלים</w:t>
      </w:r>
      <w:r w:rsidRPr="001D49D4">
        <w:rPr>
          <w:rFonts w:ascii="Arial" w:eastAsia="Calibri" w:hAnsi="Arial" w:cs="Arial"/>
          <w:vertAlign w:val="superscript"/>
          <w:rtl/>
        </w:rPr>
        <w:footnoteReference w:id="3224"/>
      </w:r>
      <w:r w:rsidRPr="001D49D4">
        <w:rPr>
          <w:rFonts w:ascii="Arial" w:eastAsia="Calibri" w:hAnsi="Arial" w:cs="Arial"/>
          <w:rtl/>
        </w:rPr>
        <w:t xml:space="preserve"> לא מפקינן מיניה</w:t>
      </w:r>
      <w:r w:rsidRPr="001D49D4">
        <w:rPr>
          <w:rFonts w:ascii="Arial" w:eastAsia="Calibri" w:hAnsi="Arial" w:cs="Arial"/>
          <w:vertAlign w:val="superscript"/>
          <w:rtl/>
        </w:rPr>
        <w:footnoteReference w:id="3225"/>
      </w:r>
      <w:r w:rsidRPr="001D49D4">
        <w:rPr>
          <w:rFonts w:ascii="Arial" w:eastAsia="Calibri" w:hAnsi="Arial" w:cs="Arial"/>
          <w:rtl/>
        </w:rPr>
        <w:t xml:space="preserve">. </w:t>
      </w:r>
      <w:r w:rsidRPr="001D49D4">
        <w:rPr>
          <w:rFonts w:ascii="Arial" w:eastAsia="Calibri" w:hAnsi="Arial" w:cs="Arial"/>
          <w:sz w:val="18"/>
          <w:szCs w:val="18"/>
          <w:rtl/>
        </w:rPr>
        <w:t>הגה: וכל שכן שאומרים בשובר יד בעל השטר על העליונה, הואיל והוא מוחזק</w:t>
      </w:r>
      <w:r w:rsidRPr="001D49D4">
        <w:rPr>
          <w:rFonts w:ascii="Arial" w:eastAsia="Calibri" w:hAnsi="Arial" w:cs="Arial"/>
          <w:sz w:val="18"/>
          <w:szCs w:val="18"/>
          <w:vertAlign w:val="superscript"/>
          <w:rtl/>
        </w:rPr>
        <w:footnoteReference w:id="3226"/>
      </w:r>
      <w:r w:rsidRPr="001D49D4">
        <w:rPr>
          <w:rFonts w:ascii="Arial" w:eastAsia="Calibri" w:hAnsi="Arial" w:cs="Arial"/>
          <w:sz w:val="18"/>
          <w:szCs w:val="18"/>
          <w:rtl/>
        </w:rPr>
        <w:t xml:space="preserve"> </w:t>
      </w:r>
      <w:r w:rsidRPr="001D49D4">
        <w:rPr>
          <w:rFonts w:ascii="Arial" w:eastAsia="Calibri" w:hAnsi="Arial" w:cs="Arial"/>
          <w:sz w:val="16"/>
          <w:szCs w:val="16"/>
          <w:rtl/>
        </w:rPr>
        <w:t>(נימוק"י בשם הרא"ה)</w:t>
      </w:r>
      <w:r w:rsidRPr="001D49D4">
        <w:rPr>
          <w:rFonts w:ascii="Arial" w:eastAsia="Calibri" w:hAnsi="Arial" w:cs="Arial"/>
          <w:sz w:val="18"/>
          <w:szCs w:val="18"/>
          <w:rtl/>
        </w:rPr>
        <w:t>, דלא כיש חולקין ואומרים דאפילו בשובר אמרינן ידו על התחתונה</w:t>
      </w:r>
      <w:r w:rsidRPr="001D49D4">
        <w:rPr>
          <w:rFonts w:ascii="Arial" w:eastAsia="Calibri" w:hAnsi="Arial" w:cs="Arial"/>
          <w:sz w:val="18"/>
          <w:szCs w:val="18"/>
          <w:vertAlign w:val="superscript"/>
          <w:rtl/>
        </w:rPr>
        <w:footnoteReference w:id="3227"/>
      </w:r>
      <w:r w:rsidRPr="001D49D4">
        <w:rPr>
          <w:rFonts w:ascii="Arial" w:eastAsia="Calibri" w:hAnsi="Arial" w:cs="Arial"/>
          <w:sz w:val="18"/>
          <w:szCs w:val="18"/>
          <w:rtl/>
        </w:rPr>
        <w:t xml:space="preserve"> </w:t>
      </w:r>
      <w:r w:rsidRPr="001D49D4">
        <w:rPr>
          <w:rFonts w:ascii="Arial" w:eastAsia="Calibri" w:hAnsi="Arial" w:cs="Arial"/>
          <w:sz w:val="16"/>
          <w:szCs w:val="16"/>
          <w:rtl/>
        </w:rPr>
        <w:t>(שם בשם הריטב"א תלמידו)</w:t>
      </w:r>
      <w:r w:rsidRPr="001D49D4">
        <w:rPr>
          <w:rFonts w:ascii="Arial" w:eastAsia="Calibri" w:hAnsi="Arial" w:cs="Arial"/>
          <w:sz w:val="18"/>
          <w:szCs w:val="18"/>
          <w:rtl/>
        </w:rPr>
        <w:t>.</w:t>
      </w:r>
      <w:r w:rsidRPr="001D49D4">
        <w:rPr>
          <w:rFonts w:ascii="Arial" w:eastAsia="Calibri" w:hAnsi="Arial" w:cs="Arial"/>
          <w:rtl/>
        </w:rPr>
        <w:t xml:space="preserve"> </w:t>
      </w:r>
    </w:p>
    <w:p w14:paraId="46DA755E" w14:textId="77777777" w:rsidR="001D49D4" w:rsidRPr="001D49D4" w:rsidRDefault="001D49D4" w:rsidP="0004348D">
      <w:pPr>
        <w:spacing w:before="360" w:after="240"/>
        <w:rPr>
          <w:rFonts w:ascii="Arial" w:eastAsia="Calibri" w:hAnsi="Arial" w:cs="Arial"/>
          <w:u w:val="single"/>
          <w:rtl/>
        </w:rPr>
      </w:pPr>
      <w:r w:rsidRPr="001D49D4">
        <w:rPr>
          <w:rFonts w:ascii="Arial" w:eastAsia="Calibri" w:hAnsi="Arial" w:cs="Arial"/>
          <w:u w:val="single"/>
          <w:rtl/>
        </w:rPr>
        <w:t>שובר שלשונו מסופק, האם יד בעל השובר על העליונה או שמא כבעל השטר דמי וידו על התחתונה:</w:t>
      </w:r>
    </w:p>
    <w:p w14:paraId="45D56200" w14:textId="77777777" w:rsidR="001D49D4" w:rsidRPr="001D49D4" w:rsidRDefault="001D49D4" w:rsidP="0004348D">
      <w:pPr>
        <w:numPr>
          <w:ilvl w:val="0"/>
          <w:numId w:val="226"/>
        </w:numPr>
        <w:spacing w:before="360" w:after="240"/>
        <w:contextualSpacing/>
        <w:rPr>
          <w:rFonts w:ascii="Arial" w:hAnsi="Arial"/>
          <w:rtl/>
        </w:rPr>
      </w:pPr>
      <w:r w:rsidRPr="001D49D4">
        <w:rPr>
          <w:rFonts w:ascii="Arial" w:hAnsi="Arial"/>
          <w:rtl/>
        </w:rPr>
        <w:t xml:space="preserve">סמ"ע </w:t>
      </w:r>
      <w:r w:rsidRPr="001D49D4">
        <w:rPr>
          <w:rFonts w:ascii="Arial" w:hAnsi="Arial"/>
          <w:sz w:val="16"/>
          <w:szCs w:val="16"/>
          <w:rtl/>
        </w:rPr>
        <w:t>(סקכ"ג)</w:t>
      </w:r>
      <w:r w:rsidRPr="001D49D4">
        <w:rPr>
          <w:rFonts w:ascii="Arial" w:hAnsi="Arial"/>
          <w:rtl/>
        </w:rPr>
        <w:t xml:space="preserve">- שובר שלשונו מסופק לא מהני נגד שטר חוב מבורר שהוא ביד המלוה ויש לו בשטר שעבוד קרקעות, ולכן קשה על מסקנת הרמ"א ועל דברי הב"י </w:t>
      </w:r>
      <w:r w:rsidRPr="001D49D4">
        <w:rPr>
          <w:rFonts w:ascii="Arial" w:hAnsi="Arial"/>
          <w:sz w:val="16"/>
          <w:szCs w:val="16"/>
          <w:rtl/>
        </w:rPr>
        <w:t>(שכ'- אם הוא שטר מחילה לא תלינן בזבוב דהמוציא מחבירו עליו הראיה)</w:t>
      </w:r>
      <w:r w:rsidRPr="001D49D4">
        <w:rPr>
          <w:rFonts w:ascii="Arial" w:hAnsi="Arial"/>
          <w:rtl/>
        </w:rPr>
        <w:t>.</w:t>
      </w:r>
    </w:p>
    <w:p w14:paraId="261D8573" w14:textId="77777777" w:rsidR="001D49D4" w:rsidRPr="001D49D4" w:rsidRDefault="001D49D4" w:rsidP="0004348D">
      <w:pPr>
        <w:numPr>
          <w:ilvl w:val="0"/>
          <w:numId w:val="226"/>
        </w:numPr>
        <w:spacing w:before="360" w:after="240"/>
        <w:contextualSpacing/>
        <w:rPr>
          <w:rFonts w:ascii="Arial" w:hAnsi="Arial"/>
          <w:rtl/>
        </w:rPr>
      </w:pPr>
      <w:r w:rsidRPr="001D49D4">
        <w:rPr>
          <w:rFonts w:ascii="Arial" w:hAnsi="Arial"/>
          <w:rtl/>
        </w:rPr>
        <w:t>ש"ך</w:t>
      </w:r>
      <w:r w:rsidRPr="001D49D4">
        <w:rPr>
          <w:rFonts w:ascii="Arial" w:hAnsi="Arial"/>
          <w:sz w:val="16"/>
          <w:szCs w:val="16"/>
          <w:rtl/>
        </w:rPr>
        <w:t xml:space="preserve"> (סקי"ז)</w:t>
      </w:r>
      <w:r w:rsidRPr="001D49D4">
        <w:rPr>
          <w:rFonts w:ascii="Arial" w:hAnsi="Arial"/>
          <w:rtl/>
        </w:rPr>
        <w:t>- דברי הרב</w:t>
      </w:r>
      <w:r w:rsidRPr="001D49D4">
        <w:rPr>
          <w:rFonts w:ascii="Arial" w:hAnsi="Arial"/>
          <w:vertAlign w:val="superscript"/>
          <w:rtl/>
        </w:rPr>
        <w:footnoteReference w:id="3228"/>
      </w:r>
      <w:r w:rsidRPr="001D49D4">
        <w:rPr>
          <w:rFonts w:ascii="Arial" w:hAnsi="Arial"/>
          <w:rtl/>
        </w:rPr>
        <w:t xml:space="preserve"> נכונים וברורים בטעמם, וכל שכן הוא דבשובר אמרינן יד בעל השובר על העליונה. ולעולם אמרינן יד בעל השובר על העליונה לבטל שטר, שכן דרך לכתוב שובר לבטל השטר, וא"כ יד בעל השטר על התחתונה נגד השובר וממילא יד בעל השובר על העליונה נגד השטר, אבל אחר שנתבטל השטר הוה ליה בעל השובר, לענין תביעת בעל פה, בעל השטר, ושפיר אמרינן גביה יד בעל השטר על התחתונה לענין דצריך לישבע. ופשיטא דצריך הלוה לישבע היסת כתביעה בעל פה, ומ"ש יד בעל השובר על העליונה היינו לבטל השטר. גם בדין אי תפס לא מפקינן, אם הלוה תובע למלוה יכול להשביעו היסת, וכדלקמן סעיף י"ב. וגם על הב"י לא קשה מידי ודברי הב"י נכונים</w:t>
      </w:r>
      <w:r w:rsidRPr="001D49D4">
        <w:rPr>
          <w:rFonts w:ascii="Arial" w:hAnsi="Arial"/>
          <w:vertAlign w:val="superscript"/>
          <w:rtl/>
        </w:rPr>
        <w:footnoteReference w:id="3229"/>
      </w:r>
      <w:r w:rsidRPr="001D49D4">
        <w:rPr>
          <w:rFonts w:ascii="Arial" w:hAnsi="Arial"/>
          <w:rtl/>
        </w:rPr>
        <w:t xml:space="preserve"> </w:t>
      </w:r>
      <w:r w:rsidRPr="001D49D4">
        <w:rPr>
          <w:rFonts w:ascii="Arial" w:hAnsi="Arial"/>
          <w:sz w:val="16"/>
          <w:szCs w:val="16"/>
          <w:rtl/>
        </w:rPr>
        <w:t xml:space="preserve">(וכן מבואר בתשובות הרא"ש </w:t>
      </w:r>
      <w:r w:rsidRPr="001D49D4">
        <w:rPr>
          <w:rFonts w:ascii="Arial" w:hAnsi="Arial"/>
          <w:sz w:val="14"/>
          <w:szCs w:val="14"/>
          <w:rtl/>
        </w:rPr>
        <w:t>[כלל ע"ו סי' ב'-ד']</w:t>
      </w:r>
      <w:r w:rsidRPr="001D49D4">
        <w:rPr>
          <w:rFonts w:ascii="Arial" w:hAnsi="Arial"/>
          <w:sz w:val="16"/>
          <w:szCs w:val="16"/>
          <w:rtl/>
        </w:rPr>
        <w:t>)</w:t>
      </w:r>
      <w:r w:rsidRPr="001D49D4">
        <w:rPr>
          <w:rFonts w:ascii="Arial" w:hAnsi="Arial"/>
          <w:rtl/>
        </w:rPr>
        <w:t>.</w:t>
      </w:r>
    </w:p>
    <w:p w14:paraId="55955262" w14:textId="77777777" w:rsidR="001D49D4" w:rsidRPr="001D49D4" w:rsidRDefault="001D49D4" w:rsidP="0004348D">
      <w:pPr>
        <w:spacing w:before="360" w:after="240"/>
        <w:rPr>
          <w:rFonts w:ascii="Arial" w:eastAsia="Calibri" w:hAnsi="Arial" w:cs="Arial"/>
          <w:rtl/>
        </w:rPr>
      </w:pPr>
    </w:p>
    <w:p w14:paraId="5C866FFD" w14:textId="77777777" w:rsidR="001D49D4" w:rsidRPr="001D49D4" w:rsidRDefault="001D49D4" w:rsidP="0004348D">
      <w:pPr>
        <w:keepNext/>
        <w:keepLines/>
        <w:spacing w:before="360" w:after="240"/>
        <w:outlineLvl w:val="1"/>
        <w:rPr>
          <w:rFonts w:ascii="Arial" w:eastAsia="Times New Roman" w:hAnsi="Arial" w:cs="Arial"/>
          <w:bCs/>
          <w:color w:val="548DD4" w:themeColor="text2" w:themeTint="99"/>
          <w:sz w:val="26"/>
          <w:szCs w:val="26"/>
          <w:rtl/>
        </w:rPr>
      </w:pPr>
      <w:bookmarkStart w:id="421" w:name="_Toc24883861"/>
      <w:r w:rsidRPr="001D49D4">
        <w:rPr>
          <w:rFonts w:ascii="Arial" w:eastAsia="Times New Roman" w:hAnsi="Arial" w:cs="Arial"/>
          <w:bCs/>
          <w:color w:val="548DD4" w:themeColor="text2" w:themeTint="99"/>
          <w:sz w:val="26"/>
          <w:szCs w:val="26"/>
          <w:rtl/>
        </w:rPr>
        <w:t>סעיף ט: ספק בשטר שיכול לגרום לביטולו.</w:t>
      </w:r>
      <w:bookmarkEnd w:id="421"/>
    </w:p>
    <w:p w14:paraId="2C831673" w14:textId="77777777" w:rsidR="001D49D4" w:rsidRPr="001D49D4" w:rsidRDefault="001D49D4" w:rsidP="0004348D">
      <w:pPr>
        <w:spacing w:before="360" w:after="240"/>
        <w:rPr>
          <w:rFonts w:ascii="Arial" w:eastAsia="Calibri" w:hAnsi="Arial" w:cs="Arial"/>
          <w:sz w:val="16"/>
          <w:szCs w:val="16"/>
          <w:rtl/>
        </w:rPr>
      </w:pPr>
      <w:r w:rsidRPr="001D49D4">
        <w:rPr>
          <w:rFonts w:ascii="Arial" w:eastAsia="Calibri" w:hAnsi="Arial" w:cs="Arial"/>
          <w:b/>
          <w:bCs/>
          <w:rtl/>
        </w:rPr>
        <w:t xml:space="preserve">ירושלמי </w:t>
      </w:r>
      <w:r w:rsidRPr="001D49D4">
        <w:rPr>
          <w:rFonts w:ascii="Arial" w:eastAsia="Calibri" w:hAnsi="Arial" w:cs="Arial"/>
          <w:b/>
          <w:bCs/>
          <w:sz w:val="16"/>
          <w:szCs w:val="16"/>
          <w:rtl/>
        </w:rPr>
        <w:t xml:space="preserve">(וילנא) </w:t>
      </w:r>
      <w:r w:rsidRPr="001D49D4">
        <w:rPr>
          <w:rFonts w:ascii="Arial" w:eastAsia="Calibri" w:hAnsi="Arial" w:cs="Arial"/>
          <w:b/>
          <w:bCs/>
          <w:rtl/>
        </w:rPr>
        <w:t xml:space="preserve">כתובות פי"ב ה"א: </w:t>
      </w:r>
      <w:r w:rsidRPr="001D49D4">
        <w:rPr>
          <w:rFonts w:ascii="Arial" w:eastAsia="Calibri" w:hAnsi="Arial" w:cs="Arial"/>
          <w:u w:val="double"/>
          <w:rtl/>
        </w:rPr>
        <w:t>מתני':</w:t>
      </w:r>
      <w:r w:rsidRPr="001D49D4">
        <w:rPr>
          <w:rFonts w:ascii="Arial" w:eastAsia="Calibri" w:hAnsi="Arial" w:cs="Arial"/>
          <w:rtl/>
        </w:rPr>
        <w:t xml:space="preserve"> הנושא את האשה ופסקה עמו שיזון את בתה חמש שנים חייב לזונה ה' שנים, נישאת לאחר ופסקה עמו כדי שיזון את בתה חמש שנים חייב לזונה ה' שנים, לא יאמר הראשון לכשתבא אצלי אזונה אלא מוליך מזונותיה למקום שהיא...</w:t>
      </w:r>
      <w:r w:rsidRPr="001D49D4">
        <w:rPr>
          <w:rFonts w:ascii="Arial" w:eastAsia="Calibri" w:hAnsi="Arial" w:cs="Arial"/>
          <w:sz w:val="16"/>
          <w:szCs w:val="16"/>
          <w:rtl/>
        </w:rPr>
        <w:t xml:space="preserve"> (וכ' הר"ן </w:t>
      </w:r>
      <w:r w:rsidRPr="001D49D4">
        <w:rPr>
          <w:rFonts w:ascii="Arial" w:eastAsia="Calibri" w:hAnsi="Arial" w:cs="Arial"/>
          <w:sz w:val="14"/>
          <w:szCs w:val="14"/>
          <w:rtl/>
        </w:rPr>
        <w:t xml:space="preserve">(כתובות ס: ד"ה הנושא) </w:t>
      </w:r>
      <w:r w:rsidRPr="001D49D4">
        <w:rPr>
          <w:rFonts w:ascii="Arial" w:eastAsia="Calibri" w:hAnsi="Arial" w:cs="Arial"/>
          <w:sz w:val="16"/>
          <w:szCs w:val="16"/>
          <w:rtl/>
        </w:rPr>
        <w:t xml:space="preserve">שכ"פ הרשב"א </w:t>
      </w:r>
      <w:r w:rsidRPr="001D49D4">
        <w:rPr>
          <w:rFonts w:ascii="Arial" w:eastAsia="Calibri" w:hAnsi="Arial" w:cs="Arial"/>
          <w:sz w:val="14"/>
          <w:szCs w:val="14"/>
          <w:rtl/>
        </w:rPr>
        <w:t xml:space="preserve">(ח"ג סי' רד). </w:t>
      </w:r>
      <w:r w:rsidRPr="001D49D4">
        <w:rPr>
          <w:rFonts w:ascii="Arial" w:eastAsia="Calibri" w:hAnsi="Arial" w:cs="Arial"/>
          <w:sz w:val="16"/>
          <w:szCs w:val="16"/>
          <w:rtl/>
        </w:rPr>
        <w:t xml:space="preserve">וכ' הריטב"א </w:t>
      </w:r>
      <w:r w:rsidRPr="001D49D4">
        <w:rPr>
          <w:rFonts w:ascii="Arial" w:eastAsia="Calibri" w:hAnsi="Arial" w:cs="Arial"/>
          <w:sz w:val="14"/>
          <w:szCs w:val="14"/>
          <w:rtl/>
        </w:rPr>
        <w:t xml:space="preserve">(שם קא: ד"ה הנושא) </w:t>
      </w:r>
      <w:r w:rsidRPr="001D49D4">
        <w:rPr>
          <w:rFonts w:ascii="Arial" w:eastAsia="Calibri" w:hAnsi="Arial" w:cs="Arial"/>
          <w:sz w:val="16"/>
          <w:szCs w:val="16"/>
          <w:rtl/>
        </w:rPr>
        <w:t>דשמעינן מירושלמי זה שהמתחייב לעשות דבר שום זמן ולא פירש אימתי חייב לעשות כן בזמן הבא ראשון)</w:t>
      </w:r>
    </w:p>
    <w:p w14:paraId="3C0115F1" w14:textId="77777777" w:rsidR="001D49D4" w:rsidRPr="001D49D4" w:rsidRDefault="001D49D4" w:rsidP="0004348D">
      <w:pPr>
        <w:spacing w:before="360" w:after="240"/>
        <w:rPr>
          <w:rFonts w:ascii="Arial" w:eastAsia="Calibri" w:hAnsi="Arial" w:cs="Arial"/>
          <w:sz w:val="16"/>
          <w:szCs w:val="16"/>
          <w:rtl/>
        </w:rPr>
      </w:pPr>
      <w:r w:rsidRPr="001D49D4">
        <w:rPr>
          <w:rFonts w:ascii="Arial" w:eastAsia="Calibri" w:hAnsi="Arial" w:cs="Arial"/>
          <w:b/>
          <w:bCs/>
          <w:rtl/>
        </w:rPr>
        <w:t xml:space="preserve">גיטין עז ע"א: </w:t>
      </w:r>
      <w:r w:rsidRPr="001D49D4">
        <w:rPr>
          <w:rFonts w:ascii="Arial" w:eastAsia="Calibri" w:hAnsi="Arial" w:cs="Arial"/>
          <w:rtl/>
        </w:rPr>
        <w:t>ת"ר: לאחר שבוע- שנה</w:t>
      </w:r>
      <w:r w:rsidRPr="001D49D4">
        <w:rPr>
          <w:rFonts w:ascii="Arial" w:eastAsia="Calibri" w:hAnsi="Arial" w:cs="Arial"/>
          <w:vertAlign w:val="superscript"/>
          <w:rtl/>
        </w:rPr>
        <w:footnoteReference w:id="3230"/>
      </w:r>
      <w:r w:rsidRPr="001D49D4">
        <w:rPr>
          <w:rFonts w:ascii="Arial" w:eastAsia="Calibri" w:hAnsi="Arial" w:cs="Arial"/>
          <w:rtl/>
        </w:rPr>
        <w:t>, לאחר שנה- חדש, לאחר חדש- שבת. לאחר שבת מאי? יתיב ר' זירא קמיה דרבי אסי, ואמרי לה רבי אסי קמיה דרבי יוחנן וקאמר: חד בשבא ותרי ותלתא- בתר שבתא, ארבעה וחמשה ומעלי שבתא- קמי שבתא.</w:t>
      </w:r>
      <w:r w:rsidRPr="001D49D4">
        <w:rPr>
          <w:rFonts w:ascii="Arial" w:eastAsia="Calibri" w:hAnsi="Arial" w:cs="Arial"/>
          <w:sz w:val="16"/>
          <w:szCs w:val="16"/>
          <w:rtl/>
        </w:rPr>
        <w:t xml:space="preserve"> (מכאן למד הרי"ף</w:t>
      </w:r>
      <w:r w:rsidRPr="001D49D4">
        <w:rPr>
          <w:rFonts w:ascii="Arial" w:eastAsia="Calibri" w:hAnsi="Arial" w:cs="Arial"/>
          <w:sz w:val="14"/>
          <w:szCs w:val="14"/>
          <w:rtl/>
        </w:rPr>
        <w:t xml:space="preserve"> (בתשו' סי' קכז, הביאו הר"ן </w:t>
      </w:r>
      <w:r w:rsidRPr="001D49D4">
        <w:rPr>
          <w:rFonts w:ascii="Arial" w:eastAsia="Calibri" w:hAnsi="Arial" w:cs="Arial"/>
          <w:sz w:val="12"/>
          <w:szCs w:val="12"/>
          <w:rtl/>
        </w:rPr>
        <w:t>[גיטין לט: דיבור ראשון]</w:t>
      </w:r>
      <w:r w:rsidRPr="001D49D4">
        <w:rPr>
          <w:rFonts w:ascii="Arial" w:eastAsia="Calibri" w:hAnsi="Arial" w:cs="Arial"/>
          <w:sz w:val="14"/>
          <w:szCs w:val="14"/>
          <w:rtl/>
        </w:rPr>
        <w:t>)</w:t>
      </w:r>
      <w:r w:rsidRPr="001D49D4">
        <w:rPr>
          <w:rFonts w:ascii="Arial" w:eastAsia="Calibri" w:hAnsi="Arial" w:cs="Arial"/>
          <w:sz w:val="16"/>
          <w:szCs w:val="16"/>
          <w:rtl/>
        </w:rPr>
        <w:t xml:space="preserve"> דמי שנשבע לחבירו לפרוע אחר הפסח רואין הימים שבין פסח לעצרת ויש לו ממחצית הימים שבנתיים כמו שהגמ' חילקה בנותן גט לאחר השבת שמחלקין חציה לפני שבת וחציה לאחריו, ולפי זה אם נשבע לפרוע אחר סוכות יש לו ג' חדשים)</w:t>
      </w:r>
    </w:p>
    <w:p w14:paraId="10B38210" w14:textId="77777777" w:rsidR="001D49D4" w:rsidRPr="001D49D4" w:rsidRDefault="001D49D4" w:rsidP="0004348D">
      <w:pPr>
        <w:spacing w:before="360" w:after="240"/>
        <w:rPr>
          <w:rFonts w:ascii="Arial" w:eastAsia="Calibri" w:hAnsi="Arial" w:cs="Arial"/>
          <w:u w:val="single"/>
          <w:rtl/>
        </w:rPr>
      </w:pPr>
      <w:r w:rsidRPr="001D49D4">
        <w:rPr>
          <w:rFonts w:ascii="Arial" w:eastAsia="Calibri" w:hAnsi="Arial" w:cs="Arial"/>
          <w:u w:val="single"/>
          <w:rtl/>
        </w:rPr>
        <w:t xml:space="preserve">מדוע שטר שכ' בו זמן הפרעון בפסח, צריך לפרעו בפסח הבא ראשון </w:t>
      </w:r>
      <w:r w:rsidRPr="001D49D4">
        <w:rPr>
          <w:rFonts w:ascii="Arial" w:eastAsia="Calibri" w:hAnsi="Arial" w:cs="Arial"/>
          <w:sz w:val="16"/>
          <w:szCs w:val="16"/>
          <w:u w:val="single"/>
          <w:rtl/>
        </w:rPr>
        <w:t>(ואינו יכול לומר לא אפרענו אלא לפסח שאחר כמה שנים)</w:t>
      </w:r>
      <w:r w:rsidRPr="001D49D4">
        <w:rPr>
          <w:rFonts w:ascii="Arial" w:eastAsia="Calibri" w:hAnsi="Arial" w:cs="Arial"/>
          <w:u w:val="single"/>
          <w:rtl/>
        </w:rPr>
        <w:t>:</w:t>
      </w:r>
    </w:p>
    <w:p w14:paraId="51916C8A" w14:textId="77777777" w:rsidR="001D49D4" w:rsidRPr="001D49D4" w:rsidRDefault="001D49D4" w:rsidP="0004348D">
      <w:pPr>
        <w:numPr>
          <w:ilvl w:val="0"/>
          <w:numId w:val="228"/>
        </w:numPr>
        <w:spacing w:before="360" w:after="240"/>
        <w:contextualSpacing/>
        <w:rPr>
          <w:rFonts w:ascii="Arial" w:hAnsi="Arial"/>
          <w:rtl/>
        </w:rPr>
      </w:pPr>
      <w:r w:rsidRPr="001D49D4">
        <w:rPr>
          <w:rFonts w:ascii="Arial" w:hAnsi="Arial"/>
          <w:rtl/>
        </w:rPr>
        <w:lastRenderedPageBreak/>
        <w:t>רא"ש</w:t>
      </w:r>
      <w:r w:rsidRPr="001D49D4">
        <w:rPr>
          <w:rFonts w:ascii="Arial" w:hAnsi="Arial"/>
          <w:sz w:val="16"/>
          <w:szCs w:val="16"/>
          <w:rtl/>
        </w:rPr>
        <w:t xml:space="preserve"> (כל סח סי' יד)</w:t>
      </w:r>
      <w:r w:rsidRPr="001D49D4">
        <w:rPr>
          <w:rFonts w:ascii="Arial" w:hAnsi="Arial"/>
          <w:rtl/>
        </w:rPr>
        <w:t xml:space="preserve">- כיון דלא אמרינן יד בעל השטר על התחתונה אלא היכא דאין השטר נפסד לגמרי, אבל הכא אם נפרש שיחזיר ההלוואה באיזה פסח שירצה נפסד השטר לגמרי, וא"כ למה נכתב השטר כלל? אלא ודאי אומדנא דמוכח הוא שפסח של זמן קצוב היה, ובשגגת הסופר לא נכתב הזמן, ועתה אין לנו לדון הזמן אלא או פסח של סוף ששת שלפים, או פסח הבא ראשון, דפסח אחר לא תוכל לברר אחריו איזה מהם תתפוס, ופסח אחרון אינך יכול לומר, דא"כ למה נכתב השטר? הלכך אתה צריך לומר פסח הבא ראשון. </w:t>
      </w:r>
      <w:r w:rsidRPr="001D49D4">
        <w:rPr>
          <w:rFonts w:ascii="Arial" w:hAnsi="Arial"/>
          <w:color w:val="E36C0A" w:themeColor="accent6" w:themeShade="BF"/>
          <w:rtl/>
        </w:rPr>
        <w:t>(וכ"פ בשו"ע)</w:t>
      </w:r>
      <w:r w:rsidRPr="001D49D4">
        <w:rPr>
          <w:rFonts w:ascii="Arial" w:hAnsi="Arial"/>
          <w:rtl/>
        </w:rPr>
        <w:t xml:space="preserve"> </w:t>
      </w:r>
    </w:p>
    <w:p w14:paraId="52FDC3F9" w14:textId="77777777" w:rsidR="001D49D4" w:rsidRPr="001D49D4" w:rsidRDefault="001D49D4" w:rsidP="0004348D">
      <w:pPr>
        <w:numPr>
          <w:ilvl w:val="0"/>
          <w:numId w:val="228"/>
        </w:numPr>
        <w:spacing w:before="360" w:after="240"/>
        <w:contextualSpacing/>
        <w:rPr>
          <w:rFonts w:ascii="Arial" w:hAnsi="Arial"/>
        </w:rPr>
      </w:pPr>
      <w:r w:rsidRPr="001D49D4">
        <w:rPr>
          <w:rFonts w:ascii="Arial" w:hAnsi="Arial"/>
          <w:rtl/>
        </w:rPr>
        <w:t xml:space="preserve">רשב"א </w:t>
      </w:r>
      <w:r w:rsidRPr="001D49D4">
        <w:rPr>
          <w:rFonts w:ascii="Arial" w:hAnsi="Arial"/>
          <w:sz w:val="16"/>
          <w:szCs w:val="16"/>
          <w:rtl/>
        </w:rPr>
        <w:t>(תשו' ח"ד סי' רצד)</w:t>
      </w:r>
      <w:r w:rsidRPr="001D49D4">
        <w:rPr>
          <w:rFonts w:ascii="Arial" w:hAnsi="Arial"/>
          <w:rtl/>
        </w:rPr>
        <w:t>- כמו שבנדרים</w:t>
      </w:r>
      <w:r w:rsidRPr="001D49D4">
        <w:rPr>
          <w:rFonts w:ascii="Arial" w:hAnsi="Arial"/>
          <w:vertAlign w:val="superscript"/>
          <w:rtl/>
        </w:rPr>
        <w:footnoteReference w:id="3231"/>
      </w:r>
      <w:r w:rsidRPr="001D49D4">
        <w:rPr>
          <w:rFonts w:ascii="Arial" w:hAnsi="Arial"/>
          <w:rtl/>
        </w:rPr>
        <w:t xml:space="preserve"> דלא תני בהו ראשון אסור עד שיגיע ראשון ולא אמרו שיהא אסור עד עולם, ה"ה בשטר זה.</w:t>
      </w:r>
    </w:p>
    <w:p w14:paraId="6C53F920" w14:textId="77777777" w:rsidR="001D49D4" w:rsidRPr="001D49D4" w:rsidRDefault="001D49D4" w:rsidP="0004348D">
      <w:pPr>
        <w:spacing w:before="360" w:after="240"/>
        <w:jc w:val="both"/>
        <w:rPr>
          <w:rFonts w:ascii="Arial" w:eastAsia="Calibri" w:hAnsi="Arial" w:cs="Arial"/>
          <w:rtl/>
        </w:rPr>
      </w:pPr>
      <w:r w:rsidRPr="001D49D4">
        <w:rPr>
          <w:rFonts w:ascii="Arial" w:eastAsia="Calibri" w:hAnsi="Arial" w:cs="Arial"/>
          <w:b/>
          <w:bCs/>
          <w:sz w:val="32"/>
          <w:szCs w:val="28"/>
          <w:u w:val="single"/>
          <w:rtl/>
        </w:rPr>
        <w:t xml:space="preserve">שו"ע: </w:t>
      </w:r>
    </w:p>
    <w:p w14:paraId="6C894060" w14:textId="77777777" w:rsidR="001D49D4" w:rsidRPr="001D49D4" w:rsidRDefault="001D49D4" w:rsidP="0004348D">
      <w:pPr>
        <w:spacing w:before="360" w:after="240"/>
        <w:rPr>
          <w:rFonts w:ascii="Arial" w:eastAsia="Calibri" w:hAnsi="Arial" w:cs="Arial"/>
          <w:rtl/>
        </w:rPr>
      </w:pPr>
      <w:r w:rsidRPr="001D49D4">
        <w:rPr>
          <w:rFonts w:ascii="Arial" w:eastAsia="Calibri" w:hAnsi="Arial" w:cs="Arial"/>
          <w:rtl/>
        </w:rPr>
        <w:t>לא אמרינן יד בעל השטר על התחתונה אלא בכל כי הני גווני דלעיל שאין השטר בטל לגמרי, אבל בדבר שהשטר בטל בו לא, כגון שכתוב בשטר: פלוני נתחייב לפלוני מנה לפרעו בפסח, צריך לפרעו בפסח הבא ראשון ואינו יכול לומר לא אפרענו אלא לפסח שאחר כמה שנים. וכן כל כיוצא</w:t>
      </w:r>
      <w:r w:rsidRPr="001D49D4">
        <w:rPr>
          <w:rFonts w:ascii="Arial" w:eastAsia="Calibri" w:hAnsi="Arial" w:cs="Arial"/>
          <w:vertAlign w:val="superscript"/>
          <w:rtl/>
        </w:rPr>
        <w:footnoteReference w:id="3232"/>
      </w:r>
      <w:r w:rsidRPr="001D49D4">
        <w:rPr>
          <w:rFonts w:ascii="Arial" w:eastAsia="Calibri" w:hAnsi="Arial" w:cs="Arial"/>
          <w:rtl/>
        </w:rPr>
        <w:t xml:space="preserve"> בזה</w:t>
      </w:r>
      <w:r w:rsidRPr="001D49D4">
        <w:rPr>
          <w:rFonts w:ascii="Arial" w:eastAsia="Calibri" w:hAnsi="Arial" w:cs="Arial"/>
          <w:vertAlign w:val="superscript"/>
          <w:rtl/>
        </w:rPr>
        <w:footnoteReference w:id="3233"/>
      </w:r>
      <w:r w:rsidRPr="001D49D4">
        <w:rPr>
          <w:rFonts w:ascii="Arial" w:eastAsia="Calibri" w:hAnsi="Arial" w:cs="Arial"/>
          <w:rtl/>
        </w:rPr>
        <w:t xml:space="preserve">. </w:t>
      </w:r>
      <w:r w:rsidRPr="001D49D4">
        <w:rPr>
          <w:rFonts w:ascii="Arial" w:eastAsia="Calibri" w:hAnsi="Arial" w:cs="Arial"/>
          <w:sz w:val="18"/>
          <w:szCs w:val="18"/>
          <w:rtl/>
        </w:rPr>
        <w:t>הגה: ויש אומרים</w:t>
      </w:r>
      <w:r w:rsidRPr="001D49D4">
        <w:rPr>
          <w:rFonts w:ascii="Arial" w:eastAsia="Calibri" w:hAnsi="Arial" w:cs="Arial"/>
          <w:sz w:val="18"/>
          <w:szCs w:val="18"/>
          <w:vertAlign w:val="superscript"/>
          <w:rtl/>
        </w:rPr>
        <w:footnoteReference w:id="3234"/>
      </w:r>
      <w:r w:rsidRPr="001D49D4">
        <w:rPr>
          <w:rFonts w:ascii="Arial" w:eastAsia="Calibri" w:hAnsi="Arial" w:cs="Arial"/>
          <w:sz w:val="18"/>
          <w:szCs w:val="18"/>
          <w:rtl/>
        </w:rPr>
        <w:t xml:space="preserve"> היינו דוקא בדבר דליכא למיתלי בטעות, אבל בדבר שאפשר שטעה בו הנותן</w:t>
      </w:r>
      <w:r w:rsidRPr="001D49D4">
        <w:rPr>
          <w:rFonts w:ascii="Arial" w:eastAsia="Calibri" w:hAnsi="Arial" w:cs="Arial"/>
          <w:sz w:val="18"/>
          <w:szCs w:val="18"/>
          <w:vertAlign w:val="superscript"/>
          <w:rtl/>
        </w:rPr>
        <w:footnoteReference w:id="3235"/>
      </w:r>
      <w:r w:rsidRPr="001D49D4">
        <w:rPr>
          <w:rFonts w:ascii="Arial" w:eastAsia="Calibri" w:hAnsi="Arial" w:cs="Arial"/>
          <w:sz w:val="18"/>
          <w:szCs w:val="18"/>
          <w:rtl/>
        </w:rPr>
        <w:t>, כגון דאמר לשון דלא מהני במתנה</w:t>
      </w:r>
      <w:r w:rsidRPr="001D49D4">
        <w:rPr>
          <w:rFonts w:ascii="Arial" w:eastAsia="Calibri" w:hAnsi="Arial" w:cs="Arial"/>
          <w:sz w:val="18"/>
          <w:szCs w:val="18"/>
          <w:vertAlign w:val="superscript"/>
          <w:rtl/>
        </w:rPr>
        <w:footnoteReference w:id="3236"/>
      </w:r>
      <w:r w:rsidRPr="001D49D4">
        <w:rPr>
          <w:rFonts w:ascii="Arial" w:eastAsia="Calibri" w:hAnsi="Arial" w:cs="Arial"/>
          <w:sz w:val="18"/>
          <w:szCs w:val="18"/>
          <w:rtl/>
        </w:rPr>
        <w:t>, ודאי נתבטל השטר</w:t>
      </w:r>
      <w:r w:rsidRPr="001D49D4">
        <w:rPr>
          <w:rFonts w:ascii="Arial" w:eastAsia="Calibri" w:hAnsi="Arial" w:cs="Arial"/>
          <w:sz w:val="18"/>
          <w:szCs w:val="18"/>
          <w:vertAlign w:val="superscript"/>
          <w:rtl/>
        </w:rPr>
        <w:footnoteReference w:id="3237"/>
      </w:r>
      <w:r w:rsidRPr="001D49D4">
        <w:rPr>
          <w:rFonts w:ascii="Arial" w:eastAsia="Calibri" w:hAnsi="Arial" w:cs="Arial"/>
          <w:sz w:val="18"/>
          <w:szCs w:val="18"/>
          <w:rtl/>
        </w:rPr>
        <w:t xml:space="preserve"> </w:t>
      </w:r>
      <w:r w:rsidRPr="001D49D4">
        <w:rPr>
          <w:rFonts w:ascii="Arial" w:eastAsia="Calibri" w:hAnsi="Arial" w:cs="Arial"/>
          <w:sz w:val="16"/>
          <w:szCs w:val="16"/>
          <w:rtl/>
        </w:rPr>
        <w:t>(תשובת הרשב"א ומהרי"ק שורש צ"ד)</w:t>
      </w:r>
      <w:r w:rsidRPr="001D49D4">
        <w:rPr>
          <w:rFonts w:ascii="Arial" w:eastAsia="Calibri" w:hAnsi="Arial" w:cs="Arial"/>
          <w:sz w:val="18"/>
          <w:szCs w:val="18"/>
          <w:rtl/>
        </w:rPr>
        <w:t>.</w:t>
      </w:r>
      <w:r w:rsidRPr="001D49D4">
        <w:rPr>
          <w:rFonts w:ascii="Arial" w:eastAsia="Calibri" w:hAnsi="Arial" w:cs="Arial"/>
          <w:rtl/>
        </w:rPr>
        <w:t xml:space="preserve"> </w:t>
      </w:r>
    </w:p>
    <w:p w14:paraId="68779789" w14:textId="77777777" w:rsidR="001D49D4" w:rsidRPr="001D49D4" w:rsidRDefault="001D49D4" w:rsidP="0004348D">
      <w:pPr>
        <w:spacing w:before="360" w:after="240"/>
        <w:rPr>
          <w:rFonts w:ascii="Arial" w:eastAsia="Calibri" w:hAnsi="Arial" w:cs="Arial"/>
          <w:u w:val="single"/>
          <w:rtl/>
        </w:rPr>
      </w:pPr>
      <w:r w:rsidRPr="001D49D4">
        <w:rPr>
          <w:rFonts w:ascii="Arial" w:eastAsia="Calibri" w:hAnsi="Arial" w:cs="Arial"/>
          <w:u w:val="single"/>
          <w:rtl/>
        </w:rPr>
        <w:t xml:space="preserve">האם אומרים כן </w:t>
      </w:r>
      <w:r w:rsidRPr="001D49D4">
        <w:rPr>
          <w:rFonts w:ascii="Arial" w:eastAsia="Calibri" w:hAnsi="Arial" w:cs="Arial"/>
          <w:sz w:val="16"/>
          <w:szCs w:val="16"/>
          <w:u w:val="single"/>
          <w:rtl/>
        </w:rPr>
        <w:t>(שיד בעל השטר על העליונה בדבר שהשטר מתבטל בו)</w:t>
      </w:r>
      <w:r w:rsidRPr="001D49D4">
        <w:rPr>
          <w:rFonts w:ascii="Arial" w:eastAsia="Calibri" w:hAnsi="Arial" w:cs="Arial"/>
          <w:u w:val="single"/>
          <w:rtl/>
        </w:rPr>
        <w:t xml:space="preserve"> גם בדבר הנקנה בעל פה:</w:t>
      </w:r>
      <w:r w:rsidRPr="001D49D4">
        <w:rPr>
          <w:rFonts w:ascii="Arial" w:eastAsia="Calibri" w:hAnsi="Arial" w:cs="Arial"/>
          <w:rtl/>
        </w:rPr>
        <w:t xml:space="preserve"> </w:t>
      </w:r>
      <w:r w:rsidRPr="001D49D4">
        <w:rPr>
          <w:rFonts w:ascii="Arial" w:eastAsia="Calibri" w:hAnsi="Arial" w:cs="Arial"/>
          <w:sz w:val="16"/>
          <w:szCs w:val="16"/>
          <w:rtl/>
        </w:rPr>
        <w:t>(פת"ש סק"ז)</w:t>
      </w:r>
    </w:p>
    <w:p w14:paraId="4EFD5BEE" w14:textId="77777777" w:rsidR="001D49D4" w:rsidRPr="001D49D4" w:rsidRDefault="001D49D4" w:rsidP="0004348D">
      <w:pPr>
        <w:numPr>
          <w:ilvl w:val="0"/>
          <w:numId w:val="229"/>
        </w:numPr>
        <w:spacing w:before="360" w:after="240"/>
        <w:contextualSpacing/>
        <w:rPr>
          <w:rFonts w:ascii="Arial" w:hAnsi="Arial"/>
          <w:rtl/>
        </w:rPr>
      </w:pPr>
      <w:r w:rsidRPr="001D49D4">
        <w:rPr>
          <w:rFonts w:ascii="Arial" w:hAnsi="Arial"/>
          <w:rtl/>
        </w:rPr>
        <w:t xml:space="preserve">ר' משה רוטנבורג </w:t>
      </w:r>
      <w:r w:rsidRPr="001D49D4">
        <w:rPr>
          <w:rFonts w:ascii="Arial" w:hAnsi="Arial"/>
          <w:sz w:val="16"/>
          <w:szCs w:val="16"/>
          <w:rtl/>
        </w:rPr>
        <w:t>(סי' ח' ובהגה שם)</w:t>
      </w:r>
      <w:r w:rsidRPr="001D49D4">
        <w:rPr>
          <w:rFonts w:ascii="Arial" w:hAnsi="Arial"/>
          <w:rtl/>
        </w:rPr>
        <w:t>- דוקא גבי שטר אמרינן הכי, אבל בדבר הנקנה בעל פה בדיבורא, אם יש ספק בעניין אמרינן תמיד יד המוציא על התחתונה, אפילו היכא דנתבטל דיבורו לגמרי, דדוקא שטר דעביד מעשה לכתוב ולחתום.</w:t>
      </w:r>
    </w:p>
    <w:p w14:paraId="68BC8849" w14:textId="77777777" w:rsidR="001D49D4" w:rsidRPr="001D49D4" w:rsidRDefault="001D49D4" w:rsidP="0004348D">
      <w:pPr>
        <w:spacing w:before="360" w:after="240"/>
        <w:rPr>
          <w:rFonts w:ascii="Arial" w:eastAsia="Calibri" w:hAnsi="Arial" w:cs="Arial"/>
          <w:u w:val="single"/>
          <w:rtl/>
        </w:rPr>
      </w:pPr>
      <w:r w:rsidRPr="001D49D4">
        <w:rPr>
          <w:rFonts w:ascii="Arial" w:eastAsia="Calibri" w:hAnsi="Arial" w:cs="Arial"/>
          <w:u w:val="single"/>
          <w:rtl/>
        </w:rPr>
        <w:t>מה דין שטר שכתוב בו שנתחייב לפרוע אחר כמה שנים:</w:t>
      </w:r>
      <w:r w:rsidRPr="001D49D4">
        <w:rPr>
          <w:rFonts w:ascii="Arial" w:eastAsia="Calibri" w:hAnsi="Arial" w:cs="Arial"/>
          <w:rtl/>
        </w:rPr>
        <w:t xml:space="preserve"> </w:t>
      </w:r>
      <w:r w:rsidRPr="001D49D4">
        <w:rPr>
          <w:rFonts w:ascii="Arial" w:eastAsia="Calibri" w:hAnsi="Arial" w:cs="Arial"/>
          <w:sz w:val="16"/>
          <w:szCs w:val="16"/>
          <w:rtl/>
        </w:rPr>
        <w:t>(פת"ש סק"ח)</w:t>
      </w:r>
    </w:p>
    <w:p w14:paraId="23C535A8" w14:textId="77777777" w:rsidR="001D49D4" w:rsidRPr="001D49D4" w:rsidRDefault="001D49D4" w:rsidP="0004348D">
      <w:pPr>
        <w:numPr>
          <w:ilvl w:val="0"/>
          <w:numId w:val="229"/>
        </w:numPr>
        <w:spacing w:before="360" w:after="240"/>
        <w:contextualSpacing/>
        <w:rPr>
          <w:rFonts w:ascii="Arial" w:hAnsi="Arial"/>
          <w:rtl/>
        </w:rPr>
      </w:pPr>
      <w:r w:rsidRPr="001D49D4">
        <w:rPr>
          <w:rFonts w:ascii="Arial" w:hAnsi="Arial"/>
          <w:rtl/>
        </w:rPr>
        <w:t xml:space="preserve">בית אפרים </w:t>
      </w:r>
      <w:r w:rsidRPr="001D49D4">
        <w:rPr>
          <w:rFonts w:ascii="Arial" w:hAnsi="Arial"/>
          <w:sz w:val="16"/>
          <w:szCs w:val="16"/>
          <w:rtl/>
        </w:rPr>
        <w:t>(סי' ע"ה)</w:t>
      </w:r>
      <w:r w:rsidRPr="001D49D4">
        <w:rPr>
          <w:rFonts w:ascii="Arial" w:hAnsi="Arial"/>
          <w:rtl/>
        </w:rPr>
        <w:t xml:space="preserve">- בשטר שכתוב בו שנתחייב לפרוע אחר כמה שנים, יש לחלק בין הך דהכא לההיא דפסח, דהתם יש שכתבו הטעם דמסתמא מתחייב לעשות בזמן ראשון, משא"כ הכא לא שייך הך טעמא. ונראה דיש לדון בזה לפי מנהג המקום ולשער כפי הרגילות שמאחרין הלואה כזו לפי ערך הממון ולפי מה שהוא אדם, ואם הוא בענין שאין לתלות במנהג המקום, נראה דמחויב לשלם לו על כל פנים אחר תשע שנים, דכל שהוא מגיע לסכום עשר אסוכי מסכי להו </w:t>
      </w:r>
      <w:r w:rsidRPr="001D49D4">
        <w:rPr>
          <w:rFonts w:ascii="Arial" w:hAnsi="Arial"/>
          <w:sz w:val="16"/>
          <w:szCs w:val="16"/>
          <w:rtl/>
        </w:rPr>
        <w:t>(וכה"ג אמרינן בב"ב קסו:)</w:t>
      </w:r>
      <w:r w:rsidRPr="001D49D4">
        <w:rPr>
          <w:rFonts w:ascii="Arial" w:hAnsi="Arial"/>
          <w:rtl/>
        </w:rPr>
        <w:t>.</w:t>
      </w:r>
    </w:p>
    <w:p w14:paraId="5FA83F67" w14:textId="77777777" w:rsidR="001D49D4" w:rsidRPr="001D49D4" w:rsidRDefault="001D49D4" w:rsidP="0004348D">
      <w:pPr>
        <w:spacing w:before="360" w:after="240"/>
        <w:rPr>
          <w:rFonts w:ascii="Arial" w:eastAsia="Calibri" w:hAnsi="Arial" w:cs="Arial"/>
          <w:u w:val="single"/>
          <w:rtl/>
        </w:rPr>
      </w:pPr>
      <w:r w:rsidRPr="001D49D4">
        <w:rPr>
          <w:rFonts w:ascii="Arial" w:eastAsia="Calibri" w:hAnsi="Arial" w:cs="Arial"/>
          <w:u w:val="single"/>
          <w:rtl/>
        </w:rPr>
        <w:t>שטר מתנה שנתנה אם לבנה הבכור עבור חלק בכורה שלו ונתברר לה שרק לבכור מאב יש חלק בכורה:</w:t>
      </w:r>
      <w:r w:rsidRPr="001D49D4">
        <w:rPr>
          <w:rFonts w:ascii="Arial" w:eastAsia="Calibri" w:hAnsi="Arial" w:cs="Arial"/>
          <w:sz w:val="16"/>
          <w:szCs w:val="16"/>
          <w:rtl/>
        </w:rPr>
        <w:t xml:space="preserve">  (פת"ש סק"ט)</w:t>
      </w:r>
    </w:p>
    <w:p w14:paraId="5495364C" w14:textId="77777777" w:rsidR="001D49D4" w:rsidRPr="001D49D4" w:rsidRDefault="001D49D4" w:rsidP="0004348D">
      <w:pPr>
        <w:numPr>
          <w:ilvl w:val="0"/>
          <w:numId w:val="229"/>
        </w:numPr>
        <w:spacing w:before="360" w:after="240"/>
        <w:contextualSpacing/>
        <w:rPr>
          <w:rFonts w:ascii="Arial" w:hAnsi="Arial"/>
          <w:rtl/>
        </w:rPr>
      </w:pPr>
      <w:r w:rsidRPr="001D49D4">
        <w:rPr>
          <w:rFonts w:ascii="Arial" w:hAnsi="Arial"/>
          <w:rtl/>
        </w:rPr>
        <w:lastRenderedPageBreak/>
        <w:t xml:space="preserve">שבות יעקב </w:t>
      </w:r>
      <w:r w:rsidRPr="001D49D4">
        <w:rPr>
          <w:rFonts w:ascii="Arial" w:hAnsi="Arial"/>
          <w:sz w:val="16"/>
          <w:szCs w:val="16"/>
          <w:rtl/>
        </w:rPr>
        <w:t>(ח"ג סי' קע"ג)</w:t>
      </w:r>
      <w:r w:rsidRPr="001D49D4">
        <w:rPr>
          <w:rFonts w:ascii="Arial" w:hAnsi="Arial"/>
          <w:rtl/>
        </w:rPr>
        <w:t xml:space="preserve">- בכור מאם שיש לו שטר מתנה מאמו שנכתב בכל אופן המועיל עם כל שופרא דשטרא כנהוג, וכתוב בו בזה"ל- "שנתנה לו במתנה עבור חלק בכורה שלו", ועכשיו טוענת האם שהשטר מתנה בטל שנעשה בטעות שהיתה סבורה שבכור מאם יש לו חלק בכורה כמו בכור מאב, לכך נתנה לו מתנה זו בשביל חלק בכורה, והבן טוען שאמו נתנה לו מתנה פסוקה לא משום בכורה רק שהסופר טעה, וכיון שכתוב בשטר מתנה שלא יגרע כח השטר משום חסר או יתיר יהא הכל נדרש לטובת בעל השטר וגם זה בכלל, ועוד כיון שכתוב בשטר מתנה אחריות הוי כמכר. והשיב דהדין עם האם, כי זה שטר ושוברו עמו, דהוא טעות דמוכח ולא מהני אפי' אם כתב בשטר כל שופרא דשטרא, וודאי דאם היה כתוב בשטר בזה"ל- "בשביל בכורה שלו" או סתם- "בשביל בכורה" הייתי יכול לפרש בשביל קדושה שבו שהרי הוצרך לפדיון, וכן להא דאם אין לוי יוצק בכור מאם מים לכהנים </w:t>
      </w:r>
      <w:r w:rsidRPr="001D49D4">
        <w:rPr>
          <w:rFonts w:ascii="Arial" w:hAnsi="Arial"/>
          <w:sz w:val="16"/>
          <w:szCs w:val="16"/>
          <w:rtl/>
        </w:rPr>
        <w:t>(או"ח סי' קכ"ח ובט"ז סק"ג)</w:t>
      </w:r>
      <w:r w:rsidRPr="001D49D4">
        <w:rPr>
          <w:rFonts w:ascii="Arial" w:hAnsi="Arial"/>
          <w:rtl/>
        </w:rPr>
        <w:t xml:space="preserve">, לכן היה חביב עליה והיה מועיל לזה שופרא דשטרא שיהא נדרש לטובת בעל השטר, אבל כאן כתוב בעבור </w:t>
      </w:r>
      <w:r w:rsidRPr="001D49D4">
        <w:rPr>
          <w:rFonts w:ascii="Arial" w:hAnsi="Arial"/>
          <w:u w:val="single"/>
          <w:rtl/>
        </w:rPr>
        <w:t>חלק</w:t>
      </w:r>
      <w:r w:rsidRPr="001D49D4">
        <w:rPr>
          <w:rFonts w:ascii="Arial" w:hAnsi="Arial"/>
          <w:rtl/>
        </w:rPr>
        <w:t xml:space="preserve"> בכורה שלו, הרי שטעתה וסברה דגם בכור מאם יש לו חלק ירושה יותר בשביל בכורה שלו, וזה הוא טעות גמור. גם מה שטען הבן דשטר מתנה זו הוי כמכר, אדרבה מזה יותר מוכח שטעתה שסברה שיש לו ע"פ הדין חלק בכורה לכך כתבה לו אחריות, שהרי אין דרך לכתוב במתנה אחריות, וכיון שזה הכל בטעות, נתבטלה המתנה מעיקרה. ומ"מ תקבל האם על עצמה בחרם בית דין שלא נתכונה למתנה גמורה רק בשביל שסברה שיש לו חלק בכורה ע"פ הדין.</w:t>
      </w:r>
    </w:p>
    <w:p w14:paraId="7B50E051" w14:textId="77777777" w:rsidR="001D49D4" w:rsidRPr="001D49D4" w:rsidRDefault="001D49D4" w:rsidP="0004348D">
      <w:pPr>
        <w:spacing w:before="360" w:after="240"/>
        <w:rPr>
          <w:rFonts w:ascii="Arial" w:eastAsia="Calibri" w:hAnsi="Arial" w:cs="Arial"/>
          <w:u w:val="single"/>
          <w:rtl/>
        </w:rPr>
      </w:pPr>
      <w:r w:rsidRPr="001D49D4">
        <w:rPr>
          <w:rFonts w:ascii="Arial" w:eastAsia="Calibri" w:hAnsi="Arial" w:cs="Arial"/>
          <w:u w:val="single"/>
          <w:rtl/>
        </w:rPr>
        <w:t>האם לדעת מהרי"ק</w:t>
      </w:r>
      <w:r w:rsidRPr="001D49D4">
        <w:rPr>
          <w:rFonts w:ascii="Arial" w:eastAsia="Calibri" w:hAnsi="Arial" w:cs="Arial"/>
          <w:u w:val="single"/>
          <w:vertAlign w:val="superscript"/>
          <w:rtl/>
        </w:rPr>
        <w:footnoteReference w:id="3238"/>
      </w:r>
      <w:r w:rsidRPr="001D49D4">
        <w:rPr>
          <w:rFonts w:ascii="Arial" w:eastAsia="Calibri" w:hAnsi="Arial" w:cs="Arial"/>
          <w:u w:val="single"/>
          <w:rtl/>
        </w:rPr>
        <w:t xml:space="preserve"> יש הבדל בין שכותב השטר היה ת"ח ודייק בדבריו או לא:</w:t>
      </w:r>
      <w:r w:rsidRPr="001D49D4">
        <w:rPr>
          <w:rFonts w:ascii="Arial" w:eastAsia="Calibri" w:hAnsi="Arial" w:cs="Arial"/>
          <w:sz w:val="16"/>
          <w:szCs w:val="16"/>
          <w:rtl/>
        </w:rPr>
        <w:t xml:space="preserve">   (פת"ש סק"ט)</w:t>
      </w:r>
    </w:p>
    <w:p w14:paraId="68BA740A" w14:textId="77777777" w:rsidR="001D49D4" w:rsidRPr="001D49D4" w:rsidRDefault="001D49D4" w:rsidP="0004348D">
      <w:pPr>
        <w:numPr>
          <w:ilvl w:val="0"/>
          <w:numId w:val="229"/>
        </w:numPr>
        <w:spacing w:before="360" w:after="240"/>
        <w:contextualSpacing/>
        <w:rPr>
          <w:rFonts w:ascii="Arial" w:hAnsi="Arial"/>
          <w:rtl/>
        </w:rPr>
      </w:pPr>
      <w:r w:rsidRPr="001D49D4">
        <w:rPr>
          <w:rFonts w:ascii="Arial" w:hAnsi="Arial"/>
          <w:rtl/>
        </w:rPr>
        <w:t xml:space="preserve">ר' משה רוטנבורג </w:t>
      </w:r>
      <w:r w:rsidRPr="001D49D4">
        <w:rPr>
          <w:rFonts w:ascii="Arial" w:hAnsi="Arial"/>
          <w:sz w:val="16"/>
          <w:szCs w:val="16"/>
          <w:rtl/>
        </w:rPr>
        <w:t>(סי' ח)</w:t>
      </w:r>
      <w:r w:rsidRPr="001D49D4">
        <w:rPr>
          <w:rFonts w:ascii="Arial" w:hAnsi="Arial"/>
          <w:rtl/>
        </w:rPr>
        <w:t>- אף לד' מהרי"ק הכל לפי הסופרים והעדים, וע"כ נראה דמחלוקת הסמ"ע והש"ך ב-"אתננו" ג"כ ישתנה לפי האדם ובודאי לאו כו"ע דינא גמירי, ואם הוא עה"א ובור אף בקנין "אתן" אמרינן יד בעל השטר על התחתונה, דזיל בתר טעמא דלא אמרינן יד בעל השטר על התחתונה בביטול השטר, דא"כ למה כתב השטר כלל, וכיון דהוא עה"א סבר ומקנה לו בזה האופן, ובאמת הוא טועה דאינו קנין. וא"כ כשהמתחייב הוא ת"ח וכל הכתב והחתימה הוא כתב ידו ממש, ודאי דלא אמרינן דטעה בדבר פשוט</w:t>
      </w:r>
      <w:r w:rsidRPr="001D49D4">
        <w:rPr>
          <w:rFonts w:ascii="Arial" w:hAnsi="Arial"/>
          <w:vertAlign w:val="superscript"/>
          <w:rtl/>
        </w:rPr>
        <w:footnoteReference w:id="3239"/>
      </w:r>
      <w:r w:rsidRPr="001D49D4">
        <w:rPr>
          <w:rFonts w:ascii="Arial" w:hAnsi="Arial"/>
          <w:rtl/>
        </w:rPr>
        <w:t xml:space="preserve">. </w:t>
      </w:r>
    </w:p>
    <w:p w14:paraId="5402A422" w14:textId="77777777" w:rsidR="001D49D4" w:rsidRPr="001D49D4" w:rsidRDefault="001D49D4" w:rsidP="0004348D">
      <w:pPr>
        <w:spacing w:before="360" w:after="240"/>
        <w:rPr>
          <w:rFonts w:ascii="Arial" w:eastAsia="Calibri" w:hAnsi="Arial" w:cs="Arial"/>
          <w:rtl/>
        </w:rPr>
      </w:pPr>
    </w:p>
    <w:p w14:paraId="045F99E7" w14:textId="77777777" w:rsidR="001D49D4" w:rsidRPr="001D49D4" w:rsidRDefault="001D49D4" w:rsidP="0004348D">
      <w:pPr>
        <w:keepNext/>
        <w:keepLines/>
        <w:spacing w:before="360" w:after="240"/>
        <w:outlineLvl w:val="1"/>
        <w:rPr>
          <w:rFonts w:ascii="Arial" w:eastAsia="Times New Roman" w:hAnsi="Arial" w:cs="Arial"/>
          <w:bCs/>
          <w:color w:val="548DD4" w:themeColor="text2" w:themeTint="99"/>
          <w:sz w:val="26"/>
          <w:szCs w:val="26"/>
          <w:rtl/>
        </w:rPr>
      </w:pPr>
      <w:bookmarkStart w:id="422" w:name="_Toc24883862"/>
      <w:r w:rsidRPr="001D49D4">
        <w:rPr>
          <w:rFonts w:ascii="Arial" w:eastAsia="Times New Roman" w:hAnsi="Arial" w:cs="Arial"/>
          <w:bCs/>
          <w:color w:val="548DD4" w:themeColor="text2" w:themeTint="99"/>
          <w:sz w:val="26"/>
          <w:szCs w:val="26"/>
          <w:rtl/>
        </w:rPr>
        <w:t>סעיף י: כ' בשטר "דלא כאסמכתא ודלא כטופסי דשטרי".</w:t>
      </w:r>
      <w:bookmarkEnd w:id="422"/>
    </w:p>
    <w:p w14:paraId="629FD575" w14:textId="77777777" w:rsidR="001D49D4" w:rsidRPr="001D49D4" w:rsidRDefault="001D49D4" w:rsidP="0004348D">
      <w:pPr>
        <w:spacing w:before="360" w:after="240"/>
        <w:rPr>
          <w:rFonts w:ascii="Arial" w:eastAsia="Calibri" w:hAnsi="Arial" w:cs="Arial"/>
          <w:rtl/>
        </w:rPr>
      </w:pPr>
      <w:r w:rsidRPr="001D49D4">
        <w:rPr>
          <w:rFonts w:ascii="Arial" w:eastAsia="Calibri" w:hAnsi="Arial" w:cs="Arial"/>
          <w:b/>
          <w:bCs/>
          <w:rtl/>
        </w:rPr>
        <w:t xml:space="preserve">בבא בתרא מד ע"ב: </w:t>
      </w:r>
      <w:r w:rsidRPr="001D49D4">
        <w:rPr>
          <w:rFonts w:ascii="Arial" w:eastAsia="Calibri" w:hAnsi="Arial" w:cs="Arial"/>
          <w:rtl/>
        </w:rPr>
        <w:t>עשה</w:t>
      </w:r>
      <w:r w:rsidRPr="001D49D4">
        <w:rPr>
          <w:rFonts w:ascii="Arial" w:eastAsia="Calibri" w:hAnsi="Arial" w:cs="Arial"/>
          <w:vertAlign w:val="superscript"/>
          <w:rtl/>
        </w:rPr>
        <w:footnoteReference w:id="3240"/>
      </w:r>
      <w:r w:rsidRPr="001D49D4">
        <w:rPr>
          <w:rFonts w:ascii="Arial" w:eastAsia="Calibri" w:hAnsi="Arial" w:cs="Arial"/>
          <w:rtl/>
        </w:rPr>
        <w:t xml:space="preserve"> עבדו אפותיקי ומכרו - בעל חוב גובה ממנו, שורו וחמורו אפותיקי ומכרו - אין בעל חוב גובה הימנו, מאי טעמא? האי אית ליה קלא, והא לית ליה קלא. וליחוש דלמא אקני ליה מטלטלי אגב מקרקעי, </w:t>
      </w:r>
      <w:r w:rsidRPr="001D49D4">
        <w:rPr>
          <w:rFonts w:ascii="Arial" w:eastAsia="Calibri" w:hAnsi="Arial" w:cs="Arial"/>
          <w:u w:val="single"/>
          <w:rtl/>
        </w:rPr>
        <w:t>דאמר רבה</w:t>
      </w:r>
      <w:r w:rsidRPr="001D49D4">
        <w:rPr>
          <w:rFonts w:ascii="Arial" w:eastAsia="Calibri" w:hAnsi="Arial" w:cs="Arial"/>
          <w:rtl/>
        </w:rPr>
        <w:t xml:space="preserve">: אי אקני ליה מטלטלי אגב מקרקעי - קני מקרקעי קני מטלטלי, </w:t>
      </w:r>
      <w:r w:rsidRPr="001D49D4">
        <w:rPr>
          <w:rFonts w:ascii="Arial" w:eastAsia="Calibri" w:hAnsi="Arial" w:cs="Arial"/>
          <w:u w:val="single"/>
          <w:rtl/>
        </w:rPr>
        <w:t>ואמר רב חסדא</w:t>
      </w:r>
      <w:r w:rsidRPr="001D49D4">
        <w:rPr>
          <w:rFonts w:ascii="Arial" w:eastAsia="Calibri" w:hAnsi="Arial" w:cs="Arial"/>
          <w:rtl/>
        </w:rPr>
        <w:t>: והוא דכתב ליה</w:t>
      </w:r>
      <w:r w:rsidRPr="001D49D4">
        <w:rPr>
          <w:rFonts w:ascii="Arial" w:eastAsia="Calibri" w:hAnsi="Arial" w:cs="Arial"/>
          <w:vertAlign w:val="superscript"/>
          <w:rtl/>
        </w:rPr>
        <w:footnoteReference w:id="3241"/>
      </w:r>
      <w:r w:rsidRPr="001D49D4">
        <w:rPr>
          <w:rFonts w:ascii="Arial" w:eastAsia="Calibri" w:hAnsi="Arial" w:cs="Arial"/>
          <w:rtl/>
        </w:rPr>
        <w:t xml:space="preserve"> דלא כאסמכתא</w:t>
      </w:r>
      <w:r w:rsidRPr="001D49D4">
        <w:rPr>
          <w:rFonts w:ascii="Arial" w:eastAsia="Calibri" w:hAnsi="Arial" w:cs="Arial"/>
          <w:vertAlign w:val="superscript"/>
          <w:rtl/>
        </w:rPr>
        <w:footnoteReference w:id="3242"/>
      </w:r>
      <w:r w:rsidRPr="001D49D4">
        <w:rPr>
          <w:rFonts w:ascii="Arial" w:eastAsia="Calibri" w:hAnsi="Arial" w:cs="Arial"/>
          <w:rtl/>
        </w:rPr>
        <w:t xml:space="preserve"> ודלא כטופסא דשטרי</w:t>
      </w:r>
      <w:r w:rsidRPr="001D49D4">
        <w:rPr>
          <w:rFonts w:ascii="Arial" w:eastAsia="Calibri" w:hAnsi="Arial" w:cs="Arial"/>
          <w:vertAlign w:val="superscript"/>
          <w:rtl/>
        </w:rPr>
        <w:footnoteReference w:id="3243"/>
      </w:r>
      <w:r w:rsidRPr="001D49D4">
        <w:rPr>
          <w:rFonts w:ascii="Arial" w:eastAsia="Calibri" w:hAnsi="Arial" w:cs="Arial"/>
          <w:rtl/>
        </w:rPr>
        <w:t>!...</w:t>
      </w:r>
    </w:p>
    <w:p w14:paraId="28CCDF98" w14:textId="77777777" w:rsidR="001D49D4" w:rsidRPr="001D49D4" w:rsidRDefault="001D49D4" w:rsidP="0004348D">
      <w:pPr>
        <w:spacing w:before="360" w:after="240"/>
        <w:rPr>
          <w:rFonts w:ascii="Arial" w:eastAsia="Calibri" w:hAnsi="Arial" w:cs="Arial"/>
          <w:u w:val="single"/>
          <w:rtl/>
        </w:rPr>
      </w:pPr>
      <w:r w:rsidRPr="001D49D4">
        <w:rPr>
          <w:rFonts w:ascii="Arial" w:eastAsia="Calibri" w:hAnsi="Arial" w:cs="Arial"/>
          <w:u w:val="single"/>
          <w:rtl/>
        </w:rPr>
        <w:t>לשם מה כותבים בשטר- "דלא כטופסי דשטרי":</w:t>
      </w:r>
    </w:p>
    <w:p w14:paraId="56AA87E2" w14:textId="77777777" w:rsidR="001D49D4" w:rsidRPr="001D49D4" w:rsidRDefault="001D49D4" w:rsidP="0004348D">
      <w:pPr>
        <w:numPr>
          <w:ilvl w:val="0"/>
          <w:numId w:val="230"/>
        </w:numPr>
        <w:spacing w:before="360" w:after="240"/>
        <w:contextualSpacing/>
        <w:rPr>
          <w:rFonts w:ascii="Arial" w:hAnsi="Arial"/>
          <w:rtl/>
        </w:rPr>
      </w:pPr>
      <w:r w:rsidRPr="001D49D4">
        <w:rPr>
          <w:rFonts w:ascii="Arial" w:hAnsi="Arial"/>
          <w:rtl/>
        </w:rPr>
        <w:t>רב סעדיה גאון</w:t>
      </w:r>
      <w:r w:rsidRPr="001D49D4">
        <w:rPr>
          <w:rFonts w:ascii="Arial" w:hAnsi="Arial"/>
          <w:vertAlign w:val="superscript"/>
          <w:rtl/>
        </w:rPr>
        <w:footnoteReference w:id="3244"/>
      </w:r>
      <w:r w:rsidRPr="001D49D4">
        <w:rPr>
          <w:rFonts w:ascii="Arial" w:hAnsi="Arial"/>
          <w:rtl/>
        </w:rPr>
        <w:t xml:space="preserve"> (רמב"ן</w:t>
      </w:r>
      <w:r w:rsidRPr="001D49D4">
        <w:rPr>
          <w:rFonts w:ascii="Arial" w:hAnsi="Arial"/>
          <w:sz w:val="14"/>
          <w:szCs w:val="14"/>
          <w:rtl/>
        </w:rPr>
        <w:t xml:space="preserve"> </w:t>
      </w:r>
      <w:r w:rsidRPr="001D49D4">
        <w:rPr>
          <w:rFonts w:ascii="Arial" w:hAnsi="Arial"/>
          <w:rtl/>
        </w:rPr>
        <w:t xml:space="preserve">רי"ו ריב"ש ונמוק"י </w:t>
      </w:r>
      <w:r w:rsidRPr="001D49D4">
        <w:rPr>
          <w:rFonts w:ascii="Arial" w:hAnsi="Arial"/>
          <w:sz w:val="16"/>
          <w:szCs w:val="16"/>
          <w:rtl/>
        </w:rPr>
        <w:t>להב' הב"י</w:t>
      </w:r>
      <w:r w:rsidRPr="001D49D4">
        <w:rPr>
          <w:rFonts w:ascii="Arial" w:hAnsi="Arial"/>
          <w:rtl/>
        </w:rPr>
        <w:t>)</w:t>
      </w:r>
      <w:r w:rsidRPr="001D49D4">
        <w:rPr>
          <w:rFonts w:ascii="Arial" w:hAnsi="Arial"/>
          <w:vertAlign w:val="superscript"/>
          <w:rtl/>
        </w:rPr>
        <w:footnoteReference w:id="3245"/>
      </w:r>
      <w:r w:rsidRPr="001D49D4">
        <w:rPr>
          <w:rFonts w:ascii="Arial" w:hAnsi="Arial"/>
          <w:rtl/>
        </w:rPr>
        <w:t xml:space="preserve">- משום שטופס השטרות ונוסחן כתוב בלשון שיד בעל השטר בו על התחתונה, לפיכך כותבין ליפות כחו שלא יהא טופסו של זה כטופסן של שטרות אלא בכל לשון מסופק שבו יהא ידו על העליונה. </w:t>
      </w:r>
      <w:r w:rsidRPr="001D49D4">
        <w:rPr>
          <w:rFonts w:ascii="Arial" w:hAnsi="Arial"/>
          <w:color w:val="E36C0A" w:themeColor="accent6" w:themeShade="BF"/>
          <w:rtl/>
        </w:rPr>
        <w:t>(וכ"פ בשו"ע)</w:t>
      </w:r>
    </w:p>
    <w:p w14:paraId="672BD5BF" w14:textId="77777777" w:rsidR="001D49D4" w:rsidRPr="001D49D4" w:rsidRDefault="001D49D4" w:rsidP="0004348D">
      <w:pPr>
        <w:numPr>
          <w:ilvl w:val="0"/>
          <w:numId w:val="230"/>
        </w:numPr>
        <w:spacing w:before="360" w:after="240"/>
        <w:contextualSpacing/>
        <w:rPr>
          <w:rFonts w:ascii="Arial" w:hAnsi="Arial"/>
        </w:rPr>
      </w:pPr>
      <w:r w:rsidRPr="001D49D4">
        <w:rPr>
          <w:rFonts w:ascii="Arial" w:hAnsi="Arial"/>
          <w:rtl/>
        </w:rPr>
        <w:lastRenderedPageBreak/>
        <w:t>(רשב"ם</w:t>
      </w:r>
      <w:r w:rsidRPr="001D49D4">
        <w:rPr>
          <w:rFonts w:ascii="Arial" w:hAnsi="Arial"/>
          <w:vertAlign w:val="superscript"/>
          <w:rtl/>
        </w:rPr>
        <w:footnoteReference w:id="3246"/>
      </w:r>
      <w:r w:rsidRPr="001D49D4">
        <w:rPr>
          <w:rFonts w:ascii="Arial" w:hAnsi="Arial"/>
          <w:rtl/>
        </w:rPr>
        <w:t xml:space="preserve"> רמב"ם רמב"ן</w:t>
      </w:r>
      <w:r w:rsidRPr="001D49D4">
        <w:rPr>
          <w:rFonts w:ascii="Arial" w:hAnsi="Arial"/>
          <w:vertAlign w:val="superscript"/>
          <w:rtl/>
        </w:rPr>
        <w:footnoteReference w:id="3247"/>
      </w:r>
      <w:r w:rsidRPr="001D49D4">
        <w:rPr>
          <w:rFonts w:ascii="Arial" w:hAnsi="Arial"/>
          <w:rtl/>
        </w:rPr>
        <w:t xml:space="preserve"> בעל התרומות רי"ו</w:t>
      </w:r>
      <w:r w:rsidRPr="001D49D4">
        <w:rPr>
          <w:rFonts w:ascii="Arial" w:hAnsi="Arial"/>
          <w:vertAlign w:val="superscript"/>
          <w:rtl/>
        </w:rPr>
        <w:footnoteReference w:id="3248"/>
      </w:r>
      <w:r w:rsidRPr="001D49D4">
        <w:rPr>
          <w:rFonts w:ascii="Arial" w:hAnsi="Arial"/>
          <w:rtl/>
        </w:rPr>
        <w:t xml:space="preserve"> טור והה"מ </w:t>
      </w:r>
      <w:r w:rsidRPr="001D49D4">
        <w:rPr>
          <w:rFonts w:ascii="Arial" w:hAnsi="Arial"/>
          <w:sz w:val="16"/>
          <w:szCs w:val="16"/>
          <w:rtl/>
        </w:rPr>
        <w:t>להב' מהרש"ק</w:t>
      </w:r>
      <w:r w:rsidRPr="001D49D4">
        <w:rPr>
          <w:rFonts w:ascii="Arial" w:hAnsi="Arial"/>
          <w:vertAlign w:val="superscript"/>
          <w:rtl/>
        </w:rPr>
        <w:footnoteReference w:id="3249"/>
      </w:r>
      <w:r w:rsidRPr="001D49D4">
        <w:rPr>
          <w:rFonts w:ascii="Arial" w:hAnsi="Arial"/>
          <w:rtl/>
        </w:rPr>
        <w:t>)- כותבים כן כדי שידעו שנכתב לשם שיעבוד גמור ולא שטופס שטרות כך הוא, "א"כ אין ראיה דמהני לשלא נאמר יד בעל השטר על התחתונה</w:t>
      </w:r>
      <w:r w:rsidRPr="001D49D4">
        <w:rPr>
          <w:rFonts w:ascii="Arial" w:hAnsi="Arial"/>
          <w:vertAlign w:val="superscript"/>
          <w:rtl/>
        </w:rPr>
        <w:footnoteReference w:id="3250"/>
      </w:r>
      <w:r w:rsidRPr="001D49D4">
        <w:rPr>
          <w:rFonts w:ascii="Arial" w:hAnsi="Arial"/>
          <w:rtl/>
        </w:rPr>
        <w:t>".</w:t>
      </w:r>
    </w:p>
    <w:p w14:paraId="17B3E8C4" w14:textId="77777777" w:rsidR="001D49D4" w:rsidRPr="001D49D4" w:rsidRDefault="001D49D4" w:rsidP="0004348D">
      <w:pPr>
        <w:numPr>
          <w:ilvl w:val="0"/>
          <w:numId w:val="230"/>
        </w:numPr>
        <w:spacing w:before="360" w:after="240"/>
        <w:contextualSpacing/>
        <w:rPr>
          <w:rFonts w:ascii="Arial" w:hAnsi="Arial"/>
        </w:rPr>
      </w:pPr>
      <w:r w:rsidRPr="001D49D4">
        <w:rPr>
          <w:rFonts w:ascii="Arial" w:hAnsi="Arial"/>
          <w:rtl/>
        </w:rPr>
        <w:t>רשב"א</w:t>
      </w:r>
      <w:r w:rsidRPr="001D49D4">
        <w:rPr>
          <w:rFonts w:ascii="Arial" w:hAnsi="Arial"/>
          <w:sz w:val="16"/>
          <w:szCs w:val="16"/>
          <w:rtl/>
        </w:rPr>
        <w:t xml:space="preserve"> (ד"ה ודלא כטופסי)</w:t>
      </w:r>
      <w:r w:rsidRPr="001D49D4">
        <w:rPr>
          <w:rFonts w:ascii="Arial" w:hAnsi="Arial"/>
          <w:rtl/>
        </w:rPr>
        <w:t xml:space="preserve"> בשם רבינו יונה</w:t>
      </w:r>
      <w:r w:rsidRPr="001D49D4">
        <w:rPr>
          <w:rFonts w:ascii="Arial" w:hAnsi="Arial"/>
          <w:sz w:val="16"/>
          <w:szCs w:val="16"/>
          <w:rtl/>
        </w:rPr>
        <w:t xml:space="preserve"> (הביאו הר"ן כאן ד"ה ואמר רב)</w:t>
      </w:r>
      <w:r w:rsidRPr="001D49D4">
        <w:rPr>
          <w:rFonts w:ascii="Arial" w:hAnsi="Arial"/>
          <w:rtl/>
        </w:rPr>
        <w:t>- לפי שהורגלו כותבי שטרות לכתוב כן אע"פ שלא אמר להם הלוה שיש לו קרקע לשעבד עליו מטלטלי, וכן הם אינן יודעים שיש לו, לפיכך צריך לכתוב כן שאין זה כטופסי שטרות, אלא שהוא העיד על עצמו או שהם מכירים בו שיש לו קרקע ושלא כתבו כן עד שהכירו בו וכדרך שאנו רגילין לכתוב בנאמנות ועל הנאמנות בפירוש.</w:t>
      </w:r>
    </w:p>
    <w:p w14:paraId="6BF55BA7" w14:textId="77777777" w:rsidR="001D49D4" w:rsidRPr="001D49D4" w:rsidRDefault="001D49D4" w:rsidP="0004348D">
      <w:pPr>
        <w:spacing w:before="360" w:after="240"/>
        <w:rPr>
          <w:rFonts w:ascii="Arial" w:eastAsia="Calibri" w:hAnsi="Arial" w:cs="Arial"/>
        </w:rPr>
      </w:pPr>
      <w:r w:rsidRPr="001D49D4">
        <w:rPr>
          <w:rFonts w:ascii="Arial" w:eastAsia="Calibri" w:hAnsi="Arial" w:cs="Arial"/>
          <w:u w:val="single"/>
          <w:rtl/>
        </w:rPr>
        <w:t>שטר שצריך להוסיף על לשונו כדי לפרשו לתועלת המחויב</w:t>
      </w:r>
      <w:r w:rsidRPr="001D49D4">
        <w:rPr>
          <w:rFonts w:ascii="Arial" w:eastAsia="Calibri" w:hAnsi="Arial" w:cs="Arial"/>
          <w:rtl/>
        </w:rPr>
        <w:t xml:space="preserve">:  </w:t>
      </w:r>
      <w:r w:rsidRPr="001D49D4">
        <w:rPr>
          <w:rFonts w:ascii="Arial" w:eastAsia="Calibri" w:hAnsi="Arial" w:cs="Arial"/>
          <w:sz w:val="16"/>
          <w:szCs w:val="16"/>
          <w:rtl/>
        </w:rPr>
        <w:t>(דרכ"מ אות ה)</w:t>
      </w:r>
      <w:r w:rsidRPr="001D49D4">
        <w:rPr>
          <w:rFonts w:ascii="Arial" w:eastAsia="Calibri" w:hAnsi="Arial" w:cs="Arial"/>
          <w:rtl/>
        </w:rPr>
        <w:t xml:space="preserve"> </w:t>
      </w:r>
    </w:p>
    <w:p w14:paraId="3EC9F534" w14:textId="77777777" w:rsidR="001D49D4" w:rsidRPr="001D49D4" w:rsidRDefault="001D49D4" w:rsidP="0004348D">
      <w:pPr>
        <w:numPr>
          <w:ilvl w:val="0"/>
          <w:numId w:val="231"/>
        </w:numPr>
        <w:spacing w:before="360" w:after="240"/>
        <w:contextualSpacing/>
        <w:rPr>
          <w:rFonts w:ascii="Arial" w:hAnsi="Arial"/>
          <w:rtl/>
        </w:rPr>
      </w:pPr>
      <w:r w:rsidRPr="001D49D4">
        <w:rPr>
          <w:rFonts w:ascii="Arial" w:hAnsi="Arial"/>
          <w:rtl/>
        </w:rPr>
        <w:t xml:space="preserve">נמוק"י </w:t>
      </w:r>
      <w:r w:rsidRPr="001D49D4">
        <w:rPr>
          <w:rFonts w:ascii="Arial" w:hAnsi="Arial"/>
          <w:sz w:val="16"/>
          <w:szCs w:val="16"/>
          <w:rtl/>
        </w:rPr>
        <w:t>(ב"מ לט סוע"ב)</w:t>
      </w:r>
      <w:r w:rsidRPr="001D49D4">
        <w:rPr>
          <w:rFonts w:ascii="Arial" w:hAnsi="Arial"/>
          <w:rtl/>
        </w:rPr>
        <w:t>- הא דיד בעל השטר על התחתונה ומפרשין אותו לתועלת המחויב היינו היכא שהלשון עצמו מספיק לזה אבל לא אמרינן הכי במקום שצריך להוסיף על לשון השטר.</w:t>
      </w:r>
    </w:p>
    <w:p w14:paraId="64D09625" w14:textId="77777777" w:rsidR="001D49D4" w:rsidRPr="001D49D4" w:rsidRDefault="001D49D4" w:rsidP="0004348D">
      <w:pPr>
        <w:spacing w:before="360" w:after="240"/>
        <w:rPr>
          <w:rFonts w:ascii="Arial" w:eastAsia="Calibri" w:hAnsi="Arial" w:cs="Arial"/>
          <w:u w:val="single"/>
          <w:rtl/>
        </w:rPr>
      </w:pPr>
      <w:r w:rsidRPr="001D49D4">
        <w:rPr>
          <w:rFonts w:ascii="Arial" w:eastAsia="Calibri" w:hAnsi="Arial" w:cs="Arial"/>
          <w:u w:val="single"/>
          <w:rtl/>
        </w:rPr>
        <w:t>שטר שכתבו בו שנתנו את השטר ליד בעל השטר אך באמת נתנוהו ליד שלוחו:</w:t>
      </w:r>
      <w:r w:rsidRPr="001D49D4">
        <w:rPr>
          <w:rFonts w:ascii="Arial" w:eastAsia="Calibri" w:hAnsi="Arial" w:cs="Arial"/>
          <w:rtl/>
        </w:rPr>
        <w:t xml:space="preserve">  </w:t>
      </w:r>
      <w:r w:rsidRPr="001D49D4">
        <w:rPr>
          <w:rFonts w:ascii="Arial" w:eastAsia="Calibri" w:hAnsi="Arial" w:cs="Arial"/>
          <w:sz w:val="16"/>
          <w:szCs w:val="16"/>
          <w:rtl/>
        </w:rPr>
        <w:t>(דרכ"מ סי' מב אות ה, וב"י סי' מד מחודש יג)</w:t>
      </w:r>
    </w:p>
    <w:p w14:paraId="311CE382" w14:textId="77777777" w:rsidR="001D49D4" w:rsidRPr="001D49D4" w:rsidRDefault="001D49D4" w:rsidP="0004348D">
      <w:pPr>
        <w:numPr>
          <w:ilvl w:val="0"/>
          <w:numId w:val="231"/>
        </w:numPr>
        <w:spacing w:before="360" w:after="240"/>
        <w:contextualSpacing/>
        <w:rPr>
          <w:rFonts w:ascii="Arial" w:hAnsi="Arial"/>
          <w:rtl/>
        </w:rPr>
      </w:pPr>
      <w:r w:rsidRPr="001D49D4">
        <w:rPr>
          <w:rFonts w:ascii="Arial" w:hAnsi="Arial"/>
          <w:rtl/>
        </w:rPr>
        <w:t>רשב"א</w:t>
      </w:r>
      <w:r w:rsidRPr="001D49D4">
        <w:rPr>
          <w:rFonts w:ascii="Arial" w:hAnsi="Arial"/>
          <w:sz w:val="16"/>
          <w:szCs w:val="16"/>
          <w:rtl/>
        </w:rPr>
        <w:t xml:space="preserve"> (ח"א סי' אלף קנ"ד)</w:t>
      </w:r>
      <w:r w:rsidRPr="001D49D4">
        <w:rPr>
          <w:rFonts w:ascii="Arial" w:hAnsi="Arial"/>
          <w:rtl/>
        </w:rPr>
        <w:t xml:space="preserve">- אין קפידא לכתוב "כתבנו ונתננו השטר לידו" אע"פ שנתנוהו ליד שלוחו </w:t>
      </w:r>
      <w:r w:rsidRPr="001D49D4">
        <w:rPr>
          <w:rFonts w:ascii="Arial" w:hAnsi="Arial"/>
          <w:sz w:val="16"/>
          <w:szCs w:val="16"/>
          <w:rtl/>
        </w:rPr>
        <w:t>(דידו היינו רשותו)</w:t>
      </w:r>
      <w:r w:rsidRPr="001D49D4">
        <w:rPr>
          <w:rFonts w:ascii="Arial" w:hAnsi="Arial"/>
          <w:rtl/>
        </w:rPr>
        <w:t xml:space="preserve">. </w:t>
      </w:r>
    </w:p>
    <w:p w14:paraId="3C50B271" w14:textId="77777777" w:rsidR="001D49D4" w:rsidRPr="001D49D4" w:rsidRDefault="001D49D4" w:rsidP="0004348D">
      <w:pPr>
        <w:spacing w:before="360" w:after="240"/>
        <w:rPr>
          <w:rFonts w:ascii="Arial" w:eastAsia="Calibri" w:hAnsi="Arial" w:cs="Arial"/>
          <w:u w:val="single"/>
          <w:rtl/>
        </w:rPr>
      </w:pPr>
      <w:r w:rsidRPr="001D49D4">
        <w:rPr>
          <w:rFonts w:ascii="Arial" w:eastAsia="Calibri" w:hAnsi="Arial" w:cs="Arial"/>
          <w:u w:val="single"/>
          <w:rtl/>
        </w:rPr>
        <w:t>שטר שהלשון שכתובה בו כוללת לפי דעת השומעים- האם יד בעל השטר על העליונה:</w:t>
      </w:r>
      <w:r w:rsidRPr="001D49D4">
        <w:rPr>
          <w:rFonts w:ascii="Arial" w:eastAsia="Calibri" w:hAnsi="Arial" w:cs="Arial"/>
          <w:sz w:val="16"/>
          <w:szCs w:val="16"/>
          <w:rtl/>
        </w:rPr>
        <w:t xml:space="preserve">  </w:t>
      </w:r>
    </w:p>
    <w:p w14:paraId="7EDA6613" w14:textId="77777777" w:rsidR="001D49D4" w:rsidRPr="001D49D4" w:rsidRDefault="001D49D4" w:rsidP="0004348D">
      <w:pPr>
        <w:numPr>
          <w:ilvl w:val="0"/>
          <w:numId w:val="231"/>
        </w:numPr>
        <w:spacing w:before="360" w:after="240"/>
        <w:contextualSpacing/>
        <w:rPr>
          <w:rFonts w:ascii="Arial" w:hAnsi="Arial"/>
          <w:rtl/>
        </w:rPr>
      </w:pPr>
      <w:r w:rsidRPr="001D49D4">
        <w:rPr>
          <w:rFonts w:ascii="Arial" w:hAnsi="Arial"/>
          <w:rtl/>
        </w:rPr>
        <w:t xml:space="preserve">רשב"א </w:t>
      </w:r>
      <w:r w:rsidRPr="001D49D4">
        <w:rPr>
          <w:rFonts w:ascii="Arial" w:hAnsi="Arial"/>
          <w:sz w:val="16"/>
          <w:szCs w:val="16"/>
          <w:rtl/>
        </w:rPr>
        <w:t>(תו"א סי' רסט)</w:t>
      </w:r>
      <w:r w:rsidRPr="001D49D4">
        <w:rPr>
          <w:rFonts w:ascii="Arial" w:hAnsi="Arial"/>
          <w:rtl/>
        </w:rPr>
        <w:t>- פעמים שיד בעל השטר על העליונה כגון בזמן שהלשון שאמר כולל לפי דעת השומעים, ולפיכך מי שכתב סתם- על דעת משמעות השומעים הוא בוטח, שאילולי כן הוה ליה לפרושי כיון שהוא יודע שסתמן של דברים משמע בהפך כוונתו</w:t>
      </w:r>
      <w:r w:rsidRPr="001D49D4">
        <w:rPr>
          <w:rFonts w:ascii="Arial" w:hAnsi="Arial"/>
          <w:vertAlign w:val="superscript"/>
          <w:rtl/>
        </w:rPr>
        <w:footnoteReference w:id="3251"/>
      </w:r>
      <w:r w:rsidRPr="001D49D4">
        <w:rPr>
          <w:rFonts w:ascii="Arial" w:hAnsi="Arial"/>
          <w:rtl/>
        </w:rPr>
        <w:t xml:space="preserve">. </w:t>
      </w:r>
    </w:p>
    <w:p w14:paraId="1B8ADC9E" w14:textId="77777777" w:rsidR="001D49D4" w:rsidRPr="001D49D4" w:rsidRDefault="001D49D4" w:rsidP="0004348D">
      <w:pPr>
        <w:spacing w:before="360" w:after="240"/>
        <w:rPr>
          <w:rFonts w:ascii="Arial" w:eastAsia="Calibri" w:hAnsi="Arial" w:cs="Arial"/>
          <w:u w:val="single"/>
          <w:rtl/>
        </w:rPr>
      </w:pPr>
      <w:r w:rsidRPr="001D49D4">
        <w:rPr>
          <w:rFonts w:ascii="Arial" w:eastAsia="Calibri" w:hAnsi="Arial" w:cs="Arial"/>
          <w:u w:val="single"/>
          <w:rtl/>
        </w:rPr>
        <w:t xml:space="preserve">שטר שנכתב בו שהתחייב לחברו מאה דינרים ויוצאין באותו מקום מטבעות הרבה: </w:t>
      </w:r>
    </w:p>
    <w:p w14:paraId="393E5AA9" w14:textId="77777777" w:rsidR="001D49D4" w:rsidRPr="001D49D4" w:rsidRDefault="001D49D4" w:rsidP="0004348D">
      <w:pPr>
        <w:numPr>
          <w:ilvl w:val="0"/>
          <w:numId w:val="231"/>
        </w:numPr>
        <w:spacing w:before="360" w:after="240"/>
        <w:contextualSpacing/>
        <w:rPr>
          <w:rFonts w:ascii="Arial" w:hAnsi="Arial"/>
          <w:rtl/>
        </w:rPr>
      </w:pPr>
      <w:r w:rsidRPr="001D49D4">
        <w:rPr>
          <w:rFonts w:ascii="Arial" w:hAnsi="Arial"/>
          <w:rtl/>
        </w:rPr>
        <w:t xml:space="preserve">רשב"א </w:t>
      </w:r>
      <w:r w:rsidRPr="001D49D4">
        <w:rPr>
          <w:rFonts w:ascii="Arial" w:hAnsi="Arial"/>
          <w:sz w:val="16"/>
          <w:szCs w:val="16"/>
          <w:rtl/>
        </w:rPr>
        <w:t>(תו"א סי' רסט)</w:t>
      </w:r>
      <w:r w:rsidRPr="001D49D4">
        <w:rPr>
          <w:rFonts w:ascii="Arial" w:hAnsi="Arial"/>
          <w:rtl/>
        </w:rPr>
        <w:t xml:space="preserve">- מי שמחייב עצמו לחבירו במאה דינרים ויוצאין באותו מקום מטבעות הרבה אינו נותן לו אלא פחות שבהם, ואלא מיהו מהמטבע שהוא יוצא שם- הוא נותן לו, ואע"פ שלא פירש לו, דסתמא דמילתא דאותו מטבע שהוא יוצא שם הוא מחייב עצמו, ואין אומרין בכי הא דיד בעל השטר על התחתונה, וכדאמרינן </w:t>
      </w:r>
      <w:r w:rsidRPr="001D49D4">
        <w:rPr>
          <w:rFonts w:ascii="Arial" w:hAnsi="Arial"/>
          <w:sz w:val="16"/>
          <w:szCs w:val="16"/>
          <w:rtl/>
        </w:rPr>
        <w:t xml:space="preserve">(קסה:) </w:t>
      </w:r>
      <w:r w:rsidRPr="001D49D4">
        <w:rPr>
          <w:rFonts w:ascii="Arial" w:hAnsi="Arial"/>
          <w:rtl/>
        </w:rPr>
        <w:t>"באתרא דלא מסגו פריטי</w:t>
      </w:r>
      <w:r w:rsidRPr="001D49D4">
        <w:rPr>
          <w:rFonts w:ascii="Arial" w:hAnsi="Arial"/>
          <w:sz w:val="16"/>
          <w:szCs w:val="16"/>
          <w:rtl/>
        </w:rPr>
        <w:t xml:space="preserve"> (פרוטות)</w:t>
      </w:r>
      <w:r w:rsidRPr="001D49D4">
        <w:rPr>
          <w:rFonts w:ascii="Arial" w:hAnsi="Arial"/>
          <w:rtl/>
        </w:rPr>
        <w:t xml:space="preserve"> דכספא".</w:t>
      </w:r>
    </w:p>
    <w:p w14:paraId="2828E741" w14:textId="77777777" w:rsidR="001D49D4" w:rsidRPr="001D49D4" w:rsidRDefault="001D49D4" w:rsidP="0004348D">
      <w:pPr>
        <w:spacing w:before="360" w:after="240"/>
        <w:rPr>
          <w:rFonts w:ascii="Arial" w:eastAsia="Calibri" w:hAnsi="Arial" w:cs="Arial"/>
          <w:u w:val="single"/>
        </w:rPr>
      </w:pPr>
      <w:r w:rsidRPr="001D49D4">
        <w:rPr>
          <w:rFonts w:ascii="Arial" w:eastAsia="Calibri" w:hAnsi="Arial" w:cs="Arial"/>
          <w:u w:val="single"/>
          <w:rtl/>
        </w:rPr>
        <w:t xml:space="preserve">שטר שיש בו ב' לשונות </w:t>
      </w:r>
      <w:r w:rsidRPr="001D49D4">
        <w:rPr>
          <w:rFonts w:ascii="Arial" w:eastAsia="Calibri" w:hAnsi="Arial" w:cs="Arial"/>
          <w:b/>
          <w:bCs/>
          <w:u w:val="single"/>
          <w:rtl/>
        </w:rPr>
        <w:t>סמוכים</w:t>
      </w:r>
      <w:r w:rsidRPr="001D49D4">
        <w:rPr>
          <w:rFonts w:ascii="Arial" w:eastAsia="Calibri" w:hAnsi="Arial" w:cs="Arial"/>
          <w:u w:val="single"/>
          <w:rtl/>
        </w:rPr>
        <w:t xml:space="preserve"> סותרים והלשון האחרון לתועלת בעל השטר:</w:t>
      </w:r>
    </w:p>
    <w:p w14:paraId="443C64A2" w14:textId="77777777" w:rsidR="001D49D4" w:rsidRPr="001D49D4" w:rsidRDefault="001D49D4" w:rsidP="0004348D">
      <w:pPr>
        <w:numPr>
          <w:ilvl w:val="0"/>
          <w:numId w:val="231"/>
        </w:numPr>
        <w:spacing w:before="360" w:after="240"/>
        <w:contextualSpacing/>
        <w:rPr>
          <w:rFonts w:ascii="Arial" w:hAnsi="Arial"/>
        </w:rPr>
      </w:pPr>
      <w:r w:rsidRPr="001D49D4">
        <w:rPr>
          <w:rFonts w:ascii="Arial" w:hAnsi="Arial"/>
          <w:rtl/>
        </w:rPr>
        <w:t xml:space="preserve">רשב"א </w:t>
      </w:r>
      <w:r w:rsidRPr="001D49D4">
        <w:rPr>
          <w:rFonts w:ascii="Arial" w:hAnsi="Arial"/>
          <w:sz w:val="16"/>
          <w:szCs w:val="16"/>
          <w:rtl/>
        </w:rPr>
        <w:t>(תו"א סי' רסט)</w:t>
      </w:r>
      <w:r w:rsidRPr="001D49D4">
        <w:rPr>
          <w:rFonts w:ascii="Arial" w:hAnsi="Arial"/>
          <w:rtl/>
        </w:rPr>
        <w:t xml:space="preserve">- "אפילו היכא דאיכא תרי לישני בשטרא סמוכים זה לזה לעולם דנין יד בעל השטר על התחתונה, ואפילו היה הלשון האחרון לתועלת בעל השטר, </w:t>
      </w:r>
      <w:r w:rsidRPr="001D49D4">
        <w:rPr>
          <w:rFonts w:ascii="Arial" w:hAnsi="Arial"/>
          <w:sz w:val="16"/>
          <w:szCs w:val="16"/>
          <w:rtl/>
        </w:rPr>
        <w:t>(והיינו דאסתירא מאה מעי ומאה מעי אסתירא (שם קה:), ומדה בחבל הן חסר הן יתר (שם ע"א), ומדינר זהב לחדש בי"ב דינרים לשנה (ב"מ קב.), בכולן הולכים אחר פחות שבלשונות וכדאמרינן בפרק בית כור (ב"ב קה.) אבל חכמים אומרים הלך אחר פחות שבלשונות)</w:t>
      </w:r>
      <w:r w:rsidRPr="001D49D4">
        <w:rPr>
          <w:rFonts w:ascii="Arial" w:hAnsi="Arial"/>
          <w:rtl/>
        </w:rPr>
        <w:t xml:space="preserve"> ומיהו אי מטלטלין נינהו ותפס מדעת הבעלים קנינהו </w:t>
      </w:r>
      <w:r w:rsidRPr="001D49D4">
        <w:rPr>
          <w:rFonts w:ascii="Arial" w:hAnsi="Arial"/>
          <w:sz w:val="16"/>
          <w:szCs w:val="16"/>
          <w:rtl/>
        </w:rPr>
        <w:t>(וכדאמרינן בפרק בית כור [שם:])</w:t>
      </w:r>
      <w:r w:rsidRPr="001D49D4">
        <w:rPr>
          <w:rFonts w:ascii="Arial" w:hAnsi="Arial"/>
          <w:rtl/>
        </w:rPr>
        <w:t xml:space="preserve">. והיכא דאיכא תרי לישני ואנו רואים שטעו בחשבון לכו"ע אומרין בזה יד בעל השטר על התחתונה </w:t>
      </w:r>
      <w:r w:rsidRPr="001D49D4">
        <w:rPr>
          <w:rFonts w:ascii="Arial" w:hAnsi="Arial"/>
          <w:sz w:val="16"/>
          <w:szCs w:val="16"/>
          <w:rtl/>
        </w:rPr>
        <w:t>(וזו היא ששנינו (קסה:) כתוב בו זוזין מאה דאינון סלעין עשרים וכו')</w:t>
      </w:r>
      <w:r w:rsidRPr="001D49D4">
        <w:rPr>
          <w:rFonts w:ascii="Arial" w:hAnsi="Arial"/>
          <w:rtl/>
        </w:rPr>
        <w:t>. ומיהו אם יש בשטר שני עניינים מופרדים זה מזה בשני מקומות שבשטר לעולם הולכים אחר התנאי או אחר החיוב המאוחר דחזרה היא זו בבירור והוא ששנינו כתב בו מלמעלה מנה ומלמטה מאתים וכו' הכל הולך אחר התחתון"</w:t>
      </w:r>
      <w:r w:rsidRPr="001D49D4">
        <w:rPr>
          <w:rFonts w:ascii="Arial" w:hAnsi="Arial"/>
          <w:vertAlign w:val="superscript"/>
          <w:rtl/>
        </w:rPr>
        <w:footnoteReference w:id="3252"/>
      </w:r>
      <w:r w:rsidRPr="001D49D4">
        <w:rPr>
          <w:rFonts w:ascii="Arial" w:hAnsi="Arial"/>
          <w:rtl/>
        </w:rPr>
        <w:t>.</w:t>
      </w:r>
    </w:p>
    <w:p w14:paraId="5BED6148" w14:textId="77777777" w:rsidR="001D49D4" w:rsidRPr="001D49D4" w:rsidRDefault="001D49D4" w:rsidP="0004348D">
      <w:pPr>
        <w:spacing w:before="360" w:after="240"/>
        <w:rPr>
          <w:rFonts w:ascii="Arial" w:eastAsia="Calibri" w:hAnsi="Arial" w:cs="Arial"/>
          <w:u w:val="single"/>
        </w:rPr>
      </w:pPr>
      <w:r w:rsidRPr="001D49D4">
        <w:rPr>
          <w:rFonts w:ascii="Arial" w:eastAsia="Calibri" w:hAnsi="Arial" w:cs="Arial"/>
          <w:u w:val="single"/>
          <w:rtl/>
        </w:rPr>
        <w:lastRenderedPageBreak/>
        <w:t>משמעות השטר לתועלת בעל השטר אבל אפשר לפרשו שלא לתועלת בעל השטר:</w:t>
      </w:r>
    </w:p>
    <w:p w14:paraId="3CB9FD78" w14:textId="77777777" w:rsidR="001D49D4" w:rsidRPr="001D49D4" w:rsidRDefault="001D49D4" w:rsidP="0004348D">
      <w:pPr>
        <w:numPr>
          <w:ilvl w:val="0"/>
          <w:numId w:val="231"/>
        </w:numPr>
        <w:spacing w:before="360" w:after="240"/>
        <w:contextualSpacing/>
        <w:rPr>
          <w:rFonts w:ascii="Arial" w:hAnsi="Arial"/>
        </w:rPr>
      </w:pPr>
      <w:r w:rsidRPr="001D49D4">
        <w:rPr>
          <w:rFonts w:ascii="Arial" w:hAnsi="Arial"/>
          <w:rtl/>
        </w:rPr>
        <w:t xml:space="preserve">רשב"א </w:t>
      </w:r>
      <w:r w:rsidRPr="001D49D4">
        <w:rPr>
          <w:rFonts w:ascii="Arial" w:hAnsi="Arial"/>
          <w:sz w:val="16"/>
          <w:szCs w:val="16"/>
          <w:rtl/>
        </w:rPr>
        <w:t>(תו"א סי' שה)</w:t>
      </w:r>
      <w:r w:rsidRPr="001D49D4">
        <w:rPr>
          <w:rFonts w:ascii="Arial" w:hAnsi="Arial"/>
          <w:rtl/>
        </w:rPr>
        <w:t>- "כל שמשמעותו ניכר לבית דין מתוך הכתב שהוא כן- דנין אותו, ואפילו ליפוי כח של בעל השטר, וכן אם דרכן של בני אדם לכתוב כן בענין שיהא בו יפוי כח לבעל השטר דנין אותו, ואע"פ שאפשר לדונו למשמעות אחר שיהא לגרעון בעל השטר</w:t>
      </w:r>
      <w:r w:rsidRPr="001D49D4">
        <w:rPr>
          <w:rFonts w:ascii="Arial" w:hAnsi="Arial"/>
          <w:sz w:val="16"/>
          <w:szCs w:val="16"/>
          <w:rtl/>
        </w:rPr>
        <w:t xml:space="preserve"> (וכדאמרינן בפרק גט פשוט (קסו:) פריטי דל מהכא דלא כתבי פריטי בשטרא)</w:t>
      </w:r>
      <w:r w:rsidRPr="001D49D4">
        <w:rPr>
          <w:rFonts w:ascii="Arial" w:hAnsi="Arial"/>
          <w:rtl/>
        </w:rPr>
        <w:t>".</w:t>
      </w:r>
    </w:p>
    <w:p w14:paraId="463DB72A" w14:textId="77777777" w:rsidR="001D49D4" w:rsidRPr="001D49D4" w:rsidRDefault="001D49D4" w:rsidP="0004348D">
      <w:pPr>
        <w:spacing w:before="360" w:after="240"/>
        <w:rPr>
          <w:rFonts w:ascii="Arial" w:eastAsia="Calibri" w:hAnsi="Arial" w:cs="Arial"/>
          <w:u w:val="single"/>
        </w:rPr>
      </w:pPr>
      <w:r w:rsidRPr="001D49D4">
        <w:rPr>
          <w:rFonts w:ascii="Arial" w:eastAsia="Calibri" w:hAnsi="Arial" w:cs="Arial"/>
          <w:u w:val="single"/>
          <w:rtl/>
        </w:rPr>
        <w:t>שטר שיש בו קושי מסויים ואפשר ליישב את כל השטר אבל זה יביא שתיהיה יד בעל השטר על העליונה:</w:t>
      </w:r>
    </w:p>
    <w:p w14:paraId="48A8A68A" w14:textId="77777777" w:rsidR="001D49D4" w:rsidRPr="001D49D4" w:rsidRDefault="001D49D4" w:rsidP="0004348D">
      <w:pPr>
        <w:numPr>
          <w:ilvl w:val="0"/>
          <w:numId w:val="231"/>
        </w:numPr>
        <w:spacing w:before="360" w:after="240"/>
        <w:contextualSpacing/>
        <w:rPr>
          <w:rFonts w:ascii="Arial" w:hAnsi="Arial"/>
        </w:rPr>
      </w:pPr>
      <w:r w:rsidRPr="001D49D4">
        <w:rPr>
          <w:rFonts w:ascii="Arial" w:hAnsi="Arial"/>
          <w:rtl/>
        </w:rPr>
        <w:t xml:space="preserve">רשב"א </w:t>
      </w:r>
      <w:r w:rsidRPr="001D49D4">
        <w:rPr>
          <w:rFonts w:ascii="Arial" w:hAnsi="Arial"/>
          <w:sz w:val="16"/>
          <w:szCs w:val="16"/>
          <w:rtl/>
        </w:rPr>
        <w:t>(ח"ג סי' שפו)</w:t>
      </w:r>
      <w:r w:rsidRPr="001D49D4">
        <w:rPr>
          <w:rFonts w:ascii="Arial" w:hAnsi="Arial"/>
          <w:rtl/>
        </w:rPr>
        <w:t>- "כל היכא דאפשר לקיים לשון השטר כלו מפרשים ומקיימין ואפילו לעשות בעל השטר על העליונה"</w:t>
      </w:r>
      <w:r w:rsidRPr="001D49D4">
        <w:rPr>
          <w:rFonts w:ascii="Arial" w:hAnsi="Arial"/>
          <w:vertAlign w:val="superscript"/>
          <w:rtl/>
        </w:rPr>
        <w:footnoteReference w:id="3253"/>
      </w:r>
      <w:r w:rsidRPr="001D49D4">
        <w:rPr>
          <w:rFonts w:ascii="Arial" w:hAnsi="Arial"/>
          <w:rtl/>
        </w:rPr>
        <w:t>.</w:t>
      </w:r>
    </w:p>
    <w:p w14:paraId="0909E5A3" w14:textId="77777777" w:rsidR="001D49D4" w:rsidRPr="001D49D4" w:rsidRDefault="001D49D4" w:rsidP="0004348D">
      <w:pPr>
        <w:spacing w:before="360" w:after="240"/>
        <w:rPr>
          <w:rFonts w:ascii="Arial" w:eastAsia="Calibri" w:hAnsi="Arial" w:cs="Arial"/>
          <w:u w:val="single"/>
        </w:rPr>
      </w:pPr>
      <w:r w:rsidRPr="001D49D4">
        <w:rPr>
          <w:rFonts w:ascii="Arial" w:eastAsia="Calibri" w:hAnsi="Arial" w:cs="Arial"/>
          <w:u w:val="single"/>
          <w:rtl/>
        </w:rPr>
        <w:t>שטר שיש בו לשון יתרה:</w:t>
      </w:r>
    </w:p>
    <w:p w14:paraId="5BBB4819" w14:textId="77777777" w:rsidR="001D49D4" w:rsidRPr="001D49D4" w:rsidRDefault="001D49D4" w:rsidP="0004348D">
      <w:pPr>
        <w:numPr>
          <w:ilvl w:val="0"/>
          <w:numId w:val="231"/>
        </w:numPr>
        <w:spacing w:before="360" w:after="240"/>
        <w:contextualSpacing/>
        <w:rPr>
          <w:rFonts w:ascii="Arial" w:hAnsi="Arial"/>
        </w:rPr>
      </w:pPr>
      <w:r w:rsidRPr="001D49D4">
        <w:rPr>
          <w:rFonts w:ascii="Arial" w:hAnsi="Arial"/>
          <w:rtl/>
        </w:rPr>
        <w:t>נמוק"י</w:t>
      </w:r>
      <w:r w:rsidRPr="001D49D4">
        <w:rPr>
          <w:rFonts w:ascii="Arial" w:hAnsi="Arial"/>
          <w:sz w:val="16"/>
          <w:szCs w:val="16"/>
          <w:rtl/>
        </w:rPr>
        <w:t xml:space="preserve"> (ב"מ קכא:)</w:t>
      </w:r>
      <w:r w:rsidRPr="001D49D4">
        <w:rPr>
          <w:rFonts w:ascii="Arial" w:hAnsi="Arial"/>
          <w:rtl/>
        </w:rPr>
        <w:t xml:space="preserve"> ומהרי"ק</w:t>
      </w:r>
      <w:r w:rsidRPr="001D49D4">
        <w:rPr>
          <w:rFonts w:ascii="Arial" w:hAnsi="Arial"/>
          <w:sz w:val="16"/>
          <w:szCs w:val="16"/>
          <w:rtl/>
        </w:rPr>
        <w:t xml:space="preserve"> (שורש י' ענף ב)</w:t>
      </w:r>
      <w:r w:rsidRPr="001D49D4">
        <w:rPr>
          <w:rFonts w:ascii="Arial" w:hAnsi="Arial"/>
          <w:rtl/>
        </w:rPr>
        <w:t>- כל לישנא יתירא בשטר לטפויי אתא, אע"פ שלא היה הלשון מוכיח כן.</w:t>
      </w:r>
    </w:p>
    <w:p w14:paraId="3AC9D587" w14:textId="77777777" w:rsidR="001D49D4" w:rsidRPr="001D49D4" w:rsidRDefault="001D49D4" w:rsidP="0004348D">
      <w:pPr>
        <w:spacing w:before="360" w:after="240"/>
        <w:jc w:val="both"/>
        <w:rPr>
          <w:rFonts w:ascii="Arial" w:eastAsia="Calibri" w:hAnsi="Arial" w:cs="Arial"/>
          <w:rtl/>
        </w:rPr>
      </w:pPr>
      <w:r w:rsidRPr="001D49D4">
        <w:rPr>
          <w:rFonts w:ascii="Arial" w:eastAsia="Calibri" w:hAnsi="Arial" w:cs="Arial"/>
          <w:b/>
          <w:bCs/>
          <w:sz w:val="32"/>
          <w:szCs w:val="28"/>
          <w:u w:val="single"/>
          <w:rtl/>
        </w:rPr>
        <w:t xml:space="preserve">שו"ע: </w:t>
      </w:r>
    </w:p>
    <w:p w14:paraId="6C116BD7" w14:textId="77777777" w:rsidR="001D49D4" w:rsidRPr="001D49D4" w:rsidRDefault="001D49D4" w:rsidP="0004348D">
      <w:pPr>
        <w:spacing w:before="360" w:after="240"/>
        <w:rPr>
          <w:rFonts w:ascii="Arial" w:eastAsia="Calibri" w:hAnsi="Arial" w:cs="Arial"/>
          <w:rtl/>
        </w:rPr>
      </w:pPr>
      <w:r w:rsidRPr="001D49D4">
        <w:rPr>
          <w:rFonts w:ascii="Arial" w:eastAsia="Calibri" w:hAnsi="Arial" w:cs="Arial"/>
          <w:rtl/>
        </w:rPr>
        <w:t>הרבה מהמפרשים כתבו שעכשיו שנהגו לכתוב: דלא כאסמכתא ודלא כטופסי דשטרי, אמרינן בכל לשון מסופק יד בעל השטר על העליונה</w:t>
      </w:r>
      <w:r w:rsidRPr="001D49D4">
        <w:rPr>
          <w:rFonts w:ascii="Arial" w:eastAsia="Calibri" w:hAnsi="Arial" w:cs="Arial"/>
          <w:vertAlign w:val="superscript"/>
          <w:rtl/>
        </w:rPr>
        <w:footnoteReference w:id="3254"/>
      </w:r>
      <w:r w:rsidRPr="001D49D4">
        <w:rPr>
          <w:rFonts w:ascii="Arial" w:eastAsia="Calibri" w:hAnsi="Arial" w:cs="Arial"/>
          <w:rtl/>
        </w:rPr>
        <w:t xml:space="preserve">. </w:t>
      </w:r>
      <w:r w:rsidRPr="001D49D4">
        <w:rPr>
          <w:rFonts w:ascii="Arial" w:eastAsia="Calibri" w:hAnsi="Arial" w:cs="Arial"/>
          <w:sz w:val="18"/>
          <w:szCs w:val="18"/>
          <w:rtl/>
        </w:rPr>
        <w:t>הגה: וכל לשון שהוא כולל יותר ליפוי כח בעל השטר</w:t>
      </w:r>
      <w:r w:rsidRPr="001D49D4">
        <w:rPr>
          <w:rFonts w:ascii="Arial" w:eastAsia="Calibri" w:hAnsi="Arial" w:cs="Arial"/>
          <w:sz w:val="18"/>
          <w:szCs w:val="18"/>
          <w:vertAlign w:val="superscript"/>
          <w:rtl/>
        </w:rPr>
        <w:footnoteReference w:id="3255"/>
      </w:r>
      <w:r w:rsidRPr="001D49D4">
        <w:rPr>
          <w:rFonts w:ascii="Arial" w:eastAsia="Calibri" w:hAnsi="Arial" w:cs="Arial"/>
          <w:sz w:val="18"/>
          <w:szCs w:val="18"/>
          <w:rtl/>
        </w:rPr>
        <w:t xml:space="preserve"> וסתמא משמע כך לפי דעת השומעים דנין אותו כך אפילו ליפוי בעל השטר</w:t>
      </w:r>
      <w:r w:rsidRPr="001D49D4">
        <w:rPr>
          <w:rFonts w:ascii="Arial" w:eastAsia="Calibri" w:hAnsi="Arial" w:cs="Arial"/>
          <w:sz w:val="18"/>
          <w:szCs w:val="18"/>
          <w:vertAlign w:val="superscript"/>
          <w:rtl/>
        </w:rPr>
        <w:footnoteReference w:id="3256"/>
      </w:r>
      <w:r w:rsidRPr="001D49D4">
        <w:rPr>
          <w:rFonts w:ascii="Arial" w:eastAsia="Calibri" w:hAnsi="Arial" w:cs="Arial"/>
          <w:sz w:val="18"/>
          <w:szCs w:val="18"/>
          <w:rtl/>
        </w:rPr>
        <w:t xml:space="preserve"> (ב"י מחו' ה' בשם תשו' הרשב"א).</w:t>
      </w:r>
    </w:p>
    <w:p w14:paraId="7363021A" w14:textId="77777777" w:rsidR="001D49D4" w:rsidRPr="001D49D4" w:rsidRDefault="001D49D4" w:rsidP="0004348D">
      <w:pPr>
        <w:spacing w:before="360" w:after="240"/>
        <w:rPr>
          <w:rFonts w:ascii="Arial" w:eastAsia="Calibri" w:hAnsi="Arial" w:cs="Arial"/>
          <w:u w:val="single"/>
          <w:rtl/>
        </w:rPr>
      </w:pPr>
      <w:r w:rsidRPr="001D49D4">
        <w:rPr>
          <w:rFonts w:ascii="Arial" w:eastAsia="Calibri" w:hAnsi="Arial" w:cs="Arial"/>
          <w:u w:val="single"/>
          <w:rtl/>
        </w:rPr>
        <w:t>ראובן לוה משמעון ונתן לו אפותיקי את מקומו בבה"כ:</w:t>
      </w:r>
      <w:r w:rsidRPr="001D49D4">
        <w:rPr>
          <w:rFonts w:ascii="Arial" w:eastAsia="Calibri" w:hAnsi="Arial" w:cs="Arial"/>
          <w:sz w:val="16"/>
          <w:szCs w:val="16"/>
          <w:rtl/>
        </w:rPr>
        <w:t xml:space="preserve">   (פת"ש סקי"ב)</w:t>
      </w:r>
    </w:p>
    <w:p w14:paraId="385487F9" w14:textId="77777777" w:rsidR="001D49D4" w:rsidRPr="001D49D4" w:rsidRDefault="001D49D4" w:rsidP="0004348D">
      <w:pPr>
        <w:numPr>
          <w:ilvl w:val="0"/>
          <w:numId w:val="232"/>
        </w:numPr>
        <w:spacing w:before="360" w:after="240"/>
        <w:contextualSpacing/>
        <w:rPr>
          <w:rFonts w:ascii="Arial" w:hAnsi="Arial"/>
          <w:rtl/>
        </w:rPr>
      </w:pPr>
      <w:r w:rsidRPr="001D49D4">
        <w:rPr>
          <w:rFonts w:ascii="Arial" w:hAnsi="Arial"/>
          <w:rtl/>
        </w:rPr>
        <w:t xml:space="preserve">שבות יעקב </w:t>
      </w:r>
      <w:r w:rsidRPr="001D49D4">
        <w:rPr>
          <w:rFonts w:ascii="Arial" w:hAnsi="Arial"/>
          <w:sz w:val="16"/>
          <w:szCs w:val="16"/>
          <w:rtl/>
        </w:rPr>
        <w:t>(ח"ג סי' קנ"ו)</w:t>
      </w:r>
      <w:r w:rsidRPr="001D49D4">
        <w:rPr>
          <w:rFonts w:ascii="Arial" w:hAnsi="Arial"/>
          <w:rtl/>
        </w:rPr>
        <w:t>- ראובן לוה משמעון סך מה, ונתן לו אפותיקי מפורש על מקומו בבה"כ שאם לא יפרע תוך שתי שנים יגבה מהמקום, והתנו בפירוש שלא יוכל ראובן למכור או להשכין המקום הנ"ל עד שישלם תחילה חוב זה, ועתה רוצה ראובן להשכיר המקום עד שיגיע זמן פרעון חובו, אי רשות בידו או לא. והשיב דראובן יכול להשכיר המקום כל ימי משך זמן ההלואה, אף די"ל שכירות ליומא ממכר הוא, ואפילו אם כתב בשטר אפותיקי דלא כאסמכתא ודלא כטופסי דשטרי, דאז לדעת הרבה פוסקים יד בעל השטר על העליונה, מ"מ בשטרות הולכין אחר לשון בני אדם ואחר כונתו, דהיינו מכירה ממש או להשכין המקום, דאז מיגרע כח אפותיקי שלו שיצטרך לטרוח לטרוף מלוקח או להמציא מקומו הממושכן, ואין בלשון בני אדם השכירות, דמה גריעותא יש לבעל חוב אם הלוה יושב על מקומו עד זמן פרעון, או שיושב עליו אחר, אין זה אלא מדת סדום.</w:t>
      </w:r>
    </w:p>
    <w:p w14:paraId="1DF11DEC" w14:textId="77777777" w:rsidR="001D49D4" w:rsidRPr="001D49D4" w:rsidRDefault="001D49D4" w:rsidP="0004348D">
      <w:pPr>
        <w:spacing w:before="360" w:after="240"/>
        <w:rPr>
          <w:rFonts w:ascii="Arial" w:eastAsia="Calibri" w:hAnsi="Arial" w:cs="Arial"/>
          <w:rtl/>
        </w:rPr>
      </w:pPr>
    </w:p>
    <w:p w14:paraId="46159EA1" w14:textId="77777777" w:rsidR="001D49D4" w:rsidRPr="001D49D4" w:rsidRDefault="001D49D4" w:rsidP="0004348D">
      <w:pPr>
        <w:keepNext/>
        <w:keepLines/>
        <w:spacing w:before="360" w:after="240"/>
        <w:outlineLvl w:val="1"/>
        <w:rPr>
          <w:rFonts w:ascii="Arial" w:eastAsia="Times New Roman" w:hAnsi="Arial" w:cs="Arial"/>
          <w:bCs/>
          <w:color w:val="548DD4" w:themeColor="text2" w:themeTint="99"/>
          <w:sz w:val="26"/>
          <w:szCs w:val="26"/>
          <w:rtl/>
        </w:rPr>
      </w:pPr>
      <w:bookmarkStart w:id="423" w:name="_Toc24883863"/>
      <w:r w:rsidRPr="001D49D4">
        <w:rPr>
          <w:rFonts w:ascii="Arial" w:eastAsia="Times New Roman" w:hAnsi="Arial" w:cs="Arial"/>
          <w:bCs/>
          <w:color w:val="548DD4" w:themeColor="text2" w:themeTint="99"/>
          <w:sz w:val="26"/>
          <w:szCs w:val="26"/>
          <w:rtl/>
        </w:rPr>
        <w:t>סעיף יא: כ' בשטר "מטבע פלוני דאינון</w:t>
      </w:r>
      <w:r w:rsidRPr="001D49D4">
        <w:rPr>
          <w:rFonts w:ascii="Arial" w:eastAsia="Times New Roman" w:hAnsi="Arial" w:cs="Arial"/>
          <w:bCs/>
          <w:color w:val="548DD4" w:themeColor="text2" w:themeTint="99"/>
          <w:sz w:val="20"/>
          <w:szCs w:val="20"/>
          <w:rtl/>
        </w:rPr>
        <w:t xml:space="preserve"> (והסכום נמחק)</w:t>
      </w:r>
      <w:r w:rsidRPr="001D49D4">
        <w:rPr>
          <w:rFonts w:ascii="Arial" w:eastAsia="Times New Roman" w:hAnsi="Arial" w:cs="Arial"/>
          <w:bCs/>
          <w:color w:val="548DD4" w:themeColor="text2" w:themeTint="99"/>
          <w:sz w:val="26"/>
          <w:szCs w:val="26"/>
          <w:rtl/>
        </w:rPr>
        <w:t>".</w:t>
      </w:r>
      <w:bookmarkEnd w:id="423"/>
    </w:p>
    <w:p w14:paraId="467373A9" w14:textId="77777777" w:rsidR="001D49D4" w:rsidRPr="001D49D4" w:rsidRDefault="001D49D4" w:rsidP="0004348D">
      <w:pPr>
        <w:spacing w:before="360" w:after="240"/>
        <w:rPr>
          <w:rFonts w:ascii="Arial" w:eastAsia="Calibri" w:hAnsi="Arial" w:cs="Arial"/>
          <w:rtl/>
        </w:rPr>
      </w:pPr>
      <w:r w:rsidRPr="001D49D4">
        <w:rPr>
          <w:rFonts w:ascii="Arial" w:eastAsia="Calibri" w:hAnsi="Arial" w:cs="Arial"/>
          <w:b/>
          <w:bCs/>
          <w:rtl/>
        </w:rPr>
        <w:t xml:space="preserve">בבא בתרא קסה ע"ב: </w:t>
      </w:r>
      <w:r w:rsidRPr="001D49D4">
        <w:rPr>
          <w:rFonts w:ascii="Arial" w:eastAsia="Calibri" w:hAnsi="Arial" w:cs="Arial"/>
          <w:u w:val="double"/>
          <w:rtl/>
        </w:rPr>
        <w:t>מתני':</w:t>
      </w:r>
      <w:r w:rsidRPr="001D49D4">
        <w:rPr>
          <w:rFonts w:ascii="Arial" w:eastAsia="Calibri" w:hAnsi="Arial" w:cs="Arial"/>
          <w:rtl/>
        </w:rPr>
        <w:t xml:space="preserve"> כתוב בו... כסף זוזין דאינון ונמחק</w:t>
      </w:r>
      <w:r w:rsidRPr="001D49D4">
        <w:rPr>
          <w:rFonts w:ascii="Arial" w:eastAsia="Calibri" w:hAnsi="Arial" w:cs="Arial"/>
          <w:vertAlign w:val="superscript"/>
          <w:rtl/>
        </w:rPr>
        <w:footnoteReference w:id="3257"/>
      </w:r>
      <w:r w:rsidRPr="001D49D4">
        <w:rPr>
          <w:rFonts w:ascii="Arial" w:eastAsia="Calibri" w:hAnsi="Arial" w:cs="Arial"/>
          <w:rtl/>
        </w:rPr>
        <w:t xml:space="preserve"> - אין פחות משתים. כסף סלעין דאינון ונמחק - אין פחות משתים. דרכונות דאינון ונמחק - אין פחות משתים...</w:t>
      </w:r>
    </w:p>
    <w:p w14:paraId="5628E6D2" w14:textId="77777777" w:rsidR="001D49D4" w:rsidRPr="001D49D4" w:rsidRDefault="001D49D4" w:rsidP="0004348D">
      <w:pPr>
        <w:spacing w:before="360" w:after="240"/>
        <w:jc w:val="both"/>
        <w:rPr>
          <w:rFonts w:ascii="Arial" w:eastAsia="Calibri" w:hAnsi="Arial" w:cs="Arial"/>
          <w:rtl/>
        </w:rPr>
      </w:pPr>
      <w:r w:rsidRPr="001D49D4">
        <w:rPr>
          <w:rFonts w:ascii="Arial" w:eastAsia="Calibri" w:hAnsi="Arial" w:cs="Arial"/>
          <w:b/>
          <w:bCs/>
          <w:sz w:val="32"/>
          <w:szCs w:val="28"/>
          <w:u w:val="single"/>
          <w:rtl/>
        </w:rPr>
        <w:lastRenderedPageBreak/>
        <w:t xml:space="preserve">שו"ע: </w:t>
      </w:r>
    </w:p>
    <w:p w14:paraId="7A2BEA9D" w14:textId="77777777" w:rsidR="001D49D4" w:rsidRPr="001D49D4" w:rsidRDefault="001D49D4" w:rsidP="0004348D">
      <w:pPr>
        <w:spacing w:before="360" w:after="240"/>
        <w:rPr>
          <w:rFonts w:ascii="Arial" w:eastAsia="Calibri" w:hAnsi="Arial" w:cs="Arial"/>
          <w:rtl/>
        </w:rPr>
      </w:pPr>
      <w:r w:rsidRPr="001D49D4">
        <w:rPr>
          <w:rFonts w:ascii="Arial" w:eastAsia="Calibri" w:hAnsi="Arial" w:cs="Arial"/>
          <w:rtl/>
        </w:rPr>
        <w:t>כתוב בשטר: ממטבע פלוני דאינון כך וכך חייב פלוני לפלוני, ונמחק אותו סכום ואינו ניכר, אין לו אלא שנים מאותו מטבע</w:t>
      </w:r>
      <w:r w:rsidRPr="001D49D4">
        <w:rPr>
          <w:rFonts w:ascii="Arial" w:eastAsia="Calibri" w:hAnsi="Arial" w:cs="Arial"/>
          <w:vertAlign w:val="superscript"/>
          <w:rtl/>
        </w:rPr>
        <w:footnoteReference w:id="3258"/>
      </w:r>
      <w:r w:rsidRPr="001D49D4">
        <w:rPr>
          <w:rFonts w:ascii="Arial" w:eastAsia="Calibri" w:hAnsi="Arial" w:cs="Arial"/>
          <w:rtl/>
        </w:rPr>
        <w:t xml:space="preserve">. </w:t>
      </w:r>
    </w:p>
    <w:p w14:paraId="01D4918F" w14:textId="77777777" w:rsidR="001D49D4" w:rsidRPr="001D49D4" w:rsidRDefault="001D49D4" w:rsidP="0004348D">
      <w:pPr>
        <w:spacing w:before="360" w:after="240"/>
        <w:rPr>
          <w:rFonts w:ascii="Arial" w:eastAsia="Calibri" w:hAnsi="Arial" w:cs="Arial"/>
          <w:rtl/>
        </w:rPr>
      </w:pPr>
    </w:p>
    <w:p w14:paraId="52E0CCA0" w14:textId="77777777" w:rsidR="001D49D4" w:rsidRPr="001D49D4" w:rsidRDefault="001D49D4" w:rsidP="0004348D">
      <w:pPr>
        <w:keepNext/>
        <w:keepLines/>
        <w:spacing w:before="360" w:after="240"/>
        <w:outlineLvl w:val="1"/>
        <w:rPr>
          <w:rFonts w:ascii="Arial" w:eastAsia="Times New Roman" w:hAnsi="Arial" w:cs="Arial"/>
          <w:bCs/>
          <w:color w:val="548DD4" w:themeColor="text2" w:themeTint="99"/>
          <w:sz w:val="26"/>
          <w:szCs w:val="26"/>
          <w:rtl/>
        </w:rPr>
      </w:pPr>
      <w:bookmarkStart w:id="424" w:name="_Toc24883864"/>
      <w:r w:rsidRPr="001D49D4">
        <w:rPr>
          <w:rFonts w:ascii="Arial" w:eastAsia="Times New Roman" w:hAnsi="Arial" w:cs="Arial"/>
          <w:bCs/>
          <w:color w:val="548DD4" w:themeColor="text2" w:themeTint="99"/>
          <w:sz w:val="26"/>
          <w:szCs w:val="26"/>
          <w:rtl/>
        </w:rPr>
        <w:t>סעיף יב: כ' בשטר "סלעים", מלוה אומר חמש ולוה אומר שתים.</w:t>
      </w:r>
      <w:bookmarkEnd w:id="424"/>
    </w:p>
    <w:p w14:paraId="15170061" w14:textId="77777777" w:rsidR="001D49D4" w:rsidRPr="001D49D4" w:rsidRDefault="001D49D4" w:rsidP="0004348D">
      <w:pPr>
        <w:spacing w:before="360" w:after="240"/>
        <w:rPr>
          <w:rFonts w:ascii="Arial" w:eastAsia="Calibri" w:hAnsi="Arial" w:cs="Arial"/>
          <w:sz w:val="16"/>
          <w:szCs w:val="16"/>
          <w:rtl/>
        </w:rPr>
      </w:pPr>
      <w:r w:rsidRPr="001D49D4">
        <w:rPr>
          <w:rFonts w:ascii="Arial" w:eastAsia="Calibri" w:hAnsi="Arial" w:cs="Arial"/>
          <w:b/>
          <w:bCs/>
          <w:rtl/>
        </w:rPr>
        <w:t xml:space="preserve">בבא מציעא ד ע"ב: </w:t>
      </w:r>
      <w:r w:rsidRPr="001D49D4">
        <w:rPr>
          <w:rFonts w:ascii="Arial" w:eastAsia="Calibri" w:hAnsi="Arial" w:cs="Arial"/>
          <w:rtl/>
        </w:rPr>
        <w:t>סלעים, דינרין</w:t>
      </w:r>
      <w:r w:rsidRPr="001D49D4">
        <w:rPr>
          <w:rFonts w:ascii="Arial" w:eastAsia="Calibri" w:hAnsi="Arial" w:cs="Arial"/>
          <w:vertAlign w:val="superscript"/>
          <w:rtl/>
        </w:rPr>
        <w:footnoteReference w:id="3259"/>
      </w:r>
      <w:r w:rsidRPr="001D49D4">
        <w:rPr>
          <w:rFonts w:ascii="Arial" w:eastAsia="Calibri" w:hAnsi="Arial" w:cs="Arial"/>
          <w:rtl/>
        </w:rPr>
        <w:t xml:space="preserve">. מלוה אומר: חמש, ולוה אומר: שלש. </w:t>
      </w:r>
      <w:r w:rsidRPr="001D49D4">
        <w:rPr>
          <w:rFonts w:ascii="Arial" w:eastAsia="Calibri" w:hAnsi="Arial" w:cs="Arial"/>
          <w:u w:val="single"/>
          <w:rtl/>
        </w:rPr>
        <w:t>רבי שמעון בן אלעזר אומר</w:t>
      </w:r>
      <w:r w:rsidRPr="001D49D4">
        <w:rPr>
          <w:rFonts w:ascii="Arial" w:eastAsia="Calibri" w:hAnsi="Arial" w:cs="Arial"/>
          <w:rtl/>
        </w:rPr>
        <w:t xml:space="preserve">: הואיל והודה מקצת הטענה – ישבע. </w:t>
      </w:r>
      <w:r w:rsidRPr="001D49D4">
        <w:rPr>
          <w:rFonts w:ascii="Arial" w:eastAsia="Calibri" w:hAnsi="Arial" w:cs="Arial"/>
          <w:u w:val="single"/>
          <w:rtl/>
        </w:rPr>
        <w:t>רבי עקיבא אומר</w:t>
      </w:r>
      <w:r w:rsidRPr="001D49D4">
        <w:rPr>
          <w:rFonts w:ascii="Arial" w:eastAsia="Calibri" w:hAnsi="Arial" w:cs="Arial"/>
          <w:rtl/>
        </w:rPr>
        <w:t>: אינו אלא כמשיב אבידה</w:t>
      </w:r>
      <w:r w:rsidRPr="001D49D4">
        <w:rPr>
          <w:rFonts w:ascii="Arial" w:eastAsia="Calibri" w:hAnsi="Arial" w:cs="Arial"/>
          <w:vertAlign w:val="superscript"/>
          <w:rtl/>
        </w:rPr>
        <w:footnoteReference w:id="3260"/>
      </w:r>
      <w:r w:rsidRPr="001D49D4">
        <w:rPr>
          <w:rFonts w:ascii="Arial" w:eastAsia="Calibri" w:hAnsi="Arial" w:cs="Arial"/>
          <w:rtl/>
        </w:rPr>
        <w:t>, ופטור. קתני מיהת רבי שמעון בן אלעזר אומר הואיל והודה מקצת הטענה ישבע, טעמא- דאמר שלש</w:t>
      </w:r>
      <w:r w:rsidRPr="001D49D4">
        <w:rPr>
          <w:rFonts w:ascii="Arial" w:eastAsia="Calibri" w:hAnsi="Arial" w:cs="Arial"/>
          <w:vertAlign w:val="superscript"/>
          <w:rtl/>
        </w:rPr>
        <w:footnoteReference w:id="3261"/>
      </w:r>
      <w:r w:rsidRPr="001D49D4">
        <w:rPr>
          <w:rFonts w:ascii="Arial" w:eastAsia="Calibri" w:hAnsi="Arial" w:cs="Arial"/>
          <w:rtl/>
        </w:rPr>
        <w:t>, הא שתים- פטור... דקא מסייע ליה שטרא</w:t>
      </w:r>
      <w:r w:rsidRPr="001D49D4">
        <w:rPr>
          <w:rFonts w:ascii="Arial" w:eastAsia="Calibri" w:hAnsi="Arial" w:cs="Arial"/>
          <w:vertAlign w:val="superscript"/>
          <w:rtl/>
        </w:rPr>
        <w:footnoteReference w:id="3262"/>
      </w:r>
      <w:r w:rsidRPr="001D49D4">
        <w:rPr>
          <w:rFonts w:ascii="Arial" w:eastAsia="Calibri" w:hAnsi="Arial" w:cs="Arial"/>
          <w:rtl/>
        </w:rPr>
        <w:t>. אי נמי</w:t>
      </w:r>
      <w:r w:rsidRPr="001D49D4">
        <w:rPr>
          <w:rFonts w:ascii="Arial" w:eastAsia="Calibri" w:hAnsi="Arial" w:cs="Arial"/>
          <w:vertAlign w:val="superscript"/>
          <w:rtl/>
        </w:rPr>
        <w:footnoteReference w:id="3263"/>
      </w:r>
      <w:r w:rsidRPr="001D49D4">
        <w:rPr>
          <w:rFonts w:ascii="Arial" w:eastAsia="Calibri" w:hAnsi="Arial" w:cs="Arial"/>
          <w:rtl/>
        </w:rPr>
        <w:t xml:space="preserve"> משום דהוה ליה שטר שעבוד קרקעות - ואין נשבעין על כפירת שעבוד קרקעות. </w:t>
      </w:r>
      <w:r w:rsidRPr="001D49D4">
        <w:rPr>
          <w:rFonts w:ascii="Arial" w:eastAsia="Calibri" w:hAnsi="Arial" w:cs="Arial"/>
          <w:color w:val="FF0000"/>
          <w:sz w:val="16"/>
          <w:szCs w:val="16"/>
          <w:rtl/>
        </w:rPr>
        <w:t>(הב"י הביא רק את התירוץ השני וצל"ע למה)</w:t>
      </w:r>
    </w:p>
    <w:p w14:paraId="2E764316" w14:textId="77777777" w:rsidR="001D49D4" w:rsidRPr="001D49D4" w:rsidRDefault="001D49D4" w:rsidP="0004348D">
      <w:pPr>
        <w:spacing w:before="360" w:after="240"/>
        <w:jc w:val="both"/>
        <w:rPr>
          <w:rFonts w:ascii="Arial" w:eastAsia="Calibri" w:hAnsi="Arial" w:cs="Arial"/>
          <w:rtl/>
        </w:rPr>
      </w:pPr>
      <w:r w:rsidRPr="001D49D4">
        <w:rPr>
          <w:rFonts w:ascii="Arial" w:eastAsia="Calibri" w:hAnsi="Arial" w:cs="Arial"/>
          <w:b/>
          <w:bCs/>
          <w:sz w:val="32"/>
          <w:szCs w:val="28"/>
          <w:u w:val="single"/>
          <w:rtl/>
        </w:rPr>
        <w:t xml:space="preserve">שו"ע: </w:t>
      </w:r>
    </w:p>
    <w:p w14:paraId="09F85F2A" w14:textId="77777777" w:rsidR="001D49D4" w:rsidRPr="001D49D4" w:rsidRDefault="001D49D4" w:rsidP="0004348D">
      <w:pPr>
        <w:spacing w:before="360" w:after="240"/>
        <w:rPr>
          <w:rFonts w:ascii="Arial" w:eastAsia="Calibri" w:hAnsi="Arial" w:cs="Arial"/>
          <w:rtl/>
        </w:rPr>
      </w:pPr>
      <w:r w:rsidRPr="001D49D4">
        <w:rPr>
          <w:rFonts w:ascii="Arial" w:eastAsia="Calibri" w:hAnsi="Arial" w:cs="Arial"/>
          <w:rtl/>
        </w:rPr>
        <w:t>כתוב בשטר סלעים, מלוה אומר חמש, ולוה אומר שתים, נותן לו שתים ונשבע לו היסת על השאר, ואי תפיס</w:t>
      </w:r>
      <w:r w:rsidRPr="001D49D4">
        <w:rPr>
          <w:rFonts w:ascii="Arial" w:eastAsia="Calibri" w:hAnsi="Arial" w:cs="Arial"/>
          <w:vertAlign w:val="superscript"/>
          <w:rtl/>
        </w:rPr>
        <w:footnoteReference w:id="3264"/>
      </w:r>
      <w:r w:rsidRPr="001D49D4">
        <w:rPr>
          <w:rFonts w:ascii="Arial" w:eastAsia="Calibri" w:hAnsi="Arial" w:cs="Arial"/>
          <w:rtl/>
        </w:rPr>
        <w:t xml:space="preserve"> מפקינן מיניה. </w:t>
      </w:r>
    </w:p>
    <w:tbl>
      <w:tblPr>
        <w:tblStyle w:val="13"/>
        <w:bidiVisual/>
        <w:tblW w:w="8925" w:type="dxa"/>
        <w:tblInd w:w="353" w:type="dxa"/>
        <w:tblLayout w:type="fixed"/>
        <w:tblLook w:val="04A0" w:firstRow="1" w:lastRow="0" w:firstColumn="1" w:lastColumn="0" w:noHBand="0" w:noVBand="1"/>
      </w:tblPr>
      <w:tblGrid>
        <w:gridCol w:w="1312"/>
        <w:gridCol w:w="1380"/>
        <w:gridCol w:w="1558"/>
        <w:gridCol w:w="1558"/>
        <w:gridCol w:w="1558"/>
        <w:gridCol w:w="1559"/>
      </w:tblGrid>
      <w:tr w:rsidR="001D49D4" w:rsidRPr="001D49D4" w14:paraId="6F110376" w14:textId="77777777" w:rsidTr="001D49D4">
        <w:trPr>
          <w:trHeight w:val="447"/>
        </w:trPr>
        <w:tc>
          <w:tcPr>
            <w:tcW w:w="8931" w:type="dxa"/>
            <w:gridSpan w:val="6"/>
            <w:tcBorders>
              <w:top w:val="nil"/>
              <w:left w:val="nil"/>
              <w:bottom w:val="single" w:sz="4" w:space="0" w:color="auto"/>
              <w:right w:val="nil"/>
            </w:tcBorders>
          </w:tcPr>
          <w:p w14:paraId="18677C44" w14:textId="77777777" w:rsidR="001D49D4" w:rsidRPr="001D49D4" w:rsidRDefault="001D49D4" w:rsidP="0004348D">
            <w:pPr>
              <w:spacing w:before="360" w:after="240" w:line="276" w:lineRule="auto"/>
              <w:jc w:val="center"/>
              <w:rPr>
                <w:rFonts w:ascii="Arial" w:hAnsi="Arial"/>
                <w:b/>
                <w:bCs/>
                <w:sz w:val="16"/>
                <w:szCs w:val="16"/>
                <w:u w:val="single"/>
                <w:rtl/>
              </w:rPr>
            </w:pPr>
          </w:p>
          <w:p w14:paraId="55170469" w14:textId="77777777" w:rsidR="001D49D4" w:rsidRPr="001D49D4" w:rsidRDefault="001D49D4" w:rsidP="0004348D">
            <w:pPr>
              <w:spacing w:before="360" w:after="240" w:line="276" w:lineRule="auto"/>
              <w:jc w:val="center"/>
              <w:rPr>
                <w:rFonts w:ascii="Arial" w:hAnsi="Arial"/>
                <w:b/>
                <w:bCs/>
                <w:sz w:val="16"/>
                <w:szCs w:val="16"/>
                <w:u w:val="single"/>
                <w:rtl/>
              </w:rPr>
            </w:pPr>
            <w:r w:rsidRPr="001D49D4">
              <w:rPr>
                <w:rFonts w:ascii="Arial" w:hAnsi="Arial"/>
                <w:b/>
                <w:bCs/>
                <w:sz w:val="16"/>
                <w:szCs w:val="16"/>
                <w:u w:val="single"/>
                <w:rtl/>
              </w:rPr>
              <w:t>סיכום דין תפיס:</w:t>
            </w:r>
          </w:p>
        </w:tc>
      </w:tr>
      <w:tr w:rsidR="001D49D4" w:rsidRPr="001D49D4" w14:paraId="5F1E190B" w14:textId="77777777" w:rsidTr="001D49D4">
        <w:trPr>
          <w:trHeight w:val="447"/>
        </w:trPr>
        <w:tc>
          <w:tcPr>
            <w:tcW w:w="2694" w:type="dxa"/>
            <w:gridSpan w:val="2"/>
            <w:tcBorders>
              <w:top w:val="single" w:sz="4" w:space="0" w:color="auto"/>
              <w:left w:val="single" w:sz="4" w:space="0" w:color="auto"/>
              <w:bottom w:val="single" w:sz="4" w:space="0" w:color="auto"/>
              <w:right w:val="single" w:sz="4" w:space="0" w:color="auto"/>
            </w:tcBorders>
            <w:shd w:val="clear" w:color="auto" w:fill="EEECE1" w:themeFill="background2"/>
            <w:hideMark/>
          </w:tcPr>
          <w:p w14:paraId="7ABEC578" w14:textId="77777777" w:rsidR="001D49D4" w:rsidRPr="001D49D4" w:rsidRDefault="001D49D4" w:rsidP="0004348D">
            <w:pPr>
              <w:spacing w:before="360" w:after="240" w:line="276" w:lineRule="auto"/>
              <w:jc w:val="center"/>
              <w:rPr>
                <w:rFonts w:ascii="Arial" w:hAnsi="Arial"/>
                <w:b/>
                <w:bCs/>
                <w:sz w:val="16"/>
                <w:szCs w:val="16"/>
                <w:u w:val="single"/>
                <w:rtl/>
              </w:rPr>
            </w:pPr>
            <w:r w:rsidRPr="001D49D4">
              <w:rPr>
                <w:rFonts w:ascii="Arial" w:hAnsi="Arial"/>
                <w:b/>
                <w:bCs/>
                <w:sz w:val="16"/>
                <w:szCs w:val="16"/>
                <w:u w:val="single"/>
                <w:rtl/>
              </w:rPr>
              <w:t>סע' ח</w:t>
            </w:r>
          </w:p>
          <w:p w14:paraId="03AA7353" w14:textId="77777777" w:rsidR="001D49D4" w:rsidRPr="001D49D4" w:rsidRDefault="001D49D4" w:rsidP="0004348D">
            <w:pPr>
              <w:spacing w:before="360" w:after="240" w:line="276" w:lineRule="auto"/>
              <w:jc w:val="center"/>
              <w:rPr>
                <w:rFonts w:ascii="Arial" w:hAnsi="Arial"/>
                <w:b/>
                <w:bCs/>
                <w:sz w:val="16"/>
                <w:szCs w:val="16"/>
                <w:rtl/>
              </w:rPr>
            </w:pPr>
            <w:r w:rsidRPr="001D49D4">
              <w:rPr>
                <w:rFonts w:ascii="Arial" w:hAnsi="Arial"/>
                <w:b/>
                <w:bCs/>
                <w:rtl/>
              </w:rPr>
              <w:t>לשון מסופק</w:t>
            </w:r>
          </w:p>
        </w:tc>
        <w:tc>
          <w:tcPr>
            <w:tcW w:w="3118" w:type="dxa"/>
            <w:gridSpan w:val="2"/>
            <w:tcBorders>
              <w:top w:val="single" w:sz="4" w:space="0" w:color="auto"/>
              <w:left w:val="single" w:sz="4" w:space="0" w:color="auto"/>
              <w:bottom w:val="single" w:sz="4" w:space="0" w:color="auto"/>
              <w:right w:val="single" w:sz="4" w:space="0" w:color="auto"/>
            </w:tcBorders>
            <w:shd w:val="clear" w:color="auto" w:fill="EEECE1" w:themeFill="background2"/>
            <w:hideMark/>
          </w:tcPr>
          <w:p w14:paraId="3D16EBD4" w14:textId="77777777" w:rsidR="001D49D4" w:rsidRPr="001D49D4" w:rsidRDefault="001D49D4" w:rsidP="0004348D">
            <w:pPr>
              <w:spacing w:before="360" w:after="240" w:line="276" w:lineRule="auto"/>
              <w:jc w:val="center"/>
              <w:rPr>
                <w:rFonts w:ascii="Arial" w:hAnsi="Arial"/>
                <w:b/>
                <w:bCs/>
                <w:sz w:val="16"/>
                <w:szCs w:val="16"/>
                <w:u w:val="single"/>
                <w:rtl/>
              </w:rPr>
            </w:pPr>
            <w:r w:rsidRPr="001D49D4">
              <w:rPr>
                <w:rFonts w:ascii="Arial" w:hAnsi="Arial"/>
                <w:b/>
                <w:bCs/>
                <w:sz w:val="16"/>
                <w:szCs w:val="16"/>
                <w:u w:val="single"/>
                <w:rtl/>
              </w:rPr>
              <w:t>סע' יא</w:t>
            </w:r>
          </w:p>
          <w:p w14:paraId="3361F218" w14:textId="77777777" w:rsidR="001D49D4" w:rsidRPr="001D49D4" w:rsidRDefault="001D49D4" w:rsidP="0004348D">
            <w:pPr>
              <w:spacing w:before="360" w:after="240" w:line="276" w:lineRule="auto"/>
              <w:jc w:val="center"/>
              <w:rPr>
                <w:rFonts w:ascii="Arial" w:hAnsi="Arial"/>
                <w:b/>
                <w:bCs/>
                <w:sz w:val="16"/>
                <w:szCs w:val="16"/>
                <w:rtl/>
              </w:rPr>
            </w:pPr>
            <w:r w:rsidRPr="001D49D4">
              <w:rPr>
                <w:rFonts w:ascii="Arial" w:hAnsi="Arial"/>
                <w:b/>
                <w:bCs/>
                <w:rtl/>
              </w:rPr>
              <w:t xml:space="preserve">סלעין דאינון </w:t>
            </w:r>
            <w:r w:rsidRPr="001D49D4">
              <w:rPr>
                <w:rFonts w:ascii="Arial" w:hAnsi="Arial"/>
                <w:b/>
                <w:bCs/>
                <w:sz w:val="14"/>
                <w:szCs w:val="14"/>
                <w:rtl/>
              </w:rPr>
              <w:t xml:space="preserve">(ולא מפורש הסכום </w:t>
            </w:r>
            <w:r w:rsidRPr="001D49D4">
              <w:rPr>
                <w:rFonts w:ascii="Arial" w:hAnsi="Arial"/>
                <w:b/>
                <w:bCs/>
                <w:sz w:val="14"/>
                <w:szCs w:val="14"/>
                <w:u w:val="single"/>
                <w:rtl/>
              </w:rPr>
              <w:t>ויש</w:t>
            </w:r>
            <w:r w:rsidRPr="001D49D4">
              <w:rPr>
                <w:rFonts w:ascii="Arial" w:hAnsi="Arial"/>
                <w:b/>
                <w:bCs/>
                <w:sz w:val="14"/>
                <w:szCs w:val="14"/>
                <w:rtl/>
              </w:rPr>
              <w:t xml:space="preserve"> מחק)</w:t>
            </w:r>
          </w:p>
        </w:tc>
        <w:tc>
          <w:tcPr>
            <w:tcW w:w="3119" w:type="dxa"/>
            <w:gridSpan w:val="2"/>
            <w:tcBorders>
              <w:top w:val="single" w:sz="4" w:space="0" w:color="auto"/>
              <w:left w:val="single" w:sz="4" w:space="0" w:color="auto"/>
              <w:bottom w:val="single" w:sz="4" w:space="0" w:color="auto"/>
              <w:right w:val="single" w:sz="4" w:space="0" w:color="auto"/>
            </w:tcBorders>
            <w:shd w:val="clear" w:color="auto" w:fill="EEECE1" w:themeFill="background2"/>
            <w:hideMark/>
          </w:tcPr>
          <w:p w14:paraId="4F914089" w14:textId="77777777" w:rsidR="001D49D4" w:rsidRPr="001D49D4" w:rsidRDefault="001D49D4" w:rsidP="0004348D">
            <w:pPr>
              <w:spacing w:before="360" w:after="240" w:line="276" w:lineRule="auto"/>
              <w:jc w:val="center"/>
              <w:rPr>
                <w:rFonts w:ascii="Arial" w:hAnsi="Arial"/>
                <w:b/>
                <w:bCs/>
                <w:sz w:val="16"/>
                <w:szCs w:val="16"/>
                <w:u w:val="single"/>
                <w:rtl/>
              </w:rPr>
            </w:pPr>
            <w:r w:rsidRPr="001D49D4">
              <w:rPr>
                <w:rFonts w:ascii="Arial" w:hAnsi="Arial"/>
                <w:b/>
                <w:bCs/>
                <w:sz w:val="16"/>
                <w:szCs w:val="16"/>
                <w:u w:val="single"/>
                <w:rtl/>
              </w:rPr>
              <w:t>סע' יב</w:t>
            </w:r>
          </w:p>
          <w:p w14:paraId="12659BFE" w14:textId="77777777" w:rsidR="001D49D4" w:rsidRPr="001D49D4" w:rsidRDefault="001D49D4" w:rsidP="0004348D">
            <w:pPr>
              <w:spacing w:before="360" w:after="240" w:line="276" w:lineRule="auto"/>
              <w:jc w:val="center"/>
              <w:rPr>
                <w:rFonts w:ascii="Arial" w:hAnsi="Arial"/>
                <w:b/>
                <w:bCs/>
                <w:sz w:val="16"/>
                <w:szCs w:val="16"/>
                <w:rtl/>
              </w:rPr>
            </w:pPr>
            <w:r w:rsidRPr="001D49D4">
              <w:rPr>
                <w:rFonts w:ascii="Arial" w:hAnsi="Arial"/>
                <w:b/>
                <w:bCs/>
                <w:rtl/>
              </w:rPr>
              <w:t xml:space="preserve">סלעין דאינון </w:t>
            </w:r>
            <w:r w:rsidRPr="001D49D4">
              <w:rPr>
                <w:rFonts w:ascii="Arial" w:hAnsi="Arial"/>
                <w:b/>
                <w:bCs/>
                <w:sz w:val="14"/>
                <w:szCs w:val="14"/>
                <w:rtl/>
              </w:rPr>
              <w:t xml:space="preserve">(ולא מפורש הסכום </w:t>
            </w:r>
            <w:r w:rsidRPr="001D49D4">
              <w:rPr>
                <w:rFonts w:ascii="Arial" w:hAnsi="Arial"/>
                <w:b/>
                <w:bCs/>
                <w:sz w:val="14"/>
                <w:szCs w:val="14"/>
                <w:u w:val="single"/>
                <w:rtl/>
              </w:rPr>
              <w:t>ואין</w:t>
            </w:r>
            <w:r w:rsidRPr="001D49D4">
              <w:rPr>
                <w:rFonts w:ascii="Arial" w:hAnsi="Arial"/>
                <w:b/>
                <w:bCs/>
                <w:sz w:val="14"/>
                <w:szCs w:val="14"/>
                <w:rtl/>
              </w:rPr>
              <w:t xml:space="preserve"> מחק)</w:t>
            </w:r>
          </w:p>
        </w:tc>
      </w:tr>
      <w:tr w:rsidR="001D49D4" w:rsidRPr="001D49D4" w14:paraId="3055B4B3" w14:textId="77777777" w:rsidTr="001D49D4">
        <w:tc>
          <w:tcPr>
            <w:tcW w:w="1313"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20B39690" w14:textId="77777777" w:rsidR="001D49D4" w:rsidRPr="001D49D4" w:rsidRDefault="001D49D4" w:rsidP="0004348D">
            <w:pPr>
              <w:spacing w:before="360" w:after="240" w:line="276" w:lineRule="auto"/>
              <w:jc w:val="center"/>
              <w:rPr>
                <w:rFonts w:ascii="Arial" w:hAnsi="Arial"/>
                <w:b/>
                <w:bCs/>
                <w:sz w:val="18"/>
                <w:szCs w:val="18"/>
                <w:rtl/>
              </w:rPr>
            </w:pPr>
            <w:r w:rsidRPr="001D49D4">
              <w:rPr>
                <w:rFonts w:ascii="Arial" w:hAnsi="Arial"/>
                <w:b/>
                <w:bCs/>
                <w:sz w:val="18"/>
                <w:szCs w:val="18"/>
                <w:rtl/>
              </w:rPr>
              <w:t>בעדים</w:t>
            </w:r>
          </w:p>
        </w:tc>
        <w:tc>
          <w:tcPr>
            <w:tcW w:w="1381"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24A3C471" w14:textId="77777777" w:rsidR="001D49D4" w:rsidRPr="001D49D4" w:rsidRDefault="001D49D4" w:rsidP="0004348D">
            <w:pPr>
              <w:spacing w:before="360" w:after="240" w:line="276" w:lineRule="auto"/>
              <w:jc w:val="center"/>
              <w:rPr>
                <w:rFonts w:ascii="Arial" w:hAnsi="Arial"/>
                <w:b/>
                <w:bCs/>
                <w:sz w:val="18"/>
                <w:szCs w:val="18"/>
                <w:rtl/>
              </w:rPr>
            </w:pPr>
            <w:r w:rsidRPr="001D49D4">
              <w:rPr>
                <w:rFonts w:ascii="Arial" w:hAnsi="Arial"/>
                <w:b/>
                <w:bCs/>
                <w:sz w:val="18"/>
                <w:szCs w:val="18"/>
                <w:rtl/>
              </w:rPr>
              <w:t>שלא בעדים</w:t>
            </w:r>
          </w:p>
        </w:tc>
        <w:tc>
          <w:tcPr>
            <w:tcW w:w="1559"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39B3EA62" w14:textId="77777777" w:rsidR="001D49D4" w:rsidRPr="001D49D4" w:rsidRDefault="001D49D4" w:rsidP="0004348D">
            <w:pPr>
              <w:spacing w:before="360" w:after="240" w:line="276" w:lineRule="auto"/>
              <w:jc w:val="center"/>
              <w:rPr>
                <w:rFonts w:ascii="Arial" w:hAnsi="Arial"/>
                <w:b/>
                <w:bCs/>
                <w:sz w:val="18"/>
                <w:szCs w:val="18"/>
                <w:rtl/>
              </w:rPr>
            </w:pPr>
            <w:r w:rsidRPr="001D49D4">
              <w:rPr>
                <w:rFonts w:ascii="Arial" w:hAnsi="Arial"/>
                <w:b/>
                <w:bCs/>
                <w:sz w:val="18"/>
                <w:szCs w:val="18"/>
                <w:rtl/>
              </w:rPr>
              <w:t>בעדים</w:t>
            </w:r>
          </w:p>
        </w:tc>
        <w:tc>
          <w:tcPr>
            <w:tcW w:w="1559"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46338872" w14:textId="77777777" w:rsidR="001D49D4" w:rsidRPr="001D49D4" w:rsidRDefault="001D49D4" w:rsidP="0004348D">
            <w:pPr>
              <w:spacing w:before="360" w:after="240" w:line="276" w:lineRule="auto"/>
              <w:jc w:val="center"/>
              <w:rPr>
                <w:rFonts w:ascii="Arial" w:hAnsi="Arial"/>
                <w:b/>
                <w:bCs/>
                <w:sz w:val="18"/>
                <w:szCs w:val="18"/>
                <w:rtl/>
              </w:rPr>
            </w:pPr>
            <w:r w:rsidRPr="001D49D4">
              <w:rPr>
                <w:rFonts w:ascii="Arial" w:hAnsi="Arial"/>
                <w:b/>
                <w:bCs/>
                <w:sz w:val="18"/>
                <w:szCs w:val="18"/>
                <w:rtl/>
              </w:rPr>
              <w:t>שלא בעדים</w:t>
            </w:r>
          </w:p>
        </w:tc>
        <w:tc>
          <w:tcPr>
            <w:tcW w:w="1559"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420644E5" w14:textId="77777777" w:rsidR="001D49D4" w:rsidRPr="001D49D4" w:rsidRDefault="001D49D4" w:rsidP="0004348D">
            <w:pPr>
              <w:spacing w:before="360" w:after="240" w:line="276" w:lineRule="auto"/>
              <w:jc w:val="center"/>
              <w:rPr>
                <w:rFonts w:ascii="Arial" w:hAnsi="Arial"/>
                <w:b/>
                <w:bCs/>
                <w:sz w:val="18"/>
                <w:szCs w:val="18"/>
                <w:rtl/>
              </w:rPr>
            </w:pPr>
            <w:r w:rsidRPr="001D49D4">
              <w:rPr>
                <w:rFonts w:ascii="Arial" w:hAnsi="Arial"/>
                <w:b/>
                <w:bCs/>
                <w:sz w:val="18"/>
                <w:szCs w:val="18"/>
                <w:rtl/>
              </w:rPr>
              <w:t>בעדים</w:t>
            </w:r>
          </w:p>
        </w:tc>
        <w:tc>
          <w:tcPr>
            <w:tcW w:w="1560"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058DE9F9" w14:textId="77777777" w:rsidR="001D49D4" w:rsidRPr="001D49D4" w:rsidRDefault="001D49D4" w:rsidP="0004348D">
            <w:pPr>
              <w:spacing w:before="360" w:after="240" w:line="276" w:lineRule="auto"/>
              <w:jc w:val="center"/>
              <w:rPr>
                <w:rFonts w:ascii="Arial" w:hAnsi="Arial"/>
                <w:b/>
                <w:bCs/>
                <w:sz w:val="18"/>
                <w:szCs w:val="18"/>
                <w:rtl/>
              </w:rPr>
            </w:pPr>
            <w:r w:rsidRPr="001D49D4">
              <w:rPr>
                <w:rFonts w:ascii="Arial" w:hAnsi="Arial"/>
                <w:b/>
                <w:bCs/>
                <w:sz w:val="18"/>
                <w:szCs w:val="18"/>
                <w:rtl/>
              </w:rPr>
              <w:t>שלא בעדים</w:t>
            </w:r>
          </w:p>
        </w:tc>
      </w:tr>
      <w:tr w:rsidR="001D49D4" w:rsidRPr="001D49D4" w14:paraId="31578FD6" w14:textId="77777777" w:rsidTr="001D49D4">
        <w:tc>
          <w:tcPr>
            <w:tcW w:w="2694" w:type="dxa"/>
            <w:gridSpan w:val="2"/>
            <w:tcBorders>
              <w:top w:val="single" w:sz="4" w:space="0" w:color="auto"/>
              <w:left w:val="single" w:sz="4" w:space="0" w:color="auto"/>
              <w:bottom w:val="single" w:sz="4" w:space="0" w:color="auto"/>
              <w:right w:val="single" w:sz="4" w:space="0" w:color="auto"/>
            </w:tcBorders>
            <w:hideMark/>
          </w:tcPr>
          <w:p w14:paraId="6301F631" w14:textId="77777777" w:rsidR="001D49D4" w:rsidRPr="001D49D4" w:rsidRDefault="001D49D4" w:rsidP="0004348D">
            <w:pPr>
              <w:spacing w:before="360" w:after="240" w:line="276" w:lineRule="auto"/>
              <w:jc w:val="center"/>
              <w:rPr>
                <w:rFonts w:ascii="Arial" w:hAnsi="Arial"/>
                <w:rtl/>
              </w:rPr>
            </w:pPr>
            <w:r w:rsidRPr="001D49D4">
              <w:rPr>
                <w:rFonts w:ascii="Arial" w:hAnsi="Arial"/>
                <w:rtl/>
              </w:rPr>
              <w:lastRenderedPageBreak/>
              <w:t>מהני</w:t>
            </w:r>
          </w:p>
        </w:tc>
        <w:tc>
          <w:tcPr>
            <w:tcW w:w="1559" w:type="dxa"/>
            <w:tcBorders>
              <w:top w:val="single" w:sz="4" w:space="0" w:color="auto"/>
              <w:left w:val="single" w:sz="4" w:space="0" w:color="auto"/>
              <w:bottom w:val="single" w:sz="4" w:space="0" w:color="auto"/>
              <w:right w:val="single" w:sz="4" w:space="0" w:color="auto"/>
            </w:tcBorders>
            <w:hideMark/>
          </w:tcPr>
          <w:p w14:paraId="5D4E945C" w14:textId="77777777" w:rsidR="001D49D4" w:rsidRPr="001D49D4" w:rsidRDefault="001D49D4" w:rsidP="0004348D">
            <w:pPr>
              <w:spacing w:before="360" w:after="240" w:line="276" w:lineRule="auto"/>
              <w:jc w:val="center"/>
              <w:rPr>
                <w:rFonts w:ascii="Arial" w:hAnsi="Arial"/>
                <w:sz w:val="16"/>
                <w:szCs w:val="16"/>
                <w:rtl/>
              </w:rPr>
            </w:pPr>
            <w:r w:rsidRPr="001D49D4">
              <w:rPr>
                <w:rFonts w:ascii="Arial" w:hAnsi="Arial"/>
                <w:rtl/>
              </w:rPr>
              <w:t>לא מהני</w:t>
            </w:r>
            <w:r w:rsidRPr="001D49D4">
              <w:rPr>
                <w:rFonts w:ascii="Arial" w:hAnsi="Arial"/>
                <w:vertAlign w:val="superscript"/>
                <w:rtl/>
              </w:rPr>
              <w:footnoteReference w:id="3265"/>
            </w:r>
          </w:p>
        </w:tc>
        <w:tc>
          <w:tcPr>
            <w:tcW w:w="1559" w:type="dxa"/>
            <w:tcBorders>
              <w:top w:val="single" w:sz="4" w:space="0" w:color="auto"/>
              <w:left w:val="single" w:sz="4" w:space="0" w:color="auto"/>
              <w:bottom w:val="single" w:sz="4" w:space="0" w:color="auto"/>
              <w:right w:val="single" w:sz="4" w:space="0" w:color="auto"/>
            </w:tcBorders>
            <w:hideMark/>
          </w:tcPr>
          <w:p w14:paraId="2A9E701B" w14:textId="77777777" w:rsidR="001D49D4" w:rsidRPr="001D49D4" w:rsidRDefault="001D49D4" w:rsidP="0004348D">
            <w:pPr>
              <w:spacing w:before="360" w:after="240" w:line="276" w:lineRule="auto"/>
              <w:jc w:val="center"/>
              <w:rPr>
                <w:rFonts w:ascii="Arial" w:hAnsi="Arial"/>
                <w:rtl/>
              </w:rPr>
            </w:pPr>
            <w:r w:rsidRPr="001D49D4">
              <w:rPr>
                <w:rFonts w:ascii="Arial" w:hAnsi="Arial"/>
                <w:rtl/>
              </w:rPr>
              <w:t>מהני</w:t>
            </w:r>
          </w:p>
        </w:tc>
        <w:tc>
          <w:tcPr>
            <w:tcW w:w="1559" w:type="dxa"/>
            <w:tcBorders>
              <w:top w:val="single" w:sz="4" w:space="0" w:color="auto"/>
              <w:left w:val="single" w:sz="4" w:space="0" w:color="auto"/>
              <w:bottom w:val="single" w:sz="4" w:space="0" w:color="auto"/>
              <w:right w:val="single" w:sz="4" w:space="0" w:color="auto"/>
            </w:tcBorders>
            <w:hideMark/>
          </w:tcPr>
          <w:p w14:paraId="1B3F77C1" w14:textId="77777777" w:rsidR="001D49D4" w:rsidRPr="001D49D4" w:rsidRDefault="001D49D4" w:rsidP="0004348D">
            <w:pPr>
              <w:spacing w:before="360" w:after="240" w:line="276" w:lineRule="auto"/>
              <w:jc w:val="center"/>
              <w:rPr>
                <w:rFonts w:ascii="Arial" w:hAnsi="Arial"/>
                <w:rtl/>
              </w:rPr>
            </w:pPr>
            <w:r w:rsidRPr="001D49D4">
              <w:rPr>
                <w:rFonts w:ascii="Arial" w:hAnsi="Arial"/>
                <w:rtl/>
              </w:rPr>
              <w:t>לא מהני</w:t>
            </w:r>
            <w:r w:rsidRPr="001D49D4">
              <w:rPr>
                <w:rFonts w:ascii="Arial" w:hAnsi="Arial"/>
                <w:vertAlign w:val="superscript"/>
                <w:rtl/>
              </w:rPr>
              <w:footnoteReference w:id="3266"/>
            </w:r>
          </w:p>
        </w:tc>
        <w:tc>
          <w:tcPr>
            <w:tcW w:w="1560" w:type="dxa"/>
            <w:tcBorders>
              <w:top w:val="single" w:sz="4" w:space="0" w:color="auto"/>
              <w:left w:val="single" w:sz="4" w:space="0" w:color="auto"/>
              <w:bottom w:val="single" w:sz="4" w:space="0" w:color="auto"/>
              <w:right w:val="single" w:sz="4" w:space="0" w:color="auto"/>
            </w:tcBorders>
            <w:hideMark/>
          </w:tcPr>
          <w:p w14:paraId="6CE1E693" w14:textId="77777777" w:rsidR="001D49D4" w:rsidRPr="001D49D4" w:rsidRDefault="001D49D4" w:rsidP="0004348D">
            <w:pPr>
              <w:spacing w:before="360" w:after="240" w:line="276" w:lineRule="auto"/>
              <w:jc w:val="center"/>
              <w:rPr>
                <w:rFonts w:ascii="Arial" w:hAnsi="Arial"/>
                <w:rtl/>
              </w:rPr>
            </w:pPr>
            <w:r w:rsidRPr="001D49D4">
              <w:rPr>
                <w:rFonts w:ascii="Arial" w:hAnsi="Arial"/>
                <w:rtl/>
              </w:rPr>
              <w:t>מהני</w:t>
            </w:r>
            <w:r w:rsidRPr="001D49D4">
              <w:rPr>
                <w:rFonts w:ascii="Arial" w:hAnsi="Arial"/>
                <w:vertAlign w:val="superscript"/>
                <w:rtl/>
              </w:rPr>
              <w:footnoteReference w:id="3267"/>
            </w:r>
          </w:p>
        </w:tc>
      </w:tr>
    </w:tbl>
    <w:p w14:paraId="0735D718" w14:textId="77777777" w:rsidR="001D49D4" w:rsidRPr="001D49D4" w:rsidRDefault="001D49D4" w:rsidP="0004348D">
      <w:pPr>
        <w:spacing w:before="360" w:after="240"/>
        <w:rPr>
          <w:rFonts w:ascii="Arial" w:eastAsia="Calibri" w:hAnsi="Arial" w:cs="Arial"/>
          <w:rtl/>
        </w:rPr>
      </w:pPr>
    </w:p>
    <w:p w14:paraId="378958BC" w14:textId="77777777" w:rsidR="001D49D4" w:rsidRPr="001D49D4" w:rsidRDefault="001D49D4" w:rsidP="0004348D">
      <w:pPr>
        <w:spacing w:before="360" w:after="240"/>
        <w:rPr>
          <w:rFonts w:ascii="Arial" w:eastAsia="Calibri" w:hAnsi="Arial" w:cs="Arial"/>
          <w:rtl/>
        </w:rPr>
      </w:pPr>
    </w:p>
    <w:p w14:paraId="2B1DF3CC" w14:textId="77777777" w:rsidR="001D49D4" w:rsidRPr="001D49D4" w:rsidRDefault="001D49D4" w:rsidP="0004348D">
      <w:pPr>
        <w:keepNext/>
        <w:keepLines/>
        <w:spacing w:before="360" w:after="240"/>
        <w:outlineLvl w:val="1"/>
        <w:rPr>
          <w:rFonts w:ascii="Arial" w:eastAsia="Times New Roman" w:hAnsi="Arial" w:cs="Arial"/>
          <w:bCs/>
          <w:color w:val="548DD4" w:themeColor="text2" w:themeTint="99"/>
          <w:sz w:val="26"/>
          <w:szCs w:val="26"/>
          <w:rtl/>
        </w:rPr>
      </w:pPr>
      <w:bookmarkStart w:id="425" w:name="_Toc24883865"/>
      <w:r w:rsidRPr="001D49D4">
        <w:rPr>
          <w:rFonts w:ascii="Arial" w:eastAsia="Times New Roman" w:hAnsi="Arial" w:cs="Arial"/>
          <w:bCs/>
          <w:color w:val="548DD4" w:themeColor="text2" w:themeTint="99"/>
          <w:sz w:val="26"/>
          <w:szCs w:val="26"/>
          <w:rtl/>
        </w:rPr>
        <w:t xml:space="preserve">סעיף יג: פירוש לשונות סתומים </w:t>
      </w:r>
      <w:r w:rsidRPr="001D49D4">
        <w:rPr>
          <w:rFonts w:ascii="Arial" w:eastAsia="Times New Roman" w:hAnsi="Arial" w:cs="Arial"/>
          <w:bCs/>
          <w:color w:val="548DD4" w:themeColor="text2" w:themeTint="99"/>
          <w:sz w:val="20"/>
          <w:szCs w:val="20"/>
          <w:rtl/>
        </w:rPr>
        <w:t>(כסף/דינרי/דינרין/וכו')</w:t>
      </w:r>
      <w:r w:rsidRPr="001D49D4">
        <w:rPr>
          <w:rFonts w:ascii="Arial" w:eastAsia="Times New Roman" w:hAnsi="Arial" w:cs="Arial"/>
          <w:bCs/>
          <w:color w:val="548DD4" w:themeColor="text2" w:themeTint="99"/>
          <w:sz w:val="26"/>
          <w:szCs w:val="26"/>
          <w:rtl/>
        </w:rPr>
        <w:t>:</w:t>
      </w:r>
      <w:bookmarkEnd w:id="425"/>
    </w:p>
    <w:p w14:paraId="371EA83C" w14:textId="77777777" w:rsidR="001D49D4" w:rsidRPr="001D49D4" w:rsidRDefault="001D49D4" w:rsidP="0004348D">
      <w:pPr>
        <w:spacing w:before="360" w:after="240"/>
        <w:rPr>
          <w:rFonts w:ascii="Arial" w:eastAsia="Calibri" w:hAnsi="Arial" w:cs="Arial"/>
          <w:sz w:val="16"/>
          <w:szCs w:val="16"/>
          <w:rtl/>
        </w:rPr>
      </w:pPr>
      <w:r w:rsidRPr="001D49D4">
        <w:rPr>
          <w:rFonts w:ascii="Arial" w:eastAsia="Calibri" w:hAnsi="Arial" w:cs="Arial"/>
          <w:b/>
          <w:bCs/>
          <w:rtl/>
        </w:rPr>
        <w:t>בבא בתרא קסה ע"ב:</w:t>
      </w:r>
      <w:r w:rsidRPr="001D49D4">
        <w:rPr>
          <w:rFonts w:ascii="Arial" w:eastAsia="Calibri" w:hAnsi="Arial" w:cs="Arial"/>
          <w:rtl/>
        </w:rPr>
        <w:t xml:space="preserve"> תנו רבנן: אמר כסף - אין פחות מדינר כסף. כסף דינרין ודינרין כסף - אין פחות משני דינרין כסף. כסף בדינרין</w:t>
      </w:r>
      <w:r w:rsidRPr="001D49D4">
        <w:rPr>
          <w:rFonts w:ascii="Arial" w:eastAsia="Calibri" w:hAnsi="Arial" w:cs="Arial"/>
          <w:vertAlign w:val="superscript"/>
          <w:rtl/>
        </w:rPr>
        <w:footnoteReference w:id="3268"/>
      </w:r>
      <w:r w:rsidRPr="001D49D4">
        <w:rPr>
          <w:rFonts w:ascii="Arial" w:eastAsia="Calibri" w:hAnsi="Arial" w:cs="Arial"/>
          <w:rtl/>
        </w:rPr>
        <w:t xml:space="preserve"> - אין פחות מבשני דינרין דהב כסף. </w:t>
      </w:r>
      <w:r w:rsidRPr="001D49D4">
        <w:rPr>
          <w:rFonts w:ascii="Arial" w:eastAsia="Calibri" w:hAnsi="Arial" w:cs="Arial"/>
          <w:u w:val="single"/>
          <w:rtl/>
        </w:rPr>
        <w:t>אמר מר:</w:t>
      </w:r>
      <w:r w:rsidRPr="001D49D4">
        <w:rPr>
          <w:rFonts w:ascii="Arial" w:eastAsia="Calibri" w:hAnsi="Arial" w:cs="Arial"/>
          <w:rtl/>
        </w:rPr>
        <w:t xml:space="preserve"> כסף - אין פחות מדינר כסף. ואימא: נסכא! </w:t>
      </w:r>
      <w:r w:rsidRPr="001D49D4">
        <w:rPr>
          <w:rFonts w:ascii="Arial" w:eastAsia="Calibri" w:hAnsi="Arial" w:cs="Arial"/>
          <w:u w:val="single"/>
          <w:rtl/>
        </w:rPr>
        <w:t>אמר רבי אלעזר</w:t>
      </w:r>
      <w:r w:rsidRPr="001D49D4">
        <w:rPr>
          <w:rFonts w:ascii="Arial" w:eastAsia="Calibri" w:hAnsi="Arial" w:cs="Arial"/>
          <w:rtl/>
        </w:rPr>
        <w:t xml:space="preserve">: דכתוב ביה מטבע. ואימא: פריטי! </w:t>
      </w:r>
      <w:r w:rsidRPr="001D49D4">
        <w:rPr>
          <w:rFonts w:ascii="Arial" w:eastAsia="Calibri" w:hAnsi="Arial" w:cs="Arial"/>
          <w:u w:val="single"/>
          <w:rtl/>
        </w:rPr>
        <w:t>אמר רב פפא</w:t>
      </w:r>
      <w:r w:rsidRPr="001D49D4">
        <w:rPr>
          <w:rFonts w:ascii="Arial" w:eastAsia="Calibri" w:hAnsi="Arial" w:cs="Arial"/>
          <w:rtl/>
        </w:rPr>
        <w:t xml:space="preserve">: באתרא דלא סגי פריטי דכספא. תנו רבנן: דהב - אין פחות מדינר דהב; דהב דינרין ודינרין דהב - אין פחות משני דינרין דהב; דהב בדינרין - אין פחות מבשני דינרין כסף דהב. </w:t>
      </w:r>
      <w:r w:rsidRPr="001D49D4">
        <w:rPr>
          <w:rFonts w:ascii="Arial" w:eastAsia="Calibri" w:hAnsi="Arial" w:cs="Arial"/>
          <w:u w:val="single"/>
          <w:rtl/>
        </w:rPr>
        <w:t>אמר מר</w:t>
      </w:r>
      <w:r w:rsidRPr="001D49D4">
        <w:rPr>
          <w:rFonts w:ascii="Arial" w:eastAsia="Calibri" w:hAnsi="Arial" w:cs="Arial"/>
          <w:rtl/>
        </w:rPr>
        <w:t xml:space="preserve">: דהב - אין פחות מדינר דהב. אימא: נסכא! </w:t>
      </w:r>
      <w:r w:rsidRPr="001D49D4">
        <w:rPr>
          <w:rFonts w:ascii="Arial" w:eastAsia="Calibri" w:hAnsi="Arial" w:cs="Arial"/>
          <w:u w:val="single"/>
          <w:rtl/>
        </w:rPr>
        <w:t>אמר רבי אלעזר</w:t>
      </w:r>
      <w:r w:rsidRPr="001D49D4">
        <w:rPr>
          <w:rFonts w:ascii="Arial" w:eastAsia="Calibri" w:hAnsi="Arial" w:cs="Arial"/>
          <w:rtl/>
        </w:rPr>
        <w:t>: דכתב מטבע. ואימא: פריטי! פריטי דדהבא לא עבדי אינשי</w:t>
      </w:r>
      <w:r w:rsidRPr="001D49D4">
        <w:rPr>
          <w:rFonts w:ascii="Arial" w:eastAsia="Calibri" w:hAnsi="Arial" w:cs="Arial"/>
          <w:vertAlign w:val="superscript"/>
          <w:rtl/>
        </w:rPr>
        <w:footnoteReference w:id="3269"/>
      </w:r>
      <w:r w:rsidRPr="001D49D4">
        <w:rPr>
          <w:rFonts w:ascii="Arial" w:eastAsia="Calibri" w:hAnsi="Arial" w:cs="Arial"/>
          <w:rtl/>
        </w:rPr>
        <w:t xml:space="preserve">. זהב בדינרין - אין פחות מבשני דינרין כסף זהב. ואימא: דהבא פריכא בתרי דינרי דהבא קאמר! </w:t>
      </w:r>
      <w:r w:rsidRPr="001D49D4">
        <w:rPr>
          <w:rFonts w:ascii="Arial" w:eastAsia="Calibri" w:hAnsi="Arial" w:cs="Arial"/>
          <w:u w:val="single"/>
          <w:rtl/>
        </w:rPr>
        <w:t>אמר אביי:</w:t>
      </w:r>
      <w:r w:rsidRPr="001D49D4">
        <w:rPr>
          <w:rFonts w:ascii="Arial" w:eastAsia="Calibri" w:hAnsi="Arial" w:cs="Arial"/>
          <w:rtl/>
        </w:rPr>
        <w:t xml:space="preserve"> יד בעל השטר על התחתונה. אי הכי רישא נמי</w:t>
      </w:r>
      <w:r w:rsidRPr="001D49D4">
        <w:rPr>
          <w:rFonts w:ascii="Arial" w:eastAsia="Calibri" w:hAnsi="Arial" w:cs="Arial"/>
          <w:vertAlign w:val="superscript"/>
          <w:rtl/>
        </w:rPr>
        <w:footnoteReference w:id="3270"/>
      </w:r>
      <w:r w:rsidRPr="001D49D4">
        <w:rPr>
          <w:rFonts w:ascii="Arial" w:eastAsia="Calibri" w:hAnsi="Arial" w:cs="Arial"/>
          <w:rtl/>
        </w:rPr>
        <w:t xml:space="preserve">! </w:t>
      </w:r>
      <w:r w:rsidRPr="001D49D4">
        <w:rPr>
          <w:rFonts w:ascii="Arial" w:eastAsia="Calibri" w:hAnsi="Arial" w:cs="Arial"/>
          <w:u w:val="single"/>
          <w:rtl/>
        </w:rPr>
        <w:t>א"ר אשי</w:t>
      </w:r>
      <w:r w:rsidRPr="001D49D4">
        <w:rPr>
          <w:rFonts w:ascii="Arial" w:eastAsia="Calibri" w:hAnsi="Arial" w:cs="Arial"/>
          <w:rtl/>
        </w:rPr>
        <w:t>: רישא - דכתב דינרי</w:t>
      </w:r>
      <w:r w:rsidRPr="001D49D4">
        <w:rPr>
          <w:rFonts w:ascii="Arial" w:eastAsia="Calibri" w:hAnsi="Arial" w:cs="Arial"/>
          <w:vertAlign w:val="superscript"/>
          <w:rtl/>
        </w:rPr>
        <w:footnoteReference w:id="3271"/>
      </w:r>
      <w:r w:rsidRPr="001D49D4">
        <w:rPr>
          <w:rFonts w:ascii="Arial" w:eastAsia="Calibri" w:hAnsi="Arial" w:cs="Arial"/>
          <w:rtl/>
        </w:rPr>
        <w:t xml:space="preserve">, סיפא - דכתב דינרין. </w:t>
      </w:r>
      <w:r w:rsidRPr="001D49D4">
        <w:rPr>
          <w:rFonts w:ascii="Arial" w:eastAsia="Calibri" w:hAnsi="Arial" w:cs="Arial"/>
          <w:sz w:val="16"/>
          <w:szCs w:val="16"/>
          <w:rtl/>
        </w:rPr>
        <w:t>(הרמב"ם בסוף הל' מלוה (הי"ז) השמיט הא דמפלגינן בין דינרי לדינרין וגם הרי"ף השמיטו, וכ' הה"מ שהטעם לפי שאין אנו עכשיו מדקדקים בלשון כל כך)</w:t>
      </w:r>
    </w:p>
    <w:tbl>
      <w:tblPr>
        <w:tblStyle w:val="13"/>
        <w:bidiVisual/>
        <w:tblW w:w="0" w:type="auto"/>
        <w:tblInd w:w="-177" w:type="dxa"/>
        <w:tblLook w:val="04A0" w:firstRow="1" w:lastRow="0" w:firstColumn="1" w:lastColumn="0" w:noHBand="0" w:noVBand="1"/>
      </w:tblPr>
      <w:tblGrid>
        <w:gridCol w:w="1942"/>
        <w:gridCol w:w="1662"/>
        <w:gridCol w:w="1931"/>
        <w:gridCol w:w="2094"/>
        <w:gridCol w:w="2186"/>
      </w:tblGrid>
      <w:tr w:rsidR="001D49D4" w:rsidRPr="001D49D4" w14:paraId="70044E4D" w14:textId="77777777" w:rsidTr="001D49D4">
        <w:tc>
          <w:tcPr>
            <w:tcW w:w="10031" w:type="dxa"/>
            <w:gridSpan w:val="5"/>
            <w:tcBorders>
              <w:top w:val="nil"/>
              <w:left w:val="nil"/>
              <w:bottom w:val="single" w:sz="4" w:space="0" w:color="auto"/>
              <w:right w:val="nil"/>
            </w:tcBorders>
            <w:hideMark/>
          </w:tcPr>
          <w:p w14:paraId="2E28D872" w14:textId="77777777" w:rsidR="001D49D4" w:rsidRPr="001D49D4" w:rsidRDefault="001D49D4" w:rsidP="0004348D">
            <w:pPr>
              <w:spacing w:before="360" w:after="240" w:line="276" w:lineRule="auto"/>
              <w:jc w:val="center"/>
              <w:rPr>
                <w:rFonts w:ascii="Arial" w:hAnsi="Arial"/>
                <w:b/>
                <w:bCs/>
                <w:rtl/>
              </w:rPr>
            </w:pPr>
            <w:r w:rsidRPr="001D49D4">
              <w:rPr>
                <w:rFonts w:ascii="Arial" w:hAnsi="Arial"/>
                <w:b/>
                <w:bCs/>
                <w:u w:val="single"/>
                <w:rtl/>
              </w:rPr>
              <w:t>מה ההבדל בין "דינרין" לבין "דינרי", וכן כשצמוד להם "זהב" או "כסף":</w:t>
            </w:r>
          </w:p>
        </w:tc>
      </w:tr>
      <w:tr w:rsidR="001D49D4" w:rsidRPr="001D49D4" w14:paraId="10DA21BC" w14:textId="77777777" w:rsidTr="001D49D4">
        <w:tc>
          <w:tcPr>
            <w:tcW w:w="1985" w:type="dxa"/>
            <w:tcBorders>
              <w:top w:val="single" w:sz="4" w:space="0" w:color="auto"/>
              <w:left w:val="single" w:sz="4" w:space="0" w:color="auto"/>
              <w:bottom w:val="single" w:sz="4" w:space="0" w:color="auto"/>
              <w:right w:val="single" w:sz="4" w:space="0" w:color="auto"/>
              <w:tr2bl w:val="single" w:sz="4" w:space="0" w:color="auto"/>
            </w:tcBorders>
            <w:shd w:val="clear" w:color="auto" w:fill="EEECE1" w:themeFill="background2"/>
          </w:tcPr>
          <w:p w14:paraId="703CC559" w14:textId="77777777" w:rsidR="001D49D4" w:rsidRPr="001D49D4" w:rsidRDefault="001D49D4" w:rsidP="0004348D">
            <w:pPr>
              <w:spacing w:before="360" w:after="240" w:line="276" w:lineRule="auto"/>
              <w:rPr>
                <w:rFonts w:ascii="Arial" w:hAnsi="Arial"/>
                <w:b/>
                <w:bCs/>
                <w:rtl/>
              </w:rPr>
            </w:pPr>
          </w:p>
        </w:tc>
        <w:tc>
          <w:tcPr>
            <w:tcW w:w="1701"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666BDE64" w14:textId="77777777" w:rsidR="001D49D4" w:rsidRPr="001D49D4" w:rsidRDefault="001D49D4" w:rsidP="0004348D">
            <w:pPr>
              <w:spacing w:before="360" w:after="240" w:line="276" w:lineRule="auto"/>
              <w:jc w:val="center"/>
              <w:rPr>
                <w:rFonts w:ascii="Arial" w:hAnsi="Arial"/>
                <w:b/>
                <w:bCs/>
                <w:rtl/>
              </w:rPr>
            </w:pPr>
            <w:r w:rsidRPr="001D49D4">
              <w:rPr>
                <w:rFonts w:ascii="Arial" w:hAnsi="Arial"/>
                <w:b/>
                <w:bCs/>
                <w:rtl/>
              </w:rPr>
              <w:t>דינרין</w:t>
            </w:r>
          </w:p>
        </w:tc>
        <w:tc>
          <w:tcPr>
            <w:tcW w:w="1984"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533F944B" w14:textId="77777777" w:rsidR="001D49D4" w:rsidRPr="001D49D4" w:rsidRDefault="001D49D4" w:rsidP="0004348D">
            <w:pPr>
              <w:spacing w:before="360" w:after="240" w:line="276" w:lineRule="auto"/>
              <w:jc w:val="center"/>
              <w:rPr>
                <w:rFonts w:ascii="Arial" w:hAnsi="Arial"/>
                <w:b/>
                <w:bCs/>
                <w:rtl/>
              </w:rPr>
            </w:pPr>
            <w:r w:rsidRPr="001D49D4">
              <w:rPr>
                <w:rFonts w:ascii="Arial" w:hAnsi="Arial"/>
                <w:b/>
                <w:bCs/>
                <w:rtl/>
              </w:rPr>
              <w:t>דינרי</w:t>
            </w:r>
          </w:p>
        </w:tc>
        <w:tc>
          <w:tcPr>
            <w:tcW w:w="2126"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4928E5A6" w14:textId="77777777" w:rsidR="001D49D4" w:rsidRPr="001D49D4" w:rsidRDefault="001D49D4" w:rsidP="0004348D">
            <w:pPr>
              <w:spacing w:before="360" w:after="240" w:line="276" w:lineRule="auto"/>
              <w:jc w:val="center"/>
              <w:rPr>
                <w:rFonts w:ascii="Arial" w:hAnsi="Arial"/>
                <w:b/>
                <w:bCs/>
                <w:rtl/>
              </w:rPr>
            </w:pPr>
            <w:r w:rsidRPr="001D49D4">
              <w:rPr>
                <w:rFonts w:ascii="Arial" w:hAnsi="Arial"/>
                <w:b/>
                <w:bCs/>
                <w:rtl/>
              </w:rPr>
              <w:t>דינרין כסף/זהב</w:t>
            </w:r>
            <w:r w:rsidRPr="001D49D4">
              <w:rPr>
                <w:rFonts w:ascii="Arial" w:hAnsi="Arial"/>
                <w:b/>
                <w:bCs/>
                <w:vertAlign w:val="superscript"/>
                <w:rtl/>
              </w:rPr>
              <w:footnoteReference w:id="3272"/>
            </w:r>
          </w:p>
        </w:tc>
        <w:tc>
          <w:tcPr>
            <w:tcW w:w="2235"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40FEFA6E" w14:textId="77777777" w:rsidR="001D49D4" w:rsidRPr="001D49D4" w:rsidRDefault="001D49D4" w:rsidP="0004348D">
            <w:pPr>
              <w:spacing w:before="360" w:after="240" w:line="276" w:lineRule="auto"/>
              <w:jc w:val="center"/>
              <w:rPr>
                <w:rFonts w:ascii="Arial" w:hAnsi="Arial"/>
                <w:b/>
                <w:bCs/>
                <w:rtl/>
              </w:rPr>
            </w:pPr>
            <w:r w:rsidRPr="001D49D4">
              <w:rPr>
                <w:rFonts w:ascii="Arial" w:hAnsi="Arial"/>
                <w:b/>
                <w:bCs/>
                <w:rtl/>
              </w:rPr>
              <w:t>דינרי כסף/זהב</w:t>
            </w:r>
          </w:p>
        </w:tc>
      </w:tr>
      <w:tr w:rsidR="001D49D4" w:rsidRPr="001D49D4" w14:paraId="62D90E7B" w14:textId="77777777" w:rsidTr="001D49D4">
        <w:tc>
          <w:tcPr>
            <w:tcW w:w="1985"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1B4CDF9F" w14:textId="77777777" w:rsidR="001D49D4" w:rsidRPr="001D49D4" w:rsidRDefault="001D49D4" w:rsidP="0004348D">
            <w:pPr>
              <w:spacing w:before="360" w:after="240" w:line="276" w:lineRule="auto"/>
              <w:rPr>
                <w:rFonts w:ascii="Arial" w:hAnsi="Arial"/>
                <w:b/>
                <w:bCs/>
                <w:rtl/>
              </w:rPr>
            </w:pPr>
            <w:r w:rsidRPr="001D49D4">
              <w:rPr>
                <w:rFonts w:ascii="Arial" w:hAnsi="Arial"/>
                <w:b/>
                <w:bCs/>
                <w:rtl/>
              </w:rPr>
              <w:t>רשב"ם</w:t>
            </w:r>
          </w:p>
        </w:tc>
        <w:tc>
          <w:tcPr>
            <w:tcW w:w="1701" w:type="dxa"/>
            <w:tcBorders>
              <w:top w:val="single" w:sz="4" w:space="0" w:color="auto"/>
              <w:left w:val="single" w:sz="4" w:space="0" w:color="auto"/>
              <w:bottom w:val="single" w:sz="4" w:space="0" w:color="auto"/>
              <w:right w:val="single" w:sz="4" w:space="0" w:color="auto"/>
            </w:tcBorders>
            <w:hideMark/>
          </w:tcPr>
          <w:p w14:paraId="6F2BA4AF" w14:textId="77777777" w:rsidR="001D49D4" w:rsidRPr="001D49D4" w:rsidRDefault="001D49D4" w:rsidP="0004348D">
            <w:pPr>
              <w:spacing w:before="360" w:after="240" w:line="276" w:lineRule="auto"/>
              <w:jc w:val="center"/>
              <w:rPr>
                <w:rFonts w:ascii="Arial" w:hAnsi="Arial"/>
                <w:rtl/>
              </w:rPr>
            </w:pPr>
            <w:r w:rsidRPr="001D49D4">
              <w:rPr>
                <w:rFonts w:ascii="Arial" w:hAnsi="Arial"/>
                <w:rtl/>
              </w:rPr>
              <w:t>כסף</w:t>
            </w:r>
          </w:p>
        </w:tc>
        <w:tc>
          <w:tcPr>
            <w:tcW w:w="1984" w:type="dxa"/>
            <w:vMerge w:val="restart"/>
            <w:tcBorders>
              <w:top w:val="single" w:sz="4" w:space="0" w:color="auto"/>
              <w:left w:val="single" w:sz="4" w:space="0" w:color="auto"/>
              <w:bottom w:val="single" w:sz="4" w:space="0" w:color="auto"/>
              <w:right w:val="single" w:sz="4" w:space="0" w:color="auto"/>
            </w:tcBorders>
          </w:tcPr>
          <w:p w14:paraId="7859CA2D" w14:textId="77777777" w:rsidR="001D49D4" w:rsidRPr="001D49D4" w:rsidRDefault="001D49D4" w:rsidP="0004348D">
            <w:pPr>
              <w:spacing w:before="360" w:after="240" w:line="276" w:lineRule="auto"/>
              <w:jc w:val="center"/>
              <w:rPr>
                <w:rFonts w:ascii="Arial" w:hAnsi="Arial"/>
                <w:rtl/>
              </w:rPr>
            </w:pPr>
          </w:p>
          <w:p w14:paraId="27AE2340" w14:textId="77777777" w:rsidR="001D49D4" w:rsidRPr="001D49D4" w:rsidRDefault="001D49D4" w:rsidP="0004348D">
            <w:pPr>
              <w:spacing w:before="360" w:after="240" w:line="276" w:lineRule="auto"/>
              <w:jc w:val="center"/>
              <w:rPr>
                <w:rFonts w:ascii="Arial" w:hAnsi="Arial"/>
                <w:rtl/>
              </w:rPr>
            </w:pPr>
          </w:p>
          <w:p w14:paraId="5E8B0E50" w14:textId="77777777" w:rsidR="001D49D4" w:rsidRPr="001D49D4" w:rsidRDefault="001D49D4" w:rsidP="0004348D">
            <w:pPr>
              <w:spacing w:before="360" w:after="240" w:line="276" w:lineRule="auto"/>
              <w:jc w:val="center"/>
              <w:rPr>
                <w:rFonts w:ascii="Arial" w:hAnsi="Arial"/>
                <w:rtl/>
              </w:rPr>
            </w:pPr>
            <w:r w:rsidRPr="001D49D4">
              <w:rPr>
                <w:rFonts w:ascii="Arial" w:hAnsi="Arial"/>
                <w:rtl/>
              </w:rPr>
              <w:t>זהב</w:t>
            </w:r>
          </w:p>
          <w:p w14:paraId="17B0F885" w14:textId="77777777" w:rsidR="001D49D4" w:rsidRPr="001D49D4" w:rsidRDefault="001D49D4" w:rsidP="0004348D">
            <w:pPr>
              <w:spacing w:before="360" w:after="240" w:line="276" w:lineRule="auto"/>
              <w:rPr>
                <w:rFonts w:ascii="Arial" w:hAnsi="Arial"/>
                <w:rtl/>
              </w:rPr>
            </w:pPr>
          </w:p>
          <w:p w14:paraId="7B3AB78A" w14:textId="77777777" w:rsidR="001D49D4" w:rsidRPr="001D49D4" w:rsidRDefault="001D49D4" w:rsidP="0004348D">
            <w:pPr>
              <w:spacing w:before="360" w:after="240" w:line="276" w:lineRule="auto"/>
              <w:jc w:val="center"/>
              <w:rPr>
                <w:rFonts w:ascii="Arial" w:hAnsi="Arial"/>
              </w:rPr>
            </w:pPr>
          </w:p>
        </w:tc>
        <w:tc>
          <w:tcPr>
            <w:tcW w:w="2126" w:type="dxa"/>
            <w:tcBorders>
              <w:top w:val="single" w:sz="4" w:space="0" w:color="auto"/>
              <w:left w:val="single" w:sz="4" w:space="0" w:color="auto"/>
              <w:bottom w:val="single" w:sz="4" w:space="0" w:color="auto"/>
              <w:right w:val="single" w:sz="4" w:space="0" w:color="auto"/>
            </w:tcBorders>
            <w:hideMark/>
          </w:tcPr>
          <w:p w14:paraId="16A0364D" w14:textId="77777777" w:rsidR="001D49D4" w:rsidRPr="001D49D4" w:rsidRDefault="001D49D4" w:rsidP="0004348D">
            <w:pPr>
              <w:spacing w:before="360" w:after="240" w:line="276" w:lineRule="auto"/>
              <w:jc w:val="center"/>
              <w:rPr>
                <w:rFonts w:ascii="Arial" w:hAnsi="Arial"/>
                <w:rtl/>
              </w:rPr>
            </w:pPr>
            <w:r w:rsidRPr="001D49D4">
              <w:rPr>
                <w:rFonts w:ascii="Arial" w:hAnsi="Arial"/>
                <w:rtl/>
              </w:rPr>
              <w:lastRenderedPageBreak/>
              <w:t>כסף</w:t>
            </w:r>
            <w:r w:rsidRPr="001D49D4">
              <w:rPr>
                <w:rFonts w:ascii="Arial" w:hAnsi="Arial"/>
                <w:vertAlign w:val="superscript"/>
                <w:rtl/>
              </w:rPr>
              <w:footnoteReference w:id="3273"/>
            </w:r>
          </w:p>
        </w:tc>
        <w:tc>
          <w:tcPr>
            <w:tcW w:w="2235" w:type="dxa"/>
            <w:tcBorders>
              <w:top w:val="single" w:sz="4" w:space="0" w:color="auto"/>
              <w:left w:val="single" w:sz="4" w:space="0" w:color="auto"/>
              <w:bottom w:val="single" w:sz="4" w:space="0" w:color="auto"/>
              <w:right w:val="single" w:sz="4" w:space="0" w:color="auto"/>
            </w:tcBorders>
            <w:hideMark/>
          </w:tcPr>
          <w:p w14:paraId="1B4FE38B" w14:textId="77777777" w:rsidR="001D49D4" w:rsidRPr="001D49D4" w:rsidRDefault="001D49D4" w:rsidP="0004348D">
            <w:pPr>
              <w:spacing w:before="360" w:after="240" w:line="276" w:lineRule="auto"/>
              <w:jc w:val="center"/>
              <w:rPr>
                <w:rFonts w:ascii="Arial" w:hAnsi="Arial"/>
                <w:rtl/>
              </w:rPr>
            </w:pPr>
            <w:r w:rsidRPr="001D49D4">
              <w:rPr>
                <w:rFonts w:ascii="Arial" w:hAnsi="Arial"/>
                <w:rtl/>
              </w:rPr>
              <w:t>זהב</w:t>
            </w:r>
            <w:r w:rsidRPr="001D49D4">
              <w:rPr>
                <w:rFonts w:ascii="Arial" w:hAnsi="Arial"/>
                <w:vertAlign w:val="superscript"/>
                <w:rtl/>
              </w:rPr>
              <w:footnoteReference w:id="3274"/>
            </w:r>
          </w:p>
        </w:tc>
      </w:tr>
      <w:tr w:rsidR="001D49D4" w:rsidRPr="001D49D4" w14:paraId="770CF1FA" w14:textId="77777777" w:rsidTr="001D49D4">
        <w:tc>
          <w:tcPr>
            <w:tcW w:w="1985"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3C0D6D5C" w14:textId="77777777" w:rsidR="001D49D4" w:rsidRPr="001D49D4" w:rsidRDefault="001D49D4" w:rsidP="0004348D">
            <w:pPr>
              <w:spacing w:before="360" w:after="240" w:line="276" w:lineRule="auto"/>
              <w:rPr>
                <w:rFonts w:ascii="Arial" w:hAnsi="Arial"/>
                <w:b/>
                <w:bCs/>
                <w:sz w:val="16"/>
                <w:szCs w:val="16"/>
                <w:rtl/>
              </w:rPr>
            </w:pPr>
            <w:r w:rsidRPr="001D49D4">
              <w:rPr>
                <w:rFonts w:ascii="Arial" w:hAnsi="Arial"/>
                <w:b/>
                <w:bCs/>
                <w:rtl/>
              </w:rPr>
              <w:lastRenderedPageBreak/>
              <w:t>תוס'</w:t>
            </w:r>
            <w:r w:rsidRPr="001D49D4">
              <w:rPr>
                <w:rFonts w:ascii="Arial" w:hAnsi="Arial"/>
                <w:b/>
                <w:bCs/>
                <w:sz w:val="16"/>
                <w:szCs w:val="16"/>
                <w:rtl/>
              </w:rPr>
              <w:t xml:space="preserve"> </w:t>
            </w:r>
            <w:r w:rsidRPr="001D49D4">
              <w:rPr>
                <w:rFonts w:ascii="Arial" w:hAnsi="Arial"/>
                <w:b/>
                <w:bCs/>
                <w:sz w:val="14"/>
                <w:szCs w:val="14"/>
                <w:rtl/>
              </w:rPr>
              <w:t>(ד"ה אמר רב אשי)</w:t>
            </w:r>
          </w:p>
        </w:tc>
        <w:tc>
          <w:tcPr>
            <w:tcW w:w="1701" w:type="dxa"/>
            <w:vMerge w:val="restart"/>
            <w:tcBorders>
              <w:top w:val="single" w:sz="4" w:space="0" w:color="auto"/>
              <w:left w:val="single" w:sz="4" w:space="0" w:color="auto"/>
              <w:bottom w:val="single" w:sz="4" w:space="0" w:color="auto"/>
              <w:right w:val="single" w:sz="4" w:space="0" w:color="auto"/>
            </w:tcBorders>
          </w:tcPr>
          <w:p w14:paraId="6A2932BE" w14:textId="77777777" w:rsidR="001D49D4" w:rsidRPr="001D49D4" w:rsidRDefault="001D49D4" w:rsidP="0004348D">
            <w:pPr>
              <w:spacing w:before="360" w:after="240" w:line="276" w:lineRule="auto"/>
              <w:jc w:val="center"/>
              <w:rPr>
                <w:rFonts w:ascii="Arial" w:hAnsi="Arial"/>
                <w:rtl/>
              </w:rPr>
            </w:pPr>
          </w:p>
          <w:p w14:paraId="498C9870" w14:textId="77777777" w:rsidR="001D49D4" w:rsidRPr="001D49D4" w:rsidRDefault="001D49D4" w:rsidP="0004348D">
            <w:pPr>
              <w:spacing w:before="360" w:after="240" w:line="276" w:lineRule="auto"/>
              <w:jc w:val="center"/>
              <w:rPr>
                <w:rFonts w:ascii="Arial" w:hAnsi="Arial"/>
                <w:rtl/>
              </w:rPr>
            </w:pPr>
            <w:r w:rsidRPr="001D49D4">
              <w:rPr>
                <w:rFonts w:ascii="Arial" w:hAnsi="Arial"/>
                <w:rtl/>
              </w:rPr>
              <w:t>בין כסף בין זהב</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1C0CC5E" w14:textId="77777777" w:rsidR="001D49D4" w:rsidRPr="001D49D4" w:rsidRDefault="001D49D4" w:rsidP="0004348D">
            <w:pPr>
              <w:spacing w:before="360" w:after="240" w:line="276" w:lineRule="auto"/>
              <w:rPr>
                <w:rFonts w:ascii="Arial" w:hAnsi="Arial"/>
              </w:rPr>
            </w:pPr>
          </w:p>
        </w:tc>
        <w:tc>
          <w:tcPr>
            <w:tcW w:w="2126" w:type="dxa"/>
            <w:vMerge w:val="restart"/>
            <w:tcBorders>
              <w:top w:val="single" w:sz="4" w:space="0" w:color="auto"/>
              <w:left w:val="single" w:sz="4" w:space="0" w:color="auto"/>
              <w:bottom w:val="single" w:sz="4" w:space="0" w:color="auto"/>
              <w:right w:val="single" w:sz="4" w:space="0" w:color="auto"/>
            </w:tcBorders>
          </w:tcPr>
          <w:p w14:paraId="4C6CF728" w14:textId="77777777" w:rsidR="001D49D4" w:rsidRPr="001D49D4" w:rsidRDefault="001D49D4" w:rsidP="0004348D">
            <w:pPr>
              <w:spacing w:before="360" w:after="240" w:line="276" w:lineRule="auto"/>
              <w:jc w:val="center"/>
              <w:rPr>
                <w:rFonts w:ascii="Arial" w:hAnsi="Arial"/>
                <w:rtl/>
              </w:rPr>
            </w:pPr>
          </w:p>
          <w:p w14:paraId="0B529E8A" w14:textId="77777777" w:rsidR="001D49D4" w:rsidRPr="001D49D4" w:rsidRDefault="001D49D4" w:rsidP="0004348D">
            <w:pPr>
              <w:spacing w:before="360" w:after="240" w:line="276" w:lineRule="auto"/>
              <w:jc w:val="center"/>
              <w:rPr>
                <w:rFonts w:ascii="Arial" w:hAnsi="Arial"/>
                <w:rtl/>
              </w:rPr>
            </w:pPr>
            <w:r w:rsidRPr="001D49D4">
              <w:rPr>
                <w:rFonts w:ascii="Arial" w:hAnsi="Arial"/>
                <w:rtl/>
              </w:rPr>
              <w:t>כשצמוד לו כסף - כסף</w:t>
            </w:r>
          </w:p>
          <w:p w14:paraId="7B98C1E9" w14:textId="77777777" w:rsidR="001D49D4" w:rsidRPr="001D49D4" w:rsidRDefault="001D49D4" w:rsidP="0004348D">
            <w:pPr>
              <w:spacing w:before="360" w:after="240" w:line="276" w:lineRule="auto"/>
              <w:jc w:val="center"/>
              <w:rPr>
                <w:rFonts w:ascii="Arial" w:hAnsi="Arial"/>
                <w:rtl/>
              </w:rPr>
            </w:pPr>
            <w:r w:rsidRPr="001D49D4">
              <w:rPr>
                <w:rFonts w:ascii="Arial" w:hAnsi="Arial"/>
                <w:rtl/>
              </w:rPr>
              <w:t>כשצמוד לו זהב - זהב</w:t>
            </w:r>
          </w:p>
        </w:tc>
        <w:tc>
          <w:tcPr>
            <w:tcW w:w="2235" w:type="dxa"/>
            <w:tcBorders>
              <w:top w:val="single" w:sz="4" w:space="0" w:color="auto"/>
              <w:left w:val="single" w:sz="4" w:space="0" w:color="auto"/>
              <w:bottom w:val="single" w:sz="4" w:space="0" w:color="auto"/>
              <w:right w:val="single" w:sz="4" w:space="0" w:color="auto"/>
            </w:tcBorders>
            <w:hideMark/>
          </w:tcPr>
          <w:p w14:paraId="2E54072D" w14:textId="77777777" w:rsidR="001D49D4" w:rsidRPr="001D49D4" w:rsidRDefault="001D49D4" w:rsidP="0004348D">
            <w:pPr>
              <w:spacing w:before="360" w:after="240" w:line="276" w:lineRule="auto"/>
              <w:jc w:val="center"/>
              <w:rPr>
                <w:rFonts w:ascii="Arial" w:hAnsi="Arial"/>
                <w:rtl/>
              </w:rPr>
            </w:pPr>
            <w:r w:rsidRPr="001D49D4">
              <w:rPr>
                <w:rFonts w:ascii="Arial" w:hAnsi="Arial"/>
                <w:rtl/>
              </w:rPr>
              <w:t>תירוץ א'- אינו דיבור</w:t>
            </w:r>
            <w:r w:rsidRPr="001D49D4">
              <w:rPr>
                <w:rFonts w:ascii="Arial" w:hAnsi="Arial"/>
                <w:vertAlign w:val="superscript"/>
                <w:rtl/>
              </w:rPr>
              <w:footnoteReference w:id="3275"/>
            </w:r>
          </w:p>
          <w:p w14:paraId="68A402D1" w14:textId="77777777" w:rsidR="001D49D4" w:rsidRPr="001D49D4" w:rsidRDefault="001D49D4" w:rsidP="0004348D">
            <w:pPr>
              <w:spacing w:before="360" w:after="240" w:line="276" w:lineRule="auto"/>
              <w:jc w:val="center"/>
              <w:rPr>
                <w:rFonts w:ascii="Arial" w:hAnsi="Arial"/>
                <w:rtl/>
              </w:rPr>
            </w:pPr>
            <w:r w:rsidRPr="001D49D4">
              <w:rPr>
                <w:rFonts w:ascii="Arial" w:hAnsi="Arial"/>
                <w:rtl/>
              </w:rPr>
              <w:t>תירוץ ב'- יחלוקו</w:t>
            </w:r>
          </w:p>
        </w:tc>
      </w:tr>
      <w:tr w:rsidR="001D49D4" w:rsidRPr="001D49D4" w14:paraId="7247DFDA" w14:textId="77777777" w:rsidTr="001D49D4">
        <w:tc>
          <w:tcPr>
            <w:tcW w:w="1985"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46ABECCB" w14:textId="77777777" w:rsidR="001D49D4" w:rsidRPr="001D49D4" w:rsidRDefault="001D49D4" w:rsidP="0004348D">
            <w:pPr>
              <w:spacing w:before="360" w:after="240" w:line="276" w:lineRule="auto"/>
              <w:rPr>
                <w:rFonts w:ascii="Arial" w:hAnsi="Arial"/>
                <w:b/>
                <w:bCs/>
                <w:sz w:val="16"/>
                <w:szCs w:val="16"/>
                <w:rtl/>
              </w:rPr>
            </w:pPr>
            <w:r w:rsidRPr="001D49D4">
              <w:rPr>
                <w:rFonts w:ascii="Arial" w:hAnsi="Arial"/>
                <w:b/>
                <w:bCs/>
                <w:rtl/>
              </w:rPr>
              <w:t>סמ"ע</w:t>
            </w:r>
            <w:r w:rsidRPr="001D49D4">
              <w:rPr>
                <w:rFonts w:ascii="Arial" w:hAnsi="Arial"/>
                <w:b/>
                <w:bCs/>
                <w:sz w:val="16"/>
                <w:szCs w:val="16"/>
                <w:rtl/>
              </w:rPr>
              <w:t xml:space="preserve"> </w:t>
            </w:r>
            <w:r w:rsidRPr="001D49D4">
              <w:rPr>
                <w:rFonts w:ascii="Arial" w:hAnsi="Arial"/>
                <w:b/>
                <w:bCs/>
                <w:sz w:val="14"/>
                <w:szCs w:val="14"/>
                <w:rtl/>
              </w:rPr>
              <w:t>(סקל"ה)</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CA81404" w14:textId="77777777" w:rsidR="001D49D4" w:rsidRPr="001D49D4" w:rsidRDefault="001D49D4" w:rsidP="0004348D">
            <w:pPr>
              <w:spacing w:before="360" w:after="240" w:line="276" w:lineRule="auto"/>
              <w:rPr>
                <w:rFonts w:ascii="Arial" w:hAnsi="Ari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714C959" w14:textId="77777777" w:rsidR="001D49D4" w:rsidRPr="001D49D4" w:rsidRDefault="001D49D4" w:rsidP="0004348D">
            <w:pPr>
              <w:spacing w:before="360" w:after="240" w:line="276" w:lineRule="auto"/>
              <w:rPr>
                <w:rFonts w:ascii="Arial" w:hAnsi="Ari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37D4AC1" w14:textId="77777777" w:rsidR="001D49D4" w:rsidRPr="001D49D4" w:rsidRDefault="001D49D4" w:rsidP="0004348D">
            <w:pPr>
              <w:spacing w:before="360" w:after="240" w:line="276" w:lineRule="auto"/>
              <w:rPr>
                <w:rFonts w:ascii="Arial" w:hAnsi="Arial"/>
              </w:rPr>
            </w:pPr>
          </w:p>
        </w:tc>
        <w:tc>
          <w:tcPr>
            <w:tcW w:w="2235" w:type="dxa"/>
            <w:vMerge w:val="restart"/>
            <w:tcBorders>
              <w:top w:val="single" w:sz="4" w:space="0" w:color="auto"/>
              <w:left w:val="single" w:sz="4" w:space="0" w:color="auto"/>
              <w:bottom w:val="single" w:sz="4" w:space="0" w:color="auto"/>
              <w:right w:val="single" w:sz="4" w:space="0" w:color="auto"/>
            </w:tcBorders>
            <w:hideMark/>
          </w:tcPr>
          <w:p w14:paraId="18A9856A" w14:textId="77777777" w:rsidR="001D49D4" w:rsidRPr="001D49D4" w:rsidRDefault="001D49D4" w:rsidP="0004348D">
            <w:pPr>
              <w:spacing w:before="360" w:after="240" w:line="276" w:lineRule="auto"/>
              <w:jc w:val="center"/>
              <w:rPr>
                <w:rFonts w:ascii="Arial" w:hAnsi="Arial"/>
                <w:rtl/>
              </w:rPr>
            </w:pPr>
            <w:r w:rsidRPr="001D49D4">
              <w:rPr>
                <w:rFonts w:ascii="Arial" w:hAnsi="Arial"/>
                <w:rtl/>
              </w:rPr>
              <w:t>כשצמוד לו כסף - כסף</w:t>
            </w:r>
          </w:p>
          <w:p w14:paraId="3A6FE8EF" w14:textId="77777777" w:rsidR="001D49D4" w:rsidRPr="001D49D4" w:rsidRDefault="001D49D4" w:rsidP="0004348D">
            <w:pPr>
              <w:spacing w:before="360" w:after="240" w:line="276" w:lineRule="auto"/>
              <w:jc w:val="center"/>
              <w:rPr>
                <w:rFonts w:ascii="Arial" w:hAnsi="Arial"/>
                <w:rtl/>
              </w:rPr>
            </w:pPr>
            <w:r w:rsidRPr="001D49D4">
              <w:rPr>
                <w:rFonts w:ascii="Arial" w:hAnsi="Arial"/>
                <w:rtl/>
              </w:rPr>
              <w:t>כשצמוד לו זהב - זהב</w:t>
            </w:r>
          </w:p>
        </w:tc>
      </w:tr>
      <w:tr w:rsidR="001D49D4" w:rsidRPr="001D49D4" w14:paraId="0A2B1F3B" w14:textId="77777777" w:rsidTr="001D49D4">
        <w:tc>
          <w:tcPr>
            <w:tcW w:w="1985"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4A63B5E4" w14:textId="77777777" w:rsidR="001D49D4" w:rsidRPr="001D49D4" w:rsidRDefault="001D49D4" w:rsidP="0004348D">
            <w:pPr>
              <w:spacing w:before="360" w:after="240" w:line="276" w:lineRule="auto"/>
              <w:rPr>
                <w:rFonts w:ascii="Arial" w:hAnsi="Arial"/>
                <w:b/>
                <w:bCs/>
                <w:rtl/>
              </w:rPr>
            </w:pPr>
            <w:r w:rsidRPr="001D49D4">
              <w:rPr>
                <w:rFonts w:ascii="Arial" w:hAnsi="Arial"/>
                <w:b/>
                <w:bCs/>
                <w:color w:val="E36C0A" w:themeColor="accent6" w:themeShade="BF"/>
                <w:rtl/>
              </w:rPr>
              <w:t xml:space="preserve">שו"ע </w:t>
            </w:r>
            <w:r w:rsidRPr="001D49D4">
              <w:rPr>
                <w:rFonts w:ascii="Arial" w:hAnsi="Arial"/>
                <w:b/>
                <w:bCs/>
                <w:rtl/>
              </w:rPr>
              <w:t>אורים ונתיבות</w:t>
            </w:r>
          </w:p>
        </w:tc>
        <w:tc>
          <w:tcPr>
            <w:tcW w:w="1701" w:type="dxa"/>
            <w:tcBorders>
              <w:top w:val="single" w:sz="4" w:space="0" w:color="auto"/>
              <w:left w:val="single" w:sz="4" w:space="0" w:color="auto"/>
              <w:bottom w:val="single" w:sz="4" w:space="0" w:color="auto"/>
              <w:right w:val="single" w:sz="4" w:space="0" w:color="auto"/>
            </w:tcBorders>
            <w:hideMark/>
          </w:tcPr>
          <w:p w14:paraId="6E45C3DE" w14:textId="77777777" w:rsidR="001D49D4" w:rsidRPr="001D49D4" w:rsidRDefault="001D49D4" w:rsidP="0004348D">
            <w:pPr>
              <w:spacing w:before="360" w:after="240" w:line="276" w:lineRule="auto"/>
              <w:jc w:val="center"/>
              <w:rPr>
                <w:rFonts w:ascii="Arial" w:hAnsi="Arial"/>
                <w:rtl/>
              </w:rPr>
            </w:pPr>
            <w:r w:rsidRPr="001D49D4">
              <w:rPr>
                <w:rFonts w:ascii="Arial" w:hAnsi="Arial"/>
                <w:rtl/>
              </w:rPr>
              <w:t>כסף</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57805E7" w14:textId="77777777" w:rsidR="001D49D4" w:rsidRPr="001D49D4" w:rsidRDefault="001D49D4" w:rsidP="0004348D">
            <w:pPr>
              <w:spacing w:before="360" w:after="240" w:line="276" w:lineRule="auto"/>
              <w:rPr>
                <w:rFonts w:ascii="Arial" w:hAnsi="Ari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88711E8" w14:textId="77777777" w:rsidR="001D49D4" w:rsidRPr="001D49D4" w:rsidRDefault="001D49D4" w:rsidP="0004348D">
            <w:pPr>
              <w:spacing w:before="360" w:after="240" w:line="276" w:lineRule="auto"/>
              <w:rPr>
                <w:rFonts w:ascii="Arial" w:hAnsi="Aria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0C6EAD1" w14:textId="77777777" w:rsidR="001D49D4" w:rsidRPr="001D49D4" w:rsidRDefault="001D49D4" w:rsidP="0004348D">
            <w:pPr>
              <w:spacing w:before="360" w:after="240" w:line="276" w:lineRule="auto"/>
              <w:rPr>
                <w:rFonts w:ascii="Arial" w:hAnsi="Arial"/>
              </w:rPr>
            </w:pPr>
          </w:p>
        </w:tc>
      </w:tr>
    </w:tbl>
    <w:p w14:paraId="3359E2F7" w14:textId="77777777" w:rsidR="001D49D4" w:rsidRPr="001D49D4" w:rsidRDefault="001D49D4" w:rsidP="0004348D">
      <w:pPr>
        <w:spacing w:before="360" w:after="240"/>
        <w:rPr>
          <w:rFonts w:ascii="Arial" w:eastAsia="Calibri" w:hAnsi="Arial" w:cs="Arial"/>
          <w:rtl/>
        </w:rPr>
      </w:pPr>
    </w:p>
    <w:p w14:paraId="1A64F0FA" w14:textId="77777777" w:rsidR="001D49D4" w:rsidRPr="001D49D4" w:rsidRDefault="001D49D4" w:rsidP="0004348D">
      <w:pPr>
        <w:spacing w:before="360" w:after="240"/>
        <w:jc w:val="both"/>
        <w:rPr>
          <w:rFonts w:ascii="Arial" w:eastAsia="Calibri" w:hAnsi="Arial" w:cs="Arial"/>
          <w:rtl/>
        </w:rPr>
      </w:pPr>
      <w:r w:rsidRPr="001D49D4">
        <w:rPr>
          <w:rFonts w:ascii="Arial" w:eastAsia="Calibri" w:hAnsi="Arial" w:cs="Arial"/>
          <w:b/>
          <w:bCs/>
          <w:sz w:val="32"/>
          <w:szCs w:val="28"/>
          <w:u w:val="single"/>
          <w:rtl/>
        </w:rPr>
        <w:t xml:space="preserve">שו"ע: </w:t>
      </w:r>
    </w:p>
    <w:p w14:paraId="2D7D7918" w14:textId="77777777" w:rsidR="001D49D4" w:rsidRPr="001D49D4" w:rsidRDefault="001D49D4" w:rsidP="0004348D">
      <w:pPr>
        <w:spacing w:before="360" w:after="240"/>
        <w:rPr>
          <w:rFonts w:ascii="Arial" w:eastAsia="Calibri" w:hAnsi="Arial" w:cs="Arial"/>
          <w:rtl/>
        </w:rPr>
      </w:pPr>
      <w:r w:rsidRPr="001D49D4">
        <w:rPr>
          <w:rFonts w:ascii="Arial" w:eastAsia="Calibri" w:hAnsi="Arial" w:cs="Arial"/>
          <w:rtl/>
        </w:rPr>
        <w:t>כתוב בשטר: פלוני לוה מפלוני כסף, נותן לו חתיכה של כסף כל דהו פחות שבמשקלות</w:t>
      </w:r>
      <w:r w:rsidRPr="001D49D4">
        <w:rPr>
          <w:rFonts w:ascii="Arial" w:eastAsia="Calibri" w:hAnsi="Arial" w:cs="Arial"/>
          <w:vertAlign w:val="superscript"/>
          <w:rtl/>
        </w:rPr>
        <w:footnoteReference w:id="3276"/>
      </w:r>
      <w:r w:rsidRPr="001D49D4">
        <w:rPr>
          <w:rFonts w:ascii="Arial" w:eastAsia="Calibri" w:hAnsi="Arial" w:cs="Arial"/>
          <w:rtl/>
        </w:rPr>
        <w:t>. כתוב בו: מטבע של כסף, אם פרוטות של כסף יוצאות באותו מקום נותן לו פרוטה, ואם אין פרוטות של כסף יוצאות בו נותן לו מטבע של כסף  הקטן שיוצא שם</w:t>
      </w:r>
      <w:r w:rsidRPr="001D49D4">
        <w:rPr>
          <w:rFonts w:ascii="Arial" w:eastAsia="Calibri" w:hAnsi="Arial" w:cs="Arial"/>
          <w:vertAlign w:val="superscript"/>
          <w:rtl/>
        </w:rPr>
        <w:footnoteReference w:id="3277"/>
      </w:r>
      <w:r w:rsidRPr="001D49D4">
        <w:rPr>
          <w:rFonts w:ascii="Arial" w:eastAsia="Calibri" w:hAnsi="Arial" w:cs="Arial"/>
          <w:rtl/>
        </w:rPr>
        <w:t>. ואם כתוב בו: דינרי כסף, או: כסף דינרין</w:t>
      </w:r>
      <w:r w:rsidRPr="001D49D4">
        <w:rPr>
          <w:rFonts w:ascii="Arial" w:eastAsia="Calibri" w:hAnsi="Arial" w:cs="Arial"/>
          <w:vertAlign w:val="superscript"/>
          <w:rtl/>
        </w:rPr>
        <w:footnoteReference w:id="3278"/>
      </w:r>
      <w:r w:rsidRPr="001D49D4">
        <w:rPr>
          <w:rFonts w:ascii="Arial" w:eastAsia="Calibri" w:hAnsi="Arial" w:cs="Arial"/>
          <w:rtl/>
        </w:rPr>
        <w:t>, נותן לו ב' דינרין של כסף. ואם כתוב בו: כסף בדינרי, נותן לו כסף ששוה שני דינרין של זהב</w:t>
      </w:r>
      <w:r w:rsidRPr="001D49D4">
        <w:rPr>
          <w:rFonts w:ascii="Arial" w:eastAsia="Calibri" w:hAnsi="Arial" w:cs="Arial"/>
          <w:vertAlign w:val="superscript"/>
          <w:rtl/>
        </w:rPr>
        <w:footnoteReference w:id="3279"/>
      </w:r>
      <w:r w:rsidRPr="001D49D4">
        <w:rPr>
          <w:rFonts w:ascii="Arial" w:eastAsia="Calibri" w:hAnsi="Arial" w:cs="Arial"/>
          <w:rtl/>
        </w:rPr>
        <w:t>. ואם כתוב בו: זהב דינרי, נותן לו דהבא פריכא שוה שני דינרי זהב. ואם כתוב בו: כסף בדינרים, נותן לו שברי כסף ששוה שני דינרין של כסף. ואם כתוב בו: זהב, נותן לו חתיכה של זהב פחות שבמשקלות. ואם כתוב בו: מטבע של זהב, נותן לו מטבע קטן היוצא של זהב. כתוב בו: זהב דינרים, או: דינרי</w:t>
      </w:r>
      <w:r w:rsidRPr="001D49D4">
        <w:rPr>
          <w:rFonts w:ascii="Arial" w:eastAsia="Calibri" w:hAnsi="Arial" w:cs="Arial"/>
          <w:vertAlign w:val="superscript"/>
          <w:rtl/>
        </w:rPr>
        <w:footnoteReference w:id="3280"/>
      </w:r>
      <w:r w:rsidRPr="001D49D4">
        <w:rPr>
          <w:rFonts w:ascii="Arial" w:eastAsia="Calibri" w:hAnsi="Arial" w:cs="Arial"/>
          <w:rtl/>
        </w:rPr>
        <w:t xml:space="preserve"> זהב, נותן לו שני דינרי זהב. ואם כתוב בו: זהב בדינרים, נותן לו זהב שוה שני דינרין של כסף. </w:t>
      </w:r>
      <w:r w:rsidRPr="001D49D4">
        <w:rPr>
          <w:rFonts w:ascii="Arial" w:eastAsia="Calibri" w:hAnsi="Arial" w:cs="Arial"/>
          <w:sz w:val="18"/>
          <w:szCs w:val="18"/>
          <w:vertAlign w:val="superscript"/>
          <w:rtl/>
        </w:rPr>
        <w:footnoteReference w:id="3281"/>
      </w:r>
      <w:r w:rsidRPr="001D49D4">
        <w:rPr>
          <w:rFonts w:ascii="Arial" w:eastAsia="Calibri" w:hAnsi="Arial" w:cs="Arial"/>
          <w:sz w:val="18"/>
          <w:szCs w:val="18"/>
          <w:rtl/>
        </w:rPr>
        <w:t>ועכשיו בזמן הזה אין חילוק בין אמר ליה דינרין לדינרי (הה"מ סוף הל' מלוה), ונראה לי דנותן לו הפחות.</w:t>
      </w:r>
      <w:r w:rsidRPr="001D49D4">
        <w:rPr>
          <w:rFonts w:ascii="Arial" w:eastAsia="Calibri" w:hAnsi="Arial" w:cs="Arial"/>
          <w:rtl/>
        </w:rPr>
        <w:t xml:space="preserve"> </w:t>
      </w:r>
    </w:p>
    <w:p w14:paraId="419B5221" w14:textId="77777777" w:rsidR="001D49D4" w:rsidRPr="001D49D4" w:rsidRDefault="001D49D4" w:rsidP="0004348D">
      <w:pPr>
        <w:spacing w:before="360" w:after="240"/>
        <w:rPr>
          <w:rFonts w:ascii="Arial" w:eastAsia="Calibri" w:hAnsi="Arial" w:cs="Arial"/>
          <w:rtl/>
        </w:rPr>
      </w:pPr>
    </w:p>
    <w:p w14:paraId="7EAA8F9B" w14:textId="77777777" w:rsidR="001D49D4" w:rsidRPr="001D49D4" w:rsidRDefault="001D49D4" w:rsidP="0004348D">
      <w:pPr>
        <w:keepNext/>
        <w:keepLines/>
        <w:spacing w:before="360" w:after="240"/>
        <w:outlineLvl w:val="1"/>
        <w:rPr>
          <w:rFonts w:ascii="Arial" w:eastAsia="Times New Roman" w:hAnsi="Arial" w:cs="Arial"/>
          <w:bCs/>
          <w:color w:val="548DD4" w:themeColor="text2" w:themeTint="99"/>
          <w:sz w:val="26"/>
          <w:szCs w:val="26"/>
          <w:rtl/>
        </w:rPr>
      </w:pPr>
      <w:bookmarkStart w:id="426" w:name="_Toc24883866"/>
      <w:r w:rsidRPr="001D49D4">
        <w:rPr>
          <w:rFonts w:ascii="Arial" w:eastAsia="Times New Roman" w:hAnsi="Arial" w:cs="Arial"/>
          <w:bCs/>
          <w:color w:val="548DD4" w:themeColor="text2" w:themeTint="99"/>
          <w:sz w:val="26"/>
          <w:szCs w:val="26"/>
          <w:rtl/>
        </w:rPr>
        <w:lastRenderedPageBreak/>
        <w:t>סעיף יד: כתוב "סלע" ולא פורש איזה, כתוב סכום ולא פורש מאיזה מטבע.</w:t>
      </w:r>
      <w:bookmarkEnd w:id="426"/>
    </w:p>
    <w:p w14:paraId="7054226B" w14:textId="77777777" w:rsidR="001D49D4" w:rsidRPr="001D49D4" w:rsidRDefault="001D49D4" w:rsidP="0004348D">
      <w:pPr>
        <w:spacing w:before="360" w:after="240"/>
        <w:rPr>
          <w:rFonts w:ascii="Arial" w:eastAsia="Calibri" w:hAnsi="Arial" w:cs="Arial"/>
          <w:rtl/>
        </w:rPr>
      </w:pPr>
      <w:r w:rsidRPr="001D49D4">
        <w:rPr>
          <w:rFonts w:ascii="Arial" w:eastAsia="Calibri" w:hAnsi="Arial" w:cs="Arial"/>
          <w:b/>
          <w:bCs/>
          <w:rtl/>
        </w:rPr>
        <w:t xml:space="preserve">כתובות קי ע"ב: </w:t>
      </w:r>
      <w:r w:rsidRPr="001D49D4">
        <w:rPr>
          <w:rFonts w:ascii="Arial" w:eastAsia="Calibri" w:hAnsi="Arial" w:cs="Arial"/>
          <w:rtl/>
        </w:rPr>
        <w:t>תנו רבנן: המוציא שטר חוב על חבירו</w:t>
      </w:r>
      <w:r w:rsidRPr="001D49D4">
        <w:rPr>
          <w:rFonts w:ascii="Arial" w:eastAsia="Calibri" w:hAnsi="Arial" w:cs="Arial"/>
          <w:vertAlign w:val="superscript"/>
          <w:rtl/>
        </w:rPr>
        <w:footnoteReference w:id="3282"/>
      </w:r>
      <w:r w:rsidRPr="001D49D4">
        <w:rPr>
          <w:rFonts w:ascii="Arial" w:eastAsia="Calibri" w:hAnsi="Arial" w:cs="Arial"/>
          <w:rtl/>
        </w:rPr>
        <w:t>, כתוב בו בבל - מגבהו ממעות בבל</w:t>
      </w:r>
      <w:r w:rsidRPr="001D49D4">
        <w:rPr>
          <w:rFonts w:ascii="Arial" w:eastAsia="Calibri" w:hAnsi="Arial" w:cs="Arial"/>
          <w:vertAlign w:val="superscript"/>
          <w:rtl/>
        </w:rPr>
        <w:footnoteReference w:id="3283"/>
      </w:r>
      <w:r w:rsidRPr="001D49D4">
        <w:rPr>
          <w:rFonts w:ascii="Arial" w:eastAsia="Calibri" w:hAnsi="Arial" w:cs="Arial"/>
          <w:rtl/>
        </w:rPr>
        <w:t>, כתוב בו ארץ ישראל - מגבהו ממעות ארץ ישראל; כתוב בו סתם</w:t>
      </w:r>
      <w:r w:rsidRPr="001D49D4">
        <w:rPr>
          <w:rFonts w:ascii="Arial" w:eastAsia="Calibri" w:hAnsi="Arial" w:cs="Arial"/>
          <w:vertAlign w:val="superscript"/>
          <w:rtl/>
        </w:rPr>
        <w:footnoteReference w:id="3284"/>
      </w:r>
      <w:r w:rsidRPr="001D49D4">
        <w:rPr>
          <w:rFonts w:ascii="Arial" w:eastAsia="Calibri" w:hAnsi="Arial" w:cs="Arial"/>
          <w:rtl/>
        </w:rPr>
        <w:t>, הוציאו בבבל - מגבהו ממעות בבל</w:t>
      </w:r>
      <w:r w:rsidRPr="001D49D4">
        <w:rPr>
          <w:rFonts w:ascii="Arial" w:eastAsia="Calibri" w:hAnsi="Arial" w:cs="Arial"/>
          <w:vertAlign w:val="superscript"/>
          <w:rtl/>
        </w:rPr>
        <w:footnoteReference w:id="3285"/>
      </w:r>
      <w:r w:rsidRPr="001D49D4">
        <w:rPr>
          <w:rFonts w:ascii="Arial" w:eastAsia="Calibri" w:hAnsi="Arial" w:cs="Arial"/>
          <w:rtl/>
        </w:rPr>
        <w:t>, הוציאו בארץ ישראל - מגבהו ממעות ארץ ישראל; כתוב בו כסף סתם</w:t>
      </w:r>
      <w:r w:rsidRPr="001D49D4">
        <w:rPr>
          <w:rFonts w:ascii="Arial" w:eastAsia="Calibri" w:hAnsi="Arial" w:cs="Arial"/>
          <w:vertAlign w:val="superscript"/>
          <w:rtl/>
        </w:rPr>
        <w:footnoteReference w:id="3286"/>
      </w:r>
      <w:r w:rsidRPr="001D49D4">
        <w:rPr>
          <w:rFonts w:ascii="Arial" w:eastAsia="Calibri" w:hAnsi="Arial" w:cs="Arial"/>
          <w:rtl/>
        </w:rPr>
        <w:t xml:space="preserve"> - מה שירצה לוה מגבהו</w:t>
      </w:r>
      <w:r w:rsidRPr="001D49D4">
        <w:rPr>
          <w:rFonts w:ascii="Arial" w:eastAsia="Calibri" w:hAnsi="Arial" w:cs="Arial"/>
          <w:vertAlign w:val="superscript"/>
          <w:rtl/>
        </w:rPr>
        <w:footnoteReference w:id="3287"/>
      </w:r>
      <w:r w:rsidRPr="001D49D4">
        <w:rPr>
          <w:rFonts w:ascii="Arial" w:eastAsia="Calibri" w:hAnsi="Arial" w:cs="Arial"/>
          <w:rtl/>
        </w:rPr>
        <w:t>.</w:t>
      </w:r>
    </w:p>
    <w:p w14:paraId="66B95F7A" w14:textId="77777777" w:rsidR="001D49D4" w:rsidRPr="001D49D4" w:rsidRDefault="001D49D4" w:rsidP="0004348D">
      <w:pPr>
        <w:spacing w:before="360" w:after="240"/>
        <w:rPr>
          <w:rFonts w:ascii="Arial" w:eastAsia="Calibri" w:hAnsi="Arial" w:cs="Arial"/>
          <w:u w:val="single"/>
          <w:rtl/>
        </w:rPr>
      </w:pPr>
      <w:r w:rsidRPr="001D49D4">
        <w:rPr>
          <w:rFonts w:ascii="Arial" w:eastAsia="Calibri" w:hAnsi="Arial" w:cs="Arial"/>
          <w:u w:val="single"/>
          <w:rtl/>
        </w:rPr>
        <w:t>לא פירש בשטר מטבע של איזה מקום ולא מקום כתיבת השטר, והלוה טוען שחייב מטבע שפחותה מהיוצאת שם</w:t>
      </w:r>
      <w:r w:rsidRPr="001D49D4">
        <w:rPr>
          <w:rFonts w:ascii="Arial" w:eastAsia="Calibri" w:hAnsi="Arial" w:cs="Arial"/>
          <w:u w:val="single"/>
          <w:vertAlign w:val="superscript"/>
          <w:rtl/>
        </w:rPr>
        <w:footnoteReference w:id="3288"/>
      </w:r>
      <w:r w:rsidRPr="001D49D4">
        <w:rPr>
          <w:rFonts w:ascii="Arial" w:eastAsia="Calibri" w:hAnsi="Arial" w:cs="Arial"/>
          <w:u w:val="single"/>
          <w:rtl/>
        </w:rPr>
        <w:t>:</w:t>
      </w:r>
    </w:p>
    <w:p w14:paraId="7090A7DB" w14:textId="77777777" w:rsidR="001D49D4" w:rsidRPr="001D49D4" w:rsidRDefault="001D49D4" w:rsidP="0004348D">
      <w:pPr>
        <w:numPr>
          <w:ilvl w:val="0"/>
          <w:numId w:val="231"/>
        </w:numPr>
        <w:spacing w:before="360" w:after="240"/>
        <w:contextualSpacing/>
        <w:rPr>
          <w:rFonts w:ascii="Arial" w:hAnsi="Arial"/>
          <w:rtl/>
        </w:rPr>
      </w:pPr>
      <w:r w:rsidRPr="001D49D4">
        <w:rPr>
          <w:rFonts w:ascii="Arial" w:hAnsi="Arial"/>
          <w:rtl/>
        </w:rPr>
        <w:t xml:space="preserve">רמב"ם </w:t>
      </w:r>
      <w:r w:rsidRPr="001D49D4">
        <w:rPr>
          <w:rFonts w:ascii="Arial" w:hAnsi="Arial"/>
          <w:sz w:val="16"/>
          <w:szCs w:val="16"/>
          <w:rtl/>
        </w:rPr>
        <w:t>(פי"ז ה"ט)</w:t>
      </w:r>
      <w:r w:rsidRPr="001D49D4">
        <w:rPr>
          <w:rFonts w:ascii="Arial" w:hAnsi="Arial"/>
          <w:rtl/>
        </w:rPr>
        <w:t xml:space="preserve"> וטור- "בא לגבות ממעות המקום שיצא בו השטר וטען הלוה שהמעות שאני חייב לו מכסף שהוא פחות מזה המטבע- ישבע המלוה ויטול</w:t>
      </w:r>
      <w:r w:rsidRPr="001D49D4">
        <w:rPr>
          <w:rFonts w:ascii="Arial" w:hAnsi="Arial"/>
          <w:vertAlign w:val="superscript"/>
          <w:rtl/>
        </w:rPr>
        <w:footnoteReference w:id="3289"/>
      </w:r>
      <w:r w:rsidRPr="001D49D4">
        <w:rPr>
          <w:rFonts w:ascii="Arial" w:hAnsi="Arial"/>
          <w:rtl/>
        </w:rPr>
        <w:t xml:space="preserve">". </w:t>
      </w:r>
      <w:r w:rsidRPr="001D49D4">
        <w:rPr>
          <w:rFonts w:ascii="Arial" w:hAnsi="Arial"/>
          <w:color w:val="E36C0A" w:themeColor="accent6" w:themeShade="BF"/>
          <w:rtl/>
        </w:rPr>
        <w:t>(וכ"פ בשו"ע)</w:t>
      </w:r>
    </w:p>
    <w:p w14:paraId="788462E8" w14:textId="77777777" w:rsidR="001D49D4" w:rsidRPr="001D49D4" w:rsidRDefault="001D49D4" w:rsidP="0004348D">
      <w:pPr>
        <w:numPr>
          <w:ilvl w:val="0"/>
          <w:numId w:val="231"/>
        </w:numPr>
        <w:spacing w:before="360" w:after="240"/>
        <w:contextualSpacing/>
        <w:rPr>
          <w:rFonts w:ascii="Arial" w:hAnsi="Arial"/>
        </w:rPr>
      </w:pPr>
      <w:r w:rsidRPr="001D49D4">
        <w:rPr>
          <w:rFonts w:ascii="Arial" w:hAnsi="Arial"/>
          <w:rtl/>
        </w:rPr>
        <w:t xml:space="preserve">ר"ן </w:t>
      </w:r>
      <w:r w:rsidRPr="001D49D4">
        <w:rPr>
          <w:rFonts w:ascii="Arial" w:hAnsi="Arial"/>
          <w:sz w:val="16"/>
          <w:szCs w:val="16"/>
          <w:rtl/>
        </w:rPr>
        <w:t>(סה: סוד"ה ולענין)</w:t>
      </w:r>
      <w:r w:rsidRPr="001D49D4">
        <w:rPr>
          <w:rFonts w:ascii="Arial" w:hAnsi="Arial"/>
          <w:rtl/>
        </w:rPr>
        <w:t xml:space="preserve">- מגבהו לפי המעות שיש באותו מקום שהוציאו, דכיון שלא פירש מקום מסתמא נשתעבד הלוה לפורעו במטבע של מקום גוביינא אם לפחות ואם להוסיף.  </w:t>
      </w:r>
    </w:p>
    <w:p w14:paraId="09D36348" w14:textId="77777777" w:rsidR="001D49D4" w:rsidRPr="001D49D4" w:rsidRDefault="001D49D4" w:rsidP="0004348D">
      <w:pPr>
        <w:numPr>
          <w:ilvl w:val="0"/>
          <w:numId w:val="231"/>
        </w:numPr>
        <w:spacing w:before="360" w:after="240"/>
        <w:contextualSpacing/>
        <w:rPr>
          <w:rFonts w:ascii="Arial" w:hAnsi="Arial"/>
        </w:rPr>
      </w:pPr>
      <w:r w:rsidRPr="001D49D4">
        <w:rPr>
          <w:rFonts w:ascii="Arial" w:hAnsi="Arial"/>
          <w:rtl/>
        </w:rPr>
        <w:t xml:space="preserve">בעל התרומות </w:t>
      </w:r>
      <w:r w:rsidRPr="001D49D4">
        <w:rPr>
          <w:rFonts w:ascii="Arial" w:hAnsi="Arial"/>
          <w:sz w:val="16"/>
          <w:szCs w:val="16"/>
          <w:rtl/>
        </w:rPr>
        <w:t>(שער נ"ד ח"א סי' ב, ד)</w:t>
      </w:r>
      <w:r w:rsidRPr="001D49D4">
        <w:rPr>
          <w:rFonts w:ascii="Arial" w:hAnsi="Arial"/>
          <w:rtl/>
        </w:rPr>
        <w:t>- "אם יכול להתברר שבשעת ההלואה היה דר במקום שהמטבע גרוע ממקום שדר בו עכשיו מגבהו מאותו מטבע של מקום שהיה דר בו בשעת ההלואה", אך אין המלוה נשבע ונוטל כמטבע של אותו מקום</w:t>
      </w:r>
      <w:r w:rsidRPr="001D49D4">
        <w:rPr>
          <w:rFonts w:ascii="Arial" w:hAnsi="Arial"/>
          <w:vertAlign w:val="superscript"/>
          <w:rtl/>
        </w:rPr>
        <w:footnoteReference w:id="3290"/>
      </w:r>
      <w:r w:rsidRPr="001D49D4">
        <w:rPr>
          <w:rFonts w:ascii="Arial" w:hAnsi="Arial"/>
          <w:rtl/>
        </w:rPr>
        <w:t>.</w:t>
      </w:r>
    </w:p>
    <w:p w14:paraId="0D948485" w14:textId="77777777" w:rsidR="001D49D4" w:rsidRPr="001D49D4" w:rsidRDefault="001D49D4" w:rsidP="0004348D">
      <w:pPr>
        <w:spacing w:before="360" w:after="240"/>
        <w:rPr>
          <w:rFonts w:ascii="Arial" w:eastAsia="Calibri" w:hAnsi="Arial" w:cs="Arial"/>
          <w:u w:val="single"/>
        </w:rPr>
      </w:pPr>
      <w:r w:rsidRPr="001D49D4">
        <w:rPr>
          <w:rFonts w:ascii="Arial" w:eastAsia="Calibri" w:hAnsi="Arial" w:cs="Arial"/>
          <w:u w:val="single"/>
          <w:rtl/>
        </w:rPr>
        <w:t>כתוב בשטר "מאה כסף" סתם ולא פירש אם סלעים או דינרים וכדו'- ממה גובה:</w:t>
      </w:r>
    </w:p>
    <w:p w14:paraId="15ACA11C" w14:textId="77777777" w:rsidR="001D49D4" w:rsidRPr="001D49D4" w:rsidRDefault="001D49D4" w:rsidP="0004348D">
      <w:pPr>
        <w:numPr>
          <w:ilvl w:val="0"/>
          <w:numId w:val="231"/>
        </w:numPr>
        <w:spacing w:before="360" w:after="240"/>
        <w:contextualSpacing/>
        <w:rPr>
          <w:rFonts w:ascii="Arial" w:hAnsi="Arial"/>
        </w:rPr>
      </w:pPr>
      <w:r w:rsidRPr="001D49D4">
        <w:rPr>
          <w:rFonts w:ascii="Arial" w:hAnsi="Arial"/>
          <w:rtl/>
        </w:rPr>
        <w:t>הה"מ</w:t>
      </w:r>
      <w:r w:rsidRPr="001D49D4">
        <w:rPr>
          <w:rFonts w:ascii="Arial" w:hAnsi="Arial"/>
          <w:sz w:val="16"/>
          <w:szCs w:val="16"/>
          <w:rtl/>
        </w:rPr>
        <w:t xml:space="preserve"> (פי"ז ה"ט)</w:t>
      </w:r>
      <w:r w:rsidRPr="001D49D4">
        <w:rPr>
          <w:rFonts w:ascii="Arial" w:hAnsi="Arial"/>
          <w:rtl/>
        </w:rPr>
        <w:t>- "אם כתוב בו מאה כסף ולא פירש אם סלעים אם דינרים אם פונדיונים מה שירצה לוה מגבהו כל מטבע שהוא מכסף</w:t>
      </w:r>
      <w:r w:rsidRPr="001D49D4">
        <w:rPr>
          <w:rFonts w:ascii="Arial" w:hAnsi="Arial"/>
          <w:vertAlign w:val="superscript"/>
          <w:rtl/>
        </w:rPr>
        <w:footnoteReference w:id="3291"/>
      </w:r>
      <w:r w:rsidRPr="001D49D4">
        <w:rPr>
          <w:rFonts w:ascii="Arial" w:hAnsi="Arial"/>
          <w:rtl/>
        </w:rPr>
        <w:t xml:space="preserve">". </w:t>
      </w:r>
      <w:r w:rsidRPr="001D49D4">
        <w:rPr>
          <w:rFonts w:ascii="Arial" w:hAnsi="Arial"/>
          <w:color w:val="E36C0A" w:themeColor="accent6" w:themeShade="BF"/>
          <w:rtl/>
        </w:rPr>
        <w:t>(וכ"פ בשו"ע)</w:t>
      </w:r>
    </w:p>
    <w:p w14:paraId="1AAD6AE4" w14:textId="77777777" w:rsidR="001D49D4" w:rsidRPr="001D49D4" w:rsidRDefault="001D49D4" w:rsidP="0004348D">
      <w:pPr>
        <w:spacing w:before="360" w:after="240"/>
        <w:rPr>
          <w:rFonts w:ascii="Arial" w:eastAsia="Calibri" w:hAnsi="Arial" w:cs="Arial"/>
          <w:u w:val="single"/>
        </w:rPr>
      </w:pPr>
      <w:r w:rsidRPr="001D49D4">
        <w:rPr>
          <w:rFonts w:ascii="Arial" w:eastAsia="Calibri" w:hAnsi="Arial" w:cs="Arial"/>
          <w:u w:val="single"/>
          <w:rtl/>
        </w:rPr>
        <w:t>כתוב בשטר "מטבע" סתם, ומוציאו במקום שיוצאים שתים או שלש סוגי מטבעות- ממה גובה:</w:t>
      </w:r>
    </w:p>
    <w:p w14:paraId="09EA7DC1" w14:textId="77777777" w:rsidR="001D49D4" w:rsidRPr="001D49D4" w:rsidRDefault="001D49D4" w:rsidP="0004348D">
      <w:pPr>
        <w:numPr>
          <w:ilvl w:val="0"/>
          <w:numId w:val="233"/>
        </w:numPr>
        <w:spacing w:before="360" w:after="240"/>
        <w:contextualSpacing/>
        <w:rPr>
          <w:rFonts w:ascii="Arial" w:hAnsi="Arial"/>
          <w:rtl/>
        </w:rPr>
      </w:pPr>
      <w:r w:rsidRPr="001D49D4">
        <w:rPr>
          <w:rFonts w:ascii="Arial" w:hAnsi="Arial"/>
          <w:rtl/>
        </w:rPr>
        <w:t xml:space="preserve">רשב"א </w:t>
      </w:r>
      <w:r w:rsidRPr="001D49D4">
        <w:rPr>
          <w:rFonts w:ascii="Arial" w:hAnsi="Arial"/>
          <w:sz w:val="16"/>
          <w:szCs w:val="16"/>
          <w:rtl/>
        </w:rPr>
        <w:t>(קסו. ד"ה גמ' ודילמא)</w:t>
      </w:r>
      <w:r w:rsidRPr="001D49D4">
        <w:rPr>
          <w:rFonts w:ascii="Arial" w:hAnsi="Arial"/>
          <w:rtl/>
        </w:rPr>
        <w:t xml:space="preserve"> רא"ה ריטב"א </w:t>
      </w:r>
      <w:r w:rsidRPr="001D49D4">
        <w:rPr>
          <w:rFonts w:ascii="Arial" w:hAnsi="Arial"/>
          <w:sz w:val="16"/>
          <w:szCs w:val="16"/>
          <w:rtl/>
        </w:rPr>
        <w:t>(קסו.)</w:t>
      </w:r>
      <w:r w:rsidRPr="001D49D4">
        <w:rPr>
          <w:rFonts w:ascii="Arial" w:hAnsi="Arial"/>
          <w:rtl/>
        </w:rPr>
        <w:t xml:space="preserve"> ונמוק"י</w:t>
      </w:r>
      <w:r w:rsidRPr="001D49D4">
        <w:rPr>
          <w:rFonts w:ascii="Arial" w:hAnsi="Arial"/>
          <w:sz w:val="16"/>
          <w:szCs w:val="16"/>
          <w:rtl/>
        </w:rPr>
        <w:t xml:space="preserve"> (עו: ד"ה מתני' וכו')</w:t>
      </w:r>
      <w:r w:rsidRPr="001D49D4">
        <w:rPr>
          <w:rFonts w:ascii="Arial" w:hAnsi="Arial"/>
          <w:rtl/>
        </w:rPr>
        <w:t>- "אינו גובה אלא בפחות שבהן ובלבד בשיוצאין זה כזה</w:t>
      </w:r>
      <w:r w:rsidRPr="001D49D4">
        <w:rPr>
          <w:rFonts w:ascii="Arial" w:hAnsi="Arial"/>
          <w:vertAlign w:val="superscript"/>
          <w:rtl/>
        </w:rPr>
        <w:footnoteReference w:id="3292"/>
      </w:r>
      <w:r w:rsidRPr="001D49D4">
        <w:rPr>
          <w:rFonts w:ascii="Arial" w:hAnsi="Arial"/>
          <w:rtl/>
        </w:rPr>
        <w:t>, הא בשהאחד יוצא להדיא</w:t>
      </w:r>
      <w:r w:rsidRPr="001D49D4">
        <w:rPr>
          <w:rFonts w:ascii="Arial" w:hAnsi="Arial"/>
          <w:vertAlign w:val="superscript"/>
          <w:rtl/>
        </w:rPr>
        <w:footnoteReference w:id="3293"/>
      </w:r>
      <w:r w:rsidRPr="001D49D4">
        <w:rPr>
          <w:rFonts w:ascii="Arial" w:hAnsi="Arial"/>
          <w:rtl/>
        </w:rPr>
        <w:t xml:space="preserve"> סתמא מיניה הוא". </w:t>
      </w:r>
    </w:p>
    <w:p w14:paraId="03E70F30" w14:textId="77777777" w:rsidR="001D49D4" w:rsidRPr="001D49D4" w:rsidRDefault="001D49D4" w:rsidP="0004348D">
      <w:pPr>
        <w:spacing w:before="360" w:after="240"/>
        <w:jc w:val="both"/>
        <w:rPr>
          <w:rFonts w:ascii="Arial" w:eastAsia="Calibri" w:hAnsi="Arial" w:cs="Arial"/>
          <w:rtl/>
        </w:rPr>
      </w:pPr>
      <w:r w:rsidRPr="001D49D4">
        <w:rPr>
          <w:rFonts w:ascii="Arial" w:eastAsia="Calibri" w:hAnsi="Arial" w:cs="Arial"/>
          <w:b/>
          <w:bCs/>
          <w:sz w:val="32"/>
          <w:szCs w:val="28"/>
          <w:u w:val="single"/>
          <w:rtl/>
        </w:rPr>
        <w:t xml:space="preserve">שו"ע: </w:t>
      </w:r>
    </w:p>
    <w:p w14:paraId="523E4F25" w14:textId="77777777" w:rsidR="001D49D4" w:rsidRPr="001D49D4" w:rsidRDefault="001D49D4" w:rsidP="0004348D">
      <w:pPr>
        <w:spacing w:before="360" w:after="240"/>
        <w:rPr>
          <w:rFonts w:ascii="Arial" w:eastAsia="Calibri" w:hAnsi="Arial" w:cs="Arial"/>
          <w:rtl/>
        </w:rPr>
      </w:pPr>
      <w:r w:rsidRPr="001D49D4">
        <w:rPr>
          <w:rFonts w:ascii="Arial" w:eastAsia="Calibri" w:hAnsi="Arial" w:cs="Arial"/>
          <w:rtl/>
        </w:rPr>
        <w:t>המוציא שטר חוב על חבירו בסך מאה דינרים או סלעים</w:t>
      </w:r>
      <w:r w:rsidRPr="001D49D4">
        <w:rPr>
          <w:rFonts w:ascii="Arial" w:eastAsia="Calibri" w:hAnsi="Arial" w:cs="Arial"/>
          <w:sz w:val="18"/>
          <w:szCs w:val="18"/>
          <w:rtl/>
        </w:rPr>
        <w:t xml:space="preserve"> הגה: ולא מתפרש איזה מטבע</w:t>
      </w:r>
      <w:r w:rsidRPr="001D49D4">
        <w:rPr>
          <w:rFonts w:ascii="Arial" w:eastAsia="Calibri" w:hAnsi="Arial" w:cs="Arial"/>
          <w:sz w:val="18"/>
          <w:szCs w:val="18"/>
          <w:vertAlign w:val="superscript"/>
          <w:rtl/>
        </w:rPr>
        <w:footnoteReference w:id="3294"/>
      </w:r>
      <w:r w:rsidRPr="001D49D4">
        <w:rPr>
          <w:rFonts w:ascii="Arial" w:eastAsia="Calibri" w:hAnsi="Arial" w:cs="Arial"/>
          <w:sz w:val="18"/>
          <w:szCs w:val="18"/>
          <w:rtl/>
        </w:rPr>
        <w:t xml:space="preserve"> (טור)</w:t>
      </w:r>
      <w:r w:rsidRPr="001D49D4">
        <w:rPr>
          <w:rFonts w:ascii="Arial" w:eastAsia="Calibri" w:hAnsi="Arial" w:cs="Arial"/>
          <w:rtl/>
        </w:rPr>
        <w:t xml:space="preserve">, אם היה כתוב: בבבל, מגבהו ממעות בבל. ואם היה כתוב: בארץ ישראל, מגבהו ממעות ארץ ישראל. לא היה כתוב בשטר שם מקום, והוציאו </w:t>
      </w:r>
      <w:r w:rsidRPr="001D49D4">
        <w:rPr>
          <w:rFonts w:ascii="Arial" w:eastAsia="Calibri" w:hAnsi="Arial" w:cs="Arial"/>
          <w:rtl/>
        </w:rPr>
        <w:lastRenderedPageBreak/>
        <w:t>בבבל, מגבהו ממעות בבל. הוציאו בארץ ישראל, מגבהו ממעות ארץ ישראל. בא לגבות ממעות המקום שיצא בו השטר, וטען הלוה שהמעות שאני חייב לו מכסף שהוא פחות מזה המטבע, ישבע המלוה ויטול</w:t>
      </w:r>
      <w:r w:rsidRPr="001D49D4">
        <w:rPr>
          <w:rFonts w:ascii="Arial" w:eastAsia="Calibri" w:hAnsi="Arial" w:cs="Arial"/>
          <w:vertAlign w:val="superscript"/>
          <w:rtl/>
        </w:rPr>
        <w:footnoteReference w:id="3295"/>
      </w:r>
      <w:r w:rsidRPr="001D49D4">
        <w:rPr>
          <w:rFonts w:ascii="Arial" w:eastAsia="Calibri" w:hAnsi="Arial" w:cs="Arial"/>
          <w:rtl/>
        </w:rPr>
        <w:t xml:space="preserve">. </w:t>
      </w:r>
      <w:r w:rsidRPr="001D49D4">
        <w:rPr>
          <w:rFonts w:ascii="Arial" w:eastAsia="Calibri" w:hAnsi="Arial" w:cs="Arial"/>
          <w:sz w:val="18"/>
          <w:szCs w:val="18"/>
          <w:rtl/>
        </w:rPr>
        <w:t>הגה: מיהו אם הביא הלוה ראיה שהיו דרין תחלה במקום שהמטבע פחות מזו, נותן לו פחות (ר"ן בדעת הרמב"ם</w:t>
      </w:r>
      <w:r w:rsidRPr="001D49D4">
        <w:rPr>
          <w:rFonts w:ascii="Arial" w:eastAsia="Calibri" w:hAnsi="Arial" w:cs="Arial"/>
          <w:sz w:val="18"/>
          <w:szCs w:val="18"/>
          <w:vertAlign w:val="superscript"/>
          <w:rtl/>
        </w:rPr>
        <w:footnoteReference w:id="3296"/>
      </w:r>
      <w:r w:rsidRPr="001D49D4">
        <w:rPr>
          <w:rFonts w:ascii="Arial" w:eastAsia="Calibri" w:hAnsi="Arial" w:cs="Arial"/>
          <w:sz w:val="18"/>
          <w:szCs w:val="18"/>
          <w:rtl/>
        </w:rPr>
        <w:t>).</w:t>
      </w:r>
      <w:r w:rsidRPr="001D49D4">
        <w:rPr>
          <w:rFonts w:ascii="Arial" w:eastAsia="Calibri" w:hAnsi="Arial" w:cs="Arial"/>
          <w:rtl/>
        </w:rPr>
        <w:t xml:space="preserve"> ואם היה כתוב בו: מאה כסף, ולא פירש אם סלעים אם פונדיונים, מה שירצה לוה מגבהו.  </w:t>
      </w:r>
    </w:p>
    <w:p w14:paraId="3B6F2CD0" w14:textId="77777777" w:rsidR="001D49D4" w:rsidRPr="001D49D4" w:rsidRDefault="001D49D4" w:rsidP="0004348D">
      <w:pPr>
        <w:spacing w:before="360" w:after="240"/>
        <w:rPr>
          <w:rFonts w:ascii="Arial" w:eastAsia="Calibri" w:hAnsi="Arial" w:cs="Arial"/>
          <w:rtl/>
        </w:rPr>
      </w:pPr>
    </w:p>
    <w:p w14:paraId="3316F065" w14:textId="77777777" w:rsidR="001D49D4" w:rsidRPr="001D49D4" w:rsidRDefault="001D49D4" w:rsidP="0004348D">
      <w:pPr>
        <w:keepNext/>
        <w:keepLines/>
        <w:spacing w:before="360" w:after="240"/>
        <w:outlineLvl w:val="1"/>
        <w:rPr>
          <w:rFonts w:ascii="Arial" w:eastAsia="Times New Roman" w:hAnsi="Arial" w:cs="Arial"/>
          <w:bCs/>
          <w:color w:val="548DD4" w:themeColor="text2" w:themeTint="99"/>
          <w:sz w:val="26"/>
          <w:szCs w:val="26"/>
          <w:rtl/>
        </w:rPr>
      </w:pPr>
      <w:bookmarkStart w:id="427" w:name="_Toc24883867"/>
      <w:r w:rsidRPr="001D49D4">
        <w:rPr>
          <w:rFonts w:ascii="Arial" w:eastAsia="Times New Roman" w:hAnsi="Arial" w:cs="Arial"/>
          <w:bCs/>
          <w:color w:val="548DD4" w:themeColor="text2" w:themeTint="99"/>
          <w:sz w:val="26"/>
          <w:szCs w:val="26"/>
          <w:rtl/>
        </w:rPr>
        <w:t>סעיף טו: הליכה אחר מנהג המקום ולשון הדיוטות.</w:t>
      </w:r>
      <w:bookmarkEnd w:id="427"/>
    </w:p>
    <w:p w14:paraId="12111B73" w14:textId="77777777" w:rsidR="001D49D4" w:rsidRPr="001D49D4" w:rsidRDefault="001D49D4" w:rsidP="0004348D">
      <w:pPr>
        <w:spacing w:before="360" w:after="240"/>
        <w:rPr>
          <w:rFonts w:ascii="Arial" w:eastAsia="Calibri" w:hAnsi="Arial" w:cs="Arial"/>
          <w:rtl/>
        </w:rPr>
      </w:pPr>
      <w:r w:rsidRPr="001D49D4">
        <w:rPr>
          <w:rFonts w:ascii="Arial" w:eastAsia="Calibri" w:hAnsi="Arial" w:cs="Arial"/>
          <w:b/>
          <w:bCs/>
          <w:rtl/>
        </w:rPr>
        <w:t xml:space="preserve">בבא בתרא קסו ע"ב: </w:t>
      </w:r>
      <w:r w:rsidRPr="001D49D4">
        <w:rPr>
          <w:rFonts w:ascii="Arial" w:eastAsia="Calibri" w:hAnsi="Arial" w:cs="Arial"/>
          <w:rtl/>
        </w:rPr>
        <w:t xml:space="preserve">ההוא דהוה כתב ביה שית מאה וזוזא, </w:t>
      </w:r>
      <w:r w:rsidRPr="001D49D4">
        <w:rPr>
          <w:rFonts w:ascii="Arial" w:eastAsia="Calibri" w:hAnsi="Arial" w:cs="Arial"/>
          <w:u w:val="single"/>
          <w:rtl/>
        </w:rPr>
        <w:t>שלחה רב שרביא קמיה דאביי:</w:t>
      </w:r>
      <w:r w:rsidRPr="001D49D4">
        <w:rPr>
          <w:rFonts w:ascii="Arial" w:eastAsia="Calibri" w:hAnsi="Arial" w:cs="Arial"/>
          <w:rtl/>
        </w:rPr>
        <w:t xml:space="preserve"> שית מאה איסתירי וזוזא, או דלמא שית מאה פריטי וזוזא? </w:t>
      </w:r>
      <w:r w:rsidRPr="001D49D4">
        <w:rPr>
          <w:rFonts w:ascii="Arial" w:eastAsia="Calibri" w:hAnsi="Arial" w:cs="Arial"/>
          <w:u w:val="single"/>
          <w:rtl/>
        </w:rPr>
        <w:t>אמר ליה:</w:t>
      </w:r>
      <w:r w:rsidRPr="001D49D4">
        <w:rPr>
          <w:rFonts w:ascii="Arial" w:eastAsia="Calibri" w:hAnsi="Arial" w:cs="Arial"/>
          <w:rtl/>
        </w:rPr>
        <w:t xml:space="preserve"> דל פריטי, דלא כתבי בשטרא, דאסוכי מסכן להו</w:t>
      </w:r>
      <w:r w:rsidRPr="001D49D4">
        <w:rPr>
          <w:rFonts w:ascii="Arial" w:eastAsia="Calibri" w:hAnsi="Arial" w:cs="Arial"/>
          <w:vertAlign w:val="superscript"/>
          <w:rtl/>
        </w:rPr>
        <w:footnoteReference w:id="3297"/>
      </w:r>
      <w:r w:rsidRPr="001D49D4">
        <w:rPr>
          <w:rFonts w:ascii="Arial" w:eastAsia="Calibri" w:hAnsi="Arial" w:cs="Arial"/>
          <w:rtl/>
        </w:rPr>
        <w:t xml:space="preserve"> ומשוי להו זוזי, מאי אמרת? שית מאה איסתירי וזוזא, (שית מאה זוזי וחד זוזא) יד בעל השטר על התחתונה. </w:t>
      </w:r>
      <w:r w:rsidRPr="001D49D4">
        <w:rPr>
          <w:rFonts w:ascii="Arial" w:eastAsia="Calibri" w:hAnsi="Arial" w:cs="Arial"/>
          <w:sz w:val="16"/>
          <w:szCs w:val="16"/>
          <w:rtl/>
        </w:rPr>
        <w:t xml:space="preserve">(רשב"ם ור"י מיגא"ש פירשו דאיסתירא היינו סלעים, וזוזי היינו דינר, וא"כ יתן לו שית מאה זוזי וחד זוזא </w:t>
      </w:r>
      <w:r w:rsidRPr="001D49D4">
        <w:rPr>
          <w:rFonts w:ascii="Arial" w:eastAsia="Calibri" w:hAnsi="Arial" w:cs="Arial"/>
          <w:sz w:val="14"/>
          <w:szCs w:val="14"/>
          <w:rtl/>
        </w:rPr>
        <w:t>(ולדעתם יש לגרוס את הסוגריים)</w:t>
      </w:r>
      <w:r w:rsidRPr="001D49D4">
        <w:rPr>
          <w:rFonts w:ascii="Arial" w:eastAsia="Calibri" w:hAnsi="Arial" w:cs="Arial"/>
          <w:sz w:val="16"/>
          <w:szCs w:val="16"/>
          <w:rtl/>
        </w:rPr>
        <w:t xml:space="preserve">. אך ר"ח רמב"ם </w:t>
      </w:r>
      <w:r w:rsidRPr="001D49D4">
        <w:rPr>
          <w:rFonts w:ascii="Arial" w:eastAsia="Calibri" w:hAnsi="Arial" w:cs="Arial"/>
          <w:sz w:val="14"/>
          <w:szCs w:val="14"/>
          <w:rtl/>
        </w:rPr>
        <w:t xml:space="preserve">(פכ"ז הט"ז) </w:t>
      </w:r>
      <w:r w:rsidRPr="001D49D4">
        <w:rPr>
          <w:rFonts w:ascii="Arial" w:eastAsia="Calibri" w:hAnsi="Arial" w:cs="Arial"/>
          <w:sz w:val="16"/>
          <w:szCs w:val="16"/>
          <w:rtl/>
        </w:rPr>
        <w:t>וטור מפרשים להפך שהאיסתירא פלגא דזוזא בשווי וחשיבות וא"כ יתן לו שית מאה איסתרי וחד זוזא</w:t>
      </w:r>
      <w:r w:rsidRPr="001D49D4">
        <w:rPr>
          <w:rFonts w:ascii="Arial" w:eastAsia="Calibri" w:hAnsi="Arial" w:cs="Arial"/>
          <w:sz w:val="14"/>
          <w:szCs w:val="14"/>
          <w:rtl/>
        </w:rPr>
        <w:t xml:space="preserve"> (ולדעתם לא גורסים את הסוגריים)</w:t>
      </w:r>
      <w:r w:rsidRPr="001D49D4">
        <w:rPr>
          <w:rFonts w:ascii="Arial" w:eastAsia="Calibri" w:hAnsi="Arial" w:cs="Arial"/>
          <w:sz w:val="16"/>
          <w:szCs w:val="16"/>
          <w:rtl/>
        </w:rPr>
        <w:t>. וכ' הב"י דכולם שוים שאינו נוטל אלא הפחות)</w:t>
      </w:r>
    </w:p>
    <w:p w14:paraId="3556CC91" w14:textId="77777777" w:rsidR="001D49D4" w:rsidRPr="001D49D4" w:rsidRDefault="001D49D4" w:rsidP="0004348D">
      <w:pPr>
        <w:spacing w:before="360" w:after="240"/>
        <w:rPr>
          <w:rFonts w:ascii="Arial" w:eastAsia="Calibri" w:hAnsi="Arial" w:cs="Arial"/>
          <w:color w:val="FF0000"/>
          <w:u w:val="single"/>
          <w:rtl/>
        </w:rPr>
      </w:pPr>
      <w:r w:rsidRPr="001D49D4">
        <w:rPr>
          <w:rFonts w:ascii="Arial" w:eastAsia="Calibri" w:hAnsi="Arial" w:cs="Arial"/>
          <w:u w:val="single"/>
          <w:rtl/>
        </w:rPr>
        <w:t>מה הדין אם תפס התובע סכום גדול יותר מהמטבע הפחות שיוצא שם:</w:t>
      </w:r>
      <w:r w:rsidRPr="001D49D4">
        <w:rPr>
          <w:rFonts w:ascii="Arial" w:eastAsia="Calibri" w:hAnsi="Arial" w:cs="Arial"/>
          <w:color w:val="FF0000"/>
          <w:u w:val="single"/>
          <w:rtl/>
        </w:rPr>
        <w:t xml:space="preserve"> </w:t>
      </w:r>
    </w:p>
    <w:p w14:paraId="5DF29C95" w14:textId="77777777" w:rsidR="001D49D4" w:rsidRPr="001D49D4" w:rsidRDefault="001D49D4" w:rsidP="0004348D">
      <w:pPr>
        <w:numPr>
          <w:ilvl w:val="0"/>
          <w:numId w:val="234"/>
        </w:numPr>
        <w:spacing w:before="360" w:after="240"/>
        <w:contextualSpacing/>
        <w:rPr>
          <w:rFonts w:ascii="Arial" w:hAnsi="Arial"/>
          <w:rtl/>
        </w:rPr>
      </w:pPr>
      <w:r w:rsidRPr="001D49D4">
        <w:rPr>
          <w:rFonts w:ascii="Arial" w:hAnsi="Arial"/>
          <w:rtl/>
        </w:rPr>
        <w:t>רי"ף תוס'</w:t>
      </w:r>
      <w:r w:rsidRPr="001D49D4">
        <w:rPr>
          <w:rFonts w:ascii="Arial" w:hAnsi="Arial"/>
          <w:sz w:val="16"/>
          <w:szCs w:val="16"/>
          <w:rtl/>
        </w:rPr>
        <w:t xml:space="preserve"> </w:t>
      </w:r>
      <w:r w:rsidRPr="001D49D4">
        <w:rPr>
          <w:rFonts w:ascii="Arial" w:hAnsi="Arial"/>
          <w:rtl/>
        </w:rPr>
        <w:t>רא"ש ורי"ו</w:t>
      </w:r>
      <w:r w:rsidRPr="001D49D4">
        <w:rPr>
          <w:rFonts w:ascii="Arial" w:hAnsi="Arial"/>
          <w:vertAlign w:val="superscript"/>
          <w:rtl/>
        </w:rPr>
        <w:footnoteReference w:id="3298"/>
      </w:r>
      <w:r w:rsidRPr="001D49D4">
        <w:rPr>
          <w:rFonts w:ascii="Arial" w:hAnsi="Arial"/>
          <w:rtl/>
        </w:rPr>
        <w:t>- "אי תפס לא מפקינן מיניה אלא בראיה ברורה וכל זה בטלטל, אבל בקרקע בחזקת בעליה עומדת, ודוקא בדבר דלא עבידא לאיגלויי</w:t>
      </w:r>
      <w:r w:rsidRPr="001D49D4">
        <w:rPr>
          <w:rFonts w:ascii="Arial" w:hAnsi="Arial"/>
          <w:sz w:val="16"/>
          <w:szCs w:val="16"/>
          <w:rtl/>
        </w:rPr>
        <w:t xml:space="preserve"> (ל' רי"ו)</w:t>
      </w:r>
      <w:r w:rsidRPr="001D49D4">
        <w:rPr>
          <w:rFonts w:ascii="Arial" w:hAnsi="Arial"/>
          <w:vertAlign w:val="superscript"/>
          <w:rtl/>
        </w:rPr>
        <w:footnoteReference w:id="3299"/>
      </w:r>
      <w:r w:rsidRPr="001D49D4">
        <w:rPr>
          <w:rFonts w:ascii="Arial" w:hAnsi="Arial"/>
          <w:rtl/>
        </w:rPr>
        <w:t>".</w:t>
      </w:r>
      <w:r w:rsidRPr="001D49D4">
        <w:rPr>
          <w:rFonts w:ascii="Arial" w:hAnsi="Arial"/>
          <w:rtl/>
        </w:rPr>
        <w:tab/>
      </w:r>
    </w:p>
    <w:p w14:paraId="3F6DEC07" w14:textId="77777777" w:rsidR="001D49D4" w:rsidRPr="001D49D4" w:rsidRDefault="001D49D4" w:rsidP="0004348D">
      <w:pPr>
        <w:numPr>
          <w:ilvl w:val="0"/>
          <w:numId w:val="234"/>
        </w:numPr>
        <w:spacing w:before="360" w:after="240"/>
        <w:contextualSpacing/>
        <w:rPr>
          <w:rFonts w:ascii="Arial" w:hAnsi="Arial"/>
          <w:rtl/>
        </w:rPr>
      </w:pPr>
      <w:r w:rsidRPr="001D49D4">
        <w:rPr>
          <w:rFonts w:ascii="Arial" w:hAnsi="Arial"/>
          <w:rtl/>
        </w:rPr>
        <w:t xml:space="preserve">יש מי שכתב </w:t>
      </w:r>
      <w:r w:rsidRPr="001D49D4">
        <w:rPr>
          <w:rFonts w:ascii="Arial" w:hAnsi="Arial"/>
          <w:sz w:val="16"/>
          <w:szCs w:val="16"/>
          <w:rtl/>
        </w:rPr>
        <w:t>(הביאו רי"ו שם)</w:t>
      </w:r>
      <w:r w:rsidRPr="001D49D4">
        <w:rPr>
          <w:rFonts w:ascii="Arial" w:hAnsi="Arial"/>
          <w:rtl/>
        </w:rPr>
        <w:t>- אי תפס מפקינן מיניה בשטר שכתוב בו.</w:t>
      </w:r>
    </w:p>
    <w:p w14:paraId="77049198" w14:textId="77777777" w:rsidR="001D49D4" w:rsidRPr="001D49D4" w:rsidRDefault="001D49D4" w:rsidP="0004348D">
      <w:pPr>
        <w:spacing w:before="360" w:after="240"/>
        <w:rPr>
          <w:rFonts w:ascii="Arial" w:eastAsia="Calibri" w:hAnsi="Arial" w:cs="Arial"/>
          <w:u w:val="single"/>
          <w:rtl/>
        </w:rPr>
      </w:pPr>
      <w:r w:rsidRPr="001D49D4">
        <w:rPr>
          <w:rFonts w:ascii="Arial" w:eastAsia="Calibri" w:hAnsi="Arial" w:cs="Arial"/>
          <w:u w:val="single"/>
          <w:rtl/>
        </w:rPr>
        <w:t>שטר שכתוב בו "מאה וחמשה דינרים", האם אפ"ל שיתן לו מאה מטבעות קטנות מדינר ועוד חמשה דינרים:</w:t>
      </w:r>
    </w:p>
    <w:p w14:paraId="0552783F" w14:textId="77777777" w:rsidR="001D49D4" w:rsidRPr="001D49D4" w:rsidRDefault="001D49D4" w:rsidP="0004348D">
      <w:pPr>
        <w:numPr>
          <w:ilvl w:val="0"/>
          <w:numId w:val="234"/>
        </w:numPr>
        <w:spacing w:before="360" w:after="240"/>
        <w:contextualSpacing/>
        <w:rPr>
          <w:rFonts w:ascii="Arial" w:hAnsi="Arial"/>
          <w:rtl/>
        </w:rPr>
      </w:pPr>
      <w:r w:rsidRPr="001D49D4">
        <w:rPr>
          <w:rFonts w:ascii="Arial" w:hAnsi="Arial"/>
          <w:rtl/>
        </w:rPr>
        <w:t>ריטב"א</w:t>
      </w:r>
      <w:r w:rsidRPr="001D49D4">
        <w:rPr>
          <w:rFonts w:ascii="Arial" w:hAnsi="Arial"/>
          <w:sz w:val="16"/>
          <w:szCs w:val="16"/>
          <w:rtl/>
        </w:rPr>
        <w:t xml:space="preserve"> (קסו: ד"ה דל) </w:t>
      </w:r>
      <w:r w:rsidRPr="001D49D4">
        <w:rPr>
          <w:rFonts w:ascii="Arial" w:hAnsi="Arial"/>
          <w:rtl/>
        </w:rPr>
        <w:t xml:space="preserve">ונמוק"י </w:t>
      </w:r>
      <w:r w:rsidRPr="001D49D4">
        <w:rPr>
          <w:rFonts w:ascii="Arial" w:hAnsi="Arial"/>
          <w:sz w:val="16"/>
          <w:szCs w:val="16"/>
          <w:rtl/>
        </w:rPr>
        <w:t>(עז.)</w:t>
      </w:r>
      <w:r w:rsidRPr="001D49D4">
        <w:rPr>
          <w:rFonts w:ascii="Arial" w:hAnsi="Arial"/>
          <w:rtl/>
        </w:rPr>
        <w:t>- "שטר שכתוב בו מאה וחמשה דינרים וכיוצא בו שאף המאה דינרים ואין אומרים שהם מעות דאם כן אסוכי מסכי להו, וזה ברור". (וכ"כ הסמ"ע</w:t>
      </w:r>
      <w:r w:rsidRPr="001D49D4">
        <w:rPr>
          <w:rFonts w:ascii="Arial" w:hAnsi="Arial"/>
          <w:sz w:val="16"/>
          <w:szCs w:val="16"/>
          <w:rtl/>
        </w:rPr>
        <w:t xml:space="preserve"> [סקל"ח]</w:t>
      </w:r>
      <w:r w:rsidRPr="001D49D4">
        <w:rPr>
          <w:rFonts w:ascii="Arial" w:hAnsi="Arial"/>
          <w:rtl/>
        </w:rPr>
        <w:t>)</w:t>
      </w:r>
    </w:p>
    <w:p w14:paraId="47DBBE76" w14:textId="77777777" w:rsidR="001D49D4" w:rsidRPr="001D49D4" w:rsidRDefault="001D49D4" w:rsidP="0004348D">
      <w:pPr>
        <w:spacing w:before="360" w:after="240"/>
        <w:rPr>
          <w:rFonts w:ascii="Arial" w:eastAsia="Calibri" w:hAnsi="Arial" w:cs="Arial"/>
          <w:sz w:val="16"/>
          <w:szCs w:val="16"/>
        </w:rPr>
      </w:pPr>
      <w:r w:rsidRPr="001D49D4">
        <w:rPr>
          <w:rFonts w:ascii="Arial" w:eastAsia="Calibri" w:hAnsi="Arial" w:cs="Arial"/>
          <w:b/>
          <w:bCs/>
          <w:rtl/>
        </w:rPr>
        <w:t>בבא מציעא קד ע"א:</w:t>
      </w:r>
      <w:r w:rsidRPr="001D49D4">
        <w:rPr>
          <w:rFonts w:ascii="Arial" w:eastAsia="Calibri" w:hAnsi="Arial" w:cs="Arial"/>
          <w:rtl/>
        </w:rPr>
        <w:t xml:space="preserve"> רבי מאיר היה דורש לשון הדיוט</w:t>
      </w:r>
      <w:r w:rsidRPr="001D49D4">
        <w:rPr>
          <w:rFonts w:ascii="Arial" w:eastAsia="Calibri" w:hAnsi="Arial" w:cs="Arial"/>
          <w:vertAlign w:val="superscript"/>
          <w:rtl/>
        </w:rPr>
        <w:footnoteReference w:id="3300"/>
      </w:r>
      <w:r w:rsidRPr="001D49D4">
        <w:rPr>
          <w:rFonts w:ascii="Arial" w:eastAsia="Calibri" w:hAnsi="Arial" w:cs="Arial"/>
          <w:rtl/>
        </w:rPr>
        <w:t>, דתניא, רבי מאיר אומר: אם אוביר ולא אעביד אשלם במיטבא. רבי יהודה היה דורש לשון הדיוט... הלל הזקן היה דורש לשון הדיוט, דתניא: אנשי אלכסנדריא היו מקדשין את נשותיהם, ובשעת כניסתן לחופה באין אחרים וחוטפים אותם מהן, ובקשו חכמים לעשות בניהם ממזרים. אמר להן הלל הזקן: הביאו לי כתובת אמכם</w:t>
      </w:r>
      <w:r w:rsidRPr="001D49D4">
        <w:rPr>
          <w:rFonts w:ascii="Arial" w:eastAsia="Calibri" w:hAnsi="Arial" w:cs="Arial"/>
          <w:vertAlign w:val="superscript"/>
          <w:rtl/>
        </w:rPr>
        <w:footnoteReference w:id="3301"/>
      </w:r>
      <w:r w:rsidRPr="001D49D4">
        <w:rPr>
          <w:rFonts w:ascii="Arial" w:eastAsia="Calibri" w:hAnsi="Arial" w:cs="Arial"/>
          <w:rtl/>
        </w:rPr>
        <w:t>. הביאו לו כתובת אמן, ומצא שכתוב בהן לכשתכנסי לחופה</w:t>
      </w:r>
      <w:r w:rsidRPr="001D49D4">
        <w:rPr>
          <w:rFonts w:ascii="Arial" w:eastAsia="Calibri" w:hAnsi="Arial" w:cs="Arial"/>
          <w:vertAlign w:val="superscript"/>
          <w:rtl/>
        </w:rPr>
        <w:footnoteReference w:id="3302"/>
      </w:r>
      <w:r w:rsidRPr="001D49D4">
        <w:rPr>
          <w:rFonts w:ascii="Arial" w:eastAsia="Calibri" w:hAnsi="Arial" w:cs="Arial"/>
          <w:rtl/>
        </w:rPr>
        <w:t xml:space="preserve"> הוי לי לאינתו, ולא עשו בניהם ממזרים. רבי יהושע בן קרחה היה דורש לשון הדיוט... רבי יוסי היה דורש לשון הדיוט... </w:t>
      </w:r>
    </w:p>
    <w:p w14:paraId="542689D6" w14:textId="77777777" w:rsidR="001D49D4" w:rsidRPr="001D49D4" w:rsidRDefault="001D49D4" w:rsidP="0004348D">
      <w:pPr>
        <w:spacing w:before="360" w:after="240"/>
        <w:rPr>
          <w:rFonts w:ascii="Arial" w:eastAsia="Calibri" w:hAnsi="Arial" w:cs="Arial"/>
          <w:u w:val="single"/>
          <w:rtl/>
        </w:rPr>
      </w:pPr>
      <w:r w:rsidRPr="001D49D4">
        <w:rPr>
          <w:rFonts w:ascii="Arial" w:eastAsia="Calibri" w:hAnsi="Arial" w:cs="Arial"/>
          <w:u w:val="single"/>
          <w:rtl/>
        </w:rPr>
        <w:t xml:space="preserve">האם אפשר להכניס בשטר משמעות שרגילה אצל ההדיוטות אע"פ שלא נכתב כן בפירוש: </w:t>
      </w:r>
    </w:p>
    <w:p w14:paraId="6582AFD4" w14:textId="77777777" w:rsidR="001D49D4" w:rsidRPr="001D49D4" w:rsidRDefault="001D49D4" w:rsidP="0004348D">
      <w:pPr>
        <w:numPr>
          <w:ilvl w:val="0"/>
          <w:numId w:val="231"/>
        </w:numPr>
        <w:spacing w:before="360" w:after="240"/>
        <w:contextualSpacing/>
        <w:rPr>
          <w:rFonts w:ascii="Arial" w:hAnsi="Arial"/>
          <w:rtl/>
        </w:rPr>
      </w:pPr>
      <w:r w:rsidRPr="001D49D4">
        <w:rPr>
          <w:rFonts w:ascii="Calibri" w:hAnsi="Calibri"/>
          <w:noProof/>
          <w:rtl/>
        </w:rPr>
        <w:lastRenderedPageBreak/>
        <mc:AlternateContent>
          <mc:Choice Requires="wps">
            <w:drawing>
              <wp:anchor distT="0" distB="0" distL="114300" distR="114300" simplePos="0" relativeHeight="251659264" behindDoc="0" locked="0" layoutInCell="1" allowOverlap="1" wp14:anchorId="0F086133" wp14:editId="4F859125">
                <wp:simplePos x="0" y="0"/>
                <wp:positionH relativeFrom="column">
                  <wp:posOffset>5013325</wp:posOffset>
                </wp:positionH>
                <wp:positionV relativeFrom="paragraph">
                  <wp:posOffset>393065</wp:posOffset>
                </wp:positionV>
                <wp:extent cx="45720" cy="92710"/>
                <wp:effectExtent l="19050" t="0" r="30480" b="40640"/>
                <wp:wrapNone/>
                <wp:docPr id="1" name="Down Arrow 8"/>
                <wp:cNvGraphicFramePr/>
                <a:graphic xmlns:a="http://schemas.openxmlformats.org/drawingml/2006/main">
                  <a:graphicData uri="http://schemas.microsoft.com/office/word/2010/wordprocessingShape">
                    <wps:wsp>
                      <wps:cNvSpPr/>
                      <wps:spPr>
                        <a:xfrm>
                          <a:off x="0" y="0"/>
                          <a:ext cx="45085" cy="92710"/>
                        </a:xfrm>
                        <a:prstGeom prst="downArrow">
                          <a:avLst/>
                        </a:prstGeom>
                        <a:solidFill>
                          <a:sysClr val="windowText" lastClr="000000"/>
                        </a:solid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5AE6A735"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8" o:spid="_x0000_s1026" type="#_x0000_t67" style="position:absolute;left:0;text-align:left;margin-left:394.75pt;margin-top:30.95pt;width:3.6pt;height:7.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" adj="16348" fillcolor="windowText" strokeweight="2pt"/>
            </w:pict>
          </mc:Fallback>
        </mc:AlternateContent>
      </w:r>
      <w:r w:rsidRPr="001D49D4">
        <w:rPr>
          <w:rFonts w:ascii="Arial" w:hAnsi="Arial"/>
          <w:rtl/>
        </w:rPr>
        <w:t>רבינו האי ר"ח (רש"י רמב"ם</w:t>
      </w:r>
      <w:r w:rsidRPr="001D49D4">
        <w:rPr>
          <w:rFonts w:ascii="Arial" w:hAnsi="Arial"/>
          <w:vertAlign w:val="superscript"/>
          <w:rtl/>
        </w:rPr>
        <w:footnoteReference w:id="3303"/>
      </w:r>
      <w:r w:rsidRPr="001D49D4">
        <w:rPr>
          <w:rFonts w:ascii="Arial" w:hAnsi="Arial"/>
          <w:sz w:val="16"/>
          <w:szCs w:val="16"/>
          <w:rtl/>
        </w:rPr>
        <w:t xml:space="preserve"> להב' הב"י</w:t>
      </w:r>
      <w:r w:rsidRPr="001D49D4">
        <w:rPr>
          <w:rFonts w:ascii="Arial" w:hAnsi="Arial"/>
          <w:rtl/>
        </w:rPr>
        <w:t>) תוס'</w:t>
      </w:r>
      <w:r w:rsidRPr="001D49D4">
        <w:rPr>
          <w:rFonts w:ascii="Arial" w:hAnsi="Arial"/>
          <w:sz w:val="16"/>
          <w:szCs w:val="16"/>
          <w:rtl/>
        </w:rPr>
        <w:t xml:space="preserve"> </w:t>
      </w:r>
      <w:r w:rsidRPr="001D49D4">
        <w:rPr>
          <w:rFonts w:ascii="Arial" w:hAnsi="Arial"/>
          <w:rtl/>
        </w:rPr>
        <w:t>רשב"א רא"ש ור"ן</w:t>
      </w:r>
      <w:r w:rsidRPr="001D49D4">
        <w:rPr>
          <w:rFonts w:ascii="Arial" w:hAnsi="Arial"/>
          <w:vertAlign w:val="superscript"/>
          <w:rtl/>
        </w:rPr>
        <w:footnoteReference w:id="3304"/>
      </w:r>
      <w:r w:rsidRPr="001D49D4">
        <w:rPr>
          <w:rFonts w:ascii="Arial" w:hAnsi="Arial"/>
          <w:rtl/>
        </w:rPr>
        <w:t>- במקום שרגילים בדבר זה אפילו לא נכתב כמאן דנכתב דמי</w:t>
      </w:r>
      <w:r w:rsidRPr="001D49D4">
        <w:rPr>
          <w:rFonts w:ascii="Arial" w:hAnsi="Arial"/>
          <w:vertAlign w:val="superscript"/>
          <w:rtl/>
        </w:rPr>
        <w:footnoteReference w:id="3305"/>
      </w:r>
      <w:r w:rsidRPr="001D49D4">
        <w:rPr>
          <w:rFonts w:ascii="Arial" w:hAnsi="Arial"/>
          <w:rtl/>
        </w:rPr>
        <w:t xml:space="preserve">. </w:t>
      </w:r>
      <w:r w:rsidRPr="001D49D4">
        <w:rPr>
          <w:rFonts w:ascii="Arial" w:hAnsi="Arial"/>
          <w:color w:val="E36C0A" w:themeColor="accent6" w:themeShade="BF"/>
          <w:rtl/>
        </w:rPr>
        <w:t>(וכ"פ בשו"ע)</w:t>
      </w:r>
    </w:p>
    <w:p w14:paraId="61A05718" w14:textId="77777777" w:rsidR="001D49D4" w:rsidRPr="001D49D4" w:rsidRDefault="001D49D4" w:rsidP="0004348D">
      <w:pPr>
        <w:spacing w:before="360" w:after="240"/>
        <w:ind w:left="360"/>
        <w:rPr>
          <w:rFonts w:ascii="Arial" w:eastAsia="Calibri" w:hAnsi="Arial" w:cs="Arial"/>
          <w:u w:val="dotted"/>
        </w:rPr>
      </w:pPr>
      <w:r w:rsidRPr="001D49D4">
        <w:rPr>
          <w:rFonts w:ascii="Arial" w:eastAsia="Calibri" w:hAnsi="Arial" w:cs="Arial"/>
          <w:u w:val="dotted"/>
          <w:rtl/>
        </w:rPr>
        <w:t>ומה הדין אם לא בכל מקום נוהגין כן:</w:t>
      </w:r>
    </w:p>
    <w:p w14:paraId="5F3A0FF4" w14:textId="77777777" w:rsidR="001D49D4" w:rsidRPr="001D49D4" w:rsidRDefault="001D49D4" w:rsidP="0004348D">
      <w:pPr>
        <w:numPr>
          <w:ilvl w:val="0"/>
          <w:numId w:val="231"/>
        </w:numPr>
        <w:spacing w:before="360" w:after="240"/>
        <w:contextualSpacing/>
        <w:rPr>
          <w:rFonts w:ascii="Arial" w:hAnsi="Arial"/>
        </w:rPr>
      </w:pPr>
      <w:r w:rsidRPr="001D49D4">
        <w:rPr>
          <w:rFonts w:ascii="Arial" w:hAnsi="Arial"/>
          <w:rtl/>
        </w:rPr>
        <w:t>תלמידי הרשב"א ר"ן ונמוק"י</w:t>
      </w:r>
      <w:r w:rsidRPr="001D49D4">
        <w:rPr>
          <w:rFonts w:ascii="Arial" w:hAnsi="Arial"/>
          <w:vertAlign w:val="superscript"/>
          <w:rtl/>
        </w:rPr>
        <w:footnoteReference w:id="3306"/>
      </w:r>
      <w:r w:rsidRPr="001D49D4">
        <w:rPr>
          <w:rFonts w:ascii="Arial" w:hAnsi="Arial"/>
          <w:rtl/>
        </w:rPr>
        <w:t>- "אם הוא מנהג שהוא נהוג ברוב המקומות דנין בכל מקום בסתם, ואם אינו נוהג אלא במקצת מקומות אין דנין בהם אלא באותן מקומות בלבד</w:t>
      </w:r>
      <w:r w:rsidRPr="001D49D4">
        <w:rPr>
          <w:rFonts w:ascii="Arial" w:hAnsi="Arial"/>
          <w:sz w:val="16"/>
          <w:szCs w:val="16"/>
          <w:rtl/>
        </w:rPr>
        <w:t xml:space="preserve"> (ל' הנמוק"י)</w:t>
      </w:r>
      <w:r w:rsidRPr="001D49D4">
        <w:rPr>
          <w:rFonts w:ascii="Arial" w:hAnsi="Arial"/>
          <w:rtl/>
        </w:rPr>
        <w:t xml:space="preserve">". </w:t>
      </w:r>
    </w:p>
    <w:p w14:paraId="5182F47B" w14:textId="77777777" w:rsidR="001D49D4" w:rsidRPr="001D49D4" w:rsidRDefault="001D49D4" w:rsidP="0004348D">
      <w:pPr>
        <w:spacing w:before="360" w:after="240"/>
        <w:jc w:val="both"/>
        <w:rPr>
          <w:rFonts w:ascii="Arial" w:eastAsia="Calibri" w:hAnsi="Arial" w:cs="Arial"/>
        </w:rPr>
      </w:pPr>
      <w:r w:rsidRPr="001D49D4">
        <w:rPr>
          <w:rFonts w:ascii="Arial" w:eastAsia="Calibri" w:hAnsi="Arial" w:cs="Arial"/>
          <w:b/>
          <w:bCs/>
          <w:sz w:val="32"/>
          <w:szCs w:val="28"/>
          <w:u w:val="single"/>
          <w:rtl/>
        </w:rPr>
        <w:t xml:space="preserve">שו"ע: </w:t>
      </w:r>
    </w:p>
    <w:p w14:paraId="27EA01A7" w14:textId="77777777" w:rsidR="001D49D4" w:rsidRPr="001D49D4" w:rsidRDefault="001D49D4" w:rsidP="0004348D">
      <w:pPr>
        <w:spacing w:before="360" w:after="240"/>
        <w:rPr>
          <w:rFonts w:ascii="Arial" w:eastAsia="Calibri" w:hAnsi="Arial" w:cs="Arial"/>
          <w:rtl/>
        </w:rPr>
      </w:pPr>
      <w:r w:rsidRPr="001D49D4">
        <w:rPr>
          <w:rFonts w:ascii="Arial" w:eastAsia="Calibri" w:hAnsi="Arial" w:cs="Arial"/>
          <w:rtl/>
        </w:rPr>
        <w:t>היה כתוב בו חשבון סתם, הולכים אחר המנהג שרגילים לעשות בו באותו מקום סכום חשבונם, כההוא שטרא דכתיב ביה: שית מאה וזוזי, דאיכא לספוקי בשית מאה איסתרא וזוזא</w:t>
      </w:r>
      <w:r w:rsidRPr="001D49D4">
        <w:rPr>
          <w:rFonts w:ascii="Arial" w:eastAsia="Calibri" w:hAnsi="Arial" w:cs="Arial"/>
          <w:vertAlign w:val="superscript"/>
          <w:rtl/>
        </w:rPr>
        <w:footnoteReference w:id="3307"/>
      </w:r>
      <w:r w:rsidRPr="001D49D4">
        <w:rPr>
          <w:rFonts w:ascii="Arial" w:eastAsia="Calibri" w:hAnsi="Arial" w:cs="Arial"/>
          <w:rtl/>
        </w:rPr>
        <w:t xml:space="preserve"> או בשית מאה זוזי וזוזא דאמרינן שיתן לו שית מאה איסתרי שהוא פחות אבל אין לספק בשית מאה פרוטות לפי שאין עושים סכום חשבון מפרוטות</w:t>
      </w:r>
      <w:r w:rsidRPr="001D49D4">
        <w:rPr>
          <w:rFonts w:ascii="Arial" w:eastAsia="Calibri" w:hAnsi="Arial" w:cs="Arial"/>
          <w:vertAlign w:val="superscript"/>
          <w:rtl/>
        </w:rPr>
        <w:footnoteReference w:id="3308"/>
      </w:r>
      <w:r w:rsidRPr="001D49D4">
        <w:rPr>
          <w:rFonts w:ascii="Arial" w:eastAsia="Calibri" w:hAnsi="Arial" w:cs="Arial"/>
          <w:rtl/>
        </w:rPr>
        <w:t>. לשון שרגילים לכתוב בשטרות אף על פי שאינו מתיקון חכמים אלא לשון שנהגו ההדיוטות לכתוב במקום ההוא הולכים אחריו, ואפילו לא נכתב דנין אתו כאילו נכתב</w:t>
      </w:r>
      <w:r w:rsidRPr="001D49D4">
        <w:rPr>
          <w:rFonts w:ascii="Arial" w:eastAsia="Calibri" w:hAnsi="Arial" w:cs="Arial"/>
          <w:vertAlign w:val="superscript"/>
          <w:rtl/>
        </w:rPr>
        <w:footnoteReference w:id="3309"/>
      </w:r>
      <w:r w:rsidRPr="001D49D4">
        <w:rPr>
          <w:rFonts w:ascii="Arial" w:eastAsia="Calibri" w:hAnsi="Arial" w:cs="Arial"/>
          <w:rtl/>
        </w:rPr>
        <w:t xml:space="preserve">. </w:t>
      </w:r>
      <w:r w:rsidRPr="001D49D4">
        <w:rPr>
          <w:rFonts w:ascii="Arial" w:eastAsia="Calibri" w:hAnsi="Arial" w:cs="Arial"/>
          <w:sz w:val="18"/>
          <w:szCs w:val="18"/>
          <w:rtl/>
        </w:rPr>
        <w:t>הגה: וה"ה תקנות הקהל או דבר שהוא מנהג העיר</w:t>
      </w:r>
      <w:r w:rsidRPr="001D49D4">
        <w:rPr>
          <w:rFonts w:ascii="Arial" w:eastAsia="Calibri" w:hAnsi="Arial" w:cs="Arial"/>
          <w:sz w:val="16"/>
          <w:szCs w:val="16"/>
          <w:rtl/>
        </w:rPr>
        <w:t xml:space="preserve"> (רמב"ם פכ"ג דאישות)</w:t>
      </w:r>
      <w:r w:rsidRPr="001D49D4">
        <w:rPr>
          <w:rFonts w:ascii="Arial" w:eastAsia="Calibri" w:hAnsi="Arial" w:cs="Arial"/>
          <w:sz w:val="18"/>
          <w:szCs w:val="18"/>
          <w:rtl/>
        </w:rPr>
        <w:t>. מי שמגדל יתום בתוך ביתו וכתב עליו בשטר בני, או היתום כתב על המגדלו אבי או אמי</w:t>
      </w:r>
      <w:r w:rsidRPr="001D49D4">
        <w:rPr>
          <w:rFonts w:ascii="Arial" w:eastAsia="Calibri" w:hAnsi="Arial" w:cs="Arial"/>
          <w:sz w:val="18"/>
          <w:szCs w:val="18"/>
          <w:vertAlign w:val="superscript"/>
          <w:rtl/>
        </w:rPr>
        <w:footnoteReference w:id="3310"/>
      </w:r>
      <w:r w:rsidRPr="001D49D4">
        <w:rPr>
          <w:rFonts w:ascii="Arial" w:eastAsia="Calibri" w:hAnsi="Arial" w:cs="Arial"/>
          <w:sz w:val="18"/>
          <w:szCs w:val="18"/>
          <w:rtl/>
        </w:rPr>
        <w:t xml:space="preserve"> לא מקרי מזוייף וכשר, הואיל וגדלוהו ראוי לכתוב כך </w:t>
      </w:r>
      <w:r w:rsidRPr="001D49D4">
        <w:rPr>
          <w:rFonts w:ascii="Arial" w:eastAsia="Calibri" w:hAnsi="Arial" w:cs="Arial"/>
          <w:sz w:val="16"/>
          <w:szCs w:val="16"/>
          <w:rtl/>
        </w:rPr>
        <w:t>(תשו' מיימוניות משפטים סי' מח)</w:t>
      </w:r>
      <w:r w:rsidRPr="001D49D4">
        <w:rPr>
          <w:rFonts w:ascii="Arial" w:eastAsia="Calibri" w:hAnsi="Arial" w:cs="Arial"/>
          <w:sz w:val="18"/>
          <w:szCs w:val="18"/>
          <w:rtl/>
        </w:rPr>
        <w:t>.</w:t>
      </w:r>
    </w:p>
    <w:p w14:paraId="574E3DE1" w14:textId="77777777" w:rsidR="001D49D4" w:rsidRPr="001D49D4" w:rsidRDefault="001D49D4" w:rsidP="0004348D">
      <w:pPr>
        <w:spacing w:before="360" w:after="240"/>
        <w:rPr>
          <w:rFonts w:ascii="Arial" w:eastAsia="Calibri" w:hAnsi="Arial" w:cs="Arial"/>
          <w:u w:val="single"/>
          <w:rtl/>
        </w:rPr>
      </w:pPr>
      <w:r w:rsidRPr="001D49D4">
        <w:rPr>
          <w:rFonts w:ascii="Arial" w:eastAsia="Calibri" w:hAnsi="Arial" w:cs="Arial"/>
          <w:u w:val="single"/>
          <w:rtl/>
        </w:rPr>
        <w:t>האם יש לחוש לשטר שכתב אדם ליתום שגדל בביתו וכ' בו "בני"- והרי הוא לא בנו:</w:t>
      </w:r>
      <w:r w:rsidRPr="001D49D4">
        <w:rPr>
          <w:rFonts w:ascii="Arial" w:eastAsia="Calibri" w:hAnsi="Arial" w:cs="Arial"/>
          <w:rtl/>
        </w:rPr>
        <w:t xml:space="preserve"> </w:t>
      </w:r>
      <w:r w:rsidRPr="001D49D4">
        <w:rPr>
          <w:rFonts w:ascii="Arial" w:eastAsia="Calibri" w:hAnsi="Arial" w:cs="Arial"/>
          <w:sz w:val="16"/>
          <w:szCs w:val="16"/>
          <w:rtl/>
        </w:rPr>
        <w:t xml:space="preserve"> (דרכ"מ אות ה, פת"ש סקי"ג)</w:t>
      </w:r>
    </w:p>
    <w:p w14:paraId="6FA8D540" w14:textId="77777777" w:rsidR="001D49D4" w:rsidRPr="001D49D4" w:rsidRDefault="001D49D4" w:rsidP="0004348D">
      <w:pPr>
        <w:numPr>
          <w:ilvl w:val="0"/>
          <w:numId w:val="231"/>
        </w:numPr>
        <w:spacing w:before="360" w:after="240"/>
        <w:contextualSpacing/>
        <w:rPr>
          <w:rFonts w:ascii="Arial" w:hAnsi="Arial"/>
          <w:rtl/>
        </w:rPr>
      </w:pPr>
      <w:r w:rsidRPr="001D49D4">
        <w:rPr>
          <w:rFonts w:ascii="Arial" w:hAnsi="Arial"/>
          <w:rtl/>
        </w:rPr>
        <w:t xml:space="preserve">תשובות מיימוניות </w:t>
      </w:r>
      <w:r w:rsidRPr="001D49D4">
        <w:rPr>
          <w:rFonts w:ascii="Arial" w:hAnsi="Arial"/>
          <w:sz w:val="16"/>
          <w:szCs w:val="16"/>
          <w:rtl/>
        </w:rPr>
        <w:t>(משפטים סי' מח)</w:t>
      </w:r>
      <w:r w:rsidRPr="001D49D4">
        <w:rPr>
          <w:rFonts w:ascii="Arial" w:hAnsi="Arial"/>
          <w:rtl/>
        </w:rPr>
        <w:t xml:space="preserve">- ראובן ואשתו שכתבו שטר לבן אשתו וכתוב בו ותנו לבננו. נראה דלישנא מעליא הוא שהרי המגדל יתום ויתומה כאילו ילדו </w:t>
      </w:r>
      <w:r w:rsidRPr="001D49D4">
        <w:rPr>
          <w:rFonts w:ascii="Arial" w:hAnsi="Arial"/>
          <w:sz w:val="16"/>
          <w:szCs w:val="16"/>
          <w:rtl/>
        </w:rPr>
        <w:t>(סנהדרין יט:)</w:t>
      </w:r>
      <w:r w:rsidRPr="001D49D4">
        <w:rPr>
          <w:rFonts w:ascii="Arial" w:hAnsi="Arial"/>
          <w:rtl/>
        </w:rPr>
        <w:t xml:space="preserve">. וכן אם ראובן כתב לחמותו וכתוב בו אמי פלונית בת פלוני, לא מרענא שטר בהכי, דכיון דשמה פלונית בת פלוני נכתב בו מה בכך דמסיק שמה אמי דילמא משום דמרחמא ליה כאם. וטובא אשכחן כה"ג ולשון חביבות הוא כמו בני לדברי הקשיבה </w:t>
      </w:r>
      <w:r w:rsidRPr="001D49D4">
        <w:rPr>
          <w:rFonts w:ascii="Arial" w:hAnsi="Arial"/>
          <w:sz w:val="16"/>
          <w:szCs w:val="16"/>
          <w:rtl/>
        </w:rPr>
        <w:t>(משלי ד כ)</w:t>
      </w:r>
      <w:r w:rsidRPr="001D49D4">
        <w:rPr>
          <w:rFonts w:ascii="Arial" w:hAnsi="Arial"/>
          <w:rtl/>
        </w:rPr>
        <w:t xml:space="preserve">, בתי הלא אבקש לך </w:t>
      </w:r>
      <w:r w:rsidRPr="001D49D4">
        <w:rPr>
          <w:rFonts w:ascii="Arial" w:hAnsi="Arial"/>
          <w:sz w:val="16"/>
          <w:szCs w:val="16"/>
          <w:rtl/>
        </w:rPr>
        <w:t>(רות ג א)</w:t>
      </w:r>
      <w:r w:rsidRPr="001D49D4">
        <w:rPr>
          <w:rFonts w:ascii="Arial" w:hAnsi="Arial"/>
          <w:rtl/>
        </w:rPr>
        <w:t xml:space="preserve"> בעטרה שעטרה לו אמו </w:t>
      </w:r>
      <w:r w:rsidRPr="001D49D4">
        <w:rPr>
          <w:rFonts w:ascii="Arial" w:hAnsi="Arial"/>
          <w:sz w:val="16"/>
          <w:szCs w:val="16"/>
          <w:rtl/>
        </w:rPr>
        <w:t xml:space="preserve">(שה"ש ג יא) </w:t>
      </w:r>
      <w:r w:rsidRPr="001D49D4">
        <w:rPr>
          <w:rFonts w:ascii="Arial" w:hAnsi="Arial"/>
          <w:rtl/>
        </w:rPr>
        <w:t xml:space="preserve">ובלשון תלמוד אבא שאול בן אמא מרים </w:t>
      </w:r>
      <w:r w:rsidRPr="001D49D4">
        <w:rPr>
          <w:rFonts w:ascii="Arial" w:hAnsi="Arial"/>
          <w:sz w:val="16"/>
          <w:szCs w:val="16"/>
          <w:rtl/>
        </w:rPr>
        <w:t>(כתובות פז.)</w:t>
      </w:r>
      <w:r w:rsidRPr="001D49D4">
        <w:rPr>
          <w:rFonts w:ascii="Arial" w:hAnsi="Arial"/>
          <w:rtl/>
        </w:rPr>
        <w:t xml:space="preserve">, אימא </w:t>
      </w:r>
      <w:r w:rsidRPr="001D49D4">
        <w:rPr>
          <w:rFonts w:ascii="Arial" w:hAnsi="Arial"/>
          <w:rtl/>
        </w:rPr>
        <w:lastRenderedPageBreak/>
        <w:t xml:space="preserve">פלונית </w:t>
      </w:r>
      <w:r w:rsidRPr="001D49D4">
        <w:rPr>
          <w:rFonts w:ascii="Arial" w:hAnsi="Arial"/>
          <w:sz w:val="16"/>
          <w:szCs w:val="16"/>
          <w:rtl/>
        </w:rPr>
        <w:t>(ברכות טז:)</w:t>
      </w:r>
      <w:r w:rsidRPr="001D49D4">
        <w:rPr>
          <w:rFonts w:ascii="Arial" w:hAnsi="Arial"/>
          <w:rtl/>
        </w:rPr>
        <w:t>. ועוד כיון דהמגדל יתום נקרא בנו אז גם היתום ראוי לקרות לאלוף נעוריו אבי ולאשה אמי ואין כאן בית מיחוש, ועוד דהבעל כאשתו וקרינן ביה לא יומתו אבות על בנים</w:t>
      </w:r>
      <w:r w:rsidRPr="001D49D4">
        <w:rPr>
          <w:rFonts w:ascii="Arial" w:hAnsi="Arial"/>
          <w:sz w:val="16"/>
          <w:szCs w:val="16"/>
          <w:rtl/>
        </w:rPr>
        <w:t xml:space="preserve"> (סנהדרין כח:)</w:t>
      </w:r>
      <w:r w:rsidRPr="001D49D4">
        <w:rPr>
          <w:rFonts w:ascii="Arial" w:hAnsi="Arial"/>
          <w:rtl/>
        </w:rPr>
        <w:t xml:space="preserve">. </w:t>
      </w:r>
      <w:r w:rsidRPr="001D49D4">
        <w:rPr>
          <w:rFonts w:ascii="Arial" w:hAnsi="Arial"/>
          <w:color w:val="00B0F0"/>
          <w:rtl/>
        </w:rPr>
        <w:t>(וכ"פ הרמ"א)</w:t>
      </w:r>
    </w:p>
    <w:p w14:paraId="3B09E366" w14:textId="77777777" w:rsidR="001D49D4" w:rsidRPr="001D49D4" w:rsidRDefault="001D49D4" w:rsidP="0004348D">
      <w:pPr>
        <w:spacing w:before="360" w:after="240"/>
        <w:ind w:left="360"/>
        <w:rPr>
          <w:rFonts w:ascii="Arial" w:eastAsia="Calibri" w:hAnsi="Arial" w:cs="Arial"/>
          <w:u w:val="dotted"/>
          <w:rtl/>
        </w:rPr>
      </w:pPr>
      <w:r w:rsidRPr="001D49D4">
        <w:rPr>
          <w:rFonts w:ascii="Arial" w:eastAsia="Calibri" w:hAnsi="Arial" w:cs="Arial"/>
          <w:u w:val="dotted"/>
          <w:rtl/>
        </w:rPr>
        <w:t>ונחלקו האחרונים האם הדין כך כשיש לו עוד בנים או שמא רק כשיש לו בן שגדל בביתו ללא בנים משלו:</w:t>
      </w:r>
    </w:p>
    <w:p w14:paraId="0565904F" w14:textId="77777777" w:rsidR="001D49D4" w:rsidRPr="001D49D4" w:rsidRDefault="001D49D4" w:rsidP="0004348D">
      <w:pPr>
        <w:numPr>
          <w:ilvl w:val="0"/>
          <w:numId w:val="235"/>
        </w:numPr>
        <w:spacing w:before="360" w:after="240"/>
        <w:contextualSpacing/>
        <w:rPr>
          <w:rFonts w:ascii="Arial" w:hAnsi="Arial"/>
          <w:rtl/>
        </w:rPr>
      </w:pPr>
      <w:r w:rsidRPr="001D49D4">
        <w:rPr>
          <w:rFonts w:ascii="Arial" w:hAnsi="Arial"/>
          <w:rtl/>
        </w:rPr>
        <w:t xml:space="preserve">כנה"ג </w:t>
      </w:r>
      <w:r w:rsidRPr="001D49D4">
        <w:rPr>
          <w:rFonts w:ascii="Arial" w:hAnsi="Arial"/>
          <w:sz w:val="16"/>
          <w:szCs w:val="16"/>
          <w:rtl/>
        </w:rPr>
        <w:t xml:space="preserve">(הגה"ט אות עה) </w:t>
      </w:r>
      <w:r w:rsidRPr="001D49D4">
        <w:rPr>
          <w:rFonts w:ascii="Arial" w:hAnsi="Arial"/>
          <w:rtl/>
        </w:rPr>
        <w:t>וחת"ס</w:t>
      </w:r>
      <w:r w:rsidRPr="001D49D4">
        <w:rPr>
          <w:rFonts w:ascii="Arial" w:hAnsi="Arial"/>
          <w:sz w:val="16"/>
          <w:szCs w:val="16"/>
          <w:rtl/>
        </w:rPr>
        <w:t xml:space="preserve"> (אה"ע ח"א סי' עו)</w:t>
      </w:r>
      <w:r w:rsidRPr="001D49D4">
        <w:rPr>
          <w:rFonts w:ascii="Arial" w:hAnsi="Arial"/>
          <w:rtl/>
        </w:rPr>
        <w:t xml:space="preserve">- דוקא באין להמגדל בנים, </w:t>
      </w:r>
      <w:r w:rsidRPr="001D49D4">
        <w:rPr>
          <w:rFonts w:ascii="Arial" w:hAnsi="Arial"/>
          <w:vertAlign w:val="superscript"/>
          <w:rtl/>
        </w:rPr>
        <w:footnoteReference w:id="3311"/>
      </w:r>
      <w:r w:rsidRPr="001D49D4">
        <w:rPr>
          <w:rFonts w:ascii="Arial" w:hAnsi="Arial"/>
          <w:rtl/>
        </w:rPr>
        <w:t xml:space="preserve">דבשלמא כשאין לו בנים עביד אינש דמחמת חיבה קורא לו בנו, ולא חייש דנפיק מיניה חורבה והפסד ליורשיו בנחלתו שיבוא זה לירש בנחלתו, דלא איכפת ליה כולי האי, ואפשר דנוח לו שיירש בן אשתו האהוב את נכסיו מאשר יירשו אחיו וקרוביו, ומעשים בכל יום יוכיחו, משא"כ כשיש לו בנים של עצמו, אזי חושש טובא שלא יבוא מזה טעות והפסד להפקיע בניו מנחלתו, וחזקה לא שביק אינש בריה ויהיב לאחריני, ולכן שטר שנכתב כן פסול. </w:t>
      </w:r>
    </w:p>
    <w:p w14:paraId="245DC86B" w14:textId="77777777" w:rsidR="001D49D4" w:rsidRPr="001D49D4" w:rsidRDefault="001D49D4" w:rsidP="0004348D">
      <w:pPr>
        <w:numPr>
          <w:ilvl w:val="0"/>
          <w:numId w:val="235"/>
        </w:numPr>
        <w:spacing w:before="360" w:after="240"/>
        <w:contextualSpacing/>
        <w:rPr>
          <w:rFonts w:ascii="Arial" w:hAnsi="Arial"/>
          <w:rtl/>
        </w:rPr>
      </w:pPr>
      <w:r w:rsidRPr="001D49D4">
        <w:rPr>
          <w:rFonts w:ascii="Arial" w:hAnsi="Arial"/>
          <w:rtl/>
        </w:rPr>
        <w:t xml:space="preserve">אורים </w:t>
      </w:r>
      <w:r w:rsidRPr="001D49D4">
        <w:rPr>
          <w:rFonts w:ascii="Arial" w:hAnsi="Arial"/>
          <w:sz w:val="16"/>
          <w:szCs w:val="16"/>
          <w:rtl/>
        </w:rPr>
        <w:t>(סקמ"ז)</w:t>
      </w:r>
      <w:r w:rsidRPr="001D49D4">
        <w:rPr>
          <w:rFonts w:ascii="Arial" w:hAnsi="Arial"/>
          <w:rtl/>
        </w:rPr>
        <w:t>- אין לחלק</w:t>
      </w:r>
      <w:r w:rsidRPr="001D49D4">
        <w:rPr>
          <w:rFonts w:ascii="Arial" w:hAnsi="Arial"/>
          <w:vertAlign w:val="superscript"/>
          <w:rtl/>
        </w:rPr>
        <w:footnoteReference w:id="3312"/>
      </w:r>
      <w:r w:rsidRPr="001D49D4">
        <w:rPr>
          <w:rFonts w:ascii="Arial" w:hAnsi="Arial"/>
          <w:rtl/>
        </w:rPr>
        <w:t>, כי הטעם שנתן שם בתשובת מיימוני לפי דהמגדל יתום בתוך ביתו כו' וגם משום חביבות כדכתיב בני הט אזנך כו', וזה שייך בהכל אף ביש לו בנים.</w:t>
      </w:r>
    </w:p>
    <w:p w14:paraId="3CDE80AC" w14:textId="77777777" w:rsidR="001D49D4" w:rsidRPr="001D49D4" w:rsidRDefault="001D49D4" w:rsidP="0004348D">
      <w:pPr>
        <w:bidi w:val="0"/>
        <w:spacing w:before="360" w:after="240"/>
        <w:rPr>
          <w:rFonts w:ascii="Cambria" w:eastAsia="Times New Roman" w:hAnsi="Cambria" w:cs="Arial"/>
          <w:b/>
          <w:bCs/>
          <w:color w:val="365F91" w:themeColor="accent1" w:themeShade="BF"/>
          <w:sz w:val="28"/>
          <w:szCs w:val="28"/>
          <w:rtl/>
        </w:rPr>
        <w:sectPr w:rsidR="001D49D4" w:rsidRPr="001D49D4">
          <w:headerReference w:type="default" r:id="rId51"/>
          <w:footnotePr>
            <w:numRestart w:val="eachPage"/>
          </w:footnotePr>
          <w:pgSz w:w="11906" w:h="16838"/>
          <w:pgMar w:top="720" w:right="1134" w:bottom="720" w:left="1134" w:header="0" w:footer="0" w:gutter="0"/>
          <w:cols w:space="720"/>
          <w:bidi/>
          <w:rtlGutter/>
        </w:sectPr>
      </w:pPr>
    </w:p>
    <w:p w14:paraId="3EFB0B1E" w14:textId="77777777" w:rsidR="001D49D4" w:rsidRPr="001D49D4" w:rsidRDefault="001D49D4" w:rsidP="0004348D">
      <w:pPr>
        <w:keepNext/>
        <w:keepLines/>
        <w:spacing w:before="360" w:after="240"/>
        <w:outlineLvl w:val="0"/>
        <w:rPr>
          <w:rFonts w:ascii="Cambria" w:eastAsia="Times New Roman" w:hAnsi="Cambria" w:cs="Arial"/>
          <w:b/>
          <w:bCs/>
          <w:color w:val="365F91" w:themeColor="accent1" w:themeShade="BF"/>
          <w:sz w:val="28"/>
          <w:szCs w:val="28"/>
        </w:rPr>
      </w:pPr>
      <w:bookmarkStart w:id="428" w:name="_Toc24883868"/>
      <w:r w:rsidRPr="001D49D4">
        <w:rPr>
          <w:rFonts w:ascii="Cambria" w:eastAsia="Times New Roman" w:hAnsi="Cambria" w:cs="Arial"/>
          <w:b/>
          <w:bCs/>
          <w:color w:val="365F91" w:themeColor="accent1" w:themeShade="BF"/>
          <w:sz w:val="28"/>
          <w:szCs w:val="28"/>
          <w:rtl/>
        </w:rPr>
        <w:lastRenderedPageBreak/>
        <w:t>סימן מג: שצריך לכתוב זמן בשטר, וכל דיני האיחור והקדימה בפרטות, ובו כ"ט סעיפים.</w:t>
      </w:r>
      <w:bookmarkEnd w:id="428"/>
      <w:r w:rsidRPr="001D49D4">
        <w:rPr>
          <w:rFonts w:ascii="Cambria" w:eastAsia="Times New Roman" w:hAnsi="Cambria" w:cs="Arial"/>
          <w:b/>
          <w:bCs/>
          <w:color w:val="365F91" w:themeColor="accent1" w:themeShade="BF"/>
          <w:sz w:val="28"/>
          <w:szCs w:val="28"/>
          <w:rtl/>
        </w:rPr>
        <w:t xml:space="preserve"> </w:t>
      </w:r>
    </w:p>
    <w:p w14:paraId="3FE6666C" w14:textId="77777777" w:rsidR="001D49D4" w:rsidRPr="001D49D4" w:rsidRDefault="001D49D4" w:rsidP="0004348D">
      <w:pPr>
        <w:keepNext/>
        <w:keepLines/>
        <w:spacing w:before="360" w:after="240"/>
        <w:outlineLvl w:val="1"/>
        <w:rPr>
          <w:rFonts w:ascii="Cambria" w:eastAsia="Times New Roman" w:hAnsi="Cambria" w:cs="Arial"/>
          <w:bCs/>
          <w:color w:val="548DD4" w:themeColor="text2" w:themeTint="99"/>
          <w:sz w:val="26"/>
          <w:szCs w:val="26"/>
          <w:rtl/>
        </w:rPr>
      </w:pPr>
      <w:bookmarkStart w:id="429" w:name="_Toc24883869"/>
      <w:r w:rsidRPr="001D49D4">
        <w:rPr>
          <w:rFonts w:ascii="Cambria" w:eastAsia="Times New Roman" w:hAnsi="Cambria" w:cs="Arial"/>
          <w:bCs/>
          <w:color w:val="548DD4" w:themeColor="text2" w:themeTint="99"/>
          <w:sz w:val="26"/>
          <w:szCs w:val="26"/>
          <w:rtl/>
        </w:rPr>
        <w:t>סעיף א: כתיבת זמן בשטר. שטר שלא נכתב בו זמן.</w:t>
      </w:r>
      <w:bookmarkEnd w:id="429"/>
    </w:p>
    <w:p w14:paraId="04F425FD"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b/>
          <w:bCs/>
          <w:rtl/>
        </w:rPr>
        <w:t xml:space="preserve">בבא מציעא </w:t>
      </w:r>
      <w:r w:rsidRPr="001D49D4">
        <w:rPr>
          <w:rFonts w:ascii="Calibri" w:eastAsia="Calibri" w:hAnsi="Calibri" w:cs="Arial"/>
          <w:b/>
          <w:bCs/>
          <w:sz w:val="16"/>
          <w:szCs w:val="16"/>
          <w:rtl/>
        </w:rPr>
        <w:t xml:space="preserve">(פ"ק) </w:t>
      </w:r>
      <w:r w:rsidRPr="001D49D4">
        <w:rPr>
          <w:rFonts w:ascii="Calibri" w:eastAsia="Calibri" w:hAnsi="Calibri" w:cs="Arial"/>
          <w:b/>
          <w:bCs/>
          <w:rtl/>
        </w:rPr>
        <w:t>ז</w:t>
      </w:r>
      <w:r w:rsidRPr="001D49D4">
        <w:rPr>
          <w:rFonts w:ascii="Calibri" w:eastAsia="Calibri" w:hAnsi="Calibri" w:cs="Arial"/>
          <w:b/>
          <w:bCs/>
          <w:vertAlign w:val="superscript"/>
          <w:rtl/>
        </w:rPr>
        <w:footnoteReference w:id="3313"/>
      </w:r>
      <w:r w:rsidRPr="001D49D4">
        <w:rPr>
          <w:rFonts w:ascii="Calibri" w:eastAsia="Calibri" w:hAnsi="Calibri" w:cs="Arial"/>
          <w:b/>
          <w:bCs/>
          <w:rtl/>
        </w:rPr>
        <w:t xml:space="preserve"> ע"ב: </w:t>
      </w:r>
      <w:r w:rsidRPr="001D49D4">
        <w:rPr>
          <w:rFonts w:ascii="Calibri" w:eastAsia="Calibri" w:hAnsi="Calibri" w:cs="Arial"/>
          <w:rtl/>
        </w:rPr>
        <w:t>שטרא דאית ביה זמן כמה שוי, ודלית ביה זמן כמה שוי? בשטרא דאית ביה זמן - גבי ממשעבדי, ואידך לא גבי ממשעבדי</w:t>
      </w:r>
      <w:r w:rsidRPr="001D49D4">
        <w:rPr>
          <w:rFonts w:ascii="Calibri" w:eastAsia="Calibri" w:hAnsi="Calibri" w:cs="Arial"/>
          <w:vertAlign w:val="superscript"/>
          <w:rtl/>
        </w:rPr>
        <w:footnoteReference w:id="3314"/>
      </w:r>
      <w:r w:rsidRPr="001D49D4">
        <w:rPr>
          <w:rFonts w:ascii="Calibri" w:eastAsia="Calibri" w:hAnsi="Calibri" w:cs="Arial"/>
          <w:rtl/>
        </w:rPr>
        <w:t>.</w:t>
      </w:r>
    </w:p>
    <w:p w14:paraId="25620BD7" w14:textId="77777777" w:rsidR="001D49D4" w:rsidRPr="001D49D4" w:rsidRDefault="001D49D4" w:rsidP="0004348D">
      <w:pPr>
        <w:spacing w:before="360" w:after="240"/>
        <w:rPr>
          <w:rFonts w:ascii="Calibri" w:eastAsia="Calibri" w:hAnsi="Calibri" w:cs="Arial"/>
          <w:u w:val="single"/>
          <w:rtl/>
        </w:rPr>
      </w:pPr>
      <w:r w:rsidRPr="001D49D4">
        <w:rPr>
          <w:rFonts w:ascii="Calibri" w:eastAsia="Calibri" w:hAnsi="Calibri" w:cs="Arial"/>
          <w:u w:val="single"/>
          <w:rtl/>
        </w:rPr>
        <w:t>כתיבת זמן בשטר:</w:t>
      </w:r>
    </w:p>
    <w:p w14:paraId="3D6D0209" w14:textId="77777777" w:rsidR="001D49D4" w:rsidRPr="001D49D4" w:rsidRDefault="001D49D4" w:rsidP="0004348D">
      <w:pPr>
        <w:numPr>
          <w:ilvl w:val="0"/>
          <w:numId w:val="217"/>
        </w:numPr>
        <w:spacing w:before="360" w:after="240"/>
        <w:contextualSpacing/>
        <w:rPr>
          <w:rtl/>
        </w:rPr>
      </w:pPr>
      <w:r w:rsidRPr="001D49D4">
        <w:rPr>
          <w:rtl/>
        </w:rPr>
        <w:t>טור- כותבין בשטר זמן הלואה כדי שנדע מאיזה זמן יטרוף מהלקוחות שקנו מן הלוה.</w:t>
      </w:r>
      <w:r w:rsidRPr="001D49D4">
        <w:rPr>
          <w:color w:val="E36C0A" w:themeColor="accent6" w:themeShade="BF"/>
          <w:rtl/>
        </w:rPr>
        <w:t xml:space="preserve"> (וכ"פ בשו"ע)</w:t>
      </w:r>
    </w:p>
    <w:p w14:paraId="19F3DF53" w14:textId="77777777" w:rsidR="001D49D4" w:rsidRPr="001D49D4" w:rsidRDefault="001D49D4" w:rsidP="0004348D">
      <w:pPr>
        <w:spacing w:before="360" w:after="240"/>
        <w:rPr>
          <w:rFonts w:ascii="Calibri" w:eastAsia="Calibri" w:hAnsi="Calibri" w:cs="Arial"/>
          <w:u w:val="dotted"/>
        </w:rPr>
      </w:pPr>
      <w:r w:rsidRPr="001D49D4">
        <w:rPr>
          <w:rFonts w:ascii="Calibri" w:eastAsia="Calibri" w:hAnsi="Calibri" w:cs="Arial"/>
          <w:u w:val="dotted"/>
          <w:rtl/>
        </w:rPr>
        <w:t>ומה הדין אם לא נכתב זמן בשטר:</w:t>
      </w:r>
    </w:p>
    <w:p w14:paraId="3BCB34A4" w14:textId="77777777" w:rsidR="001D49D4" w:rsidRPr="001D49D4" w:rsidRDefault="001D49D4" w:rsidP="0004348D">
      <w:pPr>
        <w:numPr>
          <w:ilvl w:val="0"/>
          <w:numId w:val="217"/>
        </w:numPr>
        <w:spacing w:before="360" w:after="240"/>
        <w:contextualSpacing/>
      </w:pPr>
      <w:r w:rsidRPr="001D49D4">
        <w:rPr>
          <w:rtl/>
        </w:rPr>
        <w:t xml:space="preserve">טור- ומיהו אפילו אין כתוב בו זמן - השטר כשר לגבות בו ממנו, אלא שאינו יכול לגבות מהלקוחות שיכולין לומר לו 'קנייננו קדמה להלואה שלך'. </w:t>
      </w:r>
      <w:r w:rsidRPr="001D49D4">
        <w:rPr>
          <w:color w:val="E36C0A" w:themeColor="accent6" w:themeShade="BF"/>
          <w:rtl/>
        </w:rPr>
        <w:t>(וכ"ס בשו"ע)</w:t>
      </w:r>
    </w:p>
    <w:p w14:paraId="7DAF47F9" w14:textId="77777777" w:rsidR="001D49D4" w:rsidRPr="001D49D4" w:rsidRDefault="001D49D4" w:rsidP="0004348D">
      <w:pPr>
        <w:numPr>
          <w:ilvl w:val="0"/>
          <w:numId w:val="217"/>
        </w:numPr>
        <w:spacing w:before="360" w:after="240"/>
        <w:contextualSpacing/>
      </w:pPr>
      <w:r w:rsidRPr="001D49D4">
        <w:rPr>
          <w:rtl/>
        </w:rPr>
        <w:t xml:space="preserve">רי"ו </w:t>
      </w:r>
      <w:r w:rsidRPr="001D49D4">
        <w:rPr>
          <w:sz w:val="16"/>
          <w:szCs w:val="16"/>
          <w:rtl/>
        </w:rPr>
        <w:t>(מישרים נ"ד ח"ב יט ע"ד)</w:t>
      </w:r>
      <w:r w:rsidRPr="001D49D4">
        <w:rPr>
          <w:rtl/>
        </w:rPr>
        <w:t>- אע"פ שאין בו זמן, אם קנה אחר שראו עדים השטר כתוב וחתום - גבי מאותם נכסים אפילו הם ממשעבדי. (וכ"פ הש"ך</w:t>
      </w:r>
      <w:r w:rsidRPr="001D49D4">
        <w:rPr>
          <w:sz w:val="16"/>
          <w:szCs w:val="16"/>
          <w:rtl/>
        </w:rPr>
        <w:t xml:space="preserve"> [סק"ב]</w:t>
      </w:r>
      <w:r w:rsidRPr="001D49D4">
        <w:rPr>
          <w:rtl/>
        </w:rPr>
        <w:t>)</w:t>
      </w:r>
    </w:p>
    <w:p w14:paraId="486917D6" w14:textId="77777777" w:rsidR="001D49D4" w:rsidRPr="001D49D4" w:rsidRDefault="001D49D4" w:rsidP="0004348D">
      <w:pPr>
        <w:spacing w:before="360" w:after="240"/>
        <w:rPr>
          <w:rFonts w:ascii="Calibri" w:eastAsia="Calibri" w:hAnsi="Calibri" w:cs="Arial"/>
        </w:rPr>
      </w:pPr>
      <w:r w:rsidRPr="001D49D4">
        <w:rPr>
          <w:rFonts w:ascii="Calibri" w:eastAsia="Calibri" w:hAnsi="Calibri" w:cs="Arial"/>
          <w:u w:val="single"/>
          <w:rtl/>
        </w:rPr>
        <w:t>שטר שלא כתוב בו לא זמן ולא מקום הכתיבה:</w:t>
      </w:r>
      <w:r w:rsidRPr="001D49D4">
        <w:rPr>
          <w:rFonts w:ascii="Calibri" w:eastAsia="Calibri" w:hAnsi="Calibri" w:cs="Arial"/>
          <w:rtl/>
        </w:rPr>
        <w:t xml:space="preserve">  </w:t>
      </w:r>
      <w:r w:rsidRPr="001D49D4">
        <w:rPr>
          <w:rFonts w:ascii="Calibri" w:eastAsia="Calibri" w:hAnsi="Calibri" w:cs="Arial"/>
          <w:sz w:val="16"/>
          <w:szCs w:val="16"/>
          <w:rtl/>
        </w:rPr>
        <w:t>(דרכ"מ אות א*)</w:t>
      </w:r>
      <w:r w:rsidRPr="001D49D4">
        <w:rPr>
          <w:rFonts w:ascii="Calibri" w:eastAsia="Calibri" w:hAnsi="Calibri" w:cs="Arial"/>
          <w:rtl/>
        </w:rPr>
        <w:t xml:space="preserve"> </w:t>
      </w:r>
    </w:p>
    <w:p w14:paraId="02C45AAB" w14:textId="77777777" w:rsidR="001D49D4" w:rsidRPr="001D49D4" w:rsidRDefault="001D49D4" w:rsidP="0004348D">
      <w:pPr>
        <w:numPr>
          <w:ilvl w:val="0"/>
          <w:numId w:val="217"/>
        </w:numPr>
        <w:spacing w:before="360" w:after="240"/>
        <w:contextualSpacing/>
      </w:pPr>
      <w:r w:rsidRPr="001D49D4">
        <w:rPr>
          <w:rtl/>
        </w:rPr>
        <w:t xml:space="preserve">ר"ן </w:t>
      </w:r>
      <w:r w:rsidRPr="001D49D4">
        <w:rPr>
          <w:sz w:val="16"/>
          <w:szCs w:val="16"/>
          <w:rtl/>
        </w:rPr>
        <w:t>(כתובות סה: סוד"ה ולענין)</w:t>
      </w:r>
      <w:r w:rsidRPr="001D49D4">
        <w:rPr>
          <w:rtl/>
        </w:rPr>
        <w:t xml:space="preserve">- שטר שאין בו זמן ולא מקום שנכתב בו - השטר כשר. </w:t>
      </w:r>
    </w:p>
    <w:p w14:paraId="41D6F124" w14:textId="77777777" w:rsidR="001D49D4" w:rsidRPr="001D49D4" w:rsidRDefault="001D49D4" w:rsidP="0004348D">
      <w:pPr>
        <w:spacing w:before="360" w:after="240"/>
        <w:rPr>
          <w:rFonts w:ascii="Arial" w:eastAsia="Calibri" w:hAnsi="Arial" w:cs="Arial"/>
          <w:b/>
          <w:bCs/>
          <w:color w:val="000000"/>
          <w:sz w:val="28"/>
          <w:szCs w:val="28"/>
          <w:u w:val="single"/>
          <w:rtl/>
        </w:rPr>
      </w:pPr>
      <w:r w:rsidRPr="001D49D4">
        <w:rPr>
          <w:rFonts w:ascii="Arial" w:eastAsia="Calibri" w:hAnsi="Arial" w:cs="Arial"/>
          <w:b/>
          <w:bCs/>
          <w:color w:val="000000"/>
          <w:sz w:val="28"/>
          <w:szCs w:val="28"/>
          <w:u w:val="single"/>
          <w:rtl/>
        </w:rPr>
        <w:t>שו"ע:</w:t>
      </w:r>
    </w:p>
    <w:p w14:paraId="6DEDD38F"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rtl/>
        </w:rPr>
        <w:t>כותבין בשטר זמן הלואה כדי שנדע מאיזה לקוחות יטרוף, שהלקוחות שקנו קודם זמן הלואתו אינו יכול לטרוף מהם. ואם לא כתב בו זמן, כשר לגבות בו ממנו, אבל אינו יכול לטרוף מהלקוחות, שיכולים לומר קנייננו קודם הלואתך</w:t>
      </w:r>
      <w:r w:rsidRPr="001D49D4">
        <w:rPr>
          <w:rFonts w:ascii="Calibri" w:eastAsia="Calibri" w:hAnsi="Calibri" w:cs="Arial"/>
          <w:vertAlign w:val="superscript"/>
          <w:rtl/>
        </w:rPr>
        <w:footnoteReference w:id="3315"/>
      </w:r>
      <w:r w:rsidRPr="001D49D4">
        <w:rPr>
          <w:rFonts w:ascii="Calibri" w:eastAsia="Calibri" w:hAnsi="Calibri" w:cs="Arial"/>
          <w:rtl/>
        </w:rPr>
        <w:t>. ויש מי שאומר שאם קנה אחר שראו העדים השטר כתוב וחתום, טורף מהם</w:t>
      </w:r>
      <w:r w:rsidRPr="001D49D4">
        <w:rPr>
          <w:rFonts w:ascii="Calibri" w:eastAsia="Calibri" w:hAnsi="Calibri" w:cs="Arial"/>
          <w:vertAlign w:val="superscript"/>
          <w:rtl/>
        </w:rPr>
        <w:footnoteReference w:id="3316"/>
      </w:r>
      <w:r w:rsidRPr="001D49D4">
        <w:rPr>
          <w:rFonts w:ascii="Calibri" w:eastAsia="Calibri" w:hAnsi="Calibri" w:cs="Arial"/>
          <w:rtl/>
        </w:rPr>
        <w:t xml:space="preserve">. </w:t>
      </w:r>
      <w:r w:rsidRPr="001D49D4">
        <w:rPr>
          <w:rFonts w:ascii="Calibri" w:eastAsia="Calibri" w:hAnsi="Calibri" w:cs="Arial"/>
          <w:sz w:val="18"/>
          <w:szCs w:val="18"/>
          <w:rtl/>
        </w:rPr>
        <w:t>[הגה] שובר שאין בו זמן, כשר</w:t>
      </w:r>
      <w:r w:rsidRPr="001D49D4">
        <w:rPr>
          <w:rFonts w:ascii="Calibri" w:eastAsia="Calibri" w:hAnsi="Calibri" w:cs="Arial"/>
          <w:sz w:val="18"/>
          <w:szCs w:val="18"/>
          <w:vertAlign w:val="superscript"/>
          <w:rtl/>
        </w:rPr>
        <w:footnoteReference w:id="3317"/>
      </w:r>
      <w:r w:rsidRPr="001D49D4">
        <w:rPr>
          <w:rFonts w:ascii="Calibri" w:eastAsia="Calibri" w:hAnsi="Calibri" w:cs="Arial"/>
          <w:sz w:val="18"/>
          <w:szCs w:val="18"/>
          <w:rtl/>
        </w:rPr>
        <w:t>, ויד בעל השובר על העליונה (רא"ש כלל עו).</w:t>
      </w:r>
    </w:p>
    <w:p w14:paraId="57DA11DB"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rtl/>
        </w:rPr>
        <w:t xml:space="preserve"> </w:t>
      </w:r>
    </w:p>
    <w:p w14:paraId="63EBD09A" w14:textId="77777777" w:rsidR="001D49D4" w:rsidRPr="001D49D4" w:rsidRDefault="001D49D4" w:rsidP="0004348D">
      <w:pPr>
        <w:keepNext/>
        <w:keepLines/>
        <w:spacing w:before="360" w:after="240"/>
        <w:outlineLvl w:val="1"/>
        <w:rPr>
          <w:rFonts w:ascii="Cambria" w:eastAsia="Times New Roman" w:hAnsi="Cambria" w:cs="Arial"/>
          <w:bCs/>
          <w:color w:val="548DD4" w:themeColor="text2" w:themeTint="99"/>
          <w:sz w:val="26"/>
          <w:szCs w:val="26"/>
          <w:rtl/>
        </w:rPr>
      </w:pPr>
      <w:bookmarkStart w:id="430" w:name="_Toc24883870"/>
      <w:r w:rsidRPr="001D49D4">
        <w:rPr>
          <w:rFonts w:ascii="Cambria" w:eastAsia="Times New Roman" w:hAnsi="Cambria" w:cs="Arial"/>
          <w:bCs/>
          <w:color w:val="548DD4" w:themeColor="text2" w:themeTint="99"/>
          <w:sz w:val="26"/>
          <w:szCs w:val="26"/>
          <w:rtl/>
        </w:rPr>
        <w:t>סעיף ב: שטר שלא נכתב בו 'לבריאת העולם' ואת מספר האלפים והמאות.</w:t>
      </w:r>
      <w:bookmarkEnd w:id="430"/>
    </w:p>
    <w:p w14:paraId="68AEA02D" w14:textId="77777777" w:rsidR="001D49D4" w:rsidRPr="001D49D4" w:rsidRDefault="001D49D4" w:rsidP="0004348D">
      <w:pPr>
        <w:spacing w:before="360" w:after="240"/>
        <w:rPr>
          <w:rFonts w:ascii="Calibri" w:eastAsia="Calibri" w:hAnsi="Calibri" w:cs="Arial"/>
          <w:rtl/>
        </w:rPr>
      </w:pPr>
      <w:bookmarkStart w:id="431" w:name="_Hlk13386598"/>
      <w:r w:rsidRPr="001D49D4">
        <w:rPr>
          <w:rFonts w:ascii="Calibri" w:eastAsia="Calibri" w:hAnsi="Calibri" w:cs="Arial"/>
          <w:b/>
          <w:bCs/>
          <w:rtl/>
        </w:rPr>
        <w:t>עבודה זרה</w:t>
      </w:r>
      <w:r w:rsidRPr="001D49D4">
        <w:rPr>
          <w:rFonts w:ascii="Calibri" w:eastAsia="Calibri" w:hAnsi="Calibri" w:cs="Arial"/>
          <w:b/>
          <w:bCs/>
          <w:sz w:val="16"/>
          <w:szCs w:val="16"/>
          <w:rtl/>
        </w:rPr>
        <w:t xml:space="preserve"> (פ"ק)</w:t>
      </w:r>
      <w:r w:rsidRPr="001D49D4">
        <w:rPr>
          <w:rFonts w:ascii="Calibri" w:eastAsia="Calibri" w:hAnsi="Calibri" w:cs="Arial"/>
          <w:b/>
          <w:bCs/>
          <w:rtl/>
        </w:rPr>
        <w:t xml:space="preserve"> ט</w:t>
      </w:r>
      <w:r w:rsidRPr="001D49D4">
        <w:rPr>
          <w:rFonts w:ascii="Calibri" w:eastAsia="Calibri" w:hAnsi="Calibri" w:cs="Arial"/>
          <w:b/>
          <w:bCs/>
          <w:vertAlign w:val="superscript"/>
          <w:rtl/>
        </w:rPr>
        <w:footnoteReference w:id="3318"/>
      </w:r>
      <w:r w:rsidRPr="001D49D4">
        <w:rPr>
          <w:rFonts w:ascii="Calibri" w:eastAsia="Calibri" w:hAnsi="Calibri" w:cs="Arial"/>
          <w:b/>
          <w:bCs/>
          <w:rtl/>
        </w:rPr>
        <w:t xml:space="preserve"> ע"ב:</w:t>
      </w:r>
      <w:r w:rsidRPr="001D49D4">
        <w:rPr>
          <w:rFonts w:ascii="Calibri" w:eastAsia="Calibri" w:hAnsi="Calibri" w:cs="Arial"/>
          <w:rtl/>
        </w:rPr>
        <w:t xml:space="preserve"> ההוא שטרא דהוה כתיב ביה </w:t>
      </w:r>
      <w:r w:rsidRPr="001D49D4">
        <w:rPr>
          <w:rFonts w:ascii="Calibri" w:eastAsia="Calibri" w:hAnsi="Calibri" w:cs="Arial"/>
          <w:sz w:val="14"/>
          <w:szCs w:val="14"/>
          <w:rtl/>
        </w:rPr>
        <w:t xml:space="preserve">(י.) </w:t>
      </w:r>
      <w:r w:rsidRPr="001D49D4">
        <w:rPr>
          <w:rFonts w:ascii="Calibri" w:eastAsia="Calibri" w:hAnsi="Calibri" w:cs="Arial"/>
          <w:rtl/>
        </w:rPr>
        <w:t>שית שנין יתירתא</w:t>
      </w:r>
      <w:r w:rsidRPr="001D49D4">
        <w:rPr>
          <w:rFonts w:ascii="Calibri" w:eastAsia="Calibri" w:hAnsi="Calibri" w:cs="Arial"/>
          <w:vertAlign w:val="superscript"/>
          <w:rtl/>
        </w:rPr>
        <w:footnoteReference w:id="3319"/>
      </w:r>
      <w:r w:rsidRPr="001D49D4">
        <w:rPr>
          <w:rFonts w:ascii="Calibri" w:eastAsia="Calibri" w:hAnsi="Calibri" w:cs="Arial"/>
          <w:rtl/>
        </w:rPr>
        <w:t xml:space="preserve">, </w:t>
      </w:r>
      <w:r w:rsidRPr="001D49D4">
        <w:rPr>
          <w:rFonts w:ascii="Calibri" w:eastAsia="Calibri" w:hAnsi="Calibri" w:cs="Arial"/>
          <w:u w:val="single"/>
          <w:rtl/>
        </w:rPr>
        <w:t>סבור רבנן קמיה דרב נחמן למימר</w:t>
      </w:r>
      <w:r w:rsidRPr="001D49D4">
        <w:rPr>
          <w:rFonts w:ascii="Calibri" w:eastAsia="Calibri" w:hAnsi="Calibri" w:cs="Arial"/>
          <w:rtl/>
        </w:rPr>
        <w:t>: האי שטר מאוחר הוא</w:t>
      </w:r>
      <w:r w:rsidRPr="001D49D4">
        <w:rPr>
          <w:rFonts w:ascii="Calibri" w:eastAsia="Calibri" w:hAnsi="Calibri" w:cs="Arial"/>
          <w:vertAlign w:val="superscript"/>
          <w:rtl/>
        </w:rPr>
        <w:footnoteReference w:id="3320"/>
      </w:r>
      <w:r w:rsidRPr="001D49D4">
        <w:rPr>
          <w:rFonts w:ascii="Calibri" w:eastAsia="Calibri" w:hAnsi="Calibri" w:cs="Arial"/>
          <w:rtl/>
        </w:rPr>
        <w:t>, ניעכביה עד דמטיא זמניה ולא טריף</w:t>
      </w:r>
      <w:r w:rsidRPr="001D49D4">
        <w:rPr>
          <w:rFonts w:ascii="Calibri" w:eastAsia="Calibri" w:hAnsi="Calibri" w:cs="Arial"/>
          <w:vertAlign w:val="superscript"/>
          <w:rtl/>
        </w:rPr>
        <w:footnoteReference w:id="3321"/>
      </w:r>
      <w:r w:rsidRPr="001D49D4">
        <w:rPr>
          <w:rFonts w:ascii="Calibri" w:eastAsia="Calibri" w:hAnsi="Calibri" w:cs="Arial"/>
          <w:rtl/>
        </w:rPr>
        <w:t xml:space="preserve">. </w:t>
      </w:r>
      <w:r w:rsidRPr="001D49D4">
        <w:rPr>
          <w:rFonts w:ascii="Calibri" w:eastAsia="Calibri" w:hAnsi="Calibri" w:cs="Arial"/>
          <w:u w:val="single"/>
          <w:rtl/>
        </w:rPr>
        <w:t>אמר רב נחמן</w:t>
      </w:r>
      <w:r w:rsidRPr="001D49D4">
        <w:rPr>
          <w:rFonts w:ascii="Calibri" w:eastAsia="Calibri" w:hAnsi="Calibri" w:cs="Arial"/>
          <w:rtl/>
        </w:rPr>
        <w:t>: האי ספרא דוקנא כתביה</w:t>
      </w:r>
      <w:r w:rsidRPr="001D49D4">
        <w:rPr>
          <w:rFonts w:ascii="Calibri" w:eastAsia="Calibri" w:hAnsi="Calibri" w:cs="Arial"/>
          <w:vertAlign w:val="superscript"/>
          <w:rtl/>
        </w:rPr>
        <w:footnoteReference w:id="3322"/>
      </w:r>
      <w:r w:rsidRPr="001D49D4">
        <w:rPr>
          <w:rFonts w:ascii="Calibri" w:eastAsia="Calibri" w:hAnsi="Calibri" w:cs="Arial"/>
          <w:rtl/>
        </w:rPr>
        <w:t xml:space="preserve">, והנך שית שנין דמלכו בעילם דאנן לא חשבינן להו, הוא קחשיב ליה, ובזמניה כתביה, דתניא, ר' יוסי אומר: שש שנים מלכו </w:t>
      </w:r>
      <w:r w:rsidRPr="001D49D4">
        <w:rPr>
          <w:rFonts w:ascii="Calibri" w:eastAsia="Calibri" w:hAnsi="Calibri" w:cs="Arial"/>
          <w:rtl/>
        </w:rPr>
        <w:lastRenderedPageBreak/>
        <w:t xml:space="preserve">בעילם, ואח"כ פשטה מלכותן בכל העולם כולו. </w:t>
      </w:r>
      <w:r w:rsidRPr="001D49D4">
        <w:rPr>
          <w:rFonts w:ascii="Calibri" w:eastAsia="Calibri" w:hAnsi="Calibri" w:cs="Arial"/>
          <w:u w:val="single"/>
          <w:rtl/>
        </w:rPr>
        <w:t>מתקיף לה רב אחא בר יעקב</w:t>
      </w:r>
      <w:r w:rsidRPr="001D49D4">
        <w:rPr>
          <w:rFonts w:ascii="Calibri" w:eastAsia="Calibri" w:hAnsi="Calibri" w:cs="Arial"/>
          <w:rtl/>
        </w:rPr>
        <w:t>: ממאי</w:t>
      </w:r>
      <w:r w:rsidRPr="001D49D4">
        <w:rPr>
          <w:rFonts w:ascii="Calibri" w:eastAsia="Calibri" w:hAnsi="Calibri" w:cs="Arial"/>
          <w:vertAlign w:val="superscript"/>
          <w:rtl/>
        </w:rPr>
        <w:footnoteReference w:id="3323"/>
      </w:r>
      <w:r w:rsidRPr="001D49D4">
        <w:rPr>
          <w:rFonts w:ascii="Calibri" w:eastAsia="Calibri" w:hAnsi="Calibri" w:cs="Arial"/>
          <w:rtl/>
        </w:rPr>
        <w:t xml:space="preserve"> דלמלכות יונים מנינן? דלמא</w:t>
      </w:r>
      <w:r w:rsidRPr="001D49D4">
        <w:rPr>
          <w:rFonts w:ascii="Calibri" w:eastAsia="Calibri" w:hAnsi="Calibri" w:cs="Arial"/>
          <w:vertAlign w:val="superscript"/>
          <w:rtl/>
        </w:rPr>
        <w:footnoteReference w:id="3324"/>
      </w:r>
      <w:r w:rsidRPr="001D49D4">
        <w:rPr>
          <w:rFonts w:ascii="Calibri" w:eastAsia="Calibri" w:hAnsi="Calibri" w:cs="Arial"/>
          <w:rtl/>
        </w:rPr>
        <w:t xml:space="preserve"> ליציאת מצרים מנינן, ושבקיה לאלפא קמא</w:t>
      </w:r>
      <w:r w:rsidRPr="001D49D4">
        <w:rPr>
          <w:rFonts w:ascii="Calibri" w:eastAsia="Calibri" w:hAnsi="Calibri" w:cs="Arial"/>
          <w:vertAlign w:val="superscript"/>
          <w:rtl/>
        </w:rPr>
        <w:footnoteReference w:id="3325"/>
      </w:r>
      <w:r w:rsidRPr="001D49D4">
        <w:rPr>
          <w:rFonts w:ascii="Calibri" w:eastAsia="Calibri" w:hAnsi="Calibri" w:cs="Arial"/>
          <w:rtl/>
        </w:rPr>
        <w:t xml:space="preserve"> ונקטיה אלפא בתרא, והאי מאוחר הוא! </w:t>
      </w:r>
      <w:r w:rsidRPr="001D49D4">
        <w:rPr>
          <w:rFonts w:ascii="Calibri" w:eastAsia="Calibri" w:hAnsi="Calibri" w:cs="Arial"/>
          <w:u w:val="single"/>
          <w:rtl/>
        </w:rPr>
        <w:t>אמר רב נחמן</w:t>
      </w:r>
      <w:r w:rsidRPr="001D49D4">
        <w:rPr>
          <w:rFonts w:ascii="Calibri" w:eastAsia="Calibri" w:hAnsi="Calibri" w:cs="Arial"/>
          <w:rtl/>
        </w:rPr>
        <w:t>: בגולה אין מונין אלא למלכי יונים בלבד</w:t>
      </w:r>
      <w:r w:rsidRPr="001D49D4">
        <w:rPr>
          <w:rFonts w:ascii="Calibri" w:eastAsia="Calibri" w:hAnsi="Calibri" w:cs="Arial"/>
          <w:vertAlign w:val="superscript"/>
          <w:rtl/>
        </w:rPr>
        <w:footnoteReference w:id="3326"/>
      </w:r>
      <w:r w:rsidRPr="001D49D4">
        <w:rPr>
          <w:rFonts w:ascii="Calibri" w:eastAsia="Calibri" w:hAnsi="Calibri" w:cs="Arial"/>
          <w:rtl/>
        </w:rPr>
        <w:t xml:space="preserve">. </w:t>
      </w:r>
      <w:bookmarkEnd w:id="431"/>
      <w:r w:rsidRPr="001D49D4">
        <w:rPr>
          <w:rFonts w:ascii="Calibri" w:eastAsia="Calibri" w:hAnsi="Calibri" w:cs="Arial"/>
          <w:sz w:val="16"/>
          <w:szCs w:val="16"/>
          <w:rtl/>
        </w:rPr>
        <w:t xml:space="preserve">(וכתבו התוס' (ד"ה ספרא) ספרא דוקנא כתביה מכאן יש להכשיר שטר שדילג בו הסופר לבריאת עולם ואפילו דילג האלפים והמאות רק שכתב בכך וכך לפרט, שהרי בימיהם היו כותבים למלכות יונים והסופר דילגו, דאי הוה כתוב בשטר בהדיא למלכות יונים מאי הוה קאמר דלמא ליציאת מצרים וכו', ואפילו הכי לא אמרינן למניינא אחרינא כתבינן ועד דמטא זמניה לא טריף - כיון שבגולה אין מונין אלא למלכות יון, אף כאן אם דילג לבריאת עולם כיון שאין אנו מונין עתה כי אם לבריאת עולם אין לחוש. וגם אם דילג האלפים נמי אין לחוש מדקאמר בסמוך שבקיה לאלפא קמא ונקטיה לאלפא בתרא, ויש ספרים שגורסין שבקיה לכללא ונקטיה לפרטא, ור"ת עשה מעשה שכתב שטר בכך וכך לפרט ודילג האלפים וגם לבריאת עולם </w:t>
      </w:r>
      <w:r w:rsidRPr="001D49D4">
        <w:rPr>
          <w:rFonts w:ascii="Calibri" w:eastAsia="Calibri" w:hAnsi="Calibri" w:cs="Arial"/>
          <w:sz w:val="14"/>
          <w:szCs w:val="14"/>
          <w:rtl/>
        </w:rPr>
        <w:t>{עכ"ל}</w:t>
      </w:r>
      <w:r w:rsidRPr="001D49D4">
        <w:rPr>
          <w:rFonts w:ascii="Calibri" w:eastAsia="Calibri" w:hAnsi="Calibri" w:cs="Arial"/>
          <w:sz w:val="16"/>
          <w:szCs w:val="16"/>
          <w:rtl/>
        </w:rPr>
        <w:t>. וכ"כ הרא"ש (סו"ס ז), ב"י)</w:t>
      </w:r>
    </w:p>
    <w:p w14:paraId="0E43BE56"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u w:val="single"/>
          <w:rtl/>
        </w:rPr>
        <w:t>שטר שנכתב בו זמן אך לא נכתב בו 'לבריאת העולם' ולא את מספר האלפים:</w:t>
      </w:r>
    </w:p>
    <w:p w14:paraId="57E99081" w14:textId="77777777" w:rsidR="001D49D4" w:rsidRPr="001D49D4" w:rsidRDefault="001D49D4" w:rsidP="0004348D">
      <w:pPr>
        <w:numPr>
          <w:ilvl w:val="0"/>
          <w:numId w:val="217"/>
        </w:numPr>
        <w:spacing w:before="360" w:after="240"/>
        <w:contextualSpacing/>
        <w:rPr>
          <w:rtl/>
        </w:rPr>
      </w:pPr>
      <w:r w:rsidRPr="001D49D4">
        <w:rPr>
          <w:rtl/>
        </w:rPr>
        <w:t xml:space="preserve">תוס' </w:t>
      </w:r>
      <w:r w:rsidRPr="001D49D4">
        <w:rPr>
          <w:sz w:val="16"/>
          <w:szCs w:val="16"/>
          <w:rtl/>
        </w:rPr>
        <w:t xml:space="preserve">(י. ד"ה ספרא, הטור כ"כ בשם ר"י) </w:t>
      </w:r>
      <w:r w:rsidRPr="001D49D4">
        <w:rPr>
          <w:rtl/>
        </w:rPr>
        <w:t xml:space="preserve">רא"ש </w:t>
      </w:r>
      <w:r w:rsidRPr="001D49D4">
        <w:rPr>
          <w:sz w:val="16"/>
          <w:szCs w:val="16"/>
          <w:rtl/>
        </w:rPr>
        <w:t>(סו"ס ז)</w:t>
      </w:r>
      <w:r w:rsidRPr="001D49D4">
        <w:rPr>
          <w:rtl/>
        </w:rPr>
        <w:t xml:space="preserve"> וטור- אם כתב הסופר החשבון כדינו הכלל והפרט אלא שדילג 'לבריאת עולם' - השטר כשר לטרוף בו מהלקוחות, שאנו תולין אותו בטעות הסופר, וכן אם לא כתב חמשת אלפים אלא כתב הפרט, כדאמרינן דלמא שבק לאלפא קמא ונקט לאלפא בתרא</w:t>
      </w:r>
      <w:r w:rsidRPr="001D49D4">
        <w:rPr>
          <w:vertAlign w:val="superscript"/>
          <w:rtl/>
        </w:rPr>
        <w:footnoteReference w:id="3327"/>
      </w:r>
      <w:r w:rsidRPr="001D49D4">
        <w:rPr>
          <w:sz w:val="16"/>
          <w:szCs w:val="16"/>
          <w:rtl/>
        </w:rPr>
        <w:t xml:space="preserve"> (ל' הטור)</w:t>
      </w:r>
      <w:r w:rsidRPr="001D49D4">
        <w:rPr>
          <w:rtl/>
        </w:rPr>
        <w:t xml:space="preserve">. </w:t>
      </w:r>
    </w:p>
    <w:p w14:paraId="36598599" w14:textId="77777777" w:rsidR="001D49D4" w:rsidRPr="001D49D4" w:rsidRDefault="001D49D4" w:rsidP="0004348D">
      <w:pPr>
        <w:spacing w:before="360" w:after="240"/>
        <w:ind w:left="360"/>
        <w:rPr>
          <w:rFonts w:ascii="Calibri" w:eastAsia="Calibri" w:hAnsi="Calibri" w:cs="Arial"/>
          <w:u w:val="dotted"/>
        </w:rPr>
      </w:pPr>
      <w:r w:rsidRPr="001D49D4">
        <w:rPr>
          <w:rFonts w:ascii="Calibri" w:eastAsia="Calibri" w:hAnsi="Calibri" w:cs="Arial"/>
          <w:u w:val="dotted"/>
          <w:rtl/>
        </w:rPr>
        <w:t>ומה הדין אם לא נכתב בו שום כלל אלא רק הפרט הקטן:</w:t>
      </w:r>
    </w:p>
    <w:p w14:paraId="2367052B" w14:textId="77777777" w:rsidR="001D49D4" w:rsidRPr="001D49D4" w:rsidRDefault="001D49D4" w:rsidP="0004348D">
      <w:pPr>
        <w:numPr>
          <w:ilvl w:val="0"/>
          <w:numId w:val="217"/>
        </w:numPr>
        <w:spacing w:before="360" w:after="240"/>
        <w:contextualSpacing/>
      </w:pPr>
      <w:r w:rsidRPr="001D49D4">
        <w:rPr>
          <w:rtl/>
        </w:rPr>
        <w:t>תוס'</w:t>
      </w:r>
      <w:r w:rsidRPr="001D49D4">
        <w:rPr>
          <w:sz w:val="16"/>
          <w:szCs w:val="16"/>
          <w:rtl/>
        </w:rPr>
        <w:t xml:space="preserve"> (שם)</w:t>
      </w:r>
      <w:r w:rsidRPr="001D49D4">
        <w:rPr>
          <w:rtl/>
        </w:rPr>
        <w:t xml:space="preserve"> סה"ת </w:t>
      </w:r>
      <w:r w:rsidRPr="001D49D4">
        <w:rPr>
          <w:sz w:val="16"/>
          <w:szCs w:val="16"/>
          <w:rtl/>
        </w:rPr>
        <w:t xml:space="preserve">(סי' קלו, כ"כ בשמו הגה"מ [פי"ז ממלוה ולוה אות כ]) </w:t>
      </w:r>
      <w:r w:rsidRPr="001D49D4">
        <w:rPr>
          <w:rtl/>
        </w:rPr>
        <w:t xml:space="preserve">רא"ש </w:t>
      </w:r>
      <w:r w:rsidRPr="001D49D4">
        <w:rPr>
          <w:sz w:val="16"/>
          <w:szCs w:val="16"/>
          <w:rtl/>
        </w:rPr>
        <w:t xml:space="preserve">(שם) </w:t>
      </w:r>
      <w:r w:rsidRPr="001D49D4">
        <w:rPr>
          <w:rtl/>
        </w:rPr>
        <w:t xml:space="preserve">טור ותרוה"ד </w:t>
      </w:r>
      <w:r w:rsidRPr="001D49D4">
        <w:rPr>
          <w:sz w:val="16"/>
          <w:szCs w:val="16"/>
          <w:rtl/>
        </w:rPr>
        <w:t>(פסקים וכתבים סי' יא)</w:t>
      </w:r>
      <w:r w:rsidRPr="001D49D4">
        <w:rPr>
          <w:rtl/>
        </w:rPr>
        <w:t>- וה"ה נמי שבק לכולהו כללי ונקט פרטא בתרא לחוד</w:t>
      </w:r>
      <w:r w:rsidRPr="001D49D4">
        <w:rPr>
          <w:sz w:val="16"/>
          <w:szCs w:val="16"/>
          <w:rtl/>
        </w:rPr>
        <w:t xml:space="preserve"> (ל' הרא"ש והטור)</w:t>
      </w:r>
      <w:r w:rsidRPr="001D49D4">
        <w:rPr>
          <w:rtl/>
        </w:rPr>
        <w:t>, היינו שדילג האלפים וגם דילג מאתים</w:t>
      </w:r>
      <w:r w:rsidRPr="001D49D4">
        <w:rPr>
          <w:vertAlign w:val="superscript"/>
          <w:rtl/>
        </w:rPr>
        <w:footnoteReference w:id="3328"/>
      </w:r>
      <w:r w:rsidRPr="001D49D4">
        <w:rPr>
          <w:rtl/>
        </w:rPr>
        <w:t xml:space="preserve"> ולא כתב אלא הפרט הקטן כגון שכתב שנת פ"ד שכשר</w:t>
      </w:r>
      <w:r w:rsidRPr="001D49D4">
        <w:rPr>
          <w:sz w:val="16"/>
          <w:szCs w:val="16"/>
          <w:rtl/>
        </w:rPr>
        <w:t xml:space="preserve"> (ל' הב"י)</w:t>
      </w:r>
      <w:r w:rsidRPr="001D49D4">
        <w:rPr>
          <w:rtl/>
        </w:rPr>
        <w:t xml:space="preserve">. </w:t>
      </w:r>
      <w:r w:rsidRPr="001D49D4">
        <w:rPr>
          <w:color w:val="E36C0A" w:themeColor="accent6" w:themeShade="BF"/>
          <w:rtl/>
        </w:rPr>
        <w:t>(וכ"פ בשו"ע)</w:t>
      </w:r>
    </w:p>
    <w:p w14:paraId="423DFA25" w14:textId="77777777" w:rsidR="001D49D4" w:rsidRPr="001D49D4" w:rsidRDefault="001D49D4" w:rsidP="0004348D">
      <w:pPr>
        <w:spacing w:before="360" w:after="240"/>
        <w:ind w:left="360"/>
        <w:rPr>
          <w:rFonts w:ascii="Calibri" w:eastAsia="Calibri" w:hAnsi="Calibri" w:cs="Arial"/>
          <w:u w:val="dotted"/>
        </w:rPr>
      </w:pPr>
      <w:r w:rsidRPr="001D49D4">
        <w:rPr>
          <w:rFonts w:ascii="Calibri" w:eastAsia="Calibri" w:hAnsi="Calibri" w:cs="Arial"/>
          <w:u w:val="dotted"/>
          <w:rtl/>
        </w:rPr>
        <w:t>ומה הדין אם לא נכתב בו אלא השנים הבודדות:</w:t>
      </w:r>
    </w:p>
    <w:p w14:paraId="5EB227C5" w14:textId="77777777" w:rsidR="001D49D4" w:rsidRPr="001D49D4" w:rsidRDefault="001D49D4" w:rsidP="0004348D">
      <w:pPr>
        <w:numPr>
          <w:ilvl w:val="0"/>
          <w:numId w:val="217"/>
        </w:numPr>
        <w:spacing w:before="360" w:after="240"/>
        <w:contextualSpacing/>
      </w:pPr>
      <w:r w:rsidRPr="001D49D4">
        <w:rPr>
          <w:rtl/>
        </w:rPr>
        <w:t>ב"י- מספקא לי היכא שלא כתב שנת פ"ד אלא שנת ד' לפרט אי כשר או לא ודעתי נוטה להכשיר. (וכ"כ הש"ך</w:t>
      </w:r>
      <w:r w:rsidRPr="001D49D4">
        <w:rPr>
          <w:sz w:val="16"/>
          <w:szCs w:val="16"/>
          <w:rtl/>
        </w:rPr>
        <w:t xml:space="preserve"> [סק"ד]</w:t>
      </w:r>
      <w:r w:rsidRPr="001D49D4">
        <w:rPr>
          <w:rtl/>
        </w:rPr>
        <w:t>)</w:t>
      </w:r>
    </w:p>
    <w:p w14:paraId="73AC9199" w14:textId="77777777" w:rsidR="001D49D4" w:rsidRPr="001D49D4" w:rsidRDefault="001D49D4" w:rsidP="0004348D">
      <w:pPr>
        <w:spacing w:before="360" w:after="240"/>
        <w:rPr>
          <w:rFonts w:ascii="Calibri" w:eastAsia="Calibri" w:hAnsi="Calibri" w:cs="Arial"/>
          <w:u w:val="single"/>
        </w:rPr>
      </w:pPr>
      <w:r w:rsidRPr="001D49D4">
        <w:rPr>
          <w:rFonts w:ascii="Calibri" w:eastAsia="Calibri" w:hAnsi="Calibri" w:cs="Arial"/>
          <w:u w:val="single"/>
          <w:rtl/>
        </w:rPr>
        <w:t>שטר שלא נכתב בו המספר האמצעי</w:t>
      </w:r>
      <w:r w:rsidRPr="001D49D4">
        <w:rPr>
          <w:rFonts w:ascii="Calibri" w:eastAsia="Calibri" w:hAnsi="Calibri" w:cs="Arial"/>
          <w:sz w:val="16"/>
          <w:szCs w:val="16"/>
          <w:u w:val="single"/>
          <w:rtl/>
        </w:rPr>
        <w:t xml:space="preserve"> (כגון מאות או עשרות)</w:t>
      </w:r>
      <w:r w:rsidRPr="001D49D4">
        <w:rPr>
          <w:rFonts w:ascii="Calibri" w:eastAsia="Calibri" w:hAnsi="Calibri" w:cs="Arial"/>
          <w:u w:val="single"/>
          <w:rtl/>
        </w:rPr>
        <w:t>:</w:t>
      </w:r>
    </w:p>
    <w:p w14:paraId="3E5A7D0A" w14:textId="77777777" w:rsidR="001D49D4" w:rsidRPr="001D49D4" w:rsidRDefault="001D49D4" w:rsidP="0004348D">
      <w:pPr>
        <w:numPr>
          <w:ilvl w:val="0"/>
          <w:numId w:val="217"/>
        </w:numPr>
        <w:spacing w:before="360" w:after="240"/>
        <w:contextualSpacing/>
      </w:pPr>
      <w:r w:rsidRPr="001D49D4">
        <w:rPr>
          <w:rtl/>
        </w:rPr>
        <w:t xml:space="preserve">ריב"ש </w:t>
      </w:r>
      <w:r w:rsidRPr="001D49D4">
        <w:rPr>
          <w:sz w:val="16"/>
          <w:szCs w:val="16"/>
          <w:rtl/>
        </w:rPr>
        <w:t>(סי' שפב וסי' רסד)</w:t>
      </w:r>
      <w:r w:rsidRPr="001D49D4">
        <w:rPr>
          <w:rtl/>
        </w:rPr>
        <w:t xml:space="preserve">- שטר שהיה זמנו שנת ה' קל"ד וחיסר ממנו ל' וכתב הק"ד פסול. </w:t>
      </w:r>
      <w:r w:rsidRPr="001D49D4">
        <w:rPr>
          <w:color w:val="00B0F0"/>
          <w:rtl/>
        </w:rPr>
        <w:t>(וכ"פ הרמ"א)</w:t>
      </w:r>
    </w:p>
    <w:p w14:paraId="307BB62F" w14:textId="77777777" w:rsidR="001D49D4" w:rsidRPr="001D49D4" w:rsidRDefault="001D49D4" w:rsidP="0004348D">
      <w:pPr>
        <w:numPr>
          <w:ilvl w:val="0"/>
          <w:numId w:val="217"/>
        </w:numPr>
        <w:spacing w:before="360" w:after="240"/>
        <w:contextualSpacing/>
      </w:pPr>
      <w:r w:rsidRPr="001D49D4">
        <w:rPr>
          <w:rtl/>
        </w:rPr>
        <w:t xml:space="preserve">תרוה"ד </w:t>
      </w:r>
      <w:r w:rsidRPr="001D49D4">
        <w:rPr>
          <w:sz w:val="16"/>
          <w:szCs w:val="16"/>
          <w:rtl/>
        </w:rPr>
        <w:t>(שם)</w:t>
      </w:r>
      <w:r w:rsidRPr="001D49D4">
        <w:rPr>
          <w:rtl/>
        </w:rPr>
        <w:t>- על שאילתך אשר שאלתני מדבר הגט שסדרת... ואחר הנתינה כמה ימים נמצא בגט ההוא שנכתב קיומו בטעות, וכן כתוב- 'שנת חמשת אלפים ושבע עשרה לבריאת עולם', ודלג ומאתים, והאשה עדיין לא נשאת, וכתבת ובקשתני לדקדק בכל היכולת אם יש להתיר ולהכשיר גט זה... דע אהובי... כל היכא שאין שום הוכחה מתוך הגט עצמו לא תלינן בטעות סופר, הואיל ומה שכתוב לפנינו אין בו שום טעות. ואי משום דידוע לנו מבחוץ לפי רוב השנים דע"כ דילוג טעות יש כאן, נראה דלא דמי למוכח מיניה וביה... א"כ בנ"ד נמי יש לפסול מטעם שיסברו העולם גט זה נכתב קודם מאתים שנה, ובא ליד האשה הזאת ולקחתו כדי להתגרש בו. וההוא חשש ליתא כלל בההוא נדון דתשובות אשירי בלא טעות ברביעי. וההיא דאם דילג לבריאת עולם או אם לא כתב כלל האלפים או גם המאות לא כתב, ליתא להא חששא משום דרגילות היא למשבק כלל ולכתוב פרטא, כדאמר בהדיא בגמרא וליכא למטעי. אבל כה"ג אין רגילות למכתב כלל אלפים ולדלג מאות ולחזור ולכתוב פרטא, יסברו בודאי קודם מאתים נכתב, וההיא דדילג לבריאת עולם מוכח הטעות מיניה וביה</w:t>
      </w:r>
      <w:r w:rsidRPr="001D49D4">
        <w:rPr>
          <w:vertAlign w:val="superscript"/>
          <w:rtl/>
        </w:rPr>
        <w:footnoteReference w:id="3329"/>
      </w:r>
      <w:r w:rsidRPr="001D49D4">
        <w:rPr>
          <w:rtl/>
        </w:rPr>
        <w:t>.</w:t>
      </w:r>
      <w:r w:rsidRPr="001D49D4">
        <w:rPr>
          <w:color w:val="00B0F0"/>
          <w:rtl/>
        </w:rPr>
        <w:t xml:space="preserve"> (וכ"פ הרמ"א)</w:t>
      </w:r>
      <w:r w:rsidRPr="001D49D4">
        <w:rPr>
          <w:rtl/>
        </w:rPr>
        <w:t xml:space="preserve"> </w:t>
      </w:r>
    </w:p>
    <w:p w14:paraId="150902D7" w14:textId="77777777" w:rsidR="001D49D4" w:rsidRPr="001D49D4" w:rsidRDefault="001D49D4" w:rsidP="0004348D">
      <w:pPr>
        <w:spacing w:before="360" w:after="240"/>
        <w:rPr>
          <w:rFonts w:ascii="Arial" w:eastAsia="Calibri" w:hAnsi="Arial" w:cs="Arial"/>
          <w:b/>
          <w:bCs/>
          <w:color w:val="000000"/>
          <w:sz w:val="28"/>
          <w:szCs w:val="28"/>
          <w:u w:val="single"/>
          <w:rtl/>
        </w:rPr>
      </w:pPr>
      <w:r w:rsidRPr="001D49D4">
        <w:rPr>
          <w:rFonts w:ascii="Arial" w:eastAsia="Calibri" w:hAnsi="Arial" w:cs="Arial"/>
          <w:b/>
          <w:bCs/>
          <w:color w:val="000000"/>
          <w:sz w:val="28"/>
          <w:szCs w:val="28"/>
          <w:u w:val="single"/>
          <w:rtl/>
        </w:rPr>
        <w:lastRenderedPageBreak/>
        <w:t>שו"ע:</w:t>
      </w:r>
    </w:p>
    <w:p w14:paraId="15BEBCD0"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rtl/>
        </w:rPr>
        <w:t xml:space="preserve">אם השמיט הסופר ולא כתב 'לבריאת עולם' וגם לא כתב 'חמשת אלפים', כשר. ואפילו השמיט גם המאות, ולא כתב אלא הפרט הקטן, כשר. </w:t>
      </w:r>
      <w:r w:rsidRPr="001D49D4">
        <w:rPr>
          <w:rFonts w:ascii="Calibri" w:eastAsia="Calibri" w:hAnsi="Calibri" w:cs="Arial"/>
          <w:sz w:val="18"/>
          <w:szCs w:val="18"/>
          <w:rtl/>
        </w:rPr>
        <w:t>הגה: אבל אם כתב האלפים וגם הפרט הקטן, ודלג המאות</w:t>
      </w:r>
      <w:r w:rsidRPr="001D49D4">
        <w:rPr>
          <w:rFonts w:ascii="Calibri" w:eastAsia="Calibri" w:hAnsi="Calibri" w:cs="Arial"/>
          <w:sz w:val="18"/>
          <w:szCs w:val="18"/>
          <w:vertAlign w:val="superscript"/>
          <w:rtl/>
        </w:rPr>
        <w:footnoteReference w:id="3330"/>
      </w:r>
      <w:r w:rsidRPr="001D49D4">
        <w:rPr>
          <w:rFonts w:ascii="Calibri" w:eastAsia="Calibri" w:hAnsi="Calibri" w:cs="Arial"/>
          <w:sz w:val="18"/>
          <w:szCs w:val="18"/>
          <w:rtl/>
        </w:rPr>
        <w:t xml:space="preserve"> </w:t>
      </w:r>
      <w:r w:rsidRPr="001D49D4">
        <w:rPr>
          <w:rFonts w:ascii="Calibri" w:eastAsia="Calibri" w:hAnsi="Calibri" w:cs="Arial"/>
          <w:sz w:val="16"/>
          <w:szCs w:val="16"/>
          <w:rtl/>
        </w:rPr>
        <w:t xml:space="preserve">(מהרא"י סי' יא) </w:t>
      </w:r>
      <w:r w:rsidRPr="001D49D4">
        <w:rPr>
          <w:rFonts w:ascii="Calibri" w:eastAsia="Calibri" w:hAnsi="Calibri" w:cs="Arial"/>
          <w:sz w:val="18"/>
          <w:szCs w:val="18"/>
          <w:rtl/>
        </w:rPr>
        <w:t xml:space="preserve">או העשרות </w:t>
      </w:r>
      <w:r w:rsidRPr="001D49D4">
        <w:rPr>
          <w:rFonts w:ascii="Calibri" w:eastAsia="Calibri" w:hAnsi="Calibri" w:cs="Arial"/>
          <w:sz w:val="16"/>
          <w:szCs w:val="16"/>
          <w:rtl/>
        </w:rPr>
        <w:t>(ריב"ש סי' שפב)</w:t>
      </w:r>
      <w:r w:rsidRPr="001D49D4">
        <w:rPr>
          <w:rFonts w:ascii="Calibri" w:eastAsia="Calibri" w:hAnsi="Calibri" w:cs="Arial"/>
          <w:sz w:val="18"/>
          <w:szCs w:val="18"/>
          <w:rtl/>
        </w:rPr>
        <w:t>, פסול.</w:t>
      </w:r>
      <w:r w:rsidRPr="001D49D4">
        <w:rPr>
          <w:rFonts w:ascii="Calibri" w:eastAsia="Calibri" w:hAnsi="Calibri" w:cs="Arial"/>
          <w:rtl/>
        </w:rPr>
        <w:t xml:space="preserve"> </w:t>
      </w:r>
    </w:p>
    <w:p w14:paraId="515E2EB6" w14:textId="77777777" w:rsidR="001D49D4" w:rsidRPr="001D49D4" w:rsidRDefault="001D49D4" w:rsidP="0004348D">
      <w:pPr>
        <w:spacing w:before="360" w:after="240"/>
        <w:rPr>
          <w:rFonts w:ascii="Calibri" w:eastAsia="Calibri" w:hAnsi="Calibri" w:cs="Arial"/>
          <w:rtl/>
        </w:rPr>
      </w:pPr>
    </w:p>
    <w:p w14:paraId="2532C9F8" w14:textId="77777777" w:rsidR="001D49D4" w:rsidRPr="001D49D4" w:rsidRDefault="001D49D4" w:rsidP="0004348D">
      <w:pPr>
        <w:keepNext/>
        <w:keepLines/>
        <w:spacing w:before="360" w:after="240"/>
        <w:outlineLvl w:val="1"/>
        <w:rPr>
          <w:rFonts w:ascii="Cambria" w:eastAsia="Times New Roman" w:hAnsi="Cambria" w:cs="Arial"/>
          <w:bCs/>
          <w:color w:val="548DD4" w:themeColor="text2" w:themeTint="99"/>
          <w:sz w:val="26"/>
          <w:szCs w:val="26"/>
          <w:rtl/>
        </w:rPr>
      </w:pPr>
      <w:bookmarkStart w:id="432" w:name="_Toc24883871"/>
      <w:r w:rsidRPr="001D49D4">
        <w:rPr>
          <w:rFonts w:ascii="Cambria" w:eastAsia="Times New Roman" w:hAnsi="Cambria" w:cs="Arial"/>
          <w:bCs/>
          <w:color w:val="548DD4" w:themeColor="text2" w:themeTint="99"/>
          <w:sz w:val="26"/>
          <w:szCs w:val="26"/>
          <w:rtl/>
        </w:rPr>
        <w:t>סעיף ג: כתובה שטעה הסופר וכתב 'אלפים' ודילג 'ארבעה'.</w:t>
      </w:r>
      <w:bookmarkEnd w:id="432"/>
    </w:p>
    <w:p w14:paraId="287AFE5F" w14:textId="77777777" w:rsidR="001D49D4" w:rsidRPr="001D49D4" w:rsidRDefault="001D49D4" w:rsidP="0004348D">
      <w:pPr>
        <w:spacing w:before="360" w:after="240"/>
        <w:rPr>
          <w:rFonts w:ascii="Calibri" w:eastAsia="Calibri" w:hAnsi="Calibri" w:cs="Arial"/>
          <w:u w:val="single"/>
          <w:rtl/>
        </w:rPr>
      </w:pPr>
      <w:r w:rsidRPr="001D49D4">
        <w:rPr>
          <w:rFonts w:ascii="Calibri" w:eastAsia="Calibri" w:hAnsi="Calibri" w:cs="Arial"/>
          <w:u w:val="single"/>
          <w:rtl/>
        </w:rPr>
        <w:t>כתובה שטעה הסופר וכתב 'אלפים' ודילג 'ארבעה':</w:t>
      </w:r>
    </w:p>
    <w:p w14:paraId="117D3CBC" w14:textId="77777777" w:rsidR="001D49D4" w:rsidRPr="001D49D4" w:rsidRDefault="001D49D4" w:rsidP="0004348D">
      <w:pPr>
        <w:numPr>
          <w:ilvl w:val="0"/>
          <w:numId w:val="236"/>
        </w:numPr>
        <w:spacing w:before="360" w:after="240"/>
        <w:contextualSpacing/>
        <w:rPr>
          <w:rtl/>
        </w:rPr>
      </w:pPr>
      <w:r w:rsidRPr="001D49D4">
        <w:rPr>
          <w:rtl/>
        </w:rPr>
        <w:t xml:space="preserve">מרדכי </w:t>
      </w:r>
      <w:r w:rsidRPr="001D49D4">
        <w:rPr>
          <w:sz w:val="16"/>
          <w:szCs w:val="16"/>
          <w:rtl/>
        </w:rPr>
        <w:t>(ע"ז סי' תשצג)</w:t>
      </w:r>
      <w:r w:rsidRPr="001D49D4">
        <w:rPr>
          <w:rtl/>
        </w:rPr>
        <w:t>- מעשה בכתובה שטעה הסופר וכתב אלפים ודילג ארבעה והכשיר ר"י מווינא</w:t>
      </w:r>
      <w:r w:rsidRPr="001D49D4">
        <w:rPr>
          <w:sz w:val="16"/>
          <w:szCs w:val="16"/>
          <w:rtl/>
        </w:rPr>
        <w:t xml:space="preserve"> (או"ז ע"ז י. סי' קז)</w:t>
      </w:r>
      <w:r w:rsidRPr="001D49D4">
        <w:rPr>
          <w:rtl/>
        </w:rPr>
        <w:t xml:space="preserve"> דליכא למימר דמיעוט אלפים שנים, מדלא כתב אלפיים בשני יודי"ן. </w:t>
      </w:r>
      <w:r w:rsidRPr="001D49D4">
        <w:rPr>
          <w:color w:val="E36C0A" w:themeColor="accent6" w:themeShade="BF"/>
          <w:rtl/>
        </w:rPr>
        <w:t>(וכ"פ בשו"ע)</w:t>
      </w:r>
    </w:p>
    <w:p w14:paraId="0C8FB0F2" w14:textId="77777777" w:rsidR="001D49D4" w:rsidRPr="001D49D4" w:rsidRDefault="001D49D4" w:rsidP="0004348D">
      <w:pPr>
        <w:spacing w:before="360" w:after="240"/>
        <w:rPr>
          <w:rFonts w:ascii="Arial" w:eastAsia="Calibri" w:hAnsi="Arial" w:cs="Arial"/>
          <w:b/>
          <w:bCs/>
          <w:color w:val="000000"/>
          <w:sz w:val="28"/>
          <w:szCs w:val="28"/>
          <w:u w:val="single"/>
          <w:rtl/>
        </w:rPr>
      </w:pPr>
      <w:r w:rsidRPr="001D49D4">
        <w:rPr>
          <w:rFonts w:ascii="Arial" w:eastAsia="Calibri" w:hAnsi="Arial" w:cs="Arial"/>
          <w:b/>
          <w:bCs/>
          <w:color w:val="000000"/>
          <w:sz w:val="28"/>
          <w:szCs w:val="28"/>
          <w:u w:val="single"/>
          <w:rtl/>
        </w:rPr>
        <w:t>שו"ע:</w:t>
      </w:r>
    </w:p>
    <w:p w14:paraId="7F83F3AD"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rtl/>
        </w:rPr>
        <w:t xml:space="preserve">אם כתב אלפים, והשמיט חמשת, כשר. </w:t>
      </w:r>
    </w:p>
    <w:p w14:paraId="042823CB" w14:textId="77777777" w:rsidR="001D49D4" w:rsidRPr="001D49D4" w:rsidRDefault="001D49D4" w:rsidP="0004348D">
      <w:pPr>
        <w:spacing w:before="360" w:after="240"/>
        <w:rPr>
          <w:rFonts w:ascii="Calibri" w:eastAsia="Calibri" w:hAnsi="Calibri" w:cs="Arial"/>
          <w:rtl/>
        </w:rPr>
      </w:pPr>
    </w:p>
    <w:p w14:paraId="12F1E49C" w14:textId="77777777" w:rsidR="001D49D4" w:rsidRPr="001D49D4" w:rsidRDefault="001D49D4" w:rsidP="0004348D">
      <w:pPr>
        <w:keepNext/>
        <w:keepLines/>
        <w:spacing w:before="360" w:after="240"/>
        <w:outlineLvl w:val="1"/>
        <w:rPr>
          <w:rFonts w:ascii="Cambria" w:eastAsia="Times New Roman" w:hAnsi="Cambria" w:cs="Arial"/>
          <w:bCs/>
          <w:color w:val="548DD4" w:themeColor="text2" w:themeTint="99"/>
          <w:sz w:val="26"/>
          <w:szCs w:val="26"/>
          <w:rtl/>
        </w:rPr>
      </w:pPr>
      <w:bookmarkStart w:id="433" w:name="_Toc24883872"/>
      <w:r w:rsidRPr="001D49D4">
        <w:rPr>
          <w:rFonts w:ascii="Cambria" w:eastAsia="Times New Roman" w:hAnsi="Cambria" w:cs="Arial"/>
          <w:bCs/>
          <w:color w:val="548DD4" w:themeColor="text2" w:themeTint="99"/>
          <w:sz w:val="26"/>
          <w:szCs w:val="26"/>
          <w:rtl/>
        </w:rPr>
        <w:t>סעיף ד: כתב 'ברביעי עשרים יום לירח שבט' ודילג 'בשבת', ועוד טעויות.</w:t>
      </w:r>
      <w:bookmarkEnd w:id="433"/>
    </w:p>
    <w:p w14:paraId="64DC018C"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u w:val="single"/>
          <w:rtl/>
        </w:rPr>
        <w:t>כתב 'ברביעי עשרים יום לירח שבט' ודילג 'בשבת', ועוד טעויות:</w:t>
      </w:r>
    </w:p>
    <w:p w14:paraId="67343FA2" w14:textId="77777777" w:rsidR="001D49D4" w:rsidRPr="001D49D4" w:rsidRDefault="001D49D4" w:rsidP="0004348D">
      <w:pPr>
        <w:numPr>
          <w:ilvl w:val="0"/>
          <w:numId w:val="236"/>
        </w:numPr>
        <w:spacing w:before="360" w:after="240"/>
        <w:contextualSpacing/>
        <w:rPr>
          <w:rtl/>
        </w:rPr>
      </w:pPr>
      <w:r w:rsidRPr="001D49D4">
        <w:rPr>
          <w:rtl/>
        </w:rPr>
        <w:t xml:space="preserve">רא"ש </w:t>
      </w:r>
      <w:r w:rsidRPr="001D49D4">
        <w:rPr>
          <w:sz w:val="16"/>
          <w:szCs w:val="16"/>
          <w:rtl/>
        </w:rPr>
        <w:t>(כלל מה סי' כה)</w:t>
      </w:r>
      <w:r w:rsidRPr="001D49D4">
        <w:rPr>
          <w:rtl/>
        </w:rPr>
        <w:t>- גט שכתוב בו 'למנין אנו מונין' ודילג השי"ן, וכתב 'ברביעי עשרים יום לירח שבט' ודילג 'בשבת', וגם יום רביעי היה כ"א יום לשבט והוא כתב כ', יש להכשיר</w:t>
      </w:r>
      <w:r w:rsidRPr="001D49D4">
        <w:rPr>
          <w:vertAlign w:val="superscript"/>
          <w:rtl/>
        </w:rPr>
        <w:footnoteReference w:id="3331"/>
      </w:r>
      <w:r w:rsidRPr="001D49D4">
        <w:rPr>
          <w:rtl/>
        </w:rPr>
        <w:t xml:space="preserve">. </w:t>
      </w:r>
      <w:r w:rsidRPr="001D49D4">
        <w:rPr>
          <w:color w:val="E36C0A" w:themeColor="accent6" w:themeShade="BF"/>
          <w:rtl/>
        </w:rPr>
        <w:t>(וכ"פ בשו"ע)</w:t>
      </w:r>
    </w:p>
    <w:p w14:paraId="5A7A19A5" w14:textId="77777777" w:rsidR="001D49D4" w:rsidRPr="001D49D4" w:rsidRDefault="001D49D4" w:rsidP="0004348D">
      <w:pPr>
        <w:spacing w:before="360" w:after="240"/>
        <w:rPr>
          <w:rFonts w:ascii="Arial" w:eastAsia="Calibri" w:hAnsi="Arial" w:cs="Arial"/>
          <w:b/>
          <w:bCs/>
          <w:color w:val="000000"/>
          <w:sz w:val="28"/>
          <w:szCs w:val="28"/>
          <w:u w:val="single"/>
          <w:rtl/>
        </w:rPr>
      </w:pPr>
      <w:r w:rsidRPr="001D49D4">
        <w:rPr>
          <w:rFonts w:ascii="Arial" w:eastAsia="Calibri" w:hAnsi="Arial" w:cs="Arial"/>
          <w:b/>
          <w:bCs/>
          <w:color w:val="000000"/>
          <w:sz w:val="28"/>
          <w:szCs w:val="28"/>
          <w:u w:val="single"/>
          <w:rtl/>
        </w:rPr>
        <w:t>שו"ע:</w:t>
      </w:r>
    </w:p>
    <w:p w14:paraId="1936A915"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rtl/>
        </w:rPr>
        <w:t>אם כתב 'ברביעי עשרים יום לחדש שבט', ודלג 'בשבת', כשר</w:t>
      </w:r>
      <w:r w:rsidRPr="001D49D4">
        <w:rPr>
          <w:rFonts w:ascii="Calibri" w:eastAsia="Calibri" w:hAnsi="Calibri" w:cs="Arial"/>
          <w:vertAlign w:val="superscript"/>
          <w:rtl/>
        </w:rPr>
        <w:footnoteReference w:id="3332"/>
      </w:r>
      <w:r w:rsidRPr="001D49D4">
        <w:rPr>
          <w:rFonts w:ascii="Calibri" w:eastAsia="Calibri" w:hAnsi="Calibri" w:cs="Arial"/>
          <w:rtl/>
        </w:rPr>
        <w:t xml:space="preserve">.  </w:t>
      </w:r>
    </w:p>
    <w:p w14:paraId="610151CF" w14:textId="77777777" w:rsidR="001D49D4" w:rsidRPr="001D49D4" w:rsidRDefault="001D49D4" w:rsidP="0004348D">
      <w:pPr>
        <w:spacing w:before="360" w:after="240"/>
        <w:rPr>
          <w:rFonts w:ascii="Calibri" w:eastAsia="Calibri" w:hAnsi="Calibri" w:cs="Arial"/>
          <w:rtl/>
        </w:rPr>
      </w:pPr>
    </w:p>
    <w:p w14:paraId="0AAC6179" w14:textId="77777777" w:rsidR="001D49D4" w:rsidRPr="001D49D4" w:rsidRDefault="001D49D4" w:rsidP="0004348D">
      <w:pPr>
        <w:keepNext/>
        <w:keepLines/>
        <w:spacing w:before="360" w:after="240"/>
        <w:outlineLvl w:val="1"/>
        <w:rPr>
          <w:rFonts w:ascii="Cambria" w:eastAsia="Times New Roman" w:hAnsi="Cambria" w:cs="Arial"/>
          <w:bCs/>
          <w:color w:val="548DD4" w:themeColor="text2" w:themeTint="99"/>
          <w:sz w:val="26"/>
          <w:szCs w:val="26"/>
          <w:rtl/>
        </w:rPr>
      </w:pPr>
      <w:bookmarkStart w:id="434" w:name="_Toc24883873"/>
      <w:r w:rsidRPr="001D49D4">
        <w:rPr>
          <w:rFonts w:ascii="Cambria" w:eastAsia="Times New Roman" w:hAnsi="Cambria" w:cs="Arial"/>
          <w:bCs/>
          <w:color w:val="548DD4" w:themeColor="text2" w:themeTint="99"/>
          <w:sz w:val="26"/>
          <w:szCs w:val="26"/>
          <w:rtl/>
        </w:rPr>
        <w:t>סעיף ה: שטר שהיה כתוב בו 'ברביעי לשבת כ"ב לתשרי' ונמצא שאינו מכוון בימים.</w:t>
      </w:r>
      <w:bookmarkEnd w:id="434"/>
    </w:p>
    <w:p w14:paraId="12240852" w14:textId="77777777" w:rsidR="001D49D4" w:rsidRPr="001D49D4" w:rsidRDefault="001D49D4" w:rsidP="0004348D">
      <w:pPr>
        <w:spacing w:before="360" w:after="240"/>
        <w:rPr>
          <w:rFonts w:ascii="Calibri" w:eastAsia="Calibri" w:hAnsi="Calibri" w:cs="Arial"/>
          <w:u w:val="single"/>
          <w:rtl/>
        </w:rPr>
      </w:pPr>
      <w:r w:rsidRPr="001D49D4">
        <w:rPr>
          <w:rFonts w:ascii="Calibri" w:eastAsia="Calibri" w:hAnsi="Calibri" w:cs="Arial"/>
          <w:u w:val="single"/>
          <w:rtl/>
        </w:rPr>
        <w:t>שטר שהיה כתוב בו 'ברביעי לשבת כ"ב לתשרי' ונמצא שאינו מכוון בימים:</w:t>
      </w:r>
    </w:p>
    <w:p w14:paraId="0B5FEF75" w14:textId="77777777" w:rsidR="001D49D4" w:rsidRPr="001D49D4" w:rsidRDefault="001D49D4" w:rsidP="0004348D">
      <w:pPr>
        <w:numPr>
          <w:ilvl w:val="0"/>
          <w:numId w:val="236"/>
        </w:numPr>
        <w:spacing w:before="360" w:after="240"/>
        <w:contextualSpacing/>
        <w:rPr>
          <w:rtl/>
        </w:rPr>
      </w:pPr>
      <w:r w:rsidRPr="001D49D4">
        <w:rPr>
          <w:rtl/>
        </w:rPr>
        <w:t xml:space="preserve">מרדכי </w:t>
      </w:r>
      <w:r w:rsidRPr="001D49D4">
        <w:rPr>
          <w:sz w:val="16"/>
          <w:szCs w:val="16"/>
          <w:rtl/>
        </w:rPr>
        <w:t>(ר"ה סי' תש)</w:t>
      </w:r>
      <w:r w:rsidRPr="001D49D4">
        <w:rPr>
          <w:rtl/>
        </w:rPr>
        <w:t>- נשאל רבינו אליעזר על שטר שהיה כתוב בו 'ברביעי לשבת כ"ב לתשרי' ונמצא שאינו מכוון בימים לפי שראש השנה של אותה שנה היה ביום ב', וד' בשבת לאו היינו כ"ב בחדש אלא כ"ד, ועוד שכ"ב היה יום שמיני עצרת שאין ישראל כותבין שטרות, והשיב - נראה לי שאינו נפסל בכך</w:t>
      </w:r>
      <w:r w:rsidRPr="001D49D4">
        <w:rPr>
          <w:vertAlign w:val="superscript"/>
          <w:rtl/>
        </w:rPr>
        <w:footnoteReference w:id="3333"/>
      </w:r>
      <w:r w:rsidRPr="001D49D4">
        <w:rPr>
          <w:rtl/>
        </w:rPr>
        <w:t xml:space="preserve">. </w:t>
      </w:r>
      <w:r w:rsidRPr="001D49D4">
        <w:rPr>
          <w:color w:val="E36C0A" w:themeColor="accent6" w:themeShade="BF"/>
          <w:rtl/>
        </w:rPr>
        <w:t>(וכ"פ בשו"ע)</w:t>
      </w:r>
    </w:p>
    <w:p w14:paraId="7A7221C9" w14:textId="77777777" w:rsidR="001D49D4" w:rsidRPr="001D49D4" w:rsidRDefault="001D49D4" w:rsidP="0004348D">
      <w:pPr>
        <w:spacing w:before="360" w:after="240"/>
        <w:rPr>
          <w:rFonts w:ascii="Arial" w:eastAsia="Calibri" w:hAnsi="Arial" w:cs="Arial"/>
          <w:b/>
          <w:bCs/>
          <w:color w:val="000000"/>
          <w:sz w:val="28"/>
          <w:szCs w:val="28"/>
          <w:u w:val="single"/>
          <w:rtl/>
        </w:rPr>
      </w:pPr>
      <w:r w:rsidRPr="001D49D4">
        <w:rPr>
          <w:rFonts w:ascii="Arial" w:eastAsia="Calibri" w:hAnsi="Arial" w:cs="Arial"/>
          <w:b/>
          <w:bCs/>
          <w:color w:val="000000"/>
          <w:sz w:val="28"/>
          <w:szCs w:val="28"/>
          <w:u w:val="single"/>
          <w:rtl/>
        </w:rPr>
        <w:lastRenderedPageBreak/>
        <w:t>שו"ע:</w:t>
      </w:r>
    </w:p>
    <w:p w14:paraId="07870466"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rtl/>
        </w:rPr>
        <w:t>אם כתב 'ברביעי לשבת כ"ב לתשרי' ונמצא שאינו מכוון, שרביעי בשבת של תשרי של אותה שנה היה ביום ארבע ועשרים, אפילו הכי כשר</w:t>
      </w:r>
      <w:r w:rsidRPr="001D49D4">
        <w:rPr>
          <w:rFonts w:ascii="Calibri" w:eastAsia="Calibri" w:hAnsi="Calibri" w:cs="Arial"/>
          <w:vertAlign w:val="superscript"/>
          <w:rtl/>
        </w:rPr>
        <w:footnoteReference w:id="3334"/>
      </w:r>
      <w:r w:rsidRPr="001D49D4">
        <w:rPr>
          <w:rFonts w:ascii="Calibri" w:eastAsia="Calibri" w:hAnsi="Calibri" w:cs="Arial"/>
          <w:rtl/>
        </w:rPr>
        <w:t xml:space="preserve">. </w:t>
      </w:r>
    </w:p>
    <w:p w14:paraId="61C07194" w14:textId="77777777" w:rsidR="001D49D4" w:rsidRPr="001D49D4" w:rsidRDefault="001D49D4" w:rsidP="0004348D">
      <w:pPr>
        <w:spacing w:before="360" w:after="240"/>
        <w:rPr>
          <w:rFonts w:ascii="Calibri" w:eastAsia="Calibri" w:hAnsi="Calibri" w:cs="Arial"/>
          <w:rtl/>
        </w:rPr>
      </w:pPr>
    </w:p>
    <w:p w14:paraId="2ED22145" w14:textId="77777777" w:rsidR="001D49D4" w:rsidRPr="001D49D4" w:rsidRDefault="001D49D4" w:rsidP="0004348D">
      <w:pPr>
        <w:keepNext/>
        <w:keepLines/>
        <w:spacing w:before="360" w:after="240"/>
        <w:outlineLvl w:val="1"/>
        <w:rPr>
          <w:rFonts w:ascii="Cambria" w:eastAsia="Times New Roman" w:hAnsi="Cambria" w:cs="Arial"/>
          <w:bCs/>
          <w:color w:val="548DD4" w:themeColor="text2" w:themeTint="99"/>
          <w:sz w:val="26"/>
          <w:szCs w:val="26"/>
          <w:rtl/>
        </w:rPr>
      </w:pPr>
      <w:bookmarkStart w:id="435" w:name="_Toc24883874"/>
      <w:r w:rsidRPr="001D49D4">
        <w:rPr>
          <w:rFonts w:ascii="Cambria" w:eastAsia="Times New Roman" w:hAnsi="Cambria" w:cs="Arial"/>
          <w:bCs/>
          <w:color w:val="548DD4" w:themeColor="text2" w:themeTint="99"/>
          <w:sz w:val="26"/>
          <w:szCs w:val="26"/>
          <w:rtl/>
        </w:rPr>
        <w:t>סעיף ו: כתב ידו – האם בעינן לכתוב בו זמן.</w:t>
      </w:r>
      <w:bookmarkEnd w:id="435"/>
    </w:p>
    <w:p w14:paraId="4E531A20" w14:textId="77777777" w:rsidR="001D49D4" w:rsidRPr="001D49D4" w:rsidRDefault="001D49D4" w:rsidP="0004348D">
      <w:pPr>
        <w:spacing w:before="360" w:after="240"/>
        <w:rPr>
          <w:rFonts w:ascii="Arial" w:eastAsia="Calibri" w:hAnsi="Arial" w:cs="Arial"/>
          <w:b/>
          <w:bCs/>
          <w:color w:val="000000"/>
          <w:sz w:val="28"/>
          <w:szCs w:val="28"/>
          <w:u w:val="single"/>
          <w:rtl/>
        </w:rPr>
      </w:pPr>
      <w:r w:rsidRPr="001D49D4">
        <w:rPr>
          <w:rFonts w:ascii="Arial" w:eastAsia="Calibri" w:hAnsi="Arial" w:cs="Arial"/>
          <w:b/>
          <w:bCs/>
          <w:color w:val="000000"/>
          <w:sz w:val="28"/>
          <w:szCs w:val="28"/>
          <w:u w:val="single"/>
          <w:rtl/>
        </w:rPr>
        <w:t>שו"ע:</w:t>
      </w:r>
    </w:p>
    <w:p w14:paraId="651E1118"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rtl/>
        </w:rPr>
        <w:t>כתב ידו אין צריך שיכתוב בו זמן</w:t>
      </w:r>
      <w:r w:rsidRPr="001D49D4">
        <w:rPr>
          <w:rFonts w:ascii="Calibri" w:eastAsia="Calibri" w:hAnsi="Calibri" w:cs="Arial"/>
          <w:vertAlign w:val="superscript"/>
          <w:rtl/>
        </w:rPr>
        <w:footnoteReference w:id="3335"/>
      </w:r>
      <w:r w:rsidRPr="001D49D4">
        <w:rPr>
          <w:rFonts w:ascii="Calibri" w:eastAsia="Calibri" w:hAnsi="Calibri" w:cs="Arial"/>
          <w:rtl/>
        </w:rPr>
        <w:t xml:space="preserve">. </w:t>
      </w:r>
      <w:r w:rsidRPr="001D49D4">
        <w:rPr>
          <w:rFonts w:ascii="Calibri" w:eastAsia="Calibri" w:hAnsi="Calibri" w:cs="Arial"/>
          <w:sz w:val="16"/>
          <w:szCs w:val="16"/>
          <w:rtl/>
        </w:rPr>
        <w:t xml:space="preserve">{רשב"א </w:t>
      </w:r>
      <w:r w:rsidRPr="001D49D4">
        <w:rPr>
          <w:rFonts w:ascii="Calibri" w:eastAsia="Calibri" w:hAnsi="Calibri" w:cs="Arial"/>
          <w:sz w:val="14"/>
          <w:szCs w:val="14"/>
          <w:rtl/>
        </w:rPr>
        <w:t>[פרק המגרש גיטין פו. ד"ה ויש בו זמן]</w:t>
      </w:r>
      <w:r w:rsidRPr="001D49D4">
        <w:rPr>
          <w:rFonts w:ascii="Calibri" w:eastAsia="Calibri" w:hAnsi="Calibri" w:cs="Arial"/>
          <w:sz w:val="16"/>
          <w:szCs w:val="16"/>
          <w:rtl/>
        </w:rPr>
        <w:t>}</w:t>
      </w:r>
    </w:p>
    <w:p w14:paraId="4D82ACE5" w14:textId="77777777" w:rsidR="001D49D4" w:rsidRPr="001D49D4" w:rsidRDefault="001D49D4" w:rsidP="0004348D">
      <w:pPr>
        <w:spacing w:before="360" w:after="240"/>
        <w:rPr>
          <w:rFonts w:ascii="Calibri" w:eastAsia="Calibri" w:hAnsi="Calibri" w:cs="Arial"/>
          <w:rtl/>
        </w:rPr>
      </w:pPr>
    </w:p>
    <w:p w14:paraId="292FAB9A" w14:textId="77777777" w:rsidR="001D49D4" w:rsidRPr="001D49D4" w:rsidRDefault="001D49D4" w:rsidP="0004348D">
      <w:pPr>
        <w:keepNext/>
        <w:keepLines/>
        <w:spacing w:before="360" w:after="240"/>
        <w:outlineLvl w:val="1"/>
        <w:rPr>
          <w:rFonts w:ascii="Cambria" w:eastAsia="Times New Roman" w:hAnsi="Cambria" w:cs="Arial"/>
          <w:bCs/>
          <w:color w:val="548DD4" w:themeColor="text2" w:themeTint="99"/>
          <w:sz w:val="26"/>
          <w:szCs w:val="26"/>
          <w:rtl/>
        </w:rPr>
      </w:pPr>
      <w:bookmarkStart w:id="436" w:name="_Toc24883875"/>
      <w:r w:rsidRPr="001D49D4">
        <w:rPr>
          <w:rFonts w:ascii="Cambria" w:eastAsia="Times New Roman" w:hAnsi="Cambria" w:cs="Arial"/>
          <w:bCs/>
          <w:color w:val="548DD4" w:themeColor="text2" w:themeTint="99"/>
          <w:sz w:val="26"/>
          <w:szCs w:val="26"/>
          <w:rtl/>
        </w:rPr>
        <w:t>סעיף ז: שטרי חוב המוקדמים.</w:t>
      </w:r>
      <w:bookmarkEnd w:id="436"/>
    </w:p>
    <w:p w14:paraId="24D707B1"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b/>
          <w:bCs/>
          <w:rtl/>
        </w:rPr>
        <w:t xml:space="preserve">בבא מציעא </w:t>
      </w:r>
      <w:r w:rsidRPr="001D49D4">
        <w:rPr>
          <w:rFonts w:ascii="Calibri" w:eastAsia="Calibri" w:hAnsi="Calibri" w:cs="Arial"/>
          <w:b/>
          <w:bCs/>
          <w:sz w:val="16"/>
          <w:szCs w:val="16"/>
          <w:rtl/>
        </w:rPr>
        <w:t>(פרק איזהו נשך)</w:t>
      </w:r>
      <w:r w:rsidRPr="001D49D4">
        <w:rPr>
          <w:rFonts w:ascii="Calibri" w:eastAsia="Calibri" w:hAnsi="Calibri" w:cs="Arial"/>
          <w:b/>
          <w:bCs/>
          <w:rtl/>
        </w:rPr>
        <w:t xml:space="preserve"> עב</w:t>
      </w:r>
      <w:r w:rsidRPr="001D49D4">
        <w:rPr>
          <w:rFonts w:ascii="Calibri" w:eastAsia="Calibri" w:hAnsi="Calibri" w:cs="Arial"/>
          <w:b/>
          <w:bCs/>
          <w:vertAlign w:val="superscript"/>
          <w:rtl/>
        </w:rPr>
        <w:footnoteReference w:id="3336"/>
      </w:r>
      <w:r w:rsidRPr="001D49D4">
        <w:rPr>
          <w:rFonts w:ascii="Calibri" w:eastAsia="Calibri" w:hAnsi="Calibri" w:cs="Arial"/>
          <w:b/>
          <w:bCs/>
          <w:rtl/>
        </w:rPr>
        <w:t xml:space="preserve"> ע"א:</w:t>
      </w:r>
      <w:r w:rsidRPr="001D49D4">
        <w:rPr>
          <w:rFonts w:ascii="Calibri" w:eastAsia="Calibri" w:hAnsi="Calibri" w:cs="Arial"/>
          <w:rtl/>
        </w:rPr>
        <w:t xml:space="preserve"> תנן התם</w:t>
      </w:r>
      <w:r w:rsidRPr="001D49D4">
        <w:rPr>
          <w:rFonts w:ascii="Calibri" w:eastAsia="Calibri" w:hAnsi="Calibri" w:cs="Arial"/>
          <w:sz w:val="16"/>
          <w:szCs w:val="16"/>
          <w:rtl/>
        </w:rPr>
        <w:t xml:space="preserve"> (שביעית פ"י מ"ה)</w:t>
      </w:r>
      <w:r w:rsidRPr="001D49D4">
        <w:rPr>
          <w:rFonts w:ascii="Calibri" w:eastAsia="Calibri" w:hAnsi="Calibri" w:cs="Arial"/>
          <w:rtl/>
        </w:rPr>
        <w:t>: שטרי חוב המוקדמין</w:t>
      </w:r>
      <w:r w:rsidRPr="001D49D4">
        <w:rPr>
          <w:rFonts w:ascii="Calibri" w:eastAsia="Calibri" w:hAnsi="Calibri" w:cs="Arial"/>
          <w:vertAlign w:val="superscript"/>
          <w:rtl/>
        </w:rPr>
        <w:footnoteReference w:id="3337"/>
      </w:r>
      <w:r w:rsidRPr="001D49D4">
        <w:rPr>
          <w:rFonts w:ascii="Calibri" w:eastAsia="Calibri" w:hAnsi="Calibri" w:cs="Arial"/>
          <w:rtl/>
        </w:rPr>
        <w:t xml:space="preserve"> - פסולין</w:t>
      </w:r>
      <w:r w:rsidRPr="001D49D4">
        <w:rPr>
          <w:rFonts w:ascii="Calibri" w:eastAsia="Calibri" w:hAnsi="Calibri" w:cs="Arial"/>
          <w:vertAlign w:val="superscript"/>
          <w:rtl/>
        </w:rPr>
        <w:footnoteReference w:id="3338"/>
      </w:r>
      <w:r w:rsidRPr="001D49D4">
        <w:rPr>
          <w:rFonts w:ascii="Calibri" w:eastAsia="Calibri" w:hAnsi="Calibri" w:cs="Arial"/>
          <w:rtl/>
        </w:rPr>
        <w:t xml:space="preserve">, והמאוחרין - כשרין. מוקדמין אמאי פסולין? נהי דלא גבו מזמן ראשון ניגבו מזמן שני! </w:t>
      </w:r>
      <w:r w:rsidRPr="001D49D4">
        <w:rPr>
          <w:rFonts w:ascii="Calibri" w:eastAsia="Calibri" w:hAnsi="Calibri" w:cs="Arial"/>
          <w:u w:val="single"/>
          <w:rtl/>
        </w:rPr>
        <w:t>אמר רבי שמעון בן לקיש</w:t>
      </w:r>
      <w:r w:rsidRPr="001D49D4">
        <w:rPr>
          <w:rFonts w:ascii="Calibri" w:eastAsia="Calibri" w:hAnsi="Calibri" w:cs="Arial"/>
          <w:rtl/>
        </w:rPr>
        <w:t>: במחלוקת שנויה, ורבי מאיר היא</w:t>
      </w:r>
      <w:r w:rsidRPr="001D49D4">
        <w:rPr>
          <w:rFonts w:ascii="Calibri" w:eastAsia="Calibri" w:hAnsi="Calibri" w:cs="Arial"/>
          <w:vertAlign w:val="superscript"/>
          <w:rtl/>
        </w:rPr>
        <w:footnoteReference w:id="3339"/>
      </w:r>
      <w:r w:rsidRPr="001D49D4">
        <w:rPr>
          <w:rFonts w:ascii="Calibri" w:eastAsia="Calibri" w:hAnsi="Calibri" w:cs="Arial"/>
          <w:rtl/>
        </w:rPr>
        <w:t xml:space="preserve">. </w:t>
      </w:r>
      <w:r w:rsidRPr="001D49D4">
        <w:rPr>
          <w:rFonts w:ascii="Calibri" w:eastAsia="Calibri" w:hAnsi="Calibri" w:cs="Arial"/>
          <w:u w:val="single"/>
          <w:rtl/>
        </w:rPr>
        <w:t>ורבי יוחנן אמר</w:t>
      </w:r>
      <w:r w:rsidRPr="001D49D4">
        <w:rPr>
          <w:rFonts w:ascii="Calibri" w:eastAsia="Calibri" w:hAnsi="Calibri" w:cs="Arial"/>
          <w:rtl/>
        </w:rPr>
        <w:t>: אפילו תימא רבנן, גזירה שמא יגבה מזמן ראשון</w:t>
      </w:r>
      <w:r w:rsidRPr="001D49D4">
        <w:rPr>
          <w:rFonts w:ascii="Calibri" w:eastAsia="Calibri" w:hAnsi="Calibri" w:cs="Arial"/>
          <w:vertAlign w:val="superscript"/>
          <w:rtl/>
        </w:rPr>
        <w:footnoteReference w:id="3340"/>
      </w:r>
      <w:r w:rsidRPr="001D49D4">
        <w:rPr>
          <w:rFonts w:ascii="Calibri" w:eastAsia="Calibri" w:hAnsi="Calibri" w:cs="Arial"/>
          <w:rtl/>
        </w:rPr>
        <w:t>.</w:t>
      </w:r>
    </w:p>
    <w:p w14:paraId="684ED57C" w14:textId="77777777" w:rsidR="001D49D4" w:rsidRPr="001D49D4" w:rsidRDefault="001D49D4" w:rsidP="0004348D">
      <w:pPr>
        <w:spacing w:before="360" w:after="240"/>
        <w:rPr>
          <w:rFonts w:ascii="Calibri" w:eastAsia="Calibri" w:hAnsi="Calibri" w:cs="Arial"/>
          <w:u w:val="single"/>
          <w:rtl/>
        </w:rPr>
      </w:pPr>
      <w:r w:rsidRPr="001D49D4">
        <w:rPr>
          <w:rFonts w:ascii="Calibri" w:eastAsia="Calibri" w:hAnsi="Calibri" w:cs="Arial"/>
          <w:u w:val="single"/>
          <w:rtl/>
        </w:rPr>
        <w:t>שטרי חוב המוקדמים:</w:t>
      </w:r>
    </w:p>
    <w:p w14:paraId="3360DB20" w14:textId="77777777" w:rsidR="001D49D4" w:rsidRPr="001D49D4" w:rsidRDefault="001D49D4" w:rsidP="0004348D">
      <w:pPr>
        <w:numPr>
          <w:ilvl w:val="0"/>
          <w:numId w:val="236"/>
        </w:numPr>
        <w:spacing w:before="360" w:after="240"/>
        <w:contextualSpacing/>
        <w:rPr>
          <w:rtl/>
        </w:rPr>
      </w:pPr>
      <w:r w:rsidRPr="001D49D4">
        <w:rPr>
          <w:rtl/>
        </w:rPr>
        <w:t>רי"ף רש"י רמב"ם ורבינו יונה</w:t>
      </w:r>
      <w:r w:rsidRPr="001D49D4">
        <w:rPr>
          <w:vertAlign w:val="superscript"/>
          <w:rtl/>
        </w:rPr>
        <w:footnoteReference w:id="3341"/>
      </w:r>
      <w:r w:rsidRPr="001D49D4">
        <w:rPr>
          <w:rtl/>
        </w:rPr>
        <w:t>- שטרי חוב המוקדמים – פסולין, שהרי טורף בהן לקוחות שלא כדין, ולפיכך קנסו אותו חכמים ולא יגבה בשטר מוקדם אלא מבני חורין, גזירה שמא יטרוף בו מזמן ראשון שהקדימו</w:t>
      </w:r>
      <w:r w:rsidRPr="001D49D4">
        <w:rPr>
          <w:sz w:val="16"/>
          <w:szCs w:val="16"/>
          <w:rtl/>
        </w:rPr>
        <w:t xml:space="preserve"> (ל' הרמב"ם)</w:t>
      </w:r>
      <w:r w:rsidRPr="001D49D4">
        <w:rPr>
          <w:rtl/>
        </w:rPr>
        <w:t>.</w:t>
      </w:r>
      <w:r w:rsidRPr="001D49D4">
        <w:rPr>
          <w:color w:val="E36C0A" w:themeColor="accent6" w:themeShade="BF"/>
          <w:rtl/>
        </w:rPr>
        <w:t xml:space="preserve"> (וכ"פ בשו"ע)</w:t>
      </w:r>
      <w:r w:rsidRPr="001D49D4">
        <w:rPr>
          <w:rtl/>
        </w:rPr>
        <w:t xml:space="preserve"> </w:t>
      </w:r>
    </w:p>
    <w:p w14:paraId="25C335BD" w14:textId="77777777" w:rsidR="001D49D4" w:rsidRPr="001D49D4" w:rsidRDefault="001D49D4" w:rsidP="0004348D">
      <w:pPr>
        <w:numPr>
          <w:ilvl w:val="0"/>
          <w:numId w:val="236"/>
        </w:numPr>
        <w:spacing w:before="360" w:after="240"/>
        <w:contextualSpacing/>
        <w:rPr>
          <w:rtl/>
        </w:rPr>
      </w:pPr>
      <w:r w:rsidRPr="001D49D4">
        <w:rPr>
          <w:rtl/>
        </w:rPr>
        <w:lastRenderedPageBreak/>
        <w:t xml:space="preserve">תוס' </w:t>
      </w:r>
      <w:r w:rsidRPr="001D49D4">
        <w:rPr>
          <w:sz w:val="16"/>
          <w:szCs w:val="16"/>
          <w:rtl/>
        </w:rPr>
        <w:t>(שם עב. ד"ה שטר שיש בו רבית, ובב"ב קנז: ד"ה המוקדמים פסולים)</w:t>
      </w:r>
      <w:r w:rsidRPr="001D49D4">
        <w:rPr>
          <w:rtl/>
        </w:rPr>
        <w:t xml:space="preserve"> (ורא"ש</w:t>
      </w:r>
      <w:r w:rsidRPr="001D49D4">
        <w:rPr>
          <w:sz w:val="16"/>
          <w:szCs w:val="16"/>
          <w:rtl/>
        </w:rPr>
        <w:t xml:space="preserve"> להב' הטור</w:t>
      </w:r>
      <w:r w:rsidRPr="001D49D4">
        <w:rPr>
          <w:vertAlign w:val="superscript"/>
          <w:rtl/>
        </w:rPr>
        <w:footnoteReference w:id="3342"/>
      </w:r>
      <w:r w:rsidRPr="001D49D4">
        <w:rPr>
          <w:rtl/>
        </w:rPr>
        <w:t>)- פסולים הוו לגמרי, דאפילו מבני חרי לא גבי אע"פ שלוה מודה</w:t>
      </w:r>
      <w:r w:rsidRPr="001D49D4">
        <w:rPr>
          <w:sz w:val="16"/>
          <w:szCs w:val="16"/>
          <w:rtl/>
        </w:rPr>
        <w:t xml:space="preserve"> (ל' התוס' בב"ב)</w:t>
      </w:r>
      <w:r w:rsidRPr="001D49D4">
        <w:rPr>
          <w:vertAlign w:val="superscript"/>
          <w:rtl/>
        </w:rPr>
        <w:footnoteReference w:id="3343"/>
      </w:r>
      <w:r w:rsidRPr="001D49D4">
        <w:rPr>
          <w:rtl/>
        </w:rPr>
        <w:t xml:space="preserve">. </w:t>
      </w:r>
      <w:r w:rsidRPr="001D49D4">
        <w:rPr>
          <w:color w:val="00B0F0"/>
          <w:rtl/>
        </w:rPr>
        <w:t>(וכ"כ הרמ"א)</w:t>
      </w:r>
    </w:p>
    <w:p w14:paraId="4CF168B4" w14:textId="77777777" w:rsidR="001D49D4" w:rsidRPr="001D49D4" w:rsidRDefault="001D49D4" w:rsidP="0004348D">
      <w:pPr>
        <w:numPr>
          <w:ilvl w:val="0"/>
          <w:numId w:val="236"/>
        </w:numPr>
        <w:spacing w:before="360" w:after="240"/>
        <w:contextualSpacing/>
      </w:pPr>
      <w:r w:rsidRPr="001D49D4">
        <w:rPr>
          <w:rtl/>
        </w:rPr>
        <w:t xml:space="preserve">רמ"ה </w:t>
      </w:r>
      <w:r w:rsidRPr="001D49D4">
        <w:rPr>
          <w:sz w:val="16"/>
          <w:szCs w:val="16"/>
          <w:rtl/>
        </w:rPr>
        <w:t>(כ"כ הטור בשמו</w:t>
      </w:r>
      <w:r w:rsidRPr="001D49D4">
        <w:rPr>
          <w:sz w:val="16"/>
          <w:szCs w:val="16"/>
          <w:vertAlign w:val="superscript"/>
          <w:rtl/>
        </w:rPr>
        <w:footnoteReference w:id="3344"/>
      </w:r>
      <w:r w:rsidRPr="001D49D4">
        <w:rPr>
          <w:sz w:val="16"/>
          <w:szCs w:val="16"/>
          <w:rtl/>
        </w:rPr>
        <w:t>)</w:t>
      </w:r>
      <w:r w:rsidRPr="001D49D4">
        <w:rPr>
          <w:rtl/>
        </w:rPr>
        <w:t>- דווקא כגון שלוה באחד בניסן והקדים הזמן באחד בתשרי שלא ניתן להכתב מזמן הראשון אבל כתב ללות בניסן ולא לוה עד תשרי אינו פסול לגמרי אלא טריף מלקוחות מתשרי</w:t>
      </w:r>
      <w:r w:rsidRPr="001D49D4">
        <w:rPr>
          <w:vertAlign w:val="superscript"/>
          <w:rtl/>
        </w:rPr>
        <w:footnoteReference w:id="3345"/>
      </w:r>
      <w:r w:rsidRPr="001D49D4">
        <w:rPr>
          <w:rtl/>
        </w:rPr>
        <w:t xml:space="preserve"> ואילך</w:t>
      </w:r>
      <w:r w:rsidRPr="001D49D4">
        <w:rPr>
          <w:vertAlign w:val="superscript"/>
          <w:rtl/>
        </w:rPr>
        <w:footnoteReference w:id="3346"/>
      </w:r>
      <w:r w:rsidRPr="001D49D4">
        <w:rPr>
          <w:rtl/>
        </w:rPr>
        <w:t>.</w:t>
      </w:r>
    </w:p>
    <w:p w14:paraId="644AA172" w14:textId="77777777" w:rsidR="001D49D4" w:rsidRPr="001D49D4" w:rsidRDefault="001D49D4" w:rsidP="0004348D">
      <w:pPr>
        <w:numPr>
          <w:ilvl w:val="1"/>
          <w:numId w:val="236"/>
        </w:numPr>
        <w:spacing w:before="360" w:after="240"/>
        <w:contextualSpacing/>
        <w:rPr>
          <w:rtl/>
        </w:rPr>
      </w:pPr>
      <w:r w:rsidRPr="001D49D4">
        <w:rPr>
          <w:rtl/>
        </w:rPr>
        <w:t>ב"י</w:t>
      </w:r>
      <w:r w:rsidRPr="001D49D4">
        <w:rPr>
          <w:sz w:val="16"/>
          <w:szCs w:val="16"/>
          <w:rtl/>
        </w:rPr>
        <w:t xml:space="preserve"> (בבדה"ב)</w:t>
      </w:r>
      <w:r w:rsidRPr="001D49D4">
        <w:rPr>
          <w:rtl/>
        </w:rPr>
        <w:t>- ולענין הלכה כיון שהרי"ף והרמב"ם ורש"י מסכימים לדעת אחת הכי נקטינן.</w:t>
      </w:r>
    </w:p>
    <w:p w14:paraId="1E208D60" w14:textId="77777777" w:rsidR="001D49D4" w:rsidRPr="001D49D4" w:rsidRDefault="001D49D4" w:rsidP="0004348D">
      <w:pPr>
        <w:spacing w:before="360" w:after="240"/>
        <w:ind w:left="360"/>
        <w:rPr>
          <w:rFonts w:ascii="Calibri" w:eastAsia="Calibri" w:hAnsi="Calibri" w:cs="Arial"/>
          <w:u w:val="dotted"/>
          <w:rtl/>
        </w:rPr>
      </w:pPr>
      <w:r w:rsidRPr="001D49D4">
        <w:rPr>
          <w:rFonts w:ascii="Calibri" w:eastAsia="Calibri" w:hAnsi="Calibri" w:cs="Arial"/>
          <w:u w:val="dotted"/>
          <w:rtl/>
        </w:rPr>
        <w:t>לסוברים שגובה בשטר זה מבני חרי – האם נאמן הלוה לטעון פרעתי או להד"מ:</w:t>
      </w:r>
    </w:p>
    <w:p w14:paraId="61DC521F" w14:textId="77777777" w:rsidR="001D49D4" w:rsidRPr="001D49D4" w:rsidRDefault="001D49D4" w:rsidP="0004348D">
      <w:pPr>
        <w:numPr>
          <w:ilvl w:val="0"/>
          <w:numId w:val="237"/>
        </w:numPr>
        <w:spacing w:before="360" w:after="240"/>
        <w:contextualSpacing/>
        <w:rPr>
          <w:rtl/>
        </w:rPr>
      </w:pPr>
      <w:r w:rsidRPr="001D49D4">
        <w:rPr>
          <w:rtl/>
        </w:rPr>
        <w:t xml:space="preserve">בעל התרומות </w:t>
      </w:r>
      <w:r w:rsidRPr="001D49D4">
        <w:rPr>
          <w:sz w:val="16"/>
          <w:szCs w:val="16"/>
          <w:rtl/>
        </w:rPr>
        <w:t>(שער נו ח"א סי' ב, וכ"כ הטור בשם הרי"ף וסיעתו)</w:t>
      </w:r>
      <w:r w:rsidRPr="001D49D4">
        <w:rPr>
          <w:rtl/>
        </w:rPr>
        <w:t>- אינו יכול לומר פרעתי, דא"ל שטרא בידי מאי בעי ונשבע</w:t>
      </w:r>
      <w:r w:rsidRPr="001D49D4">
        <w:rPr>
          <w:vertAlign w:val="superscript"/>
          <w:rtl/>
        </w:rPr>
        <w:footnoteReference w:id="3347"/>
      </w:r>
      <w:r w:rsidRPr="001D49D4">
        <w:rPr>
          <w:rtl/>
        </w:rPr>
        <w:t xml:space="preserve"> מלוה ונוטל. ואם יש בו נאמנות נוטל בלא שבועה. ואם טוען לא היו דברים מעולם - הוחזק כפרן</w:t>
      </w:r>
      <w:r w:rsidRPr="001D49D4">
        <w:rPr>
          <w:vertAlign w:val="superscript"/>
          <w:rtl/>
        </w:rPr>
        <w:footnoteReference w:id="3348"/>
      </w:r>
      <w:r w:rsidRPr="001D49D4">
        <w:rPr>
          <w:sz w:val="16"/>
          <w:szCs w:val="16"/>
          <w:rtl/>
        </w:rPr>
        <w:t xml:space="preserve"> (ל' הטור בשם הרי"ף וסיעתו)</w:t>
      </w:r>
      <w:r w:rsidRPr="001D49D4">
        <w:rPr>
          <w:rtl/>
        </w:rPr>
        <w:t xml:space="preserve">. </w:t>
      </w:r>
    </w:p>
    <w:p w14:paraId="5C475C95" w14:textId="77777777" w:rsidR="001D49D4" w:rsidRPr="001D49D4" w:rsidRDefault="001D49D4" w:rsidP="0004348D">
      <w:pPr>
        <w:spacing w:before="360" w:after="240"/>
        <w:rPr>
          <w:rFonts w:ascii="Arial" w:eastAsia="Calibri" w:hAnsi="Arial" w:cs="Arial"/>
          <w:b/>
          <w:bCs/>
          <w:color w:val="000000"/>
          <w:sz w:val="28"/>
          <w:szCs w:val="28"/>
          <w:u w:val="single"/>
          <w:rtl/>
        </w:rPr>
      </w:pPr>
      <w:r w:rsidRPr="001D49D4">
        <w:rPr>
          <w:rFonts w:ascii="Arial" w:eastAsia="Calibri" w:hAnsi="Arial" w:cs="Arial"/>
          <w:b/>
          <w:bCs/>
          <w:color w:val="000000"/>
          <w:sz w:val="28"/>
          <w:szCs w:val="28"/>
          <w:u w:val="single"/>
          <w:rtl/>
        </w:rPr>
        <w:t>שו"ע:</w:t>
      </w:r>
    </w:p>
    <w:p w14:paraId="38B79A7E"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rtl/>
        </w:rPr>
        <w:t>שטרי חוב המוקדמים פסולים, שהרי טורף בהם לקוחות שלא כדין. ולפיכך קנסו אותו חכמים ולא יגבה בשטר מוקדם אלא מבני חורין</w:t>
      </w:r>
      <w:r w:rsidRPr="001D49D4">
        <w:rPr>
          <w:rFonts w:ascii="Calibri" w:eastAsia="Calibri" w:hAnsi="Calibri" w:cs="Arial"/>
          <w:vertAlign w:val="superscript"/>
          <w:rtl/>
        </w:rPr>
        <w:footnoteReference w:id="3349"/>
      </w:r>
      <w:r w:rsidRPr="001D49D4">
        <w:rPr>
          <w:rFonts w:ascii="Calibri" w:eastAsia="Calibri" w:hAnsi="Calibri" w:cs="Arial"/>
          <w:rtl/>
        </w:rPr>
        <w:t xml:space="preserve">, גזרה שמא יטרוף בו מזמן ראשון שהקדימו. ואם יטעון הלוה פרעתי, דינו כטוען כן בשאר שטרות. ואם טען לא היו דברים מעולם, הוחזק כפרן. </w:t>
      </w:r>
      <w:r w:rsidRPr="001D49D4">
        <w:rPr>
          <w:rFonts w:ascii="Calibri" w:eastAsia="Calibri" w:hAnsi="Calibri" w:cs="Arial"/>
          <w:sz w:val="18"/>
          <w:szCs w:val="18"/>
          <w:rtl/>
        </w:rPr>
        <w:t>[הגה] וי"א דפסול</w:t>
      </w:r>
      <w:r w:rsidRPr="001D49D4">
        <w:rPr>
          <w:rFonts w:ascii="Calibri" w:eastAsia="Calibri" w:hAnsi="Calibri" w:cs="Arial"/>
          <w:sz w:val="18"/>
          <w:szCs w:val="18"/>
          <w:vertAlign w:val="superscript"/>
          <w:rtl/>
        </w:rPr>
        <w:footnoteReference w:id="3350"/>
      </w:r>
      <w:r w:rsidRPr="001D49D4">
        <w:rPr>
          <w:rFonts w:ascii="Calibri" w:eastAsia="Calibri" w:hAnsi="Calibri" w:cs="Arial"/>
          <w:sz w:val="18"/>
          <w:szCs w:val="18"/>
          <w:rtl/>
        </w:rPr>
        <w:t xml:space="preserve"> לגמרי</w:t>
      </w:r>
      <w:r w:rsidRPr="001D49D4">
        <w:rPr>
          <w:rFonts w:ascii="Calibri" w:eastAsia="Calibri" w:hAnsi="Calibri" w:cs="Arial"/>
          <w:sz w:val="18"/>
          <w:szCs w:val="18"/>
          <w:vertAlign w:val="superscript"/>
          <w:rtl/>
        </w:rPr>
        <w:footnoteReference w:id="3351"/>
      </w:r>
      <w:r w:rsidRPr="001D49D4">
        <w:rPr>
          <w:rFonts w:ascii="Calibri" w:eastAsia="Calibri" w:hAnsi="Calibri" w:cs="Arial"/>
          <w:sz w:val="18"/>
          <w:szCs w:val="18"/>
          <w:rtl/>
        </w:rPr>
        <w:t xml:space="preserve"> (טור בשם ר"י ורא"ש).</w:t>
      </w:r>
      <w:r w:rsidRPr="001D49D4">
        <w:rPr>
          <w:rFonts w:ascii="Calibri" w:eastAsia="Calibri" w:hAnsi="Calibri" w:cs="Arial"/>
          <w:rtl/>
        </w:rPr>
        <w:t xml:space="preserve"> </w:t>
      </w:r>
    </w:p>
    <w:p w14:paraId="76AEAFDB" w14:textId="77777777" w:rsidR="001D49D4" w:rsidRPr="001D49D4" w:rsidRDefault="001D49D4" w:rsidP="0004348D">
      <w:pPr>
        <w:spacing w:before="360" w:after="240"/>
        <w:rPr>
          <w:rFonts w:ascii="Calibri" w:eastAsia="Calibri" w:hAnsi="Calibri" w:cs="Arial"/>
          <w:rtl/>
        </w:rPr>
      </w:pPr>
    </w:p>
    <w:p w14:paraId="269D6DD4" w14:textId="77777777" w:rsidR="001D49D4" w:rsidRPr="001D49D4" w:rsidRDefault="001D49D4" w:rsidP="0004348D">
      <w:pPr>
        <w:keepNext/>
        <w:keepLines/>
        <w:spacing w:before="360" w:after="240"/>
        <w:outlineLvl w:val="1"/>
        <w:rPr>
          <w:rFonts w:ascii="Cambria" w:eastAsia="Times New Roman" w:hAnsi="Cambria" w:cs="Arial"/>
          <w:bCs/>
          <w:color w:val="548DD4" w:themeColor="text2" w:themeTint="99"/>
          <w:sz w:val="26"/>
          <w:szCs w:val="26"/>
          <w:rtl/>
        </w:rPr>
      </w:pPr>
      <w:bookmarkStart w:id="437" w:name="_Toc24883876"/>
      <w:r w:rsidRPr="001D49D4">
        <w:rPr>
          <w:rFonts w:ascii="Cambria" w:eastAsia="Times New Roman" w:hAnsi="Cambria" w:cs="Arial"/>
          <w:bCs/>
          <w:color w:val="548DD4" w:themeColor="text2" w:themeTint="99"/>
          <w:sz w:val="26"/>
          <w:szCs w:val="26"/>
          <w:rtl/>
        </w:rPr>
        <w:t>סעיף ח: עדים שהקדימו את זמן השטר בכוונה.</w:t>
      </w:r>
      <w:bookmarkEnd w:id="437"/>
    </w:p>
    <w:p w14:paraId="008B2EDE" w14:textId="77777777" w:rsidR="001D49D4" w:rsidRPr="001D49D4" w:rsidRDefault="001D49D4" w:rsidP="0004348D">
      <w:pPr>
        <w:spacing w:before="360" w:after="240"/>
        <w:rPr>
          <w:rFonts w:ascii="Calibri" w:eastAsia="Calibri" w:hAnsi="Calibri" w:cs="Arial"/>
          <w:u w:val="single"/>
          <w:rtl/>
        </w:rPr>
      </w:pPr>
      <w:r w:rsidRPr="001D49D4">
        <w:rPr>
          <w:rFonts w:ascii="Calibri" w:eastAsia="Calibri" w:hAnsi="Calibri" w:cs="Arial"/>
          <w:u w:val="single"/>
          <w:rtl/>
        </w:rPr>
        <w:t>עדים שהקדימו את זמן השטר בכוונה:</w:t>
      </w:r>
    </w:p>
    <w:p w14:paraId="7691ADBF" w14:textId="77777777" w:rsidR="001D49D4" w:rsidRPr="001D49D4" w:rsidRDefault="001D49D4" w:rsidP="0004348D">
      <w:pPr>
        <w:numPr>
          <w:ilvl w:val="0"/>
          <w:numId w:val="237"/>
        </w:numPr>
        <w:spacing w:before="360" w:after="240"/>
        <w:contextualSpacing/>
        <w:rPr>
          <w:rtl/>
        </w:rPr>
      </w:pPr>
      <w:r w:rsidRPr="001D49D4">
        <w:rPr>
          <w:rtl/>
        </w:rPr>
        <w:t xml:space="preserve">ריב"ש </w:t>
      </w:r>
      <w:r w:rsidRPr="001D49D4">
        <w:rPr>
          <w:sz w:val="16"/>
          <w:szCs w:val="16"/>
          <w:rtl/>
        </w:rPr>
        <w:t>(סי' רסד)</w:t>
      </w:r>
      <w:r w:rsidRPr="001D49D4">
        <w:rPr>
          <w:rtl/>
        </w:rPr>
        <w:t>- עד כאן לא אמרו דגובה מבני חרי אלא כשלא הקדימו העדים זמנו בכוונה, אבל אם הקדימוהו בכוונה - ודאי אפילו מבני חורין אין גובין בו, שהרי העדים פסולים שחתמו שקר</w:t>
      </w:r>
      <w:r w:rsidRPr="001D49D4">
        <w:rPr>
          <w:vertAlign w:val="superscript"/>
          <w:rtl/>
        </w:rPr>
        <w:footnoteReference w:id="3352"/>
      </w:r>
      <w:r w:rsidRPr="001D49D4">
        <w:rPr>
          <w:rtl/>
        </w:rPr>
        <w:t xml:space="preserve">. </w:t>
      </w:r>
      <w:r w:rsidRPr="001D49D4">
        <w:rPr>
          <w:color w:val="E36C0A" w:themeColor="accent6" w:themeShade="BF"/>
          <w:rtl/>
        </w:rPr>
        <w:t>(וכ"פ בשו"ע)</w:t>
      </w:r>
    </w:p>
    <w:p w14:paraId="4DC373F2"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b/>
          <w:bCs/>
          <w:rtl/>
        </w:rPr>
        <w:lastRenderedPageBreak/>
        <w:t xml:space="preserve">ירושלמי </w:t>
      </w:r>
      <w:r w:rsidRPr="001D49D4">
        <w:rPr>
          <w:rFonts w:ascii="Calibri" w:eastAsia="Calibri" w:hAnsi="Calibri" w:cs="Arial"/>
          <w:b/>
          <w:bCs/>
          <w:sz w:val="16"/>
          <w:szCs w:val="16"/>
          <w:rtl/>
        </w:rPr>
        <w:t xml:space="preserve">(וילנא) </w:t>
      </w:r>
      <w:r w:rsidRPr="001D49D4">
        <w:rPr>
          <w:rFonts w:ascii="Calibri" w:eastAsia="Calibri" w:hAnsi="Calibri" w:cs="Arial"/>
          <w:b/>
          <w:bCs/>
          <w:rtl/>
        </w:rPr>
        <w:t xml:space="preserve">שביעית פ"י ה"ג: </w:t>
      </w:r>
      <w:r w:rsidRPr="001D49D4">
        <w:rPr>
          <w:rFonts w:ascii="Calibri" w:eastAsia="Calibri" w:hAnsi="Calibri" w:cs="Arial"/>
          <w:rtl/>
        </w:rPr>
        <w:t>שטרי חוב המוקדמים פסולין מפני שמייפה כוחן, והמאוחרין כשרין מפני שהוא מורע כוחן. מי מידע</w:t>
      </w:r>
      <w:r w:rsidRPr="001D49D4">
        <w:rPr>
          <w:rFonts w:ascii="Calibri" w:eastAsia="Calibri" w:hAnsi="Calibri" w:cs="Arial"/>
          <w:vertAlign w:val="superscript"/>
          <w:rtl/>
        </w:rPr>
        <w:footnoteReference w:id="3353"/>
      </w:r>
      <w:r w:rsidRPr="001D49D4">
        <w:rPr>
          <w:rFonts w:ascii="Calibri" w:eastAsia="Calibri" w:hAnsi="Calibri" w:cs="Arial"/>
          <w:rtl/>
        </w:rPr>
        <w:t xml:space="preserve">? </w:t>
      </w:r>
      <w:r w:rsidRPr="001D49D4">
        <w:rPr>
          <w:rFonts w:ascii="Calibri" w:eastAsia="Calibri" w:hAnsi="Calibri" w:cs="Arial"/>
          <w:u w:val="single"/>
          <w:rtl/>
        </w:rPr>
        <w:t>שמעון בר ווא בשם רבי יוחנן</w:t>
      </w:r>
      <w:r w:rsidRPr="001D49D4">
        <w:rPr>
          <w:rFonts w:ascii="Calibri" w:eastAsia="Calibri" w:hAnsi="Calibri" w:cs="Arial"/>
          <w:rtl/>
        </w:rPr>
        <w:t>: החתומין בשטר. לא כן אמר ר"ש בן לקיש עשו דברי החתומין בשטר כמי שנחקרה עדותן בב"ד? תמן</w:t>
      </w:r>
      <w:r w:rsidRPr="001D49D4">
        <w:rPr>
          <w:rFonts w:ascii="Calibri" w:eastAsia="Calibri" w:hAnsi="Calibri" w:cs="Arial"/>
          <w:vertAlign w:val="superscript"/>
          <w:rtl/>
        </w:rPr>
        <w:footnoteReference w:id="3354"/>
      </w:r>
      <w:r w:rsidRPr="001D49D4">
        <w:rPr>
          <w:rFonts w:ascii="Calibri" w:eastAsia="Calibri" w:hAnsi="Calibri" w:cs="Arial"/>
          <w:rtl/>
        </w:rPr>
        <w:t xml:space="preserve"> אותן שאמרו לא חתמנו כל עיקר, ברם הכא אמרי על זה</w:t>
      </w:r>
      <w:r w:rsidRPr="001D49D4">
        <w:rPr>
          <w:rFonts w:ascii="Calibri" w:eastAsia="Calibri" w:hAnsi="Calibri" w:cs="Arial"/>
          <w:vertAlign w:val="superscript"/>
          <w:rtl/>
        </w:rPr>
        <w:footnoteReference w:id="3355"/>
      </w:r>
      <w:r w:rsidRPr="001D49D4">
        <w:rPr>
          <w:rFonts w:ascii="Calibri" w:eastAsia="Calibri" w:hAnsi="Calibri" w:cs="Arial"/>
          <w:rtl/>
        </w:rPr>
        <w:t xml:space="preserve"> חתמנו ולא חתמנו על זה</w:t>
      </w:r>
      <w:r w:rsidRPr="001D49D4">
        <w:rPr>
          <w:rFonts w:ascii="Calibri" w:eastAsia="Calibri" w:hAnsi="Calibri" w:cs="Arial"/>
          <w:vertAlign w:val="superscript"/>
          <w:rtl/>
        </w:rPr>
        <w:footnoteReference w:id="3356"/>
      </w:r>
      <w:r w:rsidRPr="001D49D4">
        <w:rPr>
          <w:rFonts w:ascii="Calibri" w:eastAsia="Calibri" w:hAnsi="Calibri" w:cs="Arial"/>
          <w:rtl/>
        </w:rPr>
        <w:t xml:space="preserve">. </w:t>
      </w:r>
      <w:r w:rsidRPr="001D49D4">
        <w:rPr>
          <w:rFonts w:ascii="Calibri" w:eastAsia="Calibri" w:hAnsi="Calibri" w:cs="Arial"/>
          <w:u w:val="single"/>
          <w:rtl/>
        </w:rPr>
        <w:t>רבי יוחנן</w:t>
      </w:r>
      <w:r w:rsidRPr="001D49D4">
        <w:rPr>
          <w:rFonts w:ascii="Calibri" w:eastAsia="Calibri" w:hAnsi="Calibri" w:cs="Arial"/>
          <w:rtl/>
        </w:rPr>
        <w:t>: אמר פסולין ממש</w:t>
      </w:r>
      <w:r w:rsidRPr="001D49D4">
        <w:rPr>
          <w:rFonts w:ascii="Calibri" w:eastAsia="Calibri" w:hAnsi="Calibri" w:cs="Arial"/>
          <w:vertAlign w:val="superscript"/>
          <w:rtl/>
        </w:rPr>
        <w:footnoteReference w:id="3357"/>
      </w:r>
      <w:r w:rsidRPr="001D49D4">
        <w:rPr>
          <w:rFonts w:ascii="Calibri" w:eastAsia="Calibri" w:hAnsi="Calibri" w:cs="Arial"/>
          <w:rtl/>
        </w:rPr>
        <w:t xml:space="preserve">. </w:t>
      </w:r>
      <w:r w:rsidRPr="001D49D4">
        <w:rPr>
          <w:rFonts w:ascii="Calibri" w:eastAsia="Calibri" w:hAnsi="Calibri" w:cs="Arial"/>
          <w:u w:val="single"/>
          <w:rtl/>
        </w:rPr>
        <w:t>ור"ש בן לקיש אמר</w:t>
      </w:r>
      <w:r w:rsidRPr="001D49D4">
        <w:rPr>
          <w:rFonts w:ascii="Calibri" w:eastAsia="Calibri" w:hAnsi="Calibri" w:cs="Arial"/>
          <w:rtl/>
        </w:rPr>
        <w:t>: אינו מונה אלא משעת הכתב</w:t>
      </w:r>
      <w:r w:rsidRPr="001D49D4">
        <w:rPr>
          <w:rFonts w:ascii="Calibri" w:eastAsia="Calibri" w:hAnsi="Calibri" w:cs="Arial"/>
          <w:vertAlign w:val="superscript"/>
          <w:rtl/>
        </w:rPr>
        <w:footnoteReference w:id="3358"/>
      </w:r>
      <w:r w:rsidRPr="001D49D4">
        <w:rPr>
          <w:rFonts w:ascii="Calibri" w:eastAsia="Calibri" w:hAnsi="Calibri" w:cs="Arial"/>
          <w:rtl/>
        </w:rPr>
        <w:t xml:space="preserve">. </w:t>
      </w:r>
      <w:r w:rsidRPr="001D49D4">
        <w:rPr>
          <w:rFonts w:ascii="Calibri" w:eastAsia="Calibri" w:hAnsi="Calibri" w:cs="Arial"/>
          <w:sz w:val="16"/>
          <w:szCs w:val="16"/>
          <w:rtl/>
        </w:rPr>
        <w:t>(כלומר דלא פסל רבי יוחנן להני שטרי אלא משום גזירה, ותיפוק ליה דמדינא מיפסלי הני שטרי, דהא עדים החתומים עליו פסולים הם שהקדימו השטר אם יודע לנו בבירור שהוא מוקדם, ואם לא נודע אלא על פי עדים עצמם הא לא מהימני דאין אדם משים עצמו רשע והשטרות כשרים, ב"י)</w:t>
      </w:r>
    </w:p>
    <w:p w14:paraId="5E43DE28" w14:textId="77777777" w:rsidR="001D49D4" w:rsidRPr="001D49D4" w:rsidRDefault="001D49D4" w:rsidP="0004348D">
      <w:pPr>
        <w:spacing w:before="360" w:after="240"/>
        <w:rPr>
          <w:rFonts w:ascii="Calibri" w:eastAsia="Calibri" w:hAnsi="Calibri" w:cs="Arial"/>
          <w:u w:val="single"/>
          <w:rtl/>
        </w:rPr>
      </w:pPr>
      <w:r w:rsidRPr="001D49D4">
        <w:rPr>
          <w:rFonts w:ascii="Calibri" w:eastAsia="Calibri" w:hAnsi="Calibri" w:cs="Arial"/>
          <w:u w:val="single"/>
          <w:rtl/>
        </w:rPr>
        <w:t xml:space="preserve">כיצד יש להעמיד את את דברי רבי יוחנן </w:t>
      </w:r>
      <w:r w:rsidRPr="001D49D4">
        <w:rPr>
          <w:rFonts w:ascii="Calibri" w:eastAsia="Calibri" w:hAnsi="Calibri" w:cs="Arial"/>
          <w:sz w:val="16"/>
          <w:szCs w:val="16"/>
          <w:u w:val="single"/>
          <w:rtl/>
        </w:rPr>
        <w:t>(שאמר שהעדים החתומים מעידים שהוא מוקדם)</w:t>
      </w:r>
      <w:r w:rsidRPr="001D49D4">
        <w:rPr>
          <w:rFonts w:ascii="Calibri" w:eastAsia="Calibri" w:hAnsi="Calibri" w:cs="Arial"/>
          <w:u w:val="single"/>
          <w:rtl/>
        </w:rPr>
        <w:t>:</w:t>
      </w:r>
    </w:p>
    <w:p w14:paraId="6CAE9D2A" w14:textId="77777777" w:rsidR="001D49D4" w:rsidRPr="001D49D4" w:rsidRDefault="001D49D4" w:rsidP="0004348D">
      <w:pPr>
        <w:numPr>
          <w:ilvl w:val="0"/>
          <w:numId w:val="237"/>
        </w:numPr>
        <w:spacing w:before="360" w:after="240"/>
        <w:contextualSpacing/>
        <w:rPr>
          <w:rtl/>
        </w:rPr>
      </w:pPr>
      <w:r w:rsidRPr="001D49D4">
        <w:rPr>
          <w:rtl/>
        </w:rPr>
        <w:t>רז"ה</w:t>
      </w:r>
      <w:r w:rsidRPr="001D49D4">
        <w:rPr>
          <w:vertAlign w:val="superscript"/>
          <w:rtl/>
        </w:rPr>
        <w:footnoteReference w:id="3359"/>
      </w:r>
      <w:r w:rsidRPr="001D49D4">
        <w:rPr>
          <w:rtl/>
        </w:rPr>
        <w:t xml:space="preserve"> </w:t>
      </w:r>
      <w:r w:rsidRPr="001D49D4">
        <w:rPr>
          <w:sz w:val="16"/>
          <w:szCs w:val="16"/>
          <w:rtl/>
        </w:rPr>
        <w:t>(בעל המאור ר"ה א. ד"ה למלכים, כ"כ בשמו הר"ן [ר"ה ב. ד"ה וגרסי'])</w:t>
      </w:r>
      <w:r w:rsidRPr="001D49D4">
        <w:rPr>
          <w:rtl/>
        </w:rPr>
        <w:t xml:space="preserve"> וי"א</w:t>
      </w:r>
      <w:r w:rsidRPr="001D49D4">
        <w:rPr>
          <w:sz w:val="16"/>
          <w:szCs w:val="16"/>
          <w:rtl/>
        </w:rPr>
        <w:t xml:space="preserve"> (הביאם הטור)</w:t>
      </w:r>
      <w:r w:rsidRPr="001D49D4">
        <w:rPr>
          <w:rtl/>
        </w:rPr>
        <w:t>- העדים נאמנין אפילו אם כתב ידם יוצא ממקום אחר שהרי הוא ניתן ליכתב מזמן שנעשית ההלואה, לפיכך נאמנין לומר לא נתכוונו לחתום אלא מזמן שנעשית ההלואה ולא הרגשנו בשעה שחתמנו שהוא מוקדם</w:t>
      </w:r>
      <w:r w:rsidRPr="001D49D4">
        <w:rPr>
          <w:vertAlign w:val="superscript"/>
          <w:rtl/>
        </w:rPr>
        <w:footnoteReference w:id="3360"/>
      </w:r>
      <w:r w:rsidRPr="001D49D4">
        <w:rPr>
          <w:sz w:val="16"/>
          <w:szCs w:val="16"/>
          <w:rtl/>
        </w:rPr>
        <w:t xml:space="preserve"> (ל' הטור בשם י"א)</w:t>
      </w:r>
      <w:r w:rsidRPr="001D49D4">
        <w:rPr>
          <w:rtl/>
        </w:rPr>
        <w:t>.</w:t>
      </w:r>
    </w:p>
    <w:p w14:paraId="01D03F09" w14:textId="77777777" w:rsidR="001D49D4" w:rsidRPr="001D49D4" w:rsidRDefault="001D49D4" w:rsidP="0004348D">
      <w:pPr>
        <w:numPr>
          <w:ilvl w:val="0"/>
          <w:numId w:val="237"/>
        </w:numPr>
        <w:spacing w:before="360" w:after="240"/>
        <w:contextualSpacing/>
        <w:rPr>
          <w:rtl/>
        </w:rPr>
      </w:pPr>
      <w:r w:rsidRPr="001D49D4">
        <w:rPr>
          <w:rtl/>
        </w:rPr>
        <w:t>ר"י</w:t>
      </w:r>
      <w:r w:rsidRPr="001D49D4">
        <w:rPr>
          <w:vertAlign w:val="superscript"/>
          <w:rtl/>
        </w:rPr>
        <w:footnoteReference w:id="3361"/>
      </w:r>
      <w:r w:rsidRPr="001D49D4">
        <w:rPr>
          <w:rtl/>
        </w:rPr>
        <w:t xml:space="preserve"> </w:t>
      </w:r>
      <w:r w:rsidRPr="001D49D4">
        <w:rPr>
          <w:sz w:val="16"/>
          <w:szCs w:val="16"/>
          <w:rtl/>
        </w:rPr>
        <w:t>(תוס' פרק איזהו נשך עב. ד"ה שטר שיש בו רבית)</w:t>
      </w:r>
      <w:r w:rsidRPr="001D49D4">
        <w:rPr>
          <w:rtl/>
        </w:rPr>
        <w:t xml:space="preserve"> ורא"ש </w:t>
      </w:r>
      <w:r w:rsidRPr="001D49D4">
        <w:rPr>
          <w:sz w:val="16"/>
          <w:szCs w:val="16"/>
          <w:rtl/>
        </w:rPr>
        <w:t>(סי' נח)</w:t>
      </w:r>
      <w:r w:rsidRPr="001D49D4">
        <w:rPr>
          <w:rtl/>
        </w:rPr>
        <w:t>- אם כתב ידם יוצא ממקום אחר אין נאמנין אא"כ מעידים עדים עליהם שהיו אנוסים מחמת נפשות, או שאין כתב ידם יוצא ממקום אחר ואמרו שטעו בשנת המלך</w:t>
      </w:r>
      <w:r w:rsidRPr="001D49D4">
        <w:rPr>
          <w:sz w:val="16"/>
          <w:szCs w:val="16"/>
          <w:rtl/>
        </w:rPr>
        <w:t xml:space="preserve"> (ל' הטור בשם ר"י)</w:t>
      </w:r>
      <w:r w:rsidRPr="001D49D4">
        <w:rPr>
          <w:rtl/>
        </w:rPr>
        <w:t>.</w:t>
      </w:r>
    </w:p>
    <w:p w14:paraId="2D0EE99A" w14:textId="77777777" w:rsidR="001D49D4" w:rsidRPr="001D49D4" w:rsidRDefault="001D49D4" w:rsidP="0004348D">
      <w:pPr>
        <w:numPr>
          <w:ilvl w:val="0"/>
          <w:numId w:val="237"/>
        </w:numPr>
        <w:spacing w:before="360" w:after="240"/>
        <w:contextualSpacing/>
        <w:rPr>
          <w:rtl/>
        </w:rPr>
      </w:pPr>
      <w:r w:rsidRPr="001D49D4">
        <w:rPr>
          <w:rtl/>
        </w:rPr>
        <w:t xml:space="preserve">רמב"ן </w:t>
      </w:r>
      <w:r w:rsidRPr="001D49D4">
        <w:rPr>
          <w:sz w:val="16"/>
          <w:szCs w:val="16"/>
          <w:rtl/>
        </w:rPr>
        <w:t>(פרק איזהו נשך עב. ד"ה והמאוחרין, כ"כ בשמו הר"ן [ר"ה ב. ד"ה וגרסי'])</w:t>
      </w:r>
      <w:r w:rsidRPr="001D49D4">
        <w:rPr>
          <w:rtl/>
        </w:rPr>
        <w:t xml:space="preserve">- האי ירושלמי כשאין כתב ידם יוצא ממקום אחר ומשום הכי נאמנין. </w:t>
      </w:r>
    </w:p>
    <w:p w14:paraId="30248EAB" w14:textId="77777777" w:rsidR="001D49D4" w:rsidRPr="001D49D4" w:rsidRDefault="001D49D4" w:rsidP="0004348D">
      <w:pPr>
        <w:numPr>
          <w:ilvl w:val="0"/>
          <w:numId w:val="237"/>
        </w:numPr>
        <w:spacing w:before="360" w:after="240"/>
        <w:contextualSpacing/>
      </w:pPr>
      <w:r w:rsidRPr="001D49D4">
        <w:rPr>
          <w:rtl/>
        </w:rPr>
        <w:t xml:space="preserve">נמוק"י </w:t>
      </w:r>
      <w:r w:rsidRPr="001D49D4">
        <w:rPr>
          <w:sz w:val="16"/>
          <w:szCs w:val="16"/>
          <w:rtl/>
        </w:rPr>
        <w:t>(פרק איזהו נשך מב: ד"ה ת"ר)</w:t>
      </w:r>
      <w:r w:rsidRPr="001D49D4">
        <w:rPr>
          <w:rtl/>
        </w:rPr>
        <w:t xml:space="preserve">- משכחת לה שהם כשרים כגון שלא הקדימו הזמן אלא שכתבו שטר ללוה ואין מלוה עמו ולא לוה עד אחר זמן, ואע"ג דלית להו למיעבד הכי אלא בשטרי אקנייתא וכדרב אסי </w:t>
      </w:r>
      <w:r w:rsidRPr="001D49D4">
        <w:rPr>
          <w:sz w:val="16"/>
          <w:szCs w:val="16"/>
          <w:rtl/>
        </w:rPr>
        <w:t>(ב"מ יג.)</w:t>
      </w:r>
      <w:r w:rsidRPr="001D49D4">
        <w:rPr>
          <w:rtl/>
        </w:rPr>
        <w:t>, מכל מקום כל מאן דלא גמר לדרב אסי לאו רשע גמור הוא</w:t>
      </w:r>
      <w:r w:rsidRPr="001D49D4">
        <w:rPr>
          <w:vertAlign w:val="superscript"/>
          <w:rtl/>
        </w:rPr>
        <w:footnoteReference w:id="3362"/>
      </w:r>
      <w:r w:rsidRPr="001D49D4">
        <w:rPr>
          <w:rtl/>
        </w:rPr>
        <w:t xml:space="preserve">. </w:t>
      </w:r>
    </w:p>
    <w:p w14:paraId="0581F8D0" w14:textId="77777777" w:rsidR="001D49D4" w:rsidRPr="001D49D4" w:rsidRDefault="001D49D4" w:rsidP="0004348D">
      <w:pPr>
        <w:numPr>
          <w:ilvl w:val="0"/>
          <w:numId w:val="237"/>
        </w:numPr>
        <w:spacing w:before="360" w:after="240"/>
        <w:contextualSpacing/>
      </w:pPr>
      <w:r w:rsidRPr="001D49D4">
        <w:rPr>
          <w:rtl/>
        </w:rPr>
        <w:t xml:space="preserve">ריב"ש </w:t>
      </w:r>
      <w:r w:rsidRPr="001D49D4">
        <w:rPr>
          <w:sz w:val="16"/>
          <w:szCs w:val="16"/>
          <w:rtl/>
        </w:rPr>
        <w:t>(סי' שפב)</w:t>
      </w:r>
      <w:r w:rsidRPr="001D49D4">
        <w:rPr>
          <w:rtl/>
        </w:rPr>
        <w:t>- משכחת לה במוקדם ממש שהקדימו זמנו לכתיבתו כגון דטעו בעיבורא דירחא.</w:t>
      </w:r>
    </w:p>
    <w:p w14:paraId="6632EA00" w14:textId="77777777" w:rsidR="001D49D4" w:rsidRPr="001D49D4" w:rsidRDefault="001D49D4" w:rsidP="0004348D">
      <w:pPr>
        <w:numPr>
          <w:ilvl w:val="0"/>
          <w:numId w:val="237"/>
        </w:numPr>
        <w:spacing w:before="360" w:after="240"/>
        <w:contextualSpacing/>
      </w:pPr>
      <w:r w:rsidRPr="001D49D4">
        <w:rPr>
          <w:rtl/>
        </w:rPr>
        <w:t xml:space="preserve">תלמידי הרשב"א </w:t>
      </w:r>
      <w:r w:rsidRPr="001D49D4">
        <w:rPr>
          <w:sz w:val="16"/>
          <w:szCs w:val="16"/>
          <w:rtl/>
        </w:rPr>
        <w:t>(פרק איזהו נשך)</w:t>
      </w:r>
      <w:r w:rsidRPr="001D49D4">
        <w:rPr>
          <w:rtl/>
        </w:rPr>
        <w:t xml:space="preserve"> בשם הרא"ה- כגון שבשעה שחתמו חשבו שכבר נעשית המלוה ואחר זמן ראו שהיה מלוה לו מעות דמי אותו שטר ובאו והעידו כן.</w:t>
      </w:r>
    </w:p>
    <w:p w14:paraId="4A47E2CF" w14:textId="77777777" w:rsidR="001D49D4" w:rsidRPr="001D49D4" w:rsidRDefault="001D49D4" w:rsidP="0004348D">
      <w:pPr>
        <w:spacing w:before="360" w:after="240"/>
        <w:rPr>
          <w:rFonts w:ascii="Calibri" w:eastAsia="Calibri" w:hAnsi="Calibri" w:cs="Arial"/>
          <w:u w:val="single"/>
        </w:rPr>
      </w:pPr>
      <w:r w:rsidRPr="001D49D4">
        <w:rPr>
          <w:rFonts w:ascii="Calibri" w:eastAsia="Calibri" w:hAnsi="Calibri" w:cs="Arial"/>
          <w:u w:val="single"/>
          <w:rtl/>
        </w:rPr>
        <w:t>עדים שכתבו ד' במקום ל"ד – האם נאמנים לומר טעינו:</w:t>
      </w:r>
    </w:p>
    <w:p w14:paraId="42D4ECC0" w14:textId="77777777" w:rsidR="001D49D4" w:rsidRPr="001D49D4" w:rsidRDefault="001D49D4" w:rsidP="0004348D">
      <w:pPr>
        <w:numPr>
          <w:ilvl w:val="0"/>
          <w:numId w:val="238"/>
        </w:numPr>
        <w:spacing w:before="360" w:after="240"/>
        <w:contextualSpacing/>
        <w:rPr>
          <w:rtl/>
        </w:rPr>
      </w:pPr>
      <w:r w:rsidRPr="001D49D4">
        <w:rPr>
          <w:rtl/>
        </w:rPr>
        <w:t>ריב"ש</w:t>
      </w:r>
      <w:r w:rsidRPr="001D49D4">
        <w:rPr>
          <w:sz w:val="16"/>
          <w:szCs w:val="16"/>
          <w:rtl/>
        </w:rPr>
        <w:t xml:space="preserve"> (סי' שפב)</w:t>
      </w:r>
      <w:r w:rsidRPr="001D49D4">
        <w:rPr>
          <w:rtl/>
        </w:rPr>
        <w:t>- עדים שהיה כתוב בשטר ד' שנים והיה להם לכתוב ל"ד שנים ואמרו שטעו - אין נאמנים, דאין רגילים לטעות בהכי</w:t>
      </w:r>
      <w:r w:rsidRPr="001D49D4">
        <w:rPr>
          <w:vertAlign w:val="superscript"/>
          <w:rtl/>
        </w:rPr>
        <w:footnoteReference w:id="3363"/>
      </w:r>
      <w:r w:rsidRPr="001D49D4">
        <w:rPr>
          <w:rtl/>
        </w:rPr>
        <w:t xml:space="preserve">.  </w:t>
      </w:r>
    </w:p>
    <w:p w14:paraId="7D8B5B83" w14:textId="77777777" w:rsidR="001D49D4" w:rsidRPr="001D49D4" w:rsidRDefault="001D49D4" w:rsidP="0004348D">
      <w:pPr>
        <w:spacing w:before="360" w:after="240"/>
        <w:rPr>
          <w:rFonts w:ascii="Arial" w:eastAsia="Calibri" w:hAnsi="Arial" w:cs="Arial"/>
          <w:b/>
          <w:bCs/>
          <w:color w:val="000000"/>
          <w:sz w:val="28"/>
          <w:szCs w:val="28"/>
          <w:u w:val="single"/>
        </w:rPr>
      </w:pPr>
      <w:r w:rsidRPr="001D49D4">
        <w:rPr>
          <w:rFonts w:ascii="Arial" w:eastAsia="Calibri" w:hAnsi="Arial" w:cs="Arial"/>
          <w:b/>
          <w:bCs/>
          <w:color w:val="000000"/>
          <w:sz w:val="28"/>
          <w:szCs w:val="28"/>
          <w:u w:val="single"/>
          <w:rtl/>
        </w:rPr>
        <w:t>שו"ע:</w:t>
      </w:r>
    </w:p>
    <w:p w14:paraId="6642A1A8"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rtl/>
        </w:rPr>
        <w:t xml:space="preserve">במה דברים אמורים שגובה מבני חורין, כשלא הקדימו העדים זמנו בכוונה. </w:t>
      </w:r>
      <w:r w:rsidRPr="001D49D4">
        <w:rPr>
          <w:rFonts w:ascii="Calibri" w:eastAsia="Calibri" w:hAnsi="Calibri" w:cs="Arial"/>
          <w:sz w:val="18"/>
          <w:szCs w:val="18"/>
          <w:rtl/>
        </w:rPr>
        <w:t xml:space="preserve">הגה: וי"א דהעדים נאמנים בזה, אע"פ שכתב ידן יוצא ממקום אחר </w:t>
      </w:r>
      <w:r w:rsidRPr="001D49D4">
        <w:rPr>
          <w:rFonts w:ascii="Calibri" w:eastAsia="Calibri" w:hAnsi="Calibri" w:cs="Arial"/>
          <w:sz w:val="16"/>
          <w:szCs w:val="16"/>
          <w:rtl/>
        </w:rPr>
        <w:t>(טור בשם י"א ור"ן בשם הרז"ה ור"ש פ' בתרא דשביעית וברטנורה שם ובעה"ת שער נו)</w:t>
      </w:r>
      <w:r w:rsidRPr="001D49D4">
        <w:rPr>
          <w:rFonts w:ascii="Calibri" w:eastAsia="Calibri" w:hAnsi="Calibri" w:cs="Arial"/>
          <w:sz w:val="18"/>
          <w:szCs w:val="18"/>
          <w:rtl/>
        </w:rPr>
        <w:t xml:space="preserve">. והוא הדין בכל טעות שהעדים מצויים לטעות </w:t>
      </w:r>
      <w:r w:rsidRPr="001D49D4">
        <w:rPr>
          <w:rFonts w:ascii="Calibri" w:eastAsia="Calibri" w:hAnsi="Calibri" w:cs="Arial"/>
          <w:sz w:val="18"/>
          <w:szCs w:val="18"/>
          <w:rtl/>
        </w:rPr>
        <w:lastRenderedPageBreak/>
        <w:t xml:space="preserve">בו, העדים נאמנים לומר שטעו </w:t>
      </w:r>
      <w:r w:rsidRPr="001D49D4">
        <w:rPr>
          <w:rFonts w:ascii="Calibri" w:eastAsia="Calibri" w:hAnsi="Calibri" w:cs="Arial"/>
          <w:sz w:val="16"/>
          <w:szCs w:val="16"/>
          <w:rtl/>
        </w:rPr>
        <w:t>(ר"ן שם בשם הרז"ה)</w:t>
      </w:r>
      <w:r w:rsidRPr="001D49D4">
        <w:rPr>
          <w:rFonts w:ascii="Calibri" w:eastAsia="Calibri" w:hAnsi="Calibri" w:cs="Arial"/>
          <w:sz w:val="18"/>
          <w:szCs w:val="18"/>
          <w:rtl/>
        </w:rPr>
        <w:t xml:space="preserve">. ויש חולקים </w:t>
      </w:r>
      <w:r w:rsidRPr="001D49D4">
        <w:rPr>
          <w:rFonts w:ascii="Calibri" w:eastAsia="Calibri" w:hAnsi="Calibri" w:cs="Arial"/>
          <w:sz w:val="16"/>
          <w:szCs w:val="16"/>
          <w:rtl/>
        </w:rPr>
        <w:t>(ר"י ורא"ש, ורמב"ן</w:t>
      </w:r>
      <w:r w:rsidRPr="001D49D4">
        <w:rPr>
          <w:rFonts w:ascii="Calibri" w:eastAsia="Calibri" w:hAnsi="Calibri" w:cs="Arial"/>
          <w:sz w:val="14"/>
          <w:szCs w:val="14"/>
          <w:rtl/>
        </w:rPr>
        <w:t xml:space="preserve"> [בר"ן ובנמוק"י]</w:t>
      </w:r>
      <w:r w:rsidRPr="001D49D4">
        <w:rPr>
          <w:rFonts w:ascii="Calibri" w:eastAsia="Calibri" w:hAnsi="Calibri" w:cs="Arial"/>
          <w:sz w:val="16"/>
          <w:szCs w:val="16"/>
          <w:rtl/>
        </w:rPr>
        <w:t>)</w:t>
      </w:r>
      <w:r w:rsidRPr="001D49D4">
        <w:rPr>
          <w:rFonts w:ascii="Calibri" w:eastAsia="Calibri" w:hAnsi="Calibri" w:cs="Arial"/>
          <w:sz w:val="18"/>
          <w:szCs w:val="18"/>
          <w:rtl/>
        </w:rPr>
        <w:t xml:space="preserve">. </w:t>
      </w:r>
      <w:r w:rsidRPr="001D49D4">
        <w:rPr>
          <w:rFonts w:ascii="Calibri" w:eastAsia="Calibri" w:hAnsi="Calibri" w:cs="Arial"/>
          <w:rtl/>
        </w:rPr>
        <w:t xml:space="preserve">אבל אם הקדימוהו בכוונה, ודאי אפילו מבני חורין אין גובין, שהרי העדים פסולים, שחתמו שקר. </w:t>
      </w:r>
    </w:p>
    <w:p w14:paraId="2540879E" w14:textId="77777777" w:rsidR="001D49D4" w:rsidRPr="001D49D4" w:rsidRDefault="001D49D4" w:rsidP="0004348D">
      <w:pPr>
        <w:spacing w:before="360" w:after="240"/>
        <w:rPr>
          <w:rFonts w:ascii="Calibri" w:eastAsia="Calibri" w:hAnsi="Calibri" w:cs="Arial"/>
          <w:rtl/>
        </w:rPr>
      </w:pPr>
    </w:p>
    <w:p w14:paraId="379F8D38" w14:textId="77777777" w:rsidR="001D49D4" w:rsidRPr="001D49D4" w:rsidRDefault="001D49D4" w:rsidP="0004348D">
      <w:pPr>
        <w:keepNext/>
        <w:keepLines/>
        <w:spacing w:before="360" w:after="240"/>
        <w:outlineLvl w:val="1"/>
        <w:rPr>
          <w:rFonts w:ascii="Cambria" w:eastAsia="Times New Roman" w:hAnsi="Cambria" w:cs="Arial"/>
          <w:bCs/>
          <w:color w:val="548DD4" w:themeColor="text2" w:themeTint="99"/>
          <w:sz w:val="26"/>
          <w:szCs w:val="26"/>
          <w:rtl/>
        </w:rPr>
      </w:pPr>
      <w:bookmarkStart w:id="438" w:name="_Toc24883877"/>
      <w:r w:rsidRPr="001D49D4">
        <w:rPr>
          <w:rFonts w:ascii="Cambria" w:eastAsia="Times New Roman" w:hAnsi="Cambria" w:cs="Arial"/>
          <w:bCs/>
          <w:color w:val="548DD4" w:themeColor="text2" w:themeTint="99"/>
          <w:sz w:val="26"/>
          <w:szCs w:val="26"/>
          <w:rtl/>
        </w:rPr>
        <w:t>סעיף ט: שטר מתנה נכתב בו שנת נ"ז במקום שנת נ"ח ומוכיח מתוכה שהוא טעות סופר.</w:t>
      </w:r>
      <w:bookmarkEnd w:id="438"/>
    </w:p>
    <w:p w14:paraId="7EF9687E" w14:textId="77777777" w:rsidR="001D49D4" w:rsidRPr="001D49D4" w:rsidRDefault="001D49D4" w:rsidP="0004348D">
      <w:pPr>
        <w:spacing w:before="360" w:after="240"/>
        <w:rPr>
          <w:rFonts w:ascii="Calibri" w:eastAsia="Calibri" w:hAnsi="Calibri" w:cs="Arial"/>
          <w:u w:val="single"/>
          <w:rtl/>
        </w:rPr>
      </w:pPr>
      <w:r w:rsidRPr="001D49D4">
        <w:rPr>
          <w:rFonts w:ascii="Calibri" w:eastAsia="Calibri" w:hAnsi="Calibri" w:cs="Arial"/>
          <w:u w:val="single"/>
          <w:rtl/>
        </w:rPr>
        <w:t>שטר מתנה שהיה לו לכתוב בשנת נ"ח וטעה וכתב בשנת נ"ז ומוכיח מתוכה שהוא טעות סופר:</w:t>
      </w:r>
    </w:p>
    <w:p w14:paraId="412AB118" w14:textId="77777777" w:rsidR="001D49D4" w:rsidRPr="001D49D4" w:rsidRDefault="001D49D4" w:rsidP="0004348D">
      <w:pPr>
        <w:numPr>
          <w:ilvl w:val="0"/>
          <w:numId w:val="238"/>
        </w:numPr>
        <w:spacing w:before="360" w:after="240"/>
        <w:contextualSpacing/>
        <w:rPr>
          <w:rtl/>
        </w:rPr>
      </w:pPr>
      <w:r w:rsidRPr="001D49D4">
        <w:rPr>
          <w:rtl/>
        </w:rPr>
        <w:t xml:space="preserve">רשב"א </w:t>
      </w:r>
      <w:r w:rsidRPr="001D49D4">
        <w:rPr>
          <w:sz w:val="16"/>
          <w:szCs w:val="16"/>
          <w:rtl/>
        </w:rPr>
        <w:t>(ח"ג סי' ד)</w:t>
      </w:r>
      <w:r w:rsidRPr="001D49D4">
        <w:rPr>
          <w:rtl/>
        </w:rPr>
        <w:t>- שטר מתנה שהיה לו לכתוב בשנת נ"ח וטעה וכתב בשנת נ"ז ומוכיח מתוכה שהוא טעות סופר שכתוב בו 'ותנו לפלוני חתני' ובשנת נ"ז לא היה עדיין חתנו, וחתום בשטר גברא רבא בתורה ובחסידות - אין כל זה מציל מלפסול השטר. ומ"מ אם העדים קיימים ואין כתב ידן יוצא ממקום אחר - יכולים לחתום שטר אחר מזמן שני, דאלו לא עשו שליחותן</w:t>
      </w:r>
      <w:r w:rsidRPr="001D49D4">
        <w:rPr>
          <w:vertAlign w:val="superscript"/>
          <w:rtl/>
        </w:rPr>
        <w:footnoteReference w:id="3364"/>
      </w:r>
      <w:r w:rsidRPr="001D49D4">
        <w:rPr>
          <w:rtl/>
        </w:rPr>
        <w:t xml:space="preserve">, שהוא אמר להן לכתוב בשנת נ"ח והם כתבו בשנת נ"ז והוי כההיא דנפתא וטפתא </w:t>
      </w:r>
      <w:r w:rsidRPr="001D49D4">
        <w:rPr>
          <w:sz w:val="16"/>
          <w:szCs w:val="16"/>
          <w:rtl/>
        </w:rPr>
        <w:t>(גיטין סג:)</w:t>
      </w:r>
      <w:r w:rsidRPr="001D49D4">
        <w:rPr>
          <w:rtl/>
        </w:rPr>
        <w:t xml:space="preserve">. ואם כתב ידן יוצא ממקום אחר והוחזק השטר בבית דין - שוב אין נאמנים. מכל מקום ראובן הקונה נאמן לומר טעות היה, מגו דאי בעי אמר אין ודאי שטרא מעליא הוא ובשנת נ"ז קנו מידו, ואע"פ שהעדים אומרים עכשיו שלא קנו מידו אלא בשנת נ"ח אינם נאמנים דכיון שהגידו אינם חוזרים ומגידים </w:t>
      </w:r>
      <w:r w:rsidRPr="001D49D4">
        <w:rPr>
          <w:sz w:val="16"/>
          <w:szCs w:val="16"/>
          <w:rtl/>
        </w:rPr>
        <w:t>(כתובות יח:)</w:t>
      </w:r>
      <w:r w:rsidRPr="001D49D4">
        <w:rPr>
          <w:rtl/>
        </w:rPr>
        <w:t>, ואפילו יש עדים שמעידים שבפניהם חתמו שטר זה בשנת נ"ח, דעכשיו אין לקונה מגו דאי בעי אמר בשנת נ"ז חתמו, מכל מקום עדיין יש לו מגו בשנת נ"ז קנו מידו ובשנת נ"ח חתמו, ואם יש עדים אחרים כשרים שראו כשקנו מידו בשנת נ"ח יכולים לכתוב לו שטר המתנה משנת נ"ח דעדי מתנה אין צריך שיהיו מזומנין לעדות</w:t>
      </w:r>
      <w:r w:rsidRPr="001D49D4">
        <w:rPr>
          <w:vertAlign w:val="superscript"/>
          <w:rtl/>
        </w:rPr>
        <w:footnoteReference w:id="3365"/>
      </w:r>
      <w:r w:rsidRPr="001D49D4">
        <w:rPr>
          <w:rtl/>
        </w:rPr>
        <w:t xml:space="preserve"> כדמוכח בפרק יש נוחלין </w:t>
      </w:r>
      <w:r w:rsidRPr="001D49D4">
        <w:rPr>
          <w:sz w:val="16"/>
          <w:szCs w:val="16"/>
          <w:rtl/>
        </w:rPr>
        <w:t xml:space="preserve">(ב"ב קיג:) </w:t>
      </w:r>
      <w:r w:rsidRPr="001D49D4">
        <w:rPr>
          <w:rtl/>
        </w:rPr>
        <w:t xml:space="preserve">גבי שלשה שנכנסו לבקר את החולה, אי נמי יעידו בפני בית דין והם יכתבו לו שטר מעשה בית דין בקבלת עדות עדים אלו. </w:t>
      </w:r>
      <w:r w:rsidRPr="001D49D4">
        <w:rPr>
          <w:color w:val="E36C0A" w:themeColor="accent6" w:themeShade="BF"/>
          <w:rtl/>
        </w:rPr>
        <w:t>(וכ"פ בשו"ע)</w:t>
      </w:r>
    </w:p>
    <w:p w14:paraId="1DD8C15C" w14:textId="77777777" w:rsidR="001D49D4" w:rsidRPr="001D49D4" w:rsidRDefault="001D49D4" w:rsidP="0004348D">
      <w:pPr>
        <w:spacing w:before="360" w:after="240"/>
        <w:rPr>
          <w:rFonts w:ascii="Arial" w:eastAsia="Calibri" w:hAnsi="Arial" w:cs="Arial"/>
          <w:b/>
          <w:bCs/>
          <w:color w:val="000000"/>
          <w:sz w:val="28"/>
          <w:szCs w:val="28"/>
          <w:u w:val="single"/>
          <w:rtl/>
        </w:rPr>
      </w:pPr>
      <w:r w:rsidRPr="001D49D4">
        <w:rPr>
          <w:rFonts w:ascii="Arial" w:eastAsia="Calibri" w:hAnsi="Arial" w:cs="Arial"/>
          <w:b/>
          <w:bCs/>
          <w:color w:val="000000"/>
          <w:sz w:val="28"/>
          <w:szCs w:val="28"/>
          <w:u w:val="single"/>
          <w:rtl/>
        </w:rPr>
        <w:t>שו"ע:</w:t>
      </w:r>
    </w:p>
    <w:p w14:paraId="1F7E9F85"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rtl/>
        </w:rPr>
        <w:t>שטר מתנה שהיה לו לכתוב בשנת נ"ח וכתב בשנת נ"ז ומוכיח מתוכו שהוא טעות סופר, שכתוב בו 'ותנו לפלוני חתני' ובזמן נ"ז עדיין לא היה חתנו, וחתום בשטר גברא רבא בתורה ובחסידות, אין כל זה מציל מלפסול השטר</w:t>
      </w:r>
      <w:r w:rsidRPr="001D49D4">
        <w:rPr>
          <w:rFonts w:ascii="Calibri" w:eastAsia="Calibri" w:hAnsi="Calibri" w:cs="Arial"/>
          <w:vertAlign w:val="superscript"/>
          <w:rtl/>
        </w:rPr>
        <w:footnoteReference w:id="3366"/>
      </w:r>
      <w:r w:rsidRPr="001D49D4">
        <w:rPr>
          <w:rFonts w:ascii="Calibri" w:eastAsia="Calibri" w:hAnsi="Calibri" w:cs="Arial"/>
          <w:rtl/>
        </w:rPr>
        <w:t>. ומכל מקום אם העדים קיימים ואין כתב ידן יוצא ממקום אחר, יכולים לחתום שטר אחר מזמן שני. ואם כתב ידם יוצא ממקום אחר, שוב אין נאמנים</w:t>
      </w:r>
      <w:r w:rsidRPr="001D49D4">
        <w:rPr>
          <w:rFonts w:ascii="Calibri" w:eastAsia="Calibri" w:hAnsi="Calibri" w:cs="Arial"/>
          <w:vertAlign w:val="superscript"/>
          <w:rtl/>
        </w:rPr>
        <w:footnoteReference w:id="3367"/>
      </w:r>
      <w:r w:rsidRPr="001D49D4">
        <w:rPr>
          <w:rFonts w:ascii="Calibri" w:eastAsia="Calibri" w:hAnsi="Calibri" w:cs="Arial"/>
          <w:rtl/>
        </w:rPr>
        <w:t xml:space="preserve">. מכל מקום המקבל מתנה נאמן לומר 'טעות היה', מיגו דאי בעי אמר: שטרא מעליא הוא ובשנת נ"ז קנו מידו. </w:t>
      </w:r>
    </w:p>
    <w:p w14:paraId="57BA7487" w14:textId="77777777" w:rsidR="001D49D4" w:rsidRPr="001D49D4" w:rsidRDefault="001D49D4" w:rsidP="0004348D">
      <w:pPr>
        <w:spacing w:before="360" w:after="240"/>
        <w:rPr>
          <w:rFonts w:ascii="Calibri" w:eastAsia="Calibri" w:hAnsi="Calibri" w:cs="Arial"/>
          <w:rtl/>
        </w:rPr>
      </w:pPr>
    </w:p>
    <w:p w14:paraId="27153643" w14:textId="77777777" w:rsidR="001D49D4" w:rsidRPr="001D49D4" w:rsidRDefault="001D49D4" w:rsidP="0004348D">
      <w:pPr>
        <w:keepNext/>
        <w:keepLines/>
        <w:spacing w:before="360" w:after="240"/>
        <w:outlineLvl w:val="1"/>
        <w:rPr>
          <w:rFonts w:ascii="Cambria" w:eastAsia="Times New Roman" w:hAnsi="Cambria" w:cs="Arial"/>
          <w:bCs/>
          <w:color w:val="548DD4" w:themeColor="text2" w:themeTint="99"/>
          <w:sz w:val="26"/>
          <w:szCs w:val="26"/>
          <w:rtl/>
        </w:rPr>
      </w:pPr>
      <w:bookmarkStart w:id="439" w:name="_Toc24883878"/>
      <w:r w:rsidRPr="001D49D4">
        <w:rPr>
          <w:rFonts w:ascii="Cambria" w:eastAsia="Times New Roman" w:hAnsi="Cambria" w:cs="Arial"/>
          <w:bCs/>
          <w:color w:val="548DD4" w:themeColor="text2" w:themeTint="99"/>
          <w:sz w:val="26"/>
          <w:szCs w:val="26"/>
          <w:rtl/>
        </w:rPr>
        <w:lastRenderedPageBreak/>
        <w:t>סעיף י: שטר מוקדם שכתוב בו – 'שטרא דנן איכתיב ביום פלן ולא אחתים עד יום פלן'.</w:t>
      </w:r>
      <w:bookmarkEnd w:id="439"/>
      <w:r w:rsidRPr="001D49D4">
        <w:rPr>
          <w:rFonts w:ascii="Cambria" w:eastAsia="Times New Roman" w:hAnsi="Cambria" w:cs="Arial"/>
          <w:bCs/>
          <w:color w:val="548DD4" w:themeColor="text2" w:themeTint="99"/>
          <w:sz w:val="26"/>
          <w:szCs w:val="26"/>
          <w:rtl/>
        </w:rPr>
        <w:t xml:space="preserve"> </w:t>
      </w:r>
    </w:p>
    <w:p w14:paraId="73CF6C4C" w14:textId="77777777" w:rsidR="001D49D4" w:rsidRPr="001D49D4" w:rsidRDefault="001D49D4" w:rsidP="0004348D">
      <w:pPr>
        <w:spacing w:before="360" w:after="240"/>
        <w:rPr>
          <w:rFonts w:ascii="Arial" w:eastAsia="Calibri" w:hAnsi="Arial" w:cs="Arial"/>
          <w:b/>
          <w:bCs/>
          <w:color w:val="000000"/>
          <w:sz w:val="28"/>
          <w:szCs w:val="28"/>
          <w:u w:val="single"/>
          <w:rtl/>
        </w:rPr>
      </w:pPr>
      <w:r w:rsidRPr="001D49D4">
        <w:rPr>
          <w:rFonts w:ascii="Arial" w:eastAsia="Calibri" w:hAnsi="Arial" w:cs="Arial"/>
          <w:b/>
          <w:bCs/>
          <w:color w:val="000000"/>
          <w:sz w:val="28"/>
          <w:szCs w:val="28"/>
          <w:u w:val="single"/>
          <w:rtl/>
        </w:rPr>
        <w:t>שו"ע:</w:t>
      </w:r>
    </w:p>
    <w:p w14:paraId="777A9625"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rtl/>
        </w:rPr>
        <w:t>שטר מוקדם דכתיב ביה מקמי חתימת סהדי: שטרא דנן איכתיב ביום פלן ולא אחתים עד יום פלן, כשר</w:t>
      </w:r>
      <w:r w:rsidRPr="001D49D4">
        <w:rPr>
          <w:rFonts w:ascii="Calibri" w:eastAsia="Calibri" w:hAnsi="Calibri" w:cs="Arial"/>
          <w:vertAlign w:val="superscript"/>
          <w:rtl/>
        </w:rPr>
        <w:footnoteReference w:id="3368"/>
      </w:r>
      <w:r w:rsidRPr="001D49D4">
        <w:rPr>
          <w:rFonts w:ascii="Calibri" w:eastAsia="Calibri" w:hAnsi="Calibri" w:cs="Arial"/>
          <w:rtl/>
        </w:rPr>
        <w:t xml:space="preserve">. </w:t>
      </w:r>
      <w:r w:rsidRPr="001D49D4">
        <w:rPr>
          <w:rFonts w:ascii="Calibri" w:eastAsia="Calibri" w:hAnsi="Calibri" w:cs="Arial"/>
          <w:sz w:val="16"/>
          <w:szCs w:val="16"/>
          <w:rtl/>
        </w:rPr>
        <w:t xml:space="preserve">{הגה"מ </w:t>
      </w:r>
      <w:r w:rsidRPr="001D49D4">
        <w:rPr>
          <w:rFonts w:ascii="Calibri" w:eastAsia="Calibri" w:hAnsi="Calibri" w:cs="Arial"/>
          <w:sz w:val="14"/>
          <w:szCs w:val="14"/>
          <w:rtl/>
        </w:rPr>
        <w:t xml:space="preserve">[פכ"ג ממלוה ולוה אות א, ופ"א דגירושין אות נ] </w:t>
      </w:r>
      <w:r w:rsidRPr="001D49D4">
        <w:rPr>
          <w:rFonts w:ascii="Calibri" w:eastAsia="Calibri" w:hAnsi="Calibri" w:cs="Arial"/>
          <w:sz w:val="16"/>
          <w:szCs w:val="16"/>
          <w:rtl/>
        </w:rPr>
        <w:t xml:space="preserve">בשם בהעי"ט </w:t>
      </w:r>
      <w:r w:rsidRPr="001D49D4">
        <w:rPr>
          <w:rFonts w:ascii="Calibri" w:eastAsia="Calibri" w:hAnsi="Calibri" w:cs="Arial"/>
          <w:sz w:val="14"/>
          <w:szCs w:val="14"/>
          <w:rtl/>
        </w:rPr>
        <w:t>[מאמר ראשון זמן ז ע"ג ח ע"ד]</w:t>
      </w:r>
      <w:r w:rsidRPr="001D49D4">
        <w:rPr>
          <w:rFonts w:ascii="Calibri" w:eastAsia="Calibri" w:hAnsi="Calibri" w:cs="Arial"/>
          <w:sz w:val="16"/>
          <w:szCs w:val="16"/>
          <w:rtl/>
        </w:rPr>
        <w:t>}</w:t>
      </w:r>
    </w:p>
    <w:p w14:paraId="34DEF111" w14:textId="77777777" w:rsidR="001D49D4" w:rsidRPr="001D49D4" w:rsidRDefault="001D49D4" w:rsidP="0004348D">
      <w:pPr>
        <w:spacing w:before="360" w:after="240"/>
        <w:rPr>
          <w:rFonts w:ascii="Calibri" w:eastAsia="Calibri" w:hAnsi="Calibri" w:cs="Arial"/>
          <w:rtl/>
        </w:rPr>
      </w:pPr>
    </w:p>
    <w:p w14:paraId="67D2FB1B" w14:textId="77777777" w:rsidR="001D49D4" w:rsidRPr="001D49D4" w:rsidRDefault="001D49D4" w:rsidP="0004348D">
      <w:pPr>
        <w:keepNext/>
        <w:keepLines/>
        <w:spacing w:before="360" w:after="240"/>
        <w:outlineLvl w:val="1"/>
        <w:rPr>
          <w:rFonts w:ascii="Cambria" w:eastAsia="Times New Roman" w:hAnsi="Cambria" w:cs="Arial"/>
          <w:bCs/>
          <w:color w:val="548DD4" w:themeColor="text2" w:themeTint="99"/>
          <w:sz w:val="26"/>
          <w:szCs w:val="26"/>
          <w:rtl/>
        </w:rPr>
      </w:pPr>
      <w:bookmarkStart w:id="440" w:name="_Toc24883879"/>
      <w:r w:rsidRPr="001D49D4">
        <w:rPr>
          <w:rFonts w:ascii="Cambria" w:eastAsia="Times New Roman" w:hAnsi="Cambria" w:cs="Arial"/>
          <w:bCs/>
          <w:color w:val="548DD4" w:themeColor="text2" w:themeTint="99"/>
          <w:sz w:val="26"/>
          <w:szCs w:val="26"/>
          <w:rtl/>
        </w:rPr>
        <w:t>סעיף יא: עדים שראו ההלואה ולאחר זמן אמר להם הלוה 'כתבו וחתמו ותנו ביד המלוה'.</w:t>
      </w:r>
      <w:bookmarkEnd w:id="440"/>
    </w:p>
    <w:p w14:paraId="23F82429" w14:textId="77777777" w:rsidR="001D49D4" w:rsidRPr="001D49D4" w:rsidRDefault="001D49D4" w:rsidP="0004348D">
      <w:pPr>
        <w:spacing w:before="360" w:after="240"/>
        <w:rPr>
          <w:rFonts w:ascii="Arial" w:eastAsia="Calibri" w:hAnsi="Arial" w:cs="Arial"/>
          <w:b/>
          <w:bCs/>
          <w:color w:val="000000"/>
          <w:sz w:val="28"/>
          <w:szCs w:val="28"/>
          <w:u w:val="single"/>
          <w:rtl/>
        </w:rPr>
      </w:pPr>
      <w:r w:rsidRPr="001D49D4">
        <w:rPr>
          <w:rFonts w:ascii="Arial" w:eastAsia="Calibri" w:hAnsi="Arial" w:cs="Arial"/>
          <w:b/>
          <w:bCs/>
          <w:color w:val="000000"/>
          <w:sz w:val="28"/>
          <w:szCs w:val="28"/>
          <w:u w:val="single"/>
          <w:rtl/>
        </w:rPr>
        <w:t>שו"ע:</w:t>
      </w:r>
    </w:p>
    <w:p w14:paraId="018FFB36"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rtl/>
        </w:rPr>
        <w:t>אפילו ראו העדים שהלוה לו, ואמר הלוה: כתבו וחתמו השטר ותנו ביד המלוה, אם לא היה שם קנין, כותבין בשטר יום שנמסר בו, ולא יום שהלוה לו</w:t>
      </w:r>
      <w:r w:rsidRPr="001D49D4">
        <w:rPr>
          <w:rFonts w:ascii="Calibri" w:eastAsia="Calibri" w:hAnsi="Calibri" w:cs="Arial"/>
          <w:vertAlign w:val="superscript"/>
          <w:rtl/>
        </w:rPr>
        <w:footnoteReference w:id="3369"/>
      </w:r>
      <w:r w:rsidRPr="001D49D4">
        <w:rPr>
          <w:rFonts w:ascii="Calibri" w:eastAsia="Calibri" w:hAnsi="Calibri" w:cs="Arial"/>
          <w:rtl/>
        </w:rPr>
        <w:t xml:space="preserve">. </w:t>
      </w:r>
    </w:p>
    <w:p w14:paraId="0BA4F095" w14:textId="77777777" w:rsidR="001D49D4" w:rsidRPr="001D49D4" w:rsidRDefault="001D49D4" w:rsidP="0004348D">
      <w:pPr>
        <w:spacing w:before="360" w:after="240"/>
        <w:rPr>
          <w:rFonts w:ascii="Calibri" w:eastAsia="Calibri" w:hAnsi="Calibri" w:cs="Arial"/>
          <w:rtl/>
        </w:rPr>
      </w:pPr>
    </w:p>
    <w:p w14:paraId="51AE2CD1" w14:textId="77777777" w:rsidR="001D49D4" w:rsidRPr="001D49D4" w:rsidRDefault="001D49D4" w:rsidP="0004348D">
      <w:pPr>
        <w:keepNext/>
        <w:keepLines/>
        <w:spacing w:before="360" w:after="240"/>
        <w:outlineLvl w:val="1"/>
        <w:rPr>
          <w:rFonts w:ascii="Cambria" w:eastAsia="Times New Roman" w:hAnsi="Cambria" w:cs="Arial"/>
          <w:bCs/>
          <w:color w:val="548DD4" w:themeColor="text2" w:themeTint="99"/>
          <w:sz w:val="26"/>
          <w:szCs w:val="26"/>
          <w:rtl/>
        </w:rPr>
      </w:pPr>
      <w:bookmarkStart w:id="441" w:name="_Toc24883880"/>
      <w:r w:rsidRPr="001D49D4">
        <w:rPr>
          <w:rFonts w:ascii="Cambria" w:eastAsia="Times New Roman" w:hAnsi="Cambria" w:cs="Arial"/>
          <w:bCs/>
          <w:color w:val="548DD4" w:themeColor="text2" w:themeTint="99"/>
          <w:sz w:val="26"/>
          <w:szCs w:val="26"/>
          <w:rtl/>
        </w:rPr>
        <w:t>סעיף יב: שטרי חוב המאוחרים.</w:t>
      </w:r>
      <w:bookmarkEnd w:id="441"/>
    </w:p>
    <w:p w14:paraId="21FA251B"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b/>
          <w:bCs/>
          <w:rtl/>
        </w:rPr>
        <w:t xml:space="preserve">משנה שביעית פ"י מ"ה: </w:t>
      </w:r>
      <w:r w:rsidRPr="001D49D4">
        <w:rPr>
          <w:rFonts w:ascii="Calibri" w:eastAsia="Calibri" w:hAnsi="Calibri" w:cs="Arial"/>
          <w:rtl/>
        </w:rPr>
        <w:t xml:space="preserve">פרוזבול המוקדם כשר והמאוחר פסול. שטרי חוב המוקדמים פסולים והמאוחרים כשרים... </w:t>
      </w:r>
    </w:p>
    <w:p w14:paraId="146E506E"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b/>
          <w:bCs/>
          <w:rtl/>
        </w:rPr>
        <w:t xml:space="preserve">בבא בתרא </w:t>
      </w:r>
      <w:r w:rsidRPr="001D49D4">
        <w:rPr>
          <w:rFonts w:ascii="Calibri" w:eastAsia="Calibri" w:hAnsi="Calibri" w:cs="Arial"/>
          <w:b/>
          <w:bCs/>
          <w:sz w:val="16"/>
          <w:szCs w:val="16"/>
          <w:rtl/>
        </w:rPr>
        <w:t xml:space="preserve">(פרק מי שמת) </w:t>
      </w:r>
      <w:r w:rsidRPr="001D49D4">
        <w:rPr>
          <w:rFonts w:ascii="Calibri" w:eastAsia="Calibri" w:hAnsi="Calibri" w:cs="Arial"/>
          <w:b/>
          <w:bCs/>
          <w:rtl/>
        </w:rPr>
        <w:t>קנז</w:t>
      </w:r>
      <w:r w:rsidRPr="001D49D4">
        <w:rPr>
          <w:rFonts w:ascii="Calibri" w:eastAsia="Calibri" w:hAnsi="Calibri" w:cs="Arial"/>
          <w:b/>
          <w:bCs/>
          <w:vertAlign w:val="superscript"/>
          <w:rtl/>
        </w:rPr>
        <w:footnoteReference w:id="3370"/>
      </w:r>
      <w:r w:rsidRPr="001D49D4">
        <w:rPr>
          <w:rFonts w:ascii="Calibri" w:eastAsia="Calibri" w:hAnsi="Calibri" w:cs="Arial"/>
          <w:b/>
          <w:bCs/>
          <w:rtl/>
        </w:rPr>
        <w:t xml:space="preserve"> ע"א:</w:t>
      </w:r>
      <w:r w:rsidRPr="001D49D4">
        <w:rPr>
          <w:rFonts w:ascii="Calibri" w:eastAsia="Calibri" w:hAnsi="Calibri" w:cs="Arial"/>
          <w:rtl/>
        </w:rPr>
        <w:t xml:space="preserve"> תנן התם: המלוה את חבירו בשטר - גובה מנכסים משועבדים, על ידי עדים - גובה מנכסים בני חורין. בעי שמואל</w:t>
      </w:r>
      <w:r w:rsidRPr="001D49D4">
        <w:rPr>
          <w:rFonts w:ascii="Calibri" w:eastAsia="Calibri" w:hAnsi="Calibri" w:cs="Arial"/>
          <w:vertAlign w:val="superscript"/>
          <w:rtl/>
        </w:rPr>
        <w:footnoteReference w:id="3371"/>
      </w:r>
      <w:r w:rsidRPr="001D49D4">
        <w:rPr>
          <w:rFonts w:ascii="Calibri" w:eastAsia="Calibri" w:hAnsi="Calibri" w:cs="Arial"/>
          <w:rtl/>
        </w:rPr>
        <w:t>: דאיקני וקנה, מהו</w:t>
      </w:r>
      <w:r w:rsidRPr="001D49D4">
        <w:rPr>
          <w:rFonts w:ascii="Calibri" w:eastAsia="Calibri" w:hAnsi="Calibri" w:cs="Arial"/>
          <w:vertAlign w:val="superscript"/>
          <w:rtl/>
        </w:rPr>
        <w:footnoteReference w:id="3372"/>
      </w:r>
      <w:r w:rsidRPr="001D49D4">
        <w:rPr>
          <w:rFonts w:ascii="Calibri" w:eastAsia="Calibri" w:hAnsi="Calibri" w:cs="Arial"/>
          <w:rtl/>
        </w:rPr>
        <w:t>?...</w:t>
      </w:r>
      <w:r w:rsidRPr="001D49D4">
        <w:rPr>
          <w:rFonts w:ascii="Calibri" w:eastAsia="Calibri" w:hAnsi="Calibri" w:cs="Arial"/>
          <w:sz w:val="14"/>
          <w:szCs w:val="14"/>
          <w:rtl/>
        </w:rPr>
        <w:t xml:space="preserve"> (קנז:)</w:t>
      </w:r>
      <w:r w:rsidRPr="001D49D4">
        <w:rPr>
          <w:rFonts w:ascii="Calibri" w:eastAsia="Calibri" w:hAnsi="Calibri" w:cs="Arial"/>
          <w:rtl/>
        </w:rPr>
        <w:t xml:space="preserve"> </w:t>
      </w:r>
      <w:r w:rsidRPr="001D49D4">
        <w:rPr>
          <w:rFonts w:ascii="Calibri" w:eastAsia="Calibri" w:hAnsi="Calibri" w:cs="Arial"/>
          <w:u w:val="single"/>
          <w:rtl/>
        </w:rPr>
        <w:t>אמר רב יעקב מנהר פקוד משמיה דרבינא</w:t>
      </w:r>
      <w:r w:rsidRPr="001D49D4">
        <w:rPr>
          <w:rFonts w:ascii="Calibri" w:eastAsia="Calibri" w:hAnsi="Calibri" w:cs="Arial"/>
          <w:rtl/>
        </w:rPr>
        <w:t>: תא שמע, שטרי חוב המוקדמין פסולין, והמאוחרין</w:t>
      </w:r>
      <w:r w:rsidRPr="001D49D4">
        <w:rPr>
          <w:rFonts w:ascii="Calibri" w:eastAsia="Calibri" w:hAnsi="Calibri" w:cs="Arial"/>
          <w:vertAlign w:val="superscript"/>
          <w:rtl/>
        </w:rPr>
        <w:footnoteReference w:id="3373"/>
      </w:r>
      <w:r w:rsidRPr="001D49D4">
        <w:rPr>
          <w:rFonts w:ascii="Calibri" w:eastAsia="Calibri" w:hAnsi="Calibri" w:cs="Arial"/>
          <w:rtl/>
        </w:rPr>
        <w:t xml:space="preserve"> כשרין, ואי סלקא דעתך דאיקני קנה ומכר דאיקני קנה והוריש לא משתעבד, מאוחרין אמאי כשרין</w:t>
      </w:r>
      <w:r w:rsidRPr="001D49D4">
        <w:rPr>
          <w:rFonts w:ascii="Calibri" w:eastAsia="Calibri" w:hAnsi="Calibri" w:cs="Arial"/>
          <w:vertAlign w:val="superscript"/>
          <w:rtl/>
        </w:rPr>
        <w:footnoteReference w:id="3374"/>
      </w:r>
      <w:r w:rsidRPr="001D49D4">
        <w:rPr>
          <w:rFonts w:ascii="Calibri" w:eastAsia="Calibri" w:hAnsi="Calibri" w:cs="Arial"/>
          <w:rtl/>
        </w:rPr>
        <w:t xml:space="preserve">? דאיקני הוא! </w:t>
      </w:r>
      <w:r w:rsidRPr="001D49D4">
        <w:rPr>
          <w:rFonts w:ascii="Calibri" w:eastAsia="Calibri" w:hAnsi="Calibri" w:cs="Arial"/>
          <w:sz w:val="16"/>
          <w:szCs w:val="16"/>
          <w:rtl/>
        </w:rPr>
        <w:t xml:space="preserve">(כלומר דילמא בשעת הלואה לא היה ללוה אותה שדה, ואח"כ קנאה קודם זמן הכתוב בשטר, ומכרה אח"כ, ונמצא מלוה טורף משדה זו שלא כדין, ואם כן </w:t>
      </w:r>
      <w:r w:rsidRPr="001D49D4">
        <w:rPr>
          <w:rFonts w:ascii="Calibri" w:eastAsia="Calibri" w:hAnsi="Calibri" w:cs="Arial"/>
          <w:sz w:val="14"/>
          <w:szCs w:val="14"/>
          <w:rtl/>
        </w:rPr>
        <w:t xml:space="preserve">{איך המאוחרין כשרין? והרי יבוא לטרף מלקוחות שלא כדין, אלא} </w:t>
      </w:r>
      <w:r w:rsidRPr="001D49D4">
        <w:rPr>
          <w:rFonts w:ascii="Calibri" w:eastAsia="Calibri" w:hAnsi="Calibri" w:cs="Arial"/>
          <w:sz w:val="16"/>
          <w:szCs w:val="16"/>
          <w:rtl/>
        </w:rPr>
        <w:t>ע"כ אי כתב 'דאיקני' - קנה ומכר משתעבד. ומשמע הא אי לא כתב דאיקני לא משתעבד, וממילא שאם הוא שטר מאוחר ואין כתוב בו דאיקני - שהוא פסול, דכיון דשדה שקנה אח"כ לא משתעבד אתי למיטרף לקוחות שלא כדין, ב"י. וכתב הב"י דכן דעת הר"י מיגאש הרמב"ן ובעל התרומות, אבל דעת הרשב"א אינו כן, כדלקמן)</w:t>
      </w:r>
    </w:p>
    <w:p w14:paraId="67105AB5" w14:textId="77777777" w:rsidR="001D49D4" w:rsidRPr="001D49D4" w:rsidRDefault="001D49D4" w:rsidP="0004348D">
      <w:pPr>
        <w:spacing w:before="360" w:after="240"/>
        <w:rPr>
          <w:rFonts w:ascii="Calibri" w:eastAsia="Calibri" w:hAnsi="Calibri" w:cs="Arial"/>
          <w:u w:val="single"/>
          <w:rtl/>
        </w:rPr>
      </w:pPr>
      <w:r w:rsidRPr="001D49D4">
        <w:rPr>
          <w:rFonts w:ascii="Calibri" w:eastAsia="Calibri" w:hAnsi="Calibri" w:cs="Arial"/>
          <w:u w:val="single"/>
          <w:rtl/>
        </w:rPr>
        <w:t>שטרי חוב המאוחרים:</w:t>
      </w:r>
    </w:p>
    <w:p w14:paraId="7974CE48" w14:textId="77777777" w:rsidR="001D49D4" w:rsidRPr="001D49D4" w:rsidRDefault="001D49D4" w:rsidP="0004348D">
      <w:pPr>
        <w:numPr>
          <w:ilvl w:val="0"/>
          <w:numId w:val="238"/>
        </w:numPr>
        <w:spacing w:before="360" w:after="240"/>
        <w:contextualSpacing/>
        <w:rPr>
          <w:rtl/>
        </w:rPr>
      </w:pPr>
      <w:r w:rsidRPr="001D49D4">
        <w:rPr>
          <w:rtl/>
        </w:rPr>
        <w:lastRenderedPageBreak/>
        <w:t xml:space="preserve">רמב"ם </w:t>
      </w:r>
      <w:r w:rsidRPr="001D49D4">
        <w:rPr>
          <w:sz w:val="16"/>
          <w:szCs w:val="16"/>
          <w:rtl/>
        </w:rPr>
        <w:t>(פכ"ג ממלוה ולוה ה"ב)</w:t>
      </w:r>
      <w:r w:rsidRPr="001D49D4">
        <w:rPr>
          <w:rtl/>
        </w:rPr>
        <w:t xml:space="preserve"> וטור- שטרי חוב המאוחרין כשרין, שהרי הורע כחו של בעל השטר שאינו טורף אלא מזמן השטר, ואע"פ שלא כתבו בו שהוא מאוחר</w:t>
      </w:r>
      <w:r w:rsidRPr="001D49D4">
        <w:rPr>
          <w:vertAlign w:val="superscript"/>
          <w:rtl/>
        </w:rPr>
        <w:footnoteReference w:id="3375"/>
      </w:r>
      <w:r w:rsidRPr="001D49D4">
        <w:rPr>
          <w:rtl/>
        </w:rPr>
        <w:t xml:space="preserve"> - הרי זה כשר</w:t>
      </w:r>
      <w:r w:rsidRPr="001D49D4">
        <w:rPr>
          <w:vertAlign w:val="superscript"/>
          <w:rtl/>
        </w:rPr>
        <w:footnoteReference w:id="3376"/>
      </w:r>
      <w:r w:rsidRPr="001D49D4">
        <w:rPr>
          <w:sz w:val="16"/>
          <w:szCs w:val="16"/>
          <w:rtl/>
        </w:rPr>
        <w:t xml:space="preserve"> (ל' הרמב"ם)</w:t>
      </w:r>
      <w:r w:rsidRPr="001D49D4">
        <w:rPr>
          <w:rtl/>
        </w:rPr>
        <w:t xml:space="preserve">. </w:t>
      </w:r>
      <w:r w:rsidRPr="001D49D4">
        <w:rPr>
          <w:color w:val="E36C0A" w:themeColor="accent6" w:themeShade="BF"/>
          <w:rtl/>
        </w:rPr>
        <w:t>(וכ"פ בשו"ע)</w:t>
      </w:r>
    </w:p>
    <w:p w14:paraId="111A9C04" w14:textId="77777777" w:rsidR="001D49D4" w:rsidRPr="001D49D4" w:rsidRDefault="001D49D4" w:rsidP="0004348D">
      <w:pPr>
        <w:spacing w:before="360" w:after="240"/>
        <w:ind w:left="360"/>
        <w:rPr>
          <w:rFonts w:ascii="Calibri" w:eastAsia="Calibri" w:hAnsi="Calibri" w:cs="Arial"/>
          <w:u w:val="dotted"/>
        </w:rPr>
      </w:pPr>
      <w:r w:rsidRPr="001D49D4">
        <w:rPr>
          <w:rFonts w:ascii="Calibri" w:eastAsia="Calibri" w:hAnsi="Calibri" w:cs="Arial"/>
          <w:u w:val="dotted"/>
          <w:rtl/>
        </w:rPr>
        <w:t>ומה הדין אם לא כתב בשטר המאוחר 'דאיקני':</w:t>
      </w:r>
    </w:p>
    <w:p w14:paraId="44E002AB" w14:textId="77777777" w:rsidR="001D49D4" w:rsidRPr="001D49D4" w:rsidRDefault="001D49D4" w:rsidP="0004348D">
      <w:pPr>
        <w:numPr>
          <w:ilvl w:val="0"/>
          <w:numId w:val="238"/>
        </w:numPr>
        <w:spacing w:before="360" w:after="240"/>
        <w:contextualSpacing/>
      </w:pPr>
      <w:r w:rsidRPr="001D49D4">
        <w:rPr>
          <w:rtl/>
        </w:rPr>
        <w:t xml:space="preserve">ר"י ן' מיגא"ש רמב"ם </w:t>
      </w:r>
      <w:r w:rsidRPr="001D49D4">
        <w:rPr>
          <w:sz w:val="16"/>
          <w:szCs w:val="16"/>
          <w:rtl/>
        </w:rPr>
        <w:t>(להב' הב"י</w:t>
      </w:r>
      <w:r w:rsidRPr="001D49D4">
        <w:rPr>
          <w:vertAlign w:val="superscript"/>
          <w:rtl/>
        </w:rPr>
        <w:footnoteReference w:id="3377"/>
      </w:r>
      <w:r w:rsidRPr="001D49D4">
        <w:rPr>
          <w:sz w:val="16"/>
          <w:szCs w:val="16"/>
          <w:rtl/>
        </w:rPr>
        <w:t>)</w:t>
      </w:r>
      <w:r w:rsidRPr="001D49D4">
        <w:rPr>
          <w:rtl/>
        </w:rPr>
        <w:t xml:space="preserve"> רמב"ן בעל התרומות וטור</w:t>
      </w:r>
      <w:r w:rsidRPr="001D49D4">
        <w:rPr>
          <w:vertAlign w:val="superscript"/>
          <w:rtl/>
        </w:rPr>
        <w:footnoteReference w:id="3378"/>
      </w:r>
      <w:r w:rsidRPr="001D49D4">
        <w:rPr>
          <w:rtl/>
        </w:rPr>
        <w:t>- בד"א</w:t>
      </w:r>
      <w:r w:rsidRPr="001D49D4">
        <w:rPr>
          <w:sz w:val="16"/>
          <w:szCs w:val="16"/>
          <w:rtl/>
        </w:rPr>
        <w:t xml:space="preserve"> {שהמאוחרים כשרים}</w:t>
      </w:r>
      <w:r w:rsidRPr="001D49D4">
        <w:rPr>
          <w:rtl/>
        </w:rPr>
        <w:t xml:space="preserve"> שכתוב בו 'דאיקני', אבל אם אין כתוב בו 'דאיקני' אפי' מאוחרין פסולין, אא"כ כתוב וגם מפורש בו 'ואיחרנוהו'</w:t>
      </w:r>
      <w:r w:rsidRPr="001D49D4">
        <w:rPr>
          <w:vertAlign w:val="superscript"/>
          <w:rtl/>
        </w:rPr>
        <w:footnoteReference w:id="3379"/>
      </w:r>
      <w:r w:rsidRPr="001D49D4">
        <w:rPr>
          <w:sz w:val="16"/>
          <w:szCs w:val="16"/>
          <w:rtl/>
        </w:rPr>
        <w:t xml:space="preserve"> (ל' הטור)</w:t>
      </w:r>
      <w:r w:rsidRPr="001D49D4">
        <w:rPr>
          <w:rtl/>
        </w:rPr>
        <w:t xml:space="preserve">. </w:t>
      </w:r>
      <w:r w:rsidRPr="001D49D4">
        <w:rPr>
          <w:color w:val="E36C0A" w:themeColor="accent6" w:themeShade="BF"/>
          <w:rtl/>
        </w:rPr>
        <w:t>(וכ"פ בשו"ע)</w:t>
      </w:r>
    </w:p>
    <w:p w14:paraId="60D34352" w14:textId="77777777" w:rsidR="001D49D4" w:rsidRPr="001D49D4" w:rsidRDefault="001D49D4" w:rsidP="0004348D">
      <w:pPr>
        <w:numPr>
          <w:ilvl w:val="0"/>
          <w:numId w:val="238"/>
        </w:numPr>
        <w:spacing w:before="360" w:after="240"/>
        <w:contextualSpacing/>
        <w:rPr>
          <w:rtl/>
        </w:rPr>
      </w:pPr>
      <w:r w:rsidRPr="001D49D4">
        <w:rPr>
          <w:rtl/>
        </w:rPr>
        <w:t xml:space="preserve">רשב"א </w:t>
      </w:r>
      <w:r w:rsidRPr="001D49D4">
        <w:rPr>
          <w:sz w:val="16"/>
          <w:szCs w:val="16"/>
          <w:rtl/>
        </w:rPr>
        <w:t>(קנז: ד"ה ואי ס"ד)</w:t>
      </w:r>
      <w:r w:rsidRPr="001D49D4">
        <w:rPr>
          <w:rtl/>
        </w:rPr>
        <w:t>- מאוחרין כשרים אפילו לא כתוב בהן דאקנה</w:t>
      </w:r>
      <w:r w:rsidRPr="001D49D4">
        <w:rPr>
          <w:vertAlign w:val="superscript"/>
          <w:rtl/>
        </w:rPr>
        <w:footnoteReference w:id="3380"/>
      </w:r>
      <w:r w:rsidRPr="001D49D4">
        <w:rPr>
          <w:rtl/>
        </w:rPr>
        <w:t>.</w:t>
      </w:r>
    </w:p>
    <w:p w14:paraId="23CA7B87" w14:textId="77777777" w:rsidR="001D49D4" w:rsidRPr="001D49D4" w:rsidRDefault="001D49D4" w:rsidP="0004348D">
      <w:pPr>
        <w:numPr>
          <w:ilvl w:val="0"/>
          <w:numId w:val="238"/>
        </w:numPr>
        <w:spacing w:before="360" w:after="240"/>
        <w:contextualSpacing/>
      </w:pPr>
      <w:r w:rsidRPr="001D49D4">
        <w:rPr>
          <w:rtl/>
        </w:rPr>
        <w:t xml:space="preserve">ריטב"א </w:t>
      </w:r>
      <w:r w:rsidRPr="001D49D4">
        <w:rPr>
          <w:sz w:val="16"/>
          <w:szCs w:val="16"/>
          <w:rtl/>
        </w:rPr>
        <w:t xml:space="preserve">(קנז. ד"ה גמרא דאקנה, וכ"כ הנמוק"י בשמו) </w:t>
      </w:r>
      <w:r w:rsidRPr="001D49D4">
        <w:rPr>
          <w:rtl/>
        </w:rPr>
        <w:t xml:space="preserve">ורבותיו ונמוק"י </w:t>
      </w:r>
      <w:r w:rsidRPr="001D49D4">
        <w:rPr>
          <w:sz w:val="16"/>
          <w:szCs w:val="16"/>
          <w:rtl/>
        </w:rPr>
        <w:t>(עד. ד"ה גמ')</w:t>
      </w:r>
      <w:r w:rsidRPr="001D49D4">
        <w:rPr>
          <w:rtl/>
        </w:rPr>
        <w:t>- אי לא כתב אחריות כלל מוקמינן טענתא אפילו באקנה ואמרינן טעות סופר הוא. והיינו דפסיק ותני 'המאוחרים כשרים', דממה נפשך או כתב אחריות כראוי או לא כתב כלל. אבל בשכתב אחריות נכסים שקנה ולא כתב דאקנה - אין לנו אלא מה שפירש</w:t>
      </w:r>
      <w:r w:rsidRPr="001D49D4">
        <w:rPr>
          <w:vertAlign w:val="superscript"/>
          <w:rtl/>
        </w:rPr>
        <w:footnoteReference w:id="3381"/>
      </w:r>
      <w:r w:rsidRPr="001D49D4">
        <w:rPr>
          <w:rtl/>
        </w:rPr>
        <w:t xml:space="preserve">. </w:t>
      </w:r>
      <w:r w:rsidRPr="001D49D4">
        <w:rPr>
          <w:color w:val="00B0F0"/>
          <w:rtl/>
        </w:rPr>
        <w:t>(וכ"פ הרמ"א</w:t>
      </w:r>
      <w:r w:rsidRPr="001D49D4">
        <w:rPr>
          <w:color w:val="00B0F0"/>
          <w:sz w:val="16"/>
          <w:szCs w:val="16"/>
          <w:rtl/>
        </w:rPr>
        <w:t xml:space="preserve"> </w:t>
      </w:r>
      <w:r w:rsidRPr="001D49D4">
        <w:rPr>
          <w:sz w:val="16"/>
          <w:szCs w:val="16"/>
          <w:rtl/>
        </w:rPr>
        <w:t>[סי' קיב ס"א]</w:t>
      </w:r>
      <w:r w:rsidRPr="001D49D4">
        <w:rPr>
          <w:color w:val="00B0F0"/>
          <w:rtl/>
        </w:rPr>
        <w:t>)</w:t>
      </w:r>
      <w:r w:rsidRPr="001D49D4">
        <w:rPr>
          <w:rtl/>
        </w:rPr>
        <w:t xml:space="preserve"> (וכ"פ הסמ"ע</w:t>
      </w:r>
      <w:r w:rsidRPr="001D49D4">
        <w:rPr>
          <w:sz w:val="16"/>
          <w:szCs w:val="16"/>
          <w:rtl/>
        </w:rPr>
        <w:t xml:space="preserve"> [סק"כ]</w:t>
      </w:r>
      <w:r w:rsidRPr="001D49D4">
        <w:rPr>
          <w:rtl/>
        </w:rPr>
        <w:t xml:space="preserve"> והש"ך </w:t>
      </w:r>
      <w:r w:rsidRPr="001D49D4">
        <w:rPr>
          <w:sz w:val="16"/>
          <w:szCs w:val="16"/>
          <w:rtl/>
        </w:rPr>
        <w:t>[כאן סקכ"ו, ובסי' קיב סק"א]</w:t>
      </w:r>
      <w:r w:rsidRPr="001D49D4">
        <w:rPr>
          <w:rtl/>
        </w:rPr>
        <w:t>)</w:t>
      </w:r>
    </w:p>
    <w:p w14:paraId="29F1C29C" w14:textId="77777777" w:rsidR="001D49D4" w:rsidRPr="001D49D4" w:rsidRDefault="001D49D4" w:rsidP="0004348D">
      <w:pPr>
        <w:spacing w:before="360" w:after="240"/>
        <w:rPr>
          <w:rFonts w:ascii="Arial" w:eastAsia="Calibri" w:hAnsi="Arial" w:cs="Arial"/>
          <w:b/>
          <w:bCs/>
          <w:color w:val="000000"/>
          <w:sz w:val="28"/>
          <w:szCs w:val="28"/>
          <w:u w:val="single"/>
          <w:rtl/>
        </w:rPr>
      </w:pPr>
      <w:r w:rsidRPr="001D49D4">
        <w:rPr>
          <w:rFonts w:ascii="Arial" w:eastAsia="Calibri" w:hAnsi="Arial" w:cs="Arial"/>
          <w:b/>
          <w:bCs/>
          <w:color w:val="000000"/>
          <w:sz w:val="28"/>
          <w:szCs w:val="28"/>
          <w:u w:val="single"/>
          <w:rtl/>
        </w:rPr>
        <w:t>שו"ע:</w:t>
      </w:r>
    </w:p>
    <w:p w14:paraId="3AC3A8F9" w14:textId="77777777" w:rsidR="001D49D4" w:rsidRPr="001D49D4" w:rsidRDefault="001D49D4" w:rsidP="0004348D">
      <w:pPr>
        <w:spacing w:before="360" w:after="240"/>
        <w:rPr>
          <w:rFonts w:ascii="Calibri" w:eastAsia="Calibri" w:hAnsi="Calibri" w:cs="Arial"/>
          <w:sz w:val="18"/>
          <w:szCs w:val="18"/>
          <w:rtl/>
        </w:rPr>
      </w:pPr>
      <w:r w:rsidRPr="001D49D4">
        <w:rPr>
          <w:rFonts w:ascii="Calibri" w:eastAsia="Calibri" w:hAnsi="Calibri" w:cs="Arial"/>
          <w:rtl/>
        </w:rPr>
        <w:t>שטרי חוב המאוחרים כשרים</w:t>
      </w:r>
      <w:r w:rsidRPr="001D49D4">
        <w:rPr>
          <w:rFonts w:ascii="Calibri" w:eastAsia="Calibri" w:hAnsi="Calibri" w:cs="Arial"/>
          <w:vertAlign w:val="superscript"/>
          <w:rtl/>
        </w:rPr>
        <w:footnoteReference w:id="3382"/>
      </w:r>
      <w:r w:rsidRPr="001D49D4">
        <w:rPr>
          <w:rFonts w:ascii="Calibri" w:eastAsia="Calibri" w:hAnsi="Calibri" w:cs="Arial"/>
          <w:rtl/>
        </w:rPr>
        <w:t>, שהרי הורע כוחו של בעל השטר שאינו טורף אלא מזמן השטר, ואף על פי שלא כתבו בו שהוא מאוחר הרי זה כשר. במה דברים אמורים שכתוב בו 'דאקנה', אבל אם לא כתוב בו 'דאקנה' פסולים, אלא אם כן מפורש וכתוב בו 'ואיחרנוהו'</w:t>
      </w:r>
      <w:r w:rsidRPr="001D49D4">
        <w:rPr>
          <w:rFonts w:ascii="Calibri" w:eastAsia="Calibri" w:hAnsi="Calibri" w:cs="Arial"/>
          <w:vertAlign w:val="superscript"/>
          <w:rtl/>
        </w:rPr>
        <w:footnoteReference w:id="3383"/>
      </w:r>
      <w:r w:rsidRPr="001D49D4">
        <w:rPr>
          <w:rFonts w:ascii="Calibri" w:eastAsia="Calibri" w:hAnsi="Calibri" w:cs="Arial"/>
          <w:rtl/>
        </w:rPr>
        <w:t xml:space="preserve">. </w:t>
      </w:r>
      <w:r w:rsidRPr="001D49D4">
        <w:rPr>
          <w:rFonts w:ascii="Calibri" w:eastAsia="Calibri" w:hAnsi="Calibri" w:cs="Arial"/>
          <w:sz w:val="18"/>
          <w:szCs w:val="18"/>
          <w:rtl/>
        </w:rPr>
        <w:t>[הגה] ואין לאחר שום שטר לכתחלה</w:t>
      </w:r>
      <w:r w:rsidRPr="001D49D4">
        <w:rPr>
          <w:rFonts w:ascii="Calibri" w:eastAsia="Calibri" w:hAnsi="Calibri" w:cs="Arial"/>
          <w:sz w:val="18"/>
          <w:szCs w:val="18"/>
          <w:vertAlign w:val="superscript"/>
          <w:rtl/>
        </w:rPr>
        <w:footnoteReference w:id="3384"/>
      </w:r>
      <w:r w:rsidRPr="001D49D4">
        <w:rPr>
          <w:rFonts w:ascii="Calibri" w:eastAsia="Calibri" w:hAnsi="Calibri" w:cs="Arial"/>
          <w:sz w:val="18"/>
          <w:szCs w:val="18"/>
          <w:rtl/>
        </w:rPr>
        <w:t xml:space="preserve">, דמיחזיא כשיקרא (רי"ו </w:t>
      </w:r>
      <w:r w:rsidRPr="001D49D4">
        <w:rPr>
          <w:rFonts w:ascii="Calibri" w:eastAsia="Calibri" w:hAnsi="Calibri" w:cs="Arial"/>
          <w:sz w:val="16"/>
          <w:szCs w:val="16"/>
          <w:rtl/>
        </w:rPr>
        <w:t xml:space="preserve">[נ"ד ח"ד] </w:t>
      </w:r>
      <w:r w:rsidRPr="001D49D4">
        <w:rPr>
          <w:rFonts w:ascii="Calibri" w:eastAsia="Calibri" w:hAnsi="Calibri" w:cs="Arial"/>
          <w:sz w:val="18"/>
          <w:szCs w:val="18"/>
          <w:rtl/>
        </w:rPr>
        <w:t>בשם הרשב"א).</w:t>
      </w:r>
    </w:p>
    <w:p w14:paraId="7F362B2D" w14:textId="77777777" w:rsidR="001D49D4" w:rsidRPr="001D49D4" w:rsidRDefault="001D49D4" w:rsidP="0004348D">
      <w:pPr>
        <w:spacing w:before="360" w:after="240"/>
        <w:rPr>
          <w:rFonts w:ascii="Calibri" w:eastAsia="Calibri" w:hAnsi="Calibri" w:cs="Arial"/>
          <w:rtl/>
        </w:rPr>
      </w:pPr>
    </w:p>
    <w:p w14:paraId="5C234B91" w14:textId="77777777" w:rsidR="001D49D4" w:rsidRPr="001D49D4" w:rsidRDefault="001D49D4" w:rsidP="0004348D">
      <w:pPr>
        <w:keepNext/>
        <w:keepLines/>
        <w:spacing w:before="360" w:after="240"/>
        <w:outlineLvl w:val="1"/>
        <w:rPr>
          <w:rFonts w:ascii="Cambria" w:eastAsia="Times New Roman" w:hAnsi="Cambria" w:cs="Arial"/>
          <w:bCs/>
          <w:color w:val="548DD4" w:themeColor="text2" w:themeTint="99"/>
          <w:sz w:val="26"/>
          <w:szCs w:val="26"/>
          <w:rtl/>
        </w:rPr>
      </w:pPr>
      <w:bookmarkStart w:id="442" w:name="_Toc24883881"/>
      <w:r w:rsidRPr="001D49D4">
        <w:rPr>
          <w:rFonts w:ascii="Cambria" w:eastAsia="Times New Roman" w:hAnsi="Cambria" w:cs="Arial"/>
          <w:bCs/>
          <w:color w:val="548DD4" w:themeColor="text2" w:themeTint="99"/>
          <w:sz w:val="26"/>
          <w:szCs w:val="26"/>
          <w:rtl/>
        </w:rPr>
        <w:t>סעיף יג: שטרי מקח וממכר המאוחרים.</w:t>
      </w:r>
      <w:bookmarkEnd w:id="442"/>
    </w:p>
    <w:p w14:paraId="5116DB02"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b/>
          <w:bCs/>
          <w:rtl/>
        </w:rPr>
        <w:t xml:space="preserve">בבא בתרא </w:t>
      </w:r>
      <w:r w:rsidRPr="001D49D4">
        <w:rPr>
          <w:rFonts w:ascii="Calibri" w:eastAsia="Calibri" w:hAnsi="Calibri" w:cs="Arial"/>
          <w:b/>
          <w:bCs/>
          <w:sz w:val="16"/>
          <w:szCs w:val="16"/>
          <w:rtl/>
        </w:rPr>
        <w:t xml:space="preserve">(פרק גט פשוט) </w:t>
      </w:r>
      <w:r w:rsidRPr="001D49D4">
        <w:rPr>
          <w:rFonts w:ascii="Calibri" w:eastAsia="Calibri" w:hAnsi="Calibri" w:cs="Arial"/>
          <w:b/>
          <w:bCs/>
          <w:rtl/>
        </w:rPr>
        <w:t>קעא</w:t>
      </w:r>
      <w:r w:rsidRPr="001D49D4">
        <w:rPr>
          <w:rFonts w:ascii="Calibri" w:eastAsia="Calibri" w:hAnsi="Calibri" w:cs="Arial"/>
          <w:b/>
          <w:bCs/>
          <w:vertAlign w:val="superscript"/>
          <w:rtl/>
        </w:rPr>
        <w:footnoteReference w:id="3385"/>
      </w:r>
      <w:r w:rsidRPr="001D49D4">
        <w:rPr>
          <w:rFonts w:ascii="Calibri" w:eastAsia="Calibri" w:hAnsi="Calibri" w:cs="Arial"/>
          <w:b/>
          <w:bCs/>
          <w:rtl/>
        </w:rPr>
        <w:t xml:space="preserve"> ע"ב:</w:t>
      </w:r>
      <w:r w:rsidRPr="001D49D4">
        <w:rPr>
          <w:rFonts w:ascii="Calibri" w:eastAsia="Calibri" w:hAnsi="Calibri" w:cs="Arial"/>
          <w:rtl/>
        </w:rPr>
        <w:t xml:space="preserve"> תנן התם: שטרי חוב המוקדמין פסולין, והמאוחרין כשרין. </w:t>
      </w:r>
      <w:r w:rsidRPr="001D49D4">
        <w:rPr>
          <w:rFonts w:ascii="Calibri" w:eastAsia="Calibri" w:hAnsi="Calibri" w:cs="Arial"/>
          <w:u w:val="single"/>
          <w:rtl/>
        </w:rPr>
        <w:t>א"ר המנונא</w:t>
      </w:r>
      <w:r w:rsidRPr="001D49D4">
        <w:rPr>
          <w:rFonts w:ascii="Calibri" w:eastAsia="Calibri" w:hAnsi="Calibri" w:cs="Arial"/>
          <w:rtl/>
        </w:rPr>
        <w:t xml:space="preserve">: לא שנו אלא שטרי הלואה, אבל שטרי מקח וממכר - אפילו מאוחרין נמי פסולין. מ"ט? זימנין דמזבין ליה ארעא בניסן וכתיב ליה בתשרי, ומתרמי ליה זוזי ביני ביני וזבין ליה מיניה, וכי מטי תשרי מפיק ליה ואמר ליה: הדר זבנתה מינך. </w:t>
      </w:r>
    </w:p>
    <w:p w14:paraId="74DCB3B1"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u w:val="single"/>
          <w:rtl/>
        </w:rPr>
        <w:t>שטרי מקח וממכר המאוחרים:</w:t>
      </w:r>
    </w:p>
    <w:p w14:paraId="51E67094" w14:textId="77777777" w:rsidR="001D49D4" w:rsidRPr="001D49D4" w:rsidRDefault="001D49D4" w:rsidP="0004348D">
      <w:pPr>
        <w:numPr>
          <w:ilvl w:val="0"/>
          <w:numId w:val="239"/>
        </w:numPr>
        <w:spacing w:before="360" w:after="240"/>
        <w:contextualSpacing/>
        <w:rPr>
          <w:rtl/>
        </w:rPr>
      </w:pPr>
      <w:r w:rsidRPr="001D49D4">
        <w:rPr>
          <w:rtl/>
        </w:rPr>
        <w:lastRenderedPageBreak/>
        <w:t xml:space="preserve">רמב"ם </w:t>
      </w:r>
      <w:r w:rsidRPr="001D49D4">
        <w:rPr>
          <w:sz w:val="16"/>
          <w:szCs w:val="16"/>
          <w:rtl/>
        </w:rPr>
        <w:t>(פכ"ג ה"ז)</w:t>
      </w:r>
      <w:r w:rsidRPr="001D49D4">
        <w:rPr>
          <w:rtl/>
        </w:rPr>
        <w:t>- שטרי מקח וממכר שלא נכתבו בזמנן אפילו המאוחרין - פסולין, שהרי אפשר לטרוף בהן שלא כדין. כיצד, כגון שחזר המוכר וקנה השדה מיד הלוקח קודם שיגיע זמן השטר המאוחר, ויוציא הלה השטר המאוחר ויאמר 'חזרתי ולקחתיה פעם שניה ממך', ונמצא טורף שלא כדין</w:t>
      </w:r>
      <w:r w:rsidRPr="001D49D4">
        <w:rPr>
          <w:vertAlign w:val="superscript"/>
          <w:rtl/>
        </w:rPr>
        <w:footnoteReference w:id="3386"/>
      </w:r>
      <w:r w:rsidRPr="001D49D4">
        <w:rPr>
          <w:rtl/>
        </w:rPr>
        <w:t>.</w:t>
      </w:r>
      <w:r w:rsidRPr="001D49D4">
        <w:rPr>
          <w:color w:val="E36C0A" w:themeColor="accent6" w:themeShade="BF"/>
          <w:rtl/>
        </w:rPr>
        <w:t xml:space="preserve"> (וכ"פ בשו"ע)</w:t>
      </w:r>
    </w:p>
    <w:p w14:paraId="1079D188"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u w:val="single"/>
          <w:rtl/>
        </w:rPr>
        <w:t>שטרי הקנאה המאוחרים:</w:t>
      </w:r>
    </w:p>
    <w:p w14:paraId="2C681A3C" w14:textId="77777777" w:rsidR="001D49D4" w:rsidRPr="001D49D4" w:rsidRDefault="001D49D4" w:rsidP="0004348D">
      <w:pPr>
        <w:numPr>
          <w:ilvl w:val="0"/>
          <w:numId w:val="240"/>
        </w:numPr>
        <w:spacing w:before="360" w:after="240"/>
        <w:contextualSpacing/>
        <w:rPr>
          <w:color w:val="000000" w:themeColor="text1"/>
          <w:rtl/>
        </w:rPr>
      </w:pPr>
      <w:r w:rsidRPr="001D49D4">
        <w:rPr>
          <w:color w:val="000000" w:themeColor="text1"/>
          <w:rtl/>
        </w:rPr>
        <w:t xml:space="preserve">ר"ן </w:t>
      </w:r>
      <w:r w:rsidRPr="001D49D4">
        <w:rPr>
          <w:color w:val="000000" w:themeColor="text1"/>
          <w:sz w:val="16"/>
          <w:szCs w:val="16"/>
          <w:rtl/>
        </w:rPr>
        <w:t>(פ"ב דגטין ח. מדפה"ר ד"ה ולענין)</w:t>
      </w:r>
      <w:r w:rsidRPr="001D49D4">
        <w:rPr>
          <w:color w:val="000000" w:themeColor="text1"/>
          <w:rtl/>
        </w:rPr>
        <w:t xml:space="preserve">- לדעת [ר"י </w:t>
      </w:r>
      <w:r w:rsidRPr="001D49D4">
        <w:rPr>
          <w:color w:val="000000" w:themeColor="text1"/>
          <w:sz w:val="16"/>
          <w:szCs w:val="16"/>
          <w:rtl/>
        </w:rPr>
        <w:t xml:space="preserve">(בתוס' גיטין יז. ד"ה ריש לקיש) </w:t>
      </w:r>
      <w:r w:rsidRPr="001D49D4">
        <w:rPr>
          <w:color w:val="000000" w:themeColor="text1"/>
          <w:rtl/>
        </w:rPr>
        <w:t xml:space="preserve">והרא"ש </w:t>
      </w:r>
      <w:r w:rsidRPr="001D49D4">
        <w:rPr>
          <w:color w:val="000000" w:themeColor="text1"/>
          <w:sz w:val="16"/>
          <w:szCs w:val="16"/>
          <w:rtl/>
        </w:rPr>
        <w:t>(סי' ה)</w:t>
      </w:r>
      <w:r w:rsidRPr="001D49D4">
        <w:rPr>
          <w:color w:val="000000" w:themeColor="text1"/>
          <w:rtl/>
        </w:rPr>
        <w:t xml:space="preserve">] הסוברים שאינה מתגרשת בגט מאוחר אלא מזמנו של גט ואילך איפשר לומר דהוא הדין לכל שטר הקנאה, כלומר שאינו לראיה בעלמא אלא השטר עצמו מקנה, שאם היה מאוחר שלא קנה לוקח או מקבל מתנה עד זמן השטר, דהוה ליה כאילו התנה נותן בכך </w:t>
      </w:r>
      <w:r w:rsidRPr="001D49D4">
        <w:rPr>
          <w:color w:val="000000" w:themeColor="text1"/>
          <w:sz w:val="16"/>
          <w:szCs w:val="16"/>
          <w:rtl/>
        </w:rPr>
        <w:t>(ל' הר"ן)</w:t>
      </w:r>
      <w:r w:rsidRPr="001D49D4">
        <w:rPr>
          <w:color w:val="000000" w:themeColor="text1"/>
          <w:vertAlign w:val="superscript"/>
          <w:rtl/>
        </w:rPr>
        <w:footnoteReference w:id="3387"/>
      </w:r>
      <w:r w:rsidRPr="001D49D4">
        <w:rPr>
          <w:color w:val="000000" w:themeColor="text1"/>
          <w:rtl/>
        </w:rPr>
        <w:t>.</w:t>
      </w:r>
      <w:r w:rsidRPr="001D49D4">
        <w:rPr>
          <w:color w:val="FF0000"/>
          <w:rtl/>
        </w:rPr>
        <w:t xml:space="preserve"> צל"ע האם יש הבדל בין זה לבין דברי הרמב"ם לעיל</w:t>
      </w:r>
    </w:p>
    <w:p w14:paraId="30C342BE" w14:textId="77777777" w:rsidR="001D49D4" w:rsidRPr="001D49D4" w:rsidRDefault="001D49D4" w:rsidP="0004348D">
      <w:pPr>
        <w:spacing w:before="360" w:after="240"/>
        <w:rPr>
          <w:rFonts w:ascii="Arial" w:eastAsia="Calibri" w:hAnsi="Arial" w:cs="Arial"/>
          <w:b/>
          <w:bCs/>
          <w:color w:val="000000"/>
          <w:sz w:val="28"/>
          <w:szCs w:val="28"/>
          <w:u w:val="single"/>
          <w:rtl/>
        </w:rPr>
      </w:pPr>
      <w:r w:rsidRPr="001D49D4">
        <w:rPr>
          <w:rFonts w:ascii="Arial" w:eastAsia="Calibri" w:hAnsi="Arial" w:cs="Arial"/>
          <w:b/>
          <w:bCs/>
          <w:color w:val="000000"/>
          <w:sz w:val="28"/>
          <w:szCs w:val="28"/>
          <w:u w:val="single"/>
          <w:rtl/>
        </w:rPr>
        <w:t>שו"ע:</w:t>
      </w:r>
    </w:p>
    <w:p w14:paraId="4DE44FC9"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rtl/>
        </w:rPr>
        <w:t>הא דשטרי חוב המאוחרים כשרים, דוקא בשטרי הלואה, אבל בשטרי מקח וממכר</w:t>
      </w:r>
      <w:r w:rsidRPr="001D49D4">
        <w:rPr>
          <w:rFonts w:ascii="Calibri" w:eastAsia="Calibri" w:hAnsi="Calibri" w:cs="Arial"/>
          <w:vertAlign w:val="superscript"/>
          <w:rtl/>
        </w:rPr>
        <w:footnoteReference w:id="3388"/>
      </w:r>
      <w:r w:rsidRPr="001D49D4">
        <w:rPr>
          <w:rFonts w:ascii="Calibri" w:eastAsia="Calibri" w:hAnsi="Calibri" w:cs="Arial"/>
          <w:rtl/>
        </w:rPr>
        <w:t xml:space="preserve"> אפילו מאוחרים פסולים</w:t>
      </w:r>
      <w:r w:rsidRPr="001D49D4">
        <w:rPr>
          <w:rFonts w:ascii="Calibri" w:eastAsia="Calibri" w:hAnsi="Calibri" w:cs="Arial"/>
          <w:vertAlign w:val="superscript"/>
          <w:rtl/>
        </w:rPr>
        <w:footnoteReference w:id="3389"/>
      </w:r>
      <w:r w:rsidRPr="001D49D4">
        <w:rPr>
          <w:rFonts w:ascii="Calibri" w:eastAsia="Calibri" w:hAnsi="Calibri" w:cs="Arial"/>
          <w:rtl/>
        </w:rPr>
        <w:t>, אלא אם כן כתב</w:t>
      </w:r>
      <w:r w:rsidRPr="001D49D4">
        <w:rPr>
          <w:rFonts w:ascii="Calibri" w:eastAsia="Calibri" w:hAnsi="Calibri" w:cs="Arial"/>
          <w:sz w:val="18"/>
          <w:szCs w:val="18"/>
          <w:rtl/>
        </w:rPr>
        <w:t xml:space="preserve"> </w:t>
      </w:r>
      <w:r w:rsidRPr="001D49D4">
        <w:rPr>
          <w:rFonts w:ascii="Calibri" w:eastAsia="Calibri" w:hAnsi="Calibri" w:cs="Arial"/>
          <w:rtl/>
        </w:rPr>
        <w:t xml:space="preserve">האיחור בפירוש. </w:t>
      </w:r>
    </w:p>
    <w:p w14:paraId="4AD5A6EA" w14:textId="77777777" w:rsidR="001D49D4" w:rsidRPr="001D49D4" w:rsidRDefault="001D49D4" w:rsidP="0004348D">
      <w:pPr>
        <w:spacing w:before="360" w:after="240"/>
        <w:rPr>
          <w:rFonts w:ascii="Calibri" w:eastAsia="Calibri" w:hAnsi="Calibri" w:cs="Arial"/>
          <w:rtl/>
        </w:rPr>
      </w:pPr>
    </w:p>
    <w:p w14:paraId="01713122" w14:textId="77777777" w:rsidR="001D49D4" w:rsidRPr="001D49D4" w:rsidRDefault="001D49D4" w:rsidP="0004348D">
      <w:pPr>
        <w:keepNext/>
        <w:keepLines/>
        <w:spacing w:before="360" w:after="240"/>
        <w:outlineLvl w:val="1"/>
        <w:rPr>
          <w:rFonts w:ascii="Cambria" w:eastAsia="Times New Roman" w:hAnsi="Cambria" w:cs="Arial"/>
          <w:bCs/>
          <w:color w:val="548DD4" w:themeColor="text2" w:themeTint="99"/>
          <w:sz w:val="26"/>
          <w:szCs w:val="26"/>
          <w:rtl/>
        </w:rPr>
      </w:pPr>
      <w:bookmarkStart w:id="443" w:name="_Toc24883882"/>
      <w:r w:rsidRPr="001D49D4">
        <w:rPr>
          <w:rFonts w:ascii="Cambria" w:eastAsia="Times New Roman" w:hAnsi="Cambria" w:cs="Arial"/>
          <w:bCs/>
          <w:color w:val="548DD4" w:themeColor="text2" w:themeTint="99"/>
          <w:sz w:val="26"/>
          <w:szCs w:val="26"/>
          <w:rtl/>
        </w:rPr>
        <w:t>סעיף יד: שטר שזמנו כתוב בשבת</w:t>
      </w:r>
      <w:r w:rsidRPr="001D49D4">
        <w:rPr>
          <w:rFonts w:ascii="Cambria" w:eastAsia="Times New Roman" w:hAnsi="Cambria" w:cs="Arial"/>
          <w:bCs/>
          <w:color w:val="548DD4" w:themeColor="text2" w:themeTint="99"/>
          <w:sz w:val="18"/>
          <w:szCs w:val="18"/>
          <w:rtl/>
        </w:rPr>
        <w:t xml:space="preserve"> (וכן שאר ימים שישראל לא כותבים בהם)</w:t>
      </w:r>
      <w:r w:rsidRPr="001D49D4">
        <w:rPr>
          <w:rFonts w:ascii="Cambria" w:eastAsia="Times New Roman" w:hAnsi="Cambria" w:cs="Arial"/>
          <w:bCs/>
          <w:color w:val="548DD4" w:themeColor="text2" w:themeTint="99"/>
          <w:sz w:val="26"/>
          <w:szCs w:val="26"/>
          <w:rtl/>
        </w:rPr>
        <w:t>.</w:t>
      </w:r>
      <w:bookmarkEnd w:id="443"/>
    </w:p>
    <w:p w14:paraId="6E769BD2"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b/>
          <w:bCs/>
          <w:rtl/>
        </w:rPr>
        <w:t xml:space="preserve">בבא בתרא </w:t>
      </w:r>
      <w:r w:rsidRPr="001D49D4">
        <w:rPr>
          <w:rFonts w:ascii="Calibri" w:eastAsia="Calibri" w:hAnsi="Calibri" w:cs="Arial"/>
          <w:b/>
          <w:bCs/>
          <w:sz w:val="16"/>
          <w:szCs w:val="16"/>
          <w:rtl/>
        </w:rPr>
        <w:t xml:space="preserve">(פרק גט פשוט) </w:t>
      </w:r>
      <w:r w:rsidRPr="001D49D4">
        <w:rPr>
          <w:rFonts w:ascii="Calibri" w:eastAsia="Calibri" w:hAnsi="Calibri" w:cs="Arial"/>
          <w:b/>
          <w:bCs/>
          <w:rtl/>
        </w:rPr>
        <w:t>קעא</w:t>
      </w:r>
      <w:r w:rsidRPr="001D49D4">
        <w:rPr>
          <w:rFonts w:ascii="Calibri" w:eastAsia="Calibri" w:hAnsi="Calibri" w:cs="Arial"/>
          <w:b/>
          <w:bCs/>
          <w:vertAlign w:val="superscript"/>
          <w:rtl/>
        </w:rPr>
        <w:footnoteReference w:id="3390"/>
      </w:r>
      <w:r w:rsidRPr="001D49D4">
        <w:rPr>
          <w:rFonts w:ascii="Calibri" w:eastAsia="Calibri" w:hAnsi="Calibri" w:cs="Arial"/>
          <w:b/>
          <w:bCs/>
          <w:rtl/>
        </w:rPr>
        <w:t xml:space="preserve"> ע"א:</w:t>
      </w:r>
      <w:r w:rsidRPr="001D49D4">
        <w:rPr>
          <w:rFonts w:ascii="Calibri" w:eastAsia="Calibri" w:hAnsi="Calibri" w:cs="Arial"/>
          <w:rtl/>
        </w:rPr>
        <w:t xml:space="preserve"> תנו רבנן: שטר שזמנו כתוב בשבת או בעשרה בתשרי - שטר מאוחר הוא וכשר, </w:t>
      </w:r>
      <w:r w:rsidRPr="001D49D4">
        <w:rPr>
          <w:rFonts w:ascii="Calibri" w:eastAsia="Calibri" w:hAnsi="Calibri" w:cs="Arial"/>
          <w:u w:val="single"/>
          <w:rtl/>
        </w:rPr>
        <w:t>דברי ר' יהודה</w:t>
      </w:r>
      <w:r w:rsidRPr="001D49D4">
        <w:rPr>
          <w:rFonts w:ascii="Calibri" w:eastAsia="Calibri" w:hAnsi="Calibri" w:cs="Arial"/>
          <w:rtl/>
        </w:rPr>
        <w:t xml:space="preserve">, </w:t>
      </w:r>
      <w:r w:rsidRPr="001D49D4">
        <w:rPr>
          <w:rFonts w:ascii="Calibri" w:eastAsia="Calibri" w:hAnsi="Calibri" w:cs="Arial"/>
          <w:u w:val="single"/>
          <w:rtl/>
        </w:rPr>
        <w:t>רבי יוסי</w:t>
      </w:r>
      <w:r w:rsidRPr="001D49D4">
        <w:rPr>
          <w:rFonts w:ascii="Calibri" w:eastAsia="Calibri" w:hAnsi="Calibri" w:cs="Arial"/>
          <w:rtl/>
        </w:rPr>
        <w:t xml:space="preserve"> פוסל... </w:t>
      </w:r>
      <w:r w:rsidRPr="001D49D4">
        <w:rPr>
          <w:rFonts w:ascii="Calibri" w:eastAsia="Calibri" w:hAnsi="Calibri" w:cs="Arial"/>
          <w:u w:val="single"/>
          <w:rtl/>
        </w:rPr>
        <w:t>אמר רבי פדת</w:t>
      </w:r>
      <w:r w:rsidRPr="001D49D4">
        <w:rPr>
          <w:rFonts w:ascii="Calibri" w:eastAsia="Calibri" w:hAnsi="Calibri" w:cs="Arial"/>
          <w:rtl/>
        </w:rPr>
        <w:t>: הכל מודים, שאם הוזקקנו לעונתו של שטר, ונמצאת עונתו מכוונתו בשבת או בעשרה בתשרי - ששטר מאוחר הוא וכשר...</w:t>
      </w:r>
    </w:p>
    <w:p w14:paraId="5744C984"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u w:val="single"/>
          <w:rtl/>
        </w:rPr>
        <w:t>שטר שזמנו כתוב בשבת:</w:t>
      </w:r>
      <w:r w:rsidRPr="001D49D4">
        <w:rPr>
          <w:rFonts w:ascii="Calibri" w:eastAsia="Calibri" w:hAnsi="Calibri" w:cs="Arial"/>
          <w:rtl/>
        </w:rPr>
        <w:t xml:space="preserve"> </w:t>
      </w:r>
    </w:p>
    <w:p w14:paraId="04F3A67F" w14:textId="77777777" w:rsidR="001D49D4" w:rsidRPr="001D49D4" w:rsidRDefault="001D49D4" w:rsidP="0004348D">
      <w:pPr>
        <w:numPr>
          <w:ilvl w:val="0"/>
          <w:numId w:val="239"/>
        </w:numPr>
        <w:spacing w:before="360" w:after="240"/>
        <w:contextualSpacing/>
      </w:pPr>
      <w:r w:rsidRPr="001D49D4">
        <w:rPr>
          <w:rtl/>
        </w:rPr>
        <w:t xml:space="preserve">רמב"ם </w:t>
      </w:r>
      <w:r w:rsidRPr="001D49D4">
        <w:rPr>
          <w:sz w:val="16"/>
          <w:szCs w:val="16"/>
          <w:rtl/>
        </w:rPr>
        <w:t>(פכ"ג ה"ד)</w:t>
      </w:r>
      <w:r w:rsidRPr="001D49D4">
        <w:rPr>
          <w:rtl/>
        </w:rPr>
        <w:t xml:space="preserve"> וטור- שטר שזמנו כתוב בשבת או בעשרה בתשרי שטר מאוחר הוא וכשר, ואין חוששין שמא מוקדם הוא ובאחד בשבת או בי"א בתשרי נכתב אלא מעמידין השטר על חזקתו שהדבר ידוע הוא שאין כותבין בשבת ולפיכך אחרוהו</w:t>
      </w:r>
      <w:r w:rsidRPr="001D49D4">
        <w:rPr>
          <w:sz w:val="16"/>
          <w:szCs w:val="16"/>
          <w:rtl/>
        </w:rPr>
        <w:t xml:space="preserve"> (ל' הרמב"ם)</w:t>
      </w:r>
      <w:r w:rsidRPr="001D49D4">
        <w:rPr>
          <w:rtl/>
        </w:rPr>
        <w:t>.</w:t>
      </w:r>
      <w:r w:rsidRPr="001D49D4">
        <w:rPr>
          <w:color w:val="E36C0A" w:themeColor="accent6" w:themeShade="BF"/>
          <w:rtl/>
        </w:rPr>
        <w:t xml:space="preserve"> (וכ"פ בשו"ע)</w:t>
      </w:r>
    </w:p>
    <w:p w14:paraId="12470BF0" w14:textId="77777777" w:rsidR="001D49D4" w:rsidRPr="001D49D4" w:rsidRDefault="001D49D4" w:rsidP="0004348D">
      <w:pPr>
        <w:spacing w:before="360" w:after="240"/>
        <w:ind w:left="360"/>
        <w:rPr>
          <w:rFonts w:ascii="Calibri" w:eastAsia="Calibri" w:hAnsi="Calibri" w:cs="Arial"/>
          <w:u w:val="dotted"/>
        </w:rPr>
      </w:pPr>
      <w:r w:rsidRPr="001D49D4">
        <w:rPr>
          <w:rFonts w:ascii="Calibri" w:eastAsia="Calibri" w:hAnsi="Calibri" w:cs="Arial"/>
          <w:u w:val="dotted"/>
          <w:rtl/>
        </w:rPr>
        <w:t>האם הלוה יכול לחייב את המלוה להישבע שהשטר איננו מוקדם:</w:t>
      </w:r>
    </w:p>
    <w:p w14:paraId="4AA1B9B3" w14:textId="77777777" w:rsidR="001D49D4" w:rsidRPr="001D49D4" w:rsidRDefault="001D49D4" w:rsidP="0004348D">
      <w:pPr>
        <w:numPr>
          <w:ilvl w:val="0"/>
          <w:numId w:val="239"/>
        </w:numPr>
        <w:spacing w:before="360" w:after="240"/>
        <w:contextualSpacing/>
      </w:pPr>
      <w:r w:rsidRPr="001D49D4">
        <w:rPr>
          <w:rtl/>
        </w:rPr>
        <w:t>טור בשם בהעי"ט</w:t>
      </w:r>
      <w:r w:rsidRPr="001D49D4">
        <w:rPr>
          <w:sz w:val="16"/>
          <w:szCs w:val="16"/>
          <w:rtl/>
        </w:rPr>
        <w:t xml:space="preserve"> (מאמר א זמן, ח ע"ג)</w:t>
      </w:r>
      <w:r w:rsidRPr="001D49D4">
        <w:rPr>
          <w:rtl/>
        </w:rPr>
        <w:t>- ומסתברא דאי א"ל אישתבע לי דקא משתבע ליה. ודוקא בשטר מקוים, אבל אם אינו מקוים - על בעל השטר להביא ראיה, דאמרינן ליה קיים שטרא וחות לדינא. ואע"ג דליכא מערער אנן טענינן ליה</w:t>
      </w:r>
      <w:r w:rsidRPr="001D49D4">
        <w:rPr>
          <w:sz w:val="16"/>
          <w:szCs w:val="16"/>
          <w:rtl/>
        </w:rPr>
        <w:t xml:space="preserve"> (ל' הטור בשם בהעי"ט)</w:t>
      </w:r>
      <w:r w:rsidRPr="001D49D4">
        <w:rPr>
          <w:rtl/>
        </w:rPr>
        <w:t>.</w:t>
      </w:r>
      <w:r w:rsidRPr="001D49D4">
        <w:rPr>
          <w:color w:val="E36C0A" w:themeColor="accent6" w:themeShade="BF"/>
          <w:rtl/>
        </w:rPr>
        <w:t xml:space="preserve"> (וכ"כ בשו"ע)</w:t>
      </w:r>
    </w:p>
    <w:p w14:paraId="395DD4C1" w14:textId="77777777" w:rsidR="001D49D4" w:rsidRPr="001D49D4" w:rsidRDefault="001D49D4" w:rsidP="0004348D">
      <w:pPr>
        <w:spacing w:before="360" w:after="240"/>
        <w:rPr>
          <w:rFonts w:ascii="Calibri" w:eastAsia="Calibri" w:hAnsi="Calibri" w:cs="Arial"/>
          <w:u w:val="single"/>
        </w:rPr>
      </w:pPr>
      <w:r w:rsidRPr="001D49D4">
        <w:rPr>
          <w:rFonts w:ascii="Calibri" w:eastAsia="Calibri" w:hAnsi="Calibri" w:cs="Arial"/>
          <w:u w:val="single"/>
          <w:rtl/>
        </w:rPr>
        <w:t>הזמת עדים בשטר מאוחר:</w:t>
      </w:r>
    </w:p>
    <w:p w14:paraId="5FB7C9F3" w14:textId="77777777" w:rsidR="001D49D4" w:rsidRPr="001D49D4" w:rsidRDefault="001D49D4" w:rsidP="0004348D">
      <w:pPr>
        <w:numPr>
          <w:ilvl w:val="0"/>
          <w:numId w:val="239"/>
        </w:numPr>
        <w:spacing w:before="360" w:after="240"/>
        <w:contextualSpacing/>
      </w:pPr>
      <w:r w:rsidRPr="001D49D4">
        <w:rPr>
          <w:rtl/>
        </w:rPr>
        <w:t xml:space="preserve">רי"ף </w:t>
      </w:r>
      <w:r w:rsidRPr="001D49D4">
        <w:rPr>
          <w:sz w:val="16"/>
          <w:szCs w:val="16"/>
          <w:rtl/>
        </w:rPr>
        <w:t xml:space="preserve">(פרק מרובה ב"ק כח:) </w:t>
      </w:r>
      <w:r w:rsidRPr="001D49D4">
        <w:rPr>
          <w:rtl/>
        </w:rPr>
        <w:t xml:space="preserve">רמב"ם </w:t>
      </w:r>
      <w:r w:rsidRPr="001D49D4">
        <w:rPr>
          <w:sz w:val="16"/>
          <w:szCs w:val="16"/>
          <w:rtl/>
        </w:rPr>
        <w:t xml:space="preserve">(פי"ט מהל' עדות ה"ג) </w:t>
      </w:r>
      <w:r w:rsidRPr="001D49D4">
        <w:rPr>
          <w:rtl/>
        </w:rPr>
        <w:t xml:space="preserve">וטור </w:t>
      </w:r>
      <w:r w:rsidRPr="001D49D4">
        <w:rPr>
          <w:sz w:val="16"/>
          <w:szCs w:val="16"/>
          <w:rtl/>
        </w:rPr>
        <w:t>(כאן, ובסי' לד סי"ד)</w:t>
      </w:r>
      <w:r w:rsidRPr="001D49D4">
        <w:rPr>
          <w:rtl/>
        </w:rPr>
        <w:t xml:space="preserve">- </w:t>
      </w:r>
      <w:r w:rsidRPr="001D49D4">
        <w:rPr>
          <w:vertAlign w:val="superscript"/>
          <w:rtl/>
        </w:rPr>
        <w:footnoteReference w:id="3391"/>
      </w:r>
      <w:r w:rsidRPr="001D49D4">
        <w:rPr>
          <w:rtl/>
        </w:rPr>
        <w:t xml:space="preserve">לפיכך אין עדי השטר נעשים זוממין עד שיאמרו בב"ד 'שטר זה כתבנוהו בזמנו ולא איחרנוהו'. שאם לא אמרו כן אע"פ שזמנו של שטר באחד בניסן ונכתב בטבריא ובאו עדים ואמרו באחד בניסן עמנו הייתם בציפורי - השטר כשר ועדיין העדים כשרים שיכולין לומר באחד באדר היינו בטבריה וכתבנו זמנו באחד בניסן. אמרו 'בזמנו כתבנוהו', והוזמו, אם יש עדים </w:t>
      </w:r>
      <w:r w:rsidRPr="001D49D4">
        <w:rPr>
          <w:rtl/>
        </w:rPr>
        <w:lastRenderedPageBreak/>
        <w:t>שיודעים באיזה יום חתמוהו או שראו השטר ביום פלוני חתום בחתימת ידם - כיון שהוזמו נפסלו למפרע מיום שנודע שחתמו על השטר, דעדים החתומים על השטר כמי שנחקרה עדותן בב"ד דמי מיום החתימה. אבל אם אין עדים שראו חתימתן ולא ראו השטר מקודם - אין נפסלין אלא משעה שהעידו בב"ד שזה כתב ידם ואמרו 'בזמנו כתבנו', שאפשר שביום זה שהעידו בב"ד בו ביום חתמו על השטר שיש לו כמה שנים, והם שקרו ואמרו בזמנו כתבנו</w:t>
      </w:r>
      <w:r w:rsidRPr="001D49D4">
        <w:rPr>
          <w:sz w:val="16"/>
          <w:szCs w:val="16"/>
          <w:rtl/>
        </w:rPr>
        <w:t xml:space="preserve"> (ל' הטור)</w:t>
      </w:r>
      <w:r w:rsidRPr="001D49D4">
        <w:rPr>
          <w:rtl/>
        </w:rPr>
        <w:t>.</w:t>
      </w:r>
    </w:p>
    <w:p w14:paraId="28CB6750" w14:textId="77777777" w:rsidR="001D49D4" w:rsidRPr="001D49D4" w:rsidRDefault="001D49D4" w:rsidP="0004348D">
      <w:pPr>
        <w:numPr>
          <w:ilvl w:val="0"/>
          <w:numId w:val="239"/>
        </w:numPr>
        <w:spacing w:before="360" w:after="240"/>
        <w:contextualSpacing/>
      </w:pPr>
      <w:r w:rsidRPr="001D49D4">
        <w:rPr>
          <w:rtl/>
        </w:rPr>
        <w:t xml:space="preserve">רז"ה </w:t>
      </w:r>
      <w:r w:rsidRPr="001D49D4">
        <w:rPr>
          <w:sz w:val="16"/>
          <w:szCs w:val="16"/>
          <w:rtl/>
        </w:rPr>
        <w:t>(שם ח:, הביאו הר"ן פ"ב דכתובות יב: ד"ה דכיון)</w:t>
      </w:r>
      <w:r w:rsidRPr="001D49D4">
        <w:rPr>
          <w:rtl/>
        </w:rPr>
        <w:t>- בעדות על פה הוא דאיכא הזמה אבל לא בעדות בשטר לעולם</w:t>
      </w:r>
      <w:r w:rsidRPr="001D49D4">
        <w:rPr>
          <w:vertAlign w:val="superscript"/>
          <w:rtl/>
        </w:rPr>
        <w:footnoteReference w:id="3392"/>
      </w:r>
      <w:r w:rsidRPr="001D49D4">
        <w:rPr>
          <w:rtl/>
        </w:rPr>
        <w:t>.</w:t>
      </w:r>
    </w:p>
    <w:p w14:paraId="1E474174" w14:textId="77777777" w:rsidR="001D49D4" w:rsidRPr="001D49D4" w:rsidRDefault="001D49D4" w:rsidP="0004348D">
      <w:pPr>
        <w:spacing w:before="360" w:after="240"/>
        <w:rPr>
          <w:rFonts w:ascii="Calibri" w:eastAsia="Calibri" w:hAnsi="Calibri" w:cs="Arial"/>
        </w:rPr>
      </w:pPr>
      <w:r w:rsidRPr="001D49D4">
        <w:rPr>
          <w:rFonts w:ascii="Calibri" w:eastAsia="Calibri" w:hAnsi="Calibri" w:cs="Arial"/>
          <w:b/>
          <w:bCs/>
          <w:rtl/>
        </w:rPr>
        <w:t xml:space="preserve">סנהדרין </w:t>
      </w:r>
      <w:r w:rsidRPr="001D49D4">
        <w:rPr>
          <w:rFonts w:ascii="Calibri" w:eastAsia="Calibri" w:hAnsi="Calibri" w:cs="Arial"/>
          <w:b/>
          <w:bCs/>
          <w:sz w:val="16"/>
          <w:szCs w:val="16"/>
          <w:rtl/>
        </w:rPr>
        <w:t xml:space="preserve">(ר"פ אד"מ) </w:t>
      </w:r>
      <w:r w:rsidRPr="001D49D4">
        <w:rPr>
          <w:rFonts w:ascii="Calibri" w:eastAsia="Calibri" w:hAnsi="Calibri" w:cs="Arial"/>
          <w:b/>
          <w:bCs/>
          <w:rtl/>
        </w:rPr>
        <w:t>לב</w:t>
      </w:r>
      <w:r w:rsidRPr="001D49D4">
        <w:rPr>
          <w:rFonts w:ascii="Calibri" w:eastAsia="Calibri" w:hAnsi="Calibri" w:cs="Arial"/>
          <w:b/>
          <w:bCs/>
          <w:vertAlign w:val="superscript"/>
          <w:rtl/>
        </w:rPr>
        <w:footnoteReference w:id="3393"/>
      </w:r>
      <w:r w:rsidRPr="001D49D4">
        <w:rPr>
          <w:rFonts w:ascii="Calibri" w:eastAsia="Calibri" w:hAnsi="Calibri" w:cs="Arial"/>
          <w:b/>
          <w:bCs/>
          <w:rtl/>
        </w:rPr>
        <w:t xml:space="preserve"> ע"א: </w:t>
      </w:r>
      <w:r w:rsidRPr="001D49D4">
        <w:rPr>
          <w:rFonts w:ascii="Calibri" w:eastAsia="Calibri" w:hAnsi="Calibri" w:cs="Arial"/>
          <w:rtl/>
        </w:rPr>
        <w:t>שטר שזמנו כתוב באחד בניסן בשמיטה, ובאו עדים ואמרו: היאך אתם מעידין על שטר זה? והלא ביום פלוני עמנו הייתם, במקום פלוני! שטר כשר, ועדיו כשרין. חיישינן שמא איחרוהו וכתבוהו.</w:t>
      </w:r>
    </w:p>
    <w:p w14:paraId="2EA6CD5E"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u w:val="single"/>
          <w:rtl/>
        </w:rPr>
        <w:t>שטר שהזמן הכתוב בו הוא בשנת השמיטה – והוזמו העדים:</w:t>
      </w:r>
    </w:p>
    <w:p w14:paraId="50215AE6" w14:textId="77777777" w:rsidR="001D49D4" w:rsidRPr="001D49D4" w:rsidRDefault="001D49D4" w:rsidP="0004348D">
      <w:pPr>
        <w:numPr>
          <w:ilvl w:val="0"/>
          <w:numId w:val="241"/>
        </w:numPr>
        <w:spacing w:before="360" w:after="240"/>
        <w:contextualSpacing/>
        <w:rPr>
          <w:rtl/>
        </w:rPr>
      </w:pPr>
      <w:r w:rsidRPr="001D49D4">
        <w:rPr>
          <w:rtl/>
        </w:rPr>
        <w:t xml:space="preserve">נמוק"י </w:t>
      </w:r>
      <w:r w:rsidRPr="001D49D4">
        <w:rPr>
          <w:sz w:val="16"/>
          <w:szCs w:val="16"/>
          <w:rtl/>
        </w:rPr>
        <w:t>(ר"פ אחד דיני ממונות סנהדרין י. ד"ה באחד)</w:t>
      </w:r>
      <w:r w:rsidRPr="001D49D4">
        <w:rPr>
          <w:rtl/>
        </w:rPr>
        <w:t xml:space="preserve">- 'באחד בניסן לשמיטה' נקט הכי לרבותא, דאפי' שמטה, דאי לאו דדוקא קאמרי בו ביום לא הוו מרעי למילתייהו לכתוב שטר מלוה הנעשית קודם לכן באותו זמן </w:t>
      </w:r>
      <w:r w:rsidRPr="001D49D4">
        <w:rPr>
          <w:sz w:val="16"/>
          <w:szCs w:val="16"/>
          <w:rtl/>
        </w:rPr>
        <w:t>(דלא שכיחי אינשי דמוזפי דמתיראין מן השמטה שלא תשמט מעותם וליכא למימר אחרוהו וכתבוהו דלא מרעי ליה לשטריהו שהכל מרננין אחריו לומר מזוייף הוא שאין דרך להלות בזמן שמטה)</w:t>
      </w:r>
      <w:r w:rsidRPr="001D49D4">
        <w:rPr>
          <w:rtl/>
        </w:rPr>
        <w:t xml:space="preserve"> אפ"ה כיון דשביעית אינה משמטת עד סופה כדכתיב מקץ - תלינן באחרוהו וכתבוהו ומכשירין, דעבידי אינשי דמוזפן בראש השמטה. וכתבו ז"ל דשמעינן מהא דאם היה כתוב בסוף שמטה והוזמו - השטר פסול ולא אמרי' אחרוהו וכתבוהו.</w:t>
      </w:r>
    </w:p>
    <w:p w14:paraId="2AA91BE6" w14:textId="77777777" w:rsidR="001D49D4" w:rsidRPr="001D49D4" w:rsidRDefault="001D49D4" w:rsidP="0004348D">
      <w:pPr>
        <w:spacing w:before="360" w:after="240"/>
        <w:rPr>
          <w:rFonts w:ascii="Arial" w:eastAsia="Calibri" w:hAnsi="Arial" w:cs="Arial"/>
          <w:b/>
          <w:bCs/>
          <w:color w:val="000000"/>
          <w:sz w:val="28"/>
          <w:szCs w:val="28"/>
          <w:u w:val="single"/>
          <w:rtl/>
        </w:rPr>
      </w:pPr>
      <w:r w:rsidRPr="001D49D4">
        <w:rPr>
          <w:rFonts w:ascii="Arial" w:eastAsia="Calibri" w:hAnsi="Arial" w:cs="Arial"/>
          <w:b/>
          <w:bCs/>
          <w:color w:val="000000"/>
          <w:sz w:val="28"/>
          <w:szCs w:val="28"/>
          <w:u w:val="single"/>
          <w:rtl/>
        </w:rPr>
        <w:t>שו"ע:</w:t>
      </w:r>
    </w:p>
    <w:p w14:paraId="34A00113"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rtl/>
        </w:rPr>
        <w:t>שטר שזמנו כתוב בשבת או בעשרה בתשרי, שטר מאוחר הוא וכשר. ואין חוששין שמא מוקדם הוא</w:t>
      </w:r>
      <w:r w:rsidRPr="001D49D4">
        <w:rPr>
          <w:rFonts w:ascii="Calibri" w:eastAsia="Calibri" w:hAnsi="Calibri" w:cs="Arial"/>
          <w:vertAlign w:val="superscript"/>
          <w:rtl/>
        </w:rPr>
        <w:footnoteReference w:id="3394"/>
      </w:r>
      <w:r w:rsidRPr="001D49D4">
        <w:rPr>
          <w:rFonts w:ascii="Calibri" w:eastAsia="Calibri" w:hAnsi="Calibri" w:cs="Arial"/>
          <w:rtl/>
        </w:rPr>
        <w:t xml:space="preserve"> ובאחד בשבת או בי"א בתשרי נכתב, אלא מעמידין השטר על חזקתו, שהדבר ידוע שאין כותבין בשבת ולא ביום הכיפורים ולפיכך איחרוהו. ויש מי שאומר דאי אמר אשתבע לי, חייב לישבע</w:t>
      </w:r>
      <w:r w:rsidRPr="001D49D4">
        <w:rPr>
          <w:rFonts w:ascii="Calibri" w:eastAsia="Calibri" w:hAnsi="Calibri" w:cs="Arial"/>
          <w:vertAlign w:val="superscript"/>
          <w:rtl/>
        </w:rPr>
        <w:footnoteReference w:id="3395"/>
      </w:r>
      <w:r w:rsidRPr="001D49D4">
        <w:rPr>
          <w:rFonts w:ascii="Calibri" w:eastAsia="Calibri" w:hAnsi="Calibri" w:cs="Arial"/>
          <w:rtl/>
        </w:rPr>
        <w:t xml:space="preserve">. ודוקא בשטר מקויים, אבל אם אינו מקויים, על בעל השטר להביא ראיה. </w:t>
      </w:r>
    </w:p>
    <w:p w14:paraId="79560A6B" w14:textId="77777777" w:rsidR="001D49D4" w:rsidRPr="001D49D4" w:rsidRDefault="001D49D4" w:rsidP="0004348D">
      <w:pPr>
        <w:spacing w:before="360" w:after="240"/>
        <w:rPr>
          <w:rFonts w:ascii="Calibri" w:eastAsia="Calibri" w:hAnsi="Calibri" w:cs="Arial"/>
          <w:rtl/>
        </w:rPr>
      </w:pPr>
    </w:p>
    <w:p w14:paraId="74DAA6E0" w14:textId="77777777" w:rsidR="001D49D4" w:rsidRPr="001D49D4" w:rsidRDefault="001D49D4" w:rsidP="0004348D">
      <w:pPr>
        <w:keepNext/>
        <w:keepLines/>
        <w:spacing w:before="360" w:after="240"/>
        <w:outlineLvl w:val="1"/>
        <w:rPr>
          <w:rFonts w:ascii="Cambria" w:eastAsia="Times New Roman" w:hAnsi="Cambria" w:cs="Arial"/>
          <w:bCs/>
          <w:color w:val="548DD4" w:themeColor="text2" w:themeTint="99"/>
          <w:sz w:val="26"/>
          <w:szCs w:val="26"/>
          <w:rtl/>
        </w:rPr>
      </w:pPr>
      <w:bookmarkStart w:id="444" w:name="_Toc24883883"/>
      <w:r w:rsidRPr="001D49D4">
        <w:rPr>
          <w:rFonts w:ascii="Cambria" w:eastAsia="Times New Roman" w:hAnsi="Cambria" w:cs="Arial"/>
          <w:bCs/>
          <w:color w:val="548DD4" w:themeColor="text2" w:themeTint="99"/>
          <w:sz w:val="26"/>
          <w:szCs w:val="26"/>
          <w:rtl/>
        </w:rPr>
        <w:t>סעיף טו: חזקה שהשטר נמסר בזמן הכתוב בו אא"כ איתרע ביה מילתא.</w:t>
      </w:r>
      <w:bookmarkEnd w:id="444"/>
      <w:r w:rsidRPr="001D49D4">
        <w:rPr>
          <w:rFonts w:ascii="Cambria" w:eastAsia="Times New Roman" w:hAnsi="Cambria" w:cs="Arial"/>
          <w:bCs/>
          <w:color w:val="548DD4" w:themeColor="text2" w:themeTint="99"/>
          <w:sz w:val="26"/>
          <w:szCs w:val="26"/>
          <w:rtl/>
        </w:rPr>
        <w:t xml:space="preserve"> </w:t>
      </w:r>
    </w:p>
    <w:p w14:paraId="0340D0E5"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b/>
          <w:bCs/>
          <w:rtl/>
        </w:rPr>
        <w:t xml:space="preserve">בבא מציעא </w:t>
      </w:r>
      <w:r w:rsidRPr="001D49D4">
        <w:rPr>
          <w:rFonts w:ascii="Calibri" w:eastAsia="Calibri" w:hAnsi="Calibri" w:cs="Arial"/>
          <w:b/>
          <w:bCs/>
          <w:sz w:val="16"/>
          <w:szCs w:val="16"/>
          <w:rtl/>
        </w:rPr>
        <w:t>(פ"ק)</w:t>
      </w:r>
      <w:r w:rsidRPr="001D49D4">
        <w:rPr>
          <w:rFonts w:ascii="Calibri" w:eastAsia="Calibri" w:hAnsi="Calibri" w:cs="Arial"/>
          <w:b/>
          <w:bCs/>
          <w:rtl/>
        </w:rPr>
        <w:t xml:space="preserve"> יב</w:t>
      </w:r>
      <w:r w:rsidRPr="001D49D4">
        <w:rPr>
          <w:rFonts w:ascii="Calibri" w:eastAsia="Calibri" w:hAnsi="Calibri" w:cs="Arial"/>
          <w:b/>
          <w:bCs/>
          <w:vertAlign w:val="superscript"/>
          <w:rtl/>
        </w:rPr>
        <w:footnoteReference w:id="3396"/>
      </w:r>
      <w:r w:rsidRPr="001D49D4">
        <w:rPr>
          <w:rFonts w:ascii="Calibri" w:eastAsia="Calibri" w:hAnsi="Calibri" w:cs="Arial"/>
          <w:b/>
          <w:bCs/>
          <w:rtl/>
        </w:rPr>
        <w:t xml:space="preserve"> ע"ב: </w:t>
      </w:r>
      <w:r w:rsidRPr="001D49D4">
        <w:rPr>
          <w:rFonts w:ascii="Calibri" w:eastAsia="Calibri" w:hAnsi="Calibri" w:cs="Arial"/>
          <w:u w:val="double"/>
          <w:rtl/>
        </w:rPr>
        <w:t>משנה</w:t>
      </w:r>
      <w:r w:rsidRPr="001D49D4">
        <w:rPr>
          <w:rFonts w:ascii="Calibri" w:eastAsia="Calibri" w:hAnsi="Calibri" w:cs="Arial"/>
          <w:rtl/>
        </w:rPr>
        <w:t xml:space="preserve">: מצא שטרי חוב, אם יש בהן אחריות נכסים - לא יחזיר, שבית דין נפרעין מהן. אין בהן אחריות נכסים - יחזיר, שאין בית דין נפרעין מהן, </w:t>
      </w:r>
      <w:r w:rsidRPr="001D49D4">
        <w:rPr>
          <w:rFonts w:ascii="Calibri" w:eastAsia="Calibri" w:hAnsi="Calibri" w:cs="Arial"/>
          <w:u w:val="single"/>
          <w:rtl/>
        </w:rPr>
        <w:t>דברי רבי מאיר</w:t>
      </w:r>
      <w:r w:rsidRPr="001D49D4">
        <w:rPr>
          <w:rFonts w:ascii="Calibri" w:eastAsia="Calibri" w:hAnsi="Calibri" w:cs="Arial"/>
          <w:rtl/>
        </w:rPr>
        <w:t xml:space="preserve">. </w:t>
      </w:r>
      <w:r w:rsidRPr="001D49D4">
        <w:rPr>
          <w:rFonts w:ascii="Calibri" w:eastAsia="Calibri" w:hAnsi="Calibri" w:cs="Arial"/>
          <w:u w:val="single"/>
          <w:rtl/>
        </w:rPr>
        <w:t>וחכמים אומרים</w:t>
      </w:r>
      <w:r w:rsidRPr="001D49D4">
        <w:rPr>
          <w:rFonts w:ascii="Calibri" w:eastAsia="Calibri" w:hAnsi="Calibri" w:cs="Arial"/>
          <w:rtl/>
        </w:rPr>
        <w:t xml:space="preserve">: בין כך ובין כך לא יחזיר, מפני שבית דין נפרעין מהן.      </w:t>
      </w:r>
      <w:r w:rsidRPr="001D49D4">
        <w:rPr>
          <w:rFonts w:ascii="Calibri" w:eastAsia="Calibri" w:hAnsi="Calibri" w:cs="Arial"/>
          <w:u w:val="double"/>
          <w:rtl/>
        </w:rPr>
        <w:t>גמרא</w:t>
      </w:r>
      <w:r w:rsidRPr="001D49D4">
        <w:rPr>
          <w:rFonts w:ascii="Calibri" w:eastAsia="Calibri" w:hAnsi="Calibri" w:cs="Arial"/>
          <w:rtl/>
        </w:rPr>
        <w:t xml:space="preserve">: במאי עסקינן?... לעולם כשחייב מודה, והכא היינו טעמא: דחיישינן שמא כתב ללות בניסן, ולא לוה עד תשרי, ואתי למטרף לקוחות שלא כדין. אי הכי, כל שטרי דאתו לקמן ניחוש להו הכי! כל שטרי - לא ריעי, הני - ריעי... </w:t>
      </w:r>
    </w:p>
    <w:p w14:paraId="689A9BDC"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b/>
          <w:bCs/>
          <w:rtl/>
        </w:rPr>
        <w:lastRenderedPageBreak/>
        <w:t xml:space="preserve">בבא מציעא </w:t>
      </w:r>
      <w:r w:rsidRPr="001D49D4">
        <w:rPr>
          <w:rFonts w:ascii="Calibri" w:eastAsia="Calibri" w:hAnsi="Calibri" w:cs="Arial"/>
          <w:b/>
          <w:bCs/>
          <w:sz w:val="16"/>
          <w:szCs w:val="16"/>
          <w:rtl/>
        </w:rPr>
        <w:t>(פ"ק)</w:t>
      </w:r>
      <w:r w:rsidRPr="001D49D4">
        <w:rPr>
          <w:rFonts w:ascii="Calibri" w:eastAsia="Calibri" w:hAnsi="Calibri" w:cs="Arial"/>
          <w:b/>
          <w:bCs/>
          <w:rtl/>
        </w:rPr>
        <w:t xml:space="preserve"> יט</w:t>
      </w:r>
      <w:r w:rsidRPr="001D49D4">
        <w:rPr>
          <w:rFonts w:ascii="Calibri" w:eastAsia="Calibri" w:hAnsi="Calibri" w:cs="Arial"/>
          <w:b/>
          <w:bCs/>
          <w:vertAlign w:val="superscript"/>
          <w:rtl/>
        </w:rPr>
        <w:footnoteReference w:id="3397"/>
      </w:r>
      <w:r w:rsidRPr="001D49D4">
        <w:rPr>
          <w:rFonts w:ascii="Calibri" w:eastAsia="Calibri" w:hAnsi="Calibri" w:cs="Arial"/>
          <w:b/>
          <w:bCs/>
          <w:rtl/>
        </w:rPr>
        <w:t xml:space="preserve"> ע"א: </w:t>
      </w:r>
      <w:r w:rsidRPr="001D49D4">
        <w:rPr>
          <w:rFonts w:ascii="Calibri" w:eastAsia="Calibri" w:hAnsi="Calibri" w:cs="Arial"/>
          <w:rtl/>
        </w:rPr>
        <w:t xml:space="preserve">גופא, מצא גט אשה בשוק, בזמן שהבעל מודה - יחזיר לאשה, אין הבעל מודה - לא יחזיר לא לזה ולא לזה. בזמן שהבעל מודה - מיהא יחזיר לאשה, וליחוש שמא כתב ליתן בניסן, ולא נתן לה עד תשרי, ואזל בעל זבין פירי מניסן ועד תשרי, ומפקא לגיטא דכתב בניסן ואתיא למטרף לקוחות שלא כדין! הניחא למאן דאמר כיון שנתן עיניו לגרשה שוב אין לבעל פירות - שפיר, אלא למאן דאמר יש לבעל פירות עד שעת נתינה, מאי איכא למימר? - כי אתיא למטרף אמרינן לה: אייתי ראיה אימת מטא גיטא לידך. </w:t>
      </w:r>
      <w:r w:rsidRPr="001D49D4">
        <w:rPr>
          <w:rFonts w:ascii="Calibri" w:eastAsia="Calibri" w:hAnsi="Calibri" w:cs="Arial"/>
          <w:sz w:val="16"/>
          <w:szCs w:val="16"/>
          <w:rtl/>
        </w:rPr>
        <w:t xml:space="preserve">(וקשה לר"י </w:t>
      </w:r>
      <w:r w:rsidRPr="001D49D4">
        <w:rPr>
          <w:rFonts w:ascii="Calibri" w:eastAsia="Calibri" w:hAnsi="Calibri" w:cs="Arial"/>
          <w:sz w:val="14"/>
          <w:szCs w:val="14"/>
          <w:rtl/>
        </w:rPr>
        <w:t xml:space="preserve">(תוס' גיטין יז: ד"ה עד, וכעין זה איתא בב"מ יט. ד"ה אימת) </w:t>
      </w:r>
      <w:r w:rsidRPr="001D49D4">
        <w:rPr>
          <w:rFonts w:ascii="Calibri" w:eastAsia="Calibri" w:hAnsi="Calibri" w:cs="Arial"/>
          <w:sz w:val="16"/>
          <w:szCs w:val="16"/>
          <w:rtl/>
        </w:rPr>
        <w:t>אמאי קשה ליה טפי אההיא ברייתא מבכל גיטין שבעולם אלא משמע דוקא בגט הנמצא דאיתרע בנפילה הוא דאמר אייתי ראיה אימת מטא גיטא לידך אבל בכל גיטין אמרינן מסתמא ביום שנכתב ונחתם נמסר)</w:t>
      </w:r>
    </w:p>
    <w:p w14:paraId="0E5A2962" w14:textId="77777777" w:rsidR="001D49D4" w:rsidRPr="001D49D4" w:rsidRDefault="001D49D4" w:rsidP="0004348D">
      <w:pPr>
        <w:spacing w:before="360" w:after="240"/>
        <w:rPr>
          <w:rFonts w:ascii="Calibri" w:eastAsia="Calibri" w:hAnsi="Calibri" w:cs="Arial"/>
          <w:u w:val="single"/>
          <w:rtl/>
        </w:rPr>
      </w:pPr>
      <w:r w:rsidRPr="001D49D4">
        <w:rPr>
          <w:rFonts w:ascii="Calibri" w:eastAsia="Calibri" w:hAnsi="Calibri" w:cs="Arial"/>
          <w:u w:val="single"/>
          <w:rtl/>
        </w:rPr>
        <w:t>חזקה שהשטר נמסר בזמן הכתוב בו אא"כ איתרע ביה מילתא:</w:t>
      </w:r>
    </w:p>
    <w:p w14:paraId="33F252A5" w14:textId="77777777" w:rsidR="001D49D4" w:rsidRPr="001D49D4" w:rsidRDefault="001D49D4" w:rsidP="0004348D">
      <w:pPr>
        <w:numPr>
          <w:ilvl w:val="0"/>
          <w:numId w:val="241"/>
        </w:numPr>
        <w:spacing w:before="360" w:after="240"/>
        <w:contextualSpacing/>
        <w:rPr>
          <w:rtl/>
        </w:rPr>
      </w:pPr>
      <w:r w:rsidRPr="001D49D4">
        <w:rPr>
          <w:rtl/>
        </w:rPr>
        <w:t xml:space="preserve">תוס' </w:t>
      </w:r>
      <w:r w:rsidRPr="001D49D4">
        <w:rPr>
          <w:sz w:val="16"/>
          <w:szCs w:val="16"/>
          <w:rtl/>
        </w:rPr>
        <w:t xml:space="preserve">(פ"ב דגיטין יז: ד"ה עד) </w:t>
      </w:r>
      <w:r w:rsidRPr="001D49D4">
        <w:rPr>
          <w:rtl/>
        </w:rPr>
        <w:t xml:space="preserve">רא"ש </w:t>
      </w:r>
      <w:r w:rsidRPr="001D49D4">
        <w:rPr>
          <w:sz w:val="16"/>
          <w:szCs w:val="16"/>
          <w:rtl/>
        </w:rPr>
        <w:t xml:space="preserve">(פ"ב דגיטין סי' ד) </w:t>
      </w:r>
      <w:r w:rsidRPr="001D49D4">
        <w:rPr>
          <w:rtl/>
        </w:rPr>
        <w:t>וטור- כל שטר הבא לפנינו אנו תולין שנמסר בזמן הכתוב בו חוץ מהיכא דאיתרע, כגון שנפל, דכיון דאיתייליד ביה ריעותא אינו יכול לגבות בו עד שיביא ראיה שבא לידו מזמן הכתוב בו</w:t>
      </w:r>
      <w:r w:rsidRPr="001D49D4">
        <w:rPr>
          <w:vertAlign w:val="superscript"/>
          <w:rtl/>
        </w:rPr>
        <w:footnoteReference w:id="3398"/>
      </w:r>
      <w:r w:rsidRPr="001D49D4">
        <w:rPr>
          <w:sz w:val="16"/>
          <w:szCs w:val="16"/>
          <w:rtl/>
        </w:rPr>
        <w:t xml:space="preserve"> (ל' הטור)</w:t>
      </w:r>
      <w:r w:rsidRPr="001D49D4">
        <w:rPr>
          <w:rtl/>
        </w:rPr>
        <w:t>.</w:t>
      </w:r>
      <w:r w:rsidRPr="001D49D4">
        <w:rPr>
          <w:color w:val="E36C0A" w:themeColor="accent6" w:themeShade="BF"/>
          <w:rtl/>
        </w:rPr>
        <w:t xml:space="preserve"> (וכ"פ בשו"ע)</w:t>
      </w:r>
    </w:p>
    <w:p w14:paraId="725946B3" w14:textId="77777777" w:rsidR="001D49D4" w:rsidRPr="001D49D4" w:rsidRDefault="001D49D4" w:rsidP="0004348D">
      <w:pPr>
        <w:spacing w:before="360" w:after="240"/>
        <w:rPr>
          <w:rFonts w:ascii="Arial" w:eastAsia="Calibri" w:hAnsi="Arial" w:cs="Arial"/>
          <w:b/>
          <w:bCs/>
          <w:color w:val="000000"/>
          <w:sz w:val="28"/>
          <w:szCs w:val="28"/>
          <w:u w:val="single"/>
          <w:rtl/>
        </w:rPr>
      </w:pPr>
      <w:r w:rsidRPr="001D49D4">
        <w:rPr>
          <w:rFonts w:ascii="Arial" w:eastAsia="Calibri" w:hAnsi="Arial" w:cs="Arial"/>
          <w:b/>
          <w:bCs/>
          <w:color w:val="000000"/>
          <w:sz w:val="28"/>
          <w:szCs w:val="28"/>
          <w:u w:val="single"/>
          <w:rtl/>
        </w:rPr>
        <w:t>שו"ע:</w:t>
      </w:r>
    </w:p>
    <w:p w14:paraId="65FA3B29"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rtl/>
        </w:rPr>
        <w:t>כל שטר הבא לפנינו, אנו תולין שנמסר בזמן הכתוב בו, חוץ מהיכא דאיתרע, כגון שנפל, דכיון דאתייליד ביה ריעותא, אינו יכול לגבות בו עד שיביא ראיה</w:t>
      </w:r>
      <w:r w:rsidRPr="001D49D4">
        <w:rPr>
          <w:rFonts w:ascii="Calibri" w:eastAsia="Calibri" w:hAnsi="Calibri" w:cs="Arial"/>
          <w:vertAlign w:val="superscript"/>
          <w:rtl/>
        </w:rPr>
        <w:footnoteReference w:id="3399"/>
      </w:r>
      <w:r w:rsidRPr="001D49D4">
        <w:rPr>
          <w:rFonts w:ascii="Calibri" w:eastAsia="Calibri" w:hAnsi="Calibri" w:cs="Arial"/>
          <w:rtl/>
        </w:rPr>
        <w:t xml:space="preserve"> שבא לידו בזמן הכתוב בו, אם אין בו קנין</w:t>
      </w:r>
      <w:r w:rsidRPr="001D49D4">
        <w:rPr>
          <w:rFonts w:ascii="Calibri" w:eastAsia="Calibri" w:hAnsi="Calibri" w:cs="Arial"/>
          <w:vertAlign w:val="superscript"/>
          <w:rtl/>
        </w:rPr>
        <w:footnoteReference w:id="3400"/>
      </w:r>
      <w:r w:rsidRPr="001D49D4">
        <w:rPr>
          <w:rFonts w:ascii="Calibri" w:eastAsia="Calibri" w:hAnsi="Calibri" w:cs="Arial"/>
          <w:rtl/>
        </w:rPr>
        <w:t xml:space="preserve">. </w:t>
      </w:r>
    </w:p>
    <w:p w14:paraId="4BBC70BB" w14:textId="77777777" w:rsidR="001D49D4" w:rsidRPr="001D49D4" w:rsidRDefault="001D49D4" w:rsidP="0004348D">
      <w:pPr>
        <w:spacing w:before="360" w:after="240"/>
        <w:rPr>
          <w:rFonts w:ascii="Calibri" w:eastAsia="Calibri" w:hAnsi="Calibri" w:cs="Arial"/>
          <w:rtl/>
        </w:rPr>
      </w:pPr>
    </w:p>
    <w:p w14:paraId="173D91CC" w14:textId="77777777" w:rsidR="001D49D4" w:rsidRPr="001D49D4" w:rsidRDefault="001D49D4" w:rsidP="0004348D">
      <w:pPr>
        <w:keepNext/>
        <w:keepLines/>
        <w:spacing w:before="360" w:after="240"/>
        <w:outlineLvl w:val="1"/>
        <w:rPr>
          <w:rFonts w:ascii="Cambria" w:eastAsia="Times New Roman" w:hAnsi="Cambria" w:cs="Arial"/>
          <w:bCs/>
          <w:color w:val="548DD4" w:themeColor="text2" w:themeTint="99"/>
          <w:sz w:val="26"/>
          <w:szCs w:val="26"/>
          <w:rtl/>
        </w:rPr>
      </w:pPr>
      <w:bookmarkStart w:id="445" w:name="_Toc24883884"/>
      <w:r w:rsidRPr="001D49D4">
        <w:rPr>
          <w:rFonts w:ascii="Cambria" w:eastAsia="Times New Roman" w:hAnsi="Cambria" w:cs="Arial"/>
          <w:bCs/>
          <w:color w:val="548DD4" w:themeColor="text2" w:themeTint="99"/>
          <w:sz w:val="26"/>
          <w:szCs w:val="26"/>
          <w:rtl/>
        </w:rPr>
        <w:t xml:space="preserve">סעיף טז: שטר שנכתב בלילה ונחתם ביום </w:t>
      </w:r>
      <w:r w:rsidRPr="001D49D4">
        <w:rPr>
          <w:rFonts w:ascii="Cambria" w:eastAsia="Times New Roman" w:hAnsi="Cambria" w:cs="Arial"/>
          <w:bCs/>
          <w:color w:val="548DD4" w:themeColor="text2" w:themeTint="99"/>
          <w:sz w:val="18"/>
          <w:szCs w:val="18"/>
          <w:rtl/>
        </w:rPr>
        <w:t>(וכן להפך)</w:t>
      </w:r>
      <w:r w:rsidRPr="001D49D4">
        <w:rPr>
          <w:rFonts w:ascii="Cambria" w:eastAsia="Times New Roman" w:hAnsi="Cambria" w:cs="Arial"/>
          <w:bCs/>
          <w:color w:val="548DD4" w:themeColor="text2" w:themeTint="99"/>
          <w:sz w:val="26"/>
          <w:szCs w:val="26"/>
          <w:rtl/>
        </w:rPr>
        <w:t>.</w:t>
      </w:r>
      <w:bookmarkEnd w:id="445"/>
    </w:p>
    <w:p w14:paraId="300F0D1C"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b/>
          <w:bCs/>
          <w:rtl/>
        </w:rPr>
        <w:t xml:space="preserve">גיטין </w:t>
      </w:r>
      <w:r w:rsidRPr="001D49D4">
        <w:rPr>
          <w:rFonts w:ascii="Calibri" w:eastAsia="Calibri" w:hAnsi="Calibri" w:cs="Arial"/>
          <w:b/>
          <w:bCs/>
          <w:sz w:val="16"/>
          <w:szCs w:val="16"/>
          <w:rtl/>
        </w:rPr>
        <w:t xml:space="preserve">(פ"ב) </w:t>
      </w:r>
      <w:r w:rsidRPr="001D49D4">
        <w:rPr>
          <w:rFonts w:ascii="Calibri" w:eastAsia="Calibri" w:hAnsi="Calibri" w:cs="Arial"/>
          <w:b/>
          <w:bCs/>
          <w:rtl/>
        </w:rPr>
        <w:t>יז</w:t>
      </w:r>
      <w:r w:rsidRPr="001D49D4">
        <w:rPr>
          <w:rFonts w:ascii="Calibri" w:eastAsia="Calibri" w:hAnsi="Calibri" w:cs="Arial"/>
          <w:b/>
          <w:bCs/>
          <w:vertAlign w:val="superscript"/>
          <w:rtl/>
        </w:rPr>
        <w:footnoteReference w:id="3401"/>
      </w:r>
      <w:r w:rsidRPr="001D49D4">
        <w:rPr>
          <w:rFonts w:ascii="Calibri" w:eastAsia="Calibri" w:hAnsi="Calibri" w:cs="Arial"/>
          <w:b/>
          <w:bCs/>
          <w:rtl/>
        </w:rPr>
        <w:t xml:space="preserve"> ע"א:</w:t>
      </w:r>
      <w:r w:rsidRPr="001D49D4">
        <w:rPr>
          <w:rFonts w:ascii="Calibri" w:eastAsia="Calibri" w:hAnsi="Calibri" w:cs="Arial"/>
          <w:rtl/>
        </w:rPr>
        <w:t xml:space="preserve"> </w:t>
      </w:r>
      <w:r w:rsidRPr="001D49D4">
        <w:rPr>
          <w:rFonts w:ascii="Calibri" w:eastAsia="Calibri" w:hAnsi="Calibri" w:cs="Arial"/>
          <w:u w:val="double"/>
          <w:rtl/>
        </w:rPr>
        <w:t>מתני'</w:t>
      </w:r>
      <w:r w:rsidRPr="001D49D4">
        <w:rPr>
          <w:rFonts w:ascii="Calibri" w:eastAsia="Calibri" w:hAnsi="Calibri" w:cs="Arial"/>
          <w:rtl/>
        </w:rPr>
        <w:t xml:space="preserve">: נכתב ביום ונחתם ביום, בלילה ונחתם בלילה, בלילה ונחתם ביום - כשר. ביום ונחתם בלילה – פסול. </w:t>
      </w:r>
      <w:r w:rsidRPr="001D49D4">
        <w:rPr>
          <w:rFonts w:ascii="Calibri" w:eastAsia="Calibri" w:hAnsi="Calibri" w:cs="Arial"/>
          <w:rtl/>
        </w:rPr>
        <w:tab/>
        <w:t xml:space="preserve">    </w:t>
      </w:r>
      <w:r w:rsidRPr="001D49D4">
        <w:rPr>
          <w:rFonts w:ascii="Calibri" w:eastAsia="Calibri" w:hAnsi="Calibri" w:cs="Arial"/>
          <w:u w:val="double"/>
          <w:rtl/>
        </w:rPr>
        <w:t>גמ'</w:t>
      </w:r>
      <w:r w:rsidRPr="001D49D4">
        <w:rPr>
          <w:rFonts w:ascii="Calibri" w:eastAsia="Calibri" w:hAnsi="Calibri" w:cs="Arial"/>
          <w:sz w:val="14"/>
          <w:szCs w:val="14"/>
          <w:u w:val="double"/>
          <w:rtl/>
        </w:rPr>
        <w:t xml:space="preserve"> (יח.)</w:t>
      </w:r>
      <w:r w:rsidRPr="001D49D4">
        <w:rPr>
          <w:rFonts w:ascii="Calibri" w:eastAsia="Calibri" w:hAnsi="Calibri" w:cs="Arial"/>
          <w:u w:val="double"/>
          <w:rtl/>
        </w:rPr>
        <w:t>:</w:t>
      </w:r>
      <w:r w:rsidRPr="001D49D4">
        <w:rPr>
          <w:rFonts w:ascii="Calibri" w:eastAsia="Calibri" w:hAnsi="Calibri" w:cs="Arial"/>
          <w:rtl/>
        </w:rPr>
        <w:t xml:space="preserve"> כתובתיה דרבי חייא בר רב איכתוב ביום ואיחתום בלילה, הוה רב התם ולא אמר להו ולא מידי. לימא, כשמואל סבירא ליה! עסוקין באותו ענין הוו; דתניא, </w:t>
      </w:r>
      <w:r w:rsidRPr="001D49D4">
        <w:rPr>
          <w:rFonts w:ascii="Calibri" w:eastAsia="Calibri" w:hAnsi="Calibri" w:cs="Arial"/>
          <w:u w:val="single"/>
          <w:rtl/>
        </w:rPr>
        <w:t>אמר רבי אלעזר בר רבי צדוק</w:t>
      </w:r>
      <w:r w:rsidRPr="001D49D4">
        <w:rPr>
          <w:rFonts w:ascii="Calibri" w:eastAsia="Calibri" w:hAnsi="Calibri" w:cs="Arial"/>
          <w:rtl/>
        </w:rPr>
        <w:t>: לא שנו אלא כשאין עסוקין באותו ענין, אבל עסוקין באותו ענין - כשר</w:t>
      </w:r>
      <w:r w:rsidRPr="001D49D4">
        <w:rPr>
          <w:rFonts w:ascii="Calibri" w:eastAsia="Calibri" w:hAnsi="Calibri" w:cs="Arial"/>
          <w:vertAlign w:val="superscript"/>
          <w:rtl/>
        </w:rPr>
        <w:footnoteReference w:id="3402"/>
      </w:r>
      <w:r w:rsidRPr="001D49D4">
        <w:rPr>
          <w:rFonts w:ascii="Calibri" w:eastAsia="Calibri" w:hAnsi="Calibri" w:cs="Arial"/>
          <w:rtl/>
        </w:rPr>
        <w:t>.</w:t>
      </w:r>
    </w:p>
    <w:p w14:paraId="4C76C862" w14:textId="77777777" w:rsidR="001D49D4" w:rsidRPr="001D49D4" w:rsidRDefault="001D49D4" w:rsidP="0004348D">
      <w:pPr>
        <w:spacing w:before="360" w:after="240"/>
        <w:rPr>
          <w:rFonts w:ascii="Calibri" w:eastAsia="Calibri" w:hAnsi="Calibri" w:cs="Arial"/>
          <w:u w:val="single"/>
          <w:rtl/>
        </w:rPr>
      </w:pPr>
      <w:r w:rsidRPr="001D49D4">
        <w:rPr>
          <w:rFonts w:ascii="Calibri" w:eastAsia="Calibri" w:hAnsi="Calibri" w:cs="Arial"/>
          <w:u w:val="single"/>
          <w:rtl/>
        </w:rPr>
        <w:t xml:space="preserve">שטר שנכתב בלילה ונחתם ביום </w:t>
      </w:r>
      <w:r w:rsidRPr="001D49D4">
        <w:rPr>
          <w:rFonts w:ascii="Calibri" w:eastAsia="Calibri" w:hAnsi="Calibri" w:cs="Arial"/>
          <w:sz w:val="18"/>
          <w:szCs w:val="18"/>
          <w:u w:val="single"/>
          <w:rtl/>
        </w:rPr>
        <w:t>(וכן להפך)</w:t>
      </w:r>
      <w:r w:rsidRPr="001D49D4">
        <w:rPr>
          <w:rFonts w:ascii="Calibri" w:eastAsia="Calibri" w:hAnsi="Calibri" w:cs="Arial"/>
          <w:u w:val="single"/>
          <w:rtl/>
        </w:rPr>
        <w:t>:</w:t>
      </w:r>
    </w:p>
    <w:p w14:paraId="03F22FF2" w14:textId="77777777" w:rsidR="001D49D4" w:rsidRPr="001D49D4" w:rsidRDefault="001D49D4" w:rsidP="0004348D">
      <w:pPr>
        <w:numPr>
          <w:ilvl w:val="0"/>
          <w:numId w:val="241"/>
        </w:numPr>
        <w:spacing w:before="360" w:after="240"/>
        <w:contextualSpacing/>
        <w:rPr>
          <w:rtl/>
        </w:rPr>
      </w:pPr>
      <w:r w:rsidRPr="001D49D4">
        <w:rPr>
          <w:rtl/>
        </w:rPr>
        <w:t>טור- אם נכתב בלילה ונחתם ביום שלאחריו – כשר, שהיום הולך אחר הלילה. אבל נכתב ביום ונחתם בלילה – פסול, בד"א בשאין עסוקין באותו ענין אבל עסוקין באותו ענין - כשר.</w:t>
      </w:r>
      <w:r w:rsidRPr="001D49D4">
        <w:rPr>
          <w:color w:val="E36C0A" w:themeColor="accent6" w:themeShade="BF"/>
          <w:rtl/>
        </w:rPr>
        <w:t xml:space="preserve"> (וכ"פ בשו"ע)</w:t>
      </w:r>
    </w:p>
    <w:p w14:paraId="7D26104E" w14:textId="77777777" w:rsidR="001D49D4" w:rsidRPr="001D49D4" w:rsidRDefault="001D49D4" w:rsidP="0004348D">
      <w:pPr>
        <w:spacing w:before="360" w:after="240"/>
        <w:ind w:left="360"/>
        <w:rPr>
          <w:rFonts w:ascii="Calibri" w:eastAsia="Calibri" w:hAnsi="Calibri" w:cs="Arial"/>
          <w:u w:val="dotted"/>
        </w:rPr>
      </w:pPr>
      <w:r w:rsidRPr="001D49D4">
        <w:rPr>
          <w:rFonts w:ascii="Calibri" w:eastAsia="Calibri" w:hAnsi="Calibri" w:cs="Arial"/>
          <w:u w:val="dotted"/>
          <w:rtl/>
        </w:rPr>
        <w:t>האם מדובר דוקא בשטרי הלואה או גם בשטרי חיוב:</w:t>
      </w:r>
    </w:p>
    <w:p w14:paraId="384C85C9" w14:textId="77777777" w:rsidR="001D49D4" w:rsidRPr="001D49D4" w:rsidRDefault="001D49D4" w:rsidP="0004348D">
      <w:pPr>
        <w:numPr>
          <w:ilvl w:val="0"/>
          <w:numId w:val="241"/>
        </w:numPr>
        <w:spacing w:before="360" w:after="240"/>
        <w:contextualSpacing/>
        <w:rPr>
          <w:rtl/>
        </w:rPr>
      </w:pPr>
      <w:r w:rsidRPr="001D49D4">
        <w:rPr>
          <w:rtl/>
        </w:rPr>
        <w:t>ר"ן</w:t>
      </w:r>
      <w:r w:rsidRPr="001D49D4">
        <w:rPr>
          <w:sz w:val="16"/>
          <w:szCs w:val="16"/>
          <w:rtl/>
        </w:rPr>
        <w:t xml:space="preserve"> (סוף יח. [ח: מדפה"ר] ד"ה ונ"ל)</w:t>
      </w:r>
      <w:r w:rsidRPr="001D49D4">
        <w:rPr>
          <w:rtl/>
        </w:rPr>
        <w:t xml:space="preserve">- נראה לי דכי אמרינן דעסוקים באותו ענין כשר היינו דוקא בשטרי הלואה, דזוזי משעבדי ליה וכיון שהם מזומנים לחתום איכא קלא, אבל בשטרי חיוב שהוא מתחייב בקנין או בשטר, במה מתחייב ביום? ואע"ג דאיכא קלא - במילי ודאי לא משתעבד, ולפיכך תמהני על הרמב"ם שכתב בפכ"ג ממלוה ולוה </w:t>
      </w:r>
      <w:r w:rsidRPr="001D49D4">
        <w:rPr>
          <w:sz w:val="16"/>
          <w:szCs w:val="16"/>
          <w:rtl/>
        </w:rPr>
        <w:t>(ה"ג)</w:t>
      </w:r>
      <w:r w:rsidRPr="001D49D4">
        <w:rPr>
          <w:rtl/>
        </w:rPr>
        <w:t xml:space="preserve"> ואם היו עסוקין בענין עד שנכנס הלילה וחתמוהו אע"פ שקנו מידו בלילה כשר, ומשמע אפילו בשטרי חיוב.</w:t>
      </w:r>
      <w:r w:rsidRPr="001D49D4">
        <w:rPr>
          <w:color w:val="E36C0A" w:themeColor="accent6" w:themeShade="BF"/>
          <w:rtl/>
        </w:rPr>
        <w:t xml:space="preserve"> (וכ"כ בשו"ע</w:t>
      </w:r>
      <w:r w:rsidRPr="001D49D4">
        <w:rPr>
          <w:color w:val="E36C0A" w:themeColor="accent6" w:themeShade="BF"/>
          <w:sz w:val="16"/>
          <w:szCs w:val="16"/>
          <w:rtl/>
        </w:rPr>
        <w:t xml:space="preserve"> </w:t>
      </w:r>
      <w:r w:rsidRPr="001D49D4">
        <w:rPr>
          <w:color w:val="000000" w:themeColor="text1"/>
          <w:sz w:val="16"/>
          <w:szCs w:val="16"/>
          <w:rtl/>
        </w:rPr>
        <w:t>[בסע' יז]</w:t>
      </w:r>
      <w:r w:rsidRPr="001D49D4">
        <w:rPr>
          <w:color w:val="E36C0A" w:themeColor="accent6" w:themeShade="BF"/>
          <w:rtl/>
        </w:rPr>
        <w:t>)</w:t>
      </w:r>
    </w:p>
    <w:p w14:paraId="6AB536D3"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b/>
          <w:bCs/>
          <w:rtl/>
        </w:rPr>
        <w:lastRenderedPageBreak/>
        <w:t xml:space="preserve">בבא בתרא </w:t>
      </w:r>
      <w:r w:rsidRPr="001D49D4">
        <w:rPr>
          <w:rFonts w:ascii="Calibri" w:eastAsia="Calibri" w:hAnsi="Calibri" w:cs="Arial"/>
          <w:b/>
          <w:bCs/>
          <w:sz w:val="16"/>
          <w:szCs w:val="16"/>
          <w:rtl/>
        </w:rPr>
        <w:t xml:space="preserve">(פרק גט פשוט) </w:t>
      </w:r>
      <w:r w:rsidRPr="001D49D4">
        <w:rPr>
          <w:rFonts w:ascii="Calibri" w:eastAsia="Calibri" w:hAnsi="Calibri" w:cs="Arial"/>
          <w:b/>
          <w:bCs/>
          <w:rtl/>
        </w:rPr>
        <w:t>קעב</w:t>
      </w:r>
      <w:r w:rsidRPr="001D49D4">
        <w:rPr>
          <w:rFonts w:ascii="Calibri" w:eastAsia="Calibri" w:hAnsi="Calibri" w:cs="Arial"/>
          <w:b/>
          <w:bCs/>
          <w:vertAlign w:val="superscript"/>
          <w:rtl/>
        </w:rPr>
        <w:footnoteReference w:id="3403"/>
      </w:r>
      <w:r w:rsidRPr="001D49D4">
        <w:rPr>
          <w:rFonts w:ascii="Calibri" w:eastAsia="Calibri" w:hAnsi="Calibri" w:cs="Arial"/>
          <w:b/>
          <w:bCs/>
          <w:rtl/>
        </w:rPr>
        <w:t xml:space="preserve"> ע"א:</w:t>
      </w:r>
      <w:r w:rsidRPr="001D49D4">
        <w:rPr>
          <w:rFonts w:ascii="Calibri" w:eastAsia="Calibri" w:hAnsi="Calibri" w:cs="Arial"/>
          <w:rtl/>
        </w:rPr>
        <w:t xml:space="preserve"> </w:t>
      </w:r>
      <w:r w:rsidRPr="001D49D4">
        <w:rPr>
          <w:rFonts w:ascii="Calibri" w:eastAsia="Calibri" w:hAnsi="Calibri" w:cs="Arial"/>
          <w:u w:val="single"/>
          <w:rtl/>
        </w:rPr>
        <w:t>אמר להו רבא בר רב שילא להנהו כתבי שטרא אקניאתא</w:t>
      </w:r>
      <w:r w:rsidRPr="001D49D4">
        <w:rPr>
          <w:rFonts w:ascii="Calibri" w:eastAsia="Calibri" w:hAnsi="Calibri" w:cs="Arial"/>
          <w:rtl/>
        </w:rPr>
        <w:t xml:space="preserve">: כי כתביתו שטרי אקניאתא, אי ידעיתו יומא דקניתו ביה - כתבו, ואי לא - כתבו יומא דקיימיתו ביה, כי היכי דלא מתחזי כשקרא. </w:t>
      </w:r>
    </w:p>
    <w:p w14:paraId="45052F71" w14:textId="77777777" w:rsidR="001D49D4" w:rsidRPr="001D49D4" w:rsidRDefault="001D49D4" w:rsidP="0004348D">
      <w:pPr>
        <w:spacing w:before="360" w:after="240"/>
        <w:rPr>
          <w:rFonts w:ascii="Calibri" w:eastAsia="Calibri" w:hAnsi="Calibri" w:cs="Arial"/>
          <w:u w:val="single"/>
          <w:rtl/>
        </w:rPr>
      </w:pPr>
      <w:r w:rsidRPr="001D49D4">
        <w:rPr>
          <w:rFonts w:ascii="Calibri" w:eastAsia="Calibri" w:hAnsi="Calibri" w:cs="Arial"/>
          <w:u w:val="single"/>
          <w:rtl/>
        </w:rPr>
        <w:t>שטר שנכתב ביום ונחתם בלילה – ועשו שם קנין:</w:t>
      </w:r>
    </w:p>
    <w:p w14:paraId="72F9E661" w14:textId="77777777" w:rsidR="001D49D4" w:rsidRPr="001D49D4" w:rsidRDefault="001D49D4" w:rsidP="0004348D">
      <w:pPr>
        <w:numPr>
          <w:ilvl w:val="0"/>
          <w:numId w:val="241"/>
        </w:numPr>
        <w:spacing w:before="360" w:after="240"/>
        <w:contextualSpacing/>
        <w:rPr>
          <w:rtl/>
        </w:rPr>
      </w:pPr>
      <w:r w:rsidRPr="001D49D4">
        <w:rPr>
          <w:rtl/>
        </w:rPr>
        <w:t xml:space="preserve">רא"ש </w:t>
      </w:r>
      <w:r w:rsidRPr="001D49D4">
        <w:rPr>
          <w:sz w:val="16"/>
          <w:szCs w:val="16"/>
          <w:rtl/>
        </w:rPr>
        <w:t xml:space="preserve">(גיטין פ"ב סי' ז) </w:t>
      </w:r>
      <w:r w:rsidRPr="001D49D4">
        <w:rPr>
          <w:rtl/>
        </w:rPr>
        <w:t xml:space="preserve">טור ור"ן </w:t>
      </w:r>
      <w:r w:rsidRPr="001D49D4">
        <w:rPr>
          <w:sz w:val="16"/>
          <w:szCs w:val="16"/>
          <w:rtl/>
        </w:rPr>
        <w:t>(שם)</w:t>
      </w:r>
      <w:r w:rsidRPr="001D49D4">
        <w:rPr>
          <w:rtl/>
        </w:rPr>
        <w:t>- ודוקא כשלא לקח מיד בקנין, אבל אם לקח מיד בקנין אפילו לא חתמו אלא לזמן מרובה - כשר. לפיכך, עדים שראו הקנין ואיחרו לכותבו עד אחר זמן, אם זוכרים זמן הקנין יכתבו הזמן מאותו היום, ואם לאו יכתבו מיום הכתיבה</w:t>
      </w:r>
      <w:r w:rsidRPr="001D49D4">
        <w:rPr>
          <w:sz w:val="16"/>
          <w:szCs w:val="16"/>
          <w:rtl/>
        </w:rPr>
        <w:t xml:space="preserve"> (ל' הטור)</w:t>
      </w:r>
      <w:r w:rsidRPr="001D49D4">
        <w:rPr>
          <w:rtl/>
        </w:rPr>
        <w:t>.</w:t>
      </w:r>
      <w:r w:rsidRPr="001D49D4">
        <w:rPr>
          <w:color w:val="E36C0A" w:themeColor="accent6" w:themeShade="BF"/>
          <w:rtl/>
        </w:rPr>
        <w:t xml:space="preserve"> (וכ"פ בשו"ע)</w:t>
      </w:r>
    </w:p>
    <w:p w14:paraId="7807F964" w14:textId="77777777" w:rsidR="001D49D4" w:rsidRPr="001D49D4" w:rsidRDefault="001D49D4" w:rsidP="0004348D">
      <w:pPr>
        <w:spacing w:before="360" w:after="240"/>
        <w:ind w:left="360"/>
        <w:rPr>
          <w:rFonts w:ascii="Calibri" w:eastAsia="Calibri" w:hAnsi="Calibri" w:cs="Arial"/>
          <w:u w:val="dotted"/>
          <w:rtl/>
        </w:rPr>
      </w:pPr>
      <w:r w:rsidRPr="001D49D4">
        <w:rPr>
          <w:rFonts w:ascii="Calibri" w:eastAsia="Calibri" w:hAnsi="Calibri" w:cs="Arial"/>
          <w:u w:val="dotted"/>
          <w:rtl/>
        </w:rPr>
        <w:t>האם אמרינן כן אף בשטר הלואה:</w:t>
      </w:r>
    </w:p>
    <w:p w14:paraId="64F76FBB" w14:textId="77777777" w:rsidR="001D49D4" w:rsidRPr="001D49D4" w:rsidRDefault="001D49D4" w:rsidP="0004348D">
      <w:pPr>
        <w:numPr>
          <w:ilvl w:val="0"/>
          <w:numId w:val="241"/>
        </w:numPr>
        <w:spacing w:before="360" w:after="240"/>
        <w:contextualSpacing/>
        <w:rPr>
          <w:rtl/>
        </w:rPr>
      </w:pPr>
      <w:r w:rsidRPr="001D49D4">
        <w:rPr>
          <w:rtl/>
        </w:rPr>
        <w:t>רשב"ם</w:t>
      </w:r>
      <w:r w:rsidRPr="001D49D4">
        <w:rPr>
          <w:sz w:val="16"/>
          <w:szCs w:val="16"/>
          <w:rtl/>
        </w:rPr>
        <w:t xml:space="preserve"> (ד"ה להנך וד"ה פסק)</w:t>
      </w:r>
      <w:r w:rsidRPr="001D49D4">
        <w:rPr>
          <w:rtl/>
        </w:rPr>
        <w:t>- הני מילי בשטרי מתנה או מכר אבל שטרי הלואה שיש בהם אחריות לא יכתוב אלא יום שעומד בו עכשיו דאין לקוחות משתעבדים לטרוף מהם אלא משעת כתיבת השטר, נמצא אם יכתבו יום הקנין יטרפו מהם משעת הלואה קודם נתינת השטר וזהו שלא כדין</w:t>
      </w:r>
      <w:r w:rsidRPr="001D49D4">
        <w:rPr>
          <w:sz w:val="16"/>
          <w:szCs w:val="16"/>
          <w:rtl/>
        </w:rPr>
        <w:t xml:space="preserve"> (ל' הב"י בשם רשב"ם)</w:t>
      </w:r>
      <w:r w:rsidRPr="001D49D4">
        <w:rPr>
          <w:rtl/>
        </w:rPr>
        <w:t xml:space="preserve">. </w:t>
      </w:r>
    </w:p>
    <w:p w14:paraId="03864343" w14:textId="77777777" w:rsidR="001D49D4" w:rsidRPr="001D49D4" w:rsidRDefault="001D49D4" w:rsidP="0004348D">
      <w:pPr>
        <w:numPr>
          <w:ilvl w:val="0"/>
          <w:numId w:val="241"/>
        </w:numPr>
        <w:spacing w:before="360" w:after="240"/>
        <w:contextualSpacing/>
        <w:rPr>
          <w:rtl/>
        </w:rPr>
      </w:pPr>
      <w:r w:rsidRPr="001D49D4">
        <w:rPr>
          <w:rtl/>
        </w:rPr>
        <w:t>ר"ח</w:t>
      </w:r>
      <w:r w:rsidRPr="001D49D4">
        <w:rPr>
          <w:vertAlign w:val="superscript"/>
          <w:rtl/>
        </w:rPr>
        <w:footnoteReference w:id="3404"/>
      </w:r>
      <w:r w:rsidRPr="001D49D4">
        <w:rPr>
          <w:rtl/>
        </w:rPr>
        <w:t xml:space="preserve"> רמב"ם</w:t>
      </w:r>
      <w:r w:rsidRPr="001D49D4">
        <w:rPr>
          <w:vertAlign w:val="superscript"/>
          <w:rtl/>
        </w:rPr>
        <w:footnoteReference w:id="3405"/>
      </w:r>
      <w:r w:rsidRPr="001D49D4">
        <w:rPr>
          <w:rtl/>
        </w:rPr>
        <w:t xml:space="preserve"> רמב"ן ורשב"א</w:t>
      </w:r>
      <w:r w:rsidRPr="001D49D4">
        <w:rPr>
          <w:vertAlign w:val="superscript"/>
          <w:rtl/>
        </w:rPr>
        <w:footnoteReference w:id="3406"/>
      </w:r>
      <w:r w:rsidRPr="001D49D4">
        <w:rPr>
          <w:rtl/>
        </w:rPr>
        <w:t xml:space="preserve">-אף שטר הלואה בכלל דמשעת הקנין משתעבד. </w:t>
      </w:r>
    </w:p>
    <w:p w14:paraId="50CF0B26" w14:textId="77777777" w:rsidR="001D49D4" w:rsidRPr="001D49D4" w:rsidRDefault="001D49D4" w:rsidP="0004348D">
      <w:pPr>
        <w:numPr>
          <w:ilvl w:val="0"/>
          <w:numId w:val="241"/>
        </w:numPr>
        <w:spacing w:before="360" w:after="240"/>
        <w:contextualSpacing/>
      </w:pPr>
      <w:r w:rsidRPr="001D49D4">
        <w:rPr>
          <w:rtl/>
        </w:rPr>
        <w:t xml:space="preserve">תוס' ורא"ש </w:t>
      </w:r>
      <w:r w:rsidRPr="001D49D4">
        <w:rPr>
          <w:sz w:val="16"/>
          <w:szCs w:val="16"/>
          <w:rtl/>
        </w:rPr>
        <w:t>(ב"ב שם סי' לא)</w:t>
      </w:r>
      <w:r w:rsidRPr="001D49D4">
        <w:rPr>
          <w:rtl/>
        </w:rPr>
        <w:t xml:space="preserve">- אי ידעיתו יומא דאקניתו ביה כתובו ומוקדם לא הוי כשכותבין יום הקנין, דכיון </w:t>
      </w:r>
      <w:r w:rsidRPr="001D49D4">
        <w:rPr>
          <w:b/>
          <w:bCs/>
          <w:rtl/>
        </w:rPr>
        <w:t>דנכתב השטר</w:t>
      </w:r>
      <w:r w:rsidRPr="001D49D4">
        <w:rPr>
          <w:rtl/>
        </w:rPr>
        <w:t xml:space="preserve"> עדים מפקי לקלא משעת הקנין דסתם קנין לכתיבה עומד, ואע"ג דכי יזיף איניש בצינעא יזיף</w:t>
      </w:r>
      <w:r w:rsidRPr="001D49D4">
        <w:rPr>
          <w:sz w:val="16"/>
          <w:szCs w:val="16"/>
          <w:rtl/>
        </w:rPr>
        <w:t xml:space="preserve"> (ב"ב מב.)</w:t>
      </w:r>
      <w:r w:rsidRPr="001D49D4">
        <w:rPr>
          <w:rtl/>
        </w:rPr>
        <w:t xml:space="preserve"> מ"מ כיון דבעין יפה שעבד יש קול לקנין</w:t>
      </w:r>
      <w:r w:rsidRPr="001D49D4">
        <w:rPr>
          <w:sz w:val="16"/>
          <w:szCs w:val="16"/>
          <w:rtl/>
        </w:rPr>
        <w:t xml:space="preserve"> (ל' הרא"ש)</w:t>
      </w:r>
      <w:r w:rsidRPr="001D49D4">
        <w:rPr>
          <w:vertAlign w:val="superscript"/>
          <w:rtl/>
        </w:rPr>
        <w:footnoteReference w:id="3407"/>
      </w:r>
      <w:r w:rsidRPr="001D49D4">
        <w:rPr>
          <w:rtl/>
        </w:rPr>
        <w:t xml:space="preserve">. </w:t>
      </w:r>
    </w:p>
    <w:p w14:paraId="31EB9848" w14:textId="77777777" w:rsidR="001D49D4" w:rsidRPr="001D49D4" w:rsidRDefault="001D49D4" w:rsidP="0004348D">
      <w:pPr>
        <w:spacing w:before="360" w:after="240"/>
        <w:rPr>
          <w:rFonts w:ascii="Calibri" w:eastAsia="Calibri" w:hAnsi="Calibri" w:cs="Arial"/>
          <w:u w:val="single"/>
        </w:rPr>
      </w:pPr>
      <w:r w:rsidRPr="001D49D4">
        <w:rPr>
          <w:rFonts w:ascii="Calibri" w:eastAsia="Calibri" w:hAnsi="Calibri" w:cs="Arial"/>
          <w:u w:val="single"/>
          <w:rtl/>
        </w:rPr>
        <w:t>מעשה ב"ד שנכתב ביום ונחתם בלילה:</w:t>
      </w:r>
    </w:p>
    <w:p w14:paraId="363DD614" w14:textId="77777777" w:rsidR="001D49D4" w:rsidRPr="001D49D4" w:rsidRDefault="001D49D4" w:rsidP="0004348D">
      <w:pPr>
        <w:numPr>
          <w:ilvl w:val="0"/>
          <w:numId w:val="242"/>
        </w:numPr>
        <w:spacing w:before="360" w:after="240"/>
        <w:contextualSpacing/>
        <w:rPr>
          <w:rtl/>
        </w:rPr>
      </w:pPr>
      <w:r w:rsidRPr="001D49D4">
        <w:rPr>
          <w:rtl/>
        </w:rPr>
        <w:t xml:space="preserve">דרכ"מ </w:t>
      </w:r>
      <w:r w:rsidRPr="001D49D4">
        <w:rPr>
          <w:sz w:val="16"/>
          <w:szCs w:val="16"/>
          <w:rtl/>
        </w:rPr>
        <w:t>(ר"ס יט)</w:t>
      </w:r>
      <w:r w:rsidRPr="001D49D4">
        <w:rPr>
          <w:rtl/>
        </w:rPr>
        <w:t xml:space="preserve">- אמרינן בפרק ב' דגיטין </w:t>
      </w:r>
      <w:r w:rsidRPr="001D49D4">
        <w:rPr>
          <w:sz w:val="16"/>
          <w:szCs w:val="16"/>
          <w:rtl/>
        </w:rPr>
        <w:t xml:space="preserve">(יח.) </w:t>
      </w:r>
      <w:r w:rsidRPr="001D49D4">
        <w:rPr>
          <w:rtl/>
        </w:rPr>
        <w:t xml:space="preserve">מעשה ב"ד נכתב ביום ונחתם בלילה, דמשעת גמר דין נשתעבד ולא מיקרי מוקדם. (וכ"כ הסמ"ע </w:t>
      </w:r>
      <w:r w:rsidRPr="001D49D4">
        <w:rPr>
          <w:sz w:val="16"/>
          <w:szCs w:val="16"/>
          <w:rtl/>
        </w:rPr>
        <w:t>[סקכ"ט]</w:t>
      </w:r>
      <w:r w:rsidRPr="001D49D4">
        <w:rPr>
          <w:rtl/>
        </w:rPr>
        <w:t>)</w:t>
      </w:r>
    </w:p>
    <w:p w14:paraId="7D4A8186" w14:textId="77777777" w:rsidR="001D49D4" w:rsidRPr="001D49D4" w:rsidRDefault="001D49D4" w:rsidP="0004348D">
      <w:pPr>
        <w:spacing w:before="360" w:after="240"/>
        <w:ind w:left="360"/>
        <w:rPr>
          <w:rFonts w:ascii="Calibri" w:eastAsia="Calibri" w:hAnsi="Calibri" w:cs="Arial"/>
          <w:u w:val="dotted"/>
        </w:rPr>
      </w:pPr>
      <w:r w:rsidRPr="001D49D4">
        <w:rPr>
          <w:rFonts w:ascii="Calibri" w:eastAsia="Calibri" w:hAnsi="Calibri" w:cs="Arial"/>
          <w:u w:val="dotted"/>
          <w:rtl/>
        </w:rPr>
        <w:t>האם כתובה כמעשה בית דין דמיא:</w:t>
      </w:r>
    </w:p>
    <w:p w14:paraId="2E57DDBA" w14:textId="77777777" w:rsidR="001D49D4" w:rsidRPr="001D49D4" w:rsidRDefault="001D49D4" w:rsidP="0004348D">
      <w:pPr>
        <w:numPr>
          <w:ilvl w:val="0"/>
          <w:numId w:val="242"/>
        </w:numPr>
        <w:spacing w:before="360" w:after="240"/>
        <w:contextualSpacing/>
      </w:pPr>
      <w:r w:rsidRPr="001D49D4">
        <w:rPr>
          <w:rtl/>
        </w:rPr>
        <w:t xml:space="preserve">רשב"א </w:t>
      </w:r>
      <w:r w:rsidRPr="001D49D4">
        <w:rPr>
          <w:sz w:val="16"/>
          <w:szCs w:val="16"/>
          <w:rtl/>
        </w:rPr>
        <w:t>(גיטין יח. ד"ה כתובתיה)</w:t>
      </w:r>
      <w:r w:rsidRPr="001D49D4">
        <w:rPr>
          <w:rtl/>
        </w:rPr>
        <w:t>- כתובה כמעשה ב"ד דמיא</w:t>
      </w:r>
      <w:r w:rsidRPr="001D49D4">
        <w:rPr>
          <w:vertAlign w:val="superscript"/>
          <w:rtl/>
        </w:rPr>
        <w:footnoteReference w:id="3408"/>
      </w:r>
      <w:r w:rsidRPr="001D49D4">
        <w:rPr>
          <w:rtl/>
        </w:rPr>
        <w:t>.</w:t>
      </w:r>
    </w:p>
    <w:p w14:paraId="7BE1FFB5" w14:textId="77777777" w:rsidR="001D49D4" w:rsidRPr="001D49D4" w:rsidRDefault="001D49D4" w:rsidP="0004348D">
      <w:pPr>
        <w:spacing w:before="360" w:after="240"/>
        <w:rPr>
          <w:rFonts w:ascii="Arial" w:eastAsia="Calibri" w:hAnsi="Arial" w:cs="Arial"/>
          <w:b/>
          <w:bCs/>
          <w:color w:val="000000"/>
          <w:sz w:val="28"/>
          <w:szCs w:val="28"/>
          <w:u w:val="single"/>
          <w:rtl/>
        </w:rPr>
      </w:pPr>
      <w:r w:rsidRPr="001D49D4">
        <w:rPr>
          <w:rFonts w:ascii="Arial" w:eastAsia="Calibri" w:hAnsi="Arial" w:cs="Arial"/>
          <w:b/>
          <w:bCs/>
          <w:color w:val="000000"/>
          <w:sz w:val="28"/>
          <w:szCs w:val="28"/>
          <w:u w:val="single"/>
          <w:rtl/>
        </w:rPr>
        <w:t>שו"ע:</w:t>
      </w:r>
    </w:p>
    <w:p w14:paraId="281BCC79"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rtl/>
        </w:rPr>
        <w:t>אם נכתב בלילה ונחתם ביום שלאחריו, כשר, שהיום הולך אחר הלילה. אבל נכתב ביום ונחתם בלילה, פסול. במה דברים אמורים, כשאין עסוקים באותו ענין, אבל עסוקים באותו ענין, כשר. ודוקא שלא לקח מיד בקנין, אבל אם לקח מיד בקנין, אפילו לא חתמו אלא לזמן מרובה, כשר</w:t>
      </w:r>
      <w:r w:rsidRPr="001D49D4">
        <w:rPr>
          <w:rFonts w:ascii="Calibri" w:eastAsia="Calibri" w:hAnsi="Calibri" w:cs="Arial"/>
          <w:vertAlign w:val="superscript"/>
          <w:rtl/>
        </w:rPr>
        <w:footnoteReference w:id="3409"/>
      </w:r>
      <w:r w:rsidRPr="001D49D4">
        <w:rPr>
          <w:rFonts w:ascii="Calibri" w:eastAsia="Calibri" w:hAnsi="Calibri" w:cs="Arial"/>
          <w:rtl/>
        </w:rPr>
        <w:t xml:space="preserve">. לפיכך עדים שראו הקנין ואיחרו לכתבו עד אחר זמן, אם זוכרים לזמן הקנין, יכתבו הזמן מאותו היום, ואם לאו, יכתבו מיום הכתיבה. </w:t>
      </w:r>
    </w:p>
    <w:p w14:paraId="4D801267" w14:textId="77777777" w:rsidR="001D49D4" w:rsidRPr="001D49D4" w:rsidRDefault="001D49D4" w:rsidP="0004348D">
      <w:pPr>
        <w:spacing w:before="360" w:after="240"/>
        <w:rPr>
          <w:rFonts w:ascii="Calibri" w:eastAsia="Calibri" w:hAnsi="Calibri" w:cs="Arial"/>
          <w:rtl/>
        </w:rPr>
      </w:pPr>
    </w:p>
    <w:p w14:paraId="454EC818" w14:textId="77777777" w:rsidR="001D49D4" w:rsidRPr="001D49D4" w:rsidRDefault="001D49D4" w:rsidP="0004348D">
      <w:pPr>
        <w:keepNext/>
        <w:keepLines/>
        <w:spacing w:before="360" w:after="240"/>
        <w:outlineLvl w:val="1"/>
        <w:rPr>
          <w:rFonts w:ascii="Cambria" w:eastAsia="Times New Roman" w:hAnsi="Cambria" w:cs="Arial"/>
          <w:bCs/>
          <w:color w:val="548DD4" w:themeColor="text2" w:themeTint="99"/>
          <w:sz w:val="26"/>
          <w:szCs w:val="26"/>
          <w:rtl/>
        </w:rPr>
      </w:pPr>
      <w:bookmarkStart w:id="446" w:name="_Toc24883885"/>
      <w:r w:rsidRPr="001D49D4">
        <w:rPr>
          <w:rFonts w:ascii="Cambria" w:eastAsia="Times New Roman" w:hAnsi="Cambria" w:cs="Arial"/>
          <w:bCs/>
          <w:color w:val="548DD4" w:themeColor="text2" w:themeTint="99"/>
          <w:sz w:val="26"/>
          <w:szCs w:val="26"/>
          <w:rtl/>
        </w:rPr>
        <w:t>סעיף יז: נכתב ביום ונחתם בלילה והיו עסוקים באותו עניין – בשטרי חיוב.</w:t>
      </w:r>
      <w:bookmarkEnd w:id="446"/>
    </w:p>
    <w:p w14:paraId="7A5F0FEA"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rtl/>
        </w:rPr>
        <w:t>עיין במקורות בסעיף הקודם.</w:t>
      </w:r>
    </w:p>
    <w:p w14:paraId="2BF283FD" w14:textId="77777777" w:rsidR="001D49D4" w:rsidRPr="001D49D4" w:rsidRDefault="001D49D4" w:rsidP="0004348D">
      <w:pPr>
        <w:spacing w:before="360" w:after="240"/>
        <w:rPr>
          <w:rFonts w:ascii="Arial" w:eastAsia="Calibri" w:hAnsi="Arial" w:cs="Arial"/>
          <w:b/>
          <w:bCs/>
          <w:color w:val="000000"/>
          <w:sz w:val="28"/>
          <w:szCs w:val="28"/>
          <w:u w:val="single"/>
          <w:rtl/>
        </w:rPr>
      </w:pPr>
      <w:r w:rsidRPr="001D49D4">
        <w:rPr>
          <w:rFonts w:ascii="Arial" w:eastAsia="Calibri" w:hAnsi="Arial" w:cs="Arial"/>
          <w:b/>
          <w:bCs/>
          <w:color w:val="000000"/>
          <w:sz w:val="28"/>
          <w:szCs w:val="28"/>
          <w:u w:val="single"/>
          <w:rtl/>
        </w:rPr>
        <w:lastRenderedPageBreak/>
        <w:t>שו"ע:</w:t>
      </w:r>
    </w:p>
    <w:p w14:paraId="11BE3DAE"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rtl/>
        </w:rPr>
        <w:t>יש מי שאומר</w:t>
      </w:r>
      <w:r w:rsidRPr="001D49D4">
        <w:rPr>
          <w:rFonts w:ascii="Calibri" w:eastAsia="Calibri" w:hAnsi="Calibri" w:cs="Arial"/>
          <w:vertAlign w:val="superscript"/>
          <w:rtl/>
        </w:rPr>
        <w:footnoteReference w:id="3410"/>
      </w:r>
      <w:r w:rsidRPr="001D49D4">
        <w:rPr>
          <w:rFonts w:ascii="Calibri" w:eastAsia="Calibri" w:hAnsi="Calibri" w:cs="Arial"/>
          <w:rtl/>
        </w:rPr>
        <w:t xml:space="preserve"> דהא דאמרינן דעסוקין באותו ענין כשר, היינו דוקא בשטרי הלואה</w:t>
      </w:r>
      <w:r w:rsidRPr="001D49D4">
        <w:rPr>
          <w:rFonts w:ascii="Calibri" w:eastAsia="Calibri" w:hAnsi="Calibri" w:cs="Arial"/>
          <w:vertAlign w:val="superscript"/>
          <w:rtl/>
        </w:rPr>
        <w:footnoteReference w:id="3411"/>
      </w:r>
      <w:r w:rsidRPr="001D49D4">
        <w:rPr>
          <w:rFonts w:ascii="Calibri" w:eastAsia="Calibri" w:hAnsi="Calibri" w:cs="Arial"/>
          <w:rtl/>
        </w:rPr>
        <w:t>, אבל בשטרי חיוב שהוא מתחייב בקנין או בשטר, לא</w:t>
      </w:r>
      <w:r w:rsidRPr="001D49D4">
        <w:rPr>
          <w:rFonts w:ascii="Calibri" w:eastAsia="Calibri" w:hAnsi="Calibri" w:cs="Arial"/>
          <w:vertAlign w:val="superscript"/>
          <w:rtl/>
        </w:rPr>
        <w:footnoteReference w:id="3412"/>
      </w:r>
      <w:r w:rsidRPr="001D49D4">
        <w:rPr>
          <w:rFonts w:ascii="Calibri" w:eastAsia="Calibri" w:hAnsi="Calibri" w:cs="Arial"/>
          <w:rtl/>
        </w:rPr>
        <w:t xml:space="preserve">. </w:t>
      </w:r>
    </w:p>
    <w:p w14:paraId="4A50FB9A" w14:textId="77777777" w:rsidR="001D49D4" w:rsidRPr="001D49D4" w:rsidRDefault="001D49D4" w:rsidP="0004348D">
      <w:pPr>
        <w:spacing w:before="360" w:after="240"/>
        <w:rPr>
          <w:rFonts w:ascii="Calibri" w:eastAsia="Calibri" w:hAnsi="Calibri" w:cs="Arial"/>
          <w:rtl/>
        </w:rPr>
      </w:pPr>
    </w:p>
    <w:p w14:paraId="1FD1100C" w14:textId="77777777" w:rsidR="001D49D4" w:rsidRPr="001D49D4" w:rsidRDefault="001D49D4" w:rsidP="0004348D">
      <w:pPr>
        <w:keepNext/>
        <w:keepLines/>
        <w:spacing w:before="360" w:after="240"/>
        <w:outlineLvl w:val="1"/>
        <w:rPr>
          <w:rFonts w:ascii="Cambria" w:eastAsia="Times New Roman" w:hAnsi="Cambria" w:cs="Arial"/>
          <w:bCs/>
          <w:color w:val="548DD4" w:themeColor="text2" w:themeTint="99"/>
          <w:sz w:val="26"/>
          <w:szCs w:val="26"/>
          <w:rtl/>
        </w:rPr>
      </w:pPr>
      <w:bookmarkStart w:id="447" w:name="_Toc24883886"/>
      <w:r w:rsidRPr="001D49D4">
        <w:rPr>
          <w:rFonts w:ascii="Cambria" w:eastAsia="Times New Roman" w:hAnsi="Cambria" w:cs="Arial"/>
          <w:bCs/>
          <w:color w:val="548DD4" w:themeColor="text2" w:themeTint="99"/>
          <w:sz w:val="26"/>
          <w:szCs w:val="26"/>
          <w:rtl/>
        </w:rPr>
        <w:t>סעיף יח: קנו מינה ולאחר זמן רוצים לכתוב שטר – כיצד כותבים.</w:t>
      </w:r>
      <w:bookmarkEnd w:id="447"/>
    </w:p>
    <w:p w14:paraId="326172AE"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b/>
          <w:bCs/>
          <w:rtl/>
        </w:rPr>
        <w:t xml:space="preserve">בבא בתרא </w:t>
      </w:r>
      <w:r w:rsidRPr="001D49D4">
        <w:rPr>
          <w:rFonts w:ascii="Calibri" w:eastAsia="Calibri" w:hAnsi="Calibri" w:cs="Arial"/>
          <w:b/>
          <w:bCs/>
          <w:sz w:val="16"/>
          <w:szCs w:val="16"/>
          <w:rtl/>
        </w:rPr>
        <w:t xml:space="preserve">(פרק גט פשוט) </w:t>
      </w:r>
      <w:r w:rsidRPr="001D49D4">
        <w:rPr>
          <w:rFonts w:ascii="Calibri" w:eastAsia="Calibri" w:hAnsi="Calibri" w:cs="Arial"/>
          <w:b/>
          <w:bCs/>
          <w:rtl/>
        </w:rPr>
        <w:t>קעב ע"א:</w:t>
      </w:r>
      <w:r w:rsidRPr="001D49D4">
        <w:rPr>
          <w:rFonts w:ascii="Calibri" w:eastAsia="Calibri" w:hAnsi="Calibri" w:cs="Arial"/>
          <w:rtl/>
        </w:rPr>
        <w:t xml:space="preserve"> </w:t>
      </w:r>
      <w:r w:rsidRPr="001D49D4">
        <w:rPr>
          <w:rFonts w:ascii="Calibri" w:eastAsia="Calibri" w:hAnsi="Calibri" w:cs="Arial"/>
          <w:u w:val="single"/>
          <w:rtl/>
        </w:rPr>
        <w:t>אמר להו רבא בר רב שילא להנהו כתבי שטרא אקניאתא</w:t>
      </w:r>
      <w:r w:rsidRPr="001D49D4">
        <w:rPr>
          <w:rFonts w:ascii="Calibri" w:eastAsia="Calibri" w:hAnsi="Calibri" w:cs="Arial"/>
          <w:rtl/>
        </w:rPr>
        <w:t xml:space="preserve">: כי כתביתו שטרי אקניאתא, אי ידעיתו יומא דקניתו ביה - כתבו, ואי לא - כתבו יומא דקיימיתו ביה, כי היכי דלא מתחזי כשקרא. </w:t>
      </w:r>
    </w:p>
    <w:p w14:paraId="5F793A47" w14:textId="77777777" w:rsidR="001D49D4" w:rsidRPr="001D49D4" w:rsidRDefault="001D49D4" w:rsidP="0004348D">
      <w:pPr>
        <w:spacing w:before="360" w:after="240"/>
        <w:rPr>
          <w:rFonts w:ascii="Calibri" w:eastAsia="Calibri" w:hAnsi="Calibri" w:cs="Arial"/>
          <w:u w:val="single"/>
          <w:rtl/>
        </w:rPr>
      </w:pPr>
      <w:r w:rsidRPr="001D49D4">
        <w:rPr>
          <w:rFonts w:ascii="Calibri" w:eastAsia="Calibri" w:hAnsi="Calibri" w:cs="Arial"/>
          <w:u w:val="single"/>
          <w:rtl/>
        </w:rPr>
        <w:t>קנו מינה ולאחר זמן רוצים לכתוב שטר – כיצד כותבים:</w:t>
      </w:r>
    </w:p>
    <w:p w14:paraId="48BD910E" w14:textId="77777777" w:rsidR="001D49D4" w:rsidRPr="001D49D4" w:rsidRDefault="001D49D4" w:rsidP="0004348D">
      <w:pPr>
        <w:numPr>
          <w:ilvl w:val="0"/>
          <w:numId w:val="242"/>
        </w:numPr>
        <w:spacing w:before="360" w:after="240"/>
        <w:contextualSpacing/>
        <w:rPr>
          <w:rtl/>
        </w:rPr>
      </w:pPr>
      <w:r w:rsidRPr="001D49D4">
        <w:rPr>
          <w:rtl/>
        </w:rPr>
        <w:t>רשב"א</w:t>
      </w:r>
      <w:r w:rsidRPr="001D49D4">
        <w:rPr>
          <w:sz w:val="16"/>
          <w:szCs w:val="16"/>
          <w:rtl/>
        </w:rPr>
        <w:t xml:space="preserve"> (ב"ב קעב. ד"ה הא)</w:t>
      </w:r>
      <w:r w:rsidRPr="001D49D4">
        <w:rPr>
          <w:rtl/>
        </w:rPr>
        <w:t xml:space="preserve"> וטור- לעולם כשכותבין יום שקנו בו סומכין הקנין לאותו יום וכותבין 'קנינא מפלוני ביום פלוני וכתבנו ונתננו לפלוני'. וכשכותבין יום שעומדין בו אז סומכין הכתיבה לאותו יום שחותמין וכותבין 'קנינו מפלוני וכתבנו וחתמנו ביום פלוני ונתננו לפלוני', ואי לא מיחזי כשיקרא</w:t>
      </w:r>
      <w:r w:rsidRPr="001D49D4">
        <w:rPr>
          <w:sz w:val="16"/>
          <w:szCs w:val="16"/>
          <w:rtl/>
        </w:rPr>
        <w:t xml:space="preserve"> (ל' הטור בשם הרשב"א)</w:t>
      </w:r>
      <w:r w:rsidRPr="001D49D4">
        <w:rPr>
          <w:vertAlign w:val="superscript"/>
          <w:rtl/>
        </w:rPr>
        <w:footnoteReference w:id="3413"/>
      </w:r>
      <w:r w:rsidRPr="001D49D4">
        <w:rPr>
          <w:rtl/>
        </w:rPr>
        <w:t>.</w:t>
      </w:r>
      <w:r w:rsidRPr="001D49D4">
        <w:rPr>
          <w:color w:val="E36C0A" w:themeColor="accent6" w:themeShade="BF"/>
          <w:rtl/>
        </w:rPr>
        <w:t xml:space="preserve"> (וכ"פ בשו"ע)</w:t>
      </w:r>
      <w:r w:rsidRPr="001D49D4">
        <w:rPr>
          <w:rtl/>
        </w:rPr>
        <w:t xml:space="preserve"> </w:t>
      </w:r>
    </w:p>
    <w:p w14:paraId="2B72A911" w14:textId="77777777" w:rsidR="001D49D4" w:rsidRPr="001D49D4" w:rsidRDefault="001D49D4" w:rsidP="0004348D">
      <w:pPr>
        <w:spacing w:before="360" w:after="240"/>
        <w:rPr>
          <w:rFonts w:ascii="Arial" w:eastAsia="Calibri" w:hAnsi="Arial" w:cs="Arial"/>
          <w:b/>
          <w:bCs/>
          <w:color w:val="000000"/>
          <w:sz w:val="28"/>
          <w:szCs w:val="28"/>
          <w:u w:val="single"/>
          <w:rtl/>
        </w:rPr>
      </w:pPr>
      <w:r w:rsidRPr="001D49D4">
        <w:rPr>
          <w:rFonts w:ascii="Arial" w:eastAsia="Calibri" w:hAnsi="Arial" w:cs="Arial"/>
          <w:b/>
          <w:bCs/>
          <w:color w:val="000000"/>
          <w:sz w:val="28"/>
          <w:szCs w:val="28"/>
          <w:u w:val="single"/>
          <w:rtl/>
        </w:rPr>
        <w:t>שו"ע:</w:t>
      </w:r>
    </w:p>
    <w:p w14:paraId="68CCC8FD"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rtl/>
        </w:rPr>
        <w:t>כשכותבין יום שקנו בו, סומכים זמן הקניין לאותו יום, וכותבין 'קנינו מפלוני ביום פלוני, וכתבנו ומסרנו ליד פלוני'. וכשכותבים יום שעומדים בו, סומכים הכתיבה לאותו יום, שחותמים וכותבים 'קנינו מפלוני, וכתבנו וחתמנו ביום פלוני ומסרנו לפלוני', ואי לא מיחזי כשיקרא</w:t>
      </w:r>
      <w:r w:rsidRPr="001D49D4">
        <w:rPr>
          <w:rFonts w:ascii="Calibri" w:eastAsia="Calibri" w:hAnsi="Calibri" w:cs="Arial"/>
          <w:vertAlign w:val="superscript"/>
          <w:rtl/>
        </w:rPr>
        <w:footnoteReference w:id="3414"/>
      </w:r>
      <w:r w:rsidRPr="001D49D4">
        <w:rPr>
          <w:rFonts w:ascii="Calibri" w:eastAsia="Calibri" w:hAnsi="Calibri" w:cs="Arial"/>
          <w:rtl/>
        </w:rPr>
        <w:t xml:space="preserve">. </w:t>
      </w:r>
    </w:p>
    <w:p w14:paraId="13478D9F" w14:textId="77777777" w:rsidR="001D49D4" w:rsidRPr="001D49D4" w:rsidRDefault="001D49D4" w:rsidP="0004348D">
      <w:pPr>
        <w:spacing w:before="360" w:after="240"/>
        <w:rPr>
          <w:rFonts w:ascii="Calibri" w:eastAsia="Calibri" w:hAnsi="Calibri" w:cs="Arial"/>
          <w:rtl/>
        </w:rPr>
      </w:pPr>
    </w:p>
    <w:p w14:paraId="3B10BBF8" w14:textId="77777777" w:rsidR="001D49D4" w:rsidRPr="001D49D4" w:rsidRDefault="001D49D4" w:rsidP="0004348D">
      <w:pPr>
        <w:keepNext/>
        <w:keepLines/>
        <w:spacing w:before="360" w:after="240"/>
        <w:outlineLvl w:val="1"/>
        <w:rPr>
          <w:rFonts w:ascii="Cambria" w:eastAsia="Times New Roman" w:hAnsi="Cambria" w:cs="Arial"/>
          <w:bCs/>
          <w:color w:val="548DD4" w:themeColor="text2" w:themeTint="99"/>
          <w:sz w:val="26"/>
          <w:szCs w:val="26"/>
          <w:rtl/>
        </w:rPr>
      </w:pPr>
      <w:bookmarkStart w:id="448" w:name="_Toc24883887"/>
      <w:r w:rsidRPr="001D49D4">
        <w:rPr>
          <w:rFonts w:ascii="Cambria" w:eastAsia="Times New Roman" w:hAnsi="Cambria" w:cs="Arial"/>
          <w:bCs/>
          <w:color w:val="548DD4" w:themeColor="text2" w:themeTint="99"/>
          <w:sz w:val="26"/>
          <w:szCs w:val="26"/>
          <w:rtl/>
        </w:rPr>
        <w:t>סעיף יט: עדים שאינם זוכרים יום הקנין – מה יכתבו בשטר.</w:t>
      </w:r>
      <w:bookmarkEnd w:id="448"/>
    </w:p>
    <w:p w14:paraId="0C07DD35"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b/>
          <w:bCs/>
          <w:rtl/>
        </w:rPr>
        <w:t xml:space="preserve">בבא בתרא </w:t>
      </w:r>
      <w:r w:rsidRPr="001D49D4">
        <w:rPr>
          <w:rFonts w:ascii="Calibri" w:eastAsia="Calibri" w:hAnsi="Calibri" w:cs="Arial"/>
          <w:b/>
          <w:bCs/>
          <w:sz w:val="16"/>
          <w:szCs w:val="16"/>
          <w:rtl/>
        </w:rPr>
        <w:t xml:space="preserve">(פרק גט פשוט) </w:t>
      </w:r>
      <w:r w:rsidRPr="001D49D4">
        <w:rPr>
          <w:rFonts w:ascii="Calibri" w:eastAsia="Calibri" w:hAnsi="Calibri" w:cs="Arial"/>
          <w:b/>
          <w:bCs/>
          <w:rtl/>
        </w:rPr>
        <w:t>קעב ע"א:</w:t>
      </w:r>
      <w:r w:rsidRPr="001D49D4">
        <w:rPr>
          <w:rFonts w:ascii="Calibri" w:eastAsia="Calibri" w:hAnsi="Calibri" w:cs="Arial"/>
          <w:rtl/>
        </w:rPr>
        <w:t xml:space="preserve"> </w:t>
      </w:r>
      <w:r w:rsidRPr="001D49D4">
        <w:rPr>
          <w:rFonts w:ascii="Calibri" w:eastAsia="Calibri" w:hAnsi="Calibri" w:cs="Arial"/>
          <w:u w:val="single"/>
          <w:rtl/>
        </w:rPr>
        <w:t>אמר להו רבא בר רב שילא להנהו כתבי שטרא אקניאתא</w:t>
      </w:r>
      <w:r w:rsidRPr="001D49D4">
        <w:rPr>
          <w:rFonts w:ascii="Calibri" w:eastAsia="Calibri" w:hAnsi="Calibri" w:cs="Arial"/>
          <w:rtl/>
        </w:rPr>
        <w:t xml:space="preserve">: כי כתביתו שטרי אקניאתא, אי ידעיתו יומא דקניתו ביה - כתבו, ואי לא - כתבו יומא דקיימיתו ביה, כי היכי דלא מתחזי כשקרא. </w:t>
      </w:r>
    </w:p>
    <w:p w14:paraId="24BDF201" w14:textId="77777777" w:rsidR="001D49D4" w:rsidRPr="001D49D4" w:rsidRDefault="001D49D4" w:rsidP="0004348D">
      <w:pPr>
        <w:spacing w:before="360" w:after="240"/>
        <w:rPr>
          <w:rFonts w:ascii="Calibri" w:eastAsia="Calibri" w:hAnsi="Calibri" w:cs="Arial"/>
          <w:u w:val="single"/>
          <w:rtl/>
        </w:rPr>
      </w:pPr>
      <w:r w:rsidRPr="001D49D4">
        <w:rPr>
          <w:rFonts w:ascii="Calibri" w:eastAsia="Calibri" w:hAnsi="Calibri" w:cs="Arial"/>
          <w:u w:val="single"/>
          <w:rtl/>
        </w:rPr>
        <w:t>עדים שאינם זוכרים יום הקנין – מה יכתבו בשטר:</w:t>
      </w:r>
    </w:p>
    <w:p w14:paraId="25F9C93C" w14:textId="77777777" w:rsidR="001D49D4" w:rsidRPr="001D49D4" w:rsidRDefault="001D49D4" w:rsidP="0004348D">
      <w:pPr>
        <w:numPr>
          <w:ilvl w:val="0"/>
          <w:numId w:val="242"/>
        </w:numPr>
        <w:spacing w:before="360" w:after="240"/>
        <w:contextualSpacing/>
        <w:rPr>
          <w:rtl/>
        </w:rPr>
      </w:pPr>
      <w:r w:rsidRPr="001D49D4">
        <w:rPr>
          <w:rtl/>
        </w:rPr>
        <w:lastRenderedPageBreak/>
        <w:t xml:space="preserve">בעל התרומות </w:t>
      </w:r>
      <w:r w:rsidRPr="001D49D4">
        <w:rPr>
          <w:sz w:val="16"/>
          <w:szCs w:val="16"/>
          <w:rtl/>
        </w:rPr>
        <w:t xml:space="preserve">(שער נו ח"א סי' ד) </w:t>
      </w:r>
      <w:r w:rsidRPr="001D49D4">
        <w:rPr>
          <w:rtl/>
        </w:rPr>
        <w:t>רשב"א</w:t>
      </w:r>
      <w:r w:rsidRPr="001D49D4">
        <w:rPr>
          <w:vertAlign w:val="superscript"/>
          <w:rtl/>
        </w:rPr>
        <w:footnoteReference w:id="3415"/>
      </w:r>
      <w:r w:rsidRPr="001D49D4">
        <w:rPr>
          <w:rtl/>
        </w:rPr>
        <w:t xml:space="preserve"> </w:t>
      </w:r>
      <w:r w:rsidRPr="001D49D4">
        <w:rPr>
          <w:sz w:val="16"/>
          <w:szCs w:val="16"/>
          <w:rtl/>
        </w:rPr>
        <w:t>(גיטין כו: ד"ה וליתא)</w:t>
      </w:r>
      <w:r w:rsidRPr="001D49D4">
        <w:rPr>
          <w:rtl/>
        </w:rPr>
        <w:t xml:space="preserve"> וטור- אם אינן נזכרים ליום הקנין לא יאמרו ברור לנו שקנינו ממנו בתשרי ואין אנו יודעים בכמה בו ולפיכך נכתב מתחלת מרחשון, שזה מיחזי כשיקרא</w:t>
      </w:r>
      <w:r w:rsidRPr="001D49D4">
        <w:rPr>
          <w:sz w:val="16"/>
          <w:szCs w:val="16"/>
          <w:rtl/>
        </w:rPr>
        <w:t xml:space="preserve"> (ל' הטור)</w:t>
      </w:r>
      <w:r w:rsidRPr="001D49D4">
        <w:rPr>
          <w:vertAlign w:val="superscript"/>
          <w:rtl/>
        </w:rPr>
        <w:footnoteReference w:id="3416"/>
      </w:r>
      <w:r w:rsidRPr="001D49D4">
        <w:rPr>
          <w:rtl/>
        </w:rPr>
        <w:t>.</w:t>
      </w:r>
      <w:r w:rsidRPr="001D49D4">
        <w:rPr>
          <w:color w:val="E36C0A" w:themeColor="accent6" w:themeShade="BF"/>
          <w:rtl/>
        </w:rPr>
        <w:t xml:space="preserve"> (וכ"פ בשו"ע)</w:t>
      </w:r>
    </w:p>
    <w:p w14:paraId="7AA9D776" w14:textId="77777777" w:rsidR="001D49D4" w:rsidRPr="001D49D4" w:rsidRDefault="001D49D4" w:rsidP="0004348D">
      <w:pPr>
        <w:numPr>
          <w:ilvl w:val="0"/>
          <w:numId w:val="242"/>
        </w:numPr>
        <w:spacing w:before="360" w:after="240"/>
        <w:contextualSpacing/>
        <w:rPr>
          <w:rtl/>
        </w:rPr>
      </w:pPr>
      <w:r w:rsidRPr="001D49D4">
        <w:rPr>
          <w:rtl/>
        </w:rPr>
        <w:t xml:space="preserve">בהעי"ט </w:t>
      </w:r>
      <w:r w:rsidRPr="001D49D4">
        <w:rPr>
          <w:sz w:val="16"/>
          <w:szCs w:val="16"/>
          <w:rtl/>
        </w:rPr>
        <w:t>(מאמר א זמן, ח ע"ד, הביאו הש"ך [סק"מ])</w:t>
      </w:r>
      <w:r w:rsidRPr="001D49D4">
        <w:rPr>
          <w:rtl/>
        </w:rPr>
        <w:t>- כיון דקי"ל בעלמא למחזי כשיקרא לא חיישינן</w:t>
      </w:r>
      <w:r w:rsidRPr="001D49D4">
        <w:rPr>
          <w:sz w:val="16"/>
          <w:szCs w:val="16"/>
          <w:rtl/>
        </w:rPr>
        <w:t xml:space="preserve"> (גיטין כו:)</w:t>
      </w:r>
      <w:r w:rsidRPr="001D49D4">
        <w:rPr>
          <w:rtl/>
        </w:rPr>
        <w:t xml:space="preserve"> - כתבו יומא דבריר להו וכתבי 'ואיחרנו'.</w:t>
      </w:r>
    </w:p>
    <w:p w14:paraId="60BBD3CF" w14:textId="77777777" w:rsidR="001D49D4" w:rsidRPr="001D49D4" w:rsidRDefault="001D49D4" w:rsidP="0004348D">
      <w:pPr>
        <w:spacing w:before="360" w:after="240"/>
        <w:ind w:left="360"/>
        <w:rPr>
          <w:rFonts w:ascii="Calibri" w:eastAsia="Calibri" w:hAnsi="Calibri" w:cs="Arial"/>
          <w:u w:val="dotted"/>
        </w:rPr>
      </w:pPr>
      <w:r w:rsidRPr="001D49D4">
        <w:rPr>
          <w:rFonts w:ascii="Calibri" w:eastAsia="Calibri" w:hAnsi="Calibri" w:cs="Arial"/>
          <w:u w:val="dotted"/>
          <w:rtl/>
        </w:rPr>
        <w:t>האם יש איזו עצה לכתוב את זמן הקנין בקירוב בלי שיהיה מחזי כשיקרא:</w:t>
      </w:r>
    </w:p>
    <w:p w14:paraId="20B9957A" w14:textId="77777777" w:rsidR="001D49D4" w:rsidRPr="001D49D4" w:rsidRDefault="001D49D4" w:rsidP="0004348D">
      <w:pPr>
        <w:numPr>
          <w:ilvl w:val="0"/>
          <w:numId w:val="242"/>
        </w:numPr>
        <w:spacing w:before="360" w:after="240"/>
        <w:contextualSpacing/>
      </w:pPr>
      <w:r w:rsidRPr="001D49D4">
        <w:rPr>
          <w:rtl/>
        </w:rPr>
        <w:t>ב"י- ראיתי למורי הרב הגדול הר' יעקב בי רב ז"ל כשהעדים לא היו זוכרים היום שקנו בו היה שואל להם אם היו זוכרים באיזה חודש ואם היה בתחלת החדש או בסופו או באמצעו וכך היה מצוה לכתוב - בשליש ראשון של חדש פלוני, או בשליש אמצעי, או בשליש אחרון, דהשתא כיון שמזכיר שם החדש שקנו בו ושם החלק מהחדש שקנו בו לא מיחזי כשיקרא</w:t>
      </w:r>
      <w:r w:rsidRPr="001D49D4">
        <w:rPr>
          <w:vertAlign w:val="superscript"/>
          <w:rtl/>
        </w:rPr>
        <w:footnoteReference w:id="3417"/>
      </w:r>
      <w:r w:rsidRPr="001D49D4">
        <w:rPr>
          <w:rtl/>
        </w:rPr>
        <w:t xml:space="preserve">. </w:t>
      </w:r>
      <w:r w:rsidRPr="001D49D4">
        <w:rPr>
          <w:color w:val="E36C0A" w:themeColor="accent6" w:themeShade="BF"/>
          <w:rtl/>
        </w:rPr>
        <w:t>(וכ"כ בשו"ע)</w:t>
      </w:r>
    </w:p>
    <w:p w14:paraId="0AA824AB" w14:textId="77777777" w:rsidR="001D49D4" w:rsidRPr="001D49D4" w:rsidRDefault="001D49D4" w:rsidP="0004348D">
      <w:pPr>
        <w:spacing w:before="360" w:after="240"/>
        <w:rPr>
          <w:rFonts w:ascii="Calibri" w:eastAsia="Calibri" w:hAnsi="Calibri" w:cs="Arial"/>
          <w:u w:val="single"/>
        </w:rPr>
      </w:pPr>
      <w:r w:rsidRPr="001D49D4">
        <w:rPr>
          <w:rFonts w:ascii="Calibri" w:eastAsia="Calibri" w:hAnsi="Calibri" w:cs="Arial"/>
          <w:u w:val="single"/>
          <w:rtl/>
        </w:rPr>
        <w:t>'אי ידעיתו יומא דקניתו ביה, כתבו' – באלו שטרות מדובר:</w:t>
      </w:r>
    </w:p>
    <w:p w14:paraId="6F936233" w14:textId="77777777" w:rsidR="001D49D4" w:rsidRPr="001D49D4" w:rsidRDefault="001D49D4" w:rsidP="0004348D">
      <w:pPr>
        <w:numPr>
          <w:ilvl w:val="0"/>
          <w:numId w:val="242"/>
        </w:numPr>
        <w:spacing w:before="360" w:after="240"/>
        <w:contextualSpacing/>
      </w:pPr>
      <w:r w:rsidRPr="001D49D4">
        <w:rPr>
          <w:rtl/>
        </w:rPr>
        <w:t xml:space="preserve">רשב"ם </w:t>
      </w:r>
      <w:r w:rsidRPr="001D49D4">
        <w:rPr>
          <w:sz w:val="16"/>
          <w:szCs w:val="16"/>
          <w:rtl/>
        </w:rPr>
        <w:t>(קעב. ד"ה להנך דכתבי)</w:t>
      </w:r>
      <w:r w:rsidRPr="001D49D4">
        <w:rPr>
          <w:rtl/>
        </w:rPr>
        <w:t>- דוקא בשטרי מתנה ומכר</w:t>
      </w:r>
      <w:r w:rsidRPr="001D49D4">
        <w:rPr>
          <w:vertAlign w:val="superscript"/>
          <w:rtl/>
        </w:rPr>
        <w:footnoteReference w:id="3418"/>
      </w:r>
      <w:r w:rsidRPr="001D49D4">
        <w:rPr>
          <w:rtl/>
        </w:rPr>
        <w:t xml:space="preserve"> שאין בו אחריות נכסים, אבל בשטר מתנה ומכר והלואה שיש בהם אחריות נכסים לא יכתוב אלא אותו יום שעומד בו עכשיו, ואע"ג דקנו מיניה בההוא זמן - אין קול לדבר עד שעת כתיבה, והלכך אם כתבוהו מיום שקנו ממנו - שטר מוקדם ופסול</w:t>
      </w:r>
      <w:r w:rsidRPr="001D49D4">
        <w:rPr>
          <w:vertAlign w:val="superscript"/>
          <w:rtl/>
        </w:rPr>
        <w:footnoteReference w:id="3419"/>
      </w:r>
      <w:r w:rsidRPr="001D49D4">
        <w:rPr>
          <w:sz w:val="16"/>
          <w:szCs w:val="16"/>
          <w:rtl/>
        </w:rPr>
        <w:t xml:space="preserve"> (ל' בעל התרומות בשם רשב"ם)</w:t>
      </w:r>
      <w:r w:rsidRPr="001D49D4">
        <w:rPr>
          <w:rtl/>
        </w:rPr>
        <w:t xml:space="preserve">.  </w:t>
      </w:r>
    </w:p>
    <w:p w14:paraId="042B3392" w14:textId="77777777" w:rsidR="001D49D4" w:rsidRPr="001D49D4" w:rsidRDefault="001D49D4" w:rsidP="0004348D">
      <w:pPr>
        <w:numPr>
          <w:ilvl w:val="0"/>
          <w:numId w:val="242"/>
        </w:numPr>
        <w:spacing w:before="360" w:after="240"/>
        <w:contextualSpacing/>
      </w:pPr>
      <w:r w:rsidRPr="001D49D4">
        <w:rPr>
          <w:rtl/>
        </w:rPr>
        <w:t>רבנו גרשום רי"ף ראב"ד רמב"ם ורמב"ן</w:t>
      </w:r>
      <w:r w:rsidRPr="001D49D4">
        <w:rPr>
          <w:vertAlign w:val="superscript"/>
          <w:rtl/>
        </w:rPr>
        <w:footnoteReference w:id="3420"/>
      </w:r>
      <w:r w:rsidRPr="001D49D4">
        <w:rPr>
          <w:rtl/>
        </w:rPr>
        <w:t>- שטר שיש בו קנין - הקנין יש לו קול וטורף.</w:t>
      </w:r>
    </w:p>
    <w:p w14:paraId="08661107" w14:textId="77777777" w:rsidR="001D49D4" w:rsidRPr="001D49D4" w:rsidRDefault="001D49D4" w:rsidP="0004348D">
      <w:pPr>
        <w:spacing w:before="360" w:after="240"/>
        <w:rPr>
          <w:rFonts w:ascii="Arial" w:eastAsia="Calibri" w:hAnsi="Arial" w:cs="Arial"/>
          <w:b/>
          <w:bCs/>
          <w:color w:val="000000"/>
          <w:sz w:val="28"/>
          <w:szCs w:val="28"/>
          <w:u w:val="single"/>
          <w:rtl/>
        </w:rPr>
      </w:pPr>
      <w:r w:rsidRPr="001D49D4">
        <w:rPr>
          <w:rFonts w:ascii="Arial" w:eastAsia="Calibri" w:hAnsi="Arial" w:cs="Arial"/>
          <w:b/>
          <w:bCs/>
          <w:color w:val="000000"/>
          <w:sz w:val="28"/>
          <w:szCs w:val="28"/>
          <w:u w:val="single"/>
          <w:rtl/>
        </w:rPr>
        <w:t>שו"ע:</w:t>
      </w:r>
    </w:p>
    <w:p w14:paraId="4EA7FABB"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rtl/>
        </w:rPr>
        <w:t>אם אינם נזכרים ליום הקנין, לא יאמרו 'ברור לנו שקנינו ממנו בתשרי ואין אנו יודעים בכמה ולפיכך נכתוב מתחלת חשון</w:t>
      </w:r>
      <w:r w:rsidRPr="001D49D4">
        <w:rPr>
          <w:rFonts w:ascii="Calibri" w:eastAsia="Calibri" w:hAnsi="Calibri" w:cs="Arial"/>
          <w:vertAlign w:val="superscript"/>
          <w:rtl/>
        </w:rPr>
        <w:footnoteReference w:id="3421"/>
      </w:r>
      <w:r w:rsidRPr="001D49D4">
        <w:rPr>
          <w:rFonts w:ascii="Calibri" w:eastAsia="Calibri" w:hAnsi="Calibri" w:cs="Arial"/>
          <w:rtl/>
        </w:rPr>
        <w:t>', שזה מיחזי כשיקרא. יש מי שאומר שאם זוכרים שקנו ממנו בתחלת תשרי או בסופו או באמצעו יכתבו: בשליש הראשון של חדש פלוני</w:t>
      </w:r>
      <w:r w:rsidRPr="001D49D4">
        <w:rPr>
          <w:rFonts w:ascii="Calibri" w:eastAsia="Calibri" w:hAnsi="Calibri" w:cs="Arial"/>
          <w:vertAlign w:val="superscript"/>
          <w:rtl/>
        </w:rPr>
        <w:footnoteReference w:id="3422"/>
      </w:r>
      <w:r w:rsidRPr="001D49D4">
        <w:rPr>
          <w:rFonts w:ascii="Calibri" w:eastAsia="Calibri" w:hAnsi="Calibri" w:cs="Arial"/>
          <w:rtl/>
        </w:rPr>
        <w:t xml:space="preserve">, או אמצעו, או בשליש אחרון. </w:t>
      </w:r>
    </w:p>
    <w:p w14:paraId="1D4AB2D3" w14:textId="77777777" w:rsidR="001D49D4" w:rsidRPr="001D49D4" w:rsidRDefault="001D49D4" w:rsidP="0004348D">
      <w:pPr>
        <w:spacing w:before="360" w:after="240"/>
        <w:rPr>
          <w:rFonts w:ascii="Calibri" w:eastAsia="Calibri" w:hAnsi="Calibri" w:cs="Arial"/>
          <w:rtl/>
        </w:rPr>
      </w:pPr>
    </w:p>
    <w:p w14:paraId="55BB08CA" w14:textId="77777777" w:rsidR="001D49D4" w:rsidRPr="001D49D4" w:rsidRDefault="001D49D4" w:rsidP="0004348D">
      <w:pPr>
        <w:keepNext/>
        <w:keepLines/>
        <w:spacing w:before="360" w:after="240"/>
        <w:outlineLvl w:val="1"/>
        <w:rPr>
          <w:rFonts w:ascii="Cambria" w:eastAsia="Times New Roman" w:hAnsi="Cambria" w:cs="Arial"/>
          <w:bCs/>
          <w:color w:val="548DD4" w:themeColor="text2" w:themeTint="99"/>
          <w:sz w:val="26"/>
          <w:szCs w:val="26"/>
          <w:rtl/>
        </w:rPr>
      </w:pPr>
      <w:bookmarkStart w:id="449" w:name="_Toc24883888"/>
      <w:r w:rsidRPr="001D49D4">
        <w:rPr>
          <w:rFonts w:ascii="Cambria" w:eastAsia="Times New Roman" w:hAnsi="Cambria" w:cs="Arial"/>
          <w:bCs/>
          <w:color w:val="548DD4" w:themeColor="text2" w:themeTint="99"/>
          <w:sz w:val="26"/>
          <w:szCs w:val="26"/>
          <w:rtl/>
        </w:rPr>
        <w:lastRenderedPageBreak/>
        <w:t>סעיף כ: כתיבת מקום הקנין הכתיבה והחתימה.</w:t>
      </w:r>
      <w:bookmarkEnd w:id="449"/>
    </w:p>
    <w:p w14:paraId="034D19CF"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b/>
          <w:bCs/>
          <w:rtl/>
        </w:rPr>
        <w:t xml:space="preserve">בבא בתרא </w:t>
      </w:r>
      <w:r w:rsidRPr="001D49D4">
        <w:rPr>
          <w:rFonts w:ascii="Calibri" w:eastAsia="Calibri" w:hAnsi="Calibri" w:cs="Arial"/>
          <w:b/>
          <w:bCs/>
          <w:sz w:val="16"/>
          <w:szCs w:val="16"/>
          <w:rtl/>
        </w:rPr>
        <w:t xml:space="preserve">(פרק גט פשוט) </w:t>
      </w:r>
      <w:r w:rsidRPr="001D49D4">
        <w:rPr>
          <w:rFonts w:ascii="Calibri" w:eastAsia="Calibri" w:hAnsi="Calibri" w:cs="Arial"/>
          <w:b/>
          <w:bCs/>
          <w:rtl/>
        </w:rPr>
        <w:t>קעב</w:t>
      </w:r>
      <w:r w:rsidRPr="001D49D4">
        <w:rPr>
          <w:rFonts w:ascii="Calibri" w:eastAsia="Calibri" w:hAnsi="Calibri" w:cs="Arial"/>
          <w:b/>
          <w:bCs/>
          <w:vertAlign w:val="superscript"/>
          <w:rtl/>
        </w:rPr>
        <w:footnoteReference w:id="3423"/>
      </w:r>
      <w:r w:rsidRPr="001D49D4">
        <w:rPr>
          <w:rFonts w:ascii="Calibri" w:eastAsia="Calibri" w:hAnsi="Calibri" w:cs="Arial"/>
          <w:b/>
          <w:bCs/>
          <w:rtl/>
        </w:rPr>
        <w:t xml:space="preserve"> ע"א:</w:t>
      </w:r>
      <w:r w:rsidRPr="001D49D4">
        <w:rPr>
          <w:rFonts w:ascii="Calibri" w:eastAsia="Calibri" w:hAnsi="Calibri" w:cs="Arial"/>
          <w:rtl/>
        </w:rPr>
        <w:t xml:space="preserve"> </w:t>
      </w:r>
      <w:r w:rsidRPr="001D49D4">
        <w:rPr>
          <w:rFonts w:ascii="Calibri" w:eastAsia="Calibri" w:hAnsi="Calibri" w:cs="Arial"/>
          <w:u w:val="single"/>
          <w:rtl/>
        </w:rPr>
        <w:t>אמר להו רב</w:t>
      </w:r>
      <w:r w:rsidRPr="001D49D4">
        <w:rPr>
          <w:rFonts w:ascii="Calibri" w:eastAsia="Calibri" w:hAnsi="Calibri" w:cs="Arial"/>
          <w:u w:val="single"/>
          <w:vertAlign w:val="superscript"/>
          <w:rtl/>
        </w:rPr>
        <w:footnoteReference w:id="3424"/>
      </w:r>
      <w:r w:rsidRPr="001D49D4">
        <w:rPr>
          <w:rFonts w:ascii="Calibri" w:eastAsia="Calibri" w:hAnsi="Calibri" w:cs="Arial"/>
          <w:u w:val="single"/>
          <w:rtl/>
        </w:rPr>
        <w:t xml:space="preserve"> לספריה, וכן אמר להו רב הונא לספריה</w:t>
      </w:r>
      <w:r w:rsidRPr="001D49D4">
        <w:rPr>
          <w:rFonts w:ascii="Calibri" w:eastAsia="Calibri" w:hAnsi="Calibri" w:cs="Arial"/>
          <w:rtl/>
        </w:rPr>
        <w:t>: כי קיימיתו בשילי כתבו בשילי, ואף על גב דמסירן לכו מילי בהיני. כי קיימיתו בהיני כתבו בהיני, ואף על גב דמסירן לכו מילי בשילי</w:t>
      </w:r>
      <w:r w:rsidRPr="001D49D4">
        <w:rPr>
          <w:rFonts w:ascii="Calibri" w:eastAsia="Calibri" w:hAnsi="Calibri" w:cs="Arial"/>
          <w:vertAlign w:val="superscript"/>
          <w:rtl/>
        </w:rPr>
        <w:footnoteReference w:id="3425"/>
      </w:r>
      <w:r w:rsidRPr="001D49D4">
        <w:rPr>
          <w:rFonts w:ascii="Calibri" w:eastAsia="Calibri" w:hAnsi="Calibri" w:cs="Arial"/>
          <w:rtl/>
        </w:rPr>
        <w:t>.</w:t>
      </w:r>
    </w:p>
    <w:p w14:paraId="3FE3C74E" w14:textId="77777777" w:rsidR="001D49D4" w:rsidRPr="001D49D4" w:rsidRDefault="001D49D4" w:rsidP="0004348D">
      <w:pPr>
        <w:spacing w:before="360" w:after="240"/>
        <w:rPr>
          <w:rFonts w:ascii="Calibri" w:eastAsia="Calibri" w:hAnsi="Calibri" w:cs="Arial"/>
          <w:u w:val="single"/>
          <w:rtl/>
        </w:rPr>
      </w:pPr>
      <w:r w:rsidRPr="001D49D4">
        <w:rPr>
          <w:rFonts w:ascii="Calibri" w:eastAsia="Calibri" w:hAnsi="Calibri" w:cs="Arial"/>
          <w:u w:val="single"/>
          <w:rtl/>
        </w:rPr>
        <w:t xml:space="preserve">נמסרה עדות לעדים במקום אחד ועכשיו הם במקום אחר </w:t>
      </w:r>
      <w:r w:rsidRPr="001D49D4">
        <w:rPr>
          <w:rFonts w:ascii="Calibri" w:eastAsia="Calibri" w:hAnsi="Calibri" w:cs="Arial"/>
          <w:sz w:val="16"/>
          <w:szCs w:val="16"/>
          <w:u w:val="single"/>
          <w:rtl/>
        </w:rPr>
        <w:t>(ורוצים לכתוב ולחתום שטר על עדותם)</w:t>
      </w:r>
      <w:r w:rsidRPr="001D49D4">
        <w:rPr>
          <w:rFonts w:ascii="Calibri" w:eastAsia="Calibri" w:hAnsi="Calibri" w:cs="Arial"/>
          <w:u w:val="single"/>
          <w:rtl/>
        </w:rPr>
        <w:t xml:space="preserve"> – כיצד יכתבו:</w:t>
      </w:r>
    </w:p>
    <w:p w14:paraId="2061E284" w14:textId="77777777" w:rsidR="001D49D4" w:rsidRPr="001D49D4" w:rsidRDefault="001D49D4" w:rsidP="0004348D">
      <w:pPr>
        <w:numPr>
          <w:ilvl w:val="0"/>
          <w:numId w:val="243"/>
        </w:numPr>
        <w:spacing w:before="360" w:after="240"/>
        <w:contextualSpacing/>
      </w:pPr>
      <w:bookmarkStart w:id="450" w:name="_Hlk13497677"/>
      <w:r w:rsidRPr="001D49D4">
        <w:rPr>
          <w:rtl/>
        </w:rPr>
        <w:t xml:space="preserve">ר"ת ר"י ראבי"ה </w:t>
      </w:r>
      <w:r w:rsidRPr="001D49D4">
        <w:rPr>
          <w:sz w:val="16"/>
          <w:szCs w:val="16"/>
          <w:rtl/>
        </w:rPr>
        <w:t>(סי' תתקיט)</w:t>
      </w:r>
      <w:r w:rsidRPr="001D49D4">
        <w:rPr>
          <w:rtl/>
        </w:rPr>
        <w:t xml:space="preserve"> וריב"ם</w:t>
      </w:r>
      <w:r w:rsidRPr="001D49D4">
        <w:rPr>
          <w:sz w:val="16"/>
          <w:szCs w:val="16"/>
          <w:rtl/>
        </w:rPr>
        <w:t xml:space="preserve"> (הביאם המרדכי</w:t>
      </w:r>
      <w:r w:rsidRPr="001D49D4">
        <w:rPr>
          <w:sz w:val="14"/>
          <w:szCs w:val="14"/>
          <w:rtl/>
        </w:rPr>
        <w:t xml:space="preserve"> [סי' תרמו]</w:t>
      </w:r>
      <w:r w:rsidRPr="001D49D4">
        <w:rPr>
          <w:sz w:val="16"/>
          <w:szCs w:val="16"/>
          <w:rtl/>
        </w:rPr>
        <w:t>)</w:t>
      </w:r>
      <w:r w:rsidRPr="001D49D4">
        <w:rPr>
          <w:rtl/>
        </w:rPr>
        <w:t>- אם הסופר נמצא בהיני והעדים חותמים בשילי צריך הסופר לכתוב בשטר 'שילי', דאין הדבר תלוי אלא בחתימת העדים שידעו כדי לקיים חתימתן</w:t>
      </w:r>
      <w:r w:rsidRPr="001D49D4">
        <w:rPr>
          <w:vertAlign w:val="superscript"/>
          <w:rtl/>
        </w:rPr>
        <w:footnoteReference w:id="3426"/>
      </w:r>
      <w:r w:rsidRPr="001D49D4">
        <w:rPr>
          <w:rtl/>
        </w:rPr>
        <w:t>.</w:t>
      </w:r>
    </w:p>
    <w:bookmarkEnd w:id="450"/>
    <w:p w14:paraId="663BB100" w14:textId="77777777" w:rsidR="001D49D4" w:rsidRPr="001D49D4" w:rsidRDefault="001D49D4" w:rsidP="0004348D">
      <w:pPr>
        <w:numPr>
          <w:ilvl w:val="0"/>
          <w:numId w:val="243"/>
        </w:numPr>
        <w:spacing w:before="360" w:after="240"/>
        <w:contextualSpacing/>
        <w:rPr>
          <w:rtl/>
        </w:rPr>
      </w:pPr>
      <w:r w:rsidRPr="001D49D4">
        <w:rPr>
          <w:rtl/>
        </w:rPr>
        <w:t xml:space="preserve">רמב"ן </w:t>
      </w:r>
      <w:r w:rsidRPr="001D49D4">
        <w:rPr>
          <w:sz w:val="16"/>
          <w:szCs w:val="16"/>
          <w:rtl/>
        </w:rPr>
        <w:t xml:space="preserve">(קעב. ד"ה והא, ובתשו' סי' סא, וכ"כ בעל התרומות [שער נו סי' ה] והריב"ש [סי' שפב] בשמו) </w:t>
      </w:r>
      <w:r w:rsidRPr="001D49D4">
        <w:rPr>
          <w:rtl/>
        </w:rPr>
        <w:t>טור וריב"ש</w:t>
      </w:r>
      <w:r w:rsidRPr="001D49D4">
        <w:rPr>
          <w:vertAlign w:val="superscript"/>
          <w:rtl/>
        </w:rPr>
        <w:footnoteReference w:id="3427"/>
      </w:r>
      <w:r w:rsidRPr="001D49D4">
        <w:rPr>
          <w:sz w:val="16"/>
          <w:szCs w:val="16"/>
          <w:rtl/>
        </w:rPr>
        <w:t>(סי' שפב)</w:t>
      </w:r>
      <w:r w:rsidRPr="001D49D4">
        <w:rPr>
          <w:rtl/>
        </w:rPr>
        <w:t xml:space="preserve">- ראו הקנין בטבריא והלכו לציפורי וכתבו שם השטר - יכתבו בשטר שנכתב בציפורי, המקום שעומדים בו בשעת כתיבה. ודוקא כשאין זוכרין זמן הקנין וכותבין זמן הכתיבה, אבל אם זוכרים זמן הקנין וכותבין אותו - אז יכתבו </w:t>
      </w:r>
      <w:r w:rsidRPr="001D49D4">
        <w:rPr>
          <w:b/>
          <w:bCs/>
          <w:rtl/>
        </w:rPr>
        <w:t>גם</w:t>
      </w:r>
      <w:r w:rsidRPr="001D49D4">
        <w:rPr>
          <w:rtl/>
        </w:rPr>
        <w:t xml:space="preserve"> כן המקום שנעשה בו הקנין, אע"פ שעומדים בזמן הכתיבה במקום אחר </w:t>
      </w:r>
      <w:r w:rsidRPr="001D49D4">
        <w:rPr>
          <w:sz w:val="16"/>
          <w:szCs w:val="16"/>
          <w:rtl/>
        </w:rPr>
        <w:t>(ל' הטור)</w:t>
      </w:r>
      <w:r w:rsidRPr="001D49D4">
        <w:rPr>
          <w:rtl/>
        </w:rPr>
        <w:t>.</w:t>
      </w:r>
      <w:r w:rsidRPr="001D49D4">
        <w:rPr>
          <w:color w:val="E36C0A" w:themeColor="accent6" w:themeShade="BF"/>
          <w:rtl/>
        </w:rPr>
        <w:t xml:space="preserve"> (וכ"פ בשו"ע)</w:t>
      </w:r>
      <w:r w:rsidRPr="001D49D4">
        <w:rPr>
          <w:rtl/>
        </w:rPr>
        <w:t xml:space="preserve"> </w:t>
      </w:r>
    </w:p>
    <w:p w14:paraId="1B023F0B" w14:textId="77777777" w:rsidR="001D49D4" w:rsidRPr="001D49D4" w:rsidRDefault="001D49D4" w:rsidP="0004348D">
      <w:pPr>
        <w:numPr>
          <w:ilvl w:val="0"/>
          <w:numId w:val="243"/>
        </w:numPr>
        <w:spacing w:before="360" w:after="240"/>
        <w:contextualSpacing/>
      </w:pPr>
      <w:bookmarkStart w:id="451" w:name="_Hlk13497671"/>
      <w:r w:rsidRPr="001D49D4">
        <w:rPr>
          <w:rtl/>
        </w:rPr>
        <w:t xml:space="preserve">רשב"ם </w:t>
      </w:r>
      <w:r w:rsidRPr="001D49D4">
        <w:rPr>
          <w:sz w:val="16"/>
          <w:szCs w:val="16"/>
          <w:rtl/>
        </w:rPr>
        <w:t>(ב"ב שם ד"ה כי יתביתו)</w:t>
      </w:r>
      <w:r w:rsidRPr="001D49D4">
        <w:rPr>
          <w:rtl/>
        </w:rPr>
        <w:t xml:space="preserve"> רבינו שמריה</w:t>
      </w:r>
      <w:r w:rsidRPr="001D49D4">
        <w:rPr>
          <w:vertAlign w:val="superscript"/>
          <w:rtl/>
        </w:rPr>
        <w:footnoteReference w:id="3428"/>
      </w:r>
      <w:r w:rsidRPr="001D49D4">
        <w:rPr>
          <w:sz w:val="16"/>
          <w:szCs w:val="16"/>
          <w:rtl/>
        </w:rPr>
        <w:t xml:space="preserve"> (הביאו המרדכי</w:t>
      </w:r>
      <w:r w:rsidRPr="001D49D4">
        <w:rPr>
          <w:sz w:val="10"/>
          <w:szCs w:val="10"/>
          <w:rtl/>
        </w:rPr>
        <w:t xml:space="preserve"> </w:t>
      </w:r>
      <w:r w:rsidRPr="001D49D4">
        <w:rPr>
          <w:sz w:val="14"/>
          <w:szCs w:val="14"/>
          <w:rtl/>
        </w:rPr>
        <w:t>[סי' תרמו]</w:t>
      </w:r>
      <w:r w:rsidRPr="001D49D4">
        <w:rPr>
          <w:sz w:val="16"/>
          <w:szCs w:val="16"/>
          <w:rtl/>
        </w:rPr>
        <w:t xml:space="preserve">) </w:t>
      </w:r>
      <w:r w:rsidRPr="001D49D4">
        <w:rPr>
          <w:rtl/>
        </w:rPr>
        <w:t xml:space="preserve">ונמוק"י </w:t>
      </w:r>
      <w:r w:rsidRPr="001D49D4">
        <w:rPr>
          <w:sz w:val="16"/>
          <w:szCs w:val="16"/>
          <w:rtl/>
        </w:rPr>
        <w:t>(עט: ד"ה אמר)</w:t>
      </w:r>
      <w:r w:rsidRPr="001D49D4">
        <w:rPr>
          <w:rtl/>
        </w:rPr>
        <w:t>- צריך לכתוב בתוך השטר מקום שאתם יושבים שם בשעת כתיבה כלומר 'במקום פלוני כתבנו הך מה שראינו במקום פלוני'</w:t>
      </w:r>
      <w:r w:rsidRPr="001D49D4">
        <w:rPr>
          <w:sz w:val="16"/>
          <w:szCs w:val="16"/>
          <w:rtl/>
        </w:rPr>
        <w:t xml:space="preserve"> (ל' נמוק"י)</w:t>
      </w:r>
      <w:r w:rsidRPr="001D49D4">
        <w:rPr>
          <w:rtl/>
        </w:rPr>
        <w:t xml:space="preserve">. </w:t>
      </w:r>
    </w:p>
    <w:bookmarkEnd w:id="451"/>
    <w:p w14:paraId="40394E01" w14:textId="77777777" w:rsidR="001D49D4" w:rsidRPr="001D49D4" w:rsidRDefault="001D49D4" w:rsidP="0004348D">
      <w:pPr>
        <w:spacing w:before="360" w:after="240"/>
        <w:ind w:left="360"/>
        <w:rPr>
          <w:rFonts w:ascii="Calibri" w:eastAsia="Calibri" w:hAnsi="Calibri" w:cs="Arial"/>
          <w:u w:val="dotted"/>
        </w:rPr>
      </w:pPr>
      <w:r w:rsidRPr="001D49D4">
        <w:rPr>
          <w:rFonts w:ascii="Calibri" w:eastAsia="Calibri" w:hAnsi="Calibri" w:cs="Arial"/>
          <w:u w:val="dotted"/>
          <w:rtl/>
        </w:rPr>
        <w:t xml:space="preserve">ומה הדין אם לא כתבו את מקום הכתיבה אלא </w:t>
      </w:r>
      <w:r w:rsidRPr="001D49D4">
        <w:rPr>
          <w:rFonts w:ascii="Calibri" w:eastAsia="Calibri" w:hAnsi="Calibri" w:cs="Arial"/>
          <w:b/>
          <w:bCs/>
          <w:u w:val="dotted"/>
          <w:rtl/>
        </w:rPr>
        <w:t>רק את מקום המסירה</w:t>
      </w:r>
      <w:r w:rsidRPr="001D49D4">
        <w:rPr>
          <w:rFonts w:ascii="Calibri" w:eastAsia="Calibri" w:hAnsi="Calibri" w:cs="Arial"/>
          <w:u w:val="dotted"/>
          <w:rtl/>
        </w:rPr>
        <w:t>:</w:t>
      </w:r>
    </w:p>
    <w:p w14:paraId="7172615D" w14:textId="77777777" w:rsidR="001D49D4" w:rsidRPr="001D49D4" w:rsidRDefault="001D49D4" w:rsidP="0004348D">
      <w:pPr>
        <w:numPr>
          <w:ilvl w:val="0"/>
          <w:numId w:val="243"/>
        </w:numPr>
        <w:spacing w:before="360" w:after="240"/>
        <w:contextualSpacing/>
        <w:rPr>
          <w:rtl/>
        </w:rPr>
      </w:pPr>
      <w:r w:rsidRPr="001D49D4">
        <w:rPr>
          <w:rtl/>
        </w:rPr>
        <w:t>ראבי"ה ריב"ם רמב"ן ריב"ש ונמוק"י</w:t>
      </w:r>
      <w:r w:rsidRPr="001D49D4">
        <w:rPr>
          <w:vertAlign w:val="superscript"/>
          <w:rtl/>
        </w:rPr>
        <w:footnoteReference w:id="3429"/>
      </w:r>
      <w:r w:rsidRPr="001D49D4">
        <w:rPr>
          <w:rtl/>
        </w:rPr>
        <w:t>- אי לא עביד הכי</w:t>
      </w:r>
      <w:r w:rsidRPr="001D49D4">
        <w:rPr>
          <w:vertAlign w:val="superscript"/>
          <w:rtl/>
        </w:rPr>
        <w:footnoteReference w:id="3430"/>
      </w:r>
      <w:r w:rsidRPr="001D49D4">
        <w:rPr>
          <w:rtl/>
        </w:rPr>
        <w:t xml:space="preserve"> פסול</w:t>
      </w:r>
      <w:r w:rsidRPr="001D49D4">
        <w:rPr>
          <w:vertAlign w:val="superscript"/>
          <w:rtl/>
        </w:rPr>
        <w:footnoteReference w:id="3431"/>
      </w:r>
      <w:r w:rsidRPr="001D49D4">
        <w:rPr>
          <w:rtl/>
        </w:rPr>
        <w:t>.</w:t>
      </w:r>
      <w:r w:rsidRPr="001D49D4">
        <w:rPr>
          <w:color w:val="E36C0A" w:themeColor="accent6" w:themeShade="BF"/>
          <w:rtl/>
        </w:rPr>
        <w:t xml:space="preserve"> (וכ"פ בשו"ע)</w:t>
      </w:r>
    </w:p>
    <w:p w14:paraId="4C0E274B" w14:textId="77777777" w:rsidR="001D49D4" w:rsidRPr="001D49D4" w:rsidRDefault="001D49D4" w:rsidP="0004348D">
      <w:pPr>
        <w:numPr>
          <w:ilvl w:val="0"/>
          <w:numId w:val="243"/>
        </w:numPr>
        <w:spacing w:before="360" w:after="240"/>
        <w:contextualSpacing/>
        <w:rPr>
          <w:rtl/>
        </w:rPr>
      </w:pPr>
      <w:r w:rsidRPr="001D49D4">
        <w:rPr>
          <w:rtl/>
        </w:rPr>
        <w:t>רש"י</w:t>
      </w:r>
      <w:r w:rsidRPr="001D49D4">
        <w:rPr>
          <w:vertAlign w:val="superscript"/>
          <w:rtl/>
        </w:rPr>
        <w:footnoteReference w:id="3432"/>
      </w:r>
      <w:r w:rsidRPr="001D49D4">
        <w:rPr>
          <w:rtl/>
        </w:rPr>
        <w:t xml:space="preserve"> </w:t>
      </w:r>
      <w:r w:rsidRPr="001D49D4">
        <w:rPr>
          <w:sz w:val="16"/>
          <w:szCs w:val="16"/>
          <w:rtl/>
        </w:rPr>
        <w:t>(סנהדרין לב. ד"ה חיישינן שמא)</w:t>
      </w:r>
      <w:r w:rsidRPr="001D49D4">
        <w:rPr>
          <w:rtl/>
        </w:rPr>
        <w:t xml:space="preserve"> ר"י </w:t>
      </w:r>
      <w:r w:rsidRPr="001D49D4">
        <w:rPr>
          <w:sz w:val="16"/>
          <w:szCs w:val="16"/>
          <w:rtl/>
        </w:rPr>
        <w:t xml:space="preserve">(גיטין פ. ד"ה כי) </w:t>
      </w:r>
      <w:r w:rsidRPr="001D49D4">
        <w:rPr>
          <w:rtl/>
        </w:rPr>
        <w:t>ורי"ו</w:t>
      </w:r>
      <w:r w:rsidRPr="001D49D4">
        <w:rPr>
          <w:vertAlign w:val="superscript"/>
          <w:rtl/>
        </w:rPr>
        <w:footnoteReference w:id="3433"/>
      </w:r>
      <w:r w:rsidRPr="001D49D4">
        <w:rPr>
          <w:rtl/>
        </w:rPr>
        <w:t xml:space="preserve"> </w:t>
      </w:r>
      <w:r w:rsidRPr="001D49D4">
        <w:rPr>
          <w:sz w:val="16"/>
          <w:szCs w:val="16"/>
          <w:rtl/>
        </w:rPr>
        <w:t>(נ"ד ח"ב יט ע"ד)</w:t>
      </w:r>
      <w:r w:rsidRPr="001D49D4">
        <w:rPr>
          <w:rtl/>
        </w:rPr>
        <w:t>- אין השטר נפסל בדיעבד בכך. (וכ"פ הש"ך</w:t>
      </w:r>
      <w:r w:rsidRPr="001D49D4">
        <w:rPr>
          <w:vertAlign w:val="superscript"/>
          <w:rtl/>
        </w:rPr>
        <w:footnoteReference w:id="3434"/>
      </w:r>
      <w:r w:rsidRPr="001D49D4">
        <w:rPr>
          <w:sz w:val="16"/>
          <w:szCs w:val="16"/>
          <w:rtl/>
        </w:rPr>
        <w:t xml:space="preserve"> [סקמ"א]</w:t>
      </w:r>
      <w:r w:rsidRPr="001D49D4">
        <w:rPr>
          <w:rtl/>
        </w:rPr>
        <w:t>)</w:t>
      </w:r>
    </w:p>
    <w:p w14:paraId="5606417C" w14:textId="77777777" w:rsidR="001D49D4" w:rsidRPr="001D49D4" w:rsidRDefault="001D49D4" w:rsidP="0004348D">
      <w:pPr>
        <w:spacing w:before="360" w:after="240"/>
        <w:ind w:left="360"/>
        <w:rPr>
          <w:rFonts w:ascii="Calibri" w:eastAsia="Calibri" w:hAnsi="Calibri" w:cs="Arial"/>
          <w:u w:val="dotted"/>
        </w:rPr>
      </w:pPr>
      <w:r w:rsidRPr="001D49D4">
        <w:rPr>
          <w:rFonts w:ascii="Calibri" w:eastAsia="Calibri" w:hAnsi="Calibri" w:cs="Arial"/>
          <w:u w:val="dotted"/>
          <w:rtl/>
        </w:rPr>
        <w:lastRenderedPageBreak/>
        <w:t>לדעת הרמב"ן וסיעתו</w:t>
      </w:r>
      <w:r w:rsidRPr="001D49D4">
        <w:rPr>
          <w:rFonts w:ascii="Calibri" w:eastAsia="Calibri" w:hAnsi="Calibri" w:cs="Arial"/>
          <w:u w:val="dotted"/>
          <w:vertAlign w:val="superscript"/>
          <w:rtl/>
        </w:rPr>
        <w:footnoteReference w:id="3435"/>
      </w:r>
      <w:r w:rsidRPr="001D49D4">
        <w:rPr>
          <w:rFonts w:ascii="Calibri" w:eastAsia="Calibri" w:hAnsi="Calibri" w:cs="Arial"/>
          <w:u w:val="dotted"/>
          <w:rtl/>
        </w:rPr>
        <w:t xml:space="preserve"> – מה הדין אם לא כתבו גם </w:t>
      </w:r>
      <w:r w:rsidRPr="001D49D4">
        <w:rPr>
          <w:rFonts w:ascii="Calibri" w:eastAsia="Calibri" w:hAnsi="Calibri" w:cs="Arial"/>
          <w:sz w:val="16"/>
          <w:szCs w:val="16"/>
          <w:u w:val="dotted"/>
          <w:rtl/>
        </w:rPr>
        <w:t xml:space="preserve">(את מקום הקנין) </w:t>
      </w:r>
      <w:r w:rsidRPr="001D49D4">
        <w:rPr>
          <w:rFonts w:ascii="Calibri" w:eastAsia="Calibri" w:hAnsi="Calibri" w:cs="Arial"/>
          <w:u w:val="dotted"/>
          <w:rtl/>
        </w:rPr>
        <w:t xml:space="preserve">וגם </w:t>
      </w:r>
      <w:r w:rsidRPr="001D49D4">
        <w:rPr>
          <w:rFonts w:ascii="Calibri" w:eastAsia="Calibri" w:hAnsi="Calibri" w:cs="Arial"/>
          <w:sz w:val="16"/>
          <w:szCs w:val="16"/>
          <w:u w:val="dotted"/>
          <w:rtl/>
        </w:rPr>
        <w:t>(את מקום הכתיבה)</w:t>
      </w:r>
      <w:r w:rsidRPr="001D49D4">
        <w:rPr>
          <w:rFonts w:ascii="Calibri" w:eastAsia="Calibri" w:hAnsi="Calibri" w:cs="Arial"/>
          <w:u w:val="dotted"/>
          <w:rtl/>
        </w:rPr>
        <w:t xml:space="preserve"> אלא רק את מקום הכתיבה:</w:t>
      </w:r>
    </w:p>
    <w:p w14:paraId="490B18B3" w14:textId="77777777" w:rsidR="001D49D4" w:rsidRPr="001D49D4" w:rsidRDefault="001D49D4" w:rsidP="0004348D">
      <w:pPr>
        <w:numPr>
          <w:ilvl w:val="0"/>
          <w:numId w:val="243"/>
        </w:numPr>
        <w:spacing w:before="360" w:after="240"/>
        <w:contextualSpacing/>
      </w:pPr>
      <w:r w:rsidRPr="001D49D4">
        <w:rPr>
          <w:rtl/>
        </w:rPr>
        <w:t xml:space="preserve">רמב"ן </w:t>
      </w:r>
      <w:r w:rsidRPr="001D49D4">
        <w:rPr>
          <w:sz w:val="16"/>
          <w:szCs w:val="16"/>
          <w:rtl/>
        </w:rPr>
        <w:t xml:space="preserve">(שם) </w:t>
      </w:r>
      <w:r w:rsidRPr="001D49D4">
        <w:rPr>
          <w:rtl/>
        </w:rPr>
        <w:t>וטור- אם יכתבו מקום הכתיבה נמצא משקרין, שלא נעשה שם הקנין</w:t>
      </w:r>
      <w:r w:rsidRPr="001D49D4">
        <w:rPr>
          <w:sz w:val="16"/>
          <w:szCs w:val="16"/>
          <w:rtl/>
        </w:rPr>
        <w:t xml:space="preserve"> (ל' הטור)</w:t>
      </w:r>
      <w:r w:rsidRPr="001D49D4">
        <w:rPr>
          <w:rtl/>
        </w:rPr>
        <w:t>.</w:t>
      </w:r>
      <w:r w:rsidRPr="001D49D4">
        <w:rPr>
          <w:color w:val="E36C0A" w:themeColor="accent6" w:themeShade="BF"/>
          <w:rtl/>
        </w:rPr>
        <w:t xml:space="preserve"> (וכ"פ בשו"ע)</w:t>
      </w:r>
    </w:p>
    <w:p w14:paraId="49BF5F06" w14:textId="77777777" w:rsidR="001D49D4" w:rsidRPr="001D49D4" w:rsidRDefault="001D49D4" w:rsidP="0004348D">
      <w:pPr>
        <w:numPr>
          <w:ilvl w:val="0"/>
          <w:numId w:val="243"/>
        </w:numPr>
        <w:spacing w:before="360" w:after="240"/>
        <w:contextualSpacing/>
      </w:pPr>
      <w:r w:rsidRPr="001D49D4">
        <w:rPr>
          <w:rtl/>
        </w:rPr>
        <w:t xml:space="preserve">רי"ו </w:t>
      </w:r>
      <w:r w:rsidRPr="001D49D4">
        <w:rPr>
          <w:sz w:val="16"/>
          <w:szCs w:val="16"/>
          <w:rtl/>
        </w:rPr>
        <w:t xml:space="preserve">(נ"ד ח"ב יט ע"ד) </w:t>
      </w:r>
      <w:r w:rsidRPr="001D49D4">
        <w:rPr>
          <w:rtl/>
        </w:rPr>
        <w:t>בשם הרמ"ה</w:t>
      </w:r>
      <w:r w:rsidRPr="001D49D4">
        <w:rPr>
          <w:sz w:val="16"/>
          <w:szCs w:val="16"/>
          <w:rtl/>
        </w:rPr>
        <w:t xml:space="preserve"> (ב"ב קעא: סי' קח)</w:t>
      </w:r>
      <w:r w:rsidRPr="001D49D4">
        <w:rPr>
          <w:rtl/>
        </w:rPr>
        <w:t>- אע"פ שכתבו סתם 'במקום פלוני קנינו מפלוני' לא מיחזי כשיקרא אפילו נמסר</w:t>
      </w:r>
      <w:r w:rsidRPr="001D49D4">
        <w:rPr>
          <w:sz w:val="16"/>
          <w:szCs w:val="16"/>
          <w:rtl/>
        </w:rPr>
        <w:t xml:space="preserve"> {הקניין}</w:t>
      </w:r>
      <w:r w:rsidRPr="001D49D4">
        <w:rPr>
          <w:rtl/>
        </w:rPr>
        <w:t xml:space="preserve"> במקום אחר דמסתמא אכתיבה בלחוד משמע. </w:t>
      </w:r>
      <w:r w:rsidRPr="001D49D4">
        <w:rPr>
          <w:color w:val="00B0F0"/>
          <w:rtl/>
        </w:rPr>
        <w:t>(וכ"פ הרמ"א)</w:t>
      </w:r>
    </w:p>
    <w:p w14:paraId="4DAD3468" w14:textId="77777777" w:rsidR="001D49D4" w:rsidRPr="001D49D4" w:rsidRDefault="001D49D4" w:rsidP="0004348D">
      <w:pPr>
        <w:numPr>
          <w:ilvl w:val="1"/>
          <w:numId w:val="243"/>
        </w:numPr>
        <w:spacing w:before="360" w:after="240"/>
        <w:contextualSpacing/>
      </w:pPr>
      <w:r w:rsidRPr="001D49D4">
        <w:rPr>
          <w:rtl/>
        </w:rPr>
        <w:t xml:space="preserve">ב"י- וכבר איפשר שאפילו זוכרין זמן הקנין וכותבין אותו יכתבו </w:t>
      </w:r>
      <w:r w:rsidRPr="001D49D4">
        <w:rPr>
          <w:sz w:val="16"/>
          <w:szCs w:val="16"/>
          <w:rtl/>
        </w:rPr>
        <w:t xml:space="preserve">{רק את} </w:t>
      </w:r>
      <w:r w:rsidRPr="001D49D4">
        <w:rPr>
          <w:rtl/>
        </w:rPr>
        <w:t xml:space="preserve">שם המקום שנעשה בו </w:t>
      </w:r>
      <w:r w:rsidRPr="001D49D4">
        <w:rPr>
          <w:sz w:val="16"/>
          <w:szCs w:val="16"/>
          <w:rtl/>
        </w:rPr>
        <w:t xml:space="preserve">{השטר} </w:t>
      </w:r>
      <w:r w:rsidRPr="001D49D4">
        <w:rPr>
          <w:rtl/>
        </w:rPr>
        <w:t>רק שיסמוך הכתיבה אל המקום</w:t>
      </w:r>
      <w:r w:rsidRPr="001D49D4">
        <w:rPr>
          <w:sz w:val="16"/>
          <w:szCs w:val="16"/>
          <w:rtl/>
        </w:rPr>
        <w:t xml:space="preserve"> {שנמצא בו עתה}</w:t>
      </w:r>
      <w:r w:rsidRPr="001D49D4">
        <w:rPr>
          <w:rtl/>
        </w:rPr>
        <w:t>.</w:t>
      </w:r>
    </w:p>
    <w:p w14:paraId="08C061B6" w14:textId="77777777" w:rsidR="001D49D4" w:rsidRPr="001D49D4" w:rsidRDefault="001D49D4" w:rsidP="0004348D">
      <w:pPr>
        <w:spacing w:before="360" w:after="240"/>
        <w:rPr>
          <w:rFonts w:ascii="Calibri" w:eastAsia="Calibri" w:hAnsi="Calibri" w:cs="Arial"/>
          <w:u w:val="single"/>
        </w:rPr>
      </w:pPr>
      <w:r w:rsidRPr="001D49D4">
        <w:rPr>
          <w:rFonts w:ascii="Calibri" w:eastAsia="Calibri" w:hAnsi="Calibri" w:cs="Arial"/>
          <w:u w:val="single"/>
          <w:rtl/>
        </w:rPr>
        <w:t>כיצד סומכין</w:t>
      </w:r>
      <w:r w:rsidRPr="001D49D4">
        <w:rPr>
          <w:rFonts w:ascii="Calibri" w:eastAsia="Calibri" w:hAnsi="Calibri" w:cs="Arial"/>
          <w:sz w:val="16"/>
          <w:szCs w:val="16"/>
          <w:u w:val="single"/>
          <w:rtl/>
        </w:rPr>
        <w:t xml:space="preserve"> (כותבי השטרות)</w:t>
      </w:r>
      <w:r w:rsidRPr="001D49D4">
        <w:rPr>
          <w:rFonts w:ascii="Calibri" w:eastAsia="Calibri" w:hAnsi="Calibri" w:cs="Arial"/>
          <w:u w:val="single"/>
          <w:rtl/>
        </w:rPr>
        <w:t xml:space="preserve"> הכתיבה אל המקום: </w:t>
      </w:r>
    </w:p>
    <w:p w14:paraId="5771341F" w14:textId="77777777" w:rsidR="001D49D4" w:rsidRPr="001D49D4" w:rsidRDefault="001D49D4" w:rsidP="0004348D">
      <w:pPr>
        <w:numPr>
          <w:ilvl w:val="0"/>
          <w:numId w:val="244"/>
        </w:numPr>
        <w:spacing w:before="360" w:after="240"/>
        <w:contextualSpacing/>
        <w:rPr>
          <w:rtl/>
        </w:rPr>
      </w:pPr>
      <w:r w:rsidRPr="001D49D4">
        <w:rPr>
          <w:rtl/>
        </w:rPr>
        <w:t xml:space="preserve">רשב"א </w:t>
      </w:r>
      <w:r w:rsidRPr="001D49D4">
        <w:rPr>
          <w:sz w:val="16"/>
          <w:szCs w:val="16"/>
          <w:rtl/>
        </w:rPr>
        <w:t>(קעב. ד"ה הא)</w:t>
      </w:r>
      <w:r w:rsidRPr="001D49D4">
        <w:rPr>
          <w:rtl/>
        </w:rPr>
        <w:t xml:space="preserve"> והה"מ </w:t>
      </w:r>
      <w:r w:rsidRPr="001D49D4">
        <w:rPr>
          <w:sz w:val="16"/>
          <w:szCs w:val="16"/>
          <w:rtl/>
        </w:rPr>
        <w:t>(פכ"ג ממלוה ה"ו)</w:t>
      </w:r>
      <w:r w:rsidRPr="001D49D4">
        <w:rPr>
          <w:rtl/>
        </w:rPr>
        <w:t>- כשכותב מקום הכתיבה ולא מקום שנמסרו להם הדברים כותבין 'כך אמר לנו פלוני וכתבנו במקום פלוני', אבל כשכותבים מקום שנמסרו להם הדברים</w:t>
      </w:r>
      <w:r w:rsidRPr="001D49D4">
        <w:rPr>
          <w:sz w:val="16"/>
          <w:szCs w:val="16"/>
          <w:rtl/>
        </w:rPr>
        <w:t xml:space="preserve"> {כגון שהמטבע שם שונה, וכמש"נ בסע' הבא}</w:t>
      </w:r>
      <w:r w:rsidRPr="001D49D4">
        <w:rPr>
          <w:rtl/>
        </w:rPr>
        <w:t xml:space="preserve"> כותבין 'כך אמר לנו פלוני או קנינו מפלוני במקום פלוני וכתבנו וחתמנו לפלוני'.</w:t>
      </w:r>
      <w:r w:rsidRPr="001D49D4">
        <w:rPr>
          <w:color w:val="E36C0A" w:themeColor="accent6" w:themeShade="BF"/>
          <w:rtl/>
        </w:rPr>
        <w:t xml:space="preserve"> (וכ"פ בשו"ע)</w:t>
      </w:r>
      <w:r w:rsidRPr="001D49D4">
        <w:rPr>
          <w:rtl/>
        </w:rPr>
        <w:t xml:space="preserve"> </w:t>
      </w:r>
    </w:p>
    <w:p w14:paraId="2CE95B29" w14:textId="77777777" w:rsidR="001D49D4" w:rsidRPr="001D49D4" w:rsidRDefault="001D49D4" w:rsidP="0004348D">
      <w:pPr>
        <w:spacing w:before="360" w:after="240"/>
        <w:rPr>
          <w:rFonts w:ascii="Calibri" w:eastAsia="Calibri" w:hAnsi="Calibri" w:cs="Arial"/>
          <w:u w:val="single"/>
        </w:rPr>
      </w:pPr>
      <w:r w:rsidRPr="001D49D4">
        <w:rPr>
          <w:rFonts w:ascii="Calibri" w:eastAsia="Calibri" w:hAnsi="Calibri" w:cs="Arial"/>
          <w:u w:val="single"/>
          <w:rtl/>
        </w:rPr>
        <w:t>עדים שכתבו שטר מאוחר במקום פלוני – האם חיישינן שביום החתימה יהיו במקום אלמוני:</w:t>
      </w:r>
      <w:r w:rsidRPr="001D49D4">
        <w:rPr>
          <w:rFonts w:ascii="Calibri" w:eastAsia="Calibri" w:hAnsi="Calibri" w:cs="Arial"/>
          <w:sz w:val="16"/>
          <w:szCs w:val="16"/>
          <w:rtl/>
        </w:rPr>
        <w:t xml:space="preserve">    (דרכ"מ אות ד)</w:t>
      </w:r>
    </w:p>
    <w:p w14:paraId="0F5AFBD4" w14:textId="77777777" w:rsidR="001D49D4" w:rsidRPr="001D49D4" w:rsidRDefault="001D49D4" w:rsidP="0004348D">
      <w:pPr>
        <w:numPr>
          <w:ilvl w:val="0"/>
          <w:numId w:val="243"/>
        </w:numPr>
        <w:spacing w:before="360" w:after="240"/>
        <w:contextualSpacing/>
      </w:pPr>
      <w:r w:rsidRPr="001D49D4">
        <w:rPr>
          <w:rtl/>
        </w:rPr>
        <w:t xml:space="preserve">ר"ן </w:t>
      </w:r>
      <w:r w:rsidRPr="001D49D4">
        <w:rPr>
          <w:sz w:val="16"/>
          <w:szCs w:val="16"/>
          <w:rtl/>
        </w:rPr>
        <w:t>(פרק הזורק מב. ד"ה גרסי')</w:t>
      </w:r>
      <w:r w:rsidRPr="001D49D4">
        <w:rPr>
          <w:rtl/>
        </w:rPr>
        <w:t>- אם אחרו השטר וכתבוהו ליכא למיחש שמא לא יהיו באותו זמן באותו העיר שכתבו בו השטר, דלספק מחזי כשיקרא לא חיישינן.</w:t>
      </w:r>
    </w:p>
    <w:p w14:paraId="307BB5E1" w14:textId="77777777" w:rsidR="001D49D4" w:rsidRPr="001D49D4" w:rsidRDefault="001D49D4" w:rsidP="0004348D">
      <w:pPr>
        <w:spacing w:before="360" w:after="240"/>
        <w:rPr>
          <w:rFonts w:ascii="Calibri" w:eastAsia="Calibri" w:hAnsi="Calibri" w:cs="Arial"/>
          <w:u w:val="single"/>
        </w:rPr>
      </w:pPr>
      <w:r w:rsidRPr="001D49D4">
        <w:rPr>
          <w:rFonts w:ascii="Calibri" w:eastAsia="Calibri" w:hAnsi="Calibri" w:cs="Arial"/>
          <w:u w:val="single"/>
          <w:rtl/>
        </w:rPr>
        <w:t>שני עיירות בתחום אחד – מה כותבים:</w:t>
      </w:r>
      <w:r w:rsidRPr="001D49D4">
        <w:rPr>
          <w:rFonts w:ascii="Calibri" w:eastAsia="Calibri" w:hAnsi="Calibri" w:cs="Arial"/>
          <w:sz w:val="16"/>
          <w:szCs w:val="16"/>
          <w:rtl/>
        </w:rPr>
        <w:t xml:space="preserve">   (דרכ"מ אות ד)</w:t>
      </w:r>
    </w:p>
    <w:p w14:paraId="14FD459E" w14:textId="77777777" w:rsidR="001D49D4" w:rsidRPr="001D49D4" w:rsidRDefault="001D49D4" w:rsidP="0004348D">
      <w:pPr>
        <w:numPr>
          <w:ilvl w:val="0"/>
          <w:numId w:val="243"/>
        </w:numPr>
        <w:spacing w:before="360" w:after="240"/>
        <w:contextualSpacing/>
      </w:pPr>
      <w:r w:rsidRPr="001D49D4">
        <w:rPr>
          <w:rtl/>
        </w:rPr>
        <w:t xml:space="preserve">ר"ן </w:t>
      </w:r>
      <w:r w:rsidRPr="001D49D4">
        <w:rPr>
          <w:sz w:val="16"/>
          <w:szCs w:val="16"/>
          <w:rtl/>
        </w:rPr>
        <w:t>(פרק אין צדין ביצה יד. ד"ה גרסינן)</w:t>
      </w:r>
      <w:r w:rsidRPr="001D49D4">
        <w:rPr>
          <w:rtl/>
        </w:rPr>
        <w:t xml:space="preserve">- אפילו שני עיירות בתחום אחד - אפילו הכי הוי שינוי מקום. (וכ"כ הסמ"ע </w:t>
      </w:r>
      <w:r w:rsidRPr="001D49D4">
        <w:rPr>
          <w:sz w:val="16"/>
          <w:szCs w:val="16"/>
          <w:rtl/>
        </w:rPr>
        <w:t>[סקמ"ב]</w:t>
      </w:r>
      <w:r w:rsidRPr="001D49D4">
        <w:rPr>
          <w:rtl/>
        </w:rPr>
        <w:t xml:space="preserve"> והאורים</w:t>
      </w:r>
      <w:r w:rsidRPr="001D49D4">
        <w:rPr>
          <w:sz w:val="16"/>
          <w:szCs w:val="16"/>
          <w:rtl/>
        </w:rPr>
        <w:t xml:space="preserve"> [סקנ"ד]</w:t>
      </w:r>
      <w:r w:rsidRPr="001D49D4">
        <w:rPr>
          <w:rtl/>
        </w:rPr>
        <w:t>)</w:t>
      </w:r>
    </w:p>
    <w:p w14:paraId="53647FCF" w14:textId="77777777" w:rsidR="001D49D4" w:rsidRPr="001D49D4" w:rsidRDefault="001D49D4" w:rsidP="0004348D">
      <w:pPr>
        <w:spacing w:before="360" w:after="240"/>
        <w:rPr>
          <w:rFonts w:ascii="Arial" w:eastAsia="Calibri" w:hAnsi="Arial" w:cs="Arial"/>
          <w:b/>
          <w:bCs/>
          <w:color w:val="000000"/>
          <w:sz w:val="28"/>
          <w:szCs w:val="28"/>
          <w:u w:val="single"/>
          <w:rtl/>
        </w:rPr>
      </w:pPr>
      <w:r w:rsidRPr="001D49D4">
        <w:rPr>
          <w:rFonts w:ascii="Arial" w:eastAsia="Calibri" w:hAnsi="Arial" w:cs="Arial"/>
          <w:b/>
          <w:bCs/>
          <w:color w:val="000000"/>
          <w:sz w:val="28"/>
          <w:szCs w:val="28"/>
          <w:u w:val="single"/>
          <w:rtl/>
        </w:rPr>
        <w:t>שו"ע:</w:t>
      </w:r>
    </w:p>
    <w:p w14:paraId="518817FE"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rtl/>
        </w:rPr>
        <w:t>מי שנמסרה להם עדות במדינה אחת וכתבו העדים במדינה אחרת, אין מזכירים בשטר מקום שנמסרה בו העדות אלא מקום שכתבו בו חתימת ידם. ודוקא כשאין כותבים זמן הקנין וכותבים זמן הכתיבה, אבל אם זוכרים זמן הקנין וכותבים אותו, אז יכתבו המקום שנעשה הקנין</w:t>
      </w:r>
      <w:r w:rsidRPr="001D49D4">
        <w:rPr>
          <w:rFonts w:ascii="Calibri" w:eastAsia="Calibri" w:hAnsi="Calibri" w:cs="Arial"/>
          <w:vertAlign w:val="superscript"/>
          <w:rtl/>
        </w:rPr>
        <w:footnoteReference w:id="3436"/>
      </w:r>
      <w:r w:rsidRPr="001D49D4">
        <w:rPr>
          <w:rFonts w:ascii="Calibri" w:eastAsia="Calibri" w:hAnsi="Calibri" w:cs="Arial"/>
          <w:rtl/>
        </w:rPr>
        <w:t>, שאם יכתבו מקום הכתיבה נמצאו משקרים ופסול</w:t>
      </w:r>
      <w:r w:rsidRPr="001D49D4">
        <w:rPr>
          <w:rFonts w:ascii="Calibri" w:eastAsia="Calibri" w:hAnsi="Calibri" w:cs="Arial"/>
          <w:vertAlign w:val="superscript"/>
          <w:rtl/>
        </w:rPr>
        <w:footnoteReference w:id="3437"/>
      </w:r>
      <w:r w:rsidRPr="001D49D4">
        <w:rPr>
          <w:rFonts w:ascii="Calibri" w:eastAsia="Calibri" w:hAnsi="Calibri" w:cs="Arial"/>
          <w:rtl/>
        </w:rPr>
        <w:t xml:space="preserve">. וכשכותבים מקום הכתיבה כותבים כך 'אמר לנו פלוני, וכתבנו במקום פלוני'. אבל כשכותבים מקום שנמסרו הדברים כותבים 'אמר לנו פלוני או קנינו מפלוני במקום פלוני וכתבנו וחתמנו ומסרנו לפלוני'. </w:t>
      </w:r>
      <w:r w:rsidRPr="001D49D4">
        <w:rPr>
          <w:rFonts w:ascii="Calibri" w:eastAsia="Calibri" w:hAnsi="Calibri" w:cs="Arial"/>
          <w:sz w:val="18"/>
          <w:szCs w:val="18"/>
          <w:vertAlign w:val="superscript"/>
          <w:rtl/>
        </w:rPr>
        <w:footnoteReference w:id="3438"/>
      </w:r>
      <w:r w:rsidRPr="001D49D4">
        <w:rPr>
          <w:rFonts w:ascii="Calibri" w:eastAsia="Calibri" w:hAnsi="Calibri" w:cs="Arial"/>
          <w:sz w:val="18"/>
          <w:szCs w:val="18"/>
          <w:rtl/>
        </w:rPr>
        <w:t>[הגה] מיהו אם כתבו סתמא 'במקום פלוני קנינו מפלוני', לא מיחזי כשיקרא</w:t>
      </w:r>
      <w:r w:rsidRPr="001D49D4">
        <w:rPr>
          <w:rFonts w:ascii="Calibri" w:eastAsia="Calibri" w:hAnsi="Calibri" w:cs="Arial"/>
          <w:sz w:val="18"/>
          <w:szCs w:val="18"/>
          <w:vertAlign w:val="superscript"/>
          <w:rtl/>
        </w:rPr>
        <w:footnoteReference w:id="3439"/>
      </w:r>
      <w:r w:rsidRPr="001D49D4">
        <w:rPr>
          <w:rFonts w:ascii="Calibri" w:eastAsia="Calibri" w:hAnsi="Calibri" w:cs="Arial"/>
          <w:sz w:val="18"/>
          <w:szCs w:val="18"/>
          <w:rtl/>
        </w:rPr>
        <w:t>.</w:t>
      </w:r>
    </w:p>
    <w:p w14:paraId="6D0D4569" w14:textId="77777777" w:rsidR="001D49D4" w:rsidRPr="001D49D4" w:rsidRDefault="001D49D4" w:rsidP="0004348D">
      <w:pPr>
        <w:spacing w:before="360" w:after="240"/>
        <w:rPr>
          <w:rFonts w:ascii="Calibri" w:eastAsia="Calibri" w:hAnsi="Calibri" w:cs="Arial"/>
          <w:rtl/>
        </w:rPr>
      </w:pPr>
    </w:p>
    <w:p w14:paraId="312CBAB1" w14:textId="77777777" w:rsidR="001D49D4" w:rsidRPr="001D49D4" w:rsidRDefault="001D49D4" w:rsidP="0004348D">
      <w:pPr>
        <w:keepNext/>
        <w:keepLines/>
        <w:spacing w:before="360" w:after="240"/>
        <w:outlineLvl w:val="1"/>
        <w:rPr>
          <w:rFonts w:ascii="Cambria" w:eastAsia="Times New Roman" w:hAnsi="Cambria" w:cs="Arial"/>
          <w:bCs/>
          <w:color w:val="548DD4" w:themeColor="text2" w:themeTint="99"/>
          <w:sz w:val="26"/>
          <w:szCs w:val="26"/>
          <w:rtl/>
        </w:rPr>
      </w:pPr>
      <w:bookmarkStart w:id="452" w:name="_Toc24883889"/>
      <w:r w:rsidRPr="001D49D4">
        <w:rPr>
          <w:rFonts w:ascii="Cambria" w:eastAsia="Times New Roman" w:hAnsi="Cambria" w:cs="Arial"/>
          <w:bCs/>
          <w:color w:val="548DD4" w:themeColor="text2" w:themeTint="99"/>
          <w:sz w:val="26"/>
          <w:szCs w:val="26"/>
          <w:rtl/>
        </w:rPr>
        <w:t>סעיף כא: במקום מסירת העדות/הקנין יוצא מטבע אחד, ובמקום הכתיבה יוצא מטבע אחר.</w:t>
      </w:r>
      <w:bookmarkEnd w:id="452"/>
    </w:p>
    <w:p w14:paraId="1C02E15C" w14:textId="77777777" w:rsidR="001D49D4" w:rsidRPr="001D49D4" w:rsidRDefault="001D49D4" w:rsidP="0004348D">
      <w:pPr>
        <w:spacing w:before="360" w:after="240"/>
        <w:rPr>
          <w:rFonts w:ascii="Calibri" w:eastAsia="Calibri" w:hAnsi="Calibri" w:cs="Arial"/>
          <w:u w:val="single"/>
          <w:rtl/>
        </w:rPr>
      </w:pPr>
      <w:r w:rsidRPr="001D49D4">
        <w:rPr>
          <w:rFonts w:ascii="Calibri" w:eastAsia="Calibri" w:hAnsi="Calibri" w:cs="Arial"/>
          <w:u w:val="single"/>
          <w:rtl/>
        </w:rPr>
        <w:t>במקום מסירת העדות/הקנין יוצא מטבע אחד, ובמקום הכתיבה יוצא מטבע אחר – כיצד כותבים:</w:t>
      </w:r>
    </w:p>
    <w:p w14:paraId="358C3DB8" w14:textId="77777777" w:rsidR="001D49D4" w:rsidRPr="001D49D4" w:rsidRDefault="001D49D4" w:rsidP="0004348D">
      <w:pPr>
        <w:numPr>
          <w:ilvl w:val="0"/>
          <w:numId w:val="243"/>
        </w:numPr>
        <w:spacing w:before="360" w:after="240"/>
        <w:contextualSpacing/>
        <w:rPr>
          <w:rtl/>
        </w:rPr>
      </w:pPr>
      <w:r w:rsidRPr="001D49D4">
        <w:rPr>
          <w:rtl/>
        </w:rPr>
        <w:t xml:space="preserve">רמ"ה </w:t>
      </w:r>
      <w:r w:rsidRPr="001D49D4">
        <w:rPr>
          <w:sz w:val="16"/>
          <w:szCs w:val="16"/>
          <w:rtl/>
        </w:rPr>
        <w:t>(הביאו הטור)</w:t>
      </w:r>
      <w:r w:rsidRPr="001D49D4">
        <w:rPr>
          <w:rtl/>
        </w:rPr>
        <w:t xml:space="preserve">- הא דאמרינן שכותבין מקום הכתיבה אע"פ שקנו במקום אחר - דוקא שאין המטבע משתנה ממקום הקנין למקום הכתיבה, או אפילו אם משתנה ובלבד שכתוב בשטר המטבע שיוצאה במקום פלוני, אבל אם המטבע משתנה ממקום המסירה למקום הכתיבה ואין כתוב בשטר 'המטבע היוצא במקום פלוני' - </w:t>
      </w:r>
      <w:r w:rsidRPr="001D49D4">
        <w:rPr>
          <w:rtl/>
        </w:rPr>
        <w:lastRenderedPageBreak/>
        <w:t>אין להם לכתוב אלא המקום שמסרו להם הדברים שם, שמטבע אותו מקום נשתעבד, ואם יכתבו מקום אחר היה משתעבד ממטבע היוצא במקום כתיבת השטר</w:t>
      </w:r>
      <w:r w:rsidRPr="001D49D4">
        <w:rPr>
          <w:vertAlign w:val="superscript"/>
          <w:rtl/>
        </w:rPr>
        <w:footnoteReference w:id="3440"/>
      </w:r>
      <w:r w:rsidRPr="001D49D4">
        <w:rPr>
          <w:rtl/>
        </w:rPr>
        <w:t xml:space="preserve">. </w:t>
      </w:r>
      <w:r w:rsidRPr="001D49D4">
        <w:rPr>
          <w:color w:val="E36C0A" w:themeColor="accent6" w:themeShade="BF"/>
          <w:rtl/>
        </w:rPr>
        <w:t>(וכ"פ בשו"ע)</w:t>
      </w:r>
    </w:p>
    <w:p w14:paraId="602897A1" w14:textId="77777777" w:rsidR="001D49D4" w:rsidRPr="001D49D4" w:rsidRDefault="001D49D4" w:rsidP="0004348D">
      <w:pPr>
        <w:spacing w:before="360" w:after="240"/>
        <w:rPr>
          <w:rFonts w:ascii="Arial" w:eastAsia="Calibri" w:hAnsi="Arial" w:cs="Arial"/>
          <w:b/>
          <w:bCs/>
          <w:color w:val="000000"/>
          <w:sz w:val="28"/>
          <w:szCs w:val="28"/>
          <w:u w:val="single"/>
          <w:rtl/>
        </w:rPr>
      </w:pPr>
      <w:r w:rsidRPr="001D49D4">
        <w:rPr>
          <w:rFonts w:ascii="Arial" w:eastAsia="Calibri" w:hAnsi="Arial" w:cs="Arial"/>
          <w:b/>
          <w:bCs/>
          <w:color w:val="000000"/>
          <w:sz w:val="28"/>
          <w:szCs w:val="28"/>
          <w:u w:val="single"/>
          <w:rtl/>
        </w:rPr>
        <w:t>שו"ע:</w:t>
      </w:r>
    </w:p>
    <w:p w14:paraId="104DE8E3"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rtl/>
        </w:rPr>
        <w:t>הא דאמרינן שכותבים מקום הכתיבה אף על פי שקנו במקום אחר, דוקא שאין המטבע משתנה ממקום הקנין למקום הכתיבה, או אפילו אם משתנה ובלבד שכתוב בשטר המטבע שיוצא במקום פלוני. אבל אם המטבע משתנה ממקום המסירה למקום הכתיבה ואין כתוב בשטר [מטבע]</w:t>
      </w:r>
      <w:r w:rsidRPr="001D49D4">
        <w:rPr>
          <w:rFonts w:ascii="Calibri" w:eastAsia="Calibri" w:hAnsi="Calibri" w:cs="Arial"/>
          <w:vertAlign w:val="superscript"/>
          <w:rtl/>
        </w:rPr>
        <w:footnoteReference w:id="3441"/>
      </w:r>
      <w:r w:rsidRPr="001D49D4">
        <w:rPr>
          <w:rFonts w:ascii="Calibri" w:eastAsia="Calibri" w:hAnsi="Calibri" w:cs="Arial"/>
          <w:rtl/>
        </w:rPr>
        <w:t xml:space="preserve"> היוצא במקום פלוני, לא יכתבו אלא שם מקום שמסרו הדברים שם</w:t>
      </w:r>
      <w:r w:rsidRPr="001D49D4">
        <w:rPr>
          <w:rFonts w:ascii="Calibri" w:eastAsia="Calibri" w:hAnsi="Calibri" w:cs="Arial"/>
          <w:vertAlign w:val="superscript"/>
          <w:rtl/>
        </w:rPr>
        <w:footnoteReference w:id="3442"/>
      </w:r>
      <w:r w:rsidRPr="001D49D4">
        <w:rPr>
          <w:rFonts w:ascii="Calibri" w:eastAsia="Calibri" w:hAnsi="Calibri" w:cs="Arial"/>
          <w:rtl/>
        </w:rPr>
        <w:t xml:space="preserve">, שמטבע אותו מקום נשתעבד, ואם יכתבו מקום אחר היה משתעבד ממטבע היוצא במקום כתיבת השטר. </w:t>
      </w:r>
    </w:p>
    <w:p w14:paraId="17EC0770" w14:textId="77777777" w:rsidR="001D49D4" w:rsidRPr="001D49D4" w:rsidRDefault="001D49D4" w:rsidP="0004348D">
      <w:pPr>
        <w:spacing w:before="360" w:after="240"/>
        <w:rPr>
          <w:rFonts w:ascii="Calibri" w:eastAsia="Calibri" w:hAnsi="Calibri" w:cs="Arial"/>
          <w:rtl/>
        </w:rPr>
      </w:pPr>
    </w:p>
    <w:p w14:paraId="54E6054A" w14:textId="77777777" w:rsidR="001D49D4" w:rsidRPr="001D49D4" w:rsidRDefault="001D49D4" w:rsidP="0004348D">
      <w:pPr>
        <w:keepNext/>
        <w:keepLines/>
        <w:spacing w:before="360" w:after="240"/>
        <w:outlineLvl w:val="1"/>
        <w:rPr>
          <w:rFonts w:ascii="Cambria" w:eastAsia="Times New Roman" w:hAnsi="Cambria" w:cs="Arial"/>
          <w:bCs/>
          <w:color w:val="548DD4" w:themeColor="text2" w:themeTint="99"/>
          <w:sz w:val="26"/>
          <w:szCs w:val="26"/>
          <w:rtl/>
        </w:rPr>
      </w:pPr>
      <w:bookmarkStart w:id="453" w:name="_Toc24883890"/>
      <w:r w:rsidRPr="001D49D4">
        <w:rPr>
          <w:rFonts w:ascii="Cambria" w:eastAsia="Times New Roman" w:hAnsi="Cambria" w:cs="Arial"/>
          <w:bCs/>
          <w:color w:val="548DD4" w:themeColor="text2" w:themeTint="99"/>
          <w:sz w:val="26"/>
          <w:szCs w:val="26"/>
          <w:rtl/>
        </w:rPr>
        <w:t>סעיף כב: שטר שלא כתוב בו מקום הכתיבה.</w:t>
      </w:r>
      <w:bookmarkEnd w:id="453"/>
    </w:p>
    <w:p w14:paraId="1765CB2A"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b/>
          <w:bCs/>
          <w:rtl/>
        </w:rPr>
        <w:t xml:space="preserve">כתובות </w:t>
      </w:r>
      <w:r w:rsidRPr="001D49D4">
        <w:rPr>
          <w:rFonts w:ascii="Calibri" w:eastAsia="Calibri" w:hAnsi="Calibri" w:cs="Arial"/>
          <w:b/>
          <w:bCs/>
          <w:sz w:val="16"/>
          <w:szCs w:val="16"/>
          <w:rtl/>
        </w:rPr>
        <w:t xml:space="preserve">(פרק בתרא) </w:t>
      </w:r>
      <w:r w:rsidRPr="001D49D4">
        <w:rPr>
          <w:rFonts w:ascii="Calibri" w:eastAsia="Calibri" w:hAnsi="Calibri" w:cs="Arial"/>
          <w:b/>
          <w:bCs/>
          <w:rtl/>
        </w:rPr>
        <w:t>קי</w:t>
      </w:r>
      <w:r w:rsidRPr="001D49D4">
        <w:rPr>
          <w:rFonts w:ascii="Calibri" w:eastAsia="Calibri" w:hAnsi="Calibri" w:cs="Arial"/>
          <w:b/>
          <w:bCs/>
          <w:vertAlign w:val="superscript"/>
          <w:rtl/>
        </w:rPr>
        <w:footnoteReference w:id="3443"/>
      </w:r>
      <w:r w:rsidRPr="001D49D4">
        <w:rPr>
          <w:rFonts w:ascii="Calibri" w:eastAsia="Calibri" w:hAnsi="Calibri" w:cs="Arial"/>
          <w:b/>
          <w:bCs/>
          <w:rtl/>
        </w:rPr>
        <w:t xml:space="preserve"> ע"ב:</w:t>
      </w:r>
      <w:r w:rsidRPr="001D49D4">
        <w:rPr>
          <w:rFonts w:ascii="Calibri" w:eastAsia="Calibri" w:hAnsi="Calibri" w:cs="Arial"/>
          <w:rtl/>
        </w:rPr>
        <w:t xml:space="preserve"> תנו רבנן: המוציא שטר חוב על חבירו, כתוב בו בבל - מגבהו ממעות בבל, כתוב בו ארץ ישראל - מגבהו ממעות ארץ ישראל; כתוב בו סתם, הוציאו בבבל - מגבהו ממעות בבל, הוציאו בארץ ישראל - מגבהו ממעות ארץ ישראל. </w:t>
      </w:r>
      <w:r w:rsidRPr="001D49D4">
        <w:rPr>
          <w:rFonts w:ascii="Calibri" w:eastAsia="Calibri" w:hAnsi="Calibri" w:cs="Arial"/>
          <w:sz w:val="16"/>
          <w:szCs w:val="16"/>
          <w:rtl/>
        </w:rPr>
        <w:t>(משמע דשטר שאין כתוב בו מקום שנכתב בו כשר, וכ"כ הרמב"ם (פי"ז מהל' מלוה ה"ט) וכ"כ רבינו בסימן ס"א (ס"ד) בשם הרא"ש (שו"ת כלל סח סי' ה), וכ"כ רי"ו (נ"ד ח"ב שם), ב"י)</w:t>
      </w:r>
    </w:p>
    <w:p w14:paraId="372FD796" w14:textId="77777777" w:rsidR="001D49D4" w:rsidRPr="001D49D4" w:rsidRDefault="001D49D4" w:rsidP="0004348D">
      <w:pPr>
        <w:spacing w:before="360" w:after="240"/>
        <w:rPr>
          <w:rFonts w:ascii="Arial" w:eastAsia="Calibri" w:hAnsi="Arial" w:cs="Arial"/>
          <w:b/>
          <w:bCs/>
          <w:color w:val="000000"/>
          <w:sz w:val="28"/>
          <w:szCs w:val="28"/>
          <w:u w:val="single"/>
          <w:rtl/>
        </w:rPr>
      </w:pPr>
      <w:r w:rsidRPr="001D49D4">
        <w:rPr>
          <w:rFonts w:ascii="Arial" w:eastAsia="Calibri" w:hAnsi="Arial" w:cs="Arial"/>
          <w:b/>
          <w:bCs/>
          <w:color w:val="000000"/>
          <w:sz w:val="28"/>
          <w:szCs w:val="28"/>
          <w:u w:val="single"/>
          <w:rtl/>
        </w:rPr>
        <w:t>שו"ע:</w:t>
      </w:r>
    </w:p>
    <w:p w14:paraId="416E5A5A"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rtl/>
        </w:rPr>
        <w:t>שטר שאין כתוב בו מקום שנכתב בו, כשר</w:t>
      </w:r>
      <w:r w:rsidRPr="001D49D4">
        <w:rPr>
          <w:rFonts w:ascii="Calibri" w:eastAsia="Calibri" w:hAnsi="Calibri" w:cs="Arial"/>
          <w:vertAlign w:val="superscript"/>
          <w:rtl/>
        </w:rPr>
        <w:footnoteReference w:id="3444"/>
      </w:r>
      <w:r w:rsidRPr="001D49D4">
        <w:rPr>
          <w:rFonts w:ascii="Calibri" w:eastAsia="Calibri" w:hAnsi="Calibri" w:cs="Arial"/>
          <w:rtl/>
        </w:rPr>
        <w:t xml:space="preserve">. </w:t>
      </w:r>
    </w:p>
    <w:p w14:paraId="418D05C3" w14:textId="77777777" w:rsidR="001D49D4" w:rsidRPr="001D49D4" w:rsidRDefault="001D49D4" w:rsidP="0004348D">
      <w:pPr>
        <w:spacing w:before="360" w:after="240"/>
        <w:rPr>
          <w:rFonts w:ascii="Calibri" w:eastAsia="Calibri" w:hAnsi="Calibri" w:cs="Arial"/>
          <w:rtl/>
        </w:rPr>
      </w:pPr>
    </w:p>
    <w:p w14:paraId="5A22E63A" w14:textId="77777777" w:rsidR="001D49D4" w:rsidRPr="001D49D4" w:rsidRDefault="001D49D4" w:rsidP="0004348D">
      <w:pPr>
        <w:keepNext/>
        <w:keepLines/>
        <w:spacing w:before="360" w:after="240"/>
        <w:outlineLvl w:val="1"/>
        <w:rPr>
          <w:rFonts w:ascii="Cambria" w:eastAsia="Times New Roman" w:hAnsi="Cambria" w:cs="Arial"/>
          <w:bCs/>
          <w:color w:val="548DD4" w:themeColor="text2" w:themeTint="99"/>
          <w:sz w:val="26"/>
          <w:szCs w:val="26"/>
          <w:rtl/>
        </w:rPr>
      </w:pPr>
      <w:bookmarkStart w:id="454" w:name="_Toc24883891"/>
      <w:r w:rsidRPr="001D49D4">
        <w:rPr>
          <w:rFonts w:ascii="Cambria" w:eastAsia="Times New Roman" w:hAnsi="Cambria" w:cs="Arial"/>
          <w:bCs/>
          <w:color w:val="548DD4" w:themeColor="text2" w:themeTint="99"/>
          <w:sz w:val="26"/>
          <w:szCs w:val="26"/>
          <w:rtl/>
        </w:rPr>
        <w:t>סעיף כג: ב' אנשים ולכל א' שטר על לוי, בא' כתוב ה' בניסן ובא' בניסן סתם, וללוי שדה א'.</w:t>
      </w:r>
      <w:bookmarkEnd w:id="454"/>
      <w:r w:rsidRPr="001D49D4">
        <w:rPr>
          <w:rFonts w:ascii="Cambria" w:eastAsia="Times New Roman" w:hAnsi="Cambria" w:cs="Arial"/>
          <w:bCs/>
          <w:color w:val="548DD4" w:themeColor="text2" w:themeTint="99"/>
          <w:sz w:val="26"/>
          <w:szCs w:val="26"/>
          <w:rtl/>
        </w:rPr>
        <w:t xml:space="preserve"> </w:t>
      </w:r>
    </w:p>
    <w:p w14:paraId="07E7177D"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b/>
          <w:bCs/>
          <w:rtl/>
        </w:rPr>
        <w:t xml:space="preserve">כתובות </w:t>
      </w:r>
      <w:r w:rsidRPr="001D49D4">
        <w:rPr>
          <w:rFonts w:ascii="Calibri" w:eastAsia="Calibri" w:hAnsi="Calibri" w:cs="Arial"/>
          <w:b/>
          <w:bCs/>
          <w:sz w:val="16"/>
          <w:szCs w:val="16"/>
          <w:rtl/>
        </w:rPr>
        <w:t xml:space="preserve">(פרק מי שהיה נשוי) </w:t>
      </w:r>
      <w:r w:rsidRPr="001D49D4">
        <w:rPr>
          <w:rFonts w:ascii="Calibri" w:eastAsia="Calibri" w:hAnsi="Calibri" w:cs="Arial"/>
          <w:b/>
          <w:bCs/>
          <w:rtl/>
        </w:rPr>
        <w:t>צד</w:t>
      </w:r>
      <w:r w:rsidRPr="001D49D4">
        <w:rPr>
          <w:rFonts w:ascii="Calibri" w:eastAsia="Calibri" w:hAnsi="Calibri" w:cs="Arial"/>
          <w:b/>
          <w:bCs/>
          <w:vertAlign w:val="superscript"/>
          <w:rtl/>
        </w:rPr>
        <w:footnoteReference w:id="3445"/>
      </w:r>
      <w:r w:rsidRPr="001D49D4">
        <w:rPr>
          <w:rFonts w:ascii="Calibri" w:eastAsia="Calibri" w:hAnsi="Calibri" w:cs="Arial"/>
          <w:b/>
          <w:bCs/>
          <w:rtl/>
        </w:rPr>
        <w:t xml:space="preserve"> ע"ב: </w:t>
      </w:r>
      <w:r w:rsidRPr="001D49D4">
        <w:rPr>
          <w:rFonts w:ascii="Calibri" w:eastAsia="Calibri" w:hAnsi="Calibri" w:cs="Arial"/>
          <w:rtl/>
        </w:rPr>
        <w:t>הנהו תרי שטרי</w:t>
      </w:r>
      <w:r w:rsidRPr="001D49D4">
        <w:rPr>
          <w:rFonts w:ascii="Calibri" w:eastAsia="Calibri" w:hAnsi="Calibri" w:cs="Arial"/>
          <w:vertAlign w:val="superscript"/>
          <w:rtl/>
        </w:rPr>
        <w:footnoteReference w:id="3446"/>
      </w:r>
      <w:r w:rsidRPr="001D49D4">
        <w:rPr>
          <w:rFonts w:ascii="Calibri" w:eastAsia="Calibri" w:hAnsi="Calibri" w:cs="Arial"/>
          <w:rtl/>
        </w:rPr>
        <w:t xml:space="preserve"> דאתו לקמיה דרב יוסף, חד הוה כתוב בחמשא בניסן, וחד הוה כתוב ביה בניסן סתמא, אוקמיה רב יוסף לההוא דחמשא בניסן בנכסים. אמר ליה אידך: ואנא אפסיד? אמר ליה: את ידך על התחתונה, אימא בר כ"ט בניסן את. א"ל: ונכתוב לי מר </w:t>
      </w:r>
      <w:r w:rsidRPr="001D49D4">
        <w:rPr>
          <w:rFonts w:ascii="Calibri" w:eastAsia="Calibri" w:hAnsi="Calibri" w:cs="Arial"/>
          <w:sz w:val="14"/>
          <w:szCs w:val="14"/>
          <w:rtl/>
        </w:rPr>
        <w:t>(צה.)</w:t>
      </w:r>
      <w:r w:rsidRPr="001D49D4">
        <w:rPr>
          <w:rFonts w:ascii="Calibri" w:eastAsia="Calibri" w:hAnsi="Calibri" w:cs="Arial"/>
          <w:rtl/>
        </w:rPr>
        <w:t xml:space="preserve"> טירפא מאייר ואילך! א"ל: יכלי למימר לך את בר חד בניסן את. מאי תקנתיה? נכתבו הרשאה להדדי.</w:t>
      </w:r>
    </w:p>
    <w:p w14:paraId="477CD6C6" w14:textId="77777777" w:rsidR="001D49D4" w:rsidRPr="001D49D4" w:rsidRDefault="001D49D4" w:rsidP="0004348D">
      <w:pPr>
        <w:spacing w:before="360" w:after="240"/>
        <w:rPr>
          <w:rFonts w:ascii="Calibri" w:eastAsia="Calibri" w:hAnsi="Calibri" w:cs="Arial"/>
          <w:u w:val="single"/>
          <w:rtl/>
        </w:rPr>
      </w:pPr>
      <w:r w:rsidRPr="001D49D4">
        <w:rPr>
          <w:rFonts w:ascii="Calibri" w:eastAsia="Calibri" w:hAnsi="Calibri" w:cs="Arial"/>
          <w:u w:val="single"/>
          <w:rtl/>
        </w:rPr>
        <w:t xml:space="preserve">שני אנשים שלכל אחד יש שטר על לוי, בשטר אחד כתוב ה' בניסן ובשני ניסן סתם, ואין ללוי אלא שדה אחת: </w:t>
      </w:r>
    </w:p>
    <w:p w14:paraId="1B4844E5" w14:textId="77777777" w:rsidR="001D49D4" w:rsidRPr="001D49D4" w:rsidRDefault="001D49D4" w:rsidP="0004348D">
      <w:pPr>
        <w:numPr>
          <w:ilvl w:val="0"/>
          <w:numId w:val="243"/>
        </w:numPr>
        <w:spacing w:before="360" w:after="240"/>
        <w:contextualSpacing/>
        <w:rPr>
          <w:rtl/>
        </w:rPr>
      </w:pPr>
      <w:r w:rsidRPr="001D49D4">
        <w:rPr>
          <w:rtl/>
        </w:rPr>
        <w:t xml:space="preserve">טור- ראובן ושמעון שיש לכל אחד מהם שטר על לוי, בשל ראובן כתוב בה' בניסן ובשל שמעון כתוב בניסן סתם, ואין ללוי אלא שדה אחת שאין בה כדי חובות שניהם, נותנין אותה לראובן דשמא שטרו דשמעון היה בסוף ניסן, וכן אין שמעון יכול לטרוף מלקוחות שקנו מלוי מאייר ואילך, שיאמרו לו זמנך מאחד בניסן והנחנו לך מקום לגבות חובך והוא אותו שדה שגבה ראובן כי שלא כדין גבה שאתה מוקדם לו, לפיכך אם יכתבו הרשאה זה לזה - יגבו מהלקוחות שקנו מאייר ואילך. </w:t>
      </w:r>
      <w:r w:rsidRPr="001D49D4">
        <w:rPr>
          <w:color w:val="E36C0A" w:themeColor="accent6" w:themeShade="BF"/>
          <w:rtl/>
        </w:rPr>
        <w:t>(וכ"פ בשו"ע)</w:t>
      </w:r>
    </w:p>
    <w:p w14:paraId="3E87CC4C" w14:textId="77777777" w:rsidR="001D49D4" w:rsidRPr="001D49D4" w:rsidRDefault="001D49D4" w:rsidP="0004348D">
      <w:pPr>
        <w:spacing w:before="360" w:after="240"/>
        <w:rPr>
          <w:rFonts w:ascii="Arial" w:eastAsia="Calibri" w:hAnsi="Arial" w:cs="Arial"/>
          <w:b/>
          <w:bCs/>
          <w:color w:val="000000"/>
          <w:sz w:val="28"/>
          <w:szCs w:val="28"/>
          <w:u w:val="single"/>
          <w:rtl/>
        </w:rPr>
      </w:pPr>
      <w:r w:rsidRPr="001D49D4">
        <w:rPr>
          <w:rFonts w:ascii="Arial" w:eastAsia="Calibri" w:hAnsi="Arial" w:cs="Arial"/>
          <w:b/>
          <w:bCs/>
          <w:color w:val="000000"/>
          <w:sz w:val="28"/>
          <w:szCs w:val="28"/>
          <w:u w:val="single"/>
          <w:rtl/>
        </w:rPr>
        <w:lastRenderedPageBreak/>
        <w:t>שו"ע:</w:t>
      </w:r>
    </w:p>
    <w:p w14:paraId="7AB567E8"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rtl/>
        </w:rPr>
        <w:t>ראובן ושמעון שיש לכל אחד מהם שטר על לוי, בשל ראובן כתוב בחמש</w:t>
      </w:r>
      <w:r w:rsidRPr="001D49D4">
        <w:rPr>
          <w:rFonts w:ascii="Calibri" w:eastAsia="Calibri" w:hAnsi="Calibri" w:cs="Arial"/>
          <w:vertAlign w:val="superscript"/>
          <w:rtl/>
        </w:rPr>
        <w:footnoteReference w:id="3447"/>
      </w:r>
      <w:r w:rsidRPr="001D49D4">
        <w:rPr>
          <w:rFonts w:ascii="Calibri" w:eastAsia="Calibri" w:hAnsi="Calibri" w:cs="Arial"/>
          <w:rtl/>
        </w:rPr>
        <w:t xml:space="preserve"> בניסן, ובשל שמעון כתוב בניסן סתם, ואין ללוי אלא שדה אחת שאין בה כדי חובות שניהם, נותנים אותה לראובן, דשמא שטרו של שמעון היה בסוף ניסן. וכן אין שמעון יכול לטרוף מלקוחות שקנו מלוי מאייר ואילך, שיאמרו לו זמנך מאחד בניסן והנחנו לך מקום לגבות חובך והוא אותו שדה שגבה ראובן, כי שלא כדין גבה, שאתה מוקדם לו. לפיכך אם יכתבו הרשאה זה לזה, יגבו מלקוחות שקנו מאייר ואילך</w:t>
      </w:r>
      <w:r w:rsidRPr="001D49D4">
        <w:rPr>
          <w:rFonts w:ascii="Calibri" w:eastAsia="Calibri" w:hAnsi="Calibri" w:cs="Arial"/>
          <w:vertAlign w:val="superscript"/>
          <w:rtl/>
        </w:rPr>
        <w:footnoteReference w:id="3448"/>
      </w:r>
      <w:r w:rsidRPr="001D49D4">
        <w:rPr>
          <w:rFonts w:ascii="Calibri" w:eastAsia="Calibri" w:hAnsi="Calibri" w:cs="Arial"/>
          <w:rtl/>
        </w:rPr>
        <w:t xml:space="preserve">. </w:t>
      </w:r>
    </w:p>
    <w:p w14:paraId="1C60297E" w14:textId="77777777" w:rsidR="001D49D4" w:rsidRPr="001D49D4" w:rsidRDefault="001D49D4" w:rsidP="0004348D">
      <w:pPr>
        <w:spacing w:before="360" w:after="240"/>
        <w:rPr>
          <w:rFonts w:ascii="Calibri" w:eastAsia="Calibri" w:hAnsi="Calibri" w:cs="Arial"/>
          <w:rtl/>
        </w:rPr>
      </w:pPr>
    </w:p>
    <w:p w14:paraId="30248424" w14:textId="77777777" w:rsidR="001D49D4" w:rsidRPr="001D49D4" w:rsidRDefault="001D49D4" w:rsidP="0004348D">
      <w:pPr>
        <w:keepNext/>
        <w:keepLines/>
        <w:spacing w:before="360" w:after="240"/>
        <w:outlineLvl w:val="1"/>
        <w:rPr>
          <w:rFonts w:ascii="Cambria" w:eastAsia="Times New Roman" w:hAnsi="Cambria" w:cs="Arial"/>
          <w:bCs/>
          <w:color w:val="548DD4" w:themeColor="text2" w:themeTint="99"/>
          <w:sz w:val="26"/>
          <w:szCs w:val="26"/>
          <w:rtl/>
        </w:rPr>
      </w:pPr>
      <w:bookmarkStart w:id="455" w:name="_Toc24883892"/>
      <w:r w:rsidRPr="001D49D4">
        <w:rPr>
          <w:rFonts w:ascii="Cambria" w:eastAsia="Times New Roman" w:hAnsi="Cambria" w:cs="Arial"/>
          <w:bCs/>
          <w:color w:val="548DD4" w:themeColor="text2" w:themeTint="99"/>
          <w:sz w:val="26"/>
          <w:szCs w:val="26"/>
          <w:rtl/>
        </w:rPr>
        <w:t>סעיף כד: שובר שלא הזכר בו עדי השטר ולא זמנו.</w:t>
      </w:r>
      <w:bookmarkEnd w:id="455"/>
    </w:p>
    <w:p w14:paraId="03EE29DB"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u w:val="single"/>
          <w:rtl/>
        </w:rPr>
        <w:t>שובר שלא הוזכר בו לא עדי השטר ולא זמנו:</w:t>
      </w:r>
    </w:p>
    <w:p w14:paraId="62C862B1" w14:textId="77777777" w:rsidR="001D49D4" w:rsidRPr="001D49D4" w:rsidRDefault="001D49D4" w:rsidP="0004348D">
      <w:pPr>
        <w:numPr>
          <w:ilvl w:val="0"/>
          <w:numId w:val="243"/>
        </w:numPr>
        <w:spacing w:before="360" w:after="240"/>
        <w:contextualSpacing/>
        <w:rPr>
          <w:rtl/>
        </w:rPr>
      </w:pPr>
      <w:r w:rsidRPr="001D49D4">
        <w:rPr>
          <w:rtl/>
        </w:rPr>
        <w:t xml:space="preserve">רא"ש </w:t>
      </w:r>
      <w:r w:rsidRPr="001D49D4">
        <w:rPr>
          <w:sz w:val="16"/>
          <w:szCs w:val="16"/>
          <w:rtl/>
        </w:rPr>
        <w:t>(כלל עו סי' א)</w:t>
      </w:r>
      <w:r w:rsidRPr="001D49D4">
        <w:rPr>
          <w:rtl/>
        </w:rPr>
        <w:t xml:space="preserve">- השובר כשר אע"פ שלא הוזכר בו לא עדי השטר ולא זמנו, כיון שסכום המעות של השטר והשובר שוים ממילא אמרינן שהשובר נכתב על אותו שטר, דיד בעל השטר על התחתונה </w:t>
      </w:r>
      <w:r w:rsidRPr="001D49D4">
        <w:rPr>
          <w:sz w:val="16"/>
          <w:szCs w:val="16"/>
          <w:rtl/>
        </w:rPr>
        <w:t xml:space="preserve">(ב"ב קסז.) </w:t>
      </w:r>
      <w:r w:rsidRPr="001D49D4">
        <w:rPr>
          <w:rtl/>
        </w:rPr>
        <w:t xml:space="preserve">כיון שהוא בא להוציא ממון. </w:t>
      </w:r>
      <w:r w:rsidRPr="001D49D4">
        <w:rPr>
          <w:color w:val="E36C0A" w:themeColor="accent6" w:themeShade="BF"/>
          <w:rtl/>
        </w:rPr>
        <w:t>(וכ"פ בשו"ע)</w:t>
      </w:r>
    </w:p>
    <w:p w14:paraId="3C7EF99E" w14:textId="77777777" w:rsidR="001D49D4" w:rsidRPr="001D49D4" w:rsidRDefault="001D49D4" w:rsidP="0004348D">
      <w:pPr>
        <w:spacing w:before="360" w:after="240"/>
        <w:rPr>
          <w:rFonts w:ascii="Arial" w:eastAsia="Calibri" w:hAnsi="Arial" w:cs="Arial"/>
          <w:b/>
          <w:bCs/>
          <w:color w:val="000000"/>
          <w:sz w:val="28"/>
          <w:szCs w:val="28"/>
          <w:u w:val="single"/>
          <w:rtl/>
        </w:rPr>
      </w:pPr>
      <w:r w:rsidRPr="001D49D4">
        <w:rPr>
          <w:rFonts w:ascii="Arial" w:eastAsia="Calibri" w:hAnsi="Arial" w:cs="Arial"/>
          <w:b/>
          <w:bCs/>
          <w:color w:val="000000"/>
          <w:sz w:val="28"/>
          <w:szCs w:val="28"/>
          <w:u w:val="single"/>
          <w:rtl/>
        </w:rPr>
        <w:t>שו"ע:</w:t>
      </w:r>
    </w:p>
    <w:p w14:paraId="6E3AE9A7"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rtl/>
        </w:rPr>
        <w:t>אף על פי שאין כתוב בשובר לא עידי השטר ולא זמנו, כיון שסכום המעות של השטר והשובר שוים</w:t>
      </w:r>
      <w:r w:rsidRPr="001D49D4">
        <w:rPr>
          <w:rFonts w:ascii="Calibri" w:eastAsia="Calibri" w:hAnsi="Calibri" w:cs="Arial"/>
          <w:vertAlign w:val="superscript"/>
          <w:rtl/>
        </w:rPr>
        <w:footnoteReference w:id="3449"/>
      </w:r>
      <w:r w:rsidRPr="001D49D4">
        <w:rPr>
          <w:rFonts w:ascii="Calibri" w:eastAsia="Calibri" w:hAnsi="Calibri" w:cs="Arial"/>
          <w:rtl/>
        </w:rPr>
        <w:t>, ממילא אמרינן שהשובר נכתב על אותו שטר</w:t>
      </w:r>
      <w:r w:rsidRPr="001D49D4">
        <w:rPr>
          <w:rFonts w:ascii="Calibri" w:eastAsia="Calibri" w:hAnsi="Calibri" w:cs="Arial"/>
          <w:vertAlign w:val="superscript"/>
          <w:rtl/>
        </w:rPr>
        <w:footnoteReference w:id="3450"/>
      </w:r>
      <w:r w:rsidRPr="001D49D4">
        <w:rPr>
          <w:rFonts w:ascii="Calibri" w:eastAsia="Calibri" w:hAnsi="Calibri" w:cs="Arial"/>
          <w:rtl/>
        </w:rPr>
        <w:t xml:space="preserve">. </w:t>
      </w:r>
    </w:p>
    <w:p w14:paraId="6522A1E7" w14:textId="77777777" w:rsidR="001D49D4" w:rsidRPr="001D49D4" w:rsidRDefault="001D49D4" w:rsidP="0004348D">
      <w:pPr>
        <w:spacing w:before="360" w:after="240"/>
        <w:rPr>
          <w:rFonts w:ascii="Calibri" w:eastAsia="Calibri" w:hAnsi="Calibri" w:cs="Arial"/>
          <w:rtl/>
        </w:rPr>
      </w:pPr>
    </w:p>
    <w:p w14:paraId="7CAA0D08" w14:textId="77777777" w:rsidR="001D49D4" w:rsidRPr="001D49D4" w:rsidRDefault="001D49D4" w:rsidP="0004348D">
      <w:pPr>
        <w:keepNext/>
        <w:keepLines/>
        <w:spacing w:before="360" w:after="240"/>
        <w:outlineLvl w:val="1"/>
        <w:rPr>
          <w:rFonts w:ascii="Cambria" w:eastAsia="Times New Roman" w:hAnsi="Cambria" w:cs="Arial"/>
          <w:bCs/>
          <w:color w:val="548DD4" w:themeColor="text2" w:themeTint="99"/>
          <w:sz w:val="26"/>
          <w:szCs w:val="26"/>
          <w:rtl/>
        </w:rPr>
      </w:pPr>
      <w:bookmarkStart w:id="456" w:name="_Toc24883893"/>
      <w:r w:rsidRPr="001D49D4">
        <w:rPr>
          <w:rFonts w:ascii="Cambria" w:eastAsia="Times New Roman" w:hAnsi="Cambria" w:cs="Arial"/>
          <w:bCs/>
          <w:color w:val="548DD4" w:themeColor="text2" w:themeTint="99"/>
          <w:sz w:val="26"/>
          <w:szCs w:val="26"/>
          <w:rtl/>
        </w:rPr>
        <w:t>סעיף כה: מי שהחזיק על עצמו שטר חוב בניסן סתם והוציא מחילה שזמנה בי"ח בניסן.</w:t>
      </w:r>
      <w:bookmarkEnd w:id="456"/>
    </w:p>
    <w:p w14:paraId="22C2DE40" w14:textId="77777777" w:rsidR="001D49D4" w:rsidRPr="001D49D4" w:rsidRDefault="001D49D4" w:rsidP="0004348D">
      <w:pPr>
        <w:spacing w:before="360" w:after="240"/>
        <w:rPr>
          <w:rFonts w:ascii="Calibri" w:eastAsia="Calibri" w:hAnsi="Calibri" w:cs="Arial"/>
          <w:u w:val="single"/>
          <w:rtl/>
        </w:rPr>
      </w:pPr>
      <w:r w:rsidRPr="001D49D4">
        <w:rPr>
          <w:rFonts w:ascii="Calibri" w:eastAsia="Calibri" w:hAnsi="Calibri" w:cs="Arial"/>
          <w:u w:val="single"/>
          <w:rtl/>
        </w:rPr>
        <w:t>מי שהחזיק על עצמו שטר חוב בניסן סתם והוציא מחילה שזמנה בי"ח בניסן:</w:t>
      </w:r>
    </w:p>
    <w:p w14:paraId="28D4F7EC" w14:textId="77777777" w:rsidR="001D49D4" w:rsidRPr="001D49D4" w:rsidRDefault="001D49D4" w:rsidP="0004348D">
      <w:pPr>
        <w:numPr>
          <w:ilvl w:val="0"/>
          <w:numId w:val="243"/>
        </w:numPr>
        <w:spacing w:before="360" w:after="240"/>
        <w:contextualSpacing/>
        <w:rPr>
          <w:rtl/>
        </w:rPr>
      </w:pPr>
      <w:r w:rsidRPr="001D49D4">
        <w:rPr>
          <w:rtl/>
        </w:rPr>
        <w:t xml:space="preserve">רא"ש </w:t>
      </w:r>
      <w:r w:rsidRPr="001D49D4">
        <w:rPr>
          <w:sz w:val="16"/>
          <w:szCs w:val="16"/>
          <w:rtl/>
        </w:rPr>
        <w:t>(כלל עו סי' ב)</w:t>
      </w:r>
      <w:r w:rsidRPr="001D49D4">
        <w:rPr>
          <w:rtl/>
        </w:rPr>
        <w:t xml:space="preserve">- מי שהחזיק על עצמו שטר חוב בניסן סתם והוציא מחילה שזמנה בי"ח בניסן יש כח במחילה זו לבטל החוב דיד בעל השטר על התחתונה ואנו אומרים שהשטר היה קודם י"ח בניסן והמחילה היתה אחר כך. </w:t>
      </w:r>
      <w:r w:rsidRPr="001D49D4">
        <w:rPr>
          <w:color w:val="E36C0A" w:themeColor="accent6" w:themeShade="BF"/>
          <w:rtl/>
        </w:rPr>
        <w:t>(וכ"פ בשו"ע)</w:t>
      </w:r>
    </w:p>
    <w:p w14:paraId="0D37D4D5" w14:textId="77777777" w:rsidR="001D49D4" w:rsidRPr="001D49D4" w:rsidRDefault="001D49D4" w:rsidP="0004348D">
      <w:pPr>
        <w:spacing w:before="360" w:after="240"/>
        <w:rPr>
          <w:rFonts w:ascii="Arial" w:eastAsia="Calibri" w:hAnsi="Arial" w:cs="Arial"/>
          <w:b/>
          <w:bCs/>
          <w:color w:val="000000"/>
          <w:sz w:val="28"/>
          <w:szCs w:val="28"/>
          <w:u w:val="single"/>
          <w:rtl/>
        </w:rPr>
      </w:pPr>
      <w:r w:rsidRPr="001D49D4">
        <w:rPr>
          <w:rFonts w:ascii="Arial" w:eastAsia="Calibri" w:hAnsi="Arial" w:cs="Arial"/>
          <w:b/>
          <w:bCs/>
          <w:color w:val="000000"/>
          <w:sz w:val="28"/>
          <w:szCs w:val="28"/>
          <w:u w:val="single"/>
          <w:rtl/>
        </w:rPr>
        <w:t>שו"ע:</w:t>
      </w:r>
    </w:p>
    <w:p w14:paraId="31EC966B"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rtl/>
        </w:rPr>
        <w:t>מי שהוציאו עליו שטר חוב בניסן סתם, והוציא מחילה שזמנה בי"ח בניסן, יש כח במחילה זו לבטל החוב</w:t>
      </w:r>
      <w:r w:rsidRPr="001D49D4">
        <w:rPr>
          <w:rFonts w:ascii="Calibri" w:eastAsia="Calibri" w:hAnsi="Calibri" w:cs="Arial"/>
          <w:vertAlign w:val="superscript"/>
          <w:rtl/>
        </w:rPr>
        <w:footnoteReference w:id="3451"/>
      </w:r>
      <w:r w:rsidRPr="001D49D4">
        <w:rPr>
          <w:rFonts w:ascii="Calibri" w:eastAsia="Calibri" w:hAnsi="Calibri" w:cs="Arial"/>
          <w:rtl/>
        </w:rPr>
        <w:t xml:space="preserve">. </w:t>
      </w:r>
    </w:p>
    <w:p w14:paraId="5C5352B2" w14:textId="77777777" w:rsidR="001D49D4" w:rsidRPr="001D49D4" w:rsidRDefault="001D49D4" w:rsidP="0004348D">
      <w:pPr>
        <w:spacing w:before="360" w:after="240"/>
        <w:rPr>
          <w:rFonts w:ascii="Calibri" w:eastAsia="Calibri" w:hAnsi="Calibri" w:cs="Arial"/>
          <w:rtl/>
        </w:rPr>
      </w:pPr>
    </w:p>
    <w:p w14:paraId="03986FFA" w14:textId="77777777" w:rsidR="001D49D4" w:rsidRPr="001D49D4" w:rsidRDefault="001D49D4" w:rsidP="0004348D">
      <w:pPr>
        <w:keepNext/>
        <w:keepLines/>
        <w:spacing w:before="360" w:after="240"/>
        <w:outlineLvl w:val="1"/>
        <w:rPr>
          <w:rFonts w:ascii="Cambria" w:eastAsia="Times New Roman" w:hAnsi="Cambria" w:cs="Arial"/>
          <w:bCs/>
          <w:color w:val="548DD4" w:themeColor="text2" w:themeTint="99"/>
          <w:sz w:val="26"/>
          <w:szCs w:val="26"/>
          <w:rtl/>
        </w:rPr>
      </w:pPr>
      <w:bookmarkStart w:id="457" w:name="_Toc24883894"/>
      <w:r w:rsidRPr="001D49D4">
        <w:rPr>
          <w:rFonts w:ascii="Cambria" w:eastAsia="Times New Roman" w:hAnsi="Cambria" w:cs="Arial"/>
          <w:bCs/>
          <w:color w:val="548DD4" w:themeColor="text2" w:themeTint="99"/>
          <w:sz w:val="26"/>
          <w:szCs w:val="26"/>
          <w:rtl/>
        </w:rPr>
        <w:t>סעיף כו: שטר ושובר שזמן שניהם באותו יום וכתוב בשובר שמחל לו כל החובות עד היום הזה.</w:t>
      </w:r>
      <w:bookmarkEnd w:id="457"/>
    </w:p>
    <w:p w14:paraId="0A0C8039" w14:textId="77777777" w:rsidR="001D49D4" w:rsidRPr="001D49D4" w:rsidRDefault="001D49D4" w:rsidP="0004348D">
      <w:pPr>
        <w:spacing w:before="360" w:after="240"/>
        <w:rPr>
          <w:rFonts w:ascii="Calibri" w:eastAsia="Calibri" w:hAnsi="Calibri" w:cs="Arial"/>
          <w:u w:val="single"/>
          <w:rtl/>
        </w:rPr>
      </w:pPr>
      <w:r w:rsidRPr="001D49D4">
        <w:rPr>
          <w:rFonts w:ascii="Calibri" w:eastAsia="Calibri" w:hAnsi="Calibri" w:cs="Arial"/>
          <w:u w:val="single"/>
          <w:rtl/>
        </w:rPr>
        <w:t xml:space="preserve">שטר ושובר שזמן שניהם באותו יום – וכתוב בשובר 'מחול לך כל החובות </w:t>
      </w:r>
      <w:r w:rsidRPr="001D49D4">
        <w:rPr>
          <w:rFonts w:ascii="Calibri" w:eastAsia="Calibri" w:hAnsi="Calibri" w:cs="Arial"/>
          <w:b/>
          <w:bCs/>
          <w:u w:val="single"/>
          <w:rtl/>
        </w:rPr>
        <w:t>עד היום</w:t>
      </w:r>
      <w:r w:rsidRPr="001D49D4">
        <w:rPr>
          <w:rFonts w:ascii="Calibri" w:eastAsia="Calibri" w:hAnsi="Calibri" w:cs="Arial"/>
          <w:u w:val="single"/>
          <w:rtl/>
        </w:rPr>
        <w:t xml:space="preserve"> </w:t>
      </w:r>
      <w:r w:rsidRPr="001D49D4">
        <w:rPr>
          <w:rFonts w:ascii="Calibri" w:eastAsia="Calibri" w:hAnsi="Calibri" w:cs="Arial"/>
          <w:b/>
          <w:bCs/>
          <w:u w:val="single"/>
          <w:rtl/>
        </w:rPr>
        <w:t>הזה</w:t>
      </w:r>
      <w:r w:rsidRPr="001D49D4">
        <w:rPr>
          <w:rFonts w:ascii="Calibri" w:eastAsia="Calibri" w:hAnsi="Calibri" w:cs="Arial"/>
          <w:u w:val="single"/>
          <w:rtl/>
        </w:rPr>
        <w:t>':</w:t>
      </w:r>
    </w:p>
    <w:p w14:paraId="1C9FB93D" w14:textId="77777777" w:rsidR="001D49D4" w:rsidRPr="001D49D4" w:rsidRDefault="001D49D4" w:rsidP="0004348D">
      <w:pPr>
        <w:numPr>
          <w:ilvl w:val="0"/>
          <w:numId w:val="243"/>
        </w:numPr>
        <w:spacing w:before="360" w:after="240"/>
        <w:contextualSpacing/>
        <w:rPr>
          <w:rtl/>
        </w:rPr>
      </w:pPr>
      <w:r w:rsidRPr="001D49D4">
        <w:rPr>
          <w:rtl/>
        </w:rPr>
        <w:t xml:space="preserve">רא"ש </w:t>
      </w:r>
      <w:r w:rsidRPr="001D49D4">
        <w:rPr>
          <w:sz w:val="16"/>
          <w:szCs w:val="16"/>
          <w:rtl/>
        </w:rPr>
        <w:t>(כלל עו סי' ג)</w:t>
      </w:r>
      <w:r w:rsidRPr="001D49D4">
        <w:rPr>
          <w:rtl/>
        </w:rPr>
        <w:t xml:space="preserve">- ראובן שהוציא שובר שכתוב בו ששמעון מחל לו כל תביעות ממון שהיה לו עליו עד היום הזה, ושוב הוציא שמעון שטר שראובן חייב לו מנה, וזמן השטר והשובר ביום אחד, יראה לי דיד בעל השטר על התחתונה. </w:t>
      </w:r>
      <w:r w:rsidRPr="001D49D4">
        <w:rPr>
          <w:color w:val="E36C0A" w:themeColor="accent6" w:themeShade="BF"/>
          <w:rtl/>
        </w:rPr>
        <w:t>(וכ"פ בשו"ע)</w:t>
      </w:r>
      <w:r w:rsidRPr="001D49D4">
        <w:rPr>
          <w:rtl/>
        </w:rPr>
        <w:t xml:space="preserve"> </w:t>
      </w:r>
    </w:p>
    <w:p w14:paraId="36922B48" w14:textId="77777777" w:rsidR="001D49D4" w:rsidRPr="001D49D4" w:rsidRDefault="001D49D4" w:rsidP="0004348D">
      <w:pPr>
        <w:numPr>
          <w:ilvl w:val="0"/>
          <w:numId w:val="243"/>
        </w:numPr>
        <w:spacing w:before="360" w:after="240"/>
        <w:contextualSpacing/>
      </w:pPr>
      <w:r w:rsidRPr="001D49D4">
        <w:rPr>
          <w:rtl/>
        </w:rPr>
        <w:t xml:space="preserve">רשב"א </w:t>
      </w:r>
      <w:r w:rsidRPr="001D49D4">
        <w:rPr>
          <w:sz w:val="16"/>
          <w:szCs w:val="16"/>
          <w:rtl/>
        </w:rPr>
        <w:t>(ח"ג סי' ט)</w:t>
      </w:r>
      <w:r w:rsidRPr="001D49D4">
        <w:rPr>
          <w:rtl/>
        </w:rPr>
        <w:t xml:space="preserve"> - שמעון שתבע חובו מלוי, ולוי הוציא שטר מחילה שמחל לו שמעון, וזמן המחילה ביום אחד עם השטר חוב, וטען שמעון שהמחילה נעשית לדברים אחרים שהיה ביניהם, שאין הדעת סובלת שמיד שנשתעבד מחל לו. תשובה, הדין עם לוי, ואע"ג דלא שכיח שהחיוב והפיטור נעשו ביום אחד מ"מ אינו נמנע להיות כן, כי מקרי בני האדם רבים, וברגע יקרה מקרה כנגד מה שהיה קודם רגע זה, ושטר מחילה הכוללת הכל הוא יגיד שקרה אותו מקרה, ובכיו"ב חיישינן לפריעה בת יומא כדאית' בפ"ק דמציעא</w:t>
      </w:r>
      <w:r w:rsidRPr="001D49D4">
        <w:rPr>
          <w:sz w:val="16"/>
          <w:szCs w:val="16"/>
          <w:rtl/>
        </w:rPr>
        <w:t xml:space="preserve"> (יז.)</w:t>
      </w:r>
      <w:r w:rsidRPr="001D49D4">
        <w:rPr>
          <w:vertAlign w:val="superscript"/>
          <w:rtl/>
        </w:rPr>
        <w:footnoteReference w:id="3452"/>
      </w:r>
      <w:r w:rsidRPr="001D49D4">
        <w:rPr>
          <w:rtl/>
        </w:rPr>
        <w:t xml:space="preserve">. </w:t>
      </w:r>
      <w:r w:rsidRPr="001D49D4">
        <w:rPr>
          <w:color w:val="E36C0A" w:themeColor="accent6" w:themeShade="BF"/>
          <w:rtl/>
        </w:rPr>
        <w:t>(וכ"פ בשו"ע)</w:t>
      </w:r>
    </w:p>
    <w:p w14:paraId="209345FF" w14:textId="77777777" w:rsidR="001D49D4" w:rsidRPr="001D49D4" w:rsidRDefault="001D49D4" w:rsidP="0004348D">
      <w:pPr>
        <w:spacing w:before="360" w:after="240"/>
        <w:rPr>
          <w:rFonts w:ascii="Arial" w:eastAsia="Calibri" w:hAnsi="Arial" w:cs="Arial"/>
          <w:b/>
          <w:bCs/>
          <w:color w:val="000000"/>
          <w:sz w:val="28"/>
          <w:szCs w:val="28"/>
          <w:u w:val="single"/>
          <w:rtl/>
        </w:rPr>
      </w:pPr>
      <w:r w:rsidRPr="001D49D4">
        <w:rPr>
          <w:rFonts w:ascii="Arial" w:eastAsia="Calibri" w:hAnsi="Arial" w:cs="Arial"/>
          <w:b/>
          <w:bCs/>
          <w:color w:val="000000"/>
          <w:sz w:val="28"/>
          <w:szCs w:val="28"/>
          <w:u w:val="single"/>
          <w:rtl/>
        </w:rPr>
        <w:t>שו"ע:</w:t>
      </w:r>
    </w:p>
    <w:p w14:paraId="4CF0FD23"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rtl/>
        </w:rPr>
        <w:t>ראובן הוציא שטר על שמעון שזמנו ביום כך</w:t>
      </w:r>
      <w:r w:rsidRPr="001D49D4">
        <w:rPr>
          <w:rFonts w:ascii="Calibri" w:eastAsia="Calibri" w:hAnsi="Calibri" w:cs="Arial"/>
          <w:vertAlign w:val="superscript"/>
          <w:rtl/>
        </w:rPr>
        <w:footnoteReference w:id="3453"/>
      </w:r>
      <w:r w:rsidRPr="001D49D4">
        <w:rPr>
          <w:rFonts w:ascii="Calibri" w:eastAsia="Calibri" w:hAnsi="Calibri" w:cs="Arial"/>
          <w:rtl/>
        </w:rPr>
        <w:t xml:space="preserve">, ושמעון הוציא שובר על שטר זה כתוב באותו יום בעצמו, יד בעל השטר על התחתונה. </w:t>
      </w:r>
    </w:p>
    <w:p w14:paraId="542BF5B7" w14:textId="77777777" w:rsidR="001D49D4" w:rsidRPr="001D49D4" w:rsidRDefault="001D49D4" w:rsidP="0004348D">
      <w:pPr>
        <w:spacing w:before="360" w:after="240"/>
        <w:rPr>
          <w:rFonts w:ascii="Calibri" w:eastAsia="Calibri" w:hAnsi="Calibri" w:cs="Arial"/>
          <w:rtl/>
        </w:rPr>
      </w:pPr>
    </w:p>
    <w:p w14:paraId="357E4AB1" w14:textId="77777777" w:rsidR="001D49D4" w:rsidRPr="001D49D4" w:rsidRDefault="001D49D4" w:rsidP="0004348D">
      <w:pPr>
        <w:keepNext/>
        <w:keepLines/>
        <w:spacing w:before="360" w:after="240"/>
        <w:outlineLvl w:val="1"/>
        <w:rPr>
          <w:rFonts w:ascii="Cambria" w:eastAsia="Times New Roman" w:hAnsi="Cambria" w:cs="Arial"/>
          <w:bCs/>
          <w:color w:val="548DD4" w:themeColor="text2" w:themeTint="99"/>
          <w:sz w:val="26"/>
          <w:szCs w:val="26"/>
          <w:rtl/>
        </w:rPr>
      </w:pPr>
      <w:bookmarkStart w:id="458" w:name="_Toc24883895"/>
      <w:r w:rsidRPr="001D49D4">
        <w:rPr>
          <w:rFonts w:ascii="Cambria" w:eastAsia="Times New Roman" w:hAnsi="Cambria" w:cs="Arial"/>
          <w:bCs/>
          <w:color w:val="548DD4" w:themeColor="text2" w:themeTint="99"/>
          <w:sz w:val="26"/>
          <w:szCs w:val="26"/>
          <w:rtl/>
        </w:rPr>
        <w:t>סעיף כז: שטר ושובר שזמן שניהם באותו יום וכתוב בשובר שמחל לו כל החובות עד היום הזה.</w:t>
      </w:r>
      <w:bookmarkEnd w:id="458"/>
    </w:p>
    <w:p w14:paraId="490440A4" w14:textId="77777777" w:rsidR="001D49D4" w:rsidRPr="001D49D4" w:rsidRDefault="001D49D4" w:rsidP="0004348D">
      <w:pPr>
        <w:spacing w:before="360" w:after="240"/>
        <w:rPr>
          <w:rFonts w:ascii="Calibri" w:eastAsia="Calibri" w:hAnsi="Calibri" w:cs="Arial"/>
          <w:u w:val="single"/>
          <w:rtl/>
        </w:rPr>
      </w:pPr>
      <w:r w:rsidRPr="001D49D4">
        <w:rPr>
          <w:rFonts w:ascii="Calibri" w:eastAsia="Calibri" w:hAnsi="Calibri" w:cs="Arial"/>
          <w:u w:val="single"/>
          <w:rtl/>
        </w:rPr>
        <w:t xml:space="preserve">שטר ושובר שזמן שניהם באותו יום – וכתוב בשובר שמחל לו כל החובות </w:t>
      </w:r>
      <w:r w:rsidRPr="001D49D4">
        <w:rPr>
          <w:rFonts w:ascii="Calibri" w:eastAsia="Calibri" w:hAnsi="Calibri" w:cs="Arial"/>
          <w:b/>
          <w:bCs/>
          <w:u w:val="single"/>
          <w:rtl/>
        </w:rPr>
        <w:t>עד אותו היום</w:t>
      </w:r>
      <w:r w:rsidRPr="001D49D4">
        <w:rPr>
          <w:rFonts w:ascii="Calibri" w:eastAsia="Calibri" w:hAnsi="Calibri" w:cs="Arial"/>
          <w:u w:val="single"/>
          <w:rtl/>
        </w:rPr>
        <w:t>:</w:t>
      </w:r>
    </w:p>
    <w:p w14:paraId="4330B356" w14:textId="77777777" w:rsidR="001D49D4" w:rsidRPr="001D49D4" w:rsidRDefault="001D49D4" w:rsidP="0004348D">
      <w:pPr>
        <w:numPr>
          <w:ilvl w:val="0"/>
          <w:numId w:val="243"/>
        </w:numPr>
        <w:spacing w:before="360" w:after="240"/>
        <w:contextualSpacing/>
        <w:rPr>
          <w:rtl/>
        </w:rPr>
      </w:pPr>
      <w:r w:rsidRPr="001D49D4">
        <w:rPr>
          <w:rtl/>
        </w:rPr>
        <w:t xml:space="preserve">רא"ש </w:t>
      </w:r>
      <w:r w:rsidRPr="001D49D4">
        <w:rPr>
          <w:sz w:val="16"/>
          <w:szCs w:val="16"/>
          <w:rtl/>
        </w:rPr>
        <w:t>(כלל עו סי' ד)</w:t>
      </w:r>
      <w:r w:rsidRPr="001D49D4">
        <w:rPr>
          <w:rtl/>
        </w:rPr>
        <w:t xml:space="preserve">- ראובן הוציא שטר חוב על שמעון שזמנו ה' בניסן, ושמעון הוציא שובר שנכתב ה' בניסן כתוב בו שמחל ראובן לשמעון כל תביעות שהיו עליו 'עד אותו היום' - ראובן גובה שטרו, דכיון שכתוב בשובר שמחל לו כל תביעות עד אותו היום אין אותו היום בכלל המחילה, דבלשון העולם עד ולא עד בכלל, כדתנן בפרק קונם יין </w:t>
      </w:r>
      <w:r w:rsidRPr="001D49D4">
        <w:rPr>
          <w:sz w:val="16"/>
          <w:szCs w:val="16"/>
          <w:rtl/>
        </w:rPr>
        <w:t xml:space="preserve">(נדרים סא:) </w:t>
      </w:r>
      <w:r w:rsidRPr="001D49D4">
        <w:rPr>
          <w:rtl/>
        </w:rPr>
        <w:t>כל שזמנו קבוע ואמר 'עד' אינו אסור אלא עד שיגיע. אבל אם היה כתוב בשובר שמחל לו כל תביעות שיש לו עליו 'עד עכשיו' אז מספקא לן אי הוי בתחלת היום או בסופו וכן השטר מספקא לן באיזו שעה היה ביום ומספיקא לא מפקינן ממונא</w:t>
      </w:r>
      <w:r w:rsidRPr="001D49D4">
        <w:rPr>
          <w:sz w:val="16"/>
          <w:szCs w:val="16"/>
          <w:rtl/>
        </w:rPr>
        <w:t xml:space="preserve"> (ב"מ לז.)</w:t>
      </w:r>
      <w:r w:rsidRPr="001D49D4">
        <w:rPr>
          <w:vertAlign w:val="superscript"/>
          <w:rtl/>
        </w:rPr>
        <w:footnoteReference w:id="3454"/>
      </w:r>
      <w:r w:rsidRPr="001D49D4">
        <w:rPr>
          <w:rtl/>
        </w:rPr>
        <w:t xml:space="preserve">. </w:t>
      </w:r>
      <w:r w:rsidRPr="001D49D4">
        <w:rPr>
          <w:color w:val="E36C0A" w:themeColor="accent6" w:themeShade="BF"/>
          <w:rtl/>
        </w:rPr>
        <w:t>(וכ"פ בשו"ע)</w:t>
      </w:r>
      <w:r w:rsidRPr="001D49D4">
        <w:rPr>
          <w:rtl/>
        </w:rPr>
        <w:t xml:space="preserve"> </w:t>
      </w:r>
    </w:p>
    <w:p w14:paraId="3E5CC954" w14:textId="77777777" w:rsidR="001D49D4" w:rsidRPr="001D49D4" w:rsidRDefault="001D49D4" w:rsidP="0004348D">
      <w:pPr>
        <w:spacing w:before="360" w:after="240"/>
        <w:rPr>
          <w:rFonts w:ascii="Calibri" w:eastAsia="Calibri" w:hAnsi="Calibri" w:cs="Arial"/>
          <w:u w:val="single"/>
        </w:rPr>
      </w:pPr>
      <w:r w:rsidRPr="001D49D4">
        <w:rPr>
          <w:rFonts w:ascii="Calibri" w:eastAsia="Calibri" w:hAnsi="Calibri" w:cs="Arial"/>
          <w:u w:val="single"/>
          <w:rtl/>
        </w:rPr>
        <w:t xml:space="preserve">כתב ידו - האם צריך לכתוב בו זמן: </w:t>
      </w:r>
    </w:p>
    <w:p w14:paraId="08A46240" w14:textId="77777777" w:rsidR="001D49D4" w:rsidRPr="001D49D4" w:rsidRDefault="001D49D4" w:rsidP="0004348D">
      <w:pPr>
        <w:numPr>
          <w:ilvl w:val="0"/>
          <w:numId w:val="243"/>
        </w:numPr>
        <w:spacing w:before="360" w:after="240"/>
        <w:contextualSpacing/>
      </w:pPr>
      <w:r w:rsidRPr="001D49D4">
        <w:rPr>
          <w:rtl/>
        </w:rPr>
        <w:t xml:space="preserve">רשב"א </w:t>
      </w:r>
      <w:r w:rsidRPr="001D49D4">
        <w:rPr>
          <w:sz w:val="16"/>
          <w:szCs w:val="16"/>
          <w:rtl/>
        </w:rPr>
        <w:t>(פרק המגרש גיטין פו ד"ה משנת ג' גיטין פסולים)</w:t>
      </w:r>
      <w:r w:rsidRPr="001D49D4">
        <w:rPr>
          <w:rtl/>
        </w:rPr>
        <w:t xml:space="preserve">- כתב ידו אין צריך לכתוב בו זמן. </w:t>
      </w:r>
    </w:p>
    <w:p w14:paraId="2559F6B6" w14:textId="77777777" w:rsidR="001D49D4" w:rsidRPr="001D49D4" w:rsidRDefault="001D49D4" w:rsidP="0004348D">
      <w:pPr>
        <w:spacing w:before="360" w:after="240"/>
        <w:rPr>
          <w:rFonts w:ascii="Arial" w:eastAsia="Calibri" w:hAnsi="Arial" w:cs="Arial"/>
          <w:b/>
          <w:bCs/>
          <w:color w:val="000000"/>
          <w:sz w:val="28"/>
          <w:szCs w:val="28"/>
          <w:u w:val="single"/>
          <w:rtl/>
        </w:rPr>
      </w:pPr>
      <w:r w:rsidRPr="001D49D4">
        <w:rPr>
          <w:rFonts w:ascii="Arial" w:eastAsia="Calibri" w:hAnsi="Arial" w:cs="Arial"/>
          <w:b/>
          <w:bCs/>
          <w:color w:val="000000"/>
          <w:sz w:val="28"/>
          <w:szCs w:val="28"/>
          <w:u w:val="single"/>
          <w:rtl/>
        </w:rPr>
        <w:t>שו"ע:</w:t>
      </w:r>
    </w:p>
    <w:p w14:paraId="075A6635"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rtl/>
        </w:rPr>
        <w:t>ראובן הוציא שטר חוב על שמעון שזמנו חמישה בניסן, ושמעון הוציא שובר שנכתב בחמישה בניסן כתוב בו שמחל ראובן לשמעון כל תביעות שהיו עליו עד אותו היום, ראובן גובה שטרו, דבלשון העולם עד ולא עד בכלל. אבל אם היה כתוב שמחל לו כל תביעות שיש לו עליו עד עכשיו, הוי ספק</w:t>
      </w:r>
      <w:r w:rsidRPr="001D49D4">
        <w:rPr>
          <w:rFonts w:ascii="Calibri" w:eastAsia="Calibri" w:hAnsi="Calibri" w:cs="Arial"/>
          <w:vertAlign w:val="superscript"/>
          <w:rtl/>
        </w:rPr>
        <w:footnoteReference w:id="3455"/>
      </w:r>
      <w:r w:rsidRPr="001D49D4">
        <w:rPr>
          <w:rFonts w:ascii="Calibri" w:eastAsia="Calibri" w:hAnsi="Calibri" w:cs="Arial"/>
          <w:rtl/>
        </w:rPr>
        <w:t xml:space="preserve">, ומספיקא לא מפקינן ממונא. </w:t>
      </w:r>
    </w:p>
    <w:p w14:paraId="320FBAAC" w14:textId="77777777" w:rsidR="001D49D4" w:rsidRPr="001D49D4" w:rsidRDefault="001D49D4" w:rsidP="0004348D">
      <w:pPr>
        <w:spacing w:before="360" w:after="240"/>
        <w:rPr>
          <w:rFonts w:ascii="Calibri" w:eastAsia="Calibri" w:hAnsi="Calibri" w:cs="Arial"/>
          <w:rtl/>
        </w:rPr>
      </w:pPr>
    </w:p>
    <w:p w14:paraId="207933E6" w14:textId="77777777" w:rsidR="001D49D4" w:rsidRPr="001D49D4" w:rsidRDefault="001D49D4" w:rsidP="0004348D">
      <w:pPr>
        <w:keepNext/>
        <w:keepLines/>
        <w:spacing w:before="360" w:after="240"/>
        <w:outlineLvl w:val="1"/>
        <w:rPr>
          <w:rFonts w:ascii="Cambria" w:eastAsia="Times New Roman" w:hAnsi="Cambria" w:cs="Arial"/>
          <w:bCs/>
          <w:color w:val="548DD4" w:themeColor="text2" w:themeTint="99"/>
          <w:sz w:val="26"/>
          <w:szCs w:val="26"/>
          <w:rtl/>
        </w:rPr>
      </w:pPr>
      <w:bookmarkStart w:id="459" w:name="_Toc24883896"/>
      <w:r w:rsidRPr="001D49D4">
        <w:rPr>
          <w:rFonts w:ascii="Cambria" w:eastAsia="Times New Roman" w:hAnsi="Cambria" w:cs="Arial"/>
          <w:bCs/>
          <w:color w:val="548DD4" w:themeColor="text2" w:themeTint="99"/>
          <w:sz w:val="26"/>
          <w:szCs w:val="26"/>
          <w:rtl/>
        </w:rPr>
        <w:t>סעיף כח: שני שטרות שנעשו בשנה מעוברת בחודש אדר.</w:t>
      </w:r>
      <w:bookmarkEnd w:id="459"/>
    </w:p>
    <w:p w14:paraId="64C8C91B"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b/>
          <w:bCs/>
          <w:rtl/>
        </w:rPr>
        <w:t>ירושלמי שקלים פ"א ה"א:</w:t>
      </w:r>
      <w:r w:rsidRPr="001D49D4">
        <w:rPr>
          <w:rFonts w:ascii="Calibri" w:eastAsia="Calibri" w:hAnsi="Calibri" w:cs="Arial"/>
          <w:rtl/>
        </w:rPr>
        <w:t xml:space="preserve"> לענין שטרא מאי תניתוה? אדר ראשון - כותב אדר ראשון, אדר שני - כותב סתם, </w:t>
      </w:r>
      <w:r w:rsidRPr="001D49D4">
        <w:rPr>
          <w:rFonts w:ascii="Calibri" w:eastAsia="Calibri" w:hAnsi="Calibri" w:cs="Arial"/>
          <w:u w:val="single"/>
          <w:rtl/>
        </w:rPr>
        <w:t>דברי ר' מאיר</w:t>
      </w:r>
      <w:r w:rsidRPr="001D49D4">
        <w:rPr>
          <w:rFonts w:ascii="Calibri" w:eastAsia="Calibri" w:hAnsi="Calibri" w:cs="Arial"/>
          <w:rtl/>
        </w:rPr>
        <w:t xml:space="preserve">. </w:t>
      </w:r>
      <w:r w:rsidRPr="001D49D4">
        <w:rPr>
          <w:rFonts w:ascii="Calibri" w:eastAsia="Calibri" w:hAnsi="Calibri" w:cs="Arial"/>
          <w:u w:val="single"/>
          <w:rtl/>
        </w:rPr>
        <w:t>ר' יהודה אומר</w:t>
      </w:r>
      <w:r w:rsidRPr="001D49D4">
        <w:rPr>
          <w:rFonts w:ascii="Calibri" w:eastAsia="Calibri" w:hAnsi="Calibri" w:cs="Arial"/>
          <w:rtl/>
        </w:rPr>
        <w:t>: אדר ראשון - כותב סתם, אדר שני - כותב תניין.</w:t>
      </w:r>
    </w:p>
    <w:p w14:paraId="05D806C0" w14:textId="77777777" w:rsidR="001D49D4" w:rsidRPr="001D49D4" w:rsidRDefault="001D49D4" w:rsidP="0004348D">
      <w:pPr>
        <w:spacing w:before="360" w:after="240"/>
        <w:rPr>
          <w:rFonts w:ascii="Calibri" w:eastAsia="Calibri" w:hAnsi="Calibri" w:cs="Arial"/>
          <w:rtl/>
        </w:rPr>
      </w:pPr>
      <w:bookmarkStart w:id="460" w:name="_Hlk13515795"/>
      <w:r w:rsidRPr="001D49D4">
        <w:rPr>
          <w:rFonts w:ascii="Calibri" w:eastAsia="Calibri" w:hAnsi="Calibri" w:cs="Arial"/>
          <w:b/>
          <w:bCs/>
          <w:rtl/>
        </w:rPr>
        <w:t xml:space="preserve">נדרים </w:t>
      </w:r>
      <w:r w:rsidRPr="001D49D4">
        <w:rPr>
          <w:rFonts w:ascii="Calibri" w:eastAsia="Calibri" w:hAnsi="Calibri" w:cs="Arial"/>
          <w:b/>
          <w:bCs/>
          <w:sz w:val="16"/>
          <w:szCs w:val="16"/>
          <w:rtl/>
        </w:rPr>
        <w:t xml:space="preserve">(ס"פ קונם) </w:t>
      </w:r>
      <w:r w:rsidRPr="001D49D4">
        <w:rPr>
          <w:rFonts w:ascii="Calibri" w:eastAsia="Calibri" w:hAnsi="Calibri" w:cs="Arial"/>
          <w:b/>
          <w:bCs/>
          <w:rtl/>
        </w:rPr>
        <w:t>סג</w:t>
      </w:r>
      <w:r w:rsidRPr="001D49D4">
        <w:rPr>
          <w:rFonts w:ascii="Calibri" w:eastAsia="Calibri" w:hAnsi="Calibri" w:cs="Arial"/>
          <w:b/>
          <w:bCs/>
          <w:vertAlign w:val="superscript"/>
          <w:rtl/>
        </w:rPr>
        <w:footnoteReference w:id="3456"/>
      </w:r>
      <w:r w:rsidRPr="001D49D4">
        <w:rPr>
          <w:rFonts w:ascii="Calibri" w:eastAsia="Calibri" w:hAnsi="Calibri" w:cs="Arial"/>
          <w:b/>
          <w:bCs/>
          <w:rtl/>
        </w:rPr>
        <w:t xml:space="preserve"> ע"א: </w:t>
      </w:r>
      <w:r w:rsidRPr="001D49D4">
        <w:rPr>
          <w:rFonts w:ascii="Calibri" w:eastAsia="Calibri" w:hAnsi="Calibri" w:cs="Arial"/>
          <w:u w:val="double"/>
          <w:rtl/>
        </w:rPr>
        <w:t>מתני'</w:t>
      </w:r>
      <w:r w:rsidRPr="001D49D4">
        <w:rPr>
          <w:rFonts w:ascii="Calibri" w:eastAsia="Calibri" w:hAnsi="Calibri" w:cs="Arial"/>
          <w:rtl/>
        </w:rPr>
        <w:t xml:space="preserve">: קונם יין שאיני טועם לשנה, נתעברה השנה - אסור בה ובעיבורה; עד ראש אדר - עד ראש אדר הראשון, עד סוף אדר - עד סוף אדר הראשון.      </w:t>
      </w:r>
      <w:r w:rsidRPr="001D49D4">
        <w:rPr>
          <w:rFonts w:ascii="Calibri" w:eastAsia="Calibri" w:hAnsi="Calibri" w:cs="Arial"/>
          <w:u w:val="double"/>
          <w:rtl/>
        </w:rPr>
        <w:t>גמ'</w:t>
      </w:r>
      <w:r w:rsidRPr="001D49D4">
        <w:rPr>
          <w:rFonts w:ascii="Calibri" w:eastAsia="Calibri" w:hAnsi="Calibri" w:cs="Arial"/>
          <w:rtl/>
        </w:rPr>
        <w:t xml:space="preserve">: אלמא סתמא דאדר דקאמר - ראשון הוא. לימא, מתני' רבי יהודה היא! דתניא: אדר הראשון - כותב אדר הראשון, אדר שני - כותב אדר סתם, </w:t>
      </w:r>
      <w:r w:rsidRPr="001D49D4">
        <w:rPr>
          <w:rFonts w:ascii="Calibri" w:eastAsia="Calibri" w:hAnsi="Calibri" w:cs="Arial"/>
          <w:u w:val="single"/>
          <w:rtl/>
        </w:rPr>
        <w:t>דברי ר"מ</w:t>
      </w:r>
      <w:r w:rsidRPr="001D49D4">
        <w:rPr>
          <w:rFonts w:ascii="Calibri" w:eastAsia="Calibri" w:hAnsi="Calibri" w:cs="Arial"/>
          <w:rtl/>
        </w:rPr>
        <w:t xml:space="preserve">. </w:t>
      </w:r>
      <w:r w:rsidRPr="001D49D4">
        <w:rPr>
          <w:rFonts w:ascii="Calibri" w:eastAsia="Calibri" w:hAnsi="Calibri" w:cs="Arial"/>
          <w:u w:val="single"/>
          <w:rtl/>
        </w:rPr>
        <w:t>ר' יהודה אומר</w:t>
      </w:r>
      <w:r w:rsidRPr="001D49D4">
        <w:rPr>
          <w:rFonts w:ascii="Calibri" w:eastAsia="Calibri" w:hAnsi="Calibri" w:cs="Arial"/>
          <w:rtl/>
        </w:rPr>
        <w:t xml:space="preserve">: אדר הראשון - כותב סתם, אדר שני - כותב תיניין! </w:t>
      </w:r>
      <w:r w:rsidRPr="001D49D4">
        <w:rPr>
          <w:rFonts w:ascii="Calibri" w:eastAsia="Calibri" w:hAnsi="Calibri" w:cs="Arial"/>
          <w:sz w:val="16"/>
          <w:szCs w:val="16"/>
          <w:rtl/>
        </w:rPr>
        <w:t>(וכתב הרא"ש (נדרים פ"ח סי' ב) ובעל התרומות (שער נה ח"א סי' ב) דהלכה כרבי יהודה. וכ"כ במישרים נ"ד ח"ד (כ ע"ג), ב"י)</w:t>
      </w:r>
      <w:r w:rsidRPr="001D49D4">
        <w:rPr>
          <w:rFonts w:ascii="Calibri" w:eastAsia="Calibri" w:hAnsi="Calibri" w:cs="Arial"/>
          <w:rtl/>
        </w:rPr>
        <w:t xml:space="preserve"> </w:t>
      </w:r>
    </w:p>
    <w:bookmarkEnd w:id="460"/>
    <w:p w14:paraId="4B87A37B" w14:textId="77777777" w:rsidR="001D49D4" w:rsidRPr="001D49D4" w:rsidRDefault="001D49D4" w:rsidP="0004348D">
      <w:pPr>
        <w:spacing w:before="360" w:after="240"/>
        <w:rPr>
          <w:rFonts w:ascii="Calibri" w:eastAsia="Calibri" w:hAnsi="Calibri" w:cs="Arial"/>
          <w:u w:val="single"/>
          <w:rtl/>
        </w:rPr>
      </w:pPr>
      <w:r w:rsidRPr="001D49D4">
        <w:rPr>
          <w:rFonts w:ascii="Calibri" w:eastAsia="Calibri" w:hAnsi="Calibri" w:cs="Arial"/>
          <w:u w:val="single"/>
          <w:rtl/>
        </w:rPr>
        <w:t xml:space="preserve">שני שטרות שנעשו בשנה מעוברת בחודש אדר: </w:t>
      </w:r>
    </w:p>
    <w:p w14:paraId="2D977436" w14:textId="77777777" w:rsidR="001D49D4" w:rsidRPr="001D49D4" w:rsidRDefault="001D49D4" w:rsidP="0004348D">
      <w:pPr>
        <w:numPr>
          <w:ilvl w:val="0"/>
          <w:numId w:val="243"/>
        </w:numPr>
        <w:spacing w:before="360" w:after="240"/>
        <w:contextualSpacing/>
        <w:rPr>
          <w:rtl/>
        </w:rPr>
      </w:pPr>
      <w:r w:rsidRPr="001D49D4">
        <w:rPr>
          <w:rtl/>
        </w:rPr>
        <w:t>טור- שני שטרות שנעשו בשנה מעוברת, אחד כתוב בו אדר סתם, ואחד כתוב בו אדר שני, ואין ללוה נכסים כנגד שניהם - נותנין למי שכתוב בו אדר סתם</w:t>
      </w:r>
      <w:r w:rsidRPr="001D49D4">
        <w:rPr>
          <w:vertAlign w:val="superscript"/>
          <w:rtl/>
        </w:rPr>
        <w:footnoteReference w:id="3457"/>
      </w:r>
      <w:r w:rsidRPr="001D49D4">
        <w:rPr>
          <w:rtl/>
        </w:rPr>
        <w:t>, דסתם אדר הוא הראשון, דלשני קורין לו אדר שני. ואם שניהם נכתב בהן סתם אדר - הרי הן נעשו באדר הראשון</w:t>
      </w:r>
      <w:r w:rsidRPr="001D49D4">
        <w:rPr>
          <w:vertAlign w:val="superscript"/>
          <w:rtl/>
        </w:rPr>
        <w:footnoteReference w:id="3458"/>
      </w:r>
      <w:r w:rsidRPr="001D49D4">
        <w:rPr>
          <w:rtl/>
        </w:rPr>
        <w:t xml:space="preserve"> ומעמידין אותו ביד מי שזמנו קודם. </w:t>
      </w:r>
      <w:r w:rsidRPr="001D49D4">
        <w:rPr>
          <w:color w:val="E36C0A" w:themeColor="accent6" w:themeShade="BF"/>
          <w:rtl/>
        </w:rPr>
        <w:t>(וכ"פ בשו"ע)</w:t>
      </w:r>
    </w:p>
    <w:p w14:paraId="2651FCE2" w14:textId="77777777" w:rsidR="001D49D4" w:rsidRPr="001D49D4" w:rsidRDefault="001D49D4" w:rsidP="0004348D">
      <w:pPr>
        <w:spacing w:before="360" w:after="240"/>
        <w:rPr>
          <w:rFonts w:ascii="Calibri" w:eastAsia="Calibri" w:hAnsi="Calibri" w:cs="Arial"/>
          <w:u w:val="single"/>
        </w:rPr>
      </w:pPr>
      <w:r w:rsidRPr="001D49D4">
        <w:rPr>
          <w:rFonts w:ascii="Calibri" w:eastAsia="Calibri" w:hAnsi="Calibri" w:cs="Arial"/>
          <w:u w:val="single"/>
          <w:rtl/>
        </w:rPr>
        <w:t>שטר שכתוב בו 'עד זמן פלוני' – האם דנים אותו כמו בדיני נדרים:</w:t>
      </w:r>
    </w:p>
    <w:p w14:paraId="325F2599" w14:textId="77777777" w:rsidR="001D49D4" w:rsidRPr="001D49D4" w:rsidRDefault="001D49D4" w:rsidP="0004348D">
      <w:pPr>
        <w:numPr>
          <w:ilvl w:val="0"/>
          <w:numId w:val="243"/>
        </w:numPr>
        <w:spacing w:before="360" w:after="240"/>
        <w:contextualSpacing/>
      </w:pPr>
      <w:r w:rsidRPr="001D49D4">
        <w:rPr>
          <w:rtl/>
        </w:rPr>
        <w:t xml:space="preserve">רי"ו </w:t>
      </w:r>
      <w:r w:rsidRPr="001D49D4">
        <w:rPr>
          <w:sz w:val="16"/>
          <w:szCs w:val="16"/>
          <w:rtl/>
        </w:rPr>
        <w:t>(מישרים נ"ד ח"ד שם)</w:t>
      </w:r>
      <w:r w:rsidRPr="001D49D4">
        <w:rPr>
          <w:rtl/>
        </w:rPr>
        <w:t xml:space="preserve">- כל זמן הכתוב בשטר כגון עד הפסח או עד הקציר דנין אותו כמו בנדרים </w:t>
      </w:r>
      <w:r w:rsidRPr="001D49D4">
        <w:rPr>
          <w:sz w:val="16"/>
          <w:szCs w:val="16"/>
          <w:rtl/>
        </w:rPr>
        <w:t>(ס. סא:)</w:t>
      </w:r>
      <w:r w:rsidRPr="001D49D4">
        <w:rPr>
          <w:rtl/>
        </w:rPr>
        <w:t>.</w:t>
      </w:r>
      <w:r w:rsidRPr="001D49D4">
        <w:rPr>
          <w:color w:val="E36C0A" w:themeColor="accent6" w:themeShade="BF"/>
          <w:rtl/>
        </w:rPr>
        <w:t xml:space="preserve"> (וכ"פ בשו"ע)</w:t>
      </w:r>
    </w:p>
    <w:p w14:paraId="07321A9A" w14:textId="77777777" w:rsidR="001D49D4" w:rsidRPr="001D49D4" w:rsidRDefault="001D49D4" w:rsidP="0004348D">
      <w:pPr>
        <w:spacing w:before="360" w:after="240"/>
        <w:rPr>
          <w:rFonts w:ascii="Arial" w:eastAsia="Calibri" w:hAnsi="Arial" w:cs="Arial"/>
          <w:b/>
          <w:bCs/>
          <w:color w:val="000000"/>
          <w:sz w:val="28"/>
          <w:szCs w:val="28"/>
          <w:u w:val="single"/>
          <w:rtl/>
        </w:rPr>
      </w:pPr>
      <w:r w:rsidRPr="001D49D4">
        <w:rPr>
          <w:rFonts w:ascii="Arial" w:eastAsia="Calibri" w:hAnsi="Arial" w:cs="Arial"/>
          <w:b/>
          <w:bCs/>
          <w:color w:val="000000"/>
          <w:sz w:val="28"/>
          <w:szCs w:val="28"/>
          <w:u w:val="single"/>
          <w:rtl/>
        </w:rPr>
        <w:t>שו"ע:</w:t>
      </w:r>
    </w:p>
    <w:p w14:paraId="28334C61"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rtl/>
        </w:rPr>
        <w:t>שני שטרות שנעשו בשנה מעוברת, אחד כתוב בו: אדר סתם, ואחד כתוב בו: אדר שני, ואין ללוה נכסים כנגד שניהם, נותנים למי שכתוב בו אדר סתם</w:t>
      </w:r>
      <w:r w:rsidRPr="001D49D4">
        <w:rPr>
          <w:rFonts w:ascii="Calibri" w:eastAsia="Calibri" w:hAnsi="Calibri" w:cs="Arial"/>
          <w:vertAlign w:val="superscript"/>
          <w:rtl/>
        </w:rPr>
        <w:footnoteReference w:id="3459"/>
      </w:r>
      <w:r w:rsidRPr="001D49D4">
        <w:rPr>
          <w:rFonts w:ascii="Calibri" w:eastAsia="Calibri" w:hAnsi="Calibri" w:cs="Arial"/>
          <w:rtl/>
        </w:rPr>
        <w:t xml:space="preserve">. ואם בשניהם נכתב אדר סתם, הוי כמו שכתוב בשניהם אדר ראשון, ונותנים למי שזמנו קודם במספר ימי החדש. </w:t>
      </w:r>
      <w:r w:rsidRPr="001D49D4">
        <w:rPr>
          <w:rFonts w:ascii="Calibri" w:eastAsia="Calibri" w:hAnsi="Calibri" w:cs="Arial"/>
          <w:sz w:val="18"/>
          <w:szCs w:val="18"/>
          <w:rtl/>
        </w:rPr>
        <w:t>(ועיין באורח חיים סימן תכ"ח</w:t>
      </w:r>
      <w:r w:rsidRPr="001D49D4">
        <w:rPr>
          <w:rFonts w:ascii="Calibri" w:eastAsia="Calibri" w:hAnsi="Calibri" w:cs="Arial"/>
          <w:sz w:val="18"/>
          <w:szCs w:val="18"/>
          <w:vertAlign w:val="superscript"/>
          <w:rtl/>
        </w:rPr>
        <w:footnoteReference w:id="3460"/>
      </w:r>
      <w:r w:rsidRPr="001D49D4">
        <w:rPr>
          <w:rFonts w:ascii="Calibri" w:eastAsia="Calibri" w:hAnsi="Calibri" w:cs="Arial"/>
          <w:sz w:val="18"/>
          <w:szCs w:val="18"/>
          <w:rtl/>
        </w:rPr>
        <w:t xml:space="preserve"> כיצד כותבין ובאבן העזר סימן קכ"ו)</w:t>
      </w:r>
      <w:r w:rsidRPr="001D49D4">
        <w:rPr>
          <w:rFonts w:ascii="Calibri" w:eastAsia="Calibri" w:hAnsi="Calibri" w:cs="Arial"/>
          <w:rtl/>
        </w:rPr>
        <w:t>. כל זמן הכתוב בשטר, כגון עד הפסח או עד הקציר, דנים אותו כמו בנדרים</w:t>
      </w:r>
      <w:r w:rsidRPr="001D49D4">
        <w:rPr>
          <w:rFonts w:ascii="Calibri" w:eastAsia="Calibri" w:hAnsi="Calibri" w:cs="Arial"/>
          <w:vertAlign w:val="superscript"/>
          <w:rtl/>
        </w:rPr>
        <w:footnoteReference w:id="3461"/>
      </w:r>
      <w:r w:rsidRPr="001D49D4">
        <w:rPr>
          <w:rFonts w:ascii="Calibri" w:eastAsia="Calibri" w:hAnsi="Calibri" w:cs="Arial"/>
          <w:rtl/>
        </w:rPr>
        <w:t xml:space="preserve">. </w:t>
      </w:r>
    </w:p>
    <w:p w14:paraId="5305F530" w14:textId="77777777" w:rsidR="001D49D4" w:rsidRPr="001D49D4" w:rsidRDefault="001D49D4" w:rsidP="0004348D">
      <w:pPr>
        <w:spacing w:before="360" w:after="240"/>
        <w:rPr>
          <w:rFonts w:ascii="Calibri" w:eastAsia="Calibri" w:hAnsi="Calibri" w:cs="Arial"/>
          <w:rtl/>
        </w:rPr>
      </w:pPr>
    </w:p>
    <w:p w14:paraId="269C0503" w14:textId="77777777" w:rsidR="001D49D4" w:rsidRPr="001D49D4" w:rsidRDefault="001D49D4" w:rsidP="0004348D">
      <w:pPr>
        <w:keepNext/>
        <w:keepLines/>
        <w:spacing w:before="360" w:after="240"/>
        <w:outlineLvl w:val="1"/>
        <w:rPr>
          <w:rFonts w:ascii="Cambria" w:eastAsia="Times New Roman" w:hAnsi="Cambria" w:cs="Arial"/>
          <w:bCs/>
          <w:color w:val="548DD4" w:themeColor="text2" w:themeTint="99"/>
          <w:sz w:val="26"/>
          <w:szCs w:val="26"/>
          <w:rtl/>
        </w:rPr>
      </w:pPr>
      <w:bookmarkStart w:id="461" w:name="_Toc24883897"/>
      <w:r w:rsidRPr="001D49D4">
        <w:rPr>
          <w:rFonts w:ascii="Cambria" w:eastAsia="Times New Roman" w:hAnsi="Cambria" w:cs="Arial"/>
          <w:bCs/>
          <w:color w:val="548DD4" w:themeColor="text2" w:themeTint="99"/>
          <w:sz w:val="26"/>
          <w:szCs w:val="26"/>
          <w:rtl/>
        </w:rPr>
        <w:t>סעיף כט: שטר שכתוב בו 'עד אחר הפסח'.</w:t>
      </w:r>
      <w:bookmarkEnd w:id="461"/>
    </w:p>
    <w:p w14:paraId="4A78FE02"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b/>
          <w:bCs/>
          <w:rtl/>
        </w:rPr>
        <w:t xml:space="preserve">גיטין </w:t>
      </w:r>
      <w:r w:rsidRPr="001D49D4">
        <w:rPr>
          <w:rFonts w:ascii="Calibri" w:eastAsia="Calibri" w:hAnsi="Calibri" w:cs="Arial"/>
          <w:b/>
          <w:bCs/>
          <w:sz w:val="16"/>
          <w:szCs w:val="16"/>
          <w:rtl/>
        </w:rPr>
        <w:t>(פרק מי שאחזו)</w:t>
      </w:r>
      <w:r w:rsidRPr="001D49D4">
        <w:rPr>
          <w:rFonts w:ascii="Calibri" w:eastAsia="Calibri" w:hAnsi="Calibri" w:cs="Arial"/>
          <w:b/>
          <w:bCs/>
          <w:rtl/>
        </w:rPr>
        <w:t xml:space="preserve"> עז</w:t>
      </w:r>
      <w:r w:rsidRPr="001D49D4">
        <w:rPr>
          <w:rFonts w:ascii="Calibri" w:eastAsia="Calibri" w:hAnsi="Calibri" w:cs="Arial"/>
          <w:b/>
          <w:bCs/>
          <w:vertAlign w:val="superscript"/>
          <w:rtl/>
        </w:rPr>
        <w:footnoteReference w:id="3462"/>
      </w:r>
      <w:r w:rsidRPr="001D49D4">
        <w:rPr>
          <w:rFonts w:ascii="Calibri" w:eastAsia="Calibri" w:hAnsi="Calibri" w:cs="Arial"/>
          <w:b/>
          <w:bCs/>
          <w:rtl/>
        </w:rPr>
        <w:t xml:space="preserve"> ע"א: </w:t>
      </w:r>
      <w:r w:rsidRPr="001D49D4">
        <w:rPr>
          <w:rFonts w:ascii="Calibri" w:eastAsia="Calibri" w:hAnsi="Calibri" w:cs="Arial"/>
          <w:rtl/>
        </w:rPr>
        <w:t xml:space="preserve">כתבו ותנו גט לאשתי אם לא באתי מכאן ועד י"ב חדש... ת"ר: לאחר שבוע - שנה, לאחר שנה - חדש, לאחר חדש - שבת. לאחר שבת, מאי? </w:t>
      </w:r>
      <w:r w:rsidRPr="001D49D4">
        <w:rPr>
          <w:rFonts w:ascii="Calibri" w:eastAsia="Calibri" w:hAnsi="Calibri" w:cs="Arial"/>
          <w:u w:val="single"/>
          <w:rtl/>
        </w:rPr>
        <w:t>יתיב ר' זירא קמיה דרבי אסי, ואמרי לה רבי אסי קמיה דרבי יוחנן וקאמר</w:t>
      </w:r>
      <w:r w:rsidRPr="001D49D4">
        <w:rPr>
          <w:rFonts w:ascii="Calibri" w:eastAsia="Calibri" w:hAnsi="Calibri" w:cs="Arial"/>
          <w:rtl/>
        </w:rPr>
        <w:t xml:space="preserve">: חד בשבא, ותרי, ותלתא - בתר שבתא, ארבעה, וחמשה ומעלי שבתא - קמי שבתא. תניא, </w:t>
      </w:r>
      <w:r w:rsidRPr="001D49D4">
        <w:rPr>
          <w:rFonts w:ascii="Calibri" w:eastAsia="Calibri" w:hAnsi="Calibri" w:cs="Arial"/>
          <w:u w:val="single"/>
          <w:rtl/>
        </w:rPr>
        <w:t>רבי אומר</w:t>
      </w:r>
      <w:r w:rsidRPr="001D49D4">
        <w:rPr>
          <w:rFonts w:ascii="Calibri" w:eastAsia="Calibri" w:hAnsi="Calibri" w:cs="Arial"/>
          <w:rtl/>
        </w:rPr>
        <w:t>: לאחר הרגל - שלשים יום. נפק ר' חייא דרשה משמיה דרבי וקלסוה</w:t>
      </w:r>
      <w:r w:rsidRPr="001D49D4">
        <w:rPr>
          <w:rFonts w:ascii="Calibri" w:eastAsia="Calibri" w:hAnsi="Calibri" w:cs="Arial"/>
          <w:vertAlign w:val="superscript"/>
          <w:rtl/>
        </w:rPr>
        <w:footnoteReference w:id="3463"/>
      </w:r>
      <w:r w:rsidRPr="001D49D4">
        <w:rPr>
          <w:rFonts w:ascii="Calibri" w:eastAsia="Calibri" w:hAnsi="Calibri" w:cs="Arial"/>
          <w:rtl/>
        </w:rPr>
        <w:t>. משמיה דרבים - ולא קלסוה</w:t>
      </w:r>
      <w:r w:rsidRPr="001D49D4">
        <w:rPr>
          <w:rFonts w:ascii="Calibri" w:eastAsia="Calibri" w:hAnsi="Calibri" w:cs="Arial"/>
          <w:vertAlign w:val="superscript"/>
          <w:rtl/>
        </w:rPr>
        <w:footnoteReference w:id="3464"/>
      </w:r>
      <w:r w:rsidRPr="001D49D4">
        <w:rPr>
          <w:rFonts w:ascii="Calibri" w:eastAsia="Calibri" w:hAnsi="Calibri" w:cs="Arial"/>
          <w:rtl/>
        </w:rPr>
        <w:t>. אלמא לית הילכתא כוותיה.</w:t>
      </w:r>
    </w:p>
    <w:p w14:paraId="1EB57C3A" w14:textId="77777777" w:rsidR="001D49D4" w:rsidRPr="001D49D4" w:rsidRDefault="001D49D4" w:rsidP="0004348D">
      <w:pPr>
        <w:spacing w:before="360" w:after="240"/>
        <w:rPr>
          <w:rFonts w:ascii="Calibri" w:eastAsia="Calibri" w:hAnsi="Calibri" w:cs="Arial"/>
          <w:u w:val="single"/>
          <w:rtl/>
        </w:rPr>
      </w:pPr>
      <w:r w:rsidRPr="001D49D4">
        <w:rPr>
          <w:rFonts w:ascii="Calibri" w:eastAsia="Calibri" w:hAnsi="Calibri" w:cs="Arial"/>
          <w:u w:val="single"/>
          <w:rtl/>
        </w:rPr>
        <w:lastRenderedPageBreak/>
        <w:t>האומר 'לאחר הרגל' כמה זמן ממתינים לו:</w:t>
      </w:r>
    </w:p>
    <w:p w14:paraId="336B8D52" w14:textId="77777777" w:rsidR="001D49D4" w:rsidRPr="001D49D4" w:rsidRDefault="001D49D4" w:rsidP="0004348D">
      <w:pPr>
        <w:numPr>
          <w:ilvl w:val="0"/>
          <w:numId w:val="243"/>
        </w:numPr>
        <w:spacing w:before="360" w:after="240"/>
        <w:contextualSpacing/>
        <w:rPr>
          <w:rtl/>
        </w:rPr>
      </w:pPr>
      <w:r w:rsidRPr="001D49D4">
        <w:rPr>
          <w:rtl/>
        </w:rPr>
        <w:t xml:space="preserve">י"א </w:t>
      </w:r>
      <w:r w:rsidRPr="001D49D4">
        <w:rPr>
          <w:sz w:val="16"/>
          <w:szCs w:val="16"/>
          <w:rtl/>
        </w:rPr>
        <w:t>(הביאוהו הריטב"א</w:t>
      </w:r>
      <w:r w:rsidRPr="001D49D4">
        <w:rPr>
          <w:sz w:val="14"/>
          <w:szCs w:val="14"/>
          <w:rtl/>
        </w:rPr>
        <w:t xml:space="preserve"> [שם]</w:t>
      </w:r>
      <w:r w:rsidRPr="001D49D4">
        <w:rPr>
          <w:sz w:val="16"/>
          <w:szCs w:val="16"/>
          <w:rtl/>
        </w:rPr>
        <w:t xml:space="preserve"> והר"ן </w:t>
      </w:r>
      <w:r w:rsidRPr="001D49D4">
        <w:rPr>
          <w:sz w:val="14"/>
          <w:szCs w:val="14"/>
          <w:rtl/>
        </w:rPr>
        <w:t>[לט: מדפה"ר]</w:t>
      </w:r>
      <w:r w:rsidRPr="001D49D4">
        <w:rPr>
          <w:sz w:val="16"/>
          <w:szCs w:val="16"/>
          <w:rtl/>
        </w:rPr>
        <w:t>)</w:t>
      </w:r>
      <w:r w:rsidRPr="001D49D4">
        <w:rPr>
          <w:rtl/>
        </w:rPr>
        <w:t>- לאחר שלו כלאחר שבת דהיינו שלשה ימים שהוא הקטן שבכולם.</w:t>
      </w:r>
    </w:p>
    <w:p w14:paraId="40194ADF" w14:textId="77777777" w:rsidR="001D49D4" w:rsidRPr="001D49D4" w:rsidRDefault="001D49D4" w:rsidP="0004348D">
      <w:pPr>
        <w:numPr>
          <w:ilvl w:val="0"/>
          <w:numId w:val="243"/>
        </w:numPr>
        <w:spacing w:before="360" w:after="240"/>
        <w:contextualSpacing/>
      </w:pPr>
      <w:r w:rsidRPr="001D49D4">
        <w:rPr>
          <w:rtl/>
        </w:rPr>
        <w:t>ר"ח מאירי</w:t>
      </w:r>
      <w:r w:rsidRPr="001D49D4">
        <w:rPr>
          <w:sz w:val="16"/>
          <w:szCs w:val="16"/>
          <w:rtl/>
        </w:rPr>
        <w:t xml:space="preserve"> (שם ד"ה מי שאמר)</w:t>
      </w:r>
      <w:r w:rsidRPr="001D49D4">
        <w:rPr>
          <w:rtl/>
        </w:rPr>
        <w:t xml:space="preserve"> רא"ש</w:t>
      </w:r>
      <w:r w:rsidRPr="001D49D4">
        <w:rPr>
          <w:vertAlign w:val="superscript"/>
          <w:rtl/>
        </w:rPr>
        <w:footnoteReference w:id="3465"/>
      </w:r>
      <w:r w:rsidRPr="001D49D4">
        <w:rPr>
          <w:sz w:val="16"/>
          <w:szCs w:val="16"/>
          <w:rtl/>
        </w:rPr>
        <w:t xml:space="preserve"> (פ"ו סי' יד)</w:t>
      </w:r>
      <w:r w:rsidRPr="001D49D4">
        <w:rPr>
          <w:rtl/>
        </w:rPr>
        <w:t xml:space="preserve"> וטור</w:t>
      </w:r>
      <w:r w:rsidRPr="001D49D4">
        <w:rPr>
          <w:sz w:val="16"/>
          <w:szCs w:val="16"/>
          <w:rtl/>
        </w:rPr>
        <w:t xml:space="preserve"> (אהע"ז סי' קמד</w:t>
      </w:r>
      <w:r w:rsidRPr="001D49D4">
        <w:rPr>
          <w:sz w:val="14"/>
          <w:szCs w:val="14"/>
          <w:rtl/>
        </w:rPr>
        <w:t xml:space="preserve"> [ד"ה ואם אמר]</w:t>
      </w:r>
      <w:r w:rsidRPr="001D49D4">
        <w:rPr>
          <w:sz w:val="16"/>
          <w:szCs w:val="16"/>
          <w:rtl/>
        </w:rPr>
        <w:t>)</w:t>
      </w:r>
      <w:r w:rsidRPr="001D49D4">
        <w:rPr>
          <w:rtl/>
        </w:rPr>
        <w:t>- אפילו לא עברו עליו אלא ט"ו יום דיו</w:t>
      </w:r>
      <w:r w:rsidRPr="001D49D4">
        <w:rPr>
          <w:vertAlign w:val="superscript"/>
          <w:rtl/>
        </w:rPr>
        <w:footnoteReference w:id="3466"/>
      </w:r>
      <w:r w:rsidRPr="001D49D4">
        <w:rPr>
          <w:rtl/>
        </w:rPr>
        <w:t>. (וכ"פ הש"ך</w:t>
      </w:r>
      <w:r w:rsidRPr="001D49D4">
        <w:rPr>
          <w:vertAlign w:val="superscript"/>
          <w:rtl/>
        </w:rPr>
        <w:footnoteReference w:id="3467"/>
      </w:r>
      <w:r w:rsidRPr="001D49D4">
        <w:rPr>
          <w:sz w:val="16"/>
          <w:szCs w:val="16"/>
          <w:rtl/>
        </w:rPr>
        <w:t xml:space="preserve"> [סקמ"ז]</w:t>
      </w:r>
      <w:r w:rsidRPr="001D49D4">
        <w:rPr>
          <w:rtl/>
        </w:rPr>
        <w:t xml:space="preserve">) </w:t>
      </w:r>
    </w:p>
    <w:p w14:paraId="255A1CD0" w14:textId="77777777" w:rsidR="001D49D4" w:rsidRPr="001D49D4" w:rsidRDefault="001D49D4" w:rsidP="0004348D">
      <w:pPr>
        <w:numPr>
          <w:ilvl w:val="0"/>
          <w:numId w:val="243"/>
        </w:numPr>
        <w:spacing w:before="360" w:after="240"/>
        <w:contextualSpacing/>
      </w:pPr>
      <w:r w:rsidRPr="001D49D4">
        <w:rPr>
          <w:rtl/>
        </w:rPr>
        <w:t>רי"ף</w:t>
      </w:r>
      <w:r w:rsidRPr="001D49D4">
        <w:rPr>
          <w:vertAlign w:val="superscript"/>
          <w:rtl/>
        </w:rPr>
        <w:footnoteReference w:id="3468"/>
      </w:r>
      <w:r w:rsidRPr="001D49D4">
        <w:rPr>
          <w:rtl/>
        </w:rPr>
        <w:t xml:space="preserve"> </w:t>
      </w:r>
      <w:r w:rsidRPr="001D49D4">
        <w:rPr>
          <w:sz w:val="16"/>
          <w:szCs w:val="16"/>
          <w:rtl/>
        </w:rPr>
        <w:t>(בתשו' סי' קכז, כ"כ הר"ן בשמו [שם])</w:t>
      </w:r>
      <w:r w:rsidRPr="001D49D4">
        <w:rPr>
          <w:rtl/>
        </w:rPr>
        <w:t xml:space="preserve"> ורמ"ה</w:t>
      </w:r>
      <w:r w:rsidRPr="001D49D4">
        <w:rPr>
          <w:sz w:val="16"/>
          <w:szCs w:val="16"/>
          <w:rtl/>
        </w:rPr>
        <w:t xml:space="preserve"> (כ"כ הריטב"א [שם] בשמו)</w:t>
      </w:r>
      <w:r w:rsidRPr="001D49D4">
        <w:rPr>
          <w:rtl/>
        </w:rPr>
        <w:t>- לאחר הרגל כלאחר שבת וכי היכי דלאחר שבת המחצית שבין שבת לשבת אף ברגל לאחר שלו הוא מחצית מה שבין רגל לרגל</w:t>
      </w:r>
      <w:r w:rsidRPr="001D49D4">
        <w:rPr>
          <w:vertAlign w:val="superscript"/>
          <w:rtl/>
        </w:rPr>
        <w:footnoteReference w:id="3469"/>
      </w:r>
      <w:r w:rsidRPr="001D49D4">
        <w:rPr>
          <w:rtl/>
        </w:rPr>
        <w:t>. (וכ"פ תפארת שמואל</w:t>
      </w:r>
      <w:r w:rsidRPr="001D49D4">
        <w:rPr>
          <w:sz w:val="16"/>
          <w:szCs w:val="16"/>
          <w:rtl/>
        </w:rPr>
        <w:t xml:space="preserve"> [גיטין פ"ו סי' יד אות ב]</w:t>
      </w:r>
      <w:r w:rsidRPr="001D49D4">
        <w:rPr>
          <w:rtl/>
        </w:rPr>
        <w:t xml:space="preserve">) </w:t>
      </w:r>
    </w:p>
    <w:p w14:paraId="0D101C33" w14:textId="77777777" w:rsidR="001D49D4" w:rsidRPr="001D49D4" w:rsidRDefault="001D49D4" w:rsidP="0004348D">
      <w:pPr>
        <w:numPr>
          <w:ilvl w:val="0"/>
          <w:numId w:val="243"/>
        </w:numPr>
        <w:spacing w:before="360" w:after="240"/>
        <w:contextualSpacing/>
      </w:pPr>
      <w:r w:rsidRPr="001D49D4">
        <w:rPr>
          <w:rtl/>
        </w:rPr>
        <w:t xml:space="preserve">רי"ו </w:t>
      </w:r>
      <w:r w:rsidRPr="001D49D4">
        <w:rPr>
          <w:sz w:val="16"/>
          <w:szCs w:val="16"/>
          <w:rtl/>
        </w:rPr>
        <w:t>(מישרים נ"ד ח"ד שם)</w:t>
      </w:r>
      <w:r w:rsidRPr="001D49D4">
        <w:rPr>
          <w:rtl/>
        </w:rPr>
        <w:t>- אם כתב בשטר 'עד אחר הפסח' היינו עד שיעברו רוב הימים שבין פסח לעצרת</w:t>
      </w:r>
      <w:r w:rsidRPr="001D49D4">
        <w:rPr>
          <w:vertAlign w:val="superscript"/>
          <w:rtl/>
        </w:rPr>
        <w:footnoteReference w:id="3470"/>
      </w:r>
      <w:r w:rsidRPr="001D49D4">
        <w:rPr>
          <w:rtl/>
        </w:rPr>
        <w:t xml:space="preserve">. </w:t>
      </w:r>
      <w:r w:rsidRPr="001D49D4">
        <w:rPr>
          <w:color w:val="E36C0A" w:themeColor="accent6" w:themeShade="BF"/>
          <w:rtl/>
        </w:rPr>
        <w:t>(וכ"פ בשו"ע)</w:t>
      </w:r>
    </w:p>
    <w:p w14:paraId="3E1692B1" w14:textId="77777777" w:rsidR="001D49D4" w:rsidRPr="001D49D4" w:rsidRDefault="001D49D4" w:rsidP="0004348D">
      <w:pPr>
        <w:spacing w:before="360" w:after="240"/>
        <w:rPr>
          <w:rFonts w:ascii="Arial" w:eastAsia="Calibri" w:hAnsi="Arial" w:cs="Arial"/>
          <w:b/>
          <w:bCs/>
          <w:color w:val="000000"/>
          <w:sz w:val="28"/>
          <w:szCs w:val="28"/>
          <w:u w:val="single"/>
          <w:rtl/>
        </w:rPr>
      </w:pPr>
      <w:r w:rsidRPr="001D49D4">
        <w:rPr>
          <w:rFonts w:ascii="Arial" w:eastAsia="Calibri" w:hAnsi="Arial" w:cs="Arial"/>
          <w:b/>
          <w:bCs/>
          <w:color w:val="000000"/>
          <w:sz w:val="28"/>
          <w:szCs w:val="28"/>
          <w:u w:val="single"/>
          <w:rtl/>
        </w:rPr>
        <w:t>שו"ע:</w:t>
      </w:r>
    </w:p>
    <w:p w14:paraId="030652B1"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rtl/>
        </w:rPr>
        <w:t>אם כתוב בשטר עד אחר הפסח, היינו עד שיעברו רוב</w:t>
      </w:r>
      <w:r w:rsidRPr="001D49D4">
        <w:rPr>
          <w:rFonts w:ascii="Calibri" w:eastAsia="Calibri" w:hAnsi="Calibri" w:cs="Arial"/>
          <w:vertAlign w:val="superscript"/>
          <w:rtl/>
        </w:rPr>
        <w:footnoteReference w:id="3471"/>
      </w:r>
      <w:r w:rsidRPr="001D49D4">
        <w:rPr>
          <w:rFonts w:ascii="Calibri" w:eastAsia="Calibri" w:hAnsi="Calibri" w:cs="Arial"/>
          <w:rtl/>
        </w:rPr>
        <w:t xml:space="preserve"> הימים שבין פסח לעצרת</w:t>
      </w:r>
      <w:r w:rsidRPr="001D49D4">
        <w:rPr>
          <w:rFonts w:ascii="Calibri" w:eastAsia="Calibri" w:hAnsi="Calibri" w:cs="Arial"/>
          <w:vertAlign w:val="superscript"/>
          <w:rtl/>
        </w:rPr>
        <w:footnoteReference w:id="3472"/>
      </w:r>
      <w:r w:rsidRPr="001D49D4">
        <w:rPr>
          <w:rFonts w:ascii="Calibri" w:eastAsia="Calibri" w:hAnsi="Calibri" w:cs="Arial"/>
          <w:rtl/>
        </w:rPr>
        <w:t>.</w:t>
      </w:r>
    </w:p>
    <w:p w14:paraId="249F013B" w14:textId="77777777" w:rsidR="001D49D4" w:rsidRPr="001D49D4" w:rsidRDefault="001D49D4" w:rsidP="0004348D">
      <w:pPr>
        <w:bidi w:val="0"/>
        <w:spacing w:before="360" w:after="240"/>
        <w:rPr>
          <w:rFonts w:ascii="Arial" w:eastAsia="Times New Roman" w:hAnsi="Arial" w:cs="Arial"/>
          <w:b/>
          <w:bCs/>
          <w:color w:val="365F91" w:themeColor="accent1" w:themeShade="BF"/>
          <w:sz w:val="28"/>
          <w:szCs w:val="28"/>
          <w:rtl/>
        </w:rPr>
        <w:sectPr w:rsidR="001D49D4" w:rsidRPr="001D49D4">
          <w:headerReference w:type="default" r:id="rId52"/>
          <w:footnotePr>
            <w:numRestart w:val="eachPage"/>
          </w:footnotePr>
          <w:pgSz w:w="11906" w:h="16838"/>
          <w:pgMar w:top="720" w:right="1134" w:bottom="720" w:left="1134" w:header="0" w:footer="0" w:gutter="0"/>
          <w:cols w:space="720"/>
          <w:bidi/>
          <w:rtlGutter/>
        </w:sectPr>
      </w:pPr>
    </w:p>
    <w:p w14:paraId="02FEFF5E" w14:textId="77777777" w:rsidR="001D49D4" w:rsidRPr="001D49D4" w:rsidRDefault="001D49D4" w:rsidP="0004348D">
      <w:pPr>
        <w:keepNext/>
        <w:keepLines/>
        <w:spacing w:before="360" w:after="240"/>
        <w:outlineLvl w:val="0"/>
        <w:rPr>
          <w:rFonts w:ascii="Arial" w:eastAsia="Times New Roman" w:hAnsi="Arial" w:cs="Arial"/>
          <w:b/>
          <w:bCs/>
          <w:color w:val="365F91" w:themeColor="accent1" w:themeShade="BF"/>
          <w:sz w:val="28"/>
          <w:szCs w:val="28"/>
          <w:rtl/>
        </w:rPr>
      </w:pPr>
      <w:bookmarkStart w:id="462" w:name="_Toc24883898"/>
      <w:r w:rsidRPr="001D49D4">
        <w:rPr>
          <w:rFonts w:ascii="Arial" w:eastAsia="Times New Roman" w:hAnsi="Arial" w:cs="Arial"/>
          <w:b/>
          <w:bCs/>
          <w:color w:val="365F91" w:themeColor="accent1" w:themeShade="BF"/>
          <w:sz w:val="28"/>
          <w:szCs w:val="28"/>
          <w:rtl/>
        </w:rPr>
        <w:lastRenderedPageBreak/>
        <w:t>סימן מד: דין חזרת השטר בשטה אחרונה וכיצד מקיימים המחק והתלוי ובו י"א סעיפים.</w:t>
      </w:r>
      <w:bookmarkEnd w:id="462"/>
      <w:r w:rsidRPr="001D49D4">
        <w:rPr>
          <w:rFonts w:ascii="Arial" w:eastAsia="Times New Roman" w:hAnsi="Arial" w:cs="Arial"/>
          <w:b/>
          <w:bCs/>
          <w:color w:val="365F91" w:themeColor="accent1" w:themeShade="BF"/>
          <w:sz w:val="28"/>
          <w:szCs w:val="28"/>
          <w:rtl/>
        </w:rPr>
        <w:t xml:space="preserve"> </w:t>
      </w:r>
    </w:p>
    <w:p w14:paraId="0B9775D8" w14:textId="77777777" w:rsidR="001D49D4" w:rsidRPr="001D49D4" w:rsidRDefault="001D49D4" w:rsidP="0004348D">
      <w:pPr>
        <w:keepNext/>
        <w:keepLines/>
        <w:spacing w:before="360" w:after="240"/>
        <w:outlineLvl w:val="1"/>
        <w:rPr>
          <w:rFonts w:ascii="Arial" w:eastAsia="Times New Roman" w:hAnsi="Arial" w:cs="Arial"/>
          <w:bCs/>
          <w:color w:val="548DD4" w:themeColor="text2" w:themeTint="99"/>
          <w:sz w:val="26"/>
          <w:szCs w:val="26"/>
          <w:rtl/>
        </w:rPr>
      </w:pPr>
      <w:bookmarkStart w:id="463" w:name="_Toc24883899"/>
      <w:r w:rsidRPr="001D49D4">
        <w:rPr>
          <w:rFonts w:ascii="Arial" w:eastAsia="Times New Roman" w:hAnsi="Arial" w:cs="Arial"/>
          <w:bCs/>
          <w:color w:val="548DD4" w:themeColor="text2" w:themeTint="99"/>
          <w:sz w:val="26"/>
          <w:szCs w:val="26"/>
          <w:rtl/>
        </w:rPr>
        <w:t>סעיף א: חזרה בשיטה אחרונה מעניינו של שטר.</w:t>
      </w:r>
      <w:bookmarkEnd w:id="463"/>
    </w:p>
    <w:p w14:paraId="4C9097E4" w14:textId="77777777" w:rsidR="001D49D4" w:rsidRPr="001D49D4" w:rsidRDefault="001D49D4" w:rsidP="0004348D">
      <w:pPr>
        <w:spacing w:before="360" w:after="240"/>
        <w:rPr>
          <w:rFonts w:ascii="Arial" w:eastAsia="Calibri" w:hAnsi="Arial" w:cs="Arial"/>
          <w:rtl/>
        </w:rPr>
      </w:pPr>
      <w:r w:rsidRPr="001D49D4">
        <w:rPr>
          <w:rFonts w:ascii="Arial" w:eastAsia="Calibri" w:hAnsi="Arial" w:cs="Arial"/>
          <w:b/>
          <w:bCs/>
          <w:rtl/>
        </w:rPr>
        <w:t>בבא בתרא קסא ע"ב:</w:t>
      </w:r>
      <w:r w:rsidRPr="001D49D4">
        <w:rPr>
          <w:rFonts w:ascii="Arial" w:eastAsia="Calibri" w:hAnsi="Arial" w:cs="Arial"/>
          <w:rtl/>
        </w:rPr>
        <w:t xml:space="preserve"> וצריך שיחזור</w:t>
      </w:r>
      <w:r w:rsidRPr="001D49D4">
        <w:rPr>
          <w:rFonts w:ascii="Arial" w:eastAsia="Calibri" w:hAnsi="Arial" w:cs="Arial"/>
          <w:vertAlign w:val="superscript"/>
          <w:rtl/>
        </w:rPr>
        <w:footnoteReference w:id="3473"/>
      </w:r>
      <w:r w:rsidRPr="001D49D4">
        <w:rPr>
          <w:rFonts w:ascii="Arial" w:eastAsia="Calibri" w:hAnsi="Arial" w:cs="Arial"/>
          <w:rtl/>
        </w:rPr>
        <w:t xml:space="preserve"> מענינו של שטר בשיטה אחרונה, מאי טעמא? </w:t>
      </w:r>
      <w:r w:rsidRPr="001D49D4">
        <w:rPr>
          <w:rFonts w:ascii="Arial" w:eastAsia="Calibri" w:hAnsi="Arial" w:cs="Arial"/>
          <w:u w:val="single"/>
          <w:rtl/>
        </w:rPr>
        <w:t>אמר רב עמרם</w:t>
      </w:r>
      <w:r w:rsidRPr="001D49D4">
        <w:rPr>
          <w:rFonts w:ascii="Arial" w:eastAsia="Calibri" w:hAnsi="Arial" w:cs="Arial"/>
          <w:rtl/>
        </w:rPr>
        <w:t>: לפי שאין למדין משיטה אחרונה</w:t>
      </w:r>
      <w:r w:rsidRPr="001D49D4">
        <w:rPr>
          <w:rFonts w:ascii="Arial" w:eastAsia="Calibri" w:hAnsi="Arial" w:cs="Arial"/>
          <w:vertAlign w:val="superscript"/>
          <w:rtl/>
        </w:rPr>
        <w:footnoteReference w:id="3474"/>
      </w:r>
      <w:r w:rsidRPr="001D49D4">
        <w:rPr>
          <w:rFonts w:ascii="Arial" w:eastAsia="Calibri" w:hAnsi="Arial" w:cs="Arial"/>
          <w:rtl/>
        </w:rPr>
        <w:t>.</w:t>
      </w:r>
    </w:p>
    <w:p w14:paraId="621FEE0B" w14:textId="77777777" w:rsidR="001D49D4" w:rsidRPr="001D49D4" w:rsidRDefault="001D49D4" w:rsidP="0004348D">
      <w:pPr>
        <w:spacing w:before="360" w:after="240"/>
        <w:rPr>
          <w:rFonts w:ascii="Arial" w:eastAsia="Calibri" w:hAnsi="Arial" w:cs="Arial"/>
          <w:u w:val="single"/>
          <w:rtl/>
        </w:rPr>
      </w:pPr>
      <w:r w:rsidRPr="001D49D4">
        <w:rPr>
          <w:rFonts w:ascii="Arial" w:eastAsia="Calibri" w:hAnsi="Arial" w:cs="Arial"/>
          <w:u w:val="single"/>
          <w:rtl/>
        </w:rPr>
        <w:t>שטר שלא חזרו בשיטה האחרונה מעניינו של שטר:</w:t>
      </w:r>
    </w:p>
    <w:p w14:paraId="7DFBFFF2" w14:textId="77777777" w:rsidR="001D49D4" w:rsidRPr="001D49D4" w:rsidRDefault="001D49D4" w:rsidP="0004348D">
      <w:pPr>
        <w:numPr>
          <w:ilvl w:val="0"/>
          <w:numId w:val="245"/>
        </w:numPr>
        <w:spacing w:before="360" w:after="240"/>
        <w:contextualSpacing/>
        <w:rPr>
          <w:rFonts w:ascii="Arial" w:hAnsi="Arial"/>
          <w:rtl/>
        </w:rPr>
      </w:pPr>
      <w:r w:rsidRPr="001D49D4">
        <w:rPr>
          <w:rFonts w:ascii="Arial" w:hAnsi="Arial"/>
          <w:rtl/>
        </w:rPr>
        <w:t>רשב"ם ר"י רמב"ם רמב"ן</w:t>
      </w:r>
      <w:r w:rsidRPr="001D49D4">
        <w:rPr>
          <w:rFonts w:ascii="Arial" w:hAnsi="Arial"/>
          <w:sz w:val="16"/>
          <w:szCs w:val="16"/>
          <w:rtl/>
        </w:rPr>
        <w:t xml:space="preserve"> </w:t>
      </w:r>
      <w:r w:rsidRPr="001D49D4">
        <w:rPr>
          <w:rFonts w:ascii="Arial" w:hAnsi="Arial"/>
          <w:rtl/>
        </w:rPr>
        <w:t>רא"ה רשב"א ריטב"א ור"ן</w:t>
      </w:r>
      <w:r w:rsidRPr="001D49D4">
        <w:rPr>
          <w:rFonts w:ascii="Arial" w:hAnsi="Arial"/>
          <w:vertAlign w:val="superscript"/>
          <w:rtl/>
        </w:rPr>
        <w:footnoteReference w:id="3475"/>
      </w:r>
      <w:r w:rsidRPr="001D49D4">
        <w:rPr>
          <w:rFonts w:ascii="Arial" w:hAnsi="Arial"/>
          <w:rtl/>
        </w:rPr>
        <w:t>- אין כל השטר פסול אלא שיטה אחרונה לבד שאין למדים ממנה "כי לא תקנו חכמים כן בחיוב אלא עצה טובה</w:t>
      </w:r>
      <w:r w:rsidRPr="001D49D4">
        <w:rPr>
          <w:rFonts w:ascii="Arial" w:hAnsi="Arial"/>
          <w:sz w:val="16"/>
          <w:szCs w:val="16"/>
          <w:rtl/>
        </w:rPr>
        <w:t xml:space="preserve"> (ל' הנמוק"י)</w:t>
      </w:r>
      <w:r w:rsidRPr="001D49D4">
        <w:rPr>
          <w:rFonts w:ascii="Arial" w:hAnsi="Arial"/>
          <w:rtl/>
        </w:rPr>
        <w:t xml:space="preserve">". </w:t>
      </w:r>
      <w:r w:rsidRPr="001D49D4">
        <w:rPr>
          <w:rFonts w:ascii="Arial" w:hAnsi="Arial"/>
          <w:color w:val="E36C0A" w:themeColor="accent6" w:themeShade="BF"/>
          <w:rtl/>
        </w:rPr>
        <w:t>(וכ"פ בשו"ע)</w:t>
      </w:r>
      <w:r w:rsidRPr="001D49D4">
        <w:rPr>
          <w:rFonts w:ascii="Arial" w:hAnsi="Arial"/>
          <w:color w:val="00B0F0"/>
          <w:rtl/>
        </w:rPr>
        <w:t xml:space="preserve"> (וכ"פ הרמ"א)</w:t>
      </w:r>
    </w:p>
    <w:p w14:paraId="4796F2F4" w14:textId="77777777" w:rsidR="001D49D4" w:rsidRPr="001D49D4" w:rsidRDefault="001D49D4" w:rsidP="0004348D">
      <w:pPr>
        <w:numPr>
          <w:ilvl w:val="0"/>
          <w:numId w:val="245"/>
        </w:numPr>
        <w:spacing w:before="360" w:after="240"/>
        <w:contextualSpacing/>
        <w:rPr>
          <w:rFonts w:ascii="Arial" w:hAnsi="Arial"/>
          <w:rtl/>
        </w:rPr>
      </w:pPr>
      <w:r w:rsidRPr="001D49D4">
        <w:rPr>
          <w:rFonts w:ascii="Arial" w:hAnsi="Arial"/>
          <w:rtl/>
        </w:rPr>
        <w:t xml:space="preserve">תוס' </w:t>
      </w:r>
      <w:r w:rsidRPr="001D49D4">
        <w:rPr>
          <w:rFonts w:ascii="Arial" w:hAnsi="Arial"/>
          <w:sz w:val="16"/>
          <w:szCs w:val="16"/>
          <w:rtl/>
        </w:rPr>
        <w:t xml:space="preserve">(ד"ה וצריך) </w:t>
      </w:r>
      <w:r w:rsidRPr="001D49D4">
        <w:rPr>
          <w:rFonts w:ascii="Arial" w:hAnsi="Arial"/>
          <w:rtl/>
        </w:rPr>
        <w:t xml:space="preserve">ורא"ש </w:t>
      </w:r>
      <w:r w:rsidRPr="001D49D4">
        <w:rPr>
          <w:rFonts w:ascii="Arial" w:hAnsi="Arial"/>
          <w:sz w:val="16"/>
          <w:szCs w:val="16"/>
          <w:rtl/>
        </w:rPr>
        <w:t>(פ"י סי' ב)</w:t>
      </w:r>
      <w:r w:rsidRPr="001D49D4">
        <w:rPr>
          <w:rFonts w:ascii="Arial" w:hAnsi="Arial"/>
          <w:rtl/>
        </w:rPr>
        <w:t xml:space="preserve">- כל השטר פסול, דאפילו כי ליכא למיחש לזיופא בעי חזרה </w:t>
      </w:r>
      <w:r w:rsidRPr="001D49D4">
        <w:rPr>
          <w:rFonts w:ascii="Arial" w:hAnsi="Arial"/>
          <w:sz w:val="16"/>
          <w:szCs w:val="16"/>
          <w:rtl/>
        </w:rPr>
        <w:t>(וה"ה נמי הרחיק שטה אחת דליכא למיחש לזיופא בעי חזרה משום דגזרינן הרחיקו אטו לא הרחיקו דכיון דתקנו רבנן חזרה לא פלוג)</w:t>
      </w:r>
      <w:r w:rsidRPr="001D49D4">
        <w:rPr>
          <w:rFonts w:ascii="Arial" w:hAnsi="Arial"/>
          <w:rtl/>
        </w:rPr>
        <w:t>, דכל שטר שיכול לבא לידי זיוף אע"פ שלא נזדייף פסול מפני שלא נעשה כתיקון חז"ל.</w:t>
      </w:r>
    </w:p>
    <w:p w14:paraId="04F36737" w14:textId="77777777" w:rsidR="001D49D4" w:rsidRPr="001D49D4" w:rsidRDefault="001D49D4" w:rsidP="0004348D">
      <w:pPr>
        <w:spacing w:before="360" w:after="240"/>
        <w:ind w:left="360"/>
        <w:rPr>
          <w:rFonts w:ascii="Arial" w:eastAsia="Calibri" w:hAnsi="Arial" w:cs="Arial"/>
          <w:u w:val="dotted"/>
        </w:rPr>
      </w:pPr>
      <w:r w:rsidRPr="001D49D4">
        <w:rPr>
          <w:rFonts w:ascii="Arial" w:eastAsia="Calibri" w:hAnsi="Arial" w:cs="Arial"/>
          <w:u w:val="dotted"/>
          <w:rtl/>
        </w:rPr>
        <w:t>לרמב"ם וסיעתו, מה הדין אם לא חזרו מעניינו של שטר אבל יש אויר כדי שיטה בין הכתב לעדים</w:t>
      </w:r>
      <w:r w:rsidRPr="001D49D4">
        <w:rPr>
          <w:rFonts w:ascii="Arial" w:eastAsia="Calibri" w:hAnsi="Arial" w:cs="Arial"/>
          <w:u w:val="dotted"/>
          <w:vertAlign w:val="superscript"/>
          <w:rtl/>
        </w:rPr>
        <w:footnoteReference w:id="3476"/>
      </w:r>
      <w:r w:rsidRPr="001D49D4">
        <w:rPr>
          <w:rFonts w:ascii="Arial" w:eastAsia="Calibri" w:hAnsi="Arial" w:cs="Arial"/>
          <w:u w:val="dotted"/>
          <w:rtl/>
        </w:rPr>
        <w:t>:</w:t>
      </w:r>
    </w:p>
    <w:p w14:paraId="08CB6407" w14:textId="77777777" w:rsidR="001D49D4" w:rsidRPr="001D49D4" w:rsidRDefault="001D49D4" w:rsidP="0004348D">
      <w:pPr>
        <w:numPr>
          <w:ilvl w:val="0"/>
          <w:numId w:val="246"/>
        </w:numPr>
        <w:spacing w:before="360" w:after="240"/>
        <w:contextualSpacing/>
        <w:rPr>
          <w:rFonts w:ascii="Arial" w:hAnsi="Arial"/>
          <w:rtl/>
        </w:rPr>
      </w:pPr>
      <w:r w:rsidRPr="001D49D4">
        <w:rPr>
          <w:rFonts w:ascii="Arial" w:hAnsi="Arial"/>
          <w:rtl/>
        </w:rPr>
        <w:t xml:space="preserve">סמ"ע </w:t>
      </w:r>
      <w:r w:rsidRPr="001D49D4">
        <w:rPr>
          <w:rFonts w:ascii="Arial" w:hAnsi="Arial"/>
          <w:sz w:val="16"/>
          <w:szCs w:val="16"/>
          <w:rtl/>
        </w:rPr>
        <w:t xml:space="preserve">(סק"ב) </w:t>
      </w:r>
      <w:r w:rsidRPr="001D49D4">
        <w:rPr>
          <w:rFonts w:ascii="Arial" w:hAnsi="Arial"/>
          <w:rtl/>
        </w:rPr>
        <w:t xml:space="preserve">תומים </w:t>
      </w:r>
      <w:r w:rsidRPr="001D49D4">
        <w:rPr>
          <w:rFonts w:ascii="Arial" w:hAnsi="Arial"/>
          <w:sz w:val="16"/>
          <w:szCs w:val="16"/>
          <w:rtl/>
        </w:rPr>
        <w:t>(סק"א)</w:t>
      </w:r>
      <w:r w:rsidRPr="001D49D4">
        <w:rPr>
          <w:rFonts w:ascii="Arial" w:hAnsi="Arial"/>
          <w:rtl/>
        </w:rPr>
        <w:t xml:space="preserve"> ושעמ"ש</w:t>
      </w:r>
      <w:r w:rsidRPr="001D49D4">
        <w:rPr>
          <w:rFonts w:ascii="Arial" w:hAnsi="Arial"/>
          <w:sz w:val="16"/>
          <w:szCs w:val="16"/>
          <w:rtl/>
        </w:rPr>
        <w:t xml:space="preserve"> (סק"א)</w:t>
      </w:r>
      <w:r w:rsidRPr="001D49D4">
        <w:rPr>
          <w:rFonts w:ascii="Arial" w:hAnsi="Arial"/>
          <w:rtl/>
        </w:rPr>
        <w:t xml:space="preserve">- עדיין אין למדים משיטה אחרונה </w:t>
      </w:r>
      <w:r w:rsidRPr="001D49D4">
        <w:rPr>
          <w:rFonts w:ascii="Arial" w:hAnsi="Arial"/>
          <w:sz w:val="16"/>
          <w:szCs w:val="16"/>
          <w:rtl/>
        </w:rPr>
        <w:t>(דהיינו השיטה שמעל השיטה הריקה)</w:t>
      </w:r>
      <w:r w:rsidRPr="001D49D4">
        <w:rPr>
          <w:rFonts w:ascii="Arial" w:hAnsi="Arial"/>
          <w:rtl/>
        </w:rPr>
        <w:t>.</w:t>
      </w:r>
    </w:p>
    <w:p w14:paraId="7DC9191C" w14:textId="77777777" w:rsidR="001D49D4" w:rsidRPr="001D49D4" w:rsidRDefault="001D49D4" w:rsidP="0004348D">
      <w:pPr>
        <w:numPr>
          <w:ilvl w:val="0"/>
          <w:numId w:val="246"/>
        </w:numPr>
        <w:spacing w:before="360" w:after="240"/>
        <w:contextualSpacing/>
        <w:rPr>
          <w:rFonts w:ascii="Arial" w:hAnsi="Arial"/>
        </w:rPr>
      </w:pPr>
      <w:r w:rsidRPr="001D49D4">
        <w:rPr>
          <w:rFonts w:ascii="Arial" w:hAnsi="Arial"/>
          <w:rtl/>
        </w:rPr>
        <w:t xml:space="preserve">מהרש"ל </w:t>
      </w:r>
      <w:r w:rsidRPr="001D49D4">
        <w:rPr>
          <w:rFonts w:ascii="Arial" w:hAnsi="Arial"/>
          <w:sz w:val="16"/>
          <w:szCs w:val="16"/>
          <w:rtl/>
        </w:rPr>
        <w:t xml:space="preserve">(בחידו' לטור) </w:t>
      </w:r>
      <w:r w:rsidRPr="001D49D4">
        <w:rPr>
          <w:rFonts w:ascii="Arial" w:hAnsi="Arial"/>
          <w:rtl/>
        </w:rPr>
        <w:t>ט"ז וש"ך</w:t>
      </w:r>
      <w:r w:rsidRPr="001D49D4">
        <w:rPr>
          <w:rFonts w:ascii="Arial" w:hAnsi="Arial"/>
          <w:sz w:val="16"/>
          <w:szCs w:val="16"/>
          <w:rtl/>
        </w:rPr>
        <w:t xml:space="preserve"> (סק"ג)</w:t>
      </w:r>
      <w:r w:rsidRPr="001D49D4">
        <w:rPr>
          <w:rFonts w:ascii="Arial" w:hAnsi="Arial"/>
          <w:rtl/>
        </w:rPr>
        <w:t xml:space="preserve">- למדין אפי' משיטה אחרונה.  </w:t>
      </w:r>
    </w:p>
    <w:p w14:paraId="26D54CB2" w14:textId="77777777" w:rsidR="001D49D4" w:rsidRPr="001D49D4" w:rsidRDefault="001D49D4" w:rsidP="0004348D">
      <w:pPr>
        <w:spacing w:before="360" w:after="240"/>
        <w:rPr>
          <w:rFonts w:ascii="Arial" w:eastAsia="Calibri" w:hAnsi="Arial" w:cs="Arial"/>
          <w:u w:val="single"/>
        </w:rPr>
      </w:pPr>
      <w:r w:rsidRPr="001D49D4">
        <w:rPr>
          <w:rFonts w:ascii="Arial" w:eastAsia="Calibri" w:hAnsi="Arial" w:cs="Arial"/>
          <w:u w:val="single"/>
          <w:rtl/>
        </w:rPr>
        <w:t>האם למדין משיטה אחרונה כשהכתוב שם אינו סותר לגמרי מה שכ' למעלה:</w:t>
      </w:r>
    </w:p>
    <w:p w14:paraId="5FEC1683" w14:textId="77777777" w:rsidR="001D49D4" w:rsidRPr="001D49D4" w:rsidRDefault="001D49D4" w:rsidP="0004348D">
      <w:pPr>
        <w:numPr>
          <w:ilvl w:val="0"/>
          <w:numId w:val="247"/>
        </w:numPr>
        <w:spacing w:before="360" w:after="240"/>
        <w:contextualSpacing/>
        <w:rPr>
          <w:rFonts w:ascii="Arial" w:hAnsi="Arial"/>
          <w:rtl/>
        </w:rPr>
      </w:pPr>
      <w:r w:rsidRPr="001D49D4">
        <w:rPr>
          <w:rFonts w:ascii="Arial" w:hAnsi="Arial"/>
          <w:rtl/>
        </w:rPr>
        <w:t xml:space="preserve">רש"י </w:t>
      </w:r>
      <w:r w:rsidRPr="001D49D4">
        <w:rPr>
          <w:rFonts w:ascii="Arial" w:hAnsi="Arial"/>
          <w:sz w:val="16"/>
          <w:szCs w:val="16"/>
          <w:rtl/>
        </w:rPr>
        <w:t>(גיטין יא. ד"ה מענינו)</w:t>
      </w:r>
      <w:r w:rsidRPr="001D49D4">
        <w:rPr>
          <w:rFonts w:ascii="Arial" w:hAnsi="Arial"/>
          <w:rtl/>
        </w:rPr>
        <w:t xml:space="preserve"> מהר"ם</w:t>
      </w:r>
      <w:r w:rsidRPr="001D49D4">
        <w:rPr>
          <w:rFonts w:ascii="Arial" w:hAnsi="Arial"/>
          <w:sz w:val="16"/>
          <w:szCs w:val="16"/>
          <w:rtl/>
        </w:rPr>
        <w:t xml:space="preserve"> (הביאו ההגה"מ)</w:t>
      </w:r>
      <w:r w:rsidRPr="001D49D4">
        <w:rPr>
          <w:rFonts w:ascii="Arial" w:hAnsi="Arial"/>
          <w:rtl/>
        </w:rPr>
        <w:t xml:space="preserve"> והגה"מ</w:t>
      </w:r>
      <w:r w:rsidRPr="001D49D4">
        <w:rPr>
          <w:rFonts w:ascii="Arial" w:hAnsi="Arial"/>
          <w:sz w:val="16"/>
          <w:szCs w:val="16"/>
          <w:rtl/>
        </w:rPr>
        <w:t xml:space="preserve"> (פכ"ז אות ב, הביאו הב"י</w:t>
      </w:r>
      <w:r w:rsidRPr="001D49D4">
        <w:rPr>
          <w:rFonts w:ascii="Arial" w:hAnsi="Arial"/>
          <w:sz w:val="14"/>
          <w:szCs w:val="14"/>
          <w:rtl/>
        </w:rPr>
        <w:t xml:space="preserve"> [סע' ב]</w:t>
      </w:r>
      <w:r w:rsidRPr="001D49D4">
        <w:rPr>
          <w:rFonts w:ascii="Arial" w:hAnsi="Arial"/>
          <w:sz w:val="16"/>
          <w:szCs w:val="16"/>
          <w:rtl/>
        </w:rPr>
        <w:t>)</w:t>
      </w:r>
      <w:r w:rsidRPr="001D49D4">
        <w:rPr>
          <w:rFonts w:ascii="Arial" w:hAnsi="Arial"/>
          <w:rtl/>
        </w:rPr>
        <w:t>- הא דאמרו אין למדין משיטה אחרונה "ה"מ דבר חדש או דבר שסותר לגמרי מה שלמעלה, אבל דבר שאין סותר לגמרי מה שלמעלה כגון קנו ממני בכל לשון של זכות וכו', ולא ידעי אם נעשה הקנין אם לא, לענין זה למדין משיטה אחרונה שכתב וקנינא מיניה דמשמע שכבר נעשה קנין דלמד סתום מן המפורש", וכדו'</w:t>
      </w:r>
      <w:r w:rsidRPr="001D49D4">
        <w:rPr>
          <w:rFonts w:ascii="Arial" w:hAnsi="Arial"/>
          <w:vertAlign w:val="superscript"/>
          <w:rtl/>
        </w:rPr>
        <w:footnoteReference w:id="3477"/>
      </w:r>
      <w:r w:rsidRPr="001D49D4">
        <w:rPr>
          <w:rFonts w:ascii="Arial" w:hAnsi="Arial"/>
          <w:rtl/>
        </w:rPr>
        <w:t xml:space="preserve">. (וכ"פ הסמ"ע </w:t>
      </w:r>
      <w:r w:rsidRPr="001D49D4">
        <w:rPr>
          <w:rFonts w:ascii="Arial" w:hAnsi="Arial"/>
          <w:sz w:val="16"/>
          <w:szCs w:val="16"/>
          <w:rtl/>
        </w:rPr>
        <w:t>[סק"א]</w:t>
      </w:r>
      <w:r w:rsidRPr="001D49D4">
        <w:rPr>
          <w:rFonts w:ascii="Arial" w:hAnsi="Arial"/>
          <w:rtl/>
        </w:rPr>
        <w:t>)</w:t>
      </w:r>
    </w:p>
    <w:p w14:paraId="7F289539" w14:textId="77777777" w:rsidR="001D49D4" w:rsidRPr="001D49D4" w:rsidRDefault="001D49D4" w:rsidP="0004348D">
      <w:pPr>
        <w:spacing w:before="360" w:after="240"/>
        <w:ind w:left="360"/>
        <w:rPr>
          <w:rFonts w:ascii="Arial" w:eastAsia="Calibri" w:hAnsi="Arial" w:cs="Arial"/>
          <w:u w:val="dotted"/>
          <w:rtl/>
        </w:rPr>
      </w:pPr>
      <w:r w:rsidRPr="001D49D4">
        <w:rPr>
          <w:rFonts w:ascii="Arial" w:eastAsia="Calibri" w:hAnsi="Arial" w:cs="Arial"/>
          <w:u w:val="dotted"/>
          <w:rtl/>
        </w:rPr>
        <w:t>האם מה שכותבין בסוף השטר "וקנינא מפלוני לפלוני וכו" מיקרי חזרת השטר:</w:t>
      </w:r>
    </w:p>
    <w:p w14:paraId="52F1B2A7" w14:textId="77777777" w:rsidR="001D49D4" w:rsidRPr="001D49D4" w:rsidRDefault="001D49D4" w:rsidP="0004348D">
      <w:pPr>
        <w:numPr>
          <w:ilvl w:val="0"/>
          <w:numId w:val="248"/>
        </w:numPr>
        <w:spacing w:before="360" w:after="240"/>
        <w:contextualSpacing/>
        <w:rPr>
          <w:rFonts w:ascii="Arial" w:hAnsi="Arial"/>
          <w:rtl/>
        </w:rPr>
      </w:pPr>
      <w:r w:rsidRPr="001D49D4">
        <w:rPr>
          <w:rFonts w:ascii="Arial" w:hAnsi="Arial"/>
          <w:rtl/>
        </w:rPr>
        <w:t>רש"י</w:t>
      </w:r>
      <w:r w:rsidRPr="001D49D4">
        <w:rPr>
          <w:rFonts w:ascii="Arial" w:hAnsi="Arial"/>
          <w:sz w:val="16"/>
          <w:szCs w:val="16"/>
          <w:rtl/>
        </w:rPr>
        <w:t xml:space="preserve"> </w:t>
      </w:r>
      <w:r w:rsidRPr="001D49D4">
        <w:rPr>
          <w:rFonts w:ascii="Arial" w:hAnsi="Arial"/>
          <w:rtl/>
        </w:rPr>
        <w:t>רשב"ם מהר"ם הגה"מ (טור</w:t>
      </w:r>
      <w:r w:rsidRPr="001D49D4">
        <w:rPr>
          <w:rFonts w:ascii="Arial" w:hAnsi="Arial"/>
          <w:sz w:val="16"/>
          <w:szCs w:val="16"/>
          <w:rtl/>
        </w:rPr>
        <w:t xml:space="preserve"> להב' הדרישה</w:t>
      </w:r>
      <w:r w:rsidRPr="001D49D4">
        <w:rPr>
          <w:rFonts w:ascii="Arial" w:hAnsi="Arial"/>
          <w:rtl/>
        </w:rPr>
        <w:t>) ונמוק"י</w:t>
      </w:r>
      <w:r w:rsidRPr="001D49D4">
        <w:rPr>
          <w:rFonts w:ascii="Arial" w:hAnsi="Arial"/>
          <w:vertAlign w:val="superscript"/>
          <w:rtl/>
        </w:rPr>
        <w:footnoteReference w:id="3478"/>
      </w:r>
      <w:r w:rsidRPr="001D49D4">
        <w:rPr>
          <w:rFonts w:ascii="Arial" w:hAnsi="Arial"/>
          <w:rtl/>
        </w:rPr>
        <w:t>- הוי חזרת השטר. (וכ"פ הסמ"ע</w:t>
      </w:r>
      <w:r w:rsidRPr="001D49D4">
        <w:rPr>
          <w:rFonts w:ascii="Arial" w:hAnsi="Arial"/>
          <w:vertAlign w:val="superscript"/>
          <w:rtl/>
        </w:rPr>
        <w:footnoteReference w:id="3479"/>
      </w:r>
      <w:r w:rsidRPr="001D49D4">
        <w:rPr>
          <w:rFonts w:ascii="Arial" w:hAnsi="Arial"/>
          <w:rtl/>
        </w:rPr>
        <w:t xml:space="preserve"> והבאה"ט)</w:t>
      </w:r>
    </w:p>
    <w:p w14:paraId="1D5F8FC1" w14:textId="77777777" w:rsidR="001D49D4" w:rsidRPr="001D49D4" w:rsidRDefault="001D49D4" w:rsidP="0004348D">
      <w:pPr>
        <w:numPr>
          <w:ilvl w:val="0"/>
          <w:numId w:val="248"/>
        </w:numPr>
        <w:spacing w:before="360" w:after="240"/>
        <w:contextualSpacing/>
        <w:rPr>
          <w:rFonts w:ascii="Arial" w:hAnsi="Arial"/>
          <w:rtl/>
        </w:rPr>
      </w:pPr>
      <w:r w:rsidRPr="001D49D4">
        <w:rPr>
          <w:rFonts w:ascii="Arial" w:hAnsi="Arial"/>
          <w:rtl/>
        </w:rPr>
        <w:t xml:space="preserve">תוס' </w:t>
      </w:r>
      <w:r w:rsidRPr="001D49D4">
        <w:rPr>
          <w:rFonts w:ascii="Arial" w:hAnsi="Arial"/>
          <w:sz w:val="16"/>
          <w:szCs w:val="16"/>
          <w:rtl/>
        </w:rPr>
        <w:t xml:space="preserve">(קסב. ד"ה לפי) </w:t>
      </w:r>
      <w:r w:rsidRPr="001D49D4">
        <w:rPr>
          <w:rFonts w:ascii="Arial" w:hAnsi="Arial"/>
          <w:rtl/>
        </w:rPr>
        <w:softHyphen/>
      </w:r>
      <w:r w:rsidRPr="001D49D4">
        <w:rPr>
          <w:rFonts w:ascii="Arial" w:hAnsi="Arial"/>
          <w:rtl/>
        </w:rPr>
        <w:softHyphen/>
      </w:r>
      <w:r w:rsidRPr="001D49D4">
        <w:rPr>
          <w:rFonts w:ascii="Arial" w:hAnsi="Arial"/>
          <w:rtl/>
        </w:rPr>
        <w:softHyphen/>
      </w:r>
      <w:r w:rsidRPr="001D49D4">
        <w:rPr>
          <w:rFonts w:ascii="Arial" w:hAnsi="Arial"/>
          <w:rtl/>
        </w:rPr>
        <w:softHyphen/>
        <w:t>מרדכי</w:t>
      </w:r>
      <w:r w:rsidRPr="001D49D4">
        <w:rPr>
          <w:rFonts w:ascii="Arial" w:hAnsi="Arial"/>
          <w:sz w:val="16"/>
          <w:szCs w:val="16"/>
          <w:rtl/>
        </w:rPr>
        <w:t xml:space="preserve"> (רמז תרמא)</w:t>
      </w:r>
      <w:r w:rsidRPr="001D49D4">
        <w:rPr>
          <w:rFonts w:ascii="Arial" w:hAnsi="Arial"/>
          <w:rtl/>
        </w:rPr>
        <w:t xml:space="preserve"> (וב"י</w:t>
      </w:r>
      <w:r w:rsidRPr="001D49D4">
        <w:rPr>
          <w:rFonts w:ascii="Arial" w:hAnsi="Arial"/>
          <w:sz w:val="16"/>
          <w:szCs w:val="16"/>
          <w:rtl/>
        </w:rPr>
        <w:t xml:space="preserve"> להב' הדרישה</w:t>
      </w:r>
      <w:r w:rsidRPr="001D49D4">
        <w:rPr>
          <w:rFonts w:ascii="Arial" w:hAnsi="Arial"/>
          <w:sz w:val="14"/>
          <w:szCs w:val="14"/>
          <w:rtl/>
        </w:rPr>
        <w:t xml:space="preserve"> [אות א]</w:t>
      </w:r>
      <w:r w:rsidRPr="001D49D4">
        <w:rPr>
          <w:rFonts w:ascii="Arial" w:hAnsi="Arial"/>
          <w:rtl/>
        </w:rPr>
        <w:t xml:space="preserve">)- לא הוי חזרת השטר. </w:t>
      </w:r>
    </w:p>
    <w:p w14:paraId="761AA5D8" w14:textId="77777777" w:rsidR="001D49D4" w:rsidRPr="001D49D4" w:rsidRDefault="001D49D4" w:rsidP="0004348D">
      <w:pPr>
        <w:spacing w:before="360" w:after="240"/>
        <w:jc w:val="both"/>
        <w:rPr>
          <w:rFonts w:ascii="Arial" w:eastAsia="Calibri" w:hAnsi="Arial" w:cs="Arial"/>
          <w:rtl/>
        </w:rPr>
      </w:pPr>
      <w:r w:rsidRPr="001D49D4">
        <w:rPr>
          <w:rFonts w:ascii="Arial" w:eastAsia="Calibri" w:hAnsi="Arial" w:cs="Arial"/>
          <w:b/>
          <w:bCs/>
          <w:sz w:val="32"/>
          <w:szCs w:val="28"/>
          <w:u w:val="single"/>
          <w:rtl/>
        </w:rPr>
        <w:t xml:space="preserve">שו"ע: </w:t>
      </w:r>
    </w:p>
    <w:p w14:paraId="77593B4A" w14:textId="77777777" w:rsidR="001D49D4" w:rsidRPr="001D49D4" w:rsidRDefault="001D49D4" w:rsidP="0004348D">
      <w:pPr>
        <w:spacing w:before="360" w:after="240"/>
        <w:rPr>
          <w:rFonts w:ascii="Arial" w:eastAsia="Calibri" w:hAnsi="Arial" w:cs="Arial"/>
          <w:rtl/>
        </w:rPr>
      </w:pPr>
      <w:r w:rsidRPr="001D49D4">
        <w:rPr>
          <w:rFonts w:ascii="Arial" w:eastAsia="Calibri" w:hAnsi="Arial" w:cs="Arial"/>
          <w:rtl/>
        </w:rPr>
        <w:lastRenderedPageBreak/>
        <w:t xml:space="preserve">צריך להחזיר מעניינו של שטר בשטה אחרונה </w:t>
      </w:r>
      <w:r w:rsidRPr="001D49D4">
        <w:rPr>
          <w:rFonts w:ascii="Arial" w:eastAsia="Calibri" w:hAnsi="Arial" w:cs="Arial"/>
          <w:sz w:val="18"/>
          <w:szCs w:val="18"/>
          <w:rtl/>
        </w:rPr>
        <w:t>[הגה] מפני שאין למדין משטה אחרונה (טור)</w:t>
      </w:r>
      <w:r w:rsidRPr="001D49D4">
        <w:rPr>
          <w:rFonts w:ascii="Arial" w:eastAsia="Calibri" w:hAnsi="Arial" w:cs="Arial"/>
          <w:rtl/>
        </w:rPr>
        <w:t xml:space="preserve"> מפני שאין העדים יכולים לצמצם שיחתמו מיד סמוך לכתב ויש לחוש שמא הניחו שם כדי שטה וכתב המזייף שם מה שרצה</w:t>
      </w:r>
      <w:r w:rsidRPr="001D49D4">
        <w:rPr>
          <w:rFonts w:ascii="Arial" w:eastAsia="Calibri" w:hAnsi="Arial" w:cs="Arial"/>
          <w:vertAlign w:val="superscript"/>
          <w:rtl/>
        </w:rPr>
        <w:footnoteReference w:id="3480"/>
      </w:r>
      <w:r w:rsidRPr="001D49D4">
        <w:rPr>
          <w:rFonts w:ascii="Arial" w:eastAsia="Calibri" w:hAnsi="Arial" w:cs="Arial"/>
          <w:rtl/>
        </w:rPr>
        <w:t>. ואם לא החזיר אין השטר נפסל בכך אלא שאין למדים משטה אחרונה</w:t>
      </w:r>
      <w:r w:rsidRPr="001D49D4">
        <w:rPr>
          <w:rFonts w:ascii="Arial" w:eastAsia="Calibri" w:hAnsi="Arial" w:cs="Arial"/>
          <w:vertAlign w:val="superscript"/>
          <w:rtl/>
        </w:rPr>
        <w:footnoteReference w:id="3481"/>
      </w:r>
      <w:r w:rsidRPr="001D49D4">
        <w:rPr>
          <w:rFonts w:ascii="Arial" w:eastAsia="Calibri" w:hAnsi="Arial" w:cs="Arial"/>
          <w:rtl/>
        </w:rPr>
        <w:t>.</w:t>
      </w:r>
      <w:r w:rsidRPr="001D49D4">
        <w:rPr>
          <w:rFonts w:ascii="Arial" w:eastAsia="Calibri" w:hAnsi="Arial" w:cs="Arial"/>
          <w:sz w:val="18"/>
          <w:szCs w:val="18"/>
          <w:rtl/>
        </w:rPr>
        <w:t xml:space="preserve"> הגה: ודלא כיש אומרים שהשטר כולו פסול דככל שטר שלא נעשה כתיקון חכמים פסול אף על פי שאין טעם לפסלו (טור בשם הרא"ש ותוס'), והא דאין למדין משטה אחרונה היינו במקום שיש חשש שמא זייף אבל אם השטה אחרונה לחובת מוציא השטר למדין ממנה דודאי לא זייף</w:t>
      </w:r>
      <w:r w:rsidRPr="001D49D4">
        <w:rPr>
          <w:rFonts w:ascii="Arial" w:eastAsia="Calibri" w:hAnsi="Arial" w:cs="Arial"/>
          <w:sz w:val="18"/>
          <w:szCs w:val="18"/>
          <w:vertAlign w:val="superscript"/>
          <w:rtl/>
        </w:rPr>
        <w:footnoteReference w:id="3482"/>
      </w:r>
      <w:r w:rsidRPr="001D49D4">
        <w:rPr>
          <w:rFonts w:ascii="Arial" w:eastAsia="Calibri" w:hAnsi="Arial" w:cs="Arial"/>
          <w:sz w:val="18"/>
          <w:szCs w:val="18"/>
          <w:rtl/>
        </w:rPr>
        <w:t xml:space="preserve">. </w:t>
      </w:r>
    </w:p>
    <w:p w14:paraId="35446E69" w14:textId="77777777" w:rsidR="001D49D4" w:rsidRPr="001D49D4" w:rsidRDefault="001D49D4" w:rsidP="0004348D">
      <w:pPr>
        <w:spacing w:before="360" w:after="240"/>
        <w:rPr>
          <w:rFonts w:ascii="Arial" w:eastAsia="Calibri" w:hAnsi="Arial" w:cs="Arial"/>
          <w:rtl/>
        </w:rPr>
      </w:pPr>
    </w:p>
    <w:p w14:paraId="1D4C749C" w14:textId="77777777" w:rsidR="001D49D4" w:rsidRPr="001D49D4" w:rsidRDefault="001D49D4" w:rsidP="0004348D">
      <w:pPr>
        <w:keepNext/>
        <w:keepLines/>
        <w:spacing w:before="360" w:after="240"/>
        <w:outlineLvl w:val="1"/>
        <w:rPr>
          <w:rFonts w:ascii="Arial" w:eastAsia="Times New Roman" w:hAnsi="Arial" w:cs="Arial"/>
          <w:bCs/>
          <w:color w:val="548DD4" w:themeColor="text2" w:themeTint="99"/>
          <w:sz w:val="26"/>
          <w:szCs w:val="26"/>
          <w:rtl/>
        </w:rPr>
      </w:pPr>
      <w:bookmarkStart w:id="464" w:name="_Toc24883900"/>
      <w:r w:rsidRPr="001D49D4">
        <w:rPr>
          <w:rFonts w:ascii="Arial" w:eastAsia="Times New Roman" w:hAnsi="Arial" w:cs="Arial"/>
          <w:bCs/>
          <w:color w:val="548DD4" w:themeColor="text2" w:themeTint="99"/>
          <w:sz w:val="26"/>
          <w:szCs w:val="26"/>
          <w:rtl/>
        </w:rPr>
        <w:t>סעיף ב: שטר שכולו מכתיבת ידו של המתחייב.</w:t>
      </w:r>
      <w:bookmarkEnd w:id="464"/>
    </w:p>
    <w:p w14:paraId="19223C92" w14:textId="77777777" w:rsidR="001D49D4" w:rsidRPr="001D49D4" w:rsidRDefault="001D49D4" w:rsidP="0004348D">
      <w:pPr>
        <w:spacing w:before="360" w:after="240"/>
        <w:jc w:val="both"/>
        <w:rPr>
          <w:rFonts w:ascii="Arial" w:eastAsia="Calibri" w:hAnsi="Arial" w:cs="Arial"/>
          <w:rtl/>
        </w:rPr>
      </w:pPr>
      <w:r w:rsidRPr="001D49D4">
        <w:rPr>
          <w:rFonts w:ascii="Arial" w:eastAsia="Calibri" w:hAnsi="Arial" w:cs="Arial"/>
          <w:b/>
          <w:bCs/>
          <w:sz w:val="32"/>
          <w:szCs w:val="28"/>
          <w:u w:val="single"/>
          <w:rtl/>
        </w:rPr>
        <w:t xml:space="preserve">שו"ע: </w:t>
      </w:r>
    </w:p>
    <w:p w14:paraId="517A73D8" w14:textId="77777777" w:rsidR="001D49D4" w:rsidRPr="001D49D4" w:rsidRDefault="001D49D4" w:rsidP="0004348D">
      <w:pPr>
        <w:spacing w:before="360" w:after="240"/>
        <w:rPr>
          <w:rFonts w:ascii="Arial" w:eastAsia="Calibri" w:hAnsi="Arial" w:cs="Arial"/>
          <w:sz w:val="16"/>
          <w:szCs w:val="16"/>
          <w:rtl/>
        </w:rPr>
      </w:pPr>
      <w:r w:rsidRPr="001D49D4">
        <w:rPr>
          <w:rFonts w:ascii="Arial" w:eastAsia="Calibri" w:hAnsi="Arial" w:cs="Arial"/>
          <w:rtl/>
        </w:rPr>
        <w:t>אם השטר כולו מכתיבת ידו של מי שנתחייב למדין משטה אחרונה</w:t>
      </w:r>
      <w:r w:rsidRPr="001D49D4">
        <w:rPr>
          <w:rFonts w:ascii="Arial" w:eastAsia="Calibri" w:hAnsi="Arial" w:cs="Arial"/>
          <w:vertAlign w:val="superscript"/>
          <w:rtl/>
        </w:rPr>
        <w:footnoteReference w:id="3483"/>
      </w:r>
      <w:r w:rsidRPr="001D49D4">
        <w:rPr>
          <w:rFonts w:ascii="Arial" w:eastAsia="Calibri" w:hAnsi="Arial" w:cs="Arial"/>
          <w:rtl/>
        </w:rPr>
        <w:t>, אבל אם השטר מיד אחר והחייב חתום למטה אין למדין משטה אחרונה</w:t>
      </w:r>
      <w:r w:rsidRPr="001D49D4">
        <w:rPr>
          <w:rFonts w:ascii="Arial" w:eastAsia="Calibri" w:hAnsi="Arial" w:cs="Arial"/>
          <w:vertAlign w:val="superscript"/>
          <w:rtl/>
        </w:rPr>
        <w:footnoteReference w:id="3484"/>
      </w:r>
      <w:r w:rsidRPr="001D49D4">
        <w:rPr>
          <w:rFonts w:ascii="Arial" w:eastAsia="Calibri" w:hAnsi="Arial" w:cs="Arial"/>
          <w:rtl/>
        </w:rPr>
        <w:t xml:space="preserve">. </w:t>
      </w:r>
      <w:r w:rsidRPr="001D49D4">
        <w:rPr>
          <w:rFonts w:ascii="Arial" w:eastAsia="Calibri" w:hAnsi="Arial" w:cs="Arial"/>
          <w:sz w:val="16"/>
          <w:szCs w:val="16"/>
          <w:rtl/>
        </w:rPr>
        <w:t>{רשב"א}</w:t>
      </w:r>
    </w:p>
    <w:p w14:paraId="61BB1842" w14:textId="77777777" w:rsidR="001D49D4" w:rsidRPr="001D49D4" w:rsidRDefault="001D49D4" w:rsidP="0004348D">
      <w:pPr>
        <w:spacing w:before="360" w:after="240"/>
        <w:rPr>
          <w:rFonts w:ascii="Arial" w:eastAsia="Calibri" w:hAnsi="Arial" w:cs="Arial"/>
          <w:rtl/>
        </w:rPr>
      </w:pPr>
    </w:p>
    <w:p w14:paraId="619E804E" w14:textId="77777777" w:rsidR="001D49D4" w:rsidRPr="001D49D4" w:rsidRDefault="001D49D4" w:rsidP="0004348D">
      <w:pPr>
        <w:keepNext/>
        <w:keepLines/>
        <w:spacing w:before="360" w:after="240"/>
        <w:outlineLvl w:val="1"/>
        <w:rPr>
          <w:rFonts w:ascii="Arial" w:eastAsia="Times New Roman" w:hAnsi="Arial" w:cs="Arial"/>
          <w:bCs/>
          <w:color w:val="548DD4" w:themeColor="text2" w:themeTint="99"/>
          <w:sz w:val="26"/>
          <w:szCs w:val="26"/>
          <w:rtl/>
        </w:rPr>
      </w:pPr>
      <w:bookmarkStart w:id="465" w:name="_Toc24883901"/>
      <w:r w:rsidRPr="001D49D4">
        <w:rPr>
          <w:rFonts w:ascii="Arial" w:eastAsia="Times New Roman" w:hAnsi="Arial" w:cs="Arial"/>
          <w:bCs/>
          <w:color w:val="548DD4" w:themeColor="text2" w:themeTint="99"/>
          <w:sz w:val="26"/>
          <w:szCs w:val="26"/>
          <w:rtl/>
        </w:rPr>
        <w:t>סעיף ג: שטר שהעדים חתמו בו באמצע שיטה שניה.</w:t>
      </w:r>
      <w:bookmarkEnd w:id="465"/>
    </w:p>
    <w:p w14:paraId="18AD127F" w14:textId="77777777" w:rsidR="001D49D4" w:rsidRPr="001D49D4" w:rsidRDefault="001D49D4" w:rsidP="0004348D">
      <w:pPr>
        <w:spacing w:before="360" w:after="240"/>
        <w:jc w:val="both"/>
        <w:rPr>
          <w:rFonts w:ascii="Arial" w:eastAsia="Calibri" w:hAnsi="Arial" w:cs="Arial"/>
          <w:rtl/>
        </w:rPr>
      </w:pPr>
      <w:r w:rsidRPr="001D49D4">
        <w:rPr>
          <w:rFonts w:ascii="Arial" w:eastAsia="Calibri" w:hAnsi="Arial" w:cs="Arial"/>
          <w:b/>
          <w:bCs/>
          <w:sz w:val="32"/>
          <w:szCs w:val="28"/>
          <w:u w:val="single"/>
          <w:rtl/>
        </w:rPr>
        <w:t xml:space="preserve">שו"ע: </w:t>
      </w:r>
    </w:p>
    <w:p w14:paraId="42AB43AA" w14:textId="77777777" w:rsidR="001D49D4" w:rsidRPr="001D49D4" w:rsidRDefault="001D49D4" w:rsidP="0004348D">
      <w:pPr>
        <w:spacing w:before="360" w:after="240"/>
        <w:rPr>
          <w:rFonts w:ascii="Arial" w:eastAsia="Calibri" w:hAnsi="Arial" w:cs="Arial"/>
          <w:rtl/>
        </w:rPr>
      </w:pPr>
      <w:r w:rsidRPr="001D49D4">
        <w:rPr>
          <w:rFonts w:ascii="Arial" w:eastAsia="Calibri" w:hAnsi="Arial" w:cs="Arial"/>
          <w:vertAlign w:val="superscript"/>
          <w:rtl/>
        </w:rPr>
        <w:footnoteReference w:id="3485"/>
      </w:r>
      <w:r w:rsidRPr="001D49D4">
        <w:rPr>
          <w:rFonts w:ascii="Arial" w:eastAsia="Calibri" w:hAnsi="Arial" w:cs="Arial"/>
          <w:rtl/>
        </w:rPr>
        <w:t xml:space="preserve">אם סיים השטר בסוף שטה, והרחיקו העדים שטה שלימה, וחתמו העדים באמצע שטה שנייה, אין למדין מחצי שטה אחרונה ומשטה שלימה שלפניה. </w:t>
      </w:r>
      <w:r w:rsidRPr="001D49D4">
        <w:rPr>
          <w:rFonts w:ascii="Arial" w:eastAsia="Calibri" w:hAnsi="Arial" w:cs="Arial"/>
          <w:sz w:val="18"/>
          <w:szCs w:val="18"/>
          <w:rtl/>
        </w:rPr>
        <w:t xml:space="preserve">הגה: אם נמצא דבר כתוב בחצי שטה שלפניהם ובשטה שלפניה, ודוקא שחתמו העדים זה תחת זה, אבל אם חתמו זה אחר זה כל השטר פסול, כדלקמן סימן מ"ה סעיף י'. </w:t>
      </w:r>
    </w:p>
    <w:p w14:paraId="3F4FAD12" w14:textId="77777777" w:rsidR="001D49D4" w:rsidRPr="001D49D4" w:rsidRDefault="001D49D4" w:rsidP="0004348D">
      <w:pPr>
        <w:spacing w:before="360" w:after="240"/>
        <w:rPr>
          <w:rFonts w:ascii="Arial" w:eastAsia="Calibri" w:hAnsi="Arial" w:cs="Arial"/>
          <w:u w:val="single"/>
          <w:rtl/>
        </w:rPr>
      </w:pPr>
      <w:r w:rsidRPr="001D49D4">
        <w:rPr>
          <w:rFonts w:ascii="Arial" w:eastAsia="Calibri" w:hAnsi="Arial" w:cs="Arial"/>
          <w:u w:val="single"/>
          <w:rtl/>
        </w:rPr>
        <w:t xml:space="preserve">ב' דרכים להבנת דברי הרמ"א </w:t>
      </w:r>
      <w:r w:rsidRPr="001D49D4">
        <w:rPr>
          <w:rFonts w:ascii="Arial" w:eastAsia="Calibri" w:hAnsi="Arial" w:cs="Arial"/>
          <w:sz w:val="16"/>
          <w:szCs w:val="16"/>
          <w:u w:val="single"/>
          <w:rtl/>
        </w:rPr>
        <w:t>(אמנם לדינא הכל א' וכולם מסכימים)</w:t>
      </w:r>
      <w:r w:rsidRPr="001D49D4">
        <w:rPr>
          <w:rFonts w:ascii="Arial" w:eastAsia="Calibri" w:hAnsi="Arial" w:cs="Arial"/>
          <w:u w:val="single"/>
          <w:rtl/>
        </w:rPr>
        <w:t>:</w:t>
      </w:r>
    </w:p>
    <w:p w14:paraId="6EAF5CFC" w14:textId="77777777" w:rsidR="001D49D4" w:rsidRPr="001D49D4" w:rsidRDefault="001D49D4" w:rsidP="0004348D">
      <w:pPr>
        <w:numPr>
          <w:ilvl w:val="0"/>
          <w:numId w:val="249"/>
        </w:numPr>
        <w:spacing w:before="360" w:after="240"/>
        <w:contextualSpacing/>
        <w:rPr>
          <w:rFonts w:ascii="Arial" w:hAnsi="Arial"/>
          <w:rtl/>
        </w:rPr>
      </w:pPr>
      <w:r w:rsidRPr="001D49D4">
        <w:rPr>
          <w:rFonts w:ascii="Arial" w:hAnsi="Arial"/>
          <w:rtl/>
        </w:rPr>
        <w:t>סמ"ע</w:t>
      </w:r>
      <w:r w:rsidRPr="001D49D4">
        <w:rPr>
          <w:rFonts w:ascii="Arial" w:hAnsi="Arial"/>
          <w:sz w:val="16"/>
          <w:szCs w:val="16"/>
          <w:rtl/>
        </w:rPr>
        <w:t xml:space="preserve"> (סק"ה)</w:t>
      </w:r>
      <w:r w:rsidRPr="001D49D4">
        <w:rPr>
          <w:rFonts w:ascii="Arial" w:hAnsi="Arial"/>
          <w:rtl/>
        </w:rPr>
        <w:t>- "כאן מיירי בשטר שידוע שבתחילה בשעה שחתמו עברו העדים והרחיקו חתימתן שורה ומחצה, ובשעה שבא המלוה לגבות בו בב"ד רואים שאין ריוח לפני העדים, על זה כ' המחבר, וביארו מור"ם, דאם העדים הן חתומין זה תחת זה אז השטר כשר אפילו לטרוף בו ממשעבדי, אלא שאין למדין משיטה ומחצה האחרונה כיון דנודע להן שהוא ניתוסף בשטר אחר חתימת העדים, ואם הן חתומין זה בצד זה, אז כל השטר פסול, כיון דהיה יכול לזייפו לחתוך שטר העליון ולכתוב בחצי השורה שלפני העדים פלוני לוה מפלוני מנה, דהוה ליה שטר ועדיו בשורה אחת דכשר</w:t>
      </w:r>
      <w:r w:rsidRPr="001D49D4">
        <w:rPr>
          <w:rFonts w:ascii="Arial" w:hAnsi="Arial"/>
          <w:sz w:val="14"/>
          <w:szCs w:val="14"/>
          <w:rtl/>
        </w:rPr>
        <w:t xml:space="preserve"> (כמ"ש בסי' מ"ה בטור [סע' י'-י"א] ובדברי המחבר סע' [י'-]י"א)</w:t>
      </w:r>
      <w:r w:rsidRPr="001D49D4">
        <w:rPr>
          <w:rFonts w:ascii="Arial" w:hAnsi="Arial"/>
          <w:rtl/>
        </w:rPr>
        <w:t>. וכ"ש אם בא לפני ב"ד ועדיין לא נכתב באותו אויר כלום דפסול כל השטר".</w:t>
      </w:r>
    </w:p>
    <w:p w14:paraId="588F1A65" w14:textId="77777777" w:rsidR="001D49D4" w:rsidRPr="001D49D4" w:rsidRDefault="001D49D4" w:rsidP="0004348D">
      <w:pPr>
        <w:numPr>
          <w:ilvl w:val="0"/>
          <w:numId w:val="249"/>
        </w:numPr>
        <w:spacing w:before="360" w:after="240"/>
        <w:contextualSpacing/>
        <w:rPr>
          <w:rFonts w:ascii="Arial" w:hAnsi="Arial"/>
        </w:rPr>
      </w:pPr>
      <w:r w:rsidRPr="001D49D4">
        <w:rPr>
          <w:rFonts w:ascii="Arial" w:hAnsi="Arial"/>
          <w:rtl/>
        </w:rPr>
        <w:lastRenderedPageBreak/>
        <w:t xml:space="preserve">ש"ך </w:t>
      </w:r>
      <w:r w:rsidRPr="001D49D4">
        <w:rPr>
          <w:rFonts w:ascii="Arial" w:hAnsi="Arial"/>
          <w:sz w:val="16"/>
          <w:szCs w:val="16"/>
          <w:rtl/>
        </w:rPr>
        <w:t>(סק"ט)</w:t>
      </w:r>
      <w:r w:rsidRPr="001D49D4">
        <w:rPr>
          <w:rFonts w:ascii="Arial" w:hAnsi="Arial"/>
          <w:rtl/>
        </w:rPr>
        <w:t xml:space="preserve"> וגר"א </w:t>
      </w:r>
      <w:r w:rsidRPr="001D49D4">
        <w:rPr>
          <w:rFonts w:ascii="Arial" w:hAnsi="Arial"/>
          <w:sz w:val="16"/>
          <w:szCs w:val="16"/>
          <w:rtl/>
        </w:rPr>
        <w:t>(סק"ז)</w:t>
      </w:r>
      <w:r w:rsidRPr="001D49D4">
        <w:rPr>
          <w:rFonts w:ascii="Arial" w:hAnsi="Arial"/>
          <w:rtl/>
        </w:rPr>
        <w:t>- "אם נמצא דבר כתוב אין למדין מטעם שנתבאר דהעדים היו מניחים כך ריוח והיה כשר, אבל אם חתמו זה אחר זה למדין, דכל השטר פסול אם היו העדים מניחים כך ריוח כדלקמן סימן מ"ה סעיף י', והלכך ודאי לא הניחו כלום ולמדין".</w:t>
      </w:r>
    </w:p>
    <w:p w14:paraId="04F46F6F" w14:textId="77777777" w:rsidR="001D49D4" w:rsidRPr="001D49D4" w:rsidRDefault="001D49D4" w:rsidP="0004348D">
      <w:pPr>
        <w:spacing w:before="360" w:after="240"/>
        <w:rPr>
          <w:rFonts w:ascii="Arial" w:eastAsia="Calibri" w:hAnsi="Arial" w:cs="Arial"/>
        </w:rPr>
      </w:pPr>
    </w:p>
    <w:p w14:paraId="3063A787" w14:textId="77777777" w:rsidR="001D49D4" w:rsidRPr="001D49D4" w:rsidRDefault="001D49D4" w:rsidP="0004348D">
      <w:pPr>
        <w:keepNext/>
        <w:keepLines/>
        <w:spacing w:before="360" w:after="240"/>
        <w:outlineLvl w:val="1"/>
        <w:rPr>
          <w:rFonts w:ascii="Arial" w:eastAsia="Times New Roman" w:hAnsi="Arial" w:cs="Arial"/>
          <w:bCs/>
          <w:color w:val="548DD4" w:themeColor="text2" w:themeTint="99"/>
          <w:sz w:val="26"/>
          <w:szCs w:val="26"/>
          <w:rtl/>
        </w:rPr>
      </w:pPr>
      <w:bookmarkStart w:id="466" w:name="_Toc24883902"/>
      <w:r w:rsidRPr="001D49D4">
        <w:rPr>
          <w:rFonts w:ascii="Arial" w:eastAsia="Times New Roman" w:hAnsi="Arial" w:cs="Arial"/>
          <w:bCs/>
          <w:color w:val="548DD4" w:themeColor="text2" w:themeTint="99"/>
          <w:sz w:val="26"/>
          <w:szCs w:val="26"/>
          <w:rtl/>
        </w:rPr>
        <w:t>סעיף ד: שטר שכ' בו "שריר וקיים".</w:t>
      </w:r>
      <w:bookmarkEnd w:id="466"/>
    </w:p>
    <w:p w14:paraId="7A1EB457" w14:textId="77777777" w:rsidR="001D49D4" w:rsidRPr="001D49D4" w:rsidRDefault="001D49D4" w:rsidP="0004348D">
      <w:pPr>
        <w:spacing w:before="360" w:after="240"/>
        <w:rPr>
          <w:rFonts w:ascii="Arial" w:eastAsia="Calibri" w:hAnsi="Arial" w:cs="Arial"/>
          <w:rtl/>
        </w:rPr>
      </w:pPr>
      <w:r w:rsidRPr="001D49D4">
        <w:rPr>
          <w:rFonts w:ascii="Arial" w:eastAsia="Calibri" w:hAnsi="Arial" w:cs="Arial"/>
          <w:u w:val="single"/>
          <w:rtl/>
        </w:rPr>
        <w:t>כתיבת שריר וקיים:</w:t>
      </w:r>
    </w:p>
    <w:p w14:paraId="06F966B2" w14:textId="77777777" w:rsidR="001D49D4" w:rsidRPr="001D49D4" w:rsidRDefault="001D49D4" w:rsidP="0004348D">
      <w:pPr>
        <w:numPr>
          <w:ilvl w:val="0"/>
          <w:numId w:val="250"/>
        </w:numPr>
        <w:spacing w:before="360" w:after="240"/>
        <w:contextualSpacing/>
        <w:rPr>
          <w:rFonts w:ascii="Arial" w:hAnsi="Arial"/>
          <w:rtl/>
        </w:rPr>
      </w:pPr>
      <w:r w:rsidRPr="001D49D4">
        <w:rPr>
          <w:rFonts w:ascii="Arial" w:hAnsi="Arial"/>
          <w:rtl/>
        </w:rPr>
        <w:t>רא"ש</w:t>
      </w:r>
      <w:r w:rsidRPr="001D49D4">
        <w:rPr>
          <w:rFonts w:ascii="Arial" w:hAnsi="Arial"/>
          <w:sz w:val="16"/>
          <w:szCs w:val="16"/>
          <w:rtl/>
        </w:rPr>
        <w:t xml:space="preserve"> (סי' ב)</w:t>
      </w:r>
      <w:r w:rsidRPr="001D49D4">
        <w:rPr>
          <w:rFonts w:ascii="Arial" w:hAnsi="Arial"/>
          <w:rtl/>
        </w:rPr>
        <w:t>- האידנא נהגו לכתוב קיום מחקים ותלויות אחר וקנינא לפי שהורגלו עתה לכ' בכל השטרות שריר וקיים וא"א לזייף</w:t>
      </w:r>
      <w:r w:rsidRPr="001D49D4">
        <w:rPr>
          <w:rFonts w:ascii="Arial" w:hAnsi="Arial"/>
          <w:vertAlign w:val="superscript"/>
          <w:rtl/>
        </w:rPr>
        <w:footnoteReference w:id="3486"/>
      </w:r>
      <w:r w:rsidRPr="001D49D4">
        <w:rPr>
          <w:rFonts w:ascii="Arial" w:hAnsi="Arial"/>
          <w:rtl/>
        </w:rPr>
        <w:t>, ולמדין משיטה אחרונה וא"צ להחזיר מענינו של שטר, מש"ה שטר שאין בו שריר וקיים פסול</w:t>
      </w:r>
      <w:r w:rsidRPr="001D49D4">
        <w:rPr>
          <w:rFonts w:ascii="Arial" w:hAnsi="Arial"/>
          <w:vertAlign w:val="superscript"/>
          <w:rtl/>
        </w:rPr>
        <w:footnoteReference w:id="3487"/>
      </w:r>
      <w:r w:rsidRPr="001D49D4">
        <w:rPr>
          <w:rFonts w:ascii="Arial" w:hAnsi="Arial"/>
          <w:rtl/>
        </w:rPr>
        <w:t xml:space="preserve"> ואין להם לעדים לחתום אא"כ כ' בו שריר וקיים </w:t>
      </w:r>
      <w:r w:rsidRPr="001D49D4">
        <w:rPr>
          <w:rFonts w:ascii="Arial" w:hAnsi="Arial"/>
          <w:sz w:val="16"/>
          <w:szCs w:val="16"/>
          <w:rtl/>
        </w:rPr>
        <w:t>(שאם יחתמו בלא שריר וקיים ימחוק למעלה חובתו ויכתוב על המחק מה שירצה ויקיימנו בשיטה אחרונה)</w:t>
      </w:r>
      <w:r w:rsidRPr="001D49D4">
        <w:rPr>
          <w:rFonts w:ascii="Arial" w:hAnsi="Arial"/>
          <w:rtl/>
        </w:rPr>
        <w:t xml:space="preserve">. </w:t>
      </w:r>
    </w:p>
    <w:p w14:paraId="28E55C29" w14:textId="77777777" w:rsidR="001D49D4" w:rsidRPr="001D49D4" w:rsidRDefault="001D49D4" w:rsidP="0004348D">
      <w:pPr>
        <w:spacing w:before="360" w:after="240"/>
        <w:rPr>
          <w:rFonts w:ascii="Arial" w:eastAsia="Calibri" w:hAnsi="Arial" w:cs="Arial"/>
          <w:u w:val="single"/>
          <w:rtl/>
        </w:rPr>
      </w:pPr>
      <w:r w:rsidRPr="001D49D4">
        <w:rPr>
          <w:rFonts w:ascii="Arial" w:eastAsia="Calibri" w:hAnsi="Arial" w:cs="Arial"/>
          <w:u w:val="single"/>
          <w:rtl/>
        </w:rPr>
        <w:t xml:space="preserve">האם למדין משיטה אחרונה היכא דכתיב ביה "שריר וקיים": </w:t>
      </w:r>
    </w:p>
    <w:p w14:paraId="020D4BCB" w14:textId="77777777" w:rsidR="001D49D4" w:rsidRPr="001D49D4" w:rsidRDefault="001D49D4" w:rsidP="0004348D">
      <w:pPr>
        <w:numPr>
          <w:ilvl w:val="0"/>
          <w:numId w:val="251"/>
        </w:numPr>
        <w:spacing w:before="360" w:after="240"/>
        <w:contextualSpacing/>
        <w:rPr>
          <w:rFonts w:ascii="Arial" w:hAnsi="Arial"/>
          <w:rtl/>
        </w:rPr>
      </w:pPr>
      <w:r w:rsidRPr="001D49D4">
        <w:rPr>
          <w:rFonts w:ascii="Arial" w:hAnsi="Arial"/>
          <w:rtl/>
        </w:rPr>
        <w:t>רשב"ם ר"ת ר"י</w:t>
      </w:r>
      <w:r w:rsidRPr="001D49D4">
        <w:rPr>
          <w:rFonts w:ascii="Arial" w:hAnsi="Arial"/>
          <w:vertAlign w:val="superscript"/>
          <w:rtl/>
        </w:rPr>
        <w:footnoteReference w:id="3488"/>
      </w:r>
      <w:r w:rsidRPr="001D49D4">
        <w:rPr>
          <w:rFonts w:ascii="Arial" w:hAnsi="Arial"/>
          <w:rtl/>
        </w:rPr>
        <w:t xml:space="preserve"> ראבי"ה תוס'</w:t>
      </w:r>
      <w:r w:rsidRPr="001D49D4">
        <w:rPr>
          <w:rFonts w:ascii="Arial" w:hAnsi="Arial"/>
          <w:vertAlign w:val="superscript"/>
          <w:rtl/>
        </w:rPr>
        <w:footnoteReference w:id="3489"/>
      </w:r>
      <w:r w:rsidRPr="001D49D4">
        <w:rPr>
          <w:rFonts w:ascii="Arial" w:hAnsi="Arial"/>
          <w:sz w:val="16"/>
          <w:szCs w:val="16"/>
          <w:rtl/>
        </w:rPr>
        <w:t xml:space="preserve"> </w:t>
      </w:r>
      <w:r w:rsidRPr="001D49D4">
        <w:rPr>
          <w:rFonts w:ascii="Arial" w:hAnsi="Arial"/>
          <w:rtl/>
        </w:rPr>
        <w:t>מרדכי רא"ש ורשב"ץ</w:t>
      </w:r>
      <w:r w:rsidRPr="001D49D4">
        <w:rPr>
          <w:rFonts w:ascii="Arial" w:hAnsi="Arial"/>
          <w:vertAlign w:val="superscript"/>
          <w:rtl/>
        </w:rPr>
        <w:footnoteReference w:id="3490"/>
      </w:r>
      <w:r w:rsidRPr="001D49D4">
        <w:rPr>
          <w:rFonts w:ascii="Arial" w:hAnsi="Arial"/>
          <w:rtl/>
        </w:rPr>
        <w:t xml:space="preserve">- היכא דכתיב ביה שריר וקיים למדין משטה אחרונה, </w:t>
      </w:r>
      <w:r w:rsidRPr="001D49D4">
        <w:rPr>
          <w:rFonts w:ascii="Arial" w:hAnsi="Arial"/>
          <w:vertAlign w:val="superscript"/>
          <w:rtl/>
        </w:rPr>
        <w:footnoteReference w:id="3491"/>
      </w:r>
      <w:r w:rsidRPr="001D49D4">
        <w:rPr>
          <w:rFonts w:ascii="Arial" w:hAnsi="Arial"/>
          <w:rtl/>
        </w:rPr>
        <w:t>ומעשים בכל יום לכתוב קיום מחיקות בשיטה אחרונה ולמדין ממנה כיון דכתיב והכל שריר וקיים.</w:t>
      </w:r>
      <w:r w:rsidRPr="001D49D4">
        <w:rPr>
          <w:rFonts w:ascii="Arial" w:hAnsi="Arial"/>
          <w:color w:val="E36C0A" w:themeColor="accent6" w:themeShade="BF"/>
          <w:rtl/>
        </w:rPr>
        <w:t xml:space="preserve"> (וכ"פ בשו"ע)</w:t>
      </w:r>
      <w:r w:rsidRPr="001D49D4">
        <w:rPr>
          <w:rFonts w:ascii="Arial" w:hAnsi="Arial"/>
          <w:rtl/>
        </w:rPr>
        <w:t xml:space="preserve"> (וכ"פ הב"ח סמ"ע וגר"א</w:t>
      </w:r>
      <w:r w:rsidRPr="001D49D4">
        <w:rPr>
          <w:rFonts w:ascii="Arial" w:hAnsi="Arial"/>
          <w:sz w:val="16"/>
          <w:szCs w:val="16"/>
          <w:rtl/>
        </w:rPr>
        <w:t xml:space="preserve"> [סקי"ט]</w:t>
      </w:r>
      <w:r w:rsidRPr="001D49D4">
        <w:rPr>
          <w:rFonts w:ascii="Arial" w:hAnsi="Arial"/>
          <w:rtl/>
        </w:rPr>
        <w:t>)</w:t>
      </w:r>
    </w:p>
    <w:p w14:paraId="53215561" w14:textId="77777777" w:rsidR="001D49D4" w:rsidRPr="001D49D4" w:rsidRDefault="001D49D4" w:rsidP="0004348D">
      <w:pPr>
        <w:numPr>
          <w:ilvl w:val="0"/>
          <w:numId w:val="251"/>
        </w:numPr>
        <w:spacing w:before="360" w:after="240"/>
        <w:contextualSpacing/>
        <w:rPr>
          <w:rFonts w:ascii="Arial" w:hAnsi="Arial"/>
        </w:rPr>
      </w:pPr>
      <w:r w:rsidRPr="001D49D4">
        <w:rPr>
          <w:rFonts w:ascii="Arial" w:hAnsi="Arial"/>
          <w:rtl/>
        </w:rPr>
        <w:t>ריב"ם רמב"ם רמב"ן וריטב"א</w:t>
      </w:r>
      <w:r w:rsidRPr="001D49D4">
        <w:rPr>
          <w:rFonts w:ascii="Arial" w:hAnsi="Arial"/>
          <w:vertAlign w:val="superscript"/>
          <w:rtl/>
        </w:rPr>
        <w:footnoteReference w:id="3492"/>
      </w:r>
      <w:r w:rsidRPr="001D49D4">
        <w:rPr>
          <w:rFonts w:ascii="Arial" w:hAnsi="Arial"/>
          <w:rtl/>
        </w:rPr>
        <w:t>- אפילו דכתב שריר וקיים אין למדין משיטה אחרונה, וצריך שיחזור מענינו של שטר בשיטה אחרונה. (וכ"פ הש"ך</w:t>
      </w:r>
      <w:r w:rsidRPr="001D49D4">
        <w:rPr>
          <w:rFonts w:ascii="Arial" w:hAnsi="Arial"/>
          <w:sz w:val="16"/>
          <w:szCs w:val="16"/>
          <w:rtl/>
        </w:rPr>
        <w:t xml:space="preserve"> [סק"י]</w:t>
      </w:r>
      <w:r w:rsidRPr="001D49D4">
        <w:rPr>
          <w:rFonts w:ascii="Arial" w:hAnsi="Arial"/>
          <w:rtl/>
        </w:rPr>
        <w:t xml:space="preserve">) </w:t>
      </w:r>
    </w:p>
    <w:p w14:paraId="40D551A4" w14:textId="77777777" w:rsidR="001D49D4" w:rsidRPr="001D49D4" w:rsidRDefault="001D49D4" w:rsidP="0004348D">
      <w:pPr>
        <w:spacing w:before="360" w:after="240"/>
        <w:jc w:val="both"/>
        <w:rPr>
          <w:rFonts w:ascii="Arial" w:eastAsia="Calibri" w:hAnsi="Arial" w:cs="Arial"/>
        </w:rPr>
      </w:pPr>
      <w:r w:rsidRPr="001D49D4">
        <w:rPr>
          <w:rFonts w:ascii="Arial" w:eastAsia="Calibri" w:hAnsi="Arial" w:cs="Arial"/>
          <w:b/>
          <w:bCs/>
          <w:sz w:val="32"/>
          <w:szCs w:val="28"/>
          <w:u w:val="single"/>
          <w:rtl/>
        </w:rPr>
        <w:t xml:space="preserve">שו"ע: </w:t>
      </w:r>
    </w:p>
    <w:p w14:paraId="52A9E488" w14:textId="77777777" w:rsidR="001D49D4" w:rsidRPr="001D49D4" w:rsidRDefault="001D49D4" w:rsidP="0004348D">
      <w:pPr>
        <w:spacing w:before="360" w:after="240"/>
        <w:rPr>
          <w:rFonts w:ascii="Arial" w:eastAsia="Calibri" w:hAnsi="Arial" w:cs="Arial"/>
          <w:rtl/>
        </w:rPr>
      </w:pPr>
      <w:r w:rsidRPr="001D49D4">
        <w:rPr>
          <w:rFonts w:ascii="Arial" w:eastAsia="Calibri" w:hAnsi="Arial" w:cs="Arial"/>
          <w:rtl/>
        </w:rPr>
        <w:t>היכא דכתיב ביה: שריר וקיים למדין משטה אחרונה</w:t>
      </w:r>
      <w:r w:rsidRPr="001D49D4">
        <w:rPr>
          <w:rFonts w:ascii="Arial" w:eastAsia="Calibri" w:hAnsi="Arial" w:cs="Arial"/>
          <w:vertAlign w:val="superscript"/>
          <w:rtl/>
        </w:rPr>
        <w:footnoteReference w:id="3493"/>
      </w:r>
      <w:r w:rsidRPr="001D49D4">
        <w:rPr>
          <w:rFonts w:ascii="Arial" w:eastAsia="Calibri" w:hAnsi="Arial" w:cs="Arial"/>
          <w:rtl/>
        </w:rPr>
        <w:t xml:space="preserve">. </w:t>
      </w:r>
      <w:r w:rsidRPr="001D49D4">
        <w:rPr>
          <w:rFonts w:ascii="Arial" w:eastAsia="Calibri" w:hAnsi="Arial" w:cs="Arial"/>
          <w:sz w:val="18"/>
          <w:szCs w:val="18"/>
          <w:rtl/>
        </w:rPr>
        <w:t>[הגה] ואין צריך לחזור מעניינו של שטר בשטה אחרונה (טור).</w:t>
      </w:r>
      <w:r w:rsidRPr="001D49D4">
        <w:rPr>
          <w:rFonts w:ascii="Arial" w:eastAsia="Calibri" w:hAnsi="Arial" w:cs="Arial"/>
          <w:rtl/>
        </w:rPr>
        <w:t xml:space="preserve"> </w:t>
      </w:r>
    </w:p>
    <w:p w14:paraId="5AB11B15" w14:textId="77777777" w:rsidR="001D49D4" w:rsidRPr="001D49D4" w:rsidRDefault="001D49D4" w:rsidP="0004348D">
      <w:pPr>
        <w:spacing w:before="360" w:after="240"/>
        <w:rPr>
          <w:rFonts w:ascii="Arial" w:eastAsia="Calibri" w:hAnsi="Arial" w:cs="Arial"/>
          <w:rtl/>
        </w:rPr>
      </w:pPr>
    </w:p>
    <w:p w14:paraId="5768E120" w14:textId="77777777" w:rsidR="001D49D4" w:rsidRPr="001D49D4" w:rsidRDefault="001D49D4" w:rsidP="0004348D">
      <w:pPr>
        <w:keepNext/>
        <w:keepLines/>
        <w:spacing w:before="360" w:after="240"/>
        <w:outlineLvl w:val="1"/>
        <w:rPr>
          <w:rFonts w:ascii="Arial" w:eastAsia="Times New Roman" w:hAnsi="Arial" w:cs="Arial"/>
          <w:bCs/>
          <w:color w:val="548DD4" w:themeColor="text2" w:themeTint="99"/>
          <w:sz w:val="26"/>
          <w:szCs w:val="26"/>
          <w:rtl/>
        </w:rPr>
      </w:pPr>
      <w:bookmarkStart w:id="467" w:name="_Toc24883903"/>
      <w:r w:rsidRPr="001D49D4">
        <w:rPr>
          <w:rFonts w:ascii="Arial" w:eastAsia="Times New Roman" w:hAnsi="Arial" w:cs="Arial"/>
          <w:bCs/>
          <w:color w:val="548DD4" w:themeColor="text2" w:themeTint="99"/>
          <w:sz w:val="26"/>
          <w:szCs w:val="26"/>
          <w:rtl/>
        </w:rPr>
        <w:t>סעיף ה: שטר שיש בו מחקים/ תלויות/ תיבות שעבר עליהם הקולמוס.</w:t>
      </w:r>
      <w:bookmarkEnd w:id="467"/>
    </w:p>
    <w:p w14:paraId="6D916310" w14:textId="77777777" w:rsidR="001D49D4" w:rsidRPr="001D49D4" w:rsidRDefault="001D49D4" w:rsidP="0004348D">
      <w:pPr>
        <w:spacing w:before="360" w:after="240"/>
        <w:rPr>
          <w:rFonts w:ascii="Arial" w:eastAsia="Calibri" w:hAnsi="Arial" w:cs="Arial"/>
          <w:rtl/>
        </w:rPr>
      </w:pPr>
      <w:r w:rsidRPr="001D49D4">
        <w:rPr>
          <w:rFonts w:ascii="Arial" w:eastAsia="Calibri" w:hAnsi="Arial" w:cs="Arial"/>
          <w:b/>
          <w:bCs/>
          <w:rtl/>
        </w:rPr>
        <w:t>בבא בתרא קסא ע"ב:</w:t>
      </w:r>
      <w:r w:rsidRPr="001D49D4">
        <w:rPr>
          <w:rFonts w:ascii="Arial" w:eastAsia="Calibri" w:hAnsi="Arial" w:cs="Arial"/>
          <w:rtl/>
        </w:rPr>
        <w:t xml:space="preserve"> </w:t>
      </w:r>
      <w:r w:rsidRPr="001D49D4">
        <w:rPr>
          <w:rFonts w:ascii="Arial" w:eastAsia="Calibri" w:hAnsi="Arial" w:cs="Arial"/>
          <w:u w:val="single"/>
          <w:rtl/>
        </w:rPr>
        <w:t>א"ר יצחק בר יוסף אמר ר' יוחנן</w:t>
      </w:r>
      <w:r w:rsidRPr="001D49D4">
        <w:rPr>
          <w:rFonts w:ascii="Arial" w:eastAsia="Calibri" w:hAnsi="Arial" w:cs="Arial"/>
          <w:rtl/>
        </w:rPr>
        <w:t>: כל המחקין כולן צריך שיכתוב ודין</w:t>
      </w:r>
      <w:r w:rsidRPr="001D49D4">
        <w:rPr>
          <w:rFonts w:ascii="Arial" w:eastAsia="Calibri" w:hAnsi="Arial" w:cs="Arial"/>
          <w:vertAlign w:val="superscript"/>
          <w:rtl/>
        </w:rPr>
        <w:footnoteReference w:id="3494"/>
      </w:r>
      <w:r w:rsidRPr="001D49D4">
        <w:rPr>
          <w:rFonts w:ascii="Arial" w:eastAsia="Calibri" w:hAnsi="Arial" w:cs="Arial"/>
          <w:rtl/>
        </w:rPr>
        <w:t xml:space="preserve"> קיומיהון. </w:t>
      </w:r>
    </w:p>
    <w:p w14:paraId="7D923FDD" w14:textId="77777777" w:rsidR="001D49D4" w:rsidRPr="001D49D4" w:rsidRDefault="001D49D4" w:rsidP="0004348D">
      <w:pPr>
        <w:spacing w:before="360" w:after="240"/>
        <w:rPr>
          <w:rFonts w:ascii="Arial" w:eastAsia="Calibri" w:hAnsi="Arial" w:cs="Arial"/>
          <w:sz w:val="16"/>
          <w:szCs w:val="16"/>
          <w:rtl/>
        </w:rPr>
      </w:pPr>
      <w:r w:rsidRPr="001D49D4">
        <w:rPr>
          <w:rFonts w:ascii="Arial" w:eastAsia="Calibri" w:hAnsi="Arial" w:cs="Arial"/>
          <w:b/>
          <w:bCs/>
          <w:rtl/>
        </w:rPr>
        <w:t>ירושלמי</w:t>
      </w:r>
      <w:r w:rsidRPr="001D49D4">
        <w:rPr>
          <w:rFonts w:ascii="Arial" w:eastAsia="Calibri" w:hAnsi="Arial" w:cs="Arial"/>
          <w:b/>
          <w:bCs/>
          <w:sz w:val="16"/>
          <w:szCs w:val="16"/>
          <w:rtl/>
        </w:rPr>
        <w:t xml:space="preserve"> (וילנא)</w:t>
      </w:r>
      <w:r w:rsidRPr="001D49D4">
        <w:rPr>
          <w:rFonts w:ascii="Arial" w:eastAsia="Calibri" w:hAnsi="Arial" w:cs="Arial"/>
          <w:b/>
          <w:bCs/>
          <w:rtl/>
        </w:rPr>
        <w:t xml:space="preserve"> בבא בתרא פ"י ה"א: </w:t>
      </w:r>
      <w:r w:rsidRPr="001D49D4">
        <w:rPr>
          <w:rFonts w:ascii="Arial" w:eastAsia="Calibri" w:hAnsi="Arial" w:cs="Arial"/>
          <w:u w:val="single"/>
          <w:rtl/>
        </w:rPr>
        <w:t>ר' אבהו בשם ר' יצחק בן חקולא</w:t>
      </w:r>
      <w:r w:rsidRPr="001D49D4">
        <w:rPr>
          <w:rFonts w:ascii="Arial" w:eastAsia="Calibri" w:hAnsi="Arial" w:cs="Arial"/>
          <w:rtl/>
        </w:rPr>
        <w:t xml:space="preserve"> כל מה שאת יכול לתלות במחק תלה.</w:t>
      </w:r>
      <w:r w:rsidRPr="001D49D4">
        <w:rPr>
          <w:rFonts w:ascii="Arial" w:eastAsia="Calibri" w:hAnsi="Arial" w:cs="Arial"/>
          <w:sz w:val="16"/>
          <w:szCs w:val="16"/>
          <w:rtl/>
        </w:rPr>
        <w:t xml:space="preserve"> (ומכאן כ' הריטב"א- במחקים או גררין</w:t>
      </w:r>
      <w:r w:rsidRPr="001D49D4">
        <w:rPr>
          <w:rFonts w:ascii="Arial" w:eastAsia="Calibri" w:hAnsi="Arial" w:cs="Arial"/>
          <w:sz w:val="16"/>
          <w:szCs w:val="16"/>
          <w:vertAlign w:val="superscript"/>
          <w:rtl/>
        </w:rPr>
        <w:footnoteReference w:id="3495"/>
      </w:r>
      <w:r w:rsidRPr="001D49D4">
        <w:rPr>
          <w:rFonts w:ascii="Arial" w:eastAsia="Calibri" w:hAnsi="Arial" w:cs="Arial"/>
          <w:sz w:val="16"/>
          <w:szCs w:val="16"/>
          <w:rtl/>
        </w:rPr>
        <w:t xml:space="preserve"> שאינן מקוימין כל השטר נפסל דחיישינן שמא היה באותו מקום שום תנאי או דבר הפוסל אם הוא דבר שאפשר לתלות בו בשום צד)</w:t>
      </w:r>
    </w:p>
    <w:p w14:paraId="6EA90694" w14:textId="77777777" w:rsidR="001D49D4" w:rsidRPr="001D49D4" w:rsidRDefault="001D49D4" w:rsidP="0004348D">
      <w:pPr>
        <w:spacing w:before="360" w:after="240"/>
        <w:rPr>
          <w:rFonts w:ascii="Arial" w:eastAsia="Calibri" w:hAnsi="Arial" w:cs="Arial"/>
          <w:sz w:val="16"/>
          <w:szCs w:val="16"/>
          <w:rtl/>
        </w:rPr>
      </w:pPr>
      <w:r w:rsidRPr="001D49D4">
        <w:rPr>
          <w:rFonts w:ascii="Arial" w:eastAsia="Calibri" w:hAnsi="Arial" w:cs="Arial"/>
          <w:b/>
          <w:bCs/>
          <w:rtl/>
        </w:rPr>
        <w:t xml:space="preserve">תוספתא </w:t>
      </w:r>
      <w:r w:rsidRPr="001D49D4">
        <w:rPr>
          <w:rFonts w:ascii="Arial" w:eastAsia="Calibri" w:hAnsi="Arial" w:cs="Arial"/>
          <w:b/>
          <w:bCs/>
          <w:sz w:val="16"/>
          <w:szCs w:val="16"/>
          <w:rtl/>
        </w:rPr>
        <w:t xml:space="preserve">(ליברמן) </w:t>
      </w:r>
      <w:r w:rsidRPr="001D49D4">
        <w:rPr>
          <w:rFonts w:ascii="Arial" w:eastAsia="Calibri" w:hAnsi="Arial" w:cs="Arial"/>
          <w:b/>
          <w:bCs/>
          <w:rtl/>
        </w:rPr>
        <w:t>בבא בתרא פי"א ה"י:</w:t>
      </w:r>
      <w:r w:rsidRPr="001D49D4">
        <w:rPr>
          <w:rFonts w:ascii="Arial" w:eastAsia="Calibri" w:hAnsi="Arial" w:cs="Arial"/>
          <w:rtl/>
        </w:rPr>
        <w:t xml:space="preserve"> שטר שיש בו מחק או תלוי מגופו פסול שלא מגופו כשר...</w:t>
      </w:r>
      <w:r w:rsidRPr="001D49D4">
        <w:rPr>
          <w:rFonts w:ascii="Arial" w:eastAsia="Calibri" w:hAnsi="Arial" w:cs="Arial"/>
          <w:sz w:val="16"/>
          <w:szCs w:val="16"/>
          <w:rtl/>
        </w:rPr>
        <w:t xml:space="preserve"> (ומכאן הוכחה שבין מחק ובין תלוי אינו פוסל</w:t>
      </w:r>
      <w:r w:rsidRPr="001D49D4">
        <w:rPr>
          <w:rFonts w:ascii="Arial" w:eastAsia="Calibri" w:hAnsi="Arial" w:cs="Arial"/>
          <w:sz w:val="14"/>
          <w:szCs w:val="14"/>
          <w:rtl/>
        </w:rPr>
        <w:t xml:space="preserve"> {כשאינו מגופו של שטר}</w:t>
      </w:r>
      <w:r w:rsidRPr="001D49D4">
        <w:rPr>
          <w:rFonts w:ascii="Arial" w:eastAsia="Calibri" w:hAnsi="Arial" w:cs="Arial"/>
          <w:sz w:val="16"/>
          <w:szCs w:val="16"/>
          <w:rtl/>
        </w:rPr>
        <w:t>, אבל מ"מ אין למדין, והחולקים מוקי דהתוספתא מיירי שניכר מה היה המחק)</w:t>
      </w:r>
    </w:p>
    <w:p w14:paraId="656E615C" w14:textId="77777777" w:rsidR="001D49D4" w:rsidRPr="001D49D4" w:rsidRDefault="001D49D4" w:rsidP="0004348D">
      <w:pPr>
        <w:spacing w:before="360" w:after="240"/>
        <w:rPr>
          <w:rFonts w:ascii="Arial" w:eastAsia="Calibri" w:hAnsi="Arial" w:cs="Arial"/>
          <w:u w:val="single"/>
          <w:rtl/>
        </w:rPr>
      </w:pPr>
      <w:r w:rsidRPr="001D49D4">
        <w:rPr>
          <w:rFonts w:ascii="Arial" w:eastAsia="Calibri" w:hAnsi="Arial" w:cs="Arial"/>
          <w:u w:val="single"/>
          <w:rtl/>
        </w:rPr>
        <w:t>האם יש הבדל בין מחקין או תלויות שאינן מקויימין:</w:t>
      </w:r>
    </w:p>
    <w:p w14:paraId="569A0187" w14:textId="77777777" w:rsidR="001D49D4" w:rsidRPr="001D49D4" w:rsidRDefault="001D49D4" w:rsidP="0004348D">
      <w:pPr>
        <w:numPr>
          <w:ilvl w:val="0"/>
          <w:numId w:val="252"/>
        </w:numPr>
        <w:spacing w:before="360" w:after="240"/>
        <w:contextualSpacing/>
        <w:rPr>
          <w:rFonts w:ascii="Arial" w:hAnsi="Arial"/>
          <w:rtl/>
        </w:rPr>
      </w:pPr>
      <w:r w:rsidRPr="001D49D4">
        <w:rPr>
          <w:rFonts w:ascii="Arial" w:hAnsi="Arial"/>
          <w:rtl/>
        </w:rPr>
        <w:t xml:space="preserve">(רמב"ם </w:t>
      </w:r>
      <w:r w:rsidRPr="001D49D4">
        <w:rPr>
          <w:rFonts w:ascii="Arial" w:hAnsi="Arial"/>
          <w:sz w:val="16"/>
          <w:szCs w:val="16"/>
          <w:rtl/>
        </w:rPr>
        <w:t>להב' הרשב"א והה"מ</w:t>
      </w:r>
      <w:r w:rsidRPr="001D49D4">
        <w:rPr>
          <w:rFonts w:ascii="Arial" w:hAnsi="Arial"/>
          <w:rtl/>
        </w:rPr>
        <w:t>) רשב"א</w:t>
      </w:r>
      <w:r w:rsidRPr="001D49D4">
        <w:rPr>
          <w:rFonts w:ascii="Arial" w:hAnsi="Arial"/>
          <w:sz w:val="16"/>
          <w:szCs w:val="16"/>
          <w:rtl/>
        </w:rPr>
        <w:t xml:space="preserve"> </w:t>
      </w:r>
      <w:r w:rsidRPr="001D49D4">
        <w:rPr>
          <w:rFonts w:ascii="Arial" w:hAnsi="Arial"/>
          <w:rtl/>
        </w:rPr>
        <w:t>והה"מ</w:t>
      </w:r>
      <w:r w:rsidRPr="001D49D4">
        <w:rPr>
          <w:rFonts w:ascii="Arial" w:hAnsi="Arial"/>
          <w:vertAlign w:val="superscript"/>
          <w:rtl/>
        </w:rPr>
        <w:footnoteReference w:id="3496"/>
      </w:r>
      <w:r w:rsidRPr="001D49D4">
        <w:rPr>
          <w:rFonts w:ascii="Arial" w:hAnsi="Arial"/>
          <w:rtl/>
        </w:rPr>
        <w:t>- בין מחק ובין תלויה</w:t>
      </w:r>
      <w:r w:rsidRPr="001D49D4">
        <w:rPr>
          <w:rFonts w:ascii="Arial" w:hAnsi="Arial"/>
          <w:vertAlign w:val="superscript"/>
          <w:rtl/>
        </w:rPr>
        <w:footnoteReference w:id="3497"/>
      </w:r>
      <w:r w:rsidRPr="001D49D4">
        <w:rPr>
          <w:rFonts w:ascii="Arial" w:hAnsi="Arial"/>
          <w:rtl/>
        </w:rPr>
        <w:t xml:space="preserve"> שאינן מקויימין אינן פוסלין אלא שאין למדין מהן, בד"א- כשהמחק או התלוי אינו מגופו</w:t>
      </w:r>
      <w:r w:rsidRPr="001D49D4">
        <w:rPr>
          <w:rFonts w:ascii="Arial" w:hAnsi="Arial"/>
          <w:vertAlign w:val="superscript"/>
          <w:rtl/>
        </w:rPr>
        <w:footnoteReference w:id="3498"/>
      </w:r>
      <w:r w:rsidRPr="001D49D4">
        <w:rPr>
          <w:rFonts w:ascii="Arial" w:hAnsi="Arial"/>
          <w:rtl/>
        </w:rPr>
        <w:t xml:space="preserve"> של שטר, הא אם מגופו הוא- פוסל.</w:t>
      </w:r>
      <w:r w:rsidRPr="001D49D4">
        <w:rPr>
          <w:rFonts w:ascii="Arial" w:hAnsi="Arial"/>
          <w:color w:val="E36C0A" w:themeColor="accent6" w:themeShade="BF"/>
          <w:rtl/>
        </w:rPr>
        <w:t xml:space="preserve"> (וכ"פ בשו"ע)</w:t>
      </w:r>
    </w:p>
    <w:p w14:paraId="6D398297" w14:textId="77777777" w:rsidR="001D49D4" w:rsidRPr="001D49D4" w:rsidRDefault="001D49D4" w:rsidP="0004348D">
      <w:pPr>
        <w:numPr>
          <w:ilvl w:val="0"/>
          <w:numId w:val="252"/>
        </w:numPr>
        <w:spacing w:before="360" w:after="240"/>
        <w:contextualSpacing/>
        <w:rPr>
          <w:rFonts w:ascii="Arial" w:hAnsi="Arial"/>
          <w:rtl/>
        </w:rPr>
      </w:pPr>
      <w:r w:rsidRPr="001D49D4">
        <w:rPr>
          <w:rFonts w:ascii="Arial" w:hAnsi="Arial"/>
          <w:rtl/>
        </w:rPr>
        <w:t>תוס' רמב"ן רא"ה ריטב"א טור ריב"ש</w:t>
      </w:r>
      <w:r w:rsidRPr="001D49D4">
        <w:rPr>
          <w:rFonts w:ascii="Arial" w:hAnsi="Arial"/>
          <w:vertAlign w:val="superscript"/>
          <w:rtl/>
        </w:rPr>
        <w:footnoteReference w:id="3499"/>
      </w:r>
      <w:r w:rsidRPr="001D49D4">
        <w:rPr>
          <w:rFonts w:ascii="Arial" w:hAnsi="Arial"/>
          <w:rtl/>
        </w:rPr>
        <w:t xml:space="preserve"> ונמוק"י</w:t>
      </w:r>
      <w:r w:rsidRPr="001D49D4">
        <w:rPr>
          <w:rFonts w:ascii="Arial" w:hAnsi="Arial"/>
          <w:vertAlign w:val="superscript"/>
          <w:rtl/>
        </w:rPr>
        <w:footnoteReference w:id="3500"/>
      </w:r>
      <w:r w:rsidRPr="001D49D4">
        <w:rPr>
          <w:rFonts w:ascii="Arial" w:hAnsi="Arial"/>
          <w:rtl/>
        </w:rPr>
        <w:t>- תלויה שאינה מקויימת אינה פוסלת את השטר אלא התלוי לבד פסול שאין למדין ממנו והרי הוא כמאן דליתיה, אבל המחק שאינו מקויים פוסל כל השטר</w:t>
      </w:r>
      <w:r w:rsidRPr="001D49D4">
        <w:rPr>
          <w:rFonts w:ascii="Arial" w:hAnsi="Arial"/>
          <w:vertAlign w:val="superscript"/>
          <w:rtl/>
        </w:rPr>
        <w:footnoteReference w:id="3501"/>
      </w:r>
      <w:r w:rsidRPr="001D49D4">
        <w:rPr>
          <w:rFonts w:ascii="Arial" w:hAnsi="Arial"/>
          <w:rtl/>
        </w:rPr>
        <w:t>, שאני אומר תנאי היה בו ומחקו</w:t>
      </w:r>
      <w:r w:rsidRPr="001D49D4">
        <w:rPr>
          <w:rFonts w:ascii="Arial" w:hAnsi="Arial"/>
          <w:vertAlign w:val="superscript"/>
          <w:rtl/>
        </w:rPr>
        <w:footnoteReference w:id="3502"/>
      </w:r>
      <w:r w:rsidRPr="001D49D4">
        <w:rPr>
          <w:rFonts w:ascii="Arial" w:hAnsi="Arial"/>
          <w:rtl/>
        </w:rPr>
        <w:t xml:space="preserve">. </w:t>
      </w:r>
      <w:r w:rsidRPr="001D49D4">
        <w:rPr>
          <w:rFonts w:ascii="Arial" w:hAnsi="Arial"/>
          <w:color w:val="00B0F0"/>
          <w:rtl/>
        </w:rPr>
        <w:t xml:space="preserve">(וכ"כ הרמ"א) </w:t>
      </w:r>
      <w:r w:rsidRPr="001D49D4">
        <w:rPr>
          <w:rFonts w:ascii="Arial" w:hAnsi="Arial"/>
          <w:rtl/>
        </w:rPr>
        <w:t xml:space="preserve">(וכ"פ הש"ך) </w:t>
      </w:r>
    </w:p>
    <w:p w14:paraId="5253BFEF" w14:textId="77777777" w:rsidR="001D49D4" w:rsidRPr="001D49D4" w:rsidRDefault="001D49D4" w:rsidP="0004348D">
      <w:pPr>
        <w:spacing w:before="360" w:after="240"/>
        <w:rPr>
          <w:rFonts w:ascii="Arial" w:eastAsia="Calibri" w:hAnsi="Arial" w:cs="Arial"/>
          <w:u w:val="single"/>
          <w:rtl/>
        </w:rPr>
      </w:pPr>
      <w:r w:rsidRPr="001D49D4">
        <w:rPr>
          <w:rFonts w:ascii="Arial" w:eastAsia="Calibri" w:hAnsi="Arial" w:cs="Arial"/>
          <w:u w:val="single"/>
          <w:rtl/>
        </w:rPr>
        <w:t>האם צריך שיכתוב "ודין קיומיהון" לאחר שמקיים את המחקים והתלויות:</w:t>
      </w:r>
    </w:p>
    <w:p w14:paraId="71F70F02" w14:textId="77777777" w:rsidR="001D49D4" w:rsidRPr="001D49D4" w:rsidRDefault="001D49D4" w:rsidP="0004348D">
      <w:pPr>
        <w:numPr>
          <w:ilvl w:val="0"/>
          <w:numId w:val="253"/>
        </w:numPr>
        <w:spacing w:before="360" w:after="240"/>
        <w:contextualSpacing/>
        <w:rPr>
          <w:rFonts w:ascii="Arial" w:hAnsi="Arial"/>
          <w:rtl/>
        </w:rPr>
      </w:pPr>
      <w:r w:rsidRPr="001D49D4">
        <w:rPr>
          <w:rFonts w:ascii="Arial" w:hAnsi="Arial"/>
          <w:rtl/>
        </w:rPr>
        <w:t>ר"ח רי"ף רשב"ם תוס' ורא"ש</w:t>
      </w:r>
      <w:r w:rsidRPr="001D49D4">
        <w:rPr>
          <w:rFonts w:ascii="Arial" w:hAnsi="Arial"/>
          <w:vertAlign w:val="superscript"/>
          <w:rtl/>
        </w:rPr>
        <w:footnoteReference w:id="3503"/>
      </w:r>
      <w:r w:rsidRPr="001D49D4">
        <w:rPr>
          <w:rFonts w:ascii="Arial" w:hAnsi="Arial"/>
          <w:rtl/>
        </w:rPr>
        <w:t>- לא צריך, אלא מקיים אותם ותו לא</w:t>
      </w:r>
      <w:r w:rsidRPr="001D49D4">
        <w:rPr>
          <w:rFonts w:ascii="Arial" w:hAnsi="Arial"/>
          <w:vertAlign w:val="superscript"/>
          <w:rtl/>
        </w:rPr>
        <w:footnoteReference w:id="3504"/>
      </w:r>
      <w:r w:rsidRPr="001D49D4">
        <w:rPr>
          <w:rFonts w:ascii="Arial" w:hAnsi="Arial"/>
          <w:rtl/>
        </w:rPr>
        <w:t>.</w:t>
      </w:r>
      <w:r w:rsidRPr="001D49D4">
        <w:rPr>
          <w:rFonts w:ascii="Arial" w:hAnsi="Arial"/>
          <w:color w:val="00B0F0"/>
          <w:rtl/>
        </w:rPr>
        <w:t xml:space="preserve"> (וכ"פ הרמ"א)</w:t>
      </w:r>
    </w:p>
    <w:p w14:paraId="2E07C21A" w14:textId="77777777" w:rsidR="001D49D4" w:rsidRPr="001D49D4" w:rsidRDefault="001D49D4" w:rsidP="0004348D">
      <w:pPr>
        <w:numPr>
          <w:ilvl w:val="0"/>
          <w:numId w:val="253"/>
        </w:numPr>
        <w:spacing w:before="360" w:after="240"/>
        <w:contextualSpacing/>
        <w:rPr>
          <w:rFonts w:ascii="Arial" w:hAnsi="Arial"/>
        </w:rPr>
      </w:pPr>
      <w:r w:rsidRPr="001D49D4">
        <w:rPr>
          <w:rFonts w:ascii="Arial" w:hAnsi="Arial"/>
          <w:rtl/>
        </w:rPr>
        <w:t>טור- צריך לכתוב "וזו קיומה"</w:t>
      </w:r>
      <w:r w:rsidRPr="001D49D4">
        <w:rPr>
          <w:rFonts w:ascii="Arial" w:hAnsi="Arial"/>
          <w:vertAlign w:val="superscript"/>
          <w:rtl/>
        </w:rPr>
        <w:footnoteReference w:id="3505"/>
      </w:r>
      <w:r w:rsidRPr="001D49D4">
        <w:rPr>
          <w:rFonts w:ascii="Arial" w:hAnsi="Arial"/>
          <w:rtl/>
        </w:rPr>
        <w:t>.</w:t>
      </w:r>
    </w:p>
    <w:p w14:paraId="7AAE3B61" w14:textId="77777777" w:rsidR="001D49D4" w:rsidRPr="001D49D4" w:rsidRDefault="001D49D4" w:rsidP="0004348D">
      <w:pPr>
        <w:numPr>
          <w:ilvl w:val="0"/>
          <w:numId w:val="253"/>
        </w:numPr>
        <w:spacing w:before="360" w:after="240"/>
        <w:contextualSpacing/>
        <w:rPr>
          <w:rFonts w:ascii="Arial" w:hAnsi="Arial"/>
        </w:rPr>
      </w:pPr>
      <w:r w:rsidRPr="001D49D4">
        <w:rPr>
          <w:rFonts w:ascii="Arial" w:hAnsi="Arial"/>
          <w:rtl/>
        </w:rPr>
        <w:t>הגה"א</w:t>
      </w:r>
      <w:r w:rsidRPr="001D49D4">
        <w:rPr>
          <w:rFonts w:ascii="Arial" w:hAnsi="Arial"/>
          <w:sz w:val="16"/>
          <w:szCs w:val="16"/>
          <w:rtl/>
        </w:rPr>
        <w:t xml:space="preserve"> (סי' ב)</w:t>
      </w:r>
      <w:r w:rsidRPr="001D49D4">
        <w:rPr>
          <w:rFonts w:ascii="Arial" w:hAnsi="Arial"/>
          <w:rtl/>
        </w:rPr>
        <w:t xml:space="preserve"> בשם מהרי"ח- מה שכ' "ודין קיומיהון" היינו מה שכותבין "שריר וקיים".</w:t>
      </w:r>
    </w:p>
    <w:p w14:paraId="0928F393" w14:textId="77777777" w:rsidR="001D49D4" w:rsidRPr="001D49D4" w:rsidRDefault="001D49D4" w:rsidP="0004348D">
      <w:pPr>
        <w:spacing w:before="360" w:after="240"/>
        <w:jc w:val="both"/>
        <w:rPr>
          <w:rFonts w:ascii="Arial" w:eastAsia="Calibri" w:hAnsi="Arial" w:cs="Arial"/>
          <w:rtl/>
        </w:rPr>
      </w:pPr>
      <w:r w:rsidRPr="001D49D4">
        <w:rPr>
          <w:rFonts w:ascii="Arial" w:eastAsia="Calibri" w:hAnsi="Arial" w:cs="Arial"/>
          <w:b/>
          <w:bCs/>
          <w:sz w:val="32"/>
          <w:szCs w:val="28"/>
          <w:u w:val="single"/>
          <w:rtl/>
        </w:rPr>
        <w:t xml:space="preserve">שו"ע: </w:t>
      </w:r>
    </w:p>
    <w:p w14:paraId="03150148" w14:textId="77777777" w:rsidR="001D49D4" w:rsidRPr="001D49D4" w:rsidRDefault="001D49D4" w:rsidP="0004348D">
      <w:pPr>
        <w:spacing w:before="360" w:after="240"/>
        <w:rPr>
          <w:rFonts w:ascii="Arial" w:eastAsia="Calibri" w:hAnsi="Arial" w:cs="Arial"/>
          <w:rtl/>
        </w:rPr>
      </w:pPr>
      <w:r w:rsidRPr="001D49D4">
        <w:rPr>
          <w:rFonts w:ascii="Arial" w:eastAsia="Calibri" w:hAnsi="Arial" w:cs="Arial"/>
          <w:rtl/>
        </w:rPr>
        <w:t>אם יש בשטר מחקים או תלויות או תיבות שעבר עליהם הקולמוס</w:t>
      </w:r>
      <w:r w:rsidRPr="001D49D4">
        <w:rPr>
          <w:rFonts w:ascii="Arial" w:eastAsia="Calibri" w:hAnsi="Arial" w:cs="Arial"/>
          <w:vertAlign w:val="superscript"/>
          <w:rtl/>
        </w:rPr>
        <w:footnoteReference w:id="3506"/>
      </w:r>
      <w:r w:rsidRPr="001D49D4">
        <w:rPr>
          <w:rFonts w:ascii="Arial" w:eastAsia="Calibri" w:hAnsi="Arial" w:cs="Arial"/>
          <w:rtl/>
        </w:rPr>
        <w:t xml:space="preserve"> צריך לקיימם קודם והכל שריר וקיים</w:t>
      </w:r>
      <w:r w:rsidRPr="001D49D4">
        <w:rPr>
          <w:rFonts w:ascii="Arial" w:eastAsia="Calibri" w:hAnsi="Arial" w:cs="Arial"/>
          <w:vertAlign w:val="superscript"/>
          <w:rtl/>
        </w:rPr>
        <w:footnoteReference w:id="3507"/>
      </w:r>
      <w:r w:rsidRPr="001D49D4">
        <w:rPr>
          <w:rFonts w:ascii="Arial" w:eastAsia="Calibri" w:hAnsi="Arial" w:cs="Arial"/>
          <w:rtl/>
        </w:rPr>
        <w:t xml:space="preserve">. </w:t>
      </w:r>
      <w:r w:rsidRPr="001D49D4">
        <w:rPr>
          <w:rFonts w:ascii="Arial" w:eastAsia="Calibri" w:hAnsi="Arial" w:cs="Arial"/>
          <w:sz w:val="18"/>
          <w:szCs w:val="18"/>
          <w:rtl/>
        </w:rPr>
        <w:t>[הגה] ואין צריך לכתוב ודין קיומיהון (מרדכי ותוס')</w:t>
      </w:r>
      <w:r w:rsidRPr="001D49D4">
        <w:rPr>
          <w:rFonts w:ascii="Arial" w:eastAsia="Calibri" w:hAnsi="Arial" w:cs="Arial"/>
          <w:rtl/>
        </w:rPr>
        <w:t>. ואם לא קיימם אינם פוסלים השטר אלא שאין למדים מהם</w:t>
      </w:r>
      <w:r w:rsidRPr="001D49D4">
        <w:rPr>
          <w:rFonts w:ascii="Arial" w:eastAsia="Calibri" w:hAnsi="Arial" w:cs="Arial"/>
          <w:vertAlign w:val="superscript"/>
          <w:rtl/>
        </w:rPr>
        <w:footnoteReference w:id="3508"/>
      </w:r>
      <w:r w:rsidRPr="001D49D4">
        <w:rPr>
          <w:rFonts w:ascii="Arial" w:eastAsia="Calibri" w:hAnsi="Arial" w:cs="Arial"/>
          <w:rtl/>
        </w:rPr>
        <w:t xml:space="preserve">. </w:t>
      </w:r>
      <w:r w:rsidRPr="001D49D4">
        <w:rPr>
          <w:rFonts w:ascii="Arial" w:eastAsia="Calibri" w:hAnsi="Arial" w:cs="Arial"/>
          <w:sz w:val="18"/>
          <w:szCs w:val="18"/>
          <w:rtl/>
        </w:rPr>
        <w:t xml:space="preserve">הגה: וי"א שאם היה מחק </w:t>
      </w:r>
      <w:r w:rsidRPr="001D49D4">
        <w:rPr>
          <w:rFonts w:ascii="Arial" w:eastAsia="Calibri" w:hAnsi="Arial" w:cs="Arial"/>
          <w:sz w:val="18"/>
          <w:szCs w:val="18"/>
          <w:rtl/>
        </w:rPr>
        <w:lastRenderedPageBreak/>
        <w:t>ולא נתקיים פסול כל השטר, שמא היה כתוב חובה לבעל השטר ונמחק אא"כ מוכח מתוך השטר מה היה המחק, אז לא נפסל כל השטר (טור ונמוק"י).</w:t>
      </w:r>
      <w:r w:rsidRPr="001D49D4">
        <w:rPr>
          <w:rFonts w:ascii="Arial" w:eastAsia="Calibri" w:hAnsi="Arial" w:cs="Arial"/>
          <w:rtl/>
        </w:rPr>
        <w:t xml:space="preserve"> ואם היו בגופו של שטר, דהיינו שם הלוה והמלוה והמעות נפסל השטר אם לא קיימם, ואם היו בזמן ולא קיימם הוי כשטר שאין בו זמן</w:t>
      </w:r>
      <w:r w:rsidRPr="001D49D4">
        <w:rPr>
          <w:rFonts w:ascii="Arial" w:eastAsia="Calibri" w:hAnsi="Arial" w:cs="Arial"/>
          <w:vertAlign w:val="superscript"/>
          <w:rtl/>
        </w:rPr>
        <w:footnoteReference w:id="3509"/>
      </w:r>
      <w:r w:rsidRPr="001D49D4">
        <w:rPr>
          <w:rFonts w:ascii="Arial" w:eastAsia="Calibri" w:hAnsi="Arial" w:cs="Arial"/>
          <w:rtl/>
        </w:rPr>
        <w:t xml:space="preserve">. </w:t>
      </w:r>
    </w:p>
    <w:p w14:paraId="57DEE772" w14:textId="77777777" w:rsidR="001D49D4" w:rsidRPr="001D49D4" w:rsidRDefault="001D49D4" w:rsidP="0004348D">
      <w:pPr>
        <w:spacing w:before="360" w:after="240"/>
        <w:rPr>
          <w:rFonts w:ascii="Arial" w:eastAsia="Calibri" w:hAnsi="Arial" w:cs="Arial"/>
          <w:rtl/>
        </w:rPr>
      </w:pPr>
    </w:p>
    <w:p w14:paraId="1D61D46A" w14:textId="77777777" w:rsidR="001D49D4" w:rsidRPr="001D49D4" w:rsidRDefault="001D49D4" w:rsidP="0004348D">
      <w:pPr>
        <w:keepNext/>
        <w:keepLines/>
        <w:spacing w:before="360" w:after="240"/>
        <w:outlineLvl w:val="1"/>
        <w:rPr>
          <w:rFonts w:ascii="Arial" w:eastAsia="Times New Roman" w:hAnsi="Arial" w:cs="Arial"/>
          <w:bCs/>
          <w:color w:val="548DD4" w:themeColor="text2" w:themeTint="99"/>
          <w:sz w:val="26"/>
          <w:szCs w:val="26"/>
          <w:rtl/>
        </w:rPr>
      </w:pPr>
      <w:bookmarkStart w:id="468" w:name="_Toc24883904"/>
      <w:r w:rsidRPr="001D49D4">
        <w:rPr>
          <w:rFonts w:ascii="Arial" w:eastAsia="Times New Roman" w:hAnsi="Arial" w:cs="Arial"/>
          <w:bCs/>
          <w:color w:val="548DD4" w:themeColor="text2" w:themeTint="99"/>
          <w:sz w:val="26"/>
          <w:szCs w:val="26"/>
          <w:rtl/>
        </w:rPr>
        <w:t>סעיף ו: שטר שיש בו מחק או גרר בין השיטין או מאחריו.</w:t>
      </w:r>
      <w:bookmarkEnd w:id="468"/>
    </w:p>
    <w:p w14:paraId="4D1EA260" w14:textId="77777777" w:rsidR="001D49D4" w:rsidRPr="001D49D4" w:rsidRDefault="001D49D4" w:rsidP="0004348D">
      <w:pPr>
        <w:spacing w:before="360" w:after="240"/>
        <w:rPr>
          <w:rFonts w:ascii="Arial" w:eastAsia="Calibri" w:hAnsi="Arial" w:cs="Arial"/>
          <w:rtl/>
        </w:rPr>
      </w:pPr>
      <w:r w:rsidRPr="001D49D4">
        <w:rPr>
          <w:rFonts w:ascii="Arial" w:eastAsia="Calibri" w:hAnsi="Arial" w:cs="Arial"/>
          <w:b/>
          <w:bCs/>
          <w:rtl/>
        </w:rPr>
        <w:t xml:space="preserve">תוספתא </w:t>
      </w:r>
      <w:r w:rsidRPr="001D49D4">
        <w:rPr>
          <w:rFonts w:ascii="Arial" w:eastAsia="Calibri" w:hAnsi="Arial" w:cs="Arial"/>
          <w:b/>
          <w:bCs/>
          <w:sz w:val="16"/>
          <w:szCs w:val="16"/>
          <w:rtl/>
        </w:rPr>
        <w:t xml:space="preserve">(ליברמן) </w:t>
      </w:r>
      <w:r w:rsidRPr="001D49D4">
        <w:rPr>
          <w:rFonts w:ascii="Arial" w:eastAsia="Calibri" w:hAnsi="Arial" w:cs="Arial"/>
          <w:b/>
          <w:bCs/>
          <w:rtl/>
        </w:rPr>
        <w:t>בבא בתרא פי"א ה"י:</w:t>
      </w:r>
      <w:r w:rsidRPr="001D49D4">
        <w:rPr>
          <w:rFonts w:ascii="Arial" w:eastAsia="Calibri" w:hAnsi="Arial" w:cs="Arial"/>
          <w:rtl/>
        </w:rPr>
        <w:t xml:space="preserve"> שטר שיש בו מחק או תלוי מגופו פסול שלא מגופו כשר...</w:t>
      </w:r>
      <w:r w:rsidRPr="001D49D4">
        <w:rPr>
          <w:rFonts w:ascii="Arial" w:eastAsia="Calibri" w:hAnsi="Arial" w:cs="Arial"/>
          <w:sz w:val="16"/>
          <w:szCs w:val="16"/>
          <w:rtl/>
        </w:rPr>
        <w:t xml:space="preserve"> (ש"מ דמחק שלא מגופו אינו פוסל את השטר לומר שמא תנאי היה כתוב בו, ופירוש מגופו הוא שם הלוה והמלוה והזמן והמעות, רשב"א)</w:t>
      </w:r>
    </w:p>
    <w:p w14:paraId="2B481BBC" w14:textId="77777777" w:rsidR="001D49D4" w:rsidRPr="001D49D4" w:rsidRDefault="001D49D4" w:rsidP="0004348D">
      <w:pPr>
        <w:spacing w:before="360" w:after="240"/>
        <w:rPr>
          <w:rFonts w:ascii="Arial" w:eastAsia="Calibri" w:hAnsi="Arial" w:cs="Arial"/>
          <w:u w:val="single"/>
          <w:rtl/>
        </w:rPr>
      </w:pPr>
      <w:r w:rsidRPr="001D49D4">
        <w:rPr>
          <w:rFonts w:ascii="Arial" w:eastAsia="Calibri" w:hAnsi="Arial" w:cs="Arial"/>
          <w:u w:val="single"/>
          <w:rtl/>
        </w:rPr>
        <w:t>שטר שיש בו גרר או מחק בין השיטין או מאחריו:</w:t>
      </w:r>
    </w:p>
    <w:p w14:paraId="085CD37E" w14:textId="77777777" w:rsidR="001D49D4" w:rsidRPr="001D49D4" w:rsidRDefault="001D49D4" w:rsidP="0004348D">
      <w:pPr>
        <w:numPr>
          <w:ilvl w:val="0"/>
          <w:numId w:val="254"/>
        </w:numPr>
        <w:spacing w:before="360" w:after="240"/>
        <w:contextualSpacing/>
        <w:rPr>
          <w:rFonts w:ascii="Arial" w:hAnsi="Arial"/>
          <w:rtl/>
        </w:rPr>
      </w:pPr>
      <w:r w:rsidRPr="001D49D4">
        <w:rPr>
          <w:rFonts w:ascii="Arial" w:hAnsi="Arial"/>
          <w:rtl/>
        </w:rPr>
        <w:t>רשב"א</w:t>
      </w:r>
      <w:r w:rsidRPr="001D49D4">
        <w:rPr>
          <w:rFonts w:ascii="Arial" w:hAnsi="Arial"/>
          <w:sz w:val="16"/>
          <w:szCs w:val="16"/>
          <w:rtl/>
        </w:rPr>
        <w:t xml:space="preserve"> (במיוחסות סי' ק, ובתשו' אחרת </w:t>
      </w:r>
      <w:r w:rsidRPr="001D49D4">
        <w:rPr>
          <w:rFonts w:ascii="Arial" w:hAnsi="Arial"/>
          <w:sz w:val="14"/>
          <w:szCs w:val="14"/>
          <w:rtl/>
        </w:rPr>
        <w:t>[הביאו הב"י]</w:t>
      </w:r>
      <w:r w:rsidRPr="001D49D4">
        <w:rPr>
          <w:rFonts w:ascii="Arial" w:hAnsi="Arial"/>
          <w:sz w:val="16"/>
          <w:szCs w:val="16"/>
          <w:rtl/>
        </w:rPr>
        <w:t>)</w:t>
      </w:r>
      <w:r w:rsidRPr="001D49D4">
        <w:rPr>
          <w:rFonts w:ascii="Arial" w:hAnsi="Arial"/>
          <w:rtl/>
        </w:rPr>
        <w:t>- כשר, ומ"מ יש לאיים על בעל השטר מאחר שהורגלו שם לכתוב שובר בין השטות דרגלים לדבר.</w:t>
      </w:r>
      <w:r w:rsidRPr="001D49D4">
        <w:rPr>
          <w:rFonts w:ascii="Arial" w:hAnsi="Arial"/>
          <w:color w:val="E36C0A" w:themeColor="accent6" w:themeShade="BF"/>
          <w:rtl/>
        </w:rPr>
        <w:t xml:space="preserve"> (וכ"פ בשו"ע)</w:t>
      </w:r>
      <w:r w:rsidRPr="001D49D4">
        <w:rPr>
          <w:rFonts w:ascii="Arial" w:hAnsi="Arial"/>
          <w:rtl/>
        </w:rPr>
        <w:t xml:space="preserve">  </w:t>
      </w:r>
    </w:p>
    <w:p w14:paraId="6C2A343B" w14:textId="77777777" w:rsidR="001D49D4" w:rsidRPr="001D49D4" w:rsidRDefault="001D49D4" w:rsidP="0004348D">
      <w:pPr>
        <w:numPr>
          <w:ilvl w:val="0"/>
          <w:numId w:val="254"/>
        </w:numPr>
        <w:spacing w:before="360" w:after="240"/>
        <w:contextualSpacing/>
        <w:rPr>
          <w:rFonts w:ascii="Arial" w:hAnsi="Arial"/>
          <w:rtl/>
        </w:rPr>
      </w:pPr>
      <w:r w:rsidRPr="001D49D4">
        <w:rPr>
          <w:rFonts w:ascii="Arial" w:hAnsi="Arial"/>
          <w:rtl/>
        </w:rPr>
        <w:t>רמ"ה</w:t>
      </w:r>
      <w:r w:rsidRPr="001D49D4">
        <w:rPr>
          <w:rFonts w:ascii="Arial" w:hAnsi="Arial"/>
          <w:sz w:val="16"/>
          <w:szCs w:val="16"/>
          <w:rtl/>
        </w:rPr>
        <w:t xml:space="preserve"> </w:t>
      </w:r>
      <w:r w:rsidRPr="001D49D4">
        <w:rPr>
          <w:rFonts w:ascii="Arial" w:hAnsi="Arial"/>
          <w:rtl/>
        </w:rPr>
        <w:t>רא"ש</w:t>
      </w:r>
      <w:r w:rsidRPr="001D49D4">
        <w:rPr>
          <w:rFonts w:ascii="Arial" w:hAnsi="Arial"/>
          <w:sz w:val="16"/>
          <w:szCs w:val="16"/>
          <w:rtl/>
        </w:rPr>
        <w:t xml:space="preserve"> </w:t>
      </w:r>
      <w:r w:rsidRPr="001D49D4">
        <w:rPr>
          <w:rFonts w:ascii="Arial" w:hAnsi="Arial"/>
          <w:rtl/>
        </w:rPr>
        <w:t xml:space="preserve">(וריב"ש </w:t>
      </w:r>
      <w:r w:rsidRPr="001D49D4">
        <w:rPr>
          <w:rFonts w:ascii="Arial" w:hAnsi="Arial"/>
          <w:sz w:val="16"/>
          <w:szCs w:val="16"/>
          <w:rtl/>
        </w:rPr>
        <w:t>להב' הדרכ"מ</w:t>
      </w:r>
      <w:r w:rsidRPr="001D49D4">
        <w:rPr>
          <w:rFonts w:ascii="Arial" w:hAnsi="Arial"/>
          <w:rtl/>
        </w:rPr>
        <w:t>)</w:t>
      </w:r>
      <w:r w:rsidRPr="001D49D4">
        <w:rPr>
          <w:rFonts w:ascii="Arial" w:hAnsi="Arial"/>
          <w:vertAlign w:val="superscript"/>
          <w:rtl/>
        </w:rPr>
        <w:footnoteReference w:id="3510"/>
      </w:r>
      <w:r w:rsidRPr="001D49D4">
        <w:rPr>
          <w:rFonts w:ascii="Arial" w:hAnsi="Arial"/>
          <w:rtl/>
        </w:rPr>
        <w:t>- פסול, דחיישינן דילמא תברא הוה כתוב ביה. (וכ"פ הש"ך</w:t>
      </w:r>
      <w:r w:rsidRPr="001D49D4">
        <w:rPr>
          <w:rFonts w:ascii="Arial" w:hAnsi="Arial"/>
          <w:vertAlign w:val="superscript"/>
          <w:rtl/>
        </w:rPr>
        <w:footnoteReference w:id="3511"/>
      </w:r>
      <w:r w:rsidRPr="001D49D4">
        <w:rPr>
          <w:rFonts w:ascii="Arial" w:hAnsi="Arial"/>
          <w:rtl/>
        </w:rPr>
        <w:t>)</w:t>
      </w:r>
    </w:p>
    <w:p w14:paraId="2A22A2C3" w14:textId="77777777" w:rsidR="001D49D4" w:rsidRPr="001D49D4" w:rsidRDefault="001D49D4" w:rsidP="0004348D">
      <w:pPr>
        <w:spacing w:before="360" w:after="240"/>
        <w:jc w:val="both"/>
        <w:rPr>
          <w:rFonts w:ascii="Arial" w:eastAsia="Calibri" w:hAnsi="Arial" w:cs="Arial"/>
          <w:rtl/>
        </w:rPr>
      </w:pPr>
      <w:r w:rsidRPr="001D49D4">
        <w:rPr>
          <w:rFonts w:ascii="Arial" w:eastAsia="Calibri" w:hAnsi="Arial" w:cs="Arial"/>
          <w:b/>
          <w:bCs/>
          <w:sz w:val="32"/>
          <w:szCs w:val="28"/>
          <w:u w:val="single"/>
          <w:rtl/>
        </w:rPr>
        <w:t xml:space="preserve">שו"ע: </w:t>
      </w:r>
    </w:p>
    <w:p w14:paraId="0DCAD8E7" w14:textId="77777777" w:rsidR="001D49D4" w:rsidRPr="001D49D4" w:rsidRDefault="001D49D4" w:rsidP="0004348D">
      <w:pPr>
        <w:spacing w:before="360" w:after="240"/>
        <w:rPr>
          <w:rFonts w:ascii="Arial" w:eastAsia="Calibri" w:hAnsi="Arial" w:cs="Arial"/>
          <w:rtl/>
        </w:rPr>
      </w:pPr>
      <w:r w:rsidRPr="001D49D4">
        <w:rPr>
          <w:rFonts w:ascii="Arial" w:eastAsia="Calibri" w:hAnsi="Arial" w:cs="Arial"/>
          <w:rtl/>
        </w:rPr>
        <w:t>שטר שיש בו גרר מאחריו או ביני שיטי במקום שנהגו לכתוב הפרעון מאחריו או ביני שיטי, כשר</w:t>
      </w:r>
      <w:r w:rsidRPr="001D49D4">
        <w:rPr>
          <w:rFonts w:ascii="Arial" w:eastAsia="Calibri" w:hAnsi="Arial" w:cs="Arial"/>
          <w:vertAlign w:val="superscript"/>
          <w:rtl/>
        </w:rPr>
        <w:footnoteReference w:id="3512"/>
      </w:r>
      <w:r w:rsidRPr="001D49D4">
        <w:rPr>
          <w:rFonts w:ascii="Arial" w:eastAsia="Calibri" w:hAnsi="Arial" w:cs="Arial"/>
          <w:rtl/>
        </w:rPr>
        <w:t xml:space="preserve">, אלא שיש לאיים על בעל השטר. ויש פוסלים. </w:t>
      </w:r>
    </w:p>
    <w:p w14:paraId="39EFC307" w14:textId="77777777" w:rsidR="001D49D4" w:rsidRPr="001D49D4" w:rsidRDefault="001D49D4" w:rsidP="0004348D">
      <w:pPr>
        <w:spacing w:before="360" w:after="240"/>
        <w:rPr>
          <w:rFonts w:ascii="Arial" w:eastAsia="Calibri" w:hAnsi="Arial" w:cs="Arial"/>
          <w:rtl/>
        </w:rPr>
      </w:pPr>
    </w:p>
    <w:p w14:paraId="3E19A45B" w14:textId="77777777" w:rsidR="001D49D4" w:rsidRPr="001D49D4" w:rsidRDefault="001D49D4" w:rsidP="0004348D">
      <w:pPr>
        <w:keepNext/>
        <w:keepLines/>
        <w:spacing w:before="360" w:after="240"/>
        <w:outlineLvl w:val="1"/>
        <w:rPr>
          <w:rFonts w:ascii="Arial" w:eastAsia="Times New Roman" w:hAnsi="Arial" w:cs="Arial"/>
          <w:bCs/>
          <w:color w:val="548DD4" w:themeColor="text2" w:themeTint="99"/>
          <w:sz w:val="26"/>
          <w:szCs w:val="26"/>
          <w:rtl/>
        </w:rPr>
      </w:pPr>
      <w:bookmarkStart w:id="469" w:name="_Toc24883905"/>
      <w:r w:rsidRPr="001D49D4">
        <w:rPr>
          <w:rFonts w:ascii="Arial" w:eastAsia="Times New Roman" w:hAnsi="Arial" w:cs="Arial"/>
          <w:bCs/>
          <w:color w:val="548DD4" w:themeColor="text2" w:themeTint="99"/>
          <w:sz w:val="26"/>
          <w:szCs w:val="26"/>
          <w:rtl/>
        </w:rPr>
        <w:lastRenderedPageBreak/>
        <w:t>סעיף ז: קיום מחק שכתיבתו שונה מכתב השטר.</w:t>
      </w:r>
      <w:bookmarkEnd w:id="469"/>
    </w:p>
    <w:p w14:paraId="78C31577" w14:textId="77777777" w:rsidR="001D49D4" w:rsidRPr="001D49D4" w:rsidRDefault="001D49D4" w:rsidP="0004348D">
      <w:pPr>
        <w:spacing w:before="360" w:after="240"/>
        <w:rPr>
          <w:rFonts w:ascii="Arial" w:eastAsia="Calibri" w:hAnsi="Arial" w:cs="Arial"/>
          <w:rtl/>
        </w:rPr>
      </w:pPr>
      <w:r w:rsidRPr="001D49D4">
        <w:rPr>
          <w:rFonts w:ascii="Arial" w:eastAsia="Calibri" w:hAnsi="Arial" w:cs="Arial"/>
          <w:b/>
          <w:bCs/>
          <w:rtl/>
        </w:rPr>
        <w:t>בבא בתרא קסב ע"ב:</w:t>
      </w:r>
      <w:r w:rsidRPr="001D49D4">
        <w:rPr>
          <w:rFonts w:ascii="Arial" w:eastAsia="Calibri" w:hAnsi="Arial" w:cs="Arial"/>
          <w:rtl/>
        </w:rPr>
        <w:t xml:space="preserve"> איבעיא להו: שני שיטין שאמרו - הן ואוירן</w:t>
      </w:r>
      <w:r w:rsidRPr="001D49D4">
        <w:rPr>
          <w:rFonts w:ascii="Arial" w:eastAsia="Calibri" w:hAnsi="Arial" w:cs="Arial"/>
          <w:vertAlign w:val="superscript"/>
          <w:rtl/>
        </w:rPr>
        <w:footnoteReference w:id="3513"/>
      </w:r>
      <w:r w:rsidRPr="001D49D4">
        <w:rPr>
          <w:rFonts w:ascii="Arial" w:eastAsia="Calibri" w:hAnsi="Arial" w:cs="Arial"/>
          <w:rtl/>
        </w:rPr>
        <w:t xml:space="preserve">, או דלמא הן ולא אוירן? </w:t>
      </w:r>
      <w:r w:rsidRPr="001D49D4">
        <w:rPr>
          <w:rFonts w:ascii="Arial" w:eastAsia="Calibri" w:hAnsi="Arial" w:cs="Arial"/>
          <w:u w:val="single"/>
          <w:rtl/>
        </w:rPr>
        <w:t>א"ר נחמן בר יצחק:</w:t>
      </w:r>
      <w:r w:rsidRPr="001D49D4">
        <w:rPr>
          <w:rFonts w:ascii="Arial" w:eastAsia="Calibri" w:hAnsi="Arial" w:cs="Arial"/>
          <w:rtl/>
        </w:rPr>
        <w:t xml:space="preserve"> מסתברא דהן ואוירן, דאי סלקא דעתך הן ולא אוירן, </w:t>
      </w:r>
      <w:r w:rsidRPr="001D49D4">
        <w:rPr>
          <w:rFonts w:ascii="Arial" w:eastAsia="Calibri" w:hAnsi="Arial" w:cs="Arial"/>
          <w:vertAlign w:val="superscript"/>
          <w:rtl/>
        </w:rPr>
        <w:footnoteReference w:id="3514"/>
      </w:r>
      <w:r w:rsidRPr="001D49D4">
        <w:rPr>
          <w:rFonts w:ascii="Arial" w:eastAsia="Calibri" w:hAnsi="Arial" w:cs="Arial"/>
          <w:rtl/>
        </w:rPr>
        <w:t>(שיטה אחת בלא אוירה) למאי חזיא</w:t>
      </w:r>
      <w:r w:rsidRPr="001D49D4">
        <w:rPr>
          <w:rFonts w:ascii="Arial" w:eastAsia="Calibri" w:hAnsi="Arial" w:cs="Arial"/>
          <w:vertAlign w:val="superscript"/>
          <w:rtl/>
        </w:rPr>
        <w:footnoteReference w:id="3515"/>
      </w:r>
      <w:r w:rsidRPr="001D49D4">
        <w:rPr>
          <w:rFonts w:ascii="Arial" w:eastAsia="Calibri" w:hAnsi="Arial" w:cs="Arial"/>
          <w:rtl/>
        </w:rPr>
        <w:t>? אלא ש"מ: הן ואוירן, שמע מינה.</w:t>
      </w:r>
      <w:r w:rsidRPr="001D49D4">
        <w:rPr>
          <w:rFonts w:ascii="Arial" w:eastAsia="Calibri" w:hAnsi="Arial" w:cs="Arial"/>
          <w:sz w:val="16"/>
          <w:szCs w:val="16"/>
          <w:rtl/>
        </w:rPr>
        <w:t xml:space="preserve"> (וכ' מהרי"ו</w:t>
      </w:r>
      <w:r w:rsidRPr="001D49D4">
        <w:rPr>
          <w:rFonts w:ascii="Arial" w:eastAsia="Calibri" w:hAnsi="Arial" w:cs="Arial"/>
          <w:sz w:val="16"/>
          <w:szCs w:val="16"/>
          <w:vertAlign w:val="superscript"/>
          <w:rtl/>
        </w:rPr>
        <w:footnoteReference w:id="3516"/>
      </w:r>
      <w:r w:rsidRPr="001D49D4">
        <w:rPr>
          <w:rFonts w:ascii="Arial" w:eastAsia="Calibri" w:hAnsi="Arial" w:cs="Arial"/>
          <w:sz w:val="16"/>
          <w:szCs w:val="16"/>
          <w:rtl/>
        </w:rPr>
        <w:t>- "מכאן נ"ל שאין לקיים המחקים אלא בכתב שהוא כמו כתב השטר ולא בכתיבה דקה יותר מכתב השטר")</w:t>
      </w:r>
      <w:r w:rsidRPr="001D49D4">
        <w:rPr>
          <w:rFonts w:ascii="Arial" w:eastAsia="Calibri" w:hAnsi="Arial" w:cs="Arial"/>
          <w:rtl/>
        </w:rPr>
        <w:t>.</w:t>
      </w:r>
    </w:p>
    <w:p w14:paraId="6F1B7156" w14:textId="77777777" w:rsidR="001D49D4" w:rsidRPr="001D49D4" w:rsidRDefault="001D49D4" w:rsidP="0004348D">
      <w:pPr>
        <w:spacing w:before="360" w:after="240"/>
        <w:jc w:val="both"/>
        <w:rPr>
          <w:rFonts w:ascii="Arial" w:eastAsia="Calibri" w:hAnsi="Arial" w:cs="Arial"/>
          <w:rtl/>
        </w:rPr>
      </w:pPr>
      <w:r w:rsidRPr="001D49D4">
        <w:rPr>
          <w:rFonts w:ascii="Arial" w:eastAsia="Calibri" w:hAnsi="Arial" w:cs="Arial"/>
          <w:b/>
          <w:bCs/>
          <w:sz w:val="32"/>
          <w:szCs w:val="28"/>
          <w:u w:val="single"/>
          <w:rtl/>
        </w:rPr>
        <w:t xml:space="preserve">שו"ע: </w:t>
      </w:r>
    </w:p>
    <w:p w14:paraId="0AD7DADE" w14:textId="77777777" w:rsidR="001D49D4" w:rsidRPr="001D49D4" w:rsidRDefault="001D49D4" w:rsidP="0004348D">
      <w:pPr>
        <w:spacing w:before="360" w:after="240"/>
        <w:rPr>
          <w:rFonts w:ascii="Arial" w:eastAsia="Calibri" w:hAnsi="Arial" w:cs="Arial"/>
          <w:rtl/>
        </w:rPr>
      </w:pPr>
      <w:r w:rsidRPr="001D49D4">
        <w:rPr>
          <w:rFonts w:ascii="Arial" w:eastAsia="Calibri" w:hAnsi="Arial" w:cs="Arial"/>
          <w:rtl/>
        </w:rPr>
        <w:t xml:space="preserve">יש מי שאומר שאין לקיים המחקים אלא בכתב שהוא ככתב השטר ולא בכתיבה דקה יותר מכתב השטר. </w:t>
      </w:r>
    </w:p>
    <w:p w14:paraId="15F43C69" w14:textId="77777777" w:rsidR="001D49D4" w:rsidRPr="001D49D4" w:rsidRDefault="001D49D4" w:rsidP="0004348D">
      <w:pPr>
        <w:spacing w:before="360" w:after="240"/>
        <w:rPr>
          <w:rFonts w:ascii="Arial" w:eastAsia="Calibri" w:hAnsi="Arial" w:cs="Arial"/>
          <w:u w:val="single"/>
          <w:rtl/>
        </w:rPr>
      </w:pPr>
      <w:r w:rsidRPr="001D49D4">
        <w:rPr>
          <w:rFonts w:ascii="Arial" w:eastAsia="Calibri" w:hAnsi="Arial" w:cs="Arial"/>
          <w:u w:val="single"/>
          <w:rtl/>
        </w:rPr>
        <w:t>לאיזה מקרה התכוון מהרי"ו</w:t>
      </w:r>
      <w:r w:rsidRPr="001D49D4">
        <w:rPr>
          <w:rFonts w:ascii="Arial" w:eastAsia="Calibri" w:hAnsi="Arial" w:cs="Arial"/>
          <w:sz w:val="16"/>
          <w:szCs w:val="16"/>
          <w:u w:val="single"/>
          <w:rtl/>
        </w:rPr>
        <w:t xml:space="preserve"> (ומרן שהעתיקו)</w:t>
      </w:r>
      <w:r w:rsidRPr="001D49D4">
        <w:rPr>
          <w:rFonts w:ascii="Arial" w:eastAsia="Calibri" w:hAnsi="Arial" w:cs="Arial"/>
          <w:u w:val="single"/>
          <w:rtl/>
        </w:rPr>
        <w:t>:</w:t>
      </w:r>
    </w:p>
    <w:p w14:paraId="55BE3FBE" w14:textId="77777777" w:rsidR="001D49D4" w:rsidRPr="001D49D4" w:rsidRDefault="001D49D4" w:rsidP="0004348D">
      <w:pPr>
        <w:numPr>
          <w:ilvl w:val="0"/>
          <w:numId w:val="255"/>
        </w:numPr>
        <w:spacing w:before="360" w:after="240"/>
        <w:contextualSpacing/>
        <w:rPr>
          <w:rFonts w:ascii="Arial" w:hAnsi="Arial"/>
          <w:rtl/>
        </w:rPr>
      </w:pPr>
      <w:r w:rsidRPr="001D49D4">
        <w:rPr>
          <w:rFonts w:ascii="Arial" w:hAnsi="Arial"/>
          <w:rtl/>
        </w:rPr>
        <w:t>ש"ך</w:t>
      </w:r>
      <w:r w:rsidRPr="001D49D4">
        <w:rPr>
          <w:rFonts w:ascii="Arial" w:hAnsi="Arial"/>
          <w:sz w:val="16"/>
          <w:szCs w:val="16"/>
          <w:rtl/>
        </w:rPr>
        <w:t xml:space="preserve"> (סקט"ז)</w:t>
      </w:r>
      <w:r w:rsidRPr="001D49D4">
        <w:rPr>
          <w:rFonts w:ascii="Arial" w:hAnsi="Arial"/>
          <w:rtl/>
        </w:rPr>
        <w:t xml:space="preserve"> וגר"א</w:t>
      </w:r>
      <w:r w:rsidRPr="001D49D4">
        <w:rPr>
          <w:rFonts w:ascii="Arial" w:hAnsi="Arial"/>
          <w:sz w:val="16"/>
          <w:szCs w:val="16"/>
          <w:rtl/>
        </w:rPr>
        <w:t xml:space="preserve"> (סק"כ)</w:t>
      </w:r>
      <w:r w:rsidRPr="001D49D4">
        <w:rPr>
          <w:rFonts w:ascii="Arial" w:hAnsi="Arial"/>
          <w:rtl/>
        </w:rPr>
        <w:t>- כשהקיום הוא למטה בשיטה אחרונה או סמוך לה ממש</w:t>
      </w:r>
      <w:r w:rsidRPr="001D49D4">
        <w:rPr>
          <w:rFonts w:ascii="Arial" w:hAnsi="Arial"/>
          <w:sz w:val="16"/>
          <w:szCs w:val="16"/>
          <w:rtl/>
        </w:rPr>
        <w:t xml:space="preserve"> (וסתמא דמילתא מקיימים למטה כדלקמן סע' ח-ט)</w:t>
      </w:r>
      <w:r w:rsidRPr="001D49D4">
        <w:rPr>
          <w:rFonts w:ascii="Arial" w:hAnsi="Arial"/>
          <w:rtl/>
        </w:rPr>
        <w:t>, בענין שיש לחוש שהעדים הניחו שיטה ריוח והוא כתב שתי שיטות דקות באותה שיטה, אבל אם מקיים למעלה מזה, יכול לקיים אף בכתב דק</w:t>
      </w:r>
      <w:r w:rsidRPr="001D49D4">
        <w:rPr>
          <w:rFonts w:ascii="Arial" w:hAnsi="Arial"/>
          <w:vertAlign w:val="superscript"/>
          <w:rtl/>
        </w:rPr>
        <w:footnoteReference w:id="3517"/>
      </w:r>
      <w:r w:rsidRPr="001D49D4">
        <w:rPr>
          <w:rFonts w:ascii="Arial" w:hAnsi="Arial"/>
          <w:rtl/>
        </w:rPr>
        <w:t>.</w:t>
      </w:r>
    </w:p>
    <w:p w14:paraId="7EA02D51" w14:textId="77777777" w:rsidR="001D49D4" w:rsidRPr="001D49D4" w:rsidRDefault="001D49D4" w:rsidP="0004348D">
      <w:pPr>
        <w:numPr>
          <w:ilvl w:val="0"/>
          <w:numId w:val="255"/>
        </w:numPr>
        <w:spacing w:before="360" w:after="240"/>
        <w:contextualSpacing/>
        <w:rPr>
          <w:rFonts w:ascii="Arial" w:hAnsi="Arial"/>
          <w:rtl/>
        </w:rPr>
      </w:pPr>
      <w:r w:rsidRPr="001D49D4">
        <w:rPr>
          <w:rFonts w:ascii="Arial" w:hAnsi="Arial"/>
          <w:rtl/>
        </w:rPr>
        <w:t>לבוש</w:t>
      </w:r>
      <w:r w:rsidRPr="001D49D4">
        <w:rPr>
          <w:rFonts w:ascii="Arial" w:hAnsi="Arial"/>
          <w:sz w:val="16"/>
          <w:szCs w:val="16"/>
          <w:rtl/>
        </w:rPr>
        <w:t xml:space="preserve"> (סע' ז)</w:t>
      </w:r>
      <w:r w:rsidRPr="001D49D4">
        <w:rPr>
          <w:rFonts w:ascii="Arial" w:hAnsi="Arial"/>
          <w:rtl/>
        </w:rPr>
        <w:t xml:space="preserve">- כשמחק שיטה/תיבה מכתב השטר וכתב במקומו </w:t>
      </w:r>
      <w:r w:rsidRPr="001D49D4">
        <w:rPr>
          <w:rFonts w:ascii="Arial" w:hAnsi="Arial"/>
          <w:u w:val="single"/>
          <w:rtl/>
        </w:rPr>
        <w:t>שתי</w:t>
      </w:r>
      <w:r w:rsidRPr="001D49D4">
        <w:rPr>
          <w:rFonts w:ascii="Arial" w:hAnsi="Arial"/>
          <w:rtl/>
        </w:rPr>
        <w:t xml:space="preserve"> שיטות/תיבות דקות.</w:t>
      </w:r>
    </w:p>
    <w:p w14:paraId="61F77FB3" w14:textId="77777777" w:rsidR="001D49D4" w:rsidRPr="001D49D4" w:rsidRDefault="001D49D4" w:rsidP="0004348D">
      <w:pPr>
        <w:spacing w:before="360" w:after="240"/>
        <w:rPr>
          <w:rFonts w:ascii="Arial" w:eastAsia="Calibri" w:hAnsi="Arial" w:cs="Arial"/>
        </w:rPr>
      </w:pPr>
    </w:p>
    <w:p w14:paraId="6EEAD8DB" w14:textId="77777777" w:rsidR="001D49D4" w:rsidRPr="001D49D4" w:rsidRDefault="001D49D4" w:rsidP="0004348D">
      <w:pPr>
        <w:keepNext/>
        <w:keepLines/>
        <w:spacing w:before="360" w:after="240"/>
        <w:outlineLvl w:val="1"/>
        <w:rPr>
          <w:rFonts w:ascii="Arial" w:eastAsia="Times New Roman" w:hAnsi="Arial" w:cs="Arial"/>
          <w:bCs/>
          <w:color w:val="548DD4" w:themeColor="text2" w:themeTint="99"/>
          <w:sz w:val="26"/>
          <w:szCs w:val="26"/>
          <w:rtl/>
        </w:rPr>
      </w:pPr>
      <w:bookmarkStart w:id="470" w:name="_Toc24883906"/>
      <w:r w:rsidRPr="001D49D4">
        <w:rPr>
          <w:rFonts w:ascii="Arial" w:eastAsia="Times New Roman" w:hAnsi="Arial" w:cs="Arial"/>
          <w:bCs/>
          <w:color w:val="548DD4" w:themeColor="text2" w:themeTint="99"/>
          <w:sz w:val="26"/>
          <w:szCs w:val="26"/>
          <w:rtl/>
        </w:rPr>
        <w:t>סעיף ח: מחק במקום שריר וקיים וכשיעור "שריר וקיים".</w:t>
      </w:r>
      <w:bookmarkEnd w:id="470"/>
    </w:p>
    <w:p w14:paraId="428E39CD" w14:textId="77777777" w:rsidR="001D49D4" w:rsidRPr="001D49D4" w:rsidRDefault="001D49D4" w:rsidP="0004348D">
      <w:pPr>
        <w:spacing w:before="360" w:after="240"/>
        <w:rPr>
          <w:rFonts w:ascii="Arial" w:eastAsia="Calibri" w:hAnsi="Arial" w:cs="Arial"/>
          <w:rtl/>
        </w:rPr>
      </w:pPr>
      <w:r w:rsidRPr="001D49D4">
        <w:rPr>
          <w:rFonts w:ascii="Arial" w:eastAsia="Calibri" w:hAnsi="Arial" w:cs="Arial"/>
          <w:b/>
          <w:bCs/>
          <w:rtl/>
        </w:rPr>
        <w:t>בבא בתרא קס ע"ב:</w:t>
      </w:r>
      <w:r w:rsidRPr="001D49D4">
        <w:rPr>
          <w:rFonts w:ascii="Arial" w:eastAsia="Calibri" w:hAnsi="Arial" w:cs="Arial"/>
          <w:rtl/>
        </w:rPr>
        <w:t xml:space="preserve"> וליחוש דלמא מחיק ליה לשריר וקיים, וכתב מאי דבעי והדר כתב שריר וקיים! הא</w:t>
      </w:r>
      <w:r w:rsidRPr="001D49D4">
        <w:rPr>
          <w:rFonts w:ascii="Arial" w:eastAsia="Calibri" w:hAnsi="Arial" w:cs="Arial"/>
          <w:u w:val="single"/>
          <w:rtl/>
        </w:rPr>
        <w:t xml:space="preserve"> אמר ר' יוחנן: </w:t>
      </w:r>
      <w:r w:rsidRPr="001D49D4">
        <w:rPr>
          <w:rFonts w:ascii="Arial" w:eastAsia="Calibri" w:hAnsi="Arial" w:cs="Arial"/>
          <w:rtl/>
        </w:rPr>
        <w:t>תלויה מקויימת- כשרה, מחק- פסול ואף על פי שמקוים. ולא אמרו מחק פסול אלא במקום שריר וקיים וכשיעור שריר וקיים</w:t>
      </w:r>
      <w:r w:rsidRPr="001D49D4">
        <w:rPr>
          <w:rFonts w:ascii="Arial" w:eastAsia="Calibri" w:hAnsi="Arial" w:cs="Arial"/>
          <w:vertAlign w:val="superscript"/>
          <w:rtl/>
        </w:rPr>
        <w:footnoteReference w:id="3518"/>
      </w:r>
      <w:r w:rsidRPr="001D49D4">
        <w:rPr>
          <w:rFonts w:ascii="Arial" w:eastAsia="Calibri" w:hAnsi="Arial" w:cs="Arial"/>
          <w:rtl/>
        </w:rPr>
        <w:t>.</w:t>
      </w:r>
    </w:p>
    <w:p w14:paraId="654C4B35" w14:textId="77777777" w:rsidR="001D49D4" w:rsidRPr="001D49D4" w:rsidRDefault="001D49D4" w:rsidP="0004348D">
      <w:pPr>
        <w:spacing w:before="360" w:after="240"/>
        <w:rPr>
          <w:rFonts w:ascii="Arial" w:eastAsia="Calibri" w:hAnsi="Arial" w:cs="Arial"/>
          <w:u w:val="single"/>
          <w:rtl/>
        </w:rPr>
      </w:pPr>
      <w:r w:rsidRPr="001D49D4">
        <w:rPr>
          <w:rFonts w:ascii="Arial" w:eastAsia="Calibri" w:hAnsi="Arial" w:cs="Arial"/>
          <w:u w:val="single"/>
          <w:rtl/>
        </w:rPr>
        <w:t>מהו "מקום שריר וקיים":</w:t>
      </w:r>
    </w:p>
    <w:p w14:paraId="3AEE1303" w14:textId="77777777" w:rsidR="001D49D4" w:rsidRPr="001D49D4" w:rsidRDefault="001D49D4" w:rsidP="0004348D">
      <w:pPr>
        <w:numPr>
          <w:ilvl w:val="0"/>
          <w:numId w:val="256"/>
        </w:numPr>
        <w:spacing w:before="360" w:after="240"/>
        <w:contextualSpacing/>
        <w:rPr>
          <w:rFonts w:ascii="Arial" w:hAnsi="Arial"/>
          <w:rtl/>
        </w:rPr>
      </w:pPr>
      <w:r w:rsidRPr="001D49D4">
        <w:rPr>
          <w:rFonts w:ascii="Arial" w:hAnsi="Arial"/>
          <w:rtl/>
        </w:rPr>
        <w:t xml:space="preserve">הה"מ </w:t>
      </w:r>
      <w:r w:rsidRPr="001D49D4">
        <w:rPr>
          <w:rFonts w:ascii="Arial" w:hAnsi="Arial"/>
          <w:sz w:val="16"/>
          <w:szCs w:val="16"/>
          <w:rtl/>
        </w:rPr>
        <w:t>(פכ"ז ה"ח)</w:t>
      </w:r>
      <w:r w:rsidRPr="001D49D4">
        <w:rPr>
          <w:rFonts w:ascii="Arial" w:hAnsi="Arial"/>
          <w:rtl/>
        </w:rPr>
        <w:t>- שטה אחת סמוך לאחרונה.</w:t>
      </w:r>
      <w:r w:rsidRPr="001D49D4">
        <w:rPr>
          <w:rFonts w:ascii="Arial" w:hAnsi="Arial"/>
          <w:color w:val="E36C0A" w:themeColor="accent6" w:themeShade="BF"/>
          <w:rtl/>
        </w:rPr>
        <w:t xml:space="preserve"> (וכ"פ בשו"ע)</w:t>
      </w:r>
    </w:p>
    <w:p w14:paraId="5A5C1D00" w14:textId="77777777" w:rsidR="001D49D4" w:rsidRPr="001D49D4" w:rsidRDefault="001D49D4" w:rsidP="0004348D">
      <w:pPr>
        <w:numPr>
          <w:ilvl w:val="0"/>
          <w:numId w:val="256"/>
        </w:numPr>
        <w:spacing w:before="360" w:after="240"/>
        <w:contextualSpacing/>
        <w:rPr>
          <w:rFonts w:ascii="Arial" w:hAnsi="Arial"/>
        </w:rPr>
      </w:pPr>
      <w:r w:rsidRPr="001D49D4">
        <w:rPr>
          <w:rFonts w:ascii="Arial" w:hAnsi="Arial"/>
          <w:rtl/>
        </w:rPr>
        <w:t>רשב"ם</w:t>
      </w:r>
      <w:r w:rsidRPr="001D49D4">
        <w:rPr>
          <w:rFonts w:ascii="Arial" w:hAnsi="Arial"/>
          <w:sz w:val="16"/>
          <w:szCs w:val="16"/>
          <w:rtl/>
        </w:rPr>
        <w:t xml:space="preserve"> (ד"ה מחק פסול)</w:t>
      </w:r>
      <w:r w:rsidRPr="001D49D4">
        <w:rPr>
          <w:rFonts w:ascii="Arial" w:hAnsi="Arial"/>
          <w:rtl/>
        </w:rPr>
        <w:t>- "בסוף השטר... כגון בתר במנא דכשר למיקניא ביה".</w:t>
      </w:r>
    </w:p>
    <w:p w14:paraId="1AD16AB6" w14:textId="77777777" w:rsidR="001D49D4" w:rsidRPr="001D49D4" w:rsidRDefault="001D49D4" w:rsidP="0004348D">
      <w:pPr>
        <w:spacing w:before="360" w:after="240"/>
        <w:rPr>
          <w:rFonts w:ascii="Arial" w:eastAsia="Calibri" w:hAnsi="Arial" w:cs="Arial"/>
          <w:u w:val="single"/>
        </w:rPr>
      </w:pPr>
      <w:r w:rsidRPr="001D49D4">
        <w:rPr>
          <w:rFonts w:ascii="Arial" w:eastAsia="Calibri" w:hAnsi="Arial" w:cs="Arial"/>
          <w:u w:val="single"/>
          <w:rtl/>
        </w:rPr>
        <w:t>מחק במקום שריר וקיים וכשיעור שריר וקיים שקיימוהו:</w:t>
      </w:r>
    </w:p>
    <w:p w14:paraId="6EF77632" w14:textId="77777777" w:rsidR="001D49D4" w:rsidRPr="001D49D4" w:rsidRDefault="001D49D4" w:rsidP="0004348D">
      <w:pPr>
        <w:numPr>
          <w:ilvl w:val="0"/>
          <w:numId w:val="256"/>
        </w:numPr>
        <w:spacing w:before="360" w:after="240"/>
        <w:contextualSpacing/>
        <w:rPr>
          <w:rFonts w:ascii="Arial" w:hAnsi="Arial"/>
          <w:rtl/>
        </w:rPr>
      </w:pPr>
      <w:r w:rsidRPr="001D49D4">
        <w:rPr>
          <w:rFonts w:ascii="Arial" w:hAnsi="Arial"/>
          <w:rtl/>
        </w:rPr>
        <w:t xml:space="preserve">רמב"ן </w:t>
      </w:r>
      <w:r w:rsidRPr="001D49D4">
        <w:rPr>
          <w:rFonts w:ascii="Arial" w:hAnsi="Arial"/>
          <w:sz w:val="16"/>
          <w:szCs w:val="16"/>
          <w:rtl/>
        </w:rPr>
        <w:t xml:space="preserve">(הביאו נמוק"י </w:t>
      </w:r>
      <w:r w:rsidRPr="001D49D4">
        <w:rPr>
          <w:rFonts w:ascii="Arial" w:hAnsi="Arial"/>
          <w:sz w:val="14"/>
          <w:szCs w:val="14"/>
          <w:rtl/>
        </w:rPr>
        <w:t>[עה: ד"ה אמר המחבר]</w:t>
      </w:r>
      <w:r w:rsidRPr="001D49D4">
        <w:rPr>
          <w:rFonts w:ascii="Arial" w:hAnsi="Arial"/>
          <w:sz w:val="16"/>
          <w:szCs w:val="16"/>
          <w:rtl/>
        </w:rPr>
        <w:t xml:space="preserve">) </w:t>
      </w:r>
      <w:r w:rsidRPr="001D49D4">
        <w:rPr>
          <w:rFonts w:ascii="Arial" w:hAnsi="Arial"/>
          <w:rtl/>
        </w:rPr>
        <w:t xml:space="preserve">וריטב"א </w:t>
      </w:r>
      <w:r w:rsidRPr="001D49D4">
        <w:rPr>
          <w:rFonts w:ascii="Arial" w:hAnsi="Arial"/>
          <w:sz w:val="16"/>
          <w:szCs w:val="16"/>
          <w:rtl/>
        </w:rPr>
        <w:t>(קס: ד"ה הא דאמרינן)</w:t>
      </w:r>
      <w:r w:rsidRPr="001D49D4">
        <w:rPr>
          <w:rFonts w:ascii="Arial" w:hAnsi="Arial"/>
          <w:rtl/>
        </w:rPr>
        <w:t>- כשר בפשוט</w:t>
      </w:r>
      <w:r w:rsidRPr="001D49D4">
        <w:rPr>
          <w:rFonts w:ascii="Arial" w:hAnsi="Arial"/>
          <w:sz w:val="16"/>
          <w:szCs w:val="16"/>
          <w:rtl/>
        </w:rPr>
        <w:t xml:space="preserve"> (היינו לאפוקי מקושר)</w:t>
      </w:r>
      <w:r w:rsidRPr="001D49D4">
        <w:rPr>
          <w:rFonts w:ascii="Arial" w:hAnsi="Arial"/>
          <w:rtl/>
        </w:rPr>
        <w:t xml:space="preserve">. </w:t>
      </w:r>
    </w:p>
    <w:p w14:paraId="267E5134" w14:textId="77777777" w:rsidR="001D49D4" w:rsidRPr="001D49D4" w:rsidRDefault="001D49D4" w:rsidP="0004348D">
      <w:pPr>
        <w:numPr>
          <w:ilvl w:val="0"/>
          <w:numId w:val="256"/>
        </w:numPr>
        <w:spacing w:before="360" w:after="240"/>
        <w:contextualSpacing/>
        <w:rPr>
          <w:rFonts w:ascii="Arial" w:hAnsi="Arial"/>
          <w:rtl/>
        </w:rPr>
      </w:pPr>
      <w:r w:rsidRPr="001D49D4">
        <w:rPr>
          <w:rFonts w:ascii="Arial" w:hAnsi="Arial"/>
          <w:rtl/>
        </w:rPr>
        <w:t xml:space="preserve">נימוק"י </w:t>
      </w:r>
      <w:r w:rsidRPr="001D49D4">
        <w:rPr>
          <w:rFonts w:ascii="Arial" w:hAnsi="Arial"/>
          <w:sz w:val="16"/>
          <w:szCs w:val="16"/>
          <w:rtl/>
        </w:rPr>
        <w:t>(עה: ד"ה גמ')</w:t>
      </w:r>
      <w:r w:rsidRPr="001D49D4">
        <w:rPr>
          <w:rFonts w:ascii="Arial" w:hAnsi="Arial"/>
          <w:rtl/>
        </w:rPr>
        <w:t>- אנו נהגנו בו פיסול אפילו בפשוט.</w:t>
      </w:r>
      <w:r w:rsidRPr="001D49D4">
        <w:rPr>
          <w:rFonts w:ascii="Arial" w:hAnsi="Arial"/>
          <w:color w:val="E36C0A" w:themeColor="accent6" w:themeShade="BF"/>
          <w:rtl/>
        </w:rPr>
        <w:t xml:space="preserve"> (וכ"פ בשו"ע)</w:t>
      </w:r>
      <w:r w:rsidRPr="001D49D4">
        <w:rPr>
          <w:rFonts w:ascii="Arial" w:hAnsi="Arial"/>
          <w:rtl/>
        </w:rPr>
        <w:t xml:space="preserve"> </w:t>
      </w:r>
    </w:p>
    <w:p w14:paraId="56FE073D" w14:textId="77777777" w:rsidR="001D49D4" w:rsidRPr="001D49D4" w:rsidRDefault="001D49D4" w:rsidP="0004348D">
      <w:pPr>
        <w:spacing w:before="360" w:after="240"/>
        <w:jc w:val="both"/>
        <w:rPr>
          <w:rFonts w:ascii="Arial" w:eastAsia="Calibri" w:hAnsi="Arial" w:cs="Arial"/>
          <w:rtl/>
        </w:rPr>
      </w:pPr>
      <w:r w:rsidRPr="001D49D4">
        <w:rPr>
          <w:rFonts w:ascii="Arial" w:eastAsia="Calibri" w:hAnsi="Arial" w:cs="Arial"/>
          <w:b/>
          <w:bCs/>
          <w:sz w:val="32"/>
          <w:szCs w:val="28"/>
          <w:u w:val="single"/>
          <w:rtl/>
        </w:rPr>
        <w:t xml:space="preserve">שו"ע: </w:t>
      </w:r>
    </w:p>
    <w:p w14:paraId="6A6896B5" w14:textId="77777777" w:rsidR="001D49D4" w:rsidRPr="001D49D4" w:rsidRDefault="001D49D4" w:rsidP="0004348D">
      <w:pPr>
        <w:spacing w:before="360" w:after="240"/>
        <w:rPr>
          <w:rFonts w:ascii="Arial" w:eastAsia="Calibri" w:hAnsi="Arial" w:cs="Arial"/>
          <w:rtl/>
        </w:rPr>
      </w:pPr>
      <w:r w:rsidRPr="001D49D4">
        <w:rPr>
          <w:rFonts w:ascii="Arial" w:eastAsia="Calibri" w:hAnsi="Arial" w:cs="Arial"/>
          <w:rtl/>
        </w:rPr>
        <w:lastRenderedPageBreak/>
        <w:t>היה המחק בשטה אחת סמוך לאחרונה והוא כשיעור שריר וקיים או יותר אף על פי שחזר וקיימו פסול</w:t>
      </w:r>
      <w:r w:rsidRPr="001D49D4">
        <w:rPr>
          <w:rFonts w:ascii="Arial" w:eastAsia="Calibri" w:hAnsi="Arial" w:cs="Arial"/>
          <w:vertAlign w:val="superscript"/>
          <w:rtl/>
        </w:rPr>
        <w:footnoteReference w:id="3519"/>
      </w:r>
      <w:r w:rsidRPr="001D49D4">
        <w:rPr>
          <w:rFonts w:ascii="Arial" w:eastAsia="Calibri" w:hAnsi="Arial" w:cs="Arial"/>
          <w:rtl/>
        </w:rPr>
        <w:t>, שמא מחקו וכתב דבר שזייף, וחזר וקיים בריוח שבין הכתב והעדים. והני מילי כשאין אויר שטה בין עדים לשטר, דאיכא למיחש שמא הוסיף באותו האויר שהניחו העדים, אבל יש בו אויר שטה כשר, ולא חיישינן שמא הניחו אויר שני שיטין והוסיף מה שרצה בשיטה ונשאר עוד שיטה אויר</w:t>
      </w:r>
      <w:r w:rsidRPr="001D49D4">
        <w:rPr>
          <w:rFonts w:ascii="Arial" w:eastAsia="Calibri" w:hAnsi="Arial" w:cs="Arial"/>
          <w:vertAlign w:val="superscript"/>
          <w:rtl/>
        </w:rPr>
        <w:footnoteReference w:id="3520"/>
      </w:r>
      <w:r w:rsidRPr="001D49D4">
        <w:rPr>
          <w:rFonts w:ascii="Arial" w:eastAsia="Calibri" w:hAnsi="Arial" w:cs="Arial"/>
          <w:rtl/>
        </w:rPr>
        <w:t>. והני מילי כשעדים מוחזקים ביודעים, הא לאו הכי חיישינן</w:t>
      </w:r>
      <w:r w:rsidRPr="001D49D4">
        <w:rPr>
          <w:rFonts w:ascii="Arial" w:eastAsia="Calibri" w:hAnsi="Arial" w:cs="Arial"/>
          <w:vertAlign w:val="superscript"/>
          <w:rtl/>
        </w:rPr>
        <w:footnoteReference w:id="3521"/>
      </w:r>
      <w:r w:rsidRPr="001D49D4">
        <w:rPr>
          <w:rFonts w:ascii="Arial" w:eastAsia="Calibri" w:hAnsi="Arial" w:cs="Arial"/>
          <w:rtl/>
        </w:rPr>
        <w:t xml:space="preserve">. </w:t>
      </w:r>
    </w:p>
    <w:p w14:paraId="496A9F01" w14:textId="77777777" w:rsidR="001D49D4" w:rsidRPr="001D49D4" w:rsidRDefault="001D49D4" w:rsidP="0004348D">
      <w:pPr>
        <w:spacing w:before="360" w:after="240"/>
        <w:rPr>
          <w:rFonts w:ascii="Arial" w:eastAsia="Calibri" w:hAnsi="Arial" w:cs="Arial"/>
          <w:u w:val="single"/>
          <w:rtl/>
        </w:rPr>
      </w:pPr>
      <w:r w:rsidRPr="001D49D4">
        <w:rPr>
          <w:rFonts w:ascii="Arial" w:eastAsia="Calibri" w:hAnsi="Arial" w:cs="Arial"/>
          <w:u w:val="single"/>
          <w:rtl/>
        </w:rPr>
        <w:t>שטר שנמצא בו מחק במקום שריר וקיים וכשיעורו ואין בשטר זכות לבעל השטר</w:t>
      </w:r>
      <w:r w:rsidRPr="001D49D4">
        <w:rPr>
          <w:rFonts w:ascii="Arial" w:eastAsia="Calibri" w:hAnsi="Arial" w:cs="Arial"/>
          <w:sz w:val="16"/>
          <w:szCs w:val="16"/>
          <w:u w:val="single"/>
          <w:rtl/>
        </w:rPr>
        <w:t xml:space="preserve"> (לא באותו מקום ולא למעלה ממנו)</w:t>
      </w:r>
      <w:r w:rsidRPr="001D49D4">
        <w:rPr>
          <w:rFonts w:ascii="Arial" w:eastAsia="Calibri" w:hAnsi="Arial" w:cs="Arial"/>
          <w:u w:val="single"/>
          <w:rtl/>
        </w:rPr>
        <w:t>:</w:t>
      </w:r>
    </w:p>
    <w:p w14:paraId="1A62CFDE" w14:textId="77777777" w:rsidR="001D49D4" w:rsidRPr="001D49D4" w:rsidRDefault="001D49D4" w:rsidP="0004348D">
      <w:pPr>
        <w:numPr>
          <w:ilvl w:val="0"/>
          <w:numId w:val="257"/>
        </w:numPr>
        <w:spacing w:before="360" w:after="240"/>
        <w:contextualSpacing/>
        <w:rPr>
          <w:rFonts w:ascii="Arial" w:hAnsi="Arial"/>
          <w:rtl/>
        </w:rPr>
      </w:pPr>
      <w:r w:rsidRPr="001D49D4">
        <w:rPr>
          <w:rFonts w:ascii="Arial" w:hAnsi="Arial"/>
          <w:rtl/>
        </w:rPr>
        <w:t xml:space="preserve">סמ"ע </w:t>
      </w:r>
      <w:r w:rsidRPr="001D49D4">
        <w:rPr>
          <w:rFonts w:ascii="Arial" w:hAnsi="Arial"/>
          <w:sz w:val="16"/>
          <w:szCs w:val="16"/>
          <w:rtl/>
        </w:rPr>
        <w:t>(סקי"ב)</w:t>
      </w:r>
      <w:r w:rsidRPr="001D49D4">
        <w:rPr>
          <w:rFonts w:ascii="Arial" w:hAnsi="Arial"/>
          <w:rtl/>
        </w:rPr>
        <w:t>- כיון דיכול לזייף ולהגיה בשטר זכותו הוה ליה שטר שיכול לזייפו וכל השטר פסול.</w:t>
      </w:r>
    </w:p>
    <w:p w14:paraId="5BCD3DB4" w14:textId="77777777" w:rsidR="001D49D4" w:rsidRPr="001D49D4" w:rsidRDefault="001D49D4" w:rsidP="0004348D">
      <w:pPr>
        <w:numPr>
          <w:ilvl w:val="0"/>
          <w:numId w:val="257"/>
        </w:numPr>
        <w:spacing w:before="360" w:after="240"/>
        <w:contextualSpacing/>
        <w:rPr>
          <w:rFonts w:ascii="Arial" w:hAnsi="Arial"/>
          <w:rtl/>
        </w:rPr>
      </w:pPr>
      <w:r w:rsidRPr="001D49D4">
        <w:rPr>
          <w:rFonts w:ascii="Arial" w:hAnsi="Arial"/>
          <w:rtl/>
        </w:rPr>
        <w:t xml:space="preserve">ש"ך </w:t>
      </w:r>
      <w:r w:rsidRPr="001D49D4">
        <w:rPr>
          <w:rFonts w:ascii="Arial" w:hAnsi="Arial"/>
          <w:sz w:val="16"/>
          <w:szCs w:val="16"/>
          <w:rtl/>
        </w:rPr>
        <w:t>(סקי"ח)</w:t>
      </w:r>
      <w:r w:rsidRPr="001D49D4">
        <w:rPr>
          <w:rFonts w:ascii="Arial" w:hAnsi="Arial"/>
          <w:rtl/>
        </w:rPr>
        <w:t xml:space="preserve">- כיון דאי היה מוסיף בעל השטר זכות לעצמו היינו פוסלים את השטר לא הוי שטר שיכול לזייפו, לכן רק אם אינו ניכר מה היה כתוב במקום המחק פסול </w:t>
      </w:r>
      <w:r w:rsidRPr="001D49D4">
        <w:rPr>
          <w:rFonts w:ascii="Arial" w:hAnsi="Arial"/>
          <w:sz w:val="16"/>
          <w:szCs w:val="16"/>
          <w:rtl/>
        </w:rPr>
        <w:t>(דילמא במקום המחק היה כתוב דבר המבטל את השטר והקיום שבשיטה אחרונה אינו כלום)</w:t>
      </w:r>
      <w:r w:rsidRPr="001D49D4">
        <w:rPr>
          <w:rFonts w:ascii="Arial" w:hAnsi="Arial"/>
          <w:rtl/>
        </w:rPr>
        <w:t>, מיהו אם הוא ניכר, כגון שנמחק בהעברת קולמוס וכה"ג, כשהקיום הוא בשיטה אחרונה, אין כל השטר פסול רק הקיום הוא פסול, והוה ליה כאילו לא נמחק בהעברת קולמוס, וכשהוא דבר של חובה הוא בתוקפו לגרוע כח בעל השטר.</w:t>
      </w:r>
    </w:p>
    <w:p w14:paraId="6BC51C39" w14:textId="77777777" w:rsidR="001D49D4" w:rsidRPr="001D49D4" w:rsidRDefault="001D49D4" w:rsidP="0004348D">
      <w:pPr>
        <w:spacing w:before="360" w:after="240"/>
        <w:rPr>
          <w:rFonts w:ascii="Arial" w:eastAsia="Calibri" w:hAnsi="Arial" w:cs="Arial"/>
          <w:rtl/>
        </w:rPr>
      </w:pPr>
    </w:p>
    <w:p w14:paraId="03D89DE3" w14:textId="77777777" w:rsidR="001D49D4" w:rsidRPr="001D49D4" w:rsidRDefault="001D49D4" w:rsidP="0004348D">
      <w:pPr>
        <w:keepNext/>
        <w:keepLines/>
        <w:spacing w:before="360" w:after="240"/>
        <w:outlineLvl w:val="1"/>
        <w:rPr>
          <w:rFonts w:ascii="Arial" w:eastAsia="Times New Roman" w:hAnsi="Arial" w:cs="Arial"/>
          <w:bCs/>
          <w:color w:val="548DD4" w:themeColor="text2" w:themeTint="99"/>
          <w:sz w:val="26"/>
          <w:szCs w:val="26"/>
          <w:rtl/>
        </w:rPr>
      </w:pPr>
      <w:bookmarkStart w:id="471" w:name="_Toc24883907"/>
      <w:r w:rsidRPr="001D49D4">
        <w:rPr>
          <w:rFonts w:ascii="Arial" w:eastAsia="Times New Roman" w:hAnsi="Arial" w:cs="Arial"/>
          <w:bCs/>
          <w:color w:val="548DD4" w:themeColor="text2" w:themeTint="99"/>
          <w:sz w:val="26"/>
          <w:szCs w:val="26"/>
          <w:rtl/>
        </w:rPr>
        <w:t>סעיף ט: מקום הקיום, ושטר שאין בו שריר וקיים/שיש בו תרי שריר וקיים.</w:t>
      </w:r>
      <w:bookmarkEnd w:id="471"/>
      <w:r w:rsidRPr="001D49D4">
        <w:rPr>
          <w:rFonts w:ascii="Arial" w:eastAsia="Times New Roman" w:hAnsi="Arial" w:cs="Arial"/>
          <w:bCs/>
          <w:color w:val="548DD4" w:themeColor="text2" w:themeTint="99"/>
          <w:sz w:val="26"/>
          <w:szCs w:val="26"/>
          <w:rtl/>
        </w:rPr>
        <w:t xml:space="preserve"> </w:t>
      </w:r>
    </w:p>
    <w:p w14:paraId="282DC597" w14:textId="77777777" w:rsidR="001D49D4" w:rsidRPr="001D49D4" w:rsidRDefault="001D49D4" w:rsidP="0004348D">
      <w:pPr>
        <w:spacing w:before="360" w:after="240"/>
        <w:rPr>
          <w:rFonts w:ascii="Arial" w:eastAsia="Calibri" w:hAnsi="Arial" w:cs="Arial"/>
          <w:rtl/>
        </w:rPr>
      </w:pPr>
      <w:r w:rsidRPr="001D49D4">
        <w:rPr>
          <w:rFonts w:ascii="Arial" w:eastAsia="Calibri" w:hAnsi="Arial" w:cs="Arial"/>
          <w:b/>
          <w:bCs/>
          <w:rtl/>
        </w:rPr>
        <w:t xml:space="preserve">בבא בתרא קס ע"ב: </w:t>
      </w:r>
      <w:r w:rsidRPr="001D49D4">
        <w:rPr>
          <w:rFonts w:ascii="Arial" w:eastAsia="Calibri" w:hAnsi="Arial" w:cs="Arial"/>
          <w:rtl/>
        </w:rPr>
        <w:t>חד שריר וקיים כתבינן, תרי שריר וקיים לא כתבינן.</w:t>
      </w:r>
    </w:p>
    <w:p w14:paraId="7F01E733" w14:textId="77777777" w:rsidR="001D49D4" w:rsidRPr="001D49D4" w:rsidRDefault="001D49D4" w:rsidP="0004348D">
      <w:pPr>
        <w:spacing w:before="360" w:after="240"/>
        <w:rPr>
          <w:rFonts w:ascii="Arial" w:eastAsia="Calibri" w:hAnsi="Arial" w:cs="Arial"/>
          <w:u w:val="single"/>
          <w:rtl/>
        </w:rPr>
      </w:pPr>
      <w:r w:rsidRPr="001D49D4">
        <w:rPr>
          <w:rFonts w:ascii="Arial" w:eastAsia="Calibri" w:hAnsi="Arial" w:cs="Arial"/>
          <w:u w:val="single"/>
          <w:rtl/>
        </w:rPr>
        <w:t>שטר שכתוב בו תרי "שריר וקיים":</w:t>
      </w:r>
    </w:p>
    <w:p w14:paraId="070F9C52" w14:textId="77777777" w:rsidR="001D49D4" w:rsidRPr="001D49D4" w:rsidRDefault="001D49D4" w:rsidP="0004348D">
      <w:pPr>
        <w:numPr>
          <w:ilvl w:val="0"/>
          <w:numId w:val="251"/>
        </w:numPr>
        <w:spacing w:before="360" w:after="240"/>
        <w:contextualSpacing/>
        <w:rPr>
          <w:rFonts w:ascii="Arial" w:hAnsi="Arial"/>
          <w:rtl/>
        </w:rPr>
      </w:pPr>
      <w:r w:rsidRPr="001D49D4">
        <w:rPr>
          <w:rFonts w:ascii="Arial" w:hAnsi="Arial"/>
          <w:rtl/>
        </w:rPr>
        <w:t>רשב"א ריטב"א ורי"ו</w:t>
      </w:r>
      <w:r w:rsidRPr="001D49D4">
        <w:rPr>
          <w:rFonts w:ascii="Arial" w:hAnsi="Arial"/>
          <w:vertAlign w:val="superscript"/>
          <w:rtl/>
        </w:rPr>
        <w:footnoteReference w:id="3522"/>
      </w:r>
      <w:r w:rsidRPr="001D49D4">
        <w:rPr>
          <w:rFonts w:ascii="Arial" w:hAnsi="Arial"/>
          <w:rtl/>
        </w:rPr>
        <w:t>- "לא מכשרינן אלא אם אינם בשטה אחרונה, אבל אם הם בשטה אחרונה חיישינן שמא זייף וכתב מאי דבעי וכתב שריר וקיים אחרינא. ואם החזיר מעניינו של שטר בשטה אחרונה</w:t>
      </w:r>
      <w:r w:rsidRPr="001D49D4">
        <w:rPr>
          <w:rFonts w:ascii="Arial" w:hAnsi="Arial"/>
          <w:vertAlign w:val="superscript"/>
          <w:rtl/>
        </w:rPr>
        <w:footnoteReference w:id="3523"/>
      </w:r>
      <w:r w:rsidRPr="001D49D4">
        <w:rPr>
          <w:rFonts w:ascii="Arial" w:hAnsi="Arial"/>
          <w:rtl/>
        </w:rPr>
        <w:t xml:space="preserve"> אע"פ שכתב תרי שריר וקיים בשיטות של מעלה אין כאן חשש</w:t>
      </w:r>
      <w:r w:rsidRPr="001D49D4">
        <w:rPr>
          <w:rFonts w:ascii="Arial" w:hAnsi="Arial"/>
          <w:vertAlign w:val="superscript"/>
          <w:rtl/>
        </w:rPr>
        <w:footnoteReference w:id="3524"/>
      </w:r>
      <w:r w:rsidRPr="001D49D4">
        <w:rPr>
          <w:rFonts w:ascii="Arial" w:hAnsi="Arial"/>
          <w:rtl/>
        </w:rPr>
        <w:t xml:space="preserve">, שאין חוששין שהעדים הרחיקו שני שיטין ובא זה וזייף </w:t>
      </w:r>
      <w:r w:rsidRPr="001D49D4">
        <w:rPr>
          <w:rFonts w:ascii="Arial" w:hAnsi="Arial"/>
          <w:sz w:val="16"/>
          <w:szCs w:val="16"/>
          <w:rtl/>
        </w:rPr>
        <w:t>(ל' הרשב"ש שכ' בשם הרשב"א)</w:t>
      </w:r>
      <w:r w:rsidRPr="001D49D4">
        <w:rPr>
          <w:rFonts w:ascii="Arial" w:hAnsi="Arial"/>
          <w:rtl/>
        </w:rPr>
        <w:t>".</w:t>
      </w:r>
      <w:r w:rsidRPr="001D49D4">
        <w:rPr>
          <w:rFonts w:ascii="Arial" w:hAnsi="Arial"/>
          <w:color w:val="E36C0A" w:themeColor="accent6" w:themeShade="BF"/>
          <w:rtl/>
        </w:rPr>
        <w:t xml:space="preserve"> (וכ"פ בשו"ע)</w:t>
      </w:r>
    </w:p>
    <w:p w14:paraId="7CECB4F3" w14:textId="77777777" w:rsidR="001D49D4" w:rsidRPr="001D49D4" w:rsidRDefault="001D49D4" w:rsidP="0004348D">
      <w:pPr>
        <w:numPr>
          <w:ilvl w:val="0"/>
          <w:numId w:val="251"/>
        </w:numPr>
        <w:spacing w:before="360" w:after="240"/>
        <w:contextualSpacing/>
        <w:rPr>
          <w:rFonts w:ascii="Arial" w:hAnsi="Arial"/>
        </w:rPr>
      </w:pPr>
      <w:r w:rsidRPr="001D49D4">
        <w:rPr>
          <w:rFonts w:ascii="Arial" w:hAnsi="Arial"/>
          <w:rtl/>
        </w:rPr>
        <w:t>ר"י ברצלוני ורמב"ן</w:t>
      </w:r>
      <w:r w:rsidRPr="001D49D4">
        <w:rPr>
          <w:rFonts w:ascii="Arial" w:hAnsi="Arial"/>
          <w:vertAlign w:val="superscript"/>
          <w:rtl/>
        </w:rPr>
        <w:footnoteReference w:id="3525"/>
      </w:r>
      <w:r w:rsidRPr="001D49D4">
        <w:rPr>
          <w:rFonts w:ascii="Arial" w:hAnsi="Arial"/>
          <w:rtl/>
        </w:rPr>
        <w:t>- "כיון שעדיו מתוכו</w:t>
      </w:r>
      <w:r w:rsidRPr="001D49D4">
        <w:rPr>
          <w:rFonts w:ascii="Arial" w:hAnsi="Arial"/>
          <w:vertAlign w:val="superscript"/>
          <w:rtl/>
        </w:rPr>
        <w:footnoteReference w:id="3526"/>
      </w:r>
      <w:r w:rsidRPr="001D49D4">
        <w:rPr>
          <w:rFonts w:ascii="Arial" w:hAnsi="Arial"/>
          <w:rtl/>
        </w:rPr>
        <w:t xml:space="preserve"> כתבינן שפיר שריר וקיים טובא" </w:t>
      </w:r>
      <w:r w:rsidRPr="001D49D4">
        <w:rPr>
          <w:rFonts w:ascii="Arial" w:hAnsi="Arial"/>
          <w:sz w:val="16"/>
          <w:szCs w:val="16"/>
          <w:rtl/>
        </w:rPr>
        <w:t>(לכתחילה וללא תנאי)</w:t>
      </w:r>
      <w:r w:rsidRPr="001D49D4">
        <w:rPr>
          <w:rFonts w:ascii="Arial" w:hAnsi="Arial"/>
          <w:rtl/>
        </w:rPr>
        <w:t>.</w:t>
      </w:r>
    </w:p>
    <w:p w14:paraId="1FE6D334" w14:textId="77777777" w:rsidR="001D49D4" w:rsidRPr="001D49D4" w:rsidRDefault="001D49D4" w:rsidP="0004348D">
      <w:pPr>
        <w:numPr>
          <w:ilvl w:val="0"/>
          <w:numId w:val="251"/>
        </w:numPr>
        <w:spacing w:before="360" w:after="240"/>
        <w:contextualSpacing/>
        <w:rPr>
          <w:rFonts w:ascii="Arial" w:hAnsi="Arial"/>
        </w:rPr>
      </w:pPr>
      <w:r w:rsidRPr="001D49D4">
        <w:rPr>
          <w:rFonts w:ascii="Arial" w:hAnsi="Arial"/>
          <w:rtl/>
        </w:rPr>
        <w:t xml:space="preserve">מרדכי </w:t>
      </w:r>
      <w:r w:rsidRPr="001D49D4">
        <w:rPr>
          <w:rFonts w:ascii="Arial" w:hAnsi="Arial"/>
          <w:sz w:val="16"/>
          <w:szCs w:val="16"/>
          <w:rtl/>
        </w:rPr>
        <w:t xml:space="preserve">(רמז תרמ"א) </w:t>
      </w:r>
      <w:r w:rsidRPr="001D49D4">
        <w:rPr>
          <w:rFonts w:ascii="Arial" w:hAnsi="Arial"/>
          <w:rtl/>
        </w:rPr>
        <w:t>ורא"ש</w:t>
      </w:r>
      <w:r w:rsidRPr="001D49D4">
        <w:rPr>
          <w:rFonts w:ascii="Arial" w:hAnsi="Arial"/>
          <w:sz w:val="16"/>
          <w:szCs w:val="16"/>
          <w:rtl/>
        </w:rPr>
        <w:t xml:space="preserve"> (כלל ס"ח סי' י"ח)</w:t>
      </w:r>
      <w:r w:rsidRPr="001D49D4">
        <w:rPr>
          <w:rFonts w:ascii="Arial" w:hAnsi="Arial"/>
          <w:rtl/>
        </w:rPr>
        <w:t>- "תרי שריר וקיים לא כתבינן"</w:t>
      </w:r>
      <w:r w:rsidRPr="001D49D4">
        <w:rPr>
          <w:rFonts w:ascii="Arial" w:hAnsi="Arial"/>
          <w:sz w:val="14"/>
          <w:szCs w:val="14"/>
          <w:rtl/>
        </w:rPr>
        <w:t xml:space="preserve"> (לשון המרדכי והרא"ש)</w:t>
      </w:r>
      <w:r w:rsidRPr="001D49D4">
        <w:rPr>
          <w:rFonts w:ascii="Arial" w:hAnsi="Arial"/>
          <w:rtl/>
        </w:rPr>
        <w:t xml:space="preserve">. </w:t>
      </w:r>
    </w:p>
    <w:p w14:paraId="75412E5B" w14:textId="77777777" w:rsidR="001D49D4" w:rsidRPr="001D49D4" w:rsidRDefault="001D49D4" w:rsidP="0004348D">
      <w:pPr>
        <w:numPr>
          <w:ilvl w:val="0"/>
          <w:numId w:val="251"/>
        </w:numPr>
        <w:spacing w:before="360" w:after="240"/>
        <w:contextualSpacing/>
        <w:rPr>
          <w:rFonts w:ascii="Arial" w:hAnsi="Arial"/>
        </w:rPr>
      </w:pPr>
      <w:r w:rsidRPr="001D49D4">
        <w:rPr>
          <w:rFonts w:ascii="Arial" w:hAnsi="Arial"/>
          <w:rtl/>
        </w:rPr>
        <w:t>(טור</w:t>
      </w:r>
      <w:r w:rsidRPr="001D49D4">
        <w:rPr>
          <w:rFonts w:ascii="Arial" w:hAnsi="Arial"/>
          <w:vertAlign w:val="superscript"/>
          <w:rtl/>
        </w:rPr>
        <w:footnoteReference w:id="3527"/>
      </w:r>
      <w:r w:rsidRPr="001D49D4">
        <w:rPr>
          <w:rFonts w:ascii="Arial" w:hAnsi="Arial"/>
          <w:rtl/>
        </w:rPr>
        <w:t xml:space="preserve"> </w:t>
      </w:r>
      <w:r w:rsidRPr="001D49D4">
        <w:rPr>
          <w:rFonts w:ascii="Arial" w:hAnsi="Arial"/>
          <w:sz w:val="16"/>
          <w:szCs w:val="16"/>
          <w:rtl/>
        </w:rPr>
        <w:t>להב' הט"ז</w:t>
      </w:r>
      <w:r w:rsidRPr="001D49D4">
        <w:rPr>
          <w:rFonts w:ascii="Arial" w:hAnsi="Arial"/>
          <w:rtl/>
        </w:rPr>
        <w:t xml:space="preserve">)- פסול אף ביש אויר שיטה </w:t>
      </w:r>
      <w:r w:rsidRPr="001D49D4">
        <w:rPr>
          <w:rFonts w:ascii="Arial" w:hAnsi="Arial"/>
          <w:sz w:val="16"/>
          <w:szCs w:val="16"/>
          <w:rtl/>
        </w:rPr>
        <w:t>(כיון דחזינן ריעותא שנכתב ב' פעמים, חיישינן שמא הרחיקו ב' שיטין)</w:t>
      </w:r>
      <w:r w:rsidRPr="001D49D4">
        <w:rPr>
          <w:rFonts w:ascii="Arial" w:hAnsi="Arial"/>
          <w:rtl/>
        </w:rPr>
        <w:t xml:space="preserve">. </w:t>
      </w:r>
    </w:p>
    <w:p w14:paraId="609C494D" w14:textId="77777777" w:rsidR="001D49D4" w:rsidRPr="001D49D4" w:rsidRDefault="001D49D4" w:rsidP="0004348D">
      <w:pPr>
        <w:numPr>
          <w:ilvl w:val="0"/>
          <w:numId w:val="251"/>
        </w:numPr>
        <w:spacing w:before="360" w:after="240"/>
        <w:contextualSpacing/>
        <w:rPr>
          <w:rFonts w:ascii="Arial" w:hAnsi="Arial"/>
        </w:rPr>
      </w:pPr>
      <w:r w:rsidRPr="001D49D4">
        <w:rPr>
          <w:rFonts w:ascii="Arial" w:hAnsi="Arial"/>
          <w:rtl/>
        </w:rPr>
        <w:t xml:space="preserve">(טור </w:t>
      </w:r>
      <w:r w:rsidRPr="001D49D4">
        <w:rPr>
          <w:rFonts w:ascii="Arial" w:hAnsi="Arial"/>
          <w:sz w:val="16"/>
          <w:szCs w:val="16"/>
          <w:rtl/>
        </w:rPr>
        <w:t>להב' הש"ך</w:t>
      </w:r>
      <w:r w:rsidRPr="001D49D4">
        <w:rPr>
          <w:rFonts w:ascii="Arial" w:hAnsi="Arial"/>
          <w:rtl/>
        </w:rPr>
        <w:t xml:space="preserve">)- פסול כשאין שיטה ריוח. </w:t>
      </w:r>
    </w:p>
    <w:p w14:paraId="66B4ECB5" w14:textId="77777777" w:rsidR="001D49D4" w:rsidRPr="001D49D4" w:rsidRDefault="001D49D4" w:rsidP="0004348D">
      <w:pPr>
        <w:spacing w:before="360" w:after="240"/>
        <w:rPr>
          <w:rFonts w:ascii="Arial" w:eastAsia="Calibri" w:hAnsi="Arial" w:cs="Arial"/>
          <w:u w:val="single"/>
        </w:rPr>
      </w:pPr>
      <w:r w:rsidRPr="001D49D4">
        <w:rPr>
          <w:rFonts w:ascii="Arial" w:eastAsia="Calibri" w:hAnsi="Arial" w:cs="Arial"/>
          <w:u w:val="single"/>
          <w:rtl/>
        </w:rPr>
        <w:t>שטר שלא כתוב בו "שריר וקיים":</w:t>
      </w:r>
    </w:p>
    <w:p w14:paraId="45E9BE82" w14:textId="77777777" w:rsidR="001D49D4" w:rsidRPr="001D49D4" w:rsidRDefault="001D49D4" w:rsidP="0004348D">
      <w:pPr>
        <w:numPr>
          <w:ilvl w:val="0"/>
          <w:numId w:val="258"/>
        </w:numPr>
        <w:spacing w:before="360" w:after="240"/>
        <w:contextualSpacing/>
        <w:rPr>
          <w:rFonts w:ascii="Arial" w:hAnsi="Arial"/>
          <w:rtl/>
        </w:rPr>
      </w:pPr>
      <w:r w:rsidRPr="001D49D4">
        <w:rPr>
          <w:rFonts w:ascii="Arial" w:hAnsi="Arial"/>
          <w:rtl/>
        </w:rPr>
        <w:t>ר"י ורא"ש</w:t>
      </w:r>
      <w:r w:rsidRPr="001D49D4">
        <w:rPr>
          <w:rFonts w:ascii="Arial" w:hAnsi="Arial"/>
          <w:vertAlign w:val="superscript"/>
          <w:rtl/>
        </w:rPr>
        <w:footnoteReference w:id="3528"/>
      </w:r>
      <w:r w:rsidRPr="001D49D4">
        <w:rPr>
          <w:rFonts w:ascii="Arial" w:hAnsi="Arial"/>
          <w:rtl/>
        </w:rPr>
        <w:t xml:space="preserve">- "כיון שהורגלו לכתוב שריר וקיים יהיה השטר פסול אם לא נכתב בו". </w:t>
      </w:r>
      <w:r w:rsidRPr="001D49D4">
        <w:rPr>
          <w:rFonts w:ascii="Arial" w:hAnsi="Arial"/>
          <w:color w:val="E36C0A" w:themeColor="accent6" w:themeShade="BF"/>
          <w:rtl/>
        </w:rPr>
        <w:t>(וכ"פ בשו"ע)</w:t>
      </w:r>
    </w:p>
    <w:p w14:paraId="333E6A80" w14:textId="77777777" w:rsidR="001D49D4" w:rsidRPr="001D49D4" w:rsidRDefault="001D49D4" w:rsidP="0004348D">
      <w:pPr>
        <w:numPr>
          <w:ilvl w:val="0"/>
          <w:numId w:val="258"/>
        </w:numPr>
        <w:spacing w:before="360" w:after="240"/>
        <w:contextualSpacing/>
        <w:rPr>
          <w:rFonts w:ascii="Arial" w:hAnsi="Arial"/>
          <w:rtl/>
        </w:rPr>
      </w:pPr>
      <w:r w:rsidRPr="001D49D4">
        <w:rPr>
          <w:rFonts w:ascii="Arial" w:hAnsi="Arial"/>
          <w:rtl/>
        </w:rPr>
        <w:lastRenderedPageBreak/>
        <w:t>רמב"ן</w:t>
      </w:r>
      <w:r w:rsidRPr="001D49D4">
        <w:rPr>
          <w:rFonts w:ascii="Arial" w:hAnsi="Arial"/>
          <w:sz w:val="16"/>
          <w:szCs w:val="16"/>
          <w:rtl/>
        </w:rPr>
        <w:t xml:space="preserve"> (קסב. ד"ה הרי למדנו)</w:t>
      </w:r>
      <w:r w:rsidRPr="001D49D4">
        <w:rPr>
          <w:rFonts w:ascii="Arial" w:hAnsi="Arial"/>
          <w:rtl/>
        </w:rPr>
        <w:t xml:space="preserve">- כשר. </w:t>
      </w:r>
    </w:p>
    <w:p w14:paraId="7C889234" w14:textId="77777777" w:rsidR="001D49D4" w:rsidRPr="001D49D4" w:rsidRDefault="001D49D4" w:rsidP="0004348D">
      <w:pPr>
        <w:spacing w:before="360" w:after="240"/>
        <w:jc w:val="both"/>
        <w:rPr>
          <w:rFonts w:ascii="Arial" w:eastAsia="Calibri" w:hAnsi="Arial" w:cs="Arial"/>
          <w:rtl/>
        </w:rPr>
      </w:pPr>
      <w:r w:rsidRPr="001D49D4">
        <w:rPr>
          <w:rFonts w:ascii="Arial" w:eastAsia="Calibri" w:hAnsi="Arial" w:cs="Arial"/>
          <w:b/>
          <w:bCs/>
          <w:sz w:val="32"/>
          <w:szCs w:val="28"/>
          <w:u w:val="single"/>
          <w:rtl/>
        </w:rPr>
        <w:t xml:space="preserve">שו"ע: </w:t>
      </w:r>
    </w:p>
    <w:p w14:paraId="1E5DCFB3" w14:textId="77777777" w:rsidR="001D49D4" w:rsidRPr="001D49D4" w:rsidRDefault="001D49D4" w:rsidP="0004348D">
      <w:pPr>
        <w:spacing w:before="360" w:after="240"/>
        <w:rPr>
          <w:rFonts w:ascii="Arial" w:eastAsia="Calibri" w:hAnsi="Arial" w:cs="Arial"/>
          <w:rtl/>
        </w:rPr>
      </w:pPr>
      <w:r w:rsidRPr="001D49D4">
        <w:rPr>
          <w:rFonts w:ascii="Arial" w:eastAsia="Calibri" w:hAnsi="Arial" w:cs="Arial"/>
          <w:rtl/>
        </w:rPr>
        <w:t>האידנא נהגו לכתוב קיום מחקים ותלויות אחר וקנינא</w:t>
      </w:r>
      <w:r w:rsidRPr="001D49D4">
        <w:rPr>
          <w:rFonts w:ascii="Arial" w:eastAsia="Calibri" w:hAnsi="Arial" w:cs="Arial"/>
          <w:vertAlign w:val="superscript"/>
          <w:rtl/>
        </w:rPr>
        <w:footnoteReference w:id="3529"/>
      </w:r>
      <w:r w:rsidRPr="001D49D4">
        <w:rPr>
          <w:rFonts w:ascii="Arial" w:eastAsia="Calibri" w:hAnsi="Arial" w:cs="Arial"/>
          <w:rtl/>
        </w:rPr>
        <w:t>, לפי שהורגלו עתה לכתוב בכל השטרות שריר וקיים דאי אפשר לזייף ולמדין משטה אחרונה ואין צריך להחזיר מעניינו של שטר, משום הכי שטר שאין בו שריר וקיים פסול</w:t>
      </w:r>
      <w:r w:rsidRPr="001D49D4">
        <w:rPr>
          <w:rFonts w:ascii="Arial" w:eastAsia="Calibri" w:hAnsi="Arial" w:cs="Arial"/>
          <w:vertAlign w:val="superscript"/>
          <w:rtl/>
        </w:rPr>
        <w:footnoteReference w:id="3530"/>
      </w:r>
      <w:r w:rsidRPr="001D49D4">
        <w:rPr>
          <w:rFonts w:ascii="Arial" w:eastAsia="Calibri" w:hAnsi="Arial" w:cs="Arial"/>
          <w:rtl/>
        </w:rPr>
        <w:t>, ואין לעדים לחתום</w:t>
      </w:r>
      <w:r w:rsidRPr="001D49D4">
        <w:rPr>
          <w:rFonts w:ascii="Arial" w:eastAsia="Calibri" w:hAnsi="Arial" w:cs="Arial"/>
          <w:vertAlign w:val="superscript"/>
          <w:rtl/>
        </w:rPr>
        <w:footnoteReference w:id="3531"/>
      </w:r>
      <w:r w:rsidRPr="001D49D4">
        <w:rPr>
          <w:rFonts w:ascii="Arial" w:eastAsia="Calibri" w:hAnsi="Arial" w:cs="Arial"/>
          <w:rtl/>
        </w:rPr>
        <w:t xml:space="preserve"> אלא אם כן כתוב שריר וקיים, ואם כתוב בו תרי שריר וקיים כשר. </w:t>
      </w:r>
      <w:r w:rsidRPr="001D49D4">
        <w:rPr>
          <w:rFonts w:ascii="Arial" w:eastAsia="Calibri" w:hAnsi="Arial" w:cs="Arial"/>
          <w:sz w:val="18"/>
          <w:szCs w:val="18"/>
          <w:rtl/>
        </w:rPr>
        <w:t>(ולכתחלה לא יעשה כן</w:t>
      </w:r>
      <w:r w:rsidRPr="001D49D4">
        <w:rPr>
          <w:rFonts w:ascii="Arial" w:eastAsia="Calibri" w:hAnsi="Arial" w:cs="Arial"/>
          <w:vertAlign w:val="superscript"/>
          <w:rtl/>
        </w:rPr>
        <w:footnoteReference w:id="3532"/>
      </w:r>
      <w:r w:rsidRPr="001D49D4">
        <w:rPr>
          <w:rFonts w:ascii="Arial" w:eastAsia="Calibri" w:hAnsi="Arial" w:cs="Arial"/>
          <w:sz w:val="18"/>
          <w:szCs w:val="18"/>
          <w:rtl/>
        </w:rPr>
        <w:t>).</w:t>
      </w:r>
      <w:r w:rsidRPr="001D49D4">
        <w:rPr>
          <w:rFonts w:ascii="Arial" w:eastAsia="Calibri" w:hAnsi="Arial" w:cs="Arial"/>
          <w:rtl/>
        </w:rPr>
        <w:t xml:space="preserve"> </w:t>
      </w:r>
    </w:p>
    <w:p w14:paraId="0FF5D4C8" w14:textId="77777777" w:rsidR="001D49D4" w:rsidRPr="001D49D4" w:rsidRDefault="001D49D4" w:rsidP="0004348D">
      <w:pPr>
        <w:spacing w:before="360" w:after="240"/>
        <w:rPr>
          <w:rFonts w:ascii="Arial" w:eastAsia="Calibri" w:hAnsi="Arial" w:cs="Arial"/>
          <w:u w:val="single"/>
          <w:rtl/>
        </w:rPr>
      </w:pPr>
      <w:r w:rsidRPr="001D49D4">
        <w:rPr>
          <w:rFonts w:ascii="Arial" w:eastAsia="Calibri" w:hAnsi="Arial" w:cs="Arial"/>
          <w:u w:val="single"/>
          <w:rtl/>
        </w:rPr>
        <w:t>באלו אופנים מכשירים שטר שכתוב בו תרי "שריר וקיים":</w:t>
      </w:r>
    </w:p>
    <w:p w14:paraId="64F0AC75" w14:textId="77777777" w:rsidR="001D49D4" w:rsidRPr="001D49D4" w:rsidRDefault="001D49D4" w:rsidP="0004348D">
      <w:pPr>
        <w:numPr>
          <w:ilvl w:val="0"/>
          <w:numId w:val="259"/>
        </w:numPr>
        <w:spacing w:before="360" w:after="240"/>
        <w:contextualSpacing/>
        <w:rPr>
          <w:rFonts w:ascii="Arial" w:hAnsi="Arial"/>
          <w:rtl/>
        </w:rPr>
      </w:pPr>
      <w:r w:rsidRPr="001D49D4">
        <w:rPr>
          <w:rFonts w:ascii="Arial" w:hAnsi="Arial"/>
          <w:rtl/>
        </w:rPr>
        <w:t>רשב"א</w:t>
      </w:r>
      <w:r w:rsidRPr="001D49D4">
        <w:rPr>
          <w:rFonts w:ascii="Arial" w:hAnsi="Arial"/>
          <w:sz w:val="16"/>
          <w:szCs w:val="16"/>
          <w:rtl/>
        </w:rPr>
        <w:t xml:space="preserve"> (במיוחסות סי' צד)</w:t>
      </w:r>
      <w:r w:rsidRPr="001D49D4">
        <w:rPr>
          <w:rFonts w:ascii="Arial" w:hAnsi="Arial"/>
          <w:rtl/>
        </w:rPr>
        <w:t xml:space="preserve"> ורי"ו</w:t>
      </w:r>
      <w:r w:rsidRPr="001D49D4">
        <w:rPr>
          <w:rFonts w:ascii="Arial" w:hAnsi="Arial"/>
          <w:sz w:val="16"/>
          <w:szCs w:val="16"/>
          <w:rtl/>
        </w:rPr>
        <w:t xml:space="preserve"> (נ"ד ח"ב)</w:t>
      </w:r>
      <w:r w:rsidRPr="001D49D4">
        <w:rPr>
          <w:rFonts w:ascii="Arial" w:hAnsi="Arial"/>
          <w:rtl/>
        </w:rPr>
        <w:t>- כשהשריר וקיים האחרון אינו בשיטה האחרונה</w:t>
      </w:r>
      <w:r w:rsidRPr="001D49D4">
        <w:rPr>
          <w:rFonts w:ascii="Arial" w:hAnsi="Arial"/>
          <w:vertAlign w:val="superscript"/>
          <w:rtl/>
        </w:rPr>
        <w:footnoteReference w:id="3533"/>
      </w:r>
      <w:r w:rsidRPr="001D49D4">
        <w:rPr>
          <w:rFonts w:ascii="Arial" w:hAnsi="Arial"/>
          <w:sz w:val="16"/>
          <w:szCs w:val="16"/>
          <w:rtl/>
        </w:rPr>
        <w:t xml:space="preserve"> (ואע"פ שאין שיטה ריוח)</w:t>
      </w:r>
      <w:r w:rsidRPr="001D49D4">
        <w:rPr>
          <w:rFonts w:ascii="Arial" w:hAnsi="Arial"/>
          <w:rtl/>
        </w:rPr>
        <w:t>.</w:t>
      </w:r>
    </w:p>
    <w:p w14:paraId="0015005D" w14:textId="77777777" w:rsidR="001D49D4" w:rsidRPr="001D49D4" w:rsidRDefault="001D49D4" w:rsidP="0004348D">
      <w:pPr>
        <w:numPr>
          <w:ilvl w:val="0"/>
          <w:numId w:val="259"/>
        </w:numPr>
        <w:spacing w:before="360" w:after="240"/>
        <w:contextualSpacing/>
        <w:rPr>
          <w:rFonts w:ascii="Arial" w:hAnsi="Arial"/>
        </w:rPr>
      </w:pPr>
      <w:r w:rsidRPr="001D49D4">
        <w:rPr>
          <w:rFonts w:ascii="Arial" w:hAnsi="Arial"/>
          <w:rtl/>
        </w:rPr>
        <w:t>סמ"ע</w:t>
      </w:r>
      <w:r w:rsidRPr="001D49D4">
        <w:rPr>
          <w:rFonts w:ascii="Arial" w:hAnsi="Arial"/>
          <w:sz w:val="16"/>
          <w:szCs w:val="16"/>
          <w:rtl/>
        </w:rPr>
        <w:t xml:space="preserve"> (סקט"ז) </w:t>
      </w:r>
      <w:r w:rsidRPr="001D49D4">
        <w:rPr>
          <w:rFonts w:ascii="Arial" w:hAnsi="Arial"/>
          <w:rtl/>
        </w:rPr>
        <w:t>ט"ז ונתיבות</w:t>
      </w:r>
      <w:r w:rsidRPr="001D49D4">
        <w:rPr>
          <w:rFonts w:ascii="Arial" w:hAnsi="Arial"/>
          <w:sz w:val="16"/>
          <w:szCs w:val="16"/>
          <w:rtl/>
        </w:rPr>
        <w:t xml:space="preserve"> (סק"י)</w:t>
      </w:r>
      <w:r w:rsidRPr="001D49D4">
        <w:rPr>
          <w:rFonts w:ascii="Arial" w:hAnsi="Arial"/>
          <w:rtl/>
        </w:rPr>
        <w:t>- כשיש שיטה ריוח בין סוף השטר לחתימת העדים</w:t>
      </w:r>
      <w:r w:rsidRPr="001D49D4">
        <w:rPr>
          <w:rFonts w:ascii="Arial" w:hAnsi="Arial"/>
          <w:vertAlign w:val="superscript"/>
          <w:rtl/>
        </w:rPr>
        <w:footnoteReference w:id="3534"/>
      </w:r>
      <w:r w:rsidRPr="001D49D4">
        <w:rPr>
          <w:rFonts w:ascii="Arial" w:hAnsi="Arial"/>
          <w:rtl/>
        </w:rPr>
        <w:t xml:space="preserve"> </w:t>
      </w:r>
      <w:r w:rsidRPr="001D49D4">
        <w:rPr>
          <w:rFonts w:ascii="Arial" w:hAnsi="Arial"/>
          <w:sz w:val="16"/>
          <w:szCs w:val="16"/>
          <w:rtl/>
        </w:rPr>
        <w:t>(ואע"פ שהשריר וקיים האחרון כ' בשיטה האחרונה, דלא חיישינן דילמא הוסיפו לאחמ"כ, משום דהעדים אינם חשודים להשאיר ריוח של ב' שיטין)</w:t>
      </w:r>
      <w:r w:rsidRPr="001D49D4">
        <w:rPr>
          <w:rFonts w:ascii="Arial" w:hAnsi="Arial"/>
          <w:vertAlign w:val="superscript"/>
          <w:rtl/>
        </w:rPr>
        <w:footnoteReference w:id="3535"/>
      </w:r>
      <w:r w:rsidRPr="001D49D4">
        <w:rPr>
          <w:rFonts w:ascii="Arial" w:hAnsi="Arial"/>
          <w:rtl/>
        </w:rPr>
        <w:t>.</w:t>
      </w:r>
    </w:p>
    <w:p w14:paraId="40BBACED" w14:textId="77777777" w:rsidR="001D49D4" w:rsidRPr="001D49D4" w:rsidRDefault="001D49D4" w:rsidP="0004348D">
      <w:pPr>
        <w:numPr>
          <w:ilvl w:val="1"/>
          <w:numId w:val="259"/>
        </w:numPr>
        <w:spacing w:before="360" w:after="240"/>
        <w:contextualSpacing/>
        <w:rPr>
          <w:rFonts w:ascii="Arial" w:hAnsi="Arial"/>
        </w:rPr>
      </w:pPr>
      <w:r w:rsidRPr="001D49D4">
        <w:rPr>
          <w:rFonts w:ascii="Arial" w:hAnsi="Arial"/>
          <w:rtl/>
        </w:rPr>
        <w:t>למסקנה- אין הבדל בין הטעמים, והעיקר הוא שבשיטה האחרונה לא יהיה כ' שריר וקיים, בין אם זה ע"י שחזר שם מעניינו של שטר ובין אם יש שיטה ריקה</w:t>
      </w:r>
      <w:r w:rsidRPr="001D49D4">
        <w:rPr>
          <w:rFonts w:ascii="Arial" w:hAnsi="Arial"/>
          <w:vertAlign w:val="superscript"/>
          <w:rtl/>
        </w:rPr>
        <w:footnoteReference w:id="3536"/>
      </w:r>
      <w:r w:rsidRPr="001D49D4">
        <w:rPr>
          <w:rFonts w:ascii="Arial" w:hAnsi="Arial"/>
          <w:rtl/>
        </w:rPr>
        <w:t>.</w:t>
      </w:r>
    </w:p>
    <w:p w14:paraId="7AE5E254" w14:textId="77777777" w:rsidR="001D49D4" w:rsidRPr="001D49D4" w:rsidRDefault="001D49D4" w:rsidP="0004348D">
      <w:pPr>
        <w:spacing w:before="360" w:after="240"/>
        <w:rPr>
          <w:rFonts w:ascii="Arial" w:eastAsia="Calibri" w:hAnsi="Arial" w:cs="Arial"/>
          <w:u w:val="single"/>
        </w:rPr>
      </w:pPr>
      <w:r w:rsidRPr="001D49D4">
        <w:rPr>
          <w:rFonts w:ascii="Arial" w:eastAsia="Calibri" w:hAnsi="Arial" w:cs="Arial"/>
          <w:u w:val="single"/>
          <w:rtl/>
        </w:rPr>
        <w:t>שטר שלא כ' בו שריר וקיים אך העדים חתומים מיד בסוף השטר</w:t>
      </w:r>
      <w:r w:rsidRPr="001D49D4">
        <w:rPr>
          <w:rFonts w:ascii="Arial" w:eastAsia="Calibri" w:hAnsi="Arial" w:cs="Arial"/>
          <w:u w:val="single"/>
          <w:vertAlign w:val="superscript"/>
          <w:rtl/>
        </w:rPr>
        <w:footnoteReference w:id="3537"/>
      </w:r>
      <w:r w:rsidRPr="001D49D4">
        <w:rPr>
          <w:rFonts w:ascii="Arial" w:eastAsia="Calibri" w:hAnsi="Arial" w:cs="Arial"/>
          <w:u w:val="single"/>
          <w:rtl/>
        </w:rPr>
        <w:t>:</w:t>
      </w:r>
    </w:p>
    <w:p w14:paraId="60289D03" w14:textId="77777777" w:rsidR="001D49D4" w:rsidRPr="001D49D4" w:rsidRDefault="001D49D4" w:rsidP="0004348D">
      <w:pPr>
        <w:numPr>
          <w:ilvl w:val="0"/>
          <w:numId w:val="259"/>
        </w:numPr>
        <w:spacing w:before="360" w:after="240"/>
        <w:contextualSpacing/>
        <w:rPr>
          <w:rFonts w:ascii="Arial" w:hAnsi="Arial"/>
        </w:rPr>
      </w:pPr>
      <w:r w:rsidRPr="001D49D4">
        <w:rPr>
          <w:rFonts w:ascii="Arial" w:hAnsi="Arial"/>
          <w:rtl/>
        </w:rPr>
        <w:t xml:space="preserve">ש"ך </w:t>
      </w:r>
      <w:r w:rsidRPr="001D49D4">
        <w:rPr>
          <w:rFonts w:ascii="Arial" w:hAnsi="Arial"/>
          <w:sz w:val="16"/>
          <w:szCs w:val="16"/>
          <w:rtl/>
        </w:rPr>
        <w:t>(סקכ"א)</w:t>
      </w:r>
      <w:r w:rsidRPr="001D49D4">
        <w:rPr>
          <w:rFonts w:ascii="Arial" w:hAnsi="Arial"/>
          <w:rtl/>
        </w:rPr>
        <w:t xml:space="preserve">- פשיטא דהשטר כשר, רק שיטה אחרונה לבד אין למדין ממנה. </w:t>
      </w:r>
    </w:p>
    <w:p w14:paraId="111C5688" w14:textId="77777777" w:rsidR="001D49D4" w:rsidRPr="001D49D4" w:rsidRDefault="001D49D4" w:rsidP="0004348D">
      <w:pPr>
        <w:numPr>
          <w:ilvl w:val="0"/>
          <w:numId w:val="259"/>
        </w:numPr>
        <w:spacing w:before="360" w:after="240"/>
        <w:contextualSpacing/>
        <w:rPr>
          <w:rFonts w:ascii="Arial" w:hAnsi="Arial"/>
          <w:rtl/>
        </w:rPr>
      </w:pPr>
      <w:r w:rsidRPr="001D49D4">
        <w:rPr>
          <w:rFonts w:ascii="Arial" w:hAnsi="Arial"/>
          <w:rtl/>
        </w:rPr>
        <w:t xml:space="preserve">תומים </w:t>
      </w:r>
      <w:r w:rsidRPr="001D49D4">
        <w:rPr>
          <w:rFonts w:ascii="Arial" w:hAnsi="Arial"/>
          <w:sz w:val="16"/>
          <w:szCs w:val="16"/>
          <w:rtl/>
        </w:rPr>
        <w:t>(סקי"א)</w:t>
      </w:r>
      <w:r w:rsidRPr="001D49D4">
        <w:rPr>
          <w:rFonts w:ascii="Arial" w:hAnsi="Arial"/>
          <w:rtl/>
        </w:rPr>
        <w:t>- פסול לגמרי.</w:t>
      </w:r>
    </w:p>
    <w:p w14:paraId="07305C1A" w14:textId="77777777" w:rsidR="001D49D4" w:rsidRPr="001D49D4" w:rsidRDefault="001D49D4" w:rsidP="0004348D">
      <w:pPr>
        <w:spacing w:before="360" w:after="240"/>
        <w:rPr>
          <w:rFonts w:ascii="Arial" w:eastAsia="Calibri" w:hAnsi="Arial" w:cs="Arial"/>
          <w:u w:val="single"/>
        </w:rPr>
      </w:pPr>
      <w:r w:rsidRPr="001D49D4">
        <w:rPr>
          <w:rFonts w:ascii="Arial" w:eastAsia="Calibri" w:hAnsi="Arial" w:cs="Arial"/>
          <w:u w:val="single"/>
          <w:rtl/>
        </w:rPr>
        <w:t>האם שאר לשונות שדומות במשמעותן לשריר וקיים מקיימות כמו שריר וקיים:</w:t>
      </w:r>
    </w:p>
    <w:p w14:paraId="654A09DD" w14:textId="77777777" w:rsidR="001D49D4" w:rsidRPr="001D49D4" w:rsidRDefault="001D49D4" w:rsidP="0004348D">
      <w:pPr>
        <w:numPr>
          <w:ilvl w:val="0"/>
          <w:numId w:val="260"/>
        </w:numPr>
        <w:spacing w:before="360" w:after="240"/>
        <w:contextualSpacing/>
        <w:rPr>
          <w:rFonts w:ascii="Arial" w:hAnsi="Arial"/>
          <w:rtl/>
        </w:rPr>
      </w:pPr>
      <w:r w:rsidRPr="001D49D4">
        <w:rPr>
          <w:rFonts w:ascii="Arial" w:hAnsi="Arial"/>
          <w:rtl/>
        </w:rPr>
        <w:t xml:space="preserve">מהרשד"ם </w:t>
      </w:r>
      <w:r w:rsidRPr="001D49D4">
        <w:rPr>
          <w:rFonts w:ascii="Arial" w:hAnsi="Arial"/>
          <w:sz w:val="16"/>
          <w:szCs w:val="16"/>
          <w:rtl/>
        </w:rPr>
        <w:t>(סי' ל)</w:t>
      </w:r>
      <w:r w:rsidRPr="001D49D4">
        <w:rPr>
          <w:rFonts w:ascii="Arial" w:hAnsi="Arial"/>
          <w:rtl/>
        </w:rPr>
        <w:t>- אם כתוב בו לשון 'הכל אמת', הוי כמו שריר וקיים.</w:t>
      </w:r>
    </w:p>
    <w:p w14:paraId="64695ADE" w14:textId="77777777" w:rsidR="001D49D4" w:rsidRPr="001D49D4" w:rsidRDefault="001D49D4" w:rsidP="0004348D">
      <w:pPr>
        <w:numPr>
          <w:ilvl w:val="0"/>
          <w:numId w:val="260"/>
        </w:numPr>
        <w:spacing w:before="360" w:after="240"/>
        <w:contextualSpacing/>
        <w:rPr>
          <w:rFonts w:ascii="Arial" w:hAnsi="Arial"/>
          <w:rtl/>
        </w:rPr>
      </w:pPr>
      <w:r w:rsidRPr="001D49D4">
        <w:rPr>
          <w:rFonts w:ascii="Arial" w:hAnsi="Arial"/>
          <w:rtl/>
        </w:rPr>
        <w:t xml:space="preserve">ש"ך </w:t>
      </w:r>
      <w:r w:rsidRPr="001D49D4">
        <w:rPr>
          <w:rFonts w:ascii="Arial" w:hAnsi="Arial"/>
          <w:sz w:val="16"/>
          <w:szCs w:val="16"/>
          <w:rtl/>
        </w:rPr>
        <w:t>(סקכ"ב)</w:t>
      </w:r>
      <w:r w:rsidRPr="001D49D4">
        <w:rPr>
          <w:rFonts w:ascii="Arial" w:hAnsi="Arial"/>
          <w:rtl/>
        </w:rPr>
        <w:t>- צ"ע לדינא.</w:t>
      </w:r>
    </w:p>
    <w:p w14:paraId="38CFF2F5" w14:textId="77777777" w:rsidR="001D49D4" w:rsidRPr="001D49D4" w:rsidRDefault="001D49D4" w:rsidP="0004348D">
      <w:pPr>
        <w:spacing w:before="360" w:after="240"/>
        <w:rPr>
          <w:rFonts w:ascii="Arial" w:eastAsia="Calibri" w:hAnsi="Arial" w:cs="Arial"/>
        </w:rPr>
      </w:pPr>
    </w:p>
    <w:p w14:paraId="1CA86198" w14:textId="77777777" w:rsidR="001D49D4" w:rsidRPr="001D49D4" w:rsidRDefault="001D49D4" w:rsidP="0004348D">
      <w:pPr>
        <w:keepNext/>
        <w:keepLines/>
        <w:spacing w:before="360" w:after="240"/>
        <w:outlineLvl w:val="1"/>
        <w:rPr>
          <w:rFonts w:ascii="Arial" w:eastAsia="Times New Roman" w:hAnsi="Arial" w:cs="Arial"/>
          <w:bCs/>
          <w:color w:val="548DD4" w:themeColor="text2" w:themeTint="99"/>
          <w:sz w:val="26"/>
          <w:szCs w:val="26"/>
        </w:rPr>
      </w:pPr>
      <w:bookmarkStart w:id="472" w:name="_Toc24883908"/>
      <w:r w:rsidRPr="001D49D4">
        <w:rPr>
          <w:rFonts w:ascii="Arial" w:eastAsia="Times New Roman" w:hAnsi="Arial" w:cs="Arial"/>
          <w:bCs/>
          <w:color w:val="548DD4" w:themeColor="text2" w:themeTint="99"/>
          <w:sz w:val="26"/>
          <w:szCs w:val="26"/>
          <w:rtl/>
        </w:rPr>
        <w:lastRenderedPageBreak/>
        <w:t>סעיף י: שטר שכ' "נ"ו על הגרר" בקיומו, ולא נמצא שכתוב כך בשטר.</w:t>
      </w:r>
      <w:bookmarkEnd w:id="472"/>
    </w:p>
    <w:p w14:paraId="02B4CDBA" w14:textId="77777777" w:rsidR="001D49D4" w:rsidRPr="001D49D4" w:rsidRDefault="001D49D4" w:rsidP="0004348D">
      <w:pPr>
        <w:spacing w:before="360" w:after="240"/>
        <w:rPr>
          <w:rFonts w:ascii="Arial" w:eastAsia="Calibri" w:hAnsi="Arial" w:cs="Arial"/>
          <w:u w:val="single"/>
          <w:rtl/>
        </w:rPr>
      </w:pPr>
      <w:r w:rsidRPr="001D49D4">
        <w:rPr>
          <w:rFonts w:ascii="Arial" w:eastAsia="Calibri" w:hAnsi="Arial" w:cs="Arial"/>
          <w:u w:val="single"/>
          <w:rtl/>
        </w:rPr>
        <w:t xml:space="preserve">שטר שהשאירו בסופו חצי שיטה חלקה, </w:t>
      </w:r>
      <w:r w:rsidRPr="001D49D4">
        <w:rPr>
          <w:rFonts w:ascii="Arial" w:eastAsia="Calibri" w:hAnsi="Arial" w:cs="Arial"/>
          <w:b/>
          <w:bCs/>
          <w:u w:val="single"/>
          <w:rtl/>
        </w:rPr>
        <w:t>ולאחר חתימת העדים</w:t>
      </w:r>
      <w:r w:rsidRPr="001D49D4">
        <w:rPr>
          <w:rFonts w:ascii="Arial" w:eastAsia="Calibri" w:hAnsi="Arial" w:cs="Arial"/>
          <w:u w:val="single"/>
          <w:vertAlign w:val="superscript"/>
          <w:rtl/>
        </w:rPr>
        <w:footnoteReference w:id="3538"/>
      </w:r>
      <w:r w:rsidRPr="001D49D4">
        <w:rPr>
          <w:rFonts w:ascii="Arial" w:eastAsia="Calibri" w:hAnsi="Arial" w:cs="Arial"/>
          <w:u w:val="single"/>
          <w:rtl/>
        </w:rPr>
        <w:t xml:space="preserve"> הוסיפו- "והכל שריר וקיים":</w:t>
      </w:r>
    </w:p>
    <w:p w14:paraId="6D451350" w14:textId="77777777" w:rsidR="001D49D4" w:rsidRPr="001D49D4" w:rsidRDefault="001D49D4" w:rsidP="0004348D">
      <w:pPr>
        <w:numPr>
          <w:ilvl w:val="0"/>
          <w:numId w:val="261"/>
        </w:numPr>
        <w:spacing w:before="360" w:after="240"/>
        <w:contextualSpacing/>
        <w:rPr>
          <w:rFonts w:ascii="Arial" w:hAnsi="Arial"/>
          <w:rtl/>
        </w:rPr>
      </w:pPr>
      <w:r w:rsidRPr="001D49D4">
        <w:rPr>
          <w:rFonts w:ascii="Arial" w:hAnsi="Arial"/>
          <w:rtl/>
        </w:rPr>
        <w:t xml:space="preserve">ר' יהודה בן הרא"ש </w:t>
      </w:r>
      <w:r w:rsidRPr="001D49D4">
        <w:rPr>
          <w:rFonts w:ascii="Arial" w:hAnsi="Arial"/>
          <w:sz w:val="16"/>
          <w:szCs w:val="16"/>
          <w:rtl/>
        </w:rPr>
        <w:t>(זכרון יהודה סי' לג)</w:t>
      </w:r>
      <w:r w:rsidRPr="001D49D4">
        <w:rPr>
          <w:rFonts w:ascii="Arial" w:hAnsi="Arial"/>
          <w:rtl/>
        </w:rPr>
        <w:t>- שאלת ראובן הביא לי שטר לגבותו וראיתי בו כחצי שטה חלק קודם שטה אחרונה ואחר זמן הביאו וכתוב שם והכל מקויים ושריר, ושאלתי לסופר ואמר שכן דרכם להניח זה שמא יש בשטר גרר או ביני שיטי וכשראה שלא היה כן כתב במקום החלק הכל שריר וקיים. תשובה. כיון שנראה לפניך השטר לגבותו והיה בו חצי שטה חלק אין לך לגבותו אחר שכתוב בו אח"כ שריר וקיים</w:t>
      </w:r>
      <w:r w:rsidRPr="001D49D4">
        <w:rPr>
          <w:rFonts w:ascii="Arial" w:hAnsi="Arial"/>
          <w:vertAlign w:val="superscript"/>
          <w:rtl/>
        </w:rPr>
        <w:footnoteReference w:id="3539"/>
      </w:r>
      <w:r w:rsidRPr="001D49D4">
        <w:rPr>
          <w:rFonts w:ascii="Arial" w:hAnsi="Arial"/>
          <w:rtl/>
        </w:rPr>
        <w:t>.</w:t>
      </w:r>
    </w:p>
    <w:p w14:paraId="0E02CD7E" w14:textId="77777777" w:rsidR="001D49D4" w:rsidRPr="001D49D4" w:rsidRDefault="001D49D4" w:rsidP="0004348D">
      <w:pPr>
        <w:spacing w:before="360" w:after="240"/>
        <w:jc w:val="both"/>
        <w:rPr>
          <w:rFonts w:ascii="Arial" w:eastAsia="Calibri" w:hAnsi="Arial" w:cs="Arial"/>
          <w:rtl/>
        </w:rPr>
      </w:pPr>
      <w:r w:rsidRPr="001D49D4">
        <w:rPr>
          <w:rFonts w:ascii="Arial" w:eastAsia="Calibri" w:hAnsi="Arial" w:cs="Arial"/>
          <w:b/>
          <w:bCs/>
          <w:sz w:val="32"/>
          <w:szCs w:val="28"/>
          <w:u w:val="single"/>
          <w:rtl/>
        </w:rPr>
        <w:t xml:space="preserve">שו"ע: </w:t>
      </w:r>
    </w:p>
    <w:p w14:paraId="1C9214B2" w14:textId="77777777" w:rsidR="001D49D4" w:rsidRPr="001D49D4" w:rsidRDefault="001D49D4" w:rsidP="0004348D">
      <w:pPr>
        <w:spacing w:before="360" w:after="240"/>
        <w:rPr>
          <w:rFonts w:ascii="Arial" w:eastAsia="Calibri" w:hAnsi="Arial" w:cs="Arial"/>
          <w:sz w:val="16"/>
          <w:szCs w:val="16"/>
          <w:rtl/>
        </w:rPr>
      </w:pPr>
      <w:r w:rsidRPr="001D49D4">
        <w:rPr>
          <w:rFonts w:ascii="Arial" w:eastAsia="Calibri" w:hAnsi="Arial" w:cs="Arial"/>
          <w:rtl/>
        </w:rPr>
        <w:t>שטר שכתוב בקיומו נ"ו</w:t>
      </w:r>
      <w:r w:rsidRPr="001D49D4">
        <w:rPr>
          <w:rFonts w:ascii="Arial" w:eastAsia="Calibri" w:hAnsi="Arial" w:cs="Arial"/>
          <w:vertAlign w:val="superscript"/>
          <w:rtl/>
        </w:rPr>
        <w:footnoteReference w:id="3540"/>
      </w:r>
      <w:r w:rsidRPr="001D49D4">
        <w:rPr>
          <w:rFonts w:ascii="Arial" w:eastAsia="Calibri" w:hAnsi="Arial" w:cs="Arial"/>
          <w:rtl/>
        </w:rPr>
        <w:t xml:space="preserve"> על הגרר</w:t>
      </w:r>
      <w:r w:rsidRPr="001D49D4">
        <w:rPr>
          <w:rFonts w:ascii="Arial" w:eastAsia="Calibri" w:hAnsi="Arial" w:cs="Arial"/>
          <w:vertAlign w:val="superscript"/>
          <w:rtl/>
        </w:rPr>
        <w:footnoteReference w:id="3541"/>
      </w:r>
      <w:r w:rsidRPr="001D49D4">
        <w:rPr>
          <w:rFonts w:ascii="Arial" w:eastAsia="Calibri" w:hAnsi="Arial" w:cs="Arial"/>
          <w:rtl/>
        </w:rPr>
        <w:t xml:space="preserve"> ובדקו וחפשו השטר אות באות ולא נמצאו אותן שתי אותיות כשר</w:t>
      </w:r>
      <w:r w:rsidRPr="001D49D4">
        <w:rPr>
          <w:rFonts w:ascii="Arial" w:eastAsia="Calibri" w:hAnsi="Arial" w:cs="Arial"/>
          <w:vertAlign w:val="superscript"/>
          <w:rtl/>
        </w:rPr>
        <w:footnoteReference w:id="3542"/>
      </w:r>
      <w:r w:rsidRPr="001D49D4">
        <w:rPr>
          <w:rFonts w:ascii="Arial" w:eastAsia="Calibri" w:hAnsi="Arial" w:cs="Arial"/>
          <w:rtl/>
        </w:rPr>
        <w:t xml:space="preserve">. </w:t>
      </w:r>
      <w:r w:rsidRPr="001D49D4">
        <w:rPr>
          <w:rFonts w:ascii="Arial" w:eastAsia="Calibri" w:hAnsi="Arial" w:cs="Arial"/>
          <w:sz w:val="16"/>
          <w:szCs w:val="16"/>
          <w:rtl/>
        </w:rPr>
        <w:t>{רשב"א}</w:t>
      </w:r>
    </w:p>
    <w:p w14:paraId="2B30B3CD" w14:textId="77777777" w:rsidR="001D49D4" w:rsidRPr="001D49D4" w:rsidRDefault="001D49D4" w:rsidP="0004348D">
      <w:pPr>
        <w:spacing w:before="360" w:after="240"/>
        <w:rPr>
          <w:rFonts w:ascii="Arial" w:eastAsia="Calibri" w:hAnsi="Arial" w:cs="Arial"/>
          <w:rtl/>
        </w:rPr>
      </w:pPr>
    </w:p>
    <w:p w14:paraId="066E8FBA" w14:textId="77777777" w:rsidR="001D49D4" w:rsidRPr="001D49D4" w:rsidRDefault="001D49D4" w:rsidP="0004348D">
      <w:pPr>
        <w:keepNext/>
        <w:keepLines/>
        <w:spacing w:before="360" w:after="240"/>
        <w:outlineLvl w:val="1"/>
        <w:rPr>
          <w:rFonts w:ascii="Arial" w:eastAsia="Times New Roman" w:hAnsi="Arial" w:cs="Arial"/>
          <w:bCs/>
          <w:color w:val="548DD4" w:themeColor="text2" w:themeTint="99"/>
          <w:sz w:val="26"/>
          <w:szCs w:val="26"/>
          <w:rtl/>
        </w:rPr>
      </w:pPr>
      <w:bookmarkStart w:id="473" w:name="_Toc24883909"/>
      <w:r w:rsidRPr="001D49D4">
        <w:rPr>
          <w:rFonts w:ascii="Arial" w:eastAsia="Times New Roman" w:hAnsi="Arial" w:cs="Arial"/>
          <w:bCs/>
          <w:color w:val="548DD4" w:themeColor="text2" w:themeTint="99"/>
          <w:sz w:val="26"/>
          <w:szCs w:val="26"/>
          <w:rtl/>
        </w:rPr>
        <w:t>סעיף יא: שטר ששכחו לקיים את המחקים וכבר חתם עד אחד.</w:t>
      </w:r>
      <w:bookmarkEnd w:id="473"/>
    </w:p>
    <w:p w14:paraId="5A8C7449" w14:textId="77777777" w:rsidR="001D49D4" w:rsidRPr="001D49D4" w:rsidRDefault="001D49D4" w:rsidP="0004348D">
      <w:pPr>
        <w:spacing w:before="360" w:after="240"/>
        <w:rPr>
          <w:rFonts w:ascii="Arial" w:eastAsia="Calibri" w:hAnsi="Arial" w:cs="Arial"/>
          <w:u w:val="single"/>
          <w:rtl/>
        </w:rPr>
      </w:pPr>
      <w:r w:rsidRPr="001D49D4">
        <w:rPr>
          <w:rFonts w:ascii="Arial" w:eastAsia="Calibri" w:hAnsi="Arial" w:cs="Arial"/>
          <w:u w:val="single"/>
          <w:rtl/>
        </w:rPr>
        <w:t>שטר שיש בו מחקים ולא קיימום בסוף השטר, וכתבו שריר וקיים וחתם העד הא' ורק אז נזכרו שלא קיימו המחקים:</w:t>
      </w:r>
    </w:p>
    <w:p w14:paraId="59560AAE" w14:textId="77777777" w:rsidR="001D49D4" w:rsidRPr="001D49D4" w:rsidRDefault="001D49D4" w:rsidP="0004348D">
      <w:pPr>
        <w:numPr>
          <w:ilvl w:val="0"/>
          <w:numId w:val="261"/>
        </w:numPr>
        <w:spacing w:before="360" w:after="240"/>
        <w:contextualSpacing/>
        <w:rPr>
          <w:rFonts w:ascii="Arial" w:hAnsi="Arial"/>
          <w:rtl/>
        </w:rPr>
      </w:pPr>
      <w:r w:rsidRPr="001D49D4">
        <w:rPr>
          <w:rFonts w:ascii="Arial" w:hAnsi="Arial"/>
          <w:rtl/>
        </w:rPr>
        <w:t>רשב"א</w:t>
      </w:r>
      <w:r w:rsidRPr="001D49D4">
        <w:rPr>
          <w:rFonts w:ascii="Arial" w:hAnsi="Arial"/>
          <w:sz w:val="16"/>
          <w:szCs w:val="16"/>
          <w:rtl/>
        </w:rPr>
        <w:t xml:space="preserve"> (ח"ג סי' ב)</w:t>
      </w:r>
      <w:r w:rsidRPr="001D49D4">
        <w:rPr>
          <w:rFonts w:ascii="Arial" w:hAnsi="Arial"/>
          <w:rtl/>
        </w:rPr>
        <w:t xml:space="preserve">- שאלת שטר שיש בו מחקים ושכחו העדים ולא קיימום בסוף השטר וכתבו שריר וקיים וחתם העד האחד וקודם שיחתום השני מצאו שלא קיימו המחקים. תשובה- תקנתו של שטר זה הלכה למעשה אם יצטרכו לכך, יכתבו "אנחנא סהדי לבתר דחתים חד מיננא עד שלא קיימנו כך וכך מחקים דאית ביה קיימנום כדחזי והכל שריר וקיים", ויחזרו ויחתמו שניהם. </w:t>
      </w:r>
      <w:r w:rsidRPr="001D49D4">
        <w:rPr>
          <w:rFonts w:ascii="Arial" w:hAnsi="Arial"/>
          <w:color w:val="E36C0A" w:themeColor="accent6" w:themeShade="BF"/>
          <w:rtl/>
        </w:rPr>
        <w:t>(וכ"פ בשו"ע)</w:t>
      </w:r>
    </w:p>
    <w:p w14:paraId="54E4A035" w14:textId="77777777" w:rsidR="001D49D4" w:rsidRPr="001D49D4" w:rsidRDefault="001D49D4" w:rsidP="0004348D">
      <w:pPr>
        <w:spacing w:before="360" w:after="240"/>
        <w:ind w:left="360"/>
        <w:rPr>
          <w:rFonts w:ascii="Arial" w:eastAsia="Calibri" w:hAnsi="Arial" w:cs="Arial"/>
          <w:u w:val="dotted"/>
        </w:rPr>
      </w:pPr>
      <w:r w:rsidRPr="001D49D4">
        <w:rPr>
          <w:rFonts w:ascii="Arial" w:eastAsia="Calibri" w:hAnsi="Arial" w:cs="Arial"/>
          <w:u w:val="dotted"/>
          <w:rtl/>
        </w:rPr>
        <w:t>ומה הדין כשהעד הראשון לא חזר וחתם, וכתבו כנ"ל בין סהדא לסהדא:</w:t>
      </w:r>
    </w:p>
    <w:p w14:paraId="61E2F9C7" w14:textId="77777777" w:rsidR="001D49D4" w:rsidRPr="001D49D4" w:rsidRDefault="001D49D4" w:rsidP="0004348D">
      <w:pPr>
        <w:numPr>
          <w:ilvl w:val="0"/>
          <w:numId w:val="261"/>
        </w:numPr>
        <w:spacing w:before="360" w:after="240"/>
        <w:contextualSpacing/>
        <w:rPr>
          <w:rFonts w:ascii="Arial" w:hAnsi="Arial"/>
        </w:rPr>
      </w:pPr>
      <w:r w:rsidRPr="001D49D4">
        <w:rPr>
          <w:rFonts w:ascii="Arial" w:hAnsi="Arial"/>
          <w:rtl/>
        </w:rPr>
        <w:t>רשב"א</w:t>
      </w:r>
      <w:r w:rsidRPr="001D49D4">
        <w:rPr>
          <w:rFonts w:ascii="Arial" w:hAnsi="Arial"/>
          <w:sz w:val="16"/>
          <w:szCs w:val="16"/>
          <w:rtl/>
        </w:rPr>
        <w:t xml:space="preserve"> (ח"ג סי' ב)</w:t>
      </w:r>
      <w:r w:rsidRPr="001D49D4">
        <w:rPr>
          <w:rFonts w:ascii="Arial" w:hAnsi="Arial"/>
          <w:rtl/>
        </w:rPr>
        <w:t>- "אע"פ שלא חזר הראשון לחתום כשר, והוא שיכתבו כן</w:t>
      </w:r>
      <w:r w:rsidRPr="001D49D4">
        <w:rPr>
          <w:rFonts w:ascii="Arial" w:hAnsi="Arial"/>
          <w:vertAlign w:val="superscript"/>
          <w:rtl/>
        </w:rPr>
        <w:footnoteReference w:id="3543"/>
      </w:r>
      <w:r w:rsidRPr="001D49D4">
        <w:rPr>
          <w:rFonts w:ascii="Arial" w:hAnsi="Arial"/>
          <w:rtl/>
        </w:rPr>
        <w:t xml:space="preserve"> בין סהדא לסהדא... ודייקנא לה מדגרסינן בפרק גט פשוט</w:t>
      </w:r>
      <w:r w:rsidRPr="001D49D4">
        <w:rPr>
          <w:rFonts w:ascii="Arial" w:hAnsi="Arial"/>
          <w:sz w:val="16"/>
          <w:szCs w:val="16"/>
          <w:rtl/>
        </w:rPr>
        <w:t xml:space="preserve"> (קסד.) </w:t>
      </w:r>
      <w:r w:rsidRPr="001D49D4">
        <w:rPr>
          <w:rFonts w:ascii="Arial" w:hAnsi="Arial"/>
          <w:rtl/>
        </w:rPr>
        <w:t xml:space="preserve">הוא על הנייר ועדיו על המחק כשר ואמאי וליחוש דילמא מחיק ליה לעילאי... </w:t>
      </w:r>
      <w:r w:rsidRPr="001D49D4">
        <w:rPr>
          <w:rFonts w:ascii="Arial" w:hAnsi="Arial"/>
          <w:vertAlign w:val="superscript"/>
          <w:rtl/>
        </w:rPr>
        <w:footnoteReference w:id="3544"/>
      </w:r>
      <w:r w:rsidRPr="001D49D4">
        <w:rPr>
          <w:rFonts w:ascii="Arial" w:hAnsi="Arial"/>
          <w:rtl/>
        </w:rPr>
        <w:t>זו היא שאמרתי להלכה אבל לא למעשה</w:t>
      </w:r>
      <w:r w:rsidRPr="001D49D4">
        <w:rPr>
          <w:rFonts w:ascii="Arial" w:hAnsi="Arial"/>
          <w:vertAlign w:val="superscript"/>
          <w:rtl/>
        </w:rPr>
        <w:footnoteReference w:id="3545"/>
      </w:r>
      <w:r w:rsidRPr="001D49D4">
        <w:rPr>
          <w:rFonts w:ascii="Arial" w:hAnsi="Arial"/>
          <w:rtl/>
        </w:rPr>
        <w:t>". (וכ"פ התומים</w:t>
      </w:r>
      <w:r w:rsidRPr="001D49D4">
        <w:rPr>
          <w:rFonts w:ascii="Arial" w:hAnsi="Arial"/>
          <w:vertAlign w:val="superscript"/>
          <w:rtl/>
        </w:rPr>
        <w:footnoteReference w:id="3546"/>
      </w:r>
      <w:r w:rsidRPr="001D49D4">
        <w:rPr>
          <w:rFonts w:ascii="Arial" w:hAnsi="Arial"/>
          <w:rtl/>
        </w:rPr>
        <w:t>)</w:t>
      </w:r>
    </w:p>
    <w:p w14:paraId="5B95300B" w14:textId="77777777" w:rsidR="001D49D4" w:rsidRPr="001D49D4" w:rsidRDefault="001D49D4" w:rsidP="0004348D">
      <w:pPr>
        <w:numPr>
          <w:ilvl w:val="0"/>
          <w:numId w:val="261"/>
        </w:numPr>
        <w:spacing w:before="360" w:after="240"/>
        <w:contextualSpacing/>
        <w:rPr>
          <w:rFonts w:ascii="Arial" w:hAnsi="Arial"/>
        </w:rPr>
      </w:pPr>
      <w:r w:rsidRPr="001D49D4">
        <w:rPr>
          <w:rFonts w:ascii="Arial" w:hAnsi="Arial"/>
          <w:rtl/>
        </w:rPr>
        <w:t>רא"ה</w:t>
      </w:r>
      <w:r w:rsidRPr="001D49D4">
        <w:rPr>
          <w:rFonts w:ascii="Arial" w:hAnsi="Arial"/>
          <w:sz w:val="16"/>
          <w:szCs w:val="16"/>
          <w:rtl/>
        </w:rPr>
        <w:t xml:space="preserve"> (הביאוהו הריב"ש [סי' מט] והדרכ"מ [אות ה])</w:t>
      </w:r>
      <w:r w:rsidRPr="001D49D4">
        <w:rPr>
          <w:rFonts w:ascii="Arial" w:hAnsi="Arial"/>
          <w:rtl/>
        </w:rPr>
        <w:t>- אף להלכה אין השטר כשר, לפי שהעד הראשון אינו מעיד על הקיום ההוא, אלא העד השני לבדו, וא"כ אין כאן עדות שלם עד שיחתמו שני העדים. (וכ"פ הש"ך)</w:t>
      </w:r>
    </w:p>
    <w:p w14:paraId="0560ED4B" w14:textId="77777777" w:rsidR="001D49D4" w:rsidRPr="001D49D4" w:rsidRDefault="001D49D4" w:rsidP="0004348D">
      <w:pPr>
        <w:spacing w:before="360" w:after="240"/>
        <w:rPr>
          <w:rFonts w:ascii="Arial" w:eastAsia="Calibri" w:hAnsi="Arial" w:cs="Arial"/>
        </w:rPr>
      </w:pPr>
      <w:r w:rsidRPr="001D49D4">
        <w:rPr>
          <w:rFonts w:ascii="Arial" w:eastAsia="Calibri" w:hAnsi="Arial" w:cs="Arial"/>
          <w:u w:val="single"/>
          <w:vertAlign w:val="superscript"/>
          <w:rtl/>
        </w:rPr>
        <w:lastRenderedPageBreak/>
        <w:footnoteReference w:id="3547"/>
      </w:r>
      <w:r w:rsidRPr="001D49D4">
        <w:rPr>
          <w:rFonts w:ascii="Arial" w:eastAsia="Calibri" w:hAnsi="Arial" w:cs="Arial"/>
          <w:u w:val="single"/>
          <w:rtl/>
        </w:rPr>
        <w:t>מה דין שטר שכתבו בו משהו מתחת לחתימת העדים וחזרו העדים וחתמו למטה לאשר את ההוספה:</w:t>
      </w:r>
      <w:r w:rsidRPr="001D49D4">
        <w:rPr>
          <w:rFonts w:ascii="Arial" w:eastAsia="Calibri" w:hAnsi="Arial" w:cs="Arial"/>
          <w:sz w:val="16"/>
          <w:szCs w:val="16"/>
          <w:rtl/>
        </w:rPr>
        <w:t xml:space="preserve"> (דרכ"מ אות ד*)</w:t>
      </w:r>
      <w:r w:rsidRPr="001D49D4">
        <w:rPr>
          <w:rFonts w:ascii="Arial" w:eastAsia="Calibri" w:hAnsi="Arial" w:cs="Arial"/>
          <w:rtl/>
        </w:rPr>
        <w:t xml:space="preserve"> </w:t>
      </w:r>
    </w:p>
    <w:p w14:paraId="727BFACF" w14:textId="77777777" w:rsidR="001D49D4" w:rsidRPr="001D49D4" w:rsidRDefault="001D49D4" w:rsidP="0004348D">
      <w:pPr>
        <w:numPr>
          <w:ilvl w:val="0"/>
          <w:numId w:val="262"/>
        </w:numPr>
        <w:spacing w:before="360" w:after="240"/>
        <w:contextualSpacing/>
        <w:rPr>
          <w:rFonts w:ascii="Arial" w:hAnsi="Arial"/>
          <w:rtl/>
        </w:rPr>
      </w:pPr>
      <w:r w:rsidRPr="001D49D4">
        <w:rPr>
          <w:rFonts w:ascii="Arial" w:hAnsi="Arial"/>
          <w:rtl/>
        </w:rPr>
        <w:t>ר"י ומרדכי</w:t>
      </w:r>
      <w:r w:rsidRPr="001D49D4">
        <w:rPr>
          <w:rFonts w:ascii="Arial" w:hAnsi="Arial"/>
          <w:sz w:val="16"/>
          <w:szCs w:val="16"/>
          <w:rtl/>
        </w:rPr>
        <w:t xml:space="preserve"> (רמז תרמא)</w:t>
      </w:r>
      <w:r w:rsidRPr="001D49D4">
        <w:rPr>
          <w:rFonts w:ascii="Arial" w:hAnsi="Arial"/>
          <w:rtl/>
        </w:rPr>
        <w:t xml:space="preserve">- אין נראה לפסול שטר שכתב בו שום דבר מחתימת עדים ולמטה ושוב חזרו עדים וחתמו עצמן למטה </w:t>
      </w:r>
      <w:r w:rsidRPr="001D49D4">
        <w:rPr>
          <w:rFonts w:ascii="Arial" w:hAnsi="Arial"/>
          <w:sz w:val="16"/>
          <w:szCs w:val="16"/>
          <w:rtl/>
        </w:rPr>
        <w:t>(דאין לדמות לשני שריר וקיים דפסול דשאני הכא דאחזוקי סהדי בשיקרא לא מחזקינן)</w:t>
      </w:r>
      <w:r w:rsidRPr="001D49D4">
        <w:rPr>
          <w:rFonts w:ascii="Arial" w:hAnsi="Arial"/>
          <w:rtl/>
        </w:rPr>
        <w:t xml:space="preserve">. </w:t>
      </w:r>
      <w:r w:rsidRPr="001D49D4">
        <w:rPr>
          <w:rFonts w:ascii="Arial" w:hAnsi="Arial"/>
          <w:color w:val="00B0F0"/>
          <w:rtl/>
        </w:rPr>
        <w:t>(וכ"פ הרמ"א)</w:t>
      </w:r>
    </w:p>
    <w:p w14:paraId="1951C99E" w14:textId="77777777" w:rsidR="001D49D4" w:rsidRPr="001D49D4" w:rsidRDefault="001D49D4" w:rsidP="0004348D">
      <w:pPr>
        <w:numPr>
          <w:ilvl w:val="0"/>
          <w:numId w:val="262"/>
        </w:numPr>
        <w:spacing w:before="360" w:after="240"/>
        <w:contextualSpacing/>
        <w:rPr>
          <w:rFonts w:ascii="Arial" w:hAnsi="Arial"/>
        </w:rPr>
      </w:pPr>
      <w:r w:rsidRPr="001D49D4">
        <w:rPr>
          <w:rFonts w:ascii="Arial" w:hAnsi="Arial"/>
          <w:rtl/>
        </w:rPr>
        <w:t>רבינו יהודה ממגנצא- "היה רוצה לפסול".</w:t>
      </w:r>
    </w:p>
    <w:p w14:paraId="71B073F5"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u w:val="single"/>
          <w:rtl/>
        </w:rPr>
        <w:t>שטר שחתמו בו עדים ותחת חתימת העדים כתוב עוד דברים ושוב יש חתימת עדים על אותו הדבר:</w:t>
      </w:r>
    </w:p>
    <w:p w14:paraId="195D7BBC" w14:textId="77777777" w:rsidR="001D49D4" w:rsidRPr="001D49D4" w:rsidRDefault="001D49D4" w:rsidP="0004348D">
      <w:pPr>
        <w:numPr>
          <w:ilvl w:val="0"/>
          <w:numId w:val="263"/>
        </w:numPr>
        <w:spacing w:before="360" w:after="240"/>
        <w:contextualSpacing/>
        <w:rPr>
          <w:rtl/>
        </w:rPr>
      </w:pPr>
      <w:r w:rsidRPr="001D49D4">
        <w:rPr>
          <w:rtl/>
        </w:rPr>
        <w:t xml:space="preserve">מרדכי </w:t>
      </w:r>
      <w:r w:rsidRPr="001D49D4">
        <w:rPr>
          <w:sz w:val="16"/>
          <w:szCs w:val="16"/>
          <w:rtl/>
        </w:rPr>
        <w:t>(פרק גט פשוט סי' תרמא)</w:t>
      </w:r>
      <w:r w:rsidRPr="001D49D4">
        <w:rPr>
          <w:rtl/>
        </w:rPr>
        <w:t xml:space="preserve">- אין נראה לפסול אם שום דבר כתוב מהעדים ולמטה ושוב חתומים עדים על אותו דבר. </w:t>
      </w:r>
      <w:r w:rsidRPr="001D49D4">
        <w:rPr>
          <w:rFonts w:ascii="Arial" w:hAnsi="Arial"/>
          <w:color w:val="00B0F0"/>
          <w:rtl/>
        </w:rPr>
        <w:t>(וכ"פ הרמ"א)</w:t>
      </w:r>
    </w:p>
    <w:p w14:paraId="3260AD58" w14:textId="77777777" w:rsidR="001D49D4" w:rsidRPr="001D49D4" w:rsidRDefault="001D49D4" w:rsidP="0004348D">
      <w:pPr>
        <w:spacing w:before="360" w:after="240"/>
        <w:jc w:val="both"/>
        <w:rPr>
          <w:rFonts w:ascii="Arial" w:eastAsia="Calibri" w:hAnsi="Arial" w:cs="Arial"/>
        </w:rPr>
      </w:pPr>
      <w:r w:rsidRPr="001D49D4">
        <w:rPr>
          <w:rFonts w:ascii="Arial" w:eastAsia="Calibri" w:hAnsi="Arial" w:cs="Arial"/>
          <w:b/>
          <w:bCs/>
          <w:sz w:val="32"/>
          <w:szCs w:val="28"/>
          <w:u w:val="single"/>
          <w:rtl/>
        </w:rPr>
        <w:t xml:space="preserve">שו"ע: </w:t>
      </w:r>
    </w:p>
    <w:p w14:paraId="41E6DED6" w14:textId="77777777" w:rsidR="001D49D4" w:rsidRPr="001D49D4" w:rsidRDefault="001D49D4" w:rsidP="0004348D">
      <w:pPr>
        <w:spacing w:before="360" w:after="240"/>
        <w:rPr>
          <w:rFonts w:ascii="Arial" w:eastAsia="Calibri" w:hAnsi="Arial" w:cs="Arial"/>
          <w:rtl/>
        </w:rPr>
      </w:pPr>
      <w:r w:rsidRPr="001D49D4">
        <w:rPr>
          <w:rFonts w:ascii="Arial" w:eastAsia="Calibri" w:hAnsi="Arial" w:cs="Arial"/>
          <w:rtl/>
        </w:rPr>
        <w:t xml:space="preserve">שטר שיש בו מחקים ושכחו העדים ולא קיימום בסוף השטר וכתבו שריר וקיים וחתם העד האחד, וקודם שיחתום השני מצאו שלא קיימו המחקים, תקנתו של שטר זה שיכתבו: אנן סהדי לבתר דחתם חד מנן עד שלא קיימנו כך וכך מחקים דאית ביה קיימנום כדקא חזי והכל שריר וקיים, ויחזרו ויחתמו שניהם. </w:t>
      </w:r>
      <w:r w:rsidRPr="001D49D4">
        <w:rPr>
          <w:rFonts w:ascii="Arial" w:eastAsia="Calibri" w:hAnsi="Arial" w:cs="Arial"/>
          <w:sz w:val="18"/>
          <w:szCs w:val="18"/>
          <w:rtl/>
        </w:rPr>
        <w:t>[הגה] וכל שכן אם כתוב איזה דבר למטה מחתימת עדים וחזרו וחתמו דכשר</w:t>
      </w:r>
      <w:r w:rsidRPr="001D49D4">
        <w:rPr>
          <w:rFonts w:ascii="Arial" w:eastAsia="Calibri" w:hAnsi="Arial" w:cs="Arial"/>
          <w:sz w:val="18"/>
          <w:szCs w:val="18"/>
          <w:vertAlign w:val="superscript"/>
          <w:rtl/>
        </w:rPr>
        <w:footnoteReference w:id="3548"/>
      </w:r>
      <w:r w:rsidRPr="001D49D4">
        <w:rPr>
          <w:rFonts w:ascii="Arial" w:eastAsia="Calibri" w:hAnsi="Arial" w:cs="Arial"/>
          <w:sz w:val="18"/>
          <w:szCs w:val="18"/>
          <w:rtl/>
        </w:rPr>
        <w:t xml:space="preserve"> (מרדכי פ' גט פשוט).</w:t>
      </w:r>
    </w:p>
    <w:p w14:paraId="50FF97BA" w14:textId="77777777" w:rsidR="001D49D4" w:rsidRPr="001D49D4" w:rsidRDefault="001D49D4" w:rsidP="0004348D">
      <w:pPr>
        <w:bidi w:val="0"/>
        <w:spacing w:before="360" w:after="240"/>
        <w:rPr>
          <w:rFonts w:ascii="Cambria" w:eastAsia="Times New Roman" w:hAnsi="Cambria" w:cs="Arial"/>
          <w:b/>
          <w:bCs/>
          <w:color w:val="365F91" w:themeColor="accent1" w:themeShade="BF"/>
          <w:sz w:val="28"/>
          <w:szCs w:val="28"/>
          <w:rtl/>
        </w:rPr>
        <w:sectPr w:rsidR="001D49D4" w:rsidRPr="001D49D4">
          <w:headerReference w:type="default" r:id="rId53"/>
          <w:footnotePr>
            <w:numRestart w:val="eachPage"/>
          </w:footnotePr>
          <w:pgSz w:w="11906" w:h="16838"/>
          <w:pgMar w:top="720" w:right="1134" w:bottom="720" w:left="1134" w:header="0" w:footer="0" w:gutter="0"/>
          <w:cols w:space="720"/>
          <w:bidi/>
          <w:rtlGutter/>
        </w:sectPr>
      </w:pPr>
    </w:p>
    <w:p w14:paraId="786C8831" w14:textId="77777777" w:rsidR="001D49D4" w:rsidRPr="001D49D4" w:rsidRDefault="001D49D4" w:rsidP="0004348D">
      <w:pPr>
        <w:keepNext/>
        <w:keepLines/>
        <w:spacing w:before="360" w:after="240"/>
        <w:outlineLvl w:val="0"/>
        <w:rPr>
          <w:rFonts w:ascii="Cambria" w:eastAsia="Times New Roman" w:hAnsi="Cambria" w:cs="Arial"/>
          <w:b/>
          <w:bCs/>
          <w:color w:val="365F91" w:themeColor="accent1" w:themeShade="BF"/>
          <w:sz w:val="28"/>
          <w:szCs w:val="28"/>
          <w:rtl/>
        </w:rPr>
      </w:pPr>
      <w:bookmarkStart w:id="474" w:name="_Toc24883910"/>
      <w:r w:rsidRPr="001D49D4">
        <w:rPr>
          <w:rFonts w:ascii="Cambria" w:eastAsia="Times New Roman" w:hAnsi="Cambria" w:cs="Arial"/>
          <w:b/>
          <w:bCs/>
          <w:color w:val="365F91" w:themeColor="accent1" w:themeShade="BF"/>
          <w:sz w:val="28"/>
          <w:szCs w:val="28"/>
          <w:rtl/>
        </w:rPr>
        <w:lastRenderedPageBreak/>
        <w:t>סימן מה: שהעדים צריכים לקרות מקודם השטר, ודין שטר הבא על הנייר ועדיו על המחק, ובו כ"ג סעיפים.</w:t>
      </w:r>
      <w:bookmarkEnd w:id="474"/>
      <w:r w:rsidRPr="001D49D4">
        <w:rPr>
          <w:rFonts w:ascii="Cambria" w:eastAsia="Times New Roman" w:hAnsi="Cambria" w:cs="Arial"/>
          <w:b/>
          <w:bCs/>
          <w:color w:val="365F91" w:themeColor="accent1" w:themeShade="BF"/>
          <w:sz w:val="28"/>
          <w:szCs w:val="28"/>
          <w:rtl/>
        </w:rPr>
        <w:t xml:space="preserve"> </w:t>
      </w:r>
    </w:p>
    <w:p w14:paraId="76B1C6E5" w14:textId="77777777" w:rsidR="001D49D4" w:rsidRPr="001D49D4" w:rsidRDefault="001D49D4" w:rsidP="0004348D">
      <w:pPr>
        <w:keepNext/>
        <w:keepLines/>
        <w:spacing w:before="360" w:after="240"/>
        <w:outlineLvl w:val="1"/>
        <w:rPr>
          <w:rFonts w:ascii="Cambria" w:eastAsia="Times New Roman" w:hAnsi="Cambria" w:cs="Arial"/>
          <w:bCs/>
          <w:color w:val="548DD4" w:themeColor="text2" w:themeTint="99"/>
          <w:sz w:val="26"/>
          <w:szCs w:val="26"/>
          <w:rtl/>
        </w:rPr>
      </w:pPr>
      <w:bookmarkStart w:id="475" w:name="_Toc24883911"/>
      <w:r w:rsidRPr="001D49D4">
        <w:rPr>
          <w:rFonts w:ascii="Cambria" w:eastAsia="Times New Roman" w:hAnsi="Cambria" w:cs="Arial"/>
          <w:bCs/>
          <w:color w:val="548DD4" w:themeColor="text2" w:themeTint="99"/>
          <w:sz w:val="26"/>
          <w:szCs w:val="26"/>
          <w:rtl/>
        </w:rPr>
        <w:t>סעיף א: מקום חתמית העדים.</w:t>
      </w:r>
      <w:bookmarkEnd w:id="475"/>
    </w:p>
    <w:p w14:paraId="1D282C37"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b/>
          <w:bCs/>
          <w:rtl/>
        </w:rPr>
        <w:t>גיטין</w:t>
      </w:r>
      <w:r w:rsidRPr="001D49D4">
        <w:rPr>
          <w:rFonts w:ascii="Calibri" w:eastAsia="Calibri" w:hAnsi="Calibri" w:cs="Arial"/>
          <w:b/>
          <w:bCs/>
          <w:sz w:val="16"/>
          <w:szCs w:val="16"/>
          <w:rtl/>
        </w:rPr>
        <w:t xml:space="preserve"> (פרק בתרא) </w:t>
      </w:r>
      <w:r w:rsidRPr="001D49D4">
        <w:rPr>
          <w:rFonts w:ascii="Calibri" w:eastAsia="Calibri" w:hAnsi="Calibri" w:cs="Arial"/>
          <w:b/>
          <w:bCs/>
          <w:rtl/>
        </w:rPr>
        <w:t>פז</w:t>
      </w:r>
      <w:r w:rsidRPr="001D49D4">
        <w:rPr>
          <w:rFonts w:ascii="Calibri" w:eastAsia="Calibri" w:hAnsi="Calibri" w:cs="Arial"/>
          <w:b/>
          <w:bCs/>
          <w:vertAlign w:val="superscript"/>
          <w:rtl/>
        </w:rPr>
        <w:footnoteReference w:id="3549"/>
      </w:r>
      <w:r w:rsidRPr="001D49D4">
        <w:rPr>
          <w:rFonts w:ascii="Calibri" w:eastAsia="Calibri" w:hAnsi="Calibri" w:cs="Arial"/>
          <w:b/>
          <w:bCs/>
          <w:rtl/>
        </w:rPr>
        <w:t xml:space="preserve"> ע"ב:</w:t>
      </w:r>
      <w:r w:rsidRPr="001D49D4">
        <w:rPr>
          <w:rFonts w:ascii="Calibri" w:eastAsia="Calibri" w:hAnsi="Calibri" w:cs="Arial"/>
          <w:rtl/>
        </w:rPr>
        <w:t xml:space="preserve"> </w:t>
      </w:r>
      <w:r w:rsidRPr="001D49D4">
        <w:rPr>
          <w:rFonts w:ascii="Calibri" w:eastAsia="Calibri" w:hAnsi="Calibri" w:cs="Arial"/>
          <w:u w:val="double"/>
          <w:rtl/>
        </w:rPr>
        <w:t>מתני'</w:t>
      </w:r>
      <w:r w:rsidRPr="001D49D4">
        <w:rPr>
          <w:rFonts w:ascii="Calibri" w:eastAsia="Calibri" w:hAnsi="Calibri" w:cs="Arial"/>
          <w:rtl/>
        </w:rPr>
        <w:t>: שייר מקצת הגט וכתבו בדף השני, והעדים מלמטה - כשר. חתמו עדים בראש הדף, מן הצד, או מאחריו בגט פשוט - פסול.</w:t>
      </w:r>
    </w:p>
    <w:p w14:paraId="2934F88C"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u w:val="single"/>
          <w:rtl/>
        </w:rPr>
        <w:t>מקום חתימת העדים:</w:t>
      </w:r>
    </w:p>
    <w:p w14:paraId="702FE008" w14:textId="77777777" w:rsidR="001D49D4" w:rsidRPr="001D49D4" w:rsidRDefault="001D49D4" w:rsidP="0004348D">
      <w:pPr>
        <w:numPr>
          <w:ilvl w:val="0"/>
          <w:numId w:val="263"/>
        </w:numPr>
        <w:spacing w:before="360" w:after="240"/>
        <w:contextualSpacing/>
        <w:rPr>
          <w:rtl/>
        </w:rPr>
      </w:pPr>
      <w:r w:rsidRPr="001D49D4">
        <w:rPr>
          <w:rtl/>
        </w:rPr>
        <w:t>טור- העדים חותמין למטה בשטר</w:t>
      </w:r>
      <w:r w:rsidRPr="001D49D4">
        <w:rPr>
          <w:vertAlign w:val="superscript"/>
          <w:rtl/>
        </w:rPr>
        <w:footnoteReference w:id="3550"/>
      </w:r>
      <w:r w:rsidRPr="001D49D4">
        <w:rPr>
          <w:rtl/>
        </w:rPr>
        <w:t xml:space="preserve">. </w:t>
      </w:r>
      <w:r w:rsidRPr="001D49D4">
        <w:rPr>
          <w:color w:val="E36C0A" w:themeColor="accent6" w:themeShade="BF"/>
          <w:rtl/>
        </w:rPr>
        <w:t>(וכ"פ בשו"ע)</w:t>
      </w:r>
    </w:p>
    <w:p w14:paraId="77B2968D" w14:textId="77777777" w:rsidR="001D49D4" w:rsidRPr="001D49D4" w:rsidRDefault="001D49D4" w:rsidP="0004348D">
      <w:pPr>
        <w:spacing w:before="360" w:after="240"/>
        <w:rPr>
          <w:rFonts w:ascii="Arial" w:eastAsia="Calibri" w:hAnsi="Arial" w:cs="Arial"/>
          <w:b/>
          <w:bCs/>
          <w:color w:val="000000"/>
          <w:sz w:val="28"/>
          <w:szCs w:val="28"/>
          <w:u w:val="single"/>
          <w:rtl/>
        </w:rPr>
      </w:pPr>
      <w:r w:rsidRPr="001D49D4">
        <w:rPr>
          <w:rFonts w:ascii="Arial" w:eastAsia="Calibri" w:hAnsi="Arial" w:cs="Arial"/>
          <w:b/>
          <w:bCs/>
          <w:color w:val="000000"/>
          <w:sz w:val="28"/>
          <w:szCs w:val="28"/>
          <w:u w:val="single"/>
          <w:rtl/>
        </w:rPr>
        <w:t>שו"ע:</w:t>
      </w:r>
    </w:p>
    <w:p w14:paraId="1946A4F9"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rtl/>
        </w:rPr>
        <w:t xml:space="preserve">העדים חותמים למטה בשטר, ולא מן הצדדים, ולא מלמעלה. </w:t>
      </w:r>
    </w:p>
    <w:p w14:paraId="4633A0C6" w14:textId="77777777" w:rsidR="001D49D4" w:rsidRPr="001D49D4" w:rsidRDefault="001D49D4" w:rsidP="0004348D">
      <w:pPr>
        <w:spacing w:before="360" w:after="240"/>
        <w:rPr>
          <w:rFonts w:ascii="Calibri" w:eastAsia="Calibri" w:hAnsi="Calibri" w:cs="Arial"/>
          <w:rtl/>
        </w:rPr>
      </w:pPr>
    </w:p>
    <w:p w14:paraId="45ABAE3C" w14:textId="77777777" w:rsidR="001D49D4" w:rsidRPr="001D49D4" w:rsidRDefault="001D49D4" w:rsidP="0004348D">
      <w:pPr>
        <w:keepNext/>
        <w:keepLines/>
        <w:spacing w:before="360" w:after="240"/>
        <w:outlineLvl w:val="1"/>
        <w:rPr>
          <w:rFonts w:ascii="Cambria" w:eastAsia="Times New Roman" w:hAnsi="Cambria" w:cs="Arial"/>
          <w:bCs/>
          <w:color w:val="548DD4" w:themeColor="text2" w:themeTint="99"/>
          <w:sz w:val="26"/>
          <w:szCs w:val="26"/>
          <w:rtl/>
        </w:rPr>
      </w:pPr>
      <w:bookmarkStart w:id="476" w:name="_Toc24883912"/>
      <w:r w:rsidRPr="001D49D4">
        <w:rPr>
          <w:rFonts w:ascii="Cambria" w:eastAsia="Times New Roman" w:hAnsi="Cambria" w:cs="Arial"/>
          <w:bCs/>
          <w:color w:val="548DD4" w:themeColor="text2" w:themeTint="99"/>
          <w:sz w:val="26"/>
          <w:szCs w:val="26"/>
          <w:rtl/>
        </w:rPr>
        <w:t>סעיף ב: חתימה על שטר בלא שקרא אותו בעצמו.</w:t>
      </w:r>
      <w:bookmarkEnd w:id="476"/>
    </w:p>
    <w:p w14:paraId="6648199F"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b/>
          <w:bCs/>
          <w:rtl/>
        </w:rPr>
        <w:t xml:space="preserve">גיטין </w:t>
      </w:r>
      <w:r w:rsidRPr="001D49D4">
        <w:rPr>
          <w:rFonts w:ascii="Calibri" w:eastAsia="Calibri" w:hAnsi="Calibri" w:cs="Arial"/>
          <w:b/>
          <w:bCs/>
          <w:sz w:val="16"/>
          <w:szCs w:val="16"/>
          <w:rtl/>
        </w:rPr>
        <w:t xml:space="preserve">(פ"ב) </w:t>
      </w:r>
      <w:r w:rsidRPr="001D49D4">
        <w:rPr>
          <w:rFonts w:ascii="Calibri" w:eastAsia="Calibri" w:hAnsi="Calibri" w:cs="Arial"/>
          <w:b/>
          <w:bCs/>
          <w:rtl/>
        </w:rPr>
        <w:t>יט</w:t>
      </w:r>
      <w:r w:rsidRPr="001D49D4">
        <w:rPr>
          <w:rFonts w:ascii="Calibri" w:eastAsia="Calibri" w:hAnsi="Calibri" w:cs="Arial"/>
          <w:b/>
          <w:bCs/>
          <w:vertAlign w:val="superscript"/>
          <w:rtl/>
        </w:rPr>
        <w:footnoteReference w:id="3551"/>
      </w:r>
      <w:r w:rsidRPr="001D49D4">
        <w:rPr>
          <w:rFonts w:ascii="Calibri" w:eastAsia="Calibri" w:hAnsi="Calibri" w:cs="Arial"/>
          <w:b/>
          <w:bCs/>
          <w:rtl/>
        </w:rPr>
        <w:t xml:space="preserve"> ע"ב:</w:t>
      </w:r>
      <w:r w:rsidRPr="001D49D4">
        <w:rPr>
          <w:rFonts w:ascii="Calibri" w:eastAsia="Calibri" w:hAnsi="Calibri" w:cs="Arial"/>
          <w:rtl/>
        </w:rPr>
        <w:t xml:space="preserve"> תניא... עדים שאין יודעין לקרות - קורין לפניהם וחותמים, ושאין יודעין לחתום מקרעין להן נייר חלק וממלאים את הקרעים דיו. </w:t>
      </w:r>
      <w:r w:rsidRPr="001D49D4">
        <w:rPr>
          <w:rFonts w:ascii="Calibri" w:eastAsia="Calibri" w:hAnsi="Calibri" w:cs="Arial"/>
          <w:u w:val="single"/>
          <w:rtl/>
        </w:rPr>
        <w:t>אמר ר"ש בן גמליאל</w:t>
      </w:r>
      <w:r w:rsidRPr="001D49D4">
        <w:rPr>
          <w:rFonts w:ascii="Calibri" w:eastAsia="Calibri" w:hAnsi="Calibri" w:cs="Arial"/>
          <w:rtl/>
        </w:rPr>
        <w:t xml:space="preserve">: במה דברים אמורים - בגיטי נשים, אבל שחרורי עבדים ושאר כל השטרות, אם יודעין לקרות ולחתום - חותמין, ואם לאו - אין חותמין. </w:t>
      </w:r>
      <w:r w:rsidRPr="001D49D4">
        <w:rPr>
          <w:rFonts w:ascii="Calibri" w:eastAsia="Calibri" w:hAnsi="Calibri" w:cs="Arial"/>
          <w:u w:val="single"/>
          <w:rtl/>
        </w:rPr>
        <w:t>א"ר אלעזר</w:t>
      </w:r>
      <w:r w:rsidRPr="001D49D4">
        <w:rPr>
          <w:rFonts w:ascii="Calibri" w:eastAsia="Calibri" w:hAnsi="Calibri" w:cs="Arial"/>
          <w:rtl/>
        </w:rPr>
        <w:t xml:space="preserve">: מ"ט דרבן שמעון בן גמליאל? שלא יהו בנות ישראל עגונות. </w:t>
      </w:r>
      <w:r w:rsidRPr="001D49D4">
        <w:rPr>
          <w:rFonts w:ascii="Calibri" w:eastAsia="Calibri" w:hAnsi="Calibri" w:cs="Arial"/>
          <w:u w:val="single"/>
          <w:rtl/>
        </w:rPr>
        <w:t>אמר רבא</w:t>
      </w:r>
      <w:r w:rsidRPr="001D49D4">
        <w:rPr>
          <w:rFonts w:ascii="Calibri" w:eastAsia="Calibri" w:hAnsi="Calibri" w:cs="Arial"/>
          <w:rtl/>
        </w:rPr>
        <w:t xml:space="preserve">: הלכה כרשב"ג, </w:t>
      </w:r>
      <w:r w:rsidRPr="001D49D4">
        <w:rPr>
          <w:rFonts w:ascii="Calibri" w:eastAsia="Calibri" w:hAnsi="Calibri" w:cs="Arial"/>
          <w:u w:val="single"/>
          <w:rtl/>
        </w:rPr>
        <w:t>ורב גמדא משמיה דרבא אמר</w:t>
      </w:r>
      <w:r w:rsidRPr="001D49D4">
        <w:rPr>
          <w:rFonts w:ascii="Calibri" w:eastAsia="Calibri" w:hAnsi="Calibri" w:cs="Arial"/>
          <w:rtl/>
        </w:rPr>
        <w:t>: אין הלכה. ואלא כמאן? כרבנן, והא ההוא דעבד עובדא בשאר שטרות ונגדיה רב כהנא! תרגמא</w:t>
      </w:r>
      <w:r w:rsidRPr="001D49D4">
        <w:rPr>
          <w:rFonts w:ascii="Calibri" w:eastAsia="Calibri" w:hAnsi="Calibri" w:cs="Arial"/>
          <w:vertAlign w:val="superscript"/>
          <w:rtl/>
        </w:rPr>
        <w:footnoteReference w:id="3552"/>
      </w:r>
      <w:r w:rsidRPr="001D49D4">
        <w:rPr>
          <w:rFonts w:ascii="Calibri" w:eastAsia="Calibri" w:hAnsi="Calibri" w:cs="Arial"/>
          <w:rtl/>
        </w:rPr>
        <w:t>: אקריאה</w:t>
      </w:r>
      <w:r w:rsidRPr="001D49D4">
        <w:rPr>
          <w:rFonts w:ascii="Calibri" w:eastAsia="Calibri" w:hAnsi="Calibri" w:cs="Arial"/>
          <w:vertAlign w:val="superscript"/>
          <w:rtl/>
        </w:rPr>
        <w:footnoteReference w:id="3553"/>
      </w:r>
      <w:r w:rsidRPr="001D49D4">
        <w:rPr>
          <w:rFonts w:ascii="Calibri" w:eastAsia="Calibri" w:hAnsi="Calibri" w:cs="Arial"/>
          <w:rtl/>
        </w:rPr>
        <w:t>. רב יהודה</w:t>
      </w:r>
      <w:r w:rsidRPr="001D49D4">
        <w:rPr>
          <w:rFonts w:ascii="Calibri" w:eastAsia="Calibri" w:hAnsi="Calibri" w:cs="Arial"/>
          <w:vertAlign w:val="superscript"/>
          <w:rtl/>
        </w:rPr>
        <w:footnoteReference w:id="3554"/>
      </w:r>
      <w:r w:rsidRPr="001D49D4">
        <w:rPr>
          <w:rFonts w:ascii="Calibri" w:eastAsia="Calibri" w:hAnsi="Calibri" w:cs="Arial"/>
          <w:rtl/>
        </w:rPr>
        <w:t xml:space="preserve"> מיצטער קרי וחתים, </w:t>
      </w:r>
      <w:r w:rsidRPr="001D49D4">
        <w:rPr>
          <w:rFonts w:ascii="Calibri" w:eastAsia="Calibri" w:hAnsi="Calibri" w:cs="Arial"/>
          <w:u w:val="single"/>
          <w:rtl/>
        </w:rPr>
        <w:t>א"ל עולא</w:t>
      </w:r>
      <w:r w:rsidRPr="001D49D4">
        <w:rPr>
          <w:rFonts w:ascii="Calibri" w:eastAsia="Calibri" w:hAnsi="Calibri" w:cs="Arial"/>
          <w:rtl/>
        </w:rPr>
        <w:t>: לא צריכת, דהא ר' אלעזר מרא דארץ ישראל</w:t>
      </w:r>
      <w:r w:rsidRPr="001D49D4">
        <w:rPr>
          <w:rFonts w:ascii="Calibri" w:eastAsia="Calibri" w:hAnsi="Calibri" w:cs="Arial"/>
          <w:vertAlign w:val="superscript"/>
          <w:rtl/>
        </w:rPr>
        <w:footnoteReference w:id="3555"/>
      </w:r>
      <w:r w:rsidRPr="001D49D4">
        <w:rPr>
          <w:rFonts w:ascii="Calibri" w:eastAsia="Calibri" w:hAnsi="Calibri" w:cs="Arial"/>
          <w:rtl/>
        </w:rPr>
        <w:t xml:space="preserve"> קרו קמיה וחתים, ורב נחמן</w:t>
      </w:r>
      <w:r w:rsidRPr="001D49D4">
        <w:rPr>
          <w:rFonts w:ascii="Calibri" w:eastAsia="Calibri" w:hAnsi="Calibri" w:cs="Arial"/>
          <w:vertAlign w:val="superscript"/>
          <w:rtl/>
        </w:rPr>
        <w:footnoteReference w:id="3556"/>
      </w:r>
      <w:r w:rsidRPr="001D49D4">
        <w:rPr>
          <w:rFonts w:ascii="Calibri" w:eastAsia="Calibri" w:hAnsi="Calibri" w:cs="Arial"/>
          <w:rtl/>
        </w:rPr>
        <w:t xml:space="preserve"> קרו קמיה ספרי דייני וחתים. ודווקא רב נחמן וספרי דייני, דאית להו אימתא, אבל רב נחמן וספרי אחריני, ספרי דייני ואיניש אחרינא - לא. רב פפא כי הוה אתי לקמיה שטרא פרסאה דעביד בערכאות של כותים, מקרי להו לשני כותים זה שלא בפני זה במסיח לפי תומו, ומגבי ביה ממשעבדי.</w:t>
      </w:r>
    </w:p>
    <w:p w14:paraId="770BE331" w14:textId="77777777" w:rsidR="001D49D4" w:rsidRPr="001D49D4" w:rsidRDefault="001D49D4" w:rsidP="0004348D">
      <w:pPr>
        <w:spacing w:before="360" w:after="240"/>
        <w:rPr>
          <w:rFonts w:ascii="Calibri" w:eastAsia="Calibri" w:hAnsi="Calibri" w:cs="Arial"/>
          <w:u w:val="single"/>
          <w:rtl/>
        </w:rPr>
      </w:pPr>
      <w:r w:rsidRPr="001D49D4">
        <w:rPr>
          <w:rFonts w:ascii="Calibri" w:eastAsia="Calibri" w:hAnsi="Calibri" w:cs="Arial"/>
          <w:u w:val="single"/>
          <w:rtl/>
        </w:rPr>
        <w:t>עד שאינו יודע לקרוא – מהו שיקראו בפניו את השטר ואז יוכל לחתום:</w:t>
      </w:r>
    </w:p>
    <w:p w14:paraId="1E17C75D" w14:textId="77777777" w:rsidR="001D49D4" w:rsidRPr="001D49D4" w:rsidRDefault="001D49D4" w:rsidP="0004348D">
      <w:pPr>
        <w:numPr>
          <w:ilvl w:val="0"/>
          <w:numId w:val="263"/>
        </w:numPr>
        <w:spacing w:before="360" w:after="240"/>
        <w:contextualSpacing/>
        <w:rPr>
          <w:rtl/>
        </w:rPr>
      </w:pPr>
      <w:r w:rsidRPr="001D49D4">
        <w:rPr>
          <w:rtl/>
        </w:rPr>
        <w:t xml:space="preserve">רא"ש </w:t>
      </w:r>
      <w:r w:rsidRPr="001D49D4">
        <w:rPr>
          <w:sz w:val="16"/>
          <w:szCs w:val="16"/>
          <w:rtl/>
        </w:rPr>
        <w:t>(סי' יב)</w:t>
      </w:r>
      <w:r w:rsidRPr="001D49D4">
        <w:rPr>
          <w:rtl/>
        </w:rPr>
        <w:t xml:space="preserve">- עושין כן בין בגיטין ובין בשאר שטרות, כת"ק וכהכרעת רב גמדא. </w:t>
      </w:r>
    </w:p>
    <w:p w14:paraId="1147F84E" w14:textId="77777777" w:rsidR="001D49D4" w:rsidRPr="001D49D4" w:rsidRDefault="001D49D4" w:rsidP="0004348D">
      <w:pPr>
        <w:numPr>
          <w:ilvl w:val="0"/>
          <w:numId w:val="263"/>
        </w:numPr>
        <w:spacing w:before="360" w:after="240"/>
        <w:contextualSpacing/>
        <w:rPr>
          <w:rtl/>
        </w:rPr>
      </w:pPr>
      <w:r w:rsidRPr="001D49D4">
        <w:rPr>
          <w:rtl/>
        </w:rPr>
        <w:t>רי"ף</w:t>
      </w:r>
      <w:r w:rsidRPr="001D49D4">
        <w:rPr>
          <w:sz w:val="16"/>
          <w:szCs w:val="16"/>
          <w:rtl/>
        </w:rPr>
        <w:t xml:space="preserve"> (ט:)</w:t>
      </w:r>
      <w:r w:rsidRPr="001D49D4">
        <w:rPr>
          <w:rtl/>
        </w:rPr>
        <w:t xml:space="preserve"> ורמב"ם </w:t>
      </w:r>
      <w:r w:rsidRPr="001D49D4">
        <w:rPr>
          <w:sz w:val="16"/>
          <w:szCs w:val="16"/>
          <w:rtl/>
        </w:rPr>
        <w:t>(פכ"ד ממלוה ה"ה וה"ז)</w:t>
      </w:r>
      <w:r w:rsidRPr="001D49D4">
        <w:rPr>
          <w:rtl/>
        </w:rPr>
        <w:t xml:space="preserve"> והה"מ </w:t>
      </w:r>
      <w:r w:rsidRPr="001D49D4">
        <w:rPr>
          <w:sz w:val="16"/>
          <w:szCs w:val="16"/>
          <w:rtl/>
        </w:rPr>
        <w:t>(שם)</w:t>
      </w:r>
      <w:r w:rsidRPr="001D49D4">
        <w:rPr>
          <w:rtl/>
        </w:rPr>
        <w:t xml:space="preserve">- עושין כן בגיטין </w:t>
      </w:r>
      <w:r w:rsidRPr="001D49D4">
        <w:rPr>
          <w:sz w:val="16"/>
          <w:szCs w:val="16"/>
          <w:rtl/>
        </w:rPr>
        <w:t>(בין בקריאה בין בחתימה)</w:t>
      </w:r>
      <w:r w:rsidRPr="001D49D4">
        <w:rPr>
          <w:rtl/>
        </w:rPr>
        <w:t xml:space="preserve"> אבל לא בשאר שטרות, כרשב"ג</w:t>
      </w:r>
      <w:r w:rsidRPr="001D49D4">
        <w:rPr>
          <w:vertAlign w:val="superscript"/>
          <w:rtl/>
        </w:rPr>
        <w:footnoteReference w:id="3557"/>
      </w:r>
      <w:r w:rsidRPr="001D49D4">
        <w:rPr>
          <w:rtl/>
        </w:rPr>
        <w:t xml:space="preserve">. </w:t>
      </w:r>
    </w:p>
    <w:p w14:paraId="110D80AF" w14:textId="77777777" w:rsidR="001D49D4" w:rsidRPr="001D49D4" w:rsidRDefault="001D49D4" w:rsidP="0004348D">
      <w:pPr>
        <w:spacing w:before="360" w:after="240"/>
        <w:ind w:left="360"/>
        <w:rPr>
          <w:rFonts w:ascii="Calibri" w:eastAsia="Calibri" w:hAnsi="Calibri" w:cs="Arial"/>
          <w:u w:val="dotted"/>
        </w:rPr>
      </w:pPr>
      <w:r w:rsidRPr="001D49D4">
        <w:rPr>
          <w:rFonts w:ascii="Calibri" w:eastAsia="Calibri" w:hAnsi="Calibri" w:cs="Arial"/>
          <w:u w:val="dotted"/>
          <w:rtl/>
        </w:rPr>
        <w:t>במה נחלקו ת"ק ורשב"ג, האם במקרה שרק אחד קורא בפני העד, או גם כששנים קוראים לפניו:</w:t>
      </w:r>
    </w:p>
    <w:p w14:paraId="4E0E83D4" w14:textId="77777777" w:rsidR="001D49D4" w:rsidRPr="001D49D4" w:rsidRDefault="001D49D4" w:rsidP="0004348D">
      <w:pPr>
        <w:numPr>
          <w:ilvl w:val="0"/>
          <w:numId w:val="263"/>
        </w:numPr>
        <w:spacing w:before="360" w:after="240"/>
        <w:contextualSpacing/>
      </w:pPr>
      <w:r w:rsidRPr="001D49D4">
        <w:rPr>
          <w:rtl/>
        </w:rPr>
        <w:lastRenderedPageBreak/>
        <w:t xml:space="preserve">(רי"ף </w:t>
      </w:r>
      <w:r w:rsidRPr="001D49D4">
        <w:rPr>
          <w:sz w:val="14"/>
          <w:szCs w:val="14"/>
          <w:rtl/>
        </w:rPr>
        <w:t>[ט:]</w:t>
      </w:r>
      <w:r w:rsidRPr="001D49D4">
        <w:rPr>
          <w:sz w:val="16"/>
          <w:szCs w:val="16"/>
          <w:rtl/>
        </w:rPr>
        <w:t xml:space="preserve"> להב' הרא"ש</w:t>
      </w:r>
      <w:r w:rsidRPr="001D49D4">
        <w:rPr>
          <w:sz w:val="12"/>
          <w:szCs w:val="12"/>
          <w:rtl/>
        </w:rPr>
        <w:t xml:space="preserve"> [סי' יב]</w:t>
      </w:r>
      <w:r w:rsidRPr="001D49D4">
        <w:rPr>
          <w:rtl/>
        </w:rPr>
        <w:t>)- פלוגתא דת"ק ורשב"ג בשעד אחד קורא לפניו</w:t>
      </w:r>
      <w:r w:rsidRPr="001D49D4">
        <w:rPr>
          <w:vertAlign w:val="superscript"/>
          <w:rtl/>
        </w:rPr>
        <w:footnoteReference w:id="3558"/>
      </w:r>
      <w:r w:rsidRPr="001D49D4">
        <w:rPr>
          <w:rtl/>
        </w:rPr>
        <w:t>. ומכיון דהלכה כרשב"ג, אם שנים קוראים בפניו – יכול לחתום אף בשאר שטרות.</w:t>
      </w:r>
    </w:p>
    <w:p w14:paraId="1DE43615" w14:textId="77777777" w:rsidR="001D49D4" w:rsidRPr="001D49D4" w:rsidRDefault="001D49D4" w:rsidP="0004348D">
      <w:pPr>
        <w:numPr>
          <w:ilvl w:val="0"/>
          <w:numId w:val="263"/>
        </w:numPr>
        <w:spacing w:before="360" w:after="240"/>
        <w:contextualSpacing/>
      </w:pPr>
      <w:r w:rsidRPr="001D49D4">
        <w:rPr>
          <w:rtl/>
        </w:rPr>
        <w:t xml:space="preserve">רא"ש </w:t>
      </w:r>
      <w:r w:rsidRPr="001D49D4">
        <w:rPr>
          <w:sz w:val="16"/>
          <w:szCs w:val="16"/>
          <w:rtl/>
        </w:rPr>
        <w:t>(סי' יב)</w:t>
      </w:r>
      <w:r w:rsidRPr="001D49D4">
        <w:rPr>
          <w:rtl/>
        </w:rPr>
        <w:t>- פלוגתא דת"ק ורשב"ג בששני עדים קורין לפניו</w:t>
      </w:r>
      <w:r w:rsidRPr="001D49D4">
        <w:rPr>
          <w:vertAlign w:val="superscript"/>
          <w:rtl/>
        </w:rPr>
        <w:footnoteReference w:id="3559"/>
      </w:r>
      <w:r w:rsidRPr="001D49D4">
        <w:rPr>
          <w:rtl/>
        </w:rPr>
        <w:t>. ומכיון דהלכה כת"ק ורב גמדא, כששנים קוראים את השטר - יכול לחתום גם בשאר</w:t>
      </w:r>
      <w:r w:rsidRPr="001D49D4">
        <w:rPr>
          <w:vertAlign w:val="superscript"/>
          <w:rtl/>
        </w:rPr>
        <w:footnoteReference w:id="3560"/>
      </w:r>
      <w:r w:rsidRPr="001D49D4">
        <w:rPr>
          <w:rtl/>
        </w:rPr>
        <w:t xml:space="preserve"> שטרות</w:t>
      </w:r>
      <w:r w:rsidRPr="001D49D4">
        <w:rPr>
          <w:vertAlign w:val="superscript"/>
          <w:rtl/>
        </w:rPr>
        <w:footnoteReference w:id="3561"/>
      </w:r>
      <w:r w:rsidRPr="001D49D4">
        <w:rPr>
          <w:rtl/>
        </w:rPr>
        <w:t>.</w:t>
      </w:r>
      <w:r w:rsidRPr="001D49D4">
        <w:rPr>
          <w:color w:val="00B0F0"/>
          <w:rtl/>
        </w:rPr>
        <w:t xml:space="preserve"> (וכ"פ הרמ"א)</w:t>
      </w:r>
    </w:p>
    <w:p w14:paraId="56FB83D7" w14:textId="77777777" w:rsidR="001D49D4" w:rsidRPr="001D49D4" w:rsidRDefault="001D49D4" w:rsidP="0004348D">
      <w:pPr>
        <w:numPr>
          <w:ilvl w:val="0"/>
          <w:numId w:val="263"/>
        </w:numPr>
        <w:spacing w:before="360" w:after="240"/>
        <w:contextualSpacing/>
        <w:rPr>
          <w:rtl/>
        </w:rPr>
      </w:pPr>
      <w:r w:rsidRPr="001D49D4">
        <w:rPr>
          <w:rtl/>
        </w:rPr>
        <w:t xml:space="preserve">(רי"ף </w:t>
      </w:r>
      <w:r w:rsidRPr="001D49D4">
        <w:rPr>
          <w:sz w:val="14"/>
          <w:szCs w:val="14"/>
          <w:rtl/>
        </w:rPr>
        <w:t>[ט:]</w:t>
      </w:r>
      <w:r w:rsidRPr="001D49D4">
        <w:rPr>
          <w:sz w:val="16"/>
          <w:szCs w:val="16"/>
          <w:rtl/>
        </w:rPr>
        <w:t xml:space="preserve"> להב' הב"י</w:t>
      </w:r>
      <w:r w:rsidRPr="001D49D4">
        <w:rPr>
          <w:rtl/>
        </w:rPr>
        <w:t>) רמב"ם</w:t>
      </w:r>
      <w:r w:rsidRPr="001D49D4">
        <w:rPr>
          <w:sz w:val="16"/>
          <w:szCs w:val="16"/>
          <w:rtl/>
        </w:rPr>
        <w:t xml:space="preserve"> (להבי' הב"י</w:t>
      </w:r>
      <w:r w:rsidRPr="001D49D4">
        <w:rPr>
          <w:vertAlign w:val="superscript"/>
          <w:rtl/>
        </w:rPr>
        <w:footnoteReference w:id="3562"/>
      </w:r>
      <w:r w:rsidRPr="001D49D4">
        <w:rPr>
          <w:sz w:val="16"/>
          <w:szCs w:val="16"/>
          <w:rtl/>
        </w:rPr>
        <w:t>)</w:t>
      </w:r>
      <w:r w:rsidRPr="001D49D4">
        <w:rPr>
          <w:rtl/>
        </w:rPr>
        <w:t xml:space="preserve"> – פלוגתא דת"ק ורשב"ג בששני עדים קורין לפניו. ומכיון דהלכה כרשב"ג, כששנים קוראים את השטר - יכול לחתום רק בגיטי נשים, אבל בשאר שטרות – גם כששנים קוראים אינו חותם. </w:t>
      </w:r>
      <w:r w:rsidRPr="001D49D4">
        <w:rPr>
          <w:color w:val="E36C0A" w:themeColor="accent6" w:themeShade="BF"/>
          <w:rtl/>
        </w:rPr>
        <w:t>(וכ"פ בשו"ע</w:t>
      </w:r>
      <w:r w:rsidRPr="001D49D4">
        <w:rPr>
          <w:color w:val="000000" w:themeColor="text1"/>
          <w:sz w:val="16"/>
          <w:szCs w:val="16"/>
          <w:rtl/>
        </w:rPr>
        <w:t xml:space="preserve"> [אהע"ז סי' קל סט"ז, וכן סתם בסימן זה]</w:t>
      </w:r>
      <w:r w:rsidRPr="001D49D4">
        <w:rPr>
          <w:color w:val="E36C0A" w:themeColor="accent6" w:themeShade="BF"/>
          <w:rtl/>
        </w:rPr>
        <w:t>)</w:t>
      </w:r>
    </w:p>
    <w:p w14:paraId="09FDC280" w14:textId="77777777" w:rsidR="001D49D4" w:rsidRPr="001D49D4" w:rsidRDefault="001D49D4" w:rsidP="0004348D">
      <w:pPr>
        <w:numPr>
          <w:ilvl w:val="0"/>
          <w:numId w:val="263"/>
        </w:numPr>
        <w:spacing w:before="360" w:after="240"/>
        <w:contextualSpacing/>
      </w:pPr>
      <w:r w:rsidRPr="001D49D4">
        <w:rPr>
          <w:rtl/>
        </w:rPr>
        <w:t xml:space="preserve">בהעי"ט </w:t>
      </w:r>
      <w:r w:rsidRPr="001D49D4">
        <w:rPr>
          <w:sz w:val="16"/>
          <w:szCs w:val="16"/>
          <w:rtl/>
        </w:rPr>
        <w:t>(ח"א מאמר ח לג., אות קו"ף קיום נה ע"ד)</w:t>
      </w:r>
      <w:r w:rsidRPr="001D49D4">
        <w:rPr>
          <w:rtl/>
        </w:rPr>
        <w:t>- אם קראוהו שנים יכול לחתום בגיטי נשים, ומסתברא בשאר שטרות דאי מקרי להו תרי דידעי למקרי במסיח לפי תומו חותם</w:t>
      </w:r>
      <w:r w:rsidRPr="001D49D4">
        <w:rPr>
          <w:vertAlign w:val="superscript"/>
          <w:rtl/>
        </w:rPr>
        <w:footnoteReference w:id="3563"/>
      </w:r>
      <w:r w:rsidRPr="001D49D4">
        <w:rPr>
          <w:rtl/>
        </w:rPr>
        <w:t xml:space="preserve"> כדאמרינן </w:t>
      </w:r>
      <w:r w:rsidRPr="001D49D4">
        <w:rPr>
          <w:sz w:val="16"/>
          <w:szCs w:val="16"/>
          <w:rtl/>
        </w:rPr>
        <w:t xml:space="preserve">(שם) </w:t>
      </w:r>
      <w:r w:rsidRPr="001D49D4">
        <w:rPr>
          <w:rtl/>
        </w:rPr>
        <w:t>בשטרא פרסאה</w:t>
      </w:r>
      <w:r w:rsidRPr="001D49D4">
        <w:rPr>
          <w:vertAlign w:val="superscript"/>
          <w:rtl/>
        </w:rPr>
        <w:footnoteReference w:id="3564"/>
      </w:r>
      <w:r w:rsidRPr="001D49D4">
        <w:rPr>
          <w:rtl/>
        </w:rPr>
        <w:t>.</w:t>
      </w:r>
    </w:p>
    <w:p w14:paraId="671B517C" w14:textId="77777777" w:rsidR="001D49D4" w:rsidRPr="001D49D4" w:rsidRDefault="001D49D4" w:rsidP="0004348D">
      <w:pPr>
        <w:spacing w:before="360" w:after="240"/>
        <w:rPr>
          <w:rFonts w:ascii="Calibri" w:eastAsia="Calibri" w:hAnsi="Calibri" w:cs="Arial"/>
          <w:u w:val="single"/>
        </w:rPr>
      </w:pPr>
      <w:r w:rsidRPr="001D49D4">
        <w:rPr>
          <w:rFonts w:ascii="Calibri" w:eastAsia="Calibri" w:hAnsi="Calibri" w:cs="Arial"/>
          <w:u w:val="single"/>
          <w:rtl/>
        </w:rPr>
        <w:t>'רב נחמן קרו קמיה ספרי דייני וחתים' - האם קיי"ל הכי:</w:t>
      </w:r>
    </w:p>
    <w:p w14:paraId="1E11E99A" w14:textId="77777777" w:rsidR="001D49D4" w:rsidRPr="001D49D4" w:rsidRDefault="001D49D4" w:rsidP="0004348D">
      <w:pPr>
        <w:numPr>
          <w:ilvl w:val="0"/>
          <w:numId w:val="263"/>
        </w:numPr>
        <w:spacing w:before="360" w:after="240"/>
        <w:contextualSpacing/>
      </w:pPr>
      <w:r w:rsidRPr="001D49D4">
        <w:rPr>
          <w:rtl/>
        </w:rPr>
        <w:t xml:space="preserve">רי"ף </w:t>
      </w:r>
      <w:r w:rsidRPr="001D49D4">
        <w:rPr>
          <w:sz w:val="16"/>
          <w:szCs w:val="16"/>
          <w:rtl/>
        </w:rPr>
        <w:t xml:space="preserve">(ט:) </w:t>
      </w:r>
      <w:r w:rsidRPr="001D49D4">
        <w:rPr>
          <w:rtl/>
        </w:rPr>
        <w:t xml:space="preserve">תוס' </w:t>
      </w:r>
      <w:r w:rsidRPr="001D49D4">
        <w:rPr>
          <w:sz w:val="16"/>
          <w:szCs w:val="16"/>
          <w:rtl/>
        </w:rPr>
        <w:t>(ט: ד"ה קורין)</w:t>
      </w:r>
      <w:r w:rsidRPr="001D49D4">
        <w:rPr>
          <w:rtl/>
        </w:rPr>
        <w:t xml:space="preserve"> בהעי"ט </w:t>
      </w:r>
      <w:r w:rsidRPr="001D49D4">
        <w:rPr>
          <w:sz w:val="16"/>
          <w:szCs w:val="16"/>
          <w:rtl/>
        </w:rPr>
        <w:t>(ח"א מאמר ח לג.)</w:t>
      </w:r>
      <w:r w:rsidRPr="001D49D4">
        <w:rPr>
          <w:rtl/>
        </w:rPr>
        <w:t xml:space="preserve"> רא"ש </w:t>
      </w:r>
      <w:r w:rsidRPr="001D49D4">
        <w:rPr>
          <w:sz w:val="16"/>
          <w:szCs w:val="16"/>
          <w:rtl/>
        </w:rPr>
        <w:t>(סי' יב)</w:t>
      </w:r>
      <w:r w:rsidRPr="001D49D4">
        <w:rPr>
          <w:rtl/>
        </w:rPr>
        <w:t xml:space="preserve"> וטור- רב נחמן קרו קמיה ספרי דדייני וחתים, ודוקא רב נחמן וספרי דדייני דאית ליה אימתא עלייהו, אבל רב נחמן וספרי אחריני, אי נמי ספרי דדייני ואיניש אחרינא - לא</w:t>
      </w:r>
      <w:r w:rsidRPr="001D49D4">
        <w:rPr>
          <w:sz w:val="16"/>
          <w:szCs w:val="16"/>
          <w:rtl/>
        </w:rPr>
        <w:t xml:space="preserve"> (ל' הרי"ף)</w:t>
      </w:r>
      <w:r w:rsidRPr="001D49D4">
        <w:rPr>
          <w:rtl/>
        </w:rPr>
        <w:t>.</w:t>
      </w:r>
    </w:p>
    <w:p w14:paraId="303B6D79" w14:textId="77777777" w:rsidR="001D49D4" w:rsidRPr="001D49D4" w:rsidRDefault="001D49D4" w:rsidP="0004348D">
      <w:pPr>
        <w:numPr>
          <w:ilvl w:val="0"/>
          <w:numId w:val="263"/>
        </w:numPr>
        <w:spacing w:before="360" w:after="240"/>
        <w:contextualSpacing/>
      </w:pPr>
      <w:r w:rsidRPr="001D49D4">
        <w:rPr>
          <w:rtl/>
        </w:rPr>
        <w:t xml:space="preserve">רמב"ם </w:t>
      </w:r>
      <w:r w:rsidRPr="001D49D4">
        <w:rPr>
          <w:sz w:val="16"/>
          <w:szCs w:val="16"/>
          <w:rtl/>
        </w:rPr>
        <w:t>(פכ"ד ה"ז)</w:t>
      </w:r>
      <w:r w:rsidRPr="001D49D4">
        <w:rPr>
          <w:rtl/>
        </w:rPr>
        <w:t>- ראש ב"ד שהיה יודע ענין השטר, וקרא השטר לפניו הסופר שלו, הואיל והוא מאמין אותו ואימתו עליו - הרי זה חותם על השטר אע"פ שלא קראהו הוא בעצמו. ואין שאר העם רשאין לעשות כן עד שיקרא העד השטר מלה מלה.</w:t>
      </w:r>
      <w:r w:rsidRPr="001D49D4">
        <w:rPr>
          <w:color w:val="E36C0A" w:themeColor="accent6" w:themeShade="BF"/>
          <w:rtl/>
        </w:rPr>
        <w:t xml:space="preserve"> (וכ"פ בשו"ע)</w:t>
      </w:r>
    </w:p>
    <w:p w14:paraId="72E37B18" w14:textId="77777777" w:rsidR="001D49D4" w:rsidRPr="001D49D4" w:rsidRDefault="001D49D4" w:rsidP="0004348D">
      <w:pPr>
        <w:numPr>
          <w:ilvl w:val="0"/>
          <w:numId w:val="263"/>
        </w:numPr>
        <w:spacing w:before="360" w:after="240"/>
        <w:contextualSpacing/>
      </w:pPr>
      <w:r w:rsidRPr="001D49D4">
        <w:rPr>
          <w:rtl/>
        </w:rPr>
        <w:t xml:space="preserve">ראב"ד </w:t>
      </w:r>
      <w:r w:rsidRPr="001D49D4">
        <w:rPr>
          <w:sz w:val="16"/>
          <w:szCs w:val="16"/>
          <w:rtl/>
        </w:rPr>
        <w:t>(בהשגות שם)</w:t>
      </w:r>
      <w:r w:rsidRPr="001D49D4">
        <w:rPr>
          <w:rtl/>
        </w:rPr>
        <w:t>- שטר מעשה בית דין</w:t>
      </w:r>
      <w:r w:rsidRPr="001D49D4">
        <w:rPr>
          <w:vertAlign w:val="superscript"/>
          <w:rtl/>
        </w:rPr>
        <w:footnoteReference w:id="3565"/>
      </w:r>
      <w:r w:rsidRPr="001D49D4">
        <w:rPr>
          <w:rtl/>
        </w:rPr>
        <w:t>.</w:t>
      </w:r>
    </w:p>
    <w:p w14:paraId="1BF63424" w14:textId="77777777" w:rsidR="001D49D4" w:rsidRPr="001D49D4" w:rsidRDefault="001D49D4" w:rsidP="0004348D">
      <w:pPr>
        <w:spacing w:before="360" w:after="240"/>
        <w:rPr>
          <w:rFonts w:ascii="Calibri" w:eastAsia="Calibri" w:hAnsi="Calibri" w:cs="Arial"/>
          <w:sz w:val="16"/>
          <w:szCs w:val="16"/>
          <w:u w:val="single"/>
        </w:rPr>
      </w:pPr>
      <w:r w:rsidRPr="001D49D4">
        <w:rPr>
          <w:rFonts w:ascii="Calibri" w:eastAsia="Calibri" w:hAnsi="Calibri" w:cs="Arial"/>
          <w:u w:val="single"/>
          <w:rtl/>
        </w:rPr>
        <w:t>חתימה על הכתובה קודם שקראוה:</w:t>
      </w:r>
    </w:p>
    <w:p w14:paraId="4F3B1C9F" w14:textId="77777777" w:rsidR="001D49D4" w:rsidRPr="001D49D4" w:rsidRDefault="001D49D4" w:rsidP="0004348D">
      <w:pPr>
        <w:numPr>
          <w:ilvl w:val="0"/>
          <w:numId w:val="263"/>
        </w:numPr>
        <w:spacing w:before="360" w:after="240"/>
        <w:contextualSpacing/>
      </w:pPr>
      <w:r w:rsidRPr="001D49D4">
        <w:rPr>
          <w:rtl/>
        </w:rPr>
        <w:t>מרדכי</w:t>
      </w:r>
      <w:r w:rsidRPr="001D49D4">
        <w:rPr>
          <w:rFonts w:ascii="Arial" w:hAnsi="Arial"/>
          <w:vertAlign w:val="superscript"/>
          <w:rtl/>
        </w:rPr>
        <w:footnoteReference w:id="3566"/>
      </w:r>
      <w:r w:rsidRPr="001D49D4">
        <w:rPr>
          <w:rtl/>
        </w:rPr>
        <w:t xml:space="preserve"> </w:t>
      </w:r>
      <w:r w:rsidRPr="001D49D4">
        <w:rPr>
          <w:sz w:val="16"/>
          <w:szCs w:val="16"/>
          <w:rtl/>
        </w:rPr>
        <w:t>(גיטין סי' שמב)</w:t>
      </w:r>
      <w:r w:rsidRPr="001D49D4">
        <w:rPr>
          <w:rtl/>
        </w:rPr>
        <w:t xml:space="preserve"> והג"א </w:t>
      </w:r>
      <w:r w:rsidRPr="001D49D4">
        <w:rPr>
          <w:sz w:val="16"/>
          <w:szCs w:val="16"/>
          <w:rtl/>
        </w:rPr>
        <w:t>(סי' יב אות ג)</w:t>
      </w:r>
      <w:r w:rsidRPr="001D49D4">
        <w:rPr>
          <w:rtl/>
        </w:rPr>
        <w:t>- בכתובות שלנו חותמין העדים אע"פ שלא שמעו הקריאה וטעמא משום שקראוה חכמי הקהל ואיכא אימתא דציבורא לשקר ולחזור בקנין וגם לקרות שקר טפי מדרב נחמן דקרו קמיה וחתים משום אימתא, מאו"ז</w:t>
      </w:r>
      <w:r w:rsidRPr="001D49D4">
        <w:rPr>
          <w:sz w:val="16"/>
          <w:szCs w:val="16"/>
          <w:rtl/>
        </w:rPr>
        <w:t xml:space="preserve"> (ל' הג"א)</w:t>
      </w:r>
      <w:r w:rsidRPr="001D49D4">
        <w:rPr>
          <w:rtl/>
        </w:rPr>
        <w:t xml:space="preserve">. </w:t>
      </w:r>
      <w:r w:rsidRPr="001D49D4">
        <w:rPr>
          <w:color w:val="00B0F0"/>
          <w:rtl/>
        </w:rPr>
        <w:t>(וכ"פ הרמ"א)</w:t>
      </w:r>
    </w:p>
    <w:p w14:paraId="29C5EDE8" w14:textId="77777777" w:rsidR="001D49D4" w:rsidRPr="001D49D4" w:rsidRDefault="001D49D4" w:rsidP="0004348D">
      <w:pPr>
        <w:spacing w:before="360" w:after="240"/>
        <w:rPr>
          <w:rFonts w:ascii="Arial" w:eastAsia="Calibri" w:hAnsi="Arial" w:cs="Arial"/>
          <w:b/>
          <w:bCs/>
          <w:color w:val="000000"/>
          <w:sz w:val="28"/>
          <w:szCs w:val="28"/>
          <w:u w:val="single"/>
          <w:rtl/>
        </w:rPr>
      </w:pPr>
      <w:r w:rsidRPr="001D49D4">
        <w:rPr>
          <w:rFonts w:ascii="Arial" w:eastAsia="Calibri" w:hAnsi="Arial" w:cs="Arial"/>
          <w:b/>
          <w:bCs/>
          <w:color w:val="000000"/>
          <w:sz w:val="28"/>
          <w:szCs w:val="28"/>
          <w:u w:val="single"/>
          <w:rtl/>
        </w:rPr>
        <w:lastRenderedPageBreak/>
        <w:t>שו"ע:</w:t>
      </w:r>
    </w:p>
    <w:p w14:paraId="2944B792"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rtl/>
        </w:rPr>
        <w:t>ראש בית דין שהיה יודע ענין השטר, וקרא לפניו הסופר שלו, הואיל והוא מאמין אותו ואימתו עליו, הרי זה חותם השטר אף על פי שלא קראו הוא בעצמו</w:t>
      </w:r>
      <w:r w:rsidRPr="001D49D4">
        <w:rPr>
          <w:rFonts w:ascii="Calibri" w:eastAsia="Calibri" w:hAnsi="Calibri" w:cs="Arial"/>
          <w:vertAlign w:val="superscript"/>
          <w:rtl/>
        </w:rPr>
        <w:footnoteReference w:id="3567"/>
      </w:r>
      <w:r w:rsidRPr="001D49D4">
        <w:rPr>
          <w:rFonts w:ascii="Calibri" w:eastAsia="Calibri" w:hAnsi="Calibri" w:cs="Arial"/>
          <w:rtl/>
        </w:rPr>
        <w:t xml:space="preserve">. ואין שאר העם </w:t>
      </w:r>
      <w:r w:rsidRPr="001D49D4">
        <w:rPr>
          <w:rFonts w:ascii="Calibri" w:eastAsia="Calibri" w:hAnsi="Calibri" w:cs="Arial"/>
          <w:sz w:val="18"/>
          <w:szCs w:val="18"/>
          <w:rtl/>
        </w:rPr>
        <w:t xml:space="preserve">[הגה] או ראש ב"ד וסופר אחר </w:t>
      </w:r>
      <w:r w:rsidRPr="001D49D4">
        <w:rPr>
          <w:rFonts w:ascii="Calibri" w:eastAsia="Calibri" w:hAnsi="Calibri" w:cs="Arial"/>
          <w:sz w:val="16"/>
          <w:szCs w:val="16"/>
          <w:rtl/>
        </w:rPr>
        <w:t>(טור)</w:t>
      </w:r>
      <w:r w:rsidRPr="001D49D4">
        <w:rPr>
          <w:rFonts w:ascii="Calibri" w:eastAsia="Calibri" w:hAnsi="Calibri" w:cs="Arial"/>
          <w:sz w:val="18"/>
          <w:szCs w:val="18"/>
          <w:rtl/>
        </w:rPr>
        <w:t xml:space="preserve"> </w:t>
      </w:r>
      <w:r w:rsidRPr="001D49D4">
        <w:rPr>
          <w:rFonts w:ascii="Calibri" w:eastAsia="Calibri" w:hAnsi="Calibri" w:cs="Arial"/>
          <w:rtl/>
        </w:rPr>
        <w:t xml:space="preserve">רשאי לעשות כן, עד שיקרא העד השטר מלה במלה. </w:t>
      </w:r>
      <w:r w:rsidRPr="001D49D4">
        <w:rPr>
          <w:rFonts w:ascii="Calibri" w:eastAsia="Calibri" w:hAnsi="Calibri" w:cs="Arial"/>
          <w:sz w:val="18"/>
          <w:szCs w:val="18"/>
          <w:rtl/>
        </w:rPr>
        <w:t xml:space="preserve">הגה: וי"א דשנים יקראו לפניהם והן חותמין </w:t>
      </w:r>
      <w:r w:rsidRPr="001D49D4">
        <w:rPr>
          <w:rFonts w:ascii="Calibri" w:eastAsia="Calibri" w:hAnsi="Calibri" w:cs="Arial"/>
          <w:sz w:val="16"/>
          <w:szCs w:val="16"/>
          <w:rtl/>
        </w:rPr>
        <w:t>(ר"י רא"ש וטור)</w:t>
      </w:r>
      <w:r w:rsidRPr="001D49D4">
        <w:rPr>
          <w:rFonts w:ascii="Calibri" w:eastAsia="Calibri" w:hAnsi="Calibri" w:cs="Arial"/>
          <w:sz w:val="18"/>
          <w:szCs w:val="18"/>
          <w:rtl/>
        </w:rPr>
        <w:t xml:space="preserve"> ואם אינן מבינין לשון השטר, יתרגמו להן הקוראין והם חותמין </w:t>
      </w:r>
      <w:r w:rsidRPr="001D49D4">
        <w:rPr>
          <w:rFonts w:ascii="Calibri" w:eastAsia="Calibri" w:hAnsi="Calibri" w:cs="Arial"/>
          <w:sz w:val="16"/>
          <w:szCs w:val="16"/>
          <w:rtl/>
        </w:rPr>
        <w:t>(ב"י)</w:t>
      </w:r>
      <w:r w:rsidRPr="001D49D4">
        <w:rPr>
          <w:rFonts w:ascii="Calibri" w:eastAsia="Calibri" w:hAnsi="Calibri" w:cs="Arial"/>
          <w:sz w:val="18"/>
          <w:szCs w:val="18"/>
          <w:rtl/>
        </w:rPr>
        <w:t>, וכן נראה לי עיקר</w:t>
      </w:r>
      <w:r w:rsidRPr="001D49D4">
        <w:rPr>
          <w:rFonts w:ascii="Calibri" w:eastAsia="Calibri" w:hAnsi="Calibri" w:cs="Arial"/>
          <w:sz w:val="18"/>
          <w:szCs w:val="18"/>
          <w:vertAlign w:val="superscript"/>
          <w:rtl/>
        </w:rPr>
        <w:footnoteReference w:id="3568"/>
      </w:r>
      <w:r w:rsidRPr="001D49D4">
        <w:rPr>
          <w:rFonts w:ascii="Calibri" w:eastAsia="Calibri" w:hAnsi="Calibri" w:cs="Arial"/>
          <w:sz w:val="18"/>
          <w:szCs w:val="18"/>
          <w:rtl/>
        </w:rPr>
        <w:t xml:space="preserve">. י"א דקורין לפני צבור וחותמין, דיראים לשקר לפני צבור, והוי כראש בית דין וסופר שלו </w:t>
      </w:r>
      <w:r w:rsidRPr="001D49D4">
        <w:rPr>
          <w:rFonts w:ascii="Calibri" w:eastAsia="Calibri" w:hAnsi="Calibri" w:cs="Arial"/>
          <w:sz w:val="16"/>
          <w:szCs w:val="16"/>
          <w:rtl/>
        </w:rPr>
        <w:t>(מרדכי והג"א)</w:t>
      </w:r>
      <w:r w:rsidRPr="001D49D4">
        <w:rPr>
          <w:rFonts w:ascii="Calibri" w:eastAsia="Calibri" w:hAnsi="Calibri" w:cs="Arial"/>
          <w:sz w:val="18"/>
          <w:szCs w:val="18"/>
          <w:rtl/>
        </w:rPr>
        <w:t>.</w:t>
      </w:r>
      <w:r w:rsidRPr="001D49D4">
        <w:rPr>
          <w:rFonts w:ascii="Calibri" w:eastAsia="Calibri" w:hAnsi="Calibri" w:cs="Arial"/>
          <w:rtl/>
        </w:rPr>
        <w:t xml:space="preserve"> </w:t>
      </w:r>
    </w:p>
    <w:p w14:paraId="4C433128" w14:textId="77777777" w:rsidR="001D49D4" w:rsidRPr="001D49D4" w:rsidRDefault="001D49D4" w:rsidP="0004348D">
      <w:pPr>
        <w:spacing w:before="360" w:after="240"/>
        <w:rPr>
          <w:rFonts w:ascii="Calibri" w:eastAsia="Calibri" w:hAnsi="Calibri" w:cs="Arial"/>
          <w:rtl/>
        </w:rPr>
      </w:pPr>
    </w:p>
    <w:p w14:paraId="48C1B28F" w14:textId="77777777" w:rsidR="001D49D4" w:rsidRPr="001D49D4" w:rsidRDefault="001D49D4" w:rsidP="0004348D">
      <w:pPr>
        <w:keepNext/>
        <w:keepLines/>
        <w:spacing w:before="360" w:after="240"/>
        <w:outlineLvl w:val="1"/>
        <w:rPr>
          <w:rFonts w:ascii="Cambria" w:eastAsia="Times New Roman" w:hAnsi="Cambria" w:cs="Arial"/>
          <w:bCs/>
          <w:color w:val="548DD4" w:themeColor="text2" w:themeTint="99"/>
          <w:sz w:val="26"/>
          <w:szCs w:val="26"/>
          <w:rtl/>
        </w:rPr>
      </w:pPr>
      <w:bookmarkStart w:id="477" w:name="_Toc24883913"/>
      <w:r w:rsidRPr="001D49D4">
        <w:rPr>
          <w:rFonts w:ascii="Cambria" w:eastAsia="Times New Roman" w:hAnsi="Cambria" w:cs="Arial"/>
          <w:bCs/>
          <w:color w:val="548DD4" w:themeColor="text2" w:themeTint="99"/>
          <w:sz w:val="26"/>
          <w:szCs w:val="26"/>
          <w:rtl/>
        </w:rPr>
        <w:t>סעיף ג: אדם שחתם על שטר התחייבות שכתוב בלשון שהוא לא מכיר ולא ידע מה כתוב שם.</w:t>
      </w:r>
      <w:bookmarkEnd w:id="477"/>
    </w:p>
    <w:p w14:paraId="49EBE86C"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u w:val="single"/>
          <w:rtl/>
        </w:rPr>
        <w:t>אדם שחתם על שטר התחייבות שכתוב בלשון שהוא לא מכיר והוא לא ידע מה כתוב שם:</w:t>
      </w:r>
      <w:r w:rsidRPr="001D49D4">
        <w:rPr>
          <w:rFonts w:ascii="Calibri" w:eastAsia="Calibri" w:hAnsi="Calibri" w:cs="Arial"/>
          <w:rtl/>
        </w:rPr>
        <w:t xml:space="preserve"> </w:t>
      </w:r>
    </w:p>
    <w:p w14:paraId="7A405438" w14:textId="77777777" w:rsidR="001D49D4" w:rsidRPr="001D49D4" w:rsidRDefault="001D49D4" w:rsidP="0004348D">
      <w:pPr>
        <w:numPr>
          <w:ilvl w:val="0"/>
          <w:numId w:val="263"/>
        </w:numPr>
        <w:spacing w:before="360" w:after="240"/>
        <w:contextualSpacing/>
        <w:rPr>
          <w:rtl/>
        </w:rPr>
      </w:pPr>
      <w:r w:rsidRPr="001D49D4">
        <w:rPr>
          <w:rtl/>
        </w:rPr>
        <w:t xml:space="preserve">רשב"א </w:t>
      </w:r>
      <w:r w:rsidRPr="001D49D4">
        <w:rPr>
          <w:sz w:val="16"/>
          <w:szCs w:val="16"/>
          <w:rtl/>
        </w:rPr>
        <w:t>(במיוחסות סי' עז)</w:t>
      </w:r>
      <w:r w:rsidRPr="001D49D4">
        <w:rPr>
          <w:rtl/>
        </w:rPr>
        <w:t xml:space="preserve">- שאלה, הודאה בחתם ידו והשטר בגופן של כותים מהו, כיון דלא ידיע למקרי לא מהני, או דילמא דלא אתמר אלא בעדים דליתנהו בתורת עדות כיון דלא ידעי למקרי, אבל בהודאת בעל דין - הא אודי כל מה דכתיב עליה. תשובה... אפילו כשהמלוה מודה לו שאינו יודע לקרות א"נ שיש עדים שחתם עד שלא קראו – מכל מקום מתחייב הוא עתה בכל מה שכתוב בו, כיון שלא חשש לקרותו וסמך על הסופר, שכל הסומך על נאמנות של אחרים הלא הוא גומר בדעתו להתחייב בכל מה שיאמר מי שהאמין על עצמו. והיינו טעמא דשליש. וגדולה מזו אמרו 'בעל אומר לפקדון ושליש אומר לגירושין נאמן', וטעמא דכיון שהוא יודע בשעה שהשליש הגט שהשליש יכול ליתנו לאשה אף הוא גמר בדעתו וכתבו לשמה, ונותנו לגירושין אם יאמר הנפקד לגירושין הוא, וכ"ש הכא שסומך על אחרים אע"פ שאינו יודע מה שכתבו עליו ולא חשש לקרותו וחתם בחותם ידו שהוא גומר בדעתו להתחייב בכל מה שכתוב בו, והרי הוא חייב בכל אותו חיוב אע"פ שלא לוה. מדרבי יוחנן דאמר </w:t>
      </w:r>
      <w:r w:rsidRPr="001D49D4">
        <w:rPr>
          <w:sz w:val="16"/>
          <w:szCs w:val="16"/>
          <w:rtl/>
        </w:rPr>
        <w:t>(כתובות קא:)</w:t>
      </w:r>
      <w:r w:rsidRPr="001D49D4">
        <w:rPr>
          <w:rtl/>
        </w:rPr>
        <w:t xml:space="preserve"> חייב אני לך מנה, חייב. כלומר אע"פ שלא היה חייב לו, וקי"ל כר' יוחנן</w:t>
      </w:r>
      <w:r w:rsidRPr="001D49D4">
        <w:rPr>
          <w:vertAlign w:val="superscript"/>
          <w:rtl/>
        </w:rPr>
        <w:footnoteReference w:id="3569"/>
      </w:r>
      <w:r w:rsidRPr="001D49D4">
        <w:rPr>
          <w:rtl/>
        </w:rPr>
        <w:t xml:space="preserve">. </w:t>
      </w:r>
      <w:r w:rsidRPr="001D49D4">
        <w:rPr>
          <w:color w:val="E36C0A" w:themeColor="accent6" w:themeShade="BF"/>
          <w:rtl/>
        </w:rPr>
        <w:t>(וכ"פ בשו"ע)</w:t>
      </w:r>
    </w:p>
    <w:p w14:paraId="10EBD225" w14:textId="77777777" w:rsidR="001D49D4" w:rsidRPr="001D49D4" w:rsidRDefault="001D49D4" w:rsidP="0004348D">
      <w:pPr>
        <w:spacing w:before="360" w:after="240"/>
        <w:rPr>
          <w:rFonts w:ascii="Calibri" w:eastAsia="Calibri" w:hAnsi="Calibri" w:cs="Arial"/>
          <w:u w:val="single"/>
          <w:rtl/>
        </w:rPr>
      </w:pPr>
      <w:r w:rsidRPr="001D49D4">
        <w:rPr>
          <w:rFonts w:ascii="Calibri" w:eastAsia="Calibri" w:hAnsi="Calibri" w:cs="Arial"/>
          <w:u w:val="single"/>
          <w:rtl/>
        </w:rPr>
        <w:t>עד שחתם את שמו בלי לכתוב בסמוך לשמו את המילה 'עד':</w:t>
      </w:r>
    </w:p>
    <w:p w14:paraId="41E99B33" w14:textId="77777777" w:rsidR="001D49D4" w:rsidRPr="001D49D4" w:rsidRDefault="001D49D4" w:rsidP="0004348D">
      <w:pPr>
        <w:numPr>
          <w:ilvl w:val="0"/>
          <w:numId w:val="263"/>
        </w:numPr>
        <w:spacing w:before="360" w:after="240"/>
        <w:contextualSpacing/>
      </w:pPr>
      <w:r w:rsidRPr="001D49D4">
        <w:rPr>
          <w:rtl/>
        </w:rPr>
        <w:t xml:space="preserve">מרדכי </w:t>
      </w:r>
      <w:r w:rsidRPr="001D49D4">
        <w:rPr>
          <w:sz w:val="16"/>
          <w:szCs w:val="16"/>
          <w:rtl/>
        </w:rPr>
        <w:t>(שם, והב"י הביא רק חלק מדבריו)</w:t>
      </w:r>
      <w:r w:rsidRPr="001D49D4">
        <w:rPr>
          <w:rtl/>
        </w:rPr>
        <w:t xml:space="preserve">- אם אין העד כותב אלא 'בן איש פלוני עד' או רק 'איש פלוני עד' - כשר, אבל 'איש פלוני' לחוד ולא כתיב 'עד' אינו כלום, אם לא אדם שרגיל לכתוב כך לסימן, כרב </w:t>
      </w:r>
      <w:r w:rsidRPr="001D49D4">
        <w:rPr>
          <w:sz w:val="16"/>
          <w:szCs w:val="16"/>
          <w:rtl/>
        </w:rPr>
        <w:t>(גיטין לו.)</w:t>
      </w:r>
      <w:r w:rsidRPr="001D49D4">
        <w:rPr>
          <w:rtl/>
        </w:rPr>
        <w:t xml:space="preserve"> דהוי מצייר כוורא ורב חסדא סמ"ך ורב הושעיא עיי"ן, ודוקא באחד מן העדים ולא בכוון כי אז ניכר כרמאות. </w:t>
      </w:r>
    </w:p>
    <w:p w14:paraId="39F3D17D" w14:textId="77777777" w:rsidR="001D49D4" w:rsidRPr="001D49D4" w:rsidRDefault="001D49D4" w:rsidP="0004348D">
      <w:pPr>
        <w:spacing w:before="360" w:after="240"/>
        <w:rPr>
          <w:rFonts w:ascii="Arial" w:eastAsia="Calibri" w:hAnsi="Arial" w:cs="Arial"/>
          <w:b/>
          <w:bCs/>
          <w:color w:val="000000"/>
          <w:sz w:val="28"/>
          <w:szCs w:val="28"/>
          <w:u w:val="single"/>
        </w:rPr>
      </w:pPr>
      <w:r w:rsidRPr="001D49D4">
        <w:rPr>
          <w:rFonts w:ascii="Arial" w:eastAsia="Calibri" w:hAnsi="Arial" w:cs="Arial"/>
          <w:b/>
          <w:bCs/>
          <w:color w:val="000000"/>
          <w:sz w:val="28"/>
          <w:szCs w:val="28"/>
          <w:u w:val="single"/>
          <w:rtl/>
        </w:rPr>
        <w:t>שו"ע:</w:t>
      </w:r>
    </w:p>
    <w:p w14:paraId="59B879B5"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rtl/>
        </w:rPr>
        <w:t xml:space="preserve">הודאה בחתם ידו, והשטר בגופן של גוים, והדבר ברור שאינו יודע לקרות, ויש עדים שחתם עד שלא קראו, מכל מקום מתחייב הוא בכל מה שכתוב בו. </w:t>
      </w:r>
    </w:p>
    <w:p w14:paraId="1521F1AB" w14:textId="77777777" w:rsidR="001D49D4" w:rsidRPr="001D49D4" w:rsidRDefault="001D49D4" w:rsidP="0004348D">
      <w:pPr>
        <w:spacing w:before="360" w:after="240"/>
        <w:rPr>
          <w:rFonts w:ascii="Calibri" w:eastAsia="Calibri" w:hAnsi="Calibri" w:cs="Arial"/>
          <w:rtl/>
        </w:rPr>
      </w:pPr>
    </w:p>
    <w:p w14:paraId="5240E996" w14:textId="77777777" w:rsidR="001D49D4" w:rsidRPr="001D49D4" w:rsidRDefault="001D49D4" w:rsidP="0004348D">
      <w:pPr>
        <w:keepNext/>
        <w:keepLines/>
        <w:spacing w:before="360" w:after="240"/>
        <w:outlineLvl w:val="1"/>
        <w:rPr>
          <w:rFonts w:ascii="Cambria" w:eastAsia="Times New Roman" w:hAnsi="Cambria" w:cs="Arial"/>
          <w:bCs/>
          <w:color w:val="548DD4" w:themeColor="text2" w:themeTint="99"/>
          <w:sz w:val="26"/>
          <w:szCs w:val="26"/>
          <w:rtl/>
        </w:rPr>
      </w:pPr>
      <w:bookmarkStart w:id="478" w:name="_Toc24883914"/>
      <w:r w:rsidRPr="001D49D4">
        <w:rPr>
          <w:rFonts w:ascii="Cambria" w:eastAsia="Times New Roman" w:hAnsi="Cambria" w:cs="Arial"/>
          <w:bCs/>
          <w:color w:val="548DD4" w:themeColor="text2" w:themeTint="99"/>
          <w:sz w:val="26"/>
          <w:szCs w:val="26"/>
          <w:rtl/>
        </w:rPr>
        <w:t>סעיף ד: עד שאינו יודע לחתום.</w:t>
      </w:r>
      <w:bookmarkEnd w:id="478"/>
    </w:p>
    <w:p w14:paraId="1F4E0FBD"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b/>
          <w:bCs/>
          <w:rtl/>
        </w:rPr>
        <w:t xml:space="preserve">ירושלמי </w:t>
      </w:r>
      <w:r w:rsidRPr="001D49D4">
        <w:rPr>
          <w:rFonts w:ascii="Calibri" w:eastAsia="Calibri" w:hAnsi="Calibri" w:cs="Arial"/>
          <w:b/>
          <w:bCs/>
          <w:sz w:val="16"/>
          <w:szCs w:val="16"/>
          <w:rtl/>
        </w:rPr>
        <w:t xml:space="preserve">(וילנא) </w:t>
      </w:r>
      <w:r w:rsidRPr="001D49D4">
        <w:rPr>
          <w:rFonts w:ascii="Calibri" w:eastAsia="Calibri" w:hAnsi="Calibri" w:cs="Arial"/>
          <w:b/>
          <w:bCs/>
          <w:rtl/>
        </w:rPr>
        <w:t xml:space="preserve">גיטין פ"ב ה"ג: </w:t>
      </w:r>
      <w:r w:rsidRPr="001D49D4">
        <w:rPr>
          <w:rFonts w:ascii="Calibri" w:eastAsia="Calibri" w:hAnsi="Calibri" w:cs="Arial"/>
          <w:rtl/>
        </w:rPr>
        <w:t xml:space="preserve">עדים שאינן יודעין לחתום, </w:t>
      </w:r>
      <w:r w:rsidRPr="001D49D4">
        <w:rPr>
          <w:rFonts w:ascii="Calibri" w:eastAsia="Calibri" w:hAnsi="Calibri" w:cs="Arial"/>
          <w:u w:val="single"/>
          <w:rtl/>
        </w:rPr>
        <w:t>ר"ל אמר</w:t>
      </w:r>
      <w:r w:rsidRPr="001D49D4">
        <w:rPr>
          <w:rFonts w:ascii="Calibri" w:eastAsia="Calibri" w:hAnsi="Calibri" w:cs="Arial"/>
          <w:rtl/>
        </w:rPr>
        <w:t xml:space="preserve">: רושם לפניהן בדיו והן חותמין בסיקרא בסיקרא והן חותמין בדיו. </w:t>
      </w:r>
      <w:r w:rsidRPr="001D49D4">
        <w:rPr>
          <w:rFonts w:ascii="Calibri" w:eastAsia="Calibri" w:hAnsi="Calibri" w:cs="Arial"/>
          <w:u w:val="single"/>
          <w:rtl/>
        </w:rPr>
        <w:t>א"ל ר' יוחנן</w:t>
      </w:r>
      <w:r w:rsidRPr="001D49D4">
        <w:rPr>
          <w:rFonts w:ascii="Calibri" w:eastAsia="Calibri" w:hAnsi="Calibri" w:cs="Arial"/>
          <w:rtl/>
        </w:rPr>
        <w:t xml:space="preserve">: מפני שאנן עוסקין בהילכות שבת אנו מתירין את אשת איש? אלא מביא נייר חלק </w:t>
      </w:r>
      <w:r w:rsidRPr="001D49D4">
        <w:rPr>
          <w:rFonts w:ascii="Calibri" w:eastAsia="Calibri" w:hAnsi="Calibri" w:cs="Arial"/>
          <w:rtl/>
        </w:rPr>
        <w:lastRenderedPageBreak/>
        <w:t xml:space="preserve">ומקרע לפניהן וחותמין. ולא כתב ידו של ראשון הוא? אלא מרחיב לפניהן את הקרע. </w:t>
      </w:r>
      <w:r w:rsidRPr="001D49D4">
        <w:rPr>
          <w:rFonts w:ascii="Calibri" w:eastAsia="Calibri" w:hAnsi="Calibri" w:cs="Arial"/>
          <w:u w:val="single"/>
          <w:rtl/>
        </w:rPr>
        <w:t>ר' מנא בעי</w:t>
      </w:r>
      <w:r w:rsidRPr="001D49D4">
        <w:rPr>
          <w:rFonts w:ascii="Calibri" w:eastAsia="Calibri" w:hAnsi="Calibri" w:cs="Arial"/>
          <w:rtl/>
        </w:rPr>
        <w:t>: ולמה לינן</w:t>
      </w:r>
      <w:r w:rsidRPr="001D49D4">
        <w:rPr>
          <w:rFonts w:ascii="Calibri" w:eastAsia="Calibri" w:hAnsi="Calibri" w:cs="Arial"/>
          <w:vertAlign w:val="superscript"/>
          <w:rtl/>
        </w:rPr>
        <w:footnoteReference w:id="3570"/>
      </w:r>
      <w:r w:rsidRPr="001D49D4">
        <w:rPr>
          <w:rFonts w:ascii="Calibri" w:eastAsia="Calibri" w:hAnsi="Calibri" w:cs="Arial"/>
          <w:rtl/>
        </w:rPr>
        <w:t xml:space="preserve"> אמרין רושם לפניהן במים</w:t>
      </w:r>
      <w:r w:rsidRPr="001D49D4">
        <w:rPr>
          <w:rFonts w:ascii="Calibri" w:eastAsia="Calibri" w:hAnsi="Calibri" w:cs="Arial"/>
          <w:vertAlign w:val="superscript"/>
          <w:rtl/>
        </w:rPr>
        <w:footnoteReference w:id="3571"/>
      </w:r>
      <w:r w:rsidRPr="001D49D4">
        <w:rPr>
          <w:rFonts w:ascii="Calibri" w:eastAsia="Calibri" w:hAnsi="Calibri" w:cs="Arial"/>
          <w:rtl/>
        </w:rPr>
        <w:t>? אם בא</w:t>
      </w:r>
      <w:r w:rsidRPr="001D49D4">
        <w:rPr>
          <w:rFonts w:ascii="Calibri" w:eastAsia="Calibri" w:hAnsi="Calibri" w:cs="Arial"/>
          <w:vertAlign w:val="superscript"/>
          <w:rtl/>
        </w:rPr>
        <w:footnoteReference w:id="3572"/>
      </w:r>
      <w:r w:rsidRPr="001D49D4">
        <w:rPr>
          <w:rFonts w:ascii="Calibri" w:eastAsia="Calibri" w:hAnsi="Calibri" w:cs="Arial"/>
          <w:rtl/>
        </w:rPr>
        <w:t xml:space="preserve"> ועירר עררו קיים</w:t>
      </w:r>
      <w:r w:rsidRPr="001D49D4">
        <w:rPr>
          <w:rFonts w:ascii="Calibri" w:eastAsia="Calibri" w:hAnsi="Calibri" w:cs="Arial"/>
          <w:vertAlign w:val="superscript"/>
          <w:rtl/>
        </w:rPr>
        <w:footnoteReference w:id="3573"/>
      </w:r>
      <w:r w:rsidRPr="001D49D4">
        <w:rPr>
          <w:rFonts w:ascii="Calibri" w:eastAsia="Calibri" w:hAnsi="Calibri" w:cs="Arial"/>
          <w:rtl/>
        </w:rPr>
        <w:t xml:space="preserve">. הקורע על העור כתבנית כתב - כשר. הרושם על העור כתבני' כתב - פסול. </w:t>
      </w:r>
    </w:p>
    <w:p w14:paraId="10BE7CE3"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b/>
          <w:bCs/>
          <w:rtl/>
        </w:rPr>
        <w:t xml:space="preserve">גיטין </w:t>
      </w:r>
      <w:r w:rsidRPr="001D49D4">
        <w:rPr>
          <w:rFonts w:ascii="Calibri" w:eastAsia="Calibri" w:hAnsi="Calibri" w:cs="Arial"/>
          <w:b/>
          <w:bCs/>
          <w:sz w:val="16"/>
          <w:szCs w:val="16"/>
          <w:rtl/>
        </w:rPr>
        <w:t xml:space="preserve">(פ"ב) </w:t>
      </w:r>
      <w:r w:rsidRPr="001D49D4">
        <w:rPr>
          <w:rFonts w:ascii="Calibri" w:eastAsia="Calibri" w:hAnsi="Calibri" w:cs="Arial"/>
          <w:b/>
          <w:bCs/>
          <w:rtl/>
        </w:rPr>
        <w:t>יט</w:t>
      </w:r>
      <w:r w:rsidRPr="001D49D4">
        <w:rPr>
          <w:rFonts w:ascii="Calibri" w:eastAsia="Calibri" w:hAnsi="Calibri" w:cs="Arial"/>
          <w:b/>
          <w:bCs/>
          <w:vertAlign w:val="superscript"/>
          <w:rtl/>
        </w:rPr>
        <w:footnoteReference w:id="3574"/>
      </w:r>
      <w:r w:rsidRPr="001D49D4">
        <w:rPr>
          <w:rFonts w:ascii="Calibri" w:eastAsia="Calibri" w:hAnsi="Calibri" w:cs="Arial"/>
          <w:b/>
          <w:bCs/>
          <w:rtl/>
        </w:rPr>
        <w:t xml:space="preserve"> ע"ב:</w:t>
      </w:r>
      <w:r w:rsidRPr="001D49D4">
        <w:rPr>
          <w:rFonts w:ascii="Calibri" w:eastAsia="Calibri" w:hAnsi="Calibri" w:cs="Arial"/>
          <w:rtl/>
        </w:rPr>
        <w:t xml:space="preserve"> תניא... עדים שאין יודעין לקרות - קורין לפניהם וחותמים, ושאין יודעין לחתום מקרעין להן נייר חלק</w:t>
      </w:r>
      <w:r w:rsidRPr="001D49D4">
        <w:rPr>
          <w:rFonts w:ascii="Calibri" w:eastAsia="Calibri" w:hAnsi="Calibri" w:cs="Arial"/>
          <w:vertAlign w:val="superscript"/>
          <w:rtl/>
        </w:rPr>
        <w:footnoteReference w:id="3575"/>
      </w:r>
      <w:r w:rsidRPr="001D49D4">
        <w:rPr>
          <w:rFonts w:ascii="Calibri" w:eastAsia="Calibri" w:hAnsi="Calibri" w:cs="Arial"/>
          <w:rtl/>
        </w:rPr>
        <w:t xml:space="preserve"> וממלאים את הקרעים דיו. </w:t>
      </w:r>
      <w:r w:rsidRPr="001D49D4">
        <w:rPr>
          <w:rFonts w:ascii="Calibri" w:eastAsia="Calibri" w:hAnsi="Calibri" w:cs="Arial"/>
          <w:u w:val="single"/>
          <w:rtl/>
        </w:rPr>
        <w:t>אמר ר"ש בן גמליאל</w:t>
      </w:r>
      <w:r w:rsidRPr="001D49D4">
        <w:rPr>
          <w:rFonts w:ascii="Calibri" w:eastAsia="Calibri" w:hAnsi="Calibri" w:cs="Arial"/>
          <w:rtl/>
        </w:rPr>
        <w:t xml:space="preserve">: במה דברים אמורים - בגיטי נשים, אבל שחרורי עבדים ושאר כל השטרות, אם יודעין לקרות ולחתום - חותמין, ואם לאו - אין חותמין. </w:t>
      </w:r>
      <w:r w:rsidRPr="001D49D4">
        <w:rPr>
          <w:rFonts w:ascii="Calibri" w:eastAsia="Calibri" w:hAnsi="Calibri" w:cs="Arial"/>
          <w:u w:val="single"/>
          <w:rtl/>
        </w:rPr>
        <w:t>א"ר אלעזר</w:t>
      </w:r>
      <w:r w:rsidRPr="001D49D4">
        <w:rPr>
          <w:rFonts w:ascii="Calibri" w:eastAsia="Calibri" w:hAnsi="Calibri" w:cs="Arial"/>
          <w:rtl/>
        </w:rPr>
        <w:t xml:space="preserve">: מ"ט דרבן שמעון בן גמליאל? שלא יהו בנות ישראל עגונות. </w:t>
      </w:r>
      <w:r w:rsidRPr="001D49D4">
        <w:rPr>
          <w:rFonts w:ascii="Calibri" w:eastAsia="Calibri" w:hAnsi="Calibri" w:cs="Arial"/>
          <w:u w:val="single"/>
          <w:rtl/>
        </w:rPr>
        <w:t>אמר רבא</w:t>
      </w:r>
      <w:r w:rsidRPr="001D49D4">
        <w:rPr>
          <w:rFonts w:ascii="Calibri" w:eastAsia="Calibri" w:hAnsi="Calibri" w:cs="Arial"/>
          <w:rtl/>
        </w:rPr>
        <w:t xml:space="preserve">: הלכה כרשב"ג, </w:t>
      </w:r>
      <w:r w:rsidRPr="001D49D4">
        <w:rPr>
          <w:rFonts w:ascii="Calibri" w:eastAsia="Calibri" w:hAnsi="Calibri" w:cs="Arial"/>
          <w:u w:val="single"/>
          <w:rtl/>
        </w:rPr>
        <w:t>ורב גמדא משמיה דרבא אמר</w:t>
      </w:r>
      <w:r w:rsidRPr="001D49D4">
        <w:rPr>
          <w:rFonts w:ascii="Calibri" w:eastAsia="Calibri" w:hAnsi="Calibri" w:cs="Arial"/>
          <w:rtl/>
        </w:rPr>
        <w:t>: אין הלכה. ואלא כמאן? כרבנן, והא ההוא דעבד עובדא בשאר שטרות ונגדיה רב כהנא! תרגמא</w:t>
      </w:r>
      <w:r w:rsidRPr="001D49D4">
        <w:rPr>
          <w:rFonts w:ascii="Calibri" w:eastAsia="Calibri" w:hAnsi="Calibri" w:cs="Arial"/>
          <w:vertAlign w:val="superscript"/>
          <w:rtl/>
        </w:rPr>
        <w:footnoteReference w:id="3576"/>
      </w:r>
      <w:r w:rsidRPr="001D49D4">
        <w:rPr>
          <w:rFonts w:ascii="Calibri" w:eastAsia="Calibri" w:hAnsi="Calibri" w:cs="Arial"/>
          <w:rtl/>
        </w:rPr>
        <w:t>: אקריאה</w:t>
      </w:r>
      <w:r w:rsidRPr="001D49D4">
        <w:rPr>
          <w:rFonts w:ascii="Calibri" w:eastAsia="Calibri" w:hAnsi="Calibri" w:cs="Arial"/>
          <w:vertAlign w:val="superscript"/>
          <w:rtl/>
        </w:rPr>
        <w:footnoteReference w:id="3577"/>
      </w:r>
      <w:r w:rsidRPr="001D49D4">
        <w:rPr>
          <w:rFonts w:ascii="Calibri" w:eastAsia="Calibri" w:hAnsi="Calibri" w:cs="Arial"/>
          <w:rtl/>
        </w:rPr>
        <w:t xml:space="preserve">. </w:t>
      </w:r>
    </w:p>
    <w:p w14:paraId="76C9BEEB"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u w:val="single"/>
          <w:rtl/>
        </w:rPr>
        <w:t>עדים שאינם יודעים לחתום – מהו שיקרעו להם נייר חלק והם ימלאו את הקרעים בדיו:</w:t>
      </w:r>
    </w:p>
    <w:p w14:paraId="34AE2EE3" w14:textId="77777777" w:rsidR="001D49D4" w:rsidRPr="001D49D4" w:rsidRDefault="001D49D4" w:rsidP="0004348D">
      <w:pPr>
        <w:numPr>
          <w:ilvl w:val="0"/>
          <w:numId w:val="263"/>
        </w:numPr>
        <w:spacing w:before="360" w:after="240"/>
        <w:contextualSpacing/>
        <w:rPr>
          <w:rtl/>
        </w:rPr>
      </w:pPr>
      <w:r w:rsidRPr="001D49D4">
        <w:rPr>
          <w:rtl/>
        </w:rPr>
        <w:t xml:space="preserve">רמב"ם </w:t>
      </w:r>
      <w:r w:rsidRPr="001D49D4">
        <w:rPr>
          <w:sz w:val="16"/>
          <w:szCs w:val="16"/>
          <w:rtl/>
        </w:rPr>
        <w:t>(פכ"ד ממלוה ה"ו)</w:t>
      </w:r>
      <w:r w:rsidRPr="001D49D4">
        <w:rPr>
          <w:rtl/>
        </w:rPr>
        <w:t>- עדים שאין יודעין לחתום וקרעו להן נייר חלק וחתמו על הרשום - מכין אותן מכת מרדות והשטר פסול.</w:t>
      </w:r>
      <w:r w:rsidRPr="001D49D4">
        <w:rPr>
          <w:color w:val="E36C0A" w:themeColor="accent6" w:themeShade="BF"/>
          <w:rtl/>
        </w:rPr>
        <w:t xml:space="preserve"> (וכ"פ בשו"ע)</w:t>
      </w:r>
    </w:p>
    <w:p w14:paraId="19499B80" w14:textId="77777777" w:rsidR="001D49D4" w:rsidRPr="001D49D4" w:rsidRDefault="001D49D4" w:rsidP="0004348D">
      <w:pPr>
        <w:numPr>
          <w:ilvl w:val="0"/>
          <w:numId w:val="263"/>
        </w:numPr>
        <w:spacing w:before="360" w:after="240"/>
        <w:contextualSpacing/>
      </w:pPr>
      <w:r w:rsidRPr="001D49D4">
        <w:rPr>
          <w:color w:val="000000" w:themeColor="text1"/>
          <w:rtl/>
        </w:rPr>
        <w:t xml:space="preserve">רשב"א </w:t>
      </w:r>
      <w:r w:rsidRPr="001D49D4">
        <w:rPr>
          <w:color w:val="000000" w:themeColor="text1"/>
          <w:sz w:val="16"/>
          <w:szCs w:val="16"/>
          <w:rtl/>
        </w:rPr>
        <w:t xml:space="preserve">(יט: ד"ה נמצא) </w:t>
      </w:r>
      <w:r w:rsidRPr="001D49D4">
        <w:rPr>
          <w:color w:val="000000" w:themeColor="text1"/>
          <w:rtl/>
        </w:rPr>
        <w:t xml:space="preserve">וטור- </w:t>
      </w:r>
      <w:r w:rsidRPr="001D49D4">
        <w:rPr>
          <w:color w:val="000000" w:themeColor="text1"/>
          <w:vertAlign w:val="superscript"/>
          <w:rtl/>
        </w:rPr>
        <w:footnoteReference w:id="3578"/>
      </w:r>
      <w:r w:rsidRPr="001D49D4">
        <w:rPr>
          <w:color w:val="000000" w:themeColor="text1"/>
          <w:rtl/>
        </w:rPr>
        <w:t xml:space="preserve">מדאמר נגדיה רב כהנא ולא קאמר נגדיה ופסיל לשטרא ש"מ דשטר כשר </w:t>
      </w:r>
      <w:r w:rsidRPr="001D49D4">
        <w:rPr>
          <w:rtl/>
        </w:rPr>
        <w:t>הוא</w:t>
      </w:r>
      <w:r w:rsidRPr="001D49D4">
        <w:rPr>
          <w:vertAlign w:val="superscript"/>
          <w:rtl/>
        </w:rPr>
        <w:footnoteReference w:id="3579"/>
      </w:r>
      <w:r w:rsidRPr="001D49D4">
        <w:rPr>
          <w:sz w:val="16"/>
          <w:szCs w:val="16"/>
          <w:rtl/>
        </w:rPr>
        <w:t xml:space="preserve"> (ל' הרשב"א)</w:t>
      </w:r>
      <w:r w:rsidRPr="001D49D4">
        <w:rPr>
          <w:rtl/>
        </w:rPr>
        <w:t xml:space="preserve">. </w:t>
      </w:r>
      <w:r w:rsidRPr="001D49D4">
        <w:rPr>
          <w:color w:val="00B0F0"/>
          <w:rtl/>
        </w:rPr>
        <w:t>(וכ"כ הרמ"א)</w:t>
      </w:r>
    </w:p>
    <w:p w14:paraId="37DF3998" w14:textId="77777777" w:rsidR="001D49D4" w:rsidRPr="001D49D4" w:rsidRDefault="001D49D4" w:rsidP="0004348D">
      <w:pPr>
        <w:spacing w:before="360" w:after="240"/>
        <w:ind w:left="360"/>
        <w:rPr>
          <w:rFonts w:ascii="Calibri" w:eastAsia="Calibri" w:hAnsi="Calibri" w:cs="Arial"/>
          <w:u w:val="dotted"/>
        </w:rPr>
      </w:pPr>
      <w:r w:rsidRPr="001D49D4">
        <w:rPr>
          <w:rFonts w:ascii="Calibri" w:eastAsia="Calibri" w:hAnsi="Calibri" w:cs="Arial"/>
          <w:u w:val="dotted"/>
          <w:rtl/>
        </w:rPr>
        <w:t>מה פירוש דברי הגמרא 'מקרעין להם נייר חלק...':</w:t>
      </w:r>
    </w:p>
    <w:p w14:paraId="09B149A0" w14:textId="77777777" w:rsidR="001D49D4" w:rsidRPr="001D49D4" w:rsidRDefault="001D49D4" w:rsidP="0004348D">
      <w:pPr>
        <w:numPr>
          <w:ilvl w:val="0"/>
          <w:numId w:val="264"/>
        </w:numPr>
        <w:spacing w:before="360" w:after="240"/>
        <w:contextualSpacing/>
      </w:pPr>
      <w:r w:rsidRPr="001D49D4">
        <w:rPr>
          <w:rtl/>
        </w:rPr>
        <w:t xml:space="preserve">רש"י </w:t>
      </w:r>
      <w:r w:rsidRPr="001D49D4">
        <w:rPr>
          <w:sz w:val="16"/>
          <w:szCs w:val="16"/>
          <w:rtl/>
        </w:rPr>
        <w:t>(ט: ד"ה מקרעין)</w:t>
      </w:r>
      <w:r w:rsidRPr="001D49D4">
        <w:rPr>
          <w:rtl/>
        </w:rPr>
        <w:t xml:space="preserve"> וטור- מסרטין</w:t>
      </w:r>
      <w:r w:rsidRPr="001D49D4">
        <w:rPr>
          <w:vertAlign w:val="superscript"/>
          <w:rtl/>
        </w:rPr>
        <w:footnoteReference w:id="3580"/>
      </w:r>
      <w:r w:rsidRPr="001D49D4">
        <w:rPr>
          <w:rtl/>
        </w:rPr>
        <w:t>.</w:t>
      </w:r>
    </w:p>
    <w:p w14:paraId="71622496" w14:textId="77777777" w:rsidR="001D49D4" w:rsidRPr="001D49D4" w:rsidRDefault="001D49D4" w:rsidP="0004348D">
      <w:pPr>
        <w:numPr>
          <w:ilvl w:val="0"/>
          <w:numId w:val="264"/>
        </w:numPr>
        <w:spacing w:before="360" w:after="240"/>
        <w:contextualSpacing/>
      </w:pPr>
      <w:r w:rsidRPr="001D49D4">
        <w:rPr>
          <w:rtl/>
        </w:rPr>
        <w:t xml:space="preserve">ר"ח תוס' </w:t>
      </w:r>
      <w:r w:rsidRPr="001D49D4">
        <w:rPr>
          <w:sz w:val="16"/>
          <w:szCs w:val="16"/>
          <w:rtl/>
        </w:rPr>
        <w:t>(ט: ד"ה מקרעין להם נייר חלק)</w:t>
      </w:r>
      <w:r w:rsidRPr="001D49D4">
        <w:rPr>
          <w:rtl/>
        </w:rPr>
        <w:t xml:space="preserve"> רמ"ה </w:t>
      </w:r>
      <w:r w:rsidRPr="001D49D4">
        <w:rPr>
          <w:sz w:val="16"/>
          <w:szCs w:val="16"/>
          <w:rtl/>
        </w:rPr>
        <w:t xml:space="preserve">(הביאו הטור אהע"ז סי' קל) </w:t>
      </w:r>
      <w:r w:rsidRPr="001D49D4">
        <w:rPr>
          <w:rtl/>
        </w:rPr>
        <w:t xml:space="preserve">ור"ן </w:t>
      </w:r>
      <w:r w:rsidRPr="001D49D4">
        <w:rPr>
          <w:sz w:val="16"/>
          <w:szCs w:val="16"/>
          <w:rtl/>
        </w:rPr>
        <w:t>(ט. ד"ה מקרעין)</w:t>
      </w:r>
      <w:r w:rsidRPr="001D49D4">
        <w:rPr>
          <w:rtl/>
        </w:rPr>
        <w:t>- לוקחין נייר אחר ומקרעין בו שמות העדים מעבר אל עבר, ומשימין אותו על הקלף שהגט כתוב בו, ובאים עדים וממלאים את הקרעים דיו, וניכרת הכתיבה על גבי הקריעה</w:t>
      </w:r>
      <w:r w:rsidRPr="001D49D4">
        <w:rPr>
          <w:vertAlign w:val="superscript"/>
          <w:rtl/>
        </w:rPr>
        <w:footnoteReference w:id="3581"/>
      </w:r>
      <w:r w:rsidRPr="001D49D4">
        <w:rPr>
          <w:sz w:val="16"/>
          <w:szCs w:val="16"/>
          <w:rtl/>
        </w:rPr>
        <w:t xml:space="preserve"> (ל' הר"ן)</w:t>
      </w:r>
      <w:r w:rsidRPr="001D49D4">
        <w:rPr>
          <w:rtl/>
        </w:rPr>
        <w:t xml:space="preserve">. </w:t>
      </w:r>
      <w:r w:rsidRPr="001D49D4">
        <w:rPr>
          <w:color w:val="00B0F0"/>
          <w:rtl/>
        </w:rPr>
        <w:t>(וכ"פ הרמ"א</w:t>
      </w:r>
      <w:r w:rsidRPr="001D49D4">
        <w:rPr>
          <w:color w:val="00B0F0"/>
          <w:sz w:val="16"/>
          <w:szCs w:val="16"/>
          <w:rtl/>
        </w:rPr>
        <w:t xml:space="preserve"> </w:t>
      </w:r>
      <w:r w:rsidRPr="001D49D4">
        <w:rPr>
          <w:color w:val="000000" w:themeColor="text1"/>
          <w:sz w:val="16"/>
          <w:szCs w:val="16"/>
          <w:rtl/>
        </w:rPr>
        <w:t>[לגבי גיטין באהע"ז סי' קל סט"ז]</w:t>
      </w:r>
      <w:r w:rsidRPr="001D49D4">
        <w:rPr>
          <w:color w:val="00B0F0"/>
          <w:rtl/>
        </w:rPr>
        <w:t>)</w:t>
      </w:r>
      <w:r w:rsidRPr="001D49D4">
        <w:rPr>
          <w:rtl/>
        </w:rPr>
        <w:t xml:space="preserve"> (וכ"פ הסמ"ע</w:t>
      </w:r>
      <w:r w:rsidRPr="001D49D4">
        <w:rPr>
          <w:sz w:val="16"/>
          <w:szCs w:val="16"/>
          <w:rtl/>
        </w:rPr>
        <w:t xml:space="preserve"> [סק"ו]</w:t>
      </w:r>
      <w:r w:rsidRPr="001D49D4">
        <w:rPr>
          <w:rtl/>
        </w:rPr>
        <w:t>)</w:t>
      </w:r>
    </w:p>
    <w:p w14:paraId="5D2287CD" w14:textId="77777777" w:rsidR="001D49D4" w:rsidRPr="001D49D4" w:rsidRDefault="001D49D4" w:rsidP="0004348D">
      <w:pPr>
        <w:numPr>
          <w:ilvl w:val="0"/>
          <w:numId w:val="264"/>
        </w:numPr>
        <w:spacing w:before="360" w:after="240"/>
        <w:contextualSpacing/>
      </w:pPr>
      <w:r w:rsidRPr="001D49D4">
        <w:rPr>
          <w:rtl/>
        </w:rPr>
        <w:t xml:space="preserve">רמב"ם </w:t>
      </w:r>
      <w:r w:rsidRPr="001D49D4">
        <w:rPr>
          <w:sz w:val="16"/>
          <w:szCs w:val="16"/>
          <w:rtl/>
        </w:rPr>
        <w:t>(פ"א מהל' גירושין הכ"ג)</w:t>
      </w:r>
      <w:r w:rsidRPr="001D49D4">
        <w:rPr>
          <w:rtl/>
        </w:rPr>
        <w:t>- העדים שחותמין על הגט צריכין להיותם יודעים לקרות ולחתום... ואם אינם יודעים לחתום רושמין להם הנייר ברוק וכיוצא בו מדבר שאין רשומו מתקיים והן כותבין על הרושם</w:t>
      </w:r>
      <w:r w:rsidRPr="001D49D4">
        <w:rPr>
          <w:vertAlign w:val="superscript"/>
          <w:rtl/>
        </w:rPr>
        <w:footnoteReference w:id="3582"/>
      </w:r>
      <w:r w:rsidRPr="001D49D4">
        <w:rPr>
          <w:rtl/>
        </w:rPr>
        <w:t>.</w:t>
      </w:r>
      <w:r w:rsidRPr="001D49D4">
        <w:rPr>
          <w:color w:val="E36C0A" w:themeColor="accent6" w:themeShade="BF"/>
          <w:rtl/>
        </w:rPr>
        <w:t xml:space="preserve"> (וכ"פ בשו"ע</w:t>
      </w:r>
      <w:r w:rsidRPr="001D49D4">
        <w:rPr>
          <w:color w:val="E36C0A" w:themeColor="accent6" w:themeShade="BF"/>
          <w:sz w:val="16"/>
          <w:szCs w:val="16"/>
          <w:rtl/>
        </w:rPr>
        <w:t xml:space="preserve"> </w:t>
      </w:r>
      <w:r w:rsidRPr="001D49D4">
        <w:rPr>
          <w:color w:val="000000" w:themeColor="text1"/>
          <w:sz w:val="16"/>
          <w:szCs w:val="16"/>
          <w:rtl/>
        </w:rPr>
        <w:t>[לגבי גיטין באהע"ז סי' קל סט"ז]</w:t>
      </w:r>
      <w:r w:rsidRPr="001D49D4">
        <w:rPr>
          <w:color w:val="E36C0A" w:themeColor="accent6" w:themeShade="BF"/>
          <w:rtl/>
        </w:rPr>
        <w:t>)</w:t>
      </w:r>
    </w:p>
    <w:p w14:paraId="10C0A050" w14:textId="77777777" w:rsidR="001D49D4" w:rsidRPr="001D49D4" w:rsidRDefault="001D49D4" w:rsidP="0004348D">
      <w:pPr>
        <w:spacing w:before="360" w:after="240"/>
        <w:rPr>
          <w:rFonts w:ascii="Arial" w:eastAsia="Calibri" w:hAnsi="Arial" w:cs="Arial"/>
          <w:b/>
          <w:bCs/>
          <w:color w:val="000000"/>
          <w:sz w:val="28"/>
          <w:szCs w:val="28"/>
          <w:u w:val="single"/>
          <w:rtl/>
        </w:rPr>
      </w:pPr>
      <w:r w:rsidRPr="001D49D4">
        <w:rPr>
          <w:rFonts w:ascii="Arial" w:eastAsia="Calibri" w:hAnsi="Arial" w:cs="Arial"/>
          <w:b/>
          <w:bCs/>
          <w:color w:val="000000"/>
          <w:sz w:val="28"/>
          <w:szCs w:val="28"/>
          <w:u w:val="single"/>
          <w:rtl/>
        </w:rPr>
        <w:lastRenderedPageBreak/>
        <w:t>שו"ע:</w:t>
      </w:r>
    </w:p>
    <w:p w14:paraId="48D2D290"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rtl/>
        </w:rPr>
        <w:t>עדים שאין יודעים לחתום וקרעו להם נייר חלק וחתמו על הרשום, מכים אותם</w:t>
      </w:r>
      <w:r w:rsidRPr="001D49D4">
        <w:rPr>
          <w:rFonts w:ascii="Calibri" w:eastAsia="Calibri" w:hAnsi="Calibri" w:cs="Arial"/>
          <w:vertAlign w:val="superscript"/>
          <w:rtl/>
        </w:rPr>
        <w:footnoteReference w:id="3583"/>
      </w:r>
      <w:r w:rsidRPr="001D49D4">
        <w:rPr>
          <w:rFonts w:ascii="Calibri" w:eastAsia="Calibri" w:hAnsi="Calibri" w:cs="Arial"/>
          <w:rtl/>
        </w:rPr>
        <w:t xml:space="preserve"> מכת מרדות והשטר פסול. </w:t>
      </w:r>
      <w:r w:rsidRPr="001D49D4">
        <w:rPr>
          <w:rFonts w:ascii="Calibri" w:eastAsia="Calibri" w:hAnsi="Calibri" w:cs="Arial"/>
          <w:sz w:val="18"/>
          <w:szCs w:val="18"/>
          <w:rtl/>
        </w:rPr>
        <w:t>[הגה] ויש מכשירין השטר</w:t>
      </w:r>
      <w:r w:rsidRPr="001D49D4">
        <w:rPr>
          <w:rFonts w:ascii="Calibri" w:eastAsia="Calibri" w:hAnsi="Calibri" w:cs="Arial"/>
          <w:sz w:val="18"/>
          <w:szCs w:val="18"/>
          <w:vertAlign w:val="superscript"/>
          <w:rtl/>
        </w:rPr>
        <w:footnoteReference w:id="3584"/>
      </w:r>
      <w:r w:rsidRPr="001D49D4">
        <w:rPr>
          <w:rFonts w:ascii="Calibri" w:eastAsia="Calibri" w:hAnsi="Calibri" w:cs="Arial"/>
          <w:sz w:val="18"/>
          <w:szCs w:val="18"/>
          <w:rtl/>
        </w:rPr>
        <w:t xml:space="preserve"> (רשב"א וטור).</w:t>
      </w:r>
    </w:p>
    <w:p w14:paraId="5AE4AC50"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rtl/>
        </w:rPr>
        <w:t xml:space="preserve"> </w:t>
      </w:r>
    </w:p>
    <w:p w14:paraId="11B35647" w14:textId="77777777" w:rsidR="001D49D4" w:rsidRPr="001D49D4" w:rsidRDefault="001D49D4" w:rsidP="0004348D">
      <w:pPr>
        <w:keepNext/>
        <w:keepLines/>
        <w:spacing w:before="360" w:after="240"/>
        <w:outlineLvl w:val="1"/>
        <w:rPr>
          <w:rFonts w:ascii="Cambria" w:eastAsia="Times New Roman" w:hAnsi="Cambria" w:cs="Arial"/>
          <w:bCs/>
          <w:color w:val="548DD4" w:themeColor="text2" w:themeTint="99"/>
          <w:sz w:val="26"/>
          <w:szCs w:val="26"/>
          <w:rtl/>
        </w:rPr>
      </w:pPr>
      <w:bookmarkStart w:id="480" w:name="_Toc24883915"/>
      <w:r w:rsidRPr="001D49D4">
        <w:rPr>
          <w:rFonts w:ascii="Cambria" w:eastAsia="Times New Roman" w:hAnsi="Cambria" w:cs="Arial"/>
          <w:bCs/>
          <w:color w:val="548DD4" w:themeColor="text2" w:themeTint="99"/>
          <w:sz w:val="26"/>
          <w:szCs w:val="26"/>
          <w:rtl/>
        </w:rPr>
        <w:t>סעיף ה: אדם שחותם בשם העד. חזקה בעניין עדי שטרות. ועדים שלא יודעים לקרוא.</w:t>
      </w:r>
      <w:bookmarkEnd w:id="480"/>
    </w:p>
    <w:p w14:paraId="280193C6" w14:textId="77777777" w:rsidR="001D49D4" w:rsidRPr="001D49D4" w:rsidRDefault="001D49D4" w:rsidP="0004348D">
      <w:pPr>
        <w:spacing w:before="360" w:after="240"/>
        <w:rPr>
          <w:rFonts w:ascii="Calibri" w:eastAsia="Calibri" w:hAnsi="Calibri" w:cs="Arial"/>
          <w:u w:val="single"/>
          <w:rtl/>
        </w:rPr>
      </w:pPr>
      <w:r w:rsidRPr="001D49D4">
        <w:rPr>
          <w:rFonts w:ascii="Calibri" w:eastAsia="Calibri" w:hAnsi="Calibri" w:cs="Arial"/>
          <w:u w:val="single"/>
          <w:rtl/>
        </w:rPr>
        <w:t>אדם שחותם בשם העד:</w:t>
      </w:r>
    </w:p>
    <w:p w14:paraId="5F8ECC53" w14:textId="77777777" w:rsidR="001D49D4" w:rsidRPr="001D49D4" w:rsidRDefault="001D49D4" w:rsidP="0004348D">
      <w:pPr>
        <w:numPr>
          <w:ilvl w:val="0"/>
          <w:numId w:val="265"/>
        </w:numPr>
        <w:spacing w:before="360" w:after="240"/>
        <w:contextualSpacing/>
        <w:rPr>
          <w:rtl/>
        </w:rPr>
      </w:pPr>
      <w:r w:rsidRPr="001D49D4">
        <w:rPr>
          <w:rtl/>
        </w:rPr>
        <w:t xml:space="preserve">רשב"א </w:t>
      </w:r>
      <w:r w:rsidRPr="001D49D4">
        <w:rPr>
          <w:sz w:val="16"/>
          <w:szCs w:val="16"/>
          <w:rtl/>
        </w:rPr>
        <w:t>(שם סי' קצא)</w:t>
      </w:r>
      <w:r w:rsidRPr="001D49D4">
        <w:rPr>
          <w:rtl/>
        </w:rPr>
        <w:t xml:space="preserve"> ותשב"ץ</w:t>
      </w:r>
      <w:r w:rsidRPr="001D49D4">
        <w:rPr>
          <w:vertAlign w:val="superscript"/>
          <w:rtl/>
        </w:rPr>
        <w:footnoteReference w:id="3585"/>
      </w:r>
      <w:r w:rsidRPr="001D49D4">
        <w:rPr>
          <w:rtl/>
        </w:rPr>
        <w:t xml:space="preserve"> </w:t>
      </w:r>
      <w:r w:rsidRPr="001D49D4">
        <w:rPr>
          <w:sz w:val="16"/>
          <w:szCs w:val="16"/>
          <w:rtl/>
        </w:rPr>
        <w:t>(ח"א סי' קכח)</w:t>
      </w:r>
      <w:r w:rsidRPr="001D49D4">
        <w:rPr>
          <w:rtl/>
        </w:rPr>
        <w:t>- עדים שאינם יודעים לחתום וצוו לאחר לחתום - אין זה כלום לפי שורת הדין</w:t>
      </w:r>
      <w:r w:rsidRPr="001D49D4">
        <w:rPr>
          <w:sz w:val="16"/>
          <w:szCs w:val="16"/>
          <w:rtl/>
        </w:rPr>
        <w:t xml:space="preserve"> (ל' הרשב"א)</w:t>
      </w:r>
      <w:r w:rsidRPr="001D49D4">
        <w:rPr>
          <w:rtl/>
        </w:rPr>
        <w:t>.</w:t>
      </w:r>
      <w:r w:rsidRPr="001D49D4">
        <w:rPr>
          <w:color w:val="E36C0A" w:themeColor="accent6" w:themeShade="BF"/>
          <w:rtl/>
        </w:rPr>
        <w:t xml:space="preserve"> (וכ"פ בשו"ע)</w:t>
      </w:r>
      <w:r w:rsidRPr="001D49D4">
        <w:rPr>
          <w:rtl/>
        </w:rPr>
        <w:t xml:space="preserve"> </w:t>
      </w:r>
    </w:p>
    <w:p w14:paraId="04416B3E" w14:textId="77777777" w:rsidR="001D49D4" w:rsidRPr="001D49D4" w:rsidRDefault="001D49D4" w:rsidP="0004348D">
      <w:pPr>
        <w:spacing w:before="360" w:after="240"/>
        <w:ind w:left="360"/>
        <w:rPr>
          <w:rFonts w:ascii="Calibri" w:eastAsia="Calibri" w:hAnsi="Calibri" w:cs="Arial"/>
          <w:u w:val="dotted"/>
        </w:rPr>
      </w:pPr>
      <w:r w:rsidRPr="001D49D4">
        <w:rPr>
          <w:rFonts w:ascii="Calibri" w:eastAsia="Calibri" w:hAnsi="Calibri" w:cs="Arial"/>
          <w:u w:val="dotted"/>
          <w:rtl/>
        </w:rPr>
        <w:t>ומה הדין במקום שנהגו שהסופר חותם בשם העד:</w:t>
      </w:r>
    </w:p>
    <w:p w14:paraId="5CBBC9E4" w14:textId="77777777" w:rsidR="001D49D4" w:rsidRPr="001D49D4" w:rsidRDefault="001D49D4" w:rsidP="0004348D">
      <w:pPr>
        <w:numPr>
          <w:ilvl w:val="0"/>
          <w:numId w:val="265"/>
        </w:numPr>
        <w:spacing w:before="360" w:after="240"/>
        <w:contextualSpacing/>
      </w:pPr>
      <w:r w:rsidRPr="001D49D4">
        <w:rPr>
          <w:rtl/>
        </w:rPr>
        <w:t xml:space="preserve">רשב"א </w:t>
      </w:r>
      <w:r w:rsidRPr="001D49D4">
        <w:rPr>
          <w:sz w:val="16"/>
          <w:szCs w:val="16"/>
          <w:rtl/>
        </w:rPr>
        <w:t>(ח"ד סי' קצט, וכ"כ רי"ו בשמו [נ"ד ח"ד כ ע"ג])</w:t>
      </w:r>
      <w:r w:rsidRPr="001D49D4">
        <w:rPr>
          <w:rtl/>
        </w:rPr>
        <w:t>- מקום שנהגו שהסופר חותם על פי העד שכותב 'פלוני בן פלוני חתם במסירת קולמוס', אם קבלו בני העיר עליהם לעשות עדותו כעדות העד שאמר לו – כשר, דהוה ליה כנאמן עלי אבא וכו'</w:t>
      </w:r>
      <w:r w:rsidRPr="001D49D4">
        <w:rPr>
          <w:sz w:val="16"/>
          <w:szCs w:val="16"/>
          <w:rtl/>
        </w:rPr>
        <w:t xml:space="preserve"> (סנהדרין כד.)</w:t>
      </w:r>
      <w:r w:rsidRPr="001D49D4">
        <w:rPr>
          <w:rtl/>
        </w:rPr>
        <w:t xml:space="preserve">. </w:t>
      </w:r>
      <w:r w:rsidRPr="001D49D4">
        <w:rPr>
          <w:color w:val="E36C0A" w:themeColor="accent6" w:themeShade="BF"/>
          <w:rtl/>
        </w:rPr>
        <w:t>(וכ"פ בשו"ע)</w:t>
      </w:r>
    </w:p>
    <w:p w14:paraId="2B3D1BA7" w14:textId="77777777" w:rsidR="001D49D4" w:rsidRPr="001D49D4" w:rsidRDefault="001D49D4" w:rsidP="0004348D">
      <w:pPr>
        <w:spacing w:before="360" w:after="240"/>
        <w:rPr>
          <w:rFonts w:ascii="Calibri" w:eastAsia="Calibri" w:hAnsi="Calibri" w:cs="Arial"/>
          <w:u w:val="single"/>
        </w:rPr>
      </w:pPr>
      <w:r w:rsidRPr="001D49D4">
        <w:rPr>
          <w:rFonts w:ascii="Calibri" w:eastAsia="Calibri" w:hAnsi="Calibri" w:cs="Arial"/>
          <w:u w:val="single"/>
          <w:rtl/>
        </w:rPr>
        <w:t>שטר שנתאחר מלחותמו ועבר זמן פרעונו:</w:t>
      </w:r>
    </w:p>
    <w:p w14:paraId="625A97C1" w14:textId="77777777" w:rsidR="001D49D4" w:rsidRPr="001D49D4" w:rsidRDefault="001D49D4" w:rsidP="0004348D">
      <w:pPr>
        <w:numPr>
          <w:ilvl w:val="0"/>
          <w:numId w:val="265"/>
        </w:numPr>
        <w:spacing w:before="360" w:after="240"/>
        <w:contextualSpacing/>
      </w:pPr>
      <w:r w:rsidRPr="001D49D4">
        <w:rPr>
          <w:rtl/>
        </w:rPr>
        <w:t>ב"י בשם מצאתי כתוב</w:t>
      </w:r>
      <w:r w:rsidRPr="001D49D4">
        <w:rPr>
          <w:vertAlign w:val="superscript"/>
          <w:rtl/>
        </w:rPr>
        <w:footnoteReference w:id="3586"/>
      </w:r>
      <w:r w:rsidRPr="001D49D4">
        <w:rPr>
          <w:rtl/>
        </w:rPr>
        <w:t xml:space="preserve">- שטר שנתאחר מלחותמו ועבר זמן פרעונו, יש אומרים שאין על העדים לחתמו, דאמרינן כבר פרעו. ואחרונים אמרו דיכולין העדים לחתמו מן הדין, דהגע עצמך שבעל השטר הפקיד שטר ביד שליש ועבר זמן השטר ואעפ"כ יש לנפקד להחזיר פקדונו בלא שום עיכוב. ועוד אם איתא דפרעו הלוה היה לו להודיע לעדים או להציל שטרו מיד המלוה, ואם לא עשה כן איהו דאפסיד אנפשיה. בשם הרשב"א </w:t>
      </w:r>
      <w:r w:rsidRPr="001D49D4">
        <w:rPr>
          <w:sz w:val="16"/>
          <w:szCs w:val="16"/>
          <w:rtl/>
        </w:rPr>
        <w:t>(עיין בחידו' כתובות כ. ד"ה כותב אדם)</w:t>
      </w:r>
      <w:r w:rsidRPr="001D49D4">
        <w:rPr>
          <w:rtl/>
        </w:rPr>
        <w:t xml:space="preserve"> שקיים סברת האומרים כן</w:t>
      </w:r>
      <w:r w:rsidRPr="001D49D4">
        <w:rPr>
          <w:vertAlign w:val="superscript"/>
          <w:rtl/>
        </w:rPr>
        <w:footnoteReference w:id="3587"/>
      </w:r>
      <w:r w:rsidRPr="001D49D4">
        <w:rPr>
          <w:rtl/>
        </w:rPr>
        <w:t>.</w:t>
      </w:r>
    </w:p>
    <w:p w14:paraId="487CA8E5" w14:textId="77777777" w:rsidR="001D49D4" w:rsidRPr="001D49D4" w:rsidRDefault="001D49D4" w:rsidP="0004348D">
      <w:pPr>
        <w:spacing w:before="360" w:after="240"/>
        <w:rPr>
          <w:rFonts w:ascii="Calibri" w:eastAsia="Calibri" w:hAnsi="Calibri" w:cs="Arial"/>
        </w:rPr>
      </w:pPr>
      <w:r w:rsidRPr="001D49D4">
        <w:rPr>
          <w:rFonts w:ascii="Calibri" w:eastAsia="Calibri" w:hAnsi="Calibri" w:cs="Arial"/>
          <w:b/>
          <w:bCs/>
          <w:rtl/>
        </w:rPr>
        <w:lastRenderedPageBreak/>
        <w:t>כתובות יח</w:t>
      </w:r>
      <w:r w:rsidRPr="001D49D4">
        <w:rPr>
          <w:rFonts w:ascii="Calibri" w:eastAsia="Calibri" w:hAnsi="Calibri" w:cs="Arial"/>
          <w:b/>
          <w:bCs/>
          <w:vertAlign w:val="superscript"/>
          <w:rtl/>
        </w:rPr>
        <w:footnoteReference w:id="3588"/>
      </w:r>
      <w:r w:rsidRPr="001D49D4">
        <w:rPr>
          <w:rFonts w:ascii="Calibri" w:eastAsia="Calibri" w:hAnsi="Calibri" w:cs="Arial"/>
          <w:b/>
          <w:bCs/>
          <w:rtl/>
        </w:rPr>
        <w:t xml:space="preserve"> ע"ב: </w:t>
      </w:r>
      <w:r w:rsidRPr="001D49D4">
        <w:rPr>
          <w:rFonts w:ascii="Calibri" w:eastAsia="Calibri" w:hAnsi="Calibri" w:cs="Arial"/>
          <w:u w:val="single"/>
          <w:rtl/>
        </w:rPr>
        <w:t>דאמר ר"ל:</w:t>
      </w:r>
      <w:r w:rsidRPr="001D49D4">
        <w:rPr>
          <w:rFonts w:ascii="Calibri" w:eastAsia="Calibri" w:hAnsi="Calibri" w:cs="Arial"/>
          <w:rtl/>
        </w:rPr>
        <w:t xml:space="preserve"> </w:t>
      </w:r>
      <w:r w:rsidRPr="001D49D4">
        <w:rPr>
          <w:rFonts w:ascii="Calibri" w:eastAsia="Calibri" w:hAnsi="Calibri" w:cs="Arial"/>
          <w:sz w:val="14"/>
          <w:szCs w:val="14"/>
          <w:rtl/>
        </w:rPr>
        <w:t xml:space="preserve">(יט.) </w:t>
      </w:r>
      <w:r w:rsidRPr="001D49D4">
        <w:rPr>
          <w:rFonts w:ascii="Calibri" w:eastAsia="Calibri" w:hAnsi="Calibri" w:cs="Arial"/>
          <w:rtl/>
        </w:rPr>
        <w:t xml:space="preserve">חזקה אין העדים חותמין על השטר אא"כ נעשה בגדול. </w:t>
      </w:r>
      <w:r w:rsidRPr="001D49D4">
        <w:rPr>
          <w:rFonts w:ascii="Calibri" w:eastAsia="Calibri" w:hAnsi="Calibri" w:cs="Arial"/>
          <w:sz w:val="16"/>
          <w:szCs w:val="16"/>
          <w:rtl/>
        </w:rPr>
        <w:t>(כלומר שהלוקח והמוכר היו גדולים, והוא הדין לשאר דברים שהשטר נפסל בהם שחזקה על העדים שעשו אותם כהוגן, כך כתב הרא"ש בפ"ב דגטין (סי' יב) בשם בהעי"ט (אות ק קיום נה ע"ד), ב"י)</w:t>
      </w:r>
    </w:p>
    <w:p w14:paraId="7168349A" w14:textId="77777777" w:rsidR="001D49D4" w:rsidRPr="001D49D4" w:rsidRDefault="001D49D4" w:rsidP="0004348D">
      <w:pPr>
        <w:spacing w:before="360" w:after="240"/>
        <w:rPr>
          <w:rFonts w:ascii="Calibri" w:eastAsia="Calibri" w:hAnsi="Calibri" w:cs="Arial"/>
          <w:u w:val="single"/>
          <w:rtl/>
        </w:rPr>
      </w:pPr>
      <w:r w:rsidRPr="001D49D4">
        <w:rPr>
          <w:rFonts w:ascii="Calibri" w:eastAsia="Calibri" w:hAnsi="Calibri" w:cs="Arial"/>
          <w:u w:val="single"/>
          <w:rtl/>
        </w:rPr>
        <w:t>שטר הבא לפני בית דין ועדים מעידים על חתימת העדים – האם מקיימים אותו:</w:t>
      </w:r>
    </w:p>
    <w:p w14:paraId="45B6E8DD" w14:textId="77777777" w:rsidR="001D49D4" w:rsidRPr="001D49D4" w:rsidRDefault="001D49D4" w:rsidP="0004348D">
      <w:pPr>
        <w:numPr>
          <w:ilvl w:val="0"/>
          <w:numId w:val="265"/>
        </w:numPr>
        <w:spacing w:before="360" w:after="240"/>
        <w:contextualSpacing/>
      </w:pPr>
      <w:r w:rsidRPr="001D49D4">
        <w:rPr>
          <w:rtl/>
        </w:rPr>
        <w:t xml:space="preserve">בהעי"ט </w:t>
      </w:r>
      <w:r w:rsidRPr="001D49D4">
        <w:rPr>
          <w:sz w:val="16"/>
          <w:szCs w:val="16"/>
          <w:rtl/>
        </w:rPr>
        <w:t>(ח"א מאמר ח לג., אות קו"ף קיום נה ע"ד)</w:t>
      </w:r>
      <w:r w:rsidRPr="001D49D4">
        <w:rPr>
          <w:rtl/>
        </w:rPr>
        <w:t xml:space="preserve"> טור ורי"ו </w:t>
      </w:r>
      <w:r w:rsidRPr="001D49D4">
        <w:rPr>
          <w:sz w:val="16"/>
          <w:szCs w:val="16"/>
          <w:rtl/>
        </w:rPr>
        <w:t>(נ"ד ח"ג כ.)</w:t>
      </w:r>
      <w:r w:rsidRPr="001D49D4">
        <w:rPr>
          <w:rtl/>
        </w:rPr>
        <w:t>- כל שטר הבא לפנינו שעדים מעידים על חתימת העדים - מקיימין אותו, שחזקה אין העדים חותמין על השטר אא"כ קראוהו ויודעים לחתום</w:t>
      </w:r>
      <w:r w:rsidRPr="001D49D4">
        <w:rPr>
          <w:sz w:val="16"/>
          <w:szCs w:val="16"/>
          <w:rtl/>
        </w:rPr>
        <w:t xml:space="preserve"> (ל' הטור)</w:t>
      </w:r>
      <w:r w:rsidRPr="001D49D4">
        <w:rPr>
          <w:rtl/>
        </w:rPr>
        <w:t xml:space="preserve">. </w:t>
      </w:r>
      <w:r w:rsidRPr="001D49D4">
        <w:rPr>
          <w:color w:val="E36C0A" w:themeColor="accent6" w:themeShade="BF"/>
          <w:rtl/>
        </w:rPr>
        <w:t>(וכ"פ בשו"ע)</w:t>
      </w:r>
    </w:p>
    <w:p w14:paraId="151035F0" w14:textId="77777777" w:rsidR="001D49D4" w:rsidRPr="001D49D4" w:rsidRDefault="001D49D4" w:rsidP="0004348D">
      <w:pPr>
        <w:spacing w:before="360" w:after="240"/>
        <w:ind w:left="360"/>
        <w:rPr>
          <w:rFonts w:ascii="Calibri" w:eastAsia="Calibri" w:hAnsi="Calibri" w:cs="Arial"/>
          <w:u w:val="dotted"/>
          <w:rtl/>
        </w:rPr>
      </w:pPr>
      <w:r w:rsidRPr="001D49D4">
        <w:rPr>
          <w:rFonts w:ascii="Calibri" w:eastAsia="Calibri" w:hAnsi="Calibri" w:cs="Arial"/>
          <w:u w:val="dotted"/>
          <w:rtl/>
        </w:rPr>
        <w:t>ומה הדין אם הדיינים יודעים בבירור שהעדים לא יודעים לקרוא:</w:t>
      </w:r>
    </w:p>
    <w:p w14:paraId="29F1EEE3" w14:textId="77777777" w:rsidR="001D49D4" w:rsidRPr="001D49D4" w:rsidRDefault="001D49D4" w:rsidP="0004348D">
      <w:pPr>
        <w:numPr>
          <w:ilvl w:val="0"/>
          <w:numId w:val="265"/>
        </w:numPr>
        <w:spacing w:before="360" w:after="240"/>
        <w:contextualSpacing/>
      </w:pPr>
      <w:r w:rsidRPr="001D49D4">
        <w:rPr>
          <w:rtl/>
        </w:rPr>
        <w:t xml:space="preserve">בהעי"ט </w:t>
      </w:r>
      <w:r w:rsidRPr="001D49D4">
        <w:rPr>
          <w:sz w:val="16"/>
          <w:szCs w:val="16"/>
          <w:rtl/>
        </w:rPr>
        <w:t>(שם)</w:t>
      </w:r>
      <w:r w:rsidRPr="001D49D4">
        <w:rPr>
          <w:rtl/>
        </w:rPr>
        <w:t xml:space="preserve"> טור ורי"ו </w:t>
      </w:r>
      <w:r w:rsidRPr="001D49D4">
        <w:rPr>
          <w:sz w:val="16"/>
          <w:szCs w:val="16"/>
          <w:rtl/>
        </w:rPr>
        <w:t>(שם)</w:t>
      </w:r>
      <w:r w:rsidRPr="001D49D4">
        <w:rPr>
          <w:rtl/>
        </w:rPr>
        <w:t>- כתבו הגאונים אי איתנהו לסהדי קמן וקים לן בהו דלא ידעי למיקרי אע"ג דאסהדו אחתימות ידייהו דייקינן בסהדותייהו על פה, אי מכווני אשטרא - מקיימין ליה, ואי אמרי 'אקרינא ליה למאן דידע למיקרי' - סמכינן עלייהו</w:t>
      </w:r>
      <w:r w:rsidRPr="001D49D4">
        <w:rPr>
          <w:vertAlign w:val="superscript"/>
          <w:rtl/>
        </w:rPr>
        <w:footnoteReference w:id="3589"/>
      </w:r>
      <w:r w:rsidRPr="001D49D4">
        <w:rPr>
          <w:sz w:val="16"/>
          <w:szCs w:val="16"/>
          <w:rtl/>
        </w:rPr>
        <w:t xml:space="preserve"> (ל' הטור)</w:t>
      </w:r>
      <w:r w:rsidRPr="001D49D4">
        <w:rPr>
          <w:rtl/>
        </w:rPr>
        <w:t xml:space="preserve">. </w:t>
      </w:r>
    </w:p>
    <w:p w14:paraId="416644DE" w14:textId="77777777" w:rsidR="001D49D4" w:rsidRPr="001D49D4" w:rsidRDefault="001D49D4" w:rsidP="0004348D">
      <w:pPr>
        <w:spacing w:before="360" w:after="240"/>
        <w:rPr>
          <w:rFonts w:ascii="Arial" w:eastAsia="Calibri" w:hAnsi="Arial" w:cs="Arial"/>
          <w:b/>
          <w:bCs/>
          <w:color w:val="000000"/>
          <w:sz w:val="28"/>
          <w:szCs w:val="28"/>
          <w:u w:val="single"/>
        </w:rPr>
      </w:pPr>
      <w:r w:rsidRPr="001D49D4">
        <w:rPr>
          <w:rFonts w:ascii="Arial" w:eastAsia="Calibri" w:hAnsi="Arial" w:cs="Arial"/>
          <w:b/>
          <w:bCs/>
          <w:color w:val="000000"/>
          <w:sz w:val="28"/>
          <w:szCs w:val="28"/>
          <w:u w:val="single"/>
          <w:rtl/>
        </w:rPr>
        <w:t>שו"ע:</w:t>
      </w:r>
    </w:p>
    <w:p w14:paraId="0B6CE0A7"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rtl/>
        </w:rPr>
        <w:t>מקום שנהגו שהסופר חותם על פי העד, שכותב 'פלוני בר פלוני חתם במסירת קולמוס', או שכתוב בו 'פלוני בר פלוני צוה לחתום', אם קבלו בני העיר עליהם לעשות עדותו כעדות העד, כשר</w:t>
      </w:r>
      <w:r w:rsidRPr="001D49D4">
        <w:rPr>
          <w:rFonts w:ascii="Calibri" w:eastAsia="Calibri" w:hAnsi="Calibri" w:cs="Arial"/>
          <w:vertAlign w:val="superscript"/>
          <w:rtl/>
        </w:rPr>
        <w:footnoteReference w:id="3590"/>
      </w:r>
      <w:r w:rsidRPr="001D49D4">
        <w:rPr>
          <w:rFonts w:ascii="Calibri" w:eastAsia="Calibri" w:hAnsi="Calibri" w:cs="Arial"/>
          <w:rtl/>
        </w:rPr>
        <w:t>. ואם לא קבלו עליהם, אינו כלום. כל שטר הבא לפנינו שעדים מעידים על חתימת העדים, מקיימים אותו, שחזקה אין העדים חותמים על השטר אלא אם כן קראוהו ויודעים לחתום</w:t>
      </w:r>
      <w:r w:rsidRPr="001D49D4">
        <w:rPr>
          <w:rFonts w:ascii="Calibri" w:eastAsia="Calibri" w:hAnsi="Calibri" w:cs="Arial"/>
          <w:vertAlign w:val="superscript"/>
          <w:rtl/>
        </w:rPr>
        <w:footnoteReference w:id="3591"/>
      </w:r>
      <w:r w:rsidRPr="001D49D4">
        <w:rPr>
          <w:rFonts w:ascii="Calibri" w:eastAsia="Calibri" w:hAnsi="Calibri" w:cs="Arial"/>
          <w:rtl/>
        </w:rPr>
        <w:t>. ואי איתנייהו לסהדי קמן וקים לן בהו דלא ידעי למקרי</w:t>
      </w:r>
      <w:r w:rsidRPr="001D49D4">
        <w:rPr>
          <w:rFonts w:ascii="Calibri" w:eastAsia="Calibri" w:hAnsi="Calibri" w:cs="Arial"/>
          <w:vertAlign w:val="superscript"/>
          <w:rtl/>
        </w:rPr>
        <w:footnoteReference w:id="3592"/>
      </w:r>
      <w:r w:rsidRPr="001D49D4">
        <w:rPr>
          <w:rFonts w:ascii="Calibri" w:eastAsia="Calibri" w:hAnsi="Calibri" w:cs="Arial"/>
          <w:rtl/>
        </w:rPr>
        <w:t>, אי אמרי 'אקרינן</w:t>
      </w:r>
      <w:r w:rsidRPr="001D49D4">
        <w:rPr>
          <w:rFonts w:ascii="Calibri" w:eastAsia="Calibri" w:hAnsi="Calibri" w:cs="Arial"/>
          <w:vertAlign w:val="superscript"/>
          <w:rtl/>
        </w:rPr>
        <w:footnoteReference w:id="3593"/>
      </w:r>
      <w:r w:rsidRPr="001D49D4">
        <w:rPr>
          <w:rFonts w:ascii="Calibri" w:eastAsia="Calibri" w:hAnsi="Calibri" w:cs="Arial"/>
          <w:rtl/>
        </w:rPr>
        <w:t xml:space="preserve"> למאן דידע למקרי' סמכינן עלייהו. </w:t>
      </w:r>
      <w:r w:rsidRPr="001D49D4">
        <w:rPr>
          <w:rFonts w:ascii="Calibri" w:eastAsia="Calibri" w:hAnsi="Calibri" w:cs="Arial"/>
          <w:sz w:val="18"/>
          <w:szCs w:val="18"/>
          <w:rtl/>
        </w:rPr>
        <w:t>[הגה] ואי לא אמרי הכי, דייקינן בסהדותייהו ע"פ, אי מכווני אשטרא</w:t>
      </w:r>
      <w:r w:rsidRPr="001D49D4">
        <w:rPr>
          <w:rFonts w:ascii="Calibri" w:eastAsia="Calibri" w:hAnsi="Calibri" w:cs="Arial"/>
          <w:sz w:val="18"/>
          <w:szCs w:val="18"/>
          <w:vertAlign w:val="superscript"/>
          <w:rtl/>
        </w:rPr>
        <w:footnoteReference w:id="3594"/>
      </w:r>
      <w:r w:rsidRPr="001D49D4">
        <w:rPr>
          <w:rFonts w:ascii="Calibri" w:eastAsia="Calibri" w:hAnsi="Calibri" w:cs="Arial"/>
          <w:sz w:val="18"/>
          <w:szCs w:val="18"/>
          <w:rtl/>
        </w:rPr>
        <w:t>, מקיימינן להו (טור).</w:t>
      </w:r>
    </w:p>
    <w:p w14:paraId="6AF31EA3" w14:textId="77777777" w:rsidR="001D49D4" w:rsidRPr="001D49D4" w:rsidRDefault="001D49D4" w:rsidP="0004348D">
      <w:pPr>
        <w:spacing w:before="360" w:after="240"/>
        <w:rPr>
          <w:rFonts w:ascii="Calibri" w:eastAsia="Calibri" w:hAnsi="Calibri" w:cs="Arial"/>
          <w:rtl/>
        </w:rPr>
      </w:pPr>
    </w:p>
    <w:p w14:paraId="0BEB475B" w14:textId="77777777" w:rsidR="001D49D4" w:rsidRPr="001D49D4" w:rsidRDefault="001D49D4" w:rsidP="0004348D">
      <w:pPr>
        <w:keepNext/>
        <w:keepLines/>
        <w:spacing w:before="360" w:after="240"/>
        <w:outlineLvl w:val="1"/>
        <w:rPr>
          <w:rFonts w:ascii="Cambria" w:eastAsia="Times New Roman" w:hAnsi="Cambria" w:cs="Arial"/>
          <w:bCs/>
          <w:color w:val="548DD4" w:themeColor="text2" w:themeTint="99"/>
          <w:sz w:val="26"/>
          <w:szCs w:val="26"/>
          <w:rtl/>
        </w:rPr>
      </w:pPr>
      <w:bookmarkStart w:id="481" w:name="_Toc24883916"/>
      <w:r w:rsidRPr="001D49D4">
        <w:rPr>
          <w:rFonts w:ascii="Cambria" w:eastAsia="Times New Roman" w:hAnsi="Cambria" w:cs="Arial"/>
          <w:bCs/>
          <w:color w:val="548DD4" w:themeColor="text2" w:themeTint="99"/>
          <w:sz w:val="26"/>
          <w:szCs w:val="26"/>
          <w:rtl/>
        </w:rPr>
        <w:t>סעיף ו: עדים שהרחיקו ב' שיטין מהכתב וחתמו.</w:t>
      </w:r>
      <w:bookmarkEnd w:id="481"/>
    </w:p>
    <w:p w14:paraId="5C1D3683"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b/>
          <w:bCs/>
          <w:rtl/>
        </w:rPr>
        <w:t xml:space="preserve">בבא בתרא </w:t>
      </w:r>
      <w:r w:rsidRPr="001D49D4">
        <w:rPr>
          <w:rFonts w:ascii="Calibri" w:eastAsia="Calibri" w:hAnsi="Calibri" w:cs="Arial"/>
          <w:b/>
          <w:bCs/>
          <w:sz w:val="16"/>
          <w:szCs w:val="16"/>
          <w:rtl/>
        </w:rPr>
        <w:t>(פרק גט פשוט)</w:t>
      </w:r>
      <w:r w:rsidRPr="001D49D4">
        <w:rPr>
          <w:rFonts w:ascii="Calibri" w:eastAsia="Calibri" w:hAnsi="Calibri" w:cs="Arial"/>
          <w:b/>
          <w:bCs/>
          <w:rtl/>
        </w:rPr>
        <w:t xml:space="preserve"> קסב</w:t>
      </w:r>
      <w:r w:rsidRPr="001D49D4">
        <w:rPr>
          <w:rFonts w:ascii="Calibri" w:eastAsia="Calibri" w:hAnsi="Calibri" w:cs="Arial"/>
          <w:b/>
          <w:bCs/>
          <w:vertAlign w:val="superscript"/>
          <w:rtl/>
        </w:rPr>
        <w:footnoteReference w:id="3595"/>
      </w:r>
      <w:r w:rsidRPr="001D49D4">
        <w:rPr>
          <w:rFonts w:ascii="Calibri" w:eastAsia="Calibri" w:hAnsi="Calibri" w:cs="Arial"/>
          <w:b/>
          <w:bCs/>
          <w:rtl/>
        </w:rPr>
        <w:t xml:space="preserve"> ע"ב: </w:t>
      </w:r>
      <w:r w:rsidRPr="001D49D4">
        <w:rPr>
          <w:rFonts w:ascii="Calibri" w:eastAsia="Calibri" w:hAnsi="Calibri" w:cs="Arial"/>
          <w:rtl/>
        </w:rPr>
        <w:t>ת"ש דתניא: הרחיק את העדים שני שיטין מן הכתב - פסול, פחות מכאן – כשר. היו ארבעה וחמשה עדים חתומין על השטר, ונמצא אחד מהן קרוב או פסול - תתקיים עדות בשאר. מסייע ליה לחזקיה, דאמר חזקיה: מלאהו בקרובים – כשר. ואל תתמה, שהרי אויר סוכה פוסל בשלשה, סכך פסול פוסל בארבעה....</w:t>
      </w:r>
      <w:r w:rsidRPr="001D49D4">
        <w:rPr>
          <w:rFonts w:ascii="Calibri" w:eastAsia="Calibri" w:hAnsi="Calibri" w:cs="Arial"/>
          <w:sz w:val="14"/>
          <w:szCs w:val="14"/>
          <w:rtl/>
        </w:rPr>
        <w:t xml:space="preserve"> (קסג.)</w:t>
      </w:r>
      <w:r w:rsidRPr="001D49D4">
        <w:rPr>
          <w:rFonts w:ascii="Calibri" w:eastAsia="Calibri" w:hAnsi="Calibri" w:cs="Arial"/>
          <w:rtl/>
        </w:rPr>
        <w:t xml:space="preserve"> </w:t>
      </w:r>
      <w:r w:rsidRPr="001D49D4">
        <w:rPr>
          <w:rFonts w:ascii="Calibri" w:eastAsia="Calibri" w:hAnsi="Calibri" w:cs="Arial"/>
          <w:u w:val="single"/>
          <w:rtl/>
        </w:rPr>
        <w:t>אמר רב</w:t>
      </w:r>
      <w:r w:rsidRPr="001D49D4">
        <w:rPr>
          <w:rFonts w:ascii="Calibri" w:eastAsia="Calibri" w:hAnsi="Calibri" w:cs="Arial"/>
          <w:rtl/>
        </w:rPr>
        <w:t xml:space="preserve">: לא שנו אלא בין עדים לכתב, אבל בין עדים לאשרתא - אפילו טובא נמי כשר. מאי שנא בין </w:t>
      </w:r>
      <w:r w:rsidRPr="001D49D4">
        <w:rPr>
          <w:rFonts w:ascii="Calibri" w:eastAsia="Calibri" w:hAnsi="Calibri" w:cs="Arial"/>
          <w:rtl/>
        </w:rPr>
        <w:lastRenderedPageBreak/>
        <w:t>עדים לכתב? דלמא מזייף וכתב מאי דבעי וחתימי סהדי, בין עדים לאשרתא נמי מזייף וכתב מאי דבעי וחתימי סהדי! דמטייט ליה. א"ה, בין עדים לשטר נמי מטייט ליה! אמרי: סהדי אטיוטא הוא דחתימי</w:t>
      </w:r>
      <w:r w:rsidRPr="001D49D4">
        <w:rPr>
          <w:rFonts w:ascii="Calibri" w:eastAsia="Calibri" w:hAnsi="Calibri" w:cs="Arial"/>
          <w:vertAlign w:val="superscript"/>
          <w:rtl/>
        </w:rPr>
        <w:footnoteReference w:id="3596"/>
      </w:r>
      <w:r w:rsidRPr="001D49D4">
        <w:rPr>
          <w:rFonts w:ascii="Calibri" w:eastAsia="Calibri" w:hAnsi="Calibri" w:cs="Arial"/>
          <w:rtl/>
        </w:rPr>
        <w:t xml:space="preserve">. </w:t>
      </w:r>
    </w:p>
    <w:p w14:paraId="67C1323A"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u w:val="single"/>
          <w:rtl/>
        </w:rPr>
        <w:t>עדים שהרחיקו ב' שיטין מהכתב וחתמו:</w:t>
      </w:r>
    </w:p>
    <w:p w14:paraId="79B0D7D3" w14:textId="77777777" w:rsidR="001D49D4" w:rsidRPr="001D49D4" w:rsidRDefault="001D49D4" w:rsidP="0004348D">
      <w:pPr>
        <w:numPr>
          <w:ilvl w:val="0"/>
          <w:numId w:val="265"/>
        </w:numPr>
        <w:spacing w:before="360" w:after="240"/>
        <w:contextualSpacing/>
        <w:rPr>
          <w:rtl/>
        </w:rPr>
      </w:pPr>
      <w:r w:rsidRPr="001D49D4">
        <w:rPr>
          <w:rtl/>
        </w:rPr>
        <w:t>טור- ידקדקו העדים שלא ירחיקו מן הכתב רוחב שני שיטין, ואם הרחיקו ב' שיטין – פסול, אפילו כתב שריר וקיים, אפילו ידוע שלא הוסיף ולא זייף בו שום דבר</w:t>
      </w:r>
      <w:r w:rsidRPr="001D49D4">
        <w:rPr>
          <w:vertAlign w:val="superscript"/>
          <w:rtl/>
        </w:rPr>
        <w:footnoteReference w:id="3597"/>
      </w:r>
      <w:r w:rsidRPr="001D49D4">
        <w:rPr>
          <w:rtl/>
        </w:rPr>
        <w:t xml:space="preserve">. ואפי' טייטוהו בדיו פסול, שלא יאמרו חתמו על הטיוטא ולא על עיקר השטר... פחות מכאן שלא הרחיקו ב' שיטין כשר. </w:t>
      </w:r>
      <w:r w:rsidRPr="001D49D4">
        <w:rPr>
          <w:color w:val="E36C0A" w:themeColor="accent6" w:themeShade="BF"/>
          <w:rtl/>
        </w:rPr>
        <w:t>(וכ"פ בשו"ע)</w:t>
      </w:r>
    </w:p>
    <w:p w14:paraId="1054A40E" w14:textId="77777777" w:rsidR="001D49D4" w:rsidRPr="001D49D4" w:rsidRDefault="001D49D4" w:rsidP="0004348D">
      <w:pPr>
        <w:spacing w:before="360" w:after="240"/>
        <w:ind w:left="360"/>
        <w:rPr>
          <w:rFonts w:ascii="Calibri" w:eastAsia="Calibri" w:hAnsi="Calibri" w:cs="Arial"/>
          <w:u w:val="dotted"/>
        </w:rPr>
      </w:pPr>
      <w:r w:rsidRPr="001D49D4">
        <w:rPr>
          <w:rFonts w:ascii="Calibri" w:eastAsia="Calibri" w:hAnsi="Calibri" w:cs="Arial"/>
          <w:u w:val="dotted"/>
          <w:rtl/>
        </w:rPr>
        <w:t xml:space="preserve">ומה הדין אם העדים מעידים שלא הוסיף ולא זייף בו שום דבר: </w:t>
      </w:r>
    </w:p>
    <w:p w14:paraId="1A265DDE" w14:textId="77777777" w:rsidR="001D49D4" w:rsidRPr="001D49D4" w:rsidRDefault="001D49D4" w:rsidP="0004348D">
      <w:pPr>
        <w:numPr>
          <w:ilvl w:val="0"/>
          <w:numId w:val="265"/>
        </w:numPr>
        <w:spacing w:before="360" w:after="240"/>
        <w:contextualSpacing/>
        <w:rPr>
          <w:rtl/>
        </w:rPr>
      </w:pPr>
      <w:r w:rsidRPr="001D49D4">
        <w:rPr>
          <w:rtl/>
        </w:rPr>
        <w:t xml:space="preserve">הה"מ </w:t>
      </w:r>
      <w:r w:rsidRPr="001D49D4">
        <w:rPr>
          <w:sz w:val="16"/>
          <w:szCs w:val="16"/>
          <w:rtl/>
        </w:rPr>
        <w:t>(הל' מלוה ולוה פכ"ז ה"ד)</w:t>
      </w:r>
      <w:r w:rsidRPr="001D49D4">
        <w:rPr>
          <w:rtl/>
        </w:rPr>
        <w:t>- כתבו המפרשים שאפילו באו העדים והעידו על מה שנכתב למעלה ולא נוסף בו כלום – שפסול, לפי שכל שלא נעשה כתיקון חכמים אינו שטר</w:t>
      </w:r>
      <w:r w:rsidRPr="001D49D4">
        <w:rPr>
          <w:vertAlign w:val="superscript"/>
          <w:rtl/>
        </w:rPr>
        <w:footnoteReference w:id="3598"/>
      </w:r>
      <w:r w:rsidRPr="001D49D4">
        <w:rPr>
          <w:rtl/>
        </w:rPr>
        <w:t xml:space="preserve">. </w:t>
      </w:r>
    </w:p>
    <w:p w14:paraId="4CEBCAA4" w14:textId="77777777" w:rsidR="001D49D4" w:rsidRPr="001D49D4" w:rsidRDefault="001D49D4" w:rsidP="0004348D">
      <w:pPr>
        <w:spacing w:before="360" w:after="240"/>
        <w:rPr>
          <w:rFonts w:ascii="Arial" w:eastAsia="Calibri" w:hAnsi="Arial" w:cs="Arial"/>
          <w:b/>
          <w:bCs/>
          <w:color w:val="000000"/>
          <w:sz w:val="28"/>
          <w:szCs w:val="28"/>
          <w:u w:val="single"/>
          <w:rtl/>
        </w:rPr>
      </w:pPr>
      <w:r w:rsidRPr="001D49D4">
        <w:rPr>
          <w:rFonts w:ascii="Arial" w:eastAsia="Calibri" w:hAnsi="Arial" w:cs="Arial"/>
          <w:b/>
          <w:bCs/>
          <w:color w:val="000000"/>
          <w:sz w:val="28"/>
          <w:szCs w:val="28"/>
          <w:u w:val="single"/>
          <w:rtl/>
        </w:rPr>
        <w:t>שו"ע:</w:t>
      </w:r>
    </w:p>
    <w:p w14:paraId="0CC9C9E0"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rtl/>
        </w:rPr>
        <w:t>ידקדקו העדים שלא ירחיקו מהכתב רוחב שני שיטין, ואם הרחיקו שני שיטין פסול</w:t>
      </w:r>
      <w:r w:rsidRPr="001D49D4">
        <w:rPr>
          <w:rFonts w:ascii="Calibri" w:eastAsia="Calibri" w:hAnsi="Calibri" w:cs="Arial"/>
          <w:vertAlign w:val="superscript"/>
          <w:rtl/>
        </w:rPr>
        <w:footnoteReference w:id="3599"/>
      </w:r>
      <w:r w:rsidRPr="001D49D4">
        <w:rPr>
          <w:rFonts w:ascii="Calibri" w:eastAsia="Calibri" w:hAnsi="Calibri" w:cs="Arial"/>
          <w:rtl/>
        </w:rPr>
        <w:t xml:space="preserve"> אפילו כתב שריר וקיים, אפילו ידוע שלא הוסיף ולא זייף בו שום דבר. ואפילו טייטוהו בדיו</w:t>
      </w:r>
      <w:r w:rsidRPr="001D49D4">
        <w:rPr>
          <w:rFonts w:ascii="Calibri" w:eastAsia="Calibri" w:hAnsi="Calibri" w:cs="Arial"/>
          <w:vertAlign w:val="superscript"/>
          <w:rtl/>
        </w:rPr>
        <w:footnoteReference w:id="3600"/>
      </w:r>
      <w:r w:rsidRPr="001D49D4">
        <w:rPr>
          <w:rFonts w:ascii="Calibri" w:eastAsia="Calibri" w:hAnsi="Calibri" w:cs="Arial"/>
          <w:rtl/>
        </w:rPr>
        <w:t xml:space="preserve"> פסול, שלא יאמרו חתמו על הטיוטא ולא על עיקר השטר. </w:t>
      </w:r>
    </w:p>
    <w:p w14:paraId="3452571D" w14:textId="77777777" w:rsidR="001D49D4" w:rsidRPr="001D49D4" w:rsidRDefault="001D49D4" w:rsidP="0004348D">
      <w:pPr>
        <w:spacing w:before="360" w:after="240"/>
        <w:rPr>
          <w:rFonts w:ascii="Calibri" w:eastAsia="Calibri" w:hAnsi="Calibri" w:cs="Arial"/>
          <w:rtl/>
        </w:rPr>
      </w:pPr>
    </w:p>
    <w:p w14:paraId="55E4CAFA" w14:textId="77777777" w:rsidR="001D49D4" w:rsidRPr="001D49D4" w:rsidRDefault="001D49D4" w:rsidP="0004348D">
      <w:pPr>
        <w:keepNext/>
        <w:keepLines/>
        <w:spacing w:before="360" w:after="240"/>
        <w:outlineLvl w:val="1"/>
        <w:rPr>
          <w:rFonts w:ascii="Cambria" w:eastAsia="Times New Roman" w:hAnsi="Cambria" w:cs="Arial"/>
          <w:bCs/>
          <w:color w:val="548DD4" w:themeColor="text2" w:themeTint="99"/>
          <w:sz w:val="26"/>
          <w:szCs w:val="26"/>
          <w:rtl/>
        </w:rPr>
      </w:pPr>
      <w:bookmarkStart w:id="482" w:name="_Toc24883917"/>
      <w:r w:rsidRPr="001D49D4">
        <w:rPr>
          <w:rFonts w:ascii="Cambria" w:eastAsia="Times New Roman" w:hAnsi="Cambria" w:cs="Arial"/>
          <w:bCs/>
          <w:color w:val="548DD4" w:themeColor="text2" w:themeTint="99"/>
          <w:sz w:val="26"/>
          <w:szCs w:val="26"/>
          <w:rtl/>
        </w:rPr>
        <w:t>סעיף ז: עדים שהרחיקו ב' שיטין מהכתב וחתמו – האם הלוה יכול לטעון להד"מ.</w:t>
      </w:r>
      <w:bookmarkEnd w:id="482"/>
    </w:p>
    <w:p w14:paraId="454BB1AF" w14:textId="77777777" w:rsidR="001D49D4" w:rsidRPr="001D49D4" w:rsidRDefault="001D49D4" w:rsidP="0004348D">
      <w:pPr>
        <w:spacing w:before="360" w:after="240"/>
        <w:rPr>
          <w:rFonts w:ascii="Calibri" w:eastAsia="Calibri" w:hAnsi="Calibri" w:cs="Arial"/>
          <w:u w:val="single"/>
          <w:rtl/>
        </w:rPr>
      </w:pPr>
      <w:r w:rsidRPr="001D49D4">
        <w:rPr>
          <w:rFonts w:ascii="Calibri" w:eastAsia="Calibri" w:hAnsi="Calibri" w:cs="Arial"/>
          <w:u w:val="single"/>
          <w:rtl/>
        </w:rPr>
        <w:t>כשהרחיקו העדים מן הכתב רוחב ב' שיטין – האם הלוה יכול לטעון להד"ם:</w:t>
      </w:r>
    </w:p>
    <w:p w14:paraId="03EC70C0" w14:textId="77777777" w:rsidR="001D49D4" w:rsidRPr="001D49D4" w:rsidRDefault="001D49D4" w:rsidP="0004348D">
      <w:pPr>
        <w:numPr>
          <w:ilvl w:val="0"/>
          <w:numId w:val="265"/>
        </w:numPr>
        <w:spacing w:before="360" w:after="240"/>
        <w:contextualSpacing/>
      </w:pPr>
      <w:r w:rsidRPr="001D49D4">
        <w:rPr>
          <w:rtl/>
        </w:rPr>
        <w:t xml:space="preserve">ה"ר יונה </w:t>
      </w:r>
      <w:r w:rsidRPr="001D49D4">
        <w:rPr>
          <w:sz w:val="16"/>
          <w:szCs w:val="16"/>
          <w:rtl/>
        </w:rPr>
        <w:t xml:space="preserve">(עליות דר"י ב"ב קסב: ד"ה ונראה לי, כ"כ הטור בשמו) </w:t>
      </w:r>
      <w:r w:rsidRPr="001D49D4">
        <w:rPr>
          <w:rtl/>
        </w:rPr>
        <w:t>וטור- נראה לי דהא דתניא הרחיק שני שיטין פסול, דוקא למגבי ממשעבדי, א"נ מבני חרי היכא דקטעין פרעתי, דלאו שטרא הוא כדי שיכול מלוה לטעון שטרך בידי מאי בעי, אבל ודאי אינו יכול לטעון להד"ם, כיון שניתנה עדות זו להכשר אילו מילאו בקרובים בו ביום אע"פ שנחתם כבר</w:t>
      </w:r>
      <w:r w:rsidRPr="001D49D4">
        <w:rPr>
          <w:vertAlign w:val="superscript"/>
          <w:rtl/>
        </w:rPr>
        <w:footnoteReference w:id="3601"/>
      </w:r>
      <w:r w:rsidRPr="001D49D4">
        <w:rPr>
          <w:rtl/>
        </w:rPr>
        <w:t xml:space="preserve"> </w:t>
      </w:r>
      <w:r w:rsidRPr="001D49D4">
        <w:rPr>
          <w:sz w:val="16"/>
          <w:szCs w:val="16"/>
          <w:rtl/>
        </w:rPr>
        <w:t>(ל' ה"ר יונה)</w:t>
      </w:r>
      <w:r w:rsidRPr="001D49D4">
        <w:rPr>
          <w:rtl/>
        </w:rPr>
        <w:t>.</w:t>
      </w:r>
      <w:r w:rsidRPr="001D49D4">
        <w:rPr>
          <w:color w:val="E36C0A" w:themeColor="accent6" w:themeShade="BF"/>
          <w:rtl/>
        </w:rPr>
        <w:t xml:space="preserve"> (וכ"פ בשו"ע)</w:t>
      </w:r>
    </w:p>
    <w:p w14:paraId="20AE37FD" w14:textId="77777777" w:rsidR="001D49D4" w:rsidRPr="001D49D4" w:rsidRDefault="001D49D4" w:rsidP="0004348D">
      <w:pPr>
        <w:spacing w:before="360" w:after="240"/>
        <w:rPr>
          <w:rFonts w:ascii="Arial" w:eastAsia="Calibri" w:hAnsi="Arial" w:cs="Arial"/>
          <w:b/>
          <w:bCs/>
          <w:color w:val="000000"/>
          <w:sz w:val="28"/>
          <w:szCs w:val="28"/>
          <w:u w:val="single"/>
          <w:rtl/>
        </w:rPr>
      </w:pPr>
      <w:r w:rsidRPr="001D49D4">
        <w:rPr>
          <w:rFonts w:ascii="Arial" w:eastAsia="Calibri" w:hAnsi="Arial" w:cs="Arial"/>
          <w:b/>
          <w:bCs/>
          <w:color w:val="000000"/>
          <w:sz w:val="28"/>
          <w:szCs w:val="28"/>
          <w:u w:val="single"/>
          <w:rtl/>
        </w:rPr>
        <w:lastRenderedPageBreak/>
        <w:t>שו"ע:</w:t>
      </w:r>
    </w:p>
    <w:p w14:paraId="56A6AE44"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rtl/>
        </w:rPr>
        <w:t>הא דאמרינן שאם הרחיקו ב' שיטין פסול, היינו למגבי ביה ממשעבדי, אי נמי מבני חרי אם הלוה טוען פרעתי, אבל אינו יכול לטעון לא היו דברים מעולם</w:t>
      </w:r>
      <w:r w:rsidRPr="001D49D4">
        <w:rPr>
          <w:rFonts w:ascii="Calibri" w:eastAsia="Calibri" w:hAnsi="Calibri" w:cs="Arial"/>
          <w:vertAlign w:val="superscript"/>
          <w:rtl/>
        </w:rPr>
        <w:footnoteReference w:id="3602"/>
      </w:r>
      <w:r w:rsidRPr="001D49D4">
        <w:rPr>
          <w:rFonts w:ascii="Calibri" w:eastAsia="Calibri" w:hAnsi="Calibri" w:cs="Arial"/>
          <w:rtl/>
        </w:rPr>
        <w:t xml:space="preserve">. </w:t>
      </w:r>
    </w:p>
    <w:p w14:paraId="537839DF" w14:textId="77777777" w:rsidR="001D49D4" w:rsidRPr="001D49D4" w:rsidRDefault="001D49D4" w:rsidP="0004348D">
      <w:pPr>
        <w:spacing w:before="360" w:after="240"/>
        <w:rPr>
          <w:rFonts w:ascii="Calibri" w:eastAsia="Calibri" w:hAnsi="Calibri" w:cs="Arial"/>
          <w:rtl/>
        </w:rPr>
      </w:pPr>
    </w:p>
    <w:p w14:paraId="465111AE" w14:textId="77777777" w:rsidR="001D49D4" w:rsidRPr="001D49D4" w:rsidRDefault="001D49D4" w:rsidP="0004348D">
      <w:pPr>
        <w:keepNext/>
        <w:keepLines/>
        <w:spacing w:before="360" w:after="240"/>
        <w:outlineLvl w:val="1"/>
        <w:rPr>
          <w:rFonts w:ascii="Cambria" w:eastAsia="Times New Roman" w:hAnsi="Cambria" w:cs="Arial"/>
          <w:bCs/>
          <w:color w:val="548DD4" w:themeColor="text2" w:themeTint="99"/>
          <w:sz w:val="26"/>
          <w:szCs w:val="26"/>
          <w:rtl/>
        </w:rPr>
      </w:pPr>
      <w:bookmarkStart w:id="483" w:name="_Toc24883918"/>
      <w:r w:rsidRPr="001D49D4">
        <w:rPr>
          <w:rFonts w:ascii="Cambria" w:eastAsia="Times New Roman" w:hAnsi="Cambria" w:cs="Arial"/>
          <w:bCs/>
          <w:color w:val="548DD4" w:themeColor="text2" w:themeTint="99"/>
          <w:sz w:val="26"/>
          <w:szCs w:val="26"/>
          <w:rtl/>
        </w:rPr>
        <w:t>סעיף ח: כיצד משערין ב' שיטין.</w:t>
      </w:r>
      <w:bookmarkEnd w:id="483"/>
    </w:p>
    <w:p w14:paraId="2F2008BE"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b/>
          <w:bCs/>
          <w:rtl/>
        </w:rPr>
        <w:t xml:space="preserve">בבא בתרא </w:t>
      </w:r>
      <w:r w:rsidRPr="001D49D4">
        <w:rPr>
          <w:rFonts w:ascii="Calibri" w:eastAsia="Calibri" w:hAnsi="Calibri" w:cs="Arial"/>
          <w:b/>
          <w:bCs/>
          <w:sz w:val="16"/>
          <w:szCs w:val="16"/>
          <w:rtl/>
        </w:rPr>
        <w:t>(פרק גט פשוט)</w:t>
      </w:r>
      <w:r w:rsidRPr="001D49D4">
        <w:rPr>
          <w:rFonts w:ascii="Calibri" w:eastAsia="Calibri" w:hAnsi="Calibri" w:cs="Arial"/>
          <w:b/>
          <w:bCs/>
          <w:rtl/>
        </w:rPr>
        <w:t xml:space="preserve"> קסג</w:t>
      </w:r>
      <w:r w:rsidRPr="001D49D4">
        <w:rPr>
          <w:rFonts w:ascii="Calibri" w:eastAsia="Calibri" w:hAnsi="Calibri" w:cs="Arial"/>
          <w:b/>
          <w:bCs/>
          <w:vertAlign w:val="superscript"/>
          <w:rtl/>
        </w:rPr>
        <w:footnoteReference w:id="3603"/>
      </w:r>
      <w:r w:rsidRPr="001D49D4">
        <w:rPr>
          <w:rFonts w:ascii="Calibri" w:eastAsia="Calibri" w:hAnsi="Calibri" w:cs="Arial"/>
          <w:b/>
          <w:bCs/>
          <w:rtl/>
        </w:rPr>
        <w:t xml:space="preserve"> ע"א: </w:t>
      </w:r>
      <w:r w:rsidRPr="001D49D4">
        <w:rPr>
          <w:rFonts w:ascii="Calibri" w:eastAsia="Calibri" w:hAnsi="Calibri" w:cs="Arial"/>
          <w:u w:val="single"/>
          <w:rtl/>
        </w:rPr>
        <w:t>רבי שבתי אמר משמיה דחזקיה</w:t>
      </w:r>
      <w:r w:rsidRPr="001D49D4">
        <w:rPr>
          <w:rFonts w:ascii="Calibri" w:eastAsia="Calibri" w:hAnsi="Calibri" w:cs="Arial"/>
          <w:rtl/>
        </w:rPr>
        <w:t xml:space="preserve">: שני שיטין שאמרו - בכתב ידי עדים ולא כתב ידי סופר. מ"ט? דכל המזייף, לאו לגבי ספרא אזיל ומזייף. </w:t>
      </w:r>
    </w:p>
    <w:p w14:paraId="7AFC3444"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u w:val="single"/>
          <w:rtl/>
        </w:rPr>
        <w:t>כיצד משערין ב' שיטין אלו:</w:t>
      </w:r>
    </w:p>
    <w:p w14:paraId="386E0D57" w14:textId="77777777" w:rsidR="001D49D4" w:rsidRPr="001D49D4" w:rsidRDefault="001D49D4" w:rsidP="0004348D">
      <w:pPr>
        <w:numPr>
          <w:ilvl w:val="0"/>
          <w:numId w:val="265"/>
        </w:numPr>
        <w:spacing w:before="360" w:after="240"/>
        <w:contextualSpacing/>
        <w:rPr>
          <w:rtl/>
        </w:rPr>
      </w:pPr>
      <w:r w:rsidRPr="001D49D4">
        <w:rPr>
          <w:rtl/>
        </w:rPr>
        <w:t>טור- ב' שיטין אלו משערין בכתיבת ידי עדים שהיא גסה ולא בכתיבת יד סופר שכל המזייף אינו הולך אצל סופר.</w:t>
      </w:r>
      <w:r w:rsidRPr="001D49D4">
        <w:rPr>
          <w:color w:val="E36C0A" w:themeColor="accent6" w:themeShade="BF"/>
          <w:rtl/>
        </w:rPr>
        <w:t xml:space="preserve"> (וכ"פ בשו"ע)</w:t>
      </w:r>
    </w:p>
    <w:p w14:paraId="7102872A" w14:textId="77777777" w:rsidR="001D49D4" w:rsidRPr="001D49D4" w:rsidRDefault="001D49D4" w:rsidP="0004348D">
      <w:pPr>
        <w:spacing w:before="360" w:after="240"/>
        <w:ind w:left="360"/>
        <w:rPr>
          <w:rFonts w:ascii="Calibri" w:eastAsia="Calibri" w:hAnsi="Calibri" w:cs="Arial"/>
          <w:u w:val="dotted"/>
          <w:rtl/>
        </w:rPr>
      </w:pPr>
      <w:r w:rsidRPr="001D49D4">
        <w:rPr>
          <w:rFonts w:ascii="Calibri" w:eastAsia="Calibri" w:hAnsi="Calibri" w:cs="Arial"/>
          <w:u w:val="dotted"/>
          <w:rtl/>
        </w:rPr>
        <w:t>כתב ידי העדים – כיצד:</w:t>
      </w:r>
    </w:p>
    <w:p w14:paraId="090837D1" w14:textId="77777777" w:rsidR="001D49D4" w:rsidRPr="001D49D4" w:rsidRDefault="001D49D4" w:rsidP="0004348D">
      <w:pPr>
        <w:numPr>
          <w:ilvl w:val="0"/>
          <w:numId w:val="265"/>
        </w:numPr>
        <w:spacing w:before="360" w:after="240"/>
        <w:contextualSpacing/>
      </w:pPr>
      <w:r w:rsidRPr="001D49D4">
        <w:rPr>
          <w:rtl/>
        </w:rPr>
        <w:t xml:space="preserve">רמב"ן </w:t>
      </w:r>
      <w:r w:rsidRPr="001D49D4">
        <w:rPr>
          <w:sz w:val="16"/>
          <w:szCs w:val="16"/>
          <w:rtl/>
        </w:rPr>
        <w:t>(קסג. ד"ה כגון, הביאו הה"מ)</w:t>
      </w:r>
      <w:r w:rsidRPr="001D49D4">
        <w:rPr>
          <w:rtl/>
        </w:rPr>
        <w:t>- לא שחתמו העדים גס ביותר בכוונה, אלא לומר לך שאם חתמו בקולמוסו של סופר ומפני שלא הורגלו בכתיבה חתמו יותר גס מן הסופר - משערין בהם</w:t>
      </w:r>
      <w:r w:rsidRPr="001D49D4">
        <w:rPr>
          <w:vertAlign w:val="superscript"/>
          <w:rtl/>
        </w:rPr>
        <w:footnoteReference w:id="3604"/>
      </w:r>
      <w:r w:rsidRPr="001D49D4">
        <w:rPr>
          <w:rtl/>
        </w:rPr>
        <w:t xml:space="preserve">. </w:t>
      </w:r>
    </w:p>
    <w:p w14:paraId="1B521396" w14:textId="77777777" w:rsidR="001D49D4" w:rsidRPr="001D49D4" w:rsidRDefault="001D49D4" w:rsidP="0004348D">
      <w:pPr>
        <w:numPr>
          <w:ilvl w:val="0"/>
          <w:numId w:val="265"/>
        </w:numPr>
        <w:spacing w:before="360" w:after="240"/>
        <w:contextualSpacing/>
      </w:pPr>
      <w:r w:rsidRPr="001D49D4">
        <w:rPr>
          <w:rtl/>
        </w:rPr>
        <w:t xml:space="preserve">הה"מ </w:t>
      </w:r>
      <w:r w:rsidRPr="001D49D4">
        <w:rPr>
          <w:sz w:val="16"/>
          <w:szCs w:val="16"/>
          <w:rtl/>
        </w:rPr>
        <w:t>(הל' מלוה ולוה פכ"ז ה"ד ד"ה שתי שטין)</w:t>
      </w:r>
      <w:r w:rsidRPr="001D49D4">
        <w:rPr>
          <w:rtl/>
        </w:rPr>
        <w:t>- אני אומר בדרך כלל דלאו אחר כתב אלו העדים ולא אחר כתב זה הסופר נלך, אלא אחר כתב ידי עדים דעלמא שאינן רגילין לאמן ידיהם כמו הסופרים ועושין כתיבה גסה מן הסופר, וכן עיקר</w:t>
      </w:r>
      <w:r w:rsidRPr="001D49D4">
        <w:rPr>
          <w:vertAlign w:val="superscript"/>
          <w:rtl/>
        </w:rPr>
        <w:footnoteReference w:id="3605"/>
      </w:r>
      <w:r w:rsidRPr="001D49D4">
        <w:rPr>
          <w:rtl/>
        </w:rPr>
        <w:t>.</w:t>
      </w:r>
    </w:p>
    <w:p w14:paraId="36C61FFC" w14:textId="77777777" w:rsidR="001D49D4" w:rsidRPr="001D49D4" w:rsidRDefault="001D49D4" w:rsidP="0004348D">
      <w:pPr>
        <w:spacing w:before="360" w:after="240"/>
        <w:rPr>
          <w:rFonts w:ascii="Arial" w:eastAsia="Calibri" w:hAnsi="Arial" w:cs="Arial"/>
          <w:b/>
          <w:bCs/>
          <w:color w:val="000000"/>
          <w:sz w:val="28"/>
          <w:szCs w:val="28"/>
          <w:u w:val="single"/>
        </w:rPr>
      </w:pPr>
      <w:r w:rsidRPr="001D49D4">
        <w:rPr>
          <w:rFonts w:ascii="Arial" w:eastAsia="Calibri" w:hAnsi="Arial" w:cs="Arial"/>
          <w:b/>
          <w:bCs/>
          <w:color w:val="000000"/>
          <w:sz w:val="28"/>
          <w:szCs w:val="28"/>
          <w:u w:val="single"/>
          <w:rtl/>
        </w:rPr>
        <w:t>שו"ע:</w:t>
      </w:r>
    </w:p>
    <w:p w14:paraId="69C5CCC1"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rtl/>
        </w:rPr>
        <w:t>שני שיטין שאמרו, בכתב ידי עדים, שהיא גסה, ולא ידי סופר, שכל המזייף אינו הולך אצל הסופר</w:t>
      </w:r>
      <w:r w:rsidRPr="001D49D4">
        <w:rPr>
          <w:rFonts w:ascii="Calibri" w:eastAsia="Calibri" w:hAnsi="Calibri" w:cs="Arial"/>
          <w:vertAlign w:val="superscript"/>
          <w:rtl/>
        </w:rPr>
        <w:footnoteReference w:id="3606"/>
      </w:r>
      <w:r w:rsidRPr="001D49D4">
        <w:rPr>
          <w:rFonts w:ascii="Calibri" w:eastAsia="Calibri" w:hAnsi="Calibri" w:cs="Arial"/>
          <w:rtl/>
        </w:rPr>
        <w:t xml:space="preserve">. </w:t>
      </w:r>
    </w:p>
    <w:p w14:paraId="644CE985" w14:textId="77777777" w:rsidR="001D49D4" w:rsidRPr="001D49D4" w:rsidRDefault="001D49D4" w:rsidP="0004348D">
      <w:pPr>
        <w:spacing w:before="360" w:after="240"/>
        <w:rPr>
          <w:rFonts w:ascii="Calibri" w:eastAsia="Calibri" w:hAnsi="Calibri" w:cs="Arial"/>
          <w:rtl/>
        </w:rPr>
      </w:pPr>
    </w:p>
    <w:p w14:paraId="75A7723F" w14:textId="77777777" w:rsidR="001D49D4" w:rsidRPr="001D49D4" w:rsidRDefault="001D49D4" w:rsidP="0004348D">
      <w:pPr>
        <w:keepNext/>
        <w:keepLines/>
        <w:spacing w:before="360" w:after="240"/>
        <w:outlineLvl w:val="1"/>
        <w:rPr>
          <w:rFonts w:ascii="Cambria" w:eastAsia="Times New Roman" w:hAnsi="Cambria" w:cs="Arial"/>
          <w:bCs/>
          <w:color w:val="548DD4" w:themeColor="text2" w:themeTint="99"/>
          <w:sz w:val="26"/>
          <w:szCs w:val="26"/>
          <w:rtl/>
        </w:rPr>
      </w:pPr>
      <w:bookmarkStart w:id="484" w:name="_Toc24883919"/>
      <w:r w:rsidRPr="001D49D4">
        <w:rPr>
          <w:rFonts w:ascii="Cambria" w:eastAsia="Times New Roman" w:hAnsi="Cambria" w:cs="Arial"/>
          <w:bCs/>
          <w:color w:val="548DD4" w:themeColor="text2" w:themeTint="99"/>
          <w:sz w:val="26"/>
          <w:szCs w:val="26"/>
          <w:rtl/>
        </w:rPr>
        <w:t>סעיף ט: כמה אוירים מחשבים בב' שיטין אלו.</w:t>
      </w:r>
      <w:bookmarkEnd w:id="484"/>
    </w:p>
    <w:p w14:paraId="33D6E069"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b/>
          <w:bCs/>
          <w:rtl/>
        </w:rPr>
        <w:t xml:space="preserve">בבא בתרא </w:t>
      </w:r>
      <w:r w:rsidRPr="001D49D4">
        <w:rPr>
          <w:rFonts w:ascii="Calibri" w:eastAsia="Calibri" w:hAnsi="Calibri" w:cs="Arial"/>
          <w:b/>
          <w:bCs/>
          <w:sz w:val="16"/>
          <w:szCs w:val="16"/>
          <w:rtl/>
        </w:rPr>
        <w:t>(פרק גט פשוט)</w:t>
      </w:r>
      <w:r w:rsidRPr="001D49D4">
        <w:rPr>
          <w:rFonts w:ascii="Calibri" w:eastAsia="Calibri" w:hAnsi="Calibri" w:cs="Arial"/>
          <w:b/>
          <w:bCs/>
          <w:rtl/>
        </w:rPr>
        <w:t xml:space="preserve"> קסב</w:t>
      </w:r>
      <w:r w:rsidRPr="001D49D4">
        <w:rPr>
          <w:rFonts w:ascii="Calibri" w:eastAsia="Calibri" w:hAnsi="Calibri" w:cs="Arial"/>
          <w:b/>
          <w:bCs/>
          <w:vertAlign w:val="superscript"/>
          <w:rtl/>
        </w:rPr>
        <w:footnoteReference w:id="3607"/>
      </w:r>
      <w:r w:rsidRPr="001D49D4">
        <w:rPr>
          <w:rFonts w:ascii="Calibri" w:eastAsia="Calibri" w:hAnsi="Calibri" w:cs="Arial"/>
          <w:b/>
          <w:bCs/>
          <w:rtl/>
        </w:rPr>
        <w:t xml:space="preserve"> ע"ב: </w:t>
      </w:r>
      <w:r w:rsidRPr="001D49D4">
        <w:rPr>
          <w:rFonts w:ascii="Calibri" w:eastAsia="Calibri" w:hAnsi="Calibri" w:cs="Arial"/>
          <w:rtl/>
        </w:rPr>
        <w:t xml:space="preserve">איבעיא להו: שני שיטין שאמרו – </w:t>
      </w:r>
      <w:r w:rsidRPr="001D49D4">
        <w:rPr>
          <w:rFonts w:ascii="Calibri" w:eastAsia="Calibri" w:hAnsi="Calibri" w:cs="Arial"/>
          <w:sz w:val="14"/>
          <w:szCs w:val="14"/>
          <w:rtl/>
        </w:rPr>
        <w:t xml:space="preserve">(קסג.) </w:t>
      </w:r>
      <w:r w:rsidRPr="001D49D4">
        <w:rPr>
          <w:rFonts w:ascii="Calibri" w:eastAsia="Calibri" w:hAnsi="Calibri" w:cs="Arial"/>
          <w:rtl/>
        </w:rPr>
        <w:t>הן ואוירן</w:t>
      </w:r>
      <w:r w:rsidRPr="001D49D4">
        <w:rPr>
          <w:rFonts w:ascii="Calibri" w:eastAsia="Calibri" w:hAnsi="Calibri" w:cs="Arial"/>
          <w:vertAlign w:val="superscript"/>
          <w:rtl/>
        </w:rPr>
        <w:footnoteReference w:id="3608"/>
      </w:r>
      <w:r w:rsidRPr="001D49D4">
        <w:rPr>
          <w:rFonts w:ascii="Calibri" w:eastAsia="Calibri" w:hAnsi="Calibri" w:cs="Arial"/>
          <w:rtl/>
        </w:rPr>
        <w:t xml:space="preserve">, או דלמא הן ולא אוירן? </w:t>
      </w:r>
      <w:r w:rsidRPr="001D49D4">
        <w:rPr>
          <w:rFonts w:ascii="Calibri" w:eastAsia="Calibri" w:hAnsi="Calibri" w:cs="Arial"/>
          <w:u w:val="single"/>
          <w:rtl/>
        </w:rPr>
        <w:t>א"ר נחמן בר יצחק</w:t>
      </w:r>
      <w:r w:rsidRPr="001D49D4">
        <w:rPr>
          <w:rFonts w:ascii="Calibri" w:eastAsia="Calibri" w:hAnsi="Calibri" w:cs="Arial"/>
          <w:rtl/>
        </w:rPr>
        <w:t>: מסתברא דהן ואוירן, דאי סלקא דעתך הן ולא אוירן, שיטה אחת בלא אוירה למאי חזיא</w:t>
      </w:r>
      <w:r w:rsidRPr="001D49D4">
        <w:rPr>
          <w:rFonts w:ascii="Calibri" w:eastAsia="Calibri" w:hAnsi="Calibri" w:cs="Arial"/>
          <w:vertAlign w:val="superscript"/>
          <w:rtl/>
        </w:rPr>
        <w:footnoteReference w:id="3609"/>
      </w:r>
      <w:r w:rsidRPr="001D49D4">
        <w:rPr>
          <w:rFonts w:ascii="Calibri" w:eastAsia="Calibri" w:hAnsi="Calibri" w:cs="Arial"/>
          <w:rtl/>
        </w:rPr>
        <w:t xml:space="preserve">? אלא ש"מ: הן ואוירן, שמע מינה... וכמה? </w:t>
      </w:r>
      <w:r w:rsidRPr="001D49D4">
        <w:rPr>
          <w:rFonts w:ascii="Calibri" w:eastAsia="Calibri" w:hAnsi="Calibri" w:cs="Arial"/>
          <w:u w:val="single"/>
          <w:rtl/>
        </w:rPr>
        <w:t>אמר רב יצחק בן אלעזר</w:t>
      </w:r>
      <w:r w:rsidRPr="001D49D4">
        <w:rPr>
          <w:rFonts w:ascii="Calibri" w:eastAsia="Calibri" w:hAnsi="Calibri" w:cs="Arial"/>
          <w:rtl/>
        </w:rPr>
        <w:t xml:space="preserve">: כגון לך לך זה על גבי זה, אלמא קסבר: שני שיטין וארבעה </w:t>
      </w:r>
      <w:r w:rsidRPr="001D49D4">
        <w:rPr>
          <w:rFonts w:ascii="Calibri" w:eastAsia="Calibri" w:hAnsi="Calibri" w:cs="Arial"/>
          <w:rtl/>
        </w:rPr>
        <w:lastRenderedPageBreak/>
        <w:t xml:space="preserve">אוירין. </w:t>
      </w:r>
      <w:r w:rsidRPr="001D49D4">
        <w:rPr>
          <w:rFonts w:ascii="Calibri" w:eastAsia="Calibri" w:hAnsi="Calibri" w:cs="Arial"/>
          <w:u w:val="single"/>
          <w:rtl/>
        </w:rPr>
        <w:t>רב חייא בר אמי משמיה דעולא אמר</w:t>
      </w:r>
      <w:r w:rsidRPr="001D49D4">
        <w:rPr>
          <w:rFonts w:ascii="Calibri" w:eastAsia="Calibri" w:hAnsi="Calibri" w:cs="Arial"/>
          <w:rtl/>
        </w:rPr>
        <w:t xml:space="preserve">: כגון למ"ד מלמעלה וכ"ף מלמטה; אלמא קסבר: שני שיטין ושלשה אוירין. </w:t>
      </w:r>
      <w:r w:rsidRPr="001D49D4">
        <w:rPr>
          <w:rFonts w:ascii="Calibri" w:eastAsia="Calibri" w:hAnsi="Calibri" w:cs="Arial"/>
          <w:u w:val="single"/>
          <w:rtl/>
        </w:rPr>
        <w:t>רבי אבהו אמר</w:t>
      </w:r>
      <w:r w:rsidRPr="001D49D4">
        <w:rPr>
          <w:rFonts w:ascii="Calibri" w:eastAsia="Calibri" w:hAnsi="Calibri" w:cs="Arial"/>
          <w:rtl/>
        </w:rPr>
        <w:t>: כגון ברוך בן לוי בשיטה אחת; קא סבר: שיטה אחת ושני אוירין.</w:t>
      </w:r>
    </w:p>
    <w:p w14:paraId="556BE9FE" w14:textId="77777777" w:rsidR="001D49D4" w:rsidRPr="001D49D4" w:rsidRDefault="001D49D4" w:rsidP="0004348D">
      <w:pPr>
        <w:spacing w:before="360" w:after="240"/>
        <w:rPr>
          <w:rFonts w:ascii="Calibri" w:eastAsia="Calibri" w:hAnsi="Calibri" w:cs="Arial"/>
        </w:rPr>
      </w:pPr>
      <w:r w:rsidRPr="001D49D4">
        <w:rPr>
          <w:rFonts w:ascii="Calibri" w:eastAsia="Calibri" w:hAnsi="Calibri" w:cs="Arial"/>
          <w:u w:val="single"/>
          <w:rtl/>
        </w:rPr>
        <w:t>כמה אוירים מחשבים בב' שיטין אלו:</w:t>
      </w:r>
    </w:p>
    <w:p w14:paraId="27FCAAEA" w14:textId="77777777" w:rsidR="001D49D4" w:rsidRPr="001D49D4" w:rsidRDefault="001D49D4" w:rsidP="0004348D">
      <w:pPr>
        <w:numPr>
          <w:ilvl w:val="0"/>
          <w:numId w:val="265"/>
        </w:numPr>
        <w:spacing w:before="360" w:after="240"/>
        <w:contextualSpacing/>
      </w:pPr>
      <w:r w:rsidRPr="001D49D4">
        <w:rPr>
          <w:rtl/>
        </w:rPr>
        <w:t xml:space="preserve">רמב"ם </w:t>
      </w:r>
      <w:r w:rsidRPr="001D49D4">
        <w:rPr>
          <w:sz w:val="16"/>
          <w:szCs w:val="16"/>
          <w:rtl/>
        </w:rPr>
        <w:t xml:space="preserve">(פכ"ז ה"ד) </w:t>
      </w:r>
      <w:r w:rsidRPr="001D49D4">
        <w:rPr>
          <w:rtl/>
        </w:rPr>
        <w:t xml:space="preserve">ה"ר יונה </w:t>
      </w:r>
      <w:r w:rsidRPr="001D49D4">
        <w:rPr>
          <w:sz w:val="16"/>
          <w:szCs w:val="16"/>
          <w:rtl/>
        </w:rPr>
        <w:t xml:space="preserve">(קסג. ד"ה אלמא וד"ה ונראה) </w:t>
      </w:r>
      <w:r w:rsidRPr="001D49D4">
        <w:rPr>
          <w:rtl/>
        </w:rPr>
        <w:t xml:space="preserve">רא"ש </w:t>
      </w:r>
      <w:r w:rsidRPr="001D49D4">
        <w:rPr>
          <w:sz w:val="16"/>
          <w:szCs w:val="16"/>
          <w:rtl/>
        </w:rPr>
        <w:t xml:space="preserve">(סו"ס ג) </w:t>
      </w:r>
      <w:r w:rsidRPr="001D49D4">
        <w:rPr>
          <w:rtl/>
        </w:rPr>
        <w:t xml:space="preserve">טור והה"מ </w:t>
      </w:r>
      <w:r w:rsidRPr="001D49D4">
        <w:rPr>
          <w:sz w:val="16"/>
          <w:szCs w:val="16"/>
          <w:rtl/>
        </w:rPr>
        <w:t>(ד"ה ושתי)</w:t>
      </w:r>
      <w:r w:rsidRPr="001D49D4">
        <w:rPr>
          <w:rtl/>
        </w:rPr>
        <w:t>- אינו פסול אא"כ הרחיק ב' שיטין וג' אוירים</w:t>
      </w:r>
      <w:r w:rsidRPr="001D49D4">
        <w:rPr>
          <w:vertAlign w:val="superscript"/>
          <w:rtl/>
        </w:rPr>
        <w:footnoteReference w:id="3610"/>
      </w:r>
      <w:r w:rsidRPr="001D49D4">
        <w:rPr>
          <w:rtl/>
        </w:rPr>
        <w:t xml:space="preserve"> כגון ל' בשיטה עליונה וך' בשיטה התחתונה</w:t>
      </w:r>
      <w:r w:rsidRPr="001D49D4">
        <w:rPr>
          <w:sz w:val="16"/>
          <w:szCs w:val="16"/>
          <w:rtl/>
        </w:rPr>
        <w:t xml:space="preserve"> (ל' הטור)</w:t>
      </w:r>
      <w:r w:rsidRPr="001D49D4">
        <w:rPr>
          <w:vertAlign w:val="superscript"/>
          <w:rtl/>
        </w:rPr>
        <w:footnoteReference w:id="3611"/>
      </w:r>
      <w:r w:rsidRPr="001D49D4">
        <w:rPr>
          <w:rtl/>
        </w:rPr>
        <w:t xml:space="preserve">. </w:t>
      </w:r>
      <w:r w:rsidRPr="001D49D4">
        <w:rPr>
          <w:color w:val="E36C0A" w:themeColor="accent6" w:themeShade="BF"/>
          <w:rtl/>
        </w:rPr>
        <w:t>(וכ"פ בשו"ע)</w:t>
      </w:r>
    </w:p>
    <w:p w14:paraId="23358D3B" w14:textId="77777777" w:rsidR="001D49D4" w:rsidRPr="001D49D4" w:rsidRDefault="001D49D4" w:rsidP="0004348D">
      <w:pPr>
        <w:numPr>
          <w:ilvl w:val="0"/>
          <w:numId w:val="265"/>
        </w:numPr>
        <w:spacing w:before="360" w:after="240"/>
        <w:contextualSpacing/>
      </w:pPr>
      <w:r w:rsidRPr="001D49D4">
        <w:rPr>
          <w:rtl/>
        </w:rPr>
        <w:t xml:space="preserve">רבינו האיי </w:t>
      </w:r>
      <w:r w:rsidRPr="001D49D4">
        <w:rPr>
          <w:sz w:val="16"/>
          <w:szCs w:val="16"/>
          <w:rtl/>
        </w:rPr>
        <w:t>(כ"כ בשמו הה"מ [שם])</w:t>
      </w:r>
      <w:r w:rsidRPr="001D49D4">
        <w:rPr>
          <w:rtl/>
        </w:rPr>
        <w:t xml:space="preserve"> בהעי"ט </w:t>
      </w:r>
      <w:r w:rsidRPr="001D49D4">
        <w:rPr>
          <w:sz w:val="16"/>
          <w:szCs w:val="16"/>
          <w:rtl/>
        </w:rPr>
        <w:t xml:space="preserve">(ח"א מאמר ח לא ע"ב-ג) </w:t>
      </w:r>
      <w:r w:rsidRPr="001D49D4">
        <w:rPr>
          <w:rtl/>
        </w:rPr>
        <w:t>ורמב"ן</w:t>
      </w:r>
      <w:r w:rsidRPr="001D49D4">
        <w:rPr>
          <w:sz w:val="16"/>
          <w:szCs w:val="16"/>
          <w:rtl/>
        </w:rPr>
        <w:t xml:space="preserve"> (קסג. ד"ה כגון, כ"כ בשמו הה"מ [שם])</w:t>
      </w:r>
      <w:r w:rsidRPr="001D49D4">
        <w:rPr>
          <w:rtl/>
        </w:rPr>
        <w:t xml:space="preserve">- כמאן דאמר ברוך בן לוי בשטה אחת. </w:t>
      </w:r>
    </w:p>
    <w:p w14:paraId="5877C914" w14:textId="77777777" w:rsidR="001D49D4" w:rsidRPr="001D49D4" w:rsidRDefault="001D49D4" w:rsidP="0004348D">
      <w:pPr>
        <w:spacing w:before="360" w:after="240"/>
        <w:rPr>
          <w:rFonts w:ascii="Arial" w:eastAsia="Calibri" w:hAnsi="Arial" w:cs="Arial"/>
          <w:b/>
          <w:bCs/>
          <w:color w:val="000000"/>
          <w:sz w:val="28"/>
          <w:szCs w:val="28"/>
          <w:u w:val="single"/>
          <w:rtl/>
        </w:rPr>
      </w:pPr>
      <w:r w:rsidRPr="001D49D4">
        <w:rPr>
          <w:rFonts w:ascii="Arial" w:eastAsia="Calibri" w:hAnsi="Arial" w:cs="Arial"/>
          <w:b/>
          <w:bCs/>
          <w:color w:val="000000"/>
          <w:sz w:val="28"/>
          <w:szCs w:val="28"/>
          <w:u w:val="single"/>
          <w:rtl/>
        </w:rPr>
        <w:t>שו"ע:</w:t>
      </w:r>
    </w:p>
    <w:p w14:paraId="0669EA66"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rtl/>
        </w:rPr>
        <w:t xml:space="preserve">שני שיטין אלו, הן ואוירן, כגון ל' בשטה העליונה וך' בשטה תחתונה, שהם שני שיטין ושלשה אוירים. </w:t>
      </w:r>
    </w:p>
    <w:p w14:paraId="2851EE46" w14:textId="77777777" w:rsidR="001D49D4" w:rsidRPr="001D49D4" w:rsidRDefault="001D49D4" w:rsidP="0004348D">
      <w:pPr>
        <w:spacing w:before="360" w:after="240"/>
        <w:rPr>
          <w:rFonts w:ascii="Calibri" w:eastAsia="Calibri" w:hAnsi="Calibri" w:cs="Arial"/>
          <w:rtl/>
        </w:rPr>
      </w:pPr>
    </w:p>
    <w:p w14:paraId="6A2EB524" w14:textId="77777777" w:rsidR="001D49D4" w:rsidRPr="001D49D4" w:rsidRDefault="001D49D4" w:rsidP="0004348D">
      <w:pPr>
        <w:keepNext/>
        <w:keepLines/>
        <w:spacing w:before="360" w:after="240"/>
        <w:outlineLvl w:val="1"/>
        <w:rPr>
          <w:rFonts w:ascii="Cambria" w:eastAsia="Times New Roman" w:hAnsi="Cambria" w:cs="Arial"/>
          <w:bCs/>
          <w:color w:val="548DD4" w:themeColor="text2" w:themeTint="99"/>
          <w:sz w:val="26"/>
          <w:szCs w:val="26"/>
          <w:rtl/>
        </w:rPr>
      </w:pPr>
      <w:bookmarkStart w:id="485" w:name="_Toc24883920"/>
      <w:r w:rsidRPr="001D49D4">
        <w:rPr>
          <w:rFonts w:ascii="Cambria" w:eastAsia="Times New Roman" w:hAnsi="Cambria" w:cs="Arial"/>
          <w:bCs/>
          <w:color w:val="548DD4" w:themeColor="text2" w:themeTint="99"/>
          <w:sz w:val="26"/>
          <w:szCs w:val="26"/>
          <w:rtl/>
        </w:rPr>
        <w:t>סעיף י: עדים שחתמו בריחוק שיטה ומחצה מסוף השטר.</w:t>
      </w:r>
      <w:bookmarkEnd w:id="485"/>
    </w:p>
    <w:p w14:paraId="1CE80B62"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b/>
          <w:bCs/>
          <w:rtl/>
        </w:rPr>
        <w:t xml:space="preserve">בבא בתרא </w:t>
      </w:r>
      <w:r w:rsidRPr="001D49D4">
        <w:rPr>
          <w:rFonts w:ascii="Calibri" w:eastAsia="Calibri" w:hAnsi="Calibri" w:cs="Arial"/>
          <w:b/>
          <w:bCs/>
          <w:sz w:val="16"/>
          <w:szCs w:val="16"/>
          <w:rtl/>
        </w:rPr>
        <w:t>(פרק גט פשוט)</w:t>
      </w:r>
      <w:r w:rsidRPr="001D49D4">
        <w:rPr>
          <w:rFonts w:ascii="Calibri" w:eastAsia="Calibri" w:hAnsi="Calibri" w:cs="Arial"/>
          <w:b/>
          <w:bCs/>
          <w:rtl/>
        </w:rPr>
        <w:t xml:space="preserve"> קסב</w:t>
      </w:r>
      <w:r w:rsidRPr="001D49D4">
        <w:rPr>
          <w:rFonts w:ascii="Calibri" w:eastAsia="Calibri" w:hAnsi="Calibri" w:cs="Arial"/>
          <w:b/>
          <w:bCs/>
          <w:vertAlign w:val="superscript"/>
          <w:rtl/>
        </w:rPr>
        <w:footnoteReference w:id="3612"/>
      </w:r>
      <w:r w:rsidRPr="001D49D4">
        <w:rPr>
          <w:rFonts w:ascii="Calibri" w:eastAsia="Calibri" w:hAnsi="Calibri" w:cs="Arial"/>
          <w:b/>
          <w:bCs/>
          <w:rtl/>
        </w:rPr>
        <w:t xml:space="preserve"> ע"א:</w:t>
      </w:r>
      <w:r w:rsidRPr="001D49D4">
        <w:rPr>
          <w:rFonts w:ascii="Calibri" w:eastAsia="Calibri" w:hAnsi="Calibri" w:cs="Arial"/>
          <w:rtl/>
        </w:rPr>
        <w:t xml:space="preserve"> תניא: הרחיק את העדים שני שיטין מן הכתב - פסול, שיטה אחת – כשר... </w:t>
      </w:r>
      <w:r w:rsidRPr="001D49D4">
        <w:rPr>
          <w:rFonts w:ascii="Calibri" w:eastAsia="Calibri" w:hAnsi="Calibri" w:cs="Arial"/>
          <w:sz w:val="14"/>
          <w:szCs w:val="14"/>
          <w:rtl/>
        </w:rPr>
        <w:t>(קסב:)</w:t>
      </w:r>
      <w:r w:rsidRPr="001D49D4">
        <w:rPr>
          <w:rFonts w:ascii="Calibri" w:eastAsia="Calibri" w:hAnsi="Calibri" w:cs="Arial"/>
          <w:rtl/>
        </w:rPr>
        <w:t xml:space="preserve"> איבעיא להו: שיטה ומחצה, מאי? תא שמע: הרחיק את העדים שני שיטין - פסול. הא שיטה ומחצה - כשר. אימא סיפא: שיטה אחת - כשר. שיטה אחת הוא דכשר, הא שיטה ומחצה - פסול! אלא מהא ליכא למשמע מינה. מאי הוי עלה? ת"ש, דתניא: הרחיק את העדים שני שיטין מן הכתב - פסול, פחות מכאן - כשר.</w:t>
      </w:r>
    </w:p>
    <w:p w14:paraId="0D097842" w14:textId="77777777" w:rsidR="001D49D4" w:rsidRPr="001D49D4" w:rsidRDefault="001D49D4" w:rsidP="0004348D">
      <w:pPr>
        <w:spacing w:before="360" w:after="240"/>
        <w:rPr>
          <w:rFonts w:ascii="Calibri" w:eastAsia="Calibri" w:hAnsi="Calibri" w:cs="Arial"/>
          <w:u w:val="single"/>
          <w:rtl/>
        </w:rPr>
      </w:pPr>
      <w:r w:rsidRPr="001D49D4">
        <w:rPr>
          <w:rFonts w:ascii="Calibri" w:eastAsia="Calibri" w:hAnsi="Calibri" w:cs="Arial"/>
          <w:u w:val="single"/>
          <w:rtl/>
        </w:rPr>
        <w:t>'איבעיא להו שיטה ומחצה מאי' – למה התכוונה הגמ':</w:t>
      </w:r>
    </w:p>
    <w:p w14:paraId="3F5744A8" w14:textId="77777777" w:rsidR="001D49D4" w:rsidRPr="001D49D4" w:rsidRDefault="001D49D4" w:rsidP="0004348D">
      <w:pPr>
        <w:numPr>
          <w:ilvl w:val="0"/>
          <w:numId w:val="266"/>
        </w:numPr>
        <w:spacing w:before="360" w:after="240"/>
        <w:contextualSpacing/>
        <w:rPr>
          <w:rtl/>
        </w:rPr>
      </w:pPr>
      <w:r w:rsidRPr="001D49D4">
        <w:rPr>
          <w:rtl/>
        </w:rPr>
        <w:t xml:space="preserve">ר' שלמה בן דוראן </w:t>
      </w:r>
      <w:r w:rsidRPr="001D49D4">
        <w:rPr>
          <w:sz w:val="16"/>
          <w:szCs w:val="16"/>
          <w:rtl/>
        </w:rPr>
        <w:t>(תיקון סופרים השער השביעי ד"ה תניא)</w:t>
      </w:r>
      <w:r w:rsidRPr="001D49D4">
        <w:rPr>
          <w:rtl/>
        </w:rPr>
        <w:t xml:space="preserve">- מדברי הרי"ף </w:t>
      </w:r>
      <w:r w:rsidRPr="001D49D4">
        <w:rPr>
          <w:sz w:val="16"/>
          <w:szCs w:val="16"/>
          <w:rtl/>
        </w:rPr>
        <w:t xml:space="preserve">(ב"ב עה:) </w:t>
      </w:r>
      <w:r w:rsidRPr="001D49D4">
        <w:rPr>
          <w:rtl/>
        </w:rPr>
        <w:t xml:space="preserve">והרמב"ם </w:t>
      </w:r>
      <w:r w:rsidRPr="001D49D4">
        <w:rPr>
          <w:sz w:val="16"/>
          <w:szCs w:val="16"/>
          <w:rtl/>
        </w:rPr>
        <w:t xml:space="preserve">(פכ"ז ה"ד) </w:t>
      </w:r>
      <w:r w:rsidRPr="001D49D4">
        <w:rPr>
          <w:rtl/>
        </w:rPr>
        <w:t xml:space="preserve">משמע שפסקו דשטה ומחצה כשר, וכ"כ בהעי"ט </w:t>
      </w:r>
      <w:r w:rsidRPr="001D49D4">
        <w:rPr>
          <w:sz w:val="16"/>
          <w:szCs w:val="16"/>
          <w:rtl/>
        </w:rPr>
        <w:t>(שם לא:)</w:t>
      </w:r>
      <w:r w:rsidRPr="001D49D4">
        <w:rPr>
          <w:vertAlign w:val="superscript"/>
          <w:rtl/>
        </w:rPr>
        <w:footnoteReference w:id="3613"/>
      </w:r>
      <w:r w:rsidRPr="001D49D4">
        <w:rPr>
          <w:rtl/>
        </w:rPr>
        <w:t>. והאי דאמרינן שטה ומחצה ואיפשיטא דכשר לאו דוקא שטה ומחצה אלא הכי קאמר מחצה ושטה מאי.</w:t>
      </w:r>
    </w:p>
    <w:p w14:paraId="11F1C237" w14:textId="77777777" w:rsidR="001D49D4" w:rsidRPr="001D49D4" w:rsidRDefault="001D49D4" w:rsidP="0004348D">
      <w:pPr>
        <w:numPr>
          <w:ilvl w:val="0"/>
          <w:numId w:val="266"/>
        </w:numPr>
        <w:spacing w:before="360" w:after="240"/>
        <w:contextualSpacing/>
        <w:rPr>
          <w:rtl/>
        </w:rPr>
      </w:pPr>
      <w:r w:rsidRPr="001D49D4">
        <w:rPr>
          <w:rtl/>
        </w:rPr>
        <w:lastRenderedPageBreak/>
        <w:t xml:space="preserve">רא"ש </w:t>
      </w:r>
      <w:r w:rsidRPr="001D49D4">
        <w:rPr>
          <w:sz w:val="16"/>
          <w:szCs w:val="16"/>
          <w:rtl/>
        </w:rPr>
        <w:t xml:space="preserve">(סי' ג) </w:t>
      </w:r>
      <w:r w:rsidRPr="001D49D4">
        <w:rPr>
          <w:rtl/>
        </w:rPr>
        <w:t xml:space="preserve">וטור- </w:t>
      </w:r>
      <w:r w:rsidRPr="001D49D4">
        <w:rPr>
          <w:vertAlign w:val="superscript"/>
          <w:rtl/>
        </w:rPr>
        <w:footnoteReference w:id="3614"/>
      </w:r>
      <w:r w:rsidRPr="001D49D4">
        <w:rPr>
          <w:rtl/>
        </w:rPr>
        <w:t xml:space="preserve">הכי קמיבעיא ליה כגון שסיים השטר בסוף השיטה והרחיקו העדים מן הכתיבה כרוחב שיטה ומחצה וקמיבעיא ליה אי חיישינן שמא יכתוב שם שני שיטין בדוחק - תא שמע הרחיק את העדים מן הכתב שני שיטין פסול פחות מכאן כשר </w:t>
      </w:r>
      <w:r w:rsidRPr="001D49D4">
        <w:rPr>
          <w:sz w:val="16"/>
          <w:szCs w:val="16"/>
          <w:rtl/>
        </w:rPr>
        <w:t>(ל' הרא"ש)</w:t>
      </w:r>
      <w:r w:rsidRPr="001D49D4">
        <w:rPr>
          <w:vertAlign w:val="superscript"/>
          <w:rtl/>
        </w:rPr>
        <w:footnoteReference w:id="3615"/>
      </w:r>
      <w:r w:rsidRPr="001D49D4">
        <w:rPr>
          <w:rtl/>
        </w:rPr>
        <w:t xml:space="preserve">. </w:t>
      </w:r>
      <w:r w:rsidRPr="001D49D4">
        <w:rPr>
          <w:color w:val="E36C0A" w:themeColor="accent6" w:themeShade="BF"/>
          <w:rtl/>
        </w:rPr>
        <w:t>(וכ"פ בשו"ע)</w:t>
      </w:r>
    </w:p>
    <w:p w14:paraId="02B48204" w14:textId="77777777" w:rsidR="001D49D4" w:rsidRPr="001D49D4" w:rsidRDefault="001D49D4" w:rsidP="0004348D">
      <w:pPr>
        <w:spacing w:before="360" w:after="240"/>
        <w:rPr>
          <w:rFonts w:ascii="Calibri" w:eastAsia="Calibri" w:hAnsi="Calibri" w:cs="Arial"/>
          <w:u w:val="single"/>
        </w:rPr>
      </w:pPr>
      <w:r w:rsidRPr="001D49D4">
        <w:rPr>
          <w:rFonts w:ascii="Calibri" w:eastAsia="Calibri" w:hAnsi="Calibri" w:cs="Arial"/>
          <w:u w:val="single"/>
          <w:rtl/>
        </w:rPr>
        <w:t>עדים שהרחיקו שיטה וחתמו באמצע השורה שאחריה</w:t>
      </w:r>
      <w:r w:rsidRPr="001D49D4">
        <w:rPr>
          <w:rFonts w:ascii="Calibri" w:eastAsia="Calibri" w:hAnsi="Calibri" w:cs="Arial"/>
          <w:sz w:val="16"/>
          <w:szCs w:val="16"/>
          <w:u w:val="single"/>
          <w:rtl/>
        </w:rPr>
        <w:t xml:space="preserve"> (כפירוש ראשון של התוס')</w:t>
      </w:r>
      <w:r w:rsidRPr="001D49D4">
        <w:rPr>
          <w:rFonts w:ascii="Calibri" w:eastAsia="Calibri" w:hAnsi="Calibri" w:cs="Arial"/>
          <w:u w:val="single"/>
          <w:rtl/>
        </w:rPr>
        <w:t xml:space="preserve"> - האם למדים מהשיטה ומחצה האלו:</w:t>
      </w:r>
    </w:p>
    <w:p w14:paraId="61EC723F" w14:textId="77777777" w:rsidR="001D49D4" w:rsidRPr="001D49D4" w:rsidRDefault="001D49D4" w:rsidP="0004348D">
      <w:pPr>
        <w:numPr>
          <w:ilvl w:val="0"/>
          <w:numId w:val="267"/>
        </w:numPr>
        <w:spacing w:before="360" w:after="240"/>
        <w:contextualSpacing/>
        <w:rPr>
          <w:rtl/>
        </w:rPr>
      </w:pPr>
      <w:r w:rsidRPr="001D49D4">
        <w:rPr>
          <w:rtl/>
        </w:rPr>
        <w:t xml:space="preserve">תוס' </w:t>
      </w:r>
      <w:r w:rsidRPr="001D49D4">
        <w:rPr>
          <w:sz w:val="16"/>
          <w:szCs w:val="16"/>
          <w:rtl/>
        </w:rPr>
        <w:t>(קסב: ד"ה איבעיא)</w:t>
      </w:r>
      <w:r w:rsidRPr="001D49D4">
        <w:rPr>
          <w:rtl/>
        </w:rPr>
        <w:t xml:space="preserve"> רא"ש </w:t>
      </w:r>
      <w:r w:rsidRPr="001D49D4">
        <w:rPr>
          <w:sz w:val="16"/>
          <w:szCs w:val="16"/>
          <w:rtl/>
        </w:rPr>
        <w:t>(שם)</w:t>
      </w:r>
      <w:r w:rsidRPr="001D49D4">
        <w:rPr>
          <w:rtl/>
        </w:rPr>
        <w:t xml:space="preserve"> ואורחות חיים</w:t>
      </w:r>
      <w:r w:rsidRPr="001D49D4">
        <w:rPr>
          <w:vertAlign w:val="superscript"/>
          <w:rtl/>
        </w:rPr>
        <w:footnoteReference w:id="3616"/>
      </w:r>
      <w:r w:rsidRPr="001D49D4">
        <w:rPr>
          <w:rtl/>
        </w:rPr>
        <w:t xml:space="preserve"> </w:t>
      </w:r>
      <w:r w:rsidRPr="001D49D4">
        <w:rPr>
          <w:sz w:val="16"/>
          <w:szCs w:val="16"/>
          <w:rtl/>
        </w:rPr>
        <w:t>(ח"ב הל' גיטין עמ' 164)</w:t>
      </w:r>
      <w:r w:rsidRPr="001D49D4">
        <w:rPr>
          <w:rtl/>
        </w:rPr>
        <w:t>- אין למדין משיטה אחרונה היינו טעמא שעדים לא דייקי ומרחיקין שיטה אחת אם כן כשמרחיקין שיטה וחותמים באמצע שיטה כיון דליכא כי אם רוחב שיטה אחת בין העדים לשטר אין למדין ממנה</w:t>
      </w:r>
      <w:r w:rsidRPr="001D49D4">
        <w:rPr>
          <w:sz w:val="16"/>
          <w:szCs w:val="16"/>
          <w:rtl/>
        </w:rPr>
        <w:t xml:space="preserve"> (ל' התוס')</w:t>
      </w:r>
      <w:r w:rsidRPr="001D49D4">
        <w:rPr>
          <w:rtl/>
        </w:rPr>
        <w:t xml:space="preserve">. </w:t>
      </w:r>
    </w:p>
    <w:p w14:paraId="46E7CDD4" w14:textId="77777777" w:rsidR="001D49D4" w:rsidRPr="001D49D4" w:rsidRDefault="001D49D4" w:rsidP="0004348D">
      <w:pPr>
        <w:numPr>
          <w:ilvl w:val="0"/>
          <w:numId w:val="267"/>
        </w:numPr>
        <w:spacing w:before="360" w:after="240"/>
        <w:contextualSpacing/>
      </w:pPr>
      <w:r w:rsidRPr="001D49D4">
        <w:rPr>
          <w:rtl/>
        </w:rPr>
        <w:t xml:space="preserve">רשב"א </w:t>
      </w:r>
      <w:r w:rsidRPr="001D49D4">
        <w:rPr>
          <w:sz w:val="16"/>
          <w:szCs w:val="16"/>
          <w:rtl/>
        </w:rPr>
        <w:t>(במיוחסות סי' צד)</w:t>
      </w:r>
      <w:r w:rsidRPr="001D49D4">
        <w:rPr>
          <w:rtl/>
        </w:rPr>
        <w:t xml:space="preserve"> ותשב"ץ</w:t>
      </w:r>
      <w:r w:rsidRPr="001D49D4">
        <w:rPr>
          <w:vertAlign w:val="superscript"/>
          <w:rtl/>
        </w:rPr>
        <w:footnoteReference w:id="3617"/>
      </w:r>
      <w:r w:rsidRPr="001D49D4">
        <w:rPr>
          <w:rtl/>
        </w:rPr>
        <w:t xml:space="preserve"> </w:t>
      </w:r>
      <w:r w:rsidRPr="001D49D4">
        <w:rPr>
          <w:sz w:val="16"/>
          <w:szCs w:val="16"/>
          <w:rtl/>
        </w:rPr>
        <w:t>(ח"א סי' ו)</w:t>
      </w:r>
      <w:r w:rsidRPr="001D49D4">
        <w:rPr>
          <w:rtl/>
        </w:rPr>
        <w:t>- אני מלמד הסופרים לסיים השטר בחצי השטה ולחתום הם בחצי השטה הנשארת כי מכאן יש לנו הכשר גמור ונאמר כי בודאי כתובה היתה אותה חצי שטה וכל שלמעלה הימנה כשחתמו העדים שאילולי כן אסור היה לחתום בחצי שטה מחשש שטר הבא הוא ועדיו בשטה אחת</w:t>
      </w:r>
      <w:r w:rsidRPr="001D49D4">
        <w:rPr>
          <w:vertAlign w:val="superscript"/>
          <w:rtl/>
        </w:rPr>
        <w:footnoteReference w:id="3618"/>
      </w:r>
      <w:r w:rsidRPr="001D49D4">
        <w:rPr>
          <w:sz w:val="16"/>
          <w:szCs w:val="16"/>
          <w:rtl/>
        </w:rPr>
        <w:t xml:space="preserve"> (ל' הרשב"א)</w:t>
      </w:r>
      <w:r w:rsidRPr="001D49D4">
        <w:rPr>
          <w:rtl/>
        </w:rPr>
        <w:t xml:space="preserve">. </w:t>
      </w:r>
      <w:r w:rsidRPr="001D49D4">
        <w:rPr>
          <w:color w:val="00B0F0"/>
          <w:rtl/>
        </w:rPr>
        <w:t>(וכ"פ הרמ"א)</w:t>
      </w:r>
    </w:p>
    <w:p w14:paraId="45D020EC" w14:textId="77777777" w:rsidR="001D49D4" w:rsidRPr="001D49D4" w:rsidRDefault="001D49D4" w:rsidP="0004348D">
      <w:pPr>
        <w:spacing w:before="360" w:after="240"/>
        <w:rPr>
          <w:rFonts w:ascii="Calibri" w:eastAsia="Calibri" w:hAnsi="Calibri" w:cs="Arial"/>
          <w:u w:val="single"/>
        </w:rPr>
      </w:pPr>
      <w:r w:rsidRPr="001D49D4">
        <w:rPr>
          <w:rFonts w:ascii="Calibri" w:eastAsia="Calibri" w:hAnsi="Calibri" w:cs="Arial"/>
          <w:u w:val="single"/>
          <w:rtl/>
        </w:rPr>
        <w:t>שטר שיש בו גליון מרובה בראש השטר והעדים חתומים זה אצל זה בראש שטה של שטר:</w:t>
      </w:r>
    </w:p>
    <w:p w14:paraId="5C8BCE95" w14:textId="77777777" w:rsidR="001D49D4" w:rsidRPr="001D49D4" w:rsidRDefault="001D49D4" w:rsidP="0004348D">
      <w:pPr>
        <w:numPr>
          <w:ilvl w:val="0"/>
          <w:numId w:val="267"/>
        </w:numPr>
        <w:spacing w:before="360" w:after="240"/>
        <w:contextualSpacing/>
      </w:pPr>
      <w:r w:rsidRPr="001D49D4">
        <w:rPr>
          <w:rtl/>
        </w:rPr>
        <w:t xml:space="preserve">תוס' </w:t>
      </w:r>
      <w:r w:rsidRPr="001D49D4">
        <w:rPr>
          <w:sz w:val="16"/>
          <w:szCs w:val="16"/>
          <w:rtl/>
        </w:rPr>
        <w:t>(פרק גט פשוט קסג: ד"ה שטה)</w:t>
      </w:r>
      <w:r w:rsidRPr="001D49D4">
        <w:rPr>
          <w:rtl/>
        </w:rPr>
        <w:t>- מצינו למימר דאפי' יש גליון מרובה בראש השטר והעדים חתומין זה אצל זה בראש שיטה של שטר – כשר אע"פ דמצי כתיב מאי דבעי בראש גליון, דלא פסלינן שטר אלא כשיכול לזייף בחלק שהוא צורך השטר שאינו יכול לחתכו ואם היה חתוך היה השטר פסול, כגון שני שיטין לפני העדים, או לפני האשרתא בינו לעדים</w:t>
      </w:r>
      <w:r w:rsidRPr="001D49D4">
        <w:rPr>
          <w:vertAlign w:val="superscript"/>
          <w:rtl/>
        </w:rPr>
        <w:footnoteReference w:id="3619"/>
      </w:r>
      <w:r w:rsidRPr="001D49D4">
        <w:rPr>
          <w:rtl/>
        </w:rPr>
        <w:t>.</w:t>
      </w:r>
    </w:p>
    <w:p w14:paraId="7A810397" w14:textId="77777777" w:rsidR="001D49D4" w:rsidRPr="001D49D4" w:rsidRDefault="001D49D4" w:rsidP="0004348D">
      <w:pPr>
        <w:spacing w:before="360" w:after="240"/>
        <w:rPr>
          <w:rFonts w:ascii="Arial" w:eastAsia="Calibri" w:hAnsi="Arial" w:cs="Arial"/>
          <w:b/>
          <w:bCs/>
          <w:color w:val="000000"/>
          <w:sz w:val="28"/>
          <w:szCs w:val="28"/>
          <w:u w:val="single"/>
          <w:rtl/>
        </w:rPr>
      </w:pPr>
      <w:r w:rsidRPr="001D49D4">
        <w:rPr>
          <w:rFonts w:ascii="Arial" w:eastAsia="Calibri" w:hAnsi="Arial" w:cs="Arial"/>
          <w:b/>
          <w:bCs/>
          <w:color w:val="000000"/>
          <w:sz w:val="28"/>
          <w:szCs w:val="28"/>
          <w:u w:val="single"/>
          <w:rtl/>
        </w:rPr>
        <w:t>שו"ע:</w:t>
      </w:r>
    </w:p>
    <w:p w14:paraId="4273B36A"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rtl/>
        </w:rPr>
        <w:lastRenderedPageBreak/>
        <w:t>יש מי שאומר שאם השטר מסיים באמצע שטה והניחו אותה שטה ועוד אחרת, והתחילו לחתום בשטה שלישית</w:t>
      </w:r>
      <w:r w:rsidRPr="001D49D4">
        <w:rPr>
          <w:rFonts w:ascii="Calibri" w:eastAsia="Calibri" w:hAnsi="Calibri" w:cs="Arial"/>
          <w:vertAlign w:val="superscript"/>
          <w:rtl/>
        </w:rPr>
        <w:footnoteReference w:id="3620"/>
      </w:r>
      <w:r w:rsidRPr="001D49D4">
        <w:rPr>
          <w:rFonts w:ascii="Calibri" w:eastAsia="Calibri" w:hAnsi="Calibri" w:cs="Arial"/>
          <w:rtl/>
        </w:rPr>
        <w:t>, פסול</w:t>
      </w:r>
      <w:r w:rsidRPr="001D49D4">
        <w:rPr>
          <w:rFonts w:ascii="Calibri" w:eastAsia="Calibri" w:hAnsi="Calibri" w:cs="Arial"/>
          <w:vertAlign w:val="superscript"/>
          <w:rtl/>
        </w:rPr>
        <w:footnoteReference w:id="3621"/>
      </w:r>
      <w:r w:rsidRPr="001D49D4">
        <w:rPr>
          <w:rFonts w:ascii="Calibri" w:eastAsia="Calibri" w:hAnsi="Calibri" w:cs="Arial"/>
          <w:rtl/>
        </w:rPr>
        <w:t>, שיכול לכתוב באותה חצי שטה מה שירצה, ויחזיר מענינו של שטר בשטה אחרונה</w:t>
      </w:r>
      <w:r w:rsidRPr="001D49D4">
        <w:rPr>
          <w:rFonts w:ascii="Calibri" w:eastAsia="Calibri" w:hAnsi="Calibri" w:cs="Arial"/>
          <w:vertAlign w:val="superscript"/>
          <w:rtl/>
        </w:rPr>
        <w:footnoteReference w:id="3622"/>
      </w:r>
      <w:r w:rsidRPr="001D49D4">
        <w:rPr>
          <w:rFonts w:ascii="Calibri" w:eastAsia="Calibri" w:hAnsi="Calibri" w:cs="Arial"/>
          <w:rtl/>
        </w:rPr>
        <w:t>, וכן אם מסיים בסוף שטה, והרחיקו העדים שטה שלימה, והתחילו העדים באמצע שיטה שנייה, פסול אם יחתמו זה אחר זה</w:t>
      </w:r>
      <w:r w:rsidRPr="001D49D4">
        <w:rPr>
          <w:rFonts w:ascii="Calibri" w:eastAsia="Calibri" w:hAnsi="Calibri" w:cs="Arial"/>
          <w:vertAlign w:val="superscript"/>
          <w:rtl/>
        </w:rPr>
        <w:footnoteReference w:id="3623"/>
      </w:r>
      <w:r w:rsidRPr="001D49D4">
        <w:rPr>
          <w:rFonts w:ascii="Calibri" w:eastAsia="Calibri" w:hAnsi="Calibri" w:cs="Arial"/>
          <w:rtl/>
        </w:rPr>
        <w:t xml:space="preserve"> באותה חצי שטה, שיוכל לכתוב בחצי השטה החלק שלפני חתימתן 'פלוני לוה מפלוני מנה' ויהא שטר הבא הוא ועדיו בשטה אחת שהוא כשר ויחתוך כל העליון. </w:t>
      </w:r>
      <w:r w:rsidRPr="001D49D4">
        <w:rPr>
          <w:rFonts w:ascii="Calibri" w:eastAsia="Calibri" w:hAnsi="Calibri" w:cs="Arial"/>
          <w:sz w:val="18"/>
          <w:szCs w:val="18"/>
          <w:rtl/>
        </w:rPr>
        <w:t>הגה: ואם השטר מסיים באמצע השטה, יכולים העדים לחתום עצמן בחצי שטה הנשארת זה אצל זה, ואז למדין מחצי שטה שלפניהם ומשטה שעליהם, דאין לחוש לשום דבר</w:t>
      </w:r>
      <w:r w:rsidRPr="001D49D4">
        <w:rPr>
          <w:rFonts w:ascii="Calibri" w:eastAsia="Calibri" w:hAnsi="Calibri" w:cs="Arial"/>
          <w:sz w:val="18"/>
          <w:szCs w:val="18"/>
          <w:vertAlign w:val="superscript"/>
          <w:rtl/>
        </w:rPr>
        <w:footnoteReference w:id="3624"/>
      </w:r>
      <w:r w:rsidRPr="001D49D4">
        <w:rPr>
          <w:rFonts w:ascii="Calibri" w:eastAsia="Calibri" w:hAnsi="Calibri" w:cs="Arial"/>
          <w:sz w:val="18"/>
          <w:szCs w:val="18"/>
          <w:rtl/>
        </w:rPr>
        <w:t xml:space="preserve"> (רשב"א במיוחסות וב"י בשם רשב"ץ).</w:t>
      </w:r>
      <w:r w:rsidRPr="001D49D4">
        <w:rPr>
          <w:rFonts w:ascii="Calibri" w:eastAsia="Calibri" w:hAnsi="Calibri" w:cs="Arial"/>
          <w:rtl/>
        </w:rPr>
        <w:t xml:space="preserve"> </w:t>
      </w:r>
    </w:p>
    <w:p w14:paraId="6BB6B136" w14:textId="77777777" w:rsidR="001D49D4" w:rsidRPr="001D49D4" w:rsidRDefault="001D49D4" w:rsidP="0004348D">
      <w:pPr>
        <w:spacing w:before="360" w:after="240"/>
        <w:rPr>
          <w:rFonts w:ascii="Calibri" w:eastAsia="Calibri" w:hAnsi="Calibri" w:cs="Arial"/>
          <w:rtl/>
        </w:rPr>
      </w:pPr>
    </w:p>
    <w:p w14:paraId="5AB95E4D" w14:textId="77777777" w:rsidR="001D49D4" w:rsidRPr="001D49D4" w:rsidRDefault="001D49D4" w:rsidP="0004348D">
      <w:pPr>
        <w:keepNext/>
        <w:keepLines/>
        <w:spacing w:before="360" w:after="240"/>
        <w:outlineLvl w:val="1"/>
        <w:rPr>
          <w:rFonts w:ascii="Cambria" w:eastAsia="Times New Roman" w:hAnsi="Cambria" w:cs="Arial"/>
          <w:bCs/>
          <w:color w:val="548DD4" w:themeColor="text2" w:themeTint="99"/>
          <w:sz w:val="26"/>
          <w:szCs w:val="26"/>
          <w:rtl/>
        </w:rPr>
      </w:pPr>
      <w:bookmarkStart w:id="486" w:name="_Toc24883921"/>
      <w:r w:rsidRPr="001D49D4">
        <w:rPr>
          <w:rFonts w:ascii="Cambria" w:eastAsia="Times New Roman" w:hAnsi="Cambria" w:cs="Arial"/>
          <w:bCs/>
          <w:color w:val="548DD4" w:themeColor="text2" w:themeTint="99"/>
          <w:sz w:val="26"/>
          <w:szCs w:val="26"/>
          <w:rtl/>
        </w:rPr>
        <w:t>סעיף יא: חתימת עדים בשטר שיש בו קטע חלק לפני מקום חתימתם.</w:t>
      </w:r>
      <w:bookmarkEnd w:id="486"/>
    </w:p>
    <w:p w14:paraId="14638937"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b/>
          <w:bCs/>
          <w:rtl/>
        </w:rPr>
        <w:t xml:space="preserve">בבא בתרא </w:t>
      </w:r>
      <w:r w:rsidRPr="001D49D4">
        <w:rPr>
          <w:rFonts w:ascii="Calibri" w:eastAsia="Calibri" w:hAnsi="Calibri" w:cs="Arial"/>
          <w:b/>
          <w:bCs/>
          <w:sz w:val="16"/>
          <w:szCs w:val="16"/>
          <w:rtl/>
        </w:rPr>
        <w:t>(פרק גט פשוט)</w:t>
      </w:r>
      <w:r w:rsidRPr="001D49D4">
        <w:rPr>
          <w:rFonts w:ascii="Calibri" w:eastAsia="Calibri" w:hAnsi="Calibri" w:cs="Arial"/>
          <w:b/>
          <w:bCs/>
          <w:rtl/>
        </w:rPr>
        <w:t xml:space="preserve"> קסג</w:t>
      </w:r>
      <w:r w:rsidRPr="001D49D4">
        <w:rPr>
          <w:rFonts w:ascii="Calibri" w:eastAsia="Calibri" w:hAnsi="Calibri" w:cs="Arial"/>
          <w:b/>
          <w:bCs/>
          <w:vertAlign w:val="superscript"/>
          <w:rtl/>
        </w:rPr>
        <w:footnoteReference w:id="3625"/>
      </w:r>
      <w:r w:rsidRPr="001D49D4">
        <w:rPr>
          <w:rFonts w:ascii="Calibri" w:eastAsia="Calibri" w:hAnsi="Calibri" w:cs="Arial"/>
          <w:b/>
          <w:bCs/>
          <w:rtl/>
        </w:rPr>
        <w:t xml:space="preserve"> ע"ב:</w:t>
      </w:r>
      <w:r w:rsidRPr="001D49D4">
        <w:rPr>
          <w:rFonts w:ascii="Calibri" w:eastAsia="Calibri" w:hAnsi="Calibri" w:cs="Arial"/>
          <w:rtl/>
        </w:rPr>
        <w:t xml:space="preserve"> </w:t>
      </w:r>
      <w:r w:rsidRPr="001D49D4">
        <w:rPr>
          <w:rFonts w:ascii="Calibri" w:eastAsia="Calibri" w:hAnsi="Calibri" w:cs="Arial"/>
          <w:u w:val="single"/>
          <w:rtl/>
        </w:rPr>
        <w:t>רבי יוחנן אמר</w:t>
      </w:r>
      <w:r w:rsidRPr="001D49D4">
        <w:rPr>
          <w:rFonts w:ascii="Calibri" w:eastAsia="Calibri" w:hAnsi="Calibri" w:cs="Arial"/>
          <w:rtl/>
        </w:rPr>
        <w:t>: לא שנו</w:t>
      </w:r>
      <w:r w:rsidRPr="001D49D4">
        <w:rPr>
          <w:rFonts w:ascii="Calibri" w:eastAsia="Calibri" w:hAnsi="Calibri" w:cs="Arial"/>
          <w:vertAlign w:val="superscript"/>
          <w:rtl/>
        </w:rPr>
        <w:footnoteReference w:id="3626"/>
      </w:r>
      <w:r w:rsidRPr="001D49D4">
        <w:rPr>
          <w:rFonts w:ascii="Calibri" w:eastAsia="Calibri" w:hAnsi="Calibri" w:cs="Arial"/>
          <w:rtl/>
        </w:rPr>
        <w:t xml:space="preserve"> אלא בין העדים לכתב, אבל בין עדים לאשרתא</w:t>
      </w:r>
      <w:r w:rsidRPr="001D49D4">
        <w:rPr>
          <w:rFonts w:ascii="Calibri" w:eastAsia="Calibri" w:hAnsi="Calibri" w:cs="Arial"/>
          <w:vertAlign w:val="superscript"/>
          <w:rtl/>
        </w:rPr>
        <w:footnoteReference w:id="3627"/>
      </w:r>
      <w:r w:rsidRPr="001D49D4">
        <w:rPr>
          <w:rFonts w:ascii="Calibri" w:eastAsia="Calibri" w:hAnsi="Calibri" w:cs="Arial"/>
          <w:rtl/>
        </w:rPr>
        <w:t xml:space="preserve"> - אפילו שיטה אחת פסול</w:t>
      </w:r>
      <w:r w:rsidRPr="001D49D4">
        <w:rPr>
          <w:rFonts w:ascii="Calibri" w:eastAsia="Calibri" w:hAnsi="Calibri" w:cs="Arial"/>
          <w:vertAlign w:val="superscript"/>
          <w:rtl/>
        </w:rPr>
        <w:footnoteReference w:id="3628"/>
      </w:r>
      <w:r w:rsidRPr="001D49D4">
        <w:rPr>
          <w:rFonts w:ascii="Calibri" w:eastAsia="Calibri" w:hAnsi="Calibri" w:cs="Arial"/>
          <w:rtl/>
        </w:rPr>
        <w:t>. מאי שנא בין עדים לאשרתא? דלמא גייז לעילאי וכתב הוא ועדיו בשיטה אחת, וקסבר: שטר הבא הוא ועדיו בשיטה אחת – כשר...</w:t>
      </w:r>
    </w:p>
    <w:p w14:paraId="4993C345" w14:textId="77777777" w:rsidR="001D49D4" w:rsidRPr="001D49D4" w:rsidRDefault="001D49D4" w:rsidP="0004348D">
      <w:pPr>
        <w:spacing w:before="360" w:after="240"/>
        <w:rPr>
          <w:rFonts w:ascii="Calibri" w:eastAsia="Calibri" w:hAnsi="Calibri" w:cs="Arial"/>
          <w:u w:val="single"/>
          <w:rtl/>
        </w:rPr>
      </w:pPr>
      <w:r w:rsidRPr="001D49D4">
        <w:rPr>
          <w:rFonts w:ascii="Calibri" w:eastAsia="Calibri" w:hAnsi="Calibri" w:cs="Arial"/>
          <w:u w:val="single"/>
          <w:rtl/>
        </w:rPr>
        <w:t>חתימת העדים זה אחר זה במקום שיש קטע חלק לפני מקום חתימתם:</w:t>
      </w:r>
    </w:p>
    <w:p w14:paraId="44B70210" w14:textId="77777777" w:rsidR="001D49D4" w:rsidRPr="001D49D4" w:rsidRDefault="001D49D4" w:rsidP="0004348D">
      <w:pPr>
        <w:numPr>
          <w:ilvl w:val="0"/>
          <w:numId w:val="267"/>
        </w:numPr>
        <w:spacing w:before="360" w:after="240"/>
        <w:contextualSpacing/>
        <w:rPr>
          <w:rtl/>
        </w:rPr>
      </w:pPr>
      <w:r w:rsidRPr="001D49D4">
        <w:rPr>
          <w:rtl/>
        </w:rPr>
        <w:t>טור- צריך ליזהר כשחותמין ויש חלק לפני חתימתן שלא יחתמו זה אחר זה בשיטה אחת דשמא יכתוב בחלק שלפני חתימתן מה שירצה ויחתוך העליון ויהיה שטר הבא הוא ועידיו בשיטה אחת</w:t>
      </w:r>
      <w:r w:rsidRPr="001D49D4">
        <w:rPr>
          <w:vertAlign w:val="superscript"/>
          <w:rtl/>
        </w:rPr>
        <w:footnoteReference w:id="3629"/>
      </w:r>
      <w:r w:rsidRPr="001D49D4">
        <w:rPr>
          <w:rtl/>
        </w:rPr>
        <w:t xml:space="preserve">. </w:t>
      </w:r>
      <w:r w:rsidRPr="001D49D4">
        <w:rPr>
          <w:color w:val="E36C0A" w:themeColor="accent6" w:themeShade="BF"/>
          <w:rtl/>
        </w:rPr>
        <w:t>(וכ"פ בשו"ע)</w:t>
      </w:r>
    </w:p>
    <w:p w14:paraId="3BD6EB0B" w14:textId="77777777" w:rsidR="001D49D4" w:rsidRPr="001D49D4" w:rsidRDefault="001D49D4" w:rsidP="0004348D">
      <w:pPr>
        <w:spacing w:before="360" w:after="240"/>
        <w:ind w:left="360"/>
        <w:rPr>
          <w:rFonts w:ascii="Calibri" w:eastAsia="Calibri" w:hAnsi="Calibri" w:cs="Arial"/>
          <w:u w:val="dotted"/>
        </w:rPr>
      </w:pPr>
      <w:r w:rsidRPr="001D49D4">
        <w:rPr>
          <w:rFonts w:ascii="Calibri" w:eastAsia="Calibri" w:hAnsi="Calibri" w:cs="Arial"/>
          <w:u w:val="dotted"/>
          <w:rtl/>
        </w:rPr>
        <w:t>וכיצד יעשו אם בא לפניהם שטר כזה לחתום עליו:</w:t>
      </w:r>
    </w:p>
    <w:p w14:paraId="3F03C68F" w14:textId="77777777" w:rsidR="001D49D4" w:rsidRPr="001D49D4" w:rsidRDefault="001D49D4" w:rsidP="0004348D">
      <w:pPr>
        <w:numPr>
          <w:ilvl w:val="0"/>
          <w:numId w:val="267"/>
        </w:numPr>
        <w:spacing w:before="360" w:after="240"/>
        <w:contextualSpacing/>
      </w:pPr>
      <w:r w:rsidRPr="001D49D4">
        <w:rPr>
          <w:rtl/>
        </w:rPr>
        <w:t xml:space="preserve">רא"ש </w:t>
      </w:r>
      <w:r w:rsidRPr="001D49D4">
        <w:rPr>
          <w:sz w:val="16"/>
          <w:szCs w:val="16"/>
          <w:rtl/>
        </w:rPr>
        <w:t xml:space="preserve">(פ"י סי' ב) </w:t>
      </w:r>
      <w:r w:rsidRPr="001D49D4">
        <w:rPr>
          <w:rtl/>
        </w:rPr>
        <w:t xml:space="preserve">וטור- וכיצד יעשו - יטייטנו בדיו, ולא אמרינן דאטיוטא חתימו אלא היכא שהטיוטא עומד בין שטר לעדים. </w:t>
      </w:r>
      <w:r w:rsidRPr="001D49D4">
        <w:rPr>
          <w:color w:val="E36C0A" w:themeColor="accent6" w:themeShade="BF"/>
          <w:rtl/>
        </w:rPr>
        <w:t>(וכ"פ בשו"ע)</w:t>
      </w:r>
    </w:p>
    <w:p w14:paraId="0EE53352" w14:textId="77777777" w:rsidR="001D49D4" w:rsidRPr="001D49D4" w:rsidRDefault="001D49D4" w:rsidP="0004348D">
      <w:pPr>
        <w:spacing w:before="360" w:after="240"/>
        <w:rPr>
          <w:rFonts w:ascii="Calibri" w:eastAsia="Calibri" w:hAnsi="Calibri" w:cs="Arial"/>
          <w:u w:val="single"/>
        </w:rPr>
      </w:pPr>
      <w:r w:rsidRPr="001D49D4">
        <w:rPr>
          <w:rFonts w:ascii="Calibri" w:eastAsia="Calibri" w:hAnsi="Calibri" w:cs="Arial"/>
          <w:u w:val="single"/>
          <w:rtl/>
        </w:rPr>
        <w:t xml:space="preserve">עדים שחתמו על שטר כנ"ל וחתכו את הקטע החלק </w:t>
      </w:r>
      <w:r w:rsidRPr="001D49D4">
        <w:rPr>
          <w:rFonts w:ascii="Calibri" w:eastAsia="Calibri" w:hAnsi="Calibri" w:cs="Arial"/>
          <w:sz w:val="16"/>
          <w:szCs w:val="16"/>
          <w:u w:val="single"/>
          <w:rtl/>
        </w:rPr>
        <w:t>(כדי שלא יוכל להזדייף)</w:t>
      </w:r>
      <w:r w:rsidRPr="001D49D4">
        <w:rPr>
          <w:rFonts w:ascii="Calibri" w:eastAsia="Calibri" w:hAnsi="Calibri" w:cs="Arial"/>
          <w:u w:val="single"/>
          <w:rtl/>
        </w:rPr>
        <w:t>:</w:t>
      </w:r>
    </w:p>
    <w:p w14:paraId="09EE7C53" w14:textId="77777777" w:rsidR="001D49D4" w:rsidRPr="001D49D4" w:rsidRDefault="001D49D4" w:rsidP="0004348D">
      <w:pPr>
        <w:numPr>
          <w:ilvl w:val="0"/>
          <w:numId w:val="267"/>
        </w:numPr>
        <w:spacing w:before="360" w:after="240"/>
        <w:contextualSpacing/>
      </w:pPr>
      <w:r w:rsidRPr="001D49D4">
        <w:rPr>
          <w:rtl/>
        </w:rPr>
        <w:t xml:space="preserve">רא"ש </w:t>
      </w:r>
      <w:r w:rsidRPr="001D49D4">
        <w:rPr>
          <w:sz w:val="16"/>
          <w:szCs w:val="16"/>
          <w:rtl/>
        </w:rPr>
        <w:t xml:space="preserve">(פ"י סי' ב) </w:t>
      </w:r>
      <w:r w:rsidRPr="001D49D4">
        <w:rPr>
          <w:rtl/>
        </w:rPr>
        <w:t xml:space="preserve">וטור- ואם התחילו לחתום באמצע השיטה וחתכו החלק שלפני חתימתן – פסול, דשמא היה כתוב שם חובתו או שום תנאי וזה חתכו. ומיהו אם כתב למעלה בסוף השיטה שריר וקיים כשר ובלבד שיהיו </w:t>
      </w:r>
      <w:r w:rsidRPr="001D49D4">
        <w:rPr>
          <w:rtl/>
        </w:rPr>
        <w:lastRenderedPageBreak/>
        <w:t>העדים חתומין זה תחת זה, אבל אם חתומין זה אחר זה פסול דשמא היה שטר הבא הוא ועידיו בשיטה אחת וחתכו והיה חלק מלמעלה וכתב עליו שטר זה.</w:t>
      </w:r>
      <w:r w:rsidRPr="001D49D4">
        <w:rPr>
          <w:color w:val="E36C0A" w:themeColor="accent6" w:themeShade="BF"/>
          <w:rtl/>
        </w:rPr>
        <w:t xml:space="preserve"> (וכ"פ בשו"ע)</w:t>
      </w:r>
    </w:p>
    <w:p w14:paraId="1D244416" w14:textId="77777777" w:rsidR="001D49D4" w:rsidRPr="001D49D4" w:rsidRDefault="001D49D4" w:rsidP="0004348D">
      <w:pPr>
        <w:spacing w:before="360" w:after="240"/>
        <w:rPr>
          <w:rFonts w:ascii="Arial" w:eastAsia="Calibri" w:hAnsi="Arial" w:cs="Arial"/>
          <w:b/>
          <w:bCs/>
          <w:color w:val="000000"/>
          <w:sz w:val="28"/>
          <w:szCs w:val="28"/>
          <w:u w:val="single"/>
          <w:rtl/>
        </w:rPr>
      </w:pPr>
      <w:r w:rsidRPr="001D49D4">
        <w:rPr>
          <w:rFonts w:ascii="Arial" w:eastAsia="Calibri" w:hAnsi="Arial" w:cs="Arial"/>
          <w:b/>
          <w:bCs/>
          <w:color w:val="000000"/>
          <w:sz w:val="28"/>
          <w:szCs w:val="28"/>
          <w:u w:val="single"/>
          <w:rtl/>
        </w:rPr>
        <w:t>שו"ע:</w:t>
      </w:r>
    </w:p>
    <w:p w14:paraId="1354C1DB"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rtl/>
        </w:rPr>
        <w:t>צריך ליזהר כשחותמין ויש חלק לפני חתימתן</w:t>
      </w:r>
      <w:r w:rsidRPr="001D49D4">
        <w:rPr>
          <w:rFonts w:ascii="Calibri" w:eastAsia="Calibri" w:hAnsi="Calibri" w:cs="Arial"/>
          <w:vertAlign w:val="superscript"/>
          <w:rtl/>
        </w:rPr>
        <w:footnoteReference w:id="3630"/>
      </w:r>
      <w:r w:rsidRPr="001D49D4">
        <w:rPr>
          <w:rFonts w:ascii="Calibri" w:eastAsia="Calibri" w:hAnsi="Calibri" w:cs="Arial"/>
          <w:rtl/>
        </w:rPr>
        <w:t xml:space="preserve"> שלא יחתמו זה אחר זה בשטה אחת, דשמא יכתוב בחלק שלפני חתימתן מה שירצה ויחתוך העליון ויהיה שטר שבא הוא ועידיו בשטה אחת</w:t>
      </w:r>
      <w:r w:rsidRPr="001D49D4">
        <w:rPr>
          <w:rFonts w:ascii="Calibri" w:eastAsia="Calibri" w:hAnsi="Calibri" w:cs="Arial"/>
          <w:vertAlign w:val="superscript"/>
          <w:rtl/>
        </w:rPr>
        <w:footnoteReference w:id="3631"/>
      </w:r>
      <w:r w:rsidRPr="001D49D4">
        <w:rPr>
          <w:rFonts w:ascii="Calibri" w:eastAsia="Calibri" w:hAnsi="Calibri" w:cs="Arial"/>
          <w:rtl/>
        </w:rPr>
        <w:t>. וכיצד יעשו, יטייטנו בדיו, ולא אמרינן דאטיוטא חתימי</w:t>
      </w:r>
      <w:r w:rsidRPr="001D49D4">
        <w:rPr>
          <w:rFonts w:ascii="Calibri" w:eastAsia="Calibri" w:hAnsi="Calibri" w:cs="Arial"/>
          <w:vertAlign w:val="superscript"/>
          <w:rtl/>
        </w:rPr>
        <w:footnoteReference w:id="3632"/>
      </w:r>
      <w:r w:rsidRPr="001D49D4">
        <w:rPr>
          <w:rFonts w:ascii="Calibri" w:eastAsia="Calibri" w:hAnsi="Calibri" w:cs="Arial"/>
          <w:rtl/>
        </w:rPr>
        <w:t xml:space="preserve"> אלא היכא שהטיוטא עומד בין שטר לעדים. ואם התחילו לחתום באמצע השטה וחתכו החלק שלפני חתימתן, פסול, דשמא היה כתוב שם חובתו</w:t>
      </w:r>
      <w:r w:rsidRPr="001D49D4">
        <w:rPr>
          <w:rFonts w:ascii="Calibri" w:eastAsia="Calibri" w:hAnsi="Calibri" w:cs="Arial"/>
          <w:vertAlign w:val="superscript"/>
          <w:rtl/>
        </w:rPr>
        <w:footnoteReference w:id="3633"/>
      </w:r>
      <w:r w:rsidRPr="001D49D4">
        <w:rPr>
          <w:rFonts w:ascii="Calibri" w:eastAsia="Calibri" w:hAnsi="Calibri" w:cs="Arial"/>
          <w:rtl/>
        </w:rPr>
        <w:t xml:space="preserve"> או שום תנאי וזה חתכו. ומיהו אם כתב למעלה בסוף השטה שריר וקיים, כשר, ובלבד שיהיו העדים חתומים זה תחת זה, אבל אם חתומים זה אחר זה, פסול, דשמא היה שטר הבא הוא ועידיו בשטה אחת וחתכו והיה חלק מלמעלה וכתב עליו שטר זה</w:t>
      </w:r>
      <w:r w:rsidRPr="001D49D4">
        <w:rPr>
          <w:rFonts w:ascii="Calibri" w:eastAsia="Calibri" w:hAnsi="Calibri" w:cs="Arial"/>
          <w:vertAlign w:val="superscript"/>
          <w:rtl/>
        </w:rPr>
        <w:footnoteReference w:id="3634"/>
      </w:r>
      <w:r w:rsidRPr="001D49D4">
        <w:rPr>
          <w:rFonts w:ascii="Calibri" w:eastAsia="Calibri" w:hAnsi="Calibri" w:cs="Arial"/>
          <w:rtl/>
        </w:rPr>
        <w:t xml:space="preserve">. </w:t>
      </w:r>
    </w:p>
    <w:p w14:paraId="359DBB70" w14:textId="77777777" w:rsidR="001D49D4" w:rsidRPr="001D49D4" w:rsidRDefault="001D49D4" w:rsidP="0004348D">
      <w:pPr>
        <w:spacing w:before="360" w:after="240"/>
        <w:rPr>
          <w:rFonts w:ascii="Calibri" w:eastAsia="Calibri" w:hAnsi="Calibri" w:cs="Arial"/>
          <w:rtl/>
        </w:rPr>
      </w:pPr>
    </w:p>
    <w:p w14:paraId="7F2C7919" w14:textId="77777777" w:rsidR="001D49D4" w:rsidRPr="001D49D4" w:rsidRDefault="001D49D4" w:rsidP="0004348D">
      <w:pPr>
        <w:keepNext/>
        <w:keepLines/>
        <w:spacing w:before="360" w:after="240"/>
        <w:outlineLvl w:val="1"/>
        <w:rPr>
          <w:rFonts w:ascii="Cambria" w:eastAsia="Times New Roman" w:hAnsi="Cambria" w:cs="Arial"/>
          <w:bCs/>
          <w:color w:val="548DD4" w:themeColor="text2" w:themeTint="99"/>
          <w:sz w:val="26"/>
          <w:szCs w:val="26"/>
          <w:rtl/>
        </w:rPr>
      </w:pPr>
      <w:bookmarkStart w:id="487" w:name="_Toc24883922"/>
      <w:r w:rsidRPr="001D49D4">
        <w:rPr>
          <w:rFonts w:ascii="Cambria" w:eastAsia="Times New Roman" w:hAnsi="Cambria" w:cs="Arial"/>
          <w:bCs/>
          <w:color w:val="548DD4" w:themeColor="text2" w:themeTint="99"/>
          <w:sz w:val="26"/>
          <w:szCs w:val="26"/>
          <w:rtl/>
        </w:rPr>
        <w:t>סעיף יב:</w:t>
      </w:r>
      <w:r w:rsidRPr="001D49D4">
        <w:rPr>
          <w:rFonts w:ascii="Cambria" w:eastAsia="Times New Roman" w:hAnsi="Cambria" w:cs="Arial"/>
          <w:b/>
          <w:color w:val="548DD4" w:themeColor="text2" w:themeTint="99"/>
          <w:sz w:val="26"/>
          <w:szCs w:val="26"/>
          <w:rtl/>
        </w:rPr>
        <w:t xml:space="preserve"> </w:t>
      </w:r>
      <w:r w:rsidRPr="001D49D4">
        <w:rPr>
          <w:rFonts w:ascii="Cambria" w:eastAsia="Times New Roman" w:hAnsi="Cambria" w:cs="Arial"/>
          <w:bCs/>
          <w:color w:val="548DD4" w:themeColor="text2" w:themeTint="99"/>
          <w:sz w:val="26"/>
          <w:szCs w:val="26"/>
          <w:rtl/>
        </w:rPr>
        <w:t>שטר שהיו עדיו מרובים ונמצא אחד מהם קרוב או פסול.</w:t>
      </w:r>
      <w:bookmarkEnd w:id="487"/>
    </w:p>
    <w:p w14:paraId="682EA3DF"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b/>
          <w:bCs/>
          <w:rtl/>
        </w:rPr>
        <w:t>תוספתא גיטין</w:t>
      </w:r>
      <w:r w:rsidRPr="001D49D4">
        <w:rPr>
          <w:rFonts w:ascii="Calibri" w:eastAsia="Calibri" w:hAnsi="Calibri" w:cs="Arial"/>
          <w:b/>
          <w:bCs/>
          <w:sz w:val="16"/>
          <w:szCs w:val="16"/>
          <w:rtl/>
        </w:rPr>
        <w:t xml:space="preserve"> (ליברמן)</w:t>
      </w:r>
      <w:r w:rsidRPr="001D49D4">
        <w:rPr>
          <w:rFonts w:ascii="Calibri" w:eastAsia="Calibri" w:hAnsi="Calibri" w:cs="Arial"/>
          <w:b/>
          <w:bCs/>
          <w:rtl/>
        </w:rPr>
        <w:t xml:space="preserve"> פ"ז הי"א: </w:t>
      </w:r>
      <w:r w:rsidRPr="001D49D4">
        <w:rPr>
          <w:rFonts w:ascii="Calibri" w:eastAsia="Calibri" w:hAnsi="Calibri" w:cs="Arial"/>
          <w:rtl/>
        </w:rPr>
        <w:t xml:space="preserve">גט שחתמו עליו חמשה עדים ונמצאו שלשה הראשונים פסולין תתקיים עדות בשאר עדים. </w:t>
      </w:r>
    </w:p>
    <w:p w14:paraId="6051A283"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b/>
          <w:bCs/>
          <w:rtl/>
        </w:rPr>
        <w:t xml:space="preserve">בבא בתרא </w:t>
      </w:r>
      <w:r w:rsidRPr="001D49D4">
        <w:rPr>
          <w:rFonts w:ascii="Calibri" w:eastAsia="Calibri" w:hAnsi="Calibri" w:cs="Arial"/>
          <w:b/>
          <w:bCs/>
          <w:sz w:val="16"/>
          <w:szCs w:val="16"/>
          <w:rtl/>
        </w:rPr>
        <w:t>(פרק גט פשוט)</w:t>
      </w:r>
      <w:r w:rsidRPr="001D49D4">
        <w:rPr>
          <w:rFonts w:ascii="Calibri" w:eastAsia="Calibri" w:hAnsi="Calibri" w:cs="Arial"/>
          <w:b/>
          <w:bCs/>
          <w:rtl/>
        </w:rPr>
        <w:t xml:space="preserve"> קסב</w:t>
      </w:r>
      <w:r w:rsidRPr="001D49D4">
        <w:rPr>
          <w:rFonts w:ascii="Calibri" w:eastAsia="Calibri" w:hAnsi="Calibri" w:cs="Arial"/>
          <w:b/>
          <w:bCs/>
          <w:vertAlign w:val="superscript"/>
          <w:rtl/>
        </w:rPr>
        <w:footnoteReference w:id="3635"/>
      </w:r>
      <w:r w:rsidRPr="001D49D4">
        <w:rPr>
          <w:rFonts w:ascii="Calibri" w:eastAsia="Calibri" w:hAnsi="Calibri" w:cs="Arial"/>
          <w:b/>
          <w:bCs/>
          <w:rtl/>
        </w:rPr>
        <w:t xml:space="preserve"> ע"א:</w:t>
      </w:r>
      <w:r w:rsidRPr="001D49D4">
        <w:rPr>
          <w:rFonts w:ascii="Calibri" w:eastAsia="Calibri" w:hAnsi="Calibri" w:cs="Arial"/>
          <w:rtl/>
        </w:rPr>
        <w:t xml:space="preserve"> ת"ש דתניא: הרחיק את העדים שני שיטין מן הכתב - פסול, פחות מכאן – כשר. היו ארבעה וחמשה עדים חתומין על השטר [ונמצא אחד מהן קרוב או פסול]</w:t>
      </w:r>
      <w:r w:rsidRPr="001D49D4">
        <w:rPr>
          <w:rFonts w:ascii="Calibri" w:eastAsia="Calibri" w:hAnsi="Calibri" w:cs="Arial"/>
          <w:vertAlign w:val="superscript"/>
          <w:rtl/>
        </w:rPr>
        <w:footnoteReference w:id="3636"/>
      </w:r>
      <w:r w:rsidRPr="001D49D4">
        <w:rPr>
          <w:rFonts w:ascii="Calibri" w:eastAsia="Calibri" w:hAnsi="Calibri" w:cs="Arial"/>
          <w:rtl/>
        </w:rPr>
        <w:t xml:space="preserve"> - תתקיים עדות בשאר. מסייע ליה לחזקיה, </w:t>
      </w:r>
      <w:r w:rsidRPr="001D49D4">
        <w:rPr>
          <w:rFonts w:ascii="Calibri" w:eastAsia="Calibri" w:hAnsi="Calibri" w:cs="Arial"/>
          <w:u w:val="single"/>
          <w:rtl/>
        </w:rPr>
        <w:t>דאמר חזקיה</w:t>
      </w:r>
      <w:r w:rsidRPr="001D49D4">
        <w:rPr>
          <w:rFonts w:ascii="Calibri" w:eastAsia="Calibri" w:hAnsi="Calibri" w:cs="Arial"/>
          <w:rtl/>
        </w:rPr>
        <w:t xml:space="preserve">: מלאהו בקרובים – כשר. ואל תתמה, שהרי אויר סוכה פוסל בשלשה, סכך פסול פוסל בארבעה. </w:t>
      </w:r>
    </w:p>
    <w:p w14:paraId="36D46923" w14:textId="77777777" w:rsidR="001D49D4" w:rsidRPr="001D49D4" w:rsidRDefault="001D49D4" w:rsidP="0004348D">
      <w:pPr>
        <w:spacing w:before="360" w:after="240"/>
        <w:rPr>
          <w:rFonts w:ascii="Calibri" w:eastAsia="Calibri" w:hAnsi="Calibri" w:cs="Arial"/>
          <w:u w:val="single"/>
          <w:rtl/>
        </w:rPr>
      </w:pPr>
      <w:r w:rsidRPr="001D49D4">
        <w:rPr>
          <w:rFonts w:ascii="Calibri" w:eastAsia="Calibri" w:hAnsi="Calibri" w:cs="Arial"/>
          <w:b/>
          <w:bCs/>
          <w:u w:val="single"/>
          <w:rtl/>
        </w:rPr>
        <w:t>שטר</w:t>
      </w:r>
      <w:r w:rsidRPr="001D49D4">
        <w:rPr>
          <w:rFonts w:ascii="Calibri" w:eastAsia="Calibri" w:hAnsi="Calibri" w:cs="Arial"/>
          <w:u w:val="single"/>
          <w:rtl/>
        </w:rPr>
        <w:t xml:space="preserve"> שהיו עדיו מרובים ונמצא אחד מהם קרוב או פסול:</w:t>
      </w:r>
    </w:p>
    <w:p w14:paraId="0DD22CA0" w14:textId="77777777" w:rsidR="001D49D4" w:rsidRPr="001D49D4" w:rsidRDefault="001D49D4" w:rsidP="0004348D">
      <w:pPr>
        <w:numPr>
          <w:ilvl w:val="0"/>
          <w:numId w:val="267"/>
        </w:numPr>
        <w:spacing w:before="360" w:after="240"/>
        <w:contextualSpacing/>
        <w:rPr>
          <w:rtl/>
        </w:rPr>
      </w:pPr>
      <w:r w:rsidRPr="001D49D4">
        <w:rPr>
          <w:rtl/>
        </w:rPr>
        <w:lastRenderedPageBreak/>
        <w:t>בה"ג ר"ח ר"י ר"ת רשב"ם רשב"א רא"ש וטור</w:t>
      </w:r>
      <w:r w:rsidRPr="001D49D4">
        <w:rPr>
          <w:vertAlign w:val="superscript"/>
          <w:rtl/>
        </w:rPr>
        <w:footnoteReference w:id="3637"/>
      </w:r>
      <w:r w:rsidRPr="001D49D4">
        <w:rPr>
          <w:rtl/>
        </w:rPr>
        <w:t>- הרחיקו העדים שני שיטין או יותר ומלאוהו בחתימות קרובים או פסולין, אם שנים האחרונים כשרים - כשר, ואם לאו - פסול. לפיכך שטר הבא לפנינו ועדים הראשונים פסולין, אם שנים האחרונים כשרים - כשר, שאנו תולין על שם מילוי חתמו כל הראשונים הפסולין, אבל אם ב' האחרונים פסולין - פסול</w:t>
      </w:r>
      <w:r w:rsidRPr="001D49D4">
        <w:rPr>
          <w:sz w:val="16"/>
          <w:szCs w:val="16"/>
          <w:rtl/>
        </w:rPr>
        <w:t xml:space="preserve"> (ל' הטור)</w:t>
      </w:r>
      <w:r w:rsidRPr="001D49D4">
        <w:rPr>
          <w:rtl/>
        </w:rPr>
        <w:t xml:space="preserve">. </w:t>
      </w:r>
      <w:r w:rsidRPr="001D49D4">
        <w:rPr>
          <w:color w:val="00B0F0"/>
          <w:rtl/>
        </w:rPr>
        <w:t>(וכ"פ הרמ"א)</w:t>
      </w:r>
    </w:p>
    <w:p w14:paraId="53069F7C" w14:textId="77777777" w:rsidR="001D49D4" w:rsidRPr="001D49D4" w:rsidRDefault="001D49D4" w:rsidP="0004348D">
      <w:pPr>
        <w:numPr>
          <w:ilvl w:val="0"/>
          <w:numId w:val="267"/>
        </w:numPr>
        <w:spacing w:before="360" w:after="240"/>
        <w:contextualSpacing/>
      </w:pPr>
      <w:r w:rsidRPr="001D49D4">
        <w:rPr>
          <w:rtl/>
        </w:rPr>
        <w:t>גאונים</w:t>
      </w:r>
      <w:r w:rsidRPr="001D49D4">
        <w:rPr>
          <w:vertAlign w:val="superscript"/>
          <w:rtl/>
        </w:rPr>
        <w:footnoteReference w:id="3638"/>
      </w:r>
      <w:r w:rsidRPr="001D49D4">
        <w:rPr>
          <w:rtl/>
        </w:rPr>
        <w:t xml:space="preserve"> </w:t>
      </w:r>
      <w:r w:rsidRPr="001D49D4">
        <w:rPr>
          <w:sz w:val="16"/>
          <w:szCs w:val="16"/>
          <w:rtl/>
        </w:rPr>
        <w:t>(כ"כ בשמם הרי"ף [ב:] הרא"ש [סי' יא] והטור)</w:t>
      </w:r>
      <w:r w:rsidRPr="001D49D4">
        <w:rPr>
          <w:rtl/>
        </w:rPr>
        <w:t xml:space="preserve"> ורמב"ם </w:t>
      </w:r>
      <w:r w:rsidRPr="001D49D4">
        <w:rPr>
          <w:sz w:val="16"/>
          <w:szCs w:val="16"/>
          <w:rtl/>
        </w:rPr>
        <w:t>(פ"ה מהל' עדות ה"ו)</w:t>
      </w:r>
      <w:r w:rsidRPr="001D49D4">
        <w:rPr>
          <w:rtl/>
        </w:rPr>
        <w:t>- שטר שהיו עדיו מרובין ונמצא אחד מהן קרוב או פסול או שהיו בהם שנים קרובים זה לזה, והרי אין העדים קיימין כדי לשאול אותן, אם יש שם עדות ברורה שכולם ישבו לחתום שהרי נתכוונו להעיד - הרי זה בטל. ואם לאו - תתקיים העדות בשאר. ולמה מקיימין העדות בשאר, שהרי אפשר שחתמו הכשרים והניחו מקום לגדול לחתום ובא זה הקרוב או הפסול וחתם שלא מדעתם</w:t>
      </w:r>
      <w:r w:rsidRPr="001D49D4">
        <w:rPr>
          <w:vertAlign w:val="superscript"/>
          <w:rtl/>
        </w:rPr>
        <w:footnoteReference w:id="3639"/>
      </w:r>
      <w:r w:rsidRPr="001D49D4">
        <w:rPr>
          <w:rtl/>
        </w:rPr>
        <w:t xml:space="preserve"> </w:t>
      </w:r>
      <w:r w:rsidRPr="001D49D4">
        <w:rPr>
          <w:sz w:val="16"/>
          <w:szCs w:val="16"/>
          <w:rtl/>
        </w:rPr>
        <w:t>(ל' הרמב"ם)</w:t>
      </w:r>
      <w:r w:rsidRPr="001D49D4">
        <w:rPr>
          <w:rtl/>
        </w:rPr>
        <w:t>.</w:t>
      </w:r>
      <w:r w:rsidRPr="001D49D4">
        <w:rPr>
          <w:color w:val="E36C0A" w:themeColor="accent6" w:themeShade="BF"/>
          <w:rtl/>
        </w:rPr>
        <w:t xml:space="preserve"> (וכ"פ בשו"ע)</w:t>
      </w:r>
    </w:p>
    <w:p w14:paraId="40213C14" w14:textId="77777777" w:rsidR="001D49D4" w:rsidRPr="001D49D4" w:rsidRDefault="001D49D4" w:rsidP="0004348D">
      <w:pPr>
        <w:numPr>
          <w:ilvl w:val="1"/>
          <w:numId w:val="267"/>
        </w:numPr>
        <w:spacing w:before="360" w:after="240"/>
        <w:contextualSpacing/>
        <w:rPr>
          <w:rtl/>
        </w:rPr>
      </w:pPr>
      <w:r w:rsidRPr="001D49D4">
        <w:rPr>
          <w:rtl/>
        </w:rPr>
        <w:t xml:space="preserve">ב"י- ולענין הלכתא כתב הרשב"א בתשובה </w:t>
      </w:r>
      <w:r w:rsidRPr="001D49D4">
        <w:rPr>
          <w:sz w:val="16"/>
          <w:szCs w:val="16"/>
          <w:rtl/>
        </w:rPr>
        <w:t xml:space="preserve">(ח"א סי' אלף צב) </w:t>
      </w:r>
      <w:r w:rsidRPr="001D49D4">
        <w:rPr>
          <w:rtl/>
        </w:rPr>
        <w:t>על מ"ש הרי"ף בזה בשם גאון 'הנה שהגאון והרב ז"ל הסכימו בדבר להכשיר וראוי לסמוך עליהן דגדולי ישראל הם ומובהקים הם' עכ"ל</w:t>
      </w:r>
      <w:r w:rsidRPr="001D49D4">
        <w:rPr>
          <w:vertAlign w:val="superscript"/>
          <w:rtl/>
        </w:rPr>
        <w:footnoteReference w:id="3640"/>
      </w:r>
      <w:r w:rsidRPr="001D49D4">
        <w:rPr>
          <w:rtl/>
        </w:rPr>
        <w:t xml:space="preserve">, ועיין בתשובות הריב"ש סימן תי"ג </w:t>
      </w:r>
      <w:r w:rsidRPr="001D49D4">
        <w:rPr>
          <w:sz w:val="16"/>
          <w:szCs w:val="16"/>
          <w:rtl/>
        </w:rPr>
        <w:t xml:space="preserve">(הקדמה הא') </w:t>
      </w:r>
      <w:r w:rsidRPr="001D49D4">
        <w:rPr>
          <w:rtl/>
        </w:rPr>
        <w:t xml:space="preserve">ותט"ו </w:t>
      </w:r>
      <w:r w:rsidRPr="001D49D4">
        <w:rPr>
          <w:sz w:val="16"/>
          <w:szCs w:val="16"/>
          <w:rtl/>
        </w:rPr>
        <w:t xml:space="preserve">(עוד כתבת וכ"כ הרמ"ה) </w:t>
      </w:r>
      <w:r w:rsidRPr="001D49D4">
        <w:rPr>
          <w:rtl/>
        </w:rPr>
        <w:t xml:space="preserve">כי שם הסכים לפסוק כן, וכתב עוד בסימן תט"ו </w:t>
      </w:r>
      <w:r w:rsidRPr="001D49D4">
        <w:rPr>
          <w:sz w:val="16"/>
          <w:szCs w:val="16"/>
          <w:rtl/>
        </w:rPr>
        <w:t xml:space="preserve">(ד"ה ואחרי שבאת) </w:t>
      </w:r>
      <w:r w:rsidRPr="001D49D4">
        <w:rPr>
          <w:rtl/>
        </w:rPr>
        <w:t xml:space="preserve">כן דעת הרמב"ן </w:t>
      </w:r>
      <w:r w:rsidRPr="001D49D4">
        <w:rPr>
          <w:sz w:val="16"/>
          <w:szCs w:val="16"/>
          <w:rtl/>
        </w:rPr>
        <w:t>(ב"ב קסב: ד"ה מילאוהו)</w:t>
      </w:r>
      <w:r w:rsidRPr="001D49D4">
        <w:rPr>
          <w:rtl/>
        </w:rPr>
        <w:t xml:space="preserve"> ושהוסיף וכתב בפ"ב דגטין </w:t>
      </w:r>
      <w:r w:rsidRPr="001D49D4">
        <w:rPr>
          <w:sz w:val="16"/>
          <w:szCs w:val="16"/>
          <w:rtl/>
        </w:rPr>
        <w:t xml:space="preserve">(יח: ד"ה אתי) </w:t>
      </w:r>
      <w:r w:rsidRPr="001D49D4">
        <w:rPr>
          <w:rtl/>
        </w:rPr>
        <w:t xml:space="preserve">שאף כשחתמו יחד הכשרים והפסולים זה בפני זה לא הוי כמו אתו לאסהודי </w:t>
      </w:r>
      <w:r w:rsidRPr="001D49D4">
        <w:rPr>
          <w:sz w:val="16"/>
          <w:szCs w:val="16"/>
          <w:rtl/>
        </w:rPr>
        <w:t xml:space="preserve">(מכות ו.) </w:t>
      </w:r>
      <w:r w:rsidRPr="001D49D4">
        <w:rPr>
          <w:rtl/>
        </w:rPr>
        <w:t xml:space="preserve">לפסול השטר אלא כשהפסולים חתמו ראשונים, אבל אם הכשרים חתמו ראשונה אפילו חתמו הפסולים בפניהם השטר כשר. </w:t>
      </w:r>
    </w:p>
    <w:p w14:paraId="560A918C" w14:textId="77777777" w:rsidR="001D49D4" w:rsidRPr="001D49D4" w:rsidRDefault="001D49D4" w:rsidP="0004348D">
      <w:pPr>
        <w:spacing w:before="360" w:after="240"/>
        <w:ind w:left="360"/>
        <w:rPr>
          <w:rFonts w:ascii="Calibri" w:eastAsia="Calibri" w:hAnsi="Calibri" w:cs="Arial"/>
          <w:u w:val="dotted"/>
        </w:rPr>
      </w:pPr>
      <w:r w:rsidRPr="001D49D4">
        <w:rPr>
          <w:rFonts w:ascii="Calibri" w:eastAsia="Calibri" w:hAnsi="Calibri" w:cs="Arial"/>
          <w:u w:val="dotted"/>
          <w:rtl/>
        </w:rPr>
        <w:t xml:space="preserve">לר"ח וסיעתו </w:t>
      </w:r>
      <w:r w:rsidRPr="001D49D4">
        <w:rPr>
          <w:rFonts w:ascii="Calibri" w:eastAsia="Calibri" w:hAnsi="Calibri" w:cs="Arial"/>
          <w:sz w:val="16"/>
          <w:szCs w:val="16"/>
          <w:u w:val="dotted"/>
          <w:rtl/>
        </w:rPr>
        <w:t xml:space="preserve">(שמחלקים בין שחתמו הפסולים בתחילה או בסוף) </w:t>
      </w:r>
      <w:r w:rsidRPr="001D49D4">
        <w:rPr>
          <w:rFonts w:ascii="Calibri" w:eastAsia="Calibri" w:hAnsi="Calibri" w:cs="Arial"/>
          <w:u w:val="dotted"/>
          <w:rtl/>
        </w:rPr>
        <w:t>– מה הדין אם הקרוב/הפסול חתם באמצע:</w:t>
      </w:r>
    </w:p>
    <w:p w14:paraId="6E7E903B" w14:textId="77777777" w:rsidR="001D49D4" w:rsidRPr="001D49D4" w:rsidRDefault="001D49D4" w:rsidP="0004348D">
      <w:pPr>
        <w:numPr>
          <w:ilvl w:val="0"/>
          <w:numId w:val="267"/>
        </w:numPr>
        <w:spacing w:before="360" w:after="240"/>
        <w:contextualSpacing/>
      </w:pPr>
      <w:r w:rsidRPr="001D49D4">
        <w:rPr>
          <w:rtl/>
        </w:rPr>
        <w:t xml:space="preserve">ר"ת </w:t>
      </w:r>
      <w:r w:rsidRPr="001D49D4">
        <w:rPr>
          <w:sz w:val="16"/>
          <w:szCs w:val="16"/>
          <w:rtl/>
        </w:rPr>
        <w:t>(כ"כ התוס' בשמו [פ"ב דגיטין יח: ד"ה אמרי])</w:t>
      </w:r>
      <w:r w:rsidRPr="001D49D4">
        <w:rPr>
          <w:rtl/>
        </w:rPr>
        <w:t xml:space="preserve"> ר"י </w:t>
      </w:r>
      <w:r w:rsidRPr="001D49D4">
        <w:rPr>
          <w:sz w:val="16"/>
          <w:szCs w:val="16"/>
          <w:rtl/>
        </w:rPr>
        <w:t xml:space="preserve">(כ"כ התוס' בשמו [שם]) </w:t>
      </w:r>
      <w:r w:rsidRPr="001D49D4">
        <w:rPr>
          <w:rtl/>
        </w:rPr>
        <w:t>ור"ן</w:t>
      </w:r>
      <w:r w:rsidRPr="001D49D4">
        <w:rPr>
          <w:sz w:val="16"/>
          <w:szCs w:val="16"/>
          <w:rtl/>
        </w:rPr>
        <w:t xml:space="preserve"> (פ"ב דגיטין ט. דיבור ראשון)</w:t>
      </w:r>
      <w:r w:rsidRPr="001D49D4">
        <w:rPr>
          <w:rtl/>
        </w:rPr>
        <w:t>- אם חתם פסול באמצע או בסוף - פסול</w:t>
      </w:r>
      <w:r w:rsidRPr="001D49D4">
        <w:rPr>
          <w:vertAlign w:val="superscript"/>
          <w:rtl/>
        </w:rPr>
        <w:footnoteReference w:id="3641"/>
      </w:r>
      <w:r w:rsidRPr="001D49D4">
        <w:rPr>
          <w:rtl/>
        </w:rPr>
        <w:t>. (וכ"פ הסמ"ע</w:t>
      </w:r>
      <w:r w:rsidRPr="001D49D4">
        <w:rPr>
          <w:sz w:val="16"/>
          <w:szCs w:val="16"/>
          <w:rtl/>
        </w:rPr>
        <w:t xml:space="preserve"> [סקל"ב]</w:t>
      </w:r>
      <w:r w:rsidRPr="001D49D4">
        <w:rPr>
          <w:rtl/>
        </w:rPr>
        <w:t xml:space="preserve"> והש"ך</w:t>
      </w:r>
      <w:r w:rsidRPr="001D49D4">
        <w:rPr>
          <w:sz w:val="16"/>
          <w:szCs w:val="16"/>
          <w:rtl/>
        </w:rPr>
        <w:t xml:space="preserve"> [סקכ"ג]</w:t>
      </w:r>
      <w:r w:rsidRPr="001D49D4">
        <w:rPr>
          <w:rtl/>
        </w:rPr>
        <w:t>)</w:t>
      </w:r>
    </w:p>
    <w:p w14:paraId="0870289D" w14:textId="77777777" w:rsidR="001D49D4" w:rsidRPr="001D49D4" w:rsidRDefault="001D49D4" w:rsidP="0004348D">
      <w:pPr>
        <w:numPr>
          <w:ilvl w:val="0"/>
          <w:numId w:val="267"/>
        </w:numPr>
        <w:spacing w:before="360" w:after="240"/>
        <w:contextualSpacing/>
      </w:pPr>
      <w:r w:rsidRPr="001D49D4">
        <w:rPr>
          <w:rtl/>
        </w:rPr>
        <w:t xml:space="preserve">רא"ש </w:t>
      </w:r>
      <w:r w:rsidRPr="001D49D4">
        <w:rPr>
          <w:sz w:val="16"/>
          <w:szCs w:val="16"/>
          <w:rtl/>
        </w:rPr>
        <w:t>(פרק גט פשוט סי' ג)</w:t>
      </w:r>
      <w:r w:rsidRPr="001D49D4">
        <w:rPr>
          <w:rtl/>
        </w:rPr>
        <w:t>- אע"פ שחתמו פסולים באמצע כיון דחתימי כשרים למטה מהם - כשר</w:t>
      </w:r>
      <w:r w:rsidRPr="001D49D4">
        <w:rPr>
          <w:vertAlign w:val="superscript"/>
          <w:rtl/>
        </w:rPr>
        <w:footnoteReference w:id="3642"/>
      </w:r>
      <w:r w:rsidRPr="001D49D4">
        <w:rPr>
          <w:rtl/>
        </w:rPr>
        <w:t xml:space="preserve">. </w:t>
      </w:r>
    </w:p>
    <w:p w14:paraId="51D2C834" w14:textId="77777777" w:rsidR="001D49D4" w:rsidRPr="001D49D4" w:rsidRDefault="001D49D4" w:rsidP="0004348D">
      <w:pPr>
        <w:numPr>
          <w:ilvl w:val="0"/>
          <w:numId w:val="268"/>
        </w:numPr>
        <w:spacing w:before="360" w:after="240"/>
        <w:contextualSpacing/>
      </w:pPr>
      <w:r w:rsidRPr="001D49D4">
        <w:rPr>
          <w:rtl/>
        </w:rPr>
        <w:t xml:space="preserve">מרדכי </w:t>
      </w:r>
      <w:r w:rsidRPr="001D49D4">
        <w:rPr>
          <w:sz w:val="16"/>
          <w:szCs w:val="16"/>
          <w:rtl/>
        </w:rPr>
        <w:t xml:space="preserve">(ב"ב פרק גט פשוט סי' תרמג) </w:t>
      </w:r>
      <w:r w:rsidRPr="001D49D4">
        <w:rPr>
          <w:rtl/>
        </w:rPr>
        <w:t>בשם ר"ת- אפילו חתם קרוב או פסול באמצע יש לתלות ולומר דלתנאי חתם כדאיתא בפרק שני דגיטין</w:t>
      </w:r>
      <w:r w:rsidRPr="001D49D4">
        <w:rPr>
          <w:vertAlign w:val="superscript"/>
          <w:rtl/>
        </w:rPr>
        <w:footnoteReference w:id="3643"/>
      </w:r>
      <w:r w:rsidRPr="001D49D4">
        <w:rPr>
          <w:rtl/>
        </w:rPr>
        <w:t xml:space="preserve"> </w:t>
      </w:r>
      <w:r w:rsidRPr="001D49D4">
        <w:rPr>
          <w:sz w:val="16"/>
          <w:szCs w:val="16"/>
          <w:rtl/>
        </w:rPr>
        <w:t>(יח:)</w:t>
      </w:r>
      <w:r w:rsidRPr="001D49D4">
        <w:rPr>
          <w:rtl/>
        </w:rPr>
        <w:t>, אלא דפסלינן משום דילמא אתי לקיומי בחד כשר ובחד פסול</w:t>
      </w:r>
      <w:r w:rsidRPr="001D49D4">
        <w:rPr>
          <w:vertAlign w:val="superscript"/>
          <w:rtl/>
        </w:rPr>
        <w:footnoteReference w:id="3644"/>
      </w:r>
      <w:r w:rsidRPr="001D49D4">
        <w:rPr>
          <w:rtl/>
        </w:rPr>
        <w:t>.</w:t>
      </w:r>
    </w:p>
    <w:p w14:paraId="1E57636F"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b/>
          <w:bCs/>
          <w:rtl/>
        </w:rPr>
        <w:lastRenderedPageBreak/>
        <w:t xml:space="preserve">ירושלמי </w:t>
      </w:r>
      <w:r w:rsidRPr="001D49D4">
        <w:rPr>
          <w:rFonts w:ascii="Calibri" w:eastAsia="Calibri" w:hAnsi="Calibri" w:cs="Arial"/>
          <w:b/>
          <w:bCs/>
          <w:sz w:val="16"/>
          <w:szCs w:val="16"/>
          <w:rtl/>
        </w:rPr>
        <w:t>(וילנא)</w:t>
      </w:r>
      <w:r w:rsidRPr="001D49D4">
        <w:rPr>
          <w:rFonts w:ascii="Calibri" w:eastAsia="Calibri" w:hAnsi="Calibri" w:cs="Arial"/>
          <w:b/>
          <w:bCs/>
          <w:rtl/>
        </w:rPr>
        <w:t xml:space="preserve"> גיטין פ"א:</w:t>
      </w:r>
      <w:r w:rsidRPr="001D49D4">
        <w:rPr>
          <w:rFonts w:ascii="Calibri" w:eastAsia="Calibri" w:hAnsi="Calibri" w:cs="Arial"/>
          <w:rtl/>
        </w:rPr>
        <w:t xml:space="preserve"> שטר שחותמו בארבעה עדים, ונמצאו שנים הראשונים קרובים או פסולים – כשר, ותתקיים העדות בשאר. ויעשה כהרחק עדות ויהא פסול! לית יכיל, דקאמר ר' יסא בשם ר' ירמיה עדים פסולין אינן נעשין כהרחק עדות שלא באו אלא להכשירו של גט</w:t>
      </w:r>
      <w:r w:rsidRPr="001D49D4">
        <w:rPr>
          <w:rFonts w:ascii="Calibri" w:eastAsia="Calibri" w:hAnsi="Calibri" w:cs="Arial"/>
          <w:vertAlign w:val="superscript"/>
          <w:rtl/>
        </w:rPr>
        <w:footnoteReference w:id="3645"/>
      </w:r>
      <w:r w:rsidRPr="001D49D4">
        <w:rPr>
          <w:rFonts w:ascii="Calibri" w:eastAsia="Calibri" w:hAnsi="Calibri" w:cs="Arial"/>
          <w:rtl/>
        </w:rPr>
        <w:t xml:space="preserve">. </w:t>
      </w:r>
      <w:r w:rsidRPr="001D49D4">
        <w:rPr>
          <w:rFonts w:ascii="Calibri" w:eastAsia="Calibri" w:hAnsi="Calibri" w:cs="Arial"/>
          <w:vertAlign w:val="superscript"/>
          <w:rtl/>
        </w:rPr>
        <w:footnoteReference w:id="3646"/>
      </w:r>
      <w:r w:rsidRPr="001D49D4">
        <w:rPr>
          <w:rFonts w:ascii="Calibri" w:eastAsia="Calibri" w:hAnsi="Calibri" w:cs="Arial"/>
          <w:rtl/>
        </w:rPr>
        <w:t>[והוא שכתוב בשטר במילוי חתמו</w:t>
      </w:r>
      <w:r w:rsidRPr="001D49D4">
        <w:rPr>
          <w:rFonts w:ascii="Calibri" w:eastAsia="Calibri" w:hAnsi="Calibri" w:cs="Arial"/>
          <w:vertAlign w:val="superscript"/>
          <w:rtl/>
        </w:rPr>
        <w:footnoteReference w:id="3647"/>
      </w:r>
      <w:r w:rsidRPr="001D49D4">
        <w:rPr>
          <w:rFonts w:ascii="Calibri" w:eastAsia="Calibri" w:hAnsi="Calibri" w:cs="Arial"/>
          <w:rtl/>
        </w:rPr>
        <w:t>].</w:t>
      </w:r>
    </w:p>
    <w:p w14:paraId="198E6C6C" w14:textId="77777777" w:rsidR="001D49D4" w:rsidRPr="001D49D4" w:rsidRDefault="001D49D4" w:rsidP="0004348D">
      <w:pPr>
        <w:spacing w:before="360" w:after="240"/>
        <w:rPr>
          <w:rFonts w:ascii="Calibri" w:eastAsia="Calibri" w:hAnsi="Calibri" w:cs="Arial"/>
          <w:u w:val="single"/>
          <w:rtl/>
        </w:rPr>
      </w:pPr>
      <w:r w:rsidRPr="001D49D4">
        <w:rPr>
          <w:rFonts w:ascii="Calibri" w:eastAsia="Calibri" w:hAnsi="Calibri" w:cs="Arial"/>
          <w:u w:val="single"/>
          <w:rtl/>
        </w:rPr>
        <w:t>שטר שחתומים בו פסולים/קרובים ויש בו ספק:</w:t>
      </w:r>
    </w:p>
    <w:p w14:paraId="07E22F93" w14:textId="77777777" w:rsidR="001D49D4" w:rsidRPr="001D49D4" w:rsidRDefault="001D49D4" w:rsidP="0004348D">
      <w:pPr>
        <w:numPr>
          <w:ilvl w:val="0"/>
          <w:numId w:val="267"/>
        </w:numPr>
        <w:spacing w:before="360" w:after="240"/>
        <w:contextualSpacing/>
        <w:rPr>
          <w:rtl/>
        </w:rPr>
      </w:pPr>
      <w:r w:rsidRPr="001D49D4">
        <w:rPr>
          <w:rtl/>
        </w:rPr>
        <w:t xml:space="preserve">ר"ת </w:t>
      </w:r>
      <w:r w:rsidRPr="001D49D4">
        <w:rPr>
          <w:sz w:val="16"/>
          <w:szCs w:val="16"/>
          <w:rtl/>
        </w:rPr>
        <w:t>(שם, כ"כ המרדכי [פ"ק דמכות סי' תשכח])</w:t>
      </w:r>
      <w:r w:rsidRPr="001D49D4">
        <w:rPr>
          <w:rtl/>
        </w:rPr>
        <w:t>- אם יש להסתפק שום דבר בשטר כגון שחתום קרוב בתחלה - אין לומר דלעדות חתם ופסול</w:t>
      </w:r>
      <w:r w:rsidRPr="001D49D4">
        <w:rPr>
          <w:sz w:val="16"/>
          <w:szCs w:val="16"/>
          <w:rtl/>
        </w:rPr>
        <w:t xml:space="preserve"> {כיון שאחד מפסולים חתום אחריו, והוי באמצע)</w:t>
      </w:r>
      <w:r w:rsidRPr="001D49D4">
        <w:rPr>
          <w:rtl/>
        </w:rPr>
        <w:t>, אלא אמרינן למילוי חתם וכשר, כיון שהעדים כשרים נחתמו הרי כבר הגידו, דעדים החתומים נעשה כמי שנחקרה עדותן בבית דין והפסולין למילוי חתמו</w:t>
      </w:r>
      <w:r w:rsidRPr="001D49D4">
        <w:rPr>
          <w:vertAlign w:val="superscript"/>
          <w:rtl/>
        </w:rPr>
        <w:footnoteReference w:id="3648"/>
      </w:r>
      <w:r w:rsidRPr="001D49D4">
        <w:rPr>
          <w:rtl/>
        </w:rPr>
        <w:t>. (וכ"פ הסמ"ע</w:t>
      </w:r>
      <w:r w:rsidRPr="001D49D4">
        <w:rPr>
          <w:sz w:val="16"/>
          <w:szCs w:val="16"/>
          <w:rtl/>
        </w:rPr>
        <w:t xml:space="preserve"> [סקל"ג]</w:t>
      </w:r>
      <w:r w:rsidRPr="001D49D4">
        <w:rPr>
          <w:rtl/>
        </w:rPr>
        <w:t>)</w:t>
      </w:r>
    </w:p>
    <w:p w14:paraId="0B47C0B2" w14:textId="77777777" w:rsidR="001D49D4" w:rsidRPr="001D49D4" w:rsidRDefault="001D49D4" w:rsidP="0004348D">
      <w:pPr>
        <w:numPr>
          <w:ilvl w:val="0"/>
          <w:numId w:val="267"/>
        </w:numPr>
        <w:spacing w:before="360" w:after="240"/>
        <w:contextualSpacing/>
        <w:rPr>
          <w:rtl/>
        </w:rPr>
      </w:pPr>
      <w:r w:rsidRPr="001D49D4">
        <w:rPr>
          <w:rtl/>
        </w:rPr>
        <w:t xml:space="preserve">ראב"ן </w:t>
      </w:r>
      <w:r w:rsidRPr="001D49D4">
        <w:rPr>
          <w:sz w:val="16"/>
          <w:szCs w:val="16"/>
          <w:rtl/>
        </w:rPr>
        <w:t xml:space="preserve">(שו"ת סי' ל, כ"כ המרדכי בשמו [שם]) </w:t>
      </w:r>
      <w:r w:rsidRPr="001D49D4">
        <w:rPr>
          <w:rtl/>
        </w:rPr>
        <w:t xml:space="preserve">ספר חפץ </w:t>
      </w:r>
      <w:r w:rsidRPr="001D49D4">
        <w:rPr>
          <w:sz w:val="16"/>
          <w:szCs w:val="16"/>
          <w:rtl/>
        </w:rPr>
        <w:t>(כ"כ המרדכי [שם])</w:t>
      </w:r>
      <w:r w:rsidRPr="001D49D4">
        <w:rPr>
          <w:rtl/>
        </w:rPr>
        <w:t xml:space="preserve"> ומרדכי </w:t>
      </w:r>
      <w:r w:rsidRPr="001D49D4">
        <w:rPr>
          <w:sz w:val="16"/>
          <w:szCs w:val="16"/>
          <w:rtl/>
        </w:rPr>
        <w:t>(פ"ק דמכות סי' תשכח)</w:t>
      </w:r>
      <w:r w:rsidRPr="001D49D4">
        <w:rPr>
          <w:rtl/>
        </w:rPr>
        <w:t xml:space="preserve">- לא מכשרינן אלא היכא דאיכא עדים דלמילוי חתמו. </w:t>
      </w:r>
    </w:p>
    <w:p w14:paraId="5AB8192C" w14:textId="77777777" w:rsidR="001D49D4" w:rsidRPr="001D49D4" w:rsidRDefault="001D49D4" w:rsidP="0004348D">
      <w:pPr>
        <w:spacing w:before="360" w:after="240"/>
        <w:rPr>
          <w:rFonts w:ascii="Calibri" w:eastAsia="Calibri" w:hAnsi="Calibri" w:cs="Arial"/>
          <w:u w:val="single"/>
        </w:rPr>
      </w:pPr>
      <w:r w:rsidRPr="001D49D4">
        <w:rPr>
          <w:rFonts w:ascii="Calibri" w:eastAsia="Calibri" w:hAnsi="Calibri" w:cs="Arial"/>
          <w:b/>
          <w:bCs/>
          <w:u w:val="single"/>
          <w:rtl/>
        </w:rPr>
        <w:t>כתובה</w:t>
      </w:r>
      <w:r w:rsidRPr="001D49D4">
        <w:rPr>
          <w:rFonts w:ascii="Calibri" w:eastAsia="Calibri" w:hAnsi="Calibri" w:cs="Arial"/>
          <w:u w:val="single"/>
          <w:rtl/>
        </w:rPr>
        <w:t xml:space="preserve"> שחתמו בה קרובים/פסולים באמצע או בסוף:</w:t>
      </w:r>
    </w:p>
    <w:p w14:paraId="63AA82C7" w14:textId="77777777" w:rsidR="001D49D4" w:rsidRPr="001D49D4" w:rsidRDefault="001D49D4" w:rsidP="0004348D">
      <w:pPr>
        <w:numPr>
          <w:ilvl w:val="0"/>
          <w:numId w:val="268"/>
        </w:numPr>
        <w:spacing w:before="360" w:after="240"/>
        <w:contextualSpacing/>
        <w:rPr>
          <w:rtl/>
        </w:rPr>
      </w:pPr>
      <w:r w:rsidRPr="001D49D4">
        <w:rPr>
          <w:rtl/>
        </w:rPr>
        <w:t>בהעי"ט רמב"ן ריב"ש נמוק"י</w:t>
      </w:r>
      <w:r w:rsidRPr="001D49D4">
        <w:rPr>
          <w:vertAlign w:val="superscript"/>
          <w:rtl/>
        </w:rPr>
        <w:footnoteReference w:id="3649"/>
      </w:r>
      <w:r w:rsidRPr="001D49D4">
        <w:rPr>
          <w:rtl/>
        </w:rPr>
        <w:t xml:space="preserve"> רי"ו ור"ן</w:t>
      </w:r>
      <w:r w:rsidRPr="001D49D4">
        <w:rPr>
          <w:vertAlign w:val="superscript"/>
          <w:rtl/>
        </w:rPr>
        <w:footnoteReference w:id="3650"/>
      </w:r>
      <w:r w:rsidRPr="001D49D4">
        <w:rPr>
          <w:rtl/>
        </w:rPr>
        <w:t>- הא דאמרינן שאם היו הפסולים חתומים באמצע או בסוף השטר פסול - דוקא בשאר שטרות הוא דפסול, אבל בכתובה נהגו העולם להחתים קרובים וקטנים</w:t>
      </w:r>
      <w:r w:rsidRPr="001D49D4">
        <w:rPr>
          <w:vertAlign w:val="superscript"/>
          <w:rtl/>
        </w:rPr>
        <w:footnoteReference w:id="3651"/>
      </w:r>
      <w:r w:rsidRPr="001D49D4">
        <w:rPr>
          <w:rtl/>
        </w:rPr>
        <w:t>, לפי שכתובה דבר פרסומי הוא. ופעמים שהראשונים קרובי החתן, ופסולין, וחותמין לשם כבוד</w:t>
      </w:r>
      <w:r w:rsidRPr="001D49D4">
        <w:rPr>
          <w:vertAlign w:val="superscript"/>
          <w:rtl/>
        </w:rPr>
        <w:footnoteReference w:id="3652"/>
      </w:r>
      <w:r w:rsidRPr="001D49D4">
        <w:rPr>
          <w:rtl/>
        </w:rPr>
        <w:t>, ואין העדות נפסלת בכך</w:t>
      </w:r>
      <w:r w:rsidRPr="001D49D4">
        <w:rPr>
          <w:vertAlign w:val="superscript"/>
          <w:rtl/>
        </w:rPr>
        <w:footnoteReference w:id="3653"/>
      </w:r>
      <w:r w:rsidRPr="001D49D4">
        <w:rPr>
          <w:rtl/>
        </w:rPr>
        <w:t>.</w:t>
      </w:r>
    </w:p>
    <w:p w14:paraId="1F67E54F" w14:textId="77777777" w:rsidR="001D49D4" w:rsidRPr="001D49D4" w:rsidRDefault="001D49D4" w:rsidP="0004348D">
      <w:pPr>
        <w:spacing w:before="360" w:after="240"/>
        <w:rPr>
          <w:rFonts w:ascii="Calibri" w:eastAsia="Calibri" w:hAnsi="Calibri" w:cs="Arial"/>
        </w:rPr>
      </w:pPr>
      <w:r w:rsidRPr="001D49D4">
        <w:rPr>
          <w:rFonts w:ascii="Calibri" w:eastAsia="Calibri" w:hAnsi="Calibri" w:cs="Arial"/>
          <w:b/>
          <w:bCs/>
          <w:rtl/>
        </w:rPr>
        <w:t xml:space="preserve">גיטין </w:t>
      </w:r>
      <w:r w:rsidRPr="001D49D4">
        <w:rPr>
          <w:rFonts w:ascii="Calibri" w:eastAsia="Calibri" w:hAnsi="Calibri" w:cs="Arial"/>
          <w:b/>
          <w:bCs/>
          <w:sz w:val="16"/>
          <w:szCs w:val="16"/>
          <w:rtl/>
        </w:rPr>
        <w:t>(פ"ב)</w:t>
      </w:r>
      <w:r w:rsidRPr="001D49D4">
        <w:rPr>
          <w:rFonts w:ascii="Calibri" w:eastAsia="Calibri" w:hAnsi="Calibri" w:cs="Arial"/>
          <w:b/>
          <w:bCs/>
          <w:rtl/>
        </w:rPr>
        <w:t xml:space="preserve"> יח</w:t>
      </w:r>
      <w:r w:rsidRPr="001D49D4">
        <w:rPr>
          <w:rFonts w:ascii="Calibri" w:eastAsia="Calibri" w:hAnsi="Calibri" w:cs="Arial"/>
          <w:b/>
          <w:bCs/>
          <w:vertAlign w:val="superscript"/>
          <w:rtl/>
        </w:rPr>
        <w:footnoteReference w:id="3654"/>
      </w:r>
      <w:r w:rsidRPr="001D49D4">
        <w:rPr>
          <w:rFonts w:ascii="Calibri" w:eastAsia="Calibri" w:hAnsi="Calibri" w:cs="Arial"/>
          <w:b/>
          <w:bCs/>
          <w:rtl/>
        </w:rPr>
        <w:t xml:space="preserve"> ע"ב: </w:t>
      </w:r>
      <w:r w:rsidRPr="001D49D4">
        <w:rPr>
          <w:rFonts w:ascii="Calibri" w:eastAsia="Calibri" w:hAnsi="Calibri" w:cs="Arial"/>
          <w:rtl/>
        </w:rPr>
        <w:t>איתמר: אמר לעשרה כתבו גט לאשתי, אמר ר' יוחנן: שנים משום עדים, וכולם משום תנאי, ור"ל אמר: כולם משום עדים... אי חתום בתחילה</w:t>
      </w:r>
      <w:r w:rsidRPr="001D49D4">
        <w:rPr>
          <w:rFonts w:ascii="Calibri" w:eastAsia="Calibri" w:hAnsi="Calibri" w:cs="Arial"/>
          <w:vertAlign w:val="superscript"/>
          <w:rtl/>
        </w:rPr>
        <w:footnoteReference w:id="3655"/>
      </w:r>
      <w:r w:rsidRPr="001D49D4">
        <w:rPr>
          <w:rFonts w:ascii="Calibri" w:eastAsia="Calibri" w:hAnsi="Calibri" w:cs="Arial"/>
          <w:rtl/>
        </w:rPr>
        <w:t xml:space="preserve"> קרוב או פסול, אמרי לה: כשר</w:t>
      </w:r>
      <w:r w:rsidRPr="001D49D4">
        <w:rPr>
          <w:rFonts w:ascii="Calibri" w:eastAsia="Calibri" w:hAnsi="Calibri" w:cs="Arial"/>
          <w:vertAlign w:val="superscript"/>
          <w:rtl/>
        </w:rPr>
        <w:footnoteReference w:id="3656"/>
      </w:r>
      <w:r w:rsidRPr="001D49D4">
        <w:rPr>
          <w:rFonts w:ascii="Calibri" w:eastAsia="Calibri" w:hAnsi="Calibri" w:cs="Arial"/>
          <w:rtl/>
        </w:rPr>
        <w:t>, ואמרי לה: פסול. אמרי לה כשר, תנאי הוא. אמרי לה פסול, אתי לאיחלופי בשטרות דעלמא</w:t>
      </w:r>
      <w:r w:rsidRPr="001D49D4">
        <w:rPr>
          <w:rFonts w:ascii="Calibri" w:eastAsia="Calibri" w:hAnsi="Calibri" w:cs="Arial"/>
          <w:vertAlign w:val="superscript"/>
          <w:rtl/>
        </w:rPr>
        <w:footnoteReference w:id="3657"/>
      </w:r>
      <w:r w:rsidRPr="001D49D4">
        <w:rPr>
          <w:rFonts w:ascii="Calibri" w:eastAsia="Calibri" w:hAnsi="Calibri" w:cs="Arial"/>
          <w:rtl/>
        </w:rPr>
        <w:t>.</w:t>
      </w:r>
    </w:p>
    <w:p w14:paraId="6FD4D972"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u w:val="single"/>
          <w:rtl/>
        </w:rPr>
        <w:t xml:space="preserve">עד פסול שחתם ראשון </w:t>
      </w:r>
      <w:r w:rsidRPr="001D49D4">
        <w:rPr>
          <w:rFonts w:ascii="Calibri" w:eastAsia="Calibri" w:hAnsi="Calibri" w:cs="Arial"/>
          <w:b/>
          <w:bCs/>
          <w:u w:val="single"/>
          <w:rtl/>
        </w:rPr>
        <w:t xml:space="preserve">בפנינו </w:t>
      </w:r>
      <w:r w:rsidRPr="001D49D4">
        <w:rPr>
          <w:rFonts w:ascii="Calibri" w:eastAsia="Calibri" w:hAnsi="Calibri" w:cs="Arial"/>
          <w:u w:val="single"/>
          <w:rtl/>
        </w:rPr>
        <w:t>ואחריו חתמו שנים כשרים:</w:t>
      </w:r>
    </w:p>
    <w:p w14:paraId="53A6CAC5" w14:textId="77777777" w:rsidR="001D49D4" w:rsidRPr="001D49D4" w:rsidRDefault="001D49D4" w:rsidP="0004348D">
      <w:pPr>
        <w:numPr>
          <w:ilvl w:val="0"/>
          <w:numId w:val="268"/>
        </w:numPr>
        <w:spacing w:before="360" w:after="240"/>
        <w:contextualSpacing/>
        <w:rPr>
          <w:rtl/>
        </w:rPr>
      </w:pPr>
      <w:r w:rsidRPr="001D49D4">
        <w:rPr>
          <w:rtl/>
        </w:rPr>
        <w:lastRenderedPageBreak/>
        <w:t>ר"ת</w:t>
      </w:r>
      <w:r w:rsidRPr="001D49D4">
        <w:rPr>
          <w:sz w:val="16"/>
          <w:szCs w:val="16"/>
          <w:rtl/>
        </w:rPr>
        <w:t xml:space="preserve"> (הביאו הרא"ש</w:t>
      </w:r>
      <w:r w:rsidRPr="001D49D4">
        <w:rPr>
          <w:sz w:val="14"/>
          <w:szCs w:val="14"/>
          <w:rtl/>
        </w:rPr>
        <w:t xml:space="preserve"> </w:t>
      </w:r>
      <w:r w:rsidRPr="001D49D4">
        <w:rPr>
          <w:sz w:val="12"/>
          <w:szCs w:val="12"/>
          <w:rtl/>
        </w:rPr>
        <w:t>[ב"ב פ"י סי' ג]</w:t>
      </w:r>
      <w:r w:rsidRPr="001D49D4">
        <w:rPr>
          <w:sz w:val="16"/>
          <w:szCs w:val="16"/>
          <w:rtl/>
        </w:rPr>
        <w:t>, והרשב"א</w:t>
      </w:r>
      <w:r w:rsidRPr="001D49D4">
        <w:rPr>
          <w:sz w:val="14"/>
          <w:szCs w:val="14"/>
          <w:rtl/>
        </w:rPr>
        <w:t xml:space="preserve"> [גיטין יח:]</w:t>
      </w:r>
      <w:r w:rsidRPr="001D49D4">
        <w:rPr>
          <w:sz w:val="16"/>
          <w:szCs w:val="16"/>
          <w:rtl/>
        </w:rPr>
        <w:t xml:space="preserve"> כתב כן בשם ר"י)</w:t>
      </w:r>
      <w:r w:rsidRPr="001D49D4">
        <w:rPr>
          <w:rtl/>
        </w:rPr>
        <w:t xml:space="preserve">- </w:t>
      </w:r>
      <w:r w:rsidRPr="001D49D4">
        <w:rPr>
          <w:vertAlign w:val="superscript"/>
          <w:rtl/>
        </w:rPr>
        <w:footnoteReference w:id="3658"/>
      </w:r>
      <w:r w:rsidRPr="001D49D4">
        <w:rPr>
          <w:rtl/>
        </w:rPr>
        <w:t>אם חתם הקרוב תחלה וחתמו אח"כ שנים כשרים למטה - פסול</w:t>
      </w:r>
      <w:r w:rsidRPr="001D49D4">
        <w:rPr>
          <w:vertAlign w:val="superscript"/>
          <w:rtl/>
        </w:rPr>
        <w:footnoteReference w:id="3659"/>
      </w:r>
      <w:r w:rsidRPr="001D49D4">
        <w:rPr>
          <w:rtl/>
        </w:rPr>
        <w:t xml:space="preserve">. </w:t>
      </w:r>
    </w:p>
    <w:p w14:paraId="40BDD82F" w14:textId="77777777" w:rsidR="001D49D4" w:rsidRPr="001D49D4" w:rsidRDefault="001D49D4" w:rsidP="0004348D">
      <w:pPr>
        <w:spacing w:before="360" w:after="240"/>
        <w:rPr>
          <w:rFonts w:ascii="Calibri" w:eastAsia="Calibri" w:hAnsi="Calibri" w:cs="Arial"/>
          <w:u w:val="single"/>
          <w:rtl/>
        </w:rPr>
      </w:pPr>
      <w:r w:rsidRPr="001D49D4">
        <w:rPr>
          <w:rFonts w:ascii="Calibri" w:eastAsia="Calibri" w:hAnsi="Calibri" w:cs="Arial"/>
          <w:u w:val="single"/>
          <w:rtl/>
        </w:rPr>
        <w:t>שטר שנמצאו עדים הראשונים פסולים - ובעל השטר לא טוען 'רווחא שבק':</w:t>
      </w:r>
    </w:p>
    <w:p w14:paraId="4E1B5D23" w14:textId="77777777" w:rsidR="001D49D4" w:rsidRPr="001D49D4" w:rsidRDefault="001D49D4" w:rsidP="0004348D">
      <w:pPr>
        <w:numPr>
          <w:ilvl w:val="0"/>
          <w:numId w:val="268"/>
        </w:numPr>
        <w:spacing w:before="360" w:after="240"/>
        <w:contextualSpacing/>
        <w:rPr>
          <w:rtl/>
        </w:rPr>
      </w:pPr>
      <w:r w:rsidRPr="001D49D4">
        <w:rPr>
          <w:rtl/>
        </w:rPr>
        <w:t xml:space="preserve">בהעי"ט </w:t>
      </w:r>
      <w:r w:rsidRPr="001D49D4">
        <w:rPr>
          <w:sz w:val="16"/>
          <w:szCs w:val="16"/>
          <w:rtl/>
        </w:rPr>
        <w:t>(אות ק' שם ס:)</w:t>
      </w:r>
      <w:r w:rsidRPr="001D49D4">
        <w:rPr>
          <w:rtl/>
        </w:rPr>
        <w:t xml:space="preserve">- שטר שנמצאו עדים הראשונים פסולים ספיקא דרבוותא היא ולא עבדינן בה עובדא עד דאיתברר דלאו לאסהודי אתו כיון דמרי שטרא לא טען רווחא שבק. אבל גבי יורש – כשר, דקיי"ל </w:t>
      </w:r>
      <w:r w:rsidRPr="001D49D4">
        <w:rPr>
          <w:sz w:val="16"/>
          <w:szCs w:val="16"/>
          <w:rtl/>
        </w:rPr>
        <w:t xml:space="preserve">(גיטין נח:) </w:t>
      </w:r>
      <w:r w:rsidRPr="001D49D4">
        <w:rPr>
          <w:rtl/>
        </w:rPr>
        <w:t>טוענין ליורש.</w:t>
      </w:r>
    </w:p>
    <w:p w14:paraId="0AD0EE4C" w14:textId="77777777" w:rsidR="001D49D4" w:rsidRPr="001D49D4" w:rsidRDefault="001D49D4" w:rsidP="0004348D">
      <w:pPr>
        <w:spacing w:before="360" w:after="240"/>
        <w:rPr>
          <w:rFonts w:ascii="Arial" w:eastAsia="Calibri" w:hAnsi="Arial" w:cs="Arial"/>
          <w:b/>
          <w:bCs/>
          <w:color w:val="000000"/>
          <w:sz w:val="28"/>
          <w:szCs w:val="28"/>
          <w:u w:val="single"/>
          <w:rtl/>
        </w:rPr>
      </w:pPr>
      <w:r w:rsidRPr="001D49D4">
        <w:rPr>
          <w:rFonts w:ascii="Arial" w:eastAsia="Calibri" w:hAnsi="Arial" w:cs="Arial"/>
          <w:b/>
          <w:bCs/>
          <w:color w:val="000000"/>
          <w:sz w:val="28"/>
          <w:szCs w:val="28"/>
          <w:u w:val="single"/>
          <w:rtl/>
        </w:rPr>
        <w:t>שו"ע:</w:t>
      </w:r>
    </w:p>
    <w:p w14:paraId="0C528047"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rtl/>
        </w:rPr>
        <w:t>שטר שהיו עדיו מרובים, ונמצא אחד מהם קרוב או פסול, או שהיו בהם שנים קרובים זה לזה, והרי אין העדים קיימים כדי לשאול אותם, אם יש שם עדות ברורה שכולם ישבו לחתום, שהרי נתכוונו להעיד, הרי זה בטל</w:t>
      </w:r>
      <w:r w:rsidRPr="001D49D4">
        <w:rPr>
          <w:rFonts w:ascii="Calibri" w:eastAsia="Calibri" w:hAnsi="Calibri" w:cs="Arial"/>
          <w:vertAlign w:val="superscript"/>
          <w:rtl/>
        </w:rPr>
        <w:footnoteReference w:id="3660"/>
      </w:r>
      <w:r w:rsidRPr="001D49D4">
        <w:rPr>
          <w:rFonts w:ascii="Calibri" w:eastAsia="Calibri" w:hAnsi="Calibri" w:cs="Arial"/>
          <w:rtl/>
        </w:rPr>
        <w:t xml:space="preserve">. ואם לאו, תתקיים העדות בשאר, שהרי איפשר שחתמו הכשרים והניחו מקום לגדול לחתום, ובא זה הקרוב או הפסול וחתם שלא מדעתם, אף על פי שהעד החתום בשטר מתחלה הוא הפסול, הרי השטר כשר. </w:t>
      </w:r>
      <w:r w:rsidRPr="001D49D4">
        <w:rPr>
          <w:rFonts w:ascii="Calibri" w:eastAsia="Calibri" w:hAnsi="Calibri" w:cs="Arial"/>
          <w:sz w:val="18"/>
          <w:szCs w:val="18"/>
          <w:rtl/>
        </w:rPr>
        <w:t>הגה: ולכתחלה לא יחתום שום קרוב או פסול על השטר (טור). וי"א דאין להכשיר שטר שחתומין בו פסולין, אא"כ ב' עדים האחרונים הם כשרים</w:t>
      </w:r>
      <w:r w:rsidRPr="001D49D4">
        <w:rPr>
          <w:rFonts w:ascii="Calibri" w:eastAsia="Calibri" w:hAnsi="Calibri" w:cs="Arial"/>
          <w:sz w:val="18"/>
          <w:szCs w:val="18"/>
          <w:vertAlign w:val="superscript"/>
          <w:rtl/>
        </w:rPr>
        <w:footnoteReference w:id="3661"/>
      </w:r>
      <w:r w:rsidRPr="001D49D4">
        <w:rPr>
          <w:rFonts w:ascii="Calibri" w:eastAsia="Calibri" w:hAnsi="Calibri" w:cs="Arial"/>
          <w:sz w:val="18"/>
          <w:szCs w:val="18"/>
          <w:rtl/>
        </w:rPr>
        <w:t xml:space="preserve"> (טור בשם הרא"ש וע"פ).</w:t>
      </w:r>
    </w:p>
    <w:p w14:paraId="540FCCC7"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rtl/>
        </w:rPr>
        <w:t xml:space="preserve"> </w:t>
      </w:r>
    </w:p>
    <w:p w14:paraId="7D2FD5D7" w14:textId="77777777" w:rsidR="001D49D4" w:rsidRPr="001D49D4" w:rsidRDefault="001D49D4" w:rsidP="0004348D">
      <w:pPr>
        <w:keepNext/>
        <w:keepLines/>
        <w:spacing w:before="360" w:after="240"/>
        <w:outlineLvl w:val="1"/>
        <w:rPr>
          <w:rFonts w:ascii="Cambria" w:eastAsia="Times New Roman" w:hAnsi="Cambria" w:cs="Arial"/>
          <w:bCs/>
          <w:color w:val="548DD4" w:themeColor="text2" w:themeTint="99"/>
          <w:sz w:val="26"/>
          <w:szCs w:val="26"/>
          <w:rtl/>
        </w:rPr>
      </w:pPr>
      <w:bookmarkStart w:id="488" w:name="_Toc24883923"/>
      <w:r w:rsidRPr="001D49D4">
        <w:rPr>
          <w:rFonts w:ascii="Cambria" w:eastAsia="Times New Roman" w:hAnsi="Cambria" w:cs="Arial"/>
          <w:bCs/>
          <w:color w:val="548DD4" w:themeColor="text2" w:themeTint="99"/>
          <w:sz w:val="26"/>
          <w:szCs w:val="26"/>
          <w:rtl/>
        </w:rPr>
        <w:t>סעיף יג: שטר כנ"ל ועדים זוכרים את העדות.</w:t>
      </w:r>
      <w:bookmarkEnd w:id="488"/>
    </w:p>
    <w:p w14:paraId="2F2B9A5C" w14:textId="77777777" w:rsidR="001D49D4" w:rsidRPr="001D49D4" w:rsidRDefault="001D49D4" w:rsidP="0004348D">
      <w:pPr>
        <w:spacing w:before="360" w:after="240"/>
        <w:rPr>
          <w:rFonts w:ascii="Calibri" w:eastAsia="Calibri" w:hAnsi="Calibri" w:cs="Arial"/>
          <w:u w:val="single"/>
          <w:rtl/>
        </w:rPr>
      </w:pPr>
      <w:r w:rsidRPr="001D49D4">
        <w:rPr>
          <w:rFonts w:ascii="Calibri" w:eastAsia="Calibri" w:hAnsi="Calibri" w:cs="Arial"/>
          <w:u w:val="single"/>
          <w:rtl/>
        </w:rPr>
        <w:t>שטר שהיו עדיו מרובים ונמצא אחד מהם קרוב או פסול – והעדים זוכרים את העדות:</w:t>
      </w:r>
    </w:p>
    <w:p w14:paraId="36CD7BA3" w14:textId="77777777" w:rsidR="001D49D4" w:rsidRPr="001D49D4" w:rsidRDefault="001D49D4" w:rsidP="0004348D">
      <w:pPr>
        <w:numPr>
          <w:ilvl w:val="0"/>
          <w:numId w:val="268"/>
        </w:numPr>
        <w:spacing w:before="360" w:after="240"/>
        <w:contextualSpacing/>
        <w:rPr>
          <w:rtl/>
        </w:rPr>
      </w:pPr>
      <w:r w:rsidRPr="001D49D4">
        <w:rPr>
          <w:rtl/>
        </w:rPr>
        <w:t xml:space="preserve">רא"ש </w:t>
      </w:r>
      <w:r w:rsidRPr="001D49D4">
        <w:rPr>
          <w:sz w:val="16"/>
          <w:szCs w:val="16"/>
          <w:rtl/>
        </w:rPr>
        <w:t xml:space="preserve">(סוף כלל ס סו"ס ה) </w:t>
      </w:r>
      <w:r w:rsidRPr="001D49D4">
        <w:rPr>
          <w:rtl/>
        </w:rPr>
        <w:t>וטור- אע"פ שנפסל ע"י חתימת הפסולין, אם הכשרים זוכרים לעדות על ידי ראיית השטר - יכולין להעיד ובית דין יכתבו עדות כמו שכתוב בשטר וחשיב כמו שטר הראשון</w:t>
      </w:r>
      <w:r w:rsidRPr="001D49D4">
        <w:rPr>
          <w:sz w:val="16"/>
          <w:szCs w:val="16"/>
          <w:rtl/>
        </w:rPr>
        <w:t xml:space="preserve"> (ל' הטור)</w:t>
      </w:r>
      <w:r w:rsidRPr="001D49D4">
        <w:rPr>
          <w:rtl/>
        </w:rPr>
        <w:t>.</w:t>
      </w:r>
      <w:r w:rsidRPr="001D49D4">
        <w:rPr>
          <w:color w:val="E36C0A" w:themeColor="accent6" w:themeShade="BF"/>
          <w:rtl/>
        </w:rPr>
        <w:t xml:space="preserve"> (וכ"פ בשו"ע)</w:t>
      </w:r>
    </w:p>
    <w:p w14:paraId="040CE93F" w14:textId="77777777" w:rsidR="001D49D4" w:rsidRPr="001D49D4" w:rsidRDefault="001D49D4" w:rsidP="0004348D">
      <w:pPr>
        <w:spacing w:before="360" w:after="240"/>
        <w:rPr>
          <w:rFonts w:ascii="Arial" w:eastAsia="Calibri" w:hAnsi="Arial" w:cs="Arial"/>
          <w:b/>
          <w:bCs/>
          <w:color w:val="000000"/>
          <w:sz w:val="28"/>
          <w:szCs w:val="28"/>
          <w:u w:val="single"/>
          <w:rtl/>
        </w:rPr>
      </w:pPr>
      <w:r w:rsidRPr="001D49D4">
        <w:rPr>
          <w:rFonts w:ascii="Arial" w:eastAsia="Calibri" w:hAnsi="Arial" w:cs="Arial"/>
          <w:b/>
          <w:bCs/>
          <w:color w:val="000000"/>
          <w:sz w:val="28"/>
          <w:szCs w:val="28"/>
          <w:u w:val="single"/>
          <w:rtl/>
        </w:rPr>
        <w:t>שו"ע:</w:t>
      </w:r>
    </w:p>
    <w:p w14:paraId="7E5CBEDE"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rtl/>
        </w:rPr>
        <w:lastRenderedPageBreak/>
        <w:t>אם נפסל על ידי חתימת הפסולים, אם הכשרים זוכרים העדות על ידי</w:t>
      </w:r>
      <w:r w:rsidRPr="001D49D4">
        <w:rPr>
          <w:rFonts w:ascii="Calibri" w:eastAsia="Calibri" w:hAnsi="Calibri" w:cs="Arial"/>
          <w:color w:val="000000" w:themeColor="text1"/>
          <w:rtl/>
        </w:rPr>
        <w:t xml:space="preserve"> ראיית </w:t>
      </w:r>
      <w:r w:rsidRPr="001D49D4">
        <w:rPr>
          <w:rFonts w:ascii="Calibri" w:eastAsia="Calibri" w:hAnsi="Calibri" w:cs="Arial"/>
          <w:rtl/>
        </w:rPr>
        <w:t>השטר יכולים להעיד</w:t>
      </w:r>
      <w:r w:rsidRPr="001D49D4">
        <w:rPr>
          <w:rFonts w:ascii="Calibri" w:eastAsia="Calibri" w:hAnsi="Calibri" w:cs="Arial"/>
          <w:vertAlign w:val="superscript"/>
          <w:rtl/>
        </w:rPr>
        <w:footnoteReference w:id="3662"/>
      </w:r>
      <w:r w:rsidRPr="001D49D4">
        <w:rPr>
          <w:rFonts w:ascii="Calibri" w:eastAsia="Calibri" w:hAnsi="Calibri" w:cs="Arial"/>
          <w:rtl/>
        </w:rPr>
        <w:t>, ובית דין</w:t>
      </w:r>
      <w:r w:rsidRPr="001D49D4">
        <w:rPr>
          <w:rFonts w:ascii="Calibri" w:eastAsia="Calibri" w:hAnsi="Calibri" w:cs="Arial"/>
          <w:vertAlign w:val="superscript"/>
          <w:rtl/>
        </w:rPr>
        <w:footnoteReference w:id="3663"/>
      </w:r>
      <w:r w:rsidRPr="001D49D4">
        <w:rPr>
          <w:rFonts w:ascii="Calibri" w:eastAsia="Calibri" w:hAnsi="Calibri" w:cs="Arial"/>
          <w:rtl/>
        </w:rPr>
        <w:t xml:space="preserve"> יכתבו עדותן כמו שכתוב בשטר, וחשוב כמו שטר הראשון. </w:t>
      </w:r>
    </w:p>
    <w:p w14:paraId="47135890" w14:textId="77777777" w:rsidR="001D49D4" w:rsidRPr="001D49D4" w:rsidRDefault="001D49D4" w:rsidP="0004348D">
      <w:pPr>
        <w:spacing w:before="360" w:after="240"/>
        <w:rPr>
          <w:rFonts w:ascii="Calibri" w:eastAsia="Calibri" w:hAnsi="Calibri" w:cs="Arial"/>
          <w:rtl/>
        </w:rPr>
      </w:pPr>
    </w:p>
    <w:p w14:paraId="4C39675A" w14:textId="77777777" w:rsidR="001D49D4" w:rsidRPr="001D49D4" w:rsidRDefault="001D49D4" w:rsidP="0004348D">
      <w:pPr>
        <w:keepNext/>
        <w:keepLines/>
        <w:spacing w:before="360" w:after="240"/>
        <w:outlineLvl w:val="1"/>
        <w:rPr>
          <w:rFonts w:ascii="Cambria" w:eastAsia="Times New Roman" w:hAnsi="Cambria" w:cs="Arial"/>
          <w:bCs/>
          <w:color w:val="548DD4" w:themeColor="text2" w:themeTint="99"/>
          <w:sz w:val="26"/>
          <w:szCs w:val="26"/>
          <w:rtl/>
        </w:rPr>
      </w:pPr>
      <w:bookmarkStart w:id="489" w:name="_Toc24883924"/>
      <w:r w:rsidRPr="001D49D4">
        <w:rPr>
          <w:rFonts w:ascii="Cambria" w:eastAsia="Times New Roman" w:hAnsi="Cambria" w:cs="Arial"/>
          <w:bCs/>
          <w:color w:val="548DD4" w:themeColor="text2" w:themeTint="99"/>
          <w:sz w:val="26"/>
          <w:szCs w:val="26"/>
          <w:rtl/>
        </w:rPr>
        <w:t>סעיף יד: מלוה/לוקח שהובא להם שטר שהעדים חתמו בריחוק ב' שיטין.</w:t>
      </w:r>
      <w:bookmarkEnd w:id="489"/>
    </w:p>
    <w:p w14:paraId="513EB5C5" w14:textId="77777777" w:rsidR="001D49D4" w:rsidRPr="001D49D4" w:rsidRDefault="001D49D4" w:rsidP="0004348D">
      <w:pPr>
        <w:spacing w:before="360" w:after="240"/>
        <w:rPr>
          <w:rFonts w:ascii="Calibri" w:eastAsia="Calibri" w:hAnsi="Calibri" w:cs="Arial"/>
          <w:u w:val="single"/>
          <w:rtl/>
        </w:rPr>
      </w:pPr>
      <w:r w:rsidRPr="001D49D4">
        <w:rPr>
          <w:rFonts w:ascii="Calibri" w:eastAsia="Calibri" w:hAnsi="Calibri" w:cs="Arial"/>
          <w:u w:val="single"/>
          <w:rtl/>
        </w:rPr>
        <w:t xml:space="preserve">מלוה </w:t>
      </w:r>
      <w:r w:rsidRPr="001D49D4">
        <w:rPr>
          <w:rFonts w:ascii="Calibri" w:eastAsia="Calibri" w:hAnsi="Calibri" w:cs="Arial"/>
          <w:sz w:val="16"/>
          <w:szCs w:val="16"/>
          <w:u w:val="single"/>
          <w:rtl/>
        </w:rPr>
        <w:t xml:space="preserve">(או לוקח) </w:t>
      </w:r>
      <w:r w:rsidRPr="001D49D4">
        <w:rPr>
          <w:rFonts w:ascii="Calibri" w:eastAsia="Calibri" w:hAnsi="Calibri" w:cs="Arial"/>
          <w:u w:val="single"/>
          <w:rtl/>
        </w:rPr>
        <w:t xml:space="preserve">שהובא לו שטר שהעדים חתמו בריחוק ב' שיטין – האם הוא יכול למלא את השיטין בחתימות קרובים: </w:t>
      </w:r>
    </w:p>
    <w:p w14:paraId="6DD02ABE" w14:textId="77777777" w:rsidR="001D49D4" w:rsidRPr="001D49D4" w:rsidRDefault="001D49D4" w:rsidP="0004348D">
      <w:pPr>
        <w:numPr>
          <w:ilvl w:val="0"/>
          <w:numId w:val="268"/>
        </w:numPr>
        <w:spacing w:before="360" w:after="240"/>
        <w:contextualSpacing/>
        <w:rPr>
          <w:rtl/>
        </w:rPr>
      </w:pPr>
      <w:r w:rsidRPr="001D49D4">
        <w:rPr>
          <w:rtl/>
        </w:rPr>
        <w:t xml:space="preserve">ה"ר יונה </w:t>
      </w:r>
      <w:r w:rsidRPr="001D49D4">
        <w:rPr>
          <w:sz w:val="16"/>
          <w:szCs w:val="16"/>
          <w:rtl/>
        </w:rPr>
        <w:t>(ב"ב קסב: ד"ה מלאוהו, הביאוהו הרא"ש והטור)</w:t>
      </w:r>
      <w:r w:rsidRPr="001D49D4">
        <w:rPr>
          <w:rtl/>
        </w:rPr>
        <w:t xml:space="preserve"> רא"ש </w:t>
      </w:r>
      <w:r w:rsidRPr="001D49D4">
        <w:rPr>
          <w:sz w:val="16"/>
          <w:szCs w:val="16"/>
          <w:rtl/>
        </w:rPr>
        <w:t>(פרק גט פשוט סי' ג)</w:t>
      </w:r>
      <w:r w:rsidRPr="001D49D4">
        <w:rPr>
          <w:rtl/>
        </w:rPr>
        <w:t xml:space="preserve"> וטור- מלאוהו בקרובין אפילו אחר שבא ליד המלוה כשר... ודוקא שמלאוהו בקרובים ביום שנכתב ונחתם</w:t>
      </w:r>
      <w:r w:rsidRPr="001D49D4">
        <w:rPr>
          <w:vertAlign w:val="superscript"/>
          <w:rtl/>
        </w:rPr>
        <w:footnoteReference w:id="3664"/>
      </w:r>
      <w:r w:rsidRPr="001D49D4">
        <w:rPr>
          <w:rtl/>
        </w:rPr>
        <w:t>, אבל אם מלאוהו למחר וליומא אוחרא אפי' במצות הלוה – פסול, דהא לא איתכשר להשתעבד בו אלא משעה שמלאוהו בקרובים והוה ליה מוקדם ופסול</w:t>
      </w:r>
      <w:r w:rsidRPr="001D49D4">
        <w:rPr>
          <w:sz w:val="16"/>
          <w:szCs w:val="16"/>
          <w:rtl/>
        </w:rPr>
        <w:t xml:space="preserve"> (ל' הטור בשם ה"ר יונה)</w:t>
      </w:r>
      <w:r w:rsidRPr="001D49D4">
        <w:rPr>
          <w:rtl/>
        </w:rPr>
        <w:t xml:space="preserve">. </w:t>
      </w:r>
      <w:r w:rsidRPr="001D49D4">
        <w:rPr>
          <w:color w:val="E36C0A" w:themeColor="accent6" w:themeShade="BF"/>
          <w:rtl/>
        </w:rPr>
        <w:t>(וכ"פ בשו"ע</w:t>
      </w:r>
      <w:r w:rsidRPr="001D49D4">
        <w:rPr>
          <w:color w:val="E36C0A" w:themeColor="accent6" w:themeShade="BF"/>
          <w:sz w:val="16"/>
          <w:szCs w:val="16"/>
          <w:rtl/>
        </w:rPr>
        <w:t xml:space="preserve"> </w:t>
      </w:r>
      <w:r w:rsidRPr="001D49D4">
        <w:rPr>
          <w:color w:val="000000" w:themeColor="text1"/>
          <w:sz w:val="16"/>
          <w:szCs w:val="16"/>
          <w:rtl/>
        </w:rPr>
        <w:t>[כאן ובסע' הבא]</w:t>
      </w:r>
      <w:r w:rsidRPr="001D49D4">
        <w:rPr>
          <w:color w:val="E36C0A" w:themeColor="accent6" w:themeShade="BF"/>
          <w:rtl/>
        </w:rPr>
        <w:t>)</w:t>
      </w:r>
    </w:p>
    <w:p w14:paraId="6604B59B" w14:textId="77777777" w:rsidR="001D49D4" w:rsidRPr="001D49D4" w:rsidRDefault="001D49D4" w:rsidP="0004348D">
      <w:pPr>
        <w:spacing w:before="360" w:after="240"/>
        <w:ind w:left="360"/>
        <w:rPr>
          <w:rFonts w:ascii="Calibri" w:eastAsia="Calibri" w:hAnsi="Calibri" w:cs="Arial"/>
          <w:u w:val="dotted"/>
        </w:rPr>
      </w:pPr>
      <w:r w:rsidRPr="001D49D4">
        <w:rPr>
          <w:rFonts w:ascii="Calibri" w:eastAsia="Calibri" w:hAnsi="Calibri" w:cs="Arial"/>
          <w:u w:val="dotted"/>
          <w:rtl/>
        </w:rPr>
        <w:t>ומה הדין אם השטר הובא לפני בית דין קודם שמלאוהו בקרובים:</w:t>
      </w:r>
    </w:p>
    <w:p w14:paraId="5DB7DB71" w14:textId="77777777" w:rsidR="001D49D4" w:rsidRPr="001D49D4" w:rsidRDefault="001D49D4" w:rsidP="0004348D">
      <w:pPr>
        <w:numPr>
          <w:ilvl w:val="0"/>
          <w:numId w:val="268"/>
        </w:numPr>
        <w:spacing w:before="360" w:after="240"/>
        <w:contextualSpacing/>
      </w:pPr>
      <w:r w:rsidRPr="001D49D4">
        <w:rPr>
          <w:rtl/>
        </w:rPr>
        <w:t>רבנו יונה</w:t>
      </w:r>
      <w:r w:rsidRPr="001D49D4">
        <w:rPr>
          <w:sz w:val="16"/>
          <w:szCs w:val="16"/>
          <w:rtl/>
        </w:rPr>
        <w:t xml:space="preserve"> (שם)</w:t>
      </w:r>
      <w:r w:rsidRPr="001D49D4">
        <w:rPr>
          <w:rtl/>
        </w:rPr>
        <w:t xml:space="preserve"> והה"מ </w:t>
      </w:r>
      <w:r w:rsidRPr="001D49D4">
        <w:rPr>
          <w:sz w:val="16"/>
          <w:szCs w:val="16"/>
          <w:rtl/>
        </w:rPr>
        <w:t>(סוף מלוה ולוה פכ"ז ה"ד)</w:t>
      </w:r>
      <w:r w:rsidRPr="001D49D4">
        <w:rPr>
          <w:rtl/>
        </w:rPr>
        <w:t>- יש שהיו אומרים, הרחיק שני שיטין פסול אם הביאו לב"ד קודם שמילאהו בקרובים</w:t>
      </w:r>
      <w:r w:rsidRPr="001D49D4">
        <w:rPr>
          <w:vertAlign w:val="superscript"/>
          <w:rtl/>
        </w:rPr>
        <w:footnoteReference w:id="3665"/>
      </w:r>
      <w:r w:rsidRPr="001D49D4">
        <w:rPr>
          <w:rtl/>
        </w:rPr>
        <w:t>, ולאו מילתא היא</w:t>
      </w:r>
      <w:r w:rsidRPr="001D49D4">
        <w:rPr>
          <w:sz w:val="16"/>
          <w:szCs w:val="16"/>
          <w:rtl/>
        </w:rPr>
        <w:t xml:space="preserve"> (ל' ה"ר יונה)</w:t>
      </w:r>
      <w:r w:rsidRPr="001D49D4">
        <w:rPr>
          <w:rtl/>
        </w:rPr>
        <w:t>.</w:t>
      </w:r>
    </w:p>
    <w:p w14:paraId="716A599C" w14:textId="77777777" w:rsidR="001D49D4" w:rsidRPr="001D49D4" w:rsidRDefault="001D49D4" w:rsidP="0004348D">
      <w:pPr>
        <w:numPr>
          <w:ilvl w:val="0"/>
          <w:numId w:val="268"/>
        </w:numPr>
        <w:spacing w:before="360" w:after="240"/>
        <w:contextualSpacing/>
      </w:pPr>
      <w:r w:rsidRPr="001D49D4">
        <w:rPr>
          <w:rtl/>
        </w:rPr>
        <w:t xml:space="preserve">ראב"ד </w:t>
      </w:r>
      <w:r w:rsidRPr="001D49D4">
        <w:rPr>
          <w:sz w:val="16"/>
          <w:szCs w:val="16"/>
          <w:rtl/>
        </w:rPr>
        <w:t>(הביאוהו רשב"א [קסב: ד"ה ומלאו] ר"ן [שם] ועוד)</w:t>
      </w:r>
      <w:r w:rsidRPr="001D49D4">
        <w:rPr>
          <w:rtl/>
        </w:rPr>
        <w:t xml:space="preserve"> רשב"א</w:t>
      </w:r>
      <w:r w:rsidRPr="001D49D4">
        <w:rPr>
          <w:vertAlign w:val="superscript"/>
          <w:rtl/>
        </w:rPr>
        <w:footnoteReference w:id="3666"/>
      </w:r>
      <w:r w:rsidRPr="001D49D4">
        <w:rPr>
          <w:rtl/>
        </w:rPr>
        <w:t xml:space="preserve"> </w:t>
      </w:r>
      <w:r w:rsidRPr="001D49D4">
        <w:rPr>
          <w:sz w:val="16"/>
          <w:szCs w:val="16"/>
          <w:rtl/>
        </w:rPr>
        <w:t xml:space="preserve">(ח"ב סי' נו ח"ו סי' קמח) </w:t>
      </w:r>
      <w:r w:rsidRPr="001D49D4">
        <w:rPr>
          <w:rtl/>
        </w:rPr>
        <w:t xml:space="preserve">ורא"ש </w:t>
      </w:r>
      <w:r w:rsidRPr="001D49D4">
        <w:rPr>
          <w:sz w:val="16"/>
          <w:szCs w:val="16"/>
          <w:rtl/>
        </w:rPr>
        <w:t>(פרק גט פשוט סי' ג)</w:t>
      </w:r>
      <w:r w:rsidRPr="001D49D4">
        <w:rPr>
          <w:rtl/>
        </w:rPr>
        <w:t>- אם היה פקח ממלא אותו קודם שיבא לב"ד</w:t>
      </w:r>
      <w:r w:rsidRPr="001D49D4">
        <w:rPr>
          <w:vertAlign w:val="superscript"/>
          <w:rtl/>
        </w:rPr>
        <w:footnoteReference w:id="3667"/>
      </w:r>
      <w:r w:rsidRPr="001D49D4">
        <w:rPr>
          <w:rtl/>
        </w:rPr>
        <w:t>.</w:t>
      </w:r>
      <w:r w:rsidRPr="001D49D4">
        <w:rPr>
          <w:color w:val="E36C0A" w:themeColor="accent6" w:themeShade="BF"/>
          <w:rtl/>
        </w:rPr>
        <w:t xml:space="preserve"> (וכ"פ בשו"ע</w:t>
      </w:r>
      <w:r w:rsidRPr="001D49D4">
        <w:rPr>
          <w:color w:val="000000" w:themeColor="text1"/>
          <w:vertAlign w:val="superscript"/>
          <w:rtl/>
        </w:rPr>
        <w:footnoteReference w:id="3668"/>
      </w:r>
      <w:r w:rsidRPr="001D49D4">
        <w:rPr>
          <w:color w:val="E36C0A" w:themeColor="accent6" w:themeShade="BF"/>
          <w:rtl/>
        </w:rPr>
        <w:t>)</w:t>
      </w:r>
    </w:p>
    <w:p w14:paraId="17FCB487" w14:textId="77777777" w:rsidR="001D49D4" w:rsidRPr="001D49D4" w:rsidRDefault="001D49D4" w:rsidP="0004348D">
      <w:pPr>
        <w:spacing w:before="360" w:after="240"/>
        <w:rPr>
          <w:rFonts w:ascii="Calibri" w:eastAsia="Calibri" w:hAnsi="Calibri" w:cs="Arial"/>
          <w:u w:val="dotted"/>
        </w:rPr>
      </w:pPr>
      <w:r w:rsidRPr="001D49D4">
        <w:rPr>
          <w:rFonts w:ascii="Calibri" w:eastAsia="Calibri" w:hAnsi="Calibri" w:cs="Arial"/>
          <w:u w:val="dotted"/>
          <w:rtl/>
        </w:rPr>
        <w:t>האם יכול המלוה לעשות כן שלא מדעת הלוה:</w:t>
      </w:r>
    </w:p>
    <w:p w14:paraId="54A66673" w14:textId="77777777" w:rsidR="001D49D4" w:rsidRPr="001D49D4" w:rsidRDefault="001D49D4" w:rsidP="0004348D">
      <w:pPr>
        <w:numPr>
          <w:ilvl w:val="0"/>
          <w:numId w:val="269"/>
        </w:numPr>
        <w:spacing w:before="360" w:after="240"/>
        <w:contextualSpacing/>
      </w:pPr>
      <w:r w:rsidRPr="001D49D4">
        <w:rPr>
          <w:rtl/>
        </w:rPr>
        <w:t>רבנו יונה</w:t>
      </w:r>
      <w:r w:rsidRPr="001D49D4">
        <w:rPr>
          <w:sz w:val="16"/>
          <w:szCs w:val="16"/>
          <w:rtl/>
        </w:rPr>
        <w:t xml:space="preserve"> (שם)</w:t>
      </w:r>
      <w:r w:rsidRPr="001D49D4">
        <w:rPr>
          <w:rtl/>
        </w:rPr>
        <w:t xml:space="preserve">- דוקא שמלאוהו מדעת הלוה, אבל אם המלוה מלאהו מדעת עצמו - לא מתכשר בהכי, דכיון דפסלי רבנן האי שטרא בהרחקת שני שיטין נמצא שהלוה שטר פסול נתן לו, וכי משוי ליה מלוה שטר כשר בלא דעת הלוה לא נשתעבד הלוה מאותו שטר </w:t>
      </w:r>
      <w:r w:rsidRPr="001D49D4">
        <w:rPr>
          <w:sz w:val="16"/>
          <w:szCs w:val="16"/>
          <w:rtl/>
        </w:rPr>
        <w:t>(ל' הטור בשם ה"ר יונה)</w:t>
      </w:r>
      <w:r w:rsidRPr="001D49D4">
        <w:rPr>
          <w:rtl/>
        </w:rPr>
        <w:t>.</w:t>
      </w:r>
    </w:p>
    <w:p w14:paraId="0EB52797" w14:textId="77777777" w:rsidR="001D49D4" w:rsidRPr="001D49D4" w:rsidRDefault="001D49D4" w:rsidP="0004348D">
      <w:pPr>
        <w:numPr>
          <w:ilvl w:val="0"/>
          <w:numId w:val="269"/>
        </w:numPr>
        <w:spacing w:before="360" w:after="240"/>
        <w:contextualSpacing/>
      </w:pPr>
      <w:r w:rsidRPr="001D49D4">
        <w:rPr>
          <w:rtl/>
        </w:rPr>
        <w:t xml:space="preserve">רא"ש </w:t>
      </w:r>
      <w:r w:rsidRPr="001D49D4">
        <w:rPr>
          <w:sz w:val="16"/>
          <w:szCs w:val="16"/>
          <w:rtl/>
        </w:rPr>
        <w:t xml:space="preserve">(שם) </w:t>
      </w:r>
      <w:r w:rsidRPr="001D49D4">
        <w:rPr>
          <w:rtl/>
        </w:rPr>
        <w:t>וטור- אם הוכשר בקרובים קודם שבא ליד בית דין אפילו עשאו מלוה מדעתו כשר.</w:t>
      </w:r>
      <w:r w:rsidRPr="001D49D4">
        <w:rPr>
          <w:color w:val="E36C0A" w:themeColor="accent6" w:themeShade="BF"/>
          <w:rtl/>
        </w:rPr>
        <w:t xml:space="preserve"> (וכ"ס בשו"ע)</w:t>
      </w:r>
    </w:p>
    <w:p w14:paraId="56BC8F37" w14:textId="77777777" w:rsidR="001D49D4" w:rsidRPr="001D49D4" w:rsidRDefault="001D49D4" w:rsidP="0004348D">
      <w:pPr>
        <w:spacing w:before="360" w:after="240"/>
        <w:rPr>
          <w:rFonts w:ascii="Arial" w:eastAsia="Calibri" w:hAnsi="Arial" w:cs="Arial"/>
          <w:b/>
          <w:bCs/>
          <w:color w:val="000000"/>
          <w:sz w:val="28"/>
          <w:szCs w:val="28"/>
          <w:u w:val="single"/>
          <w:rtl/>
        </w:rPr>
      </w:pPr>
      <w:r w:rsidRPr="001D49D4">
        <w:rPr>
          <w:rFonts w:ascii="Arial" w:eastAsia="Calibri" w:hAnsi="Arial" w:cs="Arial"/>
          <w:b/>
          <w:bCs/>
          <w:color w:val="000000"/>
          <w:sz w:val="28"/>
          <w:szCs w:val="28"/>
          <w:u w:val="single"/>
          <w:rtl/>
        </w:rPr>
        <w:t>שו"ע:</w:t>
      </w:r>
    </w:p>
    <w:p w14:paraId="1ACF1623"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rtl/>
        </w:rPr>
        <w:t xml:space="preserve">היו העדים מרוחקים מהכתב יתר על שני שיטין, והיה הריוח שבין הכתב והעדים מלא בעדים פסולים או קרובים, הרי זה כשר, שהרי אינו יכול להזדייף. ואם נראה השטר בבית דין קודם שמילאוהו בקרובים או פסולים, שוב אין לו תקנה. </w:t>
      </w:r>
      <w:r w:rsidRPr="001D49D4">
        <w:rPr>
          <w:rFonts w:ascii="Calibri" w:eastAsia="Calibri" w:hAnsi="Calibri" w:cs="Arial"/>
          <w:rtl/>
        </w:rPr>
        <w:lastRenderedPageBreak/>
        <w:t>אבל אם הוכשר על ידי מילוי קרובים קודם שבא לבית דין, אפילו עשאו המלוה מדעתו, שלא מדעת הלוה, כשר</w:t>
      </w:r>
      <w:r w:rsidRPr="001D49D4">
        <w:rPr>
          <w:rFonts w:ascii="Calibri" w:eastAsia="Calibri" w:hAnsi="Calibri" w:cs="Arial"/>
          <w:vertAlign w:val="superscript"/>
          <w:rtl/>
        </w:rPr>
        <w:footnoteReference w:id="3669"/>
      </w:r>
      <w:r w:rsidRPr="001D49D4">
        <w:rPr>
          <w:rFonts w:ascii="Calibri" w:eastAsia="Calibri" w:hAnsi="Calibri" w:cs="Arial"/>
          <w:rtl/>
        </w:rPr>
        <w:t xml:space="preserve">. ויש אומרים דדוקא שמילאוהו מדעת הלוה, אבל אם מילאוהו שלא מדעת הלוה, פסול. </w:t>
      </w:r>
    </w:p>
    <w:p w14:paraId="1590F870" w14:textId="77777777" w:rsidR="001D49D4" w:rsidRPr="001D49D4" w:rsidRDefault="001D49D4" w:rsidP="0004348D">
      <w:pPr>
        <w:spacing w:before="360" w:after="240"/>
        <w:rPr>
          <w:rFonts w:ascii="Calibri" w:eastAsia="Calibri" w:hAnsi="Calibri" w:cs="Arial"/>
          <w:color w:val="FF0000"/>
          <w:rtl/>
        </w:rPr>
      </w:pPr>
    </w:p>
    <w:p w14:paraId="75978B3E" w14:textId="77777777" w:rsidR="001D49D4" w:rsidRPr="001D49D4" w:rsidRDefault="001D49D4" w:rsidP="0004348D">
      <w:pPr>
        <w:keepNext/>
        <w:keepLines/>
        <w:spacing w:before="360" w:after="240"/>
        <w:outlineLvl w:val="1"/>
        <w:rPr>
          <w:rFonts w:ascii="Cambria" w:eastAsia="Times New Roman" w:hAnsi="Cambria" w:cs="Arial"/>
          <w:bCs/>
          <w:color w:val="548DD4" w:themeColor="text2" w:themeTint="99"/>
          <w:sz w:val="26"/>
          <w:szCs w:val="26"/>
          <w:rtl/>
        </w:rPr>
      </w:pPr>
      <w:bookmarkStart w:id="490" w:name="_Toc24883925"/>
      <w:r w:rsidRPr="001D49D4">
        <w:rPr>
          <w:rFonts w:ascii="Cambria" w:eastAsia="Times New Roman" w:hAnsi="Cambria" w:cs="Arial"/>
          <w:bCs/>
          <w:color w:val="548DD4" w:themeColor="text2" w:themeTint="99"/>
          <w:sz w:val="26"/>
          <w:szCs w:val="26"/>
          <w:rtl/>
        </w:rPr>
        <w:t>סעיף טו: הכשר שטר ע"י מילוי בחתימות קרובים – דווקא שמילאוהו ביום שנכתב ונחתם.</w:t>
      </w:r>
      <w:bookmarkEnd w:id="490"/>
    </w:p>
    <w:p w14:paraId="51C5D052"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rtl/>
        </w:rPr>
        <w:t>עיין במקורות בסעיף הקודם.</w:t>
      </w:r>
    </w:p>
    <w:p w14:paraId="2CD5AAF0" w14:textId="77777777" w:rsidR="001D49D4" w:rsidRPr="001D49D4" w:rsidRDefault="001D49D4" w:rsidP="0004348D">
      <w:pPr>
        <w:spacing w:before="360" w:after="240"/>
        <w:rPr>
          <w:rFonts w:ascii="Arial" w:eastAsia="Calibri" w:hAnsi="Arial" w:cs="Arial"/>
          <w:b/>
          <w:bCs/>
          <w:color w:val="000000"/>
          <w:sz w:val="28"/>
          <w:szCs w:val="28"/>
          <w:u w:val="single"/>
          <w:rtl/>
        </w:rPr>
      </w:pPr>
      <w:r w:rsidRPr="001D49D4">
        <w:rPr>
          <w:rFonts w:ascii="Arial" w:eastAsia="Calibri" w:hAnsi="Arial" w:cs="Arial"/>
          <w:b/>
          <w:bCs/>
          <w:color w:val="000000"/>
          <w:sz w:val="28"/>
          <w:szCs w:val="28"/>
          <w:u w:val="single"/>
          <w:rtl/>
        </w:rPr>
        <w:t>שו"ע:</w:t>
      </w:r>
    </w:p>
    <w:p w14:paraId="1C0B882A"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rtl/>
        </w:rPr>
        <w:t>הא דמכשרינן במילאוהו בקרובים או פסולים אם הוא שטר שאין בו קנין, דוקא שמילאוהו ביום שנכתב ונחתם</w:t>
      </w:r>
      <w:r w:rsidRPr="001D49D4">
        <w:rPr>
          <w:rFonts w:ascii="Calibri" w:eastAsia="Calibri" w:hAnsi="Calibri" w:cs="Arial"/>
          <w:vertAlign w:val="superscript"/>
          <w:rtl/>
        </w:rPr>
        <w:footnoteReference w:id="3670"/>
      </w:r>
      <w:r w:rsidRPr="001D49D4">
        <w:rPr>
          <w:rFonts w:ascii="Calibri" w:eastAsia="Calibri" w:hAnsi="Calibri" w:cs="Arial"/>
          <w:rtl/>
        </w:rPr>
        <w:t xml:space="preserve">, אבל אם מילאוהו למחר וליומא אחרא, אפילו במצות הלוה פסול. </w:t>
      </w:r>
    </w:p>
    <w:p w14:paraId="017377F9" w14:textId="77777777" w:rsidR="001D49D4" w:rsidRPr="001D49D4" w:rsidRDefault="001D49D4" w:rsidP="0004348D">
      <w:pPr>
        <w:spacing w:before="360" w:after="240"/>
        <w:rPr>
          <w:rFonts w:ascii="Calibri" w:eastAsia="Calibri" w:hAnsi="Calibri" w:cs="Arial"/>
          <w:rtl/>
        </w:rPr>
      </w:pPr>
    </w:p>
    <w:p w14:paraId="45CE2E39" w14:textId="77777777" w:rsidR="001D49D4" w:rsidRPr="001D49D4" w:rsidRDefault="001D49D4" w:rsidP="0004348D">
      <w:pPr>
        <w:keepNext/>
        <w:keepLines/>
        <w:spacing w:before="360" w:after="240"/>
        <w:outlineLvl w:val="1"/>
        <w:rPr>
          <w:rFonts w:ascii="Cambria" w:eastAsia="Times New Roman" w:hAnsi="Cambria" w:cs="Arial"/>
          <w:bCs/>
          <w:color w:val="548DD4" w:themeColor="text2" w:themeTint="99"/>
          <w:sz w:val="26"/>
          <w:szCs w:val="26"/>
          <w:rtl/>
        </w:rPr>
      </w:pPr>
      <w:bookmarkStart w:id="491" w:name="_Toc24883926"/>
      <w:r w:rsidRPr="001D49D4">
        <w:rPr>
          <w:rFonts w:ascii="Cambria" w:eastAsia="Times New Roman" w:hAnsi="Cambria" w:cs="Arial"/>
          <w:bCs/>
          <w:color w:val="548DD4" w:themeColor="text2" w:themeTint="99"/>
          <w:sz w:val="26"/>
          <w:szCs w:val="26"/>
          <w:rtl/>
        </w:rPr>
        <w:t>סעיף טז: לאחר שפרע את השטר טען שהשטר פסול משום שהסופר הרחיק יותר משיטה א'.</w:t>
      </w:r>
      <w:bookmarkEnd w:id="491"/>
    </w:p>
    <w:p w14:paraId="11D02557"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u w:val="single"/>
          <w:rtl/>
        </w:rPr>
        <w:t>אדם שפרע את השטר שהיה עליו ולאחמ"כ טען שהשטר היה פסול משום שהסופר הרחיק יותר משיטה אחת:</w:t>
      </w:r>
      <w:r w:rsidRPr="001D49D4">
        <w:rPr>
          <w:rFonts w:ascii="Calibri" w:eastAsia="Calibri" w:hAnsi="Calibri" w:cs="Arial"/>
          <w:rtl/>
        </w:rPr>
        <w:t xml:space="preserve"> </w:t>
      </w:r>
    </w:p>
    <w:p w14:paraId="7935375F" w14:textId="77777777" w:rsidR="001D49D4" w:rsidRPr="001D49D4" w:rsidRDefault="001D49D4" w:rsidP="0004348D">
      <w:pPr>
        <w:numPr>
          <w:ilvl w:val="0"/>
          <w:numId w:val="270"/>
        </w:numPr>
        <w:spacing w:before="360" w:after="240"/>
        <w:contextualSpacing/>
        <w:rPr>
          <w:rtl/>
        </w:rPr>
      </w:pPr>
      <w:r w:rsidRPr="001D49D4">
        <w:rPr>
          <w:rtl/>
        </w:rPr>
        <w:t xml:space="preserve">רשב"א </w:t>
      </w:r>
      <w:r w:rsidRPr="001D49D4">
        <w:rPr>
          <w:sz w:val="16"/>
          <w:szCs w:val="16"/>
          <w:rtl/>
        </w:rPr>
        <w:t>(ח"ג סי' צא)</w:t>
      </w:r>
      <w:r w:rsidRPr="001D49D4">
        <w:rPr>
          <w:rtl/>
        </w:rPr>
        <w:t xml:space="preserve">- עוד אמרת שטוען שמעון שהשטר היה פסול לפי שהרחיק הסופר חתם ידו יותר משטה אחת מן הכתב - גם בזה הדין עם ראובן. חדא שכבר האמינו ופרעו. ועוד שהבא מחמת גוי הרי הוא כגוי, ואלו בא ראובן לגבות את חובו מן הגוי מאותו קרקע שקנה ממנו שמעון היה גובה באותו שטר, ושכן נהגו, אף הוא גובה מאותו קרקע משמעון הבא מחמת גוי. </w:t>
      </w:r>
      <w:r w:rsidRPr="001D49D4">
        <w:rPr>
          <w:color w:val="E36C0A" w:themeColor="accent6" w:themeShade="BF"/>
          <w:rtl/>
        </w:rPr>
        <w:t>(וכ"פ בשו"ע</w:t>
      </w:r>
      <w:r w:rsidRPr="001D49D4">
        <w:rPr>
          <w:color w:val="E36C0A" w:themeColor="accent6" w:themeShade="BF"/>
          <w:sz w:val="16"/>
          <w:szCs w:val="16"/>
          <w:rtl/>
        </w:rPr>
        <w:t xml:space="preserve"> </w:t>
      </w:r>
      <w:r w:rsidRPr="001D49D4">
        <w:rPr>
          <w:color w:val="000000" w:themeColor="text1"/>
          <w:sz w:val="16"/>
          <w:szCs w:val="16"/>
          <w:rtl/>
        </w:rPr>
        <w:t>[כאן ובסע' הבא]</w:t>
      </w:r>
      <w:r w:rsidRPr="001D49D4">
        <w:rPr>
          <w:color w:val="E36C0A" w:themeColor="accent6" w:themeShade="BF"/>
          <w:rtl/>
        </w:rPr>
        <w:t>)</w:t>
      </w:r>
      <w:r w:rsidRPr="001D49D4">
        <w:rPr>
          <w:rtl/>
        </w:rPr>
        <w:t xml:space="preserve"> </w:t>
      </w:r>
    </w:p>
    <w:p w14:paraId="099A1D45" w14:textId="77777777" w:rsidR="001D49D4" w:rsidRPr="001D49D4" w:rsidRDefault="001D49D4" w:rsidP="0004348D">
      <w:pPr>
        <w:spacing w:before="360" w:after="240"/>
        <w:rPr>
          <w:rFonts w:ascii="Calibri" w:eastAsia="Calibri" w:hAnsi="Calibri" w:cs="Arial"/>
          <w:u w:val="single"/>
          <w:rtl/>
        </w:rPr>
      </w:pPr>
      <w:r w:rsidRPr="001D49D4">
        <w:rPr>
          <w:rFonts w:ascii="Calibri" w:eastAsia="Calibri" w:hAnsi="Calibri" w:cs="Arial"/>
          <w:u w:val="single"/>
          <w:rtl/>
        </w:rPr>
        <w:t>האם העדים נאמנים לומר שהרחיקו שטה אחת מפני שלא ידעו לאמן ידיהם:</w:t>
      </w:r>
    </w:p>
    <w:p w14:paraId="786186F3" w14:textId="77777777" w:rsidR="001D49D4" w:rsidRPr="001D49D4" w:rsidRDefault="001D49D4" w:rsidP="0004348D">
      <w:pPr>
        <w:numPr>
          <w:ilvl w:val="0"/>
          <w:numId w:val="270"/>
        </w:numPr>
        <w:spacing w:before="360" w:after="240"/>
        <w:contextualSpacing/>
        <w:rPr>
          <w:rtl/>
        </w:rPr>
      </w:pPr>
      <w:r w:rsidRPr="001D49D4">
        <w:rPr>
          <w:rtl/>
        </w:rPr>
        <w:t xml:space="preserve">רשב"א </w:t>
      </w:r>
      <w:r w:rsidRPr="001D49D4">
        <w:rPr>
          <w:sz w:val="16"/>
          <w:szCs w:val="16"/>
          <w:rtl/>
        </w:rPr>
        <w:t>(ח"ג סי' נה)</w:t>
      </w:r>
      <w:r w:rsidRPr="001D49D4">
        <w:rPr>
          <w:rtl/>
        </w:rPr>
        <w:t>- מה ששאלת אם העדים נאמנים לומר שהרחיקו שטה אחת מפני שלא ידעו לאמן ידיהם. לא ירדתי לסוף שאלה זו, דבין אמרו בין לא אמרו אין למדין משטה אחרונה, ואדרבה, איפכא היה לך לשאול - אם אמרו העדים לא הרחקנו אם למדים משטה אחרונה. ואם זו שאלה - אין נאמנים להכשיר שטה אחרונה לעשותה כשטר אלא כעדות על פה, שכל שאין מוכיח מתוך השטר אין לו דין שטר.</w:t>
      </w:r>
    </w:p>
    <w:p w14:paraId="508322E5" w14:textId="77777777" w:rsidR="001D49D4" w:rsidRPr="001D49D4" w:rsidRDefault="001D49D4" w:rsidP="0004348D">
      <w:pPr>
        <w:spacing w:before="360" w:after="240"/>
        <w:rPr>
          <w:rFonts w:ascii="Arial" w:eastAsia="Calibri" w:hAnsi="Arial" w:cs="Arial"/>
          <w:b/>
          <w:bCs/>
          <w:color w:val="000000"/>
          <w:sz w:val="28"/>
          <w:szCs w:val="28"/>
          <w:u w:val="single"/>
          <w:rtl/>
        </w:rPr>
      </w:pPr>
      <w:r w:rsidRPr="001D49D4">
        <w:rPr>
          <w:rFonts w:ascii="Arial" w:eastAsia="Calibri" w:hAnsi="Arial" w:cs="Arial"/>
          <w:b/>
          <w:bCs/>
          <w:color w:val="000000"/>
          <w:sz w:val="28"/>
          <w:szCs w:val="28"/>
          <w:u w:val="single"/>
          <w:rtl/>
        </w:rPr>
        <w:t>שו"ע:</w:t>
      </w:r>
    </w:p>
    <w:p w14:paraId="51DE8687"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rtl/>
        </w:rPr>
        <w:t xml:space="preserve">אם אחר שפרעו הוא טוען שהשטר היה פסול לפי שהרחיק הסופר חותם ידו יותר משטה אחת, אין בדבריו כלום. </w:t>
      </w:r>
    </w:p>
    <w:p w14:paraId="60DBD2FD" w14:textId="77777777" w:rsidR="001D49D4" w:rsidRPr="001D49D4" w:rsidRDefault="001D49D4" w:rsidP="0004348D">
      <w:pPr>
        <w:spacing w:before="360" w:after="240"/>
        <w:rPr>
          <w:rFonts w:ascii="Calibri" w:eastAsia="Calibri" w:hAnsi="Calibri" w:cs="Arial"/>
          <w:rtl/>
        </w:rPr>
      </w:pPr>
    </w:p>
    <w:p w14:paraId="6C3A2DF7" w14:textId="77777777" w:rsidR="001D49D4" w:rsidRPr="001D49D4" w:rsidRDefault="001D49D4" w:rsidP="0004348D">
      <w:pPr>
        <w:keepNext/>
        <w:keepLines/>
        <w:spacing w:before="360" w:after="240"/>
        <w:outlineLvl w:val="1"/>
        <w:rPr>
          <w:rFonts w:ascii="Cambria" w:eastAsia="Times New Roman" w:hAnsi="Cambria" w:cs="Arial"/>
          <w:bCs/>
          <w:color w:val="548DD4" w:themeColor="text2" w:themeTint="99"/>
          <w:sz w:val="26"/>
          <w:szCs w:val="26"/>
          <w:rtl/>
        </w:rPr>
      </w:pPr>
      <w:bookmarkStart w:id="492" w:name="_Toc24883927"/>
      <w:r w:rsidRPr="001D49D4">
        <w:rPr>
          <w:rFonts w:ascii="Cambria" w:eastAsia="Times New Roman" w:hAnsi="Cambria" w:cs="Arial"/>
          <w:bCs/>
          <w:color w:val="548DD4" w:themeColor="text2" w:themeTint="99"/>
          <w:sz w:val="26"/>
          <w:szCs w:val="26"/>
          <w:rtl/>
        </w:rPr>
        <w:lastRenderedPageBreak/>
        <w:t>סעיף יז: הבא מכח גוי מהו שיגבה בשטר שעידיו מרוחקים ב' שיטים.</w:t>
      </w:r>
      <w:bookmarkEnd w:id="492"/>
    </w:p>
    <w:p w14:paraId="0F0258D1"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rtl/>
        </w:rPr>
        <w:t>עיין במקורות בסעיף הקודם.</w:t>
      </w:r>
    </w:p>
    <w:p w14:paraId="6815F59B" w14:textId="77777777" w:rsidR="001D49D4" w:rsidRPr="001D49D4" w:rsidRDefault="001D49D4" w:rsidP="0004348D">
      <w:pPr>
        <w:spacing w:before="360" w:after="240"/>
        <w:rPr>
          <w:rFonts w:ascii="Arial" w:eastAsia="Calibri" w:hAnsi="Arial" w:cs="Arial"/>
          <w:b/>
          <w:bCs/>
          <w:color w:val="000000"/>
          <w:sz w:val="28"/>
          <w:szCs w:val="28"/>
          <w:u w:val="single"/>
          <w:rtl/>
        </w:rPr>
      </w:pPr>
      <w:r w:rsidRPr="001D49D4">
        <w:rPr>
          <w:rFonts w:ascii="Arial" w:eastAsia="Calibri" w:hAnsi="Arial" w:cs="Arial"/>
          <w:b/>
          <w:bCs/>
          <w:color w:val="000000"/>
          <w:sz w:val="28"/>
          <w:szCs w:val="28"/>
          <w:u w:val="single"/>
          <w:rtl/>
        </w:rPr>
        <w:t>שו"ע:</w:t>
      </w:r>
    </w:p>
    <w:p w14:paraId="2D7C378B"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rtl/>
        </w:rPr>
        <w:t>הבא מכח גוי, הרי הוא כמוהו</w:t>
      </w:r>
      <w:r w:rsidRPr="001D49D4">
        <w:rPr>
          <w:rFonts w:ascii="Calibri" w:eastAsia="Calibri" w:hAnsi="Calibri" w:cs="Arial"/>
          <w:vertAlign w:val="superscript"/>
          <w:rtl/>
        </w:rPr>
        <w:footnoteReference w:id="3671"/>
      </w:r>
      <w:r w:rsidRPr="001D49D4">
        <w:rPr>
          <w:rFonts w:ascii="Calibri" w:eastAsia="Calibri" w:hAnsi="Calibri" w:cs="Arial"/>
          <w:rtl/>
        </w:rPr>
        <w:t xml:space="preserve"> לגבות בשטר שעידיו מרוחקים ב' שיטים, אם נהגו הגוים לגבות בו. </w:t>
      </w:r>
    </w:p>
    <w:p w14:paraId="116B891E" w14:textId="77777777" w:rsidR="001D49D4" w:rsidRPr="001D49D4" w:rsidRDefault="001D49D4" w:rsidP="0004348D">
      <w:pPr>
        <w:spacing w:before="360" w:after="240"/>
        <w:rPr>
          <w:rFonts w:ascii="Calibri" w:eastAsia="Calibri" w:hAnsi="Calibri" w:cs="Arial"/>
          <w:rtl/>
        </w:rPr>
      </w:pPr>
    </w:p>
    <w:p w14:paraId="65781186" w14:textId="77777777" w:rsidR="001D49D4" w:rsidRPr="001D49D4" w:rsidRDefault="001D49D4" w:rsidP="0004348D">
      <w:pPr>
        <w:keepNext/>
        <w:keepLines/>
        <w:spacing w:before="360" w:after="240"/>
        <w:outlineLvl w:val="1"/>
        <w:rPr>
          <w:rFonts w:ascii="Cambria" w:eastAsia="Times New Roman" w:hAnsi="Cambria" w:cs="Arial"/>
          <w:bCs/>
          <w:color w:val="548DD4" w:themeColor="text2" w:themeTint="99"/>
          <w:sz w:val="26"/>
          <w:szCs w:val="26"/>
          <w:rtl/>
        </w:rPr>
      </w:pPr>
      <w:bookmarkStart w:id="493" w:name="_Toc24883928"/>
      <w:r w:rsidRPr="001D49D4">
        <w:rPr>
          <w:rFonts w:ascii="Cambria" w:eastAsia="Times New Roman" w:hAnsi="Cambria" w:cs="Arial"/>
          <w:bCs/>
          <w:color w:val="548DD4" w:themeColor="text2" w:themeTint="99"/>
          <w:sz w:val="26"/>
          <w:szCs w:val="26"/>
          <w:rtl/>
        </w:rPr>
        <w:t>סעיף יח: שטר הבא כולו בשטה אחת ועדיו בשטה אחרת.</w:t>
      </w:r>
      <w:bookmarkEnd w:id="493"/>
    </w:p>
    <w:p w14:paraId="4A452269"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b/>
          <w:bCs/>
          <w:rtl/>
        </w:rPr>
        <w:t xml:space="preserve">בבא בתרא </w:t>
      </w:r>
      <w:r w:rsidRPr="001D49D4">
        <w:rPr>
          <w:rFonts w:ascii="Calibri" w:eastAsia="Calibri" w:hAnsi="Calibri" w:cs="Arial"/>
          <w:b/>
          <w:bCs/>
          <w:sz w:val="16"/>
          <w:szCs w:val="16"/>
          <w:rtl/>
        </w:rPr>
        <w:t xml:space="preserve">(פרק גט פשוט) </w:t>
      </w:r>
      <w:r w:rsidRPr="001D49D4">
        <w:rPr>
          <w:rFonts w:ascii="Calibri" w:eastAsia="Calibri" w:hAnsi="Calibri" w:cs="Arial"/>
          <w:b/>
          <w:bCs/>
          <w:rtl/>
        </w:rPr>
        <w:t>קסג</w:t>
      </w:r>
      <w:r w:rsidRPr="001D49D4">
        <w:rPr>
          <w:rFonts w:ascii="Calibri" w:eastAsia="Calibri" w:hAnsi="Calibri" w:cs="Arial"/>
          <w:b/>
          <w:bCs/>
          <w:vertAlign w:val="superscript"/>
          <w:rtl/>
        </w:rPr>
        <w:footnoteReference w:id="3672"/>
      </w:r>
      <w:r w:rsidRPr="001D49D4">
        <w:rPr>
          <w:rFonts w:ascii="Calibri" w:eastAsia="Calibri" w:hAnsi="Calibri" w:cs="Arial"/>
          <w:b/>
          <w:bCs/>
          <w:rtl/>
        </w:rPr>
        <w:t xml:space="preserve"> ע"ב:</w:t>
      </w:r>
      <w:r w:rsidRPr="001D49D4">
        <w:rPr>
          <w:rFonts w:ascii="Calibri" w:eastAsia="Calibri" w:hAnsi="Calibri" w:cs="Arial"/>
          <w:rtl/>
        </w:rPr>
        <w:t xml:space="preserve"> </w:t>
      </w:r>
      <w:r w:rsidRPr="001D49D4">
        <w:rPr>
          <w:rFonts w:ascii="Calibri" w:eastAsia="Calibri" w:hAnsi="Calibri" w:cs="Arial"/>
          <w:u w:val="single"/>
          <w:rtl/>
        </w:rPr>
        <w:t>רבי יוחנן אמר</w:t>
      </w:r>
      <w:r w:rsidRPr="001D49D4">
        <w:rPr>
          <w:rFonts w:ascii="Calibri" w:eastAsia="Calibri" w:hAnsi="Calibri" w:cs="Arial"/>
          <w:rtl/>
        </w:rPr>
        <w:t>: לא שנו</w:t>
      </w:r>
      <w:r w:rsidRPr="001D49D4">
        <w:rPr>
          <w:rFonts w:ascii="Calibri" w:eastAsia="Calibri" w:hAnsi="Calibri" w:cs="Arial"/>
          <w:vertAlign w:val="superscript"/>
          <w:rtl/>
        </w:rPr>
        <w:footnoteReference w:id="3673"/>
      </w:r>
      <w:r w:rsidRPr="001D49D4">
        <w:rPr>
          <w:rFonts w:ascii="Calibri" w:eastAsia="Calibri" w:hAnsi="Calibri" w:cs="Arial"/>
          <w:rtl/>
        </w:rPr>
        <w:t xml:space="preserve"> אלא בין העדים לכתב, אבל בין עדים לאשרתא</w:t>
      </w:r>
      <w:r w:rsidRPr="001D49D4">
        <w:rPr>
          <w:rFonts w:ascii="Calibri" w:eastAsia="Calibri" w:hAnsi="Calibri" w:cs="Arial"/>
          <w:vertAlign w:val="superscript"/>
          <w:rtl/>
        </w:rPr>
        <w:footnoteReference w:id="3674"/>
      </w:r>
      <w:r w:rsidRPr="001D49D4">
        <w:rPr>
          <w:rFonts w:ascii="Calibri" w:eastAsia="Calibri" w:hAnsi="Calibri" w:cs="Arial"/>
          <w:rtl/>
        </w:rPr>
        <w:t xml:space="preserve"> - אפילו שיטה אחת פסול</w:t>
      </w:r>
      <w:r w:rsidRPr="001D49D4">
        <w:rPr>
          <w:rFonts w:ascii="Calibri" w:eastAsia="Calibri" w:hAnsi="Calibri" w:cs="Arial"/>
          <w:vertAlign w:val="superscript"/>
          <w:rtl/>
        </w:rPr>
        <w:footnoteReference w:id="3675"/>
      </w:r>
      <w:r w:rsidRPr="001D49D4">
        <w:rPr>
          <w:rFonts w:ascii="Calibri" w:eastAsia="Calibri" w:hAnsi="Calibri" w:cs="Arial"/>
          <w:rtl/>
        </w:rPr>
        <w:t xml:space="preserve">. מאי שנא בין עדים לאשרתא? דלמא גייז לעילאי וכתב הוא ועדיו בשיטה אחת, וקסבר: שטר הבא הוא ועדיו בשיטה אחת – כשר. אי הכי, בין עדים לכתב נמי, דלמא גייז ליה לעילאי וכתב מאי דבעי וחתימי סהדי! קא סבר: שטר הבא הוא בשיטה אחת ועדיו בשיטה אחרת - פסול. </w:t>
      </w:r>
    </w:p>
    <w:p w14:paraId="59460317" w14:textId="77777777" w:rsidR="001D49D4" w:rsidRPr="001D49D4" w:rsidRDefault="001D49D4" w:rsidP="0004348D">
      <w:pPr>
        <w:spacing w:before="360" w:after="240"/>
        <w:rPr>
          <w:rFonts w:ascii="Calibri" w:eastAsia="Calibri" w:hAnsi="Calibri" w:cs="Arial"/>
          <w:u w:val="single"/>
          <w:rtl/>
        </w:rPr>
      </w:pPr>
      <w:r w:rsidRPr="001D49D4">
        <w:rPr>
          <w:rFonts w:ascii="Calibri" w:eastAsia="Calibri" w:hAnsi="Calibri" w:cs="Arial"/>
          <w:u w:val="single"/>
          <w:rtl/>
        </w:rPr>
        <w:t xml:space="preserve">שטר הבא כולו בשיטה אחת ועדיו בשיטה </w:t>
      </w:r>
      <w:r w:rsidRPr="001D49D4">
        <w:rPr>
          <w:rFonts w:ascii="Calibri" w:eastAsia="Calibri" w:hAnsi="Calibri" w:cs="Arial"/>
          <w:b/>
          <w:bCs/>
          <w:u w:val="single"/>
          <w:rtl/>
        </w:rPr>
        <w:t>אחרת</w:t>
      </w:r>
      <w:r w:rsidRPr="001D49D4">
        <w:rPr>
          <w:rFonts w:ascii="Calibri" w:eastAsia="Calibri" w:hAnsi="Calibri" w:cs="Arial"/>
          <w:u w:val="single"/>
          <w:rtl/>
        </w:rPr>
        <w:t>:</w:t>
      </w:r>
    </w:p>
    <w:p w14:paraId="6DF1673D" w14:textId="77777777" w:rsidR="001D49D4" w:rsidRPr="001D49D4" w:rsidRDefault="001D49D4" w:rsidP="0004348D">
      <w:pPr>
        <w:numPr>
          <w:ilvl w:val="0"/>
          <w:numId w:val="270"/>
        </w:numPr>
        <w:spacing w:before="360" w:after="240"/>
        <w:contextualSpacing/>
        <w:rPr>
          <w:rtl/>
        </w:rPr>
      </w:pPr>
      <w:r w:rsidRPr="001D49D4">
        <w:rPr>
          <w:rtl/>
        </w:rPr>
        <w:t xml:space="preserve">רמב"ם </w:t>
      </w:r>
      <w:r w:rsidRPr="001D49D4">
        <w:rPr>
          <w:sz w:val="16"/>
          <w:szCs w:val="16"/>
          <w:rtl/>
        </w:rPr>
        <w:t>(פכ"ז ה"ה)</w:t>
      </w:r>
      <w:r w:rsidRPr="001D49D4">
        <w:rPr>
          <w:rtl/>
        </w:rPr>
        <w:t xml:space="preserve"> וטור- שטר הבא כולו בשיטה אחת ועדיו בשיטה אחרת - פסול, דשמא הרחיקו העדים מהשטר שיטה אחת וחתך כל השטר וכתב זה השטר באותה שיטה ונמצאו העדים חתומין עליו</w:t>
      </w:r>
      <w:r w:rsidRPr="001D49D4">
        <w:rPr>
          <w:sz w:val="16"/>
          <w:szCs w:val="16"/>
          <w:rtl/>
        </w:rPr>
        <w:t xml:space="preserve"> (ל' הטור)</w:t>
      </w:r>
      <w:r w:rsidRPr="001D49D4">
        <w:rPr>
          <w:rtl/>
        </w:rPr>
        <w:t>.</w:t>
      </w:r>
      <w:r w:rsidRPr="001D49D4">
        <w:rPr>
          <w:color w:val="E36C0A" w:themeColor="accent6" w:themeShade="BF"/>
          <w:rtl/>
        </w:rPr>
        <w:t xml:space="preserve"> (וכ"פ בשו"ע)</w:t>
      </w:r>
    </w:p>
    <w:p w14:paraId="61127FDA" w14:textId="77777777" w:rsidR="001D49D4" w:rsidRPr="001D49D4" w:rsidRDefault="001D49D4" w:rsidP="0004348D">
      <w:pPr>
        <w:spacing w:before="360" w:after="240"/>
        <w:ind w:left="360"/>
        <w:rPr>
          <w:rFonts w:ascii="Calibri" w:eastAsia="Calibri" w:hAnsi="Calibri" w:cs="Arial"/>
          <w:u w:val="dotted"/>
        </w:rPr>
      </w:pPr>
      <w:r w:rsidRPr="001D49D4">
        <w:rPr>
          <w:rFonts w:ascii="Calibri" w:eastAsia="Calibri" w:hAnsi="Calibri" w:cs="Arial"/>
          <w:u w:val="dotted"/>
          <w:rtl/>
        </w:rPr>
        <w:t>ומה הדין אם השטר כתוב בשתי שיטות אבל השורה הראשונה לא מתחילה בראש הקלף:</w:t>
      </w:r>
      <w:r w:rsidRPr="001D49D4">
        <w:rPr>
          <w:rFonts w:ascii="Calibri" w:eastAsia="Calibri" w:hAnsi="Calibri" w:cs="Arial"/>
          <w:sz w:val="16"/>
          <w:szCs w:val="16"/>
          <w:rtl/>
        </w:rPr>
        <w:t xml:space="preserve">  (דרכ"מ אות ד*)</w:t>
      </w:r>
    </w:p>
    <w:p w14:paraId="1DBFAF3B" w14:textId="77777777" w:rsidR="001D49D4" w:rsidRPr="001D49D4" w:rsidRDefault="001D49D4" w:rsidP="0004348D">
      <w:pPr>
        <w:numPr>
          <w:ilvl w:val="0"/>
          <w:numId w:val="270"/>
        </w:numPr>
        <w:spacing w:before="360" w:after="240"/>
        <w:contextualSpacing/>
      </w:pPr>
      <w:r w:rsidRPr="001D49D4">
        <w:rPr>
          <w:rtl/>
        </w:rPr>
        <w:t xml:space="preserve">מרדכי </w:t>
      </w:r>
      <w:r w:rsidRPr="001D49D4">
        <w:rPr>
          <w:sz w:val="16"/>
          <w:szCs w:val="16"/>
          <w:rtl/>
        </w:rPr>
        <w:t>(פרק גט פשוט סו"ס תרמא)</w:t>
      </w:r>
      <w:r w:rsidRPr="001D49D4">
        <w:rPr>
          <w:rtl/>
        </w:rPr>
        <w:t xml:space="preserve">- והוא הדין אם השטר שתי שיטות אם אין השיטה הראשונה מתחלת בראש הקלף דחיישינן שמא סיימו השטר באמצע שיטה והעדים הניחו עוד שיטה וחתמו וגייז להשטר וזייף וכתב. </w:t>
      </w:r>
      <w:r w:rsidRPr="001D49D4">
        <w:rPr>
          <w:color w:val="00B0F0"/>
          <w:rtl/>
        </w:rPr>
        <w:t>(וכ"פ הרמ"א)</w:t>
      </w:r>
    </w:p>
    <w:p w14:paraId="5DB22686" w14:textId="77777777" w:rsidR="001D49D4" w:rsidRPr="001D49D4" w:rsidRDefault="001D49D4" w:rsidP="0004348D">
      <w:pPr>
        <w:spacing w:before="360" w:after="240"/>
        <w:rPr>
          <w:rFonts w:ascii="Arial" w:eastAsia="Calibri" w:hAnsi="Arial" w:cs="Arial"/>
          <w:b/>
          <w:bCs/>
          <w:color w:val="000000"/>
          <w:sz w:val="28"/>
          <w:szCs w:val="28"/>
          <w:u w:val="single"/>
        </w:rPr>
      </w:pPr>
      <w:r w:rsidRPr="001D49D4">
        <w:rPr>
          <w:rFonts w:ascii="Arial" w:eastAsia="Calibri" w:hAnsi="Arial" w:cs="Arial"/>
          <w:b/>
          <w:bCs/>
          <w:color w:val="000000"/>
          <w:sz w:val="28"/>
          <w:szCs w:val="28"/>
          <w:u w:val="single"/>
          <w:rtl/>
        </w:rPr>
        <w:t>שו"ע:</w:t>
      </w:r>
    </w:p>
    <w:p w14:paraId="167CD672"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rtl/>
        </w:rPr>
        <w:t xml:space="preserve">שטר הבא כולו בשטה אחת ועדיו בשטה אחרת, פסול, דשמא הרחיקו העדים מהשטר שטה אחת וחתך כל השטר וכתב זה השטר באותה שיטה ונמצאו העדים חתומים עליו. </w:t>
      </w:r>
      <w:r w:rsidRPr="001D49D4">
        <w:rPr>
          <w:rFonts w:ascii="Calibri" w:eastAsia="Calibri" w:hAnsi="Calibri" w:cs="Arial"/>
          <w:sz w:val="18"/>
          <w:szCs w:val="18"/>
          <w:rtl/>
        </w:rPr>
        <w:t>הגה: וכן אם היה השטר ב' שיטין, אלא שאין השטה ראשונה מתחלת בראש הקלף, דחיישינן שמא סיימו השטר באמצע שטה והניחו הנשאר חלק גם שטה שתחתיה, וחתמו, וחתך כל השטר וזייף בשטה ומחצה מה שרצה, והרי העדים חתומים עליו</w:t>
      </w:r>
      <w:r w:rsidRPr="001D49D4">
        <w:rPr>
          <w:rFonts w:ascii="Calibri" w:eastAsia="Calibri" w:hAnsi="Calibri" w:cs="Arial"/>
          <w:sz w:val="18"/>
          <w:szCs w:val="18"/>
          <w:vertAlign w:val="superscript"/>
          <w:rtl/>
        </w:rPr>
        <w:footnoteReference w:id="3676"/>
      </w:r>
      <w:r w:rsidRPr="001D49D4">
        <w:rPr>
          <w:rFonts w:ascii="Calibri" w:eastAsia="Calibri" w:hAnsi="Calibri" w:cs="Arial"/>
          <w:sz w:val="18"/>
          <w:szCs w:val="18"/>
          <w:rtl/>
        </w:rPr>
        <w:t xml:space="preserve"> (מרדכי).</w:t>
      </w:r>
      <w:r w:rsidRPr="001D49D4">
        <w:rPr>
          <w:rFonts w:ascii="Calibri" w:eastAsia="Calibri" w:hAnsi="Calibri" w:cs="Arial"/>
          <w:rtl/>
        </w:rPr>
        <w:t xml:space="preserve"> </w:t>
      </w:r>
    </w:p>
    <w:p w14:paraId="4E3B9F3E" w14:textId="77777777" w:rsidR="001D49D4" w:rsidRPr="001D49D4" w:rsidRDefault="001D49D4" w:rsidP="0004348D">
      <w:pPr>
        <w:spacing w:before="360" w:after="240"/>
        <w:rPr>
          <w:rFonts w:ascii="Calibri" w:eastAsia="Calibri" w:hAnsi="Calibri" w:cs="Arial"/>
          <w:rtl/>
        </w:rPr>
      </w:pPr>
    </w:p>
    <w:p w14:paraId="6058E078" w14:textId="77777777" w:rsidR="001D49D4" w:rsidRPr="001D49D4" w:rsidRDefault="001D49D4" w:rsidP="0004348D">
      <w:pPr>
        <w:keepNext/>
        <w:keepLines/>
        <w:spacing w:before="360" w:after="240"/>
        <w:outlineLvl w:val="1"/>
        <w:rPr>
          <w:rFonts w:ascii="Cambria" w:eastAsia="Times New Roman" w:hAnsi="Cambria" w:cs="Arial"/>
          <w:bCs/>
          <w:color w:val="548DD4" w:themeColor="text2" w:themeTint="99"/>
          <w:sz w:val="26"/>
          <w:szCs w:val="26"/>
          <w:rtl/>
        </w:rPr>
      </w:pPr>
      <w:bookmarkStart w:id="494" w:name="_Toc24883929"/>
      <w:r w:rsidRPr="001D49D4">
        <w:rPr>
          <w:rFonts w:ascii="Cambria" w:eastAsia="Times New Roman" w:hAnsi="Cambria" w:cs="Arial"/>
          <w:bCs/>
          <w:color w:val="548DD4" w:themeColor="text2" w:themeTint="99"/>
          <w:sz w:val="26"/>
          <w:szCs w:val="26"/>
          <w:rtl/>
        </w:rPr>
        <w:t>סעיף יט: שטר הבא הוא ועדיו בשטה אחת ולמטה משטה זו חתומים עוד שני עדים.</w:t>
      </w:r>
      <w:bookmarkEnd w:id="494"/>
    </w:p>
    <w:p w14:paraId="4CA8385B"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b/>
          <w:bCs/>
          <w:rtl/>
        </w:rPr>
        <w:t xml:space="preserve">בבא בתרא </w:t>
      </w:r>
      <w:r w:rsidRPr="001D49D4">
        <w:rPr>
          <w:rFonts w:ascii="Calibri" w:eastAsia="Calibri" w:hAnsi="Calibri" w:cs="Arial"/>
          <w:b/>
          <w:bCs/>
          <w:sz w:val="16"/>
          <w:szCs w:val="16"/>
          <w:rtl/>
        </w:rPr>
        <w:t xml:space="preserve">(פרק גט פשוט) </w:t>
      </w:r>
      <w:r w:rsidRPr="001D49D4">
        <w:rPr>
          <w:rFonts w:ascii="Calibri" w:eastAsia="Calibri" w:hAnsi="Calibri" w:cs="Arial"/>
          <w:b/>
          <w:bCs/>
          <w:rtl/>
        </w:rPr>
        <w:t>קסג</w:t>
      </w:r>
      <w:r w:rsidRPr="001D49D4">
        <w:rPr>
          <w:rFonts w:ascii="Calibri" w:eastAsia="Calibri" w:hAnsi="Calibri" w:cs="Arial"/>
          <w:b/>
          <w:bCs/>
          <w:vertAlign w:val="superscript"/>
          <w:rtl/>
        </w:rPr>
        <w:footnoteReference w:id="3677"/>
      </w:r>
      <w:r w:rsidRPr="001D49D4">
        <w:rPr>
          <w:rFonts w:ascii="Calibri" w:eastAsia="Calibri" w:hAnsi="Calibri" w:cs="Arial"/>
          <w:b/>
          <w:bCs/>
          <w:rtl/>
        </w:rPr>
        <w:t xml:space="preserve"> ע"ב:</w:t>
      </w:r>
      <w:r w:rsidRPr="001D49D4">
        <w:rPr>
          <w:rFonts w:ascii="Calibri" w:eastAsia="Calibri" w:hAnsi="Calibri" w:cs="Arial"/>
          <w:rtl/>
        </w:rPr>
        <w:t xml:space="preserve"> </w:t>
      </w:r>
      <w:r w:rsidRPr="001D49D4">
        <w:rPr>
          <w:rFonts w:ascii="Calibri" w:eastAsia="Calibri" w:hAnsi="Calibri" w:cs="Arial"/>
          <w:u w:val="single"/>
          <w:rtl/>
        </w:rPr>
        <w:t>רבי יוחנן אמר</w:t>
      </w:r>
      <w:r w:rsidRPr="001D49D4">
        <w:rPr>
          <w:rFonts w:ascii="Calibri" w:eastAsia="Calibri" w:hAnsi="Calibri" w:cs="Arial"/>
          <w:rtl/>
        </w:rPr>
        <w:t>: לא שנו</w:t>
      </w:r>
      <w:r w:rsidRPr="001D49D4">
        <w:rPr>
          <w:rFonts w:ascii="Calibri" w:eastAsia="Calibri" w:hAnsi="Calibri" w:cs="Arial"/>
          <w:vertAlign w:val="superscript"/>
          <w:rtl/>
        </w:rPr>
        <w:footnoteReference w:id="3678"/>
      </w:r>
      <w:r w:rsidRPr="001D49D4">
        <w:rPr>
          <w:rFonts w:ascii="Calibri" w:eastAsia="Calibri" w:hAnsi="Calibri" w:cs="Arial"/>
          <w:rtl/>
        </w:rPr>
        <w:t xml:space="preserve"> אלא בין העדים לכתב, אבל בין עדים לאשרתא</w:t>
      </w:r>
      <w:r w:rsidRPr="001D49D4">
        <w:rPr>
          <w:rFonts w:ascii="Calibri" w:eastAsia="Calibri" w:hAnsi="Calibri" w:cs="Arial"/>
          <w:vertAlign w:val="superscript"/>
          <w:rtl/>
        </w:rPr>
        <w:footnoteReference w:id="3679"/>
      </w:r>
      <w:r w:rsidRPr="001D49D4">
        <w:rPr>
          <w:rFonts w:ascii="Calibri" w:eastAsia="Calibri" w:hAnsi="Calibri" w:cs="Arial"/>
          <w:rtl/>
        </w:rPr>
        <w:t xml:space="preserve"> - אפילו שיטה אחת פסול</w:t>
      </w:r>
      <w:r w:rsidRPr="001D49D4">
        <w:rPr>
          <w:rFonts w:ascii="Calibri" w:eastAsia="Calibri" w:hAnsi="Calibri" w:cs="Arial"/>
          <w:vertAlign w:val="superscript"/>
          <w:rtl/>
        </w:rPr>
        <w:footnoteReference w:id="3680"/>
      </w:r>
      <w:r w:rsidRPr="001D49D4">
        <w:rPr>
          <w:rFonts w:ascii="Calibri" w:eastAsia="Calibri" w:hAnsi="Calibri" w:cs="Arial"/>
          <w:rtl/>
        </w:rPr>
        <w:t xml:space="preserve">. מאי שנא בין עדים לאשרתא? דלמא גייז לעילאי וכתב הוא ועדיו בשיטה אחת, וקסבר: שטר הבא הוא ועדיו בשיטה אחת – כשר. אי הכי, בין עדים לכתב נמי, דלמא גייז ליה לעילאי וכתב מאי דבעי וחתימי סהדי! קא סבר: שטר הבא הוא בשיטה אחת ועדיו בשיטה אחרת - פסול. וליחוש דלמא כתב הוא ועדיו בשיטה אחת, ואמר: אנא לרבות בעדים הוא דעבדי! קסבר: כל כי האי גוונא, אין מקיימין אותו מן העדים שלמטה אלא מן העדים שלמעלה. </w:t>
      </w:r>
    </w:p>
    <w:p w14:paraId="6C86CFF3"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u w:val="single"/>
          <w:rtl/>
        </w:rPr>
        <w:t xml:space="preserve">שטר הבא הוא ועדיו בשיטה </w:t>
      </w:r>
      <w:r w:rsidRPr="001D49D4">
        <w:rPr>
          <w:rFonts w:ascii="Calibri" w:eastAsia="Calibri" w:hAnsi="Calibri" w:cs="Arial"/>
          <w:b/>
          <w:bCs/>
          <w:u w:val="single"/>
          <w:rtl/>
        </w:rPr>
        <w:t>אחת</w:t>
      </w:r>
      <w:r w:rsidRPr="001D49D4">
        <w:rPr>
          <w:rFonts w:ascii="Calibri" w:eastAsia="Calibri" w:hAnsi="Calibri" w:cs="Arial"/>
          <w:u w:val="single"/>
          <w:rtl/>
        </w:rPr>
        <w:t>:</w:t>
      </w:r>
    </w:p>
    <w:p w14:paraId="0AE495C4" w14:textId="77777777" w:rsidR="001D49D4" w:rsidRPr="001D49D4" w:rsidRDefault="001D49D4" w:rsidP="0004348D">
      <w:pPr>
        <w:numPr>
          <w:ilvl w:val="0"/>
          <w:numId w:val="270"/>
        </w:numPr>
        <w:spacing w:before="360" w:after="240"/>
        <w:contextualSpacing/>
      </w:pPr>
      <w:r w:rsidRPr="001D49D4">
        <w:rPr>
          <w:rtl/>
        </w:rPr>
        <w:t xml:space="preserve">רמב"ם </w:t>
      </w:r>
      <w:r w:rsidRPr="001D49D4">
        <w:rPr>
          <w:sz w:val="16"/>
          <w:szCs w:val="16"/>
          <w:rtl/>
        </w:rPr>
        <w:t>(פכ"ז ה"ד)</w:t>
      </w:r>
      <w:r w:rsidRPr="001D49D4">
        <w:rPr>
          <w:rtl/>
        </w:rPr>
        <w:t xml:space="preserve"> וטור- היה השטר כולו עם עדיו בשיטה אחת כשר דליכא למיחש למידי</w:t>
      </w:r>
      <w:r w:rsidRPr="001D49D4">
        <w:rPr>
          <w:sz w:val="16"/>
          <w:szCs w:val="16"/>
          <w:rtl/>
        </w:rPr>
        <w:t xml:space="preserve"> (ל' הטור)</w:t>
      </w:r>
      <w:r w:rsidRPr="001D49D4">
        <w:rPr>
          <w:rtl/>
        </w:rPr>
        <w:t>.</w:t>
      </w:r>
      <w:r w:rsidRPr="001D49D4">
        <w:rPr>
          <w:color w:val="E36C0A" w:themeColor="accent6" w:themeShade="BF"/>
          <w:rtl/>
        </w:rPr>
        <w:t xml:space="preserve"> (וכ"פ בשו"ע)</w:t>
      </w:r>
    </w:p>
    <w:p w14:paraId="7E5236AC" w14:textId="77777777" w:rsidR="001D49D4" w:rsidRPr="001D49D4" w:rsidRDefault="001D49D4" w:rsidP="0004348D">
      <w:pPr>
        <w:spacing w:before="360" w:after="240"/>
        <w:ind w:left="360"/>
        <w:rPr>
          <w:rFonts w:ascii="Calibri" w:eastAsia="Calibri" w:hAnsi="Calibri" w:cs="Arial"/>
          <w:u w:val="dotted"/>
        </w:rPr>
      </w:pPr>
      <w:r w:rsidRPr="001D49D4">
        <w:rPr>
          <w:rFonts w:ascii="Calibri" w:eastAsia="Calibri" w:hAnsi="Calibri" w:cs="Arial"/>
          <w:u w:val="dotted"/>
          <w:rtl/>
        </w:rPr>
        <w:t>ומה הדין אם יש עוד שיטה אחרת למטה ממנה ובה עוד שני עדים:</w:t>
      </w:r>
    </w:p>
    <w:p w14:paraId="330866B6" w14:textId="77777777" w:rsidR="001D49D4" w:rsidRPr="001D49D4" w:rsidRDefault="001D49D4" w:rsidP="0004348D">
      <w:pPr>
        <w:numPr>
          <w:ilvl w:val="0"/>
          <w:numId w:val="270"/>
        </w:numPr>
        <w:spacing w:before="360" w:after="240"/>
        <w:contextualSpacing/>
      </w:pPr>
      <w:r w:rsidRPr="001D49D4">
        <w:rPr>
          <w:rtl/>
        </w:rPr>
        <w:t xml:space="preserve">רמב"ם </w:t>
      </w:r>
      <w:r w:rsidRPr="001D49D4">
        <w:rPr>
          <w:sz w:val="16"/>
          <w:szCs w:val="16"/>
          <w:rtl/>
        </w:rPr>
        <w:t>(פכ"ז ה"ה)</w:t>
      </w:r>
      <w:r w:rsidRPr="001D49D4">
        <w:rPr>
          <w:rtl/>
        </w:rPr>
        <w:t xml:space="preserve"> וטור- אבל אם השטר ועדיו בשיטה אחת ועוד למטה ממנה בשיטה אחרת ב' עדים, יש לחוש שמא חתך כל השטר העליון שהיו העדים התחתונים חתומים, ובשיטה שבין שטר לעדים כתב שטר ועדיו, ובעדים שבשיטה שניה יאמר כוונתי להרבות בעדים, ולפיכך כשיבא לפנינו שטר כזה - אין מסיימין אותו מעדים שבשיטה שנייה אלא מעדים שבשיטה ראשונה</w:t>
      </w:r>
      <w:r w:rsidRPr="001D49D4">
        <w:rPr>
          <w:sz w:val="16"/>
          <w:szCs w:val="16"/>
          <w:rtl/>
        </w:rPr>
        <w:t xml:space="preserve"> (ל' הטור)</w:t>
      </w:r>
      <w:r w:rsidRPr="001D49D4">
        <w:rPr>
          <w:rtl/>
        </w:rPr>
        <w:t>.</w:t>
      </w:r>
      <w:r w:rsidRPr="001D49D4">
        <w:rPr>
          <w:color w:val="E36C0A" w:themeColor="accent6" w:themeShade="BF"/>
          <w:rtl/>
        </w:rPr>
        <w:t xml:space="preserve"> (וכ"פ בשו"ע)</w:t>
      </w:r>
    </w:p>
    <w:p w14:paraId="64592244" w14:textId="77777777" w:rsidR="001D49D4" w:rsidRPr="001D49D4" w:rsidRDefault="001D49D4" w:rsidP="0004348D">
      <w:pPr>
        <w:spacing w:before="360" w:after="240"/>
        <w:rPr>
          <w:rFonts w:ascii="Arial" w:eastAsia="Calibri" w:hAnsi="Arial" w:cs="Arial"/>
          <w:b/>
          <w:bCs/>
          <w:color w:val="000000"/>
          <w:sz w:val="28"/>
          <w:szCs w:val="28"/>
          <w:u w:val="single"/>
          <w:rtl/>
        </w:rPr>
      </w:pPr>
      <w:r w:rsidRPr="001D49D4">
        <w:rPr>
          <w:rFonts w:ascii="Arial" w:eastAsia="Calibri" w:hAnsi="Arial" w:cs="Arial"/>
          <w:b/>
          <w:bCs/>
          <w:color w:val="000000"/>
          <w:sz w:val="28"/>
          <w:szCs w:val="28"/>
          <w:u w:val="single"/>
          <w:rtl/>
        </w:rPr>
        <w:t>שו"ע:</w:t>
      </w:r>
    </w:p>
    <w:p w14:paraId="4A8475DA"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rtl/>
        </w:rPr>
        <w:t xml:space="preserve">היה השטר כולו עם כל עידיו בשיטה אחת, כשר, דליכא למיחש למידי. אבל אם השטר ועידיו בשטה אחת, ועוד למטה ממנו בשיטה אחרת שני עדים, יש לחוש שמא חתך כל השטר העליון שהיו העדים התחתונים חתומים, ובשיטה שבין שטר לעדים כתב שטר ועדיו ובעדים שבשיטה שנייה יאמר כוונתי להרבות בעדים. ולפיכך כשיבא לפנינו שטר כזה אין מקיימים אותו מעדים שבשיטה שנייה, אלא מעדים שבשיטה ראשונה. </w:t>
      </w:r>
    </w:p>
    <w:p w14:paraId="56A9FC4B" w14:textId="77777777" w:rsidR="001D49D4" w:rsidRPr="001D49D4" w:rsidRDefault="001D49D4" w:rsidP="0004348D">
      <w:pPr>
        <w:spacing w:before="360" w:after="240"/>
        <w:rPr>
          <w:rFonts w:ascii="Calibri" w:eastAsia="Calibri" w:hAnsi="Calibri" w:cs="Arial"/>
          <w:rtl/>
        </w:rPr>
      </w:pPr>
    </w:p>
    <w:p w14:paraId="5240A9C1" w14:textId="77777777" w:rsidR="001D49D4" w:rsidRPr="001D49D4" w:rsidRDefault="001D49D4" w:rsidP="0004348D">
      <w:pPr>
        <w:keepNext/>
        <w:keepLines/>
        <w:spacing w:before="360" w:after="240"/>
        <w:outlineLvl w:val="1"/>
        <w:rPr>
          <w:rFonts w:ascii="Cambria" w:eastAsia="Times New Roman" w:hAnsi="Cambria" w:cs="Arial"/>
          <w:bCs/>
          <w:color w:val="548DD4" w:themeColor="text2" w:themeTint="99"/>
          <w:sz w:val="26"/>
          <w:szCs w:val="26"/>
          <w:rtl/>
        </w:rPr>
      </w:pPr>
      <w:bookmarkStart w:id="495" w:name="_Toc24883930"/>
      <w:r w:rsidRPr="001D49D4">
        <w:rPr>
          <w:rFonts w:ascii="Cambria" w:eastAsia="Times New Roman" w:hAnsi="Cambria" w:cs="Arial"/>
          <w:bCs/>
          <w:color w:val="548DD4" w:themeColor="text2" w:themeTint="99"/>
          <w:sz w:val="26"/>
          <w:szCs w:val="26"/>
          <w:rtl/>
        </w:rPr>
        <w:t>סעיף כ: שטר הבא הוא ועדיו על המחק.</w:t>
      </w:r>
      <w:bookmarkEnd w:id="495"/>
    </w:p>
    <w:p w14:paraId="15BD2928"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b/>
          <w:bCs/>
          <w:rtl/>
        </w:rPr>
        <w:t xml:space="preserve">בבא בתרא </w:t>
      </w:r>
      <w:r w:rsidRPr="001D49D4">
        <w:rPr>
          <w:rFonts w:ascii="Calibri" w:eastAsia="Calibri" w:hAnsi="Calibri" w:cs="Arial"/>
          <w:b/>
          <w:bCs/>
          <w:sz w:val="16"/>
          <w:szCs w:val="16"/>
          <w:rtl/>
        </w:rPr>
        <w:t xml:space="preserve">(פרק גט פשוט) </w:t>
      </w:r>
      <w:r w:rsidRPr="001D49D4">
        <w:rPr>
          <w:rFonts w:ascii="Calibri" w:eastAsia="Calibri" w:hAnsi="Calibri" w:cs="Arial"/>
          <w:b/>
          <w:bCs/>
          <w:rtl/>
        </w:rPr>
        <w:t>קסג</w:t>
      </w:r>
      <w:r w:rsidRPr="001D49D4">
        <w:rPr>
          <w:rFonts w:ascii="Calibri" w:eastAsia="Calibri" w:hAnsi="Calibri" w:cs="Arial"/>
          <w:b/>
          <w:bCs/>
          <w:vertAlign w:val="superscript"/>
          <w:rtl/>
        </w:rPr>
        <w:footnoteReference w:id="3681"/>
      </w:r>
      <w:r w:rsidRPr="001D49D4">
        <w:rPr>
          <w:rFonts w:ascii="Calibri" w:eastAsia="Calibri" w:hAnsi="Calibri" w:cs="Arial"/>
          <w:b/>
          <w:bCs/>
          <w:rtl/>
        </w:rPr>
        <w:t xml:space="preserve"> ע"ב:</w:t>
      </w:r>
      <w:r w:rsidRPr="001D49D4">
        <w:rPr>
          <w:rFonts w:ascii="Calibri" w:eastAsia="Calibri" w:hAnsi="Calibri" w:cs="Arial"/>
          <w:rtl/>
        </w:rPr>
        <w:t xml:space="preserve"> גופא, </w:t>
      </w:r>
      <w:r w:rsidRPr="001D49D4">
        <w:rPr>
          <w:rFonts w:ascii="Calibri" w:eastAsia="Calibri" w:hAnsi="Calibri" w:cs="Arial"/>
          <w:u w:val="single"/>
          <w:rtl/>
        </w:rPr>
        <w:t>אמר רב</w:t>
      </w:r>
      <w:r w:rsidRPr="001D49D4">
        <w:rPr>
          <w:rFonts w:ascii="Calibri" w:eastAsia="Calibri" w:hAnsi="Calibri" w:cs="Arial"/>
          <w:rtl/>
        </w:rPr>
        <w:t xml:space="preserve">: שטר הבא הוא ועדיו על המחק - כשר. </w:t>
      </w:r>
      <w:r w:rsidRPr="001D49D4">
        <w:rPr>
          <w:rFonts w:ascii="Calibri" w:eastAsia="Calibri" w:hAnsi="Calibri" w:cs="Arial"/>
          <w:sz w:val="14"/>
          <w:szCs w:val="14"/>
          <w:rtl/>
        </w:rPr>
        <w:t xml:space="preserve">(קסד.) </w:t>
      </w:r>
      <w:r w:rsidRPr="001D49D4">
        <w:rPr>
          <w:rFonts w:ascii="Calibri" w:eastAsia="Calibri" w:hAnsi="Calibri" w:cs="Arial"/>
          <w:rtl/>
        </w:rPr>
        <w:t xml:space="preserve">ואם תאמר: מוחק וחוזר ומוחק! אינו דומה נמחק פעם אחת לנמחק שתי פעמים. וליחוש דלמא שדי דיותא אמקום עדים מעיקרא ומחיק ליה, דכי הדר מחיק ליה להאי, הוה ליה אידי ואידי נמחק שתי פעמים! </w:t>
      </w:r>
      <w:r w:rsidRPr="001D49D4">
        <w:rPr>
          <w:rFonts w:ascii="Calibri" w:eastAsia="Calibri" w:hAnsi="Calibri" w:cs="Arial"/>
          <w:u w:val="single"/>
          <w:rtl/>
        </w:rPr>
        <w:t>אמר אביי</w:t>
      </w:r>
      <w:r w:rsidRPr="001D49D4">
        <w:rPr>
          <w:rFonts w:ascii="Calibri" w:eastAsia="Calibri" w:hAnsi="Calibri" w:cs="Arial"/>
          <w:rtl/>
        </w:rPr>
        <w:t xml:space="preserve">: קסבר רב, אין העדים חותמין על המחק אלא אם כן נמחק בפניהם. מיתיבי: הוא על הנייר ועדיו על המחק – כשר. וניחוש דלמא מחיק ליה וכתיב מאי דבעי, והוי ליה הוא ועדיו על המחק! דכתבי הכי: אנחנא סהדי חתמנא על מחקא ושטרא כתב על ניירא. דכתבי היכא? אי מלתחת, גייז ליה! אי עילאי, מחיק ליה! דכתבי בין סהדא לסהדא. אי הכי, אימא סיפא: הוא על המחק ועדיו על הנייר – פסול, אמאי פסול? הכא נמי נכתבו הכי: אנחנא סהדי חתמנא על ניירא ושטרא על מחקא! השתא נמי מאי אמרת, מוחק חוזר ומוחק! הא אמרת אינו דומה נמחק פעם אחת לנמחק שתי פעמים! הני מילי היכא דחתימי סהדי אמחקא, היכא דלא חתימי סהדי אמחקא אלא אניירא - לא ידיע. וליתי מגילתא אחריתי ולמחוק ולידמי! לא דמי מחקא </w:t>
      </w:r>
      <w:r w:rsidRPr="001D49D4">
        <w:rPr>
          <w:rFonts w:ascii="Calibri" w:eastAsia="Calibri" w:hAnsi="Calibri" w:cs="Arial"/>
          <w:rtl/>
        </w:rPr>
        <w:lastRenderedPageBreak/>
        <w:t>דהא מגילתא למחקא דהא מגילתא. ולקבלה לחתימות ידא דסהדי בבי דינא</w:t>
      </w:r>
      <w:r w:rsidRPr="001D49D4">
        <w:rPr>
          <w:rFonts w:ascii="Calibri" w:eastAsia="Calibri" w:hAnsi="Calibri" w:cs="Arial"/>
          <w:vertAlign w:val="superscript"/>
          <w:rtl/>
        </w:rPr>
        <w:footnoteReference w:id="3682"/>
      </w:r>
      <w:r w:rsidRPr="001D49D4">
        <w:rPr>
          <w:rFonts w:ascii="Calibri" w:eastAsia="Calibri" w:hAnsi="Calibri" w:cs="Arial"/>
          <w:rtl/>
        </w:rPr>
        <w:t xml:space="preserve">, ולמחוק ולידמי! </w:t>
      </w:r>
      <w:r w:rsidRPr="001D49D4">
        <w:rPr>
          <w:rFonts w:ascii="Calibri" w:eastAsia="Calibri" w:hAnsi="Calibri" w:cs="Arial"/>
          <w:u w:val="single"/>
          <w:rtl/>
        </w:rPr>
        <w:t>אמר רב הושעיא</w:t>
      </w:r>
      <w:r w:rsidRPr="001D49D4">
        <w:rPr>
          <w:rFonts w:ascii="Calibri" w:eastAsia="Calibri" w:hAnsi="Calibri" w:cs="Arial"/>
          <w:rtl/>
        </w:rPr>
        <w:t>: אינו דומה נמחק בן יומו לנמחק בן שני ימים. [ולישהייה</w:t>
      </w:r>
      <w:r w:rsidRPr="001D49D4">
        <w:rPr>
          <w:rFonts w:ascii="Calibri" w:eastAsia="Calibri" w:hAnsi="Calibri" w:cs="Arial"/>
          <w:vertAlign w:val="superscript"/>
          <w:rtl/>
        </w:rPr>
        <w:footnoteReference w:id="3683"/>
      </w:r>
      <w:r w:rsidRPr="001D49D4">
        <w:rPr>
          <w:rFonts w:ascii="Calibri" w:eastAsia="Calibri" w:hAnsi="Calibri" w:cs="Arial"/>
          <w:rtl/>
        </w:rPr>
        <w:t xml:space="preserve">! </w:t>
      </w:r>
      <w:r w:rsidRPr="001D49D4">
        <w:rPr>
          <w:rFonts w:ascii="Calibri" w:eastAsia="Calibri" w:hAnsi="Calibri" w:cs="Arial"/>
          <w:u w:val="single"/>
          <w:rtl/>
        </w:rPr>
        <w:t>אמר רבי ירמיה</w:t>
      </w:r>
      <w:r w:rsidRPr="001D49D4">
        <w:rPr>
          <w:rFonts w:ascii="Calibri" w:eastAsia="Calibri" w:hAnsi="Calibri" w:cs="Arial"/>
          <w:rtl/>
        </w:rPr>
        <w:t>: חיישינן לב"ד טועין</w:t>
      </w:r>
      <w:r w:rsidRPr="001D49D4">
        <w:rPr>
          <w:rFonts w:ascii="Calibri" w:eastAsia="Calibri" w:hAnsi="Calibri" w:cs="Arial"/>
          <w:vertAlign w:val="superscript"/>
          <w:rtl/>
        </w:rPr>
        <w:footnoteReference w:id="3684"/>
      </w:r>
      <w:r w:rsidRPr="001D49D4">
        <w:rPr>
          <w:rFonts w:ascii="Calibri" w:eastAsia="Calibri" w:hAnsi="Calibri" w:cs="Arial"/>
          <w:rtl/>
        </w:rPr>
        <w:t>.]</w:t>
      </w:r>
      <w:r w:rsidRPr="001D49D4">
        <w:rPr>
          <w:rFonts w:ascii="Calibri" w:eastAsia="Calibri" w:hAnsi="Calibri" w:cs="Arial"/>
          <w:vertAlign w:val="superscript"/>
          <w:rtl/>
        </w:rPr>
        <w:footnoteReference w:id="3685"/>
      </w:r>
      <w:r w:rsidRPr="001D49D4">
        <w:rPr>
          <w:rFonts w:ascii="Calibri" w:eastAsia="Calibri" w:hAnsi="Calibri" w:cs="Arial"/>
          <w:rtl/>
        </w:rPr>
        <w:t xml:space="preserve"> </w:t>
      </w:r>
    </w:p>
    <w:p w14:paraId="14E0A76B"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u w:val="single"/>
          <w:rtl/>
        </w:rPr>
        <w:t>שטר הבא הוא ועדיו על המחק:</w:t>
      </w:r>
      <w:r w:rsidRPr="001D49D4">
        <w:rPr>
          <w:rFonts w:ascii="Calibri" w:eastAsia="Calibri" w:hAnsi="Calibri" w:cs="Arial"/>
          <w:rtl/>
        </w:rPr>
        <w:t xml:space="preserve"> </w:t>
      </w:r>
    </w:p>
    <w:p w14:paraId="09837D14" w14:textId="77777777" w:rsidR="001D49D4" w:rsidRPr="001D49D4" w:rsidRDefault="001D49D4" w:rsidP="0004348D">
      <w:pPr>
        <w:numPr>
          <w:ilvl w:val="0"/>
          <w:numId w:val="270"/>
        </w:numPr>
        <w:spacing w:before="360" w:after="240"/>
        <w:contextualSpacing/>
        <w:rPr>
          <w:rtl/>
        </w:rPr>
      </w:pPr>
      <w:r w:rsidRPr="001D49D4">
        <w:rPr>
          <w:rtl/>
        </w:rPr>
        <w:t>טור- שטר הבא הוא ועידיו על המחק כשר, והוא שלא יהיה שום שינוי בין השטר למקום חתימת העדים, שאם יש בו שום שינוי יש לחוש שמא מחק וכתב מה שרצה ולפיכך הוא משונה שהרי מחקו ב' פעמים. על כן לא יחתמו העדים על שטר מחוק אא"כ נמחק בפניהם, שאל"כ יש לחוש שמא מקום החתימות נמחק ב"פ ומקום השטר פ"א ונמצא כשחוזר ומוחק פעם שנית וכותב מה שירצה השטר ומקום חתימת העדים שוה, הכל מחוק ב"פ. ואם יש בין חתימת עד האחד לשני ריוח כשיעור כתיבת 'אנחנא סהדי חתמנו על המחק והשטר על הנייר' - פסול, שמא היה השטר על הנייר ועדיו על המחק והיה כתוב בין חתימת העדים 'אנחנו סהדי' וכולי, ומחקו, ומחק השטר וכתב מה שרצה אח"כ</w:t>
      </w:r>
      <w:r w:rsidRPr="001D49D4">
        <w:rPr>
          <w:vertAlign w:val="superscript"/>
          <w:rtl/>
        </w:rPr>
        <w:footnoteReference w:id="3686"/>
      </w:r>
      <w:r w:rsidRPr="001D49D4">
        <w:rPr>
          <w:rtl/>
        </w:rPr>
        <w:t xml:space="preserve">. </w:t>
      </w:r>
      <w:r w:rsidRPr="001D49D4">
        <w:rPr>
          <w:color w:val="E36C0A" w:themeColor="accent6" w:themeShade="BF"/>
          <w:rtl/>
        </w:rPr>
        <w:t>(וכ"פ בשו"ע)</w:t>
      </w:r>
    </w:p>
    <w:p w14:paraId="14622D81"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u w:val="single"/>
          <w:rtl/>
        </w:rPr>
        <w:t>שטר שהוא על הנייר ועדיו על המחק:</w:t>
      </w:r>
      <w:r w:rsidRPr="001D49D4">
        <w:rPr>
          <w:rFonts w:ascii="Calibri" w:eastAsia="Calibri" w:hAnsi="Calibri" w:cs="Arial"/>
          <w:rtl/>
        </w:rPr>
        <w:t xml:space="preserve"> </w:t>
      </w:r>
    </w:p>
    <w:p w14:paraId="15785B0C" w14:textId="77777777" w:rsidR="001D49D4" w:rsidRPr="001D49D4" w:rsidRDefault="001D49D4" w:rsidP="0004348D">
      <w:pPr>
        <w:numPr>
          <w:ilvl w:val="0"/>
          <w:numId w:val="270"/>
        </w:numPr>
        <w:spacing w:before="360" w:after="240"/>
        <w:contextualSpacing/>
        <w:rPr>
          <w:rtl/>
        </w:rPr>
      </w:pPr>
      <w:r w:rsidRPr="001D49D4">
        <w:rPr>
          <w:rtl/>
        </w:rPr>
        <w:t>טור- שטר שהוא על הנייר ועדיו על המחק – פסול, שמא ימחוק השטר ויזייפו ונמצאו הוא ועדיו על המחק. ואם כתבו העדים 'אנחנא עדים חתמנו על המחק, והשטר על הנייר'</w:t>
      </w:r>
      <w:r w:rsidRPr="001D49D4">
        <w:rPr>
          <w:vertAlign w:val="superscript"/>
          <w:rtl/>
        </w:rPr>
        <w:footnoteReference w:id="3687"/>
      </w:r>
      <w:r w:rsidRPr="001D49D4">
        <w:rPr>
          <w:rtl/>
        </w:rPr>
        <w:t xml:space="preserve"> – כשר, והוא שכתבו כן בין חתימת עד הראשון לחתימת עד השני, אבל אם כתבו כן לפני חתימתם או אחריהם לא מהני.</w:t>
      </w:r>
      <w:r w:rsidRPr="001D49D4">
        <w:rPr>
          <w:color w:val="E36C0A" w:themeColor="accent6" w:themeShade="BF"/>
          <w:rtl/>
        </w:rPr>
        <w:t xml:space="preserve"> (וכ"פ בשו"ע</w:t>
      </w:r>
      <w:r w:rsidRPr="001D49D4">
        <w:rPr>
          <w:color w:val="E36C0A" w:themeColor="accent6" w:themeShade="BF"/>
          <w:sz w:val="16"/>
          <w:szCs w:val="16"/>
          <w:rtl/>
        </w:rPr>
        <w:t xml:space="preserve"> </w:t>
      </w:r>
      <w:r w:rsidRPr="001D49D4">
        <w:rPr>
          <w:color w:val="000000" w:themeColor="text1"/>
          <w:sz w:val="16"/>
          <w:szCs w:val="16"/>
          <w:rtl/>
        </w:rPr>
        <w:t>[בסע' כא]</w:t>
      </w:r>
      <w:r w:rsidRPr="001D49D4">
        <w:rPr>
          <w:color w:val="E36C0A" w:themeColor="accent6" w:themeShade="BF"/>
          <w:rtl/>
        </w:rPr>
        <w:t>)</w:t>
      </w:r>
    </w:p>
    <w:p w14:paraId="4549A324"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u w:val="single"/>
          <w:rtl/>
        </w:rPr>
        <w:t>שטר שהוא על המחק ועדיו על הנייר:</w:t>
      </w:r>
      <w:r w:rsidRPr="001D49D4">
        <w:rPr>
          <w:rFonts w:ascii="Calibri" w:eastAsia="Calibri" w:hAnsi="Calibri" w:cs="Arial"/>
          <w:rtl/>
        </w:rPr>
        <w:t xml:space="preserve"> </w:t>
      </w:r>
    </w:p>
    <w:p w14:paraId="3504765E" w14:textId="77777777" w:rsidR="001D49D4" w:rsidRPr="001D49D4" w:rsidRDefault="001D49D4" w:rsidP="0004348D">
      <w:pPr>
        <w:numPr>
          <w:ilvl w:val="0"/>
          <w:numId w:val="270"/>
        </w:numPr>
        <w:spacing w:before="360" w:after="240"/>
        <w:contextualSpacing/>
        <w:rPr>
          <w:rtl/>
        </w:rPr>
      </w:pPr>
      <w:r w:rsidRPr="001D49D4">
        <w:rPr>
          <w:rtl/>
        </w:rPr>
        <w:t xml:space="preserve">טור- שטר שהוא על המחק ועדיו על הנייר – פסול אפי' כתבו 'אנחנו עדים חתמנו על הנייר והשטר על המחק', דסוף סוף ימחוק השטר ויזייפו ויכתוב מה שירצה אע"פ שנמחק ב"פ אינו ניכר כיון שאין אצלו מקום שמחוק פ"א שיכולים להבחין בין זה לזה. </w:t>
      </w:r>
      <w:r w:rsidRPr="001D49D4">
        <w:rPr>
          <w:color w:val="E36C0A" w:themeColor="accent6" w:themeShade="BF"/>
          <w:rtl/>
        </w:rPr>
        <w:t>(וכ"פ בשו"ע</w:t>
      </w:r>
      <w:r w:rsidRPr="001D49D4">
        <w:rPr>
          <w:color w:val="E36C0A" w:themeColor="accent6" w:themeShade="BF"/>
          <w:sz w:val="16"/>
          <w:szCs w:val="16"/>
          <w:rtl/>
        </w:rPr>
        <w:t xml:space="preserve"> </w:t>
      </w:r>
      <w:r w:rsidRPr="001D49D4">
        <w:rPr>
          <w:color w:val="000000" w:themeColor="text1"/>
          <w:sz w:val="16"/>
          <w:szCs w:val="16"/>
          <w:rtl/>
        </w:rPr>
        <w:t>[בסע' כב]</w:t>
      </w:r>
      <w:r w:rsidRPr="001D49D4">
        <w:rPr>
          <w:color w:val="E36C0A" w:themeColor="accent6" w:themeShade="BF"/>
          <w:rtl/>
        </w:rPr>
        <w:t>)</w:t>
      </w:r>
    </w:p>
    <w:p w14:paraId="073DC945" w14:textId="77777777" w:rsidR="001D49D4" w:rsidRPr="001D49D4" w:rsidRDefault="001D49D4" w:rsidP="0004348D">
      <w:pPr>
        <w:spacing w:before="360" w:after="240"/>
        <w:rPr>
          <w:rFonts w:ascii="Calibri" w:eastAsia="Calibri" w:hAnsi="Calibri" w:cs="Arial"/>
          <w:u w:val="single"/>
          <w:rtl/>
        </w:rPr>
      </w:pPr>
      <w:r w:rsidRPr="001D49D4">
        <w:rPr>
          <w:rFonts w:ascii="Calibri" w:eastAsia="Calibri" w:hAnsi="Calibri" w:cs="Arial"/>
          <w:u w:val="single"/>
          <w:rtl/>
        </w:rPr>
        <w:t>שטר שהעדים החתומים בו חתמו בריחוק זה מזה לצדדים כך שיוכל אדם לכתוב מה שירצה בין עד לעד:</w:t>
      </w:r>
    </w:p>
    <w:p w14:paraId="685F1CBA" w14:textId="77777777" w:rsidR="001D49D4" w:rsidRPr="001D49D4" w:rsidRDefault="001D49D4" w:rsidP="0004348D">
      <w:pPr>
        <w:numPr>
          <w:ilvl w:val="0"/>
          <w:numId w:val="270"/>
        </w:numPr>
        <w:spacing w:before="360" w:after="240"/>
        <w:contextualSpacing/>
        <w:rPr>
          <w:rtl/>
        </w:rPr>
      </w:pPr>
      <w:r w:rsidRPr="001D49D4">
        <w:rPr>
          <w:rtl/>
        </w:rPr>
        <w:t xml:space="preserve">ריב"ש </w:t>
      </w:r>
      <w:r w:rsidRPr="001D49D4">
        <w:rPr>
          <w:sz w:val="16"/>
          <w:szCs w:val="16"/>
          <w:rtl/>
        </w:rPr>
        <w:t>(סי' מט)</w:t>
      </w:r>
      <w:r w:rsidRPr="001D49D4">
        <w:rPr>
          <w:rtl/>
        </w:rPr>
        <w:t>- אם חתמו העדים רחוקים זה מזה בצד שיוכל אדם לכתוב מה שירצה בין עד לעד - כשר</w:t>
      </w:r>
      <w:r w:rsidRPr="001D49D4">
        <w:rPr>
          <w:vertAlign w:val="superscript"/>
          <w:rtl/>
        </w:rPr>
        <w:footnoteReference w:id="3688"/>
      </w:r>
      <w:r w:rsidRPr="001D49D4">
        <w:rPr>
          <w:rtl/>
        </w:rPr>
        <w:t xml:space="preserve">. </w:t>
      </w:r>
      <w:r w:rsidRPr="001D49D4">
        <w:rPr>
          <w:color w:val="00B0F0"/>
          <w:rtl/>
        </w:rPr>
        <w:t>(וכ"פ הרמ"א)</w:t>
      </w:r>
    </w:p>
    <w:p w14:paraId="23DE0269" w14:textId="77777777" w:rsidR="001D49D4" w:rsidRPr="001D49D4" w:rsidRDefault="001D49D4" w:rsidP="0004348D">
      <w:pPr>
        <w:spacing w:before="360" w:after="240"/>
        <w:rPr>
          <w:rFonts w:ascii="Arial" w:eastAsia="Calibri" w:hAnsi="Arial" w:cs="Arial"/>
          <w:b/>
          <w:bCs/>
          <w:color w:val="000000"/>
          <w:sz w:val="28"/>
          <w:szCs w:val="28"/>
          <w:u w:val="single"/>
          <w:rtl/>
        </w:rPr>
      </w:pPr>
      <w:r w:rsidRPr="001D49D4">
        <w:rPr>
          <w:rFonts w:ascii="Arial" w:eastAsia="Calibri" w:hAnsi="Arial" w:cs="Arial"/>
          <w:b/>
          <w:bCs/>
          <w:color w:val="000000"/>
          <w:sz w:val="28"/>
          <w:szCs w:val="28"/>
          <w:u w:val="single"/>
          <w:rtl/>
        </w:rPr>
        <w:t>שו"ע:</w:t>
      </w:r>
    </w:p>
    <w:p w14:paraId="170F2CC5"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rtl/>
        </w:rPr>
        <w:t>שטר הבא הוא ועידיו על המחק, כשר, והוא שלא יהא שום שינוי בין השטר למקום חתימת העדים</w:t>
      </w:r>
      <w:r w:rsidRPr="001D49D4">
        <w:rPr>
          <w:rFonts w:ascii="Calibri" w:eastAsia="Calibri" w:hAnsi="Calibri" w:cs="Arial"/>
          <w:vertAlign w:val="superscript"/>
          <w:rtl/>
        </w:rPr>
        <w:footnoteReference w:id="3689"/>
      </w:r>
      <w:r w:rsidRPr="001D49D4">
        <w:rPr>
          <w:rFonts w:ascii="Calibri" w:eastAsia="Calibri" w:hAnsi="Calibri" w:cs="Arial"/>
          <w:rtl/>
        </w:rPr>
        <w:t xml:space="preserve">, שאם יש שום שינוי יש לחוש שמא מחק וכתב מה שרצה ולפיכך הוא משונה, שהרי מחקו ב' פעמים. על כן לא יחתמו העדים על שטר מחוק, אלא אם כן נמחק בפניהם, שאם לא כן יש לחוש שמא מקום חתימות נמחק שתי פעמים ומקום השטר </w:t>
      </w:r>
      <w:r w:rsidRPr="001D49D4">
        <w:rPr>
          <w:rFonts w:ascii="Calibri" w:eastAsia="Calibri" w:hAnsi="Calibri" w:cs="Arial"/>
          <w:rtl/>
        </w:rPr>
        <w:lastRenderedPageBreak/>
        <w:t>פעם אחת</w:t>
      </w:r>
      <w:r w:rsidRPr="001D49D4">
        <w:rPr>
          <w:rFonts w:ascii="Calibri" w:eastAsia="Calibri" w:hAnsi="Calibri" w:cs="Arial"/>
          <w:vertAlign w:val="superscript"/>
          <w:rtl/>
        </w:rPr>
        <w:footnoteReference w:id="3690"/>
      </w:r>
      <w:r w:rsidRPr="001D49D4">
        <w:rPr>
          <w:rFonts w:ascii="Calibri" w:eastAsia="Calibri" w:hAnsi="Calibri" w:cs="Arial"/>
          <w:rtl/>
        </w:rPr>
        <w:t xml:space="preserve">, וכשחוזר ומוחק פעם שנית וכתב מה שירצה, נמצא השטר ומקום חתימת העדים שוה, הכל מחוק שני פעמים. </w:t>
      </w:r>
      <w:r w:rsidRPr="001D49D4">
        <w:rPr>
          <w:rFonts w:ascii="Calibri" w:eastAsia="Calibri" w:hAnsi="Calibri" w:cs="Arial"/>
          <w:sz w:val="18"/>
          <w:szCs w:val="18"/>
          <w:rtl/>
        </w:rPr>
        <w:t>הגה: וצריכין ליזהר שנמחק הכל ביום אחד, דאינו דומה נמחק בן יומו לנמחק בן שני ימים</w:t>
      </w:r>
      <w:r w:rsidRPr="001D49D4">
        <w:rPr>
          <w:rFonts w:ascii="Calibri" w:eastAsia="Calibri" w:hAnsi="Calibri" w:cs="Arial"/>
          <w:sz w:val="18"/>
          <w:szCs w:val="18"/>
          <w:vertAlign w:val="superscript"/>
          <w:rtl/>
        </w:rPr>
        <w:footnoteReference w:id="3691"/>
      </w:r>
      <w:r w:rsidRPr="001D49D4">
        <w:rPr>
          <w:rFonts w:ascii="Calibri" w:eastAsia="Calibri" w:hAnsi="Calibri" w:cs="Arial"/>
          <w:sz w:val="18"/>
          <w:szCs w:val="18"/>
          <w:rtl/>
        </w:rPr>
        <w:t xml:space="preserve"> (ב"י). </w:t>
      </w:r>
      <w:r w:rsidRPr="001D49D4">
        <w:rPr>
          <w:rFonts w:ascii="Calibri" w:eastAsia="Calibri" w:hAnsi="Calibri" w:cs="Arial"/>
          <w:rtl/>
        </w:rPr>
        <w:t>ואם יש בין חתימת העד לשני ריוח כשיעור כתיבת 'אנחנא סהדי חתמנו על המחק והשטר על הנייר', פסול</w:t>
      </w:r>
      <w:r w:rsidRPr="001D49D4">
        <w:rPr>
          <w:rFonts w:ascii="Calibri" w:eastAsia="Calibri" w:hAnsi="Calibri" w:cs="Arial"/>
          <w:vertAlign w:val="superscript"/>
          <w:rtl/>
        </w:rPr>
        <w:footnoteReference w:id="3692"/>
      </w:r>
      <w:r w:rsidRPr="001D49D4">
        <w:rPr>
          <w:rFonts w:ascii="Calibri" w:eastAsia="Calibri" w:hAnsi="Calibri" w:cs="Arial"/>
          <w:rtl/>
        </w:rPr>
        <w:t>, שמא היה השטר על הנייר ועידיו על המחק, והיה כתוב בין חתימת העדים: אנחנו סהדי וכו', ומחקו, ומחק השטר, וכתב מה שרצה אחר כך</w:t>
      </w:r>
      <w:r w:rsidRPr="001D49D4">
        <w:rPr>
          <w:rFonts w:ascii="Calibri" w:eastAsia="Calibri" w:hAnsi="Calibri" w:cs="Arial"/>
          <w:sz w:val="18"/>
          <w:szCs w:val="18"/>
          <w:rtl/>
        </w:rPr>
        <w:t>. [הגה] אבל אם לא היה כאן מחק כלל, השטר כשר אע"פ שיש בין חתימה לחתימה ריוח גדול (ב"י בשם ריב"ש סי' מט).</w:t>
      </w:r>
      <w:r w:rsidRPr="001D49D4">
        <w:rPr>
          <w:rFonts w:ascii="Calibri" w:eastAsia="Calibri" w:hAnsi="Calibri" w:cs="Arial"/>
          <w:rtl/>
        </w:rPr>
        <w:t xml:space="preserve"> </w:t>
      </w:r>
    </w:p>
    <w:p w14:paraId="3C354501" w14:textId="77777777" w:rsidR="001D49D4" w:rsidRPr="001D49D4" w:rsidRDefault="001D49D4" w:rsidP="0004348D">
      <w:pPr>
        <w:spacing w:before="360" w:after="240"/>
        <w:rPr>
          <w:rFonts w:ascii="Calibri" w:eastAsia="Calibri" w:hAnsi="Calibri" w:cs="Arial"/>
          <w:rtl/>
        </w:rPr>
      </w:pPr>
    </w:p>
    <w:p w14:paraId="62A4FD1F" w14:textId="77777777" w:rsidR="001D49D4" w:rsidRPr="001D49D4" w:rsidRDefault="001D49D4" w:rsidP="0004348D">
      <w:pPr>
        <w:keepNext/>
        <w:keepLines/>
        <w:spacing w:before="360" w:after="240"/>
        <w:outlineLvl w:val="1"/>
        <w:rPr>
          <w:rFonts w:ascii="Cambria" w:eastAsia="Times New Roman" w:hAnsi="Cambria" w:cs="Arial"/>
          <w:bCs/>
          <w:color w:val="548DD4" w:themeColor="text2" w:themeTint="99"/>
          <w:sz w:val="26"/>
          <w:szCs w:val="26"/>
          <w:rtl/>
        </w:rPr>
      </w:pPr>
      <w:bookmarkStart w:id="496" w:name="_Toc24883931"/>
      <w:r w:rsidRPr="001D49D4">
        <w:rPr>
          <w:rFonts w:ascii="Cambria" w:eastAsia="Times New Roman" w:hAnsi="Cambria" w:cs="Arial"/>
          <w:bCs/>
          <w:color w:val="548DD4" w:themeColor="text2" w:themeTint="99"/>
          <w:sz w:val="26"/>
          <w:szCs w:val="26"/>
          <w:rtl/>
        </w:rPr>
        <w:t>סעיף כא: שטר שהוא על הנייר ועדיו על המחק.</w:t>
      </w:r>
      <w:bookmarkEnd w:id="496"/>
    </w:p>
    <w:p w14:paraId="6E8F6C38"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rtl/>
        </w:rPr>
        <w:t>עיין במקורות בסעיף כ'.</w:t>
      </w:r>
    </w:p>
    <w:p w14:paraId="0F379802" w14:textId="77777777" w:rsidR="001D49D4" w:rsidRPr="001D49D4" w:rsidRDefault="001D49D4" w:rsidP="0004348D">
      <w:pPr>
        <w:spacing w:before="360" w:after="240"/>
        <w:rPr>
          <w:rFonts w:ascii="Arial" w:eastAsia="Calibri" w:hAnsi="Arial" w:cs="Arial"/>
          <w:b/>
          <w:bCs/>
          <w:color w:val="000000"/>
          <w:sz w:val="28"/>
          <w:szCs w:val="28"/>
          <w:u w:val="single"/>
          <w:rtl/>
        </w:rPr>
      </w:pPr>
      <w:r w:rsidRPr="001D49D4">
        <w:rPr>
          <w:rFonts w:ascii="Arial" w:eastAsia="Calibri" w:hAnsi="Arial" w:cs="Arial"/>
          <w:b/>
          <w:bCs/>
          <w:color w:val="000000"/>
          <w:sz w:val="28"/>
          <w:szCs w:val="28"/>
          <w:u w:val="single"/>
          <w:rtl/>
        </w:rPr>
        <w:t>שו"ע:</w:t>
      </w:r>
    </w:p>
    <w:p w14:paraId="62CF3B59"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rtl/>
        </w:rPr>
        <w:t>שטר שהוא על הנייר ועידיו על המחק, פסול, שמא ימחוק השטר ויזייפו ונמצאו הוא ועידיו על המחק. ואם כתבו העדים 'אנו העדים חתמנו על המחק והשטר על הנייר', כשר</w:t>
      </w:r>
      <w:r w:rsidRPr="001D49D4">
        <w:rPr>
          <w:rFonts w:ascii="Calibri" w:eastAsia="Calibri" w:hAnsi="Calibri" w:cs="Arial"/>
          <w:vertAlign w:val="superscript"/>
          <w:rtl/>
        </w:rPr>
        <w:footnoteReference w:id="3693"/>
      </w:r>
      <w:r w:rsidRPr="001D49D4">
        <w:rPr>
          <w:rFonts w:ascii="Calibri" w:eastAsia="Calibri" w:hAnsi="Calibri" w:cs="Arial"/>
          <w:rtl/>
        </w:rPr>
        <w:t xml:space="preserve">. והוא שכתבו כן בין חתימת עד הראשון לחתימת עד השני, אבל אם כתבו כן לפני חתימתם או אחריהם לא מהני. </w:t>
      </w:r>
    </w:p>
    <w:p w14:paraId="4324AF22" w14:textId="77777777" w:rsidR="001D49D4" w:rsidRPr="001D49D4" w:rsidRDefault="001D49D4" w:rsidP="0004348D">
      <w:pPr>
        <w:spacing w:before="360" w:after="240"/>
        <w:rPr>
          <w:rFonts w:ascii="Calibri" w:eastAsia="Calibri" w:hAnsi="Calibri" w:cs="Arial"/>
          <w:rtl/>
        </w:rPr>
      </w:pPr>
    </w:p>
    <w:p w14:paraId="715F711B" w14:textId="77777777" w:rsidR="001D49D4" w:rsidRPr="001D49D4" w:rsidRDefault="001D49D4" w:rsidP="0004348D">
      <w:pPr>
        <w:keepNext/>
        <w:keepLines/>
        <w:spacing w:before="360" w:after="240"/>
        <w:outlineLvl w:val="1"/>
        <w:rPr>
          <w:rFonts w:ascii="Cambria" w:eastAsia="Times New Roman" w:hAnsi="Cambria" w:cs="Arial"/>
          <w:bCs/>
          <w:color w:val="548DD4" w:themeColor="text2" w:themeTint="99"/>
          <w:sz w:val="26"/>
          <w:szCs w:val="26"/>
          <w:rtl/>
        </w:rPr>
      </w:pPr>
      <w:bookmarkStart w:id="497" w:name="_Toc24883932"/>
      <w:r w:rsidRPr="001D49D4">
        <w:rPr>
          <w:rFonts w:ascii="Cambria" w:eastAsia="Times New Roman" w:hAnsi="Cambria" w:cs="Arial"/>
          <w:bCs/>
          <w:color w:val="548DD4" w:themeColor="text2" w:themeTint="99"/>
          <w:sz w:val="26"/>
          <w:szCs w:val="26"/>
          <w:rtl/>
        </w:rPr>
        <w:t>סעיף כב: שטר שהוא על המחק ועדיו על הנייר.</w:t>
      </w:r>
      <w:bookmarkEnd w:id="497"/>
    </w:p>
    <w:p w14:paraId="75831D21"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rtl/>
        </w:rPr>
        <w:t>עיין במקורות בסעיף כ'.</w:t>
      </w:r>
    </w:p>
    <w:p w14:paraId="420172CC" w14:textId="77777777" w:rsidR="001D49D4" w:rsidRPr="001D49D4" w:rsidRDefault="001D49D4" w:rsidP="0004348D">
      <w:pPr>
        <w:spacing w:before="360" w:after="240"/>
        <w:rPr>
          <w:rFonts w:ascii="Arial" w:eastAsia="Calibri" w:hAnsi="Arial" w:cs="Arial"/>
          <w:b/>
          <w:bCs/>
          <w:color w:val="000000"/>
          <w:sz w:val="28"/>
          <w:szCs w:val="28"/>
          <w:u w:val="single"/>
          <w:rtl/>
        </w:rPr>
      </w:pPr>
      <w:r w:rsidRPr="001D49D4">
        <w:rPr>
          <w:rFonts w:ascii="Calibri" w:eastAsia="Calibri" w:hAnsi="Calibri" w:cs="Arial"/>
          <w:rtl/>
        </w:rPr>
        <w:t xml:space="preserve"> </w:t>
      </w:r>
      <w:r w:rsidRPr="001D49D4">
        <w:rPr>
          <w:rFonts w:ascii="Arial" w:eastAsia="Calibri" w:hAnsi="Arial" w:cs="Arial"/>
          <w:b/>
          <w:bCs/>
          <w:color w:val="000000"/>
          <w:sz w:val="28"/>
          <w:szCs w:val="28"/>
          <w:u w:val="single"/>
          <w:rtl/>
        </w:rPr>
        <w:t>שו"ע:</w:t>
      </w:r>
    </w:p>
    <w:p w14:paraId="4C9DE708"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rtl/>
        </w:rPr>
        <w:lastRenderedPageBreak/>
        <w:t>שטר שהוא על המחק ועידיו על הנייר, פסול, אפילו כתבו 'אנו העדים חתמנו על הנייר והשטר מחוק'</w:t>
      </w:r>
      <w:r w:rsidRPr="001D49D4">
        <w:rPr>
          <w:rFonts w:ascii="Calibri" w:eastAsia="Calibri" w:hAnsi="Calibri" w:cs="Arial"/>
          <w:vertAlign w:val="superscript"/>
          <w:rtl/>
        </w:rPr>
        <w:footnoteReference w:id="3694"/>
      </w:r>
      <w:r w:rsidRPr="001D49D4">
        <w:rPr>
          <w:rFonts w:ascii="Calibri" w:eastAsia="Calibri" w:hAnsi="Calibri" w:cs="Arial"/>
          <w:rtl/>
        </w:rPr>
        <w:t>, דסוף סוף ימחוק השטר ויזייפו ויכתוב מה שירצה, אף על פי שנמחק שני פעמים, אינו ניכר</w:t>
      </w:r>
      <w:r w:rsidRPr="001D49D4">
        <w:rPr>
          <w:rFonts w:ascii="Calibri" w:eastAsia="Calibri" w:hAnsi="Calibri" w:cs="Arial"/>
          <w:vertAlign w:val="superscript"/>
          <w:rtl/>
        </w:rPr>
        <w:footnoteReference w:id="3695"/>
      </w:r>
      <w:r w:rsidRPr="001D49D4">
        <w:rPr>
          <w:rFonts w:ascii="Calibri" w:eastAsia="Calibri" w:hAnsi="Calibri" w:cs="Arial"/>
          <w:rtl/>
        </w:rPr>
        <w:t xml:space="preserve">, כיון שאין אצלו מקום שמחוק פעם אחת שיוכלו להבחין בין זה לזה. </w:t>
      </w:r>
    </w:p>
    <w:p w14:paraId="60B4FF76" w14:textId="77777777" w:rsidR="001D49D4" w:rsidRPr="001D49D4" w:rsidRDefault="001D49D4" w:rsidP="0004348D">
      <w:pPr>
        <w:spacing w:before="360" w:after="240"/>
        <w:rPr>
          <w:rFonts w:ascii="Calibri" w:eastAsia="Calibri" w:hAnsi="Calibri" w:cs="Arial"/>
          <w:rtl/>
        </w:rPr>
      </w:pPr>
    </w:p>
    <w:p w14:paraId="1AB93EBE" w14:textId="77777777" w:rsidR="001D49D4" w:rsidRPr="001D49D4" w:rsidRDefault="001D49D4" w:rsidP="0004348D">
      <w:pPr>
        <w:keepNext/>
        <w:keepLines/>
        <w:spacing w:before="360" w:after="240"/>
        <w:outlineLvl w:val="1"/>
        <w:rPr>
          <w:rFonts w:ascii="Cambria" w:eastAsia="Times New Roman" w:hAnsi="Cambria" w:cs="Arial"/>
          <w:bCs/>
          <w:color w:val="548DD4" w:themeColor="text2" w:themeTint="99"/>
          <w:sz w:val="26"/>
          <w:szCs w:val="26"/>
          <w:rtl/>
        </w:rPr>
      </w:pPr>
      <w:bookmarkStart w:id="498" w:name="_Toc24883933"/>
      <w:r w:rsidRPr="001D49D4">
        <w:rPr>
          <w:rFonts w:ascii="Cambria" w:eastAsia="Times New Roman" w:hAnsi="Cambria" w:cs="Arial"/>
          <w:bCs/>
          <w:color w:val="548DD4" w:themeColor="text2" w:themeTint="99"/>
          <w:sz w:val="26"/>
          <w:szCs w:val="26"/>
          <w:rtl/>
        </w:rPr>
        <w:t>סעיף כג: גרר במקום שנהוג לכתוב פרעון. פרעון שעל המחק.</w:t>
      </w:r>
      <w:bookmarkEnd w:id="498"/>
    </w:p>
    <w:p w14:paraId="4FA8AF94"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u w:val="single"/>
          <w:rtl/>
        </w:rPr>
        <w:t>זהירות מגרר/מחק במקום פרעון:</w:t>
      </w:r>
    </w:p>
    <w:p w14:paraId="15648F38" w14:textId="77777777" w:rsidR="001D49D4" w:rsidRPr="001D49D4" w:rsidRDefault="001D49D4" w:rsidP="0004348D">
      <w:pPr>
        <w:numPr>
          <w:ilvl w:val="0"/>
          <w:numId w:val="270"/>
        </w:numPr>
        <w:spacing w:before="360" w:after="240"/>
        <w:contextualSpacing/>
        <w:rPr>
          <w:rtl/>
        </w:rPr>
      </w:pPr>
      <w:r w:rsidRPr="001D49D4">
        <w:rPr>
          <w:rtl/>
        </w:rPr>
        <w:t xml:space="preserve">רא"ש </w:t>
      </w:r>
      <w:r w:rsidRPr="001D49D4">
        <w:rPr>
          <w:sz w:val="16"/>
          <w:szCs w:val="16"/>
          <w:rtl/>
        </w:rPr>
        <w:t xml:space="preserve">(כלל סח סי' יז) </w:t>
      </w:r>
      <w:r w:rsidRPr="001D49D4">
        <w:rPr>
          <w:rtl/>
        </w:rPr>
        <w:t>וטור- לפי מה שנוהגין לכתוב פרעון ביני שיטי צריך ליזהר שלא יהא שום גרר ביני שיטי, דאיכא למיחש שמא היה בו פרעון ומחקו. וכל שכן אם הפרעון שביני שיטי הוא על המחק דאיכא למיחש שמא היה יותר ומחקו וכתב מה שרצה. ואם יש עדים שהפרעון הוא כתב יד הלוה – כשר, ותו ליכא למיחש למידי</w:t>
      </w:r>
      <w:r w:rsidRPr="001D49D4">
        <w:rPr>
          <w:vertAlign w:val="superscript"/>
          <w:rtl/>
        </w:rPr>
        <w:footnoteReference w:id="3696"/>
      </w:r>
      <w:r w:rsidRPr="001D49D4">
        <w:rPr>
          <w:rtl/>
        </w:rPr>
        <w:t xml:space="preserve">. </w:t>
      </w:r>
      <w:r w:rsidRPr="001D49D4">
        <w:rPr>
          <w:color w:val="E36C0A" w:themeColor="accent6" w:themeShade="BF"/>
          <w:rtl/>
        </w:rPr>
        <w:t>(וכ"פ בשו"ע)</w:t>
      </w:r>
    </w:p>
    <w:p w14:paraId="4DD711A3" w14:textId="77777777" w:rsidR="001D49D4" w:rsidRPr="001D49D4" w:rsidRDefault="001D49D4" w:rsidP="0004348D">
      <w:pPr>
        <w:spacing w:before="360" w:after="240"/>
        <w:rPr>
          <w:rFonts w:ascii="Arial" w:eastAsia="Calibri" w:hAnsi="Arial" w:cs="Arial"/>
          <w:b/>
          <w:bCs/>
          <w:color w:val="000000"/>
          <w:sz w:val="28"/>
          <w:szCs w:val="28"/>
          <w:u w:val="single"/>
          <w:rtl/>
        </w:rPr>
      </w:pPr>
      <w:r w:rsidRPr="001D49D4">
        <w:rPr>
          <w:rFonts w:ascii="Arial" w:eastAsia="Calibri" w:hAnsi="Arial" w:cs="Arial"/>
          <w:b/>
          <w:bCs/>
          <w:color w:val="000000"/>
          <w:sz w:val="28"/>
          <w:szCs w:val="28"/>
          <w:u w:val="single"/>
          <w:rtl/>
        </w:rPr>
        <w:t>שו"ע:</w:t>
      </w:r>
    </w:p>
    <w:p w14:paraId="4ECC8031"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rtl/>
        </w:rPr>
        <w:t>במקום שנהגו לכתוב פרעון ביני שיטי, צריך ליזהר שלא יהא שום גרר ביני שיטי, דאיכא למיחש שמא היה בו פרעון ומחקו. וכל שכן אם הפרעון שביני שיטי הוא על המחק, דאיכא למיחש שמא היה יותר ומחקו וכתב מה שרצה. ואם יש עדים שהפרעון הוא כתב יד הלוה, כשר, דתו ליכא למיחש למידי.</w:t>
      </w:r>
      <w:r w:rsidRPr="001D49D4">
        <w:rPr>
          <w:rFonts w:ascii="Calibri" w:eastAsia="Calibri" w:hAnsi="Calibri" w:cs="Arial" w:hint="cs"/>
        </w:rPr>
        <w:t xml:space="preserve"> </w:t>
      </w:r>
    </w:p>
    <w:p w14:paraId="165EB9CF" w14:textId="77777777" w:rsidR="001D49D4" w:rsidRDefault="001D49D4" w:rsidP="0004348D">
      <w:pPr>
        <w:keepNext/>
        <w:keepLines/>
        <w:spacing w:before="360" w:after="240"/>
        <w:outlineLvl w:val="0"/>
        <w:rPr>
          <w:rFonts w:ascii="Cambria" w:eastAsia="Times New Roman" w:hAnsi="Cambria" w:cs="Arial"/>
          <w:b/>
          <w:bCs/>
          <w:color w:val="365F91" w:themeColor="accent1" w:themeShade="BF"/>
          <w:sz w:val="28"/>
          <w:szCs w:val="28"/>
          <w:rtl/>
        </w:rPr>
        <w:sectPr w:rsidR="001D49D4">
          <w:headerReference w:type="default" r:id="rId54"/>
          <w:footnotePr>
            <w:numRestart w:val="eachPage"/>
          </w:footnotePr>
          <w:pgSz w:w="11906" w:h="16838"/>
          <w:pgMar w:top="720" w:right="1134" w:bottom="720" w:left="1134" w:header="0" w:footer="0" w:gutter="0"/>
          <w:cols w:space="720"/>
          <w:bidi/>
          <w:rtlGutter/>
        </w:sectPr>
      </w:pPr>
    </w:p>
    <w:p w14:paraId="4B0B0427" w14:textId="77777777" w:rsidR="001D49D4" w:rsidRPr="001D49D4" w:rsidRDefault="001D49D4" w:rsidP="0004348D">
      <w:pPr>
        <w:keepNext/>
        <w:keepLines/>
        <w:spacing w:before="360" w:after="240"/>
        <w:outlineLvl w:val="0"/>
        <w:rPr>
          <w:rFonts w:ascii="Cambria" w:eastAsia="Times New Roman" w:hAnsi="Cambria" w:cs="Arial"/>
          <w:b/>
          <w:bCs/>
          <w:color w:val="365F91" w:themeColor="accent1" w:themeShade="BF"/>
          <w:sz w:val="28"/>
          <w:szCs w:val="28"/>
          <w:rtl/>
        </w:rPr>
      </w:pPr>
      <w:bookmarkStart w:id="499" w:name="_Toc24883934"/>
      <w:r w:rsidRPr="001D49D4">
        <w:rPr>
          <w:rFonts w:ascii="Cambria" w:eastAsia="Times New Roman" w:hAnsi="Cambria" w:cs="Arial"/>
          <w:b/>
          <w:bCs/>
          <w:color w:val="365F91" w:themeColor="accent1" w:themeShade="BF"/>
          <w:sz w:val="28"/>
          <w:szCs w:val="28"/>
          <w:rtl/>
        </w:rPr>
        <w:lastRenderedPageBreak/>
        <w:t>סימן מו: העדים שאמרו: קטנים או פסולים היינו, או שטר אמנה היה, וכל דין קיום שטרות, ובו ל"ח סעיפים.</w:t>
      </w:r>
      <w:bookmarkEnd w:id="499"/>
      <w:r w:rsidRPr="001D49D4">
        <w:rPr>
          <w:rFonts w:ascii="Cambria" w:eastAsia="Times New Roman" w:hAnsi="Cambria" w:cs="Arial"/>
          <w:b/>
          <w:bCs/>
          <w:color w:val="365F91" w:themeColor="accent1" w:themeShade="BF"/>
          <w:sz w:val="28"/>
          <w:szCs w:val="28"/>
          <w:rtl/>
        </w:rPr>
        <w:t xml:space="preserve"> </w:t>
      </w:r>
    </w:p>
    <w:p w14:paraId="00AB30BA" w14:textId="77777777" w:rsidR="001D49D4" w:rsidRPr="001D49D4" w:rsidRDefault="001D49D4" w:rsidP="0004348D">
      <w:pPr>
        <w:keepNext/>
        <w:keepLines/>
        <w:spacing w:before="360" w:after="240"/>
        <w:outlineLvl w:val="1"/>
        <w:rPr>
          <w:rFonts w:ascii="Cambria" w:eastAsia="Times New Roman" w:hAnsi="Cambria" w:cs="Arial"/>
          <w:bCs/>
          <w:color w:val="548DD4" w:themeColor="text2" w:themeTint="99"/>
          <w:sz w:val="26"/>
          <w:szCs w:val="26"/>
          <w:rtl/>
        </w:rPr>
      </w:pPr>
      <w:bookmarkStart w:id="500" w:name="_Toc24883935"/>
      <w:r w:rsidRPr="001D49D4">
        <w:rPr>
          <w:rFonts w:ascii="Cambria" w:eastAsia="Times New Roman" w:hAnsi="Cambria" w:cs="Arial"/>
          <w:bCs/>
          <w:color w:val="548DD4" w:themeColor="text2" w:themeTint="99"/>
          <w:sz w:val="26"/>
          <w:szCs w:val="26"/>
          <w:rtl/>
        </w:rPr>
        <w:t>סעיף א: קיום שטרות. שטר שאינו מקויים.</w:t>
      </w:r>
      <w:bookmarkEnd w:id="500"/>
    </w:p>
    <w:p w14:paraId="4278F9E8"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b/>
          <w:bCs/>
          <w:rtl/>
        </w:rPr>
        <w:t>כתובות</w:t>
      </w:r>
      <w:r w:rsidRPr="001D49D4">
        <w:rPr>
          <w:rFonts w:ascii="Calibri" w:eastAsia="Calibri" w:hAnsi="Calibri" w:cs="Arial"/>
          <w:b/>
          <w:bCs/>
          <w:sz w:val="16"/>
          <w:szCs w:val="16"/>
          <w:rtl/>
        </w:rPr>
        <w:t xml:space="preserve"> (פ"ב) </w:t>
      </w:r>
      <w:r w:rsidRPr="001D49D4">
        <w:rPr>
          <w:rFonts w:ascii="Calibri" w:eastAsia="Calibri" w:hAnsi="Calibri" w:cs="Arial"/>
          <w:b/>
          <w:bCs/>
          <w:rtl/>
        </w:rPr>
        <w:t>כא ע"ב:</w:t>
      </w:r>
      <w:r w:rsidRPr="001D49D4">
        <w:rPr>
          <w:rFonts w:ascii="Calibri" w:eastAsia="Calibri" w:hAnsi="Calibri" w:cs="Arial"/>
          <w:rtl/>
        </w:rPr>
        <w:t xml:space="preserve"> קיום שטרות - דרבנן. </w:t>
      </w:r>
      <w:r w:rsidRPr="001D49D4">
        <w:rPr>
          <w:rFonts w:ascii="Calibri" w:eastAsia="Calibri" w:hAnsi="Calibri" w:cs="Arial"/>
          <w:sz w:val="16"/>
          <w:szCs w:val="16"/>
          <w:rtl/>
        </w:rPr>
        <w:t>(ולכן כתב הטור שתקנת חכמים לקיים השטר)</w:t>
      </w:r>
    </w:p>
    <w:p w14:paraId="361804D0"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b/>
          <w:bCs/>
          <w:rtl/>
        </w:rPr>
        <w:t>כתובות</w:t>
      </w:r>
      <w:r w:rsidRPr="001D49D4">
        <w:rPr>
          <w:rFonts w:ascii="Calibri" w:eastAsia="Calibri" w:hAnsi="Calibri" w:cs="Arial"/>
          <w:b/>
          <w:bCs/>
          <w:sz w:val="16"/>
          <w:szCs w:val="16"/>
          <w:rtl/>
        </w:rPr>
        <w:t xml:space="preserve"> (פ"ב) </w:t>
      </w:r>
      <w:r w:rsidRPr="001D49D4">
        <w:rPr>
          <w:rFonts w:ascii="Calibri" w:eastAsia="Calibri" w:hAnsi="Calibri" w:cs="Arial"/>
          <w:b/>
          <w:bCs/>
          <w:rtl/>
        </w:rPr>
        <w:t>יט</w:t>
      </w:r>
      <w:r w:rsidRPr="001D49D4">
        <w:rPr>
          <w:rFonts w:ascii="Calibri" w:eastAsia="Calibri" w:hAnsi="Calibri" w:cs="Arial"/>
          <w:b/>
          <w:bCs/>
          <w:vertAlign w:val="superscript"/>
          <w:rtl/>
        </w:rPr>
        <w:footnoteReference w:id="3697"/>
      </w:r>
      <w:r w:rsidRPr="001D49D4">
        <w:rPr>
          <w:rFonts w:ascii="Calibri" w:eastAsia="Calibri" w:hAnsi="Calibri" w:cs="Arial"/>
          <w:b/>
          <w:bCs/>
          <w:rtl/>
        </w:rPr>
        <w:t xml:space="preserve"> ע"א:</w:t>
      </w:r>
      <w:r w:rsidRPr="001D49D4">
        <w:rPr>
          <w:rFonts w:ascii="Calibri" w:eastAsia="Calibri" w:hAnsi="Calibri" w:cs="Arial"/>
          <w:rtl/>
        </w:rPr>
        <w:t xml:space="preserve"> </w:t>
      </w:r>
      <w:r w:rsidRPr="001D49D4">
        <w:rPr>
          <w:rFonts w:ascii="Calibri" w:eastAsia="Calibri" w:hAnsi="Calibri" w:cs="Arial"/>
          <w:u w:val="single"/>
          <w:rtl/>
        </w:rPr>
        <w:t>גופא, אמר רב הונא אמר רב:</w:t>
      </w:r>
      <w:r w:rsidRPr="001D49D4">
        <w:rPr>
          <w:rFonts w:ascii="Calibri" w:eastAsia="Calibri" w:hAnsi="Calibri" w:cs="Arial"/>
          <w:rtl/>
        </w:rPr>
        <w:t xml:space="preserve"> מודה בשטר שכתבו - אין צריך לקיימו</w:t>
      </w:r>
      <w:r w:rsidRPr="001D49D4">
        <w:rPr>
          <w:rFonts w:ascii="Calibri" w:eastAsia="Calibri" w:hAnsi="Calibri" w:cs="Arial"/>
          <w:vertAlign w:val="superscript"/>
          <w:rtl/>
        </w:rPr>
        <w:footnoteReference w:id="3698"/>
      </w:r>
      <w:r w:rsidRPr="001D49D4">
        <w:rPr>
          <w:rFonts w:ascii="Calibri" w:eastAsia="Calibri" w:hAnsi="Calibri" w:cs="Arial"/>
          <w:rtl/>
        </w:rPr>
        <w:t xml:space="preserve">. </w:t>
      </w:r>
      <w:r w:rsidRPr="001D49D4">
        <w:rPr>
          <w:rFonts w:ascii="Calibri" w:eastAsia="Calibri" w:hAnsi="Calibri" w:cs="Arial"/>
          <w:u w:val="single"/>
          <w:rtl/>
        </w:rPr>
        <w:t>א"ל רב נחמן:</w:t>
      </w:r>
      <w:r w:rsidRPr="001D49D4">
        <w:rPr>
          <w:rFonts w:ascii="Calibri" w:eastAsia="Calibri" w:hAnsi="Calibri" w:cs="Arial"/>
          <w:rtl/>
        </w:rPr>
        <w:t xml:space="preserve"> גנובא גנובי למה לך? אי סבירא לך כר"מ, אימא: הלכה כר"מ! </w:t>
      </w:r>
      <w:r w:rsidRPr="001D49D4">
        <w:rPr>
          <w:rFonts w:ascii="Calibri" w:eastAsia="Calibri" w:hAnsi="Calibri" w:cs="Arial"/>
          <w:u w:val="single"/>
          <w:rtl/>
        </w:rPr>
        <w:t>אמר ליה:</w:t>
      </w:r>
      <w:r w:rsidRPr="001D49D4">
        <w:rPr>
          <w:rFonts w:ascii="Calibri" w:eastAsia="Calibri" w:hAnsi="Calibri" w:cs="Arial"/>
          <w:rtl/>
        </w:rPr>
        <w:t xml:space="preserve"> ומר היכי סבירא ליה?</w:t>
      </w:r>
      <w:r w:rsidRPr="001D49D4">
        <w:rPr>
          <w:rFonts w:ascii="Calibri" w:eastAsia="Calibri" w:hAnsi="Calibri" w:cs="Arial"/>
          <w:u w:val="single"/>
          <w:rtl/>
        </w:rPr>
        <w:t xml:space="preserve"> אמר ליה:</w:t>
      </w:r>
      <w:r w:rsidRPr="001D49D4">
        <w:rPr>
          <w:rFonts w:ascii="Calibri" w:eastAsia="Calibri" w:hAnsi="Calibri" w:cs="Arial"/>
          <w:rtl/>
        </w:rPr>
        <w:t xml:space="preserve"> כי אתו לקמן לדינא, אמרינן להו: זילו קיימו שטרייכו וחותו לדינא</w:t>
      </w:r>
      <w:r w:rsidRPr="001D49D4">
        <w:rPr>
          <w:rFonts w:ascii="Calibri" w:eastAsia="Calibri" w:hAnsi="Calibri" w:cs="Arial"/>
          <w:vertAlign w:val="superscript"/>
          <w:rtl/>
        </w:rPr>
        <w:footnoteReference w:id="3699"/>
      </w:r>
      <w:r w:rsidRPr="001D49D4">
        <w:rPr>
          <w:rFonts w:ascii="Calibri" w:eastAsia="Calibri" w:hAnsi="Calibri" w:cs="Arial"/>
          <w:rtl/>
        </w:rPr>
        <w:t>.</w:t>
      </w:r>
      <w:r w:rsidRPr="001D49D4">
        <w:rPr>
          <w:rFonts w:ascii="Calibri" w:eastAsia="Calibri" w:hAnsi="Calibri" w:cs="Arial"/>
          <w:sz w:val="16"/>
          <w:szCs w:val="16"/>
          <w:rtl/>
        </w:rPr>
        <w:t xml:space="preserve"> (וידוע (שם יג.) דהלכה כרב נחמן בדיני, וכתב הה"מ פי"ד ממלוה ולוה (ה"ה) דבפרק מי שמת (ב"ב קנד.) פסקו רוב המפרשים כמאן דאמר מודה בשטר שכתבו צריך לקיימו וכדעת הרמב"ם (שם) וכן דעת הרמב"ן (שם: ד"ה זו) וההלכות (פ"ק דמציעא ג: גבי שנים אדוקים בשטר), עכ"ל, ב"י)</w:t>
      </w:r>
    </w:p>
    <w:p w14:paraId="527D6219" w14:textId="77777777" w:rsidR="001D49D4" w:rsidRPr="001D49D4" w:rsidRDefault="001D49D4" w:rsidP="0004348D">
      <w:pPr>
        <w:spacing w:before="360" w:after="240"/>
        <w:rPr>
          <w:rFonts w:ascii="Calibri" w:eastAsia="Calibri" w:hAnsi="Calibri" w:cs="Arial"/>
          <w:u w:val="single"/>
          <w:rtl/>
        </w:rPr>
      </w:pPr>
      <w:r w:rsidRPr="001D49D4">
        <w:rPr>
          <w:rFonts w:ascii="Calibri" w:eastAsia="Calibri" w:hAnsi="Calibri" w:cs="Arial"/>
          <w:u w:val="single"/>
          <w:rtl/>
        </w:rPr>
        <w:t>שטר שאינו מקויים:</w:t>
      </w:r>
    </w:p>
    <w:p w14:paraId="2F293E50" w14:textId="77777777" w:rsidR="001D49D4" w:rsidRPr="001D49D4" w:rsidRDefault="001D49D4" w:rsidP="0004348D">
      <w:pPr>
        <w:numPr>
          <w:ilvl w:val="0"/>
          <w:numId w:val="270"/>
        </w:numPr>
        <w:spacing w:before="360" w:after="240"/>
        <w:contextualSpacing/>
        <w:rPr>
          <w:rtl/>
        </w:rPr>
      </w:pPr>
      <w:r w:rsidRPr="001D49D4">
        <w:rPr>
          <w:rtl/>
        </w:rPr>
        <w:t xml:space="preserve">רמב"ם </w:t>
      </w:r>
      <w:r w:rsidRPr="001D49D4">
        <w:rPr>
          <w:sz w:val="16"/>
          <w:szCs w:val="16"/>
          <w:rtl/>
        </w:rPr>
        <w:t>(פי"ד ה"ה)</w:t>
      </w:r>
      <w:r w:rsidRPr="001D49D4">
        <w:rPr>
          <w:rtl/>
        </w:rPr>
        <w:t xml:space="preserve"> וטור</w:t>
      </w:r>
      <w:r w:rsidRPr="001D49D4">
        <w:rPr>
          <w:vertAlign w:val="superscript"/>
          <w:rtl/>
        </w:rPr>
        <w:footnoteReference w:id="3700"/>
      </w:r>
      <w:r w:rsidRPr="001D49D4">
        <w:rPr>
          <w:rtl/>
        </w:rPr>
        <w:t>- הוציא עליו שטר חוב שאינו יכול לקיימו, ואמר הלוה 'אמת שאני כתבתי שטר זה אבל פרעתיו' או 'אמנה</w:t>
      </w:r>
      <w:r w:rsidRPr="001D49D4">
        <w:rPr>
          <w:vertAlign w:val="superscript"/>
          <w:rtl/>
        </w:rPr>
        <w:footnoteReference w:id="3701"/>
      </w:r>
      <w:r w:rsidRPr="001D49D4">
        <w:rPr>
          <w:rtl/>
        </w:rPr>
        <w:t xml:space="preserve"> הוא' או 'כתבתי ללוות ועדיין לא לויתי' וכל כיוצא בזה, הואיל ואם רצה אמר לא היו דברים מעולם והרי מפיו נתקיים - הרי זה נאמן וישבע היסת ויפטר. ואם קיימו המלוה אח"כ בב"ד הרי היא כשאר השטרות</w:t>
      </w:r>
      <w:r w:rsidRPr="001D49D4">
        <w:rPr>
          <w:sz w:val="16"/>
          <w:szCs w:val="16"/>
          <w:rtl/>
        </w:rPr>
        <w:t xml:space="preserve"> (ל' הרמב"ם)</w:t>
      </w:r>
      <w:r w:rsidRPr="001D49D4">
        <w:rPr>
          <w:rtl/>
        </w:rPr>
        <w:t xml:space="preserve">. </w:t>
      </w:r>
      <w:r w:rsidRPr="001D49D4">
        <w:rPr>
          <w:color w:val="E36C0A" w:themeColor="accent6" w:themeShade="BF"/>
          <w:rtl/>
        </w:rPr>
        <w:t>(וכ"פ בשו"ע)</w:t>
      </w:r>
    </w:p>
    <w:p w14:paraId="5C4845BF" w14:textId="77777777" w:rsidR="001D49D4" w:rsidRPr="001D49D4" w:rsidRDefault="001D49D4" w:rsidP="0004348D">
      <w:pPr>
        <w:spacing w:before="360" w:after="240"/>
        <w:rPr>
          <w:rFonts w:ascii="Arial" w:eastAsia="Calibri" w:hAnsi="Arial" w:cs="Arial"/>
          <w:b/>
          <w:bCs/>
          <w:color w:val="000000"/>
          <w:sz w:val="28"/>
          <w:szCs w:val="28"/>
          <w:u w:val="single"/>
          <w:rtl/>
        </w:rPr>
      </w:pPr>
      <w:bookmarkStart w:id="501" w:name="_Hlk531258264"/>
      <w:r w:rsidRPr="001D49D4">
        <w:rPr>
          <w:rFonts w:ascii="Arial" w:eastAsia="Calibri" w:hAnsi="Arial" w:cs="Arial"/>
          <w:b/>
          <w:bCs/>
          <w:color w:val="000000"/>
          <w:sz w:val="28"/>
          <w:szCs w:val="28"/>
          <w:u w:val="single"/>
          <w:rtl/>
        </w:rPr>
        <w:t>שו"ע:</w:t>
      </w:r>
    </w:p>
    <w:bookmarkEnd w:id="501"/>
    <w:p w14:paraId="5BA8A38D"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rtl/>
        </w:rPr>
        <w:t>המוציא שטר חוב על חבירו, כל זמן שלא נתקיים יכול הלוה לומר 'מזוייף הוא ומעולם לא צויתי לכתבו'. ואפילו אם מודה ואומר 'אמת שאני צויתי לכתבו אבל פרעתיו' או 'אמנה הוא' או 'כתבתי ללות ועדיין לא לויתי'</w:t>
      </w:r>
      <w:r w:rsidRPr="001D49D4">
        <w:rPr>
          <w:rFonts w:ascii="Calibri" w:eastAsia="Calibri" w:hAnsi="Calibri" w:cs="Arial"/>
          <w:vertAlign w:val="superscript"/>
          <w:rtl/>
        </w:rPr>
        <w:footnoteReference w:id="3702"/>
      </w:r>
      <w:r w:rsidRPr="001D49D4">
        <w:rPr>
          <w:rFonts w:ascii="Calibri" w:eastAsia="Calibri" w:hAnsi="Calibri" w:cs="Arial"/>
          <w:rtl/>
        </w:rPr>
        <w:t xml:space="preserve"> וכל כיוצא בזה, הואיל ואם רצה אמר לא היו דברים מעולם, והרי מפיו נתקיים, הרי זה נאמן וישבע היסת ויפטר. ואם קיימו המלוה אחר כך בבית דין, הרי הוא כשאר השטרות. </w:t>
      </w:r>
      <w:r w:rsidRPr="001D49D4">
        <w:rPr>
          <w:rFonts w:ascii="Calibri" w:eastAsia="Calibri" w:hAnsi="Calibri" w:cs="Arial"/>
          <w:sz w:val="18"/>
          <w:szCs w:val="18"/>
          <w:rtl/>
        </w:rPr>
        <w:t>[הגה] וע"ל ריש סימן פ"ב.</w:t>
      </w:r>
      <w:r w:rsidRPr="001D49D4">
        <w:rPr>
          <w:rFonts w:ascii="Calibri" w:eastAsia="Calibri" w:hAnsi="Calibri" w:cs="Arial"/>
          <w:rtl/>
        </w:rPr>
        <w:t xml:space="preserve"> </w:t>
      </w:r>
    </w:p>
    <w:p w14:paraId="6F973907" w14:textId="77777777" w:rsidR="001D49D4" w:rsidRPr="001D49D4" w:rsidRDefault="001D49D4" w:rsidP="0004348D">
      <w:pPr>
        <w:spacing w:before="360" w:after="240"/>
        <w:rPr>
          <w:rFonts w:ascii="Calibri" w:eastAsia="Calibri" w:hAnsi="Calibri" w:cs="Arial"/>
          <w:rtl/>
        </w:rPr>
      </w:pPr>
    </w:p>
    <w:p w14:paraId="1773B576" w14:textId="77777777" w:rsidR="001D49D4" w:rsidRPr="001D49D4" w:rsidRDefault="001D49D4" w:rsidP="0004348D">
      <w:pPr>
        <w:keepNext/>
        <w:keepLines/>
        <w:spacing w:before="360" w:after="240"/>
        <w:outlineLvl w:val="1"/>
        <w:rPr>
          <w:rFonts w:ascii="Cambria" w:eastAsia="Times New Roman" w:hAnsi="Cambria" w:cs="Arial"/>
          <w:bCs/>
          <w:color w:val="548DD4" w:themeColor="text2" w:themeTint="99"/>
          <w:sz w:val="26"/>
          <w:szCs w:val="26"/>
          <w:rtl/>
        </w:rPr>
      </w:pPr>
      <w:bookmarkStart w:id="502" w:name="_Toc24883936"/>
      <w:r w:rsidRPr="001D49D4">
        <w:rPr>
          <w:rFonts w:ascii="Cambria" w:eastAsia="Times New Roman" w:hAnsi="Cambria" w:cs="Arial"/>
          <w:bCs/>
          <w:color w:val="548DD4" w:themeColor="text2" w:themeTint="99"/>
          <w:sz w:val="26"/>
          <w:szCs w:val="26"/>
          <w:rtl/>
        </w:rPr>
        <w:t>סעיף ב: שטר לא מקויים שיש בו נאמנות.</w:t>
      </w:r>
      <w:bookmarkEnd w:id="502"/>
    </w:p>
    <w:p w14:paraId="4D052358" w14:textId="77777777" w:rsidR="001D49D4" w:rsidRPr="001D49D4" w:rsidRDefault="001D49D4" w:rsidP="0004348D">
      <w:pPr>
        <w:spacing w:before="360" w:after="240"/>
        <w:rPr>
          <w:rFonts w:ascii="Calibri" w:eastAsia="Calibri" w:hAnsi="Calibri" w:cs="Arial"/>
          <w:u w:val="single"/>
          <w:rtl/>
        </w:rPr>
      </w:pPr>
      <w:r w:rsidRPr="001D49D4">
        <w:rPr>
          <w:rFonts w:ascii="Calibri" w:eastAsia="Calibri" w:hAnsi="Calibri" w:cs="Arial"/>
          <w:u w:val="single"/>
          <w:rtl/>
        </w:rPr>
        <w:t>הא דהלוה נאמן במיגו כשהשטר לא מקויים – האם מיירי שיש נאמנות למלוה בשטר או לא:</w:t>
      </w:r>
    </w:p>
    <w:p w14:paraId="5929B8A4" w14:textId="77777777" w:rsidR="001D49D4" w:rsidRPr="001D49D4" w:rsidRDefault="001D49D4" w:rsidP="0004348D">
      <w:pPr>
        <w:numPr>
          <w:ilvl w:val="0"/>
          <w:numId w:val="270"/>
        </w:numPr>
        <w:spacing w:before="360" w:after="240"/>
        <w:contextualSpacing/>
        <w:rPr>
          <w:rtl/>
        </w:rPr>
      </w:pPr>
      <w:r w:rsidRPr="001D49D4">
        <w:rPr>
          <w:rtl/>
        </w:rPr>
        <w:t xml:space="preserve">בהעי"ט </w:t>
      </w:r>
      <w:r w:rsidRPr="001D49D4">
        <w:rPr>
          <w:sz w:val="16"/>
          <w:szCs w:val="16"/>
          <w:rtl/>
        </w:rPr>
        <w:t>(אות ע עיסקא יג ע"ד)</w:t>
      </w:r>
      <w:r w:rsidRPr="001D49D4">
        <w:rPr>
          <w:rtl/>
        </w:rPr>
        <w:t>- דוקא כשאין בו נאמנות, אבל אם יש בו נאמנות לאו כל כמיניה</w:t>
      </w:r>
      <w:r w:rsidRPr="001D49D4">
        <w:rPr>
          <w:vertAlign w:val="superscript"/>
          <w:rtl/>
        </w:rPr>
        <w:footnoteReference w:id="3703"/>
      </w:r>
      <w:r w:rsidRPr="001D49D4">
        <w:rPr>
          <w:rtl/>
        </w:rPr>
        <w:t xml:space="preserve">. </w:t>
      </w:r>
    </w:p>
    <w:p w14:paraId="309D44F8" w14:textId="77777777" w:rsidR="001D49D4" w:rsidRPr="001D49D4" w:rsidRDefault="001D49D4" w:rsidP="0004348D">
      <w:pPr>
        <w:numPr>
          <w:ilvl w:val="0"/>
          <w:numId w:val="270"/>
        </w:numPr>
        <w:spacing w:before="360" w:after="240"/>
        <w:contextualSpacing/>
        <w:rPr>
          <w:rtl/>
        </w:rPr>
      </w:pPr>
      <w:r w:rsidRPr="001D49D4">
        <w:rPr>
          <w:rtl/>
        </w:rPr>
        <w:t xml:space="preserve">בעל התרומות </w:t>
      </w:r>
      <w:r w:rsidRPr="001D49D4">
        <w:rPr>
          <w:sz w:val="16"/>
          <w:szCs w:val="16"/>
          <w:rtl/>
        </w:rPr>
        <w:t>(שער יז ח"א סי' ב)</w:t>
      </w:r>
      <w:r w:rsidRPr="001D49D4">
        <w:rPr>
          <w:rtl/>
        </w:rPr>
        <w:t xml:space="preserve"> וטור- אפילו אם יש בו נאמנות - נאמן משום מגו</w:t>
      </w:r>
      <w:r w:rsidRPr="001D49D4">
        <w:rPr>
          <w:vertAlign w:val="superscript"/>
          <w:rtl/>
        </w:rPr>
        <w:footnoteReference w:id="3704"/>
      </w:r>
      <w:r w:rsidRPr="001D49D4">
        <w:rPr>
          <w:rtl/>
        </w:rPr>
        <w:t>... ולכן תקנו חכמים לקיימו ושוב אין הלוה יכול לומר שום דבר</w:t>
      </w:r>
      <w:r w:rsidRPr="001D49D4">
        <w:rPr>
          <w:sz w:val="16"/>
          <w:szCs w:val="16"/>
          <w:rtl/>
        </w:rPr>
        <w:t xml:space="preserve"> (ל' הטור)</w:t>
      </w:r>
      <w:r w:rsidRPr="001D49D4">
        <w:rPr>
          <w:rtl/>
        </w:rPr>
        <w:t xml:space="preserve">. </w:t>
      </w:r>
      <w:r w:rsidRPr="001D49D4">
        <w:rPr>
          <w:color w:val="E36C0A" w:themeColor="accent6" w:themeShade="BF"/>
          <w:rtl/>
        </w:rPr>
        <w:t>(וכ"פ בשו"ע</w:t>
      </w:r>
      <w:r w:rsidRPr="001D49D4">
        <w:rPr>
          <w:color w:val="E36C0A" w:themeColor="accent6" w:themeShade="BF"/>
          <w:sz w:val="16"/>
          <w:szCs w:val="16"/>
          <w:rtl/>
        </w:rPr>
        <w:t xml:space="preserve"> </w:t>
      </w:r>
      <w:r w:rsidRPr="001D49D4">
        <w:rPr>
          <w:color w:val="000000" w:themeColor="text1"/>
          <w:sz w:val="16"/>
          <w:szCs w:val="16"/>
          <w:rtl/>
        </w:rPr>
        <w:t>[כאן ובסי' פב ס"א]</w:t>
      </w:r>
      <w:r w:rsidRPr="001D49D4">
        <w:rPr>
          <w:color w:val="E36C0A" w:themeColor="accent6" w:themeShade="BF"/>
          <w:rtl/>
        </w:rPr>
        <w:t>)</w:t>
      </w:r>
      <w:r w:rsidRPr="001D49D4">
        <w:rPr>
          <w:rtl/>
        </w:rPr>
        <w:t xml:space="preserve"> </w:t>
      </w:r>
      <w:r w:rsidRPr="001D49D4">
        <w:rPr>
          <w:color w:val="00B0F0"/>
          <w:rtl/>
        </w:rPr>
        <w:t xml:space="preserve">(וכ"פ הרמ"א) </w:t>
      </w:r>
      <w:r w:rsidRPr="001D49D4">
        <w:rPr>
          <w:rtl/>
        </w:rPr>
        <w:t xml:space="preserve"> </w:t>
      </w:r>
    </w:p>
    <w:p w14:paraId="1C6BAC52" w14:textId="77777777" w:rsidR="001D49D4" w:rsidRPr="001D49D4" w:rsidRDefault="001D49D4" w:rsidP="0004348D">
      <w:pPr>
        <w:spacing w:before="360" w:after="240"/>
        <w:rPr>
          <w:rFonts w:ascii="Arial" w:eastAsia="Calibri" w:hAnsi="Arial" w:cs="Arial"/>
          <w:b/>
          <w:bCs/>
          <w:color w:val="000000"/>
          <w:sz w:val="28"/>
          <w:szCs w:val="28"/>
          <w:u w:val="single"/>
          <w:rtl/>
        </w:rPr>
      </w:pPr>
      <w:r w:rsidRPr="001D49D4">
        <w:rPr>
          <w:rFonts w:ascii="Arial" w:eastAsia="Calibri" w:hAnsi="Arial" w:cs="Arial"/>
          <w:b/>
          <w:bCs/>
          <w:color w:val="000000"/>
          <w:sz w:val="28"/>
          <w:szCs w:val="28"/>
          <w:u w:val="single"/>
          <w:rtl/>
        </w:rPr>
        <w:lastRenderedPageBreak/>
        <w:t>שו"ע:</w:t>
      </w:r>
    </w:p>
    <w:p w14:paraId="69BE918A"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rtl/>
        </w:rPr>
        <w:t>יש אומרים דהא דמהימני ללוה במיגו דוקא כשאין בו נאמנות למלוה, אבל אם יש בו נאמנות לא</w:t>
      </w:r>
      <w:r w:rsidRPr="001D49D4">
        <w:rPr>
          <w:rFonts w:ascii="Calibri" w:eastAsia="Calibri" w:hAnsi="Calibri" w:cs="Arial"/>
          <w:vertAlign w:val="superscript"/>
          <w:rtl/>
        </w:rPr>
        <w:footnoteReference w:id="3705"/>
      </w:r>
      <w:r w:rsidRPr="001D49D4">
        <w:rPr>
          <w:rFonts w:ascii="Calibri" w:eastAsia="Calibri" w:hAnsi="Calibri" w:cs="Arial"/>
          <w:rtl/>
        </w:rPr>
        <w:t xml:space="preserve">. ויש אומרים דאפילו יש בו נאמנות למלוה, נאמן הלוה. </w:t>
      </w:r>
      <w:r w:rsidRPr="001D49D4">
        <w:rPr>
          <w:rFonts w:ascii="Calibri" w:eastAsia="Calibri" w:hAnsi="Calibri" w:cs="Arial"/>
          <w:sz w:val="18"/>
          <w:szCs w:val="18"/>
          <w:rtl/>
        </w:rPr>
        <w:t>[הגה] במיגו דאי בעי אומר מזוייף, והכי מסתברא (טור).</w:t>
      </w:r>
      <w:r w:rsidRPr="001D49D4">
        <w:rPr>
          <w:rFonts w:ascii="Calibri" w:eastAsia="Calibri" w:hAnsi="Calibri" w:cs="Arial"/>
          <w:rtl/>
        </w:rPr>
        <w:t xml:space="preserve"> </w:t>
      </w:r>
    </w:p>
    <w:p w14:paraId="4EE24D79" w14:textId="77777777" w:rsidR="001D49D4" w:rsidRPr="001D49D4" w:rsidRDefault="001D49D4" w:rsidP="0004348D">
      <w:pPr>
        <w:spacing w:before="360" w:after="240"/>
        <w:rPr>
          <w:rFonts w:ascii="Calibri" w:eastAsia="Calibri" w:hAnsi="Calibri" w:cs="Arial"/>
          <w:rtl/>
        </w:rPr>
      </w:pPr>
    </w:p>
    <w:p w14:paraId="5AC2FBD7" w14:textId="77777777" w:rsidR="001D49D4" w:rsidRPr="001D49D4" w:rsidRDefault="001D49D4" w:rsidP="0004348D">
      <w:pPr>
        <w:keepNext/>
        <w:keepLines/>
        <w:spacing w:before="360" w:after="240"/>
        <w:outlineLvl w:val="1"/>
        <w:rPr>
          <w:rFonts w:ascii="Cambria" w:eastAsia="Times New Roman" w:hAnsi="Cambria" w:cs="Arial"/>
          <w:bCs/>
          <w:color w:val="548DD4" w:themeColor="text2" w:themeTint="99"/>
          <w:sz w:val="26"/>
          <w:szCs w:val="26"/>
          <w:rtl/>
        </w:rPr>
      </w:pPr>
      <w:bookmarkStart w:id="503" w:name="_Toc24883937"/>
      <w:r w:rsidRPr="001D49D4">
        <w:rPr>
          <w:rFonts w:ascii="Cambria" w:eastAsia="Times New Roman" w:hAnsi="Cambria" w:cs="Arial"/>
          <w:bCs/>
          <w:color w:val="548DD4" w:themeColor="text2" w:themeTint="99"/>
          <w:sz w:val="26"/>
          <w:szCs w:val="26"/>
          <w:rtl/>
        </w:rPr>
        <w:t>סעיף ג: כיצד הוא הקיום.</w:t>
      </w:r>
      <w:bookmarkEnd w:id="503"/>
    </w:p>
    <w:p w14:paraId="05443BA1"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b/>
          <w:bCs/>
          <w:rtl/>
        </w:rPr>
        <w:t xml:space="preserve">כתובות </w:t>
      </w:r>
      <w:r w:rsidRPr="001D49D4">
        <w:rPr>
          <w:rFonts w:ascii="Calibri" w:eastAsia="Calibri" w:hAnsi="Calibri" w:cs="Arial"/>
          <w:b/>
          <w:bCs/>
          <w:sz w:val="16"/>
          <w:szCs w:val="16"/>
          <w:rtl/>
        </w:rPr>
        <w:t xml:space="preserve">(פ"ב) </w:t>
      </w:r>
      <w:r w:rsidRPr="001D49D4">
        <w:rPr>
          <w:rFonts w:ascii="Calibri" w:eastAsia="Calibri" w:hAnsi="Calibri" w:cs="Arial"/>
          <w:b/>
          <w:bCs/>
          <w:rtl/>
        </w:rPr>
        <w:t>כב</w:t>
      </w:r>
      <w:r w:rsidRPr="001D49D4">
        <w:rPr>
          <w:rFonts w:ascii="Calibri" w:eastAsia="Calibri" w:hAnsi="Calibri" w:cs="Arial"/>
          <w:b/>
          <w:bCs/>
          <w:vertAlign w:val="superscript"/>
          <w:rtl/>
        </w:rPr>
        <w:footnoteReference w:id="3706"/>
      </w:r>
      <w:r w:rsidRPr="001D49D4">
        <w:rPr>
          <w:rFonts w:ascii="Calibri" w:eastAsia="Calibri" w:hAnsi="Calibri" w:cs="Arial"/>
          <w:b/>
          <w:bCs/>
          <w:rtl/>
        </w:rPr>
        <w:t xml:space="preserve"> ע"א:</w:t>
      </w:r>
      <w:r w:rsidRPr="001D49D4">
        <w:rPr>
          <w:rFonts w:ascii="Calibri" w:eastAsia="Calibri" w:hAnsi="Calibri" w:cs="Arial"/>
          <w:rtl/>
        </w:rPr>
        <w:t xml:space="preserve"> </w:t>
      </w:r>
      <w:r w:rsidRPr="001D49D4">
        <w:rPr>
          <w:rFonts w:ascii="Calibri" w:eastAsia="Calibri" w:hAnsi="Calibri" w:cs="Arial"/>
          <w:u w:val="single"/>
          <w:rtl/>
        </w:rPr>
        <w:t>א"ר זירא</w:t>
      </w:r>
      <w:r w:rsidRPr="001D49D4">
        <w:rPr>
          <w:rFonts w:ascii="Calibri" w:eastAsia="Calibri" w:hAnsi="Calibri" w:cs="Arial"/>
          <w:rtl/>
        </w:rPr>
        <w:t>: הא מלתא מרבי אבא שמיע לי, ואי לאו רבי אבא דמן עכו שכחתה: ג' שישבו לקיים את השטר ומת אחד מהם, צריכין למיכתב במותב תלתא הוינא וחד ליתוהי.</w:t>
      </w:r>
    </w:p>
    <w:p w14:paraId="25B03EC5"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b/>
          <w:bCs/>
          <w:rtl/>
        </w:rPr>
        <w:t xml:space="preserve">סנהדרין </w:t>
      </w:r>
      <w:r w:rsidRPr="001D49D4">
        <w:rPr>
          <w:rFonts w:ascii="Calibri" w:eastAsia="Calibri" w:hAnsi="Calibri" w:cs="Arial"/>
          <w:b/>
          <w:bCs/>
          <w:sz w:val="16"/>
          <w:szCs w:val="16"/>
          <w:rtl/>
        </w:rPr>
        <w:t xml:space="preserve">(פ"ק) </w:t>
      </w:r>
      <w:r w:rsidRPr="001D49D4">
        <w:rPr>
          <w:rFonts w:ascii="Calibri" w:eastAsia="Calibri" w:hAnsi="Calibri" w:cs="Arial"/>
          <w:b/>
          <w:bCs/>
          <w:rtl/>
        </w:rPr>
        <w:t>ג ע"א:</w:t>
      </w:r>
      <w:r w:rsidRPr="001D49D4">
        <w:rPr>
          <w:rFonts w:ascii="Calibri" w:eastAsia="Calibri" w:hAnsi="Calibri" w:cs="Arial"/>
          <w:rtl/>
        </w:rPr>
        <w:t xml:space="preserve"> דיני ממונות בשלשה הדיוטות. </w:t>
      </w:r>
      <w:r w:rsidRPr="001D49D4">
        <w:rPr>
          <w:rFonts w:ascii="Calibri" w:eastAsia="Calibri" w:hAnsi="Calibri" w:cs="Arial"/>
          <w:sz w:val="16"/>
          <w:szCs w:val="16"/>
          <w:rtl/>
        </w:rPr>
        <w:t>(וכמבואר לעיל סימן ג' (ס"א), ב"י)</w:t>
      </w:r>
      <w:r w:rsidRPr="001D49D4">
        <w:rPr>
          <w:rFonts w:ascii="Calibri" w:eastAsia="Calibri" w:hAnsi="Calibri" w:cs="Arial"/>
          <w:rtl/>
        </w:rPr>
        <w:t xml:space="preserve"> </w:t>
      </w:r>
    </w:p>
    <w:p w14:paraId="7564D6A4"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u w:val="single"/>
          <w:rtl/>
        </w:rPr>
        <w:t>כיצד הוא הקיום:</w:t>
      </w:r>
      <w:r w:rsidRPr="001D49D4">
        <w:rPr>
          <w:rFonts w:ascii="Calibri" w:eastAsia="Calibri" w:hAnsi="Calibri" w:cs="Arial"/>
          <w:rtl/>
        </w:rPr>
        <w:t xml:space="preserve"> </w:t>
      </w:r>
    </w:p>
    <w:p w14:paraId="388B51EE" w14:textId="77777777" w:rsidR="001D49D4" w:rsidRPr="001D49D4" w:rsidRDefault="001D49D4" w:rsidP="0004348D">
      <w:pPr>
        <w:numPr>
          <w:ilvl w:val="0"/>
          <w:numId w:val="279"/>
        </w:numPr>
        <w:spacing w:before="360" w:after="240"/>
        <w:contextualSpacing/>
        <w:rPr>
          <w:rtl/>
        </w:rPr>
      </w:pPr>
      <w:r w:rsidRPr="001D49D4">
        <w:rPr>
          <w:rtl/>
        </w:rPr>
        <w:t>טור- כיצד הוא הקיום, באים עדי השטר ומעידים לפני שלשה אפילו הן הדיוטות 'זאת היא חתימתינו'. וכותבין למטה 'במותב תלתא כחדא הוינא ואתא פלוני ופלוני ואסהידו קדמנא אחתימות ידייהו ומדאיתברר לנא דהא הוא חתימת ידייהו אשרנוהו וקיימנוהו כדחזי'. וחותמין למטה</w:t>
      </w:r>
      <w:r w:rsidRPr="001D49D4">
        <w:rPr>
          <w:vertAlign w:val="superscript"/>
          <w:rtl/>
        </w:rPr>
        <w:footnoteReference w:id="3707"/>
      </w:r>
      <w:r w:rsidRPr="001D49D4">
        <w:rPr>
          <w:rtl/>
        </w:rPr>
        <w:t xml:space="preserve">. </w:t>
      </w:r>
      <w:r w:rsidRPr="001D49D4">
        <w:rPr>
          <w:color w:val="E36C0A" w:themeColor="accent6" w:themeShade="BF"/>
          <w:rtl/>
        </w:rPr>
        <w:t>(וכ"פ בשו"ע)</w:t>
      </w:r>
    </w:p>
    <w:p w14:paraId="53D2F725" w14:textId="77777777" w:rsidR="001D49D4" w:rsidRPr="001D49D4" w:rsidRDefault="001D49D4" w:rsidP="0004348D">
      <w:pPr>
        <w:spacing w:before="360" w:after="240"/>
        <w:rPr>
          <w:rFonts w:ascii="Arial" w:eastAsia="Calibri" w:hAnsi="Arial" w:cs="Arial"/>
          <w:b/>
          <w:bCs/>
          <w:color w:val="000000"/>
          <w:sz w:val="28"/>
          <w:szCs w:val="28"/>
          <w:u w:val="single"/>
        </w:rPr>
      </w:pPr>
      <w:r w:rsidRPr="001D49D4">
        <w:rPr>
          <w:rFonts w:ascii="Arial" w:eastAsia="Calibri" w:hAnsi="Arial" w:cs="Arial"/>
          <w:b/>
          <w:bCs/>
          <w:color w:val="000000"/>
          <w:sz w:val="28"/>
          <w:szCs w:val="28"/>
          <w:u w:val="single"/>
          <w:rtl/>
        </w:rPr>
        <w:t>שו"ע:</w:t>
      </w:r>
    </w:p>
    <w:p w14:paraId="5F601E8E"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rtl/>
        </w:rPr>
        <w:t>כיצד הוא הקיום, באים עידי השטר</w:t>
      </w:r>
      <w:r w:rsidRPr="001D49D4">
        <w:rPr>
          <w:rFonts w:ascii="Calibri" w:eastAsia="Calibri" w:hAnsi="Calibri" w:cs="Arial"/>
          <w:vertAlign w:val="superscript"/>
          <w:rtl/>
        </w:rPr>
        <w:footnoteReference w:id="3708"/>
      </w:r>
      <w:r w:rsidRPr="001D49D4">
        <w:rPr>
          <w:rFonts w:ascii="Calibri" w:eastAsia="Calibri" w:hAnsi="Calibri" w:cs="Arial"/>
          <w:rtl/>
        </w:rPr>
        <w:t xml:space="preserve"> ומעידים לפני שלשה אפילו הם הדיוטות שזאת היא חתימתן, וכותבין למטה 'במותב תלתא כחדא הוינא ואתא פלוני ופלוני ואסהידו קדמנא אחתימת ידיהו ומדאתברר לנא דדא היא חתימת ידיהו אישרנוהי וקיימנוהי כדחזי'</w:t>
      </w:r>
      <w:r w:rsidRPr="001D49D4">
        <w:rPr>
          <w:rFonts w:ascii="Calibri" w:eastAsia="Calibri" w:hAnsi="Calibri" w:cs="Arial"/>
          <w:vertAlign w:val="superscript"/>
          <w:rtl/>
        </w:rPr>
        <w:footnoteReference w:id="3709"/>
      </w:r>
      <w:r w:rsidRPr="001D49D4">
        <w:rPr>
          <w:rFonts w:ascii="Calibri" w:eastAsia="Calibri" w:hAnsi="Calibri" w:cs="Arial"/>
          <w:rtl/>
        </w:rPr>
        <w:t>. וחותמים למטה</w:t>
      </w:r>
      <w:r w:rsidRPr="001D49D4">
        <w:rPr>
          <w:rFonts w:ascii="Calibri" w:eastAsia="Calibri" w:hAnsi="Calibri" w:cs="Arial"/>
          <w:vertAlign w:val="superscript"/>
          <w:rtl/>
        </w:rPr>
        <w:footnoteReference w:id="3710"/>
      </w:r>
      <w:r w:rsidRPr="001D49D4">
        <w:rPr>
          <w:rFonts w:ascii="Calibri" w:eastAsia="Calibri" w:hAnsi="Calibri" w:cs="Arial"/>
          <w:rtl/>
        </w:rPr>
        <w:t xml:space="preserve">. </w:t>
      </w:r>
    </w:p>
    <w:p w14:paraId="05811ECE" w14:textId="77777777" w:rsidR="001D49D4" w:rsidRPr="001D49D4" w:rsidRDefault="001D49D4" w:rsidP="0004348D">
      <w:pPr>
        <w:spacing w:before="360" w:after="240"/>
        <w:rPr>
          <w:rFonts w:ascii="Calibri" w:eastAsia="Calibri" w:hAnsi="Calibri" w:cs="Arial"/>
          <w:rtl/>
        </w:rPr>
      </w:pPr>
    </w:p>
    <w:p w14:paraId="458789EB" w14:textId="77777777" w:rsidR="001D49D4" w:rsidRPr="001D49D4" w:rsidRDefault="001D49D4" w:rsidP="0004348D">
      <w:pPr>
        <w:keepNext/>
        <w:keepLines/>
        <w:spacing w:before="360" w:after="240"/>
        <w:outlineLvl w:val="1"/>
        <w:rPr>
          <w:rFonts w:ascii="Cambria" w:eastAsia="Times New Roman" w:hAnsi="Cambria" w:cs="Arial"/>
          <w:bCs/>
          <w:color w:val="548DD4" w:themeColor="text2" w:themeTint="99"/>
          <w:sz w:val="26"/>
          <w:szCs w:val="26"/>
          <w:rtl/>
        </w:rPr>
      </w:pPr>
      <w:bookmarkStart w:id="504" w:name="_Toc24883938"/>
      <w:r w:rsidRPr="001D49D4">
        <w:rPr>
          <w:rFonts w:ascii="Cambria" w:eastAsia="Times New Roman" w:hAnsi="Cambria" w:cs="Arial"/>
          <w:bCs/>
          <w:color w:val="548DD4" w:themeColor="text2" w:themeTint="99"/>
          <w:sz w:val="26"/>
          <w:szCs w:val="26"/>
          <w:rtl/>
        </w:rPr>
        <w:t>סעיף ד: קיום בלילה. קיום בפני שני הדיוטות או אחד מומחה.</w:t>
      </w:r>
      <w:bookmarkEnd w:id="504"/>
    </w:p>
    <w:p w14:paraId="7BC2E857" w14:textId="77777777" w:rsidR="001D49D4" w:rsidRPr="001D49D4" w:rsidRDefault="001D49D4" w:rsidP="0004348D">
      <w:pPr>
        <w:spacing w:before="360" w:after="240"/>
        <w:rPr>
          <w:rFonts w:ascii="Calibri" w:eastAsia="Calibri" w:hAnsi="Calibri" w:cs="Arial"/>
          <w:u w:val="single"/>
          <w:rtl/>
        </w:rPr>
      </w:pPr>
      <w:r w:rsidRPr="001D49D4">
        <w:rPr>
          <w:rFonts w:ascii="Calibri" w:eastAsia="Calibri" w:hAnsi="Calibri" w:cs="Arial"/>
          <w:b/>
          <w:bCs/>
          <w:rtl/>
        </w:rPr>
        <w:t xml:space="preserve">סנהדרין </w:t>
      </w:r>
      <w:r w:rsidRPr="001D49D4">
        <w:rPr>
          <w:rFonts w:ascii="Calibri" w:eastAsia="Calibri" w:hAnsi="Calibri" w:cs="Arial"/>
          <w:b/>
          <w:bCs/>
          <w:sz w:val="16"/>
          <w:szCs w:val="16"/>
          <w:rtl/>
        </w:rPr>
        <w:t xml:space="preserve">(ר"פ אחד דיני ממונות) </w:t>
      </w:r>
      <w:r w:rsidRPr="001D49D4">
        <w:rPr>
          <w:rFonts w:ascii="Calibri" w:eastAsia="Calibri" w:hAnsi="Calibri" w:cs="Arial"/>
          <w:b/>
          <w:bCs/>
          <w:rtl/>
        </w:rPr>
        <w:t>לב</w:t>
      </w:r>
      <w:r w:rsidRPr="001D49D4">
        <w:rPr>
          <w:rFonts w:ascii="Calibri" w:eastAsia="Calibri" w:hAnsi="Calibri" w:cs="Arial"/>
          <w:b/>
          <w:bCs/>
          <w:vertAlign w:val="superscript"/>
          <w:rtl/>
        </w:rPr>
        <w:footnoteReference w:id="3711"/>
      </w:r>
      <w:r w:rsidRPr="001D49D4">
        <w:rPr>
          <w:rFonts w:ascii="Calibri" w:eastAsia="Calibri" w:hAnsi="Calibri" w:cs="Arial"/>
          <w:b/>
          <w:bCs/>
          <w:rtl/>
        </w:rPr>
        <w:t xml:space="preserve"> ע"א: </w:t>
      </w:r>
      <w:r w:rsidRPr="001D49D4">
        <w:rPr>
          <w:rFonts w:ascii="Calibri" w:eastAsia="Calibri" w:hAnsi="Calibri" w:cs="Arial"/>
          <w:u w:val="double"/>
          <w:rtl/>
        </w:rPr>
        <w:t>משנה</w:t>
      </w:r>
      <w:r w:rsidRPr="001D49D4">
        <w:rPr>
          <w:rFonts w:ascii="Calibri" w:eastAsia="Calibri" w:hAnsi="Calibri" w:cs="Arial"/>
          <w:rtl/>
        </w:rPr>
        <w:t xml:space="preserve">:... דיני ממונות דנין ביום וגומרין בלילה...    </w:t>
      </w:r>
      <w:r w:rsidRPr="001D49D4">
        <w:rPr>
          <w:rFonts w:ascii="Calibri" w:eastAsia="Calibri" w:hAnsi="Calibri" w:cs="Arial"/>
          <w:u w:val="double"/>
          <w:rtl/>
        </w:rPr>
        <w:t>גמרא</w:t>
      </w:r>
      <w:r w:rsidRPr="001D49D4">
        <w:rPr>
          <w:rFonts w:ascii="Calibri" w:eastAsia="Calibri" w:hAnsi="Calibri" w:cs="Arial"/>
          <w:sz w:val="16"/>
          <w:szCs w:val="16"/>
          <w:u w:val="double"/>
          <w:rtl/>
        </w:rPr>
        <w:t xml:space="preserve"> (לד:)</w:t>
      </w:r>
      <w:r w:rsidRPr="001D49D4">
        <w:rPr>
          <w:rFonts w:ascii="Calibri" w:eastAsia="Calibri" w:hAnsi="Calibri" w:cs="Arial"/>
          <w:u w:val="double"/>
          <w:rtl/>
        </w:rPr>
        <w:t>:</w:t>
      </w:r>
      <w:r w:rsidRPr="001D49D4">
        <w:rPr>
          <w:rFonts w:ascii="Calibri" w:eastAsia="Calibri" w:hAnsi="Calibri" w:cs="Arial"/>
          <w:rtl/>
        </w:rPr>
        <w:t xml:space="preserve"> דיני ממונות דנין ביום וכו'. מנהני מילי? </w:t>
      </w:r>
      <w:r w:rsidRPr="001D49D4">
        <w:rPr>
          <w:rFonts w:ascii="Calibri" w:eastAsia="Calibri" w:hAnsi="Calibri" w:cs="Arial"/>
          <w:u w:val="single"/>
          <w:rtl/>
        </w:rPr>
        <w:t>אמר רבי חייא בר פפא:</w:t>
      </w:r>
      <w:r w:rsidRPr="001D49D4">
        <w:rPr>
          <w:rFonts w:ascii="Calibri" w:eastAsia="Calibri" w:hAnsi="Calibri" w:cs="Arial"/>
          <w:rtl/>
        </w:rPr>
        <w:t xml:space="preserve"> דאמר קרא ושפטו את העם בכל עת. אי הכי, תחלת דין נמי! כדרבא, דרבא רמי: כתיב ושפטו את העם בכל עת וכתיב והיה ביום הנחילו</w:t>
      </w:r>
      <w:r w:rsidRPr="001D49D4">
        <w:rPr>
          <w:rFonts w:ascii="Calibri" w:eastAsia="Calibri" w:hAnsi="Calibri" w:cs="Arial"/>
          <w:vertAlign w:val="superscript"/>
          <w:rtl/>
        </w:rPr>
        <w:footnoteReference w:id="3712"/>
      </w:r>
      <w:r w:rsidRPr="001D49D4">
        <w:rPr>
          <w:rFonts w:ascii="Calibri" w:eastAsia="Calibri" w:hAnsi="Calibri" w:cs="Arial"/>
          <w:rtl/>
        </w:rPr>
        <w:t xml:space="preserve"> את בניו, הא כיצד? יום - לתחלת דין, לילה - לגמר דין</w:t>
      </w:r>
      <w:r w:rsidRPr="001D49D4">
        <w:rPr>
          <w:rFonts w:ascii="Calibri" w:eastAsia="Calibri" w:hAnsi="Calibri" w:cs="Arial"/>
          <w:vertAlign w:val="superscript"/>
          <w:rtl/>
        </w:rPr>
        <w:footnoteReference w:id="3713"/>
      </w:r>
      <w:r w:rsidRPr="001D49D4">
        <w:rPr>
          <w:rFonts w:ascii="Calibri" w:eastAsia="Calibri" w:hAnsi="Calibri" w:cs="Arial"/>
          <w:rtl/>
        </w:rPr>
        <w:t xml:space="preserve">... </w:t>
      </w:r>
    </w:p>
    <w:p w14:paraId="7F5847FD"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u w:val="single"/>
          <w:rtl/>
        </w:rPr>
        <w:t>קיום בלילה:</w:t>
      </w:r>
      <w:r w:rsidRPr="001D49D4">
        <w:rPr>
          <w:rFonts w:ascii="Calibri" w:eastAsia="Calibri" w:hAnsi="Calibri" w:cs="Arial"/>
          <w:rtl/>
        </w:rPr>
        <w:t xml:space="preserve"> </w:t>
      </w:r>
    </w:p>
    <w:p w14:paraId="78CEB4CF" w14:textId="77777777" w:rsidR="001D49D4" w:rsidRPr="001D49D4" w:rsidRDefault="001D49D4" w:rsidP="0004348D">
      <w:pPr>
        <w:numPr>
          <w:ilvl w:val="0"/>
          <w:numId w:val="279"/>
        </w:numPr>
        <w:spacing w:before="360" w:after="240"/>
        <w:contextualSpacing/>
        <w:rPr>
          <w:rtl/>
        </w:rPr>
      </w:pPr>
      <w:r w:rsidRPr="001D49D4">
        <w:rPr>
          <w:rtl/>
        </w:rPr>
        <w:lastRenderedPageBreak/>
        <w:t xml:space="preserve">טור- אין מקיימין אותו בלילה, שהוא כמו דין. </w:t>
      </w:r>
      <w:r w:rsidRPr="001D49D4">
        <w:rPr>
          <w:color w:val="E36C0A" w:themeColor="accent6" w:themeShade="BF"/>
          <w:rtl/>
        </w:rPr>
        <w:t>(וכ"פ בשו"ע)</w:t>
      </w:r>
    </w:p>
    <w:p w14:paraId="2CFB6BCD"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b/>
          <w:bCs/>
          <w:rtl/>
        </w:rPr>
        <w:t xml:space="preserve">כתובות </w:t>
      </w:r>
      <w:r w:rsidRPr="001D49D4">
        <w:rPr>
          <w:rFonts w:ascii="Calibri" w:eastAsia="Calibri" w:hAnsi="Calibri" w:cs="Arial"/>
          <w:b/>
          <w:bCs/>
          <w:sz w:val="16"/>
          <w:szCs w:val="16"/>
          <w:rtl/>
        </w:rPr>
        <w:t xml:space="preserve">(פ"ב) </w:t>
      </w:r>
      <w:r w:rsidRPr="001D49D4">
        <w:rPr>
          <w:rFonts w:ascii="Calibri" w:eastAsia="Calibri" w:hAnsi="Calibri" w:cs="Arial"/>
          <w:b/>
          <w:bCs/>
          <w:rtl/>
        </w:rPr>
        <w:t>כב ע"א:</w:t>
      </w:r>
      <w:r w:rsidRPr="001D49D4">
        <w:rPr>
          <w:rFonts w:ascii="Calibri" w:eastAsia="Calibri" w:hAnsi="Calibri" w:cs="Arial"/>
          <w:rtl/>
        </w:rPr>
        <w:t xml:space="preserve"> </w:t>
      </w:r>
      <w:r w:rsidRPr="001D49D4">
        <w:rPr>
          <w:rFonts w:ascii="Calibri" w:eastAsia="Calibri" w:hAnsi="Calibri" w:cs="Arial"/>
          <w:b/>
          <w:bCs/>
          <w:rtl/>
        </w:rPr>
        <w:t>כב</w:t>
      </w:r>
      <w:r w:rsidRPr="001D49D4">
        <w:rPr>
          <w:rFonts w:ascii="Calibri" w:eastAsia="Calibri" w:hAnsi="Calibri" w:cs="Arial"/>
          <w:b/>
          <w:bCs/>
          <w:vertAlign w:val="superscript"/>
          <w:rtl/>
        </w:rPr>
        <w:footnoteReference w:id="3714"/>
      </w:r>
      <w:r w:rsidRPr="001D49D4">
        <w:rPr>
          <w:rFonts w:ascii="Calibri" w:eastAsia="Calibri" w:hAnsi="Calibri" w:cs="Arial"/>
          <w:b/>
          <w:bCs/>
          <w:rtl/>
        </w:rPr>
        <w:t xml:space="preserve"> ע"א:</w:t>
      </w:r>
      <w:r w:rsidRPr="001D49D4">
        <w:rPr>
          <w:rFonts w:ascii="Calibri" w:eastAsia="Calibri" w:hAnsi="Calibri" w:cs="Arial"/>
          <w:rtl/>
        </w:rPr>
        <w:t xml:space="preserve"> </w:t>
      </w:r>
      <w:r w:rsidRPr="001D49D4">
        <w:rPr>
          <w:rFonts w:ascii="Calibri" w:eastAsia="Calibri" w:hAnsi="Calibri" w:cs="Arial"/>
          <w:u w:val="single"/>
          <w:rtl/>
        </w:rPr>
        <w:t>א"ר זירא</w:t>
      </w:r>
      <w:r w:rsidRPr="001D49D4">
        <w:rPr>
          <w:rFonts w:ascii="Calibri" w:eastAsia="Calibri" w:hAnsi="Calibri" w:cs="Arial"/>
          <w:rtl/>
        </w:rPr>
        <w:t xml:space="preserve">: הא מלתא מרבי אבא שמיע לי, ואי לאו רבי אבא דמן עכו שכחתה: ג' שישבו לקיים את השטר ומת אחד מהם, צריכין למיכתב במותב תלתא הוינא וחד ליתוהי. </w:t>
      </w:r>
      <w:r w:rsidRPr="001D49D4">
        <w:rPr>
          <w:rFonts w:ascii="Calibri" w:eastAsia="Calibri" w:hAnsi="Calibri" w:cs="Arial"/>
          <w:u w:val="single"/>
          <w:rtl/>
        </w:rPr>
        <w:t>אמר רב נחמן בר יצחק</w:t>
      </w:r>
      <w:r w:rsidRPr="001D49D4">
        <w:rPr>
          <w:rFonts w:ascii="Calibri" w:eastAsia="Calibri" w:hAnsi="Calibri" w:cs="Arial"/>
          <w:rtl/>
        </w:rPr>
        <w:t>: ואי כתב ביה שטרא דנן נפק לקדמנא בי דינא, תו לא צריך. ודלמא בית דין חצוף הוא! וכדשמואל, דאמר שמואל: שנים שדנו - דיניהם דין, אלא שנקרא ב"ד חצוף! דכתיב ביה בי דינא דרבנא אשי. ודלמא רבנן דבי רב אשי כדשמואל סבירא להו! דכתיב ביה ואמר לנא רבנא אשי.</w:t>
      </w:r>
    </w:p>
    <w:p w14:paraId="44636207" w14:textId="77777777" w:rsidR="001D49D4" w:rsidRPr="001D49D4" w:rsidRDefault="001D49D4" w:rsidP="0004348D">
      <w:pPr>
        <w:spacing w:before="360" w:after="240"/>
        <w:rPr>
          <w:rFonts w:ascii="Calibri" w:eastAsia="Calibri" w:hAnsi="Calibri" w:cs="Arial"/>
          <w:u w:val="single"/>
          <w:rtl/>
        </w:rPr>
      </w:pPr>
      <w:r w:rsidRPr="001D49D4">
        <w:rPr>
          <w:rFonts w:ascii="Calibri" w:eastAsia="Calibri" w:hAnsi="Calibri" w:cs="Arial"/>
          <w:u w:val="single"/>
          <w:rtl/>
        </w:rPr>
        <w:t xml:space="preserve">קיום בפני שניים: </w:t>
      </w:r>
    </w:p>
    <w:p w14:paraId="33B4761E" w14:textId="77777777" w:rsidR="001D49D4" w:rsidRPr="001D49D4" w:rsidRDefault="001D49D4" w:rsidP="0004348D">
      <w:pPr>
        <w:numPr>
          <w:ilvl w:val="0"/>
          <w:numId w:val="279"/>
        </w:numPr>
        <w:spacing w:before="360" w:after="240"/>
        <w:contextualSpacing/>
      </w:pPr>
      <w:r w:rsidRPr="001D49D4">
        <w:rPr>
          <w:rtl/>
        </w:rPr>
        <w:t xml:space="preserve">נמוק"י </w:t>
      </w:r>
      <w:r w:rsidRPr="001D49D4">
        <w:rPr>
          <w:sz w:val="16"/>
          <w:szCs w:val="16"/>
          <w:rtl/>
        </w:rPr>
        <w:t>(פרק חזקת כא.)</w:t>
      </w:r>
      <w:r w:rsidRPr="001D49D4">
        <w:rPr>
          <w:rtl/>
        </w:rPr>
        <w:t>- אם אינם אלא שנים דומה לשנים שמעידים ששמעו מפי עדים דהא ודאי אינו כלום דעד מפי עד הוא, אבל כשהם שלשה הוא בית דין ודומה לפסק דין</w:t>
      </w:r>
      <w:r w:rsidRPr="001D49D4">
        <w:rPr>
          <w:vertAlign w:val="superscript"/>
          <w:rtl/>
        </w:rPr>
        <w:footnoteReference w:id="3715"/>
      </w:r>
      <w:r w:rsidRPr="001D49D4">
        <w:rPr>
          <w:rtl/>
        </w:rPr>
        <w:t xml:space="preserve">. </w:t>
      </w:r>
      <w:r w:rsidRPr="001D49D4">
        <w:rPr>
          <w:color w:val="00B0F0"/>
          <w:rtl/>
        </w:rPr>
        <w:t>(וכ"פ הרמ"א)</w:t>
      </w:r>
    </w:p>
    <w:p w14:paraId="2D2432FE" w14:textId="77777777" w:rsidR="001D49D4" w:rsidRPr="001D49D4" w:rsidRDefault="001D49D4" w:rsidP="0004348D">
      <w:pPr>
        <w:spacing w:before="360" w:after="240"/>
        <w:rPr>
          <w:rFonts w:ascii="Calibri" w:eastAsia="Calibri" w:hAnsi="Calibri" w:cs="Arial"/>
          <w:u w:val="single"/>
        </w:rPr>
      </w:pPr>
      <w:r w:rsidRPr="001D49D4">
        <w:rPr>
          <w:rFonts w:ascii="Calibri" w:eastAsia="Calibri" w:hAnsi="Calibri" w:cs="Arial"/>
          <w:u w:val="single"/>
          <w:rtl/>
        </w:rPr>
        <w:t>קיום בפני רב התופש בישיבה:</w:t>
      </w:r>
    </w:p>
    <w:p w14:paraId="60C508CC" w14:textId="77777777" w:rsidR="001D49D4" w:rsidRPr="001D49D4" w:rsidRDefault="001D49D4" w:rsidP="0004348D">
      <w:pPr>
        <w:numPr>
          <w:ilvl w:val="0"/>
          <w:numId w:val="279"/>
        </w:numPr>
        <w:spacing w:before="360" w:after="240"/>
        <w:contextualSpacing/>
      </w:pPr>
      <w:r w:rsidRPr="001D49D4">
        <w:rPr>
          <w:rtl/>
        </w:rPr>
        <w:t xml:space="preserve">תרוה"ד </w:t>
      </w:r>
      <w:r w:rsidRPr="001D49D4">
        <w:rPr>
          <w:sz w:val="16"/>
          <w:szCs w:val="16"/>
          <w:rtl/>
        </w:rPr>
        <w:t>(סי' שלב)</w:t>
      </w:r>
      <w:r w:rsidRPr="001D49D4">
        <w:rPr>
          <w:rtl/>
        </w:rPr>
        <w:t xml:space="preserve">- רב היושב בישיבה שקיים שטר ביחידי אי אתי בעל דין ומערער - יכול להיות דלא מהני. אמנם, מנהג פשוט הוא לתופשי ישיבה שחותמין ביחיד לקיים שטרות. ואיפשר דכה"ג מנהג מבטל הלכה </w:t>
      </w:r>
      <w:r w:rsidRPr="001D49D4">
        <w:rPr>
          <w:sz w:val="16"/>
          <w:szCs w:val="16"/>
          <w:rtl/>
        </w:rPr>
        <w:t xml:space="preserve">(מסכת סופרים פי"ד הי"ח) </w:t>
      </w:r>
      <w:r w:rsidRPr="001D49D4">
        <w:rPr>
          <w:rtl/>
        </w:rPr>
        <w:t>בדבר שבממון</w:t>
      </w:r>
      <w:r w:rsidRPr="001D49D4">
        <w:rPr>
          <w:vertAlign w:val="superscript"/>
          <w:rtl/>
        </w:rPr>
        <w:footnoteReference w:id="3716"/>
      </w:r>
      <w:r w:rsidRPr="001D49D4">
        <w:rPr>
          <w:rtl/>
        </w:rPr>
        <w:t xml:space="preserve">. </w:t>
      </w:r>
      <w:r w:rsidRPr="001D49D4">
        <w:rPr>
          <w:color w:val="00B0F0"/>
          <w:rtl/>
        </w:rPr>
        <w:t>(וכ"פ הרמ"א)</w:t>
      </w:r>
    </w:p>
    <w:p w14:paraId="01EF61BD" w14:textId="77777777" w:rsidR="001D49D4" w:rsidRPr="001D49D4" w:rsidRDefault="001D49D4" w:rsidP="0004348D">
      <w:pPr>
        <w:spacing w:before="360" w:after="240"/>
        <w:rPr>
          <w:rFonts w:ascii="Arial" w:eastAsia="Calibri" w:hAnsi="Arial" w:cs="Arial"/>
          <w:b/>
          <w:bCs/>
          <w:color w:val="000000"/>
          <w:sz w:val="28"/>
          <w:szCs w:val="28"/>
          <w:u w:val="single"/>
        </w:rPr>
      </w:pPr>
      <w:r w:rsidRPr="001D49D4">
        <w:rPr>
          <w:rFonts w:ascii="Arial" w:eastAsia="Calibri" w:hAnsi="Arial" w:cs="Arial"/>
          <w:b/>
          <w:bCs/>
          <w:color w:val="000000"/>
          <w:sz w:val="28"/>
          <w:szCs w:val="28"/>
          <w:u w:val="single"/>
          <w:rtl/>
        </w:rPr>
        <w:t>שו"ע:</w:t>
      </w:r>
    </w:p>
    <w:p w14:paraId="57854B27"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rtl/>
        </w:rPr>
        <w:t>אין מקיימים שטרות אלא בשלשה, מפני שהוא דין. ולפיכך אין מקיימים שטרות בלילה</w:t>
      </w:r>
      <w:r w:rsidRPr="001D49D4">
        <w:rPr>
          <w:rFonts w:ascii="Calibri" w:eastAsia="Calibri" w:hAnsi="Calibri" w:cs="Arial"/>
          <w:vertAlign w:val="superscript"/>
          <w:rtl/>
        </w:rPr>
        <w:footnoteReference w:id="3717"/>
      </w:r>
      <w:r w:rsidRPr="001D49D4">
        <w:rPr>
          <w:rFonts w:ascii="Calibri" w:eastAsia="Calibri" w:hAnsi="Calibri" w:cs="Arial"/>
          <w:rtl/>
        </w:rPr>
        <w:t xml:space="preserve">. </w:t>
      </w:r>
      <w:r w:rsidRPr="001D49D4">
        <w:rPr>
          <w:rFonts w:ascii="Calibri" w:eastAsia="Calibri" w:hAnsi="Calibri" w:cs="Arial"/>
          <w:sz w:val="18"/>
          <w:szCs w:val="18"/>
          <w:rtl/>
        </w:rPr>
        <w:t>הגה: ואם קיימו בשנים לא הוי קיום</w:t>
      </w:r>
      <w:r w:rsidRPr="001D49D4">
        <w:rPr>
          <w:rFonts w:ascii="Calibri" w:eastAsia="Calibri" w:hAnsi="Calibri" w:cs="Arial"/>
          <w:sz w:val="18"/>
          <w:szCs w:val="18"/>
          <w:vertAlign w:val="superscript"/>
          <w:rtl/>
        </w:rPr>
        <w:footnoteReference w:id="3718"/>
      </w:r>
      <w:r w:rsidRPr="001D49D4">
        <w:rPr>
          <w:rFonts w:ascii="Calibri" w:eastAsia="Calibri" w:hAnsi="Calibri" w:cs="Arial"/>
          <w:sz w:val="18"/>
          <w:szCs w:val="18"/>
          <w:rtl/>
        </w:rPr>
        <w:t xml:space="preserve"> </w:t>
      </w:r>
      <w:r w:rsidRPr="001D49D4">
        <w:rPr>
          <w:rFonts w:ascii="Calibri" w:eastAsia="Calibri" w:hAnsi="Calibri" w:cs="Arial"/>
          <w:sz w:val="16"/>
          <w:szCs w:val="16"/>
          <w:rtl/>
        </w:rPr>
        <w:t>(מרדכי הגמ"ר ונמוק"י)</w:t>
      </w:r>
      <w:r w:rsidRPr="001D49D4">
        <w:rPr>
          <w:rFonts w:ascii="Calibri" w:eastAsia="Calibri" w:hAnsi="Calibri" w:cs="Arial"/>
          <w:sz w:val="18"/>
          <w:szCs w:val="18"/>
          <w:rtl/>
        </w:rPr>
        <w:t xml:space="preserve">. ויש מי שכתב מאחר שנהגו שהרב התופס ישיבה מקיים ביחידי, מנהג כזה מבטל הלכה </w:t>
      </w:r>
      <w:r w:rsidRPr="001D49D4">
        <w:rPr>
          <w:rFonts w:ascii="Calibri" w:eastAsia="Calibri" w:hAnsi="Calibri" w:cs="Arial"/>
          <w:sz w:val="16"/>
          <w:szCs w:val="16"/>
          <w:rtl/>
        </w:rPr>
        <w:t>(תרוה"ד סי' שלב)</w:t>
      </w:r>
      <w:r w:rsidRPr="001D49D4">
        <w:rPr>
          <w:rFonts w:ascii="Calibri" w:eastAsia="Calibri" w:hAnsi="Calibri" w:cs="Arial"/>
          <w:sz w:val="18"/>
          <w:szCs w:val="18"/>
          <w:rtl/>
        </w:rPr>
        <w:t>, וכן המנהג פשוט במדינות אלו. ונראה לי הטעם דסבירא לן לענין קיום שטרות דרבנן דיחיד מומחה דינו כג' הדיוטות ומיקרי ב"ד</w:t>
      </w:r>
      <w:r w:rsidRPr="001D49D4">
        <w:rPr>
          <w:rFonts w:ascii="Calibri" w:eastAsia="Calibri" w:hAnsi="Calibri" w:cs="Arial"/>
          <w:sz w:val="18"/>
          <w:szCs w:val="18"/>
          <w:vertAlign w:val="superscript"/>
          <w:rtl/>
        </w:rPr>
        <w:footnoteReference w:id="3719"/>
      </w:r>
      <w:r w:rsidRPr="001D49D4">
        <w:rPr>
          <w:rFonts w:ascii="Calibri" w:eastAsia="Calibri" w:hAnsi="Calibri" w:cs="Arial"/>
          <w:sz w:val="18"/>
          <w:szCs w:val="18"/>
          <w:rtl/>
        </w:rPr>
        <w:t>, כמו שנתבאר לעיל סימן ג' וכ"ה, ואע"ג דאין יחיד מומחה בזמן הזה</w:t>
      </w:r>
      <w:r w:rsidRPr="001D49D4">
        <w:rPr>
          <w:rFonts w:ascii="Calibri" w:eastAsia="Calibri" w:hAnsi="Calibri" w:cs="Arial"/>
          <w:sz w:val="18"/>
          <w:szCs w:val="18"/>
          <w:vertAlign w:val="superscript"/>
          <w:rtl/>
        </w:rPr>
        <w:footnoteReference w:id="3720"/>
      </w:r>
      <w:r w:rsidRPr="001D49D4">
        <w:rPr>
          <w:rFonts w:ascii="Calibri" w:eastAsia="Calibri" w:hAnsi="Calibri" w:cs="Arial"/>
          <w:sz w:val="18"/>
          <w:szCs w:val="18"/>
          <w:rtl/>
        </w:rPr>
        <w:t>, מ"מ לענין קיום שטרות דרבנן יש לסמוך עליו, כן נראה לי טעם המנהג</w:t>
      </w:r>
      <w:r w:rsidRPr="001D49D4">
        <w:rPr>
          <w:rFonts w:ascii="Calibri" w:eastAsia="Calibri" w:hAnsi="Calibri" w:cs="Arial"/>
          <w:sz w:val="18"/>
          <w:szCs w:val="18"/>
          <w:vertAlign w:val="superscript"/>
          <w:rtl/>
        </w:rPr>
        <w:footnoteReference w:id="3721"/>
      </w:r>
      <w:r w:rsidRPr="001D49D4">
        <w:rPr>
          <w:rFonts w:ascii="Calibri" w:eastAsia="Calibri" w:hAnsi="Calibri" w:cs="Arial"/>
          <w:sz w:val="18"/>
          <w:szCs w:val="18"/>
          <w:rtl/>
        </w:rPr>
        <w:t>.</w:t>
      </w:r>
      <w:r w:rsidRPr="001D49D4">
        <w:rPr>
          <w:rFonts w:ascii="Calibri" w:eastAsia="Calibri" w:hAnsi="Calibri" w:cs="Arial"/>
          <w:rtl/>
        </w:rPr>
        <w:t xml:space="preserve"> </w:t>
      </w:r>
    </w:p>
    <w:p w14:paraId="2FA0F98D" w14:textId="77777777" w:rsidR="001D49D4" w:rsidRPr="001D49D4" w:rsidRDefault="001D49D4" w:rsidP="0004348D">
      <w:pPr>
        <w:spacing w:before="360" w:after="240"/>
        <w:rPr>
          <w:rFonts w:ascii="Calibri" w:eastAsia="Calibri" w:hAnsi="Calibri" w:cs="Arial"/>
          <w:u w:val="single"/>
          <w:rtl/>
        </w:rPr>
      </w:pPr>
      <w:r w:rsidRPr="001D49D4">
        <w:rPr>
          <w:rFonts w:ascii="Calibri" w:eastAsia="Calibri" w:hAnsi="Calibri" w:cs="Arial"/>
          <w:u w:val="single"/>
          <w:rtl/>
        </w:rPr>
        <w:lastRenderedPageBreak/>
        <w:t>מה הדין אם קיימו את השטר בלילה בדיעבד:</w:t>
      </w:r>
    </w:p>
    <w:p w14:paraId="4D9273A8" w14:textId="77777777" w:rsidR="001D49D4" w:rsidRPr="001D49D4" w:rsidRDefault="001D49D4" w:rsidP="0004348D">
      <w:pPr>
        <w:numPr>
          <w:ilvl w:val="0"/>
          <w:numId w:val="279"/>
        </w:numPr>
        <w:spacing w:before="360" w:after="240"/>
        <w:contextualSpacing/>
        <w:rPr>
          <w:rtl/>
        </w:rPr>
      </w:pPr>
      <w:r w:rsidRPr="001D49D4">
        <w:rPr>
          <w:rtl/>
        </w:rPr>
        <w:t xml:space="preserve">ש"ך </w:t>
      </w:r>
      <w:r w:rsidRPr="001D49D4">
        <w:rPr>
          <w:sz w:val="16"/>
          <w:szCs w:val="16"/>
          <w:rtl/>
        </w:rPr>
        <w:t>(סק"ה)</w:t>
      </w:r>
      <w:r w:rsidRPr="001D49D4">
        <w:rPr>
          <w:rtl/>
        </w:rPr>
        <w:t xml:space="preserve">- אפילו קיימוהו בדיעבד - לא הוי קיום, כדלעיל סימן ה' סע' ב' גבי דין. ואין חילוק בזה בין שטרות לגט אפילו במקום עיגון, כ"כ בתשובות רבי אליהו מזרחי </w:t>
      </w:r>
      <w:r w:rsidRPr="001D49D4">
        <w:rPr>
          <w:sz w:val="16"/>
          <w:szCs w:val="16"/>
          <w:rtl/>
        </w:rPr>
        <w:t>(סי' פד)</w:t>
      </w:r>
      <w:r w:rsidRPr="001D49D4">
        <w:rPr>
          <w:rtl/>
        </w:rPr>
        <w:t>.</w:t>
      </w:r>
    </w:p>
    <w:p w14:paraId="066BE148" w14:textId="77777777" w:rsidR="001D49D4" w:rsidRPr="001D49D4" w:rsidRDefault="001D49D4" w:rsidP="0004348D">
      <w:pPr>
        <w:spacing w:before="360" w:after="240"/>
        <w:rPr>
          <w:rFonts w:ascii="Calibri" w:eastAsia="Calibri" w:hAnsi="Calibri" w:cs="Arial"/>
          <w:rtl/>
        </w:rPr>
      </w:pPr>
    </w:p>
    <w:p w14:paraId="73AE342F" w14:textId="77777777" w:rsidR="001D49D4" w:rsidRPr="001D49D4" w:rsidRDefault="001D49D4" w:rsidP="0004348D">
      <w:pPr>
        <w:keepNext/>
        <w:keepLines/>
        <w:spacing w:before="360" w:after="240"/>
        <w:outlineLvl w:val="1"/>
        <w:rPr>
          <w:rFonts w:ascii="Cambria" w:eastAsia="Times New Roman" w:hAnsi="Cambria" w:cs="Arial"/>
          <w:bCs/>
          <w:color w:val="548DD4" w:themeColor="text2" w:themeTint="99"/>
          <w:sz w:val="26"/>
          <w:szCs w:val="26"/>
          <w:rtl/>
        </w:rPr>
      </w:pPr>
      <w:bookmarkStart w:id="505" w:name="_Toc24883939"/>
      <w:r w:rsidRPr="001D49D4">
        <w:rPr>
          <w:rFonts w:ascii="Cambria" w:eastAsia="Times New Roman" w:hAnsi="Cambria" w:cs="Arial"/>
          <w:bCs/>
          <w:color w:val="548DD4" w:themeColor="text2" w:themeTint="99"/>
          <w:sz w:val="26"/>
          <w:szCs w:val="26"/>
          <w:rtl/>
        </w:rPr>
        <w:t>סעיף ה: קיום שטר שלא בפני בעל דין.</w:t>
      </w:r>
      <w:bookmarkEnd w:id="505"/>
    </w:p>
    <w:p w14:paraId="7D14F5A4"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b/>
          <w:bCs/>
          <w:rtl/>
        </w:rPr>
        <w:t xml:space="preserve">בבא קמא </w:t>
      </w:r>
      <w:r w:rsidRPr="001D49D4">
        <w:rPr>
          <w:rFonts w:ascii="Calibri" w:eastAsia="Calibri" w:hAnsi="Calibri" w:cs="Arial"/>
          <w:b/>
          <w:bCs/>
          <w:sz w:val="16"/>
          <w:szCs w:val="16"/>
          <w:rtl/>
        </w:rPr>
        <w:t xml:space="preserve">(פרק הגוזל ומאכיל) </w:t>
      </w:r>
      <w:r w:rsidRPr="001D49D4">
        <w:rPr>
          <w:rFonts w:ascii="Calibri" w:eastAsia="Calibri" w:hAnsi="Calibri" w:cs="Arial"/>
          <w:b/>
          <w:bCs/>
          <w:rtl/>
        </w:rPr>
        <w:t>קיב</w:t>
      </w:r>
      <w:r w:rsidRPr="001D49D4">
        <w:rPr>
          <w:rFonts w:ascii="Calibri" w:eastAsia="Calibri" w:hAnsi="Calibri" w:cs="Arial"/>
          <w:b/>
          <w:bCs/>
          <w:vertAlign w:val="superscript"/>
          <w:rtl/>
        </w:rPr>
        <w:footnoteReference w:id="3722"/>
      </w:r>
      <w:r w:rsidRPr="001D49D4">
        <w:rPr>
          <w:rFonts w:ascii="Calibri" w:eastAsia="Calibri" w:hAnsi="Calibri" w:cs="Arial"/>
          <w:b/>
          <w:bCs/>
          <w:rtl/>
        </w:rPr>
        <w:t xml:space="preserve"> ע"ב:</w:t>
      </w:r>
      <w:r w:rsidRPr="001D49D4">
        <w:rPr>
          <w:rFonts w:ascii="Calibri" w:eastAsia="Calibri" w:hAnsi="Calibri" w:cs="Arial"/>
          <w:rtl/>
        </w:rPr>
        <w:t xml:space="preserve"> </w:t>
      </w:r>
      <w:r w:rsidRPr="001D49D4">
        <w:rPr>
          <w:rFonts w:ascii="Calibri" w:eastAsia="Calibri" w:hAnsi="Calibri" w:cs="Arial"/>
          <w:u w:val="single"/>
          <w:rtl/>
        </w:rPr>
        <w:t>אמר רב</w:t>
      </w:r>
      <w:r w:rsidRPr="001D49D4">
        <w:rPr>
          <w:rFonts w:ascii="Calibri" w:eastAsia="Calibri" w:hAnsi="Calibri" w:cs="Arial"/>
          <w:rtl/>
        </w:rPr>
        <w:t xml:space="preserve">: מקיימין את השטר שלא בפני בעל דין. </w:t>
      </w:r>
      <w:r w:rsidRPr="001D49D4">
        <w:rPr>
          <w:rFonts w:ascii="Calibri" w:eastAsia="Calibri" w:hAnsi="Calibri" w:cs="Arial"/>
          <w:u w:val="single"/>
          <w:rtl/>
        </w:rPr>
        <w:t>ור' יוחנן אמר</w:t>
      </w:r>
      <w:r w:rsidRPr="001D49D4">
        <w:rPr>
          <w:rFonts w:ascii="Calibri" w:eastAsia="Calibri" w:hAnsi="Calibri" w:cs="Arial"/>
          <w:rtl/>
        </w:rPr>
        <w:t xml:space="preserve">: אין מקיימין את השטר שלא בפני בעל דין. </w:t>
      </w:r>
      <w:r w:rsidRPr="001D49D4">
        <w:rPr>
          <w:rFonts w:ascii="Calibri" w:eastAsia="Calibri" w:hAnsi="Calibri" w:cs="Arial"/>
          <w:u w:val="single"/>
          <w:rtl/>
        </w:rPr>
        <w:t>א"ל רב ששת לרבי יוסי בר אבהו</w:t>
      </w:r>
      <w:r w:rsidRPr="001D49D4">
        <w:rPr>
          <w:rFonts w:ascii="Calibri" w:eastAsia="Calibri" w:hAnsi="Calibri" w:cs="Arial"/>
          <w:rtl/>
        </w:rPr>
        <w:t xml:space="preserve">: אסברה לך טעמיה דרבי יוחנן, אמר קרא: והועד בבעליו ולא ישמרנו, אמרה תורה: יבא בעל השור ויעמוד על שורו. </w:t>
      </w:r>
      <w:r w:rsidRPr="001D49D4">
        <w:rPr>
          <w:rFonts w:ascii="Calibri" w:eastAsia="Calibri" w:hAnsi="Calibri" w:cs="Arial"/>
          <w:u w:val="single"/>
          <w:rtl/>
        </w:rPr>
        <w:t>אמר רבא</w:t>
      </w:r>
      <w:r w:rsidRPr="001D49D4">
        <w:rPr>
          <w:rFonts w:ascii="Calibri" w:eastAsia="Calibri" w:hAnsi="Calibri" w:cs="Arial"/>
          <w:rtl/>
        </w:rPr>
        <w:t>: הלכתא, מקיימין את השטר שלא בפני בעל דין, ואפי' עומד</w:t>
      </w:r>
      <w:r w:rsidRPr="001D49D4">
        <w:rPr>
          <w:rFonts w:ascii="Calibri" w:eastAsia="Calibri" w:hAnsi="Calibri" w:cs="Arial"/>
          <w:vertAlign w:val="superscript"/>
          <w:rtl/>
        </w:rPr>
        <w:footnoteReference w:id="3723"/>
      </w:r>
      <w:r w:rsidRPr="001D49D4">
        <w:rPr>
          <w:rFonts w:ascii="Calibri" w:eastAsia="Calibri" w:hAnsi="Calibri" w:cs="Arial"/>
          <w:rtl/>
        </w:rPr>
        <w:t xml:space="preserve"> וצווח. </w:t>
      </w:r>
    </w:p>
    <w:p w14:paraId="28209D79" w14:textId="77777777" w:rsidR="001D49D4" w:rsidRPr="001D49D4" w:rsidRDefault="001D49D4" w:rsidP="0004348D">
      <w:pPr>
        <w:spacing w:before="360" w:after="240"/>
        <w:rPr>
          <w:rFonts w:ascii="Calibri" w:eastAsia="Calibri" w:hAnsi="Calibri" w:cs="Arial"/>
          <w:u w:val="single"/>
          <w:rtl/>
        </w:rPr>
      </w:pPr>
      <w:r w:rsidRPr="001D49D4">
        <w:rPr>
          <w:rFonts w:ascii="Calibri" w:eastAsia="Calibri" w:hAnsi="Calibri" w:cs="Arial"/>
          <w:u w:val="single"/>
          <w:rtl/>
        </w:rPr>
        <w:t>באיזה עניין אמר רב דמקיימין את השטר שלא בפני בעל דין:</w:t>
      </w:r>
    </w:p>
    <w:p w14:paraId="0645FF68" w14:textId="77777777" w:rsidR="001D49D4" w:rsidRPr="001D49D4" w:rsidRDefault="001D49D4" w:rsidP="0004348D">
      <w:pPr>
        <w:numPr>
          <w:ilvl w:val="0"/>
          <w:numId w:val="279"/>
        </w:numPr>
        <w:spacing w:before="360" w:after="240"/>
        <w:contextualSpacing/>
        <w:rPr>
          <w:rtl/>
        </w:rPr>
      </w:pPr>
      <w:r w:rsidRPr="001D49D4">
        <w:rPr>
          <w:rtl/>
        </w:rPr>
        <w:t xml:space="preserve">רש"י </w:t>
      </w:r>
      <w:r w:rsidRPr="001D49D4">
        <w:rPr>
          <w:sz w:val="16"/>
          <w:szCs w:val="16"/>
          <w:rtl/>
        </w:rPr>
        <w:t>(ד"ה מקיימים את השטר)</w:t>
      </w:r>
      <w:r w:rsidRPr="001D49D4">
        <w:rPr>
          <w:rtl/>
        </w:rPr>
        <w:t>- כגון שהיו עדים החתומים מבקשים לילך למדינת הים</w:t>
      </w:r>
      <w:r w:rsidRPr="001D49D4">
        <w:rPr>
          <w:vertAlign w:val="superscript"/>
          <w:rtl/>
        </w:rPr>
        <w:footnoteReference w:id="3724"/>
      </w:r>
      <w:r w:rsidRPr="001D49D4">
        <w:rPr>
          <w:rtl/>
        </w:rPr>
        <w:t>.</w:t>
      </w:r>
    </w:p>
    <w:p w14:paraId="4663E118" w14:textId="77777777" w:rsidR="001D49D4" w:rsidRPr="001D49D4" w:rsidRDefault="001D49D4" w:rsidP="0004348D">
      <w:pPr>
        <w:numPr>
          <w:ilvl w:val="0"/>
          <w:numId w:val="279"/>
        </w:numPr>
        <w:spacing w:before="360" w:after="240"/>
        <w:contextualSpacing/>
        <w:rPr>
          <w:rtl/>
        </w:rPr>
      </w:pPr>
      <w:r w:rsidRPr="001D49D4">
        <w:rPr>
          <w:rtl/>
        </w:rPr>
        <w:t xml:space="preserve">ר"י </w:t>
      </w:r>
      <w:r w:rsidRPr="001D49D4">
        <w:rPr>
          <w:sz w:val="16"/>
          <w:szCs w:val="16"/>
          <w:rtl/>
        </w:rPr>
        <w:t>(בתוס' ד"ה מקיימין)</w:t>
      </w:r>
      <w:r w:rsidRPr="001D49D4">
        <w:rPr>
          <w:rtl/>
        </w:rPr>
        <w:t>- בכל ענין קאמר דמקיימין, דקיום שטרות דרבנן</w:t>
      </w:r>
      <w:r w:rsidRPr="001D49D4">
        <w:rPr>
          <w:sz w:val="16"/>
          <w:szCs w:val="16"/>
          <w:rtl/>
        </w:rPr>
        <w:t xml:space="preserve"> (כתובות כח.), </w:t>
      </w:r>
      <w:r w:rsidRPr="001D49D4">
        <w:rPr>
          <w:rtl/>
        </w:rPr>
        <w:t xml:space="preserve">דעדים החתומים על השטר כמי שנחקרה עדותן דמי </w:t>
      </w:r>
      <w:r w:rsidRPr="001D49D4">
        <w:rPr>
          <w:sz w:val="16"/>
          <w:szCs w:val="16"/>
          <w:rtl/>
        </w:rPr>
        <w:t xml:space="preserve">(שם יח:) </w:t>
      </w:r>
      <w:r w:rsidRPr="001D49D4">
        <w:rPr>
          <w:rtl/>
        </w:rPr>
        <w:t>ואין צריך קיום, ומדרבנן הוא דצריך, הלכך מקיימים שלא בפני בעל דין</w:t>
      </w:r>
      <w:r w:rsidRPr="001D49D4">
        <w:rPr>
          <w:vertAlign w:val="superscript"/>
          <w:rtl/>
        </w:rPr>
        <w:footnoteReference w:id="3725"/>
      </w:r>
      <w:r w:rsidRPr="001D49D4">
        <w:rPr>
          <w:rtl/>
        </w:rPr>
        <w:t>.</w:t>
      </w:r>
    </w:p>
    <w:p w14:paraId="00BF24EC" w14:textId="77777777" w:rsidR="001D49D4" w:rsidRPr="001D49D4" w:rsidRDefault="001D49D4" w:rsidP="0004348D">
      <w:pPr>
        <w:spacing w:before="360" w:after="240"/>
        <w:ind w:left="360"/>
        <w:rPr>
          <w:rFonts w:ascii="Calibri" w:eastAsia="Calibri" w:hAnsi="Calibri" w:cs="Arial"/>
          <w:u w:val="dotted"/>
          <w:rtl/>
        </w:rPr>
      </w:pPr>
      <w:r w:rsidRPr="001D49D4">
        <w:rPr>
          <w:rFonts w:ascii="Calibri" w:eastAsia="Calibri" w:hAnsi="Calibri" w:cs="Arial"/>
          <w:u w:val="dotted"/>
          <w:rtl/>
        </w:rPr>
        <w:t>כיצד נפסק למעשה:</w:t>
      </w:r>
    </w:p>
    <w:p w14:paraId="3FF824FC" w14:textId="77777777" w:rsidR="001D49D4" w:rsidRPr="001D49D4" w:rsidRDefault="001D49D4" w:rsidP="0004348D">
      <w:pPr>
        <w:numPr>
          <w:ilvl w:val="0"/>
          <w:numId w:val="279"/>
        </w:numPr>
        <w:spacing w:before="360" w:after="240"/>
        <w:contextualSpacing/>
      </w:pPr>
      <w:r w:rsidRPr="001D49D4">
        <w:rPr>
          <w:rtl/>
        </w:rPr>
        <w:t>טור- מקיימין אותו אפילו שלא בפני בעל דין ואפי' עומד וצווח 'מזוייף הוא אל תקיימוהו' אין שומעין לו דקל הוא שהקילו חכמים בקיום שטרות דעדים החתומים על השטר נעשה כמי שנחקרה עדותן בב"ד דמי</w:t>
      </w:r>
      <w:r w:rsidRPr="001D49D4">
        <w:rPr>
          <w:vertAlign w:val="superscript"/>
          <w:rtl/>
        </w:rPr>
        <w:footnoteReference w:id="3726"/>
      </w:r>
      <w:r w:rsidRPr="001D49D4">
        <w:rPr>
          <w:rtl/>
        </w:rPr>
        <w:t xml:space="preserve">. </w:t>
      </w:r>
      <w:r w:rsidRPr="001D49D4">
        <w:rPr>
          <w:color w:val="E36C0A" w:themeColor="accent6" w:themeShade="BF"/>
          <w:rtl/>
        </w:rPr>
        <w:t>(וכ"פ בשו"ע)</w:t>
      </w:r>
    </w:p>
    <w:p w14:paraId="2DAFBAAE" w14:textId="77777777" w:rsidR="001D49D4" w:rsidRPr="001D49D4" w:rsidRDefault="001D49D4" w:rsidP="0004348D">
      <w:pPr>
        <w:spacing w:before="360" w:after="240"/>
        <w:rPr>
          <w:rFonts w:ascii="Calibri" w:eastAsia="Calibri" w:hAnsi="Calibri" w:cs="Arial"/>
          <w:u w:val="single"/>
        </w:rPr>
      </w:pPr>
      <w:r w:rsidRPr="001D49D4">
        <w:rPr>
          <w:rFonts w:ascii="Calibri" w:eastAsia="Calibri" w:hAnsi="Calibri" w:cs="Arial"/>
          <w:u w:val="single"/>
          <w:rtl/>
        </w:rPr>
        <w:t>האם אמרינן שצריך קיום מדאורייתא במקרים הבאים:</w:t>
      </w:r>
    </w:p>
    <w:p w14:paraId="49997010" w14:textId="77777777" w:rsidR="001D49D4" w:rsidRPr="001D49D4" w:rsidRDefault="001D49D4" w:rsidP="0004348D">
      <w:pPr>
        <w:spacing w:before="360" w:after="240"/>
        <w:ind w:left="360"/>
        <w:rPr>
          <w:rFonts w:ascii="Calibri" w:eastAsia="Calibri" w:hAnsi="Calibri" w:cs="Arial"/>
          <w:u w:val="dotted"/>
          <w:rtl/>
        </w:rPr>
      </w:pPr>
      <w:r w:rsidRPr="001D49D4">
        <w:rPr>
          <w:rFonts w:ascii="Calibri" w:eastAsia="Calibri" w:hAnsi="Calibri" w:cs="Arial"/>
          <w:u w:val="dotted"/>
          <w:rtl/>
        </w:rPr>
        <w:t>כשבעל השטר טוען 'השטר מזוייף':</w:t>
      </w:r>
    </w:p>
    <w:p w14:paraId="1E6D0143" w14:textId="77777777" w:rsidR="001D49D4" w:rsidRPr="001D49D4" w:rsidRDefault="001D49D4" w:rsidP="0004348D">
      <w:pPr>
        <w:numPr>
          <w:ilvl w:val="0"/>
          <w:numId w:val="279"/>
        </w:numPr>
        <w:spacing w:before="360" w:after="240"/>
        <w:contextualSpacing/>
        <w:rPr>
          <w:rtl/>
        </w:rPr>
      </w:pPr>
      <w:r w:rsidRPr="001D49D4">
        <w:rPr>
          <w:rtl/>
        </w:rPr>
        <w:t xml:space="preserve">הגמ"ר </w:t>
      </w:r>
      <w:r w:rsidRPr="001D49D4">
        <w:rPr>
          <w:sz w:val="16"/>
          <w:szCs w:val="16"/>
          <w:rtl/>
        </w:rPr>
        <w:t>(קדושין סי' תקסט, הביאו הדרכ"מ [אות ג] והב"י [ס"ס זה])</w:t>
      </w:r>
      <w:r w:rsidRPr="001D49D4">
        <w:rPr>
          <w:rtl/>
        </w:rPr>
        <w:t xml:space="preserve"> בשם ה"ר אביגדור כהן- היכא דבעל דין לפנינו ואומר מזויף הוא, אפילו מדאורייתא בעי קיום</w:t>
      </w:r>
      <w:r w:rsidRPr="001D49D4">
        <w:rPr>
          <w:vertAlign w:val="superscript"/>
          <w:rtl/>
        </w:rPr>
        <w:footnoteReference w:id="3727"/>
      </w:r>
      <w:r w:rsidRPr="001D49D4">
        <w:rPr>
          <w:rtl/>
        </w:rPr>
        <w:t>. (וכ"כ הסמ"ע</w:t>
      </w:r>
      <w:r w:rsidRPr="001D49D4">
        <w:rPr>
          <w:sz w:val="16"/>
          <w:szCs w:val="16"/>
          <w:rtl/>
        </w:rPr>
        <w:t xml:space="preserve"> [סק"ט]</w:t>
      </w:r>
      <w:r w:rsidRPr="001D49D4">
        <w:rPr>
          <w:rtl/>
        </w:rPr>
        <w:t>)</w:t>
      </w:r>
    </w:p>
    <w:p w14:paraId="56D62CF2" w14:textId="77777777" w:rsidR="001D49D4" w:rsidRPr="001D49D4" w:rsidRDefault="001D49D4" w:rsidP="0004348D">
      <w:pPr>
        <w:numPr>
          <w:ilvl w:val="0"/>
          <w:numId w:val="279"/>
        </w:numPr>
        <w:spacing w:before="360" w:after="240"/>
        <w:contextualSpacing/>
      </w:pPr>
      <w:r w:rsidRPr="001D49D4">
        <w:rPr>
          <w:rtl/>
        </w:rPr>
        <w:t xml:space="preserve">תוס' רשב"ם רשב"א ריטב"א תשובות מיימוניות טור ומהרי"ק </w:t>
      </w:r>
      <w:r w:rsidRPr="001D49D4">
        <w:rPr>
          <w:sz w:val="16"/>
          <w:szCs w:val="16"/>
          <w:rtl/>
        </w:rPr>
        <w:t>(הביאם הש"ך)</w:t>
      </w:r>
      <w:r w:rsidRPr="001D49D4">
        <w:rPr>
          <w:vertAlign w:val="superscript"/>
          <w:rtl/>
        </w:rPr>
        <w:footnoteReference w:id="3728"/>
      </w:r>
      <w:r w:rsidRPr="001D49D4">
        <w:rPr>
          <w:rtl/>
        </w:rPr>
        <w:t>- מדאורייתא עדים החתומים על השטר כמי שנחקרה עדותן בב"ד, ומדרבנן הוא שהצריכו קיום כי טעין מזויף וכו'. (וכ"פ הש"ך</w:t>
      </w:r>
      <w:r w:rsidRPr="001D49D4">
        <w:rPr>
          <w:sz w:val="16"/>
          <w:szCs w:val="16"/>
          <w:rtl/>
        </w:rPr>
        <w:t xml:space="preserve"> [סק"ט]</w:t>
      </w:r>
      <w:r w:rsidRPr="001D49D4">
        <w:rPr>
          <w:rtl/>
        </w:rPr>
        <w:t>)</w:t>
      </w:r>
    </w:p>
    <w:p w14:paraId="7187364C" w14:textId="77777777" w:rsidR="001D49D4" w:rsidRPr="001D49D4" w:rsidRDefault="001D49D4" w:rsidP="0004348D">
      <w:pPr>
        <w:spacing w:before="360" w:after="240"/>
        <w:ind w:left="360"/>
        <w:rPr>
          <w:rFonts w:ascii="Calibri" w:eastAsia="Calibri" w:hAnsi="Calibri" w:cs="Arial"/>
        </w:rPr>
      </w:pPr>
      <w:r w:rsidRPr="001D49D4">
        <w:rPr>
          <w:rFonts w:ascii="Calibri" w:eastAsia="Calibri" w:hAnsi="Calibri" w:cs="Arial"/>
          <w:u w:val="dotted"/>
          <w:rtl/>
        </w:rPr>
        <w:t>כשהעדים אומרים לא חתמנו:</w:t>
      </w:r>
    </w:p>
    <w:p w14:paraId="6B3B0182" w14:textId="77777777" w:rsidR="001D49D4" w:rsidRPr="001D49D4" w:rsidRDefault="001D49D4" w:rsidP="0004348D">
      <w:pPr>
        <w:numPr>
          <w:ilvl w:val="0"/>
          <w:numId w:val="279"/>
        </w:numPr>
        <w:spacing w:before="360" w:after="240"/>
        <w:contextualSpacing/>
      </w:pPr>
      <w:r w:rsidRPr="001D49D4">
        <w:rPr>
          <w:rtl/>
        </w:rPr>
        <w:lastRenderedPageBreak/>
        <w:t xml:space="preserve">הגמ"ר </w:t>
      </w:r>
      <w:r w:rsidRPr="001D49D4">
        <w:rPr>
          <w:sz w:val="16"/>
          <w:szCs w:val="16"/>
          <w:rtl/>
        </w:rPr>
        <w:t>(קדושין סי' תקסט, הביאו הדרכ"מ [אות ג] והב"י [ס"ס זה])</w:t>
      </w:r>
      <w:r w:rsidRPr="001D49D4">
        <w:rPr>
          <w:rtl/>
        </w:rPr>
        <w:t xml:space="preserve"> בשם ה"ר אביגדור כהן- אם העדים אומרים לא חתמנו - צריך קיום אף מדאורייתא</w:t>
      </w:r>
      <w:r w:rsidRPr="001D49D4">
        <w:rPr>
          <w:vertAlign w:val="superscript"/>
          <w:rtl/>
        </w:rPr>
        <w:footnoteReference w:id="3729"/>
      </w:r>
      <w:r w:rsidRPr="001D49D4">
        <w:rPr>
          <w:rtl/>
        </w:rPr>
        <w:t>. (וכ"כ הסמ"ע</w:t>
      </w:r>
      <w:r w:rsidRPr="001D49D4">
        <w:rPr>
          <w:sz w:val="16"/>
          <w:szCs w:val="16"/>
          <w:rtl/>
        </w:rPr>
        <w:t xml:space="preserve"> [סק"ט]</w:t>
      </w:r>
      <w:r w:rsidRPr="001D49D4">
        <w:rPr>
          <w:rtl/>
        </w:rPr>
        <w:t>)</w:t>
      </w:r>
    </w:p>
    <w:p w14:paraId="51B5DAD3" w14:textId="77777777" w:rsidR="001D49D4" w:rsidRPr="001D49D4" w:rsidRDefault="001D49D4" w:rsidP="0004348D">
      <w:pPr>
        <w:numPr>
          <w:ilvl w:val="0"/>
          <w:numId w:val="279"/>
        </w:numPr>
        <w:spacing w:before="360" w:after="240"/>
        <w:contextualSpacing/>
      </w:pPr>
      <w:r w:rsidRPr="001D49D4">
        <w:rPr>
          <w:rtl/>
        </w:rPr>
        <w:t xml:space="preserve">מהרי"ק </w:t>
      </w:r>
      <w:r w:rsidRPr="001D49D4">
        <w:rPr>
          <w:sz w:val="16"/>
          <w:szCs w:val="16"/>
          <w:rtl/>
        </w:rPr>
        <w:t>(שורש עד)</w:t>
      </w:r>
      <w:r w:rsidRPr="001D49D4">
        <w:rPr>
          <w:rtl/>
        </w:rPr>
        <w:t>- אפילו אין כתב ידן יוצא ממקום אחר ואומרים לא חתמנו - אין נאמנים מדאורייתא, כיון שבא השטר לבית דין קודם לכן.</w:t>
      </w:r>
    </w:p>
    <w:p w14:paraId="4898C192" w14:textId="77777777" w:rsidR="001D49D4" w:rsidRPr="001D49D4" w:rsidRDefault="001D49D4" w:rsidP="0004348D">
      <w:pPr>
        <w:spacing w:before="360" w:after="240"/>
        <w:rPr>
          <w:rFonts w:ascii="Calibri" w:eastAsia="Calibri" w:hAnsi="Calibri" w:cs="Arial"/>
          <w:u w:val="single"/>
        </w:rPr>
      </w:pPr>
      <w:r w:rsidRPr="001D49D4">
        <w:rPr>
          <w:rFonts w:ascii="Calibri" w:eastAsia="Calibri" w:hAnsi="Calibri" w:cs="Arial"/>
          <w:u w:val="single"/>
          <w:rtl/>
        </w:rPr>
        <w:t>שטר שיצא מתחת ידי העדים:</w:t>
      </w:r>
    </w:p>
    <w:p w14:paraId="2746CD9D" w14:textId="77777777" w:rsidR="001D49D4" w:rsidRPr="001D49D4" w:rsidRDefault="001D49D4" w:rsidP="0004348D">
      <w:pPr>
        <w:numPr>
          <w:ilvl w:val="0"/>
          <w:numId w:val="279"/>
        </w:numPr>
        <w:spacing w:before="360" w:after="240"/>
        <w:contextualSpacing/>
      </w:pPr>
      <w:r w:rsidRPr="001D49D4">
        <w:rPr>
          <w:rtl/>
        </w:rPr>
        <w:t xml:space="preserve">רי"ף </w:t>
      </w:r>
      <w:r w:rsidRPr="001D49D4">
        <w:rPr>
          <w:sz w:val="16"/>
          <w:szCs w:val="16"/>
          <w:rtl/>
        </w:rPr>
        <w:t>(פרק ארבעה אחין יבמות ט., עי' ב"י לקמן סל"ז)</w:t>
      </w:r>
      <w:r w:rsidRPr="001D49D4">
        <w:rPr>
          <w:rtl/>
        </w:rPr>
        <w:t>- נראה דהא דאמרינן דהוה כמו שנחקרה עדותן בבית דין היינו דוקא כשהשטר יוצא מתחת יד אחר אבל כשיוצא מתחת יד העדים עצמן לא הוי ליה כמו שנחקרה עדותן.</w:t>
      </w:r>
    </w:p>
    <w:p w14:paraId="624AD620" w14:textId="77777777" w:rsidR="001D49D4" w:rsidRPr="001D49D4" w:rsidRDefault="001D49D4" w:rsidP="0004348D">
      <w:pPr>
        <w:spacing w:before="360" w:after="240"/>
        <w:rPr>
          <w:rFonts w:ascii="Arial" w:eastAsia="Calibri" w:hAnsi="Arial" w:cs="Arial"/>
          <w:b/>
          <w:bCs/>
          <w:color w:val="000000"/>
          <w:sz w:val="28"/>
          <w:szCs w:val="28"/>
          <w:u w:val="single"/>
          <w:rtl/>
        </w:rPr>
      </w:pPr>
      <w:r w:rsidRPr="001D49D4">
        <w:rPr>
          <w:rFonts w:ascii="Arial" w:eastAsia="Calibri" w:hAnsi="Arial" w:cs="Arial"/>
          <w:b/>
          <w:bCs/>
          <w:color w:val="000000"/>
          <w:sz w:val="28"/>
          <w:szCs w:val="28"/>
          <w:u w:val="single"/>
          <w:rtl/>
        </w:rPr>
        <w:t>שו"ע:</w:t>
      </w:r>
    </w:p>
    <w:p w14:paraId="6C057E83"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rtl/>
        </w:rPr>
        <w:t>מקיימין השטר</w:t>
      </w:r>
      <w:r w:rsidRPr="001D49D4">
        <w:rPr>
          <w:rFonts w:ascii="Calibri" w:eastAsia="Calibri" w:hAnsi="Calibri" w:cs="Arial"/>
          <w:vertAlign w:val="superscript"/>
          <w:rtl/>
        </w:rPr>
        <w:footnoteReference w:id="3730"/>
      </w:r>
      <w:r w:rsidRPr="001D49D4">
        <w:rPr>
          <w:rFonts w:ascii="Calibri" w:eastAsia="Calibri" w:hAnsi="Calibri" w:cs="Arial"/>
          <w:rtl/>
        </w:rPr>
        <w:t xml:space="preserve"> אפילו שלא בפני בעל דין</w:t>
      </w:r>
      <w:r w:rsidRPr="001D49D4">
        <w:rPr>
          <w:rFonts w:ascii="Calibri" w:eastAsia="Calibri" w:hAnsi="Calibri" w:cs="Arial"/>
          <w:vertAlign w:val="superscript"/>
          <w:rtl/>
        </w:rPr>
        <w:footnoteReference w:id="3731"/>
      </w:r>
      <w:r w:rsidRPr="001D49D4">
        <w:rPr>
          <w:rFonts w:ascii="Calibri" w:eastAsia="Calibri" w:hAnsi="Calibri" w:cs="Arial"/>
          <w:rtl/>
        </w:rPr>
        <w:t xml:space="preserve">, ואפילו עומד וצווח 'מזוייף הוא אל תקיימוהו', אין שומעין לו. </w:t>
      </w:r>
    </w:p>
    <w:p w14:paraId="29D34F38" w14:textId="77777777" w:rsidR="001D49D4" w:rsidRPr="001D49D4" w:rsidRDefault="001D49D4" w:rsidP="0004348D">
      <w:pPr>
        <w:spacing w:before="360" w:after="240"/>
        <w:rPr>
          <w:rFonts w:ascii="Calibri" w:eastAsia="Calibri" w:hAnsi="Calibri" w:cs="Arial"/>
          <w:rtl/>
        </w:rPr>
      </w:pPr>
    </w:p>
    <w:p w14:paraId="2A92D2EA" w14:textId="77777777" w:rsidR="001D49D4" w:rsidRPr="001D49D4" w:rsidRDefault="001D49D4" w:rsidP="0004348D">
      <w:pPr>
        <w:keepNext/>
        <w:keepLines/>
        <w:spacing w:before="360" w:after="240"/>
        <w:outlineLvl w:val="1"/>
        <w:rPr>
          <w:rFonts w:ascii="Cambria" w:eastAsia="Times New Roman" w:hAnsi="Cambria" w:cs="Arial"/>
          <w:bCs/>
          <w:color w:val="548DD4" w:themeColor="text2" w:themeTint="99"/>
          <w:sz w:val="26"/>
          <w:szCs w:val="26"/>
          <w:rtl/>
        </w:rPr>
      </w:pPr>
      <w:bookmarkStart w:id="506" w:name="_Toc24883940"/>
      <w:r w:rsidRPr="001D49D4">
        <w:rPr>
          <w:rFonts w:ascii="Cambria" w:eastAsia="Times New Roman" w:hAnsi="Cambria" w:cs="Arial"/>
          <w:bCs/>
          <w:color w:val="548DD4" w:themeColor="text2" w:themeTint="99"/>
          <w:sz w:val="26"/>
          <w:szCs w:val="26"/>
          <w:rtl/>
        </w:rPr>
        <w:t>סעיף ו: שטר מקויים שלא מכירים את חתימות העדים/הדיינים שבו.</w:t>
      </w:r>
      <w:bookmarkEnd w:id="506"/>
    </w:p>
    <w:p w14:paraId="5DB21DFE"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b/>
          <w:bCs/>
          <w:rtl/>
        </w:rPr>
        <w:t xml:space="preserve">כתובות </w:t>
      </w:r>
      <w:r w:rsidRPr="001D49D4">
        <w:rPr>
          <w:rFonts w:ascii="Calibri" w:eastAsia="Calibri" w:hAnsi="Calibri" w:cs="Arial"/>
          <w:b/>
          <w:bCs/>
          <w:sz w:val="16"/>
          <w:szCs w:val="16"/>
          <w:rtl/>
        </w:rPr>
        <w:t xml:space="preserve">(פ"ב) </w:t>
      </w:r>
      <w:r w:rsidRPr="001D49D4">
        <w:rPr>
          <w:rFonts w:ascii="Calibri" w:eastAsia="Calibri" w:hAnsi="Calibri" w:cs="Arial"/>
          <w:b/>
          <w:bCs/>
          <w:rtl/>
        </w:rPr>
        <w:t>כא</w:t>
      </w:r>
      <w:r w:rsidRPr="001D49D4">
        <w:rPr>
          <w:rFonts w:ascii="Calibri" w:eastAsia="Calibri" w:hAnsi="Calibri" w:cs="Arial"/>
          <w:b/>
          <w:bCs/>
          <w:vertAlign w:val="superscript"/>
          <w:rtl/>
        </w:rPr>
        <w:footnoteReference w:id="3732"/>
      </w:r>
      <w:r w:rsidRPr="001D49D4">
        <w:rPr>
          <w:rFonts w:ascii="Calibri" w:eastAsia="Calibri" w:hAnsi="Calibri" w:cs="Arial"/>
          <w:b/>
          <w:bCs/>
          <w:rtl/>
        </w:rPr>
        <w:t xml:space="preserve"> ע"א:</w:t>
      </w:r>
      <w:r w:rsidRPr="001D49D4">
        <w:rPr>
          <w:rFonts w:ascii="Calibri" w:eastAsia="Calibri" w:hAnsi="Calibri" w:cs="Arial"/>
          <w:rtl/>
        </w:rPr>
        <w:t xml:space="preserve"> </w:t>
      </w:r>
      <w:r w:rsidRPr="001D49D4">
        <w:rPr>
          <w:rFonts w:ascii="Calibri" w:eastAsia="Calibri" w:hAnsi="Calibri" w:cs="Arial"/>
          <w:u w:val="single"/>
          <w:rtl/>
        </w:rPr>
        <w:t>אמר רב יהודה אמר שמואל</w:t>
      </w:r>
      <w:r w:rsidRPr="001D49D4">
        <w:rPr>
          <w:rFonts w:ascii="Calibri" w:eastAsia="Calibri" w:hAnsi="Calibri" w:cs="Arial"/>
          <w:rtl/>
        </w:rPr>
        <w:t>: עד ודיין</w:t>
      </w:r>
      <w:r w:rsidRPr="001D49D4">
        <w:rPr>
          <w:rFonts w:ascii="Calibri" w:eastAsia="Calibri" w:hAnsi="Calibri" w:cs="Arial"/>
          <w:vertAlign w:val="superscript"/>
          <w:rtl/>
        </w:rPr>
        <w:footnoteReference w:id="3733"/>
      </w:r>
      <w:r w:rsidRPr="001D49D4">
        <w:rPr>
          <w:rFonts w:ascii="Calibri" w:eastAsia="Calibri" w:hAnsi="Calibri" w:cs="Arial"/>
          <w:rtl/>
        </w:rPr>
        <w:t xml:space="preserve"> מצטרפין. </w:t>
      </w:r>
      <w:r w:rsidRPr="001D49D4">
        <w:rPr>
          <w:rFonts w:ascii="Calibri" w:eastAsia="Calibri" w:hAnsi="Calibri" w:cs="Arial"/>
          <w:u w:val="single"/>
          <w:rtl/>
        </w:rPr>
        <w:t>אמר רמי בר חמא</w:t>
      </w:r>
      <w:r w:rsidRPr="001D49D4">
        <w:rPr>
          <w:rFonts w:ascii="Calibri" w:eastAsia="Calibri" w:hAnsi="Calibri" w:cs="Arial"/>
          <w:rtl/>
        </w:rPr>
        <w:t xml:space="preserve">: כמה מעליא הא שמעתא! </w:t>
      </w:r>
      <w:r w:rsidRPr="001D49D4">
        <w:rPr>
          <w:rFonts w:ascii="Calibri" w:eastAsia="Calibri" w:hAnsi="Calibri" w:cs="Arial"/>
          <w:u w:val="single"/>
          <w:rtl/>
        </w:rPr>
        <w:t>אמר רבא</w:t>
      </w:r>
      <w:r w:rsidRPr="001D49D4">
        <w:rPr>
          <w:rFonts w:ascii="Calibri" w:eastAsia="Calibri" w:hAnsi="Calibri" w:cs="Arial"/>
          <w:rtl/>
        </w:rPr>
        <w:t xml:space="preserve">: מאי מעליותא? מאי דקא מסהיד סהדא לא קא מסהיד דיינא, ומאי דקא מסהיד דיינא לא קא מסהיד סהדא! </w:t>
      </w:r>
      <w:r w:rsidRPr="001D49D4">
        <w:rPr>
          <w:rFonts w:ascii="Calibri" w:eastAsia="Calibri" w:hAnsi="Calibri" w:cs="Arial"/>
          <w:u w:val="single"/>
          <w:rtl/>
        </w:rPr>
        <w:t>אלא, כי אתא רמי בר יחזקאל אמר</w:t>
      </w:r>
      <w:r w:rsidRPr="001D49D4">
        <w:rPr>
          <w:rFonts w:ascii="Calibri" w:eastAsia="Calibri" w:hAnsi="Calibri" w:cs="Arial"/>
          <w:rtl/>
        </w:rPr>
        <w:t>: לא תציתינהו להני כללי דכייל יהודה אחי משמיה דשמואל.</w:t>
      </w:r>
      <w:r w:rsidRPr="001D49D4">
        <w:rPr>
          <w:rFonts w:ascii="Calibri" w:eastAsia="Calibri" w:hAnsi="Calibri" w:cs="Arial"/>
          <w:sz w:val="14"/>
          <w:szCs w:val="14"/>
          <w:rtl/>
        </w:rPr>
        <w:t xml:space="preserve"> (כא:)</w:t>
      </w:r>
      <w:r w:rsidRPr="001D49D4">
        <w:rPr>
          <w:rFonts w:ascii="Calibri" w:eastAsia="Calibri" w:hAnsi="Calibri" w:cs="Arial"/>
          <w:rtl/>
        </w:rPr>
        <w:t xml:space="preserve"> </w:t>
      </w:r>
      <w:r w:rsidRPr="001D49D4">
        <w:rPr>
          <w:rFonts w:ascii="Calibri" w:eastAsia="Calibri" w:hAnsi="Calibri" w:cs="Arial"/>
          <w:u w:val="single"/>
          <w:rtl/>
        </w:rPr>
        <w:t>איקלע רבנאי אחוה דר' חייא בר אבא למזבן שומשמי ואמר הכי אמר שמואל</w:t>
      </w:r>
      <w:r w:rsidRPr="001D49D4">
        <w:rPr>
          <w:rFonts w:ascii="Calibri" w:eastAsia="Calibri" w:hAnsi="Calibri" w:cs="Arial"/>
          <w:rtl/>
        </w:rPr>
        <w:t xml:space="preserve">: עד ודיין מצטרפין. </w:t>
      </w:r>
      <w:r w:rsidRPr="001D49D4">
        <w:rPr>
          <w:rFonts w:ascii="Calibri" w:eastAsia="Calibri" w:hAnsi="Calibri" w:cs="Arial"/>
          <w:u w:val="single"/>
          <w:rtl/>
        </w:rPr>
        <w:t>אמר אמימר</w:t>
      </w:r>
      <w:r w:rsidRPr="001D49D4">
        <w:rPr>
          <w:rFonts w:ascii="Calibri" w:eastAsia="Calibri" w:hAnsi="Calibri" w:cs="Arial"/>
          <w:rtl/>
        </w:rPr>
        <w:t xml:space="preserve">: כמה מעליא הא שמעתא! </w:t>
      </w:r>
      <w:r w:rsidRPr="001D49D4">
        <w:rPr>
          <w:rFonts w:ascii="Calibri" w:eastAsia="Calibri" w:hAnsi="Calibri" w:cs="Arial"/>
          <w:u w:val="single"/>
          <w:rtl/>
        </w:rPr>
        <w:t>אמר ליה רב אשי לאמימר</w:t>
      </w:r>
      <w:r w:rsidRPr="001D49D4">
        <w:rPr>
          <w:rFonts w:ascii="Calibri" w:eastAsia="Calibri" w:hAnsi="Calibri" w:cs="Arial"/>
          <w:rtl/>
        </w:rPr>
        <w:t xml:space="preserve">: משום דקלסה אבוה דאמך, את נמי מקלסת לה? כבר פרכה רבא. </w:t>
      </w:r>
      <w:r w:rsidRPr="001D49D4">
        <w:rPr>
          <w:rFonts w:ascii="Calibri" w:eastAsia="Calibri" w:hAnsi="Calibri" w:cs="Arial"/>
          <w:sz w:val="16"/>
          <w:szCs w:val="16"/>
          <w:rtl/>
        </w:rPr>
        <w:t>(וכתבו התוס' (כא. ד"ה עד) והר"ן (ח. סוד"ה עד) דשמעינן משמעתין דאפילו בשטר מקויים צריך קיום, ואי לא - חיישינן שמא מזוייף הוא, וקיום בית דין לא מהני אלא דזמנין לא משכח קיום לעדים ומשכח לדיינים, וכן משמע בירושלמי דגטין (פ"ט ה"ז) ובפרק בן סורר ומורה ובסוף פרק דיני ממונות (סנהדרין פ"ג הי"ב). והא דתניא בתוספתא דשביעית (פ"ח ה"ט) אין מעשה בית דין צריך קיום, לא אמרו אלא בפרוזבול דעליה שקלו וטרו התם משום דכיון דתקינו רבנן למעבד פרוזבול ליכא למיחש דמזוייף הוא דלא שביק היתירא ואכיל איסורא, אבל שאר מעשה בית דין לכו"ע צריך קיום. וכ"כ בהג"א (סי' יח) בשם המרדכי, ב"י)</w:t>
      </w:r>
    </w:p>
    <w:p w14:paraId="153581F4"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u w:val="single"/>
          <w:rtl/>
        </w:rPr>
        <w:t>שטר מקויים – האם הדיינים צריכים להכיר את חתימת העדים או את חתימת דייני הקיום:</w:t>
      </w:r>
    </w:p>
    <w:p w14:paraId="40C7179A" w14:textId="77777777" w:rsidR="001D49D4" w:rsidRPr="001D49D4" w:rsidRDefault="001D49D4" w:rsidP="0004348D">
      <w:pPr>
        <w:numPr>
          <w:ilvl w:val="0"/>
          <w:numId w:val="279"/>
        </w:numPr>
        <w:spacing w:before="360" w:after="240"/>
        <w:contextualSpacing/>
        <w:rPr>
          <w:rtl/>
        </w:rPr>
      </w:pPr>
      <w:r w:rsidRPr="001D49D4">
        <w:rPr>
          <w:rtl/>
        </w:rPr>
        <w:t xml:space="preserve">תוס' מרדכי </w:t>
      </w:r>
      <w:r w:rsidRPr="001D49D4">
        <w:rPr>
          <w:sz w:val="16"/>
          <w:szCs w:val="16"/>
          <w:rtl/>
        </w:rPr>
        <w:t xml:space="preserve">(כ"כ בשמו הג"א סי' יח) </w:t>
      </w:r>
      <w:r w:rsidRPr="001D49D4">
        <w:rPr>
          <w:rtl/>
        </w:rPr>
        <w:t>רשב"א</w:t>
      </w:r>
      <w:r w:rsidRPr="001D49D4">
        <w:rPr>
          <w:vertAlign w:val="superscript"/>
          <w:rtl/>
        </w:rPr>
        <w:footnoteReference w:id="3734"/>
      </w:r>
      <w:r w:rsidRPr="001D49D4">
        <w:rPr>
          <w:rtl/>
        </w:rPr>
        <w:t xml:space="preserve"> </w:t>
      </w:r>
      <w:r w:rsidRPr="001D49D4">
        <w:rPr>
          <w:sz w:val="16"/>
          <w:szCs w:val="16"/>
          <w:rtl/>
        </w:rPr>
        <w:t xml:space="preserve">(ח"ז סי' שפד) </w:t>
      </w:r>
      <w:r w:rsidRPr="001D49D4">
        <w:rPr>
          <w:rtl/>
        </w:rPr>
        <w:t xml:space="preserve">טור ור"ן - ומ"מ אע"פ שהוא מקויים אם אין מכירים חתימת העדים ולא חתימת הדיינין - יכול הלוה לערער עליו ולפוסלו. ומיהו נפקא מינה בקיום, כיון שב' עדים חתומים </w:t>
      </w:r>
      <w:r w:rsidRPr="001D49D4">
        <w:rPr>
          <w:rtl/>
        </w:rPr>
        <w:lastRenderedPageBreak/>
        <w:t>עליו וג' דיינין, יותר בקל יוכל המלוה למצוא מי שמכיר החתימות משאילו לא היה חתום אלא בב' עדים</w:t>
      </w:r>
      <w:r w:rsidRPr="001D49D4">
        <w:rPr>
          <w:vertAlign w:val="superscript"/>
          <w:rtl/>
        </w:rPr>
        <w:footnoteReference w:id="3735"/>
      </w:r>
      <w:r w:rsidRPr="001D49D4">
        <w:rPr>
          <w:sz w:val="16"/>
          <w:szCs w:val="16"/>
          <w:rtl/>
        </w:rPr>
        <w:t xml:space="preserve"> (ל' הטור)</w:t>
      </w:r>
      <w:r w:rsidRPr="001D49D4">
        <w:rPr>
          <w:rtl/>
        </w:rPr>
        <w:t xml:space="preserve">. </w:t>
      </w:r>
      <w:r w:rsidRPr="001D49D4">
        <w:rPr>
          <w:color w:val="E36C0A" w:themeColor="accent6" w:themeShade="BF"/>
          <w:rtl/>
        </w:rPr>
        <w:t>(וכ"פ בשו"ע)</w:t>
      </w:r>
      <w:r w:rsidRPr="001D49D4">
        <w:rPr>
          <w:rtl/>
        </w:rPr>
        <w:t xml:space="preserve"> </w:t>
      </w:r>
    </w:p>
    <w:p w14:paraId="30E13DFF" w14:textId="77777777" w:rsidR="001D49D4" w:rsidRPr="001D49D4" w:rsidRDefault="001D49D4" w:rsidP="0004348D">
      <w:pPr>
        <w:spacing w:before="360" w:after="240"/>
        <w:rPr>
          <w:rFonts w:ascii="Arial" w:eastAsia="Calibri" w:hAnsi="Arial" w:cs="Arial"/>
          <w:b/>
          <w:bCs/>
          <w:color w:val="000000"/>
          <w:sz w:val="28"/>
          <w:szCs w:val="28"/>
          <w:u w:val="single"/>
          <w:rtl/>
        </w:rPr>
      </w:pPr>
      <w:r w:rsidRPr="001D49D4">
        <w:rPr>
          <w:rFonts w:ascii="Arial" w:eastAsia="Calibri" w:hAnsi="Arial" w:cs="Arial"/>
          <w:b/>
          <w:bCs/>
          <w:color w:val="000000"/>
          <w:sz w:val="28"/>
          <w:szCs w:val="28"/>
          <w:u w:val="single"/>
          <w:rtl/>
        </w:rPr>
        <w:t>שו"ע:</w:t>
      </w:r>
    </w:p>
    <w:p w14:paraId="4C142B50"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rtl/>
        </w:rPr>
        <w:t>אף על פי שהוא מקויים, צריך שיכירו חתימת שני העדים או שני הדיינים</w:t>
      </w:r>
      <w:r w:rsidRPr="001D49D4">
        <w:rPr>
          <w:rFonts w:ascii="Calibri" w:eastAsia="Calibri" w:hAnsi="Calibri" w:cs="Arial"/>
          <w:vertAlign w:val="superscript"/>
          <w:rtl/>
        </w:rPr>
        <w:footnoteReference w:id="3736"/>
      </w:r>
      <w:r w:rsidRPr="001D49D4">
        <w:rPr>
          <w:rFonts w:ascii="Calibri" w:eastAsia="Calibri" w:hAnsi="Calibri" w:cs="Arial"/>
          <w:rtl/>
        </w:rPr>
        <w:t xml:space="preserve">, ואם לאו, אין לו דין מקויים. ומיהו נפקא מינה בקיום, כיון שחתומים עליו שני עדים ושלשה דיינים, יותר בקל ימצא מי שיכיר החתימות. </w:t>
      </w:r>
    </w:p>
    <w:p w14:paraId="3CCE876F" w14:textId="77777777" w:rsidR="001D49D4" w:rsidRPr="001D49D4" w:rsidRDefault="001D49D4" w:rsidP="0004348D">
      <w:pPr>
        <w:spacing w:before="360" w:after="240"/>
        <w:rPr>
          <w:rFonts w:ascii="Calibri" w:eastAsia="Calibri" w:hAnsi="Calibri" w:cs="Arial"/>
          <w:rtl/>
        </w:rPr>
      </w:pPr>
    </w:p>
    <w:p w14:paraId="5A2E9254" w14:textId="77777777" w:rsidR="001D49D4" w:rsidRPr="001D49D4" w:rsidRDefault="001D49D4" w:rsidP="0004348D">
      <w:pPr>
        <w:keepNext/>
        <w:keepLines/>
        <w:spacing w:before="360" w:after="240"/>
        <w:outlineLvl w:val="1"/>
        <w:rPr>
          <w:rFonts w:ascii="Cambria" w:eastAsia="Times New Roman" w:hAnsi="Cambria" w:cs="Arial"/>
          <w:bCs/>
          <w:color w:val="548DD4" w:themeColor="text2" w:themeTint="99"/>
          <w:sz w:val="26"/>
          <w:szCs w:val="26"/>
          <w:rtl/>
        </w:rPr>
      </w:pPr>
      <w:bookmarkStart w:id="507" w:name="_Toc24883941"/>
      <w:r w:rsidRPr="001D49D4">
        <w:rPr>
          <w:rFonts w:ascii="Cambria" w:eastAsia="Times New Roman" w:hAnsi="Cambria" w:cs="Arial"/>
          <w:bCs/>
          <w:color w:val="548DD4" w:themeColor="text2" w:themeTint="99"/>
          <w:sz w:val="26"/>
          <w:szCs w:val="26"/>
          <w:rtl/>
        </w:rPr>
        <w:t>סעיף ז: חמשה דרכים בקיום השטר.</w:t>
      </w:r>
      <w:bookmarkEnd w:id="507"/>
    </w:p>
    <w:p w14:paraId="47B074A9"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b/>
          <w:bCs/>
          <w:rtl/>
        </w:rPr>
        <w:t xml:space="preserve">כתובות </w:t>
      </w:r>
      <w:r w:rsidRPr="001D49D4">
        <w:rPr>
          <w:rFonts w:ascii="Calibri" w:eastAsia="Calibri" w:hAnsi="Calibri" w:cs="Arial"/>
          <w:b/>
          <w:bCs/>
          <w:sz w:val="16"/>
          <w:szCs w:val="16"/>
          <w:rtl/>
        </w:rPr>
        <w:t xml:space="preserve">(פ"ב) </w:t>
      </w:r>
      <w:r w:rsidRPr="001D49D4">
        <w:rPr>
          <w:rFonts w:ascii="Calibri" w:eastAsia="Calibri" w:hAnsi="Calibri" w:cs="Arial"/>
          <w:b/>
          <w:bCs/>
          <w:rtl/>
        </w:rPr>
        <w:t>כא ע"א:</w:t>
      </w:r>
      <w:r w:rsidRPr="001D49D4">
        <w:rPr>
          <w:rFonts w:ascii="Calibri" w:eastAsia="Calibri" w:hAnsi="Calibri" w:cs="Arial"/>
          <w:rtl/>
        </w:rPr>
        <w:t xml:space="preserve"> </w:t>
      </w:r>
      <w:r w:rsidRPr="001D49D4">
        <w:rPr>
          <w:rFonts w:ascii="Calibri" w:eastAsia="Calibri" w:hAnsi="Calibri" w:cs="Arial"/>
          <w:u w:val="single"/>
          <w:rtl/>
        </w:rPr>
        <w:t>דאמר רב יהודה אמר רב</w:t>
      </w:r>
      <w:r w:rsidRPr="001D49D4">
        <w:rPr>
          <w:rFonts w:ascii="Calibri" w:eastAsia="Calibri" w:hAnsi="Calibri" w:cs="Arial"/>
          <w:rtl/>
        </w:rPr>
        <w:t>: שנים החתומין על השטר ומת אחד מהן - צריכין שנים מן השוק להעיד עליו.</w:t>
      </w:r>
    </w:p>
    <w:p w14:paraId="5778508F" w14:textId="77777777" w:rsidR="001D49D4" w:rsidRPr="001D49D4" w:rsidRDefault="001D49D4" w:rsidP="0004348D">
      <w:pPr>
        <w:spacing w:before="360" w:after="240"/>
        <w:rPr>
          <w:rFonts w:ascii="Calibri" w:eastAsia="Calibri" w:hAnsi="Calibri" w:cs="Arial"/>
          <w:u w:val="single"/>
          <w:rtl/>
        </w:rPr>
      </w:pPr>
      <w:r w:rsidRPr="001D49D4">
        <w:rPr>
          <w:rFonts w:ascii="Calibri" w:eastAsia="Calibri" w:hAnsi="Calibri" w:cs="Arial"/>
          <w:u w:val="single"/>
          <w:rtl/>
        </w:rPr>
        <w:t>אין עידי השטר בפנינו ויש עדים בפנינו שמעידים על חתימת העדים:</w:t>
      </w:r>
    </w:p>
    <w:p w14:paraId="3DB75DA2" w14:textId="77777777" w:rsidR="001D49D4" w:rsidRPr="001D49D4" w:rsidRDefault="001D49D4" w:rsidP="0004348D">
      <w:pPr>
        <w:numPr>
          <w:ilvl w:val="0"/>
          <w:numId w:val="279"/>
        </w:numPr>
        <w:spacing w:before="360" w:after="240"/>
        <w:contextualSpacing/>
        <w:rPr>
          <w:rtl/>
        </w:rPr>
      </w:pPr>
      <w:r w:rsidRPr="001D49D4">
        <w:rPr>
          <w:rtl/>
        </w:rPr>
        <w:t>טור- אם אין עידי השטר בפנינו ויש עדים בפנינו שמעידים על חתימת העדים שמכירים שהיא חתימתן - מקיימין אותו על פיהם.</w:t>
      </w:r>
    </w:p>
    <w:p w14:paraId="3E8FE7F8" w14:textId="77777777" w:rsidR="001D49D4" w:rsidRPr="001D49D4" w:rsidRDefault="001D49D4" w:rsidP="0004348D">
      <w:pPr>
        <w:spacing w:before="360" w:after="240"/>
        <w:ind w:left="360"/>
        <w:rPr>
          <w:rFonts w:ascii="Calibri" w:eastAsia="Calibri" w:hAnsi="Calibri" w:cs="Arial"/>
          <w:u w:val="dotted"/>
        </w:rPr>
      </w:pPr>
      <w:r w:rsidRPr="001D49D4">
        <w:rPr>
          <w:rFonts w:ascii="Calibri" w:eastAsia="Calibri" w:hAnsi="Calibri" w:cs="Arial"/>
          <w:u w:val="dotted"/>
          <w:rtl/>
        </w:rPr>
        <w:t>ומה הדין אם העדים אינם לפנינו אך הם במדינה:</w:t>
      </w:r>
    </w:p>
    <w:p w14:paraId="31C2DFF3" w14:textId="77777777" w:rsidR="001D49D4" w:rsidRPr="001D49D4" w:rsidRDefault="001D49D4" w:rsidP="0004348D">
      <w:pPr>
        <w:numPr>
          <w:ilvl w:val="0"/>
          <w:numId w:val="279"/>
        </w:numPr>
        <w:spacing w:before="360" w:after="240"/>
        <w:contextualSpacing/>
      </w:pPr>
      <w:r w:rsidRPr="001D49D4">
        <w:rPr>
          <w:rtl/>
        </w:rPr>
        <w:t>ב"י- ודע שאפילו עדי השטר במדינה - יכולין לקיים השטר ע"פ עדים המעידים על חתימת ידם. והא דאמרינן בגמרא 'ומת אחד מהם' וכן רבינו כתב 'ואם אין העדים בפנינו' - לאו דוקא, אלא אורחא דמילתא נקט, שאם הם היו בפנינו הם עצמם היו מעידים</w:t>
      </w:r>
      <w:r w:rsidRPr="001D49D4">
        <w:rPr>
          <w:vertAlign w:val="superscript"/>
          <w:rtl/>
        </w:rPr>
        <w:footnoteReference w:id="3737"/>
      </w:r>
      <w:r w:rsidRPr="001D49D4">
        <w:rPr>
          <w:rtl/>
        </w:rPr>
        <w:t>.</w:t>
      </w:r>
    </w:p>
    <w:p w14:paraId="1C16325D"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b/>
          <w:bCs/>
          <w:rtl/>
        </w:rPr>
        <w:t xml:space="preserve">כתובות </w:t>
      </w:r>
      <w:r w:rsidRPr="001D49D4">
        <w:rPr>
          <w:rFonts w:ascii="Calibri" w:eastAsia="Calibri" w:hAnsi="Calibri" w:cs="Arial"/>
          <w:b/>
          <w:bCs/>
          <w:sz w:val="16"/>
          <w:szCs w:val="16"/>
          <w:rtl/>
        </w:rPr>
        <w:t xml:space="preserve">(פ"ב) </w:t>
      </w:r>
      <w:r w:rsidRPr="001D49D4">
        <w:rPr>
          <w:rFonts w:ascii="Calibri" w:eastAsia="Calibri" w:hAnsi="Calibri" w:cs="Arial"/>
          <w:b/>
          <w:bCs/>
          <w:rtl/>
        </w:rPr>
        <w:t>כא</w:t>
      </w:r>
      <w:r w:rsidRPr="001D49D4">
        <w:rPr>
          <w:rFonts w:ascii="Calibri" w:eastAsia="Calibri" w:hAnsi="Calibri" w:cs="Arial"/>
          <w:b/>
          <w:bCs/>
          <w:vertAlign w:val="superscript"/>
          <w:rtl/>
        </w:rPr>
        <w:footnoteReference w:id="3738"/>
      </w:r>
      <w:r w:rsidRPr="001D49D4">
        <w:rPr>
          <w:rFonts w:ascii="Calibri" w:eastAsia="Calibri" w:hAnsi="Calibri" w:cs="Arial"/>
          <w:b/>
          <w:bCs/>
          <w:rtl/>
        </w:rPr>
        <w:t xml:space="preserve"> ע"ב:</w:t>
      </w:r>
      <w:r w:rsidRPr="001D49D4">
        <w:rPr>
          <w:rFonts w:ascii="Calibri" w:eastAsia="Calibri" w:hAnsi="Calibri" w:cs="Arial"/>
          <w:rtl/>
        </w:rPr>
        <w:t xml:space="preserve"> ש"מ תלת: ש"מ עד נעשה דיין, וש"מ דיינין המכירין חתימות ידי עדים - אינן צריכין להעיד בפניהם... </w:t>
      </w:r>
      <w:r w:rsidRPr="001D49D4">
        <w:rPr>
          <w:rFonts w:ascii="Calibri" w:eastAsia="Calibri" w:hAnsi="Calibri" w:cs="Arial"/>
          <w:u w:val="single"/>
          <w:rtl/>
        </w:rPr>
        <w:t>מתקיף לה רב אשי</w:t>
      </w:r>
      <w:r w:rsidRPr="001D49D4">
        <w:rPr>
          <w:rFonts w:ascii="Calibri" w:eastAsia="Calibri" w:hAnsi="Calibri" w:cs="Arial"/>
          <w:rtl/>
        </w:rPr>
        <w:t xml:space="preserve">: בשלמא עד נעשה דיין שמעינן מינה, אלא דיינין המכירין חתימות ידי עדים אין צריכין להעיד בפניהם - דלמא לעולם אימא לך צריכין, ושאני הכא, דקא מקיימא הגדה בחד... </w:t>
      </w:r>
      <w:r w:rsidRPr="001D49D4">
        <w:rPr>
          <w:rFonts w:ascii="Calibri" w:eastAsia="Calibri" w:hAnsi="Calibri" w:cs="Arial"/>
          <w:sz w:val="16"/>
          <w:szCs w:val="16"/>
          <w:rtl/>
        </w:rPr>
        <w:t>(ואע"ג דדחי רב אשי דילמא לעולם אימא לך צריכא לא שבקינן מאי דפשיטא ליה לתלמודא משום דחייה דרב אשי, וכן פסקו הרי"ף (ח:) והרא"ש (סי' יט) וגם הרמב"ם פ"ו מהל' עדות (ה"ב), ב"י)</w:t>
      </w:r>
      <w:r w:rsidRPr="001D49D4">
        <w:rPr>
          <w:rFonts w:ascii="Calibri" w:eastAsia="Calibri" w:hAnsi="Calibri" w:cs="Arial"/>
          <w:rtl/>
        </w:rPr>
        <w:t xml:space="preserve"> </w:t>
      </w:r>
    </w:p>
    <w:p w14:paraId="1A96DF65"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b/>
          <w:bCs/>
          <w:rtl/>
        </w:rPr>
        <w:t xml:space="preserve">כתובות </w:t>
      </w:r>
      <w:r w:rsidRPr="001D49D4">
        <w:rPr>
          <w:rFonts w:ascii="Calibri" w:eastAsia="Calibri" w:hAnsi="Calibri" w:cs="Arial"/>
          <w:b/>
          <w:bCs/>
          <w:sz w:val="16"/>
          <w:szCs w:val="16"/>
          <w:rtl/>
        </w:rPr>
        <w:t xml:space="preserve">(פ"ב) </w:t>
      </w:r>
      <w:r w:rsidRPr="001D49D4">
        <w:rPr>
          <w:rFonts w:ascii="Calibri" w:eastAsia="Calibri" w:hAnsi="Calibri" w:cs="Arial"/>
          <w:b/>
          <w:bCs/>
          <w:rtl/>
        </w:rPr>
        <w:t>כא ע"ב:</w:t>
      </w:r>
      <w:r w:rsidRPr="001D49D4">
        <w:rPr>
          <w:rFonts w:ascii="Calibri" w:eastAsia="Calibri" w:hAnsi="Calibri" w:cs="Arial"/>
          <w:rtl/>
        </w:rPr>
        <w:t xml:space="preserve"> </w:t>
      </w:r>
      <w:r w:rsidRPr="001D49D4">
        <w:rPr>
          <w:rFonts w:ascii="Calibri" w:eastAsia="Calibri" w:hAnsi="Calibri" w:cs="Arial"/>
          <w:u w:val="single"/>
          <w:rtl/>
        </w:rPr>
        <w:t>יתיב ר' אבא</w:t>
      </w:r>
      <w:r w:rsidRPr="001D49D4">
        <w:rPr>
          <w:rFonts w:ascii="Calibri" w:eastAsia="Calibri" w:hAnsi="Calibri" w:cs="Arial"/>
          <w:rtl/>
        </w:rPr>
        <w:t xml:space="preserve"> וקאמר לה להא שמעתא דעד נעשה דיין. </w:t>
      </w:r>
      <w:r w:rsidRPr="001D49D4">
        <w:rPr>
          <w:rFonts w:ascii="Calibri" w:eastAsia="Calibri" w:hAnsi="Calibri" w:cs="Arial"/>
          <w:u w:val="single"/>
          <w:rtl/>
        </w:rPr>
        <w:t>איתיביה רב ספרא לרבי אבא</w:t>
      </w:r>
      <w:r w:rsidRPr="001D49D4">
        <w:rPr>
          <w:rFonts w:ascii="Calibri" w:eastAsia="Calibri" w:hAnsi="Calibri" w:cs="Arial"/>
          <w:rtl/>
        </w:rPr>
        <w:t xml:space="preserve">: ראוהו שלשה והן בית דין יעמדו שנים ויושיבו מחבריהם אצל היחיד, ויעידו בפניהם ויאמרו: מקודש החדש, מקודש, שאין היחיד נאמן על ידי עצמו. ואי סלקא דעתך דעד נעשה דיין, למה לי כולי האי? ליתבו בדוכתייהו וליקדשי! </w:t>
      </w:r>
      <w:r w:rsidRPr="001D49D4">
        <w:rPr>
          <w:rFonts w:ascii="Calibri" w:eastAsia="Calibri" w:hAnsi="Calibri" w:cs="Arial"/>
          <w:u w:val="single"/>
          <w:rtl/>
        </w:rPr>
        <w:t>אמר ליה</w:t>
      </w:r>
      <w:r w:rsidRPr="001D49D4">
        <w:rPr>
          <w:rFonts w:ascii="Calibri" w:eastAsia="Calibri" w:hAnsi="Calibri" w:cs="Arial"/>
          <w:rtl/>
        </w:rPr>
        <w:t>: אף לדידי קשיא לי ושאילתיה לרב יצחק בר שמואל בר מרתא, ורב יצחק לרב הונא, ורב הונא לחייא בר רב, וחייא בר רב לרב, ואמר להו: הנח לעדות החדש - דאוריית', וקיום שטרות - דרבנן.</w:t>
      </w:r>
      <w:r w:rsidRPr="001D49D4">
        <w:rPr>
          <w:rFonts w:ascii="Calibri" w:eastAsia="Calibri" w:hAnsi="Calibri" w:cs="Arial"/>
          <w:sz w:val="16"/>
          <w:szCs w:val="16"/>
          <w:rtl/>
        </w:rPr>
        <w:t xml:space="preserve"> (ופירשו התוס' (ד"ה הנח) והר"ן (ח: ד"ה שמע מינה) דהיינו העד המעיד אינו נעשה דיין אפילו בדיני ממונות אלא בקיום שטרות דרבנן. וצ"ע בדברי רבינו למה כתב דעד הרואה דמשמע אבל עד המעיד לא ובגמרא משמע דעד המעיד נמי נעשה דיין בקיום שטרות, ב"י)</w:t>
      </w:r>
    </w:p>
    <w:p w14:paraId="2904F5B7" w14:textId="77777777" w:rsidR="001D49D4" w:rsidRPr="001D49D4" w:rsidRDefault="001D49D4" w:rsidP="0004348D">
      <w:pPr>
        <w:spacing w:before="360" w:after="240"/>
        <w:rPr>
          <w:rFonts w:ascii="Calibri" w:eastAsia="Calibri" w:hAnsi="Calibri" w:cs="Arial"/>
          <w:u w:val="single"/>
          <w:rtl/>
        </w:rPr>
      </w:pPr>
      <w:r w:rsidRPr="001D49D4">
        <w:rPr>
          <w:rFonts w:ascii="Calibri" w:eastAsia="Calibri" w:hAnsi="Calibri" w:cs="Arial"/>
          <w:u w:val="single"/>
          <w:rtl/>
        </w:rPr>
        <w:t>אין עידי השטר בפנינו וגם לא עדים שמכירים חתימתן:</w:t>
      </w:r>
    </w:p>
    <w:p w14:paraId="3E534705" w14:textId="77777777" w:rsidR="001D49D4" w:rsidRPr="001D49D4" w:rsidRDefault="001D49D4" w:rsidP="0004348D">
      <w:pPr>
        <w:numPr>
          <w:ilvl w:val="0"/>
          <w:numId w:val="279"/>
        </w:numPr>
        <w:spacing w:before="360" w:after="240"/>
        <w:contextualSpacing/>
        <w:rPr>
          <w:rtl/>
        </w:rPr>
      </w:pPr>
      <w:r w:rsidRPr="001D49D4">
        <w:rPr>
          <w:rtl/>
        </w:rPr>
        <w:t>טור- ואם אין כאן לא העדים ולא מי שמכיר חתימתן אלא דייני הקיום בעצמם מכירין אותם או שחתמו בפניהם - מקיימין אותו, שעד הרואה נעשה דיין לקיים שטרות, לפי שהוא דרבנן.</w:t>
      </w:r>
    </w:p>
    <w:p w14:paraId="1BD866FB" w14:textId="77777777" w:rsidR="001D49D4" w:rsidRPr="001D49D4" w:rsidRDefault="001D49D4" w:rsidP="0004348D">
      <w:pPr>
        <w:spacing w:before="360" w:after="240"/>
        <w:rPr>
          <w:rFonts w:ascii="Calibri" w:eastAsia="Calibri" w:hAnsi="Calibri" w:cs="Arial"/>
          <w:sz w:val="16"/>
          <w:szCs w:val="16"/>
        </w:rPr>
      </w:pPr>
      <w:r w:rsidRPr="001D49D4">
        <w:rPr>
          <w:rFonts w:ascii="Calibri" w:eastAsia="Calibri" w:hAnsi="Calibri" w:cs="Arial"/>
          <w:b/>
          <w:bCs/>
          <w:rtl/>
        </w:rPr>
        <w:lastRenderedPageBreak/>
        <w:t xml:space="preserve">כתובות </w:t>
      </w:r>
      <w:r w:rsidRPr="001D49D4">
        <w:rPr>
          <w:rFonts w:ascii="Calibri" w:eastAsia="Calibri" w:hAnsi="Calibri" w:cs="Arial"/>
          <w:b/>
          <w:bCs/>
          <w:sz w:val="16"/>
          <w:szCs w:val="16"/>
          <w:rtl/>
        </w:rPr>
        <w:t xml:space="preserve">(פ"ב) </w:t>
      </w:r>
      <w:r w:rsidRPr="001D49D4">
        <w:rPr>
          <w:rFonts w:ascii="Calibri" w:eastAsia="Calibri" w:hAnsi="Calibri" w:cs="Arial"/>
          <w:b/>
          <w:bCs/>
          <w:rtl/>
        </w:rPr>
        <w:t>כ</w:t>
      </w:r>
      <w:r w:rsidRPr="001D49D4">
        <w:rPr>
          <w:rFonts w:ascii="Calibri" w:eastAsia="Calibri" w:hAnsi="Calibri" w:cs="Arial"/>
          <w:b/>
          <w:bCs/>
          <w:vertAlign w:val="superscript"/>
          <w:rtl/>
        </w:rPr>
        <w:footnoteReference w:id="3739"/>
      </w:r>
      <w:r w:rsidRPr="001D49D4">
        <w:rPr>
          <w:rFonts w:ascii="Calibri" w:eastAsia="Calibri" w:hAnsi="Calibri" w:cs="Arial"/>
          <w:b/>
          <w:bCs/>
          <w:rtl/>
        </w:rPr>
        <w:t xml:space="preserve"> ע"ב:</w:t>
      </w:r>
      <w:r w:rsidRPr="001D49D4">
        <w:rPr>
          <w:rFonts w:ascii="Calibri" w:eastAsia="Calibri" w:hAnsi="Calibri" w:cs="Arial"/>
          <w:rtl/>
        </w:rPr>
        <w:t xml:space="preserve"> </w:t>
      </w:r>
      <w:r w:rsidRPr="001D49D4">
        <w:rPr>
          <w:rFonts w:ascii="Calibri" w:eastAsia="Calibri" w:hAnsi="Calibri" w:cs="Arial"/>
          <w:u w:val="double"/>
          <w:rtl/>
        </w:rPr>
        <w:t>מתני'</w:t>
      </w:r>
      <w:r w:rsidRPr="001D49D4">
        <w:rPr>
          <w:rFonts w:ascii="Calibri" w:eastAsia="Calibri" w:hAnsi="Calibri" w:cs="Arial"/>
          <w:rtl/>
        </w:rPr>
        <w:t xml:space="preserve">: זה אומר כתב ידי וזה כתב ידו של חבירי, וזה אומר זה כתב ידי וזה כתב ידו של חבירי - הרי אלו נאמנין. זה אומר זה כתב ידי, וזה אומר זה כתב ידי - צריכין לצרף עמהם אחר, </w:t>
      </w:r>
      <w:r w:rsidRPr="001D49D4">
        <w:rPr>
          <w:rFonts w:ascii="Calibri" w:eastAsia="Calibri" w:hAnsi="Calibri" w:cs="Arial"/>
          <w:u w:val="single"/>
          <w:rtl/>
        </w:rPr>
        <w:t>דברי רבי</w:t>
      </w:r>
      <w:r w:rsidRPr="001D49D4">
        <w:rPr>
          <w:rFonts w:ascii="Calibri" w:eastAsia="Calibri" w:hAnsi="Calibri" w:cs="Arial"/>
          <w:rtl/>
        </w:rPr>
        <w:t xml:space="preserve">. </w:t>
      </w:r>
      <w:r w:rsidRPr="001D49D4">
        <w:rPr>
          <w:rFonts w:ascii="Calibri" w:eastAsia="Calibri" w:hAnsi="Calibri" w:cs="Arial"/>
          <w:u w:val="single"/>
          <w:rtl/>
        </w:rPr>
        <w:t>וחכמים אומרים</w:t>
      </w:r>
      <w:r w:rsidRPr="001D49D4">
        <w:rPr>
          <w:rFonts w:ascii="Calibri" w:eastAsia="Calibri" w:hAnsi="Calibri" w:cs="Arial"/>
          <w:rtl/>
        </w:rPr>
        <w:t xml:space="preserve">: אינם צריכין לצרף עמהן אחר, אלא נאמן אדם לומר זה כתב ידי.       </w:t>
      </w:r>
      <w:r w:rsidRPr="001D49D4">
        <w:rPr>
          <w:rFonts w:ascii="Calibri" w:eastAsia="Calibri" w:hAnsi="Calibri" w:cs="Arial"/>
          <w:u w:val="double"/>
          <w:rtl/>
        </w:rPr>
        <w:t>גמ'</w:t>
      </w:r>
      <w:r w:rsidRPr="001D49D4">
        <w:rPr>
          <w:rFonts w:ascii="Calibri" w:eastAsia="Calibri" w:hAnsi="Calibri" w:cs="Arial"/>
          <w:rtl/>
        </w:rPr>
        <w:t>: כשתימצי לומר, לדברי רבי -</w:t>
      </w:r>
      <w:r w:rsidRPr="001D49D4">
        <w:rPr>
          <w:rFonts w:ascii="Calibri" w:eastAsia="Calibri" w:hAnsi="Calibri" w:cs="Arial"/>
          <w:sz w:val="14"/>
          <w:szCs w:val="14"/>
          <w:rtl/>
        </w:rPr>
        <w:t xml:space="preserve"> (כא.)</w:t>
      </w:r>
      <w:r w:rsidRPr="001D49D4">
        <w:rPr>
          <w:rFonts w:ascii="Calibri" w:eastAsia="Calibri" w:hAnsi="Calibri" w:cs="Arial"/>
          <w:rtl/>
        </w:rPr>
        <w:t xml:space="preserve"> על כתב ידן הם מעידים</w:t>
      </w:r>
      <w:r w:rsidRPr="001D49D4">
        <w:rPr>
          <w:rFonts w:ascii="Calibri" w:eastAsia="Calibri" w:hAnsi="Calibri" w:cs="Arial"/>
          <w:vertAlign w:val="superscript"/>
          <w:rtl/>
        </w:rPr>
        <w:footnoteReference w:id="3740"/>
      </w:r>
      <w:r w:rsidRPr="001D49D4">
        <w:rPr>
          <w:rFonts w:ascii="Calibri" w:eastAsia="Calibri" w:hAnsi="Calibri" w:cs="Arial"/>
          <w:rtl/>
        </w:rPr>
        <w:t>, לדברי חכמים - על מנה שבשטר הם מעידים</w:t>
      </w:r>
      <w:r w:rsidRPr="001D49D4">
        <w:rPr>
          <w:rFonts w:ascii="Calibri" w:eastAsia="Calibri" w:hAnsi="Calibri" w:cs="Arial"/>
          <w:vertAlign w:val="superscript"/>
          <w:rtl/>
        </w:rPr>
        <w:footnoteReference w:id="3741"/>
      </w:r>
      <w:r w:rsidRPr="001D49D4">
        <w:rPr>
          <w:rFonts w:ascii="Calibri" w:eastAsia="Calibri" w:hAnsi="Calibri" w:cs="Arial"/>
          <w:rtl/>
        </w:rPr>
        <w:t xml:space="preserve">. פשיטא! מהו דתימא, לרבי ספוקי מספקא ליה אי על כתב ידם הם מעידים או על מנה שבשטר הם מעידים, ונפקא מינה היכא דמית חד מינייהו לבעי שנים מן השוק להעיד עליו, דאם כן קנפיק נכי ריבעא דממונא אפומא דחד סהדא, והכא לחומרא והכא לחומרא, קמ"ל, דרבי מיפשט פשיטא ליה בין לקולא בין לחומרא, דאמר רב יהודה אמר רב: שנים החתומין על השטר ומת אחד מהן - צריכין שנים מן השוק להעיד עליו, בזו רבי לקולא ורבנן לחומרא... </w:t>
      </w:r>
      <w:r w:rsidRPr="001D49D4">
        <w:rPr>
          <w:rFonts w:ascii="Calibri" w:eastAsia="Calibri" w:hAnsi="Calibri" w:cs="Arial"/>
          <w:u w:val="single"/>
          <w:rtl/>
        </w:rPr>
        <w:t>א"ר יהודה אמר שמואל</w:t>
      </w:r>
      <w:r w:rsidRPr="001D49D4">
        <w:rPr>
          <w:rFonts w:ascii="Calibri" w:eastAsia="Calibri" w:hAnsi="Calibri" w:cs="Arial"/>
          <w:rtl/>
        </w:rPr>
        <w:t xml:space="preserve">: הלכה כדברי חכמים. פשיטא, יחיד ורבים הלכה כרבים! מהו דתימא הלכה כרבי מחבירו - ואפילו מחביריו, קא משמע לן. </w:t>
      </w:r>
      <w:r w:rsidRPr="001D49D4">
        <w:rPr>
          <w:rFonts w:ascii="Calibri" w:eastAsia="Calibri" w:hAnsi="Calibri" w:cs="Arial"/>
          <w:sz w:val="16"/>
          <w:szCs w:val="16"/>
          <w:rtl/>
        </w:rPr>
        <w:t>(ופסק הטור כרבנן... וכתבו התוס' (ד"ה על) דלרבי אפילו אומרים בהדיא שעל מנה שבשטר הם מעידים לית לן בה, ולרבנן אפילו אומרים בהדיא שעל כתב ידם הם מעידים לית לן בה, אלא לעולם אנו חושבים אותם כמעידים על מנה שבשטר. וכ"כ הרא"ש (סו"ס טז), ב"י)</w:t>
      </w:r>
    </w:p>
    <w:p w14:paraId="57F36EB1" w14:textId="77777777" w:rsidR="001D49D4" w:rsidRPr="001D49D4" w:rsidRDefault="001D49D4" w:rsidP="0004348D">
      <w:pPr>
        <w:spacing w:before="360" w:after="240"/>
        <w:rPr>
          <w:rFonts w:ascii="Calibri" w:eastAsia="Calibri" w:hAnsi="Calibri" w:cs="Arial"/>
          <w:u w:val="single"/>
          <w:rtl/>
        </w:rPr>
      </w:pPr>
      <w:r w:rsidRPr="001D49D4">
        <w:rPr>
          <w:rFonts w:ascii="Calibri" w:eastAsia="Calibri" w:hAnsi="Calibri" w:cs="Arial"/>
          <w:u w:val="single"/>
          <w:rtl/>
        </w:rPr>
        <w:t>כיצד עדי השטר מעידין בפני דייני הקיום על חתימתן:</w:t>
      </w:r>
    </w:p>
    <w:p w14:paraId="30EA6F64" w14:textId="77777777" w:rsidR="001D49D4" w:rsidRPr="001D49D4" w:rsidRDefault="001D49D4" w:rsidP="0004348D">
      <w:pPr>
        <w:numPr>
          <w:ilvl w:val="0"/>
          <w:numId w:val="279"/>
        </w:numPr>
        <w:spacing w:before="360" w:after="240"/>
        <w:contextualSpacing/>
      </w:pPr>
      <w:r w:rsidRPr="001D49D4">
        <w:rPr>
          <w:rtl/>
        </w:rPr>
        <w:t>טור- כשעדי השטר מעידין בפני דייני הקיום על חתימתן אין צריכין שיעיד כל אחד על כתב ידו ועל כתב יד של חבירו, אלא כל אחד יעיד על כתב ידו לבד, דקיימא לן על מנה שבשטר הן מעידין והרי יש כאן שני עדים שמעידים עליו.</w:t>
      </w:r>
    </w:p>
    <w:p w14:paraId="2CC0292B" w14:textId="77777777" w:rsidR="001D49D4" w:rsidRPr="001D49D4" w:rsidRDefault="001D49D4" w:rsidP="0004348D">
      <w:pPr>
        <w:spacing w:before="360" w:after="240"/>
        <w:rPr>
          <w:rFonts w:ascii="Calibri" w:eastAsia="Calibri" w:hAnsi="Calibri" w:cs="Arial"/>
          <w:b/>
          <w:bCs/>
          <w:rtl/>
        </w:rPr>
      </w:pPr>
      <w:r w:rsidRPr="001D49D4">
        <w:rPr>
          <w:rFonts w:ascii="Calibri" w:eastAsia="Calibri" w:hAnsi="Calibri" w:cs="Arial"/>
          <w:b/>
          <w:bCs/>
          <w:rtl/>
        </w:rPr>
        <w:t xml:space="preserve">כתובות </w:t>
      </w:r>
      <w:r w:rsidRPr="001D49D4">
        <w:rPr>
          <w:rFonts w:ascii="Calibri" w:eastAsia="Calibri" w:hAnsi="Calibri" w:cs="Arial"/>
          <w:b/>
          <w:bCs/>
          <w:sz w:val="16"/>
          <w:szCs w:val="16"/>
          <w:rtl/>
        </w:rPr>
        <w:t>(פ"ב)</w:t>
      </w:r>
      <w:r w:rsidRPr="001D49D4">
        <w:rPr>
          <w:rFonts w:ascii="Calibri" w:eastAsia="Calibri" w:hAnsi="Calibri" w:cs="Arial"/>
          <w:b/>
          <w:bCs/>
          <w:rtl/>
        </w:rPr>
        <w:t xml:space="preserve"> כ</w:t>
      </w:r>
      <w:r w:rsidRPr="001D49D4">
        <w:rPr>
          <w:rFonts w:ascii="Calibri" w:eastAsia="Calibri" w:hAnsi="Calibri" w:cs="Arial"/>
          <w:b/>
          <w:bCs/>
          <w:vertAlign w:val="superscript"/>
          <w:rtl/>
        </w:rPr>
        <w:footnoteReference w:id="3742"/>
      </w:r>
      <w:r w:rsidRPr="001D49D4">
        <w:rPr>
          <w:rFonts w:ascii="Calibri" w:eastAsia="Calibri" w:hAnsi="Calibri" w:cs="Arial"/>
          <w:b/>
          <w:bCs/>
          <w:rtl/>
        </w:rPr>
        <w:t xml:space="preserve"> ע"א</w:t>
      </w:r>
      <w:r w:rsidRPr="001D49D4">
        <w:rPr>
          <w:rFonts w:ascii="Calibri" w:eastAsia="Calibri" w:hAnsi="Calibri" w:cs="Arial"/>
          <w:b/>
          <w:bCs/>
          <w:sz w:val="16"/>
          <w:szCs w:val="16"/>
          <w:rtl/>
        </w:rPr>
        <w:t xml:space="preserve"> (לגירסת רש"י [רמב"ם</w:t>
      </w:r>
      <w:r w:rsidRPr="001D49D4">
        <w:rPr>
          <w:rFonts w:ascii="Calibri" w:eastAsia="Calibri" w:hAnsi="Calibri" w:cs="Arial"/>
          <w:b/>
          <w:bCs/>
          <w:sz w:val="14"/>
          <w:szCs w:val="14"/>
          <w:rtl/>
        </w:rPr>
        <w:t xml:space="preserve"> </w:t>
      </w:r>
      <w:r w:rsidRPr="001D49D4">
        <w:rPr>
          <w:rFonts w:ascii="Calibri" w:eastAsia="Calibri" w:hAnsi="Calibri" w:cs="Arial"/>
          <w:sz w:val="14"/>
          <w:szCs w:val="14"/>
          <w:rtl/>
        </w:rPr>
        <w:t>{להב' הב"י</w:t>
      </w:r>
      <w:r w:rsidRPr="001D49D4">
        <w:rPr>
          <w:rFonts w:ascii="Calibri" w:eastAsia="Calibri" w:hAnsi="Calibri" w:cs="Arial"/>
          <w:sz w:val="14"/>
          <w:szCs w:val="14"/>
          <w:vertAlign w:val="superscript"/>
          <w:rtl/>
        </w:rPr>
        <w:footnoteReference w:id="3743"/>
      </w:r>
      <w:r w:rsidRPr="001D49D4">
        <w:rPr>
          <w:rFonts w:ascii="Calibri" w:eastAsia="Calibri" w:hAnsi="Calibri" w:cs="Arial"/>
          <w:sz w:val="14"/>
          <w:szCs w:val="14"/>
          <w:rtl/>
        </w:rPr>
        <w:t>}</w:t>
      </w:r>
      <w:r w:rsidRPr="001D49D4">
        <w:rPr>
          <w:rFonts w:ascii="Calibri" w:eastAsia="Calibri" w:hAnsi="Calibri" w:cs="Arial"/>
          <w:b/>
          <w:bCs/>
          <w:sz w:val="16"/>
          <w:szCs w:val="16"/>
          <w:rtl/>
        </w:rPr>
        <w:t>] ורא"ש)</w:t>
      </w:r>
      <w:r w:rsidRPr="001D49D4">
        <w:rPr>
          <w:rFonts w:ascii="Calibri" w:eastAsia="Calibri" w:hAnsi="Calibri" w:cs="Arial"/>
          <w:b/>
          <w:bCs/>
          <w:rtl/>
        </w:rPr>
        <w:t xml:space="preserve">: </w:t>
      </w:r>
      <w:r w:rsidRPr="001D49D4">
        <w:rPr>
          <w:rFonts w:ascii="Calibri" w:eastAsia="Calibri" w:hAnsi="Calibri" w:cs="Arial"/>
          <w:u w:val="single"/>
          <w:rtl/>
        </w:rPr>
        <w:t>אמר רבי אסי</w:t>
      </w:r>
      <w:r w:rsidRPr="001D49D4">
        <w:rPr>
          <w:rFonts w:ascii="Calibri" w:eastAsia="Calibri" w:hAnsi="Calibri" w:cs="Arial"/>
          <w:rtl/>
        </w:rPr>
        <w:t xml:space="preserve">: אין מקיימין את השטר - אלא משטר שקרא עליו ערער והוחזק בב"ד. </w:t>
      </w:r>
      <w:r w:rsidRPr="001D49D4">
        <w:rPr>
          <w:rFonts w:ascii="Calibri" w:eastAsia="Calibri" w:hAnsi="Calibri" w:cs="Arial"/>
          <w:u w:val="single"/>
          <w:rtl/>
        </w:rPr>
        <w:t>אמרי נהרדעי</w:t>
      </w:r>
      <w:r w:rsidRPr="001D49D4">
        <w:rPr>
          <w:rFonts w:ascii="Calibri" w:eastAsia="Calibri" w:hAnsi="Calibri" w:cs="Arial"/>
          <w:rtl/>
        </w:rPr>
        <w:t>: אין מקיימין את השטר - אלא משתי כתובות או משתי שדות, והוא שאכלום בעליהן ג' שנים ובשופי</w:t>
      </w:r>
      <w:r w:rsidRPr="001D49D4">
        <w:rPr>
          <w:rFonts w:ascii="Calibri" w:eastAsia="Calibri" w:hAnsi="Calibri" w:cs="Arial"/>
          <w:vertAlign w:val="superscript"/>
          <w:rtl/>
        </w:rPr>
        <w:footnoteReference w:id="3744"/>
      </w:r>
      <w:r w:rsidRPr="001D49D4">
        <w:rPr>
          <w:rFonts w:ascii="Calibri" w:eastAsia="Calibri" w:hAnsi="Calibri" w:cs="Arial"/>
          <w:rtl/>
        </w:rPr>
        <w:t>.</w:t>
      </w:r>
    </w:p>
    <w:p w14:paraId="62F8284B"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b/>
          <w:bCs/>
          <w:rtl/>
        </w:rPr>
        <w:t xml:space="preserve">כתובות </w:t>
      </w:r>
      <w:r w:rsidRPr="001D49D4">
        <w:rPr>
          <w:rFonts w:ascii="Calibri" w:eastAsia="Calibri" w:hAnsi="Calibri" w:cs="Arial"/>
          <w:b/>
          <w:bCs/>
          <w:sz w:val="16"/>
          <w:szCs w:val="16"/>
          <w:rtl/>
        </w:rPr>
        <w:t>(פ"ב)</w:t>
      </w:r>
      <w:r w:rsidRPr="001D49D4">
        <w:rPr>
          <w:rFonts w:ascii="Calibri" w:eastAsia="Calibri" w:hAnsi="Calibri" w:cs="Arial"/>
          <w:b/>
          <w:bCs/>
          <w:rtl/>
        </w:rPr>
        <w:t xml:space="preserve"> כ ע"א</w:t>
      </w:r>
      <w:r w:rsidRPr="001D49D4">
        <w:rPr>
          <w:rFonts w:ascii="Calibri" w:eastAsia="Calibri" w:hAnsi="Calibri" w:cs="Arial"/>
          <w:b/>
          <w:bCs/>
          <w:sz w:val="16"/>
          <w:szCs w:val="16"/>
          <w:rtl/>
        </w:rPr>
        <w:t xml:space="preserve"> (לגירסת רי"ף</w:t>
      </w:r>
      <w:r w:rsidRPr="001D49D4">
        <w:rPr>
          <w:rFonts w:ascii="Calibri" w:eastAsia="Calibri" w:hAnsi="Calibri" w:cs="Arial"/>
          <w:b/>
          <w:bCs/>
          <w:sz w:val="16"/>
          <w:szCs w:val="16"/>
          <w:vertAlign w:val="superscript"/>
          <w:rtl/>
        </w:rPr>
        <w:footnoteReference w:id="3745"/>
      </w:r>
      <w:r w:rsidRPr="001D49D4">
        <w:rPr>
          <w:rFonts w:ascii="Calibri" w:eastAsia="Calibri" w:hAnsi="Calibri" w:cs="Arial"/>
          <w:b/>
          <w:bCs/>
          <w:sz w:val="16"/>
          <w:szCs w:val="16"/>
          <w:rtl/>
        </w:rPr>
        <w:t xml:space="preserve"> [ורמב"ם</w:t>
      </w:r>
      <w:r w:rsidRPr="001D49D4">
        <w:rPr>
          <w:rFonts w:ascii="Calibri" w:eastAsia="Calibri" w:hAnsi="Calibri" w:cs="Arial"/>
          <w:b/>
          <w:bCs/>
          <w:sz w:val="14"/>
          <w:szCs w:val="14"/>
          <w:rtl/>
        </w:rPr>
        <w:t xml:space="preserve"> </w:t>
      </w:r>
      <w:r w:rsidRPr="001D49D4">
        <w:rPr>
          <w:rFonts w:ascii="Calibri" w:eastAsia="Calibri" w:hAnsi="Calibri" w:cs="Arial"/>
          <w:sz w:val="14"/>
          <w:szCs w:val="14"/>
          <w:rtl/>
        </w:rPr>
        <w:t>{להב' הר"ן ורי"ו}</w:t>
      </w:r>
      <w:r w:rsidRPr="001D49D4">
        <w:rPr>
          <w:rFonts w:ascii="Calibri" w:eastAsia="Calibri" w:hAnsi="Calibri" w:cs="Arial"/>
          <w:b/>
          <w:bCs/>
          <w:sz w:val="16"/>
          <w:szCs w:val="16"/>
          <w:rtl/>
        </w:rPr>
        <w:t>])</w:t>
      </w:r>
      <w:r w:rsidRPr="001D49D4">
        <w:rPr>
          <w:rFonts w:ascii="Calibri" w:eastAsia="Calibri" w:hAnsi="Calibri" w:cs="Arial"/>
          <w:b/>
          <w:bCs/>
          <w:rtl/>
        </w:rPr>
        <w:t xml:space="preserve">: </w:t>
      </w:r>
      <w:r w:rsidRPr="001D49D4">
        <w:rPr>
          <w:rFonts w:ascii="Calibri" w:eastAsia="Calibri" w:hAnsi="Calibri" w:cs="Arial"/>
          <w:u w:val="single"/>
          <w:rtl/>
        </w:rPr>
        <w:t>אמר רבי אסי</w:t>
      </w:r>
      <w:r w:rsidRPr="001D49D4">
        <w:rPr>
          <w:rFonts w:ascii="Calibri" w:eastAsia="Calibri" w:hAnsi="Calibri" w:cs="Arial"/>
          <w:rtl/>
        </w:rPr>
        <w:t xml:space="preserve">: אין מקיימין את השטר משטר שקרא עליו ערער - אלא אם כן הוחזק בבית דין. </w:t>
      </w:r>
      <w:r w:rsidRPr="001D49D4">
        <w:rPr>
          <w:rFonts w:ascii="Calibri" w:eastAsia="Calibri" w:hAnsi="Calibri" w:cs="Arial"/>
          <w:u w:val="single"/>
          <w:rtl/>
        </w:rPr>
        <w:t>אמרי נהרדעי</w:t>
      </w:r>
      <w:r w:rsidRPr="001D49D4">
        <w:rPr>
          <w:rFonts w:ascii="Calibri" w:eastAsia="Calibri" w:hAnsi="Calibri" w:cs="Arial"/>
          <w:rtl/>
        </w:rPr>
        <w:t>: אין מקיימין את השטר - אלא משטרי שתי שדות או שתי כתובות, והוא שאכלום בעליהם שלש שנים בשופי</w:t>
      </w:r>
      <w:r w:rsidRPr="001D49D4">
        <w:rPr>
          <w:rFonts w:ascii="Calibri" w:eastAsia="Calibri" w:hAnsi="Calibri" w:cs="Arial"/>
          <w:vertAlign w:val="superscript"/>
          <w:rtl/>
        </w:rPr>
        <w:footnoteReference w:id="3746"/>
      </w:r>
      <w:r w:rsidRPr="001D49D4">
        <w:rPr>
          <w:rFonts w:ascii="Calibri" w:eastAsia="Calibri" w:hAnsi="Calibri" w:cs="Arial"/>
          <w:rtl/>
        </w:rPr>
        <w:t xml:space="preserve">. </w:t>
      </w:r>
    </w:p>
    <w:p w14:paraId="652E9EA2"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u w:val="single"/>
          <w:rtl/>
        </w:rPr>
        <w:t>כשאין כאן מי שמכיר חתימת העדים – האם אפשר לקיים את השטר משטר אחר שאותם העדים חתומים בו:</w:t>
      </w:r>
    </w:p>
    <w:p w14:paraId="4888A171" w14:textId="77777777" w:rsidR="001D49D4" w:rsidRPr="001D49D4" w:rsidRDefault="001D49D4" w:rsidP="0004348D">
      <w:pPr>
        <w:numPr>
          <w:ilvl w:val="0"/>
          <w:numId w:val="280"/>
        </w:numPr>
        <w:spacing w:before="360" w:after="240"/>
        <w:contextualSpacing/>
        <w:rPr>
          <w:rtl/>
        </w:rPr>
      </w:pPr>
      <w:r w:rsidRPr="001D49D4">
        <w:rPr>
          <w:rtl/>
        </w:rPr>
        <w:t>רי"ף</w:t>
      </w:r>
      <w:r w:rsidRPr="001D49D4">
        <w:rPr>
          <w:sz w:val="16"/>
          <w:szCs w:val="16"/>
          <w:rtl/>
        </w:rPr>
        <w:t xml:space="preserve"> (ז.)</w:t>
      </w:r>
      <w:r w:rsidRPr="001D49D4">
        <w:rPr>
          <w:rtl/>
        </w:rPr>
        <w:t xml:space="preserve"> רמב"ם </w:t>
      </w:r>
      <w:r w:rsidRPr="001D49D4">
        <w:rPr>
          <w:sz w:val="16"/>
          <w:szCs w:val="16"/>
          <w:rtl/>
        </w:rPr>
        <w:t>(פ"ו מהל' עדות ה"ג)</w:t>
      </w:r>
      <w:r w:rsidRPr="001D49D4">
        <w:rPr>
          <w:rtl/>
        </w:rPr>
        <w:t xml:space="preserve"> רא"ש</w:t>
      </w:r>
      <w:r w:rsidRPr="001D49D4">
        <w:rPr>
          <w:sz w:val="16"/>
          <w:szCs w:val="16"/>
          <w:rtl/>
        </w:rPr>
        <w:t xml:space="preserve"> (סי' יג)</w:t>
      </w:r>
      <w:r w:rsidRPr="001D49D4">
        <w:rPr>
          <w:rtl/>
        </w:rPr>
        <w:t xml:space="preserve"> וטור- שטר שאין כאן מי שיכיר חתימת העדים, אם יש כאן שטר שקרא עליו ערער ונתקיים והוא חתום באותם עדים עצמן ומדמין החתימות והם דומים - מקיימים את זה מתוכו</w:t>
      </w:r>
      <w:r w:rsidRPr="001D49D4">
        <w:rPr>
          <w:vertAlign w:val="superscript"/>
          <w:rtl/>
        </w:rPr>
        <w:footnoteReference w:id="3747"/>
      </w:r>
      <w:r w:rsidRPr="001D49D4">
        <w:rPr>
          <w:rtl/>
        </w:rPr>
        <w:t xml:space="preserve">. ואם אין כאן שטר מקויים שיהא דומה לו, אם יש כאן שני שטרי שדות או ב' כתובות חתומות באותן </w:t>
      </w:r>
      <w:r w:rsidRPr="001D49D4">
        <w:rPr>
          <w:rtl/>
        </w:rPr>
        <w:lastRenderedPageBreak/>
        <w:t>העדים וזה דומה להם - מקיימין אותו מתוכן, אבל מאחר לא. וכגון שאכלום בעליהם ג' שנים בשופי בלא ערעור</w:t>
      </w:r>
      <w:r w:rsidRPr="001D49D4">
        <w:rPr>
          <w:sz w:val="16"/>
          <w:szCs w:val="16"/>
          <w:rtl/>
        </w:rPr>
        <w:t xml:space="preserve"> (ל' הטור)</w:t>
      </w:r>
      <w:r w:rsidRPr="001D49D4">
        <w:rPr>
          <w:rtl/>
        </w:rPr>
        <w:t xml:space="preserve">. </w:t>
      </w:r>
      <w:r w:rsidRPr="001D49D4">
        <w:rPr>
          <w:color w:val="E36C0A" w:themeColor="accent6" w:themeShade="BF"/>
          <w:rtl/>
        </w:rPr>
        <w:t>(וכ"פ בשו"ע)</w:t>
      </w:r>
    </w:p>
    <w:p w14:paraId="3CA637CE" w14:textId="77777777" w:rsidR="001D49D4" w:rsidRPr="001D49D4" w:rsidRDefault="001D49D4" w:rsidP="0004348D">
      <w:pPr>
        <w:numPr>
          <w:ilvl w:val="0"/>
          <w:numId w:val="280"/>
        </w:numPr>
        <w:spacing w:before="360" w:after="240"/>
        <w:contextualSpacing/>
      </w:pPr>
      <w:r w:rsidRPr="001D49D4">
        <w:rPr>
          <w:rtl/>
        </w:rPr>
        <w:t>ראב"ד</w:t>
      </w:r>
      <w:r w:rsidRPr="001D49D4">
        <w:rPr>
          <w:sz w:val="16"/>
          <w:szCs w:val="16"/>
          <w:rtl/>
        </w:rPr>
        <w:t xml:space="preserve"> (כ"כ הר"ן והב"י</w:t>
      </w:r>
      <w:r w:rsidRPr="001D49D4">
        <w:rPr>
          <w:sz w:val="16"/>
          <w:szCs w:val="16"/>
          <w:vertAlign w:val="superscript"/>
          <w:rtl/>
        </w:rPr>
        <w:footnoteReference w:id="3748"/>
      </w:r>
      <w:r w:rsidRPr="001D49D4">
        <w:rPr>
          <w:sz w:val="16"/>
          <w:szCs w:val="16"/>
          <w:rtl/>
        </w:rPr>
        <w:t xml:space="preserve"> בשמו)</w:t>
      </w:r>
      <w:r w:rsidRPr="001D49D4">
        <w:rPr>
          <w:rtl/>
        </w:rPr>
        <w:t>- לעולם אין מקיימין את השטר משטר אחר ואפילו הוחזק, אלא משנים. ושני שדות שאכלום בעליהם בשופי שלש שנים - כהוחזק בבית דין דמי. הילכך אין מקיימין אלא משנים או שהוחזק כל אחד מהם בבית דין</w:t>
      </w:r>
      <w:r w:rsidRPr="001D49D4">
        <w:rPr>
          <w:vertAlign w:val="superscript"/>
          <w:rtl/>
        </w:rPr>
        <w:footnoteReference w:id="3749"/>
      </w:r>
      <w:r w:rsidRPr="001D49D4">
        <w:rPr>
          <w:rtl/>
        </w:rPr>
        <w:t xml:space="preserve"> או שאכלום בעליהן לכל אחד שלש שנים</w:t>
      </w:r>
      <w:r w:rsidRPr="001D49D4">
        <w:rPr>
          <w:sz w:val="16"/>
          <w:szCs w:val="16"/>
          <w:rtl/>
        </w:rPr>
        <w:t xml:space="preserve"> (ל' הר"ן בשם הראב"ד)</w:t>
      </w:r>
      <w:r w:rsidRPr="001D49D4">
        <w:rPr>
          <w:rtl/>
        </w:rPr>
        <w:t>.</w:t>
      </w:r>
    </w:p>
    <w:p w14:paraId="4FB7A5D0" w14:textId="77777777" w:rsidR="001D49D4" w:rsidRPr="001D49D4" w:rsidRDefault="001D49D4" w:rsidP="0004348D">
      <w:pPr>
        <w:spacing w:before="360" w:after="240"/>
        <w:ind w:left="360"/>
        <w:rPr>
          <w:rFonts w:ascii="Calibri" w:eastAsia="Calibri" w:hAnsi="Calibri" w:cs="Arial"/>
          <w:u w:val="dotted"/>
        </w:rPr>
      </w:pPr>
      <w:r w:rsidRPr="001D49D4">
        <w:rPr>
          <w:rFonts w:ascii="Calibri" w:eastAsia="Calibri" w:hAnsi="Calibri" w:cs="Arial"/>
          <w:u w:val="dotted"/>
          <w:rtl/>
        </w:rPr>
        <w:t>הא דמקיימים את השטר משטר שקרא עליו ערער ונתקיים בב"ד - האם בעינן דוקא שטר שקרא עליו ערער:</w:t>
      </w:r>
    </w:p>
    <w:p w14:paraId="5360FD72" w14:textId="77777777" w:rsidR="001D49D4" w:rsidRPr="001D49D4" w:rsidRDefault="001D49D4" w:rsidP="0004348D">
      <w:pPr>
        <w:numPr>
          <w:ilvl w:val="0"/>
          <w:numId w:val="281"/>
        </w:numPr>
        <w:spacing w:before="360" w:after="240"/>
        <w:contextualSpacing/>
        <w:rPr>
          <w:rtl/>
        </w:rPr>
      </w:pPr>
      <w:r w:rsidRPr="001D49D4">
        <w:rPr>
          <w:rtl/>
        </w:rPr>
        <w:t>רש"י</w:t>
      </w:r>
      <w:r w:rsidRPr="001D49D4">
        <w:rPr>
          <w:vertAlign w:val="superscript"/>
          <w:rtl/>
        </w:rPr>
        <w:footnoteReference w:id="3750"/>
      </w:r>
      <w:r w:rsidRPr="001D49D4">
        <w:rPr>
          <w:rtl/>
        </w:rPr>
        <w:t xml:space="preserve"> רמב"ם </w:t>
      </w:r>
      <w:r w:rsidRPr="001D49D4">
        <w:rPr>
          <w:sz w:val="16"/>
          <w:szCs w:val="16"/>
          <w:rtl/>
        </w:rPr>
        <w:t>(שם, להב' הב"י)</w:t>
      </w:r>
      <w:r w:rsidRPr="001D49D4">
        <w:rPr>
          <w:rtl/>
        </w:rPr>
        <w:t xml:space="preserve"> ורמ"ה</w:t>
      </w:r>
      <w:r w:rsidRPr="001D49D4">
        <w:rPr>
          <w:sz w:val="16"/>
          <w:szCs w:val="16"/>
          <w:rtl/>
        </w:rPr>
        <w:t xml:space="preserve"> (כ"כ הטור בשמו)</w:t>
      </w:r>
      <w:r w:rsidRPr="001D49D4">
        <w:rPr>
          <w:rtl/>
        </w:rPr>
        <w:t>- דוקא שקרא עליו ערער והוחזק, דאז דקדקו בקיומו ולא קיימוהו אא"כ נתברר להם חתימת עדיו, אבל קיימוהו בלא ערעור לא</w:t>
      </w:r>
      <w:r w:rsidRPr="001D49D4">
        <w:rPr>
          <w:sz w:val="16"/>
          <w:szCs w:val="16"/>
          <w:rtl/>
        </w:rPr>
        <w:t xml:space="preserve"> (ל' הטור בשם הרמ"ה)</w:t>
      </w:r>
      <w:r w:rsidRPr="001D49D4">
        <w:rPr>
          <w:rtl/>
        </w:rPr>
        <w:t xml:space="preserve">. </w:t>
      </w:r>
      <w:r w:rsidRPr="001D49D4">
        <w:rPr>
          <w:color w:val="E36C0A" w:themeColor="accent6" w:themeShade="BF"/>
          <w:rtl/>
        </w:rPr>
        <w:t>(וכ"פ בשו"ע)</w:t>
      </w:r>
    </w:p>
    <w:p w14:paraId="4AE7D2EF" w14:textId="77777777" w:rsidR="001D49D4" w:rsidRPr="001D49D4" w:rsidRDefault="001D49D4" w:rsidP="0004348D">
      <w:pPr>
        <w:numPr>
          <w:ilvl w:val="0"/>
          <w:numId w:val="281"/>
        </w:numPr>
        <w:spacing w:before="360" w:after="240"/>
        <w:contextualSpacing/>
      </w:pPr>
      <w:r w:rsidRPr="001D49D4">
        <w:rPr>
          <w:rtl/>
        </w:rPr>
        <w:t>רי"ף</w:t>
      </w:r>
      <w:r w:rsidRPr="001D49D4">
        <w:rPr>
          <w:sz w:val="16"/>
          <w:szCs w:val="16"/>
          <w:rtl/>
        </w:rPr>
        <w:t xml:space="preserve"> (ז.)</w:t>
      </w:r>
      <w:r w:rsidRPr="001D49D4">
        <w:rPr>
          <w:rtl/>
        </w:rPr>
        <w:t xml:space="preserve"> ורא"ש</w:t>
      </w:r>
      <w:r w:rsidRPr="001D49D4">
        <w:rPr>
          <w:sz w:val="16"/>
          <w:szCs w:val="16"/>
          <w:rtl/>
        </w:rPr>
        <w:t xml:space="preserve"> (סי' יג)</w:t>
      </w:r>
      <w:r w:rsidRPr="001D49D4">
        <w:rPr>
          <w:rtl/>
        </w:rPr>
        <w:t>- יראה דהא דקאמר שקרא עליו ערער והוחזק בב"ד - לאו דוקא, דהוא הדין נמי אם הוחזק בלא ערער, דכיון דמקויים בב"ד הוא בתר בי דינא לא דייקינן דודאי לא קיימוהו עד שנתברר להם שהוא חתימתן, אלא שבימיהם לא היו נוהגים לקיים חתימת העדים בב"ד בלא ערער</w:t>
      </w:r>
      <w:r w:rsidRPr="001D49D4">
        <w:rPr>
          <w:sz w:val="16"/>
          <w:szCs w:val="16"/>
          <w:rtl/>
        </w:rPr>
        <w:t xml:space="preserve"> (ל' הרא"ש)</w:t>
      </w:r>
      <w:r w:rsidRPr="001D49D4">
        <w:rPr>
          <w:vertAlign w:val="superscript"/>
          <w:rtl/>
        </w:rPr>
        <w:footnoteReference w:id="3751"/>
      </w:r>
      <w:r w:rsidRPr="001D49D4">
        <w:rPr>
          <w:rtl/>
        </w:rPr>
        <w:t>.</w:t>
      </w:r>
      <w:r w:rsidRPr="001D49D4">
        <w:rPr>
          <w:color w:val="00B0F0"/>
          <w:rtl/>
        </w:rPr>
        <w:t xml:space="preserve"> (וכ"כ הרמ"א)</w:t>
      </w:r>
      <w:r w:rsidRPr="001D49D4">
        <w:rPr>
          <w:rtl/>
        </w:rPr>
        <w:t xml:space="preserve"> (וכ"פ הש"ך</w:t>
      </w:r>
      <w:r w:rsidRPr="001D49D4">
        <w:rPr>
          <w:sz w:val="16"/>
          <w:szCs w:val="16"/>
          <w:rtl/>
        </w:rPr>
        <w:t xml:space="preserve"> [סקכ"ה]</w:t>
      </w:r>
      <w:r w:rsidRPr="001D49D4">
        <w:rPr>
          <w:rtl/>
        </w:rPr>
        <w:t>)</w:t>
      </w:r>
    </w:p>
    <w:p w14:paraId="3A93F078" w14:textId="77777777" w:rsidR="001D49D4" w:rsidRPr="001D49D4" w:rsidRDefault="001D49D4" w:rsidP="0004348D">
      <w:pPr>
        <w:numPr>
          <w:ilvl w:val="1"/>
          <w:numId w:val="281"/>
        </w:numPr>
        <w:spacing w:before="360" w:after="240"/>
        <w:contextualSpacing/>
        <w:rPr>
          <w:rtl/>
        </w:rPr>
      </w:pPr>
      <w:r w:rsidRPr="001D49D4">
        <w:rPr>
          <w:rtl/>
        </w:rPr>
        <w:t>ב"י- כיון דרש"י והרמב"ם סברי דבקרא עליו ערער דוקא הוא דמקיימין מיניה אבל אי לא קרא עליו ערער אע"ג דמקויים הוא אין מקיימים ממנו וגם הרמ"ה סבור כן כמו שכתב רבינו בשמו - הכי נקטינן.</w:t>
      </w:r>
    </w:p>
    <w:p w14:paraId="587CF6AC"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b/>
          <w:bCs/>
          <w:rtl/>
        </w:rPr>
        <w:t xml:space="preserve">כתובות </w:t>
      </w:r>
      <w:r w:rsidRPr="001D49D4">
        <w:rPr>
          <w:rFonts w:ascii="Calibri" w:eastAsia="Calibri" w:hAnsi="Calibri" w:cs="Arial"/>
          <w:b/>
          <w:bCs/>
          <w:sz w:val="16"/>
          <w:szCs w:val="16"/>
          <w:rtl/>
        </w:rPr>
        <w:t>(פ"ב)</w:t>
      </w:r>
      <w:r w:rsidRPr="001D49D4">
        <w:rPr>
          <w:rFonts w:ascii="Calibri" w:eastAsia="Calibri" w:hAnsi="Calibri" w:cs="Arial"/>
          <w:b/>
          <w:bCs/>
          <w:rtl/>
        </w:rPr>
        <w:t xml:space="preserve"> כ ע"א</w:t>
      </w:r>
      <w:r w:rsidRPr="001D49D4">
        <w:rPr>
          <w:rFonts w:ascii="Calibri" w:eastAsia="Calibri" w:hAnsi="Calibri" w:cs="Arial"/>
          <w:b/>
          <w:bCs/>
          <w:sz w:val="16"/>
          <w:szCs w:val="16"/>
          <w:rtl/>
        </w:rPr>
        <w:t xml:space="preserve"> (לגירסת רש"י [רמב"ם</w:t>
      </w:r>
      <w:r w:rsidRPr="001D49D4">
        <w:rPr>
          <w:rFonts w:ascii="Calibri" w:eastAsia="Calibri" w:hAnsi="Calibri" w:cs="Arial"/>
          <w:b/>
          <w:bCs/>
          <w:sz w:val="14"/>
          <w:szCs w:val="14"/>
          <w:rtl/>
        </w:rPr>
        <w:t xml:space="preserve"> </w:t>
      </w:r>
      <w:r w:rsidRPr="001D49D4">
        <w:rPr>
          <w:rFonts w:ascii="Calibri" w:eastAsia="Calibri" w:hAnsi="Calibri" w:cs="Arial"/>
          <w:sz w:val="14"/>
          <w:szCs w:val="14"/>
          <w:rtl/>
        </w:rPr>
        <w:t>{להב' הב"י}</w:t>
      </w:r>
      <w:r w:rsidRPr="001D49D4">
        <w:rPr>
          <w:rFonts w:ascii="Calibri" w:eastAsia="Calibri" w:hAnsi="Calibri" w:cs="Arial"/>
          <w:b/>
          <w:bCs/>
          <w:sz w:val="16"/>
          <w:szCs w:val="16"/>
          <w:rtl/>
        </w:rPr>
        <w:t>] ורא"ש)</w:t>
      </w:r>
      <w:r w:rsidRPr="001D49D4">
        <w:rPr>
          <w:rFonts w:ascii="Calibri" w:eastAsia="Calibri" w:hAnsi="Calibri" w:cs="Arial"/>
          <w:b/>
          <w:bCs/>
          <w:rtl/>
        </w:rPr>
        <w:t xml:space="preserve">: </w:t>
      </w:r>
      <w:r w:rsidRPr="001D49D4">
        <w:rPr>
          <w:rFonts w:ascii="Calibri" w:eastAsia="Calibri" w:hAnsi="Calibri" w:cs="Arial"/>
          <w:u w:val="single"/>
          <w:rtl/>
        </w:rPr>
        <w:t>אמר רבי אסי</w:t>
      </w:r>
      <w:r w:rsidRPr="001D49D4">
        <w:rPr>
          <w:rFonts w:ascii="Calibri" w:eastAsia="Calibri" w:hAnsi="Calibri" w:cs="Arial"/>
          <w:rtl/>
        </w:rPr>
        <w:t xml:space="preserve">: אין מקיימין את השטר - אלא משטר שקרא עליו ערער והוחזק בב"ד. </w:t>
      </w:r>
      <w:r w:rsidRPr="001D49D4">
        <w:rPr>
          <w:rFonts w:ascii="Calibri" w:eastAsia="Calibri" w:hAnsi="Calibri" w:cs="Arial"/>
          <w:u w:val="single"/>
          <w:rtl/>
        </w:rPr>
        <w:t>אמרי נהרדעי</w:t>
      </w:r>
      <w:r w:rsidRPr="001D49D4">
        <w:rPr>
          <w:rFonts w:ascii="Calibri" w:eastAsia="Calibri" w:hAnsi="Calibri" w:cs="Arial"/>
          <w:rtl/>
        </w:rPr>
        <w:t xml:space="preserve">: אין מקיימין את השטר - אלא משתי כתובות או משתי שדות, והוא שאכלום בעליהן ג' שנים ובשופי. </w:t>
      </w:r>
      <w:r w:rsidRPr="001D49D4">
        <w:rPr>
          <w:rFonts w:ascii="Calibri" w:eastAsia="Calibri" w:hAnsi="Calibri" w:cs="Arial"/>
          <w:u w:val="single"/>
          <w:rtl/>
        </w:rPr>
        <w:t>א"ר שימי בר אשי</w:t>
      </w:r>
      <w:r w:rsidRPr="001D49D4">
        <w:rPr>
          <w:rFonts w:ascii="Calibri" w:eastAsia="Calibri" w:hAnsi="Calibri" w:cs="Arial"/>
          <w:rtl/>
        </w:rPr>
        <w:t>: וביוצא מתחת יד אחר, אבל מיד עצמו - לא. מאי שנא תחת יד עצמו דלא? דלמא זיופי מזייף, מתחת ידי אחר נמי, דלמא אזל וחזא אתא וזייף! כולי האי לא מצי מכוין.</w:t>
      </w:r>
    </w:p>
    <w:p w14:paraId="4D0FFE79"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u w:val="single"/>
          <w:rtl/>
        </w:rPr>
        <w:t>כשמקיימים את השטר מב' שטרי שדות/כתובות – משטרות של מי מקיימים:</w:t>
      </w:r>
      <w:r w:rsidRPr="001D49D4">
        <w:rPr>
          <w:rFonts w:ascii="Calibri" w:eastAsia="Calibri" w:hAnsi="Calibri" w:cs="Arial"/>
          <w:rtl/>
        </w:rPr>
        <w:t xml:space="preserve"> </w:t>
      </w:r>
    </w:p>
    <w:p w14:paraId="79A24790" w14:textId="77777777" w:rsidR="001D49D4" w:rsidRPr="001D49D4" w:rsidRDefault="001D49D4" w:rsidP="0004348D">
      <w:pPr>
        <w:numPr>
          <w:ilvl w:val="0"/>
          <w:numId w:val="282"/>
        </w:numPr>
        <w:spacing w:before="360" w:after="240"/>
        <w:contextualSpacing/>
        <w:rPr>
          <w:rtl/>
        </w:rPr>
      </w:pPr>
      <w:r w:rsidRPr="001D49D4">
        <w:rPr>
          <w:rtl/>
        </w:rPr>
        <w:t>טור- אם יש כאן שני שטרי שדות או ב' כתובות חתומות... מקיימין אותו מתוכן... והוא שיצאו שני השטרות מתחת יד אחר ולא מתחת יד זה שבא לקיים השטר</w:t>
      </w:r>
      <w:r w:rsidRPr="001D49D4">
        <w:rPr>
          <w:vertAlign w:val="superscript"/>
          <w:rtl/>
        </w:rPr>
        <w:footnoteReference w:id="3752"/>
      </w:r>
      <w:r w:rsidRPr="001D49D4">
        <w:rPr>
          <w:rtl/>
        </w:rPr>
        <w:t xml:space="preserve">. </w:t>
      </w:r>
      <w:r w:rsidRPr="001D49D4">
        <w:rPr>
          <w:color w:val="E36C0A" w:themeColor="accent6" w:themeShade="BF"/>
          <w:rtl/>
        </w:rPr>
        <w:t>(וכ"פ בשו"ע)</w:t>
      </w:r>
    </w:p>
    <w:p w14:paraId="61A056D2" w14:textId="77777777" w:rsidR="001D49D4" w:rsidRPr="001D49D4" w:rsidRDefault="001D49D4" w:rsidP="0004348D">
      <w:pPr>
        <w:spacing w:before="360" w:after="240"/>
        <w:ind w:left="360"/>
        <w:rPr>
          <w:rFonts w:ascii="Calibri" w:eastAsia="Calibri" w:hAnsi="Calibri" w:cs="Arial"/>
          <w:u w:val="dotted"/>
          <w:rtl/>
        </w:rPr>
      </w:pPr>
      <w:r w:rsidRPr="001D49D4">
        <w:rPr>
          <w:rFonts w:ascii="Calibri" w:eastAsia="Calibri" w:hAnsi="Calibri" w:cs="Arial"/>
          <w:u w:val="dotted"/>
          <w:rtl/>
        </w:rPr>
        <w:t xml:space="preserve">מדוע לא מקיימים משטרותיו של זה שבא לקיים את השטר: </w:t>
      </w:r>
    </w:p>
    <w:p w14:paraId="5F2FABB3" w14:textId="77777777" w:rsidR="001D49D4" w:rsidRPr="001D49D4" w:rsidRDefault="001D49D4" w:rsidP="0004348D">
      <w:pPr>
        <w:numPr>
          <w:ilvl w:val="0"/>
          <w:numId w:val="283"/>
        </w:numPr>
        <w:spacing w:before="360" w:after="240"/>
        <w:contextualSpacing/>
        <w:rPr>
          <w:rtl/>
        </w:rPr>
      </w:pPr>
      <w:r w:rsidRPr="001D49D4">
        <w:rPr>
          <w:rtl/>
        </w:rPr>
        <w:t xml:space="preserve">רש"י </w:t>
      </w:r>
      <w:r w:rsidRPr="001D49D4">
        <w:rPr>
          <w:sz w:val="16"/>
          <w:szCs w:val="16"/>
          <w:rtl/>
        </w:rPr>
        <w:t>(ד"ה זיופי זייף)</w:t>
      </w:r>
      <w:r w:rsidRPr="001D49D4">
        <w:rPr>
          <w:rtl/>
        </w:rPr>
        <w:t>- שמא הסתכל בכתב של אותן שטרות וכוון וחתם הוא עצמו את השלישי דוגמת אותה חתימה</w:t>
      </w:r>
      <w:r w:rsidRPr="001D49D4">
        <w:rPr>
          <w:vertAlign w:val="superscript"/>
          <w:rtl/>
        </w:rPr>
        <w:footnoteReference w:id="3753"/>
      </w:r>
      <w:r w:rsidRPr="001D49D4">
        <w:rPr>
          <w:rtl/>
        </w:rPr>
        <w:t>.</w:t>
      </w:r>
    </w:p>
    <w:p w14:paraId="42DAE411" w14:textId="77777777" w:rsidR="001D49D4" w:rsidRPr="001D49D4" w:rsidRDefault="001D49D4" w:rsidP="0004348D">
      <w:pPr>
        <w:numPr>
          <w:ilvl w:val="0"/>
          <w:numId w:val="283"/>
        </w:numPr>
        <w:spacing w:before="360" w:after="240"/>
        <w:contextualSpacing/>
      </w:pPr>
      <w:r w:rsidRPr="001D49D4">
        <w:rPr>
          <w:rtl/>
        </w:rPr>
        <w:t xml:space="preserve">רמב"ם </w:t>
      </w:r>
      <w:r w:rsidRPr="001D49D4">
        <w:rPr>
          <w:sz w:val="16"/>
          <w:szCs w:val="16"/>
          <w:rtl/>
        </w:rPr>
        <w:t>(פ"ו מהל' עדות ה"ג)</w:t>
      </w:r>
      <w:r w:rsidRPr="001D49D4">
        <w:rPr>
          <w:rtl/>
        </w:rPr>
        <w:t>- משום דחיישינן שמא הוא זייף את הכל</w:t>
      </w:r>
      <w:r w:rsidRPr="001D49D4">
        <w:rPr>
          <w:vertAlign w:val="superscript"/>
          <w:rtl/>
        </w:rPr>
        <w:footnoteReference w:id="3754"/>
      </w:r>
      <w:r w:rsidRPr="001D49D4">
        <w:rPr>
          <w:rtl/>
        </w:rPr>
        <w:t xml:space="preserve">. </w:t>
      </w:r>
      <w:r w:rsidRPr="001D49D4">
        <w:rPr>
          <w:color w:val="E36C0A" w:themeColor="accent6" w:themeShade="BF"/>
          <w:rtl/>
        </w:rPr>
        <w:t>(וכ"כ בשו"ע)</w:t>
      </w:r>
      <w:r w:rsidRPr="001D49D4">
        <w:rPr>
          <w:rFonts w:hint="cs"/>
        </w:rPr>
        <w:t xml:space="preserve"> </w:t>
      </w:r>
      <w:r w:rsidRPr="001D49D4">
        <w:rPr>
          <w:rtl/>
        </w:rPr>
        <w:t>(וכ"פ הש"ך</w:t>
      </w:r>
      <w:r w:rsidRPr="001D49D4">
        <w:rPr>
          <w:sz w:val="16"/>
          <w:szCs w:val="16"/>
          <w:rtl/>
        </w:rPr>
        <w:t xml:space="preserve"> [סקכ"ד]</w:t>
      </w:r>
      <w:r w:rsidRPr="001D49D4">
        <w:rPr>
          <w:rtl/>
        </w:rPr>
        <w:t>)</w:t>
      </w:r>
    </w:p>
    <w:p w14:paraId="626C4B8C" w14:textId="77777777" w:rsidR="001D49D4" w:rsidRPr="001D49D4" w:rsidRDefault="001D49D4" w:rsidP="0004348D">
      <w:pPr>
        <w:spacing w:before="360" w:after="240"/>
        <w:ind w:left="360"/>
        <w:rPr>
          <w:rFonts w:ascii="Calibri" w:eastAsia="Calibri" w:hAnsi="Calibri" w:cs="Arial"/>
          <w:u w:val="dotted"/>
        </w:rPr>
      </w:pPr>
      <w:r w:rsidRPr="001D49D4">
        <w:rPr>
          <w:rFonts w:ascii="Calibri" w:eastAsia="Calibri" w:hAnsi="Calibri" w:cs="Arial"/>
          <w:u w:val="dotted"/>
          <w:rtl/>
        </w:rPr>
        <w:t>האם אפשר לקיים משאר שטרי חוב או שוברים</w:t>
      </w:r>
      <w:r w:rsidRPr="001D49D4">
        <w:rPr>
          <w:rFonts w:ascii="Calibri" w:eastAsia="Calibri" w:hAnsi="Calibri" w:cs="Arial"/>
          <w:sz w:val="16"/>
          <w:szCs w:val="16"/>
          <w:u w:val="dotted"/>
          <w:rtl/>
        </w:rPr>
        <w:t xml:space="preserve"> (או דוקא מב' שדות/כתובות)</w:t>
      </w:r>
      <w:r w:rsidRPr="001D49D4">
        <w:rPr>
          <w:rFonts w:ascii="Calibri" w:eastAsia="Calibri" w:hAnsi="Calibri" w:cs="Arial"/>
          <w:u w:val="dotted"/>
          <w:rtl/>
        </w:rPr>
        <w:t>:</w:t>
      </w:r>
    </w:p>
    <w:p w14:paraId="6F9B1EDC" w14:textId="77777777" w:rsidR="001D49D4" w:rsidRPr="001D49D4" w:rsidRDefault="001D49D4" w:rsidP="0004348D">
      <w:pPr>
        <w:numPr>
          <w:ilvl w:val="0"/>
          <w:numId w:val="283"/>
        </w:numPr>
        <w:spacing w:before="360" w:after="240"/>
        <w:contextualSpacing/>
      </w:pPr>
      <w:r w:rsidRPr="001D49D4">
        <w:rPr>
          <w:rtl/>
        </w:rPr>
        <w:lastRenderedPageBreak/>
        <w:t xml:space="preserve">רמ"ה </w:t>
      </w:r>
      <w:r w:rsidRPr="001D49D4">
        <w:rPr>
          <w:sz w:val="16"/>
          <w:szCs w:val="16"/>
          <w:rtl/>
        </w:rPr>
        <w:t>(כ"כ הטור בשמו)</w:t>
      </w:r>
      <w:r w:rsidRPr="001D49D4">
        <w:rPr>
          <w:rtl/>
        </w:rPr>
        <w:t>- דוקא שני שטרי שדות או שני שטרי כתובות שאכילת פירות של המחזיק ג' שנים בשופי, וכן כתובת אשה</w:t>
      </w:r>
      <w:r w:rsidRPr="001D49D4">
        <w:rPr>
          <w:vertAlign w:val="superscript"/>
          <w:rtl/>
        </w:rPr>
        <w:footnoteReference w:id="3755"/>
      </w:r>
      <w:r w:rsidRPr="001D49D4">
        <w:rPr>
          <w:rtl/>
        </w:rPr>
        <w:t>... - מעידין ששטר כשר הוא, אבל ב' שטרי חובות אחרים או ב' שוברין אם לא נתקיימו אין מקיימין מהן, דליכא מידי דמחזיק להני שטרי דאפשר דזייפינהו מרייהו ולא ידעי בהו הנך דליתבעינהו מיניה</w:t>
      </w:r>
      <w:r w:rsidRPr="001D49D4">
        <w:rPr>
          <w:vertAlign w:val="superscript"/>
          <w:rtl/>
        </w:rPr>
        <w:footnoteReference w:id="3756"/>
      </w:r>
      <w:r w:rsidRPr="001D49D4">
        <w:rPr>
          <w:rtl/>
        </w:rPr>
        <w:t xml:space="preserve">. </w:t>
      </w:r>
      <w:r w:rsidRPr="001D49D4">
        <w:rPr>
          <w:color w:val="E36C0A" w:themeColor="accent6" w:themeShade="BF"/>
          <w:rtl/>
        </w:rPr>
        <w:t>(וכ"פ בשו"ע)</w:t>
      </w:r>
    </w:p>
    <w:p w14:paraId="2CFBD86E" w14:textId="77777777" w:rsidR="001D49D4" w:rsidRPr="001D49D4" w:rsidRDefault="001D49D4" w:rsidP="0004348D">
      <w:pPr>
        <w:spacing w:before="360" w:after="240"/>
        <w:ind w:left="360"/>
        <w:rPr>
          <w:rFonts w:ascii="Calibri" w:eastAsia="Calibri" w:hAnsi="Calibri" w:cs="Arial"/>
          <w:u w:val="dotted"/>
        </w:rPr>
      </w:pPr>
      <w:r w:rsidRPr="001D49D4">
        <w:rPr>
          <w:rFonts w:ascii="Calibri" w:eastAsia="Calibri" w:hAnsi="Calibri" w:cs="Arial"/>
          <w:u w:val="dotted"/>
          <w:rtl/>
        </w:rPr>
        <w:t>האם צריך שב' שטרות אלו יצאו מתחת שני לקוחות או דשפיר דמי אף אם יצאו מתחת יד לוקח אחד:</w:t>
      </w:r>
    </w:p>
    <w:p w14:paraId="54AACD33" w14:textId="77777777" w:rsidR="001D49D4" w:rsidRPr="001D49D4" w:rsidRDefault="001D49D4" w:rsidP="0004348D">
      <w:pPr>
        <w:numPr>
          <w:ilvl w:val="0"/>
          <w:numId w:val="283"/>
        </w:numPr>
        <w:spacing w:before="360" w:after="240"/>
        <w:contextualSpacing/>
      </w:pPr>
      <w:r w:rsidRPr="001D49D4">
        <w:rPr>
          <w:rtl/>
        </w:rPr>
        <w:t xml:space="preserve">רמ"ה </w:t>
      </w:r>
      <w:r w:rsidRPr="001D49D4">
        <w:rPr>
          <w:sz w:val="16"/>
          <w:szCs w:val="16"/>
          <w:rtl/>
        </w:rPr>
        <w:t>(כ"כ הטור בשמו)</w:t>
      </w:r>
      <w:r w:rsidRPr="001D49D4">
        <w:rPr>
          <w:rtl/>
        </w:rPr>
        <w:t>- הנך שני שטרות שמקיימין צריך שיהיו ביד שני לקוחות, אבל אם הם ביד לוקח אחד לא חשיבי אלא כשטר אחד, דכי היכי דאיכא למיתלי בחד שטרא ה"נ איכא למיתלי בתרי</w:t>
      </w:r>
      <w:r w:rsidRPr="001D49D4">
        <w:rPr>
          <w:vertAlign w:val="superscript"/>
          <w:rtl/>
        </w:rPr>
        <w:footnoteReference w:id="3757"/>
      </w:r>
      <w:r w:rsidRPr="001D49D4">
        <w:rPr>
          <w:rtl/>
        </w:rPr>
        <w:t xml:space="preserve">. </w:t>
      </w:r>
    </w:p>
    <w:p w14:paraId="378F042E" w14:textId="77777777" w:rsidR="001D49D4" w:rsidRPr="001D49D4" w:rsidRDefault="001D49D4" w:rsidP="0004348D">
      <w:pPr>
        <w:numPr>
          <w:ilvl w:val="0"/>
          <w:numId w:val="283"/>
        </w:numPr>
        <w:spacing w:before="360" w:after="240"/>
        <w:contextualSpacing/>
      </w:pPr>
      <w:r w:rsidRPr="001D49D4">
        <w:rPr>
          <w:rtl/>
        </w:rPr>
        <w:t xml:space="preserve">טור- </w:t>
      </w:r>
      <w:r w:rsidRPr="001D49D4">
        <w:rPr>
          <w:vertAlign w:val="superscript"/>
          <w:rtl/>
        </w:rPr>
        <w:footnoteReference w:id="3758"/>
      </w:r>
      <w:r w:rsidRPr="001D49D4">
        <w:rPr>
          <w:rtl/>
        </w:rPr>
        <w:t>אפילו ב' שטרות היוצאין מיד לוקח אחד מקיימין מתוכן. (וכ"פ הש"ך</w:t>
      </w:r>
      <w:r w:rsidRPr="001D49D4">
        <w:rPr>
          <w:vertAlign w:val="superscript"/>
          <w:rtl/>
        </w:rPr>
        <w:footnoteReference w:id="3759"/>
      </w:r>
      <w:r w:rsidRPr="001D49D4">
        <w:rPr>
          <w:sz w:val="16"/>
          <w:szCs w:val="16"/>
          <w:rtl/>
        </w:rPr>
        <w:t xml:space="preserve"> [סקי"ח]</w:t>
      </w:r>
      <w:r w:rsidRPr="001D49D4">
        <w:rPr>
          <w:rtl/>
        </w:rPr>
        <w:t>)</w:t>
      </w:r>
    </w:p>
    <w:p w14:paraId="04A02CB6" w14:textId="77777777" w:rsidR="001D49D4" w:rsidRPr="001D49D4" w:rsidRDefault="001D49D4" w:rsidP="0004348D">
      <w:pPr>
        <w:spacing w:before="360" w:after="240"/>
        <w:rPr>
          <w:rFonts w:ascii="Calibri" w:eastAsia="Calibri" w:hAnsi="Calibri" w:cs="Arial"/>
          <w:u w:val="single"/>
        </w:rPr>
      </w:pPr>
      <w:r w:rsidRPr="001D49D4">
        <w:rPr>
          <w:rFonts w:ascii="Calibri" w:eastAsia="Calibri" w:hAnsi="Calibri" w:cs="Arial"/>
          <w:u w:val="single"/>
          <w:rtl/>
        </w:rPr>
        <w:t>אדם שיש לו שתי שטרות, וחתימות העדים שבשתי השטרות שוות – האם גם בכה"ג אמרינן זיופי מזייף:</w:t>
      </w:r>
    </w:p>
    <w:p w14:paraId="0FDFE6FC" w14:textId="77777777" w:rsidR="001D49D4" w:rsidRPr="001D49D4" w:rsidRDefault="001D49D4" w:rsidP="0004348D">
      <w:pPr>
        <w:numPr>
          <w:ilvl w:val="0"/>
          <w:numId w:val="283"/>
        </w:numPr>
        <w:spacing w:before="360" w:after="240"/>
        <w:contextualSpacing/>
      </w:pPr>
      <w:r w:rsidRPr="001D49D4">
        <w:rPr>
          <w:rtl/>
        </w:rPr>
        <w:t xml:space="preserve">רא"ש </w:t>
      </w:r>
      <w:r w:rsidRPr="001D49D4">
        <w:rPr>
          <w:sz w:val="16"/>
          <w:szCs w:val="16"/>
          <w:rtl/>
        </w:rPr>
        <w:t>(סי' טז)</w:t>
      </w:r>
      <w:r w:rsidRPr="001D49D4">
        <w:rPr>
          <w:rtl/>
        </w:rPr>
        <w:t xml:space="preserve"> וטור- אם יש לאדם ב' שטרות מחתימה אחת אומר ר"ת</w:t>
      </w:r>
      <w:r w:rsidRPr="001D49D4">
        <w:rPr>
          <w:vertAlign w:val="superscript"/>
          <w:rtl/>
        </w:rPr>
        <w:footnoteReference w:id="3760"/>
      </w:r>
      <w:r w:rsidRPr="001D49D4">
        <w:rPr>
          <w:rtl/>
        </w:rPr>
        <w:t xml:space="preserve"> דלא אמרי' שיהא פסולין דשמא זייף אחד מחבירו, דהכא </w:t>
      </w:r>
      <w:r w:rsidRPr="001D49D4">
        <w:rPr>
          <w:sz w:val="16"/>
          <w:szCs w:val="16"/>
          <w:rtl/>
        </w:rPr>
        <w:t>{בגמ' לעיל}</w:t>
      </w:r>
      <w:r w:rsidRPr="001D49D4">
        <w:rPr>
          <w:rtl/>
        </w:rPr>
        <w:t xml:space="preserve"> הוא דוקא דחיישינן לפי שאין מכירין אנו החתימה אלא ע"י שאנו מדמין חתימה לחתימה, אבל היכא דמכירין חתימת ידי העדים בטביעת עין אם איתא דזיופי זייף הוה ניכר</w:t>
      </w:r>
      <w:r w:rsidRPr="001D49D4">
        <w:rPr>
          <w:vertAlign w:val="superscript"/>
          <w:rtl/>
        </w:rPr>
        <w:footnoteReference w:id="3761"/>
      </w:r>
      <w:r w:rsidRPr="001D49D4">
        <w:rPr>
          <w:rtl/>
        </w:rPr>
        <w:t xml:space="preserve"> </w:t>
      </w:r>
      <w:r w:rsidRPr="001D49D4">
        <w:rPr>
          <w:sz w:val="16"/>
          <w:szCs w:val="16"/>
          <w:rtl/>
        </w:rPr>
        <w:t>(ל' הרא"ש)</w:t>
      </w:r>
      <w:r w:rsidRPr="001D49D4">
        <w:rPr>
          <w:rtl/>
        </w:rPr>
        <w:t xml:space="preserve">. </w:t>
      </w:r>
    </w:p>
    <w:p w14:paraId="1BAD131D"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b/>
          <w:bCs/>
          <w:rtl/>
        </w:rPr>
        <w:t xml:space="preserve">ירושלמי </w:t>
      </w:r>
      <w:r w:rsidRPr="001D49D4">
        <w:rPr>
          <w:rFonts w:ascii="Calibri" w:eastAsia="Calibri" w:hAnsi="Calibri" w:cs="Arial"/>
          <w:b/>
          <w:bCs/>
          <w:sz w:val="16"/>
          <w:szCs w:val="16"/>
          <w:rtl/>
        </w:rPr>
        <w:t xml:space="preserve">(גי' הריב"ש) </w:t>
      </w:r>
      <w:r w:rsidRPr="001D49D4">
        <w:rPr>
          <w:rFonts w:ascii="Calibri" w:eastAsia="Calibri" w:hAnsi="Calibri" w:cs="Arial"/>
          <w:b/>
          <w:bCs/>
          <w:rtl/>
        </w:rPr>
        <w:t>כתובות פ"ב ה"ג:</w:t>
      </w:r>
      <w:r w:rsidRPr="001D49D4">
        <w:rPr>
          <w:rFonts w:ascii="Calibri" w:eastAsia="Calibri" w:hAnsi="Calibri" w:cs="Arial"/>
          <w:rtl/>
        </w:rPr>
        <w:t xml:space="preserve"> </w:t>
      </w:r>
      <w:r w:rsidRPr="001D49D4">
        <w:rPr>
          <w:rFonts w:ascii="Calibri" w:eastAsia="Calibri" w:hAnsi="Calibri" w:cs="Arial"/>
          <w:u w:val="single"/>
          <w:rtl/>
        </w:rPr>
        <w:t>ר' חונא אמר</w:t>
      </w:r>
      <w:r w:rsidRPr="001D49D4">
        <w:rPr>
          <w:rFonts w:ascii="Calibri" w:eastAsia="Calibri" w:hAnsi="Calibri" w:cs="Arial"/>
          <w:rtl/>
        </w:rPr>
        <w:t>: למדין מספר מוגה, כגון דאמרינן אלין ספרי דאסי. ובאלין אגרתא - צריכא.</w:t>
      </w:r>
    </w:p>
    <w:p w14:paraId="59C2F089"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u w:val="single"/>
          <w:rtl/>
        </w:rPr>
        <w:t>האם אפשר לקיים חתימות מספר מוגה:</w:t>
      </w:r>
    </w:p>
    <w:p w14:paraId="2692B008" w14:textId="77777777" w:rsidR="001D49D4" w:rsidRPr="001D49D4" w:rsidRDefault="001D49D4" w:rsidP="0004348D">
      <w:pPr>
        <w:numPr>
          <w:ilvl w:val="0"/>
          <w:numId w:val="283"/>
        </w:numPr>
        <w:spacing w:before="360" w:after="240"/>
        <w:contextualSpacing/>
        <w:rPr>
          <w:rtl/>
        </w:rPr>
      </w:pPr>
      <w:r w:rsidRPr="001D49D4">
        <w:rPr>
          <w:rtl/>
        </w:rPr>
        <w:t xml:space="preserve">ריב"ש </w:t>
      </w:r>
      <w:r w:rsidRPr="001D49D4">
        <w:rPr>
          <w:sz w:val="16"/>
          <w:szCs w:val="16"/>
          <w:rtl/>
        </w:rPr>
        <w:t>(סי' קלו)</w:t>
      </w:r>
      <w:r w:rsidRPr="001D49D4">
        <w:rPr>
          <w:rtl/>
        </w:rPr>
        <w:t xml:space="preserve">- ר' חונא אמר שלמדין ומקיימין שטר מספר ידוע לאיזה סופר מומחה מקיימין חתימתו מן הספר ההוא לפי שהוא נזהר בכתיבתו שתהיה מתוקנת ומאושרת. אבל באגרת יש לספק אם סומכין עליה לקיים חתימתו, לפי שאין אדם נזהר בתיקון כתיבתה והיא משתנית לפי הקולמוס ולפי הנחץ. </w:t>
      </w:r>
    </w:p>
    <w:p w14:paraId="6477EAD6" w14:textId="77777777" w:rsidR="001D49D4" w:rsidRPr="001D49D4" w:rsidRDefault="001D49D4" w:rsidP="0004348D">
      <w:pPr>
        <w:numPr>
          <w:ilvl w:val="0"/>
          <w:numId w:val="283"/>
        </w:numPr>
        <w:spacing w:before="360" w:after="240"/>
        <w:contextualSpacing/>
        <w:rPr>
          <w:rtl/>
        </w:rPr>
      </w:pPr>
      <w:r w:rsidRPr="001D49D4">
        <w:rPr>
          <w:rtl/>
        </w:rPr>
        <w:t xml:space="preserve">ר"ן </w:t>
      </w:r>
      <w:r w:rsidRPr="001D49D4">
        <w:rPr>
          <w:sz w:val="16"/>
          <w:szCs w:val="16"/>
          <w:rtl/>
        </w:rPr>
        <w:t>(ז:)</w:t>
      </w:r>
      <w:r w:rsidRPr="001D49D4">
        <w:rPr>
          <w:rtl/>
        </w:rPr>
        <w:t>- בירושלמי משמע דכשם שמקיימין משתי שדות או משתי כתובות כך מקיימין מספר שכתבו עד דגרסינן התם 'רב הונא אמר למדין מספר מוגה כגון דאמרי אלין ספרי דאסי'</w:t>
      </w:r>
      <w:r w:rsidRPr="001D49D4">
        <w:rPr>
          <w:vertAlign w:val="superscript"/>
          <w:rtl/>
        </w:rPr>
        <w:footnoteReference w:id="3762"/>
      </w:r>
      <w:r w:rsidRPr="001D49D4">
        <w:rPr>
          <w:rtl/>
        </w:rPr>
        <w:t xml:space="preserve">. </w:t>
      </w:r>
    </w:p>
    <w:p w14:paraId="6778FBF7" w14:textId="77777777" w:rsidR="001D49D4" w:rsidRPr="001D49D4" w:rsidRDefault="001D49D4" w:rsidP="0004348D">
      <w:pPr>
        <w:numPr>
          <w:ilvl w:val="0"/>
          <w:numId w:val="283"/>
        </w:numPr>
        <w:spacing w:before="360" w:after="240"/>
        <w:contextualSpacing/>
      </w:pPr>
      <w:r w:rsidRPr="001D49D4">
        <w:rPr>
          <w:rtl/>
        </w:rPr>
        <w:t xml:space="preserve">ריטב"א </w:t>
      </w:r>
      <w:r w:rsidRPr="001D49D4">
        <w:rPr>
          <w:sz w:val="16"/>
          <w:szCs w:val="16"/>
          <w:rtl/>
        </w:rPr>
        <w:t>(כ. ד"ה אמר רב שימי, הביאו הש"ך [סקכ"ז])</w:t>
      </w:r>
      <w:r w:rsidRPr="001D49D4">
        <w:rPr>
          <w:rtl/>
        </w:rPr>
        <w:t xml:space="preserve">- גרסינן בירושלמי </w:t>
      </w:r>
      <w:r w:rsidRPr="001D49D4">
        <w:rPr>
          <w:sz w:val="16"/>
          <w:szCs w:val="16"/>
          <w:rtl/>
        </w:rPr>
        <w:t>(שם)</w:t>
      </w:r>
      <w:r w:rsidRPr="001D49D4">
        <w:rPr>
          <w:rtl/>
        </w:rPr>
        <w:t xml:space="preserve"> 'למדין מספר מוגה כגון דאמרי אילין ספרי דאסי' - פירוש, שהם מוחזקים לנו שהוא כתבם בלא עדות אחרת, 'ובאילין אגרתא צריכא' - פירוש, אבל </w:t>
      </w:r>
      <w:r w:rsidRPr="001D49D4">
        <w:rPr>
          <w:rtl/>
        </w:rPr>
        <w:lastRenderedPageBreak/>
        <w:t>מאיגרת של רשות המוחזקים בכתב ידי העדים האלה - צריכא רבא אם למדין מהם בחזקה זאת בלבד. כן נ"ל פירוש הירושלמי הזה, וכן פירשתי לפני מורי הר"ב ז"ל</w:t>
      </w:r>
      <w:r w:rsidRPr="001D49D4">
        <w:rPr>
          <w:vertAlign w:val="superscript"/>
          <w:rtl/>
        </w:rPr>
        <w:footnoteReference w:id="3763"/>
      </w:r>
      <w:r w:rsidRPr="001D49D4">
        <w:rPr>
          <w:rtl/>
        </w:rPr>
        <w:t xml:space="preserve">.  </w:t>
      </w:r>
    </w:p>
    <w:p w14:paraId="276725F9" w14:textId="77777777" w:rsidR="001D49D4" w:rsidRPr="001D49D4" w:rsidRDefault="001D49D4" w:rsidP="0004348D">
      <w:pPr>
        <w:numPr>
          <w:ilvl w:val="0"/>
          <w:numId w:val="283"/>
        </w:numPr>
        <w:spacing w:before="360" w:after="240"/>
        <w:contextualSpacing/>
      </w:pPr>
      <w:r w:rsidRPr="001D49D4">
        <w:rPr>
          <w:rtl/>
        </w:rPr>
        <w:t>ב"י- דוקא מאילין ספרי דאסי שהוא חתימת שמו הוא דמקיימינן אבל לא משאר הספר. וטעמא, לפי שדרך בני אדם לחתום שמם בשינוי מכתיבתם</w:t>
      </w:r>
      <w:r w:rsidRPr="001D49D4">
        <w:rPr>
          <w:vertAlign w:val="superscript"/>
          <w:rtl/>
        </w:rPr>
        <w:footnoteReference w:id="3764"/>
      </w:r>
      <w:r w:rsidRPr="001D49D4">
        <w:rPr>
          <w:rtl/>
        </w:rPr>
        <w:t>.</w:t>
      </w:r>
    </w:p>
    <w:p w14:paraId="3B2882DF" w14:textId="77777777" w:rsidR="001D49D4" w:rsidRPr="001D49D4" w:rsidRDefault="001D49D4" w:rsidP="0004348D">
      <w:pPr>
        <w:spacing w:before="360" w:after="240"/>
        <w:rPr>
          <w:rFonts w:ascii="Calibri" w:eastAsia="Calibri" w:hAnsi="Calibri" w:cs="Arial"/>
          <w:u w:val="single"/>
          <w:rtl/>
        </w:rPr>
      </w:pPr>
      <w:r w:rsidRPr="001D49D4">
        <w:rPr>
          <w:rFonts w:ascii="Calibri" w:eastAsia="Calibri" w:hAnsi="Calibri" w:cs="Arial"/>
          <w:u w:val="single"/>
          <w:rtl/>
        </w:rPr>
        <w:t>סיכום דרכי קיום השטר:</w:t>
      </w:r>
    </w:p>
    <w:p w14:paraId="1C316E72" w14:textId="77777777" w:rsidR="001D49D4" w:rsidRPr="001D49D4" w:rsidRDefault="001D49D4" w:rsidP="0004348D">
      <w:pPr>
        <w:numPr>
          <w:ilvl w:val="0"/>
          <w:numId w:val="279"/>
        </w:numPr>
        <w:spacing w:before="360" w:after="240"/>
        <w:contextualSpacing/>
        <w:rPr>
          <w:rtl/>
        </w:rPr>
      </w:pPr>
      <w:r w:rsidRPr="001D49D4">
        <w:rPr>
          <w:rtl/>
        </w:rPr>
        <w:t xml:space="preserve">רמב"ם </w:t>
      </w:r>
      <w:r w:rsidRPr="001D49D4">
        <w:rPr>
          <w:sz w:val="16"/>
          <w:szCs w:val="16"/>
          <w:rtl/>
        </w:rPr>
        <w:t>(פ"ו מהל' עדות ה"ב-ג)</w:t>
      </w:r>
      <w:r w:rsidRPr="001D49D4">
        <w:rPr>
          <w:rtl/>
        </w:rPr>
        <w:t>- באחד מחמשה</w:t>
      </w:r>
      <w:r w:rsidRPr="001D49D4">
        <w:rPr>
          <w:vertAlign w:val="superscript"/>
          <w:rtl/>
        </w:rPr>
        <w:footnoteReference w:id="3765"/>
      </w:r>
      <w:r w:rsidRPr="001D49D4">
        <w:rPr>
          <w:rtl/>
        </w:rPr>
        <w:t xml:space="preserve"> דרכים מתקיים השטר בבית דין. הדרך האחד, שיהיו דיינים מכירין כתב ידי העדים שזו עדות פלוני וזו עדות פלוני. הדרך השני, שיחתמו העדים בפניהם. הדרך השלישי, שיבואו העדים החתומים בפניהם ויאמר כל אחד ואחד זה כתב ידי ואני עד בדבר הזה. הדרך הרביעי, שאם מתו עדי השטר או שהיו במדינה אחרת יבואו עדים ויעידו על כתב ידן שהוא זה. הדרך החמישי, שיהיה כתב ידן יוצא משטרות אחרים ועורכין בית דין זה הכתב לאותו הכתב שבשטרות אחרים ויהיה דומה זה לזה ויראה להם ביחד שכתב ידי אלו הוא כתב ידי אלו. אין מקיימין את השטר משטרות אחרים אלא משני שטרות של שתי שדות שאכלום בעליהן שלש שנים אכילה גלויה נכונה בלא שום יראה ולא פחד מתביעה בעולם כדרך שאוכלין כל בעלי שדות שדותיהן, או משתי שטרי כתובות, והוא שיצאו שני השטרות מתחת ידי אחר לא מתחת ידי זה שרוצה לקיים שטרו שמא הוא זייף הכל, וכן מקיימין השטר משטר שקרא עליו ערער והוחזק בבית דין מקיימין ממנו לבדו כמו שמקיימין משטר שתי שדות או משתי כתובות. </w:t>
      </w:r>
      <w:r w:rsidRPr="001D49D4">
        <w:rPr>
          <w:color w:val="E36C0A" w:themeColor="accent6" w:themeShade="BF"/>
          <w:rtl/>
        </w:rPr>
        <w:t>(וכ"פ בשו"ע)</w:t>
      </w:r>
    </w:p>
    <w:p w14:paraId="2F66BF31" w14:textId="77777777" w:rsidR="001D49D4" w:rsidRPr="001D49D4" w:rsidRDefault="001D49D4" w:rsidP="0004348D">
      <w:pPr>
        <w:spacing w:before="360" w:after="240"/>
        <w:rPr>
          <w:rFonts w:ascii="Calibri" w:eastAsia="Calibri" w:hAnsi="Calibri" w:cs="Arial"/>
          <w:u w:val="single"/>
          <w:rtl/>
        </w:rPr>
      </w:pPr>
      <w:r w:rsidRPr="001D49D4">
        <w:rPr>
          <w:rFonts w:ascii="Calibri" w:eastAsia="Calibri" w:hAnsi="Calibri" w:cs="Arial"/>
          <w:u w:val="single"/>
          <w:rtl/>
        </w:rPr>
        <w:t>עדים שאומרים 'כתב ידינו הוא זה', ואחרים אומרים 'אין זה כתב ידם':</w:t>
      </w:r>
    </w:p>
    <w:p w14:paraId="13C181FC" w14:textId="77777777" w:rsidR="001D49D4" w:rsidRPr="001D49D4" w:rsidRDefault="001D49D4" w:rsidP="0004348D">
      <w:pPr>
        <w:numPr>
          <w:ilvl w:val="0"/>
          <w:numId w:val="284"/>
        </w:numPr>
        <w:spacing w:before="360" w:after="240"/>
        <w:contextualSpacing/>
        <w:rPr>
          <w:rtl/>
        </w:rPr>
      </w:pPr>
      <w:r w:rsidRPr="001D49D4">
        <w:rPr>
          <w:rtl/>
        </w:rPr>
        <w:t xml:space="preserve">רי"ו </w:t>
      </w:r>
      <w:r w:rsidRPr="001D49D4">
        <w:rPr>
          <w:sz w:val="16"/>
          <w:szCs w:val="16"/>
          <w:rtl/>
        </w:rPr>
        <w:t>(מישרים נ"ב ח"ח יד ע"ג)</w:t>
      </w:r>
      <w:r w:rsidRPr="001D49D4">
        <w:rPr>
          <w:rtl/>
        </w:rPr>
        <w:t xml:space="preserve">- יש מחלוקת בירושלמי </w:t>
      </w:r>
      <w:r w:rsidRPr="001D49D4">
        <w:rPr>
          <w:sz w:val="16"/>
          <w:szCs w:val="16"/>
          <w:rtl/>
        </w:rPr>
        <w:t xml:space="preserve">(כתובות פ"ב ה"ג) </w:t>
      </w:r>
      <w:r w:rsidRPr="001D49D4">
        <w:rPr>
          <w:rtl/>
        </w:rPr>
        <w:t>אם נעשה כשטר שקרא עליו ערעור ויתקיים בבית דין, או נעשה כמי שנחקרה עדותן בבית דין ואין צריך קיום אחר. ולא איפסיקא הלכתא כמאן</w:t>
      </w:r>
      <w:r w:rsidRPr="001D49D4">
        <w:rPr>
          <w:vertAlign w:val="superscript"/>
          <w:rtl/>
        </w:rPr>
        <w:footnoteReference w:id="3766"/>
      </w:r>
      <w:r w:rsidRPr="001D49D4">
        <w:rPr>
          <w:rtl/>
        </w:rPr>
        <w:t>.</w:t>
      </w:r>
    </w:p>
    <w:p w14:paraId="01A46975" w14:textId="77777777" w:rsidR="001D49D4" w:rsidRPr="001D49D4" w:rsidRDefault="001D49D4" w:rsidP="0004348D">
      <w:pPr>
        <w:spacing w:before="360" w:after="240"/>
        <w:rPr>
          <w:rFonts w:ascii="Calibri" w:eastAsia="Calibri" w:hAnsi="Calibri" w:cs="Arial"/>
          <w:color w:val="FF0000"/>
          <w:u w:val="single"/>
          <w:rtl/>
        </w:rPr>
      </w:pPr>
      <w:r w:rsidRPr="001D49D4">
        <w:rPr>
          <w:rFonts w:ascii="Calibri" w:eastAsia="Calibri" w:hAnsi="Calibri" w:cs="Arial"/>
          <w:u w:val="single"/>
          <w:rtl/>
        </w:rPr>
        <w:t>האם אמרינן בקיום שטרות מפיהם ולא מפי כתבם:</w:t>
      </w:r>
    </w:p>
    <w:p w14:paraId="1B6E56DE" w14:textId="77777777" w:rsidR="001D49D4" w:rsidRPr="001D49D4" w:rsidRDefault="001D49D4" w:rsidP="0004348D">
      <w:pPr>
        <w:numPr>
          <w:ilvl w:val="0"/>
          <w:numId w:val="279"/>
        </w:numPr>
        <w:spacing w:before="360" w:after="240"/>
        <w:contextualSpacing/>
        <w:rPr>
          <w:rtl/>
        </w:rPr>
      </w:pPr>
      <w:r w:rsidRPr="001D49D4">
        <w:rPr>
          <w:rtl/>
        </w:rPr>
        <w:t xml:space="preserve">ריב"ש </w:t>
      </w:r>
      <w:r w:rsidRPr="001D49D4">
        <w:rPr>
          <w:sz w:val="16"/>
          <w:szCs w:val="16"/>
          <w:rtl/>
        </w:rPr>
        <w:t>(סי' שפב וסי' תיג)</w:t>
      </w:r>
      <w:r w:rsidRPr="001D49D4">
        <w:rPr>
          <w:rtl/>
        </w:rPr>
        <w:t>- בקיום שטרות דרבנן לא אמרינן מפיהם ולא מפי כתבן</w:t>
      </w:r>
      <w:r w:rsidRPr="001D49D4">
        <w:rPr>
          <w:sz w:val="16"/>
          <w:szCs w:val="16"/>
          <w:rtl/>
        </w:rPr>
        <w:t xml:space="preserve"> (לשונו בסי' שפב)</w:t>
      </w:r>
      <w:r w:rsidRPr="001D49D4">
        <w:rPr>
          <w:rtl/>
        </w:rPr>
        <w:t xml:space="preserve">... ודנתי לפני מורי הר"ן דאע"ג דקיום בית דין בשלשה, כיון דלא בעינן רשות בעל דבר </w:t>
      </w:r>
      <w:r w:rsidRPr="001D49D4">
        <w:rPr>
          <w:sz w:val="16"/>
          <w:szCs w:val="16"/>
          <w:rtl/>
        </w:rPr>
        <w:t>(ב"ק קיב:)</w:t>
      </w:r>
      <w:r w:rsidRPr="001D49D4">
        <w:rPr>
          <w:rtl/>
        </w:rPr>
        <w:t xml:space="preserve"> ומקיימין אפילו עומד וצווח - שני עדים כותבין עדותם בלי רשותו שמכירים החתימות. אלא שצריך עוד בית דין לקבל עדותן מתוך כתבם זה, וחותמין הבית דין ונתקיים השטר</w:t>
      </w:r>
      <w:r w:rsidRPr="001D49D4">
        <w:rPr>
          <w:sz w:val="16"/>
          <w:szCs w:val="16"/>
          <w:rtl/>
        </w:rPr>
        <w:t xml:space="preserve"> (לשונו בסי' תיג)</w:t>
      </w:r>
      <w:r w:rsidRPr="001D49D4">
        <w:rPr>
          <w:rtl/>
        </w:rPr>
        <w:t xml:space="preserve">. </w:t>
      </w:r>
      <w:r w:rsidRPr="001D49D4">
        <w:rPr>
          <w:color w:val="00B0F0"/>
          <w:rtl/>
        </w:rPr>
        <w:t>(וכ"פ הרמ"א)</w:t>
      </w:r>
    </w:p>
    <w:p w14:paraId="73074050" w14:textId="77777777" w:rsidR="001D49D4" w:rsidRPr="001D49D4" w:rsidRDefault="001D49D4" w:rsidP="0004348D">
      <w:pPr>
        <w:spacing w:before="360" w:after="240"/>
        <w:rPr>
          <w:rFonts w:ascii="Arial" w:eastAsia="Calibri" w:hAnsi="Arial" w:cs="Arial"/>
          <w:b/>
          <w:bCs/>
          <w:color w:val="000000"/>
          <w:sz w:val="28"/>
          <w:szCs w:val="28"/>
          <w:u w:val="single"/>
        </w:rPr>
      </w:pPr>
      <w:r w:rsidRPr="001D49D4">
        <w:rPr>
          <w:rFonts w:ascii="Arial" w:eastAsia="Calibri" w:hAnsi="Arial" w:cs="Arial"/>
          <w:b/>
          <w:bCs/>
          <w:color w:val="000000"/>
          <w:sz w:val="28"/>
          <w:szCs w:val="28"/>
          <w:u w:val="single"/>
          <w:rtl/>
        </w:rPr>
        <w:t>שו"ע:</w:t>
      </w:r>
    </w:p>
    <w:p w14:paraId="783B3535"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rtl/>
        </w:rPr>
        <w:t xml:space="preserve">באחד מחמשה דרכים מתקיים השטר. האחד, שיהיו הדיינים מכירים כתב ידי העדים. השני, שיחתמו העדים בפניהם. השלישי, שיבואו העדים החתומים בו ויאמר </w:t>
      </w:r>
      <w:r w:rsidRPr="001D49D4">
        <w:rPr>
          <w:rFonts w:ascii="Calibri" w:eastAsia="Calibri" w:hAnsi="Calibri" w:cs="Arial"/>
          <w:sz w:val="18"/>
          <w:szCs w:val="18"/>
          <w:rtl/>
        </w:rPr>
        <w:t>[הגה] כל אחד,</w:t>
      </w:r>
      <w:r w:rsidRPr="001D49D4">
        <w:rPr>
          <w:rFonts w:ascii="Calibri" w:eastAsia="Calibri" w:hAnsi="Calibri" w:cs="Arial"/>
          <w:rtl/>
        </w:rPr>
        <w:t xml:space="preserve"> 'זה כתב ידי ואני עד בדבר הזה</w:t>
      </w:r>
      <w:r w:rsidRPr="001D49D4">
        <w:rPr>
          <w:rFonts w:ascii="Calibri" w:eastAsia="Calibri" w:hAnsi="Calibri" w:cs="Arial"/>
          <w:vertAlign w:val="superscript"/>
          <w:rtl/>
        </w:rPr>
        <w:footnoteReference w:id="3767"/>
      </w:r>
      <w:r w:rsidRPr="001D49D4">
        <w:rPr>
          <w:rFonts w:ascii="Calibri" w:eastAsia="Calibri" w:hAnsi="Calibri" w:cs="Arial"/>
          <w:rtl/>
        </w:rPr>
        <w:t xml:space="preserve">'. הרביעי, שיבואו עדים </w:t>
      </w:r>
      <w:r w:rsidRPr="001D49D4">
        <w:rPr>
          <w:rFonts w:ascii="Calibri" w:eastAsia="Calibri" w:hAnsi="Calibri" w:cs="Arial"/>
          <w:rtl/>
        </w:rPr>
        <w:lastRenderedPageBreak/>
        <w:t>ויעידו</w:t>
      </w:r>
      <w:r w:rsidRPr="001D49D4">
        <w:rPr>
          <w:rFonts w:ascii="Calibri" w:eastAsia="Calibri" w:hAnsi="Calibri" w:cs="Arial"/>
          <w:vertAlign w:val="superscript"/>
          <w:rtl/>
        </w:rPr>
        <w:footnoteReference w:id="3768"/>
      </w:r>
      <w:r w:rsidRPr="001D49D4">
        <w:rPr>
          <w:rFonts w:ascii="Calibri" w:eastAsia="Calibri" w:hAnsi="Calibri" w:cs="Arial"/>
          <w:rtl/>
        </w:rPr>
        <w:t xml:space="preserve"> שזה כתב ידם של אלו</w:t>
      </w:r>
      <w:r w:rsidRPr="001D49D4">
        <w:rPr>
          <w:rFonts w:ascii="Calibri" w:eastAsia="Calibri" w:hAnsi="Calibri" w:cs="Arial"/>
          <w:vertAlign w:val="superscript"/>
          <w:rtl/>
        </w:rPr>
        <w:footnoteReference w:id="3769"/>
      </w:r>
      <w:r w:rsidRPr="001D49D4">
        <w:rPr>
          <w:rFonts w:ascii="Calibri" w:eastAsia="Calibri" w:hAnsi="Calibri" w:cs="Arial"/>
          <w:rtl/>
        </w:rPr>
        <w:t xml:space="preserve">, </w:t>
      </w:r>
      <w:r w:rsidRPr="001D49D4">
        <w:rPr>
          <w:rFonts w:ascii="Calibri" w:eastAsia="Calibri" w:hAnsi="Calibri" w:cs="Arial"/>
          <w:sz w:val="18"/>
          <w:szCs w:val="18"/>
          <w:rtl/>
        </w:rPr>
        <w:t>[הגה] ויכולין להעיד עדות זה מתוך כתבם, ואינן צריכין להעיד בפיהם</w:t>
      </w:r>
      <w:r w:rsidRPr="001D49D4">
        <w:rPr>
          <w:rFonts w:ascii="Calibri" w:eastAsia="Calibri" w:hAnsi="Calibri" w:cs="Arial"/>
          <w:sz w:val="18"/>
          <w:szCs w:val="18"/>
          <w:vertAlign w:val="superscript"/>
          <w:rtl/>
        </w:rPr>
        <w:footnoteReference w:id="3770"/>
      </w:r>
      <w:r w:rsidRPr="001D49D4">
        <w:rPr>
          <w:rFonts w:ascii="Calibri" w:eastAsia="Calibri" w:hAnsi="Calibri" w:cs="Arial"/>
          <w:sz w:val="18"/>
          <w:szCs w:val="18"/>
          <w:rtl/>
        </w:rPr>
        <w:t xml:space="preserve"> (ריב"ש סי' שפב וסי' תיג)</w:t>
      </w:r>
      <w:r w:rsidRPr="001D49D4">
        <w:rPr>
          <w:rFonts w:ascii="Calibri" w:eastAsia="Calibri" w:hAnsi="Calibri" w:cs="Arial"/>
          <w:rtl/>
        </w:rPr>
        <w:t>. החמישי, שיהא כתב ידם יוצא משטרות אחרות, ועורכים בית דין זה הכתב לאותו הכתב שבשטרות אחרות, ויראה להם שכתב ידי אלו הוא כתב ידי אלו, ואין מקיימים השטר משטרות אחרות אלא משתי שטרות של שתי שדות שאכלום בעליהם שלש שנים</w:t>
      </w:r>
      <w:r w:rsidRPr="001D49D4">
        <w:rPr>
          <w:rFonts w:ascii="Calibri" w:eastAsia="Calibri" w:hAnsi="Calibri" w:cs="Arial"/>
          <w:vertAlign w:val="superscript"/>
          <w:rtl/>
        </w:rPr>
        <w:footnoteReference w:id="3771"/>
      </w:r>
      <w:r w:rsidRPr="001D49D4">
        <w:rPr>
          <w:rFonts w:ascii="Calibri" w:eastAsia="Calibri" w:hAnsi="Calibri" w:cs="Arial"/>
          <w:rtl/>
        </w:rPr>
        <w:t xml:space="preserve"> אכילה גלויה נכונה בלא שום יראה ולא פחד מתביעה בעולם כדרך שאוכלים כל בעלי שדות שדותיהם, או משתי שטרי כתובות. והוא שיצאו השתי השטרות מתחת יד אחר, לא מתחת ידי זה שרוצה לקיים שטרו, שמא הוא זייף הכל</w:t>
      </w:r>
      <w:r w:rsidRPr="001D49D4">
        <w:rPr>
          <w:rFonts w:ascii="Calibri" w:eastAsia="Calibri" w:hAnsi="Calibri" w:cs="Arial"/>
          <w:vertAlign w:val="superscript"/>
          <w:rtl/>
        </w:rPr>
        <w:footnoteReference w:id="3772"/>
      </w:r>
      <w:r w:rsidRPr="001D49D4">
        <w:rPr>
          <w:rFonts w:ascii="Calibri" w:eastAsia="Calibri" w:hAnsi="Calibri" w:cs="Arial"/>
          <w:rtl/>
        </w:rPr>
        <w:t xml:space="preserve">. </w:t>
      </w:r>
      <w:r w:rsidRPr="001D49D4">
        <w:rPr>
          <w:rFonts w:ascii="Calibri" w:eastAsia="Calibri" w:hAnsi="Calibri" w:cs="Arial"/>
          <w:sz w:val="18"/>
          <w:szCs w:val="18"/>
          <w:rtl/>
        </w:rPr>
        <w:t>[הגה] אפילו אם ב' השטרות מקויימים אין מקיימין מהם אם יוצאין מתחת ידו</w:t>
      </w:r>
      <w:r w:rsidRPr="001D49D4">
        <w:rPr>
          <w:rFonts w:ascii="Calibri" w:eastAsia="Calibri" w:hAnsi="Calibri" w:cs="Arial"/>
          <w:sz w:val="18"/>
          <w:szCs w:val="18"/>
          <w:vertAlign w:val="superscript"/>
          <w:rtl/>
        </w:rPr>
        <w:footnoteReference w:id="3773"/>
      </w:r>
      <w:r w:rsidRPr="001D49D4">
        <w:rPr>
          <w:rFonts w:ascii="Calibri" w:eastAsia="Calibri" w:hAnsi="Calibri" w:cs="Arial"/>
          <w:sz w:val="18"/>
          <w:szCs w:val="18"/>
          <w:rtl/>
        </w:rPr>
        <w:t xml:space="preserve"> (טור וב"י בשם רש"י), ויש חולקין (ר"ן וב"י בהב' הרמב"ם). </w:t>
      </w:r>
      <w:r w:rsidRPr="001D49D4">
        <w:rPr>
          <w:rFonts w:ascii="Calibri" w:eastAsia="Calibri" w:hAnsi="Calibri" w:cs="Arial"/>
          <w:rtl/>
        </w:rPr>
        <w:t xml:space="preserve">וכן מקיימים השטר משטר שקרא עליו ערער, </w:t>
      </w:r>
      <w:r w:rsidRPr="001D49D4">
        <w:rPr>
          <w:rFonts w:ascii="Calibri" w:eastAsia="Calibri" w:hAnsi="Calibri" w:cs="Arial"/>
          <w:sz w:val="18"/>
          <w:szCs w:val="18"/>
          <w:rtl/>
        </w:rPr>
        <w:t>[הגה] וי"א דאפילו לא קרא עליו ערער רק שמקויים</w:t>
      </w:r>
      <w:r w:rsidRPr="001D49D4">
        <w:rPr>
          <w:rFonts w:ascii="Calibri" w:eastAsia="Calibri" w:hAnsi="Calibri" w:cs="Arial"/>
          <w:sz w:val="18"/>
          <w:szCs w:val="18"/>
          <w:vertAlign w:val="superscript"/>
          <w:rtl/>
        </w:rPr>
        <w:footnoteReference w:id="3774"/>
      </w:r>
      <w:r w:rsidRPr="001D49D4">
        <w:rPr>
          <w:rFonts w:ascii="Calibri" w:eastAsia="Calibri" w:hAnsi="Calibri" w:cs="Arial"/>
          <w:sz w:val="18"/>
          <w:szCs w:val="18"/>
          <w:rtl/>
        </w:rPr>
        <w:t xml:space="preserve">, כדלקמן סע' לז. </w:t>
      </w:r>
      <w:r w:rsidRPr="001D49D4">
        <w:rPr>
          <w:rFonts w:ascii="Calibri" w:eastAsia="Calibri" w:hAnsi="Calibri" w:cs="Arial"/>
          <w:rtl/>
        </w:rPr>
        <w:t xml:space="preserve">והוחזק בבית דין, מקיימים ממנו לבדו, כמו שמקיימים משטרי שתי שדות או שתי כתובות. </w:t>
      </w:r>
      <w:r w:rsidRPr="001D49D4">
        <w:rPr>
          <w:rFonts w:ascii="Calibri" w:eastAsia="Calibri" w:hAnsi="Calibri" w:cs="Arial"/>
          <w:sz w:val="18"/>
          <w:szCs w:val="18"/>
          <w:rtl/>
        </w:rPr>
        <w:t>הגה: וי"א דמקיימים חתימה מספר שכתב אבל לא מאיגרת שכתב (ריב"ש סי' קלו). וי"א דאפילו מספר אין מקיימים, אא"כ חתם שמו בסוף דאז מקיימים מחתימתו (ב"י בהב' הר"ן פ"ב דכתובות).</w:t>
      </w:r>
      <w:r w:rsidRPr="001D49D4">
        <w:rPr>
          <w:rFonts w:ascii="Calibri" w:eastAsia="Calibri" w:hAnsi="Calibri" w:cs="Arial"/>
          <w:rtl/>
        </w:rPr>
        <w:t xml:space="preserve"> </w:t>
      </w:r>
    </w:p>
    <w:p w14:paraId="12752951" w14:textId="77777777" w:rsidR="001D49D4" w:rsidRPr="001D49D4" w:rsidRDefault="001D49D4" w:rsidP="0004348D">
      <w:pPr>
        <w:spacing w:before="360" w:after="240"/>
        <w:rPr>
          <w:rFonts w:ascii="Calibri" w:eastAsia="Calibri" w:hAnsi="Calibri" w:cs="Arial"/>
          <w:rtl/>
        </w:rPr>
      </w:pPr>
    </w:p>
    <w:p w14:paraId="33BED408" w14:textId="77777777" w:rsidR="001D49D4" w:rsidRPr="001D49D4" w:rsidRDefault="001D49D4" w:rsidP="0004348D">
      <w:pPr>
        <w:keepNext/>
        <w:keepLines/>
        <w:spacing w:before="360" w:after="240"/>
        <w:outlineLvl w:val="1"/>
        <w:rPr>
          <w:rFonts w:ascii="Cambria" w:eastAsia="Times New Roman" w:hAnsi="Cambria" w:cs="Arial"/>
          <w:bCs/>
          <w:color w:val="548DD4" w:themeColor="text2" w:themeTint="99"/>
          <w:sz w:val="26"/>
          <w:szCs w:val="26"/>
          <w:rtl/>
        </w:rPr>
      </w:pPr>
      <w:bookmarkStart w:id="508" w:name="_Toc24883942"/>
      <w:r w:rsidRPr="001D49D4">
        <w:rPr>
          <w:rFonts w:ascii="Cambria" w:eastAsia="Times New Roman" w:hAnsi="Cambria" w:cs="Arial"/>
          <w:bCs/>
          <w:color w:val="548DD4" w:themeColor="text2" w:themeTint="99"/>
          <w:sz w:val="26"/>
          <w:szCs w:val="26"/>
          <w:rtl/>
        </w:rPr>
        <w:t>סעיף ח: בית דין שכתבו קיום לשטר ולא כתבו באיזו דרך נתקיים.</w:t>
      </w:r>
      <w:bookmarkEnd w:id="508"/>
    </w:p>
    <w:p w14:paraId="3AD8F4F3" w14:textId="77777777" w:rsidR="001D49D4" w:rsidRPr="001D49D4" w:rsidRDefault="001D49D4" w:rsidP="0004348D">
      <w:pPr>
        <w:spacing w:before="360" w:after="240"/>
        <w:rPr>
          <w:rFonts w:ascii="Calibri" w:eastAsia="Calibri" w:hAnsi="Calibri" w:cs="Arial"/>
          <w:b/>
          <w:bCs/>
          <w:rtl/>
        </w:rPr>
      </w:pPr>
      <w:r w:rsidRPr="001D49D4">
        <w:rPr>
          <w:rFonts w:ascii="Calibri" w:eastAsia="Calibri" w:hAnsi="Calibri" w:cs="Arial"/>
          <w:b/>
          <w:bCs/>
          <w:rtl/>
        </w:rPr>
        <w:t xml:space="preserve">כתובות </w:t>
      </w:r>
      <w:r w:rsidRPr="001D49D4">
        <w:rPr>
          <w:rFonts w:ascii="Calibri" w:eastAsia="Calibri" w:hAnsi="Calibri" w:cs="Arial"/>
          <w:b/>
          <w:bCs/>
          <w:sz w:val="16"/>
          <w:szCs w:val="16"/>
          <w:rtl/>
        </w:rPr>
        <w:t xml:space="preserve">(פ"ב) </w:t>
      </w:r>
      <w:r w:rsidRPr="001D49D4">
        <w:rPr>
          <w:rFonts w:ascii="Calibri" w:eastAsia="Calibri" w:hAnsi="Calibri" w:cs="Arial"/>
          <w:b/>
          <w:bCs/>
          <w:rtl/>
        </w:rPr>
        <w:t>כ</w:t>
      </w:r>
      <w:r w:rsidRPr="001D49D4">
        <w:rPr>
          <w:rFonts w:ascii="Calibri" w:eastAsia="Calibri" w:hAnsi="Calibri" w:cs="Arial"/>
          <w:b/>
          <w:bCs/>
          <w:vertAlign w:val="superscript"/>
          <w:rtl/>
        </w:rPr>
        <w:footnoteReference w:id="3775"/>
      </w:r>
      <w:r w:rsidRPr="001D49D4">
        <w:rPr>
          <w:rFonts w:ascii="Calibri" w:eastAsia="Calibri" w:hAnsi="Calibri" w:cs="Arial"/>
          <w:b/>
          <w:bCs/>
          <w:rtl/>
        </w:rPr>
        <w:t xml:space="preserve"> ע"ב:</w:t>
      </w:r>
      <w:r w:rsidRPr="001D49D4">
        <w:rPr>
          <w:rFonts w:ascii="Calibri" w:eastAsia="Calibri" w:hAnsi="Calibri" w:cs="Arial"/>
          <w:rtl/>
        </w:rPr>
        <w:t xml:space="preserve"> </w:t>
      </w:r>
      <w:r w:rsidRPr="001D49D4">
        <w:rPr>
          <w:rFonts w:ascii="Calibri" w:eastAsia="Calibri" w:hAnsi="Calibri" w:cs="Arial"/>
          <w:u w:val="double"/>
          <w:rtl/>
        </w:rPr>
        <w:t>מתני'</w:t>
      </w:r>
      <w:r w:rsidRPr="001D49D4">
        <w:rPr>
          <w:rFonts w:ascii="Calibri" w:eastAsia="Calibri" w:hAnsi="Calibri" w:cs="Arial"/>
          <w:rtl/>
        </w:rPr>
        <w:t xml:space="preserve">: זה אומר כתב ידי וזה כתב ידו של חבירי, וזה אומר זה כתב ידי וזה כתב ידו של חבירי - הרי אלו נאמנין. זה אומר זה כתב ידי, וזה אומר זה כתב ידי - צריכין לצרף עמהם אחר, </w:t>
      </w:r>
      <w:r w:rsidRPr="001D49D4">
        <w:rPr>
          <w:rFonts w:ascii="Calibri" w:eastAsia="Calibri" w:hAnsi="Calibri" w:cs="Arial"/>
          <w:u w:val="single"/>
          <w:rtl/>
        </w:rPr>
        <w:t>דברי רבי</w:t>
      </w:r>
      <w:r w:rsidRPr="001D49D4">
        <w:rPr>
          <w:rFonts w:ascii="Calibri" w:eastAsia="Calibri" w:hAnsi="Calibri" w:cs="Arial"/>
          <w:rtl/>
        </w:rPr>
        <w:t xml:space="preserve">. </w:t>
      </w:r>
      <w:r w:rsidRPr="001D49D4">
        <w:rPr>
          <w:rFonts w:ascii="Calibri" w:eastAsia="Calibri" w:hAnsi="Calibri" w:cs="Arial"/>
          <w:u w:val="single"/>
          <w:rtl/>
        </w:rPr>
        <w:t>וחכמים אומרים</w:t>
      </w:r>
      <w:r w:rsidRPr="001D49D4">
        <w:rPr>
          <w:rFonts w:ascii="Calibri" w:eastAsia="Calibri" w:hAnsi="Calibri" w:cs="Arial"/>
          <w:rtl/>
        </w:rPr>
        <w:t xml:space="preserve">: אינם צריכין לצרף עמהן אחר, אלא נאמן אדם לומר זה כתב ידי.     </w:t>
      </w:r>
      <w:r w:rsidRPr="001D49D4">
        <w:rPr>
          <w:rFonts w:ascii="Calibri" w:eastAsia="Calibri" w:hAnsi="Calibri" w:cs="Arial"/>
          <w:u w:val="double"/>
          <w:rtl/>
        </w:rPr>
        <w:t>גמ'</w:t>
      </w:r>
      <w:r w:rsidRPr="001D49D4">
        <w:rPr>
          <w:rFonts w:ascii="Calibri" w:eastAsia="Calibri" w:hAnsi="Calibri" w:cs="Arial"/>
          <w:sz w:val="14"/>
          <w:szCs w:val="14"/>
          <w:u w:val="double"/>
          <w:rtl/>
        </w:rPr>
        <w:t xml:space="preserve"> (כא.)</w:t>
      </w:r>
      <w:r w:rsidRPr="001D49D4">
        <w:rPr>
          <w:rFonts w:ascii="Calibri" w:eastAsia="Calibri" w:hAnsi="Calibri" w:cs="Arial"/>
          <w:rtl/>
        </w:rPr>
        <w:t xml:space="preserve">: </w:t>
      </w:r>
      <w:r w:rsidRPr="001D49D4">
        <w:rPr>
          <w:rFonts w:ascii="Calibri" w:eastAsia="Calibri" w:hAnsi="Calibri" w:cs="Arial"/>
          <w:u w:val="single"/>
          <w:rtl/>
        </w:rPr>
        <w:t>א"ר יהודה אמר שמואל</w:t>
      </w:r>
      <w:r w:rsidRPr="001D49D4">
        <w:rPr>
          <w:rFonts w:ascii="Calibri" w:eastAsia="Calibri" w:hAnsi="Calibri" w:cs="Arial"/>
          <w:rtl/>
        </w:rPr>
        <w:t xml:space="preserve">: הלכה כדברי חכמים... </w:t>
      </w:r>
      <w:r w:rsidRPr="001D49D4">
        <w:rPr>
          <w:rFonts w:ascii="Calibri" w:eastAsia="Calibri" w:hAnsi="Calibri" w:cs="Arial"/>
          <w:u w:val="single"/>
          <w:rtl/>
        </w:rPr>
        <w:t>אמר ליה רב חננא בר חייא לרב יהודה</w:t>
      </w:r>
      <w:r w:rsidRPr="001D49D4">
        <w:rPr>
          <w:rFonts w:ascii="Calibri" w:eastAsia="Calibri" w:hAnsi="Calibri" w:cs="Arial"/>
          <w:rtl/>
        </w:rPr>
        <w:t xml:space="preserve">, </w:t>
      </w:r>
      <w:r w:rsidRPr="001D49D4">
        <w:rPr>
          <w:rFonts w:ascii="Calibri" w:eastAsia="Calibri" w:hAnsi="Calibri" w:cs="Arial"/>
          <w:u w:val="single"/>
          <w:rtl/>
        </w:rPr>
        <w:t>ואמרי לה רב הונא בר יהודה לרב יהודה</w:t>
      </w:r>
      <w:r w:rsidRPr="001D49D4">
        <w:rPr>
          <w:rFonts w:ascii="Calibri" w:eastAsia="Calibri" w:hAnsi="Calibri" w:cs="Arial"/>
          <w:rtl/>
        </w:rPr>
        <w:t xml:space="preserve">, </w:t>
      </w:r>
      <w:r w:rsidRPr="001D49D4">
        <w:rPr>
          <w:rFonts w:ascii="Calibri" w:eastAsia="Calibri" w:hAnsi="Calibri" w:cs="Arial"/>
          <w:u w:val="single"/>
          <w:rtl/>
        </w:rPr>
        <w:t>ואמרי לה רב חייא בר יהודה לרב יהודה</w:t>
      </w:r>
      <w:r w:rsidRPr="001D49D4">
        <w:rPr>
          <w:rFonts w:ascii="Calibri" w:eastAsia="Calibri" w:hAnsi="Calibri" w:cs="Arial"/>
          <w:rtl/>
        </w:rPr>
        <w:t xml:space="preserve">: ומי אמר שמואל הכי? והא ההוא שטרא דנפיק מבי דינא דמר שמואל, והוה כתיב ביה: מדאתא רב ענן בר חייא ואסהיד אחתימות ידיה ואדחד דעמיה, ומנו? רב חנן בר רבה, ומדאתא רב חנן בר רבה ואסהיד אחתימות ידיה ואדחד דעמיה, ומנו? רב ענן בר חייא, אשרנוהי וקימנוהי כדחזי! </w:t>
      </w:r>
      <w:r w:rsidRPr="001D49D4">
        <w:rPr>
          <w:rFonts w:ascii="Calibri" w:eastAsia="Calibri" w:hAnsi="Calibri" w:cs="Arial"/>
          <w:u w:val="single"/>
          <w:rtl/>
        </w:rPr>
        <w:t>א"ל</w:t>
      </w:r>
      <w:r w:rsidRPr="001D49D4">
        <w:rPr>
          <w:rFonts w:ascii="Calibri" w:eastAsia="Calibri" w:hAnsi="Calibri" w:cs="Arial"/>
          <w:rtl/>
        </w:rPr>
        <w:t xml:space="preserve">: ההוא שטרא דיתמי הוה, וחש שמואל לב"ד טועין, וסבר שמואל, דלמא איכא דסבירא ליה הלכה כרבי מחבירו ולא מחביריו ובהא אפילו מחביריו, סבר: אעביד רווחא כי היכי דלא מפסדי יתמי. </w:t>
      </w:r>
    </w:p>
    <w:p w14:paraId="3039D10A"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b/>
          <w:bCs/>
          <w:rtl/>
        </w:rPr>
        <w:lastRenderedPageBreak/>
        <w:t xml:space="preserve">בבא בתרא </w:t>
      </w:r>
      <w:r w:rsidRPr="001D49D4">
        <w:rPr>
          <w:rFonts w:ascii="Calibri" w:eastAsia="Calibri" w:hAnsi="Calibri" w:cs="Arial"/>
          <w:b/>
          <w:bCs/>
          <w:sz w:val="16"/>
          <w:szCs w:val="16"/>
          <w:rtl/>
        </w:rPr>
        <w:t xml:space="preserve">(ס"פ יש נוחלין) </w:t>
      </w:r>
      <w:r w:rsidRPr="001D49D4">
        <w:rPr>
          <w:rFonts w:ascii="Calibri" w:eastAsia="Calibri" w:hAnsi="Calibri" w:cs="Arial"/>
          <w:b/>
          <w:bCs/>
          <w:rtl/>
        </w:rPr>
        <w:t>קלח</w:t>
      </w:r>
      <w:r w:rsidRPr="001D49D4">
        <w:rPr>
          <w:rFonts w:ascii="Calibri" w:eastAsia="Calibri" w:hAnsi="Calibri" w:cs="Arial"/>
          <w:b/>
          <w:bCs/>
          <w:vertAlign w:val="superscript"/>
          <w:rtl/>
        </w:rPr>
        <w:footnoteReference w:id="3776"/>
      </w:r>
      <w:r w:rsidRPr="001D49D4">
        <w:rPr>
          <w:rFonts w:ascii="Calibri" w:eastAsia="Calibri" w:hAnsi="Calibri" w:cs="Arial"/>
          <w:b/>
          <w:bCs/>
          <w:rtl/>
        </w:rPr>
        <w:t xml:space="preserve"> ע"ב:</w:t>
      </w:r>
      <w:r w:rsidRPr="001D49D4">
        <w:rPr>
          <w:rFonts w:ascii="Calibri" w:eastAsia="Calibri" w:hAnsi="Calibri" w:cs="Arial"/>
          <w:rtl/>
        </w:rPr>
        <w:t xml:space="preserve"> </w:t>
      </w:r>
      <w:r w:rsidRPr="001D49D4">
        <w:rPr>
          <w:rFonts w:ascii="Calibri" w:eastAsia="Calibri" w:hAnsi="Calibri" w:cs="Arial"/>
          <w:u w:val="single"/>
          <w:rtl/>
        </w:rPr>
        <w:t>אמר רב דימי מנהרדעא</w:t>
      </w:r>
      <w:r w:rsidRPr="001D49D4">
        <w:rPr>
          <w:rFonts w:ascii="Calibri" w:eastAsia="Calibri" w:hAnsi="Calibri" w:cs="Arial"/>
          <w:rtl/>
        </w:rPr>
        <w:t>, הלכתא: אין חוששין לבית דין טועין. ומאי שנא מדרבא, דאמר רבא: אין חולצין אלא אם כן מכירין, ואין ממאנין אלא אם כן מכירין, לפיכך כותבין גט חליצה וגט מיאון ואף על פי שאין מכירין, (מ"ט? לאו) משום דחוששין לב"ד טועין! לא, ב"ד בתר בית דינא לא דייקי, בית דינא בתר עדים דייקי.</w:t>
      </w:r>
    </w:p>
    <w:p w14:paraId="35154067"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u w:val="single"/>
          <w:rtl/>
        </w:rPr>
        <w:t>בית דין שכתבו קיום לשטר ולא כתבו באיזו דרך נתקיים:</w:t>
      </w:r>
    </w:p>
    <w:p w14:paraId="0B548C1C" w14:textId="77777777" w:rsidR="001D49D4" w:rsidRPr="001D49D4" w:rsidRDefault="001D49D4" w:rsidP="0004348D">
      <w:pPr>
        <w:numPr>
          <w:ilvl w:val="0"/>
          <w:numId w:val="279"/>
        </w:numPr>
        <w:spacing w:before="360" w:after="240"/>
        <w:contextualSpacing/>
        <w:rPr>
          <w:rtl/>
        </w:rPr>
      </w:pPr>
      <w:r w:rsidRPr="001D49D4">
        <w:rPr>
          <w:rtl/>
        </w:rPr>
        <w:t xml:space="preserve">רמב"ם </w:t>
      </w:r>
      <w:r w:rsidRPr="001D49D4">
        <w:rPr>
          <w:sz w:val="16"/>
          <w:szCs w:val="16"/>
          <w:rtl/>
        </w:rPr>
        <w:t>(פ"ו מהל' עדות ה"ד)</w:t>
      </w:r>
      <w:r w:rsidRPr="001D49D4">
        <w:rPr>
          <w:rtl/>
        </w:rPr>
        <w:t xml:space="preserve"> וטור- בית דין שכתבו 'במושב שלשה היינו ונתקיים שטר זה בפנינו' - הרי זה מקויים, אע"פ שלא פירשו באי זה דרך מחמשה דרכים נתקיים</w:t>
      </w:r>
      <w:r w:rsidRPr="001D49D4">
        <w:rPr>
          <w:vertAlign w:val="superscript"/>
          <w:rtl/>
        </w:rPr>
        <w:footnoteReference w:id="3777"/>
      </w:r>
      <w:r w:rsidRPr="001D49D4">
        <w:rPr>
          <w:rtl/>
        </w:rPr>
        <w:t>, שאין חוששין לבית דין שמא יטעו</w:t>
      </w:r>
      <w:r w:rsidRPr="001D49D4">
        <w:rPr>
          <w:vertAlign w:val="superscript"/>
          <w:rtl/>
        </w:rPr>
        <w:footnoteReference w:id="3778"/>
      </w:r>
      <w:r w:rsidRPr="001D49D4">
        <w:rPr>
          <w:rtl/>
        </w:rPr>
        <w:t xml:space="preserve">. וכבר נהגו כל בתי דינין שראינו ושמענו שיכתבו הדרך שנתקיים בה לפניהם. ולעולם אין בית דין בודקין אחר בית דין אחר אלא מחזיקין אותו שהן בקיאין ולא יטעו, אבל בודקין אחר העדים </w:t>
      </w:r>
      <w:r w:rsidRPr="001D49D4">
        <w:rPr>
          <w:sz w:val="16"/>
          <w:szCs w:val="16"/>
          <w:rtl/>
        </w:rPr>
        <w:t>(ל' הרמב"ם)</w:t>
      </w:r>
      <w:r w:rsidRPr="001D49D4">
        <w:rPr>
          <w:rtl/>
        </w:rPr>
        <w:t xml:space="preserve">. </w:t>
      </w:r>
      <w:r w:rsidRPr="001D49D4">
        <w:rPr>
          <w:color w:val="E36C0A" w:themeColor="accent6" w:themeShade="BF"/>
          <w:rtl/>
        </w:rPr>
        <w:t>(וכ"פ בשו"ע)</w:t>
      </w:r>
    </w:p>
    <w:p w14:paraId="458FB5BC" w14:textId="77777777" w:rsidR="001D49D4" w:rsidRPr="001D49D4" w:rsidRDefault="001D49D4" w:rsidP="0004348D">
      <w:pPr>
        <w:numPr>
          <w:ilvl w:val="0"/>
          <w:numId w:val="279"/>
        </w:numPr>
        <w:spacing w:before="360" w:after="240"/>
        <w:contextualSpacing/>
      </w:pPr>
      <w:r w:rsidRPr="001D49D4">
        <w:rPr>
          <w:rtl/>
        </w:rPr>
        <w:t>הגמ"ר</w:t>
      </w:r>
      <w:r w:rsidRPr="001D49D4">
        <w:rPr>
          <w:sz w:val="16"/>
          <w:szCs w:val="16"/>
          <w:rtl/>
        </w:rPr>
        <w:t xml:space="preserve"> (ב"ב סי' תרע) </w:t>
      </w:r>
      <w:r w:rsidRPr="001D49D4">
        <w:rPr>
          <w:rtl/>
        </w:rPr>
        <w:t xml:space="preserve">בשם בהעי"ט </w:t>
      </w:r>
      <w:r w:rsidRPr="001D49D4">
        <w:rPr>
          <w:sz w:val="16"/>
          <w:szCs w:val="16"/>
          <w:rtl/>
        </w:rPr>
        <w:t>(אות ק קיום נב ע"ד)</w:t>
      </w:r>
      <w:r w:rsidRPr="001D49D4">
        <w:rPr>
          <w:rtl/>
        </w:rPr>
        <w:t>- לכתחלה הוא דצריך לאחד משבעה דרכים אלו אבל אם כתב 'במותב תלתא הוינן ואיקיים שטרא דנן קדמנא' הרי הוא מקויים ולא חיישינן לב"ד טועין</w:t>
      </w:r>
      <w:r w:rsidRPr="001D49D4">
        <w:rPr>
          <w:vertAlign w:val="superscript"/>
          <w:rtl/>
        </w:rPr>
        <w:footnoteReference w:id="3779"/>
      </w:r>
      <w:r w:rsidRPr="001D49D4">
        <w:rPr>
          <w:sz w:val="16"/>
          <w:szCs w:val="16"/>
          <w:rtl/>
        </w:rPr>
        <w:t xml:space="preserve"> (ל' הגמ"ר בשם בהעי"ט)</w:t>
      </w:r>
      <w:r w:rsidRPr="001D49D4">
        <w:rPr>
          <w:rtl/>
        </w:rPr>
        <w:t>.</w:t>
      </w:r>
    </w:p>
    <w:p w14:paraId="353BC38A" w14:textId="77777777" w:rsidR="001D49D4" w:rsidRPr="001D49D4" w:rsidRDefault="001D49D4" w:rsidP="0004348D">
      <w:pPr>
        <w:spacing w:before="360" w:after="240"/>
        <w:rPr>
          <w:rFonts w:ascii="Arial" w:eastAsia="Calibri" w:hAnsi="Arial" w:cs="Arial"/>
          <w:b/>
          <w:bCs/>
          <w:color w:val="000000"/>
          <w:sz w:val="28"/>
          <w:szCs w:val="28"/>
          <w:u w:val="single"/>
          <w:rtl/>
        </w:rPr>
      </w:pPr>
      <w:r w:rsidRPr="001D49D4">
        <w:rPr>
          <w:rFonts w:ascii="Arial" w:eastAsia="Calibri" w:hAnsi="Arial" w:cs="Arial"/>
          <w:b/>
          <w:bCs/>
          <w:color w:val="000000"/>
          <w:sz w:val="28"/>
          <w:szCs w:val="28"/>
          <w:u w:val="single"/>
          <w:rtl/>
        </w:rPr>
        <w:t>שו"ע:</w:t>
      </w:r>
    </w:p>
    <w:p w14:paraId="50C96198"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rtl/>
        </w:rPr>
        <w:t>בית דין שכתבו 'במותב תלתא הוינא ונתקיים שטר זה בפנינו', הרי זה מקויים אף על פי שלא פירשו באיזה דרך נתקיים. ונהגו</w:t>
      </w:r>
      <w:r w:rsidRPr="001D49D4">
        <w:rPr>
          <w:rFonts w:ascii="Calibri" w:eastAsia="Calibri" w:hAnsi="Calibri" w:cs="Arial"/>
          <w:vertAlign w:val="superscript"/>
          <w:rtl/>
        </w:rPr>
        <w:footnoteReference w:id="3780"/>
      </w:r>
      <w:r w:rsidRPr="001D49D4">
        <w:rPr>
          <w:rFonts w:ascii="Calibri" w:eastAsia="Calibri" w:hAnsi="Calibri" w:cs="Arial"/>
          <w:rtl/>
        </w:rPr>
        <w:t xml:space="preserve"> לכתוב הדרך שנתקיים בו</w:t>
      </w:r>
      <w:r w:rsidRPr="001D49D4">
        <w:rPr>
          <w:rFonts w:ascii="Calibri" w:eastAsia="Calibri" w:hAnsi="Calibri" w:cs="Arial"/>
          <w:vertAlign w:val="superscript"/>
          <w:rtl/>
        </w:rPr>
        <w:footnoteReference w:id="3781"/>
      </w:r>
      <w:r w:rsidRPr="001D49D4">
        <w:rPr>
          <w:rFonts w:ascii="Calibri" w:eastAsia="Calibri" w:hAnsi="Calibri" w:cs="Arial"/>
          <w:rtl/>
        </w:rPr>
        <w:t xml:space="preserve">. </w:t>
      </w:r>
    </w:p>
    <w:p w14:paraId="58B1E39A" w14:textId="77777777" w:rsidR="001D49D4" w:rsidRPr="001D49D4" w:rsidRDefault="001D49D4" w:rsidP="0004348D">
      <w:pPr>
        <w:spacing w:before="360" w:after="240"/>
        <w:rPr>
          <w:rFonts w:ascii="Calibri" w:eastAsia="Calibri" w:hAnsi="Calibri" w:cs="Arial"/>
          <w:rtl/>
        </w:rPr>
      </w:pPr>
    </w:p>
    <w:p w14:paraId="3B756D8D" w14:textId="77777777" w:rsidR="001D49D4" w:rsidRPr="001D49D4" w:rsidRDefault="001D49D4" w:rsidP="0004348D">
      <w:pPr>
        <w:keepNext/>
        <w:keepLines/>
        <w:spacing w:before="360" w:after="240"/>
        <w:outlineLvl w:val="1"/>
        <w:rPr>
          <w:rFonts w:ascii="Cambria" w:eastAsia="Times New Roman" w:hAnsi="Cambria" w:cs="Arial"/>
          <w:bCs/>
          <w:color w:val="548DD4" w:themeColor="text2" w:themeTint="99"/>
          <w:sz w:val="26"/>
          <w:szCs w:val="26"/>
          <w:rtl/>
        </w:rPr>
      </w:pPr>
      <w:bookmarkStart w:id="509" w:name="_Toc24883943"/>
      <w:r w:rsidRPr="001D49D4">
        <w:rPr>
          <w:rFonts w:ascii="Cambria" w:eastAsia="Times New Roman" w:hAnsi="Cambria" w:cs="Arial"/>
          <w:bCs/>
          <w:color w:val="548DD4" w:themeColor="text2" w:themeTint="99"/>
          <w:sz w:val="26"/>
          <w:szCs w:val="26"/>
          <w:rtl/>
        </w:rPr>
        <w:t>סעיף ט: שנים שיכירו את ב' החתימות.</w:t>
      </w:r>
      <w:bookmarkEnd w:id="509"/>
      <w:r w:rsidRPr="001D49D4">
        <w:rPr>
          <w:rFonts w:ascii="Cambria" w:eastAsia="Times New Roman" w:hAnsi="Cambria" w:cs="Arial"/>
          <w:bCs/>
          <w:color w:val="548DD4" w:themeColor="text2" w:themeTint="99"/>
          <w:sz w:val="26"/>
          <w:szCs w:val="26"/>
          <w:rtl/>
        </w:rPr>
        <w:t xml:space="preserve"> </w:t>
      </w:r>
    </w:p>
    <w:p w14:paraId="22F89590" w14:textId="77777777" w:rsidR="001D49D4" w:rsidRPr="001D49D4" w:rsidRDefault="001D49D4" w:rsidP="0004348D">
      <w:pPr>
        <w:spacing w:before="360" w:after="240"/>
        <w:rPr>
          <w:rFonts w:ascii="Calibri" w:eastAsia="Calibri" w:hAnsi="Calibri" w:cs="Arial"/>
          <w:sz w:val="16"/>
          <w:szCs w:val="16"/>
          <w:rtl/>
        </w:rPr>
      </w:pPr>
      <w:r w:rsidRPr="001D49D4">
        <w:rPr>
          <w:rFonts w:ascii="Calibri" w:eastAsia="Calibri" w:hAnsi="Calibri" w:cs="Arial"/>
          <w:b/>
          <w:bCs/>
          <w:rtl/>
        </w:rPr>
        <w:t xml:space="preserve">כתובות </w:t>
      </w:r>
      <w:r w:rsidRPr="001D49D4">
        <w:rPr>
          <w:rFonts w:ascii="Calibri" w:eastAsia="Calibri" w:hAnsi="Calibri" w:cs="Arial"/>
          <w:b/>
          <w:bCs/>
          <w:sz w:val="16"/>
          <w:szCs w:val="16"/>
          <w:rtl/>
        </w:rPr>
        <w:t xml:space="preserve">(פ"ב) </w:t>
      </w:r>
      <w:r w:rsidRPr="001D49D4">
        <w:rPr>
          <w:rFonts w:ascii="Calibri" w:eastAsia="Calibri" w:hAnsi="Calibri" w:cs="Arial"/>
          <w:b/>
          <w:bCs/>
          <w:rtl/>
        </w:rPr>
        <w:t>כא</w:t>
      </w:r>
      <w:r w:rsidRPr="001D49D4">
        <w:rPr>
          <w:rFonts w:ascii="Calibri" w:eastAsia="Calibri" w:hAnsi="Calibri" w:cs="Arial"/>
          <w:b/>
          <w:bCs/>
          <w:vertAlign w:val="superscript"/>
          <w:rtl/>
        </w:rPr>
        <w:footnoteReference w:id="3782"/>
      </w:r>
      <w:r w:rsidRPr="001D49D4">
        <w:rPr>
          <w:rFonts w:ascii="Calibri" w:eastAsia="Calibri" w:hAnsi="Calibri" w:cs="Arial"/>
          <w:b/>
          <w:bCs/>
          <w:rtl/>
        </w:rPr>
        <w:t xml:space="preserve"> ע"א:</w:t>
      </w:r>
      <w:r w:rsidRPr="001D49D4">
        <w:rPr>
          <w:rFonts w:ascii="Calibri" w:eastAsia="Calibri" w:hAnsi="Calibri" w:cs="Arial"/>
          <w:rtl/>
        </w:rPr>
        <w:t xml:space="preserve"> </w:t>
      </w:r>
      <w:r w:rsidRPr="001D49D4">
        <w:rPr>
          <w:rFonts w:ascii="Calibri" w:eastAsia="Calibri" w:hAnsi="Calibri" w:cs="Arial"/>
          <w:u w:val="single"/>
          <w:rtl/>
        </w:rPr>
        <w:t>אמר רב יהודה אמר רב</w:t>
      </w:r>
      <w:r w:rsidRPr="001D49D4">
        <w:rPr>
          <w:rFonts w:ascii="Calibri" w:eastAsia="Calibri" w:hAnsi="Calibri" w:cs="Arial"/>
          <w:rtl/>
        </w:rPr>
        <w:t>: שנים החתומין על השטר ומת אחד מהן - צריכין שנים מן השוק להעיד עליו.</w:t>
      </w:r>
      <w:r w:rsidRPr="001D49D4">
        <w:rPr>
          <w:rFonts w:ascii="Calibri" w:eastAsia="Calibri" w:hAnsi="Calibri" w:cs="Arial"/>
          <w:sz w:val="16"/>
          <w:szCs w:val="16"/>
          <w:rtl/>
        </w:rPr>
        <w:t xml:space="preserve"> (אבל על העד שעדיין חי א"צ להעיד, אלא הוא לבדו נאמן שזהו כתב ידו. אבל על העד שמת צריך שני עדים. ונלמד מדין זה שצריך שני עדים על כל חתימה וחתימה)</w:t>
      </w:r>
    </w:p>
    <w:p w14:paraId="358E78E6" w14:textId="77777777" w:rsidR="001D49D4" w:rsidRPr="001D49D4" w:rsidRDefault="001D49D4" w:rsidP="0004348D">
      <w:pPr>
        <w:spacing w:before="360" w:after="240"/>
        <w:rPr>
          <w:rFonts w:ascii="Calibri" w:eastAsia="Calibri" w:hAnsi="Calibri" w:cs="Arial"/>
          <w:u w:val="single"/>
          <w:rtl/>
        </w:rPr>
      </w:pPr>
      <w:r w:rsidRPr="001D49D4">
        <w:rPr>
          <w:rFonts w:ascii="Calibri" w:eastAsia="Calibri" w:hAnsi="Calibri" w:cs="Arial"/>
          <w:u w:val="single"/>
          <w:rtl/>
        </w:rPr>
        <w:t>שנים שיכירו את ב' החתימות:</w:t>
      </w:r>
    </w:p>
    <w:p w14:paraId="35C0E340" w14:textId="77777777" w:rsidR="001D49D4" w:rsidRPr="001D49D4" w:rsidRDefault="001D49D4" w:rsidP="0004348D">
      <w:pPr>
        <w:numPr>
          <w:ilvl w:val="0"/>
          <w:numId w:val="285"/>
        </w:numPr>
        <w:spacing w:before="360" w:after="240"/>
        <w:contextualSpacing/>
        <w:rPr>
          <w:rtl/>
        </w:rPr>
      </w:pPr>
      <w:r w:rsidRPr="001D49D4">
        <w:rPr>
          <w:rtl/>
        </w:rPr>
        <w:t xml:space="preserve">טור- ודוקא ששנים מכירים ב' החתימות, אבל אם אחד מעיד על כתב יד האחד ואחד על כתב יד השני - לא נתקיים, לפי שצריך שני עדים על כתב יד של כל אחד ואחד. אבל אם יש שלישי עמהם שמעיד על כתב יד שני העדים - נתקיים. </w:t>
      </w:r>
      <w:r w:rsidRPr="001D49D4">
        <w:rPr>
          <w:color w:val="E36C0A" w:themeColor="accent6" w:themeShade="BF"/>
          <w:rtl/>
        </w:rPr>
        <w:t>(וכ"פ בשו"ע)</w:t>
      </w:r>
    </w:p>
    <w:p w14:paraId="43DAE3F8" w14:textId="77777777" w:rsidR="001D49D4" w:rsidRPr="001D49D4" w:rsidRDefault="001D49D4" w:rsidP="0004348D">
      <w:pPr>
        <w:spacing w:before="360" w:after="240"/>
        <w:rPr>
          <w:rFonts w:ascii="Arial" w:eastAsia="Calibri" w:hAnsi="Arial" w:cs="Arial"/>
          <w:b/>
          <w:bCs/>
          <w:color w:val="000000"/>
          <w:sz w:val="28"/>
          <w:szCs w:val="28"/>
          <w:u w:val="single"/>
          <w:rtl/>
        </w:rPr>
      </w:pPr>
      <w:r w:rsidRPr="001D49D4">
        <w:rPr>
          <w:rFonts w:ascii="Arial" w:eastAsia="Calibri" w:hAnsi="Arial" w:cs="Arial"/>
          <w:b/>
          <w:bCs/>
          <w:color w:val="000000"/>
          <w:sz w:val="28"/>
          <w:szCs w:val="28"/>
          <w:u w:val="single"/>
          <w:rtl/>
        </w:rPr>
        <w:t>שו"ע:</w:t>
      </w:r>
    </w:p>
    <w:p w14:paraId="3F687324"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rtl/>
        </w:rPr>
        <w:lastRenderedPageBreak/>
        <w:t>כשהשטר מתקיים בעדות אחרים שמעידים על כתב ידם של אלו, אם אחד מעיד על חתימת האחד ואחד על חתימת השני, לא נתקיים, לפי שצריך שני עדים על חתימת כל אחד</w:t>
      </w:r>
      <w:r w:rsidRPr="001D49D4">
        <w:rPr>
          <w:rFonts w:ascii="Calibri" w:eastAsia="Calibri" w:hAnsi="Calibri" w:cs="Arial"/>
          <w:vertAlign w:val="superscript"/>
          <w:rtl/>
        </w:rPr>
        <w:footnoteReference w:id="3783"/>
      </w:r>
      <w:r w:rsidRPr="001D49D4">
        <w:rPr>
          <w:rFonts w:ascii="Calibri" w:eastAsia="Calibri" w:hAnsi="Calibri" w:cs="Arial"/>
          <w:rtl/>
        </w:rPr>
        <w:t xml:space="preserve">. ואם יש שלישי עמהם שמעיד על חתימת שני העדים, נתקיים. </w:t>
      </w:r>
    </w:p>
    <w:p w14:paraId="251601F3" w14:textId="77777777" w:rsidR="001D49D4" w:rsidRPr="001D49D4" w:rsidRDefault="001D49D4" w:rsidP="0004348D">
      <w:pPr>
        <w:spacing w:before="360" w:after="240"/>
        <w:rPr>
          <w:rFonts w:ascii="Calibri" w:eastAsia="Calibri" w:hAnsi="Calibri" w:cs="Arial"/>
          <w:rtl/>
        </w:rPr>
      </w:pPr>
    </w:p>
    <w:p w14:paraId="585580E5" w14:textId="77777777" w:rsidR="001D49D4" w:rsidRPr="001D49D4" w:rsidRDefault="001D49D4" w:rsidP="0004348D">
      <w:pPr>
        <w:keepNext/>
        <w:keepLines/>
        <w:spacing w:before="360" w:after="240"/>
        <w:outlineLvl w:val="1"/>
        <w:rPr>
          <w:rFonts w:ascii="Cambria" w:eastAsia="Times New Roman" w:hAnsi="Cambria" w:cs="Arial"/>
          <w:bCs/>
          <w:color w:val="548DD4" w:themeColor="text2" w:themeTint="99"/>
          <w:sz w:val="26"/>
          <w:szCs w:val="26"/>
          <w:rtl/>
        </w:rPr>
      </w:pPr>
      <w:bookmarkStart w:id="510" w:name="_Toc24883944"/>
      <w:r w:rsidRPr="001D49D4">
        <w:rPr>
          <w:rFonts w:ascii="Cambria" w:eastAsia="Times New Roman" w:hAnsi="Cambria" w:cs="Arial"/>
          <w:bCs/>
          <w:color w:val="548DD4" w:themeColor="text2" w:themeTint="99"/>
          <w:sz w:val="26"/>
          <w:szCs w:val="26"/>
          <w:rtl/>
        </w:rPr>
        <w:t>סעיף י: עדים שאינם זוכרים את המעשה הכתוב בשטר או שאינם זוכרים שחתמו.</w:t>
      </w:r>
      <w:bookmarkEnd w:id="510"/>
    </w:p>
    <w:p w14:paraId="633EC52E"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b/>
          <w:bCs/>
          <w:rtl/>
        </w:rPr>
        <w:t xml:space="preserve">ירושלמי </w:t>
      </w:r>
      <w:r w:rsidRPr="001D49D4">
        <w:rPr>
          <w:rFonts w:ascii="Calibri" w:eastAsia="Calibri" w:hAnsi="Calibri" w:cs="Arial"/>
          <w:b/>
          <w:bCs/>
          <w:sz w:val="16"/>
          <w:szCs w:val="16"/>
          <w:rtl/>
        </w:rPr>
        <w:t xml:space="preserve">(וילנא) </w:t>
      </w:r>
      <w:r w:rsidRPr="001D49D4">
        <w:rPr>
          <w:rFonts w:ascii="Calibri" w:eastAsia="Calibri" w:hAnsi="Calibri" w:cs="Arial"/>
          <w:b/>
          <w:bCs/>
          <w:rtl/>
        </w:rPr>
        <w:t>כתובות פ"ב ה"ד:</w:t>
      </w:r>
      <w:r w:rsidRPr="001D49D4">
        <w:rPr>
          <w:rFonts w:ascii="Calibri" w:eastAsia="Calibri" w:hAnsi="Calibri" w:cs="Arial"/>
          <w:rtl/>
        </w:rPr>
        <w:t xml:space="preserve"> תני, כותב אדם עדותו ומעידה אפילו לאחר כמה שנים. </w:t>
      </w:r>
      <w:r w:rsidRPr="001D49D4">
        <w:rPr>
          <w:rFonts w:ascii="Calibri" w:eastAsia="Calibri" w:hAnsi="Calibri" w:cs="Arial"/>
          <w:u w:val="single"/>
          <w:rtl/>
        </w:rPr>
        <w:t>רב חונה אמר</w:t>
      </w:r>
      <w:r w:rsidRPr="001D49D4">
        <w:rPr>
          <w:rFonts w:ascii="Calibri" w:eastAsia="Calibri" w:hAnsi="Calibri" w:cs="Arial"/>
          <w:rtl/>
        </w:rPr>
        <w:t xml:space="preserve">: והוא שיהא זכור עדותו. </w:t>
      </w:r>
      <w:r w:rsidRPr="001D49D4">
        <w:rPr>
          <w:rFonts w:ascii="Calibri" w:eastAsia="Calibri" w:hAnsi="Calibri" w:cs="Arial"/>
          <w:u w:val="single"/>
          <w:rtl/>
        </w:rPr>
        <w:t>רבי יוחנן אמר</w:t>
      </w:r>
      <w:r w:rsidRPr="001D49D4">
        <w:rPr>
          <w:rFonts w:ascii="Calibri" w:eastAsia="Calibri" w:hAnsi="Calibri" w:cs="Arial"/>
          <w:rtl/>
        </w:rPr>
        <w:t xml:space="preserve">: אף על פי שאינו זכור עדותו. ותייא דרב חונה כרבי, ור' יוחנן כרבנין. </w:t>
      </w:r>
    </w:p>
    <w:p w14:paraId="7A1F5671"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b/>
          <w:bCs/>
          <w:rtl/>
        </w:rPr>
        <w:t xml:space="preserve">כתובות </w:t>
      </w:r>
      <w:r w:rsidRPr="001D49D4">
        <w:rPr>
          <w:rFonts w:ascii="Calibri" w:eastAsia="Calibri" w:hAnsi="Calibri" w:cs="Arial"/>
          <w:b/>
          <w:bCs/>
          <w:sz w:val="16"/>
          <w:szCs w:val="16"/>
          <w:rtl/>
        </w:rPr>
        <w:t xml:space="preserve">(פ"ב) </w:t>
      </w:r>
      <w:r w:rsidRPr="001D49D4">
        <w:rPr>
          <w:rFonts w:ascii="Calibri" w:eastAsia="Calibri" w:hAnsi="Calibri" w:cs="Arial"/>
          <w:b/>
          <w:bCs/>
          <w:rtl/>
        </w:rPr>
        <w:t>כ</w:t>
      </w:r>
      <w:r w:rsidRPr="001D49D4">
        <w:rPr>
          <w:rFonts w:ascii="Calibri" w:eastAsia="Calibri" w:hAnsi="Calibri" w:cs="Arial"/>
          <w:b/>
          <w:bCs/>
          <w:vertAlign w:val="superscript"/>
          <w:rtl/>
        </w:rPr>
        <w:footnoteReference w:id="3784"/>
      </w:r>
      <w:r w:rsidRPr="001D49D4">
        <w:rPr>
          <w:rFonts w:ascii="Calibri" w:eastAsia="Calibri" w:hAnsi="Calibri" w:cs="Arial"/>
          <w:b/>
          <w:bCs/>
          <w:rtl/>
        </w:rPr>
        <w:t xml:space="preserve"> ע"א:</w:t>
      </w:r>
      <w:r w:rsidRPr="001D49D4">
        <w:rPr>
          <w:rFonts w:ascii="Calibri" w:eastAsia="Calibri" w:hAnsi="Calibri" w:cs="Arial"/>
          <w:rtl/>
        </w:rPr>
        <w:t xml:space="preserve"> ת"ר: כותב אדם עדותו על השטר, ומעיד עליה אפילו לאחר כמה שנים. </w:t>
      </w:r>
      <w:r w:rsidRPr="001D49D4">
        <w:rPr>
          <w:rFonts w:ascii="Calibri" w:eastAsia="Calibri" w:hAnsi="Calibri" w:cs="Arial"/>
          <w:u w:val="single"/>
          <w:rtl/>
        </w:rPr>
        <w:t>אמר רב הונא</w:t>
      </w:r>
      <w:r w:rsidRPr="001D49D4">
        <w:rPr>
          <w:rFonts w:ascii="Calibri" w:eastAsia="Calibri" w:hAnsi="Calibri" w:cs="Arial"/>
          <w:rtl/>
        </w:rPr>
        <w:t xml:space="preserve">: והוא שזוכרה מעצמו. </w:t>
      </w:r>
      <w:r w:rsidRPr="001D49D4">
        <w:rPr>
          <w:rFonts w:ascii="Calibri" w:eastAsia="Calibri" w:hAnsi="Calibri" w:cs="Arial"/>
          <w:u w:val="single"/>
          <w:rtl/>
        </w:rPr>
        <w:t>רבי יוחנן אמר</w:t>
      </w:r>
      <w:r w:rsidRPr="001D49D4">
        <w:rPr>
          <w:rFonts w:ascii="Calibri" w:eastAsia="Calibri" w:hAnsi="Calibri" w:cs="Arial"/>
          <w:rtl/>
        </w:rPr>
        <w:t>: אף על פי שאין זוכרה מעצמו.</w:t>
      </w:r>
      <w:r w:rsidRPr="001D49D4">
        <w:rPr>
          <w:rFonts w:ascii="Calibri" w:eastAsia="Calibri" w:hAnsi="Calibri" w:cs="Arial"/>
          <w:sz w:val="16"/>
          <w:szCs w:val="16"/>
          <w:rtl/>
        </w:rPr>
        <w:t xml:space="preserve"> (וכתבו התוספות (כ: סוף דיבור ראשון)- פירוש, כשהעדים באים לקיים חתימתן, אם זוכרין המלוה בלא שטר - אפילו לרבי א"צ לצרף עמהם אחר מן השוק, דעל מנה שבשטר הם מעידים. וכשאין זוכרים המלוה אפילו ע"י השטר - אפילו רבנן מודו דצריכין לצרף, דע"כ אין מעידין אלא על כתב ידם. וכי פליגי היינו כשזוכרין המלוה ע"י השטר, דלרבנן חשיב זכירה ועל מנה הם מעידים, ולרבי לא חשיב זכירה. וכ"כ הרא"ש (סי' טז ד"ה גמ'), ועוד יתבאר זה בדברי הרמב"ם שכתב רבינו, ב"י)</w:t>
      </w:r>
      <w:r w:rsidRPr="001D49D4">
        <w:rPr>
          <w:rFonts w:ascii="Calibri" w:eastAsia="Calibri" w:hAnsi="Calibri" w:cs="Arial"/>
          <w:rtl/>
        </w:rPr>
        <w:t xml:space="preserve"> </w:t>
      </w:r>
    </w:p>
    <w:p w14:paraId="1F441A00"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u w:val="single"/>
          <w:rtl/>
        </w:rPr>
        <w:t xml:space="preserve">עדים שאינם זוכרים את ההלואה אפילו ע"י ראיית השטר – מהו </w:t>
      </w:r>
      <w:r w:rsidRPr="001D49D4">
        <w:rPr>
          <w:rFonts w:ascii="Calibri" w:eastAsia="Calibri" w:hAnsi="Calibri" w:cs="Arial"/>
          <w:b/>
          <w:bCs/>
          <w:u w:val="single"/>
          <w:rtl/>
        </w:rPr>
        <w:t>שיקיימו</w:t>
      </w:r>
      <w:r w:rsidRPr="001D49D4">
        <w:rPr>
          <w:rFonts w:ascii="Calibri" w:eastAsia="Calibri" w:hAnsi="Calibri" w:cs="Arial"/>
          <w:u w:val="single"/>
          <w:rtl/>
        </w:rPr>
        <w:t xml:space="preserve"> את השטר</w:t>
      </w:r>
      <w:r w:rsidRPr="001D49D4">
        <w:rPr>
          <w:rFonts w:ascii="Calibri" w:eastAsia="Calibri" w:hAnsi="Calibri" w:cs="Arial"/>
          <w:sz w:val="16"/>
          <w:szCs w:val="16"/>
          <w:u w:val="single"/>
          <w:rtl/>
        </w:rPr>
        <w:t xml:space="preserve"> (עי"ז שיעידו שזה כתב ידם)</w:t>
      </w:r>
      <w:r w:rsidRPr="001D49D4">
        <w:rPr>
          <w:rFonts w:ascii="Calibri" w:eastAsia="Calibri" w:hAnsi="Calibri" w:cs="Arial"/>
          <w:u w:val="single"/>
          <w:rtl/>
        </w:rPr>
        <w:t>:</w:t>
      </w:r>
    </w:p>
    <w:p w14:paraId="12A629AD" w14:textId="77777777" w:rsidR="001D49D4" w:rsidRPr="001D49D4" w:rsidRDefault="001D49D4" w:rsidP="0004348D">
      <w:pPr>
        <w:numPr>
          <w:ilvl w:val="0"/>
          <w:numId w:val="285"/>
        </w:numPr>
        <w:spacing w:before="360" w:after="240"/>
        <w:contextualSpacing/>
        <w:rPr>
          <w:rtl/>
        </w:rPr>
      </w:pPr>
      <w:r w:rsidRPr="001D49D4">
        <w:rPr>
          <w:rtl/>
        </w:rPr>
        <w:t xml:space="preserve">טור- במה דברים אמורים </w:t>
      </w:r>
      <w:r w:rsidRPr="001D49D4">
        <w:rPr>
          <w:sz w:val="16"/>
          <w:szCs w:val="16"/>
          <w:rtl/>
        </w:rPr>
        <w:t xml:space="preserve">{שהעד נאמן לבדו לומר זה כתב ידי} </w:t>
      </w:r>
      <w:r w:rsidRPr="001D49D4">
        <w:rPr>
          <w:rtl/>
        </w:rPr>
        <w:t>כשזוכרין ההלואה</w:t>
      </w:r>
      <w:r w:rsidRPr="001D49D4">
        <w:rPr>
          <w:sz w:val="16"/>
          <w:szCs w:val="16"/>
          <w:rtl/>
        </w:rPr>
        <w:t xml:space="preserve"> {דאז הרי הם מעידים על מנה שבשטר}</w:t>
      </w:r>
      <w:r w:rsidRPr="001D49D4">
        <w:rPr>
          <w:rtl/>
        </w:rPr>
        <w:t>, ואפילו שאין זוכרים אותו אלא ע"י ראיית השטר, אבל אם שכחו ההלואה ואין נזכרין לה אף ע"י ראיית השטר אז ודאי על כתיבת ידם הם מעידין - ויכולין להעיד על כתב ידם אפילו אינם זוכרין שחתמוהו מעולם אלא שמכירים שזה כתב ידם. וכיון שמעידים על כתב ידם - צריך ב' עדים על כל חתימה. לכן צריך שיעיד כל אחד אכתב ידו ואכתב יד חבירו או שיצטרף אחר עמהם שיעיד על כתב ידי שניהם, כדי שיהא על כל חתימה ב' עדים.</w:t>
      </w:r>
    </w:p>
    <w:p w14:paraId="0B9983C1" w14:textId="77777777" w:rsidR="001D49D4" w:rsidRPr="001D49D4" w:rsidRDefault="001D49D4" w:rsidP="0004348D">
      <w:pPr>
        <w:numPr>
          <w:ilvl w:val="0"/>
          <w:numId w:val="285"/>
        </w:numPr>
        <w:spacing w:before="360" w:after="240"/>
        <w:contextualSpacing/>
      </w:pPr>
      <w:r w:rsidRPr="001D49D4">
        <w:rPr>
          <w:rtl/>
        </w:rPr>
        <w:t>בה"ג</w:t>
      </w:r>
      <w:r w:rsidRPr="001D49D4">
        <w:rPr>
          <w:sz w:val="16"/>
          <w:szCs w:val="16"/>
          <w:rtl/>
        </w:rPr>
        <w:t xml:space="preserve"> (סי' נא הל' עדות קיד ע"ג)</w:t>
      </w:r>
      <w:r w:rsidRPr="001D49D4">
        <w:rPr>
          <w:rtl/>
        </w:rPr>
        <w:t xml:space="preserve"> ורמב"ם </w:t>
      </w:r>
      <w:r w:rsidRPr="001D49D4">
        <w:rPr>
          <w:sz w:val="16"/>
          <w:szCs w:val="16"/>
          <w:rtl/>
        </w:rPr>
        <w:t>(פ"ח מעדות ה"ד)</w:t>
      </w:r>
      <w:r w:rsidRPr="001D49D4">
        <w:rPr>
          <w:rtl/>
        </w:rPr>
        <w:t>- שטר שיצא לב"ד ובאו עדים ואמרו 'כתב ידינו הוא זה אבל מעולם לא ידענו עדות זו ואין אנו זוכרים שזה לוה מזה או מכר לו' - לא נתקיים השטר והרי הן כחרשים</w:t>
      </w:r>
      <w:r w:rsidRPr="001D49D4">
        <w:rPr>
          <w:vertAlign w:val="superscript"/>
          <w:rtl/>
        </w:rPr>
        <w:footnoteReference w:id="3785"/>
      </w:r>
      <w:r w:rsidRPr="001D49D4">
        <w:rPr>
          <w:rtl/>
        </w:rPr>
        <w:t xml:space="preserve"> עד שיזכרו עדותן</w:t>
      </w:r>
      <w:r w:rsidRPr="001D49D4">
        <w:rPr>
          <w:vertAlign w:val="superscript"/>
          <w:rtl/>
        </w:rPr>
        <w:footnoteReference w:id="3786"/>
      </w:r>
      <w:r w:rsidRPr="001D49D4">
        <w:rPr>
          <w:rtl/>
        </w:rPr>
        <w:t>, וכל מי שאינו דן כן לא ידע בדיני ממונות בין ימינו לשמאלו</w:t>
      </w:r>
      <w:r w:rsidRPr="001D49D4">
        <w:rPr>
          <w:vertAlign w:val="superscript"/>
          <w:rtl/>
        </w:rPr>
        <w:footnoteReference w:id="3787"/>
      </w:r>
      <w:r w:rsidRPr="001D49D4">
        <w:rPr>
          <w:rtl/>
        </w:rPr>
        <w:t>, אבל אם היה כתב ידן יוצא ממקום אחר או שהיו שם עדים שזה כתב ידן - מקיימין את השטר ואין משגיחין על דבריהן שאומרין אין אנו זוכרין עדות זו, שמא חזרו בהן, וזה שאמרו אין אנו זוכרין, כדי לבטל השטר, וכאילו אמרו קטנים היינו פסולי עדות היינו שאינן נאמנים הואיל ומתקיים השטר שלא על פיהם. ומפני טעם זה מקיימין כל השטרות ואין אנו צריכין להביא עדים ולשאול אותם אם הם זוכרים עדות זו או אינם זוכרים אותה, שאפילו באו ואמרו אין אנו זוכרים אותה אין שומעין להן הואיל ואפשר לקיימו שלא מפיהן</w:t>
      </w:r>
      <w:r w:rsidRPr="001D49D4">
        <w:rPr>
          <w:sz w:val="16"/>
          <w:szCs w:val="16"/>
          <w:rtl/>
        </w:rPr>
        <w:t xml:space="preserve"> (ל' הרמב"ם)</w:t>
      </w:r>
      <w:r w:rsidRPr="001D49D4">
        <w:rPr>
          <w:vertAlign w:val="superscript"/>
          <w:rtl/>
        </w:rPr>
        <w:footnoteReference w:id="3788"/>
      </w:r>
      <w:r w:rsidRPr="001D49D4">
        <w:rPr>
          <w:rtl/>
        </w:rPr>
        <w:t xml:space="preserve">. </w:t>
      </w:r>
      <w:r w:rsidRPr="001D49D4">
        <w:rPr>
          <w:color w:val="E36C0A" w:themeColor="accent6" w:themeShade="BF"/>
          <w:rtl/>
        </w:rPr>
        <w:t>(וכ"ס בשו"ע)</w:t>
      </w:r>
      <w:r w:rsidRPr="001D49D4">
        <w:rPr>
          <w:rtl/>
        </w:rPr>
        <w:t xml:space="preserve"> (וכ"פ הש"ך</w:t>
      </w:r>
      <w:r w:rsidRPr="001D49D4">
        <w:rPr>
          <w:sz w:val="16"/>
          <w:szCs w:val="16"/>
          <w:rtl/>
        </w:rPr>
        <w:t xml:space="preserve"> [סקל"ב]</w:t>
      </w:r>
      <w:r w:rsidRPr="001D49D4">
        <w:rPr>
          <w:rtl/>
        </w:rPr>
        <w:t>)</w:t>
      </w:r>
    </w:p>
    <w:p w14:paraId="1B60358B" w14:textId="77777777" w:rsidR="001D49D4" w:rsidRPr="001D49D4" w:rsidRDefault="001D49D4" w:rsidP="0004348D">
      <w:pPr>
        <w:numPr>
          <w:ilvl w:val="0"/>
          <w:numId w:val="285"/>
        </w:numPr>
        <w:spacing w:before="360" w:after="240"/>
        <w:contextualSpacing/>
      </w:pPr>
      <w:r w:rsidRPr="001D49D4">
        <w:rPr>
          <w:rtl/>
        </w:rPr>
        <w:t xml:space="preserve">רי"ף </w:t>
      </w:r>
      <w:r w:rsidRPr="001D49D4">
        <w:rPr>
          <w:sz w:val="16"/>
          <w:szCs w:val="16"/>
          <w:rtl/>
        </w:rPr>
        <w:t>(פרק ארבעה אחים ט., כ"כ הב"י בשמו)</w:t>
      </w:r>
      <w:r w:rsidRPr="001D49D4">
        <w:rPr>
          <w:rtl/>
        </w:rPr>
        <w:t xml:space="preserve"> ורי"ו </w:t>
      </w:r>
      <w:r w:rsidRPr="001D49D4">
        <w:rPr>
          <w:sz w:val="16"/>
          <w:szCs w:val="16"/>
          <w:rtl/>
        </w:rPr>
        <w:t>(מישרים נ"ב ח"ח שם)</w:t>
      </w:r>
      <w:r w:rsidRPr="001D49D4">
        <w:rPr>
          <w:rtl/>
        </w:rPr>
        <w:t>- כשהשטר יוצא מתחת יד הבעל דין אע"פ שאין העדים נזכרים לעדות - אין צריכין שיצטרף עמהם אחר אלא נאמן כל אחד לומר זה כתב ידי, דמעת שחתמו ונתנו השטר לבעליו לא יכלו למהדר בהו העדים, דכמי שנחקרה עדותן בבית דין דמי. אבל כשהשטר יוצא מתחת יד העדים, כמה דלא מסהדי בה עד השתא דמי, דהא אי בעו כבשי לשטרא ולא מסהדי, הלכך, אי מדכרו לסהדותא ומסהדי בה על פה - הויא עדות, ואי לא - לא הויא עדות</w:t>
      </w:r>
      <w:r w:rsidRPr="001D49D4">
        <w:rPr>
          <w:sz w:val="16"/>
          <w:szCs w:val="16"/>
          <w:rtl/>
        </w:rPr>
        <w:t xml:space="preserve"> (ל' הב"י בשם הרי"ף)</w:t>
      </w:r>
      <w:r w:rsidRPr="001D49D4">
        <w:rPr>
          <w:rtl/>
        </w:rPr>
        <w:t xml:space="preserve">. </w:t>
      </w:r>
    </w:p>
    <w:p w14:paraId="54F2D256" w14:textId="77777777" w:rsidR="001D49D4" w:rsidRPr="001D49D4" w:rsidRDefault="001D49D4" w:rsidP="0004348D">
      <w:pPr>
        <w:spacing w:before="360" w:after="240"/>
        <w:ind w:left="360"/>
        <w:rPr>
          <w:rFonts w:ascii="Calibri" w:eastAsia="Calibri" w:hAnsi="Calibri" w:cs="Arial"/>
          <w:u w:val="dotted"/>
        </w:rPr>
      </w:pPr>
      <w:r w:rsidRPr="001D49D4">
        <w:rPr>
          <w:rFonts w:ascii="Calibri" w:eastAsia="Calibri" w:hAnsi="Calibri" w:cs="Arial"/>
          <w:u w:val="dotted"/>
          <w:rtl/>
        </w:rPr>
        <w:lastRenderedPageBreak/>
        <w:t>ומה הדין אם אמרו העדים שחתימה זו דומה לחתימתן אך היא מזוייפת כי מעולם לא חתמנו על שטר זה:</w:t>
      </w:r>
    </w:p>
    <w:p w14:paraId="027C19F8" w14:textId="77777777" w:rsidR="001D49D4" w:rsidRPr="001D49D4" w:rsidRDefault="001D49D4" w:rsidP="0004348D">
      <w:pPr>
        <w:numPr>
          <w:ilvl w:val="0"/>
          <w:numId w:val="286"/>
        </w:numPr>
        <w:spacing w:before="360" w:after="240"/>
        <w:contextualSpacing/>
        <w:rPr>
          <w:rtl/>
        </w:rPr>
      </w:pPr>
      <w:r w:rsidRPr="001D49D4">
        <w:rPr>
          <w:rtl/>
        </w:rPr>
        <w:t xml:space="preserve">ראב"ד </w:t>
      </w:r>
      <w:r w:rsidRPr="001D49D4">
        <w:rPr>
          <w:sz w:val="16"/>
          <w:szCs w:val="16"/>
          <w:rtl/>
        </w:rPr>
        <w:t>(בהשגות פ"ח ה"ד)</w:t>
      </w:r>
      <w:r w:rsidRPr="001D49D4">
        <w:rPr>
          <w:rtl/>
        </w:rPr>
        <w:t>- אבל אם אמרו דומה חתימה זו לכתב ידינו אבל מזוייפת היא כי מעולם לא חתמנו בשטר זה - ודאי יכולין לפוסלו.</w:t>
      </w:r>
    </w:p>
    <w:p w14:paraId="6DFCE1B5" w14:textId="77777777" w:rsidR="001D49D4" w:rsidRPr="001D49D4" w:rsidRDefault="001D49D4" w:rsidP="0004348D">
      <w:pPr>
        <w:numPr>
          <w:ilvl w:val="0"/>
          <w:numId w:val="286"/>
        </w:numPr>
        <w:spacing w:before="360" w:after="240"/>
        <w:contextualSpacing/>
      </w:pPr>
      <w:r w:rsidRPr="001D49D4">
        <w:rPr>
          <w:rtl/>
        </w:rPr>
        <w:t xml:space="preserve">רשב"א </w:t>
      </w:r>
      <w:r w:rsidRPr="001D49D4">
        <w:rPr>
          <w:sz w:val="16"/>
          <w:szCs w:val="16"/>
          <w:rtl/>
        </w:rPr>
        <w:t>(סי' אלף ר"י)</w:t>
      </w:r>
      <w:r w:rsidRPr="001D49D4">
        <w:rPr>
          <w:rtl/>
        </w:rPr>
        <w:t>- ואפילו אם היה כתב ידם יוצא ממקום אחר או שאמרו העדים כתב ידינו הוא זה, אם אמרו מעולם לא חתמנו ומזוייף הוא זה - הכל תלוי בראיית הבית דין. אם הוא יעיין וידקדק הרבה בדבר ויחקור וידרוש ויאיים ויצוף שרגלים לדבר, וכזה ראוי להורות.</w:t>
      </w:r>
    </w:p>
    <w:p w14:paraId="196BD9D0" w14:textId="77777777" w:rsidR="001D49D4" w:rsidRPr="001D49D4" w:rsidRDefault="001D49D4" w:rsidP="0004348D">
      <w:pPr>
        <w:spacing w:before="360" w:after="240"/>
        <w:rPr>
          <w:rFonts w:ascii="Arial" w:eastAsia="Calibri" w:hAnsi="Arial" w:cs="Arial"/>
          <w:b/>
          <w:bCs/>
          <w:color w:val="000000"/>
          <w:sz w:val="28"/>
          <w:szCs w:val="28"/>
          <w:u w:val="single"/>
          <w:rtl/>
        </w:rPr>
      </w:pPr>
      <w:r w:rsidRPr="001D49D4">
        <w:rPr>
          <w:rFonts w:ascii="Arial" w:eastAsia="Calibri" w:hAnsi="Arial" w:cs="Arial"/>
          <w:b/>
          <w:bCs/>
          <w:color w:val="000000"/>
          <w:sz w:val="28"/>
          <w:szCs w:val="28"/>
          <w:u w:val="single"/>
          <w:rtl/>
        </w:rPr>
        <w:t>שו"ע:</w:t>
      </w:r>
    </w:p>
    <w:p w14:paraId="598FD11C"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rtl/>
        </w:rPr>
        <w:t>מי שחתם על השטר, ובא להעיד על כתב ידו בבית דין, והכיר כתב ידו שזהו בודאי, אבל אינו זוכר העדות כלל, ולא ימצא בלבו זכרון כלל שזה לוה מזה מעולם, הרי זה אסור להעיד</w:t>
      </w:r>
      <w:r w:rsidRPr="001D49D4">
        <w:rPr>
          <w:rFonts w:ascii="Calibri" w:eastAsia="Calibri" w:hAnsi="Calibri" w:cs="Arial"/>
          <w:vertAlign w:val="superscript"/>
          <w:rtl/>
        </w:rPr>
        <w:footnoteReference w:id="3789"/>
      </w:r>
      <w:r w:rsidRPr="001D49D4">
        <w:rPr>
          <w:rFonts w:ascii="Calibri" w:eastAsia="Calibri" w:hAnsi="Calibri" w:cs="Arial"/>
          <w:rtl/>
        </w:rPr>
        <w:t xml:space="preserve"> על כתב ידו שהוא זה בבית דין, שאין אדם מעיד על כתב ידו שהוא זה, אלא על הממון שבשטר</w:t>
      </w:r>
      <w:r w:rsidRPr="001D49D4">
        <w:rPr>
          <w:rFonts w:ascii="Calibri" w:eastAsia="Calibri" w:hAnsi="Calibri" w:cs="Arial"/>
          <w:vertAlign w:val="superscript"/>
          <w:rtl/>
        </w:rPr>
        <w:footnoteReference w:id="3790"/>
      </w:r>
      <w:r w:rsidRPr="001D49D4">
        <w:rPr>
          <w:rFonts w:ascii="Calibri" w:eastAsia="Calibri" w:hAnsi="Calibri" w:cs="Arial"/>
          <w:rtl/>
        </w:rPr>
        <w:t xml:space="preserve"> הוא מעיד שזה חייב לזה, וכתב ידו הוא כדי להזכירו הדבר, אבל אם לא נזכר לא יעיד. הואיל והדבר כן, שטר שיצא בבית דין, ובאו עדים ואמרו 'כתב ידינו הוא זה אבל מעולם לא ידענו עדות זו ואין אנו זוכרים שזה לוה מזה או מכר לו', לא נתקיים השטר והרי הם כחרשים</w:t>
      </w:r>
      <w:r w:rsidRPr="001D49D4">
        <w:rPr>
          <w:rFonts w:ascii="Calibri" w:eastAsia="Calibri" w:hAnsi="Calibri" w:cs="Arial"/>
          <w:vertAlign w:val="superscript"/>
          <w:rtl/>
        </w:rPr>
        <w:footnoteReference w:id="3791"/>
      </w:r>
      <w:r w:rsidRPr="001D49D4">
        <w:rPr>
          <w:rFonts w:ascii="Calibri" w:eastAsia="Calibri" w:hAnsi="Calibri" w:cs="Arial"/>
          <w:rtl/>
        </w:rPr>
        <w:t xml:space="preserve"> עד שיזכרו עדותן. וכל מי שאינו דן כן לא ידע בדיני ממונות בין ימינו לשמאלו. אבל אם היה כתב ידם יוצא ממקום אחר, או שהיו שם עדים שזה כתב ידן, מקיימים השטר ואין משגיחין על דבריהם</w:t>
      </w:r>
      <w:r w:rsidRPr="001D49D4">
        <w:rPr>
          <w:rFonts w:ascii="Calibri" w:eastAsia="Calibri" w:hAnsi="Calibri" w:cs="Arial"/>
          <w:vertAlign w:val="superscript"/>
          <w:rtl/>
        </w:rPr>
        <w:footnoteReference w:id="3792"/>
      </w:r>
      <w:r w:rsidRPr="001D49D4">
        <w:rPr>
          <w:rFonts w:ascii="Calibri" w:eastAsia="Calibri" w:hAnsi="Calibri" w:cs="Arial"/>
          <w:rtl/>
        </w:rPr>
        <w:t xml:space="preserve"> של אלו שאומרים אין אנו זוכרים העדות, הואיל ומתקיים השטר שלא על פיהם. ומפני טעם זה אנו מקיימים כל השטרות, ואין אנו מצריכים להביא העדים ולשאול אותם אם הם זוכרין העדות או לאו, שאפילו באו ואמרו: אין אנו זוכרים אותה, אין שומעים להם, הואיל ואפשר לקיימו שלא מפיהם, אלה דברי הרמב"ם. ויש חולקים ואומרים שאפילו אין זוכרים שלוה או שחתמו מעולם על שטר זה, ואין כתב ידן יוצא ממקום אחר, כיון שמעידים שזה כתב ידם, מקיימים השטר על פיהם</w:t>
      </w:r>
      <w:r w:rsidRPr="001D49D4">
        <w:rPr>
          <w:rFonts w:ascii="Calibri" w:eastAsia="Calibri" w:hAnsi="Calibri" w:cs="Arial"/>
          <w:vertAlign w:val="superscript"/>
          <w:rtl/>
        </w:rPr>
        <w:footnoteReference w:id="3793"/>
      </w:r>
      <w:r w:rsidRPr="001D49D4">
        <w:rPr>
          <w:rFonts w:ascii="Calibri" w:eastAsia="Calibri" w:hAnsi="Calibri" w:cs="Arial"/>
          <w:rtl/>
        </w:rPr>
        <w:t xml:space="preserve">. ולפי דבריהם, כשהם עצמם באים להעיד על כתב ידם, אם שכחו ההלואה ואינם זוכרים כלל שחתמו בשטר זה, צריך שני עדים על כל חתימה. לכן צריך או שיעיד כל אחד על כתב ידו ועל כתב יד חבירו, או שיצטרף אחר עמהם שיעיד על כתב ידי שניהם, כדי שיהא על כל חתימה שני עדים. </w:t>
      </w:r>
      <w:r w:rsidRPr="001D49D4">
        <w:rPr>
          <w:rFonts w:ascii="Calibri" w:eastAsia="Calibri" w:hAnsi="Calibri" w:cs="Arial"/>
          <w:sz w:val="18"/>
          <w:szCs w:val="18"/>
          <w:rtl/>
        </w:rPr>
        <w:t>הגה: ולא בעינן שיזכור העדות אלא בעד אחד</w:t>
      </w:r>
      <w:r w:rsidRPr="001D49D4">
        <w:rPr>
          <w:rFonts w:ascii="Calibri" w:eastAsia="Calibri" w:hAnsi="Calibri" w:cs="Arial"/>
          <w:sz w:val="18"/>
          <w:szCs w:val="18"/>
          <w:vertAlign w:val="superscript"/>
          <w:rtl/>
        </w:rPr>
        <w:footnoteReference w:id="3794"/>
      </w:r>
      <w:r w:rsidRPr="001D49D4">
        <w:rPr>
          <w:rFonts w:ascii="Calibri" w:eastAsia="Calibri" w:hAnsi="Calibri" w:cs="Arial"/>
          <w:sz w:val="18"/>
          <w:szCs w:val="18"/>
          <w:rtl/>
        </w:rPr>
        <w:t>, או בב' עדים לענין קיום השטר</w:t>
      </w:r>
      <w:r w:rsidRPr="001D49D4">
        <w:rPr>
          <w:rFonts w:ascii="Calibri" w:eastAsia="Calibri" w:hAnsi="Calibri" w:cs="Arial"/>
          <w:sz w:val="18"/>
          <w:szCs w:val="18"/>
          <w:vertAlign w:val="superscript"/>
          <w:rtl/>
        </w:rPr>
        <w:footnoteReference w:id="3795"/>
      </w:r>
      <w:r w:rsidRPr="001D49D4">
        <w:rPr>
          <w:rFonts w:ascii="Calibri" w:eastAsia="Calibri" w:hAnsi="Calibri" w:cs="Arial"/>
          <w:sz w:val="18"/>
          <w:szCs w:val="18"/>
          <w:rtl/>
        </w:rPr>
        <w:t xml:space="preserve">. אבל ב' עדים החתומים על השטר, אע"פ שאין זוכרין העדות כלל ואין השטר כתוב כתקונו מ"מ העדאת עדים איכא </w:t>
      </w:r>
      <w:r w:rsidRPr="001D49D4">
        <w:rPr>
          <w:rFonts w:ascii="Calibri" w:eastAsia="Calibri" w:hAnsi="Calibri" w:cs="Arial"/>
          <w:sz w:val="16"/>
          <w:szCs w:val="16"/>
          <w:rtl/>
        </w:rPr>
        <w:t>(מהרי"ו [סי' צד] והגמ"ר [סי' רפד] בשם מהר"ם)</w:t>
      </w:r>
      <w:r w:rsidRPr="001D49D4">
        <w:rPr>
          <w:rFonts w:ascii="Calibri" w:eastAsia="Calibri" w:hAnsi="Calibri" w:cs="Arial"/>
          <w:sz w:val="18"/>
          <w:szCs w:val="18"/>
          <w:rtl/>
        </w:rPr>
        <w:t>, ואם נתקיים השטר</w:t>
      </w:r>
      <w:r w:rsidRPr="001D49D4">
        <w:rPr>
          <w:rFonts w:ascii="Calibri" w:eastAsia="Calibri" w:hAnsi="Calibri" w:cs="Arial"/>
          <w:sz w:val="18"/>
          <w:szCs w:val="18"/>
          <w:vertAlign w:val="superscript"/>
          <w:rtl/>
        </w:rPr>
        <w:footnoteReference w:id="3796"/>
      </w:r>
      <w:r w:rsidRPr="001D49D4">
        <w:rPr>
          <w:rFonts w:ascii="Calibri" w:eastAsia="Calibri" w:hAnsi="Calibri" w:cs="Arial"/>
          <w:sz w:val="18"/>
          <w:szCs w:val="18"/>
          <w:rtl/>
        </w:rPr>
        <w:t xml:space="preserve"> אזלינן בתריה לכל מה שכתוב בו, אע"ג שאין לו דין שטר גמור מ"מ לענין זה מקרי שטר דלא יהא מפי כתבם, וכמו שנתבאר לעיל סי' כח סע' יב </w:t>
      </w:r>
      <w:r w:rsidRPr="001D49D4">
        <w:rPr>
          <w:rFonts w:ascii="Calibri" w:eastAsia="Calibri" w:hAnsi="Calibri" w:cs="Arial"/>
          <w:sz w:val="16"/>
          <w:szCs w:val="16"/>
          <w:rtl/>
        </w:rPr>
        <w:t>(רשב"א סי' אלף רט)</w:t>
      </w:r>
      <w:r w:rsidRPr="001D49D4">
        <w:rPr>
          <w:rFonts w:ascii="Calibri" w:eastAsia="Calibri" w:hAnsi="Calibri" w:cs="Arial"/>
          <w:sz w:val="18"/>
          <w:szCs w:val="18"/>
          <w:rtl/>
        </w:rPr>
        <w:t>. ויש חולקים</w:t>
      </w:r>
      <w:r w:rsidRPr="001D49D4">
        <w:rPr>
          <w:rFonts w:ascii="Calibri" w:eastAsia="Calibri" w:hAnsi="Calibri" w:cs="Arial"/>
          <w:sz w:val="18"/>
          <w:szCs w:val="18"/>
          <w:vertAlign w:val="superscript"/>
          <w:rtl/>
        </w:rPr>
        <w:footnoteReference w:id="3797"/>
      </w:r>
      <w:r w:rsidRPr="001D49D4">
        <w:rPr>
          <w:rFonts w:ascii="Calibri" w:eastAsia="Calibri" w:hAnsi="Calibri" w:cs="Arial"/>
          <w:sz w:val="18"/>
          <w:szCs w:val="18"/>
          <w:rtl/>
        </w:rPr>
        <w:t xml:space="preserve"> כמו שנתבאר לעיל ריש סימן ל"ט סעיף ג'. </w:t>
      </w:r>
    </w:p>
    <w:p w14:paraId="7D56031F" w14:textId="77777777" w:rsidR="001D49D4" w:rsidRPr="001D49D4" w:rsidRDefault="001D49D4" w:rsidP="0004348D">
      <w:pPr>
        <w:spacing w:before="360" w:after="240"/>
        <w:rPr>
          <w:rFonts w:ascii="Calibri" w:eastAsia="Calibri" w:hAnsi="Calibri" w:cs="Arial"/>
          <w:rtl/>
        </w:rPr>
      </w:pPr>
    </w:p>
    <w:p w14:paraId="67C2C84D" w14:textId="77777777" w:rsidR="001D49D4" w:rsidRPr="001D49D4" w:rsidRDefault="001D49D4" w:rsidP="0004348D">
      <w:pPr>
        <w:keepNext/>
        <w:keepLines/>
        <w:spacing w:before="360" w:after="240"/>
        <w:outlineLvl w:val="1"/>
        <w:rPr>
          <w:rFonts w:ascii="Cambria" w:eastAsia="Times New Roman" w:hAnsi="Cambria" w:cs="Arial"/>
          <w:bCs/>
          <w:color w:val="548DD4" w:themeColor="text2" w:themeTint="99"/>
          <w:sz w:val="26"/>
          <w:szCs w:val="26"/>
          <w:rtl/>
        </w:rPr>
      </w:pPr>
      <w:bookmarkStart w:id="512" w:name="_Toc24883945"/>
      <w:r w:rsidRPr="001D49D4">
        <w:rPr>
          <w:rFonts w:ascii="Cambria" w:eastAsia="Times New Roman" w:hAnsi="Cambria" w:cs="Arial"/>
          <w:bCs/>
          <w:color w:val="548DD4" w:themeColor="text2" w:themeTint="99"/>
          <w:sz w:val="26"/>
          <w:szCs w:val="26"/>
          <w:rtl/>
        </w:rPr>
        <w:t>סעיף יא: אמר הראשון זה כתב ידי והעיד הוא ואחר על כתב יד השני.</w:t>
      </w:r>
      <w:bookmarkEnd w:id="512"/>
    </w:p>
    <w:p w14:paraId="368B1E8B" w14:textId="77777777" w:rsidR="001D49D4" w:rsidRPr="001D49D4" w:rsidRDefault="001D49D4" w:rsidP="0004348D">
      <w:pPr>
        <w:spacing w:before="360" w:after="240"/>
        <w:rPr>
          <w:rFonts w:ascii="Calibri" w:eastAsia="Calibri" w:hAnsi="Calibri" w:cs="Arial"/>
          <w:u w:val="single"/>
          <w:rtl/>
        </w:rPr>
      </w:pPr>
      <w:r w:rsidRPr="001D49D4">
        <w:rPr>
          <w:rFonts w:ascii="Calibri" w:eastAsia="Calibri" w:hAnsi="Calibri" w:cs="Arial"/>
          <w:u w:val="single"/>
          <w:rtl/>
        </w:rPr>
        <w:t>אמר הראשון זה כתב ידי והעיד הוא ואחר על כתב יד השני:</w:t>
      </w:r>
    </w:p>
    <w:p w14:paraId="121F9BE8" w14:textId="77777777" w:rsidR="001D49D4" w:rsidRPr="001D49D4" w:rsidRDefault="001D49D4" w:rsidP="0004348D">
      <w:pPr>
        <w:numPr>
          <w:ilvl w:val="0"/>
          <w:numId w:val="287"/>
        </w:numPr>
        <w:spacing w:before="360" w:after="240"/>
        <w:contextualSpacing/>
        <w:rPr>
          <w:rtl/>
        </w:rPr>
      </w:pPr>
      <w:r w:rsidRPr="001D49D4">
        <w:rPr>
          <w:rtl/>
        </w:rPr>
        <w:t>טור- אמר הראשון זה כתב ידי והעיד הוא ואחר על כתב יד השני - לא נתקיים, לפי ששלשת רבעי הממון יוצאין על יד עד אחד</w:t>
      </w:r>
      <w:r w:rsidRPr="001D49D4">
        <w:rPr>
          <w:vertAlign w:val="superscript"/>
          <w:rtl/>
        </w:rPr>
        <w:footnoteReference w:id="3798"/>
      </w:r>
      <w:r w:rsidRPr="001D49D4">
        <w:rPr>
          <w:rtl/>
        </w:rPr>
        <w:t xml:space="preserve">. </w:t>
      </w:r>
      <w:r w:rsidRPr="001D49D4">
        <w:rPr>
          <w:color w:val="E36C0A" w:themeColor="accent6" w:themeShade="BF"/>
          <w:rtl/>
        </w:rPr>
        <w:t>(וכ"פ בשו"ע)</w:t>
      </w:r>
    </w:p>
    <w:p w14:paraId="61ACCBDA" w14:textId="77777777" w:rsidR="001D49D4" w:rsidRPr="001D49D4" w:rsidRDefault="001D49D4" w:rsidP="0004348D">
      <w:pPr>
        <w:spacing w:before="360" w:after="240"/>
        <w:rPr>
          <w:rFonts w:ascii="Arial" w:eastAsia="Calibri" w:hAnsi="Arial" w:cs="Arial"/>
          <w:b/>
          <w:bCs/>
          <w:color w:val="000000"/>
          <w:sz w:val="28"/>
          <w:szCs w:val="28"/>
          <w:u w:val="single"/>
          <w:rtl/>
        </w:rPr>
      </w:pPr>
      <w:r w:rsidRPr="001D49D4">
        <w:rPr>
          <w:rFonts w:ascii="Arial" w:eastAsia="Calibri" w:hAnsi="Arial" w:cs="Arial"/>
          <w:b/>
          <w:bCs/>
          <w:color w:val="000000"/>
          <w:sz w:val="28"/>
          <w:szCs w:val="28"/>
          <w:u w:val="single"/>
          <w:rtl/>
        </w:rPr>
        <w:t>שו"ע:</w:t>
      </w:r>
    </w:p>
    <w:p w14:paraId="3D15495B"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rtl/>
        </w:rPr>
        <w:t xml:space="preserve">אמר אחד מהעדים: זה כתב ידי, והעיד הוא ואחר על כתב יד השני, לא נתקיים, לפי ששלשת רביעי הממון יוצאים על ידי עד אחד. </w:t>
      </w:r>
    </w:p>
    <w:p w14:paraId="74ABF5C2" w14:textId="77777777" w:rsidR="001D49D4" w:rsidRPr="001D49D4" w:rsidRDefault="001D49D4" w:rsidP="0004348D">
      <w:pPr>
        <w:spacing w:before="360" w:after="240"/>
        <w:rPr>
          <w:rFonts w:ascii="Calibri" w:eastAsia="Calibri" w:hAnsi="Calibri" w:cs="Arial"/>
          <w:rtl/>
        </w:rPr>
      </w:pPr>
    </w:p>
    <w:p w14:paraId="03FFFB2E" w14:textId="77777777" w:rsidR="001D49D4" w:rsidRPr="001D49D4" w:rsidRDefault="001D49D4" w:rsidP="0004348D">
      <w:pPr>
        <w:keepNext/>
        <w:keepLines/>
        <w:spacing w:before="360" w:after="240"/>
        <w:outlineLvl w:val="1"/>
        <w:rPr>
          <w:rFonts w:ascii="Cambria" w:eastAsia="Times New Roman" w:hAnsi="Cambria" w:cs="Arial"/>
          <w:bCs/>
          <w:color w:val="548DD4" w:themeColor="text2" w:themeTint="99"/>
          <w:sz w:val="26"/>
          <w:szCs w:val="26"/>
          <w:rtl/>
        </w:rPr>
      </w:pPr>
      <w:bookmarkStart w:id="513" w:name="_Toc24883946"/>
      <w:r w:rsidRPr="001D49D4">
        <w:rPr>
          <w:rFonts w:ascii="Cambria" w:eastAsia="Times New Roman" w:hAnsi="Cambria" w:cs="Arial"/>
          <w:bCs/>
          <w:color w:val="548DD4" w:themeColor="text2" w:themeTint="99"/>
          <w:sz w:val="26"/>
          <w:szCs w:val="26"/>
          <w:rtl/>
        </w:rPr>
        <w:t>סעיף יב: אמר הראשון זה כתב ידי והעיד אחיו/אביו של הראשון עם אחר על כתב ידו של השני.</w:t>
      </w:r>
      <w:bookmarkEnd w:id="513"/>
    </w:p>
    <w:p w14:paraId="0E53D62D"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b/>
          <w:bCs/>
          <w:rtl/>
        </w:rPr>
        <w:t xml:space="preserve">בבא בתרא </w:t>
      </w:r>
      <w:r w:rsidRPr="001D49D4">
        <w:rPr>
          <w:rFonts w:ascii="Calibri" w:eastAsia="Calibri" w:hAnsi="Calibri" w:cs="Arial"/>
          <w:b/>
          <w:bCs/>
          <w:sz w:val="16"/>
          <w:szCs w:val="16"/>
          <w:rtl/>
        </w:rPr>
        <w:t>(פרק חזקת הבתים)</w:t>
      </w:r>
      <w:r w:rsidRPr="001D49D4">
        <w:rPr>
          <w:rFonts w:ascii="Calibri" w:eastAsia="Calibri" w:hAnsi="Calibri" w:cs="Arial"/>
          <w:b/>
          <w:bCs/>
          <w:rtl/>
        </w:rPr>
        <w:t xml:space="preserve"> נז</w:t>
      </w:r>
      <w:r w:rsidRPr="001D49D4">
        <w:rPr>
          <w:rFonts w:ascii="Calibri" w:eastAsia="Calibri" w:hAnsi="Calibri" w:cs="Arial"/>
          <w:b/>
          <w:bCs/>
          <w:vertAlign w:val="superscript"/>
          <w:rtl/>
        </w:rPr>
        <w:footnoteReference w:id="3799"/>
      </w:r>
      <w:r w:rsidRPr="001D49D4">
        <w:rPr>
          <w:rFonts w:ascii="Calibri" w:eastAsia="Calibri" w:hAnsi="Calibri" w:cs="Arial"/>
          <w:b/>
          <w:bCs/>
          <w:rtl/>
        </w:rPr>
        <w:t xml:space="preserve"> ע"א:</w:t>
      </w:r>
      <w:r w:rsidRPr="001D49D4">
        <w:rPr>
          <w:rFonts w:ascii="Calibri" w:eastAsia="Calibri" w:hAnsi="Calibri" w:cs="Arial"/>
          <w:rtl/>
        </w:rPr>
        <w:t xml:space="preserve"> ההוא שטרא דהוה חתימי עליה בי תרי, שכיב חד מינייהו, אתא אחוה דהאי דקאי וחד אחרינא לאסהודי אחתימת ידיה דאידך. </w:t>
      </w:r>
      <w:r w:rsidRPr="001D49D4">
        <w:rPr>
          <w:rFonts w:ascii="Calibri" w:eastAsia="Calibri" w:hAnsi="Calibri" w:cs="Arial"/>
          <w:u w:val="single"/>
          <w:rtl/>
        </w:rPr>
        <w:t>סבר רבינא למימר</w:t>
      </w:r>
      <w:r w:rsidRPr="001D49D4">
        <w:rPr>
          <w:rFonts w:ascii="Calibri" w:eastAsia="Calibri" w:hAnsi="Calibri" w:cs="Arial"/>
          <w:rtl/>
        </w:rPr>
        <w:t xml:space="preserve">: היינו מתני' ג' אחין ואחד מצטרף עמהן. </w:t>
      </w:r>
      <w:r w:rsidRPr="001D49D4">
        <w:rPr>
          <w:rFonts w:ascii="Calibri" w:eastAsia="Calibri" w:hAnsi="Calibri" w:cs="Arial"/>
          <w:u w:val="single"/>
          <w:rtl/>
        </w:rPr>
        <w:t>אמר ליה רב אשי</w:t>
      </w:r>
      <w:r w:rsidRPr="001D49D4">
        <w:rPr>
          <w:rFonts w:ascii="Calibri" w:eastAsia="Calibri" w:hAnsi="Calibri" w:cs="Arial"/>
          <w:rtl/>
        </w:rPr>
        <w:t>: מי דמי? התם לא נפיק נכי ריבעא דממונא אפומא דאחי</w:t>
      </w:r>
      <w:r w:rsidRPr="001D49D4">
        <w:rPr>
          <w:rFonts w:ascii="Calibri" w:eastAsia="Calibri" w:hAnsi="Calibri" w:cs="Arial"/>
          <w:vertAlign w:val="superscript"/>
          <w:rtl/>
        </w:rPr>
        <w:footnoteReference w:id="3800"/>
      </w:r>
      <w:r w:rsidRPr="001D49D4">
        <w:rPr>
          <w:rFonts w:ascii="Calibri" w:eastAsia="Calibri" w:hAnsi="Calibri" w:cs="Arial"/>
          <w:rtl/>
        </w:rPr>
        <w:t xml:space="preserve">, הכא נפיק נכי ריבעא דממונא אפומא דאחי. </w:t>
      </w:r>
    </w:p>
    <w:p w14:paraId="414C343F" w14:textId="77777777" w:rsidR="001D49D4" w:rsidRPr="001D49D4" w:rsidRDefault="001D49D4" w:rsidP="0004348D">
      <w:pPr>
        <w:spacing w:before="360" w:after="240"/>
        <w:rPr>
          <w:rFonts w:ascii="Calibri" w:eastAsia="Calibri" w:hAnsi="Calibri" w:cs="Arial"/>
          <w:u w:val="single"/>
          <w:rtl/>
        </w:rPr>
      </w:pPr>
      <w:r w:rsidRPr="001D49D4">
        <w:rPr>
          <w:rFonts w:ascii="Calibri" w:eastAsia="Calibri" w:hAnsi="Calibri" w:cs="Arial"/>
          <w:u w:val="single"/>
          <w:rtl/>
        </w:rPr>
        <w:t>אמר הראשון זה כתב ידי והעיד אחיו או אביו של הראשון עם אחר על כתב ידו של השני:</w:t>
      </w:r>
    </w:p>
    <w:p w14:paraId="237D1BB2" w14:textId="77777777" w:rsidR="001D49D4" w:rsidRPr="001D49D4" w:rsidRDefault="001D49D4" w:rsidP="0004348D">
      <w:pPr>
        <w:numPr>
          <w:ilvl w:val="0"/>
          <w:numId w:val="287"/>
        </w:numPr>
        <w:spacing w:before="360" w:after="240"/>
        <w:contextualSpacing/>
        <w:rPr>
          <w:rtl/>
        </w:rPr>
      </w:pPr>
      <w:r w:rsidRPr="001D49D4">
        <w:rPr>
          <w:rtl/>
        </w:rPr>
        <w:t xml:space="preserve">טור- וכן אם העיד אחיו או אביו של הראשון עם אחר על כתב ידו של השני - לא נתקיים, שהרי שלשת רבעי ממון יוצא ע"י קרובים. </w:t>
      </w:r>
      <w:r w:rsidRPr="001D49D4">
        <w:rPr>
          <w:color w:val="E36C0A" w:themeColor="accent6" w:themeShade="BF"/>
          <w:rtl/>
        </w:rPr>
        <w:t>(וכ"פ בשו"ע)</w:t>
      </w:r>
    </w:p>
    <w:p w14:paraId="119C4818" w14:textId="77777777" w:rsidR="001D49D4" w:rsidRPr="001D49D4" w:rsidRDefault="001D49D4" w:rsidP="0004348D">
      <w:pPr>
        <w:spacing w:before="360" w:after="240"/>
        <w:rPr>
          <w:rFonts w:ascii="Arial" w:eastAsia="Calibri" w:hAnsi="Arial" w:cs="Arial"/>
          <w:b/>
          <w:bCs/>
          <w:color w:val="000000"/>
          <w:sz w:val="28"/>
          <w:szCs w:val="28"/>
          <w:u w:val="single"/>
          <w:rtl/>
        </w:rPr>
      </w:pPr>
      <w:r w:rsidRPr="001D49D4">
        <w:rPr>
          <w:rFonts w:ascii="Arial" w:eastAsia="Calibri" w:hAnsi="Arial" w:cs="Arial"/>
          <w:b/>
          <w:bCs/>
          <w:color w:val="000000"/>
          <w:sz w:val="28"/>
          <w:szCs w:val="28"/>
          <w:u w:val="single"/>
          <w:rtl/>
        </w:rPr>
        <w:t>שו"ע:</w:t>
      </w:r>
    </w:p>
    <w:p w14:paraId="33867EAF"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rtl/>
        </w:rPr>
        <w:t xml:space="preserve">וכן אם העיד אחיו או אביו של הראשון עם אחר על כתב ידו של השני, לא נתקיים, שהרי שלשת רביעי הממון יוצאים על ידי קרובים. </w:t>
      </w:r>
    </w:p>
    <w:p w14:paraId="49B6E1BB" w14:textId="77777777" w:rsidR="001D49D4" w:rsidRPr="001D49D4" w:rsidRDefault="001D49D4" w:rsidP="0004348D">
      <w:pPr>
        <w:spacing w:before="360" w:after="240"/>
        <w:rPr>
          <w:rFonts w:ascii="Calibri" w:eastAsia="Calibri" w:hAnsi="Calibri" w:cs="Arial"/>
          <w:rtl/>
        </w:rPr>
      </w:pPr>
    </w:p>
    <w:p w14:paraId="07FE9AD4" w14:textId="77777777" w:rsidR="001D49D4" w:rsidRPr="001D49D4" w:rsidRDefault="001D49D4" w:rsidP="0004348D">
      <w:pPr>
        <w:keepNext/>
        <w:keepLines/>
        <w:spacing w:before="360" w:after="240"/>
        <w:outlineLvl w:val="1"/>
        <w:rPr>
          <w:rFonts w:ascii="Cambria" w:eastAsia="Times New Roman" w:hAnsi="Cambria" w:cs="Arial"/>
          <w:bCs/>
          <w:color w:val="548DD4" w:themeColor="text2" w:themeTint="99"/>
          <w:sz w:val="26"/>
          <w:szCs w:val="26"/>
          <w:rtl/>
        </w:rPr>
      </w:pPr>
      <w:bookmarkStart w:id="514" w:name="_Toc24883947"/>
      <w:r w:rsidRPr="001D49D4">
        <w:rPr>
          <w:rFonts w:ascii="Cambria" w:eastAsia="Times New Roman" w:hAnsi="Cambria" w:cs="Arial"/>
          <w:bCs/>
          <w:color w:val="548DD4" w:themeColor="text2" w:themeTint="99"/>
          <w:sz w:val="26"/>
          <w:szCs w:val="26"/>
          <w:rtl/>
        </w:rPr>
        <w:t>סעיף יג: שנים חתומים על שטר ומת אחד מהם.</w:t>
      </w:r>
      <w:bookmarkEnd w:id="514"/>
    </w:p>
    <w:p w14:paraId="4D866CF7"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b/>
          <w:bCs/>
          <w:rtl/>
        </w:rPr>
        <w:t xml:space="preserve">כתובות </w:t>
      </w:r>
      <w:r w:rsidRPr="001D49D4">
        <w:rPr>
          <w:rFonts w:ascii="Calibri" w:eastAsia="Calibri" w:hAnsi="Calibri" w:cs="Arial"/>
          <w:b/>
          <w:bCs/>
          <w:sz w:val="16"/>
          <w:szCs w:val="16"/>
          <w:rtl/>
        </w:rPr>
        <w:t xml:space="preserve">(פ"ב) </w:t>
      </w:r>
      <w:r w:rsidRPr="001D49D4">
        <w:rPr>
          <w:rFonts w:ascii="Calibri" w:eastAsia="Calibri" w:hAnsi="Calibri" w:cs="Arial"/>
          <w:b/>
          <w:bCs/>
          <w:rtl/>
        </w:rPr>
        <w:t>כא ע"א:</w:t>
      </w:r>
      <w:r w:rsidRPr="001D49D4">
        <w:rPr>
          <w:rFonts w:ascii="Calibri" w:eastAsia="Calibri" w:hAnsi="Calibri" w:cs="Arial"/>
          <w:rtl/>
        </w:rPr>
        <w:t xml:space="preserve"> </w:t>
      </w:r>
      <w:r w:rsidRPr="001D49D4">
        <w:rPr>
          <w:rFonts w:ascii="Calibri" w:eastAsia="Calibri" w:hAnsi="Calibri" w:cs="Arial"/>
          <w:u w:val="single"/>
          <w:rtl/>
        </w:rPr>
        <w:t>אמר רב יהודה אמר רב</w:t>
      </w:r>
      <w:r w:rsidRPr="001D49D4">
        <w:rPr>
          <w:rFonts w:ascii="Calibri" w:eastAsia="Calibri" w:hAnsi="Calibri" w:cs="Arial"/>
          <w:rtl/>
        </w:rPr>
        <w:t xml:space="preserve">: שנים החתומין על השטר ומת אחד מהן - צריכין שנים מן השוק להעיד עליו... ואי ליכא תרי אלא חד, מאי? </w:t>
      </w:r>
      <w:r w:rsidRPr="001D49D4">
        <w:rPr>
          <w:rFonts w:ascii="Calibri" w:eastAsia="Calibri" w:hAnsi="Calibri" w:cs="Arial"/>
          <w:u w:val="single"/>
          <w:rtl/>
        </w:rPr>
        <w:t>אמר אביי</w:t>
      </w:r>
      <w:r w:rsidRPr="001D49D4">
        <w:rPr>
          <w:rFonts w:ascii="Calibri" w:eastAsia="Calibri" w:hAnsi="Calibri" w:cs="Arial"/>
          <w:rtl/>
        </w:rPr>
        <w:t>: לכתוב חתימת ידיה אחספא ושדי ליה בבי דינא</w:t>
      </w:r>
      <w:r w:rsidRPr="001D49D4">
        <w:rPr>
          <w:rFonts w:ascii="Calibri" w:eastAsia="Calibri" w:hAnsi="Calibri" w:cs="Arial"/>
          <w:vertAlign w:val="superscript"/>
          <w:rtl/>
        </w:rPr>
        <w:footnoteReference w:id="3801"/>
      </w:r>
      <w:r w:rsidRPr="001D49D4">
        <w:rPr>
          <w:rFonts w:ascii="Calibri" w:eastAsia="Calibri" w:hAnsi="Calibri" w:cs="Arial"/>
          <w:rtl/>
        </w:rPr>
        <w:t>, וחזו ליה ומחזקי ליה בי דינא</w:t>
      </w:r>
      <w:r w:rsidRPr="001D49D4">
        <w:rPr>
          <w:rFonts w:ascii="Calibri" w:eastAsia="Calibri" w:hAnsi="Calibri" w:cs="Arial"/>
          <w:vertAlign w:val="superscript"/>
          <w:rtl/>
        </w:rPr>
        <w:footnoteReference w:id="3802"/>
      </w:r>
      <w:r w:rsidRPr="001D49D4">
        <w:rPr>
          <w:rFonts w:ascii="Calibri" w:eastAsia="Calibri" w:hAnsi="Calibri" w:cs="Arial"/>
          <w:rtl/>
        </w:rPr>
        <w:t>, ולא צריך איהו לאסהודי אחתימת ידיה, ואזיל איהו והאי ומסהדי אאידך. ודוקא אחספא, אבל אמגלתא לא, דלמא משכח לה איניש דלא מעלי וכתב עילויה</w:t>
      </w:r>
      <w:r w:rsidRPr="001D49D4">
        <w:rPr>
          <w:rFonts w:ascii="Calibri" w:eastAsia="Calibri" w:hAnsi="Calibri" w:cs="Arial"/>
          <w:vertAlign w:val="superscript"/>
          <w:rtl/>
        </w:rPr>
        <w:footnoteReference w:id="3803"/>
      </w:r>
      <w:r w:rsidRPr="001D49D4">
        <w:rPr>
          <w:rFonts w:ascii="Calibri" w:eastAsia="Calibri" w:hAnsi="Calibri" w:cs="Arial"/>
          <w:rtl/>
        </w:rPr>
        <w:t xml:space="preserve"> מאי דבעי, ותנן: הוציא עליו כתב ידו שהוא חייב לו, גובה מנכסים בני חורין.</w:t>
      </w:r>
      <w:r w:rsidRPr="001D49D4">
        <w:rPr>
          <w:rFonts w:ascii="Calibri" w:eastAsia="Calibri" w:hAnsi="Calibri" w:cs="Arial"/>
          <w:sz w:val="16"/>
          <w:szCs w:val="16"/>
          <w:rtl/>
        </w:rPr>
        <w:t xml:space="preserve"> (וכתבו התוס' (ד"ה ודוקא אחספא) דהוא הדין ארישא דמגלתא דתו ליכא למיחש למידי. וכ"כ הריטב"א (שם ד"ה ותנן), וכתב עוד </w:t>
      </w:r>
      <w:r w:rsidRPr="001D49D4">
        <w:rPr>
          <w:rFonts w:ascii="Calibri" w:eastAsia="Calibri" w:hAnsi="Calibri" w:cs="Arial"/>
          <w:sz w:val="10"/>
          <w:szCs w:val="10"/>
          <w:rtl/>
        </w:rPr>
        <w:t xml:space="preserve">{הריטב"א} </w:t>
      </w:r>
      <w:r w:rsidRPr="001D49D4">
        <w:rPr>
          <w:rFonts w:ascii="Calibri" w:eastAsia="Calibri" w:hAnsi="Calibri" w:cs="Arial"/>
          <w:sz w:val="16"/>
          <w:szCs w:val="16"/>
          <w:rtl/>
        </w:rPr>
        <w:lastRenderedPageBreak/>
        <w:t>והוא הדין נמי דאפילו בסופא דמגלתא יכול למיכתב תשר"ק צפע"ס או אלפא ביתא דליכא למיחש למידי ובהא מחזקי כתב ידיה בשטרא וכדאמרינן בירושלמי (כתובות פ"ב ה"ג) דלמדין מספר מוגה עכ"ל, ב"י)</w:t>
      </w:r>
    </w:p>
    <w:p w14:paraId="390F112E"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u w:val="single"/>
          <w:rtl/>
        </w:rPr>
        <w:t>שנים חתומים על שטר ומת אחד מהם:</w:t>
      </w:r>
    </w:p>
    <w:p w14:paraId="1212D633" w14:textId="77777777" w:rsidR="001D49D4" w:rsidRPr="001D49D4" w:rsidRDefault="001D49D4" w:rsidP="0004348D">
      <w:pPr>
        <w:numPr>
          <w:ilvl w:val="0"/>
          <w:numId w:val="287"/>
        </w:numPr>
        <w:spacing w:before="360" w:after="240"/>
        <w:contextualSpacing/>
        <w:rPr>
          <w:rtl/>
        </w:rPr>
      </w:pPr>
      <w:r w:rsidRPr="001D49D4">
        <w:rPr>
          <w:rtl/>
        </w:rPr>
        <w:t>טור- מת אחד מהעדים והחי הנשאר זוכר ההלואה ע"י ראיית שטר, החי יעיד על חתימתו, ועל חתימת המת צריך ב' מן השוק להעיד עליו, ואין העד החי יכול להצטרף עם אחד להעיד על חתימת המת, שא"כ יצאו ג' רבעי ממון על ידו. ואם לא נמצא אלא אחד שיכיר חתימת המת, זה החי יכתוב חתימת ידו</w:t>
      </w:r>
      <w:r w:rsidRPr="001D49D4">
        <w:rPr>
          <w:vertAlign w:val="superscript"/>
          <w:rtl/>
        </w:rPr>
        <w:footnoteReference w:id="3804"/>
      </w:r>
      <w:r w:rsidRPr="001D49D4">
        <w:rPr>
          <w:rtl/>
        </w:rPr>
        <w:t xml:space="preserve"> על החרס וישליכנו </w:t>
      </w:r>
      <w:r w:rsidRPr="001D49D4">
        <w:rPr>
          <w:b/>
          <w:bCs/>
          <w:rtl/>
        </w:rPr>
        <w:t>בפני</w:t>
      </w:r>
      <w:r w:rsidRPr="001D49D4">
        <w:rPr>
          <w:rtl/>
        </w:rPr>
        <w:t xml:space="preserve"> ב"ד, כדי שתתחזק כתב ידו בב"ד, ומקיימין מתוכה חתימת ידו כדי שלא יצטרך להעיד על חתימתו, ואח"כ יעיד הוא ואחר על חתימת המת. </w:t>
      </w:r>
    </w:p>
    <w:p w14:paraId="77B016C0" w14:textId="77777777" w:rsidR="001D49D4" w:rsidRPr="001D49D4" w:rsidRDefault="001D49D4" w:rsidP="0004348D">
      <w:pPr>
        <w:numPr>
          <w:ilvl w:val="0"/>
          <w:numId w:val="287"/>
        </w:numPr>
        <w:spacing w:before="360" w:after="240"/>
        <w:contextualSpacing/>
      </w:pPr>
      <w:r w:rsidRPr="001D49D4">
        <w:rPr>
          <w:rtl/>
        </w:rPr>
        <w:t xml:space="preserve">רמב"ם </w:t>
      </w:r>
      <w:r w:rsidRPr="001D49D4">
        <w:rPr>
          <w:sz w:val="16"/>
          <w:szCs w:val="16"/>
          <w:rtl/>
        </w:rPr>
        <w:t>(פ"ז מעדות ה"ה)</w:t>
      </w:r>
      <w:r w:rsidRPr="001D49D4">
        <w:rPr>
          <w:rtl/>
        </w:rPr>
        <w:t xml:space="preserve">- שנים שחתומין על השטר ומת אחד מהן, צריך שני עדים להעיד על כתב ידו של מת. ואם לא נמצא אלא עד אחד עם זה העד החי, כותב חתימת ידו </w:t>
      </w:r>
      <w:r w:rsidRPr="001D49D4">
        <w:rPr>
          <w:b/>
          <w:bCs/>
          <w:rtl/>
        </w:rPr>
        <w:t>בפני עדים</w:t>
      </w:r>
      <w:r w:rsidRPr="001D49D4">
        <w:rPr>
          <w:vertAlign w:val="superscript"/>
          <w:rtl/>
        </w:rPr>
        <w:footnoteReference w:id="3805"/>
      </w:r>
      <w:r w:rsidRPr="001D49D4">
        <w:rPr>
          <w:rtl/>
        </w:rPr>
        <w:t xml:space="preserve"> אפילו על החרס ומשליכו בבית דין עד שתוחזק כתב ידו בבית דין ולא יהיה צריך לומר שזה כתב ידו, ויעיד הוא ואחר על כתב ידי המת, ויתקיים כתב ידו שלא בפניו. </w:t>
      </w:r>
      <w:r w:rsidRPr="001D49D4">
        <w:rPr>
          <w:color w:val="E36C0A" w:themeColor="accent6" w:themeShade="BF"/>
          <w:rtl/>
        </w:rPr>
        <w:t>(וכ"פ בשו"ע)</w:t>
      </w:r>
      <w:r w:rsidRPr="001D49D4">
        <w:rPr>
          <w:rtl/>
        </w:rPr>
        <w:t xml:space="preserve"> </w:t>
      </w:r>
    </w:p>
    <w:p w14:paraId="3965B4BE" w14:textId="77777777" w:rsidR="001D49D4" w:rsidRPr="001D49D4" w:rsidRDefault="001D49D4" w:rsidP="0004348D">
      <w:pPr>
        <w:spacing w:before="360" w:after="240"/>
        <w:ind w:left="360"/>
        <w:rPr>
          <w:rFonts w:ascii="Calibri" w:eastAsia="Calibri" w:hAnsi="Calibri" w:cs="Arial"/>
          <w:u w:val="dotted"/>
        </w:rPr>
      </w:pPr>
      <w:r w:rsidRPr="001D49D4">
        <w:rPr>
          <w:rFonts w:ascii="Calibri" w:eastAsia="Calibri" w:hAnsi="Calibri" w:cs="Arial"/>
          <w:u w:val="dotted"/>
          <w:rtl/>
        </w:rPr>
        <w:t>ומה הדין אם בא אחד מן השוק והעיד על חתימת החי ואח"כ בא החי ומעיד על עצמו:</w:t>
      </w:r>
    </w:p>
    <w:p w14:paraId="0DD3B392" w14:textId="77777777" w:rsidR="001D49D4" w:rsidRPr="001D49D4" w:rsidRDefault="001D49D4" w:rsidP="0004348D">
      <w:pPr>
        <w:numPr>
          <w:ilvl w:val="0"/>
          <w:numId w:val="287"/>
        </w:numPr>
        <w:spacing w:before="360" w:after="240"/>
        <w:contextualSpacing/>
      </w:pPr>
      <w:r w:rsidRPr="001D49D4">
        <w:rPr>
          <w:rtl/>
        </w:rPr>
        <w:t>נמוק"י</w:t>
      </w:r>
      <w:r w:rsidRPr="001D49D4">
        <w:rPr>
          <w:sz w:val="16"/>
          <w:szCs w:val="16"/>
          <w:rtl/>
        </w:rPr>
        <w:t xml:space="preserve"> (פ' חזקת הבתים ל:, ד"ה אמר המחבר, הב"י שלח לעיין בדבריו)</w:t>
      </w:r>
      <w:r w:rsidRPr="001D49D4">
        <w:rPr>
          <w:rtl/>
        </w:rPr>
        <w:t>- אמרינן דאי אחוי החי חתימת ידיה אחספא מצי איהו עם אחר שבשוק לקיים חתימת השני. נמצא ששני אחין או אב ובנו מצטרפי עם אחד שבשוק לקיים שטר אחד. ומיהו אם בא אחד מן השוק והעיד על חתימת החי, ואח"כ בא החי ומעיד על עצמו - מצטרף הוא או אחיו עם אחר שבשוק על חתימת המת, דהשתא ליכא אפומא דאחי אלא פלגא, אבל אם העיד ראשונה החי עצמו הוה אידך יתר שהוא כנטול, זו סברת הריטב"א ז"ל</w:t>
      </w:r>
      <w:r w:rsidRPr="001D49D4">
        <w:rPr>
          <w:vertAlign w:val="superscript"/>
          <w:rtl/>
        </w:rPr>
        <w:footnoteReference w:id="3806"/>
      </w:r>
      <w:r w:rsidRPr="001D49D4">
        <w:rPr>
          <w:rtl/>
        </w:rPr>
        <w:t xml:space="preserve">. </w:t>
      </w:r>
    </w:p>
    <w:p w14:paraId="0D9C93A7" w14:textId="77777777" w:rsidR="001D49D4" w:rsidRPr="001D49D4" w:rsidRDefault="001D49D4" w:rsidP="0004348D">
      <w:pPr>
        <w:spacing w:before="360" w:after="240"/>
        <w:rPr>
          <w:rFonts w:ascii="Arial" w:eastAsia="Calibri" w:hAnsi="Arial" w:cs="Arial"/>
          <w:b/>
          <w:bCs/>
          <w:color w:val="000000"/>
          <w:sz w:val="28"/>
          <w:szCs w:val="28"/>
          <w:u w:val="single"/>
          <w:rtl/>
        </w:rPr>
      </w:pPr>
      <w:r w:rsidRPr="001D49D4">
        <w:rPr>
          <w:rFonts w:ascii="Arial" w:eastAsia="Calibri" w:hAnsi="Arial" w:cs="Arial"/>
          <w:b/>
          <w:bCs/>
          <w:color w:val="000000"/>
          <w:sz w:val="28"/>
          <w:szCs w:val="28"/>
          <w:u w:val="single"/>
          <w:rtl/>
        </w:rPr>
        <w:t>שו"ע:</w:t>
      </w:r>
    </w:p>
    <w:p w14:paraId="4AD91634"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rtl/>
        </w:rPr>
        <w:t>שנים שחתומים על השטר ומת</w:t>
      </w:r>
      <w:r w:rsidRPr="001D49D4">
        <w:rPr>
          <w:rFonts w:ascii="Calibri" w:eastAsia="Calibri" w:hAnsi="Calibri" w:cs="Arial"/>
          <w:vertAlign w:val="superscript"/>
          <w:rtl/>
        </w:rPr>
        <w:footnoteReference w:id="3807"/>
      </w:r>
      <w:r w:rsidRPr="001D49D4">
        <w:rPr>
          <w:rFonts w:ascii="Calibri" w:eastAsia="Calibri" w:hAnsi="Calibri" w:cs="Arial"/>
          <w:rtl/>
        </w:rPr>
        <w:t xml:space="preserve"> אחד מהם, צריך שנים מן השוק להעיד על חתימתו, ואין העד החי יכול להצטרף עם אחר להעיד על חתימת המת, שאם כן יצאו שלשת רביעי הממון על ידו. ואם לא נמצא אלא עד אחד עם זה העד החי, </w:t>
      </w:r>
      <w:r w:rsidRPr="001D49D4">
        <w:rPr>
          <w:rFonts w:ascii="Calibri" w:eastAsia="Calibri" w:hAnsi="Calibri" w:cs="Arial"/>
          <w:rtl/>
        </w:rPr>
        <w:lastRenderedPageBreak/>
        <w:t>כותב חתימת ידו בפני עדים, אפילו</w:t>
      </w:r>
      <w:r w:rsidRPr="001D49D4">
        <w:rPr>
          <w:rFonts w:ascii="Calibri" w:eastAsia="Calibri" w:hAnsi="Calibri" w:cs="Arial"/>
          <w:vertAlign w:val="superscript"/>
          <w:rtl/>
        </w:rPr>
        <w:footnoteReference w:id="3808"/>
      </w:r>
      <w:r w:rsidRPr="001D49D4">
        <w:rPr>
          <w:rFonts w:ascii="Calibri" w:eastAsia="Calibri" w:hAnsi="Calibri" w:cs="Arial"/>
          <w:rtl/>
        </w:rPr>
        <w:t xml:space="preserve"> על החרס</w:t>
      </w:r>
      <w:r w:rsidRPr="001D49D4">
        <w:rPr>
          <w:rFonts w:ascii="Calibri" w:eastAsia="Calibri" w:hAnsi="Calibri" w:cs="Arial"/>
          <w:vertAlign w:val="superscript"/>
          <w:rtl/>
        </w:rPr>
        <w:footnoteReference w:id="3809"/>
      </w:r>
      <w:r w:rsidRPr="001D49D4">
        <w:rPr>
          <w:rFonts w:ascii="Calibri" w:eastAsia="Calibri" w:hAnsi="Calibri" w:cs="Arial"/>
          <w:rtl/>
        </w:rPr>
        <w:t xml:space="preserve">, ומשליכו בבית דין עד שיוחזק כתב ידו בבית דין </w:t>
      </w:r>
      <w:r w:rsidRPr="001D49D4">
        <w:rPr>
          <w:rFonts w:ascii="Calibri" w:eastAsia="Calibri" w:hAnsi="Calibri" w:cs="Arial"/>
          <w:sz w:val="18"/>
          <w:szCs w:val="18"/>
          <w:rtl/>
        </w:rPr>
        <w:t>[הגה] וכל שכן אם היו עדים לקיים חתימת החי</w:t>
      </w:r>
      <w:r w:rsidRPr="001D49D4">
        <w:rPr>
          <w:rFonts w:ascii="Calibri" w:eastAsia="Calibri" w:hAnsi="Calibri" w:cs="Arial"/>
          <w:sz w:val="18"/>
          <w:szCs w:val="18"/>
          <w:vertAlign w:val="superscript"/>
          <w:rtl/>
        </w:rPr>
        <w:footnoteReference w:id="3810"/>
      </w:r>
      <w:r w:rsidRPr="001D49D4">
        <w:rPr>
          <w:rFonts w:ascii="Calibri" w:eastAsia="Calibri" w:hAnsi="Calibri" w:cs="Arial"/>
          <w:sz w:val="18"/>
          <w:szCs w:val="18"/>
          <w:rtl/>
        </w:rPr>
        <w:t xml:space="preserve"> (נמוק"י)</w:t>
      </w:r>
      <w:r w:rsidRPr="001D49D4">
        <w:rPr>
          <w:rFonts w:ascii="Calibri" w:eastAsia="Calibri" w:hAnsi="Calibri" w:cs="Arial"/>
          <w:rtl/>
        </w:rPr>
        <w:t xml:space="preserve">, כדי שלא יצטרך להעיד על חתימתו, ואחר כך יעיד הוא ואחר על חתימת המת. </w:t>
      </w:r>
    </w:p>
    <w:p w14:paraId="0535AD00" w14:textId="77777777" w:rsidR="001D49D4" w:rsidRPr="001D49D4" w:rsidRDefault="001D49D4" w:rsidP="0004348D">
      <w:pPr>
        <w:spacing w:before="360" w:after="240"/>
        <w:rPr>
          <w:rFonts w:ascii="Calibri" w:eastAsia="Calibri" w:hAnsi="Calibri" w:cs="Arial"/>
          <w:rtl/>
        </w:rPr>
      </w:pPr>
    </w:p>
    <w:p w14:paraId="773A7FE2" w14:textId="77777777" w:rsidR="001D49D4" w:rsidRPr="001D49D4" w:rsidRDefault="001D49D4" w:rsidP="0004348D">
      <w:pPr>
        <w:keepNext/>
        <w:keepLines/>
        <w:spacing w:before="360" w:after="240"/>
        <w:outlineLvl w:val="1"/>
        <w:rPr>
          <w:rFonts w:ascii="Cambria" w:eastAsia="Times New Roman" w:hAnsi="Cambria" w:cs="Arial"/>
          <w:bCs/>
          <w:color w:val="548DD4" w:themeColor="text2" w:themeTint="99"/>
          <w:sz w:val="26"/>
          <w:szCs w:val="26"/>
          <w:rtl/>
        </w:rPr>
      </w:pPr>
      <w:bookmarkStart w:id="515" w:name="_Toc24883948"/>
      <w:r w:rsidRPr="001D49D4">
        <w:rPr>
          <w:rFonts w:ascii="Cambria" w:eastAsia="Times New Roman" w:hAnsi="Cambria" w:cs="Arial"/>
          <w:bCs/>
          <w:color w:val="548DD4" w:themeColor="text2" w:themeTint="99"/>
          <w:sz w:val="26"/>
          <w:szCs w:val="26"/>
          <w:rtl/>
        </w:rPr>
        <w:t>סעיף יד: הצטרפות עד ודיין לקיים שטר.</w:t>
      </w:r>
      <w:bookmarkEnd w:id="515"/>
    </w:p>
    <w:p w14:paraId="1A490BB9"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b/>
          <w:bCs/>
          <w:rtl/>
        </w:rPr>
        <w:t xml:space="preserve">כתובות </w:t>
      </w:r>
      <w:r w:rsidRPr="001D49D4">
        <w:rPr>
          <w:rFonts w:ascii="Calibri" w:eastAsia="Calibri" w:hAnsi="Calibri" w:cs="Arial"/>
          <w:b/>
          <w:bCs/>
          <w:sz w:val="16"/>
          <w:szCs w:val="16"/>
          <w:rtl/>
        </w:rPr>
        <w:t xml:space="preserve">(פ"ב) </w:t>
      </w:r>
      <w:r w:rsidRPr="001D49D4">
        <w:rPr>
          <w:rFonts w:ascii="Calibri" w:eastAsia="Calibri" w:hAnsi="Calibri" w:cs="Arial"/>
          <w:b/>
          <w:bCs/>
          <w:rtl/>
        </w:rPr>
        <w:t>כא</w:t>
      </w:r>
      <w:r w:rsidRPr="001D49D4">
        <w:rPr>
          <w:rFonts w:ascii="Calibri" w:eastAsia="Calibri" w:hAnsi="Calibri" w:cs="Arial"/>
          <w:b/>
          <w:bCs/>
          <w:vertAlign w:val="superscript"/>
          <w:rtl/>
        </w:rPr>
        <w:footnoteReference w:id="3811"/>
      </w:r>
      <w:r w:rsidRPr="001D49D4">
        <w:rPr>
          <w:rFonts w:ascii="Calibri" w:eastAsia="Calibri" w:hAnsi="Calibri" w:cs="Arial"/>
          <w:b/>
          <w:bCs/>
          <w:rtl/>
        </w:rPr>
        <w:t xml:space="preserve"> ע"א:</w:t>
      </w:r>
      <w:r w:rsidRPr="001D49D4">
        <w:rPr>
          <w:rFonts w:ascii="Calibri" w:eastAsia="Calibri" w:hAnsi="Calibri" w:cs="Arial"/>
          <w:rtl/>
        </w:rPr>
        <w:t xml:space="preserve"> </w:t>
      </w:r>
      <w:r w:rsidRPr="001D49D4">
        <w:rPr>
          <w:rFonts w:ascii="Calibri" w:eastAsia="Calibri" w:hAnsi="Calibri" w:cs="Arial"/>
          <w:u w:val="single"/>
          <w:rtl/>
        </w:rPr>
        <w:t>אמר רב יהודה אמר שמואל</w:t>
      </w:r>
      <w:r w:rsidRPr="001D49D4">
        <w:rPr>
          <w:rFonts w:ascii="Calibri" w:eastAsia="Calibri" w:hAnsi="Calibri" w:cs="Arial"/>
          <w:rtl/>
        </w:rPr>
        <w:t>: עד ודיין</w:t>
      </w:r>
      <w:r w:rsidRPr="001D49D4">
        <w:rPr>
          <w:rFonts w:ascii="Calibri" w:eastAsia="Calibri" w:hAnsi="Calibri" w:cs="Arial"/>
          <w:vertAlign w:val="superscript"/>
          <w:rtl/>
        </w:rPr>
        <w:footnoteReference w:id="3812"/>
      </w:r>
      <w:r w:rsidRPr="001D49D4">
        <w:rPr>
          <w:rFonts w:ascii="Calibri" w:eastAsia="Calibri" w:hAnsi="Calibri" w:cs="Arial"/>
          <w:rtl/>
        </w:rPr>
        <w:t xml:space="preserve"> מצטרפין. </w:t>
      </w:r>
      <w:r w:rsidRPr="001D49D4">
        <w:rPr>
          <w:rFonts w:ascii="Calibri" w:eastAsia="Calibri" w:hAnsi="Calibri" w:cs="Arial"/>
          <w:u w:val="single"/>
          <w:rtl/>
        </w:rPr>
        <w:t>אמר רמי בר חמא</w:t>
      </w:r>
      <w:r w:rsidRPr="001D49D4">
        <w:rPr>
          <w:rFonts w:ascii="Calibri" w:eastAsia="Calibri" w:hAnsi="Calibri" w:cs="Arial"/>
          <w:rtl/>
        </w:rPr>
        <w:t xml:space="preserve">: כמה מעליא הא שמעתא! </w:t>
      </w:r>
      <w:r w:rsidRPr="001D49D4">
        <w:rPr>
          <w:rFonts w:ascii="Calibri" w:eastAsia="Calibri" w:hAnsi="Calibri" w:cs="Arial"/>
          <w:u w:val="single"/>
          <w:rtl/>
        </w:rPr>
        <w:t>אמר רבא</w:t>
      </w:r>
      <w:r w:rsidRPr="001D49D4">
        <w:rPr>
          <w:rFonts w:ascii="Calibri" w:eastAsia="Calibri" w:hAnsi="Calibri" w:cs="Arial"/>
          <w:rtl/>
        </w:rPr>
        <w:t xml:space="preserve">: מאי מעליותא? מאי דקא מסהיד סהדא לא קא מסהיד דיינא, ומאי דקא מסהיד דיינא לא קא מסהיד סהדא! </w:t>
      </w:r>
      <w:r w:rsidRPr="001D49D4">
        <w:rPr>
          <w:rFonts w:ascii="Calibri" w:eastAsia="Calibri" w:hAnsi="Calibri" w:cs="Arial"/>
          <w:u w:val="single"/>
          <w:rtl/>
        </w:rPr>
        <w:t>אלא, כי אתא רמי בר יחזקאל אמר</w:t>
      </w:r>
      <w:r w:rsidRPr="001D49D4">
        <w:rPr>
          <w:rFonts w:ascii="Calibri" w:eastAsia="Calibri" w:hAnsi="Calibri" w:cs="Arial"/>
          <w:rtl/>
        </w:rPr>
        <w:t>: לא תציתינהו להני כללי דכייל יהודה אחי משמיה דשמואל.</w:t>
      </w:r>
      <w:r w:rsidRPr="001D49D4">
        <w:rPr>
          <w:rFonts w:ascii="Calibri" w:eastAsia="Calibri" w:hAnsi="Calibri" w:cs="Arial"/>
          <w:sz w:val="14"/>
          <w:szCs w:val="14"/>
          <w:rtl/>
        </w:rPr>
        <w:t xml:space="preserve"> (כא:)</w:t>
      </w:r>
      <w:r w:rsidRPr="001D49D4">
        <w:rPr>
          <w:rFonts w:ascii="Calibri" w:eastAsia="Calibri" w:hAnsi="Calibri" w:cs="Arial"/>
          <w:rtl/>
        </w:rPr>
        <w:t xml:space="preserve"> </w:t>
      </w:r>
      <w:r w:rsidRPr="001D49D4">
        <w:rPr>
          <w:rFonts w:ascii="Calibri" w:eastAsia="Calibri" w:hAnsi="Calibri" w:cs="Arial"/>
          <w:u w:val="single"/>
          <w:rtl/>
        </w:rPr>
        <w:t>איקלע רבנאי אחוה דר' חייא בר אבא למזבן שומשמי ואמר הכי אמר שמואל</w:t>
      </w:r>
      <w:r w:rsidRPr="001D49D4">
        <w:rPr>
          <w:rFonts w:ascii="Calibri" w:eastAsia="Calibri" w:hAnsi="Calibri" w:cs="Arial"/>
          <w:rtl/>
        </w:rPr>
        <w:t xml:space="preserve">: עד ודיין מצטרפין. </w:t>
      </w:r>
      <w:r w:rsidRPr="001D49D4">
        <w:rPr>
          <w:rFonts w:ascii="Calibri" w:eastAsia="Calibri" w:hAnsi="Calibri" w:cs="Arial"/>
          <w:u w:val="single"/>
          <w:rtl/>
        </w:rPr>
        <w:t>אמר אמימר</w:t>
      </w:r>
      <w:r w:rsidRPr="001D49D4">
        <w:rPr>
          <w:rFonts w:ascii="Calibri" w:eastAsia="Calibri" w:hAnsi="Calibri" w:cs="Arial"/>
          <w:rtl/>
        </w:rPr>
        <w:t xml:space="preserve">: כמה מעליא הא שמעתא! </w:t>
      </w:r>
      <w:r w:rsidRPr="001D49D4">
        <w:rPr>
          <w:rFonts w:ascii="Calibri" w:eastAsia="Calibri" w:hAnsi="Calibri" w:cs="Arial"/>
          <w:u w:val="single"/>
          <w:rtl/>
        </w:rPr>
        <w:t>אמר ליה רב אשי לאמימר</w:t>
      </w:r>
      <w:r w:rsidRPr="001D49D4">
        <w:rPr>
          <w:rFonts w:ascii="Calibri" w:eastAsia="Calibri" w:hAnsi="Calibri" w:cs="Arial"/>
          <w:rtl/>
        </w:rPr>
        <w:t>: משום דקלסה אבוה דאמך, את נמי מקלסת לה? כבר פרכה רבא.</w:t>
      </w:r>
    </w:p>
    <w:p w14:paraId="7F536D2E"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u w:val="single"/>
          <w:rtl/>
        </w:rPr>
        <w:t>האם עד ודיין מצטרפים לקיים שטר:</w:t>
      </w:r>
    </w:p>
    <w:p w14:paraId="3E9067A9" w14:textId="77777777" w:rsidR="001D49D4" w:rsidRPr="001D49D4" w:rsidRDefault="001D49D4" w:rsidP="0004348D">
      <w:pPr>
        <w:numPr>
          <w:ilvl w:val="0"/>
          <w:numId w:val="287"/>
        </w:numPr>
        <w:spacing w:before="360" w:after="240"/>
        <w:contextualSpacing/>
        <w:rPr>
          <w:rtl/>
        </w:rPr>
      </w:pPr>
      <w:r w:rsidRPr="001D49D4">
        <w:rPr>
          <w:rtl/>
        </w:rPr>
        <w:t>רא"ש</w:t>
      </w:r>
      <w:r w:rsidRPr="001D49D4">
        <w:rPr>
          <w:vertAlign w:val="superscript"/>
          <w:rtl/>
        </w:rPr>
        <w:footnoteReference w:id="3813"/>
      </w:r>
      <w:r w:rsidRPr="001D49D4">
        <w:rPr>
          <w:rtl/>
        </w:rPr>
        <w:t xml:space="preserve"> </w:t>
      </w:r>
      <w:r w:rsidRPr="001D49D4">
        <w:rPr>
          <w:sz w:val="16"/>
          <w:szCs w:val="16"/>
          <w:rtl/>
        </w:rPr>
        <w:t>(כתובות פ"ב סי' יח)</w:t>
      </w:r>
      <w:r w:rsidRPr="001D49D4">
        <w:rPr>
          <w:rtl/>
        </w:rPr>
        <w:t xml:space="preserve"> וטור- עד ודיין אין מצטרפין לקיים השטר. פירוש, אם אין מכירין לא חתימת העדים ולא חתימת דייני הקיום, ואחד מעדי השטר מעיד על כתב ידו, וב' עדים מעידין על כתב יד אחד מהדיינים או הדיין </w:t>
      </w:r>
      <w:r w:rsidRPr="001D49D4">
        <w:rPr>
          <w:rtl/>
        </w:rPr>
        <w:lastRenderedPageBreak/>
        <w:t>בעצמו ואחר עמו</w:t>
      </w:r>
      <w:r w:rsidRPr="001D49D4">
        <w:rPr>
          <w:vertAlign w:val="superscript"/>
          <w:rtl/>
        </w:rPr>
        <w:footnoteReference w:id="3814"/>
      </w:r>
      <w:r w:rsidRPr="001D49D4">
        <w:rPr>
          <w:rtl/>
        </w:rPr>
        <w:t xml:space="preserve"> מעיד על כתב ידו - אינו מועיל</w:t>
      </w:r>
      <w:r w:rsidRPr="001D49D4">
        <w:rPr>
          <w:vertAlign w:val="superscript"/>
          <w:rtl/>
        </w:rPr>
        <w:footnoteReference w:id="3815"/>
      </w:r>
      <w:r w:rsidRPr="001D49D4">
        <w:rPr>
          <w:rtl/>
        </w:rPr>
        <w:t>, דמאי דמסהיד האי לא מסהיד האי, העד מעיד על מנה שבשטר והדיין מעיד על חתימת העדים</w:t>
      </w:r>
      <w:r w:rsidRPr="001D49D4">
        <w:rPr>
          <w:sz w:val="16"/>
          <w:szCs w:val="16"/>
          <w:rtl/>
        </w:rPr>
        <w:t xml:space="preserve"> (ל' הטור)</w:t>
      </w:r>
      <w:r w:rsidRPr="001D49D4">
        <w:rPr>
          <w:rtl/>
        </w:rPr>
        <w:t>.</w:t>
      </w:r>
      <w:r w:rsidRPr="001D49D4">
        <w:rPr>
          <w:color w:val="E36C0A" w:themeColor="accent6" w:themeShade="BF"/>
          <w:rtl/>
        </w:rPr>
        <w:t xml:space="preserve"> (וכ"פ בשו"ע)</w:t>
      </w:r>
    </w:p>
    <w:p w14:paraId="44E5923D" w14:textId="77777777" w:rsidR="001D49D4" w:rsidRPr="001D49D4" w:rsidRDefault="001D49D4" w:rsidP="0004348D">
      <w:pPr>
        <w:spacing w:before="360" w:after="240"/>
        <w:ind w:left="360"/>
        <w:rPr>
          <w:rFonts w:ascii="Calibri" w:eastAsia="Calibri" w:hAnsi="Calibri" w:cs="Arial"/>
          <w:u w:val="dotted"/>
        </w:rPr>
      </w:pPr>
      <w:r w:rsidRPr="001D49D4">
        <w:rPr>
          <w:rFonts w:ascii="Calibri" w:eastAsia="Calibri" w:hAnsi="Calibri" w:cs="Arial"/>
          <w:u w:val="dotted"/>
          <w:rtl/>
        </w:rPr>
        <w:t>מכיון שאין השטר מתקיים על פי עד ודיין – האם אין אנו חוששין אם הדיינים קרובים לעדים:</w:t>
      </w:r>
    </w:p>
    <w:p w14:paraId="362811D1" w14:textId="77777777" w:rsidR="001D49D4" w:rsidRPr="001D49D4" w:rsidRDefault="001D49D4" w:rsidP="0004348D">
      <w:pPr>
        <w:numPr>
          <w:ilvl w:val="0"/>
          <w:numId w:val="287"/>
        </w:numPr>
        <w:spacing w:before="360" w:after="240"/>
        <w:contextualSpacing/>
      </w:pPr>
      <w:r w:rsidRPr="001D49D4">
        <w:rPr>
          <w:rtl/>
        </w:rPr>
        <w:t xml:space="preserve">רא"ש </w:t>
      </w:r>
      <w:r w:rsidRPr="001D49D4">
        <w:rPr>
          <w:sz w:val="16"/>
          <w:szCs w:val="16"/>
          <w:rtl/>
        </w:rPr>
        <w:t>(כתובות פ"ב סי' יח)</w:t>
      </w:r>
      <w:r w:rsidRPr="001D49D4">
        <w:rPr>
          <w:rtl/>
        </w:rPr>
        <w:t xml:space="preserve"> וטור- הילכך כיון שאין השטר מתקיים על פי עד ודיין אין אנו חוששין אם הדיינים קרובים לעדים, ואע"פ דגרסינן בירושלמי פרק שבועת העדות </w:t>
      </w:r>
      <w:r w:rsidRPr="001D49D4">
        <w:rPr>
          <w:sz w:val="16"/>
          <w:szCs w:val="16"/>
          <w:rtl/>
        </w:rPr>
        <w:t xml:space="preserve">(שבועות פ"ד ה"א) </w:t>
      </w:r>
      <w:r w:rsidRPr="001D49D4">
        <w:rPr>
          <w:rtl/>
        </w:rPr>
        <w:t>שלא יהיו העדים קרובים לדיינים היינו בעדים המעידים לפני הדיינים לפי שלא יקבלו עליהם הזמה, וטעמא דהזמה לא שייך הכא.</w:t>
      </w:r>
    </w:p>
    <w:p w14:paraId="3A4048BB" w14:textId="77777777" w:rsidR="001D49D4" w:rsidRPr="001D49D4" w:rsidRDefault="001D49D4" w:rsidP="0004348D">
      <w:pPr>
        <w:numPr>
          <w:ilvl w:val="0"/>
          <w:numId w:val="287"/>
        </w:numPr>
        <w:spacing w:before="360" w:after="240"/>
        <w:contextualSpacing/>
      </w:pPr>
      <w:r w:rsidRPr="001D49D4">
        <w:rPr>
          <w:rtl/>
        </w:rPr>
        <w:t xml:space="preserve">מהר"ם </w:t>
      </w:r>
      <w:r w:rsidRPr="001D49D4">
        <w:rPr>
          <w:sz w:val="16"/>
          <w:szCs w:val="16"/>
          <w:rtl/>
        </w:rPr>
        <w:t xml:space="preserve">(ד"פ סי' מח) </w:t>
      </w:r>
      <w:r w:rsidRPr="001D49D4">
        <w:rPr>
          <w:rtl/>
        </w:rPr>
        <w:t xml:space="preserve">ורשב"א </w:t>
      </w:r>
      <w:r w:rsidRPr="001D49D4">
        <w:rPr>
          <w:sz w:val="16"/>
          <w:szCs w:val="16"/>
          <w:rtl/>
        </w:rPr>
        <w:t>(ח"א סי' תתנג)</w:t>
      </w:r>
      <w:r w:rsidRPr="001D49D4">
        <w:rPr>
          <w:rtl/>
        </w:rPr>
        <w:t>- עד ודיין מצטרפין</w:t>
      </w:r>
      <w:r w:rsidRPr="001D49D4">
        <w:rPr>
          <w:sz w:val="16"/>
          <w:szCs w:val="16"/>
          <w:rtl/>
        </w:rPr>
        <w:t xml:space="preserve"> (כתובות כא.)</w:t>
      </w:r>
      <w:r w:rsidRPr="001D49D4">
        <w:rPr>
          <w:rtl/>
        </w:rPr>
        <w:t xml:space="preserve"> לפי מה שהוכיח ר"י </w:t>
      </w:r>
      <w:r w:rsidRPr="001D49D4">
        <w:rPr>
          <w:sz w:val="16"/>
          <w:szCs w:val="16"/>
          <w:rtl/>
        </w:rPr>
        <w:t>(כא. בתוד"ה עד)</w:t>
      </w:r>
      <w:r w:rsidRPr="001D49D4">
        <w:rPr>
          <w:rtl/>
        </w:rPr>
        <w:t xml:space="preserve"> שצריך שיכירו חתימת הדיינים החתומים על ההנפק, ולהכי מהני שהם חותמים, שאם לאחר זמן לא יעידו אלא על חתימת אחד מן העדים וחתימת אחד מן הדיינים</w:t>
      </w:r>
      <w:r w:rsidRPr="001D49D4">
        <w:rPr>
          <w:vertAlign w:val="superscript"/>
          <w:rtl/>
        </w:rPr>
        <w:footnoteReference w:id="3816"/>
      </w:r>
      <w:r w:rsidRPr="001D49D4">
        <w:rPr>
          <w:rtl/>
        </w:rPr>
        <w:t>, או שני דיינים, סגי בהכי, והכי איתא בפרק המגרש בירושלמי (ה"ז). לפ"ז נ"ל שיש לזהר שלא לחתום על ההנפק אותם בני אדם שהן קרובים לעדים, דלמא אתי לקיימו בחד מן העדים וחד מן הדיינים שהם קרובים...</w:t>
      </w:r>
      <w:r w:rsidRPr="001D49D4">
        <w:rPr>
          <w:vertAlign w:val="superscript"/>
          <w:rtl/>
        </w:rPr>
        <w:footnoteReference w:id="3817"/>
      </w:r>
      <w:r w:rsidRPr="001D49D4">
        <w:rPr>
          <w:sz w:val="16"/>
          <w:szCs w:val="16"/>
          <w:rtl/>
        </w:rPr>
        <w:t xml:space="preserve"> (ל' מהר"ם)</w:t>
      </w:r>
      <w:r w:rsidRPr="001D49D4">
        <w:rPr>
          <w:rtl/>
        </w:rPr>
        <w:t>. (וכ"פ הש"ך</w:t>
      </w:r>
      <w:r w:rsidRPr="001D49D4">
        <w:rPr>
          <w:sz w:val="16"/>
          <w:szCs w:val="16"/>
          <w:rtl/>
        </w:rPr>
        <w:t xml:space="preserve"> [סקמ"א]</w:t>
      </w:r>
      <w:r w:rsidRPr="001D49D4">
        <w:rPr>
          <w:rtl/>
        </w:rPr>
        <w:t>)</w:t>
      </w:r>
    </w:p>
    <w:p w14:paraId="4F33048D" w14:textId="77777777" w:rsidR="001D49D4" w:rsidRPr="001D49D4" w:rsidRDefault="001D49D4" w:rsidP="0004348D">
      <w:pPr>
        <w:spacing w:before="360" w:after="240"/>
        <w:rPr>
          <w:rFonts w:ascii="Calibri" w:eastAsia="Calibri" w:hAnsi="Calibri" w:cs="Arial"/>
          <w:u w:val="single"/>
        </w:rPr>
      </w:pPr>
      <w:r w:rsidRPr="001D49D4">
        <w:rPr>
          <w:rFonts w:ascii="Calibri" w:eastAsia="Calibri" w:hAnsi="Calibri" w:cs="Arial"/>
          <w:u w:val="single"/>
          <w:rtl/>
        </w:rPr>
        <w:t>עדים שמכירים את חתימת אחד מעדים החתומים ואת כתב סופר:</w:t>
      </w:r>
    </w:p>
    <w:p w14:paraId="73426E29" w14:textId="77777777" w:rsidR="001D49D4" w:rsidRPr="001D49D4" w:rsidRDefault="001D49D4" w:rsidP="0004348D">
      <w:pPr>
        <w:numPr>
          <w:ilvl w:val="0"/>
          <w:numId w:val="287"/>
        </w:numPr>
        <w:spacing w:before="360" w:after="240"/>
        <w:contextualSpacing/>
        <w:rPr>
          <w:rtl/>
        </w:rPr>
      </w:pPr>
      <w:r w:rsidRPr="001D49D4">
        <w:rPr>
          <w:rtl/>
        </w:rPr>
        <w:t xml:space="preserve">רי"ו </w:t>
      </w:r>
      <w:r w:rsidRPr="001D49D4">
        <w:rPr>
          <w:sz w:val="16"/>
          <w:szCs w:val="16"/>
          <w:rtl/>
        </w:rPr>
        <w:t>(נ"ב ח"ח יד:)</w:t>
      </w:r>
      <w:r w:rsidRPr="001D49D4">
        <w:rPr>
          <w:rtl/>
        </w:rPr>
        <w:t xml:space="preserve">- פשוט בגטין פ' המגרש </w:t>
      </w:r>
      <w:r w:rsidRPr="001D49D4">
        <w:rPr>
          <w:sz w:val="16"/>
          <w:szCs w:val="16"/>
          <w:rtl/>
        </w:rPr>
        <w:t xml:space="preserve">(פז:) </w:t>
      </w:r>
      <w:r w:rsidRPr="001D49D4">
        <w:rPr>
          <w:rtl/>
        </w:rPr>
        <w:t>שאם מכירין חתימת עד א' ומכירין כתב הסופר מן השטר ואינן מכירין חתימת העד השני - אינו קיום, ומכל מקום גבי מבני חרי כפי' הירושלמי שפירש עד א' בכתב ועד א' על פה</w:t>
      </w:r>
      <w:r w:rsidRPr="001D49D4">
        <w:rPr>
          <w:vertAlign w:val="superscript"/>
          <w:rtl/>
        </w:rPr>
        <w:footnoteReference w:id="3818"/>
      </w:r>
      <w:r w:rsidRPr="001D49D4">
        <w:rPr>
          <w:rtl/>
        </w:rPr>
        <w:t>, כמו שכתבתי בגביית חוב.</w:t>
      </w:r>
      <w:r w:rsidRPr="001D49D4">
        <w:rPr>
          <w:color w:val="00B0F0"/>
          <w:rtl/>
        </w:rPr>
        <w:t xml:space="preserve"> (וכ"פ הרמ"א)</w:t>
      </w:r>
    </w:p>
    <w:p w14:paraId="56890C09" w14:textId="77777777" w:rsidR="001D49D4" w:rsidRPr="001D49D4" w:rsidRDefault="001D49D4" w:rsidP="0004348D">
      <w:pPr>
        <w:spacing w:before="360" w:after="240"/>
        <w:rPr>
          <w:rFonts w:ascii="Arial" w:eastAsia="Calibri" w:hAnsi="Arial" w:cs="Arial"/>
          <w:b/>
          <w:bCs/>
          <w:color w:val="000000"/>
          <w:sz w:val="28"/>
          <w:szCs w:val="28"/>
          <w:u w:val="single"/>
          <w:rtl/>
        </w:rPr>
      </w:pPr>
      <w:r w:rsidRPr="001D49D4">
        <w:rPr>
          <w:rFonts w:ascii="Arial" w:eastAsia="Calibri" w:hAnsi="Arial" w:cs="Arial"/>
          <w:b/>
          <w:bCs/>
          <w:color w:val="000000"/>
          <w:sz w:val="28"/>
          <w:szCs w:val="28"/>
          <w:u w:val="single"/>
          <w:rtl/>
        </w:rPr>
        <w:t>שו"ע:</w:t>
      </w:r>
    </w:p>
    <w:p w14:paraId="629F99E5"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rtl/>
        </w:rPr>
        <w:t>אם אין מכירים לא חתימת העדים ולא חתימת דייני הקיום, ואחד מעידי השטר מעיד על כתב ידו, ושני עדים מעידים על חתימת אחד מהדיינים, או הדיין בעצמו ואחר עמו מעיד על כתב ידו, אינו מועיל</w:t>
      </w:r>
      <w:r w:rsidRPr="001D49D4">
        <w:rPr>
          <w:rFonts w:ascii="Calibri" w:eastAsia="Calibri" w:hAnsi="Calibri" w:cs="Arial"/>
          <w:vertAlign w:val="superscript"/>
          <w:rtl/>
        </w:rPr>
        <w:footnoteReference w:id="3819"/>
      </w:r>
      <w:r w:rsidRPr="001D49D4">
        <w:rPr>
          <w:rFonts w:ascii="Calibri" w:eastAsia="Calibri" w:hAnsi="Calibri" w:cs="Arial"/>
          <w:rtl/>
        </w:rPr>
        <w:t xml:space="preserve">, דמאי דמסהיד האי לא מסהיד האי, העד מעיד על מנה שבשטר והדיין מעיד על חתימת העדים. </w:t>
      </w:r>
      <w:r w:rsidRPr="001D49D4">
        <w:rPr>
          <w:rFonts w:ascii="Calibri" w:eastAsia="Calibri" w:hAnsi="Calibri" w:cs="Arial"/>
          <w:sz w:val="18"/>
          <w:szCs w:val="18"/>
          <w:rtl/>
        </w:rPr>
        <w:t>[הגה] וכן אם נתקיים כתב הסופר ועד אחד, לא הוי קיום (רי"ו).</w:t>
      </w:r>
      <w:r w:rsidRPr="001D49D4">
        <w:rPr>
          <w:rFonts w:ascii="Calibri" w:eastAsia="Calibri" w:hAnsi="Calibri" w:cs="Arial"/>
          <w:rtl/>
        </w:rPr>
        <w:t xml:space="preserve"> </w:t>
      </w:r>
    </w:p>
    <w:p w14:paraId="1FDFE439" w14:textId="77777777" w:rsidR="001D49D4" w:rsidRPr="001D49D4" w:rsidRDefault="001D49D4" w:rsidP="0004348D">
      <w:pPr>
        <w:spacing w:before="360" w:after="240"/>
        <w:rPr>
          <w:rFonts w:ascii="Calibri" w:eastAsia="Calibri" w:hAnsi="Calibri" w:cs="Arial"/>
          <w:rtl/>
        </w:rPr>
      </w:pPr>
    </w:p>
    <w:p w14:paraId="6B43261D" w14:textId="77777777" w:rsidR="001D49D4" w:rsidRPr="001D49D4" w:rsidRDefault="001D49D4" w:rsidP="0004348D">
      <w:pPr>
        <w:keepNext/>
        <w:keepLines/>
        <w:spacing w:before="360" w:after="240"/>
        <w:outlineLvl w:val="1"/>
        <w:rPr>
          <w:rFonts w:ascii="Cambria" w:eastAsia="Times New Roman" w:hAnsi="Cambria" w:cs="Arial"/>
          <w:bCs/>
          <w:color w:val="548DD4" w:themeColor="text2" w:themeTint="99"/>
          <w:sz w:val="26"/>
          <w:szCs w:val="26"/>
          <w:rtl/>
        </w:rPr>
      </w:pPr>
      <w:bookmarkStart w:id="516" w:name="_Toc24883949"/>
      <w:r w:rsidRPr="001D49D4">
        <w:rPr>
          <w:rFonts w:ascii="Cambria" w:eastAsia="Times New Roman" w:hAnsi="Cambria" w:cs="Arial"/>
          <w:bCs/>
          <w:color w:val="548DD4" w:themeColor="text2" w:themeTint="99"/>
          <w:sz w:val="26"/>
          <w:szCs w:val="26"/>
          <w:rtl/>
        </w:rPr>
        <w:t>סעיף טו: שני דייני קיום שכל אחד מעיד על כתב ידו.</w:t>
      </w:r>
      <w:bookmarkEnd w:id="516"/>
    </w:p>
    <w:p w14:paraId="0A1A0459" w14:textId="77777777" w:rsidR="001D49D4" w:rsidRPr="001D49D4" w:rsidRDefault="001D49D4" w:rsidP="0004348D">
      <w:pPr>
        <w:spacing w:before="360" w:after="240"/>
        <w:rPr>
          <w:rFonts w:ascii="Calibri" w:eastAsia="Calibri" w:hAnsi="Calibri" w:cs="Arial"/>
          <w:u w:val="single"/>
          <w:rtl/>
        </w:rPr>
      </w:pPr>
      <w:r w:rsidRPr="001D49D4">
        <w:rPr>
          <w:rFonts w:ascii="Calibri" w:eastAsia="Calibri" w:hAnsi="Calibri" w:cs="Arial"/>
          <w:u w:val="single"/>
          <w:rtl/>
        </w:rPr>
        <w:t>שני דייני קיום שכל אחד מעיד על כתב ידו:</w:t>
      </w:r>
    </w:p>
    <w:p w14:paraId="23258DB2" w14:textId="77777777" w:rsidR="001D49D4" w:rsidRPr="001D49D4" w:rsidRDefault="001D49D4" w:rsidP="0004348D">
      <w:pPr>
        <w:numPr>
          <w:ilvl w:val="0"/>
          <w:numId w:val="287"/>
        </w:numPr>
        <w:spacing w:before="360" w:after="240"/>
        <w:contextualSpacing/>
      </w:pPr>
      <w:r w:rsidRPr="001D49D4">
        <w:rPr>
          <w:rtl/>
        </w:rPr>
        <w:lastRenderedPageBreak/>
        <w:t xml:space="preserve">ה"ר יונה רא"ש </w:t>
      </w:r>
      <w:r w:rsidRPr="001D49D4">
        <w:rPr>
          <w:sz w:val="16"/>
          <w:szCs w:val="16"/>
          <w:rtl/>
        </w:rPr>
        <w:t>(כתובות פ"ב סי' יח)</w:t>
      </w:r>
      <w:r w:rsidRPr="001D49D4">
        <w:rPr>
          <w:rtl/>
        </w:rPr>
        <w:t xml:space="preserve"> וטור- אם שני דייני הקיום כל אחד מעיד על כתב ידו - השטר מקויים, ולא אמרינן על כתב ידן הן מעידים, אלא כל אחד מהם מעיד על קיום השטר שהוא כשר והרי הם כשני עדים שמקיימין השטר</w:t>
      </w:r>
      <w:r w:rsidRPr="001D49D4">
        <w:rPr>
          <w:sz w:val="16"/>
          <w:szCs w:val="16"/>
          <w:rtl/>
        </w:rPr>
        <w:t xml:space="preserve"> (ל' הרא"ש בשם ה"ר יונה)</w:t>
      </w:r>
      <w:r w:rsidRPr="001D49D4">
        <w:rPr>
          <w:rtl/>
        </w:rPr>
        <w:t>.</w:t>
      </w:r>
      <w:r w:rsidRPr="001D49D4">
        <w:rPr>
          <w:color w:val="E36C0A" w:themeColor="accent6" w:themeShade="BF"/>
          <w:rtl/>
        </w:rPr>
        <w:t xml:space="preserve"> (וכ"פ בשו"ע)</w:t>
      </w:r>
    </w:p>
    <w:p w14:paraId="72B9A474" w14:textId="77777777" w:rsidR="001D49D4" w:rsidRPr="001D49D4" w:rsidRDefault="001D49D4" w:rsidP="0004348D">
      <w:pPr>
        <w:spacing w:before="360" w:after="240"/>
        <w:rPr>
          <w:rFonts w:ascii="Arial" w:eastAsia="Calibri" w:hAnsi="Arial" w:cs="Arial"/>
          <w:b/>
          <w:bCs/>
          <w:color w:val="000000"/>
          <w:sz w:val="28"/>
          <w:szCs w:val="28"/>
          <w:u w:val="single"/>
          <w:rtl/>
        </w:rPr>
      </w:pPr>
      <w:r w:rsidRPr="001D49D4">
        <w:rPr>
          <w:rFonts w:ascii="Arial" w:eastAsia="Calibri" w:hAnsi="Arial" w:cs="Arial"/>
          <w:b/>
          <w:bCs/>
          <w:color w:val="000000"/>
          <w:sz w:val="28"/>
          <w:szCs w:val="28"/>
          <w:u w:val="single"/>
          <w:rtl/>
        </w:rPr>
        <w:t>שו"ע:</w:t>
      </w:r>
    </w:p>
    <w:p w14:paraId="56E6D838"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rtl/>
        </w:rPr>
        <w:t>אם שני דייני הקיום כל אחד מעיד על כתב ידו, השטר מקויים</w:t>
      </w:r>
      <w:r w:rsidRPr="001D49D4">
        <w:rPr>
          <w:rFonts w:ascii="Calibri" w:eastAsia="Calibri" w:hAnsi="Calibri" w:cs="Arial"/>
          <w:vertAlign w:val="superscript"/>
          <w:rtl/>
        </w:rPr>
        <w:footnoteReference w:id="3820"/>
      </w:r>
      <w:r w:rsidRPr="001D49D4">
        <w:rPr>
          <w:rFonts w:ascii="Calibri" w:eastAsia="Calibri" w:hAnsi="Calibri" w:cs="Arial"/>
          <w:rtl/>
        </w:rPr>
        <w:t xml:space="preserve">. </w:t>
      </w:r>
    </w:p>
    <w:p w14:paraId="7101D3B4" w14:textId="77777777" w:rsidR="001D49D4" w:rsidRPr="001D49D4" w:rsidRDefault="001D49D4" w:rsidP="0004348D">
      <w:pPr>
        <w:spacing w:before="360" w:after="240"/>
        <w:rPr>
          <w:rFonts w:ascii="Calibri" w:eastAsia="Calibri" w:hAnsi="Calibri" w:cs="Arial"/>
          <w:rtl/>
        </w:rPr>
      </w:pPr>
    </w:p>
    <w:p w14:paraId="6E2387CA" w14:textId="77777777" w:rsidR="001D49D4" w:rsidRPr="001D49D4" w:rsidRDefault="001D49D4" w:rsidP="0004348D">
      <w:pPr>
        <w:keepNext/>
        <w:keepLines/>
        <w:spacing w:before="360" w:after="240"/>
        <w:outlineLvl w:val="1"/>
        <w:rPr>
          <w:rFonts w:ascii="Cambria" w:eastAsia="Times New Roman" w:hAnsi="Cambria" w:cs="Arial"/>
          <w:bCs/>
          <w:color w:val="548DD4" w:themeColor="text2" w:themeTint="99"/>
          <w:sz w:val="26"/>
          <w:szCs w:val="26"/>
          <w:rtl/>
        </w:rPr>
      </w:pPr>
      <w:bookmarkStart w:id="517" w:name="_Toc24883950"/>
      <w:r w:rsidRPr="001D49D4">
        <w:rPr>
          <w:rFonts w:ascii="Cambria" w:eastAsia="Times New Roman" w:hAnsi="Cambria" w:cs="Arial"/>
          <w:bCs/>
          <w:color w:val="548DD4" w:themeColor="text2" w:themeTint="99"/>
          <w:sz w:val="26"/>
          <w:szCs w:val="26"/>
          <w:rtl/>
        </w:rPr>
        <w:t>סעיף טז: עד אחד מן השוק מעיד על חתימת עידי השטר ודיין אחד מעיד על חתימתו.</w:t>
      </w:r>
      <w:bookmarkEnd w:id="517"/>
    </w:p>
    <w:p w14:paraId="641D43B2" w14:textId="77777777" w:rsidR="001D49D4" w:rsidRPr="001D49D4" w:rsidRDefault="001D49D4" w:rsidP="0004348D">
      <w:pPr>
        <w:spacing w:before="360" w:after="240"/>
        <w:rPr>
          <w:rFonts w:ascii="Calibri" w:eastAsia="Calibri" w:hAnsi="Calibri" w:cs="Arial"/>
          <w:u w:val="single"/>
          <w:rtl/>
        </w:rPr>
      </w:pPr>
      <w:r w:rsidRPr="001D49D4">
        <w:rPr>
          <w:rFonts w:ascii="Calibri" w:eastAsia="Calibri" w:hAnsi="Calibri" w:cs="Arial"/>
          <w:u w:val="single"/>
          <w:rtl/>
        </w:rPr>
        <w:t>עד אחד מן השוק מעיד על חתימת עידי השטר ודיין אחד מעיד על חתימתו:</w:t>
      </w:r>
    </w:p>
    <w:p w14:paraId="51BAF27B" w14:textId="77777777" w:rsidR="001D49D4" w:rsidRPr="001D49D4" w:rsidRDefault="001D49D4" w:rsidP="0004348D">
      <w:pPr>
        <w:numPr>
          <w:ilvl w:val="0"/>
          <w:numId w:val="287"/>
        </w:numPr>
        <w:spacing w:before="360" w:after="240"/>
        <w:contextualSpacing/>
        <w:rPr>
          <w:rtl/>
        </w:rPr>
      </w:pPr>
      <w:r w:rsidRPr="001D49D4">
        <w:rPr>
          <w:rtl/>
        </w:rPr>
        <w:t xml:space="preserve">רא"ה </w:t>
      </w:r>
      <w:r w:rsidRPr="001D49D4">
        <w:rPr>
          <w:sz w:val="16"/>
          <w:szCs w:val="16"/>
          <w:rtl/>
        </w:rPr>
        <w:t xml:space="preserve">(כא. ד"ה אמר רב יהודה, כ"כ הר"ן בשמו) </w:t>
      </w:r>
      <w:r w:rsidRPr="001D49D4">
        <w:rPr>
          <w:rtl/>
        </w:rPr>
        <w:t>ר"ן</w:t>
      </w:r>
      <w:r w:rsidRPr="001D49D4">
        <w:rPr>
          <w:vertAlign w:val="superscript"/>
          <w:rtl/>
        </w:rPr>
        <w:footnoteReference w:id="3821"/>
      </w:r>
      <w:r w:rsidRPr="001D49D4">
        <w:rPr>
          <w:rtl/>
        </w:rPr>
        <w:t xml:space="preserve"> </w:t>
      </w:r>
      <w:r w:rsidRPr="001D49D4">
        <w:rPr>
          <w:sz w:val="16"/>
          <w:szCs w:val="16"/>
          <w:rtl/>
        </w:rPr>
        <w:t>(פ"ב דכתובות ח. ד"ה עד)</w:t>
      </w:r>
      <w:r w:rsidRPr="001D49D4">
        <w:rPr>
          <w:rtl/>
        </w:rPr>
        <w:t xml:space="preserve"> וריב"ש </w:t>
      </w:r>
      <w:r w:rsidRPr="001D49D4">
        <w:rPr>
          <w:sz w:val="16"/>
          <w:szCs w:val="16"/>
          <w:rtl/>
        </w:rPr>
        <w:t>(שם ד"ה עוד (השני))</w:t>
      </w:r>
      <w:r w:rsidRPr="001D49D4">
        <w:rPr>
          <w:rtl/>
        </w:rPr>
        <w:t xml:space="preserve">- </w:t>
      </w:r>
      <w:r w:rsidRPr="001D49D4">
        <w:rPr>
          <w:vertAlign w:val="superscript"/>
          <w:rtl/>
        </w:rPr>
        <w:footnoteReference w:id="3822"/>
      </w:r>
      <w:r w:rsidRPr="001D49D4">
        <w:rPr>
          <w:rtl/>
        </w:rPr>
        <w:t>אם עד שבשוק מעיד על חתימות עדי השטר, ומצאו לקיים כתב ידו של דיין - בענין זה מצטרפין לכולי עלמא, דאמאי דמסהיד סהדא מסהיד דיינא</w:t>
      </w:r>
      <w:r w:rsidRPr="001D49D4">
        <w:rPr>
          <w:sz w:val="16"/>
          <w:szCs w:val="16"/>
          <w:rtl/>
        </w:rPr>
        <w:t xml:space="preserve"> (ל' הריב"ש)</w:t>
      </w:r>
      <w:r w:rsidRPr="001D49D4">
        <w:rPr>
          <w:rtl/>
        </w:rPr>
        <w:t>.</w:t>
      </w:r>
      <w:r w:rsidRPr="001D49D4">
        <w:rPr>
          <w:color w:val="E36C0A" w:themeColor="accent6" w:themeShade="BF"/>
          <w:rtl/>
        </w:rPr>
        <w:t xml:space="preserve"> (וכ"פ בשו"ע)</w:t>
      </w:r>
    </w:p>
    <w:p w14:paraId="0BF54B54" w14:textId="77777777" w:rsidR="001D49D4" w:rsidRPr="001D49D4" w:rsidRDefault="001D49D4" w:rsidP="0004348D">
      <w:pPr>
        <w:spacing w:before="360" w:after="240"/>
        <w:ind w:left="360"/>
        <w:rPr>
          <w:rFonts w:ascii="Calibri" w:eastAsia="Calibri" w:hAnsi="Calibri" w:cs="Arial"/>
          <w:u w:val="dotted"/>
        </w:rPr>
      </w:pPr>
      <w:r w:rsidRPr="001D49D4">
        <w:rPr>
          <w:rFonts w:ascii="Calibri" w:eastAsia="Calibri" w:hAnsi="Calibri" w:cs="Arial"/>
          <w:u w:val="dotted"/>
          <w:rtl/>
        </w:rPr>
        <w:t xml:space="preserve">ומה הדין אם העד שבא מן השוק מעיד רק על עד אחד </w:t>
      </w:r>
      <w:r w:rsidRPr="001D49D4">
        <w:rPr>
          <w:rFonts w:ascii="Calibri" w:eastAsia="Calibri" w:hAnsi="Calibri" w:cs="Arial"/>
          <w:sz w:val="16"/>
          <w:szCs w:val="16"/>
          <w:u w:val="dotted"/>
          <w:rtl/>
        </w:rPr>
        <w:t>(והדיין מעיד על חתימתו כנ"ל, או ששני עדים מעידים על חתימתו)</w:t>
      </w:r>
      <w:r w:rsidRPr="001D49D4">
        <w:rPr>
          <w:rFonts w:ascii="Calibri" w:eastAsia="Calibri" w:hAnsi="Calibri" w:cs="Arial"/>
          <w:u w:val="dotted"/>
          <w:rtl/>
        </w:rPr>
        <w:t xml:space="preserve">: </w:t>
      </w:r>
    </w:p>
    <w:p w14:paraId="5C57858B" w14:textId="77777777" w:rsidR="001D49D4" w:rsidRPr="001D49D4" w:rsidRDefault="001D49D4" w:rsidP="0004348D">
      <w:pPr>
        <w:numPr>
          <w:ilvl w:val="0"/>
          <w:numId w:val="287"/>
        </w:numPr>
        <w:spacing w:before="360" w:after="240"/>
        <w:contextualSpacing/>
      </w:pPr>
      <w:r w:rsidRPr="001D49D4">
        <w:rPr>
          <w:rtl/>
        </w:rPr>
        <w:t xml:space="preserve">רא"ה </w:t>
      </w:r>
      <w:r w:rsidRPr="001D49D4">
        <w:rPr>
          <w:sz w:val="16"/>
          <w:szCs w:val="16"/>
          <w:rtl/>
        </w:rPr>
        <w:t xml:space="preserve">(שם) </w:t>
      </w:r>
      <w:r w:rsidRPr="001D49D4">
        <w:rPr>
          <w:rtl/>
        </w:rPr>
        <w:t xml:space="preserve">ור"ן </w:t>
      </w:r>
      <w:r w:rsidRPr="001D49D4">
        <w:rPr>
          <w:sz w:val="16"/>
          <w:szCs w:val="16"/>
          <w:rtl/>
        </w:rPr>
        <w:t>(שם)</w:t>
      </w:r>
      <w:r w:rsidRPr="001D49D4">
        <w:rPr>
          <w:rtl/>
        </w:rPr>
        <w:t>- וכן הדין כשאין הדיין מעיד על חתימתו אלא ששנים מן השוק מעידין על העד ועל הדיין, דהשתא כולה סהדותא חד הוא</w:t>
      </w:r>
      <w:r w:rsidRPr="001D49D4">
        <w:rPr>
          <w:vertAlign w:val="superscript"/>
          <w:rtl/>
        </w:rPr>
        <w:footnoteReference w:id="3823"/>
      </w:r>
      <w:r w:rsidRPr="001D49D4">
        <w:rPr>
          <w:sz w:val="16"/>
          <w:szCs w:val="16"/>
          <w:rtl/>
        </w:rPr>
        <w:t xml:space="preserve"> (ל' הר"ן בשם הרא"ה)</w:t>
      </w:r>
      <w:r w:rsidRPr="001D49D4">
        <w:rPr>
          <w:rtl/>
        </w:rPr>
        <w:t>.</w:t>
      </w:r>
    </w:p>
    <w:p w14:paraId="24AB0FE5" w14:textId="77777777" w:rsidR="001D49D4" w:rsidRPr="001D49D4" w:rsidRDefault="001D49D4" w:rsidP="0004348D">
      <w:pPr>
        <w:spacing w:before="360" w:after="240"/>
        <w:rPr>
          <w:rFonts w:ascii="Arial" w:eastAsia="Calibri" w:hAnsi="Arial" w:cs="Arial"/>
          <w:b/>
          <w:bCs/>
          <w:color w:val="000000"/>
          <w:sz w:val="28"/>
          <w:szCs w:val="28"/>
          <w:u w:val="single"/>
          <w:rtl/>
        </w:rPr>
      </w:pPr>
      <w:r w:rsidRPr="001D49D4">
        <w:rPr>
          <w:rFonts w:ascii="Arial" w:eastAsia="Calibri" w:hAnsi="Arial" w:cs="Arial"/>
          <w:b/>
          <w:bCs/>
          <w:color w:val="000000"/>
          <w:sz w:val="28"/>
          <w:szCs w:val="28"/>
          <w:u w:val="single"/>
          <w:rtl/>
        </w:rPr>
        <w:t>שו"ע:</w:t>
      </w:r>
    </w:p>
    <w:p w14:paraId="518D9B55"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rtl/>
        </w:rPr>
        <w:t>אם עד אחד מן השוק מעיד על חתימת עידי השטר</w:t>
      </w:r>
      <w:r w:rsidRPr="001D49D4">
        <w:rPr>
          <w:rFonts w:ascii="Calibri" w:eastAsia="Calibri" w:hAnsi="Calibri" w:cs="Arial"/>
          <w:vertAlign w:val="superscript"/>
          <w:rtl/>
        </w:rPr>
        <w:footnoteReference w:id="3824"/>
      </w:r>
      <w:r w:rsidRPr="001D49D4">
        <w:rPr>
          <w:rFonts w:ascii="Calibri" w:eastAsia="Calibri" w:hAnsi="Calibri" w:cs="Arial"/>
          <w:rtl/>
        </w:rPr>
        <w:t>, ודיין אחד מעיד על חתימתו</w:t>
      </w:r>
      <w:r w:rsidRPr="001D49D4">
        <w:rPr>
          <w:rFonts w:ascii="Calibri" w:eastAsia="Calibri" w:hAnsi="Calibri" w:cs="Arial"/>
          <w:vertAlign w:val="superscript"/>
          <w:rtl/>
        </w:rPr>
        <w:footnoteReference w:id="3825"/>
      </w:r>
      <w:r w:rsidRPr="001D49D4">
        <w:rPr>
          <w:rFonts w:ascii="Calibri" w:eastAsia="Calibri" w:hAnsi="Calibri" w:cs="Arial"/>
          <w:rtl/>
        </w:rPr>
        <w:t>, מצטרפים, דאמאי דמסהיד סהדא מסהיד דיינא</w:t>
      </w:r>
      <w:r w:rsidRPr="001D49D4">
        <w:rPr>
          <w:rFonts w:ascii="Calibri" w:eastAsia="Calibri" w:hAnsi="Calibri" w:cs="Arial"/>
          <w:vertAlign w:val="superscript"/>
          <w:rtl/>
        </w:rPr>
        <w:footnoteReference w:id="3826"/>
      </w:r>
      <w:r w:rsidRPr="001D49D4">
        <w:rPr>
          <w:rFonts w:ascii="Calibri" w:eastAsia="Calibri" w:hAnsi="Calibri" w:cs="Arial"/>
          <w:rtl/>
        </w:rPr>
        <w:t xml:space="preserve">. וכן הדין כשאין הדיין מעיד על חתימתו, אלא ששנים מן השוק מעידים על הדיין, דהשתא כולה סהדותא חד הוא. </w:t>
      </w:r>
    </w:p>
    <w:p w14:paraId="408CEF3C" w14:textId="77777777" w:rsidR="001D49D4" w:rsidRPr="001D49D4" w:rsidRDefault="001D49D4" w:rsidP="0004348D">
      <w:pPr>
        <w:spacing w:before="360" w:after="240"/>
        <w:rPr>
          <w:rFonts w:ascii="Calibri" w:eastAsia="Calibri" w:hAnsi="Calibri" w:cs="Arial"/>
          <w:rtl/>
        </w:rPr>
      </w:pPr>
    </w:p>
    <w:p w14:paraId="79C2A517" w14:textId="77777777" w:rsidR="001D49D4" w:rsidRPr="001D49D4" w:rsidRDefault="001D49D4" w:rsidP="0004348D">
      <w:pPr>
        <w:keepNext/>
        <w:keepLines/>
        <w:spacing w:before="360" w:after="240"/>
        <w:outlineLvl w:val="1"/>
        <w:rPr>
          <w:rFonts w:ascii="Cambria" w:eastAsia="Times New Roman" w:hAnsi="Cambria" w:cs="Arial"/>
          <w:bCs/>
          <w:color w:val="548DD4" w:themeColor="text2" w:themeTint="99"/>
          <w:sz w:val="26"/>
          <w:szCs w:val="26"/>
          <w:rtl/>
        </w:rPr>
      </w:pPr>
      <w:bookmarkStart w:id="518" w:name="_Toc24883951"/>
      <w:r w:rsidRPr="001D49D4">
        <w:rPr>
          <w:rFonts w:ascii="Cambria" w:eastAsia="Times New Roman" w:hAnsi="Cambria" w:cs="Arial"/>
          <w:bCs/>
          <w:color w:val="548DD4" w:themeColor="text2" w:themeTint="99"/>
          <w:sz w:val="26"/>
          <w:szCs w:val="26"/>
          <w:rtl/>
        </w:rPr>
        <w:t>סעיף יז: עדי קיום שקרובים לעדי השטר.</w:t>
      </w:r>
      <w:bookmarkEnd w:id="518"/>
    </w:p>
    <w:p w14:paraId="3B444A75"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b/>
          <w:bCs/>
          <w:rtl/>
        </w:rPr>
        <w:t xml:space="preserve">ירושלמי </w:t>
      </w:r>
      <w:r w:rsidRPr="001D49D4">
        <w:rPr>
          <w:rFonts w:ascii="Calibri" w:eastAsia="Calibri" w:hAnsi="Calibri" w:cs="Arial"/>
          <w:b/>
          <w:bCs/>
          <w:sz w:val="16"/>
          <w:szCs w:val="16"/>
          <w:rtl/>
        </w:rPr>
        <w:t xml:space="preserve">(וילנא) </w:t>
      </w:r>
      <w:r w:rsidRPr="001D49D4">
        <w:rPr>
          <w:rFonts w:ascii="Calibri" w:eastAsia="Calibri" w:hAnsi="Calibri" w:cs="Arial"/>
          <w:b/>
          <w:bCs/>
          <w:rtl/>
        </w:rPr>
        <w:t>כתובות פ"ב ה"י:</w:t>
      </w:r>
      <w:r w:rsidRPr="001D49D4">
        <w:rPr>
          <w:rFonts w:ascii="Calibri" w:eastAsia="Calibri" w:hAnsi="Calibri" w:cs="Arial"/>
          <w:rtl/>
        </w:rPr>
        <w:t xml:space="preserve"> </w:t>
      </w:r>
      <w:r w:rsidRPr="001D49D4">
        <w:rPr>
          <w:rFonts w:ascii="Calibri" w:eastAsia="Calibri" w:hAnsi="Calibri" w:cs="Arial"/>
          <w:u w:val="double"/>
          <w:rtl/>
        </w:rPr>
        <w:t>מתני'</w:t>
      </w:r>
      <w:r w:rsidRPr="001D49D4">
        <w:rPr>
          <w:rFonts w:ascii="Calibri" w:eastAsia="Calibri" w:hAnsi="Calibri" w:cs="Arial"/>
          <w:rtl/>
        </w:rPr>
        <w:t xml:space="preserve">: ואילו נאמנין להעיד בגודלן מה שראו בקוטנן נאמן אדם לומר זה כתב ידו של אבא וזה כתב ידו של רבי וזה כתב ידו של אחי...     </w:t>
      </w:r>
      <w:r w:rsidRPr="001D49D4">
        <w:rPr>
          <w:rFonts w:ascii="Calibri" w:eastAsia="Calibri" w:hAnsi="Calibri" w:cs="Arial"/>
          <w:u w:val="double"/>
          <w:rtl/>
        </w:rPr>
        <w:t>גמ'</w:t>
      </w:r>
      <w:r w:rsidRPr="001D49D4">
        <w:rPr>
          <w:rFonts w:ascii="Calibri" w:eastAsia="Calibri" w:hAnsi="Calibri" w:cs="Arial"/>
          <w:rtl/>
        </w:rPr>
        <w:t>: תני ובלבד דברים שהן רגילין בהן. תני ובלבד שיצטרף עם אחרים.</w:t>
      </w:r>
    </w:p>
    <w:p w14:paraId="45E941F2" w14:textId="77777777" w:rsidR="001D49D4" w:rsidRPr="001D49D4" w:rsidRDefault="001D49D4" w:rsidP="0004348D">
      <w:pPr>
        <w:spacing w:before="360" w:after="240"/>
        <w:rPr>
          <w:rFonts w:ascii="Calibri" w:eastAsia="Calibri" w:hAnsi="Calibri" w:cs="Arial"/>
          <w:sz w:val="16"/>
          <w:szCs w:val="16"/>
          <w:rtl/>
        </w:rPr>
      </w:pPr>
      <w:r w:rsidRPr="001D49D4">
        <w:rPr>
          <w:rFonts w:ascii="Calibri" w:eastAsia="Calibri" w:hAnsi="Calibri" w:cs="Arial"/>
          <w:b/>
          <w:bCs/>
          <w:rtl/>
        </w:rPr>
        <w:t>כתובות</w:t>
      </w:r>
      <w:r w:rsidRPr="001D49D4">
        <w:rPr>
          <w:rFonts w:ascii="Calibri" w:eastAsia="Calibri" w:hAnsi="Calibri" w:cs="Arial"/>
          <w:b/>
          <w:bCs/>
          <w:sz w:val="16"/>
          <w:szCs w:val="16"/>
          <w:rtl/>
        </w:rPr>
        <w:t xml:space="preserve"> (פ"ב) </w:t>
      </w:r>
      <w:r w:rsidRPr="001D49D4">
        <w:rPr>
          <w:rFonts w:ascii="Calibri" w:eastAsia="Calibri" w:hAnsi="Calibri" w:cs="Arial"/>
          <w:b/>
          <w:bCs/>
          <w:rtl/>
        </w:rPr>
        <w:t>כח</w:t>
      </w:r>
      <w:r w:rsidRPr="001D49D4">
        <w:rPr>
          <w:rFonts w:ascii="Calibri" w:eastAsia="Calibri" w:hAnsi="Calibri" w:cs="Arial"/>
          <w:b/>
          <w:bCs/>
          <w:vertAlign w:val="superscript"/>
          <w:rtl/>
        </w:rPr>
        <w:footnoteReference w:id="3827"/>
      </w:r>
      <w:r w:rsidRPr="001D49D4">
        <w:rPr>
          <w:rFonts w:ascii="Calibri" w:eastAsia="Calibri" w:hAnsi="Calibri" w:cs="Arial"/>
          <w:b/>
          <w:bCs/>
          <w:rtl/>
        </w:rPr>
        <w:t xml:space="preserve"> ע"א:</w:t>
      </w:r>
      <w:r w:rsidRPr="001D49D4">
        <w:rPr>
          <w:rFonts w:ascii="Calibri" w:eastAsia="Calibri" w:hAnsi="Calibri" w:cs="Arial"/>
          <w:rtl/>
        </w:rPr>
        <w:t xml:space="preserve"> </w:t>
      </w:r>
      <w:r w:rsidRPr="001D49D4">
        <w:rPr>
          <w:rFonts w:ascii="Calibri" w:eastAsia="Calibri" w:hAnsi="Calibri" w:cs="Arial"/>
          <w:u w:val="double"/>
          <w:rtl/>
        </w:rPr>
        <w:t>מתני'</w:t>
      </w:r>
      <w:r w:rsidRPr="001D49D4">
        <w:rPr>
          <w:rFonts w:ascii="Calibri" w:eastAsia="Calibri" w:hAnsi="Calibri" w:cs="Arial"/>
          <w:rtl/>
        </w:rPr>
        <w:t xml:space="preserve">: ואלו נאמנין להעיד בגודלן מה שראו בקוטנן: נאמן אדם לומר זה כתב ידו של אבא וזה כתב ידו של רבי וזה כתב ידו של אחי...      </w:t>
      </w:r>
      <w:r w:rsidRPr="001D49D4">
        <w:rPr>
          <w:rFonts w:ascii="Calibri" w:eastAsia="Calibri" w:hAnsi="Calibri" w:cs="Arial"/>
          <w:u w:val="double"/>
          <w:rtl/>
        </w:rPr>
        <w:t>גמ'</w:t>
      </w:r>
      <w:r w:rsidRPr="001D49D4">
        <w:rPr>
          <w:rFonts w:ascii="Calibri" w:eastAsia="Calibri" w:hAnsi="Calibri" w:cs="Arial"/>
          <w:rtl/>
        </w:rPr>
        <w:t xml:space="preserve">: </w:t>
      </w:r>
      <w:r w:rsidRPr="001D49D4">
        <w:rPr>
          <w:rFonts w:ascii="Calibri" w:eastAsia="Calibri" w:hAnsi="Calibri" w:cs="Arial"/>
          <w:u w:val="single"/>
          <w:rtl/>
        </w:rPr>
        <w:t>אמר רב הונא בריה דרב יהושע</w:t>
      </w:r>
      <w:r w:rsidRPr="001D49D4">
        <w:rPr>
          <w:rFonts w:ascii="Calibri" w:eastAsia="Calibri" w:hAnsi="Calibri" w:cs="Arial"/>
          <w:rtl/>
        </w:rPr>
        <w:t>: והוא, שיש גדול עמו</w:t>
      </w:r>
      <w:r w:rsidRPr="001D49D4">
        <w:rPr>
          <w:rFonts w:ascii="Calibri" w:eastAsia="Calibri" w:hAnsi="Calibri" w:cs="Arial"/>
          <w:vertAlign w:val="superscript"/>
          <w:rtl/>
        </w:rPr>
        <w:footnoteReference w:id="3828"/>
      </w:r>
      <w:r w:rsidRPr="001D49D4">
        <w:rPr>
          <w:rFonts w:ascii="Calibri" w:eastAsia="Calibri" w:hAnsi="Calibri" w:cs="Arial"/>
          <w:rtl/>
        </w:rPr>
        <w:t>. וצריכא, דאי אשמעינן אביו, משום דשכיח גביה, אבל רבו לא. ואי אשמעינן רבו, משום דאית ליה אימתיה דרביה, אבל אביו לא. ואי אשמעינן הני תרתי, אביו - דשכיח גביה, ורבו - דאית ליה אימתיה, אבל אחיו דלית ליה לא הא ולא הא - אימא לא, קמ"ל: כיון דקיום שטרות מדרבנן</w:t>
      </w:r>
      <w:r w:rsidRPr="001D49D4">
        <w:rPr>
          <w:rFonts w:ascii="Calibri" w:eastAsia="Calibri" w:hAnsi="Calibri" w:cs="Arial"/>
          <w:vertAlign w:val="superscript"/>
          <w:rtl/>
        </w:rPr>
        <w:footnoteReference w:id="3829"/>
      </w:r>
      <w:r w:rsidRPr="001D49D4">
        <w:rPr>
          <w:rFonts w:ascii="Calibri" w:eastAsia="Calibri" w:hAnsi="Calibri" w:cs="Arial"/>
          <w:rtl/>
        </w:rPr>
        <w:t>, הימנוהו רבנן בדרבנן</w:t>
      </w:r>
      <w:r w:rsidRPr="001D49D4">
        <w:rPr>
          <w:rFonts w:ascii="Calibri" w:eastAsia="Calibri" w:hAnsi="Calibri" w:cs="Arial"/>
          <w:vertAlign w:val="superscript"/>
          <w:rtl/>
        </w:rPr>
        <w:footnoteReference w:id="3830"/>
      </w:r>
      <w:r w:rsidRPr="001D49D4">
        <w:rPr>
          <w:rFonts w:ascii="Calibri" w:eastAsia="Calibri" w:hAnsi="Calibri" w:cs="Arial"/>
          <w:rtl/>
        </w:rPr>
        <w:t xml:space="preserve">. </w:t>
      </w:r>
      <w:r w:rsidRPr="001D49D4">
        <w:rPr>
          <w:rFonts w:ascii="Calibri" w:eastAsia="Calibri" w:hAnsi="Calibri" w:cs="Arial"/>
          <w:sz w:val="16"/>
          <w:szCs w:val="16"/>
          <w:rtl/>
        </w:rPr>
        <w:t>(וכתב הר"ן (יב: ד"ה דכיון) ומיהו כי איצטריך להאי טעמא היינו משום פסול קטנות אבל משום פסול קורבא לא, והכי מוכח בגמרא דאמרינן ואי אשמועינן רביה משום דאית ליה אימתא וכו', ולא אמרינן מפני שהוא רחוק, הילכך האי גדול דבעינן בהדיה אע"פ שהוא קרוב נאמן, דעדי קיום אע"פ שהם קרובים לעדי השטר כשרים)</w:t>
      </w:r>
    </w:p>
    <w:p w14:paraId="2093B9C8" w14:textId="77777777" w:rsidR="001D49D4" w:rsidRPr="001D49D4" w:rsidRDefault="001D49D4" w:rsidP="0004348D">
      <w:pPr>
        <w:spacing w:before="360" w:after="240"/>
        <w:rPr>
          <w:rFonts w:ascii="Calibri" w:eastAsia="Calibri" w:hAnsi="Calibri" w:cs="Arial"/>
          <w:u w:val="single"/>
          <w:rtl/>
        </w:rPr>
      </w:pPr>
      <w:r w:rsidRPr="001D49D4">
        <w:rPr>
          <w:rFonts w:ascii="Calibri" w:eastAsia="Calibri" w:hAnsi="Calibri" w:cs="Arial"/>
          <w:u w:val="single"/>
          <w:rtl/>
        </w:rPr>
        <w:t>עדי קיום שקרובים לעדי השטר:</w:t>
      </w:r>
    </w:p>
    <w:p w14:paraId="5E4AF177" w14:textId="77777777" w:rsidR="001D49D4" w:rsidRPr="001D49D4" w:rsidRDefault="001D49D4" w:rsidP="0004348D">
      <w:pPr>
        <w:numPr>
          <w:ilvl w:val="0"/>
          <w:numId w:val="288"/>
        </w:numPr>
        <w:spacing w:before="360" w:after="240"/>
        <w:contextualSpacing/>
        <w:rPr>
          <w:rtl/>
        </w:rPr>
      </w:pPr>
      <w:r w:rsidRPr="001D49D4">
        <w:rPr>
          <w:rtl/>
        </w:rPr>
        <w:t>טור- עדות זו שמעידין על חתימת ידי העדים לקיים השטר א"צ עדות גמורה, שהקילו חכמים בקיום שטרות, לפיכך אפילו קרוב כשר לכך. כיצד, שטר שעדיו ראובן ושמעון, ובא בנו של ראובן ואמר זה כתב ידו של אבי, ובא בנו של שמעון ואמר זה כתב ידו של אבי - הרי זה שני עדים, ואם יבא להם שלישי שמעיד על שני החתימות מקיימין על פיהם. ולא עוד אלא אפילו מת האב בעוד הבן קטן יכול להעיד על חתימת אביו אחר שיגדיל להצטרף עם אחר כשר. וכן יכול להעיד על כתב יד אחיו או על כתב יד רבו שהכיר בקטנותו.</w:t>
      </w:r>
      <w:r w:rsidRPr="001D49D4">
        <w:rPr>
          <w:color w:val="E36C0A" w:themeColor="accent6" w:themeShade="BF"/>
          <w:rtl/>
        </w:rPr>
        <w:t xml:space="preserve"> (וכ"פ בשו"ע)</w:t>
      </w:r>
    </w:p>
    <w:p w14:paraId="7C1E4AD4" w14:textId="77777777" w:rsidR="001D49D4" w:rsidRPr="001D49D4" w:rsidRDefault="001D49D4" w:rsidP="0004348D">
      <w:pPr>
        <w:spacing w:before="360" w:after="240"/>
        <w:ind w:left="360"/>
        <w:rPr>
          <w:rFonts w:ascii="Calibri" w:eastAsia="Calibri" w:hAnsi="Calibri" w:cs="Arial"/>
          <w:u w:val="dotted"/>
        </w:rPr>
      </w:pPr>
      <w:r w:rsidRPr="001D49D4">
        <w:rPr>
          <w:rFonts w:ascii="Calibri" w:eastAsia="Calibri" w:hAnsi="Calibri" w:cs="Arial"/>
          <w:u w:val="dotted"/>
          <w:rtl/>
        </w:rPr>
        <w:t>הא דיכול להעיד בגדלו שהכיר את הכתב בקטנותו – הוא דוקא שרגיל עם אותו אדם שחתם או לא:</w:t>
      </w:r>
    </w:p>
    <w:p w14:paraId="312996BC" w14:textId="77777777" w:rsidR="001D49D4" w:rsidRPr="001D49D4" w:rsidRDefault="001D49D4" w:rsidP="0004348D">
      <w:pPr>
        <w:numPr>
          <w:ilvl w:val="0"/>
          <w:numId w:val="288"/>
        </w:numPr>
        <w:spacing w:before="360" w:after="240"/>
        <w:contextualSpacing/>
      </w:pPr>
      <w:r w:rsidRPr="001D49D4">
        <w:rPr>
          <w:rtl/>
        </w:rPr>
        <w:t xml:space="preserve"> </w:t>
      </w:r>
      <w:r w:rsidRPr="001D49D4">
        <w:rPr>
          <w:rFonts w:hint="cs"/>
          <w:rtl/>
        </w:rPr>
        <w:t xml:space="preserve">רא"ש </w:t>
      </w:r>
      <w:r w:rsidRPr="001D49D4">
        <w:rPr>
          <w:sz w:val="16"/>
          <w:szCs w:val="16"/>
          <w:rtl/>
        </w:rPr>
        <w:t>(סי' לד)</w:t>
      </w:r>
      <w:r w:rsidRPr="001D49D4">
        <w:rPr>
          <w:rtl/>
        </w:rPr>
        <w:t xml:space="preserve"> וטור</w:t>
      </w:r>
      <w:r w:rsidRPr="001D49D4">
        <w:rPr>
          <w:sz w:val="16"/>
          <w:szCs w:val="16"/>
          <w:rtl/>
        </w:rPr>
        <w:t xml:space="preserve"> (כאן, ובסי' לה ס"ז)</w:t>
      </w:r>
      <w:r w:rsidRPr="001D49D4">
        <w:rPr>
          <w:rtl/>
        </w:rPr>
        <w:t>- דוקא אלו שרגיל עמהן, אבל על כתב יד אחר אינו נאמן להעיד בגדלו שהכיר אותו בקטנותו</w:t>
      </w:r>
      <w:r w:rsidRPr="001D49D4">
        <w:rPr>
          <w:vertAlign w:val="superscript"/>
          <w:rtl/>
        </w:rPr>
        <w:footnoteReference w:id="3831"/>
      </w:r>
      <w:r w:rsidRPr="001D49D4">
        <w:rPr>
          <w:rtl/>
        </w:rPr>
        <w:t>.</w:t>
      </w:r>
    </w:p>
    <w:p w14:paraId="23887D8B" w14:textId="77777777" w:rsidR="001D49D4" w:rsidRPr="001D49D4" w:rsidRDefault="001D49D4" w:rsidP="0004348D">
      <w:pPr>
        <w:numPr>
          <w:ilvl w:val="0"/>
          <w:numId w:val="288"/>
        </w:numPr>
        <w:spacing w:before="360" w:after="240"/>
        <w:contextualSpacing/>
      </w:pPr>
      <w:r w:rsidRPr="001D49D4">
        <w:rPr>
          <w:rtl/>
        </w:rPr>
        <w:t xml:space="preserve">ריטב"א </w:t>
      </w:r>
      <w:r w:rsidRPr="001D49D4">
        <w:rPr>
          <w:sz w:val="16"/>
          <w:szCs w:val="16"/>
          <w:rtl/>
        </w:rPr>
        <w:t>(פ"ב דכתובות כח. ד"ה אמר רב הונא, הביאו הש"ך [סקמ"ח])</w:t>
      </w:r>
      <w:r w:rsidRPr="001D49D4">
        <w:rPr>
          <w:rtl/>
        </w:rPr>
        <w:t>- ומסתברא כיון דקתני אחיו דלית ליה לא הא ולא הא, ה"ה לאדם רחוק דעלמא דמאי שנא, ותנא דמתניתין נקט הנהו דמסתמא שכיחא גבייהו וידעי כתבא דידהו.</w:t>
      </w:r>
      <w:r w:rsidRPr="001D49D4">
        <w:rPr>
          <w:color w:val="E36C0A" w:themeColor="accent6" w:themeShade="BF"/>
          <w:rtl/>
        </w:rPr>
        <w:t xml:space="preserve"> (וכ"ס בשו"ע)</w:t>
      </w:r>
    </w:p>
    <w:p w14:paraId="46450FC4" w14:textId="77777777" w:rsidR="001D49D4" w:rsidRPr="001D49D4" w:rsidRDefault="001D49D4" w:rsidP="0004348D">
      <w:pPr>
        <w:spacing w:before="360" w:after="240"/>
        <w:rPr>
          <w:rFonts w:ascii="Arial" w:eastAsia="Calibri" w:hAnsi="Arial" w:cs="Arial"/>
          <w:b/>
          <w:bCs/>
          <w:color w:val="000000"/>
          <w:sz w:val="28"/>
          <w:szCs w:val="28"/>
          <w:u w:val="single"/>
          <w:rtl/>
        </w:rPr>
      </w:pPr>
      <w:r w:rsidRPr="001D49D4">
        <w:rPr>
          <w:rFonts w:ascii="Arial" w:eastAsia="Calibri" w:hAnsi="Arial" w:cs="Arial"/>
          <w:b/>
          <w:bCs/>
          <w:color w:val="000000"/>
          <w:sz w:val="28"/>
          <w:szCs w:val="28"/>
          <w:u w:val="single"/>
          <w:rtl/>
        </w:rPr>
        <w:t>שו"ע:</w:t>
      </w:r>
    </w:p>
    <w:p w14:paraId="627ABCF9"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rtl/>
        </w:rPr>
        <w:t>עידי הקיום יכולים להיות קרובים לעידי השטר</w:t>
      </w:r>
      <w:r w:rsidRPr="001D49D4">
        <w:rPr>
          <w:rFonts w:ascii="Calibri" w:eastAsia="Calibri" w:hAnsi="Calibri" w:cs="Arial"/>
          <w:vertAlign w:val="superscript"/>
          <w:rtl/>
        </w:rPr>
        <w:footnoteReference w:id="3832"/>
      </w:r>
      <w:r w:rsidRPr="001D49D4">
        <w:rPr>
          <w:rFonts w:ascii="Calibri" w:eastAsia="Calibri" w:hAnsi="Calibri" w:cs="Arial"/>
          <w:rtl/>
        </w:rPr>
        <w:t>. ולא עוד אלא אפילו מת האב החתום בעוד הבן קטן, יכול להעיד על חתימת אביו אחר שיגדיל, להצטרף עם אחר</w:t>
      </w:r>
      <w:r w:rsidRPr="001D49D4">
        <w:rPr>
          <w:rFonts w:ascii="Calibri" w:eastAsia="Calibri" w:hAnsi="Calibri" w:cs="Arial"/>
          <w:vertAlign w:val="superscript"/>
          <w:rtl/>
        </w:rPr>
        <w:footnoteReference w:id="3833"/>
      </w:r>
      <w:r w:rsidRPr="001D49D4">
        <w:rPr>
          <w:rFonts w:ascii="Calibri" w:eastAsia="Calibri" w:hAnsi="Calibri" w:cs="Arial"/>
          <w:rtl/>
        </w:rPr>
        <w:t xml:space="preserve"> כשר. וכן יכול להעיד על כתב יד אחיו או על כתב יד רבו שראה בקטנותו. ויש אומרים</w:t>
      </w:r>
      <w:r w:rsidRPr="001D49D4">
        <w:rPr>
          <w:rFonts w:ascii="Calibri" w:eastAsia="Calibri" w:hAnsi="Calibri" w:cs="Arial"/>
          <w:vertAlign w:val="superscript"/>
          <w:rtl/>
        </w:rPr>
        <w:footnoteReference w:id="3834"/>
      </w:r>
      <w:r w:rsidRPr="001D49D4">
        <w:rPr>
          <w:rFonts w:ascii="Calibri" w:eastAsia="Calibri" w:hAnsi="Calibri" w:cs="Arial"/>
          <w:rtl/>
        </w:rPr>
        <w:t xml:space="preserve"> דדוקא אלו שרגיל עמהם, אבל על כתב יד אחר אינו נאמן להעיד בגדלו שהכיר אותו בקטנותו. </w:t>
      </w:r>
    </w:p>
    <w:p w14:paraId="19B09671" w14:textId="77777777" w:rsidR="001D49D4" w:rsidRPr="001D49D4" w:rsidRDefault="001D49D4" w:rsidP="0004348D">
      <w:pPr>
        <w:spacing w:before="360" w:after="240"/>
        <w:rPr>
          <w:rFonts w:ascii="Calibri" w:eastAsia="Calibri" w:hAnsi="Calibri" w:cs="Arial"/>
          <w:rtl/>
        </w:rPr>
      </w:pPr>
    </w:p>
    <w:p w14:paraId="26883BCD" w14:textId="77777777" w:rsidR="001D49D4" w:rsidRPr="001D49D4" w:rsidRDefault="001D49D4" w:rsidP="0004348D">
      <w:pPr>
        <w:keepNext/>
        <w:keepLines/>
        <w:spacing w:before="360" w:after="240"/>
        <w:outlineLvl w:val="1"/>
        <w:rPr>
          <w:rFonts w:ascii="Cambria" w:eastAsia="Times New Roman" w:hAnsi="Cambria" w:cs="Arial"/>
          <w:bCs/>
          <w:color w:val="548DD4" w:themeColor="text2" w:themeTint="99"/>
          <w:sz w:val="26"/>
          <w:szCs w:val="26"/>
          <w:rtl/>
        </w:rPr>
      </w:pPr>
      <w:bookmarkStart w:id="519" w:name="_Toc24883952"/>
      <w:r w:rsidRPr="001D49D4">
        <w:rPr>
          <w:rFonts w:ascii="Cambria" w:eastAsia="Times New Roman" w:hAnsi="Cambria" w:cs="Arial"/>
          <w:bCs/>
          <w:color w:val="548DD4" w:themeColor="text2" w:themeTint="99"/>
          <w:sz w:val="26"/>
          <w:szCs w:val="26"/>
          <w:rtl/>
        </w:rPr>
        <w:t>סעיף יח: עד קיום שקרוב לדיין קיום.</w:t>
      </w:r>
      <w:bookmarkEnd w:id="519"/>
    </w:p>
    <w:p w14:paraId="536AFDA4" w14:textId="77777777" w:rsidR="001D49D4" w:rsidRPr="001D49D4" w:rsidRDefault="001D49D4" w:rsidP="0004348D">
      <w:pPr>
        <w:spacing w:before="360" w:after="240"/>
        <w:rPr>
          <w:rFonts w:ascii="Calibri" w:eastAsia="Calibri" w:hAnsi="Calibri" w:cs="Arial"/>
          <w:u w:val="single"/>
          <w:rtl/>
        </w:rPr>
      </w:pPr>
      <w:r w:rsidRPr="001D49D4">
        <w:rPr>
          <w:rFonts w:ascii="Calibri" w:eastAsia="Calibri" w:hAnsi="Calibri" w:cs="Arial"/>
          <w:u w:val="single"/>
          <w:rtl/>
        </w:rPr>
        <w:t xml:space="preserve">עדי קיום הקרובים לדייני הקיום: </w:t>
      </w:r>
    </w:p>
    <w:p w14:paraId="4A915212" w14:textId="77777777" w:rsidR="001D49D4" w:rsidRPr="001D49D4" w:rsidRDefault="001D49D4" w:rsidP="0004348D">
      <w:pPr>
        <w:numPr>
          <w:ilvl w:val="0"/>
          <w:numId w:val="287"/>
        </w:numPr>
        <w:spacing w:before="360" w:after="240"/>
        <w:contextualSpacing/>
        <w:rPr>
          <w:rtl/>
        </w:rPr>
      </w:pPr>
      <w:r w:rsidRPr="001D49D4">
        <w:rPr>
          <w:rtl/>
        </w:rPr>
        <w:t xml:space="preserve">רא"ש </w:t>
      </w:r>
      <w:r w:rsidRPr="001D49D4">
        <w:rPr>
          <w:sz w:val="16"/>
          <w:szCs w:val="16"/>
          <w:rtl/>
        </w:rPr>
        <w:t>(כתובות פ"ב סי' יח)</w:t>
      </w:r>
      <w:r w:rsidRPr="001D49D4">
        <w:rPr>
          <w:rtl/>
        </w:rPr>
        <w:t xml:space="preserve"> וטור</w:t>
      </w:r>
      <w:r w:rsidRPr="001D49D4">
        <w:rPr>
          <w:vertAlign w:val="superscript"/>
          <w:rtl/>
        </w:rPr>
        <w:footnoteReference w:id="3835"/>
      </w:r>
      <w:r w:rsidRPr="001D49D4">
        <w:rPr>
          <w:rtl/>
        </w:rPr>
        <w:t xml:space="preserve">- כיון שאין השטר מתקיים ע"פ עד אחד ודיין אחד אין אנו חוששין אם הדיינין קרובים לעדים, ואע"פ דגרסינן בירושלמי בפרק שבועת העדות </w:t>
      </w:r>
      <w:r w:rsidRPr="001D49D4">
        <w:rPr>
          <w:sz w:val="16"/>
          <w:szCs w:val="16"/>
          <w:rtl/>
        </w:rPr>
        <w:t xml:space="preserve">(שבועות פ"ד ה"א) </w:t>
      </w:r>
      <w:r w:rsidRPr="001D49D4">
        <w:rPr>
          <w:rtl/>
        </w:rPr>
        <w:t xml:space="preserve">שלא יהיו העדים קרובים לדיינין היינו בעדים המעידין לפני הדיינין לפי שלא יקבלו עליהן הזמה וטעמא דהזמה לא שייך הכא </w:t>
      </w:r>
      <w:r w:rsidRPr="001D49D4">
        <w:rPr>
          <w:sz w:val="16"/>
          <w:szCs w:val="16"/>
          <w:rtl/>
        </w:rPr>
        <w:t>(ל' הרא"ש)</w:t>
      </w:r>
      <w:r w:rsidRPr="001D49D4">
        <w:rPr>
          <w:rtl/>
        </w:rPr>
        <w:t xml:space="preserve">. </w:t>
      </w:r>
    </w:p>
    <w:p w14:paraId="4406600B" w14:textId="77777777" w:rsidR="001D49D4" w:rsidRPr="001D49D4" w:rsidRDefault="001D49D4" w:rsidP="0004348D">
      <w:pPr>
        <w:numPr>
          <w:ilvl w:val="0"/>
          <w:numId w:val="287"/>
        </w:numPr>
        <w:spacing w:before="360" w:after="240"/>
        <w:contextualSpacing/>
        <w:rPr>
          <w:rtl/>
        </w:rPr>
      </w:pPr>
      <w:r w:rsidRPr="001D49D4">
        <w:rPr>
          <w:rtl/>
        </w:rPr>
        <w:t xml:space="preserve">בהעי"ט </w:t>
      </w:r>
      <w:r w:rsidRPr="001D49D4">
        <w:rPr>
          <w:sz w:val="16"/>
          <w:szCs w:val="16"/>
          <w:rtl/>
        </w:rPr>
        <w:t>(אות ק קבלת העדות סא ע"ד)</w:t>
      </w:r>
      <w:r w:rsidRPr="001D49D4">
        <w:rPr>
          <w:rtl/>
        </w:rPr>
        <w:t xml:space="preserve"> ור"ן </w:t>
      </w:r>
      <w:r w:rsidRPr="001D49D4">
        <w:rPr>
          <w:sz w:val="16"/>
          <w:szCs w:val="16"/>
          <w:rtl/>
        </w:rPr>
        <w:t>(ספ"ב דכתובות יב: ד"ה דכיון)</w:t>
      </w:r>
      <w:r w:rsidRPr="001D49D4">
        <w:rPr>
          <w:rtl/>
        </w:rPr>
        <w:t xml:space="preserve">- כיון שהעד הקרוב לדיין פסול מסתברא דבקיום שטרות נמי צריך שלא יהו עדי קיום קרובים לדייני קיום </w:t>
      </w:r>
      <w:r w:rsidRPr="001D49D4">
        <w:rPr>
          <w:sz w:val="16"/>
          <w:szCs w:val="16"/>
          <w:rtl/>
        </w:rPr>
        <w:t>(ל' הר"ן)</w:t>
      </w:r>
      <w:r w:rsidRPr="001D49D4">
        <w:rPr>
          <w:vertAlign w:val="superscript"/>
          <w:rtl/>
        </w:rPr>
        <w:footnoteReference w:id="3836"/>
      </w:r>
      <w:r w:rsidRPr="001D49D4">
        <w:rPr>
          <w:rtl/>
        </w:rPr>
        <w:t xml:space="preserve">. </w:t>
      </w:r>
      <w:r w:rsidRPr="001D49D4">
        <w:rPr>
          <w:color w:val="E36C0A" w:themeColor="accent6" w:themeShade="BF"/>
          <w:rtl/>
        </w:rPr>
        <w:t>(וכ"ס בשו"ע)</w:t>
      </w:r>
    </w:p>
    <w:p w14:paraId="439F683A" w14:textId="77777777" w:rsidR="001D49D4" w:rsidRPr="001D49D4" w:rsidRDefault="001D49D4" w:rsidP="0004348D">
      <w:pPr>
        <w:numPr>
          <w:ilvl w:val="0"/>
          <w:numId w:val="287"/>
        </w:numPr>
        <w:spacing w:before="360" w:after="240"/>
        <w:contextualSpacing/>
      </w:pPr>
      <w:r w:rsidRPr="001D49D4">
        <w:rPr>
          <w:rtl/>
        </w:rPr>
        <w:t xml:space="preserve">רשב"א </w:t>
      </w:r>
      <w:r w:rsidRPr="001D49D4">
        <w:rPr>
          <w:sz w:val="16"/>
          <w:szCs w:val="16"/>
          <w:rtl/>
        </w:rPr>
        <w:t>(ח"א סימן תתקסט, ובמיוחסות סי' קיב האריך בדבר)</w:t>
      </w:r>
      <w:r w:rsidRPr="001D49D4">
        <w:rPr>
          <w:rtl/>
        </w:rPr>
        <w:t xml:space="preserve">- דעתי נוטה להלכה אבל לא למעשה דעדי קיום הקרובים לדייני קיום כשרים. </w:t>
      </w:r>
    </w:p>
    <w:p w14:paraId="556E57EE" w14:textId="77777777" w:rsidR="001D49D4" w:rsidRPr="001D49D4" w:rsidRDefault="001D49D4" w:rsidP="0004348D">
      <w:pPr>
        <w:spacing w:before="360" w:after="240"/>
        <w:rPr>
          <w:rFonts w:ascii="Calibri" w:eastAsia="Calibri" w:hAnsi="Calibri" w:cs="Arial"/>
        </w:rPr>
      </w:pPr>
      <w:r w:rsidRPr="001D49D4">
        <w:rPr>
          <w:rFonts w:ascii="Calibri" w:eastAsia="Calibri" w:hAnsi="Calibri" w:cs="Arial"/>
          <w:u w:val="single"/>
          <w:rtl/>
        </w:rPr>
        <w:t>עדי קיום הקרובים זה לזה:</w:t>
      </w:r>
    </w:p>
    <w:p w14:paraId="05301DA8" w14:textId="77777777" w:rsidR="001D49D4" w:rsidRPr="001D49D4" w:rsidRDefault="001D49D4" w:rsidP="0004348D">
      <w:pPr>
        <w:numPr>
          <w:ilvl w:val="0"/>
          <w:numId w:val="287"/>
        </w:numPr>
        <w:spacing w:before="360" w:after="240"/>
        <w:contextualSpacing/>
      </w:pPr>
      <w:r w:rsidRPr="001D49D4">
        <w:rPr>
          <w:rtl/>
        </w:rPr>
        <w:t xml:space="preserve">ר"ן </w:t>
      </w:r>
      <w:r w:rsidRPr="001D49D4">
        <w:rPr>
          <w:sz w:val="16"/>
          <w:szCs w:val="16"/>
          <w:rtl/>
        </w:rPr>
        <w:t>(שם)</w:t>
      </w:r>
      <w:r w:rsidRPr="001D49D4">
        <w:rPr>
          <w:rtl/>
        </w:rPr>
        <w:t xml:space="preserve">- עידי קיום צריכין שיהיו רחוקין זה מזה. </w:t>
      </w:r>
      <w:r w:rsidRPr="001D49D4">
        <w:rPr>
          <w:color w:val="00B0F0"/>
          <w:rtl/>
        </w:rPr>
        <w:t>(וכ"פ הרמ"א)</w:t>
      </w:r>
    </w:p>
    <w:p w14:paraId="21EE617E" w14:textId="77777777" w:rsidR="001D49D4" w:rsidRPr="001D49D4" w:rsidRDefault="001D49D4" w:rsidP="0004348D">
      <w:pPr>
        <w:spacing w:before="360" w:after="240"/>
        <w:rPr>
          <w:rFonts w:ascii="Calibri" w:eastAsia="Calibri" w:hAnsi="Calibri" w:cs="Arial"/>
        </w:rPr>
      </w:pPr>
      <w:r w:rsidRPr="001D49D4">
        <w:rPr>
          <w:rFonts w:ascii="Calibri" w:eastAsia="Calibri" w:hAnsi="Calibri" w:cs="Arial"/>
          <w:u w:val="single"/>
          <w:rtl/>
        </w:rPr>
        <w:t>האם עד החתום בשטר יכול להיות דיין בקיום השטר:</w:t>
      </w:r>
    </w:p>
    <w:p w14:paraId="511EDFBC" w14:textId="77777777" w:rsidR="001D49D4" w:rsidRPr="001D49D4" w:rsidRDefault="001D49D4" w:rsidP="0004348D">
      <w:pPr>
        <w:numPr>
          <w:ilvl w:val="0"/>
          <w:numId w:val="289"/>
        </w:numPr>
        <w:spacing w:before="360" w:after="240"/>
        <w:contextualSpacing/>
        <w:rPr>
          <w:rtl/>
        </w:rPr>
      </w:pPr>
      <w:r w:rsidRPr="001D49D4">
        <w:rPr>
          <w:rtl/>
        </w:rPr>
        <w:t xml:space="preserve">רשב"א </w:t>
      </w:r>
      <w:r w:rsidRPr="001D49D4">
        <w:rPr>
          <w:sz w:val="16"/>
          <w:szCs w:val="16"/>
          <w:rtl/>
        </w:rPr>
        <w:t>(ח"א סימן תתקסט, ובמיוחסות סי' קיב)</w:t>
      </w:r>
      <w:r w:rsidRPr="001D49D4">
        <w:rPr>
          <w:rtl/>
        </w:rPr>
        <w:t xml:space="preserve">- יש לדון ולהכשיר אפילו עד החתום בשטר להיות דיין בקיום שטרות בלבד. </w:t>
      </w:r>
    </w:p>
    <w:p w14:paraId="287A1BA5" w14:textId="77777777" w:rsidR="001D49D4" w:rsidRPr="001D49D4" w:rsidRDefault="001D49D4" w:rsidP="0004348D">
      <w:pPr>
        <w:spacing w:before="360" w:after="240"/>
        <w:rPr>
          <w:rFonts w:ascii="Arial" w:eastAsia="Calibri" w:hAnsi="Arial" w:cs="Arial"/>
          <w:b/>
          <w:bCs/>
          <w:color w:val="000000"/>
          <w:sz w:val="28"/>
          <w:szCs w:val="28"/>
          <w:u w:val="single"/>
          <w:rtl/>
        </w:rPr>
      </w:pPr>
      <w:r w:rsidRPr="001D49D4">
        <w:rPr>
          <w:rFonts w:ascii="Arial" w:eastAsia="Calibri" w:hAnsi="Arial" w:cs="Arial"/>
          <w:b/>
          <w:bCs/>
          <w:color w:val="000000"/>
          <w:sz w:val="28"/>
          <w:szCs w:val="28"/>
          <w:u w:val="single"/>
          <w:rtl/>
        </w:rPr>
        <w:t>שו"ע:</w:t>
      </w:r>
    </w:p>
    <w:p w14:paraId="6F835571"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rtl/>
        </w:rPr>
        <w:t>צריך שלא יהיו עידי הקיום קרובים לדייני קיום</w:t>
      </w:r>
      <w:r w:rsidRPr="001D49D4">
        <w:rPr>
          <w:rFonts w:ascii="Calibri" w:eastAsia="Calibri" w:hAnsi="Calibri" w:cs="Arial"/>
          <w:vertAlign w:val="superscript"/>
          <w:rtl/>
        </w:rPr>
        <w:footnoteReference w:id="3837"/>
      </w:r>
      <w:r w:rsidRPr="001D49D4">
        <w:rPr>
          <w:rFonts w:ascii="Calibri" w:eastAsia="Calibri" w:hAnsi="Calibri" w:cs="Arial"/>
          <w:rtl/>
        </w:rPr>
        <w:t>. ויש מכשירין</w:t>
      </w:r>
      <w:r w:rsidRPr="001D49D4">
        <w:rPr>
          <w:rFonts w:ascii="Calibri" w:eastAsia="Calibri" w:hAnsi="Calibri" w:cs="Arial"/>
          <w:vertAlign w:val="superscript"/>
          <w:rtl/>
        </w:rPr>
        <w:footnoteReference w:id="3838"/>
      </w:r>
      <w:r w:rsidRPr="001D49D4">
        <w:rPr>
          <w:rFonts w:ascii="Calibri" w:eastAsia="Calibri" w:hAnsi="Calibri" w:cs="Arial"/>
          <w:rtl/>
        </w:rPr>
        <w:t xml:space="preserve">. </w:t>
      </w:r>
      <w:r w:rsidRPr="001D49D4">
        <w:rPr>
          <w:rFonts w:ascii="Calibri" w:eastAsia="Calibri" w:hAnsi="Calibri" w:cs="Arial"/>
          <w:sz w:val="18"/>
          <w:szCs w:val="18"/>
          <w:rtl/>
        </w:rPr>
        <w:t>הגה: ועידי הקיום יכולין להיות קרובים לעדים המעידים על חתימת הדיינים שקיימו השטר</w:t>
      </w:r>
      <w:r w:rsidRPr="001D49D4">
        <w:rPr>
          <w:rFonts w:ascii="Calibri" w:eastAsia="Calibri" w:hAnsi="Calibri" w:cs="Arial"/>
          <w:sz w:val="18"/>
          <w:szCs w:val="18"/>
          <w:vertAlign w:val="superscript"/>
          <w:rtl/>
        </w:rPr>
        <w:footnoteReference w:id="3839"/>
      </w:r>
      <w:r w:rsidRPr="001D49D4">
        <w:rPr>
          <w:rFonts w:ascii="Calibri" w:eastAsia="Calibri" w:hAnsi="Calibri" w:cs="Arial"/>
          <w:sz w:val="18"/>
          <w:szCs w:val="18"/>
          <w:rtl/>
        </w:rPr>
        <w:t xml:space="preserve"> (ב"י). ועידי הקיום לא יהיו קרובים זה לזה (ר"ן ספ"ב דכתובות </w:t>
      </w:r>
      <w:r w:rsidRPr="001D49D4">
        <w:rPr>
          <w:rFonts w:ascii="Calibri" w:eastAsia="Calibri" w:hAnsi="Calibri" w:cs="Arial"/>
          <w:sz w:val="16"/>
          <w:szCs w:val="16"/>
          <w:rtl/>
        </w:rPr>
        <w:t>[ד"ה ונמצינו למדין]</w:t>
      </w:r>
      <w:r w:rsidRPr="001D49D4">
        <w:rPr>
          <w:rFonts w:ascii="Calibri" w:eastAsia="Calibri" w:hAnsi="Calibri" w:cs="Arial"/>
          <w:sz w:val="18"/>
          <w:szCs w:val="18"/>
          <w:rtl/>
        </w:rPr>
        <w:t>).</w:t>
      </w:r>
      <w:r w:rsidRPr="001D49D4">
        <w:rPr>
          <w:rFonts w:ascii="Calibri" w:eastAsia="Calibri" w:hAnsi="Calibri" w:cs="Arial"/>
          <w:rtl/>
        </w:rPr>
        <w:t xml:space="preserve"> </w:t>
      </w:r>
    </w:p>
    <w:p w14:paraId="1C71BB5A" w14:textId="77777777" w:rsidR="001D49D4" w:rsidRPr="001D49D4" w:rsidRDefault="001D49D4" w:rsidP="0004348D">
      <w:pPr>
        <w:spacing w:before="360" w:after="240"/>
        <w:rPr>
          <w:rFonts w:ascii="Calibri" w:eastAsia="Calibri" w:hAnsi="Calibri" w:cs="Arial"/>
          <w:rtl/>
        </w:rPr>
      </w:pPr>
    </w:p>
    <w:p w14:paraId="522D235E" w14:textId="77777777" w:rsidR="001D49D4" w:rsidRPr="001D49D4" w:rsidRDefault="001D49D4" w:rsidP="0004348D">
      <w:pPr>
        <w:keepNext/>
        <w:keepLines/>
        <w:spacing w:before="360" w:after="240"/>
        <w:outlineLvl w:val="1"/>
        <w:rPr>
          <w:rFonts w:ascii="Cambria" w:eastAsia="Times New Roman" w:hAnsi="Cambria" w:cs="Arial"/>
          <w:bCs/>
          <w:color w:val="548DD4" w:themeColor="text2" w:themeTint="99"/>
          <w:sz w:val="26"/>
          <w:szCs w:val="26"/>
          <w:rtl/>
        </w:rPr>
      </w:pPr>
      <w:bookmarkStart w:id="520" w:name="_Toc24883953"/>
      <w:r w:rsidRPr="001D49D4">
        <w:rPr>
          <w:rFonts w:ascii="Cambria" w:eastAsia="Times New Roman" w:hAnsi="Cambria" w:cs="Arial"/>
          <w:bCs/>
          <w:color w:val="548DD4" w:themeColor="text2" w:themeTint="99"/>
          <w:sz w:val="26"/>
          <w:szCs w:val="26"/>
          <w:rtl/>
        </w:rPr>
        <w:t>סעיף יט: עד קיום או דיין קיום שקרוב לבעל דין.</w:t>
      </w:r>
      <w:bookmarkEnd w:id="520"/>
    </w:p>
    <w:p w14:paraId="28B2A56A"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b/>
          <w:bCs/>
          <w:rtl/>
        </w:rPr>
        <w:t>כתובות</w:t>
      </w:r>
      <w:r w:rsidRPr="001D49D4">
        <w:rPr>
          <w:rFonts w:ascii="Calibri" w:eastAsia="Calibri" w:hAnsi="Calibri" w:cs="Arial"/>
          <w:b/>
          <w:bCs/>
          <w:sz w:val="16"/>
          <w:szCs w:val="16"/>
          <w:rtl/>
        </w:rPr>
        <w:t xml:space="preserve"> (פרק שני דייני) </w:t>
      </w:r>
      <w:r w:rsidRPr="001D49D4">
        <w:rPr>
          <w:rFonts w:ascii="Calibri" w:eastAsia="Calibri" w:hAnsi="Calibri" w:cs="Arial"/>
          <w:b/>
          <w:bCs/>
          <w:rtl/>
        </w:rPr>
        <w:t>קט</w:t>
      </w:r>
      <w:r w:rsidRPr="001D49D4">
        <w:rPr>
          <w:rFonts w:ascii="Calibri" w:eastAsia="Calibri" w:hAnsi="Calibri" w:cs="Arial"/>
          <w:b/>
          <w:bCs/>
          <w:vertAlign w:val="superscript"/>
          <w:rtl/>
        </w:rPr>
        <w:footnoteReference w:id="3840"/>
      </w:r>
      <w:r w:rsidRPr="001D49D4">
        <w:rPr>
          <w:rFonts w:ascii="Calibri" w:eastAsia="Calibri" w:hAnsi="Calibri" w:cs="Arial"/>
          <w:b/>
          <w:bCs/>
          <w:rtl/>
        </w:rPr>
        <w:t xml:space="preserve"> ע"א:</w:t>
      </w:r>
      <w:r w:rsidRPr="001D49D4">
        <w:rPr>
          <w:rFonts w:ascii="Calibri" w:eastAsia="Calibri" w:hAnsi="Calibri" w:cs="Arial"/>
          <w:rtl/>
        </w:rPr>
        <w:t xml:space="preserve"> </w:t>
      </w:r>
      <w:r w:rsidRPr="001D49D4">
        <w:rPr>
          <w:rFonts w:ascii="Calibri" w:eastAsia="Calibri" w:hAnsi="Calibri" w:cs="Arial"/>
          <w:u w:val="single"/>
          <w:rtl/>
        </w:rPr>
        <w:t>דתני ר' חייא</w:t>
      </w:r>
      <w:r w:rsidRPr="001D49D4">
        <w:rPr>
          <w:rFonts w:ascii="Calibri" w:eastAsia="Calibri" w:hAnsi="Calibri" w:cs="Arial"/>
          <w:rtl/>
        </w:rPr>
        <w:t>: אין העדים חותמין על השטר אלא א"כ קראוהו</w:t>
      </w:r>
      <w:r w:rsidRPr="001D49D4">
        <w:rPr>
          <w:rFonts w:ascii="Calibri" w:eastAsia="Calibri" w:hAnsi="Calibri" w:cs="Arial"/>
          <w:vertAlign w:val="superscript"/>
          <w:rtl/>
        </w:rPr>
        <w:footnoteReference w:id="3841"/>
      </w:r>
      <w:r w:rsidRPr="001D49D4">
        <w:rPr>
          <w:rFonts w:ascii="Calibri" w:eastAsia="Calibri" w:hAnsi="Calibri" w:cs="Arial"/>
          <w:sz w:val="14"/>
          <w:szCs w:val="14"/>
          <w:rtl/>
        </w:rPr>
        <w:t xml:space="preserve"> (קט:)</w:t>
      </w:r>
      <w:r w:rsidRPr="001D49D4">
        <w:rPr>
          <w:rFonts w:ascii="Calibri" w:eastAsia="Calibri" w:hAnsi="Calibri" w:cs="Arial"/>
          <w:rtl/>
        </w:rPr>
        <w:t>, אבל הדיינין חותמים</w:t>
      </w:r>
      <w:r w:rsidRPr="001D49D4">
        <w:rPr>
          <w:rFonts w:ascii="Calibri" w:eastAsia="Calibri" w:hAnsi="Calibri" w:cs="Arial"/>
          <w:vertAlign w:val="superscript"/>
          <w:rtl/>
        </w:rPr>
        <w:footnoteReference w:id="3842"/>
      </w:r>
      <w:r w:rsidRPr="001D49D4">
        <w:rPr>
          <w:rFonts w:ascii="Calibri" w:eastAsia="Calibri" w:hAnsi="Calibri" w:cs="Arial"/>
          <w:rtl/>
        </w:rPr>
        <w:t xml:space="preserve"> אף על פי שלא קראוהו.</w:t>
      </w:r>
    </w:p>
    <w:p w14:paraId="6880AC4C"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u w:val="single"/>
          <w:rtl/>
        </w:rPr>
        <w:t>האם דייני הקיום צריכים לקרוא את השטר לפני שמקיימים אותו:</w:t>
      </w:r>
    </w:p>
    <w:p w14:paraId="2B5EC2D1" w14:textId="77777777" w:rsidR="001D49D4" w:rsidRPr="001D49D4" w:rsidRDefault="001D49D4" w:rsidP="0004348D">
      <w:pPr>
        <w:numPr>
          <w:ilvl w:val="0"/>
          <w:numId w:val="289"/>
        </w:numPr>
        <w:spacing w:before="360" w:after="240"/>
        <w:contextualSpacing/>
        <w:rPr>
          <w:rtl/>
        </w:rPr>
      </w:pPr>
      <w:r w:rsidRPr="001D49D4">
        <w:rPr>
          <w:rtl/>
        </w:rPr>
        <w:t xml:space="preserve">רמב"ם </w:t>
      </w:r>
      <w:r w:rsidRPr="001D49D4">
        <w:rPr>
          <w:sz w:val="16"/>
          <w:szCs w:val="16"/>
          <w:rtl/>
        </w:rPr>
        <w:t>(בסוף פ"ו מהל' עדות)</w:t>
      </w:r>
      <w:r w:rsidRPr="001D49D4">
        <w:rPr>
          <w:rtl/>
        </w:rPr>
        <w:t>- אין הדיינים צריכין לקרות השטר שמקיימין אותו, אלא מקיימין אותו מעדיו אע"פ שלא ידעו מה כתוב בו.</w:t>
      </w:r>
    </w:p>
    <w:p w14:paraId="6D649248" w14:textId="77777777" w:rsidR="001D49D4" w:rsidRPr="001D49D4" w:rsidRDefault="001D49D4" w:rsidP="0004348D">
      <w:pPr>
        <w:spacing w:before="360" w:after="240"/>
        <w:ind w:left="360"/>
        <w:rPr>
          <w:rFonts w:ascii="Calibri" w:eastAsia="Calibri" w:hAnsi="Calibri" w:cs="Arial"/>
          <w:u w:val="dotted"/>
        </w:rPr>
      </w:pPr>
      <w:r w:rsidRPr="001D49D4">
        <w:rPr>
          <w:rFonts w:ascii="Calibri" w:eastAsia="Calibri" w:hAnsi="Calibri" w:cs="Arial"/>
          <w:u w:val="dotted"/>
          <w:rtl/>
        </w:rPr>
        <w:t xml:space="preserve">האם הם יכולים לחתום גם בלי לדעת מי הם בעלי הדבר </w:t>
      </w:r>
      <w:r w:rsidRPr="001D49D4">
        <w:rPr>
          <w:rFonts w:ascii="Calibri" w:eastAsia="Calibri" w:hAnsi="Calibri" w:cs="Arial"/>
          <w:sz w:val="16"/>
          <w:szCs w:val="16"/>
          <w:u w:val="dotted"/>
          <w:rtl/>
        </w:rPr>
        <w:t>(מלוה ולוה)</w:t>
      </w:r>
      <w:r w:rsidRPr="001D49D4">
        <w:rPr>
          <w:rFonts w:ascii="Calibri" w:eastAsia="Calibri" w:hAnsi="Calibri" w:cs="Arial"/>
          <w:u w:val="dotted"/>
          <w:rtl/>
        </w:rPr>
        <w:t>:</w:t>
      </w:r>
    </w:p>
    <w:p w14:paraId="464CC380" w14:textId="77777777" w:rsidR="001D49D4" w:rsidRPr="001D49D4" w:rsidRDefault="001D49D4" w:rsidP="0004348D">
      <w:pPr>
        <w:numPr>
          <w:ilvl w:val="0"/>
          <w:numId w:val="289"/>
        </w:numPr>
        <w:spacing w:before="360" w:after="240"/>
        <w:contextualSpacing/>
      </w:pPr>
      <w:r w:rsidRPr="001D49D4">
        <w:rPr>
          <w:rtl/>
        </w:rPr>
        <w:t xml:space="preserve">רשב"א </w:t>
      </w:r>
      <w:r w:rsidRPr="001D49D4">
        <w:rPr>
          <w:sz w:val="16"/>
          <w:szCs w:val="16"/>
          <w:rtl/>
        </w:rPr>
        <w:t>(גיטין ה: ד"ה איתמר)</w:t>
      </w:r>
      <w:r w:rsidRPr="001D49D4">
        <w:rPr>
          <w:rtl/>
        </w:rPr>
        <w:t>- 'תני ר' חייא אין העדים חותמין על השטר אא"כ קראוהו והדיינין חותמין על השטר אע"פ שלא קראוהו', ומשמע שלא קראוהו כלל ולא ידעי מי ומי בעלי הדבר</w:t>
      </w:r>
      <w:r w:rsidRPr="001D49D4">
        <w:rPr>
          <w:sz w:val="16"/>
          <w:szCs w:val="16"/>
          <w:rtl/>
        </w:rPr>
        <w:t xml:space="preserve"> (ל' הרשב"א)</w:t>
      </w:r>
      <w:r w:rsidRPr="001D49D4">
        <w:rPr>
          <w:rtl/>
        </w:rPr>
        <w:t xml:space="preserve">.  </w:t>
      </w:r>
    </w:p>
    <w:p w14:paraId="09F4DC58" w14:textId="77777777" w:rsidR="001D49D4" w:rsidRPr="001D49D4" w:rsidRDefault="001D49D4" w:rsidP="0004348D">
      <w:pPr>
        <w:numPr>
          <w:ilvl w:val="0"/>
          <w:numId w:val="289"/>
        </w:numPr>
        <w:spacing w:before="360" w:after="240"/>
        <w:contextualSpacing/>
      </w:pPr>
      <w:r w:rsidRPr="001D49D4">
        <w:rPr>
          <w:rtl/>
        </w:rPr>
        <w:t>ריטב"א ר"ן בשם הרא"ה וריב"ש</w:t>
      </w:r>
      <w:r w:rsidRPr="001D49D4">
        <w:rPr>
          <w:vertAlign w:val="superscript"/>
          <w:rtl/>
        </w:rPr>
        <w:footnoteReference w:id="3843"/>
      </w:r>
      <w:r w:rsidRPr="001D49D4">
        <w:rPr>
          <w:rtl/>
        </w:rPr>
        <w:t xml:space="preserve">- הא דהדיינים חותמים אע"פ שלא קראוהו - דוקא מה שיש בגוף השטר הוא שאין צריכין לקרות אבל מ"מ צריכים הם לראות מי הם המלוה והלוה, כדי שלא יהו קרובים לדיינים ולא לעדים המעידין בפניהם </w:t>
      </w:r>
      <w:r w:rsidRPr="001D49D4">
        <w:rPr>
          <w:sz w:val="16"/>
          <w:szCs w:val="16"/>
          <w:rtl/>
        </w:rPr>
        <w:t>(ל' הר"ן)</w:t>
      </w:r>
      <w:r w:rsidRPr="001D49D4">
        <w:rPr>
          <w:vertAlign w:val="superscript"/>
          <w:rtl/>
        </w:rPr>
        <w:footnoteReference w:id="3844"/>
      </w:r>
      <w:r w:rsidRPr="001D49D4">
        <w:rPr>
          <w:rtl/>
        </w:rPr>
        <w:t>.</w:t>
      </w:r>
      <w:r w:rsidRPr="001D49D4">
        <w:rPr>
          <w:color w:val="E36C0A" w:themeColor="accent6" w:themeShade="BF"/>
          <w:rtl/>
        </w:rPr>
        <w:t xml:space="preserve"> (וכ"ס בשו"ע</w:t>
      </w:r>
      <w:r w:rsidRPr="001D49D4">
        <w:rPr>
          <w:color w:val="000000" w:themeColor="text1"/>
          <w:sz w:val="16"/>
          <w:szCs w:val="16"/>
          <w:rtl/>
        </w:rPr>
        <w:t xml:space="preserve"> [בסע' הבא]</w:t>
      </w:r>
      <w:r w:rsidRPr="001D49D4">
        <w:rPr>
          <w:color w:val="E36C0A" w:themeColor="accent6" w:themeShade="BF"/>
          <w:rtl/>
        </w:rPr>
        <w:t>)</w:t>
      </w:r>
    </w:p>
    <w:p w14:paraId="11B5E374" w14:textId="77777777" w:rsidR="001D49D4" w:rsidRPr="001D49D4" w:rsidRDefault="001D49D4" w:rsidP="0004348D">
      <w:pPr>
        <w:numPr>
          <w:ilvl w:val="1"/>
          <w:numId w:val="289"/>
        </w:numPr>
        <w:spacing w:before="360" w:after="240"/>
        <w:contextualSpacing/>
      </w:pPr>
      <w:r w:rsidRPr="001D49D4">
        <w:rPr>
          <w:rtl/>
        </w:rPr>
        <w:t xml:space="preserve">ב"י </w:t>
      </w:r>
      <w:r w:rsidRPr="001D49D4">
        <w:rPr>
          <w:sz w:val="16"/>
          <w:szCs w:val="16"/>
          <w:rtl/>
        </w:rPr>
        <w:t>(בבדה"ב)</w:t>
      </w:r>
      <w:r w:rsidRPr="001D49D4">
        <w:rPr>
          <w:rtl/>
        </w:rPr>
        <w:t>-</w:t>
      </w:r>
      <w:r w:rsidRPr="001D49D4">
        <w:rPr>
          <w:sz w:val="16"/>
          <w:szCs w:val="16"/>
          <w:rtl/>
        </w:rPr>
        <w:t xml:space="preserve"> </w:t>
      </w:r>
      <w:r w:rsidRPr="001D49D4">
        <w:rPr>
          <w:rtl/>
        </w:rPr>
        <w:t xml:space="preserve">אע"פ שמדברי הרמב"ם שכתב </w:t>
      </w:r>
      <w:r w:rsidRPr="001D49D4">
        <w:rPr>
          <w:sz w:val="16"/>
          <w:szCs w:val="16"/>
          <w:rtl/>
        </w:rPr>
        <w:t xml:space="preserve">(בסוף פ"ו מהל' עדות) </w:t>
      </w:r>
      <w:r w:rsidRPr="001D49D4">
        <w:rPr>
          <w:rtl/>
        </w:rPr>
        <w:t>מקיימים אותו מעדיו אע"פ שלא ידעו מה כתוב בו, משמע שאין צריכים לקרותו כלל, כיון דהנך רבוותא מספקים אותה עלינו - יש לחוש לדבריהם לכתחלה מיהא.</w:t>
      </w:r>
    </w:p>
    <w:p w14:paraId="09E3978F" w14:textId="77777777" w:rsidR="001D49D4" w:rsidRPr="001D49D4" w:rsidRDefault="001D49D4" w:rsidP="0004348D">
      <w:pPr>
        <w:spacing w:before="360" w:after="240"/>
        <w:rPr>
          <w:rFonts w:ascii="Calibri" w:eastAsia="Calibri" w:hAnsi="Calibri" w:cs="Arial"/>
          <w:u w:val="single"/>
          <w:rtl/>
        </w:rPr>
      </w:pPr>
      <w:r w:rsidRPr="001D49D4">
        <w:rPr>
          <w:rFonts w:ascii="Calibri" w:eastAsia="Calibri" w:hAnsi="Calibri" w:cs="Arial"/>
          <w:u w:val="single"/>
          <w:rtl/>
        </w:rPr>
        <w:t>האם עדי/דייני הקיום יכולים להיות קרובים לבעלי הדין:</w:t>
      </w:r>
    </w:p>
    <w:p w14:paraId="7B3A082F" w14:textId="77777777" w:rsidR="001D49D4" w:rsidRPr="001D49D4" w:rsidRDefault="001D49D4" w:rsidP="0004348D">
      <w:pPr>
        <w:numPr>
          <w:ilvl w:val="0"/>
          <w:numId w:val="287"/>
        </w:numPr>
        <w:spacing w:before="360" w:after="240"/>
        <w:contextualSpacing/>
      </w:pPr>
      <w:r w:rsidRPr="001D49D4">
        <w:rPr>
          <w:rtl/>
        </w:rPr>
        <w:t xml:space="preserve">רבינו דוד בר קלונימוס </w:t>
      </w:r>
      <w:r w:rsidRPr="001D49D4">
        <w:rPr>
          <w:sz w:val="16"/>
          <w:szCs w:val="16"/>
          <w:rtl/>
        </w:rPr>
        <w:t>(הביאו המרדכי [פ"ב דכתובות סי' קנ])</w:t>
      </w:r>
      <w:r w:rsidRPr="001D49D4">
        <w:rPr>
          <w:rtl/>
        </w:rPr>
        <w:t xml:space="preserve"> ואו"ז </w:t>
      </w:r>
      <w:r w:rsidRPr="001D49D4">
        <w:rPr>
          <w:sz w:val="16"/>
          <w:szCs w:val="16"/>
          <w:rtl/>
        </w:rPr>
        <w:t>(כ"כ בשו הג"א כתבות פ"ב סי' לד הגהה א)</w:t>
      </w:r>
      <w:r w:rsidRPr="001D49D4">
        <w:rPr>
          <w:rtl/>
        </w:rPr>
        <w:t>- כיון דקיום שטרות דרבנן - יכול לקיים בקרובים דמלוה ולוה</w:t>
      </w:r>
      <w:r w:rsidRPr="001D49D4">
        <w:rPr>
          <w:vertAlign w:val="superscript"/>
          <w:rtl/>
        </w:rPr>
        <w:footnoteReference w:id="3845"/>
      </w:r>
      <w:r w:rsidRPr="001D49D4">
        <w:rPr>
          <w:rtl/>
        </w:rPr>
        <w:t>.</w:t>
      </w:r>
    </w:p>
    <w:p w14:paraId="7C58FEF6" w14:textId="77777777" w:rsidR="001D49D4" w:rsidRPr="001D49D4" w:rsidRDefault="001D49D4" w:rsidP="0004348D">
      <w:pPr>
        <w:numPr>
          <w:ilvl w:val="0"/>
          <w:numId w:val="287"/>
        </w:numPr>
        <w:spacing w:before="360" w:after="240"/>
        <w:contextualSpacing/>
      </w:pPr>
      <w:r w:rsidRPr="001D49D4">
        <w:rPr>
          <w:rtl/>
        </w:rPr>
        <w:t xml:space="preserve">רשב"א </w:t>
      </w:r>
      <w:r w:rsidRPr="001D49D4">
        <w:rPr>
          <w:sz w:val="16"/>
          <w:szCs w:val="16"/>
          <w:rtl/>
        </w:rPr>
        <w:t>(ח"א סימן תתקסט, ובמיוחסות סי' קיב האריך בדבר)</w:t>
      </w:r>
      <w:r w:rsidRPr="001D49D4">
        <w:rPr>
          <w:rtl/>
        </w:rPr>
        <w:t xml:space="preserve">- דעתי נוטה להלכה אבל לא למעשה... דאפילו עדי קיום הקרובים למלוה ולוה כשרים, מדאמרינן </w:t>
      </w:r>
      <w:r w:rsidRPr="001D49D4">
        <w:rPr>
          <w:sz w:val="16"/>
          <w:szCs w:val="16"/>
          <w:rtl/>
        </w:rPr>
        <w:t xml:space="preserve">(כתובות קט.) </w:t>
      </w:r>
      <w:r w:rsidRPr="001D49D4">
        <w:rPr>
          <w:rtl/>
        </w:rPr>
        <w:t>אין העדים חותמין על השטר אם לא קראוהו אבל הדיינין חותמין אע"פ שלא קראוהו, ואם איתא ליחוש שמא עדי הקיום קרובים למלוה או ללוה</w:t>
      </w:r>
      <w:r w:rsidRPr="001D49D4">
        <w:rPr>
          <w:vertAlign w:val="superscript"/>
          <w:rtl/>
        </w:rPr>
        <w:footnoteReference w:id="3846"/>
      </w:r>
      <w:r w:rsidRPr="001D49D4">
        <w:rPr>
          <w:rtl/>
        </w:rPr>
        <w:t xml:space="preserve">. </w:t>
      </w:r>
    </w:p>
    <w:p w14:paraId="7D3A285D" w14:textId="77777777" w:rsidR="001D49D4" w:rsidRPr="001D49D4" w:rsidRDefault="001D49D4" w:rsidP="0004348D">
      <w:pPr>
        <w:numPr>
          <w:ilvl w:val="0"/>
          <w:numId w:val="287"/>
        </w:numPr>
        <w:spacing w:before="360" w:after="240"/>
        <w:contextualSpacing/>
      </w:pPr>
      <w:r w:rsidRPr="001D49D4">
        <w:rPr>
          <w:rtl/>
        </w:rPr>
        <w:t>בהעי"ט רא"ש ריטב"א ר"ן בשם הרא"ה וריב"ש</w:t>
      </w:r>
      <w:r w:rsidRPr="001D49D4">
        <w:rPr>
          <w:vertAlign w:val="superscript"/>
          <w:rtl/>
        </w:rPr>
        <w:footnoteReference w:id="3847"/>
      </w:r>
      <w:r w:rsidRPr="001D49D4">
        <w:rPr>
          <w:rtl/>
        </w:rPr>
        <w:t>- בין עדי קיום בין דייני קיום אם קרובים לבעלי דינים פסולים ואין זה צריך לפנים</w:t>
      </w:r>
      <w:r w:rsidRPr="001D49D4">
        <w:rPr>
          <w:sz w:val="16"/>
          <w:szCs w:val="16"/>
          <w:rtl/>
        </w:rPr>
        <w:t xml:space="preserve"> (ל' הריב"ש)</w:t>
      </w:r>
      <w:r w:rsidRPr="001D49D4">
        <w:rPr>
          <w:vertAlign w:val="superscript"/>
          <w:rtl/>
        </w:rPr>
        <w:footnoteReference w:id="3848"/>
      </w:r>
      <w:r w:rsidRPr="001D49D4">
        <w:rPr>
          <w:rtl/>
        </w:rPr>
        <w:t xml:space="preserve">. </w:t>
      </w:r>
      <w:r w:rsidRPr="001D49D4">
        <w:rPr>
          <w:color w:val="E36C0A" w:themeColor="accent6" w:themeShade="BF"/>
          <w:rtl/>
        </w:rPr>
        <w:t xml:space="preserve">(וכ"ס בשו"ע </w:t>
      </w:r>
      <w:r w:rsidRPr="001D49D4">
        <w:rPr>
          <w:color w:val="000000" w:themeColor="text1"/>
          <w:sz w:val="16"/>
          <w:szCs w:val="16"/>
          <w:rtl/>
        </w:rPr>
        <w:t>[כאן ובסע' הבא]</w:t>
      </w:r>
      <w:r w:rsidRPr="001D49D4">
        <w:rPr>
          <w:color w:val="E36C0A" w:themeColor="accent6" w:themeShade="BF"/>
          <w:rtl/>
        </w:rPr>
        <w:t>)</w:t>
      </w:r>
      <w:r w:rsidRPr="001D49D4">
        <w:rPr>
          <w:color w:val="00B0F0"/>
          <w:rtl/>
        </w:rPr>
        <w:t>(וכ"פ הרמ"א)</w:t>
      </w:r>
    </w:p>
    <w:p w14:paraId="3B2B6182" w14:textId="77777777" w:rsidR="001D49D4" w:rsidRPr="001D49D4" w:rsidRDefault="001D49D4" w:rsidP="0004348D">
      <w:pPr>
        <w:spacing w:before="360" w:after="240"/>
        <w:rPr>
          <w:rFonts w:ascii="Arial" w:eastAsia="Calibri" w:hAnsi="Arial" w:cs="Arial"/>
          <w:b/>
          <w:bCs/>
          <w:color w:val="000000"/>
          <w:sz w:val="28"/>
          <w:szCs w:val="28"/>
          <w:u w:val="single"/>
        </w:rPr>
      </w:pPr>
      <w:r w:rsidRPr="001D49D4">
        <w:rPr>
          <w:rFonts w:ascii="Arial" w:eastAsia="Calibri" w:hAnsi="Arial" w:cs="Arial"/>
          <w:b/>
          <w:bCs/>
          <w:color w:val="000000"/>
          <w:sz w:val="28"/>
          <w:szCs w:val="28"/>
          <w:u w:val="single"/>
          <w:rtl/>
        </w:rPr>
        <w:t>שו"ע:</w:t>
      </w:r>
    </w:p>
    <w:p w14:paraId="0A489D75"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rtl/>
        </w:rPr>
        <w:t xml:space="preserve">עידי קיום הקרובים למלוה וללוה, פסולים. ויש מי שמכשיר. </w:t>
      </w:r>
      <w:r w:rsidRPr="001D49D4">
        <w:rPr>
          <w:rFonts w:ascii="Calibri" w:eastAsia="Calibri" w:hAnsi="Calibri" w:cs="Arial"/>
          <w:sz w:val="18"/>
          <w:szCs w:val="18"/>
          <w:rtl/>
        </w:rPr>
        <w:t>[הגה] ודייני קיום הקרובים למלוה ולוה, הקיום פסול</w:t>
      </w:r>
      <w:r w:rsidRPr="001D49D4">
        <w:rPr>
          <w:rFonts w:ascii="Calibri" w:eastAsia="Calibri" w:hAnsi="Calibri" w:cs="Arial"/>
          <w:sz w:val="18"/>
          <w:szCs w:val="18"/>
          <w:vertAlign w:val="superscript"/>
          <w:rtl/>
        </w:rPr>
        <w:footnoteReference w:id="3849"/>
      </w:r>
      <w:r w:rsidRPr="001D49D4">
        <w:rPr>
          <w:rFonts w:ascii="Calibri" w:eastAsia="Calibri" w:hAnsi="Calibri" w:cs="Arial"/>
          <w:sz w:val="18"/>
          <w:szCs w:val="18"/>
          <w:rtl/>
        </w:rPr>
        <w:t xml:space="preserve"> (ר"ן ריב"ש רא"ש כלל ס' סי' ד נמוק"י ומרדכי בשם הר"ש מבונבירק).</w:t>
      </w:r>
      <w:r w:rsidRPr="001D49D4">
        <w:rPr>
          <w:rFonts w:ascii="Calibri" w:eastAsia="Calibri" w:hAnsi="Calibri" w:cs="Arial"/>
          <w:rtl/>
        </w:rPr>
        <w:t xml:space="preserve"> </w:t>
      </w:r>
    </w:p>
    <w:p w14:paraId="1ECD5431" w14:textId="77777777" w:rsidR="001D49D4" w:rsidRPr="001D49D4" w:rsidRDefault="001D49D4" w:rsidP="0004348D">
      <w:pPr>
        <w:spacing w:before="360" w:after="240"/>
        <w:rPr>
          <w:rFonts w:ascii="Calibri" w:eastAsia="Calibri" w:hAnsi="Calibri" w:cs="Arial"/>
          <w:rtl/>
        </w:rPr>
      </w:pPr>
    </w:p>
    <w:p w14:paraId="4623A89A" w14:textId="77777777" w:rsidR="001D49D4" w:rsidRPr="001D49D4" w:rsidRDefault="001D49D4" w:rsidP="0004348D">
      <w:pPr>
        <w:keepNext/>
        <w:keepLines/>
        <w:spacing w:before="360" w:after="240"/>
        <w:outlineLvl w:val="1"/>
        <w:rPr>
          <w:rFonts w:ascii="Cambria" w:eastAsia="Times New Roman" w:hAnsi="Cambria" w:cs="Arial"/>
          <w:bCs/>
          <w:color w:val="548DD4" w:themeColor="text2" w:themeTint="99"/>
          <w:sz w:val="26"/>
          <w:szCs w:val="26"/>
          <w:rtl/>
        </w:rPr>
      </w:pPr>
      <w:bookmarkStart w:id="521" w:name="_Toc24883954"/>
      <w:r w:rsidRPr="001D49D4">
        <w:rPr>
          <w:rFonts w:ascii="Cambria" w:eastAsia="Times New Roman" w:hAnsi="Cambria" w:cs="Arial"/>
          <w:bCs/>
          <w:color w:val="548DD4" w:themeColor="text2" w:themeTint="99"/>
          <w:sz w:val="26"/>
          <w:szCs w:val="26"/>
          <w:rtl/>
        </w:rPr>
        <w:t>סעיף כ: קריאת השטר לפני קיומו.</w:t>
      </w:r>
      <w:bookmarkEnd w:id="521"/>
    </w:p>
    <w:p w14:paraId="6107FCC0"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rtl/>
        </w:rPr>
        <w:t>עיין במקורות בסעיף בקודם.</w:t>
      </w:r>
    </w:p>
    <w:p w14:paraId="0A7845AB" w14:textId="77777777" w:rsidR="001D49D4" w:rsidRPr="001D49D4" w:rsidRDefault="001D49D4" w:rsidP="0004348D">
      <w:pPr>
        <w:spacing w:before="360" w:after="240"/>
        <w:rPr>
          <w:rFonts w:ascii="Arial" w:eastAsia="Calibri" w:hAnsi="Arial" w:cs="Arial"/>
          <w:b/>
          <w:bCs/>
          <w:color w:val="000000"/>
          <w:sz w:val="28"/>
          <w:szCs w:val="28"/>
          <w:u w:val="single"/>
          <w:rtl/>
        </w:rPr>
      </w:pPr>
      <w:r w:rsidRPr="001D49D4">
        <w:rPr>
          <w:rFonts w:ascii="Arial" w:eastAsia="Calibri" w:hAnsi="Arial" w:cs="Arial"/>
          <w:b/>
          <w:bCs/>
          <w:color w:val="000000"/>
          <w:sz w:val="28"/>
          <w:szCs w:val="28"/>
          <w:u w:val="single"/>
          <w:rtl/>
        </w:rPr>
        <w:t>שו"ע:</w:t>
      </w:r>
    </w:p>
    <w:p w14:paraId="43156486"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rtl/>
        </w:rPr>
        <w:t xml:space="preserve">דיינים החותמים לקיים השטר, חותמים אף על פי שלא קראוהו, ודוקא מה שיש בגוף השטר אין צריכים לקרות, אבל מכל מקום צריכים הם לראות מי הם המלוה והלוה, כדי שלא יהיו קרובים לדיינים ולא לעדים המעידים בפניהם. ויש אומרים שאין צריך לקרותו כלל. </w:t>
      </w:r>
      <w:r w:rsidRPr="001D49D4">
        <w:rPr>
          <w:rFonts w:ascii="Calibri" w:eastAsia="Calibri" w:hAnsi="Calibri" w:cs="Arial"/>
          <w:sz w:val="18"/>
          <w:szCs w:val="18"/>
          <w:rtl/>
        </w:rPr>
        <w:t>[הגה] ובלבד שיכתבו מי הם עידי</w:t>
      </w:r>
      <w:r w:rsidRPr="001D49D4">
        <w:rPr>
          <w:rFonts w:ascii="Calibri" w:eastAsia="Calibri" w:hAnsi="Calibri" w:cs="Arial"/>
          <w:sz w:val="18"/>
          <w:szCs w:val="18"/>
          <w:vertAlign w:val="superscript"/>
          <w:rtl/>
        </w:rPr>
        <w:footnoteReference w:id="3850"/>
      </w:r>
      <w:r w:rsidRPr="001D49D4">
        <w:rPr>
          <w:rFonts w:ascii="Calibri" w:eastAsia="Calibri" w:hAnsi="Calibri" w:cs="Arial"/>
          <w:sz w:val="18"/>
          <w:szCs w:val="18"/>
          <w:rtl/>
        </w:rPr>
        <w:t xml:space="preserve"> הקיום, שאם יהיו פסולים למלוה ולוה, יכולים להכיר אח"כ</w:t>
      </w:r>
      <w:r w:rsidRPr="001D49D4">
        <w:rPr>
          <w:rFonts w:ascii="Calibri" w:eastAsia="Calibri" w:hAnsi="Calibri" w:cs="Arial"/>
          <w:sz w:val="18"/>
          <w:szCs w:val="18"/>
          <w:vertAlign w:val="superscript"/>
          <w:rtl/>
        </w:rPr>
        <w:footnoteReference w:id="3851"/>
      </w:r>
      <w:r w:rsidRPr="001D49D4">
        <w:rPr>
          <w:rFonts w:ascii="Calibri" w:eastAsia="Calibri" w:hAnsi="Calibri" w:cs="Arial"/>
          <w:sz w:val="18"/>
          <w:szCs w:val="18"/>
          <w:rtl/>
        </w:rPr>
        <w:t xml:space="preserve"> </w:t>
      </w:r>
      <w:r w:rsidRPr="001D49D4">
        <w:rPr>
          <w:rFonts w:ascii="Calibri" w:eastAsia="Calibri" w:hAnsi="Calibri" w:cs="Arial"/>
          <w:sz w:val="16"/>
          <w:szCs w:val="16"/>
          <w:rtl/>
        </w:rPr>
        <w:t>(ריטב"א ונמוק"י)</w:t>
      </w:r>
      <w:r w:rsidRPr="001D49D4">
        <w:rPr>
          <w:rFonts w:ascii="Calibri" w:eastAsia="Calibri" w:hAnsi="Calibri" w:cs="Arial"/>
          <w:sz w:val="18"/>
          <w:szCs w:val="18"/>
          <w:rtl/>
        </w:rPr>
        <w:t xml:space="preserve">. </w:t>
      </w:r>
    </w:p>
    <w:p w14:paraId="26BE3363" w14:textId="77777777" w:rsidR="001D49D4" w:rsidRPr="001D49D4" w:rsidRDefault="001D49D4" w:rsidP="0004348D">
      <w:pPr>
        <w:spacing w:before="360" w:after="240"/>
        <w:rPr>
          <w:rFonts w:ascii="Calibri" w:eastAsia="Calibri" w:hAnsi="Calibri" w:cs="Arial"/>
          <w:rtl/>
        </w:rPr>
      </w:pPr>
    </w:p>
    <w:p w14:paraId="69C6141C" w14:textId="77777777" w:rsidR="001D49D4" w:rsidRPr="001D49D4" w:rsidRDefault="001D49D4" w:rsidP="0004348D">
      <w:pPr>
        <w:keepNext/>
        <w:keepLines/>
        <w:spacing w:before="360" w:after="240"/>
        <w:outlineLvl w:val="1"/>
        <w:rPr>
          <w:rFonts w:ascii="Cambria" w:eastAsia="Times New Roman" w:hAnsi="Cambria" w:cs="Arial"/>
          <w:bCs/>
          <w:color w:val="548DD4" w:themeColor="text2" w:themeTint="99"/>
          <w:sz w:val="26"/>
          <w:szCs w:val="26"/>
          <w:rtl/>
        </w:rPr>
      </w:pPr>
      <w:bookmarkStart w:id="522" w:name="_Toc24883955"/>
      <w:r w:rsidRPr="001D49D4">
        <w:rPr>
          <w:rFonts w:ascii="Cambria" w:eastAsia="Times New Roman" w:hAnsi="Cambria" w:cs="Arial"/>
          <w:bCs/>
          <w:color w:val="548DD4" w:themeColor="text2" w:themeTint="99"/>
          <w:sz w:val="26"/>
          <w:szCs w:val="26"/>
          <w:rtl/>
        </w:rPr>
        <w:t>סעיף כא: דיינים בתנאי המלוה שקרובים לעדי שטר.</w:t>
      </w:r>
      <w:bookmarkEnd w:id="522"/>
    </w:p>
    <w:p w14:paraId="6EFE6A62" w14:textId="77777777" w:rsidR="001D49D4" w:rsidRPr="001D49D4" w:rsidRDefault="001D49D4" w:rsidP="0004348D">
      <w:pPr>
        <w:spacing w:before="360" w:after="240"/>
        <w:rPr>
          <w:rFonts w:ascii="Calibri" w:eastAsia="Calibri" w:hAnsi="Calibri" w:cs="Arial"/>
          <w:u w:val="single"/>
          <w:rtl/>
        </w:rPr>
      </w:pPr>
      <w:r w:rsidRPr="001D49D4">
        <w:rPr>
          <w:rFonts w:ascii="Calibri" w:eastAsia="Calibri" w:hAnsi="Calibri" w:cs="Arial"/>
          <w:u w:val="single"/>
          <w:rtl/>
        </w:rPr>
        <w:t>דיינים שדנין על תנאים ועניינים שבמלוה עצמו</w:t>
      </w:r>
      <w:r w:rsidRPr="001D49D4">
        <w:rPr>
          <w:rFonts w:ascii="Calibri" w:eastAsia="Calibri" w:hAnsi="Calibri" w:cs="Arial"/>
          <w:sz w:val="16"/>
          <w:szCs w:val="16"/>
          <w:u w:val="single"/>
          <w:rtl/>
        </w:rPr>
        <w:t xml:space="preserve"> (לאחר שהשטר קויים ובאים לדון מה להוציא וכו')</w:t>
      </w:r>
      <w:r w:rsidRPr="001D49D4">
        <w:rPr>
          <w:rFonts w:ascii="Calibri" w:eastAsia="Calibri" w:hAnsi="Calibri" w:cs="Arial"/>
          <w:u w:val="single"/>
          <w:rtl/>
        </w:rPr>
        <w:t xml:space="preserve"> – מהו שיהיו קרובים לעדי השטר:</w:t>
      </w:r>
    </w:p>
    <w:p w14:paraId="3144273D" w14:textId="77777777" w:rsidR="001D49D4" w:rsidRPr="001D49D4" w:rsidRDefault="001D49D4" w:rsidP="0004348D">
      <w:pPr>
        <w:numPr>
          <w:ilvl w:val="0"/>
          <w:numId w:val="290"/>
        </w:numPr>
        <w:spacing w:before="360" w:after="240"/>
        <w:contextualSpacing/>
        <w:rPr>
          <w:rtl/>
        </w:rPr>
      </w:pPr>
      <w:r w:rsidRPr="001D49D4">
        <w:rPr>
          <w:rtl/>
        </w:rPr>
        <w:t xml:space="preserve">ר"ן </w:t>
      </w:r>
      <w:r w:rsidRPr="001D49D4">
        <w:rPr>
          <w:sz w:val="16"/>
          <w:szCs w:val="16"/>
          <w:rtl/>
        </w:rPr>
        <w:t>(כתובות יב: מדפה"ר בסופו)</w:t>
      </w:r>
      <w:r w:rsidRPr="001D49D4">
        <w:rPr>
          <w:rtl/>
        </w:rPr>
        <w:t>- דיינים שדנין על תנאים ועניינים שבמלוה עצמה - הדבר ברור שצריך שיהיו רחוקים מעידי השטר עצמו, כשם שצריך שיהו רחוקים מהם כשמעידים בפניהם על פה, שאע"פ שעדים החתומים על השטר משעה שחתמו נעשה כאילו נחקרה עדותן בב"ד, מ"מ צריך ב"ד שדנין על הממון שלא ידונו אותו בעדות קרוביהן שמעידין על הממון בעצמו</w:t>
      </w:r>
      <w:r w:rsidRPr="001D49D4">
        <w:rPr>
          <w:vertAlign w:val="superscript"/>
          <w:rtl/>
        </w:rPr>
        <w:footnoteReference w:id="3852"/>
      </w:r>
      <w:r w:rsidRPr="001D49D4">
        <w:rPr>
          <w:rtl/>
        </w:rPr>
        <w:t>.</w:t>
      </w:r>
      <w:r w:rsidRPr="001D49D4">
        <w:rPr>
          <w:color w:val="E36C0A" w:themeColor="accent6" w:themeShade="BF"/>
          <w:rtl/>
        </w:rPr>
        <w:t xml:space="preserve"> (וכ"פ בשו"ע)</w:t>
      </w:r>
    </w:p>
    <w:p w14:paraId="1EA22FE5" w14:textId="77777777" w:rsidR="001D49D4" w:rsidRPr="001D49D4" w:rsidRDefault="001D49D4" w:rsidP="0004348D">
      <w:pPr>
        <w:spacing w:before="360" w:after="240"/>
        <w:rPr>
          <w:rFonts w:ascii="Arial" w:eastAsia="Calibri" w:hAnsi="Arial" w:cs="Arial"/>
          <w:b/>
          <w:bCs/>
          <w:color w:val="000000"/>
          <w:sz w:val="28"/>
          <w:szCs w:val="28"/>
          <w:u w:val="single"/>
          <w:rtl/>
        </w:rPr>
      </w:pPr>
      <w:r w:rsidRPr="001D49D4">
        <w:rPr>
          <w:rFonts w:ascii="Arial" w:eastAsia="Calibri" w:hAnsi="Arial" w:cs="Arial"/>
          <w:b/>
          <w:bCs/>
          <w:color w:val="000000"/>
          <w:sz w:val="28"/>
          <w:szCs w:val="28"/>
          <w:u w:val="single"/>
          <w:rtl/>
        </w:rPr>
        <w:t>שו"ע:</w:t>
      </w:r>
    </w:p>
    <w:p w14:paraId="4F142AC6"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rtl/>
        </w:rPr>
        <w:t xml:space="preserve">דיינים שדנים על תנאים ועניינים שבמלוה עצמה, צריך שיהיו רחוקים מעידי השטר. </w:t>
      </w:r>
    </w:p>
    <w:p w14:paraId="53B9CBD0" w14:textId="77777777" w:rsidR="001D49D4" w:rsidRPr="001D49D4" w:rsidRDefault="001D49D4" w:rsidP="0004348D">
      <w:pPr>
        <w:spacing w:before="360" w:after="240"/>
        <w:rPr>
          <w:rFonts w:ascii="Calibri" w:eastAsia="Calibri" w:hAnsi="Calibri" w:cs="Arial"/>
          <w:rtl/>
        </w:rPr>
      </w:pPr>
    </w:p>
    <w:p w14:paraId="19CCDB42" w14:textId="77777777" w:rsidR="001D49D4" w:rsidRPr="001D49D4" w:rsidRDefault="001D49D4" w:rsidP="0004348D">
      <w:pPr>
        <w:keepNext/>
        <w:keepLines/>
        <w:spacing w:before="360" w:after="240"/>
        <w:outlineLvl w:val="1"/>
        <w:rPr>
          <w:rFonts w:ascii="Cambria" w:eastAsia="Times New Roman" w:hAnsi="Cambria" w:cs="Arial"/>
          <w:bCs/>
          <w:color w:val="548DD4" w:themeColor="text2" w:themeTint="99"/>
          <w:sz w:val="26"/>
          <w:szCs w:val="26"/>
          <w:rtl/>
        </w:rPr>
      </w:pPr>
      <w:bookmarkStart w:id="523" w:name="_Toc24883956"/>
      <w:r w:rsidRPr="001D49D4">
        <w:rPr>
          <w:rFonts w:ascii="Cambria" w:eastAsia="Times New Roman" w:hAnsi="Cambria" w:cs="Arial"/>
          <w:bCs/>
          <w:color w:val="548DD4" w:themeColor="text2" w:themeTint="99"/>
          <w:sz w:val="26"/>
          <w:szCs w:val="26"/>
          <w:rtl/>
        </w:rPr>
        <w:t>סעיף כב: דיינים בתנאי המלוה שקרובים לדייני הקיום.</w:t>
      </w:r>
      <w:bookmarkEnd w:id="523"/>
    </w:p>
    <w:p w14:paraId="63042DA5"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u w:val="single"/>
          <w:rtl/>
        </w:rPr>
        <w:t>דיינים שדנין על תנאים שבמלוה עצמו</w:t>
      </w:r>
      <w:r w:rsidRPr="001D49D4">
        <w:rPr>
          <w:rFonts w:ascii="Calibri" w:eastAsia="Calibri" w:hAnsi="Calibri" w:cs="Arial"/>
          <w:sz w:val="16"/>
          <w:szCs w:val="16"/>
          <w:u w:val="single"/>
          <w:rtl/>
        </w:rPr>
        <w:t xml:space="preserve"> (לאחר שהשטר קויים ובאים לדון מה להוציא וכו')</w:t>
      </w:r>
      <w:r w:rsidRPr="001D49D4">
        <w:rPr>
          <w:rFonts w:ascii="Calibri" w:eastAsia="Calibri" w:hAnsi="Calibri" w:cs="Arial"/>
          <w:u w:val="single"/>
          <w:rtl/>
        </w:rPr>
        <w:t xml:space="preserve"> – מהו שיהיו קרובים לעדי/דייני קיום:</w:t>
      </w:r>
    </w:p>
    <w:p w14:paraId="3257F566" w14:textId="77777777" w:rsidR="001D49D4" w:rsidRPr="001D49D4" w:rsidRDefault="001D49D4" w:rsidP="0004348D">
      <w:pPr>
        <w:numPr>
          <w:ilvl w:val="0"/>
          <w:numId w:val="290"/>
        </w:numPr>
        <w:spacing w:before="360" w:after="240"/>
        <w:contextualSpacing/>
      </w:pPr>
      <w:r w:rsidRPr="001D49D4">
        <w:rPr>
          <w:rtl/>
        </w:rPr>
        <w:t xml:space="preserve">רא"ה </w:t>
      </w:r>
      <w:r w:rsidRPr="001D49D4">
        <w:rPr>
          <w:sz w:val="16"/>
          <w:szCs w:val="16"/>
          <w:rtl/>
        </w:rPr>
        <w:t>(כח. ד"ה מתני', הביאו הר"ן)</w:t>
      </w:r>
      <w:r w:rsidRPr="001D49D4">
        <w:rPr>
          <w:rtl/>
        </w:rPr>
        <w:t xml:space="preserve">- </w:t>
      </w:r>
      <w:r w:rsidRPr="001D49D4">
        <w:rPr>
          <w:vertAlign w:val="superscript"/>
          <w:rtl/>
        </w:rPr>
        <w:footnoteReference w:id="3853"/>
      </w:r>
      <w:r w:rsidRPr="001D49D4">
        <w:rPr>
          <w:rtl/>
        </w:rPr>
        <w:t>דייני קיום יכולין להיות קרובים לדיינים שדנים על המלוה כל שאין צריכין דייני קיום עצמן להעיד על חתימתן בפניהם אלא שדייני מלוה מכירים אותה או שאחרים מעידין עליה</w:t>
      </w:r>
      <w:r w:rsidRPr="001D49D4">
        <w:rPr>
          <w:vertAlign w:val="superscript"/>
          <w:rtl/>
        </w:rPr>
        <w:footnoteReference w:id="3854"/>
      </w:r>
      <w:r w:rsidRPr="001D49D4">
        <w:rPr>
          <w:rtl/>
        </w:rPr>
        <w:t>.</w:t>
      </w:r>
    </w:p>
    <w:p w14:paraId="736E1774" w14:textId="77777777" w:rsidR="001D49D4" w:rsidRPr="001D49D4" w:rsidRDefault="001D49D4" w:rsidP="0004348D">
      <w:pPr>
        <w:numPr>
          <w:ilvl w:val="0"/>
          <w:numId w:val="290"/>
        </w:numPr>
        <w:spacing w:before="360" w:after="240"/>
        <w:contextualSpacing/>
      </w:pPr>
      <w:r w:rsidRPr="001D49D4">
        <w:rPr>
          <w:rtl/>
        </w:rPr>
        <w:t xml:space="preserve">ר"ן </w:t>
      </w:r>
      <w:r w:rsidRPr="001D49D4">
        <w:rPr>
          <w:sz w:val="16"/>
          <w:szCs w:val="16"/>
          <w:rtl/>
        </w:rPr>
        <w:t>(כתובות יב: מדפה"ר בסופו)</w:t>
      </w:r>
      <w:r w:rsidRPr="001D49D4">
        <w:rPr>
          <w:rtl/>
        </w:rPr>
        <w:t xml:space="preserve">- </w:t>
      </w:r>
      <w:r w:rsidRPr="001D49D4">
        <w:rPr>
          <w:vertAlign w:val="superscript"/>
          <w:rtl/>
        </w:rPr>
        <w:footnoteReference w:id="3855"/>
      </w:r>
      <w:r w:rsidRPr="001D49D4">
        <w:rPr>
          <w:rtl/>
        </w:rPr>
        <w:t xml:space="preserve">יכולים עידי קיום להיות קרובים לעידי השטר ולדייני מלוה כל שנתקיים השטר כבר ע"פ אחרים, אבל צריך להזהר שלא יהו עידי קיום קרובים לדייני קיום ושלא יהיו דייני קיום קרובים לדייני מלוה. </w:t>
      </w:r>
      <w:r w:rsidRPr="001D49D4">
        <w:rPr>
          <w:color w:val="E36C0A" w:themeColor="accent6" w:themeShade="BF"/>
          <w:rtl/>
        </w:rPr>
        <w:t xml:space="preserve">(וכ"ס בשו"ע </w:t>
      </w:r>
      <w:r w:rsidRPr="001D49D4">
        <w:rPr>
          <w:color w:val="000000" w:themeColor="text1"/>
          <w:sz w:val="16"/>
          <w:szCs w:val="16"/>
          <w:rtl/>
        </w:rPr>
        <w:t>[בסע' יז-יח, כאן ובסע' כג]</w:t>
      </w:r>
      <w:r w:rsidRPr="001D49D4">
        <w:rPr>
          <w:color w:val="E36C0A" w:themeColor="accent6" w:themeShade="BF"/>
          <w:rtl/>
        </w:rPr>
        <w:t>)</w:t>
      </w:r>
    </w:p>
    <w:p w14:paraId="6186AF54" w14:textId="77777777" w:rsidR="001D49D4" w:rsidRPr="001D49D4" w:rsidRDefault="001D49D4" w:rsidP="0004348D">
      <w:pPr>
        <w:spacing w:before="360" w:after="240"/>
        <w:rPr>
          <w:rFonts w:ascii="Arial" w:eastAsia="Calibri" w:hAnsi="Arial" w:cs="Arial"/>
          <w:b/>
          <w:bCs/>
          <w:color w:val="000000"/>
          <w:sz w:val="28"/>
          <w:szCs w:val="28"/>
          <w:u w:val="single"/>
          <w:rtl/>
        </w:rPr>
      </w:pPr>
      <w:r w:rsidRPr="001D49D4">
        <w:rPr>
          <w:rFonts w:ascii="Arial" w:eastAsia="Calibri" w:hAnsi="Arial" w:cs="Arial"/>
          <w:b/>
          <w:bCs/>
          <w:color w:val="000000"/>
          <w:sz w:val="28"/>
          <w:szCs w:val="28"/>
          <w:u w:val="single"/>
          <w:rtl/>
        </w:rPr>
        <w:t>שו"ע:</w:t>
      </w:r>
    </w:p>
    <w:p w14:paraId="070122D4"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rtl/>
        </w:rPr>
        <w:t>דייני קיום, צריך שיהיו רחוקים מדיינים שדנים על המלוה עצמה</w:t>
      </w:r>
      <w:r w:rsidRPr="001D49D4">
        <w:rPr>
          <w:rFonts w:ascii="Calibri" w:eastAsia="Calibri" w:hAnsi="Calibri" w:cs="Arial"/>
          <w:vertAlign w:val="superscript"/>
          <w:rtl/>
        </w:rPr>
        <w:footnoteReference w:id="3856"/>
      </w:r>
      <w:r w:rsidRPr="001D49D4">
        <w:rPr>
          <w:rFonts w:ascii="Calibri" w:eastAsia="Calibri" w:hAnsi="Calibri" w:cs="Arial"/>
          <w:rtl/>
        </w:rPr>
        <w:t xml:space="preserve">. ויש מכשירין. </w:t>
      </w:r>
    </w:p>
    <w:p w14:paraId="51A1D56A" w14:textId="77777777" w:rsidR="001D49D4" w:rsidRPr="001D49D4" w:rsidRDefault="001D49D4" w:rsidP="0004348D">
      <w:pPr>
        <w:spacing w:before="360" w:after="240"/>
        <w:rPr>
          <w:rFonts w:ascii="Calibri" w:eastAsia="Calibri" w:hAnsi="Calibri" w:cs="Arial"/>
          <w:rtl/>
        </w:rPr>
      </w:pPr>
    </w:p>
    <w:p w14:paraId="48851867" w14:textId="77777777" w:rsidR="001D49D4" w:rsidRPr="001D49D4" w:rsidRDefault="001D49D4" w:rsidP="0004348D">
      <w:pPr>
        <w:keepNext/>
        <w:keepLines/>
        <w:spacing w:before="360" w:after="240"/>
        <w:outlineLvl w:val="1"/>
        <w:rPr>
          <w:rFonts w:ascii="Cambria" w:eastAsia="Times New Roman" w:hAnsi="Cambria" w:cs="Arial"/>
          <w:bCs/>
          <w:color w:val="548DD4" w:themeColor="text2" w:themeTint="99"/>
          <w:sz w:val="26"/>
          <w:szCs w:val="26"/>
          <w:rtl/>
        </w:rPr>
      </w:pPr>
      <w:bookmarkStart w:id="524" w:name="_Toc24883957"/>
      <w:r w:rsidRPr="001D49D4">
        <w:rPr>
          <w:rFonts w:ascii="Cambria" w:eastAsia="Times New Roman" w:hAnsi="Cambria" w:cs="Arial"/>
          <w:bCs/>
          <w:color w:val="548DD4" w:themeColor="text2" w:themeTint="99"/>
          <w:sz w:val="26"/>
          <w:szCs w:val="26"/>
          <w:rtl/>
        </w:rPr>
        <w:t>סעיף כג: דיינים בתנאי המלוה שקרובים לעדי הקיום.</w:t>
      </w:r>
      <w:bookmarkEnd w:id="524"/>
    </w:p>
    <w:p w14:paraId="3505F98A"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rtl/>
        </w:rPr>
        <w:t>עיין במקורות בסעיף בקודם.</w:t>
      </w:r>
    </w:p>
    <w:p w14:paraId="4142FFF8" w14:textId="77777777" w:rsidR="001D49D4" w:rsidRPr="001D49D4" w:rsidRDefault="001D49D4" w:rsidP="0004348D">
      <w:pPr>
        <w:spacing w:before="360" w:after="240"/>
        <w:rPr>
          <w:rFonts w:ascii="Arial" w:eastAsia="Calibri" w:hAnsi="Arial" w:cs="Arial"/>
          <w:b/>
          <w:bCs/>
          <w:color w:val="000000"/>
          <w:sz w:val="28"/>
          <w:szCs w:val="28"/>
          <w:u w:val="single"/>
          <w:rtl/>
        </w:rPr>
      </w:pPr>
      <w:r w:rsidRPr="001D49D4">
        <w:rPr>
          <w:rFonts w:ascii="Arial" w:eastAsia="Calibri" w:hAnsi="Arial" w:cs="Arial"/>
          <w:b/>
          <w:bCs/>
          <w:color w:val="000000"/>
          <w:sz w:val="28"/>
          <w:szCs w:val="28"/>
          <w:u w:val="single"/>
          <w:rtl/>
        </w:rPr>
        <w:t>שו"ע:</w:t>
      </w:r>
    </w:p>
    <w:p w14:paraId="4262A8F5"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rtl/>
        </w:rPr>
        <w:t>עידי הקיום</w:t>
      </w:r>
      <w:r w:rsidRPr="001D49D4">
        <w:rPr>
          <w:rFonts w:ascii="Calibri" w:eastAsia="Calibri" w:hAnsi="Calibri" w:cs="Arial"/>
          <w:vertAlign w:val="superscript"/>
          <w:rtl/>
        </w:rPr>
        <w:footnoteReference w:id="3857"/>
      </w:r>
      <w:r w:rsidRPr="001D49D4">
        <w:rPr>
          <w:rFonts w:ascii="Calibri" w:eastAsia="Calibri" w:hAnsi="Calibri" w:cs="Arial"/>
          <w:rtl/>
        </w:rPr>
        <w:t xml:space="preserve"> יכולים להיות קרובים לדייני המלוה. </w:t>
      </w:r>
    </w:p>
    <w:p w14:paraId="5DF88D01" w14:textId="77777777" w:rsidR="001D49D4" w:rsidRPr="001D49D4" w:rsidRDefault="001D49D4" w:rsidP="0004348D">
      <w:pPr>
        <w:spacing w:before="360" w:after="240"/>
        <w:rPr>
          <w:rFonts w:ascii="Calibri" w:eastAsia="Calibri" w:hAnsi="Calibri" w:cs="Arial"/>
          <w:rtl/>
        </w:rPr>
      </w:pPr>
    </w:p>
    <w:p w14:paraId="23463C93" w14:textId="77777777" w:rsidR="001D49D4" w:rsidRPr="001D49D4" w:rsidRDefault="001D49D4" w:rsidP="0004348D">
      <w:pPr>
        <w:keepNext/>
        <w:keepLines/>
        <w:spacing w:before="360" w:after="240"/>
        <w:outlineLvl w:val="1"/>
        <w:rPr>
          <w:rFonts w:ascii="Cambria" w:eastAsia="Times New Roman" w:hAnsi="Cambria" w:cs="Arial"/>
          <w:bCs/>
          <w:color w:val="548DD4" w:themeColor="text2" w:themeTint="99"/>
          <w:sz w:val="26"/>
          <w:szCs w:val="26"/>
          <w:rtl/>
        </w:rPr>
      </w:pPr>
      <w:bookmarkStart w:id="525" w:name="_Toc24883958"/>
      <w:r w:rsidRPr="001D49D4">
        <w:rPr>
          <w:rFonts w:ascii="Cambria" w:eastAsia="Times New Roman" w:hAnsi="Cambria" w:cs="Arial"/>
          <w:bCs/>
          <w:color w:val="548DD4" w:themeColor="text2" w:themeTint="99"/>
          <w:sz w:val="26"/>
          <w:szCs w:val="26"/>
          <w:rtl/>
        </w:rPr>
        <w:t>סעיף כד: ג' שישבו לקיים השטר ב' מהם מכירין חתימת ידי העדים ואחד אינו מכיר.</w:t>
      </w:r>
      <w:bookmarkEnd w:id="525"/>
    </w:p>
    <w:p w14:paraId="588EABBE"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b/>
          <w:bCs/>
          <w:rtl/>
        </w:rPr>
        <w:t>כתובות</w:t>
      </w:r>
      <w:r w:rsidRPr="001D49D4">
        <w:rPr>
          <w:rFonts w:ascii="Calibri" w:eastAsia="Calibri" w:hAnsi="Calibri" w:cs="Arial"/>
          <w:b/>
          <w:bCs/>
          <w:sz w:val="16"/>
          <w:szCs w:val="16"/>
          <w:rtl/>
        </w:rPr>
        <w:t xml:space="preserve"> (פ"ב) </w:t>
      </w:r>
      <w:r w:rsidRPr="001D49D4">
        <w:rPr>
          <w:rFonts w:ascii="Calibri" w:eastAsia="Calibri" w:hAnsi="Calibri" w:cs="Arial"/>
          <w:b/>
          <w:bCs/>
          <w:rtl/>
        </w:rPr>
        <w:t>כא</w:t>
      </w:r>
      <w:r w:rsidRPr="001D49D4">
        <w:rPr>
          <w:rFonts w:ascii="Calibri" w:eastAsia="Calibri" w:hAnsi="Calibri" w:cs="Arial"/>
          <w:b/>
          <w:bCs/>
          <w:vertAlign w:val="superscript"/>
          <w:rtl/>
        </w:rPr>
        <w:footnoteReference w:id="3858"/>
      </w:r>
      <w:r w:rsidRPr="001D49D4">
        <w:rPr>
          <w:rFonts w:ascii="Calibri" w:eastAsia="Calibri" w:hAnsi="Calibri" w:cs="Arial"/>
          <w:b/>
          <w:bCs/>
          <w:rtl/>
        </w:rPr>
        <w:t xml:space="preserve"> ע"ב:</w:t>
      </w:r>
      <w:r w:rsidRPr="001D49D4">
        <w:rPr>
          <w:rFonts w:ascii="Calibri" w:eastAsia="Calibri" w:hAnsi="Calibri" w:cs="Arial"/>
          <w:rtl/>
        </w:rPr>
        <w:t xml:space="preserve"> </w:t>
      </w:r>
      <w:r w:rsidRPr="001D49D4">
        <w:rPr>
          <w:rFonts w:ascii="Calibri" w:eastAsia="Calibri" w:hAnsi="Calibri" w:cs="Arial"/>
          <w:u w:val="single"/>
          <w:rtl/>
        </w:rPr>
        <w:t>אמר רב הונא אמר רב</w:t>
      </w:r>
      <w:r w:rsidRPr="001D49D4">
        <w:rPr>
          <w:rFonts w:ascii="Calibri" w:eastAsia="Calibri" w:hAnsi="Calibri" w:cs="Arial"/>
          <w:rtl/>
        </w:rPr>
        <w:t>: שלשה שישבו לקיים את השטר, שנים מכירין חתימות ידי עדים ואחד אינו מכיר, עד שלא חתמו</w:t>
      </w:r>
      <w:r w:rsidRPr="001D49D4">
        <w:rPr>
          <w:rFonts w:ascii="Calibri" w:eastAsia="Calibri" w:hAnsi="Calibri" w:cs="Arial"/>
          <w:vertAlign w:val="superscript"/>
          <w:rtl/>
        </w:rPr>
        <w:footnoteReference w:id="3859"/>
      </w:r>
      <w:r w:rsidRPr="001D49D4">
        <w:rPr>
          <w:rFonts w:ascii="Calibri" w:eastAsia="Calibri" w:hAnsi="Calibri" w:cs="Arial"/>
          <w:rtl/>
        </w:rPr>
        <w:t xml:space="preserve"> - מעידין</w:t>
      </w:r>
      <w:r w:rsidRPr="001D49D4">
        <w:rPr>
          <w:rFonts w:ascii="Calibri" w:eastAsia="Calibri" w:hAnsi="Calibri" w:cs="Arial"/>
          <w:vertAlign w:val="superscript"/>
          <w:rtl/>
        </w:rPr>
        <w:footnoteReference w:id="3860"/>
      </w:r>
      <w:r w:rsidRPr="001D49D4">
        <w:rPr>
          <w:rFonts w:ascii="Calibri" w:eastAsia="Calibri" w:hAnsi="Calibri" w:cs="Arial"/>
          <w:rtl/>
        </w:rPr>
        <w:t xml:space="preserve"> בפניו וחותם</w:t>
      </w:r>
      <w:r w:rsidRPr="001D49D4">
        <w:rPr>
          <w:rFonts w:ascii="Calibri" w:eastAsia="Calibri" w:hAnsi="Calibri" w:cs="Arial"/>
          <w:vertAlign w:val="superscript"/>
          <w:rtl/>
        </w:rPr>
        <w:footnoteReference w:id="3861"/>
      </w:r>
      <w:r w:rsidRPr="001D49D4">
        <w:rPr>
          <w:rFonts w:ascii="Calibri" w:eastAsia="Calibri" w:hAnsi="Calibri" w:cs="Arial"/>
          <w:rtl/>
        </w:rPr>
        <w:t>, משחתמו - אין מעידין בפניו וחותם</w:t>
      </w:r>
      <w:r w:rsidRPr="001D49D4">
        <w:rPr>
          <w:rFonts w:ascii="Calibri" w:eastAsia="Calibri" w:hAnsi="Calibri" w:cs="Arial"/>
          <w:vertAlign w:val="superscript"/>
          <w:rtl/>
        </w:rPr>
        <w:footnoteReference w:id="3862"/>
      </w:r>
      <w:r w:rsidRPr="001D49D4">
        <w:rPr>
          <w:rFonts w:ascii="Calibri" w:eastAsia="Calibri" w:hAnsi="Calibri" w:cs="Arial"/>
          <w:rtl/>
        </w:rPr>
        <w:t xml:space="preserve">. ומי כתבינן? </w:t>
      </w:r>
      <w:r w:rsidRPr="001D49D4">
        <w:rPr>
          <w:rFonts w:ascii="Calibri" w:eastAsia="Calibri" w:hAnsi="Calibri" w:cs="Arial"/>
          <w:u w:val="single"/>
          <w:rtl/>
        </w:rPr>
        <w:t>והאמר רב פפי משמיה דרבא</w:t>
      </w:r>
      <w:r w:rsidRPr="001D49D4">
        <w:rPr>
          <w:rFonts w:ascii="Calibri" w:eastAsia="Calibri" w:hAnsi="Calibri" w:cs="Arial"/>
          <w:rtl/>
        </w:rPr>
        <w:t>: האי אשרתא דדייני דניכתב מקמיה דניחוו סהדי אחתימת ידייהו - פסולה, דמתחזי כשקרא, הכא נמי מתחזי כשקרא! אלא אימא: עד שלא כתבו - מעידין בפניו וחותם, משכתבו - אין מעידין בפניו וחותם. ש"מ תלת: ש"מ עד נעשה דיין, וש"מ דיינין המכירין חתימות ידי עדים - אינן צריכין להעיד בפניהם, וש"מ דיינין שאין מכירין חתימות ידי עדים - צריכין להעיד בפני כל אחד ואחד.</w:t>
      </w:r>
      <w:r w:rsidRPr="001D49D4">
        <w:rPr>
          <w:rFonts w:ascii="Calibri" w:eastAsia="Calibri" w:hAnsi="Calibri" w:cs="Arial"/>
          <w:sz w:val="16"/>
          <w:szCs w:val="16"/>
          <w:rtl/>
        </w:rPr>
        <w:t xml:space="preserve"> (וכתב הרי"ף (ח:) דלא קיי"ל כרב פפי מדאמרינן בפרק הכותב (שם פה.) ובפרק כל הגט (גיטין כו:) דליתא לדרב פפי. וכן דעת הרמב"ם פ"ז מהלכות עדות (ה"ו) שכתב עד שלא חתמו מעידין וכו' משחתמו אין מעידין. והרא"ש (סי' יט) הקשה על דברי הרי"ף ולפיכך כתב דהא דקאמר ליתא לדרב פפי היינו דוקא בשאר שטרות שאינם מעשה בית דין כי ההיא דכל הגט ופרק הכותב, והכי פירושא - ליתא להאי פירכא דפריך מרב פפי לרב ביבי בר אביי דלא חייש למיחזי כשיקרא בשאר שטרות אבל דרב פפי איתא בקיום שטרות, והכא פריך מקיום שטרות לקיום שטרות, דרב מודי דחיישינן למיחזי כשיקרא בקיום שטרות, ודלא כהרי"ף שפסק דליתא לדרב פפי כלל. ורבינו נמשך אחרי דעת הרא"ש וכתב עד שלא כתבו וכו', ב"י)</w:t>
      </w:r>
    </w:p>
    <w:p w14:paraId="745F77C7" w14:textId="77777777" w:rsidR="001D49D4" w:rsidRPr="001D49D4" w:rsidRDefault="001D49D4" w:rsidP="0004348D">
      <w:pPr>
        <w:spacing w:before="360" w:after="240"/>
        <w:rPr>
          <w:rFonts w:ascii="Calibri" w:eastAsia="Calibri" w:hAnsi="Calibri" w:cs="Arial"/>
          <w:u w:val="single"/>
          <w:rtl/>
        </w:rPr>
      </w:pPr>
      <w:r w:rsidRPr="001D49D4">
        <w:rPr>
          <w:rFonts w:ascii="Calibri" w:eastAsia="Calibri" w:hAnsi="Calibri" w:cs="Arial"/>
          <w:u w:val="single"/>
          <w:rtl/>
        </w:rPr>
        <w:t xml:space="preserve">ג' שישבו לקיים השטר ב' מהם מכירין חתימת ידי העדים ואחד אינו מכיר: </w:t>
      </w:r>
    </w:p>
    <w:p w14:paraId="0D8312BE" w14:textId="77777777" w:rsidR="001D49D4" w:rsidRPr="001D49D4" w:rsidRDefault="001D49D4" w:rsidP="0004348D">
      <w:pPr>
        <w:numPr>
          <w:ilvl w:val="0"/>
          <w:numId w:val="291"/>
        </w:numPr>
        <w:spacing w:before="360" w:after="240"/>
        <w:contextualSpacing/>
        <w:rPr>
          <w:rtl/>
        </w:rPr>
      </w:pPr>
      <w:r w:rsidRPr="001D49D4">
        <w:rPr>
          <w:rtl/>
        </w:rPr>
        <w:t xml:space="preserve">רא"ש </w:t>
      </w:r>
      <w:r w:rsidRPr="001D49D4">
        <w:rPr>
          <w:sz w:val="16"/>
          <w:szCs w:val="16"/>
          <w:rtl/>
        </w:rPr>
        <w:t xml:space="preserve">(סי' יט) </w:t>
      </w:r>
      <w:r w:rsidRPr="001D49D4">
        <w:rPr>
          <w:rtl/>
        </w:rPr>
        <w:t>וטור- ג' שישבו לקיים השטר ב' מהם מכירין חתימת ידי העדים ואחד אינו מכיר, עד שלא כתבו הקיום - מעידים השנים לפניו והוא חותם עם הב' האחרים, לפי שעד נעשה דיין. אבל משכתבו אפילו לא חתמו עדיין - אין יכולין להעיד בפני הג' כדי שיחתום עמהם, שדיינין שאין מכירין חתימת ידי העדים צריך שיעידו בפני כל אחד ואחד קודם שיכתבו הקיום. אבל אם העידו בפני שנים מהם וכתבו אותו ואח"כ העידו בפני השלישי – פסול, משום דמיחזי כשיקרא, שכתוב 'במותב תלתא הוינא ואישתמודענא דהוא חתימות ידייהו', ובשעה שכתבו לא ידע השלישי שהוא חתימת ידיהם</w:t>
      </w:r>
      <w:r w:rsidRPr="001D49D4">
        <w:rPr>
          <w:sz w:val="16"/>
          <w:szCs w:val="16"/>
          <w:rtl/>
        </w:rPr>
        <w:t xml:space="preserve"> (ל' הטור)</w:t>
      </w:r>
      <w:r w:rsidRPr="001D49D4">
        <w:rPr>
          <w:rtl/>
        </w:rPr>
        <w:t xml:space="preserve">. </w:t>
      </w:r>
    </w:p>
    <w:p w14:paraId="7872C9D4" w14:textId="77777777" w:rsidR="001D49D4" w:rsidRPr="001D49D4" w:rsidRDefault="001D49D4" w:rsidP="0004348D">
      <w:pPr>
        <w:numPr>
          <w:ilvl w:val="0"/>
          <w:numId w:val="291"/>
        </w:numPr>
        <w:spacing w:before="360" w:after="240"/>
        <w:contextualSpacing/>
      </w:pPr>
      <w:r w:rsidRPr="001D49D4">
        <w:rPr>
          <w:rtl/>
        </w:rPr>
        <w:t>רי"ף</w:t>
      </w:r>
      <w:r w:rsidRPr="001D49D4">
        <w:rPr>
          <w:sz w:val="16"/>
          <w:szCs w:val="16"/>
          <w:rtl/>
        </w:rPr>
        <w:t xml:space="preserve"> (ח:)</w:t>
      </w:r>
      <w:r w:rsidRPr="001D49D4">
        <w:rPr>
          <w:rtl/>
        </w:rPr>
        <w:t xml:space="preserve"> ורמב"ם </w:t>
      </w:r>
      <w:r w:rsidRPr="001D49D4">
        <w:rPr>
          <w:sz w:val="16"/>
          <w:szCs w:val="16"/>
          <w:rtl/>
        </w:rPr>
        <w:t>(הל' עדות עי' לקמן)</w:t>
      </w:r>
      <w:r w:rsidRPr="001D49D4">
        <w:rPr>
          <w:rtl/>
        </w:rPr>
        <w:t>- שלשה שישבו לקיים את השטר, שנים מהן מכירין חתימת ידי עדים ואחד אינו מכיר, עד שלא חתמו - מעידין בפניו וחותם</w:t>
      </w:r>
      <w:r w:rsidRPr="001D49D4">
        <w:rPr>
          <w:vertAlign w:val="superscript"/>
          <w:rtl/>
        </w:rPr>
        <w:footnoteReference w:id="3863"/>
      </w:r>
      <w:r w:rsidRPr="001D49D4">
        <w:rPr>
          <w:rtl/>
        </w:rPr>
        <w:t>, שהעדים נעשים דיינים בדבר שהוא מדבריהם כמו שבארנו. אבל אחר שחתמו - אין מעידין בפניו וחותם, שהרי בעת שחתמו לא היו מכירין אלא השנים. ואין מקיימין אלא עד שיהיו שלשתן מכירין או יעידו העדים על הכתב בפני כל אחד ואחד</w:t>
      </w:r>
      <w:r w:rsidRPr="001D49D4">
        <w:rPr>
          <w:sz w:val="16"/>
          <w:szCs w:val="16"/>
          <w:rtl/>
        </w:rPr>
        <w:t xml:space="preserve"> (ל' הרמב"ם פ"ז ה"ו)</w:t>
      </w:r>
      <w:r w:rsidRPr="001D49D4">
        <w:rPr>
          <w:rtl/>
        </w:rPr>
        <w:t xml:space="preserve">. ומותר לכתוב הקיום בשטר קודם שיתקיים השטר, שאין הכתיבה עיקר אלא החתימה </w:t>
      </w:r>
      <w:r w:rsidRPr="001D49D4">
        <w:rPr>
          <w:sz w:val="16"/>
          <w:szCs w:val="16"/>
          <w:rtl/>
        </w:rPr>
        <w:t>(ל' הרמב"ם סוף פ"ו)</w:t>
      </w:r>
      <w:r w:rsidRPr="001D49D4">
        <w:rPr>
          <w:rtl/>
        </w:rPr>
        <w:t>.</w:t>
      </w:r>
      <w:r w:rsidRPr="001D49D4">
        <w:rPr>
          <w:color w:val="E36C0A" w:themeColor="accent6" w:themeShade="BF"/>
          <w:rtl/>
        </w:rPr>
        <w:t xml:space="preserve"> (וכ"ס בשו"ע)</w:t>
      </w:r>
      <w:r w:rsidRPr="001D49D4">
        <w:rPr>
          <w:rtl/>
        </w:rPr>
        <w:t>(וכ"פ הש"ך</w:t>
      </w:r>
      <w:r w:rsidRPr="001D49D4">
        <w:rPr>
          <w:vertAlign w:val="superscript"/>
          <w:rtl/>
        </w:rPr>
        <w:footnoteReference w:id="3864"/>
      </w:r>
      <w:r w:rsidRPr="001D49D4">
        <w:rPr>
          <w:rtl/>
        </w:rPr>
        <w:t>)</w:t>
      </w:r>
    </w:p>
    <w:p w14:paraId="66B5BCCE" w14:textId="77777777" w:rsidR="001D49D4" w:rsidRPr="001D49D4" w:rsidRDefault="001D49D4" w:rsidP="0004348D">
      <w:pPr>
        <w:numPr>
          <w:ilvl w:val="0"/>
          <w:numId w:val="291"/>
        </w:numPr>
        <w:spacing w:before="360" w:after="240"/>
        <w:contextualSpacing/>
      </w:pPr>
      <w:r w:rsidRPr="001D49D4">
        <w:rPr>
          <w:rtl/>
        </w:rPr>
        <w:t xml:space="preserve">שלט"ג </w:t>
      </w:r>
      <w:r w:rsidRPr="001D49D4">
        <w:rPr>
          <w:sz w:val="16"/>
          <w:szCs w:val="16"/>
          <w:rtl/>
        </w:rPr>
        <w:t>(פ"ב דכתובות ח: מדפה"ר, הביאו הש"ך [סקנ"ח])</w:t>
      </w:r>
      <w:r w:rsidRPr="001D49D4">
        <w:rPr>
          <w:rtl/>
        </w:rPr>
        <w:t>- מז"ה אומר שאחר שכתבו השנים הקיום וחתמו, אינן יכולים להעיד בפני השלישי שיחתום עמהם, ואני אומר שאף לאחר שכתבו וחתמו - מעידים בפני השלישי וחותם עמהם, כמבואר בקונטרס הראיות. וכך היא שיטת ר"ח ז"ל. וכן יכולים הדיינים לכתוב הקיום ולחתום בו אפילו עד שלא יעידו בפניהם, ובלבד שלא יצא מתחת ידם עד שיעידו בפניהם, כמבואר בקונטרס הראיות</w:t>
      </w:r>
      <w:r w:rsidRPr="001D49D4">
        <w:rPr>
          <w:vertAlign w:val="superscript"/>
          <w:rtl/>
        </w:rPr>
        <w:footnoteReference w:id="3865"/>
      </w:r>
      <w:r w:rsidRPr="001D49D4">
        <w:rPr>
          <w:rtl/>
        </w:rPr>
        <w:t xml:space="preserve">. </w:t>
      </w:r>
    </w:p>
    <w:p w14:paraId="65190F2A" w14:textId="77777777" w:rsidR="001D49D4" w:rsidRPr="001D49D4" w:rsidRDefault="001D49D4" w:rsidP="0004348D">
      <w:pPr>
        <w:numPr>
          <w:ilvl w:val="1"/>
          <w:numId w:val="291"/>
        </w:numPr>
        <w:spacing w:before="360" w:after="240"/>
        <w:contextualSpacing/>
      </w:pPr>
      <w:r w:rsidRPr="001D49D4">
        <w:rPr>
          <w:rtl/>
        </w:rPr>
        <w:t xml:space="preserve">ב"י </w:t>
      </w:r>
      <w:r w:rsidRPr="001D49D4">
        <w:rPr>
          <w:sz w:val="16"/>
          <w:szCs w:val="16"/>
          <w:rtl/>
        </w:rPr>
        <w:t>(בבדה"ב)</w:t>
      </w:r>
      <w:r w:rsidRPr="001D49D4">
        <w:rPr>
          <w:rtl/>
        </w:rPr>
        <w:t>- ולענין הלכה כיון שהרי"ף והרמב"ם מסכימים לדעת אחת הכי נקטינן.</w:t>
      </w:r>
    </w:p>
    <w:p w14:paraId="0D67A06B" w14:textId="77777777" w:rsidR="001D49D4" w:rsidRPr="001D49D4" w:rsidRDefault="001D49D4" w:rsidP="0004348D">
      <w:pPr>
        <w:spacing w:before="360" w:after="240"/>
        <w:rPr>
          <w:rFonts w:ascii="Calibri" w:eastAsia="Calibri" w:hAnsi="Calibri" w:cs="Arial"/>
          <w:u w:val="single"/>
        </w:rPr>
      </w:pPr>
      <w:r w:rsidRPr="001D49D4">
        <w:rPr>
          <w:rFonts w:ascii="Calibri" w:eastAsia="Calibri" w:hAnsi="Calibri" w:cs="Arial"/>
          <w:u w:val="single"/>
          <w:rtl/>
        </w:rPr>
        <w:t>עד החתום בשטר – האם יכול להיות דיין קיום על אותו השטר ולקבל עדות על העד השני שחתום איתו בשטר:</w:t>
      </w:r>
    </w:p>
    <w:p w14:paraId="5B81DA66" w14:textId="77777777" w:rsidR="001D49D4" w:rsidRPr="001D49D4" w:rsidRDefault="001D49D4" w:rsidP="0004348D">
      <w:pPr>
        <w:numPr>
          <w:ilvl w:val="0"/>
          <w:numId w:val="291"/>
        </w:numPr>
        <w:spacing w:before="360" w:after="240"/>
        <w:contextualSpacing/>
      </w:pPr>
      <w:r w:rsidRPr="001D49D4">
        <w:rPr>
          <w:rtl/>
        </w:rPr>
        <w:t xml:space="preserve">רשב"א </w:t>
      </w:r>
      <w:r w:rsidRPr="001D49D4">
        <w:rPr>
          <w:sz w:val="16"/>
          <w:szCs w:val="16"/>
          <w:rtl/>
        </w:rPr>
        <w:t>(סי' תתקסט)</w:t>
      </w:r>
      <w:r w:rsidRPr="001D49D4">
        <w:rPr>
          <w:rtl/>
        </w:rPr>
        <w:t>- עד החתום על השטר יכול להיות דיין לקבל עדות על עד השני שחתום עמו בשטר</w:t>
      </w:r>
      <w:r w:rsidRPr="001D49D4">
        <w:rPr>
          <w:vertAlign w:val="superscript"/>
          <w:rtl/>
        </w:rPr>
        <w:footnoteReference w:id="3866"/>
      </w:r>
      <w:r w:rsidRPr="001D49D4">
        <w:rPr>
          <w:rtl/>
        </w:rPr>
        <w:t>.</w:t>
      </w:r>
    </w:p>
    <w:p w14:paraId="1FA4575E" w14:textId="77777777" w:rsidR="001D49D4" w:rsidRPr="001D49D4" w:rsidRDefault="001D49D4" w:rsidP="0004348D">
      <w:pPr>
        <w:spacing w:before="360" w:after="240"/>
        <w:rPr>
          <w:rFonts w:ascii="Arial" w:eastAsia="Calibri" w:hAnsi="Arial" w:cs="Arial"/>
          <w:b/>
          <w:bCs/>
          <w:color w:val="000000"/>
          <w:sz w:val="28"/>
          <w:szCs w:val="28"/>
          <w:u w:val="single"/>
          <w:rtl/>
        </w:rPr>
      </w:pPr>
      <w:r w:rsidRPr="001D49D4">
        <w:rPr>
          <w:rFonts w:ascii="Arial" w:eastAsia="Calibri" w:hAnsi="Arial" w:cs="Arial"/>
          <w:b/>
          <w:bCs/>
          <w:color w:val="000000"/>
          <w:sz w:val="28"/>
          <w:szCs w:val="28"/>
          <w:u w:val="single"/>
          <w:rtl/>
        </w:rPr>
        <w:t>שו"ע:</w:t>
      </w:r>
    </w:p>
    <w:p w14:paraId="7EB88298"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rtl/>
        </w:rPr>
        <w:t>שלשה שישבו לקיים את השטר, שנים מהם מכירים חתימת ידי העדים ואחד אינו מכיר, עד שלא חתמו מעידין בפניו וחותם. משחתמו, אין מעידים בפניו וחותם. ומותר לכתוב הקיום בשטר קודם שיתקיים השטר, שאין הכתיבה עיקר אלא החתימה</w:t>
      </w:r>
      <w:r w:rsidRPr="001D49D4">
        <w:rPr>
          <w:rFonts w:ascii="Calibri" w:eastAsia="Calibri" w:hAnsi="Calibri" w:cs="Arial"/>
          <w:vertAlign w:val="superscript"/>
          <w:rtl/>
        </w:rPr>
        <w:footnoteReference w:id="3867"/>
      </w:r>
      <w:r w:rsidRPr="001D49D4">
        <w:rPr>
          <w:rFonts w:ascii="Calibri" w:eastAsia="Calibri" w:hAnsi="Calibri" w:cs="Arial"/>
          <w:rtl/>
        </w:rPr>
        <w:t>. ויש חולקים</w:t>
      </w:r>
      <w:r w:rsidRPr="001D49D4">
        <w:rPr>
          <w:rFonts w:ascii="Calibri" w:eastAsia="Calibri" w:hAnsi="Calibri" w:cs="Arial"/>
          <w:vertAlign w:val="superscript"/>
          <w:rtl/>
        </w:rPr>
        <w:footnoteReference w:id="3868"/>
      </w:r>
      <w:r w:rsidRPr="001D49D4">
        <w:rPr>
          <w:rFonts w:ascii="Calibri" w:eastAsia="Calibri" w:hAnsi="Calibri" w:cs="Arial"/>
          <w:rtl/>
        </w:rPr>
        <w:t xml:space="preserve">. </w:t>
      </w:r>
    </w:p>
    <w:p w14:paraId="0776EC12" w14:textId="77777777" w:rsidR="001D49D4" w:rsidRPr="001D49D4" w:rsidRDefault="001D49D4" w:rsidP="0004348D">
      <w:pPr>
        <w:spacing w:before="360" w:after="240"/>
        <w:rPr>
          <w:rFonts w:ascii="Calibri" w:eastAsia="Calibri" w:hAnsi="Calibri" w:cs="Arial"/>
          <w:rtl/>
        </w:rPr>
      </w:pPr>
    </w:p>
    <w:p w14:paraId="784B22E9" w14:textId="77777777" w:rsidR="001D49D4" w:rsidRPr="001D49D4" w:rsidRDefault="001D49D4" w:rsidP="0004348D">
      <w:pPr>
        <w:keepNext/>
        <w:keepLines/>
        <w:spacing w:before="360" w:after="240"/>
        <w:outlineLvl w:val="1"/>
        <w:rPr>
          <w:rFonts w:ascii="Cambria" w:eastAsia="Times New Roman" w:hAnsi="Cambria" w:cs="Arial"/>
          <w:bCs/>
          <w:color w:val="548DD4" w:themeColor="text2" w:themeTint="99"/>
          <w:sz w:val="26"/>
          <w:szCs w:val="26"/>
          <w:rtl/>
        </w:rPr>
      </w:pPr>
      <w:bookmarkStart w:id="526" w:name="_Toc24883959"/>
      <w:r w:rsidRPr="001D49D4">
        <w:rPr>
          <w:rFonts w:ascii="Cambria" w:eastAsia="Times New Roman" w:hAnsi="Cambria" w:cs="Arial"/>
          <w:bCs/>
          <w:color w:val="548DD4" w:themeColor="text2" w:themeTint="99"/>
          <w:sz w:val="26"/>
          <w:szCs w:val="26"/>
          <w:rtl/>
        </w:rPr>
        <w:t>סעיף כה: דייני קיום שכל אחד מהם קיבל עדות על החתימות בפני עצמו.</w:t>
      </w:r>
      <w:bookmarkEnd w:id="526"/>
    </w:p>
    <w:p w14:paraId="75874392"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u w:val="single"/>
          <w:rtl/>
        </w:rPr>
        <w:t>האם צריכים להעיד בפני ג' הדיינים בפעם אחת או שאפשר להעיד בפני כל אחד בעצמו:</w:t>
      </w:r>
    </w:p>
    <w:p w14:paraId="61382CDA" w14:textId="77777777" w:rsidR="001D49D4" w:rsidRPr="001D49D4" w:rsidRDefault="001D49D4" w:rsidP="0004348D">
      <w:pPr>
        <w:numPr>
          <w:ilvl w:val="0"/>
          <w:numId w:val="291"/>
        </w:numPr>
        <w:spacing w:before="360" w:after="240"/>
        <w:contextualSpacing/>
        <w:rPr>
          <w:rtl/>
        </w:rPr>
      </w:pPr>
      <w:r w:rsidRPr="001D49D4">
        <w:rPr>
          <w:rtl/>
        </w:rPr>
        <w:t xml:space="preserve">רא"ש </w:t>
      </w:r>
      <w:r w:rsidRPr="001D49D4">
        <w:rPr>
          <w:sz w:val="16"/>
          <w:szCs w:val="16"/>
          <w:rtl/>
        </w:rPr>
        <w:t xml:space="preserve">(פ"ב סי' יט) </w:t>
      </w:r>
      <w:r w:rsidRPr="001D49D4">
        <w:rPr>
          <w:rtl/>
        </w:rPr>
        <w:t>וטור</w:t>
      </w:r>
      <w:r w:rsidRPr="001D49D4">
        <w:rPr>
          <w:vertAlign w:val="superscript"/>
          <w:rtl/>
        </w:rPr>
        <w:footnoteReference w:id="3869"/>
      </w:r>
      <w:r w:rsidRPr="001D49D4">
        <w:rPr>
          <w:rtl/>
        </w:rPr>
        <w:t>- יש לדקדק מכאן</w:t>
      </w:r>
      <w:r w:rsidRPr="001D49D4">
        <w:rPr>
          <w:sz w:val="16"/>
          <w:szCs w:val="16"/>
          <w:rtl/>
        </w:rPr>
        <w:t xml:space="preserve"> {מהא דאמר רב הונא אמר רב}</w:t>
      </w:r>
      <w:r w:rsidRPr="001D49D4">
        <w:rPr>
          <w:rtl/>
        </w:rPr>
        <w:t xml:space="preserve"> שאין צריך להעיד על חתימת העדים בפני כל שלשתן יחד, אלא די שיעידו בפני כל אחד ואחד בפני עצמו. דלא פסלינן הכא אלא משום שכתבו שקר</w:t>
      </w:r>
      <w:r w:rsidRPr="001D49D4">
        <w:rPr>
          <w:sz w:val="16"/>
          <w:szCs w:val="16"/>
          <w:rtl/>
        </w:rPr>
        <w:t xml:space="preserve"> (ל' הרא"ש)</w:t>
      </w:r>
      <w:r w:rsidRPr="001D49D4">
        <w:rPr>
          <w:vertAlign w:val="superscript"/>
          <w:rtl/>
        </w:rPr>
        <w:footnoteReference w:id="3870"/>
      </w:r>
      <w:r w:rsidRPr="001D49D4">
        <w:rPr>
          <w:rtl/>
        </w:rPr>
        <w:t xml:space="preserve">. </w:t>
      </w:r>
    </w:p>
    <w:p w14:paraId="431D87EE" w14:textId="77777777" w:rsidR="001D49D4" w:rsidRPr="001D49D4" w:rsidRDefault="001D49D4" w:rsidP="0004348D">
      <w:pPr>
        <w:numPr>
          <w:ilvl w:val="0"/>
          <w:numId w:val="291"/>
        </w:numPr>
        <w:spacing w:before="360" w:after="240"/>
        <w:contextualSpacing/>
      </w:pPr>
      <w:r w:rsidRPr="001D49D4">
        <w:rPr>
          <w:rtl/>
        </w:rPr>
        <w:t xml:space="preserve">רשב"א </w:t>
      </w:r>
      <w:r w:rsidRPr="001D49D4">
        <w:rPr>
          <w:sz w:val="16"/>
          <w:szCs w:val="16"/>
          <w:rtl/>
        </w:rPr>
        <w:t>(במיוחסות סי' צא)</w:t>
      </w:r>
      <w:r w:rsidRPr="001D49D4">
        <w:rPr>
          <w:rtl/>
        </w:rPr>
        <w:t>- אם באו עדים והעידו שבשעה שנתקיים בפניהם לא היו במעמד אחד אלא כל אחד קבל עדות בפני עצמו - ודאי פסול הקיום ואין בו ממש, לפי שקבלת העדות צריכה להיות בב"ד</w:t>
      </w:r>
      <w:r w:rsidRPr="001D49D4">
        <w:rPr>
          <w:vertAlign w:val="superscript"/>
          <w:rtl/>
        </w:rPr>
        <w:footnoteReference w:id="3871"/>
      </w:r>
      <w:r w:rsidRPr="001D49D4">
        <w:rPr>
          <w:rtl/>
        </w:rPr>
        <w:t>, ומ"מ בחתימה אין צריכים להיות ביחד אלא אפי' חתם כל אחד בפני עצמו כשר.</w:t>
      </w:r>
      <w:r w:rsidRPr="001D49D4">
        <w:rPr>
          <w:color w:val="E36C0A" w:themeColor="accent6" w:themeShade="BF"/>
          <w:rtl/>
        </w:rPr>
        <w:t xml:space="preserve"> (וכ"ס בשו"ע)</w:t>
      </w:r>
      <w:r w:rsidRPr="001D49D4">
        <w:rPr>
          <w:rtl/>
        </w:rPr>
        <w:t xml:space="preserve"> (וכ"פ הש"ך</w:t>
      </w:r>
      <w:r w:rsidRPr="001D49D4">
        <w:rPr>
          <w:sz w:val="16"/>
          <w:szCs w:val="16"/>
          <w:rtl/>
        </w:rPr>
        <w:t xml:space="preserve"> [ס"ק סג]</w:t>
      </w:r>
      <w:r w:rsidRPr="001D49D4">
        <w:rPr>
          <w:rtl/>
        </w:rPr>
        <w:t>)</w:t>
      </w:r>
    </w:p>
    <w:p w14:paraId="5EF47C0B" w14:textId="77777777" w:rsidR="001D49D4" w:rsidRPr="001D49D4" w:rsidRDefault="001D49D4" w:rsidP="0004348D">
      <w:pPr>
        <w:spacing w:before="360" w:after="240"/>
        <w:rPr>
          <w:rFonts w:ascii="Arial" w:eastAsia="Calibri" w:hAnsi="Arial" w:cs="Arial"/>
          <w:b/>
          <w:bCs/>
          <w:color w:val="000000"/>
          <w:sz w:val="28"/>
          <w:szCs w:val="28"/>
          <w:u w:val="single"/>
          <w:rtl/>
        </w:rPr>
      </w:pPr>
      <w:r w:rsidRPr="001D49D4">
        <w:rPr>
          <w:rFonts w:ascii="Arial" w:eastAsia="Calibri" w:hAnsi="Arial" w:cs="Arial"/>
          <w:b/>
          <w:bCs/>
          <w:color w:val="000000"/>
          <w:sz w:val="28"/>
          <w:szCs w:val="28"/>
          <w:u w:val="single"/>
          <w:rtl/>
        </w:rPr>
        <w:t>שו"ע:</w:t>
      </w:r>
    </w:p>
    <w:p w14:paraId="64478FE1"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rtl/>
        </w:rPr>
        <w:t>אם באו עדים והעידו שבשעה שנתקיים בפניהם לא היו במעמד אחד, אלא כל אחד קבל עדות בפני עצמו, פסול</w:t>
      </w:r>
      <w:r w:rsidRPr="001D49D4">
        <w:rPr>
          <w:rFonts w:ascii="Calibri" w:eastAsia="Calibri" w:hAnsi="Calibri" w:cs="Arial"/>
          <w:vertAlign w:val="superscript"/>
          <w:rtl/>
        </w:rPr>
        <w:footnoteReference w:id="3872"/>
      </w:r>
      <w:r w:rsidRPr="001D49D4">
        <w:rPr>
          <w:rFonts w:ascii="Calibri" w:eastAsia="Calibri" w:hAnsi="Calibri" w:cs="Arial"/>
          <w:rtl/>
        </w:rPr>
        <w:t>. ואין הדיינים עצמן נאמנים לומר שלא היו ביחד ושעשו שלא כדין</w:t>
      </w:r>
      <w:r w:rsidRPr="001D49D4">
        <w:rPr>
          <w:rFonts w:ascii="Calibri" w:eastAsia="Calibri" w:hAnsi="Calibri" w:cs="Arial"/>
          <w:vertAlign w:val="superscript"/>
          <w:rtl/>
        </w:rPr>
        <w:footnoteReference w:id="3873"/>
      </w:r>
      <w:r w:rsidRPr="001D49D4">
        <w:rPr>
          <w:rFonts w:ascii="Calibri" w:eastAsia="Calibri" w:hAnsi="Calibri" w:cs="Arial"/>
          <w:rtl/>
        </w:rPr>
        <w:t xml:space="preserve">. ויש מי שמכשיר. </w:t>
      </w:r>
    </w:p>
    <w:p w14:paraId="28679B6F" w14:textId="77777777" w:rsidR="001D49D4" w:rsidRPr="001D49D4" w:rsidRDefault="001D49D4" w:rsidP="0004348D">
      <w:pPr>
        <w:spacing w:before="360" w:after="240"/>
        <w:rPr>
          <w:rFonts w:ascii="Calibri" w:eastAsia="Calibri" w:hAnsi="Calibri" w:cs="Arial"/>
          <w:rtl/>
        </w:rPr>
      </w:pPr>
    </w:p>
    <w:p w14:paraId="29C2ABFF" w14:textId="77777777" w:rsidR="001D49D4" w:rsidRPr="001D49D4" w:rsidRDefault="001D49D4" w:rsidP="0004348D">
      <w:pPr>
        <w:keepNext/>
        <w:keepLines/>
        <w:spacing w:before="360" w:after="240"/>
        <w:outlineLvl w:val="1"/>
        <w:rPr>
          <w:rFonts w:ascii="Cambria" w:eastAsia="Times New Roman" w:hAnsi="Cambria" w:cs="Arial"/>
          <w:bCs/>
          <w:color w:val="548DD4" w:themeColor="text2" w:themeTint="99"/>
          <w:sz w:val="26"/>
          <w:szCs w:val="26"/>
          <w:rtl/>
        </w:rPr>
      </w:pPr>
      <w:bookmarkStart w:id="527" w:name="_Toc24883960"/>
      <w:r w:rsidRPr="001D49D4">
        <w:rPr>
          <w:rFonts w:ascii="Cambria" w:eastAsia="Times New Roman" w:hAnsi="Cambria" w:cs="Arial"/>
          <w:bCs/>
          <w:color w:val="548DD4" w:themeColor="text2" w:themeTint="99"/>
          <w:sz w:val="26"/>
          <w:szCs w:val="26"/>
          <w:rtl/>
        </w:rPr>
        <w:t>סעיף כו: שלשה שישבו לקיים את השטר ויצא ערער דגזלנותא על אחד מהם.</w:t>
      </w:r>
      <w:bookmarkEnd w:id="527"/>
    </w:p>
    <w:p w14:paraId="2C4D11BB"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b/>
          <w:bCs/>
          <w:rtl/>
        </w:rPr>
        <w:t>כתובות</w:t>
      </w:r>
      <w:r w:rsidRPr="001D49D4">
        <w:rPr>
          <w:rFonts w:ascii="Calibri" w:eastAsia="Calibri" w:hAnsi="Calibri" w:cs="Arial"/>
          <w:b/>
          <w:bCs/>
          <w:sz w:val="16"/>
          <w:szCs w:val="16"/>
          <w:rtl/>
        </w:rPr>
        <w:t xml:space="preserve"> (פ"ב) </w:t>
      </w:r>
      <w:r w:rsidRPr="001D49D4">
        <w:rPr>
          <w:rFonts w:ascii="Calibri" w:eastAsia="Calibri" w:hAnsi="Calibri" w:cs="Arial"/>
          <w:b/>
          <w:bCs/>
          <w:rtl/>
        </w:rPr>
        <w:t>כא</w:t>
      </w:r>
      <w:r w:rsidRPr="001D49D4">
        <w:rPr>
          <w:rFonts w:ascii="Calibri" w:eastAsia="Calibri" w:hAnsi="Calibri" w:cs="Arial"/>
          <w:b/>
          <w:bCs/>
          <w:vertAlign w:val="superscript"/>
          <w:rtl/>
        </w:rPr>
        <w:footnoteReference w:id="3874"/>
      </w:r>
      <w:r w:rsidRPr="001D49D4">
        <w:rPr>
          <w:rFonts w:ascii="Calibri" w:eastAsia="Calibri" w:hAnsi="Calibri" w:cs="Arial"/>
          <w:b/>
          <w:bCs/>
          <w:rtl/>
        </w:rPr>
        <w:t xml:space="preserve"> ע"ב:</w:t>
      </w:r>
      <w:r w:rsidRPr="001D49D4">
        <w:rPr>
          <w:rFonts w:ascii="Calibri" w:eastAsia="Calibri" w:hAnsi="Calibri" w:cs="Arial"/>
          <w:rtl/>
        </w:rPr>
        <w:t xml:space="preserve"> </w:t>
      </w:r>
      <w:r w:rsidRPr="001D49D4">
        <w:rPr>
          <w:rFonts w:ascii="Calibri" w:eastAsia="Calibri" w:hAnsi="Calibri" w:cs="Arial"/>
          <w:u w:val="single"/>
          <w:rtl/>
        </w:rPr>
        <w:t>אמר רבי אבא אמר רב הונא אמר רב</w:t>
      </w:r>
      <w:r w:rsidRPr="001D49D4">
        <w:rPr>
          <w:rFonts w:ascii="Calibri" w:eastAsia="Calibri" w:hAnsi="Calibri" w:cs="Arial"/>
          <w:rtl/>
        </w:rPr>
        <w:t>: שלשה שישבו לקיים את השטר, וקרא ערער על אחד מהן</w:t>
      </w:r>
      <w:r w:rsidRPr="001D49D4">
        <w:rPr>
          <w:rFonts w:ascii="Calibri" w:eastAsia="Calibri" w:hAnsi="Calibri" w:cs="Arial"/>
          <w:vertAlign w:val="superscript"/>
          <w:rtl/>
        </w:rPr>
        <w:footnoteReference w:id="3875"/>
      </w:r>
      <w:r w:rsidRPr="001D49D4">
        <w:rPr>
          <w:rFonts w:ascii="Calibri" w:eastAsia="Calibri" w:hAnsi="Calibri" w:cs="Arial"/>
          <w:rtl/>
        </w:rPr>
        <w:t>, עד שלא חתמו</w:t>
      </w:r>
      <w:r w:rsidRPr="001D49D4">
        <w:rPr>
          <w:rFonts w:ascii="Calibri" w:eastAsia="Calibri" w:hAnsi="Calibri" w:cs="Arial"/>
          <w:vertAlign w:val="superscript"/>
          <w:rtl/>
        </w:rPr>
        <w:footnoteReference w:id="3876"/>
      </w:r>
      <w:r w:rsidRPr="001D49D4">
        <w:rPr>
          <w:rFonts w:ascii="Calibri" w:eastAsia="Calibri" w:hAnsi="Calibri" w:cs="Arial"/>
          <w:rtl/>
        </w:rPr>
        <w:t xml:space="preserve"> - מעידין</w:t>
      </w:r>
      <w:r w:rsidRPr="001D49D4">
        <w:rPr>
          <w:rFonts w:ascii="Calibri" w:eastAsia="Calibri" w:hAnsi="Calibri" w:cs="Arial"/>
          <w:vertAlign w:val="superscript"/>
          <w:rtl/>
        </w:rPr>
        <w:footnoteReference w:id="3877"/>
      </w:r>
      <w:r w:rsidRPr="001D49D4">
        <w:rPr>
          <w:rFonts w:ascii="Calibri" w:eastAsia="Calibri" w:hAnsi="Calibri" w:cs="Arial"/>
          <w:rtl/>
        </w:rPr>
        <w:t xml:space="preserve"> עליו וחותם, משחתמו</w:t>
      </w:r>
      <w:r w:rsidRPr="001D49D4">
        <w:rPr>
          <w:rFonts w:ascii="Calibri" w:eastAsia="Calibri" w:hAnsi="Calibri" w:cs="Arial"/>
          <w:vertAlign w:val="superscript"/>
          <w:rtl/>
        </w:rPr>
        <w:footnoteReference w:id="3878"/>
      </w:r>
      <w:r w:rsidRPr="001D49D4">
        <w:rPr>
          <w:rFonts w:ascii="Calibri" w:eastAsia="Calibri" w:hAnsi="Calibri" w:cs="Arial"/>
          <w:rtl/>
        </w:rPr>
        <w:t xml:space="preserve"> - אין מעידין עליו וחותם. ערער דמאי? אי ערער דגזלנותא</w:t>
      </w:r>
      <w:r w:rsidRPr="001D49D4">
        <w:rPr>
          <w:rFonts w:ascii="Calibri" w:eastAsia="Calibri" w:hAnsi="Calibri" w:cs="Arial"/>
          <w:sz w:val="14"/>
          <w:szCs w:val="14"/>
          <w:rtl/>
        </w:rPr>
        <w:t xml:space="preserve"> (כב.)</w:t>
      </w:r>
      <w:r w:rsidRPr="001D49D4">
        <w:rPr>
          <w:rFonts w:ascii="Calibri" w:eastAsia="Calibri" w:hAnsi="Calibri" w:cs="Arial"/>
          <w:rtl/>
        </w:rPr>
        <w:t>, תרי ותרי נינהו</w:t>
      </w:r>
      <w:r w:rsidRPr="001D49D4">
        <w:rPr>
          <w:rFonts w:ascii="Calibri" w:eastAsia="Calibri" w:hAnsi="Calibri" w:cs="Arial"/>
          <w:vertAlign w:val="superscript"/>
          <w:rtl/>
        </w:rPr>
        <w:footnoteReference w:id="3879"/>
      </w:r>
      <w:r w:rsidRPr="001D49D4">
        <w:rPr>
          <w:rFonts w:ascii="Calibri" w:eastAsia="Calibri" w:hAnsi="Calibri" w:cs="Arial"/>
          <w:rtl/>
        </w:rPr>
        <w:t>! אי ערער דפגם משפחה</w:t>
      </w:r>
      <w:r w:rsidRPr="001D49D4">
        <w:rPr>
          <w:rFonts w:ascii="Calibri" w:eastAsia="Calibri" w:hAnsi="Calibri" w:cs="Arial"/>
          <w:vertAlign w:val="superscript"/>
          <w:rtl/>
        </w:rPr>
        <w:footnoteReference w:id="3880"/>
      </w:r>
      <w:r w:rsidRPr="001D49D4">
        <w:rPr>
          <w:rFonts w:ascii="Calibri" w:eastAsia="Calibri" w:hAnsi="Calibri" w:cs="Arial"/>
          <w:rtl/>
        </w:rPr>
        <w:t>, גלוי מלתא בעלמא הוא</w:t>
      </w:r>
      <w:r w:rsidRPr="001D49D4">
        <w:rPr>
          <w:rFonts w:ascii="Calibri" w:eastAsia="Calibri" w:hAnsi="Calibri" w:cs="Arial"/>
          <w:vertAlign w:val="superscript"/>
          <w:rtl/>
        </w:rPr>
        <w:footnoteReference w:id="3881"/>
      </w:r>
      <w:r w:rsidRPr="001D49D4">
        <w:rPr>
          <w:rFonts w:ascii="Calibri" w:eastAsia="Calibri" w:hAnsi="Calibri" w:cs="Arial"/>
          <w:rtl/>
        </w:rPr>
        <w:t>! לעולם אימא לך ערער דגזלנותא, וקאמרי הני: ידעינן ביה דעבד תשובה</w:t>
      </w:r>
      <w:r w:rsidRPr="001D49D4">
        <w:rPr>
          <w:rFonts w:ascii="Calibri" w:eastAsia="Calibri" w:hAnsi="Calibri" w:cs="Arial"/>
          <w:vertAlign w:val="superscript"/>
          <w:rtl/>
        </w:rPr>
        <w:footnoteReference w:id="3882"/>
      </w:r>
      <w:r w:rsidRPr="001D49D4">
        <w:rPr>
          <w:rFonts w:ascii="Calibri" w:eastAsia="Calibri" w:hAnsi="Calibri" w:cs="Arial"/>
          <w:rtl/>
        </w:rPr>
        <w:t>.</w:t>
      </w:r>
    </w:p>
    <w:p w14:paraId="23AE0056" w14:textId="77777777" w:rsidR="001D49D4" w:rsidRPr="001D49D4" w:rsidRDefault="001D49D4" w:rsidP="0004348D">
      <w:pPr>
        <w:spacing w:before="360" w:after="240"/>
        <w:rPr>
          <w:rFonts w:ascii="Calibri" w:eastAsia="Calibri" w:hAnsi="Calibri" w:cs="Arial"/>
          <w:u w:val="single"/>
          <w:rtl/>
        </w:rPr>
      </w:pPr>
      <w:r w:rsidRPr="001D49D4">
        <w:rPr>
          <w:rFonts w:ascii="Calibri" w:eastAsia="Calibri" w:hAnsi="Calibri" w:cs="Arial"/>
          <w:u w:val="single"/>
          <w:rtl/>
        </w:rPr>
        <w:t>כיצד מתפרשת סוגיית הגמרא</w:t>
      </w:r>
      <w:r w:rsidRPr="001D49D4">
        <w:rPr>
          <w:rFonts w:ascii="Calibri" w:eastAsia="Calibri" w:hAnsi="Calibri" w:cs="Arial"/>
          <w:sz w:val="16"/>
          <w:szCs w:val="16"/>
          <w:u w:val="single"/>
          <w:rtl/>
        </w:rPr>
        <w:t xml:space="preserve"> (מי מעיד על הדיין שיצא עליו ערער)</w:t>
      </w:r>
      <w:r w:rsidRPr="001D49D4">
        <w:rPr>
          <w:rFonts w:ascii="Calibri" w:eastAsia="Calibri" w:hAnsi="Calibri" w:cs="Arial"/>
          <w:u w:val="single"/>
          <w:rtl/>
        </w:rPr>
        <w:t>:</w:t>
      </w:r>
    </w:p>
    <w:p w14:paraId="654FAF11" w14:textId="77777777" w:rsidR="001D49D4" w:rsidRPr="001D49D4" w:rsidRDefault="001D49D4" w:rsidP="0004348D">
      <w:pPr>
        <w:numPr>
          <w:ilvl w:val="0"/>
          <w:numId w:val="292"/>
        </w:numPr>
        <w:spacing w:before="360" w:after="240"/>
        <w:contextualSpacing/>
        <w:rPr>
          <w:rtl/>
        </w:rPr>
      </w:pPr>
      <w:r w:rsidRPr="001D49D4">
        <w:rPr>
          <w:rtl/>
        </w:rPr>
        <w:t>רש"י- עד שלא חתמו השנים - יכולין הן להעיד על השלישי שהוא כשר, ויחתום עמהם. ואם משחתמו יצא הערעור - אין יכולין להעיד עליו להכשירו שהן נוגעין בעדות מפני שגנאי להם שיחתמו עם פסול. ודוקא שיצא עליו ערעור שהוא גזלן והעידו אלו השנים שעשה תשובה, והשתא איכא נפקותא בעדותן, אבל אם ב' אומרים גזל ואלו השנים אומרים לא גזל אין נפקותא בעדותן, שכל תרי ותרי ספיקא דרבנן ופסול מספק. ואם יצא עליו שם פסול משפחה כגון שלא נשתחררה אמו והוא עבד - אפילו משחתמו מעידין עליו, שאינו אלא גלוי מלתא וסופו להתברר ולאו עלייהו סמכינן. ולפי זה ב' מן השוק יכולין להעיד עליו</w:t>
      </w:r>
      <w:r w:rsidRPr="001D49D4">
        <w:rPr>
          <w:vertAlign w:val="superscript"/>
          <w:rtl/>
        </w:rPr>
        <w:footnoteReference w:id="3883"/>
      </w:r>
      <w:r w:rsidRPr="001D49D4">
        <w:rPr>
          <w:rtl/>
        </w:rPr>
        <w:t xml:space="preserve"> אפילו משחתמו</w:t>
      </w:r>
      <w:r w:rsidRPr="001D49D4">
        <w:rPr>
          <w:sz w:val="16"/>
          <w:szCs w:val="16"/>
          <w:rtl/>
        </w:rPr>
        <w:t xml:space="preserve"> (ל הטור בשם רש"י)</w:t>
      </w:r>
      <w:r w:rsidRPr="001D49D4">
        <w:rPr>
          <w:vertAlign w:val="superscript"/>
          <w:rtl/>
        </w:rPr>
        <w:footnoteReference w:id="3884"/>
      </w:r>
      <w:r w:rsidRPr="001D49D4">
        <w:rPr>
          <w:rtl/>
        </w:rPr>
        <w:t>. (וכ"פ הש"ך</w:t>
      </w:r>
      <w:r w:rsidRPr="001D49D4">
        <w:rPr>
          <w:sz w:val="16"/>
          <w:szCs w:val="16"/>
          <w:rtl/>
        </w:rPr>
        <w:t xml:space="preserve"> [סע' קטן סו]</w:t>
      </w:r>
      <w:r w:rsidRPr="001D49D4">
        <w:rPr>
          <w:rtl/>
        </w:rPr>
        <w:t xml:space="preserve">) </w:t>
      </w:r>
    </w:p>
    <w:p w14:paraId="3CFC187C" w14:textId="77777777" w:rsidR="001D49D4" w:rsidRPr="001D49D4" w:rsidRDefault="001D49D4" w:rsidP="0004348D">
      <w:pPr>
        <w:numPr>
          <w:ilvl w:val="0"/>
          <w:numId w:val="292"/>
        </w:numPr>
        <w:spacing w:before="360" w:after="240"/>
        <w:contextualSpacing/>
        <w:rPr>
          <w:rtl/>
        </w:rPr>
      </w:pPr>
      <w:r w:rsidRPr="001D49D4">
        <w:rPr>
          <w:rtl/>
        </w:rPr>
        <w:t>ר"ח ורי"ף</w:t>
      </w:r>
      <w:r w:rsidRPr="001D49D4">
        <w:rPr>
          <w:sz w:val="16"/>
          <w:szCs w:val="16"/>
          <w:rtl/>
        </w:rPr>
        <w:t xml:space="preserve"> (ט.)</w:t>
      </w:r>
      <w:r w:rsidRPr="001D49D4">
        <w:rPr>
          <w:rtl/>
        </w:rPr>
        <w:t>- משחתמו - אפילו ב' מן השוק אין יכולין להעיד עליו, דכיון דלאחר שחתמו השנים יצא עליו הערעור הרי נתבטל ועד הראשון שנועדו לקיימו, והלכך אינו מצטרף עמהם אא"כ ישבו פעם אחרת. אבל אם יצא הערעור קודם שחתמו השנים ובאים שנים אחרים ואומרים שהוא כשר - לא נתבטל ועד הראשון כיון שהוכשר קודם שחתמו, וחותם עמהם. ודוקא שבאו לפוסלו בגזלן או בשאר עבירות והב' האחרונים מעידין עליו שעשה תשובה כדפרישית. אבל אם באים לפוסלו בפסול משפחה ונתברר השתא שהוא כשר אפילו אם משחתמו באו לפוסלו - יכול לחתום עמהם אחר שהוכשר, שהוברר הדבר שלא היה פסול מעולם ולא נתבטל וועד מושב הראשון כלל</w:t>
      </w:r>
      <w:r w:rsidRPr="001D49D4">
        <w:rPr>
          <w:vertAlign w:val="superscript"/>
          <w:rtl/>
        </w:rPr>
        <w:footnoteReference w:id="3885"/>
      </w:r>
      <w:r w:rsidRPr="001D49D4">
        <w:rPr>
          <w:sz w:val="16"/>
          <w:szCs w:val="16"/>
          <w:rtl/>
        </w:rPr>
        <w:t>(ל הטור בשם ר"ח ורי"ף)</w:t>
      </w:r>
      <w:r w:rsidRPr="001D49D4">
        <w:rPr>
          <w:rtl/>
        </w:rPr>
        <w:t xml:space="preserve">. </w:t>
      </w:r>
      <w:r w:rsidRPr="001D49D4">
        <w:rPr>
          <w:color w:val="E36C0A" w:themeColor="accent6" w:themeShade="BF"/>
          <w:rtl/>
        </w:rPr>
        <w:t>(וכ"פ בשו"ע)</w:t>
      </w:r>
    </w:p>
    <w:p w14:paraId="2E4429CF" w14:textId="77777777" w:rsidR="001D49D4" w:rsidRPr="001D49D4" w:rsidRDefault="001D49D4" w:rsidP="0004348D">
      <w:pPr>
        <w:numPr>
          <w:ilvl w:val="1"/>
          <w:numId w:val="292"/>
        </w:numPr>
        <w:spacing w:before="360" w:after="240"/>
        <w:contextualSpacing/>
      </w:pPr>
      <w:r w:rsidRPr="001D49D4">
        <w:rPr>
          <w:rtl/>
        </w:rPr>
        <w:t>ב"י</w:t>
      </w:r>
      <w:r w:rsidRPr="001D49D4">
        <w:rPr>
          <w:sz w:val="16"/>
          <w:szCs w:val="16"/>
          <w:rtl/>
        </w:rPr>
        <w:t xml:space="preserve"> (בבדה"ב)</w:t>
      </w:r>
      <w:r w:rsidRPr="001D49D4">
        <w:rPr>
          <w:rtl/>
        </w:rPr>
        <w:t>- ולענין הלכה כיון שהרי"ף והרמב"ם וכל הני רבוותא מסכימים לדעת אחת הכי נקטינן.</w:t>
      </w:r>
    </w:p>
    <w:p w14:paraId="0804BF19" w14:textId="77777777" w:rsidR="001D49D4" w:rsidRPr="001D49D4" w:rsidRDefault="001D49D4" w:rsidP="0004348D">
      <w:pPr>
        <w:spacing w:before="360" w:after="240"/>
        <w:rPr>
          <w:rFonts w:ascii="Arial" w:eastAsia="Calibri" w:hAnsi="Arial" w:cs="Arial"/>
          <w:b/>
          <w:bCs/>
          <w:color w:val="000000"/>
          <w:sz w:val="28"/>
          <w:szCs w:val="28"/>
          <w:u w:val="single"/>
          <w:rtl/>
        </w:rPr>
      </w:pPr>
      <w:r w:rsidRPr="001D49D4">
        <w:rPr>
          <w:rFonts w:ascii="Arial" w:eastAsia="Calibri" w:hAnsi="Arial" w:cs="Arial"/>
          <w:b/>
          <w:bCs/>
          <w:color w:val="000000"/>
          <w:sz w:val="28"/>
          <w:szCs w:val="28"/>
          <w:u w:val="single"/>
          <w:rtl/>
        </w:rPr>
        <w:t>שו"ע:</w:t>
      </w:r>
    </w:p>
    <w:p w14:paraId="3923CDD7"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rtl/>
        </w:rPr>
        <w:t>שלשה שישבו לקיים את השטר, ובאו שני עדים וערערו על אחד מהן שהוא גזלן וכיוצא בו, ובאו שנים אחרים</w:t>
      </w:r>
      <w:r w:rsidRPr="001D49D4">
        <w:rPr>
          <w:rFonts w:ascii="Calibri" w:eastAsia="Calibri" w:hAnsi="Calibri" w:cs="Arial"/>
          <w:vertAlign w:val="superscript"/>
          <w:rtl/>
        </w:rPr>
        <w:footnoteReference w:id="3886"/>
      </w:r>
      <w:r w:rsidRPr="001D49D4">
        <w:rPr>
          <w:rFonts w:ascii="Calibri" w:eastAsia="Calibri" w:hAnsi="Calibri" w:cs="Arial"/>
          <w:rtl/>
        </w:rPr>
        <w:t xml:space="preserve"> והעידו שחזר בתשובה, אם עד שלא חתמו העידו שחזר, הרי זה חותם עמהם, שהרי שלשה היו</w:t>
      </w:r>
      <w:r w:rsidRPr="001D49D4">
        <w:rPr>
          <w:rFonts w:ascii="Calibri" w:eastAsia="Calibri" w:hAnsi="Calibri" w:cs="Arial"/>
          <w:vertAlign w:val="superscript"/>
          <w:rtl/>
        </w:rPr>
        <w:footnoteReference w:id="3887"/>
      </w:r>
      <w:r w:rsidRPr="001D49D4">
        <w:rPr>
          <w:rFonts w:ascii="Calibri" w:eastAsia="Calibri" w:hAnsi="Calibri" w:cs="Arial"/>
          <w:rtl/>
        </w:rPr>
        <w:t xml:space="preserve">. ואם אחר שחתמו העידו עליו שחזר בתשובה, אינו חותם עמהם, שהרי הוא כמי שאינו בעת חתימת השנים. </w:t>
      </w:r>
    </w:p>
    <w:p w14:paraId="2D9C8DF1" w14:textId="77777777" w:rsidR="001D49D4" w:rsidRPr="001D49D4" w:rsidRDefault="001D49D4" w:rsidP="0004348D">
      <w:pPr>
        <w:spacing w:before="360" w:after="240"/>
        <w:rPr>
          <w:rFonts w:ascii="Calibri" w:eastAsia="Calibri" w:hAnsi="Calibri" w:cs="Arial"/>
          <w:color w:val="FF0000"/>
          <w:rtl/>
        </w:rPr>
      </w:pPr>
    </w:p>
    <w:p w14:paraId="69FE3269" w14:textId="77777777" w:rsidR="001D49D4" w:rsidRPr="001D49D4" w:rsidRDefault="001D49D4" w:rsidP="0004348D">
      <w:pPr>
        <w:keepNext/>
        <w:keepLines/>
        <w:spacing w:before="360" w:after="240"/>
        <w:outlineLvl w:val="1"/>
        <w:rPr>
          <w:rFonts w:ascii="Cambria" w:eastAsia="Times New Roman" w:hAnsi="Cambria" w:cs="Arial"/>
          <w:bCs/>
          <w:color w:val="548DD4" w:themeColor="text2" w:themeTint="99"/>
          <w:sz w:val="26"/>
          <w:szCs w:val="26"/>
          <w:rtl/>
        </w:rPr>
      </w:pPr>
      <w:bookmarkStart w:id="528" w:name="_Toc24883961"/>
      <w:r w:rsidRPr="001D49D4">
        <w:rPr>
          <w:rFonts w:ascii="Cambria" w:eastAsia="Times New Roman" w:hAnsi="Cambria" w:cs="Arial"/>
          <w:bCs/>
          <w:color w:val="548DD4" w:themeColor="text2" w:themeTint="99"/>
          <w:sz w:val="26"/>
          <w:szCs w:val="26"/>
          <w:rtl/>
        </w:rPr>
        <w:t>סעיף כז: שלשה שישבו לקיים את השטר ויצא ערער דפגם משפחה על אחד מהם.</w:t>
      </w:r>
      <w:bookmarkEnd w:id="528"/>
    </w:p>
    <w:p w14:paraId="57E0DA82"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rtl/>
        </w:rPr>
        <w:t>עיין במקורות בסעיף הקודם.</w:t>
      </w:r>
    </w:p>
    <w:p w14:paraId="682B8A6F" w14:textId="77777777" w:rsidR="001D49D4" w:rsidRPr="001D49D4" w:rsidRDefault="001D49D4" w:rsidP="0004348D">
      <w:pPr>
        <w:spacing w:before="360" w:after="240"/>
        <w:rPr>
          <w:rFonts w:ascii="Arial" w:eastAsia="Calibri" w:hAnsi="Arial" w:cs="Arial"/>
          <w:b/>
          <w:bCs/>
          <w:color w:val="000000"/>
          <w:sz w:val="28"/>
          <w:szCs w:val="28"/>
          <w:u w:val="single"/>
          <w:rtl/>
        </w:rPr>
      </w:pPr>
      <w:r w:rsidRPr="001D49D4">
        <w:rPr>
          <w:rFonts w:ascii="Arial" w:eastAsia="Calibri" w:hAnsi="Arial" w:cs="Arial"/>
          <w:b/>
          <w:bCs/>
          <w:color w:val="000000"/>
          <w:sz w:val="28"/>
          <w:szCs w:val="28"/>
          <w:u w:val="single"/>
          <w:rtl/>
        </w:rPr>
        <w:t>שו"ע:</w:t>
      </w:r>
    </w:p>
    <w:p w14:paraId="696AC307"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rtl/>
        </w:rPr>
        <w:t>במה דברים אמורים, כשערערו עליו בעבירה. אבל אם ערערו עליו בפגם משפחה, כגון שאמרו אמו לא נשתחררה ועבד הוא, או לא נתגייר וגוי הוא, ונודע אחר שחתמו השנים שאין במשפחתו פגם ושהוא כשר, הרי זה חותם עמהם,  שזה גילוי דבר שהיה מקודם הוא</w:t>
      </w:r>
      <w:r w:rsidRPr="001D49D4">
        <w:rPr>
          <w:rFonts w:ascii="Calibri" w:eastAsia="Calibri" w:hAnsi="Calibri" w:cs="Arial"/>
          <w:vertAlign w:val="superscript"/>
          <w:rtl/>
        </w:rPr>
        <w:footnoteReference w:id="3888"/>
      </w:r>
      <w:r w:rsidRPr="001D49D4">
        <w:rPr>
          <w:rFonts w:ascii="Calibri" w:eastAsia="Calibri" w:hAnsi="Calibri" w:cs="Arial"/>
          <w:rtl/>
        </w:rPr>
        <w:t xml:space="preserve">. </w:t>
      </w:r>
    </w:p>
    <w:p w14:paraId="3FC8C34D" w14:textId="77777777" w:rsidR="001D49D4" w:rsidRPr="001D49D4" w:rsidRDefault="001D49D4" w:rsidP="0004348D">
      <w:pPr>
        <w:spacing w:before="360" w:after="240"/>
        <w:rPr>
          <w:rFonts w:ascii="Calibri" w:eastAsia="Calibri" w:hAnsi="Calibri" w:cs="Arial"/>
          <w:rtl/>
        </w:rPr>
      </w:pPr>
    </w:p>
    <w:p w14:paraId="13F9400F" w14:textId="77777777" w:rsidR="001D49D4" w:rsidRPr="001D49D4" w:rsidRDefault="001D49D4" w:rsidP="0004348D">
      <w:pPr>
        <w:keepNext/>
        <w:keepLines/>
        <w:spacing w:before="360" w:after="240"/>
        <w:outlineLvl w:val="1"/>
        <w:rPr>
          <w:rFonts w:ascii="Cambria" w:eastAsia="Times New Roman" w:hAnsi="Cambria" w:cs="Arial"/>
          <w:bCs/>
          <w:color w:val="548DD4" w:themeColor="text2" w:themeTint="99"/>
          <w:sz w:val="26"/>
          <w:szCs w:val="26"/>
          <w:rtl/>
        </w:rPr>
      </w:pPr>
      <w:bookmarkStart w:id="529" w:name="_Toc24883962"/>
      <w:r w:rsidRPr="001D49D4">
        <w:rPr>
          <w:rFonts w:ascii="Cambria" w:eastAsia="Times New Roman" w:hAnsi="Cambria" w:cs="Arial"/>
          <w:bCs/>
          <w:color w:val="548DD4" w:themeColor="text2" w:themeTint="99"/>
          <w:sz w:val="26"/>
          <w:szCs w:val="26"/>
          <w:rtl/>
        </w:rPr>
        <w:t>סעיף כח: כתבו קיום ונמצא אחד מדייני קיום פסול.</w:t>
      </w:r>
      <w:bookmarkEnd w:id="529"/>
    </w:p>
    <w:p w14:paraId="5C1B462E" w14:textId="77777777" w:rsidR="001D49D4" w:rsidRPr="001D49D4" w:rsidRDefault="001D49D4" w:rsidP="0004348D">
      <w:pPr>
        <w:spacing w:before="360" w:after="240"/>
        <w:rPr>
          <w:rFonts w:ascii="Calibri" w:eastAsia="Calibri" w:hAnsi="Calibri" w:cs="Arial"/>
          <w:u w:val="single"/>
          <w:rtl/>
        </w:rPr>
      </w:pPr>
      <w:r w:rsidRPr="001D49D4">
        <w:rPr>
          <w:rFonts w:ascii="Calibri" w:eastAsia="Calibri" w:hAnsi="Calibri" w:cs="Arial"/>
          <w:u w:val="single"/>
          <w:rtl/>
        </w:rPr>
        <w:t>כתבו קיום ונמצא אחד מדייני קיום פסול/קרוב:</w:t>
      </w:r>
    </w:p>
    <w:p w14:paraId="1D603E89" w14:textId="77777777" w:rsidR="001D49D4" w:rsidRPr="001D49D4" w:rsidRDefault="001D49D4" w:rsidP="0004348D">
      <w:pPr>
        <w:numPr>
          <w:ilvl w:val="0"/>
          <w:numId w:val="293"/>
        </w:numPr>
        <w:spacing w:before="360" w:after="240"/>
        <w:contextualSpacing/>
        <w:rPr>
          <w:rtl/>
        </w:rPr>
      </w:pPr>
      <w:r w:rsidRPr="001D49D4">
        <w:rPr>
          <w:rtl/>
        </w:rPr>
        <w:t xml:space="preserve">רא"ש </w:t>
      </w:r>
      <w:r w:rsidRPr="001D49D4">
        <w:rPr>
          <w:sz w:val="16"/>
          <w:szCs w:val="16"/>
          <w:rtl/>
        </w:rPr>
        <w:t>(כלל ס סי' ד)</w:t>
      </w:r>
      <w:r w:rsidRPr="001D49D4">
        <w:rPr>
          <w:rtl/>
        </w:rPr>
        <w:t xml:space="preserve">- שטר </w:t>
      </w:r>
      <w:r w:rsidRPr="001D49D4">
        <w:rPr>
          <w:sz w:val="16"/>
          <w:szCs w:val="16"/>
          <w:rtl/>
        </w:rPr>
        <w:t xml:space="preserve">{מתנה} </w:t>
      </w:r>
      <w:r w:rsidRPr="001D49D4">
        <w:rPr>
          <w:rtl/>
        </w:rPr>
        <w:t>שחתומים בו ב' עדים, ואח"כ כתוב 'אנו מקבלי עדות קבלנו עדות אלו העדים הנזכרים בשטר זה', וקיימו וחתמו על זה ארבעה ונמצא שהשלישי הוא קרוב</w:t>
      </w:r>
      <w:r w:rsidRPr="001D49D4">
        <w:rPr>
          <w:sz w:val="16"/>
          <w:szCs w:val="16"/>
          <w:rtl/>
        </w:rPr>
        <w:t xml:space="preserve"> {למקבל המתנה}</w:t>
      </w:r>
      <w:r w:rsidRPr="001D49D4">
        <w:rPr>
          <w:rtl/>
        </w:rPr>
        <w:t>. אם מנהגכם שאין שום שטר כשר עד שיחתמו בו גם מקבלי העדות – א"כ הוו עדים ומקבלי עדות כולם נחשבים כעדים ויש כאן שש עדים חתומים על שטר זה, וכיון שקרוב חתום בעדים אחרונים השטר פסול לגירסת ר"ח ור"ת וה"ג. ואילו למנהג שאר מקומות שאע"פ שאין חתומים בשטר כי אם שני עדים כשר, אם מכירים חתימת ידם או שהם עצמם מעידים עליה, אם כתבו קיום ונמצא אחד מדייני קיום פסול - יחתכו אותו קיום והשטר נשאר בכשרות</w:t>
      </w:r>
      <w:r w:rsidRPr="001D49D4">
        <w:rPr>
          <w:vertAlign w:val="superscript"/>
          <w:rtl/>
        </w:rPr>
        <w:footnoteReference w:id="3889"/>
      </w:r>
      <w:r w:rsidRPr="001D49D4">
        <w:rPr>
          <w:rtl/>
        </w:rPr>
        <w:t xml:space="preserve">. </w:t>
      </w:r>
      <w:r w:rsidRPr="001D49D4">
        <w:rPr>
          <w:color w:val="E36C0A" w:themeColor="accent6" w:themeShade="BF"/>
          <w:rtl/>
        </w:rPr>
        <w:t>(וכ"פ בשו"ע)</w:t>
      </w:r>
    </w:p>
    <w:p w14:paraId="104BCFDC" w14:textId="77777777" w:rsidR="001D49D4" w:rsidRPr="001D49D4" w:rsidRDefault="001D49D4" w:rsidP="0004348D">
      <w:pPr>
        <w:spacing w:before="360" w:after="240"/>
        <w:rPr>
          <w:rFonts w:ascii="Arial" w:eastAsia="Calibri" w:hAnsi="Arial" w:cs="Arial"/>
          <w:b/>
          <w:bCs/>
          <w:color w:val="000000"/>
          <w:sz w:val="28"/>
          <w:szCs w:val="28"/>
          <w:u w:val="single"/>
          <w:rtl/>
        </w:rPr>
      </w:pPr>
      <w:r w:rsidRPr="001D49D4">
        <w:rPr>
          <w:rFonts w:ascii="Arial" w:eastAsia="Calibri" w:hAnsi="Arial" w:cs="Arial"/>
          <w:b/>
          <w:bCs/>
          <w:color w:val="000000"/>
          <w:sz w:val="28"/>
          <w:szCs w:val="28"/>
          <w:u w:val="single"/>
          <w:rtl/>
        </w:rPr>
        <w:t>שו"ע:</w:t>
      </w:r>
    </w:p>
    <w:p w14:paraId="4771E657"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rtl/>
        </w:rPr>
        <w:t>כתבו קיום ונמצא אחד מדייני קיום פסול, יחתכו</w:t>
      </w:r>
      <w:r w:rsidRPr="001D49D4">
        <w:rPr>
          <w:rFonts w:ascii="Calibri" w:eastAsia="Calibri" w:hAnsi="Calibri" w:cs="Arial"/>
          <w:vertAlign w:val="superscript"/>
          <w:rtl/>
        </w:rPr>
        <w:footnoteReference w:id="3890"/>
      </w:r>
      <w:r w:rsidRPr="001D49D4">
        <w:rPr>
          <w:rFonts w:ascii="Calibri" w:eastAsia="Calibri" w:hAnsi="Calibri" w:cs="Arial"/>
          <w:rtl/>
        </w:rPr>
        <w:t xml:space="preserve"> אותו קיום, והשטר נשאר בכשרותו</w:t>
      </w:r>
      <w:r w:rsidRPr="001D49D4">
        <w:rPr>
          <w:rFonts w:ascii="Calibri" w:eastAsia="Calibri" w:hAnsi="Calibri" w:cs="Arial"/>
          <w:vertAlign w:val="superscript"/>
          <w:rtl/>
        </w:rPr>
        <w:footnoteReference w:id="3891"/>
      </w:r>
      <w:r w:rsidRPr="001D49D4">
        <w:rPr>
          <w:rFonts w:ascii="Calibri" w:eastAsia="Calibri" w:hAnsi="Calibri" w:cs="Arial"/>
          <w:rtl/>
        </w:rPr>
        <w:t xml:space="preserve">. </w:t>
      </w:r>
    </w:p>
    <w:p w14:paraId="779E7304" w14:textId="77777777" w:rsidR="001D49D4" w:rsidRPr="001D49D4" w:rsidRDefault="001D49D4" w:rsidP="0004348D">
      <w:pPr>
        <w:spacing w:before="360" w:after="240"/>
        <w:rPr>
          <w:rFonts w:ascii="Calibri" w:eastAsia="Calibri" w:hAnsi="Calibri" w:cs="Arial"/>
          <w:rtl/>
        </w:rPr>
      </w:pPr>
    </w:p>
    <w:p w14:paraId="14AF515F" w14:textId="77777777" w:rsidR="001D49D4" w:rsidRPr="001D49D4" w:rsidRDefault="001D49D4" w:rsidP="0004348D">
      <w:pPr>
        <w:keepNext/>
        <w:keepLines/>
        <w:spacing w:before="360" w:after="240"/>
        <w:outlineLvl w:val="1"/>
        <w:rPr>
          <w:rFonts w:ascii="Cambria" w:eastAsia="Times New Roman" w:hAnsi="Cambria" w:cs="Arial"/>
          <w:bCs/>
          <w:color w:val="548DD4" w:themeColor="text2" w:themeTint="99"/>
          <w:sz w:val="26"/>
          <w:szCs w:val="26"/>
          <w:rtl/>
        </w:rPr>
      </w:pPr>
      <w:bookmarkStart w:id="530" w:name="_Toc24883963"/>
      <w:r w:rsidRPr="001D49D4">
        <w:rPr>
          <w:rFonts w:ascii="Cambria" w:eastAsia="Times New Roman" w:hAnsi="Cambria" w:cs="Arial"/>
          <w:bCs/>
          <w:color w:val="548DD4" w:themeColor="text2" w:themeTint="99"/>
          <w:sz w:val="26"/>
          <w:szCs w:val="26"/>
          <w:rtl/>
        </w:rPr>
        <w:t>סעיף כט: שלשה שישבו לקיים השטר ומת אחד מהם קודם שחתמו.</w:t>
      </w:r>
      <w:bookmarkEnd w:id="530"/>
    </w:p>
    <w:p w14:paraId="24D1792A"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b/>
          <w:bCs/>
          <w:rtl/>
        </w:rPr>
        <w:t>כתובות</w:t>
      </w:r>
      <w:r w:rsidRPr="001D49D4">
        <w:rPr>
          <w:rFonts w:ascii="Calibri" w:eastAsia="Calibri" w:hAnsi="Calibri" w:cs="Arial"/>
          <w:b/>
          <w:bCs/>
          <w:sz w:val="16"/>
          <w:szCs w:val="16"/>
          <w:rtl/>
        </w:rPr>
        <w:t xml:space="preserve"> (פ"ב) </w:t>
      </w:r>
      <w:r w:rsidRPr="001D49D4">
        <w:rPr>
          <w:rFonts w:ascii="Calibri" w:eastAsia="Calibri" w:hAnsi="Calibri" w:cs="Arial"/>
          <w:b/>
          <w:bCs/>
          <w:rtl/>
        </w:rPr>
        <w:t>כב</w:t>
      </w:r>
      <w:r w:rsidRPr="001D49D4">
        <w:rPr>
          <w:rFonts w:ascii="Calibri" w:eastAsia="Calibri" w:hAnsi="Calibri" w:cs="Arial"/>
          <w:b/>
          <w:bCs/>
          <w:vertAlign w:val="superscript"/>
          <w:rtl/>
        </w:rPr>
        <w:footnoteReference w:id="3892"/>
      </w:r>
      <w:r w:rsidRPr="001D49D4">
        <w:rPr>
          <w:rFonts w:ascii="Calibri" w:eastAsia="Calibri" w:hAnsi="Calibri" w:cs="Arial"/>
          <w:b/>
          <w:bCs/>
          <w:rtl/>
        </w:rPr>
        <w:t xml:space="preserve"> ע"א:</w:t>
      </w:r>
      <w:r w:rsidRPr="001D49D4">
        <w:rPr>
          <w:rFonts w:ascii="Calibri" w:eastAsia="Calibri" w:hAnsi="Calibri" w:cs="Arial"/>
          <w:rtl/>
        </w:rPr>
        <w:t xml:space="preserve"> </w:t>
      </w:r>
      <w:r w:rsidRPr="001D49D4">
        <w:rPr>
          <w:rFonts w:ascii="Calibri" w:eastAsia="Calibri" w:hAnsi="Calibri" w:cs="Arial"/>
          <w:u w:val="single"/>
          <w:rtl/>
        </w:rPr>
        <w:t>א"ר זירא</w:t>
      </w:r>
      <w:r w:rsidRPr="001D49D4">
        <w:rPr>
          <w:rFonts w:ascii="Calibri" w:eastAsia="Calibri" w:hAnsi="Calibri" w:cs="Arial"/>
          <w:rtl/>
        </w:rPr>
        <w:t>: הא מלתא מרבי אבא שמיע לי, ואי לאו רבי אבא דמן עכו שכחתה - ג' שישבו לקיים את השטר ומת אחד מהם, צריכין למיכתב</w:t>
      </w:r>
      <w:r w:rsidRPr="001D49D4">
        <w:rPr>
          <w:rFonts w:ascii="Calibri" w:eastAsia="Calibri" w:hAnsi="Calibri" w:cs="Arial"/>
          <w:vertAlign w:val="superscript"/>
          <w:rtl/>
        </w:rPr>
        <w:footnoteReference w:id="3893"/>
      </w:r>
      <w:r w:rsidRPr="001D49D4">
        <w:rPr>
          <w:rFonts w:ascii="Calibri" w:eastAsia="Calibri" w:hAnsi="Calibri" w:cs="Arial"/>
          <w:rtl/>
        </w:rPr>
        <w:t xml:space="preserve"> במותב תלתא הוינא וחד ליתוהי. </w:t>
      </w:r>
      <w:r w:rsidRPr="001D49D4">
        <w:rPr>
          <w:rFonts w:ascii="Calibri" w:eastAsia="Calibri" w:hAnsi="Calibri" w:cs="Arial"/>
          <w:u w:val="single"/>
          <w:rtl/>
        </w:rPr>
        <w:t>אמר רב נחמן בר יצחק</w:t>
      </w:r>
      <w:r w:rsidRPr="001D49D4">
        <w:rPr>
          <w:rFonts w:ascii="Calibri" w:eastAsia="Calibri" w:hAnsi="Calibri" w:cs="Arial"/>
          <w:rtl/>
        </w:rPr>
        <w:t>: ואי כתב ביה שטרא דנן נפק לקדמנא בי דינא, תו לא צריך</w:t>
      </w:r>
      <w:r w:rsidRPr="001D49D4">
        <w:rPr>
          <w:rFonts w:ascii="Calibri" w:eastAsia="Calibri" w:hAnsi="Calibri" w:cs="Arial"/>
          <w:vertAlign w:val="superscript"/>
          <w:rtl/>
        </w:rPr>
        <w:footnoteReference w:id="3894"/>
      </w:r>
      <w:r w:rsidRPr="001D49D4">
        <w:rPr>
          <w:rFonts w:ascii="Calibri" w:eastAsia="Calibri" w:hAnsi="Calibri" w:cs="Arial"/>
          <w:rtl/>
        </w:rPr>
        <w:t>. ודלמא בית דין חצוף הוא! וכדשמואל, דאמר שמואל: שנים שדנו דיניהם דין אלא שנקרא ב"ד חצוף. דכתיב ביה בי דינא דרבנא אשי</w:t>
      </w:r>
      <w:r w:rsidRPr="001D49D4">
        <w:rPr>
          <w:rFonts w:ascii="Calibri" w:eastAsia="Calibri" w:hAnsi="Calibri" w:cs="Arial"/>
          <w:vertAlign w:val="superscript"/>
          <w:rtl/>
        </w:rPr>
        <w:footnoteReference w:id="3895"/>
      </w:r>
      <w:r w:rsidRPr="001D49D4">
        <w:rPr>
          <w:rFonts w:ascii="Calibri" w:eastAsia="Calibri" w:hAnsi="Calibri" w:cs="Arial"/>
          <w:rtl/>
        </w:rPr>
        <w:t>. ודלמא רבנן דבי רב אשי כדשמואל סבירא להו! דכתיב ביה ואמר לנא רבנא אשי</w:t>
      </w:r>
      <w:r w:rsidRPr="001D49D4">
        <w:rPr>
          <w:rFonts w:ascii="Calibri" w:eastAsia="Calibri" w:hAnsi="Calibri" w:cs="Arial"/>
          <w:vertAlign w:val="superscript"/>
          <w:rtl/>
        </w:rPr>
        <w:footnoteReference w:id="3896"/>
      </w:r>
      <w:r w:rsidRPr="001D49D4">
        <w:rPr>
          <w:rFonts w:ascii="Calibri" w:eastAsia="Calibri" w:hAnsi="Calibri" w:cs="Arial"/>
          <w:rtl/>
        </w:rPr>
        <w:t>.</w:t>
      </w:r>
    </w:p>
    <w:p w14:paraId="1321F6F5" w14:textId="77777777" w:rsidR="001D49D4" w:rsidRPr="001D49D4" w:rsidRDefault="001D49D4" w:rsidP="0004348D">
      <w:pPr>
        <w:spacing w:before="360" w:after="240"/>
        <w:rPr>
          <w:rFonts w:ascii="Calibri" w:eastAsia="Calibri" w:hAnsi="Calibri" w:cs="Arial"/>
          <w:u w:val="single"/>
          <w:rtl/>
        </w:rPr>
      </w:pPr>
      <w:r w:rsidRPr="001D49D4">
        <w:rPr>
          <w:rFonts w:ascii="Calibri" w:eastAsia="Calibri" w:hAnsi="Calibri" w:cs="Arial"/>
          <w:u w:val="single"/>
          <w:rtl/>
        </w:rPr>
        <w:t>שלשה שישבו לקיים השטר ומת אחד מהם קודם שחתמו:</w:t>
      </w:r>
    </w:p>
    <w:p w14:paraId="190BDF69" w14:textId="77777777" w:rsidR="001D49D4" w:rsidRPr="001D49D4" w:rsidRDefault="001D49D4" w:rsidP="0004348D">
      <w:pPr>
        <w:numPr>
          <w:ilvl w:val="0"/>
          <w:numId w:val="294"/>
        </w:numPr>
        <w:spacing w:before="360" w:after="240"/>
        <w:contextualSpacing/>
        <w:rPr>
          <w:rtl/>
        </w:rPr>
      </w:pPr>
      <w:r w:rsidRPr="001D49D4">
        <w:rPr>
          <w:rtl/>
        </w:rPr>
        <w:t xml:space="preserve">רמב"ם </w:t>
      </w:r>
      <w:r w:rsidRPr="001D49D4">
        <w:rPr>
          <w:sz w:val="16"/>
          <w:szCs w:val="16"/>
          <w:rtl/>
        </w:rPr>
        <w:t>(הל' עדות פ"ו ה"ו)</w:t>
      </w:r>
      <w:r w:rsidRPr="001D49D4">
        <w:rPr>
          <w:rtl/>
        </w:rPr>
        <w:t xml:space="preserve"> וטור- שלשה שישבו לקיים השטר ומת אחד מהם קודם שחתמו - צריכין לכתוב 'במותב תלתא כחדא הוינא וחד ליתוהי', שלא יטעו לומר קיום שטרות בשנים</w:t>
      </w:r>
      <w:r w:rsidRPr="001D49D4">
        <w:rPr>
          <w:sz w:val="16"/>
          <w:szCs w:val="16"/>
          <w:rtl/>
        </w:rPr>
        <w:t xml:space="preserve"> (ל' הטור)</w:t>
      </w:r>
      <w:r w:rsidRPr="001D49D4">
        <w:rPr>
          <w:rtl/>
        </w:rPr>
        <w:t xml:space="preserve">. </w:t>
      </w:r>
      <w:r w:rsidRPr="001D49D4">
        <w:rPr>
          <w:color w:val="E36C0A" w:themeColor="accent6" w:themeShade="BF"/>
          <w:rtl/>
        </w:rPr>
        <w:t>(וכ"פ בשו"ע)</w:t>
      </w:r>
    </w:p>
    <w:p w14:paraId="778680C7" w14:textId="77777777" w:rsidR="001D49D4" w:rsidRPr="001D49D4" w:rsidRDefault="001D49D4" w:rsidP="0004348D">
      <w:pPr>
        <w:spacing w:before="360" w:after="240"/>
        <w:ind w:left="360"/>
        <w:rPr>
          <w:rFonts w:ascii="Calibri" w:eastAsia="Calibri" w:hAnsi="Calibri" w:cs="Arial"/>
          <w:u w:val="dotted"/>
        </w:rPr>
      </w:pPr>
      <w:r w:rsidRPr="001D49D4">
        <w:rPr>
          <w:rFonts w:ascii="Calibri" w:eastAsia="Calibri" w:hAnsi="Calibri" w:cs="Arial"/>
          <w:u w:val="dotted"/>
          <w:rtl/>
        </w:rPr>
        <w:t>ומה הדין אם כתבו 'במותב תלתא כחדא הוינא'</w:t>
      </w:r>
      <w:r w:rsidRPr="001D49D4">
        <w:rPr>
          <w:rFonts w:ascii="Calibri" w:eastAsia="Calibri" w:hAnsi="Calibri" w:cs="Arial"/>
          <w:u w:val="dotted"/>
          <w:vertAlign w:val="superscript"/>
          <w:rtl/>
        </w:rPr>
        <w:footnoteReference w:id="3897"/>
      </w:r>
      <w:r w:rsidRPr="001D49D4">
        <w:rPr>
          <w:rFonts w:ascii="Calibri" w:eastAsia="Calibri" w:hAnsi="Calibri" w:cs="Arial"/>
          <w:u w:val="dotted"/>
          <w:rtl/>
        </w:rPr>
        <w:t xml:space="preserve"> ולא כתבו 'וחד ליתוהי':</w:t>
      </w:r>
    </w:p>
    <w:p w14:paraId="7E0756FD" w14:textId="77777777" w:rsidR="001D49D4" w:rsidRPr="001D49D4" w:rsidRDefault="001D49D4" w:rsidP="0004348D">
      <w:pPr>
        <w:numPr>
          <w:ilvl w:val="0"/>
          <w:numId w:val="294"/>
        </w:numPr>
        <w:spacing w:before="360" w:after="240"/>
        <w:contextualSpacing/>
        <w:rPr>
          <w:u w:val="single"/>
        </w:rPr>
      </w:pPr>
      <w:r w:rsidRPr="001D49D4">
        <w:rPr>
          <w:rtl/>
        </w:rPr>
        <w:t xml:space="preserve">תוס' </w:t>
      </w:r>
      <w:r w:rsidRPr="001D49D4">
        <w:rPr>
          <w:sz w:val="16"/>
          <w:szCs w:val="16"/>
          <w:rtl/>
        </w:rPr>
        <w:t>(ד"ה במותב)</w:t>
      </w:r>
      <w:r w:rsidRPr="001D49D4">
        <w:rPr>
          <w:rtl/>
        </w:rPr>
        <w:t xml:space="preserve"> רא"ה </w:t>
      </w:r>
      <w:r w:rsidRPr="001D49D4">
        <w:rPr>
          <w:sz w:val="16"/>
          <w:szCs w:val="16"/>
          <w:rtl/>
        </w:rPr>
        <w:t>(ד"ה אמר ר"ז, כ"כ בשמו הריטב"א</w:t>
      </w:r>
      <w:r w:rsidRPr="001D49D4">
        <w:rPr>
          <w:sz w:val="16"/>
          <w:szCs w:val="16"/>
          <w:vertAlign w:val="superscript"/>
          <w:rtl/>
        </w:rPr>
        <w:footnoteReference w:id="3898"/>
      </w:r>
      <w:r w:rsidRPr="001D49D4">
        <w:rPr>
          <w:sz w:val="16"/>
          <w:szCs w:val="16"/>
          <w:rtl/>
        </w:rPr>
        <w:t>)</w:t>
      </w:r>
      <w:r w:rsidRPr="001D49D4">
        <w:rPr>
          <w:rtl/>
        </w:rPr>
        <w:t xml:space="preserve"> ורא"ש</w:t>
      </w:r>
      <w:r w:rsidRPr="001D49D4">
        <w:rPr>
          <w:vertAlign w:val="superscript"/>
          <w:rtl/>
        </w:rPr>
        <w:footnoteReference w:id="3899"/>
      </w:r>
      <w:r w:rsidRPr="001D49D4">
        <w:rPr>
          <w:rtl/>
        </w:rPr>
        <w:t xml:space="preserve"> </w:t>
      </w:r>
      <w:r w:rsidRPr="001D49D4">
        <w:rPr>
          <w:sz w:val="16"/>
          <w:szCs w:val="16"/>
          <w:rtl/>
        </w:rPr>
        <w:t>(סי' כב)</w:t>
      </w:r>
      <w:r w:rsidRPr="001D49D4">
        <w:rPr>
          <w:rtl/>
        </w:rPr>
        <w:t>- כיון דכתב 'במותב תלתא הוינא' - 'חד ליתוהי' לא מעכב, ולרווחא לומר קושטא דמילתא נקט לה</w:t>
      </w:r>
      <w:r w:rsidRPr="001D49D4">
        <w:rPr>
          <w:sz w:val="16"/>
          <w:szCs w:val="16"/>
          <w:rtl/>
        </w:rPr>
        <w:t xml:space="preserve"> (ל' הנמוק"י בשם הריטב"א בשם רבו הרא"ה)</w:t>
      </w:r>
      <w:r w:rsidRPr="001D49D4">
        <w:rPr>
          <w:vertAlign w:val="superscript"/>
          <w:rtl/>
        </w:rPr>
        <w:footnoteReference w:id="3900"/>
      </w:r>
      <w:r w:rsidRPr="001D49D4">
        <w:rPr>
          <w:rtl/>
        </w:rPr>
        <w:t>.</w:t>
      </w:r>
    </w:p>
    <w:p w14:paraId="7AA11C1F" w14:textId="77777777" w:rsidR="001D49D4" w:rsidRPr="001D49D4" w:rsidRDefault="001D49D4" w:rsidP="0004348D">
      <w:pPr>
        <w:numPr>
          <w:ilvl w:val="0"/>
          <w:numId w:val="294"/>
        </w:numPr>
        <w:spacing w:before="360" w:after="240"/>
        <w:contextualSpacing/>
      </w:pPr>
      <w:r w:rsidRPr="001D49D4">
        <w:rPr>
          <w:rtl/>
        </w:rPr>
        <w:t xml:space="preserve">רמ"ה </w:t>
      </w:r>
      <w:r w:rsidRPr="001D49D4">
        <w:rPr>
          <w:sz w:val="16"/>
          <w:szCs w:val="16"/>
          <w:rtl/>
        </w:rPr>
        <w:t>(ב"ב קסה:, הביאו הריב"ש [סי' תיג])</w:t>
      </w:r>
      <w:r w:rsidRPr="001D49D4">
        <w:rPr>
          <w:rtl/>
        </w:rPr>
        <w:t>- היכא דכתיב 'במותב תלתא', ולא כתיב 'בי דינא' - צריך למכתב 'וחד ליתוהי', משום דלא ניחוש שהיו שלשה אלא שהאחד מהם היה פסול או קרוב, ומפני זה לא חתם עמהם כדי שלא יתברר ויתגלה פסולו</w:t>
      </w:r>
      <w:r w:rsidRPr="001D49D4">
        <w:rPr>
          <w:vertAlign w:val="superscript"/>
          <w:rtl/>
        </w:rPr>
        <w:footnoteReference w:id="3901"/>
      </w:r>
      <w:r w:rsidRPr="001D49D4">
        <w:rPr>
          <w:rtl/>
        </w:rPr>
        <w:t>.</w:t>
      </w:r>
    </w:p>
    <w:p w14:paraId="11C0C6FA" w14:textId="77777777" w:rsidR="001D49D4" w:rsidRPr="001D49D4" w:rsidRDefault="001D49D4" w:rsidP="0004348D">
      <w:pPr>
        <w:spacing w:before="360" w:after="240"/>
        <w:ind w:left="360"/>
        <w:rPr>
          <w:rFonts w:ascii="Calibri" w:eastAsia="Calibri" w:hAnsi="Calibri" w:cs="Arial"/>
          <w:u w:val="dotted"/>
        </w:rPr>
      </w:pPr>
      <w:r w:rsidRPr="001D49D4">
        <w:rPr>
          <w:rFonts w:ascii="Calibri" w:eastAsia="Calibri" w:hAnsi="Calibri" w:cs="Arial"/>
          <w:u w:val="dotted"/>
          <w:rtl/>
        </w:rPr>
        <w:t xml:space="preserve">ומה הדין כשכתבו בשטר 'נפיק לקדמנא </w:t>
      </w:r>
      <w:r w:rsidRPr="001D49D4">
        <w:rPr>
          <w:rFonts w:ascii="Calibri" w:eastAsia="Calibri" w:hAnsi="Calibri" w:cs="Arial"/>
          <w:b/>
          <w:bCs/>
          <w:u w:val="dotted"/>
          <w:rtl/>
        </w:rPr>
        <w:t>בי דינא</w:t>
      </w:r>
      <w:r w:rsidRPr="001D49D4">
        <w:rPr>
          <w:rFonts w:ascii="Calibri" w:eastAsia="Calibri" w:hAnsi="Calibri" w:cs="Arial"/>
          <w:u w:val="dotted"/>
          <w:rtl/>
        </w:rPr>
        <w:t xml:space="preserve">' </w:t>
      </w:r>
      <w:r w:rsidRPr="001D49D4">
        <w:rPr>
          <w:rFonts w:ascii="Calibri" w:eastAsia="Calibri" w:hAnsi="Calibri" w:cs="Arial"/>
          <w:sz w:val="16"/>
          <w:szCs w:val="16"/>
          <w:u w:val="dotted"/>
          <w:rtl/>
        </w:rPr>
        <w:t>(דמשמע לכאורה דהוי ג')</w:t>
      </w:r>
      <w:r w:rsidRPr="001D49D4">
        <w:rPr>
          <w:rFonts w:ascii="Calibri" w:eastAsia="Calibri" w:hAnsi="Calibri" w:cs="Arial"/>
          <w:u w:val="dotted"/>
          <w:rtl/>
        </w:rPr>
        <w:t xml:space="preserve"> – האם עדיין צריך לכתוב 'וחד ליתוהי':</w:t>
      </w:r>
    </w:p>
    <w:p w14:paraId="2B9E2616" w14:textId="77777777" w:rsidR="001D49D4" w:rsidRPr="001D49D4" w:rsidRDefault="001D49D4" w:rsidP="0004348D">
      <w:pPr>
        <w:numPr>
          <w:ilvl w:val="0"/>
          <w:numId w:val="294"/>
        </w:numPr>
        <w:spacing w:before="360" w:after="240"/>
        <w:contextualSpacing/>
        <w:rPr>
          <w:u w:val="single"/>
        </w:rPr>
      </w:pPr>
      <w:r w:rsidRPr="001D49D4">
        <w:rPr>
          <w:rtl/>
        </w:rPr>
        <w:t xml:space="preserve">רמב"ם </w:t>
      </w:r>
      <w:r w:rsidRPr="001D49D4">
        <w:rPr>
          <w:sz w:val="16"/>
          <w:szCs w:val="16"/>
          <w:rtl/>
        </w:rPr>
        <w:t>(הל' עדות פ"ו ה"ו)</w:t>
      </w:r>
      <w:r w:rsidRPr="001D49D4">
        <w:rPr>
          <w:rtl/>
        </w:rPr>
        <w:t xml:space="preserve"> וטור</w:t>
      </w:r>
      <w:r w:rsidRPr="001D49D4">
        <w:rPr>
          <w:vertAlign w:val="superscript"/>
          <w:rtl/>
        </w:rPr>
        <w:footnoteReference w:id="3902"/>
      </w:r>
      <w:r w:rsidRPr="001D49D4">
        <w:rPr>
          <w:rtl/>
        </w:rPr>
        <w:t>- צריכין לכתוב 'במושב שלשה היינו והאחד איננו'... אפילו היה כתוב בו 'בבית דין', יאמר שמא דמו ששנים בית דין הם. ואם יש בו משמע שהיו שלשה אינו צריך</w:t>
      </w:r>
      <w:r w:rsidRPr="001D49D4">
        <w:rPr>
          <w:sz w:val="16"/>
          <w:szCs w:val="16"/>
          <w:rtl/>
        </w:rPr>
        <w:t xml:space="preserve"> (ל' הרמב"ם)</w:t>
      </w:r>
      <w:r w:rsidRPr="001D49D4">
        <w:rPr>
          <w:rtl/>
        </w:rPr>
        <w:t xml:space="preserve">. </w:t>
      </w:r>
      <w:r w:rsidRPr="001D49D4">
        <w:rPr>
          <w:color w:val="E36C0A" w:themeColor="accent6" w:themeShade="BF"/>
          <w:rtl/>
        </w:rPr>
        <w:t>(וכ"ס בשו"ע)</w:t>
      </w:r>
    </w:p>
    <w:p w14:paraId="6D27D57C" w14:textId="77777777" w:rsidR="001D49D4" w:rsidRPr="001D49D4" w:rsidRDefault="001D49D4" w:rsidP="0004348D">
      <w:pPr>
        <w:numPr>
          <w:ilvl w:val="0"/>
          <w:numId w:val="294"/>
        </w:numPr>
        <w:spacing w:before="360" w:after="240"/>
        <w:contextualSpacing/>
        <w:rPr>
          <w:u w:val="single"/>
        </w:rPr>
      </w:pPr>
      <w:r w:rsidRPr="001D49D4">
        <w:rPr>
          <w:rtl/>
        </w:rPr>
        <w:t xml:space="preserve">ריב"ש </w:t>
      </w:r>
      <w:r w:rsidRPr="001D49D4">
        <w:rPr>
          <w:sz w:val="16"/>
          <w:szCs w:val="16"/>
          <w:rtl/>
        </w:rPr>
        <w:t>(סי' תיג)</w:t>
      </w:r>
      <w:r w:rsidRPr="001D49D4">
        <w:rPr>
          <w:rtl/>
        </w:rPr>
        <w:t>- נראה דהשתא כבר מפורסם לכל דאין בית דין פחות משלשה וכל דכתיב בי דינא תו לא צריך.</w:t>
      </w:r>
    </w:p>
    <w:p w14:paraId="2C35D86E" w14:textId="77777777" w:rsidR="001D49D4" w:rsidRPr="001D49D4" w:rsidRDefault="001D49D4" w:rsidP="0004348D">
      <w:pPr>
        <w:spacing w:before="360" w:after="240"/>
        <w:ind w:left="360"/>
        <w:rPr>
          <w:rFonts w:ascii="Calibri" w:eastAsia="Calibri" w:hAnsi="Calibri" w:cs="Arial"/>
          <w:u w:val="single"/>
        </w:rPr>
      </w:pPr>
      <w:r w:rsidRPr="001D49D4">
        <w:rPr>
          <w:rFonts w:ascii="Calibri" w:eastAsia="Calibri" w:hAnsi="Calibri" w:cs="Arial"/>
          <w:u w:val="dotted"/>
          <w:rtl/>
        </w:rPr>
        <w:t>ומה הדין כשכתבו בשטר 'בי דינא' ו'במותב תלתא הוינא' – האם עדיין צריך לכתוב 'וחד ליתוהי':</w:t>
      </w:r>
      <w:r w:rsidRPr="001D49D4">
        <w:rPr>
          <w:rFonts w:ascii="Calibri" w:eastAsia="Calibri" w:hAnsi="Calibri" w:cs="Arial"/>
          <w:rtl/>
        </w:rPr>
        <w:t xml:space="preserve"> </w:t>
      </w:r>
    </w:p>
    <w:p w14:paraId="28BCBA78" w14:textId="77777777" w:rsidR="001D49D4" w:rsidRPr="001D49D4" w:rsidRDefault="001D49D4" w:rsidP="0004348D">
      <w:pPr>
        <w:numPr>
          <w:ilvl w:val="0"/>
          <w:numId w:val="294"/>
        </w:numPr>
        <w:spacing w:before="360" w:after="240"/>
        <w:contextualSpacing/>
        <w:rPr>
          <w:u w:val="single"/>
        </w:rPr>
      </w:pPr>
      <w:r w:rsidRPr="001D49D4">
        <w:rPr>
          <w:rtl/>
        </w:rPr>
        <w:t xml:space="preserve">רמ"ה </w:t>
      </w:r>
      <w:r w:rsidRPr="001D49D4">
        <w:rPr>
          <w:sz w:val="16"/>
          <w:szCs w:val="16"/>
          <w:rtl/>
        </w:rPr>
        <w:t>(שם, הביאו הריב"ש [שם])</w:t>
      </w:r>
      <w:r w:rsidRPr="001D49D4">
        <w:rPr>
          <w:rtl/>
        </w:rPr>
        <w:t xml:space="preserve"> וריב"ש </w:t>
      </w:r>
      <w:r w:rsidRPr="001D49D4">
        <w:rPr>
          <w:sz w:val="16"/>
          <w:szCs w:val="16"/>
          <w:rtl/>
        </w:rPr>
        <w:t>(סי' תיג)</w:t>
      </w:r>
      <w:r w:rsidRPr="001D49D4">
        <w:rPr>
          <w:rtl/>
        </w:rPr>
        <w:t>- לכולי עלמא אי כתיב 'בי דינא' ו'במותב תלתא' - תו לא צריך, וחותמין שנים מהם ודי</w:t>
      </w:r>
      <w:r w:rsidRPr="001D49D4">
        <w:rPr>
          <w:sz w:val="16"/>
          <w:szCs w:val="16"/>
          <w:rtl/>
        </w:rPr>
        <w:t xml:space="preserve"> (ל' הריב"ש)</w:t>
      </w:r>
      <w:r w:rsidRPr="001D49D4">
        <w:rPr>
          <w:vertAlign w:val="superscript"/>
          <w:rtl/>
        </w:rPr>
        <w:footnoteReference w:id="3903"/>
      </w:r>
      <w:r w:rsidRPr="001D49D4">
        <w:rPr>
          <w:rtl/>
        </w:rPr>
        <w:t xml:space="preserve">. </w:t>
      </w:r>
      <w:r w:rsidRPr="001D49D4">
        <w:rPr>
          <w:color w:val="E36C0A" w:themeColor="accent6" w:themeShade="BF"/>
          <w:rtl/>
        </w:rPr>
        <w:t>(וכ"פ בשו"ע)</w:t>
      </w:r>
    </w:p>
    <w:p w14:paraId="6B4A6482" w14:textId="77777777" w:rsidR="001D49D4" w:rsidRPr="001D49D4" w:rsidRDefault="001D49D4" w:rsidP="0004348D">
      <w:pPr>
        <w:spacing w:before="360" w:after="240"/>
        <w:rPr>
          <w:rFonts w:ascii="Calibri" w:eastAsia="Calibri" w:hAnsi="Calibri" w:cs="Arial"/>
          <w:u w:val="single"/>
        </w:rPr>
      </w:pPr>
      <w:r w:rsidRPr="001D49D4">
        <w:rPr>
          <w:rFonts w:ascii="Calibri" w:eastAsia="Calibri" w:hAnsi="Calibri" w:cs="Arial"/>
          <w:u w:val="single"/>
          <w:rtl/>
        </w:rPr>
        <w:t>כשחתומים שלשה בשטר – האם צריך לכתוב בשטר 'במותב תלתא':</w:t>
      </w:r>
    </w:p>
    <w:p w14:paraId="1FFEC40B" w14:textId="77777777" w:rsidR="001D49D4" w:rsidRPr="001D49D4" w:rsidRDefault="001D49D4" w:rsidP="0004348D">
      <w:pPr>
        <w:numPr>
          <w:ilvl w:val="0"/>
          <w:numId w:val="294"/>
        </w:numPr>
        <w:spacing w:before="360" w:after="240"/>
        <w:contextualSpacing/>
        <w:rPr>
          <w:u w:val="single"/>
        </w:rPr>
      </w:pPr>
      <w:r w:rsidRPr="001D49D4">
        <w:rPr>
          <w:rtl/>
        </w:rPr>
        <w:t xml:space="preserve">(תוס' </w:t>
      </w:r>
      <w:r w:rsidRPr="001D49D4">
        <w:rPr>
          <w:sz w:val="16"/>
          <w:szCs w:val="16"/>
          <w:rtl/>
        </w:rPr>
        <w:t>[שם]</w:t>
      </w:r>
      <w:r w:rsidRPr="001D49D4">
        <w:rPr>
          <w:rtl/>
        </w:rPr>
        <w:t xml:space="preserve"> רא"ה </w:t>
      </w:r>
      <w:r w:rsidRPr="001D49D4">
        <w:rPr>
          <w:sz w:val="16"/>
          <w:szCs w:val="16"/>
          <w:rtl/>
        </w:rPr>
        <w:t>[שם]</w:t>
      </w:r>
      <w:r w:rsidRPr="001D49D4">
        <w:rPr>
          <w:rtl/>
        </w:rPr>
        <w:t xml:space="preserve"> ורא"ש </w:t>
      </w:r>
      <w:r w:rsidRPr="001D49D4">
        <w:rPr>
          <w:sz w:val="16"/>
          <w:szCs w:val="16"/>
          <w:rtl/>
        </w:rPr>
        <w:t>[שם] כ"כ הב"י שמשמע מדבריהם</w:t>
      </w:r>
      <w:r w:rsidRPr="001D49D4">
        <w:rPr>
          <w:rtl/>
        </w:rPr>
        <w:t xml:space="preserve">) רא"ה </w:t>
      </w:r>
      <w:r w:rsidRPr="001D49D4">
        <w:rPr>
          <w:sz w:val="16"/>
          <w:szCs w:val="16"/>
          <w:rtl/>
        </w:rPr>
        <w:t>(הביאו הריב"ש [סי' שיח])</w:t>
      </w:r>
      <w:r w:rsidRPr="001D49D4">
        <w:rPr>
          <w:rtl/>
        </w:rPr>
        <w:t xml:space="preserve"> ורשב"א </w:t>
      </w:r>
      <w:r w:rsidRPr="001D49D4">
        <w:rPr>
          <w:sz w:val="16"/>
          <w:szCs w:val="16"/>
          <w:rtl/>
        </w:rPr>
        <w:t>(סי' אלף קנג)</w:t>
      </w:r>
      <w:r w:rsidRPr="001D49D4">
        <w:rPr>
          <w:rtl/>
        </w:rPr>
        <w:t xml:space="preserve">- כל שחתומים בו שלשה - אין צריך לכתוב במותב תלתא. </w:t>
      </w:r>
      <w:r w:rsidRPr="001D49D4">
        <w:rPr>
          <w:color w:val="00B0F0"/>
          <w:rtl/>
        </w:rPr>
        <w:t>(וכ"פ הרמ"א)</w:t>
      </w:r>
    </w:p>
    <w:p w14:paraId="0BB3945E" w14:textId="77777777" w:rsidR="001D49D4" w:rsidRPr="001D49D4" w:rsidRDefault="001D49D4" w:rsidP="0004348D">
      <w:pPr>
        <w:spacing w:before="360" w:after="240"/>
        <w:ind w:left="360"/>
        <w:rPr>
          <w:rFonts w:ascii="Calibri" w:eastAsia="Calibri" w:hAnsi="Calibri" w:cs="Arial"/>
          <w:u w:val="dotted"/>
        </w:rPr>
      </w:pPr>
      <w:r w:rsidRPr="001D49D4">
        <w:rPr>
          <w:rFonts w:ascii="Calibri" w:eastAsia="Calibri" w:hAnsi="Calibri" w:cs="Arial"/>
          <w:u w:val="dotted"/>
          <w:rtl/>
        </w:rPr>
        <w:t>ומה הדין בשטר הנ"ל</w:t>
      </w:r>
      <w:r w:rsidRPr="001D49D4">
        <w:rPr>
          <w:rFonts w:ascii="Calibri" w:eastAsia="Calibri" w:hAnsi="Calibri" w:cs="Arial"/>
          <w:sz w:val="16"/>
          <w:szCs w:val="16"/>
          <w:u w:val="dotted"/>
          <w:rtl/>
        </w:rPr>
        <w:t xml:space="preserve"> {שחתומים בו ג'}</w:t>
      </w:r>
      <w:r w:rsidRPr="001D49D4">
        <w:rPr>
          <w:rFonts w:ascii="Calibri" w:eastAsia="Calibri" w:hAnsi="Calibri" w:cs="Arial"/>
          <w:u w:val="dotted"/>
          <w:rtl/>
        </w:rPr>
        <w:t xml:space="preserve"> כשלא נכתב בו אלא - 'נתקיים שטר זה בפנינו כראוי': </w:t>
      </w:r>
    </w:p>
    <w:p w14:paraId="034FA0BC" w14:textId="77777777" w:rsidR="001D49D4" w:rsidRPr="001D49D4" w:rsidRDefault="001D49D4" w:rsidP="0004348D">
      <w:pPr>
        <w:numPr>
          <w:ilvl w:val="0"/>
          <w:numId w:val="294"/>
        </w:numPr>
        <w:spacing w:before="360" w:after="240"/>
        <w:contextualSpacing/>
        <w:rPr>
          <w:u w:val="single"/>
        </w:rPr>
      </w:pPr>
      <w:r w:rsidRPr="001D49D4">
        <w:rPr>
          <w:rtl/>
        </w:rPr>
        <w:t xml:space="preserve">רשב"א </w:t>
      </w:r>
      <w:r w:rsidRPr="001D49D4">
        <w:rPr>
          <w:sz w:val="16"/>
          <w:szCs w:val="16"/>
          <w:rtl/>
        </w:rPr>
        <w:t>(במיוחסות סי' צא)</w:t>
      </w:r>
      <w:r w:rsidRPr="001D49D4">
        <w:rPr>
          <w:rtl/>
        </w:rPr>
        <w:t>- אפילו לא כתבו אלא נתקיים שטר זה בפנינו כראוי - די בכך.</w:t>
      </w:r>
      <w:r w:rsidRPr="001D49D4">
        <w:rPr>
          <w:color w:val="00B0F0"/>
          <w:rtl/>
        </w:rPr>
        <w:t xml:space="preserve"> (וכ"פ הרמ"א)</w:t>
      </w:r>
    </w:p>
    <w:p w14:paraId="20D603D2" w14:textId="77777777" w:rsidR="001D49D4" w:rsidRPr="001D49D4" w:rsidRDefault="001D49D4" w:rsidP="0004348D">
      <w:pPr>
        <w:spacing w:before="360" w:after="240"/>
        <w:rPr>
          <w:rFonts w:ascii="Arial" w:eastAsia="Calibri" w:hAnsi="Arial" w:cs="Arial"/>
          <w:b/>
          <w:bCs/>
          <w:color w:val="000000"/>
          <w:sz w:val="28"/>
          <w:szCs w:val="28"/>
          <w:u w:val="single"/>
        </w:rPr>
      </w:pPr>
      <w:r w:rsidRPr="001D49D4">
        <w:rPr>
          <w:rFonts w:ascii="Arial" w:eastAsia="Calibri" w:hAnsi="Arial" w:cs="Arial"/>
          <w:b/>
          <w:bCs/>
          <w:color w:val="000000"/>
          <w:sz w:val="28"/>
          <w:szCs w:val="28"/>
          <w:u w:val="single"/>
          <w:rtl/>
        </w:rPr>
        <w:t>שו"ע:</w:t>
      </w:r>
    </w:p>
    <w:p w14:paraId="4D5D599F"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rtl/>
        </w:rPr>
        <w:t>שלשה שישבו לקיים את השטר ומת</w:t>
      </w:r>
      <w:r w:rsidRPr="001D49D4">
        <w:rPr>
          <w:rFonts w:ascii="Calibri" w:eastAsia="Calibri" w:hAnsi="Calibri" w:cs="Arial"/>
          <w:vertAlign w:val="superscript"/>
          <w:rtl/>
        </w:rPr>
        <w:footnoteReference w:id="3904"/>
      </w:r>
      <w:r w:rsidRPr="001D49D4">
        <w:rPr>
          <w:rFonts w:ascii="Calibri" w:eastAsia="Calibri" w:hAnsi="Calibri" w:cs="Arial"/>
          <w:rtl/>
        </w:rPr>
        <w:t xml:space="preserve"> אחד מהם, צריכין לכתוב</w:t>
      </w:r>
      <w:r w:rsidRPr="001D49D4">
        <w:rPr>
          <w:rFonts w:ascii="Calibri" w:eastAsia="Calibri" w:hAnsi="Calibri" w:cs="Arial"/>
          <w:vertAlign w:val="superscript"/>
          <w:rtl/>
        </w:rPr>
        <w:footnoteReference w:id="3905"/>
      </w:r>
      <w:r w:rsidRPr="001D49D4">
        <w:rPr>
          <w:rFonts w:ascii="Calibri" w:eastAsia="Calibri" w:hAnsi="Calibri" w:cs="Arial"/>
          <w:rtl/>
        </w:rPr>
        <w:t xml:space="preserve"> 'במותב תלתא הוינא וחד ליתוהי', כדי שלא יאמר הרואה בית דין של שנים קיימוהו. אפילו היה כתוב בו 'בבית דין'</w:t>
      </w:r>
      <w:r w:rsidRPr="001D49D4">
        <w:rPr>
          <w:rFonts w:ascii="Calibri" w:eastAsia="Calibri" w:hAnsi="Calibri" w:cs="Arial"/>
          <w:vertAlign w:val="superscript"/>
          <w:rtl/>
        </w:rPr>
        <w:footnoteReference w:id="3906"/>
      </w:r>
      <w:r w:rsidRPr="001D49D4">
        <w:rPr>
          <w:rFonts w:ascii="Calibri" w:eastAsia="Calibri" w:hAnsi="Calibri" w:cs="Arial"/>
          <w:rtl/>
        </w:rPr>
        <w:t>, יאמר שמא דימו ששנים בית דין הם</w:t>
      </w:r>
      <w:r w:rsidRPr="001D49D4">
        <w:rPr>
          <w:rFonts w:ascii="Calibri" w:eastAsia="Calibri" w:hAnsi="Calibri" w:cs="Arial"/>
          <w:vertAlign w:val="superscript"/>
          <w:rtl/>
        </w:rPr>
        <w:footnoteReference w:id="3907"/>
      </w:r>
      <w:r w:rsidRPr="001D49D4">
        <w:rPr>
          <w:rFonts w:ascii="Calibri" w:eastAsia="Calibri" w:hAnsi="Calibri" w:cs="Arial"/>
          <w:rtl/>
        </w:rPr>
        <w:t>. ואם יש בו משמעות שהיו שלשה</w:t>
      </w:r>
      <w:r w:rsidRPr="001D49D4">
        <w:rPr>
          <w:rFonts w:ascii="Calibri" w:eastAsia="Calibri" w:hAnsi="Calibri" w:cs="Arial"/>
          <w:vertAlign w:val="superscript"/>
          <w:rtl/>
        </w:rPr>
        <w:footnoteReference w:id="3908"/>
      </w:r>
      <w:r w:rsidRPr="001D49D4">
        <w:rPr>
          <w:rFonts w:ascii="Calibri" w:eastAsia="Calibri" w:hAnsi="Calibri" w:cs="Arial"/>
          <w:rtl/>
        </w:rPr>
        <w:t>, אינו צריך</w:t>
      </w:r>
      <w:r w:rsidRPr="001D49D4">
        <w:rPr>
          <w:rFonts w:ascii="Calibri" w:eastAsia="Calibri" w:hAnsi="Calibri" w:cs="Arial"/>
          <w:vertAlign w:val="superscript"/>
          <w:rtl/>
        </w:rPr>
        <w:footnoteReference w:id="3909"/>
      </w:r>
      <w:r w:rsidRPr="001D49D4">
        <w:rPr>
          <w:rFonts w:ascii="Calibri" w:eastAsia="Calibri" w:hAnsi="Calibri" w:cs="Arial"/>
          <w:rtl/>
        </w:rPr>
        <w:t>. ויש אומרים שאם לא כתבו 'וחד ליתוהי', כשר</w:t>
      </w:r>
      <w:r w:rsidRPr="001D49D4">
        <w:rPr>
          <w:rFonts w:ascii="Calibri" w:eastAsia="Calibri" w:hAnsi="Calibri" w:cs="Arial"/>
          <w:vertAlign w:val="superscript"/>
          <w:rtl/>
        </w:rPr>
        <w:footnoteReference w:id="3910"/>
      </w:r>
      <w:r w:rsidRPr="001D49D4">
        <w:rPr>
          <w:rFonts w:ascii="Calibri" w:eastAsia="Calibri" w:hAnsi="Calibri" w:cs="Arial"/>
          <w:rtl/>
        </w:rPr>
        <w:t>. ומכל מקום לכולי עלמא אם כתב בי דינא ובמותב תלתא, תו לא צריך</w:t>
      </w:r>
      <w:r w:rsidRPr="001D49D4">
        <w:rPr>
          <w:rFonts w:ascii="Calibri" w:eastAsia="Calibri" w:hAnsi="Calibri" w:cs="Arial"/>
          <w:vertAlign w:val="superscript"/>
          <w:rtl/>
        </w:rPr>
        <w:footnoteReference w:id="3911"/>
      </w:r>
      <w:r w:rsidRPr="001D49D4">
        <w:rPr>
          <w:rFonts w:ascii="Calibri" w:eastAsia="Calibri" w:hAnsi="Calibri" w:cs="Arial"/>
          <w:rtl/>
        </w:rPr>
        <w:t xml:space="preserve">, וחותמים שנים מהם ודיו. </w:t>
      </w:r>
      <w:r w:rsidRPr="001D49D4">
        <w:rPr>
          <w:rFonts w:ascii="Calibri" w:eastAsia="Calibri" w:hAnsi="Calibri" w:cs="Arial"/>
          <w:sz w:val="18"/>
          <w:szCs w:val="18"/>
          <w:rtl/>
        </w:rPr>
        <w:t>הגה: ואם כל השלשה חתומים, אין צריך לכתוב במותב תלתא הוינא (נמוק"י ריב"ש רשב"א ור"ן). ואפילו אין כתוב בו רק 'שטר זה נתקיים כראוי', די בכך</w:t>
      </w:r>
      <w:r w:rsidRPr="001D49D4">
        <w:rPr>
          <w:rFonts w:ascii="Calibri" w:eastAsia="Calibri" w:hAnsi="Calibri" w:cs="Arial"/>
          <w:sz w:val="18"/>
          <w:szCs w:val="18"/>
          <w:vertAlign w:val="superscript"/>
          <w:rtl/>
        </w:rPr>
        <w:footnoteReference w:id="3912"/>
      </w:r>
      <w:r w:rsidRPr="001D49D4">
        <w:rPr>
          <w:rFonts w:ascii="Calibri" w:eastAsia="Calibri" w:hAnsi="Calibri" w:cs="Arial"/>
          <w:sz w:val="18"/>
          <w:szCs w:val="18"/>
          <w:rtl/>
        </w:rPr>
        <w:t xml:space="preserve"> (רשב"א במיוחסות סי' צא).</w:t>
      </w:r>
      <w:r w:rsidRPr="001D49D4">
        <w:rPr>
          <w:rFonts w:ascii="Calibri" w:eastAsia="Calibri" w:hAnsi="Calibri" w:cs="Arial"/>
          <w:rtl/>
        </w:rPr>
        <w:t xml:space="preserve"> </w:t>
      </w:r>
    </w:p>
    <w:p w14:paraId="1143FA70" w14:textId="77777777" w:rsidR="001D49D4" w:rsidRPr="001D49D4" w:rsidRDefault="001D49D4" w:rsidP="0004348D">
      <w:pPr>
        <w:spacing w:before="360" w:after="240"/>
        <w:rPr>
          <w:rFonts w:ascii="Calibri" w:eastAsia="Calibri" w:hAnsi="Calibri" w:cs="Arial"/>
          <w:rtl/>
        </w:rPr>
      </w:pPr>
    </w:p>
    <w:p w14:paraId="77EB4DB6" w14:textId="77777777" w:rsidR="001D49D4" w:rsidRPr="001D49D4" w:rsidRDefault="001D49D4" w:rsidP="0004348D">
      <w:pPr>
        <w:keepNext/>
        <w:keepLines/>
        <w:spacing w:before="360" w:after="240"/>
        <w:outlineLvl w:val="1"/>
        <w:rPr>
          <w:rFonts w:ascii="Cambria" w:eastAsia="Times New Roman" w:hAnsi="Cambria" w:cs="Arial"/>
          <w:bCs/>
          <w:color w:val="548DD4" w:themeColor="text2" w:themeTint="99"/>
          <w:sz w:val="26"/>
          <w:szCs w:val="26"/>
          <w:rtl/>
        </w:rPr>
      </w:pPr>
      <w:bookmarkStart w:id="531" w:name="_Toc24883964"/>
      <w:r w:rsidRPr="001D49D4">
        <w:rPr>
          <w:rFonts w:ascii="Cambria" w:eastAsia="Times New Roman" w:hAnsi="Cambria" w:cs="Arial"/>
          <w:bCs/>
          <w:color w:val="548DD4" w:themeColor="text2" w:themeTint="99"/>
          <w:sz w:val="26"/>
          <w:szCs w:val="26"/>
          <w:rtl/>
        </w:rPr>
        <w:t>סעיף ל: שלשה שישבו לקיים השטר ואחד מהם לא בנמצא.</w:t>
      </w:r>
      <w:bookmarkEnd w:id="531"/>
    </w:p>
    <w:p w14:paraId="191133B5" w14:textId="77777777" w:rsidR="001D49D4" w:rsidRPr="001D49D4" w:rsidRDefault="001D49D4" w:rsidP="0004348D">
      <w:pPr>
        <w:spacing w:before="360" w:after="240"/>
        <w:rPr>
          <w:rFonts w:ascii="Calibri" w:eastAsia="Calibri" w:hAnsi="Calibri" w:cs="Arial"/>
          <w:u w:val="single"/>
          <w:rtl/>
        </w:rPr>
      </w:pPr>
      <w:r w:rsidRPr="001D49D4">
        <w:rPr>
          <w:rFonts w:ascii="Calibri" w:eastAsia="Calibri" w:hAnsi="Calibri" w:cs="Arial"/>
          <w:u w:val="single"/>
          <w:rtl/>
        </w:rPr>
        <w:t>שלשה שישבו לקיים השטר ואחד מהם לא בנמצא:</w:t>
      </w:r>
    </w:p>
    <w:p w14:paraId="43F97282" w14:textId="77777777" w:rsidR="001D49D4" w:rsidRPr="001D49D4" w:rsidRDefault="001D49D4" w:rsidP="0004348D">
      <w:pPr>
        <w:numPr>
          <w:ilvl w:val="0"/>
          <w:numId w:val="294"/>
        </w:numPr>
        <w:spacing w:before="360" w:after="240"/>
        <w:contextualSpacing/>
        <w:rPr>
          <w:rtl/>
        </w:rPr>
      </w:pPr>
      <w:r w:rsidRPr="001D49D4">
        <w:rPr>
          <w:rtl/>
        </w:rPr>
        <w:t xml:space="preserve">ב"י- היכא שלא מת אחד מהם אלא אינו נמצא, ורוצים לשלוח הקיום והשיירא הולכת - נראה דהוה ליה כמת אחד מהם. </w:t>
      </w:r>
      <w:r w:rsidRPr="001D49D4">
        <w:rPr>
          <w:color w:val="E36C0A" w:themeColor="accent6" w:themeShade="BF"/>
          <w:rtl/>
        </w:rPr>
        <w:t>(וכ"פ בשו"ע)</w:t>
      </w:r>
    </w:p>
    <w:p w14:paraId="53AAB134" w14:textId="77777777" w:rsidR="001D49D4" w:rsidRPr="001D49D4" w:rsidRDefault="001D49D4" w:rsidP="0004348D">
      <w:pPr>
        <w:spacing w:before="360" w:after="240"/>
        <w:rPr>
          <w:rFonts w:ascii="Calibri" w:eastAsia="Calibri" w:hAnsi="Calibri" w:cs="Arial"/>
          <w:u w:val="single"/>
        </w:rPr>
      </w:pPr>
      <w:r w:rsidRPr="001D49D4">
        <w:rPr>
          <w:rFonts w:ascii="Calibri" w:eastAsia="Calibri" w:hAnsi="Calibri" w:cs="Arial"/>
          <w:u w:val="single"/>
          <w:rtl/>
        </w:rPr>
        <w:t>האם ניתן לכתוב 'במותב תלתא כחדא הוינא וחד ליתוהי' כשיש טורח למצוא את הדיין השלישי:</w:t>
      </w:r>
    </w:p>
    <w:p w14:paraId="565CF8C6" w14:textId="77777777" w:rsidR="001D49D4" w:rsidRPr="001D49D4" w:rsidRDefault="001D49D4" w:rsidP="0004348D">
      <w:pPr>
        <w:numPr>
          <w:ilvl w:val="0"/>
          <w:numId w:val="294"/>
        </w:numPr>
        <w:spacing w:before="360" w:after="240"/>
        <w:contextualSpacing/>
      </w:pPr>
      <w:r w:rsidRPr="001D49D4">
        <w:rPr>
          <w:rtl/>
        </w:rPr>
        <w:t xml:space="preserve">ב"י- ראיתי לרבותי דלכתחילה מקבלים העדות בשלשה, ואחר יום או יומים כותבין הקיום וכותבין בו 'במותב תלתא וכו' וחתימנא ביה תרי מגו תלתא', ולא היו כותבין בו כי אם שנים, והיו עושין כן להקל הטורח אם לא ימצא השלישי כל כך במהרה. </w:t>
      </w:r>
      <w:r w:rsidRPr="001D49D4">
        <w:rPr>
          <w:color w:val="E36C0A" w:themeColor="accent6" w:themeShade="BF"/>
          <w:rtl/>
        </w:rPr>
        <w:t>(וכ"פ בשו"ע)</w:t>
      </w:r>
    </w:p>
    <w:p w14:paraId="47C09873" w14:textId="77777777" w:rsidR="001D49D4" w:rsidRPr="001D49D4" w:rsidRDefault="001D49D4" w:rsidP="0004348D">
      <w:pPr>
        <w:spacing w:before="360" w:after="240"/>
        <w:rPr>
          <w:rFonts w:ascii="Calibri" w:eastAsia="Calibri" w:hAnsi="Calibri" w:cs="Arial"/>
          <w:u w:val="single"/>
        </w:rPr>
      </w:pPr>
      <w:r w:rsidRPr="001D49D4">
        <w:rPr>
          <w:rFonts w:ascii="Calibri" w:eastAsia="Calibri" w:hAnsi="Calibri" w:cs="Arial"/>
          <w:u w:val="single"/>
          <w:rtl/>
        </w:rPr>
        <w:t>קיום שלא כתוב בו לא 'במותב תלתא' ולא 'בי דינא', ובנוסף לכך כותבים המקיימים 'אנחנא סהדי':</w:t>
      </w:r>
    </w:p>
    <w:p w14:paraId="42A5496C" w14:textId="77777777" w:rsidR="001D49D4" w:rsidRPr="001D49D4" w:rsidRDefault="001D49D4" w:rsidP="0004348D">
      <w:pPr>
        <w:numPr>
          <w:ilvl w:val="0"/>
          <w:numId w:val="294"/>
        </w:numPr>
        <w:spacing w:before="360" w:after="240"/>
        <w:contextualSpacing/>
        <w:rPr>
          <w:rtl/>
        </w:rPr>
      </w:pPr>
      <w:r w:rsidRPr="001D49D4">
        <w:rPr>
          <w:rtl/>
        </w:rPr>
        <w:t xml:space="preserve">ריב"ש </w:t>
      </w:r>
      <w:r w:rsidRPr="001D49D4">
        <w:rPr>
          <w:sz w:val="16"/>
          <w:szCs w:val="16"/>
          <w:rtl/>
        </w:rPr>
        <w:t>(סי' שפב קיא ע"ד ד"ה עוד)</w:t>
      </w:r>
      <w:r w:rsidRPr="001D49D4">
        <w:rPr>
          <w:rtl/>
        </w:rPr>
        <w:t xml:space="preserve">- בא לפני קיום לקיום גט חליצה והיו חתומים בו חמשה ולא כתבו בקיום במותב תלתא ולא במותב חמשה ולא אנחנא בי דינא אלא כתבו אתברר קדמנא אנחנא סהדי דחתימין לתתא חתימות ידיהן דפלוני ופלוני אבל עבר הקולמוס על סהדי ולא הזכירו למטה העברת הקולמוס. נראה דהוה ליה כאילו לא העבירו הקולמוס ויש לו דין התלויין שאין למדין מהם כיון שלא קיימוהו למטה </w:t>
      </w:r>
      <w:r w:rsidRPr="001D49D4">
        <w:rPr>
          <w:sz w:val="16"/>
          <w:szCs w:val="16"/>
          <w:rtl/>
        </w:rPr>
        <w:t xml:space="preserve">(ב"ב קסא:) </w:t>
      </w:r>
      <w:r w:rsidRPr="001D49D4">
        <w:rPr>
          <w:rtl/>
        </w:rPr>
        <w:t>ואם כן כיון שכתבו בהדיא 'סהדי' - הקיום פסול, ואע"פ שכתבו אח"כ ומדאתברר לנא חתימות ידייהו וכו' שהוא לשון בית דין אין זה כדי לבטל מה שכתבו סהדי</w:t>
      </w:r>
      <w:r w:rsidRPr="001D49D4">
        <w:rPr>
          <w:vertAlign w:val="superscript"/>
          <w:rtl/>
        </w:rPr>
        <w:footnoteReference w:id="3913"/>
      </w:r>
      <w:r w:rsidRPr="001D49D4">
        <w:rPr>
          <w:rtl/>
        </w:rPr>
        <w:t xml:space="preserve">... ויש לדון ולומר דהני חמשה לא העיד אחר בפניהם אלא הם בעצמן היו מכירין החתימות ונעשו עדים ודיינין בבת אחת, דבדרבנן עד נעשה דיין בבת אחת כדאמרינן בפ"ק דגטין </w:t>
      </w:r>
      <w:r w:rsidRPr="001D49D4">
        <w:rPr>
          <w:sz w:val="16"/>
          <w:szCs w:val="16"/>
          <w:rtl/>
        </w:rPr>
        <w:t xml:space="preserve">(ה:) </w:t>
      </w:r>
      <w:r w:rsidRPr="001D49D4">
        <w:rPr>
          <w:rtl/>
        </w:rPr>
        <w:t xml:space="preserve">גבי בפני כמה נותנו לה. ועוד יש לדון דכיון שהם עצמם עדים אף אם לא יהיו דיינים יכולין לכתוב עדותם על השטר והוי כמי שנחקרה עדותן בבית דין וכל שנמצא לקיים חתימתן של אלו בהכי סגי, ויקבלו עדותן מפי כתב זה, כיון דקיום שטרות דרבנן והם חתמו עדותם ונתנוהו לבעל דין נעשה כמי שנחקרה עדותן, ולא אמרינן </w:t>
      </w:r>
      <w:r w:rsidRPr="001D49D4">
        <w:rPr>
          <w:sz w:val="16"/>
          <w:szCs w:val="16"/>
          <w:rtl/>
        </w:rPr>
        <w:t xml:space="preserve">(ב"ב מ.) </w:t>
      </w:r>
      <w:r w:rsidRPr="001D49D4">
        <w:rPr>
          <w:rtl/>
        </w:rPr>
        <w:t xml:space="preserve">קיום שטרות בשלשה אלא כשהעדים או אחרים מעידין בפניהם... אמנם עדיין יש להסתפק בזה דאפשר דלעולם בעינן שלשה והם בית דין, ושנים המכירין חתימות העדים אין כותבין עדותן בשטר דהוה ליה מפי כתבם </w:t>
      </w:r>
      <w:r w:rsidRPr="001D49D4">
        <w:rPr>
          <w:sz w:val="16"/>
          <w:szCs w:val="16"/>
          <w:rtl/>
        </w:rPr>
        <w:t>(גיטין עא.)</w:t>
      </w:r>
      <w:r w:rsidRPr="001D49D4">
        <w:rPr>
          <w:rtl/>
        </w:rPr>
        <w:t>, אלא שי"ל כמו שכתבתי למעלה שהם דיינין ועדים כאחד, אלא שאם כן לא היה להם לכתוב איתברר קדמנא אלא אשתמודענא או אתברר לנא.</w:t>
      </w:r>
    </w:p>
    <w:p w14:paraId="59FE7F50" w14:textId="77777777" w:rsidR="001D49D4" w:rsidRPr="001D49D4" w:rsidRDefault="001D49D4" w:rsidP="0004348D">
      <w:pPr>
        <w:spacing w:before="360" w:after="240"/>
        <w:rPr>
          <w:rFonts w:ascii="Calibri" w:eastAsia="Calibri" w:hAnsi="Calibri" w:cs="Arial"/>
          <w:b/>
          <w:bCs/>
          <w:sz w:val="16"/>
          <w:szCs w:val="16"/>
          <w:rtl/>
        </w:rPr>
      </w:pPr>
      <w:r w:rsidRPr="001D49D4">
        <w:rPr>
          <w:rFonts w:ascii="Calibri" w:eastAsia="Calibri" w:hAnsi="Calibri" w:cs="Arial"/>
          <w:u w:val="single"/>
          <w:rtl/>
        </w:rPr>
        <w:t>הנפק שהיה כתוב בו 'בי דינא' ו'במותב תלתא' והיו שלשה חתומים בו מלמטה ושנים מהם היו קרובים זה לזה:</w:t>
      </w:r>
      <w:r w:rsidRPr="001D49D4">
        <w:rPr>
          <w:rFonts w:ascii="Calibri" w:eastAsia="Calibri" w:hAnsi="Calibri" w:cs="Arial"/>
          <w:sz w:val="16"/>
          <w:szCs w:val="16"/>
          <w:rtl/>
        </w:rPr>
        <w:t xml:space="preserve"> </w:t>
      </w:r>
    </w:p>
    <w:p w14:paraId="1366FA0E" w14:textId="77777777" w:rsidR="001D49D4" w:rsidRPr="001D49D4" w:rsidRDefault="001D49D4" w:rsidP="0004348D">
      <w:pPr>
        <w:numPr>
          <w:ilvl w:val="0"/>
          <w:numId w:val="294"/>
        </w:numPr>
        <w:spacing w:before="360" w:after="240"/>
        <w:contextualSpacing/>
      </w:pPr>
      <w:r w:rsidRPr="001D49D4">
        <w:rPr>
          <w:rtl/>
        </w:rPr>
        <w:t xml:space="preserve">ריב"ש </w:t>
      </w:r>
      <w:r w:rsidRPr="001D49D4">
        <w:rPr>
          <w:sz w:val="16"/>
          <w:szCs w:val="16"/>
          <w:rtl/>
        </w:rPr>
        <w:t>(סי' תיג ד"ה ההקדמה הג', הביאוהו ב"י ודרכ"מ אות ט)</w:t>
      </w:r>
      <w:r w:rsidRPr="001D49D4">
        <w:rPr>
          <w:rtl/>
        </w:rPr>
        <w:t xml:space="preserve">- הדבר מבואר ששטר הטפסה זו אף אם נאמר שצריכה ב"ד של שלשה - כשר, ואינו נפסל בקורבת שנים מהחתומים, לפי שכיון שיש לנו לתלות בכל מה שאפשר כדי להעמיד השטר בחזקת כשרות א"כ נאמר ששטר זה אע"פ שיוצא לפנינו בשלשה החתומים ושנים מהם קרובים האחד מהקרובים חתם מעצמו, ובשטר זה לא חתמו תחלה כי אם שני דיינים וזה חתם בסוף, או שהניחו ריוח וחתם למעלה, ונשאר השטר כשר בחתימת שני דיינין המעידים שהיו בית דין של שלשה ונאמר שאחד מהשוק כשר נצטרף עמהם ולא זה הפסול, אלא שלא חתם או שמת, שהרי בשטר הטפסה זו יש בה בי דינא ובמותב תלתא אם בראשה אם בסופה, וכל שכתוב בה כן לכו"ע כשרה בחתימת שנים כמו שהתבאר, וכל שכן שיש לנו לומר כן לפי מה שכתבתי בשם רמ"ה דבי דינא - כשרים משמע, שיש לנו לומר שלא נצטרפו עם הקרוב. ועוד דאמרינן בפ"ב דכתובות </w:t>
      </w:r>
      <w:r w:rsidRPr="001D49D4">
        <w:rPr>
          <w:sz w:val="16"/>
          <w:szCs w:val="16"/>
          <w:rtl/>
        </w:rPr>
        <w:t xml:space="preserve">(יח:) </w:t>
      </w:r>
      <w:r w:rsidRPr="001D49D4">
        <w:rPr>
          <w:rtl/>
        </w:rPr>
        <w:t xml:space="preserve">מלוה מידק דייק ומחתים, הכא נמי אין בעל דבר מחתים דיינים קרובים בהטפסה, ובודאי לא חתמו אלא שנים הכשרים הרחוק ואחד מהקרובים שנעשו בית דין עם אחד כשר מן השוק, ולא חתם השלישי ההוא לסבת מה ובא זה הקרוב וחתם מעצמו, ואף אם כתוב בלשון ההטפסה אנו בית דין החתומים למטה, אין ראיה לומר ששלשת הדיינים חתמו, אלא השנים חתמו וקראו עצמם ב"ד, שהרי ב"ד הם עם השלישי שנצטרף עמהם במעשה ב"ד אע"פ שלא חתם הוא עמהם. ואפשר וקרוב לומר שהסופר שכל ההטפסה כתובה מידו הוא היה הדיין השלישי עם השנים אלא שלא חתם עמהם לאיזו סבה או שלא חשש כיון שכבר כל ההטפסה כתובה מידו וגם המתנה שבה עם חתימתו וחתימת חברו הכל מידו. וקרוב עוד לומר שכיון שהוא סופר מובהק הרי כתיבת ההטפסה מידו כאילו חתם בה. ואע"ג דקיי"ל בפרק המגרש </w:t>
      </w:r>
      <w:r w:rsidRPr="001D49D4">
        <w:rPr>
          <w:sz w:val="16"/>
          <w:szCs w:val="16"/>
          <w:rtl/>
        </w:rPr>
        <w:t xml:space="preserve">(גיטין פח.) </w:t>
      </w:r>
      <w:r w:rsidRPr="001D49D4">
        <w:rPr>
          <w:rtl/>
        </w:rPr>
        <w:t xml:space="preserve">חתם סופר שנינו אבל כתב סופר לא, התם הוא שאין כלל בטופס הסופר חתימתו אבל בהטפסה זו שכתוב בה המתנה בחתימת הסופר עדיף מכתיבת סופר והוי כחתם סופר, ואין צריך לומר לדעת בהעי"ט </w:t>
      </w:r>
      <w:r w:rsidRPr="001D49D4">
        <w:rPr>
          <w:sz w:val="16"/>
          <w:szCs w:val="16"/>
          <w:rtl/>
        </w:rPr>
        <w:t xml:space="preserve">(ח"א מאמר ח לב.) </w:t>
      </w:r>
      <w:r w:rsidRPr="001D49D4">
        <w:rPr>
          <w:rtl/>
        </w:rPr>
        <w:t xml:space="preserve">ור"ח דְכְתַב סופר מובהק ועד אע"ג דאינו כשר לכתחלה לרב </w:t>
      </w:r>
      <w:r w:rsidRPr="001D49D4">
        <w:rPr>
          <w:sz w:val="16"/>
          <w:szCs w:val="16"/>
          <w:rtl/>
        </w:rPr>
        <w:t xml:space="preserve">(שם פו:) </w:t>
      </w:r>
      <w:r w:rsidRPr="001D49D4">
        <w:rPr>
          <w:rtl/>
        </w:rPr>
        <w:t xml:space="preserve">דקיי"ל כוותיה מ"מ לא גרע מכתב ידו דתנן במתניתין </w:t>
      </w:r>
      <w:r w:rsidRPr="001D49D4">
        <w:rPr>
          <w:sz w:val="16"/>
          <w:szCs w:val="16"/>
          <w:rtl/>
        </w:rPr>
        <w:t xml:space="preserve">(שם פו.) </w:t>
      </w:r>
      <w:r w:rsidRPr="001D49D4">
        <w:rPr>
          <w:rtl/>
        </w:rPr>
        <w:t xml:space="preserve">דהולד כשר, וא"כ בדיני ממונות כשר לבני חרי כדינא דשלשה גיטין פסולין דמתניתין </w:t>
      </w:r>
      <w:r w:rsidRPr="001D49D4">
        <w:rPr>
          <w:sz w:val="16"/>
          <w:szCs w:val="16"/>
          <w:rtl/>
        </w:rPr>
        <w:t>(שם)</w:t>
      </w:r>
      <w:r w:rsidRPr="001D49D4">
        <w:rPr>
          <w:rtl/>
        </w:rPr>
        <w:t>. עוד נמצא להראב"ד</w:t>
      </w:r>
      <w:r w:rsidRPr="001D49D4">
        <w:rPr>
          <w:sz w:val="16"/>
          <w:szCs w:val="16"/>
          <w:rtl/>
        </w:rPr>
        <w:t xml:space="preserve"> (בהשגות פי"א מסנהדרין ה"ח)</w:t>
      </w:r>
      <w:r w:rsidRPr="001D49D4">
        <w:rPr>
          <w:rtl/>
        </w:rPr>
        <w:t xml:space="preserve"> דאב ובנו שמונין להם אחד בדיני ממונות </w:t>
      </w:r>
      <w:r w:rsidRPr="001D49D4">
        <w:rPr>
          <w:sz w:val="16"/>
          <w:szCs w:val="16"/>
          <w:rtl/>
        </w:rPr>
        <w:t xml:space="preserve">(סנהדרין לו.) </w:t>
      </w:r>
      <w:r w:rsidRPr="001D49D4">
        <w:rPr>
          <w:rtl/>
        </w:rPr>
        <w:t xml:space="preserve">אפילו בשעת גמר דין הוא, דכיון שאין האחד מן המנין הוי כאילו אתי למחזי </w:t>
      </w:r>
      <w:r w:rsidRPr="001D49D4">
        <w:rPr>
          <w:sz w:val="16"/>
          <w:szCs w:val="16"/>
          <w:rtl/>
        </w:rPr>
        <w:t>(מכות ו.)</w:t>
      </w:r>
      <w:r w:rsidRPr="001D49D4">
        <w:rPr>
          <w:rtl/>
        </w:rPr>
        <w:t>, ומדבריו נראה שכל שהיו הדיינים שלשה כשרים אפילו נצטרף רביעי קרוב לאחד מהם כשרים, ששני הקרובים מונין להם אחד, ולדבריו בנדון זה הרי הוא כאילו אין כאן חתומים כי אם שנים לפי שהקרובים אין מונים להם אלא אחד, ומה שכתבו במותב תלתא לפי שאין מונין לאלו כי אם אחד והיה שם אחד כשר עמהם דבי דינא כשרים משמע וזה הקרוב חתם אח"כ מעצמו ואינו מעיד שקר שהרי עמהם היה בשעת גמר הדין.</w:t>
      </w:r>
      <w:r w:rsidRPr="001D49D4">
        <w:rPr>
          <w:color w:val="00B0F0"/>
          <w:rtl/>
        </w:rPr>
        <w:t xml:space="preserve"> (וכ"פ הרמ"א)</w:t>
      </w:r>
    </w:p>
    <w:p w14:paraId="7093A454" w14:textId="77777777" w:rsidR="001D49D4" w:rsidRPr="001D49D4" w:rsidRDefault="001D49D4" w:rsidP="0004348D">
      <w:pPr>
        <w:numPr>
          <w:ilvl w:val="0"/>
          <w:numId w:val="294"/>
        </w:numPr>
        <w:spacing w:before="360" w:after="240"/>
        <w:contextualSpacing/>
        <w:rPr>
          <w:rtl/>
        </w:rPr>
      </w:pPr>
      <w:r w:rsidRPr="001D49D4">
        <w:rPr>
          <w:rtl/>
        </w:rPr>
        <w:t xml:space="preserve">רא"ש </w:t>
      </w:r>
      <w:r w:rsidRPr="001D49D4">
        <w:rPr>
          <w:sz w:val="16"/>
          <w:szCs w:val="16"/>
          <w:rtl/>
        </w:rPr>
        <w:t>(כלל ס סי' ד, להב' הדרכ"מ [אות ט])</w:t>
      </w:r>
      <w:r w:rsidRPr="001D49D4">
        <w:rPr>
          <w:rtl/>
        </w:rPr>
        <w:t>- הקיום פסול אם קרוב חתום בו</w:t>
      </w:r>
      <w:r w:rsidRPr="001D49D4">
        <w:rPr>
          <w:vertAlign w:val="superscript"/>
          <w:rtl/>
        </w:rPr>
        <w:footnoteReference w:id="3914"/>
      </w:r>
      <w:r w:rsidRPr="001D49D4">
        <w:rPr>
          <w:rtl/>
        </w:rPr>
        <w:t>.</w:t>
      </w:r>
    </w:p>
    <w:p w14:paraId="6B142206" w14:textId="77777777" w:rsidR="001D49D4" w:rsidRPr="001D49D4" w:rsidRDefault="001D49D4" w:rsidP="0004348D">
      <w:pPr>
        <w:spacing w:before="360" w:after="240"/>
        <w:rPr>
          <w:rFonts w:ascii="Calibri" w:eastAsia="Calibri" w:hAnsi="Calibri" w:cs="Arial"/>
          <w:u w:val="single"/>
          <w:rtl/>
        </w:rPr>
      </w:pPr>
      <w:r w:rsidRPr="001D49D4">
        <w:rPr>
          <w:rFonts w:ascii="Calibri" w:eastAsia="Calibri" w:hAnsi="Calibri" w:cs="Arial"/>
          <w:u w:val="single"/>
          <w:rtl/>
        </w:rPr>
        <w:t>קיום שכתוב בו 'אנחנו סהדי'</w:t>
      </w:r>
      <w:r w:rsidRPr="001D49D4">
        <w:rPr>
          <w:rFonts w:ascii="Calibri" w:eastAsia="Calibri" w:hAnsi="Calibri" w:cs="Arial"/>
          <w:sz w:val="16"/>
          <w:szCs w:val="16"/>
          <w:u w:val="single"/>
          <w:rtl/>
        </w:rPr>
        <w:t xml:space="preserve"> (שהוא לשון עדים ולא לשון דיינים)</w:t>
      </w:r>
      <w:r w:rsidRPr="001D49D4">
        <w:rPr>
          <w:rFonts w:ascii="Calibri" w:eastAsia="Calibri" w:hAnsi="Calibri" w:cs="Arial"/>
          <w:u w:val="single"/>
          <w:rtl/>
        </w:rPr>
        <w:t>:</w:t>
      </w:r>
      <w:r w:rsidRPr="001D49D4">
        <w:rPr>
          <w:rFonts w:ascii="Calibri" w:eastAsia="Calibri" w:hAnsi="Calibri" w:cs="Arial"/>
          <w:sz w:val="16"/>
          <w:szCs w:val="16"/>
          <w:rtl/>
        </w:rPr>
        <w:t xml:space="preserve">  (דרכ"מ אות ט)</w:t>
      </w:r>
    </w:p>
    <w:p w14:paraId="7E6A3597" w14:textId="77777777" w:rsidR="001D49D4" w:rsidRPr="001D49D4" w:rsidRDefault="001D49D4" w:rsidP="0004348D">
      <w:pPr>
        <w:numPr>
          <w:ilvl w:val="0"/>
          <w:numId w:val="294"/>
        </w:numPr>
        <w:spacing w:before="360" w:after="240"/>
        <w:contextualSpacing/>
        <w:rPr>
          <w:rtl/>
        </w:rPr>
      </w:pPr>
      <w:r w:rsidRPr="001D49D4">
        <w:rPr>
          <w:rtl/>
        </w:rPr>
        <w:t xml:space="preserve">ריב"ש </w:t>
      </w:r>
      <w:r w:rsidRPr="001D49D4">
        <w:rPr>
          <w:sz w:val="16"/>
          <w:szCs w:val="16"/>
          <w:rtl/>
        </w:rPr>
        <w:t>(סי' שפב)</w:t>
      </w:r>
      <w:r w:rsidRPr="001D49D4">
        <w:rPr>
          <w:rtl/>
        </w:rPr>
        <w:t>- קיום שהיה כתוב בו 'אנחנו סהדי' הקיום פסול אע"ג דחתימי שלשה או יותר, דהוו עדים ולא דיינים, מיהו יש להכשיר</w:t>
      </w:r>
      <w:r w:rsidRPr="001D49D4">
        <w:rPr>
          <w:vertAlign w:val="superscript"/>
          <w:rtl/>
        </w:rPr>
        <w:footnoteReference w:id="3915"/>
      </w:r>
      <w:r w:rsidRPr="001D49D4">
        <w:rPr>
          <w:rtl/>
        </w:rPr>
        <w:t xml:space="preserve"> די"ל דהדיינים בעצמם היו מכירין חתימת העדים ואם כן היו דיינים ועדים ולכן כתבו סהדי</w:t>
      </w:r>
      <w:r w:rsidRPr="001D49D4">
        <w:rPr>
          <w:vertAlign w:val="superscript"/>
          <w:rtl/>
        </w:rPr>
        <w:footnoteReference w:id="3916"/>
      </w:r>
      <w:r w:rsidRPr="001D49D4">
        <w:rPr>
          <w:rtl/>
        </w:rPr>
        <w:t xml:space="preserve">. </w:t>
      </w:r>
      <w:r w:rsidRPr="001D49D4">
        <w:rPr>
          <w:color w:val="00B0F0"/>
          <w:rtl/>
        </w:rPr>
        <w:t>(וכ"פ הרמ"א)</w:t>
      </w:r>
    </w:p>
    <w:p w14:paraId="4B96D3F9" w14:textId="77777777" w:rsidR="001D49D4" w:rsidRPr="001D49D4" w:rsidRDefault="001D49D4" w:rsidP="0004348D">
      <w:pPr>
        <w:spacing w:before="360" w:after="240"/>
        <w:rPr>
          <w:rFonts w:ascii="Arial" w:eastAsia="Calibri" w:hAnsi="Arial" w:cs="Arial"/>
          <w:b/>
          <w:bCs/>
          <w:color w:val="000000"/>
          <w:sz w:val="28"/>
          <w:szCs w:val="28"/>
          <w:u w:val="single"/>
        </w:rPr>
      </w:pPr>
      <w:r w:rsidRPr="001D49D4">
        <w:rPr>
          <w:rFonts w:ascii="Arial" w:eastAsia="Calibri" w:hAnsi="Arial" w:cs="Arial"/>
          <w:b/>
          <w:bCs/>
          <w:color w:val="000000"/>
          <w:sz w:val="28"/>
          <w:szCs w:val="28"/>
          <w:u w:val="single"/>
          <w:rtl/>
        </w:rPr>
        <w:t>שו"ע:</w:t>
      </w:r>
    </w:p>
    <w:p w14:paraId="744EC382"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rtl/>
        </w:rPr>
        <w:t>אפילו כשלא מת אחד מהם נוהגין לכתוב וחד ליתוהי, כדי להקל מעליהם</w:t>
      </w:r>
      <w:r w:rsidRPr="001D49D4">
        <w:rPr>
          <w:rFonts w:ascii="Calibri" w:eastAsia="Calibri" w:hAnsi="Calibri" w:cs="Arial"/>
          <w:vertAlign w:val="superscript"/>
          <w:rtl/>
        </w:rPr>
        <w:footnoteReference w:id="3917"/>
      </w:r>
      <w:r w:rsidRPr="001D49D4">
        <w:rPr>
          <w:rFonts w:ascii="Calibri" w:eastAsia="Calibri" w:hAnsi="Calibri" w:cs="Arial"/>
          <w:rtl/>
        </w:rPr>
        <w:t xml:space="preserve"> שלא יחתמו בו אלא שנים. </w:t>
      </w:r>
      <w:r w:rsidRPr="001D49D4">
        <w:rPr>
          <w:rFonts w:ascii="Calibri" w:eastAsia="Calibri" w:hAnsi="Calibri" w:cs="Arial"/>
          <w:sz w:val="18"/>
          <w:szCs w:val="18"/>
          <w:rtl/>
        </w:rPr>
        <w:t>הגה: אם כתב בהנפק</w:t>
      </w:r>
      <w:r w:rsidRPr="001D49D4">
        <w:rPr>
          <w:rFonts w:ascii="Calibri" w:eastAsia="Calibri" w:hAnsi="Calibri" w:cs="Arial"/>
          <w:sz w:val="18"/>
          <w:szCs w:val="18"/>
          <w:vertAlign w:val="superscript"/>
          <w:rtl/>
        </w:rPr>
        <w:footnoteReference w:id="3918"/>
      </w:r>
      <w:r w:rsidRPr="001D49D4">
        <w:rPr>
          <w:rFonts w:ascii="Calibri" w:eastAsia="Calibri" w:hAnsi="Calibri" w:cs="Arial"/>
          <w:sz w:val="18"/>
          <w:szCs w:val="18"/>
          <w:rtl/>
        </w:rPr>
        <w:t xml:space="preserve"> במותב תלתא וכו', וחתומים בו ג', ונמצא אחד מהן קרוב או פסול</w:t>
      </w:r>
      <w:r w:rsidRPr="001D49D4">
        <w:rPr>
          <w:rFonts w:ascii="Calibri" w:eastAsia="Calibri" w:hAnsi="Calibri" w:cs="Arial"/>
          <w:sz w:val="18"/>
          <w:szCs w:val="18"/>
          <w:vertAlign w:val="superscript"/>
          <w:rtl/>
        </w:rPr>
        <w:footnoteReference w:id="3919"/>
      </w:r>
      <w:r w:rsidRPr="001D49D4">
        <w:rPr>
          <w:rFonts w:ascii="Calibri" w:eastAsia="Calibri" w:hAnsi="Calibri" w:cs="Arial"/>
          <w:sz w:val="18"/>
          <w:szCs w:val="18"/>
          <w:rtl/>
        </w:rPr>
        <w:t>, יש אומר דכשר, דתלינן דג' אחרים ישבו, ולא חתמו מהן רק ב', והשלישי הקרוב או הפסול חתם אח"כ (ריב"ש סי' תיג), כמו שנתבאר לעיל סי' מה סע' יב לעניין שאר שטרות. וי"א דפסול</w:t>
      </w:r>
      <w:r w:rsidRPr="001D49D4">
        <w:rPr>
          <w:rFonts w:ascii="Calibri" w:eastAsia="Calibri" w:hAnsi="Calibri" w:cs="Arial"/>
          <w:sz w:val="18"/>
          <w:szCs w:val="18"/>
          <w:vertAlign w:val="superscript"/>
          <w:rtl/>
        </w:rPr>
        <w:footnoteReference w:id="3920"/>
      </w:r>
      <w:r w:rsidRPr="001D49D4">
        <w:rPr>
          <w:rFonts w:ascii="Calibri" w:eastAsia="Calibri" w:hAnsi="Calibri" w:cs="Arial"/>
          <w:sz w:val="18"/>
          <w:szCs w:val="18"/>
          <w:rtl/>
        </w:rPr>
        <w:t xml:space="preserve"> (רא"ש כלל ס סי' ד). קיום שכתבו 'אנחנו סהדי', כשר</w:t>
      </w:r>
      <w:r w:rsidRPr="001D49D4">
        <w:rPr>
          <w:rFonts w:ascii="Calibri" w:eastAsia="Calibri" w:hAnsi="Calibri" w:cs="Arial"/>
          <w:sz w:val="18"/>
          <w:szCs w:val="18"/>
          <w:vertAlign w:val="superscript"/>
          <w:rtl/>
        </w:rPr>
        <w:footnoteReference w:id="3921"/>
      </w:r>
      <w:r w:rsidRPr="001D49D4">
        <w:rPr>
          <w:rFonts w:ascii="Calibri" w:eastAsia="Calibri" w:hAnsi="Calibri" w:cs="Arial"/>
          <w:sz w:val="18"/>
          <w:szCs w:val="18"/>
          <w:rtl/>
        </w:rPr>
        <w:t>, דהואיל וחתומים ג' אנו רואין שהיו בית דין</w:t>
      </w:r>
      <w:r w:rsidRPr="001D49D4">
        <w:rPr>
          <w:rFonts w:ascii="Calibri" w:eastAsia="Calibri" w:hAnsi="Calibri" w:cs="Arial"/>
          <w:sz w:val="18"/>
          <w:szCs w:val="18"/>
          <w:vertAlign w:val="superscript"/>
          <w:rtl/>
        </w:rPr>
        <w:footnoteReference w:id="3922"/>
      </w:r>
      <w:r w:rsidRPr="001D49D4">
        <w:rPr>
          <w:rFonts w:ascii="Calibri" w:eastAsia="Calibri" w:hAnsi="Calibri" w:cs="Arial"/>
          <w:sz w:val="18"/>
          <w:szCs w:val="18"/>
          <w:rtl/>
        </w:rPr>
        <w:t xml:space="preserve"> (ריב"ש סי' שפב).</w:t>
      </w:r>
    </w:p>
    <w:p w14:paraId="0CAF3A15" w14:textId="77777777" w:rsidR="001D49D4" w:rsidRPr="001D49D4" w:rsidRDefault="001D49D4" w:rsidP="0004348D">
      <w:pPr>
        <w:spacing w:before="360" w:after="240"/>
        <w:rPr>
          <w:rFonts w:ascii="Calibri" w:eastAsia="Calibri" w:hAnsi="Calibri" w:cs="Arial"/>
          <w:rtl/>
        </w:rPr>
      </w:pPr>
    </w:p>
    <w:p w14:paraId="3953E1D0" w14:textId="77777777" w:rsidR="001D49D4" w:rsidRPr="001D49D4" w:rsidRDefault="001D49D4" w:rsidP="0004348D">
      <w:pPr>
        <w:keepNext/>
        <w:keepLines/>
        <w:spacing w:before="360" w:after="240"/>
        <w:outlineLvl w:val="1"/>
        <w:rPr>
          <w:rFonts w:ascii="Cambria" w:eastAsia="Times New Roman" w:hAnsi="Cambria" w:cs="Arial"/>
          <w:bCs/>
          <w:color w:val="548DD4" w:themeColor="text2" w:themeTint="99"/>
          <w:sz w:val="26"/>
          <w:szCs w:val="26"/>
          <w:rtl/>
        </w:rPr>
      </w:pPr>
      <w:bookmarkStart w:id="532" w:name="_Toc24883965"/>
      <w:r w:rsidRPr="001D49D4">
        <w:rPr>
          <w:rFonts w:ascii="Cambria" w:eastAsia="Times New Roman" w:hAnsi="Cambria" w:cs="Arial"/>
          <w:bCs/>
          <w:color w:val="548DD4" w:themeColor="text2" w:themeTint="99"/>
          <w:sz w:val="26"/>
          <w:szCs w:val="26"/>
          <w:rtl/>
        </w:rPr>
        <w:t>סעיף לא: היכן כותבים את הקיום.</w:t>
      </w:r>
      <w:bookmarkEnd w:id="532"/>
    </w:p>
    <w:p w14:paraId="620ACC84"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b/>
          <w:bCs/>
          <w:rtl/>
        </w:rPr>
        <w:t>בבא בתרא</w:t>
      </w:r>
      <w:r w:rsidRPr="001D49D4">
        <w:rPr>
          <w:rFonts w:ascii="Calibri" w:eastAsia="Calibri" w:hAnsi="Calibri" w:cs="Arial"/>
          <w:b/>
          <w:bCs/>
          <w:sz w:val="16"/>
          <w:szCs w:val="16"/>
          <w:rtl/>
        </w:rPr>
        <w:t xml:space="preserve"> (פרק גט פשוט) </w:t>
      </w:r>
      <w:r w:rsidRPr="001D49D4">
        <w:rPr>
          <w:rFonts w:ascii="Calibri" w:eastAsia="Calibri" w:hAnsi="Calibri" w:cs="Arial"/>
          <w:b/>
          <w:bCs/>
          <w:rtl/>
        </w:rPr>
        <w:t>קסב</w:t>
      </w:r>
      <w:r w:rsidRPr="001D49D4">
        <w:rPr>
          <w:rFonts w:ascii="Calibri" w:eastAsia="Calibri" w:hAnsi="Calibri" w:cs="Arial"/>
          <w:b/>
          <w:bCs/>
          <w:vertAlign w:val="superscript"/>
          <w:rtl/>
        </w:rPr>
        <w:footnoteReference w:id="3923"/>
      </w:r>
      <w:r w:rsidRPr="001D49D4">
        <w:rPr>
          <w:rFonts w:ascii="Calibri" w:eastAsia="Calibri" w:hAnsi="Calibri" w:cs="Arial"/>
          <w:b/>
          <w:bCs/>
          <w:rtl/>
        </w:rPr>
        <w:t xml:space="preserve"> ע"ב: </w:t>
      </w:r>
      <w:r w:rsidRPr="001D49D4">
        <w:rPr>
          <w:rFonts w:ascii="Calibri" w:eastAsia="Calibri" w:hAnsi="Calibri" w:cs="Arial"/>
          <w:rtl/>
        </w:rPr>
        <w:t xml:space="preserve">תניא: הרחיק את העדים שני שיטין מן הכתב – פסול... </w:t>
      </w:r>
      <w:r w:rsidRPr="001D49D4">
        <w:rPr>
          <w:rFonts w:ascii="Calibri" w:eastAsia="Calibri" w:hAnsi="Calibri" w:cs="Arial"/>
          <w:sz w:val="14"/>
          <w:szCs w:val="14"/>
          <w:rtl/>
        </w:rPr>
        <w:t>(קסג.)</w:t>
      </w:r>
      <w:r w:rsidRPr="001D49D4">
        <w:rPr>
          <w:rFonts w:ascii="Calibri" w:eastAsia="Calibri" w:hAnsi="Calibri" w:cs="Arial"/>
          <w:rtl/>
        </w:rPr>
        <w:t xml:space="preserve"> </w:t>
      </w:r>
      <w:r w:rsidRPr="001D49D4">
        <w:rPr>
          <w:rFonts w:ascii="Calibri" w:eastAsia="Calibri" w:hAnsi="Calibri" w:cs="Arial"/>
          <w:u w:val="single"/>
          <w:rtl/>
        </w:rPr>
        <w:t>אמר רב</w:t>
      </w:r>
      <w:r w:rsidRPr="001D49D4">
        <w:rPr>
          <w:rFonts w:ascii="Calibri" w:eastAsia="Calibri" w:hAnsi="Calibri" w:cs="Arial"/>
          <w:rtl/>
        </w:rPr>
        <w:t>: לא שנו</w:t>
      </w:r>
      <w:r w:rsidRPr="001D49D4">
        <w:rPr>
          <w:rFonts w:ascii="Calibri" w:eastAsia="Calibri" w:hAnsi="Calibri" w:cs="Arial"/>
          <w:vertAlign w:val="superscript"/>
          <w:rtl/>
        </w:rPr>
        <w:footnoteReference w:id="3924"/>
      </w:r>
      <w:r w:rsidRPr="001D49D4">
        <w:rPr>
          <w:rFonts w:ascii="Calibri" w:eastAsia="Calibri" w:hAnsi="Calibri" w:cs="Arial"/>
          <w:rtl/>
        </w:rPr>
        <w:t xml:space="preserve"> אלא בין עדים לכתב, אבל בין עדים לאשרתא - אפילו טובא נמי כשר. מאי שנא בין עדים לכתב? דלמא מזייף וכתב מאי דבעי וחתימי סהדי, בין עדים לאשרתא נמי מזייף וכתב מאי דבעי וחתימי סהדי! דמטייט ליה</w:t>
      </w:r>
      <w:r w:rsidRPr="001D49D4">
        <w:rPr>
          <w:rFonts w:ascii="Calibri" w:eastAsia="Calibri" w:hAnsi="Calibri" w:cs="Arial"/>
          <w:vertAlign w:val="superscript"/>
          <w:rtl/>
        </w:rPr>
        <w:footnoteReference w:id="3925"/>
      </w:r>
      <w:r w:rsidRPr="001D49D4">
        <w:rPr>
          <w:rFonts w:ascii="Calibri" w:eastAsia="Calibri" w:hAnsi="Calibri" w:cs="Arial"/>
          <w:rtl/>
        </w:rPr>
        <w:t>. א"ה בין עדים לשטר נמי מטייט ליה! אמרי - סהדי אטיוטא הוא דחתימי</w:t>
      </w:r>
      <w:r w:rsidRPr="001D49D4">
        <w:rPr>
          <w:rFonts w:ascii="Calibri" w:eastAsia="Calibri" w:hAnsi="Calibri" w:cs="Arial"/>
          <w:vertAlign w:val="superscript"/>
          <w:rtl/>
        </w:rPr>
        <w:footnoteReference w:id="3926"/>
      </w:r>
      <w:r w:rsidRPr="001D49D4">
        <w:rPr>
          <w:rFonts w:ascii="Calibri" w:eastAsia="Calibri" w:hAnsi="Calibri" w:cs="Arial"/>
          <w:rtl/>
        </w:rPr>
        <w:t>. בין עדים לאשרתא נמי אמרי - בי דינא אטיוטא הוא דחתימי! בי דינא אטיוטא לא חתימי</w:t>
      </w:r>
      <w:r w:rsidRPr="001D49D4">
        <w:rPr>
          <w:rFonts w:ascii="Calibri" w:eastAsia="Calibri" w:hAnsi="Calibri" w:cs="Arial"/>
          <w:vertAlign w:val="superscript"/>
          <w:rtl/>
        </w:rPr>
        <w:footnoteReference w:id="3927"/>
      </w:r>
      <w:r w:rsidRPr="001D49D4">
        <w:rPr>
          <w:rFonts w:ascii="Calibri" w:eastAsia="Calibri" w:hAnsi="Calibri" w:cs="Arial"/>
          <w:rtl/>
        </w:rPr>
        <w:t>. וליחוש דלמא גייז ליה</w:t>
      </w:r>
      <w:r w:rsidRPr="001D49D4">
        <w:rPr>
          <w:rFonts w:ascii="Calibri" w:eastAsia="Calibri" w:hAnsi="Calibri" w:cs="Arial"/>
          <w:vertAlign w:val="superscript"/>
          <w:rtl/>
        </w:rPr>
        <w:footnoteReference w:id="3928"/>
      </w:r>
      <w:r w:rsidRPr="001D49D4">
        <w:rPr>
          <w:rFonts w:ascii="Calibri" w:eastAsia="Calibri" w:hAnsi="Calibri" w:cs="Arial"/>
          <w:rtl/>
        </w:rPr>
        <w:t xml:space="preserve"> לעילא, ומחיק ליה לטיוטא וכתב מאי דבעי ומחתים סהדי, </w:t>
      </w:r>
      <w:r w:rsidRPr="001D49D4">
        <w:rPr>
          <w:rFonts w:ascii="Calibri" w:eastAsia="Calibri" w:hAnsi="Calibri" w:cs="Arial"/>
          <w:u w:val="single"/>
          <w:rtl/>
        </w:rPr>
        <w:t>ואמר רב</w:t>
      </w:r>
      <w:r w:rsidRPr="001D49D4">
        <w:rPr>
          <w:rFonts w:ascii="Calibri" w:eastAsia="Calibri" w:hAnsi="Calibri" w:cs="Arial"/>
          <w:rtl/>
        </w:rPr>
        <w:t xml:space="preserve">: שטר הבא הוא ועדיו על המחק - כשר!... </w:t>
      </w:r>
      <w:r w:rsidRPr="001D49D4">
        <w:rPr>
          <w:rFonts w:ascii="Calibri" w:eastAsia="Calibri" w:hAnsi="Calibri" w:cs="Arial"/>
          <w:sz w:val="14"/>
          <w:szCs w:val="14"/>
          <w:rtl/>
        </w:rPr>
        <w:t xml:space="preserve">(קסג:) </w:t>
      </w:r>
      <w:r w:rsidRPr="001D49D4">
        <w:rPr>
          <w:rFonts w:ascii="Calibri" w:eastAsia="Calibri" w:hAnsi="Calibri" w:cs="Arial"/>
          <w:rtl/>
        </w:rPr>
        <w:t>קסבר: כל כי האי גוונא, אין מקיימין אותו מן האשרתא שבו אלא מן העדים שבו</w:t>
      </w:r>
      <w:r w:rsidRPr="001D49D4">
        <w:rPr>
          <w:rFonts w:ascii="Calibri" w:eastAsia="Calibri" w:hAnsi="Calibri" w:cs="Arial"/>
          <w:vertAlign w:val="superscript"/>
          <w:rtl/>
        </w:rPr>
        <w:footnoteReference w:id="3929"/>
      </w:r>
      <w:r w:rsidRPr="001D49D4">
        <w:rPr>
          <w:rFonts w:ascii="Calibri" w:eastAsia="Calibri" w:hAnsi="Calibri" w:cs="Arial"/>
          <w:rtl/>
        </w:rPr>
        <w:t xml:space="preserve">. </w:t>
      </w:r>
      <w:r w:rsidRPr="001D49D4">
        <w:rPr>
          <w:rFonts w:ascii="Calibri" w:eastAsia="Calibri" w:hAnsi="Calibri" w:cs="Arial"/>
          <w:u w:val="single"/>
          <w:rtl/>
        </w:rPr>
        <w:t>ורבי יוחנן אמר</w:t>
      </w:r>
      <w:r w:rsidRPr="001D49D4">
        <w:rPr>
          <w:rFonts w:ascii="Calibri" w:eastAsia="Calibri" w:hAnsi="Calibri" w:cs="Arial"/>
          <w:rtl/>
        </w:rPr>
        <w:t>: לא שנו</w:t>
      </w:r>
      <w:r w:rsidRPr="001D49D4">
        <w:rPr>
          <w:rFonts w:ascii="Calibri" w:eastAsia="Calibri" w:hAnsi="Calibri" w:cs="Arial"/>
          <w:vertAlign w:val="superscript"/>
          <w:rtl/>
        </w:rPr>
        <w:footnoteReference w:id="3930"/>
      </w:r>
      <w:r w:rsidRPr="001D49D4">
        <w:rPr>
          <w:rFonts w:ascii="Calibri" w:eastAsia="Calibri" w:hAnsi="Calibri" w:cs="Arial"/>
          <w:rtl/>
        </w:rPr>
        <w:t xml:space="preserve"> אלא בין העדים לכתב, אבל בין עדים לאשרתא - אפילו שיטה אחת פסול. מאי שנא בין עדים לאשרתא? דלמא גייז לעילאי וכתב הוא ועדיו בשיטה אחת, וקסבר שטר הבא הוא ועדיו בשיטה אחת כשר. </w:t>
      </w:r>
      <w:r w:rsidRPr="001D49D4">
        <w:rPr>
          <w:rFonts w:ascii="Calibri" w:eastAsia="Calibri" w:hAnsi="Calibri" w:cs="Arial"/>
          <w:sz w:val="16"/>
          <w:szCs w:val="16"/>
          <w:rtl/>
        </w:rPr>
        <w:t>(וכלל בידינו (ביצה ד:) רב ורבי יוחנן הלכה כרבי יוחנן</w:t>
      </w:r>
      <w:r w:rsidRPr="001D49D4">
        <w:rPr>
          <w:rFonts w:ascii="Calibri" w:eastAsia="Calibri" w:hAnsi="Calibri" w:cs="Arial"/>
          <w:sz w:val="16"/>
          <w:szCs w:val="16"/>
          <w:vertAlign w:val="superscript"/>
          <w:rtl/>
        </w:rPr>
        <w:footnoteReference w:id="3931"/>
      </w:r>
      <w:r w:rsidRPr="001D49D4">
        <w:rPr>
          <w:rFonts w:ascii="Calibri" w:eastAsia="Calibri" w:hAnsi="Calibri" w:cs="Arial"/>
          <w:sz w:val="16"/>
          <w:szCs w:val="16"/>
          <w:rtl/>
        </w:rPr>
        <w:t>. ושטה זו ודאי היא ואוירא קאמר, כדאמרינן בגמרא (שם) 'הרחיק העדים מהכתב שטה אחת כשרה, שטה אחת בלא אוירא למאי חזיא', כלומר הא לא מצי לזיופי דניכר הוא. אבל איכא לספוקי אי בעינן שטה ושני אוירין או סגי באויר אחד, ונ"ל דכיון דרוב הפוסקים פסקו דבהרחקת עדים מן הכתב בעינן לשני שיטין שלשה אוירין - הכי נמי לשטה אחת בעינן שני אוירין, דבשטה אחת נמי צריך למעלה ולמטה כמו בשני שיטין, אלא דבשני שיטין צריך עוד אויר שלישי בין שטה לשטה, ב"י)</w:t>
      </w:r>
      <w:r w:rsidRPr="001D49D4">
        <w:rPr>
          <w:rFonts w:ascii="Calibri" w:eastAsia="Calibri" w:hAnsi="Calibri" w:cs="Arial"/>
          <w:rtl/>
        </w:rPr>
        <w:t xml:space="preserve">   </w:t>
      </w:r>
    </w:p>
    <w:p w14:paraId="5354C9A1" w14:textId="77777777" w:rsidR="001D49D4" w:rsidRPr="001D49D4" w:rsidRDefault="001D49D4" w:rsidP="0004348D">
      <w:pPr>
        <w:spacing w:before="360" w:after="240"/>
        <w:rPr>
          <w:rFonts w:ascii="Calibri" w:eastAsia="Calibri" w:hAnsi="Calibri" w:cs="Arial"/>
          <w:u w:val="single"/>
          <w:rtl/>
        </w:rPr>
      </w:pPr>
      <w:r w:rsidRPr="001D49D4">
        <w:rPr>
          <w:rFonts w:ascii="Calibri" w:eastAsia="Calibri" w:hAnsi="Calibri" w:cs="Arial"/>
          <w:u w:val="single"/>
          <w:rtl/>
        </w:rPr>
        <w:t>היכן כותבים את הקיום:</w:t>
      </w:r>
    </w:p>
    <w:p w14:paraId="76C811FB" w14:textId="77777777" w:rsidR="001D49D4" w:rsidRPr="001D49D4" w:rsidRDefault="001D49D4" w:rsidP="0004348D">
      <w:pPr>
        <w:numPr>
          <w:ilvl w:val="0"/>
          <w:numId w:val="295"/>
        </w:numPr>
        <w:spacing w:before="360" w:after="240"/>
        <w:contextualSpacing/>
        <w:rPr>
          <w:rtl/>
        </w:rPr>
      </w:pPr>
      <w:r w:rsidRPr="001D49D4">
        <w:rPr>
          <w:rtl/>
        </w:rPr>
        <w:t>רמב"ם</w:t>
      </w:r>
      <w:r w:rsidRPr="001D49D4">
        <w:rPr>
          <w:sz w:val="16"/>
          <w:szCs w:val="16"/>
          <w:rtl/>
        </w:rPr>
        <w:t xml:space="preserve"> (מלוה פכ"ז ה"ו)</w:t>
      </w:r>
      <w:r w:rsidRPr="001D49D4">
        <w:rPr>
          <w:rtl/>
        </w:rPr>
        <w:t xml:space="preserve"> וטור- קיום ב"ד צריך שיהיה סמוך לכתב ידי עדים או סמוך לצד השטר או מאחוריו כנגד הכתב. ואם היה בין הקיום והשטר ריוח שיטה אחת - פסול, שמא יחתוך השטר שנתקיים ויזייף באותה שיטה שטר ושני עדיו, ונמצא הקיום על שטר מזוייף</w:t>
      </w:r>
      <w:r w:rsidRPr="001D49D4">
        <w:rPr>
          <w:sz w:val="16"/>
          <w:szCs w:val="16"/>
          <w:rtl/>
        </w:rPr>
        <w:t xml:space="preserve"> (ל' הרמב"ם)</w:t>
      </w:r>
      <w:r w:rsidRPr="001D49D4">
        <w:rPr>
          <w:rtl/>
        </w:rPr>
        <w:t xml:space="preserve">. </w:t>
      </w:r>
      <w:r w:rsidRPr="001D49D4">
        <w:rPr>
          <w:color w:val="E36C0A" w:themeColor="accent6" w:themeShade="BF"/>
          <w:rtl/>
        </w:rPr>
        <w:t>(וכ"פ בשו"ע)</w:t>
      </w:r>
    </w:p>
    <w:p w14:paraId="7466CAFC" w14:textId="77777777" w:rsidR="001D49D4" w:rsidRPr="001D49D4" w:rsidRDefault="001D49D4" w:rsidP="0004348D">
      <w:pPr>
        <w:spacing w:before="360" w:after="240"/>
        <w:ind w:left="360"/>
        <w:rPr>
          <w:rFonts w:ascii="Calibri" w:eastAsia="Calibri" w:hAnsi="Calibri" w:cs="Arial"/>
          <w:u w:val="dotted"/>
        </w:rPr>
      </w:pPr>
      <w:r w:rsidRPr="001D49D4">
        <w:rPr>
          <w:rFonts w:ascii="Calibri" w:eastAsia="Calibri" w:hAnsi="Calibri" w:cs="Arial"/>
          <w:u w:val="dotted"/>
          <w:rtl/>
        </w:rPr>
        <w:t>ומה הדין אם הרחיק את הקיום מהשטר אבל טייט את הריוח:</w:t>
      </w:r>
    </w:p>
    <w:p w14:paraId="268608AE" w14:textId="77777777" w:rsidR="001D49D4" w:rsidRPr="001D49D4" w:rsidRDefault="001D49D4" w:rsidP="0004348D">
      <w:pPr>
        <w:numPr>
          <w:ilvl w:val="0"/>
          <w:numId w:val="295"/>
        </w:numPr>
        <w:spacing w:before="360" w:after="240"/>
        <w:contextualSpacing/>
        <w:rPr>
          <w:rtl/>
        </w:rPr>
      </w:pPr>
      <w:r w:rsidRPr="001D49D4">
        <w:rPr>
          <w:rtl/>
        </w:rPr>
        <w:t xml:space="preserve">רי"ף </w:t>
      </w:r>
      <w:r w:rsidRPr="001D49D4">
        <w:rPr>
          <w:sz w:val="16"/>
          <w:szCs w:val="16"/>
          <w:rtl/>
        </w:rPr>
        <w:t xml:space="preserve">(עה:) </w:t>
      </w:r>
      <w:r w:rsidRPr="001D49D4">
        <w:rPr>
          <w:rtl/>
        </w:rPr>
        <w:t xml:space="preserve">ורא"ש </w:t>
      </w:r>
      <w:r w:rsidRPr="001D49D4">
        <w:rPr>
          <w:sz w:val="16"/>
          <w:szCs w:val="16"/>
          <w:rtl/>
        </w:rPr>
        <w:t>(סו"ס ד)</w:t>
      </w:r>
      <w:r w:rsidRPr="001D49D4">
        <w:rPr>
          <w:rtl/>
        </w:rPr>
        <w:t>- פסול, דאפילו בי דינא אמרינן דחתמי אטיוטא</w:t>
      </w:r>
      <w:r w:rsidRPr="001D49D4">
        <w:rPr>
          <w:vertAlign w:val="superscript"/>
          <w:rtl/>
        </w:rPr>
        <w:footnoteReference w:id="3932"/>
      </w:r>
      <w:r w:rsidRPr="001D49D4">
        <w:rPr>
          <w:rtl/>
        </w:rPr>
        <w:t xml:space="preserve">. </w:t>
      </w:r>
    </w:p>
    <w:p w14:paraId="7F07BAAC" w14:textId="77777777" w:rsidR="001D49D4" w:rsidRPr="001D49D4" w:rsidRDefault="001D49D4" w:rsidP="0004348D">
      <w:pPr>
        <w:numPr>
          <w:ilvl w:val="0"/>
          <w:numId w:val="295"/>
        </w:numPr>
        <w:spacing w:before="360" w:after="240"/>
        <w:contextualSpacing/>
        <w:rPr>
          <w:rtl/>
        </w:rPr>
      </w:pPr>
      <w:r w:rsidRPr="001D49D4">
        <w:rPr>
          <w:rtl/>
        </w:rPr>
        <w:t>רמב"ם</w:t>
      </w:r>
      <w:r w:rsidRPr="001D49D4">
        <w:rPr>
          <w:sz w:val="16"/>
          <w:szCs w:val="16"/>
          <w:rtl/>
        </w:rPr>
        <w:t xml:space="preserve"> (מלוה פכ"ז ה"ז)</w:t>
      </w:r>
      <w:r w:rsidRPr="001D49D4">
        <w:rPr>
          <w:rtl/>
        </w:rPr>
        <w:t xml:space="preserve"> הה"מ </w:t>
      </w:r>
      <w:r w:rsidRPr="001D49D4">
        <w:rPr>
          <w:sz w:val="16"/>
          <w:szCs w:val="16"/>
          <w:rtl/>
        </w:rPr>
        <w:t xml:space="preserve">(שם) </w:t>
      </w:r>
      <w:r w:rsidRPr="001D49D4">
        <w:rPr>
          <w:rtl/>
        </w:rPr>
        <w:t>וטור</w:t>
      </w:r>
      <w:r w:rsidRPr="001D49D4">
        <w:rPr>
          <w:vertAlign w:val="superscript"/>
          <w:rtl/>
        </w:rPr>
        <w:footnoteReference w:id="3933"/>
      </w:r>
      <w:r w:rsidRPr="001D49D4">
        <w:rPr>
          <w:rtl/>
        </w:rPr>
        <w:t>- הרחיק את הקיום מן השטר יתר</w:t>
      </w:r>
      <w:r w:rsidRPr="001D49D4">
        <w:rPr>
          <w:vertAlign w:val="superscript"/>
          <w:rtl/>
        </w:rPr>
        <w:footnoteReference w:id="3934"/>
      </w:r>
      <w:r w:rsidRPr="001D49D4">
        <w:rPr>
          <w:rtl/>
        </w:rPr>
        <w:t xml:space="preserve"> על שתי שיטין ומלא כל הריוח שריטות דיו כשר, שהרי אינו יכול לזייף, ואין חוששין לב"ד שיקיימו קיום על השריטות אלא על גופו של שטר</w:t>
      </w:r>
      <w:r w:rsidRPr="001D49D4">
        <w:rPr>
          <w:sz w:val="16"/>
          <w:szCs w:val="16"/>
          <w:rtl/>
        </w:rPr>
        <w:t xml:space="preserve"> (ל' הרמב"ם)</w:t>
      </w:r>
      <w:r w:rsidRPr="001D49D4">
        <w:rPr>
          <w:vertAlign w:val="superscript"/>
          <w:rtl/>
        </w:rPr>
        <w:footnoteReference w:id="3935"/>
      </w:r>
      <w:r w:rsidRPr="001D49D4">
        <w:rPr>
          <w:rtl/>
        </w:rPr>
        <w:t xml:space="preserve">. </w:t>
      </w:r>
      <w:r w:rsidRPr="001D49D4">
        <w:rPr>
          <w:color w:val="E36C0A" w:themeColor="accent6" w:themeShade="BF"/>
          <w:rtl/>
        </w:rPr>
        <w:t>(וכ"ס בשו"ע</w:t>
      </w:r>
      <w:r w:rsidRPr="001D49D4">
        <w:rPr>
          <w:color w:val="E36C0A" w:themeColor="accent6" w:themeShade="BF"/>
          <w:sz w:val="16"/>
          <w:szCs w:val="16"/>
          <w:rtl/>
        </w:rPr>
        <w:t xml:space="preserve"> </w:t>
      </w:r>
      <w:r w:rsidRPr="001D49D4">
        <w:rPr>
          <w:color w:val="000000" w:themeColor="text1"/>
          <w:sz w:val="16"/>
          <w:szCs w:val="16"/>
          <w:rtl/>
        </w:rPr>
        <w:t>[בסע' הבא]</w:t>
      </w:r>
      <w:r w:rsidRPr="001D49D4">
        <w:rPr>
          <w:color w:val="E36C0A" w:themeColor="accent6" w:themeShade="BF"/>
          <w:rtl/>
        </w:rPr>
        <w:t xml:space="preserve">) </w:t>
      </w:r>
      <w:r w:rsidRPr="001D49D4">
        <w:rPr>
          <w:rtl/>
        </w:rPr>
        <w:t>(וכ"פ הש"ך</w:t>
      </w:r>
      <w:r w:rsidRPr="001D49D4">
        <w:rPr>
          <w:sz w:val="16"/>
          <w:szCs w:val="16"/>
          <w:rtl/>
        </w:rPr>
        <w:t xml:space="preserve"> [סקפ"ח]</w:t>
      </w:r>
      <w:r w:rsidRPr="001D49D4">
        <w:rPr>
          <w:rtl/>
        </w:rPr>
        <w:t>)</w:t>
      </w:r>
    </w:p>
    <w:p w14:paraId="669152EA"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u w:val="single"/>
          <w:rtl/>
        </w:rPr>
        <w:t>כיצד מטייטים:</w:t>
      </w:r>
    </w:p>
    <w:p w14:paraId="7026D3B7" w14:textId="77777777" w:rsidR="001D49D4" w:rsidRPr="001D49D4" w:rsidRDefault="001D49D4" w:rsidP="0004348D">
      <w:pPr>
        <w:numPr>
          <w:ilvl w:val="0"/>
          <w:numId w:val="296"/>
        </w:numPr>
        <w:spacing w:before="360" w:after="240"/>
        <w:contextualSpacing/>
        <w:rPr>
          <w:rtl/>
        </w:rPr>
      </w:pPr>
      <w:r w:rsidRPr="001D49D4">
        <w:rPr>
          <w:rtl/>
        </w:rPr>
        <w:t xml:space="preserve">ר"ת </w:t>
      </w:r>
      <w:r w:rsidRPr="001D49D4">
        <w:rPr>
          <w:sz w:val="16"/>
          <w:szCs w:val="16"/>
          <w:rtl/>
        </w:rPr>
        <w:t>(כ"כ התוס' בשמו ד"ה דמטייט)</w:t>
      </w:r>
      <w:r w:rsidRPr="001D49D4">
        <w:rPr>
          <w:rtl/>
        </w:rPr>
        <w:t>- האי טיוטא היינו שימלא כל הריוח שריטות דיו, דאין לפרש שימלא החלק דיו, שאם כן יש לחוש שמא היה שם שטר אחר וקיימוהו והוא כתב שטר זה בגליון של מעלה וחתם העדים והרי הקיום מקיים אותו</w:t>
      </w:r>
      <w:r w:rsidRPr="001D49D4">
        <w:rPr>
          <w:vertAlign w:val="superscript"/>
          <w:rtl/>
        </w:rPr>
        <w:footnoteReference w:id="3936"/>
      </w:r>
      <w:r w:rsidRPr="001D49D4">
        <w:rPr>
          <w:rtl/>
        </w:rPr>
        <w:t xml:space="preserve">. </w:t>
      </w:r>
      <w:r w:rsidRPr="001D49D4">
        <w:rPr>
          <w:color w:val="E36C0A" w:themeColor="accent6" w:themeShade="BF"/>
          <w:rtl/>
        </w:rPr>
        <w:t>(וכ"פ בשו"ע)</w:t>
      </w:r>
    </w:p>
    <w:p w14:paraId="1C950539"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u w:val="single"/>
          <w:rtl/>
        </w:rPr>
        <w:t>אם היה בין הקיום והשטר ריוח שיטה אחת פסול – מה נפסל, הקיום או כל השטר:</w:t>
      </w:r>
    </w:p>
    <w:p w14:paraId="1BF62B5C" w14:textId="77777777" w:rsidR="001D49D4" w:rsidRPr="001D49D4" w:rsidRDefault="001D49D4" w:rsidP="0004348D">
      <w:pPr>
        <w:numPr>
          <w:ilvl w:val="0"/>
          <w:numId w:val="296"/>
        </w:numPr>
        <w:spacing w:before="360" w:after="240"/>
        <w:contextualSpacing/>
        <w:rPr>
          <w:rtl/>
        </w:rPr>
      </w:pPr>
      <w:r w:rsidRPr="001D49D4">
        <w:rPr>
          <w:rtl/>
        </w:rPr>
        <w:t>טור- כתב א"א הרא"ש ז"ל הא דהרחיקו פסול - דוקא הקיום, שאין מקיימין על פיו אלא על פי עדים, דכיון שאין ריעותא בין שטר לעדים אין לפסול אלא מהריעותא ולמטה</w:t>
      </w:r>
      <w:r w:rsidRPr="001D49D4">
        <w:rPr>
          <w:vertAlign w:val="superscript"/>
          <w:rtl/>
        </w:rPr>
        <w:footnoteReference w:id="3937"/>
      </w:r>
      <w:r w:rsidRPr="001D49D4">
        <w:rPr>
          <w:rtl/>
        </w:rPr>
        <w:t xml:space="preserve">. </w:t>
      </w:r>
      <w:r w:rsidRPr="001D49D4">
        <w:rPr>
          <w:color w:val="E36C0A" w:themeColor="accent6" w:themeShade="BF"/>
          <w:rtl/>
        </w:rPr>
        <w:t>(וכ"פ בשו"ע)</w:t>
      </w:r>
    </w:p>
    <w:p w14:paraId="4DEA1F1E" w14:textId="77777777" w:rsidR="001D49D4" w:rsidRPr="001D49D4" w:rsidRDefault="001D49D4" w:rsidP="0004348D">
      <w:pPr>
        <w:spacing w:before="360" w:after="240"/>
        <w:rPr>
          <w:rFonts w:ascii="Calibri" w:eastAsia="Calibri" w:hAnsi="Calibri" w:cs="Arial"/>
          <w:sz w:val="16"/>
          <w:szCs w:val="16"/>
          <w:u w:val="single"/>
          <w:rtl/>
        </w:rPr>
      </w:pPr>
      <w:r w:rsidRPr="001D49D4">
        <w:rPr>
          <w:rFonts w:ascii="Calibri" w:eastAsia="Calibri" w:hAnsi="Calibri" w:cs="Arial"/>
          <w:u w:val="single"/>
          <w:rtl/>
        </w:rPr>
        <w:t xml:space="preserve">אם אין הנייר החלק </w:t>
      </w:r>
      <w:r w:rsidRPr="001D49D4">
        <w:rPr>
          <w:rFonts w:ascii="Calibri" w:eastAsia="Calibri" w:hAnsi="Calibri" w:cs="Arial"/>
          <w:sz w:val="16"/>
          <w:szCs w:val="16"/>
          <w:u w:val="single"/>
          <w:rtl/>
        </w:rPr>
        <w:t>(שבפני השטר)</w:t>
      </w:r>
      <w:r w:rsidRPr="001D49D4">
        <w:rPr>
          <w:rFonts w:ascii="Calibri" w:eastAsia="Calibri" w:hAnsi="Calibri" w:cs="Arial"/>
          <w:u w:val="single"/>
          <w:rtl/>
        </w:rPr>
        <w:t xml:space="preserve"> מספיק לכתוב הקיום – איפה כותבים את הקיום:</w:t>
      </w:r>
      <w:r w:rsidRPr="001D49D4">
        <w:rPr>
          <w:rFonts w:ascii="Calibri" w:eastAsia="Calibri" w:hAnsi="Calibri" w:cs="Arial"/>
          <w:sz w:val="16"/>
          <w:szCs w:val="16"/>
          <w:rtl/>
        </w:rPr>
        <w:t xml:space="preserve">  (ב"י סע' ז)</w:t>
      </w:r>
    </w:p>
    <w:p w14:paraId="29B8B2AB" w14:textId="77777777" w:rsidR="001D49D4" w:rsidRPr="001D49D4" w:rsidRDefault="001D49D4" w:rsidP="0004348D">
      <w:pPr>
        <w:numPr>
          <w:ilvl w:val="0"/>
          <w:numId w:val="279"/>
        </w:numPr>
        <w:spacing w:before="360" w:after="240"/>
        <w:contextualSpacing/>
        <w:rPr>
          <w:rtl/>
        </w:rPr>
      </w:pPr>
      <w:r w:rsidRPr="001D49D4">
        <w:rPr>
          <w:rtl/>
        </w:rPr>
        <w:t xml:space="preserve">רמב"ם </w:t>
      </w:r>
      <w:r w:rsidRPr="001D49D4">
        <w:rPr>
          <w:sz w:val="16"/>
          <w:szCs w:val="16"/>
          <w:rtl/>
        </w:rPr>
        <w:t>(פכ"ז ה"ו)</w:t>
      </w:r>
      <w:r w:rsidRPr="001D49D4">
        <w:rPr>
          <w:rtl/>
        </w:rPr>
        <w:t>- קיום בית דין צריך שיהיה סמוך לכתב ידי עדים או סמוך לצד השטר או מאחוריו כנגד הכתב</w:t>
      </w:r>
      <w:r w:rsidRPr="001D49D4">
        <w:rPr>
          <w:vertAlign w:val="superscript"/>
          <w:rtl/>
        </w:rPr>
        <w:footnoteReference w:id="3938"/>
      </w:r>
      <w:r w:rsidRPr="001D49D4">
        <w:rPr>
          <w:rtl/>
        </w:rPr>
        <w:t xml:space="preserve">. </w:t>
      </w:r>
      <w:r w:rsidRPr="001D49D4">
        <w:rPr>
          <w:color w:val="E36C0A" w:themeColor="accent6" w:themeShade="BF"/>
          <w:rtl/>
        </w:rPr>
        <w:t>(וכ"פ בשו"ע)</w:t>
      </w:r>
      <w:r w:rsidRPr="001D49D4">
        <w:rPr>
          <w:color w:val="00B0F0"/>
          <w:rtl/>
        </w:rPr>
        <w:t xml:space="preserve"> (וכ"פ הרמ"א)</w:t>
      </w:r>
      <w:r w:rsidRPr="001D49D4">
        <w:rPr>
          <w:rtl/>
        </w:rPr>
        <w:t xml:space="preserve"> (וכ"פ הש"ך</w:t>
      </w:r>
      <w:r w:rsidRPr="001D49D4">
        <w:rPr>
          <w:sz w:val="16"/>
          <w:szCs w:val="16"/>
          <w:rtl/>
        </w:rPr>
        <w:t xml:space="preserve"> [סקפ"ד]</w:t>
      </w:r>
      <w:r w:rsidRPr="001D49D4">
        <w:rPr>
          <w:rtl/>
        </w:rPr>
        <w:t>)</w:t>
      </w:r>
    </w:p>
    <w:p w14:paraId="2DAB0BC2" w14:textId="77777777" w:rsidR="001D49D4" w:rsidRPr="001D49D4" w:rsidRDefault="001D49D4" w:rsidP="0004348D">
      <w:pPr>
        <w:numPr>
          <w:ilvl w:val="0"/>
          <w:numId w:val="279"/>
        </w:numPr>
        <w:spacing w:before="360" w:after="240"/>
        <w:contextualSpacing/>
        <w:rPr>
          <w:rtl/>
        </w:rPr>
      </w:pPr>
      <w:r w:rsidRPr="001D49D4">
        <w:rPr>
          <w:rtl/>
        </w:rPr>
        <w:t xml:space="preserve">בהעי"ט </w:t>
      </w:r>
      <w:r w:rsidRPr="001D49D4">
        <w:rPr>
          <w:sz w:val="16"/>
          <w:szCs w:val="16"/>
          <w:rtl/>
        </w:rPr>
        <w:t>(אות ק קיום נג.)</w:t>
      </w:r>
      <w:r w:rsidRPr="001D49D4">
        <w:rPr>
          <w:rtl/>
        </w:rPr>
        <w:t xml:space="preserve"> בשם גאון והגמ"ר </w:t>
      </w:r>
      <w:r w:rsidRPr="001D49D4">
        <w:rPr>
          <w:sz w:val="16"/>
          <w:szCs w:val="16"/>
          <w:rtl/>
        </w:rPr>
        <w:t>(ב"ב סי' תרע)</w:t>
      </w:r>
      <w:r w:rsidRPr="001D49D4">
        <w:rPr>
          <w:rtl/>
        </w:rPr>
        <w:t>- היכא דליכא בנייר כדי לכתוב בו קיום מלפף ביה ניירא אחרינא וכתיב בקיום וקיומיה מלפף בגויה וכתיב ביה סימן מובהק</w:t>
      </w:r>
      <w:r w:rsidRPr="001D49D4">
        <w:rPr>
          <w:vertAlign w:val="superscript"/>
          <w:rtl/>
        </w:rPr>
        <w:footnoteReference w:id="3939"/>
      </w:r>
      <w:r w:rsidRPr="001D49D4">
        <w:rPr>
          <w:sz w:val="16"/>
          <w:szCs w:val="16"/>
          <w:rtl/>
        </w:rPr>
        <w:t xml:space="preserve"> (ל' הה"מ בשם בהעי"ט)</w:t>
      </w:r>
      <w:r w:rsidRPr="001D49D4">
        <w:rPr>
          <w:rtl/>
        </w:rPr>
        <w:t>. (וכ"פ הש"ך</w:t>
      </w:r>
      <w:r w:rsidRPr="001D49D4">
        <w:rPr>
          <w:sz w:val="16"/>
          <w:szCs w:val="16"/>
          <w:rtl/>
        </w:rPr>
        <w:t xml:space="preserve"> [סקפ"ד]</w:t>
      </w:r>
      <w:r w:rsidRPr="001D49D4">
        <w:rPr>
          <w:rtl/>
        </w:rPr>
        <w:t>)</w:t>
      </w:r>
    </w:p>
    <w:p w14:paraId="15EEEFD0" w14:textId="77777777" w:rsidR="001D49D4" w:rsidRPr="001D49D4" w:rsidRDefault="001D49D4" w:rsidP="0004348D">
      <w:pPr>
        <w:spacing w:before="360" w:after="240"/>
        <w:rPr>
          <w:rFonts w:ascii="Arial" w:eastAsia="Calibri" w:hAnsi="Arial" w:cs="Arial"/>
          <w:b/>
          <w:bCs/>
          <w:color w:val="000000"/>
          <w:sz w:val="28"/>
          <w:szCs w:val="28"/>
          <w:u w:val="single"/>
          <w:rtl/>
        </w:rPr>
      </w:pPr>
      <w:r w:rsidRPr="001D49D4">
        <w:rPr>
          <w:rFonts w:ascii="Arial" w:eastAsia="Calibri" w:hAnsi="Arial" w:cs="Arial"/>
          <w:b/>
          <w:bCs/>
          <w:color w:val="000000"/>
          <w:sz w:val="28"/>
          <w:szCs w:val="28"/>
          <w:u w:val="single"/>
          <w:rtl/>
        </w:rPr>
        <w:t>שו"ע:</w:t>
      </w:r>
    </w:p>
    <w:p w14:paraId="0A72CC57"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rtl/>
        </w:rPr>
        <w:t>קיום בית דין צריך שיהיה סמוך לכתב ידי העדים או סמוך לצד השטר</w:t>
      </w:r>
      <w:r w:rsidRPr="001D49D4">
        <w:rPr>
          <w:rFonts w:ascii="Calibri" w:eastAsia="Calibri" w:hAnsi="Calibri" w:cs="Arial"/>
          <w:vertAlign w:val="superscript"/>
          <w:rtl/>
        </w:rPr>
        <w:footnoteReference w:id="3940"/>
      </w:r>
      <w:r w:rsidRPr="001D49D4">
        <w:rPr>
          <w:rFonts w:ascii="Calibri" w:eastAsia="Calibri" w:hAnsi="Calibri" w:cs="Arial"/>
          <w:rtl/>
        </w:rPr>
        <w:t xml:space="preserve"> או מאחוריו</w:t>
      </w:r>
      <w:r w:rsidRPr="001D49D4">
        <w:rPr>
          <w:rFonts w:ascii="Calibri" w:eastAsia="Calibri" w:hAnsi="Calibri" w:cs="Arial"/>
          <w:vertAlign w:val="superscript"/>
          <w:rtl/>
        </w:rPr>
        <w:footnoteReference w:id="3941"/>
      </w:r>
      <w:r w:rsidRPr="001D49D4">
        <w:rPr>
          <w:rFonts w:ascii="Calibri" w:eastAsia="Calibri" w:hAnsi="Calibri" w:cs="Arial"/>
          <w:rtl/>
        </w:rPr>
        <w:t xml:space="preserve"> כנגד הכתב</w:t>
      </w:r>
      <w:r w:rsidRPr="001D49D4">
        <w:rPr>
          <w:rFonts w:ascii="Calibri" w:eastAsia="Calibri" w:hAnsi="Calibri" w:cs="Arial"/>
          <w:vertAlign w:val="superscript"/>
          <w:rtl/>
        </w:rPr>
        <w:footnoteReference w:id="3942"/>
      </w:r>
      <w:r w:rsidRPr="001D49D4">
        <w:rPr>
          <w:rFonts w:ascii="Calibri" w:eastAsia="Calibri" w:hAnsi="Calibri" w:cs="Arial"/>
          <w:rtl/>
        </w:rPr>
        <w:t>.</w:t>
      </w:r>
      <w:r w:rsidRPr="001D49D4">
        <w:rPr>
          <w:rFonts w:ascii="Calibri" w:eastAsia="Calibri" w:hAnsi="Calibri" w:cs="Arial"/>
          <w:sz w:val="18"/>
          <w:szCs w:val="18"/>
          <w:rtl/>
        </w:rPr>
        <w:t xml:space="preserve"> [הגה] ולכן אם הנייר קצר למטה, יכתוב הקיום מן הצד או מאחוריו</w:t>
      </w:r>
      <w:r w:rsidRPr="001D49D4">
        <w:rPr>
          <w:rFonts w:ascii="Calibri" w:eastAsia="Calibri" w:hAnsi="Calibri" w:cs="Arial"/>
          <w:sz w:val="18"/>
          <w:szCs w:val="18"/>
          <w:vertAlign w:val="superscript"/>
          <w:rtl/>
        </w:rPr>
        <w:footnoteReference w:id="3943"/>
      </w:r>
      <w:r w:rsidRPr="001D49D4">
        <w:rPr>
          <w:rFonts w:ascii="Calibri" w:eastAsia="Calibri" w:hAnsi="Calibri" w:cs="Arial"/>
          <w:sz w:val="18"/>
          <w:szCs w:val="18"/>
          <w:rtl/>
        </w:rPr>
        <w:t xml:space="preserve"> (רמב"ם והה"מ פכ"ז מהל' מלוה).</w:t>
      </w:r>
      <w:r w:rsidRPr="001D49D4">
        <w:rPr>
          <w:rFonts w:ascii="Calibri" w:eastAsia="Calibri" w:hAnsi="Calibri" w:cs="Arial"/>
          <w:rtl/>
        </w:rPr>
        <w:t xml:space="preserve"> ואם היה בין הקיום והשטר ריוח שטה אחת ושני אוירים, פסול</w:t>
      </w:r>
      <w:r w:rsidRPr="001D49D4">
        <w:rPr>
          <w:rFonts w:ascii="Calibri" w:eastAsia="Calibri" w:hAnsi="Calibri" w:cs="Arial"/>
          <w:vertAlign w:val="superscript"/>
          <w:rtl/>
        </w:rPr>
        <w:footnoteReference w:id="3944"/>
      </w:r>
      <w:r w:rsidRPr="001D49D4">
        <w:rPr>
          <w:rFonts w:ascii="Calibri" w:eastAsia="Calibri" w:hAnsi="Calibri" w:cs="Arial"/>
          <w:rtl/>
        </w:rPr>
        <w:t xml:space="preserve"> הקיום</w:t>
      </w:r>
      <w:r w:rsidRPr="001D49D4">
        <w:rPr>
          <w:rFonts w:ascii="Calibri" w:eastAsia="Calibri" w:hAnsi="Calibri" w:cs="Arial"/>
          <w:vertAlign w:val="superscript"/>
          <w:rtl/>
        </w:rPr>
        <w:footnoteReference w:id="3945"/>
      </w:r>
      <w:r w:rsidRPr="001D49D4">
        <w:rPr>
          <w:rFonts w:ascii="Calibri" w:eastAsia="Calibri" w:hAnsi="Calibri" w:cs="Arial"/>
          <w:rtl/>
        </w:rPr>
        <w:t xml:space="preserve"> לבדו, שמא יחתוך השטר שנתקיים, ויזייף באותה שטה שטר ושני עדים, ונמצא הקיום על שטר מזויף. </w:t>
      </w:r>
    </w:p>
    <w:p w14:paraId="7115EDE9" w14:textId="77777777" w:rsidR="001D49D4" w:rsidRPr="001D49D4" w:rsidRDefault="001D49D4" w:rsidP="0004348D">
      <w:pPr>
        <w:spacing w:before="360" w:after="240"/>
        <w:rPr>
          <w:rFonts w:ascii="Calibri" w:eastAsia="Calibri" w:hAnsi="Calibri" w:cs="Arial"/>
          <w:rtl/>
        </w:rPr>
      </w:pPr>
    </w:p>
    <w:p w14:paraId="7154E858" w14:textId="77777777" w:rsidR="001D49D4" w:rsidRPr="001D49D4" w:rsidRDefault="001D49D4" w:rsidP="0004348D">
      <w:pPr>
        <w:keepNext/>
        <w:keepLines/>
        <w:spacing w:before="360" w:after="240"/>
        <w:outlineLvl w:val="1"/>
        <w:rPr>
          <w:rFonts w:ascii="Cambria" w:eastAsia="Times New Roman" w:hAnsi="Cambria" w:cs="Arial"/>
          <w:bCs/>
          <w:color w:val="548DD4" w:themeColor="text2" w:themeTint="99"/>
          <w:sz w:val="26"/>
          <w:szCs w:val="26"/>
          <w:rtl/>
        </w:rPr>
      </w:pPr>
      <w:bookmarkStart w:id="533" w:name="_Toc24883966"/>
      <w:r w:rsidRPr="001D49D4">
        <w:rPr>
          <w:rFonts w:ascii="Cambria" w:eastAsia="Times New Roman" w:hAnsi="Cambria" w:cs="Arial"/>
          <w:bCs/>
          <w:color w:val="548DD4" w:themeColor="text2" w:themeTint="99"/>
          <w:sz w:val="26"/>
          <w:szCs w:val="26"/>
          <w:rtl/>
        </w:rPr>
        <w:t>סעיף לב: קיום שנכתב בריחוק מהשטר ומילאו את הריוח בשריטות דיו.</w:t>
      </w:r>
      <w:bookmarkEnd w:id="533"/>
    </w:p>
    <w:p w14:paraId="61627CF7"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rtl/>
        </w:rPr>
        <w:t>עיין במקורות בסעיף הקודם.</w:t>
      </w:r>
    </w:p>
    <w:p w14:paraId="1A60F975" w14:textId="77777777" w:rsidR="001D49D4" w:rsidRPr="001D49D4" w:rsidRDefault="001D49D4" w:rsidP="0004348D">
      <w:pPr>
        <w:spacing w:before="360" w:after="240"/>
        <w:rPr>
          <w:rFonts w:ascii="Arial" w:eastAsia="Calibri" w:hAnsi="Arial" w:cs="Arial"/>
          <w:b/>
          <w:bCs/>
          <w:color w:val="000000"/>
          <w:sz w:val="28"/>
          <w:szCs w:val="28"/>
          <w:u w:val="single"/>
          <w:rtl/>
        </w:rPr>
      </w:pPr>
      <w:r w:rsidRPr="001D49D4">
        <w:rPr>
          <w:rFonts w:ascii="Arial" w:eastAsia="Calibri" w:hAnsi="Arial" w:cs="Arial"/>
          <w:b/>
          <w:bCs/>
          <w:color w:val="000000"/>
          <w:sz w:val="28"/>
          <w:szCs w:val="28"/>
          <w:u w:val="single"/>
          <w:rtl/>
        </w:rPr>
        <w:t>שו"ע:</w:t>
      </w:r>
    </w:p>
    <w:p w14:paraId="154EBC4C"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rtl/>
        </w:rPr>
        <w:t>הרחיק הקיום מהשטר שטה או שתי שיטין או יותר, ומילא כל הריוח שריטות דיו, כשר, שהרי אינו יכול לזייף. ואין חוששין לבית דין שקיימו קיום על השריטות, אלא על גופו של שטר</w:t>
      </w:r>
      <w:r w:rsidRPr="001D49D4">
        <w:rPr>
          <w:rFonts w:ascii="Calibri" w:eastAsia="Calibri" w:hAnsi="Calibri" w:cs="Arial"/>
          <w:vertAlign w:val="superscript"/>
          <w:rtl/>
        </w:rPr>
        <w:footnoteReference w:id="3946"/>
      </w:r>
      <w:r w:rsidRPr="001D49D4">
        <w:rPr>
          <w:rFonts w:ascii="Calibri" w:eastAsia="Calibri" w:hAnsi="Calibri" w:cs="Arial"/>
          <w:rtl/>
        </w:rPr>
        <w:t>. ויש אומרים שחוששין לכך</w:t>
      </w:r>
      <w:r w:rsidRPr="001D49D4">
        <w:rPr>
          <w:rFonts w:ascii="Calibri" w:eastAsia="Calibri" w:hAnsi="Calibri" w:cs="Arial"/>
          <w:vertAlign w:val="superscript"/>
          <w:rtl/>
        </w:rPr>
        <w:footnoteReference w:id="3947"/>
      </w:r>
      <w:r w:rsidRPr="001D49D4">
        <w:rPr>
          <w:rFonts w:ascii="Calibri" w:eastAsia="Calibri" w:hAnsi="Calibri" w:cs="Arial"/>
          <w:rtl/>
        </w:rPr>
        <w:t xml:space="preserve">. </w:t>
      </w:r>
    </w:p>
    <w:p w14:paraId="089A6B55" w14:textId="77777777" w:rsidR="001D49D4" w:rsidRPr="001D49D4" w:rsidRDefault="001D49D4" w:rsidP="0004348D">
      <w:pPr>
        <w:spacing w:before="360" w:after="240"/>
        <w:rPr>
          <w:rFonts w:ascii="Calibri" w:eastAsia="Calibri" w:hAnsi="Calibri" w:cs="Arial"/>
          <w:rtl/>
        </w:rPr>
      </w:pPr>
    </w:p>
    <w:p w14:paraId="27144671" w14:textId="77777777" w:rsidR="001D49D4" w:rsidRPr="001D49D4" w:rsidRDefault="001D49D4" w:rsidP="0004348D">
      <w:pPr>
        <w:keepNext/>
        <w:keepLines/>
        <w:spacing w:before="360" w:after="240"/>
        <w:outlineLvl w:val="1"/>
        <w:rPr>
          <w:rFonts w:ascii="Cambria" w:eastAsia="Times New Roman" w:hAnsi="Cambria" w:cs="Arial"/>
          <w:bCs/>
          <w:color w:val="548DD4" w:themeColor="text2" w:themeTint="99"/>
          <w:sz w:val="26"/>
          <w:szCs w:val="26"/>
          <w:rtl/>
        </w:rPr>
      </w:pPr>
      <w:bookmarkStart w:id="534" w:name="_Toc24883967"/>
      <w:r w:rsidRPr="001D49D4">
        <w:rPr>
          <w:rFonts w:ascii="Cambria" w:eastAsia="Times New Roman" w:hAnsi="Cambria" w:cs="Arial"/>
          <w:bCs/>
          <w:color w:val="548DD4" w:themeColor="text2" w:themeTint="99"/>
          <w:sz w:val="26"/>
          <w:szCs w:val="26"/>
          <w:rtl/>
        </w:rPr>
        <w:t>סעיף לג: שטר הבא הוא ועדיו על המחק והקיום מלמטה על הנייר.</w:t>
      </w:r>
      <w:bookmarkEnd w:id="534"/>
    </w:p>
    <w:p w14:paraId="4FDF171F"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b/>
          <w:bCs/>
          <w:rtl/>
        </w:rPr>
        <w:t>בבא בתרא</w:t>
      </w:r>
      <w:r w:rsidRPr="001D49D4">
        <w:rPr>
          <w:rFonts w:ascii="Calibri" w:eastAsia="Calibri" w:hAnsi="Calibri" w:cs="Arial"/>
          <w:b/>
          <w:bCs/>
          <w:sz w:val="16"/>
          <w:szCs w:val="16"/>
          <w:rtl/>
        </w:rPr>
        <w:t xml:space="preserve"> (פרק גט פשוט) </w:t>
      </w:r>
      <w:r w:rsidRPr="001D49D4">
        <w:rPr>
          <w:rFonts w:ascii="Calibri" w:eastAsia="Calibri" w:hAnsi="Calibri" w:cs="Arial"/>
          <w:b/>
          <w:bCs/>
          <w:rtl/>
        </w:rPr>
        <w:t>קסב</w:t>
      </w:r>
      <w:r w:rsidRPr="001D49D4">
        <w:rPr>
          <w:rFonts w:ascii="Calibri" w:eastAsia="Calibri" w:hAnsi="Calibri" w:cs="Arial"/>
          <w:b/>
          <w:bCs/>
          <w:vertAlign w:val="superscript"/>
          <w:rtl/>
        </w:rPr>
        <w:footnoteReference w:id="3948"/>
      </w:r>
      <w:r w:rsidRPr="001D49D4">
        <w:rPr>
          <w:rFonts w:ascii="Calibri" w:eastAsia="Calibri" w:hAnsi="Calibri" w:cs="Arial"/>
          <w:b/>
          <w:bCs/>
          <w:rtl/>
        </w:rPr>
        <w:t xml:space="preserve"> ע"ב: </w:t>
      </w:r>
      <w:r w:rsidRPr="001D49D4">
        <w:rPr>
          <w:rFonts w:ascii="Calibri" w:eastAsia="Calibri" w:hAnsi="Calibri" w:cs="Arial"/>
          <w:rtl/>
        </w:rPr>
        <w:t xml:space="preserve">תניא: הרחיק את העדים שני שיטין מן הכתב – פסול... </w:t>
      </w:r>
      <w:r w:rsidRPr="001D49D4">
        <w:rPr>
          <w:rFonts w:ascii="Calibri" w:eastAsia="Calibri" w:hAnsi="Calibri" w:cs="Arial"/>
          <w:sz w:val="14"/>
          <w:szCs w:val="14"/>
          <w:rtl/>
        </w:rPr>
        <w:t>(קסג.)</w:t>
      </w:r>
      <w:r w:rsidRPr="001D49D4">
        <w:rPr>
          <w:rFonts w:ascii="Calibri" w:eastAsia="Calibri" w:hAnsi="Calibri" w:cs="Arial"/>
          <w:rtl/>
        </w:rPr>
        <w:t xml:space="preserve"> </w:t>
      </w:r>
      <w:r w:rsidRPr="001D49D4">
        <w:rPr>
          <w:rFonts w:ascii="Calibri" w:eastAsia="Calibri" w:hAnsi="Calibri" w:cs="Arial"/>
          <w:u w:val="single"/>
          <w:rtl/>
        </w:rPr>
        <w:t>אמר רב</w:t>
      </w:r>
      <w:r w:rsidRPr="001D49D4">
        <w:rPr>
          <w:rFonts w:ascii="Calibri" w:eastAsia="Calibri" w:hAnsi="Calibri" w:cs="Arial"/>
          <w:rtl/>
        </w:rPr>
        <w:t>: לא שנו אלא בין עדים לכתב, אבל בין עדים לאשרתא - אפילו טובא נמי כשר... דמטייט ליה... וליחוש דלמא גייז ליה</w:t>
      </w:r>
      <w:r w:rsidRPr="001D49D4">
        <w:rPr>
          <w:rFonts w:ascii="Calibri" w:eastAsia="Calibri" w:hAnsi="Calibri" w:cs="Arial"/>
          <w:vertAlign w:val="superscript"/>
          <w:rtl/>
        </w:rPr>
        <w:footnoteReference w:id="3949"/>
      </w:r>
      <w:r w:rsidRPr="001D49D4">
        <w:rPr>
          <w:rFonts w:ascii="Calibri" w:eastAsia="Calibri" w:hAnsi="Calibri" w:cs="Arial"/>
          <w:rtl/>
        </w:rPr>
        <w:t xml:space="preserve"> לעילא, ומחיק ליה לטיוטא וכתב מאי דבעי ומחתים סהדי, ואמר רב: שטר הבא הוא ועדיו על המחק - כשר!... </w:t>
      </w:r>
      <w:r w:rsidRPr="001D49D4">
        <w:rPr>
          <w:rFonts w:ascii="Calibri" w:eastAsia="Calibri" w:hAnsi="Calibri" w:cs="Arial"/>
          <w:sz w:val="14"/>
          <w:szCs w:val="14"/>
          <w:rtl/>
        </w:rPr>
        <w:t xml:space="preserve">(קסג:) </w:t>
      </w:r>
      <w:r w:rsidRPr="001D49D4">
        <w:rPr>
          <w:rFonts w:ascii="Calibri" w:eastAsia="Calibri" w:hAnsi="Calibri" w:cs="Arial"/>
          <w:rtl/>
        </w:rPr>
        <w:t>קסבר: כל כי האי גוונא, אין מקיימין אותו מן האשרתא שבו אלא מן העדים שבו</w:t>
      </w:r>
      <w:r w:rsidRPr="001D49D4">
        <w:rPr>
          <w:rFonts w:ascii="Calibri" w:eastAsia="Calibri" w:hAnsi="Calibri" w:cs="Arial"/>
          <w:vertAlign w:val="superscript"/>
          <w:rtl/>
        </w:rPr>
        <w:footnoteReference w:id="3950"/>
      </w:r>
      <w:r w:rsidRPr="001D49D4">
        <w:rPr>
          <w:rFonts w:ascii="Calibri" w:eastAsia="Calibri" w:hAnsi="Calibri" w:cs="Arial"/>
          <w:rtl/>
        </w:rPr>
        <w:t xml:space="preserve">. </w:t>
      </w:r>
      <w:r w:rsidRPr="001D49D4">
        <w:rPr>
          <w:rFonts w:ascii="Calibri" w:eastAsia="Calibri" w:hAnsi="Calibri" w:cs="Arial"/>
          <w:u w:val="single"/>
          <w:rtl/>
        </w:rPr>
        <w:t>ורבי יוחנן אמר</w:t>
      </w:r>
      <w:r w:rsidRPr="001D49D4">
        <w:rPr>
          <w:rFonts w:ascii="Calibri" w:eastAsia="Calibri" w:hAnsi="Calibri" w:cs="Arial"/>
          <w:rtl/>
        </w:rPr>
        <w:t>: לא שנו אלא בין העדים לכתב, אבל בין עדים לאשרתא - אפילו שיטה אחת פסול. מאי שנא בין עדים לאשרתא? דלמא גייז לעילאי וכתב הוא ועדיו בשיטה אחת, וקסבר שטר הבא הוא ועדיו בשיטה אחת כשר.</w:t>
      </w:r>
    </w:p>
    <w:p w14:paraId="3C86D156" w14:textId="77777777" w:rsidR="001D49D4" w:rsidRPr="001D49D4" w:rsidRDefault="001D49D4" w:rsidP="0004348D">
      <w:pPr>
        <w:spacing w:before="360" w:after="240"/>
        <w:rPr>
          <w:rFonts w:ascii="Calibri" w:eastAsia="Calibri" w:hAnsi="Calibri" w:cs="Arial"/>
          <w:u w:val="single"/>
          <w:rtl/>
        </w:rPr>
      </w:pPr>
      <w:r w:rsidRPr="001D49D4">
        <w:rPr>
          <w:rFonts w:ascii="Calibri" w:eastAsia="Calibri" w:hAnsi="Calibri" w:cs="Arial"/>
          <w:u w:val="single"/>
          <w:rtl/>
        </w:rPr>
        <w:t>שטר הבא הוא ועדיו על המחק והקיום מלמטה על הנייר:</w:t>
      </w:r>
    </w:p>
    <w:p w14:paraId="1B199840" w14:textId="77777777" w:rsidR="001D49D4" w:rsidRPr="001D49D4" w:rsidRDefault="001D49D4" w:rsidP="0004348D">
      <w:pPr>
        <w:numPr>
          <w:ilvl w:val="0"/>
          <w:numId w:val="281"/>
        </w:numPr>
        <w:spacing w:before="360" w:after="240"/>
        <w:contextualSpacing/>
        <w:rPr>
          <w:rtl/>
        </w:rPr>
      </w:pPr>
      <w:r w:rsidRPr="001D49D4">
        <w:rPr>
          <w:rtl/>
        </w:rPr>
        <w:t xml:space="preserve">רמב"ם </w:t>
      </w:r>
      <w:r w:rsidRPr="001D49D4">
        <w:rPr>
          <w:sz w:val="16"/>
          <w:szCs w:val="16"/>
          <w:rtl/>
        </w:rPr>
        <w:t>(הל' מלוה פכ"ז ה"י)</w:t>
      </w:r>
      <w:r w:rsidRPr="001D49D4">
        <w:rPr>
          <w:rtl/>
        </w:rPr>
        <w:t xml:space="preserve"> וטור- שטר הבא הוא ועדיו על המחק והקיום מלמטה על הנייר - אין מקיימין אותו מעדי הקיום אלא מעדים שלמעלה, שמא הקיום היה רחוק מן השטר הרבה והיה הריוח מלא שריטות של דיו וחתך גוף השטר ומחק השריטות וכתב השטר ועדיו על המחק</w:t>
      </w:r>
      <w:r w:rsidRPr="001D49D4">
        <w:rPr>
          <w:vertAlign w:val="superscript"/>
          <w:rtl/>
        </w:rPr>
        <w:footnoteReference w:id="3951"/>
      </w:r>
      <w:r w:rsidRPr="001D49D4">
        <w:rPr>
          <w:sz w:val="16"/>
          <w:szCs w:val="16"/>
          <w:rtl/>
        </w:rPr>
        <w:t xml:space="preserve"> (ל' הרמב"ם)</w:t>
      </w:r>
      <w:r w:rsidRPr="001D49D4">
        <w:rPr>
          <w:rtl/>
        </w:rPr>
        <w:t xml:space="preserve">. </w:t>
      </w:r>
      <w:r w:rsidRPr="001D49D4">
        <w:rPr>
          <w:color w:val="E36C0A" w:themeColor="accent6" w:themeShade="BF"/>
          <w:rtl/>
        </w:rPr>
        <w:t>(וכ"ס בשו"ע)</w:t>
      </w:r>
    </w:p>
    <w:p w14:paraId="3FF29815" w14:textId="77777777" w:rsidR="001D49D4" w:rsidRPr="001D49D4" w:rsidRDefault="001D49D4" w:rsidP="0004348D">
      <w:pPr>
        <w:spacing w:before="360" w:after="240"/>
        <w:rPr>
          <w:rFonts w:ascii="Arial" w:eastAsia="Calibri" w:hAnsi="Arial" w:cs="Arial"/>
          <w:b/>
          <w:bCs/>
          <w:color w:val="000000"/>
          <w:sz w:val="28"/>
          <w:szCs w:val="28"/>
          <w:u w:val="single"/>
          <w:rtl/>
        </w:rPr>
      </w:pPr>
      <w:r w:rsidRPr="001D49D4">
        <w:rPr>
          <w:rFonts w:ascii="Arial" w:eastAsia="Calibri" w:hAnsi="Arial" w:cs="Arial"/>
          <w:b/>
          <w:bCs/>
          <w:color w:val="000000"/>
          <w:sz w:val="28"/>
          <w:szCs w:val="28"/>
          <w:u w:val="single"/>
          <w:rtl/>
        </w:rPr>
        <w:t>שו"ע:</w:t>
      </w:r>
    </w:p>
    <w:p w14:paraId="58C12662"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rtl/>
        </w:rPr>
        <w:t>שטר הבא הוא ועידיו על המחק, והקיום מלמטה על הנייר, אין מקיימים אותו מדייני הקיום אלא מעדים שלמעלה,  שמא הקיום היה רחוק</w:t>
      </w:r>
      <w:r w:rsidRPr="001D49D4">
        <w:rPr>
          <w:rFonts w:ascii="Calibri" w:eastAsia="Calibri" w:hAnsi="Calibri" w:cs="Arial"/>
          <w:vertAlign w:val="superscript"/>
          <w:rtl/>
        </w:rPr>
        <w:footnoteReference w:id="3952"/>
      </w:r>
      <w:r w:rsidRPr="001D49D4">
        <w:rPr>
          <w:rFonts w:ascii="Calibri" w:eastAsia="Calibri" w:hAnsi="Calibri" w:cs="Arial"/>
          <w:rtl/>
        </w:rPr>
        <w:t xml:space="preserve"> מהשטר הרבה, והיה הריוח מלא שריטות של דיו, וחתך גוף השטר, ומחק השריטות, וכתב השטר ועידיו על המחק. ויש</w:t>
      </w:r>
      <w:r w:rsidRPr="001D49D4">
        <w:rPr>
          <w:rFonts w:ascii="Calibri" w:eastAsia="Calibri" w:hAnsi="Calibri" w:cs="Arial"/>
          <w:vertAlign w:val="superscript"/>
          <w:rtl/>
        </w:rPr>
        <w:footnoteReference w:id="3953"/>
      </w:r>
      <w:r w:rsidRPr="001D49D4">
        <w:rPr>
          <w:rFonts w:ascii="Calibri" w:eastAsia="Calibri" w:hAnsi="Calibri" w:cs="Arial"/>
          <w:rtl/>
        </w:rPr>
        <w:t xml:space="preserve"> מכשירין לקיימו מדייני הקיום</w:t>
      </w:r>
      <w:r w:rsidRPr="001D49D4">
        <w:rPr>
          <w:rFonts w:ascii="Calibri" w:eastAsia="Calibri" w:hAnsi="Calibri" w:cs="Arial"/>
          <w:vertAlign w:val="superscript"/>
          <w:rtl/>
        </w:rPr>
        <w:footnoteReference w:id="3954"/>
      </w:r>
      <w:r w:rsidRPr="001D49D4">
        <w:rPr>
          <w:rFonts w:ascii="Calibri" w:eastAsia="Calibri" w:hAnsi="Calibri" w:cs="Arial"/>
          <w:rtl/>
        </w:rPr>
        <w:t xml:space="preserve">. </w:t>
      </w:r>
    </w:p>
    <w:p w14:paraId="04EA65C1" w14:textId="77777777" w:rsidR="001D49D4" w:rsidRPr="001D49D4" w:rsidRDefault="001D49D4" w:rsidP="0004348D">
      <w:pPr>
        <w:spacing w:before="360" w:after="240"/>
        <w:rPr>
          <w:rFonts w:ascii="Calibri" w:eastAsia="Calibri" w:hAnsi="Calibri" w:cs="Arial"/>
          <w:rtl/>
        </w:rPr>
      </w:pPr>
    </w:p>
    <w:p w14:paraId="2F4E6306" w14:textId="77777777" w:rsidR="001D49D4" w:rsidRPr="001D49D4" w:rsidRDefault="001D49D4" w:rsidP="0004348D">
      <w:pPr>
        <w:keepNext/>
        <w:keepLines/>
        <w:spacing w:before="360" w:after="240"/>
        <w:outlineLvl w:val="1"/>
        <w:rPr>
          <w:rFonts w:ascii="Cambria" w:eastAsia="Times New Roman" w:hAnsi="Cambria" w:cs="Arial"/>
          <w:bCs/>
          <w:color w:val="548DD4" w:themeColor="text2" w:themeTint="99"/>
          <w:sz w:val="26"/>
          <w:szCs w:val="26"/>
          <w:rtl/>
        </w:rPr>
      </w:pPr>
      <w:bookmarkStart w:id="535" w:name="_Toc24883968"/>
      <w:r w:rsidRPr="001D49D4">
        <w:rPr>
          <w:rFonts w:ascii="Cambria" w:eastAsia="Times New Roman" w:hAnsi="Cambria" w:cs="Arial"/>
          <w:bCs/>
          <w:color w:val="548DD4" w:themeColor="text2" w:themeTint="99"/>
          <w:sz w:val="26"/>
          <w:szCs w:val="26"/>
          <w:rtl/>
        </w:rPr>
        <w:t>סעיף לד: היה יודע לו עדות בשטר עד שלא נעשה גזלן, ונעשה גזלן.</w:t>
      </w:r>
      <w:bookmarkEnd w:id="535"/>
    </w:p>
    <w:p w14:paraId="6D39A2B6"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b/>
          <w:bCs/>
          <w:rtl/>
        </w:rPr>
        <w:t>בבא בתרא</w:t>
      </w:r>
      <w:r w:rsidRPr="001D49D4">
        <w:rPr>
          <w:rFonts w:ascii="Calibri" w:eastAsia="Calibri" w:hAnsi="Calibri" w:cs="Arial"/>
          <w:b/>
          <w:bCs/>
          <w:sz w:val="16"/>
          <w:szCs w:val="16"/>
          <w:rtl/>
        </w:rPr>
        <w:t xml:space="preserve"> (ס"פ מי שמת) </w:t>
      </w:r>
      <w:r w:rsidRPr="001D49D4">
        <w:rPr>
          <w:rFonts w:ascii="Calibri" w:eastAsia="Calibri" w:hAnsi="Calibri" w:cs="Arial"/>
          <w:b/>
          <w:bCs/>
          <w:rtl/>
        </w:rPr>
        <w:t>קנט</w:t>
      </w:r>
      <w:r w:rsidRPr="001D49D4">
        <w:rPr>
          <w:rFonts w:ascii="Calibri" w:eastAsia="Calibri" w:hAnsi="Calibri" w:cs="Arial"/>
          <w:b/>
          <w:bCs/>
          <w:vertAlign w:val="superscript"/>
          <w:rtl/>
        </w:rPr>
        <w:footnoteReference w:id="3955"/>
      </w:r>
      <w:r w:rsidRPr="001D49D4">
        <w:rPr>
          <w:rFonts w:ascii="Calibri" w:eastAsia="Calibri" w:hAnsi="Calibri" w:cs="Arial"/>
          <w:b/>
          <w:bCs/>
          <w:rtl/>
        </w:rPr>
        <w:t xml:space="preserve"> ע"א: </w:t>
      </w:r>
      <w:r w:rsidRPr="001D49D4">
        <w:rPr>
          <w:rFonts w:ascii="Calibri" w:eastAsia="Calibri" w:hAnsi="Calibri" w:cs="Arial"/>
          <w:rtl/>
        </w:rPr>
        <w:t>היה יודע לו עדות בשטר עד שלא נעשה גזלן, ונעשה גזלן - הוא אינו מעיד על כתב ידו, אבל אחרים מעידין. השתא איהו לא מהימן, אחריני מהימני</w:t>
      </w:r>
      <w:r w:rsidRPr="001D49D4">
        <w:rPr>
          <w:rFonts w:ascii="Calibri" w:eastAsia="Calibri" w:hAnsi="Calibri" w:cs="Arial"/>
          <w:vertAlign w:val="superscript"/>
          <w:rtl/>
        </w:rPr>
        <w:footnoteReference w:id="3956"/>
      </w:r>
      <w:r w:rsidRPr="001D49D4">
        <w:rPr>
          <w:rFonts w:ascii="Calibri" w:eastAsia="Calibri" w:hAnsi="Calibri" w:cs="Arial"/>
          <w:rtl/>
        </w:rPr>
        <w:t xml:space="preserve">?... מאי קושיא? דלמא כגון שהוחזק כתב ידו בב"ד! </w:t>
      </w:r>
    </w:p>
    <w:p w14:paraId="57240F89" w14:textId="77777777" w:rsidR="001D49D4" w:rsidRPr="001D49D4" w:rsidRDefault="001D49D4" w:rsidP="0004348D">
      <w:pPr>
        <w:spacing w:before="360" w:after="240"/>
        <w:rPr>
          <w:rFonts w:ascii="Calibri" w:eastAsia="Calibri" w:hAnsi="Calibri" w:cs="Arial"/>
          <w:u w:val="single"/>
          <w:rtl/>
        </w:rPr>
      </w:pPr>
      <w:r w:rsidRPr="001D49D4">
        <w:rPr>
          <w:rFonts w:ascii="Calibri" w:eastAsia="Calibri" w:hAnsi="Calibri" w:cs="Arial"/>
          <w:u w:val="single"/>
          <w:rtl/>
        </w:rPr>
        <w:t>כיצד יש לפרש את תירוץ הגמרא 'כגון שהוחזק כתב ידו בבית דין':</w:t>
      </w:r>
    </w:p>
    <w:p w14:paraId="1D74D882" w14:textId="77777777" w:rsidR="001D49D4" w:rsidRPr="001D49D4" w:rsidRDefault="001D49D4" w:rsidP="0004348D">
      <w:pPr>
        <w:numPr>
          <w:ilvl w:val="0"/>
          <w:numId w:val="281"/>
        </w:numPr>
        <w:spacing w:before="360" w:after="240"/>
        <w:contextualSpacing/>
        <w:rPr>
          <w:rtl/>
        </w:rPr>
      </w:pPr>
      <w:r w:rsidRPr="001D49D4">
        <w:rPr>
          <w:rtl/>
        </w:rPr>
        <w:t>רשב"ם</w:t>
      </w:r>
      <w:r w:rsidRPr="001D49D4">
        <w:rPr>
          <w:sz w:val="16"/>
          <w:szCs w:val="16"/>
          <w:rtl/>
        </w:rPr>
        <w:t xml:space="preserve"> (ד"ה כגון שהוחזק)</w:t>
      </w:r>
      <w:r w:rsidRPr="001D49D4">
        <w:rPr>
          <w:rtl/>
        </w:rPr>
        <w:t>- כגון שהוחזק בהנפק בבית דין בטרם היותו גזלן. דהשתא אלו מעידין שחתמו בהנפק זה וקיימו השטר מקמי דהוי הא גברא גזלן, וההיא שעתא היה הוא נאמן לומר זה כתב ידי</w:t>
      </w:r>
      <w:r w:rsidRPr="001D49D4">
        <w:rPr>
          <w:vertAlign w:val="superscript"/>
          <w:rtl/>
        </w:rPr>
        <w:footnoteReference w:id="3957"/>
      </w:r>
      <w:r w:rsidRPr="001D49D4">
        <w:rPr>
          <w:rtl/>
        </w:rPr>
        <w:t xml:space="preserve">. </w:t>
      </w:r>
    </w:p>
    <w:p w14:paraId="26A2AF9F" w14:textId="77777777" w:rsidR="001D49D4" w:rsidRPr="001D49D4" w:rsidRDefault="001D49D4" w:rsidP="0004348D">
      <w:pPr>
        <w:numPr>
          <w:ilvl w:val="0"/>
          <w:numId w:val="281"/>
        </w:numPr>
        <w:spacing w:before="360" w:after="240"/>
        <w:contextualSpacing/>
        <w:rPr>
          <w:rtl/>
        </w:rPr>
      </w:pPr>
      <w:r w:rsidRPr="001D49D4">
        <w:rPr>
          <w:rtl/>
        </w:rPr>
        <w:t xml:space="preserve">רי"ף </w:t>
      </w:r>
      <w:r w:rsidRPr="001D49D4">
        <w:rPr>
          <w:sz w:val="16"/>
          <w:szCs w:val="16"/>
          <w:rtl/>
        </w:rPr>
        <w:t xml:space="preserve">(סנהדרין ז.) </w:t>
      </w:r>
      <w:r w:rsidRPr="001D49D4">
        <w:rPr>
          <w:rtl/>
        </w:rPr>
        <w:t xml:space="preserve">ר"י </w:t>
      </w:r>
      <w:r w:rsidRPr="001D49D4">
        <w:rPr>
          <w:sz w:val="16"/>
          <w:szCs w:val="16"/>
          <w:rtl/>
        </w:rPr>
        <w:t>(בתוס' ד"ה כגון שהוחזק)</w:t>
      </w:r>
      <w:r w:rsidRPr="001D49D4">
        <w:rPr>
          <w:rtl/>
        </w:rPr>
        <w:t xml:space="preserve"> רמב"ם </w:t>
      </w:r>
      <w:r w:rsidRPr="001D49D4">
        <w:rPr>
          <w:sz w:val="16"/>
          <w:szCs w:val="16"/>
          <w:rtl/>
        </w:rPr>
        <w:t xml:space="preserve">(פי"ד מהל' עדות ה"ה) </w:t>
      </w:r>
      <w:r w:rsidRPr="001D49D4">
        <w:rPr>
          <w:rtl/>
        </w:rPr>
        <w:t xml:space="preserve">ורא"ש </w:t>
      </w:r>
      <w:r w:rsidRPr="001D49D4">
        <w:rPr>
          <w:sz w:val="16"/>
          <w:szCs w:val="16"/>
          <w:rtl/>
        </w:rPr>
        <w:t>(סי' כ)</w:t>
      </w:r>
      <w:r w:rsidRPr="001D49D4">
        <w:rPr>
          <w:rtl/>
        </w:rPr>
        <w:t xml:space="preserve">- </w:t>
      </w:r>
      <w:r w:rsidRPr="001D49D4">
        <w:rPr>
          <w:vertAlign w:val="superscript"/>
          <w:rtl/>
        </w:rPr>
        <w:footnoteReference w:id="3958"/>
      </w:r>
      <w:r w:rsidRPr="001D49D4">
        <w:rPr>
          <w:rtl/>
        </w:rPr>
        <w:t>שהוחזק כתב ידו שבשטר זה בבית דין קודם שיעשה גזלן</w:t>
      </w:r>
      <w:r w:rsidRPr="001D49D4">
        <w:rPr>
          <w:sz w:val="16"/>
          <w:szCs w:val="16"/>
          <w:rtl/>
        </w:rPr>
        <w:t xml:space="preserve"> (ל' הרמב"ם)</w:t>
      </w:r>
      <w:r w:rsidRPr="001D49D4">
        <w:rPr>
          <w:rtl/>
        </w:rPr>
        <w:t>.</w:t>
      </w:r>
      <w:r w:rsidRPr="001D49D4">
        <w:rPr>
          <w:color w:val="E36C0A" w:themeColor="accent6" w:themeShade="BF"/>
          <w:rtl/>
        </w:rPr>
        <w:t xml:space="preserve"> (וכ"פ בשו"ע)</w:t>
      </w:r>
    </w:p>
    <w:p w14:paraId="4A3829AC" w14:textId="77777777" w:rsidR="001D49D4" w:rsidRPr="001D49D4" w:rsidRDefault="001D49D4" w:rsidP="0004348D">
      <w:pPr>
        <w:spacing w:before="360" w:after="240"/>
        <w:ind w:left="360"/>
        <w:rPr>
          <w:rFonts w:ascii="Calibri" w:eastAsia="Calibri" w:hAnsi="Calibri" w:cs="Arial"/>
          <w:u w:val="dotted"/>
        </w:rPr>
      </w:pPr>
      <w:r w:rsidRPr="001D49D4">
        <w:rPr>
          <w:rFonts w:ascii="Calibri" w:eastAsia="Calibri" w:hAnsi="Calibri" w:cs="Arial"/>
          <w:u w:val="dotted"/>
          <w:rtl/>
        </w:rPr>
        <w:t>האם אמרינן כן אף בעד זומם:</w:t>
      </w:r>
    </w:p>
    <w:p w14:paraId="67A38D30" w14:textId="77777777" w:rsidR="001D49D4" w:rsidRPr="001D49D4" w:rsidRDefault="001D49D4" w:rsidP="0004348D">
      <w:pPr>
        <w:numPr>
          <w:ilvl w:val="0"/>
          <w:numId w:val="281"/>
        </w:numPr>
        <w:spacing w:before="360" w:after="240"/>
        <w:contextualSpacing/>
        <w:rPr>
          <w:rtl/>
        </w:rPr>
      </w:pPr>
      <w:r w:rsidRPr="001D49D4">
        <w:rPr>
          <w:rtl/>
        </w:rPr>
        <w:t xml:space="preserve">רי"ו </w:t>
      </w:r>
      <w:r w:rsidRPr="001D49D4">
        <w:rPr>
          <w:sz w:val="16"/>
          <w:szCs w:val="16"/>
          <w:rtl/>
        </w:rPr>
        <w:t>(מישרים ח"ו נ"ב יג ע"ג)</w:t>
      </w:r>
      <w:r w:rsidRPr="001D49D4">
        <w:rPr>
          <w:rtl/>
        </w:rPr>
        <w:t>- כן הדין בעד זומם שאם לא הוחזק כתב ידו בב"ד קודם פסולו חוששין שמא לאחר פסולו כתב והקדים הזמן. וכתבו התוס' יש להסתפק אם נפסל בשאר עבירות שאינן חמס אם חוששין לכך.</w:t>
      </w:r>
    </w:p>
    <w:p w14:paraId="086C6540" w14:textId="77777777" w:rsidR="001D49D4" w:rsidRPr="001D49D4" w:rsidRDefault="001D49D4" w:rsidP="0004348D">
      <w:pPr>
        <w:spacing w:before="360" w:after="240"/>
        <w:ind w:left="360"/>
        <w:rPr>
          <w:rFonts w:ascii="Calibri" w:eastAsia="Calibri" w:hAnsi="Calibri" w:cs="Arial"/>
          <w:u w:val="dotted"/>
          <w:rtl/>
        </w:rPr>
      </w:pPr>
      <w:r w:rsidRPr="001D49D4">
        <w:rPr>
          <w:rFonts w:ascii="Calibri" w:eastAsia="Calibri" w:hAnsi="Calibri" w:cs="Arial"/>
          <w:u w:val="dotted"/>
          <w:rtl/>
        </w:rPr>
        <w:t>האם צריך שדוקא בית דין יראו את כתב ידו או שסגי גם בסתם עדים:</w:t>
      </w:r>
    </w:p>
    <w:p w14:paraId="4174F090" w14:textId="77777777" w:rsidR="001D49D4" w:rsidRPr="001D49D4" w:rsidRDefault="001D49D4" w:rsidP="0004348D">
      <w:pPr>
        <w:numPr>
          <w:ilvl w:val="0"/>
          <w:numId w:val="281"/>
        </w:numPr>
        <w:spacing w:before="360" w:after="240"/>
        <w:contextualSpacing/>
      </w:pPr>
      <w:r w:rsidRPr="001D49D4">
        <w:rPr>
          <w:rtl/>
        </w:rPr>
        <w:t>ב"י- משמע דבית דין לאו דוקא דהוא הדין לראוהו עדים קודם שנעשה גזלן מהני, דתו ליכא למיחש לזיופא. וכן נראה מדברי הטור שסתם וכתב 'וראוהו קודם שנעשה גזלן'.</w:t>
      </w:r>
    </w:p>
    <w:p w14:paraId="3E3D9383" w14:textId="77777777" w:rsidR="001D49D4" w:rsidRPr="001D49D4" w:rsidRDefault="001D49D4" w:rsidP="0004348D">
      <w:pPr>
        <w:spacing w:before="360" w:after="240"/>
        <w:ind w:left="360"/>
        <w:rPr>
          <w:rFonts w:ascii="Calibri" w:eastAsia="Calibri" w:hAnsi="Calibri" w:cs="Arial"/>
          <w:u w:val="dotted"/>
        </w:rPr>
      </w:pPr>
      <w:r w:rsidRPr="001D49D4">
        <w:rPr>
          <w:rFonts w:ascii="Calibri" w:eastAsia="Calibri" w:hAnsi="Calibri" w:cs="Arial"/>
          <w:u w:val="dotted"/>
          <w:rtl/>
        </w:rPr>
        <w:t xml:space="preserve">האם יש לגזלן תקנה בכך שיחתום חתימת ידו אחספא וישליכה בפני ב"ד </w:t>
      </w:r>
      <w:r w:rsidRPr="001D49D4">
        <w:rPr>
          <w:rFonts w:ascii="Calibri" w:eastAsia="Calibri" w:hAnsi="Calibri" w:cs="Arial"/>
          <w:sz w:val="16"/>
          <w:szCs w:val="16"/>
          <w:u w:val="dotted"/>
          <w:rtl/>
        </w:rPr>
        <w:t>(כבסע' יג)</w:t>
      </w:r>
      <w:r w:rsidRPr="001D49D4">
        <w:rPr>
          <w:rFonts w:ascii="Calibri" w:eastAsia="Calibri" w:hAnsi="Calibri" w:cs="Arial"/>
          <w:u w:val="dotted"/>
          <w:rtl/>
        </w:rPr>
        <w:t>:</w:t>
      </w:r>
    </w:p>
    <w:p w14:paraId="5B50E234" w14:textId="77777777" w:rsidR="001D49D4" w:rsidRPr="001D49D4" w:rsidRDefault="001D49D4" w:rsidP="0004348D">
      <w:pPr>
        <w:numPr>
          <w:ilvl w:val="0"/>
          <w:numId w:val="297"/>
        </w:numPr>
        <w:spacing w:before="360" w:after="240"/>
        <w:contextualSpacing/>
        <w:rPr>
          <w:rtl/>
        </w:rPr>
      </w:pPr>
      <w:r w:rsidRPr="001D49D4">
        <w:rPr>
          <w:rtl/>
        </w:rPr>
        <w:t xml:space="preserve">ריטב"א </w:t>
      </w:r>
      <w:r w:rsidRPr="001D49D4">
        <w:rPr>
          <w:sz w:val="16"/>
          <w:szCs w:val="16"/>
          <w:rtl/>
        </w:rPr>
        <w:t>(שם ד"ה גמ')</w:t>
      </w:r>
      <w:r w:rsidRPr="001D49D4">
        <w:rPr>
          <w:rtl/>
        </w:rPr>
        <w:t>- מהא דאמרינן ליכתוב חתימת ידיה אחספא אני אומר שישראל שהיה חתום בשטר ונשתמד ואין לנו מי שיעיד על כתב ידו - ההוא משומד מחזי חתימת ידיה בב"ד ומדמו לה דהא לא חשיבא עדות</w:t>
      </w:r>
      <w:r w:rsidRPr="001D49D4">
        <w:rPr>
          <w:vertAlign w:val="superscript"/>
          <w:rtl/>
        </w:rPr>
        <w:footnoteReference w:id="3959"/>
      </w:r>
      <w:r w:rsidRPr="001D49D4">
        <w:rPr>
          <w:rtl/>
        </w:rPr>
        <w:t xml:space="preserve">. </w:t>
      </w:r>
      <w:r w:rsidRPr="001D49D4">
        <w:rPr>
          <w:color w:val="00B0F0"/>
          <w:rtl/>
        </w:rPr>
        <w:t>(וכ"פ הרמ"א)</w:t>
      </w:r>
    </w:p>
    <w:p w14:paraId="4902C805" w14:textId="77777777" w:rsidR="001D49D4" w:rsidRPr="001D49D4" w:rsidRDefault="001D49D4" w:rsidP="0004348D">
      <w:pPr>
        <w:spacing w:before="360" w:after="240"/>
        <w:rPr>
          <w:rFonts w:ascii="Arial" w:eastAsia="Calibri" w:hAnsi="Arial" w:cs="Arial"/>
          <w:b/>
          <w:bCs/>
          <w:color w:val="000000"/>
          <w:sz w:val="28"/>
          <w:szCs w:val="28"/>
          <w:u w:val="single"/>
        </w:rPr>
      </w:pPr>
      <w:r w:rsidRPr="001D49D4">
        <w:rPr>
          <w:rFonts w:ascii="Arial" w:eastAsia="Calibri" w:hAnsi="Arial" w:cs="Arial"/>
          <w:b/>
          <w:bCs/>
          <w:color w:val="000000"/>
          <w:sz w:val="28"/>
          <w:szCs w:val="28"/>
          <w:u w:val="single"/>
          <w:rtl/>
        </w:rPr>
        <w:t>שו"ע:</w:t>
      </w:r>
    </w:p>
    <w:p w14:paraId="0AC04D93"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rtl/>
        </w:rPr>
        <w:t>חתם השטר קודם שנעשה גזלן</w:t>
      </w:r>
      <w:r w:rsidRPr="001D49D4">
        <w:rPr>
          <w:rFonts w:ascii="Calibri" w:eastAsia="Calibri" w:hAnsi="Calibri" w:cs="Arial"/>
          <w:vertAlign w:val="superscript"/>
          <w:rtl/>
        </w:rPr>
        <w:footnoteReference w:id="3960"/>
      </w:r>
      <w:r w:rsidRPr="001D49D4">
        <w:rPr>
          <w:rFonts w:ascii="Calibri" w:eastAsia="Calibri" w:hAnsi="Calibri" w:cs="Arial"/>
          <w:rtl/>
        </w:rPr>
        <w:t>, ונעשה גזלן, הוא אינו יכול להעיד על כתב ידו, אבל אם אחרים מעידים שמכירים חתימתו וראו חתימתו שבשטר זה קודם שנעשה גזלן</w:t>
      </w:r>
      <w:r w:rsidRPr="001D49D4">
        <w:rPr>
          <w:rFonts w:ascii="Calibri" w:eastAsia="Calibri" w:hAnsi="Calibri" w:cs="Arial"/>
          <w:vertAlign w:val="superscript"/>
          <w:rtl/>
        </w:rPr>
        <w:footnoteReference w:id="3961"/>
      </w:r>
      <w:r w:rsidRPr="001D49D4">
        <w:rPr>
          <w:rFonts w:ascii="Calibri" w:eastAsia="Calibri" w:hAnsi="Calibri" w:cs="Arial"/>
          <w:rtl/>
        </w:rPr>
        <w:t xml:space="preserve">, כשר. אבל אם לא ראוהו עד אחר שנעשה גזלן, לא, דאיכא למיחש שמא עתה זייף וחתם. </w:t>
      </w:r>
      <w:r w:rsidRPr="001D49D4">
        <w:rPr>
          <w:rFonts w:ascii="Calibri" w:eastAsia="Calibri" w:hAnsi="Calibri" w:cs="Arial"/>
          <w:sz w:val="18"/>
          <w:szCs w:val="18"/>
          <w:rtl/>
        </w:rPr>
        <w:t>הגה: ואם אין עדים המכירין חתימתו</w:t>
      </w:r>
      <w:r w:rsidRPr="001D49D4">
        <w:rPr>
          <w:rFonts w:ascii="Calibri" w:eastAsia="Calibri" w:hAnsi="Calibri" w:cs="Arial"/>
          <w:sz w:val="18"/>
          <w:szCs w:val="18"/>
          <w:vertAlign w:val="superscript"/>
          <w:rtl/>
        </w:rPr>
        <w:footnoteReference w:id="3962"/>
      </w:r>
      <w:r w:rsidRPr="001D49D4">
        <w:rPr>
          <w:rFonts w:ascii="Calibri" w:eastAsia="Calibri" w:hAnsi="Calibri" w:cs="Arial"/>
          <w:sz w:val="18"/>
          <w:szCs w:val="18"/>
          <w:rtl/>
        </w:rPr>
        <w:t>, הגזלן כותב חתימתו, ומקיימין ממנה, כמו שנתבאר לעיל סעיף י"ג. והוא הדין אם המיר לעבודת כוכבים לאחר החתימה, דינו כנעשה גזלן (ריטב"א).</w:t>
      </w:r>
      <w:r w:rsidRPr="001D49D4">
        <w:rPr>
          <w:rFonts w:ascii="Calibri" w:eastAsia="Calibri" w:hAnsi="Calibri" w:cs="Arial"/>
          <w:rtl/>
        </w:rPr>
        <w:t xml:space="preserve"> </w:t>
      </w:r>
    </w:p>
    <w:p w14:paraId="0E6CA725" w14:textId="77777777" w:rsidR="001D49D4" w:rsidRPr="001D49D4" w:rsidRDefault="001D49D4" w:rsidP="0004348D">
      <w:pPr>
        <w:spacing w:before="360" w:after="240"/>
        <w:rPr>
          <w:rFonts w:ascii="Calibri" w:eastAsia="Calibri" w:hAnsi="Calibri" w:cs="Arial"/>
          <w:rtl/>
        </w:rPr>
      </w:pPr>
    </w:p>
    <w:p w14:paraId="7954E664" w14:textId="77777777" w:rsidR="001D49D4" w:rsidRPr="001D49D4" w:rsidRDefault="001D49D4" w:rsidP="0004348D">
      <w:pPr>
        <w:keepNext/>
        <w:keepLines/>
        <w:spacing w:before="360" w:after="240"/>
        <w:outlineLvl w:val="1"/>
        <w:rPr>
          <w:rFonts w:ascii="Cambria" w:eastAsia="Times New Roman" w:hAnsi="Cambria" w:cs="Arial"/>
          <w:bCs/>
          <w:color w:val="548DD4" w:themeColor="text2" w:themeTint="99"/>
          <w:sz w:val="26"/>
          <w:szCs w:val="26"/>
          <w:rtl/>
        </w:rPr>
      </w:pPr>
      <w:bookmarkStart w:id="536" w:name="_Toc24883969"/>
      <w:r w:rsidRPr="001D49D4">
        <w:rPr>
          <w:rFonts w:ascii="Cambria" w:eastAsia="Times New Roman" w:hAnsi="Cambria" w:cs="Arial"/>
          <w:bCs/>
          <w:color w:val="548DD4" w:themeColor="text2" w:themeTint="99"/>
          <w:sz w:val="26"/>
          <w:szCs w:val="26"/>
          <w:rtl/>
        </w:rPr>
        <w:t>סעיף לה: היה יודע לו בעדות בשטר עד שלא נעשה חתנו, ונעשה חתנו.</w:t>
      </w:r>
      <w:bookmarkEnd w:id="536"/>
    </w:p>
    <w:p w14:paraId="4917941F" w14:textId="77777777" w:rsidR="001D49D4" w:rsidRPr="001D49D4" w:rsidRDefault="001D49D4" w:rsidP="0004348D">
      <w:pPr>
        <w:spacing w:before="360" w:after="240"/>
        <w:rPr>
          <w:rFonts w:ascii="Calibri" w:eastAsia="Calibri" w:hAnsi="Calibri" w:cs="Arial"/>
          <w:rtl/>
        </w:rPr>
      </w:pPr>
      <w:bookmarkStart w:id="537" w:name="_Hlk14603633"/>
      <w:r w:rsidRPr="001D49D4">
        <w:rPr>
          <w:rFonts w:ascii="Calibri" w:eastAsia="Calibri" w:hAnsi="Calibri" w:cs="Arial"/>
          <w:b/>
          <w:bCs/>
          <w:rtl/>
        </w:rPr>
        <w:t>בבא בתרא</w:t>
      </w:r>
      <w:r w:rsidRPr="001D49D4">
        <w:rPr>
          <w:rFonts w:ascii="Calibri" w:eastAsia="Calibri" w:hAnsi="Calibri" w:cs="Arial"/>
          <w:b/>
          <w:bCs/>
          <w:sz w:val="16"/>
          <w:szCs w:val="16"/>
          <w:rtl/>
        </w:rPr>
        <w:t xml:space="preserve"> (ס"פ מי שמת) </w:t>
      </w:r>
      <w:r w:rsidRPr="001D49D4">
        <w:rPr>
          <w:rFonts w:ascii="Calibri" w:eastAsia="Calibri" w:hAnsi="Calibri" w:cs="Arial"/>
          <w:b/>
          <w:bCs/>
          <w:rtl/>
        </w:rPr>
        <w:t>קנט</w:t>
      </w:r>
      <w:r w:rsidRPr="001D49D4">
        <w:rPr>
          <w:rFonts w:ascii="Calibri" w:eastAsia="Calibri" w:hAnsi="Calibri" w:cs="Arial"/>
          <w:b/>
          <w:bCs/>
          <w:vertAlign w:val="superscript"/>
          <w:rtl/>
        </w:rPr>
        <w:footnoteReference w:id="3963"/>
      </w:r>
      <w:r w:rsidRPr="001D49D4">
        <w:rPr>
          <w:rFonts w:ascii="Calibri" w:eastAsia="Calibri" w:hAnsi="Calibri" w:cs="Arial"/>
          <w:b/>
          <w:bCs/>
          <w:rtl/>
        </w:rPr>
        <w:t xml:space="preserve"> ע"א: </w:t>
      </w:r>
      <w:r w:rsidRPr="001D49D4">
        <w:rPr>
          <w:rFonts w:ascii="Calibri" w:eastAsia="Calibri" w:hAnsi="Calibri" w:cs="Arial"/>
          <w:rtl/>
        </w:rPr>
        <w:t xml:space="preserve">היה יודע לו בעדות עד שלא נעשה חתנו, ונעשה חתנו - הוא אינו מעיד על כתב ידו, אבל אחרים מעידין. הוא לא מהימן, אחריני מהימני? וכי תימא, הכי נמי כגון שהוחזק כתב ידו בב"ד, </w:t>
      </w:r>
      <w:r w:rsidRPr="001D49D4">
        <w:rPr>
          <w:rFonts w:ascii="Calibri" w:eastAsia="Calibri" w:hAnsi="Calibri" w:cs="Arial"/>
          <w:u w:val="single"/>
          <w:rtl/>
        </w:rPr>
        <w:t>והא אמר רב יוסף בר מניומי אמר רב נחמן</w:t>
      </w:r>
      <w:r w:rsidRPr="001D49D4">
        <w:rPr>
          <w:rFonts w:ascii="Calibri" w:eastAsia="Calibri" w:hAnsi="Calibri" w:cs="Arial"/>
          <w:rtl/>
        </w:rPr>
        <w:t>: אף על פי שלא הוחזק כתב ידו בבית דין! ומאי קושיא? דלמא גזירת מלך היא דאיהו לא מהימן ואחריני מהימני, ולאו משום דמשקר! דאי לא תימא הכי, משה ואהרן לחותנם משום דלא מהימני הוא? אלא גזירת מלך הוא שלא יעידו להם, ה"נ גזירת מלך הוא שלא יעיד על כתב ידו לחותנו</w:t>
      </w:r>
      <w:r w:rsidRPr="001D49D4">
        <w:rPr>
          <w:rFonts w:ascii="Calibri" w:eastAsia="Calibri" w:hAnsi="Calibri" w:cs="Arial"/>
          <w:vertAlign w:val="superscript"/>
          <w:rtl/>
        </w:rPr>
        <w:footnoteReference w:id="3964"/>
      </w:r>
      <w:r w:rsidRPr="001D49D4">
        <w:rPr>
          <w:rFonts w:ascii="Calibri" w:eastAsia="Calibri" w:hAnsi="Calibri" w:cs="Arial"/>
          <w:rtl/>
        </w:rPr>
        <w:t xml:space="preserve">! </w:t>
      </w:r>
    </w:p>
    <w:bookmarkEnd w:id="537"/>
    <w:p w14:paraId="289A449A" w14:textId="77777777" w:rsidR="001D49D4" w:rsidRPr="001D49D4" w:rsidRDefault="001D49D4" w:rsidP="0004348D">
      <w:pPr>
        <w:spacing w:before="360" w:after="240"/>
        <w:rPr>
          <w:rFonts w:ascii="Calibri" w:eastAsia="Calibri" w:hAnsi="Calibri" w:cs="Arial"/>
          <w:u w:val="single"/>
          <w:rtl/>
        </w:rPr>
      </w:pPr>
      <w:r w:rsidRPr="001D49D4">
        <w:rPr>
          <w:rFonts w:ascii="Calibri" w:eastAsia="Calibri" w:hAnsi="Calibri" w:cs="Arial"/>
          <w:u w:val="single"/>
          <w:rtl/>
        </w:rPr>
        <w:t xml:space="preserve">היה יודע לו בעדות </w:t>
      </w:r>
      <w:r w:rsidRPr="001D49D4">
        <w:rPr>
          <w:rFonts w:ascii="Calibri" w:eastAsia="Calibri" w:hAnsi="Calibri" w:cs="Arial"/>
          <w:b/>
          <w:bCs/>
          <w:u w:val="single"/>
          <w:rtl/>
        </w:rPr>
        <w:t>בשטר</w:t>
      </w:r>
      <w:r w:rsidRPr="001D49D4">
        <w:rPr>
          <w:rFonts w:ascii="Calibri" w:eastAsia="Calibri" w:hAnsi="Calibri" w:cs="Arial"/>
          <w:u w:val="single"/>
          <w:rtl/>
        </w:rPr>
        <w:t xml:space="preserve"> עד שלא נעשה חתנו, ונעשה חתנו:</w:t>
      </w:r>
    </w:p>
    <w:p w14:paraId="41468B88" w14:textId="77777777" w:rsidR="001D49D4" w:rsidRPr="001D49D4" w:rsidRDefault="001D49D4" w:rsidP="0004348D">
      <w:pPr>
        <w:numPr>
          <w:ilvl w:val="0"/>
          <w:numId w:val="281"/>
        </w:numPr>
        <w:spacing w:before="360" w:after="240"/>
        <w:contextualSpacing/>
        <w:rPr>
          <w:rtl/>
        </w:rPr>
      </w:pPr>
      <w:r w:rsidRPr="001D49D4">
        <w:rPr>
          <w:rtl/>
        </w:rPr>
        <w:t xml:space="preserve">רמב"ם </w:t>
      </w:r>
      <w:r w:rsidRPr="001D49D4">
        <w:rPr>
          <w:sz w:val="16"/>
          <w:szCs w:val="16"/>
          <w:rtl/>
        </w:rPr>
        <w:t xml:space="preserve">(פי"ד ה"ה) </w:t>
      </w:r>
      <w:r w:rsidRPr="001D49D4">
        <w:rPr>
          <w:rtl/>
        </w:rPr>
        <w:t>וטור- חתם בכתב עד שלא נעשה חתנו ונעשה חתנו - הוא אינו יכול להעיד על כתב ידו אבל אחרים מעידין עליה אפילו לא ראוהו עד שנעשה חתנו, שזה אינו חשוד לזייף, שאינו פסול רק מחמת קורבא</w:t>
      </w:r>
      <w:r w:rsidRPr="001D49D4">
        <w:rPr>
          <w:sz w:val="16"/>
          <w:szCs w:val="16"/>
          <w:rtl/>
        </w:rPr>
        <w:t xml:space="preserve"> (ל' הטור)</w:t>
      </w:r>
      <w:r w:rsidRPr="001D49D4">
        <w:rPr>
          <w:vertAlign w:val="superscript"/>
          <w:rtl/>
        </w:rPr>
        <w:footnoteReference w:id="3965"/>
      </w:r>
      <w:r w:rsidRPr="001D49D4">
        <w:rPr>
          <w:rtl/>
        </w:rPr>
        <w:t>.</w:t>
      </w:r>
      <w:r w:rsidRPr="001D49D4">
        <w:rPr>
          <w:color w:val="E36C0A" w:themeColor="accent6" w:themeShade="BF"/>
          <w:rtl/>
        </w:rPr>
        <w:t xml:space="preserve"> (וכ"ס בשו"ע)</w:t>
      </w:r>
    </w:p>
    <w:p w14:paraId="4A63B41A" w14:textId="77777777" w:rsidR="001D49D4" w:rsidRPr="001D49D4" w:rsidRDefault="001D49D4" w:rsidP="0004348D">
      <w:pPr>
        <w:numPr>
          <w:ilvl w:val="0"/>
          <w:numId w:val="281"/>
        </w:numPr>
        <w:spacing w:before="360" w:after="240"/>
        <w:contextualSpacing/>
      </w:pPr>
      <w:r w:rsidRPr="001D49D4">
        <w:rPr>
          <w:rtl/>
        </w:rPr>
        <w:t xml:space="preserve">רי"ף </w:t>
      </w:r>
      <w:r w:rsidRPr="001D49D4">
        <w:rPr>
          <w:sz w:val="16"/>
          <w:szCs w:val="16"/>
          <w:rtl/>
        </w:rPr>
        <w:t>(יבמות פרק ארבעה אחין ט. מדפה"ר, כ"כ הב"י בשמו כאן ובסוף סע' לז)</w:t>
      </w:r>
      <w:r w:rsidRPr="001D49D4">
        <w:rPr>
          <w:rtl/>
        </w:rPr>
        <w:t>- הוא אינו יכול להעיד על כתב ידו אבל אחרים מעידין עליה אפילו לא ראוהו עד שנעשה חתנו, והיינו דוקא כשהשטר יוצא מתחת יד אחר, אבל ביוצא מיד העדים לא הוה ליה כמי שנחקרה עדותן, ואם בעת שמוציאין השטר הם קרובים השטר פסול.</w:t>
      </w:r>
    </w:p>
    <w:p w14:paraId="6E011F29" w14:textId="77777777" w:rsidR="001D49D4" w:rsidRPr="001D49D4" w:rsidRDefault="001D49D4" w:rsidP="0004348D">
      <w:pPr>
        <w:spacing w:before="360" w:after="240"/>
        <w:rPr>
          <w:rFonts w:ascii="Calibri" w:eastAsia="Calibri" w:hAnsi="Calibri" w:cs="Arial"/>
          <w:sz w:val="16"/>
          <w:szCs w:val="16"/>
          <w:u w:val="single"/>
        </w:rPr>
      </w:pPr>
      <w:r w:rsidRPr="001D49D4">
        <w:rPr>
          <w:rFonts w:ascii="Calibri" w:eastAsia="Calibri" w:hAnsi="Calibri" w:cs="Arial"/>
          <w:u w:val="single"/>
          <w:rtl/>
        </w:rPr>
        <w:t xml:space="preserve">היה יודע לו עדות </w:t>
      </w:r>
      <w:r w:rsidRPr="001D49D4">
        <w:rPr>
          <w:rFonts w:ascii="Calibri" w:eastAsia="Calibri" w:hAnsi="Calibri" w:cs="Arial"/>
          <w:b/>
          <w:bCs/>
          <w:u w:val="single"/>
          <w:rtl/>
        </w:rPr>
        <w:t xml:space="preserve">על פה </w:t>
      </w:r>
      <w:r w:rsidRPr="001D49D4">
        <w:rPr>
          <w:rFonts w:ascii="Calibri" w:eastAsia="Calibri" w:hAnsi="Calibri" w:cs="Arial"/>
          <w:u w:val="single"/>
          <w:rtl/>
        </w:rPr>
        <w:t>בקנין עד שלא נעשה חתנו ונעשה חתנו – האם יכול לחתום על עדותו בשטר:</w:t>
      </w:r>
      <w:r w:rsidRPr="001D49D4">
        <w:rPr>
          <w:rFonts w:ascii="Calibri" w:eastAsia="Calibri" w:hAnsi="Calibri" w:cs="Arial"/>
          <w:sz w:val="16"/>
          <w:szCs w:val="16"/>
          <w:rtl/>
        </w:rPr>
        <w:t xml:space="preserve">  (דרכ"מ אות יא)</w:t>
      </w:r>
    </w:p>
    <w:p w14:paraId="3C15604E" w14:textId="77777777" w:rsidR="001D49D4" w:rsidRPr="001D49D4" w:rsidRDefault="001D49D4" w:rsidP="0004348D">
      <w:pPr>
        <w:numPr>
          <w:ilvl w:val="0"/>
          <w:numId w:val="281"/>
        </w:numPr>
        <w:spacing w:before="360" w:after="240"/>
        <w:contextualSpacing/>
      </w:pPr>
      <w:r w:rsidRPr="001D49D4">
        <w:rPr>
          <w:rtl/>
        </w:rPr>
        <w:t>ב"י</w:t>
      </w:r>
      <w:r w:rsidRPr="001D49D4">
        <w:rPr>
          <w:sz w:val="16"/>
          <w:szCs w:val="16"/>
          <w:rtl/>
        </w:rPr>
        <w:t xml:space="preserve"> (סי' לג מחו' ז)</w:t>
      </w:r>
      <w:r w:rsidRPr="001D49D4">
        <w:rPr>
          <w:rtl/>
        </w:rPr>
        <w:t>- היה יודע לו עדות על פה בקנין עד שלא נעשה חתנו - אינו חותם משנעשה חתנו.</w:t>
      </w:r>
    </w:p>
    <w:p w14:paraId="1B1C6648" w14:textId="77777777" w:rsidR="001D49D4" w:rsidRPr="001D49D4" w:rsidRDefault="001D49D4" w:rsidP="0004348D">
      <w:pPr>
        <w:spacing w:before="360" w:after="240"/>
        <w:rPr>
          <w:rFonts w:ascii="Arial" w:eastAsia="Calibri" w:hAnsi="Arial" w:cs="Arial"/>
          <w:b/>
          <w:bCs/>
          <w:color w:val="000000"/>
          <w:sz w:val="28"/>
          <w:szCs w:val="28"/>
          <w:u w:val="single"/>
          <w:rtl/>
        </w:rPr>
      </w:pPr>
      <w:r w:rsidRPr="001D49D4">
        <w:rPr>
          <w:rFonts w:ascii="Arial" w:eastAsia="Calibri" w:hAnsi="Arial" w:cs="Arial"/>
          <w:b/>
          <w:bCs/>
          <w:color w:val="000000"/>
          <w:sz w:val="28"/>
          <w:szCs w:val="28"/>
          <w:u w:val="single"/>
          <w:rtl/>
        </w:rPr>
        <w:t>שו"ע:</w:t>
      </w:r>
    </w:p>
    <w:p w14:paraId="2B8C98BF"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rtl/>
        </w:rPr>
        <w:t>חתם בשטר עד שלא נעשה חתנו, ונעשה חתנו, הוא אינו יכול להעיד על כתב ידו, אבל אחרים מעידים שמכירים חתימתו, אפילו לא ראוהו עד שנעשה חתנו</w:t>
      </w:r>
      <w:r w:rsidRPr="001D49D4">
        <w:rPr>
          <w:rFonts w:ascii="Calibri" w:eastAsia="Calibri" w:hAnsi="Calibri" w:cs="Arial"/>
          <w:vertAlign w:val="superscript"/>
          <w:rtl/>
        </w:rPr>
        <w:footnoteReference w:id="3966"/>
      </w:r>
      <w:r w:rsidRPr="001D49D4">
        <w:rPr>
          <w:rFonts w:ascii="Calibri" w:eastAsia="Calibri" w:hAnsi="Calibri" w:cs="Arial"/>
          <w:rtl/>
        </w:rPr>
        <w:t xml:space="preserve">. ויש מי שאומר דהיינו דוקא כשהשטר יוצא מתחת יד אחר, אבל אם יוצא מתחת יד העדים, לא. </w:t>
      </w:r>
    </w:p>
    <w:p w14:paraId="4BCCA0E4" w14:textId="77777777" w:rsidR="001D49D4" w:rsidRPr="001D49D4" w:rsidRDefault="001D49D4" w:rsidP="0004348D">
      <w:pPr>
        <w:spacing w:before="360" w:after="240"/>
        <w:rPr>
          <w:rFonts w:ascii="Calibri" w:eastAsia="Calibri" w:hAnsi="Calibri" w:cs="Arial"/>
          <w:rtl/>
        </w:rPr>
      </w:pPr>
    </w:p>
    <w:p w14:paraId="04452BF0" w14:textId="77777777" w:rsidR="001D49D4" w:rsidRPr="001D49D4" w:rsidRDefault="001D49D4" w:rsidP="0004348D">
      <w:pPr>
        <w:keepNext/>
        <w:keepLines/>
        <w:spacing w:before="360" w:after="240"/>
        <w:outlineLvl w:val="1"/>
        <w:rPr>
          <w:rFonts w:ascii="Cambria" w:eastAsia="Times New Roman" w:hAnsi="Cambria" w:cs="Arial"/>
          <w:bCs/>
          <w:color w:val="548DD4" w:themeColor="text2" w:themeTint="99"/>
          <w:sz w:val="26"/>
          <w:szCs w:val="26"/>
          <w:rtl/>
        </w:rPr>
      </w:pPr>
      <w:bookmarkStart w:id="539" w:name="_Toc24883970"/>
      <w:r w:rsidRPr="001D49D4">
        <w:rPr>
          <w:rFonts w:ascii="Cambria" w:eastAsia="Times New Roman" w:hAnsi="Cambria" w:cs="Arial"/>
          <w:bCs/>
          <w:color w:val="548DD4" w:themeColor="text2" w:themeTint="99"/>
          <w:sz w:val="26"/>
          <w:szCs w:val="26"/>
          <w:rtl/>
        </w:rPr>
        <w:t>סעיף לו: חתם כשהיה בריא ונשתתק.</w:t>
      </w:r>
      <w:bookmarkEnd w:id="539"/>
    </w:p>
    <w:p w14:paraId="6CB3593F" w14:textId="77777777" w:rsidR="001D49D4" w:rsidRPr="001D49D4" w:rsidRDefault="001D49D4" w:rsidP="0004348D">
      <w:pPr>
        <w:spacing w:before="360" w:after="240"/>
        <w:rPr>
          <w:rFonts w:ascii="Calibri" w:eastAsia="Calibri" w:hAnsi="Calibri" w:cs="Arial"/>
          <w:u w:val="single"/>
          <w:rtl/>
        </w:rPr>
      </w:pPr>
      <w:r w:rsidRPr="001D49D4">
        <w:rPr>
          <w:rFonts w:ascii="Calibri" w:eastAsia="Calibri" w:hAnsi="Calibri" w:cs="Arial"/>
          <w:u w:val="single"/>
          <w:rtl/>
        </w:rPr>
        <w:t>חתם כשהיה בריא ונשתתק:</w:t>
      </w:r>
    </w:p>
    <w:p w14:paraId="3773B588" w14:textId="77777777" w:rsidR="001D49D4" w:rsidRPr="001D49D4" w:rsidRDefault="001D49D4" w:rsidP="0004348D">
      <w:pPr>
        <w:numPr>
          <w:ilvl w:val="0"/>
          <w:numId w:val="281"/>
        </w:numPr>
        <w:spacing w:before="360" w:after="240"/>
        <w:contextualSpacing/>
        <w:rPr>
          <w:rtl/>
        </w:rPr>
      </w:pPr>
      <w:r w:rsidRPr="001D49D4">
        <w:rPr>
          <w:rtl/>
        </w:rPr>
        <w:t xml:space="preserve">רא"ש </w:t>
      </w:r>
      <w:r w:rsidRPr="001D49D4">
        <w:rPr>
          <w:sz w:val="16"/>
          <w:szCs w:val="16"/>
          <w:rtl/>
        </w:rPr>
        <w:t>(ר"פ מי שאחזו גיטין סי' ב)</w:t>
      </w:r>
      <w:r w:rsidRPr="001D49D4">
        <w:rPr>
          <w:rtl/>
        </w:rPr>
        <w:t xml:space="preserve"> וטור- חתם כשהיה בריא ונשתתק - הוא אינו יכול להעיד על כתב ידו אבל אחרים מעידין עליה. </w:t>
      </w:r>
      <w:r w:rsidRPr="001D49D4">
        <w:rPr>
          <w:color w:val="E36C0A" w:themeColor="accent6" w:themeShade="BF"/>
          <w:rtl/>
        </w:rPr>
        <w:t>(וכ"פ בשו"ע)</w:t>
      </w:r>
    </w:p>
    <w:p w14:paraId="6D07EEC1" w14:textId="77777777" w:rsidR="001D49D4" w:rsidRPr="001D49D4" w:rsidRDefault="001D49D4" w:rsidP="0004348D">
      <w:pPr>
        <w:spacing w:before="360" w:after="240"/>
        <w:rPr>
          <w:rFonts w:ascii="Arial" w:eastAsia="Calibri" w:hAnsi="Arial" w:cs="Arial"/>
          <w:b/>
          <w:bCs/>
          <w:color w:val="000000"/>
          <w:sz w:val="28"/>
          <w:szCs w:val="28"/>
          <w:u w:val="single"/>
          <w:rtl/>
        </w:rPr>
      </w:pPr>
      <w:r w:rsidRPr="001D49D4">
        <w:rPr>
          <w:rFonts w:ascii="Arial" w:eastAsia="Calibri" w:hAnsi="Arial" w:cs="Arial"/>
          <w:b/>
          <w:bCs/>
          <w:color w:val="000000"/>
          <w:sz w:val="28"/>
          <w:szCs w:val="28"/>
          <w:u w:val="single"/>
          <w:rtl/>
        </w:rPr>
        <w:t>שו"ע:</w:t>
      </w:r>
    </w:p>
    <w:p w14:paraId="645F65D6"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rtl/>
        </w:rPr>
        <w:t>חתם כשהיה בריא</w:t>
      </w:r>
      <w:r w:rsidRPr="001D49D4">
        <w:rPr>
          <w:rFonts w:ascii="Calibri" w:eastAsia="Calibri" w:hAnsi="Calibri" w:cs="Arial"/>
          <w:vertAlign w:val="superscript"/>
          <w:rtl/>
        </w:rPr>
        <w:footnoteReference w:id="3967"/>
      </w:r>
      <w:r w:rsidRPr="001D49D4">
        <w:rPr>
          <w:rFonts w:ascii="Calibri" w:eastAsia="Calibri" w:hAnsi="Calibri" w:cs="Arial"/>
          <w:rtl/>
        </w:rPr>
        <w:t xml:space="preserve"> ונשתתק, הוא אינו יכול להעיד</w:t>
      </w:r>
      <w:r w:rsidRPr="001D49D4">
        <w:rPr>
          <w:rFonts w:ascii="Calibri" w:eastAsia="Calibri" w:hAnsi="Calibri" w:cs="Arial"/>
          <w:vertAlign w:val="superscript"/>
          <w:rtl/>
        </w:rPr>
        <w:footnoteReference w:id="3968"/>
      </w:r>
      <w:r w:rsidRPr="001D49D4">
        <w:rPr>
          <w:rFonts w:ascii="Calibri" w:eastAsia="Calibri" w:hAnsi="Calibri" w:cs="Arial"/>
          <w:rtl/>
        </w:rPr>
        <w:t xml:space="preserve"> על כתב ידו, אבל אחרים מעידים עליה</w:t>
      </w:r>
      <w:r w:rsidRPr="001D49D4">
        <w:rPr>
          <w:rFonts w:ascii="Calibri" w:eastAsia="Calibri" w:hAnsi="Calibri" w:cs="Arial"/>
          <w:vertAlign w:val="superscript"/>
          <w:rtl/>
        </w:rPr>
        <w:footnoteReference w:id="3969"/>
      </w:r>
      <w:r w:rsidRPr="001D49D4">
        <w:rPr>
          <w:rFonts w:ascii="Calibri" w:eastAsia="Calibri" w:hAnsi="Calibri" w:cs="Arial"/>
          <w:rtl/>
        </w:rPr>
        <w:t xml:space="preserve">. </w:t>
      </w:r>
    </w:p>
    <w:p w14:paraId="3AD2A92B" w14:textId="77777777" w:rsidR="001D49D4" w:rsidRPr="001D49D4" w:rsidRDefault="001D49D4" w:rsidP="0004348D">
      <w:pPr>
        <w:spacing w:before="360" w:after="240"/>
        <w:rPr>
          <w:rFonts w:ascii="Calibri" w:eastAsia="Calibri" w:hAnsi="Calibri" w:cs="Arial"/>
          <w:rtl/>
        </w:rPr>
      </w:pPr>
    </w:p>
    <w:p w14:paraId="3EB0BC13" w14:textId="77777777" w:rsidR="001D49D4" w:rsidRPr="001D49D4" w:rsidRDefault="001D49D4" w:rsidP="0004348D">
      <w:pPr>
        <w:keepNext/>
        <w:keepLines/>
        <w:spacing w:before="360" w:after="240"/>
        <w:outlineLvl w:val="1"/>
        <w:rPr>
          <w:rFonts w:ascii="Cambria" w:eastAsia="Times New Roman" w:hAnsi="Cambria" w:cs="Arial"/>
          <w:bCs/>
          <w:color w:val="548DD4" w:themeColor="text2" w:themeTint="99"/>
          <w:sz w:val="26"/>
          <w:szCs w:val="26"/>
          <w:rtl/>
        </w:rPr>
      </w:pPr>
      <w:bookmarkStart w:id="540" w:name="_Toc24883971"/>
      <w:r w:rsidRPr="001D49D4">
        <w:rPr>
          <w:rFonts w:ascii="Cambria" w:eastAsia="Times New Roman" w:hAnsi="Cambria" w:cs="Arial"/>
          <w:bCs/>
          <w:color w:val="548DD4" w:themeColor="text2" w:themeTint="99"/>
          <w:sz w:val="26"/>
          <w:szCs w:val="26"/>
          <w:rtl/>
        </w:rPr>
        <w:t>סעיף לז: עדים החתומים על השטר ומתו או שאין כתב ידם יוצא ממקום אחר.</w:t>
      </w:r>
      <w:bookmarkEnd w:id="540"/>
    </w:p>
    <w:p w14:paraId="1D2BFC7F" w14:textId="77777777" w:rsidR="001D49D4" w:rsidRPr="001D49D4" w:rsidRDefault="001D49D4" w:rsidP="0004348D">
      <w:pPr>
        <w:spacing w:before="360" w:after="240"/>
        <w:rPr>
          <w:rFonts w:ascii="Calibri" w:eastAsia="Calibri" w:hAnsi="Calibri" w:cs="Arial"/>
          <w:rtl/>
        </w:rPr>
      </w:pPr>
      <w:bookmarkStart w:id="541" w:name="_Hlk14605169"/>
      <w:r w:rsidRPr="001D49D4">
        <w:rPr>
          <w:rFonts w:ascii="Calibri" w:eastAsia="Calibri" w:hAnsi="Calibri" w:cs="Arial"/>
          <w:b/>
          <w:bCs/>
          <w:rtl/>
        </w:rPr>
        <w:t xml:space="preserve">כתובות </w:t>
      </w:r>
      <w:r w:rsidRPr="001D49D4">
        <w:rPr>
          <w:rFonts w:ascii="Calibri" w:eastAsia="Calibri" w:hAnsi="Calibri" w:cs="Arial"/>
          <w:b/>
          <w:bCs/>
          <w:sz w:val="16"/>
          <w:szCs w:val="16"/>
          <w:rtl/>
        </w:rPr>
        <w:t>(פ"ב)</w:t>
      </w:r>
      <w:r w:rsidRPr="001D49D4">
        <w:rPr>
          <w:rFonts w:ascii="Calibri" w:eastAsia="Calibri" w:hAnsi="Calibri" w:cs="Arial"/>
          <w:b/>
          <w:bCs/>
          <w:rtl/>
        </w:rPr>
        <w:t xml:space="preserve"> יט</w:t>
      </w:r>
      <w:r w:rsidRPr="001D49D4">
        <w:rPr>
          <w:rFonts w:ascii="Calibri" w:eastAsia="Calibri" w:hAnsi="Calibri" w:cs="Arial"/>
          <w:b/>
          <w:bCs/>
          <w:vertAlign w:val="superscript"/>
          <w:rtl/>
        </w:rPr>
        <w:footnoteReference w:id="3970"/>
      </w:r>
      <w:r w:rsidRPr="001D49D4">
        <w:rPr>
          <w:rFonts w:ascii="Calibri" w:eastAsia="Calibri" w:hAnsi="Calibri" w:cs="Arial"/>
          <w:b/>
          <w:bCs/>
          <w:rtl/>
        </w:rPr>
        <w:t xml:space="preserve"> ע"ב:</w:t>
      </w:r>
      <w:r w:rsidRPr="001D49D4">
        <w:rPr>
          <w:rFonts w:ascii="Calibri" w:eastAsia="Calibri" w:hAnsi="Calibri" w:cs="Arial"/>
          <w:rtl/>
        </w:rPr>
        <w:t xml:space="preserve"> ת"ר: שנים חתומין על השטר ומתו, ובאו שנים מן השוק ואמרו ידענו שכתב ידם הוא, אבל אנוסים היו, קטנים היו, פסולי עדות</w:t>
      </w:r>
      <w:r w:rsidRPr="001D49D4">
        <w:rPr>
          <w:rFonts w:ascii="Calibri" w:eastAsia="Calibri" w:hAnsi="Calibri" w:cs="Arial"/>
          <w:vertAlign w:val="superscript"/>
          <w:rtl/>
        </w:rPr>
        <w:footnoteReference w:id="3971"/>
      </w:r>
      <w:r w:rsidRPr="001D49D4">
        <w:rPr>
          <w:rFonts w:ascii="Calibri" w:eastAsia="Calibri" w:hAnsi="Calibri" w:cs="Arial"/>
          <w:rtl/>
        </w:rPr>
        <w:t xml:space="preserve"> היו - הרי אלו נאמנים. ואם יש עדים שכתב ידם הוא זה, או שהיה כתב ידם יוצא ממקום אחר משטר שקרא עליו ערער והוחזק בב"ד - אין אלו נאמנין. ומגבינן ביה כבשטרא מעליא? ואמאי? תרי ותרי נינהו!... </w:t>
      </w:r>
      <w:r w:rsidRPr="001D49D4">
        <w:rPr>
          <w:rFonts w:ascii="Calibri" w:eastAsia="Calibri" w:hAnsi="Calibri" w:cs="Arial"/>
          <w:sz w:val="14"/>
          <w:szCs w:val="14"/>
          <w:rtl/>
        </w:rPr>
        <w:t>(כ.)</w:t>
      </w:r>
      <w:r w:rsidRPr="001D49D4">
        <w:rPr>
          <w:rFonts w:ascii="Calibri" w:eastAsia="Calibri" w:hAnsi="Calibri" w:cs="Arial"/>
          <w:rtl/>
        </w:rPr>
        <w:t xml:space="preserve"> </w:t>
      </w:r>
      <w:r w:rsidRPr="001D49D4">
        <w:rPr>
          <w:rFonts w:ascii="Calibri" w:eastAsia="Calibri" w:hAnsi="Calibri" w:cs="Arial"/>
          <w:u w:val="single"/>
          <w:rtl/>
        </w:rPr>
        <w:t>אמר רב נחמן</w:t>
      </w:r>
      <w:r w:rsidRPr="001D49D4">
        <w:rPr>
          <w:rFonts w:ascii="Calibri" w:eastAsia="Calibri" w:hAnsi="Calibri" w:cs="Arial"/>
          <w:rtl/>
        </w:rPr>
        <w:t>: אוקי תרי להדי תרי ואוקי ממונא בחזקת מריה, מידי דהוה אנכסי דבר שטיא.</w:t>
      </w:r>
    </w:p>
    <w:bookmarkEnd w:id="541"/>
    <w:p w14:paraId="3B825493" w14:textId="77777777" w:rsidR="001D49D4" w:rsidRPr="001D49D4" w:rsidRDefault="001D49D4" w:rsidP="0004348D">
      <w:pPr>
        <w:spacing w:before="360" w:after="240"/>
        <w:rPr>
          <w:rFonts w:ascii="Calibri" w:eastAsia="Calibri" w:hAnsi="Calibri" w:cs="Arial"/>
          <w:u w:val="single"/>
          <w:rtl/>
        </w:rPr>
      </w:pPr>
      <w:r w:rsidRPr="001D49D4">
        <w:rPr>
          <w:rFonts w:ascii="Calibri" w:eastAsia="Calibri" w:hAnsi="Calibri" w:cs="Arial"/>
          <w:u w:val="single"/>
          <w:rtl/>
        </w:rPr>
        <w:t>ב' חתומין על השטר ומתו ואין כתב ידם יוצא ממקום אחר, ובאו שנים ואמרו כתב ידם הוא זה אבל קטנים היו וכדו':</w:t>
      </w:r>
    </w:p>
    <w:p w14:paraId="11F36D56" w14:textId="77777777" w:rsidR="001D49D4" w:rsidRPr="001D49D4" w:rsidRDefault="001D49D4" w:rsidP="0004348D">
      <w:pPr>
        <w:numPr>
          <w:ilvl w:val="0"/>
          <w:numId w:val="298"/>
        </w:numPr>
        <w:spacing w:before="360" w:after="240"/>
        <w:contextualSpacing/>
        <w:rPr>
          <w:rtl/>
        </w:rPr>
      </w:pPr>
      <w:r w:rsidRPr="001D49D4">
        <w:rPr>
          <w:rtl/>
        </w:rPr>
        <w:t>טור- שנים חתומין על השטר ומתו ואין כתב ידם יוצא ממקום אחר, ובאו שנים ואמרו כתב ידם הוא זה אבל קטנים היו או פסולין היו - הרי אלו נאמנים וקורעין השטר. ואם כתב ידם יוצא ממקום אחר משטר מקויים בב"ד, אע"פ שלא</w:t>
      </w:r>
      <w:r w:rsidRPr="001D49D4">
        <w:rPr>
          <w:vertAlign w:val="superscript"/>
          <w:rtl/>
        </w:rPr>
        <w:footnoteReference w:id="3972"/>
      </w:r>
      <w:r w:rsidRPr="001D49D4">
        <w:rPr>
          <w:rtl/>
        </w:rPr>
        <w:t xml:space="preserve"> קרא עליו ערעור - אין נאמנין. </w:t>
      </w:r>
    </w:p>
    <w:p w14:paraId="42B63F3A" w14:textId="77777777" w:rsidR="001D49D4" w:rsidRPr="001D49D4" w:rsidRDefault="001D49D4" w:rsidP="0004348D">
      <w:pPr>
        <w:numPr>
          <w:ilvl w:val="0"/>
          <w:numId w:val="298"/>
        </w:numPr>
        <w:spacing w:before="360" w:after="240"/>
        <w:contextualSpacing/>
      </w:pPr>
      <w:r w:rsidRPr="001D49D4">
        <w:rPr>
          <w:rtl/>
        </w:rPr>
        <w:t>ר"ש בר אברהם</w:t>
      </w:r>
      <w:r w:rsidRPr="001D49D4">
        <w:rPr>
          <w:sz w:val="16"/>
          <w:szCs w:val="16"/>
          <w:rtl/>
        </w:rPr>
        <w:t xml:space="preserve"> (משאנץ, כ"כ בשמו התוס' [כתובות כ. סד"ה ואוקי ממונא] והג"א [סי' יג])</w:t>
      </w:r>
      <w:r w:rsidRPr="001D49D4">
        <w:rPr>
          <w:rtl/>
        </w:rPr>
        <w:t>- נראה להעמיד הברייתא בעדי שובר, פירוש, כגון שנים שחתמו על שובר ומתו ושנים אחרים אומרים קטנים היו וכו' - ואנו מחזיקין עדי השובר בחזקת כשרים ונוקי ממונא בחזקת הלוה שיש לו השובר. ולהכי קתני אין נאמנים דאוקי תרי בהדי תרי ואוקי עדי השובר על חזקתם והממון בחזקת הלוה</w:t>
      </w:r>
      <w:r w:rsidRPr="001D49D4">
        <w:rPr>
          <w:sz w:val="16"/>
          <w:szCs w:val="16"/>
          <w:rtl/>
        </w:rPr>
        <w:t xml:space="preserve"> (ל' הג"א בשם ר"ש ב"א)</w:t>
      </w:r>
      <w:r w:rsidRPr="001D49D4">
        <w:rPr>
          <w:rtl/>
        </w:rPr>
        <w:t>.</w:t>
      </w:r>
    </w:p>
    <w:p w14:paraId="64A47CBE" w14:textId="77777777" w:rsidR="001D49D4" w:rsidRPr="001D49D4" w:rsidRDefault="001D49D4" w:rsidP="0004348D">
      <w:pPr>
        <w:spacing w:before="360" w:after="240"/>
        <w:ind w:left="360"/>
        <w:rPr>
          <w:rFonts w:ascii="Calibri" w:eastAsia="Calibri" w:hAnsi="Calibri" w:cs="Arial"/>
          <w:u w:val="dotted"/>
          <w:rtl/>
        </w:rPr>
      </w:pPr>
      <w:r w:rsidRPr="001D49D4">
        <w:rPr>
          <w:rFonts w:ascii="Calibri" w:eastAsia="Calibri" w:hAnsi="Calibri" w:cs="Arial"/>
          <w:u w:val="dotted"/>
          <w:rtl/>
        </w:rPr>
        <w:t>ומה הדין אם טוען בעל השטר דנקבע ליה זמנא להביא עדים לקיומי שטרא:</w:t>
      </w:r>
    </w:p>
    <w:p w14:paraId="15527BB6" w14:textId="77777777" w:rsidR="001D49D4" w:rsidRPr="001D49D4" w:rsidRDefault="001D49D4" w:rsidP="0004348D">
      <w:pPr>
        <w:numPr>
          <w:ilvl w:val="0"/>
          <w:numId w:val="298"/>
        </w:numPr>
        <w:spacing w:before="360" w:after="240"/>
        <w:contextualSpacing/>
      </w:pPr>
      <w:bookmarkStart w:id="542" w:name="_Hlk14611376"/>
      <w:r w:rsidRPr="001D49D4">
        <w:rPr>
          <w:rtl/>
        </w:rPr>
        <w:t>רשב"א</w:t>
      </w:r>
      <w:r w:rsidRPr="001D49D4">
        <w:rPr>
          <w:sz w:val="16"/>
          <w:szCs w:val="16"/>
          <w:rtl/>
        </w:rPr>
        <w:t xml:space="preserve"> (יט: ד"ה אין נאמנין, והביאו ג"כ הר"ן [ז. ד"ה ומגבינן])</w:t>
      </w:r>
      <w:r w:rsidRPr="001D49D4">
        <w:rPr>
          <w:rtl/>
        </w:rPr>
        <w:t xml:space="preserve">- הא דאמרינן דכשאין כתב ידם יוצא ממקום אחר הרי אלו נאמנים - מסתברא דקרעינן ליה לשטרא, דנאמנין לגמרי משמע. ומיהו אי טעין דנקבע ליה זמנא לקיומי שטרא - יהבינן ליה, ואי מקיים ליה לא קרעינן ליה. אבל כל היכא דלא טעין קרעינן ליה ולא חיישינן דלמא משכח סהדי למחר וליומא אוחרי ומקיים ליה, כיון דאפילו משכח הוה ליה תרי ותרי. </w:t>
      </w:r>
      <w:r w:rsidRPr="001D49D4">
        <w:rPr>
          <w:color w:val="E36C0A" w:themeColor="accent6" w:themeShade="BF"/>
          <w:rtl/>
        </w:rPr>
        <w:t>(וכ"פ בשו"ע)</w:t>
      </w:r>
    </w:p>
    <w:bookmarkEnd w:id="542"/>
    <w:p w14:paraId="1860C42B" w14:textId="77777777" w:rsidR="001D49D4" w:rsidRPr="001D49D4" w:rsidRDefault="001D49D4" w:rsidP="0004348D">
      <w:pPr>
        <w:spacing w:before="360" w:after="240"/>
        <w:rPr>
          <w:rFonts w:ascii="Calibri" w:eastAsia="Calibri" w:hAnsi="Calibri" w:cs="Arial"/>
          <w:u w:val="single"/>
          <w:rtl/>
        </w:rPr>
      </w:pPr>
      <w:r w:rsidRPr="001D49D4">
        <w:rPr>
          <w:rFonts w:ascii="Calibri" w:eastAsia="Calibri" w:hAnsi="Calibri" w:cs="Arial"/>
          <w:u w:val="single"/>
          <w:rtl/>
        </w:rPr>
        <w:t xml:space="preserve">ב' עדים שבאו לפסול את העדים החתומים על מה שהם </w:t>
      </w:r>
      <w:r w:rsidRPr="001D49D4">
        <w:rPr>
          <w:rFonts w:ascii="Calibri" w:eastAsia="Calibri" w:hAnsi="Calibri" w:cs="Arial"/>
          <w:b/>
          <w:bCs/>
          <w:u w:val="single"/>
          <w:rtl/>
        </w:rPr>
        <w:t>עכשיו</w:t>
      </w:r>
      <w:r w:rsidRPr="001D49D4">
        <w:rPr>
          <w:rFonts w:ascii="Calibri" w:eastAsia="Calibri" w:hAnsi="Calibri" w:cs="Arial"/>
          <w:u w:val="single"/>
          <w:rtl/>
        </w:rPr>
        <w:t xml:space="preserve"> וכתב ידם יוצא ממקום אחר:</w:t>
      </w:r>
    </w:p>
    <w:p w14:paraId="5352714C" w14:textId="77777777" w:rsidR="001D49D4" w:rsidRPr="001D49D4" w:rsidRDefault="001D49D4" w:rsidP="0004348D">
      <w:pPr>
        <w:numPr>
          <w:ilvl w:val="0"/>
          <w:numId w:val="298"/>
        </w:numPr>
        <w:spacing w:before="360" w:after="240"/>
        <w:contextualSpacing/>
      </w:pPr>
      <w:r w:rsidRPr="001D49D4">
        <w:rPr>
          <w:rtl/>
        </w:rPr>
        <w:t xml:space="preserve">תוס' </w:t>
      </w:r>
      <w:r w:rsidRPr="001D49D4">
        <w:rPr>
          <w:sz w:val="16"/>
          <w:szCs w:val="16"/>
          <w:rtl/>
        </w:rPr>
        <w:t>(יט: ד"ה ואם)</w:t>
      </w:r>
      <w:r w:rsidRPr="001D49D4">
        <w:rPr>
          <w:rtl/>
        </w:rPr>
        <w:t xml:space="preserve">- הא דאין נאמנין דוקא כשאומרים פסולין היו כשחתמו ועכשיו הם כשרים, שאין באין לפסול העדים, אבל אם הם באים לפסול העדים שאומרים עכשיו הם פסולין - נאמנין אע"פ שכתב ידם יוצא ממקום אחר, דלא עדיפי עדים החתומין ממה שהיו עומדין לפנינו דהוו מצי אמרי פסולין הן </w:t>
      </w:r>
      <w:r w:rsidRPr="001D49D4">
        <w:rPr>
          <w:sz w:val="16"/>
          <w:szCs w:val="16"/>
          <w:rtl/>
        </w:rPr>
        <w:t>(ל' הטור בשם התוס')</w:t>
      </w:r>
      <w:r w:rsidRPr="001D49D4">
        <w:rPr>
          <w:rtl/>
        </w:rPr>
        <w:t xml:space="preserve">. </w:t>
      </w:r>
    </w:p>
    <w:p w14:paraId="1CD15BFC" w14:textId="77777777" w:rsidR="001D49D4" w:rsidRPr="001D49D4" w:rsidRDefault="001D49D4" w:rsidP="0004348D">
      <w:pPr>
        <w:numPr>
          <w:ilvl w:val="0"/>
          <w:numId w:val="298"/>
        </w:numPr>
        <w:spacing w:before="360" w:after="240"/>
        <w:contextualSpacing/>
      </w:pPr>
      <w:r w:rsidRPr="001D49D4">
        <w:rPr>
          <w:rtl/>
        </w:rPr>
        <w:t>רא"ש</w:t>
      </w:r>
      <w:r w:rsidRPr="001D49D4">
        <w:rPr>
          <w:vertAlign w:val="superscript"/>
          <w:rtl/>
        </w:rPr>
        <w:footnoteReference w:id="3973"/>
      </w:r>
      <w:r w:rsidRPr="001D49D4">
        <w:rPr>
          <w:rtl/>
        </w:rPr>
        <w:t xml:space="preserve"> </w:t>
      </w:r>
      <w:r w:rsidRPr="001D49D4">
        <w:rPr>
          <w:sz w:val="16"/>
          <w:szCs w:val="16"/>
          <w:rtl/>
        </w:rPr>
        <w:t>(סי' יג)</w:t>
      </w:r>
      <w:r w:rsidRPr="001D49D4">
        <w:rPr>
          <w:rtl/>
        </w:rPr>
        <w:t>- אפי' באין לפוסלו עכשיו אינו מועיל לגרע כח השטר כיון דכתב ידם יוצא ממקום אחר</w:t>
      </w:r>
      <w:r w:rsidRPr="001D49D4">
        <w:rPr>
          <w:sz w:val="16"/>
          <w:szCs w:val="16"/>
          <w:rtl/>
        </w:rPr>
        <w:t xml:space="preserve"> (ל' הטור בשם הרא"ש)</w:t>
      </w:r>
      <w:r w:rsidRPr="001D49D4">
        <w:rPr>
          <w:rtl/>
        </w:rPr>
        <w:t>.</w:t>
      </w:r>
    </w:p>
    <w:p w14:paraId="26C29130" w14:textId="77777777" w:rsidR="001D49D4" w:rsidRPr="001D49D4" w:rsidRDefault="001D49D4" w:rsidP="0004348D">
      <w:pPr>
        <w:spacing w:before="360" w:after="240"/>
        <w:ind w:left="360"/>
        <w:rPr>
          <w:rFonts w:ascii="Calibri" w:eastAsia="Calibri" w:hAnsi="Calibri" w:cs="Arial"/>
          <w:u w:val="dotted"/>
        </w:rPr>
      </w:pPr>
      <w:r w:rsidRPr="001D49D4">
        <w:rPr>
          <w:rFonts w:ascii="Calibri" w:eastAsia="Calibri" w:hAnsi="Calibri" w:cs="Arial"/>
          <w:u w:val="dotted"/>
          <w:rtl/>
        </w:rPr>
        <w:t xml:space="preserve">לרא"ש וסיעתו – כשכתב ידם יוצא ממקום אחר האם השטר כשר </w:t>
      </w:r>
      <w:r w:rsidRPr="001D49D4">
        <w:rPr>
          <w:rFonts w:ascii="Calibri" w:eastAsia="Calibri" w:hAnsi="Calibri" w:cs="Arial"/>
          <w:b/>
          <w:bCs/>
          <w:u w:val="dotted"/>
          <w:rtl/>
        </w:rPr>
        <w:t>לגמרי</w:t>
      </w:r>
      <w:r w:rsidRPr="001D49D4">
        <w:rPr>
          <w:rFonts w:ascii="Calibri" w:eastAsia="Calibri" w:hAnsi="Calibri" w:cs="Arial"/>
          <w:u w:val="dotted"/>
          <w:rtl/>
        </w:rPr>
        <w:t>:</w:t>
      </w:r>
    </w:p>
    <w:p w14:paraId="1148B296" w14:textId="77777777" w:rsidR="001D49D4" w:rsidRPr="001D49D4" w:rsidRDefault="001D49D4" w:rsidP="0004348D">
      <w:pPr>
        <w:numPr>
          <w:ilvl w:val="0"/>
          <w:numId w:val="298"/>
        </w:numPr>
        <w:spacing w:before="360" w:after="240"/>
        <w:contextualSpacing/>
      </w:pPr>
      <w:r w:rsidRPr="001D49D4">
        <w:rPr>
          <w:rtl/>
        </w:rPr>
        <w:t>רש"י ורא"ש</w:t>
      </w:r>
      <w:r w:rsidRPr="001D49D4">
        <w:rPr>
          <w:sz w:val="16"/>
          <w:szCs w:val="16"/>
          <w:rtl/>
        </w:rPr>
        <w:t xml:space="preserve"> (שם)</w:t>
      </w:r>
      <w:r w:rsidRPr="001D49D4">
        <w:rPr>
          <w:rtl/>
        </w:rPr>
        <w:t>- הא דקאמר אין נאמנין, לא דליהוי שטרא מעליא למיגבי ביה, אלא דלא מקרעינן ליה, ואי תפש מדידיה לא מפקינן מיניה. ואפילו תפש בעדים והדר האי ותבע מיניה לא מפקינן מיניה</w:t>
      </w:r>
      <w:r w:rsidRPr="001D49D4">
        <w:rPr>
          <w:vertAlign w:val="superscript"/>
          <w:rtl/>
        </w:rPr>
        <w:footnoteReference w:id="3974"/>
      </w:r>
      <w:r w:rsidRPr="001D49D4">
        <w:rPr>
          <w:rtl/>
        </w:rPr>
        <w:t>. ודוקא מטלטלי אבל מקרקעי לא מהני בהו תפישה</w:t>
      </w:r>
      <w:r w:rsidRPr="001D49D4">
        <w:rPr>
          <w:sz w:val="16"/>
          <w:szCs w:val="16"/>
          <w:rtl/>
        </w:rPr>
        <w:t xml:space="preserve"> (ל' הטור בשם רש"י)</w:t>
      </w:r>
      <w:r w:rsidRPr="001D49D4">
        <w:rPr>
          <w:rtl/>
        </w:rPr>
        <w:t>.</w:t>
      </w:r>
      <w:r w:rsidRPr="001D49D4">
        <w:rPr>
          <w:color w:val="00B0F0"/>
          <w:rtl/>
        </w:rPr>
        <w:t xml:space="preserve"> </w:t>
      </w:r>
    </w:p>
    <w:p w14:paraId="2CF7D74C" w14:textId="77777777" w:rsidR="001D49D4" w:rsidRPr="001D49D4" w:rsidRDefault="001D49D4" w:rsidP="0004348D">
      <w:pPr>
        <w:numPr>
          <w:ilvl w:val="0"/>
          <w:numId w:val="298"/>
        </w:numPr>
        <w:spacing w:before="360" w:after="240"/>
        <w:contextualSpacing/>
      </w:pPr>
      <w:r w:rsidRPr="001D49D4">
        <w:rPr>
          <w:rtl/>
        </w:rPr>
        <w:t xml:space="preserve">ה"ר יונה </w:t>
      </w:r>
      <w:r w:rsidRPr="001D49D4">
        <w:rPr>
          <w:sz w:val="16"/>
          <w:szCs w:val="16"/>
          <w:rtl/>
        </w:rPr>
        <w:t>(הביאוהו הרא"ש והטור)</w:t>
      </w:r>
      <w:r w:rsidRPr="001D49D4">
        <w:rPr>
          <w:rtl/>
        </w:rPr>
        <w:t>- לא מהניא, מדאמרינן בפרק אלמנה</w:t>
      </w:r>
      <w:r w:rsidRPr="001D49D4">
        <w:rPr>
          <w:sz w:val="16"/>
          <w:szCs w:val="16"/>
          <w:rtl/>
        </w:rPr>
        <w:t xml:space="preserve"> (כתובות צח.) </w:t>
      </w:r>
      <w:r w:rsidRPr="001D49D4">
        <w:rPr>
          <w:rtl/>
        </w:rPr>
        <w:t xml:space="preserve">גבי אלמנה שתפסה דאמרינן לה מאן שם לך ולא מהניא תפיסה, אלא מיירי הכא כשהתפיסוהו בית דין או שהתפיס </w:t>
      </w:r>
      <w:r w:rsidRPr="001D49D4">
        <w:rPr>
          <w:sz w:val="16"/>
          <w:szCs w:val="16"/>
          <w:rtl/>
        </w:rPr>
        <w:t xml:space="preserve">{הלוה את} </w:t>
      </w:r>
      <w:r w:rsidRPr="001D49D4">
        <w:rPr>
          <w:rtl/>
        </w:rPr>
        <w:t>המלוה קודם שבאו עדים</w:t>
      </w:r>
      <w:r w:rsidRPr="001D49D4">
        <w:rPr>
          <w:sz w:val="16"/>
          <w:szCs w:val="16"/>
          <w:rtl/>
        </w:rPr>
        <w:t xml:space="preserve"> (ל' הרא"ש בשם ה"ר יונה)</w:t>
      </w:r>
      <w:r w:rsidRPr="001D49D4">
        <w:rPr>
          <w:rtl/>
        </w:rPr>
        <w:t>.</w:t>
      </w:r>
    </w:p>
    <w:p w14:paraId="3B0B37EE" w14:textId="77777777" w:rsidR="001D49D4" w:rsidRPr="001D49D4" w:rsidRDefault="001D49D4" w:rsidP="0004348D">
      <w:pPr>
        <w:numPr>
          <w:ilvl w:val="0"/>
          <w:numId w:val="298"/>
        </w:numPr>
        <w:spacing w:before="360" w:after="240"/>
        <w:contextualSpacing/>
      </w:pPr>
      <w:r w:rsidRPr="001D49D4">
        <w:rPr>
          <w:rtl/>
        </w:rPr>
        <w:t xml:space="preserve">רמ"ה </w:t>
      </w:r>
      <w:r w:rsidRPr="001D49D4">
        <w:rPr>
          <w:sz w:val="16"/>
          <w:szCs w:val="16"/>
          <w:rtl/>
        </w:rPr>
        <w:t>(הביאוהו הרא"ש והטור)</w:t>
      </w:r>
      <w:r w:rsidRPr="001D49D4">
        <w:rPr>
          <w:rtl/>
        </w:rPr>
        <w:t>- אף תפיסת בית דין לא מהניא, דאף אם התפיסוהו בית דין קודם הספק כשיבואו עדים האחרונים מוציאין מידו</w:t>
      </w:r>
      <w:r w:rsidRPr="001D49D4">
        <w:rPr>
          <w:vertAlign w:val="superscript"/>
          <w:rtl/>
        </w:rPr>
        <w:footnoteReference w:id="3975"/>
      </w:r>
      <w:r w:rsidRPr="001D49D4">
        <w:rPr>
          <w:rtl/>
        </w:rPr>
        <w:t xml:space="preserve"> </w:t>
      </w:r>
      <w:r w:rsidRPr="001D49D4">
        <w:rPr>
          <w:sz w:val="16"/>
          <w:szCs w:val="16"/>
          <w:rtl/>
        </w:rPr>
        <w:t>(ל' הרא"ש בשם הרמ"ה)</w:t>
      </w:r>
      <w:r w:rsidRPr="001D49D4">
        <w:rPr>
          <w:rtl/>
        </w:rPr>
        <w:t>.</w:t>
      </w:r>
    </w:p>
    <w:p w14:paraId="386D7D94" w14:textId="77777777" w:rsidR="001D49D4" w:rsidRPr="001D49D4" w:rsidRDefault="001D49D4" w:rsidP="0004348D">
      <w:pPr>
        <w:numPr>
          <w:ilvl w:val="0"/>
          <w:numId w:val="298"/>
        </w:numPr>
        <w:spacing w:before="360" w:after="240"/>
        <w:contextualSpacing/>
      </w:pPr>
      <w:r w:rsidRPr="001D49D4">
        <w:rPr>
          <w:rtl/>
        </w:rPr>
        <w:t xml:space="preserve">י"א </w:t>
      </w:r>
      <w:r w:rsidRPr="001D49D4">
        <w:rPr>
          <w:sz w:val="16"/>
          <w:szCs w:val="16"/>
          <w:rtl/>
        </w:rPr>
        <w:t>(הביאו הר"ן [שם ד"ה ומגבינן])</w:t>
      </w:r>
      <w:r w:rsidRPr="001D49D4">
        <w:rPr>
          <w:rtl/>
        </w:rPr>
        <w:t xml:space="preserve">- מהניא דוקא בתפס שלא בעדים, אבל בתפס בעדים מוציאין מידו, כדאמרינן בריש מציעא </w:t>
      </w:r>
      <w:r w:rsidRPr="001D49D4">
        <w:rPr>
          <w:sz w:val="16"/>
          <w:szCs w:val="16"/>
          <w:rtl/>
        </w:rPr>
        <w:t xml:space="preserve">(ו.) </w:t>
      </w:r>
      <w:r w:rsidRPr="001D49D4">
        <w:rPr>
          <w:rtl/>
        </w:rPr>
        <w:t>דתקפה אחד בפנינו מוציאין אותה מידו</w:t>
      </w:r>
      <w:r w:rsidRPr="001D49D4">
        <w:rPr>
          <w:vertAlign w:val="superscript"/>
          <w:rtl/>
        </w:rPr>
        <w:footnoteReference w:id="3976"/>
      </w:r>
      <w:r w:rsidRPr="001D49D4">
        <w:rPr>
          <w:rtl/>
        </w:rPr>
        <w:t>.</w:t>
      </w:r>
    </w:p>
    <w:p w14:paraId="5B77619E" w14:textId="77777777" w:rsidR="001D49D4" w:rsidRPr="001D49D4" w:rsidRDefault="001D49D4" w:rsidP="0004348D">
      <w:pPr>
        <w:numPr>
          <w:ilvl w:val="0"/>
          <w:numId w:val="298"/>
        </w:numPr>
        <w:spacing w:before="360" w:after="240"/>
        <w:contextualSpacing/>
      </w:pPr>
      <w:r w:rsidRPr="001D49D4">
        <w:rPr>
          <w:rtl/>
        </w:rPr>
        <w:t xml:space="preserve">הג"א </w:t>
      </w:r>
      <w:r w:rsidRPr="001D49D4">
        <w:rPr>
          <w:sz w:val="16"/>
          <w:szCs w:val="16"/>
          <w:rtl/>
        </w:rPr>
        <w:t>(סי' יג, הביאו הדרכ"מ אות יב)</w:t>
      </w:r>
      <w:r w:rsidRPr="001D49D4">
        <w:rPr>
          <w:rtl/>
        </w:rPr>
        <w:t>- בעדי השובר זכה הלוה במה שבידו והשובר כשר, דאוקי ממונא בחזקת מריה.</w:t>
      </w:r>
    </w:p>
    <w:p w14:paraId="0DE8D5D9" w14:textId="77777777" w:rsidR="001D49D4" w:rsidRPr="001D49D4" w:rsidRDefault="001D49D4" w:rsidP="0004348D">
      <w:pPr>
        <w:spacing w:before="360" w:after="240"/>
        <w:rPr>
          <w:rFonts w:ascii="Calibri" w:eastAsia="Calibri" w:hAnsi="Calibri" w:cs="Arial"/>
        </w:rPr>
      </w:pPr>
      <w:r w:rsidRPr="001D49D4">
        <w:rPr>
          <w:rFonts w:ascii="Calibri" w:eastAsia="Calibri" w:hAnsi="Calibri" w:cs="Arial"/>
          <w:b/>
          <w:bCs/>
          <w:rtl/>
        </w:rPr>
        <w:t xml:space="preserve">כתובות </w:t>
      </w:r>
      <w:r w:rsidRPr="001D49D4">
        <w:rPr>
          <w:rFonts w:ascii="Calibri" w:eastAsia="Calibri" w:hAnsi="Calibri" w:cs="Arial"/>
          <w:b/>
          <w:bCs/>
          <w:sz w:val="16"/>
          <w:szCs w:val="16"/>
          <w:rtl/>
        </w:rPr>
        <w:t>(פ"ב)</w:t>
      </w:r>
      <w:r w:rsidRPr="001D49D4">
        <w:rPr>
          <w:rFonts w:ascii="Calibri" w:eastAsia="Calibri" w:hAnsi="Calibri" w:cs="Arial"/>
          <w:b/>
          <w:bCs/>
          <w:rtl/>
        </w:rPr>
        <w:t xml:space="preserve"> יח</w:t>
      </w:r>
      <w:r w:rsidRPr="001D49D4">
        <w:rPr>
          <w:rFonts w:ascii="Calibri" w:eastAsia="Calibri" w:hAnsi="Calibri" w:cs="Arial"/>
          <w:b/>
          <w:bCs/>
          <w:vertAlign w:val="superscript"/>
          <w:rtl/>
        </w:rPr>
        <w:footnoteReference w:id="3977"/>
      </w:r>
      <w:r w:rsidRPr="001D49D4">
        <w:rPr>
          <w:rFonts w:ascii="Calibri" w:eastAsia="Calibri" w:hAnsi="Calibri" w:cs="Arial"/>
          <w:b/>
          <w:bCs/>
          <w:rtl/>
        </w:rPr>
        <w:t xml:space="preserve"> ע"ב:</w:t>
      </w:r>
      <w:r w:rsidRPr="001D49D4">
        <w:rPr>
          <w:rFonts w:ascii="Calibri" w:eastAsia="Calibri" w:hAnsi="Calibri" w:cs="Arial"/>
          <w:rtl/>
        </w:rPr>
        <w:t xml:space="preserve"> </w:t>
      </w:r>
      <w:r w:rsidRPr="001D49D4">
        <w:rPr>
          <w:rFonts w:ascii="Calibri" w:eastAsia="Calibri" w:hAnsi="Calibri" w:cs="Arial"/>
          <w:u w:val="double"/>
          <w:rtl/>
        </w:rPr>
        <w:t>מתני'</w:t>
      </w:r>
      <w:r w:rsidRPr="001D49D4">
        <w:rPr>
          <w:rFonts w:ascii="Calibri" w:eastAsia="Calibri" w:hAnsi="Calibri" w:cs="Arial"/>
          <w:rtl/>
        </w:rPr>
        <w:t xml:space="preserve">: העדים שאמרו: כתב ידינו הוא זה, אבל אנוסים היינו, קטנים היינו, פסולי עדות היינו - הרי אלו נאמנים, ואם יש עדים שהוא כתב ידם, או שהיה כתב ידם יוצא ממקום אחר - אינן נאמנין.      </w:t>
      </w:r>
      <w:r w:rsidRPr="001D49D4">
        <w:rPr>
          <w:rFonts w:ascii="Calibri" w:eastAsia="Calibri" w:hAnsi="Calibri" w:cs="Arial"/>
          <w:u w:val="double"/>
          <w:rtl/>
        </w:rPr>
        <w:t>גמ'</w:t>
      </w:r>
      <w:r w:rsidRPr="001D49D4">
        <w:rPr>
          <w:rFonts w:ascii="Calibri" w:eastAsia="Calibri" w:hAnsi="Calibri" w:cs="Arial"/>
          <w:rtl/>
        </w:rPr>
        <w:t xml:space="preserve">: </w:t>
      </w:r>
      <w:r w:rsidRPr="001D49D4">
        <w:rPr>
          <w:rFonts w:ascii="Calibri" w:eastAsia="Calibri" w:hAnsi="Calibri" w:cs="Arial"/>
          <w:u w:val="single"/>
          <w:rtl/>
        </w:rPr>
        <w:t>אמר רמי בר חמא</w:t>
      </w:r>
      <w:r w:rsidRPr="001D49D4">
        <w:rPr>
          <w:rFonts w:ascii="Calibri" w:eastAsia="Calibri" w:hAnsi="Calibri" w:cs="Arial"/>
          <w:rtl/>
        </w:rPr>
        <w:t xml:space="preserve">: לא שנו אלא שאמרו אנוסים היינו מחמת ממון, אבל אנוסים היינו מחמת נפשות - הרי אלו נאמנין. </w:t>
      </w:r>
      <w:r w:rsidRPr="001D49D4">
        <w:rPr>
          <w:rFonts w:ascii="Calibri" w:eastAsia="Calibri" w:hAnsi="Calibri" w:cs="Arial"/>
          <w:u w:val="single"/>
          <w:rtl/>
        </w:rPr>
        <w:t>אמר רבא</w:t>
      </w:r>
      <w:r w:rsidRPr="001D49D4">
        <w:rPr>
          <w:rFonts w:ascii="Calibri" w:eastAsia="Calibri" w:hAnsi="Calibri" w:cs="Arial"/>
          <w:rtl/>
        </w:rPr>
        <w:t xml:space="preserve">: כל כמיניה? כיון שהגיד שוב אינו חוזר ומגיד! וכי תימא הני מילי על פה, אבל בשטר לא, והא אמר ריש לקיש: עדים החתומים על השטר - נעשה כמי שנחקרה עדותן בב"ד! אלא כי אתמר - ארישא אתמר: הרי אלו נאמנין, </w:t>
      </w:r>
      <w:r w:rsidRPr="001D49D4">
        <w:rPr>
          <w:rFonts w:ascii="Calibri" w:eastAsia="Calibri" w:hAnsi="Calibri" w:cs="Arial"/>
          <w:u w:val="single"/>
          <w:rtl/>
        </w:rPr>
        <w:t>אמר רמי בר חמ</w:t>
      </w:r>
      <w:r w:rsidRPr="001D49D4">
        <w:rPr>
          <w:rFonts w:ascii="Calibri" w:eastAsia="Calibri" w:hAnsi="Calibri" w:cs="Arial"/>
          <w:rtl/>
        </w:rPr>
        <w:t>א: לא שנו אלא שאמרו אנוסין היינו מחמת נפשות, אבל אמרו אנוסין היינו מחמת ממון - אין נאמנין; מאי טעמא? אין אדם משים עצמו רשע.</w:t>
      </w:r>
    </w:p>
    <w:p w14:paraId="3860AB71" w14:textId="77777777" w:rsidR="001D49D4" w:rsidRPr="001D49D4" w:rsidRDefault="001D49D4" w:rsidP="0004348D">
      <w:pPr>
        <w:spacing w:before="360" w:after="240"/>
        <w:rPr>
          <w:rFonts w:ascii="Calibri" w:eastAsia="Calibri" w:hAnsi="Calibri" w:cs="Arial"/>
          <w:u w:val="single"/>
          <w:rtl/>
        </w:rPr>
      </w:pPr>
      <w:r w:rsidRPr="001D49D4">
        <w:rPr>
          <w:rFonts w:ascii="Calibri" w:eastAsia="Calibri" w:hAnsi="Calibri" w:cs="Arial"/>
          <w:u w:val="single"/>
          <w:rtl/>
        </w:rPr>
        <w:t>עדים שאין כתב ידם יוצא ממקום אחר ואומרים 'כתב ידינו הוא זה אך אנוסין היינו</w:t>
      </w:r>
      <w:r w:rsidRPr="001D49D4">
        <w:rPr>
          <w:rFonts w:ascii="Calibri" w:eastAsia="Calibri" w:hAnsi="Calibri" w:cs="Arial"/>
          <w:sz w:val="16"/>
          <w:szCs w:val="16"/>
          <w:u w:val="single"/>
          <w:rtl/>
        </w:rPr>
        <w:t xml:space="preserve"> (וכדו')</w:t>
      </w:r>
      <w:r w:rsidRPr="001D49D4">
        <w:rPr>
          <w:rFonts w:ascii="Calibri" w:eastAsia="Calibri" w:hAnsi="Calibri" w:cs="Arial"/>
          <w:u w:val="single"/>
          <w:rtl/>
        </w:rPr>
        <w:t>':</w:t>
      </w:r>
    </w:p>
    <w:p w14:paraId="6F9DDE12" w14:textId="77777777" w:rsidR="001D49D4" w:rsidRPr="001D49D4" w:rsidRDefault="001D49D4" w:rsidP="0004348D">
      <w:pPr>
        <w:numPr>
          <w:ilvl w:val="0"/>
          <w:numId w:val="298"/>
        </w:numPr>
        <w:spacing w:before="360" w:after="240"/>
        <w:contextualSpacing/>
        <w:rPr>
          <w:rtl/>
        </w:rPr>
      </w:pPr>
      <w:r w:rsidRPr="001D49D4">
        <w:rPr>
          <w:rtl/>
        </w:rPr>
        <w:t>טור- העדים שאין כתב ידם יוצא ממקום אחר ואומרים 'כתב ידינו הוא זה' ואומרים מיד תכ"ד</w:t>
      </w:r>
      <w:r w:rsidRPr="001D49D4">
        <w:rPr>
          <w:vertAlign w:val="superscript"/>
          <w:rtl/>
        </w:rPr>
        <w:footnoteReference w:id="3978"/>
      </w:r>
      <w:r w:rsidRPr="001D49D4">
        <w:rPr>
          <w:rtl/>
        </w:rPr>
        <w:t xml:space="preserve"> 'אנוסין היינו מחמת נפשות', או 'קטנים היינו', או 'פסולי עדות היינו מחמת קורבה ונתרחקנו', או 'מסר מודעא בפנינו', או 'תנאי היה בדבר ולא ראינו שנתקיים התנאי' - הרי אלו נאמנים. ואפי' עד אחד אומר לא היה תנאי ועד אחר אומר היה תנאי ולא נתקיים - נאמן, והשטר בטל כל זמן שלא נתקיים התנאי. אבל אם אמרו שהיו אנוסים מחמת ממון, או שהיה שטר אמנה, או שהיו פסולין בעבירה - אין נאמנין, לפי שאין אדם משים עצמו רשע, ואפילו אם אומרים שעשו תשובה והם עכשיו כשרים, דכיון שהעדות מתבטל ע"י שעושין עצמן רשעים אין להאמינם</w:t>
      </w:r>
      <w:r w:rsidRPr="001D49D4">
        <w:rPr>
          <w:vertAlign w:val="superscript"/>
          <w:rtl/>
        </w:rPr>
        <w:footnoteReference w:id="3979"/>
      </w:r>
      <w:r w:rsidRPr="001D49D4">
        <w:rPr>
          <w:rtl/>
        </w:rPr>
        <w:t xml:space="preserve">. </w:t>
      </w:r>
      <w:r w:rsidRPr="001D49D4">
        <w:rPr>
          <w:color w:val="E36C0A" w:themeColor="accent6" w:themeShade="BF"/>
          <w:rtl/>
        </w:rPr>
        <w:t>(וכ"פ בשו"ע)</w:t>
      </w:r>
      <w:r w:rsidRPr="001D49D4">
        <w:rPr>
          <w:rtl/>
        </w:rPr>
        <w:t xml:space="preserve"> </w:t>
      </w:r>
    </w:p>
    <w:p w14:paraId="165D5872" w14:textId="77777777" w:rsidR="001D49D4" w:rsidRPr="001D49D4" w:rsidRDefault="001D49D4" w:rsidP="0004348D">
      <w:pPr>
        <w:spacing w:before="360" w:after="240"/>
        <w:ind w:left="360"/>
        <w:rPr>
          <w:rFonts w:ascii="Calibri" w:eastAsia="Calibri" w:hAnsi="Calibri" w:cs="Arial"/>
          <w:u w:val="dotted"/>
        </w:rPr>
      </w:pPr>
      <w:r w:rsidRPr="001D49D4">
        <w:rPr>
          <w:rFonts w:ascii="Calibri" w:eastAsia="Calibri" w:hAnsi="Calibri" w:cs="Arial"/>
          <w:u w:val="dotted"/>
          <w:rtl/>
        </w:rPr>
        <w:t>ומה הדין אי אמרי 'פסולים היינו בפיסולא דגזלנותא':</w:t>
      </w:r>
    </w:p>
    <w:p w14:paraId="1616C34A" w14:textId="77777777" w:rsidR="001D49D4" w:rsidRPr="001D49D4" w:rsidRDefault="001D49D4" w:rsidP="0004348D">
      <w:pPr>
        <w:numPr>
          <w:ilvl w:val="0"/>
          <w:numId w:val="298"/>
        </w:numPr>
        <w:spacing w:before="360" w:after="240"/>
        <w:contextualSpacing/>
        <w:rPr>
          <w:rtl/>
        </w:rPr>
      </w:pPr>
      <w:r w:rsidRPr="001D49D4">
        <w:rPr>
          <w:rtl/>
        </w:rPr>
        <w:t xml:space="preserve">ר"ן </w:t>
      </w:r>
      <w:r w:rsidRPr="001D49D4">
        <w:rPr>
          <w:sz w:val="16"/>
          <w:szCs w:val="16"/>
          <w:rtl/>
        </w:rPr>
        <w:t>(ו. ד"ה גמ' ל"ש)</w:t>
      </w:r>
      <w:r w:rsidRPr="001D49D4">
        <w:rPr>
          <w:rtl/>
        </w:rPr>
        <w:t>- הא דאמרינן פסולים היינו היינו כשאומרים שהיו קרובים בנשותיהם ונתרחקו אבל אי אמרי פסולים היינו בפיסולא דגזלנותא - לא מהימני דהא משוו נפשייהו רשעים והוה ליה כאנוסים היינו מחמת ממון</w:t>
      </w:r>
      <w:r w:rsidRPr="001D49D4">
        <w:rPr>
          <w:vertAlign w:val="superscript"/>
          <w:rtl/>
        </w:rPr>
        <w:footnoteReference w:id="3980"/>
      </w:r>
      <w:r w:rsidRPr="001D49D4">
        <w:rPr>
          <w:rtl/>
        </w:rPr>
        <w:t>.</w:t>
      </w:r>
    </w:p>
    <w:p w14:paraId="024EB85E" w14:textId="77777777" w:rsidR="001D49D4" w:rsidRPr="001D49D4" w:rsidRDefault="001D49D4" w:rsidP="0004348D">
      <w:pPr>
        <w:spacing w:before="360" w:after="240"/>
        <w:ind w:left="360"/>
        <w:rPr>
          <w:rFonts w:ascii="Calibri" w:eastAsia="Calibri" w:hAnsi="Calibri" w:cs="Arial"/>
          <w:u w:val="dotted"/>
        </w:rPr>
      </w:pPr>
      <w:r w:rsidRPr="001D49D4">
        <w:rPr>
          <w:rFonts w:ascii="Calibri" w:eastAsia="Calibri" w:hAnsi="Calibri" w:cs="Arial"/>
          <w:u w:val="dotted"/>
          <w:rtl/>
        </w:rPr>
        <w:t xml:space="preserve">כשאין העדים נאמנין לבטל השטר - האם מ"מ חייבים העדים לשלם ללוה </w:t>
      </w:r>
      <w:r w:rsidRPr="001D49D4">
        <w:rPr>
          <w:rFonts w:ascii="Calibri" w:eastAsia="Calibri" w:hAnsi="Calibri" w:cs="Arial"/>
          <w:sz w:val="16"/>
          <w:szCs w:val="16"/>
          <w:u w:val="dotted"/>
          <w:rtl/>
        </w:rPr>
        <w:t>(דהודאת בעל דין כמאה עדים דמי)</w:t>
      </w:r>
      <w:r w:rsidRPr="001D49D4">
        <w:rPr>
          <w:rFonts w:ascii="Calibri" w:eastAsia="Calibri" w:hAnsi="Calibri" w:cs="Arial"/>
          <w:u w:val="dotted"/>
          <w:rtl/>
        </w:rPr>
        <w:t>:</w:t>
      </w:r>
    </w:p>
    <w:p w14:paraId="21039065" w14:textId="77777777" w:rsidR="001D49D4" w:rsidRPr="001D49D4" w:rsidRDefault="001D49D4" w:rsidP="0004348D">
      <w:pPr>
        <w:numPr>
          <w:ilvl w:val="0"/>
          <w:numId w:val="298"/>
        </w:numPr>
        <w:spacing w:before="360" w:after="240"/>
        <w:contextualSpacing/>
        <w:rPr>
          <w:rtl/>
        </w:rPr>
      </w:pPr>
      <w:r w:rsidRPr="001D49D4">
        <w:rPr>
          <w:rtl/>
        </w:rPr>
        <w:t xml:space="preserve">רא"ש </w:t>
      </w:r>
      <w:r w:rsidRPr="001D49D4">
        <w:rPr>
          <w:sz w:val="16"/>
          <w:szCs w:val="16"/>
          <w:rtl/>
        </w:rPr>
        <w:t>(בתשו' כלל נח סי' ו)</w:t>
      </w:r>
      <w:r w:rsidRPr="001D49D4">
        <w:rPr>
          <w:rtl/>
        </w:rPr>
        <w:t>- נהי דאין נאמנין לבטל השטר מ"מ לגבי דידהו נאמנין דהודאת בעל דין כמאה עדים דמי - וחייבין לשלם ללוה ההפסד שבא לו מכח חתימתן שחתמו שקר מדינא דגרמי</w:t>
      </w:r>
      <w:r w:rsidRPr="001D49D4">
        <w:rPr>
          <w:vertAlign w:val="superscript"/>
          <w:rtl/>
        </w:rPr>
        <w:footnoteReference w:id="3981"/>
      </w:r>
      <w:r w:rsidRPr="001D49D4">
        <w:rPr>
          <w:rtl/>
        </w:rPr>
        <w:t xml:space="preserve">. </w:t>
      </w:r>
      <w:r w:rsidRPr="001D49D4">
        <w:rPr>
          <w:sz w:val="16"/>
          <w:szCs w:val="16"/>
          <w:rtl/>
        </w:rPr>
        <w:t>(ל' הטור בשם הרא"ש)</w:t>
      </w:r>
      <w:r w:rsidRPr="001D49D4">
        <w:rPr>
          <w:rtl/>
        </w:rPr>
        <w:t xml:space="preserve">. </w:t>
      </w:r>
      <w:r w:rsidRPr="001D49D4">
        <w:rPr>
          <w:color w:val="E36C0A" w:themeColor="accent6" w:themeShade="BF"/>
          <w:rtl/>
        </w:rPr>
        <w:t>(וכ"פ בשו"ע</w:t>
      </w:r>
      <w:r w:rsidRPr="001D49D4">
        <w:rPr>
          <w:color w:val="E36C0A" w:themeColor="accent6" w:themeShade="BF"/>
          <w:sz w:val="16"/>
          <w:szCs w:val="16"/>
          <w:rtl/>
        </w:rPr>
        <w:t xml:space="preserve"> </w:t>
      </w:r>
      <w:r w:rsidRPr="001D49D4">
        <w:rPr>
          <w:color w:val="000000" w:themeColor="text1"/>
          <w:sz w:val="16"/>
          <w:szCs w:val="16"/>
          <w:rtl/>
        </w:rPr>
        <w:t>[כאן, ובסי' כט ס"ב, ובסי' לח ס"א]</w:t>
      </w:r>
      <w:r w:rsidRPr="001D49D4">
        <w:rPr>
          <w:color w:val="E36C0A" w:themeColor="accent6" w:themeShade="BF"/>
          <w:rtl/>
        </w:rPr>
        <w:t>)</w:t>
      </w:r>
    </w:p>
    <w:p w14:paraId="20C7268C" w14:textId="77777777" w:rsidR="001D49D4" w:rsidRPr="001D49D4" w:rsidRDefault="001D49D4" w:rsidP="0004348D">
      <w:pPr>
        <w:numPr>
          <w:ilvl w:val="0"/>
          <w:numId w:val="298"/>
        </w:numPr>
        <w:spacing w:before="360" w:after="240"/>
        <w:contextualSpacing/>
      </w:pPr>
      <w:r w:rsidRPr="001D49D4">
        <w:rPr>
          <w:rtl/>
        </w:rPr>
        <w:t xml:space="preserve">ר"ח </w:t>
      </w:r>
      <w:r w:rsidRPr="001D49D4">
        <w:rPr>
          <w:sz w:val="16"/>
          <w:szCs w:val="16"/>
          <w:rtl/>
        </w:rPr>
        <w:t>(כ"כ בשמו הטור [בסי' לח ס"ה])</w:t>
      </w:r>
      <w:r w:rsidRPr="001D49D4">
        <w:rPr>
          <w:rtl/>
        </w:rPr>
        <w:t>- אם אמרו עדים 'שקר העדנו' - לא מיבעיא שאין משלמין ע"פ עצמן אלא אפי' העדות שהעידו נכונה חשבינן ליה ומתקיימת שכיון שהגיד שוב אינו חוזר ומגיד</w:t>
      </w:r>
      <w:r w:rsidRPr="001D49D4">
        <w:rPr>
          <w:sz w:val="16"/>
          <w:szCs w:val="16"/>
          <w:rtl/>
        </w:rPr>
        <w:t xml:space="preserve"> (ל' הטור בשם ר"ח)</w:t>
      </w:r>
      <w:r w:rsidRPr="001D49D4">
        <w:rPr>
          <w:rtl/>
        </w:rPr>
        <w:t>.</w:t>
      </w:r>
    </w:p>
    <w:p w14:paraId="131E87A7" w14:textId="77777777" w:rsidR="001D49D4" w:rsidRPr="001D49D4" w:rsidRDefault="001D49D4" w:rsidP="0004348D">
      <w:pPr>
        <w:spacing w:before="360" w:after="240"/>
        <w:rPr>
          <w:rFonts w:ascii="Calibri" w:eastAsia="Calibri" w:hAnsi="Calibri" w:cs="Arial"/>
          <w:u w:val="single"/>
        </w:rPr>
      </w:pPr>
      <w:r w:rsidRPr="001D49D4">
        <w:rPr>
          <w:rFonts w:ascii="Calibri" w:eastAsia="Calibri" w:hAnsi="Calibri" w:cs="Arial"/>
          <w:b/>
          <w:bCs/>
          <w:rtl/>
        </w:rPr>
        <w:t xml:space="preserve">כתובות </w:t>
      </w:r>
      <w:r w:rsidRPr="001D49D4">
        <w:rPr>
          <w:rFonts w:ascii="Calibri" w:eastAsia="Calibri" w:hAnsi="Calibri" w:cs="Arial"/>
          <w:b/>
          <w:bCs/>
          <w:sz w:val="16"/>
          <w:szCs w:val="16"/>
          <w:rtl/>
        </w:rPr>
        <w:t>(פ"ב)</w:t>
      </w:r>
      <w:r w:rsidRPr="001D49D4">
        <w:rPr>
          <w:rFonts w:ascii="Calibri" w:eastAsia="Calibri" w:hAnsi="Calibri" w:cs="Arial"/>
          <w:b/>
          <w:bCs/>
          <w:rtl/>
        </w:rPr>
        <w:t xml:space="preserve"> יט</w:t>
      </w:r>
      <w:r w:rsidRPr="001D49D4">
        <w:rPr>
          <w:rFonts w:ascii="Calibri" w:eastAsia="Calibri" w:hAnsi="Calibri" w:cs="Arial"/>
          <w:b/>
          <w:bCs/>
          <w:vertAlign w:val="superscript"/>
          <w:rtl/>
        </w:rPr>
        <w:footnoteReference w:id="3982"/>
      </w:r>
      <w:r w:rsidRPr="001D49D4">
        <w:rPr>
          <w:rFonts w:ascii="Calibri" w:eastAsia="Calibri" w:hAnsi="Calibri" w:cs="Arial"/>
          <w:b/>
          <w:bCs/>
          <w:rtl/>
        </w:rPr>
        <w:t xml:space="preserve"> ע"ב:</w:t>
      </w:r>
      <w:r w:rsidRPr="001D49D4">
        <w:rPr>
          <w:rFonts w:ascii="Calibri" w:eastAsia="Calibri" w:hAnsi="Calibri" w:cs="Arial"/>
          <w:rtl/>
        </w:rPr>
        <w:t xml:space="preserve"> </w:t>
      </w:r>
      <w:r w:rsidRPr="001D49D4">
        <w:rPr>
          <w:rFonts w:ascii="Calibri" w:eastAsia="Calibri" w:hAnsi="Calibri" w:cs="Arial"/>
          <w:u w:val="single"/>
          <w:rtl/>
        </w:rPr>
        <w:t>אר"נ</w:t>
      </w:r>
      <w:r w:rsidRPr="001D49D4">
        <w:rPr>
          <w:rFonts w:ascii="Calibri" w:eastAsia="Calibri" w:hAnsi="Calibri" w:cs="Arial"/>
          <w:rtl/>
        </w:rPr>
        <w:t>: עדים</w:t>
      </w:r>
      <w:r w:rsidRPr="001D49D4">
        <w:rPr>
          <w:rFonts w:ascii="Calibri" w:eastAsia="Calibri" w:hAnsi="Calibri" w:cs="Arial"/>
          <w:vertAlign w:val="superscript"/>
          <w:rtl/>
        </w:rPr>
        <w:footnoteReference w:id="3983"/>
      </w:r>
      <w:r w:rsidRPr="001D49D4">
        <w:rPr>
          <w:rFonts w:ascii="Calibri" w:eastAsia="Calibri" w:hAnsi="Calibri" w:cs="Arial"/>
          <w:rtl/>
        </w:rPr>
        <w:t xml:space="preserve"> שאמרו אמנה היו דברינו - אין נאמנין, מודעא היו דברינו</w:t>
      </w:r>
      <w:r w:rsidRPr="001D49D4">
        <w:rPr>
          <w:rFonts w:ascii="Calibri" w:eastAsia="Calibri" w:hAnsi="Calibri" w:cs="Arial"/>
          <w:vertAlign w:val="superscript"/>
          <w:rtl/>
        </w:rPr>
        <w:footnoteReference w:id="3984"/>
      </w:r>
      <w:r w:rsidRPr="001D49D4">
        <w:rPr>
          <w:rFonts w:ascii="Calibri" w:eastAsia="Calibri" w:hAnsi="Calibri" w:cs="Arial"/>
          <w:rtl/>
        </w:rPr>
        <w:t xml:space="preserve"> - אין נאמנין. </w:t>
      </w:r>
      <w:r w:rsidRPr="001D49D4">
        <w:rPr>
          <w:rFonts w:ascii="Calibri" w:eastAsia="Calibri" w:hAnsi="Calibri" w:cs="Arial"/>
          <w:u w:val="single"/>
          <w:rtl/>
        </w:rPr>
        <w:t>מר בר רב אשי אמר</w:t>
      </w:r>
      <w:r w:rsidRPr="001D49D4">
        <w:rPr>
          <w:rFonts w:ascii="Calibri" w:eastAsia="Calibri" w:hAnsi="Calibri" w:cs="Arial"/>
          <w:rtl/>
        </w:rPr>
        <w:t>: אמנה היו דברינו - אין נאמנין, מודעא</w:t>
      </w:r>
      <w:r w:rsidRPr="001D49D4">
        <w:rPr>
          <w:rFonts w:ascii="Calibri" w:eastAsia="Calibri" w:hAnsi="Calibri" w:cs="Arial"/>
          <w:vertAlign w:val="superscript"/>
          <w:rtl/>
        </w:rPr>
        <w:footnoteReference w:id="3985"/>
      </w:r>
      <w:r w:rsidRPr="001D49D4">
        <w:rPr>
          <w:rFonts w:ascii="Calibri" w:eastAsia="Calibri" w:hAnsi="Calibri" w:cs="Arial"/>
          <w:rtl/>
        </w:rPr>
        <w:t xml:space="preserve"> היו דברינו – נאמנין, מ"ט? האי ניתן ליכתב, והאי לא ניתן ליכתב</w:t>
      </w:r>
      <w:r w:rsidRPr="001D49D4">
        <w:rPr>
          <w:rFonts w:ascii="Calibri" w:eastAsia="Calibri" w:hAnsi="Calibri" w:cs="Arial"/>
          <w:vertAlign w:val="superscript"/>
          <w:rtl/>
        </w:rPr>
        <w:footnoteReference w:id="3986"/>
      </w:r>
      <w:r w:rsidRPr="001D49D4">
        <w:rPr>
          <w:rFonts w:ascii="Calibri" w:eastAsia="Calibri" w:hAnsi="Calibri" w:cs="Arial"/>
          <w:rtl/>
        </w:rPr>
        <w:t xml:space="preserve">. </w:t>
      </w:r>
      <w:r w:rsidRPr="001D49D4">
        <w:rPr>
          <w:rFonts w:ascii="Calibri" w:eastAsia="Calibri" w:hAnsi="Calibri" w:cs="Arial"/>
          <w:u w:val="single"/>
          <w:rtl/>
        </w:rPr>
        <w:t>בעא מיניה רבא מרב נחמן</w:t>
      </w:r>
      <w:r w:rsidRPr="001D49D4">
        <w:rPr>
          <w:rFonts w:ascii="Calibri" w:eastAsia="Calibri" w:hAnsi="Calibri" w:cs="Arial"/>
          <w:rtl/>
        </w:rPr>
        <w:t xml:space="preserve">: תנאי היו דברינו, מהו? מודעא ואמנה היינו טעמא, דקא עקרי ליה לשטרא, והאי נמי קא עקר לשטרא, או דלמא תנאי מילתא אחריתי היא? </w:t>
      </w:r>
      <w:r w:rsidRPr="001D49D4">
        <w:rPr>
          <w:rFonts w:ascii="Calibri" w:eastAsia="Calibri" w:hAnsi="Calibri" w:cs="Arial"/>
          <w:u w:val="single"/>
          <w:rtl/>
        </w:rPr>
        <w:t>א"ל</w:t>
      </w:r>
      <w:r w:rsidRPr="001D49D4">
        <w:rPr>
          <w:rFonts w:ascii="Calibri" w:eastAsia="Calibri" w:hAnsi="Calibri" w:cs="Arial"/>
          <w:rtl/>
        </w:rPr>
        <w:t>: כי אתו לקמן לדינא, אמרינן להו: זילו קיימו תנאייכו וחותו לדינא</w:t>
      </w:r>
      <w:r w:rsidRPr="001D49D4">
        <w:rPr>
          <w:rFonts w:ascii="Calibri" w:eastAsia="Calibri" w:hAnsi="Calibri" w:cs="Arial"/>
          <w:vertAlign w:val="superscript"/>
          <w:rtl/>
        </w:rPr>
        <w:footnoteReference w:id="3987"/>
      </w:r>
      <w:r w:rsidRPr="001D49D4">
        <w:rPr>
          <w:rFonts w:ascii="Calibri" w:eastAsia="Calibri" w:hAnsi="Calibri" w:cs="Arial"/>
          <w:rtl/>
        </w:rPr>
        <w:t>. עד אומר תנאי, ועד אומר אינו תנאי</w:t>
      </w:r>
      <w:r w:rsidRPr="001D49D4">
        <w:rPr>
          <w:rFonts w:ascii="Calibri" w:eastAsia="Calibri" w:hAnsi="Calibri" w:cs="Arial"/>
          <w:vertAlign w:val="superscript"/>
          <w:rtl/>
        </w:rPr>
        <w:footnoteReference w:id="3988"/>
      </w:r>
      <w:r w:rsidRPr="001D49D4">
        <w:rPr>
          <w:rFonts w:ascii="Calibri" w:eastAsia="Calibri" w:hAnsi="Calibri" w:cs="Arial"/>
          <w:rtl/>
        </w:rPr>
        <w:t xml:space="preserve">, </w:t>
      </w:r>
      <w:r w:rsidRPr="001D49D4">
        <w:rPr>
          <w:rFonts w:ascii="Calibri" w:eastAsia="Calibri" w:hAnsi="Calibri" w:cs="Arial"/>
          <w:u w:val="single"/>
          <w:rtl/>
        </w:rPr>
        <w:t>א"ר פפא</w:t>
      </w:r>
      <w:r w:rsidRPr="001D49D4">
        <w:rPr>
          <w:rFonts w:ascii="Calibri" w:eastAsia="Calibri" w:hAnsi="Calibri" w:cs="Arial"/>
          <w:rtl/>
        </w:rPr>
        <w:t xml:space="preserve">: תרוייהו בשטרא מעליא קא מסהדי, והאי דקאמר תנאי הוה ליה חד, ואין דבריו של אחד במקום שנים. </w:t>
      </w:r>
      <w:r w:rsidRPr="001D49D4">
        <w:rPr>
          <w:rFonts w:ascii="Calibri" w:eastAsia="Calibri" w:hAnsi="Calibri" w:cs="Arial"/>
          <w:u w:val="single"/>
          <w:rtl/>
        </w:rPr>
        <w:t>מתקיף לה רב הונא בריה דרב יהושע</w:t>
      </w:r>
      <w:r w:rsidRPr="001D49D4">
        <w:rPr>
          <w:rFonts w:ascii="Calibri" w:eastAsia="Calibri" w:hAnsi="Calibri" w:cs="Arial"/>
          <w:rtl/>
        </w:rPr>
        <w:t>: אי הכי, אפי' תרוייהו נמי</w:t>
      </w:r>
      <w:r w:rsidRPr="001D49D4">
        <w:rPr>
          <w:rFonts w:ascii="Calibri" w:eastAsia="Calibri" w:hAnsi="Calibri" w:cs="Arial"/>
          <w:vertAlign w:val="superscript"/>
          <w:rtl/>
        </w:rPr>
        <w:footnoteReference w:id="3989"/>
      </w:r>
      <w:r w:rsidRPr="001D49D4">
        <w:rPr>
          <w:rFonts w:ascii="Calibri" w:eastAsia="Calibri" w:hAnsi="Calibri" w:cs="Arial"/>
          <w:rtl/>
        </w:rPr>
        <w:t>! אלא אמרינן הני למיעקר סהדותייהו קאתו, האי נמי למיעקר סהדותיה קאתי. והלכתא כרב הונא בריה דרב יהושע</w:t>
      </w:r>
      <w:r w:rsidRPr="001D49D4">
        <w:rPr>
          <w:rFonts w:ascii="Calibri" w:eastAsia="Calibri" w:hAnsi="Calibri" w:cs="Arial"/>
          <w:vertAlign w:val="superscript"/>
          <w:rtl/>
        </w:rPr>
        <w:footnoteReference w:id="3990"/>
      </w:r>
      <w:r w:rsidRPr="001D49D4">
        <w:rPr>
          <w:rFonts w:ascii="Calibri" w:eastAsia="Calibri" w:hAnsi="Calibri" w:cs="Arial"/>
          <w:rtl/>
        </w:rPr>
        <w:t>.</w:t>
      </w:r>
    </w:p>
    <w:p w14:paraId="1546CD64" w14:textId="77777777" w:rsidR="001D49D4" w:rsidRPr="001D49D4" w:rsidRDefault="001D49D4" w:rsidP="0004348D">
      <w:pPr>
        <w:spacing w:before="360" w:after="240"/>
        <w:rPr>
          <w:rFonts w:ascii="Calibri" w:eastAsia="Calibri" w:hAnsi="Calibri" w:cs="Arial"/>
          <w:u w:val="single"/>
          <w:rtl/>
        </w:rPr>
      </w:pPr>
      <w:r w:rsidRPr="001D49D4">
        <w:rPr>
          <w:rFonts w:ascii="Calibri" w:eastAsia="Calibri" w:hAnsi="Calibri" w:cs="Arial"/>
          <w:u w:val="single"/>
          <w:rtl/>
        </w:rPr>
        <w:t>עדים שאמרו 'מודעא היו דברינו':</w:t>
      </w:r>
    </w:p>
    <w:p w14:paraId="58421FE3" w14:textId="77777777" w:rsidR="001D49D4" w:rsidRPr="001D49D4" w:rsidRDefault="001D49D4" w:rsidP="0004348D">
      <w:pPr>
        <w:numPr>
          <w:ilvl w:val="0"/>
          <w:numId w:val="298"/>
        </w:numPr>
        <w:spacing w:before="360" w:after="240"/>
        <w:contextualSpacing/>
      </w:pPr>
      <w:r w:rsidRPr="001D49D4">
        <w:rPr>
          <w:rtl/>
        </w:rPr>
        <w:t xml:space="preserve">רא"ש </w:t>
      </w:r>
      <w:r w:rsidRPr="001D49D4">
        <w:rPr>
          <w:sz w:val="16"/>
          <w:szCs w:val="16"/>
          <w:rtl/>
        </w:rPr>
        <w:t>(סי' יב, כ"כ הטור בשמו)</w:t>
      </w:r>
      <w:r w:rsidRPr="001D49D4">
        <w:rPr>
          <w:rtl/>
        </w:rPr>
        <w:t xml:space="preserve"> וטור- מר בר רב אשי... מיירי באין כתב ידן יוצא ממקום אחר, מדתלי טעמא באין ניתן ליכתב הא ניתן ליכתב מהימני, א"כ ע"כ מיירי כדפרישית ואע"ג דאין כתב ידם יוצא ממקום אחר לא מהימני אאמנה משום דמשוי נפשייהו רשעים, והילכתא כמר בר רב אשי</w:t>
      </w:r>
      <w:r w:rsidRPr="001D49D4">
        <w:rPr>
          <w:sz w:val="16"/>
          <w:szCs w:val="16"/>
          <w:rtl/>
        </w:rPr>
        <w:t xml:space="preserve"> (ל' הרא"ש)</w:t>
      </w:r>
      <w:r w:rsidRPr="001D49D4">
        <w:rPr>
          <w:rtl/>
        </w:rPr>
        <w:t xml:space="preserve">. לפיכך אם כתב ידם יוצא ממקום אחר - בכל דבר אין נאמנין </w:t>
      </w:r>
      <w:r w:rsidRPr="001D49D4">
        <w:rPr>
          <w:sz w:val="16"/>
          <w:szCs w:val="16"/>
          <w:rtl/>
        </w:rPr>
        <w:t>(ל' הטור)</w:t>
      </w:r>
      <w:r w:rsidRPr="001D49D4">
        <w:rPr>
          <w:rtl/>
        </w:rPr>
        <w:t xml:space="preserve">. </w:t>
      </w:r>
    </w:p>
    <w:p w14:paraId="7BCE27E5" w14:textId="77777777" w:rsidR="001D49D4" w:rsidRPr="001D49D4" w:rsidRDefault="001D49D4" w:rsidP="0004348D">
      <w:pPr>
        <w:numPr>
          <w:ilvl w:val="0"/>
          <w:numId w:val="298"/>
        </w:numPr>
        <w:spacing w:before="360" w:after="240"/>
        <w:contextualSpacing/>
      </w:pPr>
      <w:r w:rsidRPr="001D49D4">
        <w:rPr>
          <w:rtl/>
        </w:rPr>
        <w:t xml:space="preserve">רבינו נסים </w:t>
      </w:r>
      <w:r w:rsidRPr="001D49D4">
        <w:rPr>
          <w:sz w:val="16"/>
          <w:szCs w:val="16"/>
          <w:rtl/>
        </w:rPr>
        <w:t>(כ"כ הטור בשמו)</w:t>
      </w:r>
      <w:r w:rsidRPr="001D49D4">
        <w:rPr>
          <w:rtl/>
        </w:rPr>
        <w:t xml:space="preserve"> רמב"ם</w:t>
      </w:r>
      <w:r w:rsidRPr="001D49D4">
        <w:rPr>
          <w:vertAlign w:val="superscript"/>
          <w:rtl/>
        </w:rPr>
        <w:footnoteReference w:id="3991"/>
      </w:r>
      <w:r w:rsidRPr="001D49D4">
        <w:rPr>
          <w:rtl/>
        </w:rPr>
        <w:t xml:space="preserve"> </w:t>
      </w:r>
      <w:r w:rsidRPr="001D49D4">
        <w:rPr>
          <w:sz w:val="16"/>
          <w:szCs w:val="16"/>
          <w:rtl/>
        </w:rPr>
        <w:t>(פ"ג מהל' עדות ה"ח)</w:t>
      </w:r>
      <w:r w:rsidRPr="001D49D4">
        <w:rPr>
          <w:rtl/>
        </w:rPr>
        <w:t xml:space="preserve">- במודעא נאמנין אפילו בכתב ידם יוצא ממקום אחר. </w:t>
      </w:r>
      <w:r w:rsidRPr="001D49D4">
        <w:rPr>
          <w:color w:val="E36C0A" w:themeColor="accent6" w:themeShade="BF"/>
          <w:rtl/>
        </w:rPr>
        <w:t>(וכ"פ בשו"ע)</w:t>
      </w:r>
      <w:r w:rsidRPr="001D49D4">
        <w:rPr>
          <w:rtl/>
        </w:rPr>
        <w:t xml:space="preserve"> </w:t>
      </w:r>
    </w:p>
    <w:p w14:paraId="2EDD73A1" w14:textId="77777777" w:rsidR="001D49D4" w:rsidRPr="001D49D4" w:rsidRDefault="001D49D4" w:rsidP="0004348D">
      <w:pPr>
        <w:numPr>
          <w:ilvl w:val="0"/>
          <w:numId w:val="298"/>
        </w:numPr>
        <w:spacing w:before="360" w:after="240"/>
        <w:contextualSpacing/>
      </w:pPr>
      <w:r w:rsidRPr="001D49D4">
        <w:rPr>
          <w:rtl/>
        </w:rPr>
        <w:t xml:space="preserve">ר"ן </w:t>
      </w:r>
      <w:r w:rsidRPr="001D49D4">
        <w:rPr>
          <w:sz w:val="16"/>
          <w:szCs w:val="16"/>
          <w:rtl/>
        </w:rPr>
        <w:t>(ו: ד"ה עדים)</w:t>
      </w:r>
      <w:r w:rsidRPr="001D49D4">
        <w:rPr>
          <w:rtl/>
        </w:rPr>
        <w:t>- כתב רש"י ז"ל ד-'ניתן ליכתב להציל האנוס מיד אונסו', ולפי זה נ"ל דכי מהימני - דוקא בשאין כתב ידם יוצא ממקום אחר, אבל בשכתב ידם יוצא ממקום אחר לא, דאע"ג דניתן ליכתב מהאי טעמא, דהא כי אמרו אנוסים היינו מחמת נפשות כל שכן דניתן ליכתב ואפילו הכי בשכתב ידם יוצא ממקום אחר אינן נאמנין, משום דעקרי לסהדותייהו דהוי להו חוזרין ומגידין. אבל אם נפרש דניתן ליכתב שטר מיהא מהני דכי מבטלי זביני מחמת מודעא צריך המוכר להחזיר הדמים שקיבל כמו שכתוב בשטר, אפשר לומר דאפילו בשכתב ידם יוצא ממקום אחר נאמנים דלא עקרי סהדותייהו לגמרי דאכתי מהני לאהדורי זוזי אפומיה דההוא שטרא, וכן נמי אם נפרש דהאי ניתן ליכתב קאי אמודעא שבידם לכותבה ולכתוב זמנה קודם שטר המכר או באותו יום עצמו אפשר גם כן לומר דאפילו בכתב ידם יוצא ממקום אחר נאמנין שאין אלו חוזרין ומגידין שעדיין לא הגידו כיון שבידם לפסול הגדת המכר משעה ראשונה ולא דמי לאנוסים היינו מחמת נפשות.</w:t>
      </w:r>
    </w:p>
    <w:p w14:paraId="00A9AFA6" w14:textId="77777777" w:rsidR="001D49D4" w:rsidRPr="001D49D4" w:rsidRDefault="001D49D4" w:rsidP="0004348D">
      <w:pPr>
        <w:spacing w:before="360" w:after="240"/>
        <w:rPr>
          <w:rFonts w:ascii="Calibri" w:eastAsia="Calibri" w:hAnsi="Calibri" w:cs="Arial"/>
          <w:u w:val="single"/>
        </w:rPr>
      </w:pPr>
      <w:r w:rsidRPr="001D49D4">
        <w:rPr>
          <w:rFonts w:ascii="Calibri" w:eastAsia="Calibri" w:hAnsi="Calibri" w:cs="Arial"/>
          <w:u w:val="single"/>
          <w:rtl/>
        </w:rPr>
        <w:t>עדים שאמרו 'תנאי היו דברינו':</w:t>
      </w:r>
      <w:r w:rsidRPr="001D49D4">
        <w:rPr>
          <w:rFonts w:ascii="Calibri" w:eastAsia="Calibri" w:hAnsi="Calibri" w:cs="Arial"/>
          <w:rtl/>
        </w:rPr>
        <w:t xml:space="preserve"> </w:t>
      </w:r>
    </w:p>
    <w:p w14:paraId="08C423B6" w14:textId="77777777" w:rsidR="001D49D4" w:rsidRPr="001D49D4" w:rsidRDefault="001D49D4" w:rsidP="0004348D">
      <w:pPr>
        <w:numPr>
          <w:ilvl w:val="0"/>
          <w:numId w:val="298"/>
        </w:numPr>
        <w:spacing w:before="360" w:after="240"/>
        <w:contextualSpacing/>
      </w:pPr>
      <w:r w:rsidRPr="001D49D4">
        <w:rPr>
          <w:rtl/>
        </w:rPr>
        <w:t xml:space="preserve">ר"י ברצלוני </w:t>
      </w:r>
      <w:r w:rsidRPr="001D49D4">
        <w:rPr>
          <w:sz w:val="16"/>
          <w:szCs w:val="16"/>
          <w:rtl/>
        </w:rPr>
        <w:t xml:space="preserve">(כ"כ הטור בשמו) </w:t>
      </w:r>
      <w:r w:rsidRPr="001D49D4">
        <w:rPr>
          <w:rtl/>
        </w:rPr>
        <w:t>בשם רב האי- בתנאי נאמנין אפילו בכתב ידם יוצא ממקום אחר, דלאו חוזר ומגיד הוא שהרי השטר חל והשטר כשר אם יתקיים התנאי.</w:t>
      </w:r>
    </w:p>
    <w:p w14:paraId="679ABDA1" w14:textId="77777777" w:rsidR="001D49D4" w:rsidRPr="001D49D4" w:rsidRDefault="001D49D4" w:rsidP="0004348D">
      <w:pPr>
        <w:numPr>
          <w:ilvl w:val="0"/>
          <w:numId w:val="298"/>
        </w:numPr>
        <w:spacing w:before="360" w:after="240"/>
        <w:contextualSpacing/>
        <w:rPr>
          <w:rtl/>
        </w:rPr>
      </w:pPr>
      <w:r w:rsidRPr="001D49D4">
        <w:rPr>
          <w:rtl/>
        </w:rPr>
        <w:t xml:space="preserve">רמב"ם </w:t>
      </w:r>
      <w:r w:rsidRPr="001D49D4">
        <w:rPr>
          <w:sz w:val="16"/>
          <w:szCs w:val="16"/>
          <w:rtl/>
        </w:rPr>
        <w:t>(שם ה"ט)</w:t>
      </w:r>
      <w:r w:rsidRPr="001D49D4">
        <w:rPr>
          <w:rtl/>
        </w:rPr>
        <w:t xml:space="preserve"> רמב"ן </w:t>
      </w:r>
      <w:r w:rsidRPr="001D49D4">
        <w:rPr>
          <w:sz w:val="16"/>
          <w:szCs w:val="16"/>
          <w:rtl/>
        </w:rPr>
        <w:t>(כתובות יט: ד"ה והא)</w:t>
      </w:r>
      <w:r w:rsidRPr="001D49D4">
        <w:rPr>
          <w:rtl/>
        </w:rPr>
        <w:t xml:space="preserve"> רא"ש </w:t>
      </w:r>
      <w:r w:rsidRPr="001D49D4">
        <w:rPr>
          <w:sz w:val="16"/>
          <w:szCs w:val="16"/>
          <w:rtl/>
        </w:rPr>
        <w:t>(סי' יב, כ"כ הטור בשמו)</w:t>
      </w:r>
      <w:r w:rsidRPr="001D49D4">
        <w:rPr>
          <w:rtl/>
        </w:rPr>
        <w:t xml:space="preserve"> וטור- אמרו על תנאי היה שטר זה אם היה כתב ידן יוצא ממקום אחר - אין נאמנין</w:t>
      </w:r>
      <w:r w:rsidRPr="001D49D4">
        <w:rPr>
          <w:sz w:val="14"/>
          <w:szCs w:val="14"/>
          <w:rtl/>
        </w:rPr>
        <w:t xml:space="preserve"> </w:t>
      </w:r>
      <w:r w:rsidRPr="001D49D4">
        <w:rPr>
          <w:sz w:val="16"/>
          <w:szCs w:val="16"/>
          <w:rtl/>
        </w:rPr>
        <w:t xml:space="preserve"> (ל' הרמב"ם)</w:t>
      </w:r>
      <w:r w:rsidRPr="001D49D4">
        <w:rPr>
          <w:rtl/>
        </w:rPr>
        <w:t xml:space="preserve">. </w:t>
      </w:r>
      <w:r w:rsidRPr="001D49D4">
        <w:rPr>
          <w:color w:val="E36C0A" w:themeColor="accent6" w:themeShade="BF"/>
          <w:rtl/>
        </w:rPr>
        <w:t>(וכ"פ בשו"ע)</w:t>
      </w:r>
    </w:p>
    <w:p w14:paraId="3669BDE4" w14:textId="77777777" w:rsidR="001D49D4" w:rsidRPr="001D49D4" w:rsidRDefault="001D49D4" w:rsidP="0004348D">
      <w:pPr>
        <w:spacing w:before="360" w:after="240"/>
        <w:rPr>
          <w:rFonts w:ascii="Calibri" w:eastAsia="Calibri" w:hAnsi="Calibri" w:cs="Arial"/>
          <w:u w:val="single"/>
          <w:rtl/>
        </w:rPr>
      </w:pPr>
      <w:r w:rsidRPr="001D49D4">
        <w:rPr>
          <w:rFonts w:ascii="Calibri" w:eastAsia="Calibri" w:hAnsi="Calibri" w:cs="Arial"/>
          <w:u w:val="single"/>
          <w:rtl/>
        </w:rPr>
        <w:t xml:space="preserve">עדים שמעידים שלא ידעו בדבר עד אחר שחתמו: </w:t>
      </w:r>
    </w:p>
    <w:p w14:paraId="11A6A14F" w14:textId="77777777" w:rsidR="001D49D4" w:rsidRPr="001D49D4" w:rsidRDefault="001D49D4" w:rsidP="0004348D">
      <w:pPr>
        <w:numPr>
          <w:ilvl w:val="0"/>
          <w:numId w:val="299"/>
        </w:numPr>
        <w:spacing w:before="360" w:after="240"/>
        <w:contextualSpacing/>
        <w:rPr>
          <w:rtl/>
        </w:rPr>
      </w:pPr>
      <w:r w:rsidRPr="001D49D4">
        <w:rPr>
          <w:rtl/>
        </w:rPr>
        <w:t xml:space="preserve">רא"ש </w:t>
      </w:r>
      <w:r w:rsidRPr="001D49D4">
        <w:rPr>
          <w:sz w:val="16"/>
          <w:szCs w:val="16"/>
          <w:rtl/>
        </w:rPr>
        <w:t>(בתשו' כלל נח סי' ו)</w:t>
      </w:r>
      <w:r w:rsidRPr="001D49D4">
        <w:rPr>
          <w:rtl/>
        </w:rPr>
        <w:t xml:space="preserve"> וטור- אם אומרים שבשעה שחתמו לא ידעו שהיה אמנה ואח"כ נתברר להם שהוא אמנה – נאמנין</w:t>
      </w:r>
      <w:r w:rsidRPr="001D49D4">
        <w:rPr>
          <w:sz w:val="16"/>
          <w:szCs w:val="16"/>
          <w:rtl/>
        </w:rPr>
        <w:t xml:space="preserve"> (ל' הטור בשם הרא"ש)</w:t>
      </w:r>
      <w:r w:rsidRPr="001D49D4">
        <w:rPr>
          <w:rtl/>
        </w:rPr>
        <w:t xml:space="preserve">. </w:t>
      </w:r>
      <w:r w:rsidRPr="001D49D4">
        <w:rPr>
          <w:color w:val="E36C0A" w:themeColor="accent6" w:themeShade="BF"/>
          <w:rtl/>
        </w:rPr>
        <w:t>(וכ"פ בשו"ע)</w:t>
      </w:r>
    </w:p>
    <w:p w14:paraId="40870022" w14:textId="77777777" w:rsidR="001D49D4" w:rsidRPr="001D49D4" w:rsidRDefault="001D49D4" w:rsidP="0004348D">
      <w:pPr>
        <w:numPr>
          <w:ilvl w:val="0"/>
          <w:numId w:val="299"/>
        </w:numPr>
        <w:spacing w:before="360" w:after="240"/>
        <w:contextualSpacing/>
      </w:pPr>
      <w:r w:rsidRPr="001D49D4">
        <w:rPr>
          <w:rtl/>
        </w:rPr>
        <w:t xml:space="preserve">ריטב"א </w:t>
      </w:r>
      <w:r w:rsidRPr="001D49D4">
        <w:rPr>
          <w:sz w:val="16"/>
          <w:szCs w:val="16"/>
          <w:rtl/>
        </w:rPr>
        <w:t>(כתובות יט: ד"ה נמצאו שלשה, וכ"כ הנמוק"י בשמו [כו: ד"ה אמנה מדפה"ר])</w:t>
      </w:r>
      <w:r w:rsidRPr="001D49D4">
        <w:rPr>
          <w:rtl/>
        </w:rPr>
        <w:t>- כל שאומרים שלא ידעו דבר מכל זה אלא לאחר שחתמו ונתנו השטר - הרי אלו נאמנים אפילו כתב ידן יוצא ממקום אחר. וכן כל שהשטר יוצא מתחת יד העדים - נאמנים עליו לעולם, לא מדין עדות אלא מדין שליש בעלמא</w:t>
      </w:r>
      <w:r w:rsidRPr="001D49D4">
        <w:rPr>
          <w:vertAlign w:val="superscript"/>
          <w:rtl/>
        </w:rPr>
        <w:footnoteReference w:id="3992"/>
      </w:r>
      <w:r w:rsidRPr="001D49D4">
        <w:rPr>
          <w:rtl/>
        </w:rPr>
        <w:t>.</w:t>
      </w:r>
    </w:p>
    <w:p w14:paraId="161CE72E" w14:textId="77777777" w:rsidR="001D49D4" w:rsidRPr="001D49D4" w:rsidRDefault="001D49D4" w:rsidP="0004348D">
      <w:pPr>
        <w:spacing w:before="360" w:after="240"/>
        <w:rPr>
          <w:rFonts w:ascii="Calibri" w:eastAsia="Calibri" w:hAnsi="Calibri" w:cs="Arial"/>
          <w:u w:val="single"/>
        </w:rPr>
      </w:pPr>
      <w:r w:rsidRPr="001D49D4">
        <w:rPr>
          <w:rFonts w:ascii="Calibri" w:eastAsia="Calibri" w:hAnsi="Calibri" w:cs="Arial"/>
          <w:u w:val="single"/>
          <w:rtl/>
        </w:rPr>
        <w:t>עד אומר היה תנאי ועד אומר לא היה תנאי</w:t>
      </w:r>
      <w:r w:rsidRPr="001D49D4">
        <w:rPr>
          <w:rFonts w:ascii="Calibri" w:eastAsia="Calibri" w:hAnsi="Calibri" w:cs="Arial"/>
          <w:sz w:val="16"/>
          <w:szCs w:val="16"/>
          <w:u w:val="single"/>
          <w:rtl/>
        </w:rPr>
        <w:t xml:space="preserve"> {וקיי"ל בגמ' דהאי עד למעיקר סהדותיה קאתי}</w:t>
      </w:r>
      <w:r w:rsidRPr="001D49D4">
        <w:rPr>
          <w:rFonts w:ascii="Calibri" w:eastAsia="Calibri" w:hAnsi="Calibri" w:cs="Arial"/>
          <w:u w:val="single"/>
          <w:rtl/>
        </w:rPr>
        <w:t xml:space="preserve"> – מי מתחייב בשבועה:</w:t>
      </w:r>
    </w:p>
    <w:p w14:paraId="6DDD867B" w14:textId="77777777" w:rsidR="001D49D4" w:rsidRPr="001D49D4" w:rsidRDefault="001D49D4" w:rsidP="0004348D">
      <w:pPr>
        <w:numPr>
          <w:ilvl w:val="0"/>
          <w:numId w:val="299"/>
        </w:numPr>
        <w:spacing w:before="360" w:after="240"/>
        <w:contextualSpacing/>
      </w:pPr>
      <w:r w:rsidRPr="001D49D4">
        <w:rPr>
          <w:rtl/>
        </w:rPr>
        <w:t>רמ"ה</w:t>
      </w:r>
      <w:r w:rsidRPr="001D49D4">
        <w:rPr>
          <w:sz w:val="16"/>
          <w:szCs w:val="16"/>
          <w:rtl/>
        </w:rPr>
        <w:t xml:space="preserve"> (כ"כ הטור בשמו)</w:t>
      </w:r>
      <w:r w:rsidRPr="001D49D4">
        <w:rPr>
          <w:rtl/>
        </w:rPr>
        <w:t>- עד אומר היה תנאי ועד אומר לא היה תנאי, אם על מטלטלין מעידין - נשבע הנתבע שבועה דאורייתא ע"פ העד האחד שאמר שלא היה תנאי, אע"פ שהעד האחר מכחישו לא אמרינן אוקי חד לבהדי חד, דרחמנא הימניה לחד לחיוביה שבועה, וכל מקום שהאמינה תורה לעד אחד הו"ל כשנים, והאי דקאמר תנאי הו"ל חד ואין דבריו של אחד במקום שנים, וכן הדין באחד אומר פרוע ואחד אומר אינו פרוע</w:t>
      </w:r>
      <w:r w:rsidRPr="001D49D4">
        <w:rPr>
          <w:sz w:val="16"/>
          <w:szCs w:val="16"/>
          <w:rtl/>
        </w:rPr>
        <w:t xml:space="preserve"> (ל' הטור בשם הרמ"ה)</w:t>
      </w:r>
      <w:r w:rsidRPr="001D49D4">
        <w:rPr>
          <w:rtl/>
        </w:rPr>
        <w:t xml:space="preserve">. </w:t>
      </w:r>
    </w:p>
    <w:p w14:paraId="667D146B" w14:textId="77777777" w:rsidR="001D49D4" w:rsidRPr="001D49D4" w:rsidRDefault="001D49D4" w:rsidP="0004348D">
      <w:pPr>
        <w:numPr>
          <w:ilvl w:val="0"/>
          <w:numId w:val="299"/>
        </w:numPr>
        <w:spacing w:before="360" w:after="240"/>
        <w:contextualSpacing/>
      </w:pPr>
      <w:r w:rsidRPr="001D49D4">
        <w:rPr>
          <w:rtl/>
        </w:rPr>
        <w:t>רב מתתיה</w:t>
      </w:r>
      <w:r w:rsidRPr="001D49D4">
        <w:rPr>
          <w:sz w:val="16"/>
          <w:szCs w:val="16"/>
          <w:rtl/>
        </w:rPr>
        <w:t xml:space="preserve"> (כ"כ הטור בשמו)</w:t>
      </w:r>
      <w:r w:rsidRPr="001D49D4">
        <w:rPr>
          <w:rtl/>
        </w:rPr>
        <w:t xml:space="preserve"> וטור- </w:t>
      </w:r>
      <w:r w:rsidRPr="001D49D4">
        <w:rPr>
          <w:vertAlign w:val="superscript"/>
          <w:rtl/>
        </w:rPr>
        <w:footnoteReference w:id="3993"/>
      </w:r>
      <w:r w:rsidRPr="001D49D4">
        <w:rPr>
          <w:rtl/>
        </w:rPr>
        <w:t>אע"פ שהלכה שעד אומר תנאי נאמן מ"מ כיון דרב נחמן מחייב שבועה</w:t>
      </w:r>
      <w:r w:rsidRPr="001D49D4">
        <w:rPr>
          <w:sz w:val="16"/>
          <w:szCs w:val="16"/>
          <w:rtl/>
        </w:rPr>
        <w:t xml:space="preserve"> {שבועת היסת}</w:t>
      </w:r>
      <w:r w:rsidRPr="001D49D4">
        <w:rPr>
          <w:rtl/>
        </w:rPr>
        <w:t xml:space="preserve"> אפילו היכא דליכא דררא דממונא - משתבע ההוא דתנאי היה ובטיל לשטרא</w:t>
      </w:r>
      <w:r w:rsidRPr="001D49D4">
        <w:rPr>
          <w:sz w:val="16"/>
          <w:szCs w:val="16"/>
          <w:rtl/>
        </w:rPr>
        <w:t xml:space="preserve"> (ל' הטור בשם רב מתתיה)</w:t>
      </w:r>
      <w:r w:rsidRPr="001D49D4">
        <w:rPr>
          <w:vertAlign w:val="superscript"/>
          <w:rtl/>
        </w:rPr>
        <w:footnoteReference w:id="3994"/>
      </w:r>
      <w:r w:rsidRPr="001D49D4">
        <w:rPr>
          <w:rtl/>
        </w:rPr>
        <w:t>.</w:t>
      </w:r>
    </w:p>
    <w:p w14:paraId="678530E6" w14:textId="77777777" w:rsidR="001D49D4" w:rsidRPr="001D49D4" w:rsidRDefault="001D49D4" w:rsidP="0004348D">
      <w:pPr>
        <w:spacing w:before="360" w:after="240"/>
        <w:rPr>
          <w:rFonts w:ascii="Calibri" w:eastAsia="Calibri" w:hAnsi="Calibri" w:cs="Arial"/>
          <w:u w:val="single"/>
        </w:rPr>
      </w:pPr>
      <w:r w:rsidRPr="001D49D4">
        <w:rPr>
          <w:rFonts w:ascii="Calibri" w:eastAsia="Calibri" w:hAnsi="Calibri" w:cs="Arial"/>
          <w:u w:val="single"/>
          <w:rtl/>
        </w:rPr>
        <w:t>כתב יד העדים יוצא ממקום אחר – ועדים מן השוק מעידים שהמלוה העיד את העדים הראשונים בדבר שיש בו תנאי:</w:t>
      </w:r>
    </w:p>
    <w:p w14:paraId="7BB1D433" w14:textId="77777777" w:rsidR="001D49D4" w:rsidRPr="001D49D4" w:rsidRDefault="001D49D4" w:rsidP="0004348D">
      <w:pPr>
        <w:numPr>
          <w:ilvl w:val="0"/>
          <w:numId w:val="299"/>
        </w:numPr>
        <w:spacing w:before="360" w:after="240"/>
        <w:contextualSpacing/>
        <w:rPr>
          <w:rtl/>
        </w:rPr>
      </w:pPr>
      <w:r w:rsidRPr="001D49D4">
        <w:rPr>
          <w:rtl/>
        </w:rPr>
        <w:t>רי"ו</w:t>
      </w:r>
      <w:r w:rsidRPr="001D49D4">
        <w:rPr>
          <w:sz w:val="16"/>
          <w:szCs w:val="16"/>
          <w:rtl/>
        </w:rPr>
        <w:t xml:space="preserve"> (מישרים נ"ב ח"ב יב.)</w:t>
      </w:r>
      <w:r w:rsidRPr="001D49D4">
        <w:rPr>
          <w:rtl/>
        </w:rPr>
        <w:t>- הא דאמרינן שאם כתב ידם יוצא ממקום אחר אינם נאמנין דוקא אותם עדים החתומים בשטר, אבל שנים אחרים שהעידו על המלוה שהעידם על עצמו שיש בו תנאי - נאמנין, וכ"כ הגאונים</w:t>
      </w:r>
      <w:r w:rsidRPr="001D49D4">
        <w:rPr>
          <w:vertAlign w:val="superscript"/>
          <w:rtl/>
        </w:rPr>
        <w:footnoteReference w:id="3995"/>
      </w:r>
      <w:r w:rsidRPr="001D49D4">
        <w:rPr>
          <w:rtl/>
        </w:rPr>
        <w:t xml:space="preserve">. </w:t>
      </w:r>
    </w:p>
    <w:p w14:paraId="702690E6" w14:textId="77777777" w:rsidR="001D49D4" w:rsidRPr="001D49D4" w:rsidRDefault="001D49D4" w:rsidP="0004348D">
      <w:pPr>
        <w:spacing w:before="360" w:after="240"/>
        <w:rPr>
          <w:rFonts w:ascii="Calibri" w:eastAsia="Calibri" w:hAnsi="Calibri" w:cs="Arial"/>
          <w:u w:val="single"/>
        </w:rPr>
      </w:pPr>
      <w:r w:rsidRPr="001D49D4">
        <w:rPr>
          <w:rFonts w:ascii="Calibri" w:eastAsia="Calibri" w:hAnsi="Calibri" w:cs="Arial"/>
          <w:u w:val="single"/>
          <w:rtl/>
        </w:rPr>
        <w:t>שטר מכר ושטר תנאי שיצאו ביום אחד ואין ידוע איזה נכתב קודם:</w:t>
      </w:r>
    </w:p>
    <w:p w14:paraId="1291C8CF" w14:textId="77777777" w:rsidR="001D49D4" w:rsidRPr="001D49D4" w:rsidRDefault="001D49D4" w:rsidP="0004348D">
      <w:pPr>
        <w:numPr>
          <w:ilvl w:val="0"/>
          <w:numId w:val="299"/>
        </w:numPr>
        <w:spacing w:before="360" w:after="240"/>
        <w:contextualSpacing/>
      </w:pPr>
      <w:r w:rsidRPr="001D49D4">
        <w:rPr>
          <w:rtl/>
        </w:rPr>
        <w:t xml:space="preserve">ריטב"א </w:t>
      </w:r>
      <w:r w:rsidRPr="001D49D4">
        <w:rPr>
          <w:sz w:val="16"/>
          <w:szCs w:val="16"/>
          <w:rtl/>
        </w:rPr>
        <w:t>(סי' קנו)</w:t>
      </w:r>
      <w:r w:rsidRPr="001D49D4">
        <w:rPr>
          <w:rtl/>
        </w:rPr>
        <w:t xml:space="preserve">- מה שלאה טוענת שאין שטר הראיה שמוציא ראובן כלום לפי שהיא בעדים החתומים על השטר, וכיון שלא כתבו תנאי זה בשטר המכירה שוב אינם חוזרין ומגידים להכחיש עדותן שהעידו בשטר המכר. וזה בודאי היתה טענה אילו נחתם שטר התנאי אחר שנחתם שטר המכירה או שבאים בעל פה עתה להעיד על התנאי, אע"פ שאמרו </w:t>
      </w:r>
      <w:r w:rsidRPr="001D49D4">
        <w:rPr>
          <w:sz w:val="16"/>
          <w:szCs w:val="16"/>
          <w:rtl/>
        </w:rPr>
        <w:t xml:space="preserve">(יט:) </w:t>
      </w:r>
      <w:r w:rsidRPr="001D49D4">
        <w:rPr>
          <w:rtl/>
        </w:rPr>
        <w:t xml:space="preserve">שהעדים שבאו ואמרו תנאי היו דברינו נאמנים זהו בשאין כתב ידן בשטר המכר יוצא ממקום אחר אבל כל ששטר המכר מתקיים ממקום אחר אינם נאמנים. אבל הנדון שלפנינו אינו מהצורה הזאת, שהרי שני השטרות יוצאים ביום אחד ואין מוכיח מתוך לשונם איזה נחתם תחלה, והעדים אינם נאמנים לומר איזה מהם חתמו תחלה דלא אתי על פה ומרע לשטרא, ולא שייך בהא דין שני שטרות היוצאים ביום אחד </w:t>
      </w:r>
      <w:r w:rsidRPr="001D49D4">
        <w:rPr>
          <w:sz w:val="16"/>
          <w:szCs w:val="16"/>
          <w:rtl/>
        </w:rPr>
        <w:t>(כתובות צד.)</w:t>
      </w:r>
      <w:r w:rsidRPr="001D49D4">
        <w:rPr>
          <w:rtl/>
        </w:rPr>
        <w:t xml:space="preserve">, דהכא לא שייך שודא ולא חלוקה אלא דשמא כיון שיש כאן שתי עדויות המכחישות זו את זו דנימא אוקי סהדותא לגבי סהדותא ואוקי ממונא בחזקת מאריה, והנה המכר בחלון הזה שני השטרות מודים בו אלא שזה טוען שיש לו עליו זכות לסתמו מפני תנאו וא"כ הרי המכירה ודאית והתנאי ספק והבא לסתמו עליו הראיה דליכא למימר הכא אוקי סהדותא לגבי סהדותא ואוקי ממונא בחזקת מאריה קמא, כדאמרינן </w:t>
      </w:r>
      <w:r w:rsidRPr="001D49D4">
        <w:rPr>
          <w:sz w:val="16"/>
          <w:szCs w:val="16"/>
          <w:rtl/>
        </w:rPr>
        <w:t xml:space="preserve">(שבועות מז:) </w:t>
      </w:r>
      <w:r w:rsidRPr="001D49D4">
        <w:rPr>
          <w:rtl/>
        </w:rPr>
        <w:t xml:space="preserve">גבי שתי כיתי עדים המכחישות זו את זו, וכעובדא דבר שטיא </w:t>
      </w:r>
      <w:r w:rsidRPr="001D49D4">
        <w:rPr>
          <w:sz w:val="16"/>
          <w:szCs w:val="16"/>
          <w:rtl/>
        </w:rPr>
        <w:t>(כתובות כ.)</w:t>
      </w:r>
      <w:r w:rsidRPr="001D49D4">
        <w:rPr>
          <w:rtl/>
        </w:rPr>
        <w:t xml:space="preserve">, דהתם הוא שמכחישו בדבר המכור שזו אומרת מכר וזו אומרת לא מכר, אבל הכא שהכל מודים במכר סתימת החלון כשירצה זו לסתמו מילתא אחריתא היא, ודמיא לההיא דאמרינן </w:t>
      </w:r>
      <w:r w:rsidRPr="001D49D4">
        <w:rPr>
          <w:sz w:val="16"/>
          <w:szCs w:val="16"/>
          <w:rtl/>
        </w:rPr>
        <w:t xml:space="preserve">(שם יט:) </w:t>
      </w:r>
      <w:r w:rsidRPr="001D49D4">
        <w:rPr>
          <w:rtl/>
        </w:rPr>
        <w:t xml:space="preserve">תרווייהו בשטרא מעליא מסהדי וכו'. וכל זה אם החלון שעוררין עליו ראוי ליקרא בשם חלון או אורה אבל אם הוא עשוי בדרך ארובה ואין קורים אותו בשם חלון ולא שם אורה ויש ממנו היזק ראיה לביתו של ראובן אין שטר ראיה עדות שטר המכירה, דאע"ג דקיי"ל </w:t>
      </w:r>
      <w:r w:rsidRPr="001D49D4">
        <w:rPr>
          <w:sz w:val="16"/>
          <w:szCs w:val="16"/>
          <w:rtl/>
        </w:rPr>
        <w:t xml:space="preserve">(ב"ב סד:) </w:t>
      </w:r>
      <w:r w:rsidRPr="001D49D4">
        <w:rPr>
          <w:rtl/>
        </w:rPr>
        <w:t xml:space="preserve">שהמוכר סתם - בעין יפה מוכר ואינו יכול לערער בדבר המכור כלום, הני מילי בדבר שאין בו היזק ראיה אבל דבר שיש בו היזק ראיה אינו מכור מן הסתם עד שיקבל עליו בפירוש, דחזקה היא שאין אדם מוכר לחבירו דבר שיזיקנו בראיה, ולא עוד אלא דהיזק ראיה איסורא הוא </w:t>
      </w:r>
      <w:r w:rsidRPr="001D49D4">
        <w:rPr>
          <w:sz w:val="16"/>
          <w:szCs w:val="16"/>
          <w:rtl/>
        </w:rPr>
        <w:t xml:space="preserve">(שם ס.) </w:t>
      </w:r>
      <w:r w:rsidRPr="001D49D4">
        <w:rPr>
          <w:rtl/>
        </w:rPr>
        <w:t>ומסתמא אין שניהם מסכימים על האיסור, וזה דעת מורי הרא"ה וזה נראה לי. ולענין מה שטוענת לאה שאין שטר הראיה כלום לפי שאינו מדבר אלא מראובן בלבד ולא מאשתו - אין טענה זו כלום, דשני שותפים שמכרו ואחד מכר בתנאי והאחר מכר שלא בתנאי, אפילו תימא דלא מהני תנאה דחד לחבריה דלא נימא שליחותיה עבד מ"מ לו ולבאי כחו תנאו קיים, והרי זה כשותפים שמכר אחד מהם וחבירו לא מכר וזה פשוט.</w:t>
      </w:r>
    </w:p>
    <w:p w14:paraId="7DD16D69" w14:textId="77777777" w:rsidR="001D49D4" w:rsidRPr="001D49D4" w:rsidRDefault="001D49D4" w:rsidP="0004348D">
      <w:pPr>
        <w:spacing w:before="360" w:after="240"/>
        <w:rPr>
          <w:rFonts w:ascii="Calibri" w:eastAsia="Calibri" w:hAnsi="Calibri" w:cs="Arial"/>
          <w:u w:val="single"/>
        </w:rPr>
      </w:pPr>
      <w:r w:rsidRPr="001D49D4">
        <w:rPr>
          <w:rFonts w:ascii="Calibri" w:eastAsia="Calibri" w:hAnsi="Calibri" w:cs="Arial"/>
          <w:u w:val="single"/>
          <w:rtl/>
        </w:rPr>
        <w:t>עדים שחתמו על שטר ויש לנו בו ספק - האם יכולים העדים לברר לנו ענין השטר ולומר על זה חתמנו ועל זה לא:</w:t>
      </w:r>
    </w:p>
    <w:p w14:paraId="665F4888" w14:textId="77777777" w:rsidR="001D49D4" w:rsidRPr="001D49D4" w:rsidRDefault="001D49D4" w:rsidP="0004348D">
      <w:pPr>
        <w:numPr>
          <w:ilvl w:val="0"/>
          <w:numId w:val="299"/>
        </w:numPr>
        <w:spacing w:before="360" w:after="240"/>
        <w:contextualSpacing/>
      </w:pPr>
      <w:r w:rsidRPr="001D49D4">
        <w:rPr>
          <w:rtl/>
        </w:rPr>
        <w:t xml:space="preserve">ריב"ש </w:t>
      </w:r>
      <w:r w:rsidRPr="001D49D4">
        <w:rPr>
          <w:sz w:val="16"/>
          <w:szCs w:val="16"/>
          <w:rtl/>
        </w:rPr>
        <w:t>(סי' תצו)</w:t>
      </w:r>
      <w:r w:rsidRPr="001D49D4">
        <w:rPr>
          <w:rtl/>
        </w:rPr>
        <w:t>- אפילו חתמו שטר יכולים הם להעיד ולברר ענין השטר אם יש ספק בו ולומר על זה חתמנו ועל זה לא חתמנו</w:t>
      </w:r>
      <w:r w:rsidRPr="001D49D4">
        <w:rPr>
          <w:vertAlign w:val="superscript"/>
          <w:rtl/>
        </w:rPr>
        <w:footnoteReference w:id="3996"/>
      </w:r>
      <w:r w:rsidRPr="001D49D4">
        <w:rPr>
          <w:rtl/>
        </w:rPr>
        <w:t xml:space="preserve">. </w:t>
      </w:r>
    </w:p>
    <w:p w14:paraId="706E7F1E" w14:textId="77777777" w:rsidR="001D49D4" w:rsidRPr="001D49D4" w:rsidRDefault="001D49D4" w:rsidP="0004348D">
      <w:pPr>
        <w:spacing w:before="360" w:after="240"/>
        <w:rPr>
          <w:rFonts w:ascii="Calibri" w:eastAsia="Calibri" w:hAnsi="Calibri" w:cs="Arial"/>
          <w:u w:val="single"/>
          <w:rtl/>
        </w:rPr>
      </w:pPr>
      <w:r w:rsidRPr="001D49D4">
        <w:rPr>
          <w:rFonts w:ascii="Calibri" w:eastAsia="Calibri" w:hAnsi="Calibri" w:cs="Arial"/>
          <w:u w:val="single"/>
          <w:rtl/>
        </w:rPr>
        <w:t>עדים שחתמו בשטר שכתוב בו 'ואנן סהדי מסהדינן דלא הוי שום שיור בשטרא':</w:t>
      </w:r>
    </w:p>
    <w:p w14:paraId="5A0F8973" w14:textId="77777777" w:rsidR="001D49D4" w:rsidRPr="001D49D4" w:rsidRDefault="001D49D4" w:rsidP="0004348D">
      <w:pPr>
        <w:numPr>
          <w:ilvl w:val="0"/>
          <w:numId w:val="299"/>
        </w:numPr>
        <w:spacing w:before="360" w:after="240"/>
        <w:contextualSpacing/>
        <w:rPr>
          <w:rtl/>
        </w:rPr>
      </w:pPr>
      <w:r w:rsidRPr="001D49D4">
        <w:rPr>
          <w:rtl/>
        </w:rPr>
        <w:t>טור- אם כתוב בשטר 'ואנן סהדי מסהדינן דלא הוי שום שיור בשטרא' - לא יכלי למימר תנאי היה דברינו, דאינהו גופייהו מרעי לסהדותא וכיון שהגיד שוב אינו חוזר ומגיד. ומיהו אם העדים מעידים שהיה במכר תנאי, ואומרים מה שכתבו בשטר שלא היה בו שום שיור לא נאמר לבטל התנאי אלא רצו לומר שבגוף המכר לא היה בו שיור לכשיתקיים התנאי - נאמנין</w:t>
      </w:r>
      <w:r w:rsidRPr="001D49D4">
        <w:rPr>
          <w:vertAlign w:val="superscript"/>
          <w:rtl/>
        </w:rPr>
        <w:footnoteReference w:id="3997"/>
      </w:r>
      <w:r w:rsidRPr="001D49D4">
        <w:rPr>
          <w:rtl/>
        </w:rPr>
        <w:t xml:space="preserve">. </w:t>
      </w:r>
      <w:r w:rsidRPr="001D49D4">
        <w:rPr>
          <w:color w:val="00B0F0"/>
          <w:rtl/>
        </w:rPr>
        <w:t>(וכ"פ הרמ"א)</w:t>
      </w:r>
    </w:p>
    <w:p w14:paraId="2118DBD1" w14:textId="77777777" w:rsidR="001D49D4" w:rsidRPr="001D49D4" w:rsidRDefault="001D49D4" w:rsidP="0004348D">
      <w:pPr>
        <w:spacing w:before="360" w:after="240"/>
        <w:rPr>
          <w:rFonts w:ascii="Calibri" w:eastAsia="Calibri" w:hAnsi="Calibri" w:cs="Arial"/>
          <w:u w:val="single"/>
        </w:rPr>
      </w:pPr>
      <w:r w:rsidRPr="001D49D4">
        <w:rPr>
          <w:rFonts w:ascii="Calibri" w:eastAsia="Calibri" w:hAnsi="Calibri" w:cs="Arial"/>
          <w:u w:val="single"/>
          <w:rtl/>
        </w:rPr>
        <w:t>שטר שכתוב בו 'נשבע פלוני' ואינו אמור בשטר אם בהזכרת השם או בתורה:</w:t>
      </w:r>
    </w:p>
    <w:p w14:paraId="51B5AF00" w14:textId="77777777" w:rsidR="001D49D4" w:rsidRPr="001D49D4" w:rsidRDefault="001D49D4" w:rsidP="0004348D">
      <w:pPr>
        <w:numPr>
          <w:ilvl w:val="0"/>
          <w:numId w:val="299"/>
        </w:numPr>
        <w:spacing w:before="360" w:after="240"/>
        <w:contextualSpacing/>
      </w:pPr>
      <w:r w:rsidRPr="001D49D4">
        <w:rPr>
          <w:rtl/>
        </w:rPr>
        <w:t xml:space="preserve">רי"ו </w:t>
      </w:r>
      <w:r w:rsidRPr="001D49D4">
        <w:rPr>
          <w:sz w:val="16"/>
          <w:szCs w:val="16"/>
          <w:rtl/>
        </w:rPr>
        <w:t>(מישרים נ"ב ח"ב יב.)</w:t>
      </w:r>
      <w:r w:rsidRPr="001D49D4">
        <w:rPr>
          <w:rtl/>
        </w:rPr>
        <w:t>- שטר שכתוב בו נשבע פלוני ואינו אמור בשטר אם בהזכרת השם או בתורה - שואלין לעדים, דעדים שאמרו תנאי היו דברינו נאמנים, כך כתב הרא"ש בתשובה</w:t>
      </w:r>
      <w:r w:rsidRPr="001D49D4">
        <w:rPr>
          <w:vertAlign w:val="superscript"/>
          <w:rtl/>
        </w:rPr>
        <w:footnoteReference w:id="3998"/>
      </w:r>
      <w:r w:rsidRPr="001D49D4">
        <w:rPr>
          <w:rtl/>
        </w:rPr>
        <w:t>.</w:t>
      </w:r>
    </w:p>
    <w:p w14:paraId="4207772E" w14:textId="77777777" w:rsidR="001D49D4" w:rsidRPr="001D49D4" w:rsidRDefault="001D49D4" w:rsidP="0004348D">
      <w:pPr>
        <w:spacing w:before="360" w:after="240"/>
        <w:rPr>
          <w:rFonts w:ascii="Calibri" w:eastAsia="Calibri" w:hAnsi="Calibri" w:cs="Arial"/>
          <w:u w:val="single"/>
        </w:rPr>
      </w:pPr>
      <w:r w:rsidRPr="001D49D4">
        <w:rPr>
          <w:rFonts w:ascii="Calibri" w:eastAsia="Calibri" w:hAnsi="Calibri" w:cs="Arial"/>
          <w:u w:val="single"/>
          <w:rtl/>
        </w:rPr>
        <w:t>שטר שלא מפורש בו שדבר מסויים אינו בכלל – והעדים מעידים שהדבר ההוא אינו בכלל:</w:t>
      </w:r>
    </w:p>
    <w:p w14:paraId="3373F3EE" w14:textId="77777777" w:rsidR="001D49D4" w:rsidRPr="001D49D4" w:rsidRDefault="001D49D4" w:rsidP="0004348D">
      <w:pPr>
        <w:numPr>
          <w:ilvl w:val="0"/>
          <w:numId w:val="299"/>
        </w:numPr>
        <w:spacing w:before="360" w:after="240"/>
        <w:contextualSpacing/>
      </w:pPr>
      <w:r w:rsidRPr="001D49D4">
        <w:rPr>
          <w:rtl/>
        </w:rPr>
        <w:t xml:space="preserve">רא"ש </w:t>
      </w:r>
      <w:r w:rsidRPr="001D49D4">
        <w:rPr>
          <w:sz w:val="16"/>
          <w:szCs w:val="16"/>
          <w:rtl/>
        </w:rPr>
        <w:t>(בתשו' כלל צא סי' ד)</w:t>
      </w:r>
      <w:r w:rsidRPr="001D49D4">
        <w:rPr>
          <w:rtl/>
        </w:rPr>
        <w:t xml:space="preserve">- שטר משכנתא שלא היו כתובים בו המחיצות - אם איתא שלא היו בכלל המשכנתא היה צריך להוציאם בפירוש. ואף אם העדים החתומים על השטר יעידו על פה שהוציאו המחיצות מכלל המשכנתא - אין בעדותם כלום, מאחר שסותרים מה שכתוב בשטר. </w:t>
      </w:r>
    </w:p>
    <w:p w14:paraId="0261D199" w14:textId="77777777" w:rsidR="001D49D4" w:rsidRPr="001D49D4" w:rsidRDefault="001D49D4" w:rsidP="0004348D">
      <w:pPr>
        <w:spacing w:before="360" w:after="240"/>
        <w:rPr>
          <w:rFonts w:ascii="Calibri" w:eastAsia="Calibri" w:hAnsi="Calibri" w:cs="Arial"/>
          <w:u w:val="single"/>
        </w:rPr>
      </w:pPr>
      <w:r w:rsidRPr="001D49D4">
        <w:rPr>
          <w:rFonts w:ascii="Calibri" w:eastAsia="Calibri" w:hAnsi="Calibri" w:cs="Arial"/>
          <w:u w:val="single"/>
          <w:rtl/>
        </w:rPr>
        <w:t>אחד הוציא שטר קניית כרם מחבירו, והמוכר טוען שהמכירה היתה על תנאי כך וכך והביא עדים שהעידו כדבריו:</w:t>
      </w:r>
    </w:p>
    <w:p w14:paraId="7DB28FC7" w14:textId="77777777" w:rsidR="001D49D4" w:rsidRPr="001D49D4" w:rsidRDefault="001D49D4" w:rsidP="0004348D">
      <w:pPr>
        <w:numPr>
          <w:ilvl w:val="0"/>
          <w:numId w:val="299"/>
        </w:numPr>
        <w:spacing w:before="360" w:after="240"/>
        <w:contextualSpacing/>
      </w:pPr>
      <w:r w:rsidRPr="001D49D4">
        <w:rPr>
          <w:rtl/>
        </w:rPr>
        <w:t>רשב"א</w:t>
      </w:r>
      <w:r w:rsidRPr="001D49D4">
        <w:rPr>
          <w:sz w:val="16"/>
          <w:szCs w:val="16"/>
          <w:rtl/>
        </w:rPr>
        <w:t xml:space="preserve"> (ח"ב סו"ס רכט ד"ה ועוד)</w:t>
      </w:r>
      <w:r w:rsidRPr="001D49D4">
        <w:rPr>
          <w:rtl/>
        </w:rPr>
        <w:t xml:space="preserve">- מי שהוציא שטר קניית כרם מחבירו והמוכר טוען שהמכירה היתה על תנאי כך וכך והביא עדים שהעידו כדבריו. תשובה, רואה אני שהבית דין דימו דין זה לאותה שאמרו בפ"ב דכתובות </w:t>
      </w:r>
      <w:r w:rsidRPr="001D49D4">
        <w:rPr>
          <w:sz w:val="16"/>
          <w:szCs w:val="16"/>
          <w:rtl/>
        </w:rPr>
        <w:t xml:space="preserve">(יט:) </w:t>
      </w:r>
      <w:r w:rsidRPr="001D49D4">
        <w:rPr>
          <w:rtl/>
        </w:rPr>
        <w:t xml:space="preserve">שנים החתומים על השטר ובאו שנים ואמרו ידענו שכתב ידם הוא אבל אנוסים היו וכו', ופריך ומגבינן ביה, תרי ותרי נינהו ואוקי ממונא בחזקת מאריה, ועל כן אמרו שהקרקע בחזקת המוכר. ואין דמיונם עולה יפה, ושאני הכא דלדברי כולם לוקח זה כדין ירד לכרמו והחזיק בו כמו שכתוב בשטר המכירה אלא שהתנה עמו לפי דבריו שאם יתן לו מעותיו תוך זמן שתתבטל המכירה, וכיון שהחזיק בו זה כדין לדברי כולם אלא שזה טוען שיש לו להסתלק מחמת תנאי ומביא עדים, וזה טוען שאין מכירתו מתבטלת ומביא עדים - העמד הכרם בחזקת זה שהיה מוחזק עכשיו וכדין, ואין אומרים בכיוצא בזה אוקי בחזקת מאריה קמא כמו שאמרו </w:t>
      </w:r>
      <w:r w:rsidRPr="001D49D4">
        <w:rPr>
          <w:sz w:val="16"/>
          <w:szCs w:val="16"/>
          <w:rtl/>
        </w:rPr>
        <w:t xml:space="preserve">(ב"מ ק.) </w:t>
      </w:r>
      <w:r w:rsidRPr="001D49D4">
        <w:rPr>
          <w:rtl/>
        </w:rPr>
        <w:t xml:space="preserve">במוכר שפחה וילדה, דהתם הוחזק המוכר בשפחה מעוברת והלוקח לא נתברר שהוחזק בה בעודה מעוברת ובולד שנחלקו לא הוחזק, וכל שכן לדעת ר"ת שפסק דהלכה כמאן דאמר בפרק ארבעה אחין </w:t>
      </w:r>
      <w:r w:rsidRPr="001D49D4">
        <w:rPr>
          <w:sz w:val="16"/>
          <w:szCs w:val="16"/>
          <w:rtl/>
        </w:rPr>
        <w:t xml:space="preserve">(יבמות לא.) </w:t>
      </w:r>
      <w:r w:rsidRPr="001D49D4">
        <w:rPr>
          <w:rtl/>
        </w:rPr>
        <w:t xml:space="preserve">תרי ותרי ספיקא דאו' ולא אמרינן אוקי מילתא בחזקתיה, ויש לו ראיות הרבה על מה שיסמוך, ונפקא מינה למי שתפס ואפילו בעדים, וכדמשמע בההיא דפ"ב דכתובות </w:t>
      </w:r>
      <w:r w:rsidRPr="001D49D4">
        <w:rPr>
          <w:sz w:val="16"/>
          <w:szCs w:val="16"/>
          <w:rtl/>
        </w:rPr>
        <w:t>(כ.)</w:t>
      </w:r>
      <w:r w:rsidRPr="001D49D4">
        <w:rPr>
          <w:rtl/>
        </w:rPr>
        <w:t>, ואע"פ שאין הקרקע נתפס מ"מ נפקא מינה לזה שירד לתוכו ברשות הבעלים מעיקרא. וכל שכן שאין דינם עולה יפה במה שפסקו שיחזיר השטר, דכיון שכתב ידם של עדים יוצא ממקום אחר לא קרעינן ליה ולא מהדרינן ליה.</w:t>
      </w:r>
    </w:p>
    <w:p w14:paraId="4642C426" w14:textId="77777777" w:rsidR="001D49D4" w:rsidRPr="001D49D4" w:rsidRDefault="001D49D4" w:rsidP="0004348D">
      <w:pPr>
        <w:spacing w:before="360" w:after="240"/>
        <w:rPr>
          <w:rFonts w:ascii="Arial" w:eastAsia="Calibri" w:hAnsi="Arial" w:cs="Arial"/>
          <w:b/>
          <w:bCs/>
          <w:color w:val="000000"/>
          <w:sz w:val="28"/>
          <w:szCs w:val="28"/>
          <w:u w:val="single"/>
          <w:rtl/>
        </w:rPr>
      </w:pPr>
      <w:r w:rsidRPr="001D49D4">
        <w:rPr>
          <w:rFonts w:ascii="Arial" w:eastAsia="Calibri" w:hAnsi="Arial" w:cs="Arial"/>
          <w:b/>
          <w:bCs/>
          <w:color w:val="000000"/>
          <w:sz w:val="28"/>
          <w:szCs w:val="28"/>
          <w:u w:val="single"/>
          <w:rtl/>
        </w:rPr>
        <w:t>שו"ע:</w:t>
      </w:r>
    </w:p>
    <w:p w14:paraId="0A6BC425"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rtl/>
        </w:rPr>
        <w:t xml:space="preserve">שנים החתומים על השטר ומתו ואין כתב ידם יוצא ממקום אחר, ובאו שנים ואמרו כתב ידם הוא אבל קטנים היו או פסולין, הרי אלו נאמנים וקורעין השטר, אלא אם כן טען שנקבע לו זמן לקיים השטר. ואם יש עדים שהוא כתב ידם או שהיה כתב ידם יוצא ממקום אחר משטר שקרא עליו ערער והוחזק בבית דין, אין קורעין אותו. ויש מי שאומר שאין צריך שקרא עליו ערער, דבהוחזק בבית דין סגי אפילו לא קרא ערער. </w:t>
      </w:r>
      <w:r w:rsidRPr="001D49D4">
        <w:rPr>
          <w:rFonts w:ascii="Calibri" w:eastAsia="Calibri" w:hAnsi="Calibri" w:cs="Arial"/>
          <w:sz w:val="18"/>
          <w:szCs w:val="18"/>
          <w:rtl/>
        </w:rPr>
        <w:t xml:space="preserve">הגה: וכל זה שכבר מתו העדים, אבל אם העדים עדיין חיים, וב' עדים אחרים באים לפוסלן ואומרים שפסולין הם, גם השטר נפסל, אע"פ שכתב ידן יוצא ממקום אחר (ר"ן בשם י"א וטור בשם התוס'). ויש חולקין ומכשירין השטר (שם בשם אביו הרא"ש). והא דאין נאמנים בשכתב ידן יוצא ממקום אחר, לא למהוי שטרא מעליא לגבות בו, אלא דאי תפס מטלטלין לא מפקינן מיניה (טור בשם רש"י והרא"ש). </w:t>
      </w:r>
      <w:r w:rsidRPr="001D49D4">
        <w:rPr>
          <w:rFonts w:ascii="Calibri" w:eastAsia="Calibri" w:hAnsi="Calibri" w:cs="Arial"/>
          <w:rtl/>
        </w:rPr>
        <w:t>עדים שאין כתב ידם יוצא ממקום אחר, ואמרו כתב ידינו הוא זה, ואומרים בתוך כדי דיבור אנוסים היינו מחמת נפשות, או קטנים היינו, או פסולי עדות היינו מחמת קורבה ונתרחקנו, או מסר מודעא בפנינו, או תנאי היה בדבר ולא ראינו שנתקיים התנאי, הרי אלו נאמנים. ואפילו עד אחד אומר לא היה תנאי, ועד אחד אומר היה תנאי ולא נתקיים, נאמן, ואין כאן אלא עד אחד.</w:t>
      </w:r>
      <w:r w:rsidRPr="001D49D4">
        <w:rPr>
          <w:rFonts w:ascii="Calibri" w:eastAsia="Calibri" w:hAnsi="Calibri" w:cs="Arial"/>
          <w:sz w:val="18"/>
          <w:szCs w:val="18"/>
          <w:rtl/>
        </w:rPr>
        <w:t xml:space="preserve"> [הגה] אם כתוב בשטרא 'ואנן סהדי מסהדינן דלא הוי שיור בשטרא', אינן יכולין לומר תנאי היה בדבר, דאינן חוזרין ומגידין. מיהו אם אומרים 'מה שכתוב שלא היה בו שיור לא נאמר לבטל התנאי רק שלא היה שיור בגוף המכר', נאמנין (טור). וכן יכולין לפרש דברי השטר בכל דבר שאינן סותרין דבריהם (נמוק"י פ' מי שמת). </w:t>
      </w:r>
      <w:r w:rsidRPr="001D49D4">
        <w:rPr>
          <w:rFonts w:ascii="Calibri" w:eastAsia="Calibri" w:hAnsi="Calibri" w:cs="Arial"/>
          <w:rtl/>
        </w:rPr>
        <w:t xml:space="preserve">אבל אם אמרו שהיו אנוסין מחמת ממון, או  שהיה שטר אמנה, או שהיו פסולים בעבירה, אינם נאמנים, ואפילו אמרו שאחר כך עשו תשובה. ואף על פי שאינם נאמנים לבטל השטר, מכל מקום לגבי דידהו נאמנים, וחייבים לשלם ללוה ההפסד שבא לו מכח חתימתם. ואם אומרים שבשעה שחתמו לא ידעו שהיה אמנה, ואחר כך נתברר להם שהיה אמנה, נאמנים. ואם כתב ידם יוצא ממקום אחר, או שיש עדים שזה כתב ידם, אין נאמנים בשום דבר שיאמרו לבטל השטר, חוץ מלומר בפנינו מסר מודעא. </w:t>
      </w:r>
    </w:p>
    <w:p w14:paraId="635066DA" w14:textId="77777777" w:rsidR="001D49D4" w:rsidRPr="001D49D4" w:rsidRDefault="001D49D4" w:rsidP="0004348D">
      <w:pPr>
        <w:spacing w:before="360" w:after="240"/>
        <w:rPr>
          <w:rFonts w:ascii="Calibri" w:eastAsia="Calibri" w:hAnsi="Calibri" w:cs="Arial"/>
          <w:rtl/>
        </w:rPr>
      </w:pPr>
    </w:p>
    <w:p w14:paraId="1E86A7DE" w14:textId="77777777" w:rsidR="001D49D4" w:rsidRPr="001D49D4" w:rsidRDefault="001D49D4" w:rsidP="0004348D">
      <w:pPr>
        <w:keepNext/>
        <w:keepLines/>
        <w:spacing w:before="360" w:after="240"/>
        <w:outlineLvl w:val="1"/>
        <w:rPr>
          <w:rFonts w:ascii="Cambria" w:eastAsia="Times New Roman" w:hAnsi="Cambria" w:cs="Arial"/>
          <w:bCs/>
          <w:color w:val="548DD4" w:themeColor="text2" w:themeTint="99"/>
          <w:sz w:val="26"/>
          <w:szCs w:val="26"/>
          <w:rtl/>
        </w:rPr>
      </w:pPr>
      <w:bookmarkStart w:id="543" w:name="_Toc24883972"/>
      <w:r w:rsidRPr="001D49D4">
        <w:rPr>
          <w:rFonts w:ascii="Cambria" w:eastAsia="Times New Roman" w:hAnsi="Cambria" w:cs="Arial"/>
          <w:bCs/>
          <w:color w:val="548DD4" w:themeColor="text2" w:themeTint="99"/>
          <w:sz w:val="26"/>
          <w:szCs w:val="26"/>
          <w:rtl/>
        </w:rPr>
        <w:t>סעיף לח: עדים החתומים על השטר שאמרו שהלוה היה קטן באותה שעה.</w:t>
      </w:r>
      <w:bookmarkEnd w:id="543"/>
    </w:p>
    <w:p w14:paraId="2EE2ADFD"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u w:val="single"/>
          <w:rtl/>
        </w:rPr>
        <w:t>עדים החתומים על השטר שאמרו שהלוה היה קטן באותה שעה:</w:t>
      </w:r>
    </w:p>
    <w:p w14:paraId="4939A18B" w14:textId="77777777" w:rsidR="001D49D4" w:rsidRPr="001D49D4" w:rsidRDefault="001D49D4" w:rsidP="0004348D">
      <w:pPr>
        <w:numPr>
          <w:ilvl w:val="0"/>
          <w:numId w:val="299"/>
        </w:numPr>
        <w:spacing w:before="360" w:after="240"/>
        <w:contextualSpacing/>
        <w:rPr>
          <w:rtl/>
        </w:rPr>
      </w:pPr>
      <w:r w:rsidRPr="001D49D4">
        <w:rPr>
          <w:rtl/>
        </w:rPr>
        <w:t xml:space="preserve">רשב"א </w:t>
      </w:r>
      <w:r w:rsidRPr="001D49D4">
        <w:rPr>
          <w:sz w:val="16"/>
          <w:szCs w:val="16"/>
          <w:rtl/>
        </w:rPr>
        <w:t>(ח"ב סי' קצו)</w:t>
      </w:r>
      <w:r w:rsidRPr="001D49D4">
        <w:rPr>
          <w:rtl/>
        </w:rPr>
        <w:t xml:space="preserve">- עדים החתומים על השטר שאמרו שהלוה היה קטן באותה שעה - אינם נאמנים, דכיון דקיימא לן </w:t>
      </w:r>
      <w:r w:rsidRPr="001D49D4">
        <w:rPr>
          <w:sz w:val="16"/>
          <w:szCs w:val="16"/>
          <w:rtl/>
        </w:rPr>
        <w:t xml:space="preserve">(כתובות יט.) </w:t>
      </w:r>
      <w:r w:rsidRPr="001D49D4">
        <w:rPr>
          <w:rtl/>
        </w:rPr>
        <w:t xml:space="preserve">חזקה אין העדים חותמין אא"כ נעשה בגדול צריכים הם לבדוק אם הוא גדול, וכל שלא בדקו משוו נפשייהו רשיעי ואין אדם משים עצמו רשע. </w:t>
      </w:r>
      <w:r w:rsidRPr="001D49D4">
        <w:rPr>
          <w:color w:val="E36C0A" w:themeColor="accent6" w:themeShade="BF"/>
          <w:rtl/>
        </w:rPr>
        <w:t>(וכ"פ בשו"ע)</w:t>
      </w:r>
    </w:p>
    <w:p w14:paraId="42F73B25" w14:textId="77777777" w:rsidR="001D49D4" w:rsidRPr="001D49D4" w:rsidRDefault="001D49D4" w:rsidP="0004348D">
      <w:pPr>
        <w:spacing w:before="360" w:after="240"/>
        <w:rPr>
          <w:rFonts w:ascii="Arial" w:eastAsia="Calibri" w:hAnsi="Arial" w:cs="Arial"/>
          <w:b/>
          <w:bCs/>
          <w:color w:val="000000"/>
          <w:sz w:val="28"/>
          <w:szCs w:val="28"/>
          <w:u w:val="single"/>
          <w:rtl/>
        </w:rPr>
      </w:pPr>
      <w:r w:rsidRPr="001D49D4">
        <w:rPr>
          <w:rFonts w:ascii="Arial" w:eastAsia="Calibri" w:hAnsi="Arial" w:cs="Arial"/>
          <w:b/>
          <w:bCs/>
          <w:color w:val="000000"/>
          <w:sz w:val="28"/>
          <w:szCs w:val="28"/>
          <w:u w:val="single"/>
          <w:rtl/>
        </w:rPr>
        <w:t>שו"ע:</w:t>
      </w:r>
    </w:p>
    <w:p w14:paraId="21A4D8A1"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rtl/>
        </w:rPr>
        <w:t>עדים החתומים על השטר, שאמרו שהלוה היה קטן באותה שעה, אינם נאמנים</w:t>
      </w:r>
      <w:r w:rsidRPr="001D49D4">
        <w:rPr>
          <w:rFonts w:ascii="Calibri" w:eastAsia="Calibri" w:hAnsi="Calibri" w:cs="Arial"/>
          <w:vertAlign w:val="superscript"/>
          <w:rtl/>
        </w:rPr>
        <w:footnoteReference w:id="3999"/>
      </w:r>
      <w:r w:rsidRPr="001D49D4">
        <w:rPr>
          <w:rFonts w:ascii="Calibri" w:eastAsia="Calibri" w:hAnsi="Calibri" w:cs="Arial"/>
          <w:rtl/>
        </w:rPr>
        <w:t xml:space="preserve">. </w:t>
      </w:r>
      <w:r w:rsidRPr="001D49D4">
        <w:rPr>
          <w:rFonts w:ascii="Calibri" w:eastAsia="Calibri" w:hAnsi="Calibri" w:cs="Arial"/>
          <w:sz w:val="18"/>
          <w:szCs w:val="18"/>
          <w:rtl/>
        </w:rPr>
        <w:t>הגה: יש אומרים הא דעדים החתומים על השטר כמי שנחקרה עדותן ואינן יכולין לחזור, דוקא שנים, אבל עד אחד החתום בשטר, יכול לחזור בו</w:t>
      </w:r>
      <w:r w:rsidRPr="001D49D4">
        <w:rPr>
          <w:rFonts w:ascii="Calibri" w:eastAsia="Calibri" w:hAnsi="Calibri" w:cs="Arial"/>
          <w:sz w:val="18"/>
          <w:szCs w:val="18"/>
          <w:vertAlign w:val="superscript"/>
          <w:rtl/>
        </w:rPr>
        <w:footnoteReference w:id="4000"/>
      </w:r>
      <w:r w:rsidRPr="001D49D4">
        <w:rPr>
          <w:rFonts w:ascii="Calibri" w:eastAsia="Calibri" w:hAnsi="Calibri" w:cs="Arial"/>
          <w:sz w:val="18"/>
          <w:szCs w:val="18"/>
          <w:rtl/>
        </w:rPr>
        <w:t xml:space="preserve"> (ריב"ש סי' קכז).</w:t>
      </w:r>
    </w:p>
    <w:p w14:paraId="4C175854" w14:textId="77777777" w:rsidR="001D49D4" w:rsidRPr="001D49D4" w:rsidRDefault="001D49D4" w:rsidP="0004348D">
      <w:pPr>
        <w:spacing w:before="360" w:after="240"/>
        <w:rPr>
          <w:rFonts w:ascii="Calibri" w:eastAsia="Calibri" w:hAnsi="Calibri" w:cs="Arial"/>
          <w:rtl/>
        </w:rPr>
      </w:pPr>
    </w:p>
    <w:p w14:paraId="36A45F10" w14:textId="77777777" w:rsidR="001D49D4" w:rsidRPr="001D49D4" w:rsidRDefault="001D49D4" w:rsidP="0004348D">
      <w:pPr>
        <w:bidi w:val="0"/>
        <w:spacing w:before="360" w:after="240"/>
        <w:rPr>
          <w:rFonts w:ascii="Cambria" w:eastAsia="Times New Roman" w:hAnsi="Cambria" w:cs="Arial"/>
          <w:b/>
          <w:bCs/>
          <w:color w:val="365F91" w:themeColor="accent1" w:themeShade="BF"/>
          <w:sz w:val="28"/>
          <w:szCs w:val="28"/>
          <w:rtl/>
        </w:rPr>
        <w:sectPr w:rsidR="001D49D4" w:rsidRPr="001D49D4">
          <w:headerReference w:type="default" r:id="rId55"/>
          <w:footnotePr>
            <w:numRestart w:val="eachPage"/>
          </w:footnotePr>
          <w:pgSz w:w="11906" w:h="16838"/>
          <w:pgMar w:top="720" w:right="1134" w:bottom="720" w:left="1134" w:header="0" w:footer="0" w:gutter="0"/>
          <w:cols w:space="720"/>
          <w:bidi/>
          <w:rtlGutter/>
        </w:sectPr>
      </w:pPr>
    </w:p>
    <w:p w14:paraId="5ADFCCC4" w14:textId="77777777" w:rsidR="001D49D4" w:rsidRPr="001D49D4" w:rsidRDefault="001D49D4" w:rsidP="0004348D">
      <w:pPr>
        <w:keepNext/>
        <w:keepLines/>
        <w:spacing w:before="360" w:after="240"/>
        <w:outlineLvl w:val="0"/>
        <w:rPr>
          <w:rFonts w:ascii="Cambria" w:eastAsia="Times New Roman" w:hAnsi="Cambria" w:cs="Arial"/>
          <w:b/>
          <w:bCs/>
          <w:color w:val="365F91" w:themeColor="accent1" w:themeShade="BF"/>
          <w:sz w:val="28"/>
          <w:szCs w:val="28"/>
          <w:rtl/>
        </w:rPr>
      </w:pPr>
      <w:bookmarkStart w:id="544" w:name="_Toc24883973"/>
      <w:r w:rsidRPr="001D49D4">
        <w:rPr>
          <w:rFonts w:ascii="Cambria" w:eastAsia="Times New Roman" w:hAnsi="Cambria" w:cs="Arial"/>
          <w:b/>
          <w:bCs/>
          <w:color w:val="365F91" w:themeColor="accent1" w:themeShade="BF"/>
          <w:sz w:val="28"/>
          <w:szCs w:val="28"/>
          <w:rtl/>
        </w:rPr>
        <w:t>סימן מז: מי שטען אמנה הוא או פרוע, ובו ב' סעיפים.</w:t>
      </w:r>
      <w:bookmarkEnd w:id="544"/>
      <w:r w:rsidRPr="001D49D4">
        <w:rPr>
          <w:rFonts w:ascii="Cambria" w:eastAsia="Times New Roman" w:hAnsi="Cambria" w:cs="Arial"/>
          <w:b/>
          <w:bCs/>
          <w:color w:val="365F91" w:themeColor="accent1" w:themeShade="BF"/>
          <w:sz w:val="28"/>
          <w:szCs w:val="28"/>
          <w:rtl/>
        </w:rPr>
        <w:t xml:space="preserve"> </w:t>
      </w:r>
    </w:p>
    <w:p w14:paraId="56BF60E1" w14:textId="77777777" w:rsidR="001D49D4" w:rsidRPr="001D49D4" w:rsidRDefault="001D49D4" w:rsidP="0004348D">
      <w:pPr>
        <w:keepNext/>
        <w:keepLines/>
        <w:spacing w:before="360" w:after="240"/>
        <w:outlineLvl w:val="1"/>
        <w:rPr>
          <w:rFonts w:ascii="Cambria" w:eastAsia="Times New Roman" w:hAnsi="Cambria" w:cs="Arial"/>
          <w:bCs/>
          <w:color w:val="548DD4" w:themeColor="text2" w:themeTint="99"/>
          <w:sz w:val="26"/>
          <w:szCs w:val="26"/>
          <w:rtl/>
        </w:rPr>
      </w:pPr>
      <w:bookmarkStart w:id="545" w:name="_Toc24883974"/>
      <w:r w:rsidRPr="001D49D4">
        <w:rPr>
          <w:rFonts w:ascii="Cambria" w:eastAsia="Times New Roman" w:hAnsi="Cambria" w:cs="Arial"/>
          <w:bCs/>
          <w:color w:val="548DD4" w:themeColor="text2" w:themeTint="99"/>
          <w:sz w:val="26"/>
          <w:szCs w:val="26"/>
          <w:rtl/>
        </w:rPr>
        <w:t>סעיף א: מלוה שאמר על שטר שבידו שהוא אמנה או פרוע.</w:t>
      </w:r>
      <w:bookmarkEnd w:id="545"/>
    </w:p>
    <w:p w14:paraId="06F4843D"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b/>
          <w:bCs/>
          <w:rtl/>
        </w:rPr>
        <w:t xml:space="preserve">כתובות </w:t>
      </w:r>
      <w:r w:rsidRPr="001D49D4">
        <w:rPr>
          <w:rFonts w:ascii="Calibri" w:eastAsia="Calibri" w:hAnsi="Calibri" w:cs="Arial"/>
          <w:b/>
          <w:bCs/>
          <w:sz w:val="16"/>
          <w:szCs w:val="16"/>
          <w:rtl/>
        </w:rPr>
        <w:t>(פ"ב)</w:t>
      </w:r>
      <w:r w:rsidRPr="001D49D4">
        <w:rPr>
          <w:rFonts w:ascii="Calibri" w:eastAsia="Calibri" w:hAnsi="Calibri" w:cs="Arial"/>
          <w:b/>
          <w:bCs/>
          <w:rtl/>
        </w:rPr>
        <w:t xml:space="preserve"> יט</w:t>
      </w:r>
      <w:r w:rsidRPr="001D49D4">
        <w:rPr>
          <w:rFonts w:ascii="Calibri" w:eastAsia="Calibri" w:hAnsi="Calibri" w:cs="Arial"/>
          <w:b/>
          <w:bCs/>
          <w:vertAlign w:val="superscript"/>
          <w:rtl/>
        </w:rPr>
        <w:footnoteReference w:id="4001"/>
      </w:r>
      <w:r w:rsidRPr="001D49D4">
        <w:rPr>
          <w:rFonts w:ascii="Calibri" w:eastAsia="Calibri" w:hAnsi="Calibri" w:cs="Arial"/>
          <w:b/>
          <w:bCs/>
          <w:rtl/>
        </w:rPr>
        <w:t xml:space="preserve"> ע"א:</w:t>
      </w:r>
      <w:r w:rsidRPr="001D49D4">
        <w:rPr>
          <w:rFonts w:ascii="Calibri" w:eastAsia="Calibri" w:hAnsi="Calibri" w:cs="Arial"/>
          <w:rtl/>
        </w:rPr>
        <w:t xml:space="preserve"> </w:t>
      </w:r>
      <w:r w:rsidRPr="001D49D4">
        <w:rPr>
          <w:rFonts w:ascii="Calibri" w:eastAsia="Calibri" w:hAnsi="Calibri" w:cs="Arial"/>
          <w:u w:val="single"/>
          <w:rtl/>
        </w:rPr>
        <w:t>א"ר יהודה אמר רב</w:t>
      </w:r>
      <w:r w:rsidRPr="001D49D4">
        <w:rPr>
          <w:rFonts w:ascii="Calibri" w:eastAsia="Calibri" w:hAnsi="Calibri" w:cs="Arial"/>
          <w:rtl/>
        </w:rPr>
        <w:t xml:space="preserve">: האומר שטר אמנה הוא זה - אינו נאמן. דקאמר מאן? אילימא דקאמר לוה, פשיטא, כל כמיניה? ואלא דקאמר מלוה, תבוא עליו ברכה!... </w:t>
      </w:r>
      <w:r w:rsidRPr="001D49D4">
        <w:rPr>
          <w:rFonts w:ascii="Calibri" w:eastAsia="Calibri" w:hAnsi="Calibri" w:cs="Arial"/>
          <w:u w:val="single"/>
          <w:rtl/>
        </w:rPr>
        <w:t>אביי אמר</w:t>
      </w:r>
      <w:r w:rsidRPr="001D49D4">
        <w:rPr>
          <w:rFonts w:ascii="Calibri" w:eastAsia="Calibri" w:hAnsi="Calibri" w:cs="Arial"/>
          <w:rtl/>
        </w:rPr>
        <w:t xml:space="preserve">: לעולם דאמר מלוה, וכגון שחב לאחרים, וכדרבי נתן; דתניא, </w:t>
      </w:r>
      <w:r w:rsidRPr="001D49D4">
        <w:rPr>
          <w:rFonts w:ascii="Calibri" w:eastAsia="Calibri" w:hAnsi="Calibri" w:cs="Arial"/>
          <w:u w:val="single"/>
          <w:rtl/>
        </w:rPr>
        <w:t>רבי נתן אומר</w:t>
      </w:r>
      <w:r w:rsidRPr="001D49D4">
        <w:rPr>
          <w:rFonts w:ascii="Calibri" w:eastAsia="Calibri" w:hAnsi="Calibri" w:cs="Arial"/>
          <w:rtl/>
        </w:rPr>
        <w:t xml:space="preserve">: מנין לנושה בחבירו מנה וחבירו בחבירו, מנין שמוציאין מזה ונותנין לזה? תלמוד לומר: ונתן לאשר אשם לו! </w:t>
      </w:r>
    </w:p>
    <w:p w14:paraId="6D81CC3C"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u w:val="single"/>
          <w:rtl/>
        </w:rPr>
        <w:t>מלוה שאמר על שטר שבידו שהוא אמנה או פרוע:</w:t>
      </w:r>
    </w:p>
    <w:p w14:paraId="2784FCDB" w14:textId="77777777" w:rsidR="001D49D4" w:rsidRPr="001D49D4" w:rsidRDefault="001D49D4" w:rsidP="0004348D">
      <w:pPr>
        <w:numPr>
          <w:ilvl w:val="0"/>
          <w:numId w:val="299"/>
        </w:numPr>
        <w:spacing w:before="360" w:after="240"/>
        <w:contextualSpacing/>
        <w:rPr>
          <w:rtl/>
        </w:rPr>
      </w:pPr>
      <w:r w:rsidRPr="001D49D4">
        <w:rPr>
          <w:rtl/>
        </w:rPr>
        <w:t>טור- מלוה שאמר על שטר שבידו שהוא אמנה או פרוע, אם אינו חייב לאחרים שאינו מפסיד לאחרים – נאמן, ותבא עליו ברכה. ואם הוא חייב לאחרים</w:t>
      </w:r>
      <w:r w:rsidRPr="001D49D4">
        <w:rPr>
          <w:vertAlign w:val="superscript"/>
          <w:rtl/>
        </w:rPr>
        <w:footnoteReference w:id="4002"/>
      </w:r>
      <w:r w:rsidRPr="001D49D4">
        <w:rPr>
          <w:rtl/>
        </w:rPr>
        <w:t xml:space="preserve"> ואינן יכולין ליפרע אלא מזה השטר והוחזק השטר בב"ד או שהוא ביד שליש - אינו נאמן</w:t>
      </w:r>
      <w:r w:rsidRPr="001D49D4">
        <w:rPr>
          <w:vertAlign w:val="superscript"/>
          <w:rtl/>
        </w:rPr>
        <w:footnoteReference w:id="4003"/>
      </w:r>
      <w:r w:rsidRPr="001D49D4">
        <w:rPr>
          <w:rtl/>
        </w:rPr>
        <w:t>, כיון שבא לחוב לאחרים</w:t>
      </w:r>
      <w:r w:rsidRPr="001D49D4">
        <w:rPr>
          <w:vertAlign w:val="superscript"/>
          <w:rtl/>
        </w:rPr>
        <w:footnoteReference w:id="4004"/>
      </w:r>
      <w:r w:rsidRPr="001D49D4">
        <w:rPr>
          <w:rtl/>
        </w:rPr>
        <w:t>. ואפילו לא נודע בשעת הודאתו שהוא חייב לאחרים ונודע אח"כ - אינו נאמן</w:t>
      </w:r>
      <w:r w:rsidRPr="001D49D4">
        <w:rPr>
          <w:vertAlign w:val="superscript"/>
          <w:rtl/>
        </w:rPr>
        <w:footnoteReference w:id="4005"/>
      </w:r>
      <w:r w:rsidRPr="001D49D4">
        <w:rPr>
          <w:rtl/>
        </w:rPr>
        <w:t>, כיון שבא לחייב לאחרים. אפילו אם הוא מפסיד גם לעצמו, כגון שחייב לאחרים מנה והשטר שמודה בו שהוא פרוע הוא ממאתים - אפ"ה אינו נאמן</w:t>
      </w:r>
      <w:r w:rsidRPr="001D49D4">
        <w:rPr>
          <w:vertAlign w:val="superscript"/>
          <w:rtl/>
        </w:rPr>
        <w:footnoteReference w:id="4006"/>
      </w:r>
      <w:r w:rsidRPr="001D49D4">
        <w:rPr>
          <w:rtl/>
        </w:rPr>
        <w:t xml:space="preserve">. בד"א, כשיש נאמנות בשטר, אבל אם אין בו נאמנות, כיון שמלוה הראשון לא היה יכול לגבות אלא בשבועה </w:t>
      </w:r>
      <w:r w:rsidRPr="001D49D4">
        <w:rPr>
          <w:sz w:val="16"/>
          <w:szCs w:val="16"/>
          <w:rtl/>
        </w:rPr>
        <w:t xml:space="preserve">{היינו שבועת רב פפא, שתתבאר בסי' פב} </w:t>
      </w:r>
      <w:r w:rsidRPr="001D49D4">
        <w:rPr>
          <w:rtl/>
        </w:rPr>
        <w:t>גם מלוה השני לא יגבה עד שישבע מלוה ראשון, והרי הוא אומר שהוא פרוע</w:t>
      </w:r>
      <w:r w:rsidRPr="001D49D4">
        <w:rPr>
          <w:vertAlign w:val="superscript"/>
          <w:rtl/>
        </w:rPr>
        <w:footnoteReference w:id="4007"/>
      </w:r>
      <w:r w:rsidRPr="001D49D4">
        <w:rPr>
          <w:sz w:val="16"/>
          <w:szCs w:val="16"/>
          <w:rtl/>
        </w:rPr>
        <w:t xml:space="preserve"> {ולכן לא צריך להישבע שבועת רב פפא}</w:t>
      </w:r>
      <w:r w:rsidRPr="001D49D4">
        <w:rPr>
          <w:rtl/>
        </w:rPr>
        <w:t xml:space="preserve">. ואם לא הוחזק השטר בב"ד - נאמן לעולם במגו דאי בעי לאצנועי לשטריה. </w:t>
      </w:r>
      <w:r w:rsidRPr="001D49D4">
        <w:rPr>
          <w:color w:val="E36C0A" w:themeColor="accent6" w:themeShade="BF"/>
          <w:rtl/>
        </w:rPr>
        <w:t>(וכ"פ בשו"ע)</w:t>
      </w:r>
    </w:p>
    <w:p w14:paraId="33E51621" w14:textId="77777777" w:rsidR="001D49D4" w:rsidRPr="001D49D4" w:rsidRDefault="001D49D4" w:rsidP="0004348D">
      <w:pPr>
        <w:spacing w:before="360" w:after="240"/>
        <w:ind w:left="360"/>
        <w:rPr>
          <w:rFonts w:ascii="Calibri" w:eastAsia="Calibri" w:hAnsi="Calibri" w:cs="Arial"/>
          <w:u w:val="dotted"/>
        </w:rPr>
      </w:pPr>
      <w:r w:rsidRPr="001D49D4">
        <w:rPr>
          <w:rFonts w:ascii="Calibri" w:eastAsia="Calibri" w:hAnsi="Calibri" w:cs="Arial"/>
          <w:u w:val="dotted"/>
          <w:rtl/>
        </w:rPr>
        <w:t>ומה הדין אם פרע המלוה לבעל חובו לאחר שאמר 'שטר אמנה הוא', ובא אח"כ לגבות מן הלוה באותו השטר:</w:t>
      </w:r>
    </w:p>
    <w:p w14:paraId="768ECF25" w14:textId="77777777" w:rsidR="001D49D4" w:rsidRPr="001D49D4" w:rsidRDefault="001D49D4" w:rsidP="0004348D">
      <w:pPr>
        <w:numPr>
          <w:ilvl w:val="0"/>
          <w:numId w:val="299"/>
        </w:numPr>
        <w:spacing w:before="360" w:after="240"/>
        <w:contextualSpacing/>
      </w:pPr>
      <w:r w:rsidRPr="001D49D4">
        <w:rPr>
          <w:rtl/>
        </w:rPr>
        <w:t>ראב"ד</w:t>
      </w:r>
      <w:r w:rsidRPr="001D49D4">
        <w:rPr>
          <w:sz w:val="16"/>
          <w:szCs w:val="16"/>
          <w:rtl/>
        </w:rPr>
        <w:t xml:space="preserve"> (כ"כ הרא"ש בשמו)</w:t>
      </w:r>
      <w:r w:rsidRPr="001D49D4">
        <w:rPr>
          <w:rtl/>
        </w:rPr>
        <w:t>- היכא דפרע לבעל חובו לאחר שאמר שטר אמנה הוא זה ובא לגבות מן הלוה - גבי ליה מיניה, כיון דמעיקרא לא הימניה לגבי אחרים דאמרינן לאשתמוטי מנייהו הוא דקאמר, לגבי לוה נמי לא תפסינן ליה בהכי, דהא אי לא פרע לאחרים מדידיה - הוה מפקינן מיניה דלוה ויהיבנא ליה, השתא דפרע להו מדידיה גבי מיניה דלוה דלא גרע מאחרים</w:t>
      </w:r>
      <w:r w:rsidRPr="001D49D4">
        <w:rPr>
          <w:sz w:val="16"/>
          <w:szCs w:val="16"/>
          <w:rtl/>
        </w:rPr>
        <w:t xml:space="preserve"> (ל' הרא"ש בשם הראב"ד)</w:t>
      </w:r>
      <w:r w:rsidRPr="001D49D4">
        <w:rPr>
          <w:rtl/>
        </w:rPr>
        <w:t xml:space="preserve">. </w:t>
      </w:r>
    </w:p>
    <w:p w14:paraId="5FADB281" w14:textId="77777777" w:rsidR="001D49D4" w:rsidRPr="001D49D4" w:rsidRDefault="001D49D4" w:rsidP="0004348D">
      <w:pPr>
        <w:numPr>
          <w:ilvl w:val="0"/>
          <w:numId w:val="299"/>
        </w:numPr>
        <w:spacing w:before="360" w:after="240"/>
        <w:contextualSpacing/>
      </w:pPr>
      <w:r w:rsidRPr="001D49D4">
        <w:rPr>
          <w:rtl/>
        </w:rPr>
        <w:t xml:space="preserve">ה"ר יונה </w:t>
      </w:r>
      <w:r w:rsidRPr="001D49D4">
        <w:rPr>
          <w:sz w:val="16"/>
          <w:szCs w:val="16"/>
          <w:rtl/>
        </w:rPr>
        <w:t>(כ"כ הרא"ש בשמו)</w:t>
      </w:r>
      <w:r w:rsidRPr="001D49D4">
        <w:rPr>
          <w:rtl/>
        </w:rPr>
        <w:t xml:space="preserve"> רא"ש</w:t>
      </w:r>
      <w:r w:rsidRPr="001D49D4">
        <w:rPr>
          <w:sz w:val="16"/>
          <w:szCs w:val="16"/>
          <w:rtl/>
        </w:rPr>
        <w:t xml:space="preserve"> (פ"ב דכתובות סי' ט)</w:t>
      </w:r>
      <w:r w:rsidRPr="001D49D4">
        <w:rPr>
          <w:rtl/>
        </w:rPr>
        <w:t xml:space="preserve"> וטור- אם תבע בעל חוב בבית דין לגבות משטר זה, ובא המלוה ואמר שטר אמנה הוא - יש לדון בזה כדברי הרב </w:t>
      </w:r>
      <w:r w:rsidRPr="001D49D4">
        <w:rPr>
          <w:sz w:val="16"/>
          <w:szCs w:val="16"/>
          <w:rtl/>
        </w:rPr>
        <w:t xml:space="preserve">{הראב"ד} </w:t>
      </w:r>
      <w:r w:rsidRPr="001D49D4">
        <w:rPr>
          <w:rtl/>
        </w:rPr>
        <w:t xml:space="preserve">שלא אמר זה אלא לדחות את בעל חובו. אבל אם אמר בלא תביעת בעל חוב - נראה דלגבי עצמו מהימן דהודאת בעל דין כמאה עדים דמי </w:t>
      </w:r>
      <w:r w:rsidRPr="001D49D4">
        <w:rPr>
          <w:sz w:val="16"/>
          <w:szCs w:val="16"/>
          <w:rtl/>
        </w:rPr>
        <w:t>(ב"מ ג:)</w:t>
      </w:r>
      <w:r w:rsidRPr="001D49D4">
        <w:rPr>
          <w:rtl/>
        </w:rPr>
        <w:t>, ולגבי בעל חוב אינו נאמן</w:t>
      </w:r>
      <w:r w:rsidRPr="001D49D4">
        <w:rPr>
          <w:sz w:val="16"/>
          <w:szCs w:val="16"/>
          <w:rtl/>
        </w:rPr>
        <w:t xml:space="preserve"> (ל' הרא"ש בשם ה"ר יונה)</w:t>
      </w:r>
      <w:r w:rsidRPr="001D49D4">
        <w:rPr>
          <w:rtl/>
        </w:rPr>
        <w:t xml:space="preserve">. </w:t>
      </w:r>
      <w:r w:rsidRPr="001D49D4">
        <w:rPr>
          <w:color w:val="E36C0A" w:themeColor="accent6" w:themeShade="BF"/>
          <w:rtl/>
        </w:rPr>
        <w:t>(וכ"פ בשו"ע)</w:t>
      </w:r>
      <w:r w:rsidRPr="001D49D4">
        <w:rPr>
          <w:rtl/>
        </w:rPr>
        <w:t xml:space="preserve"> </w:t>
      </w:r>
    </w:p>
    <w:p w14:paraId="25A5E6A4" w14:textId="77777777" w:rsidR="001D49D4" w:rsidRPr="001D49D4" w:rsidRDefault="001D49D4" w:rsidP="0004348D">
      <w:pPr>
        <w:spacing w:before="360" w:after="240"/>
        <w:ind w:left="360"/>
        <w:rPr>
          <w:rFonts w:ascii="Calibri" w:eastAsia="Calibri" w:hAnsi="Calibri" w:cs="Arial"/>
          <w:u w:val="dotted"/>
        </w:rPr>
      </w:pPr>
      <w:r w:rsidRPr="001D49D4">
        <w:rPr>
          <w:rFonts w:ascii="Calibri" w:eastAsia="Calibri" w:hAnsi="Calibri" w:cs="Arial"/>
          <w:u w:val="dotted"/>
          <w:rtl/>
        </w:rPr>
        <w:t>ומה הדין אם אמר 'שטר אמנה הוא' בפני הלוה:</w:t>
      </w:r>
    </w:p>
    <w:p w14:paraId="688DEB01" w14:textId="77777777" w:rsidR="001D49D4" w:rsidRPr="001D49D4" w:rsidRDefault="001D49D4" w:rsidP="0004348D">
      <w:pPr>
        <w:numPr>
          <w:ilvl w:val="0"/>
          <w:numId w:val="299"/>
        </w:numPr>
        <w:spacing w:before="360" w:after="240"/>
        <w:contextualSpacing/>
      </w:pPr>
      <w:r w:rsidRPr="001D49D4">
        <w:rPr>
          <w:rtl/>
        </w:rPr>
        <w:t>בעל התרומות</w:t>
      </w:r>
      <w:r w:rsidRPr="001D49D4">
        <w:rPr>
          <w:sz w:val="16"/>
          <w:szCs w:val="16"/>
          <w:rtl/>
        </w:rPr>
        <w:t xml:space="preserve"> (שער נ"א ח"ב סי' ג)</w:t>
      </w:r>
      <w:r w:rsidRPr="001D49D4">
        <w:rPr>
          <w:rtl/>
        </w:rPr>
        <w:t xml:space="preserve">- הראב"ד חילק בין אם אמר כן בפני הלוה או שלא בפני הלוה, שאם אמר כן בפני הלוה - ודאי הודאתו הודאה ואינו יכול לתובעו עוד, אבל אם אמר כן שלא בפני הלוה - הודאתו לאו הודאה, אחר שהוא חב לאחרים, דיכול הוא לומר ללוה לאישתמוטי מבעל חובי הוא דאמרי או שלא להשביע את עצמי </w:t>
      </w:r>
      <w:r w:rsidRPr="001D49D4">
        <w:rPr>
          <w:sz w:val="16"/>
          <w:szCs w:val="16"/>
          <w:rtl/>
        </w:rPr>
        <w:t>(סנהדרין כט:)</w:t>
      </w:r>
      <w:r w:rsidRPr="001D49D4">
        <w:rPr>
          <w:rtl/>
        </w:rPr>
        <w:t xml:space="preserve">, אבל הרמב"ם </w:t>
      </w:r>
      <w:r w:rsidRPr="001D49D4">
        <w:rPr>
          <w:sz w:val="16"/>
          <w:szCs w:val="16"/>
          <w:rtl/>
        </w:rPr>
        <w:t xml:space="preserve">(מלוה פ"ב ה"ו) </w:t>
      </w:r>
      <w:r w:rsidRPr="001D49D4">
        <w:rPr>
          <w:rtl/>
        </w:rPr>
        <w:t xml:space="preserve">לא חילק בין בפניו לשלא בפניו. </w:t>
      </w:r>
    </w:p>
    <w:p w14:paraId="277D85DE" w14:textId="77777777" w:rsidR="001D49D4" w:rsidRPr="001D49D4" w:rsidRDefault="001D49D4" w:rsidP="0004348D">
      <w:pPr>
        <w:spacing w:before="360" w:after="240"/>
        <w:rPr>
          <w:rFonts w:ascii="Calibri" w:eastAsia="Calibri" w:hAnsi="Calibri" w:cs="Arial"/>
          <w:u w:val="single"/>
        </w:rPr>
      </w:pPr>
      <w:r w:rsidRPr="001D49D4">
        <w:rPr>
          <w:rFonts w:ascii="Calibri" w:eastAsia="Calibri" w:hAnsi="Calibri" w:cs="Arial"/>
          <w:u w:val="single"/>
          <w:rtl/>
        </w:rPr>
        <w:t>ראובן הודה בכתב ידו לאחיינו שלאביו יש חלק חצי בנכסיו, ואח"כ שעבד ראובן לאשתו כל נכסיו, ומת:</w:t>
      </w:r>
    </w:p>
    <w:p w14:paraId="15855CD5" w14:textId="77777777" w:rsidR="001D49D4" w:rsidRPr="001D49D4" w:rsidRDefault="001D49D4" w:rsidP="0004348D">
      <w:pPr>
        <w:numPr>
          <w:ilvl w:val="0"/>
          <w:numId w:val="299"/>
        </w:numPr>
        <w:spacing w:before="360" w:after="240"/>
        <w:contextualSpacing/>
      </w:pPr>
      <w:r w:rsidRPr="001D49D4">
        <w:rPr>
          <w:rtl/>
        </w:rPr>
        <w:t xml:space="preserve">רשב"א </w:t>
      </w:r>
      <w:r w:rsidRPr="001D49D4">
        <w:rPr>
          <w:sz w:val="16"/>
          <w:szCs w:val="16"/>
          <w:rtl/>
        </w:rPr>
        <w:t>(שו"ת ח"ב סימן קנא)</w:t>
      </w:r>
      <w:r w:rsidRPr="001D49D4">
        <w:rPr>
          <w:rtl/>
        </w:rPr>
        <w:t>- שאלת, ראובן שהודה בכתב ידו לנמואל בן שמעון אחיו שכל מה שיש לו, בין קרקע בין טלטל, היה משותף בינו ובין שמעון אחיו הנזכר. ואח"כ נשא ראובן אשה ושעבד לה כל נכסיו. ואח"כ נפטר ראובן הנזכר. ונמואל בא בכתב ידו לחלוק בנכסים. ואלמנת ראובן טוענת שאינה מאמינה שנכתב כתב הודאה זה קודם שנשאה, ואע"פ שכתוב בו זמן מוקדם לנישואיה שמא לגרע כח שעבודה נתכוין ולאו כל כמיניה. תשובה, לענין הקרקעות של ראובן - הדין עם האלמנה, לפי שלא היה יכול ראובן למכרם ולא ליתנם להוציאם משעבודם, וכיון שכן אף הודאתו אינה הודאה, והוא הדין לכל מטלטליו אם כתב לה מטלטלי אגב מקרקעי. אבל אם לא כתב לה אגב, אע"פ שכתב מטלטלי ומקרקעי - נאמן על המטלטלין, שאילו רצה זה להוציאם משעבוד אשתו למה לו לשקר הרי יכול ליתנם לזה עכשיו או למכרם לו.</w:t>
      </w:r>
    </w:p>
    <w:p w14:paraId="38472049" w14:textId="77777777" w:rsidR="001D49D4" w:rsidRPr="001D49D4" w:rsidRDefault="001D49D4" w:rsidP="0004348D">
      <w:pPr>
        <w:spacing w:before="360" w:after="240"/>
        <w:ind w:left="360"/>
        <w:rPr>
          <w:rFonts w:ascii="Calibri" w:eastAsia="Calibri" w:hAnsi="Calibri" w:cs="Arial"/>
          <w:u w:val="dotted"/>
        </w:rPr>
      </w:pPr>
      <w:r w:rsidRPr="001D49D4">
        <w:rPr>
          <w:rFonts w:ascii="Calibri" w:eastAsia="Calibri" w:hAnsi="Calibri" w:cs="Arial"/>
          <w:u w:val="dotted"/>
          <w:rtl/>
        </w:rPr>
        <w:t>ומה הדין אם ראובן בנה חורבה מהממון המשותף שלהם:</w:t>
      </w:r>
    </w:p>
    <w:p w14:paraId="1BAE603F" w14:textId="77777777" w:rsidR="001D49D4" w:rsidRPr="001D49D4" w:rsidRDefault="001D49D4" w:rsidP="0004348D">
      <w:pPr>
        <w:numPr>
          <w:ilvl w:val="0"/>
          <w:numId w:val="299"/>
        </w:numPr>
        <w:spacing w:before="360" w:after="240"/>
        <w:contextualSpacing/>
      </w:pPr>
      <w:r w:rsidRPr="001D49D4">
        <w:rPr>
          <w:rtl/>
        </w:rPr>
        <w:t xml:space="preserve">רשב"א </w:t>
      </w:r>
      <w:r w:rsidRPr="001D49D4">
        <w:rPr>
          <w:sz w:val="16"/>
          <w:szCs w:val="16"/>
          <w:rtl/>
        </w:rPr>
        <w:t>(שם)</w:t>
      </w:r>
      <w:r w:rsidRPr="001D49D4">
        <w:rPr>
          <w:rtl/>
        </w:rPr>
        <w:t xml:space="preserve">- שאלת, אם עמד ראובן אחר שנשא אשה זו, ובנה חורבה אחת שהיא משותפת בינו ובין נמואל זה, ונמואל זה טוען שמאותו ממון שהיה משותף ביניהם בנאה, והאלמנה טוענת שאינה מאמינה אותו. תשובה, דין זה מתברר ממה שכתבנו שאם כתב לה מטלטלי אגב מקרקעי הדין עם האלמנה, ואם לא כתב לה כן הדין עם נמואל. שאפילו הוציא ראובן הוצאת הבנין משל עצמו הרי זה כאלו מכר עצים ואבנים אלו לנמואל דכיון שהוא קרקע משותף אינו יכול לומר עצי ואבני אני נוטל, וכן אין נמואל יכול לומר לה טול עציך ואבניך, דשותף כיורד ברשות דמי </w:t>
      </w:r>
      <w:r w:rsidRPr="001D49D4">
        <w:rPr>
          <w:sz w:val="16"/>
          <w:szCs w:val="16"/>
          <w:rtl/>
        </w:rPr>
        <w:t>(ב"ב מב:)</w:t>
      </w:r>
      <w:r w:rsidRPr="001D49D4">
        <w:rPr>
          <w:rtl/>
        </w:rPr>
        <w:t>, והלכך יצאו משעבוד האלמנה במכירה זו וחזרה ההוצאה על נמואל כמלוה על פה, ואלו רצה נמואל לומר שחזר ופרע לראובן בחייו היה נאמן ואין עליו אפילו שבועת היסת, לפי שהאלמנה אינה יודעת בכך ואין נשבעין שבועת היסת על הספק, וכיון שכן אף הוא נאמן לומר מן הממון המשותף ביני לבינו הוציא הוצאה זו.</w:t>
      </w:r>
    </w:p>
    <w:p w14:paraId="0BAF0E8E" w14:textId="77777777" w:rsidR="001D49D4" w:rsidRPr="001D49D4" w:rsidRDefault="001D49D4" w:rsidP="0004348D">
      <w:pPr>
        <w:spacing w:before="360" w:after="240"/>
        <w:rPr>
          <w:rFonts w:ascii="Arial" w:eastAsia="Calibri" w:hAnsi="Arial" w:cs="Arial"/>
          <w:b/>
          <w:bCs/>
          <w:color w:val="000000"/>
          <w:sz w:val="28"/>
          <w:szCs w:val="28"/>
          <w:u w:val="single"/>
          <w:rtl/>
        </w:rPr>
      </w:pPr>
      <w:r w:rsidRPr="001D49D4">
        <w:rPr>
          <w:rFonts w:ascii="Arial" w:eastAsia="Calibri" w:hAnsi="Arial" w:cs="Arial"/>
          <w:b/>
          <w:bCs/>
          <w:color w:val="000000"/>
          <w:sz w:val="28"/>
          <w:szCs w:val="28"/>
          <w:u w:val="single"/>
          <w:rtl/>
        </w:rPr>
        <w:t>שו"ע:</w:t>
      </w:r>
    </w:p>
    <w:p w14:paraId="55CE23DE"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rtl/>
        </w:rPr>
        <w:t>מלוה שאמר על שטר שבידו שהוא אמנה או פרוע, אם הוא חייב לאחרים ואין לו ממה לפרוע אלא מזה השטר וכתוב בו נאמנות</w:t>
      </w:r>
      <w:r w:rsidRPr="001D49D4">
        <w:rPr>
          <w:rFonts w:ascii="Calibri" w:eastAsia="Calibri" w:hAnsi="Calibri" w:cs="Arial"/>
          <w:vertAlign w:val="superscript"/>
          <w:rtl/>
        </w:rPr>
        <w:footnoteReference w:id="4008"/>
      </w:r>
      <w:r w:rsidRPr="001D49D4">
        <w:rPr>
          <w:rFonts w:ascii="Calibri" w:eastAsia="Calibri" w:hAnsi="Calibri" w:cs="Arial"/>
          <w:rtl/>
        </w:rPr>
        <w:t xml:space="preserve"> והוחזק</w:t>
      </w:r>
      <w:r w:rsidRPr="001D49D4">
        <w:rPr>
          <w:rFonts w:ascii="Calibri" w:eastAsia="Calibri" w:hAnsi="Calibri" w:cs="Arial"/>
          <w:vertAlign w:val="superscript"/>
          <w:rtl/>
        </w:rPr>
        <w:footnoteReference w:id="4009"/>
      </w:r>
      <w:r w:rsidRPr="001D49D4">
        <w:rPr>
          <w:rFonts w:ascii="Calibri" w:eastAsia="Calibri" w:hAnsi="Calibri" w:cs="Arial"/>
          <w:rtl/>
        </w:rPr>
        <w:t xml:space="preserve"> השטר בבית דין או שהוא ביד שליש, אינו נאמן</w:t>
      </w:r>
      <w:r w:rsidRPr="001D49D4">
        <w:rPr>
          <w:rFonts w:ascii="Calibri" w:eastAsia="Calibri" w:hAnsi="Calibri" w:cs="Arial"/>
          <w:vertAlign w:val="superscript"/>
          <w:rtl/>
        </w:rPr>
        <w:footnoteReference w:id="4010"/>
      </w:r>
      <w:r w:rsidRPr="001D49D4">
        <w:rPr>
          <w:rFonts w:ascii="Calibri" w:eastAsia="Calibri" w:hAnsi="Calibri" w:cs="Arial"/>
          <w:rtl/>
        </w:rPr>
        <w:t xml:space="preserve">. ואפילו אם לא נודע בשעת הודאתו שהוא חייב לאחרים ונודע אחר כך, אינו נאמן, כיון שהוא בא לחוב לאחרים. אפילו אם מפסיד גם לעצמו, כגון שהשטר הוא ממאתים, ואינו חייב לאחרים אלא מנה, אינו נאמן. ואם אחר שאמר שטר אמנה הוא פרע לבעל חובו ובא לגבות השטר מהלוה, רואים, אם כשבעל חובו בא לגבות מזה השטר אמר שטר אמנה הוא, אז ודאי לא היתה כוונתו אלא לדחות בעל חובו, וחוזר וגובה חובו. אבל אם בלא תביעת בעל חובו הודה ששטר אמנה הוא, אינו חוזר וגובה בו. </w:t>
      </w:r>
    </w:p>
    <w:p w14:paraId="6042E406" w14:textId="77777777" w:rsidR="001D49D4" w:rsidRPr="001D49D4" w:rsidRDefault="001D49D4" w:rsidP="0004348D">
      <w:pPr>
        <w:spacing w:before="360" w:after="240"/>
        <w:rPr>
          <w:rFonts w:ascii="Calibri" w:eastAsia="Calibri" w:hAnsi="Calibri" w:cs="Arial"/>
          <w:rtl/>
        </w:rPr>
      </w:pPr>
    </w:p>
    <w:p w14:paraId="013294FF" w14:textId="5B467431" w:rsidR="001D49D4" w:rsidRPr="001D49D4" w:rsidRDefault="001D49D4" w:rsidP="0004348D">
      <w:pPr>
        <w:keepNext/>
        <w:keepLines/>
        <w:spacing w:before="360" w:after="240"/>
        <w:outlineLvl w:val="1"/>
        <w:rPr>
          <w:rFonts w:ascii="Cambria" w:eastAsia="Times New Roman" w:hAnsi="Cambria" w:cs="Arial"/>
          <w:bCs/>
          <w:color w:val="548DD4" w:themeColor="text2" w:themeTint="99"/>
          <w:sz w:val="26"/>
          <w:szCs w:val="26"/>
          <w:rtl/>
        </w:rPr>
      </w:pPr>
      <w:bookmarkStart w:id="546" w:name="_Toc24883975"/>
      <w:r w:rsidRPr="001D49D4">
        <w:rPr>
          <w:rFonts w:ascii="Cambria" w:eastAsia="Times New Roman" w:hAnsi="Cambria" w:cs="Arial"/>
          <w:bCs/>
          <w:color w:val="548DD4" w:themeColor="text2" w:themeTint="99"/>
          <w:sz w:val="26"/>
          <w:szCs w:val="26"/>
          <w:rtl/>
        </w:rPr>
        <w:t>סעיף ב: מלוה שאומר שהסכו</w:t>
      </w:r>
      <w:r w:rsidR="00625F41">
        <w:rPr>
          <w:rFonts w:ascii="Cambria" w:eastAsia="Times New Roman" w:hAnsi="Cambria" w:cs="Arial" w:hint="cs"/>
          <w:bCs/>
          <w:color w:val="548DD4" w:themeColor="text2" w:themeTint="99"/>
          <w:sz w:val="26"/>
          <w:szCs w:val="26"/>
          <w:rtl/>
        </w:rPr>
        <w:t>ם</w:t>
      </w:r>
      <w:r w:rsidRPr="001D49D4">
        <w:rPr>
          <w:rFonts w:ascii="Cambria" w:eastAsia="Times New Roman" w:hAnsi="Cambria" w:cs="Arial"/>
          <w:bCs/>
          <w:color w:val="548DD4" w:themeColor="text2" w:themeTint="99"/>
          <w:sz w:val="26"/>
          <w:szCs w:val="26"/>
          <w:rtl/>
        </w:rPr>
        <w:t xml:space="preserve"> שהביא ללוה פחות ממה שכתוב בשטר.</w:t>
      </w:r>
      <w:bookmarkEnd w:id="546"/>
    </w:p>
    <w:p w14:paraId="0C8AB3CF" w14:textId="77777777" w:rsidR="001D49D4" w:rsidRPr="001D49D4" w:rsidRDefault="001D49D4" w:rsidP="0004348D">
      <w:pPr>
        <w:spacing w:before="360" w:after="240"/>
        <w:rPr>
          <w:rFonts w:ascii="Calibri" w:eastAsia="Calibri" w:hAnsi="Calibri" w:cs="Arial"/>
          <w:u w:val="single"/>
          <w:rtl/>
        </w:rPr>
      </w:pPr>
      <w:r w:rsidRPr="001D49D4">
        <w:rPr>
          <w:rFonts w:ascii="Calibri" w:eastAsia="Calibri" w:hAnsi="Calibri" w:cs="Arial"/>
          <w:u w:val="single"/>
          <w:rtl/>
        </w:rPr>
        <w:t>מלוה שאומר שהסכום שהביא ללוה פחות ממה שכתוב בשטר:</w:t>
      </w:r>
    </w:p>
    <w:p w14:paraId="4020D661" w14:textId="77777777" w:rsidR="001D49D4" w:rsidRPr="001D49D4" w:rsidRDefault="001D49D4" w:rsidP="0004348D">
      <w:pPr>
        <w:numPr>
          <w:ilvl w:val="0"/>
          <w:numId w:val="299"/>
        </w:numPr>
        <w:spacing w:before="360" w:after="240"/>
        <w:contextualSpacing/>
        <w:rPr>
          <w:rtl/>
        </w:rPr>
      </w:pPr>
      <w:r w:rsidRPr="001D49D4">
        <w:rPr>
          <w:rtl/>
        </w:rPr>
        <w:t>בעל התרומות</w:t>
      </w:r>
      <w:r w:rsidRPr="001D49D4">
        <w:rPr>
          <w:sz w:val="16"/>
          <w:szCs w:val="16"/>
          <w:rtl/>
        </w:rPr>
        <w:t xml:space="preserve"> (שער כא ח"ד סי' ה)</w:t>
      </w:r>
      <w:r w:rsidRPr="001D49D4">
        <w:rPr>
          <w:rtl/>
        </w:rPr>
        <w:t>- אם אומר המלוה 'זה השטר אמת הוא שהעדים כדין חתמוהו, שהבעל חוב צוה להם בכך שיכתבו בשטר אלף דינר והוא האמין בי שלא אתבע ממנו כי אם ת"ק דינרים' – כשר</w:t>
      </w:r>
      <w:r w:rsidRPr="001D49D4">
        <w:rPr>
          <w:vertAlign w:val="superscript"/>
          <w:rtl/>
        </w:rPr>
        <w:footnoteReference w:id="4011"/>
      </w:r>
      <w:r w:rsidRPr="001D49D4">
        <w:rPr>
          <w:rtl/>
        </w:rPr>
        <w:t xml:space="preserve">. אבל אם אומר שטעו העדים שכתבו אלף דינרים הרי השטר כחרש, ואע"פ שיש נאמנות בשטר נשבע הלוה היסת ונפטר. </w:t>
      </w:r>
      <w:r w:rsidRPr="001D49D4">
        <w:rPr>
          <w:color w:val="E36C0A" w:themeColor="accent6" w:themeShade="BF"/>
          <w:rtl/>
        </w:rPr>
        <w:t>(וכ"פ בשו"ע)</w:t>
      </w:r>
    </w:p>
    <w:p w14:paraId="46CD25D6" w14:textId="77777777" w:rsidR="001D49D4" w:rsidRPr="001D49D4" w:rsidRDefault="001D49D4" w:rsidP="0004348D">
      <w:pPr>
        <w:spacing w:before="360" w:after="240"/>
        <w:rPr>
          <w:rFonts w:ascii="Calibri" w:eastAsia="Calibri" w:hAnsi="Calibri" w:cs="Arial"/>
          <w:u w:val="single"/>
        </w:rPr>
      </w:pPr>
      <w:r w:rsidRPr="001D49D4">
        <w:rPr>
          <w:rFonts w:ascii="Calibri" w:eastAsia="Calibri" w:hAnsi="Calibri" w:cs="Arial"/>
          <w:u w:val="single"/>
          <w:rtl/>
        </w:rPr>
        <w:t>ראובן שהיה חייב מעות לשמעון ואין לו לפרוע כי אם שטרות ואומר כי הם מיוחדים ללוי שהלוה לו מעות:</w:t>
      </w:r>
    </w:p>
    <w:p w14:paraId="473155C3" w14:textId="77777777" w:rsidR="001D49D4" w:rsidRPr="001D49D4" w:rsidRDefault="001D49D4" w:rsidP="0004348D">
      <w:pPr>
        <w:numPr>
          <w:ilvl w:val="0"/>
          <w:numId w:val="299"/>
        </w:numPr>
        <w:spacing w:before="360" w:after="240"/>
        <w:contextualSpacing/>
      </w:pPr>
      <w:r w:rsidRPr="001D49D4">
        <w:rPr>
          <w:rtl/>
        </w:rPr>
        <w:t xml:space="preserve">רא"ש </w:t>
      </w:r>
      <w:r w:rsidRPr="001D49D4">
        <w:rPr>
          <w:sz w:val="16"/>
          <w:szCs w:val="16"/>
          <w:rtl/>
        </w:rPr>
        <w:t>(כלל עט סי' יא)</w:t>
      </w:r>
      <w:r w:rsidRPr="001D49D4">
        <w:rPr>
          <w:rtl/>
        </w:rPr>
        <w:t xml:space="preserve">- ראובן שהיה חייב מעות לשמעון, ואין לו לפרוע כי אם שטרות, ואומר כי הם מיוחדים ללוי שהלוה לו מעות - אין בדבריו כלום, שהייחוד שייחד אינו כלום דמלוה להוצאה ניתנה </w:t>
      </w:r>
      <w:r w:rsidRPr="001D49D4">
        <w:rPr>
          <w:sz w:val="16"/>
          <w:szCs w:val="16"/>
          <w:rtl/>
        </w:rPr>
        <w:t>(ב"ק קו.)</w:t>
      </w:r>
      <w:r w:rsidRPr="001D49D4">
        <w:rPr>
          <w:rtl/>
        </w:rPr>
        <w:t xml:space="preserve"> אפילו יש לו מעות מוכנים אינו יכול לומר של פלוני הם כל זמן שלא באו לידו. ודאי אם היה לו עיסקא בידו נאמן לומר אלו מעסק של פלוני הם במגו שנותנם לו בפרעון חובו</w:t>
      </w:r>
      <w:r w:rsidRPr="001D49D4">
        <w:rPr>
          <w:vertAlign w:val="superscript"/>
          <w:rtl/>
        </w:rPr>
        <w:footnoteReference w:id="4012"/>
      </w:r>
      <w:r w:rsidRPr="001D49D4">
        <w:rPr>
          <w:rtl/>
        </w:rPr>
        <w:t>.</w:t>
      </w:r>
    </w:p>
    <w:p w14:paraId="4AB3FD92" w14:textId="77777777" w:rsidR="001D49D4" w:rsidRPr="001D49D4" w:rsidRDefault="001D49D4" w:rsidP="0004348D">
      <w:pPr>
        <w:spacing w:before="360" w:after="240"/>
        <w:rPr>
          <w:rFonts w:ascii="Arial" w:eastAsia="Calibri" w:hAnsi="Arial" w:cs="Arial"/>
          <w:b/>
          <w:bCs/>
          <w:color w:val="000000"/>
          <w:sz w:val="28"/>
          <w:szCs w:val="28"/>
          <w:u w:val="single"/>
          <w:rtl/>
        </w:rPr>
      </w:pPr>
      <w:r w:rsidRPr="001D49D4">
        <w:rPr>
          <w:rFonts w:ascii="Arial" w:eastAsia="Calibri" w:hAnsi="Arial" w:cs="Arial"/>
          <w:b/>
          <w:bCs/>
          <w:color w:val="000000"/>
          <w:sz w:val="28"/>
          <w:szCs w:val="28"/>
          <w:u w:val="single"/>
          <w:rtl/>
        </w:rPr>
        <w:t>שו"ע:</w:t>
      </w:r>
    </w:p>
    <w:p w14:paraId="76139ACF" w14:textId="77777777" w:rsidR="001D49D4" w:rsidRPr="001D49D4" w:rsidRDefault="001D49D4" w:rsidP="0004348D">
      <w:pPr>
        <w:spacing w:before="360" w:after="240"/>
        <w:rPr>
          <w:rFonts w:ascii="Calibri" w:eastAsia="Calibri" w:hAnsi="Calibri" w:cs="Arial"/>
          <w:sz w:val="18"/>
          <w:szCs w:val="18"/>
          <w:rtl/>
        </w:rPr>
      </w:pPr>
      <w:r w:rsidRPr="001D49D4">
        <w:rPr>
          <w:rFonts w:ascii="Calibri" w:eastAsia="Calibri" w:hAnsi="Calibri" w:cs="Arial"/>
          <w:rtl/>
        </w:rPr>
        <w:t>אם אמר המלוה</w:t>
      </w:r>
      <w:r w:rsidRPr="001D49D4">
        <w:rPr>
          <w:rFonts w:ascii="Calibri" w:eastAsia="Calibri" w:hAnsi="Calibri" w:cs="Arial"/>
          <w:vertAlign w:val="superscript"/>
          <w:rtl/>
        </w:rPr>
        <w:footnoteReference w:id="4013"/>
      </w:r>
      <w:r w:rsidRPr="001D49D4">
        <w:rPr>
          <w:rFonts w:ascii="Calibri" w:eastAsia="Calibri" w:hAnsi="Calibri" w:cs="Arial"/>
          <w:rtl/>
        </w:rPr>
        <w:t xml:space="preserve"> 'זה השטר אמת הוא שהלוה צוה לעדים לכתוב בשטר אלף דינר והוא האמין בי שלא אתבע ממנו כי אם ת"ק דינרים', כשר. אבל אם אומר שטעו העדים כשכתבו אלף דינרים, הרי השטר כחרס, ואף על פי שיש נאמנות בשטר, נשבע הלוה היסת, ונפטר. </w:t>
      </w:r>
      <w:r w:rsidRPr="001D49D4">
        <w:rPr>
          <w:rFonts w:ascii="Calibri" w:eastAsia="Calibri" w:hAnsi="Calibri" w:cs="Arial"/>
          <w:sz w:val="18"/>
          <w:szCs w:val="18"/>
          <w:rtl/>
        </w:rPr>
        <w:t>[הגה] ואם אומר על שטר שבידו, שהוא של אחרים, עיין לקמן סימן צ"ט.</w:t>
      </w:r>
    </w:p>
    <w:p w14:paraId="6926F00E" w14:textId="77777777" w:rsidR="001D49D4" w:rsidRPr="001D49D4" w:rsidRDefault="001D49D4" w:rsidP="0004348D">
      <w:pPr>
        <w:bidi w:val="0"/>
        <w:spacing w:before="360" w:after="240"/>
        <w:rPr>
          <w:rFonts w:ascii="Cambria" w:eastAsia="Times New Roman" w:hAnsi="Cambria" w:cs="Arial"/>
          <w:b/>
          <w:bCs/>
          <w:color w:val="365F91" w:themeColor="accent1" w:themeShade="BF"/>
          <w:sz w:val="28"/>
          <w:szCs w:val="28"/>
          <w:rtl/>
        </w:rPr>
        <w:sectPr w:rsidR="001D49D4" w:rsidRPr="001D49D4">
          <w:headerReference w:type="default" r:id="rId56"/>
          <w:footnotePr>
            <w:numRestart w:val="eachPage"/>
          </w:footnotePr>
          <w:pgSz w:w="11906" w:h="16838"/>
          <w:pgMar w:top="720" w:right="1134" w:bottom="720" w:left="1134" w:header="0" w:footer="0" w:gutter="0"/>
          <w:cols w:space="720"/>
          <w:bidi/>
          <w:rtlGutter/>
        </w:sectPr>
      </w:pPr>
    </w:p>
    <w:p w14:paraId="15D448D7" w14:textId="77777777" w:rsidR="001D49D4" w:rsidRPr="001D49D4" w:rsidRDefault="001D49D4" w:rsidP="0004348D">
      <w:pPr>
        <w:keepNext/>
        <w:keepLines/>
        <w:spacing w:before="360" w:after="240"/>
        <w:outlineLvl w:val="0"/>
        <w:rPr>
          <w:rFonts w:ascii="Cambria" w:eastAsia="Times New Roman" w:hAnsi="Cambria" w:cs="Arial"/>
          <w:b/>
          <w:bCs/>
          <w:color w:val="365F91" w:themeColor="accent1" w:themeShade="BF"/>
          <w:sz w:val="28"/>
          <w:szCs w:val="28"/>
          <w:rtl/>
        </w:rPr>
      </w:pPr>
      <w:bookmarkStart w:id="547" w:name="_Toc24883976"/>
      <w:r w:rsidRPr="001D49D4">
        <w:rPr>
          <w:rFonts w:ascii="Cambria" w:eastAsia="Times New Roman" w:hAnsi="Cambria" w:cs="Arial"/>
          <w:b/>
          <w:bCs/>
          <w:color w:val="365F91" w:themeColor="accent1" w:themeShade="BF"/>
          <w:sz w:val="28"/>
          <w:szCs w:val="28"/>
          <w:rtl/>
        </w:rPr>
        <w:t>סימן מח: שכותבין טופסי שטרות, ובו סעיף אחד.</w:t>
      </w:r>
      <w:bookmarkEnd w:id="547"/>
      <w:r w:rsidRPr="001D49D4">
        <w:rPr>
          <w:rFonts w:ascii="Cambria" w:eastAsia="Times New Roman" w:hAnsi="Cambria" w:cs="Arial"/>
          <w:b/>
          <w:bCs/>
          <w:color w:val="365F91" w:themeColor="accent1" w:themeShade="BF"/>
          <w:sz w:val="28"/>
          <w:szCs w:val="28"/>
          <w:rtl/>
        </w:rPr>
        <w:t xml:space="preserve"> </w:t>
      </w:r>
    </w:p>
    <w:p w14:paraId="0BFB2E56" w14:textId="77777777" w:rsidR="001D49D4" w:rsidRPr="001D49D4" w:rsidRDefault="001D49D4" w:rsidP="0004348D">
      <w:pPr>
        <w:keepNext/>
        <w:keepLines/>
        <w:spacing w:before="360" w:after="240"/>
        <w:outlineLvl w:val="1"/>
        <w:rPr>
          <w:rFonts w:ascii="Cambria" w:eastAsia="Times New Roman" w:hAnsi="Cambria" w:cs="Arial"/>
          <w:bCs/>
          <w:color w:val="548DD4" w:themeColor="text2" w:themeTint="99"/>
          <w:sz w:val="26"/>
          <w:szCs w:val="26"/>
          <w:rtl/>
        </w:rPr>
      </w:pPr>
      <w:bookmarkStart w:id="548" w:name="_Toc24883977"/>
      <w:r w:rsidRPr="001D49D4">
        <w:rPr>
          <w:rFonts w:ascii="Cambria" w:eastAsia="Times New Roman" w:hAnsi="Cambria" w:cs="Arial"/>
          <w:bCs/>
          <w:color w:val="548DD4" w:themeColor="text2" w:themeTint="99"/>
          <w:sz w:val="26"/>
          <w:szCs w:val="26"/>
          <w:rtl/>
        </w:rPr>
        <w:t>סעיף א</w:t>
      </w:r>
      <w:bookmarkEnd w:id="548"/>
    </w:p>
    <w:p w14:paraId="3E2D3EA2"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b/>
          <w:bCs/>
          <w:rtl/>
        </w:rPr>
        <w:t xml:space="preserve">גיטין </w:t>
      </w:r>
      <w:r w:rsidRPr="001D49D4">
        <w:rPr>
          <w:rFonts w:ascii="Calibri" w:eastAsia="Calibri" w:hAnsi="Calibri" w:cs="Arial"/>
          <w:b/>
          <w:bCs/>
          <w:sz w:val="16"/>
          <w:szCs w:val="16"/>
          <w:rtl/>
        </w:rPr>
        <w:t xml:space="preserve">(פרק כל הגט) </w:t>
      </w:r>
      <w:r w:rsidRPr="001D49D4">
        <w:rPr>
          <w:rFonts w:ascii="Calibri" w:eastAsia="Calibri" w:hAnsi="Calibri" w:cs="Arial"/>
          <w:b/>
          <w:bCs/>
          <w:rtl/>
        </w:rPr>
        <w:t>כו</w:t>
      </w:r>
      <w:r w:rsidRPr="001D49D4">
        <w:rPr>
          <w:rFonts w:ascii="Calibri" w:eastAsia="Calibri" w:hAnsi="Calibri" w:cs="Arial"/>
          <w:b/>
          <w:bCs/>
          <w:vertAlign w:val="superscript"/>
          <w:rtl/>
        </w:rPr>
        <w:footnoteReference w:id="4014"/>
      </w:r>
      <w:r w:rsidRPr="001D49D4">
        <w:rPr>
          <w:rFonts w:ascii="Calibri" w:eastAsia="Calibri" w:hAnsi="Calibri" w:cs="Arial"/>
          <w:b/>
          <w:bCs/>
          <w:rtl/>
        </w:rPr>
        <w:t xml:space="preserve"> ע"א: </w:t>
      </w:r>
      <w:r w:rsidRPr="001D49D4">
        <w:rPr>
          <w:rFonts w:ascii="Calibri" w:eastAsia="Calibri" w:hAnsi="Calibri" w:cs="Arial"/>
          <w:u w:val="double"/>
          <w:rtl/>
        </w:rPr>
        <w:t>מתני'</w:t>
      </w:r>
      <w:r w:rsidRPr="001D49D4">
        <w:rPr>
          <w:rFonts w:ascii="Calibri" w:eastAsia="Calibri" w:hAnsi="Calibri" w:cs="Arial"/>
          <w:rtl/>
        </w:rPr>
        <w:t>: הכותב טופסי גיטין - צריך שיניח מקום האיש ומקום האשה ומקום הזמן. שטרי מלוה - צריך שיניח מקום המלוה מקום הלוה מקום המעות מקום הזמן. שטרי מקח - צריך שיניח מקום הלוקח ומקום המוכר מקום המעות מקום השדה ומקום הזמן, מפני התקנה</w:t>
      </w:r>
      <w:r w:rsidRPr="001D49D4">
        <w:rPr>
          <w:rFonts w:ascii="Calibri" w:eastAsia="Calibri" w:hAnsi="Calibri" w:cs="Arial"/>
          <w:vertAlign w:val="superscript"/>
          <w:rtl/>
        </w:rPr>
        <w:footnoteReference w:id="4015"/>
      </w:r>
      <w:r w:rsidRPr="001D49D4">
        <w:rPr>
          <w:rFonts w:ascii="Calibri" w:eastAsia="Calibri" w:hAnsi="Calibri" w:cs="Arial"/>
          <w:rtl/>
        </w:rPr>
        <w:t xml:space="preserve">. </w:t>
      </w:r>
      <w:r w:rsidRPr="001D49D4">
        <w:rPr>
          <w:rFonts w:ascii="Calibri" w:eastAsia="Calibri" w:hAnsi="Calibri" w:cs="Arial"/>
          <w:u w:val="single"/>
          <w:rtl/>
        </w:rPr>
        <w:t>ר' יהודה</w:t>
      </w:r>
      <w:r w:rsidRPr="001D49D4">
        <w:rPr>
          <w:rFonts w:ascii="Calibri" w:eastAsia="Calibri" w:hAnsi="Calibri" w:cs="Arial"/>
          <w:rtl/>
        </w:rPr>
        <w:t xml:space="preserve">: פוסל בכולן. </w:t>
      </w:r>
      <w:r w:rsidRPr="001D49D4">
        <w:rPr>
          <w:rFonts w:ascii="Calibri" w:eastAsia="Calibri" w:hAnsi="Calibri" w:cs="Arial"/>
          <w:u w:val="single"/>
          <w:rtl/>
        </w:rPr>
        <w:t>ר' אלעזר</w:t>
      </w:r>
      <w:r w:rsidRPr="001D49D4">
        <w:rPr>
          <w:rFonts w:ascii="Calibri" w:eastAsia="Calibri" w:hAnsi="Calibri" w:cs="Arial"/>
          <w:rtl/>
        </w:rPr>
        <w:t xml:space="preserve">: מכשיר בכולן, חוץ מגיטי נשים, שנאמר: וכתב לה - לשמה.     </w:t>
      </w:r>
      <w:r w:rsidRPr="001D49D4">
        <w:rPr>
          <w:rFonts w:ascii="Calibri" w:eastAsia="Calibri" w:hAnsi="Calibri" w:cs="Arial"/>
          <w:u w:val="double"/>
          <w:rtl/>
        </w:rPr>
        <w:t>גמ'</w:t>
      </w:r>
      <w:r w:rsidRPr="001D49D4">
        <w:rPr>
          <w:rFonts w:ascii="Calibri" w:eastAsia="Calibri" w:hAnsi="Calibri" w:cs="Arial"/>
          <w:rtl/>
        </w:rPr>
        <w:t xml:space="preserve">: מפני התקנה. מאי תקנה? </w:t>
      </w:r>
      <w:r w:rsidRPr="001D49D4">
        <w:rPr>
          <w:rFonts w:ascii="Calibri" w:eastAsia="Calibri" w:hAnsi="Calibri" w:cs="Arial"/>
          <w:u w:val="single"/>
          <w:rtl/>
        </w:rPr>
        <w:t>אמר ר' יונתן</w:t>
      </w:r>
      <w:r w:rsidRPr="001D49D4">
        <w:rPr>
          <w:rFonts w:ascii="Calibri" w:eastAsia="Calibri" w:hAnsi="Calibri" w:cs="Arial"/>
          <w:rtl/>
        </w:rPr>
        <w:t>: מפני תקנת סופר, ור"א היא, דאמר: עדי מסירה כרתי, ובדין הוא דאפי' טופס נמי לא לכתוב, ומשום תקנת סופרים שרו רבנן...</w:t>
      </w:r>
      <w:r w:rsidRPr="001D49D4">
        <w:rPr>
          <w:rFonts w:ascii="Calibri" w:eastAsia="Calibri" w:hAnsi="Calibri" w:cs="Arial"/>
          <w:sz w:val="14"/>
          <w:szCs w:val="14"/>
          <w:rtl/>
        </w:rPr>
        <w:t xml:space="preserve"> (כו:)</w:t>
      </w:r>
      <w:r w:rsidRPr="001D49D4">
        <w:rPr>
          <w:rFonts w:ascii="Calibri" w:eastAsia="Calibri" w:hAnsi="Calibri" w:cs="Arial"/>
          <w:rtl/>
        </w:rPr>
        <w:t xml:space="preserve"> </w:t>
      </w:r>
      <w:r w:rsidRPr="001D49D4">
        <w:rPr>
          <w:rFonts w:ascii="Calibri" w:eastAsia="Calibri" w:hAnsi="Calibri" w:cs="Arial"/>
          <w:u w:val="single"/>
          <w:rtl/>
        </w:rPr>
        <w:t>א"ר זירא אמר ר' אבא בר שילא אמר רב המנונא סבא אמר רב אדא בר אהבה אמר רב</w:t>
      </w:r>
      <w:r w:rsidRPr="001D49D4">
        <w:rPr>
          <w:rFonts w:ascii="Calibri" w:eastAsia="Calibri" w:hAnsi="Calibri" w:cs="Arial"/>
          <w:rtl/>
        </w:rPr>
        <w:t>: הלכה כר"א.</w:t>
      </w:r>
    </w:p>
    <w:p w14:paraId="68C898D4"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u w:val="single"/>
          <w:rtl/>
        </w:rPr>
        <w:t>ר' אלעזר מכשיר בכולן – כיצד פירושו:</w:t>
      </w:r>
    </w:p>
    <w:p w14:paraId="729BDDE5" w14:textId="77777777" w:rsidR="001D49D4" w:rsidRPr="001D49D4" w:rsidRDefault="001D49D4" w:rsidP="0004348D">
      <w:pPr>
        <w:numPr>
          <w:ilvl w:val="0"/>
          <w:numId w:val="299"/>
        </w:numPr>
        <w:spacing w:before="360" w:after="240"/>
        <w:contextualSpacing/>
        <w:rPr>
          <w:rtl/>
        </w:rPr>
      </w:pPr>
      <w:r w:rsidRPr="001D49D4">
        <w:rPr>
          <w:rtl/>
        </w:rPr>
        <w:t xml:space="preserve">רש"י </w:t>
      </w:r>
      <w:r w:rsidRPr="001D49D4">
        <w:rPr>
          <w:sz w:val="16"/>
          <w:szCs w:val="16"/>
          <w:rtl/>
        </w:rPr>
        <w:t>(שם ד"ה ר' אלעזר)</w:t>
      </w:r>
      <w:r w:rsidRPr="001D49D4">
        <w:rPr>
          <w:rtl/>
        </w:rPr>
        <w:t xml:space="preserve"> ראב"ן</w:t>
      </w:r>
      <w:r w:rsidRPr="001D49D4">
        <w:rPr>
          <w:sz w:val="16"/>
          <w:szCs w:val="16"/>
          <w:rtl/>
        </w:rPr>
        <w:t xml:space="preserve"> (גיטין כו.) </w:t>
      </w:r>
      <w:r w:rsidRPr="001D49D4">
        <w:rPr>
          <w:rtl/>
        </w:rPr>
        <w:t xml:space="preserve">ור"ן </w:t>
      </w:r>
      <w:r w:rsidRPr="001D49D4">
        <w:rPr>
          <w:sz w:val="16"/>
          <w:szCs w:val="16"/>
          <w:rtl/>
        </w:rPr>
        <w:t>(פ' כל הגט יג. מדפה"ר)</w:t>
      </w:r>
      <w:r w:rsidRPr="001D49D4">
        <w:rPr>
          <w:rtl/>
        </w:rPr>
        <w:t>- ר' אלעזר מכשיר בכולן ובלבד שיניח מקומות הללו</w:t>
      </w:r>
      <w:r w:rsidRPr="001D49D4">
        <w:rPr>
          <w:sz w:val="16"/>
          <w:szCs w:val="16"/>
          <w:rtl/>
        </w:rPr>
        <w:t xml:space="preserve"> (ל' רש"י)</w:t>
      </w:r>
      <w:r w:rsidRPr="001D49D4">
        <w:rPr>
          <w:rtl/>
        </w:rPr>
        <w:t xml:space="preserve">. (וכ"כ הש"ך </w:t>
      </w:r>
      <w:r w:rsidRPr="001D49D4">
        <w:rPr>
          <w:sz w:val="16"/>
          <w:szCs w:val="16"/>
          <w:rtl/>
        </w:rPr>
        <w:t>[סק"א]</w:t>
      </w:r>
      <w:r w:rsidRPr="001D49D4">
        <w:rPr>
          <w:rtl/>
        </w:rPr>
        <w:t>)</w:t>
      </w:r>
    </w:p>
    <w:p w14:paraId="609C9512" w14:textId="77777777" w:rsidR="001D49D4" w:rsidRPr="001D49D4" w:rsidRDefault="001D49D4" w:rsidP="0004348D">
      <w:pPr>
        <w:numPr>
          <w:ilvl w:val="0"/>
          <w:numId w:val="299"/>
        </w:numPr>
        <w:spacing w:before="360" w:after="240"/>
        <w:contextualSpacing/>
      </w:pPr>
      <w:r w:rsidRPr="001D49D4">
        <w:rPr>
          <w:rtl/>
        </w:rPr>
        <w:t xml:space="preserve">ר"י </w:t>
      </w:r>
      <w:r w:rsidRPr="001D49D4">
        <w:rPr>
          <w:sz w:val="16"/>
          <w:szCs w:val="16"/>
          <w:rtl/>
        </w:rPr>
        <w:t>(גיטין כו. בתוס' ד"ה רבי אלעזר)</w:t>
      </w:r>
      <w:r w:rsidRPr="001D49D4">
        <w:rPr>
          <w:rtl/>
        </w:rPr>
        <w:t xml:space="preserve"> רא"ש </w:t>
      </w:r>
      <w:r w:rsidRPr="001D49D4">
        <w:rPr>
          <w:sz w:val="16"/>
          <w:szCs w:val="16"/>
          <w:rtl/>
        </w:rPr>
        <w:t>(פ"ג סי' ב)</w:t>
      </w:r>
      <w:r w:rsidRPr="001D49D4">
        <w:rPr>
          <w:rtl/>
        </w:rPr>
        <w:t xml:space="preserve"> וטור- ר' אלעזר מכשיר בשטרות אפילו תורף</w:t>
      </w:r>
      <w:r w:rsidRPr="001D49D4">
        <w:rPr>
          <w:sz w:val="16"/>
          <w:szCs w:val="16"/>
          <w:rtl/>
        </w:rPr>
        <w:t xml:space="preserve"> (ל' התוס')</w:t>
      </w:r>
      <w:r w:rsidRPr="001D49D4">
        <w:rPr>
          <w:rtl/>
        </w:rPr>
        <w:t>.</w:t>
      </w:r>
      <w:r w:rsidRPr="001D49D4">
        <w:rPr>
          <w:color w:val="E36C0A" w:themeColor="accent6" w:themeShade="BF"/>
          <w:rtl/>
        </w:rPr>
        <w:t xml:space="preserve"> (וכ"פ בשו"ע)</w:t>
      </w:r>
    </w:p>
    <w:p w14:paraId="720FCF8B" w14:textId="77777777" w:rsidR="001D49D4" w:rsidRPr="001D49D4" w:rsidRDefault="001D49D4" w:rsidP="0004348D">
      <w:pPr>
        <w:spacing w:before="360" w:after="240"/>
        <w:ind w:left="360"/>
        <w:rPr>
          <w:rFonts w:ascii="Calibri" w:eastAsia="Calibri" w:hAnsi="Calibri" w:cs="Arial"/>
          <w:u w:val="dotted"/>
          <w:rtl/>
        </w:rPr>
      </w:pPr>
      <w:r w:rsidRPr="001D49D4">
        <w:rPr>
          <w:rFonts w:ascii="Calibri" w:eastAsia="Calibri" w:hAnsi="Calibri" w:cs="Arial"/>
          <w:u w:val="dotted"/>
          <w:rtl/>
        </w:rPr>
        <w:t>למעשה, סופר שרוצה לכתוב טופסי שטרות שיהיו מזומנים בידו – כיצד יעשה:</w:t>
      </w:r>
    </w:p>
    <w:p w14:paraId="6399F8F0" w14:textId="77777777" w:rsidR="001D49D4" w:rsidRPr="001D49D4" w:rsidRDefault="001D49D4" w:rsidP="0004348D">
      <w:pPr>
        <w:numPr>
          <w:ilvl w:val="0"/>
          <w:numId w:val="299"/>
        </w:numPr>
        <w:spacing w:before="360" w:after="240"/>
        <w:contextualSpacing/>
        <w:rPr>
          <w:rtl/>
        </w:rPr>
      </w:pPr>
      <w:r w:rsidRPr="001D49D4">
        <w:rPr>
          <w:rtl/>
        </w:rPr>
        <w:t xml:space="preserve">טור- סופר שבא לכתוב טופסי שטרות כדי שיהיו מצויין אצלו - הרשות בידו, ויכול לכתוב הכל שם הלוה והמלוה והמעות רק שיניח מקום הזמן שלא יהא מוקדם. </w:t>
      </w:r>
      <w:r w:rsidRPr="001D49D4">
        <w:rPr>
          <w:color w:val="E36C0A" w:themeColor="accent6" w:themeShade="BF"/>
          <w:rtl/>
        </w:rPr>
        <w:t>(וכ"פ בשו"ע)</w:t>
      </w:r>
    </w:p>
    <w:p w14:paraId="24EFE954" w14:textId="77777777" w:rsidR="001D49D4" w:rsidRPr="001D49D4" w:rsidRDefault="001D49D4" w:rsidP="0004348D">
      <w:pPr>
        <w:spacing w:before="360" w:after="240"/>
        <w:rPr>
          <w:rFonts w:ascii="Calibri" w:eastAsia="Calibri" w:hAnsi="Calibri" w:cs="Arial"/>
        </w:rPr>
      </w:pPr>
      <w:r w:rsidRPr="001D49D4">
        <w:rPr>
          <w:rFonts w:ascii="Calibri" w:eastAsia="Calibri" w:hAnsi="Calibri" w:cs="Arial"/>
          <w:b/>
          <w:bCs/>
          <w:rtl/>
        </w:rPr>
        <w:t xml:space="preserve">בבא מציעא </w:t>
      </w:r>
      <w:r w:rsidRPr="001D49D4">
        <w:rPr>
          <w:rFonts w:ascii="Calibri" w:eastAsia="Calibri" w:hAnsi="Calibri" w:cs="Arial"/>
          <w:b/>
          <w:bCs/>
          <w:sz w:val="16"/>
          <w:szCs w:val="16"/>
          <w:rtl/>
        </w:rPr>
        <w:t>(פ"ק)</w:t>
      </w:r>
      <w:r w:rsidRPr="001D49D4">
        <w:rPr>
          <w:rFonts w:ascii="Calibri" w:eastAsia="Calibri" w:hAnsi="Calibri" w:cs="Arial"/>
          <w:b/>
          <w:bCs/>
          <w:rtl/>
        </w:rPr>
        <w:t xml:space="preserve"> יז</w:t>
      </w:r>
      <w:r w:rsidRPr="001D49D4">
        <w:rPr>
          <w:rFonts w:ascii="Calibri" w:eastAsia="Calibri" w:hAnsi="Calibri" w:cs="Arial"/>
          <w:b/>
          <w:bCs/>
          <w:vertAlign w:val="superscript"/>
          <w:rtl/>
        </w:rPr>
        <w:footnoteReference w:id="4016"/>
      </w:r>
      <w:r w:rsidRPr="001D49D4">
        <w:rPr>
          <w:rFonts w:ascii="Calibri" w:eastAsia="Calibri" w:hAnsi="Calibri" w:cs="Arial"/>
          <w:b/>
          <w:bCs/>
          <w:rtl/>
        </w:rPr>
        <w:t xml:space="preserve"> ע"א:</w:t>
      </w:r>
      <w:r w:rsidRPr="001D49D4">
        <w:rPr>
          <w:rFonts w:ascii="Calibri" w:eastAsia="Calibri" w:hAnsi="Calibri" w:cs="Arial"/>
          <w:rtl/>
        </w:rPr>
        <w:t xml:space="preserve"> </w:t>
      </w:r>
      <w:r w:rsidRPr="001D49D4">
        <w:rPr>
          <w:rFonts w:ascii="Calibri" w:eastAsia="Calibri" w:hAnsi="Calibri" w:cs="Arial"/>
          <w:u w:val="single"/>
          <w:rtl/>
        </w:rPr>
        <w:t>אמר רבי אסי אמר רבי יוחנן</w:t>
      </w:r>
      <w:r w:rsidRPr="001D49D4">
        <w:rPr>
          <w:rFonts w:ascii="Calibri" w:eastAsia="Calibri" w:hAnsi="Calibri" w:cs="Arial"/>
          <w:rtl/>
        </w:rPr>
        <w:t xml:space="preserve">:... שטר שלוה בו ופרעו - אינו חוזר ולוה בו, שכבר נמחל שיעבודו. אימת? אילימא למחר וליומא חרא - מאי אריא שכבר נמחל שעבודו? תיפוק ליה דהוה ליה מוקדם, ותנן: שטרי חוב המוקדמין - פסולין. אלא לאו - ביומיה. </w:t>
      </w:r>
    </w:p>
    <w:p w14:paraId="22D702B3" w14:textId="77777777" w:rsidR="001D49D4" w:rsidRPr="001D49D4" w:rsidRDefault="001D49D4" w:rsidP="0004348D">
      <w:pPr>
        <w:spacing w:before="360" w:after="240"/>
        <w:rPr>
          <w:rFonts w:ascii="Calibri" w:eastAsia="Calibri" w:hAnsi="Calibri" w:cs="Arial"/>
          <w:u w:val="single"/>
          <w:rtl/>
        </w:rPr>
      </w:pPr>
      <w:r w:rsidRPr="001D49D4">
        <w:rPr>
          <w:rFonts w:ascii="Calibri" w:eastAsia="Calibri" w:hAnsi="Calibri" w:cs="Arial"/>
          <w:u w:val="single"/>
          <w:rtl/>
        </w:rPr>
        <w:t>האם אפשר ללות בשטר אחד פעמים ביום אחד:</w:t>
      </w:r>
    </w:p>
    <w:p w14:paraId="2D8F55EF" w14:textId="77777777" w:rsidR="001D49D4" w:rsidRPr="001D49D4" w:rsidRDefault="001D49D4" w:rsidP="0004348D">
      <w:pPr>
        <w:numPr>
          <w:ilvl w:val="0"/>
          <w:numId w:val="299"/>
        </w:numPr>
        <w:spacing w:before="360" w:after="240"/>
        <w:contextualSpacing/>
      </w:pPr>
      <w:r w:rsidRPr="001D49D4">
        <w:rPr>
          <w:rtl/>
        </w:rPr>
        <w:t>טור- שטר שנכתב על הלואה אחת ונפרע - אינו יכול לחזור וללוות בו, ואפילו אם הוא הכל ביום אחד שאינו מוקדם, שכיון שנמחל שיעבודו אינו חוזר ולוה בו</w:t>
      </w:r>
      <w:r w:rsidRPr="001D49D4">
        <w:rPr>
          <w:vertAlign w:val="superscript"/>
          <w:rtl/>
        </w:rPr>
        <w:footnoteReference w:id="4017"/>
      </w:r>
      <w:r w:rsidRPr="001D49D4">
        <w:rPr>
          <w:rtl/>
        </w:rPr>
        <w:t xml:space="preserve">. </w:t>
      </w:r>
      <w:r w:rsidRPr="001D49D4">
        <w:rPr>
          <w:color w:val="E36C0A" w:themeColor="accent6" w:themeShade="BF"/>
          <w:rtl/>
        </w:rPr>
        <w:t>(וכ"פ בשו"ע)</w:t>
      </w:r>
    </w:p>
    <w:p w14:paraId="6EE0818C" w14:textId="77777777" w:rsidR="001D49D4" w:rsidRPr="001D49D4" w:rsidRDefault="001D49D4" w:rsidP="0004348D">
      <w:pPr>
        <w:spacing w:before="360" w:after="240"/>
        <w:ind w:left="360"/>
        <w:rPr>
          <w:rFonts w:ascii="Calibri" w:eastAsia="Calibri" w:hAnsi="Calibri" w:cs="Arial"/>
          <w:u w:val="dotted"/>
        </w:rPr>
      </w:pPr>
      <w:r w:rsidRPr="001D49D4">
        <w:rPr>
          <w:rFonts w:ascii="Calibri" w:eastAsia="Calibri" w:hAnsi="Calibri" w:cs="Arial"/>
          <w:u w:val="dotted"/>
          <w:rtl/>
        </w:rPr>
        <w:t>האם יש דרך כל שהיא לחזור ללות באותו שטר בו ביום:</w:t>
      </w:r>
    </w:p>
    <w:p w14:paraId="35D6BBE4" w14:textId="77777777" w:rsidR="001D49D4" w:rsidRPr="001D49D4" w:rsidRDefault="001D49D4" w:rsidP="0004348D">
      <w:pPr>
        <w:numPr>
          <w:ilvl w:val="0"/>
          <w:numId w:val="299"/>
        </w:numPr>
        <w:spacing w:before="360" w:after="240"/>
        <w:contextualSpacing/>
      </w:pPr>
      <w:r w:rsidRPr="001D49D4">
        <w:rPr>
          <w:rtl/>
        </w:rPr>
        <w:t xml:space="preserve">ר"י </w:t>
      </w:r>
      <w:r w:rsidRPr="001D49D4">
        <w:rPr>
          <w:sz w:val="16"/>
          <w:szCs w:val="16"/>
          <w:rtl/>
        </w:rPr>
        <w:t>(כ"כ המרדכי בשמו [כתובות סי' ריח])</w:t>
      </w:r>
      <w:r w:rsidRPr="001D49D4">
        <w:rPr>
          <w:rtl/>
        </w:rPr>
        <w:t>- אם היו שם עידי מסירה - היו יכולין לחזור וללות בו, שהרי עיקר השיעבוד במסירתו ואינהו מפקי לקלא בשעת המסירה, ואין עיקר הדבר אחר החתימה, והלכך חוזרין ומשתעבדין נכסי הלוה הואיל והוא יום החתימה</w:t>
      </w:r>
      <w:r w:rsidRPr="001D49D4">
        <w:rPr>
          <w:vertAlign w:val="superscript"/>
          <w:rtl/>
        </w:rPr>
        <w:footnoteReference w:id="4018"/>
      </w:r>
      <w:r w:rsidRPr="001D49D4">
        <w:rPr>
          <w:rtl/>
        </w:rPr>
        <w:t xml:space="preserve">. </w:t>
      </w:r>
      <w:r w:rsidRPr="001D49D4">
        <w:rPr>
          <w:color w:val="00B0F0"/>
          <w:rtl/>
        </w:rPr>
        <w:t>(וכ"פ הרמ"א)</w:t>
      </w:r>
    </w:p>
    <w:p w14:paraId="09F2E030" w14:textId="77777777" w:rsidR="001D49D4" w:rsidRPr="001D49D4" w:rsidRDefault="001D49D4" w:rsidP="0004348D">
      <w:pPr>
        <w:numPr>
          <w:ilvl w:val="0"/>
          <w:numId w:val="299"/>
        </w:numPr>
        <w:spacing w:before="360" w:after="240"/>
        <w:contextualSpacing/>
      </w:pPr>
      <w:r w:rsidRPr="001D49D4">
        <w:rPr>
          <w:rtl/>
        </w:rPr>
        <w:t>מרדכי</w:t>
      </w:r>
      <w:r w:rsidRPr="001D49D4">
        <w:rPr>
          <w:sz w:val="16"/>
          <w:szCs w:val="16"/>
          <w:rtl/>
        </w:rPr>
        <w:t xml:space="preserve"> (פרק כל הגט גיטין סי' שנה, הביאו הדרכ"מ אות א)</w:t>
      </w:r>
      <w:r w:rsidRPr="001D49D4">
        <w:rPr>
          <w:rtl/>
        </w:rPr>
        <w:t xml:space="preserve">- אם חזר ולוה בו אותו היום עצמו, וחזר והקנה לו פעם שנית בשעת הלואה - כשר למגבי ביה. והא דקאמר נמחל שעבודו היינו רוצה לומר קניינו הראשון. </w:t>
      </w:r>
      <w:r w:rsidRPr="001D49D4">
        <w:rPr>
          <w:color w:val="00B0F0"/>
          <w:rtl/>
        </w:rPr>
        <w:t>(וכ"פ הרמ"א)</w:t>
      </w:r>
    </w:p>
    <w:p w14:paraId="458F5A6B" w14:textId="77777777" w:rsidR="001D49D4" w:rsidRPr="001D49D4" w:rsidRDefault="001D49D4" w:rsidP="0004348D">
      <w:pPr>
        <w:spacing w:before="360" w:after="240"/>
        <w:rPr>
          <w:rFonts w:ascii="Calibri" w:eastAsia="Calibri" w:hAnsi="Calibri" w:cs="Arial"/>
          <w:u w:val="single"/>
        </w:rPr>
      </w:pPr>
      <w:r w:rsidRPr="001D49D4">
        <w:rPr>
          <w:rFonts w:ascii="Calibri" w:eastAsia="Calibri" w:hAnsi="Calibri" w:cs="Arial"/>
          <w:u w:val="single"/>
          <w:rtl/>
        </w:rPr>
        <w:t>שטר שנפרע או שנמחל שעבודו – האם המלוה צריך להחזיר ללוה את השטר:</w:t>
      </w:r>
    </w:p>
    <w:p w14:paraId="278C9191" w14:textId="77777777" w:rsidR="001D49D4" w:rsidRPr="001D49D4" w:rsidRDefault="001D49D4" w:rsidP="0004348D">
      <w:pPr>
        <w:numPr>
          <w:ilvl w:val="0"/>
          <w:numId w:val="299"/>
        </w:numPr>
        <w:spacing w:before="360" w:after="240"/>
        <w:contextualSpacing/>
      </w:pPr>
      <w:r w:rsidRPr="001D49D4">
        <w:rPr>
          <w:rtl/>
        </w:rPr>
        <w:t xml:space="preserve">רא"ש </w:t>
      </w:r>
      <w:r w:rsidRPr="001D49D4">
        <w:rPr>
          <w:sz w:val="16"/>
          <w:szCs w:val="16"/>
          <w:rtl/>
        </w:rPr>
        <w:t>(כלל עז סי' ד ד"ה ותשובה אחרת להרמב"ן)</w:t>
      </w:r>
      <w:r w:rsidRPr="001D49D4">
        <w:rPr>
          <w:rtl/>
        </w:rPr>
        <w:t>- שטר שנפרע או שנמחל שעבודו צריך המלוה להחזיר השטר ללוה, שגופו של נייר שלו הוא</w:t>
      </w:r>
      <w:r w:rsidRPr="001D49D4">
        <w:rPr>
          <w:vertAlign w:val="superscript"/>
          <w:rtl/>
        </w:rPr>
        <w:footnoteReference w:id="4019"/>
      </w:r>
      <w:r w:rsidRPr="001D49D4">
        <w:rPr>
          <w:rtl/>
        </w:rPr>
        <w:t xml:space="preserve">. </w:t>
      </w:r>
    </w:p>
    <w:p w14:paraId="56B92138" w14:textId="77777777" w:rsidR="001D49D4" w:rsidRPr="001D49D4" w:rsidRDefault="001D49D4" w:rsidP="0004348D">
      <w:pPr>
        <w:spacing w:before="360" w:after="240"/>
        <w:rPr>
          <w:rFonts w:ascii="Arial" w:eastAsia="Calibri" w:hAnsi="Arial" w:cs="Arial"/>
          <w:b/>
          <w:bCs/>
          <w:color w:val="000000"/>
          <w:sz w:val="28"/>
          <w:szCs w:val="28"/>
          <w:u w:val="single"/>
          <w:rtl/>
        </w:rPr>
      </w:pPr>
      <w:r w:rsidRPr="001D49D4">
        <w:rPr>
          <w:rFonts w:ascii="Arial" w:eastAsia="Calibri" w:hAnsi="Arial" w:cs="Arial"/>
          <w:b/>
          <w:bCs/>
          <w:color w:val="000000"/>
          <w:sz w:val="28"/>
          <w:szCs w:val="28"/>
          <w:u w:val="single"/>
          <w:rtl/>
        </w:rPr>
        <w:t>שו"ע:</w:t>
      </w:r>
    </w:p>
    <w:p w14:paraId="173C4E5E"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rtl/>
        </w:rPr>
        <w:t>סופר שבא לכתוב טופסי שטרות כדי שיהיו מצויים אצלו, הרשות בידו. ויכול לכתוב הכל, שם הלוה והמלוה והמעות, רק שיניח מקום הזמן, שלא יהיה מוקדם. אבל שטר שנכתב על הלואה אחת, ונפרע, אינו יכול לחזור וללוות בו, אפילו אם הכל ביום אחד שאינו מוקדם, שכיון שנמחל שעבודו אינו חוזר ולוה בו</w:t>
      </w:r>
      <w:r w:rsidRPr="001D49D4">
        <w:rPr>
          <w:rFonts w:ascii="Calibri" w:eastAsia="Calibri" w:hAnsi="Calibri" w:cs="Arial"/>
          <w:vertAlign w:val="superscript"/>
          <w:rtl/>
        </w:rPr>
        <w:footnoteReference w:id="4020"/>
      </w:r>
      <w:r w:rsidRPr="001D49D4">
        <w:rPr>
          <w:rFonts w:ascii="Calibri" w:eastAsia="Calibri" w:hAnsi="Calibri" w:cs="Arial"/>
          <w:rtl/>
        </w:rPr>
        <w:t xml:space="preserve">. ואם פרע מקצת חובו, אינו חוזר ולוה בו באותו שטר אותו מקצת, דהוי נמחל שעבודו לאותו מקצת. </w:t>
      </w:r>
      <w:r w:rsidRPr="001D49D4">
        <w:rPr>
          <w:rFonts w:ascii="Calibri" w:eastAsia="Calibri" w:hAnsi="Calibri" w:cs="Arial"/>
          <w:sz w:val="18"/>
          <w:szCs w:val="18"/>
          <w:rtl/>
        </w:rPr>
        <w:t>הגה: ויש מי שאומר הא דנמחל שעבודו, היינו הקנין הראשון, ולכן אם חזר וקבל קנין, יכול לחזור וללות בו (מרדכי פרק כל הגט). ואפילו לא חזר והקנה לו, רק שחזר ומסרו לו בפני עדים</w:t>
      </w:r>
      <w:r w:rsidRPr="001D49D4">
        <w:rPr>
          <w:rFonts w:ascii="Calibri" w:eastAsia="Calibri" w:hAnsi="Calibri" w:cs="Arial"/>
          <w:sz w:val="18"/>
          <w:szCs w:val="18"/>
          <w:vertAlign w:val="superscript"/>
          <w:rtl/>
        </w:rPr>
        <w:footnoteReference w:id="4021"/>
      </w:r>
      <w:r w:rsidRPr="001D49D4">
        <w:rPr>
          <w:rFonts w:ascii="Calibri" w:eastAsia="Calibri" w:hAnsi="Calibri" w:cs="Arial"/>
          <w:sz w:val="18"/>
          <w:szCs w:val="18"/>
          <w:rtl/>
        </w:rPr>
        <w:t>, למאן דאמר עידי מסירה עיקר אפילו בשטרות (מרדכי פרק הכותב בשם ר"י), ועיין לקמן סימן נ"א</w:t>
      </w:r>
      <w:r w:rsidRPr="001D49D4">
        <w:rPr>
          <w:rFonts w:ascii="Calibri" w:eastAsia="Calibri" w:hAnsi="Calibri" w:cs="Arial"/>
          <w:sz w:val="18"/>
          <w:szCs w:val="18"/>
          <w:vertAlign w:val="superscript"/>
          <w:rtl/>
        </w:rPr>
        <w:footnoteReference w:id="4022"/>
      </w:r>
      <w:r w:rsidRPr="001D49D4">
        <w:rPr>
          <w:rFonts w:ascii="Calibri" w:eastAsia="Calibri" w:hAnsi="Calibri" w:cs="Arial"/>
          <w:sz w:val="18"/>
          <w:szCs w:val="18"/>
          <w:rtl/>
        </w:rPr>
        <w:t>.</w:t>
      </w:r>
    </w:p>
    <w:p w14:paraId="7F972AA3" w14:textId="77777777" w:rsidR="001D49D4" w:rsidRPr="001D49D4" w:rsidRDefault="001D49D4" w:rsidP="0004348D">
      <w:pPr>
        <w:spacing w:before="360" w:after="240"/>
        <w:rPr>
          <w:rFonts w:ascii="Calibri" w:eastAsia="Calibri" w:hAnsi="Calibri" w:cs="Arial"/>
          <w:u w:val="single"/>
          <w:rtl/>
        </w:rPr>
      </w:pPr>
      <w:r w:rsidRPr="001D49D4">
        <w:rPr>
          <w:rFonts w:ascii="Calibri" w:eastAsia="Calibri" w:hAnsi="Calibri" w:cs="Arial"/>
          <w:u w:val="single"/>
          <w:rtl/>
        </w:rPr>
        <w:t xml:space="preserve">האם אפשר ללות </w:t>
      </w:r>
      <w:r w:rsidRPr="001D49D4">
        <w:rPr>
          <w:rFonts w:ascii="Calibri" w:eastAsia="Calibri" w:hAnsi="Calibri" w:cs="Arial"/>
          <w:b/>
          <w:bCs/>
          <w:u w:val="single"/>
          <w:rtl/>
        </w:rPr>
        <w:t>בכתיבת ידו</w:t>
      </w:r>
      <w:r w:rsidRPr="001D49D4">
        <w:rPr>
          <w:rFonts w:ascii="Calibri" w:eastAsia="Calibri" w:hAnsi="Calibri" w:cs="Arial"/>
          <w:u w:val="single"/>
          <w:rtl/>
        </w:rPr>
        <w:t xml:space="preserve"> פעמים ביום אחד:</w:t>
      </w:r>
    </w:p>
    <w:p w14:paraId="654B9BC9" w14:textId="77777777" w:rsidR="001D49D4" w:rsidRPr="001D49D4" w:rsidRDefault="001D49D4" w:rsidP="0004348D">
      <w:pPr>
        <w:numPr>
          <w:ilvl w:val="0"/>
          <w:numId w:val="299"/>
        </w:numPr>
        <w:spacing w:before="360" w:after="240"/>
        <w:contextualSpacing/>
      </w:pPr>
      <w:r w:rsidRPr="001D49D4">
        <w:rPr>
          <w:rtl/>
        </w:rPr>
        <w:t xml:space="preserve">עיר שושן סמ"ע </w:t>
      </w:r>
      <w:r w:rsidRPr="001D49D4">
        <w:rPr>
          <w:sz w:val="16"/>
          <w:szCs w:val="16"/>
          <w:rtl/>
        </w:rPr>
        <w:t>(סק"א)</w:t>
      </w:r>
      <w:r w:rsidRPr="001D49D4">
        <w:rPr>
          <w:rtl/>
        </w:rPr>
        <w:t xml:space="preserve"> וש"ך </w:t>
      </w:r>
      <w:r w:rsidRPr="001D49D4">
        <w:rPr>
          <w:sz w:val="16"/>
          <w:szCs w:val="16"/>
          <w:rtl/>
        </w:rPr>
        <w:t>(סק"ב)</w:t>
      </w:r>
      <w:r w:rsidRPr="001D49D4">
        <w:rPr>
          <w:rtl/>
        </w:rPr>
        <w:t>- אם לוה בכתיבת ידו, דאינו אלא לראיה בעלמא שלא יהא נאמן לומר פרעתי כשיש בו נאמנות ואינו טורף בו ממשועבדים - חוזר ולוה בו</w:t>
      </w:r>
      <w:r w:rsidRPr="001D49D4">
        <w:rPr>
          <w:sz w:val="16"/>
          <w:szCs w:val="16"/>
          <w:rtl/>
        </w:rPr>
        <w:t xml:space="preserve"> (ל' הסמ"ע בשם העיר שושן)</w:t>
      </w:r>
      <w:r w:rsidRPr="001D49D4">
        <w:rPr>
          <w:vertAlign w:val="superscript"/>
          <w:rtl/>
        </w:rPr>
        <w:footnoteReference w:id="4023"/>
      </w:r>
      <w:r w:rsidRPr="001D49D4">
        <w:rPr>
          <w:rtl/>
        </w:rPr>
        <w:t>.</w:t>
      </w:r>
    </w:p>
    <w:p w14:paraId="20A44F81" w14:textId="77777777" w:rsidR="001D49D4" w:rsidRPr="001D49D4" w:rsidRDefault="001D49D4" w:rsidP="0004348D">
      <w:pPr>
        <w:numPr>
          <w:ilvl w:val="0"/>
          <w:numId w:val="299"/>
        </w:numPr>
        <w:spacing w:before="360" w:after="240"/>
        <w:contextualSpacing/>
      </w:pPr>
      <w:r w:rsidRPr="001D49D4">
        <w:rPr>
          <w:rtl/>
        </w:rPr>
        <w:t xml:space="preserve">ב"ח </w:t>
      </w:r>
      <w:r w:rsidRPr="001D49D4">
        <w:rPr>
          <w:sz w:val="16"/>
          <w:szCs w:val="16"/>
          <w:rtl/>
        </w:rPr>
        <w:t xml:space="preserve">(כ"כ הש"ך [סק"ב] בשמו) </w:t>
      </w:r>
      <w:r w:rsidRPr="001D49D4">
        <w:rPr>
          <w:rtl/>
        </w:rPr>
        <w:t>- אף בכת"י אינו חוזר ולוה בו</w:t>
      </w:r>
      <w:r w:rsidRPr="001D49D4">
        <w:rPr>
          <w:vertAlign w:val="superscript"/>
          <w:rtl/>
        </w:rPr>
        <w:footnoteReference w:id="4024"/>
      </w:r>
      <w:r w:rsidRPr="001D49D4">
        <w:rPr>
          <w:rtl/>
        </w:rPr>
        <w:t>.</w:t>
      </w:r>
    </w:p>
    <w:p w14:paraId="5A8AC767"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u w:val="single"/>
          <w:rtl/>
        </w:rPr>
        <w:t xml:space="preserve">ממר"ם </w:t>
      </w:r>
      <w:r w:rsidRPr="001D49D4">
        <w:rPr>
          <w:rFonts w:ascii="Calibri" w:eastAsia="Calibri" w:hAnsi="Calibri" w:cs="Arial"/>
          <w:sz w:val="16"/>
          <w:szCs w:val="16"/>
          <w:u w:val="single"/>
          <w:rtl/>
        </w:rPr>
        <w:t>(כמו צ'ק)</w:t>
      </w:r>
      <w:r w:rsidRPr="001D49D4">
        <w:rPr>
          <w:rFonts w:ascii="Calibri" w:eastAsia="Calibri" w:hAnsi="Calibri" w:cs="Arial"/>
          <w:u w:val="single"/>
          <w:rtl/>
        </w:rPr>
        <w:t xml:space="preserve"> שרוצה ללות בו פעם שניה:</w:t>
      </w:r>
    </w:p>
    <w:p w14:paraId="19109575" w14:textId="77777777" w:rsidR="001D49D4" w:rsidRPr="001D49D4" w:rsidRDefault="001D49D4" w:rsidP="0004348D">
      <w:pPr>
        <w:numPr>
          <w:ilvl w:val="0"/>
          <w:numId w:val="299"/>
        </w:numPr>
        <w:spacing w:before="360" w:after="240"/>
        <w:contextualSpacing/>
        <w:rPr>
          <w:rtl/>
        </w:rPr>
      </w:pPr>
      <w:r w:rsidRPr="001D49D4">
        <w:rPr>
          <w:rtl/>
        </w:rPr>
        <w:t>עיר שושן- בענין כתיבת הממרמו"ת שנוהגין בהן בזמן הזה, צריך שיהא סך וזמן פרעון כתוב בהיפוך הדף נגד חתימתו ממש, דאל"כ יש לחוש שיחתוך כל מה שכתוב מצד השני, ויכתוב נגד החתימה מה שירצה</w:t>
      </w:r>
      <w:r w:rsidRPr="001D49D4">
        <w:rPr>
          <w:vertAlign w:val="superscript"/>
          <w:rtl/>
        </w:rPr>
        <w:footnoteReference w:id="4025"/>
      </w:r>
      <w:r w:rsidRPr="001D49D4">
        <w:rPr>
          <w:rtl/>
        </w:rPr>
        <w:t>.</w:t>
      </w:r>
    </w:p>
    <w:p w14:paraId="2C427795" w14:textId="77777777" w:rsidR="001D49D4" w:rsidRPr="001D49D4" w:rsidRDefault="001D49D4" w:rsidP="0004348D">
      <w:pPr>
        <w:spacing w:before="360" w:after="240"/>
        <w:rPr>
          <w:rFonts w:ascii="Calibri" w:eastAsia="Calibri" w:hAnsi="Calibri" w:cs="Arial"/>
          <w:u w:val="single"/>
        </w:rPr>
      </w:pPr>
      <w:r w:rsidRPr="001D49D4">
        <w:rPr>
          <w:rFonts w:ascii="Calibri" w:eastAsia="Calibri" w:hAnsi="Calibri" w:cs="Arial"/>
          <w:u w:val="single"/>
          <w:rtl/>
        </w:rPr>
        <w:t>ראובן שהוציא ממר"ם שחתום בו שמעון, והנייר חלק מצד השני לגמרי, ולא כתב ע"ג חתימתו לא סך ולא פרעון:</w:t>
      </w:r>
    </w:p>
    <w:p w14:paraId="0CF24CF3" w14:textId="77777777" w:rsidR="001D49D4" w:rsidRPr="001D49D4" w:rsidRDefault="001D49D4" w:rsidP="0004348D">
      <w:pPr>
        <w:numPr>
          <w:ilvl w:val="0"/>
          <w:numId w:val="299"/>
        </w:numPr>
        <w:spacing w:before="360" w:after="240"/>
        <w:contextualSpacing/>
      </w:pPr>
      <w:r w:rsidRPr="001D49D4">
        <w:rPr>
          <w:rtl/>
        </w:rPr>
        <w:t>עיר שושן- אם מוציא ראובן ממר"ם חתום בו שמעון, והנייר חלק מצד השני לגמרי, ולא כתב ע"ג חתימתו לא סך ולא פרעון, - גרע חזקת ממר"ם זה, דאין דרך העולם להאמין להמלוה כתב סתם כזה, ונאמן הלוה לומר ממני נפל ואתה מצאתו</w:t>
      </w:r>
      <w:r w:rsidRPr="001D49D4">
        <w:rPr>
          <w:vertAlign w:val="superscript"/>
          <w:rtl/>
        </w:rPr>
        <w:footnoteReference w:id="4026"/>
      </w:r>
      <w:r w:rsidRPr="001D49D4">
        <w:rPr>
          <w:rtl/>
        </w:rPr>
        <w:t>. ויראה לי עוד, שאפילו אם טוען לויתי בה כך וכך ופרעתיה, נאמן</w:t>
      </w:r>
      <w:r w:rsidRPr="001D49D4">
        <w:rPr>
          <w:vertAlign w:val="superscript"/>
          <w:rtl/>
        </w:rPr>
        <w:footnoteReference w:id="4027"/>
      </w:r>
      <w:r w:rsidRPr="001D49D4">
        <w:rPr>
          <w:rtl/>
        </w:rPr>
        <w:t>.</w:t>
      </w:r>
    </w:p>
    <w:p w14:paraId="467EB422" w14:textId="77777777" w:rsidR="001D49D4" w:rsidRPr="001D49D4" w:rsidRDefault="001D49D4" w:rsidP="0004348D">
      <w:pPr>
        <w:bidi w:val="0"/>
        <w:spacing w:before="360" w:after="240"/>
        <w:rPr>
          <w:rFonts w:ascii="Cambria" w:eastAsia="Times New Roman" w:hAnsi="Cambria" w:cs="Arial"/>
          <w:b/>
          <w:bCs/>
          <w:color w:val="365F91" w:themeColor="accent1" w:themeShade="BF"/>
          <w:sz w:val="28"/>
          <w:szCs w:val="28"/>
          <w:rtl/>
        </w:rPr>
        <w:sectPr w:rsidR="001D49D4" w:rsidRPr="001D49D4">
          <w:headerReference w:type="default" r:id="rId57"/>
          <w:footnotePr>
            <w:numRestart w:val="eachPage"/>
          </w:footnotePr>
          <w:pgSz w:w="11906" w:h="16838"/>
          <w:pgMar w:top="720" w:right="1134" w:bottom="720" w:left="1134" w:header="0" w:footer="0" w:gutter="0"/>
          <w:cols w:space="720"/>
          <w:bidi/>
          <w:rtlGutter/>
        </w:sectPr>
      </w:pPr>
    </w:p>
    <w:p w14:paraId="05D15C7D" w14:textId="77777777" w:rsidR="001D49D4" w:rsidRPr="001D49D4" w:rsidRDefault="001D49D4" w:rsidP="0004348D">
      <w:pPr>
        <w:keepNext/>
        <w:keepLines/>
        <w:spacing w:before="360" w:after="240"/>
        <w:outlineLvl w:val="0"/>
        <w:rPr>
          <w:rFonts w:ascii="Arial" w:eastAsia="Times New Roman" w:hAnsi="Arial" w:cs="Arial"/>
          <w:b/>
          <w:bCs/>
          <w:color w:val="365F91" w:themeColor="accent1" w:themeShade="BF"/>
          <w:sz w:val="28"/>
          <w:szCs w:val="28"/>
          <w:rtl/>
        </w:rPr>
      </w:pPr>
      <w:bookmarkStart w:id="549" w:name="_Toc24883978"/>
      <w:r w:rsidRPr="001D49D4">
        <w:rPr>
          <w:rFonts w:ascii="Arial" w:eastAsia="Times New Roman" w:hAnsi="Arial" w:cs="Arial"/>
          <w:b/>
          <w:bCs/>
          <w:color w:val="365F91" w:themeColor="accent1" w:themeShade="BF"/>
          <w:sz w:val="28"/>
          <w:szCs w:val="28"/>
          <w:rtl/>
        </w:rPr>
        <w:t>סימן מט: שיכירו העדים שם הלוה והמלוה, ודין טעות השמות והסכום, ובו י' סעיפים.</w:t>
      </w:r>
      <w:bookmarkEnd w:id="549"/>
      <w:r w:rsidRPr="001D49D4">
        <w:rPr>
          <w:rFonts w:ascii="Arial" w:eastAsia="Times New Roman" w:hAnsi="Arial" w:cs="Arial"/>
          <w:b/>
          <w:bCs/>
          <w:color w:val="365F91" w:themeColor="accent1" w:themeShade="BF"/>
          <w:sz w:val="28"/>
          <w:szCs w:val="28"/>
          <w:rtl/>
        </w:rPr>
        <w:t xml:space="preserve"> </w:t>
      </w:r>
    </w:p>
    <w:p w14:paraId="4BD5DC9C" w14:textId="77777777" w:rsidR="001D49D4" w:rsidRPr="001D49D4" w:rsidRDefault="001D49D4" w:rsidP="0004348D">
      <w:pPr>
        <w:keepNext/>
        <w:keepLines/>
        <w:spacing w:before="360" w:after="240"/>
        <w:outlineLvl w:val="1"/>
        <w:rPr>
          <w:rFonts w:ascii="Arial" w:eastAsia="Times New Roman" w:hAnsi="Arial" w:cs="Arial"/>
          <w:bCs/>
          <w:color w:val="548DD4" w:themeColor="text2" w:themeTint="99"/>
          <w:sz w:val="26"/>
          <w:szCs w:val="26"/>
          <w:rtl/>
        </w:rPr>
      </w:pPr>
      <w:bookmarkStart w:id="550" w:name="_Toc24883979"/>
      <w:r w:rsidRPr="001D49D4">
        <w:rPr>
          <w:rFonts w:ascii="Arial" w:eastAsia="Times New Roman" w:hAnsi="Arial" w:cs="Arial"/>
          <w:bCs/>
          <w:color w:val="548DD4" w:themeColor="text2" w:themeTint="99"/>
          <w:sz w:val="26"/>
          <w:szCs w:val="26"/>
          <w:rtl/>
        </w:rPr>
        <w:t>סעיף א: לוה/מלוה שיש לו שני שמות.</w:t>
      </w:r>
      <w:bookmarkEnd w:id="550"/>
    </w:p>
    <w:p w14:paraId="667D2529" w14:textId="77777777" w:rsidR="001D49D4" w:rsidRPr="001D49D4" w:rsidRDefault="001D49D4" w:rsidP="0004348D">
      <w:pPr>
        <w:spacing w:before="360" w:after="240"/>
        <w:rPr>
          <w:rFonts w:ascii="Arial" w:eastAsia="Calibri" w:hAnsi="Arial" w:cs="Arial"/>
          <w:rtl/>
        </w:rPr>
      </w:pPr>
      <w:r w:rsidRPr="001D49D4">
        <w:rPr>
          <w:rFonts w:ascii="Arial" w:eastAsia="Calibri" w:hAnsi="Arial" w:cs="Arial"/>
          <w:b/>
          <w:bCs/>
          <w:rtl/>
        </w:rPr>
        <w:t>גיטין לד</w:t>
      </w:r>
      <w:r w:rsidRPr="001D49D4">
        <w:rPr>
          <w:rFonts w:ascii="Arial" w:eastAsia="Calibri" w:hAnsi="Arial" w:cs="Arial"/>
          <w:vertAlign w:val="superscript"/>
          <w:rtl/>
        </w:rPr>
        <w:footnoteReference w:id="4028"/>
      </w:r>
      <w:r w:rsidRPr="001D49D4">
        <w:rPr>
          <w:rFonts w:ascii="Arial" w:eastAsia="Calibri" w:hAnsi="Arial" w:cs="Arial"/>
          <w:b/>
          <w:bCs/>
          <w:rtl/>
        </w:rPr>
        <w:t xml:space="preserve"> ע"ב: </w:t>
      </w:r>
      <w:r w:rsidRPr="001D49D4">
        <w:rPr>
          <w:rFonts w:ascii="Arial" w:eastAsia="Calibri" w:hAnsi="Arial" w:cs="Arial"/>
          <w:u w:val="double"/>
          <w:rtl/>
        </w:rPr>
        <w:t>מתני':</w:t>
      </w:r>
      <w:r w:rsidRPr="001D49D4">
        <w:rPr>
          <w:rFonts w:ascii="Arial" w:eastAsia="Calibri" w:hAnsi="Arial" w:cs="Arial"/>
          <w:rtl/>
        </w:rPr>
        <w:t xml:space="preserve"> בראשונה היה משנה שמו ושמה</w:t>
      </w:r>
      <w:r w:rsidRPr="001D49D4">
        <w:rPr>
          <w:rFonts w:ascii="Arial" w:eastAsia="Calibri" w:hAnsi="Arial" w:cs="Arial"/>
          <w:vertAlign w:val="superscript"/>
          <w:rtl/>
        </w:rPr>
        <w:footnoteReference w:id="4029"/>
      </w:r>
      <w:r w:rsidRPr="001D49D4">
        <w:rPr>
          <w:rFonts w:ascii="Arial" w:eastAsia="Calibri" w:hAnsi="Arial" w:cs="Arial"/>
          <w:rtl/>
        </w:rPr>
        <w:t>, שם עירו ושם עירה, התקין ר"ג הזקן שיהא כותב איש פלוני וכל שום שיש לו, אשה פלונית וכל שום שיש לה, מפני תיקון העולם</w:t>
      </w:r>
      <w:r w:rsidRPr="001D49D4">
        <w:rPr>
          <w:rFonts w:ascii="Arial" w:eastAsia="Calibri" w:hAnsi="Arial" w:cs="Arial"/>
          <w:vertAlign w:val="superscript"/>
          <w:rtl/>
        </w:rPr>
        <w:footnoteReference w:id="4030"/>
      </w:r>
      <w:r w:rsidRPr="001D49D4">
        <w:rPr>
          <w:rFonts w:ascii="Arial" w:eastAsia="Calibri" w:hAnsi="Arial" w:cs="Arial"/>
          <w:rtl/>
        </w:rPr>
        <w:t xml:space="preserve">.        </w:t>
      </w:r>
      <w:r w:rsidRPr="001D49D4">
        <w:rPr>
          <w:rFonts w:ascii="Arial" w:eastAsia="Calibri" w:hAnsi="Arial" w:cs="Arial"/>
          <w:u w:val="double"/>
          <w:rtl/>
        </w:rPr>
        <w:t>גמ':</w:t>
      </w:r>
      <w:r w:rsidRPr="001D49D4">
        <w:rPr>
          <w:rFonts w:ascii="Arial" w:eastAsia="Calibri" w:hAnsi="Arial" w:cs="Arial"/>
          <w:rtl/>
        </w:rPr>
        <w:t xml:space="preserve"> </w:t>
      </w:r>
      <w:r w:rsidRPr="001D49D4">
        <w:rPr>
          <w:rFonts w:ascii="Arial" w:eastAsia="Calibri" w:hAnsi="Arial" w:cs="Arial"/>
          <w:u w:val="single"/>
          <w:rtl/>
        </w:rPr>
        <w:t>אמר רב יהודה אמר שמואל</w:t>
      </w:r>
      <w:r w:rsidRPr="001D49D4">
        <w:rPr>
          <w:rFonts w:ascii="Arial" w:eastAsia="Calibri" w:hAnsi="Arial" w:cs="Arial"/>
          <w:rtl/>
        </w:rPr>
        <w:t xml:space="preserve">: שלחו ליה בני מדינת הים לרבן גמליאל: בני אדם הבאים משם לכאן, שמו יוסף וקוראין לו יוחנן, יוחנן וקוראין לו יוסף, היאך מגרשין נשותיהן? עמד ר"ג והתקין שיהו כותבין איש פלוני וכל שום שיש לו, אשה פלונית וכל שום שיש לה, מפני תיקון העולם. </w:t>
      </w:r>
      <w:r w:rsidRPr="001D49D4">
        <w:rPr>
          <w:rFonts w:ascii="Arial" w:eastAsia="Calibri" w:hAnsi="Arial" w:cs="Arial"/>
          <w:u w:val="single"/>
          <w:rtl/>
        </w:rPr>
        <w:t>אמר רב אשי</w:t>
      </w:r>
      <w:r w:rsidRPr="001D49D4">
        <w:rPr>
          <w:rFonts w:ascii="Arial" w:eastAsia="Calibri" w:hAnsi="Arial" w:cs="Arial"/>
          <w:rtl/>
        </w:rPr>
        <w:t>: והוא דאתחזק</w:t>
      </w:r>
      <w:r w:rsidRPr="001D49D4">
        <w:rPr>
          <w:rFonts w:ascii="Arial" w:eastAsia="Calibri" w:hAnsi="Arial" w:cs="Arial"/>
          <w:vertAlign w:val="superscript"/>
          <w:rtl/>
        </w:rPr>
        <w:footnoteReference w:id="4031"/>
      </w:r>
      <w:r w:rsidRPr="001D49D4">
        <w:rPr>
          <w:rFonts w:ascii="Arial" w:eastAsia="Calibri" w:hAnsi="Arial" w:cs="Arial"/>
          <w:rtl/>
        </w:rPr>
        <w:t xml:space="preserve"> בתרי שמי.... ההיא דהוו קרו לה מרים, ופורתא שרה</w:t>
      </w:r>
      <w:r w:rsidRPr="001D49D4">
        <w:rPr>
          <w:rFonts w:ascii="Arial" w:eastAsia="Calibri" w:hAnsi="Arial" w:cs="Arial"/>
          <w:vertAlign w:val="superscript"/>
          <w:rtl/>
        </w:rPr>
        <w:footnoteReference w:id="4032"/>
      </w:r>
      <w:r w:rsidRPr="001D49D4">
        <w:rPr>
          <w:rFonts w:ascii="Arial" w:eastAsia="Calibri" w:hAnsi="Arial" w:cs="Arial"/>
          <w:rtl/>
        </w:rPr>
        <w:t xml:space="preserve">, </w:t>
      </w:r>
      <w:r w:rsidRPr="001D49D4">
        <w:rPr>
          <w:rFonts w:ascii="Arial" w:eastAsia="Calibri" w:hAnsi="Arial" w:cs="Arial"/>
          <w:u w:val="single"/>
          <w:rtl/>
        </w:rPr>
        <w:t>אמרי נהרדעי</w:t>
      </w:r>
      <w:r w:rsidRPr="001D49D4">
        <w:rPr>
          <w:rFonts w:ascii="Arial" w:eastAsia="Calibri" w:hAnsi="Arial" w:cs="Arial"/>
          <w:rtl/>
        </w:rPr>
        <w:t>: מרים</w:t>
      </w:r>
      <w:r w:rsidRPr="001D49D4">
        <w:rPr>
          <w:rFonts w:ascii="Arial" w:eastAsia="Calibri" w:hAnsi="Arial" w:cs="Arial"/>
          <w:vertAlign w:val="superscript"/>
          <w:rtl/>
        </w:rPr>
        <w:footnoteReference w:id="4033"/>
      </w:r>
      <w:r w:rsidRPr="001D49D4">
        <w:rPr>
          <w:rFonts w:ascii="Arial" w:eastAsia="Calibri" w:hAnsi="Arial" w:cs="Arial"/>
          <w:rtl/>
        </w:rPr>
        <w:t xml:space="preserve"> וכל שום שיש לה, ולא שרה וכל שום שיש לה. </w:t>
      </w:r>
      <w:r w:rsidRPr="001D49D4">
        <w:rPr>
          <w:rFonts w:ascii="Arial" w:eastAsia="Calibri" w:hAnsi="Arial" w:cs="Arial"/>
          <w:sz w:val="16"/>
          <w:szCs w:val="16"/>
          <w:rtl/>
        </w:rPr>
        <w:t xml:space="preserve">(וכ' בעל התרומות </w:t>
      </w:r>
      <w:r w:rsidRPr="001D49D4">
        <w:rPr>
          <w:rFonts w:ascii="Arial" w:eastAsia="Calibri" w:hAnsi="Arial" w:cs="Arial"/>
          <w:sz w:val="14"/>
          <w:szCs w:val="14"/>
          <w:rtl/>
        </w:rPr>
        <w:t xml:space="preserve">(שער ל"ג ח"א סי' ב) </w:t>
      </w:r>
      <w:r w:rsidRPr="001D49D4">
        <w:rPr>
          <w:rFonts w:ascii="Arial" w:eastAsia="Calibri" w:hAnsi="Arial" w:cs="Arial"/>
          <w:sz w:val="16"/>
          <w:szCs w:val="16"/>
          <w:rtl/>
        </w:rPr>
        <w:t>דהא דאמרינן שצריך לכתוב מרים וכל שום שיש לה ולא שרה וכל שום שיש לה היינו דוקא בגיטי נשים אבל בגיטי ממון אינו כן אלא כותבין שם העיקר בלבד ואין מזכירין הטפל שאין תקנת רבן גמליאל בכל שום אלא בגיטי נשים, ולא עוד אלא אפילו כתבו הטפל כיון שהוחזק לו אותו שם הטפל גובין הימנו וגובין לו, והוא שאין שם מקום לחוש לשני יוסף בן שמעון, וכן אם היה כהן או לוי או שיש לו חניכא</w:t>
      </w:r>
      <w:r w:rsidRPr="001D49D4">
        <w:rPr>
          <w:rFonts w:ascii="Arial" w:eastAsia="Calibri" w:hAnsi="Arial" w:cs="Arial"/>
          <w:sz w:val="16"/>
          <w:szCs w:val="16"/>
          <w:vertAlign w:val="superscript"/>
          <w:rtl/>
        </w:rPr>
        <w:footnoteReference w:id="4034"/>
      </w:r>
      <w:r w:rsidRPr="001D49D4">
        <w:rPr>
          <w:rFonts w:ascii="Arial" w:eastAsia="Calibri" w:hAnsi="Arial" w:cs="Arial"/>
          <w:sz w:val="16"/>
          <w:szCs w:val="16"/>
          <w:rtl/>
        </w:rPr>
        <w:t xml:space="preserve"> אין צריך להזכיר בשטרו דדוקא כששני יוסף בן שמעון דרין בעיר אחת הוא שהצריכו שאם היו שמם משולשין ומסומנין שיכתבו כהן הא לאו הכי לא צריך</w:t>
      </w:r>
      <w:r w:rsidRPr="001D49D4">
        <w:rPr>
          <w:rFonts w:ascii="Arial" w:eastAsia="Calibri" w:hAnsi="Arial" w:cs="Arial"/>
          <w:sz w:val="16"/>
          <w:szCs w:val="16"/>
          <w:vertAlign w:val="superscript"/>
          <w:rtl/>
        </w:rPr>
        <w:footnoteReference w:id="4035"/>
      </w:r>
      <w:r w:rsidRPr="001D49D4">
        <w:rPr>
          <w:rFonts w:ascii="Arial" w:eastAsia="Calibri" w:hAnsi="Arial" w:cs="Arial"/>
          <w:sz w:val="16"/>
          <w:szCs w:val="16"/>
          <w:rtl/>
        </w:rPr>
        <w:t>. וכ"כ הטור)</w:t>
      </w:r>
    </w:p>
    <w:p w14:paraId="6A078396" w14:textId="77777777" w:rsidR="001D49D4" w:rsidRPr="001D49D4" w:rsidRDefault="001D49D4" w:rsidP="0004348D">
      <w:pPr>
        <w:spacing w:before="360" w:after="240"/>
        <w:rPr>
          <w:rFonts w:ascii="Arial" w:eastAsia="Calibri" w:hAnsi="Arial" w:cs="Arial"/>
          <w:rtl/>
        </w:rPr>
      </w:pPr>
      <w:r w:rsidRPr="001D49D4">
        <w:rPr>
          <w:rFonts w:ascii="Arial" w:eastAsia="Calibri" w:hAnsi="Arial" w:cs="Arial"/>
          <w:b/>
          <w:bCs/>
          <w:rtl/>
        </w:rPr>
        <w:t>בבא בתרא קעב</w:t>
      </w:r>
      <w:r w:rsidRPr="001D49D4">
        <w:rPr>
          <w:rFonts w:ascii="Arial" w:eastAsia="Calibri" w:hAnsi="Arial" w:cs="Arial"/>
          <w:vertAlign w:val="superscript"/>
          <w:rtl/>
        </w:rPr>
        <w:footnoteReference w:id="4036"/>
      </w:r>
      <w:r w:rsidRPr="001D49D4">
        <w:rPr>
          <w:rFonts w:ascii="Arial" w:eastAsia="Calibri" w:hAnsi="Arial" w:cs="Arial"/>
          <w:b/>
          <w:bCs/>
          <w:rtl/>
        </w:rPr>
        <w:t xml:space="preserve"> ע"א: </w:t>
      </w:r>
      <w:r w:rsidRPr="001D49D4">
        <w:rPr>
          <w:rFonts w:ascii="Arial" w:eastAsia="Calibri" w:hAnsi="Arial" w:cs="Arial"/>
          <w:u w:val="double"/>
          <w:rtl/>
        </w:rPr>
        <w:t>מתני':</w:t>
      </w:r>
      <w:r w:rsidRPr="001D49D4">
        <w:rPr>
          <w:rFonts w:ascii="Arial" w:eastAsia="Calibri" w:hAnsi="Arial" w:cs="Arial"/>
          <w:rtl/>
        </w:rPr>
        <w:t xml:space="preserve"> שנים שהיו בעיר אחת שם אחד יוסף בן שמעון ושם אחר יוסף בן שמעון - אין יכולין להוציא שטר חוב זה על זה</w:t>
      </w:r>
      <w:r w:rsidRPr="001D49D4">
        <w:rPr>
          <w:rFonts w:ascii="Arial" w:eastAsia="Calibri" w:hAnsi="Arial" w:cs="Arial"/>
          <w:vertAlign w:val="superscript"/>
          <w:rtl/>
        </w:rPr>
        <w:footnoteReference w:id="4037"/>
      </w:r>
      <w:r w:rsidRPr="001D49D4">
        <w:rPr>
          <w:rFonts w:ascii="Arial" w:eastAsia="Calibri" w:hAnsi="Arial" w:cs="Arial"/>
          <w:rtl/>
        </w:rPr>
        <w:t>, ולא אחר יכול להוציא</w:t>
      </w:r>
      <w:r w:rsidRPr="001D49D4">
        <w:rPr>
          <w:rFonts w:ascii="Arial" w:eastAsia="Calibri" w:hAnsi="Arial" w:cs="Arial"/>
          <w:vertAlign w:val="superscript"/>
          <w:rtl/>
        </w:rPr>
        <w:footnoteReference w:id="4038"/>
      </w:r>
      <w:r w:rsidRPr="001D49D4">
        <w:rPr>
          <w:rFonts w:ascii="Arial" w:eastAsia="Calibri" w:hAnsi="Arial" w:cs="Arial"/>
          <w:rtl/>
        </w:rPr>
        <w:t xml:space="preserve"> עליהן שטר חוב. נמצא לאחד בין שטרותיו 'שטרו של יוסף בן שמעון פרוע' - שטרות שניהן פרועין. כיצד יעשו</w:t>
      </w:r>
      <w:r w:rsidRPr="001D49D4">
        <w:rPr>
          <w:rFonts w:ascii="Arial" w:eastAsia="Calibri" w:hAnsi="Arial" w:cs="Arial"/>
          <w:vertAlign w:val="superscript"/>
          <w:rtl/>
        </w:rPr>
        <w:footnoteReference w:id="4039"/>
      </w:r>
      <w:r w:rsidRPr="001D49D4">
        <w:rPr>
          <w:rFonts w:ascii="Arial" w:eastAsia="Calibri" w:hAnsi="Arial" w:cs="Arial"/>
          <w:rtl/>
        </w:rPr>
        <w:t>? ישלשו</w:t>
      </w:r>
      <w:r w:rsidRPr="001D49D4">
        <w:rPr>
          <w:rFonts w:ascii="Arial" w:eastAsia="Calibri" w:hAnsi="Arial" w:cs="Arial"/>
          <w:vertAlign w:val="superscript"/>
          <w:rtl/>
        </w:rPr>
        <w:footnoteReference w:id="4040"/>
      </w:r>
      <w:r w:rsidRPr="001D49D4">
        <w:rPr>
          <w:rFonts w:ascii="Arial" w:eastAsia="Calibri" w:hAnsi="Arial" w:cs="Arial"/>
          <w:rtl/>
        </w:rPr>
        <w:t>, ואם היו משולשין</w:t>
      </w:r>
      <w:r w:rsidRPr="001D49D4">
        <w:rPr>
          <w:rFonts w:ascii="Arial" w:eastAsia="Calibri" w:hAnsi="Arial" w:cs="Arial"/>
          <w:vertAlign w:val="superscript"/>
          <w:rtl/>
        </w:rPr>
        <w:footnoteReference w:id="4041"/>
      </w:r>
      <w:r w:rsidRPr="001D49D4">
        <w:rPr>
          <w:rFonts w:ascii="Arial" w:eastAsia="Calibri" w:hAnsi="Arial" w:cs="Arial"/>
          <w:rtl/>
        </w:rPr>
        <w:t xml:space="preserve"> - יכתבו סימן</w:t>
      </w:r>
      <w:r w:rsidRPr="001D49D4">
        <w:rPr>
          <w:rFonts w:ascii="Arial" w:eastAsia="Calibri" w:hAnsi="Arial" w:cs="Arial"/>
          <w:vertAlign w:val="superscript"/>
          <w:rtl/>
        </w:rPr>
        <w:footnoteReference w:id="4042"/>
      </w:r>
      <w:r w:rsidRPr="001D49D4">
        <w:rPr>
          <w:rFonts w:ascii="Arial" w:eastAsia="Calibri" w:hAnsi="Arial" w:cs="Arial"/>
          <w:rtl/>
        </w:rPr>
        <w:t>, ואם היו מסומנין</w:t>
      </w:r>
      <w:r w:rsidRPr="001D49D4">
        <w:rPr>
          <w:rFonts w:ascii="Arial" w:eastAsia="Calibri" w:hAnsi="Arial" w:cs="Arial"/>
          <w:vertAlign w:val="superscript"/>
          <w:rtl/>
        </w:rPr>
        <w:footnoteReference w:id="4043"/>
      </w:r>
      <w:r w:rsidRPr="001D49D4">
        <w:rPr>
          <w:rFonts w:ascii="Arial" w:eastAsia="Calibri" w:hAnsi="Arial" w:cs="Arial"/>
          <w:rtl/>
        </w:rPr>
        <w:t xml:space="preserve"> - יכתבו כהן</w:t>
      </w:r>
      <w:r w:rsidRPr="001D49D4">
        <w:rPr>
          <w:rFonts w:ascii="Arial" w:eastAsia="Calibri" w:hAnsi="Arial" w:cs="Arial"/>
          <w:vertAlign w:val="superscript"/>
          <w:rtl/>
        </w:rPr>
        <w:footnoteReference w:id="4044"/>
      </w:r>
      <w:r w:rsidRPr="001D49D4">
        <w:rPr>
          <w:rFonts w:ascii="Arial" w:eastAsia="Calibri" w:hAnsi="Arial" w:cs="Arial"/>
          <w:rtl/>
        </w:rPr>
        <w:t>.</w:t>
      </w:r>
    </w:p>
    <w:p w14:paraId="3D500EB3" w14:textId="77777777" w:rsidR="001D49D4" w:rsidRPr="001D49D4" w:rsidRDefault="001D49D4" w:rsidP="0004348D">
      <w:pPr>
        <w:spacing w:before="360" w:after="240"/>
        <w:jc w:val="both"/>
        <w:rPr>
          <w:rFonts w:ascii="Arial" w:eastAsia="Calibri" w:hAnsi="Arial" w:cs="Arial"/>
          <w:rtl/>
        </w:rPr>
      </w:pPr>
      <w:r w:rsidRPr="001D49D4">
        <w:rPr>
          <w:rFonts w:ascii="Arial" w:eastAsia="Calibri" w:hAnsi="Arial" w:cs="Arial"/>
          <w:b/>
          <w:bCs/>
          <w:sz w:val="32"/>
          <w:szCs w:val="28"/>
          <w:u w:val="single"/>
          <w:rtl/>
        </w:rPr>
        <w:t xml:space="preserve">שו"ע: </w:t>
      </w:r>
    </w:p>
    <w:p w14:paraId="4350B082" w14:textId="77777777" w:rsidR="001D49D4" w:rsidRPr="001D49D4" w:rsidRDefault="001D49D4" w:rsidP="0004348D">
      <w:pPr>
        <w:spacing w:before="360" w:after="240"/>
        <w:rPr>
          <w:rFonts w:ascii="Arial" w:eastAsia="Calibri" w:hAnsi="Arial" w:cs="Arial"/>
          <w:rtl/>
        </w:rPr>
      </w:pPr>
      <w:r w:rsidRPr="001D49D4">
        <w:rPr>
          <w:rFonts w:ascii="Arial" w:eastAsia="Calibri" w:hAnsi="Arial" w:cs="Arial"/>
          <w:rtl/>
        </w:rPr>
        <w:t>אם יש ללוה או למלוה שני שמות אין צריך לכתוב אלא שם העיקר</w:t>
      </w:r>
      <w:r w:rsidRPr="001D49D4">
        <w:rPr>
          <w:rFonts w:ascii="Arial" w:eastAsia="Calibri" w:hAnsi="Arial" w:cs="Arial"/>
          <w:vertAlign w:val="superscript"/>
          <w:rtl/>
        </w:rPr>
        <w:footnoteReference w:id="4045"/>
      </w:r>
      <w:r w:rsidRPr="001D49D4">
        <w:rPr>
          <w:rFonts w:ascii="Arial" w:eastAsia="Calibri" w:hAnsi="Arial" w:cs="Arial"/>
          <w:rtl/>
        </w:rPr>
        <w:t xml:space="preserve">, ואם כתבו שם הטפל לבד כשר ואין צריך לכתוב החניכה או כהן ולוי אלא אם יהיו בעיר שנים ששמותיהם שוים. </w:t>
      </w:r>
    </w:p>
    <w:p w14:paraId="09905002" w14:textId="77777777" w:rsidR="001D49D4" w:rsidRPr="001D49D4" w:rsidRDefault="001D49D4" w:rsidP="0004348D">
      <w:pPr>
        <w:spacing w:before="360" w:after="240"/>
        <w:rPr>
          <w:rFonts w:ascii="Arial" w:eastAsia="Calibri" w:hAnsi="Arial" w:cs="Arial"/>
          <w:rtl/>
        </w:rPr>
      </w:pPr>
    </w:p>
    <w:p w14:paraId="005A1BF8" w14:textId="77777777" w:rsidR="001D49D4" w:rsidRPr="001D49D4" w:rsidRDefault="001D49D4" w:rsidP="0004348D">
      <w:pPr>
        <w:keepNext/>
        <w:keepLines/>
        <w:spacing w:before="360" w:after="240"/>
        <w:outlineLvl w:val="1"/>
        <w:rPr>
          <w:rFonts w:ascii="Arial" w:eastAsia="Times New Roman" w:hAnsi="Arial" w:cs="Arial"/>
          <w:bCs/>
          <w:color w:val="548DD4" w:themeColor="text2" w:themeTint="99"/>
          <w:sz w:val="26"/>
          <w:szCs w:val="26"/>
          <w:rtl/>
        </w:rPr>
      </w:pPr>
      <w:bookmarkStart w:id="551" w:name="_Toc24883980"/>
      <w:r w:rsidRPr="001D49D4">
        <w:rPr>
          <w:rFonts w:ascii="Arial" w:eastAsia="Times New Roman" w:hAnsi="Arial" w:cs="Arial"/>
          <w:bCs/>
          <w:color w:val="548DD4" w:themeColor="text2" w:themeTint="99"/>
          <w:sz w:val="26"/>
          <w:szCs w:val="26"/>
          <w:rtl/>
        </w:rPr>
        <w:t>סעיף ב: הכרת שמות שני הצדדים, וטעות בשם.</w:t>
      </w:r>
      <w:bookmarkEnd w:id="551"/>
    </w:p>
    <w:p w14:paraId="1BEFB843" w14:textId="77777777" w:rsidR="001D49D4" w:rsidRPr="001D49D4" w:rsidRDefault="001D49D4" w:rsidP="0004348D">
      <w:pPr>
        <w:spacing w:before="360" w:after="240"/>
        <w:rPr>
          <w:rFonts w:ascii="Arial" w:eastAsia="Calibri" w:hAnsi="Arial" w:cs="Arial"/>
          <w:rtl/>
        </w:rPr>
      </w:pPr>
      <w:r w:rsidRPr="001D49D4">
        <w:rPr>
          <w:rFonts w:ascii="Arial" w:eastAsia="Calibri" w:hAnsi="Arial" w:cs="Arial"/>
          <w:b/>
          <w:bCs/>
          <w:rtl/>
        </w:rPr>
        <w:t xml:space="preserve">בבא בתרא קסז ע"א: </w:t>
      </w:r>
      <w:r w:rsidRPr="001D49D4">
        <w:rPr>
          <w:rFonts w:ascii="Arial" w:eastAsia="Calibri" w:hAnsi="Arial" w:cs="Arial"/>
          <w:u w:val="double"/>
          <w:rtl/>
        </w:rPr>
        <w:t>מתני':</w:t>
      </w:r>
      <w:r w:rsidRPr="001D49D4">
        <w:rPr>
          <w:rFonts w:ascii="Arial" w:eastAsia="Calibri" w:hAnsi="Arial" w:cs="Arial"/>
          <w:rtl/>
        </w:rPr>
        <w:t xml:space="preserve"> כותבין גט לאיש</w:t>
      </w:r>
      <w:r w:rsidRPr="001D49D4">
        <w:rPr>
          <w:rFonts w:ascii="Arial" w:eastAsia="Calibri" w:hAnsi="Arial" w:cs="Arial"/>
          <w:vertAlign w:val="superscript"/>
          <w:rtl/>
        </w:rPr>
        <w:footnoteReference w:id="4046"/>
      </w:r>
      <w:r w:rsidRPr="001D49D4">
        <w:rPr>
          <w:rFonts w:ascii="Arial" w:eastAsia="Calibri" w:hAnsi="Arial" w:cs="Arial"/>
          <w:rtl/>
        </w:rPr>
        <w:t xml:space="preserve"> אף על פי שאין אשתו עמו, והשובר לאשה אף על פי שאין בעלה עמה</w:t>
      </w:r>
      <w:r w:rsidRPr="001D49D4">
        <w:rPr>
          <w:rFonts w:ascii="Arial" w:eastAsia="Calibri" w:hAnsi="Arial" w:cs="Arial"/>
          <w:vertAlign w:val="superscript"/>
          <w:rtl/>
        </w:rPr>
        <w:footnoteReference w:id="4047"/>
      </w:r>
      <w:r w:rsidRPr="001D49D4">
        <w:rPr>
          <w:rFonts w:ascii="Arial" w:eastAsia="Calibri" w:hAnsi="Arial" w:cs="Arial"/>
          <w:rtl/>
        </w:rPr>
        <w:t xml:space="preserve">, ובלבד שיהא מכירן...     </w:t>
      </w:r>
      <w:r w:rsidRPr="001D49D4">
        <w:rPr>
          <w:rFonts w:ascii="Arial" w:eastAsia="Calibri" w:hAnsi="Arial" w:cs="Arial"/>
          <w:u w:val="double"/>
          <w:rtl/>
        </w:rPr>
        <w:t>גמ':</w:t>
      </w:r>
      <w:r w:rsidRPr="001D49D4">
        <w:rPr>
          <w:rFonts w:ascii="Arial" w:eastAsia="Calibri" w:hAnsi="Arial" w:cs="Arial"/>
          <w:rtl/>
        </w:rPr>
        <w:t xml:space="preserve"> מאי ובלבד שיהא מכירן? </w:t>
      </w:r>
      <w:r w:rsidRPr="001D49D4">
        <w:rPr>
          <w:rFonts w:ascii="Arial" w:eastAsia="Calibri" w:hAnsi="Arial" w:cs="Arial"/>
          <w:u w:val="single"/>
          <w:rtl/>
        </w:rPr>
        <w:t>אמר רב יהודה אמר רב</w:t>
      </w:r>
      <w:r w:rsidRPr="001D49D4">
        <w:rPr>
          <w:rFonts w:ascii="Arial" w:eastAsia="Calibri" w:hAnsi="Arial" w:cs="Arial"/>
          <w:rtl/>
        </w:rPr>
        <w:t>: ובלבד שיהא מכיר שם האיש בגט</w:t>
      </w:r>
      <w:r w:rsidRPr="001D49D4">
        <w:rPr>
          <w:rFonts w:ascii="Arial" w:eastAsia="Calibri" w:hAnsi="Arial" w:cs="Arial"/>
          <w:vertAlign w:val="superscript"/>
          <w:rtl/>
        </w:rPr>
        <w:footnoteReference w:id="4048"/>
      </w:r>
      <w:r w:rsidRPr="001D49D4">
        <w:rPr>
          <w:rFonts w:ascii="Arial" w:eastAsia="Calibri" w:hAnsi="Arial" w:cs="Arial"/>
          <w:rtl/>
        </w:rPr>
        <w:t xml:space="preserve"> ושם האשה בשובר</w:t>
      </w:r>
      <w:r w:rsidRPr="001D49D4">
        <w:rPr>
          <w:rFonts w:ascii="Arial" w:eastAsia="Calibri" w:hAnsi="Arial" w:cs="Arial"/>
          <w:vertAlign w:val="superscript"/>
          <w:rtl/>
        </w:rPr>
        <w:footnoteReference w:id="4049"/>
      </w:r>
      <w:r w:rsidRPr="001D49D4">
        <w:rPr>
          <w:rFonts w:ascii="Arial" w:eastAsia="Calibri" w:hAnsi="Arial" w:cs="Arial"/>
          <w:rtl/>
        </w:rPr>
        <w:t xml:space="preserve">. </w:t>
      </w:r>
      <w:r w:rsidRPr="001D49D4">
        <w:rPr>
          <w:rFonts w:ascii="Arial" w:eastAsia="Calibri" w:hAnsi="Arial" w:cs="Arial"/>
          <w:u w:val="single"/>
          <w:rtl/>
        </w:rPr>
        <w:t>יתיב רב ספרא ורב אחא בר הונא ורב הונא בר חיננא ויתיב אביי גבייהו</w:t>
      </w:r>
      <w:r w:rsidRPr="001D49D4">
        <w:rPr>
          <w:rFonts w:ascii="Arial" w:eastAsia="Calibri" w:hAnsi="Arial" w:cs="Arial"/>
          <w:rtl/>
        </w:rPr>
        <w:t xml:space="preserve">, ויתבי וקמיבעיא להו: שם האיש בגט אין, שם האשה לא? שם האשה בשובר אין, שם האיש לא? וליחוש דלמא כתב גיטא ואזיל וממטי ליה לאיתתיה דהיאך, וזמנין אזלא כתבה אשה שובר ויהבה לגברא דלאו דילה! </w:t>
      </w:r>
      <w:r w:rsidRPr="001D49D4">
        <w:rPr>
          <w:rFonts w:ascii="Arial" w:eastAsia="Calibri" w:hAnsi="Arial" w:cs="Arial"/>
          <w:u w:val="single"/>
          <w:rtl/>
        </w:rPr>
        <w:t>אמר להו אביי הכי אמר רב:</w:t>
      </w:r>
      <w:r w:rsidRPr="001D49D4">
        <w:rPr>
          <w:rFonts w:ascii="Arial" w:eastAsia="Calibri" w:hAnsi="Arial" w:cs="Arial"/>
          <w:rtl/>
        </w:rPr>
        <w:t xml:space="preserve"> שם האיש בגט, והוא הדין לשם האשה; שם האשה בשובר, והוא הדין לשם האיש.</w:t>
      </w:r>
    </w:p>
    <w:p w14:paraId="567C9A89" w14:textId="77777777" w:rsidR="001D49D4" w:rsidRPr="001D49D4" w:rsidRDefault="001D49D4" w:rsidP="0004348D">
      <w:pPr>
        <w:spacing w:before="360" w:after="240"/>
        <w:rPr>
          <w:rFonts w:ascii="Arial" w:eastAsia="Calibri" w:hAnsi="Arial" w:cs="Arial"/>
          <w:u w:val="single"/>
          <w:rtl/>
        </w:rPr>
      </w:pPr>
      <w:r w:rsidRPr="001D49D4">
        <w:rPr>
          <w:rFonts w:ascii="Arial" w:eastAsia="Calibri" w:hAnsi="Arial" w:cs="Arial"/>
          <w:u w:val="single"/>
          <w:rtl/>
        </w:rPr>
        <w:t>האם צריכים העדים והסופר להכיר את שמות שני הצדדים רק בגט ושובר או שה"ה לשטרי מכר והלואה:</w:t>
      </w:r>
    </w:p>
    <w:p w14:paraId="05416AD7" w14:textId="77777777" w:rsidR="001D49D4" w:rsidRPr="001D49D4" w:rsidRDefault="001D49D4" w:rsidP="0004348D">
      <w:pPr>
        <w:numPr>
          <w:ilvl w:val="0"/>
          <w:numId w:val="300"/>
        </w:numPr>
        <w:spacing w:before="360" w:after="240"/>
        <w:contextualSpacing/>
        <w:rPr>
          <w:rFonts w:ascii="Arial" w:hAnsi="Arial"/>
          <w:rtl/>
        </w:rPr>
      </w:pPr>
      <w:r w:rsidRPr="001D49D4">
        <w:rPr>
          <w:rFonts w:ascii="Arial" w:hAnsi="Arial"/>
          <w:rtl/>
        </w:rPr>
        <w:t>(רמב"ם</w:t>
      </w:r>
      <w:r w:rsidRPr="001D49D4">
        <w:rPr>
          <w:rFonts w:ascii="Arial" w:hAnsi="Arial"/>
          <w:sz w:val="16"/>
          <w:szCs w:val="16"/>
          <w:rtl/>
        </w:rPr>
        <w:t xml:space="preserve"> </w:t>
      </w:r>
      <w:r w:rsidRPr="001D49D4">
        <w:rPr>
          <w:rFonts w:ascii="Arial" w:hAnsi="Arial"/>
          <w:sz w:val="14"/>
          <w:szCs w:val="14"/>
          <w:rtl/>
        </w:rPr>
        <w:t xml:space="preserve">[פכ"ד ה"ג] </w:t>
      </w:r>
      <w:r w:rsidRPr="001D49D4">
        <w:rPr>
          <w:rFonts w:ascii="Arial" w:hAnsi="Arial"/>
          <w:sz w:val="16"/>
          <w:szCs w:val="16"/>
          <w:rtl/>
        </w:rPr>
        <w:t>להב' הגה' פו"ד</w:t>
      </w:r>
      <w:r w:rsidRPr="001D49D4">
        <w:rPr>
          <w:rFonts w:ascii="Arial" w:hAnsi="Arial"/>
          <w:rtl/>
        </w:rPr>
        <w:t>) טור ורש"ל</w:t>
      </w:r>
      <w:r w:rsidRPr="001D49D4">
        <w:rPr>
          <w:rFonts w:ascii="Arial" w:hAnsi="Arial"/>
          <w:sz w:val="16"/>
          <w:szCs w:val="16"/>
          <w:rtl/>
        </w:rPr>
        <w:t xml:space="preserve"> (בחי' לטור)</w:t>
      </w:r>
      <w:r w:rsidRPr="001D49D4">
        <w:rPr>
          <w:rFonts w:ascii="Arial" w:hAnsi="Arial"/>
          <w:rtl/>
        </w:rPr>
        <w:t>- בכל השטרות צריך הכרת שניהם. (וכ"כ הסמ"ע</w:t>
      </w:r>
      <w:r w:rsidRPr="001D49D4">
        <w:rPr>
          <w:rFonts w:ascii="Arial" w:hAnsi="Arial"/>
          <w:sz w:val="16"/>
          <w:szCs w:val="16"/>
          <w:rtl/>
        </w:rPr>
        <w:t xml:space="preserve"> </w:t>
      </w:r>
      <w:r w:rsidRPr="001D49D4">
        <w:rPr>
          <w:rFonts w:ascii="Arial" w:hAnsi="Arial"/>
          <w:sz w:val="14"/>
          <w:szCs w:val="14"/>
          <w:rtl/>
        </w:rPr>
        <w:t>[ססק"ב-ג]</w:t>
      </w:r>
      <w:r w:rsidRPr="001D49D4">
        <w:rPr>
          <w:rFonts w:ascii="Arial" w:hAnsi="Arial"/>
          <w:rtl/>
        </w:rPr>
        <w:t>)</w:t>
      </w:r>
    </w:p>
    <w:p w14:paraId="39AC7141" w14:textId="77777777" w:rsidR="001D49D4" w:rsidRPr="001D49D4" w:rsidRDefault="001D49D4" w:rsidP="0004348D">
      <w:pPr>
        <w:numPr>
          <w:ilvl w:val="0"/>
          <w:numId w:val="301"/>
        </w:numPr>
        <w:spacing w:before="360" w:after="240"/>
        <w:contextualSpacing/>
        <w:rPr>
          <w:rFonts w:ascii="Arial" w:hAnsi="Arial"/>
        </w:rPr>
      </w:pPr>
      <w:r w:rsidRPr="001D49D4">
        <w:rPr>
          <w:rFonts w:ascii="Arial" w:hAnsi="Arial"/>
          <w:rtl/>
        </w:rPr>
        <w:t xml:space="preserve">הה"מ </w:t>
      </w:r>
      <w:r w:rsidRPr="001D49D4">
        <w:rPr>
          <w:rFonts w:ascii="Arial" w:hAnsi="Arial"/>
          <w:sz w:val="16"/>
          <w:szCs w:val="16"/>
          <w:rtl/>
        </w:rPr>
        <w:t>(פכ"ד ה"ג)</w:t>
      </w:r>
      <w:r w:rsidRPr="001D49D4">
        <w:rPr>
          <w:rFonts w:ascii="Arial" w:hAnsi="Arial"/>
          <w:rtl/>
        </w:rPr>
        <w:t xml:space="preserve">- בגט ושובר כיון שבאים להפקיע ולא להתחייב צריך הכרת שניהם, אבל במכר והלואה כיון שהמוכר מודה שמכר שדהו לזה ואנו מכירין את המוכר מה צורך להכיר את הלוקח וכן אם אנו מכירין את הלוה שמודה שלוה מזה מה צורך להכיר את המלוה.  </w:t>
      </w:r>
    </w:p>
    <w:p w14:paraId="27819877" w14:textId="77777777" w:rsidR="001D49D4" w:rsidRPr="001D49D4" w:rsidRDefault="001D49D4" w:rsidP="0004348D">
      <w:pPr>
        <w:numPr>
          <w:ilvl w:val="0"/>
          <w:numId w:val="301"/>
        </w:numPr>
        <w:spacing w:before="360" w:after="240"/>
        <w:contextualSpacing/>
        <w:rPr>
          <w:rFonts w:ascii="Arial" w:hAnsi="Arial"/>
        </w:rPr>
      </w:pPr>
      <w:r w:rsidRPr="001D49D4">
        <w:rPr>
          <w:rFonts w:ascii="Arial" w:hAnsi="Arial"/>
          <w:rtl/>
        </w:rPr>
        <w:t xml:space="preserve">בהעי"ט </w:t>
      </w:r>
      <w:r w:rsidRPr="001D49D4">
        <w:rPr>
          <w:rFonts w:ascii="Arial" w:hAnsi="Arial"/>
          <w:sz w:val="16"/>
          <w:szCs w:val="16"/>
          <w:rtl/>
        </w:rPr>
        <w:t>(מאמר ז כתיבת שטרות כט ע"ד)</w:t>
      </w:r>
      <w:r w:rsidRPr="001D49D4">
        <w:rPr>
          <w:rFonts w:ascii="Arial" w:hAnsi="Arial"/>
          <w:rtl/>
        </w:rPr>
        <w:t>- אפילו שם הלוה והמוכר אין צריך להכיר דלא חציף איניש לשנות שמו</w:t>
      </w:r>
      <w:r w:rsidRPr="001D49D4">
        <w:rPr>
          <w:rFonts w:ascii="Arial" w:hAnsi="Arial"/>
          <w:vertAlign w:val="superscript"/>
          <w:rtl/>
        </w:rPr>
        <w:footnoteReference w:id="4050"/>
      </w:r>
      <w:r w:rsidRPr="001D49D4">
        <w:rPr>
          <w:rFonts w:ascii="Arial" w:hAnsi="Arial"/>
          <w:rtl/>
        </w:rPr>
        <w:t>.</w:t>
      </w:r>
    </w:p>
    <w:p w14:paraId="31C2DC81" w14:textId="77777777" w:rsidR="001D49D4" w:rsidRPr="001D49D4" w:rsidRDefault="001D49D4" w:rsidP="0004348D">
      <w:pPr>
        <w:numPr>
          <w:ilvl w:val="0"/>
          <w:numId w:val="300"/>
        </w:numPr>
        <w:spacing w:before="360" w:after="240"/>
        <w:contextualSpacing/>
        <w:rPr>
          <w:rFonts w:ascii="Arial" w:hAnsi="Arial"/>
        </w:rPr>
      </w:pPr>
      <w:r w:rsidRPr="001D49D4">
        <w:rPr>
          <w:rFonts w:ascii="Arial" w:hAnsi="Arial"/>
          <w:rtl/>
        </w:rPr>
        <w:t xml:space="preserve">(רמב"ם </w:t>
      </w:r>
      <w:r w:rsidRPr="001D49D4">
        <w:rPr>
          <w:rFonts w:ascii="Arial" w:hAnsi="Arial"/>
          <w:sz w:val="16"/>
          <w:szCs w:val="16"/>
          <w:rtl/>
        </w:rPr>
        <w:t>להב' הה"מ</w:t>
      </w:r>
      <w:r w:rsidRPr="001D49D4">
        <w:rPr>
          <w:rFonts w:ascii="Arial" w:hAnsi="Arial"/>
          <w:rtl/>
        </w:rPr>
        <w:t>)- בגט ושובר צריך להכיר שמות שניהם, וה"ה בשטר הלואה שאין בו קנין</w:t>
      </w:r>
      <w:r w:rsidRPr="001D49D4">
        <w:rPr>
          <w:rFonts w:ascii="Arial" w:hAnsi="Arial"/>
          <w:vertAlign w:val="superscript"/>
          <w:rtl/>
        </w:rPr>
        <w:footnoteReference w:id="4051"/>
      </w:r>
      <w:r w:rsidRPr="001D49D4">
        <w:rPr>
          <w:rFonts w:ascii="Arial" w:hAnsi="Arial"/>
          <w:rtl/>
        </w:rPr>
        <w:t>, אבל שטר הלואה שיש בו קנין, וכן סתם שטר מכר</w:t>
      </w:r>
      <w:r w:rsidRPr="001D49D4">
        <w:rPr>
          <w:rFonts w:ascii="Arial" w:hAnsi="Arial"/>
          <w:vertAlign w:val="superscript"/>
          <w:rtl/>
        </w:rPr>
        <w:footnoteReference w:id="4052"/>
      </w:r>
      <w:r w:rsidRPr="001D49D4">
        <w:rPr>
          <w:rFonts w:ascii="Arial" w:hAnsi="Arial"/>
          <w:rtl/>
        </w:rPr>
        <w:t>- אינו צריך הכרת שמותם</w:t>
      </w:r>
      <w:r w:rsidRPr="001D49D4">
        <w:rPr>
          <w:rFonts w:ascii="Arial" w:hAnsi="Arial"/>
          <w:vertAlign w:val="superscript"/>
          <w:rtl/>
        </w:rPr>
        <w:footnoteReference w:id="4053"/>
      </w:r>
      <w:r w:rsidRPr="001D49D4">
        <w:rPr>
          <w:rFonts w:ascii="Arial" w:hAnsi="Arial"/>
          <w:rtl/>
        </w:rPr>
        <w:t xml:space="preserve">. </w:t>
      </w:r>
      <w:r w:rsidRPr="001D49D4">
        <w:rPr>
          <w:rFonts w:ascii="Arial" w:hAnsi="Arial"/>
          <w:color w:val="E36C0A" w:themeColor="accent6" w:themeShade="BF"/>
          <w:rtl/>
        </w:rPr>
        <w:t>(וכ"פ בשו"ע)</w:t>
      </w:r>
      <w:r w:rsidRPr="001D49D4">
        <w:rPr>
          <w:rFonts w:ascii="Arial" w:hAnsi="Arial"/>
          <w:rtl/>
        </w:rPr>
        <w:t xml:space="preserve"> (וכ"פ הדרכ"מ</w:t>
      </w:r>
      <w:r w:rsidRPr="001D49D4">
        <w:rPr>
          <w:rFonts w:ascii="Arial" w:hAnsi="Arial"/>
          <w:sz w:val="16"/>
          <w:szCs w:val="16"/>
          <w:rtl/>
        </w:rPr>
        <w:t xml:space="preserve"> </w:t>
      </w:r>
      <w:r w:rsidRPr="001D49D4">
        <w:rPr>
          <w:rFonts w:ascii="Arial" w:hAnsi="Arial"/>
          <w:sz w:val="14"/>
          <w:szCs w:val="14"/>
          <w:rtl/>
        </w:rPr>
        <w:t>[אות א*]</w:t>
      </w:r>
      <w:r w:rsidRPr="001D49D4">
        <w:rPr>
          <w:rFonts w:ascii="Arial" w:hAnsi="Arial"/>
          <w:rtl/>
        </w:rPr>
        <w:t>)</w:t>
      </w:r>
    </w:p>
    <w:p w14:paraId="1B922173" w14:textId="77777777" w:rsidR="001D49D4" w:rsidRPr="001D49D4" w:rsidRDefault="001D49D4" w:rsidP="0004348D">
      <w:pPr>
        <w:spacing w:before="360" w:after="240"/>
        <w:rPr>
          <w:rFonts w:ascii="Arial" w:eastAsia="Calibri" w:hAnsi="Arial" w:cs="Arial"/>
          <w:rtl/>
        </w:rPr>
      </w:pPr>
      <w:r w:rsidRPr="001D49D4">
        <w:rPr>
          <w:rFonts w:ascii="Arial" w:eastAsia="Calibri" w:hAnsi="Arial" w:cs="Arial"/>
          <w:b/>
          <w:bCs/>
          <w:rtl/>
        </w:rPr>
        <w:t xml:space="preserve">בבא בתרא קסז ע"א: </w:t>
      </w:r>
      <w:r w:rsidRPr="001D49D4">
        <w:rPr>
          <w:rFonts w:ascii="Arial" w:eastAsia="Calibri" w:hAnsi="Arial" w:cs="Arial"/>
          <w:rtl/>
        </w:rPr>
        <w:t>ההוא תברא דהוה חתים עלה רב ירמיה בר אבא</w:t>
      </w:r>
      <w:r w:rsidRPr="001D49D4">
        <w:rPr>
          <w:rFonts w:ascii="Arial" w:eastAsia="Calibri" w:hAnsi="Arial" w:cs="Arial"/>
          <w:vertAlign w:val="superscript"/>
          <w:rtl/>
        </w:rPr>
        <w:footnoteReference w:id="4054"/>
      </w:r>
      <w:r w:rsidRPr="001D49D4">
        <w:rPr>
          <w:rFonts w:ascii="Arial" w:eastAsia="Calibri" w:hAnsi="Arial" w:cs="Arial"/>
          <w:rtl/>
        </w:rPr>
        <w:t>, אתיא לקמיה ההיא איתתא, אמרה ליה: לאו אנא הואי, אמר: אנא נמי אמרי להו</w:t>
      </w:r>
      <w:r w:rsidRPr="001D49D4">
        <w:rPr>
          <w:rFonts w:ascii="Arial" w:eastAsia="Calibri" w:hAnsi="Arial" w:cs="Arial"/>
          <w:vertAlign w:val="superscript"/>
          <w:rtl/>
        </w:rPr>
        <w:footnoteReference w:id="4055"/>
      </w:r>
      <w:r w:rsidRPr="001D49D4">
        <w:rPr>
          <w:rFonts w:ascii="Arial" w:eastAsia="Calibri" w:hAnsi="Arial" w:cs="Arial"/>
          <w:rtl/>
        </w:rPr>
        <w:t xml:space="preserve"> לאו איהי היא ואמרו לי מיקש הוא דקשא לה</w:t>
      </w:r>
      <w:r w:rsidRPr="001D49D4">
        <w:rPr>
          <w:rFonts w:ascii="Arial" w:eastAsia="Calibri" w:hAnsi="Arial" w:cs="Arial"/>
          <w:vertAlign w:val="superscript"/>
          <w:rtl/>
        </w:rPr>
        <w:footnoteReference w:id="4056"/>
      </w:r>
      <w:r w:rsidRPr="001D49D4">
        <w:rPr>
          <w:rFonts w:ascii="Arial" w:eastAsia="Calibri" w:hAnsi="Arial" w:cs="Arial"/>
          <w:rtl/>
        </w:rPr>
        <w:t xml:space="preserve"> ובגר לה קלא, </w:t>
      </w:r>
      <w:r w:rsidRPr="001D49D4">
        <w:rPr>
          <w:rFonts w:ascii="Arial" w:eastAsia="Calibri" w:hAnsi="Arial" w:cs="Arial"/>
          <w:u w:val="single"/>
          <w:rtl/>
        </w:rPr>
        <w:t>אמר אביי</w:t>
      </w:r>
      <w:r w:rsidRPr="001D49D4">
        <w:rPr>
          <w:rFonts w:ascii="Arial" w:eastAsia="Calibri" w:hAnsi="Arial" w:cs="Arial"/>
          <w:rtl/>
        </w:rPr>
        <w:t>: אף על גב דאמור רבנן כיון שהגיד שוב אינו חוזר ומגיד, צורבא מרבנן</w:t>
      </w:r>
      <w:r w:rsidRPr="001D49D4">
        <w:rPr>
          <w:rFonts w:ascii="Arial" w:eastAsia="Calibri" w:hAnsi="Arial" w:cs="Arial"/>
          <w:vertAlign w:val="superscript"/>
          <w:rtl/>
        </w:rPr>
        <w:footnoteReference w:id="4057"/>
      </w:r>
      <w:r w:rsidRPr="001D49D4">
        <w:rPr>
          <w:rFonts w:ascii="Arial" w:eastAsia="Calibri" w:hAnsi="Arial" w:cs="Arial"/>
          <w:rtl/>
        </w:rPr>
        <w:t xml:space="preserve"> לאו אורחיה למידק. ההוא תברא דהוה חתים עליה רב ירמיה בר אבא, אמרה ליה: לאו אנא הואי, אמר לה: איברא אנת הות. </w:t>
      </w:r>
      <w:r w:rsidRPr="001D49D4">
        <w:rPr>
          <w:rFonts w:ascii="Arial" w:eastAsia="Calibri" w:hAnsi="Arial" w:cs="Arial"/>
          <w:u w:val="single"/>
          <w:rtl/>
        </w:rPr>
        <w:t>אמר אביי:</w:t>
      </w:r>
      <w:r w:rsidRPr="001D49D4">
        <w:rPr>
          <w:rFonts w:ascii="Arial" w:eastAsia="Calibri" w:hAnsi="Arial" w:cs="Arial"/>
          <w:rtl/>
        </w:rPr>
        <w:t xml:space="preserve"> אף על גב</w:t>
      </w:r>
      <w:r w:rsidRPr="001D49D4">
        <w:rPr>
          <w:rFonts w:ascii="Arial" w:eastAsia="Calibri" w:hAnsi="Arial" w:cs="Arial"/>
          <w:vertAlign w:val="superscript"/>
          <w:rtl/>
        </w:rPr>
        <w:footnoteReference w:id="4058"/>
      </w:r>
      <w:r w:rsidRPr="001D49D4">
        <w:rPr>
          <w:rFonts w:ascii="Arial" w:eastAsia="Calibri" w:hAnsi="Arial" w:cs="Arial"/>
          <w:rtl/>
        </w:rPr>
        <w:t xml:space="preserve"> דצורבא מרבנן לאו אורחיה למידק, כיון דדק - דק. </w:t>
      </w:r>
      <w:r w:rsidRPr="001D49D4">
        <w:rPr>
          <w:rFonts w:ascii="Arial" w:eastAsia="Calibri" w:hAnsi="Arial" w:cs="Arial"/>
          <w:u w:val="single"/>
          <w:rtl/>
        </w:rPr>
        <w:t>אמר אביי:</w:t>
      </w:r>
      <w:r w:rsidRPr="001D49D4">
        <w:rPr>
          <w:rFonts w:ascii="Arial" w:eastAsia="Calibri" w:hAnsi="Arial" w:cs="Arial"/>
          <w:rtl/>
        </w:rPr>
        <w:t xml:space="preserve"> האי צורבא מרבנן דאזיל לקדושי איתתא, נידבר עם הארץ בהדיה, דלמא מחלפו לה מיניה. </w:t>
      </w:r>
    </w:p>
    <w:p w14:paraId="5019F16C" w14:textId="77777777" w:rsidR="001D49D4" w:rsidRPr="001D49D4" w:rsidRDefault="001D49D4" w:rsidP="0004348D">
      <w:pPr>
        <w:spacing w:before="360" w:after="240"/>
        <w:rPr>
          <w:rFonts w:ascii="Arial" w:eastAsia="Calibri" w:hAnsi="Arial" w:cs="Arial"/>
          <w:sz w:val="16"/>
          <w:szCs w:val="16"/>
          <w:rtl/>
        </w:rPr>
      </w:pPr>
      <w:r w:rsidRPr="001D49D4">
        <w:rPr>
          <w:rFonts w:ascii="Arial" w:eastAsia="Calibri" w:hAnsi="Arial" w:cs="Arial"/>
          <w:u w:val="single"/>
          <w:rtl/>
        </w:rPr>
        <w:t>באלו עניינים אמרינן- "צורבא מרבנן לאו אורחיה למידק":</w:t>
      </w:r>
      <w:r w:rsidRPr="001D49D4">
        <w:rPr>
          <w:rFonts w:ascii="Arial" w:eastAsia="Calibri" w:hAnsi="Arial" w:cs="Arial"/>
          <w:sz w:val="16"/>
          <w:szCs w:val="16"/>
          <w:rtl/>
        </w:rPr>
        <w:t xml:space="preserve"> (ב"י כאן, ובחו"מ סי' כט סע' א, וטור אהע"ז סי' קי)</w:t>
      </w:r>
    </w:p>
    <w:p w14:paraId="0E4FA25D" w14:textId="77777777" w:rsidR="001D49D4" w:rsidRPr="001D49D4" w:rsidRDefault="001D49D4" w:rsidP="0004348D">
      <w:pPr>
        <w:numPr>
          <w:ilvl w:val="0"/>
          <w:numId w:val="302"/>
        </w:numPr>
        <w:spacing w:before="360" w:after="240"/>
        <w:contextualSpacing/>
        <w:rPr>
          <w:rFonts w:ascii="Arial" w:hAnsi="Arial"/>
          <w:rtl/>
        </w:rPr>
      </w:pPr>
      <w:r w:rsidRPr="001D49D4">
        <w:rPr>
          <w:rFonts w:ascii="Arial" w:hAnsi="Arial"/>
          <w:rtl/>
        </w:rPr>
        <w:t xml:space="preserve">רי"ו </w:t>
      </w:r>
      <w:r w:rsidRPr="001D49D4">
        <w:rPr>
          <w:rFonts w:ascii="Arial" w:hAnsi="Arial"/>
          <w:sz w:val="16"/>
          <w:szCs w:val="16"/>
          <w:rtl/>
        </w:rPr>
        <w:t>(מישרים נ"ב ח"ב יא ע"ג)</w:t>
      </w:r>
      <w:r w:rsidRPr="001D49D4">
        <w:rPr>
          <w:rFonts w:ascii="Arial" w:hAnsi="Arial"/>
          <w:rtl/>
        </w:rPr>
        <w:t>- "צורבא מרבנן אע"פ שהגיד חוזר ומגיד דלאו אורחיה למידק</w:t>
      </w:r>
      <w:r w:rsidRPr="001D49D4">
        <w:rPr>
          <w:rFonts w:ascii="Arial" w:hAnsi="Arial"/>
          <w:vertAlign w:val="superscript"/>
          <w:rtl/>
        </w:rPr>
        <w:footnoteReference w:id="4059"/>
      </w:r>
      <w:r w:rsidRPr="001D49D4">
        <w:rPr>
          <w:rFonts w:ascii="Arial" w:hAnsi="Arial"/>
          <w:rtl/>
        </w:rPr>
        <w:t xml:space="preserve">". </w:t>
      </w:r>
    </w:p>
    <w:p w14:paraId="2014935E" w14:textId="77777777" w:rsidR="001D49D4" w:rsidRPr="001D49D4" w:rsidRDefault="001D49D4" w:rsidP="0004348D">
      <w:pPr>
        <w:numPr>
          <w:ilvl w:val="0"/>
          <w:numId w:val="302"/>
        </w:numPr>
        <w:spacing w:before="360" w:after="240"/>
        <w:contextualSpacing/>
        <w:rPr>
          <w:rFonts w:ascii="Arial" w:hAnsi="Arial"/>
        </w:rPr>
      </w:pPr>
      <w:r w:rsidRPr="001D49D4">
        <w:rPr>
          <w:rFonts w:ascii="Arial" w:hAnsi="Arial"/>
          <w:rtl/>
        </w:rPr>
        <w:t>(רשב"ם בעל התרומות</w:t>
      </w:r>
      <w:r w:rsidRPr="001D49D4">
        <w:rPr>
          <w:rFonts w:ascii="Arial" w:hAnsi="Arial"/>
          <w:sz w:val="16"/>
          <w:szCs w:val="16"/>
          <w:rtl/>
        </w:rPr>
        <w:t xml:space="preserve"> </w:t>
      </w:r>
      <w:r w:rsidRPr="001D49D4">
        <w:rPr>
          <w:rFonts w:ascii="Arial" w:hAnsi="Arial"/>
          <w:rtl/>
        </w:rPr>
        <w:t>בשם הראב"ד וטור</w:t>
      </w:r>
      <w:r w:rsidRPr="001D49D4">
        <w:rPr>
          <w:rFonts w:ascii="Arial" w:hAnsi="Arial"/>
          <w:sz w:val="16"/>
          <w:szCs w:val="16"/>
          <w:rtl/>
        </w:rPr>
        <w:t xml:space="preserve"> להב' ב"י מבי"ט ש"ך ואורים</w:t>
      </w:r>
      <w:r w:rsidRPr="001D49D4">
        <w:rPr>
          <w:rFonts w:ascii="Arial" w:hAnsi="Arial"/>
          <w:rtl/>
        </w:rPr>
        <w:t>)</w:t>
      </w:r>
      <w:r w:rsidRPr="001D49D4">
        <w:rPr>
          <w:rFonts w:ascii="Arial" w:hAnsi="Arial"/>
          <w:vertAlign w:val="superscript"/>
          <w:rtl/>
        </w:rPr>
        <w:footnoteReference w:id="4060"/>
      </w:r>
      <w:r w:rsidRPr="001D49D4">
        <w:rPr>
          <w:rFonts w:ascii="Arial" w:hAnsi="Arial"/>
          <w:rtl/>
        </w:rPr>
        <w:t>- דוקא בעדות היכר אשה, דלאו אורחיה למידק להסתכל באשה כדי שיכירה יפה ויכול לסמוך על אחרים שמכירים, אבל לא בשאר עדויות</w:t>
      </w:r>
      <w:r w:rsidRPr="001D49D4">
        <w:rPr>
          <w:rFonts w:ascii="Arial" w:hAnsi="Arial"/>
          <w:vertAlign w:val="superscript"/>
          <w:rtl/>
        </w:rPr>
        <w:footnoteReference w:id="4061"/>
      </w:r>
      <w:r w:rsidRPr="001D49D4">
        <w:rPr>
          <w:rFonts w:ascii="Arial" w:hAnsi="Arial"/>
          <w:rtl/>
        </w:rPr>
        <w:t>.</w:t>
      </w:r>
    </w:p>
    <w:p w14:paraId="50663EDC" w14:textId="77777777" w:rsidR="001D49D4" w:rsidRPr="001D49D4" w:rsidRDefault="001D49D4" w:rsidP="0004348D">
      <w:pPr>
        <w:numPr>
          <w:ilvl w:val="0"/>
          <w:numId w:val="300"/>
        </w:numPr>
        <w:spacing w:before="360" w:after="240"/>
        <w:contextualSpacing/>
        <w:rPr>
          <w:rFonts w:ascii="Arial" w:hAnsi="Arial"/>
        </w:rPr>
      </w:pPr>
      <w:r w:rsidRPr="001D49D4">
        <w:rPr>
          <w:rFonts w:ascii="Arial" w:hAnsi="Arial"/>
          <w:rtl/>
        </w:rPr>
        <w:t>(רשב"ם בעל התרומות</w:t>
      </w:r>
      <w:r w:rsidRPr="001D49D4">
        <w:rPr>
          <w:rFonts w:ascii="Arial" w:hAnsi="Arial"/>
          <w:sz w:val="16"/>
          <w:szCs w:val="16"/>
          <w:rtl/>
        </w:rPr>
        <w:t xml:space="preserve"> </w:t>
      </w:r>
      <w:r w:rsidRPr="001D49D4">
        <w:rPr>
          <w:rFonts w:ascii="Arial" w:hAnsi="Arial"/>
          <w:rtl/>
        </w:rPr>
        <w:t>בשם הראב"ד</w:t>
      </w:r>
      <w:r w:rsidRPr="001D49D4">
        <w:rPr>
          <w:rFonts w:ascii="Arial" w:hAnsi="Arial"/>
          <w:sz w:val="16"/>
          <w:szCs w:val="16"/>
          <w:rtl/>
        </w:rPr>
        <w:t xml:space="preserve"> </w:t>
      </w:r>
      <w:r w:rsidRPr="001D49D4">
        <w:rPr>
          <w:rFonts w:ascii="Arial" w:hAnsi="Arial"/>
          <w:rtl/>
        </w:rPr>
        <w:t>וטור</w:t>
      </w:r>
      <w:r w:rsidRPr="001D49D4">
        <w:rPr>
          <w:rFonts w:ascii="Arial" w:hAnsi="Arial"/>
          <w:sz w:val="16"/>
          <w:szCs w:val="16"/>
          <w:rtl/>
        </w:rPr>
        <w:t xml:space="preserve"> להב' הסמ"ע</w:t>
      </w:r>
      <w:r w:rsidRPr="001D49D4">
        <w:rPr>
          <w:rFonts w:ascii="Arial" w:hAnsi="Arial"/>
          <w:vertAlign w:val="superscript"/>
          <w:rtl/>
        </w:rPr>
        <w:footnoteReference w:id="4062"/>
      </w:r>
      <w:r w:rsidRPr="001D49D4">
        <w:rPr>
          <w:rFonts w:ascii="Arial" w:hAnsi="Arial"/>
          <w:rtl/>
        </w:rPr>
        <w:t>)- בכל עניין שאפשר לתלות</w:t>
      </w:r>
      <w:r w:rsidRPr="001D49D4">
        <w:rPr>
          <w:rFonts w:ascii="Arial" w:hAnsi="Arial"/>
          <w:vertAlign w:val="superscript"/>
          <w:rtl/>
        </w:rPr>
        <w:footnoteReference w:id="4063"/>
      </w:r>
      <w:r w:rsidRPr="001D49D4">
        <w:rPr>
          <w:rFonts w:ascii="Arial" w:hAnsi="Arial"/>
          <w:rtl/>
        </w:rPr>
        <w:t>. (וכ"פ הסמ"ע)</w:t>
      </w:r>
    </w:p>
    <w:p w14:paraId="7D866339" w14:textId="77777777" w:rsidR="001D49D4" w:rsidRPr="001D49D4" w:rsidRDefault="001D49D4" w:rsidP="0004348D">
      <w:pPr>
        <w:spacing w:before="360" w:after="240"/>
        <w:rPr>
          <w:rFonts w:ascii="Arial" w:eastAsia="Calibri" w:hAnsi="Arial" w:cs="Arial"/>
          <w:u w:val="single"/>
          <w:rtl/>
        </w:rPr>
      </w:pPr>
      <w:r w:rsidRPr="001D49D4">
        <w:rPr>
          <w:rFonts w:ascii="Arial" w:eastAsia="Calibri" w:hAnsi="Arial" w:cs="Arial"/>
          <w:u w:val="single"/>
          <w:rtl/>
        </w:rPr>
        <w:t>עדי שטר שאמרו- "שכחנו לבדוק אם היה</w:t>
      </w:r>
      <w:r w:rsidRPr="001D49D4">
        <w:rPr>
          <w:rFonts w:ascii="Arial" w:eastAsia="Calibri" w:hAnsi="Arial" w:cs="Arial"/>
          <w:sz w:val="16"/>
          <w:szCs w:val="16"/>
          <w:u w:val="single"/>
          <w:rtl/>
        </w:rPr>
        <w:t xml:space="preserve"> (המלוה/הלוה)</w:t>
      </w:r>
      <w:r w:rsidRPr="001D49D4">
        <w:rPr>
          <w:rFonts w:ascii="Arial" w:eastAsia="Calibri" w:hAnsi="Arial" w:cs="Arial"/>
          <w:u w:val="single"/>
          <w:rtl/>
        </w:rPr>
        <w:t xml:space="preserve"> גדול": </w:t>
      </w:r>
    </w:p>
    <w:p w14:paraId="279971BA" w14:textId="77777777" w:rsidR="001D49D4" w:rsidRPr="001D49D4" w:rsidRDefault="001D49D4" w:rsidP="0004348D">
      <w:pPr>
        <w:numPr>
          <w:ilvl w:val="0"/>
          <w:numId w:val="300"/>
        </w:numPr>
        <w:spacing w:before="360" w:after="240"/>
        <w:contextualSpacing/>
        <w:rPr>
          <w:rFonts w:ascii="Arial" w:hAnsi="Arial"/>
          <w:rtl/>
        </w:rPr>
      </w:pPr>
      <w:r w:rsidRPr="001D49D4">
        <w:rPr>
          <w:rFonts w:ascii="Arial" w:hAnsi="Arial"/>
          <w:rtl/>
        </w:rPr>
        <w:t>רשב"א</w:t>
      </w:r>
      <w:r w:rsidRPr="001D49D4">
        <w:rPr>
          <w:rFonts w:ascii="Arial" w:hAnsi="Arial"/>
          <w:vertAlign w:val="superscript"/>
          <w:rtl/>
        </w:rPr>
        <w:footnoteReference w:id="4064"/>
      </w:r>
      <w:r w:rsidRPr="001D49D4">
        <w:rPr>
          <w:rFonts w:ascii="Arial" w:hAnsi="Arial"/>
          <w:rtl/>
        </w:rPr>
        <w:t xml:space="preserve">- אם אמרו עדי השטר שכחנו לבדוק אם היה גדול לא מהימני דהא קיי"ל </w:t>
      </w:r>
      <w:r w:rsidRPr="001D49D4">
        <w:rPr>
          <w:rFonts w:ascii="Arial" w:hAnsi="Arial"/>
          <w:sz w:val="16"/>
          <w:szCs w:val="16"/>
          <w:rtl/>
        </w:rPr>
        <w:t>(כתובות יט.)</w:t>
      </w:r>
      <w:r w:rsidRPr="001D49D4">
        <w:rPr>
          <w:rFonts w:ascii="Arial" w:hAnsi="Arial"/>
          <w:rtl/>
        </w:rPr>
        <w:t xml:space="preserve"> חזקה אין העדים חותמים על השטר אא"כ נעשה בגדול וכל מי שלא עשה כן רשע מקרי ואין אדם משים עצמו רשע </w:t>
      </w:r>
      <w:r w:rsidRPr="001D49D4">
        <w:rPr>
          <w:rFonts w:ascii="Arial" w:hAnsi="Arial"/>
          <w:sz w:val="16"/>
          <w:szCs w:val="16"/>
          <w:rtl/>
        </w:rPr>
        <w:t>(כתובות יח:)</w:t>
      </w:r>
      <w:r w:rsidRPr="001D49D4">
        <w:rPr>
          <w:rFonts w:ascii="Arial" w:hAnsi="Arial"/>
          <w:rtl/>
        </w:rPr>
        <w:t>.</w:t>
      </w:r>
    </w:p>
    <w:p w14:paraId="44ACB553" w14:textId="77777777" w:rsidR="001D49D4" w:rsidRPr="001D49D4" w:rsidRDefault="001D49D4" w:rsidP="0004348D">
      <w:pPr>
        <w:spacing w:before="360" w:after="240"/>
        <w:jc w:val="both"/>
        <w:rPr>
          <w:rFonts w:ascii="Arial" w:eastAsia="Calibri" w:hAnsi="Arial" w:cs="Arial"/>
          <w:rtl/>
        </w:rPr>
      </w:pPr>
      <w:r w:rsidRPr="001D49D4">
        <w:rPr>
          <w:rFonts w:ascii="Arial" w:eastAsia="Calibri" w:hAnsi="Arial" w:cs="Arial"/>
          <w:b/>
          <w:bCs/>
          <w:sz w:val="32"/>
          <w:szCs w:val="28"/>
          <w:u w:val="single"/>
          <w:rtl/>
        </w:rPr>
        <w:t xml:space="preserve">שו"ע: </w:t>
      </w:r>
    </w:p>
    <w:p w14:paraId="30B5194E" w14:textId="77777777" w:rsidR="001D49D4" w:rsidRPr="001D49D4" w:rsidRDefault="001D49D4" w:rsidP="0004348D">
      <w:pPr>
        <w:spacing w:before="360" w:after="240"/>
        <w:rPr>
          <w:rFonts w:ascii="Arial" w:eastAsia="Calibri" w:hAnsi="Arial" w:cs="Arial"/>
          <w:rtl/>
        </w:rPr>
      </w:pPr>
      <w:r w:rsidRPr="001D49D4">
        <w:rPr>
          <w:rFonts w:ascii="Arial" w:eastAsia="Calibri" w:hAnsi="Arial" w:cs="Arial"/>
          <w:rtl/>
        </w:rPr>
        <w:t>צריך שיכירו העדים ששם הלוה פלוני בר פלוני</w:t>
      </w:r>
      <w:r w:rsidRPr="001D49D4">
        <w:rPr>
          <w:rFonts w:ascii="Arial" w:eastAsia="Calibri" w:hAnsi="Arial" w:cs="Arial"/>
          <w:vertAlign w:val="superscript"/>
          <w:rtl/>
        </w:rPr>
        <w:footnoteReference w:id="4065"/>
      </w:r>
      <w:r w:rsidRPr="001D49D4">
        <w:rPr>
          <w:rFonts w:ascii="Arial" w:eastAsia="Calibri" w:hAnsi="Arial" w:cs="Arial"/>
          <w:rtl/>
        </w:rPr>
        <w:t>, ובשטר המכר שם המוכר</w:t>
      </w:r>
      <w:r w:rsidRPr="001D49D4">
        <w:rPr>
          <w:rFonts w:ascii="Arial" w:eastAsia="Calibri" w:hAnsi="Arial" w:cs="Arial"/>
          <w:vertAlign w:val="superscript"/>
          <w:rtl/>
        </w:rPr>
        <w:footnoteReference w:id="4066"/>
      </w:r>
      <w:r w:rsidRPr="001D49D4">
        <w:rPr>
          <w:rFonts w:ascii="Arial" w:eastAsia="Calibri" w:hAnsi="Arial" w:cs="Arial"/>
          <w:rtl/>
        </w:rPr>
        <w:t>, ובשובר</w:t>
      </w:r>
      <w:r w:rsidRPr="001D49D4">
        <w:rPr>
          <w:rFonts w:ascii="Arial" w:eastAsia="Calibri" w:hAnsi="Arial" w:cs="Arial"/>
          <w:vertAlign w:val="superscript"/>
          <w:rtl/>
        </w:rPr>
        <w:footnoteReference w:id="4067"/>
      </w:r>
      <w:r w:rsidRPr="001D49D4">
        <w:rPr>
          <w:rFonts w:ascii="Arial" w:eastAsia="Calibri" w:hAnsi="Arial" w:cs="Arial"/>
          <w:rtl/>
        </w:rPr>
        <w:t xml:space="preserve"> שם הלוה והמלוה, ואם שטר המִלוה הוא בלא קנין צריכין להכיר אף שם המַלוה</w:t>
      </w:r>
      <w:r w:rsidRPr="001D49D4">
        <w:rPr>
          <w:rFonts w:ascii="Arial" w:eastAsia="Calibri" w:hAnsi="Arial" w:cs="Arial"/>
          <w:vertAlign w:val="superscript"/>
          <w:rtl/>
        </w:rPr>
        <w:footnoteReference w:id="4068"/>
      </w:r>
      <w:r w:rsidRPr="001D49D4">
        <w:rPr>
          <w:rFonts w:ascii="Arial" w:eastAsia="Calibri" w:hAnsi="Arial" w:cs="Arial"/>
          <w:rtl/>
        </w:rPr>
        <w:t>. ואם אינם מכירים אותם אפילו אשה או קרוב כשרים לומר שכך הוא שמם</w:t>
      </w:r>
      <w:r w:rsidRPr="001D49D4">
        <w:rPr>
          <w:rFonts w:ascii="Arial" w:eastAsia="Calibri" w:hAnsi="Arial" w:cs="Arial"/>
          <w:vertAlign w:val="superscript"/>
          <w:rtl/>
        </w:rPr>
        <w:footnoteReference w:id="4069"/>
      </w:r>
      <w:r w:rsidRPr="001D49D4">
        <w:rPr>
          <w:rFonts w:ascii="Arial" w:eastAsia="Calibri" w:hAnsi="Arial" w:cs="Arial"/>
          <w:rtl/>
        </w:rPr>
        <w:t>. והיכא דסמיך אאשה או קרוב</w:t>
      </w:r>
      <w:r w:rsidRPr="001D49D4">
        <w:rPr>
          <w:rFonts w:ascii="Arial" w:eastAsia="Calibri" w:hAnsi="Arial" w:cs="Arial"/>
          <w:vertAlign w:val="superscript"/>
          <w:rtl/>
        </w:rPr>
        <w:footnoteReference w:id="4070"/>
      </w:r>
      <w:r w:rsidRPr="001D49D4">
        <w:rPr>
          <w:rFonts w:ascii="Arial" w:eastAsia="Calibri" w:hAnsi="Arial" w:cs="Arial"/>
          <w:rtl/>
        </w:rPr>
        <w:t xml:space="preserve"> ואשתכח טעותא לצורבא מרבנן מקבלינן </w:t>
      </w:r>
      <w:r w:rsidRPr="001D49D4">
        <w:rPr>
          <w:rFonts w:ascii="Arial" w:eastAsia="Calibri" w:hAnsi="Arial" w:cs="Arial"/>
          <w:sz w:val="18"/>
          <w:szCs w:val="18"/>
          <w:rtl/>
        </w:rPr>
        <w:t xml:space="preserve">(משום דאין דרך צורבא מרבנן לדקדק </w:t>
      </w:r>
      <w:r w:rsidRPr="001D49D4">
        <w:rPr>
          <w:rFonts w:ascii="Arial" w:eastAsia="Calibri" w:hAnsi="Arial" w:cs="Arial"/>
          <w:sz w:val="16"/>
          <w:szCs w:val="16"/>
          <w:rtl/>
        </w:rPr>
        <w:t>(ב"י ר"ס כ"ט בשם רשב"ם)</w:t>
      </w:r>
      <w:r w:rsidRPr="001D49D4">
        <w:rPr>
          <w:rFonts w:ascii="Arial" w:eastAsia="Calibri" w:hAnsi="Arial" w:cs="Arial"/>
          <w:sz w:val="18"/>
          <w:szCs w:val="18"/>
          <w:rtl/>
        </w:rPr>
        <w:t>, וי"א דוקא באשה אין דרכו לדקדק, משום דאין דרכן להסתכל בנשים כמו שנתבאר בא"ה סימן ק"י, אבל בשאר דברים אין חילוק בין תלמיד חכם לשאר גברי, וכתב המחבר בספרו ב"י חו"מ סי' כ"ט שכן עיקר, ולכן תמוה מה שכתב כאן בהפך</w:t>
      </w:r>
      <w:r w:rsidRPr="001D49D4">
        <w:rPr>
          <w:rFonts w:ascii="Arial" w:eastAsia="Calibri" w:hAnsi="Arial" w:cs="Arial"/>
          <w:sz w:val="18"/>
          <w:szCs w:val="18"/>
          <w:vertAlign w:val="superscript"/>
          <w:rtl/>
        </w:rPr>
        <w:footnoteReference w:id="4071"/>
      </w:r>
      <w:r w:rsidRPr="001D49D4">
        <w:rPr>
          <w:rFonts w:ascii="Arial" w:eastAsia="Calibri" w:hAnsi="Arial" w:cs="Arial"/>
          <w:sz w:val="18"/>
          <w:szCs w:val="18"/>
          <w:rtl/>
        </w:rPr>
        <w:t>)</w:t>
      </w:r>
      <w:r w:rsidRPr="001D49D4">
        <w:rPr>
          <w:rFonts w:ascii="Arial" w:eastAsia="Calibri" w:hAnsi="Arial" w:cs="Arial"/>
          <w:rtl/>
        </w:rPr>
        <w:t xml:space="preserve">, לגברא אחרינא דאורחיה למידק לא מקבלינן דודאי מדקדק והשתא הדר ומשקר. </w:t>
      </w:r>
      <w:r w:rsidRPr="001D49D4">
        <w:rPr>
          <w:rFonts w:ascii="Arial" w:eastAsia="Calibri" w:hAnsi="Arial" w:cs="Arial"/>
          <w:sz w:val="18"/>
          <w:szCs w:val="18"/>
          <w:rtl/>
        </w:rPr>
        <w:t xml:space="preserve">הגה: וכן בשאר טעות סופר דמוכח שטעה השטר כשר ואמרינן דטעה כמו שאמרינן אחריות טעות סופר </w:t>
      </w:r>
      <w:r w:rsidRPr="001D49D4">
        <w:rPr>
          <w:rFonts w:ascii="Arial" w:eastAsia="Calibri" w:hAnsi="Arial" w:cs="Arial"/>
          <w:sz w:val="16"/>
          <w:szCs w:val="16"/>
          <w:rtl/>
        </w:rPr>
        <w:t xml:space="preserve">(הרא"ש כלל נ"ח סי' ל"ב) </w:t>
      </w:r>
      <w:r w:rsidRPr="001D49D4">
        <w:rPr>
          <w:rFonts w:ascii="Arial" w:eastAsia="Calibri" w:hAnsi="Arial" w:cs="Arial"/>
          <w:sz w:val="18"/>
          <w:szCs w:val="18"/>
          <w:rtl/>
        </w:rPr>
        <w:t>וכדלעיל ריש סימן ל"ט.</w:t>
      </w:r>
    </w:p>
    <w:p w14:paraId="2E988B3F" w14:textId="77777777" w:rsidR="001D49D4" w:rsidRPr="001D49D4" w:rsidRDefault="001D49D4" w:rsidP="0004348D">
      <w:pPr>
        <w:spacing w:before="360" w:after="240"/>
        <w:rPr>
          <w:rFonts w:ascii="Arial" w:eastAsia="Calibri" w:hAnsi="Arial" w:cs="Arial"/>
          <w:rtl/>
        </w:rPr>
      </w:pPr>
    </w:p>
    <w:p w14:paraId="2D22B56C" w14:textId="77777777" w:rsidR="001D49D4" w:rsidRPr="001D49D4" w:rsidRDefault="001D49D4" w:rsidP="0004348D">
      <w:pPr>
        <w:keepNext/>
        <w:keepLines/>
        <w:spacing w:before="360" w:after="240"/>
        <w:outlineLvl w:val="1"/>
        <w:rPr>
          <w:rFonts w:ascii="Arial" w:eastAsia="Times New Roman" w:hAnsi="Arial" w:cs="Arial"/>
          <w:bCs/>
          <w:color w:val="548DD4" w:themeColor="text2" w:themeTint="99"/>
          <w:sz w:val="26"/>
          <w:szCs w:val="26"/>
          <w:rtl/>
        </w:rPr>
      </w:pPr>
      <w:bookmarkStart w:id="552" w:name="_Toc24883981"/>
      <w:r w:rsidRPr="001D49D4">
        <w:rPr>
          <w:rFonts w:ascii="Arial" w:eastAsia="Times New Roman" w:hAnsi="Arial" w:cs="Arial"/>
          <w:bCs/>
          <w:color w:val="548DD4" w:themeColor="text2" w:themeTint="99"/>
          <w:sz w:val="26"/>
          <w:szCs w:val="26"/>
          <w:rtl/>
        </w:rPr>
        <w:t>סעיף ג: הוחזק שמו בעיר שלשים יום.</w:t>
      </w:r>
      <w:bookmarkEnd w:id="552"/>
    </w:p>
    <w:p w14:paraId="2796B94B" w14:textId="77777777" w:rsidR="001D49D4" w:rsidRPr="001D49D4" w:rsidRDefault="001D49D4" w:rsidP="0004348D">
      <w:pPr>
        <w:spacing w:before="360" w:after="240"/>
        <w:rPr>
          <w:rFonts w:ascii="Arial" w:eastAsia="Calibri" w:hAnsi="Arial" w:cs="Arial"/>
          <w:rtl/>
        </w:rPr>
      </w:pPr>
      <w:r w:rsidRPr="001D49D4">
        <w:rPr>
          <w:rFonts w:ascii="Arial" w:eastAsia="Calibri" w:hAnsi="Arial" w:cs="Arial"/>
          <w:b/>
          <w:bCs/>
          <w:rtl/>
        </w:rPr>
        <w:t xml:space="preserve">בבא בתרא קסז ע"ב: </w:t>
      </w:r>
      <w:r w:rsidRPr="001D49D4">
        <w:rPr>
          <w:rFonts w:ascii="Arial" w:eastAsia="Calibri" w:hAnsi="Arial" w:cs="Arial"/>
          <w:u w:val="single"/>
          <w:rtl/>
        </w:rPr>
        <w:t>אמר להו רב הונא בר חיננא הכי אמר רב</w:t>
      </w:r>
      <w:r w:rsidRPr="001D49D4">
        <w:rPr>
          <w:rFonts w:ascii="Arial" w:eastAsia="Calibri" w:hAnsi="Arial" w:cs="Arial"/>
          <w:rtl/>
        </w:rPr>
        <w:t xml:space="preserve">: כל שהוחזק שמו בעיר שלשים יום - אין חוששין לו. לא איתחזק מאי? </w:t>
      </w:r>
      <w:r w:rsidRPr="001D49D4">
        <w:rPr>
          <w:rFonts w:ascii="Arial" w:eastAsia="Calibri" w:hAnsi="Arial" w:cs="Arial"/>
          <w:u w:val="single"/>
          <w:rtl/>
        </w:rPr>
        <w:t>אמר אביי:</w:t>
      </w:r>
      <w:r w:rsidRPr="001D49D4">
        <w:rPr>
          <w:rFonts w:ascii="Arial" w:eastAsia="Calibri" w:hAnsi="Arial" w:cs="Arial"/>
          <w:rtl/>
        </w:rPr>
        <w:t xml:space="preserve"> דקרו ליה ועני. </w:t>
      </w:r>
      <w:r w:rsidRPr="001D49D4">
        <w:rPr>
          <w:rFonts w:ascii="Arial" w:eastAsia="Calibri" w:hAnsi="Arial" w:cs="Arial"/>
          <w:u w:val="single"/>
          <w:rtl/>
        </w:rPr>
        <w:t>רב זביד אמר:</w:t>
      </w:r>
      <w:r w:rsidRPr="001D49D4">
        <w:rPr>
          <w:rFonts w:ascii="Arial" w:eastAsia="Calibri" w:hAnsi="Arial" w:cs="Arial"/>
          <w:rtl/>
        </w:rPr>
        <w:t xml:space="preserve"> רמאה ברמאותיה זהיר. </w:t>
      </w:r>
      <w:r w:rsidRPr="001D49D4">
        <w:rPr>
          <w:rFonts w:ascii="Arial" w:eastAsia="Calibri" w:hAnsi="Arial" w:cs="Arial"/>
          <w:sz w:val="16"/>
          <w:szCs w:val="16"/>
          <w:rtl/>
        </w:rPr>
        <w:t xml:space="preserve">(הלכך לא כתבינן שטר לשום אדם עד שיהא מוחזק בשם זה שלשים יום, נמוק"י </w:t>
      </w:r>
      <w:r w:rsidRPr="001D49D4">
        <w:rPr>
          <w:rFonts w:ascii="Arial" w:eastAsia="Calibri" w:hAnsi="Arial" w:cs="Arial"/>
          <w:sz w:val="14"/>
          <w:szCs w:val="14"/>
          <w:rtl/>
        </w:rPr>
        <w:t>[עז: ד"ה גמ' שיהא, הביאו הב"י]</w:t>
      </w:r>
      <w:r w:rsidRPr="001D49D4">
        <w:rPr>
          <w:rFonts w:ascii="Arial" w:eastAsia="Calibri" w:hAnsi="Arial" w:cs="Arial"/>
          <w:sz w:val="16"/>
          <w:szCs w:val="16"/>
          <w:rtl/>
        </w:rPr>
        <w:t>)</w:t>
      </w:r>
    </w:p>
    <w:p w14:paraId="5C4F298B" w14:textId="77777777" w:rsidR="001D49D4" w:rsidRPr="001D49D4" w:rsidRDefault="001D49D4" w:rsidP="0004348D">
      <w:pPr>
        <w:spacing w:before="360" w:after="240"/>
        <w:jc w:val="both"/>
        <w:rPr>
          <w:rFonts w:ascii="Arial" w:eastAsia="Calibri" w:hAnsi="Arial" w:cs="Arial"/>
          <w:rtl/>
        </w:rPr>
      </w:pPr>
      <w:r w:rsidRPr="001D49D4">
        <w:rPr>
          <w:rFonts w:ascii="Arial" w:eastAsia="Calibri" w:hAnsi="Arial" w:cs="Arial"/>
          <w:b/>
          <w:bCs/>
          <w:sz w:val="32"/>
          <w:szCs w:val="28"/>
          <w:u w:val="single"/>
          <w:rtl/>
        </w:rPr>
        <w:t xml:space="preserve">שו"ע: </w:t>
      </w:r>
    </w:p>
    <w:p w14:paraId="63F99548" w14:textId="77777777" w:rsidR="001D49D4" w:rsidRPr="001D49D4" w:rsidRDefault="001D49D4" w:rsidP="0004348D">
      <w:pPr>
        <w:spacing w:before="360" w:after="240"/>
        <w:rPr>
          <w:rFonts w:ascii="Arial" w:eastAsia="Calibri" w:hAnsi="Arial" w:cs="Arial"/>
          <w:rtl/>
        </w:rPr>
      </w:pPr>
      <w:r w:rsidRPr="001D49D4">
        <w:rPr>
          <w:rFonts w:ascii="Arial" w:eastAsia="Calibri" w:hAnsi="Arial" w:cs="Arial"/>
          <w:rtl/>
        </w:rPr>
        <w:t>כל שהוחזק שמו שלשים יום בעיר כותבים אותו שֵם ואין חוששין שמא שינה שמו לעשות קנוניא</w:t>
      </w:r>
      <w:r w:rsidRPr="001D49D4">
        <w:rPr>
          <w:rFonts w:ascii="Arial" w:eastAsia="Calibri" w:hAnsi="Arial" w:cs="Arial"/>
          <w:vertAlign w:val="superscript"/>
          <w:rtl/>
        </w:rPr>
        <w:footnoteReference w:id="4072"/>
      </w:r>
      <w:r w:rsidRPr="001D49D4">
        <w:rPr>
          <w:rFonts w:ascii="Arial" w:eastAsia="Calibri" w:hAnsi="Arial" w:cs="Arial"/>
          <w:rtl/>
        </w:rPr>
        <w:t xml:space="preserve">. </w:t>
      </w:r>
    </w:p>
    <w:p w14:paraId="78E0D88C" w14:textId="77777777" w:rsidR="001D49D4" w:rsidRPr="001D49D4" w:rsidRDefault="001D49D4" w:rsidP="0004348D">
      <w:pPr>
        <w:spacing w:before="360" w:after="240"/>
        <w:rPr>
          <w:rFonts w:ascii="Arial" w:eastAsia="Calibri" w:hAnsi="Arial" w:cs="Arial"/>
          <w:rtl/>
        </w:rPr>
      </w:pPr>
    </w:p>
    <w:p w14:paraId="64E07A8D" w14:textId="77777777" w:rsidR="001D49D4" w:rsidRPr="001D49D4" w:rsidRDefault="001D49D4" w:rsidP="0004348D">
      <w:pPr>
        <w:keepNext/>
        <w:keepLines/>
        <w:spacing w:before="360" w:after="240"/>
        <w:outlineLvl w:val="1"/>
        <w:rPr>
          <w:rFonts w:ascii="Arial" w:eastAsia="Times New Roman" w:hAnsi="Arial" w:cs="Arial"/>
          <w:bCs/>
          <w:color w:val="548DD4" w:themeColor="text2" w:themeTint="99"/>
          <w:sz w:val="26"/>
          <w:szCs w:val="26"/>
          <w:rtl/>
        </w:rPr>
      </w:pPr>
      <w:bookmarkStart w:id="553" w:name="_Toc24883982"/>
      <w:r w:rsidRPr="001D49D4">
        <w:rPr>
          <w:rFonts w:ascii="Arial" w:eastAsia="Times New Roman" w:hAnsi="Arial" w:cs="Arial"/>
          <w:bCs/>
          <w:color w:val="548DD4" w:themeColor="text2" w:themeTint="99"/>
          <w:sz w:val="26"/>
          <w:szCs w:val="26"/>
          <w:rtl/>
        </w:rPr>
        <w:t>סעיף ד: קרו ליה ועני.</w:t>
      </w:r>
      <w:bookmarkEnd w:id="553"/>
    </w:p>
    <w:p w14:paraId="12CA71A1" w14:textId="77777777" w:rsidR="001D49D4" w:rsidRPr="001D49D4" w:rsidRDefault="001D49D4" w:rsidP="0004348D">
      <w:pPr>
        <w:spacing w:before="360" w:after="240"/>
        <w:rPr>
          <w:rFonts w:ascii="Arial" w:eastAsia="Calibri" w:hAnsi="Arial" w:cs="Arial"/>
          <w:rtl/>
        </w:rPr>
      </w:pPr>
      <w:r w:rsidRPr="001D49D4">
        <w:rPr>
          <w:rFonts w:ascii="Arial" w:eastAsia="Calibri" w:hAnsi="Arial" w:cs="Arial"/>
          <w:b/>
          <w:bCs/>
          <w:rtl/>
        </w:rPr>
        <w:t xml:space="preserve">בבא בתרא קסז ע"ב: </w:t>
      </w:r>
      <w:r w:rsidRPr="001D49D4">
        <w:rPr>
          <w:rFonts w:ascii="Arial" w:eastAsia="Calibri" w:hAnsi="Arial" w:cs="Arial"/>
          <w:u w:val="single"/>
          <w:rtl/>
        </w:rPr>
        <w:t>אמר להו רב הונא בר חיננא הכי אמר רב</w:t>
      </w:r>
      <w:r w:rsidRPr="001D49D4">
        <w:rPr>
          <w:rFonts w:ascii="Arial" w:eastAsia="Calibri" w:hAnsi="Arial" w:cs="Arial"/>
          <w:rtl/>
        </w:rPr>
        <w:t xml:space="preserve">: כל שהוחזק שמו בעיר שלשים יום - אין חוששין לו. לא איתחזק מאי? </w:t>
      </w:r>
      <w:r w:rsidRPr="001D49D4">
        <w:rPr>
          <w:rFonts w:ascii="Arial" w:eastAsia="Calibri" w:hAnsi="Arial" w:cs="Arial"/>
          <w:u w:val="single"/>
          <w:rtl/>
        </w:rPr>
        <w:t>אמר אביי:</w:t>
      </w:r>
      <w:r w:rsidRPr="001D49D4">
        <w:rPr>
          <w:rFonts w:ascii="Arial" w:eastAsia="Calibri" w:hAnsi="Arial" w:cs="Arial"/>
          <w:rtl/>
        </w:rPr>
        <w:t xml:space="preserve"> דקרו ליה ועני. </w:t>
      </w:r>
      <w:r w:rsidRPr="001D49D4">
        <w:rPr>
          <w:rFonts w:ascii="Arial" w:eastAsia="Calibri" w:hAnsi="Arial" w:cs="Arial"/>
          <w:u w:val="single"/>
          <w:rtl/>
        </w:rPr>
        <w:t>רב זביד אמר:</w:t>
      </w:r>
      <w:r w:rsidRPr="001D49D4">
        <w:rPr>
          <w:rFonts w:ascii="Arial" w:eastAsia="Calibri" w:hAnsi="Arial" w:cs="Arial"/>
          <w:rtl/>
        </w:rPr>
        <w:t xml:space="preserve"> רמאה ברמאותיה זהיר.</w:t>
      </w:r>
    </w:p>
    <w:p w14:paraId="7B75F15F" w14:textId="77777777" w:rsidR="001D49D4" w:rsidRPr="001D49D4" w:rsidRDefault="001D49D4" w:rsidP="0004348D">
      <w:pPr>
        <w:spacing w:before="360" w:after="240"/>
        <w:jc w:val="both"/>
        <w:rPr>
          <w:rFonts w:ascii="Arial" w:eastAsia="Calibri" w:hAnsi="Arial" w:cs="Arial"/>
          <w:rtl/>
        </w:rPr>
      </w:pPr>
      <w:r w:rsidRPr="001D49D4">
        <w:rPr>
          <w:rFonts w:ascii="Arial" w:eastAsia="Calibri" w:hAnsi="Arial" w:cs="Arial"/>
          <w:b/>
          <w:bCs/>
          <w:sz w:val="32"/>
          <w:szCs w:val="28"/>
          <w:u w:val="single"/>
          <w:rtl/>
        </w:rPr>
        <w:t xml:space="preserve">שו"ע: </w:t>
      </w:r>
    </w:p>
    <w:p w14:paraId="76B9B914" w14:textId="77777777" w:rsidR="001D49D4" w:rsidRPr="001D49D4" w:rsidRDefault="001D49D4" w:rsidP="0004348D">
      <w:pPr>
        <w:spacing w:before="360" w:after="240"/>
        <w:rPr>
          <w:rFonts w:ascii="Arial" w:eastAsia="Calibri" w:hAnsi="Arial" w:cs="Arial"/>
          <w:sz w:val="16"/>
          <w:szCs w:val="16"/>
          <w:rtl/>
        </w:rPr>
      </w:pPr>
      <w:r w:rsidRPr="001D49D4">
        <w:rPr>
          <w:rFonts w:ascii="Arial" w:eastAsia="Calibri" w:hAnsi="Arial" w:cs="Arial"/>
          <w:rtl/>
        </w:rPr>
        <w:t>אי קרו ליה ועני מחזקינן ליה בההוא שמא לחובתו</w:t>
      </w:r>
      <w:r w:rsidRPr="001D49D4">
        <w:rPr>
          <w:rFonts w:ascii="Arial" w:eastAsia="Calibri" w:hAnsi="Arial" w:cs="Arial"/>
          <w:vertAlign w:val="superscript"/>
          <w:rtl/>
        </w:rPr>
        <w:footnoteReference w:id="4073"/>
      </w:r>
      <w:r w:rsidRPr="001D49D4">
        <w:rPr>
          <w:rFonts w:ascii="Arial" w:eastAsia="Calibri" w:hAnsi="Arial" w:cs="Arial"/>
          <w:rtl/>
        </w:rPr>
        <w:t xml:space="preserve">, כגון שקרא את עצמו ראובן וכתב שטר עליו: ראובן לוה משמעון, וטעין השתא לאו ראובן שמי, אי קרו ליה ראובן ועני, אף על גב דלא אתחזק שלשים יום בהאי שמאף חייב. </w:t>
      </w:r>
      <w:r w:rsidRPr="001D49D4">
        <w:rPr>
          <w:rFonts w:ascii="Arial" w:eastAsia="Calibri" w:hAnsi="Arial" w:cs="Arial"/>
          <w:sz w:val="16"/>
          <w:szCs w:val="16"/>
          <w:rtl/>
        </w:rPr>
        <w:t>{רמ"ה}</w:t>
      </w:r>
    </w:p>
    <w:p w14:paraId="4DFE1FF0" w14:textId="77777777" w:rsidR="001D49D4" w:rsidRPr="001D49D4" w:rsidRDefault="001D49D4" w:rsidP="0004348D">
      <w:pPr>
        <w:spacing w:before="360" w:after="240"/>
        <w:rPr>
          <w:rFonts w:ascii="Arial" w:eastAsia="Calibri" w:hAnsi="Arial" w:cs="Arial"/>
          <w:rtl/>
        </w:rPr>
      </w:pPr>
    </w:p>
    <w:p w14:paraId="291C14C7" w14:textId="77777777" w:rsidR="001D49D4" w:rsidRPr="001D49D4" w:rsidRDefault="001D49D4" w:rsidP="0004348D">
      <w:pPr>
        <w:keepNext/>
        <w:keepLines/>
        <w:spacing w:before="360" w:after="240"/>
        <w:outlineLvl w:val="1"/>
        <w:rPr>
          <w:rFonts w:ascii="Arial" w:eastAsia="Times New Roman" w:hAnsi="Arial" w:cs="Arial"/>
          <w:bCs/>
          <w:color w:val="548DD4" w:themeColor="text2" w:themeTint="99"/>
          <w:sz w:val="26"/>
          <w:szCs w:val="26"/>
          <w:rtl/>
        </w:rPr>
      </w:pPr>
      <w:bookmarkStart w:id="554" w:name="_Toc24883983"/>
      <w:r w:rsidRPr="001D49D4">
        <w:rPr>
          <w:rFonts w:ascii="Arial" w:eastAsia="Times New Roman" w:hAnsi="Arial" w:cs="Arial"/>
          <w:bCs/>
          <w:color w:val="548DD4" w:themeColor="text2" w:themeTint="99"/>
          <w:sz w:val="26"/>
          <w:szCs w:val="26"/>
          <w:rtl/>
        </w:rPr>
        <w:t>סעיף ה: לוה שטוען שעשו עליו קנוניא.</w:t>
      </w:r>
      <w:bookmarkEnd w:id="554"/>
    </w:p>
    <w:p w14:paraId="3555E0EC" w14:textId="77777777" w:rsidR="001D49D4" w:rsidRPr="001D49D4" w:rsidRDefault="001D49D4" w:rsidP="0004348D">
      <w:pPr>
        <w:spacing w:before="360" w:after="240"/>
        <w:rPr>
          <w:rFonts w:ascii="Arial" w:eastAsia="Calibri" w:hAnsi="Arial" w:cs="Arial"/>
          <w:rtl/>
        </w:rPr>
      </w:pPr>
      <w:r w:rsidRPr="001D49D4">
        <w:rPr>
          <w:rFonts w:ascii="Arial" w:eastAsia="Calibri" w:hAnsi="Arial" w:cs="Arial"/>
          <w:b/>
          <w:bCs/>
          <w:rtl/>
        </w:rPr>
        <w:t xml:space="preserve">בבא בתרא קלח ע"ב: </w:t>
      </w:r>
      <w:r w:rsidRPr="001D49D4">
        <w:rPr>
          <w:rFonts w:ascii="Arial" w:eastAsia="Calibri" w:hAnsi="Arial" w:cs="Arial"/>
          <w:rtl/>
        </w:rPr>
        <w:t xml:space="preserve">ת"ר: </w:t>
      </w:r>
      <w:bookmarkStart w:id="555" w:name="_Hlk21206996"/>
      <w:r w:rsidRPr="001D49D4">
        <w:rPr>
          <w:rFonts w:ascii="Arial" w:eastAsia="Calibri" w:hAnsi="Arial" w:cs="Arial"/>
          <w:rtl/>
        </w:rPr>
        <w:t xml:space="preserve">שכיב מרע שאמר </w:t>
      </w:r>
      <w:bookmarkEnd w:id="555"/>
      <w:r w:rsidRPr="001D49D4">
        <w:rPr>
          <w:rFonts w:ascii="Arial" w:eastAsia="Calibri" w:hAnsi="Arial" w:cs="Arial"/>
          <w:rtl/>
        </w:rPr>
        <w:t xml:space="preserve">מנה יש לי אצל פלוני - העדים כותבין אף על פי שאין מכירין, לפיכך כשהוא גובה צריך להביא ראיה, </w:t>
      </w:r>
      <w:r w:rsidRPr="001D49D4">
        <w:rPr>
          <w:rFonts w:ascii="Arial" w:eastAsia="Calibri" w:hAnsi="Arial" w:cs="Arial"/>
          <w:u w:val="single"/>
          <w:rtl/>
        </w:rPr>
        <w:t>דברי ר' מאיר</w:t>
      </w:r>
      <w:r w:rsidRPr="001D49D4">
        <w:rPr>
          <w:rFonts w:ascii="Arial" w:eastAsia="Calibri" w:hAnsi="Arial" w:cs="Arial"/>
          <w:rtl/>
        </w:rPr>
        <w:t xml:space="preserve">, </w:t>
      </w:r>
      <w:r w:rsidRPr="001D49D4">
        <w:rPr>
          <w:rFonts w:ascii="Arial" w:eastAsia="Calibri" w:hAnsi="Arial" w:cs="Arial"/>
          <w:u w:val="single"/>
          <w:rtl/>
        </w:rPr>
        <w:t>וחכ"א</w:t>
      </w:r>
      <w:r w:rsidRPr="001D49D4">
        <w:rPr>
          <w:rFonts w:ascii="Arial" w:eastAsia="Calibri" w:hAnsi="Arial" w:cs="Arial"/>
          <w:rtl/>
        </w:rPr>
        <w:t>: אין כותבין אא"כ מכירין, לפיכך כשהוא גובה אין צריך להביא ראיה.</w:t>
      </w:r>
    </w:p>
    <w:p w14:paraId="3AA29447" w14:textId="77777777" w:rsidR="001D49D4" w:rsidRPr="001D49D4" w:rsidRDefault="001D49D4" w:rsidP="0004348D">
      <w:pPr>
        <w:spacing w:before="360" w:after="240"/>
        <w:jc w:val="both"/>
        <w:rPr>
          <w:rFonts w:ascii="Arial" w:eastAsia="Calibri" w:hAnsi="Arial" w:cs="Arial"/>
          <w:rtl/>
        </w:rPr>
      </w:pPr>
      <w:r w:rsidRPr="001D49D4">
        <w:rPr>
          <w:rFonts w:ascii="Arial" w:eastAsia="Calibri" w:hAnsi="Arial" w:cs="Arial"/>
          <w:b/>
          <w:bCs/>
          <w:sz w:val="32"/>
          <w:szCs w:val="28"/>
          <w:u w:val="single"/>
          <w:rtl/>
        </w:rPr>
        <w:t xml:space="preserve">שו"ע: </w:t>
      </w:r>
    </w:p>
    <w:p w14:paraId="0A1F39C5" w14:textId="77777777" w:rsidR="001D49D4" w:rsidRPr="001D49D4" w:rsidRDefault="001D49D4" w:rsidP="0004348D">
      <w:pPr>
        <w:spacing w:before="360" w:after="240"/>
        <w:rPr>
          <w:rFonts w:ascii="Arial" w:eastAsia="Calibri" w:hAnsi="Arial" w:cs="Arial"/>
          <w:rtl/>
        </w:rPr>
      </w:pPr>
      <w:r w:rsidRPr="001D49D4">
        <w:rPr>
          <w:rFonts w:ascii="Arial" w:eastAsia="Calibri" w:hAnsi="Arial" w:cs="Arial"/>
          <w:rtl/>
        </w:rPr>
        <w:t>יצא לפנינו שטר, וטען הלוה ואמר: איני חייב כלום שמא רמאי אחד העלה שמו</w:t>
      </w:r>
      <w:r w:rsidRPr="001D49D4">
        <w:rPr>
          <w:rFonts w:ascii="Arial" w:eastAsia="Calibri" w:hAnsi="Arial" w:cs="Arial"/>
          <w:sz w:val="18"/>
          <w:szCs w:val="18"/>
          <w:rtl/>
        </w:rPr>
        <w:t xml:space="preserve"> </w:t>
      </w:r>
      <w:r w:rsidRPr="001D49D4">
        <w:rPr>
          <w:rFonts w:ascii="Arial" w:eastAsia="Calibri" w:hAnsi="Arial" w:cs="Arial"/>
          <w:vertAlign w:val="superscript"/>
          <w:rtl/>
        </w:rPr>
        <w:footnoteReference w:id="4074"/>
      </w:r>
      <w:r w:rsidRPr="001D49D4">
        <w:rPr>
          <w:rFonts w:ascii="Arial" w:eastAsia="Calibri" w:hAnsi="Arial" w:cs="Arial"/>
          <w:sz w:val="18"/>
          <w:szCs w:val="18"/>
          <w:rtl/>
        </w:rPr>
        <w:t>[כשמי]</w:t>
      </w:r>
      <w:r w:rsidRPr="001D49D4">
        <w:rPr>
          <w:rFonts w:ascii="Arial" w:eastAsia="Calibri" w:hAnsi="Arial" w:cs="Arial"/>
          <w:rtl/>
        </w:rPr>
        <w:t xml:space="preserve"> והודה לזה, או שאמר: לא לזה אני חייב אלא לאחר וזה רמאי הוא והעלה שמו כשם בעל חובי, מאחר שלא הוחזקו שם שנים ששמותיהם שוים אין חוששין לדבריו</w:t>
      </w:r>
      <w:r w:rsidRPr="001D49D4">
        <w:rPr>
          <w:rFonts w:ascii="Arial" w:eastAsia="Calibri" w:hAnsi="Arial" w:cs="Arial"/>
          <w:vertAlign w:val="superscript"/>
          <w:rtl/>
        </w:rPr>
        <w:footnoteReference w:id="4075"/>
      </w:r>
      <w:r w:rsidRPr="001D49D4">
        <w:rPr>
          <w:rFonts w:ascii="Arial" w:eastAsia="Calibri" w:hAnsi="Arial" w:cs="Arial"/>
          <w:rtl/>
        </w:rPr>
        <w:t xml:space="preserve">. </w:t>
      </w:r>
    </w:p>
    <w:p w14:paraId="6AF7E31A" w14:textId="77777777" w:rsidR="001D49D4" w:rsidRPr="001D49D4" w:rsidRDefault="001D49D4" w:rsidP="0004348D">
      <w:pPr>
        <w:spacing w:before="360" w:after="240"/>
        <w:rPr>
          <w:rFonts w:ascii="Arial" w:eastAsia="Calibri" w:hAnsi="Arial" w:cs="Arial"/>
          <w:color w:val="FF0000"/>
          <w:rtl/>
        </w:rPr>
      </w:pPr>
    </w:p>
    <w:p w14:paraId="42D0408D" w14:textId="77777777" w:rsidR="001D49D4" w:rsidRPr="001D49D4" w:rsidRDefault="001D49D4" w:rsidP="0004348D">
      <w:pPr>
        <w:keepNext/>
        <w:keepLines/>
        <w:spacing w:before="360" w:after="240"/>
        <w:outlineLvl w:val="1"/>
        <w:rPr>
          <w:rFonts w:ascii="Arial" w:eastAsia="Times New Roman" w:hAnsi="Arial" w:cs="Arial"/>
          <w:bCs/>
          <w:color w:val="548DD4" w:themeColor="text2" w:themeTint="99"/>
          <w:sz w:val="26"/>
          <w:szCs w:val="26"/>
          <w:rtl/>
        </w:rPr>
      </w:pPr>
      <w:bookmarkStart w:id="556" w:name="_Toc24883984"/>
      <w:r w:rsidRPr="001D49D4">
        <w:rPr>
          <w:rFonts w:ascii="Arial" w:eastAsia="Times New Roman" w:hAnsi="Arial" w:cs="Arial"/>
          <w:bCs/>
          <w:color w:val="548DD4" w:themeColor="text2" w:themeTint="99"/>
          <w:sz w:val="26"/>
          <w:szCs w:val="26"/>
          <w:rtl/>
        </w:rPr>
        <w:t>סעיף ו: שטר שנתברר לעדים שיש בו טעות סופר.</w:t>
      </w:r>
      <w:bookmarkEnd w:id="556"/>
    </w:p>
    <w:p w14:paraId="4A492E79" w14:textId="77777777" w:rsidR="001D49D4" w:rsidRPr="001D49D4" w:rsidRDefault="001D49D4" w:rsidP="0004348D">
      <w:pPr>
        <w:spacing w:before="360" w:after="240"/>
        <w:rPr>
          <w:rFonts w:ascii="Arial" w:eastAsia="Calibri" w:hAnsi="Arial" w:cs="Arial"/>
          <w:rtl/>
        </w:rPr>
      </w:pPr>
      <w:r w:rsidRPr="001D49D4">
        <w:rPr>
          <w:rFonts w:ascii="Arial" w:eastAsia="Calibri" w:hAnsi="Arial" w:cs="Arial"/>
          <w:b/>
          <w:bCs/>
          <w:rtl/>
        </w:rPr>
        <w:t xml:space="preserve">גיטין סג ע"ב: </w:t>
      </w:r>
      <w:r w:rsidRPr="001D49D4">
        <w:rPr>
          <w:rFonts w:ascii="Arial" w:eastAsia="Calibri" w:hAnsi="Arial" w:cs="Arial"/>
          <w:rtl/>
        </w:rPr>
        <w:t>ההיא דהוו קרו לה נפאתה</w:t>
      </w:r>
      <w:r w:rsidRPr="001D49D4">
        <w:rPr>
          <w:rFonts w:ascii="Arial" w:eastAsia="Calibri" w:hAnsi="Arial" w:cs="Arial"/>
          <w:vertAlign w:val="superscript"/>
          <w:rtl/>
        </w:rPr>
        <w:footnoteReference w:id="4076"/>
      </w:r>
      <w:r w:rsidRPr="001D49D4">
        <w:rPr>
          <w:rFonts w:ascii="Arial" w:eastAsia="Calibri" w:hAnsi="Arial" w:cs="Arial"/>
          <w:rtl/>
        </w:rPr>
        <w:t>, אזול סהדי</w:t>
      </w:r>
      <w:r w:rsidRPr="001D49D4">
        <w:rPr>
          <w:rFonts w:ascii="Arial" w:eastAsia="Calibri" w:hAnsi="Arial" w:cs="Arial"/>
          <w:vertAlign w:val="superscript"/>
          <w:rtl/>
        </w:rPr>
        <w:footnoteReference w:id="4077"/>
      </w:r>
      <w:r w:rsidRPr="001D49D4">
        <w:rPr>
          <w:rFonts w:ascii="Arial" w:eastAsia="Calibri" w:hAnsi="Arial" w:cs="Arial"/>
          <w:rtl/>
        </w:rPr>
        <w:t xml:space="preserve"> כתוב תפאתה</w:t>
      </w:r>
      <w:r w:rsidRPr="001D49D4">
        <w:rPr>
          <w:rFonts w:ascii="Arial" w:eastAsia="Calibri" w:hAnsi="Arial" w:cs="Arial"/>
          <w:vertAlign w:val="superscript"/>
          <w:rtl/>
        </w:rPr>
        <w:footnoteReference w:id="4078"/>
      </w:r>
      <w:r w:rsidRPr="001D49D4">
        <w:rPr>
          <w:rFonts w:ascii="Arial" w:eastAsia="Calibri" w:hAnsi="Arial" w:cs="Arial"/>
          <w:rtl/>
        </w:rPr>
        <w:t xml:space="preserve">, </w:t>
      </w:r>
      <w:r w:rsidRPr="001D49D4">
        <w:rPr>
          <w:rFonts w:ascii="Arial" w:eastAsia="Calibri" w:hAnsi="Arial" w:cs="Arial"/>
          <w:u w:val="single"/>
          <w:rtl/>
        </w:rPr>
        <w:t>אמר רב יצחק בר שמואל בר מרתא משמיה דרב</w:t>
      </w:r>
      <w:r w:rsidRPr="001D49D4">
        <w:rPr>
          <w:rFonts w:ascii="Arial" w:eastAsia="Calibri" w:hAnsi="Arial" w:cs="Arial"/>
          <w:rtl/>
        </w:rPr>
        <w:t>: עשו עדים שליחותן</w:t>
      </w:r>
      <w:r w:rsidRPr="001D49D4">
        <w:rPr>
          <w:rFonts w:ascii="Arial" w:eastAsia="Calibri" w:hAnsi="Arial" w:cs="Arial"/>
          <w:vertAlign w:val="superscript"/>
          <w:rtl/>
        </w:rPr>
        <w:footnoteReference w:id="4079"/>
      </w:r>
      <w:r w:rsidRPr="001D49D4">
        <w:rPr>
          <w:rFonts w:ascii="Arial" w:eastAsia="Calibri" w:hAnsi="Arial" w:cs="Arial"/>
          <w:rtl/>
        </w:rPr>
        <w:t xml:space="preserve">. </w:t>
      </w:r>
      <w:r w:rsidRPr="001D49D4">
        <w:rPr>
          <w:rFonts w:ascii="Arial" w:eastAsia="Calibri" w:hAnsi="Arial" w:cs="Arial"/>
          <w:u w:val="single"/>
          <w:rtl/>
        </w:rPr>
        <w:t>מתקיף לה רבה</w:t>
      </w:r>
      <w:r w:rsidRPr="001D49D4">
        <w:rPr>
          <w:rFonts w:ascii="Arial" w:eastAsia="Calibri" w:hAnsi="Arial" w:cs="Arial"/>
          <w:rtl/>
        </w:rPr>
        <w:t xml:space="preserve">: מי קאמר להו כתובו חספא והבו לה? </w:t>
      </w:r>
      <w:r w:rsidRPr="001D49D4">
        <w:rPr>
          <w:rFonts w:ascii="Arial" w:eastAsia="Calibri" w:hAnsi="Arial" w:cs="Arial"/>
          <w:u w:val="single"/>
          <w:rtl/>
        </w:rPr>
        <w:t>אלא אמר רבה</w:t>
      </w:r>
      <w:r w:rsidRPr="001D49D4">
        <w:rPr>
          <w:rFonts w:ascii="Arial" w:eastAsia="Calibri" w:hAnsi="Arial" w:cs="Arial"/>
          <w:rtl/>
        </w:rPr>
        <w:t>: ודאי אי כתוב סהדי גיטא מעליא ואבד</w:t>
      </w:r>
      <w:r w:rsidRPr="001D49D4">
        <w:rPr>
          <w:rFonts w:ascii="Arial" w:eastAsia="Calibri" w:hAnsi="Arial" w:cs="Arial"/>
          <w:vertAlign w:val="superscript"/>
          <w:rtl/>
        </w:rPr>
        <w:footnoteReference w:id="4080"/>
      </w:r>
      <w:r w:rsidRPr="001D49D4">
        <w:rPr>
          <w:rFonts w:ascii="Arial" w:eastAsia="Calibri" w:hAnsi="Arial" w:cs="Arial"/>
          <w:rtl/>
        </w:rPr>
        <w:t>, עשו עדים שליחותן</w:t>
      </w:r>
      <w:r w:rsidRPr="001D49D4">
        <w:rPr>
          <w:rFonts w:ascii="Arial" w:eastAsia="Calibri" w:hAnsi="Arial" w:cs="Arial"/>
          <w:vertAlign w:val="superscript"/>
          <w:rtl/>
        </w:rPr>
        <w:footnoteReference w:id="4081"/>
      </w:r>
      <w:r w:rsidRPr="001D49D4">
        <w:rPr>
          <w:rFonts w:ascii="Arial" w:eastAsia="Calibri" w:hAnsi="Arial" w:cs="Arial"/>
          <w:rtl/>
        </w:rPr>
        <w:t xml:space="preserve">. </w:t>
      </w:r>
      <w:r w:rsidRPr="001D49D4">
        <w:rPr>
          <w:rFonts w:ascii="Arial" w:eastAsia="Calibri" w:hAnsi="Arial" w:cs="Arial"/>
          <w:u w:val="single"/>
          <w:rtl/>
        </w:rPr>
        <w:t>מתקיף לה רב נחמן</w:t>
      </w:r>
      <w:r w:rsidRPr="001D49D4">
        <w:rPr>
          <w:rFonts w:ascii="Arial" w:eastAsia="Calibri" w:hAnsi="Arial" w:cs="Arial"/>
          <w:rtl/>
        </w:rPr>
        <w:t xml:space="preserve">: מי קאמר להו כתבו ואנחוה בכיסייכו? </w:t>
      </w:r>
      <w:r w:rsidRPr="001D49D4">
        <w:rPr>
          <w:rFonts w:ascii="Arial" w:eastAsia="Calibri" w:hAnsi="Arial" w:cs="Arial"/>
          <w:u w:val="single"/>
          <w:rtl/>
        </w:rPr>
        <w:t>אלא אמר רב נחמן</w:t>
      </w:r>
      <w:r w:rsidRPr="001D49D4">
        <w:rPr>
          <w:rFonts w:ascii="Arial" w:eastAsia="Calibri" w:hAnsi="Arial" w:cs="Arial"/>
          <w:rtl/>
        </w:rPr>
        <w:t xml:space="preserve">: כותבין ונותנין אפי' מאה פעמים. </w:t>
      </w:r>
      <w:r w:rsidRPr="001D49D4">
        <w:rPr>
          <w:rFonts w:ascii="Arial" w:eastAsia="Calibri" w:hAnsi="Arial" w:cs="Arial"/>
          <w:sz w:val="16"/>
          <w:szCs w:val="16"/>
          <w:rtl/>
        </w:rPr>
        <w:t xml:space="preserve">(והלכת' כרב נחמן </w:t>
      </w:r>
      <w:r w:rsidRPr="001D49D4">
        <w:rPr>
          <w:rFonts w:ascii="Arial" w:eastAsia="Calibri" w:hAnsi="Arial" w:cs="Arial"/>
          <w:sz w:val="14"/>
          <w:szCs w:val="14"/>
          <w:rtl/>
        </w:rPr>
        <w:t>[שו"ע אה"ע ר"ס קכב]</w:t>
      </w:r>
      <w:r w:rsidRPr="001D49D4">
        <w:rPr>
          <w:rFonts w:ascii="Arial" w:eastAsia="Calibri" w:hAnsi="Arial" w:cs="Arial"/>
          <w:sz w:val="16"/>
          <w:szCs w:val="16"/>
          <w:rtl/>
        </w:rPr>
        <w:t xml:space="preserve">, ומכאן הביא הב"י ראיה לדברי הרא"ש </w:t>
      </w:r>
      <w:r w:rsidRPr="001D49D4">
        <w:rPr>
          <w:rFonts w:ascii="Arial" w:eastAsia="Calibri" w:hAnsi="Arial" w:cs="Arial"/>
          <w:sz w:val="14"/>
          <w:szCs w:val="14"/>
          <w:rtl/>
        </w:rPr>
        <w:t>[כלל ס"ח סי' לא]</w:t>
      </w:r>
      <w:r w:rsidRPr="001D49D4">
        <w:rPr>
          <w:rFonts w:ascii="Arial" w:eastAsia="Calibri" w:hAnsi="Arial" w:cs="Arial"/>
          <w:sz w:val="16"/>
          <w:szCs w:val="16"/>
          <w:rtl/>
        </w:rPr>
        <w:t xml:space="preserve"> שמי שהוחזק שם כינויו בעיר וכתבו עליו שטר באותו כינוי ואח"כ נודע שהיה לו כינוי אחר יכולין העדים לעשות שטר אחר בשם הב' ולא אמרינן עשו עדים שליחותן. </w:t>
      </w:r>
      <w:r w:rsidRPr="001D49D4">
        <w:rPr>
          <w:rFonts w:ascii="Arial" w:eastAsia="Calibri" w:hAnsi="Arial" w:cs="Arial"/>
          <w:color w:val="E36C0A" w:themeColor="accent6" w:themeShade="BF"/>
          <w:sz w:val="16"/>
          <w:szCs w:val="16"/>
          <w:rtl/>
        </w:rPr>
        <w:t>וכ"פ בשו"ע</w:t>
      </w:r>
      <w:r w:rsidRPr="001D49D4">
        <w:rPr>
          <w:rFonts w:ascii="Arial" w:eastAsia="Calibri" w:hAnsi="Arial" w:cs="Arial"/>
          <w:sz w:val="16"/>
          <w:szCs w:val="16"/>
          <w:rtl/>
        </w:rPr>
        <w:t>)</w:t>
      </w:r>
    </w:p>
    <w:p w14:paraId="7488BC35" w14:textId="77777777" w:rsidR="001D49D4" w:rsidRPr="001D49D4" w:rsidRDefault="001D49D4" w:rsidP="0004348D">
      <w:pPr>
        <w:spacing w:before="360" w:after="240"/>
        <w:rPr>
          <w:rFonts w:ascii="Arial" w:eastAsia="Calibri" w:hAnsi="Arial" w:cs="Arial"/>
          <w:sz w:val="16"/>
          <w:szCs w:val="16"/>
          <w:rtl/>
        </w:rPr>
      </w:pPr>
      <w:r w:rsidRPr="001D49D4">
        <w:rPr>
          <w:rFonts w:ascii="Arial" w:eastAsia="Calibri" w:hAnsi="Arial" w:cs="Arial"/>
          <w:u w:val="single"/>
          <w:rtl/>
        </w:rPr>
        <w:t xml:space="preserve">צבור שהסכימו להוציא ראובן בן </w:t>
      </w:r>
      <w:r w:rsidRPr="001D49D4">
        <w:rPr>
          <w:rFonts w:ascii="Arial" w:eastAsia="Calibri" w:hAnsi="Arial" w:cs="Arial"/>
          <w:b/>
          <w:bCs/>
          <w:u w:val="single"/>
          <w:rtl/>
        </w:rPr>
        <w:t>יעקב</w:t>
      </w:r>
      <w:r w:rsidRPr="001D49D4">
        <w:rPr>
          <w:rFonts w:ascii="Arial" w:eastAsia="Calibri" w:hAnsi="Arial" w:cs="Arial"/>
          <w:u w:val="single"/>
          <w:rtl/>
        </w:rPr>
        <w:t xml:space="preserve"> מהמס ונמצא כתוב בכתב ההסכמה ראובן בן </w:t>
      </w:r>
      <w:r w:rsidRPr="001D49D4">
        <w:rPr>
          <w:rFonts w:ascii="Arial" w:eastAsia="Calibri" w:hAnsi="Arial" w:cs="Arial"/>
          <w:b/>
          <w:bCs/>
          <w:u w:val="single"/>
          <w:rtl/>
        </w:rPr>
        <w:t>יצחק</w:t>
      </w:r>
      <w:r w:rsidRPr="001D49D4">
        <w:rPr>
          <w:rFonts w:ascii="Arial" w:eastAsia="Calibri" w:hAnsi="Arial" w:cs="Arial"/>
          <w:u w:val="single"/>
          <w:rtl/>
        </w:rPr>
        <w:t>:</w:t>
      </w:r>
      <w:r w:rsidRPr="001D49D4">
        <w:rPr>
          <w:rFonts w:ascii="Arial" w:eastAsia="Calibri" w:hAnsi="Arial" w:cs="Arial"/>
          <w:sz w:val="16"/>
          <w:szCs w:val="16"/>
          <w:rtl/>
        </w:rPr>
        <w:t xml:space="preserve">  </w:t>
      </w:r>
    </w:p>
    <w:p w14:paraId="3CA93ECE" w14:textId="77777777" w:rsidR="001D49D4" w:rsidRPr="001D49D4" w:rsidRDefault="001D49D4" w:rsidP="0004348D">
      <w:pPr>
        <w:numPr>
          <w:ilvl w:val="0"/>
          <w:numId w:val="300"/>
        </w:numPr>
        <w:spacing w:before="360" w:after="240"/>
        <w:contextualSpacing/>
        <w:rPr>
          <w:rFonts w:ascii="Arial" w:hAnsi="Arial"/>
          <w:rtl/>
        </w:rPr>
      </w:pPr>
      <w:r w:rsidRPr="001D49D4">
        <w:rPr>
          <w:rFonts w:ascii="Arial" w:hAnsi="Arial"/>
          <w:rtl/>
        </w:rPr>
        <w:t>רא"ש</w:t>
      </w:r>
      <w:r w:rsidRPr="001D49D4">
        <w:rPr>
          <w:rFonts w:ascii="Arial" w:hAnsi="Arial"/>
          <w:vertAlign w:val="superscript"/>
          <w:rtl/>
        </w:rPr>
        <w:footnoteReference w:id="4082"/>
      </w:r>
      <w:r w:rsidRPr="001D49D4">
        <w:rPr>
          <w:rFonts w:ascii="Arial" w:hAnsi="Arial"/>
          <w:rtl/>
        </w:rPr>
        <w:t xml:space="preserve"> </w:t>
      </w:r>
      <w:r w:rsidRPr="001D49D4">
        <w:rPr>
          <w:rFonts w:ascii="Arial" w:hAnsi="Arial"/>
          <w:sz w:val="16"/>
          <w:szCs w:val="16"/>
          <w:rtl/>
        </w:rPr>
        <w:t>(כלל ו' סימן ח')</w:t>
      </w:r>
      <w:r w:rsidRPr="001D49D4">
        <w:rPr>
          <w:rFonts w:ascii="Arial" w:hAnsi="Arial"/>
          <w:rtl/>
        </w:rPr>
        <w:t xml:space="preserve">- "אם אין ספק בדבר והכל מודים שהסכימו להוציא ראובן בן יעקב אם שגג הסופר בזה לא הפסיד ראובן בן יעקב ואם הקהל חלוקין יעמדו למנין וילכו אחר הרוב". </w:t>
      </w:r>
    </w:p>
    <w:p w14:paraId="43DB40EC" w14:textId="77777777" w:rsidR="001D49D4" w:rsidRPr="001D49D4" w:rsidRDefault="001D49D4" w:rsidP="0004348D">
      <w:pPr>
        <w:spacing w:before="360" w:after="240"/>
        <w:rPr>
          <w:rFonts w:ascii="Arial" w:eastAsia="Calibri" w:hAnsi="Arial" w:cs="Arial"/>
          <w:u w:val="single"/>
          <w:rtl/>
        </w:rPr>
      </w:pPr>
      <w:r w:rsidRPr="001D49D4">
        <w:rPr>
          <w:rFonts w:ascii="Arial" w:eastAsia="Calibri" w:hAnsi="Arial" w:cs="Arial"/>
          <w:u w:val="single"/>
          <w:rtl/>
        </w:rPr>
        <w:t>שטר שטעו וכתבו רחל במקום לאה:</w:t>
      </w:r>
      <w:r w:rsidRPr="001D49D4">
        <w:rPr>
          <w:rFonts w:ascii="Arial" w:eastAsia="Calibri" w:hAnsi="Arial" w:cs="Arial"/>
          <w:sz w:val="16"/>
          <w:szCs w:val="16"/>
          <w:rtl/>
        </w:rPr>
        <w:t xml:space="preserve"> </w:t>
      </w:r>
    </w:p>
    <w:p w14:paraId="4D5680A4" w14:textId="77777777" w:rsidR="001D49D4" w:rsidRPr="001D49D4" w:rsidRDefault="001D49D4" w:rsidP="0004348D">
      <w:pPr>
        <w:numPr>
          <w:ilvl w:val="0"/>
          <w:numId w:val="300"/>
        </w:numPr>
        <w:spacing w:before="360" w:after="240"/>
        <w:contextualSpacing/>
        <w:rPr>
          <w:rFonts w:ascii="Arial" w:hAnsi="Arial"/>
          <w:rtl/>
        </w:rPr>
      </w:pPr>
      <w:r w:rsidRPr="001D49D4">
        <w:rPr>
          <w:rFonts w:ascii="Arial" w:hAnsi="Arial"/>
          <w:rtl/>
        </w:rPr>
        <w:t xml:space="preserve">רא"ש </w:t>
      </w:r>
      <w:r w:rsidRPr="001D49D4">
        <w:rPr>
          <w:rFonts w:ascii="Arial" w:hAnsi="Arial"/>
          <w:sz w:val="16"/>
          <w:szCs w:val="16"/>
          <w:rtl/>
        </w:rPr>
        <w:t>(כלל ס"ח סי' לב)</w:t>
      </w:r>
      <w:r w:rsidRPr="001D49D4">
        <w:rPr>
          <w:rFonts w:ascii="Arial" w:hAnsi="Arial"/>
          <w:rtl/>
        </w:rPr>
        <w:t>- "שטר שטעו וכתבו רחל במקום לאה אפילו אם לא היו כותבים שטר אחר והיה השטר בא לפני והיה מתברר שהיה בו טעות סופר הייתי מכשירו"</w:t>
      </w:r>
      <w:r w:rsidRPr="001D49D4">
        <w:rPr>
          <w:rFonts w:ascii="Arial" w:hAnsi="Arial"/>
          <w:vertAlign w:val="superscript"/>
          <w:rtl/>
        </w:rPr>
        <w:footnoteReference w:id="4083"/>
      </w:r>
      <w:r w:rsidRPr="001D49D4">
        <w:rPr>
          <w:rFonts w:ascii="Arial" w:hAnsi="Arial"/>
          <w:rtl/>
        </w:rPr>
        <w:t>.</w:t>
      </w:r>
    </w:p>
    <w:p w14:paraId="0A91E46E" w14:textId="77777777" w:rsidR="001D49D4" w:rsidRPr="001D49D4" w:rsidRDefault="001D49D4" w:rsidP="0004348D">
      <w:pPr>
        <w:spacing w:before="360" w:after="240"/>
        <w:rPr>
          <w:rFonts w:ascii="Arial" w:eastAsia="Calibri" w:hAnsi="Arial" w:cs="Arial"/>
          <w:u w:val="single"/>
          <w:rtl/>
        </w:rPr>
      </w:pPr>
      <w:r w:rsidRPr="001D49D4">
        <w:rPr>
          <w:rFonts w:ascii="Arial" w:eastAsia="Calibri" w:hAnsi="Arial" w:cs="Arial"/>
          <w:u w:val="single"/>
          <w:rtl/>
        </w:rPr>
        <w:t>שטר חוב או מכר באחריות שחתם בו אחד מהעדים בלבד ואבד או נמחק:</w:t>
      </w:r>
      <w:r w:rsidRPr="001D49D4">
        <w:rPr>
          <w:rFonts w:ascii="Arial" w:eastAsia="Calibri" w:hAnsi="Arial" w:cs="Arial"/>
          <w:sz w:val="16"/>
          <w:szCs w:val="16"/>
          <w:rtl/>
        </w:rPr>
        <w:t xml:space="preserve"> </w:t>
      </w:r>
    </w:p>
    <w:p w14:paraId="19F50311" w14:textId="77777777" w:rsidR="001D49D4" w:rsidRPr="001D49D4" w:rsidRDefault="001D49D4" w:rsidP="0004348D">
      <w:pPr>
        <w:numPr>
          <w:ilvl w:val="0"/>
          <w:numId w:val="300"/>
        </w:numPr>
        <w:spacing w:before="360" w:after="240"/>
        <w:contextualSpacing/>
        <w:rPr>
          <w:rFonts w:ascii="Arial" w:hAnsi="Arial"/>
          <w:rtl/>
        </w:rPr>
      </w:pPr>
      <w:r w:rsidRPr="001D49D4">
        <w:rPr>
          <w:rFonts w:ascii="Arial" w:hAnsi="Arial"/>
          <w:rtl/>
        </w:rPr>
        <w:t xml:space="preserve">נמוק"י </w:t>
      </w:r>
      <w:r w:rsidRPr="001D49D4">
        <w:rPr>
          <w:rFonts w:ascii="Arial" w:hAnsi="Arial"/>
          <w:sz w:val="16"/>
          <w:szCs w:val="16"/>
          <w:rtl/>
        </w:rPr>
        <w:t>(עט. ד"ה גרסי')</w:t>
      </w:r>
      <w:r w:rsidRPr="001D49D4">
        <w:rPr>
          <w:rFonts w:ascii="Arial" w:hAnsi="Arial"/>
          <w:rtl/>
        </w:rPr>
        <w:t>- שטר חוב או מכר באחריות שחתם בו אחד מהעדים בלבד ואבד או נמחק, יכולים לחזור ולכתבו ולחתום בו שניהם דכל זמן שלא עשו שניהם מעשה שטר אף הראשון לא עשה שליחותו. (וכ"כ הדרכ"מ</w:t>
      </w:r>
      <w:r w:rsidRPr="001D49D4">
        <w:rPr>
          <w:rFonts w:ascii="Arial" w:hAnsi="Arial"/>
          <w:sz w:val="16"/>
          <w:szCs w:val="16"/>
          <w:rtl/>
        </w:rPr>
        <w:t xml:space="preserve"> [ס"ח]</w:t>
      </w:r>
      <w:r w:rsidRPr="001D49D4">
        <w:rPr>
          <w:rFonts w:ascii="Arial" w:hAnsi="Arial"/>
          <w:rtl/>
        </w:rPr>
        <w:t xml:space="preserve"> הסמ"ע</w:t>
      </w:r>
      <w:r w:rsidRPr="001D49D4">
        <w:rPr>
          <w:rFonts w:ascii="Arial" w:hAnsi="Arial"/>
          <w:sz w:val="16"/>
          <w:szCs w:val="16"/>
          <w:rtl/>
        </w:rPr>
        <w:t xml:space="preserve"> [סק"י]</w:t>
      </w:r>
      <w:r w:rsidRPr="001D49D4">
        <w:rPr>
          <w:rFonts w:ascii="Arial" w:hAnsi="Arial"/>
          <w:rtl/>
        </w:rPr>
        <w:t xml:space="preserve"> והאורים</w:t>
      </w:r>
      <w:r w:rsidRPr="001D49D4">
        <w:rPr>
          <w:rFonts w:ascii="Arial" w:hAnsi="Arial"/>
          <w:sz w:val="16"/>
          <w:szCs w:val="16"/>
          <w:rtl/>
        </w:rPr>
        <w:t xml:space="preserve"> [סקי"א]</w:t>
      </w:r>
      <w:r w:rsidRPr="001D49D4">
        <w:rPr>
          <w:rFonts w:ascii="Arial" w:hAnsi="Arial"/>
          <w:rtl/>
        </w:rPr>
        <w:t>)</w:t>
      </w:r>
    </w:p>
    <w:p w14:paraId="67835201" w14:textId="77777777" w:rsidR="001D49D4" w:rsidRPr="001D49D4" w:rsidRDefault="001D49D4" w:rsidP="0004348D">
      <w:pPr>
        <w:spacing w:before="360" w:after="240"/>
        <w:rPr>
          <w:rFonts w:ascii="Arial" w:eastAsia="Calibri" w:hAnsi="Arial" w:cs="Arial"/>
          <w:u w:val="single"/>
          <w:rtl/>
        </w:rPr>
      </w:pPr>
      <w:r w:rsidRPr="001D49D4">
        <w:rPr>
          <w:rFonts w:ascii="Arial" w:eastAsia="Calibri" w:hAnsi="Arial" w:cs="Arial"/>
          <w:u w:val="single"/>
          <w:rtl/>
        </w:rPr>
        <w:t>אמר לעדים כתבו לי, והעדים היו סבורים שעשו שטר מתוקן ונמצא שאינו כתקנו:</w:t>
      </w:r>
      <w:r w:rsidRPr="001D49D4">
        <w:rPr>
          <w:rFonts w:ascii="Arial" w:eastAsia="Calibri" w:hAnsi="Arial" w:cs="Arial"/>
          <w:sz w:val="16"/>
          <w:szCs w:val="16"/>
          <w:rtl/>
        </w:rPr>
        <w:t xml:space="preserve">  </w:t>
      </w:r>
    </w:p>
    <w:p w14:paraId="33EDDE5C" w14:textId="77777777" w:rsidR="001D49D4" w:rsidRPr="001D49D4" w:rsidRDefault="001D49D4" w:rsidP="0004348D">
      <w:pPr>
        <w:numPr>
          <w:ilvl w:val="0"/>
          <w:numId w:val="300"/>
        </w:numPr>
        <w:spacing w:before="360" w:after="240"/>
        <w:contextualSpacing/>
        <w:rPr>
          <w:rFonts w:ascii="Arial" w:hAnsi="Arial"/>
          <w:rtl/>
        </w:rPr>
      </w:pPr>
      <w:r w:rsidRPr="001D49D4">
        <w:rPr>
          <w:rFonts w:ascii="Arial" w:hAnsi="Arial"/>
          <w:rtl/>
        </w:rPr>
        <w:t>רשב"א</w:t>
      </w:r>
      <w:r w:rsidRPr="001D49D4">
        <w:rPr>
          <w:rFonts w:ascii="Arial" w:hAnsi="Arial"/>
          <w:vertAlign w:val="superscript"/>
          <w:rtl/>
        </w:rPr>
        <w:footnoteReference w:id="4084"/>
      </w:r>
      <w:r w:rsidRPr="001D49D4">
        <w:rPr>
          <w:rFonts w:ascii="Arial" w:hAnsi="Arial"/>
          <w:rtl/>
        </w:rPr>
        <w:t xml:space="preserve">- "כל שאמר לעדים 'כתבו לי' הרשאה מעליא קאמר, ואם היו סבורים שהיא עשויה כתקנה ומצאו שאינה כתקנה חוזרין וכותבין אפי' מאה פעמים שהרי כותבין עשר שטרות על שדה אחת ובשטרי מתנה ואפי' בשטרי מכר חוץ מן האחריות שבו כדאיתא בפרק גט פשוט </w:t>
      </w:r>
      <w:r w:rsidRPr="001D49D4">
        <w:rPr>
          <w:rFonts w:ascii="Arial" w:hAnsi="Arial"/>
          <w:sz w:val="16"/>
          <w:szCs w:val="16"/>
          <w:rtl/>
        </w:rPr>
        <w:t>(קסח.)</w:t>
      </w:r>
      <w:r w:rsidRPr="001D49D4">
        <w:rPr>
          <w:rFonts w:ascii="Arial" w:hAnsi="Arial"/>
          <w:rtl/>
        </w:rPr>
        <w:t>. ולא אמרו עשו עדים שליחותן אלא גבי גט משום דכתיב 'וכתב' לומר דבעינן גט שיכתב ע"פ הבעל ועד שיאמר לסופר כתוב ולעדים חתומו, וכן נמי</w:t>
      </w:r>
      <w:r w:rsidRPr="001D49D4">
        <w:rPr>
          <w:rFonts w:ascii="Arial" w:hAnsi="Arial"/>
          <w:sz w:val="16"/>
          <w:szCs w:val="16"/>
          <w:rtl/>
        </w:rPr>
        <w:t xml:space="preserve"> (היינו כגט)</w:t>
      </w:r>
      <w:r w:rsidRPr="001D49D4">
        <w:rPr>
          <w:rFonts w:ascii="Arial" w:hAnsi="Arial"/>
          <w:rtl/>
        </w:rPr>
        <w:t xml:space="preserve"> בשטר מכר כל שחוזרים וכותבים האחריות עכשיו משתעבדים נכסיו בשטר זה והם כבר עשו שליחותן".</w:t>
      </w:r>
    </w:p>
    <w:p w14:paraId="47783BC6" w14:textId="77777777" w:rsidR="001D49D4" w:rsidRPr="001D49D4" w:rsidRDefault="001D49D4" w:rsidP="0004348D">
      <w:pPr>
        <w:spacing w:before="360" w:after="240"/>
        <w:rPr>
          <w:rFonts w:ascii="Arial" w:eastAsia="Calibri" w:hAnsi="Arial" w:cs="Arial"/>
          <w:u w:val="single"/>
          <w:rtl/>
        </w:rPr>
      </w:pPr>
      <w:r w:rsidRPr="001D49D4">
        <w:rPr>
          <w:rFonts w:ascii="Arial" w:eastAsia="Calibri" w:hAnsi="Arial" w:cs="Arial"/>
          <w:u w:val="single"/>
          <w:rtl/>
        </w:rPr>
        <w:t>עדים שזכורין שטעו בכתיבת השטר אך הלוה מכחישן- האם הם יכולים לחזור ולכתוב:</w:t>
      </w:r>
      <w:r w:rsidRPr="001D49D4">
        <w:rPr>
          <w:rFonts w:ascii="Arial" w:eastAsia="Calibri" w:hAnsi="Arial" w:cs="Arial"/>
          <w:sz w:val="16"/>
          <w:szCs w:val="16"/>
          <w:rtl/>
        </w:rPr>
        <w:t xml:space="preserve">  </w:t>
      </w:r>
    </w:p>
    <w:p w14:paraId="6A99F84A" w14:textId="77777777" w:rsidR="001D49D4" w:rsidRPr="001D49D4" w:rsidRDefault="001D49D4" w:rsidP="0004348D">
      <w:pPr>
        <w:numPr>
          <w:ilvl w:val="0"/>
          <w:numId w:val="300"/>
        </w:numPr>
        <w:spacing w:before="360" w:after="240"/>
        <w:contextualSpacing/>
        <w:rPr>
          <w:rFonts w:ascii="Arial" w:hAnsi="Arial"/>
          <w:rtl/>
        </w:rPr>
      </w:pPr>
      <w:r w:rsidRPr="001D49D4">
        <w:rPr>
          <w:rFonts w:ascii="Arial" w:hAnsi="Arial"/>
          <w:rtl/>
        </w:rPr>
        <w:t xml:space="preserve">רשב"א </w:t>
      </w:r>
      <w:r w:rsidRPr="001D49D4">
        <w:rPr>
          <w:rFonts w:ascii="Arial" w:hAnsi="Arial"/>
          <w:sz w:val="16"/>
          <w:szCs w:val="16"/>
          <w:rtl/>
        </w:rPr>
        <w:t>(ח"ג סימן יג)</w:t>
      </w:r>
      <w:r w:rsidRPr="001D49D4">
        <w:rPr>
          <w:rFonts w:ascii="Arial" w:hAnsi="Arial"/>
          <w:rtl/>
        </w:rPr>
        <w:t xml:space="preserve">- "עדים אלו כיון שהם זכורים שטעו כותבין לו שטר אחר כתקונו דכל שטעו אע"פ שמסרו אותו למלוה לא עשו שליחותם וכההיא דנפתא </w:t>
      </w:r>
      <w:r w:rsidRPr="001D49D4">
        <w:rPr>
          <w:rFonts w:ascii="Arial" w:hAnsi="Arial"/>
          <w:sz w:val="16"/>
          <w:szCs w:val="16"/>
          <w:rtl/>
        </w:rPr>
        <w:t>(גיטין סג:)</w:t>
      </w:r>
      <w:r w:rsidRPr="001D49D4">
        <w:rPr>
          <w:rFonts w:ascii="Arial" w:hAnsi="Arial"/>
          <w:rtl/>
        </w:rPr>
        <w:t xml:space="preserve">, ואפילו היה הלוה כאן ויצא שטר זה בב"ד והלוה מכחיש את העדים קרוב אני לומר שהעדים נאמנים ואע"פ שכתב ידן יוצא ממקום אחר בב"ד מפני שאין מפורש בו שלא יהא רשאי המלוה לכוף את הלוה לפדות משכונא זו לעולם אלא סתם אמרו שלא יהא רשאי לכופו ואלו העדים אינם עוקרים השטר ולא חוזרין בעדותן אלא שמבררים שמה שאמרו שלא יוכל לכופו תוך זמן פלוני היה התנאי, ומ"מ אפילו לכשתמצא לומר דאלו היה הלוה כאן ומכחישן שאינם נאמנים ה"מ בשיצא השטר והוחזק בב"ד אבל עד שלא יצא השטר והוחזק בב"ד העדים שמכירים בטעותם חוזרין וכותבים ומתקנים טעותם ועושים עכשיו שליחותן". </w:t>
      </w:r>
    </w:p>
    <w:p w14:paraId="2FD71529" w14:textId="77777777" w:rsidR="001D49D4" w:rsidRPr="001D49D4" w:rsidRDefault="001D49D4" w:rsidP="0004348D">
      <w:pPr>
        <w:spacing w:before="360" w:after="240"/>
        <w:rPr>
          <w:rFonts w:ascii="Arial" w:eastAsia="Calibri" w:hAnsi="Arial" w:cs="Arial"/>
          <w:u w:val="single"/>
          <w:rtl/>
        </w:rPr>
      </w:pPr>
      <w:r w:rsidRPr="001D49D4">
        <w:rPr>
          <w:rFonts w:ascii="Arial" w:eastAsia="Calibri" w:hAnsi="Arial" w:cs="Arial"/>
          <w:u w:val="single"/>
          <w:rtl/>
        </w:rPr>
        <w:t>שטר מחוסר נתינה שכתבוהו וחתמוהו ואישתכח ביה טעותא עד שלא הביאוהו למקבל השטר:</w:t>
      </w:r>
      <w:r w:rsidRPr="001D49D4">
        <w:rPr>
          <w:rFonts w:ascii="Arial" w:eastAsia="Calibri" w:hAnsi="Arial" w:cs="Arial"/>
          <w:sz w:val="16"/>
          <w:szCs w:val="16"/>
          <w:rtl/>
        </w:rPr>
        <w:t xml:space="preserve"> </w:t>
      </w:r>
    </w:p>
    <w:p w14:paraId="69539D69" w14:textId="77777777" w:rsidR="001D49D4" w:rsidRPr="001D49D4" w:rsidRDefault="001D49D4" w:rsidP="0004348D">
      <w:pPr>
        <w:numPr>
          <w:ilvl w:val="0"/>
          <w:numId w:val="300"/>
        </w:numPr>
        <w:spacing w:before="360" w:after="240"/>
        <w:contextualSpacing/>
        <w:rPr>
          <w:rFonts w:ascii="Arial" w:hAnsi="Arial"/>
          <w:rtl/>
        </w:rPr>
      </w:pPr>
      <w:r w:rsidRPr="001D49D4">
        <w:rPr>
          <w:rFonts w:ascii="Arial" w:hAnsi="Arial"/>
          <w:rtl/>
        </w:rPr>
        <w:t xml:space="preserve">ר"ן </w:t>
      </w:r>
      <w:r w:rsidRPr="001D49D4">
        <w:rPr>
          <w:rFonts w:ascii="Arial" w:hAnsi="Arial"/>
          <w:sz w:val="16"/>
          <w:szCs w:val="16"/>
          <w:rtl/>
        </w:rPr>
        <w:t>(גיטין כט. ד"ה אלא)</w:t>
      </w:r>
      <w:r w:rsidRPr="001D49D4">
        <w:rPr>
          <w:rFonts w:ascii="Arial" w:hAnsi="Arial"/>
          <w:rtl/>
        </w:rPr>
        <w:t>- "גבי ההיא דהוו קרי לה נפתא, שבשטרות שמחוסרים נתינה שאין המקבל זוכה בהם עד שיגיעו לידו אע"פ שכתבו וחתמו השטר כהוגן כל שלא נתנוהו לידו לא עשו שליחותן וחוזרים וכותבים אפילו מאה פעמים, אבל בשטרות שאין מחוסרים נתינה כגון שטר שכתוב בו קנין דמשעת קנין שעביד נפשיה כיון שנעשה השטר ונחתם כהוגן עשו עדים שליחותן ושוב אין כותבין ונותנין".</w:t>
      </w:r>
    </w:p>
    <w:p w14:paraId="47CAA4FA" w14:textId="77777777" w:rsidR="001D49D4" w:rsidRPr="001D49D4" w:rsidRDefault="001D49D4" w:rsidP="0004348D">
      <w:pPr>
        <w:spacing w:before="360" w:after="240"/>
        <w:ind w:left="360"/>
        <w:rPr>
          <w:rFonts w:ascii="Arial" w:eastAsia="Calibri" w:hAnsi="Arial" w:cs="Arial"/>
          <w:u w:val="dotted"/>
        </w:rPr>
      </w:pPr>
      <w:r w:rsidRPr="001D49D4">
        <w:rPr>
          <w:rFonts w:ascii="Arial" w:eastAsia="Calibri" w:hAnsi="Arial" w:cs="Arial"/>
          <w:u w:val="dotted"/>
          <w:rtl/>
        </w:rPr>
        <w:t>בשטר מחוסר נתינה</w:t>
      </w:r>
      <w:r w:rsidRPr="001D49D4">
        <w:rPr>
          <w:rFonts w:ascii="Arial" w:eastAsia="Calibri" w:hAnsi="Arial" w:cs="Arial"/>
          <w:u w:val="dotted"/>
          <w:vertAlign w:val="superscript"/>
          <w:rtl/>
        </w:rPr>
        <w:footnoteReference w:id="4085"/>
      </w:r>
      <w:r w:rsidRPr="001D49D4">
        <w:rPr>
          <w:rFonts w:ascii="Arial" w:eastAsia="Calibri" w:hAnsi="Arial" w:cs="Arial"/>
          <w:u w:val="dotted"/>
          <w:rtl/>
        </w:rPr>
        <w:t>- אמר לעדיו 'כתבו ותנו לשליח', והם כתבו וחתמו ונתנו לשליח ונאבד:</w:t>
      </w:r>
    </w:p>
    <w:p w14:paraId="4427F0DF" w14:textId="77777777" w:rsidR="001D49D4" w:rsidRPr="001D49D4" w:rsidRDefault="001D49D4" w:rsidP="0004348D">
      <w:pPr>
        <w:numPr>
          <w:ilvl w:val="0"/>
          <w:numId w:val="300"/>
        </w:numPr>
        <w:spacing w:before="360" w:after="240"/>
        <w:contextualSpacing/>
        <w:rPr>
          <w:rFonts w:ascii="Arial" w:hAnsi="Arial"/>
          <w:rtl/>
        </w:rPr>
      </w:pPr>
      <w:r w:rsidRPr="001D49D4">
        <w:rPr>
          <w:rFonts w:ascii="Arial" w:hAnsi="Arial"/>
          <w:rtl/>
        </w:rPr>
        <w:t>רשב"א</w:t>
      </w:r>
      <w:r w:rsidRPr="001D49D4">
        <w:rPr>
          <w:rFonts w:ascii="Arial" w:hAnsi="Arial"/>
          <w:vertAlign w:val="superscript"/>
          <w:rtl/>
        </w:rPr>
        <w:footnoteReference w:id="4086"/>
      </w:r>
      <w:r w:rsidRPr="001D49D4">
        <w:rPr>
          <w:rFonts w:ascii="Arial" w:hAnsi="Arial"/>
          <w:rtl/>
        </w:rPr>
        <w:t xml:space="preserve"> ר"ן (הה"מ</w:t>
      </w:r>
      <w:r w:rsidRPr="001D49D4">
        <w:rPr>
          <w:rFonts w:ascii="Arial" w:hAnsi="Arial"/>
          <w:sz w:val="14"/>
          <w:szCs w:val="14"/>
          <w:rtl/>
        </w:rPr>
        <w:t xml:space="preserve"> </w:t>
      </w:r>
      <w:r w:rsidRPr="001D49D4">
        <w:rPr>
          <w:rFonts w:ascii="Arial" w:hAnsi="Arial"/>
          <w:sz w:val="16"/>
          <w:szCs w:val="16"/>
          <w:rtl/>
        </w:rPr>
        <w:t>להב' הדרכ"מ</w:t>
      </w:r>
      <w:r w:rsidRPr="001D49D4">
        <w:rPr>
          <w:rFonts w:ascii="Arial" w:hAnsi="Arial"/>
          <w:rtl/>
        </w:rPr>
        <w:t>) וב"י</w:t>
      </w:r>
      <w:r w:rsidRPr="001D49D4">
        <w:rPr>
          <w:rFonts w:ascii="Arial" w:hAnsi="Arial"/>
          <w:vertAlign w:val="superscript"/>
          <w:rtl/>
        </w:rPr>
        <w:footnoteReference w:id="4087"/>
      </w:r>
      <w:r w:rsidRPr="001D49D4">
        <w:rPr>
          <w:rFonts w:ascii="Arial" w:hAnsi="Arial"/>
          <w:rtl/>
        </w:rPr>
        <w:t>- איכא לספוקי אם חוזרים וכותבים, דהא גבי גט אסיקנא התם</w:t>
      </w:r>
      <w:r w:rsidRPr="001D49D4">
        <w:rPr>
          <w:rFonts w:ascii="Arial" w:hAnsi="Arial"/>
          <w:vertAlign w:val="superscript"/>
          <w:rtl/>
        </w:rPr>
        <w:footnoteReference w:id="4088"/>
      </w:r>
      <w:r w:rsidRPr="001D49D4">
        <w:rPr>
          <w:rFonts w:ascii="Arial" w:hAnsi="Arial"/>
          <w:rtl/>
        </w:rPr>
        <w:t xml:space="preserve"> בתיקו</w:t>
      </w:r>
      <w:r w:rsidRPr="001D49D4">
        <w:rPr>
          <w:rFonts w:ascii="Arial" w:hAnsi="Arial"/>
          <w:vertAlign w:val="superscript"/>
          <w:rtl/>
        </w:rPr>
        <w:footnoteReference w:id="4089"/>
      </w:r>
      <w:r w:rsidRPr="001D49D4">
        <w:rPr>
          <w:rFonts w:ascii="Arial" w:hAnsi="Arial"/>
          <w:rtl/>
        </w:rPr>
        <w:t xml:space="preserve">, אבל בשטר </w:t>
      </w:r>
      <w:r w:rsidRPr="001D49D4">
        <w:rPr>
          <w:rFonts w:ascii="Arial" w:hAnsi="Arial"/>
          <w:b/>
          <w:bCs/>
          <w:rtl/>
        </w:rPr>
        <w:t>שאינו</w:t>
      </w:r>
      <w:r w:rsidRPr="001D49D4">
        <w:rPr>
          <w:rFonts w:ascii="Arial" w:hAnsi="Arial"/>
          <w:rtl/>
        </w:rPr>
        <w:t xml:space="preserve"> מחוסר נתינה</w:t>
      </w:r>
      <w:r w:rsidRPr="001D49D4">
        <w:rPr>
          <w:rFonts w:ascii="Arial" w:hAnsi="Arial"/>
          <w:vertAlign w:val="superscript"/>
          <w:rtl/>
        </w:rPr>
        <w:footnoteReference w:id="4090"/>
      </w:r>
      <w:r w:rsidRPr="001D49D4">
        <w:rPr>
          <w:rFonts w:ascii="Arial" w:hAnsi="Arial"/>
          <w:rtl/>
        </w:rPr>
        <w:t xml:space="preserve"> אמרינן עשו עדים שליחותן. (וכ"פ ש"ך</w:t>
      </w:r>
      <w:r w:rsidRPr="001D49D4">
        <w:rPr>
          <w:rFonts w:ascii="Arial" w:hAnsi="Arial"/>
          <w:sz w:val="18"/>
          <w:szCs w:val="18"/>
          <w:rtl/>
        </w:rPr>
        <w:t xml:space="preserve"> </w:t>
      </w:r>
      <w:r w:rsidRPr="001D49D4">
        <w:rPr>
          <w:rFonts w:ascii="Arial" w:hAnsi="Arial"/>
          <w:sz w:val="16"/>
          <w:szCs w:val="16"/>
          <w:rtl/>
        </w:rPr>
        <w:t xml:space="preserve">[סק"ט] </w:t>
      </w:r>
      <w:r w:rsidRPr="001D49D4">
        <w:rPr>
          <w:rFonts w:ascii="Arial" w:hAnsi="Arial"/>
          <w:rtl/>
        </w:rPr>
        <w:t xml:space="preserve">ואורים </w:t>
      </w:r>
      <w:r w:rsidRPr="001D49D4">
        <w:rPr>
          <w:rFonts w:ascii="Arial" w:hAnsi="Arial"/>
          <w:sz w:val="16"/>
          <w:szCs w:val="16"/>
          <w:rtl/>
        </w:rPr>
        <w:t>[סקי"ד]</w:t>
      </w:r>
      <w:r w:rsidRPr="001D49D4">
        <w:rPr>
          <w:rFonts w:ascii="Arial" w:hAnsi="Arial"/>
          <w:rtl/>
        </w:rPr>
        <w:t xml:space="preserve">) </w:t>
      </w:r>
    </w:p>
    <w:p w14:paraId="4B5083FC" w14:textId="77777777" w:rsidR="001D49D4" w:rsidRPr="001D49D4" w:rsidRDefault="001D49D4" w:rsidP="0004348D">
      <w:pPr>
        <w:numPr>
          <w:ilvl w:val="0"/>
          <w:numId w:val="300"/>
        </w:numPr>
        <w:spacing w:before="360" w:after="240"/>
        <w:contextualSpacing/>
        <w:rPr>
          <w:rFonts w:ascii="Arial" w:hAnsi="Arial"/>
        </w:rPr>
      </w:pPr>
      <w:r w:rsidRPr="001D49D4">
        <w:rPr>
          <w:rFonts w:ascii="Arial" w:hAnsi="Arial"/>
          <w:rtl/>
        </w:rPr>
        <w:t xml:space="preserve">(רשב"א </w:t>
      </w:r>
      <w:r w:rsidRPr="001D49D4">
        <w:rPr>
          <w:rFonts w:ascii="Arial" w:hAnsi="Arial"/>
          <w:sz w:val="16"/>
          <w:szCs w:val="16"/>
          <w:rtl/>
        </w:rPr>
        <w:t>להב' רמ"א סמ"ע ועו"ש</w:t>
      </w:r>
      <w:r w:rsidRPr="001D49D4">
        <w:rPr>
          <w:rFonts w:ascii="Arial" w:hAnsi="Arial"/>
          <w:rtl/>
        </w:rPr>
        <w:t>)- אין שייך בשטרות כלל לומר כבר עשו עדים שליחותן, אלא רק בגט אמרינן כן.</w:t>
      </w:r>
    </w:p>
    <w:p w14:paraId="6AE446BE" w14:textId="77777777" w:rsidR="001D49D4" w:rsidRPr="001D49D4" w:rsidRDefault="001D49D4" w:rsidP="0004348D">
      <w:pPr>
        <w:spacing w:before="360" w:after="240"/>
        <w:jc w:val="both"/>
        <w:rPr>
          <w:rFonts w:ascii="Arial" w:eastAsia="Calibri" w:hAnsi="Arial" w:cs="Arial"/>
          <w:rtl/>
        </w:rPr>
      </w:pPr>
      <w:r w:rsidRPr="001D49D4">
        <w:rPr>
          <w:rFonts w:ascii="Arial" w:eastAsia="Calibri" w:hAnsi="Arial" w:cs="Arial"/>
          <w:b/>
          <w:bCs/>
          <w:sz w:val="32"/>
          <w:szCs w:val="28"/>
          <w:u w:val="single"/>
          <w:rtl/>
        </w:rPr>
        <w:t xml:space="preserve">שו"ע: </w:t>
      </w:r>
    </w:p>
    <w:p w14:paraId="527ACBF3" w14:textId="77777777" w:rsidR="001D49D4" w:rsidRPr="001D49D4" w:rsidRDefault="001D49D4" w:rsidP="0004348D">
      <w:pPr>
        <w:spacing w:before="360" w:after="240"/>
        <w:rPr>
          <w:rFonts w:ascii="Arial" w:eastAsia="Calibri" w:hAnsi="Arial" w:cs="Arial"/>
          <w:rtl/>
        </w:rPr>
      </w:pPr>
      <w:r w:rsidRPr="001D49D4">
        <w:rPr>
          <w:rFonts w:ascii="Arial" w:eastAsia="Calibri" w:hAnsi="Arial" w:cs="Arial"/>
          <w:rtl/>
        </w:rPr>
        <w:t>מי שהוחזק שם כינויו בעיר וכתבו עליו שטר ואחר כך נודע שהיה לו כינוי אחר או שטעו בשם</w:t>
      </w:r>
      <w:r w:rsidRPr="001D49D4">
        <w:rPr>
          <w:rFonts w:ascii="Arial" w:eastAsia="Calibri" w:hAnsi="Arial" w:cs="Arial"/>
          <w:vertAlign w:val="superscript"/>
          <w:rtl/>
        </w:rPr>
        <w:footnoteReference w:id="4091"/>
      </w:r>
      <w:r w:rsidRPr="001D49D4">
        <w:rPr>
          <w:rFonts w:ascii="Arial" w:eastAsia="Calibri" w:hAnsi="Arial" w:cs="Arial"/>
          <w:rtl/>
        </w:rPr>
        <w:t xml:space="preserve"> הלוה או המלוה וכתבו ראובן במקום שמעון או שטעו בסכום המעות יכתבו שטר אחר </w:t>
      </w:r>
      <w:r w:rsidRPr="001D49D4">
        <w:rPr>
          <w:rFonts w:ascii="Arial" w:eastAsia="Calibri" w:hAnsi="Arial" w:cs="Arial"/>
          <w:sz w:val="18"/>
          <w:szCs w:val="18"/>
          <w:rtl/>
        </w:rPr>
        <w:t>[הגה] והוא הדין בשאר טעות</w:t>
      </w:r>
      <w:r w:rsidRPr="001D49D4">
        <w:rPr>
          <w:rFonts w:ascii="Arial" w:eastAsia="Calibri" w:hAnsi="Arial" w:cs="Arial"/>
          <w:sz w:val="18"/>
          <w:szCs w:val="18"/>
          <w:vertAlign w:val="superscript"/>
          <w:rtl/>
        </w:rPr>
        <w:footnoteReference w:id="4092"/>
      </w:r>
      <w:r w:rsidRPr="001D49D4">
        <w:rPr>
          <w:rFonts w:ascii="Arial" w:eastAsia="Calibri" w:hAnsi="Arial" w:cs="Arial"/>
          <w:sz w:val="18"/>
          <w:szCs w:val="18"/>
          <w:rtl/>
        </w:rPr>
        <w:t>,</w:t>
      </w:r>
      <w:r w:rsidRPr="001D49D4">
        <w:rPr>
          <w:rFonts w:ascii="Arial" w:eastAsia="Calibri" w:hAnsi="Arial" w:cs="Arial"/>
          <w:rtl/>
        </w:rPr>
        <w:t xml:space="preserve"> ולא אמרינן כבר עשו עדים שליחותם. </w:t>
      </w:r>
      <w:r w:rsidRPr="001D49D4">
        <w:rPr>
          <w:rFonts w:ascii="Arial" w:eastAsia="Calibri" w:hAnsi="Arial" w:cs="Arial"/>
          <w:sz w:val="18"/>
          <w:szCs w:val="18"/>
          <w:rtl/>
        </w:rPr>
        <w:t>[הגה] וי"א דאפילו כתבו שטר כשר לא שייך בשטרות לומר עשו שליחותן כל זמן שלא נכתב בו קנין ומחוסר עדיין נתינה לבעליו</w:t>
      </w:r>
      <w:r w:rsidRPr="001D49D4">
        <w:rPr>
          <w:rFonts w:ascii="Arial" w:eastAsia="Calibri" w:hAnsi="Arial" w:cs="Arial"/>
          <w:sz w:val="18"/>
          <w:szCs w:val="18"/>
          <w:vertAlign w:val="superscript"/>
          <w:rtl/>
        </w:rPr>
        <w:footnoteReference w:id="4093"/>
      </w:r>
      <w:r w:rsidRPr="001D49D4">
        <w:rPr>
          <w:rFonts w:ascii="Arial" w:eastAsia="Calibri" w:hAnsi="Arial" w:cs="Arial"/>
          <w:sz w:val="18"/>
          <w:szCs w:val="18"/>
          <w:rtl/>
        </w:rPr>
        <w:t xml:space="preserve"> </w:t>
      </w:r>
      <w:r w:rsidRPr="001D49D4">
        <w:rPr>
          <w:rFonts w:ascii="Arial" w:eastAsia="Calibri" w:hAnsi="Arial" w:cs="Arial"/>
          <w:sz w:val="16"/>
          <w:szCs w:val="16"/>
          <w:rtl/>
        </w:rPr>
        <w:t>(ר"ן פרק המקבל)</w:t>
      </w:r>
      <w:r w:rsidRPr="001D49D4">
        <w:rPr>
          <w:rFonts w:ascii="Arial" w:eastAsia="Calibri" w:hAnsi="Arial" w:cs="Arial"/>
          <w:sz w:val="18"/>
          <w:szCs w:val="18"/>
          <w:rtl/>
        </w:rPr>
        <w:t>. וי"א דאין שייך בשטרות כלל לומר כבר עשו עדים שליחותן</w:t>
      </w:r>
      <w:r w:rsidRPr="001D49D4">
        <w:rPr>
          <w:rFonts w:ascii="Arial" w:eastAsia="Calibri" w:hAnsi="Arial" w:cs="Arial"/>
          <w:sz w:val="18"/>
          <w:szCs w:val="18"/>
          <w:vertAlign w:val="superscript"/>
          <w:rtl/>
        </w:rPr>
        <w:footnoteReference w:id="4094"/>
      </w:r>
      <w:r w:rsidRPr="001D49D4">
        <w:rPr>
          <w:rFonts w:ascii="Arial" w:eastAsia="Calibri" w:hAnsi="Arial" w:cs="Arial"/>
          <w:rtl/>
        </w:rPr>
        <w:t>, ויש מי שאומר</w:t>
      </w:r>
      <w:r w:rsidRPr="001D49D4">
        <w:rPr>
          <w:rFonts w:ascii="Arial" w:eastAsia="Calibri" w:hAnsi="Arial" w:cs="Arial"/>
          <w:vertAlign w:val="superscript"/>
          <w:rtl/>
        </w:rPr>
        <w:footnoteReference w:id="4095"/>
      </w:r>
      <w:r w:rsidRPr="001D49D4">
        <w:rPr>
          <w:rFonts w:ascii="Arial" w:eastAsia="Calibri" w:hAnsi="Arial" w:cs="Arial"/>
          <w:rtl/>
        </w:rPr>
        <w:t xml:space="preserve"> שאפילו אם לא כתבו אחר, אם יתברר הדבר שהוא טעות סופר, כשר. </w:t>
      </w:r>
    </w:p>
    <w:p w14:paraId="4BEF1CE4" w14:textId="77777777" w:rsidR="001D49D4" w:rsidRPr="001D49D4" w:rsidRDefault="001D49D4" w:rsidP="0004348D">
      <w:pPr>
        <w:spacing w:before="360" w:after="240"/>
        <w:rPr>
          <w:rFonts w:ascii="Arial" w:eastAsia="Calibri" w:hAnsi="Arial" w:cs="Arial"/>
          <w:rtl/>
        </w:rPr>
      </w:pPr>
    </w:p>
    <w:p w14:paraId="2F343B15" w14:textId="77777777" w:rsidR="001D49D4" w:rsidRPr="001D49D4" w:rsidRDefault="001D49D4" w:rsidP="0004348D">
      <w:pPr>
        <w:keepNext/>
        <w:keepLines/>
        <w:spacing w:before="360" w:after="240"/>
        <w:outlineLvl w:val="1"/>
        <w:rPr>
          <w:rFonts w:ascii="Arial" w:eastAsia="Times New Roman" w:hAnsi="Arial" w:cs="Arial"/>
          <w:bCs/>
          <w:color w:val="548DD4" w:themeColor="text2" w:themeTint="99"/>
          <w:sz w:val="26"/>
          <w:szCs w:val="26"/>
          <w:rtl/>
        </w:rPr>
      </w:pPr>
      <w:bookmarkStart w:id="557" w:name="_Toc24883985"/>
      <w:r w:rsidRPr="001D49D4">
        <w:rPr>
          <w:rFonts w:ascii="Arial" w:eastAsia="Times New Roman" w:hAnsi="Arial" w:cs="Arial"/>
          <w:bCs/>
          <w:color w:val="548DD4" w:themeColor="text2" w:themeTint="99"/>
          <w:sz w:val="26"/>
          <w:szCs w:val="26"/>
          <w:rtl/>
        </w:rPr>
        <w:t>סעיף ז: שנים בעיר אחת או בשני עיירות ששמם זהה.</w:t>
      </w:r>
      <w:bookmarkEnd w:id="557"/>
    </w:p>
    <w:p w14:paraId="01CB6FD2" w14:textId="77777777" w:rsidR="001D49D4" w:rsidRPr="001D49D4" w:rsidRDefault="001D49D4" w:rsidP="0004348D">
      <w:pPr>
        <w:spacing w:before="360" w:after="240"/>
        <w:rPr>
          <w:rFonts w:ascii="Arial" w:eastAsia="Calibri" w:hAnsi="Arial" w:cs="Arial"/>
          <w:rtl/>
        </w:rPr>
      </w:pPr>
      <w:r w:rsidRPr="001D49D4">
        <w:rPr>
          <w:rFonts w:ascii="Arial" w:eastAsia="Calibri" w:hAnsi="Arial" w:cs="Arial"/>
          <w:b/>
          <w:bCs/>
          <w:rtl/>
        </w:rPr>
        <w:t>בבא בתרא קעב</w:t>
      </w:r>
      <w:r w:rsidRPr="001D49D4">
        <w:rPr>
          <w:rFonts w:ascii="Arial" w:eastAsia="Calibri" w:hAnsi="Arial" w:cs="Arial"/>
          <w:vertAlign w:val="superscript"/>
          <w:rtl/>
        </w:rPr>
        <w:footnoteReference w:id="4096"/>
      </w:r>
      <w:r w:rsidRPr="001D49D4">
        <w:rPr>
          <w:rFonts w:ascii="Arial" w:eastAsia="Calibri" w:hAnsi="Arial" w:cs="Arial"/>
          <w:b/>
          <w:bCs/>
          <w:rtl/>
        </w:rPr>
        <w:t xml:space="preserve"> ע"א: </w:t>
      </w:r>
      <w:r w:rsidRPr="001D49D4">
        <w:rPr>
          <w:rFonts w:ascii="Arial" w:eastAsia="Calibri" w:hAnsi="Arial" w:cs="Arial"/>
          <w:u w:val="double"/>
          <w:rtl/>
        </w:rPr>
        <w:t>מתני':</w:t>
      </w:r>
      <w:r w:rsidRPr="001D49D4">
        <w:rPr>
          <w:rFonts w:ascii="Arial" w:eastAsia="Calibri" w:hAnsi="Arial" w:cs="Arial"/>
          <w:rtl/>
        </w:rPr>
        <w:t xml:space="preserve"> שנים שהיו בעיר אחת, שם אחד יוסף בן שמעון, ושם אחר יוסף בן שמעון - אין יכולין להוציא שטר חוב זה על זה</w:t>
      </w:r>
      <w:r w:rsidRPr="001D49D4">
        <w:rPr>
          <w:rFonts w:ascii="Arial" w:eastAsia="Calibri" w:hAnsi="Arial" w:cs="Arial"/>
          <w:vertAlign w:val="superscript"/>
          <w:rtl/>
        </w:rPr>
        <w:footnoteReference w:id="4097"/>
      </w:r>
      <w:r w:rsidRPr="001D49D4">
        <w:rPr>
          <w:rFonts w:ascii="Arial" w:eastAsia="Calibri" w:hAnsi="Arial" w:cs="Arial"/>
          <w:rtl/>
        </w:rPr>
        <w:t>, ולא אחר יכול להוציא</w:t>
      </w:r>
      <w:r w:rsidRPr="001D49D4">
        <w:rPr>
          <w:rFonts w:ascii="Arial" w:eastAsia="Calibri" w:hAnsi="Arial" w:cs="Arial"/>
          <w:vertAlign w:val="superscript"/>
          <w:rtl/>
        </w:rPr>
        <w:footnoteReference w:id="4098"/>
      </w:r>
      <w:r w:rsidRPr="001D49D4">
        <w:rPr>
          <w:rFonts w:ascii="Arial" w:eastAsia="Calibri" w:hAnsi="Arial" w:cs="Arial"/>
          <w:rtl/>
        </w:rPr>
        <w:t xml:space="preserve"> עליהן שטר חוב. נמצא לאחד בין שטרותיו שטרו של יוסף בן שמעון פרוע- שטרות שניהן פרועין. כיצד יעשו</w:t>
      </w:r>
      <w:r w:rsidRPr="001D49D4">
        <w:rPr>
          <w:rFonts w:ascii="Arial" w:eastAsia="Calibri" w:hAnsi="Arial" w:cs="Arial"/>
          <w:vertAlign w:val="superscript"/>
          <w:rtl/>
        </w:rPr>
        <w:footnoteReference w:id="4099"/>
      </w:r>
      <w:r w:rsidRPr="001D49D4">
        <w:rPr>
          <w:rFonts w:ascii="Arial" w:eastAsia="Calibri" w:hAnsi="Arial" w:cs="Arial"/>
          <w:rtl/>
        </w:rPr>
        <w:t>? ישלשו</w:t>
      </w:r>
      <w:r w:rsidRPr="001D49D4">
        <w:rPr>
          <w:rFonts w:ascii="Arial" w:eastAsia="Calibri" w:hAnsi="Arial" w:cs="Arial"/>
          <w:vertAlign w:val="superscript"/>
          <w:rtl/>
        </w:rPr>
        <w:footnoteReference w:id="4100"/>
      </w:r>
      <w:r w:rsidRPr="001D49D4">
        <w:rPr>
          <w:rFonts w:ascii="Arial" w:eastAsia="Calibri" w:hAnsi="Arial" w:cs="Arial"/>
          <w:rtl/>
        </w:rPr>
        <w:t>, ואם היו משולשין</w:t>
      </w:r>
      <w:r w:rsidRPr="001D49D4">
        <w:rPr>
          <w:rFonts w:ascii="Arial" w:eastAsia="Calibri" w:hAnsi="Arial" w:cs="Arial"/>
          <w:vertAlign w:val="superscript"/>
          <w:rtl/>
        </w:rPr>
        <w:footnoteReference w:id="4101"/>
      </w:r>
      <w:r w:rsidRPr="001D49D4">
        <w:rPr>
          <w:rFonts w:ascii="Arial" w:eastAsia="Calibri" w:hAnsi="Arial" w:cs="Arial"/>
          <w:rtl/>
        </w:rPr>
        <w:t>, יכתבו סימן</w:t>
      </w:r>
      <w:r w:rsidRPr="001D49D4">
        <w:rPr>
          <w:rFonts w:ascii="Arial" w:eastAsia="Calibri" w:hAnsi="Arial" w:cs="Arial"/>
          <w:vertAlign w:val="superscript"/>
          <w:rtl/>
        </w:rPr>
        <w:footnoteReference w:id="4102"/>
      </w:r>
      <w:r w:rsidRPr="001D49D4">
        <w:rPr>
          <w:rFonts w:ascii="Arial" w:eastAsia="Calibri" w:hAnsi="Arial" w:cs="Arial"/>
          <w:rtl/>
        </w:rPr>
        <w:t>, ואם היו מסומנין</w:t>
      </w:r>
      <w:r w:rsidRPr="001D49D4">
        <w:rPr>
          <w:rFonts w:ascii="Arial" w:eastAsia="Calibri" w:hAnsi="Arial" w:cs="Arial"/>
          <w:vertAlign w:val="superscript"/>
          <w:rtl/>
        </w:rPr>
        <w:footnoteReference w:id="4103"/>
      </w:r>
      <w:r w:rsidRPr="001D49D4">
        <w:rPr>
          <w:rFonts w:ascii="Arial" w:eastAsia="Calibri" w:hAnsi="Arial" w:cs="Arial"/>
          <w:rtl/>
        </w:rPr>
        <w:t xml:space="preserve"> יכתבו כהן</w:t>
      </w:r>
      <w:r w:rsidRPr="001D49D4">
        <w:rPr>
          <w:rFonts w:ascii="Arial" w:eastAsia="Calibri" w:hAnsi="Arial" w:cs="Arial"/>
          <w:vertAlign w:val="superscript"/>
          <w:rtl/>
        </w:rPr>
        <w:footnoteReference w:id="4104"/>
      </w:r>
      <w:r w:rsidRPr="001D49D4">
        <w:rPr>
          <w:rFonts w:ascii="Arial" w:eastAsia="Calibri" w:hAnsi="Arial" w:cs="Arial"/>
          <w:rtl/>
        </w:rPr>
        <w:t xml:space="preserve">.     </w:t>
      </w:r>
      <w:r w:rsidRPr="001D49D4">
        <w:rPr>
          <w:rFonts w:ascii="Arial" w:eastAsia="Calibri" w:hAnsi="Arial" w:cs="Arial"/>
          <w:u w:val="double"/>
          <w:rtl/>
        </w:rPr>
        <w:t xml:space="preserve">גמ' </w:t>
      </w:r>
      <w:r w:rsidRPr="001D49D4">
        <w:rPr>
          <w:rFonts w:ascii="Arial" w:eastAsia="Calibri" w:hAnsi="Arial" w:cs="Arial"/>
          <w:sz w:val="14"/>
          <w:szCs w:val="14"/>
          <w:u w:val="double"/>
          <w:rtl/>
        </w:rPr>
        <w:t>(קעב:)</w:t>
      </w:r>
      <w:r w:rsidRPr="001D49D4">
        <w:rPr>
          <w:rFonts w:ascii="Arial" w:eastAsia="Calibri" w:hAnsi="Arial" w:cs="Arial"/>
          <w:u w:val="double"/>
          <w:rtl/>
        </w:rPr>
        <w:t>:</w:t>
      </w:r>
      <w:r w:rsidRPr="001D49D4">
        <w:rPr>
          <w:rFonts w:ascii="Arial" w:eastAsia="Calibri" w:hAnsi="Arial" w:cs="Arial"/>
          <w:rtl/>
        </w:rPr>
        <w:t xml:space="preserve"> </w:t>
      </w:r>
      <w:r w:rsidRPr="001D49D4">
        <w:rPr>
          <w:rFonts w:ascii="Arial" w:eastAsia="Calibri" w:hAnsi="Arial" w:cs="Arial"/>
          <w:u w:val="single"/>
          <w:rtl/>
        </w:rPr>
        <w:t>אמר ליה</w:t>
      </w:r>
      <w:r w:rsidRPr="001D49D4">
        <w:rPr>
          <w:rFonts w:ascii="Arial" w:eastAsia="Calibri" w:hAnsi="Arial" w:cs="Arial"/>
          <w:vertAlign w:val="superscript"/>
          <w:rtl/>
        </w:rPr>
        <w:footnoteReference w:id="4105"/>
      </w:r>
      <w:r w:rsidRPr="001D49D4">
        <w:rPr>
          <w:rFonts w:ascii="Arial" w:eastAsia="Calibri" w:hAnsi="Arial" w:cs="Arial"/>
          <w:rtl/>
        </w:rPr>
        <w:t>: לנפילה</w:t>
      </w:r>
      <w:r w:rsidRPr="001D49D4">
        <w:rPr>
          <w:rFonts w:ascii="Arial" w:eastAsia="Calibri" w:hAnsi="Arial" w:cs="Arial"/>
          <w:vertAlign w:val="superscript"/>
          <w:rtl/>
        </w:rPr>
        <w:footnoteReference w:id="4106"/>
      </w:r>
      <w:r w:rsidRPr="001D49D4">
        <w:rPr>
          <w:rFonts w:ascii="Arial" w:eastAsia="Calibri" w:hAnsi="Arial" w:cs="Arial"/>
          <w:rtl/>
        </w:rPr>
        <w:t xml:space="preserve"> לא חיישינן. ומנא תימרא דלא חיישינן לנפילה? דתנן: שנים שהיו בעיר אחת, שם אחד יוסף בן שמעון ושם אחר יוסף בן שמעון אינן יכולין להוציא שטר חוב זה על זה, ולא אחר יוכל להוציא עליהן שטר חוב. הא הם על אחרים יכולין, ואמאי? ליחוש לנפילה! אלא לאו, שמע מינה: לנפילה לא חיישינן....  </w:t>
      </w:r>
      <w:r w:rsidRPr="001D49D4">
        <w:rPr>
          <w:rFonts w:ascii="Arial" w:eastAsia="Calibri" w:hAnsi="Arial" w:cs="Arial"/>
          <w:sz w:val="16"/>
          <w:szCs w:val="16"/>
          <w:u w:val="double"/>
          <w:rtl/>
        </w:rPr>
        <w:t xml:space="preserve"> (קעג.)</w:t>
      </w:r>
      <w:r w:rsidRPr="001D49D4">
        <w:rPr>
          <w:rFonts w:ascii="Arial" w:eastAsia="Calibri" w:hAnsi="Arial" w:cs="Arial"/>
          <w:rtl/>
        </w:rPr>
        <w:t xml:space="preserve"> ואלא הא דתניא: כשם שמוציאין הן שטר חוב על אחרים כך מוציאין זה על זה, במאי קמיפלגי? בכותבין שטר ללוה ואף על פי שאין מלוה עמו קמיפלגי, תנא דידן סבר: כותבין שטר ללוה ואף על פי שאין מלוה עמו, זימנין דאזיל לגבי ספרא וסהדי ואמר להו כתבו לי שטרא</w:t>
      </w:r>
      <w:r w:rsidRPr="001D49D4">
        <w:rPr>
          <w:rFonts w:ascii="Arial" w:eastAsia="Calibri" w:hAnsi="Arial" w:cs="Arial"/>
          <w:vertAlign w:val="superscript"/>
          <w:rtl/>
        </w:rPr>
        <w:footnoteReference w:id="4107"/>
      </w:r>
      <w:r w:rsidRPr="001D49D4">
        <w:rPr>
          <w:rFonts w:ascii="Arial" w:eastAsia="Calibri" w:hAnsi="Arial" w:cs="Arial"/>
          <w:rtl/>
        </w:rPr>
        <w:t xml:space="preserve"> דבעינן למיזף מיוסף בן שמעון חברי, ובתר דכתבי וחתמי ליה נקיטא ליה ואמר ליה הב לי מאה דיזפת מינאי, תנא ברא סבר: אין כותבין שטר ללוה עד שיהא מלוה עמו</w:t>
      </w:r>
      <w:r w:rsidRPr="001D49D4">
        <w:rPr>
          <w:rFonts w:ascii="Arial" w:eastAsia="Calibri" w:hAnsi="Arial" w:cs="Arial"/>
          <w:vertAlign w:val="superscript"/>
          <w:rtl/>
        </w:rPr>
        <w:footnoteReference w:id="4108"/>
      </w:r>
      <w:r w:rsidRPr="001D49D4">
        <w:rPr>
          <w:rFonts w:ascii="Arial" w:eastAsia="Calibri" w:hAnsi="Arial" w:cs="Arial"/>
          <w:rtl/>
        </w:rPr>
        <w:t>.... נמצא לאחד</w:t>
      </w:r>
      <w:r w:rsidRPr="001D49D4">
        <w:rPr>
          <w:rFonts w:ascii="Arial" w:eastAsia="Calibri" w:hAnsi="Arial" w:cs="Arial"/>
          <w:vertAlign w:val="superscript"/>
          <w:rtl/>
        </w:rPr>
        <w:footnoteReference w:id="4109"/>
      </w:r>
      <w:r w:rsidRPr="001D49D4">
        <w:rPr>
          <w:rFonts w:ascii="Arial" w:eastAsia="Calibri" w:hAnsi="Arial" w:cs="Arial"/>
          <w:rtl/>
        </w:rPr>
        <w:t xml:space="preserve"> בין שטרותיו שטרו של יוסף בן שמעון פרוע - שטרות שניהם פרועין וכו'. טעמא דנמצא, הא לא נמצא - מצי מפיק, והאנן ולא אחר יכול להוציא עליהן שטר חוב תנן! </w:t>
      </w:r>
      <w:r w:rsidRPr="001D49D4">
        <w:rPr>
          <w:rFonts w:ascii="Arial" w:eastAsia="Calibri" w:hAnsi="Arial" w:cs="Arial"/>
          <w:u w:val="single"/>
          <w:rtl/>
        </w:rPr>
        <w:t>אמר רבי ירמיה</w:t>
      </w:r>
      <w:r w:rsidRPr="001D49D4">
        <w:rPr>
          <w:rFonts w:ascii="Arial" w:eastAsia="Calibri" w:hAnsi="Arial" w:cs="Arial"/>
          <w:rtl/>
        </w:rPr>
        <w:t>: במשולשין</w:t>
      </w:r>
      <w:r w:rsidRPr="001D49D4">
        <w:rPr>
          <w:rFonts w:ascii="Arial" w:eastAsia="Calibri" w:hAnsi="Arial" w:cs="Arial"/>
          <w:vertAlign w:val="superscript"/>
          <w:rtl/>
        </w:rPr>
        <w:footnoteReference w:id="4110"/>
      </w:r>
      <w:r w:rsidRPr="001D49D4">
        <w:rPr>
          <w:rFonts w:ascii="Arial" w:eastAsia="Calibri" w:hAnsi="Arial" w:cs="Arial"/>
          <w:rtl/>
        </w:rPr>
        <w:t xml:space="preserve">. ונחזי תברא בשמא דמאן דכתיב! </w:t>
      </w:r>
      <w:r w:rsidRPr="001D49D4">
        <w:rPr>
          <w:rFonts w:ascii="Arial" w:eastAsia="Calibri" w:hAnsi="Arial" w:cs="Arial"/>
          <w:u w:val="single"/>
          <w:rtl/>
        </w:rPr>
        <w:t>אמר רב הושעיא:</w:t>
      </w:r>
      <w:r w:rsidRPr="001D49D4">
        <w:rPr>
          <w:rFonts w:ascii="Arial" w:eastAsia="Calibri" w:hAnsi="Arial" w:cs="Arial"/>
          <w:rtl/>
        </w:rPr>
        <w:t xml:space="preserve"> במשולשין בשטר ואין משולשין בשובר. </w:t>
      </w:r>
      <w:r w:rsidRPr="001D49D4">
        <w:rPr>
          <w:rFonts w:ascii="Arial" w:eastAsia="Calibri" w:hAnsi="Arial" w:cs="Arial"/>
          <w:u w:val="single"/>
          <w:rtl/>
        </w:rPr>
        <w:t>אביי אמר</w:t>
      </w:r>
      <w:r w:rsidRPr="001D49D4">
        <w:rPr>
          <w:rFonts w:ascii="Arial" w:eastAsia="Calibri" w:hAnsi="Arial" w:cs="Arial"/>
          <w:vertAlign w:val="superscript"/>
          <w:rtl/>
        </w:rPr>
        <w:footnoteReference w:id="4111"/>
      </w:r>
      <w:r w:rsidRPr="001D49D4">
        <w:rPr>
          <w:rFonts w:ascii="Arial" w:eastAsia="Calibri" w:hAnsi="Arial" w:cs="Arial"/>
          <w:rtl/>
        </w:rPr>
        <w:t>, הכי קאמר: נמצא ללוה בין שטרותיו שטרו של יוסף בן שמעון עלי פרוע - שטרות שניהם פרועין..... כיצד יעשו? ישלשו כו'. תנא: אם היו שניהם</w:t>
      </w:r>
      <w:r w:rsidRPr="001D49D4">
        <w:rPr>
          <w:rFonts w:ascii="Arial" w:eastAsia="Calibri" w:hAnsi="Arial" w:cs="Arial"/>
          <w:vertAlign w:val="superscript"/>
          <w:rtl/>
        </w:rPr>
        <w:footnoteReference w:id="4112"/>
      </w:r>
      <w:r w:rsidRPr="001D49D4">
        <w:rPr>
          <w:rFonts w:ascii="Arial" w:eastAsia="Calibri" w:hAnsi="Arial" w:cs="Arial"/>
          <w:rtl/>
        </w:rPr>
        <w:t xml:space="preserve"> כהנים - יכתבו דורות</w:t>
      </w:r>
      <w:r w:rsidRPr="001D49D4">
        <w:rPr>
          <w:rFonts w:ascii="Arial" w:eastAsia="Calibri" w:hAnsi="Arial" w:cs="Arial"/>
          <w:vertAlign w:val="superscript"/>
          <w:rtl/>
        </w:rPr>
        <w:footnoteReference w:id="4113"/>
      </w:r>
      <w:r w:rsidRPr="001D49D4">
        <w:rPr>
          <w:rFonts w:ascii="Arial" w:eastAsia="Calibri" w:hAnsi="Arial" w:cs="Arial"/>
          <w:rtl/>
        </w:rPr>
        <w:t>.</w:t>
      </w:r>
    </w:p>
    <w:p w14:paraId="748D80EF" w14:textId="77777777" w:rsidR="001D49D4" w:rsidRPr="001D49D4" w:rsidRDefault="001D49D4" w:rsidP="0004348D">
      <w:pPr>
        <w:spacing w:before="360" w:after="240"/>
        <w:rPr>
          <w:rFonts w:ascii="Arial" w:eastAsia="Calibri" w:hAnsi="Arial" w:cs="Arial"/>
          <w:u w:val="single"/>
          <w:rtl/>
        </w:rPr>
      </w:pPr>
      <w:r w:rsidRPr="001D49D4">
        <w:rPr>
          <w:rFonts w:ascii="Arial" w:eastAsia="Calibri" w:hAnsi="Arial" w:cs="Arial"/>
          <w:u w:val="single"/>
          <w:rtl/>
        </w:rPr>
        <w:t>האם צריך לכתוב בשטרי הלואה שם העיר</w:t>
      </w:r>
      <w:r w:rsidRPr="001D49D4">
        <w:rPr>
          <w:rFonts w:ascii="Arial" w:eastAsia="Calibri" w:hAnsi="Arial" w:cs="Arial"/>
          <w:u w:val="single"/>
          <w:vertAlign w:val="superscript"/>
          <w:rtl/>
        </w:rPr>
        <w:footnoteReference w:id="4114"/>
      </w:r>
      <w:r w:rsidRPr="001D49D4">
        <w:rPr>
          <w:rFonts w:ascii="Arial" w:eastAsia="Calibri" w:hAnsi="Arial" w:cs="Arial"/>
          <w:u w:val="single"/>
          <w:rtl/>
        </w:rPr>
        <w:t xml:space="preserve">: </w:t>
      </w:r>
    </w:p>
    <w:p w14:paraId="73985320" w14:textId="77777777" w:rsidR="001D49D4" w:rsidRPr="001D49D4" w:rsidRDefault="001D49D4" w:rsidP="0004348D">
      <w:pPr>
        <w:numPr>
          <w:ilvl w:val="0"/>
          <w:numId w:val="303"/>
        </w:numPr>
        <w:spacing w:before="360" w:after="240"/>
        <w:contextualSpacing/>
        <w:rPr>
          <w:rFonts w:ascii="Arial" w:hAnsi="Arial"/>
          <w:rtl/>
        </w:rPr>
      </w:pPr>
      <w:r w:rsidRPr="001D49D4">
        <w:rPr>
          <w:rFonts w:ascii="Arial" w:hAnsi="Arial"/>
          <w:rtl/>
        </w:rPr>
        <w:t xml:space="preserve">רמב"ן </w:t>
      </w:r>
      <w:r w:rsidRPr="001D49D4">
        <w:rPr>
          <w:rFonts w:ascii="Arial" w:hAnsi="Arial"/>
          <w:sz w:val="16"/>
          <w:szCs w:val="16"/>
          <w:rtl/>
        </w:rPr>
        <w:t xml:space="preserve">(קסז: ד"ה שם) </w:t>
      </w:r>
      <w:r w:rsidRPr="001D49D4">
        <w:rPr>
          <w:rFonts w:ascii="Arial" w:hAnsi="Arial"/>
          <w:rtl/>
        </w:rPr>
        <w:t xml:space="preserve">ורשב"א </w:t>
      </w:r>
      <w:r w:rsidRPr="001D49D4">
        <w:rPr>
          <w:rFonts w:ascii="Arial" w:hAnsi="Arial"/>
          <w:sz w:val="16"/>
          <w:szCs w:val="16"/>
          <w:rtl/>
        </w:rPr>
        <w:t>(שם ד"ה כל)</w:t>
      </w:r>
      <w:r w:rsidRPr="001D49D4">
        <w:rPr>
          <w:rFonts w:ascii="Arial" w:hAnsi="Arial"/>
          <w:rtl/>
        </w:rPr>
        <w:t>- א"צ לכתוב, דאם נחשוש לקנוניא כזו אין לדבר סוף</w:t>
      </w:r>
      <w:r w:rsidRPr="001D49D4">
        <w:rPr>
          <w:rFonts w:ascii="Arial" w:hAnsi="Arial"/>
          <w:vertAlign w:val="superscript"/>
          <w:rtl/>
        </w:rPr>
        <w:footnoteReference w:id="4115"/>
      </w:r>
      <w:r w:rsidRPr="001D49D4">
        <w:rPr>
          <w:rFonts w:ascii="Arial" w:hAnsi="Arial"/>
          <w:rtl/>
        </w:rPr>
        <w:t>.</w:t>
      </w:r>
      <w:r w:rsidRPr="001D49D4">
        <w:rPr>
          <w:rFonts w:ascii="Arial" w:hAnsi="Arial"/>
          <w:color w:val="00B0F0"/>
          <w:rtl/>
        </w:rPr>
        <w:t xml:space="preserve"> (וכ"פ הרמ"א)</w:t>
      </w:r>
    </w:p>
    <w:p w14:paraId="35B9DE99" w14:textId="77777777" w:rsidR="001D49D4" w:rsidRPr="001D49D4" w:rsidRDefault="001D49D4" w:rsidP="0004348D">
      <w:pPr>
        <w:numPr>
          <w:ilvl w:val="0"/>
          <w:numId w:val="303"/>
        </w:numPr>
        <w:spacing w:before="360" w:after="240"/>
        <w:contextualSpacing/>
        <w:rPr>
          <w:rFonts w:ascii="Arial" w:hAnsi="Arial"/>
        </w:rPr>
      </w:pPr>
      <w:r w:rsidRPr="001D49D4">
        <w:rPr>
          <w:rFonts w:ascii="Arial" w:hAnsi="Arial"/>
          <w:rtl/>
        </w:rPr>
        <w:t xml:space="preserve">רבינו ישעיה- "צריך לכתוב שם עיר של הלוה </w:t>
      </w:r>
      <w:r w:rsidRPr="001D49D4">
        <w:rPr>
          <w:rFonts w:ascii="Arial" w:hAnsi="Arial"/>
          <w:vertAlign w:val="superscript"/>
          <w:rtl/>
        </w:rPr>
        <w:footnoteReference w:id="4116"/>
      </w:r>
      <w:r w:rsidRPr="001D49D4">
        <w:rPr>
          <w:rFonts w:ascii="Arial" w:hAnsi="Arial"/>
          <w:rtl/>
        </w:rPr>
        <w:t xml:space="preserve">והמלוה </w:t>
      </w:r>
      <w:r w:rsidRPr="001D49D4">
        <w:rPr>
          <w:rFonts w:ascii="Arial" w:hAnsi="Arial"/>
          <w:sz w:val="16"/>
          <w:szCs w:val="16"/>
          <w:rtl/>
        </w:rPr>
        <w:t>(שמא יעשה קנוניא)</w:t>
      </w:r>
      <w:r w:rsidRPr="001D49D4">
        <w:rPr>
          <w:rFonts w:ascii="Arial" w:hAnsi="Arial"/>
          <w:rtl/>
        </w:rPr>
        <w:t xml:space="preserve">, ואין חילוק בין שטרות לגיטין". </w:t>
      </w:r>
    </w:p>
    <w:p w14:paraId="369D63AE" w14:textId="77777777" w:rsidR="001D49D4" w:rsidRPr="001D49D4" w:rsidRDefault="001D49D4" w:rsidP="0004348D">
      <w:pPr>
        <w:spacing w:before="360" w:after="240"/>
        <w:ind w:left="360"/>
        <w:rPr>
          <w:rFonts w:ascii="Arial" w:eastAsia="Calibri" w:hAnsi="Arial" w:cs="Arial"/>
          <w:u w:val="dotted"/>
        </w:rPr>
      </w:pPr>
      <w:r w:rsidRPr="001D49D4">
        <w:rPr>
          <w:rFonts w:ascii="Arial" w:eastAsia="Calibri" w:hAnsi="Arial" w:cs="Arial"/>
          <w:u w:val="dotted"/>
          <w:rtl/>
        </w:rPr>
        <w:t>לד' רבנו ישעיה - מה הדין אם לא כתב בשטר שם העיר של הלוה והמלוה:</w:t>
      </w:r>
    </w:p>
    <w:p w14:paraId="4F05EAB8" w14:textId="77777777" w:rsidR="001D49D4" w:rsidRPr="001D49D4" w:rsidRDefault="001D49D4" w:rsidP="0004348D">
      <w:pPr>
        <w:numPr>
          <w:ilvl w:val="0"/>
          <w:numId w:val="304"/>
        </w:numPr>
        <w:spacing w:before="360" w:after="240"/>
        <w:contextualSpacing/>
        <w:rPr>
          <w:rFonts w:ascii="Arial" w:hAnsi="Arial"/>
          <w:rtl/>
        </w:rPr>
      </w:pPr>
      <w:r w:rsidRPr="001D49D4">
        <w:rPr>
          <w:rFonts w:ascii="Arial" w:hAnsi="Arial"/>
          <w:rtl/>
        </w:rPr>
        <w:t>ב"י- כשר בדיעבד</w:t>
      </w:r>
      <w:r w:rsidRPr="001D49D4">
        <w:rPr>
          <w:rFonts w:ascii="Arial" w:hAnsi="Arial"/>
          <w:vertAlign w:val="superscript"/>
          <w:rtl/>
        </w:rPr>
        <w:footnoteReference w:id="4117"/>
      </w:r>
      <w:r w:rsidRPr="001D49D4">
        <w:rPr>
          <w:rFonts w:ascii="Arial" w:hAnsi="Arial"/>
          <w:rtl/>
        </w:rPr>
        <w:t>, אבל מ"מ אי טעין לאו אנא הוא אלא יוסף בן שמעון שבמקום פלוני טענתיה טענה.</w:t>
      </w:r>
    </w:p>
    <w:p w14:paraId="310A6CE3" w14:textId="77777777" w:rsidR="001D49D4" w:rsidRPr="001D49D4" w:rsidRDefault="001D49D4" w:rsidP="0004348D">
      <w:pPr>
        <w:numPr>
          <w:ilvl w:val="0"/>
          <w:numId w:val="304"/>
        </w:numPr>
        <w:spacing w:before="360" w:after="240"/>
        <w:contextualSpacing/>
        <w:rPr>
          <w:rFonts w:ascii="Arial" w:hAnsi="Arial"/>
        </w:rPr>
      </w:pPr>
      <w:r w:rsidRPr="001D49D4">
        <w:rPr>
          <w:rFonts w:ascii="Arial" w:hAnsi="Arial"/>
          <w:rtl/>
        </w:rPr>
        <w:t>(טור</w:t>
      </w:r>
      <w:r w:rsidRPr="001D49D4">
        <w:rPr>
          <w:rFonts w:ascii="Arial" w:hAnsi="Arial"/>
          <w:sz w:val="16"/>
          <w:szCs w:val="16"/>
          <w:rtl/>
        </w:rPr>
        <w:t xml:space="preserve"> להב' הב"ח</w:t>
      </w:r>
      <w:r w:rsidRPr="001D49D4">
        <w:rPr>
          <w:rFonts w:ascii="Arial" w:hAnsi="Arial"/>
          <w:rtl/>
        </w:rPr>
        <w:t>) דרישה וש"ך</w:t>
      </w:r>
      <w:r w:rsidRPr="001D49D4">
        <w:rPr>
          <w:rFonts w:ascii="Arial" w:hAnsi="Arial"/>
          <w:sz w:val="16"/>
          <w:szCs w:val="16"/>
          <w:rtl/>
        </w:rPr>
        <w:t xml:space="preserve"> (סקי"ג)</w:t>
      </w:r>
      <w:r w:rsidRPr="001D49D4">
        <w:rPr>
          <w:rFonts w:ascii="Arial" w:hAnsi="Arial"/>
          <w:rtl/>
        </w:rPr>
        <w:t>- פסול אף בדיעבד</w:t>
      </w:r>
      <w:r w:rsidRPr="001D49D4">
        <w:rPr>
          <w:rFonts w:ascii="Arial" w:hAnsi="Arial"/>
          <w:vertAlign w:val="superscript"/>
          <w:rtl/>
        </w:rPr>
        <w:footnoteReference w:id="4118"/>
      </w:r>
      <w:r w:rsidRPr="001D49D4">
        <w:rPr>
          <w:rFonts w:ascii="Arial" w:hAnsi="Arial"/>
          <w:rtl/>
        </w:rPr>
        <w:t>.</w:t>
      </w:r>
    </w:p>
    <w:p w14:paraId="78000459" w14:textId="77777777" w:rsidR="001D49D4" w:rsidRPr="001D49D4" w:rsidRDefault="001D49D4" w:rsidP="0004348D">
      <w:pPr>
        <w:spacing w:before="360" w:after="240"/>
        <w:rPr>
          <w:rFonts w:ascii="Arial" w:eastAsia="Calibri" w:hAnsi="Arial" w:cs="Arial"/>
          <w:u w:val="single"/>
          <w:rtl/>
        </w:rPr>
      </w:pPr>
      <w:r w:rsidRPr="001D49D4">
        <w:rPr>
          <w:rFonts w:ascii="Arial" w:eastAsia="Calibri" w:hAnsi="Arial" w:cs="Arial"/>
          <w:u w:val="single"/>
          <w:rtl/>
        </w:rPr>
        <w:t>שטר ששם הלוה הוא פב"פ ויש שני שמות כאלו בעיר, ובזמן הכתוב בשטר א' מהם היה קטן והשני גדול:</w:t>
      </w:r>
    </w:p>
    <w:p w14:paraId="33B3B9E7" w14:textId="77777777" w:rsidR="001D49D4" w:rsidRPr="001D49D4" w:rsidRDefault="001D49D4" w:rsidP="0004348D">
      <w:pPr>
        <w:numPr>
          <w:ilvl w:val="0"/>
          <w:numId w:val="305"/>
        </w:numPr>
        <w:spacing w:before="360" w:after="240"/>
        <w:contextualSpacing/>
        <w:rPr>
          <w:rFonts w:ascii="Arial" w:hAnsi="Arial"/>
          <w:rtl/>
        </w:rPr>
      </w:pPr>
      <w:r w:rsidRPr="001D49D4">
        <w:rPr>
          <w:rFonts w:ascii="Arial" w:hAnsi="Arial"/>
          <w:rtl/>
        </w:rPr>
        <w:t xml:space="preserve">ריטב"א </w:t>
      </w:r>
      <w:r w:rsidRPr="001D49D4">
        <w:rPr>
          <w:rFonts w:ascii="Arial" w:hAnsi="Arial"/>
          <w:sz w:val="16"/>
          <w:szCs w:val="16"/>
          <w:rtl/>
        </w:rPr>
        <w:t>(קעב. ד"ה וכבר, וכ"כ בשמו הנמוק"י [עט: ד"ה מתני' שנים])</w:t>
      </w:r>
      <w:r w:rsidRPr="001D49D4">
        <w:rPr>
          <w:rFonts w:ascii="Arial" w:hAnsi="Arial"/>
          <w:rtl/>
        </w:rPr>
        <w:t xml:space="preserve">- אם אחד מהם היה קטן בזמן הכתוב בשטר גובין מן האחר שהיה גדול, משום דאמרינן </w:t>
      </w:r>
      <w:r w:rsidRPr="001D49D4">
        <w:rPr>
          <w:rFonts w:ascii="Arial" w:hAnsi="Arial"/>
          <w:sz w:val="14"/>
          <w:szCs w:val="14"/>
          <w:rtl/>
        </w:rPr>
        <w:t>(ב"ב קנה.)</w:t>
      </w:r>
      <w:r w:rsidRPr="001D49D4">
        <w:rPr>
          <w:rFonts w:ascii="Arial" w:hAnsi="Arial"/>
          <w:rtl/>
        </w:rPr>
        <w:t xml:space="preserve"> חזקה אין העדים חותמין אא"כ נעשה בגדול.</w:t>
      </w:r>
      <w:r w:rsidRPr="001D49D4">
        <w:rPr>
          <w:rFonts w:ascii="Arial" w:hAnsi="Arial"/>
          <w:color w:val="E36C0A" w:themeColor="accent6" w:themeShade="BF"/>
          <w:rtl/>
        </w:rPr>
        <w:t xml:space="preserve"> (וכ"פ בשו"ע)</w:t>
      </w:r>
    </w:p>
    <w:p w14:paraId="10EF983B" w14:textId="77777777" w:rsidR="001D49D4" w:rsidRPr="001D49D4" w:rsidRDefault="001D49D4" w:rsidP="0004348D">
      <w:pPr>
        <w:spacing w:before="360" w:after="240"/>
        <w:rPr>
          <w:rFonts w:ascii="Arial" w:eastAsia="Calibri" w:hAnsi="Arial" w:cs="Arial"/>
          <w:u w:val="single"/>
          <w:rtl/>
        </w:rPr>
      </w:pPr>
      <w:r w:rsidRPr="001D49D4">
        <w:rPr>
          <w:rFonts w:ascii="Arial" w:eastAsia="Calibri" w:hAnsi="Arial" w:cs="Arial"/>
          <w:u w:val="single"/>
          <w:rtl/>
        </w:rPr>
        <w:t>שטר חוב שרשום על פב"פ ויש שנים ששמם כך ובאו עדים והעידו למי הכוונה בשטר:</w:t>
      </w:r>
    </w:p>
    <w:p w14:paraId="52AFC395" w14:textId="77777777" w:rsidR="001D49D4" w:rsidRPr="001D49D4" w:rsidRDefault="001D49D4" w:rsidP="0004348D">
      <w:pPr>
        <w:numPr>
          <w:ilvl w:val="0"/>
          <w:numId w:val="305"/>
        </w:numPr>
        <w:spacing w:before="360" w:after="240"/>
        <w:contextualSpacing/>
        <w:rPr>
          <w:rFonts w:ascii="Arial" w:hAnsi="Arial"/>
          <w:rtl/>
        </w:rPr>
      </w:pPr>
      <w:r w:rsidRPr="001D49D4">
        <w:rPr>
          <w:rFonts w:ascii="Arial" w:hAnsi="Arial"/>
          <w:rtl/>
        </w:rPr>
        <w:t>רש"י ר"ת ר"י רמב"ם רשב"א וריב"ש</w:t>
      </w:r>
      <w:r w:rsidRPr="001D49D4">
        <w:rPr>
          <w:rFonts w:ascii="Arial" w:hAnsi="Arial"/>
          <w:vertAlign w:val="superscript"/>
          <w:rtl/>
        </w:rPr>
        <w:footnoteReference w:id="4119"/>
      </w:r>
      <w:r w:rsidRPr="001D49D4">
        <w:rPr>
          <w:rFonts w:ascii="Arial" w:hAnsi="Arial"/>
          <w:rtl/>
        </w:rPr>
        <w:t xml:space="preserve">- אם באו עדים </w:t>
      </w:r>
      <w:r w:rsidRPr="001D49D4">
        <w:rPr>
          <w:rFonts w:ascii="Arial" w:hAnsi="Arial"/>
          <w:u w:val="single"/>
          <w:rtl/>
        </w:rPr>
        <w:t>אחרים</w:t>
      </w:r>
      <w:r w:rsidRPr="001D49D4">
        <w:rPr>
          <w:rFonts w:ascii="Arial" w:hAnsi="Arial"/>
          <w:rtl/>
        </w:rPr>
        <w:t xml:space="preserve"> דינו כדין מלוה על פה, אבל אם הם עדי השטר עצמם דינו כדין שטר </w:t>
      </w:r>
      <w:r w:rsidRPr="001D49D4">
        <w:rPr>
          <w:rFonts w:ascii="Arial" w:hAnsi="Arial"/>
          <w:sz w:val="16"/>
          <w:szCs w:val="16"/>
          <w:rtl/>
        </w:rPr>
        <w:t>(מפני שהרי אלו יכולין לשלש השמות שהרי לא עשו גמר שליחותן)</w:t>
      </w:r>
      <w:r w:rsidRPr="001D49D4">
        <w:rPr>
          <w:rFonts w:ascii="Arial" w:hAnsi="Arial"/>
          <w:rtl/>
        </w:rPr>
        <w:t xml:space="preserve">. </w:t>
      </w:r>
      <w:r w:rsidRPr="001D49D4">
        <w:rPr>
          <w:rFonts w:ascii="Arial" w:hAnsi="Arial"/>
          <w:color w:val="E36C0A" w:themeColor="accent6" w:themeShade="BF"/>
          <w:rtl/>
        </w:rPr>
        <w:t>(וכ"פ בשו"ע)</w:t>
      </w:r>
    </w:p>
    <w:p w14:paraId="3BEF1527" w14:textId="77777777" w:rsidR="001D49D4" w:rsidRPr="001D49D4" w:rsidRDefault="001D49D4" w:rsidP="0004348D">
      <w:pPr>
        <w:numPr>
          <w:ilvl w:val="0"/>
          <w:numId w:val="305"/>
        </w:numPr>
        <w:spacing w:before="360" w:after="240"/>
        <w:contextualSpacing/>
        <w:rPr>
          <w:rFonts w:ascii="Arial" w:hAnsi="Arial"/>
        </w:rPr>
      </w:pPr>
      <w:r w:rsidRPr="001D49D4">
        <w:rPr>
          <w:rFonts w:ascii="Arial" w:hAnsi="Arial"/>
          <w:rtl/>
        </w:rPr>
        <w:t>יש מן המפרשים</w:t>
      </w:r>
      <w:r w:rsidRPr="001D49D4">
        <w:rPr>
          <w:rFonts w:ascii="Arial" w:hAnsi="Arial"/>
          <w:sz w:val="16"/>
          <w:szCs w:val="16"/>
          <w:rtl/>
        </w:rPr>
        <w:t xml:space="preserve"> (הביאם הה"מ פכ"ד ה"ח)</w:t>
      </w:r>
      <w:r w:rsidRPr="001D49D4">
        <w:rPr>
          <w:rFonts w:ascii="Arial" w:hAnsi="Arial"/>
          <w:rtl/>
        </w:rPr>
        <w:t xml:space="preserve">- אף אם באו העדים עצמם שחתומים בשטר זה אין לזה דין מלוה בשטר לפי שאין מוכיח מתוכו, לכן דינו כדין מלוה על פה. </w:t>
      </w:r>
    </w:p>
    <w:p w14:paraId="5E0B53D4" w14:textId="77777777" w:rsidR="001D49D4" w:rsidRPr="001D49D4" w:rsidRDefault="001D49D4" w:rsidP="0004348D">
      <w:pPr>
        <w:spacing w:before="360" w:after="240"/>
        <w:rPr>
          <w:rFonts w:ascii="Arial" w:eastAsia="Calibri" w:hAnsi="Arial" w:cs="Arial"/>
          <w:u w:val="single"/>
          <w:rtl/>
        </w:rPr>
      </w:pPr>
      <w:r w:rsidRPr="001D49D4">
        <w:rPr>
          <w:rFonts w:ascii="Arial" w:eastAsia="Calibri" w:hAnsi="Arial" w:cs="Arial"/>
          <w:u w:val="single"/>
          <w:rtl/>
        </w:rPr>
        <w:t>שני פב"פ הדרים בעיר א' ובשטר חוב כ'- "אני פב"פ נ"ר לויתי מפלוני" ואביו של א' מהם כבר מת בשעת הלואה:</w:t>
      </w:r>
    </w:p>
    <w:p w14:paraId="739BE3F9" w14:textId="77777777" w:rsidR="001D49D4" w:rsidRPr="001D49D4" w:rsidRDefault="001D49D4" w:rsidP="0004348D">
      <w:pPr>
        <w:numPr>
          <w:ilvl w:val="0"/>
          <w:numId w:val="306"/>
        </w:numPr>
        <w:spacing w:before="360" w:after="240"/>
        <w:contextualSpacing/>
        <w:rPr>
          <w:rFonts w:ascii="Arial" w:hAnsi="Arial"/>
        </w:rPr>
      </w:pPr>
      <w:r w:rsidRPr="001D49D4">
        <w:rPr>
          <w:rFonts w:ascii="Arial" w:hAnsi="Arial"/>
          <w:rtl/>
        </w:rPr>
        <w:t xml:space="preserve">רשב"א </w:t>
      </w:r>
      <w:r w:rsidRPr="001D49D4">
        <w:rPr>
          <w:rFonts w:ascii="Arial" w:hAnsi="Arial"/>
          <w:sz w:val="16"/>
          <w:szCs w:val="16"/>
          <w:rtl/>
        </w:rPr>
        <w:t>(ח"ב סימן שנב)</w:t>
      </w:r>
      <w:r w:rsidRPr="001D49D4">
        <w:rPr>
          <w:rFonts w:ascii="Arial" w:hAnsi="Arial"/>
          <w:rtl/>
        </w:rPr>
        <w:t>- שני יוסף בן שמעון הדרים בעיר אחת ויצא שטר חוב על יוסף בן שמעון ואביו של אחד מהם כבר מת בשעת הלואה וכתוב בשטר "</w:t>
      </w:r>
      <w:r w:rsidRPr="001D49D4">
        <w:rPr>
          <w:rFonts w:ascii="Arial" w:hAnsi="Arial"/>
          <w:b/>
          <w:bCs/>
          <w:rtl/>
        </w:rPr>
        <w:t>אני</w:t>
      </w:r>
      <w:r w:rsidRPr="001D49D4">
        <w:rPr>
          <w:rFonts w:ascii="Arial" w:hAnsi="Arial"/>
          <w:rtl/>
        </w:rPr>
        <w:t xml:space="preserve"> יוסף בן שמעון נ"ר לויתי מפלוני מנה". תשובה- כל שהוא כותב יש לחוש שמא הערים לכתוב כן כדי לפטור את עצמו ולחייב את חבירו שעדיין אביו חי, ואפילו עדים חתומים בו לא אמרינן בכי הא אכולה מילתא מסהדי.</w:t>
      </w:r>
      <w:r w:rsidRPr="001D49D4">
        <w:rPr>
          <w:rFonts w:ascii="Arial" w:hAnsi="Arial"/>
          <w:noProof/>
          <w:color w:val="00B0F0"/>
          <w:rtl/>
        </w:rPr>
        <w:t xml:space="preserve"> </w:t>
      </w:r>
      <w:r w:rsidRPr="001D49D4">
        <w:rPr>
          <w:rFonts w:ascii="Arial" w:hAnsi="Arial"/>
          <w:color w:val="00B0F0"/>
          <w:rtl/>
        </w:rPr>
        <w:t>(וכ"פ הרמ"א)</w:t>
      </w:r>
    </w:p>
    <w:p w14:paraId="3E85C03E" w14:textId="77777777" w:rsidR="001D49D4" w:rsidRPr="001D49D4" w:rsidRDefault="001D49D4" w:rsidP="0004348D">
      <w:pPr>
        <w:spacing w:before="360" w:after="240"/>
        <w:ind w:left="360"/>
        <w:rPr>
          <w:rFonts w:ascii="Arial" w:eastAsia="Calibri" w:hAnsi="Arial" w:cs="Arial"/>
          <w:u w:val="dotted"/>
        </w:rPr>
      </w:pPr>
      <w:r w:rsidRPr="001D49D4">
        <w:rPr>
          <w:rFonts w:ascii="Arial" w:eastAsia="Calibri" w:hAnsi="Arial" w:cs="Arial"/>
          <w:u w:val="dotted"/>
          <w:rtl/>
        </w:rPr>
        <w:t>ומה הדין אם היה כ'- "</w:t>
      </w:r>
      <w:r w:rsidRPr="001D49D4">
        <w:rPr>
          <w:rFonts w:ascii="Arial" w:eastAsia="Calibri" w:hAnsi="Arial" w:cs="Arial"/>
          <w:b/>
          <w:bCs/>
          <w:u w:val="dotted"/>
          <w:rtl/>
        </w:rPr>
        <w:t>אמר</w:t>
      </w:r>
      <w:r w:rsidRPr="001D49D4">
        <w:rPr>
          <w:rFonts w:ascii="Arial" w:eastAsia="Calibri" w:hAnsi="Arial" w:cs="Arial"/>
          <w:u w:val="dotted"/>
          <w:rtl/>
        </w:rPr>
        <w:t xml:space="preserve"> לנו יוסף בן שמעון נ"ר לויתי מפלוני מנה" </w:t>
      </w:r>
    </w:p>
    <w:p w14:paraId="2C2CDCDF" w14:textId="77777777" w:rsidR="001D49D4" w:rsidRPr="001D49D4" w:rsidRDefault="001D49D4" w:rsidP="0004348D">
      <w:pPr>
        <w:numPr>
          <w:ilvl w:val="0"/>
          <w:numId w:val="306"/>
        </w:numPr>
        <w:spacing w:before="360" w:after="240"/>
        <w:contextualSpacing/>
        <w:rPr>
          <w:rFonts w:ascii="Arial" w:hAnsi="Arial"/>
          <w:rtl/>
        </w:rPr>
      </w:pPr>
      <w:r w:rsidRPr="001D49D4">
        <w:rPr>
          <w:rFonts w:ascii="Arial" w:hAnsi="Arial"/>
          <w:rtl/>
        </w:rPr>
        <w:t xml:space="preserve">רשב"א </w:t>
      </w:r>
      <w:r w:rsidRPr="001D49D4">
        <w:rPr>
          <w:rFonts w:ascii="Arial" w:hAnsi="Arial"/>
          <w:sz w:val="16"/>
          <w:szCs w:val="16"/>
          <w:rtl/>
        </w:rPr>
        <w:t>(שם)</w:t>
      </w:r>
      <w:r w:rsidRPr="001D49D4">
        <w:rPr>
          <w:rFonts w:ascii="Arial" w:hAnsi="Arial"/>
          <w:rtl/>
        </w:rPr>
        <w:t xml:space="preserve">- נראה דהוי סימן כי היכי דאי כתבו 'יוסף הכהן בן שמעון' הוי סימן. </w:t>
      </w:r>
      <w:r w:rsidRPr="001D49D4">
        <w:rPr>
          <w:rFonts w:ascii="Arial" w:hAnsi="Arial"/>
          <w:color w:val="00B0F0"/>
          <w:rtl/>
        </w:rPr>
        <w:t>(וכ"פ הרמ"א)</w:t>
      </w:r>
    </w:p>
    <w:p w14:paraId="50222264" w14:textId="77777777" w:rsidR="001D49D4" w:rsidRPr="001D49D4" w:rsidRDefault="001D49D4" w:rsidP="0004348D">
      <w:pPr>
        <w:numPr>
          <w:ilvl w:val="0"/>
          <w:numId w:val="306"/>
        </w:numPr>
        <w:spacing w:before="360" w:after="240"/>
        <w:contextualSpacing/>
        <w:rPr>
          <w:rFonts w:ascii="Arial" w:hAnsi="Arial"/>
        </w:rPr>
      </w:pPr>
      <w:r w:rsidRPr="001D49D4">
        <w:rPr>
          <w:rFonts w:ascii="Arial" w:hAnsi="Arial"/>
          <w:rtl/>
        </w:rPr>
        <w:t>ב"י- "נראה דלא הוי סימן דהא אפשר דנ"ר לא קאי אלא ליוסף לא לאביו</w:t>
      </w:r>
      <w:r w:rsidRPr="001D49D4">
        <w:rPr>
          <w:rFonts w:ascii="Arial" w:hAnsi="Arial"/>
          <w:vertAlign w:val="superscript"/>
          <w:rtl/>
        </w:rPr>
        <w:footnoteReference w:id="4120"/>
      </w:r>
      <w:r w:rsidRPr="001D49D4">
        <w:rPr>
          <w:rFonts w:ascii="Arial" w:hAnsi="Arial"/>
          <w:rtl/>
        </w:rPr>
        <w:t>". (וכ"פ הש"ך</w:t>
      </w:r>
      <w:r w:rsidRPr="001D49D4">
        <w:rPr>
          <w:rFonts w:ascii="Arial" w:hAnsi="Arial"/>
          <w:sz w:val="16"/>
          <w:szCs w:val="16"/>
          <w:rtl/>
        </w:rPr>
        <w:t xml:space="preserve"> [סקי"ד-ט"ו]</w:t>
      </w:r>
      <w:r w:rsidRPr="001D49D4">
        <w:rPr>
          <w:rFonts w:ascii="Arial" w:hAnsi="Arial"/>
          <w:rtl/>
        </w:rPr>
        <w:t>)</w:t>
      </w:r>
    </w:p>
    <w:p w14:paraId="488E25D4" w14:textId="77777777" w:rsidR="001D49D4" w:rsidRPr="001D49D4" w:rsidRDefault="001D49D4" w:rsidP="0004348D">
      <w:pPr>
        <w:spacing w:before="360" w:after="240"/>
        <w:rPr>
          <w:rFonts w:ascii="Arial" w:eastAsia="Calibri" w:hAnsi="Arial" w:cs="Arial"/>
          <w:u w:val="single"/>
        </w:rPr>
      </w:pPr>
      <w:r w:rsidRPr="001D49D4">
        <w:rPr>
          <w:rFonts w:ascii="Arial" w:eastAsia="Calibri" w:hAnsi="Arial" w:cs="Arial"/>
          <w:u w:val="single"/>
          <w:rtl/>
        </w:rPr>
        <w:t>אחד מודה שחייב מנה לפב"פ, ויש ב' אנשים בעיר ששמם פב"פ, ונפטר אותו האחד, ואין השטר ביד א' מהבע"ח:</w:t>
      </w:r>
    </w:p>
    <w:p w14:paraId="104E0525" w14:textId="77777777" w:rsidR="001D49D4" w:rsidRPr="001D49D4" w:rsidRDefault="001D49D4" w:rsidP="0004348D">
      <w:pPr>
        <w:numPr>
          <w:ilvl w:val="0"/>
          <w:numId w:val="306"/>
        </w:numPr>
        <w:spacing w:before="360" w:after="240"/>
        <w:contextualSpacing/>
        <w:rPr>
          <w:rFonts w:ascii="Arial" w:hAnsi="Arial"/>
          <w:rtl/>
        </w:rPr>
      </w:pPr>
      <w:r w:rsidRPr="001D49D4">
        <w:rPr>
          <w:rFonts w:ascii="Arial" w:hAnsi="Arial"/>
          <w:rtl/>
        </w:rPr>
        <w:t xml:space="preserve">ריטב"א </w:t>
      </w:r>
      <w:r w:rsidRPr="001D49D4">
        <w:rPr>
          <w:rFonts w:ascii="Arial" w:hAnsi="Arial"/>
          <w:sz w:val="16"/>
          <w:szCs w:val="16"/>
          <w:rtl/>
        </w:rPr>
        <w:t xml:space="preserve">(קעג.) </w:t>
      </w:r>
      <w:r w:rsidRPr="001D49D4">
        <w:rPr>
          <w:rFonts w:ascii="Arial" w:hAnsi="Arial"/>
          <w:rtl/>
        </w:rPr>
        <w:t>ונמוק"י</w:t>
      </w:r>
      <w:r w:rsidRPr="001D49D4">
        <w:rPr>
          <w:rFonts w:ascii="Arial" w:hAnsi="Arial"/>
          <w:sz w:val="14"/>
          <w:szCs w:val="14"/>
          <w:rtl/>
        </w:rPr>
        <w:t xml:space="preserve"> </w:t>
      </w:r>
      <w:r w:rsidRPr="001D49D4">
        <w:rPr>
          <w:rFonts w:ascii="Arial" w:hAnsi="Arial"/>
          <w:sz w:val="16"/>
          <w:szCs w:val="16"/>
          <w:rtl/>
        </w:rPr>
        <w:t>(ב"ב פ: ד"ה מתני' המצוה, הביאו הב"י סי' ס"ה מחוד' ל"ב)</w:t>
      </w:r>
      <w:r w:rsidRPr="001D49D4">
        <w:rPr>
          <w:rFonts w:ascii="Arial" w:hAnsi="Arial"/>
          <w:rtl/>
        </w:rPr>
        <w:t>- אם אחד מודה שחייב מנה ליוסף בן שמעון ואין השטר ביד אחד מהן אין היורשים צריכין לשלם לשום אחד דיכולין לדחות לכל אחד</w:t>
      </w:r>
      <w:r w:rsidRPr="001D49D4">
        <w:rPr>
          <w:rFonts w:ascii="Arial" w:hAnsi="Arial"/>
          <w:vertAlign w:val="superscript"/>
          <w:rtl/>
        </w:rPr>
        <w:footnoteReference w:id="4121"/>
      </w:r>
      <w:r w:rsidRPr="001D49D4">
        <w:rPr>
          <w:rFonts w:ascii="Arial" w:hAnsi="Arial"/>
          <w:rtl/>
        </w:rPr>
        <w:t xml:space="preserve">. </w:t>
      </w:r>
      <w:r w:rsidRPr="001D49D4">
        <w:rPr>
          <w:rFonts w:ascii="Arial" w:hAnsi="Arial"/>
          <w:color w:val="00B0F0"/>
          <w:rtl/>
        </w:rPr>
        <w:t>(וכ"פ הרמ"א)</w:t>
      </w:r>
    </w:p>
    <w:p w14:paraId="1C2808BA" w14:textId="77777777" w:rsidR="001D49D4" w:rsidRPr="001D49D4" w:rsidRDefault="001D49D4" w:rsidP="0004348D">
      <w:pPr>
        <w:spacing w:before="360" w:after="240"/>
        <w:jc w:val="both"/>
        <w:rPr>
          <w:rFonts w:ascii="Arial" w:eastAsia="Calibri" w:hAnsi="Arial" w:cs="Arial"/>
          <w:rtl/>
        </w:rPr>
      </w:pPr>
      <w:r w:rsidRPr="001D49D4">
        <w:rPr>
          <w:rFonts w:ascii="Arial" w:eastAsia="Calibri" w:hAnsi="Arial" w:cs="Arial"/>
          <w:b/>
          <w:bCs/>
          <w:sz w:val="32"/>
          <w:szCs w:val="28"/>
          <w:u w:val="single"/>
          <w:rtl/>
        </w:rPr>
        <w:t xml:space="preserve">שו"ע: </w:t>
      </w:r>
    </w:p>
    <w:p w14:paraId="46E38875" w14:textId="77777777" w:rsidR="001D49D4" w:rsidRPr="001D49D4" w:rsidRDefault="001D49D4" w:rsidP="0004348D">
      <w:pPr>
        <w:spacing w:before="360" w:after="240"/>
        <w:rPr>
          <w:rFonts w:ascii="Arial" w:eastAsia="Calibri" w:hAnsi="Arial" w:cs="Arial"/>
          <w:rtl/>
        </w:rPr>
      </w:pPr>
      <w:r w:rsidRPr="001D49D4">
        <w:rPr>
          <w:rFonts w:ascii="Arial" w:eastAsia="Calibri" w:hAnsi="Arial" w:cs="Arial"/>
          <w:rtl/>
        </w:rPr>
        <w:t>היו שנים בעיר אחת, שם כל אחד מהם יוסף בן שמעון אין שום אחד מהם יכול להוציא שטר על חבירו אם יש בו קנין, שיאמר לו: שטר זה שאתה מוציא עלי שלי הוא והחזרתי לך כשפרעת לי החוב שהיה לי בידך</w:t>
      </w:r>
      <w:r w:rsidRPr="001D49D4">
        <w:rPr>
          <w:rFonts w:ascii="Arial" w:eastAsia="Calibri" w:hAnsi="Arial" w:cs="Arial"/>
          <w:vertAlign w:val="superscript"/>
          <w:rtl/>
        </w:rPr>
        <w:footnoteReference w:id="4122"/>
      </w:r>
      <w:r w:rsidRPr="001D49D4">
        <w:rPr>
          <w:rFonts w:ascii="Arial" w:eastAsia="Calibri" w:hAnsi="Arial" w:cs="Arial"/>
          <w:rtl/>
        </w:rPr>
        <w:t xml:space="preserve">. </w:t>
      </w:r>
      <w:r w:rsidRPr="001D49D4">
        <w:rPr>
          <w:rFonts w:ascii="Arial" w:eastAsia="Calibri" w:hAnsi="Arial" w:cs="Arial"/>
          <w:sz w:val="18"/>
          <w:szCs w:val="18"/>
          <w:rtl/>
        </w:rPr>
        <w:t>הגה: דבריו סותרים זה את זה בכאן, דלפי האי טעמא שיכול לומר האי שטרא שלי והחזרתיו לך, אין חילוק בין שטר שיש בו קנין או אין בו קנין</w:t>
      </w:r>
      <w:r w:rsidRPr="001D49D4">
        <w:rPr>
          <w:rFonts w:ascii="Arial" w:eastAsia="Calibri" w:hAnsi="Arial" w:cs="Arial"/>
          <w:sz w:val="18"/>
          <w:szCs w:val="18"/>
          <w:vertAlign w:val="superscript"/>
          <w:rtl/>
        </w:rPr>
        <w:footnoteReference w:id="4123"/>
      </w:r>
      <w:r w:rsidRPr="001D49D4">
        <w:rPr>
          <w:rFonts w:ascii="Arial" w:eastAsia="Calibri" w:hAnsi="Arial" w:cs="Arial"/>
          <w:sz w:val="18"/>
          <w:szCs w:val="18"/>
          <w:rtl/>
        </w:rPr>
        <w:t>. אבל יש מפרשים הטעם שאין מוציאין שטר זה על זה מטעם דכותבין שטר ללוה אע"פ שאין מלוה עמו, וחיישינן שזה המוציאו הוא הלוה, ובזה אין לחוש רק בשטר שיש בו קנין כדלעיל סוף סימן ל"ט, ולכן כתב כאן בתחלה דבעינן שטר שיש בו קנין, ואם כן יש סתירה בדבריו.</w:t>
      </w:r>
      <w:r w:rsidRPr="001D49D4">
        <w:rPr>
          <w:rFonts w:ascii="Arial" w:eastAsia="Calibri" w:hAnsi="Arial" w:cs="Arial"/>
          <w:rtl/>
        </w:rPr>
        <w:t xml:space="preserve"> ולא אחר יכול להוציא שטר חוב עליהם, שכל אחד יאמר: לא עלי נכתב שטר זה אלא על חברי</w:t>
      </w:r>
      <w:r w:rsidRPr="001D49D4">
        <w:rPr>
          <w:rFonts w:ascii="Arial" w:eastAsia="Calibri" w:hAnsi="Arial" w:cs="Arial"/>
          <w:vertAlign w:val="superscript"/>
          <w:rtl/>
        </w:rPr>
        <w:footnoteReference w:id="4124"/>
      </w:r>
      <w:r w:rsidRPr="001D49D4">
        <w:rPr>
          <w:rFonts w:ascii="Arial" w:eastAsia="Calibri" w:hAnsi="Arial" w:cs="Arial"/>
          <w:rtl/>
        </w:rPr>
        <w:t>, אלא אם כן באו עידי השטר בעצמם ואמרו: זהו השטר שהעדנו עליו וזהו שהעדנו עליו</w:t>
      </w:r>
      <w:r w:rsidRPr="001D49D4">
        <w:rPr>
          <w:rFonts w:ascii="Arial" w:eastAsia="Calibri" w:hAnsi="Arial" w:cs="Arial"/>
          <w:vertAlign w:val="superscript"/>
          <w:rtl/>
        </w:rPr>
        <w:footnoteReference w:id="4125"/>
      </w:r>
      <w:r w:rsidRPr="001D49D4">
        <w:rPr>
          <w:rFonts w:ascii="Arial" w:eastAsia="Calibri" w:hAnsi="Arial" w:cs="Arial"/>
          <w:rtl/>
        </w:rPr>
        <w:t xml:space="preserve"> בהלואה</w:t>
      </w:r>
      <w:r w:rsidRPr="001D49D4">
        <w:rPr>
          <w:rFonts w:ascii="Arial" w:eastAsia="Calibri" w:hAnsi="Arial" w:cs="Arial"/>
          <w:vertAlign w:val="superscript"/>
          <w:rtl/>
        </w:rPr>
        <w:footnoteReference w:id="4126"/>
      </w:r>
      <w:r w:rsidRPr="001D49D4">
        <w:rPr>
          <w:rFonts w:ascii="Arial" w:eastAsia="Calibri" w:hAnsi="Arial" w:cs="Arial"/>
          <w:rtl/>
        </w:rPr>
        <w:t>. ואם עדים אחרים העידו כן יש לו דין מלוה על פה</w:t>
      </w:r>
      <w:r w:rsidRPr="001D49D4">
        <w:rPr>
          <w:rFonts w:ascii="Arial" w:eastAsia="Calibri" w:hAnsi="Arial" w:cs="Arial"/>
          <w:vertAlign w:val="superscript"/>
          <w:rtl/>
        </w:rPr>
        <w:footnoteReference w:id="4127"/>
      </w:r>
      <w:r w:rsidRPr="001D49D4">
        <w:rPr>
          <w:rFonts w:ascii="Arial" w:eastAsia="Calibri" w:hAnsi="Arial" w:cs="Arial"/>
          <w:rtl/>
        </w:rPr>
        <w:t>. ואם היה אחד מהם קטן בזמן הכתוב בשטר גובין מהאחר</w:t>
      </w:r>
      <w:r w:rsidRPr="001D49D4">
        <w:rPr>
          <w:rFonts w:ascii="Arial" w:eastAsia="Calibri" w:hAnsi="Arial" w:cs="Arial"/>
          <w:vertAlign w:val="superscript"/>
          <w:rtl/>
        </w:rPr>
        <w:footnoteReference w:id="4128"/>
      </w:r>
      <w:r w:rsidRPr="001D49D4">
        <w:rPr>
          <w:rFonts w:ascii="Arial" w:eastAsia="Calibri" w:hAnsi="Arial" w:cs="Arial"/>
          <w:rtl/>
        </w:rPr>
        <w:t>. ומה תקנתם יכתבו שם זקנם, ואם גם שם זקנם שוה יכתבו שום סימן</w:t>
      </w:r>
      <w:r w:rsidRPr="001D49D4">
        <w:rPr>
          <w:rFonts w:ascii="Arial" w:eastAsia="Calibri" w:hAnsi="Arial" w:cs="Arial"/>
          <w:vertAlign w:val="superscript"/>
          <w:rtl/>
        </w:rPr>
        <w:footnoteReference w:id="4129"/>
      </w:r>
      <w:r w:rsidRPr="001D49D4">
        <w:rPr>
          <w:rFonts w:ascii="Arial" w:eastAsia="Calibri" w:hAnsi="Arial" w:cs="Arial"/>
          <w:rtl/>
        </w:rPr>
        <w:t xml:space="preserve">. </w:t>
      </w:r>
      <w:r w:rsidRPr="001D49D4">
        <w:rPr>
          <w:rFonts w:ascii="Arial" w:eastAsia="Calibri" w:hAnsi="Arial" w:cs="Arial"/>
          <w:sz w:val="18"/>
          <w:szCs w:val="18"/>
          <w:rtl/>
        </w:rPr>
        <w:t xml:space="preserve">הגה: י"א דאם הם מב' עיירות מוציאים שטר חוב עליהם דצריכים לכתוב שם העיר של לוה </w:t>
      </w:r>
      <w:r w:rsidRPr="001D49D4">
        <w:rPr>
          <w:rFonts w:ascii="Arial" w:eastAsia="Calibri" w:hAnsi="Arial" w:cs="Arial"/>
          <w:vertAlign w:val="superscript"/>
          <w:rtl/>
        </w:rPr>
        <w:footnoteReference w:id="4130"/>
      </w:r>
      <w:r w:rsidRPr="001D49D4">
        <w:rPr>
          <w:rFonts w:ascii="Arial" w:eastAsia="Calibri" w:hAnsi="Arial" w:cs="Arial"/>
          <w:sz w:val="18"/>
          <w:szCs w:val="18"/>
          <w:rtl/>
        </w:rPr>
        <w:t>או מלוה בשטר (טור בשם הר"ר ישעיה). וי"א דאין כותבין שם העיר בשטרות</w:t>
      </w:r>
      <w:r w:rsidRPr="001D49D4">
        <w:rPr>
          <w:rFonts w:ascii="Arial" w:eastAsia="Calibri" w:hAnsi="Arial" w:cs="Arial"/>
          <w:sz w:val="18"/>
          <w:szCs w:val="18"/>
          <w:vertAlign w:val="superscript"/>
          <w:rtl/>
        </w:rPr>
        <w:footnoteReference w:id="4131"/>
      </w:r>
      <w:r w:rsidRPr="001D49D4">
        <w:rPr>
          <w:rFonts w:ascii="Arial" w:eastAsia="Calibri" w:hAnsi="Arial" w:cs="Arial"/>
          <w:sz w:val="18"/>
          <w:szCs w:val="18"/>
          <w:rtl/>
        </w:rPr>
        <w:t xml:space="preserve">, וכן נוהגין. מיהו ודאי אם הם מב' עיירות וכתבו שם העיר של אחד מהן לא גרע מסימן וליכא למיטעי באחר כלל, כן נראה לי. אם שני יוסף בן שמעון בעיר אחת והאחד מת אביו וכתב בשטר יוסף בן שמעון שליט"א או נר"ו, וכמו שכותבין על מי שאביו חי, אם כתבו העדים אמר לנו יוסף בן שמעון שליט"א הוי סימן. אבל אם כתב בשטר אני יוסף בן שמעון שליט"א או כיוצא בזה לויתי מפלוני וכו' והעדים חתומים למטה אין זה סימן, דחיישינן שמא השני הערים לכתוב כך והעדים לא דקדקו בכך דלאו אכולי מילתא קא מסהדי (רשב"א). </w:t>
      </w:r>
      <w:r w:rsidRPr="001D49D4">
        <w:rPr>
          <w:rFonts w:ascii="Arial" w:eastAsia="Calibri" w:hAnsi="Arial" w:cs="Arial"/>
          <w:rtl/>
        </w:rPr>
        <w:t>אבל הם מוציאים שטרות על אחר ולא יכול האחר לומר לא נתחייבתי לך אלא לחברך ששמו כשמך, שכל מי שהשטר יוצא מתחת ידו מחזיקינן ליה בשלו</w:t>
      </w:r>
      <w:r w:rsidRPr="001D49D4">
        <w:rPr>
          <w:rFonts w:ascii="Arial" w:eastAsia="Calibri" w:hAnsi="Arial" w:cs="Arial"/>
          <w:vertAlign w:val="superscript"/>
          <w:rtl/>
        </w:rPr>
        <w:footnoteReference w:id="4132"/>
      </w:r>
      <w:r w:rsidRPr="001D49D4">
        <w:rPr>
          <w:rFonts w:ascii="Arial" w:eastAsia="Calibri" w:hAnsi="Arial" w:cs="Arial"/>
          <w:rtl/>
        </w:rPr>
        <w:t xml:space="preserve">. </w:t>
      </w:r>
      <w:r w:rsidRPr="001D49D4">
        <w:rPr>
          <w:rFonts w:ascii="Arial" w:eastAsia="Calibri" w:hAnsi="Arial" w:cs="Arial"/>
          <w:sz w:val="18"/>
          <w:szCs w:val="18"/>
          <w:rtl/>
        </w:rPr>
        <w:t>הגה: אבל אם אין השטר יוצא מתחת ידו, אע"פ שמודה שחייב לאחד מהם, אינן יכולין להוציא ממנו</w:t>
      </w:r>
      <w:r w:rsidRPr="001D49D4">
        <w:rPr>
          <w:rFonts w:ascii="Arial" w:eastAsia="Calibri" w:hAnsi="Arial" w:cs="Arial"/>
          <w:sz w:val="18"/>
          <w:szCs w:val="18"/>
          <w:vertAlign w:val="superscript"/>
          <w:rtl/>
        </w:rPr>
        <w:footnoteReference w:id="4133"/>
      </w:r>
      <w:r w:rsidRPr="001D49D4">
        <w:rPr>
          <w:rFonts w:ascii="Arial" w:eastAsia="Calibri" w:hAnsi="Arial" w:cs="Arial"/>
          <w:sz w:val="18"/>
          <w:szCs w:val="18"/>
          <w:rtl/>
        </w:rPr>
        <w:t xml:space="preserve"> (נ"י בשם הריטב"א) אלא בהרשאה שיתנו זה לזה (ד"ע). </w:t>
      </w:r>
      <w:r w:rsidRPr="001D49D4">
        <w:rPr>
          <w:rFonts w:ascii="Arial" w:eastAsia="Calibri" w:hAnsi="Arial" w:cs="Arial"/>
          <w:rtl/>
        </w:rPr>
        <w:t xml:space="preserve">ואם יש בידו שובר מאחד מהם, אין שום אחד מהם יכול לתובעו, שיאמר לכל אחד מהם אתה כתבת לי זה השובר. ומיהו אם יכתבו הרשאה זה לזה יגבה אחד מהם, שהרי הוא מודה שלא פרע אלא לאחד. ואם יטעון פרעתי לשניכם וצויתי לכתוב שובר אחד כי הוא יספיק לי להראותו לכל מי שיבא מכם לתבעני חובי טענתו טענה ולא יועיל הרשאה. </w:t>
      </w:r>
    </w:p>
    <w:p w14:paraId="21F6D5E2" w14:textId="77777777" w:rsidR="001D49D4" w:rsidRPr="001D49D4" w:rsidRDefault="001D49D4" w:rsidP="0004348D">
      <w:pPr>
        <w:spacing w:before="360" w:after="240"/>
        <w:rPr>
          <w:rFonts w:ascii="Arial" w:eastAsia="Calibri" w:hAnsi="Arial" w:cs="Arial"/>
          <w:rtl/>
        </w:rPr>
      </w:pPr>
    </w:p>
    <w:p w14:paraId="15780FBA" w14:textId="77777777" w:rsidR="001D49D4" w:rsidRPr="001D49D4" w:rsidRDefault="001D49D4" w:rsidP="0004348D">
      <w:pPr>
        <w:keepNext/>
        <w:keepLines/>
        <w:spacing w:before="360" w:after="240"/>
        <w:outlineLvl w:val="1"/>
        <w:rPr>
          <w:rFonts w:ascii="Arial" w:eastAsia="Times New Roman" w:hAnsi="Arial" w:cs="Arial"/>
          <w:bCs/>
          <w:color w:val="548DD4" w:themeColor="text2" w:themeTint="99"/>
          <w:sz w:val="26"/>
          <w:szCs w:val="26"/>
          <w:rtl/>
        </w:rPr>
      </w:pPr>
      <w:bookmarkStart w:id="558" w:name="_Toc24883986"/>
      <w:r w:rsidRPr="001D49D4">
        <w:rPr>
          <w:rFonts w:ascii="Arial" w:eastAsia="Times New Roman" w:hAnsi="Arial" w:cs="Arial"/>
          <w:bCs/>
          <w:color w:val="548DD4" w:themeColor="text2" w:themeTint="99"/>
          <w:sz w:val="26"/>
          <w:szCs w:val="26"/>
          <w:rtl/>
        </w:rPr>
        <w:t>סעיף ח: שטר משולש והשובר לא.</w:t>
      </w:r>
      <w:bookmarkEnd w:id="558"/>
    </w:p>
    <w:p w14:paraId="3A001721" w14:textId="77777777" w:rsidR="001D49D4" w:rsidRPr="001D49D4" w:rsidRDefault="001D49D4" w:rsidP="0004348D">
      <w:pPr>
        <w:spacing w:before="360" w:after="240"/>
        <w:rPr>
          <w:rFonts w:ascii="Arial" w:eastAsia="Calibri" w:hAnsi="Arial" w:cs="Arial"/>
          <w:rtl/>
        </w:rPr>
      </w:pPr>
      <w:r w:rsidRPr="001D49D4">
        <w:rPr>
          <w:rFonts w:ascii="Arial" w:eastAsia="Calibri" w:hAnsi="Arial" w:cs="Arial"/>
          <w:b/>
          <w:bCs/>
          <w:rtl/>
        </w:rPr>
        <w:t>בבא בתרא קעג</w:t>
      </w:r>
      <w:r w:rsidRPr="001D49D4">
        <w:rPr>
          <w:rFonts w:ascii="Arial" w:eastAsia="Calibri" w:hAnsi="Arial" w:cs="Arial"/>
          <w:b/>
          <w:bCs/>
          <w:vertAlign w:val="superscript"/>
          <w:rtl/>
        </w:rPr>
        <w:footnoteReference w:id="4134"/>
      </w:r>
      <w:r w:rsidRPr="001D49D4">
        <w:rPr>
          <w:rFonts w:ascii="Arial" w:eastAsia="Calibri" w:hAnsi="Arial" w:cs="Arial"/>
          <w:b/>
          <w:bCs/>
          <w:rtl/>
        </w:rPr>
        <w:t xml:space="preserve"> ע"א: </w:t>
      </w:r>
      <w:r w:rsidRPr="001D49D4">
        <w:rPr>
          <w:rFonts w:ascii="Arial" w:eastAsia="Calibri" w:hAnsi="Arial" w:cs="Arial"/>
          <w:rtl/>
        </w:rPr>
        <w:t>נמצא לאחד</w:t>
      </w:r>
      <w:r w:rsidRPr="001D49D4">
        <w:rPr>
          <w:rFonts w:ascii="Arial" w:eastAsia="Calibri" w:hAnsi="Arial" w:cs="Arial"/>
          <w:vertAlign w:val="superscript"/>
          <w:rtl/>
        </w:rPr>
        <w:footnoteReference w:id="4135"/>
      </w:r>
      <w:r w:rsidRPr="001D49D4">
        <w:rPr>
          <w:rFonts w:ascii="Arial" w:eastAsia="Calibri" w:hAnsi="Arial" w:cs="Arial"/>
          <w:rtl/>
        </w:rPr>
        <w:t xml:space="preserve"> בין שטרותיו שטרו של יוסף בן שמעון פרוע - שטרות שניהם פרועין וכו'. טעמא דנמצא, הא לא נמצא - מצי מפיק, והאנן ולא אחר יכול להוציא עליהן שטר חוב תנן! </w:t>
      </w:r>
      <w:r w:rsidRPr="001D49D4">
        <w:rPr>
          <w:rFonts w:ascii="Arial" w:eastAsia="Calibri" w:hAnsi="Arial" w:cs="Arial"/>
          <w:u w:val="single"/>
          <w:rtl/>
        </w:rPr>
        <w:t>אמר רבי ירמיה</w:t>
      </w:r>
      <w:r w:rsidRPr="001D49D4">
        <w:rPr>
          <w:rFonts w:ascii="Arial" w:eastAsia="Calibri" w:hAnsi="Arial" w:cs="Arial"/>
          <w:rtl/>
        </w:rPr>
        <w:t>: במשולשין</w:t>
      </w:r>
      <w:r w:rsidRPr="001D49D4">
        <w:rPr>
          <w:rFonts w:ascii="Arial" w:eastAsia="Calibri" w:hAnsi="Arial" w:cs="Arial"/>
          <w:vertAlign w:val="superscript"/>
          <w:rtl/>
        </w:rPr>
        <w:footnoteReference w:id="4136"/>
      </w:r>
      <w:r w:rsidRPr="001D49D4">
        <w:rPr>
          <w:rFonts w:ascii="Arial" w:eastAsia="Calibri" w:hAnsi="Arial" w:cs="Arial"/>
          <w:rtl/>
        </w:rPr>
        <w:t xml:space="preserve">. ונחזי תברא בשמא דמאן דכתיב! </w:t>
      </w:r>
      <w:r w:rsidRPr="001D49D4">
        <w:rPr>
          <w:rFonts w:ascii="Arial" w:eastAsia="Calibri" w:hAnsi="Arial" w:cs="Arial"/>
          <w:u w:val="single"/>
          <w:rtl/>
        </w:rPr>
        <w:t>אמר רב הושעיא:</w:t>
      </w:r>
      <w:r w:rsidRPr="001D49D4">
        <w:rPr>
          <w:rFonts w:ascii="Arial" w:eastAsia="Calibri" w:hAnsi="Arial" w:cs="Arial"/>
          <w:rtl/>
        </w:rPr>
        <w:t xml:space="preserve"> במשולשין בשטר ואין משולשין בשובר. </w:t>
      </w:r>
      <w:r w:rsidRPr="001D49D4">
        <w:rPr>
          <w:rFonts w:ascii="Arial" w:eastAsia="Calibri" w:hAnsi="Arial" w:cs="Arial"/>
          <w:u w:val="single"/>
          <w:rtl/>
        </w:rPr>
        <w:t>אביי אמר</w:t>
      </w:r>
      <w:r w:rsidRPr="001D49D4">
        <w:rPr>
          <w:rFonts w:ascii="Arial" w:eastAsia="Calibri" w:hAnsi="Arial" w:cs="Arial"/>
          <w:vertAlign w:val="superscript"/>
          <w:rtl/>
        </w:rPr>
        <w:footnoteReference w:id="4137"/>
      </w:r>
      <w:r w:rsidRPr="001D49D4">
        <w:rPr>
          <w:rFonts w:ascii="Arial" w:eastAsia="Calibri" w:hAnsi="Arial" w:cs="Arial"/>
          <w:rtl/>
        </w:rPr>
        <w:t>, הכי קאמר: נמצא ללוה בין שטרותיו שטרו של יוסף בן שמעון עלי פרוע - שטרות שניהם פרועין..... כיצד יעשו? ישלשו כו'. תנא: אם היו שניהם</w:t>
      </w:r>
      <w:r w:rsidRPr="001D49D4">
        <w:rPr>
          <w:rFonts w:ascii="Arial" w:eastAsia="Calibri" w:hAnsi="Arial" w:cs="Arial"/>
          <w:vertAlign w:val="superscript"/>
          <w:rtl/>
        </w:rPr>
        <w:footnoteReference w:id="4138"/>
      </w:r>
      <w:r w:rsidRPr="001D49D4">
        <w:rPr>
          <w:rFonts w:ascii="Arial" w:eastAsia="Calibri" w:hAnsi="Arial" w:cs="Arial"/>
          <w:rtl/>
        </w:rPr>
        <w:t xml:space="preserve"> כהנים - יכתבו דורות</w:t>
      </w:r>
      <w:r w:rsidRPr="001D49D4">
        <w:rPr>
          <w:rFonts w:ascii="Arial" w:eastAsia="Calibri" w:hAnsi="Arial" w:cs="Arial"/>
          <w:vertAlign w:val="superscript"/>
          <w:rtl/>
        </w:rPr>
        <w:footnoteReference w:id="4139"/>
      </w:r>
      <w:r w:rsidRPr="001D49D4">
        <w:rPr>
          <w:rFonts w:ascii="Arial" w:eastAsia="Calibri" w:hAnsi="Arial" w:cs="Arial"/>
          <w:rtl/>
        </w:rPr>
        <w:t>.</w:t>
      </w:r>
    </w:p>
    <w:p w14:paraId="30842E8C" w14:textId="77777777" w:rsidR="001D49D4" w:rsidRPr="001D49D4" w:rsidRDefault="001D49D4" w:rsidP="0004348D">
      <w:pPr>
        <w:spacing w:before="360" w:after="240"/>
        <w:rPr>
          <w:rFonts w:ascii="Arial" w:eastAsia="Calibri" w:hAnsi="Arial" w:cs="Arial"/>
          <w:u w:val="single"/>
          <w:rtl/>
        </w:rPr>
      </w:pPr>
      <w:r w:rsidRPr="001D49D4">
        <w:rPr>
          <w:rFonts w:ascii="Arial" w:eastAsia="Calibri" w:hAnsi="Arial" w:cs="Arial"/>
          <w:u w:val="single"/>
          <w:rtl/>
        </w:rPr>
        <w:t>לוה שיש בידו שובר מיוסף בן שמעון, ויש שניים בשם זה, והשטר משולש והשובר לא</w:t>
      </w:r>
      <w:r w:rsidRPr="001D49D4">
        <w:rPr>
          <w:rFonts w:ascii="Arial" w:eastAsia="Calibri" w:hAnsi="Arial" w:cs="Arial"/>
          <w:u w:val="single"/>
          <w:vertAlign w:val="superscript"/>
          <w:rtl/>
        </w:rPr>
        <w:footnoteReference w:id="4140"/>
      </w:r>
      <w:r w:rsidRPr="001D49D4">
        <w:rPr>
          <w:rFonts w:ascii="Arial" w:eastAsia="Calibri" w:hAnsi="Arial" w:cs="Arial"/>
          <w:u w:val="single"/>
          <w:rtl/>
        </w:rPr>
        <w:t>:</w:t>
      </w:r>
    </w:p>
    <w:p w14:paraId="59FA775E" w14:textId="77777777" w:rsidR="001D49D4" w:rsidRPr="001D49D4" w:rsidRDefault="001D49D4" w:rsidP="0004348D">
      <w:pPr>
        <w:numPr>
          <w:ilvl w:val="0"/>
          <w:numId w:val="306"/>
        </w:numPr>
        <w:spacing w:before="360" w:after="240"/>
        <w:contextualSpacing/>
        <w:rPr>
          <w:rFonts w:ascii="Arial" w:hAnsi="Arial"/>
          <w:rtl/>
        </w:rPr>
      </w:pPr>
      <w:r w:rsidRPr="001D49D4">
        <w:rPr>
          <w:rFonts w:ascii="Arial" w:hAnsi="Arial"/>
          <w:rtl/>
        </w:rPr>
        <w:t xml:space="preserve">רמ"ה </w:t>
      </w:r>
      <w:r w:rsidRPr="001D49D4">
        <w:rPr>
          <w:rFonts w:ascii="Arial" w:hAnsi="Arial"/>
          <w:sz w:val="16"/>
          <w:szCs w:val="16"/>
          <w:rtl/>
        </w:rPr>
        <w:t xml:space="preserve">(הביאו הטור) </w:t>
      </w:r>
      <w:r w:rsidRPr="001D49D4">
        <w:rPr>
          <w:rFonts w:ascii="Arial" w:hAnsi="Arial"/>
          <w:rtl/>
        </w:rPr>
        <w:t>ב"י ודרכ"מ</w:t>
      </w:r>
      <w:r w:rsidRPr="001D49D4">
        <w:rPr>
          <w:rFonts w:ascii="Arial" w:hAnsi="Arial"/>
          <w:sz w:val="16"/>
          <w:szCs w:val="16"/>
          <w:rtl/>
        </w:rPr>
        <w:t xml:space="preserve"> (ארוך אות יד)</w:t>
      </w:r>
      <w:r w:rsidRPr="001D49D4">
        <w:rPr>
          <w:rFonts w:ascii="Arial" w:hAnsi="Arial"/>
          <w:rtl/>
        </w:rPr>
        <w:t>- על בעל השובר להביא ראיה</w:t>
      </w:r>
      <w:r w:rsidRPr="001D49D4">
        <w:rPr>
          <w:rFonts w:ascii="Arial" w:hAnsi="Arial"/>
          <w:vertAlign w:val="superscript"/>
          <w:rtl/>
        </w:rPr>
        <w:footnoteReference w:id="4141"/>
      </w:r>
      <w:r w:rsidRPr="001D49D4">
        <w:rPr>
          <w:rFonts w:ascii="Arial" w:hAnsi="Arial"/>
          <w:rtl/>
        </w:rPr>
        <w:t xml:space="preserve">. </w:t>
      </w:r>
      <w:r w:rsidRPr="001D49D4">
        <w:rPr>
          <w:rFonts w:ascii="Arial" w:hAnsi="Arial"/>
          <w:color w:val="E36C0A" w:themeColor="accent6" w:themeShade="BF"/>
          <w:rtl/>
        </w:rPr>
        <w:t>(וכ"פ בשו"ע)</w:t>
      </w:r>
      <w:r w:rsidRPr="001D49D4">
        <w:rPr>
          <w:rFonts w:ascii="Arial" w:hAnsi="Arial"/>
          <w:rtl/>
        </w:rPr>
        <w:t xml:space="preserve"> (וכ"פ משא"ב)</w:t>
      </w:r>
    </w:p>
    <w:p w14:paraId="78C22810" w14:textId="77777777" w:rsidR="001D49D4" w:rsidRPr="001D49D4" w:rsidRDefault="001D49D4" w:rsidP="0004348D">
      <w:pPr>
        <w:numPr>
          <w:ilvl w:val="0"/>
          <w:numId w:val="306"/>
        </w:numPr>
        <w:spacing w:before="360" w:after="240"/>
        <w:contextualSpacing/>
        <w:rPr>
          <w:rFonts w:ascii="Arial" w:hAnsi="Arial"/>
        </w:rPr>
      </w:pPr>
      <w:r w:rsidRPr="001D49D4">
        <w:rPr>
          <w:rFonts w:ascii="Arial" w:hAnsi="Arial"/>
          <w:rtl/>
        </w:rPr>
        <w:t>טור- יד בעל השובר על העליונה, דשילוש שטרות לא מועיל גם מול שובר שאינו משולש</w:t>
      </w:r>
      <w:r w:rsidRPr="001D49D4">
        <w:rPr>
          <w:rFonts w:ascii="Arial" w:hAnsi="Arial"/>
          <w:vertAlign w:val="superscript"/>
          <w:rtl/>
        </w:rPr>
        <w:footnoteReference w:id="4142"/>
      </w:r>
      <w:r w:rsidRPr="001D49D4">
        <w:rPr>
          <w:rFonts w:ascii="Arial" w:hAnsi="Arial"/>
          <w:rtl/>
        </w:rPr>
        <w:t>, ועוד דלא צריך שילוש שטרות דהרי דינא דגמ' הוא דשניים ששמם זהה מוציאין שטר חוב על אחר. (וכ"פ דרישה אגוד"א שאר"י</w:t>
      </w:r>
      <w:r w:rsidRPr="001D49D4">
        <w:rPr>
          <w:rFonts w:ascii="Arial" w:hAnsi="Arial"/>
          <w:sz w:val="16"/>
          <w:szCs w:val="16"/>
          <w:rtl/>
        </w:rPr>
        <w:t xml:space="preserve"> </w:t>
      </w:r>
      <w:r w:rsidRPr="001D49D4">
        <w:rPr>
          <w:rFonts w:ascii="Arial" w:hAnsi="Arial"/>
          <w:rtl/>
        </w:rPr>
        <w:t>ט"ז ש"ך</w:t>
      </w:r>
      <w:r w:rsidRPr="001D49D4">
        <w:rPr>
          <w:rFonts w:ascii="Arial" w:hAnsi="Arial"/>
          <w:sz w:val="16"/>
          <w:szCs w:val="16"/>
          <w:rtl/>
        </w:rPr>
        <w:t xml:space="preserve"> </w:t>
      </w:r>
      <w:r w:rsidRPr="001D49D4">
        <w:rPr>
          <w:rFonts w:ascii="Arial" w:hAnsi="Arial"/>
          <w:rtl/>
        </w:rPr>
        <w:t>ובאה"ט</w:t>
      </w:r>
      <w:r w:rsidRPr="001D49D4">
        <w:rPr>
          <w:rFonts w:ascii="Arial" w:hAnsi="Arial"/>
          <w:vertAlign w:val="superscript"/>
          <w:rtl/>
        </w:rPr>
        <w:footnoteReference w:id="4143"/>
      </w:r>
      <w:r w:rsidRPr="001D49D4">
        <w:rPr>
          <w:rFonts w:ascii="Arial" w:hAnsi="Arial"/>
          <w:rtl/>
        </w:rPr>
        <w:t>)</w:t>
      </w:r>
    </w:p>
    <w:p w14:paraId="4B87E2A0" w14:textId="77777777" w:rsidR="001D49D4" w:rsidRPr="001D49D4" w:rsidRDefault="001D49D4" w:rsidP="0004348D">
      <w:pPr>
        <w:spacing w:before="360" w:after="240"/>
        <w:jc w:val="both"/>
        <w:rPr>
          <w:rFonts w:ascii="Arial" w:eastAsia="Calibri" w:hAnsi="Arial" w:cs="Arial"/>
          <w:rtl/>
        </w:rPr>
      </w:pPr>
      <w:r w:rsidRPr="001D49D4">
        <w:rPr>
          <w:rFonts w:ascii="Arial" w:eastAsia="Calibri" w:hAnsi="Arial" w:cs="Arial"/>
          <w:b/>
          <w:bCs/>
          <w:sz w:val="32"/>
          <w:szCs w:val="28"/>
          <w:u w:val="single"/>
          <w:rtl/>
        </w:rPr>
        <w:t xml:space="preserve">שו"ע: </w:t>
      </w:r>
    </w:p>
    <w:p w14:paraId="370DF4DC" w14:textId="77777777" w:rsidR="001D49D4" w:rsidRPr="001D49D4" w:rsidRDefault="001D49D4" w:rsidP="0004348D">
      <w:pPr>
        <w:spacing w:before="360" w:after="240"/>
        <w:rPr>
          <w:rFonts w:ascii="Arial" w:eastAsia="Calibri" w:hAnsi="Arial" w:cs="Arial"/>
          <w:rtl/>
        </w:rPr>
      </w:pPr>
      <w:r w:rsidRPr="001D49D4">
        <w:rPr>
          <w:rFonts w:ascii="Arial" w:eastAsia="Calibri" w:hAnsi="Arial" w:cs="Arial"/>
          <w:vertAlign w:val="superscript"/>
          <w:rtl/>
        </w:rPr>
        <w:footnoteReference w:id="4144"/>
      </w:r>
      <w:r w:rsidRPr="001D49D4">
        <w:rPr>
          <w:rFonts w:ascii="Arial" w:eastAsia="Calibri" w:hAnsi="Arial" w:cs="Arial"/>
          <w:rtl/>
        </w:rPr>
        <w:t>במה דברים אמורים, כשאין משולשים לא בשטרות ולא בשובר</w:t>
      </w:r>
      <w:r w:rsidRPr="001D49D4">
        <w:rPr>
          <w:rFonts w:ascii="Arial" w:eastAsia="Calibri" w:hAnsi="Arial" w:cs="Arial"/>
          <w:vertAlign w:val="superscript"/>
          <w:rtl/>
        </w:rPr>
        <w:footnoteReference w:id="4145"/>
      </w:r>
      <w:r w:rsidRPr="001D49D4">
        <w:rPr>
          <w:rFonts w:ascii="Arial" w:eastAsia="Calibri" w:hAnsi="Arial" w:cs="Arial"/>
          <w:rtl/>
        </w:rPr>
        <w:t>, אבל אם משולשים בשטרות ולא בשובר על בעל השובר להביא ראיה</w:t>
      </w:r>
      <w:r w:rsidRPr="001D49D4">
        <w:rPr>
          <w:rFonts w:ascii="Arial" w:eastAsia="Calibri" w:hAnsi="Arial" w:cs="Arial"/>
          <w:vertAlign w:val="superscript"/>
          <w:rtl/>
        </w:rPr>
        <w:footnoteReference w:id="4146"/>
      </w:r>
      <w:r w:rsidRPr="001D49D4">
        <w:rPr>
          <w:rFonts w:ascii="Arial" w:eastAsia="Calibri" w:hAnsi="Arial" w:cs="Arial"/>
          <w:rtl/>
        </w:rPr>
        <w:t xml:space="preserve">. </w:t>
      </w:r>
    </w:p>
    <w:p w14:paraId="2D776281" w14:textId="77777777" w:rsidR="001D49D4" w:rsidRPr="001D49D4" w:rsidRDefault="001D49D4" w:rsidP="0004348D">
      <w:pPr>
        <w:spacing w:before="360" w:after="240"/>
        <w:rPr>
          <w:rFonts w:ascii="Arial" w:eastAsia="Calibri" w:hAnsi="Arial" w:cs="Arial"/>
          <w:rtl/>
        </w:rPr>
      </w:pPr>
    </w:p>
    <w:p w14:paraId="580ACCBF" w14:textId="77777777" w:rsidR="001D49D4" w:rsidRPr="001D49D4" w:rsidRDefault="001D49D4" w:rsidP="0004348D">
      <w:pPr>
        <w:keepNext/>
        <w:keepLines/>
        <w:spacing w:before="360" w:after="240"/>
        <w:outlineLvl w:val="1"/>
        <w:rPr>
          <w:rFonts w:ascii="Arial" w:eastAsia="Times New Roman" w:hAnsi="Arial" w:cs="Arial"/>
          <w:bCs/>
          <w:color w:val="548DD4" w:themeColor="text2" w:themeTint="99"/>
          <w:sz w:val="26"/>
          <w:szCs w:val="26"/>
          <w:rtl/>
        </w:rPr>
      </w:pPr>
      <w:bookmarkStart w:id="559" w:name="_Toc24883987"/>
      <w:r w:rsidRPr="001D49D4">
        <w:rPr>
          <w:rFonts w:ascii="Arial" w:eastAsia="Times New Roman" w:hAnsi="Arial" w:cs="Arial"/>
          <w:bCs/>
          <w:color w:val="548DD4" w:themeColor="text2" w:themeTint="99"/>
          <w:sz w:val="26"/>
          <w:szCs w:val="26"/>
          <w:rtl/>
        </w:rPr>
        <w:t>סעיף ט: נמצא שובר מקויים אצל המלוה, והשטרות בין שטרותיו הקרועים.</w:t>
      </w:r>
      <w:bookmarkEnd w:id="559"/>
    </w:p>
    <w:p w14:paraId="315DAC15" w14:textId="77777777" w:rsidR="001D49D4" w:rsidRPr="001D49D4" w:rsidRDefault="001D49D4" w:rsidP="0004348D">
      <w:pPr>
        <w:spacing w:before="360" w:after="240"/>
        <w:rPr>
          <w:rFonts w:ascii="Arial" w:eastAsia="Calibri" w:hAnsi="Arial" w:cs="Arial"/>
          <w:rtl/>
        </w:rPr>
      </w:pPr>
      <w:r w:rsidRPr="001D49D4">
        <w:rPr>
          <w:rFonts w:ascii="Arial" w:eastAsia="Calibri" w:hAnsi="Arial" w:cs="Arial"/>
          <w:b/>
          <w:bCs/>
          <w:rtl/>
        </w:rPr>
        <w:t>בבא מציעא כ</w:t>
      </w:r>
      <w:r w:rsidRPr="001D49D4">
        <w:rPr>
          <w:rFonts w:ascii="Arial" w:eastAsia="Calibri" w:hAnsi="Arial" w:cs="Arial"/>
          <w:vertAlign w:val="superscript"/>
          <w:rtl/>
        </w:rPr>
        <w:footnoteReference w:id="4147"/>
      </w:r>
      <w:r w:rsidRPr="001D49D4">
        <w:rPr>
          <w:rFonts w:ascii="Arial" w:eastAsia="Calibri" w:hAnsi="Arial" w:cs="Arial"/>
          <w:b/>
          <w:bCs/>
          <w:rtl/>
        </w:rPr>
        <w:t xml:space="preserve"> ע"ב: </w:t>
      </w:r>
      <w:r w:rsidRPr="001D49D4">
        <w:rPr>
          <w:rFonts w:ascii="Arial" w:eastAsia="Calibri" w:hAnsi="Arial" w:cs="Arial"/>
          <w:u w:val="single"/>
          <w:rtl/>
        </w:rPr>
        <w:t>אמר רב ירמיה בר אבא אמר רב:</w:t>
      </w:r>
      <w:r w:rsidRPr="001D49D4">
        <w:rPr>
          <w:rFonts w:ascii="Arial" w:eastAsia="Calibri" w:hAnsi="Arial" w:cs="Arial"/>
          <w:rtl/>
        </w:rPr>
        <w:t xml:space="preserve"> סמפון</w:t>
      </w:r>
      <w:r w:rsidRPr="001D49D4">
        <w:rPr>
          <w:rFonts w:ascii="Arial" w:eastAsia="Calibri" w:hAnsi="Arial" w:cs="Arial"/>
          <w:vertAlign w:val="superscript"/>
          <w:rtl/>
        </w:rPr>
        <w:footnoteReference w:id="4148"/>
      </w:r>
      <w:r w:rsidRPr="001D49D4">
        <w:rPr>
          <w:rFonts w:ascii="Arial" w:eastAsia="Calibri" w:hAnsi="Arial" w:cs="Arial"/>
          <w:rtl/>
        </w:rPr>
        <w:t xml:space="preserve"> היוצא מתחת ידי מלוה</w:t>
      </w:r>
      <w:r w:rsidRPr="001D49D4">
        <w:rPr>
          <w:rFonts w:ascii="Arial" w:eastAsia="Calibri" w:hAnsi="Arial" w:cs="Arial"/>
          <w:vertAlign w:val="superscript"/>
          <w:rtl/>
        </w:rPr>
        <w:footnoteReference w:id="4149"/>
      </w:r>
      <w:r w:rsidRPr="001D49D4">
        <w:rPr>
          <w:rFonts w:ascii="Arial" w:eastAsia="Calibri" w:hAnsi="Arial" w:cs="Arial"/>
          <w:rtl/>
        </w:rPr>
        <w:t>, אף על פי שכתוב בכתב ידו אינו אלא כמשחק ופסול.... תנן: אם יש עמהן סמפונות</w:t>
      </w:r>
      <w:r w:rsidRPr="001D49D4">
        <w:rPr>
          <w:rFonts w:ascii="Arial" w:eastAsia="Calibri" w:hAnsi="Arial" w:cs="Arial"/>
          <w:vertAlign w:val="superscript"/>
          <w:rtl/>
        </w:rPr>
        <w:footnoteReference w:id="4150"/>
      </w:r>
      <w:r w:rsidRPr="001D49D4">
        <w:rPr>
          <w:rFonts w:ascii="Arial" w:eastAsia="Calibri" w:hAnsi="Arial" w:cs="Arial"/>
          <w:rtl/>
        </w:rPr>
        <w:t xml:space="preserve"> יעשה מה שבסמפונות!? </w:t>
      </w:r>
      <w:r w:rsidRPr="001D49D4">
        <w:rPr>
          <w:rFonts w:ascii="Arial" w:eastAsia="Calibri" w:hAnsi="Arial" w:cs="Arial"/>
          <w:u w:val="single"/>
          <w:rtl/>
        </w:rPr>
        <w:t>כדאמר רב ספרא</w:t>
      </w:r>
      <w:r w:rsidRPr="001D49D4">
        <w:rPr>
          <w:rFonts w:ascii="Arial" w:eastAsia="Calibri" w:hAnsi="Arial" w:cs="Arial"/>
          <w:vertAlign w:val="superscript"/>
          <w:rtl/>
        </w:rPr>
        <w:footnoteReference w:id="4151"/>
      </w:r>
      <w:r w:rsidRPr="001D49D4">
        <w:rPr>
          <w:rFonts w:ascii="Arial" w:eastAsia="Calibri" w:hAnsi="Arial" w:cs="Arial"/>
          <w:rtl/>
        </w:rPr>
        <w:t>: שנמצא</w:t>
      </w:r>
      <w:r w:rsidRPr="001D49D4">
        <w:rPr>
          <w:rFonts w:ascii="Arial" w:eastAsia="Calibri" w:hAnsi="Arial" w:cs="Arial"/>
          <w:vertAlign w:val="superscript"/>
          <w:rtl/>
        </w:rPr>
        <w:footnoteReference w:id="4152"/>
      </w:r>
      <w:r w:rsidRPr="001D49D4">
        <w:rPr>
          <w:rFonts w:ascii="Arial" w:eastAsia="Calibri" w:hAnsi="Arial" w:cs="Arial"/>
          <w:rtl/>
        </w:rPr>
        <w:t xml:space="preserve"> בין שטרות קרועין</w:t>
      </w:r>
      <w:r w:rsidRPr="001D49D4">
        <w:rPr>
          <w:rFonts w:ascii="Arial" w:eastAsia="Calibri" w:hAnsi="Arial" w:cs="Arial"/>
          <w:vertAlign w:val="superscript"/>
          <w:rtl/>
        </w:rPr>
        <w:footnoteReference w:id="4153"/>
      </w:r>
      <w:r w:rsidRPr="001D49D4">
        <w:rPr>
          <w:rFonts w:ascii="Arial" w:eastAsia="Calibri" w:hAnsi="Arial" w:cs="Arial"/>
          <w:rtl/>
        </w:rPr>
        <w:t>, הכא נמי: שמצאו בין שטרות קרועין. תא שמע: נמצא לאחד בין שטרותיו</w:t>
      </w:r>
      <w:r w:rsidRPr="001D49D4">
        <w:rPr>
          <w:rFonts w:ascii="Arial" w:eastAsia="Calibri" w:hAnsi="Arial" w:cs="Arial"/>
          <w:vertAlign w:val="superscript"/>
          <w:rtl/>
        </w:rPr>
        <w:footnoteReference w:id="4154"/>
      </w:r>
      <w:r w:rsidRPr="001D49D4">
        <w:rPr>
          <w:rFonts w:ascii="Arial" w:eastAsia="Calibri" w:hAnsi="Arial" w:cs="Arial"/>
          <w:rtl/>
        </w:rPr>
        <w:t xml:space="preserve"> שטרו של יוסף בן שמעון פרוע - שטרות שניהם פרועין</w:t>
      </w:r>
      <w:r w:rsidRPr="001D49D4">
        <w:rPr>
          <w:rFonts w:ascii="Arial" w:eastAsia="Calibri" w:hAnsi="Arial" w:cs="Arial"/>
          <w:vertAlign w:val="superscript"/>
          <w:rtl/>
        </w:rPr>
        <w:footnoteReference w:id="4155"/>
      </w:r>
      <w:r w:rsidRPr="001D49D4">
        <w:rPr>
          <w:rFonts w:ascii="Arial" w:eastAsia="Calibri" w:hAnsi="Arial" w:cs="Arial"/>
          <w:rtl/>
        </w:rPr>
        <w:t xml:space="preserve">. </w:t>
      </w:r>
      <w:r w:rsidRPr="001D49D4">
        <w:rPr>
          <w:rFonts w:ascii="Arial" w:eastAsia="Calibri" w:hAnsi="Arial" w:cs="Arial"/>
          <w:u w:val="single"/>
          <w:rtl/>
        </w:rPr>
        <w:t>כדאמר רב ספרא</w:t>
      </w:r>
      <w:r w:rsidRPr="001D49D4">
        <w:rPr>
          <w:rFonts w:ascii="Arial" w:eastAsia="Calibri" w:hAnsi="Arial" w:cs="Arial"/>
          <w:rtl/>
        </w:rPr>
        <w:t>: שנמצא</w:t>
      </w:r>
      <w:r w:rsidRPr="001D49D4">
        <w:rPr>
          <w:rFonts w:ascii="Arial" w:eastAsia="Calibri" w:hAnsi="Arial" w:cs="Arial"/>
          <w:vertAlign w:val="superscript"/>
          <w:rtl/>
        </w:rPr>
        <w:footnoteReference w:id="4156"/>
      </w:r>
      <w:r w:rsidRPr="001D49D4">
        <w:rPr>
          <w:rFonts w:ascii="Arial" w:eastAsia="Calibri" w:hAnsi="Arial" w:cs="Arial"/>
          <w:rtl/>
        </w:rPr>
        <w:t xml:space="preserve"> בין שטרות קרועין, הכא נמי שנמצא בין שטרות קרועין.</w:t>
      </w:r>
    </w:p>
    <w:p w14:paraId="719F5C4C" w14:textId="77777777" w:rsidR="001D49D4" w:rsidRPr="001D49D4" w:rsidRDefault="001D49D4" w:rsidP="0004348D">
      <w:pPr>
        <w:spacing w:before="360" w:after="240"/>
        <w:rPr>
          <w:rFonts w:ascii="Arial" w:eastAsia="Calibri" w:hAnsi="Arial" w:cs="Arial"/>
          <w:sz w:val="16"/>
          <w:szCs w:val="16"/>
          <w:rtl/>
        </w:rPr>
      </w:pPr>
      <w:r w:rsidRPr="001D49D4">
        <w:rPr>
          <w:rFonts w:ascii="Arial" w:eastAsia="Calibri" w:hAnsi="Arial" w:cs="Arial"/>
          <w:b/>
          <w:bCs/>
          <w:rtl/>
        </w:rPr>
        <w:t>בבא בתרא קעב</w:t>
      </w:r>
      <w:r w:rsidRPr="001D49D4">
        <w:rPr>
          <w:rFonts w:ascii="Arial" w:eastAsia="Calibri" w:hAnsi="Arial" w:cs="Arial"/>
          <w:vertAlign w:val="superscript"/>
          <w:rtl/>
        </w:rPr>
        <w:footnoteReference w:id="4157"/>
      </w:r>
      <w:r w:rsidRPr="001D49D4">
        <w:rPr>
          <w:rFonts w:ascii="Arial" w:eastAsia="Calibri" w:hAnsi="Arial" w:cs="Arial"/>
          <w:b/>
          <w:bCs/>
          <w:rtl/>
        </w:rPr>
        <w:t xml:space="preserve"> ע"א: </w:t>
      </w:r>
      <w:r w:rsidRPr="001D49D4">
        <w:rPr>
          <w:rFonts w:ascii="Arial" w:eastAsia="Calibri" w:hAnsi="Arial" w:cs="Arial"/>
          <w:u w:val="double"/>
          <w:rtl/>
        </w:rPr>
        <w:t>מתני':</w:t>
      </w:r>
      <w:r w:rsidRPr="001D49D4">
        <w:rPr>
          <w:rFonts w:ascii="Arial" w:eastAsia="Calibri" w:hAnsi="Arial" w:cs="Arial"/>
          <w:rtl/>
        </w:rPr>
        <w:t xml:space="preserve"> שנים שהיו בעיר אחת, שם אחד יוסף בן שמעון, ושם אחר יוסף בן שמעון... נמצא לאחד בין שטרותיו שטרו של יוסף בן שמעון פרוע - שטרות שניהן פרועין...          </w:t>
      </w:r>
      <w:r w:rsidRPr="001D49D4">
        <w:rPr>
          <w:rFonts w:ascii="Arial" w:eastAsia="Calibri" w:hAnsi="Arial" w:cs="Arial"/>
          <w:u w:val="double"/>
          <w:rtl/>
        </w:rPr>
        <w:t>גמ'</w:t>
      </w:r>
      <w:r w:rsidRPr="001D49D4">
        <w:rPr>
          <w:rFonts w:ascii="Arial" w:eastAsia="Calibri" w:hAnsi="Arial" w:cs="Arial"/>
          <w:sz w:val="16"/>
          <w:szCs w:val="16"/>
          <w:u w:val="double"/>
          <w:rtl/>
        </w:rPr>
        <w:t>(קעג.)</w:t>
      </w:r>
      <w:r w:rsidRPr="001D49D4">
        <w:rPr>
          <w:rFonts w:ascii="Arial" w:eastAsia="Calibri" w:hAnsi="Arial" w:cs="Arial"/>
          <w:u w:val="double"/>
          <w:rtl/>
        </w:rPr>
        <w:t>:</w:t>
      </w:r>
      <w:r w:rsidRPr="001D49D4">
        <w:rPr>
          <w:rFonts w:ascii="Arial" w:eastAsia="Calibri" w:hAnsi="Arial" w:cs="Arial"/>
          <w:rtl/>
        </w:rPr>
        <w:t xml:space="preserve"> נמצא לאחד</w:t>
      </w:r>
      <w:r w:rsidRPr="001D49D4">
        <w:rPr>
          <w:rFonts w:ascii="Arial" w:eastAsia="Calibri" w:hAnsi="Arial" w:cs="Arial"/>
          <w:vertAlign w:val="superscript"/>
          <w:rtl/>
        </w:rPr>
        <w:footnoteReference w:id="4158"/>
      </w:r>
      <w:r w:rsidRPr="001D49D4">
        <w:rPr>
          <w:rFonts w:ascii="Arial" w:eastAsia="Calibri" w:hAnsi="Arial" w:cs="Arial"/>
          <w:rtl/>
        </w:rPr>
        <w:t xml:space="preserve"> בין שטרותיו שטרו של יוסף בן שמעון פרוע - שטרות שניהם פרועין וכו'. טעמא דנמצא, הא לא נמצא - מצי מפיק, והאנן ולא אחר יכול להוציא עליהן שטר חוב תנן! </w:t>
      </w:r>
      <w:r w:rsidRPr="001D49D4">
        <w:rPr>
          <w:rFonts w:ascii="Arial" w:eastAsia="Calibri" w:hAnsi="Arial" w:cs="Arial"/>
          <w:u w:val="single"/>
          <w:rtl/>
        </w:rPr>
        <w:t>אמר רבי ירמיה</w:t>
      </w:r>
      <w:r w:rsidRPr="001D49D4">
        <w:rPr>
          <w:rFonts w:ascii="Arial" w:eastAsia="Calibri" w:hAnsi="Arial" w:cs="Arial"/>
          <w:rtl/>
        </w:rPr>
        <w:t>: במשולשין</w:t>
      </w:r>
      <w:r w:rsidRPr="001D49D4">
        <w:rPr>
          <w:rFonts w:ascii="Arial" w:eastAsia="Calibri" w:hAnsi="Arial" w:cs="Arial"/>
          <w:vertAlign w:val="superscript"/>
          <w:rtl/>
        </w:rPr>
        <w:footnoteReference w:id="4159"/>
      </w:r>
      <w:r w:rsidRPr="001D49D4">
        <w:rPr>
          <w:rFonts w:ascii="Arial" w:eastAsia="Calibri" w:hAnsi="Arial" w:cs="Arial"/>
          <w:rtl/>
        </w:rPr>
        <w:t xml:space="preserve">. ונחזי תברא בשמא דמאן דכתיב! </w:t>
      </w:r>
      <w:r w:rsidRPr="001D49D4">
        <w:rPr>
          <w:rFonts w:ascii="Arial" w:eastAsia="Calibri" w:hAnsi="Arial" w:cs="Arial"/>
          <w:u w:val="single"/>
          <w:rtl/>
        </w:rPr>
        <w:t>אמר רב הושעיא:</w:t>
      </w:r>
      <w:r w:rsidRPr="001D49D4">
        <w:rPr>
          <w:rFonts w:ascii="Arial" w:eastAsia="Calibri" w:hAnsi="Arial" w:cs="Arial"/>
          <w:rtl/>
        </w:rPr>
        <w:t xml:space="preserve"> במשולשין בשטר ואין משולשין בשובר. </w:t>
      </w:r>
      <w:r w:rsidRPr="001D49D4">
        <w:rPr>
          <w:rFonts w:ascii="Arial" w:eastAsia="Calibri" w:hAnsi="Arial" w:cs="Arial"/>
          <w:u w:val="single"/>
          <w:rtl/>
        </w:rPr>
        <w:t>אביי אמר</w:t>
      </w:r>
      <w:r w:rsidRPr="001D49D4">
        <w:rPr>
          <w:rFonts w:ascii="Arial" w:eastAsia="Calibri" w:hAnsi="Arial" w:cs="Arial"/>
          <w:vertAlign w:val="superscript"/>
          <w:rtl/>
        </w:rPr>
        <w:footnoteReference w:id="4160"/>
      </w:r>
      <w:r w:rsidRPr="001D49D4">
        <w:rPr>
          <w:rFonts w:ascii="Arial" w:eastAsia="Calibri" w:hAnsi="Arial" w:cs="Arial"/>
          <w:rtl/>
        </w:rPr>
        <w:t>, הכי קאמר: נמצא ללוה בין שטרותיו שטרו של יוסף בן שמעון עלי פרוע - שטרות שניהם פרועין.</w:t>
      </w:r>
      <w:r w:rsidRPr="001D49D4">
        <w:rPr>
          <w:rFonts w:ascii="Arial" w:eastAsia="Calibri" w:hAnsi="Arial" w:cs="Arial"/>
          <w:sz w:val="16"/>
          <w:szCs w:val="16"/>
          <w:rtl/>
        </w:rPr>
        <w:t xml:space="preserve"> (והטור כ' את הדין שמובא לקמן ע"פ תירוצו של רב ירמיה אליבא דרב הושעיא וכדאוקימנא כרב ספרא בב"מ </w:t>
      </w:r>
      <w:r w:rsidRPr="001D49D4">
        <w:rPr>
          <w:rFonts w:ascii="Arial" w:eastAsia="Calibri" w:hAnsi="Arial" w:cs="Arial"/>
          <w:sz w:val="14"/>
          <w:szCs w:val="14"/>
          <w:rtl/>
        </w:rPr>
        <w:t xml:space="preserve">[כ:] </w:t>
      </w:r>
      <w:r w:rsidRPr="001D49D4">
        <w:rPr>
          <w:rFonts w:ascii="Arial" w:eastAsia="Calibri" w:hAnsi="Arial" w:cs="Arial"/>
          <w:sz w:val="16"/>
          <w:szCs w:val="16"/>
          <w:rtl/>
        </w:rPr>
        <w:t xml:space="preserve">שהשטר נמצא בין שטרות קרועין וכו'. וכ' הב"י דסובר הטור דרבי ירמיה ואביי לא פליגי אלא מר מתרץ הכי ומר מתרץ הכי ומ"ש למעלה </w:t>
      </w:r>
      <w:r w:rsidRPr="001D49D4">
        <w:rPr>
          <w:rFonts w:ascii="Arial" w:eastAsia="Calibri" w:hAnsi="Arial" w:cs="Arial"/>
          <w:sz w:val="14"/>
          <w:szCs w:val="14"/>
          <w:rtl/>
        </w:rPr>
        <w:t>[מחוד' י, והעתיקו בסע' ז בשו"ע]</w:t>
      </w:r>
      <w:r w:rsidRPr="001D49D4">
        <w:rPr>
          <w:rFonts w:ascii="Arial" w:eastAsia="Calibri" w:hAnsi="Arial" w:cs="Arial"/>
          <w:sz w:val="16"/>
          <w:szCs w:val="16"/>
          <w:rtl/>
        </w:rPr>
        <w:t xml:space="preserve"> ואם יש בידו</w:t>
      </w:r>
      <w:r w:rsidRPr="001D49D4">
        <w:rPr>
          <w:rFonts w:ascii="Arial" w:eastAsia="Calibri" w:hAnsi="Arial" w:cs="Arial"/>
          <w:sz w:val="14"/>
          <w:szCs w:val="14"/>
          <w:rtl/>
        </w:rPr>
        <w:t xml:space="preserve"> {ביד הלוה}</w:t>
      </w:r>
      <w:r w:rsidRPr="001D49D4">
        <w:rPr>
          <w:rFonts w:ascii="Arial" w:eastAsia="Calibri" w:hAnsi="Arial" w:cs="Arial"/>
          <w:sz w:val="16"/>
          <w:szCs w:val="16"/>
          <w:rtl/>
        </w:rPr>
        <w:t xml:space="preserve"> שובר וכו' הם דברי אביי, ומ"ש כאן </w:t>
      </w:r>
      <w:r w:rsidRPr="001D49D4">
        <w:rPr>
          <w:rFonts w:ascii="Arial" w:eastAsia="Calibri" w:hAnsi="Arial" w:cs="Arial"/>
          <w:sz w:val="14"/>
          <w:szCs w:val="14"/>
          <w:rtl/>
        </w:rPr>
        <w:t>{גבי מלוה}</w:t>
      </w:r>
      <w:r w:rsidRPr="001D49D4">
        <w:rPr>
          <w:rFonts w:ascii="Arial" w:eastAsia="Calibri" w:hAnsi="Arial" w:cs="Arial"/>
          <w:sz w:val="16"/>
          <w:szCs w:val="16"/>
          <w:rtl/>
        </w:rPr>
        <w:t xml:space="preserve"> הם דברי רבי ירמיה</w:t>
      </w:r>
      <w:r w:rsidRPr="001D49D4">
        <w:rPr>
          <w:rFonts w:ascii="Arial" w:eastAsia="Calibri" w:hAnsi="Arial" w:cs="Arial"/>
          <w:sz w:val="18"/>
          <w:szCs w:val="18"/>
          <w:vertAlign w:val="superscript"/>
          <w:rtl/>
        </w:rPr>
        <w:footnoteReference w:id="4161"/>
      </w:r>
      <w:r w:rsidRPr="001D49D4">
        <w:rPr>
          <w:rFonts w:ascii="Arial" w:eastAsia="Calibri" w:hAnsi="Arial" w:cs="Arial"/>
          <w:sz w:val="16"/>
          <w:szCs w:val="16"/>
          <w:rtl/>
        </w:rPr>
        <w:t>)</w:t>
      </w:r>
    </w:p>
    <w:p w14:paraId="09A4B212" w14:textId="77777777" w:rsidR="001D49D4" w:rsidRPr="001D49D4" w:rsidRDefault="001D49D4" w:rsidP="0004348D">
      <w:pPr>
        <w:spacing w:before="360" w:after="240"/>
        <w:jc w:val="both"/>
        <w:rPr>
          <w:rFonts w:ascii="Arial" w:eastAsia="Calibri" w:hAnsi="Arial" w:cs="Arial"/>
          <w:rtl/>
        </w:rPr>
      </w:pPr>
      <w:r w:rsidRPr="001D49D4">
        <w:rPr>
          <w:rFonts w:ascii="Arial" w:eastAsia="Calibri" w:hAnsi="Arial" w:cs="Arial"/>
          <w:b/>
          <w:bCs/>
          <w:sz w:val="32"/>
          <w:szCs w:val="28"/>
          <w:u w:val="single"/>
          <w:rtl/>
        </w:rPr>
        <w:t xml:space="preserve">שו"ע: </w:t>
      </w:r>
    </w:p>
    <w:p w14:paraId="0E5003BB" w14:textId="77777777" w:rsidR="001D49D4" w:rsidRPr="001D49D4" w:rsidRDefault="001D49D4" w:rsidP="0004348D">
      <w:pPr>
        <w:spacing w:before="360" w:after="240"/>
        <w:rPr>
          <w:rFonts w:ascii="Arial" w:eastAsia="Calibri" w:hAnsi="Arial" w:cs="Arial"/>
          <w:rtl/>
        </w:rPr>
      </w:pPr>
      <w:r w:rsidRPr="001D49D4">
        <w:rPr>
          <w:rFonts w:ascii="Arial" w:eastAsia="Calibri" w:hAnsi="Arial" w:cs="Arial"/>
          <w:rtl/>
        </w:rPr>
        <w:t xml:space="preserve">מלוה אחד שהלוה לשני יוסף בן שמעון בשני שטרות והיו משולשים שניכר שטרו של כל אחד, ונמצא אצל המלוה שובר מקויים ששטרו של יוסף בן שמעון פרוע, ולא היה השובר משולש, ונמצאו שני השטרות בין שטרותיו של מלוה הקרועים, הורע כחם של השטרות ושניהם בחזקת פרועים. </w:t>
      </w:r>
    </w:p>
    <w:p w14:paraId="2EABD056" w14:textId="77777777" w:rsidR="001D49D4" w:rsidRPr="001D49D4" w:rsidRDefault="001D49D4" w:rsidP="0004348D">
      <w:pPr>
        <w:spacing w:before="360" w:after="240"/>
        <w:rPr>
          <w:rFonts w:ascii="Arial" w:eastAsia="Calibri" w:hAnsi="Arial" w:cs="Arial"/>
          <w:u w:val="single"/>
          <w:rtl/>
        </w:rPr>
      </w:pPr>
      <w:r w:rsidRPr="001D49D4">
        <w:rPr>
          <w:rFonts w:ascii="Arial" w:eastAsia="Calibri" w:hAnsi="Arial" w:cs="Arial"/>
          <w:u w:val="single"/>
          <w:rtl/>
        </w:rPr>
        <w:t xml:space="preserve">מדוע כתבו הטור והשו"ע "שובר </w:t>
      </w:r>
      <w:r w:rsidRPr="001D49D4">
        <w:rPr>
          <w:rFonts w:ascii="Arial" w:eastAsia="Calibri" w:hAnsi="Arial" w:cs="Arial"/>
          <w:b/>
          <w:bCs/>
          <w:u w:val="single"/>
          <w:rtl/>
        </w:rPr>
        <w:t>מקויים</w:t>
      </w:r>
      <w:r w:rsidRPr="001D49D4">
        <w:rPr>
          <w:rFonts w:ascii="Arial" w:eastAsia="Calibri" w:hAnsi="Arial" w:cs="Arial"/>
          <w:u w:val="single"/>
          <w:rtl/>
        </w:rPr>
        <w:t>"</w:t>
      </w:r>
      <w:r w:rsidRPr="001D49D4">
        <w:rPr>
          <w:rFonts w:ascii="Arial" w:eastAsia="Calibri" w:hAnsi="Arial" w:cs="Arial"/>
          <w:u w:val="single"/>
          <w:vertAlign w:val="superscript"/>
          <w:rtl/>
        </w:rPr>
        <w:footnoteReference w:id="4162"/>
      </w:r>
      <w:r w:rsidRPr="001D49D4">
        <w:rPr>
          <w:rFonts w:ascii="Arial" w:eastAsia="Calibri" w:hAnsi="Arial" w:cs="Arial"/>
          <w:u w:val="single"/>
          <w:rtl/>
        </w:rPr>
        <w:t xml:space="preserve">: </w:t>
      </w:r>
    </w:p>
    <w:p w14:paraId="10643DF3" w14:textId="77777777" w:rsidR="001D49D4" w:rsidRPr="001D49D4" w:rsidRDefault="001D49D4" w:rsidP="0004348D">
      <w:pPr>
        <w:numPr>
          <w:ilvl w:val="0"/>
          <w:numId w:val="307"/>
        </w:numPr>
        <w:spacing w:before="360" w:after="240"/>
        <w:contextualSpacing/>
        <w:rPr>
          <w:rFonts w:ascii="Arial" w:hAnsi="Arial"/>
          <w:rtl/>
        </w:rPr>
      </w:pPr>
      <w:r w:rsidRPr="001D49D4">
        <w:rPr>
          <w:rFonts w:ascii="Arial" w:hAnsi="Arial"/>
          <w:rtl/>
        </w:rPr>
        <w:t xml:space="preserve">ש"ך </w:t>
      </w:r>
      <w:r w:rsidRPr="001D49D4">
        <w:rPr>
          <w:rFonts w:ascii="Arial" w:hAnsi="Arial"/>
          <w:sz w:val="16"/>
          <w:szCs w:val="16"/>
          <w:rtl/>
        </w:rPr>
        <w:t>(תירוץ א', סקי"ח)</w:t>
      </w:r>
      <w:r w:rsidRPr="001D49D4">
        <w:rPr>
          <w:rFonts w:ascii="Arial" w:hAnsi="Arial"/>
          <w:rtl/>
        </w:rPr>
        <w:t xml:space="preserve"> ובאה"ט- סמי מכאן 'מקוים'. </w:t>
      </w:r>
    </w:p>
    <w:p w14:paraId="70A94A6C" w14:textId="77777777" w:rsidR="001D49D4" w:rsidRPr="001D49D4" w:rsidRDefault="001D49D4" w:rsidP="0004348D">
      <w:pPr>
        <w:numPr>
          <w:ilvl w:val="0"/>
          <w:numId w:val="307"/>
        </w:numPr>
        <w:spacing w:before="360" w:after="240"/>
        <w:contextualSpacing/>
        <w:rPr>
          <w:rFonts w:ascii="Arial" w:hAnsi="Arial"/>
        </w:rPr>
      </w:pPr>
      <w:r w:rsidRPr="001D49D4">
        <w:rPr>
          <w:rFonts w:ascii="Arial" w:hAnsi="Arial"/>
          <w:rtl/>
        </w:rPr>
        <w:t xml:space="preserve">ש"ך </w:t>
      </w:r>
      <w:r w:rsidRPr="001D49D4">
        <w:rPr>
          <w:rFonts w:ascii="Arial" w:hAnsi="Arial"/>
          <w:sz w:val="16"/>
          <w:szCs w:val="16"/>
          <w:rtl/>
        </w:rPr>
        <w:t xml:space="preserve">(תירוץ ב', סקי"ח) </w:t>
      </w:r>
      <w:r w:rsidRPr="001D49D4">
        <w:rPr>
          <w:rFonts w:ascii="Arial" w:hAnsi="Arial"/>
          <w:rtl/>
        </w:rPr>
        <w:t>גר"א</w:t>
      </w:r>
      <w:r w:rsidRPr="001D49D4">
        <w:rPr>
          <w:rFonts w:ascii="Arial" w:hAnsi="Arial"/>
          <w:sz w:val="16"/>
          <w:szCs w:val="16"/>
          <w:rtl/>
        </w:rPr>
        <w:t xml:space="preserve"> (סקל"א)</w:t>
      </w:r>
      <w:r w:rsidRPr="001D49D4">
        <w:rPr>
          <w:rFonts w:ascii="Arial" w:hAnsi="Arial"/>
          <w:rtl/>
        </w:rPr>
        <w:t xml:space="preserve"> ובאה"ט- מה שכתבו הטור והשו"ע "ונמצאו"</w:t>
      </w:r>
      <w:r w:rsidRPr="001D49D4">
        <w:rPr>
          <w:rFonts w:ascii="Arial" w:hAnsi="Arial"/>
          <w:sz w:val="16"/>
          <w:szCs w:val="16"/>
          <w:rtl/>
        </w:rPr>
        <w:t xml:space="preserve"> {האחרון}</w:t>
      </w:r>
      <w:r w:rsidRPr="001D49D4">
        <w:rPr>
          <w:rFonts w:ascii="Arial" w:hAnsi="Arial"/>
          <w:rtl/>
        </w:rPr>
        <w:t>- צריך לומר "או נמצאו"</w:t>
      </w:r>
      <w:r w:rsidRPr="001D49D4">
        <w:rPr>
          <w:rFonts w:ascii="Arial" w:hAnsi="Arial"/>
          <w:vertAlign w:val="superscript"/>
          <w:rtl/>
        </w:rPr>
        <w:footnoteReference w:id="4163"/>
      </w:r>
      <w:r w:rsidRPr="001D49D4">
        <w:rPr>
          <w:rFonts w:ascii="Arial" w:hAnsi="Arial"/>
          <w:rtl/>
        </w:rPr>
        <w:t>.</w:t>
      </w:r>
    </w:p>
    <w:p w14:paraId="29990573" w14:textId="77777777" w:rsidR="001D49D4" w:rsidRPr="001D49D4" w:rsidRDefault="001D49D4" w:rsidP="0004348D">
      <w:pPr>
        <w:numPr>
          <w:ilvl w:val="0"/>
          <w:numId w:val="307"/>
        </w:numPr>
        <w:spacing w:before="360" w:after="240"/>
        <w:contextualSpacing/>
        <w:rPr>
          <w:rFonts w:ascii="Arial" w:hAnsi="Arial"/>
          <w:rtl/>
        </w:rPr>
      </w:pPr>
      <w:r w:rsidRPr="001D49D4">
        <w:rPr>
          <w:rFonts w:ascii="Arial" w:hAnsi="Arial"/>
          <w:rtl/>
        </w:rPr>
        <w:t xml:space="preserve">סמ"ע </w:t>
      </w:r>
      <w:r w:rsidRPr="001D49D4">
        <w:rPr>
          <w:rFonts w:ascii="Arial" w:hAnsi="Arial"/>
          <w:sz w:val="16"/>
          <w:szCs w:val="16"/>
          <w:rtl/>
        </w:rPr>
        <w:t>(סקכ"ג)</w:t>
      </w:r>
      <w:r w:rsidRPr="001D49D4">
        <w:rPr>
          <w:rFonts w:ascii="Arial" w:hAnsi="Arial"/>
          <w:rtl/>
        </w:rPr>
        <w:t>- צריך לגרוס '</w:t>
      </w:r>
      <w:r w:rsidRPr="001D49D4">
        <w:rPr>
          <w:rFonts w:ascii="Arial" w:hAnsi="Arial"/>
          <w:u w:val="single"/>
          <w:rtl/>
        </w:rPr>
        <w:t>שטר</w:t>
      </w:r>
      <w:r w:rsidRPr="001D49D4">
        <w:rPr>
          <w:rFonts w:ascii="Arial" w:hAnsi="Arial"/>
          <w:rtl/>
        </w:rPr>
        <w:t xml:space="preserve"> מקוים', ופירושו- כל שהוא מקוים הוא ראיה שלא המלוה הזמינו ליתנו ללוה כשיפרענו ועדיין לא פרעו, דא"כ לא ה"ל להיות מקוים, דאין מדרך המלוה לקיים השובר אלא הלוה לאחר שפרע ובא לידו השובר, ואמרינן שאח"כ חזר והפקידו ביד המלוה.</w:t>
      </w:r>
    </w:p>
    <w:p w14:paraId="6E72DC20" w14:textId="77777777" w:rsidR="001D49D4" w:rsidRPr="001D49D4" w:rsidRDefault="001D49D4" w:rsidP="0004348D">
      <w:pPr>
        <w:numPr>
          <w:ilvl w:val="0"/>
          <w:numId w:val="307"/>
        </w:numPr>
        <w:spacing w:before="360" w:after="240"/>
        <w:contextualSpacing/>
        <w:rPr>
          <w:rFonts w:ascii="Arial" w:hAnsi="Arial"/>
          <w:rtl/>
        </w:rPr>
      </w:pPr>
      <w:r w:rsidRPr="001D49D4">
        <w:rPr>
          <w:rFonts w:ascii="Arial" w:hAnsi="Arial"/>
          <w:rtl/>
        </w:rPr>
        <w:t>ט"ז</w:t>
      </w:r>
      <w:r w:rsidRPr="001D49D4">
        <w:rPr>
          <w:rFonts w:ascii="Arial" w:hAnsi="Arial"/>
          <w:sz w:val="16"/>
          <w:szCs w:val="16"/>
          <w:rtl/>
        </w:rPr>
        <w:t xml:space="preserve"> (סי' סה סע' יח)</w:t>
      </w:r>
      <w:r w:rsidRPr="001D49D4">
        <w:rPr>
          <w:rFonts w:ascii="Arial" w:hAnsi="Arial"/>
          <w:rtl/>
        </w:rPr>
        <w:t>- כאן בעינן תרווייהו כיון דבעינן למיפסל ב' שטרות שיש לו למלוה על ב' יוסף בן שמעון</w:t>
      </w:r>
      <w:r w:rsidRPr="001D49D4">
        <w:rPr>
          <w:rFonts w:ascii="Arial" w:hAnsi="Arial"/>
          <w:vertAlign w:val="superscript"/>
          <w:rtl/>
        </w:rPr>
        <w:footnoteReference w:id="4164"/>
      </w:r>
      <w:r w:rsidRPr="001D49D4">
        <w:rPr>
          <w:rFonts w:ascii="Arial" w:hAnsi="Arial"/>
          <w:rtl/>
        </w:rPr>
        <w:t>, אבל בסי' מ"ה איכא מלוה אחד לכן פשיטא דבחדא מהני</w:t>
      </w:r>
      <w:r w:rsidRPr="001D49D4">
        <w:rPr>
          <w:rFonts w:ascii="Arial" w:hAnsi="Arial"/>
          <w:sz w:val="16"/>
          <w:szCs w:val="16"/>
          <w:rtl/>
        </w:rPr>
        <w:t xml:space="preserve"> (או שהשובר מקויים או שנמצאו השטרות בין הקרועים)</w:t>
      </w:r>
      <w:r w:rsidRPr="001D49D4">
        <w:rPr>
          <w:rFonts w:ascii="Arial" w:hAnsi="Arial"/>
          <w:rtl/>
        </w:rPr>
        <w:t>.</w:t>
      </w:r>
    </w:p>
    <w:p w14:paraId="47739F2D" w14:textId="77777777" w:rsidR="001D49D4" w:rsidRPr="001D49D4" w:rsidRDefault="001D49D4" w:rsidP="0004348D">
      <w:pPr>
        <w:numPr>
          <w:ilvl w:val="0"/>
          <w:numId w:val="307"/>
        </w:numPr>
        <w:spacing w:before="360" w:after="240"/>
        <w:contextualSpacing/>
        <w:rPr>
          <w:rFonts w:ascii="Arial" w:hAnsi="Arial"/>
          <w:rtl/>
        </w:rPr>
      </w:pPr>
      <w:r w:rsidRPr="001D49D4">
        <w:rPr>
          <w:rFonts w:ascii="Arial" w:hAnsi="Arial"/>
          <w:rtl/>
        </w:rPr>
        <w:t>ב"ח ובאה"ג- "משום דהכא אית ליה ריעותא לשובר כיון שהשטרות משולשין ושובר אינו משולש"</w:t>
      </w:r>
      <w:r w:rsidRPr="001D49D4">
        <w:rPr>
          <w:rFonts w:ascii="Arial" w:hAnsi="Arial"/>
          <w:sz w:val="14"/>
          <w:szCs w:val="14"/>
          <w:rtl/>
        </w:rPr>
        <w:t xml:space="preserve"> (ל' באה"ג)</w:t>
      </w:r>
      <w:r w:rsidRPr="001D49D4">
        <w:rPr>
          <w:rFonts w:ascii="Arial" w:hAnsi="Arial"/>
          <w:rtl/>
        </w:rPr>
        <w:t>.</w:t>
      </w:r>
    </w:p>
    <w:p w14:paraId="39AE5C63" w14:textId="77777777" w:rsidR="001D49D4" w:rsidRPr="001D49D4" w:rsidRDefault="001D49D4" w:rsidP="0004348D">
      <w:pPr>
        <w:numPr>
          <w:ilvl w:val="0"/>
          <w:numId w:val="307"/>
        </w:numPr>
        <w:spacing w:before="360" w:after="240"/>
        <w:contextualSpacing/>
        <w:rPr>
          <w:rFonts w:ascii="Arial" w:hAnsi="Arial"/>
        </w:rPr>
      </w:pPr>
      <w:r w:rsidRPr="001D49D4">
        <w:rPr>
          <w:rFonts w:ascii="Arial" w:hAnsi="Arial"/>
          <w:rtl/>
        </w:rPr>
        <w:t>אורים</w:t>
      </w:r>
      <w:r w:rsidRPr="001D49D4">
        <w:rPr>
          <w:rFonts w:ascii="Arial" w:hAnsi="Arial"/>
          <w:sz w:val="16"/>
          <w:szCs w:val="16"/>
          <w:rtl/>
        </w:rPr>
        <w:t xml:space="preserve"> (סקכ"ט)</w:t>
      </w:r>
      <w:r w:rsidRPr="001D49D4">
        <w:rPr>
          <w:rFonts w:ascii="Arial" w:hAnsi="Arial"/>
          <w:rtl/>
        </w:rPr>
        <w:t>- "י"ל דמלוה דאומר כן שכך מצאו ולא היה עדים במציאת השובר ושטרא בין קרועים ולכך בעינן תרתי, דאל"כ נאמן במגו וסבירא ליה דבספק ספיקא מוציאין".</w:t>
      </w:r>
    </w:p>
    <w:p w14:paraId="711B100A" w14:textId="77777777" w:rsidR="001D49D4" w:rsidRPr="001D49D4" w:rsidRDefault="001D49D4" w:rsidP="0004348D">
      <w:pPr>
        <w:spacing w:before="360" w:after="240"/>
        <w:rPr>
          <w:rFonts w:ascii="Arial" w:eastAsia="Calibri" w:hAnsi="Arial" w:cs="Arial"/>
          <w:rtl/>
        </w:rPr>
      </w:pPr>
    </w:p>
    <w:p w14:paraId="364333D0" w14:textId="77777777" w:rsidR="001D49D4" w:rsidRPr="001D49D4" w:rsidRDefault="001D49D4" w:rsidP="0004348D">
      <w:pPr>
        <w:keepNext/>
        <w:keepLines/>
        <w:spacing w:before="360" w:after="240"/>
        <w:outlineLvl w:val="1"/>
        <w:rPr>
          <w:rFonts w:ascii="Arial" w:eastAsia="Times New Roman" w:hAnsi="Arial" w:cs="Arial"/>
          <w:bCs/>
          <w:color w:val="548DD4" w:themeColor="text2" w:themeTint="99"/>
          <w:sz w:val="26"/>
          <w:szCs w:val="26"/>
          <w:rtl/>
        </w:rPr>
      </w:pPr>
      <w:bookmarkStart w:id="560" w:name="_Toc24883988"/>
      <w:r w:rsidRPr="001D49D4">
        <w:rPr>
          <w:rFonts w:ascii="Arial" w:eastAsia="Times New Roman" w:hAnsi="Arial" w:cs="Arial"/>
          <w:bCs/>
          <w:color w:val="548DD4" w:themeColor="text2" w:themeTint="99"/>
          <w:sz w:val="26"/>
          <w:szCs w:val="26"/>
          <w:rtl/>
        </w:rPr>
        <w:t>סעיף י: טריפת שדה מיוסף בן שמעון ויש שניים ששמם כך.</w:t>
      </w:r>
      <w:bookmarkEnd w:id="560"/>
    </w:p>
    <w:p w14:paraId="4B2786DB" w14:textId="77777777" w:rsidR="001D49D4" w:rsidRPr="001D49D4" w:rsidRDefault="001D49D4" w:rsidP="0004348D">
      <w:pPr>
        <w:spacing w:before="360" w:after="240"/>
        <w:rPr>
          <w:rFonts w:ascii="Arial" w:eastAsia="Calibri" w:hAnsi="Arial" w:cs="Arial"/>
          <w:rtl/>
        </w:rPr>
      </w:pPr>
      <w:bookmarkStart w:id="561" w:name="_Hlk21208525"/>
      <w:r w:rsidRPr="001D49D4">
        <w:rPr>
          <w:rFonts w:ascii="Arial" w:eastAsia="Calibri" w:hAnsi="Arial" w:cs="Arial"/>
          <w:b/>
          <w:bCs/>
          <w:rtl/>
        </w:rPr>
        <w:t>בכורות מח</w:t>
      </w:r>
      <w:r w:rsidRPr="001D49D4">
        <w:rPr>
          <w:rFonts w:ascii="Arial" w:eastAsia="Calibri" w:hAnsi="Arial" w:cs="Arial"/>
          <w:vertAlign w:val="superscript"/>
          <w:rtl/>
        </w:rPr>
        <w:footnoteReference w:id="4165"/>
      </w:r>
      <w:r w:rsidRPr="001D49D4">
        <w:rPr>
          <w:rFonts w:ascii="Arial" w:eastAsia="Calibri" w:hAnsi="Arial" w:cs="Arial"/>
          <w:b/>
          <w:bCs/>
          <w:rtl/>
        </w:rPr>
        <w:t xml:space="preserve"> ע"א: </w:t>
      </w:r>
      <w:r w:rsidRPr="001D49D4">
        <w:rPr>
          <w:rFonts w:ascii="Arial" w:eastAsia="Calibri" w:hAnsi="Arial" w:cs="Arial"/>
          <w:u w:val="single"/>
          <w:rtl/>
        </w:rPr>
        <w:t>א"ר ירמיה:</w:t>
      </w:r>
      <w:r w:rsidRPr="001D49D4">
        <w:rPr>
          <w:rFonts w:ascii="Arial" w:eastAsia="Calibri" w:hAnsi="Arial" w:cs="Arial"/>
          <w:rtl/>
        </w:rPr>
        <w:t xml:space="preserve"> זאת אומרת, שני יוסף בן שמעון</w:t>
      </w:r>
      <w:r w:rsidRPr="001D49D4">
        <w:rPr>
          <w:rFonts w:ascii="Arial" w:eastAsia="Calibri" w:hAnsi="Arial" w:cs="Arial"/>
          <w:vertAlign w:val="superscript"/>
          <w:rtl/>
        </w:rPr>
        <w:footnoteReference w:id="4166"/>
      </w:r>
      <w:r w:rsidRPr="001D49D4">
        <w:rPr>
          <w:rFonts w:ascii="Arial" w:eastAsia="Calibri" w:hAnsi="Arial" w:cs="Arial"/>
          <w:rtl/>
        </w:rPr>
        <w:t xml:space="preserve"> שהיו בעיר אחת ולקחו שדה בשותפות בעל חוב גובה אותה מהם, דאמר ליה, אי בדידך מסיקנא - מנתא דידך קא שקילנא,</w:t>
      </w:r>
      <w:bookmarkEnd w:id="561"/>
      <w:r w:rsidRPr="001D49D4">
        <w:rPr>
          <w:rFonts w:ascii="Arial" w:eastAsia="Calibri" w:hAnsi="Arial" w:cs="Arial"/>
          <w:rtl/>
        </w:rPr>
        <w:t xml:space="preserve"> ואי בחברך מסיקנא - מנתא דחברך קא שקילנא. </w:t>
      </w:r>
      <w:r w:rsidRPr="001D49D4">
        <w:rPr>
          <w:rFonts w:ascii="Arial" w:eastAsia="Calibri" w:hAnsi="Arial" w:cs="Arial"/>
          <w:u w:val="single"/>
          <w:rtl/>
        </w:rPr>
        <w:t>אמר רבא</w:t>
      </w:r>
      <w:r w:rsidRPr="001D49D4">
        <w:rPr>
          <w:rFonts w:ascii="Arial" w:eastAsia="Calibri" w:hAnsi="Arial" w:cs="Arial"/>
          <w:rtl/>
        </w:rPr>
        <w:t>: מכדי נכסי דבר איניש אינון ערבין ביה, מי איכא מידי דלדידיה לא מצי תבע ליה</w:t>
      </w:r>
      <w:r w:rsidRPr="001D49D4">
        <w:rPr>
          <w:rFonts w:ascii="Arial" w:eastAsia="Calibri" w:hAnsi="Arial" w:cs="Arial"/>
          <w:vertAlign w:val="superscript"/>
          <w:rtl/>
        </w:rPr>
        <w:footnoteReference w:id="4167"/>
      </w:r>
      <w:r w:rsidRPr="001D49D4">
        <w:rPr>
          <w:rFonts w:ascii="Arial" w:eastAsia="Calibri" w:hAnsi="Arial" w:cs="Arial"/>
          <w:rtl/>
        </w:rPr>
        <w:t>, ולערב מצי תבע ליה? והתנן: המלוה את חבירו על ידי ערב - לא יפרע מן הערב, וקי"ל דלא יתבע מן הערב תחלה</w:t>
      </w:r>
      <w:r w:rsidRPr="001D49D4">
        <w:rPr>
          <w:rFonts w:ascii="Arial" w:eastAsia="Calibri" w:hAnsi="Arial" w:cs="Arial"/>
          <w:vertAlign w:val="superscript"/>
          <w:rtl/>
        </w:rPr>
        <w:footnoteReference w:id="4168"/>
      </w:r>
      <w:r w:rsidRPr="001D49D4">
        <w:rPr>
          <w:rFonts w:ascii="Arial" w:eastAsia="Calibri" w:hAnsi="Arial" w:cs="Arial"/>
          <w:rtl/>
        </w:rPr>
        <w:t xml:space="preserve">! </w:t>
      </w:r>
    </w:p>
    <w:p w14:paraId="466D66A9" w14:textId="77777777" w:rsidR="001D49D4" w:rsidRPr="001D49D4" w:rsidRDefault="001D49D4" w:rsidP="0004348D">
      <w:pPr>
        <w:spacing w:before="360" w:after="240"/>
        <w:jc w:val="both"/>
        <w:rPr>
          <w:rFonts w:ascii="Arial" w:eastAsia="Calibri" w:hAnsi="Arial" w:cs="Arial"/>
          <w:rtl/>
        </w:rPr>
      </w:pPr>
      <w:r w:rsidRPr="001D49D4">
        <w:rPr>
          <w:rFonts w:ascii="Arial" w:eastAsia="Calibri" w:hAnsi="Arial" w:cs="Arial"/>
          <w:b/>
          <w:bCs/>
          <w:sz w:val="32"/>
          <w:szCs w:val="28"/>
          <w:u w:val="single"/>
          <w:rtl/>
        </w:rPr>
        <w:t xml:space="preserve">שו"ע: </w:t>
      </w:r>
    </w:p>
    <w:p w14:paraId="6E0838D5" w14:textId="77777777" w:rsidR="001D49D4" w:rsidRPr="001D49D4" w:rsidRDefault="001D49D4" w:rsidP="0004348D">
      <w:pPr>
        <w:spacing w:before="360" w:after="240"/>
        <w:rPr>
          <w:rFonts w:ascii="Arial" w:eastAsia="Calibri" w:hAnsi="Arial" w:cs="Arial"/>
          <w:rtl/>
        </w:rPr>
      </w:pPr>
      <w:r w:rsidRPr="001D49D4">
        <w:rPr>
          <w:rFonts w:ascii="Arial" w:eastAsia="Calibri" w:hAnsi="Arial" w:cs="Arial"/>
          <w:rtl/>
        </w:rPr>
        <w:t>שני יוסף בן שמעון שלוה אחד מהם מאחר, ונמצא לאחד מהם שדה שקנה מיוסף בן שמעון השני, או שהיו שותפים בו, אין המלוה יכול לטרוף השדה ולומר: אם לך הלויתי מוטב, ואם לחברך הלויתי כיון שאין לחבירך בני חורין</w:t>
      </w:r>
      <w:r w:rsidRPr="001D49D4">
        <w:rPr>
          <w:rFonts w:ascii="Arial" w:eastAsia="Calibri" w:hAnsi="Arial" w:cs="Arial"/>
          <w:vertAlign w:val="superscript"/>
          <w:rtl/>
        </w:rPr>
        <w:footnoteReference w:id="4169"/>
      </w:r>
      <w:r w:rsidRPr="001D49D4">
        <w:rPr>
          <w:rFonts w:ascii="Arial" w:eastAsia="Calibri" w:hAnsi="Arial" w:cs="Arial"/>
          <w:rtl/>
        </w:rPr>
        <w:t xml:space="preserve"> הרי לקחת שעבודי</w:t>
      </w:r>
      <w:r w:rsidRPr="001D49D4">
        <w:rPr>
          <w:rFonts w:ascii="Arial" w:eastAsia="Calibri" w:hAnsi="Arial" w:cs="Arial"/>
          <w:vertAlign w:val="superscript"/>
          <w:rtl/>
        </w:rPr>
        <w:footnoteReference w:id="4170"/>
      </w:r>
      <w:r w:rsidRPr="001D49D4">
        <w:rPr>
          <w:rFonts w:ascii="Arial" w:eastAsia="Calibri" w:hAnsi="Arial" w:cs="Arial"/>
          <w:rtl/>
        </w:rPr>
        <w:t>. וכן כשהם שותפים לא יוכל לגבות החצי ממה נפשך, לפי שאין נכסי בעל חוב משועבדים אלא מטעם ערב, והערב אינו משתעבד אלא במקום שיוכל לתבוע מהלוה עצמו, וכיון שאינו יכול לתבוע מהלוה עצמו אינו יכול לגבות מנכסיו. נמצא שהערב לשני יוסף בן שמעון, בין לשני מלוים בין למלוה אחד, כשם שאינו יכול לתבוע מהן כך אינו יכול לתבוע מהערב</w:t>
      </w:r>
      <w:r w:rsidRPr="001D49D4">
        <w:rPr>
          <w:rFonts w:ascii="Arial" w:eastAsia="Calibri" w:hAnsi="Arial" w:cs="Arial"/>
          <w:vertAlign w:val="superscript"/>
          <w:rtl/>
        </w:rPr>
        <w:footnoteReference w:id="4171"/>
      </w:r>
      <w:r w:rsidRPr="001D49D4">
        <w:rPr>
          <w:rFonts w:ascii="Arial" w:eastAsia="Calibri" w:hAnsi="Arial" w:cs="Arial"/>
          <w:rtl/>
        </w:rPr>
        <w:t>.</w:t>
      </w:r>
    </w:p>
    <w:p w14:paraId="4C79429B" w14:textId="77777777" w:rsidR="001D49D4" w:rsidRPr="001D49D4" w:rsidRDefault="001D49D4" w:rsidP="0004348D">
      <w:pPr>
        <w:bidi w:val="0"/>
        <w:spacing w:before="360" w:after="240"/>
        <w:rPr>
          <w:rFonts w:ascii="Cambria" w:eastAsia="Times New Roman" w:hAnsi="Cambria" w:cs="Arial"/>
          <w:b/>
          <w:bCs/>
          <w:color w:val="365F91" w:themeColor="accent1" w:themeShade="BF"/>
          <w:sz w:val="28"/>
          <w:szCs w:val="28"/>
          <w:rtl/>
        </w:rPr>
        <w:sectPr w:rsidR="001D49D4" w:rsidRPr="001D49D4">
          <w:headerReference w:type="default" r:id="rId58"/>
          <w:footnotePr>
            <w:numRestart w:val="eachPage"/>
          </w:footnotePr>
          <w:pgSz w:w="11906" w:h="16838"/>
          <w:pgMar w:top="720" w:right="1134" w:bottom="720" w:left="1134" w:header="0" w:footer="0" w:gutter="0"/>
          <w:cols w:space="720"/>
          <w:bidi/>
          <w:rtlGutter/>
        </w:sectPr>
      </w:pPr>
    </w:p>
    <w:p w14:paraId="62FD1EA1" w14:textId="77777777" w:rsidR="001D49D4" w:rsidRPr="001D49D4" w:rsidRDefault="001D49D4" w:rsidP="0004348D">
      <w:pPr>
        <w:keepNext/>
        <w:keepLines/>
        <w:spacing w:before="360" w:after="240"/>
        <w:outlineLvl w:val="0"/>
        <w:rPr>
          <w:rFonts w:ascii="Cambria" w:eastAsia="Times New Roman" w:hAnsi="Cambria" w:cs="Arial"/>
          <w:b/>
          <w:bCs/>
          <w:color w:val="365F91" w:themeColor="accent1" w:themeShade="BF"/>
          <w:sz w:val="28"/>
          <w:szCs w:val="28"/>
          <w:rtl/>
        </w:rPr>
      </w:pPr>
      <w:bookmarkStart w:id="562" w:name="_Toc24883989"/>
      <w:r w:rsidRPr="001D49D4">
        <w:rPr>
          <w:rFonts w:ascii="Cambria" w:eastAsia="Times New Roman" w:hAnsi="Cambria" w:cs="Arial"/>
          <w:b/>
          <w:bCs/>
          <w:color w:val="365F91" w:themeColor="accent1" w:themeShade="BF"/>
          <w:sz w:val="28"/>
          <w:szCs w:val="28"/>
          <w:rtl/>
        </w:rPr>
        <w:t>סימן נ: שטר שכתוב בו: לויתי ממך מנה, ובו סעיף אחד.</w:t>
      </w:r>
      <w:bookmarkEnd w:id="562"/>
      <w:r w:rsidRPr="001D49D4">
        <w:rPr>
          <w:rFonts w:ascii="Cambria" w:eastAsia="Times New Roman" w:hAnsi="Cambria" w:cs="Arial"/>
          <w:b/>
          <w:bCs/>
          <w:color w:val="365F91" w:themeColor="accent1" w:themeShade="BF"/>
          <w:sz w:val="28"/>
          <w:szCs w:val="28"/>
          <w:rtl/>
        </w:rPr>
        <w:t xml:space="preserve"> </w:t>
      </w:r>
    </w:p>
    <w:p w14:paraId="238CFD07" w14:textId="77777777" w:rsidR="001D49D4" w:rsidRPr="001D49D4" w:rsidRDefault="001D49D4" w:rsidP="0004348D">
      <w:pPr>
        <w:keepNext/>
        <w:keepLines/>
        <w:spacing w:before="360" w:after="240"/>
        <w:outlineLvl w:val="1"/>
        <w:rPr>
          <w:rFonts w:ascii="Cambria" w:eastAsia="Times New Roman" w:hAnsi="Cambria" w:cs="Arial"/>
          <w:bCs/>
          <w:color w:val="548DD4" w:themeColor="text2" w:themeTint="99"/>
          <w:sz w:val="26"/>
          <w:szCs w:val="26"/>
          <w:rtl/>
        </w:rPr>
      </w:pPr>
      <w:bookmarkStart w:id="563" w:name="_Toc24883990"/>
      <w:r w:rsidRPr="001D49D4">
        <w:rPr>
          <w:rFonts w:ascii="Cambria" w:eastAsia="Times New Roman" w:hAnsi="Cambria" w:cs="Arial"/>
          <w:bCs/>
          <w:color w:val="548DD4" w:themeColor="text2" w:themeTint="99"/>
          <w:sz w:val="26"/>
          <w:szCs w:val="26"/>
          <w:rtl/>
        </w:rPr>
        <w:t>סעיף א</w:t>
      </w:r>
      <w:bookmarkEnd w:id="563"/>
    </w:p>
    <w:p w14:paraId="72D3B6A7"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b/>
          <w:bCs/>
          <w:rtl/>
        </w:rPr>
        <w:t xml:space="preserve">בבא בתרא </w:t>
      </w:r>
      <w:r w:rsidRPr="001D49D4">
        <w:rPr>
          <w:rFonts w:ascii="Calibri" w:eastAsia="Calibri" w:hAnsi="Calibri" w:cs="Arial"/>
          <w:b/>
          <w:bCs/>
          <w:sz w:val="16"/>
          <w:szCs w:val="16"/>
          <w:rtl/>
        </w:rPr>
        <w:t xml:space="preserve">(פרק גט פשוט) </w:t>
      </w:r>
      <w:r w:rsidRPr="001D49D4">
        <w:rPr>
          <w:rFonts w:ascii="Calibri" w:eastAsia="Calibri" w:hAnsi="Calibri" w:cs="Arial"/>
          <w:b/>
          <w:bCs/>
          <w:rtl/>
        </w:rPr>
        <w:t>קעב</w:t>
      </w:r>
      <w:r w:rsidRPr="001D49D4">
        <w:rPr>
          <w:rFonts w:ascii="Calibri" w:eastAsia="Calibri" w:hAnsi="Calibri" w:cs="Arial"/>
          <w:b/>
          <w:bCs/>
          <w:vertAlign w:val="superscript"/>
          <w:rtl/>
        </w:rPr>
        <w:footnoteReference w:id="4172"/>
      </w:r>
      <w:r w:rsidRPr="001D49D4">
        <w:rPr>
          <w:rFonts w:ascii="Calibri" w:eastAsia="Calibri" w:hAnsi="Calibri" w:cs="Arial"/>
          <w:b/>
          <w:bCs/>
          <w:rtl/>
        </w:rPr>
        <w:t xml:space="preserve"> ע"א: </w:t>
      </w:r>
      <w:r w:rsidRPr="001D49D4">
        <w:rPr>
          <w:rFonts w:ascii="Calibri" w:eastAsia="Calibri" w:hAnsi="Calibri" w:cs="Arial"/>
          <w:rtl/>
        </w:rPr>
        <w:t xml:space="preserve">ההוא שטרא דנפק לבי דינא דרב הונא, דהוה כתיב ביה - אני פלוני בר פלוני לויתי מנה ממך. </w:t>
      </w:r>
      <w:r w:rsidRPr="001D49D4">
        <w:rPr>
          <w:rFonts w:ascii="Calibri" w:eastAsia="Calibri" w:hAnsi="Calibri" w:cs="Arial"/>
          <w:sz w:val="14"/>
          <w:szCs w:val="14"/>
          <w:rtl/>
        </w:rPr>
        <w:t>(קעב:)</w:t>
      </w:r>
      <w:r w:rsidRPr="001D49D4">
        <w:rPr>
          <w:rFonts w:ascii="Calibri" w:eastAsia="Calibri" w:hAnsi="Calibri" w:cs="Arial"/>
          <w:rtl/>
        </w:rPr>
        <w:t xml:space="preserve"> </w:t>
      </w:r>
      <w:r w:rsidRPr="001D49D4">
        <w:rPr>
          <w:rFonts w:ascii="Calibri" w:eastAsia="Calibri" w:hAnsi="Calibri" w:cs="Arial"/>
          <w:u w:val="single"/>
          <w:rtl/>
        </w:rPr>
        <w:t>אמר רב הונא</w:t>
      </w:r>
      <w:r w:rsidRPr="001D49D4">
        <w:rPr>
          <w:rFonts w:ascii="Calibri" w:eastAsia="Calibri" w:hAnsi="Calibri" w:cs="Arial"/>
          <w:rtl/>
        </w:rPr>
        <w:t xml:space="preserve">: ממך - אפילו מריש גלותא, ואפילו משבור מלכא. </w:t>
      </w:r>
      <w:r w:rsidRPr="001D49D4">
        <w:rPr>
          <w:rFonts w:ascii="Calibri" w:eastAsia="Calibri" w:hAnsi="Calibri" w:cs="Arial"/>
          <w:u w:val="single"/>
          <w:rtl/>
        </w:rPr>
        <w:t>אמר ליה רב חסדא לרבא</w:t>
      </w:r>
      <w:r w:rsidRPr="001D49D4">
        <w:rPr>
          <w:rFonts w:ascii="Calibri" w:eastAsia="Calibri" w:hAnsi="Calibri" w:cs="Arial"/>
          <w:rtl/>
        </w:rPr>
        <w:t xml:space="preserve">: פוק עיין בה, דלאורתא בעי לה רב הונא מינך. נפק דק ואשכח, דתניא: גט שיש עליו עדים ואין בו זמן, אבא שאול אומר, אם כתוב בו גרשתיה היום – כשר. אלמא היום - ההוא יומא דנפיק ביה משמע, הכא נמי ממך - מההוא גברא דנפיק מתותי ידיה משמע. </w:t>
      </w:r>
      <w:r w:rsidRPr="001D49D4">
        <w:rPr>
          <w:rFonts w:ascii="Calibri" w:eastAsia="Calibri" w:hAnsi="Calibri" w:cs="Arial"/>
          <w:u w:val="single"/>
          <w:rtl/>
        </w:rPr>
        <w:t>אמר ליה אביי</w:t>
      </w:r>
      <w:r w:rsidRPr="001D49D4">
        <w:rPr>
          <w:rFonts w:ascii="Calibri" w:eastAsia="Calibri" w:hAnsi="Calibri" w:cs="Arial"/>
          <w:rtl/>
        </w:rPr>
        <w:t xml:space="preserve">: ודלמא אבא שאול כרבי אליעזר סבירא ליה, דאמר: עדי מסירה כרתי, אבל הכא ליחוש לנפילה! אמר ליה: לנפילה לא חיישינן. ומנא תימרא דלא חיישינן לנפילה? דתנן: שנים שהיו בעיר אחת, שם אחד יוסף בן שמעון ושם אחר יוסף בן שמעון - אינן יכולין להוציא שטר חוב זה על זה, ולא אחר יוכל להוציא עליהן שטר חוב. הא הם על אחרים - יכולין, ואמאי? ליחוש לנפילה! אלא לאו שמע מינה: לנפילה לא חיישינן. ואביי? לנפילה דחד לא חיישינן, לנפילה דרבים חיישינן. </w:t>
      </w:r>
      <w:r w:rsidRPr="001D49D4">
        <w:rPr>
          <w:rFonts w:ascii="Calibri" w:eastAsia="Calibri" w:hAnsi="Calibri" w:cs="Arial"/>
          <w:sz w:val="16"/>
          <w:szCs w:val="16"/>
          <w:rtl/>
        </w:rPr>
        <w:t>(ופסקו הרא"ש (סי' לה) והרי"ף (פ.) והרמב"ם (הל' מלוה ולוה פכ"ד ה"ט) כרבא דאמר שכל המוציאו גובה בו, ב"י</w:t>
      </w:r>
      <w:r w:rsidRPr="001D49D4">
        <w:rPr>
          <w:rFonts w:ascii="Calibri" w:eastAsia="Calibri" w:hAnsi="Calibri" w:cs="Arial"/>
          <w:sz w:val="16"/>
          <w:szCs w:val="16"/>
          <w:vertAlign w:val="superscript"/>
          <w:rtl/>
        </w:rPr>
        <w:footnoteReference w:id="4173"/>
      </w:r>
      <w:r w:rsidRPr="001D49D4">
        <w:rPr>
          <w:rFonts w:ascii="Calibri" w:eastAsia="Calibri" w:hAnsi="Calibri" w:cs="Arial"/>
          <w:sz w:val="16"/>
          <w:szCs w:val="16"/>
          <w:rtl/>
        </w:rPr>
        <w:t>. וכ"פ הטור עיין לקמן)</w:t>
      </w:r>
      <w:r w:rsidRPr="001D49D4">
        <w:rPr>
          <w:rFonts w:ascii="Calibri" w:eastAsia="Calibri" w:hAnsi="Calibri" w:cs="Arial"/>
          <w:rtl/>
        </w:rPr>
        <w:t xml:space="preserve"> </w:t>
      </w:r>
    </w:p>
    <w:p w14:paraId="3F131EF4"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u w:val="single"/>
          <w:rtl/>
        </w:rPr>
        <w:t>שטר שכתוב בו 'אני פלוני לויתי ממך מנה':</w:t>
      </w:r>
    </w:p>
    <w:p w14:paraId="5B973AE6" w14:textId="77777777" w:rsidR="001D49D4" w:rsidRPr="001D49D4" w:rsidRDefault="001D49D4" w:rsidP="0004348D">
      <w:pPr>
        <w:numPr>
          <w:ilvl w:val="0"/>
          <w:numId w:val="299"/>
        </w:numPr>
        <w:spacing w:before="360" w:after="240"/>
        <w:contextualSpacing/>
        <w:rPr>
          <w:rtl/>
        </w:rPr>
      </w:pPr>
      <w:r w:rsidRPr="001D49D4">
        <w:rPr>
          <w:rtl/>
        </w:rPr>
        <w:t>טור- שטר שכתוב בו 'אני פלוני לויתי ממך מנה' - כל המוציאו גובה בו, שיאמר המוציאו 'ממני לוית ולא הוצרכתי לפרט את שמי שכשמסרת לידי כתבת לויתי ממך'. ודוקא</w:t>
      </w:r>
      <w:r w:rsidRPr="001D49D4">
        <w:rPr>
          <w:vertAlign w:val="superscript"/>
          <w:rtl/>
        </w:rPr>
        <w:footnoteReference w:id="4174"/>
      </w:r>
      <w:r w:rsidRPr="001D49D4">
        <w:rPr>
          <w:rtl/>
        </w:rPr>
        <w:t xml:space="preserve"> בשטר גמור חתום בעדים</w:t>
      </w:r>
      <w:r w:rsidRPr="001D49D4">
        <w:rPr>
          <w:vertAlign w:val="superscript"/>
          <w:rtl/>
        </w:rPr>
        <w:footnoteReference w:id="4175"/>
      </w:r>
      <w:r w:rsidRPr="001D49D4">
        <w:rPr>
          <w:rtl/>
        </w:rPr>
        <w:t xml:space="preserve"> אבל אם הוא כתב ידו בלא עדים, מתוך שיכול לומר 'פרעתי' יכול לומר 'לא לויתי ממך אלא מאחר ונפל ממנו ומצאתו'.</w:t>
      </w:r>
      <w:r w:rsidRPr="001D49D4">
        <w:rPr>
          <w:color w:val="E36C0A" w:themeColor="accent6" w:themeShade="BF"/>
          <w:rtl/>
        </w:rPr>
        <w:t xml:space="preserve"> (וכ"פ בשו"ע)</w:t>
      </w:r>
    </w:p>
    <w:p w14:paraId="53BB759A" w14:textId="77777777" w:rsidR="001D49D4" w:rsidRPr="001D49D4" w:rsidRDefault="001D49D4" w:rsidP="0004348D">
      <w:pPr>
        <w:spacing w:before="360" w:after="240"/>
        <w:ind w:left="360"/>
        <w:rPr>
          <w:rFonts w:ascii="Calibri" w:eastAsia="Calibri" w:hAnsi="Calibri" w:cs="Arial"/>
          <w:u w:val="dotted"/>
        </w:rPr>
      </w:pPr>
      <w:r w:rsidRPr="001D49D4">
        <w:rPr>
          <w:rFonts w:ascii="Calibri" w:eastAsia="Calibri" w:hAnsi="Calibri" w:cs="Arial"/>
          <w:u w:val="dotted"/>
          <w:rtl/>
        </w:rPr>
        <w:t>ומה הדין אם אחד הוציא שטר כזה, ופלוני הלוה פרע לו, ועשה לו המלוה ממנו שובר:</w:t>
      </w:r>
    </w:p>
    <w:p w14:paraId="599B6BF0" w14:textId="77777777" w:rsidR="001D49D4" w:rsidRPr="001D49D4" w:rsidRDefault="001D49D4" w:rsidP="0004348D">
      <w:pPr>
        <w:numPr>
          <w:ilvl w:val="0"/>
          <w:numId w:val="299"/>
        </w:numPr>
        <w:spacing w:before="360" w:after="240"/>
        <w:contextualSpacing/>
      </w:pPr>
      <w:r w:rsidRPr="001D49D4">
        <w:rPr>
          <w:rtl/>
        </w:rPr>
        <w:t xml:space="preserve">נמוק"י </w:t>
      </w:r>
      <w:r w:rsidRPr="001D49D4">
        <w:rPr>
          <w:sz w:val="16"/>
          <w:szCs w:val="16"/>
          <w:rtl/>
        </w:rPr>
        <w:t>(פ. ד"ה ההוא שטרא)</w:t>
      </w:r>
      <w:r w:rsidRPr="001D49D4">
        <w:rPr>
          <w:rtl/>
        </w:rPr>
        <w:t xml:space="preserve">- ומיהו כל שהוציא אחד שטר זה ופרעו לו ועשה ממנו שובר נמחל שעבודו לכל אדם שיוציאנו מכאן ואילך שלא נתחייב אלא במנה בלבד. </w:t>
      </w:r>
      <w:r w:rsidRPr="001D49D4">
        <w:rPr>
          <w:color w:val="00B0F0"/>
          <w:rtl/>
        </w:rPr>
        <w:t>(וכ"פ הרמ"א)</w:t>
      </w:r>
    </w:p>
    <w:p w14:paraId="3A88AB9B" w14:textId="77777777" w:rsidR="001D49D4" w:rsidRPr="001D49D4" w:rsidRDefault="001D49D4" w:rsidP="0004348D">
      <w:pPr>
        <w:spacing w:before="360" w:after="240"/>
        <w:rPr>
          <w:rFonts w:ascii="Calibri" w:eastAsia="Calibri" w:hAnsi="Calibri" w:cs="Arial"/>
          <w:u w:val="single"/>
          <w:rtl/>
        </w:rPr>
      </w:pPr>
      <w:r w:rsidRPr="001D49D4">
        <w:rPr>
          <w:rFonts w:ascii="Calibri" w:eastAsia="Calibri" w:hAnsi="Calibri" w:cs="Arial"/>
          <w:u w:val="single"/>
          <w:rtl/>
        </w:rPr>
        <w:t xml:space="preserve">שטר שכתוב בו 'נשתעבד </w:t>
      </w:r>
      <w:r w:rsidRPr="001D49D4">
        <w:rPr>
          <w:rFonts w:ascii="Calibri" w:eastAsia="Calibri" w:hAnsi="Calibri" w:cs="Arial"/>
          <w:b/>
          <w:bCs/>
          <w:u w:val="single"/>
          <w:rtl/>
        </w:rPr>
        <w:t>לפלוני</w:t>
      </w:r>
      <w:r w:rsidRPr="001D49D4">
        <w:rPr>
          <w:rFonts w:ascii="Calibri" w:eastAsia="Calibri" w:hAnsi="Calibri" w:cs="Arial"/>
          <w:u w:val="single"/>
          <w:rtl/>
        </w:rPr>
        <w:t xml:space="preserve"> ולכל' – האם האדם שמוציאו צריך לבוא מכח פלוני:</w:t>
      </w:r>
    </w:p>
    <w:p w14:paraId="282C35D9" w14:textId="77777777" w:rsidR="001D49D4" w:rsidRPr="001D49D4" w:rsidRDefault="001D49D4" w:rsidP="0004348D">
      <w:pPr>
        <w:numPr>
          <w:ilvl w:val="0"/>
          <w:numId w:val="299"/>
        </w:numPr>
        <w:spacing w:before="360" w:after="240"/>
        <w:contextualSpacing/>
      </w:pPr>
      <w:r w:rsidRPr="001D49D4">
        <w:rPr>
          <w:rtl/>
        </w:rPr>
        <w:t xml:space="preserve">רי"ו </w:t>
      </w:r>
      <w:r w:rsidRPr="001D49D4">
        <w:rPr>
          <w:sz w:val="16"/>
          <w:szCs w:val="16"/>
          <w:rtl/>
        </w:rPr>
        <w:t>(נ"ו ח"ה כד:)</w:t>
      </w:r>
      <w:r w:rsidRPr="001D49D4">
        <w:rPr>
          <w:rtl/>
        </w:rPr>
        <w:t xml:space="preserve">- אם כתוב בו 'נשתעבד לפלוני ולכל' - המוציאו צריך שיבא מכח המלוה, ואי לא - לא, כמו משתעבדנא לך ולכל דאתי מחמתך </w:t>
      </w:r>
      <w:r w:rsidRPr="001D49D4">
        <w:rPr>
          <w:sz w:val="16"/>
          <w:szCs w:val="16"/>
          <w:rtl/>
        </w:rPr>
        <w:t>(גיטין יג:)</w:t>
      </w:r>
      <w:r w:rsidRPr="001D49D4">
        <w:rPr>
          <w:rtl/>
        </w:rPr>
        <w:t>, ולכך מועיל לפלוני ולכל מוציא שטר זה, כך כתב הרשב"א, ונראה מדבריו שאם התנה 'ולכל מוציא בין בטענתו בין שלא בטענתו' שאין צריך לבא מכח המלוה אלא כל המוציאו יגבהו.</w:t>
      </w:r>
      <w:r w:rsidRPr="001D49D4">
        <w:rPr>
          <w:color w:val="00B0F0"/>
          <w:rtl/>
        </w:rPr>
        <w:t xml:space="preserve"> (וכ"פ הרמ"א)</w:t>
      </w:r>
    </w:p>
    <w:p w14:paraId="431A85D2" w14:textId="77777777" w:rsidR="001D49D4" w:rsidRPr="001D49D4" w:rsidRDefault="001D49D4" w:rsidP="0004348D">
      <w:pPr>
        <w:spacing w:before="360" w:after="240"/>
        <w:rPr>
          <w:rFonts w:ascii="Calibri" w:eastAsia="Calibri" w:hAnsi="Calibri" w:cs="Arial"/>
          <w:u w:val="single"/>
        </w:rPr>
      </w:pPr>
      <w:r w:rsidRPr="001D49D4">
        <w:rPr>
          <w:rFonts w:ascii="Calibri" w:eastAsia="Calibri" w:hAnsi="Calibri" w:cs="Arial"/>
          <w:u w:val="single"/>
          <w:rtl/>
        </w:rPr>
        <w:t>שטר שכתוב בו 'נשתעבד לכל המוציאו'</w:t>
      </w:r>
      <w:r w:rsidRPr="001D49D4">
        <w:rPr>
          <w:rFonts w:ascii="Calibri" w:eastAsia="Calibri" w:hAnsi="Calibri" w:cs="Arial"/>
          <w:sz w:val="16"/>
          <w:szCs w:val="16"/>
          <w:u w:val="single"/>
          <w:rtl/>
        </w:rPr>
        <w:t xml:space="preserve"> (היינו שלא מוזכר שם המלוה)</w:t>
      </w:r>
      <w:r w:rsidRPr="001D49D4">
        <w:rPr>
          <w:rFonts w:ascii="Calibri" w:eastAsia="Calibri" w:hAnsi="Calibri" w:cs="Arial"/>
          <w:u w:val="single"/>
          <w:rtl/>
        </w:rPr>
        <w:t>:</w:t>
      </w:r>
      <w:r w:rsidRPr="001D49D4">
        <w:rPr>
          <w:rFonts w:ascii="Calibri" w:eastAsia="Calibri" w:hAnsi="Calibri" w:cs="Arial"/>
          <w:rtl/>
        </w:rPr>
        <w:t xml:space="preserve"> </w:t>
      </w:r>
      <w:r w:rsidRPr="001D49D4">
        <w:rPr>
          <w:rFonts w:ascii="Calibri" w:eastAsia="Calibri" w:hAnsi="Calibri" w:cs="Arial"/>
          <w:sz w:val="16"/>
          <w:szCs w:val="16"/>
          <w:rtl/>
        </w:rPr>
        <w:t>(דרכ"מ אות ב)</w:t>
      </w:r>
    </w:p>
    <w:p w14:paraId="6B8CA7C5" w14:textId="77777777" w:rsidR="001D49D4" w:rsidRPr="001D49D4" w:rsidRDefault="001D49D4" w:rsidP="0004348D">
      <w:pPr>
        <w:numPr>
          <w:ilvl w:val="0"/>
          <w:numId w:val="299"/>
        </w:numPr>
        <w:spacing w:before="360" w:after="240"/>
        <w:contextualSpacing/>
      </w:pPr>
      <w:r w:rsidRPr="001D49D4">
        <w:rPr>
          <w:rtl/>
        </w:rPr>
        <w:t xml:space="preserve">רא"ש </w:t>
      </w:r>
      <w:r w:rsidRPr="001D49D4">
        <w:rPr>
          <w:sz w:val="16"/>
          <w:szCs w:val="16"/>
          <w:rtl/>
        </w:rPr>
        <w:t>(כלל סח סי' ט וסי' יא, כ"כ בשמו הדרכ"מ [אות ב])</w:t>
      </w:r>
      <w:r w:rsidRPr="001D49D4">
        <w:rPr>
          <w:rtl/>
        </w:rPr>
        <w:t xml:space="preserve">- שטר שכתוב בו 'נשתעבד לכל המוציאו' אע"ג שהוציאו אחד שלא הכירו מעולם וברור שלא חייב לו כלום מ"מ נשתעבד לכל המוציאו וצריך לשלם לו. </w:t>
      </w:r>
      <w:r w:rsidRPr="001D49D4">
        <w:rPr>
          <w:color w:val="00B0F0"/>
          <w:rtl/>
        </w:rPr>
        <w:t>(וכ"פ הרמ"א)</w:t>
      </w:r>
    </w:p>
    <w:p w14:paraId="0E0D32A5"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u w:val="single"/>
          <w:rtl/>
        </w:rPr>
        <w:t>פסק דין שנכתב על ראובן ונכתב בו שחייב למי שכנגדו ולא נזכר בו מי הוא:</w:t>
      </w:r>
      <w:r w:rsidRPr="001D49D4">
        <w:rPr>
          <w:rFonts w:ascii="Calibri" w:eastAsia="Calibri" w:hAnsi="Calibri" w:cs="Arial"/>
          <w:rtl/>
        </w:rPr>
        <w:t xml:space="preserve"> </w:t>
      </w:r>
      <w:r w:rsidRPr="001D49D4">
        <w:rPr>
          <w:rFonts w:ascii="Calibri" w:eastAsia="Calibri" w:hAnsi="Calibri" w:cs="Arial"/>
          <w:sz w:val="16"/>
          <w:szCs w:val="16"/>
          <w:rtl/>
        </w:rPr>
        <w:t xml:space="preserve">(דרכ"מ אות א) </w:t>
      </w:r>
    </w:p>
    <w:p w14:paraId="2B5CA402" w14:textId="77777777" w:rsidR="001D49D4" w:rsidRPr="001D49D4" w:rsidRDefault="001D49D4" w:rsidP="0004348D">
      <w:pPr>
        <w:numPr>
          <w:ilvl w:val="0"/>
          <w:numId w:val="299"/>
        </w:numPr>
        <w:spacing w:before="360" w:after="240"/>
        <w:contextualSpacing/>
        <w:rPr>
          <w:rtl/>
        </w:rPr>
      </w:pPr>
      <w:r w:rsidRPr="001D49D4">
        <w:rPr>
          <w:rtl/>
        </w:rPr>
        <w:t xml:space="preserve">מרדכי </w:t>
      </w:r>
      <w:r w:rsidRPr="001D49D4">
        <w:rPr>
          <w:sz w:val="16"/>
          <w:szCs w:val="16"/>
          <w:rtl/>
        </w:rPr>
        <w:t>(ב"ב סי' תרמז)</w:t>
      </w:r>
      <w:r w:rsidRPr="001D49D4">
        <w:rPr>
          <w:rtl/>
        </w:rPr>
        <w:t xml:space="preserve">- פסק דין שנכתב על ראובן, ונכתב בו שחייב למי שכנגדו ולא נזכר בו מי הוא - כל מי שיוציאנו חייב לשלם לו. </w:t>
      </w:r>
      <w:r w:rsidRPr="001D49D4">
        <w:rPr>
          <w:color w:val="00B0F0"/>
          <w:rtl/>
        </w:rPr>
        <w:t>(וכ"פ הרמ"א)</w:t>
      </w:r>
    </w:p>
    <w:p w14:paraId="1C0C9FD2" w14:textId="77777777" w:rsidR="001D49D4" w:rsidRPr="001D49D4" w:rsidRDefault="001D49D4" w:rsidP="0004348D">
      <w:pPr>
        <w:spacing w:before="360" w:after="240"/>
        <w:rPr>
          <w:rFonts w:ascii="Arial" w:eastAsia="Calibri" w:hAnsi="Arial" w:cs="Arial"/>
          <w:b/>
          <w:bCs/>
          <w:color w:val="000000"/>
          <w:sz w:val="28"/>
          <w:szCs w:val="28"/>
          <w:u w:val="single"/>
        </w:rPr>
      </w:pPr>
      <w:r w:rsidRPr="001D49D4">
        <w:rPr>
          <w:rFonts w:ascii="Arial" w:eastAsia="Calibri" w:hAnsi="Arial" w:cs="Arial"/>
          <w:b/>
          <w:bCs/>
          <w:color w:val="000000"/>
          <w:sz w:val="28"/>
          <w:szCs w:val="28"/>
          <w:u w:val="single"/>
          <w:rtl/>
        </w:rPr>
        <w:t>שו"ע:</w:t>
      </w:r>
    </w:p>
    <w:p w14:paraId="2B5BEC85" w14:textId="77777777" w:rsidR="001D49D4" w:rsidRPr="001D49D4" w:rsidRDefault="001D49D4" w:rsidP="0004348D">
      <w:pPr>
        <w:spacing w:before="360" w:after="240"/>
        <w:rPr>
          <w:rFonts w:ascii="Calibri" w:eastAsia="Calibri" w:hAnsi="Calibri" w:cs="Arial"/>
          <w:sz w:val="18"/>
          <w:szCs w:val="18"/>
          <w:rtl/>
        </w:rPr>
      </w:pPr>
      <w:r w:rsidRPr="001D49D4">
        <w:rPr>
          <w:rFonts w:ascii="Calibri" w:eastAsia="Calibri" w:hAnsi="Calibri" w:cs="Arial"/>
          <w:rtl/>
        </w:rPr>
        <w:t>שטר בעדים</w:t>
      </w:r>
      <w:r w:rsidRPr="001D49D4">
        <w:rPr>
          <w:rFonts w:ascii="Calibri" w:eastAsia="Calibri" w:hAnsi="Calibri" w:cs="Arial"/>
          <w:vertAlign w:val="superscript"/>
          <w:rtl/>
        </w:rPr>
        <w:footnoteReference w:id="4176"/>
      </w:r>
      <w:r w:rsidRPr="001D49D4">
        <w:rPr>
          <w:rFonts w:ascii="Calibri" w:eastAsia="Calibri" w:hAnsi="Calibri" w:cs="Arial"/>
          <w:rtl/>
        </w:rPr>
        <w:t xml:space="preserve"> שכתוב בו 'אני פלוני לויתי ממך מנה', כל המוציאו גובה בו. אבל אם אין בו עדים אלא שהוא כתב ידו, מתוך שנאמן לומר פרעתי</w:t>
      </w:r>
      <w:r w:rsidRPr="001D49D4">
        <w:rPr>
          <w:rFonts w:ascii="Calibri" w:eastAsia="Calibri" w:hAnsi="Calibri" w:cs="Arial"/>
          <w:vertAlign w:val="superscript"/>
          <w:rtl/>
        </w:rPr>
        <w:footnoteReference w:id="4177"/>
      </w:r>
      <w:r w:rsidRPr="001D49D4">
        <w:rPr>
          <w:rFonts w:ascii="Calibri" w:eastAsia="Calibri" w:hAnsi="Calibri" w:cs="Arial"/>
          <w:rtl/>
        </w:rPr>
        <w:t>, נאמן לומר לא לויתי ממך</w:t>
      </w:r>
      <w:r w:rsidRPr="001D49D4">
        <w:rPr>
          <w:rFonts w:ascii="Calibri" w:eastAsia="Calibri" w:hAnsi="Calibri" w:cs="Arial"/>
          <w:vertAlign w:val="superscript"/>
          <w:rtl/>
        </w:rPr>
        <w:footnoteReference w:id="4178"/>
      </w:r>
      <w:r w:rsidRPr="001D49D4">
        <w:rPr>
          <w:rFonts w:ascii="Calibri" w:eastAsia="Calibri" w:hAnsi="Calibri" w:cs="Arial"/>
          <w:rtl/>
        </w:rPr>
        <w:t xml:space="preserve"> אלא מאחר ונפל ממנו ומצאתו. </w:t>
      </w:r>
      <w:r w:rsidRPr="001D49D4">
        <w:rPr>
          <w:rFonts w:ascii="Calibri" w:eastAsia="Calibri" w:hAnsi="Calibri" w:cs="Arial"/>
          <w:sz w:val="18"/>
          <w:szCs w:val="18"/>
          <w:rtl/>
        </w:rPr>
        <w:t>הגה: וה"ה פסק דין שכתב בו 'פלוני נתחייב לכנגדו', חייב לשלם למי שמוציאו</w:t>
      </w:r>
      <w:r w:rsidRPr="001D49D4">
        <w:rPr>
          <w:rFonts w:ascii="Calibri" w:eastAsia="Calibri" w:hAnsi="Calibri" w:cs="Arial"/>
          <w:sz w:val="18"/>
          <w:szCs w:val="18"/>
          <w:vertAlign w:val="superscript"/>
          <w:rtl/>
        </w:rPr>
        <w:footnoteReference w:id="4179"/>
      </w:r>
      <w:r w:rsidRPr="001D49D4">
        <w:rPr>
          <w:rFonts w:ascii="Calibri" w:eastAsia="Calibri" w:hAnsi="Calibri" w:cs="Arial"/>
          <w:sz w:val="18"/>
          <w:szCs w:val="18"/>
          <w:rtl/>
        </w:rPr>
        <w:t xml:space="preserve"> </w:t>
      </w:r>
      <w:r w:rsidRPr="001D49D4">
        <w:rPr>
          <w:rFonts w:ascii="Calibri" w:eastAsia="Calibri" w:hAnsi="Calibri" w:cs="Arial"/>
          <w:sz w:val="16"/>
          <w:szCs w:val="16"/>
          <w:rtl/>
        </w:rPr>
        <w:t>(מרדכי ופסקי רקנטי סי' תלז, ותשו' מהר"ם ד"פ סי' תקכא)</w:t>
      </w:r>
      <w:r w:rsidRPr="001D49D4">
        <w:rPr>
          <w:rFonts w:ascii="Calibri" w:eastAsia="Calibri" w:hAnsi="Calibri" w:cs="Arial"/>
          <w:sz w:val="18"/>
          <w:szCs w:val="18"/>
          <w:rtl/>
        </w:rPr>
        <w:t>. וכן שטר שכתוב בו 'פלוני חייב לפלוני או לכל מי שמוציאו'</w:t>
      </w:r>
      <w:r w:rsidRPr="001D49D4">
        <w:rPr>
          <w:rFonts w:ascii="Calibri" w:eastAsia="Calibri" w:hAnsi="Calibri" w:cs="Arial"/>
          <w:sz w:val="18"/>
          <w:szCs w:val="18"/>
          <w:vertAlign w:val="superscript"/>
          <w:rtl/>
        </w:rPr>
        <w:footnoteReference w:id="4180"/>
      </w:r>
      <w:r w:rsidRPr="001D49D4">
        <w:rPr>
          <w:rFonts w:ascii="Calibri" w:eastAsia="Calibri" w:hAnsi="Calibri" w:cs="Arial"/>
          <w:sz w:val="18"/>
          <w:szCs w:val="18"/>
          <w:rtl/>
        </w:rPr>
        <w:t>, חייב לשלם לכל מי שמוציאו, ודוקא שבא מחמת אותו פלוני</w:t>
      </w:r>
      <w:r w:rsidRPr="001D49D4">
        <w:rPr>
          <w:rFonts w:ascii="Calibri" w:eastAsia="Calibri" w:hAnsi="Calibri" w:cs="Arial"/>
          <w:sz w:val="18"/>
          <w:szCs w:val="18"/>
          <w:vertAlign w:val="superscript"/>
          <w:rtl/>
        </w:rPr>
        <w:footnoteReference w:id="4181"/>
      </w:r>
      <w:r w:rsidRPr="001D49D4">
        <w:rPr>
          <w:rFonts w:ascii="Calibri" w:eastAsia="Calibri" w:hAnsi="Calibri" w:cs="Arial"/>
          <w:sz w:val="18"/>
          <w:szCs w:val="18"/>
          <w:rtl/>
        </w:rPr>
        <w:t xml:space="preserve">, אא"כ כתוב בפירוש 'בין בא מחמתו או שלא מחמתו' </w:t>
      </w:r>
      <w:r w:rsidRPr="001D49D4">
        <w:rPr>
          <w:rFonts w:ascii="Calibri" w:eastAsia="Calibri" w:hAnsi="Calibri" w:cs="Arial"/>
          <w:sz w:val="16"/>
          <w:szCs w:val="16"/>
          <w:rtl/>
        </w:rPr>
        <w:t>(רי"ו)</w:t>
      </w:r>
      <w:r w:rsidRPr="001D49D4">
        <w:rPr>
          <w:rFonts w:ascii="Calibri" w:eastAsia="Calibri" w:hAnsi="Calibri" w:cs="Arial"/>
          <w:sz w:val="18"/>
          <w:szCs w:val="18"/>
          <w:rtl/>
        </w:rPr>
        <w:t>. ואם נכתב שובר משום אדם על שטר זה אח"כ, שום אדם לא יוכל לגבות בו</w:t>
      </w:r>
      <w:r w:rsidRPr="001D49D4">
        <w:rPr>
          <w:rFonts w:ascii="Calibri" w:eastAsia="Calibri" w:hAnsi="Calibri" w:cs="Arial"/>
          <w:sz w:val="18"/>
          <w:szCs w:val="18"/>
          <w:vertAlign w:val="superscript"/>
          <w:rtl/>
        </w:rPr>
        <w:footnoteReference w:id="4182"/>
      </w:r>
      <w:r w:rsidRPr="001D49D4">
        <w:rPr>
          <w:rFonts w:ascii="Calibri" w:eastAsia="Calibri" w:hAnsi="Calibri" w:cs="Arial"/>
          <w:sz w:val="18"/>
          <w:szCs w:val="18"/>
          <w:rtl/>
        </w:rPr>
        <w:t xml:space="preserve"> </w:t>
      </w:r>
      <w:r w:rsidRPr="001D49D4">
        <w:rPr>
          <w:rFonts w:ascii="Calibri" w:eastAsia="Calibri" w:hAnsi="Calibri" w:cs="Arial"/>
          <w:sz w:val="16"/>
          <w:szCs w:val="16"/>
          <w:rtl/>
        </w:rPr>
        <w:t>(נמוק"י בשם הר"מ והריטב"א)</w:t>
      </w:r>
      <w:r w:rsidRPr="001D49D4">
        <w:rPr>
          <w:rFonts w:ascii="Calibri" w:eastAsia="Calibri" w:hAnsi="Calibri" w:cs="Arial"/>
          <w:sz w:val="18"/>
          <w:szCs w:val="18"/>
          <w:rtl/>
        </w:rPr>
        <w:t xml:space="preserve">. ואם כתב בשטר שמשעבד עצמו נגד המוציא שטר חוב זה עליו, אע"ג שידוע שלא היה חייב לו מעולם, מ"מ חייב לשלם לו, דהרי מ"מ נשתעבד נגדו </w:t>
      </w:r>
      <w:r w:rsidRPr="001D49D4">
        <w:rPr>
          <w:rFonts w:ascii="Calibri" w:eastAsia="Calibri" w:hAnsi="Calibri" w:cs="Arial"/>
          <w:sz w:val="16"/>
          <w:szCs w:val="16"/>
          <w:rtl/>
        </w:rPr>
        <w:t>(רא"ש כלל סח סי' ט וסי' יא)</w:t>
      </w:r>
      <w:r w:rsidRPr="001D49D4">
        <w:rPr>
          <w:rFonts w:ascii="Calibri" w:eastAsia="Calibri" w:hAnsi="Calibri" w:cs="Arial"/>
          <w:sz w:val="18"/>
          <w:szCs w:val="18"/>
          <w:rtl/>
        </w:rPr>
        <w:t>, וכמו שנתבאר לעיל סימן מ'. ועיין לקמן סימן ס"א סעיף י'</w:t>
      </w:r>
      <w:r w:rsidRPr="001D49D4">
        <w:rPr>
          <w:rFonts w:ascii="Calibri" w:eastAsia="Calibri" w:hAnsi="Calibri" w:cs="Arial"/>
          <w:sz w:val="18"/>
          <w:szCs w:val="18"/>
          <w:vertAlign w:val="superscript"/>
          <w:rtl/>
        </w:rPr>
        <w:footnoteReference w:id="4183"/>
      </w:r>
      <w:r w:rsidRPr="001D49D4">
        <w:rPr>
          <w:rFonts w:ascii="Calibri" w:eastAsia="Calibri" w:hAnsi="Calibri" w:cs="Arial"/>
          <w:sz w:val="18"/>
          <w:szCs w:val="18"/>
          <w:rtl/>
        </w:rPr>
        <w:t>.</w:t>
      </w:r>
    </w:p>
    <w:p w14:paraId="008D6AC2" w14:textId="77777777" w:rsidR="001D49D4" w:rsidRPr="001D49D4" w:rsidRDefault="001D49D4" w:rsidP="0004348D">
      <w:pPr>
        <w:spacing w:before="360" w:after="240"/>
        <w:rPr>
          <w:rFonts w:ascii="Calibri" w:eastAsia="Calibri" w:hAnsi="Calibri" w:cs="Arial"/>
          <w:sz w:val="12"/>
          <w:szCs w:val="12"/>
          <w:rtl/>
        </w:rPr>
      </w:pPr>
      <w:r w:rsidRPr="001D49D4">
        <w:rPr>
          <w:rFonts w:ascii="Calibri" w:eastAsia="Calibri" w:hAnsi="Calibri" w:cs="Arial"/>
          <w:u w:val="single"/>
          <w:rtl/>
        </w:rPr>
        <w:t>מי שחייב ושעבד עצמו בשטר לפרוע לכל מי שילוה לשמעון סך פלוני</w:t>
      </w:r>
      <w:r w:rsidRPr="001D49D4">
        <w:rPr>
          <w:rFonts w:ascii="Calibri" w:eastAsia="Calibri" w:hAnsi="Calibri" w:cs="Arial"/>
          <w:sz w:val="18"/>
          <w:szCs w:val="18"/>
          <w:u w:val="single"/>
          <w:rtl/>
        </w:rPr>
        <w:t>:</w:t>
      </w:r>
      <w:r w:rsidRPr="001D49D4">
        <w:rPr>
          <w:rFonts w:ascii="Calibri" w:eastAsia="Calibri" w:hAnsi="Calibri" w:cs="Arial"/>
          <w:sz w:val="12"/>
          <w:szCs w:val="12"/>
          <w:rtl/>
        </w:rPr>
        <w:t xml:space="preserve"> </w:t>
      </w:r>
      <w:r w:rsidRPr="001D49D4">
        <w:rPr>
          <w:rFonts w:ascii="Calibri" w:eastAsia="Calibri" w:hAnsi="Calibri" w:cs="Arial"/>
          <w:sz w:val="16"/>
          <w:szCs w:val="16"/>
          <w:rtl/>
        </w:rPr>
        <w:t xml:space="preserve"> (ש"ך סק"ח)</w:t>
      </w:r>
    </w:p>
    <w:p w14:paraId="4C45500B" w14:textId="77777777" w:rsidR="001D49D4" w:rsidRPr="001D49D4" w:rsidRDefault="001D49D4" w:rsidP="0004348D">
      <w:pPr>
        <w:numPr>
          <w:ilvl w:val="0"/>
          <w:numId w:val="299"/>
        </w:numPr>
        <w:spacing w:before="360" w:after="240"/>
        <w:contextualSpacing/>
        <w:rPr>
          <w:rtl/>
        </w:rPr>
      </w:pPr>
      <w:r w:rsidRPr="001D49D4">
        <w:rPr>
          <w:rtl/>
        </w:rPr>
        <w:t xml:space="preserve">מהר"א ן' ששון </w:t>
      </w:r>
      <w:r w:rsidRPr="001D49D4">
        <w:rPr>
          <w:sz w:val="16"/>
          <w:szCs w:val="16"/>
          <w:rtl/>
        </w:rPr>
        <w:t>(סי' קכב וקעח)</w:t>
      </w:r>
      <w:r w:rsidRPr="001D49D4">
        <w:rPr>
          <w:rtl/>
        </w:rPr>
        <w:t>- מי שחייב ושעבד עצמו בשטר לפרוע לכל מי שילוה לשמעון סך פלוני - חייב לשלם לו, דהרי מ"מ נשתעבד נגדו</w:t>
      </w:r>
      <w:r w:rsidRPr="001D49D4">
        <w:rPr>
          <w:vertAlign w:val="superscript"/>
          <w:rtl/>
        </w:rPr>
        <w:footnoteReference w:id="4184"/>
      </w:r>
      <w:r w:rsidRPr="001D49D4">
        <w:rPr>
          <w:rtl/>
        </w:rPr>
        <w:t xml:space="preserve">. </w:t>
      </w:r>
    </w:p>
    <w:p w14:paraId="1A1C9F59" w14:textId="77777777" w:rsidR="001D49D4" w:rsidRPr="001D49D4" w:rsidRDefault="001D49D4" w:rsidP="0004348D">
      <w:pPr>
        <w:spacing w:before="360" w:after="240"/>
        <w:rPr>
          <w:rFonts w:ascii="Calibri" w:eastAsia="Calibri" w:hAnsi="Calibri" w:cs="Arial"/>
          <w:rtl/>
        </w:rPr>
      </w:pPr>
    </w:p>
    <w:p w14:paraId="5719E71B" w14:textId="77777777" w:rsidR="001D49D4" w:rsidRPr="001D49D4" w:rsidRDefault="001D49D4" w:rsidP="0004348D">
      <w:pPr>
        <w:bidi w:val="0"/>
        <w:spacing w:before="360" w:after="240"/>
        <w:rPr>
          <w:rFonts w:ascii="Cambria" w:eastAsia="Times New Roman" w:hAnsi="Cambria" w:cs="Arial"/>
          <w:b/>
          <w:bCs/>
          <w:color w:val="365F91" w:themeColor="accent1" w:themeShade="BF"/>
          <w:sz w:val="28"/>
          <w:szCs w:val="28"/>
          <w:rtl/>
        </w:rPr>
        <w:sectPr w:rsidR="001D49D4" w:rsidRPr="001D49D4">
          <w:headerReference w:type="default" r:id="rId59"/>
          <w:footnotePr>
            <w:numRestart w:val="eachPage"/>
          </w:footnotePr>
          <w:pgSz w:w="11906" w:h="16838"/>
          <w:pgMar w:top="720" w:right="1134" w:bottom="720" w:left="1134" w:header="0" w:footer="0" w:gutter="0"/>
          <w:cols w:space="720"/>
          <w:bidi/>
          <w:rtlGutter/>
        </w:sectPr>
      </w:pPr>
    </w:p>
    <w:p w14:paraId="17C3E57B" w14:textId="77777777" w:rsidR="001D49D4" w:rsidRPr="001D49D4" w:rsidRDefault="001D49D4" w:rsidP="0004348D">
      <w:pPr>
        <w:keepNext/>
        <w:keepLines/>
        <w:spacing w:before="360" w:after="240"/>
        <w:outlineLvl w:val="0"/>
        <w:rPr>
          <w:rFonts w:ascii="Cambria" w:eastAsia="Times New Roman" w:hAnsi="Cambria" w:cs="Arial"/>
          <w:b/>
          <w:bCs/>
          <w:color w:val="365F91" w:themeColor="accent1" w:themeShade="BF"/>
          <w:sz w:val="28"/>
          <w:szCs w:val="28"/>
          <w:rtl/>
        </w:rPr>
      </w:pPr>
      <w:bookmarkStart w:id="564" w:name="_Toc24883991"/>
      <w:r w:rsidRPr="001D49D4">
        <w:rPr>
          <w:rFonts w:ascii="Cambria" w:eastAsia="Times New Roman" w:hAnsi="Cambria" w:cs="Arial"/>
          <w:b/>
          <w:bCs/>
          <w:color w:val="365F91" w:themeColor="accent1" w:themeShade="BF"/>
          <w:sz w:val="28"/>
          <w:szCs w:val="28"/>
          <w:rtl/>
        </w:rPr>
        <w:t>סימן נא: שטר שאין בו אלא עד אחד, או אחד מהם פסול, ובו ז' סעיפים.</w:t>
      </w:r>
      <w:bookmarkEnd w:id="564"/>
      <w:r w:rsidRPr="001D49D4">
        <w:rPr>
          <w:rFonts w:ascii="Cambria" w:eastAsia="Times New Roman" w:hAnsi="Cambria" w:cs="Arial"/>
          <w:b/>
          <w:bCs/>
          <w:color w:val="365F91" w:themeColor="accent1" w:themeShade="BF"/>
          <w:sz w:val="28"/>
          <w:szCs w:val="28"/>
          <w:rtl/>
        </w:rPr>
        <w:t xml:space="preserve"> </w:t>
      </w:r>
    </w:p>
    <w:p w14:paraId="51475E06" w14:textId="77777777" w:rsidR="001D49D4" w:rsidRPr="001D49D4" w:rsidRDefault="001D49D4" w:rsidP="0004348D">
      <w:pPr>
        <w:keepNext/>
        <w:keepLines/>
        <w:spacing w:before="360" w:after="240"/>
        <w:outlineLvl w:val="1"/>
        <w:rPr>
          <w:rFonts w:ascii="Cambria" w:eastAsia="Times New Roman" w:hAnsi="Cambria" w:cs="Arial"/>
          <w:bCs/>
          <w:color w:val="548DD4" w:themeColor="text2" w:themeTint="99"/>
          <w:sz w:val="26"/>
          <w:szCs w:val="26"/>
          <w:rtl/>
        </w:rPr>
      </w:pPr>
      <w:bookmarkStart w:id="565" w:name="_Toc24883992"/>
      <w:r w:rsidRPr="001D49D4">
        <w:rPr>
          <w:rFonts w:ascii="Cambria" w:eastAsia="Times New Roman" w:hAnsi="Cambria" w:cs="Arial"/>
          <w:bCs/>
          <w:color w:val="548DD4" w:themeColor="text2" w:themeTint="99"/>
          <w:sz w:val="26"/>
          <w:szCs w:val="26"/>
          <w:rtl/>
        </w:rPr>
        <w:t>סעיף א: שטר שאין בו אלא עד אחד ואחד מעיד על פה.</w:t>
      </w:r>
      <w:bookmarkEnd w:id="565"/>
    </w:p>
    <w:p w14:paraId="39EEEAD1"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b/>
          <w:bCs/>
          <w:rtl/>
        </w:rPr>
        <w:t xml:space="preserve">בבא בתרא </w:t>
      </w:r>
      <w:r w:rsidRPr="001D49D4">
        <w:rPr>
          <w:rFonts w:ascii="Calibri" w:eastAsia="Calibri" w:hAnsi="Calibri" w:cs="Arial"/>
          <w:b/>
          <w:bCs/>
          <w:sz w:val="16"/>
          <w:szCs w:val="16"/>
          <w:rtl/>
        </w:rPr>
        <w:t xml:space="preserve">(ר"פ גט פשוט) </w:t>
      </w:r>
      <w:r w:rsidRPr="001D49D4">
        <w:rPr>
          <w:rFonts w:ascii="Calibri" w:eastAsia="Calibri" w:hAnsi="Calibri" w:cs="Arial"/>
          <w:b/>
          <w:bCs/>
          <w:rtl/>
        </w:rPr>
        <w:t>קס</w:t>
      </w:r>
      <w:r w:rsidRPr="001D49D4">
        <w:rPr>
          <w:rFonts w:ascii="Calibri" w:eastAsia="Calibri" w:hAnsi="Calibri" w:cs="Arial"/>
          <w:b/>
          <w:bCs/>
          <w:vertAlign w:val="superscript"/>
          <w:rtl/>
        </w:rPr>
        <w:footnoteReference w:id="4185"/>
      </w:r>
      <w:r w:rsidRPr="001D49D4">
        <w:rPr>
          <w:rFonts w:ascii="Calibri" w:eastAsia="Calibri" w:hAnsi="Calibri" w:cs="Arial"/>
          <w:b/>
          <w:bCs/>
          <w:rtl/>
        </w:rPr>
        <w:t xml:space="preserve"> ע"א:</w:t>
      </w:r>
      <w:r w:rsidRPr="001D49D4">
        <w:rPr>
          <w:rFonts w:ascii="Calibri" w:eastAsia="Calibri" w:hAnsi="Calibri" w:cs="Arial"/>
          <w:rtl/>
        </w:rPr>
        <w:t xml:space="preserve"> </w:t>
      </w:r>
      <w:r w:rsidRPr="001D49D4">
        <w:rPr>
          <w:rFonts w:ascii="Calibri" w:eastAsia="Calibri" w:hAnsi="Calibri" w:cs="Arial"/>
          <w:u w:val="double"/>
          <w:rtl/>
        </w:rPr>
        <w:t>מתני'</w:t>
      </w:r>
      <w:r w:rsidRPr="001D49D4">
        <w:rPr>
          <w:rFonts w:ascii="Calibri" w:eastAsia="Calibri" w:hAnsi="Calibri" w:cs="Arial"/>
          <w:rtl/>
        </w:rPr>
        <w:t xml:space="preserve">: גט... פשוט שכתב בו עד אחד, ומקושר שכתב בו שני עדים - שניהם פסולין. </w:t>
      </w:r>
      <w:r w:rsidRPr="001D49D4">
        <w:rPr>
          <w:rFonts w:ascii="Calibri" w:eastAsia="Calibri" w:hAnsi="Calibri" w:cs="Arial"/>
          <w:u w:val="double"/>
          <w:rtl/>
        </w:rPr>
        <w:t xml:space="preserve">גמ' </w:t>
      </w:r>
      <w:r w:rsidRPr="001D49D4">
        <w:rPr>
          <w:rFonts w:ascii="Calibri" w:eastAsia="Calibri" w:hAnsi="Calibri" w:cs="Arial"/>
          <w:sz w:val="14"/>
          <w:szCs w:val="14"/>
          <w:u w:val="double"/>
          <w:rtl/>
        </w:rPr>
        <w:t>(קסה.)</w:t>
      </w:r>
      <w:r w:rsidRPr="001D49D4">
        <w:rPr>
          <w:rFonts w:ascii="Calibri" w:eastAsia="Calibri" w:hAnsi="Calibri" w:cs="Arial"/>
          <w:u w:val="double"/>
          <w:rtl/>
        </w:rPr>
        <w:t>:</w:t>
      </w:r>
      <w:r w:rsidRPr="001D49D4">
        <w:rPr>
          <w:rFonts w:ascii="Calibri" w:eastAsia="Calibri" w:hAnsi="Calibri" w:cs="Arial"/>
          <w:rtl/>
        </w:rPr>
        <w:t xml:space="preserve"> בשלמא מקושר שכתוב בו שני עדים פסול - איצטריך, סלקא דעתך אמינא: הואיל ובעלמא כשר הכא נמי כשר, קמ"ל דפסול, אלא פשוט שכתוב בו עד אחד - פשיטא! </w:t>
      </w:r>
      <w:r w:rsidRPr="001D49D4">
        <w:rPr>
          <w:rFonts w:ascii="Calibri" w:eastAsia="Calibri" w:hAnsi="Calibri" w:cs="Arial"/>
          <w:u w:val="single"/>
          <w:rtl/>
        </w:rPr>
        <w:t>אמר אביי</w:t>
      </w:r>
      <w:r w:rsidRPr="001D49D4">
        <w:rPr>
          <w:rFonts w:ascii="Calibri" w:eastAsia="Calibri" w:hAnsi="Calibri" w:cs="Arial"/>
          <w:rtl/>
        </w:rPr>
        <w:t xml:space="preserve">: לא, נצרכא, דאפי' עד אחד בכתב ועד אחד בפה. </w:t>
      </w:r>
      <w:r w:rsidRPr="001D49D4">
        <w:rPr>
          <w:rFonts w:ascii="Calibri" w:eastAsia="Calibri" w:hAnsi="Calibri" w:cs="Arial"/>
          <w:u w:val="single"/>
          <w:rtl/>
        </w:rPr>
        <w:t>אמימר</w:t>
      </w:r>
      <w:r w:rsidRPr="001D49D4">
        <w:rPr>
          <w:rFonts w:ascii="Calibri" w:eastAsia="Calibri" w:hAnsi="Calibri" w:cs="Arial"/>
          <w:rtl/>
        </w:rPr>
        <w:t xml:space="preserve"> אכשר בעד אחד בכתב ועד אחד על פה. </w:t>
      </w:r>
      <w:r w:rsidRPr="001D49D4">
        <w:rPr>
          <w:rFonts w:ascii="Calibri" w:eastAsia="Calibri" w:hAnsi="Calibri" w:cs="Arial"/>
          <w:u w:val="single"/>
          <w:rtl/>
        </w:rPr>
        <w:t>א"ל רב אשי לאמימר</w:t>
      </w:r>
      <w:r w:rsidRPr="001D49D4">
        <w:rPr>
          <w:rFonts w:ascii="Calibri" w:eastAsia="Calibri" w:hAnsi="Calibri" w:cs="Arial"/>
          <w:rtl/>
        </w:rPr>
        <w:t xml:space="preserve">: והא דאביי מאי? א"ל: לא שמיע לי, כלומר לא סבירא לי. </w:t>
      </w:r>
      <w:r w:rsidRPr="001D49D4">
        <w:rPr>
          <w:rFonts w:ascii="Calibri" w:eastAsia="Calibri" w:hAnsi="Calibri" w:cs="Arial"/>
          <w:sz w:val="16"/>
          <w:szCs w:val="16"/>
          <w:rtl/>
        </w:rPr>
        <w:t>(ופסקו הרי"ף (עו.) והרא"ש (סי' ז) כאמימר וכ"פ הרמב"ם פ"ד מהל' עדות (ה"ה), ב"י. וכ"כ הריב"ש בתשו' סי' קצג (ד"ה אבל עדות) בשם הרבה אחרונים ז"ל, דרכ"מ (אות א))</w:t>
      </w:r>
      <w:r w:rsidRPr="001D49D4">
        <w:rPr>
          <w:rFonts w:ascii="Calibri" w:eastAsia="Calibri" w:hAnsi="Calibri" w:cs="Arial"/>
          <w:rtl/>
        </w:rPr>
        <w:t xml:space="preserve"> </w:t>
      </w:r>
    </w:p>
    <w:p w14:paraId="1DB31737"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b/>
          <w:bCs/>
          <w:rtl/>
        </w:rPr>
        <w:t xml:space="preserve">ירושלמי כתובות </w:t>
      </w:r>
      <w:r w:rsidRPr="001D49D4">
        <w:rPr>
          <w:rFonts w:ascii="Calibri" w:eastAsia="Calibri" w:hAnsi="Calibri" w:cs="Arial"/>
          <w:b/>
          <w:bCs/>
          <w:sz w:val="16"/>
          <w:szCs w:val="16"/>
          <w:rtl/>
        </w:rPr>
        <w:t>(פרק האשה שנתארמלה)</w:t>
      </w:r>
      <w:r w:rsidRPr="001D49D4">
        <w:rPr>
          <w:rFonts w:ascii="Calibri" w:eastAsia="Calibri" w:hAnsi="Calibri" w:cs="Arial"/>
          <w:b/>
          <w:bCs/>
          <w:rtl/>
        </w:rPr>
        <w:t xml:space="preserve"> פ"ב ה"ד:</w:t>
      </w:r>
      <w:r w:rsidRPr="001D49D4">
        <w:rPr>
          <w:rFonts w:ascii="Calibri" w:eastAsia="Calibri" w:hAnsi="Calibri" w:cs="Arial"/>
          <w:rtl/>
        </w:rPr>
        <w:t xml:space="preserve"> </w:t>
      </w:r>
      <w:r w:rsidRPr="001D49D4">
        <w:rPr>
          <w:rFonts w:ascii="Calibri" w:eastAsia="Calibri" w:hAnsi="Calibri" w:cs="Arial"/>
          <w:u w:val="single"/>
          <w:rtl/>
        </w:rPr>
        <w:t>רבי חגי אמר זעירי בעי</w:t>
      </w:r>
      <w:r w:rsidRPr="001D49D4">
        <w:rPr>
          <w:rFonts w:ascii="Calibri" w:eastAsia="Calibri" w:hAnsi="Calibri" w:cs="Arial"/>
          <w:rtl/>
        </w:rPr>
        <w:t>: עד אחד בעל פה ועד אחד בכתב מהו שיצטרפו? ועד אחד בכתב כלום הוא! לכך צריכא - כשהיו שנים ומצאו לקיים כתב ידו של ראשון ולא מצאו לקיים כתב ידו של שני.</w:t>
      </w:r>
      <w:r w:rsidRPr="001D49D4">
        <w:rPr>
          <w:rFonts w:ascii="Calibri" w:eastAsia="Calibri" w:hAnsi="Calibri" w:cs="Arial"/>
          <w:sz w:val="16"/>
          <w:szCs w:val="16"/>
          <w:rtl/>
        </w:rPr>
        <w:t xml:space="preserve"> (הביא הרא"ש (סי' ז) ירושלמי זה וכתב דגמרא דידן פליג על הירושלמי כיון דקאמר עד אחד בכתב סתם משמע שאין חתום בו אלא עד אחד)</w:t>
      </w:r>
    </w:p>
    <w:p w14:paraId="7A8E50CC" w14:textId="77777777" w:rsidR="001D49D4" w:rsidRPr="001D49D4" w:rsidRDefault="001D49D4" w:rsidP="0004348D">
      <w:pPr>
        <w:spacing w:before="360" w:after="240"/>
        <w:rPr>
          <w:rFonts w:ascii="Calibri" w:eastAsia="Calibri" w:hAnsi="Calibri" w:cs="Arial"/>
          <w:u w:val="single"/>
        </w:rPr>
      </w:pPr>
      <w:r w:rsidRPr="001D49D4">
        <w:rPr>
          <w:rFonts w:ascii="Calibri" w:eastAsia="Calibri" w:hAnsi="Calibri" w:cs="Arial"/>
          <w:u w:val="single"/>
          <w:rtl/>
        </w:rPr>
        <w:t>במה נחלקו אביי ואמימר:</w:t>
      </w:r>
    </w:p>
    <w:p w14:paraId="40BEAEAD" w14:textId="77777777" w:rsidR="001D49D4" w:rsidRPr="001D49D4" w:rsidRDefault="001D49D4" w:rsidP="0004348D">
      <w:pPr>
        <w:numPr>
          <w:ilvl w:val="0"/>
          <w:numId w:val="299"/>
        </w:numPr>
        <w:spacing w:before="360" w:after="240"/>
        <w:contextualSpacing/>
        <w:rPr>
          <w:rtl/>
        </w:rPr>
      </w:pPr>
      <w:r w:rsidRPr="001D49D4">
        <w:rPr>
          <w:rtl/>
        </w:rPr>
        <w:t xml:space="preserve">רבנו גרשום ורשב"ם </w:t>
      </w:r>
      <w:r w:rsidRPr="001D49D4">
        <w:rPr>
          <w:sz w:val="16"/>
          <w:szCs w:val="16"/>
          <w:rtl/>
        </w:rPr>
        <w:t>(ד"ה אמר אביי)</w:t>
      </w:r>
      <w:r w:rsidRPr="001D49D4">
        <w:rPr>
          <w:rtl/>
        </w:rPr>
        <w:t xml:space="preserve">- אמר אביי לא נצרכה אלא לעד אחד בכתב ועד אחד בעל פה - דפסול למיגבא ביה ממשעבדי אבל מבני חרי גבי. ואמימר אכשר בעד אחד בכתב ועד אחד על פה - למיגבא ביה ממשעבדי </w:t>
      </w:r>
      <w:r w:rsidRPr="001D49D4">
        <w:rPr>
          <w:sz w:val="16"/>
          <w:szCs w:val="16"/>
          <w:rtl/>
        </w:rPr>
        <w:t>(ל' הרא"ש בשם רשב"ם)</w:t>
      </w:r>
      <w:r w:rsidRPr="001D49D4">
        <w:rPr>
          <w:rtl/>
        </w:rPr>
        <w:t xml:space="preserve">. </w:t>
      </w:r>
    </w:p>
    <w:p w14:paraId="6E3FF365" w14:textId="77777777" w:rsidR="001D49D4" w:rsidRPr="001D49D4" w:rsidRDefault="001D49D4" w:rsidP="0004348D">
      <w:pPr>
        <w:numPr>
          <w:ilvl w:val="0"/>
          <w:numId w:val="299"/>
        </w:numPr>
        <w:spacing w:before="360" w:after="240"/>
        <w:contextualSpacing/>
        <w:rPr>
          <w:rtl/>
        </w:rPr>
      </w:pPr>
      <w:r w:rsidRPr="001D49D4">
        <w:rPr>
          <w:rtl/>
        </w:rPr>
        <w:t>ר"י מיגאש רמב"ם</w:t>
      </w:r>
      <w:r w:rsidRPr="001D49D4">
        <w:rPr>
          <w:vertAlign w:val="superscript"/>
          <w:rtl/>
        </w:rPr>
        <w:footnoteReference w:id="4186"/>
      </w:r>
      <w:r w:rsidRPr="001D49D4">
        <w:rPr>
          <w:rtl/>
        </w:rPr>
        <w:t xml:space="preserve"> רמב"ן ה"ר יונה רא"ש וטור</w:t>
      </w:r>
      <w:r w:rsidRPr="001D49D4">
        <w:rPr>
          <w:vertAlign w:val="superscript"/>
          <w:rtl/>
        </w:rPr>
        <w:footnoteReference w:id="4187"/>
      </w:r>
      <w:r w:rsidRPr="001D49D4">
        <w:rPr>
          <w:rtl/>
        </w:rPr>
        <w:t xml:space="preserve">- </w:t>
      </w:r>
      <w:r w:rsidRPr="001D49D4">
        <w:rPr>
          <w:vertAlign w:val="superscript"/>
          <w:rtl/>
        </w:rPr>
        <w:footnoteReference w:id="4188"/>
      </w:r>
      <w:r w:rsidRPr="001D49D4">
        <w:rPr>
          <w:rtl/>
        </w:rPr>
        <w:t>לאביי אין מצטרפין ועדותן בטלה. ולאמימר עדותן עדות</w:t>
      </w:r>
      <w:r w:rsidRPr="001D49D4">
        <w:rPr>
          <w:vertAlign w:val="superscript"/>
          <w:rtl/>
        </w:rPr>
        <w:footnoteReference w:id="4189"/>
      </w:r>
      <w:r w:rsidRPr="001D49D4">
        <w:rPr>
          <w:rtl/>
        </w:rPr>
        <w:t xml:space="preserve"> וגבי מבני חרי</w:t>
      </w:r>
      <w:r w:rsidRPr="001D49D4">
        <w:rPr>
          <w:vertAlign w:val="superscript"/>
          <w:rtl/>
        </w:rPr>
        <w:footnoteReference w:id="4190"/>
      </w:r>
      <w:r w:rsidRPr="001D49D4">
        <w:rPr>
          <w:rtl/>
        </w:rPr>
        <w:t xml:space="preserve">. </w:t>
      </w:r>
      <w:r w:rsidRPr="001D49D4">
        <w:rPr>
          <w:color w:val="E36C0A" w:themeColor="accent6" w:themeShade="BF"/>
          <w:rtl/>
        </w:rPr>
        <w:t>(וכ"פ בשו"ע)</w:t>
      </w:r>
    </w:p>
    <w:p w14:paraId="26694DA6" w14:textId="77777777" w:rsidR="001D49D4" w:rsidRPr="001D49D4" w:rsidRDefault="001D49D4" w:rsidP="0004348D">
      <w:pPr>
        <w:numPr>
          <w:ilvl w:val="0"/>
          <w:numId w:val="299"/>
        </w:numPr>
        <w:spacing w:before="360" w:after="240"/>
        <w:contextualSpacing/>
      </w:pPr>
      <w:r w:rsidRPr="001D49D4">
        <w:rPr>
          <w:rtl/>
        </w:rPr>
        <w:t xml:space="preserve">הג"א </w:t>
      </w:r>
      <w:r w:rsidRPr="001D49D4">
        <w:rPr>
          <w:sz w:val="16"/>
          <w:szCs w:val="16"/>
          <w:rtl/>
        </w:rPr>
        <w:t xml:space="preserve">(סי' ז) </w:t>
      </w:r>
      <w:r w:rsidRPr="001D49D4">
        <w:rPr>
          <w:rtl/>
        </w:rPr>
        <w:t xml:space="preserve">בשם או"ז </w:t>
      </w:r>
      <w:r w:rsidRPr="001D49D4">
        <w:rPr>
          <w:sz w:val="16"/>
          <w:szCs w:val="16"/>
          <w:rtl/>
        </w:rPr>
        <w:t>(סי' רכא)</w:t>
      </w:r>
      <w:r w:rsidRPr="001D49D4">
        <w:rPr>
          <w:rtl/>
        </w:rPr>
        <w:t>- עד אחד בכתב וכתב ידו יוצא ממקום אחר בעדים ועד אחד בעל פה נמי מסהיד על אותה מלוה - אין מצטרפין לטרוף מלקוחות, ומבני חרי גבי, וגם הלוה יכול לטעון פרעתי. אבל אם אין כתב ידו יוצא ממקום אחר אלא הוא אמר זה כתב ידי - אפילו מבני חרי לא גבי.</w:t>
      </w:r>
    </w:p>
    <w:p w14:paraId="30D498C5" w14:textId="77777777" w:rsidR="001D49D4" w:rsidRPr="001D49D4" w:rsidRDefault="001D49D4" w:rsidP="0004348D">
      <w:pPr>
        <w:spacing w:before="360" w:after="240"/>
        <w:ind w:left="360"/>
        <w:rPr>
          <w:rFonts w:ascii="Calibri" w:eastAsia="Calibri" w:hAnsi="Calibri" w:cs="Arial"/>
          <w:u w:val="dotted"/>
        </w:rPr>
      </w:pPr>
      <w:r w:rsidRPr="001D49D4">
        <w:rPr>
          <w:rFonts w:ascii="Calibri" w:eastAsia="Calibri" w:hAnsi="Calibri" w:cs="Arial"/>
          <w:u w:val="dotted"/>
          <w:rtl/>
        </w:rPr>
        <w:t>ומה הדין אם אמר אותו שלא כתב עדותו 'קניתי מידו על ההלואה':</w:t>
      </w:r>
    </w:p>
    <w:p w14:paraId="66F591A2" w14:textId="77777777" w:rsidR="001D49D4" w:rsidRPr="001D49D4" w:rsidRDefault="001D49D4" w:rsidP="0004348D">
      <w:pPr>
        <w:numPr>
          <w:ilvl w:val="0"/>
          <w:numId w:val="299"/>
        </w:numPr>
        <w:spacing w:before="360" w:after="240"/>
        <w:contextualSpacing/>
        <w:rPr>
          <w:rtl/>
        </w:rPr>
      </w:pPr>
      <w:r w:rsidRPr="001D49D4">
        <w:rPr>
          <w:rtl/>
        </w:rPr>
        <w:t>רמב"ם</w:t>
      </w:r>
      <w:r w:rsidRPr="001D49D4">
        <w:rPr>
          <w:sz w:val="16"/>
          <w:szCs w:val="16"/>
          <w:rtl/>
        </w:rPr>
        <w:t xml:space="preserve"> (הל' עדות פ"ד ה"ה)</w:t>
      </w:r>
      <w:r w:rsidRPr="001D49D4">
        <w:rPr>
          <w:rtl/>
        </w:rPr>
        <w:t xml:space="preserve"> וטור- ואם אמר אותו שלא כתב עדותו 'קניתי מידו על ההלואה ולא בא המלוה ולא שאל ממני שאכתוב לו' - שניהם מצטרפין ונעשה מלוה בשטר גמורה</w:t>
      </w:r>
      <w:r w:rsidRPr="001D49D4">
        <w:rPr>
          <w:vertAlign w:val="superscript"/>
          <w:rtl/>
        </w:rPr>
        <w:footnoteReference w:id="4191"/>
      </w:r>
      <w:r w:rsidRPr="001D49D4">
        <w:rPr>
          <w:sz w:val="16"/>
          <w:szCs w:val="16"/>
          <w:rtl/>
        </w:rPr>
        <w:t xml:space="preserve"> (ל' הטור בשם הרמב"ם)</w:t>
      </w:r>
      <w:r w:rsidRPr="001D49D4">
        <w:rPr>
          <w:rtl/>
        </w:rPr>
        <w:t>.</w:t>
      </w:r>
      <w:r w:rsidRPr="001D49D4">
        <w:rPr>
          <w:color w:val="E36C0A" w:themeColor="accent6" w:themeShade="BF"/>
          <w:rtl/>
        </w:rPr>
        <w:t xml:space="preserve"> (וכ"פ בשו"ע)</w:t>
      </w:r>
    </w:p>
    <w:p w14:paraId="75E0EC69" w14:textId="77777777" w:rsidR="001D49D4" w:rsidRPr="001D49D4" w:rsidRDefault="001D49D4" w:rsidP="0004348D">
      <w:pPr>
        <w:spacing w:before="360" w:after="240"/>
        <w:ind w:left="360"/>
        <w:rPr>
          <w:rFonts w:ascii="Calibri" w:eastAsia="Calibri" w:hAnsi="Calibri" w:cs="Arial"/>
          <w:u w:val="dotted"/>
          <w:rtl/>
        </w:rPr>
      </w:pPr>
      <w:r w:rsidRPr="001D49D4">
        <w:rPr>
          <w:rFonts w:ascii="Calibri" w:eastAsia="Calibri" w:hAnsi="Calibri" w:cs="Arial"/>
          <w:u w:val="dotted"/>
          <w:rtl/>
        </w:rPr>
        <w:t>ומה הדין אם העד שמעיד על פה מעיד שנמסר השטר פניו:</w:t>
      </w:r>
    </w:p>
    <w:p w14:paraId="50DA5BF3" w14:textId="77777777" w:rsidR="001D49D4" w:rsidRPr="001D49D4" w:rsidRDefault="001D49D4" w:rsidP="0004348D">
      <w:pPr>
        <w:numPr>
          <w:ilvl w:val="0"/>
          <w:numId w:val="299"/>
        </w:numPr>
        <w:spacing w:before="360" w:after="240"/>
        <w:contextualSpacing/>
      </w:pPr>
      <w:r w:rsidRPr="001D49D4">
        <w:rPr>
          <w:rtl/>
        </w:rPr>
        <w:t xml:space="preserve">רא"ש </w:t>
      </w:r>
      <w:r w:rsidRPr="001D49D4">
        <w:rPr>
          <w:sz w:val="16"/>
          <w:szCs w:val="16"/>
          <w:rtl/>
        </w:rPr>
        <w:t>(סי' ז)</w:t>
      </w:r>
      <w:r w:rsidRPr="001D49D4">
        <w:rPr>
          <w:rtl/>
        </w:rPr>
        <w:t xml:space="preserve"> וטור- אבל אם העד מעיד שנמסר השטר בפניו - גבי ממשעבדי דחשיב כאילו יש שני עדי מסירה, שהעד שהוא חתום על השטר אמרינן שגם בפניו נמסר</w:t>
      </w:r>
      <w:r w:rsidRPr="001D49D4">
        <w:rPr>
          <w:vertAlign w:val="superscript"/>
          <w:rtl/>
        </w:rPr>
        <w:footnoteReference w:id="4192"/>
      </w:r>
      <w:r w:rsidRPr="001D49D4">
        <w:rPr>
          <w:rtl/>
        </w:rPr>
        <w:t xml:space="preserve">. </w:t>
      </w:r>
      <w:r w:rsidRPr="001D49D4">
        <w:rPr>
          <w:color w:val="E36C0A" w:themeColor="accent6" w:themeShade="BF"/>
          <w:rtl/>
        </w:rPr>
        <w:t>(וכ"פ בשו"ע)</w:t>
      </w:r>
    </w:p>
    <w:p w14:paraId="64065104" w14:textId="77777777" w:rsidR="001D49D4" w:rsidRPr="001D49D4" w:rsidRDefault="001D49D4" w:rsidP="0004348D">
      <w:pPr>
        <w:spacing w:before="360" w:after="240"/>
        <w:rPr>
          <w:rFonts w:ascii="Calibri" w:eastAsia="Calibri" w:hAnsi="Calibri" w:cs="Arial"/>
          <w:u w:val="single"/>
        </w:rPr>
      </w:pPr>
      <w:r w:rsidRPr="001D49D4">
        <w:rPr>
          <w:rFonts w:ascii="Calibri" w:eastAsia="Calibri" w:hAnsi="Calibri" w:cs="Arial"/>
          <w:u w:val="single"/>
          <w:rtl/>
        </w:rPr>
        <w:t>עד אחד בכתב זה ועד אחד בכתב זה:</w:t>
      </w:r>
    </w:p>
    <w:p w14:paraId="615EFB31" w14:textId="77777777" w:rsidR="001D49D4" w:rsidRPr="001D49D4" w:rsidRDefault="001D49D4" w:rsidP="0004348D">
      <w:pPr>
        <w:numPr>
          <w:ilvl w:val="0"/>
          <w:numId w:val="299"/>
        </w:numPr>
        <w:spacing w:before="360" w:after="240"/>
        <w:contextualSpacing/>
      </w:pPr>
      <w:r w:rsidRPr="001D49D4">
        <w:rPr>
          <w:rtl/>
        </w:rPr>
        <w:t xml:space="preserve">רא"ש </w:t>
      </w:r>
      <w:r w:rsidRPr="001D49D4">
        <w:rPr>
          <w:sz w:val="16"/>
          <w:szCs w:val="16"/>
          <w:rtl/>
        </w:rPr>
        <w:t>(סי' ז)</w:t>
      </w:r>
      <w:r w:rsidRPr="001D49D4">
        <w:rPr>
          <w:rtl/>
        </w:rPr>
        <w:t xml:space="preserve"> וטור</w:t>
      </w:r>
      <w:r w:rsidRPr="001D49D4">
        <w:rPr>
          <w:vertAlign w:val="superscript"/>
          <w:rtl/>
        </w:rPr>
        <w:footnoteReference w:id="4193"/>
      </w:r>
      <w:r w:rsidRPr="001D49D4">
        <w:rPr>
          <w:rtl/>
        </w:rPr>
        <w:t>- עד אחד בכתב זה ועד אחד בכתב זה איפשר אפילו לאמימר לא גבי ממשעבדי, דדוקא עד אחד בכתב ועד אחד על פה דאיכא תרי סהדי אַחַד שטר שנמסר בפניהם אית ליה קלא, אבל תרי שטרי וכל חד מינייהו נמסר באפי חד סהדא לית ליה קלא, לא לזה ולא לזה, שאין הלקוחות נמנעים בשביל שטר שיש בו עד אחד</w:t>
      </w:r>
      <w:r w:rsidRPr="001D49D4">
        <w:rPr>
          <w:vertAlign w:val="superscript"/>
          <w:rtl/>
        </w:rPr>
        <w:footnoteReference w:id="4194"/>
      </w:r>
      <w:r w:rsidRPr="001D49D4">
        <w:rPr>
          <w:rtl/>
        </w:rPr>
        <w:t xml:space="preserve">. </w:t>
      </w:r>
      <w:r w:rsidRPr="001D49D4">
        <w:rPr>
          <w:color w:val="00B0F0"/>
          <w:rtl/>
        </w:rPr>
        <w:t>(וכ"פ הרמ"א)</w:t>
      </w:r>
    </w:p>
    <w:p w14:paraId="13D7607E" w14:textId="77777777" w:rsidR="001D49D4" w:rsidRPr="001D49D4" w:rsidRDefault="001D49D4" w:rsidP="0004348D">
      <w:pPr>
        <w:numPr>
          <w:ilvl w:val="0"/>
          <w:numId w:val="299"/>
        </w:numPr>
        <w:spacing w:before="360" w:after="240"/>
        <w:contextualSpacing/>
      </w:pPr>
      <w:r w:rsidRPr="001D49D4">
        <w:rPr>
          <w:rtl/>
        </w:rPr>
        <w:t xml:space="preserve">ראב"ד </w:t>
      </w:r>
      <w:r w:rsidRPr="001D49D4">
        <w:rPr>
          <w:sz w:val="16"/>
          <w:szCs w:val="16"/>
          <w:rtl/>
        </w:rPr>
        <w:t>(בתשו', הביאו בספר התרומות [ש"ט ח"א סי' ג])</w:t>
      </w:r>
      <w:r w:rsidRPr="001D49D4">
        <w:rPr>
          <w:rtl/>
        </w:rPr>
        <w:t>- אפילו אחד חתם בכתב זה ואחד חתם בכתב אחר אינו כלום שאינן מצטרפין</w:t>
      </w:r>
      <w:r w:rsidRPr="001D49D4">
        <w:rPr>
          <w:sz w:val="16"/>
          <w:szCs w:val="16"/>
          <w:rtl/>
        </w:rPr>
        <w:t xml:space="preserve"> (ל' הטור בשם הראב"ד)</w:t>
      </w:r>
      <w:r w:rsidRPr="001D49D4">
        <w:rPr>
          <w:rtl/>
        </w:rPr>
        <w:t>.</w:t>
      </w:r>
    </w:p>
    <w:p w14:paraId="489D8582" w14:textId="77777777" w:rsidR="001D49D4" w:rsidRPr="001D49D4" w:rsidRDefault="001D49D4" w:rsidP="0004348D">
      <w:pPr>
        <w:spacing w:before="360" w:after="240"/>
        <w:rPr>
          <w:rFonts w:ascii="Arial" w:eastAsia="Calibri" w:hAnsi="Arial" w:cs="Arial"/>
          <w:b/>
          <w:bCs/>
          <w:color w:val="000000"/>
          <w:sz w:val="28"/>
          <w:szCs w:val="28"/>
          <w:u w:val="single"/>
          <w:rtl/>
        </w:rPr>
      </w:pPr>
      <w:r w:rsidRPr="001D49D4">
        <w:rPr>
          <w:rFonts w:ascii="Arial" w:eastAsia="Calibri" w:hAnsi="Arial" w:cs="Arial"/>
          <w:b/>
          <w:bCs/>
          <w:color w:val="000000"/>
          <w:sz w:val="28"/>
          <w:szCs w:val="28"/>
          <w:u w:val="single"/>
          <w:rtl/>
        </w:rPr>
        <w:t>שו"ע:</w:t>
      </w:r>
    </w:p>
    <w:p w14:paraId="5E17ADDB"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rtl/>
        </w:rPr>
        <w:t xml:space="preserve">עד אחד בכתב ועד אחד בעל פה </w:t>
      </w:r>
      <w:r w:rsidRPr="001D49D4">
        <w:rPr>
          <w:rFonts w:ascii="Calibri" w:eastAsia="Calibri" w:hAnsi="Calibri" w:cs="Arial"/>
          <w:sz w:val="18"/>
          <w:szCs w:val="18"/>
          <w:rtl/>
        </w:rPr>
        <w:t>[הגה] בלא קנין (טור)</w:t>
      </w:r>
      <w:r w:rsidRPr="001D49D4">
        <w:rPr>
          <w:rFonts w:ascii="Calibri" w:eastAsia="Calibri" w:hAnsi="Calibri" w:cs="Arial"/>
          <w:rtl/>
        </w:rPr>
        <w:t>, מצטרפים</w:t>
      </w:r>
      <w:r w:rsidRPr="001D49D4">
        <w:rPr>
          <w:rFonts w:ascii="Calibri" w:eastAsia="Calibri" w:hAnsi="Calibri" w:cs="Arial"/>
          <w:vertAlign w:val="superscript"/>
          <w:rtl/>
        </w:rPr>
        <w:footnoteReference w:id="4195"/>
      </w:r>
      <w:r w:rsidRPr="001D49D4">
        <w:rPr>
          <w:rFonts w:ascii="Calibri" w:eastAsia="Calibri" w:hAnsi="Calibri" w:cs="Arial"/>
          <w:rtl/>
        </w:rPr>
        <w:t>. ואם אמר זה שלא כתב עדותו 'אני קניתי מידו על דבר זה ולא בא המלוה ולא שאל ממני לכתוב', שניהם מצטרפים לעשות המלוה בשטר, ואינו יכול לומר פרעתי</w:t>
      </w:r>
      <w:r w:rsidRPr="001D49D4">
        <w:rPr>
          <w:rFonts w:ascii="Calibri" w:eastAsia="Calibri" w:hAnsi="Calibri" w:cs="Arial"/>
          <w:vertAlign w:val="superscript"/>
          <w:rtl/>
        </w:rPr>
        <w:footnoteReference w:id="4196"/>
      </w:r>
      <w:r w:rsidRPr="001D49D4">
        <w:rPr>
          <w:rFonts w:ascii="Calibri" w:eastAsia="Calibri" w:hAnsi="Calibri" w:cs="Arial"/>
          <w:rtl/>
        </w:rPr>
        <w:t>. ואם אותו שמעיד על פה אומר 'בפני נמסר השטר', הוי כשטר גמור לגבות בו ממשעבדי</w:t>
      </w:r>
      <w:r w:rsidRPr="001D49D4">
        <w:rPr>
          <w:rFonts w:ascii="Calibri" w:eastAsia="Calibri" w:hAnsi="Calibri" w:cs="Arial"/>
          <w:vertAlign w:val="superscript"/>
          <w:rtl/>
        </w:rPr>
        <w:footnoteReference w:id="4197"/>
      </w:r>
      <w:r w:rsidRPr="001D49D4">
        <w:rPr>
          <w:rFonts w:ascii="Calibri" w:eastAsia="Calibri" w:hAnsi="Calibri" w:cs="Arial"/>
          <w:rtl/>
        </w:rPr>
        <w:t xml:space="preserve">. </w:t>
      </w:r>
      <w:r w:rsidRPr="001D49D4">
        <w:rPr>
          <w:rFonts w:ascii="Calibri" w:eastAsia="Calibri" w:hAnsi="Calibri" w:cs="Arial"/>
          <w:sz w:val="18"/>
          <w:szCs w:val="18"/>
          <w:rtl/>
        </w:rPr>
        <w:t>הגה: ודוקא דיכולין למימר שנמסר גם כן לפני עד החתום, דהוי שני עדים דמסירה (ב"י בשם הרא"ש), אבל אם לא נמסר רק בעד אחד, אפילו היו כאן ב' שטרות שכל אחד חתום עליו עד אחד, ונמסר רק לפני עד אחד</w:t>
      </w:r>
      <w:r w:rsidRPr="001D49D4">
        <w:rPr>
          <w:rFonts w:ascii="Calibri" w:eastAsia="Calibri" w:hAnsi="Calibri" w:cs="Arial"/>
          <w:sz w:val="18"/>
          <w:szCs w:val="18"/>
          <w:vertAlign w:val="superscript"/>
          <w:rtl/>
        </w:rPr>
        <w:footnoteReference w:id="4198"/>
      </w:r>
      <w:r w:rsidRPr="001D49D4">
        <w:rPr>
          <w:rFonts w:ascii="Calibri" w:eastAsia="Calibri" w:hAnsi="Calibri" w:cs="Arial"/>
          <w:sz w:val="18"/>
          <w:szCs w:val="18"/>
          <w:rtl/>
        </w:rPr>
        <w:t>, אינן מצטרפין לטרוף ממשעבדי (טור).</w:t>
      </w:r>
      <w:r w:rsidRPr="001D49D4">
        <w:rPr>
          <w:rFonts w:ascii="Calibri" w:eastAsia="Calibri" w:hAnsi="Calibri" w:cs="Arial"/>
          <w:rtl/>
        </w:rPr>
        <w:t xml:space="preserve"> </w:t>
      </w:r>
    </w:p>
    <w:p w14:paraId="4D759E66" w14:textId="77777777" w:rsidR="001D49D4" w:rsidRPr="001D49D4" w:rsidRDefault="001D49D4" w:rsidP="0004348D">
      <w:pPr>
        <w:spacing w:before="360" w:after="240"/>
        <w:rPr>
          <w:rFonts w:ascii="Calibri" w:eastAsia="Calibri" w:hAnsi="Calibri" w:cs="Arial"/>
          <w:rtl/>
        </w:rPr>
      </w:pPr>
    </w:p>
    <w:p w14:paraId="344A81DA" w14:textId="77777777" w:rsidR="001D49D4" w:rsidRPr="001D49D4" w:rsidRDefault="001D49D4" w:rsidP="0004348D">
      <w:pPr>
        <w:keepNext/>
        <w:keepLines/>
        <w:spacing w:before="360" w:after="240"/>
        <w:outlineLvl w:val="1"/>
        <w:rPr>
          <w:rFonts w:ascii="Cambria" w:eastAsia="Times New Roman" w:hAnsi="Cambria" w:cs="Arial"/>
          <w:bCs/>
          <w:color w:val="548DD4" w:themeColor="text2" w:themeTint="99"/>
          <w:sz w:val="26"/>
          <w:szCs w:val="26"/>
          <w:rtl/>
        </w:rPr>
      </w:pPr>
      <w:bookmarkStart w:id="566" w:name="_Toc24883993"/>
      <w:r w:rsidRPr="001D49D4">
        <w:rPr>
          <w:rFonts w:ascii="Cambria" w:eastAsia="Times New Roman" w:hAnsi="Cambria" w:cs="Arial"/>
          <w:bCs/>
          <w:color w:val="548DD4" w:themeColor="text2" w:themeTint="99"/>
          <w:sz w:val="26"/>
          <w:szCs w:val="26"/>
          <w:rtl/>
        </w:rPr>
        <w:t>סעיף ב: מלוה שהוציא שטר חוב בעד אחד, והלוה טוען פרעתי.</w:t>
      </w:r>
      <w:bookmarkEnd w:id="566"/>
    </w:p>
    <w:p w14:paraId="29645706" w14:textId="77777777" w:rsidR="001D49D4" w:rsidRPr="001D49D4" w:rsidRDefault="001D49D4" w:rsidP="0004348D">
      <w:pPr>
        <w:spacing w:before="360" w:after="240"/>
        <w:rPr>
          <w:rFonts w:ascii="Calibri" w:eastAsia="Calibri" w:hAnsi="Calibri" w:cs="Arial"/>
          <w:b/>
          <w:bCs/>
          <w:rtl/>
        </w:rPr>
      </w:pPr>
      <w:r w:rsidRPr="001D49D4">
        <w:rPr>
          <w:rFonts w:ascii="Calibri" w:eastAsia="Calibri" w:hAnsi="Calibri" w:cs="Arial"/>
          <w:b/>
          <w:bCs/>
          <w:rtl/>
        </w:rPr>
        <w:t xml:space="preserve">בבא בתרא </w:t>
      </w:r>
      <w:r w:rsidRPr="001D49D4">
        <w:rPr>
          <w:rFonts w:ascii="Calibri" w:eastAsia="Calibri" w:hAnsi="Calibri" w:cs="Arial"/>
          <w:b/>
          <w:bCs/>
          <w:sz w:val="16"/>
          <w:szCs w:val="16"/>
          <w:rtl/>
        </w:rPr>
        <w:t xml:space="preserve">(ר"פ גט פשוט) </w:t>
      </w:r>
      <w:r w:rsidRPr="001D49D4">
        <w:rPr>
          <w:rFonts w:ascii="Calibri" w:eastAsia="Calibri" w:hAnsi="Calibri" w:cs="Arial"/>
          <w:b/>
          <w:bCs/>
          <w:rtl/>
        </w:rPr>
        <w:t>קס</w:t>
      </w:r>
      <w:r w:rsidRPr="001D49D4">
        <w:rPr>
          <w:rFonts w:ascii="Calibri" w:eastAsia="Calibri" w:hAnsi="Calibri" w:cs="Arial"/>
          <w:b/>
          <w:bCs/>
          <w:vertAlign w:val="superscript"/>
          <w:rtl/>
        </w:rPr>
        <w:footnoteReference w:id="4199"/>
      </w:r>
      <w:r w:rsidRPr="001D49D4">
        <w:rPr>
          <w:rFonts w:ascii="Calibri" w:eastAsia="Calibri" w:hAnsi="Calibri" w:cs="Arial"/>
          <w:b/>
          <w:bCs/>
          <w:rtl/>
        </w:rPr>
        <w:t xml:space="preserve"> ע"א:</w:t>
      </w:r>
      <w:r w:rsidRPr="001D49D4">
        <w:rPr>
          <w:rFonts w:ascii="Calibri" w:eastAsia="Calibri" w:hAnsi="Calibri" w:cs="Arial"/>
          <w:rtl/>
        </w:rPr>
        <w:t xml:space="preserve"> </w:t>
      </w:r>
      <w:r w:rsidRPr="001D49D4">
        <w:rPr>
          <w:rFonts w:ascii="Calibri" w:eastAsia="Calibri" w:hAnsi="Calibri" w:cs="Arial"/>
          <w:u w:val="double"/>
          <w:rtl/>
        </w:rPr>
        <w:t>מתני'</w:t>
      </w:r>
      <w:r w:rsidRPr="001D49D4">
        <w:rPr>
          <w:rFonts w:ascii="Calibri" w:eastAsia="Calibri" w:hAnsi="Calibri" w:cs="Arial"/>
          <w:rtl/>
        </w:rPr>
        <w:t xml:space="preserve">: גט... פשוט שכתב בו עד אחד, ומקושר שכתב בו שני עדים - שניהם פסולין.        </w:t>
      </w:r>
      <w:r w:rsidRPr="001D49D4">
        <w:rPr>
          <w:rFonts w:ascii="Calibri" w:eastAsia="Calibri" w:hAnsi="Calibri" w:cs="Arial"/>
          <w:u w:val="double"/>
          <w:rtl/>
        </w:rPr>
        <w:t xml:space="preserve">גמ' </w:t>
      </w:r>
      <w:r w:rsidRPr="001D49D4">
        <w:rPr>
          <w:rFonts w:ascii="Calibri" w:eastAsia="Calibri" w:hAnsi="Calibri" w:cs="Arial"/>
          <w:sz w:val="14"/>
          <w:szCs w:val="14"/>
          <w:u w:val="double"/>
          <w:rtl/>
        </w:rPr>
        <w:t>(קסה.)</w:t>
      </w:r>
      <w:r w:rsidRPr="001D49D4">
        <w:rPr>
          <w:rFonts w:ascii="Calibri" w:eastAsia="Calibri" w:hAnsi="Calibri" w:cs="Arial"/>
          <w:u w:val="double"/>
          <w:rtl/>
        </w:rPr>
        <w:t>:</w:t>
      </w:r>
      <w:r w:rsidRPr="001D49D4">
        <w:rPr>
          <w:rFonts w:ascii="Calibri" w:eastAsia="Calibri" w:hAnsi="Calibri" w:cs="Arial"/>
          <w:rtl/>
        </w:rPr>
        <w:t xml:space="preserve"> פשוט שכתוב בו עד אחד - פשיטא! </w:t>
      </w:r>
      <w:r w:rsidRPr="001D49D4">
        <w:rPr>
          <w:rFonts w:ascii="Calibri" w:eastAsia="Calibri" w:hAnsi="Calibri" w:cs="Arial"/>
          <w:u w:val="single"/>
          <w:rtl/>
        </w:rPr>
        <w:t>אמר אביי</w:t>
      </w:r>
      <w:r w:rsidRPr="001D49D4">
        <w:rPr>
          <w:rFonts w:ascii="Calibri" w:eastAsia="Calibri" w:hAnsi="Calibri" w:cs="Arial"/>
          <w:rtl/>
        </w:rPr>
        <w:t xml:space="preserve">: לא, נצרכא, דאפי' עד אחד בכתב ועד אחד בפה. </w:t>
      </w:r>
      <w:r w:rsidRPr="001D49D4">
        <w:rPr>
          <w:rFonts w:ascii="Calibri" w:eastAsia="Calibri" w:hAnsi="Calibri" w:cs="Arial"/>
          <w:u w:val="single"/>
          <w:rtl/>
        </w:rPr>
        <w:t>אמימר</w:t>
      </w:r>
      <w:r w:rsidRPr="001D49D4">
        <w:rPr>
          <w:rFonts w:ascii="Calibri" w:eastAsia="Calibri" w:hAnsi="Calibri" w:cs="Arial"/>
          <w:rtl/>
        </w:rPr>
        <w:t xml:space="preserve"> אכשר בעד אחד בכתב ועד אחד על פה. </w:t>
      </w:r>
      <w:r w:rsidRPr="001D49D4">
        <w:rPr>
          <w:rFonts w:ascii="Calibri" w:eastAsia="Calibri" w:hAnsi="Calibri" w:cs="Arial"/>
          <w:b/>
          <w:bCs/>
          <w:rtl/>
        </w:rPr>
        <w:t xml:space="preserve"> </w:t>
      </w:r>
    </w:p>
    <w:p w14:paraId="096B37F5"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b/>
          <w:bCs/>
          <w:rtl/>
        </w:rPr>
        <w:t xml:space="preserve">ירושלמי כתובות </w:t>
      </w:r>
      <w:r w:rsidRPr="001D49D4">
        <w:rPr>
          <w:rFonts w:ascii="Calibri" w:eastAsia="Calibri" w:hAnsi="Calibri" w:cs="Arial"/>
          <w:b/>
          <w:bCs/>
          <w:sz w:val="16"/>
          <w:szCs w:val="16"/>
          <w:rtl/>
        </w:rPr>
        <w:t>(פרק האשה שנתארמלה)</w:t>
      </w:r>
      <w:r w:rsidRPr="001D49D4">
        <w:rPr>
          <w:rFonts w:ascii="Calibri" w:eastAsia="Calibri" w:hAnsi="Calibri" w:cs="Arial"/>
          <w:b/>
          <w:bCs/>
          <w:rtl/>
        </w:rPr>
        <w:t xml:space="preserve"> פ"ב ה"ד:</w:t>
      </w:r>
      <w:r w:rsidRPr="001D49D4">
        <w:rPr>
          <w:rFonts w:ascii="Calibri" w:eastAsia="Calibri" w:hAnsi="Calibri" w:cs="Arial"/>
          <w:rtl/>
        </w:rPr>
        <w:t xml:space="preserve"> </w:t>
      </w:r>
      <w:r w:rsidRPr="001D49D4">
        <w:rPr>
          <w:rFonts w:ascii="Calibri" w:eastAsia="Calibri" w:hAnsi="Calibri" w:cs="Arial"/>
          <w:u w:val="single"/>
          <w:rtl/>
        </w:rPr>
        <w:t>רבי מנא בעי</w:t>
      </w:r>
      <w:r w:rsidRPr="001D49D4">
        <w:rPr>
          <w:rFonts w:ascii="Calibri" w:eastAsia="Calibri" w:hAnsi="Calibri" w:cs="Arial"/>
          <w:rtl/>
        </w:rPr>
        <w:t>: עד אחד בכתב מהו לזוקקו שבועה? ועד אחד בכתב כלום הוא! לכך צריכא - כשהיו שנים ומצאו לקיים כתב ידו של זה ולא מצאו לקיים כתב ידו של זה.</w:t>
      </w:r>
      <w:r w:rsidRPr="001D49D4">
        <w:rPr>
          <w:rFonts w:ascii="Calibri" w:eastAsia="Calibri" w:hAnsi="Calibri" w:cs="Arial"/>
          <w:sz w:val="16"/>
          <w:szCs w:val="16"/>
          <w:rtl/>
        </w:rPr>
        <w:t xml:space="preserve"> </w:t>
      </w:r>
    </w:p>
    <w:p w14:paraId="714E5D03" w14:textId="77777777" w:rsidR="001D49D4" w:rsidRPr="001D49D4" w:rsidRDefault="001D49D4" w:rsidP="0004348D">
      <w:pPr>
        <w:spacing w:before="360" w:after="240"/>
        <w:rPr>
          <w:rFonts w:ascii="Calibri" w:eastAsia="Calibri" w:hAnsi="Calibri" w:cs="Arial"/>
        </w:rPr>
      </w:pPr>
      <w:r w:rsidRPr="001D49D4">
        <w:rPr>
          <w:rFonts w:ascii="Calibri" w:eastAsia="Calibri" w:hAnsi="Calibri" w:cs="Arial"/>
          <w:u w:val="single"/>
          <w:rtl/>
        </w:rPr>
        <w:t>האם עד אחד בכתב יכול להזקיק שבועה:</w:t>
      </w:r>
    </w:p>
    <w:p w14:paraId="66531FF8" w14:textId="77777777" w:rsidR="001D49D4" w:rsidRPr="001D49D4" w:rsidRDefault="001D49D4" w:rsidP="0004348D">
      <w:pPr>
        <w:numPr>
          <w:ilvl w:val="0"/>
          <w:numId w:val="299"/>
        </w:numPr>
        <w:spacing w:before="360" w:after="240"/>
        <w:contextualSpacing/>
        <w:rPr>
          <w:rtl/>
        </w:rPr>
      </w:pPr>
      <w:r w:rsidRPr="001D49D4">
        <w:rPr>
          <w:rtl/>
        </w:rPr>
        <w:t xml:space="preserve">שאילתות </w:t>
      </w:r>
      <w:r w:rsidRPr="001D49D4">
        <w:rPr>
          <w:sz w:val="16"/>
          <w:szCs w:val="16"/>
          <w:rtl/>
        </w:rPr>
        <w:t>(פרשת יתרו שאילתא נה)</w:t>
      </w:r>
      <w:r w:rsidRPr="001D49D4">
        <w:rPr>
          <w:rtl/>
        </w:rPr>
        <w:t xml:space="preserve">- </w:t>
      </w:r>
      <w:r w:rsidRPr="001D49D4">
        <w:rPr>
          <w:vertAlign w:val="superscript"/>
          <w:rtl/>
        </w:rPr>
        <w:footnoteReference w:id="4200"/>
      </w:r>
      <w:r w:rsidRPr="001D49D4">
        <w:rPr>
          <w:rtl/>
        </w:rPr>
        <w:t>עד אחד לבדו בכתב אינו זוקק לשבועה</w:t>
      </w:r>
      <w:r w:rsidRPr="001D49D4">
        <w:rPr>
          <w:vertAlign w:val="superscript"/>
          <w:rtl/>
        </w:rPr>
        <w:footnoteReference w:id="4201"/>
      </w:r>
      <w:r w:rsidRPr="001D49D4">
        <w:rPr>
          <w:rtl/>
        </w:rPr>
        <w:t>.</w:t>
      </w:r>
    </w:p>
    <w:p w14:paraId="1DFE4BE1" w14:textId="77777777" w:rsidR="001D49D4" w:rsidRPr="001D49D4" w:rsidRDefault="001D49D4" w:rsidP="0004348D">
      <w:pPr>
        <w:numPr>
          <w:ilvl w:val="0"/>
          <w:numId w:val="299"/>
        </w:numPr>
        <w:spacing w:before="360" w:after="240"/>
        <w:contextualSpacing/>
      </w:pPr>
      <w:r w:rsidRPr="001D49D4">
        <w:rPr>
          <w:rtl/>
        </w:rPr>
        <w:t>בה"ג</w:t>
      </w:r>
      <w:r w:rsidRPr="001D49D4">
        <w:rPr>
          <w:vertAlign w:val="superscript"/>
          <w:rtl/>
        </w:rPr>
        <w:footnoteReference w:id="4202"/>
      </w:r>
      <w:r w:rsidRPr="001D49D4">
        <w:rPr>
          <w:rtl/>
        </w:rPr>
        <w:t xml:space="preserve"> ורא"ש</w:t>
      </w:r>
      <w:r w:rsidRPr="001D49D4">
        <w:rPr>
          <w:vertAlign w:val="superscript"/>
          <w:rtl/>
        </w:rPr>
        <w:footnoteReference w:id="4203"/>
      </w:r>
      <w:r w:rsidRPr="001D49D4">
        <w:rPr>
          <w:rtl/>
        </w:rPr>
        <w:t xml:space="preserve">- </w:t>
      </w:r>
      <w:r w:rsidRPr="001D49D4">
        <w:rPr>
          <w:vertAlign w:val="superscript"/>
          <w:rtl/>
        </w:rPr>
        <w:footnoteReference w:id="4204"/>
      </w:r>
      <w:r w:rsidRPr="001D49D4">
        <w:rPr>
          <w:rtl/>
        </w:rPr>
        <w:t>עד אחד בכתב מזקיק הוא לשבועה</w:t>
      </w:r>
      <w:r w:rsidRPr="001D49D4">
        <w:rPr>
          <w:vertAlign w:val="superscript"/>
          <w:rtl/>
        </w:rPr>
        <w:footnoteReference w:id="4205"/>
      </w:r>
      <w:r w:rsidRPr="001D49D4">
        <w:rPr>
          <w:rtl/>
        </w:rPr>
        <w:t xml:space="preserve">. </w:t>
      </w:r>
      <w:r w:rsidRPr="001D49D4">
        <w:rPr>
          <w:color w:val="E36C0A" w:themeColor="accent6" w:themeShade="BF"/>
          <w:rtl/>
        </w:rPr>
        <w:t>(וכ"פ בשו"ע)</w:t>
      </w:r>
    </w:p>
    <w:p w14:paraId="3FB1C7F6"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u w:val="single"/>
          <w:rtl/>
        </w:rPr>
        <w:t>מלוה שהוציא שטר שאין חתום בו אלא עד אחד - והלוה טוען פרעתי:</w:t>
      </w:r>
    </w:p>
    <w:p w14:paraId="2250FE50" w14:textId="77777777" w:rsidR="001D49D4" w:rsidRPr="001D49D4" w:rsidRDefault="001D49D4" w:rsidP="0004348D">
      <w:pPr>
        <w:numPr>
          <w:ilvl w:val="0"/>
          <w:numId w:val="299"/>
        </w:numPr>
        <w:spacing w:before="360" w:after="240"/>
        <w:contextualSpacing/>
        <w:rPr>
          <w:rtl/>
        </w:rPr>
      </w:pPr>
      <w:r w:rsidRPr="001D49D4">
        <w:rPr>
          <w:rtl/>
        </w:rPr>
        <w:t xml:space="preserve">שאילתות </w:t>
      </w:r>
      <w:r w:rsidRPr="001D49D4">
        <w:rPr>
          <w:sz w:val="16"/>
          <w:szCs w:val="16"/>
          <w:rtl/>
        </w:rPr>
        <w:t>(פרשת יתרו שאילתא נה, כ"כ הטור בשמו)</w:t>
      </w:r>
      <w:r w:rsidRPr="001D49D4">
        <w:rPr>
          <w:rtl/>
        </w:rPr>
        <w:t>- שטר שאין חתום בו אלא עד אחד, או שנים ונמצא אחד מהם קרוב או פסול - אינו כלום אפי' לגבות בו מבני חרי ויכול לכפור בו או לטעון פרעתי</w:t>
      </w:r>
      <w:r w:rsidRPr="001D49D4">
        <w:rPr>
          <w:vertAlign w:val="superscript"/>
          <w:rtl/>
        </w:rPr>
        <w:footnoteReference w:id="4206"/>
      </w:r>
      <w:r w:rsidRPr="001D49D4">
        <w:rPr>
          <w:rtl/>
        </w:rPr>
        <w:t>.</w:t>
      </w:r>
    </w:p>
    <w:p w14:paraId="183903A7" w14:textId="77777777" w:rsidR="001D49D4" w:rsidRPr="001D49D4" w:rsidRDefault="001D49D4" w:rsidP="0004348D">
      <w:pPr>
        <w:numPr>
          <w:ilvl w:val="0"/>
          <w:numId w:val="299"/>
        </w:numPr>
        <w:spacing w:before="360" w:after="240"/>
        <w:contextualSpacing/>
      </w:pPr>
      <w:r w:rsidRPr="001D49D4">
        <w:rPr>
          <w:rtl/>
        </w:rPr>
        <w:t>רמב"ם</w:t>
      </w:r>
      <w:r w:rsidRPr="001D49D4">
        <w:rPr>
          <w:sz w:val="16"/>
          <w:szCs w:val="16"/>
          <w:rtl/>
        </w:rPr>
        <w:t xml:space="preserve"> (פי"ד ממלוה ה"י, וכיוצ"ב כתב בפ"ד מהל' טוען ה"ח)</w:t>
      </w:r>
      <w:r w:rsidRPr="001D49D4">
        <w:rPr>
          <w:rtl/>
        </w:rPr>
        <w:t>- הוציא עליו שטר בעד אחד והלוה אומר פרעתי - הרי זה מחוייב שבועה ואינו יכול לישבע ומשלם</w:t>
      </w:r>
      <w:r w:rsidRPr="001D49D4">
        <w:rPr>
          <w:vertAlign w:val="superscript"/>
          <w:rtl/>
        </w:rPr>
        <w:footnoteReference w:id="4207"/>
      </w:r>
      <w:r w:rsidRPr="001D49D4">
        <w:rPr>
          <w:rtl/>
        </w:rPr>
        <w:t xml:space="preserve">. טען ואמר ישבע לי שלא פרעתי - הרי זה נשבע. אבל אם יטעון לא לויתי - אז נשבע להכחיש העד ונפטר. </w:t>
      </w:r>
      <w:r w:rsidRPr="001D49D4">
        <w:rPr>
          <w:color w:val="E36C0A" w:themeColor="accent6" w:themeShade="BF"/>
          <w:rtl/>
        </w:rPr>
        <w:t>(וכ"ס בשו"ע)</w:t>
      </w:r>
    </w:p>
    <w:p w14:paraId="5E4DE72C" w14:textId="77777777" w:rsidR="001D49D4" w:rsidRPr="001D49D4" w:rsidRDefault="001D49D4" w:rsidP="0004348D">
      <w:pPr>
        <w:numPr>
          <w:ilvl w:val="0"/>
          <w:numId w:val="299"/>
        </w:numPr>
        <w:spacing w:before="360" w:after="240"/>
        <w:contextualSpacing/>
      </w:pPr>
      <w:r w:rsidRPr="001D49D4">
        <w:rPr>
          <w:rtl/>
        </w:rPr>
        <w:t xml:space="preserve">רשב"א </w:t>
      </w:r>
      <w:r w:rsidRPr="001D49D4">
        <w:rPr>
          <w:sz w:val="16"/>
          <w:szCs w:val="16"/>
          <w:rtl/>
        </w:rPr>
        <w:t>(ח"ג סי' מב)</w:t>
      </w:r>
      <w:r w:rsidRPr="001D49D4">
        <w:rPr>
          <w:rtl/>
        </w:rPr>
        <w:t xml:space="preserve">- אלו הכחיש את העד שבכתב ואמר לא היו דברים מעולם - היה מתחייב שבועה כאילו העיד בעל פה, ושלא כדעת הירושלמי, אבל עכשיו שהוא מודה שלוה כדברי העד אלא שאומר שפרע - אפשר שהוא נאמן, וישבע שבועת היסת כמלוה את חבירו אפילו בשני עדים שאין צריך לפרעו בעדים ונשבע שפרע ונפטר. ואע"פ שיש כאן שטר אין אומרין שטרך בידי מאי בעי אלא בשטר שחתומין בו שני עדים שגובין בו ממשעבדי. (וכ"פ הש"ך </w:t>
      </w:r>
      <w:r w:rsidRPr="001D49D4">
        <w:rPr>
          <w:sz w:val="16"/>
          <w:szCs w:val="16"/>
          <w:rtl/>
        </w:rPr>
        <w:t>[סק"ג]</w:t>
      </w:r>
      <w:r w:rsidRPr="001D49D4">
        <w:rPr>
          <w:rtl/>
        </w:rPr>
        <w:t>)</w:t>
      </w:r>
    </w:p>
    <w:p w14:paraId="6DAA6417" w14:textId="77777777" w:rsidR="001D49D4" w:rsidRPr="001D49D4" w:rsidRDefault="001D49D4" w:rsidP="0004348D">
      <w:pPr>
        <w:spacing w:before="360" w:after="240"/>
        <w:rPr>
          <w:rFonts w:ascii="Arial" w:eastAsia="Calibri" w:hAnsi="Arial" w:cs="Arial"/>
          <w:b/>
          <w:bCs/>
          <w:color w:val="000000"/>
          <w:sz w:val="28"/>
          <w:szCs w:val="28"/>
          <w:u w:val="single"/>
        </w:rPr>
      </w:pPr>
      <w:r w:rsidRPr="001D49D4">
        <w:rPr>
          <w:rFonts w:ascii="Arial" w:eastAsia="Calibri" w:hAnsi="Arial" w:cs="Arial"/>
          <w:b/>
          <w:bCs/>
          <w:color w:val="000000"/>
          <w:sz w:val="28"/>
          <w:szCs w:val="28"/>
          <w:u w:val="single"/>
          <w:rtl/>
        </w:rPr>
        <w:t>שו"ע:</w:t>
      </w:r>
    </w:p>
    <w:p w14:paraId="3CCEAFC8"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rtl/>
        </w:rPr>
        <w:t>הוציא עליו שטר חוב בעד אחד, וטוען הלוה פרעתי, הרי זה מחויב שבועה ואינו יכול לישבע</w:t>
      </w:r>
      <w:r w:rsidRPr="001D49D4">
        <w:rPr>
          <w:rFonts w:ascii="Calibri" w:eastAsia="Calibri" w:hAnsi="Calibri" w:cs="Arial"/>
          <w:vertAlign w:val="superscript"/>
          <w:rtl/>
        </w:rPr>
        <w:footnoteReference w:id="4208"/>
      </w:r>
      <w:r w:rsidRPr="001D49D4">
        <w:rPr>
          <w:rFonts w:ascii="Calibri" w:eastAsia="Calibri" w:hAnsi="Calibri" w:cs="Arial"/>
          <w:rtl/>
        </w:rPr>
        <w:t>, ומשלם. טען ואמר ישבע לי שלא פרעתי, הרי זה נשבע. אבל אם טען לא לויתי, הרי זה נשבע</w:t>
      </w:r>
      <w:r w:rsidRPr="001D49D4">
        <w:rPr>
          <w:rFonts w:ascii="Calibri" w:eastAsia="Calibri" w:hAnsi="Calibri" w:cs="Arial"/>
          <w:vertAlign w:val="superscript"/>
          <w:rtl/>
        </w:rPr>
        <w:footnoteReference w:id="4209"/>
      </w:r>
      <w:r w:rsidRPr="001D49D4">
        <w:rPr>
          <w:rFonts w:ascii="Calibri" w:eastAsia="Calibri" w:hAnsi="Calibri" w:cs="Arial"/>
          <w:rtl/>
        </w:rPr>
        <w:t xml:space="preserve"> להכחיש את העד, ונפטר. ויש אומרים</w:t>
      </w:r>
      <w:r w:rsidRPr="001D49D4">
        <w:rPr>
          <w:rFonts w:ascii="Calibri" w:eastAsia="Calibri" w:hAnsi="Calibri" w:cs="Arial"/>
          <w:vertAlign w:val="superscript"/>
          <w:rtl/>
        </w:rPr>
        <w:footnoteReference w:id="4210"/>
      </w:r>
      <w:r w:rsidRPr="001D49D4">
        <w:rPr>
          <w:rFonts w:ascii="Calibri" w:eastAsia="Calibri" w:hAnsi="Calibri" w:cs="Arial"/>
          <w:rtl/>
        </w:rPr>
        <w:t xml:space="preserve"> שגם אם טען פרעתי נאמן בשבועה</w:t>
      </w:r>
      <w:r w:rsidRPr="001D49D4">
        <w:rPr>
          <w:rFonts w:ascii="Calibri" w:eastAsia="Calibri" w:hAnsi="Calibri" w:cs="Arial"/>
          <w:vertAlign w:val="superscript"/>
          <w:rtl/>
        </w:rPr>
        <w:footnoteReference w:id="4211"/>
      </w:r>
      <w:r w:rsidRPr="001D49D4">
        <w:rPr>
          <w:rFonts w:ascii="Calibri" w:eastAsia="Calibri" w:hAnsi="Calibri" w:cs="Arial"/>
          <w:rtl/>
        </w:rPr>
        <w:t xml:space="preserve">. </w:t>
      </w:r>
    </w:p>
    <w:p w14:paraId="603A5502" w14:textId="77777777" w:rsidR="001D49D4" w:rsidRPr="001D49D4" w:rsidRDefault="001D49D4" w:rsidP="0004348D">
      <w:pPr>
        <w:spacing w:before="360" w:after="240"/>
        <w:rPr>
          <w:rFonts w:ascii="Calibri" w:eastAsia="Calibri" w:hAnsi="Calibri" w:cs="Arial"/>
          <w:rtl/>
        </w:rPr>
      </w:pPr>
    </w:p>
    <w:p w14:paraId="38DC2743" w14:textId="77777777" w:rsidR="001D49D4" w:rsidRPr="001D49D4" w:rsidRDefault="001D49D4" w:rsidP="0004348D">
      <w:pPr>
        <w:keepNext/>
        <w:keepLines/>
        <w:spacing w:before="360" w:after="240"/>
        <w:outlineLvl w:val="1"/>
        <w:rPr>
          <w:rFonts w:ascii="Cambria" w:eastAsia="Times New Roman" w:hAnsi="Cambria" w:cs="Arial"/>
          <w:bCs/>
          <w:color w:val="548DD4" w:themeColor="text2" w:themeTint="99"/>
          <w:sz w:val="26"/>
          <w:szCs w:val="26"/>
          <w:rtl/>
        </w:rPr>
      </w:pPr>
      <w:bookmarkStart w:id="567" w:name="_Toc24883994"/>
      <w:r w:rsidRPr="001D49D4">
        <w:rPr>
          <w:rFonts w:ascii="Cambria" w:eastAsia="Times New Roman" w:hAnsi="Cambria" w:cs="Arial"/>
          <w:bCs/>
          <w:color w:val="548DD4" w:themeColor="text2" w:themeTint="99"/>
          <w:sz w:val="26"/>
          <w:szCs w:val="26"/>
          <w:rtl/>
        </w:rPr>
        <w:t>סעיף ג: שטר שחתומים בו שני עדים ונמצא אחד מהם קרוב או פסול.</w:t>
      </w:r>
      <w:bookmarkEnd w:id="567"/>
    </w:p>
    <w:p w14:paraId="70DB00A4"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b/>
          <w:bCs/>
          <w:rtl/>
        </w:rPr>
        <w:t xml:space="preserve">סנהדרין </w:t>
      </w:r>
      <w:r w:rsidRPr="001D49D4">
        <w:rPr>
          <w:rFonts w:ascii="Calibri" w:eastAsia="Calibri" w:hAnsi="Calibri" w:cs="Arial"/>
          <w:b/>
          <w:bCs/>
          <w:sz w:val="16"/>
          <w:szCs w:val="16"/>
          <w:rtl/>
        </w:rPr>
        <w:t>(פרק זה בורר)</w:t>
      </w:r>
      <w:r w:rsidRPr="001D49D4">
        <w:rPr>
          <w:rFonts w:ascii="Calibri" w:eastAsia="Calibri" w:hAnsi="Calibri" w:cs="Arial"/>
          <w:b/>
          <w:bCs/>
          <w:rtl/>
        </w:rPr>
        <w:t xml:space="preserve"> כח</w:t>
      </w:r>
      <w:r w:rsidRPr="001D49D4">
        <w:rPr>
          <w:rFonts w:ascii="Calibri" w:eastAsia="Calibri" w:hAnsi="Calibri" w:cs="Arial"/>
          <w:b/>
          <w:bCs/>
          <w:vertAlign w:val="superscript"/>
          <w:rtl/>
        </w:rPr>
        <w:footnoteReference w:id="4212"/>
      </w:r>
      <w:r w:rsidRPr="001D49D4">
        <w:rPr>
          <w:rFonts w:ascii="Calibri" w:eastAsia="Calibri" w:hAnsi="Calibri" w:cs="Arial"/>
          <w:b/>
          <w:bCs/>
          <w:rtl/>
        </w:rPr>
        <w:t xml:space="preserve"> ע"ב: </w:t>
      </w:r>
      <w:r w:rsidRPr="001D49D4">
        <w:rPr>
          <w:rFonts w:ascii="Calibri" w:eastAsia="Calibri" w:hAnsi="Calibri" w:cs="Arial"/>
          <w:rtl/>
        </w:rPr>
        <w:t xml:space="preserve">ההיא מתנתא דהוי חתימי עלה תרי גיסי, </w:t>
      </w:r>
      <w:r w:rsidRPr="001D49D4">
        <w:rPr>
          <w:rFonts w:ascii="Calibri" w:eastAsia="Calibri" w:hAnsi="Calibri" w:cs="Arial"/>
          <w:u w:val="single"/>
          <w:rtl/>
        </w:rPr>
        <w:t>סבר רב יוסף</w:t>
      </w:r>
      <w:r w:rsidRPr="001D49D4">
        <w:rPr>
          <w:rFonts w:ascii="Calibri" w:eastAsia="Calibri" w:hAnsi="Calibri" w:cs="Arial"/>
          <w:rtl/>
        </w:rPr>
        <w:t xml:space="preserve"> לאכשורה, דאמר רב יהודה אמר שמואל: הלכה כרבי יוסי</w:t>
      </w:r>
      <w:r w:rsidRPr="001D49D4">
        <w:rPr>
          <w:rFonts w:ascii="Calibri" w:eastAsia="Calibri" w:hAnsi="Calibri" w:cs="Arial"/>
          <w:vertAlign w:val="superscript"/>
          <w:rtl/>
        </w:rPr>
        <w:footnoteReference w:id="4213"/>
      </w:r>
      <w:r w:rsidRPr="001D49D4">
        <w:rPr>
          <w:rFonts w:ascii="Calibri" w:eastAsia="Calibri" w:hAnsi="Calibri" w:cs="Arial"/>
          <w:rtl/>
        </w:rPr>
        <w:t xml:space="preserve">. </w:t>
      </w:r>
      <w:r w:rsidRPr="001D49D4">
        <w:rPr>
          <w:rFonts w:ascii="Calibri" w:eastAsia="Calibri" w:hAnsi="Calibri" w:cs="Arial"/>
          <w:u w:val="single"/>
          <w:rtl/>
        </w:rPr>
        <w:t>אמר ליה אביי</w:t>
      </w:r>
      <w:r w:rsidRPr="001D49D4">
        <w:rPr>
          <w:rFonts w:ascii="Calibri" w:eastAsia="Calibri" w:hAnsi="Calibri" w:cs="Arial"/>
          <w:rtl/>
        </w:rPr>
        <w:t>: ממאי דרבי יוסי דמתניתין, דמכשר בגיסו? דילמא רבי יוסי דברייתא, דפסיל בגיסו</w:t>
      </w:r>
      <w:r w:rsidRPr="001D49D4">
        <w:rPr>
          <w:rFonts w:ascii="Calibri" w:eastAsia="Calibri" w:hAnsi="Calibri" w:cs="Arial"/>
          <w:vertAlign w:val="superscript"/>
          <w:rtl/>
        </w:rPr>
        <w:footnoteReference w:id="4214"/>
      </w:r>
      <w:r w:rsidRPr="001D49D4">
        <w:rPr>
          <w:rFonts w:ascii="Calibri" w:eastAsia="Calibri" w:hAnsi="Calibri" w:cs="Arial"/>
          <w:rtl/>
        </w:rPr>
        <w:t>? לא סלקא דעתך</w:t>
      </w:r>
      <w:r w:rsidRPr="001D49D4">
        <w:rPr>
          <w:rFonts w:ascii="Calibri" w:eastAsia="Calibri" w:hAnsi="Calibri" w:cs="Arial"/>
          <w:vertAlign w:val="superscript"/>
          <w:rtl/>
        </w:rPr>
        <w:footnoteReference w:id="4215"/>
      </w:r>
      <w:r w:rsidRPr="001D49D4">
        <w:rPr>
          <w:rFonts w:ascii="Calibri" w:eastAsia="Calibri" w:hAnsi="Calibri" w:cs="Arial"/>
          <w:rtl/>
        </w:rPr>
        <w:t>, דאמר שמואל: כגון אנא ופנחס, דהוינן אחי וגיסי. אבל גיסי דעלמא - שפיר דמי. ודילמא כגון אנא ופנחס - משום דגיסו</w:t>
      </w:r>
      <w:r w:rsidRPr="001D49D4">
        <w:rPr>
          <w:rFonts w:ascii="Calibri" w:eastAsia="Calibri" w:hAnsi="Calibri" w:cs="Arial"/>
          <w:vertAlign w:val="superscript"/>
          <w:rtl/>
        </w:rPr>
        <w:footnoteReference w:id="4216"/>
      </w:r>
      <w:r w:rsidRPr="001D49D4">
        <w:rPr>
          <w:rFonts w:ascii="Calibri" w:eastAsia="Calibri" w:hAnsi="Calibri" w:cs="Arial"/>
          <w:rtl/>
        </w:rPr>
        <w:t xml:space="preserve"> קאמר! אמר ליה</w:t>
      </w:r>
      <w:r w:rsidRPr="001D49D4">
        <w:rPr>
          <w:rFonts w:ascii="Calibri" w:eastAsia="Calibri" w:hAnsi="Calibri" w:cs="Arial"/>
          <w:vertAlign w:val="superscript"/>
          <w:rtl/>
        </w:rPr>
        <w:footnoteReference w:id="4217"/>
      </w:r>
      <w:r w:rsidRPr="001D49D4">
        <w:rPr>
          <w:rFonts w:ascii="Calibri" w:eastAsia="Calibri" w:hAnsi="Calibri" w:cs="Arial"/>
          <w:rtl/>
        </w:rPr>
        <w:t>: זיל קניה בעדי מסירה</w:t>
      </w:r>
      <w:r w:rsidRPr="001D49D4">
        <w:rPr>
          <w:rFonts w:ascii="Calibri" w:eastAsia="Calibri" w:hAnsi="Calibri" w:cs="Arial"/>
          <w:vertAlign w:val="superscript"/>
          <w:rtl/>
        </w:rPr>
        <w:footnoteReference w:id="4218"/>
      </w:r>
      <w:r w:rsidRPr="001D49D4">
        <w:rPr>
          <w:rFonts w:ascii="Calibri" w:eastAsia="Calibri" w:hAnsi="Calibri" w:cs="Arial"/>
          <w:rtl/>
        </w:rPr>
        <w:t xml:space="preserve"> כרבי אלעזר. והאמר רבי אבא: מודה רבי אלעזר במזויף מתוכו</w:t>
      </w:r>
      <w:r w:rsidRPr="001D49D4">
        <w:rPr>
          <w:rFonts w:ascii="Calibri" w:eastAsia="Calibri" w:hAnsi="Calibri" w:cs="Arial"/>
          <w:vertAlign w:val="superscript"/>
          <w:rtl/>
        </w:rPr>
        <w:footnoteReference w:id="4219"/>
      </w:r>
      <w:r w:rsidRPr="001D49D4">
        <w:rPr>
          <w:rFonts w:ascii="Calibri" w:eastAsia="Calibri" w:hAnsi="Calibri" w:cs="Arial"/>
          <w:rtl/>
        </w:rPr>
        <w:t xml:space="preserve"> שהוא פסול! אמר ליה</w:t>
      </w:r>
      <w:r w:rsidRPr="001D49D4">
        <w:rPr>
          <w:rFonts w:ascii="Calibri" w:eastAsia="Calibri" w:hAnsi="Calibri" w:cs="Arial"/>
          <w:vertAlign w:val="superscript"/>
          <w:rtl/>
        </w:rPr>
        <w:footnoteReference w:id="4220"/>
      </w:r>
      <w:r w:rsidRPr="001D49D4">
        <w:rPr>
          <w:rFonts w:ascii="Calibri" w:eastAsia="Calibri" w:hAnsi="Calibri" w:cs="Arial"/>
          <w:rtl/>
        </w:rPr>
        <w:t>: זיל, לא שבקי לי דאותביניה לך</w:t>
      </w:r>
      <w:r w:rsidRPr="001D49D4">
        <w:rPr>
          <w:rFonts w:ascii="Calibri" w:eastAsia="Calibri" w:hAnsi="Calibri" w:cs="Arial"/>
          <w:vertAlign w:val="superscript"/>
          <w:rtl/>
        </w:rPr>
        <w:footnoteReference w:id="4221"/>
      </w:r>
      <w:r w:rsidRPr="001D49D4">
        <w:rPr>
          <w:rFonts w:ascii="Calibri" w:eastAsia="Calibri" w:hAnsi="Calibri" w:cs="Arial"/>
          <w:rtl/>
        </w:rPr>
        <w:t>.</w:t>
      </w:r>
      <w:r w:rsidRPr="001D49D4">
        <w:rPr>
          <w:rFonts w:ascii="Calibri" w:eastAsia="Calibri" w:hAnsi="Calibri" w:cs="Arial"/>
          <w:sz w:val="16"/>
          <w:szCs w:val="16"/>
          <w:rtl/>
        </w:rPr>
        <w:t xml:space="preserve"> (וכתבו מסקנא זו רב אלפס (ג.) והרא"ש (סי' יא) בפ"ק דמכות)</w:t>
      </w:r>
      <w:r w:rsidRPr="001D49D4">
        <w:rPr>
          <w:rFonts w:ascii="Calibri" w:eastAsia="Calibri" w:hAnsi="Calibri" w:cs="Arial"/>
          <w:rtl/>
        </w:rPr>
        <w:t xml:space="preserve"> </w:t>
      </w:r>
    </w:p>
    <w:p w14:paraId="1CB48279" w14:textId="77777777" w:rsidR="001D49D4" w:rsidRPr="001D49D4" w:rsidRDefault="001D49D4" w:rsidP="0004348D">
      <w:pPr>
        <w:spacing w:before="360" w:after="240"/>
        <w:rPr>
          <w:rFonts w:ascii="Calibri" w:eastAsia="Calibri" w:hAnsi="Calibri" w:cs="Arial"/>
          <w:u w:val="single"/>
          <w:rtl/>
        </w:rPr>
      </w:pPr>
      <w:r w:rsidRPr="001D49D4">
        <w:rPr>
          <w:rFonts w:ascii="Calibri" w:eastAsia="Calibri" w:hAnsi="Calibri" w:cs="Arial"/>
          <w:u w:val="single"/>
          <w:rtl/>
        </w:rPr>
        <w:t xml:space="preserve">שטר שחתומים בו שני עדים </w:t>
      </w:r>
      <w:r w:rsidRPr="001D49D4">
        <w:rPr>
          <w:rFonts w:ascii="Calibri" w:eastAsia="Calibri" w:hAnsi="Calibri" w:cs="Arial"/>
          <w:b/>
          <w:bCs/>
          <w:u w:val="single"/>
          <w:rtl/>
        </w:rPr>
        <w:t>בלבד</w:t>
      </w:r>
      <w:r w:rsidRPr="001D49D4">
        <w:rPr>
          <w:rFonts w:ascii="Calibri" w:eastAsia="Calibri" w:hAnsi="Calibri" w:cs="Arial"/>
          <w:u w:val="single"/>
          <w:rtl/>
        </w:rPr>
        <w:t xml:space="preserve"> ונמצא אחד מהם קרוב או פסול:</w:t>
      </w:r>
    </w:p>
    <w:p w14:paraId="53FE2F34" w14:textId="77777777" w:rsidR="001D49D4" w:rsidRPr="001D49D4" w:rsidRDefault="001D49D4" w:rsidP="0004348D">
      <w:pPr>
        <w:numPr>
          <w:ilvl w:val="0"/>
          <w:numId w:val="308"/>
        </w:numPr>
        <w:spacing w:before="360" w:after="240"/>
        <w:contextualSpacing/>
        <w:rPr>
          <w:rtl/>
        </w:rPr>
      </w:pPr>
      <w:r w:rsidRPr="001D49D4">
        <w:rPr>
          <w:rtl/>
        </w:rPr>
        <w:t xml:space="preserve">בה"ג </w:t>
      </w:r>
      <w:r w:rsidRPr="001D49D4">
        <w:rPr>
          <w:sz w:val="16"/>
          <w:szCs w:val="16"/>
          <w:rtl/>
        </w:rPr>
        <w:t xml:space="preserve">(כ"כ הטור בשמו) </w:t>
      </w:r>
      <w:r w:rsidRPr="001D49D4">
        <w:rPr>
          <w:rtl/>
        </w:rPr>
        <w:t xml:space="preserve">רא"ש </w:t>
      </w:r>
      <w:r w:rsidRPr="001D49D4">
        <w:rPr>
          <w:sz w:val="16"/>
          <w:szCs w:val="16"/>
          <w:rtl/>
        </w:rPr>
        <w:t>(פרק גט פשוט סי' ז, כ"כ הטור בשמו)</w:t>
      </w:r>
      <w:r w:rsidRPr="001D49D4">
        <w:rPr>
          <w:rtl/>
        </w:rPr>
        <w:t xml:space="preserve"> וטור- שטרא דחתים עליה ב' סהדי דאשתכח חד מינייהו קרוב או פסול, נהי דממונא לא מפקינן אפומיה אבל מחייבין שבועה אפומיה. והא דלא מפסיל עד כשר בצירופו דפסול דאמרינן רווחא שבק למאן דקשיש מיניה ואתא פסול וחתים</w:t>
      </w:r>
      <w:r w:rsidRPr="001D49D4">
        <w:rPr>
          <w:sz w:val="16"/>
          <w:szCs w:val="16"/>
          <w:rtl/>
        </w:rPr>
        <w:t xml:space="preserve"> (ל' הטור בשם בה"ג)</w:t>
      </w:r>
      <w:r w:rsidRPr="001D49D4">
        <w:rPr>
          <w:vertAlign w:val="superscript"/>
          <w:rtl/>
        </w:rPr>
        <w:footnoteReference w:id="4222"/>
      </w:r>
      <w:r w:rsidRPr="001D49D4">
        <w:rPr>
          <w:rtl/>
        </w:rPr>
        <w:t xml:space="preserve">.  </w:t>
      </w:r>
    </w:p>
    <w:p w14:paraId="5965B029" w14:textId="77777777" w:rsidR="001D49D4" w:rsidRPr="001D49D4" w:rsidRDefault="001D49D4" w:rsidP="0004348D">
      <w:pPr>
        <w:numPr>
          <w:ilvl w:val="0"/>
          <w:numId w:val="308"/>
        </w:numPr>
        <w:spacing w:before="360" w:after="240"/>
        <w:contextualSpacing/>
      </w:pPr>
      <w:r w:rsidRPr="001D49D4">
        <w:rPr>
          <w:rtl/>
        </w:rPr>
        <w:t>רמב"ם</w:t>
      </w:r>
      <w:r w:rsidRPr="001D49D4">
        <w:rPr>
          <w:sz w:val="16"/>
          <w:szCs w:val="16"/>
          <w:rtl/>
        </w:rPr>
        <w:t xml:space="preserve"> (פי"ד מהל' עדות ה"ו)</w:t>
      </w:r>
      <w:r w:rsidRPr="001D49D4">
        <w:rPr>
          <w:rtl/>
        </w:rPr>
        <w:t>- שטר שיש בו שני עדים בלבד ושניהם קרובים זה לזה או אחד משניהם פסול בעבירה, אע"פ שמסר לו השטר בפני עדים כשרים - הרי הוא כחרס</w:t>
      </w:r>
      <w:r w:rsidRPr="001D49D4">
        <w:rPr>
          <w:vertAlign w:val="superscript"/>
          <w:rtl/>
        </w:rPr>
        <w:footnoteReference w:id="4223"/>
      </w:r>
      <w:r w:rsidRPr="001D49D4">
        <w:rPr>
          <w:rtl/>
        </w:rPr>
        <w:t>, מפני שהוא מזוייף מתוכו.</w:t>
      </w:r>
      <w:r w:rsidRPr="001D49D4">
        <w:rPr>
          <w:color w:val="E36C0A" w:themeColor="accent6" w:themeShade="BF"/>
          <w:rtl/>
        </w:rPr>
        <w:t xml:space="preserve"> (וכ"פ בשו"ע </w:t>
      </w:r>
      <w:r w:rsidRPr="001D49D4">
        <w:rPr>
          <w:sz w:val="16"/>
          <w:szCs w:val="16"/>
          <w:rtl/>
        </w:rPr>
        <w:t>[כאן ובסע' ז]</w:t>
      </w:r>
      <w:r w:rsidRPr="001D49D4">
        <w:rPr>
          <w:color w:val="E36C0A" w:themeColor="accent6" w:themeShade="BF"/>
          <w:rtl/>
        </w:rPr>
        <w:t>)</w:t>
      </w:r>
      <w:r w:rsidRPr="001D49D4">
        <w:rPr>
          <w:rtl/>
        </w:rPr>
        <w:t xml:space="preserve"> </w:t>
      </w:r>
    </w:p>
    <w:p w14:paraId="2D23FFAB" w14:textId="77777777" w:rsidR="001D49D4" w:rsidRPr="001D49D4" w:rsidRDefault="001D49D4" w:rsidP="0004348D">
      <w:pPr>
        <w:numPr>
          <w:ilvl w:val="0"/>
          <w:numId w:val="308"/>
        </w:numPr>
        <w:spacing w:before="360" w:after="240"/>
        <w:contextualSpacing/>
      </w:pPr>
      <w:r w:rsidRPr="001D49D4">
        <w:rPr>
          <w:rtl/>
        </w:rPr>
        <w:t xml:space="preserve">רי"ף </w:t>
      </w:r>
      <w:r w:rsidRPr="001D49D4">
        <w:rPr>
          <w:sz w:val="16"/>
          <w:szCs w:val="16"/>
          <w:rtl/>
        </w:rPr>
        <w:t>(בתשו' סי' קסז, כ"כ בשמו הנמוק"י [שם])</w:t>
      </w:r>
      <w:r w:rsidRPr="001D49D4">
        <w:rPr>
          <w:rtl/>
        </w:rPr>
        <w:t xml:space="preserve">- עדים החתומים על השטר ונמצא אחד מהם קרוב או פסול ואמר אחד מהם לא הייתי יודע שהוא פסול, רואין, אם אינו רגיל עמו - עדותו כשרה, ומשביעין אותו על פי העד הכשר ונאמן הוא לומר לא ידעתי שהוא פסול כי היכי דמקבלינן ליה כי אמר למיחזי אתינא ולא לאסהודי </w:t>
      </w:r>
      <w:r w:rsidRPr="001D49D4">
        <w:rPr>
          <w:sz w:val="16"/>
          <w:szCs w:val="16"/>
          <w:rtl/>
        </w:rPr>
        <w:t>(מכות ו.)</w:t>
      </w:r>
      <w:r w:rsidRPr="001D49D4">
        <w:rPr>
          <w:rtl/>
        </w:rPr>
        <w:t xml:space="preserve">. אבל אם היה רגיל עמו - אינו נאמן. </w:t>
      </w:r>
    </w:p>
    <w:p w14:paraId="591416BD" w14:textId="77777777" w:rsidR="001D49D4" w:rsidRPr="001D49D4" w:rsidRDefault="001D49D4" w:rsidP="0004348D">
      <w:pPr>
        <w:spacing w:before="360" w:after="240"/>
        <w:ind w:left="360"/>
        <w:rPr>
          <w:rFonts w:ascii="Calibri" w:eastAsia="Calibri" w:hAnsi="Calibri" w:cs="Arial"/>
          <w:u w:val="dotted"/>
        </w:rPr>
      </w:pPr>
      <w:r w:rsidRPr="001D49D4">
        <w:rPr>
          <w:rFonts w:ascii="Calibri" w:eastAsia="Calibri" w:hAnsi="Calibri" w:cs="Arial"/>
          <w:u w:val="dotted"/>
          <w:rtl/>
        </w:rPr>
        <w:t>ומה הדין אם היו עדיו מרובים:</w:t>
      </w:r>
    </w:p>
    <w:p w14:paraId="72B945C5" w14:textId="77777777" w:rsidR="001D49D4" w:rsidRPr="001D49D4" w:rsidRDefault="001D49D4" w:rsidP="0004348D">
      <w:pPr>
        <w:numPr>
          <w:ilvl w:val="0"/>
          <w:numId w:val="309"/>
        </w:numPr>
        <w:spacing w:before="360" w:after="240"/>
        <w:contextualSpacing/>
        <w:rPr>
          <w:rtl/>
        </w:rPr>
      </w:pPr>
      <w:r w:rsidRPr="001D49D4">
        <w:rPr>
          <w:rtl/>
        </w:rPr>
        <w:t xml:space="preserve">רמב"ם </w:t>
      </w:r>
      <w:r w:rsidRPr="001D49D4">
        <w:rPr>
          <w:sz w:val="16"/>
          <w:szCs w:val="16"/>
          <w:rtl/>
        </w:rPr>
        <w:t>(פ"ה מה' עדות ה"ז)</w:t>
      </w:r>
      <w:r w:rsidRPr="001D49D4">
        <w:rPr>
          <w:rtl/>
        </w:rPr>
        <w:t xml:space="preserve">- </w:t>
      </w:r>
      <w:r w:rsidRPr="001D49D4">
        <w:rPr>
          <w:vertAlign w:val="superscript"/>
          <w:rtl/>
        </w:rPr>
        <w:footnoteReference w:id="4224"/>
      </w:r>
      <w:r w:rsidRPr="001D49D4">
        <w:rPr>
          <w:rtl/>
        </w:rPr>
        <w:t>שטר שהיו עדיו מרובים ונמצא אחד מהם קרוב או פסול או שהיו בהם שנים קרובים זה לזה והרי אין העדים קיימין לשאול אותם, אם יש שם עדות ברורה שכולם ישבו לחתום שהרי נתכוונו להעיד - הרי זה בטל, ואם לאו - תתקיים העדות בשאר. ולמה מקיימים העדות בשאר, שהרי איפשר שחתמו הכשרים והניחו מקום לגדול לחתום ובא זה הקרוב או הפסול וחתם שלא מדעתם, אע"פ שהעד שחתם מתחלה בשטר הוא הפסול הרי השטר כשר</w:t>
      </w:r>
      <w:r w:rsidRPr="001D49D4">
        <w:rPr>
          <w:sz w:val="16"/>
          <w:szCs w:val="16"/>
          <w:rtl/>
        </w:rPr>
        <w:t xml:space="preserve"> (ל' הרמב"ם)</w:t>
      </w:r>
      <w:r w:rsidRPr="001D49D4">
        <w:rPr>
          <w:rtl/>
        </w:rPr>
        <w:t>.</w:t>
      </w:r>
      <w:r w:rsidRPr="001D49D4">
        <w:rPr>
          <w:color w:val="E36C0A" w:themeColor="accent6" w:themeShade="BF"/>
          <w:rtl/>
        </w:rPr>
        <w:t xml:space="preserve"> (וכ"פ בשו"ע</w:t>
      </w:r>
      <w:r w:rsidRPr="001D49D4">
        <w:rPr>
          <w:color w:val="000000" w:themeColor="text1"/>
          <w:sz w:val="16"/>
          <w:szCs w:val="16"/>
          <w:rtl/>
        </w:rPr>
        <w:t xml:space="preserve"> [בסע' ד]</w:t>
      </w:r>
      <w:r w:rsidRPr="001D49D4">
        <w:rPr>
          <w:color w:val="E36C0A" w:themeColor="accent6" w:themeShade="BF"/>
          <w:rtl/>
        </w:rPr>
        <w:t>)</w:t>
      </w:r>
    </w:p>
    <w:p w14:paraId="48B69319" w14:textId="77777777" w:rsidR="001D49D4" w:rsidRPr="001D49D4" w:rsidRDefault="001D49D4" w:rsidP="0004348D">
      <w:pPr>
        <w:numPr>
          <w:ilvl w:val="0"/>
          <w:numId w:val="309"/>
        </w:numPr>
        <w:spacing w:before="360" w:after="240"/>
        <w:contextualSpacing/>
      </w:pPr>
      <w:r w:rsidRPr="001D49D4">
        <w:rPr>
          <w:rtl/>
        </w:rPr>
        <w:t xml:space="preserve">רי"ף </w:t>
      </w:r>
      <w:r w:rsidRPr="001D49D4">
        <w:rPr>
          <w:sz w:val="16"/>
          <w:szCs w:val="16"/>
          <w:rtl/>
        </w:rPr>
        <w:t xml:space="preserve">(בתשו' שם) </w:t>
      </w:r>
      <w:r w:rsidRPr="001D49D4">
        <w:rPr>
          <w:rtl/>
        </w:rPr>
        <w:t>- ואם היו שני עדים עם הפסול ואמרו לא היינו יודעים שהוא פסול - הרי השטר מקויים, דמספיקא לא מבטלינן לשטרא. ומסתברא היכא דליתנהו לסהדי - מכשרינן ליה, דאמרינן דילמא לא הוי ידע דהדר ביה ואפילו נודע שישבו שלשתן להעיד</w:t>
      </w:r>
      <w:r w:rsidRPr="001D49D4">
        <w:rPr>
          <w:vertAlign w:val="superscript"/>
          <w:rtl/>
        </w:rPr>
        <w:footnoteReference w:id="4225"/>
      </w:r>
      <w:r w:rsidRPr="001D49D4">
        <w:rPr>
          <w:rtl/>
        </w:rPr>
        <w:t xml:space="preserve">. </w:t>
      </w:r>
    </w:p>
    <w:p w14:paraId="1F35FBBA" w14:textId="77777777" w:rsidR="001D49D4" w:rsidRPr="001D49D4" w:rsidRDefault="001D49D4" w:rsidP="0004348D">
      <w:pPr>
        <w:numPr>
          <w:ilvl w:val="0"/>
          <w:numId w:val="309"/>
        </w:numPr>
        <w:spacing w:before="360" w:after="240"/>
        <w:contextualSpacing/>
      </w:pPr>
      <w:r w:rsidRPr="001D49D4">
        <w:rPr>
          <w:rtl/>
        </w:rPr>
        <w:t xml:space="preserve">בעל מתיבות </w:t>
      </w:r>
      <w:r w:rsidRPr="001D49D4">
        <w:rPr>
          <w:sz w:val="16"/>
          <w:szCs w:val="16"/>
          <w:rtl/>
        </w:rPr>
        <w:t>(סי' עג, כ"כ בשמו הנמוק"י [פרק זה בורר סנהדרין ז. ד"ה גרסי'])</w:t>
      </w:r>
      <w:r w:rsidRPr="001D49D4">
        <w:rPr>
          <w:rtl/>
        </w:rPr>
        <w:t>- שטר שנמצא אחד מעדיו קרוב או פסול נהי דלא מגבינן ביה אבל משבעינן ליה אפומא דכשרים דאתו לאסהודי על פה</w:t>
      </w:r>
      <w:r w:rsidRPr="001D49D4">
        <w:rPr>
          <w:vertAlign w:val="superscript"/>
          <w:rtl/>
        </w:rPr>
        <w:footnoteReference w:id="4226"/>
      </w:r>
      <w:r w:rsidRPr="001D49D4">
        <w:rPr>
          <w:rtl/>
        </w:rPr>
        <w:t>.</w:t>
      </w:r>
    </w:p>
    <w:p w14:paraId="7506D9A5" w14:textId="77777777" w:rsidR="001D49D4" w:rsidRPr="001D49D4" w:rsidRDefault="001D49D4" w:rsidP="0004348D">
      <w:pPr>
        <w:numPr>
          <w:ilvl w:val="0"/>
          <w:numId w:val="309"/>
        </w:numPr>
        <w:spacing w:before="360" w:after="240"/>
        <w:contextualSpacing/>
      </w:pPr>
      <w:r w:rsidRPr="001D49D4">
        <w:rPr>
          <w:rtl/>
        </w:rPr>
        <w:t>גאון</w:t>
      </w:r>
      <w:r w:rsidRPr="001D49D4">
        <w:rPr>
          <w:sz w:val="16"/>
          <w:szCs w:val="16"/>
          <w:rtl/>
        </w:rPr>
        <w:t xml:space="preserve"> (כ"כ בעל מתיבות בשמו)</w:t>
      </w:r>
      <w:r w:rsidRPr="001D49D4">
        <w:rPr>
          <w:vertAlign w:val="superscript"/>
          <w:rtl/>
        </w:rPr>
        <w:footnoteReference w:id="4227"/>
      </w:r>
      <w:r w:rsidRPr="001D49D4">
        <w:rPr>
          <w:rtl/>
        </w:rPr>
        <w:t>- לא משבעינן ליה אפומא דכשר, דכי קתני נמצא אחד מהם קרוב או פסול עדותן בטלה - לגמרי קאמר</w:t>
      </w:r>
      <w:r w:rsidRPr="001D49D4">
        <w:rPr>
          <w:vertAlign w:val="superscript"/>
          <w:rtl/>
        </w:rPr>
        <w:footnoteReference w:id="4228"/>
      </w:r>
      <w:r w:rsidRPr="001D49D4">
        <w:rPr>
          <w:rtl/>
        </w:rPr>
        <w:t>, דאי לא תימא הכי אף שלשה דקתני עדותם בטלה, למאי, הא איכא תרי.</w:t>
      </w:r>
    </w:p>
    <w:p w14:paraId="22D88F4C" w14:textId="77777777" w:rsidR="001D49D4" w:rsidRPr="001D49D4" w:rsidRDefault="001D49D4" w:rsidP="0004348D">
      <w:pPr>
        <w:spacing w:before="360" w:after="240"/>
        <w:rPr>
          <w:rFonts w:ascii="Arial" w:eastAsia="Calibri" w:hAnsi="Arial" w:cs="Arial"/>
          <w:b/>
          <w:bCs/>
          <w:color w:val="000000"/>
          <w:sz w:val="28"/>
          <w:szCs w:val="28"/>
          <w:u w:val="single"/>
          <w:rtl/>
        </w:rPr>
      </w:pPr>
      <w:r w:rsidRPr="001D49D4">
        <w:rPr>
          <w:rFonts w:ascii="Arial" w:eastAsia="Calibri" w:hAnsi="Arial" w:cs="Arial"/>
          <w:b/>
          <w:bCs/>
          <w:color w:val="000000"/>
          <w:sz w:val="28"/>
          <w:szCs w:val="28"/>
          <w:u w:val="single"/>
          <w:rtl/>
        </w:rPr>
        <w:t>שו"ע:</w:t>
      </w:r>
    </w:p>
    <w:p w14:paraId="68FE0FED"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rtl/>
        </w:rPr>
        <w:t>שטר שחתומים בו שני עדים בלבד ונמצא עד אחד מהם קרוב או פסול, אף על פי שיש שם עידי מסירה הרי הוא כחרס. ויש אומרים</w:t>
      </w:r>
      <w:r w:rsidRPr="001D49D4">
        <w:rPr>
          <w:rFonts w:ascii="Calibri" w:eastAsia="Calibri" w:hAnsi="Calibri" w:cs="Arial"/>
          <w:vertAlign w:val="superscript"/>
          <w:rtl/>
        </w:rPr>
        <w:footnoteReference w:id="4229"/>
      </w:r>
      <w:r w:rsidRPr="001D49D4">
        <w:rPr>
          <w:rFonts w:ascii="Calibri" w:eastAsia="Calibri" w:hAnsi="Calibri" w:cs="Arial"/>
          <w:rtl/>
        </w:rPr>
        <w:t xml:space="preserve"> שדינו כשטר שאין חתום בו אלא עד אחד</w:t>
      </w:r>
      <w:r w:rsidRPr="001D49D4">
        <w:rPr>
          <w:rFonts w:ascii="Calibri" w:eastAsia="Calibri" w:hAnsi="Calibri" w:cs="Arial"/>
          <w:vertAlign w:val="superscript"/>
          <w:rtl/>
        </w:rPr>
        <w:footnoteReference w:id="4230"/>
      </w:r>
      <w:r w:rsidRPr="001D49D4">
        <w:rPr>
          <w:rFonts w:ascii="Calibri" w:eastAsia="Calibri" w:hAnsi="Calibri" w:cs="Arial"/>
          <w:rtl/>
        </w:rPr>
        <w:t xml:space="preserve">. </w:t>
      </w:r>
      <w:r w:rsidRPr="001D49D4">
        <w:rPr>
          <w:rFonts w:ascii="Calibri" w:eastAsia="Calibri" w:hAnsi="Calibri" w:cs="Arial"/>
          <w:sz w:val="18"/>
          <w:szCs w:val="18"/>
          <w:rtl/>
        </w:rPr>
        <w:t>הגה: והיינו דוקא בדרך שלא נתבטל כל העדות</w:t>
      </w:r>
      <w:r w:rsidRPr="001D49D4">
        <w:rPr>
          <w:rFonts w:ascii="Calibri" w:eastAsia="Calibri" w:hAnsi="Calibri" w:cs="Arial"/>
          <w:sz w:val="18"/>
          <w:szCs w:val="18"/>
          <w:vertAlign w:val="superscript"/>
          <w:rtl/>
        </w:rPr>
        <w:footnoteReference w:id="4231"/>
      </w:r>
      <w:r w:rsidRPr="001D49D4">
        <w:rPr>
          <w:rFonts w:ascii="Calibri" w:eastAsia="Calibri" w:hAnsi="Calibri" w:cs="Arial"/>
          <w:sz w:val="18"/>
          <w:szCs w:val="18"/>
          <w:rtl/>
        </w:rPr>
        <w:t>, וכמו שיתבאר בסמוך.</w:t>
      </w:r>
    </w:p>
    <w:p w14:paraId="75B5F593" w14:textId="77777777" w:rsidR="001D49D4" w:rsidRPr="001D49D4" w:rsidRDefault="001D49D4" w:rsidP="0004348D">
      <w:pPr>
        <w:spacing w:before="360" w:after="240"/>
        <w:rPr>
          <w:rFonts w:ascii="Calibri" w:eastAsia="Calibri" w:hAnsi="Calibri" w:cs="Arial"/>
          <w:rtl/>
        </w:rPr>
      </w:pPr>
    </w:p>
    <w:p w14:paraId="609AF99E" w14:textId="77777777" w:rsidR="001D49D4" w:rsidRPr="001D49D4" w:rsidRDefault="001D49D4" w:rsidP="0004348D">
      <w:pPr>
        <w:keepNext/>
        <w:keepLines/>
        <w:spacing w:before="360" w:after="240"/>
        <w:outlineLvl w:val="1"/>
        <w:rPr>
          <w:rFonts w:ascii="Cambria" w:eastAsia="Times New Roman" w:hAnsi="Cambria" w:cs="Arial"/>
          <w:bCs/>
          <w:color w:val="548DD4" w:themeColor="text2" w:themeTint="99"/>
          <w:sz w:val="26"/>
          <w:szCs w:val="26"/>
          <w:rtl/>
        </w:rPr>
      </w:pPr>
      <w:bookmarkStart w:id="568" w:name="_Toc24883995"/>
      <w:r w:rsidRPr="001D49D4">
        <w:rPr>
          <w:rFonts w:ascii="Cambria" w:eastAsia="Times New Roman" w:hAnsi="Cambria" w:cs="Arial"/>
          <w:bCs/>
          <w:color w:val="548DD4" w:themeColor="text2" w:themeTint="99"/>
          <w:sz w:val="26"/>
          <w:szCs w:val="26"/>
          <w:rtl/>
        </w:rPr>
        <w:t>סעיף ד: שטר שהיו עדיו מרובים ונמצא אחד מהם קרוב או פסול.</w:t>
      </w:r>
      <w:bookmarkEnd w:id="568"/>
    </w:p>
    <w:p w14:paraId="34670DEC"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rtl/>
        </w:rPr>
        <w:t>עיין במקורות בסעיף הקודם.</w:t>
      </w:r>
    </w:p>
    <w:p w14:paraId="708DE34F" w14:textId="77777777" w:rsidR="001D49D4" w:rsidRPr="001D49D4" w:rsidRDefault="001D49D4" w:rsidP="0004348D">
      <w:pPr>
        <w:spacing w:before="360" w:after="240"/>
        <w:rPr>
          <w:rFonts w:ascii="Arial" w:eastAsia="Calibri" w:hAnsi="Arial" w:cs="Arial"/>
          <w:b/>
          <w:bCs/>
          <w:color w:val="000000"/>
          <w:sz w:val="28"/>
          <w:szCs w:val="28"/>
          <w:u w:val="single"/>
          <w:rtl/>
        </w:rPr>
      </w:pPr>
      <w:r w:rsidRPr="001D49D4">
        <w:rPr>
          <w:rFonts w:ascii="Arial" w:eastAsia="Calibri" w:hAnsi="Arial" w:cs="Arial"/>
          <w:b/>
          <w:bCs/>
          <w:color w:val="000000"/>
          <w:sz w:val="28"/>
          <w:szCs w:val="28"/>
          <w:u w:val="single"/>
          <w:rtl/>
        </w:rPr>
        <w:t>שו"ע:</w:t>
      </w:r>
    </w:p>
    <w:p w14:paraId="0E563FF8"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rtl/>
        </w:rPr>
        <w:t>שטר שהיו עדיו מרובים ונמצא עד אחד מהם קרוב או פסול ואין העדים קיימים לשאול אותם, אם יש עדות ברורה שכולם ישבו לחתום</w:t>
      </w:r>
      <w:r w:rsidRPr="001D49D4">
        <w:rPr>
          <w:rFonts w:ascii="Calibri" w:eastAsia="Calibri" w:hAnsi="Calibri" w:cs="Arial"/>
          <w:vertAlign w:val="superscript"/>
          <w:rtl/>
        </w:rPr>
        <w:footnoteReference w:id="4232"/>
      </w:r>
      <w:r w:rsidRPr="001D49D4">
        <w:rPr>
          <w:rFonts w:ascii="Calibri" w:eastAsia="Calibri" w:hAnsi="Calibri" w:cs="Arial"/>
          <w:rtl/>
        </w:rPr>
        <w:t xml:space="preserve"> שהרי נתכוונו להעיד, הרי זה בטל. ואם לאו, תתקיים העדות בשאר, שהרי אפשר שחתמו העדים הכשרים והניחו מקום לגדול לחתום ובא זה הקרוב או הפסול וחתם שלא מדעתם</w:t>
      </w:r>
      <w:r w:rsidRPr="001D49D4">
        <w:rPr>
          <w:rFonts w:ascii="Calibri" w:eastAsia="Calibri" w:hAnsi="Calibri" w:cs="Arial"/>
          <w:vertAlign w:val="superscript"/>
          <w:rtl/>
        </w:rPr>
        <w:footnoteReference w:id="4233"/>
      </w:r>
      <w:r w:rsidRPr="001D49D4">
        <w:rPr>
          <w:rFonts w:ascii="Calibri" w:eastAsia="Calibri" w:hAnsi="Calibri" w:cs="Arial"/>
          <w:rtl/>
        </w:rPr>
        <w:t xml:space="preserve">. </w:t>
      </w:r>
      <w:r w:rsidRPr="001D49D4">
        <w:rPr>
          <w:rFonts w:ascii="Calibri" w:eastAsia="Calibri" w:hAnsi="Calibri" w:cs="Arial"/>
          <w:sz w:val="18"/>
          <w:szCs w:val="18"/>
          <w:rtl/>
        </w:rPr>
        <w:t>[הגה] וכבר נתבאר כל זה לעיל סי' מה סע' יב.</w:t>
      </w:r>
      <w:r w:rsidRPr="001D49D4">
        <w:rPr>
          <w:rFonts w:ascii="Calibri" w:eastAsia="Calibri" w:hAnsi="Calibri" w:cs="Arial"/>
          <w:rtl/>
        </w:rPr>
        <w:t xml:space="preserve"> </w:t>
      </w:r>
    </w:p>
    <w:p w14:paraId="1DE0C0B9" w14:textId="77777777" w:rsidR="001D49D4" w:rsidRPr="001D49D4" w:rsidRDefault="001D49D4" w:rsidP="0004348D">
      <w:pPr>
        <w:spacing w:before="360" w:after="240"/>
        <w:rPr>
          <w:rFonts w:ascii="Calibri" w:eastAsia="Calibri" w:hAnsi="Calibri" w:cs="Arial"/>
          <w:rtl/>
        </w:rPr>
      </w:pPr>
    </w:p>
    <w:p w14:paraId="524E3274" w14:textId="77777777" w:rsidR="001D49D4" w:rsidRPr="001D49D4" w:rsidRDefault="001D49D4" w:rsidP="0004348D">
      <w:pPr>
        <w:keepNext/>
        <w:keepLines/>
        <w:spacing w:before="360" w:after="240"/>
        <w:outlineLvl w:val="1"/>
        <w:rPr>
          <w:rFonts w:ascii="Cambria" w:eastAsia="Times New Roman" w:hAnsi="Cambria" w:cs="Arial"/>
          <w:bCs/>
          <w:color w:val="548DD4" w:themeColor="text2" w:themeTint="99"/>
          <w:sz w:val="26"/>
          <w:szCs w:val="26"/>
          <w:rtl/>
        </w:rPr>
      </w:pPr>
      <w:bookmarkStart w:id="569" w:name="_Toc24883996"/>
      <w:r w:rsidRPr="001D49D4">
        <w:rPr>
          <w:rFonts w:ascii="Cambria" w:eastAsia="Times New Roman" w:hAnsi="Cambria" w:cs="Arial"/>
          <w:bCs/>
          <w:color w:val="548DD4" w:themeColor="text2" w:themeTint="99"/>
          <w:sz w:val="26"/>
          <w:szCs w:val="26"/>
          <w:rtl/>
        </w:rPr>
        <w:t>סעיף ה: צוואה שנמצא אחד מעידיה קרוב או פסול.</w:t>
      </w:r>
      <w:bookmarkEnd w:id="569"/>
    </w:p>
    <w:p w14:paraId="1CF25D4A" w14:textId="77777777" w:rsidR="001D49D4" w:rsidRPr="001D49D4" w:rsidRDefault="001D49D4" w:rsidP="0004348D">
      <w:pPr>
        <w:spacing w:before="360" w:after="240"/>
        <w:rPr>
          <w:rFonts w:ascii="Calibri" w:eastAsia="Calibri" w:hAnsi="Calibri" w:cs="Arial"/>
          <w:u w:val="single"/>
          <w:rtl/>
        </w:rPr>
      </w:pPr>
      <w:r w:rsidRPr="001D49D4">
        <w:rPr>
          <w:rFonts w:ascii="Calibri" w:eastAsia="Calibri" w:hAnsi="Calibri" w:cs="Arial"/>
          <w:u w:val="single"/>
          <w:rtl/>
        </w:rPr>
        <w:t>צוואה שנמצא אחד מעידיה קרוב או פסול:</w:t>
      </w:r>
    </w:p>
    <w:p w14:paraId="18F1AEDC" w14:textId="77777777" w:rsidR="001D49D4" w:rsidRPr="001D49D4" w:rsidRDefault="001D49D4" w:rsidP="0004348D">
      <w:pPr>
        <w:numPr>
          <w:ilvl w:val="0"/>
          <w:numId w:val="308"/>
        </w:numPr>
        <w:spacing w:before="360" w:after="240"/>
        <w:contextualSpacing/>
        <w:rPr>
          <w:rtl/>
        </w:rPr>
      </w:pPr>
      <w:r w:rsidRPr="001D49D4">
        <w:rPr>
          <w:rtl/>
        </w:rPr>
        <w:t>רא"ש</w:t>
      </w:r>
      <w:r w:rsidRPr="001D49D4">
        <w:rPr>
          <w:sz w:val="16"/>
          <w:szCs w:val="16"/>
          <w:rtl/>
        </w:rPr>
        <w:t xml:space="preserve"> (כלל ס סי' ג וסי' ה)</w:t>
      </w:r>
      <w:r w:rsidRPr="001D49D4">
        <w:rPr>
          <w:rtl/>
        </w:rPr>
        <w:t xml:space="preserve"> וטור- צוואה שנמצא אחד מעידיה קרוב או פסול נתבטלה ואין דנין על פיה כלל. אבל העד שאינו קרוב אם זוכר העדות יבא לפני ב"ד ויעיד. והעד האחר ששמע הצוואה מבחוץ מצטרף עמו להעיד אע"פ שלא יחדוהו להעיד</w:t>
      </w:r>
      <w:r w:rsidRPr="001D49D4">
        <w:rPr>
          <w:vertAlign w:val="superscript"/>
          <w:rtl/>
        </w:rPr>
        <w:footnoteReference w:id="4234"/>
      </w:r>
      <w:r w:rsidRPr="001D49D4">
        <w:rPr>
          <w:rtl/>
        </w:rPr>
        <w:t>.</w:t>
      </w:r>
      <w:r w:rsidRPr="001D49D4">
        <w:rPr>
          <w:color w:val="E36C0A" w:themeColor="accent6" w:themeShade="BF"/>
          <w:rtl/>
        </w:rPr>
        <w:t xml:space="preserve"> (וכ"פ בשו"ע)</w:t>
      </w:r>
    </w:p>
    <w:p w14:paraId="0ACDF2A2" w14:textId="77777777" w:rsidR="001D49D4" w:rsidRPr="001D49D4" w:rsidRDefault="001D49D4" w:rsidP="0004348D">
      <w:pPr>
        <w:spacing w:before="360" w:after="240"/>
        <w:rPr>
          <w:rFonts w:ascii="Arial" w:eastAsia="Calibri" w:hAnsi="Arial" w:cs="Arial"/>
          <w:b/>
          <w:bCs/>
          <w:color w:val="000000"/>
          <w:sz w:val="28"/>
          <w:szCs w:val="28"/>
          <w:u w:val="single"/>
          <w:rtl/>
        </w:rPr>
      </w:pPr>
      <w:r w:rsidRPr="001D49D4">
        <w:rPr>
          <w:rFonts w:ascii="Arial" w:eastAsia="Calibri" w:hAnsi="Arial" w:cs="Arial"/>
          <w:b/>
          <w:bCs/>
          <w:color w:val="000000"/>
          <w:sz w:val="28"/>
          <w:szCs w:val="28"/>
          <w:u w:val="single"/>
          <w:rtl/>
        </w:rPr>
        <w:t>שו"ע:</w:t>
      </w:r>
    </w:p>
    <w:p w14:paraId="19E1F9FC"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rtl/>
        </w:rPr>
        <w:t xml:space="preserve">צוואה שנמצא אחד מעידיה קרוב או פסול </w:t>
      </w:r>
      <w:r w:rsidRPr="001D49D4">
        <w:rPr>
          <w:rFonts w:ascii="Calibri" w:eastAsia="Calibri" w:hAnsi="Calibri" w:cs="Arial"/>
          <w:sz w:val="18"/>
          <w:szCs w:val="18"/>
          <w:rtl/>
        </w:rPr>
        <w:t>[הגה] ונתבטל בדרך שנתבאר</w:t>
      </w:r>
      <w:r w:rsidRPr="001D49D4">
        <w:rPr>
          <w:rFonts w:ascii="Calibri" w:eastAsia="Calibri" w:hAnsi="Calibri" w:cs="Arial"/>
          <w:sz w:val="18"/>
          <w:szCs w:val="18"/>
          <w:vertAlign w:val="superscript"/>
          <w:rtl/>
        </w:rPr>
        <w:footnoteReference w:id="4235"/>
      </w:r>
      <w:r w:rsidRPr="001D49D4">
        <w:rPr>
          <w:rFonts w:ascii="Calibri" w:eastAsia="Calibri" w:hAnsi="Calibri" w:cs="Arial"/>
          <w:rtl/>
        </w:rPr>
        <w:t>, העד שאינו קרוב</w:t>
      </w:r>
      <w:r w:rsidRPr="001D49D4">
        <w:rPr>
          <w:rFonts w:ascii="Calibri" w:eastAsia="Calibri" w:hAnsi="Calibri" w:cs="Arial"/>
          <w:vertAlign w:val="superscript"/>
          <w:rtl/>
        </w:rPr>
        <w:footnoteReference w:id="4236"/>
      </w:r>
      <w:r w:rsidRPr="001D49D4">
        <w:rPr>
          <w:rFonts w:ascii="Calibri" w:eastAsia="Calibri" w:hAnsi="Calibri" w:cs="Arial"/>
          <w:rtl/>
        </w:rPr>
        <w:t xml:space="preserve">, אם זוכר העדות, יבא לפני בית דין ויעיד. ואם יש עד אחד ששמע הצוואה מבחוץ, מצטרף עמו להעיד, אף על פי שלא ייחדוהו להעיד. </w:t>
      </w:r>
    </w:p>
    <w:p w14:paraId="0D3FF6D1" w14:textId="77777777" w:rsidR="001D49D4" w:rsidRPr="001D49D4" w:rsidRDefault="001D49D4" w:rsidP="0004348D">
      <w:pPr>
        <w:spacing w:before="360" w:after="240"/>
        <w:rPr>
          <w:rFonts w:ascii="Calibri" w:eastAsia="Calibri" w:hAnsi="Calibri" w:cs="Arial"/>
          <w:rtl/>
        </w:rPr>
      </w:pPr>
    </w:p>
    <w:p w14:paraId="69EC613A" w14:textId="77777777" w:rsidR="001D49D4" w:rsidRPr="001D49D4" w:rsidRDefault="001D49D4" w:rsidP="0004348D">
      <w:pPr>
        <w:keepNext/>
        <w:keepLines/>
        <w:spacing w:before="360" w:after="240"/>
        <w:outlineLvl w:val="1"/>
        <w:rPr>
          <w:rFonts w:ascii="Cambria" w:eastAsia="Times New Roman" w:hAnsi="Cambria" w:cs="Arial"/>
          <w:bCs/>
          <w:color w:val="548DD4" w:themeColor="text2" w:themeTint="99"/>
          <w:sz w:val="26"/>
          <w:szCs w:val="26"/>
          <w:rtl/>
        </w:rPr>
      </w:pPr>
      <w:bookmarkStart w:id="570" w:name="_Toc24883997"/>
      <w:r w:rsidRPr="001D49D4">
        <w:rPr>
          <w:rFonts w:ascii="Cambria" w:eastAsia="Times New Roman" w:hAnsi="Cambria" w:cs="Arial"/>
          <w:bCs/>
          <w:color w:val="548DD4" w:themeColor="text2" w:themeTint="99"/>
          <w:sz w:val="26"/>
          <w:szCs w:val="26"/>
          <w:rtl/>
        </w:rPr>
        <w:t>סעיף ו: שטר שכתוב לשנים, והעדים רחוקים לאחד וקרובים לשני.</w:t>
      </w:r>
      <w:bookmarkEnd w:id="570"/>
    </w:p>
    <w:p w14:paraId="2C5ADBD7"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b/>
          <w:bCs/>
          <w:rtl/>
        </w:rPr>
        <w:t xml:space="preserve">ירושלמי </w:t>
      </w:r>
      <w:r w:rsidRPr="001D49D4">
        <w:rPr>
          <w:rFonts w:ascii="Calibri" w:eastAsia="Calibri" w:hAnsi="Calibri" w:cs="Arial"/>
          <w:b/>
          <w:bCs/>
          <w:sz w:val="16"/>
          <w:szCs w:val="16"/>
          <w:rtl/>
        </w:rPr>
        <w:t>(וילנא)</w:t>
      </w:r>
      <w:r w:rsidRPr="001D49D4">
        <w:rPr>
          <w:rFonts w:ascii="Calibri" w:eastAsia="Calibri" w:hAnsi="Calibri" w:cs="Arial" w:hint="cs"/>
          <w:b/>
          <w:bCs/>
          <w:sz w:val="16"/>
          <w:szCs w:val="16"/>
        </w:rPr>
        <w:t xml:space="preserve"> </w:t>
      </w:r>
      <w:r w:rsidRPr="001D49D4">
        <w:rPr>
          <w:rFonts w:ascii="Calibri" w:eastAsia="Calibri" w:hAnsi="Calibri" w:cs="Arial"/>
          <w:b/>
          <w:bCs/>
          <w:rtl/>
        </w:rPr>
        <w:t>גיטין פ"א ה"א:</w:t>
      </w:r>
      <w:r w:rsidRPr="001D49D4">
        <w:rPr>
          <w:rFonts w:ascii="Calibri" w:eastAsia="Calibri" w:hAnsi="Calibri" w:cs="Arial"/>
          <w:rtl/>
        </w:rPr>
        <w:t xml:space="preserve"> </w:t>
      </w:r>
      <w:r w:rsidRPr="001D49D4">
        <w:rPr>
          <w:rFonts w:ascii="Calibri" w:eastAsia="Calibri" w:hAnsi="Calibri" w:cs="Arial"/>
          <w:u w:val="double"/>
          <w:rtl/>
        </w:rPr>
        <w:t>מתני'</w:t>
      </w:r>
      <w:r w:rsidRPr="001D49D4">
        <w:rPr>
          <w:rFonts w:ascii="Calibri" w:eastAsia="Calibri" w:hAnsi="Calibri" w:cs="Arial"/>
          <w:rtl/>
        </w:rPr>
        <w:t xml:space="preserve">: המביא גט ממדינת הים צריך שיאמר בפני נכתב ובפני נתחתם... </w:t>
      </w:r>
      <w:r w:rsidRPr="001D49D4">
        <w:rPr>
          <w:rFonts w:ascii="Calibri" w:eastAsia="Calibri" w:hAnsi="Calibri" w:cs="Arial"/>
          <w:u w:val="double"/>
          <w:rtl/>
        </w:rPr>
        <w:t>גמ'</w:t>
      </w:r>
      <w:r w:rsidRPr="001D49D4">
        <w:rPr>
          <w:rFonts w:ascii="Calibri" w:eastAsia="Calibri" w:hAnsi="Calibri" w:cs="Arial"/>
          <w:rtl/>
        </w:rPr>
        <w:t>: כתב כל נכסיו לעבדו, את אמר הוא גיטו הוא מתנתו. מה את עבד לה</w:t>
      </w:r>
      <w:r w:rsidRPr="001D49D4">
        <w:rPr>
          <w:rFonts w:ascii="Calibri" w:eastAsia="Calibri" w:hAnsi="Calibri" w:cs="Arial"/>
          <w:vertAlign w:val="superscript"/>
          <w:rtl/>
        </w:rPr>
        <w:footnoteReference w:id="4237"/>
      </w:r>
      <w:r w:rsidRPr="001D49D4">
        <w:rPr>
          <w:rFonts w:ascii="Calibri" w:eastAsia="Calibri" w:hAnsi="Calibri" w:cs="Arial"/>
          <w:rtl/>
        </w:rPr>
        <w:t xml:space="preserve">, כגט הוא ועררו בטל או כמתנה הוא ועררו קיים? וייבא כהדא כתב כל נכסיו לשני בני אדם כאחת והיו עדים כשרין לזה ופסולין לזה, </w:t>
      </w:r>
      <w:r w:rsidRPr="001D49D4">
        <w:rPr>
          <w:rFonts w:ascii="Calibri" w:eastAsia="Calibri" w:hAnsi="Calibri" w:cs="Arial"/>
          <w:u w:val="single"/>
          <w:rtl/>
        </w:rPr>
        <w:t>ר' אילא בשם ר' אמי</w:t>
      </w:r>
      <w:r w:rsidRPr="001D49D4">
        <w:rPr>
          <w:rFonts w:ascii="Calibri" w:eastAsia="Calibri" w:hAnsi="Calibri" w:cs="Arial"/>
          <w:rtl/>
        </w:rPr>
        <w:t xml:space="preserve">: אתפלגון ר' יוחנן וריש לקיש, חד אמר: מאחר שהן פסולין לזה פסולין לזה. וחרנה אמר: כשירין לזה ופסולין לזה... </w:t>
      </w:r>
      <w:r w:rsidRPr="001D49D4">
        <w:rPr>
          <w:rFonts w:ascii="Calibri" w:eastAsia="Calibri" w:hAnsi="Calibri" w:cs="Arial"/>
          <w:u w:val="single"/>
          <w:rtl/>
        </w:rPr>
        <w:t>אמר ר' אלעזר</w:t>
      </w:r>
      <w:r w:rsidRPr="001D49D4">
        <w:rPr>
          <w:rFonts w:ascii="Calibri" w:eastAsia="Calibri" w:hAnsi="Calibri" w:cs="Arial"/>
          <w:rtl/>
        </w:rPr>
        <w:t xml:space="preserve">: מתניתא מסייעא לר' יוחנן, מה השנים נמצא אחד מהן קרוב או פסול עדותן בטילה אף הג' נמצא אחד מהן קרוב או פסול עדותן בטילה. </w:t>
      </w:r>
      <w:r w:rsidRPr="001D49D4">
        <w:rPr>
          <w:rFonts w:ascii="Calibri" w:eastAsia="Calibri" w:hAnsi="Calibri" w:cs="Arial"/>
          <w:u w:val="single"/>
          <w:rtl/>
        </w:rPr>
        <w:t>ר' יעקב בר אחא אמר</w:t>
      </w:r>
      <w:r w:rsidRPr="001D49D4">
        <w:rPr>
          <w:rFonts w:ascii="Calibri" w:eastAsia="Calibri" w:hAnsi="Calibri" w:cs="Arial"/>
          <w:rtl/>
        </w:rPr>
        <w:t>: אתפלגון ר' חנינא חברין דרבנין ורבנין, חד אמר: יאות א"ר לעזר. וחרנה אמר: לא א"ר לעזר יאות. מ"ד יאות א"ר אלעזר - נעשית עדות אחת וכאיש אחד בעדות שבטלה מקצתה בטלה כולה. ומ"ד לא א"ר לעזר יאות - נעשה כשתי כתי עדים כשרים לזה ופסולים לזה.</w:t>
      </w:r>
    </w:p>
    <w:p w14:paraId="34B0A4EB" w14:textId="77777777" w:rsidR="001D49D4" w:rsidRPr="001D49D4" w:rsidRDefault="001D49D4" w:rsidP="0004348D">
      <w:pPr>
        <w:spacing w:before="360" w:after="240"/>
        <w:rPr>
          <w:rFonts w:ascii="Calibri" w:eastAsia="Calibri" w:hAnsi="Calibri" w:cs="Arial"/>
          <w:u w:val="single"/>
          <w:rtl/>
        </w:rPr>
      </w:pPr>
      <w:r w:rsidRPr="001D49D4">
        <w:rPr>
          <w:rFonts w:ascii="Calibri" w:eastAsia="Calibri" w:hAnsi="Calibri" w:cs="Arial"/>
          <w:u w:val="single"/>
          <w:rtl/>
        </w:rPr>
        <w:t>שטר שכתוב לשנים, והעדים רחוקים לאחד וקרובים לשני:</w:t>
      </w:r>
    </w:p>
    <w:p w14:paraId="77B38EBB" w14:textId="77777777" w:rsidR="001D49D4" w:rsidRPr="001D49D4" w:rsidRDefault="001D49D4" w:rsidP="0004348D">
      <w:pPr>
        <w:numPr>
          <w:ilvl w:val="0"/>
          <w:numId w:val="297"/>
        </w:numPr>
        <w:spacing w:before="360" w:after="240"/>
        <w:contextualSpacing/>
        <w:rPr>
          <w:rtl/>
        </w:rPr>
      </w:pPr>
      <w:r w:rsidRPr="001D49D4">
        <w:rPr>
          <w:rtl/>
        </w:rPr>
        <w:t>רבינו האי</w:t>
      </w:r>
      <w:r w:rsidRPr="001D49D4">
        <w:rPr>
          <w:sz w:val="16"/>
          <w:szCs w:val="16"/>
          <w:rtl/>
        </w:rPr>
        <w:t xml:space="preserve"> (כ"כ הטור בשמו)</w:t>
      </w:r>
      <w:r w:rsidRPr="001D49D4">
        <w:rPr>
          <w:rtl/>
        </w:rPr>
        <w:t xml:space="preserve"> רבינו אפרים </w:t>
      </w:r>
      <w:r w:rsidRPr="001D49D4">
        <w:rPr>
          <w:sz w:val="16"/>
          <w:szCs w:val="16"/>
          <w:rtl/>
        </w:rPr>
        <w:t xml:space="preserve"> (כ"כ הב"י בשמו) </w:t>
      </w:r>
      <w:r w:rsidRPr="001D49D4">
        <w:rPr>
          <w:rtl/>
        </w:rPr>
        <w:t xml:space="preserve">ורמ"ה </w:t>
      </w:r>
      <w:r w:rsidRPr="001D49D4">
        <w:rPr>
          <w:sz w:val="16"/>
          <w:szCs w:val="16"/>
          <w:rtl/>
        </w:rPr>
        <w:t>(כ"כ הב"י בשמו)</w:t>
      </w:r>
      <w:r w:rsidRPr="001D49D4">
        <w:rPr>
          <w:rtl/>
        </w:rPr>
        <w:t>- אע"פ שהוא פסול לאותו שהעדים קרובים לו - כשר הוא לאותו שהעדים רחוקים לו</w:t>
      </w:r>
      <w:r w:rsidRPr="001D49D4">
        <w:rPr>
          <w:vertAlign w:val="superscript"/>
          <w:rtl/>
        </w:rPr>
        <w:footnoteReference w:id="4238"/>
      </w:r>
      <w:r w:rsidRPr="001D49D4">
        <w:rPr>
          <w:rtl/>
        </w:rPr>
        <w:t xml:space="preserve">. </w:t>
      </w:r>
    </w:p>
    <w:p w14:paraId="3E778116" w14:textId="77777777" w:rsidR="001D49D4" w:rsidRPr="001D49D4" w:rsidRDefault="001D49D4" w:rsidP="0004348D">
      <w:pPr>
        <w:numPr>
          <w:ilvl w:val="0"/>
          <w:numId w:val="297"/>
        </w:numPr>
        <w:spacing w:before="360" w:after="240"/>
        <w:contextualSpacing/>
      </w:pPr>
      <w:r w:rsidRPr="001D49D4">
        <w:rPr>
          <w:rtl/>
        </w:rPr>
        <w:t>ר"ח רי"ף רמב"ם מרדכי ורא"ש</w:t>
      </w:r>
      <w:r w:rsidRPr="001D49D4">
        <w:rPr>
          <w:vertAlign w:val="superscript"/>
          <w:rtl/>
        </w:rPr>
        <w:footnoteReference w:id="4239"/>
      </w:r>
      <w:r w:rsidRPr="001D49D4">
        <w:rPr>
          <w:rtl/>
        </w:rPr>
        <w:t>- הכותב כל נכסיו לשני בני אדם בעדות אחד והעדים רחוקים לזה וקרובים לזה - פסול</w:t>
      </w:r>
      <w:r w:rsidRPr="001D49D4">
        <w:rPr>
          <w:vertAlign w:val="superscript"/>
          <w:rtl/>
        </w:rPr>
        <w:footnoteReference w:id="4240"/>
      </w:r>
      <w:r w:rsidRPr="001D49D4">
        <w:rPr>
          <w:rtl/>
        </w:rPr>
        <w:t>.</w:t>
      </w:r>
      <w:r w:rsidRPr="001D49D4">
        <w:rPr>
          <w:color w:val="E36C0A" w:themeColor="accent6" w:themeShade="BF"/>
          <w:rtl/>
        </w:rPr>
        <w:t xml:space="preserve"> (וכ"פ בשו"ע)</w:t>
      </w:r>
      <w:r w:rsidRPr="001D49D4">
        <w:rPr>
          <w:rtl/>
        </w:rPr>
        <w:t xml:space="preserve"> </w:t>
      </w:r>
    </w:p>
    <w:p w14:paraId="09A00B3A" w14:textId="77777777" w:rsidR="001D49D4" w:rsidRPr="001D49D4" w:rsidRDefault="001D49D4" w:rsidP="0004348D">
      <w:pPr>
        <w:spacing w:before="360" w:after="240"/>
        <w:ind w:left="360"/>
        <w:rPr>
          <w:rFonts w:ascii="Calibri" w:eastAsia="Calibri" w:hAnsi="Calibri" w:cs="Arial"/>
          <w:u w:val="dotted"/>
        </w:rPr>
      </w:pPr>
      <w:r w:rsidRPr="001D49D4">
        <w:rPr>
          <w:rFonts w:ascii="Calibri" w:eastAsia="Calibri" w:hAnsi="Calibri" w:cs="Arial"/>
          <w:u w:val="dotted"/>
          <w:rtl/>
        </w:rPr>
        <w:t>לפוסלים שטר זה – האם מהני שיסתלק זה שהעדים פסולים לו:</w:t>
      </w:r>
    </w:p>
    <w:p w14:paraId="5BDB6891" w14:textId="77777777" w:rsidR="001D49D4" w:rsidRPr="001D49D4" w:rsidRDefault="001D49D4" w:rsidP="0004348D">
      <w:pPr>
        <w:numPr>
          <w:ilvl w:val="0"/>
          <w:numId w:val="297"/>
        </w:numPr>
        <w:spacing w:before="360" w:after="240"/>
        <w:contextualSpacing/>
      </w:pPr>
      <w:r w:rsidRPr="001D49D4">
        <w:rPr>
          <w:rtl/>
        </w:rPr>
        <w:t>ב"י</w:t>
      </w:r>
      <w:r w:rsidRPr="001D49D4">
        <w:rPr>
          <w:sz w:val="16"/>
          <w:szCs w:val="16"/>
          <w:rtl/>
        </w:rPr>
        <w:t xml:space="preserve"> (בבדה"ב)</w:t>
      </w:r>
      <w:r w:rsidRPr="001D49D4">
        <w:rPr>
          <w:rtl/>
        </w:rPr>
        <w:t>- כתב הרשב"א</w:t>
      </w:r>
      <w:r w:rsidRPr="001D49D4">
        <w:rPr>
          <w:vertAlign w:val="superscript"/>
          <w:rtl/>
        </w:rPr>
        <w:footnoteReference w:id="4241"/>
      </w:r>
      <w:r w:rsidRPr="001D49D4">
        <w:rPr>
          <w:rtl/>
        </w:rPr>
        <w:t xml:space="preserve"> פרק חזקת הבתים נראה לי דהני מילי בשלא נסתלק אותו שהעדים פסולים לו, אבל אם נסתלק מאותו ממון - כשרים לאותו שהם רחוקים לו. וכ"כ הרא"ש בתשובה </w:t>
      </w:r>
      <w:r w:rsidRPr="001D49D4">
        <w:rPr>
          <w:sz w:val="16"/>
          <w:szCs w:val="16"/>
          <w:rtl/>
        </w:rPr>
        <w:t>(כלל ג סי' יג, הביאו הב"י בבדה"ב)</w:t>
      </w:r>
      <w:r w:rsidRPr="001D49D4">
        <w:rPr>
          <w:vertAlign w:val="superscript"/>
          <w:rtl/>
        </w:rPr>
        <w:footnoteReference w:id="4242"/>
      </w:r>
      <w:r w:rsidRPr="001D49D4">
        <w:rPr>
          <w:rtl/>
        </w:rPr>
        <w:t xml:space="preserve">. </w:t>
      </w:r>
      <w:r w:rsidRPr="001D49D4">
        <w:rPr>
          <w:color w:val="E36C0A" w:themeColor="accent6" w:themeShade="BF"/>
          <w:rtl/>
        </w:rPr>
        <w:t>(וכ"פ בשו"ע)</w:t>
      </w:r>
    </w:p>
    <w:p w14:paraId="0B475ADF" w14:textId="77777777" w:rsidR="001D49D4" w:rsidRPr="001D49D4" w:rsidRDefault="001D49D4" w:rsidP="0004348D">
      <w:pPr>
        <w:spacing w:before="360" w:after="240"/>
        <w:ind w:left="360"/>
        <w:rPr>
          <w:rFonts w:ascii="Calibri" w:eastAsia="Calibri" w:hAnsi="Calibri" w:cs="Arial"/>
          <w:u w:val="dotted"/>
        </w:rPr>
      </w:pPr>
      <w:r w:rsidRPr="001D49D4">
        <w:rPr>
          <w:rFonts w:ascii="Calibri" w:eastAsia="Calibri" w:hAnsi="Calibri" w:cs="Arial"/>
          <w:u w:val="dotted"/>
          <w:rtl/>
        </w:rPr>
        <w:t>לפוסלים שטר זה –  מה הדין אם כתוב בשטר דבר מסויים לכל אחד מהשנים:</w:t>
      </w:r>
    </w:p>
    <w:p w14:paraId="4B75C878" w14:textId="77777777" w:rsidR="001D49D4" w:rsidRPr="001D49D4" w:rsidRDefault="001D49D4" w:rsidP="0004348D">
      <w:pPr>
        <w:numPr>
          <w:ilvl w:val="0"/>
          <w:numId w:val="297"/>
        </w:numPr>
        <w:spacing w:before="360" w:after="240"/>
        <w:contextualSpacing/>
      </w:pPr>
      <w:r w:rsidRPr="001D49D4">
        <w:rPr>
          <w:rtl/>
        </w:rPr>
        <w:t xml:space="preserve">רמב"ם </w:t>
      </w:r>
      <w:r w:rsidRPr="001D49D4">
        <w:rPr>
          <w:sz w:val="16"/>
          <w:szCs w:val="16"/>
          <w:rtl/>
        </w:rPr>
        <w:t xml:space="preserve">(פי"ד מהל' עדות ה"ז) </w:t>
      </w:r>
      <w:r w:rsidRPr="001D49D4">
        <w:rPr>
          <w:rtl/>
        </w:rPr>
        <w:t xml:space="preserve">ובהעי"ט </w:t>
      </w:r>
      <w:r w:rsidRPr="001D49D4">
        <w:rPr>
          <w:sz w:val="16"/>
          <w:szCs w:val="16"/>
          <w:rtl/>
        </w:rPr>
        <w:t>(אות ק קבלת עדות ס ע"ג)</w:t>
      </w:r>
      <w:r w:rsidRPr="001D49D4">
        <w:rPr>
          <w:rtl/>
        </w:rPr>
        <w:t>- אבל אם כתבם בשטר אחד 'נתתי לראובן שדה פלוני ולשמעון שדה פלוני' ונמצאו העדים קרובים לזה ורחוקים לזה, זה שהם רחוקים לו - מתנתו קיימת, וזה שהם קרובים לו - מתנתו בטלה, שאלו שני עדיות הן אע"פ שהן בשטר אחד.</w:t>
      </w:r>
      <w:r w:rsidRPr="001D49D4">
        <w:rPr>
          <w:color w:val="E36C0A" w:themeColor="accent6" w:themeShade="BF"/>
          <w:rtl/>
        </w:rPr>
        <w:t xml:space="preserve"> (וכ"פ בשו"ע)</w:t>
      </w:r>
    </w:p>
    <w:p w14:paraId="00988AED"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u w:val="single"/>
          <w:rtl/>
        </w:rPr>
        <w:t>שני שותפין והעדים קרובים לזה ורחוקים לזה:</w:t>
      </w:r>
    </w:p>
    <w:p w14:paraId="771645B7" w14:textId="77777777" w:rsidR="001D49D4" w:rsidRPr="001D49D4" w:rsidRDefault="001D49D4" w:rsidP="0004348D">
      <w:pPr>
        <w:numPr>
          <w:ilvl w:val="0"/>
          <w:numId w:val="297"/>
        </w:numPr>
        <w:spacing w:before="360" w:after="240"/>
        <w:contextualSpacing/>
        <w:rPr>
          <w:rtl/>
        </w:rPr>
      </w:pPr>
      <w:r w:rsidRPr="001D49D4">
        <w:rPr>
          <w:rtl/>
        </w:rPr>
        <w:t xml:space="preserve">מרדכי </w:t>
      </w:r>
      <w:r w:rsidRPr="001D49D4">
        <w:rPr>
          <w:sz w:val="16"/>
          <w:szCs w:val="16"/>
          <w:rtl/>
        </w:rPr>
        <w:t>(פ"ק דגיטין סי' שכג)</w:t>
      </w:r>
      <w:r w:rsidRPr="001D49D4">
        <w:rPr>
          <w:rtl/>
        </w:rPr>
        <w:t>- שני שותפין והעדים קרובים לזה ורחוקים לזה - מעידין לרחוק, דהא תרי גופי נינהו.</w:t>
      </w:r>
    </w:p>
    <w:p w14:paraId="2C7D7059" w14:textId="77777777" w:rsidR="001D49D4" w:rsidRPr="001D49D4" w:rsidRDefault="001D49D4" w:rsidP="0004348D">
      <w:pPr>
        <w:spacing w:before="360" w:after="240"/>
        <w:rPr>
          <w:rFonts w:ascii="Calibri" w:eastAsia="Calibri" w:hAnsi="Calibri" w:cs="Arial"/>
        </w:rPr>
      </w:pPr>
      <w:r w:rsidRPr="001D49D4">
        <w:rPr>
          <w:rFonts w:ascii="Calibri" w:eastAsia="Calibri" w:hAnsi="Calibri" w:cs="Arial"/>
          <w:u w:val="single"/>
          <w:rtl/>
        </w:rPr>
        <w:t>עדות על פה שהעדים רחוקים לאחד וקרובים לשני:</w:t>
      </w:r>
    </w:p>
    <w:p w14:paraId="634BD6E1" w14:textId="77777777" w:rsidR="001D49D4" w:rsidRPr="001D49D4" w:rsidRDefault="001D49D4" w:rsidP="0004348D">
      <w:pPr>
        <w:numPr>
          <w:ilvl w:val="0"/>
          <w:numId w:val="297"/>
        </w:numPr>
        <w:spacing w:before="360" w:after="240"/>
        <w:contextualSpacing/>
      </w:pPr>
      <w:r w:rsidRPr="001D49D4">
        <w:rPr>
          <w:rtl/>
        </w:rPr>
        <w:t xml:space="preserve">מרדכי </w:t>
      </w:r>
      <w:r w:rsidRPr="001D49D4">
        <w:rPr>
          <w:sz w:val="16"/>
          <w:szCs w:val="16"/>
          <w:rtl/>
        </w:rPr>
        <w:t>(כתובות סי' רנד, פ"ק דגיטין סי' שכג)</w:t>
      </w:r>
      <w:r w:rsidRPr="001D49D4">
        <w:rPr>
          <w:rtl/>
        </w:rPr>
        <w:t xml:space="preserve">- בעדות על פה לא שייך למימר אתי לאיחלופי. </w:t>
      </w:r>
      <w:r w:rsidRPr="001D49D4">
        <w:rPr>
          <w:color w:val="00B0F0"/>
          <w:rtl/>
        </w:rPr>
        <w:t>(וכ"פ הרמ"א)</w:t>
      </w:r>
    </w:p>
    <w:p w14:paraId="6F7F59B1" w14:textId="77777777" w:rsidR="001D49D4" w:rsidRPr="001D49D4" w:rsidRDefault="001D49D4" w:rsidP="0004348D">
      <w:pPr>
        <w:spacing w:before="360" w:after="240"/>
        <w:rPr>
          <w:rFonts w:ascii="Arial" w:eastAsia="Calibri" w:hAnsi="Arial" w:cs="Arial"/>
          <w:b/>
          <w:bCs/>
          <w:color w:val="000000"/>
          <w:sz w:val="28"/>
          <w:szCs w:val="28"/>
          <w:u w:val="single"/>
          <w:rtl/>
        </w:rPr>
      </w:pPr>
      <w:r w:rsidRPr="001D49D4">
        <w:rPr>
          <w:rFonts w:ascii="Arial" w:eastAsia="Calibri" w:hAnsi="Arial" w:cs="Arial"/>
          <w:b/>
          <w:bCs/>
          <w:color w:val="000000"/>
          <w:sz w:val="28"/>
          <w:szCs w:val="28"/>
          <w:u w:val="single"/>
          <w:rtl/>
        </w:rPr>
        <w:t>שו"ע:</w:t>
      </w:r>
    </w:p>
    <w:p w14:paraId="03A0C0FC"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rtl/>
        </w:rPr>
        <w:t>הכותב כל נכסיו לשני בני אדם בעדות אחת, והעדים קרובים לאחד ממקבלי המתנה ורחוקים מהשני, הוי השטר פסול, מפני שהוא עדות אחת, אלא אם כן נסתלק</w:t>
      </w:r>
      <w:r w:rsidRPr="001D49D4">
        <w:rPr>
          <w:rFonts w:ascii="Calibri" w:eastAsia="Calibri" w:hAnsi="Calibri" w:cs="Arial"/>
          <w:vertAlign w:val="superscript"/>
          <w:rtl/>
        </w:rPr>
        <w:footnoteReference w:id="4243"/>
      </w:r>
      <w:r w:rsidRPr="001D49D4">
        <w:rPr>
          <w:rFonts w:ascii="Calibri" w:eastAsia="Calibri" w:hAnsi="Calibri" w:cs="Arial"/>
          <w:rtl/>
        </w:rPr>
        <w:t xml:space="preserve"> אותו שהעדים פסולים לו מאותו ממון. </w:t>
      </w:r>
      <w:r w:rsidRPr="001D49D4">
        <w:rPr>
          <w:rFonts w:ascii="Calibri" w:eastAsia="Calibri" w:hAnsi="Calibri" w:cs="Arial"/>
          <w:sz w:val="18"/>
          <w:szCs w:val="18"/>
          <w:rtl/>
        </w:rPr>
        <w:t>[הגה] ובעדות על פה בכה"ג כשרים להעיד לזה שאינן קרוביו</w:t>
      </w:r>
      <w:r w:rsidRPr="001D49D4">
        <w:rPr>
          <w:rFonts w:ascii="Calibri" w:eastAsia="Calibri" w:hAnsi="Calibri" w:cs="Arial"/>
          <w:sz w:val="18"/>
          <w:szCs w:val="18"/>
          <w:vertAlign w:val="superscript"/>
          <w:rtl/>
        </w:rPr>
        <w:footnoteReference w:id="4244"/>
      </w:r>
      <w:r w:rsidRPr="001D49D4">
        <w:rPr>
          <w:rFonts w:ascii="Calibri" w:eastAsia="Calibri" w:hAnsi="Calibri" w:cs="Arial"/>
          <w:sz w:val="18"/>
          <w:szCs w:val="18"/>
          <w:rtl/>
        </w:rPr>
        <w:t xml:space="preserve"> </w:t>
      </w:r>
      <w:r w:rsidRPr="001D49D4">
        <w:rPr>
          <w:rFonts w:ascii="Calibri" w:eastAsia="Calibri" w:hAnsi="Calibri" w:cs="Arial"/>
          <w:sz w:val="16"/>
          <w:szCs w:val="16"/>
          <w:rtl/>
        </w:rPr>
        <w:t>(מרדכי שם ותשו' ריטב"א בב"י סי' לז מחו' יג)</w:t>
      </w:r>
      <w:r w:rsidRPr="001D49D4">
        <w:rPr>
          <w:rFonts w:ascii="Calibri" w:eastAsia="Calibri" w:hAnsi="Calibri" w:cs="Arial"/>
          <w:sz w:val="18"/>
          <w:szCs w:val="18"/>
          <w:rtl/>
        </w:rPr>
        <w:t>.</w:t>
      </w:r>
      <w:r w:rsidRPr="001D49D4">
        <w:rPr>
          <w:rFonts w:ascii="Calibri" w:eastAsia="Calibri" w:hAnsi="Calibri" w:cs="Arial"/>
          <w:rtl/>
        </w:rPr>
        <w:t xml:space="preserve"> אבל אם כתב בשטר אחד 'שנתתי לראובן חצר פלונית ושנתתי לשמעון חצר פלונית', ונמצאו העדים קרובים לזה ורחוקים מזה, זה שהם רחוקים ממנו, מתנתו קיימת, שאלו שתי עדיות הן אף על פי שהם בשטר אחד. </w:t>
      </w:r>
      <w:r w:rsidRPr="001D49D4">
        <w:rPr>
          <w:rFonts w:ascii="Calibri" w:eastAsia="Calibri" w:hAnsi="Calibri" w:cs="Arial"/>
          <w:sz w:val="18"/>
          <w:szCs w:val="18"/>
          <w:rtl/>
        </w:rPr>
        <w:t>הגה: וכן אם היו כתובים בשטר ב' או ג' דברים, ונתבטל השטר לדבר אחד</w:t>
      </w:r>
      <w:r w:rsidRPr="001D49D4">
        <w:rPr>
          <w:rFonts w:ascii="Calibri" w:eastAsia="Calibri" w:hAnsi="Calibri" w:cs="Arial"/>
          <w:sz w:val="18"/>
          <w:szCs w:val="18"/>
          <w:vertAlign w:val="superscript"/>
          <w:rtl/>
        </w:rPr>
        <w:footnoteReference w:id="4245"/>
      </w:r>
      <w:r w:rsidRPr="001D49D4">
        <w:rPr>
          <w:rFonts w:ascii="Calibri" w:eastAsia="Calibri" w:hAnsi="Calibri" w:cs="Arial"/>
          <w:sz w:val="18"/>
          <w:szCs w:val="18"/>
          <w:rtl/>
        </w:rPr>
        <w:t xml:space="preserve">, השאר לא נתבטל </w:t>
      </w:r>
      <w:r w:rsidRPr="001D49D4">
        <w:rPr>
          <w:rFonts w:ascii="Calibri" w:eastAsia="Calibri" w:hAnsi="Calibri" w:cs="Arial"/>
          <w:sz w:val="16"/>
          <w:szCs w:val="16"/>
          <w:rtl/>
        </w:rPr>
        <w:t>(מוהר"ם פדוואה סי' מד)</w:t>
      </w:r>
      <w:r w:rsidRPr="001D49D4">
        <w:rPr>
          <w:rFonts w:ascii="Calibri" w:eastAsia="Calibri" w:hAnsi="Calibri" w:cs="Arial"/>
          <w:sz w:val="18"/>
          <w:szCs w:val="18"/>
          <w:rtl/>
        </w:rPr>
        <w:t>.</w:t>
      </w:r>
      <w:r w:rsidRPr="001D49D4">
        <w:rPr>
          <w:rFonts w:ascii="Calibri" w:eastAsia="Calibri" w:hAnsi="Calibri" w:cs="Arial"/>
          <w:rtl/>
        </w:rPr>
        <w:t xml:space="preserve"> </w:t>
      </w:r>
    </w:p>
    <w:p w14:paraId="49182364" w14:textId="77777777" w:rsidR="001D49D4" w:rsidRPr="001D49D4" w:rsidRDefault="001D49D4" w:rsidP="0004348D">
      <w:pPr>
        <w:spacing w:before="360" w:after="240"/>
        <w:rPr>
          <w:rFonts w:ascii="Calibri" w:eastAsia="Calibri" w:hAnsi="Calibri" w:cs="Arial"/>
          <w:rtl/>
        </w:rPr>
      </w:pPr>
    </w:p>
    <w:p w14:paraId="3E1294BC" w14:textId="77777777" w:rsidR="001D49D4" w:rsidRPr="001D49D4" w:rsidRDefault="001D49D4" w:rsidP="0004348D">
      <w:pPr>
        <w:keepNext/>
        <w:keepLines/>
        <w:spacing w:before="360" w:after="240"/>
        <w:outlineLvl w:val="1"/>
        <w:rPr>
          <w:rFonts w:ascii="Cambria" w:eastAsia="Times New Roman" w:hAnsi="Cambria" w:cs="Arial"/>
          <w:bCs/>
          <w:color w:val="548DD4" w:themeColor="text2" w:themeTint="99"/>
          <w:sz w:val="26"/>
          <w:szCs w:val="26"/>
          <w:rtl/>
        </w:rPr>
      </w:pPr>
      <w:bookmarkStart w:id="571" w:name="_Toc24883998"/>
      <w:r w:rsidRPr="001D49D4">
        <w:rPr>
          <w:rFonts w:ascii="Cambria" w:eastAsia="Times New Roman" w:hAnsi="Cambria" w:cs="Arial"/>
          <w:bCs/>
          <w:color w:val="548DD4" w:themeColor="text2" w:themeTint="99"/>
          <w:sz w:val="26"/>
          <w:szCs w:val="26"/>
          <w:rtl/>
        </w:rPr>
        <w:t>סעיף ז: שטר שנמסר בפני שני עדים.</w:t>
      </w:r>
      <w:bookmarkEnd w:id="571"/>
    </w:p>
    <w:p w14:paraId="69E0CF3B"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b/>
          <w:bCs/>
          <w:rtl/>
        </w:rPr>
        <w:t>גיטין</w:t>
      </w:r>
      <w:r w:rsidRPr="001D49D4">
        <w:rPr>
          <w:rFonts w:ascii="Calibri" w:eastAsia="Calibri" w:hAnsi="Calibri" w:cs="Arial"/>
          <w:b/>
          <w:bCs/>
          <w:sz w:val="16"/>
          <w:szCs w:val="16"/>
          <w:rtl/>
        </w:rPr>
        <w:t xml:space="preserve"> (פרק בתרא) </w:t>
      </w:r>
      <w:r w:rsidRPr="001D49D4">
        <w:rPr>
          <w:rFonts w:ascii="Calibri" w:eastAsia="Calibri" w:hAnsi="Calibri" w:cs="Arial"/>
          <w:b/>
          <w:bCs/>
          <w:rtl/>
        </w:rPr>
        <w:t>פו</w:t>
      </w:r>
      <w:r w:rsidRPr="001D49D4">
        <w:rPr>
          <w:rFonts w:ascii="Calibri" w:eastAsia="Calibri" w:hAnsi="Calibri" w:cs="Arial"/>
          <w:b/>
          <w:bCs/>
          <w:vertAlign w:val="superscript"/>
          <w:rtl/>
        </w:rPr>
        <w:footnoteReference w:id="4246"/>
      </w:r>
      <w:r w:rsidRPr="001D49D4">
        <w:rPr>
          <w:rFonts w:ascii="Calibri" w:eastAsia="Calibri" w:hAnsi="Calibri" w:cs="Arial"/>
          <w:b/>
          <w:bCs/>
          <w:rtl/>
        </w:rPr>
        <w:t xml:space="preserve"> ע"א:</w:t>
      </w:r>
      <w:r w:rsidRPr="001D49D4">
        <w:rPr>
          <w:rFonts w:ascii="Calibri" w:eastAsia="Calibri" w:hAnsi="Calibri" w:cs="Arial"/>
          <w:rtl/>
        </w:rPr>
        <w:t xml:space="preserve"> </w:t>
      </w:r>
      <w:r w:rsidRPr="001D49D4">
        <w:rPr>
          <w:rFonts w:ascii="Calibri" w:eastAsia="Calibri" w:hAnsi="Calibri" w:cs="Arial"/>
          <w:u w:val="double"/>
          <w:rtl/>
        </w:rPr>
        <w:t>מתני'</w:t>
      </w:r>
      <w:r w:rsidRPr="001D49D4">
        <w:rPr>
          <w:rFonts w:ascii="Calibri" w:eastAsia="Calibri" w:hAnsi="Calibri" w:cs="Arial"/>
          <w:rtl/>
        </w:rPr>
        <w:t xml:space="preserve">: שלשה גיטין פסולין, ואם נשאת - הוולד כשר: כתב בכתב ידו ואין עליו עדים, יש עליו עדים ואין בו זמן, יש בו זמן ואין בו אלא עד אחד, הרי אלו שלשה גיטין פסולין, ואם נשאת - הולד כשר. </w:t>
      </w:r>
      <w:r w:rsidRPr="001D49D4">
        <w:rPr>
          <w:rFonts w:ascii="Calibri" w:eastAsia="Calibri" w:hAnsi="Calibri" w:cs="Arial"/>
          <w:u w:val="single"/>
          <w:rtl/>
        </w:rPr>
        <w:t>רבי אליעזר אומר</w:t>
      </w:r>
      <w:r w:rsidRPr="001D49D4">
        <w:rPr>
          <w:rFonts w:ascii="Calibri" w:eastAsia="Calibri" w:hAnsi="Calibri" w:cs="Arial"/>
          <w:rtl/>
        </w:rPr>
        <w:t xml:space="preserve">: אף על פי שאין עליו עדים אלא שנתנו לה בפני עדים - כשר, וגובה מנכסים משועבדים, שאין העדים חותמים על הגט אלא מפני תיקון העולם.       </w:t>
      </w:r>
      <w:r w:rsidRPr="001D49D4">
        <w:rPr>
          <w:rFonts w:ascii="Calibri" w:eastAsia="Calibri" w:hAnsi="Calibri" w:cs="Arial"/>
          <w:u w:val="double"/>
          <w:rtl/>
        </w:rPr>
        <w:t>גמ'</w:t>
      </w:r>
      <w:r w:rsidRPr="001D49D4">
        <w:rPr>
          <w:rFonts w:ascii="Calibri" w:eastAsia="Calibri" w:hAnsi="Calibri" w:cs="Arial"/>
          <w:sz w:val="14"/>
          <w:szCs w:val="14"/>
          <w:u w:val="double"/>
          <w:rtl/>
        </w:rPr>
        <w:t xml:space="preserve"> (פו:)</w:t>
      </w:r>
      <w:r w:rsidRPr="001D49D4">
        <w:rPr>
          <w:rFonts w:ascii="Calibri" w:eastAsia="Calibri" w:hAnsi="Calibri" w:cs="Arial"/>
          <w:u w:val="double"/>
          <w:rtl/>
        </w:rPr>
        <w:t>:</w:t>
      </w:r>
      <w:r w:rsidRPr="001D49D4">
        <w:rPr>
          <w:rFonts w:ascii="Calibri" w:eastAsia="Calibri" w:hAnsi="Calibri" w:cs="Arial"/>
          <w:rtl/>
        </w:rPr>
        <w:t xml:space="preserve"> </w:t>
      </w:r>
      <w:r w:rsidRPr="001D49D4">
        <w:rPr>
          <w:rFonts w:ascii="Calibri" w:eastAsia="Calibri" w:hAnsi="Calibri" w:cs="Arial"/>
          <w:u w:val="single"/>
          <w:rtl/>
        </w:rPr>
        <w:t>אמר רב יהודה אמר רב</w:t>
      </w:r>
      <w:r w:rsidRPr="001D49D4">
        <w:rPr>
          <w:rFonts w:ascii="Calibri" w:eastAsia="Calibri" w:hAnsi="Calibri" w:cs="Arial"/>
          <w:rtl/>
        </w:rPr>
        <w:t xml:space="preserve">: הלכה כר' אלעזר בגיטין. </w:t>
      </w:r>
      <w:r w:rsidRPr="001D49D4">
        <w:rPr>
          <w:rFonts w:ascii="Calibri" w:eastAsia="Calibri" w:hAnsi="Calibri" w:cs="Arial"/>
          <w:u w:val="single"/>
          <w:rtl/>
        </w:rPr>
        <w:t>כי אמריתה קמיה דשמואל, אמר</w:t>
      </w:r>
      <w:r w:rsidRPr="001D49D4">
        <w:rPr>
          <w:rFonts w:ascii="Calibri" w:eastAsia="Calibri" w:hAnsi="Calibri" w:cs="Arial"/>
          <w:rtl/>
        </w:rPr>
        <w:t xml:space="preserve">: אף בשטרות. ורב סבר בשטרות לא? הא קתני: וגובה מנכסים משועבדים! רבי אלעזר תרתי אמר, ורב סבר כוותיה בחדא ופליג עליה בחדא. </w:t>
      </w:r>
      <w:r w:rsidRPr="001D49D4">
        <w:rPr>
          <w:rFonts w:ascii="Calibri" w:eastAsia="Calibri" w:hAnsi="Calibri" w:cs="Arial"/>
          <w:u w:val="single"/>
          <w:rtl/>
        </w:rPr>
        <w:t>וכן אמר ר' יעקב בר אידי אמר ר' יהושע בן לוי</w:t>
      </w:r>
      <w:r w:rsidRPr="001D49D4">
        <w:rPr>
          <w:rFonts w:ascii="Calibri" w:eastAsia="Calibri" w:hAnsi="Calibri" w:cs="Arial"/>
          <w:rtl/>
        </w:rPr>
        <w:t xml:space="preserve">: הלכה כר' אלעזר בגיטין. </w:t>
      </w:r>
      <w:r w:rsidRPr="001D49D4">
        <w:rPr>
          <w:rFonts w:ascii="Calibri" w:eastAsia="Calibri" w:hAnsi="Calibri" w:cs="Arial"/>
          <w:u w:val="single"/>
          <w:rtl/>
        </w:rPr>
        <w:t>ורבי ינאי אמר</w:t>
      </w:r>
      <w:r w:rsidRPr="001D49D4">
        <w:rPr>
          <w:rFonts w:ascii="Calibri" w:eastAsia="Calibri" w:hAnsi="Calibri" w:cs="Arial"/>
          <w:rtl/>
        </w:rPr>
        <w:t xml:space="preserve">: אפילו ריח הגט אין בו. ורבי ינאי לית ליה דר' אלעזר? הכי קאמר: לרבנן, אפילו ריח הגט אין בו. </w:t>
      </w:r>
      <w:r w:rsidRPr="001D49D4">
        <w:rPr>
          <w:rFonts w:ascii="Calibri" w:eastAsia="Calibri" w:hAnsi="Calibri" w:cs="Arial"/>
          <w:u w:val="single"/>
          <w:rtl/>
        </w:rPr>
        <w:t>וכן אמר ר' יוסי בר' חנינא אמר ריש לקיש</w:t>
      </w:r>
      <w:r w:rsidRPr="001D49D4">
        <w:rPr>
          <w:rFonts w:ascii="Calibri" w:eastAsia="Calibri" w:hAnsi="Calibri" w:cs="Arial"/>
          <w:rtl/>
        </w:rPr>
        <w:t xml:space="preserve">: הלכה כרבי אלעזר בגיטין. </w:t>
      </w:r>
      <w:r w:rsidRPr="001D49D4">
        <w:rPr>
          <w:rFonts w:ascii="Calibri" w:eastAsia="Calibri" w:hAnsi="Calibri" w:cs="Arial"/>
          <w:u w:val="single"/>
          <w:rtl/>
        </w:rPr>
        <w:t>ור' יוחנן אמר</w:t>
      </w:r>
      <w:r w:rsidRPr="001D49D4">
        <w:rPr>
          <w:rFonts w:ascii="Calibri" w:eastAsia="Calibri" w:hAnsi="Calibri" w:cs="Arial"/>
          <w:rtl/>
        </w:rPr>
        <w:t xml:space="preserve">: אפילו ריח הגט אין בו. לימא, ר' יוחנן לית ליה דר' אלעזר! הכי קאמר: לרבנן, אפילו ריח הגט אין בו. </w:t>
      </w:r>
      <w:r w:rsidRPr="001D49D4">
        <w:rPr>
          <w:rFonts w:ascii="Calibri" w:eastAsia="Calibri" w:hAnsi="Calibri" w:cs="Arial"/>
          <w:u w:val="single"/>
          <w:rtl/>
        </w:rPr>
        <w:t>שלח ליה ר' אבא בר זבדא למרי בר מר, בעי מיניה מרב הונא</w:t>
      </w:r>
      <w:r w:rsidRPr="001D49D4">
        <w:rPr>
          <w:rFonts w:ascii="Calibri" w:eastAsia="Calibri" w:hAnsi="Calibri" w:cs="Arial"/>
          <w:rtl/>
        </w:rPr>
        <w:t xml:space="preserve">: הלכה כר' אלעזר בגיטין, או אין הלכה? אדהכי נח נפשיה דרב הונא, </w:t>
      </w:r>
      <w:r w:rsidRPr="001D49D4">
        <w:rPr>
          <w:rFonts w:ascii="Calibri" w:eastAsia="Calibri" w:hAnsi="Calibri" w:cs="Arial"/>
          <w:u w:val="single"/>
          <w:rtl/>
        </w:rPr>
        <w:t>אמר ליה רבה בריה, הכי אמר אבא משמיה דרבא</w:t>
      </w:r>
      <w:r w:rsidRPr="001D49D4">
        <w:rPr>
          <w:rFonts w:ascii="Calibri" w:eastAsia="Calibri" w:hAnsi="Calibri" w:cs="Arial"/>
          <w:rtl/>
        </w:rPr>
        <w:t xml:space="preserve">: הלכה כר' אלעזר בגיטין, </w:t>
      </w:r>
      <w:r w:rsidRPr="001D49D4">
        <w:rPr>
          <w:rFonts w:ascii="Calibri" w:eastAsia="Calibri" w:hAnsi="Calibri" w:cs="Arial"/>
          <w:u w:val="single"/>
          <w:rtl/>
        </w:rPr>
        <w:t>ורבותינו הבקיאין בדבר הלכה, משום רבינו אמרו</w:t>
      </w:r>
      <w:r w:rsidRPr="001D49D4">
        <w:rPr>
          <w:rFonts w:ascii="Calibri" w:eastAsia="Calibri" w:hAnsi="Calibri" w:cs="Arial"/>
          <w:rtl/>
        </w:rPr>
        <w:t xml:space="preserve">: הלכה כר' אלעזר בגיטין, דאמר רב חמא בר גוריא אמר רב: הלכה כר' אלעזר בגיטין. איכא דאמרי: </w:t>
      </w:r>
      <w:r w:rsidRPr="001D49D4">
        <w:rPr>
          <w:rFonts w:ascii="Calibri" w:eastAsia="Calibri" w:hAnsi="Calibri" w:cs="Arial"/>
          <w:u w:val="single"/>
          <w:rtl/>
        </w:rPr>
        <w:t>וחברינו הבקיאין בדבר הלכה ותלמידי רבינו, משום רבינו אמרו</w:t>
      </w:r>
      <w:r w:rsidRPr="001D49D4">
        <w:rPr>
          <w:rFonts w:ascii="Calibri" w:eastAsia="Calibri" w:hAnsi="Calibri" w:cs="Arial"/>
          <w:rtl/>
        </w:rPr>
        <w:t xml:space="preserve">: הלכה כרבי אלעזר בגיטין, דאמר רב חסדא אמר רב חמא בר גוריא אמר רב: הלכה כרבי אלעזר בגיטין. </w:t>
      </w:r>
      <w:r w:rsidRPr="001D49D4">
        <w:rPr>
          <w:rFonts w:ascii="Calibri" w:eastAsia="Calibri" w:hAnsi="Calibri" w:cs="Arial"/>
          <w:u w:val="single"/>
          <w:rtl/>
        </w:rPr>
        <w:t>וכן כי אתא רבין, אמר ר' אלעזר אמר רב</w:t>
      </w:r>
      <w:r w:rsidRPr="001D49D4">
        <w:rPr>
          <w:rFonts w:ascii="Calibri" w:eastAsia="Calibri" w:hAnsi="Calibri" w:cs="Arial"/>
          <w:rtl/>
        </w:rPr>
        <w:t>: הלכה כרבי אלעזר בגיטין.</w:t>
      </w:r>
    </w:p>
    <w:p w14:paraId="707AE997"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u w:val="single"/>
          <w:rtl/>
        </w:rPr>
        <w:t>שטר ללא חתימות עדים שנמסר בפני שני עדים:</w:t>
      </w:r>
    </w:p>
    <w:p w14:paraId="366039EC" w14:textId="77777777" w:rsidR="001D49D4" w:rsidRPr="001D49D4" w:rsidRDefault="001D49D4" w:rsidP="0004348D">
      <w:pPr>
        <w:numPr>
          <w:ilvl w:val="0"/>
          <w:numId w:val="297"/>
        </w:numPr>
        <w:spacing w:before="360" w:after="240"/>
        <w:contextualSpacing/>
        <w:rPr>
          <w:rtl/>
        </w:rPr>
      </w:pPr>
      <w:r w:rsidRPr="001D49D4">
        <w:rPr>
          <w:rtl/>
        </w:rPr>
        <w:t xml:space="preserve">ר"י </w:t>
      </w:r>
      <w:r w:rsidRPr="001D49D4">
        <w:rPr>
          <w:sz w:val="16"/>
          <w:szCs w:val="16"/>
          <w:rtl/>
        </w:rPr>
        <w:t xml:space="preserve">(שם ד. תוד"ה דקיימא לן) </w:t>
      </w:r>
      <w:r w:rsidRPr="001D49D4">
        <w:rPr>
          <w:rtl/>
        </w:rPr>
        <w:t xml:space="preserve">רי"ד </w:t>
      </w:r>
      <w:r w:rsidRPr="001D49D4">
        <w:rPr>
          <w:sz w:val="16"/>
          <w:szCs w:val="16"/>
          <w:rtl/>
        </w:rPr>
        <w:t xml:space="preserve">(בתוס' רי"ד סוף פו:) </w:t>
      </w:r>
      <w:r w:rsidRPr="001D49D4">
        <w:rPr>
          <w:rtl/>
        </w:rPr>
        <w:t xml:space="preserve">רא"ש </w:t>
      </w:r>
      <w:r w:rsidRPr="001D49D4">
        <w:rPr>
          <w:sz w:val="16"/>
          <w:szCs w:val="16"/>
          <w:rtl/>
        </w:rPr>
        <w:t xml:space="preserve">(סי' ז) </w:t>
      </w:r>
      <w:r w:rsidRPr="001D49D4">
        <w:rPr>
          <w:rtl/>
        </w:rPr>
        <w:t>וטור- הלכתא עדי מסירה כרתי בין בגיטין בין בשאר שטרות</w:t>
      </w:r>
      <w:r w:rsidRPr="001D49D4">
        <w:rPr>
          <w:vertAlign w:val="superscript"/>
          <w:rtl/>
        </w:rPr>
        <w:footnoteReference w:id="4247"/>
      </w:r>
      <w:r w:rsidRPr="001D49D4">
        <w:rPr>
          <w:rtl/>
        </w:rPr>
        <w:t>, לפיכך שטר שנמסר בפני שני עדים - גובין בו ממשעבדי אע"פ שאינן חתומים בו</w:t>
      </w:r>
      <w:r w:rsidRPr="001D49D4">
        <w:rPr>
          <w:sz w:val="16"/>
          <w:szCs w:val="16"/>
          <w:rtl/>
        </w:rPr>
        <w:t xml:space="preserve"> (ל' הטור)</w:t>
      </w:r>
      <w:r w:rsidRPr="001D49D4">
        <w:rPr>
          <w:rtl/>
        </w:rPr>
        <w:t>.</w:t>
      </w:r>
      <w:r w:rsidRPr="001D49D4">
        <w:rPr>
          <w:color w:val="E36C0A" w:themeColor="accent6" w:themeShade="BF"/>
          <w:rtl/>
        </w:rPr>
        <w:t xml:space="preserve"> (וכ"פ בשו"ע) </w:t>
      </w:r>
      <w:r w:rsidRPr="001D49D4">
        <w:rPr>
          <w:rtl/>
        </w:rPr>
        <w:t>(וכ"כ הגר"א</w:t>
      </w:r>
      <w:r w:rsidRPr="001D49D4">
        <w:rPr>
          <w:sz w:val="16"/>
          <w:szCs w:val="16"/>
          <w:rtl/>
        </w:rPr>
        <w:t xml:space="preserve"> [סקי"ט]</w:t>
      </w:r>
      <w:r w:rsidRPr="001D49D4">
        <w:rPr>
          <w:rtl/>
        </w:rPr>
        <w:t>)</w:t>
      </w:r>
    </w:p>
    <w:p w14:paraId="249AD426" w14:textId="77777777" w:rsidR="001D49D4" w:rsidRPr="001D49D4" w:rsidRDefault="001D49D4" w:rsidP="0004348D">
      <w:pPr>
        <w:numPr>
          <w:ilvl w:val="0"/>
          <w:numId w:val="297"/>
        </w:numPr>
        <w:spacing w:before="360" w:after="240"/>
        <w:contextualSpacing/>
      </w:pPr>
      <w:r w:rsidRPr="001D49D4">
        <w:rPr>
          <w:rtl/>
        </w:rPr>
        <w:t>רי"ף</w:t>
      </w:r>
      <w:r w:rsidRPr="001D49D4">
        <w:rPr>
          <w:sz w:val="16"/>
          <w:szCs w:val="16"/>
          <w:rtl/>
        </w:rPr>
        <w:t xml:space="preserve"> (מז.)</w:t>
      </w:r>
      <w:r w:rsidRPr="001D49D4">
        <w:rPr>
          <w:rtl/>
        </w:rPr>
        <w:t xml:space="preserve"> ורמב"ן </w:t>
      </w:r>
      <w:r w:rsidRPr="001D49D4">
        <w:rPr>
          <w:sz w:val="16"/>
          <w:szCs w:val="16"/>
          <w:rtl/>
        </w:rPr>
        <w:t>(ספר הזכות גיטין מו: ד"ה אמר המחבר)</w:t>
      </w:r>
      <w:r w:rsidRPr="001D49D4">
        <w:rPr>
          <w:rtl/>
        </w:rPr>
        <w:t>- הלכתא כרבי אלעזר בגיטין</w:t>
      </w:r>
      <w:r w:rsidRPr="001D49D4">
        <w:rPr>
          <w:vertAlign w:val="superscript"/>
          <w:rtl/>
        </w:rPr>
        <w:footnoteReference w:id="4248"/>
      </w:r>
      <w:r w:rsidRPr="001D49D4">
        <w:rPr>
          <w:rtl/>
        </w:rPr>
        <w:t>. (וכ"כ הש"ך</w:t>
      </w:r>
      <w:r w:rsidRPr="001D49D4">
        <w:rPr>
          <w:vertAlign w:val="superscript"/>
          <w:rtl/>
        </w:rPr>
        <w:footnoteReference w:id="4249"/>
      </w:r>
      <w:r w:rsidRPr="001D49D4">
        <w:rPr>
          <w:sz w:val="16"/>
          <w:szCs w:val="16"/>
          <w:rtl/>
        </w:rPr>
        <w:t xml:space="preserve"> [סק"ט]</w:t>
      </w:r>
      <w:r w:rsidRPr="001D49D4">
        <w:rPr>
          <w:rtl/>
        </w:rPr>
        <w:t>)</w:t>
      </w:r>
    </w:p>
    <w:p w14:paraId="62C97F3C" w14:textId="77777777" w:rsidR="001D49D4" w:rsidRPr="001D49D4" w:rsidRDefault="001D49D4" w:rsidP="0004348D">
      <w:pPr>
        <w:numPr>
          <w:ilvl w:val="0"/>
          <w:numId w:val="297"/>
        </w:numPr>
        <w:spacing w:before="360" w:after="240"/>
        <w:contextualSpacing/>
      </w:pPr>
      <w:r w:rsidRPr="001D49D4">
        <w:rPr>
          <w:rtl/>
        </w:rPr>
        <w:t>רמב"ם</w:t>
      </w:r>
      <w:r w:rsidRPr="001D49D4">
        <w:rPr>
          <w:sz w:val="16"/>
          <w:szCs w:val="16"/>
          <w:rtl/>
        </w:rPr>
        <w:t xml:space="preserve"> (פי"א ממלוה ולוה ה"ב,</w:t>
      </w:r>
      <w:r w:rsidRPr="001D49D4">
        <w:rPr>
          <w:rtl/>
        </w:rPr>
        <w:t xml:space="preserve"> </w:t>
      </w:r>
      <w:r w:rsidRPr="001D49D4">
        <w:rPr>
          <w:sz w:val="16"/>
          <w:szCs w:val="16"/>
          <w:rtl/>
        </w:rPr>
        <w:t>גם הטור הביאו לעיל סי' מ ס"ה)</w:t>
      </w:r>
      <w:r w:rsidRPr="001D49D4">
        <w:rPr>
          <w:rtl/>
        </w:rPr>
        <w:t>- אם כתב שטר אע"פ שאין בו עדים ונתנו למלוה בפני עדים - הרי זו מלוה בשטר, והוא שיהיה כתב שאינו יכול להזדייף</w:t>
      </w:r>
      <w:r w:rsidRPr="001D49D4">
        <w:rPr>
          <w:vertAlign w:val="superscript"/>
          <w:rtl/>
        </w:rPr>
        <w:footnoteReference w:id="4250"/>
      </w:r>
      <w:r w:rsidRPr="001D49D4">
        <w:rPr>
          <w:rtl/>
        </w:rPr>
        <w:t>, ויקראו אותו העדים שנמסר בפניהם. ויש מן הגאונים שהורו שצריך לומר לעדים שמסרו בפניהם חתמו והעידו שנמסר בפניכם</w:t>
      </w:r>
      <w:r w:rsidRPr="001D49D4">
        <w:rPr>
          <w:vertAlign w:val="superscript"/>
          <w:rtl/>
        </w:rPr>
        <w:footnoteReference w:id="4251"/>
      </w:r>
      <w:r w:rsidRPr="001D49D4">
        <w:rPr>
          <w:rtl/>
        </w:rPr>
        <w:t xml:space="preserve">. </w:t>
      </w:r>
      <w:r w:rsidRPr="001D49D4">
        <w:rPr>
          <w:color w:val="E36C0A" w:themeColor="accent6" w:themeShade="BF"/>
          <w:rtl/>
        </w:rPr>
        <w:t>(וכ"פ בשו"ע</w:t>
      </w:r>
      <w:r w:rsidRPr="001D49D4">
        <w:rPr>
          <w:sz w:val="16"/>
          <w:szCs w:val="16"/>
          <w:rtl/>
        </w:rPr>
        <w:t xml:space="preserve"> [סי' מ ס"ב]</w:t>
      </w:r>
      <w:r w:rsidRPr="001D49D4">
        <w:rPr>
          <w:color w:val="E36C0A" w:themeColor="accent6" w:themeShade="BF"/>
          <w:rtl/>
        </w:rPr>
        <w:t>)</w:t>
      </w:r>
    </w:p>
    <w:p w14:paraId="6722FAEF" w14:textId="77777777" w:rsidR="001D49D4" w:rsidRPr="001D49D4" w:rsidRDefault="001D49D4" w:rsidP="0004348D">
      <w:pPr>
        <w:spacing w:before="360" w:after="240"/>
        <w:rPr>
          <w:rFonts w:ascii="Calibri" w:eastAsia="Calibri" w:hAnsi="Calibri" w:cs="Arial"/>
          <w:u w:val="single"/>
        </w:rPr>
      </w:pPr>
      <w:r w:rsidRPr="001D49D4">
        <w:rPr>
          <w:rFonts w:ascii="Calibri" w:eastAsia="Calibri" w:hAnsi="Calibri" w:cs="Arial"/>
          <w:u w:val="single"/>
          <w:rtl/>
        </w:rPr>
        <w:t>שטר שחתומים עליו שני עדים ונמסר בפני שני עדים אחרים - ונמצאו שני עדי החתימה פסולים:</w:t>
      </w:r>
    </w:p>
    <w:p w14:paraId="4401905F" w14:textId="77777777" w:rsidR="001D49D4" w:rsidRPr="001D49D4" w:rsidRDefault="001D49D4" w:rsidP="0004348D">
      <w:pPr>
        <w:numPr>
          <w:ilvl w:val="0"/>
          <w:numId w:val="297"/>
        </w:numPr>
        <w:spacing w:before="360" w:after="240"/>
        <w:contextualSpacing/>
      </w:pPr>
      <w:r w:rsidRPr="001D49D4">
        <w:rPr>
          <w:rtl/>
        </w:rPr>
        <w:t xml:space="preserve">רמב"ם </w:t>
      </w:r>
      <w:r w:rsidRPr="001D49D4">
        <w:rPr>
          <w:sz w:val="16"/>
          <w:szCs w:val="16"/>
          <w:rtl/>
        </w:rPr>
        <w:t xml:space="preserve">(פי"ד מהל' עדות ה"ו) </w:t>
      </w:r>
      <w:r w:rsidRPr="001D49D4">
        <w:rPr>
          <w:rtl/>
        </w:rPr>
        <w:t>וטור- אם נמצאו עדי חתימתו פסולין - הוא פסול אע"פ שנמסר בפני עדים כשרים</w:t>
      </w:r>
      <w:r w:rsidRPr="001D49D4">
        <w:rPr>
          <w:vertAlign w:val="superscript"/>
          <w:rtl/>
        </w:rPr>
        <w:footnoteReference w:id="4252"/>
      </w:r>
      <w:r w:rsidRPr="001D49D4">
        <w:rPr>
          <w:sz w:val="16"/>
          <w:szCs w:val="16"/>
          <w:rtl/>
        </w:rPr>
        <w:t xml:space="preserve"> (ל' הטור)</w:t>
      </w:r>
      <w:r w:rsidRPr="001D49D4">
        <w:rPr>
          <w:rtl/>
        </w:rPr>
        <w:t xml:space="preserve">. </w:t>
      </w:r>
      <w:r w:rsidRPr="001D49D4">
        <w:rPr>
          <w:color w:val="E36C0A" w:themeColor="accent6" w:themeShade="BF"/>
          <w:rtl/>
        </w:rPr>
        <w:t xml:space="preserve">(וכ"פ בשו"ע </w:t>
      </w:r>
      <w:r w:rsidRPr="001D49D4">
        <w:rPr>
          <w:sz w:val="16"/>
          <w:szCs w:val="16"/>
          <w:rtl/>
        </w:rPr>
        <w:t>[כאן ובסע' ג]</w:t>
      </w:r>
      <w:r w:rsidRPr="001D49D4">
        <w:rPr>
          <w:color w:val="E36C0A" w:themeColor="accent6" w:themeShade="BF"/>
          <w:rtl/>
        </w:rPr>
        <w:t>)</w:t>
      </w:r>
    </w:p>
    <w:p w14:paraId="0B0C556C" w14:textId="77777777" w:rsidR="001D49D4" w:rsidRPr="001D49D4" w:rsidRDefault="001D49D4" w:rsidP="0004348D">
      <w:pPr>
        <w:spacing w:before="360" w:after="240"/>
        <w:rPr>
          <w:rFonts w:ascii="Arial" w:eastAsia="Calibri" w:hAnsi="Arial" w:cs="Arial"/>
          <w:b/>
          <w:bCs/>
          <w:color w:val="000000"/>
          <w:sz w:val="28"/>
          <w:szCs w:val="28"/>
          <w:u w:val="single"/>
        </w:rPr>
      </w:pPr>
      <w:r w:rsidRPr="001D49D4">
        <w:rPr>
          <w:rFonts w:ascii="Arial" w:eastAsia="Calibri" w:hAnsi="Arial" w:cs="Arial"/>
          <w:b/>
          <w:bCs/>
          <w:color w:val="000000"/>
          <w:sz w:val="28"/>
          <w:szCs w:val="28"/>
          <w:u w:val="single"/>
          <w:rtl/>
        </w:rPr>
        <w:t>שו"ע:</w:t>
      </w:r>
    </w:p>
    <w:p w14:paraId="7335B998"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rtl/>
        </w:rPr>
        <w:t xml:space="preserve">שטר שנמסר בפני שני עדים, גובין בו ממשעבדי אף על פי </w:t>
      </w:r>
      <w:r w:rsidRPr="001D49D4">
        <w:rPr>
          <w:rFonts w:ascii="Calibri" w:eastAsia="Calibri" w:hAnsi="Calibri" w:cs="Arial"/>
          <w:vertAlign w:val="superscript"/>
          <w:rtl/>
        </w:rPr>
        <w:footnoteReference w:id="4253"/>
      </w:r>
      <w:r w:rsidRPr="001D49D4">
        <w:rPr>
          <w:rFonts w:ascii="Calibri" w:eastAsia="Calibri" w:hAnsi="Calibri" w:cs="Arial"/>
          <w:rtl/>
        </w:rPr>
        <w:t>שהם</w:t>
      </w:r>
      <w:r w:rsidRPr="001D49D4">
        <w:rPr>
          <w:rFonts w:ascii="Calibri" w:eastAsia="Calibri" w:hAnsi="Calibri" w:cs="Arial"/>
          <w:vertAlign w:val="superscript"/>
          <w:rtl/>
        </w:rPr>
        <w:footnoteReference w:id="4254"/>
      </w:r>
      <w:r w:rsidRPr="001D49D4">
        <w:rPr>
          <w:rFonts w:ascii="Calibri" w:eastAsia="Calibri" w:hAnsi="Calibri" w:cs="Arial"/>
          <w:sz w:val="18"/>
          <w:szCs w:val="18"/>
          <w:rtl/>
        </w:rPr>
        <w:t xml:space="preserve"> (אינן) </w:t>
      </w:r>
      <w:r w:rsidRPr="001D49D4">
        <w:rPr>
          <w:rFonts w:ascii="Calibri" w:eastAsia="Calibri" w:hAnsi="Calibri" w:cs="Arial"/>
          <w:rtl/>
        </w:rPr>
        <w:t>חתומים בו. ומכל מקום אם נמצאו עידי חתימתו פסולים, ואפילו עד אחד מהם פסול, השטר פסול</w:t>
      </w:r>
      <w:r w:rsidRPr="001D49D4">
        <w:rPr>
          <w:rFonts w:ascii="Calibri" w:eastAsia="Calibri" w:hAnsi="Calibri" w:cs="Arial"/>
          <w:vertAlign w:val="superscript"/>
          <w:rtl/>
        </w:rPr>
        <w:footnoteReference w:id="4255"/>
      </w:r>
      <w:r w:rsidRPr="001D49D4">
        <w:rPr>
          <w:rFonts w:ascii="Calibri" w:eastAsia="Calibri" w:hAnsi="Calibri" w:cs="Arial"/>
          <w:rtl/>
        </w:rPr>
        <w:t xml:space="preserve"> אף על פי שנמסר בפני עדים כשרים, מפני שהוא מזויף מתוכו.</w:t>
      </w:r>
    </w:p>
    <w:p w14:paraId="6F1DE03F" w14:textId="77777777" w:rsidR="001D49D4" w:rsidRPr="001D49D4" w:rsidRDefault="001D49D4" w:rsidP="0004348D">
      <w:pPr>
        <w:spacing w:before="360" w:after="240"/>
        <w:rPr>
          <w:rFonts w:ascii="Calibri" w:eastAsia="Calibri" w:hAnsi="Calibri" w:cs="Arial"/>
          <w:rtl/>
        </w:rPr>
      </w:pPr>
    </w:p>
    <w:p w14:paraId="6830BD9B" w14:textId="77777777" w:rsidR="001D49D4" w:rsidRPr="001D49D4" w:rsidRDefault="001D49D4" w:rsidP="0004348D">
      <w:pPr>
        <w:bidi w:val="0"/>
        <w:spacing w:before="360" w:after="240"/>
        <w:rPr>
          <w:rFonts w:ascii="Cambria" w:eastAsia="Times New Roman" w:hAnsi="Cambria" w:cs="Arial"/>
          <w:b/>
          <w:bCs/>
          <w:color w:val="365F91" w:themeColor="accent1" w:themeShade="BF"/>
          <w:sz w:val="28"/>
          <w:szCs w:val="28"/>
          <w:rtl/>
        </w:rPr>
        <w:sectPr w:rsidR="001D49D4" w:rsidRPr="001D49D4">
          <w:headerReference w:type="default" r:id="rId60"/>
          <w:footnotePr>
            <w:numRestart w:val="eachPage"/>
          </w:footnotePr>
          <w:pgSz w:w="11906" w:h="16838"/>
          <w:pgMar w:top="720" w:right="1134" w:bottom="720" w:left="1134" w:header="0" w:footer="0" w:gutter="0"/>
          <w:cols w:space="720"/>
          <w:bidi/>
          <w:rtlGutter/>
        </w:sectPr>
      </w:pPr>
    </w:p>
    <w:p w14:paraId="30E6D2BA" w14:textId="77777777" w:rsidR="001D49D4" w:rsidRPr="001D49D4" w:rsidRDefault="001D49D4" w:rsidP="0004348D">
      <w:pPr>
        <w:keepNext/>
        <w:keepLines/>
        <w:spacing w:before="360" w:after="240"/>
        <w:outlineLvl w:val="0"/>
        <w:rPr>
          <w:rFonts w:ascii="Cambria" w:eastAsia="Times New Roman" w:hAnsi="Cambria" w:cs="Arial"/>
          <w:b/>
          <w:bCs/>
          <w:color w:val="365F91" w:themeColor="accent1" w:themeShade="BF"/>
          <w:sz w:val="28"/>
          <w:szCs w:val="28"/>
          <w:rtl/>
        </w:rPr>
      </w:pPr>
      <w:bookmarkStart w:id="572" w:name="_Toc24883999"/>
      <w:r w:rsidRPr="001D49D4">
        <w:rPr>
          <w:rFonts w:ascii="Cambria" w:eastAsia="Times New Roman" w:hAnsi="Cambria" w:cs="Arial"/>
          <w:b/>
          <w:bCs/>
          <w:color w:val="365F91" w:themeColor="accent1" w:themeShade="BF"/>
          <w:sz w:val="28"/>
          <w:szCs w:val="28"/>
          <w:rtl/>
        </w:rPr>
        <w:t>סימן נב: שטר שיש בו רבית או קרוע, ובו ב' סעיפים.</w:t>
      </w:r>
      <w:bookmarkEnd w:id="572"/>
      <w:r w:rsidRPr="001D49D4">
        <w:rPr>
          <w:rFonts w:ascii="Cambria" w:eastAsia="Times New Roman" w:hAnsi="Cambria" w:cs="Arial"/>
          <w:b/>
          <w:bCs/>
          <w:color w:val="365F91" w:themeColor="accent1" w:themeShade="BF"/>
          <w:sz w:val="28"/>
          <w:szCs w:val="28"/>
          <w:rtl/>
        </w:rPr>
        <w:t xml:space="preserve"> </w:t>
      </w:r>
    </w:p>
    <w:p w14:paraId="222F073C" w14:textId="77777777" w:rsidR="001D49D4" w:rsidRPr="001D49D4" w:rsidRDefault="001D49D4" w:rsidP="0004348D">
      <w:pPr>
        <w:keepNext/>
        <w:keepLines/>
        <w:spacing w:before="360" w:after="240"/>
        <w:outlineLvl w:val="1"/>
        <w:rPr>
          <w:rFonts w:ascii="Cambria" w:eastAsia="Times New Roman" w:hAnsi="Cambria" w:cs="Arial"/>
          <w:bCs/>
          <w:color w:val="548DD4" w:themeColor="text2" w:themeTint="99"/>
          <w:sz w:val="26"/>
          <w:szCs w:val="26"/>
          <w:rtl/>
        </w:rPr>
      </w:pPr>
      <w:bookmarkStart w:id="573" w:name="_Toc24884000"/>
      <w:r w:rsidRPr="001D49D4">
        <w:rPr>
          <w:rFonts w:ascii="Cambria" w:eastAsia="Times New Roman" w:hAnsi="Cambria" w:cs="Arial"/>
          <w:bCs/>
          <w:color w:val="548DD4" w:themeColor="text2" w:themeTint="99"/>
          <w:sz w:val="26"/>
          <w:szCs w:val="26"/>
          <w:rtl/>
        </w:rPr>
        <w:t>סעיף א: שטר שיש בו רבית.</w:t>
      </w:r>
      <w:bookmarkEnd w:id="573"/>
    </w:p>
    <w:p w14:paraId="01353E3A"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b/>
          <w:bCs/>
          <w:rtl/>
        </w:rPr>
        <w:t xml:space="preserve">בבא מציעא </w:t>
      </w:r>
      <w:r w:rsidRPr="001D49D4">
        <w:rPr>
          <w:rFonts w:ascii="Calibri" w:eastAsia="Calibri" w:hAnsi="Calibri" w:cs="Arial"/>
          <w:b/>
          <w:bCs/>
          <w:sz w:val="16"/>
          <w:szCs w:val="16"/>
          <w:rtl/>
        </w:rPr>
        <w:t xml:space="preserve">(פרק איזהו נשך) </w:t>
      </w:r>
      <w:r w:rsidRPr="001D49D4">
        <w:rPr>
          <w:rFonts w:ascii="Calibri" w:eastAsia="Calibri" w:hAnsi="Calibri" w:cs="Arial"/>
          <w:b/>
          <w:bCs/>
          <w:rtl/>
        </w:rPr>
        <w:t>עב</w:t>
      </w:r>
      <w:r w:rsidRPr="001D49D4">
        <w:rPr>
          <w:rFonts w:ascii="Calibri" w:eastAsia="Calibri" w:hAnsi="Calibri" w:cs="Arial"/>
          <w:b/>
          <w:bCs/>
          <w:vertAlign w:val="superscript"/>
          <w:rtl/>
        </w:rPr>
        <w:footnoteReference w:id="4256"/>
      </w:r>
      <w:r w:rsidRPr="001D49D4">
        <w:rPr>
          <w:rFonts w:ascii="Calibri" w:eastAsia="Calibri" w:hAnsi="Calibri" w:cs="Arial"/>
          <w:b/>
          <w:bCs/>
          <w:rtl/>
        </w:rPr>
        <w:t xml:space="preserve"> ע"א: </w:t>
      </w:r>
      <w:r w:rsidRPr="001D49D4">
        <w:rPr>
          <w:rFonts w:ascii="Calibri" w:eastAsia="Calibri" w:hAnsi="Calibri" w:cs="Arial"/>
          <w:rtl/>
        </w:rPr>
        <w:t xml:space="preserve">תנו רבנן: שטר שכתוב בו רבית - קונסין אותו, ואינו גובה לא את הקרן ולא את הרבית, </w:t>
      </w:r>
      <w:r w:rsidRPr="001D49D4">
        <w:rPr>
          <w:rFonts w:ascii="Calibri" w:eastAsia="Calibri" w:hAnsi="Calibri" w:cs="Arial"/>
          <w:u w:val="single"/>
          <w:rtl/>
        </w:rPr>
        <w:t>דברי רבי מאיר</w:t>
      </w:r>
      <w:r w:rsidRPr="001D49D4">
        <w:rPr>
          <w:rFonts w:ascii="Calibri" w:eastAsia="Calibri" w:hAnsi="Calibri" w:cs="Arial"/>
          <w:rtl/>
        </w:rPr>
        <w:t xml:space="preserve">. </w:t>
      </w:r>
      <w:r w:rsidRPr="001D49D4">
        <w:rPr>
          <w:rFonts w:ascii="Calibri" w:eastAsia="Calibri" w:hAnsi="Calibri" w:cs="Arial"/>
          <w:u w:val="single"/>
          <w:rtl/>
        </w:rPr>
        <w:t>וחכמים אומרים</w:t>
      </w:r>
      <w:r w:rsidRPr="001D49D4">
        <w:rPr>
          <w:rFonts w:ascii="Calibri" w:eastAsia="Calibri" w:hAnsi="Calibri" w:cs="Arial"/>
          <w:rtl/>
        </w:rPr>
        <w:t>: גובה את הקרן ואינו גובה את הרבית. במאי קמיפלגי? רבי מאיר סבר: קנסינן התירא משום איסורא, ורבנן סברי: לא קנסינן התירא משום איסורא.</w:t>
      </w:r>
    </w:p>
    <w:p w14:paraId="72A0D7BC"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u w:val="single"/>
          <w:rtl/>
        </w:rPr>
        <w:t>שטר שיש בו רבית:</w:t>
      </w:r>
    </w:p>
    <w:p w14:paraId="1F814EFF" w14:textId="77777777" w:rsidR="001D49D4" w:rsidRPr="001D49D4" w:rsidRDefault="001D49D4" w:rsidP="0004348D">
      <w:pPr>
        <w:numPr>
          <w:ilvl w:val="0"/>
          <w:numId w:val="297"/>
        </w:numPr>
        <w:spacing w:before="360" w:after="240"/>
        <w:contextualSpacing/>
        <w:rPr>
          <w:rtl/>
        </w:rPr>
      </w:pPr>
      <w:r w:rsidRPr="001D49D4">
        <w:rPr>
          <w:rtl/>
        </w:rPr>
        <w:t>טור- שטר שיש בו ריבית אינו גובה בו הריבית, אבל גובה בו את הקרן אפילו ממשעבדי</w:t>
      </w:r>
      <w:r w:rsidRPr="001D49D4">
        <w:rPr>
          <w:vertAlign w:val="superscript"/>
          <w:rtl/>
        </w:rPr>
        <w:footnoteReference w:id="4257"/>
      </w:r>
      <w:r w:rsidRPr="001D49D4">
        <w:rPr>
          <w:rtl/>
        </w:rPr>
        <w:t xml:space="preserve">. </w:t>
      </w:r>
      <w:r w:rsidRPr="001D49D4">
        <w:rPr>
          <w:color w:val="E36C0A" w:themeColor="accent6" w:themeShade="BF"/>
          <w:rtl/>
        </w:rPr>
        <w:t>(וכ"פ בשו"ע</w:t>
      </w:r>
      <w:r w:rsidRPr="001D49D4">
        <w:rPr>
          <w:color w:val="E36C0A" w:themeColor="accent6" w:themeShade="BF"/>
          <w:sz w:val="16"/>
          <w:szCs w:val="16"/>
          <w:rtl/>
        </w:rPr>
        <w:t xml:space="preserve"> </w:t>
      </w:r>
      <w:r w:rsidRPr="001D49D4">
        <w:rPr>
          <w:color w:val="000000" w:themeColor="text1"/>
          <w:sz w:val="16"/>
          <w:szCs w:val="16"/>
          <w:rtl/>
        </w:rPr>
        <w:t>[כאן וביו"ד סי' קסא סי"א]</w:t>
      </w:r>
      <w:r w:rsidRPr="001D49D4">
        <w:rPr>
          <w:color w:val="E36C0A" w:themeColor="accent6" w:themeShade="BF"/>
          <w:rtl/>
        </w:rPr>
        <w:t>)</w:t>
      </w:r>
    </w:p>
    <w:p w14:paraId="3EC049DB" w14:textId="77777777" w:rsidR="001D49D4" w:rsidRPr="001D49D4" w:rsidRDefault="001D49D4" w:rsidP="0004348D">
      <w:pPr>
        <w:spacing w:before="360" w:after="240"/>
        <w:ind w:left="360"/>
        <w:rPr>
          <w:rFonts w:ascii="Calibri" w:eastAsia="Calibri" w:hAnsi="Calibri" w:cs="Arial"/>
          <w:u w:val="dotted"/>
        </w:rPr>
      </w:pPr>
      <w:r w:rsidRPr="001D49D4">
        <w:rPr>
          <w:rFonts w:ascii="Calibri" w:eastAsia="Calibri" w:hAnsi="Calibri" w:cs="Arial"/>
          <w:u w:val="dotted"/>
          <w:rtl/>
        </w:rPr>
        <w:t>וקשה, דהרי העדים שהעידו בשטר זה פסולים משום שעברו על לאו 'לא תשימון' – וא"כ איך גובה בו:</w:t>
      </w:r>
    </w:p>
    <w:p w14:paraId="71DE1964" w14:textId="77777777" w:rsidR="001D49D4" w:rsidRPr="001D49D4" w:rsidRDefault="001D49D4" w:rsidP="0004348D">
      <w:pPr>
        <w:numPr>
          <w:ilvl w:val="0"/>
          <w:numId w:val="297"/>
        </w:numPr>
        <w:spacing w:before="360" w:after="240"/>
        <w:contextualSpacing/>
      </w:pPr>
      <w:r w:rsidRPr="001D49D4">
        <w:rPr>
          <w:rtl/>
        </w:rPr>
        <w:t xml:space="preserve">תוס' </w:t>
      </w:r>
      <w:r w:rsidRPr="001D49D4">
        <w:rPr>
          <w:sz w:val="16"/>
          <w:szCs w:val="16"/>
          <w:rtl/>
        </w:rPr>
        <w:t xml:space="preserve">(ב"מ עב. ד"ה שטר, וכן בב"ק ל: ד"ה וחכמים) </w:t>
      </w:r>
      <w:r w:rsidRPr="001D49D4">
        <w:rPr>
          <w:rtl/>
        </w:rPr>
        <w:t xml:space="preserve">רמב"ם </w:t>
      </w:r>
      <w:r w:rsidRPr="001D49D4">
        <w:rPr>
          <w:sz w:val="16"/>
          <w:szCs w:val="16"/>
          <w:rtl/>
        </w:rPr>
        <w:t>(פ"ד מהל' מלוה ה"ו)</w:t>
      </w:r>
      <w:r w:rsidRPr="001D49D4">
        <w:rPr>
          <w:rtl/>
        </w:rPr>
        <w:t xml:space="preserve"> רא"ש </w:t>
      </w:r>
      <w:r w:rsidRPr="001D49D4">
        <w:rPr>
          <w:sz w:val="16"/>
          <w:szCs w:val="16"/>
          <w:rtl/>
        </w:rPr>
        <w:t xml:space="preserve">(ב"ק ל: סי' ח) </w:t>
      </w:r>
      <w:r w:rsidRPr="001D49D4">
        <w:rPr>
          <w:rtl/>
        </w:rPr>
        <w:t>וטור- אין העדים נפסלים בכך אפי' אם הוא ריבית דאורייתא</w:t>
      </w:r>
      <w:r w:rsidRPr="001D49D4">
        <w:rPr>
          <w:sz w:val="16"/>
          <w:szCs w:val="16"/>
          <w:rtl/>
        </w:rPr>
        <w:t xml:space="preserve"> (ל' הטור)</w:t>
      </w:r>
      <w:r w:rsidRPr="001D49D4">
        <w:rPr>
          <w:rtl/>
        </w:rPr>
        <w:t xml:space="preserve">, משום דלא תשימון עליו נשך לאינשי במלוה ולוה וערב משמע להו ולהכי לא מיפסלי בהכי, כדאמרינן </w:t>
      </w:r>
      <w:r w:rsidRPr="001D49D4">
        <w:rPr>
          <w:sz w:val="16"/>
          <w:szCs w:val="16"/>
          <w:rtl/>
        </w:rPr>
        <w:t xml:space="preserve">(ב"מ ה:) </w:t>
      </w:r>
      <w:r w:rsidRPr="001D49D4">
        <w:rPr>
          <w:rtl/>
        </w:rPr>
        <w:t>לא תחמוד לאינשי בלא דמי משמע להו</w:t>
      </w:r>
      <w:r w:rsidRPr="001D49D4">
        <w:rPr>
          <w:sz w:val="16"/>
          <w:szCs w:val="16"/>
          <w:rtl/>
        </w:rPr>
        <w:t xml:space="preserve"> (ל' התוס' והרא"ש)</w:t>
      </w:r>
      <w:r w:rsidRPr="001D49D4">
        <w:rPr>
          <w:vertAlign w:val="superscript"/>
          <w:rtl/>
        </w:rPr>
        <w:footnoteReference w:id="4258"/>
      </w:r>
      <w:r w:rsidRPr="001D49D4">
        <w:rPr>
          <w:rtl/>
        </w:rPr>
        <w:t>.</w:t>
      </w:r>
      <w:r w:rsidRPr="001D49D4">
        <w:rPr>
          <w:color w:val="E36C0A" w:themeColor="accent6" w:themeShade="BF"/>
          <w:rtl/>
        </w:rPr>
        <w:t xml:space="preserve"> (וכ"פ בשו"ע</w:t>
      </w:r>
      <w:r w:rsidRPr="001D49D4">
        <w:rPr>
          <w:color w:val="E36C0A" w:themeColor="accent6" w:themeShade="BF"/>
          <w:sz w:val="16"/>
          <w:szCs w:val="16"/>
          <w:rtl/>
        </w:rPr>
        <w:t xml:space="preserve"> </w:t>
      </w:r>
      <w:r w:rsidRPr="001D49D4">
        <w:rPr>
          <w:color w:val="000000" w:themeColor="text1"/>
          <w:sz w:val="16"/>
          <w:szCs w:val="16"/>
          <w:rtl/>
        </w:rPr>
        <w:t>[יו"ד סי' קסא סי"א]</w:t>
      </w:r>
      <w:r w:rsidRPr="001D49D4">
        <w:rPr>
          <w:color w:val="E36C0A" w:themeColor="accent6" w:themeShade="BF"/>
          <w:rtl/>
        </w:rPr>
        <w:t>)</w:t>
      </w:r>
    </w:p>
    <w:p w14:paraId="7081126D" w14:textId="77777777" w:rsidR="001D49D4" w:rsidRPr="001D49D4" w:rsidRDefault="001D49D4" w:rsidP="0004348D">
      <w:pPr>
        <w:numPr>
          <w:ilvl w:val="0"/>
          <w:numId w:val="297"/>
        </w:numPr>
        <w:spacing w:before="360" w:after="240"/>
        <w:contextualSpacing/>
      </w:pPr>
      <w:r w:rsidRPr="001D49D4">
        <w:rPr>
          <w:rtl/>
        </w:rPr>
        <w:t xml:space="preserve">רמב"ן </w:t>
      </w:r>
      <w:r w:rsidRPr="001D49D4">
        <w:rPr>
          <w:sz w:val="16"/>
          <w:szCs w:val="16"/>
          <w:rtl/>
        </w:rPr>
        <w:t>(ב"מ עב.)</w:t>
      </w:r>
      <w:r w:rsidRPr="001D49D4">
        <w:rPr>
          <w:rtl/>
        </w:rPr>
        <w:t xml:space="preserve"> הה"מ </w:t>
      </w:r>
      <w:r w:rsidRPr="001D49D4">
        <w:rPr>
          <w:sz w:val="16"/>
          <w:szCs w:val="16"/>
          <w:rtl/>
        </w:rPr>
        <w:t>(פ"ד מהל' מלוה ה"ו)</w:t>
      </w:r>
      <w:r w:rsidRPr="001D49D4">
        <w:rPr>
          <w:rtl/>
        </w:rPr>
        <w:t xml:space="preserve"> ונמוק"י </w:t>
      </w:r>
      <w:r w:rsidRPr="001D49D4">
        <w:rPr>
          <w:sz w:val="16"/>
          <w:szCs w:val="16"/>
          <w:rtl/>
        </w:rPr>
        <w:t>(ב"מ מב: מדפה"ר)</w:t>
      </w:r>
      <w:r w:rsidRPr="001D49D4">
        <w:rPr>
          <w:rtl/>
        </w:rPr>
        <w:t>- בש"ס מיירי בשטר שכתוב בו סתם ולא ידעו העדים שיש בו ריבית</w:t>
      </w:r>
      <w:r w:rsidRPr="001D49D4">
        <w:rPr>
          <w:vertAlign w:val="superscript"/>
          <w:rtl/>
        </w:rPr>
        <w:footnoteReference w:id="4259"/>
      </w:r>
      <w:r w:rsidRPr="001D49D4">
        <w:rPr>
          <w:rtl/>
        </w:rPr>
        <w:t>, וגובה הקרן אפילו ממשעבדי</w:t>
      </w:r>
      <w:r w:rsidRPr="001D49D4">
        <w:rPr>
          <w:vertAlign w:val="superscript"/>
          <w:rtl/>
        </w:rPr>
        <w:footnoteReference w:id="4260"/>
      </w:r>
      <w:r w:rsidRPr="001D49D4">
        <w:rPr>
          <w:rtl/>
        </w:rPr>
        <w:t>, אבל אם מפורש בו ריבית דאו' בודאי פסולים משום לא תשימון</w:t>
      </w:r>
      <w:r w:rsidRPr="001D49D4">
        <w:rPr>
          <w:sz w:val="16"/>
          <w:szCs w:val="16"/>
          <w:rtl/>
        </w:rPr>
        <w:t xml:space="preserve"> (ל' הש"ך בשם הרמב"ן)</w:t>
      </w:r>
      <w:r w:rsidRPr="001D49D4">
        <w:rPr>
          <w:rtl/>
        </w:rPr>
        <w:t>. (וכ"פ הב"ח</w:t>
      </w:r>
      <w:r w:rsidRPr="001D49D4">
        <w:rPr>
          <w:sz w:val="16"/>
          <w:szCs w:val="16"/>
          <w:rtl/>
        </w:rPr>
        <w:t xml:space="preserve"> [סע' א] </w:t>
      </w:r>
      <w:r w:rsidRPr="001D49D4">
        <w:rPr>
          <w:rtl/>
        </w:rPr>
        <w:t xml:space="preserve">וגידו"ת </w:t>
      </w:r>
      <w:r w:rsidRPr="001D49D4">
        <w:rPr>
          <w:sz w:val="16"/>
          <w:szCs w:val="16"/>
          <w:rtl/>
        </w:rPr>
        <w:t>[שער מו ח"ב ס"ג]</w:t>
      </w:r>
      <w:r w:rsidRPr="001D49D4">
        <w:rPr>
          <w:rtl/>
        </w:rPr>
        <w:t xml:space="preserve">). </w:t>
      </w:r>
    </w:p>
    <w:p w14:paraId="22ACDE9A" w14:textId="77777777" w:rsidR="001D49D4" w:rsidRPr="001D49D4" w:rsidRDefault="001D49D4" w:rsidP="0004348D">
      <w:pPr>
        <w:spacing w:before="360" w:after="240"/>
        <w:ind w:left="360"/>
        <w:rPr>
          <w:rFonts w:ascii="Calibri" w:eastAsia="Calibri" w:hAnsi="Calibri" w:cs="Arial"/>
          <w:u w:val="dotted"/>
        </w:rPr>
      </w:pPr>
      <w:r w:rsidRPr="001D49D4">
        <w:rPr>
          <w:rFonts w:ascii="Calibri" w:eastAsia="Calibri" w:hAnsi="Calibri" w:cs="Arial"/>
          <w:u w:val="dotted"/>
          <w:rtl/>
        </w:rPr>
        <w:t>האם יש חילוק בין שטר שמפורש בו הרבית לבין שטר שלא מפורש בו הרבית</w:t>
      </w:r>
      <w:r w:rsidRPr="001D49D4">
        <w:rPr>
          <w:rFonts w:ascii="Calibri" w:eastAsia="Calibri" w:hAnsi="Calibri" w:cs="Arial"/>
          <w:sz w:val="16"/>
          <w:szCs w:val="16"/>
          <w:u w:val="dotted"/>
          <w:rtl/>
        </w:rPr>
        <w:t xml:space="preserve"> (שכלל את הקרן והרבית בסכום אחד)</w:t>
      </w:r>
      <w:r w:rsidRPr="001D49D4">
        <w:rPr>
          <w:rFonts w:ascii="Calibri" w:eastAsia="Calibri" w:hAnsi="Calibri" w:cs="Arial"/>
          <w:u w:val="dotted"/>
          <w:rtl/>
        </w:rPr>
        <w:t>:</w:t>
      </w:r>
    </w:p>
    <w:p w14:paraId="5CE48F4A" w14:textId="77777777" w:rsidR="001D49D4" w:rsidRPr="001D49D4" w:rsidRDefault="001D49D4" w:rsidP="0004348D">
      <w:pPr>
        <w:numPr>
          <w:ilvl w:val="0"/>
          <w:numId w:val="297"/>
        </w:numPr>
        <w:spacing w:before="360" w:after="240"/>
        <w:contextualSpacing/>
      </w:pPr>
      <w:r w:rsidRPr="001D49D4">
        <w:rPr>
          <w:rtl/>
        </w:rPr>
        <w:t>בה"ג רש"י תוס' רא"ש הגמ"ר וטור</w:t>
      </w:r>
      <w:r w:rsidRPr="001D49D4">
        <w:rPr>
          <w:vertAlign w:val="superscript"/>
          <w:rtl/>
        </w:rPr>
        <w:footnoteReference w:id="4261"/>
      </w:r>
      <w:r w:rsidRPr="001D49D4">
        <w:rPr>
          <w:rtl/>
        </w:rPr>
        <w:t>- ודוקא שהריבית מפורש בשטר דליכא למיחש שמא יגבה הריבית, אבל אם כלל הקרן עם הריבית – פסול, לפי שיבא לגבות בו הריבית</w:t>
      </w:r>
      <w:r w:rsidRPr="001D49D4">
        <w:rPr>
          <w:sz w:val="16"/>
          <w:szCs w:val="16"/>
          <w:rtl/>
        </w:rPr>
        <w:t xml:space="preserve"> (ל' הטור)</w:t>
      </w:r>
      <w:r w:rsidRPr="001D49D4">
        <w:rPr>
          <w:rtl/>
        </w:rPr>
        <w:t>.</w:t>
      </w:r>
      <w:r w:rsidRPr="001D49D4">
        <w:rPr>
          <w:color w:val="E36C0A" w:themeColor="accent6" w:themeShade="BF"/>
          <w:rtl/>
        </w:rPr>
        <w:t xml:space="preserve"> (וכ"פ בשו"ע)</w:t>
      </w:r>
    </w:p>
    <w:p w14:paraId="4759DF73" w14:textId="77777777" w:rsidR="001D49D4" w:rsidRPr="001D49D4" w:rsidRDefault="001D49D4" w:rsidP="0004348D">
      <w:pPr>
        <w:numPr>
          <w:ilvl w:val="0"/>
          <w:numId w:val="297"/>
        </w:numPr>
        <w:spacing w:before="360" w:after="240"/>
        <w:contextualSpacing/>
      </w:pPr>
      <w:r w:rsidRPr="001D49D4">
        <w:rPr>
          <w:rtl/>
        </w:rPr>
        <w:t xml:space="preserve">רמב"ן </w:t>
      </w:r>
      <w:r w:rsidRPr="001D49D4">
        <w:rPr>
          <w:sz w:val="16"/>
          <w:szCs w:val="16"/>
          <w:rtl/>
        </w:rPr>
        <w:t>(שם ד"ה שטר)</w:t>
      </w:r>
      <w:r w:rsidRPr="001D49D4">
        <w:rPr>
          <w:rtl/>
        </w:rPr>
        <w:t xml:space="preserve"> ונמוק"י </w:t>
      </w:r>
      <w:r w:rsidRPr="001D49D4">
        <w:rPr>
          <w:sz w:val="16"/>
          <w:szCs w:val="16"/>
          <w:rtl/>
        </w:rPr>
        <w:t>(פרק איזהו נשך מב: ד"ה ת"ר)</w:t>
      </w:r>
      <w:r w:rsidRPr="001D49D4">
        <w:rPr>
          <w:rtl/>
        </w:rPr>
        <w:t>- דוקא כשאין הרבית מפורש בתוכו, אבל אם הרבית מפורש - אפילו קרן לא גבי, אא"כ חייב מודה או עדים אחרים מעידים על ההלואה, שאותם עדים פסולים הם.</w:t>
      </w:r>
    </w:p>
    <w:p w14:paraId="5DDE2940" w14:textId="77777777" w:rsidR="001D49D4" w:rsidRPr="001D49D4" w:rsidRDefault="001D49D4" w:rsidP="0004348D">
      <w:pPr>
        <w:spacing w:before="360" w:after="240"/>
        <w:ind w:left="360"/>
        <w:rPr>
          <w:rFonts w:ascii="Calibri" w:eastAsia="Calibri" w:hAnsi="Calibri" w:cs="Arial"/>
          <w:u w:val="dotted"/>
        </w:rPr>
      </w:pPr>
      <w:r w:rsidRPr="001D49D4">
        <w:rPr>
          <w:rFonts w:ascii="Calibri" w:eastAsia="Calibri" w:hAnsi="Calibri" w:cs="Arial"/>
          <w:u w:val="dotted"/>
          <w:rtl/>
        </w:rPr>
        <w:t xml:space="preserve">ומה הדין אם כלל את הקרן והרבית יחד אבל עדים מעידים על הקרן כמה הוא: </w:t>
      </w:r>
    </w:p>
    <w:p w14:paraId="2EE15A5C" w14:textId="77777777" w:rsidR="001D49D4" w:rsidRPr="001D49D4" w:rsidRDefault="001D49D4" w:rsidP="0004348D">
      <w:pPr>
        <w:numPr>
          <w:ilvl w:val="0"/>
          <w:numId w:val="297"/>
        </w:numPr>
        <w:spacing w:before="360" w:after="240"/>
        <w:contextualSpacing/>
      </w:pPr>
      <w:r w:rsidRPr="001D49D4">
        <w:rPr>
          <w:rtl/>
        </w:rPr>
        <w:t xml:space="preserve">מהרי"ק </w:t>
      </w:r>
      <w:r w:rsidRPr="001D49D4">
        <w:rPr>
          <w:sz w:val="16"/>
          <w:szCs w:val="16"/>
          <w:rtl/>
        </w:rPr>
        <w:t>(שורש יז)</w:t>
      </w:r>
      <w:r w:rsidRPr="001D49D4">
        <w:rPr>
          <w:rtl/>
        </w:rPr>
        <w:t>- שטר שזקף בו קרן ורבית יחד גובה הקרן לכו"ע כשהעדים מעידים על הקרן כמה הוא או כשחייב מודה אע"ג דמתוך השטר אינו ניכר מהו קרן ומהו רבית</w:t>
      </w:r>
      <w:r w:rsidRPr="001D49D4">
        <w:rPr>
          <w:vertAlign w:val="superscript"/>
          <w:rtl/>
        </w:rPr>
        <w:footnoteReference w:id="4262"/>
      </w:r>
      <w:r w:rsidRPr="001D49D4">
        <w:rPr>
          <w:rtl/>
        </w:rPr>
        <w:t>. (וכ"פ הש"ך</w:t>
      </w:r>
      <w:r w:rsidRPr="001D49D4">
        <w:rPr>
          <w:vertAlign w:val="superscript"/>
          <w:rtl/>
        </w:rPr>
        <w:footnoteReference w:id="4263"/>
      </w:r>
      <w:r w:rsidRPr="001D49D4">
        <w:rPr>
          <w:sz w:val="16"/>
          <w:szCs w:val="16"/>
          <w:rtl/>
        </w:rPr>
        <w:t xml:space="preserve"> [סק"א]</w:t>
      </w:r>
      <w:r w:rsidRPr="001D49D4">
        <w:rPr>
          <w:rtl/>
        </w:rPr>
        <w:t>)</w:t>
      </w:r>
    </w:p>
    <w:p w14:paraId="16545AA9" w14:textId="77777777" w:rsidR="001D49D4" w:rsidRPr="001D49D4" w:rsidRDefault="001D49D4" w:rsidP="0004348D">
      <w:pPr>
        <w:spacing w:before="360" w:after="240"/>
        <w:rPr>
          <w:rFonts w:ascii="Calibri" w:eastAsia="Calibri" w:hAnsi="Calibri" w:cs="Arial"/>
          <w:u w:val="single"/>
        </w:rPr>
      </w:pPr>
      <w:r w:rsidRPr="001D49D4">
        <w:rPr>
          <w:rFonts w:ascii="Calibri" w:eastAsia="Calibri" w:hAnsi="Calibri" w:cs="Arial"/>
          <w:u w:val="single"/>
          <w:rtl/>
        </w:rPr>
        <w:t>הלוה לחבירו על ידי שליח והשליח קצץ עמו וכלל הקרן עם הרבית:</w:t>
      </w:r>
      <w:r w:rsidRPr="001D49D4">
        <w:rPr>
          <w:rFonts w:ascii="Calibri" w:eastAsia="Calibri" w:hAnsi="Calibri" w:cs="Arial"/>
          <w:sz w:val="16"/>
          <w:szCs w:val="16"/>
          <w:rtl/>
        </w:rPr>
        <w:t xml:space="preserve">   (דרכ"מ [יו"ד סי' קסא אות ו])</w:t>
      </w:r>
    </w:p>
    <w:p w14:paraId="3D26B3B3" w14:textId="77777777" w:rsidR="001D49D4" w:rsidRPr="001D49D4" w:rsidRDefault="001D49D4" w:rsidP="0004348D">
      <w:pPr>
        <w:numPr>
          <w:ilvl w:val="0"/>
          <w:numId w:val="297"/>
        </w:numPr>
        <w:spacing w:before="360" w:after="240"/>
        <w:contextualSpacing/>
      </w:pPr>
      <w:r w:rsidRPr="001D49D4">
        <w:rPr>
          <w:rtl/>
        </w:rPr>
        <w:t>מהרי"ק</w:t>
      </w:r>
      <w:r w:rsidRPr="001D49D4">
        <w:rPr>
          <w:sz w:val="16"/>
          <w:szCs w:val="16"/>
          <w:rtl/>
        </w:rPr>
        <w:t xml:space="preserve"> (שורש יז)</w:t>
      </w:r>
      <w:r w:rsidRPr="001D49D4">
        <w:rPr>
          <w:rtl/>
        </w:rPr>
        <w:t xml:space="preserve">- אם הלוה לחבירו על ידי שליח והשליח קצץ עמו וכלל הקרן עם הרבית בשטר - לא קנסינן לבעל המעות וגובה הקרן, דמצי אמר לתקוני שדרתיך ולא לעוותי לכלול הקרן עם הרבית. </w:t>
      </w:r>
      <w:r w:rsidRPr="001D49D4">
        <w:rPr>
          <w:color w:val="00B0F0"/>
          <w:rtl/>
        </w:rPr>
        <w:t>(וכ"פ הרמ"א)</w:t>
      </w:r>
    </w:p>
    <w:p w14:paraId="10C8BD9C" w14:textId="77777777" w:rsidR="001D49D4" w:rsidRPr="001D49D4" w:rsidRDefault="001D49D4" w:rsidP="0004348D">
      <w:pPr>
        <w:spacing w:before="360" w:after="240"/>
        <w:rPr>
          <w:rFonts w:ascii="Calibri" w:eastAsia="Calibri" w:hAnsi="Calibri" w:cs="Arial"/>
          <w:u w:val="single"/>
        </w:rPr>
      </w:pPr>
      <w:r w:rsidRPr="001D49D4">
        <w:rPr>
          <w:rFonts w:ascii="Calibri" w:eastAsia="Calibri" w:hAnsi="Calibri" w:cs="Arial"/>
          <w:u w:val="single"/>
          <w:rtl/>
        </w:rPr>
        <w:t>המוצא שטר שיש בו רבית:</w:t>
      </w:r>
    </w:p>
    <w:p w14:paraId="001ECC83" w14:textId="77777777" w:rsidR="001D49D4" w:rsidRPr="001D49D4" w:rsidRDefault="001D49D4" w:rsidP="0004348D">
      <w:pPr>
        <w:numPr>
          <w:ilvl w:val="0"/>
          <w:numId w:val="297"/>
        </w:numPr>
        <w:spacing w:before="360" w:after="240"/>
        <w:contextualSpacing/>
      </w:pPr>
      <w:r w:rsidRPr="001D49D4">
        <w:rPr>
          <w:rtl/>
        </w:rPr>
        <w:t xml:space="preserve">תשובות מיימון </w:t>
      </w:r>
      <w:r w:rsidRPr="001D49D4">
        <w:rPr>
          <w:sz w:val="16"/>
          <w:szCs w:val="16"/>
          <w:rtl/>
        </w:rPr>
        <w:t>(ספר משפטים סי' נט)</w:t>
      </w:r>
      <w:r w:rsidRPr="001D49D4">
        <w:rPr>
          <w:rtl/>
        </w:rPr>
        <w:t>- אע"פ שגובה את הקרן מ"מ המוצאו יקרענו, ואם יבא לבית דין יקרעוהו</w:t>
      </w:r>
      <w:r w:rsidRPr="001D49D4">
        <w:rPr>
          <w:vertAlign w:val="superscript"/>
          <w:rtl/>
        </w:rPr>
        <w:footnoteReference w:id="4264"/>
      </w:r>
      <w:r w:rsidRPr="001D49D4">
        <w:rPr>
          <w:rtl/>
        </w:rPr>
        <w:t xml:space="preserve">. </w:t>
      </w:r>
    </w:p>
    <w:p w14:paraId="389871F7" w14:textId="77777777" w:rsidR="001D49D4" w:rsidRPr="001D49D4" w:rsidRDefault="001D49D4" w:rsidP="0004348D">
      <w:pPr>
        <w:spacing w:before="360" w:after="240"/>
        <w:rPr>
          <w:rFonts w:ascii="Calibri" w:eastAsia="Calibri" w:hAnsi="Calibri" w:cs="Arial"/>
          <w:u w:val="single"/>
          <w:rtl/>
        </w:rPr>
      </w:pPr>
      <w:r w:rsidRPr="001D49D4">
        <w:rPr>
          <w:rFonts w:ascii="Calibri" w:eastAsia="Calibri" w:hAnsi="Calibri" w:cs="Arial"/>
          <w:u w:val="single"/>
          <w:rtl/>
        </w:rPr>
        <w:t>מסר מודעא וביטל המכר מחמתה – מה דין שטר המכר:</w:t>
      </w:r>
    </w:p>
    <w:p w14:paraId="4B58E94C" w14:textId="77777777" w:rsidR="001D49D4" w:rsidRPr="001D49D4" w:rsidRDefault="001D49D4" w:rsidP="0004348D">
      <w:pPr>
        <w:numPr>
          <w:ilvl w:val="0"/>
          <w:numId w:val="310"/>
        </w:numPr>
        <w:spacing w:before="360" w:after="240"/>
        <w:contextualSpacing/>
        <w:rPr>
          <w:rtl/>
        </w:rPr>
      </w:pPr>
      <w:r w:rsidRPr="001D49D4">
        <w:rPr>
          <w:rtl/>
        </w:rPr>
        <w:t xml:space="preserve">ב"י- בפרק איזהו נשך </w:t>
      </w:r>
      <w:r w:rsidRPr="001D49D4">
        <w:rPr>
          <w:sz w:val="16"/>
          <w:szCs w:val="16"/>
          <w:rtl/>
        </w:rPr>
        <w:t xml:space="preserve">(שם) </w:t>
      </w:r>
      <w:r w:rsidRPr="001D49D4">
        <w:rPr>
          <w:rtl/>
        </w:rPr>
        <w:t>אמרינן שמי שמסר מודעא וביטל המכר מחמתה - אין לשטר המכר דין שטר לגבות בו ממשעבדי.</w:t>
      </w:r>
    </w:p>
    <w:p w14:paraId="2CFAE54C" w14:textId="77777777" w:rsidR="001D49D4" w:rsidRPr="001D49D4" w:rsidRDefault="001D49D4" w:rsidP="0004348D">
      <w:pPr>
        <w:spacing w:before="360" w:after="240"/>
        <w:rPr>
          <w:rFonts w:ascii="Calibri" w:eastAsia="Calibri" w:hAnsi="Calibri" w:cs="Arial"/>
        </w:rPr>
      </w:pPr>
      <w:r w:rsidRPr="001D49D4">
        <w:rPr>
          <w:rFonts w:ascii="Calibri" w:eastAsia="Calibri" w:hAnsi="Calibri" w:cs="Arial"/>
          <w:b/>
          <w:bCs/>
          <w:rtl/>
        </w:rPr>
        <w:t xml:space="preserve">בבא בתרא </w:t>
      </w:r>
      <w:r w:rsidRPr="001D49D4">
        <w:rPr>
          <w:rFonts w:ascii="Calibri" w:eastAsia="Calibri" w:hAnsi="Calibri" w:cs="Arial"/>
          <w:b/>
          <w:bCs/>
          <w:sz w:val="16"/>
          <w:szCs w:val="16"/>
          <w:rtl/>
        </w:rPr>
        <w:t>(פרק גט פשוט)</w:t>
      </w:r>
      <w:r w:rsidRPr="001D49D4">
        <w:rPr>
          <w:rFonts w:ascii="Calibri" w:eastAsia="Calibri" w:hAnsi="Calibri" w:cs="Arial"/>
          <w:b/>
          <w:bCs/>
          <w:rtl/>
        </w:rPr>
        <w:t xml:space="preserve"> קסח</w:t>
      </w:r>
      <w:r w:rsidRPr="001D49D4">
        <w:rPr>
          <w:rFonts w:ascii="Calibri" w:eastAsia="Calibri" w:hAnsi="Calibri" w:cs="Arial"/>
          <w:b/>
          <w:bCs/>
          <w:vertAlign w:val="superscript"/>
          <w:rtl/>
        </w:rPr>
        <w:footnoteReference w:id="4265"/>
      </w:r>
      <w:r w:rsidRPr="001D49D4">
        <w:rPr>
          <w:rFonts w:ascii="Calibri" w:eastAsia="Calibri" w:hAnsi="Calibri" w:cs="Arial"/>
          <w:b/>
          <w:bCs/>
          <w:rtl/>
        </w:rPr>
        <w:t xml:space="preserve"> ע"ב: </w:t>
      </w:r>
      <w:r w:rsidRPr="001D49D4">
        <w:rPr>
          <w:rFonts w:ascii="Calibri" w:eastAsia="Calibri" w:hAnsi="Calibri" w:cs="Arial"/>
          <w:rtl/>
        </w:rPr>
        <w:t xml:space="preserve">נקרע - פסול, נתקרע - כשר. נמחק או נטשטש, אם רישומו ניכר - כשר. ה"ד נקרע, ה"ד נתקרע? </w:t>
      </w:r>
      <w:r w:rsidRPr="001D49D4">
        <w:rPr>
          <w:rFonts w:ascii="Calibri" w:eastAsia="Calibri" w:hAnsi="Calibri" w:cs="Arial"/>
          <w:u w:val="single"/>
          <w:rtl/>
        </w:rPr>
        <w:t>אמר רב יהודה</w:t>
      </w:r>
      <w:r w:rsidRPr="001D49D4">
        <w:rPr>
          <w:rFonts w:ascii="Calibri" w:eastAsia="Calibri" w:hAnsi="Calibri" w:cs="Arial"/>
          <w:rtl/>
        </w:rPr>
        <w:t xml:space="preserve">: נקרע, קרע של בית דין, נתקרע - קרע שאינו של ב"ד. היכי דמי קרע של בית דין? </w:t>
      </w:r>
      <w:r w:rsidRPr="001D49D4">
        <w:rPr>
          <w:rFonts w:ascii="Calibri" w:eastAsia="Calibri" w:hAnsi="Calibri" w:cs="Arial"/>
          <w:u w:val="single"/>
          <w:rtl/>
        </w:rPr>
        <w:t>א"ר יהודה</w:t>
      </w:r>
      <w:r w:rsidRPr="001D49D4">
        <w:rPr>
          <w:rFonts w:ascii="Calibri" w:eastAsia="Calibri" w:hAnsi="Calibri" w:cs="Arial"/>
          <w:rtl/>
        </w:rPr>
        <w:t xml:space="preserve">: מקום עדים ומקום הזמן ומקום התורף. </w:t>
      </w:r>
      <w:r w:rsidRPr="001D49D4">
        <w:rPr>
          <w:rFonts w:ascii="Calibri" w:eastAsia="Calibri" w:hAnsi="Calibri" w:cs="Arial"/>
          <w:u w:val="single"/>
          <w:rtl/>
        </w:rPr>
        <w:t>אביי אמר</w:t>
      </w:r>
      <w:r w:rsidRPr="001D49D4">
        <w:rPr>
          <w:rFonts w:ascii="Calibri" w:eastAsia="Calibri" w:hAnsi="Calibri" w:cs="Arial"/>
          <w:rtl/>
        </w:rPr>
        <w:t xml:space="preserve">: שתי וערב. </w:t>
      </w:r>
    </w:p>
    <w:p w14:paraId="303B6289" w14:textId="77777777" w:rsidR="001D49D4" w:rsidRPr="001D49D4" w:rsidRDefault="001D49D4" w:rsidP="0004348D">
      <w:pPr>
        <w:spacing w:before="360" w:after="240"/>
        <w:rPr>
          <w:rFonts w:ascii="Calibri" w:eastAsia="Calibri" w:hAnsi="Calibri" w:cs="Arial"/>
          <w:u w:val="single"/>
          <w:rtl/>
        </w:rPr>
      </w:pPr>
      <w:r w:rsidRPr="001D49D4">
        <w:rPr>
          <w:rFonts w:ascii="Calibri" w:eastAsia="Calibri" w:hAnsi="Calibri" w:cs="Arial"/>
          <w:u w:val="single"/>
          <w:rtl/>
        </w:rPr>
        <w:t>שטר שנקרע פסול – כיצד:</w:t>
      </w:r>
    </w:p>
    <w:p w14:paraId="713FF802" w14:textId="77777777" w:rsidR="001D49D4" w:rsidRPr="001D49D4" w:rsidRDefault="001D49D4" w:rsidP="0004348D">
      <w:pPr>
        <w:numPr>
          <w:ilvl w:val="0"/>
          <w:numId w:val="310"/>
        </w:numPr>
        <w:spacing w:before="360" w:after="240"/>
        <w:contextualSpacing/>
        <w:rPr>
          <w:rtl/>
        </w:rPr>
      </w:pPr>
      <w:r w:rsidRPr="001D49D4">
        <w:rPr>
          <w:rtl/>
        </w:rPr>
        <w:t>רבינו האי</w:t>
      </w:r>
      <w:r w:rsidRPr="001D49D4">
        <w:rPr>
          <w:vertAlign w:val="superscript"/>
          <w:rtl/>
        </w:rPr>
        <w:footnoteReference w:id="4266"/>
      </w:r>
      <w:r w:rsidRPr="001D49D4">
        <w:rPr>
          <w:sz w:val="16"/>
          <w:szCs w:val="16"/>
          <w:rtl/>
        </w:rPr>
        <w:t>(כ"כ בשמו בעל התרומות [שער נז ח"א סי' א])</w:t>
      </w:r>
      <w:r w:rsidRPr="001D49D4">
        <w:rPr>
          <w:rtl/>
        </w:rPr>
        <w:t xml:space="preserve"> רי"ף </w:t>
      </w:r>
      <w:r w:rsidRPr="001D49D4">
        <w:rPr>
          <w:sz w:val="16"/>
          <w:szCs w:val="16"/>
          <w:rtl/>
        </w:rPr>
        <w:t xml:space="preserve">(עח.) </w:t>
      </w:r>
      <w:r w:rsidRPr="001D49D4">
        <w:rPr>
          <w:rtl/>
        </w:rPr>
        <w:t xml:space="preserve">רשב"א </w:t>
      </w:r>
      <w:r w:rsidRPr="001D49D4">
        <w:rPr>
          <w:sz w:val="16"/>
          <w:szCs w:val="16"/>
          <w:rtl/>
        </w:rPr>
        <w:t xml:space="preserve">(סי' תשח) </w:t>
      </w:r>
      <w:r w:rsidRPr="001D49D4">
        <w:rPr>
          <w:rtl/>
        </w:rPr>
        <w:t xml:space="preserve">ורא"ש </w:t>
      </w:r>
      <w:r w:rsidRPr="001D49D4">
        <w:rPr>
          <w:sz w:val="16"/>
          <w:szCs w:val="16"/>
          <w:rtl/>
        </w:rPr>
        <w:t>(סי' כא)</w:t>
      </w:r>
      <w:r w:rsidRPr="001D49D4">
        <w:rPr>
          <w:rtl/>
        </w:rPr>
        <w:t xml:space="preserve"> וטור- שטר שבא לפנינו קרוע קרע ב"ד, והוא שקרוע במקום העדים והזמן והתורף או שקרוע שתי וערב - פסול, ואם אינו קרוע בזה הענין - כשר</w:t>
      </w:r>
      <w:r w:rsidRPr="001D49D4">
        <w:rPr>
          <w:sz w:val="16"/>
          <w:szCs w:val="16"/>
          <w:rtl/>
        </w:rPr>
        <w:t xml:space="preserve"> (ל' הטור)</w:t>
      </w:r>
      <w:r w:rsidRPr="001D49D4">
        <w:rPr>
          <w:vertAlign w:val="superscript"/>
          <w:rtl/>
        </w:rPr>
        <w:footnoteReference w:id="4267"/>
      </w:r>
      <w:r w:rsidRPr="001D49D4">
        <w:rPr>
          <w:rtl/>
        </w:rPr>
        <w:t>.</w:t>
      </w:r>
      <w:r w:rsidRPr="001D49D4">
        <w:rPr>
          <w:color w:val="E36C0A" w:themeColor="accent6" w:themeShade="BF"/>
          <w:rtl/>
        </w:rPr>
        <w:t xml:space="preserve"> (וכ"פ בשו"ע)</w:t>
      </w:r>
    </w:p>
    <w:p w14:paraId="3E1A678D" w14:textId="77777777" w:rsidR="001D49D4" w:rsidRPr="001D49D4" w:rsidRDefault="001D49D4" w:rsidP="0004348D">
      <w:pPr>
        <w:numPr>
          <w:ilvl w:val="0"/>
          <w:numId w:val="310"/>
        </w:numPr>
        <w:spacing w:before="360" w:after="240"/>
        <w:contextualSpacing/>
        <w:rPr>
          <w:rtl/>
        </w:rPr>
      </w:pPr>
      <w:r w:rsidRPr="001D49D4">
        <w:rPr>
          <w:rtl/>
        </w:rPr>
        <w:t>ריב"ם</w:t>
      </w:r>
      <w:r w:rsidRPr="001D49D4">
        <w:rPr>
          <w:vertAlign w:val="superscript"/>
          <w:rtl/>
        </w:rPr>
        <w:footnoteReference w:id="4268"/>
      </w:r>
      <w:r w:rsidRPr="001D49D4">
        <w:rPr>
          <w:rtl/>
        </w:rPr>
        <w:t xml:space="preserve"> </w:t>
      </w:r>
      <w:r w:rsidRPr="001D49D4">
        <w:rPr>
          <w:sz w:val="16"/>
          <w:szCs w:val="16"/>
          <w:rtl/>
        </w:rPr>
        <w:t>(בהג"א [ב"ב פ"י סי' כא] מאו"ז)</w:t>
      </w:r>
      <w:r w:rsidRPr="001D49D4">
        <w:rPr>
          <w:rtl/>
        </w:rPr>
        <w:t xml:space="preserve"> ורמב"ם</w:t>
      </w:r>
      <w:r w:rsidRPr="001D49D4">
        <w:rPr>
          <w:vertAlign w:val="superscript"/>
          <w:rtl/>
        </w:rPr>
        <w:footnoteReference w:id="4269"/>
      </w:r>
      <w:r w:rsidRPr="001D49D4">
        <w:rPr>
          <w:rtl/>
        </w:rPr>
        <w:t xml:space="preserve"> </w:t>
      </w:r>
      <w:r w:rsidRPr="001D49D4">
        <w:rPr>
          <w:sz w:val="16"/>
          <w:szCs w:val="16"/>
          <w:rtl/>
        </w:rPr>
        <w:t>(פכ"ג ממלוה ולוה הי"ד)</w:t>
      </w:r>
      <w:r w:rsidRPr="001D49D4">
        <w:rPr>
          <w:rtl/>
        </w:rPr>
        <w:t>- אע"פ שקרוע במקום עדים וזמן ותורף לא מיקרי קרע בית דין עד שיהיה קרוע שתי וערב</w:t>
      </w:r>
      <w:r w:rsidRPr="001D49D4">
        <w:rPr>
          <w:vertAlign w:val="superscript"/>
          <w:rtl/>
        </w:rPr>
        <w:footnoteReference w:id="4270"/>
      </w:r>
      <w:r w:rsidRPr="001D49D4">
        <w:rPr>
          <w:rtl/>
        </w:rPr>
        <w:t xml:space="preserve">.  </w:t>
      </w:r>
    </w:p>
    <w:p w14:paraId="16036BC2" w14:textId="77777777" w:rsidR="001D49D4" w:rsidRPr="001D49D4" w:rsidRDefault="001D49D4" w:rsidP="0004348D">
      <w:pPr>
        <w:spacing w:before="360" w:after="240"/>
        <w:rPr>
          <w:rFonts w:ascii="Calibri" w:eastAsia="Calibri" w:hAnsi="Calibri" w:cs="Arial"/>
          <w:u w:val="single"/>
        </w:rPr>
      </w:pPr>
      <w:r w:rsidRPr="001D49D4">
        <w:rPr>
          <w:rFonts w:ascii="Calibri" w:eastAsia="Calibri" w:hAnsi="Calibri" w:cs="Arial"/>
          <w:u w:val="single"/>
          <w:rtl/>
        </w:rPr>
        <w:t xml:space="preserve">שטר קרוע שנקרע קרע בית דין והוסיף על קריעת השטר כדי לעמעם את קרע הבית דין: </w:t>
      </w:r>
    </w:p>
    <w:p w14:paraId="1C49BBA8" w14:textId="77777777" w:rsidR="001D49D4" w:rsidRPr="001D49D4" w:rsidRDefault="001D49D4" w:rsidP="0004348D">
      <w:pPr>
        <w:numPr>
          <w:ilvl w:val="0"/>
          <w:numId w:val="310"/>
        </w:numPr>
        <w:spacing w:before="360" w:after="240"/>
        <w:contextualSpacing/>
      </w:pPr>
      <w:r w:rsidRPr="001D49D4">
        <w:rPr>
          <w:rtl/>
        </w:rPr>
        <w:t>רבינו האי</w:t>
      </w:r>
      <w:r w:rsidRPr="001D49D4">
        <w:rPr>
          <w:sz w:val="16"/>
          <w:szCs w:val="16"/>
          <w:rtl/>
        </w:rPr>
        <w:t xml:space="preserve"> (כ"כ בשמו בעל התרומות [שער נז ח"א סי' א])</w:t>
      </w:r>
      <w:r w:rsidRPr="001D49D4">
        <w:rPr>
          <w:rtl/>
        </w:rPr>
        <w:t>- אם אפשר שהיה קרע בית דין והוסיף על קריעתו והבדיל כדי לעמעם הדבר - חוששין ואין מגבין בו כלום</w:t>
      </w:r>
      <w:r w:rsidRPr="001D49D4">
        <w:rPr>
          <w:vertAlign w:val="superscript"/>
          <w:rtl/>
        </w:rPr>
        <w:footnoteReference w:id="4271"/>
      </w:r>
      <w:r w:rsidRPr="001D49D4">
        <w:rPr>
          <w:rtl/>
        </w:rPr>
        <w:t xml:space="preserve">. </w:t>
      </w:r>
    </w:p>
    <w:p w14:paraId="53B0EF20" w14:textId="77777777" w:rsidR="001D49D4" w:rsidRPr="001D49D4" w:rsidRDefault="001D49D4" w:rsidP="0004348D">
      <w:pPr>
        <w:spacing w:before="360" w:after="240"/>
        <w:rPr>
          <w:rFonts w:ascii="Calibri" w:eastAsia="Calibri" w:hAnsi="Calibri" w:cs="Arial"/>
          <w:u w:val="single"/>
        </w:rPr>
      </w:pPr>
      <w:r w:rsidRPr="001D49D4">
        <w:rPr>
          <w:rFonts w:ascii="Calibri" w:eastAsia="Calibri" w:hAnsi="Calibri" w:cs="Arial"/>
          <w:u w:val="single"/>
          <w:rtl/>
        </w:rPr>
        <w:t>שטר קרוע בקרע ב"ד ומתברר בסהדי דבאונס נקרע ביד המלוה עד שלא נפרע ממנו:</w:t>
      </w:r>
    </w:p>
    <w:p w14:paraId="45D28953" w14:textId="77777777" w:rsidR="001D49D4" w:rsidRPr="001D49D4" w:rsidRDefault="001D49D4" w:rsidP="0004348D">
      <w:pPr>
        <w:numPr>
          <w:ilvl w:val="0"/>
          <w:numId w:val="310"/>
        </w:numPr>
        <w:spacing w:before="360" w:after="240"/>
        <w:contextualSpacing/>
        <w:rPr>
          <w:rtl/>
        </w:rPr>
      </w:pPr>
      <w:r w:rsidRPr="001D49D4">
        <w:rPr>
          <w:rtl/>
        </w:rPr>
        <w:t>בעל התרומות</w:t>
      </w:r>
      <w:r w:rsidRPr="001D49D4">
        <w:rPr>
          <w:sz w:val="16"/>
          <w:szCs w:val="16"/>
          <w:rtl/>
        </w:rPr>
        <w:t xml:space="preserve"> (שם סי' ג)</w:t>
      </w:r>
      <w:r w:rsidRPr="001D49D4">
        <w:rPr>
          <w:rtl/>
        </w:rPr>
        <w:t>- מסתברא דהיכא דמתברר בסהדי דבאונס נקרע ביד המלוה עד שלא נפרע ממנו כלום - לא גרע מנמחק שטרו שמעמיד עליו עדים ובית דין כותבין לו שטר אחר במקומו מאותו זמן</w:t>
      </w:r>
      <w:r w:rsidRPr="001D49D4">
        <w:rPr>
          <w:vertAlign w:val="superscript"/>
          <w:rtl/>
        </w:rPr>
        <w:footnoteReference w:id="4272"/>
      </w:r>
      <w:r w:rsidRPr="001D49D4">
        <w:rPr>
          <w:rtl/>
        </w:rPr>
        <w:t>, וכדאיתא בהגוזל קמא</w:t>
      </w:r>
      <w:r w:rsidRPr="001D49D4">
        <w:rPr>
          <w:sz w:val="16"/>
          <w:szCs w:val="16"/>
          <w:rtl/>
        </w:rPr>
        <w:t xml:space="preserve"> (ב"ק צח.)</w:t>
      </w:r>
      <w:r w:rsidRPr="001D49D4">
        <w:rPr>
          <w:rtl/>
        </w:rPr>
        <w:t xml:space="preserve"> גבי שורף שטרותיו של חבירו</w:t>
      </w:r>
      <w:r w:rsidRPr="001D49D4">
        <w:rPr>
          <w:vertAlign w:val="superscript"/>
          <w:rtl/>
        </w:rPr>
        <w:footnoteReference w:id="4273"/>
      </w:r>
      <w:r w:rsidRPr="001D49D4">
        <w:rPr>
          <w:rtl/>
        </w:rPr>
        <w:t xml:space="preserve">. </w:t>
      </w:r>
    </w:p>
    <w:p w14:paraId="38EB01CE" w14:textId="77777777" w:rsidR="001D49D4" w:rsidRPr="001D49D4" w:rsidRDefault="001D49D4" w:rsidP="0004348D">
      <w:pPr>
        <w:spacing w:before="360" w:after="240"/>
        <w:rPr>
          <w:rFonts w:ascii="Calibri" w:eastAsia="Calibri" w:hAnsi="Calibri" w:cs="Arial"/>
          <w:u w:val="single"/>
        </w:rPr>
      </w:pPr>
      <w:r w:rsidRPr="001D49D4">
        <w:rPr>
          <w:rFonts w:ascii="Calibri" w:eastAsia="Calibri" w:hAnsi="Calibri" w:cs="Arial"/>
          <w:u w:val="single"/>
          <w:rtl/>
        </w:rPr>
        <w:t>שטר שניכר שנקרע ע"י סכין:</w:t>
      </w:r>
    </w:p>
    <w:p w14:paraId="2AB10EB5" w14:textId="77777777" w:rsidR="001D49D4" w:rsidRPr="001D49D4" w:rsidRDefault="001D49D4" w:rsidP="0004348D">
      <w:pPr>
        <w:numPr>
          <w:ilvl w:val="0"/>
          <w:numId w:val="310"/>
        </w:numPr>
        <w:spacing w:before="360" w:after="240"/>
        <w:contextualSpacing/>
        <w:rPr>
          <w:rtl/>
        </w:rPr>
      </w:pPr>
      <w:r w:rsidRPr="001D49D4">
        <w:rPr>
          <w:rtl/>
        </w:rPr>
        <w:t xml:space="preserve">רא"ש </w:t>
      </w:r>
      <w:r w:rsidRPr="001D49D4">
        <w:rPr>
          <w:sz w:val="16"/>
          <w:szCs w:val="16"/>
          <w:rtl/>
        </w:rPr>
        <w:t>(כלל סח סי' ל)</w:t>
      </w:r>
      <w:r w:rsidRPr="001D49D4">
        <w:rPr>
          <w:rtl/>
        </w:rPr>
        <w:t xml:space="preserve"> וטור- כל זה דוקא שאין יכולין לעמוד על הקרע אם הוא בסכין או ממילא, אבל אם ניכר שנעשה בסכין ולא נעשה ממילא כמו שדרך שטר ליקרע בכפליו - אע"פ שאינו נקרע שתי וערב פסול. </w:t>
      </w:r>
      <w:r w:rsidRPr="001D49D4">
        <w:rPr>
          <w:color w:val="E36C0A" w:themeColor="accent6" w:themeShade="BF"/>
          <w:rtl/>
        </w:rPr>
        <w:t>(וכ"פ בשו"ע)</w:t>
      </w:r>
    </w:p>
    <w:p w14:paraId="658E0B8B" w14:textId="77777777" w:rsidR="001D49D4" w:rsidRPr="001D49D4" w:rsidRDefault="001D49D4" w:rsidP="0004348D">
      <w:pPr>
        <w:spacing w:before="360" w:after="240"/>
        <w:rPr>
          <w:rFonts w:ascii="Calibri" w:eastAsia="Calibri" w:hAnsi="Calibri" w:cs="Arial"/>
          <w:u w:val="single"/>
        </w:rPr>
      </w:pPr>
      <w:r w:rsidRPr="001D49D4">
        <w:rPr>
          <w:rFonts w:ascii="Calibri" w:eastAsia="Calibri" w:hAnsi="Calibri" w:cs="Arial"/>
          <w:u w:val="single"/>
          <w:rtl/>
        </w:rPr>
        <w:t>שטר שקרוע לשנים בקרע שווה:</w:t>
      </w:r>
    </w:p>
    <w:p w14:paraId="155DD2E1" w14:textId="77777777" w:rsidR="001D49D4" w:rsidRPr="001D49D4" w:rsidRDefault="001D49D4" w:rsidP="0004348D">
      <w:pPr>
        <w:numPr>
          <w:ilvl w:val="0"/>
          <w:numId w:val="310"/>
        </w:numPr>
        <w:spacing w:before="360" w:after="240"/>
        <w:contextualSpacing/>
      </w:pPr>
      <w:r w:rsidRPr="001D49D4">
        <w:rPr>
          <w:rtl/>
        </w:rPr>
        <w:t xml:space="preserve">בעל התרומות </w:t>
      </w:r>
      <w:r w:rsidRPr="001D49D4">
        <w:rPr>
          <w:sz w:val="16"/>
          <w:szCs w:val="16"/>
          <w:rtl/>
        </w:rPr>
        <w:t>(בשער הנזכר ב"ב סי' ב)</w:t>
      </w:r>
      <w:r w:rsidRPr="001D49D4">
        <w:rPr>
          <w:rtl/>
        </w:rPr>
        <w:t xml:space="preserve"> וטור- הא דכשר כשאינו קרע של ב"ד דוקא כשהוא מעורה קצתו אל קצתו אבל אם נקרע ממש לשנים גרע טפי מקרע ב"ד ופסול.</w:t>
      </w:r>
      <w:r w:rsidRPr="001D49D4">
        <w:rPr>
          <w:color w:val="E36C0A" w:themeColor="accent6" w:themeShade="BF"/>
          <w:rtl/>
        </w:rPr>
        <w:t xml:space="preserve"> (וכ"פ בשו"ע)</w:t>
      </w:r>
    </w:p>
    <w:p w14:paraId="4B6FAD1F" w14:textId="77777777" w:rsidR="001D49D4" w:rsidRPr="001D49D4" w:rsidRDefault="001D49D4" w:rsidP="0004348D">
      <w:pPr>
        <w:spacing w:before="360" w:after="240"/>
        <w:rPr>
          <w:rFonts w:ascii="Arial" w:eastAsia="Calibri" w:hAnsi="Arial" w:cs="Arial"/>
          <w:b/>
          <w:bCs/>
          <w:color w:val="000000"/>
          <w:sz w:val="28"/>
          <w:szCs w:val="28"/>
          <w:u w:val="single"/>
          <w:rtl/>
        </w:rPr>
      </w:pPr>
      <w:r w:rsidRPr="001D49D4">
        <w:rPr>
          <w:rFonts w:ascii="Arial" w:eastAsia="Calibri" w:hAnsi="Arial" w:cs="Arial"/>
          <w:b/>
          <w:bCs/>
          <w:color w:val="000000"/>
          <w:sz w:val="28"/>
          <w:szCs w:val="28"/>
          <w:u w:val="single"/>
          <w:rtl/>
        </w:rPr>
        <w:t>שו"ע:</w:t>
      </w:r>
    </w:p>
    <w:p w14:paraId="16515E9F"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rtl/>
        </w:rPr>
        <w:t>שטר שיש בו רבית מפורש, אינו גובה בו הריבית אבל גובה בו את הקרן אפילו ממשעבדי</w:t>
      </w:r>
      <w:r w:rsidRPr="001D49D4">
        <w:rPr>
          <w:rFonts w:ascii="Calibri" w:eastAsia="Calibri" w:hAnsi="Calibri" w:cs="Arial"/>
          <w:vertAlign w:val="superscript"/>
          <w:rtl/>
        </w:rPr>
        <w:footnoteReference w:id="4274"/>
      </w:r>
      <w:r w:rsidRPr="001D49D4">
        <w:rPr>
          <w:rFonts w:ascii="Calibri" w:eastAsia="Calibri" w:hAnsi="Calibri" w:cs="Arial"/>
          <w:rtl/>
        </w:rPr>
        <w:t>. אבל אם כלל הקרן עם הרבית, פסול</w:t>
      </w:r>
      <w:r w:rsidRPr="001D49D4">
        <w:rPr>
          <w:rFonts w:ascii="Calibri" w:eastAsia="Calibri" w:hAnsi="Calibri" w:cs="Arial"/>
          <w:vertAlign w:val="superscript"/>
          <w:rtl/>
        </w:rPr>
        <w:footnoteReference w:id="4275"/>
      </w:r>
      <w:r w:rsidRPr="001D49D4">
        <w:rPr>
          <w:rFonts w:ascii="Calibri" w:eastAsia="Calibri" w:hAnsi="Calibri" w:cs="Arial"/>
          <w:rtl/>
        </w:rPr>
        <w:t>, מפני שיבא לגבות בו את הרבית</w:t>
      </w:r>
      <w:r w:rsidRPr="001D49D4">
        <w:rPr>
          <w:rFonts w:ascii="Calibri" w:eastAsia="Calibri" w:hAnsi="Calibri" w:cs="Arial"/>
          <w:vertAlign w:val="superscript"/>
          <w:rtl/>
        </w:rPr>
        <w:footnoteReference w:id="4276"/>
      </w:r>
      <w:r w:rsidRPr="001D49D4">
        <w:rPr>
          <w:rFonts w:ascii="Calibri" w:eastAsia="Calibri" w:hAnsi="Calibri" w:cs="Arial"/>
          <w:rtl/>
        </w:rPr>
        <w:t xml:space="preserve">. </w:t>
      </w:r>
      <w:r w:rsidRPr="001D49D4">
        <w:rPr>
          <w:rFonts w:ascii="Calibri" w:eastAsia="Calibri" w:hAnsi="Calibri" w:cs="Arial"/>
          <w:sz w:val="18"/>
          <w:szCs w:val="18"/>
          <w:rtl/>
        </w:rPr>
        <w:t>הגה: מיהו אם החייב מודה</w:t>
      </w:r>
      <w:r w:rsidRPr="001D49D4">
        <w:rPr>
          <w:rFonts w:ascii="Calibri" w:eastAsia="Calibri" w:hAnsi="Calibri" w:cs="Arial"/>
          <w:sz w:val="18"/>
          <w:szCs w:val="18"/>
          <w:vertAlign w:val="superscript"/>
          <w:rtl/>
        </w:rPr>
        <w:footnoteReference w:id="4277"/>
      </w:r>
      <w:r w:rsidRPr="001D49D4">
        <w:rPr>
          <w:rFonts w:ascii="Calibri" w:eastAsia="Calibri" w:hAnsi="Calibri" w:cs="Arial"/>
          <w:sz w:val="18"/>
          <w:szCs w:val="18"/>
          <w:rtl/>
        </w:rPr>
        <w:t>, צריך לשלם לו הקרן (מהרי"ק שורש יז). וי"א דפטור, דקנסינן למלוה וא"צ לשלם לו</w:t>
      </w:r>
      <w:r w:rsidRPr="001D49D4">
        <w:rPr>
          <w:rFonts w:ascii="Calibri" w:eastAsia="Calibri" w:hAnsi="Calibri" w:cs="Arial"/>
          <w:sz w:val="18"/>
          <w:szCs w:val="18"/>
          <w:vertAlign w:val="superscript"/>
          <w:rtl/>
        </w:rPr>
        <w:footnoteReference w:id="4278"/>
      </w:r>
      <w:r w:rsidRPr="001D49D4">
        <w:rPr>
          <w:rFonts w:ascii="Calibri" w:eastAsia="Calibri" w:hAnsi="Calibri" w:cs="Arial"/>
          <w:sz w:val="18"/>
          <w:szCs w:val="18"/>
          <w:rtl/>
        </w:rPr>
        <w:t>. מיהו אם המלוה הלוה ע"י שליח, והשליח עשה שטר וכלל קרן עם רבית, גובה הקרן מ"מ</w:t>
      </w:r>
      <w:r w:rsidRPr="001D49D4">
        <w:rPr>
          <w:rFonts w:ascii="Calibri" w:eastAsia="Calibri" w:hAnsi="Calibri" w:cs="Arial"/>
          <w:sz w:val="18"/>
          <w:szCs w:val="18"/>
          <w:vertAlign w:val="superscript"/>
          <w:rtl/>
        </w:rPr>
        <w:footnoteReference w:id="4279"/>
      </w:r>
      <w:r w:rsidRPr="001D49D4">
        <w:rPr>
          <w:rFonts w:ascii="Calibri" w:eastAsia="Calibri" w:hAnsi="Calibri" w:cs="Arial"/>
          <w:sz w:val="18"/>
          <w:szCs w:val="18"/>
          <w:rtl/>
        </w:rPr>
        <w:t xml:space="preserve">, דאמר לתקוני שדרתי שלוחי ולא לעוותי לכלול עם הרבית (מהרי"ק שם). ועיין ביו"ד סי' קס"א עוד מדינים אלו. </w:t>
      </w:r>
      <w:r w:rsidRPr="001D49D4">
        <w:rPr>
          <w:rFonts w:ascii="Calibri" w:eastAsia="Calibri" w:hAnsi="Calibri" w:cs="Arial"/>
          <w:rtl/>
        </w:rPr>
        <w:t>שטר שבא לפנינו קרוע קרע בית דין, והוא שקרוע במקום העדים והזמן והתורף</w:t>
      </w:r>
      <w:r w:rsidRPr="001D49D4">
        <w:rPr>
          <w:rFonts w:ascii="Calibri" w:eastAsia="Calibri" w:hAnsi="Calibri" w:cs="Arial"/>
          <w:vertAlign w:val="superscript"/>
          <w:rtl/>
        </w:rPr>
        <w:footnoteReference w:id="4280"/>
      </w:r>
      <w:r w:rsidRPr="001D49D4">
        <w:rPr>
          <w:rFonts w:ascii="Calibri" w:eastAsia="Calibri" w:hAnsi="Calibri" w:cs="Arial"/>
          <w:rtl/>
        </w:rPr>
        <w:t xml:space="preserve"> או שקרוע שתי וערב</w:t>
      </w:r>
      <w:r w:rsidRPr="001D49D4">
        <w:rPr>
          <w:rFonts w:ascii="Calibri" w:eastAsia="Calibri" w:hAnsi="Calibri" w:cs="Arial"/>
          <w:vertAlign w:val="superscript"/>
          <w:rtl/>
        </w:rPr>
        <w:footnoteReference w:id="4281"/>
      </w:r>
      <w:r w:rsidRPr="001D49D4">
        <w:rPr>
          <w:rFonts w:ascii="Calibri" w:eastAsia="Calibri" w:hAnsi="Calibri" w:cs="Arial"/>
          <w:rtl/>
        </w:rPr>
        <w:t>, פסול. ואם ניכר שנעשה בסכין, אפילו אם לא נקרע שתי וערב, פסול</w:t>
      </w:r>
      <w:r w:rsidRPr="001D49D4">
        <w:rPr>
          <w:rFonts w:ascii="Calibri" w:eastAsia="Calibri" w:hAnsi="Calibri" w:cs="Arial"/>
          <w:vertAlign w:val="superscript"/>
          <w:rtl/>
        </w:rPr>
        <w:footnoteReference w:id="4282"/>
      </w:r>
      <w:r w:rsidRPr="001D49D4">
        <w:rPr>
          <w:rFonts w:ascii="Calibri" w:eastAsia="Calibri" w:hAnsi="Calibri" w:cs="Arial"/>
          <w:rtl/>
        </w:rPr>
        <w:t>. נקרע לשנים</w:t>
      </w:r>
      <w:r w:rsidRPr="001D49D4">
        <w:rPr>
          <w:rFonts w:ascii="Calibri" w:eastAsia="Calibri" w:hAnsi="Calibri" w:cs="Arial"/>
          <w:vertAlign w:val="superscript"/>
          <w:rtl/>
        </w:rPr>
        <w:footnoteReference w:id="4283"/>
      </w:r>
      <w:r w:rsidRPr="001D49D4">
        <w:rPr>
          <w:rFonts w:ascii="Calibri" w:eastAsia="Calibri" w:hAnsi="Calibri" w:cs="Arial"/>
          <w:rtl/>
        </w:rPr>
        <w:t>, גרע טפי מקרע בית דין, ופסול</w:t>
      </w:r>
      <w:r w:rsidRPr="001D49D4">
        <w:rPr>
          <w:rFonts w:ascii="Calibri" w:eastAsia="Calibri" w:hAnsi="Calibri" w:cs="Arial"/>
          <w:vertAlign w:val="superscript"/>
          <w:rtl/>
        </w:rPr>
        <w:footnoteReference w:id="4284"/>
      </w:r>
      <w:r w:rsidRPr="001D49D4">
        <w:rPr>
          <w:rFonts w:ascii="Calibri" w:eastAsia="Calibri" w:hAnsi="Calibri" w:cs="Arial"/>
          <w:rtl/>
        </w:rPr>
        <w:t xml:space="preserve">. </w:t>
      </w:r>
      <w:r w:rsidRPr="001D49D4">
        <w:rPr>
          <w:rFonts w:ascii="Calibri" w:eastAsia="Calibri" w:hAnsi="Calibri" w:cs="Arial"/>
          <w:sz w:val="18"/>
          <w:szCs w:val="18"/>
          <w:rtl/>
        </w:rPr>
        <w:t>הגה: ואם יש עדים שנקרע באונס, דינו כמי שנמחק שטר חובו, וכמו שנתבאר לעיל סי' מ"א. ואם היה נקרע שלא בקרע ב"ד, אם נראה לדיין שהיה בו קרע ב"ד והוסיפו על הקרע כדי להעלים הקרע ב"ד, אין גובין בו. אבל בלאו הכי</w:t>
      </w:r>
      <w:r w:rsidRPr="001D49D4">
        <w:rPr>
          <w:rFonts w:ascii="Calibri" w:eastAsia="Calibri" w:hAnsi="Calibri" w:cs="Arial"/>
          <w:sz w:val="18"/>
          <w:szCs w:val="18"/>
          <w:vertAlign w:val="superscript"/>
          <w:rtl/>
        </w:rPr>
        <w:footnoteReference w:id="4285"/>
      </w:r>
      <w:r w:rsidRPr="001D49D4">
        <w:rPr>
          <w:rFonts w:ascii="Calibri" w:eastAsia="Calibri" w:hAnsi="Calibri" w:cs="Arial"/>
          <w:sz w:val="18"/>
          <w:szCs w:val="18"/>
          <w:rtl/>
        </w:rPr>
        <w:t>, אין חוששין (בעל התרומות שער נז).</w:t>
      </w:r>
      <w:r w:rsidRPr="001D49D4">
        <w:rPr>
          <w:rFonts w:ascii="Calibri" w:eastAsia="Calibri" w:hAnsi="Calibri" w:cs="Arial"/>
          <w:rtl/>
        </w:rPr>
        <w:t xml:space="preserve"> </w:t>
      </w:r>
    </w:p>
    <w:p w14:paraId="4AA7C3DE" w14:textId="77777777" w:rsidR="001D49D4" w:rsidRPr="001D49D4" w:rsidRDefault="001D49D4" w:rsidP="0004348D">
      <w:pPr>
        <w:spacing w:before="360" w:after="240"/>
        <w:rPr>
          <w:rFonts w:ascii="Calibri" w:eastAsia="Calibri" w:hAnsi="Calibri" w:cs="Arial"/>
          <w:rtl/>
        </w:rPr>
      </w:pPr>
    </w:p>
    <w:p w14:paraId="2111E7C7" w14:textId="77777777" w:rsidR="001D49D4" w:rsidRPr="001D49D4" w:rsidRDefault="001D49D4" w:rsidP="0004348D">
      <w:pPr>
        <w:keepNext/>
        <w:keepLines/>
        <w:spacing w:before="360" w:after="240"/>
        <w:outlineLvl w:val="1"/>
        <w:rPr>
          <w:rFonts w:ascii="Cambria" w:eastAsia="Times New Roman" w:hAnsi="Cambria" w:cs="Arial"/>
          <w:bCs/>
          <w:color w:val="548DD4" w:themeColor="text2" w:themeTint="99"/>
          <w:sz w:val="26"/>
          <w:szCs w:val="26"/>
          <w:rtl/>
        </w:rPr>
      </w:pPr>
      <w:bookmarkStart w:id="574" w:name="_Toc24884001"/>
      <w:r w:rsidRPr="001D49D4">
        <w:rPr>
          <w:rFonts w:ascii="Cambria" w:eastAsia="Times New Roman" w:hAnsi="Cambria" w:cs="Arial"/>
          <w:bCs/>
          <w:color w:val="548DD4" w:themeColor="text2" w:themeTint="99"/>
          <w:sz w:val="26"/>
          <w:szCs w:val="26"/>
          <w:rtl/>
        </w:rPr>
        <w:t>סעיף ב: שטר שנמחק או נטשטש.</w:t>
      </w:r>
      <w:bookmarkEnd w:id="574"/>
    </w:p>
    <w:p w14:paraId="46F585C0"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b/>
          <w:bCs/>
          <w:rtl/>
        </w:rPr>
        <w:t>תוספתא גיטין</w:t>
      </w:r>
      <w:r w:rsidRPr="001D49D4">
        <w:rPr>
          <w:rFonts w:ascii="Calibri" w:eastAsia="Calibri" w:hAnsi="Calibri" w:cs="Arial"/>
          <w:b/>
          <w:bCs/>
          <w:sz w:val="14"/>
          <w:szCs w:val="14"/>
          <w:rtl/>
        </w:rPr>
        <w:t xml:space="preserve"> </w:t>
      </w:r>
      <w:r w:rsidRPr="001D49D4">
        <w:rPr>
          <w:rFonts w:ascii="Calibri" w:eastAsia="Calibri" w:hAnsi="Calibri" w:cs="Arial"/>
          <w:b/>
          <w:bCs/>
          <w:sz w:val="16"/>
          <w:szCs w:val="16"/>
          <w:rtl/>
        </w:rPr>
        <w:t>(ליברמן)</w:t>
      </w:r>
      <w:r w:rsidRPr="001D49D4">
        <w:rPr>
          <w:rFonts w:ascii="Calibri" w:eastAsia="Calibri" w:hAnsi="Calibri" w:cs="Arial"/>
          <w:b/>
          <w:bCs/>
          <w:rtl/>
        </w:rPr>
        <w:t xml:space="preserve"> פ"ז הי"ב: </w:t>
      </w:r>
      <w:r w:rsidRPr="001D49D4">
        <w:rPr>
          <w:rFonts w:ascii="Calibri" w:eastAsia="Calibri" w:hAnsi="Calibri" w:cs="Arial"/>
          <w:rtl/>
        </w:rPr>
        <w:t>נימוק או שהרקיב או שנעשה ככברה - כשר. נמחק או שנטשטש ובבואה שלו קיימת, אם יכול לקרות - כשר, אם לאו - פסול.</w:t>
      </w:r>
    </w:p>
    <w:p w14:paraId="5418E307"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b/>
          <w:bCs/>
          <w:rtl/>
        </w:rPr>
        <w:t xml:space="preserve">בבא בתרא </w:t>
      </w:r>
      <w:r w:rsidRPr="001D49D4">
        <w:rPr>
          <w:rFonts w:ascii="Calibri" w:eastAsia="Calibri" w:hAnsi="Calibri" w:cs="Arial"/>
          <w:b/>
          <w:bCs/>
          <w:sz w:val="16"/>
          <w:szCs w:val="16"/>
          <w:rtl/>
        </w:rPr>
        <w:t>(פרק גט פשוט)</w:t>
      </w:r>
      <w:r w:rsidRPr="001D49D4">
        <w:rPr>
          <w:rFonts w:ascii="Calibri" w:eastAsia="Calibri" w:hAnsi="Calibri" w:cs="Arial"/>
          <w:b/>
          <w:bCs/>
          <w:rtl/>
        </w:rPr>
        <w:t xml:space="preserve"> קסח</w:t>
      </w:r>
      <w:r w:rsidRPr="001D49D4">
        <w:rPr>
          <w:rFonts w:ascii="Calibri" w:eastAsia="Calibri" w:hAnsi="Calibri" w:cs="Arial"/>
          <w:b/>
          <w:bCs/>
          <w:vertAlign w:val="superscript"/>
          <w:rtl/>
        </w:rPr>
        <w:footnoteReference w:id="4286"/>
      </w:r>
      <w:r w:rsidRPr="001D49D4">
        <w:rPr>
          <w:rFonts w:ascii="Calibri" w:eastAsia="Calibri" w:hAnsi="Calibri" w:cs="Arial"/>
          <w:b/>
          <w:bCs/>
          <w:rtl/>
        </w:rPr>
        <w:t xml:space="preserve"> ע"ב:</w:t>
      </w:r>
      <w:r w:rsidRPr="001D49D4">
        <w:rPr>
          <w:rFonts w:ascii="Calibri" w:eastAsia="Calibri" w:hAnsi="Calibri" w:cs="Arial"/>
          <w:rtl/>
        </w:rPr>
        <w:t xml:space="preserve"> נמחק או נטשטש, אם רישומו ניכר - כשר.</w:t>
      </w:r>
    </w:p>
    <w:p w14:paraId="59CA59EF"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u w:val="single"/>
          <w:rtl/>
        </w:rPr>
        <w:t>שטר שנמחק או נטשטש:</w:t>
      </w:r>
    </w:p>
    <w:p w14:paraId="42E91039" w14:textId="77777777" w:rsidR="001D49D4" w:rsidRPr="001D49D4" w:rsidRDefault="001D49D4" w:rsidP="0004348D">
      <w:pPr>
        <w:numPr>
          <w:ilvl w:val="0"/>
          <w:numId w:val="297"/>
        </w:numPr>
        <w:spacing w:before="360" w:after="240"/>
        <w:contextualSpacing/>
        <w:rPr>
          <w:rtl/>
        </w:rPr>
      </w:pPr>
      <w:r w:rsidRPr="001D49D4">
        <w:rPr>
          <w:rtl/>
        </w:rPr>
        <w:t xml:space="preserve">טור- נמחק או נטשטש, אם רישומו ניכר – כשר, ואם לאו – פסול. תניא בתוספתא: הרקיב ונעשה ככברה – כשר. נמחק או נטשטש ושלדו קיימת, אם יכול לקרות – כשר, ואם לאו – פסול. </w:t>
      </w:r>
      <w:r w:rsidRPr="001D49D4">
        <w:rPr>
          <w:color w:val="E36C0A" w:themeColor="accent6" w:themeShade="BF"/>
          <w:rtl/>
        </w:rPr>
        <w:t>(וכ"פ בשו"ע)</w:t>
      </w:r>
    </w:p>
    <w:p w14:paraId="022031DA" w14:textId="77777777" w:rsidR="001D49D4" w:rsidRPr="001D49D4" w:rsidRDefault="001D49D4" w:rsidP="0004348D">
      <w:pPr>
        <w:spacing w:before="360" w:after="240"/>
        <w:rPr>
          <w:rFonts w:ascii="Arial" w:eastAsia="Calibri" w:hAnsi="Arial" w:cs="Arial"/>
          <w:b/>
          <w:bCs/>
          <w:color w:val="000000"/>
          <w:sz w:val="28"/>
          <w:szCs w:val="28"/>
          <w:u w:val="single"/>
          <w:rtl/>
        </w:rPr>
      </w:pPr>
      <w:r w:rsidRPr="001D49D4">
        <w:rPr>
          <w:rFonts w:ascii="Arial" w:eastAsia="Calibri" w:hAnsi="Arial" w:cs="Arial"/>
          <w:b/>
          <w:bCs/>
          <w:color w:val="000000"/>
          <w:sz w:val="28"/>
          <w:szCs w:val="28"/>
          <w:u w:val="single"/>
          <w:rtl/>
        </w:rPr>
        <w:t>שו"ע:</w:t>
      </w:r>
    </w:p>
    <w:p w14:paraId="28253530"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rtl/>
        </w:rPr>
        <w:t xml:space="preserve">נמחק או נטשטש, אם רישומו ניכר, כשר. ואם לאו, פסול. הרקיב </w:t>
      </w:r>
      <w:r w:rsidRPr="001D49D4">
        <w:rPr>
          <w:rFonts w:ascii="Calibri" w:eastAsia="Calibri" w:hAnsi="Calibri" w:cs="Arial"/>
          <w:vertAlign w:val="superscript"/>
          <w:rtl/>
        </w:rPr>
        <w:footnoteReference w:id="4287"/>
      </w:r>
      <w:r w:rsidRPr="001D49D4">
        <w:rPr>
          <w:rFonts w:ascii="Calibri" w:eastAsia="Calibri" w:hAnsi="Calibri" w:cs="Arial"/>
          <w:rtl/>
        </w:rPr>
        <w:t xml:space="preserve">ונעשה ככברה, כשר. </w:t>
      </w:r>
      <w:r w:rsidRPr="001D49D4">
        <w:rPr>
          <w:rFonts w:ascii="Calibri" w:eastAsia="Calibri" w:hAnsi="Calibri" w:cs="Arial"/>
          <w:sz w:val="18"/>
          <w:szCs w:val="18"/>
          <w:rtl/>
        </w:rPr>
        <w:t>הגה: ואם אכלו עש או עכברים בראשו, כל שניכר המלוה והלוה ועיקר הענין בסופו, מכשירינן ליה. (תשו' הרא"ש כלל סח סי' כט, ותשובת מיי' דמשפטים סי' סב).</w:t>
      </w:r>
    </w:p>
    <w:p w14:paraId="367646BC" w14:textId="77777777" w:rsidR="001D49D4" w:rsidRPr="001D49D4" w:rsidRDefault="001D49D4" w:rsidP="0004348D">
      <w:pPr>
        <w:bidi w:val="0"/>
        <w:spacing w:before="360" w:after="240"/>
        <w:rPr>
          <w:rFonts w:ascii="Cambria" w:eastAsia="Times New Roman" w:hAnsi="Cambria" w:cs="Arial"/>
          <w:b/>
          <w:bCs/>
          <w:color w:val="365F91" w:themeColor="accent1" w:themeShade="BF"/>
          <w:sz w:val="28"/>
          <w:szCs w:val="28"/>
          <w:rtl/>
        </w:rPr>
        <w:sectPr w:rsidR="001D49D4" w:rsidRPr="001D49D4">
          <w:headerReference w:type="default" r:id="rId61"/>
          <w:footnotePr>
            <w:numRestart w:val="eachPage"/>
          </w:footnotePr>
          <w:pgSz w:w="11906" w:h="16838"/>
          <w:pgMar w:top="720" w:right="1134" w:bottom="720" w:left="1134" w:header="0" w:footer="0" w:gutter="0"/>
          <w:cols w:space="720"/>
          <w:bidi/>
          <w:rtlGutter/>
        </w:sectPr>
      </w:pPr>
    </w:p>
    <w:p w14:paraId="72847209" w14:textId="77777777" w:rsidR="001D49D4" w:rsidRPr="001D49D4" w:rsidRDefault="001D49D4" w:rsidP="0004348D">
      <w:pPr>
        <w:keepNext/>
        <w:keepLines/>
        <w:spacing w:before="360" w:after="240"/>
        <w:outlineLvl w:val="0"/>
        <w:rPr>
          <w:rFonts w:ascii="Cambria" w:eastAsia="Times New Roman" w:hAnsi="Cambria" w:cs="Arial"/>
          <w:b/>
          <w:bCs/>
          <w:color w:val="365F91" w:themeColor="accent1" w:themeShade="BF"/>
          <w:sz w:val="28"/>
          <w:szCs w:val="28"/>
          <w:rtl/>
        </w:rPr>
      </w:pPr>
      <w:bookmarkStart w:id="575" w:name="_Toc24884002"/>
      <w:r w:rsidRPr="001D49D4">
        <w:rPr>
          <w:rFonts w:ascii="Cambria" w:eastAsia="Times New Roman" w:hAnsi="Cambria" w:cs="Arial"/>
          <w:b/>
          <w:bCs/>
          <w:color w:val="365F91" w:themeColor="accent1" w:themeShade="BF"/>
          <w:sz w:val="28"/>
          <w:szCs w:val="28"/>
          <w:rtl/>
        </w:rPr>
        <w:t>סימן נג: שלא לשנות השטר, ובו סעיף אחד.</w:t>
      </w:r>
      <w:bookmarkEnd w:id="575"/>
      <w:r w:rsidRPr="001D49D4">
        <w:rPr>
          <w:rFonts w:ascii="Cambria" w:eastAsia="Times New Roman" w:hAnsi="Cambria" w:cs="Arial"/>
          <w:b/>
          <w:bCs/>
          <w:color w:val="365F91" w:themeColor="accent1" w:themeShade="BF"/>
          <w:sz w:val="28"/>
          <w:szCs w:val="28"/>
          <w:rtl/>
        </w:rPr>
        <w:t xml:space="preserve"> </w:t>
      </w:r>
    </w:p>
    <w:p w14:paraId="5E17B802" w14:textId="77777777" w:rsidR="001D49D4" w:rsidRPr="001D49D4" w:rsidRDefault="001D49D4" w:rsidP="0004348D">
      <w:pPr>
        <w:keepNext/>
        <w:keepLines/>
        <w:spacing w:before="360" w:after="240"/>
        <w:outlineLvl w:val="1"/>
        <w:rPr>
          <w:rFonts w:ascii="Cambria" w:eastAsia="Times New Roman" w:hAnsi="Cambria" w:cs="Arial"/>
          <w:bCs/>
          <w:color w:val="548DD4" w:themeColor="text2" w:themeTint="99"/>
          <w:sz w:val="26"/>
          <w:szCs w:val="26"/>
          <w:rtl/>
        </w:rPr>
      </w:pPr>
      <w:bookmarkStart w:id="576" w:name="_Toc24884003"/>
      <w:r w:rsidRPr="001D49D4">
        <w:rPr>
          <w:rFonts w:ascii="Cambria" w:eastAsia="Times New Roman" w:hAnsi="Cambria" w:cs="Arial"/>
          <w:bCs/>
          <w:color w:val="548DD4" w:themeColor="text2" w:themeTint="99"/>
          <w:sz w:val="26"/>
          <w:szCs w:val="26"/>
          <w:rtl/>
        </w:rPr>
        <w:t>סעיף א</w:t>
      </w:r>
      <w:bookmarkEnd w:id="576"/>
    </w:p>
    <w:p w14:paraId="4EFAFE91"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b/>
          <w:bCs/>
          <w:rtl/>
        </w:rPr>
        <w:t xml:space="preserve">בבא בתרא </w:t>
      </w:r>
      <w:r w:rsidRPr="001D49D4">
        <w:rPr>
          <w:rFonts w:ascii="Calibri" w:eastAsia="Calibri" w:hAnsi="Calibri" w:cs="Arial"/>
          <w:b/>
          <w:bCs/>
          <w:sz w:val="16"/>
          <w:szCs w:val="16"/>
          <w:rtl/>
        </w:rPr>
        <w:t>(פרק גט פשוט)</w:t>
      </w:r>
      <w:r w:rsidRPr="001D49D4">
        <w:rPr>
          <w:rFonts w:ascii="Calibri" w:eastAsia="Calibri" w:hAnsi="Calibri" w:cs="Arial"/>
          <w:b/>
          <w:bCs/>
          <w:rtl/>
        </w:rPr>
        <w:t xml:space="preserve"> קעב</w:t>
      </w:r>
      <w:r w:rsidRPr="001D49D4">
        <w:rPr>
          <w:rFonts w:ascii="Calibri" w:eastAsia="Calibri" w:hAnsi="Calibri" w:cs="Arial"/>
          <w:b/>
          <w:bCs/>
          <w:vertAlign w:val="superscript"/>
          <w:rtl/>
        </w:rPr>
        <w:footnoteReference w:id="4288"/>
      </w:r>
      <w:r w:rsidRPr="001D49D4">
        <w:rPr>
          <w:rFonts w:ascii="Calibri" w:eastAsia="Calibri" w:hAnsi="Calibri" w:cs="Arial"/>
          <w:b/>
          <w:bCs/>
          <w:rtl/>
        </w:rPr>
        <w:t xml:space="preserve"> ע"א:</w:t>
      </w:r>
      <w:r w:rsidRPr="001D49D4">
        <w:rPr>
          <w:rFonts w:ascii="Calibri" w:eastAsia="Calibri" w:hAnsi="Calibri" w:cs="Arial"/>
          <w:rtl/>
        </w:rPr>
        <w:t xml:space="preserve"> </w:t>
      </w:r>
      <w:r w:rsidRPr="001D49D4">
        <w:rPr>
          <w:rFonts w:ascii="Calibri" w:eastAsia="Calibri" w:hAnsi="Calibri" w:cs="Arial"/>
          <w:u w:val="single"/>
          <w:rtl/>
        </w:rPr>
        <w:t>אמר רבא</w:t>
      </w:r>
      <w:r w:rsidRPr="001D49D4">
        <w:rPr>
          <w:rFonts w:ascii="Calibri" w:eastAsia="Calibri" w:hAnsi="Calibri" w:cs="Arial"/>
          <w:rtl/>
        </w:rPr>
        <w:t>: האי מאן דנקיט</w:t>
      </w:r>
      <w:r w:rsidRPr="001D49D4">
        <w:rPr>
          <w:rFonts w:ascii="Calibri" w:eastAsia="Calibri" w:hAnsi="Calibri" w:cs="Arial"/>
          <w:vertAlign w:val="superscript"/>
          <w:rtl/>
        </w:rPr>
        <w:footnoteReference w:id="4289"/>
      </w:r>
      <w:r w:rsidRPr="001D49D4">
        <w:rPr>
          <w:rFonts w:ascii="Calibri" w:eastAsia="Calibri" w:hAnsi="Calibri" w:cs="Arial"/>
          <w:rtl/>
        </w:rPr>
        <w:t xml:space="preserve"> שטרא בר מאה זוזי, ואמר: שויה ניהלי תרי בני חמשין חמשין - לא משוינן להו. מאי טעמא? עבדו רבנן מילתא</w:t>
      </w:r>
      <w:r w:rsidRPr="001D49D4">
        <w:rPr>
          <w:rFonts w:ascii="Calibri" w:eastAsia="Calibri" w:hAnsi="Calibri" w:cs="Arial"/>
          <w:vertAlign w:val="superscript"/>
          <w:rtl/>
        </w:rPr>
        <w:footnoteReference w:id="4290"/>
      </w:r>
      <w:r w:rsidRPr="001D49D4">
        <w:rPr>
          <w:rFonts w:ascii="Calibri" w:eastAsia="Calibri" w:hAnsi="Calibri" w:cs="Arial"/>
          <w:rtl/>
        </w:rPr>
        <w:t xml:space="preserve"> דניחא ליה למלוה וניחא ליה ללוה, ניחא ליה למלוה - כדי שיכוף לפורעו</w:t>
      </w:r>
      <w:r w:rsidRPr="001D49D4">
        <w:rPr>
          <w:rFonts w:ascii="Calibri" w:eastAsia="Calibri" w:hAnsi="Calibri" w:cs="Arial"/>
          <w:vertAlign w:val="superscript"/>
          <w:rtl/>
        </w:rPr>
        <w:footnoteReference w:id="4291"/>
      </w:r>
      <w:r w:rsidRPr="001D49D4">
        <w:rPr>
          <w:rFonts w:ascii="Calibri" w:eastAsia="Calibri" w:hAnsi="Calibri" w:cs="Arial"/>
          <w:rtl/>
        </w:rPr>
        <w:t>, וניחא ללוה - כי היכי דניפגם שטריה</w:t>
      </w:r>
      <w:r w:rsidRPr="001D49D4">
        <w:rPr>
          <w:rFonts w:ascii="Calibri" w:eastAsia="Calibri" w:hAnsi="Calibri" w:cs="Arial"/>
          <w:vertAlign w:val="superscript"/>
          <w:rtl/>
        </w:rPr>
        <w:footnoteReference w:id="4292"/>
      </w:r>
      <w:r w:rsidRPr="001D49D4">
        <w:rPr>
          <w:rFonts w:ascii="Calibri" w:eastAsia="Calibri" w:hAnsi="Calibri" w:cs="Arial"/>
          <w:rtl/>
        </w:rPr>
        <w:t xml:space="preserve">. </w:t>
      </w:r>
      <w:r w:rsidRPr="001D49D4">
        <w:rPr>
          <w:rFonts w:ascii="Calibri" w:eastAsia="Calibri" w:hAnsi="Calibri" w:cs="Arial"/>
          <w:u w:val="single"/>
          <w:rtl/>
        </w:rPr>
        <w:t>ואמר רבא</w:t>
      </w:r>
      <w:r w:rsidRPr="001D49D4">
        <w:rPr>
          <w:rFonts w:ascii="Calibri" w:eastAsia="Calibri" w:hAnsi="Calibri" w:cs="Arial"/>
          <w:rtl/>
        </w:rPr>
        <w:t>: האי מאן דנקיט תרי שטרי בני חמשין חמשין, ואמר: שוינהו ניהלי חד בר מאה - לא משוינן ליה, עבוד רבנן מילתא דניחא ליה למלוה וניחא ליה ללוה, ניחא ליה למלוה - כי היכי דלא ניפגום שטריה</w:t>
      </w:r>
      <w:r w:rsidRPr="001D49D4">
        <w:rPr>
          <w:rFonts w:ascii="Calibri" w:eastAsia="Calibri" w:hAnsi="Calibri" w:cs="Arial"/>
          <w:vertAlign w:val="superscript"/>
          <w:rtl/>
        </w:rPr>
        <w:footnoteReference w:id="4293"/>
      </w:r>
      <w:r w:rsidRPr="001D49D4">
        <w:rPr>
          <w:rFonts w:ascii="Calibri" w:eastAsia="Calibri" w:hAnsi="Calibri" w:cs="Arial"/>
          <w:rtl/>
        </w:rPr>
        <w:t xml:space="preserve">, וניחא ליה ללוה - כדי שלא יכוף לפורעו. </w:t>
      </w:r>
      <w:r w:rsidRPr="001D49D4">
        <w:rPr>
          <w:rFonts w:ascii="Calibri" w:eastAsia="Calibri" w:hAnsi="Calibri" w:cs="Arial"/>
          <w:u w:val="single"/>
          <w:rtl/>
        </w:rPr>
        <w:t>אמר רב אשי</w:t>
      </w:r>
      <w:r w:rsidRPr="001D49D4">
        <w:rPr>
          <w:rFonts w:ascii="Calibri" w:eastAsia="Calibri" w:hAnsi="Calibri" w:cs="Arial"/>
          <w:rtl/>
        </w:rPr>
        <w:t>: האי מאן דנקיט שטרא</w:t>
      </w:r>
      <w:r w:rsidRPr="001D49D4">
        <w:rPr>
          <w:rFonts w:ascii="Calibri" w:eastAsia="Calibri" w:hAnsi="Calibri" w:cs="Arial"/>
          <w:vertAlign w:val="superscript"/>
          <w:rtl/>
        </w:rPr>
        <w:footnoteReference w:id="4294"/>
      </w:r>
      <w:r w:rsidRPr="001D49D4">
        <w:rPr>
          <w:rFonts w:ascii="Calibri" w:eastAsia="Calibri" w:hAnsi="Calibri" w:cs="Arial"/>
          <w:rtl/>
        </w:rPr>
        <w:t xml:space="preserve"> בר מאה זוזי, ואמר: שוונהי ניהלי חד בר חמשין - לא משוינא ליה. מ"ט? אמרינן: האי מיפרע פרעיה, ואמר ליה: הב לי שטראי, ואמר ליה: אירכס לי, וכתיב ליה תברא, ומפיק ליה האי ואמר ליה: האי אחרינא הוא. </w:t>
      </w:r>
    </w:p>
    <w:p w14:paraId="0E04D25A" w14:textId="77777777" w:rsidR="001D49D4" w:rsidRPr="001D49D4" w:rsidRDefault="001D49D4" w:rsidP="0004348D">
      <w:pPr>
        <w:spacing w:before="360" w:after="240"/>
        <w:rPr>
          <w:rFonts w:ascii="Calibri" w:eastAsia="Calibri" w:hAnsi="Calibri" w:cs="Arial"/>
          <w:u w:val="single"/>
          <w:rtl/>
        </w:rPr>
      </w:pPr>
      <w:r w:rsidRPr="001D49D4">
        <w:rPr>
          <w:rFonts w:ascii="Calibri" w:eastAsia="Calibri" w:hAnsi="Calibri" w:cs="Arial"/>
          <w:u w:val="single"/>
          <w:rtl/>
        </w:rPr>
        <w:t>שינוי שטר:</w:t>
      </w:r>
    </w:p>
    <w:p w14:paraId="6A0679B8" w14:textId="77777777" w:rsidR="001D49D4" w:rsidRPr="001D49D4" w:rsidRDefault="001D49D4" w:rsidP="0004348D">
      <w:pPr>
        <w:numPr>
          <w:ilvl w:val="0"/>
          <w:numId w:val="297"/>
        </w:numPr>
        <w:spacing w:before="360" w:after="240"/>
        <w:contextualSpacing/>
        <w:rPr>
          <w:rtl/>
        </w:rPr>
      </w:pPr>
      <w:r w:rsidRPr="001D49D4">
        <w:rPr>
          <w:rtl/>
        </w:rPr>
        <w:t xml:space="preserve">טור- מי שיש לו על חבירו שטר של מנה, ואמר לב"ד שיעשו לו שנים של נ' נ', או שיש לו שנים של נ' נ', וא"ל שיעשו לו אחד של מאה - אין שומעין לו. ואפילו יש לו אחד של מאה ואומר שיקרעוהו ויעשו לו אחד של נ' - אין שומעין לו, דשמא פרע לו אותו של ק' וכתב לו עליו שובר ויוציא זה של נ' שעשו לו ויגבה בו. </w:t>
      </w:r>
      <w:r w:rsidRPr="001D49D4">
        <w:rPr>
          <w:color w:val="E36C0A" w:themeColor="accent6" w:themeShade="BF"/>
          <w:rtl/>
        </w:rPr>
        <w:t>(וכ"פ בשו"ע)</w:t>
      </w:r>
    </w:p>
    <w:p w14:paraId="15787C6F" w14:textId="77777777" w:rsidR="001D49D4" w:rsidRPr="001D49D4" w:rsidRDefault="001D49D4" w:rsidP="0004348D">
      <w:pPr>
        <w:spacing w:before="360" w:after="240"/>
        <w:ind w:left="360"/>
        <w:rPr>
          <w:rFonts w:ascii="Calibri" w:eastAsia="Calibri" w:hAnsi="Calibri" w:cs="Arial"/>
          <w:u w:val="dotted"/>
        </w:rPr>
      </w:pPr>
      <w:r w:rsidRPr="001D49D4">
        <w:rPr>
          <w:rFonts w:ascii="Calibri" w:eastAsia="Calibri" w:hAnsi="Calibri" w:cs="Arial"/>
          <w:u w:val="dotted"/>
          <w:rtl/>
        </w:rPr>
        <w:t>ומה הדין אם השינוי מדעת שניהם:</w:t>
      </w:r>
    </w:p>
    <w:p w14:paraId="4A4A7A14" w14:textId="77777777" w:rsidR="001D49D4" w:rsidRPr="001D49D4" w:rsidRDefault="001D49D4" w:rsidP="0004348D">
      <w:pPr>
        <w:numPr>
          <w:ilvl w:val="0"/>
          <w:numId w:val="297"/>
        </w:numPr>
        <w:spacing w:before="360" w:after="240"/>
        <w:contextualSpacing/>
      </w:pPr>
      <w:r w:rsidRPr="001D49D4">
        <w:rPr>
          <w:rtl/>
        </w:rPr>
        <w:t xml:space="preserve">רי"ו </w:t>
      </w:r>
      <w:r w:rsidRPr="001D49D4">
        <w:rPr>
          <w:sz w:val="16"/>
          <w:szCs w:val="16"/>
          <w:rtl/>
        </w:rPr>
        <w:t>(מישרים נ"ד ח"א יט ע"ג)</w:t>
      </w:r>
      <w:r w:rsidRPr="001D49D4">
        <w:rPr>
          <w:rtl/>
        </w:rPr>
        <w:t>- אם הוא מדעת שניהם כותבין</w:t>
      </w:r>
      <w:r w:rsidRPr="001D49D4">
        <w:rPr>
          <w:vertAlign w:val="superscript"/>
          <w:rtl/>
        </w:rPr>
        <w:footnoteReference w:id="4295"/>
      </w:r>
      <w:r w:rsidRPr="001D49D4">
        <w:rPr>
          <w:rtl/>
        </w:rPr>
        <w:t>.</w:t>
      </w:r>
      <w:r w:rsidRPr="001D49D4">
        <w:rPr>
          <w:color w:val="00B0F0"/>
          <w:rtl/>
        </w:rPr>
        <w:t xml:space="preserve"> (וכ"פ הרמ"א)</w:t>
      </w:r>
    </w:p>
    <w:p w14:paraId="263A1D3F" w14:textId="77777777" w:rsidR="001D49D4" w:rsidRPr="001D49D4" w:rsidRDefault="001D49D4" w:rsidP="0004348D">
      <w:pPr>
        <w:spacing w:before="360" w:after="240"/>
        <w:rPr>
          <w:rFonts w:ascii="Arial" w:eastAsia="Calibri" w:hAnsi="Arial" w:cs="Arial"/>
          <w:b/>
          <w:bCs/>
          <w:color w:val="000000"/>
          <w:sz w:val="28"/>
          <w:szCs w:val="28"/>
          <w:u w:val="single"/>
          <w:rtl/>
        </w:rPr>
      </w:pPr>
      <w:r w:rsidRPr="001D49D4">
        <w:rPr>
          <w:rFonts w:ascii="Arial" w:eastAsia="Calibri" w:hAnsi="Arial" w:cs="Arial"/>
          <w:b/>
          <w:bCs/>
          <w:color w:val="000000"/>
          <w:sz w:val="28"/>
          <w:szCs w:val="28"/>
          <w:u w:val="single"/>
          <w:rtl/>
        </w:rPr>
        <w:t>שו"ע:</w:t>
      </w:r>
    </w:p>
    <w:p w14:paraId="1E80B468"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rtl/>
        </w:rPr>
        <w:t xml:space="preserve">מי שיש לו שטר על חבירו במנה, ואמר עשו לי שנים מחמשים חמשים, או שיש לו שנים של חמשים חמשים, ואמר שיעשו לו אחד של מאה, אין שומעין לו. </w:t>
      </w:r>
      <w:r w:rsidRPr="001D49D4">
        <w:rPr>
          <w:rFonts w:ascii="Calibri" w:eastAsia="Calibri" w:hAnsi="Calibri" w:cs="Arial"/>
          <w:sz w:val="18"/>
          <w:szCs w:val="18"/>
          <w:rtl/>
        </w:rPr>
        <w:t>הגה: ואפילו ידעינן שאין השטר הראשון פרוע, אסור לשנות אלא מרצון הלוה (הה"מ פכ"ג מהל' מלוה ורי"ו).</w:t>
      </w:r>
      <w:r w:rsidRPr="001D49D4">
        <w:rPr>
          <w:rFonts w:ascii="Calibri" w:eastAsia="Calibri" w:hAnsi="Calibri" w:cs="Arial"/>
          <w:rtl/>
        </w:rPr>
        <w:t xml:space="preserve"> ואפילו יש לו אחד של מאה, ואומר שיקרעוהו ויעשה לו אחד של חמשים, אין שומעין לו, שמא פרע לו אותו של מאה וכתב לו עליו שובר, ויוציא זה של חמשים ויאמר זה שטר אחר הוא, ויגבה בו</w:t>
      </w:r>
      <w:r w:rsidRPr="001D49D4">
        <w:rPr>
          <w:rFonts w:ascii="Calibri" w:eastAsia="Calibri" w:hAnsi="Calibri" w:cs="Arial"/>
          <w:vertAlign w:val="superscript"/>
          <w:rtl/>
        </w:rPr>
        <w:footnoteReference w:id="4296"/>
      </w:r>
      <w:r w:rsidRPr="001D49D4">
        <w:rPr>
          <w:rFonts w:ascii="Calibri" w:eastAsia="Calibri" w:hAnsi="Calibri" w:cs="Arial"/>
          <w:rtl/>
        </w:rPr>
        <w:t>.</w:t>
      </w:r>
    </w:p>
    <w:p w14:paraId="4A95CE4D" w14:textId="77777777" w:rsidR="001D49D4" w:rsidRPr="001D49D4" w:rsidRDefault="001D49D4" w:rsidP="0004348D">
      <w:pPr>
        <w:bidi w:val="0"/>
        <w:spacing w:before="360" w:after="240"/>
        <w:rPr>
          <w:rFonts w:ascii="Cambria" w:eastAsia="Times New Roman" w:hAnsi="Cambria" w:cs="Arial"/>
          <w:b/>
          <w:bCs/>
          <w:color w:val="365F91" w:themeColor="accent1" w:themeShade="BF"/>
          <w:sz w:val="28"/>
          <w:szCs w:val="28"/>
          <w:rtl/>
        </w:rPr>
        <w:sectPr w:rsidR="001D49D4" w:rsidRPr="001D49D4">
          <w:headerReference w:type="default" r:id="rId62"/>
          <w:footnotePr>
            <w:numRestart w:val="eachPage"/>
          </w:footnotePr>
          <w:pgSz w:w="11906" w:h="16838"/>
          <w:pgMar w:top="720" w:right="1134" w:bottom="720" w:left="1134" w:header="0" w:footer="0" w:gutter="0"/>
          <w:cols w:space="720"/>
          <w:bidi/>
          <w:rtlGutter/>
        </w:sectPr>
      </w:pPr>
    </w:p>
    <w:p w14:paraId="7018359D" w14:textId="77777777" w:rsidR="001D49D4" w:rsidRPr="001D49D4" w:rsidRDefault="001D49D4" w:rsidP="0004348D">
      <w:pPr>
        <w:keepNext/>
        <w:keepLines/>
        <w:spacing w:before="360" w:after="240"/>
        <w:outlineLvl w:val="0"/>
        <w:rPr>
          <w:rFonts w:ascii="Cambria" w:eastAsia="Times New Roman" w:hAnsi="Cambria" w:cs="Arial"/>
          <w:b/>
          <w:bCs/>
          <w:color w:val="365F91" w:themeColor="accent1" w:themeShade="BF"/>
          <w:sz w:val="28"/>
          <w:szCs w:val="28"/>
          <w:rtl/>
        </w:rPr>
      </w:pPr>
      <w:bookmarkStart w:id="577" w:name="_Toc24884004"/>
      <w:r w:rsidRPr="001D49D4">
        <w:rPr>
          <w:rFonts w:ascii="Cambria" w:eastAsia="Times New Roman" w:hAnsi="Cambria" w:cs="Arial"/>
          <w:b/>
          <w:bCs/>
          <w:color w:val="365F91" w:themeColor="accent1" w:themeShade="BF"/>
          <w:sz w:val="28"/>
          <w:szCs w:val="28"/>
          <w:rtl/>
        </w:rPr>
        <w:t>סימן נד: דין אסמכתא, ואם כותבים שובר, וכיצד כותבים אותו (ודין פרעון ע"י שובר), ובו ה' סעיפים.</w:t>
      </w:r>
      <w:bookmarkEnd w:id="577"/>
      <w:r w:rsidRPr="001D49D4">
        <w:rPr>
          <w:rFonts w:ascii="Cambria" w:eastAsia="Times New Roman" w:hAnsi="Cambria" w:cs="Arial"/>
          <w:b/>
          <w:bCs/>
          <w:color w:val="365F91" w:themeColor="accent1" w:themeShade="BF"/>
          <w:sz w:val="28"/>
          <w:szCs w:val="28"/>
          <w:rtl/>
        </w:rPr>
        <w:t xml:space="preserve"> </w:t>
      </w:r>
    </w:p>
    <w:p w14:paraId="6BCDB979" w14:textId="77777777" w:rsidR="001D49D4" w:rsidRPr="001D49D4" w:rsidRDefault="001D49D4" w:rsidP="0004348D">
      <w:pPr>
        <w:keepNext/>
        <w:keepLines/>
        <w:spacing w:before="360" w:after="240"/>
        <w:outlineLvl w:val="1"/>
        <w:rPr>
          <w:rFonts w:ascii="Cambria" w:eastAsia="Times New Roman" w:hAnsi="Cambria" w:cs="Arial"/>
          <w:bCs/>
          <w:color w:val="548DD4" w:themeColor="text2" w:themeTint="99"/>
          <w:sz w:val="26"/>
          <w:szCs w:val="26"/>
          <w:rtl/>
        </w:rPr>
      </w:pPr>
      <w:bookmarkStart w:id="578" w:name="_Toc24884005"/>
      <w:r w:rsidRPr="001D49D4">
        <w:rPr>
          <w:rFonts w:ascii="Cambria" w:eastAsia="Times New Roman" w:hAnsi="Cambria" w:cs="Arial"/>
          <w:bCs/>
          <w:color w:val="548DD4" w:themeColor="text2" w:themeTint="99"/>
          <w:sz w:val="26"/>
          <w:szCs w:val="26"/>
          <w:rtl/>
        </w:rPr>
        <w:t>סעיף א: לוה שפרע מקצת חובו.</w:t>
      </w:r>
      <w:bookmarkEnd w:id="578"/>
    </w:p>
    <w:p w14:paraId="4E515775"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b/>
          <w:bCs/>
          <w:rtl/>
        </w:rPr>
        <w:t xml:space="preserve">בבא בתרא </w:t>
      </w:r>
      <w:r w:rsidRPr="001D49D4">
        <w:rPr>
          <w:rFonts w:ascii="Calibri" w:eastAsia="Calibri" w:hAnsi="Calibri" w:cs="Arial"/>
          <w:b/>
          <w:bCs/>
          <w:sz w:val="16"/>
          <w:szCs w:val="16"/>
          <w:rtl/>
        </w:rPr>
        <w:t>(פרק גט פשוט)</w:t>
      </w:r>
      <w:r w:rsidRPr="001D49D4">
        <w:rPr>
          <w:rFonts w:ascii="Calibri" w:eastAsia="Calibri" w:hAnsi="Calibri" w:cs="Arial"/>
          <w:b/>
          <w:bCs/>
          <w:rtl/>
        </w:rPr>
        <w:t xml:space="preserve"> קע</w:t>
      </w:r>
      <w:r w:rsidRPr="001D49D4">
        <w:rPr>
          <w:rFonts w:ascii="Calibri" w:eastAsia="Calibri" w:hAnsi="Calibri" w:cs="Arial"/>
          <w:b/>
          <w:bCs/>
          <w:vertAlign w:val="superscript"/>
          <w:rtl/>
        </w:rPr>
        <w:footnoteReference w:id="4297"/>
      </w:r>
      <w:r w:rsidRPr="001D49D4">
        <w:rPr>
          <w:rFonts w:ascii="Calibri" w:eastAsia="Calibri" w:hAnsi="Calibri" w:cs="Arial"/>
          <w:b/>
          <w:bCs/>
          <w:rtl/>
        </w:rPr>
        <w:t xml:space="preserve"> ע"ב:</w:t>
      </w:r>
      <w:r w:rsidRPr="001D49D4">
        <w:rPr>
          <w:rFonts w:ascii="Calibri" w:eastAsia="Calibri" w:hAnsi="Calibri" w:cs="Arial"/>
          <w:rtl/>
        </w:rPr>
        <w:t xml:space="preserve"> </w:t>
      </w:r>
      <w:r w:rsidRPr="001D49D4">
        <w:rPr>
          <w:rFonts w:ascii="Calibri" w:eastAsia="Calibri" w:hAnsi="Calibri" w:cs="Arial"/>
          <w:u w:val="double"/>
          <w:rtl/>
        </w:rPr>
        <w:t>מתני'</w:t>
      </w:r>
      <w:r w:rsidRPr="001D49D4">
        <w:rPr>
          <w:rFonts w:ascii="Calibri" w:eastAsia="Calibri" w:hAnsi="Calibri" w:cs="Arial"/>
          <w:rtl/>
        </w:rPr>
        <w:t xml:space="preserve">: מי שפרע מקצת חובו, </w:t>
      </w:r>
      <w:r w:rsidRPr="001D49D4">
        <w:rPr>
          <w:rFonts w:ascii="Calibri" w:eastAsia="Calibri" w:hAnsi="Calibri" w:cs="Arial"/>
          <w:u w:val="single"/>
          <w:rtl/>
        </w:rPr>
        <w:t>ר' יהודה אומר</w:t>
      </w:r>
      <w:r w:rsidRPr="001D49D4">
        <w:rPr>
          <w:rFonts w:ascii="Calibri" w:eastAsia="Calibri" w:hAnsi="Calibri" w:cs="Arial"/>
          <w:rtl/>
        </w:rPr>
        <w:t xml:space="preserve">: יחליף. </w:t>
      </w:r>
      <w:r w:rsidRPr="001D49D4">
        <w:rPr>
          <w:rFonts w:ascii="Calibri" w:eastAsia="Calibri" w:hAnsi="Calibri" w:cs="Arial"/>
          <w:u w:val="single"/>
          <w:rtl/>
        </w:rPr>
        <w:t>רבי יוסי אומר</w:t>
      </w:r>
      <w:r w:rsidRPr="001D49D4">
        <w:rPr>
          <w:rFonts w:ascii="Calibri" w:eastAsia="Calibri" w:hAnsi="Calibri" w:cs="Arial"/>
          <w:rtl/>
        </w:rPr>
        <w:t xml:space="preserve">: יכתוב שובר. </w:t>
      </w:r>
      <w:r w:rsidRPr="001D49D4">
        <w:rPr>
          <w:rFonts w:ascii="Calibri" w:eastAsia="Calibri" w:hAnsi="Calibri" w:cs="Arial"/>
          <w:u w:val="single"/>
          <w:rtl/>
        </w:rPr>
        <w:t>אמר רבי יהודה</w:t>
      </w:r>
      <w:r w:rsidRPr="001D49D4">
        <w:rPr>
          <w:rFonts w:ascii="Calibri" w:eastAsia="Calibri" w:hAnsi="Calibri" w:cs="Arial"/>
          <w:rtl/>
        </w:rPr>
        <w:t xml:space="preserve">: נמצא זה צריך להיות שומר שוברו מן העכברים! </w:t>
      </w:r>
      <w:r w:rsidRPr="001D49D4">
        <w:rPr>
          <w:rFonts w:ascii="Calibri" w:eastAsia="Calibri" w:hAnsi="Calibri" w:cs="Arial"/>
          <w:u w:val="single"/>
          <w:rtl/>
        </w:rPr>
        <w:t>אמר לו רבי יוסי</w:t>
      </w:r>
      <w:r w:rsidRPr="001D49D4">
        <w:rPr>
          <w:rFonts w:ascii="Calibri" w:eastAsia="Calibri" w:hAnsi="Calibri" w:cs="Arial"/>
          <w:rtl/>
        </w:rPr>
        <w:t xml:space="preserve">: כך יפה לו, ולא ירע כחו של זה.  </w:t>
      </w:r>
      <w:r w:rsidRPr="001D49D4">
        <w:rPr>
          <w:rFonts w:ascii="Calibri" w:eastAsia="Calibri" w:hAnsi="Calibri" w:cs="Arial"/>
          <w:u w:val="double"/>
          <w:rtl/>
        </w:rPr>
        <w:t>גמ'</w:t>
      </w:r>
      <w:r w:rsidRPr="001D49D4">
        <w:rPr>
          <w:rFonts w:ascii="Calibri" w:eastAsia="Calibri" w:hAnsi="Calibri" w:cs="Arial"/>
          <w:rtl/>
        </w:rPr>
        <w:t xml:space="preserve">: </w:t>
      </w:r>
      <w:r w:rsidRPr="001D49D4">
        <w:rPr>
          <w:rFonts w:ascii="Calibri" w:eastAsia="Calibri" w:hAnsi="Calibri" w:cs="Arial"/>
          <w:u w:val="single"/>
          <w:rtl/>
        </w:rPr>
        <w:t>אמר רב הונא אמר רב</w:t>
      </w:r>
      <w:r w:rsidRPr="001D49D4">
        <w:rPr>
          <w:rFonts w:ascii="Calibri" w:eastAsia="Calibri" w:hAnsi="Calibri" w:cs="Arial"/>
          <w:rtl/>
        </w:rPr>
        <w:t>: אין הלכה לא כרבי יהודה ולא כרבי יוסי, אלא ב"ד מקרעין השטר וכותבין לו שטר אחר מזמן ראשון</w:t>
      </w:r>
      <w:r w:rsidRPr="001D49D4">
        <w:rPr>
          <w:rFonts w:ascii="Calibri" w:eastAsia="Calibri" w:hAnsi="Calibri" w:cs="Arial"/>
          <w:vertAlign w:val="superscript"/>
          <w:rtl/>
        </w:rPr>
        <w:footnoteReference w:id="4298"/>
      </w:r>
      <w:r w:rsidRPr="001D49D4">
        <w:rPr>
          <w:rFonts w:ascii="Calibri" w:eastAsia="Calibri" w:hAnsi="Calibri" w:cs="Arial"/>
          <w:rtl/>
        </w:rPr>
        <w:t xml:space="preserve">... </w:t>
      </w:r>
      <w:r w:rsidRPr="001D49D4">
        <w:rPr>
          <w:rFonts w:ascii="Calibri" w:eastAsia="Calibri" w:hAnsi="Calibri" w:cs="Arial"/>
          <w:sz w:val="14"/>
          <w:szCs w:val="14"/>
          <w:rtl/>
        </w:rPr>
        <w:t>(קעא.)</w:t>
      </w:r>
      <w:r w:rsidRPr="001D49D4">
        <w:rPr>
          <w:rFonts w:ascii="Calibri" w:eastAsia="Calibri" w:hAnsi="Calibri" w:cs="Arial"/>
          <w:rtl/>
        </w:rPr>
        <w:t xml:space="preserve"> בשלמא בי דינא</w:t>
      </w:r>
      <w:r w:rsidRPr="001D49D4">
        <w:rPr>
          <w:rFonts w:ascii="Calibri" w:eastAsia="Calibri" w:hAnsi="Calibri" w:cs="Arial"/>
          <w:vertAlign w:val="superscript"/>
          <w:rtl/>
        </w:rPr>
        <w:footnoteReference w:id="4299"/>
      </w:r>
      <w:r w:rsidRPr="001D49D4">
        <w:rPr>
          <w:rFonts w:ascii="Calibri" w:eastAsia="Calibri" w:hAnsi="Calibri" w:cs="Arial"/>
          <w:rtl/>
        </w:rPr>
        <w:t xml:space="preserve"> - אלימי לאפקועי ממונא, אלא עדים שעשו שליחותן</w:t>
      </w:r>
      <w:r w:rsidRPr="001D49D4">
        <w:rPr>
          <w:rFonts w:ascii="Calibri" w:eastAsia="Calibri" w:hAnsi="Calibri" w:cs="Arial"/>
          <w:vertAlign w:val="superscript"/>
          <w:rtl/>
        </w:rPr>
        <w:footnoteReference w:id="4300"/>
      </w:r>
      <w:r w:rsidRPr="001D49D4">
        <w:rPr>
          <w:rFonts w:ascii="Calibri" w:eastAsia="Calibri" w:hAnsi="Calibri" w:cs="Arial"/>
          <w:rtl/>
        </w:rPr>
        <w:t xml:space="preserve"> חוזרין ועושין שליחותן? ולא? </w:t>
      </w:r>
      <w:r w:rsidRPr="001D49D4">
        <w:rPr>
          <w:rFonts w:ascii="Calibri" w:eastAsia="Calibri" w:hAnsi="Calibri" w:cs="Arial"/>
          <w:u w:val="single"/>
          <w:rtl/>
        </w:rPr>
        <w:t>והא אמר רב יהודה אמר רב</w:t>
      </w:r>
      <w:r w:rsidRPr="001D49D4">
        <w:rPr>
          <w:rFonts w:ascii="Calibri" w:eastAsia="Calibri" w:hAnsi="Calibri" w:cs="Arial"/>
          <w:rtl/>
        </w:rPr>
        <w:t xml:space="preserve">: עדים כותבין אפילו עשרה שטרות על שדה אחת! </w:t>
      </w:r>
      <w:r w:rsidRPr="001D49D4">
        <w:rPr>
          <w:rFonts w:ascii="Calibri" w:eastAsia="Calibri" w:hAnsi="Calibri" w:cs="Arial"/>
          <w:u w:val="single"/>
          <w:rtl/>
        </w:rPr>
        <w:t>רב יוסף אמר</w:t>
      </w:r>
      <w:r w:rsidRPr="001D49D4">
        <w:rPr>
          <w:rFonts w:ascii="Calibri" w:eastAsia="Calibri" w:hAnsi="Calibri" w:cs="Arial"/>
          <w:rtl/>
        </w:rPr>
        <w:t xml:space="preserve">: בשטר מתנה, </w:t>
      </w:r>
      <w:r w:rsidRPr="001D49D4">
        <w:rPr>
          <w:rFonts w:ascii="Calibri" w:eastAsia="Calibri" w:hAnsi="Calibri" w:cs="Arial"/>
          <w:u w:val="single"/>
          <w:rtl/>
        </w:rPr>
        <w:t>ורבה אמר</w:t>
      </w:r>
      <w:r w:rsidRPr="001D49D4">
        <w:rPr>
          <w:rFonts w:ascii="Calibri" w:eastAsia="Calibri" w:hAnsi="Calibri" w:cs="Arial"/>
          <w:rtl/>
        </w:rPr>
        <w:t>: בשטר שאין בו אחריות.</w:t>
      </w:r>
    </w:p>
    <w:p w14:paraId="21951120" w14:textId="77777777" w:rsidR="001D49D4" w:rsidRPr="001D49D4" w:rsidRDefault="001D49D4" w:rsidP="0004348D">
      <w:pPr>
        <w:spacing w:before="360" w:after="240"/>
        <w:rPr>
          <w:rFonts w:ascii="Calibri" w:eastAsia="Calibri" w:hAnsi="Calibri" w:cs="Arial"/>
          <w:u w:val="single"/>
          <w:rtl/>
        </w:rPr>
      </w:pPr>
      <w:r w:rsidRPr="001D49D4">
        <w:rPr>
          <w:rFonts w:ascii="Calibri" w:eastAsia="Calibri" w:hAnsi="Calibri" w:cs="Arial"/>
          <w:u w:val="single"/>
          <w:rtl/>
        </w:rPr>
        <w:t>לוה שפרע מקצת חובו – האם המלוה יכול לעשות שטר חדש על הסכום שנשאר:</w:t>
      </w:r>
    </w:p>
    <w:p w14:paraId="6EBEC87F" w14:textId="77777777" w:rsidR="001D49D4" w:rsidRPr="001D49D4" w:rsidRDefault="001D49D4" w:rsidP="0004348D">
      <w:pPr>
        <w:numPr>
          <w:ilvl w:val="0"/>
          <w:numId w:val="297"/>
        </w:numPr>
        <w:spacing w:before="360" w:after="240"/>
        <w:contextualSpacing/>
        <w:rPr>
          <w:rtl/>
        </w:rPr>
      </w:pPr>
      <w:r w:rsidRPr="001D49D4">
        <w:rPr>
          <w:rtl/>
        </w:rPr>
        <w:t>טור- מי שפרע מקצת חובו, אם רצה המלוה - ב"ד יעשו לו שטר ממה שנשאר חייב לו ויכתבוהו מזמן ראשון, אבל עדי השטר אינם יכולים לעשות לו שטר מזמן הראשון. רצה - יכתוב לו שובר</w:t>
      </w:r>
      <w:r w:rsidRPr="001D49D4">
        <w:rPr>
          <w:vertAlign w:val="superscript"/>
          <w:rtl/>
        </w:rPr>
        <w:footnoteReference w:id="4301"/>
      </w:r>
      <w:r w:rsidRPr="001D49D4">
        <w:rPr>
          <w:rtl/>
        </w:rPr>
        <w:t xml:space="preserve"> וישאר שטרו שלם כמו שהיה. </w:t>
      </w:r>
      <w:r w:rsidRPr="001D49D4">
        <w:rPr>
          <w:color w:val="E36C0A" w:themeColor="accent6" w:themeShade="BF"/>
          <w:rtl/>
        </w:rPr>
        <w:t>(וכ"פ בשו"ע)</w:t>
      </w:r>
      <w:r w:rsidRPr="001D49D4">
        <w:rPr>
          <w:rtl/>
        </w:rPr>
        <w:t xml:space="preserve"> </w:t>
      </w:r>
    </w:p>
    <w:p w14:paraId="281EA21B" w14:textId="77777777" w:rsidR="001D49D4" w:rsidRPr="001D49D4" w:rsidRDefault="001D49D4" w:rsidP="0004348D">
      <w:pPr>
        <w:spacing w:before="360" w:after="240"/>
        <w:rPr>
          <w:rFonts w:ascii="Arial" w:eastAsia="Calibri" w:hAnsi="Arial" w:cs="Arial"/>
          <w:b/>
          <w:bCs/>
          <w:color w:val="000000"/>
          <w:sz w:val="28"/>
          <w:szCs w:val="28"/>
          <w:u w:val="single"/>
        </w:rPr>
      </w:pPr>
      <w:r w:rsidRPr="001D49D4">
        <w:rPr>
          <w:rFonts w:ascii="Arial" w:eastAsia="Calibri" w:hAnsi="Arial" w:cs="Arial"/>
          <w:b/>
          <w:bCs/>
          <w:color w:val="000000"/>
          <w:sz w:val="28"/>
          <w:szCs w:val="28"/>
          <w:u w:val="single"/>
          <w:rtl/>
        </w:rPr>
        <w:t>שו"ע:</w:t>
      </w:r>
    </w:p>
    <w:p w14:paraId="3A3DA3ED"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rtl/>
        </w:rPr>
        <w:t>מי שפרע מקצת חובו, אם רצה המלוה בית דין יעשו לו שטר ממה שנשאר חייב לו ויכתבוהו מזמן ראשון, אבל לא עידי השטר</w:t>
      </w:r>
      <w:r w:rsidRPr="001D49D4">
        <w:rPr>
          <w:rFonts w:ascii="Calibri" w:eastAsia="Calibri" w:hAnsi="Calibri" w:cs="Arial"/>
          <w:vertAlign w:val="superscript"/>
          <w:rtl/>
        </w:rPr>
        <w:footnoteReference w:id="4302"/>
      </w:r>
      <w:r w:rsidRPr="001D49D4">
        <w:rPr>
          <w:rFonts w:ascii="Calibri" w:eastAsia="Calibri" w:hAnsi="Calibri" w:cs="Arial"/>
          <w:rtl/>
        </w:rPr>
        <w:t xml:space="preserve">. </w:t>
      </w:r>
      <w:r w:rsidRPr="001D49D4">
        <w:rPr>
          <w:rFonts w:ascii="Calibri" w:eastAsia="Calibri" w:hAnsi="Calibri" w:cs="Arial"/>
          <w:sz w:val="18"/>
          <w:szCs w:val="18"/>
          <w:rtl/>
        </w:rPr>
        <w:t>הגה: אע"פ שהוא מרצון הלוה</w:t>
      </w:r>
      <w:r w:rsidRPr="001D49D4">
        <w:rPr>
          <w:rFonts w:ascii="Calibri" w:eastAsia="Calibri" w:hAnsi="Calibri" w:cs="Arial"/>
          <w:sz w:val="16"/>
          <w:szCs w:val="16"/>
          <w:rtl/>
        </w:rPr>
        <w:t xml:space="preserve"> (הג"א)</w:t>
      </w:r>
      <w:r w:rsidRPr="001D49D4">
        <w:rPr>
          <w:rFonts w:ascii="Calibri" w:eastAsia="Calibri" w:hAnsi="Calibri" w:cs="Arial"/>
          <w:sz w:val="18"/>
          <w:szCs w:val="18"/>
          <w:rtl/>
        </w:rPr>
        <w:t xml:space="preserve">. אבל מזמן הפרעון ואילך יכולים עדים לעשות לו שטר אחר אם הוא מרצון הלוה </w:t>
      </w:r>
      <w:r w:rsidRPr="001D49D4">
        <w:rPr>
          <w:rFonts w:ascii="Calibri" w:eastAsia="Calibri" w:hAnsi="Calibri" w:cs="Arial"/>
          <w:sz w:val="16"/>
          <w:szCs w:val="16"/>
          <w:rtl/>
        </w:rPr>
        <w:t>(הג"א)</w:t>
      </w:r>
      <w:r w:rsidRPr="001D49D4">
        <w:rPr>
          <w:rFonts w:ascii="Calibri" w:eastAsia="Calibri" w:hAnsi="Calibri" w:cs="Arial"/>
          <w:sz w:val="18"/>
          <w:szCs w:val="18"/>
          <w:rtl/>
        </w:rPr>
        <w:t xml:space="preserve">. </w:t>
      </w:r>
      <w:r w:rsidRPr="001D49D4">
        <w:rPr>
          <w:rFonts w:ascii="Calibri" w:eastAsia="Calibri" w:hAnsi="Calibri" w:cs="Arial"/>
          <w:rtl/>
        </w:rPr>
        <w:t>ואם רצה יכתוב שובר</w:t>
      </w:r>
      <w:r w:rsidRPr="001D49D4">
        <w:rPr>
          <w:rFonts w:ascii="Calibri" w:eastAsia="Calibri" w:hAnsi="Calibri" w:cs="Arial"/>
          <w:vertAlign w:val="superscript"/>
          <w:rtl/>
        </w:rPr>
        <w:footnoteReference w:id="4303"/>
      </w:r>
      <w:r w:rsidRPr="001D49D4">
        <w:rPr>
          <w:rFonts w:ascii="Calibri" w:eastAsia="Calibri" w:hAnsi="Calibri" w:cs="Arial"/>
          <w:rtl/>
        </w:rPr>
        <w:t>.</w:t>
      </w:r>
      <w:r w:rsidRPr="001D49D4">
        <w:rPr>
          <w:rFonts w:ascii="Calibri" w:eastAsia="Calibri" w:hAnsi="Calibri" w:cs="Arial"/>
          <w:sz w:val="18"/>
          <w:szCs w:val="18"/>
          <w:rtl/>
        </w:rPr>
        <w:t xml:space="preserve"> [הגה] המלוה יתן שכר הסופר לכתוב השובר</w:t>
      </w:r>
      <w:r w:rsidRPr="001D49D4">
        <w:rPr>
          <w:rFonts w:ascii="Calibri" w:eastAsia="Calibri" w:hAnsi="Calibri" w:cs="Arial"/>
          <w:sz w:val="18"/>
          <w:szCs w:val="18"/>
          <w:vertAlign w:val="superscript"/>
          <w:rtl/>
        </w:rPr>
        <w:footnoteReference w:id="4304"/>
      </w:r>
      <w:r w:rsidRPr="001D49D4">
        <w:rPr>
          <w:rFonts w:ascii="Calibri" w:eastAsia="Calibri" w:hAnsi="Calibri" w:cs="Arial"/>
          <w:sz w:val="18"/>
          <w:szCs w:val="18"/>
          <w:rtl/>
        </w:rPr>
        <w:t xml:space="preserve">. ואם אין שטר למלוה, והלוה מבקש ממנו שובר, הוא יתן השכר </w:t>
      </w:r>
      <w:r w:rsidRPr="001D49D4">
        <w:rPr>
          <w:rFonts w:ascii="Calibri" w:eastAsia="Calibri" w:hAnsi="Calibri" w:cs="Arial"/>
          <w:sz w:val="16"/>
          <w:szCs w:val="16"/>
          <w:rtl/>
        </w:rPr>
        <w:t>(נמוק"י)</w:t>
      </w:r>
      <w:r w:rsidRPr="001D49D4">
        <w:rPr>
          <w:rFonts w:ascii="Calibri" w:eastAsia="Calibri" w:hAnsi="Calibri" w:cs="Arial"/>
          <w:sz w:val="18"/>
          <w:szCs w:val="18"/>
          <w:rtl/>
        </w:rPr>
        <w:t>.</w:t>
      </w:r>
      <w:r w:rsidRPr="001D49D4">
        <w:rPr>
          <w:rFonts w:ascii="Calibri" w:eastAsia="Calibri" w:hAnsi="Calibri" w:cs="Arial"/>
          <w:rtl/>
        </w:rPr>
        <w:t xml:space="preserve"> </w:t>
      </w:r>
    </w:p>
    <w:p w14:paraId="69C684D3" w14:textId="77777777" w:rsidR="001D49D4" w:rsidRPr="001D49D4" w:rsidRDefault="001D49D4" w:rsidP="0004348D">
      <w:pPr>
        <w:spacing w:before="360" w:after="240"/>
        <w:rPr>
          <w:rFonts w:ascii="Calibri" w:eastAsia="Calibri" w:hAnsi="Calibri" w:cs="Arial"/>
          <w:rtl/>
        </w:rPr>
      </w:pPr>
    </w:p>
    <w:p w14:paraId="7FE288A9" w14:textId="77777777" w:rsidR="001D49D4" w:rsidRPr="001D49D4" w:rsidRDefault="001D49D4" w:rsidP="0004348D">
      <w:pPr>
        <w:keepNext/>
        <w:keepLines/>
        <w:spacing w:before="360" w:after="240"/>
        <w:outlineLvl w:val="1"/>
        <w:rPr>
          <w:rFonts w:ascii="Cambria" w:eastAsia="Times New Roman" w:hAnsi="Cambria" w:cs="Arial"/>
          <w:bCs/>
          <w:color w:val="548DD4" w:themeColor="text2" w:themeTint="99"/>
          <w:sz w:val="26"/>
          <w:szCs w:val="26"/>
          <w:rtl/>
        </w:rPr>
      </w:pPr>
      <w:bookmarkStart w:id="579" w:name="_Toc24884006"/>
      <w:r w:rsidRPr="001D49D4">
        <w:rPr>
          <w:rFonts w:ascii="Cambria" w:eastAsia="Times New Roman" w:hAnsi="Cambria" w:cs="Arial"/>
          <w:bCs/>
          <w:color w:val="548DD4" w:themeColor="text2" w:themeTint="99"/>
          <w:sz w:val="26"/>
          <w:szCs w:val="26"/>
          <w:rtl/>
        </w:rPr>
        <w:t>סעיף ב: לוה שפרע חובו והמלוה איבד שטרו.</w:t>
      </w:r>
      <w:bookmarkEnd w:id="579"/>
    </w:p>
    <w:p w14:paraId="30A1BED2"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b/>
          <w:bCs/>
          <w:rtl/>
        </w:rPr>
        <w:t xml:space="preserve">בבא בתרא </w:t>
      </w:r>
      <w:r w:rsidRPr="001D49D4">
        <w:rPr>
          <w:rFonts w:ascii="Calibri" w:eastAsia="Calibri" w:hAnsi="Calibri" w:cs="Arial"/>
          <w:b/>
          <w:bCs/>
          <w:sz w:val="16"/>
          <w:szCs w:val="16"/>
          <w:rtl/>
        </w:rPr>
        <w:t>(פרק גט פשוט)</w:t>
      </w:r>
      <w:r w:rsidRPr="001D49D4">
        <w:rPr>
          <w:rFonts w:ascii="Calibri" w:eastAsia="Calibri" w:hAnsi="Calibri" w:cs="Arial"/>
          <w:b/>
          <w:bCs/>
          <w:rtl/>
        </w:rPr>
        <w:t xml:space="preserve"> קעא</w:t>
      </w:r>
      <w:r w:rsidRPr="001D49D4">
        <w:rPr>
          <w:rFonts w:ascii="Calibri" w:eastAsia="Calibri" w:hAnsi="Calibri" w:cs="Arial"/>
          <w:b/>
          <w:bCs/>
          <w:vertAlign w:val="superscript"/>
          <w:rtl/>
        </w:rPr>
        <w:footnoteReference w:id="4305"/>
      </w:r>
      <w:r w:rsidRPr="001D49D4">
        <w:rPr>
          <w:rFonts w:ascii="Calibri" w:eastAsia="Calibri" w:hAnsi="Calibri" w:cs="Arial"/>
          <w:b/>
          <w:bCs/>
          <w:rtl/>
        </w:rPr>
        <w:t xml:space="preserve"> ע"ב:</w:t>
      </w:r>
      <w:r w:rsidRPr="001D49D4">
        <w:rPr>
          <w:rFonts w:ascii="Calibri" w:eastAsia="Calibri" w:hAnsi="Calibri" w:cs="Arial"/>
          <w:rtl/>
        </w:rPr>
        <w:t xml:space="preserve"> </w:t>
      </w:r>
      <w:r w:rsidRPr="001D49D4">
        <w:rPr>
          <w:rFonts w:ascii="Calibri" w:eastAsia="Calibri" w:hAnsi="Calibri" w:cs="Arial"/>
          <w:u w:val="single"/>
          <w:rtl/>
        </w:rPr>
        <w:t>אמר רב הונא בריה דרב יהושע</w:t>
      </w:r>
      <w:r w:rsidRPr="001D49D4">
        <w:rPr>
          <w:rFonts w:ascii="Calibri" w:eastAsia="Calibri" w:hAnsi="Calibri" w:cs="Arial"/>
          <w:rtl/>
        </w:rPr>
        <w:t xml:space="preserve">: אפילו למ"ד כותבין שובר, הני מילי אפלגא, אבל אכוליה לא. ולא היא, אפי' אכוליה כתבינן, כי הא דרב יצחק בר יוסף הוה מסיק ביה זוזי ברבי אבא, אתא לקמיה דרבי חנינא בר פפי, אמר ליה, הב לי זוזיי. אמר ליה, הב לי שטראי ושקול זוזך. אמר ליה, שטרך אירכס לי אכתוב לך תברא. אמר ליה, הא רב ושמואל דאמרי תרוייהו אין כותבין שובר! אמר, מאן יהיב לן מעפריה דרב ושמואל רמינן בעיינין, הא </w:t>
      </w:r>
      <w:r w:rsidRPr="001D49D4">
        <w:rPr>
          <w:rFonts w:ascii="Calibri" w:eastAsia="Calibri" w:hAnsi="Calibri" w:cs="Arial"/>
          <w:u w:val="single"/>
          <w:rtl/>
        </w:rPr>
        <w:t>רבי יוחנן והא ריש לקיש דאמרי תרוייהו</w:t>
      </w:r>
      <w:r w:rsidRPr="001D49D4">
        <w:rPr>
          <w:rFonts w:ascii="Calibri" w:eastAsia="Calibri" w:hAnsi="Calibri" w:cs="Arial"/>
          <w:rtl/>
        </w:rPr>
        <w:t xml:space="preserve">: כותבין שובר. </w:t>
      </w:r>
      <w:r w:rsidRPr="001D49D4">
        <w:rPr>
          <w:rFonts w:ascii="Calibri" w:eastAsia="Calibri" w:hAnsi="Calibri" w:cs="Arial"/>
          <w:u w:val="single"/>
          <w:rtl/>
        </w:rPr>
        <w:t>וכן כי אתא רבין אמר ר' אילעא</w:t>
      </w:r>
      <w:r w:rsidRPr="001D49D4">
        <w:rPr>
          <w:rFonts w:ascii="Calibri" w:eastAsia="Calibri" w:hAnsi="Calibri" w:cs="Arial"/>
          <w:rtl/>
        </w:rPr>
        <w:t xml:space="preserve">: כותבין שובר. ומסתברא דכותבין שובר, דאי סלקא דעתא אין כותבין שובר, אבד שטרו של זה - יאכל הלה וחדי? </w:t>
      </w:r>
      <w:r w:rsidRPr="001D49D4">
        <w:rPr>
          <w:rFonts w:ascii="Calibri" w:eastAsia="Calibri" w:hAnsi="Calibri" w:cs="Arial"/>
          <w:u w:val="single"/>
          <w:rtl/>
        </w:rPr>
        <w:t>מתקיף לה אביי</w:t>
      </w:r>
      <w:r w:rsidRPr="001D49D4">
        <w:rPr>
          <w:rFonts w:ascii="Calibri" w:eastAsia="Calibri" w:hAnsi="Calibri" w:cs="Arial"/>
          <w:rtl/>
        </w:rPr>
        <w:t xml:space="preserve">: ואלא מאי? כותבין שובר, אבד שוברו של זה - יאכל הלה וחדי? </w:t>
      </w:r>
      <w:r w:rsidRPr="001D49D4">
        <w:rPr>
          <w:rFonts w:ascii="Calibri" w:eastAsia="Calibri" w:hAnsi="Calibri" w:cs="Arial"/>
          <w:u w:val="single"/>
          <w:rtl/>
        </w:rPr>
        <w:t>א"ל רבא</w:t>
      </w:r>
      <w:r w:rsidRPr="001D49D4">
        <w:rPr>
          <w:rFonts w:ascii="Calibri" w:eastAsia="Calibri" w:hAnsi="Calibri" w:cs="Arial"/>
          <w:rtl/>
        </w:rPr>
        <w:t>: אין, עבד לוה לאיש מלוה.</w:t>
      </w:r>
    </w:p>
    <w:p w14:paraId="482248D8" w14:textId="77777777" w:rsidR="001D49D4" w:rsidRPr="001D49D4" w:rsidRDefault="001D49D4" w:rsidP="0004348D">
      <w:pPr>
        <w:spacing w:before="360" w:after="240"/>
        <w:rPr>
          <w:rFonts w:ascii="Calibri" w:eastAsia="Calibri" w:hAnsi="Calibri" w:cs="Arial"/>
          <w:u w:val="single"/>
          <w:rtl/>
        </w:rPr>
      </w:pPr>
      <w:r w:rsidRPr="001D49D4">
        <w:rPr>
          <w:rFonts w:ascii="Calibri" w:eastAsia="Calibri" w:hAnsi="Calibri" w:cs="Arial"/>
          <w:u w:val="single"/>
          <w:rtl/>
        </w:rPr>
        <w:t>לוה שפרע חובו – והמלוה איבד שטרו:</w:t>
      </w:r>
    </w:p>
    <w:p w14:paraId="6651560A" w14:textId="77777777" w:rsidR="001D49D4" w:rsidRPr="001D49D4" w:rsidRDefault="001D49D4" w:rsidP="0004348D">
      <w:pPr>
        <w:numPr>
          <w:ilvl w:val="0"/>
          <w:numId w:val="297"/>
        </w:numPr>
        <w:spacing w:before="360" w:after="240"/>
        <w:contextualSpacing/>
        <w:rPr>
          <w:rtl/>
        </w:rPr>
      </w:pPr>
      <w:r w:rsidRPr="001D49D4">
        <w:rPr>
          <w:rtl/>
        </w:rPr>
        <w:t xml:space="preserve">רמב"ם </w:t>
      </w:r>
      <w:r w:rsidRPr="001D49D4">
        <w:rPr>
          <w:sz w:val="16"/>
          <w:szCs w:val="16"/>
          <w:rtl/>
        </w:rPr>
        <w:t>(פכ"ג ממלוה ולוה הט"ז)</w:t>
      </w:r>
      <w:r w:rsidRPr="001D49D4">
        <w:rPr>
          <w:rtl/>
        </w:rPr>
        <w:t xml:space="preserve"> וטור- אפילו פרע הלוה כל החוב ואמר המלוה אבדתי שטרי - אין הלוה יכול לומר לא אפרע לך עד שתחזיר לי שטרי אלא יכתוב לו שובר</w:t>
      </w:r>
      <w:r w:rsidRPr="001D49D4">
        <w:rPr>
          <w:sz w:val="16"/>
          <w:szCs w:val="16"/>
          <w:rtl/>
        </w:rPr>
        <w:t xml:space="preserve"> (ל' הטור)</w:t>
      </w:r>
      <w:r w:rsidRPr="001D49D4">
        <w:rPr>
          <w:rtl/>
        </w:rPr>
        <w:t>.</w:t>
      </w:r>
      <w:r w:rsidRPr="001D49D4">
        <w:rPr>
          <w:color w:val="E36C0A" w:themeColor="accent6" w:themeShade="BF"/>
          <w:rtl/>
        </w:rPr>
        <w:t xml:space="preserve"> (וכ"פ בשו"ע)</w:t>
      </w:r>
    </w:p>
    <w:p w14:paraId="595EBA16" w14:textId="77777777" w:rsidR="001D49D4" w:rsidRPr="001D49D4" w:rsidRDefault="001D49D4" w:rsidP="0004348D">
      <w:pPr>
        <w:spacing w:before="360" w:after="240"/>
        <w:ind w:left="360"/>
        <w:rPr>
          <w:rFonts w:ascii="Calibri" w:eastAsia="Calibri" w:hAnsi="Calibri" w:cs="Arial"/>
          <w:u w:val="dotted"/>
        </w:rPr>
      </w:pPr>
      <w:r w:rsidRPr="001D49D4">
        <w:rPr>
          <w:rFonts w:ascii="Calibri" w:eastAsia="Calibri" w:hAnsi="Calibri" w:cs="Arial"/>
          <w:u w:val="dotted"/>
          <w:rtl/>
        </w:rPr>
        <w:t>ומה הדין אם הלוה חושד או יודע שהשטר אצל המלוה:</w:t>
      </w:r>
    </w:p>
    <w:p w14:paraId="2215D2E2" w14:textId="77777777" w:rsidR="001D49D4" w:rsidRPr="001D49D4" w:rsidRDefault="001D49D4" w:rsidP="0004348D">
      <w:pPr>
        <w:numPr>
          <w:ilvl w:val="0"/>
          <w:numId w:val="297"/>
        </w:numPr>
        <w:spacing w:before="360" w:after="240"/>
        <w:contextualSpacing/>
      </w:pPr>
      <w:r w:rsidRPr="001D49D4">
        <w:rPr>
          <w:rtl/>
        </w:rPr>
        <w:t xml:space="preserve">רמב"ם </w:t>
      </w:r>
      <w:r w:rsidRPr="001D49D4">
        <w:rPr>
          <w:sz w:val="16"/>
          <w:szCs w:val="16"/>
          <w:rtl/>
        </w:rPr>
        <w:t>(פכ"ג ממלוה ולוה הט"ז)</w:t>
      </w:r>
      <w:r w:rsidRPr="001D49D4">
        <w:rPr>
          <w:rtl/>
        </w:rPr>
        <w:t xml:space="preserve"> וטור- ויש ללוה להחרים סתם על מי שכובש שטרו וטוען שאבד. ואם טען הלוה טענת ודאי ואמר השטר אצלו ועתה הניחו בכיסו - הורו רבותי שישבע המלוה היסת</w:t>
      </w:r>
      <w:r w:rsidRPr="001D49D4">
        <w:rPr>
          <w:vertAlign w:val="superscript"/>
          <w:rtl/>
        </w:rPr>
        <w:footnoteReference w:id="4306"/>
      </w:r>
      <w:r w:rsidRPr="001D49D4">
        <w:rPr>
          <w:rtl/>
        </w:rPr>
        <w:t xml:space="preserve"> שאבד השטר ואח"כ יפרע חובו ויכתוב שובר</w:t>
      </w:r>
      <w:r w:rsidRPr="001D49D4">
        <w:rPr>
          <w:sz w:val="16"/>
          <w:szCs w:val="16"/>
          <w:rtl/>
        </w:rPr>
        <w:t xml:space="preserve"> (ל' הרמב"ם)</w:t>
      </w:r>
      <w:r w:rsidRPr="001D49D4">
        <w:rPr>
          <w:rtl/>
        </w:rPr>
        <w:t>.</w:t>
      </w:r>
      <w:r w:rsidRPr="001D49D4">
        <w:rPr>
          <w:color w:val="E36C0A" w:themeColor="accent6" w:themeShade="BF"/>
          <w:rtl/>
        </w:rPr>
        <w:t xml:space="preserve"> (וכ"פ בשו"ע)</w:t>
      </w:r>
    </w:p>
    <w:p w14:paraId="3A47E95D" w14:textId="77777777" w:rsidR="001D49D4" w:rsidRPr="001D49D4" w:rsidRDefault="001D49D4" w:rsidP="0004348D">
      <w:pPr>
        <w:spacing w:before="360" w:after="240"/>
        <w:rPr>
          <w:rFonts w:ascii="Arial" w:eastAsia="Calibri" w:hAnsi="Arial" w:cs="Arial"/>
          <w:b/>
          <w:bCs/>
          <w:color w:val="000000"/>
          <w:sz w:val="28"/>
          <w:szCs w:val="28"/>
          <w:u w:val="single"/>
          <w:rtl/>
        </w:rPr>
      </w:pPr>
      <w:r w:rsidRPr="001D49D4">
        <w:rPr>
          <w:rFonts w:ascii="Arial" w:eastAsia="Calibri" w:hAnsi="Arial" w:cs="Arial"/>
          <w:b/>
          <w:bCs/>
          <w:color w:val="000000"/>
          <w:sz w:val="28"/>
          <w:szCs w:val="28"/>
          <w:u w:val="single"/>
          <w:rtl/>
        </w:rPr>
        <w:t>שו"ע:</w:t>
      </w:r>
    </w:p>
    <w:p w14:paraId="73D076A3"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rtl/>
        </w:rPr>
        <w:t>הבא לפרוע חובו, ואמר המלוה: אבד לי השטר, אין הלוה יכול לומר לא אפרע לך עד שתחזיר לי שטרי, אלא הרי זה יכתוב לו שובר, ויפרע לו כל חובו. ויש ללוה להחרים סתם על מי שכובש שטרו וטוען שאבד. ואם טען הלוה טענת ודאי ואמר השטר אצלו ועתה הניחו בכיסו, ישבע המלוה היסת</w:t>
      </w:r>
      <w:r w:rsidRPr="001D49D4">
        <w:rPr>
          <w:rFonts w:ascii="Calibri" w:eastAsia="Calibri" w:hAnsi="Calibri" w:cs="Arial"/>
          <w:vertAlign w:val="superscript"/>
          <w:rtl/>
        </w:rPr>
        <w:footnoteReference w:id="4307"/>
      </w:r>
      <w:r w:rsidRPr="001D49D4">
        <w:rPr>
          <w:rFonts w:ascii="Calibri" w:eastAsia="Calibri" w:hAnsi="Calibri" w:cs="Arial"/>
          <w:rtl/>
        </w:rPr>
        <w:t xml:space="preserve"> שאבד השטר, ואחר כך יפרע חובו ויכתוב שובר. </w:t>
      </w:r>
    </w:p>
    <w:p w14:paraId="1F6453F6" w14:textId="77777777" w:rsidR="001D49D4" w:rsidRPr="001D49D4" w:rsidRDefault="001D49D4" w:rsidP="0004348D">
      <w:pPr>
        <w:spacing w:before="360" w:after="240"/>
        <w:rPr>
          <w:rFonts w:ascii="Calibri" w:eastAsia="Calibri" w:hAnsi="Calibri" w:cs="Arial"/>
          <w:rtl/>
        </w:rPr>
      </w:pPr>
    </w:p>
    <w:p w14:paraId="66F5CADF" w14:textId="77777777" w:rsidR="001D49D4" w:rsidRPr="001D49D4" w:rsidRDefault="001D49D4" w:rsidP="0004348D">
      <w:pPr>
        <w:keepNext/>
        <w:keepLines/>
        <w:spacing w:before="360" w:after="240"/>
        <w:outlineLvl w:val="1"/>
        <w:rPr>
          <w:rFonts w:ascii="Cambria" w:eastAsia="Times New Roman" w:hAnsi="Cambria" w:cs="Arial"/>
          <w:bCs/>
          <w:color w:val="548DD4" w:themeColor="text2" w:themeTint="99"/>
          <w:sz w:val="26"/>
          <w:szCs w:val="26"/>
          <w:rtl/>
        </w:rPr>
      </w:pPr>
      <w:bookmarkStart w:id="580" w:name="_Toc24884007"/>
      <w:r w:rsidRPr="001D49D4">
        <w:rPr>
          <w:rFonts w:ascii="Cambria" w:eastAsia="Times New Roman" w:hAnsi="Cambria" w:cs="Arial"/>
          <w:bCs/>
          <w:color w:val="548DD4" w:themeColor="text2" w:themeTint="99"/>
          <w:sz w:val="26"/>
          <w:szCs w:val="26"/>
          <w:rtl/>
        </w:rPr>
        <w:t>סעיף ג: מלוה שרוצה לכתוב ללוה שובר כיון ששטרו נמצא בעיר אחרת.</w:t>
      </w:r>
      <w:bookmarkEnd w:id="580"/>
    </w:p>
    <w:p w14:paraId="7E74CA4A" w14:textId="77777777" w:rsidR="001D49D4" w:rsidRPr="001D49D4" w:rsidRDefault="001D49D4" w:rsidP="0004348D">
      <w:pPr>
        <w:spacing w:before="360" w:after="240"/>
        <w:rPr>
          <w:rFonts w:ascii="Calibri" w:eastAsia="Calibri" w:hAnsi="Calibri" w:cs="Arial"/>
          <w:u w:val="single"/>
          <w:rtl/>
        </w:rPr>
      </w:pPr>
      <w:r w:rsidRPr="001D49D4">
        <w:rPr>
          <w:rFonts w:ascii="Calibri" w:eastAsia="Calibri" w:hAnsi="Calibri" w:cs="Arial"/>
          <w:u w:val="single"/>
          <w:rtl/>
        </w:rPr>
        <w:t>מלוה שרוצה לכתוב ללוה שובר כיון ששטרו נמצא בעיר אחרת:</w:t>
      </w:r>
    </w:p>
    <w:p w14:paraId="61816DB2" w14:textId="77777777" w:rsidR="001D49D4" w:rsidRPr="001D49D4" w:rsidRDefault="001D49D4" w:rsidP="0004348D">
      <w:pPr>
        <w:numPr>
          <w:ilvl w:val="0"/>
          <w:numId w:val="297"/>
        </w:numPr>
        <w:spacing w:before="360" w:after="240"/>
        <w:contextualSpacing/>
        <w:rPr>
          <w:rtl/>
        </w:rPr>
      </w:pPr>
      <w:r w:rsidRPr="001D49D4">
        <w:rPr>
          <w:rtl/>
        </w:rPr>
        <w:t>ראב"ד</w:t>
      </w:r>
      <w:r w:rsidRPr="001D49D4">
        <w:rPr>
          <w:sz w:val="16"/>
          <w:szCs w:val="16"/>
          <w:rtl/>
        </w:rPr>
        <w:t xml:space="preserve"> (תמים דעים סי' סא יב., כ"כ בעל התרומות בשמו)</w:t>
      </w:r>
      <w:r w:rsidRPr="001D49D4">
        <w:rPr>
          <w:rtl/>
        </w:rPr>
        <w:t xml:space="preserve"> בעל התרומות </w:t>
      </w:r>
      <w:r w:rsidRPr="001D49D4">
        <w:rPr>
          <w:sz w:val="16"/>
          <w:szCs w:val="16"/>
          <w:rtl/>
        </w:rPr>
        <w:t>(של"א שם סי' ז)</w:t>
      </w:r>
      <w:r w:rsidRPr="001D49D4">
        <w:rPr>
          <w:rtl/>
        </w:rPr>
        <w:t xml:space="preserve"> וטור- אבל אם אמר המלוה אין שטרי עתה בידי כי הוא בעיר אחרת ואכתוב לך שובר - אין שומעין לו, כיון שהוא בעולם לא יפרע לו עד שיחזיר לו שטרו</w:t>
      </w:r>
      <w:r w:rsidRPr="001D49D4">
        <w:rPr>
          <w:sz w:val="16"/>
          <w:szCs w:val="16"/>
          <w:rtl/>
        </w:rPr>
        <w:t xml:space="preserve"> (ל' הטור)</w:t>
      </w:r>
      <w:r w:rsidRPr="001D49D4">
        <w:rPr>
          <w:rtl/>
        </w:rPr>
        <w:t>.</w:t>
      </w:r>
      <w:r w:rsidRPr="001D49D4">
        <w:rPr>
          <w:color w:val="E36C0A" w:themeColor="accent6" w:themeShade="BF"/>
          <w:rtl/>
        </w:rPr>
        <w:t xml:space="preserve"> (וכ"כ בשו"ע)</w:t>
      </w:r>
    </w:p>
    <w:p w14:paraId="3D5A2666" w14:textId="77777777" w:rsidR="001D49D4" w:rsidRPr="001D49D4" w:rsidRDefault="001D49D4" w:rsidP="0004348D">
      <w:pPr>
        <w:spacing w:before="360" w:after="240"/>
        <w:rPr>
          <w:rFonts w:ascii="Calibri" w:eastAsia="Calibri" w:hAnsi="Calibri" w:cs="Arial"/>
          <w:u w:val="single"/>
          <w:rtl/>
        </w:rPr>
      </w:pPr>
      <w:r w:rsidRPr="001D49D4">
        <w:rPr>
          <w:rFonts w:ascii="Calibri" w:eastAsia="Calibri" w:hAnsi="Calibri" w:cs="Arial"/>
          <w:u w:val="single"/>
          <w:rtl/>
        </w:rPr>
        <w:t>מלוה שאינו רוצה לתת ללוה את השטר בעבור הפרעון – האם הלוה חייב לפרוע לו:</w:t>
      </w:r>
    </w:p>
    <w:p w14:paraId="467FDDA3" w14:textId="77777777" w:rsidR="001D49D4" w:rsidRPr="001D49D4" w:rsidRDefault="001D49D4" w:rsidP="0004348D">
      <w:pPr>
        <w:numPr>
          <w:ilvl w:val="0"/>
          <w:numId w:val="297"/>
        </w:numPr>
        <w:spacing w:before="360" w:after="240"/>
        <w:contextualSpacing/>
      </w:pPr>
      <w:r w:rsidRPr="001D49D4">
        <w:rPr>
          <w:rtl/>
        </w:rPr>
        <w:t xml:space="preserve">רשב"א </w:t>
      </w:r>
      <w:r w:rsidRPr="001D49D4">
        <w:rPr>
          <w:sz w:val="16"/>
          <w:szCs w:val="16"/>
          <w:rtl/>
        </w:rPr>
        <w:t>(סי' אלף קי)</w:t>
      </w:r>
      <w:r w:rsidRPr="001D49D4">
        <w:rPr>
          <w:rtl/>
        </w:rPr>
        <w:t xml:space="preserve">- אם השטר בידו ואינו רוצה להחזירו נראה לרבינו להלכה אבל לא למעשה שזה פטור עד שיחזיר לו שטרו ואינו צריך לתת המעות אפילו ביד בית דין. ואפילו חייב לו בשטר ובשבועה - פטור מהשבועה עד שיחזיר לו השטר. ואפשר נמי דאפילו השטר בידו ואומר לו 'פרעני ואהדר לך שטרך' - יכול הלוה לומר 'החזר לי שטרי והדר אפרע', וראיה מפרק הכותב </w:t>
      </w:r>
      <w:r w:rsidRPr="001D49D4">
        <w:rPr>
          <w:sz w:val="16"/>
          <w:szCs w:val="16"/>
          <w:rtl/>
        </w:rPr>
        <w:t>(כתובות פה.)</w:t>
      </w:r>
      <w:r w:rsidRPr="001D49D4">
        <w:rPr>
          <w:vertAlign w:val="superscript"/>
          <w:rtl/>
        </w:rPr>
        <w:footnoteReference w:id="4308"/>
      </w:r>
      <w:r w:rsidRPr="001D49D4">
        <w:rPr>
          <w:rtl/>
        </w:rPr>
        <w:t>.</w:t>
      </w:r>
      <w:r w:rsidRPr="001D49D4">
        <w:rPr>
          <w:color w:val="00B0F0"/>
          <w:rtl/>
        </w:rPr>
        <w:t xml:space="preserve"> (וכ"פ הרמ"א)</w:t>
      </w:r>
    </w:p>
    <w:p w14:paraId="3266941A" w14:textId="77777777" w:rsidR="001D49D4" w:rsidRPr="001D49D4" w:rsidRDefault="001D49D4" w:rsidP="0004348D">
      <w:pPr>
        <w:spacing w:before="360" w:after="240"/>
        <w:rPr>
          <w:rFonts w:ascii="Calibri" w:eastAsia="Calibri" w:hAnsi="Calibri" w:cs="Arial"/>
          <w:u w:val="single"/>
        </w:rPr>
      </w:pPr>
      <w:r w:rsidRPr="001D49D4">
        <w:rPr>
          <w:rFonts w:ascii="Calibri" w:eastAsia="Calibri" w:hAnsi="Calibri" w:cs="Arial"/>
          <w:u w:val="single"/>
          <w:rtl/>
        </w:rPr>
        <w:t>לוה שמסכים עם המלוה על סכום מסויים וחולק עליו בשאר – והלוה טוען שאינו רוצה לפרוע עד שיקבל את השטר:</w:t>
      </w:r>
    </w:p>
    <w:p w14:paraId="244C73C7" w14:textId="77777777" w:rsidR="001D49D4" w:rsidRPr="001D49D4" w:rsidRDefault="001D49D4" w:rsidP="0004348D">
      <w:pPr>
        <w:numPr>
          <w:ilvl w:val="0"/>
          <w:numId w:val="297"/>
        </w:numPr>
        <w:spacing w:before="360" w:after="240"/>
        <w:contextualSpacing/>
      </w:pPr>
      <w:r w:rsidRPr="001D49D4">
        <w:rPr>
          <w:rtl/>
        </w:rPr>
        <w:t xml:space="preserve">רשב"א </w:t>
      </w:r>
      <w:r w:rsidRPr="001D49D4">
        <w:rPr>
          <w:sz w:val="16"/>
          <w:szCs w:val="16"/>
          <w:rtl/>
        </w:rPr>
        <w:t>(סי' תתקל)</w:t>
      </w:r>
      <w:r w:rsidRPr="001D49D4">
        <w:rPr>
          <w:rtl/>
        </w:rPr>
        <w:t xml:space="preserve">- שאלת עוד, ראובן הפקיד לשמעון סחורה שיעריכו אותה במנה ושימכור אותה מעבר לים ובאחריות המפקיד כדרך הולדי הים. וכשחזר אמר שלא נמכרה אלא בחצי מנה. אמר אליו ראובן תן לי אותו חצי מנה ואכתוב לך שובר עליו ועל השאר אביא ראיה שמכרת ביותר ממנה. ושמעון טוען החזר לי השטר ואתן לך, שאיני רוצה לשמור שוברי מן העכברים. הודיעני הדין עם מי. תשובה, מסתברא שדבר זה אין לך בו אלא מקומו ושעתו. פעמים שהדין עם התובע פעמים עם הנתבע. כל שהתובע יכול לגמור דינו עכשיו כגון שיש לו עדים בעיר ויכול להביאם עכשיו - הדין עם הנתבע. אבל אם הדבר תלוי בעדים שאינם כאן ורואים בית דין שאינו מערים או בענין שנשאר תלוי בדין שיש לישא וליתן בו הרבה מפני עומקו של דין או שאין משוין בו בזה - הדעת נוטה שיתן לו מה שהוא מודה ויכתוב שובר. </w:t>
      </w:r>
      <w:r w:rsidRPr="001D49D4">
        <w:rPr>
          <w:color w:val="00B0F0"/>
          <w:rtl/>
        </w:rPr>
        <w:t>(וכ"פ הרמ"א)</w:t>
      </w:r>
    </w:p>
    <w:p w14:paraId="240253F7" w14:textId="77777777" w:rsidR="001D49D4" w:rsidRPr="001D49D4" w:rsidRDefault="001D49D4" w:rsidP="0004348D">
      <w:pPr>
        <w:spacing w:before="360" w:after="240"/>
        <w:rPr>
          <w:rFonts w:ascii="Calibri" w:eastAsia="Calibri" w:hAnsi="Calibri" w:cs="Arial"/>
          <w:u w:val="single"/>
        </w:rPr>
      </w:pPr>
      <w:r w:rsidRPr="001D49D4">
        <w:rPr>
          <w:rFonts w:ascii="Calibri" w:eastAsia="Calibri" w:hAnsi="Calibri" w:cs="Arial"/>
          <w:u w:val="single"/>
          <w:rtl/>
        </w:rPr>
        <w:t>מי שעשה שובר לחבירו ונמצא טעות בחשבונם:</w:t>
      </w:r>
    </w:p>
    <w:p w14:paraId="085BE6D4" w14:textId="77777777" w:rsidR="001D49D4" w:rsidRPr="001D49D4" w:rsidRDefault="001D49D4" w:rsidP="0004348D">
      <w:pPr>
        <w:numPr>
          <w:ilvl w:val="0"/>
          <w:numId w:val="297"/>
        </w:numPr>
        <w:spacing w:before="360" w:after="240"/>
        <w:contextualSpacing/>
      </w:pPr>
      <w:r w:rsidRPr="001D49D4">
        <w:rPr>
          <w:rtl/>
        </w:rPr>
        <w:t xml:space="preserve">רשב"א </w:t>
      </w:r>
      <w:r w:rsidRPr="001D49D4">
        <w:rPr>
          <w:sz w:val="16"/>
          <w:szCs w:val="16"/>
          <w:rtl/>
        </w:rPr>
        <w:t>(סי' תתקנה)</w:t>
      </w:r>
      <w:r w:rsidRPr="001D49D4">
        <w:rPr>
          <w:rtl/>
        </w:rPr>
        <w:t xml:space="preserve">- מי שעשה שובר לחבירו ונמצא טעות בחשבונם - אין השובר מועילו כלום, ואפילו קנו מידו, כדאיתא בספ"ק דגיטין </w:t>
      </w:r>
      <w:r w:rsidRPr="001D49D4">
        <w:rPr>
          <w:sz w:val="16"/>
          <w:szCs w:val="16"/>
          <w:rtl/>
        </w:rPr>
        <w:t xml:space="preserve">(יד.) </w:t>
      </w:r>
      <w:r w:rsidRPr="001D49D4">
        <w:rPr>
          <w:rtl/>
        </w:rPr>
        <w:t xml:space="preserve">בעובדא דגינאי. וכן הדין בקהל שעשו שובר מן המס ליחיד הבא להעתיק דירתו מן העיר ומצאו טעות בחשבונם. אבל כפר ואמר בבירור שפרע הכל- נאמן מפני שהשובר בידו, וכיון שהמוקדמים הראשונים הודו לו שפרע הכל ועשו שובר, אע"פ שהשניים מצאו טעות אפשר פרע ליד הראשונים ושכחו מלכתוב תשלום פרעונו, שהשובר מוכיח, והשניים אינם יכולים לטעון בבירור, ולפיכך הוא פטור. </w:t>
      </w:r>
    </w:p>
    <w:p w14:paraId="48B2FA0E" w14:textId="77777777" w:rsidR="001D49D4" w:rsidRPr="001D49D4" w:rsidRDefault="001D49D4" w:rsidP="0004348D">
      <w:pPr>
        <w:spacing w:before="360" w:after="240"/>
        <w:rPr>
          <w:rFonts w:ascii="Calibri" w:eastAsia="Calibri" w:hAnsi="Calibri" w:cs="Arial"/>
          <w:u w:val="single"/>
        </w:rPr>
      </w:pPr>
      <w:r w:rsidRPr="001D49D4">
        <w:rPr>
          <w:rFonts w:ascii="Calibri" w:eastAsia="Calibri" w:hAnsi="Calibri" w:cs="Arial"/>
          <w:u w:val="single"/>
          <w:rtl/>
        </w:rPr>
        <w:t xml:space="preserve">שטר שכתוב בו שיהא בתקפו כל זמן שאינו קרוע קרע ב"ד או בדלא כתוב </w:t>
      </w:r>
      <w:r w:rsidRPr="001D49D4">
        <w:rPr>
          <w:rFonts w:ascii="Calibri" w:eastAsia="Calibri" w:hAnsi="Calibri" w:cs="Arial"/>
          <w:b/>
          <w:bCs/>
          <w:u w:val="single"/>
          <w:rtl/>
        </w:rPr>
        <w:t>עליו</w:t>
      </w:r>
      <w:r w:rsidRPr="001D49D4">
        <w:rPr>
          <w:rFonts w:ascii="Calibri" w:eastAsia="Calibri" w:hAnsi="Calibri" w:cs="Arial"/>
          <w:u w:val="single"/>
          <w:rtl/>
        </w:rPr>
        <w:t xml:space="preserve"> תברא - האם שובר מבטלו: </w:t>
      </w:r>
    </w:p>
    <w:p w14:paraId="152FB6EB" w14:textId="77777777" w:rsidR="001D49D4" w:rsidRPr="001D49D4" w:rsidRDefault="001D49D4" w:rsidP="0004348D">
      <w:pPr>
        <w:numPr>
          <w:ilvl w:val="0"/>
          <w:numId w:val="297"/>
        </w:numPr>
        <w:spacing w:before="360" w:after="240"/>
        <w:contextualSpacing/>
      </w:pPr>
      <w:r w:rsidRPr="001D49D4">
        <w:rPr>
          <w:rtl/>
        </w:rPr>
        <w:t xml:space="preserve">מהרי"ק </w:t>
      </w:r>
      <w:r w:rsidRPr="001D49D4">
        <w:rPr>
          <w:sz w:val="16"/>
          <w:szCs w:val="16"/>
          <w:rtl/>
        </w:rPr>
        <w:t>(שורש פט ענף ב)</w:t>
      </w:r>
      <w:r w:rsidRPr="001D49D4">
        <w:rPr>
          <w:rtl/>
        </w:rPr>
        <w:t xml:space="preserve">- הפיטור מועיל אע"פ שכתוב בשטר 'כל זמן שיצא השטר קיים בדלא קרוע קרע בית דין או בדלא כתוב עליה תברא'. </w:t>
      </w:r>
      <w:r w:rsidRPr="001D49D4">
        <w:rPr>
          <w:color w:val="00B0F0"/>
          <w:rtl/>
        </w:rPr>
        <w:t>(וכ"פ הרמ"א)</w:t>
      </w:r>
    </w:p>
    <w:p w14:paraId="628901F4" w14:textId="77777777" w:rsidR="001D49D4" w:rsidRPr="001D49D4" w:rsidRDefault="001D49D4" w:rsidP="0004348D">
      <w:pPr>
        <w:spacing w:before="360" w:after="240"/>
        <w:rPr>
          <w:rFonts w:ascii="Calibri" w:eastAsia="Calibri" w:hAnsi="Calibri" w:cs="Arial"/>
          <w:u w:val="single"/>
        </w:rPr>
      </w:pPr>
      <w:r w:rsidRPr="001D49D4">
        <w:rPr>
          <w:rFonts w:ascii="Calibri" w:eastAsia="Calibri" w:hAnsi="Calibri" w:cs="Arial"/>
          <w:u w:val="single"/>
          <w:rtl/>
        </w:rPr>
        <w:t>אדם שפטר את חברו על חוב שטרם נתחייב בו:</w:t>
      </w:r>
    </w:p>
    <w:p w14:paraId="3D1CCA67" w14:textId="77777777" w:rsidR="001D49D4" w:rsidRPr="001D49D4" w:rsidRDefault="001D49D4" w:rsidP="0004348D">
      <w:pPr>
        <w:numPr>
          <w:ilvl w:val="0"/>
          <w:numId w:val="297"/>
        </w:numPr>
        <w:spacing w:before="360" w:after="240"/>
        <w:contextualSpacing/>
      </w:pPr>
      <w:r w:rsidRPr="001D49D4">
        <w:rPr>
          <w:rtl/>
        </w:rPr>
        <w:t xml:space="preserve">מהרי"ק </w:t>
      </w:r>
      <w:r w:rsidRPr="001D49D4">
        <w:rPr>
          <w:sz w:val="16"/>
          <w:szCs w:val="16"/>
          <w:rtl/>
        </w:rPr>
        <w:t>(שורש פט ענף א)</w:t>
      </w:r>
      <w:r w:rsidRPr="001D49D4">
        <w:rPr>
          <w:rtl/>
        </w:rPr>
        <w:t xml:space="preserve">- שאלת, ראובן נשתעבד לשמעון בסך מה בתנאי שלא יחול שעבוד תביעת החוב כי אם שעה אחת לפני מיתתו. ומת שמעון, ופטרו יורשיו את ראובן מכל החוב. אח"כ מת ראובן ואמרו יורשי שמעון הפיטור שפטרנו את שמעון אין בו ממש כי עדיין לא חל החוב בשעה שפטרנו אותו והוי דבר שלא בא לעולם. תשובה, אין בדברי היורשים כלום. </w:t>
      </w:r>
    </w:p>
    <w:p w14:paraId="148DA651" w14:textId="77777777" w:rsidR="001D49D4" w:rsidRPr="001D49D4" w:rsidRDefault="001D49D4" w:rsidP="0004348D">
      <w:pPr>
        <w:spacing w:before="360" w:after="240"/>
        <w:rPr>
          <w:rFonts w:ascii="Calibri" w:eastAsia="Calibri" w:hAnsi="Calibri" w:cs="Arial"/>
          <w:u w:val="single"/>
        </w:rPr>
      </w:pPr>
      <w:r w:rsidRPr="001D49D4">
        <w:rPr>
          <w:rFonts w:ascii="Calibri" w:eastAsia="Calibri" w:hAnsi="Calibri" w:cs="Arial"/>
          <w:u w:val="single"/>
          <w:rtl/>
        </w:rPr>
        <w:t>בנים שפטרו בעל חוב של אביהם בהיותם בני י"ג, אך בשעת מיתת אביהם לא היו בני י"ג:</w:t>
      </w:r>
    </w:p>
    <w:p w14:paraId="19321D30" w14:textId="77777777" w:rsidR="001D49D4" w:rsidRPr="001D49D4" w:rsidRDefault="001D49D4" w:rsidP="0004348D">
      <w:pPr>
        <w:numPr>
          <w:ilvl w:val="0"/>
          <w:numId w:val="297"/>
        </w:numPr>
        <w:spacing w:before="360" w:after="240"/>
        <w:contextualSpacing/>
      </w:pPr>
      <w:r w:rsidRPr="001D49D4">
        <w:rPr>
          <w:rtl/>
        </w:rPr>
        <w:t xml:space="preserve">מהרי"ק </w:t>
      </w:r>
      <w:r w:rsidRPr="001D49D4">
        <w:rPr>
          <w:sz w:val="16"/>
          <w:szCs w:val="16"/>
          <w:rtl/>
        </w:rPr>
        <w:t>(שורש פט ענף ג)</w:t>
      </w:r>
      <w:r w:rsidRPr="001D49D4">
        <w:rPr>
          <w:rtl/>
        </w:rPr>
        <w:t xml:space="preserve">- אם הבנים בני י"ג בשעת עשיית הפיטורים אע"פ שבשעת מיתת אביהם לא היו בני י"ג - אינם יכולים לטעון מחילה בטעות היתה מאחר שהשטרות בידם. </w:t>
      </w:r>
    </w:p>
    <w:p w14:paraId="329670E9" w14:textId="77777777" w:rsidR="001D49D4" w:rsidRPr="001D49D4" w:rsidRDefault="001D49D4" w:rsidP="0004348D">
      <w:pPr>
        <w:spacing w:before="360" w:after="240"/>
        <w:rPr>
          <w:rFonts w:ascii="Calibri" w:eastAsia="Calibri" w:hAnsi="Calibri" w:cs="Arial"/>
          <w:u w:val="single"/>
        </w:rPr>
      </w:pPr>
      <w:r w:rsidRPr="001D49D4">
        <w:rPr>
          <w:rFonts w:ascii="Calibri" w:eastAsia="Calibri" w:hAnsi="Calibri" w:cs="Arial"/>
          <w:u w:val="single"/>
          <w:rtl/>
        </w:rPr>
        <w:t xml:space="preserve">כתיבת שובר על פריעת חלק מההלואה בגוף השטר </w:t>
      </w:r>
      <w:r w:rsidRPr="001D49D4">
        <w:rPr>
          <w:rFonts w:ascii="Calibri" w:eastAsia="Calibri" w:hAnsi="Calibri" w:cs="Arial"/>
          <w:sz w:val="16"/>
          <w:szCs w:val="16"/>
          <w:u w:val="single"/>
          <w:rtl/>
        </w:rPr>
        <w:t>(שנמצא אצל המלוה)</w:t>
      </w:r>
      <w:r w:rsidRPr="001D49D4">
        <w:rPr>
          <w:rFonts w:ascii="Calibri" w:eastAsia="Calibri" w:hAnsi="Calibri" w:cs="Arial"/>
          <w:u w:val="single"/>
          <w:rtl/>
        </w:rPr>
        <w:t xml:space="preserve"> בכתב יד הלוה:</w:t>
      </w:r>
    </w:p>
    <w:p w14:paraId="50767682" w14:textId="77777777" w:rsidR="001D49D4" w:rsidRPr="001D49D4" w:rsidRDefault="001D49D4" w:rsidP="0004348D">
      <w:pPr>
        <w:numPr>
          <w:ilvl w:val="0"/>
          <w:numId w:val="297"/>
        </w:numPr>
        <w:spacing w:before="360" w:after="240"/>
        <w:contextualSpacing/>
      </w:pPr>
      <w:r w:rsidRPr="001D49D4">
        <w:rPr>
          <w:rtl/>
        </w:rPr>
        <w:t xml:space="preserve">נמוק"י </w:t>
      </w:r>
      <w:r w:rsidRPr="001D49D4">
        <w:rPr>
          <w:sz w:val="16"/>
          <w:szCs w:val="16"/>
          <w:rtl/>
        </w:rPr>
        <w:t xml:space="preserve">(ס"פ השואל ב"מ נט: ד"ה אמר) </w:t>
      </w:r>
      <w:r w:rsidRPr="001D49D4">
        <w:rPr>
          <w:rtl/>
        </w:rPr>
        <w:t>בשם הריטב"א</w:t>
      </w:r>
      <w:r w:rsidRPr="001D49D4">
        <w:rPr>
          <w:sz w:val="16"/>
          <w:szCs w:val="16"/>
          <w:rtl/>
        </w:rPr>
        <w:t xml:space="preserve"> (קג. סוף ד"ה שכיר)</w:t>
      </w:r>
      <w:r w:rsidRPr="001D49D4">
        <w:rPr>
          <w:rtl/>
        </w:rPr>
        <w:t xml:space="preserve">- הא דאמרינן </w:t>
      </w:r>
      <w:r w:rsidRPr="001D49D4">
        <w:rPr>
          <w:sz w:val="16"/>
          <w:szCs w:val="16"/>
          <w:rtl/>
        </w:rPr>
        <w:t xml:space="preserve">(שם) </w:t>
      </w:r>
      <w:r w:rsidRPr="001D49D4">
        <w:rPr>
          <w:rtl/>
        </w:rPr>
        <w:t>איבעי לך למכתב תברא אגביה - אפילו בכתב ידי הלוה מהני, כיון דכתוב בגופא דשטרא.</w:t>
      </w:r>
    </w:p>
    <w:p w14:paraId="6BAD2739" w14:textId="77777777" w:rsidR="001D49D4" w:rsidRPr="001D49D4" w:rsidRDefault="001D49D4" w:rsidP="0004348D">
      <w:pPr>
        <w:spacing w:before="360" w:after="240"/>
        <w:rPr>
          <w:rFonts w:ascii="Calibri" w:eastAsia="Calibri" w:hAnsi="Calibri" w:cs="Arial"/>
          <w:u w:val="single"/>
          <w:rtl/>
        </w:rPr>
      </w:pPr>
      <w:r w:rsidRPr="001D49D4">
        <w:rPr>
          <w:rFonts w:ascii="Calibri" w:eastAsia="Calibri" w:hAnsi="Calibri" w:cs="Arial"/>
          <w:b/>
          <w:bCs/>
          <w:rtl/>
        </w:rPr>
        <w:t xml:space="preserve">בבא בתרא </w:t>
      </w:r>
      <w:r w:rsidRPr="001D49D4">
        <w:rPr>
          <w:rFonts w:ascii="Calibri" w:eastAsia="Calibri" w:hAnsi="Calibri" w:cs="Arial"/>
          <w:b/>
          <w:bCs/>
          <w:sz w:val="16"/>
          <w:szCs w:val="16"/>
          <w:rtl/>
        </w:rPr>
        <w:t>(פרק גט פשוט)</w:t>
      </w:r>
      <w:r w:rsidRPr="001D49D4">
        <w:rPr>
          <w:rFonts w:ascii="Calibri" w:eastAsia="Calibri" w:hAnsi="Calibri" w:cs="Arial"/>
          <w:b/>
          <w:bCs/>
          <w:rtl/>
        </w:rPr>
        <w:t xml:space="preserve"> קעא</w:t>
      </w:r>
      <w:r w:rsidRPr="001D49D4">
        <w:rPr>
          <w:rFonts w:ascii="Calibri" w:eastAsia="Calibri" w:hAnsi="Calibri" w:cs="Arial"/>
          <w:vertAlign w:val="superscript"/>
          <w:rtl/>
        </w:rPr>
        <w:footnoteReference w:id="4309"/>
      </w:r>
      <w:r w:rsidRPr="001D49D4">
        <w:rPr>
          <w:rFonts w:ascii="Calibri" w:eastAsia="Calibri" w:hAnsi="Calibri" w:cs="Arial"/>
          <w:b/>
          <w:bCs/>
          <w:rtl/>
        </w:rPr>
        <w:t xml:space="preserve"> ע"ב:</w:t>
      </w:r>
      <w:r w:rsidRPr="001D49D4">
        <w:rPr>
          <w:rFonts w:ascii="Calibri" w:eastAsia="Calibri" w:hAnsi="Calibri" w:cs="Arial"/>
          <w:rtl/>
        </w:rPr>
        <w:t xml:space="preserve"> </w:t>
      </w:r>
      <w:r w:rsidRPr="001D49D4">
        <w:rPr>
          <w:rFonts w:ascii="Calibri" w:eastAsia="Calibri" w:hAnsi="Calibri" w:cs="Arial"/>
          <w:u w:val="single"/>
          <w:rtl/>
        </w:rPr>
        <w:t>דאמר ליה רב ספרא לספריה</w:t>
      </w:r>
      <w:r w:rsidRPr="001D49D4">
        <w:rPr>
          <w:rFonts w:ascii="Calibri" w:eastAsia="Calibri" w:hAnsi="Calibri" w:cs="Arial"/>
          <w:rtl/>
        </w:rPr>
        <w:t>: כי כתביתו הני תברי, אי ידעיתו זימנא דשטרא - כתבו, אי לא - כתבו סתמא, דכל אימת דנפיק לרעיה.</w:t>
      </w:r>
    </w:p>
    <w:p w14:paraId="6CC6B947" w14:textId="77777777" w:rsidR="001D49D4" w:rsidRPr="001D49D4" w:rsidRDefault="001D49D4" w:rsidP="0004348D">
      <w:pPr>
        <w:spacing w:before="360" w:after="240"/>
        <w:rPr>
          <w:rFonts w:ascii="Calibri" w:eastAsia="Calibri" w:hAnsi="Calibri" w:cs="Arial"/>
          <w:u w:val="single"/>
          <w:rtl/>
        </w:rPr>
      </w:pPr>
      <w:r w:rsidRPr="001D49D4">
        <w:rPr>
          <w:rFonts w:ascii="Calibri" w:eastAsia="Calibri" w:hAnsi="Calibri" w:cs="Arial"/>
          <w:u w:val="single"/>
          <w:rtl/>
        </w:rPr>
        <w:t>כתיבת זמן השטר בשובר:</w:t>
      </w:r>
    </w:p>
    <w:p w14:paraId="1EBED780" w14:textId="77777777" w:rsidR="001D49D4" w:rsidRPr="001D49D4" w:rsidRDefault="001D49D4" w:rsidP="0004348D">
      <w:pPr>
        <w:numPr>
          <w:ilvl w:val="0"/>
          <w:numId w:val="311"/>
        </w:numPr>
        <w:spacing w:before="360" w:after="240"/>
        <w:contextualSpacing/>
        <w:rPr>
          <w:rtl/>
        </w:rPr>
      </w:pPr>
      <w:r w:rsidRPr="001D49D4">
        <w:rPr>
          <w:rtl/>
        </w:rPr>
        <w:t>טור- כשכותבין שובר, אם זוכרין זמן השטר - יכתוב שובר על שטר שזמנו כך וכך. ואם אין זוכרין אותו - יכתבו סתם על שטר שסכומו כך וכך, ולא יכתבו זמן בשובר, שמא אחרו העדים זמן ההלואה בשטר ונמצא שלפעמים זמן השובר קודם לזמן השטר, ויחזור ויוציא שטר חובו המאוחר ויטרוף בו. לפיכך אין לעדים לכתוב זמן בשובר אא"כ זוכרין זמן ההלואה.</w:t>
      </w:r>
      <w:r w:rsidRPr="001D49D4">
        <w:rPr>
          <w:color w:val="E36C0A" w:themeColor="accent6" w:themeShade="BF"/>
          <w:rtl/>
        </w:rPr>
        <w:t xml:space="preserve"> (וכ"פ בשו"ע)</w:t>
      </w:r>
    </w:p>
    <w:p w14:paraId="1A5E02F9" w14:textId="77777777" w:rsidR="001D49D4" w:rsidRPr="001D49D4" w:rsidRDefault="001D49D4" w:rsidP="0004348D">
      <w:pPr>
        <w:spacing w:before="360" w:after="240"/>
        <w:rPr>
          <w:rFonts w:ascii="Calibri" w:eastAsia="Calibri" w:hAnsi="Calibri" w:cs="Arial"/>
          <w:u w:val="single"/>
        </w:rPr>
      </w:pPr>
      <w:r w:rsidRPr="001D49D4">
        <w:rPr>
          <w:rFonts w:ascii="Calibri" w:eastAsia="Calibri" w:hAnsi="Calibri" w:cs="Arial"/>
          <w:u w:val="single"/>
          <w:rtl/>
        </w:rPr>
        <w:t>שובר שנכתב סתם 'פלוני פרע לפלוני':</w:t>
      </w:r>
    </w:p>
    <w:p w14:paraId="23A4CA26" w14:textId="77777777" w:rsidR="001D49D4" w:rsidRPr="001D49D4" w:rsidRDefault="001D49D4" w:rsidP="0004348D">
      <w:pPr>
        <w:numPr>
          <w:ilvl w:val="0"/>
          <w:numId w:val="311"/>
        </w:numPr>
        <w:spacing w:before="360" w:after="240"/>
        <w:contextualSpacing/>
      </w:pPr>
      <w:r w:rsidRPr="001D49D4">
        <w:rPr>
          <w:rtl/>
        </w:rPr>
        <w:t xml:space="preserve">רמב"ן </w:t>
      </w:r>
      <w:r w:rsidRPr="001D49D4">
        <w:rPr>
          <w:sz w:val="16"/>
          <w:szCs w:val="16"/>
          <w:rtl/>
        </w:rPr>
        <w:t>(כ"כ בספר התרומות בשמו [שנ"ג ח"ד סי' ב])</w:t>
      </w:r>
      <w:r w:rsidRPr="001D49D4">
        <w:rPr>
          <w:rtl/>
        </w:rPr>
        <w:t xml:space="preserve"> רא"ש </w:t>
      </w:r>
      <w:r w:rsidRPr="001D49D4">
        <w:rPr>
          <w:sz w:val="16"/>
          <w:szCs w:val="16"/>
          <w:rtl/>
        </w:rPr>
        <w:t xml:space="preserve">(כלל עו סי' ג) </w:t>
      </w:r>
      <w:r w:rsidRPr="001D49D4">
        <w:rPr>
          <w:rtl/>
        </w:rPr>
        <w:t>וטור- שובר שנכתב סתם 'פלוני פרע לפלוני' מבטל כל שטר שיש לו עליו, שיד בעל השטר על התחתונה</w:t>
      </w:r>
      <w:r w:rsidRPr="001D49D4">
        <w:rPr>
          <w:vertAlign w:val="superscript"/>
          <w:rtl/>
        </w:rPr>
        <w:footnoteReference w:id="4310"/>
      </w:r>
      <w:r w:rsidRPr="001D49D4">
        <w:rPr>
          <w:sz w:val="16"/>
          <w:szCs w:val="16"/>
          <w:rtl/>
        </w:rPr>
        <w:t xml:space="preserve"> (ל' הטור)</w:t>
      </w:r>
      <w:r w:rsidRPr="001D49D4">
        <w:rPr>
          <w:rtl/>
        </w:rPr>
        <w:t xml:space="preserve">. </w:t>
      </w:r>
      <w:r w:rsidRPr="001D49D4">
        <w:rPr>
          <w:color w:val="E36C0A" w:themeColor="accent6" w:themeShade="BF"/>
          <w:rtl/>
        </w:rPr>
        <w:t>(וכ"פ בשו"ע)</w:t>
      </w:r>
    </w:p>
    <w:p w14:paraId="03EBD66C" w14:textId="77777777" w:rsidR="001D49D4" w:rsidRPr="001D49D4" w:rsidRDefault="001D49D4" w:rsidP="0004348D">
      <w:pPr>
        <w:spacing w:before="360" w:after="240"/>
        <w:rPr>
          <w:rFonts w:ascii="Calibri" w:eastAsia="Calibri" w:hAnsi="Calibri" w:cs="Arial"/>
          <w:u w:val="single"/>
        </w:rPr>
      </w:pPr>
      <w:r w:rsidRPr="001D49D4">
        <w:rPr>
          <w:rFonts w:ascii="Calibri" w:eastAsia="Calibri" w:hAnsi="Calibri" w:cs="Arial"/>
          <w:u w:val="single"/>
          <w:rtl/>
        </w:rPr>
        <w:t>שטר ושובר שזמנם יוצא ביום אחד:</w:t>
      </w:r>
    </w:p>
    <w:p w14:paraId="098D8CB5" w14:textId="77777777" w:rsidR="001D49D4" w:rsidRPr="001D49D4" w:rsidRDefault="001D49D4" w:rsidP="0004348D">
      <w:pPr>
        <w:numPr>
          <w:ilvl w:val="0"/>
          <w:numId w:val="311"/>
        </w:numPr>
        <w:spacing w:before="360" w:after="240"/>
        <w:contextualSpacing/>
      </w:pPr>
      <w:r w:rsidRPr="001D49D4">
        <w:rPr>
          <w:rtl/>
        </w:rPr>
        <w:t xml:space="preserve">רא"ש </w:t>
      </w:r>
      <w:r w:rsidRPr="001D49D4">
        <w:rPr>
          <w:sz w:val="16"/>
          <w:szCs w:val="16"/>
          <w:rtl/>
        </w:rPr>
        <w:t xml:space="preserve">(כלל עו סי' ג) </w:t>
      </w:r>
      <w:r w:rsidRPr="001D49D4">
        <w:rPr>
          <w:rtl/>
        </w:rPr>
        <w:t>וטור- אם זמן השטר והשובר יוצאין ביום אחד - השטר פסול</w:t>
      </w:r>
      <w:r w:rsidRPr="001D49D4">
        <w:rPr>
          <w:sz w:val="16"/>
          <w:szCs w:val="16"/>
          <w:rtl/>
        </w:rPr>
        <w:t xml:space="preserve"> (ל' הטור)</w:t>
      </w:r>
      <w:r w:rsidRPr="001D49D4">
        <w:rPr>
          <w:rtl/>
        </w:rPr>
        <w:t>.</w:t>
      </w:r>
    </w:p>
    <w:p w14:paraId="165BBA52" w14:textId="77777777" w:rsidR="001D49D4" w:rsidRPr="001D49D4" w:rsidRDefault="001D49D4" w:rsidP="0004348D">
      <w:pPr>
        <w:spacing w:before="360" w:after="240"/>
        <w:rPr>
          <w:rFonts w:ascii="Calibri" w:eastAsia="Calibri" w:hAnsi="Calibri" w:cs="Arial"/>
          <w:u w:val="single"/>
        </w:rPr>
      </w:pPr>
      <w:r w:rsidRPr="001D49D4">
        <w:rPr>
          <w:rFonts w:ascii="Calibri" w:eastAsia="Calibri" w:hAnsi="Calibri" w:cs="Arial"/>
          <w:u w:val="single"/>
          <w:rtl/>
        </w:rPr>
        <w:t xml:space="preserve">שובר שכתוב בו שמחל לו כל תביעות שהיו לו עליו </w:t>
      </w:r>
      <w:r w:rsidRPr="001D49D4">
        <w:rPr>
          <w:rFonts w:ascii="Calibri" w:eastAsia="Calibri" w:hAnsi="Calibri" w:cs="Arial"/>
          <w:b/>
          <w:bCs/>
          <w:u w:val="single"/>
          <w:rtl/>
        </w:rPr>
        <w:t>עד אותו היום</w:t>
      </w:r>
      <w:r w:rsidRPr="001D49D4">
        <w:rPr>
          <w:rFonts w:ascii="Calibri" w:eastAsia="Calibri" w:hAnsi="Calibri" w:cs="Arial"/>
          <w:u w:val="single"/>
          <w:rtl/>
        </w:rPr>
        <w:t>:</w:t>
      </w:r>
    </w:p>
    <w:p w14:paraId="5807A8F7" w14:textId="77777777" w:rsidR="001D49D4" w:rsidRPr="001D49D4" w:rsidRDefault="001D49D4" w:rsidP="0004348D">
      <w:pPr>
        <w:numPr>
          <w:ilvl w:val="0"/>
          <w:numId w:val="311"/>
        </w:numPr>
        <w:spacing w:before="360" w:after="240"/>
        <w:contextualSpacing/>
      </w:pPr>
      <w:r w:rsidRPr="001D49D4">
        <w:rPr>
          <w:rtl/>
        </w:rPr>
        <w:t xml:space="preserve">רא"ש </w:t>
      </w:r>
      <w:r w:rsidRPr="001D49D4">
        <w:rPr>
          <w:sz w:val="16"/>
          <w:szCs w:val="16"/>
          <w:rtl/>
        </w:rPr>
        <w:t>(כלל עו סי' ד)</w:t>
      </w:r>
      <w:r w:rsidRPr="001D49D4">
        <w:rPr>
          <w:rtl/>
        </w:rPr>
        <w:t xml:space="preserve">- אם כתוב בשובר שמחל לו כל תביעות שהיו לו עליו עד אותו היום - אין אותו היום בכלל, דבלשון בני אדם עד ולא עד בכלל, כדתנן בפרק קונם </w:t>
      </w:r>
      <w:r w:rsidRPr="001D49D4">
        <w:rPr>
          <w:sz w:val="16"/>
          <w:szCs w:val="16"/>
          <w:rtl/>
        </w:rPr>
        <w:t>(נדרים סא:)</w:t>
      </w:r>
      <w:r w:rsidRPr="001D49D4">
        <w:rPr>
          <w:rtl/>
        </w:rPr>
        <w:t xml:space="preserve">. </w:t>
      </w:r>
    </w:p>
    <w:p w14:paraId="38E9E904" w14:textId="77777777" w:rsidR="001D49D4" w:rsidRPr="001D49D4" w:rsidRDefault="001D49D4" w:rsidP="0004348D">
      <w:pPr>
        <w:spacing w:before="360" w:after="240"/>
        <w:rPr>
          <w:rFonts w:ascii="Calibri" w:eastAsia="Calibri" w:hAnsi="Calibri" w:cs="Arial"/>
        </w:rPr>
      </w:pPr>
      <w:r w:rsidRPr="001D49D4">
        <w:rPr>
          <w:rFonts w:ascii="Calibri" w:eastAsia="Calibri" w:hAnsi="Calibri" w:cs="Arial"/>
          <w:u w:val="single"/>
          <w:rtl/>
        </w:rPr>
        <w:t xml:space="preserve">שובר שכתוב בו שמחל לו כל תביעות שהיו לו עליו </w:t>
      </w:r>
      <w:r w:rsidRPr="001D49D4">
        <w:rPr>
          <w:rFonts w:ascii="Calibri" w:eastAsia="Calibri" w:hAnsi="Calibri" w:cs="Arial"/>
          <w:b/>
          <w:bCs/>
          <w:u w:val="single"/>
          <w:rtl/>
        </w:rPr>
        <w:t>עד עכשיו</w:t>
      </w:r>
      <w:r w:rsidRPr="001D49D4">
        <w:rPr>
          <w:rFonts w:ascii="Calibri" w:eastAsia="Calibri" w:hAnsi="Calibri" w:cs="Arial"/>
          <w:u w:val="single"/>
          <w:rtl/>
        </w:rPr>
        <w:t>:</w:t>
      </w:r>
    </w:p>
    <w:p w14:paraId="009D1DC4" w14:textId="77777777" w:rsidR="001D49D4" w:rsidRPr="001D49D4" w:rsidRDefault="001D49D4" w:rsidP="0004348D">
      <w:pPr>
        <w:numPr>
          <w:ilvl w:val="0"/>
          <w:numId w:val="311"/>
        </w:numPr>
        <w:spacing w:before="360" w:after="240"/>
        <w:contextualSpacing/>
      </w:pPr>
      <w:r w:rsidRPr="001D49D4">
        <w:rPr>
          <w:rtl/>
        </w:rPr>
        <w:t xml:space="preserve">רא"ש </w:t>
      </w:r>
      <w:r w:rsidRPr="001D49D4">
        <w:rPr>
          <w:sz w:val="16"/>
          <w:szCs w:val="16"/>
          <w:rtl/>
        </w:rPr>
        <w:t>(שם)</w:t>
      </w:r>
      <w:r w:rsidRPr="001D49D4">
        <w:rPr>
          <w:rtl/>
        </w:rPr>
        <w:t>- אם כתב בשובר שמחל לו כל תביעות שיש לו עליו עד עכשיו, אז עכשיו מספקא לן אם היה בתחלת היום או בסופו, וכן השטר מספקא לן באיזו שעה ביום היה, ומספיקא לא מפקינן ממונא ותלינן ששטר קודם ואח"כ פשר עמו ומחל לו כל תביעות.</w:t>
      </w:r>
    </w:p>
    <w:p w14:paraId="268B9D7B" w14:textId="77777777" w:rsidR="001D49D4" w:rsidRPr="001D49D4" w:rsidRDefault="001D49D4" w:rsidP="0004348D">
      <w:pPr>
        <w:spacing w:before="360" w:after="240"/>
        <w:rPr>
          <w:rFonts w:ascii="Calibri" w:eastAsia="Calibri" w:hAnsi="Calibri" w:cs="Arial"/>
          <w:u w:val="single"/>
        </w:rPr>
      </w:pPr>
      <w:r w:rsidRPr="001D49D4">
        <w:rPr>
          <w:rFonts w:ascii="Calibri" w:eastAsia="Calibri" w:hAnsi="Calibri" w:cs="Arial"/>
          <w:u w:val="single"/>
          <w:rtl/>
        </w:rPr>
        <w:t xml:space="preserve"> </w:t>
      </w:r>
      <w:r w:rsidRPr="001D49D4">
        <w:rPr>
          <w:rFonts w:ascii="Calibri" w:eastAsia="Calibri" w:hAnsi="Calibri" w:cs="Arial" w:hint="cs"/>
          <w:u w:val="single"/>
          <w:rtl/>
        </w:rPr>
        <w:t>שטר כתוב בו ניסן סתמא, ובשובר כתוב י"ח לניסן:</w:t>
      </w:r>
    </w:p>
    <w:p w14:paraId="552530C7" w14:textId="77777777" w:rsidR="001D49D4" w:rsidRPr="001D49D4" w:rsidRDefault="001D49D4" w:rsidP="0004348D">
      <w:pPr>
        <w:numPr>
          <w:ilvl w:val="0"/>
          <w:numId w:val="311"/>
        </w:numPr>
        <w:spacing w:before="360" w:after="240"/>
        <w:contextualSpacing/>
      </w:pPr>
      <w:r w:rsidRPr="001D49D4">
        <w:rPr>
          <w:rtl/>
        </w:rPr>
        <w:t xml:space="preserve">רא"ש </w:t>
      </w:r>
      <w:r w:rsidRPr="001D49D4">
        <w:rPr>
          <w:sz w:val="16"/>
          <w:szCs w:val="16"/>
          <w:rtl/>
        </w:rPr>
        <w:t>(כלל עו סי' ב)</w:t>
      </w:r>
      <w:r w:rsidRPr="001D49D4">
        <w:rPr>
          <w:rtl/>
        </w:rPr>
        <w:t>- אם בשטר כתוב ניסן סתמא ובשובר כתוב י"ח לניסן - השטר בטל</w:t>
      </w:r>
      <w:r w:rsidRPr="001D49D4">
        <w:rPr>
          <w:vertAlign w:val="superscript"/>
          <w:rtl/>
        </w:rPr>
        <w:footnoteReference w:id="4311"/>
      </w:r>
      <w:r w:rsidRPr="001D49D4">
        <w:rPr>
          <w:rtl/>
        </w:rPr>
        <w:t>.</w:t>
      </w:r>
    </w:p>
    <w:p w14:paraId="0ECD375F"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u w:val="single"/>
          <w:rtl/>
        </w:rPr>
        <w:t>ראובן הוציא שטר על שמעון, ולשמעון עדים שיש לראובן שטר פרוע עליו:</w:t>
      </w:r>
      <w:r w:rsidRPr="001D49D4">
        <w:rPr>
          <w:rFonts w:ascii="Calibri" w:eastAsia="Calibri" w:hAnsi="Calibri" w:cs="Arial"/>
          <w:rtl/>
        </w:rPr>
        <w:t xml:space="preserve"> </w:t>
      </w:r>
      <w:r w:rsidRPr="001D49D4">
        <w:rPr>
          <w:rFonts w:ascii="Calibri" w:eastAsia="Calibri" w:hAnsi="Calibri" w:cs="Arial"/>
          <w:sz w:val="16"/>
          <w:szCs w:val="16"/>
          <w:rtl/>
        </w:rPr>
        <w:t xml:space="preserve"> (דרכ"מ אות ה)</w:t>
      </w:r>
      <w:r w:rsidRPr="001D49D4">
        <w:rPr>
          <w:rFonts w:ascii="Calibri" w:eastAsia="Calibri" w:hAnsi="Calibri" w:cs="Arial"/>
          <w:rtl/>
        </w:rPr>
        <w:t xml:space="preserve"> </w:t>
      </w:r>
    </w:p>
    <w:p w14:paraId="71D1F70C" w14:textId="77777777" w:rsidR="001D49D4" w:rsidRPr="001D49D4" w:rsidRDefault="001D49D4" w:rsidP="0004348D">
      <w:pPr>
        <w:numPr>
          <w:ilvl w:val="0"/>
          <w:numId w:val="311"/>
        </w:numPr>
        <w:spacing w:before="360" w:after="240"/>
        <w:contextualSpacing/>
      </w:pPr>
      <w:r w:rsidRPr="001D49D4">
        <w:rPr>
          <w:rtl/>
        </w:rPr>
        <w:t xml:space="preserve">רא"ש </w:t>
      </w:r>
      <w:r w:rsidRPr="001D49D4">
        <w:rPr>
          <w:sz w:val="16"/>
          <w:szCs w:val="16"/>
          <w:rtl/>
        </w:rPr>
        <w:t>(כלל סח סי' יט)</w:t>
      </w:r>
      <w:r w:rsidRPr="001D49D4">
        <w:rPr>
          <w:rtl/>
        </w:rPr>
        <w:t xml:space="preserve">- ראובן שהוציא שטר על שמעון, ולשמעון עדים שיש לראובן שטר פרוע עליו - אין ראובן או יורשיו יכולין לומר ששטר אחר פרוע היה לו עליו והחזירו לו אלא כל השטרות בחזקת פרועין. </w:t>
      </w:r>
      <w:r w:rsidRPr="001D49D4">
        <w:rPr>
          <w:color w:val="00B0F0"/>
          <w:rtl/>
        </w:rPr>
        <w:t>(וכ"פ הרמ"א)</w:t>
      </w:r>
    </w:p>
    <w:p w14:paraId="1EFF88C3" w14:textId="77777777" w:rsidR="001D49D4" w:rsidRPr="001D49D4" w:rsidRDefault="001D49D4" w:rsidP="0004348D">
      <w:pPr>
        <w:spacing w:before="360" w:after="240"/>
        <w:rPr>
          <w:rFonts w:ascii="Arial" w:eastAsia="Calibri" w:hAnsi="Arial" w:cs="Arial"/>
          <w:b/>
          <w:bCs/>
          <w:color w:val="000000"/>
          <w:sz w:val="28"/>
          <w:szCs w:val="28"/>
          <w:u w:val="single"/>
        </w:rPr>
      </w:pPr>
      <w:r w:rsidRPr="001D49D4">
        <w:rPr>
          <w:rFonts w:ascii="Arial" w:eastAsia="Calibri" w:hAnsi="Arial" w:cs="Arial"/>
          <w:b/>
          <w:bCs/>
          <w:color w:val="000000"/>
          <w:sz w:val="28"/>
          <w:szCs w:val="28"/>
          <w:u w:val="single"/>
          <w:rtl/>
        </w:rPr>
        <w:t>שו"ע:</w:t>
      </w:r>
    </w:p>
    <w:p w14:paraId="4C2E6EFD"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rtl/>
        </w:rPr>
        <w:t xml:space="preserve">אמר המלוה אין שטרי עתה בידי כי הוא בעיר אחרת ואכתוב לך שובר, יש מי שאומר שאין שומעין לו, כיון שהוא בעולם לא יפרע לו עד שיחזיר לו שטרו. </w:t>
      </w:r>
      <w:r w:rsidRPr="001D49D4">
        <w:rPr>
          <w:rFonts w:ascii="Calibri" w:eastAsia="Calibri" w:hAnsi="Calibri" w:cs="Arial"/>
          <w:sz w:val="18"/>
          <w:szCs w:val="18"/>
          <w:rtl/>
        </w:rPr>
        <w:t>הגה: וכל שכן אם שטרו בידו ואינו רוצה להחזירו, דאינו חייב לשלם לו עד שיחזיר לו שטרו. ואפילו נשבע לשלם לו, פטור מן השבועה</w:t>
      </w:r>
      <w:r w:rsidRPr="001D49D4">
        <w:rPr>
          <w:rFonts w:ascii="Calibri" w:eastAsia="Calibri" w:hAnsi="Calibri" w:cs="Arial"/>
          <w:sz w:val="18"/>
          <w:szCs w:val="18"/>
          <w:vertAlign w:val="superscript"/>
          <w:rtl/>
        </w:rPr>
        <w:footnoteReference w:id="4312"/>
      </w:r>
      <w:r w:rsidRPr="001D49D4">
        <w:rPr>
          <w:rFonts w:ascii="Calibri" w:eastAsia="Calibri" w:hAnsi="Calibri" w:cs="Arial"/>
          <w:sz w:val="18"/>
          <w:szCs w:val="18"/>
          <w:rtl/>
        </w:rPr>
        <w:t xml:space="preserve"> (רשב"א אלף קי). ואם המלוה אומר תפרעני תחילה ואח"כ אחזיר לך שטרך, והלוה אומר: החזיר לי שטרי ואח"כ אפרע לך, הדין עם הלוה (שם). ונראה לי דאם אינו מאמינו, נותן השטר ביד שליש עד אחר הפרעון. מי שחייב לחבירו מנה בשטר ומודה לו בנ', ובנ' אחרים יש לו טענה עליו, ובעל השטר אומר: תן לי הנ' שאתה מודה לי בהן ואכתוב לך שובר עליהם, ועל נ' אחרים אביא ראיה, ונתבע אומר: לא אשלם לך כלום עד שתחזיר לי שטרי, אם יוכל התובע להביא ראיותיו עכשיו ולדון עם הנתבע, הדין עם הנתבע</w:t>
      </w:r>
      <w:r w:rsidRPr="001D49D4">
        <w:rPr>
          <w:rFonts w:ascii="Calibri" w:eastAsia="Calibri" w:hAnsi="Calibri" w:cs="Arial"/>
          <w:sz w:val="18"/>
          <w:szCs w:val="18"/>
          <w:vertAlign w:val="superscript"/>
          <w:rtl/>
        </w:rPr>
        <w:footnoteReference w:id="4313"/>
      </w:r>
      <w:r w:rsidRPr="001D49D4">
        <w:rPr>
          <w:rFonts w:ascii="Calibri" w:eastAsia="Calibri" w:hAnsi="Calibri" w:cs="Arial"/>
          <w:sz w:val="18"/>
          <w:szCs w:val="18"/>
          <w:rtl/>
        </w:rPr>
        <w:t>. אבל אם א"א לו להביא ראיותיו עכשיו או לדון עכשיו כפי הנראה לבית דין ואין ערמה בדבר, או שהב"ד צריכין להיות מתונין בדין, הדין עם התובע שצריך לשלם לו מיד מה שמודה לו ויתן לו שובר</w:t>
      </w:r>
      <w:r w:rsidRPr="001D49D4">
        <w:rPr>
          <w:rFonts w:ascii="Calibri" w:eastAsia="Calibri" w:hAnsi="Calibri" w:cs="Arial"/>
          <w:sz w:val="18"/>
          <w:szCs w:val="18"/>
          <w:vertAlign w:val="superscript"/>
          <w:rtl/>
        </w:rPr>
        <w:footnoteReference w:id="4314"/>
      </w:r>
      <w:r w:rsidRPr="001D49D4">
        <w:rPr>
          <w:rFonts w:ascii="Calibri" w:eastAsia="Calibri" w:hAnsi="Calibri" w:cs="Arial"/>
          <w:sz w:val="18"/>
          <w:szCs w:val="18"/>
          <w:rtl/>
        </w:rPr>
        <w:t xml:space="preserve"> (רשב"א סי' תתקל). שטר שכתוב בו שיהא בתקפו כל זמן שאינו קרוע קרע ב"ד או בדלא כתוב עליו תברא, אפילו הכי מהני שובר</w:t>
      </w:r>
      <w:r w:rsidRPr="001D49D4">
        <w:rPr>
          <w:rFonts w:ascii="Calibri" w:eastAsia="Calibri" w:hAnsi="Calibri" w:cs="Arial"/>
          <w:sz w:val="18"/>
          <w:szCs w:val="18"/>
          <w:vertAlign w:val="superscript"/>
          <w:rtl/>
        </w:rPr>
        <w:footnoteReference w:id="4315"/>
      </w:r>
      <w:r w:rsidRPr="001D49D4">
        <w:rPr>
          <w:rFonts w:ascii="Calibri" w:eastAsia="Calibri" w:hAnsi="Calibri" w:cs="Arial"/>
          <w:sz w:val="18"/>
          <w:szCs w:val="18"/>
          <w:rtl/>
        </w:rPr>
        <w:t xml:space="preserve"> (מהרי"ק שורש פט). </w:t>
      </w:r>
      <w:r w:rsidRPr="001D49D4">
        <w:rPr>
          <w:rFonts w:ascii="Calibri" w:eastAsia="Calibri" w:hAnsi="Calibri" w:cs="Arial"/>
          <w:rtl/>
        </w:rPr>
        <w:t>כשכותבים שובר, אם זוכרים זמן השטר יכתבו שובר על שטר שזמנו כך וכך</w:t>
      </w:r>
      <w:r w:rsidRPr="001D49D4">
        <w:rPr>
          <w:rFonts w:ascii="Calibri" w:eastAsia="Calibri" w:hAnsi="Calibri" w:cs="Arial"/>
          <w:vertAlign w:val="superscript"/>
          <w:rtl/>
        </w:rPr>
        <w:footnoteReference w:id="4316"/>
      </w:r>
      <w:r w:rsidRPr="001D49D4">
        <w:rPr>
          <w:rFonts w:ascii="Calibri" w:eastAsia="Calibri" w:hAnsi="Calibri" w:cs="Arial"/>
          <w:rtl/>
        </w:rPr>
        <w:t>. ואם אין זוכרין אותו, יכתבו סתם על שטר שסכומו כך וכך, ולא יכתבו זמן בשובר</w:t>
      </w:r>
      <w:r w:rsidRPr="001D49D4">
        <w:rPr>
          <w:rFonts w:ascii="Calibri" w:eastAsia="Calibri" w:hAnsi="Calibri" w:cs="Arial"/>
          <w:vertAlign w:val="superscript"/>
          <w:rtl/>
        </w:rPr>
        <w:footnoteReference w:id="4317"/>
      </w:r>
      <w:r w:rsidRPr="001D49D4">
        <w:rPr>
          <w:rFonts w:ascii="Calibri" w:eastAsia="Calibri" w:hAnsi="Calibri" w:cs="Arial"/>
          <w:rtl/>
        </w:rPr>
        <w:t>, שמא איחרו העדים זמן ההלואה בשטר ונמצא שלפעמים זמן השובר קודם לזמן השטר, ויחזור ויוציא שטר חובו המאוחר ויטרוף בו. לפיכך אין לעדים לכתוב זמן בשובר, אלא אם כן זוכרים זמן ההלואה</w:t>
      </w:r>
      <w:r w:rsidRPr="001D49D4">
        <w:rPr>
          <w:rFonts w:ascii="Calibri" w:eastAsia="Calibri" w:hAnsi="Calibri" w:cs="Arial"/>
          <w:vertAlign w:val="superscript"/>
          <w:rtl/>
        </w:rPr>
        <w:footnoteReference w:id="4318"/>
      </w:r>
      <w:r w:rsidRPr="001D49D4">
        <w:rPr>
          <w:rFonts w:ascii="Calibri" w:eastAsia="Calibri" w:hAnsi="Calibri" w:cs="Arial"/>
          <w:rtl/>
        </w:rPr>
        <w:t xml:space="preserve">. שובר שנכתב סתם 'פלוני פרע לפלוני', מבטל כל שטר שיש לו עליו. </w:t>
      </w:r>
      <w:r w:rsidRPr="001D49D4">
        <w:rPr>
          <w:rFonts w:ascii="Calibri" w:eastAsia="Calibri" w:hAnsi="Calibri" w:cs="Arial"/>
          <w:sz w:val="18"/>
          <w:szCs w:val="18"/>
          <w:rtl/>
        </w:rPr>
        <w:t>הגה: וכן אם יש לזה עדים שפלוני יש לו שטר פרוע עליו, אינו יכול להוציא עליו שטר ולומר ששטר אחר פרוע היה לו עליו, אלא כל</w:t>
      </w:r>
      <w:r w:rsidRPr="001D49D4">
        <w:rPr>
          <w:rFonts w:ascii="Calibri" w:eastAsia="Calibri" w:hAnsi="Calibri" w:cs="Arial"/>
          <w:sz w:val="18"/>
          <w:szCs w:val="18"/>
          <w:vertAlign w:val="superscript"/>
          <w:rtl/>
        </w:rPr>
        <w:footnoteReference w:id="4319"/>
      </w:r>
      <w:r w:rsidRPr="001D49D4">
        <w:rPr>
          <w:rFonts w:ascii="Calibri" w:eastAsia="Calibri" w:hAnsi="Calibri" w:cs="Arial"/>
          <w:sz w:val="18"/>
          <w:szCs w:val="18"/>
          <w:rtl/>
        </w:rPr>
        <w:t xml:space="preserve"> שטרותיו בחזקת פרועים (רא"ש כלל יח סי' יט).</w:t>
      </w:r>
      <w:r w:rsidRPr="001D49D4">
        <w:rPr>
          <w:rFonts w:ascii="Calibri" w:eastAsia="Calibri" w:hAnsi="Calibri" w:cs="Arial"/>
          <w:rtl/>
        </w:rPr>
        <w:t xml:space="preserve"> </w:t>
      </w:r>
    </w:p>
    <w:p w14:paraId="2C64CB0F" w14:textId="77777777" w:rsidR="001D49D4" w:rsidRPr="001D49D4" w:rsidRDefault="001D49D4" w:rsidP="0004348D">
      <w:pPr>
        <w:spacing w:before="360" w:after="240"/>
        <w:rPr>
          <w:rFonts w:ascii="Calibri" w:eastAsia="Calibri" w:hAnsi="Calibri" w:cs="Arial"/>
          <w:u w:val="single"/>
          <w:rtl/>
        </w:rPr>
      </w:pPr>
      <w:r w:rsidRPr="001D49D4">
        <w:rPr>
          <w:rFonts w:ascii="Calibri" w:eastAsia="Calibri" w:hAnsi="Calibri" w:cs="Arial"/>
          <w:u w:val="single"/>
          <w:rtl/>
        </w:rPr>
        <w:t>שובר מאוחר:</w:t>
      </w:r>
    </w:p>
    <w:p w14:paraId="31CECE8C" w14:textId="77777777" w:rsidR="001D49D4" w:rsidRPr="001D49D4" w:rsidRDefault="001D49D4" w:rsidP="0004348D">
      <w:pPr>
        <w:numPr>
          <w:ilvl w:val="0"/>
          <w:numId w:val="311"/>
        </w:numPr>
        <w:spacing w:before="360" w:after="240"/>
        <w:contextualSpacing/>
        <w:rPr>
          <w:rtl/>
        </w:rPr>
      </w:pPr>
      <w:r w:rsidRPr="001D49D4">
        <w:rPr>
          <w:rtl/>
        </w:rPr>
        <w:t xml:space="preserve">ש"ך </w:t>
      </w:r>
      <w:r w:rsidRPr="001D49D4">
        <w:rPr>
          <w:sz w:val="16"/>
          <w:szCs w:val="16"/>
          <w:rtl/>
        </w:rPr>
        <w:t>(סקי"א)</w:t>
      </w:r>
      <w:r w:rsidRPr="001D49D4">
        <w:rPr>
          <w:rtl/>
        </w:rPr>
        <w:t xml:space="preserve">- כתב בתשובת מהר"א ן' ששון </w:t>
      </w:r>
      <w:r w:rsidRPr="001D49D4">
        <w:rPr>
          <w:sz w:val="16"/>
          <w:szCs w:val="16"/>
          <w:rtl/>
        </w:rPr>
        <w:t>(סי' קמה)</w:t>
      </w:r>
      <w:r w:rsidRPr="001D49D4">
        <w:rPr>
          <w:rtl/>
        </w:rPr>
        <w:t xml:space="preserve"> דשובר מאוחר פסול דדמי לשטר מוקדם, דשמא חזר והלוהו אחר המחילה הזאת. ואף על פי שאין דמיונו עולה יפה, דלא דמי לשטר מוקדם דפסול אפילו נעשה ברצון הלוה משום דטורף לקוחות שלא כדין, אבל הכא אם נעשה מרצון המלוה כשר, דאל"כ יפסול שובר שאין בו זמן. מ"מ דינו אמת, דשובר מאוחר פסול, דדמי לשטרי מקח וממכר המאוחרים דלעיל סי' מ"ג סע' י"ג ולקמן ס"ס רל"ט, דפסולים. ועוד דהכא נמי איכא למיחש שמא יש למלוה עוד שטר כזה שזמנו מאוחר מזמן הראשון, ומה שלא אמר כן לעדים, משום שחשב שיכתבו השובר בזמנו על שטר שזמנו כך וכך. ולפ"ז מיירי שידוע שהעדים ידעו זמן השטר ואיחרו זמן השובר בלא ידיעת המלוה, דאל"כ אין לפסול השובר מספק, אלא אמרינן מסתמא המלוה והעדים לא ידעו זמן השטר לכך איחרו השובר, או שאיחרוהו ברצון המלוה. </w:t>
      </w:r>
    </w:p>
    <w:p w14:paraId="65D6B15D" w14:textId="77777777" w:rsidR="001D49D4" w:rsidRPr="001D49D4" w:rsidRDefault="001D49D4" w:rsidP="0004348D">
      <w:pPr>
        <w:spacing w:before="360" w:after="240"/>
        <w:rPr>
          <w:rFonts w:ascii="Calibri" w:eastAsia="Calibri" w:hAnsi="Calibri" w:cs="Arial"/>
          <w:u w:val="single"/>
          <w:rtl/>
        </w:rPr>
      </w:pPr>
      <w:r w:rsidRPr="001D49D4">
        <w:rPr>
          <w:rFonts w:ascii="Calibri" w:eastAsia="Calibri" w:hAnsi="Calibri" w:cs="Arial"/>
          <w:u w:val="single"/>
          <w:rtl/>
        </w:rPr>
        <w:t>שובר מוקדם:</w:t>
      </w:r>
    </w:p>
    <w:p w14:paraId="785F3B30" w14:textId="77777777" w:rsidR="001D49D4" w:rsidRPr="001D49D4" w:rsidRDefault="001D49D4" w:rsidP="0004348D">
      <w:pPr>
        <w:numPr>
          <w:ilvl w:val="0"/>
          <w:numId w:val="311"/>
        </w:numPr>
        <w:spacing w:before="360" w:after="240"/>
        <w:contextualSpacing/>
        <w:rPr>
          <w:rtl/>
        </w:rPr>
      </w:pPr>
      <w:r w:rsidRPr="001D49D4">
        <w:rPr>
          <w:rtl/>
        </w:rPr>
        <w:t xml:space="preserve">ש"ך </w:t>
      </w:r>
      <w:r w:rsidRPr="001D49D4">
        <w:rPr>
          <w:sz w:val="16"/>
          <w:szCs w:val="16"/>
          <w:rtl/>
        </w:rPr>
        <w:t>(סק"ח)</w:t>
      </w:r>
      <w:r w:rsidRPr="001D49D4">
        <w:rPr>
          <w:rtl/>
        </w:rPr>
        <w:t>- כתב בתשו' מהר"א ן' ששון</w:t>
      </w:r>
      <w:r w:rsidRPr="001D49D4">
        <w:rPr>
          <w:sz w:val="16"/>
          <w:szCs w:val="16"/>
          <w:rtl/>
        </w:rPr>
        <w:t xml:space="preserve"> (סי' קמה)</w:t>
      </w:r>
      <w:r w:rsidRPr="001D49D4">
        <w:rPr>
          <w:rtl/>
        </w:rPr>
        <w:t xml:space="preserve"> ששובר מוקדם כשר, ואפילו שהקדימוהו לכתחילה ואפילו שלא בעצת הנמחל. ופשוט הוא, ולחנם האריך שם בפלפולים וכתב ועדיין צ"ע, שאין כאן צ"ע כלל, שהיאך יעלה על הדעת לפסול השובר שהוא לתועלת הלוה בשביל שהקדימו וגרעו כחו </w:t>
      </w:r>
      <w:r w:rsidRPr="001D49D4">
        <w:rPr>
          <w:sz w:val="16"/>
          <w:szCs w:val="16"/>
          <w:rtl/>
        </w:rPr>
        <w:t>(ועיין לקמן סי' סה סע' יח)</w:t>
      </w:r>
      <w:r w:rsidRPr="001D49D4">
        <w:rPr>
          <w:rtl/>
        </w:rPr>
        <w:t>.</w:t>
      </w:r>
    </w:p>
    <w:p w14:paraId="786E8AAF" w14:textId="77777777" w:rsidR="001D49D4" w:rsidRPr="001D49D4" w:rsidRDefault="001D49D4" w:rsidP="0004348D">
      <w:pPr>
        <w:spacing w:before="360" w:after="240"/>
        <w:rPr>
          <w:rFonts w:ascii="Calibri" w:eastAsia="Calibri" w:hAnsi="Calibri" w:cs="Arial"/>
          <w:rtl/>
        </w:rPr>
      </w:pPr>
    </w:p>
    <w:p w14:paraId="43CB4B4B" w14:textId="77777777" w:rsidR="001D49D4" w:rsidRPr="001D49D4" w:rsidRDefault="001D49D4" w:rsidP="0004348D">
      <w:pPr>
        <w:keepNext/>
        <w:keepLines/>
        <w:spacing w:before="360" w:after="240"/>
        <w:outlineLvl w:val="1"/>
        <w:rPr>
          <w:rFonts w:ascii="Cambria" w:eastAsia="Times New Roman" w:hAnsi="Cambria" w:cs="Arial"/>
          <w:bCs/>
          <w:color w:val="548DD4" w:themeColor="text2" w:themeTint="99"/>
          <w:sz w:val="26"/>
          <w:szCs w:val="26"/>
          <w:rtl/>
        </w:rPr>
      </w:pPr>
      <w:bookmarkStart w:id="581" w:name="_Toc24884008"/>
      <w:r w:rsidRPr="001D49D4">
        <w:rPr>
          <w:rFonts w:ascii="Cambria" w:eastAsia="Times New Roman" w:hAnsi="Cambria" w:cs="Arial"/>
          <w:bCs/>
          <w:color w:val="548DD4" w:themeColor="text2" w:themeTint="99"/>
          <w:sz w:val="26"/>
          <w:szCs w:val="26"/>
          <w:rtl/>
        </w:rPr>
        <w:t>סעיף ד: זמן השטר והשובר ביום אחד.</w:t>
      </w:r>
      <w:bookmarkEnd w:id="581"/>
    </w:p>
    <w:p w14:paraId="69144F7D" w14:textId="77777777" w:rsidR="001D49D4" w:rsidRPr="001D49D4" w:rsidRDefault="001D49D4" w:rsidP="0004348D">
      <w:pPr>
        <w:spacing w:before="360" w:after="240"/>
        <w:rPr>
          <w:rFonts w:ascii="Arial" w:eastAsia="Calibri" w:hAnsi="Arial" w:cs="Arial"/>
          <w:b/>
          <w:bCs/>
          <w:color w:val="000000"/>
          <w:sz w:val="28"/>
          <w:szCs w:val="28"/>
          <w:u w:val="single"/>
          <w:rtl/>
        </w:rPr>
      </w:pPr>
      <w:r w:rsidRPr="001D49D4">
        <w:rPr>
          <w:rFonts w:ascii="Arial" w:eastAsia="Calibri" w:hAnsi="Arial" w:cs="Arial"/>
          <w:b/>
          <w:bCs/>
          <w:color w:val="000000"/>
          <w:sz w:val="28"/>
          <w:szCs w:val="28"/>
          <w:u w:val="single"/>
          <w:rtl/>
        </w:rPr>
        <w:t>שו"ע:</w:t>
      </w:r>
    </w:p>
    <w:p w14:paraId="4B3A670B"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rtl/>
        </w:rPr>
        <w:t>אם זמן השטר והשובר ביום אחד, נתבאר בסימן מ"ג</w:t>
      </w:r>
      <w:r w:rsidRPr="001D49D4">
        <w:rPr>
          <w:rFonts w:ascii="Calibri" w:eastAsia="Calibri" w:hAnsi="Calibri" w:cs="Arial"/>
          <w:vertAlign w:val="superscript"/>
          <w:rtl/>
        </w:rPr>
        <w:footnoteReference w:id="4320"/>
      </w:r>
      <w:r w:rsidRPr="001D49D4">
        <w:rPr>
          <w:rFonts w:ascii="Calibri" w:eastAsia="Calibri" w:hAnsi="Calibri" w:cs="Arial"/>
          <w:rtl/>
        </w:rPr>
        <w:t>.</w:t>
      </w:r>
    </w:p>
    <w:p w14:paraId="1A8FFBC6" w14:textId="77777777" w:rsidR="001D49D4" w:rsidRPr="001D49D4" w:rsidRDefault="001D49D4" w:rsidP="0004348D">
      <w:pPr>
        <w:spacing w:before="360" w:after="240"/>
        <w:rPr>
          <w:rFonts w:ascii="Calibri" w:eastAsia="Calibri" w:hAnsi="Calibri" w:cs="Arial"/>
          <w:rtl/>
        </w:rPr>
      </w:pPr>
    </w:p>
    <w:p w14:paraId="20BA8830" w14:textId="77777777" w:rsidR="001D49D4" w:rsidRPr="001D49D4" w:rsidRDefault="001D49D4" w:rsidP="0004348D">
      <w:pPr>
        <w:keepNext/>
        <w:keepLines/>
        <w:spacing w:before="360" w:after="240"/>
        <w:outlineLvl w:val="1"/>
        <w:rPr>
          <w:rFonts w:ascii="Cambria" w:eastAsia="Times New Roman" w:hAnsi="Cambria" w:cs="Arial"/>
          <w:bCs/>
          <w:color w:val="548DD4" w:themeColor="text2" w:themeTint="99"/>
          <w:sz w:val="26"/>
          <w:szCs w:val="26"/>
          <w:rtl/>
        </w:rPr>
      </w:pPr>
      <w:bookmarkStart w:id="582" w:name="_Toc24884009"/>
      <w:r w:rsidRPr="001D49D4">
        <w:rPr>
          <w:rFonts w:ascii="Cambria" w:eastAsia="Times New Roman" w:hAnsi="Cambria" w:cs="Arial"/>
          <w:bCs/>
          <w:color w:val="548DD4" w:themeColor="text2" w:themeTint="99"/>
          <w:sz w:val="26"/>
          <w:szCs w:val="26"/>
          <w:rtl/>
        </w:rPr>
        <w:t>סעיף ה: שובר שלא נתבאר בו סכום הפרעון.</w:t>
      </w:r>
      <w:bookmarkEnd w:id="582"/>
    </w:p>
    <w:p w14:paraId="2F076830" w14:textId="77777777" w:rsidR="001D49D4" w:rsidRPr="001D49D4" w:rsidRDefault="001D49D4" w:rsidP="0004348D">
      <w:pPr>
        <w:spacing w:before="360" w:after="240"/>
        <w:rPr>
          <w:rFonts w:ascii="Calibri" w:eastAsia="Calibri" w:hAnsi="Calibri" w:cs="Arial"/>
          <w:u w:val="single"/>
          <w:rtl/>
        </w:rPr>
      </w:pPr>
      <w:r w:rsidRPr="001D49D4">
        <w:rPr>
          <w:rFonts w:ascii="Calibri" w:eastAsia="Calibri" w:hAnsi="Calibri" w:cs="Arial"/>
          <w:u w:val="single"/>
          <w:rtl/>
        </w:rPr>
        <w:t>שובר שלא נתבאר בו סכום הפרעון:</w:t>
      </w:r>
    </w:p>
    <w:p w14:paraId="4A34CF9B" w14:textId="77777777" w:rsidR="001D49D4" w:rsidRPr="001D49D4" w:rsidRDefault="001D49D4" w:rsidP="0004348D">
      <w:pPr>
        <w:numPr>
          <w:ilvl w:val="0"/>
          <w:numId w:val="311"/>
        </w:numPr>
        <w:spacing w:before="360" w:after="240"/>
        <w:contextualSpacing/>
        <w:rPr>
          <w:rtl/>
        </w:rPr>
      </w:pPr>
      <w:r w:rsidRPr="001D49D4">
        <w:rPr>
          <w:rtl/>
        </w:rPr>
        <w:t>רמב"ן</w:t>
      </w:r>
      <w:r w:rsidRPr="001D49D4">
        <w:rPr>
          <w:vertAlign w:val="superscript"/>
          <w:rtl/>
        </w:rPr>
        <w:footnoteReference w:id="4321"/>
      </w:r>
      <w:r w:rsidRPr="001D49D4">
        <w:rPr>
          <w:rtl/>
        </w:rPr>
        <w:t xml:space="preserve"> בעל התרומות הה"מ וטור</w:t>
      </w:r>
      <w:r w:rsidRPr="001D49D4">
        <w:rPr>
          <w:vertAlign w:val="superscript"/>
          <w:rtl/>
        </w:rPr>
        <w:footnoteReference w:id="4322"/>
      </w:r>
      <w:r w:rsidRPr="001D49D4">
        <w:rPr>
          <w:rtl/>
        </w:rPr>
        <w:t>- אם כתוב בו דינרים סתם</w:t>
      </w:r>
      <w:r w:rsidRPr="001D49D4">
        <w:rPr>
          <w:vertAlign w:val="superscript"/>
          <w:rtl/>
        </w:rPr>
        <w:footnoteReference w:id="4323"/>
      </w:r>
      <w:r w:rsidRPr="001D49D4">
        <w:rPr>
          <w:rtl/>
        </w:rPr>
        <w:t xml:space="preserve"> - מבטל כל שטר שיש לו עליו</w:t>
      </w:r>
      <w:r w:rsidRPr="001D49D4">
        <w:rPr>
          <w:vertAlign w:val="superscript"/>
          <w:rtl/>
        </w:rPr>
        <w:footnoteReference w:id="4324"/>
      </w:r>
      <w:r w:rsidRPr="001D49D4">
        <w:rPr>
          <w:rtl/>
        </w:rPr>
        <w:t>. אבל אם היה כתוב כך וכך דינרין ונמחק הסכום ונשאר דינרין או שכתוב הסכום על המחק ולא נתקיים - פסול</w:t>
      </w:r>
      <w:r w:rsidRPr="001D49D4">
        <w:rPr>
          <w:vertAlign w:val="superscript"/>
          <w:rtl/>
        </w:rPr>
        <w:footnoteReference w:id="4325"/>
      </w:r>
      <w:r w:rsidRPr="001D49D4">
        <w:rPr>
          <w:sz w:val="16"/>
          <w:szCs w:val="16"/>
          <w:rtl/>
        </w:rPr>
        <w:t>{ל' הטור}</w:t>
      </w:r>
      <w:r w:rsidRPr="001D49D4">
        <w:rPr>
          <w:rtl/>
        </w:rPr>
        <w:t>.</w:t>
      </w:r>
      <w:r w:rsidRPr="001D49D4">
        <w:rPr>
          <w:color w:val="E36C0A" w:themeColor="accent6" w:themeShade="BF"/>
          <w:rtl/>
        </w:rPr>
        <w:t xml:space="preserve"> (וכ"פ בשו"ע)</w:t>
      </w:r>
    </w:p>
    <w:p w14:paraId="670D42CD" w14:textId="77777777" w:rsidR="001D49D4" w:rsidRPr="001D49D4" w:rsidRDefault="001D49D4" w:rsidP="0004348D">
      <w:pPr>
        <w:numPr>
          <w:ilvl w:val="0"/>
          <w:numId w:val="311"/>
        </w:numPr>
        <w:spacing w:before="360" w:after="240"/>
        <w:contextualSpacing/>
      </w:pPr>
      <w:r w:rsidRPr="001D49D4">
        <w:rPr>
          <w:rtl/>
        </w:rPr>
        <w:t xml:space="preserve">רשב"א </w:t>
      </w:r>
      <w:r w:rsidRPr="001D49D4">
        <w:rPr>
          <w:sz w:val="16"/>
          <w:szCs w:val="16"/>
          <w:rtl/>
        </w:rPr>
        <w:t>(תולדות אדם סי' שנה)</w:t>
      </w:r>
      <w:r w:rsidRPr="001D49D4">
        <w:rPr>
          <w:rtl/>
        </w:rPr>
        <w:t>- שאלת, ראובן שהוציא שטר חוב על שמעון, ושמעון טוען שפרעו כולו ומוציא שובר וכתוב בו כי ראובן מודה שפרע לו דינרים, וטען ראובן שלא פרע לו כי אם שני דינרים. תשובה... יש לבית דין לחקור הדבר הרבה, ואם לא יוכלו להעמיד הדבר על בוריו - ליקום שטרא ביד מלוה ומעות היכא דקיימו לוקמו עד שיתגלה הדבר. ואי תפס לא מפקינן מיניה.</w:t>
      </w:r>
    </w:p>
    <w:p w14:paraId="02C895FB" w14:textId="77777777" w:rsidR="001D49D4" w:rsidRPr="001D49D4" w:rsidRDefault="001D49D4" w:rsidP="0004348D">
      <w:pPr>
        <w:spacing w:before="360" w:after="240"/>
        <w:rPr>
          <w:rFonts w:ascii="Calibri" w:eastAsia="Calibri" w:hAnsi="Calibri" w:cs="Arial"/>
          <w:sz w:val="16"/>
          <w:szCs w:val="16"/>
        </w:rPr>
      </w:pPr>
      <w:r w:rsidRPr="001D49D4">
        <w:rPr>
          <w:rFonts w:ascii="Calibri" w:eastAsia="Calibri" w:hAnsi="Calibri" w:cs="Arial"/>
          <w:u w:val="single"/>
          <w:rtl/>
        </w:rPr>
        <w:t>כתיבת מקצת פרעון ביני שיטי:</w:t>
      </w:r>
      <w:r w:rsidRPr="001D49D4">
        <w:rPr>
          <w:rFonts w:ascii="Calibri" w:eastAsia="Calibri" w:hAnsi="Calibri" w:cs="Arial"/>
          <w:sz w:val="16"/>
          <w:szCs w:val="16"/>
          <w:rtl/>
        </w:rPr>
        <w:t xml:space="preserve">   (דרכ"מ אות ה)</w:t>
      </w:r>
    </w:p>
    <w:p w14:paraId="642E7A0D" w14:textId="77777777" w:rsidR="001D49D4" w:rsidRPr="001D49D4" w:rsidRDefault="001D49D4" w:rsidP="0004348D">
      <w:pPr>
        <w:numPr>
          <w:ilvl w:val="0"/>
          <w:numId w:val="311"/>
        </w:numPr>
        <w:spacing w:before="360" w:after="240"/>
        <w:contextualSpacing/>
      </w:pPr>
      <w:r w:rsidRPr="001D49D4">
        <w:rPr>
          <w:rtl/>
        </w:rPr>
        <w:t xml:space="preserve">רא"ש </w:t>
      </w:r>
      <w:r w:rsidRPr="001D49D4">
        <w:rPr>
          <w:sz w:val="16"/>
          <w:szCs w:val="16"/>
          <w:rtl/>
        </w:rPr>
        <w:t>(כלל סח סי' יז)</w:t>
      </w:r>
      <w:r w:rsidRPr="001D49D4">
        <w:rPr>
          <w:rtl/>
        </w:rPr>
        <w:t>- אם נכתב מקצת הפרעון ביני שיטי יהא נזהר שלא יהא נכתב על הגרר או על המחק, דאם כן יש לחוש דכל השטר פרוע חוץ מזהוב אחד. מכל מקום אם הכתיבה מיד הלוה - השטר כשר, דאם איתא דפרע טפי היה כותבו שם.</w:t>
      </w:r>
    </w:p>
    <w:p w14:paraId="660D2395" w14:textId="77777777" w:rsidR="001D49D4" w:rsidRPr="001D49D4" w:rsidRDefault="001D49D4" w:rsidP="0004348D">
      <w:pPr>
        <w:spacing w:before="360" w:after="240"/>
        <w:rPr>
          <w:rFonts w:ascii="Arial" w:eastAsia="Calibri" w:hAnsi="Arial" w:cs="Arial"/>
          <w:b/>
          <w:bCs/>
          <w:color w:val="000000"/>
          <w:sz w:val="28"/>
          <w:szCs w:val="28"/>
          <w:u w:val="single"/>
          <w:rtl/>
        </w:rPr>
      </w:pPr>
      <w:r w:rsidRPr="001D49D4">
        <w:rPr>
          <w:rFonts w:ascii="Arial" w:eastAsia="Calibri" w:hAnsi="Arial" w:cs="Arial"/>
          <w:b/>
          <w:bCs/>
          <w:color w:val="000000"/>
          <w:sz w:val="28"/>
          <w:szCs w:val="28"/>
          <w:u w:val="single"/>
          <w:rtl/>
        </w:rPr>
        <w:t>שו"ע:</w:t>
      </w:r>
    </w:p>
    <w:p w14:paraId="211AFA53"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rtl/>
        </w:rPr>
        <w:t>אם כתוב בשובר דינרין, סתם, מבטל כל שטר שיש לו עליו</w:t>
      </w:r>
      <w:r w:rsidRPr="001D49D4">
        <w:rPr>
          <w:rFonts w:ascii="Calibri" w:eastAsia="Calibri" w:hAnsi="Calibri" w:cs="Arial"/>
          <w:vertAlign w:val="superscript"/>
          <w:rtl/>
        </w:rPr>
        <w:footnoteReference w:id="4326"/>
      </w:r>
      <w:r w:rsidRPr="001D49D4">
        <w:rPr>
          <w:rFonts w:ascii="Calibri" w:eastAsia="Calibri" w:hAnsi="Calibri" w:cs="Arial"/>
          <w:rtl/>
        </w:rPr>
        <w:t>. אבל אם היה כתוב בו כך וכך דינרין, ונמחק הסכום, ונשאר דינרים, או שכתוב הסכום על המחק ולא נתקיים, אין דנין בו אלא בפחות שבלשונות.</w:t>
      </w:r>
    </w:p>
    <w:p w14:paraId="23020AE9" w14:textId="77777777" w:rsidR="001D49D4" w:rsidRPr="001D49D4" w:rsidRDefault="001D49D4" w:rsidP="0004348D">
      <w:pPr>
        <w:spacing w:before="360" w:after="240"/>
        <w:rPr>
          <w:rFonts w:ascii="Calibri" w:eastAsia="Calibri" w:hAnsi="Calibri" w:cs="Arial"/>
          <w:rtl/>
        </w:rPr>
      </w:pPr>
    </w:p>
    <w:p w14:paraId="20694E6F" w14:textId="77777777" w:rsidR="001D49D4" w:rsidRPr="001D49D4" w:rsidRDefault="001D49D4" w:rsidP="0004348D">
      <w:pPr>
        <w:spacing w:before="360" w:after="240"/>
        <w:rPr>
          <w:rFonts w:ascii="Calibri" w:eastAsia="Calibri" w:hAnsi="Calibri" w:cs="Arial"/>
          <w:rtl/>
        </w:rPr>
      </w:pPr>
    </w:p>
    <w:p w14:paraId="02F2BE3D" w14:textId="77777777" w:rsidR="001D49D4" w:rsidRPr="001D49D4" w:rsidRDefault="001D49D4" w:rsidP="0004348D">
      <w:pPr>
        <w:bidi w:val="0"/>
        <w:spacing w:before="360" w:after="240"/>
        <w:rPr>
          <w:rFonts w:ascii="Cambria" w:eastAsia="Times New Roman" w:hAnsi="Cambria" w:cs="Arial"/>
          <w:b/>
          <w:bCs/>
          <w:color w:val="365F91" w:themeColor="accent1" w:themeShade="BF"/>
          <w:sz w:val="28"/>
          <w:szCs w:val="28"/>
          <w:rtl/>
        </w:rPr>
        <w:sectPr w:rsidR="001D49D4" w:rsidRPr="001D49D4">
          <w:headerReference w:type="default" r:id="rId63"/>
          <w:footnotePr>
            <w:numRestart w:val="eachPage"/>
          </w:footnotePr>
          <w:pgSz w:w="11906" w:h="16838"/>
          <w:pgMar w:top="720" w:right="1134" w:bottom="720" w:left="1134" w:header="0" w:footer="0" w:gutter="0"/>
          <w:cols w:space="720"/>
          <w:bidi/>
          <w:rtlGutter/>
        </w:sectPr>
      </w:pPr>
    </w:p>
    <w:p w14:paraId="3578C955" w14:textId="77777777" w:rsidR="001D49D4" w:rsidRPr="001D49D4" w:rsidRDefault="001D49D4" w:rsidP="0004348D">
      <w:pPr>
        <w:keepNext/>
        <w:keepLines/>
        <w:spacing w:before="360" w:after="240"/>
        <w:outlineLvl w:val="0"/>
        <w:rPr>
          <w:rFonts w:ascii="Cambria" w:eastAsia="Times New Roman" w:hAnsi="Cambria" w:cs="Arial"/>
          <w:b/>
          <w:bCs/>
          <w:color w:val="365F91" w:themeColor="accent1" w:themeShade="BF"/>
          <w:sz w:val="28"/>
          <w:szCs w:val="28"/>
          <w:rtl/>
        </w:rPr>
      </w:pPr>
      <w:bookmarkStart w:id="583" w:name="_Toc24884010"/>
      <w:r w:rsidRPr="001D49D4">
        <w:rPr>
          <w:rFonts w:ascii="Cambria" w:eastAsia="Times New Roman" w:hAnsi="Cambria" w:cs="Arial"/>
          <w:b/>
          <w:bCs/>
          <w:color w:val="365F91" w:themeColor="accent1" w:themeShade="BF"/>
          <w:sz w:val="28"/>
          <w:szCs w:val="28"/>
          <w:rtl/>
        </w:rPr>
        <w:t>סימן נה: דין מי שפרע מקצת חובו והשליש שטרו, ובו ב' סעיפים.</w:t>
      </w:r>
      <w:bookmarkEnd w:id="583"/>
      <w:r w:rsidRPr="001D49D4">
        <w:rPr>
          <w:rFonts w:ascii="Cambria" w:eastAsia="Times New Roman" w:hAnsi="Cambria" w:cs="Arial"/>
          <w:b/>
          <w:bCs/>
          <w:color w:val="365F91" w:themeColor="accent1" w:themeShade="BF"/>
          <w:sz w:val="28"/>
          <w:szCs w:val="28"/>
          <w:rtl/>
        </w:rPr>
        <w:t xml:space="preserve"> </w:t>
      </w:r>
    </w:p>
    <w:p w14:paraId="75D08AEF" w14:textId="77777777" w:rsidR="001D49D4" w:rsidRPr="001D49D4" w:rsidRDefault="001D49D4" w:rsidP="0004348D">
      <w:pPr>
        <w:keepNext/>
        <w:keepLines/>
        <w:spacing w:before="360" w:after="240"/>
        <w:outlineLvl w:val="1"/>
        <w:rPr>
          <w:rFonts w:ascii="Cambria" w:eastAsia="Times New Roman" w:hAnsi="Cambria" w:cs="Arial"/>
          <w:bCs/>
          <w:color w:val="548DD4" w:themeColor="text2" w:themeTint="99"/>
          <w:sz w:val="26"/>
          <w:szCs w:val="26"/>
          <w:rtl/>
        </w:rPr>
      </w:pPr>
      <w:bookmarkStart w:id="584" w:name="_Toc24884011"/>
      <w:r w:rsidRPr="001D49D4">
        <w:rPr>
          <w:rFonts w:ascii="Cambria" w:eastAsia="Times New Roman" w:hAnsi="Cambria" w:cs="Arial"/>
          <w:bCs/>
          <w:color w:val="548DD4" w:themeColor="text2" w:themeTint="99"/>
          <w:sz w:val="26"/>
          <w:szCs w:val="26"/>
          <w:rtl/>
        </w:rPr>
        <w:t>סעיף א: לוה שפרע מקצת חובו והשליש שטרו ביד שליש.</w:t>
      </w:r>
      <w:bookmarkEnd w:id="584"/>
    </w:p>
    <w:p w14:paraId="5C6EE77C"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b/>
          <w:bCs/>
          <w:rtl/>
        </w:rPr>
        <w:t xml:space="preserve">בבא בתרא </w:t>
      </w:r>
      <w:r w:rsidRPr="001D49D4">
        <w:rPr>
          <w:rFonts w:ascii="Calibri" w:eastAsia="Calibri" w:hAnsi="Calibri" w:cs="Arial"/>
          <w:b/>
          <w:bCs/>
          <w:sz w:val="16"/>
          <w:szCs w:val="16"/>
          <w:rtl/>
        </w:rPr>
        <w:t>(פרק גט פשוט)</w:t>
      </w:r>
      <w:r w:rsidRPr="001D49D4">
        <w:rPr>
          <w:rFonts w:ascii="Calibri" w:eastAsia="Calibri" w:hAnsi="Calibri" w:cs="Arial"/>
          <w:b/>
          <w:bCs/>
          <w:rtl/>
        </w:rPr>
        <w:t xml:space="preserve"> קסח</w:t>
      </w:r>
      <w:r w:rsidRPr="001D49D4">
        <w:rPr>
          <w:rFonts w:ascii="Calibri" w:eastAsia="Calibri" w:hAnsi="Calibri" w:cs="Arial"/>
          <w:b/>
          <w:bCs/>
          <w:vertAlign w:val="superscript"/>
          <w:rtl/>
        </w:rPr>
        <w:footnoteReference w:id="4327"/>
      </w:r>
      <w:r w:rsidRPr="001D49D4">
        <w:rPr>
          <w:rFonts w:ascii="Calibri" w:eastAsia="Calibri" w:hAnsi="Calibri" w:cs="Arial"/>
          <w:b/>
          <w:bCs/>
          <w:rtl/>
        </w:rPr>
        <w:t xml:space="preserve"> ע"א:</w:t>
      </w:r>
      <w:r w:rsidRPr="001D49D4">
        <w:rPr>
          <w:rFonts w:ascii="Calibri" w:eastAsia="Calibri" w:hAnsi="Calibri" w:cs="Arial"/>
          <w:rtl/>
        </w:rPr>
        <w:t xml:space="preserve"> </w:t>
      </w:r>
      <w:r w:rsidRPr="001D49D4">
        <w:rPr>
          <w:rFonts w:ascii="Calibri" w:eastAsia="Calibri" w:hAnsi="Calibri" w:cs="Arial"/>
          <w:u w:val="double"/>
          <w:rtl/>
        </w:rPr>
        <w:t>מתני'</w:t>
      </w:r>
      <w:r w:rsidRPr="001D49D4">
        <w:rPr>
          <w:rFonts w:ascii="Calibri" w:eastAsia="Calibri" w:hAnsi="Calibri" w:cs="Arial"/>
          <w:rtl/>
        </w:rPr>
        <w:t xml:space="preserve">: מי שפרע מקצת חובו, והשליש את שטרו ואמר לו: אם לא אתן לך מכאן ועד יום פלוני תן לו שטרו, הגיע זמן ולא נתן - </w:t>
      </w:r>
      <w:r w:rsidRPr="001D49D4">
        <w:rPr>
          <w:rFonts w:ascii="Calibri" w:eastAsia="Calibri" w:hAnsi="Calibri" w:cs="Arial"/>
          <w:u w:val="single"/>
          <w:rtl/>
        </w:rPr>
        <w:t>רבי יוסי אומר</w:t>
      </w:r>
      <w:r w:rsidRPr="001D49D4">
        <w:rPr>
          <w:rFonts w:ascii="Calibri" w:eastAsia="Calibri" w:hAnsi="Calibri" w:cs="Arial"/>
          <w:rtl/>
        </w:rPr>
        <w:t xml:space="preserve">: יתן, </w:t>
      </w:r>
      <w:r w:rsidRPr="001D49D4">
        <w:rPr>
          <w:rFonts w:ascii="Calibri" w:eastAsia="Calibri" w:hAnsi="Calibri" w:cs="Arial"/>
          <w:u w:val="single"/>
          <w:rtl/>
        </w:rPr>
        <w:t>רבי יהודה אומר</w:t>
      </w:r>
      <w:r w:rsidRPr="001D49D4">
        <w:rPr>
          <w:rFonts w:ascii="Calibri" w:eastAsia="Calibri" w:hAnsi="Calibri" w:cs="Arial"/>
          <w:rtl/>
        </w:rPr>
        <w:t xml:space="preserve">: לא יתן.     </w:t>
      </w:r>
      <w:r w:rsidRPr="001D49D4">
        <w:rPr>
          <w:rFonts w:ascii="Calibri" w:eastAsia="Calibri" w:hAnsi="Calibri" w:cs="Arial"/>
          <w:u w:val="double"/>
          <w:rtl/>
        </w:rPr>
        <w:t>גמ'</w:t>
      </w:r>
      <w:r w:rsidRPr="001D49D4">
        <w:rPr>
          <w:rFonts w:ascii="Calibri" w:eastAsia="Calibri" w:hAnsi="Calibri" w:cs="Arial"/>
          <w:rtl/>
        </w:rPr>
        <w:t xml:space="preserve">: במאי קמיפלגי? </w:t>
      </w:r>
      <w:r w:rsidRPr="001D49D4">
        <w:rPr>
          <w:rFonts w:ascii="Calibri" w:eastAsia="Calibri" w:hAnsi="Calibri" w:cs="Arial"/>
          <w:u w:val="single"/>
          <w:rtl/>
        </w:rPr>
        <w:t>ר' יוסי סבר</w:t>
      </w:r>
      <w:r w:rsidRPr="001D49D4">
        <w:rPr>
          <w:rFonts w:ascii="Calibri" w:eastAsia="Calibri" w:hAnsi="Calibri" w:cs="Arial"/>
          <w:rtl/>
        </w:rPr>
        <w:t xml:space="preserve">: אסמכתא קניא, </w:t>
      </w:r>
      <w:r w:rsidRPr="001D49D4">
        <w:rPr>
          <w:rFonts w:ascii="Calibri" w:eastAsia="Calibri" w:hAnsi="Calibri" w:cs="Arial"/>
          <w:u w:val="single"/>
          <w:rtl/>
        </w:rPr>
        <w:t>ורבי יהודה סבר</w:t>
      </w:r>
      <w:r w:rsidRPr="001D49D4">
        <w:rPr>
          <w:rFonts w:ascii="Calibri" w:eastAsia="Calibri" w:hAnsi="Calibri" w:cs="Arial"/>
          <w:rtl/>
        </w:rPr>
        <w:t xml:space="preserve">: אסמכתא לא קניא. </w:t>
      </w:r>
      <w:r w:rsidRPr="001D49D4">
        <w:rPr>
          <w:rFonts w:ascii="Calibri" w:eastAsia="Calibri" w:hAnsi="Calibri" w:cs="Arial"/>
          <w:u w:val="single"/>
          <w:rtl/>
        </w:rPr>
        <w:t>אמר רב נחמן אמר רבה בר אבוה אמר רב</w:t>
      </w:r>
      <w:r w:rsidRPr="001D49D4">
        <w:rPr>
          <w:rFonts w:ascii="Calibri" w:eastAsia="Calibri" w:hAnsi="Calibri" w:cs="Arial"/>
          <w:rtl/>
        </w:rPr>
        <w:t xml:space="preserve">: הלכה כרבי יוסי. </w:t>
      </w:r>
      <w:r w:rsidRPr="001D49D4">
        <w:rPr>
          <w:rFonts w:ascii="Calibri" w:eastAsia="Calibri" w:hAnsi="Calibri" w:cs="Arial"/>
          <w:u w:val="single"/>
          <w:rtl/>
        </w:rPr>
        <w:t>כי אתו לקמיה דרבי אמי</w:t>
      </w:r>
      <w:r w:rsidRPr="001D49D4">
        <w:rPr>
          <w:rFonts w:ascii="Calibri" w:eastAsia="Calibri" w:hAnsi="Calibri" w:cs="Arial"/>
          <w:u w:val="single"/>
          <w:vertAlign w:val="superscript"/>
          <w:rtl/>
        </w:rPr>
        <w:footnoteReference w:id="4328"/>
      </w:r>
      <w:r w:rsidRPr="001D49D4">
        <w:rPr>
          <w:rFonts w:ascii="Calibri" w:eastAsia="Calibri" w:hAnsi="Calibri" w:cs="Arial"/>
          <w:u w:val="single"/>
          <w:rtl/>
        </w:rPr>
        <w:t xml:space="preserve"> אמר להו</w:t>
      </w:r>
      <w:r w:rsidRPr="001D49D4">
        <w:rPr>
          <w:rFonts w:ascii="Calibri" w:eastAsia="Calibri" w:hAnsi="Calibri" w:cs="Arial"/>
          <w:rtl/>
        </w:rPr>
        <w:t>: וכי מאחר שרבי יוחנן מלמדנו פעם ראשונה ושניה הלכה כרבי יוסי, אני מה אעשה</w:t>
      </w:r>
      <w:r w:rsidRPr="001D49D4">
        <w:rPr>
          <w:rFonts w:ascii="Calibri" w:eastAsia="Calibri" w:hAnsi="Calibri" w:cs="Arial"/>
          <w:vertAlign w:val="superscript"/>
          <w:rtl/>
        </w:rPr>
        <w:footnoteReference w:id="4329"/>
      </w:r>
      <w:r w:rsidRPr="001D49D4">
        <w:rPr>
          <w:rFonts w:ascii="Calibri" w:eastAsia="Calibri" w:hAnsi="Calibri" w:cs="Arial"/>
          <w:rtl/>
        </w:rPr>
        <w:t>?. ואין הלכה כרבי יוסי</w:t>
      </w:r>
      <w:r w:rsidRPr="001D49D4">
        <w:rPr>
          <w:rFonts w:ascii="Calibri" w:eastAsia="Calibri" w:hAnsi="Calibri" w:cs="Arial"/>
          <w:vertAlign w:val="superscript"/>
          <w:rtl/>
        </w:rPr>
        <w:footnoteReference w:id="4330"/>
      </w:r>
      <w:r w:rsidRPr="001D49D4">
        <w:rPr>
          <w:rFonts w:ascii="Calibri" w:eastAsia="Calibri" w:hAnsi="Calibri" w:cs="Arial"/>
          <w:rtl/>
        </w:rPr>
        <w:t>.</w:t>
      </w:r>
    </w:p>
    <w:p w14:paraId="25B37935"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b/>
          <w:bCs/>
          <w:rtl/>
        </w:rPr>
        <w:t xml:space="preserve">נדרים </w:t>
      </w:r>
      <w:r w:rsidRPr="001D49D4">
        <w:rPr>
          <w:rFonts w:ascii="Calibri" w:eastAsia="Calibri" w:hAnsi="Calibri" w:cs="Arial"/>
          <w:b/>
          <w:bCs/>
          <w:sz w:val="16"/>
          <w:szCs w:val="16"/>
          <w:rtl/>
        </w:rPr>
        <w:t>(פרק ארבעה נדרים)</w:t>
      </w:r>
      <w:r w:rsidRPr="001D49D4">
        <w:rPr>
          <w:rFonts w:ascii="Calibri" w:eastAsia="Calibri" w:hAnsi="Calibri" w:cs="Arial"/>
          <w:b/>
          <w:bCs/>
          <w:rtl/>
        </w:rPr>
        <w:t xml:space="preserve"> כז</w:t>
      </w:r>
      <w:r w:rsidRPr="001D49D4">
        <w:rPr>
          <w:rFonts w:ascii="Calibri" w:eastAsia="Calibri" w:hAnsi="Calibri" w:cs="Arial"/>
          <w:b/>
          <w:bCs/>
          <w:vertAlign w:val="superscript"/>
          <w:rtl/>
        </w:rPr>
        <w:footnoteReference w:id="4331"/>
      </w:r>
      <w:r w:rsidRPr="001D49D4">
        <w:rPr>
          <w:rFonts w:ascii="Calibri" w:eastAsia="Calibri" w:hAnsi="Calibri" w:cs="Arial"/>
          <w:b/>
          <w:bCs/>
          <w:rtl/>
        </w:rPr>
        <w:t xml:space="preserve"> ע"א:</w:t>
      </w:r>
      <w:r w:rsidRPr="001D49D4">
        <w:rPr>
          <w:rFonts w:ascii="Calibri" w:eastAsia="Calibri" w:hAnsi="Calibri" w:cs="Arial"/>
          <w:rtl/>
        </w:rPr>
        <w:t xml:space="preserve"> ההוא גברא דאתפיס זכוותא בבי דינא, ואמר: אי לא אתינא עד תלתין יומין ליבטלון הני זכוותאי. איתניס ולא אתא, </w:t>
      </w:r>
      <w:r w:rsidRPr="001D49D4">
        <w:rPr>
          <w:rFonts w:ascii="Calibri" w:eastAsia="Calibri" w:hAnsi="Calibri" w:cs="Arial"/>
          <w:u w:val="single"/>
          <w:rtl/>
        </w:rPr>
        <w:t>אמר רב הונא</w:t>
      </w:r>
      <w:r w:rsidRPr="001D49D4">
        <w:rPr>
          <w:rFonts w:ascii="Calibri" w:eastAsia="Calibri" w:hAnsi="Calibri" w:cs="Arial"/>
          <w:rtl/>
        </w:rPr>
        <w:t xml:space="preserve">: בטיל זכוותיה. </w:t>
      </w:r>
      <w:r w:rsidRPr="001D49D4">
        <w:rPr>
          <w:rFonts w:ascii="Calibri" w:eastAsia="Calibri" w:hAnsi="Calibri" w:cs="Arial"/>
          <w:u w:val="single"/>
          <w:rtl/>
        </w:rPr>
        <w:t>אמר ליה רבא</w:t>
      </w:r>
      <w:r w:rsidRPr="001D49D4">
        <w:rPr>
          <w:rFonts w:ascii="Calibri" w:eastAsia="Calibri" w:hAnsi="Calibri" w:cs="Arial"/>
          <w:rtl/>
        </w:rPr>
        <w:t xml:space="preserve">: אנוס הוא, ואנוס רחמנא פטריה, דכתיב: ולנערה לא תעשה דבר!... </w:t>
      </w:r>
      <w:r w:rsidRPr="001D49D4">
        <w:rPr>
          <w:rFonts w:ascii="Calibri" w:eastAsia="Calibri" w:hAnsi="Calibri" w:cs="Arial"/>
          <w:sz w:val="14"/>
          <w:szCs w:val="14"/>
          <w:rtl/>
        </w:rPr>
        <w:t xml:space="preserve">(כז:) </w:t>
      </w:r>
      <w:r w:rsidRPr="001D49D4">
        <w:rPr>
          <w:rFonts w:ascii="Calibri" w:eastAsia="Calibri" w:hAnsi="Calibri" w:cs="Arial"/>
          <w:rtl/>
        </w:rPr>
        <w:t>ולרב הונא</w:t>
      </w:r>
      <w:r w:rsidRPr="001D49D4">
        <w:rPr>
          <w:rFonts w:ascii="Calibri" w:eastAsia="Calibri" w:hAnsi="Calibri" w:cs="Arial"/>
          <w:vertAlign w:val="superscript"/>
          <w:rtl/>
        </w:rPr>
        <w:footnoteReference w:id="4332"/>
      </w:r>
      <w:r w:rsidRPr="001D49D4">
        <w:rPr>
          <w:rFonts w:ascii="Calibri" w:eastAsia="Calibri" w:hAnsi="Calibri" w:cs="Arial"/>
          <w:rtl/>
        </w:rPr>
        <w:t xml:space="preserve"> מכדי אסמכתא היא, ואסמכתא לא קניא! שאני הכא</w:t>
      </w:r>
      <w:r w:rsidRPr="001D49D4">
        <w:rPr>
          <w:rFonts w:ascii="Calibri" w:eastAsia="Calibri" w:hAnsi="Calibri" w:cs="Arial"/>
          <w:vertAlign w:val="superscript"/>
          <w:rtl/>
        </w:rPr>
        <w:footnoteReference w:id="4333"/>
      </w:r>
      <w:r w:rsidRPr="001D49D4">
        <w:rPr>
          <w:rFonts w:ascii="Calibri" w:eastAsia="Calibri" w:hAnsi="Calibri" w:cs="Arial"/>
          <w:rtl/>
        </w:rPr>
        <w:t>, דמיתפסן זכותן</w:t>
      </w:r>
      <w:r w:rsidRPr="001D49D4">
        <w:rPr>
          <w:rFonts w:ascii="Calibri" w:eastAsia="Calibri" w:hAnsi="Calibri" w:cs="Arial"/>
          <w:vertAlign w:val="superscript"/>
          <w:rtl/>
        </w:rPr>
        <w:footnoteReference w:id="4334"/>
      </w:r>
      <w:r w:rsidRPr="001D49D4">
        <w:rPr>
          <w:rFonts w:ascii="Calibri" w:eastAsia="Calibri" w:hAnsi="Calibri" w:cs="Arial"/>
          <w:rtl/>
        </w:rPr>
        <w:t xml:space="preserve">. והיכא דמיתפסין לאו אסמכתא היא? והתנן: מי שפרע מקצת חובו, והשליש את שטרו ואמר אם אין אני נותן לו מכאן עד ל' יום תן לו שטרו, הגיע זמן ולא נתן, </w:t>
      </w:r>
      <w:r w:rsidRPr="001D49D4">
        <w:rPr>
          <w:rFonts w:ascii="Calibri" w:eastAsia="Calibri" w:hAnsi="Calibri" w:cs="Arial"/>
          <w:u w:val="single"/>
          <w:rtl/>
        </w:rPr>
        <w:t>רבי יוסי אומר</w:t>
      </w:r>
      <w:r w:rsidRPr="001D49D4">
        <w:rPr>
          <w:rFonts w:ascii="Calibri" w:eastAsia="Calibri" w:hAnsi="Calibri" w:cs="Arial"/>
          <w:rtl/>
        </w:rPr>
        <w:t>: יתן</w:t>
      </w:r>
      <w:r w:rsidRPr="001D49D4">
        <w:rPr>
          <w:rFonts w:ascii="Calibri" w:eastAsia="Calibri" w:hAnsi="Calibri" w:cs="Arial"/>
          <w:vertAlign w:val="superscript"/>
          <w:rtl/>
        </w:rPr>
        <w:footnoteReference w:id="4335"/>
      </w:r>
      <w:r w:rsidRPr="001D49D4">
        <w:rPr>
          <w:rFonts w:ascii="Calibri" w:eastAsia="Calibri" w:hAnsi="Calibri" w:cs="Arial"/>
          <w:rtl/>
        </w:rPr>
        <w:t xml:space="preserve">, </w:t>
      </w:r>
      <w:r w:rsidRPr="001D49D4">
        <w:rPr>
          <w:rFonts w:ascii="Calibri" w:eastAsia="Calibri" w:hAnsi="Calibri" w:cs="Arial"/>
          <w:u w:val="single"/>
          <w:rtl/>
        </w:rPr>
        <w:t>ור' יהודה אומר</w:t>
      </w:r>
      <w:r w:rsidRPr="001D49D4">
        <w:rPr>
          <w:rFonts w:ascii="Calibri" w:eastAsia="Calibri" w:hAnsi="Calibri" w:cs="Arial"/>
          <w:rtl/>
        </w:rPr>
        <w:t xml:space="preserve">: לא יתן. </w:t>
      </w:r>
      <w:r w:rsidRPr="001D49D4">
        <w:rPr>
          <w:rFonts w:ascii="Calibri" w:eastAsia="Calibri" w:hAnsi="Calibri" w:cs="Arial"/>
          <w:u w:val="single"/>
          <w:rtl/>
        </w:rPr>
        <w:t>ואמר רב נחמן אמר רבה בר אבוה אמר רב</w:t>
      </w:r>
      <w:r w:rsidRPr="001D49D4">
        <w:rPr>
          <w:rFonts w:ascii="Calibri" w:eastAsia="Calibri" w:hAnsi="Calibri" w:cs="Arial"/>
          <w:rtl/>
        </w:rPr>
        <w:t>: אין הלכה כר' יוסי דאמר אסמכתא קניא! שאני הכא, דאמר לבטלן זכותיה</w:t>
      </w:r>
      <w:r w:rsidRPr="001D49D4">
        <w:rPr>
          <w:rFonts w:ascii="Calibri" w:eastAsia="Calibri" w:hAnsi="Calibri" w:cs="Arial"/>
          <w:vertAlign w:val="superscript"/>
          <w:rtl/>
        </w:rPr>
        <w:footnoteReference w:id="4336"/>
      </w:r>
      <w:r w:rsidRPr="001D49D4">
        <w:rPr>
          <w:rFonts w:ascii="Calibri" w:eastAsia="Calibri" w:hAnsi="Calibri" w:cs="Arial"/>
          <w:rtl/>
        </w:rPr>
        <w:t xml:space="preserve">. והלכתא: אסמכתא קניא, והוא דלא אניס, והוא דקנו מיניה בב"ד חשוב. </w:t>
      </w:r>
    </w:p>
    <w:p w14:paraId="713DB513" w14:textId="77777777" w:rsidR="001D49D4" w:rsidRPr="001D49D4" w:rsidRDefault="001D49D4" w:rsidP="0004348D">
      <w:pPr>
        <w:spacing w:before="360" w:after="240"/>
        <w:rPr>
          <w:rFonts w:ascii="Calibri" w:eastAsia="Calibri" w:hAnsi="Calibri" w:cs="Arial"/>
          <w:u w:val="single"/>
          <w:rtl/>
        </w:rPr>
      </w:pPr>
      <w:r w:rsidRPr="001D49D4">
        <w:rPr>
          <w:rFonts w:ascii="Calibri" w:eastAsia="Calibri" w:hAnsi="Calibri" w:cs="Arial"/>
          <w:u w:val="single"/>
          <w:rtl/>
        </w:rPr>
        <w:t>לוה שפרע מקצת חובו והשליש שטרו</w:t>
      </w:r>
      <w:r w:rsidRPr="001D49D4">
        <w:rPr>
          <w:rFonts w:ascii="Calibri" w:eastAsia="Calibri" w:hAnsi="Calibri" w:cs="Arial"/>
          <w:sz w:val="16"/>
          <w:szCs w:val="16"/>
          <w:u w:val="single"/>
          <w:rtl/>
        </w:rPr>
        <w:t xml:space="preserve"> (ביד שליש)</w:t>
      </w:r>
      <w:r w:rsidRPr="001D49D4">
        <w:rPr>
          <w:rFonts w:ascii="Calibri" w:eastAsia="Calibri" w:hAnsi="Calibri" w:cs="Arial"/>
          <w:u w:val="single"/>
          <w:rtl/>
        </w:rPr>
        <w:t xml:space="preserve"> ואמר לו אם לא אתן לך ביום פלוני תן לו שטרו ויגבה כל חובו - ונאנס:</w:t>
      </w:r>
    </w:p>
    <w:p w14:paraId="67589D66" w14:textId="77777777" w:rsidR="001D49D4" w:rsidRPr="001D49D4" w:rsidRDefault="001D49D4" w:rsidP="0004348D">
      <w:pPr>
        <w:numPr>
          <w:ilvl w:val="0"/>
          <w:numId w:val="297"/>
        </w:numPr>
        <w:spacing w:before="360" w:after="240"/>
        <w:contextualSpacing/>
      </w:pPr>
      <w:r w:rsidRPr="001D49D4">
        <w:rPr>
          <w:rtl/>
        </w:rPr>
        <w:t xml:space="preserve">טור- מי שפרע מקצת חובו והשליש שטרו ביד שליש ואומר אם לא אתן לך ביום פלוני תן לו שטרו ויגבה כל חובו, והגיע הזמן ולא נתן, אם עכבו אונס כגון חולי וכיוצא בו - לא יתן, ואם לא עכבו אונס - הרי זה יתן, דאסמכתא קניא היכא דלא אניס אם קנו הימנו בב"ד חשוב. </w:t>
      </w:r>
      <w:r w:rsidRPr="001D49D4">
        <w:rPr>
          <w:color w:val="E36C0A" w:themeColor="accent6" w:themeShade="BF"/>
          <w:rtl/>
        </w:rPr>
        <w:t>(וכ"פ בשו"ע)</w:t>
      </w:r>
    </w:p>
    <w:p w14:paraId="4D9B49DD" w14:textId="77777777" w:rsidR="001D49D4" w:rsidRPr="001D49D4" w:rsidRDefault="001D49D4" w:rsidP="0004348D">
      <w:pPr>
        <w:spacing w:before="360" w:after="240"/>
        <w:ind w:left="360"/>
        <w:rPr>
          <w:rFonts w:ascii="Calibri" w:eastAsia="Calibri" w:hAnsi="Calibri" w:cs="Arial"/>
          <w:u w:val="dotted"/>
        </w:rPr>
      </w:pPr>
      <w:bookmarkStart w:id="585" w:name="_Hlk14985196"/>
      <w:r w:rsidRPr="001D49D4">
        <w:rPr>
          <w:rFonts w:ascii="Calibri" w:eastAsia="Calibri" w:hAnsi="Calibri" w:cs="Arial"/>
          <w:u w:val="dotted"/>
          <w:rtl/>
        </w:rPr>
        <w:t>האם בעינן גם שיטפיס שטרו בבית דין:</w:t>
      </w:r>
    </w:p>
    <w:p w14:paraId="596D8E22" w14:textId="77777777" w:rsidR="001D49D4" w:rsidRPr="001D49D4" w:rsidRDefault="001D49D4" w:rsidP="0004348D">
      <w:pPr>
        <w:numPr>
          <w:ilvl w:val="0"/>
          <w:numId w:val="297"/>
        </w:numPr>
        <w:spacing w:before="360" w:after="240"/>
        <w:contextualSpacing/>
      </w:pPr>
      <w:r w:rsidRPr="001D49D4">
        <w:rPr>
          <w:rtl/>
        </w:rPr>
        <w:t xml:space="preserve">רי"ף </w:t>
      </w:r>
      <w:r w:rsidRPr="001D49D4">
        <w:rPr>
          <w:sz w:val="16"/>
          <w:szCs w:val="16"/>
          <w:rtl/>
        </w:rPr>
        <w:t>(פרק גט פשוט עח., להב' הב"י)</w:t>
      </w:r>
      <w:r w:rsidRPr="001D49D4">
        <w:rPr>
          <w:rtl/>
        </w:rPr>
        <w:t xml:space="preserve"> רמב"ם </w:t>
      </w:r>
      <w:r w:rsidRPr="001D49D4">
        <w:rPr>
          <w:sz w:val="16"/>
          <w:szCs w:val="16"/>
          <w:rtl/>
        </w:rPr>
        <w:t>(פי"א מהל' מכירה שם)</w:t>
      </w:r>
      <w:r w:rsidRPr="001D49D4">
        <w:rPr>
          <w:rtl/>
        </w:rPr>
        <w:t xml:space="preserve"> ורמ"ה </w:t>
      </w:r>
      <w:r w:rsidRPr="001D49D4">
        <w:rPr>
          <w:sz w:val="16"/>
          <w:szCs w:val="16"/>
          <w:rtl/>
        </w:rPr>
        <w:t>(כ"כ הטור בשמו)</w:t>
      </w:r>
      <w:r w:rsidRPr="001D49D4">
        <w:rPr>
          <w:rtl/>
        </w:rPr>
        <w:t>- קאמר גאון דהאי דינא ליתיה אלא במתפיס זכוותיה בלחוד ומסתברא כוותיה</w:t>
      </w:r>
      <w:r w:rsidRPr="001D49D4">
        <w:rPr>
          <w:sz w:val="16"/>
          <w:szCs w:val="16"/>
          <w:rtl/>
        </w:rPr>
        <w:t xml:space="preserve"> (ל' הרי"ף)</w:t>
      </w:r>
      <w:r w:rsidRPr="001D49D4">
        <w:rPr>
          <w:vertAlign w:val="superscript"/>
          <w:rtl/>
        </w:rPr>
        <w:footnoteReference w:id="4337"/>
      </w:r>
      <w:r w:rsidRPr="001D49D4">
        <w:rPr>
          <w:rtl/>
        </w:rPr>
        <w:t>. ואע"ג דאתפיס שטריה לא מהני עד דאתפיס בבית דין ואמר ליבטלו זכותיה, וקנו ממנו בבית דין חשוב</w:t>
      </w:r>
      <w:r w:rsidRPr="001D49D4">
        <w:rPr>
          <w:vertAlign w:val="superscript"/>
          <w:rtl/>
        </w:rPr>
        <w:footnoteReference w:id="4338"/>
      </w:r>
      <w:r w:rsidRPr="001D49D4">
        <w:rPr>
          <w:sz w:val="16"/>
          <w:szCs w:val="16"/>
          <w:rtl/>
        </w:rPr>
        <w:t xml:space="preserve"> (ל' הטור בשם הרמ"ה)</w:t>
      </w:r>
      <w:r w:rsidRPr="001D49D4">
        <w:rPr>
          <w:vertAlign w:val="superscript"/>
          <w:rtl/>
        </w:rPr>
        <w:footnoteReference w:id="4339"/>
      </w:r>
      <w:r w:rsidRPr="001D49D4">
        <w:rPr>
          <w:rtl/>
        </w:rPr>
        <w:t xml:space="preserve">. </w:t>
      </w:r>
      <w:r w:rsidRPr="001D49D4">
        <w:rPr>
          <w:color w:val="E36C0A" w:themeColor="accent6" w:themeShade="BF"/>
          <w:rtl/>
        </w:rPr>
        <w:t>(וכ"פ בשו"ע)</w:t>
      </w:r>
    </w:p>
    <w:p w14:paraId="5AF288F0" w14:textId="77777777" w:rsidR="001D49D4" w:rsidRPr="001D49D4" w:rsidRDefault="001D49D4" w:rsidP="0004348D">
      <w:pPr>
        <w:numPr>
          <w:ilvl w:val="0"/>
          <w:numId w:val="297"/>
        </w:numPr>
        <w:spacing w:before="360" w:after="240"/>
        <w:contextualSpacing/>
      </w:pPr>
      <w:r w:rsidRPr="001D49D4">
        <w:rPr>
          <w:rtl/>
        </w:rPr>
        <w:t xml:space="preserve">תוס' </w:t>
      </w:r>
      <w:r w:rsidRPr="001D49D4">
        <w:rPr>
          <w:sz w:val="16"/>
          <w:szCs w:val="16"/>
          <w:rtl/>
        </w:rPr>
        <w:t xml:space="preserve">(ב"מ סו. ד"ה ומניומי) </w:t>
      </w:r>
      <w:r w:rsidRPr="001D49D4">
        <w:rPr>
          <w:rtl/>
        </w:rPr>
        <w:t>ורא"ש</w:t>
      </w:r>
      <w:r w:rsidRPr="001D49D4">
        <w:rPr>
          <w:vertAlign w:val="superscript"/>
          <w:rtl/>
        </w:rPr>
        <w:footnoteReference w:id="4340"/>
      </w:r>
      <w:r w:rsidRPr="001D49D4">
        <w:rPr>
          <w:rtl/>
        </w:rPr>
        <w:t xml:space="preserve"> </w:t>
      </w:r>
      <w:r w:rsidRPr="001D49D4">
        <w:rPr>
          <w:sz w:val="16"/>
          <w:szCs w:val="16"/>
          <w:rtl/>
        </w:rPr>
        <w:t>(ב"ב שם סי' יט, וכן בפרק ארבעה נדרים סי' י)</w:t>
      </w:r>
      <w:r w:rsidRPr="001D49D4">
        <w:rPr>
          <w:rtl/>
        </w:rPr>
        <w:t xml:space="preserve">- אפילו בלא מתפיס קניא אסמכתא בב"ד חשוב. והכי נהיגי עלמא. </w:t>
      </w:r>
      <w:r w:rsidRPr="001D49D4">
        <w:rPr>
          <w:color w:val="00B0F0"/>
          <w:rtl/>
        </w:rPr>
        <w:t>(וכ"פ הרמ"א)</w:t>
      </w:r>
    </w:p>
    <w:bookmarkEnd w:id="585"/>
    <w:p w14:paraId="257C502E" w14:textId="77777777" w:rsidR="001D49D4" w:rsidRPr="001D49D4" w:rsidRDefault="001D49D4" w:rsidP="0004348D">
      <w:pPr>
        <w:spacing w:before="360" w:after="240"/>
        <w:ind w:left="360"/>
        <w:rPr>
          <w:rFonts w:ascii="Calibri" w:eastAsia="Calibri" w:hAnsi="Calibri" w:cs="Arial"/>
          <w:u w:val="dotted"/>
          <w:rtl/>
        </w:rPr>
      </w:pPr>
      <w:r w:rsidRPr="001D49D4">
        <w:rPr>
          <w:rFonts w:ascii="Calibri" w:eastAsia="Calibri" w:hAnsi="Calibri" w:cs="Arial"/>
          <w:u w:val="dotted"/>
          <w:rtl/>
        </w:rPr>
        <w:t>וקשה, היאך יכול המלוה לגבות שוב מאותו השטר, דהרי אם נפרע חלק מהשטר הוי שטר שנמחל שעבודו:</w:t>
      </w:r>
    </w:p>
    <w:p w14:paraId="2D1CCB41" w14:textId="77777777" w:rsidR="001D49D4" w:rsidRPr="001D49D4" w:rsidRDefault="001D49D4" w:rsidP="0004348D">
      <w:pPr>
        <w:numPr>
          <w:ilvl w:val="0"/>
          <w:numId w:val="297"/>
        </w:numPr>
        <w:spacing w:before="360" w:after="240"/>
        <w:contextualSpacing/>
      </w:pPr>
      <w:r w:rsidRPr="001D49D4">
        <w:rPr>
          <w:rtl/>
        </w:rPr>
        <w:t>רמב"ן רשב"א רא"ש טור ור"ן</w:t>
      </w:r>
      <w:r w:rsidRPr="001D49D4">
        <w:rPr>
          <w:vertAlign w:val="superscript"/>
          <w:rtl/>
        </w:rPr>
        <w:footnoteReference w:id="4341"/>
      </w:r>
      <w:r w:rsidRPr="001D49D4">
        <w:rPr>
          <w:rtl/>
        </w:rPr>
        <w:t xml:space="preserve">- </w:t>
      </w:r>
      <w:r w:rsidRPr="001D49D4">
        <w:rPr>
          <w:sz w:val="16"/>
          <w:szCs w:val="16"/>
          <w:rtl/>
        </w:rPr>
        <w:t>{הא דאמרנו לעיל שיכול לגבות מהשטר שוב הוא}</w:t>
      </w:r>
      <w:r w:rsidRPr="001D49D4">
        <w:rPr>
          <w:rtl/>
        </w:rPr>
        <w:t xml:space="preserve"> דוקא שפירש אם לא אתן עד יום פלוני תן לו שטרו ויהיו כל המעות הללו מתנה וישאר השטר קיים כבתחלה, שאל"כ הוי שטר שנמחל שיעבודו כדי המעות שנתן</w:t>
      </w:r>
      <w:r w:rsidRPr="001D49D4">
        <w:rPr>
          <w:vertAlign w:val="superscript"/>
          <w:rtl/>
        </w:rPr>
        <w:footnoteReference w:id="4342"/>
      </w:r>
      <w:r w:rsidRPr="001D49D4">
        <w:rPr>
          <w:rtl/>
        </w:rPr>
        <w:t xml:space="preserve">. </w:t>
      </w:r>
      <w:r w:rsidRPr="001D49D4">
        <w:rPr>
          <w:color w:val="E36C0A" w:themeColor="accent6" w:themeShade="BF"/>
          <w:rtl/>
        </w:rPr>
        <w:t>(וכ"פ בשו"ע</w:t>
      </w:r>
      <w:r w:rsidRPr="001D49D4">
        <w:rPr>
          <w:color w:val="E36C0A" w:themeColor="accent6" w:themeShade="BF"/>
          <w:sz w:val="16"/>
          <w:szCs w:val="16"/>
          <w:rtl/>
        </w:rPr>
        <w:t xml:space="preserve"> </w:t>
      </w:r>
      <w:r w:rsidRPr="001D49D4">
        <w:rPr>
          <w:sz w:val="16"/>
          <w:szCs w:val="16"/>
          <w:rtl/>
        </w:rPr>
        <w:t>[סע' ב]</w:t>
      </w:r>
      <w:r w:rsidRPr="001D49D4">
        <w:rPr>
          <w:color w:val="E36C0A" w:themeColor="accent6" w:themeShade="BF"/>
          <w:rtl/>
        </w:rPr>
        <w:t>)</w:t>
      </w:r>
    </w:p>
    <w:p w14:paraId="44AE4E96" w14:textId="77777777" w:rsidR="001D49D4" w:rsidRPr="001D49D4" w:rsidRDefault="001D49D4" w:rsidP="0004348D">
      <w:pPr>
        <w:spacing w:before="360" w:after="240"/>
        <w:rPr>
          <w:rFonts w:ascii="Calibri" w:eastAsia="Calibri" w:hAnsi="Calibri" w:cs="Arial"/>
        </w:rPr>
      </w:pPr>
      <w:r w:rsidRPr="001D49D4">
        <w:rPr>
          <w:rFonts w:ascii="Calibri" w:eastAsia="Calibri" w:hAnsi="Calibri" w:cs="Arial"/>
          <w:u w:val="single"/>
          <w:rtl/>
        </w:rPr>
        <w:t>איזהו ב"ד חשוב:</w:t>
      </w:r>
    </w:p>
    <w:p w14:paraId="6E099F64" w14:textId="77777777" w:rsidR="001D49D4" w:rsidRPr="001D49D4" w:rsidRDefault="001D49D4" w:rsidP="0004348D">
      <w:pPr>
        <w:numPr>
          <w:ilvl w:val="0"/>
          <w:numId w:val="297"/>
        </w:numPr>
        <w:spacing w:before="360" w:after="240"/>
        <w:contextualSpacing/>
        <w:rPr>
          <w:rtl/>
        </w:rPr>
      </w:pPr>
      <w:r w:rsidRPr="001D49D4">
        <w:rPr>
          <w:rtl/>
        </w:rPr>
        <w:t xml:space="preserve">מהר"ם </w:t>
      </w:r>
      <w:r w:rsidRPr="001D49D4">
        <w:rPr>
          <w:sz w:val="16"/>
          <w:szCs w:val="16"/>
          <w:rtl/>
        </w:rPr>
        <w:t>(כ"כ הרא"ש בשמו בתשו' [כלל עב סי' ד])</w:t>
      </w:r>
      <w:r w:rsidRPr="001D49D4">
        <w:rPr>
          <w:rtl/>
        </w:rPr>
        <w:t xml:space="preserve"> רא"ש </w:t>
      </w:r>
      <w:r w:rsidRPr="001D49D4">
        <w:rPr>
          <w:sz w:val="16"/>
          <w:szCs w:val="16"/>
          <w:rtl/>
        </w:rPr>
        <w:t xml:space="preserve">(כלל עב סי' ד) </w:t>
      </w:r>
      <w:r w:rsidRPr="001D49D4">
        <w:rPr>
          <w:rtl/>
        </w:rPr>
        <w:t>וטור- בית דין חשוב היינו שלשה בקיאין בדיני אסמכתא מה נקרא אסמכתא ומה אינו נקרא אסמכתא</w:t>
      </w:r>
      <w:r w:rsidRPr="001D49D4">
        <w:rPr>
          <w:sz w:val="16"/>
          <w:szCs w:val="16"/>
          <w:rtl/>
        </w:rPr>
        <w:t xml:space="preserve"> (ל' הרא"ש)</w:t>
      </w:r>
      <w:r w:rsidRPr="001D49D4">
        <w:rPr>
          <w:rtl/>
        </w:rPr>
        <w:t>.</w:t>
      </w:r>
      <w:r w:rsidRPr="001D49D4">
        <w:rPr>
          <w:color w:val="00B0F0"/>
          <w:rtl/>
        </w:rPr>
        <w:t xml:space="preserve"> (וכ"פ הרמ"א)</w:t>
      </w:r>
    </w:p>
    <w:p w14:paraId="0234A370" w14:textId="77777777" w:rsidR="001D49D4" w:rsidRPr="001D49D4" w:rsidRDefault="001D49D4" w:rsidP="0004348D">
      <w:pPr>
        <w:numPr>
          <w:ilvl w:val="0"/>
          <w:numId w:val="297"/>
        </w:numPr>
        <w:spacing w:before="360" w:after="240"/>
        <w:contextualSpacing/>
        <w:rPr>
          <w:rtl/>
        </w:rPr>
      </w:pPr>
      <w:r w:rsidRPr="001D49D4">
        <w:rPr>
          <w:rtl/>
        </w:rPr>
        <w:t xml:space="preserve">רשב"א </w:t>
      </w:r>
      <w:r w:rsidRPr="001D49D4">
        <w:rPr>
          <w:sz w:val="16"/>
          <w:szCs w:val="16"/>
          <w:rtl/>
        </w:rPr>
        <w:t xml:space="preserve">(ח"ג סי' ס, וכ"כ הה"מ בשמו </w:t>
      </w:r>
      <w:r w:rsidRPr="001D49D4">
        <w:rPr>
          <w:sz w:val="14"/>
          <w:szCs w:val="14"/>
          <w:rtl/>
        </w:rPr>
        <w:t>[בפי"א מהל' מכירה הי"ג]</w:t>
      </w:r>
      <w:r w:rsidRPr="001D49D4">
        <w:rPr>
          <w:sz w:val="16"/>
          <w:szCs w:val="16"/>
          <w:rtl/>
        </w:rPr>
        <w:t>)</w:t>
      </w:r>
      <w:r w:rsidRPr="001D49D4">
        <w:rPr>
          <w:rtl/>
        </w:rPr>
        <w:t xml:space="preserve"> ור"ן</w:t>
      </w:r>
      <w:r w:rsidRPr="001D49D4">
        <w:rPr>
          <w:sz w:val="16"/>
          <w:szCs w:val="16"/>
          <w:rtl/>
        </w:rPr>
        <w:t xml:space="preserve"> (נדרים כז: ד"ה והוא דקנו)</w:t>
      </w:r>
      <w:r w:rsidRPr="001D49D4">
        <w:rPr>
          <w:rtl/>
        </w:rPr>
        <w:t>- בית דין חשוב דאלים לאפקועי ממונא, כגון בי דינא דרב אמי ורב אסי</w:t>
      </w:r>
      <w:r w:rsidRPr="001D49D4">
        <w:rPr>
          <w:sz w:val="16"/>
          <w:szCs w:val="16"/>
          <w:rtl/>
        </w:rPr>
        <w:t xml:space="preserve"> (ל' הר"ן)</w:t>
      </w:r>
      <w:r w:rsidRPr="001D49D4">
        <w:rPr>
          <w:rtl/>
        </w:rPr>
        <w:t xml:space="preserve">. </w:t>
      </w:r>
    </w:p>
    <w:p w14:paraId="386EA693" w14:textId="77777777" w:rsidR="001D49D4" w:rsidRPr="001D49D4" w:rsidRDefault="001D49D4" w:rsidP="0004348D">
      <w:pPr>
        <w:numPr>
          <w:ilvl w:val="0"/>
          <w:numId w:val="297"/>
        </w:numPr>
        <w:spacing w:before="360" w:after="240"/>
        <w:contextualSpacing/>
        <w:rPr>
          <w:rtl/>
        </w:rPr>
      </w:pPr>
      <w:r w:rsidRPr="001D49D4">
        <w:rPr>
          <w:rtl/>
        </w:rPr>
        <w:t>נמוק"י</w:t>
      </w:r>
      <w:r w:rsidRPr="001D49D4">
        <w:rPr>
          <w:sz w:val="16"/>
          <w:szCs w:val="16"/>
          <w:rtl/>
        </w:rPr>
        <w:t xml:space="preserve"> (ב"ב שם ד"ה גמ' אמר המחבר)</w:t>
      </w:r>
      <w:r w:rsidRPr="001D49D4">
        <w:rPr>
          <w:rtl/>
        </w:rPr>
        <w:t xml:space="preserve">- ב"ד חשוב ראויים לדון דיני ממונות ביחיד כדאיתא התם עלה דהא בנדרים. </w:t>
      </w:r>
    </w:p>
    <w:p w14:paraId="07F939AA" w14:textId="77777777" w:rsidR="001D49D4" w:rsidRPr="001D49D4" w:rsidRDefault="001D49D4" w:rsidP="0004348D">
      <w:pPr>
        <w:numPr>
          <w:ilvl w:val="0"/>
          <w:numId w:val="297"/>
        </w:numPr>
        <w:spacing w:before="360" w:after="240"/>
        <w:contextualSpacing/>
      </w:pPr>
      <w:r w:rsidRPr="001D49D4">
        <w:rPr>
          <w:rtl/>
        </w:rPr>
        <w:t xml:space="preserve">רמב"ם </w:t>
      </w:r>
      <w:r w:rsidRPr="001D49D4">
        <w:rPr>
          <w:sz w:val="16"/>
          <w:szCs w:val="16"/>
          <w:rtl/>
        </w:rPr>
        <w:t>(פיהמ"ש ב"ב פ"י מ"ה)</w:t>
      </w:r>
      <w:r w:rsidRPr="001D49D4">
        <w:rPr>
          <w:rtl/>
        </w:rPr>
        <w:t>- אין בית דין חשוב אלא אם היו סמוכין בארץ ישראל</w:t>
      </w:r>
      <w:r w:rsidRPr="001D49D4">
        <w:rPr>
          <w:vertAlign w:val="superscript"/>
          <w:rtl/>
        </w:rPr>
        <w:footnoteReference w:id="4343"/>
      </w:r>
      <w:r w:rsidRPr="001D49D4">
        <w:rPr>
          <w:rtl/>
        </w:rPr>
        <w:t>.</w:t>
      </w:r>
    </w:p>
    <w:p w14:paraId="7F25D438" w14:textId="77777777" w:rsidR="001D49D4" w:rsidRPr="001D49D4" w:rsidRDefault="001D49D4" w:rsidP="0004348D">
      <w:pPr>
        <w:spacing w:before="360" w:after="240"/>
        <w:rPr>
          <w:rFonts w:ascii="Calibri" w:eastAsia="Calibri" w:hAnsi="Calibri" w:cs="Arial"/>
          <w:u w:val="single"/>
        </w:rPr>
      </w:pPr>
      <w:r w:rsidRPr="001D49D4">
        <w:rPr>
          <w:rFonts w:ascii="Calibri" w:eastAsia="Calibri" w:hAnsi="Calibri" w:cs="Arial"/>
          <w:u w:val="single"/>
          <w:rtl/>
        </w:rPr>
        <w:t>מספר תשובות העוסקות בדיני אסמכתא:</w:t>
      </w:r>
    </w:p>
    <w:p w14:paraId="694B61A7" w14:textId="77777777" w:rsidR="001D49D4" w:rsidRPr="001D49D4" w:rsidRDefault="001D49D4" w:rsidP="0004348D">
      <w:pPr>
        <w:numPr>
          <w:ilvl w:val="0"/>
          <w:numId w:val="297"/>
        </w:numPr>
        <w:spacing w:before="360" w:after="240"/>
        <w:contextualSpacing/>
        <w:rPr>
          <w:rtl/>
        </w:rPr>
      </w:pPr>
      <w:r w:rsidRPr="001D49D4">
        <w:rPr>
          <w:rtl/>
        </w:rPr>
        <w:t>רשב"א</w:t>
      </w:r>
      <w:r w:rsidRPr="001D49D4">
        <w:rPr>
          <w:sz w:val="16"/>
          <w:szCs w:val="16"/>
          <w:rtl/>
        </w:rPr>
        <w:t xml:space="preserve"> (ח"ג סי' ס)</w:t>
      </w:r>
      <w:r w:rsidRPr="001D49D4">
        <w:rPr>
          <w:rtl/>
        </w:rPr>
        <w:t xml:space="preserve">- כל שחייב עצמו במעכשיו אין כאן אסמכתא, כדאיתא בפרק איזהו נשך </w:t>
      </w:r>
      <w:r w:rsidRPr="001D49D4">
        <w:rPr>
          <w:sz w:val="16"/>
          <w:szCs w:val="16"/>
          <w:rtl/>
        </w:rPr>
        <w:t xml:space="preserve">(ב"מ סו:) </w:t>
      </w:r>
      <w:r w:rsidRPr="001D49D4">
        <w:rPr>
          <w:rtl/>
        </w:rPr>
        <w:t xml:space="preserve">גבי מתניתין דהלוהו על שדהו ואפילו לא אמר לו בפירוש מעכשיו, כל שקנו מידו הרי הוא כמעכשיו, כדאיתא בנדרים פרק השותפין </w:t>
      </w:r>
      <w:r w:rsidRPr="001D49D4">
        <w:rPr>
          <w:sz w:val="16"/>
          <w:szCs w:val="16"/>
          <w:rtl/>
        </w:rPr>
        <w:t>(מח:)</w:t>
      </w:r>
      <w:r w:rsidRPr="001D49D4">
        <w:rPr>
          <w:rtl/>
        </w:rPr>
        <w:t xml:space="preserve">, וכ"כ ר"ת </w:t>
      </w:r>
      <w:r w:rsidRPr="001D49D4">
        <w:rPr>
          <w:sz w:val="16"/>
          <w:szCs w:val="16"/>
          <w:rtl/>
        </w:rPr>
        <w:t>(ס' הישר חי' סי' תקצג)</w:t>
      </w:r>
      <w:r w:rsidRPr="001D49D4">
        <w:rPr>
          <w:rtl/>
        </w:rPr>
        <w:t xml:space="preserve">, אלא שאני מסופק במה שכתבת שקנו מידו קנין גמור כשאר שטרות בבית דין, ואיני יודע בית דין מה טיבו בכאן, אם קנס עצמו בפני בית דין שלא בהכרח בית דין, או אם הכריחוהו בית דין לעשות קנס זה, ולפיכך אני אומר אם קנס עצמו מדעתא דנפשיה - אין כאן דין אסמכתא, וכמו שאמרתי, אבל אם הכריחוהו בית דין לעשות כן - לא נסתלק מכאן דין אסמכתא, כי זה מוכרח הוא ולא הועיל הקנין כלום, אא"כ היה הבית דין בית דין חשוב שיש בידו כח להפקיע ממון, וזו היא שאמרו בפרק ארבעה נדרים והלכתא אסמכתא קניא והוא דלא אניס והוא דקנו מיניה בבית דין חשוב, אלמא אע"פ שקנו מידו וכל קנין כמעכשיו הוא אינו מועיל אלא בבית דין חשוב, ואם תאמר תיקשי הא על ההיא דפרק איזהו נשך שכתבתי, יש לומר דשאני הכא שהיא אסמכתא דבית דין שהצריכוהו לעשות כן. </w:t>
      </w:r>
    </w:p>
    <w:p w14:paraId="0BEE2082" w14:textId="77777777" w:rsidR="001D49D4" w:rsidRPr="001D49D4" w:rsidRDefault="001D49D4" w:rsidP="0004348D">
      <w:pPr>
        <w:numPr>
          <w:ilvl w:val="0"/>
          <w:numId w:val="297"/>
        </w:numPr>
        <w:spacing w:before="360" w:after="240"/>
        <w:contextualSpacing/>
        <w:rPr>
          <w:rtl/>
        </w:rPr>
      </w:pPr>
      <w:r w:rsidRPr="001D49D4">
        <w:rPr>
          <w:rtl/>
        </w:rPr>
        <w:t xml:space="preserve">רשב"א </w:t>
      </w:r>
      <w:r w:rsidRPr="001D49D4">
        <w:rPr>
          <w:sz w:val="16"/>
          <w:szCs w:val="16"/>
          <w:rtl/>
        </w:rPr>
        <w:t>(ח"ב סי' קצב)</w:t>
      </w:r>
      <w:r w:rsidRPr="001D49D4">
        <w:rPr>
          <w:rtl/>
        </w:rPr>
        <w:t xml:space="preserve">- שאני הכא דהויא אסמכתא דבית דין שבית דין מכריחין אותו לבטל זכיותיו אם לא הביא עד זמן ידוע וכל שאינו מתנה מדעתו לא ביטל אלא אם כן קנו מידו בבית דין חשוב. </w:t>
      </w:r>
    </w:p>
    <w:p w14:paraId="4961D0BA" w14:textId="77777777" w:rsidR="001D49D4" w:rsidRPr="001D49D4" w:rsidRDefault="001D49D4" w:rsidP="0004348D">
      <w:pPr>
        <w:numPr>
          <w:ilvl w:val="0"/>
          <w:numId w:val="297"/>
        </w:numPr>
        <w:spacing w:before="360" w:after="240"/>
        <w:contextualSpacing/>
        <w:rPr>
          <w:rtl/>
        </w:rPr>
      </w:pPr>
      <w:r w:rsidRPr="001D49D4">
        <w:rPr>
          <w:rtl/>
        </w:rPr>
        <w:t xml:space="preserve">רשב"א </w:t>
      </w:r>
      <w:r w:rsidRPr="001D49D4">
        <w:rPr>
          <w:sz w:val="16"/>
          <w:szCs w:val="16"/>
          <w:rtl/>
        </w:rPr>
        <w:t>(ח"ג סי' סג)</w:t>
      </w:r>
      <w:r w:rsidRPr="001D49D4">
        <w:rPr>
          <w:rtl/>
        </w:rPr>
        <w:t xml:space="preserve">- ששאלת ראובן ושמעון היו מתעצמים בדין על ענין בנין אחד והסכימו ביניהם כמו שיגזרו עליהם אומני העיר וחייבו עצמם בזה בשטר העשוי בגופן של גוים ומי שימרה מאמרם יענש בעשרים דינרים מחציתם לבנין העיר ומחציתם לחבירו ונתנו משכונות ביד האומנים ופסקו ביניהם אומני העיר וחייבו לשמעון לעשות בנין תוך זמן ידוע ועבר הזמן ולא עשה שמעון הבנין וראובן שואל העשרה דינרין של הקנס ושמעון טוען דאסמכתא היא. תשובה אין כאן משום אסמכתא מכמה טעמים חדא משום דתלה בדעת האומנים ומקצת רבותי אמרו שאין אסמכתא אלא בתולה בדעת עצמו. ועוד דכאן שנתן משכון ביד האומנים שיפרע חלק בנין העיר ולא יתנצל מצד האסמכתא אם כן בדוקא התנה ואין לומר שבמחצית התנה בדוקא ובמחצית באסמכתא שבדיבור אחד נאמרו ואין דיבור מתחלק לשנים. ועוד שכל שאומר מעכשיו אין בו משום אסמכתא וכיון שיש כאן שטר הרי הוא כמעכשיו דקיימא לן כרבי יוסי דאמר </w:t>
      </w:r>
      <w:r w:rsidRPr="001D49D4">
        <w:rPr>
          <w:sz w:val="16"/>
          <w:szCs w:val="16"/>
          <w:rtl/>
        </w:rPr>
        <w:t xml:space="preserve">(ב"ב קלו.) </w:t>
      </w:r>
      <w:r w:rsidRPr="001D49D4">
        <w:rPr>
          <w:rtl/>
        </w:rPr>
        <w:t xml:space="preserve">זמנו של שטר מוכיח עליו. ואם תאמר במה נתחייב זה ובמה קנה חבירו, דאי משום משכון שמסר ביד האומנים והם זוכים לו הא קיימא לן </w:t>
      </w:r>
      <w:r w:rsidRPr="001D49D4">
        <w:rPr>
          <w:sz w:val="16"/>
          <w:szCs w:val="16"/>
          <w:rtl/>
        </w:rPr>
        <w:t xml:space="preserve">(ב"מ עא:) </w:t>
      </w:r>
      <w:r w:rsidRPr="001D49D4">
        <w:rPr>
          <w:rtl/>
        </w:rPr>
        <w:t xml:space="preserve">דאין שליחות לגוי, וקנין גם כן אין כאן, אין זה כלום שהרי נתקיימו תנאיהם וחיובם בשטר אף על פי שהוא נעשה בגופן של גוים דקיימא לן </w:t>
      </w:r>
      <w:r w:rsidRPr="001D49D4">
        <w:rPr>
          <w:sz w:val="16"/>
          <w:szCs w:val="16"/>
          <w:rtl/>
        </w:rPr>
        <w:t xml:space="preserve">(גיטין י:) </w:t>
      </w:r>
      <w:r w:rsidRPr="001D49D4">
        <w:rPr>
          <w:rtl/>
        </w:rPr>
        <w:t xml:space="preserve">כשמואל דאמר דינא דמלכותא דינא. </w:t>
      </w:r>
    </w:p>
    <w:p w14:paraId="48913D92" w14:textId="77777777" w:rsidR="001D49D4" w:rsidRPr="001D49D4" w:rsidRDefault="001D49D4" w:rsidP="0004348D">
      <w:pPr>
        <w:numPr>
          <w:ilvl w:val="0"/>
          <w:numId w:val="297"/>
        </w:numPr>
        <w:spacing w:before="360" w:after="240"/>
        <w:contextualSpacing/>
        <w:rPr>
          <w:rtl/>
        </w:rPr>
      </w:pPr>
      <w:r w:rsidRPr="001D49D4">
        <w:rPr>
          <w:rtl/>
        </w:rPr>
        <w:t xml:space="preserve">ריב"ש </w:t>
      </w:r>
      <w:r w:rsidRPr="001D49D4">
        <w:rPr>
          <w:sz w:val="16"/>
          <w:szCs w:val="16"/>
          <w:rtl/>
        </w:rPr>
        <w:t>(סי' שלה צג: ד"ה אבל)</w:t>
      </w:r>
      <w:r w:rsidRPr="001D49D4">
        <w:rPr>
          <w:rtl/>
        </w:rPr>
        <w:t xml:space="preserve">- מה שכתבת שאם קנה בבית דין חשוב מהני, שטה אחרת יש בזה לגדולי הראשונים והאחרונים שאין בית דין חשוב מעלה ומוריד בתנאים שבין אדם לחבירו, והא דאמרינן בפרק ארבעה נדרים והוא דקנו מיניה בבית דין חשוב היינו דוקא בההוא גברא דאתפיס זכוותיה, דשלא מדעתו ורצונו אמר דאי לא אתו ליבטלן זכוותיה, אלא בית דין הזקיקוהו לכך שהם קובעים לו זמן וכדי לכפותו דלא לשתמיט קונין מידו, ומשום הכי בעינן בית דין חשוב דאלימי לאפקועי ממונא, ומהני התם אפילו בלא מעכשיו. אבל בתנאים שבין אדם לחבירו אפילו קנין בבית דין חשוב לא מהני, אלא דוקא בקנין ובמעכשיו, דכל מעכשיו מסלק אסמכתא כדאמרינן בפרק איזהו נשך </w:t>
      </w:r>
      <w:r w:rsidRPr="001D49D4">
        <w:rPr>
          <w:sz w:val="16"/>
          <w:szCs w:val="16"/>
          <w:rtl/>
        </w:rPr>
        <w:t>(סו:)</w:t>
      </w:r>
      <w:r w:rsidRPr="001D49D4">
        <w:rPr>
          <w:rtl/>
        </w:rPr>
        <w:t xml:space="preserve">, ואע"ג דכל קנין סודר הוה כמעכשיו, זהו במי שמקנה סתם, אבל מי שמתנה אם לא באתי או אם לא אעשה דבר פלוני וקנו מידו לא משמע מעכשיו, אלא לבתר ההוא יומא, אלא אם פירש ואמר מעכשיו, אי נמי בבית דין חשוב במתפיס זכיותיו ומשום אפקועי ממונא, וזהו שכתב הרי"ף בפרק גט פשוט וקאמר גאון דהאי פיסקא ליתא אלא במתפיס זכיותיו בלחוד ומסתברא כוותיה, וכ"כ הרמב"ן </w:t>
      </w:r>
      <w:r w:rsidRPr="001D49D4">
        <w:rPr>
          <w:sz w:val="16"/>
          <w:szCs w:val="16"/>
          <w:rtl/>
        </w:rPr>
        <w:t xml:space="preserve">(נדרים ט:) </w:t>
      </w:r>
      <w:r w:rsidRPr="001D49D4">
        <w:rPr>
          <w:rtl/>
        </w:rPr>
        <w:t xml:space="preserve">וכ"כ הרמב"ם בפי"א מהל' מכירה, וזה דעת רוב האחרונים, ואם כן בנדון זה אפילו קנו מיניה בבית דין חשוב הוי אסמכתא, אבל אם קנו מיניה במעכשיו כמו שדרך הסופרים לכתוב בשטרי אקנייתא בקנין גמור במעכשיו - אפילו בלא ב"ד חשוב קני ולא הוי אסמכתא. וכל זה שלא כדרך ר"ת שכתב שאין מעכשיו מסלק אסמכתא אלא בההוא דמשכן לו בית משכן לו שדה שמסר לו שדהו, אבל היכא שלא מסר ליד מי שהתנה עמו בכולהו אסמכתות דעלמא - אין מעכשיו מועיל בהם אלא קנין ובית דין חשוב. ונראה דמר אזיל לשטתיה דר"ת, ואנו אין לנו אלא כדברי הגאונים והאחרונים ז"ל, הילכך בנדון זה אי איכא מעכשיו מהני ואי ליכא מעכשיו לא. ומה שאמרת דמה שנשבע להשלים הוי כמו קנין בבית דין חשוב דומיא דהקדש דאין בו דין אסמכתא, איפשר שהוא כן לפי שטתך כר"ת דסגי בבית דין חשוב, אבל לפי שטת הגאונים דבעינן מעכשיו אף אם נאמר דבהקדש אין בו דין אסמכתא דאמירתו הוי כמעכשיו כיון דהויא כמסירה אין השבועה שנשבע להשלים כמעכשיו, אלא שאף אם מדין הקנין אינו חייב להשלים תנאו מ"מ כדי לקיים שבועתו חייב להשלים ובית דין כופין אותו להשלים, ונפקא מיניה שאם מת ולא השלים אין בניו חייבים להשלים, וכן נפקא מיניה שאפילו בחייו אין בית דין יורדין לנכסיו אלא שבית דין משמתין אותו אם הוא מתרשל מלקיים שבועתו, ואע"פ שאין זמן בקיום שבועתו וכל שיקיים בחייו הוא נפטר בכך משבועתו, מ"מ מיד חל עליו חיוב שבועתו ומיד הוא חייב לקיימה שמא ימות כדאמרינן בריש נדרים </w:t>
      </w:r>
      <w:r w:rsidRPr="001D49D4">
        <w:rPr>
          <w:sz w:val="16"/>
          <w:szCs w:val="16"/>
          <w:rtl/>
        </w:rPr>
        <w:t xml:space="preserve">(ג:) </w:t>
      </w:r>
      <w:r w:rsidRPr="001D49D4">
        <w:rPr>
          <w:rtl/>
        </w:rPr>
        <w:t>גבי נזיר, וכן נפקא מיניה שאם נשאל על שבועתו והתירוהו לדעת ר"ת שאם התירוהו בדיעבד מותר אין עליו להשלים מעתה.</w:t>
      </w:r>
    </w:p>
    <w:p w14:paraId="06F3E741" w14:textId="77777777" w:rsidR="001D49D4" w:rsidRPr="001D49D4" w:rsidRDefault="001D49D4" w:rsidP="0004348D">
      <w:pPr>
        <w:spacing w:before="360" w:after="240"/>
        <w:rPr>
          <w:rFonts w:ascii="Calibri" w:eastAsia="Calibri" w:hAnsi="Calibri" w:cs="Arial"/>
          <w:u w:val="single"/>
        </w:rPr>
      </w:pPr>
      <w:r w:rsidRPr="001D49D4">
        <w:rPr>
          <w:rFonts w:ascii="Calibri" w:eastAsia="Calibri" w:hAnsi="Calibri" w:cs="Arial"/>
          <w:u w:val="single"/>
          <w:rtl/>
        </w:rPr>
        <w:t>האם יש איסור רבית בגביית השטר כולו לאחר שכבר קיבל חלק מהפרעון</w:t>
      </w:r>
      <w:r w:rsidRPr="001D49D4">
        <w:rPr>
          <w:rFonts w:ascii="Calibri" w:eastAsia="Calibri" w:hAnsi="Calibri" w:cs="Arial"/>
          <w:sz w:val="16"/>
          <w:szCs w:val="16"/>
          <w:u w:val="single"/>
          <w:rtl/>
        </w:rPr>
        <w:t xml:space="preserve"> (במקרה הנ"ל שהלוה לא פרע את הנותר לזמן שקבעו)</w:t>
      </w:r>
      <w:r w:rsidRPr="001D49D4">
        <w:rPr>
          <w:rFonts w:ascii="Calibri" w:eastAsia="Calibri" w:hAnsi="Calibri" w:cs="Arial"/>
          <w:u w:val="single"/>
          <w:rtl/>
        </w:rPr>
        <w:t>:</w:t>
      </w:r>
    </w:p>
    <w:p w14:paraId="55FB5A97" w14:textId="77777777" w:rsidR="001D49D4" w:rsidRPr="001D49D4" w:rsidRDefault="001D49D4" w:rsidP="0004348D">
      <w:pPr>
        <w:numPr>
          <w:ilvl w:val="0"/>
          <w:numId w:val="297"/>
        </w:numPr>
        <w:spacing w:before="360" w:after="240"/>
        <w:contextualSpacing/>
        <w:rPr>
          <w:rtl/>
        </w:rPr>
      </w:pPr>
      <w:r w:rsidRPr="001D49D4">
        <w:rPr>
          <w:rtl/>
        </w:rPr>
        <w:t>ר"י מיגאש</w:t>
      </w:r>
      <w:r w:rsidRPr="001D49D4">
        <w:rPr>
          <w:sz w:val="16"/>
          <w:szCs w:val="16"/>
          <w:rtl/>
        </w:rPr>
        <w:t xml:space="preserve"> (ב"ב קסז: ד"ה משנה, הביאו בעל התרומות ג"כ)</w:t>
      </w:r>
      <w:r w:rsidRPr="001D49D4">
        <w:rPr>
          <w:rtl/>
        </w:rPr>
        <w:t xml:space="preserve"> רשב"א</w:t>
      </w:r>
      <w:r w:rsidRPr="001D49D4">
        <w:rPr>
          <w:sz w:val="16"/>
          <w:szCs w:val="16"/>
          <w:rtl/>
        </w:rPr>
        <w:t xml:space="preserve"> (ח"ג סי' רכז)</w:t>
      </w:r>
      <w:r w:rsidRPr="001D49D4">
        <w:rPr>
          <w:rtl/>
        </w:rPr>
        <w:t xml:space="preserve"> ובעל התרומות </w:t>
      </w:r>
      <w:r w:rsidRPr="001D49D4">
        <w:rPr>
          <w:sz w:val="16"/>
          <w:szCs w:val="16"/>
          <w:rtl/>
        </w:rPr>
        <w:t>(שער סג אות ה)</w:t>
      </w:r>
      <w:r w:rsidRPr="001D49D4">
        <w:rPr>
          <w:rtl/>
        </w:rPr>
        <w:t>- מדחזינן לפלוגתייהו דרבי יוסי ורבי יהודה בענין אסמכתא היא אי קניי' אי לא קניא מכלל דהיכא דלא אמר ליה בלשון אסמכתא דכו"ע גבי ליה כוליה חוביה ולא מנכה ליה מלוה הא מקצת דפרע ליה השתא, ואע"ג דהא קא רווח מלוה ואשתכח דקא שקיל מיניה טפי מהלואתו - הא מילתא שריא ולית בה משום חשש ריבית. וטעמא דמילתא דכי אמרי' ריבית הוא ואסור הני מילי היכא דהוה ההוא תוספת דקא שקיל אגר נטר ליה, ובהא מילתא כד מעיינת בה לא משכחת בה אגר נטר ליה כלל, דהא אילו פרע ליה לוה למלוה במשלם זימנא דקצב ליה מאי דאישתייר גביה מהאי שטרא - הוה שקיל ליה מלוה בלא תוספת, וכי לא פרע ליה במשלם זימנא הוא דקא מהדר ליה שליש לשטרא וגבי ליה לכוליה מיניה, וכיון דאלו פרע ליה לוה במשלם זימנא ההוא מידי דאישתייר ליה גביה - הוא שקיל ליה מלוה בלי תוספת, אשתכח דלא מטיא ליה הנאה למלוה מחמת האי זימנא דארווח כי היכי דנהוי אגר נטר לי, וכי מטי זימנא ולא יהיב ליה מידי דקא מהדר ליה שליש לשטרא למלוה וגבי ליה לכוליה מלוה, אילו הוה מרווח ליה זימנא אחרינא הויא ליה ההוא תוספת אגר ההוא זימנא דקא מרווח ליה, והשתא דלא קא מרווח ליה זימנא אחרינא אלא קא שקיל מיניה כוליה שטרא במשלם זימנא קמא - אשתכח דליכא הכא אגר נטר לי, דהא האי תוספת דקא שקיל מיניה לאו אגר זימנא קמא הוא דארווח ליה, ומדחזינן דאלו יהיב ליה במשלם זימנא ההוא מידי דאשתייר למלוה גביה מהאי שטרא לא הוה שקיל ליה מלוה להאי תוספת מיניה וכי מטא זימנא ולא פרע ליה דקא שקיל ליה כוליה שטרא לא קא מרווח ליה זימנא אחרינא ליכא הכא אגר נטר לי כלל</w:t>
      </w:r>
      <w:r w:rsidRPr="001D49D4">
        <w:rPr>
          <w:sz w:val="16"/>
          <w:szCs w:val="16"/>
          <w:rtl/>
        </w:rPr>
        <w:t xml:space="preserve"> (ל' הר"י מיגאש)</w:t>
      </w:r>
      <w:r w:rsidRPr="001D49D4">
        <w:rPr>
          <w:rtl/>
        </w:rPr>
        <w:t>.</w:t>
      </w:r>
    </w:p>
    <w:p w14:paraId="26CF329E" w14:textId="77777777" w:rsidR="001D49D4" w:rsidRPr="001D49D4" w:rsidRDefault="001D49D4" w:rsidP="0004348D">
      <w:pPr>
        <w:spacing w:before="360" w:after="240"/>
        <w:rPr>
          <w:rFonts w:ascii="Calibri" w:eastAsia="Calibri" w:hAnsi="Calibri" w:cs="Arial"/>
          <w:u w:val="single"/>
        </w:rPr>
      </w:pPr>
      <w:r w:rsidRPr="001D49D4">
        <w:rPr>
          <w:rFonts w:ascii="Calibri" w:eastAsia="Calibri" w:hAnsi="Calibri" w:cs="Arial"/>
          <w:u w:val="single"/>
          <w:rtl/>
        </w:rPr>
        <w:t xml:space="preserve">מלוה ולוה שהלכו לבוררות וקבעו עמו שיגמור עניינם עד זמן מסויים ולא גמר: </w:t>
      </w:r>
    </w:p>
    <w:p w14:paraId="75D5901E" w14:textId="77777777" w:rsidR="001D49D4" w:rsidRPr="001D49D4" w:rsidRDefault="001D49D4" w:rsidP="0004348D">
      <w:pPr>
        <w:numPr>
          <w:ilvl w:val="0"/>
          <w:numId w:val="297"/>
        </w:numPr>
        <w:spacing w:before="360" w:after="240"/>
        <w:contextualSpacing/>
        <w:rPr>
          <w:rtl/>
        </w:rPr>
      </w:pPr>
      <w:r w:rsidRPr="001D49D4">
        <w:rPr>
          <w:rtl/>
        </w:rPr>
        <w:t xml:space="preserve">רשב"א </w:t>
      </w:r>
      <w:r w:rsidRPr="001D49D4">
        <w:rPr>
          <w:sz w:val="16"/>
          <w:szCs w:val="16"/>
          <w:rtl/>
        </w:rPr>
        <w:t>(ח"ג סי' רט)</w:t>
      </w:r>
      <w:r w:rsidRPr="001D49D4">
        <w:rPr>
          <w:rtl/>
        </w:rPr>
        <w:t xml:space="preserve">- שאלת, מלוה ולוה שהסכימו לָשׂוּם דרך דין או פשרה ביד שליש שבררו להם, ושׂם המלוה שטר חובו ביד שליש שיפסוק ביניהם עד זמן פלוני, והמכריע לא פסק כלום ביניהם בתוך הזמן שקבע לו. תשובה, זה פשוט שכיון שקבעו לו זמן לפסקו או לפשרתו ולא אמר כלום בתוך הזמן כבר נתבטל דעת השלישי ויחזיר השטר למלוה. (וכ"כ הסמ"ע </w:t>
      </w:r>
      <w:r w:rsidRPr="001D49D4">
        <w:rPr>
          <w:sz w:val="16"/>
          <w:szCs w:val="16"/>
          <w:rtl/>
        </w:rPr>
        <w:t>[סי' נו סק"ו]</w:t>
      </w:r>
      <w:r w:rsidRPr="001D49D4">
        <w:rPr>
          <w:rtl/>
        </w:rPr>
        <w:t>)</w:t>
      </w:r>
    </w:p>
    <w:p w14:paraId="1D06BBFF" w14:textId="77777777" w:rsidR="001D49D4" w:rsidRPr="001D49D4" w:rsidRDefault="001D49D4" w:rsidP="0004348D">
      <w:pPr>
        <w:spacing w:before="360" w:after="240"/>
        <w:rPr>
          <w:rFonts w:ascii="Calibri" w:eastAsia="Calibri" w:hAnsi="Calibri" w:cs="Arial"/>
          <w:u w:val="single"/>
        </w:rPr>
      </w:pPr>
      <w:r w:rsidRPr="001D49D4">
        <w:rPr>
          <w:rFonts w:ascii="Calibri" w:eastAsia="Calibri" w:hAnsi="Calibri" w:cs="Arial"/>
          <w:u w:val="single"/>
          <w:rtl/>
        </w:rPr>
        <w:t>מי שפרע מקצת חובו והשליש את השטר עד שיפרע השאר - והלך השליש והחזירו למלוה וגבה בו את כל החוב:</w:t>
      </w:r>
    </w:p>
    <w:p w14:paraId="2666EB19" w14:textId="77777777" w:rsidR="001D49D4" w:rsidRPr="001D49D4" w:rsidRDefault="001D49D4" w:rsidP="0004348D">
      <w:pPr>
        <w:numPr>
          <w:ilvl w:val="0"/>
          <w:numId w:val="297"/>
        </w:numPr>
        <w:spacing w:before="360" w:after="240"/>
        <w:contextualSpacing/>
      </w:pPr>
      <w:r w:rsidRPr="001D49D4">
        <w:rPr>
          <w:rtl/>
        </w:rPr>
        <w:t xml:space="preserve">רשב"א </w:t>
      </w:r>
      <w:r w:rsidRPr="001D49D4">
        <w:rPr>
          <w:sz w:val="16"/>
          <w:szCs w:val="16"/>
          <w:rtl/>
        </w:rPr>
        <w:t>(סי' אלף נב)</w:t>
      </w:r>
      <w:r w:rsidRPr="001D49D4">
        <w:rPr>
          <w:rtl/>
        </w:rPr>
        <w:t>- מי שפרע מקצת חובו והשליש השטר עד שיפרע השאר, והלך השליש והחזירו למלוה וחזר וגבה בו כל החוב - פטור מדיני אדם שאין זה אלא גרמא בניזקין. ואם עדיין לא גבה משמתינן לשליש עד דמקבל עליה כל אונסא דאתי ללוה מחמת אותו שטר, דכל גרמא בניזקין מחייבין את הגורם לסלקו</w:t>
      </w:r>
      <w:r w:rsidRPr="001D49D4">
        <w:rPr>
          <w:vertAlign w:val="superscript"/>
          <w:rtl/>
        </w:rPr>
        <w:footnoteReference w:id="4344"/>
      </w:r>
      <w:r w:rsidRPr="001D49D4">
        <w:rPr>
          <w:rtl/>
        </w:rPr>
        <w:t xml:space="preserve">. </w:t>
      </w:r>
      <w:r w:rsidRPr="001D49D4">
        <w:rPr>
          <w:color w:val="00B0F0"/>
          <w:rtl/>
        </w:rPr>
        <w:t>(וכ"פ הרמ"א)</w:t>
      </w:r>
    </w:p>
    <w:p w14:paraId="5555E02B" w14:textId="77777777" w:rsidR="001D49D4" w:rsidRPr="001D49D4" w:rsidRDefault="001D49D4" w:rsidP="0004348D">
      <w:pPr>
        <w:spacing w:before="360" w:after="240"/>
        <w:rPr>
          <w:rFonts w:ascii="Calibri" w:eastAsia="Calibri" w:hAnsi="Calibri" w:cs="Arial"/>
          <w:u w:val="single"/>
          <w:rtl/>
        </w:rPr>
      </w:pPr>
      <w:r w:rsidRPr="001D49D4">
        <w:rPr>
          <w:rFonts w:ascii="Calibri" w:eastAsia="Calibri" w:hAnsi="Calibri" w:cs="Arial"/>
          <w:u w:val="single"/>
          <w:rtl/>
        </w:rPr>
        <w:t>לוה שעשה למלוה שטר מכר על שדהו, והשליש השטר ביד שליש, והמלוה מכר לפלוני השדה קודם שזכה בו:</w:t>
      </w:r>
    </w:p>
    <w:p w14:paraId="5A85B367" w14:textId="77777777" w:rsidR="001D49D4" w:rsidRPr="001D49D4" w:rsidRDefault="001D49D4" w:rsidP="0004348D">
      <w:pPr>
        <w:numPr>
          <w:ilvl w:val="0"/>
          <w:numId w:val="297"/>
        </w:numPr>
        <w:spacing w:before="360" w:after="240"/>
        <w:contextualSpacing/>
        <w:rPr>
          <w:rtl/>
        </w:rPr>
      </w:pPr>
      <w:r w:rsidRPr="001D49D4">
        <w:rPr>
          <w:rtl/>
        </w:rPr>
        <w:t>טור- ראובן לוה משמעון מנה באחד בניסן עד י"ב חודש ועשה לו שטר מכר משדהו מעכשיו בלא שום תנאי ושיור, אלא שהשליש ראובן שטרו ביד לוי ואמר לו 'אם לא אפרענו מכאן ועד זמן פלוני תן לו שטר מכירה זו', וראובן אוכל הפירות תוך הזמן, ובתוך הזמן מכר שמעון השדה ליהודה קודם שזכה בשטר המכר שביד השליש, וכשהגיע הזמן ולא פרע ראובן נתן השליש שטר המכר לשמעון והחזיק יהודה בשדה ואכל פירותיה. ובא ראובן להוציא יהודה מן השדה בשביל שלקחה קודם שזכה שמעון בשטר, כתב הראב"ד שאין שומעין לו</w:t>
      </w:r>
      <w:r w:rsidRPr="001D49D4">
        <w:rPr>
          <w:vertAlign w:val="superscript"/>
          <w:rtl/>
        </w:rPr>
        <w:footnoteReference w:id="4345"/>
      </w:r>
      <w:r w:rsidRPr="001D49D4">
        <w:rPr>
          <w:rtl/>
        </w:rPr>
        <w:t>.</w:t>
      </w:r>
    </w:p>
    <w:p w14:paraId="564051D4"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u w:val="single"/>
          <w:rtl/>
        </w:rPr>
        <w:t>אחד שהשליש שטרי מתנות וצוה ליתנו לבתו לכשתנשא, והבת נתנן לאמה, ומתה אמא לאחר מכן:</w:t>
      </w:r>
      <w:r w:rsidRPr="001D49D4">
        <w:rPr>
          <w:rFonts w:ascii="Calibri" w:eastAsia="Calibri" w:hAnsi="Calibri" w:cs="Arial"/>
          <w:rtl/>
        </w:rPr>
        <w:t xml:space="preserve">  </w:t>
      </w:r>
      <w:r w:rsidRPr="001D49D4">
        <w:rPr>
          <w:rFonts w:ascii="Calibri" w:eastAsia="Calibri" w:hAnsi="Calibri" w:cs="Arial"/>
          <w:sz w:val="16"/>
          <w:szCs w:val="16"/>
          <w:rtl/>
        </w:rPr>
        <w:t>(דרכ"מ ה**)</w:t>
      </w:r>
    </w:p>
    <w:p w14:paraId="7C9022EE" w14:textId="77777777" w:rsidR="001D49D4" w:rsidRPr="001D49D4" w:rsidRDefault="001D49D4" w:rsidP="0004348D">
      <w:pPr>
        <w:numPr>
          <w:ilvl w:val="0"/>
          <w:numId w:val="297"/>
        </w:numPr>
        <w:spacing w:before="360" w:after="240"/>
        <w:contextualSpacing/>
      </w:pPr>
      <w:r w:rsidRPr="001D49D4">
        <w:rPr>
          <w:rtl/>
        </w:rPr>
        <w:t xml:space="preserve">רשב"א </w:t>
      </w:r>
      <w:r w:rsidRPr="001D49D4">
        <w:rPr>
          <w:sz w:val="16"/>
          <w:szCs w:val="16"/>
          <w:rtl/>
        </w:rPr>
        <w:t>(סי' אלף קמז)</w:t>
      </w:r>
      <w:r w:rsidRPr="001D49D4">
        <w:rPr>
          <w:rtl/>
        </w:rPr>
        <w:t>- אחד שהשליש שטרי מתנות וצוה ליתנו לבתו לכשתנשא והבת נתנן לאמה ומתה. תשובה, לא הוי מתנה דלא קאמר ליתן לה עד שתנשא, ומיהו אם אין לו יורש אלא זו הבת אם כן זכתה בנכסים מכח ירושה ומתנה דאמה קיימת.</w:t>
      </w:r>
    </w:p>
    <w:p w14:paraId="4098FA66" w14:textId="77777777" w:rsidR="001D49D4" w:rsidRPr="001D49D4" w:rsidRDefault="001D49D4" w:rsidP="0004348D">
      <w:pPr>
        <w:spacing w:before="360" w:after="240"/>
        <w:rPr>
          <w:rFonts w:ascii="Arial" w:eastAsia="Calibri" w:hAnsi="Arial" w:cs="Arial"/>
          <w:b/>
          <w:bCs/>
          <w:color w:val="000000"/>
          <w:sz w:val="28"/>
          <w:szCs w:val="28"/>
          <w:u w:val="single"/>
          <w:rtl/>
        </w:rPr>
      </w:pPr>
      <w:r w:rsidRPr="001D49D4">
        <w:rPr>
          <w:rFonts w:ascii="Arial" w:eastAsia="Calibri" w:hAnsi="Arial" w:cs="Arial"/>
          <w:b/>
          <w:bCs/>
          <w:color w:val="000000"/>
          <w:sz w:val="28"/>
          <w:szCs w:val="28"/>
          <w:u w:val="single"/>
          <w:rtl/>
        </w:rPr>
        <w:t>שו"ע:</w:t>
      </w:r>
    </w:p>
    <w:p w14:paraId="47CAF14C"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rtl/>
        </w:rPr>
        <w:t>מי שפרע מקצת חובו והשליש את השטר, ואמר לו אם לא נתתי לך עד יום פלוני תן לו שטרו, והגיע הזמן ולא נתן לו, לא יתן השליש את השטר, שזו אסמכתא היא</w:t>
      </w:r>
      <w:r w:rsidRPr="001D49D4">
        <w:rPr>
          <w:rFonts w:ascii="Calibri" w:eastAsia="Calibri" w:hAnsi="Calibri" w:cs="Arial"/>
          <w:vertAlign w:val="superscript"/>
          <w:rtl/>
        </w:rPr>
        <w:footnoteReference w:id="4346"/>
      </w:r>
      <w:r w:rsidRPr="001D49D4">
        <w:rPr>
          <w:rFonts w:ascii="Calibri" w:eastAsia="Calibri" w:hAnsi="Calibri" w:cs="Arial"/>
          <w:rtl/>
        </w:rPr>
        <w:t xml:space="preserve"> ולא קניא. ואם קנו מידו עליה בבית דין חשוב, הרי זה קנה, והוא שיתפיס זכיותיו בבית דין, והוא שלא יהיה אנוס. כיצד, הרי שהתפיס שטרו או שוברו בבית דין, וקנו מידו שאם לא בא ביום פלוני ינתן זה לבעל דינו, והגיע היום ולא בא, הרי אלו נותנים. ואם עכבו נהר</w:t>
      </w:r>
      <w:r w:rsidRPr="001D49D4">
        <w:rPr>
          <w:rFonts w:ascii="Calibri" w:eastAsia="Calibri" w:hAnsi="Calibri" w:cs="Arial"/>
          <w:vertAlign w:val="superscript"/>
          <w:rtl/>
        </w:rPr>
        <w:footnoteReference w:id="4347"/>
      </w:r>
      <w:r w:rsidRPr="001D49D4">
        <w:rPr>
          <w:rFonts w:ascii="Calibri" w:eastAsia="Calibri" w:hAnsi="Calibri" w:cs="Arial"/>
          <w:rtl/>
        </w:rPr>
        <w:t xml:space="preserve"> או חולי מלבא, לא יתנו, וכן כל כיוצא בזה, והוא שיהיה בבית דין חשוב. </w:t>
      </w:r>
      <w:r w:rsidRPr="001D49D4">
        <w:rPr>
          <w:rFonts w:ascii="Calibri" w:eastAsia="Calibri" w:hAnsi="Calibri" w:cs="Arial"/>
          <w:sz w:val="18"/>
          <w:szCs w:val="18"/>
          <w:rtl/>
        </w:rPr>
        <w:t>הגה: וי"א דלא בעינן שהתפיס שטרו, מאחר דקנו מיניה בב"ד חשוב, דהיינו ג' דבקיאי בדיני אסמכתא (טור בשם הרא"ש ומהר"ם). ועיין לקמן סי' ר"ז</w:t>
      </w:r>
      <w:r w:rsidRPr="001D49D4">
        <w:rPr>
          <w:rFonts w:ascii="Calibri" w:eastAsia="Calibri" w:hAnsi="Calibri" w:cs="Arial"/>
          <w:sz w:val="18"/>
          <w:szCs w:val="18"/>
          <w:vertAlign w:val="superscript"/>
          <w:rtl/>
        </w:rPr>
        <w:footnoteReference w:id="4348"/>
      </w:r>
      <w:r w:rsidRPr="001D49D4">
        <w:rPr>
          <w:rFonts w:ascii="Calibri" w:eastAsia="Calibri" w:hAnsi="Calibri" w:cs="Arial"/>
          <w:sz w:val="18"/>
          <w:szCs w:val="18"/>
          <w:rtl/>
        </w:rPr>
        <w:t>. שליש שהחזיר שטר למלוה, שלא היה לו להחזיר, משמתינן לשליש עד שמקבל עליו כל אונסא שיארע ללוה מזה (רשב"א אלף נב). ואם נודע לב"ד שהחזיר שלא כדין, אין דנין על השטר</w:t>
      </w:r>
      <w:r w:rsidRPr="001D49D4">
        <w:rPr>
          <w:rFonts w:ascii="Calibri" w:eastAsia="Calibri" w:hAnsi="Calibri" w:cs="Arial"/>
          <w:sz w:val="18"/>
          <w:szCs w:val="18"/>
          <w:vertAlign w:val="superscript"/>
          <w:rtl/>
        </w:rPr>
        <w:footnoteReference w:id="4349"/>
      </w:r>
      <w:r w:rsidRPr="001D49D4">
        <w:rPr>
          <w:rFonts w:ascii="Calibri" w:eastAsia="Calibri" w:hAnsi="Calibri" w:cs="Arial"/>
          <w:sz w:val="18"/>
          <w:szCs w:val="18"/>
          <w:rtl/>
        </w:rPr>
        <w:t xml:space="preserve"> (ב"י בשם רשב"א). ואם לא נודע לב"ד, והוציאו מן הלוה כל השטר, ואח"כ נודע שהחזירו השליש שלא כדין, השליש פטור</w:t>
      </w:r>
      <w:r w:rsidRPr="001D49D4">
        <w:rPr>
          <w:rFonts w:ascii="Calibri" w:eastAsia="Calibri" w:hAnsi="Calibri" w:cs="Arial"/>
          <w:sz w:val="18"/>
          <w:szCs w:val="18"/>
          <w:vertAlign w:val="superscript"/>
          <w:rtl/>
        </w:rPr>
        <w:footnoteReference w:id="4350"/>
      </w:r>
      <w:r w:rsidRPr="001D49D4">
        <w:rPr>
          <w:rFonts w:ascii="Calibri" w:eastAsia="Calibri" w:hAnsi="Calibri" w:cs="Arial"/>
          <w:sz w:val="18"/>
          <w:szCs w:val="18"/>
          <w:rtl/>
        </w:rPr>
        <w:t xml:space="preserve"> דהוי גרמא בנזקין</w:t>
      </w:r>
      <w:r w:rsidRPr="001D49D4">
        <w:rPr>
          <w:rFonts w:ascii="Calibri" w:eastAsia="Calibri" w:hAnsi="Calibri" w:cs="Arial"/>
          <w:sz w:val="18"/>
          <w:szCs w:val="18"/>
          <w:vertAlign w:val="superscript"/>
          <w:rtl/>
        </w:rPr>
        <w:footnoteReference w:id="4351"/>
      </w:r>
      <w:r w:rsidRPr="001D49D4">
        <w:rPr>
          <w:rFonts w:ascii="Calibri" w:eastAsia="Calibri" w:hAnsi="Calibri" w:cs="Arial"/>
          <w:sz w:val="18"/>
          <w:szCs w:val="18"/>
          <w:rtl/>
        </w:rPr>
        <w:t xml:space="preserve"> (רשב"א אלף נב).</w:t>
      </w:r>
      <w:r w:rsidRPr="001D49D4">
        <w:rPr>
          <w:rFonts w:ascii="Calibri" w:eastAsia="Calibri" w:hAnsi="Calibri" w:cs="Arial"/>
          <w:rtl/>
        </w:rPr>
        <w:t xml:space="preserve"> </w:t>
      </w:r>
    </w:p>
    <w:p w14:paraId="4F97CD12" w14:textId="77777777" w:rsidR="001D49D4" w:rsidRPr="001D49D4" w:rsidRDefault="001D49D4" w:rsidP="0004348D">
      <w:pPr>
        <w:spacing w:before="360" w:after="240"/>
        <w:rPr>
          <w:rFonts w:ascii="Calibri" w:eastAsia="Calibri" w:hAnsi="Calibri" w:cs="Arial"/>
          <w:rtl/>
        </w:rPr>
      </w:pPr>
    </w:p>
    <w:p w14:paraId="0DA30AED" w14:textId="77777777" w:rsidR="001D49D4" w:rsidRPr="001D49D4" w:rsidRDefault="001D49D4" w:rsidP="0004348D">
      <w:pPr>
        <w:keepNext/>
        <w:keepLines/>
        <w:spacing w:before="360" w:after="240"/>
        <w:outlineLvl w:val="1"/>
        <w:rPr>
          <w:rFonts w:ascii="Cambria" w:eastAsia="Times New Roman" w:hAnsi="Cambria" w:cs="Arial"/>
          <w:bCs/>
          <w:color w:val="548DD4" w:themeColor="text2" w:themeTint="99"/>
          <w:sz w:val="26"/>
          <w:szCs w:val="26"/>
          <w:rtl/>
        </w:rPr>
      </w:pPr>
      <w:bookmarkStart w:id="586" w:name="_Toc24884012"/>
      <w:r w:rsidRPr="001D49D4">
        <w:rPr>
          <w:rFonts w:ascii="Cambria" w:eastAsia="Times New Roman" w:hAnsi="Cambria" w:cs="Arial"/>
          <w:bCs/>
          <w:color w:val="548DD4" w:themeColor="text2" w:themeTint="99"/>
          <w:sz w:val="26"/>
          <w:szCs w:val="26"/>
          <w:rtl/>
        </w:rPr>
        <w:t>סעיף ב: המשך סעיף א'.</w:t>
      </w:r>
      <w:bookmarkEnd w:id="586"/>
    </w:p>
    <w:p w14:paraId="42E6E257"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rtl/>
        </w:rPr>
        <w:t>עיין במקורות בסעיף הקודם.</w:t>
      </w:r>
    </w:p>
    <w:p w14:paraId="2E85FEF2" w14:textId="77777777" w:rsidR="001D49D4" w:rsidRPr="001D49D4" w:rsidRDefault="001D49D4" w:rsidP="0004348D">
      <w:pPr>
        <w:spacing w:before="360" w:after="240"/>
        <w:rPr>
          <w:rFonts w:ascii="Arial" w:eastAsia="Calibri" w:hAnsi="Arial" w:cs="Arial"/>
          <w:b/>
          <w:bCs/>
          <w:color w:val="000000"/>
          <w:sz w:val="28"/>
          <w:szCs w:val="28"/>
          <w:u w:val="single"/>
          <w:rtl/>
        </w:rPr>
      </w:pPr>
      <w:r w:rsidRPr="001D49D4">
        <w:rPr>
          <w:rFonts w:ascii="Arial" w:eastAsia="Calibri" w:hAnsi="Arial" w:cs="Arial"/>
          <w:b/>
          <w:bCs/>
          <w:color w:val="000000"/>
          <w:sz w:val="28"/>
          <w:szCs w:val="28"/>
          <w:u w:val="single"/>
          <w:rtl/>
        </w:rPr>
        <w:t>שו"ע:</w:t>
      </w:r>
    </w:p>
    <w:p w14:paraId="65924D7F"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rtl/>
        </w:rPr>
        <w:t xml:space="preserve">במה דברים אמורים שנותנים השטר לבעל דינו, כשאמר אם לא פרעתי ביום פלוני יהיו המעות שנתתי מתנה וישאר השטר קיים כבתחלה, שאם לא כן הוי השטר שנמחל שיעבודו כדי המעות שנתן. </w:t>
      </w:r>
      <w:r w:rsidRPr="001D49D4">
        <w:rPr>
          <w:rFonts w:ascii="Calibri" w:eastAsia="Calibri" w:hAnsi="Calibri" w:cs="Arial"/>
          <w:sz w:val="18"/>
          <w:szCs w:val="18"/>
          <w:rtl/>
        </w:rPr>
        <w:t>[הגה] ואינו גובה בו כלום אלא מבני חורין</w:t>
      </w:r>
      <w:r w:rsidRPr="001D49D4">
        <w:rPr>
          <w:rFonts w:ascii="Calibri" w:eastAsia="Calibri" w:hAnsi="Calibri" w:cs="Arial"/>
          <w:sz w:val="18"/>
          <w:szCs w:val="18"/>
          <w:vertAlign w:val="superscript"/>
          <w:rtl/>
        </w:rPr>
        <w:footnoteReference w:id="4352"/>
      </w:r>
      <w:r w:rsidRPr="001D49D4">
        <w:rPr>
          <w:rFonts w:ascii="Calibri" w:eastAsia="Calibri" w:hAnsi="Calibri" w:cs="Arial"/>
          <w:sz w:val="18"/>
          <w:szCs w:val="18"/>
          <w:rtl/>
        </w:rPr>
        <w:t xml:space="preserve"> (ב"י בשם הרא"ש).</w:t>
      </w:r>
    </w:p>
    <w:p w14:paraId="38B3FB32" w14:textId="77777777" w:rsidR="001D49D4" w:rsidRPr="001D49D4" w:rsidRDefault="001D49D4" w:rsidP="0004348D">
      <w:pPr>
        <w:spacing w:before="360" w:after="240"/>
        <w:rPr>
          <w:rFonts w:ascii="Calibri" w:eastAsia="Calibri" w:hAnsi="Calibri" w:cs="Arial"/>
          <w:rtl/>
        </w:rPr>
      </w:pPr>
    </w:p>
    <w:p w14:paraId="6BB882E1" w14:textId="77777777" w:rsidR="001D49D4" w:rsidRPr="001D49D4" w:rsidRDefault="001D49D4" w:rsidP="0004348D">
      <w:pPr>
        <w:bidi w:val="0"/>
        <w:spacing w:before="360" w:after="240"/>
        <w:rPr>
          <w:rFonts w:ascii="Cambria" w:eastAsia="Times New Roman" w:hAnsi="Cambria" w:cs="Arial"/>
          <w:b/>
          <w:bCs/>
          <w:color w:val="365F91" w:themeColor="accent1" w:themeShade="BF"/>
          <w:sz w:val="28"/>
          <w:szCs w:val="28"/>
          <w:rtl/>
        </w:rPr>
        <w:sectPr w:rsidR="001D49D4" w:rsidRPr="001D49D4">
          <w:headerReference w:type="default" r:id="rId64"/>
          <w:footnotePr>
            <w:numRestart w:val="eachPage"/>
          </w:footnotePr>
          <w:pgSz w:w="11906" w:h="16838"/>
          <w:pgMar w:top="720" w:right="1134" w:bottom="720" w:left="1134" w:header="0" w:footer="0" w:gutter="0"/>
          <w:cols w:space="720"/>
          <w:bidi/>
          <w:rtlGutter/>
        </w:sectPr>
      </w:pPr>
    </w:p>
    <w:p w14:paraId="2081EA26" w14:textId="77777777" w:rsidR="001D49D4" w:rsidRPr="001D49D4" w:rsidRDefault="001D49D4" w:rsidP="0004348D">
      <w:pPr>
        <w:keepNext/>
        <w:keepLines/>
        <w:spacing w:before="360" w:after="240"/>
        <w:outlineLvl w:val="0"/>
        <w:rPr>
          <w:rFonts w:ascii="Cambria" w:eastAsia="Times New Roman" w:hAnsi="Cambria" w:cs="Arial"/>
          <w:b/>
          <w:bCs/>
          <w:color w:val="365F91" w:themeColor="accent1" w:themeShade="BF"/>
          <w:sz w:val="28"/>
          <w:szCs w:val="28"/>
          <w:rtl/>
        </w:rPr>
      </w:pPr>
      <w:bookmarkStart w:id="587" w:name="_Toc24884013"/>
      <w:r w:rsidRPr="001D49D4">
        <w:rPr>
          <w:rFonts w:ascii="Cambria" w:eastAsia="Times New Roman" w:hAnsi="Cambria" w:cs="Arial"/>
          <w:b/>
          <w:bCs/>
          <w:color w:val="365F91" w:themeColor="accent1" w:themeShade="BF"/>
          <w:sz w:val="28"/>
          <w:szCs w:val="28"/>
          <w:rtl/>
        </w:rPr>
        <w:t>סימן נו: דין שלישות, ובו ז' סעיפים.</w:t>
      </w:r>
      <w:bookmarkEnd w:id="587"/>
      <w:r w:rsidRPr="001D49D4">
        <w:rPr>
          <w:rFonts w:ascii="Cambria" w:eastAsia="Times New Roman" w:hAnsi="Cambria" w:cs="Arial"/>
          <w:b/>
          <w:bCs/>
          <w:color w:val="365F91" w:themeColor="accent1" w:themeShade="BF"/>
          <w:sz w:val="28"/>
          <w:szCs w:val="28"/>
          <w:rtl/>
        </w:rPr>
        <w:t xml:space="preserve"> </w:t>
      </w:r>
    </w:p>
    <w:p w14:paraId="330089C0" w14:textId="77777777" w:rsidR="001D49D4" w:rsidRPr="001D49D4" w:rsidRDefault="001D49D4" w:rsidP="0004348D">
      <w:pPr>
        <w:keepNext/>
        <w:keepLines/>
        <w:spacing w:before="360" w:after="240"/>
        <w:outlineLvl w:val="1"/>
        <w:rPr>
          <w:rFonts w:ascii="Cambria" w:eastAsia="Times New Roman" w:hAnsi="Cambria" w:cs="Arial"/>
          <w:bCs/>
          <w:color w:val="548DD4" w:themeColor="text2" w:themeTint="99"/>
          <w:sz w:val="26"/>
          <w:szCs w:val="26"/>
          <w:rtl/>
        </w:rPr>
      </w:pPr>
      <w:bookmarkStart w:id="588" w:name="_Toc24884014"/>
      <w:r w:rsidRPr="001D49D4">
        <w:rPr>
          <w:rFonts w:ascii="Cambria" w:eastAsia="Times New Roman" w:hAnsi="Cambria" w:cs="Arial"/>
          <w:bCs/>
          <w:color w:val="548DD4" w:themeColor="text2" w:themeTint="99"/>
          <w:sz w:val="26"/>
          <w:szCs w:val="26"/>
          <w:rtl/>
        </w:rPr>
        <w:t>סעיף א: נאמנות שליש.</w:t>
      </w:r>
      <w:bookmarkEnd w:id="588"/>
    </w:p>
    <w:p w14:paraId="36B14B57"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b/>
          <w:bCs/>
          <w:rtl/>
        </w:rPr>
        <w:t xml:space="preserve">תוספתא </w:t>
      </w:r>
      <w:r w:rsidRPr="001D49D4">
        <w:rPr>
          <w:rFonts w:ascii="Calibri" w:eastAsia="Calibri" w:hAnsi="Calibri" w:cs="Arial"/>
          <w:b/>
          <w:bCs/>
          <w:sz w:val="16"/>
          <w:szCs w:val="16"/>
          <w:rtl/>
        </w:rPr>
        <w:t xml:space="preserve">(ליברמן) </w:t>
      </w:r>
      <w:r w:rsidRPr="001D49D4">
        <w:rPr>
          <w:rFonts w:ascii="Calibri" w:eastAsia="Calibri" w:hAnsi="Calibri" w:cs="Arial"/>
          <w:b/>
          <w:bCs/>
          <w:rtl/>
        </w:rPr>
        <w:t xml:space="preserve">בבא מציעא פ"א ה"י: </w:t>
      </w:r>
      <w:r w:rsidRPr="001D49D4">
        <w:rPr>
          <w:rFonts w:ascii="Calibri" w:eastAsia="Calibri" w:hAnsi="Calibri" w:cs="Arial"/>
          <w:rtl/>
        </w:rPr>
        <w:t>הודאת בעל דין כמאה עדים והשליש נאמן משניהן, זה אומ' כך וזה אומ' כך והשליש אמ' כך - השליש נאמן. אימתי, בזמן שהשלישות יוצא מתחת ידו, אין השלישות יוצא מתחת ידו - הרי הוא כאחד מכל אדם.</w:t>
      </w:r>
      <w:r w:rsidRPr="001D49D4">
        <w:rPr>
          <w:rFonts w:ascii="Calibri" w:eastAsia="Calibri" w:hAnsi="Calibri" w:cs="Arial"/>
          <w:sz w:val="16"/>
          <w:szCs w:val="16"/>
          <w:rtl/>
        </w:rPr>
        <w:t xml:space="preserve"> (וכתבוה הרי"ף (א:) והרא"ש (סי' ב) בריש מציעא, ב"י)</w:t>
      </w:r>
    </w:p>
    <w:p w14:paraId="4AA4121C"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b/>
          <w:bCs/>
          <w:rtl/>
        </w:rPr>
        <w:t xml:space="preserve">גיטין </w:t>
      </w:r>
      <w:r w:rsidRPr="001D49D4">
        <w:rPr>
          <w:rFonts w:ascii="Calibri" w:eastAsia="Calibri" w:hAnsi="Calibri" w:cs="Arial"/>
          <w:b/>
          <w:bCs/>
          <w:sz w:val="16"/>
          <w:szCs w:val="16"/>
          <w:rtl/>
        </w:rPr>
        <w:t xml:space="preserve">(פרק התקבל) </w:t>
      </w:r>
      <w:r w:rsidRPr="001D49D4">
        <w:rPr>
          <w:rFonts w:ascii="Calibri" w:eastAsia="Calibri" w:hAnsi="Calibri" w:cs="Arial"/>
          <w:b/>
          <w:bCs/>
          <w:rtl/>
        </w:rPr>
        <w:t>סד</w:t>
      </w:r>
      <w:r w:rsidRPr="001D49D4">
        <w:rPr>
          <w:rFonts w:ascii="Calibri" w:eastAsia="Calibri" w:hAnsi="Calibri" w:cs="Arial"/>
          <w:b/>
          <w:bCs/>
          <w:vertAlign w:val="superscript"/>
          <w:rtl/>
        </w:rPr>
        <w:footnoteReference w:id="4353"/>
      </w:r>
      <w:r w:rsidRPr="001D49D4">
        <w:rPr>
          <w:rFonts w:ascii="Calibri" w:eastAsia="Calibri" w:hAnsi="Calibri" w:cs="Arial"/>
          <w:b/>
          <w:bCs/>
          <w:rtl/>
        </w:rPr>
        <w:t xml:space="preserve"> ע"א:</w:t>
      </w:r>
      <w:r w:rsidRPr="001D49D4">
        <w:rPr>
          <w:rFonts w:ascii="Calibri" w:eastAsia="Calibri" w:hAnsi="Calibri" w:cs="Arial"/>
          <w:rtl/>
        </w:rPr>
        <w:t xml:space="preserve"> </w:t>
      </w:r>
      <w:r w:rsidRPr="001D49D4">
        <w:rPr>
          <w:rFonts w:ascii="Calibri" w:eastAsia="Calibri" w:hAnsi="Calibri" w:cs="Arial"/>
          <w:u w:val="single"/>
          <w:rtl/>
        </w:rPr>
        <w:t>מתיב ר' אבא</w:t>
      </w:r>
      <w:r w:rsidRPr="001D49D4">
        <w:rPr>
          <w:rFonts w:ascii="Calibri" w:eastAsia="Calibri" w:hAnsi="Calibri" w:cs="Arial"/>
          <w:rtl/>
        </w:rPr>
        <w:t>: הודאת בעל דין כמאה עדים דמי, ושליש נאמן משניהם, כיצד? זה אומר כך וזה אומר כך - שליש נאמן!</w:t>
      </w:r>
    </w:p>
    <w:p w14:paraId="13579D48"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b/>
          <w:bCs/>
          <w:rtl/>
        </w:rPr>
        <w:t xml:space="preserve">סנהדרין </w:t>
      </w:r>
      <w:r w:rsidRPr="001D49D4">
        <w:rPr>
          <w:rFonts w:ascii="Calibri" w:eastAsia="Calibri" w:hAnsi="Calibri" w:cs="Arial"/>
          <w:b/>
          <w:bCs/>
          <w:sz w:val="16"/>
          <w:szCs w:val="16"/>
          <w:rtl/>
        </w:rPr>
        <w:t xml:space="preserve">(פרק זה בורר) </w:t>
      </w:r>
      <w:r w:rsidRPr="001D49D4">
        <w:rPr>
          <w:rFonts w:ascii="Calibri" w:eastAsia="Calibri" w:hAnsi="Calibri" w:cs="Arial"/>
          <w:b/>
          <w:bCs/>
          <w:rtl/>
        </w:rPr>
        <w:t>לא</w:t>
      </w:r>
      <w:r w:rsidRPr="001D49D4">
        <w:rPr>
          <w:rFonts w:ascii="Calibri" w:eastAsia="Calibri" w:hAnsi="Calibri" w:cs="Arial"/>
          <w:b/>
          <w:bCs/>
          <w:vertAlign w:val="superscript"/>
          <w:rtl/>
        </w:rPr>
        <w:footnoteReference w:id="4354"/>
      </w:r>
      <w:r w:rsidRPr="001D49D4">
        <w:rPr>
          <w:rFonts w:ascii="Calibri" w:eastAsia="Calibri" w:hAnsi="Calibri" w:cs="Arial"/>
          <w:b/>
          <w:bCs/>
          <w:rtl/>
        </w:rPr>
        <w:t xml:space="preserve"> ע"א:</w:t>
      </w:r>
      <w:r w:rsidRPr="001D49D4">
        <w:rPr>
          <w:rFonts w:ascii="Calibri" w:eastAsia="Calibri" w:hAnsi="Calibri" w:cs="Arial"/>
          <w:rtl/>
        </w:rPr>
        <w:t xml:space="preserve"> ההיא איתתא דנפק שטרא מתותי ידה</w:t>
      </w:r>
      <w:r w:rsidRPr="001D49D4">
        <w:rPr>
          <w:rFonts w:ascii="Calibri" w:eastAsia="Calibri" w:hAnsi="Calibri" w:cs="Arial"/>
          <w:vertAlign w:val="superscript"/>
          <w:rtl/>
        </w:rPr>
        <w:footnoteReference w:id="4355"/>
      </w:r>
      <w:r w:rsidRPr="001D49D4">
        <w:rPr>
          <w:rFonts w:ascii="Calibri" w:eastAsia="Calibri" w:hAnsi="Calibri" w:cs="Arial"/>
          <w:rtl/>
        </w:rPr>
        <w:t xml:space="preserve">, אמרה ליה: ידענא בהאי שטרא דפריע הוה. הימנה </w:t>
      </w:r>
      <w:r w:rsidRPr="001D49D4">
        <w:rPr>
          <w:rFonts w:ascii="Calibri" w:eastAsia="Calibri" w:hAnsi="Calibri" w:cs="Arial"/>
          <w:u w:val="single"/>
          <w:rtl/>
        </w:rPr>
        <w:t>רב נחמן</w:t>
      </w:r>
      <w:r w:rsidRPr="001D49D4">
        <w:rPr>
          <w:rFonts w:ascii="Calibri" w:eastAsia="Calibri" w:hAnsi="Calibri" w:cs="Arial"/>
          <w:rtl/>
        </w:rPr>
        <w:t xml:space="preserve">. </w:t>
      </w:r>
      <w:r w:rsidRPr="001D49D4">
        <w:rPr>
          <w:rFonts w:ascii="Calibri" w:eastAsia="Calibri" w:hAnsi="Calibri" w:cs="Arial"/>
          <w:u w:val="single"/>
          <w:rtl/>
        </w:rPr>
        <w:t>אמר ליה רבא לרב נחמן</w:t>
      </w:r>
      <w:r w:rsidRPr="001D49D4">
        <w:rPr>
          <w:rFonts w:ascii="Calibri" w:eastAsia="Calibri" w:hAnsi="Calibri" w:cs="Arial"/>
          <w:rtl/>
        </w:rPr>
        <w:t xml:space="preserve">: כמאן - כרבי, דאמר: אותיות נקנות במסירה? </w:t>
      </w:r>
      <w:r w:rsidRPr="001D49D4">
        <w:rPr>
          <w:rFonts w:ascii="Calibri" w:eastAsia="Calibri" w:hAnsi="Calibri" w:cs="Arial"/>
          <w:u w:val="single"/>
          <w:rtl/>
        </w:rPr>
        <w:t>אמר ליה</w:t>
      </w:r>
      <w:r w:rsidRPr="001D49D4">
        <w:rPr>
          <w:rFonts w:ascii="Calibri" w:eastAsia="Calibri" w:hAnsi="Calibri" w:cs="Arial"/>
          <w:rtl/>
        </w:rPr>
        <w:t xml:space="preserve">: שאני הכא, דאי בעיא - קלתיה. </w:t>
      </w:r>
      <w:r w:rsidRPr="001D49D4">
        <w:rPr>
          <w:rFonts w:ascii="Calibri" w:eastAsia="Calibri" w:hAnsi="Calibri" w:cs="Arial"/>
          <w:u w:val="dotted"/>
          <w:rtl/>
        </w:rPr>
        <w:t>איכא דאמרי</w:t>
      </w:r>
      <w:r w:rsidRPr="001D49D4">
        <w:rPr>
          <w:rFonts w:ascii="Calibri" w:eastAsia="Calibri" w:hAnsi="Calibri" w:cs="Arial"/>
          <w:rtl/>
        </w:rPr>
        <w:t xml:space="preserve">, לא הימנה רב נחמן. </w:t>
      </w:r>
      <w:r w:rsidRPr="001D49D4">
        <w:rPr>
          <w:rFonts w:ascii="Calibri" w:eastAsia="Calibri" w:hAnsi="Calibri" w:cs="Arial"/>
          <w:u w:val="single"/>
          <w:rtl/>
        </w:rPr>
        <w:t>אמר ליה רבא לרב נחמן</w:t>
      </w:r>
      <w:r w:rsidRPr="001D49D4">
        <w:rPr>
          <w:rFonts w:ascii="Calibri" w:eastAsia="Calibri" w:hAnsi="Calibri" w:cs="Arial"/>
          <w:rtl/>
        </w:rPr>
        <w:t xml:space="preserve">: והא אי בעיא </w:t>
      </w:r>
      <w:r w:rsidRPr="001D49D4">
        <w:rPr>
          <w:rFonts w:ascii="Calibri" w:eastAsia="Calibri" w:hAnsi="Calibri" w:cs="Arial"/>
          <w:sz w:val="14"/>
          <w:szCs w:val="14"/>
          <w:rtl/>
        </w:rPr>
        <w:t xml:space="preserve">(לא:) </w:t>
      </w:r>
      <w:r w:rsidRPr="001D49D4">
        <w:rPr>
          <w:rFonts w:ascii="Calibri" w:eastAsia="Calibri" w:hAnsi="Calibri" w:cs="Arial"/>
          <w:rtl/>
        </w:rPr>
        <w:t>קלתיה! כיון דאיתחזק בבי דינא</w:t>
      </w:r>
      <w:r w:rsidRPr="001D49D4">
        <w:rPr>
          <w:rFonts w:ascii="Calibri" w:eastAsia="Calibri" w:hAnsi="Calibri" w:cs="Arial"/>
          <w:vertAlign w:val="superscript"/>
          <w:rtl/>
        </w:rPr>
        <w:footnoteReference w:id="4356"/>
      </w:r>
      <w:r w:rsidRPr="001D49D4">
        <w:rPr>
          <w:rFonts w:ascii="Calibri" w:eastAsia="Calibri" w:hAnsi="Calibri" w:cs="Arial"/>
          <w:rtl/>
        </w:rPr>
        <w:t xml:space="preserve"> - איבעיא קלתיה לא אמרינן. </w:t>
      </w:r>
      <w:r w:rsidRPr="001D49D4">
        <w:rPr>
          <w:rFonts w:ascii="Calibri" w:eastAsia="Calibri" w:hAnsi="Calibri" w:cs="Arial"/>
          <w:u w:val="single"/>
          <w:rtl/>
        </w:rPr>
        <w:t>איתיביה רבא לרב נחמן</w:t>
      </w:r>
      <w:r w:rsidRPr="001D49D4">
        <w:rPr>
          <w:rFonts w:ascii="Calibri" w:eastAsia="Calibri" w:hAnsi="Calibri" w:cs="Arial"/>
          <w:rtl/>
        </w:rPr>
        <w:t xml:space="preserve">: סימפון שיש עליו עדים - יתקיים בחותמיו, אין עליו עדים, ויצא מתחת ידי שליש או שיצא אחר חיתום שטרות - כשר. אלמא: שליש מהימן! תיובתא דרב נחמן (תיובתא). </w:t>
      </w:r>
      <w:r w:rsidRPr="001D49D4">
        <w:rPr>
          <w:rFonts w:ascii="Calibri" w:eastAsia="Calibri" w:hAnsi="Calibri" w:cs="Arial"/>
          <w:sz w:val="16"/>
          <w:szCs w:val="16"/>
          <w:rtl/>
        </w:rPr>
        <w:t>(וכיון דאיתותב לישנא בתרא נאמן בכל גוונא, וכן פסקו הרי"ף (שם ט:) והרא"ש (שם סי' לח), וכ"פ הרמב"ם בפרק י"ו מהלכות מלוה (ה"ח), וכ"פ בספר התרומות</w:t>
      </w:r>
      <w:r w:rsidRPr="001D49D4">
        <w:rPr>
          <w:rFonts w:ascii="Calibri" w:eastAsia="Calibri" w:hAnsi="Calibri" w:cs="Arial"/>
          <w:sz w:val="16"/>
          <w:szCs w:val="16"/>
          <w:vertAlign w:val="superscript"/>
          <w:rtl/>
        </w:rPr>
        <w:footnoteReference w:id="4357"/>
      </w:r>
      <w:r w:rsidRPr="001D49D4">
        <w:rPr>
          <w:rFonts w:ascii="Calibri" w:eastAsia="Calibri" w:hAnsi="Calibri" w:cs="Arial"/>
          <w:sz w:val="16"/>
          <w:szCs w:val="16"/>
          <w:rtl/>
        </w:rPr>
        <w:t xml:space="preserve"> (שם סי' ב), וכן הרשב"א (סי' אלף וקיא), ב"י. וכ"כ הטור)</w:t>
      </w:r>
      <w:r w:rsidRPr="001D49D4">
        <w:rPr>
          <w:rFonts w:ascii="Calibri" w:eastAsia="Calibri" w:hAnsi="Calibri" w:cs="Arial"/>
          <w:rtl/>
        </w:rPr>
        <w:t xml:space="preserve"> </w:t>
      </w:r>
    </w:p>
    <w:p w14:paraId="23399638"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u w:val="single"/>
          <w:rtl/>
        </w:rPr>
        <w:t>נאמנות שליש:</w:t>
      </w:r>
    </w:p>
    <w:p w14:paraId="7344AB9F" w14:textId="77777777" w:rsidR="001D49D4" w:rsidRPr="001D49D4" w:rsidRDefault="001D49D4" w:rsidP="0004348D">
      <w:pPr>
        <w:numPr>
          <w:ilvl w:val="0"/>
          <w:numId w:val="308"/>
        </w:numPr>
        <w:spacing w:before="360" w:after="240"/>
        <w:contextualSpacing/>
        <w:rPr>
          <w:rtl/>
        </w:rPr>
      </w:pPr>
      <w:r w:rsidRPr="001D49D4">
        <w:rPr>
          <w:rtl/>
        </w:rPr>
        <w:t>טור- שליש בזמן ששלישותו בידו נאמן כב' עדים אפילו אם הוא קרוב</w:t>
      </w:r>
      <w:r w:rsidRPr="001D49D4">
        <w:rPr>
          <w:vertAlign w:val="superscript"/>
          <w:rtl/>
        </w:rPr>
        <w:footnoteReference w:id="4358"/>
      </w:r>
      <w:r w:rsidRPr="001D49D4">
        <w:rPr>
          <w:rtl/>
        </w:rPr>
        <w:t>. ואין צריך לישבע</w:t>
      </w:r>
      <w:r w:rsidRPr="001D49D4">
        <w:rPr>
          <w:vertAlign w:val="superscript"/>
          <w:rtl/>
        </w:rPr>
        <w:footnoteReference w:id="4359"/>
      </w:r>
      <w:r w:rsidRPr="001D49D4">
        <w:rPr>
          <w:rtl/>
        </w:rPr>
        <w:t xml:space="preserve"> שחזקה אין אדם חוטא ולא לו. ואפילו אם נראה כבר בב"ד שהוציא השטר מתחת ידו סתם, ושתק עד שנתקיים, ואמר פרוע הוא - אפ"ה נאמן</w:t>
      </w:r>
      <w:r w:rsidRPr="001D49D4">
        <w:rPr>
          <w:vertAlign w:val="superscript"/>
          <w:rtl/>
        </w:rPr>
        <w:footnoteReference w:id="4360"/>
      </w:r>
      <w:r w:rsidRPr="001D49D4">
        <w:rPr>
          <w:rtl/>
        </w:rPr>
        <w:t>.</w:t>
      </w:r>
      <w:r w:rsidRPr="001D49D4">
        <w:rPr>
          <w:color w:val="E36C0A" w:themeColor="accent6" w:themeShade="BF"/>
          <w:rtl/>
        </w:rPr>
        <w:t xml:space="preserve"> (וכ"פ בשו"ע)</w:t>
      </w:r>
    </w:p>
    <w:p w14:paraId="2C78E554" w14:textId="77777777" w:rsidR="001D49D4" w:rsidRPr="001D49D4" w:rsidRDefault="001D49D4" w:rsidP="0004348D">
      <w:pPr>
        <w:spacing w:before="360" w:after="240"/>
        <w:ind w:left="360"/>
        <w:rPr>
          <w:rFonts w:ascii="Calibri" w:eastAsia="Calibri" w:hAnsi="Calibri" w:cs="Arial"/>
          <w:u w:val="dotted"/>
        </w:rPr>
      </w:pPr>
      <w:r w:rsidRPr="001D49D4">
        <w:rPr>
          <w:rFonts w:ascii="Calibri" w:eastAsia="Calibri" w:hAnsi="Calibri" w:cs="Arial"/>
          <w:u w:val="dotted"/>
          <w:rtl/>
        </w:rPr>
        <w:t>ומה הדין אם הכחיש אחד מהם את השליש ואמר שלא עשאו שליש מעולם</w:t>
      </w:r>
      <w:r w:rsidRPr="001D49D4">
        <w:rPr>
          <w:rFonts w:ascii="Calibri" w:eastAsia="Calibri" w:hAnsi="Calibri" w:cs="Arial"/>
          <w:sz w:val="16"/>
          <w:szCs w:val="16"/>
          <w:u w:val="dotted"/>
          <w:rtl/>
        </w:rPr>
        <w:t xml:space="preserve"> (ל' הטור)</w:t>
      </w:r>
      <w:r w:rsidRPr="001D49D4">
        <w:rPr>
          <w:rFonts w:ascii="Calibri" w:eastAsia="Calibri" w:hAnsi="Calibri" w:cs="Arial"/>
          <w:u w:val="dotted"/>
          <w:rtl/>
        </w:rPr>
        <w:t xml:space="preserve">: </w:t>
      </w:r>
    </w:p>
    <w:p w14:paraId="35029704" w14:textId="77777777" w:rsidR="001D49D4" w:rsidRPr="001D49D4" w:rsidRDefault="001D49D4" w:rsidP="0004348D">
      <w:pPr>
        <w:numPr>
          <w:ilvl w:val="0"/>
          <w:numId w:val="312"/>
        </w:numPr>
        <w:spacing w:before="360" w:after="240"/>
        <w:contextualSpacing/>
      </w:pPr>
      <w:r w:rsidRPr="001D49D4">
        <w:rPr>
          <w:color w:val="000000" w:themeColor="text1"/>
          <w:rtl/>
        </w:rPr>
        <w:t xml:space="preserve">רמב"ן </w:t>
      </w:r>
      <w:r w:rsidRPr="001D49D4">
        <w:rPr>
          <w:color w:val="000000" w:themeColor="text1"/>
          <w:sz w:val="16"/>
          <w:szCs w:val="16"/>
          <w:rtl/>
        </w:rPr>
        <w:t>(סי' נח, כ"כ בשמו בעל התרומות [שם סי' ח])</w:t>
      </w:r>
      <w:r w:rsidRPr="001D49D4">
        <w:rPr>
          <w:color w:val="000000" w:themeColor="text1"/>
          <w:rtl/>
        </w:rPr>
        <w:t xml:space="preserve"> בעל התרומות </w:t>
      </w:r>
      <w:r w:rsidRPr="001D49D4">
        <w:rPr>
          <w:color w:val="000000" w:themeColor="text1"/>
          <w:sz w:val="16"/>
          <w:szCs w:val="16"/>
          <w:rtl/>
        </w:rPr>
        <w:t>(שער נב שם סי' ז, כ"כ הטור בשמו)</w:t>
      </w:r>
      <w:r w:rsidRPr="001D49D4">
        <w:rPr>
          <w:color w:val="000000" w:themeColor="text1"/>
          <w:rtl/>
        </w:rPr>
        <w:t xml:space="preserve"> טור וריב"ש </w:t>
      </w:r>
      <w:r w:rsidRPr="001D49D4">
        <w:rPr>
          <w:color w:val="000000" w:themeColor="text1"/>
          <w:sz w:val="16"/>
          <w:szCs w:val="16"/>
          <w:rtl/>
        </w:rPr>
        <w:t>(סי' תנב)</w:t>
      </w:r>
      <w:r w:rsidRPr="001D49D4">
        <w:rPr>
          <w:color w:val="000000" w:themeColor="text1"/>
          <w:rtl/>
        </w:rPr>
        <w:t xml:space="preserve">- הוא </w:t>
      </w:r>
      <w:r w:rsidRPr="001D49D4">
        <w:rPr>
          <w:rtl/>
        </w:rPr>
        <w:t>נאמן, לא מיבעיא אם טוען שלא עשאו שליש אלא בתורת פקדון מסרו לידו שאין מועיל לבטל השלישות, הואיל והוא מודה שהאמינו עליו דרך פקדון הרי הוא נאמן בכל מה שיאמר, אלא אפילו טוען גזלת ממני והלה אומר לא כי אלא שליש מניתני בינך ובין פלוני - נאמן. בד"א כשאין ביניהם הכחשה בסך ממון שתחת ידו אלא שאחד מהם אומר או אפילו שניהם אומרים דרך גזילה תפסתו והוא אומר שהשלישו בידו, אבל אם יש ביניהם הכחשה בסך הממון, שהוא אומר לא השלשת בידי אלא כך וכך, והם אומרים או אחד מהם אומר יותר היה, כיון שהוא חייב שבועה - הוה ליה נוגע בעדות ואינו נאמן</w:t>
      </w:r>
      <w:r w:rsidRPr="001D49D4">
        <w:rPr>
          <w:vertAlign w:val="superscript"/>
          <w:rtl/>
        </w:rPr>
        <w:footnoteReference w:id="4361"/>
      </w:r>
      <w:r w:rsidRPr="001D49D4">
        <w:rPr>
          <w:sz w:val="16"/>
          <w:szCs w:val="16"/>
          <w:rtl/>
        </w:rPr>
        <w:t xml:space="preserve"> (ל' הטור בשם בעל התרומות)</w:t>
      </w:r>
      <w:r w:rsidRPr="001D49D4">
        <w:rPr>
          <w:vertAlign w:val="superscript"/>
          <w:rtl/>
        </w:rPr>
        <w:footnoteReference w:id="4362"/>
      </w:r>
      <w:r w:rsidRPr="001D49D4">
        <w:rPr>
          <w:rtl/>
        </w:rPr>
        <w:t>.</w:t>
      </w:r>
      <w:r w:rsidRPr="001D49D4">
        <w:rPr>
          <w:color w:val="E36C0A" w:themeColor="accent6" w:themeShade="BF"/>
          <w:rtl/>
        </w:rPr>
        <w:t xml:space="preserve"> (וכ"פ בשו"ע)</w:t>
      </w:r>
    </w:p>
    <w:p w14:paraId="3F684394" w14:textId="77777777" w:rsidR="001D49D4" w:rsidRPr="001D49D4" w:rsidRDefault="001D49D4" w:rsidP="0004348D">
      <w:pPr>
        <w:numPr>
          <w:ilvl w:val="0"/>
          <w:numId w:val="312"/>
        </w:numPr>
        <w:spacing w:before="360" w:after="240"/>
        <w:contextualSpacing/>
        <w:rPr>
          <w:rtl/>
        </w:rPr>
      </w:pPr>
      <w:r w:rsidRPr="001D49D4">
        <w:rPr>
          <w:rtl/>
        </w:rPr>
        <w:t>י"א</w:t>
      </w:r>
      <w:r w:rsidRPr="001D49D4">
        <w:rPr>
          <w:vertAlign w:val="superscript"/>
          <w:rtl/>
        </w:rPr>
        <w:footnoteReference w:id="4363"/>
      </w:r>
      <w:r w:rsidRPr="001D49D4">
        <w:rPr>
          <w:sz w:val="16"/>
          <w:szCs w:val="16"/>
          <w:rtl/>
        </w:rPr>
        <w:t xml:space="preserve"> (הביאם בעל התרומות)</w:t>
      </w:r>
      <w:r w:rsidRPr="001D49D4">
        <w:rPr>
          <w:rtl/>
        </w:rPr>
        <w:t xml:space="preserve"> מהר"ם </w:t>
      </w:r>
      <w:r w:rsidRPr="001D49D4">
        <w:rPr>
          <w:sz w:val="16"/>
          <w:szCs w:val="16"/>
          <w:rtl/>
        </w:rPr>
        <w:t>(ד"פ סי' תשלט)</w:t>
      </w:r>
      <w:r w:rsidRPr="001D49D4">
        <w:rPr>
          <w:rtl/>
        </w:rPr>
        <w:t xml:space="preserve"> ורא"ש</w:t>
      </w:r>
      <w:r w:rsidRPr="001D49D4">
        <w:rPr>
          <w:vertAlign w:val="superscript"/>
          <w:rtl/>
        </w:rPr>
        <w:footnoteReference w:id="4364"/>
      </w:r>
      <w:r w:rsidRPr="001D49D4">
        <w:rPr>
          <w:rtl/>
        </w:rPr>
        <w:t xml:space="preserve"> </w:t>
      </w:r>
      <w:r w:rsidRPr="001D49D4">
        <w:rPr>
          <w:sz w:val="16"/>
          <w:szCs w:val="16"/>
          <w:rtl/>
        </w:rPr>
        <w:t>(כלל סח סי' כב)</w:t>
      </w:r>
      <w:r w:rsidRPr="001D49D4">
        <w:rPr>
          <w:rtl/>
        </w:rPr>
        <w:t xml:space="preserve"> - אם שניהם מודים שעשאוהו שליש - נאמן בלא שבועה. ואם אינם מודים - צריך שבועה</w:t>
      </w:r>
      <w:r w:rsidRPr="001D49D4">
        <w:rPr>
          <w:sz w:val="16"/>
          <w:szCs w:val="16"/>
          <w:rtl/>
        </w:rPr>
        <w:t xml:space="preserve"> (ל' מהר"ם)</w:t>
      </w:r>
      <w:r w:rsidRPr="001D49D4">
        <w:rPr>
          <w:rtl/>
        </w:rPr>
        <w:t>. (וכ"פ הש"ך</w:t>
      </w:r>
      <w:r w:rsidRPr="001D49D4">
        <w:rPr>
          <w:vertAlign w:val="superscript"/>
          <w:rtl/>
        </w:rPr>
        <w:footnoteReference w:id="4365"/>
      </w:r>
      <w:r w:rsidRPr="001D49D4">
        <w:rPr>
          <w:rtl/>
        </w:rPr>
        <w:t xml:space="preserve"> </w:t>
      </w:r>
      <w:r w:rsidRPr="001D49D4">
        <w:rPr>
          <w:sz w:val="16"/>
          <w:szCs w:val="16"/>
          <w:rtl/>
        </w:rPr>
        <w:t>[סק"ה]</w:t>
      </w:r>
      <w:r w:rsidRPr="001D49D4">
        <w:rPr>
          <w:rtl/>
        </w:rPr>
        <w:t>)</w:t>
      </w:r>
    </w:p>
    <w:p w14:paraId="1DF5576A" w14:textId="77777777" w:rsidR="001D49D4" w:rsidRPr="001D49D4" w:rsidRDefault="001D49D4" w:rsidP="0004348D">
      <w:pPr>
        <w:spacing w:before="360" w:after="240"/>
        <w:rPr>
          <w:rFonts w:ascii="Calibri" w:eastAsia="Calibri" w:hAnsi="Calibri" w:cs="Arial"/>
        </w:rPr>
      </w:pPr>
      <w:r w:rsidRPr="001D49D4">
        <w:rPr>
          <w:rFonts w:ascii="Calibri" w:eastAsia="Calibri" w:hAnsi="Calibri" w:cs="Arial"/>
          <w:u w:val="single"/>
          <w:rtl/>
        </w:rPr>
        <w:t>נאמנות שליש - היכא דליכא מגו:</w:t>
      </w:r>
    </w:p>
    <w:p w14:paraId="68273E65" w14:textId="77777777" w:rsidR="001D49D4" w:rsidRPr="001D49D4" w:rsidRDefault="001D49D4" w:rsidP="0004348D">
      <w:pPr>
        <w:numPr>
          <w:ilvl w:val="0"/>
          <w:numId w:val="312"/>
        </w:numPr>
        <w:spacing w:before="360" w:after="240"/>
        <w:contextualSpacing/>
        <w:rPr>
          <w:rtl/>
        </w:rPr>
      </w:pPr>
      <w:r w:rsidRPr="001D49D4">
        <w:rPr>
          <w:rtl/>
        </w:rPr>
        <w:t xml:space="preserve">רשב"א </w:t>
      </w:r>
      <w:r w:rsidRPr="001D49D4">
        <w:rPr>
          <w:sz w:val="16"/>
          <w:szCs w:val="16"/>
          <w:rtl/>
        </w:rPr>
        <w:t>(ח"א סי' תתקלב)</w:t>
      </w:r>
      <w:r w:rsidRPr="001D49D4">
        <w:rPr>
          <w:rtl/>
        </w:rPr>
        <w:t xml:space="preserve"> (ונמוק"י </w:t>
      </w:r>
      <w:r w:rsidRPr="001D49D4">
        <w:rPr>
          <w:sz w:val="14"/>
          <w:szCs w:val="14"/>
          <w:rtl/>
        </w:rPr>
        <w:t>[ספ"ק דמציעא יב. ד"ה סמפון]</w:t>
      </w:r>
      <w:r w:rsidRPr="001D49D4">
        <w:rPr>
          <w:sz w:val="16"/>
          <w:szCs w:val="16"/>
          <w:rtl/>
        </w:rPr>
        <w:t xml:space="preserve"> כ"כ הב"י בשמו</w:t>
      </w:r>
      <w:r w:rsidRPr="001D49D4">
        <w:rPr>
          <w:rtl/>
        </w:rPr>
        <w:t xml:space="preserve">)- שליש מהימן לעולם אע"ג דליכא מגו. </w:t>
      </w:r>
    </w:p>
    <w:p w14:paraId="44918E12" w14:textId="77777777" w:rsidR="001D49D4" w:rsidRPr="001D49D4" w:rsidRDefault="001D49D4" w:rsidP="0004348D">
      <w:pPr>
        <w:numPr>
          <w:ilvl w:val="0"/>
          <w:numId w:val="312"/>
        </w:numPr>
        <w:spacing w:before="360" w:after="240"/>
        <w:contextualSpacing/>
      </w:pPr>
      <w:r w:rsidRPr="001D49D4">
        <w:rPr>
          <w:rtl/>
        </w:rPr>
        <w:t>(רא"ש מהר"ם תוס' אגודה ונמוק"י</w:t>
      </w:r>
      <w:r w:rsidRPr="001D49D4">
        <w:rPr>
          <w:vertAlign w:val="superscript"/>
          <w:rtl/>
        </w:rPr>
        <w:footnoteReference w:id="4366"/>
      </w:r>
      <w:r w:rsidRPr="001D49D4">
        <w:rPr>
          <w:rtl/>
        </w:rPr>
        <w:t xml:space="preserve"> </w:t>
      </w:r>
      <w:r w:rsidRPr="001D49D4">
        <w:rPr>
          <w:sz w:val="16"/>
          <w:szCs w:val="16"/>
          <w:rtl/>
        </w:rPr>
        <w:t>להב' הש"ך [סק"ה]</w:t>
      </w:r>
      <w:r w:rsidRPr="001D49D4">
        <w:rPr>
          <w:rtl/>
        </w:rPr>
        <w:t xml:space="preserve">)- היכא דלית ליה מיגו צריך להחזירו לבעליו היכא שבעליו מכחישו ואומר שלא עשאו שליש. (וכ"פ הש"ך </w:t>
      </w:r>
      <w:r w:rsidRPr="001D49D4">
        <w:rPr>
          <w:sz w:val="16"/>
          <w:szCs w:val="16"/>
          <w:rtl/>
        </w:rPr>
        <w:t>[סק"ה]</w:t>
      </w:r>
      <w:r w:rsidRPr="001D49D4">
        <w:rPr>
          <w:rtl/>
        </w:rPr>
        <w:t xml:space="preserve">) </w:t>
      </w:r>
    </w:p>
    <w:p w14:paraId="1F04192A" w14:textId="77777777" w:rsidR="001D49D4" w:rsidRPr="001D49D4" w:rsidRDefault="001D49D4" w:rsidP="0004348D">
      <w:pPr>
        <w:spacing w:before="360" w:after="240"/>
        <w:rPr>
          <w:rFonts w:ascii="Calibri" w:eastAsia="Calibri" w:hAnsi="Calibri" w:cs="Arial"/>
          <w:u w:val="single"/>
        </w:rPr>
      </w:pPr>
      <w:r w:rsidRPr="001D49D4">
        <w:rPr>
          <w:rFonts w:ascii="Calibri" w:eastAsia="Calibri" w:hAnsi="Calibri" w:cs="Arial"/>
          <w:u w:val="single"/>
          <w:rtl/>
        </w:rPr>
        <w:t>אדם שמצא שטר ברשותו של השליש, ונטלו – האם עושים מעשה על פיו:</w:t>
      </w:r>
    </w:p>
    <w:p w14:paraId="7B4624D0" w14:textId="77777777" w:rsidR="001D49D4" w:rsidRPr="001D49D4" w:rsidRDefault="001D49D4" w:rsidP="0004348D">
      <w:pPr>
        <w:numPr>
          <w:ilvl w:val="0"/>
          <w:numId w:val="312"/>
        </w:numPr>
        <w:spacing w:before="360" w:after="240"/>
        <w:contextualSpacing/>
      </w:pPr>
      <w:r w:rsidRPr="001D49D4">
        <w:rPr>
          <w:rtl/>
        </w:rPr>
        <w:t xml:space="preserve">רי"ו </w:t>
      </w:r>
      <w:r w:rsidRPr="001D49D4">
        <w:rPr>
          <w:sz w:val="16"/>
          <w:szCs w:val="16"/>
          <w:rtl/>
        </w:rPr>
        <w:t>(נ"ו ח"ה כד.)</w:t>
      </w:r>
      <w:r w:rsidRPr="001D49D4">
        <w:rPr>
          <w:rtl/>
        </w:rPr>
        <w:t xml:space="preserve">- שטר היוצא מתחת יד שליש ואמר פרוע הוא - נאמן השליש אפילו כתוב בו הנפק. אבל אם מצאו אחר ברשות שליש, ונטלו, לא קרעינן על פיו אי אתחזק בבי דינא, אלא יהא מונח עד שיבא אליהו. ואי לא אתחזק בבי דינא - נאמן אפילו אחר, מגו דאי בעי קלתיה. </w:t>
      </w:r>
    </w:p>
    <w:p w14:paraId="4CFF477B" w14:textId="77777777" w:rsidR="001D49D4" w:rsidRPr="001D49D4" w:rsidRDefault="001D49D4" w:rsidP="0004348D">
      <w:pPr>
        <w:spacing w:before="360" w:after="240"/>
        <w:rPr>
          <w:rFonts w:ascii="Calibri" w:eastAsia="Calibri" w:hAnsi="Calibri" w:cs="Arial"/>
          <w:u w:val="single"/>
        </w:rPr>
      </w:pPr>
      <w:r w:rsidRPr="001D49D4">
        <w:rPr>
          <w:rFonts w:ascii="Calibri" w:eastAsia="Calibri" w:hAnsi="Calibri" w:cs="Arial"/>
          <w:u w:val="single"/>
          <w:rtl/>
        </w:rPr>
        <w:t>שליש אחד ששרף השטר ואמר שהמלוה צוהו לשורפו והמלוה הכחישהו:</w:t>
      </w:r>
    </w:p>
    <w:p w14:paraId="786626B3" w14:textId="77777777" w:rsidR="001D49D4" w:rsidRPr="001D49D4" w:rsidRDefault="001D49D4" w:rsidP="0004348D">
      <w:pPr>
        <w:numPr>
          <w:ilvl w:val="0"/>
          <w:numId w:val="312"/>
        </w:numPr>
        <w:spacing w:before="360" w:after="240"/>
        <w:contextualSpacing/>
      </w:pPr>
      <w:r w:rsidRPr="001D49D4">
        <w:rPr>
          <w:rtl/>
        </w:rPr>
        <w:t xml:space="preserve">מרדכי </w:t>
      </w:r>
      <w:r w:rsidRPr="001D49D4">
        <w:rPr>
          <w:sz w:val="16"/>
          <w:szCs w:val="16"/>
          <w:rtl/>
        </w:rPr>
        <w:t>(פרק החובל סי' צח)</w:t>
      </w:r>
      <w:r w:rsidRPr="001D49D4">
        <w:rPr>
          <w:rtl/>
        </w:rPr>
        <w:t xml:space="preserve"> - שליש אחד ששרף השטר ואמר שהמלוה צוהו לשורפו והמלוה הכחישהו ופסק אבי העזרי דשליש נאמן מטעם מיגו</w:t>
      </w:r>
      <w:r w:rsidRPr="001D49D4">
        <w:rPr>
          <w:vertAlign w:val="superscript"/>
          <w:rtl/>
        </w:rPr>
        <w:footnoteReference w:id="4367"/>
      </w:r>
      <w:r w:rsidRPr="001D49D4">
        <w:rPr>
          <w:rtl/>
        </w:rPr>
        <w:t>. (וכ"כ הסמ"ע</w:t>
      </w:r>
      <w:r w:rsidRPr="001D49D4">
        <w:rPr>
          <w:sz w:val="16"/>
          <w:szCs w:val="16"/>
          <w:rtl/>
        </w:rPr>
        <w:t xml:space="preserve"> [סקי"א]</w:t>
      </w:r>
      <w:r w:rsidRPr="001D49D4">
        <w:rPr>
          <w:rtl/>
        </w:rPr>
        <w:t>)</w:t>
      </w:r>
    </w:p>
    <w:p w14:paraId="01E7AC40" w14:textId="77777777" w:rsidR="001D49D4" w:rsidRPr="001D49D4" w:rsidRDefault="001D49D4" w:rsidP="0004348D">
      <w:pPr>
        <w:spacing w:before="360" w:after="240"/>
        <w:rPr>
          <w:rFonts w:ascii="Calibri" w:eastAsia="Calibri" w:hAnsi="Calibri" w:cs="Arial"/>
          <w:u w:val="single"/>
        </w:rPr>
      </w:pPr>
      <w:r w:rsidRPr="001D49D4">
        <w:rPr>
          <w:rFonts w:ascii="Calibri" w:eastAsia="Calibri" w:hAnsi="Calibri" w:cs="Arial"/>
          <w:u w:val="single"/>
          <w:rtl/>
        </w:rPr>
        <w:t xml:space="preserve">שליש שמת ונמצא מכתיבת יד השליש </w:t>
      </w:r>
      <w:r w:rsidRPr="001D49D4">
        <w:rPr>
          <w:rFonts w:ascii="Calibri" w:eastAsia="Calibri" w:hAnsi="Calibri" w:cs="Arial"/>
          <w:sz w:val="16"/>
          <w:szCs w:val="16"/>
          <w:u w:val="single"/>
          <w:rtl/>
        </w:rPr>
        <w:t>(או מכתיבת אחר)</w:t>
      </w:r>
      <w:r w:rsidRPr="001D49D4">
        <w:rPr>
          <w:rFonts w:ascii="Calibri" w:eastAsia="Calibri" w:hAnsi="Calibri" w:cs="Arial"/>
          <w:u w:val="single"/>
          <w:rtl/>
        </w:rPr>
        <w:t xml:space="preserve"> ששטר זה המונח אצלו פרוע:</w:t>
      </w:r>
    </w:p>
    <w:p w14:paraId="2FC7B33F" w14:textId="77777777" w:rsidR="001D49D4" w:rsidRPr="001D49D4" w:rsidRDefault="001D49D4" w:rsidP="0004348D">
      <w:pPr>
        <w:numPr>
          <w:ilvl w:val="0"/>
          <w:numId w:val="312"/>
        </w:numPr>
        <w:spacing w:before="360" w:after="240"/>
        <w:contextualSpacing/>
      </w:pPr>
      <w:r w:rsidRPr="001D49D4">
        <w:rPr>
          <w:rtl/>
        </w:rPr>
        <w:t xml:space="preserve">רמב"ן </w:t>
      </w:r>
      <w:r w:rsidRPr="001D49D4">
        <w:rPr>
          <w:sz w:val="16"/>
          <w:szCs w:val="16"/>
          <w:rtl/>
        </w:rPr>
        <w:t xml:space="preserve">(כ"כ בשמו בעל התרומות [שער נב שם סי' ג]) </w:t>
      </w:r>
      <w:r w:rsidRPr="001D49D4">
        <w:rPr>
          <w:rtl/>
        </w:rPr>
        <w:t xml:space="preserve">רשב"א </w:t>
      </w:r>
      <w:r w:rsidRPr="001D49D4">
        <w:rPr>
          <w:sz w:val="16"/>
          <w:szCs w:val="16"/>
          <w:rtl/>
        </w:rPr>
        <w:t>(ח"א סי' תתקלב)</w:t>
      </w:r>
      <w:r w:rsidRPr="001D49D4">
        <w:rPr>
          <w:rtl/>
        </w:rPr>
        <w:t xml:space="preserve"> וטור- שליש שמת ונמצא מכתיבת יד השליש או מכתיבת אחר ששטר זה המונח אצלו פרוע - הרי זה פרוע אע"פ שאין עדים על הכתב</w:t>
      </w:r>
      <w:r w:rsidRPr="001D49D4">
        <w:rPr>
          <w:vertAlign w:val="superscript"/>
          <w:rtl/>
        </w:rPr>
        <w:footnoteReference w:id="4368"/>
      </w:r>
      <w:r w:rsidRPr="001D49D4">
        <w:rPr>
          <w:rtl/>
        </w:rPr>
        <w:t>.</w:t>
      </w:r>
      <w:r w:rsidRPr="001D49D4">
        <w:rPr>
          <w:color w:val="E36C0A" w:themeColor="accent6" w:themeShade="BF"/>
          <w:rtl/>
        </w:rPr>
        <w:t xml:space="preserve"> (וכ"פ בשו"ע)</w:t>
      </w:r>
    </w:p>
    <w:p w14:paraId="1B3440DF" w14:textId="77777777" w:rsidR="001D49D4" w:rsidRPr="001D49D4" w:rsidRDefault="001D49D4" w:rsidP="0004348D">
      <w:pPr>
        <w:spacing w:before="360" w:after="240"/>
        <w:rPr>
          <w:rFonts w:ascii="Calibri" w:eastAsia="Calibri" w:hAnsi="Calibri" w:cs="Arial"/>
          <w:u w:val="single"/>
        </w:rPr>
      </w:pPr>
      <w:r w:rsidRPr="001D49D4">
        <w:rPr>
          <w:rFonts w:ascii="Calibri" w:eastAsia="Calibri" w:hAnsi="Calibri" w:cs="Arial"/>
          <w:u w:val="single"/>
          <w:rtl/>
        </w:rPr>
        <w:t>עבר הזמן שהיה לשליש להחזיר לאחד מהן ולא החזיר:</w:t>
      </w:r>
    </w:p>
    <w:p w14:paraId="3EA97258" w14:textId="77777777" w:rsidR="001D49D4" w:rsidRPr="001D49D4" w:rsidRDefault="001D49D4" w:rsidP="0004348D">
      <w:pPr>
        <w:numPr>
          <w:ilvl w:val="0"/>
          <w:numId w:val="312"/>
        </w:numPr>
        <w:spacing w:before="360" w:after="240"/>
        <w:contextualSpacing/>
      </w:pPr>
      <w:r w:rsidRPr="001D49D4">
        <w:rPr>
          <w:rtl/>
        </w:rPr>
        <w:t xml:space="preserve">בהעי"ט </w:t>
      </w:r>
      <w:r w:rsidRPr="001D49D4">
        <w:rPr>
          <w:sz w:val="16"/>
          <w:szCs w:val="16"/>
          <w:rtl/>
        </w:rPr>
        <w:t>(אות שי"ן שלישות ממון מג:-ע"ג)</w:t>
      </w:r>
      <w:r w:rsidRPr="001D49D4">
        <w:rPr>
          <w:rtl/>
        </w:rPr>
        <w:t xml:space="preserve"> בעל התרומות </w:t>
      </w:r>
      <w:r w:rsidRPr="001D49D4">
        <w:rPr>
          <w:sz w:val="16"/>
          <w:szCs w:val="16"/>
          <w:rtl/>
        </w:rPr>
        <w:t xml:space="preserve">(שם סי' ו) </w:t>
      </w:r>
      <w:r w:rsidRPr="001D49D4">
        <w:rPr>
          <w:rtl/>
        </w:rPr>
        <w:t xml:space="preserve">הגמ"ר </w:t>
      </w:r>
      <w:r w:rsidRPr="001D49D4">
        <w:rPr>
          <w:sz w:val="16"/>
          <w:szCs w:val="16"/>
          <w:rtl/>
        </w:rPr>
        <w:t xml:space="preserve">(סנהדרין סי' תשכו) </w:t>
      </w:r>
      <w:r w:rsidRPr="001D49D4">
        <w:rPr>
          <w:rtl/>
        </w:rPr>
        <w:t>וטור- אמרי רבוותא אפילו עבר הזמן שהיה לו להחזיר לאחד מהן ולא החזיר - עדיין שליש הוא</w:t>
      </w:r>
      <w:r w:rsidRPr="001D49D4">
        <w:rPr>
          <w:sz w:val="16"/>
          <w:szCs w:val="16"/>
          <w:rtl/>
        </w:rPr>
        <w:t xml:space="preserve"> (ל' הטור בשם בהעי"ט)</w:t>
      </w:r>
      <w:r w:rsidRPr="001D49D4">
        <w:rPr>
          <w:rtl/>
        </w:rPr>
        <w:t>.</w:t>
      </w:r>
      <w:r w:rsidRPr="001D49D4">
        <w:rPr>
          <w:color w:val="E36C0A" w:themeColor="accent6" w:themeShade="BF"/>
          <w:rtl/>
        </w:rPr>
        <w:t xml:space="preserve"> (וכ"פ בשו"ע)</w:t>
      </w:r>
    </w:p>
    <w:p w14:paraId="059470D1" w14:textId="77777777" w:rsidR="001D49D4" w:rsidRPr="001D49D4" w:rsidRDefault="001D49D4" w:rsidP="0004348D">
      <w:pPr>
        <w:spacing w:before="360" w:after="240"/>
        <w:rPr>
          <w:rFonts w:ascii="Calibri" w:eastAsia="Calibri" w:hAnsi="Calibri" w:cs="Arial"/>
          <w:u w:val="single"/>
        </w:rPr>
      </w:pPr>
      <w:r w:rsidRPr="001D49D4">
        <w:rPr>
          <w:rFonts w:ascii="Calibri" w:eastAsia="Calibri" w:hAnsi="Calibri" w:cs="Arial"/>
          <w:u w:val="single"/>
          <w:rtl/>
        </w:rPr>
        <w:t>בעלי דין שכתבו לשון השלישות ונתנו ביד השליש:</w:t>
      </w:r>
    </w:p>
    <w:p w14:paraId="2AB8A30C" w14:textId="77777777" w:rsidR="001D49D4" w:rsidRPr="001D49D4" w:rsidRDefault="001D49D4" w:rsidP="0004348D">
      <w:pPr>
        <w:numPr>
          <w:ilvl w:val="0"/>
          <w:numId w:val="312"/>
        </w:numPr>
        <w:spacing w:before="360" w:after="240"/>
        <w:contextualSpacing/>
      </w:pPr>
      <w:r w:rsidRPr="001D49D4">
        <w:rPr>
          <w:rtl/>
        </w:rPr>
        <w:t xml:space="preserve">רשב"א </w:t>
      </w:r>
      <w:r w:rsidRPr="001D49D4">
        <w:rPr>
          <w:sz w:val="16"/>
          <w:szCs w:val="16"/>
          <w:rtl/>
        </w:rPr>
        <w:t>(ח"ב סי' שיז וסי' שיט)</w:t>
      </w:r>
      <w:r w:rsidRPr="001D49D4">
        <w:rPr>
          <w:rtl/>
        </w:rPr>
        <w:t>- אפילו כתבו לשון השלישות ונתנו ביד השליש לא נאמר שלא סמכו על דברי השליש אלא גם בדבר זה נאמן כל זמן ששלישותו יוצא מתחת ידו</w:t>
      </w:r>
      <w:r w:rsidRPr="001D49D4">
        <w:rPr>
          <w:vertAlign w:val="superscript"/>
          <w:rtl/>
        </w:rPr>
        <w:footnoteReference w:id="4369"/>
      </w:r>
      <w:r w:rsidRPr="001D49D4">
        <w:rPr>
          <w:rtl/>
        </w:rPr>
        <w:t xml:space="preserve">. </w:t>
      </w:r>
      <w:r w:rsidRPr="001D49D4">
        <w:rPr>
          <w:color w:val="00B0F0"/>
          <w:rtl/>
        </w:rPr>
        <w:t>(וכ"פ הרמ"א)</w:t>
      </w:r>
    </w:p>
    <w:p w14:paraId="0853C1C7" w14:textId="77777777" w:rsidR="001D49D4" w:rsidRPr="001D49D4" w:rsidRDefault="001D49D4" w:rsidP="0004348D">
      <w:pPr>
        <w:spacing w:before="360" w:after="240"/>
        <w:rPr>
          <w:rFonts w:ascii="Calibri" w:eastAsia="Calibri" w:hAnsi="Calibri" w:cs="Arial"/>
        </w:rPr>
      </w:pPr>
      <w:r w:rsidRPr="001D49D4">
        <w:rPr>
          <w:rFonts w:ascii="Calibri" w:eastAsia="Calibri" w:hAnsi="Calibri" w:cs="Arial"/>
          <w:u w:val="single"/>
          <w:rtl/>
        </w:rPr>
        <w:t>שטר שהושלש והיה בו מחק מאחורי השטר והשליש אומר שתנאי השלישות נמחק שם:</w:t>
      </w:r>
      <w:r w:rsidRPr="001D49D4">
        <w:rPr>
          <w:rFonts w:ascii="Calibri" w:eastAsia="Calibri" w:hAnsi="Calibri" w:cs="Arial"/>
          <w:rtl/>
        </w:rPr>
        <w:t xml:space="preserve"> </w:t>
      </w:r>
      <w:r w:rsidRPr="001D49D4">
        <w:rPr>
          <w:rFonts w:ascii="Calibri" w:eastAsia="Calibri" w:hAnsi="Calibri" w:cs="Arial"/>
          <w:sz w:val="16"/>
          <w:szCs w:val="16"/>
          <w:rtl/>
        </w:rPr>
        <w:t xml:space="preserve"> (דרכ"מ אות ו)</w:t>
      </w:r>
      <w:r w:rsidRPr="001D49D4">
        <w:rPr>
          <w:rFonts w:ascii="Calibri" w:eastAsia="Calibri" w:hAnsi="Calibri" w:cs="Arial"/>
          <w:rtl/>
        </w:rPr>
        <w:t xml:space="preserve"> </w:t>
      </w:r>
    </w:p>
    <w:p w14:paraId="103DAE89" w14:textId="77777777" w:rsidR="001D49D4" w:rsidRPr="001D49D4" w:rsidRDefault="001D49D4" w:rsidP="0004348D">
      <w:pPr>
        <w:numPr>
          <w:ilvl w:val="0"/>
          <w:numId w:val="312"/>
        </w:numPr>
        <w:spacing w:before="360" w:after="240"/>
        <w:contextualSpacing/>
        <w:rPr>
          <w:rtl/>
        </w:rPr>
      </w:pPr>
      <w:r w:rsidRPr="001D49D4">
        <w:rPr>
          <w:rtl/>
        </w:rPr>
        <w:t xml:space="preserve">רא"ש </w:t>
      </w:r>
      <w:r w:rsidRPr="001D49D4">
        <w:rPr>
          <w:sz w:val="16"/>
          <w:szCs w:val="16"/>
          <w:rtl/>
        </w:rPr>
        <w:t>(כלל קה סי' ד)</w:t>
      </w:r>
      <w:r w:rsidRPr="001D49D4">
        <w:rPr>
          <w:rtl/>
        </w:rPr>
        <w:t>- שטר שהושלש והיה בו מחק מאחורי השטר והשליש אומר שתנאי השלישות נמחק שם – נאמן</w:t>
      </w:r>
      <w:r w:rsidRPr="001D49D4">
        <w:rPr>
          <w:vertAlign w:val="superscript"/>
          <w:rtl/>
        </w:rPr>
        <w:footnoteReference w:id="4370"/>
      </w:r>
      <w:r w:rsidRPr="001D49D4">
        <w:rPr>
          <w:rtl/>
        </w:rPr>
        <w:t>, ואין המחק גורע השטר דניחוש שמא תנאי אחר היה שם, גם לפרעון לא ניחוש כל זמן שהשטר ביד שליש ועוד שעדיין לא הגיע זמן הפרעון. (וכ"כ הסמ"ע</w:t>
      </w:r>
      <w:r w:rsidRPr="001D49D4">
        <w:rPr>
          <w:rFonts w:hint="cs"/>
        </w:rPr>
        <w:t xml:space="preserve"> </w:t>
      </w:r>
      <w:r w:rsidRPr="001D49D4">
        <w:rPr>
          <w:sz w:val="16"/>
          <w:szCs w:val="16"/>
          <w:rtl/>
        </w:rPr>
        <w:t>[סק"ח]</w:t>
      </w:r>
      <w:r w:rsidRPr="001D49D4">
        <w:rPr>
          <w:rtl/>
        </w:rPr>
        <w:t>)</w:t>
      </w:r>
    </w:p>
    <w:p w14:paraId="295D7CF0" w14:textId="77777777" w:rsidR="001D49D4" w:rsidRPr="001D49D4" w:rsidRDefault="001D49D4" w:rsidP="0004348D">
      <w:pPr>
        <w:spacing w:before="360" w:after="240"/>
        <w:rPr>
          <w:rFonts w:ascii="Calibri" w:eastAsia="Calibri" w:hAnsi="Calibri" w:cs="Arial"/>
          <w:u w:val="single"/>
        </w:rPr>
      </w:pPr>
      <w:r w:rsidRPr="001D49D4">
        <w:rPr>
          <w:rFonts w:ascii="Calibri" w:eastAsia="Calibri" w:hAnsi="Calibri" w:cs="Arial"/>
          <w:u w:val="single"/>
          <w:rtl/>
        </w:rPr>
        <w:t>מי צריך לשלם שכר השליש:</w:t>
      </w:r>
    </w:p>
    <w:p w14:paraId="028EBB63" w14:textId="77777777" w:rsidR="001D49D4" w:rsidRPr="001D49D4" w:rsidRDefault="001D49D4" w:rsidP="0004348D">
      <w:pPr>
        <w:numPr>
          <w:ilvl w:val="0"/>
          <w:numId w:val="312"/>
        </w:numPr>
        <w:spacing w:before="360" w:after="240"/>
        <w:contextualSpacing/>
      </w:pPr>
      <w:r w:rsidRPr="001D49D4">
        <w:rPr>
          <w:rtl/>
        </w:rPr>
        <w:t xml:space="preserve">הגמ"ר </w:t>
      </w:r>
      <w:r w:rsidRPr="001D49D4">
        <w:rPr>
          <w:sz w:val="16"/>
          <w:szCs w:val="16"/>
          <w:rtl/>
        </w:rPr>
        <w:t xml:space="preserve">(סנהדרין שם סי' יא) </w:t>
      </w:r>
      <w:r w:rsidRPr="001D49D4">
        <w:rPr>
          <w:rtl/>
        </w:rPr>
        <w:t xml:space="preserve">בשם רש"י- חייב התובע לשלם שכר השליש. </w:t>
      </w:r>
      <w:r w:rsidRPr="001D49D4">
        <w:rPr>
          <w:color w:val="00B0F0"/>
          <w:rtl/>
        </w:rPr>
        <w:t>(וכ"פ הרמ"א)</w:t>
      </w:r>
    </w:p>
    <w:p w14:paraId="38B78148" w14:textId="77777777" w:rsidR="001D49D4" w:rsidRPr="001D49D4" w:rsidRDefault="001D49D4" w:rsidP="0004348D">
      <w:pPr>
        <w:spacing w:before="360" w:after="240"/>
        <w:rPr>
          <w:rFonts w:ascii="Calibri" w:eastAsia="Calibri" w:hAnsi="Calibri" w:cs="Arial"/>
          <w:u w:val="single"/>
        </w:rPr>
      </w:pPr>
      <w:r w:rsidRPr="001D49D4">
        <w:rPr>
          <w:rFonts w:ascii="Calibri" w:eastAsia="Calibri" w:hAnsi="Calibri" w:cs="Arial"/>
          <w:u w:val="single"/>
          <w:rtl/>
        </w:rPr>
        <w:t>בעל דין שקיבל כתב שלישות מהשליש, ובכתב כתוב תנאי, וטוען השליש שיש עוד תנאים אחרים שלא נכתבו:</w:t>
      </w:r>
    </w:p>
    <w:p w14:paraId="72E78976" w14:textId="77777777" w:rsidR="001D49D4" w:rsidRPr="001D49D4" w:rsidRDefault="001D49D4" w:rsidP="0004348D">
      <w:pPr>
        <w:numPr>
          <w:ilvl w:val="0"/>
          <w:numId w:val="312"/>
        </w:numPr>
        <w:spacing w:before="360" w:after="240"/>
        <w:contextualSpacing/>
      </w:pPr>
      <w:r w:rsidRPr="001D49D4">
        <w:rPr>
          <w:rtl/>
        </w:rPr>
        <w:t xml:space="preserve">רשב"א </w:t>
      </w:r>
      <w:r w:rsidRPr="001D49D4">
        <w:rPr>
          <w:sz w:val="16"/>
          <w:szCs w:val="16"/>
          <w:rtl/>
        </w:rPr>
        <w:t>(ח"ב סי' שמט)</w:t>
      </w:r>
      <w:r w:rsidRPr="001D49D4">
        <w:rPr>
          <w:rtl/>
        </w:rPr>
        <w:t xml:space="preserve">- שאלת, הא דקיי"ל דשליש נאמן, אי כתב השליש בחתם ידו מקצת תנאי השלישות ומסר ביד אחד מבעלי הדין וכתוב בכתב השלישות ועל פי תנאי זה נמסר דבר פלוני ביד השליש וטען השליש שיש בו תנאים אחרים שלא נכתבו. תשובה, אלו כתב הוא שעל תנאי זה בלבד הושלש בידו, היה בדין שנאמר כבר הגיד על ממון המושלש ואינו יכול להוסיף על תנאים שכתב. וכן אם אמר בשטר זה שכחתי שתנאי כך וכך היה לי עוד לכתוב בו, דומיא דעדים שאמרו תנאי היו דברינו </w:t>
      </w:r>
      <w:r w:rsidRPr="001D49D4">
        <w:rPr>
          <w:sz w:val="16"/>
          <w:szCs w:val="16"/>
          <w:rtl/>
        </w:rPr>
        <w:t>(כתובות יט:)</w:t>
      </w:r>
      <w:r w:rsidRPr="001D49D4">
        <w:rPr>
          <w:rtl/>
        </w:rPr>
        <w:t>. אבל זה לא כתב אלא שעל תנאי כך נמסר בידו כדי שלא יוכל לומר היפך מזה אבל אם בא לקיים תנאי זה ועוד מוסיף תנאי אחר – נאמן. ועוד אני אומר שאפילו כתב 'על תנאי זה בלבד נמסר בידי שלישות זה' - איפשר לומר שהוא נאמן להוסיף על התנאי, דשליש כיד בעלים ממש הוא כל שהשלישות יוצא מתחת ידו</w:t>
      </w:r>
      <w:r w:rsidRPr="001D49D4">
        <w:rPr>
          <w:vertAlign w:val="superscript"/>
          <w:rtl/>
        </w:rPr>
        <w:footnoteReference w:id="4371"/>
      </w:r>
      <w:r w:rsidRPr="001D49D4">
        <w:rPr>
          <w:rtl/>
        </w:rPr>
        <w:t xml:space="preserve">. </w:t>
      </w:r>
    </w:p>
    <w:p w14:paraId="379170B3" w14:textId="77777777" w:rsidR="001D49D4" w:rsidRPr="001D49D4" w:rsidRDefault="001D49D4" w:rsidP="0004348D">
      <w:pPr>
        <w:spacing w:before="360" w:after="240"/>
        <w:rPr>
          <w:rFonts w:ascii="Calibri" w:eastAsia="Calibri" w:hAnsi="Calibri" w:cs="Arial"/>
          <w:u w:val="single"/>
        </w:rPr>
      </w:pPr>
      <w:r w:rsidRPr="001D49D4">
        <w:rPr>
          <w:rFonts w:ascii="Calibri" w:eastAsia="Calibri" w:hAnsi="Calibri" w:cs="Arial"/>
          <w:u w:val="single"/>
          <w:rtl/>
        </w:rPr>
        <w:t>ראובן שדך בתו לשמעון ונתחייבו זה לזה והשלישו השטרות ביד אחר – והמשודך קלקל מעשיו</w:t>
      </w:r>
      <w:r w:rsidRPr="001D49D4">
        <w:rPr>
          <w:rFonts w:ascii="Calibri" w:eastAsia="Calibri" w:hAnsi="Calibri" w:cs="Arial"/>
          <w:sz w:val="16"/>
          <w:szCs w:val="16"/>
          <w:u w:val="single"/>
          <w:rtl/>
        </w:rPr>
        <w:t xml:space="preserve"> (בענין שאין ראוי שתנשא לו)</w:t>
      </w:r>
      <w:r w:rsidRPr="001D49D4">
        <w:rPr>
          <w:rFonts w:ascii="Calibri" w:eastAsia="Calibri" w:hAnsi="Calibri" w:cs="Arial"/>
          <w:u w:val="single"/>
          <w:rtl/>
        </w:rPr>
        <w:t>:</w:t>
      </w:r>
    </w:p>
    <w:p w14:paraId="619D4E2E" w14:textId="77777777" w:rsidR="001D49D4" w:rsidRPr="001D49D4" w:rsidRDefault="001D49D4" w:rsidP="0004348D">
      <w:pPr>
        <w:numPr>
          <w:ilvl w:val="0"/>
          <w:numId w:val="312"/>
        </w:numPr>
        <w:spacing w:before="360" w:after="240"/>
        <w:contextualSpacing/>
      </w:pPr>
      <w:r w:rsidRPr="001D49D4">
        <w:rPr>
          <w:rtl/>
        </w:rPr>
        <w:t xml:space="preserve">רשב"א </w:t>
      </w:r>
      <w:r w:rsidRPr="001D49D4">
        <w:rPr>
          <w:sz w:val="16"/>
          <w:szCs w:val="16"/>
          <w:rtl/>
        </w:rPr>
        <w:t>(ח"ב סי' לה)</w:t>
      </w:r>
      <w:r w:rsidRPr="001D49D4">
        <w:rPr>
          <w:rtl/>
        </w:rPr>
        <w:t>- ראובן ששדך בתו לשמעון ונתחייבו זה לזה בסך ידוע בחוב גמור ומעכשיו, והשלישו השטרות ביד אחר ואמרו שכל המעכב מהם לזמן שקבעו - שיתן השטרות לחבירו המתרצה בנשואין, ותוך הזמן קלקל המשודך מעשיו בענין שאינו ראוי שתנשא לו. מסתברא לי שהדין עם אבי הבת מכמה טעמים חדא שאפילו שיש בשטר החוב מעכשיו אם לא אמרו בשלישות מעכשיו לאו כלום הוא משום דחזרת השטר אסמכתא היא. ועוד דאומדן דעתא הוא שאם היה זה מקלקל מעשיו כל כך שלא היה נותן לו זה בתו. ומה ששאלת אם החזיר השליש לבחור מהו, אני אומר שהשליש עשה שלא כדין ומה שעשה אינו כלום</w:t>
      </w:r>
      <w:r w:rsidRPr="001D49D4">
        <w:rPr>
          <w:vertAlign w:val="superscript"/>
          <w:rtl/>
        </w:rPr>
        <w:footnoteReference w:id="4372"/>
      </w:r>
      <w:r w:rsidRPr="001D49D4">
        <w:rPr>
          <w:rtl/>
        </w:rPr>
        <w:t xml:space="preserve">. </w:t>
      </w:r>
    </w:p>
    <w:p w14:paraId="6ACD1BAA" w14:textId="77777777" w:rsidR="001D49D4" w:rsidRPr="001D49D4" w:rsidRDefault="001D49D4" w:rsidP="0004348D">
      <w:pPr>
        <w:spacing w:before="360" w:after="240"/>
        <w:rPr>
          <w:rFonts w:ascii="Calibri" w:eastAsia="Calibri" w:hAnsi="Calibri" w:cs="Arial"/>
          <w:u w:val="single"/>
        </w:rPr>
      </w:pPr>
      <w:r w:rsidRPr="001D49D4">
        <w:rPr>
          <w:rFonts w:ascii="Calibri" w:eastAsia="Calibri" w:hAnsi="Calibri" w:cs="Arial"/>
          <w:u w:val="single"/>
          <w:rtl/>
        </w:rPr>
        <w:t>מי שפרע מקצת חובו והשליש השטר עד שיפרע השאר - והלך השליש והחזירו למלוה וגבה המלוה הכל:</w:t>
      </w:r>
    </w:p>
    <w:p w14:paraId="59AB4A9B" w14:textId="77777777" w:rsidR="001D49D4" w:rsidRPr="001D49D4" w:rsidRDefault="001D49D4" w:rsidP="0004348D">
      <w:pPr>
        <w:numPr>
          <w:ilvl w:val="0"/>
          <w:numId w:val="312"/>
        </w:numPr>
        <w:spacing w:before="360" w:after="240"/>
        <w:contextualSpacing/>
        <w:rPr>
          <w:rtl/>
        </w:rPr>
      </w:pPr>
      <w:r w:rsidRPr="001D49D4">
        <w:rPr>
          <w:rtl/>
        </w:rPr>
        <w:t xml:space="preserve">רשב"א </w:t>
      </w:r>
      <w:r w:rsidRPr="001D49D4">
        <w:rPr>
          <w:sz w:val="16"/>
          <w:szCs w:val="16"/>
          <w:rtl/>
        </w:rPr>
        <w:t>(סי' אלף נב)</w:t>
      </w:r>
      <w:r w:rsidRPr="001D49D4">
        <w:rPr>
          <w:rtl/>
        </w:rPr>
        <w:t>- מי שפרע מקצת חובו והשליש השטר עד שיפרע השאר והלך השליש והחזירו למלוה וחזר וגבה כל החוב והשליש מודה בכך - פטור מדיני אדם שאין זה אלא גרמא בניזקין, ואם עדיין לא גבה החוב משמתינן לשליש עד דמקבל עליה כל אונסא דאתי ללוה מחמת אותו שטר דכל גרמא בניזקין מחייבים את הגורם לסלקה</w:t>
      </w:r>
      <w:r w:rsidRPr="001D49D4">
        <w:rPr>
          <w:vertAlign w:val="superscript"/>
          <w:rtl/>
        </w:rPr>
        <w:footnoteReference w:id="4373"/>
      </w:r>
      <w:r w:rsidRPr="001D49D4">
        <w:rPr>
          <w:rtl/>
        </w:rPr>
        <w:t xml:space="preserve">. </w:t>
      </w:r>
      <w:r w:rsidRPr="001D49D4">
        <w:rPr>
          <w:color w:val="00B0F0"/>
          <w:rtl/>
        </w:rPr>
        <w:t xml:space="preserve">(וכ"פ הרמ"א </w:t>
      </w:r>
      <w:r w:rsidRPr="001D49D4">
        <w:rPr>
          <w:sz w:val="16"/>
          <w:szCs w:val="16"/>
          <w:rtl/>
        </w:rPr>
        <w:t>[סי' נה סע' ב]</w:t>
      </w:r>
      <w:r w:rsidRPr="001D49D4">
        <w:rPr>
          <w:color w:val="00B0F0"/>
          <w:rtl/>
        </w:rPr>
        <w:t>)</w:t>
      </w:r>
    </w:p>
    <w:p w14:paraId="1B5A1445" w14:textId="77777777" w:rsidR="001D49D4" w:rsidRPr="001D49D4" w:rsidRDefault="001D49D4" w:rsidP="0004348D">
      <w:pPr>
        <w:spacing w:before="360" w:after="240"/>
        <w:rPr>
          <w:rFonts w:ascii="Arial" w:eastAsia="Calibri" w:hAnsi="Arial" w:cs="Arial"/>
          <w:b/>
          <w:bCs/>
          <w:color w:val="000000"/>
          <w:sz w:val="28"/>
          <w:szCs w:val="28"/>
          <w:u w:val="single"/>
          <w:rtl/>
        </w:rPr>
      </w:pPr>
      <w:r w:rsidRPr="001D49D4">
        <w:rPr>
          <w:rFonts w:ascii="Arial" w:eastAsia="Calibri" w:hAnsi="Arial" w:cs="Arial"/>
          <w:b/>
          <w:bCs/>
          <w:color w:val="000000"/>
          <w:sz w:val="28"/>
          <w:szCs w:val="28"/>
          <w:u w:val="single"/>
          <w:rtl/>
        </w:rPr>
        <w:t>שו"ע:</w:t>
      </w:r>
    </w:p>
    <w:p w14:paraId="69C86D7C"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rtl/>
        </w:rPr>
        <w:t>שליש בזמן ששלישותו בידו נאמן כשני עדים</w:t>
      </w:r>
      <w:r w:rsidRPr="001D49D4">
        <w:rPr>
          <w:rFonts w:ascii="Calibri" w:eastAsia="Calibri" w:hAnsi="Calibri" w:cs="Arial"/>
          <w:vertAlign w:val="superscript"/>
          <w:rtl/>
        </w:rPr>
        <w:footnoteReference w:id="4374"/>
      </w:r>
      <w:r w:rsidRPr="001D49D4">
        <w:rPr>
          <w:rFonts w:ascii="Calibri" w:eastAsia="Calibri" w:hAnsi="Calibri" w:cs="Arial"/>
          <w:rtl/>
        </w:rPr>
        <w:t xml:space="preserve"> אפילו אם הוא קרוב, ואין צריך לישבע. </w:t>
      </w:r>
      <w:r w:rsidRPr="001D49D4">
        <w:rPr>
          <w:rFonts w:ascii="Calibri" w:eastAsia="Calibri" w:hAnsi="Calibri" w:cs="Arial"/>
          <w:sz w:val="18"/>
          <w:szCs w:val="18"/>
          <w:rtl/>
        </w:rPr>
        <w:t xml:space="preserve">הגה: ואפילו כתבו ענין השלישות בשטר, לא נאמר שלא סמכו על ענין השליש, אלא גם בזה השליש נאמן (ב"י בשם הרשב"א). </w:t>
      </w:r>
      <w:r w:rsidRPr="001D49D4">
        <w:rPr>
          <w:rFonts w:ascii="Calibri" w:eastAsia="Calibri" w:hAnsi="Calibri" w:cs="Arial"/>
          <w:rtl/>
        </w:rPr>
        <w:t xml:space="preserve">ואף על פי שעבר הזמן שהיה לו להחזירו לאחד </w:t>
      </w:r>
      <w:r w:rsidRPr="001D49D4">
        <w:rPr>
          <w:rFonts w:ascii="Calibri" w:eastAsia="Calibri" w:hAnsi="Calibri" w:cs="Arial"/>
          <w:sz w:val="16"/>
          <w:szCs w:val="16"/>
          <w:rtl/>
        </w:rPr>
        <w:t>(מהן)</w:t>
      </w:r>
      <w:r w:rsidRPr="001D49D4">
        <w:rPr>
          <w:rFonts w:ascii="Calibri" w:eastAsia="Calibri" w:hAnsi="Calibri" w:cs="Arial"/>
          <w:sz w:val="16"/>
          <w:szCs w:val="16"/>
          <w:vertAlign w:val="superscript"/>
          <w:rtl/>
        </w:rPr>
        <w:footnoteReference w:id="4375"/>
      </w:r>
      <w:r w:rsidRPr="001D49D4">
        <w:rPr>
          <w:rFonts w:ascii="Calibri" w:eastAsia="Calibri" w:hAnsi="Calibri" w:cs="Arial"/>
          <w:sz w:val="16"/>
          <w:szCs w:val="16"/>
          <w:rtl/>
        </w:rPr>
        <w:t xml:space="preserve"> </w:t>
      </w:r>
      <w:r w:rsidRPr="001D49D4">
        <w:rPr>
          <w:rFonts w:ascii="Calibri" w:eastAsia="Calibri" w:hAnsi="Calibri" w:cs="Arial"/>
          <w:rtl/>
        </w:rPr>
        <w:t>ולא החזיר, עדיין שליש הוא ונאמן</w:t>
      </w:r>
      <w:r w:rsidRPr="001D49D4">
        <w:rPr>
          <w:rFonts w:ascii="Calibri" w:eastAsia="Calibri" w:hAnsi="Calibri" w:cs="Arial"/>
          <w:vertAlign w:val="superscript"/>
          <w:rtl/>
        </w:rPr>
        <w:footnoteReference w:id="4376"/>
      </w:r>
      <w:r w:rsidRPr="001D49D4">
        <w:rPr>
          <w:rFonts w:ascii="Calibri" w:eastAsia="Calibri" w:hAnsi="Calibri" w:cs="Arial"/>
          <w:rtl/>
        </w:rPr>
        <w:t>, ואפילו הכחישו אחד מהם ואמר שלא עשאו שליש, השליש נאמן</w:t>
      </w:r>
      <w:r w:rsidRPr="001D49D4">
        <w:rPr>
          <w:rFonts w:ascii="Calibri" w:eastAsia="Calibri" w:hAnsi="Calibri" w:cs="Arial"/>
          <w:vertAlign w:val="superscript"/>
          <w:rtl/>
        </w:rPr>
        <w:footnoteReference w:id="4377"/>
      </w:r>
      <w:r w:rsidRPr="001D49D4">
        <w:rPr>
          <w:rFonts w:ascii="Calibri" w:eastAsia="Calibri" w:hAnsi="Calibri" w:cs="Arial"/>
          <w:rtl/>
        </w:rPr>
        <w:t>, ואפילו הכחישו שניהם, השליש נאמן, והוא שלא יהיה ביניהם ובין השליש הכחשה בסך המעות שבידו, דאם כן הוה ליה נוגע בדבר ואינו נאמן</w:t>
      </w:r>
      <w:r w:rsidRPr="001D49D4">
        <w:rPr>
          <w:rFonts w:ascii="Calibri" w:eastAsia="Calibri" w:hAnsi="Calibri" w:cs="Arial"/>
          <w:vertAlign w:val="superscript"/>
          <w:rtl/>
        </w:rPr>
        <w:footnoteReference w:id="4378"/>
      </w:r>
      <w:r w:rsidRPr="001D49D4">
        <w:rPr>
          <w:rFonts w:ascii="Calibri" w:eastAsia="Calibri" w:hAnsi="Calibri" w:cs="Arial"/>
          <w:rtl/>
        </w:rPr>
        <w:t xml:space="preserve">. </w:t>
      </w:r>
      <w:r w:rsidRPr="001D49D4">
        <w:rPr>
          <w:rFonts w:ascii="Calibri" w:eastAsia="Calibri" w:hAnsi="Calibri" w:cs="Arial"/>
          <w:sz w:val="18"/>
          <w:szCs w:val="18"/>
          <w:rtl/>
        </w:rPr>
        <w:t>הגה: במקום שאין לו מיגו, אבל במקום שיש לו מיגו, נאמן</w:t>
      </w:r>
      <w:r w:rsidRPr="001D49D4">
        <w:rPr>
          <w:rFonts w:ascii="Calibri" w:eastAsia="Calibri" w:hAnsi="Calibri" w:cs="Arial"/>
          <w:sz w:val="18"/>
          <w:szCs w:val="18"/>
          <w:vertAlign w:val="superscript"/>
          <w:rtl/>
        </w:rPr>
        <w:footnoteReference w:id="4379"/>
      </w:r>
      <w:r w:rsidRPr="001D49D4">
        <w:rPr>
          <w:rFonts w:ascii="Calibri" w:eastAsia="Calibri" w:hAnsi="Calibri" w:cs="Arial"/>
          <w:sz w:val="18"/>
          <w:szCs w:val="18"/>
          <w:rtl/>
        </w:rPr>
        <w:t xml:space="preserve"> (מרדכי פ' החובל). ויכולים להשביעו אפילו בטענת שמא</w:t>
      </w:r>
      <w:r w:rsidRPr="001D49D4">
        <w:rPr>
          <w:rFonts w:ascii="Calibri" w:eastAsia="Calibri" w:hAnsi="Calibri" w:cs="Arial"/>
          <w:sz w:val="18"/>
          <w:szCs w:val="18"/>
          <w:vertAlign w:val="superscript"/>
          <w:rtl/>
        </w:rPr>
        <w:footnoteReference w:id="4380"/>
      </w:r>
      <w:r w:rsidRPr="001D49D4">
        <w:rPr>
          <w:rFonts w:ascii="Calibri" w:eastAsia="Calibri" w:hAnsi="Calibri" w:cs="Arial"/>
          <w:sz w:val="18"/>
          <w:szCs w:val="18"/>
          <w:rtl/>
        </w:rPr>
        <w:t xml:space="preserve"> (הגמ"ר גיטין). </w:t>
      </w:r>
      <w:r w:rsidRPr="001D49D4">
        <w:rPr>
          <w:rFonts w:ascii="Calibri" w:eastAsia="Calibri" w:hAnsi="Calibri" w:cs="Arial"/>
          <w:rtl/>
        </w:rPr>
        <w:t>שטר שהיה ביד שליש והוציא מתחת ידו בבית דין</w:t>
      </w:r>
      <w:r w:rsidRPr="001D49D4">
        <w:rPr>
          <w:rFonts w:ascii="Calibri" w:eastAsia="Calibri" w:hAnsi="Calibri" w:cs="Arial"/>
          <w:vertAlign w:val="superscript"/>
          <w:rtl/>
        </w:rPr>
        <w:footnoteReference w:id="4381"/>
      </w:r>
      <w:r w:rsidRPr="001D49D4">
        <w:rPr>
          <w:rFonts w:ascii="Calibri" w:eastAsia="Calibri" w:hAnsi="Calibri" w:cs="Arial"/>
          <w:rtl/>
        </w:rPr>
        <w:t xml:space="preserve"> ואמר פרוע הוא, אף על פי שהשטר מקויים, נאמן, שאילו רצה היה שורפו או קורעו</w:t>
      </w:r>
      <w:r w:rsidRPr="001D49D4">
        <w:rPr>
          <w:rFonts w:ascii="Calibri" w:eastAsia="Calibri" w:hAnsi="Calibri" w:cs="Arial"/>
          <w:vertAlign w:val="superscript"/>
          <w:rtl/>
        </w:rPr>
        <w:footnoteReference w:id="4382"/>
      </w:r>
      <w:r w:rsidRPr="001D49D4">
        <w:rPr>
          <w:rFonts w:ascii="Calibri" w:eastAsia="Calibri" w:hAnsi="Calibri" w:cs="Arial"/>
          <w:rtl/>
        </w:rPr>
        <w:t>. וכן אם מת</w:t>
      </w:r>
      <w:r w:rsidRPr="001D49D4">
        <w:rPr>
          <w:rFonts w:ascii="Calibri" w:eastAsia="Calibri" w:hAnsi="Calibri" w:cs="Arial"/>
          <w:vertAlign w:val="superscript"/>
          <w:rtl/>
        </w:rPr>
        <w:footnoteReference w:id="4383"/>
      </w:r>
      <w:r w:rsidRPr="001D49D4">
        <w:rPr>
          <w:rFonts w:ascii="Calibri" w:eastAsia="Calibri" w:hAnsi="Calibri" w:cs="Arial"/>
          <w:rtl/>
        </w:rPr>
        <w:t xml:space="preserve"> השליש ונמצא כתב יוצא מתחת ידי השליש</w:t>
      </w:r>
      <w:r w:rsidRPr="001D49D4">
        <w:rPr>
          <w:rFonts w:ascii="Calibri" w:eastAsia="Calibri" w:hAnsi="Calibri" w:cs="Arial"/>
          <w:vertAlign w:val="superscript"/>
          <w:rtl/>
        </w:rPr>
        <w:footnoteReference w:id="4384"/>
      </w:r>
      <w:r w:rsidRPr="001D49D4">
        <w:rPr>
          <w:rFonts w:ascii="Calibri" w:eastAsia="Calibri" w:hAnsi="Calibri" w:cs="Arial"/>
          <w:rtl/>
        </w:rPr>
        <w:t xml:space="preserve"> ששטר זה המונח אצלו פרוע הוא, אף על פי שאין עדים על הכתב. </w:t>
      </w:r>
      <w:r w:rsidRPr="001D49D4">
        <w:rPr>
          <w:rFonts w:ascii="Calibri" w:eastAsia="Calibri" w:hAnsi="Calibri" w:cs="Arial"/>
          <w:sz w:val="18"/>
          <w:szCs w:val="18"/>
          <w:rtl/>
        </w:rPr>
        <w:t>[הגה] וע"ל ס"ה מדינין אלו</w:t>
      </w:r>
      <w:r w:rsidRPr="001D49D4">
        <w:rPr>
          <w:rFonts w:ascii="Calibri" w:eastAsia="Calibri" w:hAnsi="Calibri" w:cs="Arial"/>
          <w:rtl/>
        </w:rPr>
        <w:t>. אבל כתב שיצא מתחת ידי המלוה ששטר פלוני פרוע, אפילו היה בכתב ידי המלוה, אינו אלא כמשחק</w:t>
      </w:r>
      <w:r w:rsidRPr="001D49D4">
        <w:rPr>
          <w:rFonts w:ascii="Calibri" w:eastAsia="Calibri" w:hAnsi="Calibri" w:cs="Arial"/>
          <w:vertAlign w:val="superscript"/>
          <w:rtl/>
        </w:rPr>
        <w:footnoteReference w:id="4385"/>
      </w:r>
      <w:r w:rsidRPr="001D49D4">
        <w:rPr>
          <w:rFonts w:ascii="Calibri" w:eastAsia="Calibri" w:hAnsi="Calibri" w:cs="Arial"/>
          <w:rtl/>
        </w:rPr>
        <w:t xml:space="preserve">. </w:t>
      </w:r>
      <w:r w:rsidRPr="001D49D4">
        <w:rPr>
          <w:rFonts w:ascii="Calibri" w:eastAsia="Calibri" w:hAnsi="Calibri" w:cs="Arial"/>
          <w:sz w:val="18"/>
          <w:szCs w:val="18"/>
          <w:rtl/>
        </w:rPr>
        <w:t>[הגה] התובע ישלם שכר השלישות</w:t>
      </w:r>
      <w:r w:rsidRPr="001D49D4">
        <w:rPr>
          <w:rFonts w:ascii="Calibri" w:eastAsia="Calibri" w:hAnsi="Calibri" w:cs="Arial"/>
          <w:sz w:val="18"/>
          <w:szCs w:val="18"/>
          <w:vertAlign w:val="superscript"/>
          <w:rtl/>
        </w:rPr>
        <w:footnoteReference w:id="4386"/>
      </w:r>
      <w:r w:rsidRPr="001D49D4">
        <w:rPr>
          <w:rFonts w:ascii="Calibri" w:eastAsia="Calibri" w:hAnsi="Calibri" w:cs="Arial"/>
          <w:sz w:val="18"/>
          <w:szCs w:val="18"/>
          <w:rtl/>
        </w:rPr>
        <w:t xml:space="preserve"> (הגמ"ר סוף פרק זה בורר). </w:t>
      </w:r>
    </w:p>
    <w:p w14:paraId="491D26C2" w14:textId="77777777" w:rsidR="001D49D4" w:rsidRPr="001D49D4" w:rsidRDefault="001D49D4" w:rsidP="0004348D">
      <w:pPr>
        <w:spacing w:before="360" w:after="240"/>
        <w:rPr>
          <w:rFonts w:ascii="Calibri" w:eastAsia="Calibri" w:hAnsi="Calibri" w:cs="Arial"/>
          <w:rtl/>
        </w:rPr>
      </w:pPr>
    </w:p>
    <w:p w14:paraId="7E64ABDA" w14:textId="77777777" w:rsidR="001D49D4" w:rsidRPr="001D49D4" w:rsidRDefault="001D49D4" w:rsidP="0004348D">
      <w:pPr>
        <w:keepNext/>
        <w:keepLines/>
        <w:spacing w:before="360" w:after="240"/>
        <w:outlineLvl w:val="1"/>
        <w:rPr>
          <w:rFonts w:ascii="Cambria" w:eastAsia="Times New Roman" w:hAnsi="Cambria" w:cs="Arial"/>
          <w:bCs/>
          <w:color w:val="548DD4" w:themeColor="text2" w:themeTint="99"/>
          <w:sz w:val="26"/>
          <w:szCs w:val="26"/>
          <w:rtl/>
        </w:rPr>
      </w:pPr>
      <w:bookmarkStart w:id="589" w:name="_Toc24884015"/>
      <w:r w:rsidRPr="001D49D4">
        <w:rPr>
          <w:rFonts w:ascii="Cambria" w:eastAsia="Times New Roman" w:hAnsi="Cambria" w:cs="Arial"/>
          <w:bCs/>
          <w:color w:val="548DD4" w:themeColor="text2" w:themeTint="99"/>
          <w:sz w:val="26"/>
          <w:szCs w:val="26"/>
          <w:rtl/>
        </w:rPr>
        <w:t>סעיף ב: עדים שהכחישו את השליש.</w:t>
      </w:r>
      <w:bookmarkEnd w:id="589"/>
    </w:p>
    <w:p w14:paraId="7721C00E" w14:textId="77777777" w:rsidR="001D49D4" w:rsidRPr="001D49D4" w:rsidRDefault="001D49D4" w:rsidP="0004348D">
      <w:pPr>
        <w:spacing w:before="360" w:after="240"/>
        <w:rPr>
          <w:rFonts w:ascii="Calibri" w:eastAsia="Calibri" w:hAnsi="Calibri" w:cs="Arial"/>
          <w:u w:val="single"/>
          <w:rtl/>
        </w:rPr>
      </w:pPr>
      <w:r w:rsidRPr="001D49D4">
        <w:rPr>
          <w:rFonts w:ascii="Calibri" w:eastAsia="Calibri" w:hAnsi="Calibri" w:cs="Arial"/>
          <w:u w:val="single"/>
          <w:rtl/>
        </w:rPr>
        <w:t>עדים שהכחישו את השליש ואמרו לו 'לא על תנאי זה היית שליש ביניהם':</w:t>
      </w:r>
    </w:p>
    <w:p w14:paraId="64D1CEA6" w14:textId="77777777" w:rsidR="001D49D4" w:rsidRPr="001D49D4" w:rsidRDefault="001D49D4" w:rsidP="0004348D">
      <w:pPr>
        <w:numPr>
          <w:ilvl w:val="0"/>
          <w:numId w:val="312"/>
        </w:numPr>
        <w:spacing w:before="360" w:after="240"/>
        <w:contextualSpacing/>
      </w:pPr>
      <w:r w:rsidRPr="001D49D4">
        <w:rPr>
          <w:rtl/>
        </w:rPr>
        <w:t xml:space="preserve">בעל התרומות </w:t>
      </w:r>
      <w:r w:rsidRPr="001D49D4">
        <w:rPr>
          <w:sz w:val="16"/>
          <w:szCs w:val="16"/>
          <w:rtl/>
        </w:rPr>
        <w:t xml:space="preserve">(שם) </w:t>
      </w:r>
      <w:r w:rsidRPr="001D49D4">
        <w:rPr>
          <w:rtl/>
        </w:rPr>
        <w:t xml:space="preserve">בשם הרמב"ן </w:t>
      </w:r>
      <w:r w:rsidRPr="001D49D4">
        <w:rPr>
          <w:sz w:val="16"/>
          <w:szCs w:val="16"/>
          <w:rtl/>
        </w:rPr>
        <w:t>(שם)</w:t>
      </w:r>
      <w:r w:rsidRPr="001D49D4">
        <w:rPr>
          <w:rtl/>
        </w:rPr>
        <w:t xml:space="preserve"> תשו' מיימוניות</w:t>
      </w:r>
      <w:r w:rsidRPr="001D49D4">
        <w:rPr>
          <w:sz w:val="16"/>
          <w:szCs w:val="16"/>
          <w:rtl/>
        </w:rPr>
        <w:t xml:space="preserve"> (דספר משפטים סי' מד)</w:t>
      </w:r>
      <w:r w:rsidRPr="001D49D4">
        <w:rPr>
          <w:rtl/>
        </w:rPr>
        <w:t xml:space="preserve"> וטור- הכחישוהו עדים ואומרים לו לא על תנאי זה היית שליש ביניהם כתב הרמב"ן - העדים נאמנין בין שהזמינו העדים שיעידו על השליש בין שלא הזמינום אלא שאירע שהיו באותו מעמד וראו, בכל ענין אין השליש נאמן. בד"א כשאומר השליש ביום פלוני נמסר בידי השלישות בתנאי כך וכך והעדים מכחישין אותו, אבל אם אומר בתנאי כך וכך הוא בידי סתם, אע"פ שאומרים העדים כשנמסר לידו לא היו התנאים כן - השליש נאמן, דשמא אח"כ באו לפניו והתנו כענין זה, אע"פ שאין השליש טוען בפירוש כן אנן טענינן ליה כדי שלא יהא מוכחש מן העדים</w:t>
      </w:r>
      <w:r w:rsidRPr="001D49D4">
        <w:rPr>
          <w:sz w:val="16"/>
          <w:szCs w:val="16"/>
          <w:rtl/>
        </w:rPr>
        <w:t xml:space="preserve"> (ל' הטור)</w:t>
      </w:r>
      <w:r w:rsidRPr="001D49D4">
        <w:rPr>
          <w:rtl/>
        </w:rPr>
        <w:t>.</w:t>
      </w:r>
      <w:r w:rsidRPr="001D49D4">
        <w:rPr>
          <w:color w:val="E36C0A" w:themeColor="accent6" w:themeShade="BF"/>
          <w:rtl/>
        </w:rPr>
        <w:t xml:space="preserve"> (וכ"פ בשו"ע)</w:t>
      </w:r>
    </w:p>
    <w:p w14:paraId="5FF18FFE" w14:textId="77777777" w:rsidR="001D49D4" w:rsidRPr="001D49D4" w:rsidRDefault="001D49D4" w:rsidP="0004348D">
      <w:pPr>
        <w:numPr>
          <w:ilvl w:val="0"/>
          <w:numId w:val="312"/>
        </w:numPr>
        <w:spacing w:before="360" w:after="240"/>
        <w:contextualSpacing/>
      </w:pPr>
      <w:r w:rsidRPr="001D49D4">
        <w:rPr>
          <w:rtl/>
        </w:rPr>
        <w:t xml:space="preserve">רשב"א </w:t>
      </w:r>
      <w:r w:rsidRPr="001D49D4">
        <w:rPr>
          <w:sz w:val="16"/>
          <w:szCs w:val="16"/>
          <w:rtl/>
        </w:rPr>
        <w:t>(ח"ג סי' יב</w:t>
      </w:r>
      <w:r w:rsidRPr="001D49D4">
        <w:rPr>
          <w:sz w:val="16"/>
          <w:szCs w:val="16"/>
          <w:vertAlign w:val="superscript"/>
          <w:rtl/>
        </w:rPr>
        <w:footnoteReference w:id="4387"/>
      </w:r>
      <w:r w:rsidRPr="001D49D4">
        <w:rPr>
          <w:sz w:val="16"/>
          <w:szCs w:val="16"/>
          <w:rtl/>
        </w:rPr>
        <w:t>,</w:t>
      </w:r>
      <w:r w:rsidRPr="001D49D4">
        <w:rPr>
          <w:rtl/>
        </w:rPr>
        <w:t xml:space="preserve"> </w:t>
      </w:r>
      <w:r w:rsidRPr="001D49D4">
        <w:rPr>
          <w:sz w:val="16"/>
          <w:szCs w:val="16"/>
          <w:rtl/>
        </w:rPr>
        <w:t>ושם סי' קצט)</w:t>
      </w:r>
      <w:r w:rsidRPr="001D49D4">
        <w:rPr>
          <w:rtl/>
        </w:rPr>
        <w:t xml:space="preserve">- כבר השבתי על מה ששאלת בענין השליש ואמרתי כי הוא נאמן אפילו במקום עדים ותן לחכם ויחכם עוד </w:t>
      </w:r>
      <w:r w:rsidRPr="001D49D4">
        <w:rPr>
          <w:sz w:val="16"/>
          <w:szCs w:val="16"/>
          <w:rtl/>
        </w:rPr>
        <w:t>(משלי ט ט)</w:t>
      </w:r>
      <w:r w:rsidRPr="001D49D4">
        <w:rPr>
          <w:rtl/>
        </w:rPr>
        <w:t xml:space="preserve">. </w:t>
      </w:r>
    </w:p>
    <w:p w14:paraId="512DED5F" w14:textId="77777777" w:rsidR="001D49D4" w:rsidRPr="001D49D4" w:rsidRDefault="001D49D4" w:rsidP="0004348D">
      <w:pPr>
        <w:spacing w:before="360" w:after="240"/>
        <w:rPr>
          <w:rFonts w:ascii="Calibri" w:eastAsia="Calibri" w:hAnsi="Calibri" w:cs="Arial"/>
          <w:u w:val="single"/>
          <w:rtl/>
        </w:rPr>
      </w:pPr>
      <w:r w:rsidRPr="001D49D4">
        <w:rPr>
          <w:rFonts w:ascii="Calibri" w:eastAsia="Calibri" w:hAnsi="Calibri" w:cs="Arial"/>
          <w:u w:val="single"/>
          <w:rtl/>
        </w:rPr>
        <w:t>מלוה שנתן השטר לשליש בלא דעת הלוה – האם מקרי שליש:</w:t>
      </w:r>
    </w:p>
    <w:p w14:paraId="69F83724" w14:textId="77777777" w:rsidR="001D49D4" w:rsidRPr="001D49D4" w:rsidRDefault="001D49D4" w:rsidP="0004348D">
      <w:pPr>
        <w:numPr>
          <w:ilvl w:val="0"/>
          <w:numId w:val="312"/>
        </w:numPr>
        <w:spacing w:before="360" w:after="240"/>
        <w:contextualSpacing/>
        <w:rPr>
          <w:rtl/>
        </w:rPr>
      </w:pPr>
      <w:r w:rsidRPr="001D49D4">
        <w:rPr>
          <w:rtl/>
        </w:rPr>
        <w:t xml:space="preserve">בעל התרומות </w:t>
      </w:r>
      <w:r w:rsidRPr="001D49D4">
        <w:rPr>
          <w:sz w:val="16"/>
          <w:szCs w:val="16"/>
          <w:rtl/>
        </w:rPr>
        <w:t xml:space="preserve">(שער נב שם סי' ח) </w:t>
      </w:r>
      <w:r w:rsidRPr="001D49D4">
        <w:rPr>
          <w:rtl/>
        </w:rPr>
        <w:t xml:space="preserve">בשם הרמב"ן </w:t>
      </w:r>
      <w:r w:rsidRPr="001D49D4">
        <w:rPr>
          <w:sz w:val="16"/>
          <w:szCs w:val="16"/>
          <w:rtl/>
        </w:rPr>
        <w:t>(סי' נח)</w:t>
      </w:r>
      <w:r w:rsidRPr="001D49D4">
        <w:rPr>
          <w:rtl/>
        </w:rPr>
        <w:t xml:space="preserve">- לא שנא תרווייהו אשלישו גביה לא שנא מלוה בלחוד בכולהו שליש מיקרי ונאמן מכולם. </w:t>
      </w:r>
      <w:r w:rsidRPr="001D49D4">
        <w:rPr>
          <w:color w:val="00B0F0"/>
          <w:rtl/>
        </w:rPr>
        <w:t>(וכ"פ הרמ"א)</w:t>
      </w:r>
    </w:p>
    <w:p w14:paraId="726853EA" w14:textId="77777777" w:rsidR="001D49D4" w:rsidRPr="001D49D4" w:rsidRDefault="001D49D4" w:rsidP="0004348D">
      <w:pPr>
        <w:spacing w:before="360" w:after="240"/>
        <w:rPr>
          <w:rFonts w:ascii="Arial" w:eastAsia="Calibri" w:hAnsi="Arial" w:cs="Arial"/>
          <w:b/>
          <w:bCs/>
          <w:color w:val="000000"/>
          <w:sz w:val="28"/>
          <w:szCs w:val="28"/>
          <w:u w:val="single"/>
        </w:rPr>
      </w:pPr>
      <w:r w:rsidRPr="001D49D4">
        <w:rPr>
          <w:rFonts w:ascii="Arial" w:eastAsia="Calibri" w:hAnsi="Arial" w:cs="Arial"/>
          <w:b/>
          <w:bCs/>
          <w:color w:val="000000"/>
          <w:sz w:val="28"/>
          <w:szCs w:val="28"/>
          <w:u w:val="single"/>
          <w:rtl/>
        </w:rPr>
        <w:t>שו"ע:</w:t>
      </w:r>
    </w:p>
    <w:p w14:paraId="2768312B"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rtl/>
        </w:rPr>
        <w:t>הכחישוהו עדים ואמרו לו 'על תנאי זה היית שליש ביניהם', העדים נאמנים</w:t>
      </w:r>
      <w:r w:rsidRPr="001D49D4">
        <w:rPr>
          <w:rFonts w:ascii="Calibri" w:eastAsia="Calibri" w:hAnsi="Calibri" w:cs="Arial"/>
          <w:vertAlign w:val="superscript"/>
          <w:rtl/>
        </w:rPr>
        <w:footnoteReference w:id="4388"/>
      </w:r>
      <w:r w:rsidRPr="001D49D4">
        <w:rPr>
          <w:rFonts w:ascii="Calibri" w:eastAsia="Calibri" w:hAnsi="Calibri" w:cs="Arial"/>
          <w:rtl/>
        </w:rPr>
        <w:t>. במה דברים אמורים, כשאומר השליש ביום פלוני נמסר בידי השלישות בתנאי כך וכך, והעדים מכחישים אותו. אבל אם אומר בתנאי כך וכך הוא בידי, סתם, אפילו שאומרים העדים כשנמסר לידו לא היו התנאים כן, השליש נאמן</w:t>
      </w:r>
      <w:r w:rsidRPr="001D49D4">
        <w:rPr>
          <w:rFonts w:ascii="Calibri" w:eastAsia="Calibri" w:hAnsi="Calibri" w:cs="Arial"/>
          <w:vertAlign w:val="superscript"/>
          <w:rtl/>
        </w:rPr>
        <w:footnoteReference w:id="4389"/>
      </w:r>
      <w:r w:rsidRPr="001D49D4">
        <w:rPr>
          <w:rFonts w:ascii="Calibri" w:eastAsia="Calibri" w:hAnsi="Calibri" w:cs="Arial"/>
          <w:rtl/>
        </w:rPr>
        <w:t>, דשמא אחר כך באו לפניו והתנו בענין זה. אף על פי שאין השליש טוען בפירוש כן, אנן טענינן ליה כן, כדי שלא יהיה מוכחש מהעדים</w:t>
      </w:r>
      <w:r w:rsidRPr="001D49D4">
        <w:rPr>
          <w:rFonts w:ascii="Calibri" w:eastAsia="Calibri" w:hAnsi="Calibri" w:cs="Arial"/>
          <w:vertAlign w:val="superscript"/>
          <w:rtl/>
        </w:rPr>
        <w:footnoteReference w:id="4390"/>
      </w:r>
      <w:r w:rsidRPr="001D49D4">
        <w:rPr>
          <w:rFonts w:ascii="Calibri" w:eastAsia="Calibri" w:hAnsi="Calibri" w:cs="Arial"/>
          <w:rtl/>
        </w:rPr>
        <w:t xml:space="preserve">. </w:t>
      </w:r>
      <w:r w:rsidRPr="001D49D4">
        <w:rPr>
          <w:rFonts w:ascii="Calibri" w:eastAsia="Calibri" w:hAnsi="Calibri" w:cs="Arial"/>
          <w:sz w:val="18"/>
          <w:szCs w:val="18"/>
          <w:rtl/>
        </w:rPr>
        <w:t>הגה: ואין חילוק לענין שליש בין אם שניהם נתנו בידו או שהמלוה נתנו בידו להיות שליש ביניהם</w:t>
      </w:r>
      <w:r w:rsidRPr="001D49D4">
        <w:rPr>
          <w:rFonts w:ascii="Calibri" w:eastAsia="Calibri" w:hAnsi="Calibri" w:cs="Arial"/>
          <w:sz w:val="18"/>
          <w:szCs w:val="18"/>
          <w:vertAlign w:val="superscript"/>
          <w:rtl/>
        </w:rPr>
        <w:footnoteReference w:id="4391"/>
      </w:r>
      <w:r w:rsidRPr="001D49D4">
        <w:rPr>
          <w:rFonts w:ascii="Calibri" w:eastAsia="Calibri" w:hAnsi="Calibri" w:cs="Arial"/>
          <w:sz w:val="18"/>
          <w:szCs w:val="18"/>
          <w:rtl/>
        </w:rPr>
        <w:t xml:space="preserve"> (ב"י בשם בעל התרומות). </w:t>
      </w:r>
    </w:p>
    <w:p w14:paraId="63330D85" w14:textId="77777777" w:rsidR="001D49D4" w:rsidRPr="001D49D4" w:rsidRDefault="001D49D4" w:rsidP="0004348D">
      <w:pPr>
        <w:spacing w:before="360" w:after="240"/>
        <w:rPr>
          <w:rFonts w:ascii="Calibri" w:eastAsia="Calibri" w:hAnsi="Calibri" w:cs="Arial"/>
          <w:rtl/>
        </w:rPr>
      </w:pPr>
    </w:p>
    <w:p w14:paraId="389A8B6C" w14:textId="77777777" w:rsidR="001D49D4" w:rsidRPr="001D49D4" w:rsidRDefault="001D49D4" w:rsidP="0004348D">
      <w:pPr>
        <w:keepNext/>
        <w:keepLines/>
        <w:spacing w:before="360" w:after="240"/>
        <w:outlineLvl w:val="1"/>
        <w:rPr>
          <w:rFonts w:ascii="Cambria" w:eastAsia="Times New Roman" w:hAnsi="Cambria" w:cs="Arial"/>
          <w:bCs/>
          <w:color w:val="548DD4" w:themeColor="text2" w:themeTint="99"/>
          <w:sz w:val="26"/>
          <w:szCs w:val="26"/>
          <w:rtl/>
        </w:rPr>
      </w:pPr>
      <w:bookmarkStart w:id="590" w:name="_Toc24884016"/>
      <w:r w:rsidRPr="001D49D4">
        <w:rPr>
          <w:rFonts w:ascii="Cambria" w:eastAsia="Times New Roman" w:hAnsi="Cambria" w:cs="Arial"/>
          <w:bCs/>
          <w:color w:val="548DD4" w:themeColor="text2" w:themeTint="99"/>
          <w:sz w:val="26"/>
          <w:szCs w:val="26"/>
          <w:rtl/>
        </w:rPr>
        <w:t>סעיף ג: נאמנות שליש שאין שלישותו בידו. שליש שנעשה לזמן ידוע ועבר הזמן.</w:t>
      </w:r>
      <w:bookmarkEnd w:id="590"/>
    </w:p>
    <w:p w14:paraId="1BE37B7D"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b/>
          <w:bCs/>
          <w:rtl/>
        </w:rPr>
        <w:t xml:space="preserve">תוספתא בבא מציעא פ"א ה"ו: </w:t>
      </w:r>
      <w:r w:rsidRPr="001D49D4">
        <w:rPr>
          <w:rFonts w:ascii="Calibri" w:eastAsia="Calibri" w:hAnsi="Calibri" w:cs="Arial"/>
          <w:rtl/>
        </w:rPr>
        <w:t>הודאת בעל דין כמאה עדים והשליש נאמן משניהן, זה אומ' כך וזה אומ' כך והשליש אמ' כך - השליש נאמן. אימתי, בזמן שהשלישות יוצא מתחת ידו, אין השלישות יוצא מתחת ידו - הרי הוא כאחד מכל אדם.</w:t>
      </w:r>
      <w:r w:rsidRPr="001D49D4">
        <w:rPr>
          <w:rFonts w:ascii="Calibri" w:eastAsia="Calibri" w:hAnsi="Calibri" w:cs="Arial"/>
          <w:sz w:val="16"/>
          <w:szCs w:val="16"/>
          <w:rtl/>
        </w:rPr>
        <w:t xml:space="preserve"> (וכתבוה הרי"ף (א:) והרא"ש (סי' ב) בריש מציעא, ב"י)</w:t>
      </w:r>
    </w:p>
    <w:p w14:paraId="0105284E"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u w:val="single"/>
          <w:rtl/>
        </w:rPr>
        <w:t>נאמנות שליש – כשאין השלישות בידו</w:t>
      </w:r>
      <w:r w:rsidRPr="001D49D4">
        <w:rPr>
          <w:rFonts w:ascii="Calibri" w:eastAsia="Calibri" w:hAnsi="Calibri" w:cs="Arial"/>
          <w:u w:val="single"/>
          <w:vertAlign w:val="superscript"/>
          <w:rtl/>
        </w:rPr>
        <w:footnoteReference w:id="4392"/>
      </w:r>
      <w:r w:rsidRPr="001D49D4">
        <w:rPr>
          <w:rFonts w:ascii="Calibri" w:eastAsia="Calibri" w:hAnsi="Calibri" w:cs="Arial"/>
          <w:u w:val="single"/>
          <w:rtl/>
        </w:rPr>
        <w:t>:</w:t>
      </w:r>
    </w:p>
    <w:p w14:paraId="3DE7ED29" w14:textId="77777777" w:rsidR="001D49D4" w:rsidRPr="001D49D4" w:rsidRDefault="001D49D4" w:rsidP="0004348D">
      <w:pPr>
        <w:numPr>
          <w:ilvl w:val="0"/>
          <w:numId w:val="308"/>
        </w:numPr>
        <w:spacing w:before="360" w:after="240"/>
        <w:contextualSpacing/>
        <w:rPr>
          <w:rtl/>
        </w:rPr>
      </w:pPr>
      <w:r w:rsidRPr="001D49D4">
        <w:rPr>
          <w:rtl/>
        </w:rPr>
        <w:t xml:space="preserve">מרדכי </w:t>
      </w:r>
      <w:r w:rsidRPr="001D49D4">
        <w:rPr>
          <w:sz w:val="16"/>
          <w:szCs w:val="16"/>
          <w:rtl/>
        </w:rPr>
        <w:t>(ב"מ סי' ריח)</w:t>
      </w:r>
      <w:r w:rsidRPr="001D49D4">
        <w:rPr>
          <w:rtl/>
        </w:rPr>
        <w:t xml:space="preserve"> ותשובות מיימוניות </w:t>
      </w:r>
      <w:r w:rsidRPr="001D49D4">
        <w:rPr>
          <w:sz w:val="16"/>
          <w:szCs w:val="16"/>
          <w:rtl/>
        </w:rPr>
        <w:t>(דספר משפטים סי' מד)</w:t>
      </w:r>
      <w:r w:rsidRPr="001D49D4">
        <w:rPr>
          <w:rtl/>
        </w:rPr>
        <w:t>- ר"מ פסק דשליש נאמן בלא שבועה ואפילו אין שלישותו בידו נאמן</w:t>
      </w:r>
      <w:r w:rsidRPr="001D49D4">
        <w:rPr>
          <w:vertAlign w:val="superscript"/>
          <w:rtl/>
        </w:rPr>
        <w:footnoteReference w:id="4393"/>
      </w:r>
      <w:r w:rsidRPr="001D49D4">
        <w:rPr>
          <w:rtl/>
        </w:rPr>
        <w:t xml:space="preserve"> הוא אמאי דעבד בעוד ששלישותו היה בידו, דחזקה שליח עושה שליחותו</w:t>
      </w:r>
      <w:r w:rsidRPr="001D49D4">
        <w:rPr>
          <w:vertAlign w:val="superscript"/>
          <w:rtl/>
        </w:rPr>
        <w:footnoteReference w:id="4394"/>
      </w:r>
      <w:r w:rsidRPr="001D49D4">
        <w:rPr>
          <w:rtl/>
        </w:rPr>
        <w:t xml:space="preserve">. </w:t>
      </w:r>
    </w:p>
    <w:p w14:paraId="058219E9" w14:textId="77777777" w:rsidR="001D49D4" w:rsidRPr="001D49D4" w:rsidRDefault="001D49D4" w:rsidP="0004348D">
      <w:pPr>
        <w:numPr>
          <w:ilvl w:val="0"/>
          <w:numId w:val="308"/>
        </w:numPr>
        <w:spacing w:before="360" w:after="240"/>
        <w:contextualSpacing/>
      </w:pPr>
      <w:r w:rsidRPr="001D49D4">
        <w:rPr>
          <w:rtl/>
        </w:rPr>
        <w:t xml:space="preserve">בהעי"ט </w:t>
      </w:r>
      <w:r w:rsidRPr="001D49D4">
        <w:rPr>
          <w:sz w:val="16"/>
          <w:szCs w:val="16"/>
          <w:rtl/>
        </w:rPr>
        <w:t>(שם מג ע"ב-ע"ג)</w:t>
      </w:r>
      <w:r w:rsidRPr="001D49D4">
        <w:rPr>
          <w:rtl/>
        </w:rPr>
        <w:t xml:space="preserve"> רא"ש </w:t>
      </w:r>
      <w:r w:rsidRPr="001D49D4">
        <w:rPr>
          <w:sz w:val="16"/>
          <w:szCs w:val="16"/>
          <w:rtl/>
        </w:rPr>
        <w:t>(כלל קה סי' ג, הביאו הש"ך [סק"כ])</w:t>
      </w:r>
      <w:r w:rsidRPr="001D49D4">
        <w:rPr>
          <w:rtl/>
        </w:rPr>
        <w:t xml:space="preserve"> וטור- אין שלישותו בידו הרי הוא כשאר כל אדם ומיחייב שבועת התורה לשכנגדו</w:t>
      </w:r>
      <w:r w:rsidRPr="001D49D4">
        <w:rPr>
          <w:vertAlign w:val="superscript"/>
          <w:rtl/>
        </w:rPr>
        <w:footnoteReference w:id="4395"/>
      </w:r>
      <w:r w:rsidRPr="001D49D4">
        <w:rPr>
          <w:rtl/>
        </w:rPr>
        <w:t xml:space="preserve"> </w:t>
      </w:r>
      <w:r w:rsidRPr="001D49D4">
        <w:rPr>
          <w:sz w:val="16"/>
          <w:szCs w:val="16"/>
          <w:rtl/>
        </w:rPr>
        <w:t xml:space="preserve">{כעד אחד דעלמא} </w:t>
      </w:r>
      <w:r w:rsidRPr="001D49D4">
        <w:rPr>
          <w:rtl/>
        </w:rPr>
        <w:t>אם אינו קרוב</w:t>
      </w:r>
      <w:r w:rsidRPr="001D49D4">
        <w:rPr>
          <w:sz w:val="16"/>
          <w:szCs w:val="16"/>
          <w:rtl/>
        </w:rPr>
        <w:t xml:space="preserve"> (ל' הטור)</w:t>
      </w:r>
      <w:r w:rsidRPr="001D49D4">
        <w:rPr>
          <w:rtl/>
        </w:rPr>
        <w:t xml:space="preserve">. </w:t>
      </w:r>
      <w:r w:rsidRPr="001D49D4">
        <w:rPr>
          <w:color w:val="E36C0A" w:themeColor="accent6" w:themeShade="BF"/>
          <w:rtl/>
        </w:rPr>
        <w:t>(וכ"פ בשו"ע)</w:t>
      </w:r>
      <w:r w:rsidRPr="001D49D4">
        <w:rPr>
          <w:color w:val="00B0F0"/>
          <w:rtl/>
        </w:rPr>
        <w:t xml:space="preserve"> (וכ"פ הרמ"א)</w:t>
      </w:r>
    </w:p>
    <w:p w14:paraId="6B28C0AE" w14:textId="77777777" w:rsidR="001D49D4" w:rsidRPr="001D49D4" w:rsidRDefault="001D49D4" w:rsidP="0004348D">
      <w:pPr>
        <w:spacing w:before="360" w:after="240"/>
        <w:ind w:left="360"/>
        <w:rPr>
          <w:rFonts w:ascii="Calibri" w:eastAsia="Calibri" w:hAnsi="Calibri" w:cs="Arial"/>
          <w:u w:val="dotted"/>
        </w:rPr>
      </w:pPr>
      <w:r w:rsidRPr="001D49D4">
        <w:rPr>
          <w:rFonts w:ascii="Calibri" w:eastAsia="Calibri" w:hAnsi="Calibri" w:cs="Arial"/>
          <w:u w:val="dotted"/>
          <w:rtl/>
        </w:rPr>
        <w:t xml:space="preserve">לטור וסיעתו - מה הדין אם יש להם עליו שום תרעומת בענין השלישות: </w:t>
      </w:r>
    </w:p>
    <w:p w14:paraId="1574C687" w14:textId="77777777" w:rsidR="001D49D4" w:rsidRPr="001D49D4" w:rsidRDefault="001D49D4" w:rsidP="0004348D">
      <w:pPr>
        <w:numPr>
          <w:ilvl w:val="0"/>
          <w:numId w:val="308"/>
        </w:numPr>
        <w:spacing w:before="360" w:after="240"/>
        <w:contextualSpacing/>
      </w:pPr>
      <w:r w:rsidRPr="001D49D4">
        <w:rPr>
          <w:rtl/>
        </w:rPr>
        <w:t xml:space="preserve">בהעי"ט </w:t>
      </w:r>
      <w:r w:rsidRPr="001D49D4">
        <w:rPr>
          <w:sz w:val="16"/>
          <w:szCs w:val="16"/>
          <w:rtl/>
        </w:rPr>
        <w:t>(אות שי"ן שלישות ממון מג:)</w:t>
      </w:r>
      <w:r w:rsidRPr="001D49D4">
        <w:rPr>
          <w:rtl/>
        </w:rPr>
        <w:t xml:space="preserve"> בשם ה"ר יהודה ברצלוני וטור- הא דחשיב כעד אחד דוקא כששניהם נסתלקו מעליו ואין להם עליו שום תרעומת, אבל אם יש להם עליו שום תרעומת</w:t>
      </w:r>
      <w:r w:rsidRPr="001D49D4">
        <w:rPr>
          <w:vertAlign w:val="superscript"/>
          <w:rtl/>
        </w:rPr>
        <w:footnoteReference w:id="4396"/>
      </w:r>
      <w:r w:rsidRPr="001D49D4">
        <w:rPr>
          <w:rtl/>
        </w:rPr>
        <w:t xml:space="preserve"> בענין השלישות הוה ליה נוגע בעדות ואין מקבלין עדותו</w:t>
      </w:r>
      <w:r w:rsidRPr="001D49D4">
        <w:rPr>
          <w:sz w:val="16"/>
          <w:szCs w:val="16"/>
          <w:rtl/>
        </w:rPr>
        <w:t xml:space="preserve"> (ל' הטור בשמם)</w:t>
      </w:r>
      <w:r w:rsidRPr="001D49D4">
        <w:rPr>
          <w:rtl/>
        </w:rPr>
        <w:t>.</w:t>
      </w:r>
      <w:r w:rsidRPr="001D49D4">
        <w:rPr>
          <w:color w:val="00B0F0"/>
          <w:rtl/>
        </w:rPr>
        <w:t xml:space="preserve"> (וכ"פ הרמ"א)</w:t>
      </w:r>
      <w:r w:rsidRPr="001D49D4">
        <w:rPr>
          <w:rtl/>
        </w:rPr>
        <w:t xml:space="preserve"> </w:t>
      </w:r>
    </w:p>
    <w:p w14:paraId="3BF0F180" w14:textId="77777777" w:rsidR="001D49D4" w:rsidRPr="001D49D4" w:rsidRDefault="001D49D4" w:rsidP="0004348D">
      <w:pPr>
        <w:spacing w:before="360" w:after="240"/>
        <w:rPr>
          <w:rFonts w:ascii="Calibri" w:eastAsia="Calibri" w:hAnsi="Calibri" w:cs="Arial"/>
          <w:u w:val="single"/>
        </w:rPr>
      </w:pPr>
      <w:r w:rsidRPr="001D49D4">
        <w:rPr>
          <w:rFonts w:ascii="Calibri" w:eastAsia="Calibri" w:hAnsi="Calibri" w:cs="Arial"/>
          <w:u w:val="single"/>
          <w:rtl/>
        </w:rPr>
        <w:t>נעשה שליש לזמן ידוע ועבר הזמן – מה יעשה השליש עם מה שהשלישו בידו:</w:t>
      </w:r>
    </w:p>
    <w:p w14:paraId="256D87C7" w14:textId="77777777" w:rsidR="001D49D4" w:rsidRPr="001D49D4" w:rsidRDefault="001D49D4" w:rsidP="0004348D">
      <w:pPr>
        <w:numPr>
          <w:ilvl w:val="0"/>
          <w:numId w:val="308"/>
        </w:numPr>
        <w:spacing w:before="360" w:after="240"/>
        <w:contextualSpacing/>
      </w:pPr>
      <w:r w:rsidRPr="001D49D4">
        <w:rPr>
          <w:rtl/>
        </w:rPr>
        <w:t xml:space="preserve">בהעי"ט </w:t>
      </w:r>
      <w:r w:rsidRPr="001D49D4">
        <w:rPr>
          <w:sz w:val="16"/>
          <w:szCs w:val="16"/>
          <w:rtl/>
        </w:rPr>
        <w:t>(שם מג:-ע"ג, כ"כ הטור בשמו)</w:t>
      </w:r>
      <w:r w:rsidRPr="001D49D4">
        <w:rPr>
          <w:rtl/>
        </w:rPr>
        <w:t xml:space="preserve"> בעל התרומות </w:t>
      </w:r>
      <w:r w:rsidRPr="001D49D4">
        <w:rPr>
          <w:sz w:val="16"/>
          <w:szCs w:val="16"/>
          <w:rtl/>
        </w:rPr>
        <w:t xml:space="preserve">(שער נב שם סי' ו) </w:t>
      </w:r>
      <w:r w:rsidRPr="001D49D4">
        <w:rPr>
          <w:rtl/>
        </w:rPr>
        <w:t xml:space="preserve">הגמ"ר </w:t>
      </w:r>
      <w:r w:rsidRPr="001D49D4">
        <w:rPr>
          <w:sz w:val="16"/>
          <w:szCs w:val="16"/>
          <w:rtl/>
        </w:rPr>
        <w:t xml:space="preserve">(סנהדרין סי' תשכו) </w:t>
      </w:r>
      <w:r w:rsidRPr="001D49D4">
        <w:rPr>
          <w:rtl/>
        </w:rPr>
        <w:t>וטור- מסתברא אם נעשה שליש לזמן ידוע ועבר הזמן</w:t>
      </w:r>
      <w:r w:rsidRPr="001D49D4">
        <w:rPr>
          <w:vertAlign w:val="superscript"/>
          <w:rtl/>
        </w:rPr>
        <w:footnoteReference w:id="4397"/>
      </w:r>
      <w:r w:rsidRPr="001D49D4">
        <w:rPr>
          <w:rtl/>
        </w:rPr>
        <w:t xml:space="preserve"> אין לו ליתן השלישות אלא בפני בית דין ויפרש להם ענין השלישות, שמא יפול ביניהם מחלוקת ואם יוציא השלישות מתחת ידו לא יהיה נאמן אלא כעד אחד, לפיכך צריך שיכתבו בב"ד ויחתמו הענין</w:t>
      </w:r>
      <w:r w:rsidRPr="001D49D4">
        <w:rPr>
          <w:sz w:val="16"/>
          <w:szCs w:val="16"/>
          <w:rtl/>
        </w:rPr>
        <w:t xml:space="preserve"> (ל' הטור בשם בהעי"ט)</w:t>
      </w:r>
      <w:r w:rsidRPr="001D49D4">
        <w:rPr>
          <w:rtl/>
        </w:rPr>
        <w:t xml:space="preserve">. </w:t>
      </w:r>
      <w:r w:rsidRPr="001D49D4">
        <w:rPr>
          <w:color w:val="E36C0A" w:themeColor="accent6" w:themeShade="BF"/>
          <w:rtl/>
        </w:rPr>
        <w:t>(וכ"פ בשו"ע)</w:t>
      </w:r>
    </w:p>
    <w:p w14:paraId="75FEB3AF" w14:textId="77777777" w:rsidR="001D49D4" w:rsidRPr="001D49D4" w:rsidRDefault="001D49D4" w:rsidP="0004348D">
      <w:pPr>
        <w:spacing w:before="360" w:after="240"/>
        <w:rPr>
          <w:rFonts w:ascii="Arial" w:eastAsia="Calibri" w:hAnsi="Arial" w:cs="Arial"/>
          <w:b/>
          <w:bCs/>
          <w:color w:val="000000"/>
          <w:sz w:val="28"/>
          <w:szCs w:val="28"/>
          <w:u w:val="single"/>
          <w:rtl/>
        </w:rPr>
      </w:pPr>
      <w:r w:rsidRPr="001D49D4">
        <w:rPr>
          <w:rFonts w:ascii="Arial" w:eastAsia="Calibri" w:hAnsi="Arial" w:cs="Arial"/>
          <w:b/>
          <w:bCs/>
          <w:color w:val="000000"/>
          <w:sz w:val="28"/>
          <w:szCs w:val="28"/>
          <w:u w:val="single"/>
          <w:rtl/>
        </w:rPr>
        <w:t>שו"ע:</w:t>
      </w:r>
    </w:p>
    <w:p w14:paraId="47402AF9"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rtl/>
        </w:rPr>
        <w:t>אין לו ליתן השלישות אלא בפני בית דין, ויפרש להם ענין השלישות, שמא יפול ביניהם מחלוקת ואם יוציא השלישות מתחת ידו לא יהיה נאמן אלא כעד אחד</w:t>
      </w:r>
      <w:r w:rsidRPr="001D49D4">
        <w:rPr>
          <w:rFonts w:ascii="Calibri" w:eastAsia="Calibri" w:hAnsi="Calibri" w:cs="Arial"/>
          <w:vertAlign w:val="superscript"/>
          <w:rtl/>
        </w:rPr>
        <w:footnoteReference w:id="4398"/>
      </w:r>
      <w:r w:rsidRPr="001D49D4">
        <w:rPr>
          <w:rFonts w:ascii="Calibri" w:eastAsia="Calibri" w:hAnsi="Calibri" w:cs="Arial"/>
          <w:rtl/>
        </w:rPr>
        <w:t xml:space="preserve">, לפיכך צריך שיכתבו בית דין ויחתמו הענין. </w:t>
      </w:r>
      <w:r w:rsidRPr="001D49D4">
        <w:rPr>
          <w:rFonts w:ascii="Calibri" w:eastAsia="Calibri" w:hAnsi="Calibri" w:cs="Arial"/>
          <w:sz w:val="18"/>
          <w:szCs w:val="18"/>
          <w:rtl/>
        </w:rPr>
        <w:t>הגה: והא דנאמן כעד אחד אע"פ שאין שלישותו בידו, דוקא כששניהם נסתלקו מעליו ואין להם תרעומת עליו, אבל אם יש להם תרעומת עליו בענין השלישות שהיה בידו, הוי נוגע בעדות ואינו נאמן כלל</w:t>
      </w:r>
      <w:r w:rsidRPr="001D49D4">
        <w:rPr>
          <w:rFonts w:ascii="Calibri" w:eastAsia="Calibri" w:hAnsi="Calibri" w:cs="Arial"/>
          <w:sz w:val="18"/>
          <w:szCs w:val="18"/>
          <w:vertAlign w:val="superscript"/>
          <w:rtl/>
        </w:rPr>
        <w:footnoteReference w:id="4399"/>
      </w:r>
      <w:r w:rsidRPr="001D49D4">
        <w:rPr>
          <w:rFonts w:ascii="Calibri" w:eastAsia="Calibri" w:hAnsi="Calibri" w:cs="Arial"/>
          <w:sz w:val="18"/>
          <w:szCs w:val="18"/>
          <w:rtl/>
        </w:rPr>
        <w:t>. וכן אם היה קרוב או פסול</w:t>
      </w:r>
      <w:r w:rsidRPr="001D49D4">
        <w:rPr>
          <w:rFonts w:ascii="Calibri" w:eastAsia="Calibri" w:hAnsi="Calibri" w:cs="Arial"/>
          <w:sz w:val="18"/>
          <w:szCs w:val="18"/>
          <w:vertAlign w:val="superscript"/>
          <w:rtl/>
        </w:rPr>
        <w:footnoteReference w:id="4400"/>
      </w:r>
      <w:r w:rsidRPr="001D49D4">
        <w:rPr>
          <w:rFonts w:ascii="Calibri" w:eastAsia="Calibri" w:hAnsi="Calibri" w:cs="Arial"/>
          <w:sz w:val="18"/>
          <w:szCs w:val="18"/>
          <w:rtl/>
        </w:rPr>
        <w:t xml:space="preserve"> (טור). </w:t>
      </w:r>
    </w:p>
    <w:p w14:paraId="03BD699A" w14:textId="77777777" w:rsidR="001D49D4" w:rsidRPr="001D49D4" w:rsidRDefault="001D49D4" w:rsidP="0004348D">
      <w:pPr>
        <w:spacing w:before="360" w:after="240"/>
        <w:rPr>
          <w:rFonts w:ascii="Calibri" w:eastAsia="Calibri" w:hAnsi="Calibri" w:cs="Arial"/>
          <w:color w:val="FF0000"/>
          <w:rtl/>
        </w:rPr>
      </w:pPr>
    </w:p>
    <w:p w14:paraId="1488F5F1" w14:textId="77777777" w:rsidR="001D49D4" w:rsidRPr="001D49D4" w:rsidRDefault="001D49D4" w:rsidP="0004348D">
      <w:pPr>
        <w:keepNext/>
        <w:keepLines/>
        <w:spacing w:before="360" w:after="240"/>
        <w:outlineLvl w:val="1"/>
        <w:rPr>
          <w:rFonts w:ascii="Cambria" w:eastAsia="Times New Roman" w:hAnsi="Cambria" w:cs="Arial"/>
          <w:bCs/>
          <w:color w:val="548DD4" w:themeColor="text2" w:themeTint="99"/>
          <w:sz w:val="26"/>
          <w:szCs w:val="26"/>
          <w:rtl/>
        </w:rPr>
      </w:pPr>
      <w:bookmarkStart w:id="591" w:name="_Toc24884017"/>
      <w:r w:rsidRPr="001D49D4">
        <w:rPr>
          <w:rFonts w:ascii="Cambria" w:eastAsia="Times New Roman" w:hAnsi="Cambria" w:cs="Arial"/>
          <w:bCs/>
          <w:color w:val="548DD4" w:themeColor="text2" w:themeTint="99"/>
          <w:sz w:val="26"/>
          <w:szCs w:val="26"/>
          <w:rtl/>
        </w:rPr>
        <w:t>סעיף ד: שליש שהוציא שטר והלוה טוען כי הוא מזוייף/פרוע, ואין יכולין לקיים חתימת העדים.</w:t>
      </w:r>
      <w:bookmarkEnd w:id="591"/>
    </w:p>
    <w:p w14:paraId="654FCC7B" w14:textId="77777777" w:rsidR="001D49D4" w:rsidRPr="001D49D4" w:rsidRDefault="001D49D4" w:rsidP="0004348D">
      <w:pPr>
        <w:spacing w:before="360" w:after="240"/>
        <w:rPr>
          <w:rFonts w:ascii="Calibri" w:eastAsia="Calibri" w:hAnsi="Calibri" w:cs="Arial"/>
          <w:u w:val="single"/>
          <w:rtl/>
        </w:rPr>
      </w:pPr>
      <w:r w:rsidRPr="001D49D4">
        <w:rPr>
          <w:rFonts w:ascii="Calibri" w:eastAsia="Calibri" w:hAnsi="Calibri" w:cs="Arial"/>
          <w:u w:val="single"/>
          <w:rtl/>
        </w:rPr>
        <w:t>שליש שהוציא שטר והלוה טוען כי הוא מזוייף/פרוע, ואין יכולין לקיים חתימת העדים:</w:t>
      </w:r>
    </w:p>
    <w:p w14:paraId="416471C9" w14:textId="77777777" w:rsidR="001D49D4" w:rsidRPr="001D49D4" w:rsidRDefault="001D49D4" w:rsidP="0004348D">
      <w:pPr>
        <w:numPr>
          <w:ilvl w:val="0"/>
          <w:numId w:val="308"/>
        </w:numPr>
        <w:spacing w:before="360" w:after="240"/>
        <w:contextualSpacing/>
        <w:rPr>
          <w:rtl/>
        </w:rPr>
      </w:pPr>
      <w:r w:rsidRPr="001D49D4">
        <w:rPr>
          <w:rtl/>
        </w:rPr>
        <w:t xml:space="preserve">בעל התרומות </w:t>
      </w:r>
      <w:r w:rsidRPr="001D49D4">
        <w:rPr>
          <w:sz w:val="16"/>
          <w:szCs w:val="16"/>
          <w:rtl/>
        </w:rPr>
        <w:t>(שער נב ח"ג ס"ח)</w:t>
      </w:r>
      <w:r w:rsidRPr="001D49D4">
        <w:rPr>
          <w:rtl/>
        </w:rPr>
        <w:t xml:space="preserve"> וטור- שטר שיוצא מתחת יד שליש והלוה טוען כי הוא מזוייף או פרוע, ואין יכולין לקיים חתימת העדים, והשליש מעיד כי המלוה והלוה מסרו לו השטר ואמרו לו שכך וכך נשאר עדיין לפרוע משטר זה - אינו נאמן, שאין השליש נאמן בשביל תפיסתו יותר מבעל דבר בעצמו, ואילו היה השטר ביד מלוה כיון שאינו יכול לקיימו אינו כלום, שמודה בשטר שכתבו צריך לקיימו, ואין כח ביד השליש לעשות משטר מזוייף כשר </w:t>
      </w:r>
      <w:r w:rsidRPr="001D49D4">
        <w:rPr>
          <w:sz w:val="16"/>
          <w:szCs w:val="16"/>
          <w:rtl/>
        </w:rPr>
        <w:t>(ל' הטור)</w:t>
      </w:r>
      <w:r w:rsidRPr="001D49D4">
        <w:rPr>
          <w:rtl/>
        </w:rPr>
        <w:t xml:space="preserve">. </w:t>
      </w:r>
      <w:r w:rsidRPr="001D49D4">
        <w:rPr>
          <w:color w:val="E36C0A" w:themeColor="accent6" w:themeShade="BF"/>
          <w:rtl/>
        </w:rPr>
        <w:t>(וכ"פ בשו"ע)</w:t>
      </w:r>
    </w:p>
    <w:p w14:paraId="456E0376" w14:textId="77777777" w:rsidR="001D49D4" w:rsidRPr="001D49D4" w:rsidRDefault="001D49D4" w:rsidP="0004348D">
      <w:pPr>
        <w:spacing w:before="360" w:after="240"/>
        <w:rPr>
          <w:rFonts w:ascii="Arial" w:eastAsia="Calibri" w:hAnsi="Arial" w:cs="Arial"/>
          <w:b/>
          <w:bCs/>
          <w:color w:val="000000"/>
          <w:sz w:val="28"/>
          <w:szCs w:val="28"/>
          <w:u w:val="single"/>
          <w:rtl/>
        </w:rPr>
      </w:pPr>
      <w:r w:rsidRPr="001D49D4">
        <w:rPr>
          <w:rFonts w:ascii="Arial" w:eastAsia="Calibri" w:hAnsi="Arial" w:cs="Arial"/>
          <w:b/>
          <w:bCs/>
          <w:color w:val="000000"/>
          <w:sz w:val="28"/>
          <w:szCs w:val="28"/>
          <w:u w:val="single"/>
          <w:rtl/>
        </w:rPr>
        <w:t>שו"ע:</w:t>
      </w:r>
    </w:p>
    <w:p w14:paraId="28879EBC"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rtl/>
        </w:rPr>
        <w:t>שטר שיוצא מתחת יד שליש, והלוה טוען שהוא מזויף או פרוע</w:t>
      </w:r>
      <w:r w:rsidRPr="001D49D4">
        <w:rPr>
          <w:rFonts w:ascii="Calibri" w:eastAsia="Calibri" w:hAnsi="Calibri" w:cs="Arial"/>
          <w:vertAlign w:val="superscript"/>
          <w:rtl/>
        </w:rPr>
        <w:footnoteReference w:id="4401"/>
      </w:r>
      <w:r w:rsidRPr="001D49D4">
        <w:rPr>
          <w:rFonts w:ascii="Calibri" w:eastAsia="Calibri" w:hAnsi="Calibri" w:cs="Arial"/>
          <w:rtl/>
        </w:rPr>
        <w:t>, אם אין יכולין לקיים חתימת העדים, אף על פי שהשליש מעיד שהמלוה והלוה מסרוהו לו ואמרו לו שכך וכך נשאר עדיין לפרוע משטר זה, אינו נאמן</w:t>
      </w:r>
      <w:r w:rsidRPr="001D49D4">
        <w:rPr>
          <w:rFonts w:ascii="Calibri" w:eastAsia="Calibri" w:hAnsi="Calibri" w:cs="Arial"/>
          <w:vertAlign w:val="superscript"/>
          <w:rtl/>
        </w:rPr>
        <w:footnoteReference w:id="4402"/>
      </w:r>
      <w:r w:rsidRPr="001D49D4">
        <w:rPr>
          <w:rFonts w:ascii="Calibri" w:eastAsia="Calibri" w:hAnsi="Calibri" w:cs="Arial"/>
          <w:rtl/>
        </w:rPr>
        <w:t xml:space="preserve">. </w:t>
      </w:r>
    </w:p>
    <w:p w14:paraId="75E1561B" w14:textId="77777777" w:rsidR="001D49D4" w:rsidRPr="001D49D4" w:rsidRDefault="001D49D4" w:rsidP="0004348D">
      <w:pPr>
        <w:spacing w:before="360" w:after="240"/>
        <w:rPr>
          <w:rFonts w:ascii="Calibri" w:eastAsia="Calibri" w:hAnsi="Calibri" w:cs="Arial"/>
          <w:rtl/>
        </w:rPr>
      </w:pPr>
    </w:p>
    <w:p w14:paraId="60B13268" w14:textId="77777777" w:rsidR="001D49D4" w:rsidRPr="001D49D4" w:rsidRDefault="001D49D4" w:rsidP="0004348D">
      <w:pPr>
        <w:keepNext/>
        <w:keepLines/>
        <w:spacing w:before="360" w:after="240"/>
        <w:outlineLvl w:val="1"/>
        <w:rPr>
          <w:rFonts w:ascii="Cambria" w:eastAsia="Times New Roman" w:hAnsi="Cambria" w:cs="Arial"/>
          <w:bCs/>
          <w:color w:val="548DD4" w:themeColor="text2" w:themeTint="99"/>
          <w:sz w:val="26"/>
          <w:szCs w:val="26"/>
          <w:rtl/>
        </w:rPr>
      </w:pPr>
      <w:bookmarkStart w:id="592" w:name="_Toc24884018"/>
      <w:r w:rsidRPr="001D49D4">
        <w:rPr>
          <w:rFonts w:ascii="Cambria" w:eastAsia="Times New Roman" w:hAnsi="Cambria" w:cs="Arial"/>
          <w:bCs/>
          <w:color w:val="548DD4" w:themeColor="text2" w:themeTint="99"/>
          <w:sz w:val="26"/>
          <w:szCs w:val="26"/>
          <w:rtl/>
        </w:rPr>
        <w:t>סעיף ה: שטר שהושלש ביד שליש ועבר זמן הפרעון וטען הלוה שפרעו בזמנו או שמת הלוה.</w:t>
      </w:r>
      <w:bookmarkEnd w:id="592"/>
    </w:p>
    <w:p w14:paraId="08E7AF81" w14:textId="77777777" w:rsidR="001D49D4" w:rsidRPr="001D49D4" w:rsidRDefault="001D49D4" w:rsidP="0004348D">
      <w:pPr>
        <w:spacing w:before="360" w:after="240"/>
        <w:rPr>
          <w:rFonts w:ascii="Calibri" w:eastAsia="Calibri" w:hAnsi="Calibri" w:cs="Arial"/>
          <w:u w:val="single"/>
          <w:rtl/>
        </w:rPr>
      </w:pPr>
      <w:r w:rsidRPr="001D49D4">
        <w:rPr>
          <w:rFonts w:ascii="Calibri" w:eastAsia="Calibri" w:hAnsi="Calibri" w:cs="Arial"/>
          <w:u w:val="single"/>
          <w:rtl/>
        </w:rPr>
        <w:t>שליש שהושלש שטר בידו לזמן ידוע שיפרענו ביום פלוני ועבר הזמן וטען הלוה שפרעו בזמנו או שמת הלוה:</w:t>
      </w:r>
    </w:p>
    <w:p w14:paraId="3B4494AC" w14:textId="77777777" w:rsidR="001D49D4" w:rsidRPr="001D49D4" w:rsidRDefault="001D49D4" w:rsidP="0004348D">
      <w:pPr>
        <w:numPr>
          <w:ilvl w:val="0"/>
          <w:numId w:val="308"/>
        </w:numPr>
        <w:spacing w:before="360" w:after="240"/>
        <w:contextualSpacing/>
        <w:rPr>
          <w:rtl/>
        </w:rPr>
      </w:pPr>
      <w:r w:rsidRPr="001D49D4">
        <w:rPr>
          <w:rtl/>
        </w:rPr>
        <w:t xml:space="preserve">רי"ף </w:t>
      </w:r>
      <w:r w:rsidRPr="001D49D4">
        <w:rPr>
          <w:sz w:val="16"/>
          <w:szCs w:val="16"/>
          <w:rtl/>
        </w:rPr>
        <w:t>(סי' רכח, כ"כ בשמו בעל התרומות)</w:t>
      </w:r>
      <w:r w:rsidRPr="001D49D4">
        <w:rPr>
          <w:rtl/>
        </w:rPr>
        <w:t xml:space="preserve"> בעל התרומות </w:t>
      </w:r>
      <w:r w:rsidRPr="001D49D4">
        <w:rPr>
          <w:sz w:val="16"/>
          <w:szCs w:val="16"/>
          <w:rtl/>
        </w:rPr>
        <w:t xml:space="preserve">(שער נב שם סי' יא) </w:t>
      </w:r>
      <w:r w:rsidRPr="001D49D4">
        <w:rPr>
          <w:rtl/>
        </w:rPr>
        <w:t>וטור- שליש שהושלש שטר בידו לזמן ידוע שיפרענו ביום פלוני, ועבר הזמן וטען הלוה שפרעו בזמנו או שמת הלוה - הרי הוא בחזקת שאינו פרוע ומחזירו למלוה, שאילו פרעו היה מודיע לשליש בפני המלוה והיה תובע ממנו שטרו ולא היה מניח שטר בידו</w:t>
      </w:r>
      <w:r w:rsidRPr="001D49D4">
        <w:rPr>
          <w:vertAlign w:val="superscript"/>
          <w:rtl/>
        </w:rPr>
        <w:footnoteReference w:id="4403"/>
      </w:r>
      <w:r w:rsidRPr="001D49D4">
        <w:rPr>
          <w:rtl/>
        </w:rPr>
        <w:t>. ואע"פ שהדבר מוכיח שאינו פרוע אם מת הלוה לא יִפַּרָע המלוה אלא בשבועה כדין הבא ליפרע מן היתומים, שאפשר שפרעו ואירעו אונס או ששכח להודיעו לשליש</w:t>
      </w:r>
      <w:r w:rsidRPr="001D49D4">
        <w:rPr>
          <w:vertAlign w:val="superscript"/>
          <w:rtl/>
        </w:rPr>
        <w:footnoteReference w:id="4404"/>
      </w:r>
      <w:r w:rsidRPr="001D49D4">
        <w:rPr>
          <w:sz w:val="16"/>
          <w:szCs w:val="16"/>
          <w:rtl/>
        </w:rPr>
        <w:t xml:space="preserve"> (ל' הטור)</w:t>
      </w:r>
      <w:r w:rsidRPr="001D49D4">
        <w:rPr>
          <w:rtl/>
        </w:rPr>
        <w:t xml:space="preserve">. </w:t>
      </w:r>
      <w:r w:rsidRPr="001D49D4">
        <w:rPr>
          <w:color w:val="E36C0A" w:themeColor="accent6" w:themeShade="BF"/>
          <w:rtl/>
        </w:rPr>
        <w:t>(וכ"פ בשו"ע)</w:t>
      </w:r>
    </w:p>
    <w:p w14:paraId="510855C9" w14:textId="77777777" w:rsidR="001D49D4" w:rsidRPr="001D49D4" w:rsidRDefault="001D49D4" w:rsidP="0004348D">
      <w:pPr>
        <w:spacing w:before="360" w:after="240"/>
        <w:rPr>
          <w:rFonts w:ascii="Calibri" w:eastAsia="Calibri" w:hAnsi="Calibri" w:cs="Arial"/>
          <w:u w:val="single"/>
          <w:rtl/>
        </w:rPr>
      </w:pPr>
      <w:r w:rsidRPr="001D49D4">
        <w:rPr>
          <w:rFonts w:ascii="Calibri" w:eastAsia="Calibri" w:hAnsi="Calibri" w:cs="Arial"/>
          <w:u w:val="single"/>
          <w:rtl/>
        </w:rPr>
        <w:t>התובע לשליש שמסר השטר לשכנגדו והשליש טוען שהשלים שלישותו כמו שנמסר בידו:</w:t>
      </w:r>
    </w:p>
    <w:p w14:paraId="47CFEEEA" w14:textId="77777777" w:rsidR="001D49D4" w:rsidRPr="001D49D4" w:rsidRDefault="001D49D4" w:rsidP="0004348D">
      <w:pPr>
        <w:numPr>
          <w:ilvl w:val="0"/>
          <w:numId w:val="308"/>
        </w:numPr>
        <w:spacing w:before="360" w:after="240"/>
        <w:contextualSpacing/>
        <w:rPr>
          <w:rtl/>
        </w:rPr>
      </w:pPr>
      <w:r w:rsidRPr="001D49D4">
        <w:rPr>
          <w:rtl/>
        </w:rPr>
        <w:t xml:space="preserve">רא"ש </w:t>
      </w:r>
      <w:r w:rsidRPr="001D49D4">
        <w:rPr>
          <w:sz w:val="16"/>
          <w:szCs w:val="16"/>
          <w:rtl/>
        </w:rPr>
        <w:t>(כלל קה סי' ג)</w:t>
      </w:r>
      <w:r w:rsidRPr="001D49D4">
        <w:rPr>
          <w:rtl/>
        </w:rPr>
        <w:t xml:space="preserve">- שליש אחד שאמר שעשה שלישותו, ואחד מן הבעלים אומר שלא עשה כפי מה שהושלש בידו - צריך השליש לישבע, ואם זוכר התנאים שעל מנת כן הושלש בידו צריך לבררן ולישבע שקיים התנאים ההם, ואם אינו זוכרן אלא שטוען שמכל מקום יודע שעשה כפי מה שהושלש בידו ישבע שכדבריו כן הוא. </w:t>
      </w:r>
    </w:p>
    <w:p w14:paraId="0F0D5A42" w14:textId="77777777" w:rsidR="001D49D4" w:rsidRPr="001D49D4" w:rsidRDefault="001D49D4" w:rsidP="0004348D">
      <w:pPr>
        <w:spacing w:before="360" w:after="240"/>
        <w:rPr>
          <w:rFonts w:ascii="Calibri" w:eastAsia="Calibri" w:hAnsi="Calibri" w:cs="Arial"/>
          <w:u w:val="single"/>
        </w:rPr>
      </w:pPr>
      <w:r w:rsidRPr="001D49D4">
        <w:rPr>
          <w:rFonts w:ascii="Calibri" w:eastAsia="Calibri" w:hAnsi="Calibri" w:cs="Arial"/>
          <w:u w:val="single"/>
          <w:rtl/>
        </w:rPr>
        <w:t>שטר שהושלש ע"מ שלא יתננו כל זמן שהנותן קיים ומתו</w:t>
      </w:r>
      <w:r w:rsidRPr="001D49D4">
        <w:rPr>
          <w:rFonts w:ascii="Calibri" w:eastAsia="Calibri" w:hAnsi="Calibri" w:cs="Arial"/>
          <w:sz w:val="16"/>
          <w:szCs w:val="16"/>
          <w:u w:val="single"/>
          <w:rtl/>
        </w:rPr>
        <w:t xml:space="preserve"> (המקבל והנותן)</w:t>
      </w:r>
      <w:r w:rsidRPr="001D49D4">
        <w:rPr>
          <w:rFonts w:ascii="Calibri" w:eastAsia="Calibri" w:hAnsi="Calibri" w:cs="Arial"/>
          <w:u w:val="single"/>
          <w:rtl/>
        </w:rPr>
        <w:t xml:space="preserve"> ותבעו בן המקבל ונמצא מחק באחורי השטר:</w:t>
      </w:r>
    </w:p>
    <w:p w14:paraId="0E4C41E3" w14:textId="77777777" w:rsidR="001D49D4" w:rsidRPr="001D49D4" w:rsidRDefault="001D49D4" w:rsidP="0004348D">
      <w:pPr>
        <w:numPr>
          <w:ilvl w:val="0"/>
          <w:numId w:val="308"/>
        </w:numPr>
        <w:spacing w:before="360" w:after="240"/>
        <w:contextualSpacing/>
        <w:rPr>
          <w:rtl/>
        </w:rPr>
      </w:pPr>
      <w:r w:rsidRPr="001D49D4">
        <w:rPr>
          <w:rtl/>
        </w:rPr>
        <w:t xml:space="preserve">רא"ש </w:t>
      </w:r>
      <w:r w:rsidRPr="001D49D4">
        <w:rPr>
          <w:sz w:val="16"/>
          <w:szCs w:val="16"/>
          <w:rtl/>
        </w:rPr>
        <w:t>(כלל קה סי' ד)</w:t>
      </w:r>
      <w:r w:rsidRPr="001D49D4">
        <w:rPr>
          <w:rtl/>
        </w:rPr>
        <w:t>- וששאלתם לאה שכתבה שטר לראובן בנה באלפים זהובים, והשליש השטר ביד שמעון בתנאי זה שכל זמן שלאה בחיים לא יתן השטר לראובן ואחרי מותה יתן לו השטר. מת ראובן ומתה לאה, ובא לוי בן ראובן ותובע השטר מיד שמעון השליש. ואחי ראובן מוחין בשליש שלא יתן השטר לבן ראובן. והביא השליש השטר לפני ב"ד ומצאו בו מחק מאחורי השטר, ואמר השליש שתנאי השליש היה כתוב מאחורי השטר ולא ידע היאך נמחק. ואמרו אחי ראובן שמא פרעה אמנו השטר או היה בו תנאי אחר. תשובה, הא מילתא דפשיטא היא שיעשה השליש מה שהושלש בידו וימסור השטר לבן ראובן. והמחק שאחורי השטר אינו מגרע תוכו של השטר כלום ולא חיישינן לתנאי אחר שאינו מפורש בתוך השטר. וגם אין שליש מודה בו. ולפרעון נמי לא חיישינן כל זמן שהשטר ביד השליש, ועוד שבימיה לא הגיע זמן הפרעון ולא עביד איניש דפרע בגו זימניה.</w:t>
      </w:r>
    </w:p>
    <w:p w14:paraId="1E8865E0" w14:textId="77777777" w:rsidR="001D49D4" w:rsidRPr="001D49D4" w:rsidRDefault="001D49D4" w:rsidP="0004348D">
      <w:pPr>
        <w:spacing w:before="360" w:after="240"/>
        <w:rPr>
          <w:rFonts w:ascii="Calibri" w:eastAsia="Calibri" w:hAnsi="Calibri" w:cs="Arial"/>
          <w:u w:val="single"/>
        </w:rPr>
      </w:pPr>
      <w:r w:rsidRPr="001D49D4">
        <w:rPr>
          <w:rFonts w:ascii="Calibri" w:eastAsia="Calibri" w:hAnsi="Calibri" w:cs="Arial"/>
          <w:u w:val="single"/>
          <w:rtl/>
        </w:rPr>
        <w:t>חוכרים שהשלישו שטרי חובות ביד שליש וטען א' מהם שאין לחבירו עליו</w:t>
      </w:r>
      <w:r w:rsidRPr="001D49D4">
        <w:rPr>
          <w:rFonts w:ascii="Calibri" w:eastAsia="Calibri" w:hAnsi="Calibri" w:cs="Arial"/>
          <w:sz w:val="16"/>
          <w:szCs w:val="16"/>
          <w:u w:val="single"/>
          <w:rtl/>
        </w:rPr>
        <w:t xml:space="preserve"> (חובות)</w:t>
      </w:r>
      <w:r w:rsidRPr="001D49D4">
        <w:rPr>
          <w:rFonts w:ascii="Calibri" w:eastAsia="Calibri" w:hAnsi="Calibri" w:cs="Arial"/>
          <w:u w:val="single"/>
          <w:rtl/>
        </w:rPr>
        <w:t xml:space="preserve"> אלא אותו שטר בלבד והלה מכחישו:</w:t>
      </w:r>
    </w:p>
    <w:p w14:paraId="71B915FE" w14:textId="77777777" w:rsidR="001D49D4" w:rsidRPr="001D49D4" w:rsidRDefault="001D49D4" w:rsidP="0004348D">
      <w:pPr>
        <w:numPr>
          <w:ilvl w:val="0"/>
          <w:numId w:val="308"/>
        </w:numPr>
        <w:spacing w:before="360" w:after="240"/>
        <w:contextualSpacing/>
        <w:rPr>
          <w:rtl/>
        </w:rPr>
      </w:pPr>
      <w:r w:rsidRPr="001D49D4">
        <w:rPr>
          <w:rtl/>
        </w:rPr>
        <w:t xml:space="preserve">רא"ש </w:t>
      </w:r>
      <w:r w:rsidRPr="001D49D4">
        <w:rPr>
          <w:sz w:val="16"/>
          <w:szCs w:val="16"/>
          <w:rtl/>
        </w:rPr>
        <w:t>(כלל קה סי' ה)</w:t>
      </w:r>
      <w:r w:rsidRPr="001D49D4">
        <w:rPr>
          <w:rtl/>
        </w:rPr>
        <w:t>- שאלה ראובן ושמעון עשו שתי שטרי חובות זה לזה סכום כל שטר מהם אלפים זהובים והשלישו אותם ביד לוי. וזה נוסח השלישות נתחזק שטר חוב באלפים זהובים לראובן על שמעון ונתחזק שטר חוב אחד לשמעון על ראובן באלפים זהובים ונתנו אותם בשלישות ביד לוי על פי התנאים שנכתוב אותם למטה. ואלו הן התנאים שמעון חכר חכירות מהשופט ויש לו לראובן חלק האחד באותה חכירות [ויש לו לראובן ליתן מעות בשביל קרן כפי חלקו שהוא החצי האחד מכל מה שצריך לחבירו]. ויש לו לשמעון ליתן חשבון מזאת החכירות בכל חדש וחדש כשיבקש ממנו ראובן וכל מה שיגיע בחשבון ראובן הן ממעות שנתן הן מריוח החכירות כפי חלקו יש על שמעון לתת לו. ואם היה הפסד בחכירות זו שיתן ראובן חלקו בהפסד כפי מה שמגיע לו לפי חלקו. ואלו השני שטרות הושלשו ביד לוי שכל מי שיעבור ולא ישלים מה שיש עליו להשלים לחברו מאלו הדברים שהזכירו שיתן לוי השני שטרות לשותף השני שמשלים כל מה שהיה לו להשלים כפי מה שהזכרנו. וחתמו ראובן ושמעון על זאת השלישות ונתנו אותה ביד לוי עם השטרות. ועכשיו שמעון החוכר נתן לו ראובן המעות שהיה לו ליתן בשביל הקרן כפי חלקו. ולסוף החכירות בא ראובן זה ותובע משמעון החכירות וטוען ואומר שיש החכירות ריוח וגם מעות שנתן בשביל קרן תובע אותם משמעון ואומר לו תעשה עמי חשבון ותראה כמה הוא ריוח שעלה בחכירות ותן לי החצי ממנו ותן לי גם כן מעותי שנתתי בקרן. ושמעון החוכר אומר לראובן כבר עשינו שלישות והנה הוא ביד לוי אם אשלים לך מוטב ואם לאו השליש יתן לך השטרות ואין לך עמי בכל מה שיש בינינו כי אם שטר החוב שהשלשתי ביד לוי. כי כך קבלנו שנינו שמי שיעבור על אלו הדברים שיתן השליש הב' שטרות לחבירו ומעתה כל חיוב שהייתי יכול להתחייב לך בזאת החכירות הכנסתי אותו בכח אלו השטרות ואין לך עלי יותר מזה. וראובן טוען לא כי אלו השטרות ינתנו לי כשתעבור ולא תשלים הדברים הנזכרים וגם יש לי לקרוא לדין לשליש שיראה השלישות לדיין וממנו יבין שיש לי חלק בחכירות. גם המעות שנתתי לך בשביל קרן והריוח שיגיע לחלקי בחכירות הכל יש לך להחזיר לי וגם השטרות ינתנו לי ואתבע אותם לך כי קנס הוא שקנסת עצמך אם לא תשלים. ואף על פי שינתנו לי השטרות אוציא ממך בדיינים יותר על השטרות כל מה שימצא בחשבון שנתתי בשביל קרן וגם ריוח שיגיע בו כפי חלקי. ושמעון החוכר אומר לא כי אין לך עלי יותר כשתקח השטרות מיד השליש בשביל שלא השלמתי לא נשאר לך חיוב אחר עלי כי כל זכותך וכחך וגם כל זכותי וכחי הכנסנו בשטרות שעשינו והשלשנו ביד לוי. מעתה יורנו רבינו הדין עם מי. תשובה, בענין הדין יש צדדים שהדין משתנה בהם, אם החכירות הוא דבר גדול חמשת אלפים או עשרת אלפים יש לדון דין זה לפי האומד ולפי הנראה. דאם ראובן הוציא מעות מידו בשביל הקרן כפי חלקו יותר מאלפים זהובים היאך יתכן זה שנאמר שהוציא מידו מעות הרבה [ונתרצה לקבל אלפים זהובים ונתרצה לקבל בשביל מעות הרבה] שנתן וגם מחל כל הריוח, ויאמר שמעון אין לך עלי כי אם השטר של אלפים זהובים המונח ביד שליש וכל השאר הקרן מותר על האלפים הוא שלי וגם כל הריוח, ואם יהיה הפסד יאמר שמעון לראובן תפרע חלקך בהפסד או השליש יתן לי השטר של אלפים זהובים, אטו בשופטני עסקינן דזביני בכילא זוטא ומזבני בכילא רבא, אומדנא דמוכח הוא יותר מכל אומדנא שמצינו בגמרא שראובן לא הניח מעותיו על קרן הצבי אלא שהשטרות נעשו לקנס לזרזם שיקיים כל אחד תנאו ואם יעבור אחד מהם על תנאו ויתברר דבר זה לשליש יתן השטרות לשכנגדו, ובשביל זה לא הפסיד עיקר ממונו שיש לו ביד שמעון שהוציא מידו ונתן לו גם הריוח שהרויח. וכן כל דין אסמכתא אזלינן בתר אומדנא דדעתא. אם אוביר ולא אעביד אשלם במיטבא לא הוי אסמכתא, משום דלא גזים ובידו לעשות אמרינן דגמר ומקני. ואם אוביר ולא אעביד אשלם אלפא זוז הוי אסמכתא, דאמדינן דעתיה דהאי לא גמר ומקני כיון דגזים ולא כיון אלא להסמיכו על דבריו. וכן בנדון זה אמדינן דעתיה שלא הוציא מידו ממון רב על מנת לקבל אלפים זהובים ולוותר על כל הריוח ואם יהיה הפסד ישלם. וגם הנדון מוכיח ששמעון חפץ יותר לפרוע לראובן אלפים זהובים ממה שיתן לו הקרן שנתן הוא והריוח שהרויח לכן נראה שחכירות גדולה היתה על כן נראה כמו שכתבתי. אמנם אם חכירות קטנה היתה איפשר שהשטרות היו לקנס ולפרעון, אבל אם חכירות גדולה היתה אז הדין כמו שכתבתי למעלה.</w:t>
      </w:r>
    </w:p>
    <w:p w14:paraId="648DA662" w14:textId="77777777" w:rsidR="001D49D4" w:rsidRPr="001D49D4" w:rsidRDefault="001D49D4" w:rsidP="0004348D">
      <w:pPr>
        <w:spacing w:before="360" w:after="240"/>
        <w:rPr>
          <w:rFonts w:ascii="Calibri" w:eastAsia="Calibri" w:hAnsi="Calibri" w:cs="Arial"/>
          <w:u w:val="single"/>
        </w:rPr>
      </w:pPr>
      <w:r w:rsidRPr="001D49D4">
        <w:rPr>
          <w:rFonts w:ascii="Calibri" w:eastAsia="Calibri" w:hAnsi="Calibri" w:cs="Arial"/>
          <w:u w:val="single"/>
          <w:rtl/>
        </w:rPr>
        <w:t>תנאי שאינו כתוב בשטר השלישות אך השליש טוען שתנאי זה הוא חלק ממה שהושלש בידו:</w:t>
      </w:r>
    </w:p>
    <w:p w14:paraId="2934FA36" w14:textId="77777777" w:rsidR="001D49D4" w:rsidRPr="001D49D4" w:rsidRDefault="001D49D4" w:rsidP="0004348D">
      <w:pPr>
        <w:numPr>
          <w:ilvl w:val="0"/>
          <w:numId w:val="308"/>
        </w:numPr>
        <w:spacing w:before="360" w:after="240"/>
        <w:contextualSpacing/>
      </w:pPr>
      <w:r w:rsidRPr="001D49D4">
        <w:rPr>
          <w:rtl/>
        </w:rPr>
        <w:t xml:space="preserve">רשב"א </w:t>
      </w:r>
      <w:r w:rsidRPr="001D49D4">
        <w:rPr>
          <w:sz w:val="16"/>
          <w:szCs w:val="16"/>
          <w:rtl/>
        </w:rPr>
        <w:t>(ח"ד סי' נז)</w:t>
      </w:r>
      <w:r w:rsidRPr="001D49D4">
        <w:rPr>
          <w:rtl/>
        </w:rPr>
        <w:t xml:space="preserve">- מסתברא שהשליש נאמן, שאין שטר השלישות מכחיש את דברי השליש, שלא שלל לשון השלישות תנאי נישואי לאה אלא שלא נכתב בשטר השלישות אלא מקצת התנאים, והוא אם יגיע הזמן ולא ישלימו זה לזה התנאים שיהא על השליש להחזיר שטרי המסרב לחבירו ואע"פ שלא תנשא לאה לבעל, ואינו מוציא מכלל זה תנאי הנשואין, ואלו היינו אומרים ובאים מצד תנאי השלישות לבד, וכגון שלא אמר השליש כלום, באמת לא היינו מחייבים את השליש לעשות יותר ממה שכתוב בשטר השלישות. אבל אם השליש טוען בריא שע"י תנאי זה נמסר בידו – נאמן, לפי שאין לשון שטר השלישות שולל תנאי נשואי לאה אלא אפשר שישנו מוסיף על מה שנכתב ושליש נאמן. ומ"מ אם לא נזכר בשלישות 'מעכשיו בשעה שנמסר בידו' מסתברא לי שיש כאן משום אסמכתא בהחזרת השטרות, לפי ש-'מעכשיו' הכתוב בשטר אינו מועיל להחזרת השטר, ותדע לך שהרי מי שפרע מקצת חובו והשליש את שטרו דקיי"ל </w:t>
      </w:r>
      <w:r w:rsidRPr="001D49D4">
        <w:rPr>
          <w:sz w:val="16"/>
          <w:szCs w:val="16"/>
          <w:rtl/>
        </w:rPr>
        <w:t xml:space="preserve">(ב"ב קסח.) </w:t>
      </w:r>
      <w:r w:rsidRPr="001D49D4">
        <w:rPr>
          <w:rtl/>
        </w:rPr>
        <w:t>כמאן דאמר לא יחזיר ומשום אסמכתא ואע"פ שיש בשטר החוב מעכשיו, וזכורני שדנתי כן זה זמן רב לפני הרמב"ן.</w:t>
      </w:r>
    </w:p>
    <w:p w14:paraId="706F9FB6" w14:textId="77777777" w:rsidR="001D49D4" w:rsidRPr="001D49D4" w:rsidRDefault="001D49D4" w:rsidP="0004348D">
      <w:pPr>
        <w:spacing w:before="360" w:after="240"/>
        <w:rPr>
          <w:rFonts w:ascii="Calibri" w:eastAsia="Calibri" w:hAnsi="Calibri" w:cs="Arial"/>
        </w:rPr>
      </w:pPr>
      <w:r w:rsidRPr="001D49D4">
        <w:rPr>
          <w:rFonts w:ascii="Calibri" w:eastAsia="Calibri" w:hAnsi="Calibri" w:cs="Arial"/>
          <w:b/>
          <w:bCs/>
          <w:rtl/>
        </w:rPr>
        <w:t xml:space="preserve">בבא בתרא </w:t>
      </w:r>
      <w:r w:rsidRPr="001D49D4">
        <w:rPr>
          <w:rFonts w:ascii="Calibri" w:eastAsia="Calibri" w:hAnsi="Calibri" w:cs="Arial"/>
          <w:b/>
          <w:bCs/>
          <w:sz w:val="14"/>
          <w:szCs w:val="14"/>
          <w:rtl/>
        </w:rPr>
        <w:t xml:space="preserve">(פרק יש נוחלין) </w:t>
      </w:r>
      <w:r w:rsidRPr="001D49D4">
        <w:rPr>
          <w:rFonts w:ascii="Calibri" w:eastAsia="Calibri" w:hAnsi="Calibri" w:cs="Arial"/>
          <w:b/>
          <w:bCs/>
          <w:rtl/>
        </w:rPr>
        <w:t>קלה</w:t>
      </w:r>
      <w:r w:rsidRPr="001D49D4">
        <w:rPr>
          <w:rFonts w:ascii="Calibri" w:eastAsia="Calibri" w:hAnsi="Calibri" w:cs="Arial"/>
          <w:b/>
          <w:bCs/>
          <w:vertAlign w:val="superscript"/>
          <w:rtl/>
        </w:rPr>
        <w:footnoteReference w:id="4405"/>
      </w:r>
      <w:r w:rsidRPr="001D49D4">
        <w:rPr>
          <w:rFonts w:ascii="Calibri" w:eastAsia="Calibri" w:hAnsi="Calibri" w:cs="Arial"/>
          <w:b/>
          <w:bCs/>
          <w:rtl/>
        </w:rPr>
        <w:t xml:space="preserve"> ע"ב: </w:t>
      </w:r>
      <w:r w:rsidRPr="001D49D4">
        <w:rPr>
          <w:rFonts w:ascii="Calibri" w:eastAsia="Calibri" w:hAnsi="Calibri" w:cs="Arial"/>
          <w:u w:val="double"/>
          <w:rtl/>
        </w:rPr>
        <w:t>מתני'</w:t>
      </w:r>
      <w:r w:rsidRPr="001D49D4">
        <w:rPr>
          <w:rFonts w:ascii="Calibri" w:eastAsia="Calibri" w:hAnsi="Calibri" w:cs="Arial"/>
          <w:rtl/>
        </w:rPr>
        <w:t xml:space="preserve">: מי שמת ונמצאת דייתיקי קשורה על יריכו - הרי זו אינה כלום. </w:t>
      </w:r>
      <w:r w:rsidRPr="001D49D4">
        <w:rPr>
          <w:rFonts w:ascii="Calibri" w:eastAsia="Calibri" w:hAnsi="Calibri" w:cs="Arial"/>
          <w:sz w:val="16"/>
          <w:szCs w:val="16"/>
          <w:rtl/>
        </w:rPr>
        <w:t>(ופירשה הרמב"ם במתנה בעדים וקנין שכתב בפ"ט מהלכות זכיה (הל' כד-כו) וז"ל- מי שמת ונמצא מתנה קשורה על ירכו, אע"פ שהיא בעדים וקנו מידו ליפות כח אלו שנתן להם - הרי זו אינה כלום, שאני אומר כתבה ונמלך... וכן מי שכתב שטר חוב על עצמו בשם אחר, או בשם אחד מבניו או מן היורשין ונתן השטר על יד שליש ואמר לו יהיה זה אצלך, ולא פירש לו כלום, או שאמר לו הנח עד שאומר לך מה תעשה ומת, הרי זו אינה כלום. עכ"ל הרמב"ם. נמצא לפי דבריו שכל שטרי חוב אפילו בקנין אחר שהיה אצל הלוה או ביד שליש שמחזיק בו עד שלא פירש לו רצונו - הרי זה השטר אינה כלום. גם מצאתי שנשאל ה"ר יצחק (שו"ת רי"ף סי' קפג) על ראובן שכתב שטר חוב על עצמו לאחיו באלף זוז ונתן השטר ביד לוי בתורת פקדון שלא בפני אחיו ומת ראובן והשיב כיון שלא אמר ראובן ללוי תן שטר זה לאחי הרי הוא כאילו לא יצא מרשותו ודומה למה שאמרו רבותינו מי שמת ונמצא דיאתיקי קשורה על יריכו אינה כלום. וע"ש עוד, ב"י)</w:t>
      </w:r>
    </w:p>
    <w:p w14:paraId="054F0EDE" w14:textId="77777777" w:rsidR="001D49D4" w:rsidRPr="001D49D4" w:rsidRDefault="001D49D4" w:rsidP="0004348D">
      <w:pPr>
        <w:spacing w:before="360" w:after="240"/>
        <w:rPr>
          <w:rFonts w:ascii="Calibri" w:eastAsia="Calibri" w:hAnsi="Calibri" w:cs="Arial"/>
          <w:u w:val="single"/>
          <w:rtl/>
        </w:rPr>
      </w:pPr>
      <w:r w:rsidRPr="001D49D4">
        <w:rPr>
          <w:rFonts w:ascii="Calibri" w:eastAsia="Calibri" w:hAnsi="Calibri" w:cs="Arial"/>
          <w:u w:val="single"/>
          <w:rtl/>
        </w:rPr>
        <w:t xml:space="preserve">אחד חייב עצמו בשטר </w:t>
      </w:r>
      <w:r w:rsidRPr="001D49D4">
        <w:rPr>
          <w:rFonts w:ascii="Calibri" w:eastAsia="Calibri" w:hAnsi="Calibri" w:cs="Arial"/>
          <w:b/>
          <w:bCs/>
          <w:u w:val="single"/>
          <w:rtl/>
        </w:rPr>
        <w:t>בקנין</w:t>
      </w:r>
      <w:r w:rsidRPr="001D49D4">
        <w:rPr>
          <w:rFonts w:ascii="Calibri" w:eastAsia="Calibri" w:hAnsi="Calibri" w:cs="Arial"/>
          <w:u w:val="single"/>
          <w:rtl/>
        </w:rPr>
        <w:t xml:space="preserve"> לחבירו והפקידו החייב ביד אחר בסתם </w:t>
      </w:r>
      <w:r w:rsidRPr="001D49D4">
        <w:rPr>
          <w:rFonts w:ascii="Calibri" w:eastAsia="Calibri" w:hAnsi="Calibri" w:cs="Arial"/>
          <w:sz w:val="16"/>
          <w:szCs w:val="16"/>
          <w:u w:val="single"/>
          <w:rtl/>
        </w:rPr>
        <w:t>(שלא פירש לו באיזה ענין מוסרו לידו)</w:t>
      </w:r>
      <w:r w:rsidRPr="001D49D4">
        <w:rPr>
          <w:rFonts w:ascii="Calibri" w:eastAsia="Calibri" w:hAnsi="Calibri" w:cs="Arial"/>
          <w:u w:val="single"/>
          <w:rtl/>
        </w:rPr>
        <w:t xml:space="preserve"> ומת המפקיד:</w:t>
      </w:r>
    </w:p>
    <w:p w14:paraId="44FA16F7" w14:textId="77777777" w:rsidR="001D49D4" w:rsidRPr="001D49D4" w:rsidRDefault="001D49D4" w:rsidP="0004348D">
      <w:pPr>
        <w:numPr>
          <w:ilvl w:val="0"/>
          <w:numId w:val="308"/>
        </w:numPr>
        <w:spacing w:before="360" w:after="240"/>
        <w:contextualSpacing/>
      </w:pPr>
      <w:r w:rsidRPr="001D49D4">
        <w:rPr>
          <w:rtl/>
        </w:rPr>
        <w:t xml:space="preserve">בעל התרומות </w:t>
      </w:r>
      <w:r w:rsidRPr="001D49D4">
        <w:rPr>
          <w:sz w:val="16"/>
          <w:szCs w:val="16"/>
          <w:rtl/>
        </w:rPr>
        <w:t>(שער נב ח"ד סי' א)</w:t>
      </w:r>
      <w:r w:rsidRPr="001D49D4">
        <w:rPr>
          <w:rtl/>
        </w:rPr>
        <w:t xml:space="preserve"> וטור- מי שחייב עצמו בשטר בקנין לחבירו, והפקידו החייב ביד אחר בסתם ולא פירש לו באיזה ענין מוסרו לידו, ומת המפקיד - הרי זה לא יתננו למלוה</w:t>
      </w:r>
      <w:r w:rsidRPr="001D49D4">
        <w:rPr>
          <w:vertAlign w:val="superscript"/>
          <w:rtl/>
        </w:rPr>
        <w:footnoteReference w:id="4406"/>
      </w:r>
      <w:r w:rsidRPr="001D49D4">
        <w:rPr>
          <w:rtl/>
        </w:rPr>
        <w:t xml:space="preserve">. משני טעמים, האחד - שמא לוה בו ופרע לפיכך נמצא בידו של החייב והפקידו החייב אצל זה. והשני - שמא לא לוה בו מעולם והתנה על העדים שקנו מידו שיתנו השטר לידו ולא ליד המלוה, שלא זכה בו המלוה לענין שיעידו בו העדים עד שיצא מתחת יד המתחייב. וגם לא יחזירנו ליד יורשי הלוה, שמא אמר לעדים בסתם 'קנו ממני לפלוני וכתבו השטר', או שמא אמר בפירוש 'וכתבו לו השטר' ונמצא שזכה המלוה בהיותו ביד העדים ואפשר שטעו ומסרוהו ללוה שלא כדין </w:t>
      </w:r>
      <w:r w:rsidRPr="001D49D4">
        <w:rPr>
          <w:sz w:val="16"/>
          <w:szCs w:val="16"/>
          <w:rtl/>
        </w:rPr>
        <w:t>(ל' הטור)</w:t>
      </w:r>
      <w:r w:rsidRPr="001D49D4">
        <w:rPr>
          <w:rtl/>
        </w:rPr>
        <w:t xml:space="preserve">. </w:t>
      </w:r>
      <w:r w:rsidRPr="001D49D4">
        <w:rPr>
          <w:color w:val="E36C0A" w:themeColor="accent6" w:themeShade="BF"/>
          <w:rtl/>
        </w:rPr>
        <w:t>(וכ"פ בשו"ע)</w:t>
      </w:r>
    </w:p>
    <w:p w14:paraId="494FE409" w14:textId="77777777" w:rsidR="001D49D4" w:rsidRPr="001D49D4" w:rsidRDefault="001D49D4" w:rsidP="0004348D">
      <w:pPr>
        <w:spacing w:before="360" w:after="240"/>
        <w:rPr>
          <w:rFonts w:ascii="Arial" w:eastAsia="Calibri" w:hAnsi="Arial" w:cs="Arial"/>
          <w:b/>
          <w:bCs/>
          <w:color w:val="000000"/>
          <w:sz w:val="28"/>
          <w:szCs w:val="28"/>
          <w:u w:val="single"/>
          <w:rtl/>
        </w:rPr>
      </w:pPr>
      <w:r w:rsidRPr="001D49D4">
        <w:rPr>
          <w:rFonts w:ascii="Arial" w:eastAsia="Calibri" w:hAnsi="Arial" w:cs="Arial"/>
          <w:b/>
          <w:bCs/>
          <w:color w:val="000000"/>
          <w:sz w:val="28"/>
          <w:szCs w:val="28"/>
          <w:u w:val="single"/>
          <w:rtl/>
        </w:rPr>
        <w:t>שו"ע:</w:t>
      </w:r>
    </w:p>
    <w:p w14:paraId="18EC131A"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rtl/>
        </w:rPr>
        <w:t>שליש שהושלש שטר בידו שיפרענו ביום פלוני, ועבר הזמן, וטוען הלוה שפרעו בזמנו, או שמת הלוה</w:t>
      </w:r>
      <w:r w:rsidRPr="001D49D4">
        <w:rPr>
          <w:rFonts w:ascii="Calibri" w:eastAsia="Calibri" w:hAnsi="Calibri" w:cs="Arial"/>
          <w:vertAlign w:val="superscript"/>
          <w:rtl/>
        </w:rPr>
        <w:footnoteReference w:id="4407"/>
      </w:r>
      <w:r w:rsidRPr="001D49D4">
        <w:rPr>
          <w:rFonts w:ascii="Calibri" w:eastAsia="Calibri" w:hAnsi="Calibri" w:cs="Arial"/>
          <w:rtl/>
        </w:rPr>
        <w:t>, הרי הוא בחזקת שאינו פרוע</w:t>
      </w:r>
      <w:r w:rsidRPr="001D49D4">
        <w:rPr>
          <w:rFonts w:ascii="Calibri" w:eastAsia="Calibri" w:hAnsi="Calibri" w:cs="Arial"/>
          <w:vertAlign w:val="superscript"/>
          <w:rtl/>
        </w:rPr>
        <w:footnoteReference w:id="4408"/>
      </w:r>
      <w:r w:rsidRPr="001D49D4">
        <w:rPr>
          <w:rFonts w:ascii="Calibri" w:eastAsia="Calibri" w:hAnsi="Calibri" w:cs="Arial"/>
          <w:rtl/>
        </w:rPr>
        <w:t xml:space="preserve"> ומחזירו למלוה. ואם מת הלוה, לא יפרע אלא בשבועה</w:t>
      </w:r>
      <w:r w:rsidRPr="001D49D4">
        <w:rPr>
          <w:rFonts w:ascii="Calibri" w:eastAsia="Calibri" w:hAnsi="Calibri" w:cs="Arial"/>
          <w:vertAlign w:val="superscript"/>
          <w:rtl/>
        </w:rPr>
        <w:footnoteReference w:id="4409"/>
      </w:r>
      <w:r w:rsidRPr="001D49D4">
        <w:rPr>
          <w:rFonts w:ascii="Calibri" w:eastAsia="Calibri" w:hAnsi="Calibri" w:cs="Arial"/>
          <w:rtl/>
        </w:rPr>
        <w:t>, כדין הבא ליפרע מן היתומים. מי שחייב עצמו בשטר בקנין</w:t>
      </w:r>
      <w:r w:rsidRPr="001D49D4">
        <w:rPr>
          <w:rFonts w:ascii="Calibri" w:eastAsia="Calibri" w:hAnsi="Calibri" w:cs="Arial"/>
          <w:vertAlign w:val="superscript"/>
          <w:rtl/>
        </w:rPr>
        <w:footnoteReference w:id="4410"/>
      </w:r>
      <w:r w:rsidRPr="001D49D4">
        <w:rPr>
          <w:rFonts w:ascii="Calibri" w:eastAsia="Calibri" w:hAnsi="Calibri" w:cs="Arial"/>
          <w:rtl/>
        </w:rPr>
        <w:t xml:space="preserve"> לחבירו, והפקידו החייב ביד אחר בסתם, ומת המפקיד, הרי זה לא יתננו למלוה</w:t>
      </w:r>
      <w:r w:rsidRPr="001D49D4">
        <w:rPr>
          <w:rFonts w:ascii="Calibri" w:eastAsia="Calibri" w:hAnsi="Calibri" w:cs="Arial"/>
          <w:vertAlign w:val="superscript"/>
          <w:rtl/>
        </w:rPr>
        <w:footnoteReference w:id="4411"/>
      </w:r>
      <w:r w:rsidRPr="001D49D4">
        <w:rPr>
          <w:rFonts w:ascii="Calibri" w:eastAsia="Calibri" w:hAnsi="Calibri" w:cs="Arial"/>
          <w:rtl/>
        </w:rPr>
        <w:t xml:space="preserve"> וגם לא יחזירנו ליורשי לוה.</w:t>
      </w:r>
    </w:p>
    <w:p w14:paraId="33A57A27" w14:textId="77777777" w:rsidR="001D49D4" w:rsidRPr="001D49D4" w:rsidRDefault="001D49D4" w:rsidP="0004348D">
      <w:pPr>
        <w:spacing w:before="360" w:after="240"/>
        <w:rPr>
          <w:rFonts w:ascii="Calibri" w:eastAsia="Calibri" w:hAnsi="Calibri" w:cs="Arial"/>
          <w:rtl/>
        </w:rPr>
      </w:pPr>
    </w:p>
    <w:p w14:paraId="6E4BFC5D" w14:textId="77777777" w:rsidR="001D49D4" w:rsidRPr="001D49D4" w:rsidRDefault="001D49D4" w:rsidP="0004348D">
      <w:pPr>
        <w:keepNext/>
        <w:keepLines/>
        <w:spacing w:before="360" w:after="240"/>
        <w:outlineLvl w:val="1"/>
        <w:rPr>
          <w:rFonts w:ascii="Cambria" w:eastAsia="Times New Roman" w:hAnsi="Cambria" w:cs="Arial"/>
          <w:bCs/>
          <w:color w:val="548DD4" w:themeColor="text2" w:themeTint="99"/>
          <w:sz w:val="26"/>
          <w:szCs w:val="26"/>
          <w:rtl/>
        </w:rPr>
      </w:pPr>
      <w:bookmarkStart w:id="593" w:name="_Toc24884019"/>
      <w:r w:rsidRPr="001D49D4">
        <w:rPr>
          <w:rFonts w:ascii="Cambria" w:eastAsia="Times New Roman" w:hAnsi="Cambria" w:cs="Arial"/>
          <w:bCs/>
          <w:color w:val="548DD4" w:themeColor="text2" w:themeTint="99"/>
          <w:sz w:val="26"/>
          <w:szCs w:val="26"/>
          <w:rtl/>
        </w:rPr>
        <w:t>סעיף ו: שליש הנעשה ע"י שליח ואח"כ בא המלוה והכחיש השליחות.</w:t>
      </w:r>
      <w:bookmarkEnd w:id="593"/>
    </w:p>
    <w:p w14:paraId="741D5F96" w14:textId="77777777" w:rsidR="001D49D4" w:rsidRPr="001D49D4" w:rsidRDefault="001D49D4" w:rsidP="0004348D">
      <w:pPr>
        <w:spacing w:before="360" w:after="240"/>
        <w:rPr>
          <w:rFonts w:ascii="Calibri" w:eastAsia="Calibri" w:hAnsi="Calibri" w:cs="Arial"/>
          <w:u w:val="single"/>
          <w:rtl/>
        </w:rPr>
      </w:pPr>
      <w:r w:rsidRPr="001D49D4">
        <w:rPr>
          <w:rFonts w:ascii="Calibri" w:eastAsia="Calibri" w:hAnsi="Calibri" w:cs="Arial"/>
          <w:u w:val="single"/>
          <w:rtl/>
        </w:rPr>
        <w:t>השליש יעשה תמיד כפי מה שהושלש בידו אע"פ שיש לאחד אח"כ טענה בדבר:</w:t>
      </w:r>
    </w:p>
    <w:p w14:paraId="25E8FB99" w14:textId="77777777" w:rsidR="001D49D4" w:rsidRPr="001D49D4" w:rsidRDefault="001D49D4" w:rsidP="0004348D">
      <w:pPr>
        <w:numPr>
          <w:ilvl w:val="0"/>
          <w:numId w:val="308"/>
        </w:numPr>
        <w:spacing w:before="360" w:after="240"/>
        <w:contextualSpacing/>
      </w:pPr>
      <w:r w:rsidRPr="001D49D4">
        <w:rPr>
          <w:rtl/>
        </w:rPr>
        <w:t xml:space="preserve">רא"ש </w:t>
      </w:r>
      <w:r w:rsidRPr="001D49D4">
        <w:rPr>
          <w:sz w:val="16"/>
          <w:szCs w:val="16"/>
          <w:rtl/>
        </w:rPr>
        <w:t>(כלל קה סי' ו)</w:t>
      </w:r>
      <w:r w:rsidRPr="001D49D4">
        <w:rPr>
          <w:rtl/>
        </w:rPr>
        <w:t xml:space="preserve"> וטור- שאלת, ראובן שהיה לו שטר על שמעון, ונתפשר ביניהם שיפרענו לזמנים ידועים, ועשה שמעון שטר עליו מת"ק זהובים ונתנו ליד נאמן בתנאי שאם יעבור אחד מהזמנים שקבע לפרוע ולא יפרע שיתן השטר לראובן, ועברו הזמנים ולא פרע שמעון וראובן תובע שטרו. תשובה, הנאמן ישלים נאמנותו ויתן השטר לראובן כמו שהושלש בידו, אבל קודם שיתן השטר לידו יעתיקנו ויקיימנו בעדים ויאמר לפני העדים היאך בא השטר לידו ושהוא צריך לקיים שלישותו, ויכתבו ויחתמו העדים כל הדברים ויתנום ביד השליש, והשליש יתן כתב העדים וחתימתן לשמעון, וכשיתבע ראובן את שמעון לדין לגבות ממנו השטר יטעון כל זכותו, אבל השליש יקיים שלישותו ואין לו לטעון בשביל שמעון ושמעון יטעון בעצמו מה שירצה</w:t>
      </w:r>
      <w:r w:rsidRPr="001D49D4">
        <w:rPr>
          <w:sz w:val="16"/>
          <w:szCs w:val="16"/>
          <w:rtl/>
        </w:rPr>
        <w:t xml:space="preserve"> (ל' הטור בשם הרא"ש)</w:t>
      </w:r>
      <w:r w:rsidRPr="001D49D4">
        <w:rPr>
          <w:rtl/>
        </w:rPr>
        <w:t>.</w:t>
      </w:r>
      <w:r w:rsidRPr="001D49D4">
        <w:rPr>
          <w:color w:val="00B0F0"/>
          <w:rtl/>
        </w:rPr>
        <w:t xml:space="preserve"> (וכ"פ הרמ"א)</w:t>
      </w:r>
    </w:p>
    <w:p w14:paraId="7608EB07" w14:textId="77777777" w:rsidR="001D49D4" w:rsidRPr="001D49D4" w:rsidRDefault="001D49D4" w:rsidP="0004348D">
      <w:pPr>
        <w:spacing w:before="360" w:after="240"/>
        <w:rPr>
          <w:rFonts w:ascii="Calibri" w:eastAsia="Calibri" w:hAnsi="Calibri" w:cs="Arial"/>
          <w:u w:val="single"/>
        </w:rPr>
      </w:pPr>
      <w:r w:rsidRPr="001D49D4">
        <w:rPr>
          <w:rFonts w:ascii="Calibri" w:eastAsia="Calibri" w:hAnsi="Calibri" w:cs="Arial"/>
          <w:u w:val="single"/>
          <w:rtl/>
        </w:rPr>
        <w:t>שליש שהחזיר את השטר – האם יש לחוש שהחזיר שלא כדין משום שאינו בקי בדיני אסמכתא:</w:t>
      </w:r>
    </w:p>
    <w:p w14:paraId="4F2D7290" w14:textId="77777777" w:rsidR="001D49D4" w:rsidRPr="001D49D4" w:rsidRDefault="001D49D4" w:rsidP="0004348D">
      <w:pPr>
        <w:numPr>
          <w:ilvl w:val="0"/>
          <w:numId w:val="308"/>
        </w:numPr>
        <w:spacing w:before="360" w:after="240"/>
        <w:contextualSpacing/>
        <w:rPr>
          <w:rtl/>
        </w:rPr>
      </w:pPr>
      <w:r w:rsidRPr="001D49D4">
        <w:rPr>
          <w:rtl/>
        </w:rPr>
        <w:t xml:space="preserve">רשב"א </w:t>
      </w:r>
      <w:r w:rsidRPr="001D49D4">
        <w:rPr>
          <w:sz w:val="16"/>
          <w:szCs w:val="16"/>
          <w:rtl/>
        </w:rPr>
        <w:t>(סי' תתקיו)</w:t>
      </w:r>
      <w:r w:rsidRPr="001D49D4">
        <w:rPr>
          <w:rtl/>
        </w:rPr>
        <w:t xml:space="preserve">- אין לומר שאין סומכין על חזרת השליש דחוששין שמא השליש אינו בקי בדיני אסמכתא ואינו יודע שאינו רשאי להחזירו, דבהכי ליכא למיחש אלא במקום דאתי לאתרעא רעותא. </w:t>
      </w:r>
      <w:r w:rsidRPr="001D49D4">
        <w:rPr>
          <w:color w:val="00B0F0"/>
          <w:rtl/>
        </w:rPr>
        <w:t>(וכ"פ הרמ"א)</w:t>
      </w:r>
    </w:p>
    <w:p w14:paraId="1D90E471" w14:textId="77777777" w:rsidR="001D49D4" w:rsidRPr="001D49D4" w:rsidRDefault="001D49D4" w:rsidP="0004348D">
      <w:pPr>
        <w:spacing w:before="360" w:after="240"/>
        <w:rPr>
          <w:rFonts w:ascii="Calibri" w:eastAsia="Calibri" w:hAnsi="Calibri" w:cs="Arial"/>
          <w:u w:val="single"/>
        </w:rPr>
      </w:pPr>
      <w:r w:rsidRPr="001D49D4">
        <w:rPr>
          <w:rFonts w:ascii="Calibri" w:eastAsia="Calibri" w:hAnsi="Calibri" w:cs="Arial"/>
          <w:u w:val="single"/>
          <w:rtl/>
        </w:rPr>
        <w:t>שליש הנעשה ע"י שליח – ואח"כ בא המלוה והכחיש השליחות:</w:t>
      </w:r>
    </w:p>
    <w:p w14:paraId="5A988CA1" w14:textId="77777777" w:rsidR="001D49D4" w:rsidRPr="001D49D4" w:rsidRDefault="001D49D4" w:rsidP="0004348D">
      <w:pPr>
        <w:numPr>
          <w:ilvl w:val="0"/>
          <w:numId w:val="308"/>
        </w:numPr>
        <w:spacing w:before="360" w:after="240"/>
        <w:contextualSpacing/>
        <w:rPr>
          <w:rtl/>
        </w:rPr>
      </w:pPr>
      <w:r w:rsidRPr="001D49D4">
        <w:rPr>
          <w:rtl/>
        </w:rPr>
        <w:t xml:space="preserve">רמב"ן </w:t>
      </w:r>
      <w:r w:rsidRPr="001D49D4">
        <w:rPr>
          <w:sz w:val="16"/>
          <w:szCs w:val="16"/>
          <w:rtl/>
        </w:rPr>
        <w:t xml:space="preserve">(סי' נט, כ"כ בעל התרומות [שם] בשמו) </w:t>
      </w:r>
      <w:r w:rsidRPr="001D49D4">
        <w:rPr>
          <w:rtl/>
        </w:rPr>
        <w:t xml:space="preserve">בעל התרומות </w:t>
      </w:r>
      <w:r w:rsidRPr="001D49D4">
        <w:rPr>
          <w:sz w:val="16"/>
          <w:szCs w:val="16"/>
          <w:rtl/>
        </w:rPr>
        <w:t xml:space="preserve">(שער נב ח"ג סי' ט) </w:t>
      </w:r>
      <w:r w:rsidRPr="001D49D4">
        <w:rPr>
          <w:rtl/>
        </w:rPr>
        <w:t xml:space="preserve">וטור- שליש הנעשה ע"י שליח, כגון שבא הלוה עם אחר שבידו משכון או שטר, ואמר לזה 'המלוה עשאני שליח להביא אליך משכון או שטר זה למוסרו בידך על ענין כך וכך', וקבלו השליש מיד השליח בתנאי כך וכך. ואח"כ בא המלוה והכחיש השליחות ואמר שלא עשאו שליח לדבר זה מעולם אלא שלא מדעתי נכנס לביתי ולקחו, וכיון שאתה יודע שהשטר שלי ואני לא עשיתיך שליש עליו אלא שפלוני גזלו ממני וכחש לך על שמי תחזיר לי שלי, כזה כתב הרמב"ן - יעשה שליש מה שאמר לו השליח, שהרי השליש נאמן שכך אמר לו השליח, והשליח נאמן בשעה שיצא השטר או המשכון מתחת ידו, במיגו שאם היה רוצה היה אומר הושלש בידי על תנאי כך וכך. </w:t>
      </w:r>
      <w:r w:rsidRPr="001D49D4">
        <w:rPr>
          <w:color w:val="E36C0A" w:themeColor="accent6" w:themeShade="BF"/>
          <w:rtl/>
        </w:rPr>
        <w:t>(וכ"פ בשו"ע)</w:t>
      </w:r>
    </w:p>
    <w:p w14:paraId="2957E491" w14:textId="77777777" w:rsidR="001D49D4" w:rsidRPr="001D49D4" w:rsidRDefault="001D49D4" w:rsidP="0004348D">
      <w:pPr>
        <w:spacing w:before="360" w:after="240"/>
        <w:rPr>
          <w:rFonts w:ascii="Calibri" w:eastAsia="Calibri" w:hAnsi="Calibri" w:cs="Arial"/>
          <w:u w:val="single"/>
        </w:rPr>
      </w:pPr>
      <w:r w:rsidRPr="001D49D4">
        <w:rPr>
          <w:rFonts w:ascii="Calibri" w:eastAsia="Calibri" w:hAnsi="Calibri" w:cs="Arial"/>
          <w:u w:val="single"/>
          <w:rtl/>
        </w:rPr>
        <w:t>ב' שלישים, ואחד מבעלי הדין מכחיש אותם בפרטי השלישות:</w:t>
      </w:r>
    </w:p>
    <w:p w14:paraId="2BE84D9E" w14:textId="77777777" w:rsidR="001D49D4" w:rsidRPr="001D49D4" w:rsidRDefault="001D49D4" w:rsidP="0004348D">
      <w:pPr>
        <w:numPr>
          <w:ilvl w:val="0"/>
          <w:numId w:val="308"/>
        </w:numPr>
        <w:spacing w:before="360" w:after="240"/>
        <w:contextualSpacing/>
        <w:rPr>
          <w:u w:val="single"/>
        </w:rPr>
      </w:pPr>
      <w:r w:rsidRPr="001D49D4">
        <w:rPr>
          <w:rtl/>
        </w:rPr>
        <w:t xml:space="preserve">מהרי"ל </w:t>
      </w:r>
      <w:r w:rsidRPr="001D49D4">
        <w:rPr>
          <w:sz w:val="16"/>
          <w:szCs w:val="16"/>
          <w:rtl/>
        </w:rPr>
        <w:t>(סי' לז, הביאו הב"י ביו"ד סי' קס סי"ט, והביא כאן הב"י את דבריו בקיצור)</w:t>
      </w:r>
      <w:r w:rsidRPr="001D49D4">
        <w:rPr>
          <w:rtl/>
        </w:rPr>
        <w:t>- אך מה שטען המקבל שהתנה בפי' לבד מכת מדינה והאפטרופסים אינם מודים לו, ודאי מהימנ' אפילו בלא שבועה, לא מיבעיא למהר"ם דמהימנ' לשליש בלא שבועה</w:t>
      </w:r>
      <w:r w:rsidRPr="001D49D4">
        <w:rPr>
          <w:vertAlign w:val="superscript"/>
          <w:rtl/>
        </w:rPr>
        <w:footnoteReference w:id="4412"/>
      </w:r>
      <w:r w:rsidRPr="001D49D4">
        <w:rPr>
          <w:rtl/>
        </w:rPr>
        <w:t>, אלא אפילו המחייבין שליש שבועה היינו דווקא בחד, והני תרי נינהו והוו סהדי, דאפטרופוס נאמן להעיד פרק זה בורר.</w:t>
      </w:r>
    </w:p>
    <w:p w14:paraId="09F6700E" w14:textId="77777777" w:rsidR="001D49D4" w:rsidRPr="001D49D4" w:rsidRDefault="001D49D4" w:rsidP="0004348D">
      <w:pPr>
        <w:spacing w:before="360" w:after="240"/>
        <w:rPr>
          <w:rFonts w:ascii="Calibri" w:eastAsia="Calibri" w:hAnsi="Calibri" w:cs="Arial"/>
          <w:u w:val="single"/>
        </w:rPr>
      </w:pPr>
      <w:r w:rsidRPr="001D49D4">
        <w:rPr>
          <w:rFonts w:ascii="Calibri" w:eastAsia="Calibri" w:hAnsi="Calibri" w:cs="Arial"/>
          <w:u w:val="single"/>
          <w:rtl/>
        </w:rPr>
        <w:t>ראובן ושמעון נתנו שטר ליהודה ע"מ שיתנו לשליש שביררו להם ולא רצה השליש לקבל – האם יהודה מקרי שליש:</w:t>
      </w:r>
    </w:p>
    <w:p w14:paraId="4E3591C4" w14:textId="77777777" w:rsidR="001D49D4" w:rsidRPr="001D49D4" w:rsidRDefault="001D49D4" w:rsidP="0004348D">
      <w:pPr>
        <w:numPr>
          <w:ilvl w:val="0"/>
          <w:numId w:val="308"/>
        </w:numPr>
        <w:spacing w:before="360" w:after="240"/>
        <w:contextualSpacing/>
      </w:pPr>
      <w:r w:rsidRPr="001D49D4">
        <w:rPr>
          <w:rtl/>
        </w:rPr>
        <w:t xml:space="preserve">רשב"א </w:t>
      </w:r>
      <w:r w:rsidRPr="001D49D4">
        <w:rPr>
          <w:sz w:val="16"/>
          <w:szCs w:val="16"/>
          <w:rtl/>
        </w:rPr>
        <w:t>(ח"ג סי' קלג)</w:t>
      </w:r>
      <w:r w:rsidRPr="001D49D4">
        <w:rPr>
          <w:rtl/>
        </w:rPr>
        <w:t>- ראובן ושמעון שותפין שחלקו, ונפל לחלק שמעון שטר חוב שהיה לשניהם על גוי אחד. ומסר שמעון שטר חוב זה ליהודה להוליכו ליד שליש שביררו להם, והתנו שאם לא יקיים שמעון תנאי פלוני לזמן פלוני יחזיר השטר לראובן. ולא רצה השליש לקבלו, ועבר הזמן ולא קיים שמעון התנאי - לא יחזיר יהודה השטר לראובן, שהוא</w:t>
      </w:r>
      <w:r w:rsidRPr="001D49D4">
        <w:rPr>
          <w:sz w:val="16"/>
          <w:szCs w:val="16"/>
          <w:rtl/>
        </w:rPr>
        <w:t xml:space="preserve"> {יהודה}</w:t>
      </w:r>
      <w:r w:rsidRPr="001D49D4">
        <w:rPr>
          <w:rtl/>
        </w:rPr>
        <w:t xml:space="preserve"> לא נעשה שליש, ולא יחזירנו אלא לשמעון שמסרו לו. ועוד שאפילו היה שליש לא יחזירנו לראובן משום דאסמכתא היא והרי זה כאותה ששנינו בפרק גט פשוט </w:t>
      </w:r>
      <w:r w:rsidRPr="001D49D4">
        <w:rPr>
          <w:sz w:val="16"/>
          <w:szCs w:val="16"/>
          <w:rtl/>
        </w:rPr>
        <w:t xml:space="preserve">(ב"ב קסח.) </w:t>
      </w:r>
      <w:r w:rsidRPr="001D49D4">
        <w:rPr>
          <w:rtl/>
        </w:rPr>
        <w:t xml:space="preserve">מי שפרע מקצת חובו והשליש את שטרו וכו' וקיימא לן כרבי יוסי. </w:t>
      </w:r>
      <w:r w:rsidRPr="001D49D4">
        <w:rPr>
          <w:color w:val="00B0F0"/>
          <w:rtl/>
        </w:rPr>
        <w:t>(וכ"פ הרמ"א)</w:t>
      </w:r>
    </w:p>
    <w:p w14:paraId="7825ED62" w14:textId="77777777" w:rsidR="001D49D4" w:rsidRPr="001D49D4" w:rsidRDefault="001D49D4" w:rsidP="0004348D">
      <w:pPr>
        <w:spacing w:before="360" w:after="240"/>
        <w:rPr>
          <w:rFonts w:ascii="Calibri" w:eastAsia="Calibri" w:hAnsi="Calibri" w:cs="Arial"/>
          <w:u w:val="single"/>
        </w:rPr>
      </w:pPr>
      <w:r w:rsidRPr="001D49D4">
        <w:rPr>
          <w:rFonts w:ascii="Calibri" w:eastAsia="Calibri" w:hAnsi="Calibri" w:cs="Arial"/>
          <w:u w:val="single"/>
          <w:rtl/>
        </w:rPr>
        <w:t>הושלש בידו שלישות ונפטר - והשלישות יוצא מיד היורשין:</w:t>
      </w:r>
    </w:p>
    <w:p w14:paraId="6210B8FE" w14:textId="77777777" w:rsidR="001D49D4" w:rsidRPr="001D49D4" w:rsidRDefault="001D49D4" w:rsidP="0004348D">
      <w:pPr>
        <w:numPr>
          <w:ilvl w:val="0"/>
          <w:numId w:val="308"/>
        </w:numPr>
        <w:spacing w:before="360" w:after="240"/>
        <w:contextualSpacing/>
      </w:pPr>
      <w:r w:rsidRPr="001D49D4">
        <w:rPr>
          <w:rtl/>
        </w:rPr>
        <w:t xml:space="preserve">רשב"א </w:t>
      </w:r>
      <w:r w:rsidRPr="001D49D4">
        <w:rPr>
          <w:sz w:val="16"/>
          <w:szCs w:val="16"/>
          <w:rtl/>
        </w:rPr>
        <w:t>(ח"א סי' תתקלב)</w:t>
      </w:r>
      <w:r w:rsidRPr="001D49D4">
        <w:rPr>
          <w:rtl/>
        </w:rPr>
        <w:t xml:space="preserve">- שאלת עוד ראובן הושלש בידו שלישות ונפטר, והשלישות יוצא מתחת יד היורשין. אם נאמן היורש לומר כך וכך מצאתי בין שטרותיו של אבא שלישות זה? היאך אם יראה לנו אותו כתב אם נסמוך עליו?. תשובה, אם נמצא כתוב היאך בא השלישות ביד אביו של זה הולכין אחריו. שהשליש נאמן משניהם ואפילו בלא מגו כעובדא דההיא סבתא </w:t>
      </w:r>
      <w:r w:rsidRPr="001D49D4">
        <w:rPr>
          <w:sz w:val="16"/>
          <w:szCs w:val="16"/>
          <w:rtl/>
        </w:rPr>
        <w:t xml:space="preserve">(סנהדרין לא.) </w:t>
      </w:r>
      <w:r w:rsidRPr="001D49D4">
        <w:rPr>
          <w:rtl/>
        </w:rPr>
        <w:t>דנפק שטר' מתותי ידיה ואמרה ידענא בהאי שטרא דפריעה הוא והימנה רב נחמן ואע"ג דאיתחזק בבי דינא, ומשו' דשליש נאמן משניהם וכדאיתא התם. וכיון שכן כל שיש מזכרת הולכין אחר מזכרת השלישות שנמצא תחת ידו, ויעשו כמו שנמצא כתוב אצלו. שהמזכרת הוו כסמפון ושנינו בפ"ק דב"מ מצא שטר בין שטרותיו ואינו יודע מה טיבו יהא מונח עד שיבא אליהו, יש עמהן סמפונות יעשו מה שבסמפונות. ואפילו לא הוציא היום בפנינו מזכרת השלישות - הוא נאמן, משום דמגו דאי בעי מהדר להאי או להאי כדאמרינן.</w:t>
      </w:r>
    </w:p>
    <w:p w14:paraId="3695D3CC" w14:textId="77777777" w:rsidR="001D49D4" w:rsidRPr="001D49D4" w:rsidRDefault="001D49D4" w:rsidP="0004348D">
      <w:pPr>
        <w:spacing w:before="360" w:after="240"/>
        <w:rPr>
          <w:rFonts w:ascii="Calibri" w:eastAsia="Calibri" w:hAnsi="Calibri" w:cs="Arial"/>
          <w:u w:val="single"/>
        </w:rPr>
      </w:pPr>
      <w:r w:rsidRPr="001D49D4">
        <w:rPr>
          <w:rFonts w:ascii="Calibri" w:eastAsia="Calibri" w:hAnsi="Calibri" w:cs="Arial"/>
          <w:u w:val="single"/>
          <w:rtl/>
        </w:rPr>
        <w:t xml:space="preserve">האם השליש זוכה לשניהם </w:t>
      </w:r>
      <w:r w:rsidRPr="001D49D4">
        <w:rPr>
          <w:rFonts w:ascii="Calibri" w:eastAsia="Calibri" w:hAnsi="Calibri" w:cs="Arial"/>
          <w:sz w:val="16"/>
          <w:szCs w:val="16"/>
          <w:u w:val="single"/>
          <w:rtl/>
        </w:rPr>
        <w:t>(היינו שלא יוכלו לחזור בהם)</w:t>
      </w:r>
      <w:r w:rsidRPr="001D49D4">
        <w:rPr>
          <w:rFonts w:ascii="Calibri" w:eastAsia="Calibri" w:hAnsi="Calibri" w:cs="Arial"/>
          <w:u w:val="single"/>
          <w:rtl/>
        </w:rPr>
        <w:t>:</w:t>
      </w:r>
    </w:p>
    <w:p w14:paraId="2CEB05B0" w14:textId="77777777" w:rsidR="001D49D4" w:rsidRPr="001D49D4" w:rsidRDefault="001D49D4" w:rsidP="0004348D">
      <w:pPr>
        <w:numPr>
          <w:ilvl w:val="0"/>
          <w:numId w:val="308"/>
        </w:numPr>
        <w:spacing w:before="360" w:after="240"/>
        <w:contextualSpacing/>
      </w:pPr>
      <w:r w:rsidRPr="001D49D4">
        <w:rPr>
          <w:rtl/>
        </w:rPr>
        <w:t xml:space="preserve">רשב"א </w:t>
      </w:r>
      <w:r w:rsidRPr="001D49D4">
        <w:rPr>
          <w:sz w:val="16"/>
          <w:szCs w:val="16"/>
          <w:rtl/>
        </w:rPr>
        <w:t>(ח"ב סי' צט)</w:t>
      </w:r>
      <w:r w:rsidRPr="001D49D4">
        <w:rPr>
          <w:rtl/>
        </w:rPr>
        <w:t>- מה שאמרת בשליש כזוכה לשניהם ואין אחד מהם יכול לחזור בו - אין זה ברור אצלנו אא"כ אמרו לו בפירוש 'זכה בשביל שנינו מעכשיו על תנאי כך וכך', אבל שיהא השלישות מן הסתם כאומר 'זכה' - לא שמענו, אלא אינו זוכה להם כלל ויכולים הם לחזור בהם.</w:t>
      </w:r>
    </w:p>
    <w:p w14:paraId="4F45FCD7" w14:textId="77777777" w:rsidR="001D49D4" w:rsidRPr="001D49D4" w:rsidRDefault="001D49D4" w:rsidP="0004348D">
      <w:pPr>
        <w:spacing w:before="360" w:after="240"/>
        <w:rPr>
          <w:rFonts w:ascii="Arial" w:eastAsia="Calibri" w:hAnsi="Arial" w:cs="Arial"/>
          <w:b/>
          <w:bCs/>
          <w:color w:val="000000"/>
          <w:sz w:val="28"/>
          <w:szCs w:val="28"/>
          <w:u w:val="single"/>
          <w:rtl/>
        </w:rPr>
      </w:pPr>
      <w:r w:rsidRPr="001D49D4">
        <w:rPr>
          <w:rFonts w:ascii="Arial" w:eastAsia="Calibri" w:hAnsi="Arial" w:cs="Arial"/>
          <w:b/>
          <w:bCs/>
          <w:color w:val="000000"/>
          <w:sz w:val="28"/>
          <w:szCs w:val="28"/>
          <w:u w:val="single"/>
          <w:rtl/>
        </w:rPr>
        <w:t>שו"ע:</w:t>
      </w:r>
    </w:p>
    <w:p w14:paraId="4B019E05" w14:textId="77777777" w:rsidR="001D49D4" w:rsidRPr="001D49D4" w:rsidRDefault="001D49D4" w:rsidP="0004348D">
      <w:pPr>
        <w:spacing w:before="360" w:after="240"/>
        <w:rPr>
          <w:rFonts w:ascii="Calibri" w:eastAsia="Calibri" w:hAnsi="Calibri" w:cs="Arial"/>
          <w:sz w:val="18"/>
          <w:szCs w:val="18"/>
          <w:rtl/>
        </w:rPr>
      </w:pPr>
      <w:r w:rsidRPr="001D49D4">
        <w:rPr>
          <w:rFonts w:ascii="Calibri" w:eastAsia="Calibri" w:hAnsi="Calibri" w:cs="Arial"/>
          <w:rtl/>
        </w:rPr>
        <w:t>שליש הנעשה על ידי שליח, כגון שבא הלוה עם אחר</w:t>
      </w:r>
      <w:r w:rsidRPr="001D49D4">
        <w:rPr>
          <w:rFonts w:ascii="Calibri" w:eastAsia="Calibri" w:hAnsi="Calibri" w:cs="Arial"/>
          <w:vertAlign w:val="superscript"/>
          <w:rtl/>
        </w:rPr>
        <w:footnoteReference w:id="4413"/>
      </w:r>
      <w:r w:rsidRPr="001D49D4">
        <w:rPr>
          <w:rFonts w:ascii="Calibri" w:eastAsia="Calibri" w:hAnsi="Calibri" w:cs="Arial"/>
          <w:rtl/>
        </w:rPr>
        <w:t xml:space="preserve"> שבידו משכון או שטר, ואמר ליה 'המלוה עשאני שליח להביא זה אליך למסרו בידך על תנאי כך וכך', וקבלו השליש. ואחר כך בא המלוה והכחיש השליחות ואמר שלא עשאו שליח לדבר זה מעולם, יעשה השליש מה שאמר לו השליח</w:t>
      </w:r>
      <w:r w:rsidRPr="001D49D4">
        <w:rPr>
          <w:rFonts w:ascii="Calibri" w:eastAsia="Calibri" w:hAnsi="Calibri" w:cs="Arial"/>
          <w:vertAlign w:val="superscript"/>
          <w:rtl/>
        </w:rPr>
        <w:footnoteReference w:id="4414"/>
      </w:r>
      <w:r w:rsidRPr="001D49D4">
        <w:rPr>
          <w:rFonts w:ascii="Calibri" w:eastAsia="Calibri" w:hAnsi="Calibri" w:cs="Arial"/>
          <w:rtl/>
        </w:rPr>
        <w:t xml:space="preserve">. </w:t>
      </w:r>
      <w:r w:rsidRPr="001D49D4">
        <w:rPr>
          <w:rFonts w:ascii="Calibri" w:eastAsia="Calibri" w:hAnsi="Calibri" w:cs="Arial"/>
          <w:sz w:val="18"/>
          <w:szCs w:val="18"/>
          <w:rtl/>
        </w:rPr>
        <w:t>הגה: ואם לא הכחישו ענין השליחות, רק כי השליש לא רצה לקבל השלישות ונשאר ביד השליח, אין לשליח דין שליש אלא כשליח בעלמא, ויחזור למי שנתן לו</w:t>
      </w:r>
      <w:r w:rsidRPr="001D49D4">
        <w:rPr>
          <w:rFonts w:ascii="Calibri" w:eastAsia="Calibri" w:hAnsi="Calibri" w:cs="Arial"/>
          <w:sz w:val="18"/>
          <w:szCs w:val="18"/>
          <w:vertAlign w:val="superscript"/>
          <w:rtl/>
        </w:rPr>
        <w:footnoteReference w:id="4415"/>
      </w:r>
      <w:r w:rsidRPr="001D49D4">
        <w:rPr>
          <w:rFonts w:ascii="Calibri" w:eastAsia="Calibri" w:hAnsi="Calibri" w:cs="Arial"/>
          <w:sz w:val="18"/>
          <w:szCs w:val="18"/>
          <w:rtl/>
        </w:rPr>
        <w:t xml:space="preserve"> </w:t>
      </w:r>
      <w:r w:rsidRPr="001D49D4">
        <w:rPr>
          <w:rFonts w:ascii="Calibri" w:eastAsia="Calibri" w:hAnsi="Calibri" w:cs="Arial"/>
          <w:sz w:val="16"/>
          <w:szCs w:val="16"/>
          <w:rtl/>
        </w:rPr>
        <w:t>(ב"י בשם תשו' הרשב"א)</w:t>
      </w:r>
      <w:r w:rsidRPr="001D49D4">
        <w:rPr>
          <w:rFonts w:ascii="Calibri" w:eastAsia="Calibri" w:hAnsi="Calibri" w:cs="Arial"/>
          <w:sz w:val="18"/>
          <w:szCs w:val="18"/>
          <w:rtl/>
        </w:rPr>
        <w:t xml:space="preserve">. השליש יעשה תמיד כפי מה שהושלש בידו אע"פ שיש לאחד אח"כ טענה בדבר. כיצד, הרי ראובן שהשוה עצמו עם שמעון החייב לו </w:t>
      </w:r>
      <w:r w:rsidRPr="001D49D4">
        <w:rPr>
          <w:rFonts w:ascii="Calibri" w:eastAsia="Calibri" w:hAnsi="Calibri" w:cs="Arial"/>
          <w:sz w:val="16"/>
          <w:szCs w:val="16"/>
          <w:vertAlign w:val="superscript"/>
          <w:rtl/>
        </w:rPr>
        <w:footnoteReference w:id="4416"/>
      </w:r>
      <w:r w:rsidRPr="001D49D4">
        <w:rPr>
          <w:rFonts w:ascii="Calibri" w:eastAsia="Calibri" w:hAnsi="Calibri" w:cs="Arial"/>
          <w:sz w:val="16"/>
          <w:szCs w:val="16"/>
          <w:rtl/>
        </w:rPr>
        <w:t xml:space="preserve">(שישלם לו) </w:t>
      </w:r>
      <w:r w:rsidRPr="001D49D4">
        <w:rPr>
          <w:rFonts w:ascii="Calibri" w:eastAsia="Calibri" w:hAnsi="Calibri" w:cs="Arial"/>
          <w:sz w:val="18"/>
          <w:szCs w:val="18"/>
          <w:rtl/>
        </w:rPr>
        <w:t>על זמנים, והפקיד השטר ביד לוי, והתנה שאם לא יפרע לו זמן אחד יחזיר לו לוי שטרו ויגבה הכל בפעם אחת, ולא פרע לו שמעון זמן אחד, יחזיר לו לוי שטרו, אע"פ שיודע שיהיו לשמעון טענות על זה, כי אין לוי דיין בדבר רק שליש, לכן יחזיר לראובן שטרו, וקודם שיוציאנו מידו יאמר לפני עדים היאך בא השטר לידו ועל איזה תנאי, והעדים יכתבו ויחתמו ויתנו הענין לשליש, והוא ימסרנו לשמעון</w:t>
      </w:r>
      <w:r w:rsidRPr="001D49D4">
        <w:rPr>
          <w:rFonts w:ascii="Calibri" w:eastAsia="Calibri" w:hAnsi="Calibri" w:cs="Arial"/>
          <w:sz w:val="18"/>
          <w:szCs w:val="18"/>
          <w:vertAlign w:val="superscript"/>
          <w:rtl/>
        </w:rPr>
        <w:footnoteReference w:id="4417"/>
      </w:r>
      <w:r w:rsidRPr="001D49D4">
        <w:rPr>
          <w:rFonts w:ascii="Calibri" w:eastAsia="Calibri" w:hAnsi="Calibri" w:cs="Arial"/>
          <w:sz w:val="18"/>
          <w:szCs w:val="18"/>
          <w:rtl/>
        </w:rPr>
        <w:t xml:space="preserve">, והוא יטעון אח"כ מה שירצה </w:t>
      </w:r>
      <w:r w:rsidRPr="001D49D4">
        <w:rPr>
          <w:rFonts w:ascii="Calibri" w:eastAsia="Calibri" w:hAnsi="Calibri" w:cs="Arial"/>
          <w:sz w:val="16"/>
          <w:szCs w:val="16"/>
          <w:rtl/>
        </w:rPr>
        <w:t>(טור בשם הרא"ש)</w:t>
      </w:r>
      <w:r w:rsidRPr="001D49D4">
        <w:rPr>
          <w:rFonts w:ascii="Calibri" w:eastAsia="Calibri" w:hAnsi="Calibri" w:cs="Arial"/>
          <w:sz w:val="18"/>
          <w:szCs w:val="18"/>
          <w:rtl/>
        </w:rPr>
        <w:t>. ולכן</w:t>
      </w:r>
      <w:r w:rsidRPr="001D49D4">
        <w:rPr>
          <w:rFonts w:ascii="Calibri" w:eastAsia="Calibri" w:hAnsi="Calibri" w:cs="Arial"/>
          <w:sz w:val="18"/>
          <w:szCs w:val="18"/>
          <w:vertAlign w:val="superscript"/>
          <w:rtl/>
        </w:rPr>
        <w:footnoteReference w:id="4418"/>
      </w:r>
      <w:r w:rsidRPr="001D49D4">
        <w:rPr>
          <w:rFonts w:ascii="Calibri" w:eastAsia="Calibri" w:hAnsi="Calibri" w:cs="Arial"/>
          <w:sz w:val="18"/>
          <w:szCs w:val="18"/>
          <w:rtl/>
        </w:rPr>
        <w:t xml:space="preserve"> כל שהחזיר השליש השטר, אין לחוש שנעשה שלא כדין ושלא היה בקי בדין השלישות</w:t>
      </w:r>
      <w:r w:rsidRPr="001D49D4">
        <w:rPr>
          <w:rFonts w:ascii="Calibri" w:eastAsia="Calibri" w:hAnsi="Calibri" w:cs="Arial"/>
          <w:sz w:val="18"/>
          <w:szCs w:val="18"/>
          <w:vertAlign w:val="superscript"/>
          <w:rtl/>
        </w:rPr>
        <w:footnoteReference w:id="4419"/>
      </w:r>
      <w:r w:rsidRPr="001D49D4">
        <w:rPr>
          <w:rFonts w:ascii="Calibri" w:eastAsia="Calibri" w:hAnsi="Calibri" w:cs="Arial"/>
          <w:sz w:val="18"/>
          <w:szCs w:val="18"/>
          <w:rtl/>
        </w:rPr>
        <w:t>, אא"כ אתייליד ריעותא</w:t>
      </w:r>
      <w:r w:rsidRPr="001D49D4">
        <w:rPr>
          <w:rFonts w:ascii="Calibri" w:eastAsia="Calibri" w:hAnsi="Calibri" w:cs="Arial"/>
          <w:sz w:val="16"/>
          <w:szCs w:val="16"/>
          <w:rtl/>
        </w:rPr>
        <w:t xml:space="preserve"> (רשב"א סי' תתקיו)</w:t>
      </w:r>
      <w:r w:rsidRPr="001D49D4">
        <w:rPr>
          <w:rFonts w:ascii="Calibri" w:eastAsia="Calibri" w:hAnsi="Calibri" w:cs="Arial"/>
          <w:sz w:val="18"/>
          <w:szCs w:val="18"/>
          <w:rtl/>
        </w:rPr>
        <w:t>.</w:t>
      </w:r>
    </w:p>
    <w:p w14:paraId="1817FE76" w14:textId="77777777" w:rsidR="001D49D4" w:rsidRPr="001D49D4" w:rsidRDefault="001D49D4" w:rsidP="0004348D">
      <w:pPr>
        <w:spacing w:before="360" w:after="240"/>
        <w:rPr>
          <w:rFonts w:ascii="Calibri" w:eastAsia="Calibri" w:hAnsi="Calibri" w:cs="Arial"/>
          <w:rtl/>
        </w:rPr>
      </w:pPr>
    </w:p>
    <w:p w14:paraId="6B89A3C5" w14:textId="77777777" w:rsidR="001D49D4" w:rsidRPr="001D49D4" w:rsidRDefault="001D49D4" w:rsidP="0004348D">
      <w:pPr>
        <w:keepNext/>
        <w:keepLines/>
        <w:spacing w:before="360" w:after="240"/>
        <w:outlineLvl w:val="1"/>
        <w:rPr>
          <w:rFonts w:ascii="Cambria" w:eastAsia="Times New Roman" w:hAnsi="Cambria" w:cs="Arial"/>
          <w:bCs/>
          <w:color w:val="548DD4" w:themeColor="text2" w:themeTint="99"/>
          <w:sz w:val="26"/>
          <w:szCs w:val="26"/>
          <w:rtl/>
        </w:rPr>
      </w:pPr>
      <w:bookmarkStart w:id="594" w:name="_Toc24884020"/>
      <w:r w:rsidRPr="001D49D4">
        <w:rPr>
          <w:rFonts w:ascii="Cambria" w:eastAsia="Times New Roman" w:hAnsi="Cambria" w:cs="Arial"/>
          <w:bCs/>
          <w:color w:val="548DD4" w:themeColor="text2" w:themeTint="99"/>
          <w:sz w:val="26"/>
          <w:szCs w:val="26"/>
          <w:rtl/>
        </w:rPr>
        <w:t>סעיף ז: בעל בית שהיה אצלו נכסים של אחרים, ומת.</w:t>
      </w:r>
      <w:bookmarkEnd w:id="594"/>
    </w:p>
    <w:p w14:paraId="1A5CB188" w14:textId="77777777" w:rsidR="001D49D4" w:rsidRPr="001D49D4" w:rsidRDefault="001D49D4" w:rsidP="0004348D">
      <w:pPr>
        <w:spacing w:before="360" w:after="240"/>
        <w:rPr>
          <w:rFonts w:ascii="Calibri" w:eastAsia="Calibri" w:hAnsi="Calibri" w:cs="Arial"/>
          <w:u w:val="single"/>
          <w:rtl/>
        </w:rPr>
      </w:pPr>
      <w:r w:rsidRPr="001D49D4">
        <w:rPr>
          <w:rFonts w:ascii="Calibri" w:eastAsia="Calibri" w:hAnsi="Calibri" w:cs="Arial"/>
          <w:u w:val="single"/>
          <w:rtl/>
        </w:rPr>
        <w:t>בעל בית שהיה אצלו נכסים של אחרים, ומת:</w:t>
      </w:r>
    </w:p>
    <w:p w14:paraId="711376B6" w14:textId="77777777" w:rsidR="001D49D4" w:rsidRPr="001D49D4" w:rsidRDefault="001D49D4" w:rsidP="0004348D">
      <w:pPr>
        <w:numPr>
          <w:ilvl w:val="0"/>
          <w:numId w:val="308"/>
        </w:numPr>
        <w:spacing w:before="360" w:after="240"/>
        <w:contextualSpacing/>
        <w:rPr>
          <w:rtl/>
        </w:rPr>
      </w:pPr>
      <w:r w:rsidRPr="001D49D4">
        <w:rPr>
          <w:rtl/>
        </w:rPr>
        <w:t xml:space="preserve">רא"ש </w:t>
      </w:r>
      <w:r w:rsidRPr="001D49D4">
        <w:rPr>
          <w:sz w:val="16"/>
          <w:szCs w:val="16"/>
          <w:rtl/>
        </w:rPr>
        <w:t>(כלל סח סי' א)</w:t>
      </w:r>
      <w:r w:rsidRPr="001D49D4">
        <w:rPr>
          <w:rtl/>
        </w:rPr>
        <w:t xml:space="preserve">- אשה הנושאת ונותנת בתוך הבית, ואפטרופוס הממונה על נכסי בעל הבית, ומת בעל הבית, ויודעים </w:t>
      </w:r>
      <w:r w:rsidRPr="001D49D4">
        <w:rPr>
          <w:sz w:val="16"/>
          <w:szCs w:val="16"/>
          <w:rtl/>
        </w:rPr>
        <w:t>{האשה והאפטרופוס}</w:t>
      </w:r>
      <w:r w:rsidRPr="001D49D4">
        <w:rPr>
          <w:rtl/>
        </w:rPr>
        <w:t xml:space="preserve"> שהיו לבעל הבית נכסים של אחרים, והממון נשאר בידם ומושלים עליהם ויודעים של מי הם - חייבים להחזיר לכל אחד מהם שלו, ואם לא החזירו ובאו לבית דין מהימני במגו שאם היו רוצים היו מחזירים. ואם הוא </w:t>
      </w:r>
      <w:r w:rsidRPr="001D49D4">
        <w:rPr>
          <w:sz w:val="16"/>
          <w:szCs w:val="16"/>
          <w:rtl/>
        </w:rPr>
        <w:t xml:space="preserve">{האפוטרופוס} </w:t>
      </w:r>
      <w:r w:rsidRPr="001D49D4">
        <w:rPr>
          <w:rtl/>
        </w:rPr>
        <w:t>ירא שאם יאמר הדבר ליורשים לא יחזירו הממון לבעליו - חייב הוא להחזירו כדי לקיים מצות השבה. ובנדון זה שהאשה היתה שולטת בכל אשר לו וכל הממון היה תחת ידה אחר מותו ויודעת כל עסק של מי הוא והיתום הוא קטן יונק שדים וגם רגלים לדבר ומקצת בני הבית מכירים של מי העסק - חייבת האלמנה להחזיר לכל אחד שלו לקיים מצות השבה ולמנוע היתום מאיסור גדול. ואם יצא הממון מידה ובא ליד האפטרופוס או ליד בית דין יעשו בית דין ככל אשר תאמר האלמנה במגו דמיד אחר מות בעלה היתה מחזרת לכל אחד שלו</w:t>
      </w:r>
      <w:r w:rsidRPr="001D49D4">
        <w:rPr>
          <w:vertAlign w:val="superscript"/>
          <w:rtl/>
        </w:rPr>
        <w:footnoteReference w:id="4420"/>
      </w:r>
      <w:r w:rsidRPr="001D49D4">
        <w:rPr>
          <w:rtl/>
        </w:rPr>
        <w:t xml:space="preserve">. </w:t>
      </w:r>
      <w:r w:rsidRPr="001D49D4">
        <w:rPr>
          <w:color w:val="E36C0A" w:themeColor="accent6" w:themeShade="BF"/>
          <w:rtl/>
        </w:rPr>
        <w:t>(וכ"פ בשו"ע)</w:t>
      </w:r>
    </w:p>
    <w:p w14:paraId="12BE08D3" w14:textId="77777777" w:rsidR="001D49D4" w:rsidRPr="001D49D4" w:rsidRDefault="001D49D4" w:rsidP="0004348D">
      <w:pPr>
        <w:spacing w:before="360" w:after="240"/>
        <w:rPr>
          <w:rFonts w:ascii="Arial" w:eastAsia="Calibri" w:hAnsi="Arial" w:cs="Arial"/>
          <w:b/>
          <w:bCs/>
          <w:color w:val="000000"/>
          <w:sz w:val="28"/>
          <w:szCs w:val="28"/>
          <w:u w:val="single"/>
          <w:rtl/>
        </w:rPr>
      </w:pPr>
      <w:r w:rsidRPr="001D49D4">
        <w:rPr>
          <w:rFonts w:ascii="Arial" w:eastAsia="Calibri" w:hAnsi="Arial" w:cs="Arial"/>
          <w:b/>
          <w:bCs/>
          <w:color w:val="000000"/>
          <w:sz w:val="28"/>
          <w:szCs w:val="28"/>
          <w:u w:val="single"/>
          <w:rtl/>
        </w:rPr>
        <w:t>שו"ע:</w:t>
      </w:r>
    </w:p>
    <w:p w14:paraId="1F653EED"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rtl/>
        </w:rPr>
        <w:t>אשה הנושאת ונותנת בתוך הבית, ואפוטרופוס הממונה על נכסי בעל הבית, ומת בעל הבית, ויודעים שהיו לבעל הבית נכסים של אחרים והממון נשאר בידם, ויודעים של מי הם, חייבים להחזיר לכל אחד מהם שלו, ואם לא החזירו ובאו לבית דין, מהימני במיגו</w:t>
      </w:r>
      <w:r w:rsidRPr="001D49D4">
        <w:rPr>
          <w:rFonts w:ascii="Calibri" w:eastAsia="Calibri" w:hAnsi="Calibri" w:cs="Arial"/>
          <w:vertAlign w:val="superscript"/>
          <w:rtl/>
        </w:rPr>
        <w:footnoteReference w:id="4421"/>
      </w:r>
      <w:r w:rsidRPr="001D49D4">
        <w:rPr>
          <w:rFonts w:ascii="Calibri" w:eastAsia="Calibri" w:hAnsi="Calibri" w:cs="Arial"/>
          <w:rtl/>
        </w:rPr>
        <w:t>.</w:t>
      </w:r>
    </w:p>
    <w:p w14:paraId="0A2BCD63" w14:textId="77777777" w:rsidR="001D49D4" w:rsidRPr="001D49D4" w:rsidRDefault="001D49D4" w:rsidP="0004348D">
      <w:pPr>
        <w:bidi w:val="0"/>
        <w:spacing w:before="360" w:after="240"/>
        <w:rPr>
          <w:rFonts w:ascii="Cambria" w:eastAsia="Times New Roman" w:hAnsi="Cambria" w:cs="Arial"/>
          <w:b/>
          <w:bCs/>
          <w:color w:val="365F91" w:themeColor="accent1" w:themeShade="BF"/>
          <w:sz w:val="28"/>
          <w:szCs w:val="28"/>
          <w:rtl/>
        </w:rPr>
        <w:sectPr w:rsidR="001D49D4" w:rsidRPr="001D49D4">
          <w:headerReference w:type="default" r:id="rId65"/>
          <w:footnotePr>
            <w:numRestart w:val="eachPage"/>
          </w:footnotePr>
          <w:pgSz w:w="11906" w:h="16838"/>
          <w:pgMar w:top="720" w:right="1134" w:bottom="720" w:left="1134" w:header="0" w:footer="0" w:gutter="0"/>
          <w:cols w:space="720"/>
          <w:bidi/>
          <w:rtlGutter/>
        </w:sectPr>
      </w:pPr>
    </w:p>
    <w:p w14:paraId="4D7306C9" w14:textId="77777777" w:rsidR="001D49D4" w:rsidRPr="001D49D4" w:rsidRDefault="001D49D4" w:rsidP="0004348D">
      <w:pPr>
        <w:keepNext/>
        <w:keepLines/>
        <w:spacing w:before="360" w:after="240"/>
        <w:outlineLvl w:val="0"/>
        <w:rPr>
          <w:rFonts w:ascii="Cambria" w:eastAsia="Times New Roman" w:hAnsi="Cambria" w:cs="Arial"/>
          <w:b/>
          <w:bCs/>
          <w:color w:val="365F91" w:themeColor="accent1" w:themeShade="BF"/>
          <w:sz w:val="28"/>
          <w:szCs w:val="28"/>
          <w:rtl/>
        </w:rPr>
      </w:pPr>
      <w:bookmarkStart w:id="595" w:name="_Toc24884021"/>
      <w:r w:rsidRPr="001D49D4">
        <w:rPr>
          <w:rFonts w:ascii="Cambria" w:eastAsia="Times New Roman" w:hAnsi="Cambria" w:cs="Arial"/>
          <w:b/>
          <w:bCs/>
          <w:color w:val="365F91" w:themeColor="accent1" w:themeShade="BF"/>
          <w:sz w:val="28"/>
          <w:szCs w:val="28"/>
          <w:rtl/>
        </w:rPr>
        <w:t>סימן נז: דין שטר פרוע, ובו ב' סעיפים.</w:t>
      </w:r>
      <w:bookmarkEnd w:id="595"/>
      <w:r w:rsidRPr="001D49D4">
        <w:rPr>
          <w:rFonts w:ascii="Cambria" w:eastAsia="Times New Roman" w:hAnsi="Cambria" w:cs="Arial"/>
          <w:b/>
          <w:bCs/>
          <w:color w:val="365F91" w:themeColor="accent1" w:themeShade="BF"/>
          <w:sz w:val="28"/>
          <w:szCs w:val="28"/>
          <w:rtl/>
        </w:rPr>
        <w:t xml:space="preserve"> </w:t>
      </w:r>
    </w:p>
    <w:p w14:paraId="50D83339" w14:textId="77777777" w:rsidR="001D49D4" w:rsidRPr="001D49D4" w:rsidRDefault="001D49D4" w:rsidP="0004348D">
      <w:pPr>
        <w:keepNext/>
        <w:keepLines/>
        <w:spacing w:before="360" w:after="240"/>
        <w:outlineLvl w:val="1"/>
        <w:rPr>
          <w:rFonts w:ascii="Cambria" w:eastAsia="Times New Roman" w:hAnsi="Cambria" w:cs="Arial"/>
          <w:bCs/>
          <w:color w:val="548DD4" w:themeColor="text2" w:themeTint="99"/>
          <w:sz w:val="26"/>
          <w:szCs w:val="26"/>
          <w:rtl/>
        </w:rPr>
      </w:pPr>
      <w:bookmarkStart w:id="596" w:name="_Toc24884022"/>
      <w:r w:rsidRPr="001D49D4">
        <w:rPr>
          <w:rFonts w:ascii="Cambria" w:eastAsia="Times New Roman" w:hAnsi="Cambria" w:cs="Arial"/>
          <w:bCs/>
          <w:color w:val="548DD4" w:themeColor="text2" w:themeTint="99"/>
          <w:sz w:val="26"/>
          <w:szCs w:val="26"/>
          <w:rtl/>
        </w:rPr>
        <w:t>סעיף א: השהיית שטר פרוע בביתו.</w:t>
      </w:r>
      <w:bookmarkEnd w:id="596"/>
    </w:p>
    <w:p w14:paraId="1131E242"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b/>
          <w:bCs/>
          <w:rtl/>
        </w:rPr>
        <w:t xml:space="preserve">כתובות </w:t>
      </w:r>
      <w:r w:rsidRPr="001D49D4">
        <w:rPr>
          <w:rFonts w:ascii="Calibri" w:eastAsia="Calibri" w:hAnsi="Calibri" w:cs="Arial"/>
          <w:b/>
          <w:bCs/>
          <w:sz w:val="16"/>
          <w:szCs w:val="16"/>
          <w:rtl/>
        </w:rPr>
        <w:t xml:space="preserve">(פ"ב) </w:t>
      </w:r>
      <w:r w:rsidRPr="001D49D4">
        <w:rPr>
          <w:rFonts w:ascii="Calibri" w:eastAsia="Calibri" w:hAnsi="Calibri" w:cs="Arial"/>
          <w:b/>
          <w:bCs/>
          <w:rtl/>
        </w:rPr>
        <w:t>יט</w:t>
      </w:r>
      <w:r w:rsidRPr="001D49D4">
        <w:rPr>
          <w:rFonts w:ascii="Calibri" w:eastAsia="Calibri" w:hAnsi="Calibri" w:cs="Arial"/>
          <w:b/>
          <w:bCs/>
          <w:vertAlign w:val="superscript"/>
          <w:rtl/>
        </w:rPr>
        <w:footnoteReference w:id="4422"/>
      </w:r>
      <w:r w:rsidRPr="001D49D4">
        <w:rPr>
          <w:rFonts w:ascii="Calibri" w:eastAsia="Calibri" w:hAnsi="Calibri" w:cs="Arial"/>
          <w:b/>
          <w:bCs/>
          <w:rtl/>
        </w:rPr>
        <w:t xml:space="preserve"> ע"ב: </w:t>
      </w:r>
      <w:r w:rsidRPr="001D49D4">
        <w:rPr>
          <w:rFonts w:ascii="Calibri" w:eastAsia="Calibri" w:hAnsi="Calibri" w:cs="Arial"/>
          <w:u w:val="single"/>
          <w:rtl/>
        </w:rPr>
        <w:t>אמר רבי יהושע בן לוי</w:t>
      </w:r>
      <w:r w:rsidRPr="001D49D4">
        <w:rPr>
          <w:rFonts w:ascii="Calibri" w:eastAsia="Calibri" w:hAnsi="Calibri" w:cs="Arial"/>
          <w:rtl/>
        </w:rPr>
        <w:t xml:space="preserve">: אסור לו לאדם שישהה שטר פרוע בתוך ביתו, משום שנאמר: אל תשכן באהליך עולה. </w:t>
      </w:r>
      <w:r w:rsidRPr="001D49D4">
        <w:rPr>
          <w:rFonts w:ascii="Calibri" w:eastAsia="Calibri" w:hAnsi="Calibri" w:cs="Arial"/>
          <w:u w:val="single"/>
          <w:rtl/>
        </w:rPr>
        <w:t>במערבא משמיה דרב אמרי</w:t>
      </w:r>
      <w:r w:rsidRPr="001D49D4">
        <w:rPr>
          <w:rFonts w:ascii="Calibri" w:eastAsia="Calibri" w:hAnsi="Calibri" w:cs="Arial"/>
          <w:rtl/>
        </w:rPr>
        <w:t>: אם און בידך הרחיקהו - זה שטר אמנה ושטר פסים, ואל תשכן באהלך עולה - זה שטר פרוע. מאן דאמר שטר פרוע, כל שכן שטר אמנה. ומאן דאמר שטר אמנה, אבל שטר פרוע לא, דזמנין דמשהי ליה אפשיטי דספרא</w:t>
      </w:r>
      <w:r w:rsidRPr="001D49D4">
        <w:rPr>
          <w:rFonts w:ascii="Calibri" w:eastAsia="Calibri" w:hAnsi="Calibri" w:cs="Arial"/>
          <w:vertAlign w:val="superscript"/>
          <w:rtl/>
        </w:rPr>
        <w:footnoteReference w:id="4423"/>
      </w:r>
      <w:r w:rsidRPr="001D49D4">
        <w:rPr>
          <w:rFonts w:ascii="Calibri" w:eastAsia="Calibri" w:hAnsi="Calibri" w:cs="Arial"/>
          <w:rtl/>
        </w:rPr>
        <w:t>.</w:t>
      </w:r>
    </w:p>
    <w:p w14:paraId="41C1BB91"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u w:val="single"/>
          <w:rtl/>
        </w:rPr>
        <w:t>השהיית שטר פרוע בביתו:</w:t>
      </w:r>
    </w:p>
    <w:p w14:paraId="40458F5B" w14:textId="77777777" w:rsidR="001D49D4" w:rsidRPr="001D49D4" w:rsidRDefault="001D49D4" w:rsidP="0004348D">
      <w:pPr>
        <w:numPr>
          <w:ilvl w:val="0"/>
          <w:numId w:val="308"/>
        </w:numPr>
        <w:spacing w:before="360" w:after="240"/>
        <w:contextualSpacing/>
        <w:rPr>
          <w:rtl/>
        </w:rPr>
      </w:pPr>
      <w:r w:rsidRPr="001D49D4">
        <w:rPr>
          <w:rtl/>
        </w:rPr>
        <w:t>טור- אסור לשהות שטר פרוע בתוך ביתו</w:t>
      </w:r>
      <w:r w:rsidRPr="001D49D4">
        <w:rPr>
          <w:vertAlign w:val="superscript"/>
          <w:rtl/>
        </w:rPr>
        <w:footnoteReference w:id="4424"/>
      </w:r>
      <w:r w:rsidRPr="001D49D4">
        <w:rPr>
          <w:rtl/>
        </w:rPr>
        <w:t xml:space="preserve">. </w:t>
      </w:r>
      <w:r w:rsidRPr="001D49D4">
        <w:rPr>
          <w:color w:val="E36C0A" w:themeColor="accent6" w:themeShade="BF"/>
          <w:rtl/>
        </w:rPr>
        <w:t>(וכ"פ בשו"ע)</w:t>
      </w:r>
    </w:p>
    <w:p w14:paraId="47995C31" w14:textId="77777777" w:rsidR="001D49D4" w:rsidRPr="001D49D4" w:rsidRDefault="001D49D4" w:rsidP="0004348D">
      <w:pPr>
        <w:spacing w:before="360" w:after="240"/>
        <w:ind w:left="360"/>
        <w:rPr>
          <w:rFonts w:ascii="Calibri" w:eastAsia="Calibri" w:hAnsi="Calibri" w:cs="Arial"/>
          <w:u w:val="dotted"/>
        </w:rPr>
      </w:pPr>
      <w:r w:rsidRPr="001D49D4">
        <w:rPr>
          <w:rFonts w:ascii="Calibri" w:eastAsia="Calibri" w:hAnsi="Calibri" w:cs="Arial"/>
          <w:u w:val="dotted"/>
          <w:rtl/>
        </w:rPr>
        <w:t xml:space="preserve">האם יכול לעכב השטר כשהלוה עדיין לא שילם את שכר הסופר: </w:t>
      </w:r>
    </w:p>
    <w:p w14:paraId="61729E3D" w14:textId="77777777" w:rsidR="001D49D4" w:rsidRPr="001D49D4" w:rsidRDefault="001D49D4" w:rsidP="0004348D">
      <w:pPr>
        <w:numPr>
          <w:ilvl w:val="0"/>
          <w:numId w:val="308"/>
        </w:numPr>
        <w:spacing w:before="360" w:after="240"/>
        <w:contextualSpacing/>
      </w:pPr>
      <w:r w:rsidRPr="001D49D4">
        <w:rPr>
          <w:rtl/>
        </w:rPr>
        <w:t xml:space="preserve">ר"ן </w:t>
      </w:r>
      <w:r w:rsidRPr="001D49D4">
        <w:rPr>
          <w:sz w:val="16"/>
          <w:szCs w:val="16"/>
          <w:rtl/>
        </w:rPr>
        <w:t>(ו: ד"ה אסור)</w:t>
      </w:r>
      <w:r w:rsidRPr="001D49D4">
        <w:rPr>
          <w:rtl/>
        </w:rPr>
        <w:t xml:space="preserve">- אין לו לעכב השטר בשביל פשיטי דספרא. </w:t>
      </w:r>
      <w:r w:rsidRPr="001D49D4">
        <w:rPr>
          <w:color w:val="E36C0A" w:themeColor="accent6" w:themeShade="BF"/>
          <w:rtl/>
        </w:rPr>
        <w:t>(וכ"פ בשו"ע)</w:t>
      </w:r>
    </w:p>
    <w:p w14:paraId="052D6D38" w14:textId="77777777" w:rsidR="001D49D4" w:rsidRPr="001D49D4" w:rsidRDefault="001D49D4" w:rsidP="0004348D">
      <w:pPr>
        <w:numPr>
          <w:ilvl w:val="0"/>
          <w:numId w:val="308"/>
        </w:numPr>
        <w:spacing w:before="360" w:after="240"/>
        <w:contextualSpacing/>
      </w:pPr>
      <w:r w:rsidRPr="001D49D4">
        <w:rPr>
          <w:rtl/>
        </w:rPr>
        <w:t xml:space="preserve">תוס' </w:t>
      </w:r>
      <w:r w:rsidRPr="001D49D4">
        <w:rPr>
          <w:sz w:val="16"/>
          <w:szCs w:val="16"/>
          <w:rtl/>
        </w:rPr>
        <w:t xml:space="preserve">(ד"ה זמנין) </w:t>
      </w:r>
      <w:r w:rsidRPr="001D49D4">
        <w:rPr>
          <w:rtl/>
        </w:rPr>
        <w:t xml:space="preserve">רא"ש </w:t>
      </w:r>
      <w:r w:rsidRPr="001D49D4">
        <w:rPr>
          <w:sz w:val="16"/>
          <w:szCs w:val="16"/>
          <w:rtl/>
        </w:rPr>
        <w:t xml:space="preserve">(סי' יא) </w:t>
      </w:r>
      <w:r w:rsidRPr="001D49D4">
        <w:rPr>
          <w:rtl/>
        </w:rPr>
        <w:t xml:space="preserve">וריטב"א </w:t>
      </w:r>
      <w:r w:rsidRPr="001D49D4">
        <w:rPr>
          <w:sz w:val="16"/>
          <w:szCs w:val="16"/>
          <w:rtl/>
        </w:rPr>
        <w:t>(ד"ה ומשהי)</w:t>
      </w:r>
      <w:r w:rsidRPr="001D49D4">
        <w:rPr>
          <w:rtl/>
        </w:rPr>
        <w:t>- יכול לעכב בשביל פשיטי דספרא</w:t>
      </w:r>
      <w:r w:rsidRPr="001D49D4">
        <w:rPr>
          <w:vertAlign w:val="superscript"/>
          <w:rtl/>
        </w:rPr>
        <w:footnoteReference w:id="4425"/>
      </w:r>
      <w:r w:rsidRPr="001D49D4">
        <w:rPr>
          <w:rtl/>
        </w:rPr>
        <w:t xml:space="preserve">. </w:t>
      </w:r>
    </w:p>
    <w:p w14:paraId="3AC3B5C4"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u w:val="single"/>
          <w:rtl/>
        </w:rPr>
        <w:t>השהייתה שטר חצי פרוע בביתו:</w:t>
      </w:r>
    </w:p>
    <w:p w14:paraId="0120F16E" w14:textId="77777777" w:rsidR="001D49D4" w:rsidRPr="001D49D4" w:rsidRDefault="001D49D4" w:rsidP="0004348D">
      <w:pPr>
        <w:numPr>
          <w:ilvl w:val="0"/>
          <w:numId w:val="313"/>
        </w:numPr>
        <w:spacing w:before="360" w:after="240"/>
        <w:contextualSpacing/>
        <w:rPr>
          <w:rtl/>
        </w:rPr>
      </w:pPr>
      <w:r w:rsidRPr="001D49D4">
        <w:rPr>
          <w:rtl/>
        </w:rPr>
        <w:t xml:space="preserve">ר"ן </w:t>
      </w:r>
      <w:r w:rsidRPr="001D49D4">
        <w:rPr>
          <w:sz w:val="16"/>
          <w:szCs w:val="16"/>
          <w:rtl/>
        </w:rPr>
        <w:t>(שם ד"ה תנאי)</w:t>
      </w:r>
      <w:r w:rsidRPr="001D49D4">
        <w:rPr>
          <w:rtl/>
        </w:rPr>
        <w:t xml:space="preserve">- מותר להשהות שטר של מנה אע"פ שאינו חייב בו אלא חמשים. </w:t>
      </w:r>
      <w:r w:rsidRPr="001D49D4">
        <w:rPr>
          <w:color w:val="E36C0A" w:themeColor="accent6" w:themeShade="BF"/>
          <w:rtl/>
        </w:rPr>
        <w:t>(וכ"פ בשו"ע)</w:t>
      </w:r>
    </w:p>
    <w:p w14:paraId="67DAB88A" w14:textId="77777777" w:rsidR="001D49D4" w:rsidRPr="001D49D4" w:rsidRDefault="001D49D4" w:rsidP="0004348D">
      <w:pPr>
        <w:spacing w:before="360" w:after="240"/>
        <w:rPr>
          <w:rFonts w:ascii="Arial" w:eastAsia="Calibri" w:hAnsi="Arial" w:cs="Arial"/>
          <w:b/>
          <w:bCs/>
          <w:color w:val="000000"/>
          <w:sz w:val="28"/>
          <w:szCs w:val="28"/>
          <w:u w:val="single"/>
          <w:rtl/>
        </w:rPr>
      </w:pPr>
      <w:r w:rsidRPr="001D49D4">
        <w:rPr>
          <w:rFonts w:ascii="Arial" w:eastAsia="Calibri" w:hAnsi="Arial" w:cs="Arial"/>
          <w:b/>
          <w:bCs/>
          <w:color w:val="000000"/>
          <w:sz w:val="28"/>
          <w:szCs w:val="28"/>
          <w:u w:val="single"/>
          <w:rtl/>
        </w:rPr>
        <w:t>שו"ע:</w:t>
      </w:r>
    </w:p>
    <w:p w14:paraId="4CE66D16"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rtl/>
        </w:rPr>
        <w:t xml:space="preserve">אסור להשהות שטר פרוע בתוך ביתו, </w:t>
      </w:r>
      <w:r w:rsidRPr="001D49D4">
        <w:rPr>
          <w:rFonts w:ascii="Calibri" w:eastAsia="Calibri" w:hAnsi="Calibri" w:cs="Arial"/>
          <w:sz w:val="18"/>
          <w:szCs w:val="18"/>
          <w:rtl/>
        </w:rPr>
        <w:t>[הגה] וה"ה שטר שנמחל שעבודו</w:t>
      </w:r>
      <w:r w:rsidRPr="001D49D4">
        <w:rPr>
          <w:rFonts w:ascii="Calibri" w:eastAsia="Calibri" w:hAnsi="Calibri" w:cs="Arial"/>
          <w:sz w:val="18"/>
          <w:szCs w:val="18"/>
          <w:vertAlign w:val="superscript"/>
          <w:rtl/>
        </w:rPr>
        <w:footnoteReference w:id="4426"/>
      </w:r>
      <w:r w:rsidRPr="001D49D4">
        <w:rPr>
          <w:rFonts w:ascii="Calibri" w:eastAsia="Calibri" w:hAnsi="Calibri" w:cs="Arial"/>
          <w:sz w:val="18"/>
          <w:szCs w:val="18"/>
          <w:rtl/>
        </w:rPr>
        <w:t xml:space="preserve"> (רא"ש כלל עח). </w:t>
      </w:r>
      <w:r w:rsidRPr="001D49D4">
        <w:rPr>
          <w:rFonts w:ascii="Calibri" w:eastAsia="Calibri" w:hAnsi="Calibri" w:cs="Arial"/>
          <w:rtl/>
        </w:rPr>
        <w:t>ואם אינו רוצה להחזיר שטר פרוע, ראוי לנדותו עד שיחזירנו</w:t>
      </w:r>
      <w:r w:rsidRPr="001D49D4">
        <w:rPr>
          <w:rFonts w:ascii="Calibri" w:eastAsia="Calibri" w:hAnsi="Calibri" w:cs="Arial"/>
          <w:vertAlign w:val="superscript"/>
          <w:rtl/>
        </w:rPr>
        <w:footnoteReference w:id="4427"/>
      </w:r>
      <w:r w:rsidRPr="001D49D4">
        <w:rPr>
          <w:rFonts w:ascii="Calibri" w:eastAsia="Calibri" w:hAnsi="Calibri" w:cs="Arial"/>
          <w:rtl/>
        </w:rPr>
        <w:t>. ואין לו לעכב השטר בשביל פשיטי דספרא</w:t>
      </w:r>
      <w:r w:rsidRPr="001D49D4">
        <w:rPr>
          <w:rFonts w:ascii="Calibri" w:eastAsia="Calibri" w:hAnsi="Calibri" w:cs="Arial"/>
          <w:vertAlign w:val="superscript"/>
          <w:rtl/>
        </w:rPr>
        <w:footnoteReference w:id="4428"/>
      </w:r>
      <w:r w:rsidRPr="001D49D4">
        <w:rPr>
          <w:rFonts w:ascii="Calibri" w:eastAsia="Calibri" w:hAnsi="Calibri" w:cs="Arial"/>
          <w:rtl/>
        </w:rPr>
        <w:t xml:space="preserve">. </w:t>
      </w:r>
      <w:r w:rsidRPr="001D49D4">
        <w:rPr>
          <w:rFonts w:ascii="Calibri" w:eastAsia="Calibri" w:hAnsi="Calibri" w:cs="Arial"/>
          <w:sz w:val="18"/>
          <w:szCs w:val="18"/>
          <w:rtl/>
        </w:rPr>
        <w:t>הגה: ובמקום שאין הלוה נותן שכר הסופר, אין צריך להחזיר השטר</w:t>
      </w:r>
      <w:r w:rsidRPr="001D49D4">
        <w:rPr>
          <w:rFonts w:ascii="Calibri" w:eastAsia="Calibri" w:hAnsi="Calibri" w:cs="Arial"/>
          <w:sz w:val="18"/>
          <w:szCs w:val="18"/>
          <w:vertAlign w:val="superscript"/>
          <w:rtl/>
        </w:rPr>
        <w:footnoteReference w:id="4429"/>
      </w:r>
      <w:r w:rsidRPr="001D49D4">
        <w:rPr>
          <w:rFonts w:ascii="Calibri" w:eastAsia="Calibri" w:hAnsi="Calibri" w:cs="Arial"/>
          <w:sz w:val="18"/>
          <w:szCs w:val="18"/>
          <w:rtl/>
        </w:rPr>
        <w:t>, ובלבד שיקרענו</w:t>
      </w:r>
      <w:r w:rsidRPr="001D49D4">
        <w:rPr>
          <w:rFonts w:ascii="Calibri" w:eastAsia="Calibri" w:hAnsi="Calibri" w:cs="Arial"/>
          <w:sz w:val="18"/>
          <w:szCs w:val="18"/>
          <w:vertAlign w:val="superscript"/>
          <w:rtl/>
        </w:rPr>
        <w:footnoteReference w:id="4430"/>
      </w:r>
      <w:r w:rsidRPr="001D49D4">
        <w:rPr>
          <w:rFonts w:ascii="Calibri" w:eastAsia="Calibri" w:hAnsi="Calibri" w:cs="Arial"/>
          <w:sz w:val="18"/>
          <w:szCs w:val="18"/>
          <w:rtl/>
        </w:rPr>
        <w:t xml:space="preserve"> (ב"י בסי' סא בשם הרשב"א). </w:t>
      </w:r>
      <w:r w:rsidRPr="001D49D4">
        <w:rPr>
          <w:rFonts w:ascii="Calibri" w:eastAsia="Calibri" w:hAnsi="Calibri" w:cs="Arial"/>
          <w:rtl/>
        </w:rPr>
        <w:t>אבל מותר להשהות שטר של מנה אף על פי שאינו חייב אלא חמשים, והוא</w:t>
      </w:r>
      <w:r w:rsidRPr="001D49D4">
        <w:rPr>
          <w:rFonts w:ascii="Calibri" w:eastAsia="Calibri" w:hAnsi="Calibri" w:cs="Arial"/>
          <w:vertAlign w:val="superscript"/>
          <w:rtl/>
        </w:rPr>
        <w:footnoteReference w:id="4431"/>
      </w:r>
      <w:r w:rsidRPr="001D49D4">
        <w:rPr>
          <w:rFonts w:ascii="Calibri" w:eastAsia="Calibri" w:hAnsi="Calibri" w:cs="Arial"/>
          <w:rtl/>
        </w:rPr>
        <w:t xml:space="preserve"> שיכתבו שובר על גביו ממה שנפרע, או יכתוב שובר בפני עצמו וימסרנו ללוה. </w:t>
      </w:r>
    </w:p>
    <w:p w14:paraId="3EF3B9F6" w14:textId="77777777" w:rsidR="001D49D4" w:rsidRPr="001D49D4" w:rsidRDefault="001D49D4" w:rsidP="0004348D">
      <w:pPr>
        <w:spacing w:before="360" w:after="240"/>
        <w:rPr>
          <w:rFonts w:ascii="Calibri" w:eastAsia="Calibri" w:hAnsi="Calibri" w:cs="Arial"/>
          <w:rtl/>
        </w:rPr>
      </w:pPr>
    </w:p>
    <w:p w14:paraId="2731EB75" w14:textId="77777777" w:rsidR="001D49D4" w:rsidRPr="001D49D4" w:rsidRDefault="001D49D4" w:rsidP="0004348D">
      <w:pPr>
        <w:keepNext/>
        <w:keepLines/>
        <w:spacing w:before="360" w:after="240"/>
        <w:outlineLvl w:val="1"/>
        <w:rPr>
          <w:rFonts w:ascii="Cambria" w:eastAsia="Times New Roman" w:hAnsi="Cambria" w:cs="Arial"/>
          <w:bCs/>
          <w:color w:val="548DD4" w:themeColor="text2" w:themeTint="99"/>
          <w:sz w:val="26"/>
          <w:szCs w:val="26"/>
          <w:rtl/>
        </w:rPr>
      </w:pPr>
      <w:bookmarkStart w:id="597" w:name="_Toc24884023"/>
      <w:r w:rsidRPr="001D49D4">
        <w:rPr>
          <w:rFonts w:ascii="Cambria" w:eastAsia="Times New Roman" w:hAnsi="Cambria" w:cs="Arial"/>
          <w:bCs/>
          <w:color w:val="548DD4" w:themeColor="text2" w:themeTint="99"/>
          <w:sz w:val="26"/>
          <w:szCs w:val="26"/>
          <w:rtl/>
        </w:rPr>
        <w:t>סעיף ב: שטר שלוה בו ופרעו והמלוה מחזיק בשטר וטוען שעדיין לא פרע – מתי נאמן.</w:t>
      </w:r>
      <w:bookmarkEnd w:id="597"/>
    </w:p>
    <w:p w14:paraId="4122C038"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b/>
          <w:bCs/>
          <w:rtl/>
        </w:rPr>
        <w:t xml:space="preserve">בבא מציעא </w:t>
      </w:r>
      <w:r w:rsidRPr="001D49D4">
        <w:rPr>
          <w:rFonts w:ascii="Calibri" w:eastAsia="Calibri" w:hAnsi="Calibri" w:cs="Arial"/>
          <w:b/>
          <w:bCs/>
          <w:sz w:val="16"/>
          <w:szCs w:val="16"/>
          <w:rtl/>
        </w:rPr>
        <w:t xml:space="preserve">(פרק שנים אוחזין) </w:t>
      </w:r>
      <w:r w:rsidRPr="001D49D4">
        <w:rPr>
          <w:rFonts w:ascii="Calibri" w:eastAsia="Calibri" w:hAnsi="Calibri" w:cs="Arial"/>
          <w:b/>
          <w:bCs/>
          <w:rtl/>
        </w:rPr>
        <w:t>יז</w:t>
      </w:r>
      <w:r w:rsidRPr="001D49D4">
        <w:rPr>
          <w:rFonts w:ascii="Calibri" w:eastAsia="Calibri" w:hAnsi="Calibri" w:cs="Arial"/>
          <w:b/>
          <w:bCs/>
          <w:vertAlign w:val="superscript"/>
          <w:rtl/>
        </w:rPr>
        <w:footnoteReference w:id="4432"/>
      </w:r>
      <w:r w:rsidRPr="001D49D4">
        <w:rPr>
          <w:rFonts w:ascii="Calibri" w:eastAsia="Calibri" w:hAnsi="Calibri" w:cs="Arial"/>
          <w:b/>
          <w:bCs/>
          <w:rtl/>
        </w:rPr>
        <w:t xml:space="preserve"> ע"א:</w:t>
      </w:r>
      <w:r w:rsidRPr="001D49D4">
        <w:rPr>
          <w:rFonts w:ascii="Calibri" w:eastAsia="Calibri" w:hAnsi="Calibri" w:cs="Arial"/>
          <w:rtl/>
        </w:rPr>
        <w:t xml:space="preserve"> </w:t>
      </w:r>
      <w:r w:rsidRPr="001D49D4">
        <w:rPr>
          <w:rFonts w:ascii="Calibri" w:eastAsia="Calibri" w:hAnsi="Calibri" w:cs="Arial"/>
          <w:u w:val="single"/>
          <w:rtl/>
        </w:rPr>
        <w:t>אמר רבי אסי אמר רבי יוחנן</w:t>
      </w:r>
      <w:r w:rsidRPr="001D49D4">
        <w:rPr>
          <w:rFonts w:ascii="Calibri" w:eastAsia="Calibri" w:hAnsi="Calibri" w:cs="Arial"/>
          <w:rtl/>
        </w:rPr>
        <w:t xml:space="preserve">:... שטר שלוה בו ופרעו - אינו חוזר ולוה בו, שכבר נמחל שיעבודו. אימת? אילימא למחר וליומא חרא - מאי אריא שכבר נמחל שעבודו? תיפוק ליה דהוה ליה מוקדם, ותנן: שטרי חוב המוקדמין - פסולין. אלא לאו - ביומיה. </w:t>
      </w:r>
    </w:p>
    <w:p w14:paraId="6D350094"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b/>
          <w:bCs/>
          <w:rtl/>
        </w:rPr>
        <w:t xml:space="preserve">בבא בתרא </w:t>
      </w:r>
      <w:r w:rsidRPr="001D49D4">
        <w:rPr>
          <w:rFonts w:ascii="Calibri" w:eastAsia="Calibri" w:hAnsi="Calibri" w:cs="Arial"/>
          <w:b/>
          <w:bCs/>
          <w:sz w:val="16"/>
          <w:szCs w:val="16"/>
          <w:rtl/>
        </w:rPr>
        <w:t xml:space="preserve">(ר"פ חזקת) </w:t>
      </w:r>
      <w:r w:rsidRPr="001D49D4">
        <w:rPr>
          <w:rFonts w:ascii="Calibri" w:eastAsia="Calibri" w:hAnsi="Calibri" w:cs="Arial"/>
          <w:b/>
          <w:bCs/>
          <w:rtl/>
        </w:rPr>
        <w:t>לב</w:t>
      </w:r>
      <w:r w:rsidRPr="001D49D4">
        <w:rPr>
          <w:rFonts w:ascii="Calibri" w:eastAsia="Calibri" w:hAnsi="Calibri" w:cs="Arial"/>
          <w:b/>
          <w:bCs/>
          <w:vertAlign w:val="superscript"/>
          <w:rtl/>
        </w:rPr>
        <w:footnoteReference w:id="4433"/>
      </w:r>
      <w:r w:rsidRPr="001D49D4">
        <w:rPr>
          <w:rFonts w:ascii="Calibri" w:eastAsia="Calibri" w:hAnsi="Calibri" w:cs="Arial"/>
          <w:b/>
          <w:bCs/>
          <w:rtl/>
        </w:rPr>
        <w:t xml:space="preserve"> ע"ב:</w:t>
      </w:r>
      <w:r w:rsidRPr="001D49D4">
        <w:rPr>
          <w:rFonts w:ascii="Calibri" w:eastAsia="Calibri" w:hAnsi="Calibri" w:cs="Arial"/>
          <w:rtl/>
        </w:rPr>
        <w:t xml:space="preserve"> ההוא ערבא דאמר ליה ללוה: הב לי מאה זוזי דפרעתי למלוה עילוך</w:t>
      </w:r>
      <w:r w:rsidRPr="001D49D4">
        <w:rPr>
          <w:rFonts w:ascii="Calibri" w:eastAsia="Calibri" w:hAnsi="Calibri" w:cs="Arial"/>
          <w:vertAlign w:val="superscript"/>
          <w:rtl/>
        </w:rPr>
        <w:footnoteReference w:id="4434"/>
      </w:r>
      <w:r w:rsidRPr="001D49D4">
        <w:rPr>
          <w:rFonts w:ascii="Calibri" w:eastAsia="Calibri" w:hAnsi="Calibri" w:cs="Arial"/>
          <w:rtl/>
        </w:rPr>
        <w:t>, והא שטרא</w:t>
      </w:r>
      <w:r w:rsidRPr="001D49D4">
        <w:rPr>
          <w:rFonts w:ascii="Calibri" w:eastAsia="Calibri" w:hAnsi="Calibri" w:cs="Arial"/>
          <w:vertAlign w:val="superscript"/>
          <w:rtl/>
        </w:rPr>
        <w:footnoteReference w:id="4435"/>
      </w:r>
      <w:r w:rsidRPr="001D49D4">
        <w:rPr>
          <w:rFonts w:ascii="Calibri" w:eastAsia="Calibri" w:hAnsi="Calibri" w:cs="Arial"/>
          <w:rtl/>
        </w:rPr>
        <w:t>. אמר ליה</w:t>
      </w:r>
      <w:r w:rsidRPr="001D49D4">
        <w:rPr>
          <w:rFonts w:ascii="Calibri" w:eastAsia="Calibri" w:hAnsi="Calibri" w:cs="Arial"/>
          <w:vertAlign w:val="superscript"/>
          <w:rtl/>
        </w:rPr>
        <w:footnoteReference w:id="4436"/>
      </w:r>
      <w:r w:rsidRPr="001D49D4">
        <w:rPr>
          <w:rFonts w:ascii="Calibri" w:eastAsia="Calibri" w:hAnsi="Calibri" w:cs="Arial"/>
          <w:rtl/>
        </w:rPr>
        <w:t>: לאו פרעתיך? אמר: לאו הדרת שקלתינהו מינאי</w:t>
      </w:r>
      <w:r w:rsidRPr="001D49D4">
        <w:rPr>
          <w:rFonts w:ascii="Calibri" w:eastAsia="Calibri" w:hAnsi="Calibri" w:cs="Arial"/>
          <w:vertAlign w:val="superscript"/>
          <w:rtl/>
        </w:rPr>
        <w:footnoteReference w:id="4437"/>
      </w:r>
      <w:r w:rsidRPr="001D49D4">
        <w:rPr>
          <w:rFonts w:ascii="Calibri" w:eastAsia="Calibri" w:hAnsi="Calibri" w:cs="Arial"/>
          <w:rtl/>
        </w:rPr>
        <w:t xml:space="preserve">? </w:t>
      </w:r>
      <w:r w:rsidRPr="001D49D4">
        <w:rPr>
          <w:rFonts w:ascii="Calibri" w:eastAsia="Calibri" w:hAnsi="Calibri" w:cs="Arial"/>
          <w:u w:val="single"/>
          <w:rtl/>
        </w:rPr>
        <w:t>שלחה רב אידי בר אבין לקמיה דאביי</w:t>
      </w:r>
      <w:r w:rsidRPr="001D49D4">
        <w:rPr>
          <w:rFonts w:ascii="Calibri" w:eastAsia="Calibri" w:hAnsi="Calibri" w:cs="Arial"/>
          <w:rtl/>
        </w:rPr>
        <w:t xml:space="preserve">: כי האי גוונא מאי? </w:t>
      </w:r>
      <w:r w:rsidRPr="001D49D4">
        <w:rPr>
          <w:rFonts w:ascii="Calibri" w:eastAsia="Calibri" w:hAnsi="Calibri" w:cs="Arial"/>
          <w:u w:val="single"/>
          <w:rtl/>
        </w:rPr>
        <w:t>שלח ליה אביי</w:t>
      </w:r>
      <w:r w:rsidRPr="001D49D4">
        <w:rPr>
          <w:rFonts w:ascii="Calibri" w:eastAsia="Calibri" w:hAnsi="Calibri" w:cs="Arial"/>
          <w:rtl/>
        </w:rPr>
        <w:t>: מאי תיבעי ליה? הא איהו דאמר: הלכתא כוותיה דרבה בארעא, והלכתא כוותיה דרב יוסף בזוזי - דהיכא דאוקמו זוזי לוקמו. והני מילי</w:t>
      </w:r>
      <w:r w:rsidRPr="001D49D4">
        <w:rPr>
          <w:rFonts w:ascii="Calibri" w:eastAsia="Calibri" w:hAnsi="Calibri" w:cs="Arial"/>
          <w:vertAlign w:val="superscript"/>
          <w:rtl/>
        </w:rPr>
        <w:footnoteReference w:id="4438"/>
      </w:r>
      <w:r w:rsidRPr="001D49D4">
        <w:rPr>
          <w:rFonts w:ascii="Calibri" w:eastAsia="Calibri" w:hAnsi="Calibri" w:cs="Arial"/>
          <w:rtl/>
        </w:rPr>
        <w:t xml:space="preserve"> - דא"ל: הדרת אוזפתינהו מינאי, אבל א"ל: הדרתינהו ניהלך מחמת דהוו שייפי וסומקי, אכתי איתיה לשעבודא דשטרא</w:t>
      </w:r>
      <w:r w:rsidRPr="001D49D4">
        <w:rPr>
          <w:rFonts w:ascii="Calibri" w:eastAsia="Calibri" w:hAnsi="Calibri" w:cs="Arial"/>
          <w:vertAlign w:val="superscript"/>
          <w:rtl/>
        </w:rPr>
        <w:footnoteReference w:id="4439"/>
      </w:r>
      <w:r w:rsidRPr="001D49D4">
        <w:rPr>
          <w:rFonts w:ascii="Calibri" w:eastAsia="Calibri" w:hAnsi="Calibri" w:cs="Arial"/>
          <w:rtl/>
        </w:rPr>
        <w:t xml:space="preserve">. </w:t>
      </w:r>
    </w:p>
    <w:p w14:paraId="25641E9C" w14:textId="77777777" w:rsidR="001D49D4" w:rsidRPr="001D49D4" w:rsidRDefault="001D49D4" w:rsidP="0004348D">
      <w:pPr>
        <w:spacing w:before="360" w:after="240"/>
        <w:rPr>
          <w:rFonts w:ascii="Calibri" w:eastAsia="Calibri" w:hAnsi="Calibri" w:cs="Arial"/>
          <w:u w:val="single"/>
          <w:rtl/>
        </w:rPr>
      </w:pPr>
      <w:r w:rsidRPr="001D49D4">
        <w:rPr>
          <w:rFonts w:ascii="Calibri" w:eastAsia="Calibri" w:hAnsi="Calibri" w:cs="Arial"/>
          <w:u w:val="single"/>
          <w:rtl/>
        </w:rPr>
        <w:t xml:space="preserve">שטר שלוה בו ופרעו והמלוה מחזיק בשטר וטוען שעדיין לא פרע – מתי נאמן: </w:t>
      </w:r>
    </w:p>
    <w:p w14:paraId="0CF70F6E" w14:textId="77777777" w:rsidR="001D49D4" w:rsidRPr="001D49D4" w:rsidRDefault="001D49D4" w:rsidP="0004348D">
      <w:pPr>
        <w:numPr>
          <w:ilvl w:val="0"/>
          <w:numId w:val="313"/>
        </w:numPr>
        <w:spacing w:before="360" w:after="240"/>
        <w:contextualSpacing/>
        <w:rPr>
          <w:rtl/>
        </w:rPr>
      </w:pPr>
      <w:r w:rsidRPr="001D49D4">
        <w:rPr>
          <w:rtl/>
        </w:rPr>
        <w:t xml:space="preserve">טור- שטר שלוה בו ופרעו אינו חוזר ולוה בו. ואם אמר לו הלוה 'פרעתיו', והשיב לו המלוה 'כן היה אבל החזרתים לך' - הרי מודה שנמחל שיעבודו ואינו גובה בו. אבל אם אמר 'החזרתים לך מפני שלא היו טובות או שתחליפם לי' - לא בטל השטר בכך. </w:t>
      </w:r>
      <w:r w:rsidRPr="001D49D4">
        <w:rPr>
          <w:color w:val="E36C0A" w:themeColor="accent6" w:themeShade="BF"/>
          <w:rtl/>
        </w:rPr>
        <w:t>(וכ"פ בשו"ע)</w:t>
      </w:r>
    </w:p>
    <w:p w14:paraId="7D17B0BF" w14:textId="77777777" w:rsidR="001D49D4" w:rsidRPr="001D49D4" w:rsidRDefault="001D49D4" w:rsidP="0004348D">
      <w:pPr>
        <w:spacing w:before="360" w:after="240"/>
        <w:rPr>
          <w:rFonts w:ascii="Arial" w:eastAsia="Calibri" w:hAnsi="Arial" w:cs="Arial"/>
          <w:b/>
          <w:bCs/>
          <w:color w:val="000000"/>
          <w:sz w:val="28"/>
          <w:szCs w:val="28"/>
          <w:u w:val="single"/>
          <w:rtl/>
        </w:rPr>
      </w:pPr>
      <w:r w:rsidRPr="001D49D4">
        <w:rPr>
          <w:rFonts w:ascii="Arial" w:eastAsia="Calibri" w:hAnsi="Arial" w:cs="Arial"/>
          <w:b/>
          <w:bCs/>
          <w:color w:val="000000"/>
          <w:sz w:val="28"/>
          <w:szCs w:val="28"/>
          <w:u w:val="single"/>
          <w:rtl/>
        </w:rPr>
        <w:t>שו"ע:</w:t>
      </w:r>
    </w:p>
    <w:p w14:paraId="10E47BA9"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rtl/>
        </w:rPr>
        <w:t>שטר שלוה בו ופרעו, אינו חוזר ולוה בו, כמו שנתבאר בסימן מ"ח. ואם אמר לו הלוה 'פרעתי', והשיב המלוה 'כן היה אבל החזרתים לך', הרי מודה שנמחל שעבודו ואינו גובה בו</w:t>
      </w:r>
      <w:r w:rsidRPr="001D49D4">
        <w:rPr>
          <w:rFonts w:ascii="Calibri" w:eastAsia="Calibri" w:hAnsi="Calibri" w:cs="Arial"/>
          <w:vertAlign w:val="superscript"/>
          <w:rtl/>
        </w:rPr>
        <w:footnoteReference w:id="4440"/>
      </w:r>
      <w:r w:rsidRPr="001D49D4">
        <w:rPr>
          <w:rFonts w:ascii="Calibri" w:eastAsia="Calibri" w:hAnsi="Calibri" w:cs="Arial"/>
          <w:rtl/>
        </w:rPr>
        <w:t>. אבל אם אמר 'החזרתים לך שתחליפם לי מפני שלא היו המעות יוצאים אלא על ידי הדחק</w:t>
      </w:r>
      <w:r w:rsidRPr="001D49D4">
        <w:rPr>
          <w:rFonts w:ascii="Calibri" w:eastAsia="Calibri" w:hAnsi="Calibri" w:cs="Arial"/>
          <w:vertAlign w:val="superscript"/>
          <w:rtl/>
        </w:rPr>
        <w:footnoteReference w:id="4441"/>
      </w:r>
      <w:r w:rsidRPr="001D49D4">
        <w:rPr>
          <w:rFonts w:ascii="Calibri" w:eastAsia="Calibri" w:hAnsi="Calibri" w:cs="Arial"/>
          <w:rtl/>
        </w:rPr>
        <w:t>', השטר קיים.</w:t>
      </w:r>
    </w:p>
    <w:p w14:paraId="2868C801" w14:textId="77777777" w:rsidR="001D49D4" w:rsidRPr="001D49D4" w:rsidRDefault="001D49D4" w:rsidP="0004348D">
      <w:pPr>
        <w:spacing w:before="360" w:after="240"/>
        <w:rPr>
          <w:rFonts w:ascii="Calibri" w:eastAsia="Calibri" w:hAnsi="Calibri" w:cs="Arial"/>
          <w:rtl/>
        </w:rPr>
      </w:pPr>
    </w:p>
    <w:p w14:paraId="56CD9E63" w14:textId="77777777" w:rsidR="001D49D4" w:rsidRPr="001D49D4" w:rsidRDefault="001D49D4" w:rsidP="0004348D">
      <w:pPr>
        <w:bidi w:val="0"/>
        <w:spacing w:before="360" w:after="240"/>
        <w:rPr>
          <w:rFonts w:ascii="Cambria" w:eastAsia="Times New Roman" w:hAnsi="Cambria" w:cs="Arial"/>
          <w:b/>
          <w:bCs/>
          <w:color w:val="365F91" w:themeColor="accent1" w:themeShade="BF"/>
          <w:sz w:val="28"/>
          <w:szCs w:val="28"/>
          <w:rtl/>
        </w:rPr>
        <w:sectPr w:rsidR="001D49D4" w:rsidRPr="001D49D4">
          <w:headerReference w:type="default" r:id="rId66"/>
          <w:footnotePr>
            <w:numRestart w:val="eachPage"/>
          </w:footnotePr>
          <w:pgSz w:w="11906" w:h="16838"/>
          <w:pgMar w:top="720" w:right="1134" w:bottom="720" w:left="1134" w:header="0" w:footer="0" w:gutter="0"/>
          <w:cols w:space="720"/>
          <w:bidi/>
          <w:rtlGutter/>
        </w:sectPr>
      </w:pPr>
    </w:p>
    <w:p w14:paraId="29421582" w14:textId="77777777" w:rsidR="001D49D4" w:rsidRPr="001D49D4" w:rsidRDefault="001D49D4" w:rsidP="0004348D">
      <w:pPr>
        <w:keepNext/>
        <w:keepLines/>
        <w:spacing w:before="360" w:after="240"/>
        <w:outlineLvl w:val="0"/>
        <w:rPr>
          <w:rFonts w:ascii="Cambria" w:eastAsia="Times New Roman" w:hAnsi="Cambria" w:cs="Arial"/>
          <w:b/>
          <w:bCs/>
          <w:color w:val="365F91" w:themeColor="accent1" w:themeShade="BF"/>
          <w:sz w:val="28"/>
          <w:szCs w:val="28"/>
          <w:rtl/>
        </w:rPr>
      </w:pPr>
      <w:bookmarkStart w:id="598" w:name="_Toc24884024"/>
      <w:r w:rsidRPr="001D49D4">
        <w:rPr>
          <w:rFonts w:ascii="Cambria" w:eastAsia="Times New Roman" w:hAnsi="Cambria" w:cs="Arial"/>
          <w:b/>
          <w:bCs/>
          <w:color w:val="365F91" w:themeColor="accent1" w:themeShade="BF"/>
          <w:sz w:val="28"/>
          <w:szCs w:val="28"/>
          <w:rtl/>
        </w:rPr>
        <w:t>סימן נח: מי שהוציא שטר חוב על חבירו, וטענת סטראי, ובו ה' סעיפים.</w:t>
      </w:r>
      <w:bookmarkEnd w:id="598"/>
      <w:r w:rsidRPr="001D49D4">
        <w:rPr>
          <w:rFonts w:ascii="Cambria" w:eastAsia="Times New Roman" w:hAnsi="Cambria" w:cs="Arial"/>
          <w:b/>
          <w:bCs/>
          <w:color w:val="365F91" w:themeColor="accent1" w:themeShade="BF"/>
          <w:sz w:val="28"/>
          <w:szCs w:val="28"/>
          <w:rtl/>
        </w:rPr>
        <w:t xml:space="preserve"> </w:t>
      </w:r>
    </w:p>
    <w:p w14:paraId="673FD206" w14:textId="77777777" w:rsidR="001D49D4" w:rsidRPr="001D49D4" w:rsidRDefault="001D49D4" w:rsidP="0004348D">
      <w:pPr>
        <w:keepNext/>
        <w:keepLines/>
        <w:spacing w:before="360" w:after="240"/>
        <w:outlineLvl w:val="1"/>
        <w:rPr>
          <w:rFonts w:ascii="Cambria" w:eastAsia="Times New Roman" w:hAnsi="Cambria" w:cs="Arial"/>
          <w:bCs/>
          <w:color w:val="548DD4" w:themeColor="text2" w:themeTint="99"/>
          <w:sz w:val="26"/>
          <w:szCs w:val="26"/>
          <w:rtl/>
        </w:rPr>
      </w:pPr>
      <w:bookmarkStart w:id="599" w:name="_Toc24884025"/>
      <w:r w:rsidRPr="001D49D4">
        <w:rPr>
          <w:rFonts w:ascii="Cambria" w:eastAsia="Times New Roman" w:hAnsi="Cambria" w:cs="Arial"/>
          <w:bCs/>
          <w:color w:val="548DD4" w:themeColor="text2" w:themeTint="99"/>
          <w:sz w:val="26"/>
          <w:szCs w:val="26"/>
          <w:rtl/>
        </w:rPr>
        <w:t>סעיף א: המוציא שטר על הלוה, וטען הלוה שפרע, ואמר לו 'מה שפרעת הוא על מלוה ע"פ'.</w:t>
      </w:r>
      <w:bookmarkEnd w:id="599"/>
      <w:r w:rsidRPr="001D49D4">
        <w:rPr>
          <w:rFonts w:ascii="Cambria" w:eastAsia="Times New Roman" w:hAnsi="Cambria" w:cs="Arial"/>
          <w:bCs/>
          <w:color w:val="548DD4" w:themeColor="text2" w:themeTint="99"/>
          <w:sz w:val="26"/>
          <w:szCs w:val="26"/>
          <w:rtl/>
        </w:rPr>
        <w:t xml:space="preserve"> </w:t>
      </w:r>
    </w:p>
    <w:p w14:paraId="16691A0E"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b/>
          <w:bCs/>
          <w:rtl/>
        </w:rPr>
        <w:t xml:space="preserve">שבועות </w:t>
      </w:r>
      <w:r w:rsidRPr="001D49D4">
        <w:rPr>
          <w:rFonts w:ascii="Calibri" w:eastAsia="Calibri" w:hAnsi="Calibri" w:cs="Arial"/>
          <w:b/>
          <w:bCs/>
          <w:sz w:val="16"/>
          <w:szCs w:val="16"/>
          <w:rtl/>
        </w:rPr>
        <w:t xml:space="preserve">(פרק שבועת הדיינין) </w:t>
      </w:r>
      <w:r w:rsidRPr="001D49D4">
        <w:rPr>
          <w:rFonts w:ascii="Calibri" w:eastAsia="Calibri" w:hAnsi="Calibri" w:cs="Arial"/>
          <w:b/>
          <w:bCs/>
          <w:rtl/>
        </w:rPr>
        <w:t>מב</w:t>
      </w:r>
      <w:r w:rsidRPr="001D49D4">
        <w:rPr>
          <w:rFonts w:ascii="Calibri" w:eastAsia="Calibri" w:hAnsi="Calibri" w:cs="Arial"/>
          <w:b/>
          <w:bCs/>
          <w:vertAlign w:val="superscript"/>
          <w:rtl/>
        </w:rPr>
        <w:footnoteReference w:id="4442"/>
      </w:r>
      <w:r w:rsidRPr="001D49D4">
        <w:rPr>
          <w:rFonts w:ascii="Calibri" w:eastAsia="Calibri" w:hAnsi="Calibri" w:cs="Arial"/>
          <w:b/>
          <w:bCs/>
          <w:rtl/>
        </w:rPr>
        <w:t xml:space="preserve"> ע"א:</w:t>
      </w:r>
      <w:r w:rsidRPr="001D49D4">
        <w:rPr>
          <w:rFonts w:ascii="Calibri" w:eastAsia="Calibri" w:hAnsi="Calibri" w:cs="Arial"/>
          <w:rtl/>
        </w:rPr>
        <w:t xml:space="preserve"> ההוא דא"ל לחבריה: הב לי מאה זוזי דמסיקנא בך והא שטרא. א"ל: פרעתיך. אמר ליה: הנהו סיטראי נינהו</w:t>
      </w:r>
      <w:r w:rsidRPr="001D49D4">
        <w:rPr>
          <w:rFonts w:ascii="Calibri" w:eastAsia="Calibri" w:hAnsi="Calibri" w:cs="Arial"/>
          <w:vertAlign w:val="superscript"/>
          <w:rtl/>
        </w:rPr>
        <w:footnoteReference w:id="4443"/>
      </w:r>
      <w:r w:rsidRPr="001D49D4">
        <w:rPr>
          <w:rFonts w:ascii="Calibri" w:eastAsia="Calibri" w:hAnsi="Calibri" w:cs="Arial"/>
          <w:rtl/>
        </w:rPr>
        <w:t xml:space="preserve">. </w:t>
      </w:r>
      <w:r w:rsidRPr="001D49D4">
        <w:rPr>
          <w:rFonts w:ascii="Calibri" w:eastAsia="Calibri" w:hAnsi="Calibri" w:cs="Arial"/>
          <w:u w:val="single"/>
          <w:rtl/>
        </w:rPr>
        <w:t>אמר רב נחמן</w:t>
      </w:r>
      <w:r w:rsidRPr="001D49D4">
        <w:rPr>
          <w:rFonts w:ascii="Calibri" w:eastAsia="Calibri" w:hAnsi="Calibri" w:cs="Arial"/>
          <w:rtl/>
        </w:rPr>
        <w:t>: איתרע שטרא</w:t>
      </w:r>
      <w:r w:rsidRPr="001D49D4">
        <w:rPr>
          <w:rFonts w:ascii="Calibri" w:eastAsia="Calibri" w:hAnsi="Calibri" w:cs="Arial"/>
          <w:vertAlign w:val="superscript"/>
          <w:rtl/>
        </w:rPr>
        <w:footnoteReference w:id="4444"/>
      </w:r>
      <w:r w:rsidRPr="001D49D4">
        <w:rPr>
          <w:rFonts w:ascii="Calibri" w:eastAsia="Calibri" w:hAnsi="Calibri" w:cs="Arial"/>
          <w:rtl/>
        </w:rPr>
        <w:t xml:space="preserve">. </w:t>
      </w:r>
      <w:r w:rsidRPr="001D49D4">
        <w:rPr>
          <w:rFonts w:ascii="Calibri" w:eastAsia="Calibri" w:hAnsi="Calibri" w:cs="Arial"/>
          <w:u w:val="single"/>
          <w:rtl/>
        </w:rPr>
        <w:t>רב פפא אמר</w:t>
      </w:r>
      <w:r w:rsidRPr="001D49D4">
        <w:rPr>
          <w:rFonts w:ascii="Calibri" w:eastAsia="Calibri" w:hAnsi="Calibri" w:cs="Arial"/>
          <w:rtl/>
        </w:rPr>
        <w:t xml:space="preserve">: לא איתרע שטרא... מאי הוי עלה? </w:t>
      </w:r>
      <w:r w:rsidRPr="001D49D4">
        <w:rPr>
          <w:rFonts w:ascii="Calibri" w:eastAsia="Calibri" w:hAnsi="Calibri" w:cs="Arial"/>
          <w:u w:val="single"/>
          <w:rtl/>
        </w:rPr>
        <w:t>רב פפי אמר</w:t>
      </w:r>
      <w:r w:rsidRPr="001D49D4">
        <w:rPr>
          <w:rFonts w:ascii="Calibri" w:eastAsia="Calibri" w:hAnsi="Calibri" w:cs="Arial"/>
          <w:rtl/>
        </w:rPr>
        <w:t xml:space="preserve">: לא איתרע שטרא, </w:t>
      </w:r>
      <w:r w:rsidRPr="001D49D4">
        <w:rPr>
          <w:rFonts w:ascii="Calibri" w:eastAsia="Calibri" w:hAnsi="Calibri" w:cs="Arial"/>
          <w:u w:val="single"/>
          <w:rtl/>
        </w:rPr>
        <w:t>רב ששת בריה דרב אידי אמר</w:t>
      </w:r>
      <w:r w:rsidRPr="001D49D4">
        <w:rPr>
          <w:rFonts w:ascii="Calibri" w:eastAsia="Calibri" w:hAnsi="Calibri" w:cs="Arial"/>
          <w:rtl/>
        </w:rPr>
        <w:t>: איתרע שטרא. והלכתא: איתרע שטרא. והני מילי, דפרעיה באפי סהדי ולא אידכר ליה שטרא, אבל פרעיה בין דידיה לדידיה, מיגו דיכול למימר לא היו דברים מעולם, יכול נמי למימר סיטראי נינהו, וכדאבימי בריה דר' אבהו.</w:t>
      </w:r>
    </w:p>
    <w:p w14:paraId="591957D0"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b/>
          <w:bCs/>
          <w:rtl/>
        </w:rPr>
        <w:t xml:space="preserve">כתובות </w:t>
      </w:r>
      <w:r w:rsidRPr="001D49D4">
        <w:rPr>
          <w:rFonts w:ascii="Calibri" w:eastAsia="Calibri" w:hAnsi="Calibri" w:cs="Arial"/>
          <w:b/>
          <w:bCs/>
          <w:sz w:val="16"/>
          <w:szCs w:val="16"/>
          <w:rtl/>
        </w:rPr>
        <w:t xml:space="preserve">(פרק הכותב) </w:t>
      </w:r>
      <w:r w:rsidRPr="001D49D4">
        <w:rPr>
          <w:rFonts w:ascii="Calibri" w:eastAsia="Calibri" w:hAnsi="Calibri" w:cs="Arial"/>
          <w:b/>
          <w:bCs/>
          <w:rtl/>
        </w:rPr>
        <w:t>פה</w:t>
      </w:r>
      <w:r w:rsidRPr="001D49D4">
        <w:rPr>
          <w:rFonts w:ascii="Calibri" w:eastAsia="Calibri" w:hAnsi="Calibri" w:cs="Arial"/>
          <w:b/>
          <w:bCs/>
          <w:vertAlign w:val="superscript"/>
          <w:rtl/>
        </w:rPr>
        <w:footnoteReference w:id="4445"/>
      </w:r>
      <w:r w:rsidRPr="001D49D4">
        <w:rPr>
          <w:rFonts w:ascii="Calibri" w:eastAsia="Calibri" w:hAnsi="Calibri" w:cs="Arial"/>
          <w:b/>
          <w:bCs/>
          <w:rtl/>
        </w:rPr>
        <w:t xml:space="preserve"> ע"א:</w:t>
      </w:r>
      <w:r w:rsidRPr="001D49D4">
        <w:rPr>
          <w:rFonts w:ascii="Calibri" w:eastAsia="Calibri" w:hAnsi="Calibri" w:cs="Arial"/>
          <w:rtl/>
        </w:rPr>
        <w:t xml:space="preserve"> אבימי בריה דרבי אבהו הוו מסקי ביה זוזי בי חוזאי</w:t>
      </w:r>
      <w:r w:rsidRPr="001D49D4">
        <w:rPr>
          <w:rFonts w:ascii="Calibri" w:eastAsia="Calibri" w:hAnsi="Calibri" w:cs="Arial"/>
          <w:vertAlign w:val="superscript"/>
          <w:rtl/>
        </w:rPr>
        <w:footnoteReference w:id="4446"/>
      </w:r>
      <w:r w:rsidRPr="001D49D4">
        <w:rPr>
          <w:rFonts w:ascii="Calibri" w:eastAsia="Calibri" w:hAnsi="Calibri" w:cs="Arial"/>
          <w:rtl/>
        </w:rPr>
        <w:t>, שדרינהו ביד חמא בריה דרבה בר אבהו, אזל פרעינהו. אמר להו: הבו לי שטרא. אמרו ליה: סיטראי נינהו</w:t>
      </w:r>
      <w:r w:rsidRPr="001D49D4">
        <w:rPr>
          <w:rFonts w:ascii="Calibri" w:eastAsia="Calibri" w:hAnsi="Calibri" w:cs="Arial"/>
          <w:vertAlign w:val="superscript"/>
          <w:rtl/>
        </w:rPr>
        <w:footnoteReference w:id="4447"/>
      </w:r>
      <w:r w:rsidRPr="001D49D4">
        <w:rPr>
          <w:rFonts w:ascii="Calibri" w:eastAsia="Calibri" w:hAnsi="Calibri" w:cs="Arial"/>
          <w:rtl/>
        </w:rPr>
        <w:t>. אתא לקמיה דרבי אבהו, א"ל: אית לך סהדי דפרעתינהו? אמר ליה: לא, אמר ליה: מיגו דיכולין לומר לא היו דברים מעולם, יכולין נמי למימר סיטראי נינהו. לענין שלומי שליח</w:t>
      </w:r>
      <w:r w:rsidRPr="001D49D4">
        <w:rPr>
          <w:rFonts w:ascii="Calibri" w:eastAsia="Calibri" w:hAnsi="Calibri" w:cs="Arial"/>
          <w:vertAlign w:val="superscript"/>
          <w:rtl/>
        </w:rPr>
        <w:footnoteReference w:id="4448"/>
      </w:r>
      <w:r w:rsidRPr="001D49D4">
        <w:rPr>
          <w:rFonts w:ascii="Calibri" w:eastAsia="Calibri" w:hAnsi="Calibri" w:cs="Arial"/>
          <w:rtl/>
        </w:rPr>
        <w:t xml:space="preserve"> מאי</w:t>
      </w:r>
      <w:r w:rsidRPr="001D49D4">
        <w:rPr>
          <w:rFonts w:ascii="Calibri" w:eastAsia="Calibri" w:hAnsi="Calibri" w:cs="Arial"/>
          <w:vertAlign w:val="superscript"/>
          <w:rtl/>
        </w:rPr>
        <w:footnoteReference w:id="4449"/>
      </w:r>
      <w:r w:rsidRPr="001D49D4">
        <w:rPr>
          <w:rFonts w:ascii="Calibri" w:eastAsia="Calibri" w:hAnsi="Calibri" w:cs="Arial"/>
          <w:rtl/>
        </w:rPr>
        <w:t xml:space="preserve">? </w:t>
      </w:r>
      <w:r w:rsidRPr="001D49D4">
        <w:rPr>
          <w:rFonts w:ascii="Calibri" w:eastAsia="Calibri" w:hAnsi="Calibri" w:cs="Arial"/>
          <w:u w:val="single"/>
          <w:rtl/>
        </w:rPr>
        <w:t>אמר רב אשי</w:t>
      </w:r>
      <w:r w:rsidRPr="001D49D4">
        <w:rPr>
          <w:rFonts w:ascii="Calibri" w:eastAsia="Calibri" w:hAnsi="Calibri" w:cs="Arial"/>
          <w:rtl/>
        </w:rPr>
        <w:t>: חזינן, אי א"ל שקול שטרא והב זוזי - משלם, הב זוזי ושקול שטרא - לא משלם. ולא היא, בין כך ובין כך משלם, דא"ל: לתקוני שדרתיך ולא לעוותי</w:t>
      </w:r>
      <w:r w:rsidRPr="001D49D4">
        <w:rPr>
          <w:rFonts w:ascii="Calibri" w:eastAsia="Calibri" w:hAnsi="Calibri" w:cs="Arial"/>
          <w:vertAlign w:val="superscript"/>
          <w:rtl/>
        </w:rPr>
        <w:footnoteReference w:id="4450"/>
      </w:r>
      <w:r w:rsidRPr="001D49D4">
        <w:rPr>
          <w:rFonts w:ascii="Calibri" w:eastAsia="Calibri" w:hAnsi="Calibri" w:cs="Arial"/>
          <w:rtl/>
        </w:rPr>
        <w:t>.</w:t>
      </w:r>
    </w:p>
    <w:p w14:paraId="3C4AA067"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u w:val="single"/>
          <w:rtl/>
        </w:rPr>
        <w:t>מלוה שהוציא שטר על חברו והלוה טוען שפרע לו, והמלוה טוען שהפריעה הייתה על מלוה על פה שהיה חייב לו:</w:t>
      </w:r>
    </w:p>
    <w:p w14:paraId="15F86118" w14:textId="77777777" w:rsidR="001D49D4" w:rsidRPr="001D49D4" w:rsidRDefault="001D49D4" w:rsidP="0004348D">
      <w:pPr>
        <w:numPr>
          <w:ilvl w:val="0"/>
          <w:numId w:val="313"/>
        </w:numPr>
        <w:spacing w:before="360" w:after="240"/>
        <w:contextualSpacing/>
        <w:rPr>
          <w:rtl/>
        </w:rPr>
      </w:pPr>
      <w:r w:rsidRPr="001D49D4">
        <w:rPr>
          <w:rtl/>
        </w:rPr>
        <w:t>טור- מי שהוציא שטר על חבירו, ואמר ליה פרעתיך, והשיב לו אמת שקבלתים ממך אבל מלוה אחרת יש לי עליך על פה ובשבילה קבלתים וזה השטר עדיין בחזקתו עומד, אם לא נתנו לו בפני עדים – נאמן, והשטר עדיין בחזקתו וגובה בו בלא שבועה אם יש בו נאמנות</w:t>
      </w:r>
      <w:r w:rsidRPr="001D49D4">
        <w:rPr>
          <w:vertAlign w:val="superscript"/>
          <w:rtl/>
        </w:rPr>
        <w:footnoteReference w:id="4451"/>
      </w:r>
      <w:r w:rsidRPr="001D49D4">
        <w:rPr>
          <w:rtl/>
        </w:rPr>
        <w:t xml:space="preserve">, ואם אח"כ יתבענו שלקח ממנו שלא כדין נשבע זה היסת ונפטר, ואם אין בו נאמנות אינו נוטל אלא בשבועה. </w:t>
      </w:r>
      <w:r w:rsidRPr="001D49D4">
        <w:rPr>
          <w:color w:val="E36C0A" w:themeColor="accent6" w:themeShade="BF"/>
          <w:rtl/>
        </w:rPr>
        <w:t>(וכ"פ בשו"ע)</w:t>
      </w:r>
    </w:p>
    <w:p w14:paraId="74B188BE" w14:textId="77777777" w:rsidR="001D49D4" w:rsidRPr="001D49D4" w:rsidRDefault="001D49D4" w:rsidP="0004348D">
      <w:pPr>
        <w:spacing w:before="360" w:after="240"/>
        <w:ind w:left="360"/>
        <w:rPr>
          <w:rFonts w:ascii="Calibri" w:eastAsia="Calibri" w:hAnsi="Calibri" w:cs="Arial"/>
          <w:u w:val="dotted"/>
        </w:rPr>
      </w:pPr>
      <w:r w:rsidRPr="001D49D4">
        <w:rPr>
          <w:rFonts w:ascii="Calibri" w:eastAsia="Calibri" w:hAnsi="Calibri" w:cs="Arial"/>
          <w:u w:val="dotted"/>
          <w:rtl/>
        </w:rPr>
        <w:t>ומה הדין אם הלוה פרע לו ע"י שליח – האם השליח חייב לשלם ללוה על שלא לקח את השטר:</w:t>
      </w:r>
    </w:p>
    <w:p w14:paraId="59D7D59C" w14:textId="77777777" w:rsidR="001D49D4" w:rsidRPr="001D49D4" w:rsidRDefault="001D49D4" w:rsidP="0004348D">
      <w:pPr>
        <w:numPr>
          <w:ilvl w:val="0"/>
          <w:numId w:val="313"/>
        </w:numPr>
        <w:spacing w:before="360" w:after="240"/>
        <w:contextualSpacing/>
      </w:pPr>
      <w:r w:rsidRPr="001D49D4">
        <w:rPr>
          <w:rtl/>
        </w:rPr>
        <w:t>טור- ואם לא נתן לו המעות אלא שלחם ביד שליח - חייב השליח לפרוע למשלח</w:t>
      </w:r>
      <w:r w:rsidRPr="001D49D4">
        <w:rPr>
          <w:vertAlign w:val="superscript"/>
          <w:rtl/>
        </w:rPr>
        <w:footnoteReference w:id="4452"/>
      </w:r>
      <w:r w:rsidRPr="001D49D4">
        <w:rPr>
          <w:rtl/>
        </w:rPr>
        <w:t xml:space="preserve">. </w:t>
      </w:r>
      <w:r w:rsidRPr="001D49D4">
        <w:rPr>
          <w:color w:val="E36C0A" w:themeColor="accent6" w:themeShade="BF"/>
          <w:rtl/>
        </w:rPr>
        <w:t>(וכ"פ בשו"ע)</w:t>
      </w:r>
      <w:r w:rsidRPr="001D49D4">
        <w:rPr>
          <w:rtl/>
        </w:rPr>
        <w:t xml:space="preserve"> </w:t>
      </w:r>
    </w:p>
    <w:p w14:paraId="482AB3CA" w14:textId="77777777" w:rsidR="001D49D4" w:rsidRPr="001D49D4" w:rsidRDefault="001D49D4" w:rsidP="0004348D">
      <w:pPr>
        <w:spacing w:before="360" w:after="240"/>
        <w:ind w:left="360"/>
        <w:rPr>
          <w:rFonts w:ascii="Calibri" w:eastAsia="Calibri" w:hAnsi="Calibri" w:cs="Arial"/>
          <w:u w:val="dotted"/>
        </w:rPr>
      </w:pPr>
      <w:r w:rsidRPr="001D49D4">
        <w:rPr>
          <w:rFonts w:ascii="Calibri" w:eastAsia="Calibri" w:hAnsi="Calibri" w:cs="Arial"/>
          <w:u w:val="dotted"/>
          <w:rtl/>
        </w:rPr>
        <w:t>האם כשהלוה אמר לשליח שחוב בשטר היה לו עליו – הוי כאומר לו בפירוש ליקח השטר:</w:t>
      </w:r>
    </w:p>
    <w:p w14:paraId="2940185D" w14:textId="77777777" w:rsidR="001D49D4" w:rsidRPr="001D49D4" w:rsidRDefault="001D49D4" w:rsidP="0004348D">
      <w:pPr>
        <w:numPr>
          <w:ilvl w:val="0"/>
          <w:numId w:val="313"/>
        </w:numPr>
        <w:spacing w:before="360" w:after="240"/>
        <w:contextualSpacing/>
      </w:pPr>
      <w:r w:rsidRPr="001D49D4">
        <w:rPr>
          <w:rtl/>
        </w:rPr>
        <w:t>טור- בד"א שאמר לו בפירוש ליקח השטר מיד המלוה</w:t>
      </w:r>
      <w:r w:rsidRPr="001D49D4">
        <w:rPr>
          <w:vertAlign w:val="superscript"/>
          <w:rtl/>
        </w:rPr>
        <w:footnoteReference w:id="4453"/>
      </w:r>
      <w:r w:rsidRPr="001D49D4">
        <w:rPr>
          <w:rtl/>
        </w:rPr>
        <w:t>, אבל אם לא הזכיר לו השטר וגם לא אמר לו שיתן בפני עדים</w:t>
      </w:r>
      <w:r w:rsidRPr="001D49D4">
        <w:rPr>
          <w:vertAlign w:val="superscript"/>
          <w:rtl/>
        </w:rPr>
        <w:footnoteReference w:id="4454"/>
      </w:r>
      <w:r w:rsidRPr="001D49D4">
        <w:rPr>
          <w:rtl/>
        </w:rPr>
        <w:t xml:space="preserve"> - פטור השליח</w:t>
      </w:r>
      <w:r w:rsidRPr="001D49D4">
        <w:rPr>
          <w:vertAlign w:val="superscript"/>
          <w:rtl/>
        </w:rPr>
        <w:footnoteReference w:id="4455"/>
      </w:r>
      <w:r w:rsidRPr="001D49D4">
        <w:rPr>
          <w:rtl/>
        </w:rPr>
        <w:t>.</w:t>
      </w:r>
      <w:r w:rsidRPr="001D49D4">
        <w:rPr>
          <w:color w:val="E36C0A" w:themeColor="accent6" w:themeShade="BF"/>
          <w:rtl/>
        </w:rPr>
        <w:t xml:space="preserve"> (וכ"פ בשו"ע)</w:t>
      </w:r>
      <w:r w:rsidRPr="001D49D4">
        <w:rPr>
          <w:rtl/>
        </w:rPr>
        <w:t xml:space="preserve"> (וכ"כ הש"ך </w:t>
      </w:r>
      <w:r w:rsidRPr="001D49D4">
        <w:rPr>
          <w:sz w:val="16"/>
          <w:szCs w:val="16"/>
          <w:rtl/>
        </w:rPr>
        <w:t>[סק"ה]</w:t>
      </w:r>
      <w:r w:rsidRPr="001D49D4">
        <w:rPr>
          <w:rtl/>
        </w:rPr>
        <w:t>)</w:t>
      </w:r>
    </w:p>
    <w:p w14:paraId="1AF3624F" w14:textId="77777777" w:rsidR="001D49D4" w:rsidRPr="001D49D4" w:rsidRDefault="001D49D4" w:rsidP="0004348D">
      <w:pPr>
        <w:numPr>
          <w:ilvl w:val="0"/>
          <w:numId w:val="313"/>
        </w:numPr>
        <w:spacing w:before="360" w:after="240"/>
        <w:contextualSpacing/>
      </w:pPr>
      <w:r w:rsidRPr="001D49D4">
        <w:rPr>
          <w:rtl/>
        </w:rPr>
        <w:t xml:space="preserve">ריטב"א </w:t>
      </w:r>
      <w:r w:rsidRPr="001D49D4">
        <w:rPr>
          <w:sz w:val="16"/>
          <w:szCs w:val="16"/>
          <w:rtl/>
        </w:rPr>
        <w:t>(סי' קפד)</w:t>
      </w:r>
      <w:r w:rsidRPr="001D49D4">
        <w:rPr>
          <w:rtl/>
        </w:rPr>
        <w:t>- כששלח אותו על חוב שבשטר - הוי כאומר לו בפירוש ליקח השטר, שכן דרך בני אדם, לקבל השטר. אבל היא דאין שטר חוב - אין דרך בני אדם לעשות כן</w:t>
      </w:r>
      <w:r w:rsidRPr="001D49D4">
        <w:rPr>
          <w:sz w:val="16"/>
          <w:szCs w:val="16"/>
          <w:rtl/>
        </w:rPr>
        <w:t xml:space="preserve"> (ע"פ ל' הריטב"א)</w:t>
      </w:r>
      <w:r w:rsidRPr="001D49D4">
        <w:rPr>
          <w:vertAlign w:val="superscript"/>
          <w:rtl/>
        </w:rPr>
        <w:footnoteReference w:id="4456"/>
      </w:r>
      <w:r w:rsidRPr="001D49D4">
        <w:rPr>
          <w:rtl/>
        </w:rPr>
        <w:t>.</w:t>
      </w:r>
    </w:p>
    <w:p w14:paraId="060F1EDC" w14:textId="77777777" w:rsidR="001D49D4" w:rsidRPr="001D49D4" w:rsidRDefault="001D49D4" w:rsidP="0004348D">
      <w:pPr>
        <w:spacing w:before="360" w:after="240"/>
        <w:rPr>
          <w:rFonts w:ascii="Calibri" w:eastAsia="Calibri" w:hAnsi="Calibri" w:cs="Arial"/>
          <w:sz w:val="16"/>
          <w:szCs w:val="16"/>
        </w:rPr>
      </w:pPr>
      <w:r w:rsidRPr="001D49D4">
        <w:rPr>
          <w:rFonts w:ascii="Calibri" w:eastAsia="Calibri" w:hAnsi="Calibri" w:cs="Arial"/>
          <w:u w:val="single"/>
          <w:rtl/>
        </w:rPr>
        <w:t>אדם שהופקדו אצלו חפצים של בעל חובו ע"י אדם שלישי:</w:t>
      </w:r>
      <w:r w:rsidRPr="001D49D4">
        <w:rPr>
          <w:rFonts w:ascii="Calibri" w:eastAsia="Calibri" w:hAnsi="Calibri" w:cs="Arial"/>
          <w:sz w:val="16"/>
          <w:szCs w:val="16"/>
          <w:rtl/>
        </w:rPr>
        <w:t xml:space="preserve">  (דרכ"מ אות א)</w:t>
      </w:r>
    </w:p>
    <w:p w14:paraId="0D1F8D34" w14:textId="77777777" w:rsidR="001D49D4" w:rsidRPr="001D49D4" w:rsidRDefault="001D49D4" w:rsidP="0004348D">
      <w:pPr>
        <w:numPr>
          <w:ilvl w:val="0"/>
          <w:numId w:val="313"/>
        </w:numPr>
        <w:spacing w:before="360" w:after="240"/>
        <w:contextualSpacing/>
      </w:pPr>
      <w:r w:rsidRPr="001D49D4">
        <w:rPr>
          <w:rtl/>
        </w:rPr>
        <w:t xml:space="preserve">ריב"ש </w:t>
      </w:r>
      <w:r w:rsidRPr="001D49D4">
        <w:rPr>
          <w:sz w:val="16"/>
          <w:szCs w:val="16"/>
          <w:rtl/>
        </w:rPr>
        <w:t>(סי' שצג)</w:t>
      </w:r>
      <w:r w:rsidRPr="001D49D4">
        <w:rPr>
          <w:rtl/>
        </w:rPr>
        <w:t>- שאלת, לאה שהפקידה כלים ביד רחל, ורחל אומרת שהן של ראובן והוא חייב לה. תשובה, אם רחל טוענת שלאה הפקידתן בידה בשליחותו של ראובן ובשם ראובן הפקידתן בידה - נאמנת עליהן לטעון עד כדי דמיהן במגו דהחזרתי לך, ואע"ג דלאה תפסיד ע"י זה ותצטרך לשלם לראובן. אבל אם רחל טוענת שלאה הפקידתן בידה בשמה אלא שמאחר שהן של ראובן רצונה לעכבן - צריכה להחזירן ללאה שלא תפסיד לאה על ידה מאחר שלא תוכל לברר שראובן חייב לה. (וכ"פ הש"ך</w:t>
      </w:r>
      <w:r w:rsidRPr="001D49D4">
        <w:rPr>
          <w:sz w:val="16"/>
          <w:szCs w:val="16"/>
          <w:rtl/>
        </w:rPr>
        <w:t xml:space="preserve"> [סק"ז]</w:t>
      </w:r>
      <w:r w:rsidRPr="001D49D4">
        <w:rPr>
          <w:rtl/>
        </w:rPr>
        <w:t>)</w:t>
      </w:r>
    </w:p>
    <w:p w14:paraId="0E78CEF9" w14:textId="77777777" w:rsidR="001D49D4" w:rsidRPr="001D49D4" w:rsidRDefault="001D49D4" w:rsidP="0004348D">
      <w:pPr>
        <w:numPr>
          <w:ilvl w:val="0"/>
          <w:numId w:val="313"/>
        </w:numPr>
        <w:spacing w:before="360" w:after="240"/>
        <w:contextualSpacing/>
      </w:pPr>
      <w:r w:rsidRPr="001D49D4">
        <w:rPr>
          <w:rtl/>
        </w:rPr>
        <w:t xml:space="preserve">ריטב"א </w:t>
      </w:r>
      <w:r w:rsidRPr="001D49D4">
        <w:rPr>
          <w:sz w:val="16"/>
          <w:szCs w:val="16"/>
          <w:rtl/>
        </w:rPr>
        <w:t>(סי' קפה)</w:t>
      </w:r>
      <w:r w:rsidRPr="001D49D4">
        <w:rPr>
          <w:rtl/>
        </w:rPr>
        <w:t>- היכא שהשאיל ראובן כליו לשמעון, וחזר שמעון והשאילו ללוי. ובא לוי לתפוס בו בשביל ראובן ויש לו מגו, מהו... תשובה, נראה דהא לא דמיא, דהכא כיון שבתורת שאלה קבלו משמעון - נתחייב לו בשמירתו ולהשיב</w:t>
      </w:r>
      <w:r w:rsidRPr="001D49D4">
        <w:rPr>
          <w:vertAlign w:val="superscript"/>
          <w:rtl/>
        </w:rPr>
        <w:footnoteReference w:id="4457"/>
      </w:r>
      <w:r w:rsidRPr="001D49D4">
        <w:rPr>
          <w:rtl/>
        </w:rPr>
        <w:t xml:space="preserve">, ולא דמיא לההוא עובדא דאבימי דשאני התם דברשות בעל דבר הגיעו לידו וכאלו קבלם מידו אלא שזה פשע בשמירתו כשלא קבל השטר, ולית הלכתא כמאן דאמר כל המשנה על דעת שולחו נתבטל שליחותו ונעשה גזלן. ומיהו אם לא הפקידו לוי לשמעון כלל אלא שתפס בו מרשות שמעון או מידו שלא מדעתו - נראה שתפיסתו תפיסה, ואידך </w:t>
      </w:r>
      <w:r w:rsidRPr="001D49D4">
        <w:rPr>
          <w:sz w:val="16"/>
          <w:szCs w:val="16"/>
          <w:rtl/>
        </w:rPr>
        <w:t xml:space="preserve">{היינו שמעון} </w:t>
      </w:r>
      <w:r w:rsidRPr="001D49D4">
        <w:rPr>
          <w:rtl/>
        </w:rPr>
        <w:t>חייב לבעלים הראשונים לפי שפשע</w:t>
      </w:r>
      <w:r w:rsidRPr="001D49D4">
        <w:rPr>
          <w:vertAlign w:val="superscript"/>
          <w:rtl/>
        </w:rPr>
        <w:footnoteReference w:id="4458"/>
      </w:r>
      <w:r w:rsidRPr="001D49D4">
        <w:rPr>
          <w:rtl/>
        </w:rPr>
        <w:t xml:space="preserve"> בשמירתו ואתפשיה לתורא בידא דמאן דלא מצי לאשתעויי דינא בהדיה. ואפי' למ"ד שומר שמסר לשומר פטור התם הוא כשמסר בעדים והלה אינו טוען אלא שנגנבה או נאבדה. </w:t>
      </w:r>
    </w:p>
    <w:p w14:paraId="4BA8DA15" w14:textId="77777777" w:rsidR="001D49D4" w:rsidRPr="001D49D4" w:rsidRDefault="001D49D4" w:rsidP="0004348D">
      <w:pPr>
        <w:spacing w:before="360" w:after="240"/>
        <w:rPr>
          <w:rFonts w:ascii="Calibri" w:eastAsia="Calibri" w:hAnsi="Calibri" w:cs="Arial"/>
          <w:u w:val="single"/>
          <w:rtl/>
        </w:rPr>
      </w:pPr>
      <w:r w:rsidRPr="001D49D4">
        <w:rPr>
          <w:rFonts w:ascii="Calibri" w:eastAsia="Calibri" w:hAnsi="Calibri" w:cs="Arial"/>
          <w:u w:val="single"/>
          <w:rtl/>
        </w:rPr>
        <w:t>ראובן קבל מעות רעות משמעון, ושלח את לוי להחליפם אצל שמעון, ושמעון תפש בהם בגלל ראובן:</w:t>
      </w:r>
      <w:r w:rsidRPr="001D49D4">
        <w:rPr>
          <w:rFonts w:ascii="Calibri" w:eastAsia="Calibri" w:hAnsi="Calibri" w:cs="Arial"/>
          <w:sz w:val="16"/>
          <w:szCs w:val="16"/>
          <w:rtl/>
        </w:rPr>
        <w:t xml:space="preserve">   (דרכ"מ אות א)</w:t>
      </w:r>
    </w:p>
    <w:p w14:paraId="27C3373D" w14:textId="77777777" w:rsidR="001D49D4" w:rsidRPr="001D49D4" w:rsidRDefault="001D49D4" w:rsidP="0004348D">
      <w:pPr>
        <w:numPr>
          <w:ilvl w:val="0"/>
          <w:numId w:val="313"/>
        </w:numPr>
        <w:spacing w:before="360" w:after="240"/>
        <w:contextualSpacing/>
        <w:rPr>
          <w:rtl/>
        </w:rPr>
      </w:pPr>
      <w:r w:rsidRPr="001D49D4">
        <w:rPr>
          <w:rtl/>
        </w:rPr>
        <w:t xml:space="preserve">ריטב"א </w:t>
      </w:r>
      <w:r w:rsidRPr="001D49D4">
        <w:rPr>
          <w:sz w:val="16"/>
          <w:szCs w:val="16"/>
          <w:rtl/>
        </w:rPr>
        <w:t>(סי' קפד)</w:t>
      </w:r>
      <w:r w:rsidRPr="001D49D4">
        <w:rPr>
          <w:rtl/>
        </w:rPr>
        <w:t xml:space="preserve">- שאלה, ראובן שקבל מעות משמעון ומצא בהם רעות, ואמר ללוי טול מעות אלו ותנם לשמעון שיחליפם לי. נטלם שמעון ותפש בהם בשביל מעות שהיו לו אצל ראובן, מהו. תשובה, ודאי יכול לתפוס בהם אם אין שם עדים מגו דיכול לומר לא היו דברים מעולם. ואם בא לוי לתבוע יאמר לו לאו בעל דברים דידי את כי במעות שהם של ראובן אני תופס. ואפי' תאמר שנתחייבתה אתה בשמירתן מ"מ הממון שלי הוא, וכ"ש שאין אני תופס במעות הרעות שנתת לי אלא במעות היפות שהיה לי להחליף לו וזה ברור. ולענין שלומי שליח, מסתברא דלא מחייב מפני שלא נתן לו על מנת לתתם לו בעדים, דהתם הוא בשטר חוב שכן דרך לקבל השטר, אבל בזה לא היה לו לתת בעדים שאין דרך בני אדם לעשות כן, וזה שומר חנם הוא ולא חשיבה פשיעה. </w:t>
      </w:r>
    </w:p>
    <w:p w14:paraId="072AF050" w14:textId="77777777" w:rsidR="001D49D4" w:rsidRPr="001D49D4" w:rsidRDefault="001D49D4" w:rsidP="0004348D">
      <w:pPr>
        <w:spacing w:before="360" w:after="240"/>
        <w:rPr>
          <w:rFonts w:ascii="Arial" w:eastAsia="Calibri" w:hAnsi="Arial" w:cs="Arial"/>
          <w:b/>
          <w:bCs/>
          <w:color w:val="000000"/>
          <w:sz w:val="28"/>
          <w:szCs w:val="28"/>
          <w:u w:val="single"/>
        </w:rPr>
      </w:pPr>
      <w:r w:rsidRPr="001D49D4">
        <w:rPr>
          <w:rFonts w:ascii="Arial" w:eastAsia="Calibri" w:hAnsi="Arial" w:cs="Arial"/>
          <w:b/>
          <w:bCs/>
          <w:color w:val="000000"/>
          <w:sz w:val="28"/>
          <w:szCs w:val="28"/>
          <w:u w:val="single"/>
          <w:rtl/>
        </w:rPr>
        <w:t>שו"ע:</w:t>
      </w:r>
    </w:p>
    <w:p w14:paraId="1551D5AD"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rtl/>
        </w:rPr>
        <w:t>המוציא שטר מקוים</w:t>
      </w:r>
      <w:r w:rsidRPr="001D49D4">
        <w:rPr>
          <w:rFonts w:ascii="Calibri" w:eastAsia="Calibri" w:hAnsi="Calibri" w:cs="Arial"/>
          <w:vertAlign w:val="superscript"/>
          <w:rtl/>
        </w:rPr>
        <w:footnoteReference w:id="4459"/>
      </w:r>
      <w:r w:rsidRPr="001D49D4">
        <w:rPr>
          <w:rFonts w:ascii="Calibri" w:eastAsia="Calibri" w:hAnsi="Calibri" w:cs="Arial"/>
          <w:rtl/>
        </w:rPr>
        <w:t xml:space="preserve"> על חבירו, ואמר ליה 'פרעתיך', ואמר לו 'אמת שפרעתני אבל מלוה אחרת יש לי עליך על פה ובשבילה קבלתים</w:t>
      </w:r>
      <w:r w:rsidRPr="001D49D4">
        <w:rPr>
          <w:rFonts w:ascii="Calibri" w:eastAsia="Calibri" w:hAnsi="Calibri" w:cs="Arial"/>
          <w:vertAlign w:val="superscript"/>
          <w:rtl/>
        </w:rPr>
        <w:footnoteReference w:id="4460"/>
      </w:r>
      <w:r w:rsidRPr="001D49D4">
        <w:rPr>
          <w:rFonts w:ascii="Calibri" w:eastAsia="Calibri" w:hAnsi="Calibri" w:cs="Arial"/>
          <w:rtl/>
        </w:rPr>
        <w:t xml:space="preserve"> וזה השטר עדיין בחזקתו עומד', אם לא נתנם לו בפני עדים, נאמן, והשטר עדיין בחזקתו וגובה בו בלא שבועה</w:t>
      </w:r>
      <w:r w:rsidRPr="001D49D4">
        <w:rPr>
          <w:rFonts w:ascii="Calibri" w:eastAsia="Calibri" w:hAnsi="Calibri" w:cs="Arial"/>
          <w:vertAlign w:val="superscript"/>
          <w:rtl/>
        </w:rPr>
        <w:footnoteReference w:id="4461"/>
      </w:r>
      <w:r w:rsidRPr="001D49D4">
        <w:rPr>
          <w:rFonts w:ascii="Calibri" w:eastAsia="Calibri" w:hAnsi="Calibri" w:cs="Arial"/>
          <w:rtl/>
        </w:rPr>
        <w:t xml:space="preserve"> אם יש בו נאמנות</w:t>
      </w:r>
      <w:r w:rsidRPr="001D49D4">
        <w:rPr>
          <w:rFonts w:ascii="Calibri" w:eastAsia="Calibri" w:hAnsi="Calibri" w:cs="Arial"/>
          <w:vertAlign w:val="superscript"/>
          <w:rtl/>
        </w:rPr>
        <w:footnoteReference w:id="4462"/>
      </w:r>
      <w:r w:rsidRPr="001D49D4">
        <w:rPr>
          <w:rFonts w:ascii="Calibri" w:eastAsia="Calibri" w:hAnsi="Calibri" w:cs="Arial"/>
          <w:rtl/>
        </w:rPr>
        <w:t>. ואם אחר כך יתבענו שלקח ממנו שלא כדין, נשבע היסת ונפטר. ואם אין בו נאמנות, אינו נוטל אלא בשבועה</w:t>
      </w:r>
      <w:r w:rsidRPr="001D49D4">
        <w:rPr>
          <w:rFonts w:ascii="Calibri" w:eastAsia="Calibri" w:hAnsi="Calibri" w:cs="Arial"/>
          <w:vertAlign w:val="superscript"/>
          <w:rtl/>
        </w:rPr>
        <w:footnoteReference w:id="4463"/>
      </w:r>
      <w:r w:rsidRPr="001D49D4">
        <w:rPr>
          <w:rFonts w:ascii="Calibri" w:eastAsia="Calibri" w:hAnsi="Calibri" w:cs="Arial"/>
          <w:rtl/>
        </w:rPr>
        <w:t>. ואם לא פרעו הלוה עצמו, אלא שלחם לו על ידי שליח, בין שאמר לו 'קח השטר ותן המעות' בין שאמר לו 'תן המעות</w:t>
      </w:r>
      <w:r w:rsidRPr="001D49D4">
        <w:rPr>
          <w:rFonts w:ascii="Calibri" w:eastAsia="Calibri" w:hAnsi="Calibri" w:cs="Arial"/>
          <w:vertAlign w:val="superscript"/>
          <w:rtl/>
        </w:rPr>
        <w:footnoteReference w:id="4464"/>
      </w:r>
      <w:r w:rsidRPr="001D49D4">
        <w:rPr>
          <w:rFonts w:ascii="Calibri" w:eastAsia="Calibri" w:hAnsi="Calibri" w:cs="Arial"/>
          <w:rtl/>
        </w:rPr>
        <w:t xml:space="preserve"> וקח השטר', חייב השליח לפרוע למשלח. </w:t>
      </w:r>
      <w:r w:rsidRPr="001D49D4">
        <w:rPr>
          <w:rFonts w:ascii="Calibri" w:eastAsia="Calibri" w:hAnsi="Calibri" w:cs="Arial"/>
          <w:sz w:val="18"/>
          <w:szCs w:val="18"/>
          <w:rtl/>
        </w:rPr>
        <w:t>הגה: וי"א דאחר דחייב השליח לשלם, לא יוכל המלוה לעכבן</w:t>
      </w:r>
      <w:r w:rsidRPr="001D49D4">
        <w:rPr>
          <w:rFonts w:ascii="Calibri" w:eastAsia="Calibri" w:hAnsi="Calibri" w:cs="Arial"/>
          <w:sz w:val="18"/>
          <w:szCs w:val="18"/>
          <w:vertAlign w:val="superscript"/>
          <w:rtl/>
        </w:rPr>
        <w:footnoteReference w:id="4465"/>
      </w:r>
      <w:r w:rsidRPr="001D49D4">
        <w:rPr>
          <w:rFonts w:ascii="Calibri" w:eastAsia="Calibri" w:hAnsi="Calibri" w:cs="Arial"/>
          <w:sz w:val="18"/>
          <w:szCs w:val="18"/>
          <w:rtl/>
        </w:rPr>
        <w:t xml:space="preserve"> אם יאמר שהלוה חייב לו ממקום אחר אלא אם טוען שהשליח נתנם לו ג"כ על חוב אחר. ויש חולקין וסבירא להו דבכל ענין יוכל לומר דחייב לו ממקום אחר </w:t>
      </w:r>
      <w:r w:rsidRPr="001D49D4">
        <w:rPr>
          <w:rFonts w:ascii="Calibri" w:eastAsia="Calibri" w:hAnsi="Calibri" w:cs="Arial"/>
          <w:sz w:val="16"/>
          <w:szCs w:val="16"/>
          <w:rtl/>
        </w:rPr>
        <w:t>(מרדכי פ' הכותב [סי' ריז-ריח] שתי הדיעות)</w:t>
      </w:r>
      <w:r w:rsidRPr="001D49D4">
        <w:rPr>
          <w:rFonts w:ascii="Calibri" w:eastAsia="Calibri" w:hAnsi="Calibri" w:cs="Arial"/>
          <w:sz w:val="18"/>
          <w:szCs w:val="18"/>
          <w:rtl/>
        </w:rPr>
        <w:t>. וכן מי שהפקיד ביד אחד ואמר הנפקד שפקדון הוא של פלוני אחר החייב לו. אם טוען שבשליחות אותו פלוני נתן המפקיד בידו, יכול לטעון עליו עד כדי דמיהן, במיגו דהחזרתים, אע"ג דהמפקיד יצטרך לשלם לאותו פלוני</w:t>
      </w:r>
      <w:r w:rsidRPr="001D49D4">
        <w:rPr>
          <w:rFonts w:ascii="Calibri" w:eastAsia="Calibri" w:hAnsi="Calibri" w:cs="Arial"/>
          <w:sz w:val="18"/>
          <w:szCs w:val="18"/>
          <w:vertAlign w:val="superscript"/>
          <w:rtl/>
        </w:rPr>
        <w:footnoteReference w:id="4466"/>
      </w:r>
      <w:r w:rsidRPr="001D49D4">
        <w:rPr>
          <w:rFonts w:ascii="Calibri" w:eastAsia="Calibri" w:hAnsi="Calibri" w:cs="Arial"/>
          <w:sz w:val="18"/>
          <w:szCs w:val="18"/>
          <w:rtl/>
        </w:rPr>
        <w:t xml:space="preserve">. אבל אם אומר שהמפקיד לא הזכיר לו אותו פלוני, רק הפקידו בידו, רק שהוא טוען שהפקדון של פלוני, לא יוכל לעכבן, הואיל ולא יוכל לברר שאותו פלוני חייב לו </w:t>
      </w:r>
      <w:r w:rsidRPr="001D49D4">
        <w:rPr>
          <w:rFonts w:ascii="Calibri" w:eastAsia="Calibri" w:hAnsi="Calibri" w:cs="Arial"/>
          <w:sz w:val="16"/>
          <w:szCs w:val="16"/>
          <w:rtl/>
        </w:rPr>
        <w:t>(ריב"ש סי' שצג)</w:t>
      </w:r>
      <w:r w:rsidRPr="001D49D4">
        <w:rPr>
          <w:rFonts w:ascii="Calibri" w:eastAsia="Calibri" w:hAnsi="Calibri" w:cs="Arial"/>
          <w:sz w:val="18"/>
          <w:szCs w:val="18"/>
          <w:rtl/>
        </w:rPr>
        <w:t>. וי"א דוקא שבא ליד הנפקד בתורת פקדון, אבל אם תפסו מיד המפקיד ויש לו מיגו</w:t>
      </w:r>
      <w:r w:rsidRPr="001D49D4">
        <w:rPr>
          <w:rFonts w:ascii="Calibri" w:eastAsia="Calibri" w:hAnsi="Calibri" w:cs="Arial"/>
          <w:sz w:val="18"/>
          <w:szCs w:val="18"/>
          <w:vertAlign w:val="superscript"/>
          <w:rtl/>
        </w:rPr>
        <w:footnoteReference w:id="4467"/>
      </w:r>
      <w:r w:rsidRPr="001D49D4">
        <w:rPr>
          <w:rFonts w:ascii="Calibri" w:eastAsia="Calibri" w:hAnsi="Calibri" w:cs="Arial"/>
          <w:sz w:val="18"/>
          <w:szCs w:val="18"/>
          <w:rtl/>
        </w:rPr>
        <w:t>, יוכל לומר שאותו שהפקדון שלו הוא חייב לו כדי דמיו, והמפקיד חייב לשלם</w:t>
      </w:r>
      <w:r w:rsidRPr="001D49D4">
        <w:rPr>
          <w:rFonts w:ascii="Calibri" w:eastAsia="Calibri" w:hAnsi="Calibri" w:cs="Arial"/>
          <w:sz w:val="18"/>
          <w:szCs w:val="18"/>
          <w:vertAlign w:val="superscript"/>
          <w:rtl/>
        </w:rPr>
        <w:footnoteReference w:id="4468"/>
      </w:r>
      <w:r w:rsidRPr="001D49D4">
        <w:rPr>
          <w:rFonts w:ascii="Calibri" w:eastAsia="Calibri" w:hAnsi="Calibri" w:cs="Arial"/>
          <w:sz w:val="18"/>
          <w:szCs w:val="18"/>
          <w:rtl/>
        </w:rPr>
        <w:t xml:space="preserve"> </w:t>
      </w:r>
      <w:r w:rsidRPr="001D49D4">
        <w:rPr>
          <w:rFonts w:ascii="Calibri" w:eastAsia="Calibri" w:hAnsi="Calibri" w:cs="Arial"/>
          <w:sz w:val="18"/>
          <w:szCs w:val="18"/>
          <w:vertAlign w:val="superscript"/>
          <w:rtl/>
        </w:rPr>
        <w:footnoteReference w:id="4469"/>
      </w:r>
      <w:r w:rsidRPr="001D49D4">
        <w:rPr>
          <w:rFonts w:ascii="Calibri" w:eastAsia="Calibri" w:hAnsi="Calibri" w:cs="Arial"/>
          <w:sz w:val="18"/>
          <w:szCs w:val="18"/>
          <w:rtl/>
        </w:rPr>
        <w:t>[לו], שהרי פשע</w:t>
      </w:r>
      <w:r w:rsidRPr="001D49D4">
        <w:rPr>
          <w:rFonts w:ascii="Calibri" w:eastAsia="Calibri" w:hAnsi="Calibri" w:cs="Arial"/>
          <w:sz w:val="18"/>
          <w:szCs w:val="18"/>
          <w:vertAlign w:val="superscript"/>
          <w:rtl/>
        </w:rPr>
        <w:footnoteReference w:id="4470"/>
      </w:r>
      <w:r w:rsidRPr="001D49D4">
        <w:rPr>
          <w:rFonts w:ascii="Calibri" w:eastAsia="Calibri" w:hAnsi="Calibri" w:cs="Arial"/>
          <w:sz w:val="18"/>
          <w:szCs w:val="18"/>
          <w:rtl/>
        </w:rPr>
        <w:t xml:space="preserve"> </w:t>
      </w:r>
      <w:r w:rsidRPr="001D49D4">
        <w:rPr>
          <w:rFonts w:ascii="Calibri" w:eastAsia="Calibri" w:hAnsi="Calibri" w:cs="Arial"/>
          <w:sz w:val="16"/>
          <w:szCs w:val="16"/>
          <w:rtl/>
        </w:rPr>
        <w:t>(ב"י ס"ס פג בשם הריטב"א [סי' קפה], וכ"כ הריטב"א בפרק הכותב)</w:t>
      </w:r>
      <w:r w:rsidRPr="001D49D4">
        <w:rPr>
          <w:rFonts w:ascii="Calibri" w:eastAsia="Calibri" w:hAnsi="Calibri" w:cs="Arial"/>
          <w:sz w:val="18"/>
          <w:szCs w:val="18"/>
          <w:rtl/>
        </w:rPr>
        <w:t xml:space="preserve">. </w:t>
      </w:r>
      <w:r w:rsidRPr="001D49D4">
        <w:rPr>
          <w:rFonts w:ascii="Calibri" w:eastAsia="Calibri" w:hAnsi="Calibri" w:cs="Arial"/>
          <w:rtl/>
        </w:rPr>
        <w:t xml:space="preserve">אבל אם לא הזכיר שיקח השטר, פטור. </w:t>
      </w:r>
      <w:r w:rsidRPr="001D49D4">
        <w:rPr>
          <w:rFonts w:ascii="Calibri" w:eastAsia="Calibri" w:hAnsi="Calibri" w:cs="Arial"/>
          <w:sz w:val="18"/>
          <w:szCs w:val="18"/>
          <w:rtl/>
        </w:rPr>
        <w:t>[הגה] הואיל ולא אמר ליתנם לו בפני עדים</w:t>
      </w:r>
      <w:r w:rsidRPr="001D49D4">
        <w:rPr>
          <w:rFonts w:ascii="Calibri" w:eastAsia="Calibri" w:hAnsi="Calibri" w:cs="Arial"/>
          <w:sz w:val="18"/>
          <w:szCs w:val="18"/>
          <w:vertAlign w:val="superscript"/>
          <w:rtl/>
        </w:rPr>
        <w:footnoteReference w:id="4471"/>
      </w:r>
      <w:r w:rsidRPr="001D49D4">
        <w:rPr>
          <w:rFonts w:ascii="Calibri" w:eastAsia="Calibri" w:hAnsi="Calibri" w:cs="Arial"/>
          <w:sz w:val="18"/>
          <w:szCs w:val="18"/>
          <w:rtl/>
        </w:rPr>
        <w:t xml:space="preserve"> </w:t>
      </w:r>
      <w:r w:rsidRPr="001D49D4">
        <w:rPr>
          <w:rFonts w:ascii="Calibri" w:eastAsia="Calibri" w:hAnsi="Calibri" w:cs="Arial"/>
          <w:sz w:val="16"/>
          <w:szCs w:val="16"/>
          <w:rtl/>
        </w:rPr>
        <w:t>(טור)</w:t>
      </w:r>
      <w:r w:rsidRPr="001D49D4">
        <w:rPr>
          <w:rFonts w:ascii="Calibri" w:eastAsia="Calibri" w:hAnsi="Calibri" w:cs="Arial"/>
          <w:sz w:val="18"/>
          <w:szCs w:val="18"/>
          <w:rtl/>
        </w:rPr>
        <w:t>.</w:t>
      </w:r>
      <w:r w:rsidRPr="001D49D4">
        <w:rPr>
          <w:rFonts w:ascii="Calibri" w:eastAsia="Calibri" w:hAnsi="Calibri" w:cs="Arial"/>
          <w:rtl/>
        </w:rPr>
        <w:t xml:space="preserve"> </w:t>
      </w:r>
    </w:p>
    <w:p w14:paraId="7F7F128E" w14:textId="77777777" w:rsidR="001D49D4" w:rsidRPr="001D49D4" w:rsidRDefault="001D49D4" w:rsidP="0004348D">
      <w:pPr>
        <w:spacing w:before="360" w:after="240"/>
        <w:rPr>
          <w:rFonts w:ascii="Calibri" w:eastAsia="Calibri" w:hAnsi="Calibri" w:cs="Arial"/>
          <w:rtl/>
        </w:rPr>
      </w:pPr>
    </w:p>
    <w:p w14:paraId="48F7C114" w14:textId="77777777" w:rsidR="001D49D4" w:rsidRPr="001D49D4" w:rsidRDefault="001D49D4" w:rsidP="0004348D">
      <w:pPr>
        <w:keepNext/>
        <w:keepLines/>
        <w:spacing w:before="360" w:after="240"/>
        <w:outlineLvl w:val="1"/>
        <w:rPr>
          <w:rFonts w:ascii="Cambria" w:eastAsia="Times New Roman" w:hAnsi="Cambria" w:cs="Arial"/>
          <w:bCs/>
          <w:color w:val="548DD4" w:themeColor="text2" w:themeTint="99"/>
          <w:sz w:val="26"/>
          <w:szCs w:val="26"/>
          <w:rtl/>
        </w:rPr>
      </w:pPr>
      <w:bookmarkStart w:id="600" w:name="_Toc24884026"/>
      <w:r w:rsidRPr="001D49D4">
        <w:rPr>
          <w:rFonts w:ascii="Cambria" w:eastAsia="Times New Roman" w:hAnsi="Cambria" w:cs="Arial"/>
          <w:bCs/>
          <w:color w:val="548DD4" w:themeColor="text2" w:themeTint="99"/>
          <w:sz w:val="26"/>
          <w:szCs w:val="26"/>
          <w:rtl/>
        </w:rPr>
        <w:t>סעיף ב: המוציא שטר על הלוה, והלוה הביא עדים שפרע, ואמר לו 'מה שפרעת הוא חוב אחר'.</w:t>
      </w:r>
      <w:bookmarkEnd w:id="600"/>
    </w:p>
    <w:p w14:paraId="63B700E4"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b/>
          <w:bCs/>
          <w:rtl/>
        </w:rPr>
        <w:t xml:space="preserve">שבועות </w:t>
      </w:r>
      <w:r w:rsidRPr="001D49D4">
        <w:rPr>
          <w:rFonts w:ascii="Calibri" w:eastAsia="Calibri" w:hAnsi="Calibri" w:cs="Arial"/>
          <w:b/>
          <w:bCs/>
          <w:sz w:val="16"/>
          <w:szCs w:val="16"/>
          <w:rtl/>
        </w:rPr>
        <w:t xml:space="preserve">(פרק שבועת הדיינין) </w:t>
      </w:r>
      <w:r w:rsidRPr="001D49D4">
        <w:rPr>
          <w:rFonts w:ascii="Calibri" w:eastAsia="Calibri" w:hAnsi="Calibri" w:cs="Arial"/>
          <w:b/>
          <w:bCs/>
          <w:rtl/>
        </w:rPr>
        <w:t>מב</w:t>
      </w:r>
      <w:r w:rsidRPr="001D49D4">
        <w:rPr>
          <w:rFonts w:ascii="Calibri" w:eastAsia="Calibri" w:hAnsi="Calibri" w:cs="Arial"/>
          <w:b/>
          <w:bCs/>
          <w:vertAlign w:val="superscript"/>
          <w:rtl/>
        </w:rPr>
        <w:footnoteReference w:id="4472"/>
      </w:r>
      <w:r w:rsidRPr="001D49D4">
        <w:rPr>
          <w:rFonts w:ascii="Calibri" w:eastAsia="Calibri" w:hAnsi="Calibri" w:cs="Arial"/>
          <w:b/>
          <w:bCs/>
          <w:rtl/>
        </w:rPr>
        <w:t xml:space="preserve"> ע"א:</w:t>
      </w:r>
      <w:r w:rsidRPr="001D49D4">
        <w:rPr>
          <w:rFonts w:ascii="Calibri" w:eastAsia="Calibri" w:hAnsi="Calibri" w:cs="Arial"/>
          <w:rtl/>
        </w:rPr>
        <w:t xml:space="preserve"> ההוא דא"ל לחבריה: הב לי מאה זוזי דמסיקנא בך והא שטרא, א"ל: פרעתיך, אמר ליה: הנהו סיטראי נינהו... והלכתא: איתרע שטרא. והני מילי, דפרעיה באפי סהדי ולא אידכר ליה שטרא, אבל פרעיה בין דידיה לדידיה, מיגו דיכול למימר לא היו דברים מעולם, יכול נמי למימר סיטראי נינהו, וכדאבימי בריה דר' אבהו.</w:t>
      </w:r>
    </w:p>
    <w:p w14:paraId="7EAA28DB" w14:textId="77777777" w:rsidR="001D49D4" w:rsidRPr="001D49D4" w:rsidRDefault="001D49D4" w:rsidP="0004348D">
      <w:pPr>
        <w:spacing w:before="360" w:after="240"/>
        <w:rPr>
          <w:rFonts w:ascii="Calibri" w:eastAsia="Calibri" w:hAnsi="Calibri" w:cs="Arial"/>
          <w:u w:val="single"/>
          <w:rtl/>
        </w:rPr>
      </w:pPr>
      <w:r w:rsidRPr="001D49D4">
        <w:rPr>
          <w:rFonts w:ascii="Calibri" w:eastAsia="Calibri" w:hAnsi="Calibri" w:cs="Arial"/>
          <w:u w:val="single"/>
          <w:rtl/>
        </w:rPr>
        <w:t>המוציא שטר על הלוה, והלוה הביא עדים שפרע בפניהם, ואמר לו המלוה 'מה שפרעת הוא חוב אחר':</w:t>
      </w:r>
    </w:p>
    <w:p w14:paraId="60EE4754" w14:textId="77777777" w:rsidR="001D49D4" w:rsidRPr="001D49D4" w:rsidRDefault="001D49D4" w:rsidP="0004348D">
      <w:pPr>
        <w:numPr>
          <w:ilvl w:val="0"/>
          <w:numId w:val="313"/>
        </w:numPr>
        <w:spacing w:before="360" w:after="240"/>
        <w:contextualSpacing/>
        <w:rPr>
          <w:rtl/>
        </w:rPr>
      </w:pPr>
      <w:r w:rsidRPr="001D49D4">
        <w:rPr>
          <w:rtl/>
        </w:rPr>
        <w:t>טור- מי שהוציא שטר על חבירו ואמר ליה 'פרעתיך'. והשיב לו 'אמת שקבלתים ממך אבל מלוה אחרת יש לי עליך על פה ובשבילה קבלתים וזה השטר עדיין בחזקתו עומד'... אם נתנם לו בפני עדים - אינו נאמן</w:t>
      </w:r>
      <w:r w:rsidRPr="001D49D4">
        <w:rPr>
          <w:sz w:val="16"/>
          <w:szCs w:val="16"/>
          <w:rtl/>
        </w:rPr>
        <w:t xml:space="preserve"> {המלוה}</w:t>
      </w:r>
      <w:r w:rsidRPr="001D49D4">
        <w:rPr>
          <w:rtl/>
        </w:rPr>
        <w:t xml:space="preserve"> ואיתרע שטרא.</w:t>
      </w:r>
    </w:p>
    <w:p w14:paraId="30333F67" w14:textId="77777777" w:rsidR="001D49D4" w:rsidRPr="001D49D4" w:rsidRDefault="001D49D4" w:rsidP="0004348D">
      <w:pPr>
        <w:spacing w:before="360" w:after="240"/>
        <w:ind w:left="360"/>
        <w:rPr>
          <w:rFonts w:ascii="Calibri" w:eastAsia="Calibri" w:hAnsi="Calibri" w:cs="Arial"/>
          <w:u w:val="dotted"/>
        </w:rPr>
      </w:pPr>
      <w:r w:rsidRPr="001D49D4">
        <w:rPr>
          <w:rFonts w:ascii="Calibri" w:eastAsia="Calibri" w:hAnsi="Calibri" w:cs="Arial"/>
          <w:u w:val="dotted"/>
          <w:rtl/>
        </w:rPr>
        <w:t>ומה הדין אם נתנם לו בפני עד אחד:</w:t>
      </w:r>
    </w:p>
    <w:p w14:paraId="39141CBF" w14:textId="77777777" w:rsidR="001D49D4" w:rsidRPr="001D49D4" w:rsidRDefault="001D49D4" w:rsidP="0004348D">
      <w:pPr>
        <w:numPr>
          <w:ilvl w:val="0"/>
          <w:numId w:val="313"/>
        </w:numPr>
        <w:spacing w:before="360" w:after="240"/>
        <w:contextualSpacing/>
      </w:pPr>
      <w:r w:rsidRPr="001D49D4">
        <w:rPr>
          <w:rtl/>
        </w:rPr>
        <w:t>רמב"ן</w:t>
      </w:r>
      <w:r w:rsidRPr="001D49D4">
        <w:rPr>
          <w:sz w:val="16"/>
          <w:szCs w:val="16"/>
          <w:rtl/>
        </w:rPr>
        <w:t xml:space="preserve"> (כ"כ הטור בשמו)</w:t>
      </w:r>
      <w:r w:rsidRPr="001D49D4">
        <w:rPr>
          <w:rtl/>
        </w:rPr>
        <w:t>- לא איתרע שטרא אלא כשנתנם לו בפני ב' עדים אבל אם נתנם לו בפני עד אחד לא איתרע שטרא</w:t>
      </w:r>
      <w:r w:rsidRPr="001D49D4">
        <w:rPr>
          <w:vertAlign w:val="superscript"/>
          <w:rtl/>
        </w:rPr>
        <w:footnoteReference w:id="4473"/>
      </w:r>
      <w:r w:rsidRPr="001D49D4">
        <w:rPr>
          <w:rtl/>
        </w:rPr>
        <w:t xml:space="preserve">. </w:t>
      </w:r>
      <w:r w:rsidRPr="001D49D4">
        <w:rPr>
          <w:color w:val="00B0F0"/>
          <w:rtl/>
        </w:rPr>
        <w:t>(וכ"פ הרמ"א)</w:t>
      </w:r>
    </w:p>
    <w:p w14:paraId="539FAC6B" w14:textId="77777777" w:rsidR="001D49D4" w:rsidRPr="001D49D4" w:rsidRDefault="001D49D4" w:rsidP="0004348D">
      <w:pPr>
        <w:spacing w:before="360" w:after="240"/>
        <w:ind w:left="360"/>
        <w:rPr>
          <w:rFonts w:ascii="Calibri" w:eastAsia="Calibri" w:hAnsi="Calibri" w:cs="Arial"/>
          <w:u w:val="dotted"/>
        </w:rPr>
      </w:pPr>
      <w:r w:rsidRPr="001D49D4">
        <w:rPr>
          <w:rFonts w:ascii="Calibri" w:eastAsia="Calibri" w:hAnsi="Calibri" w:cs="Arial"/>
          <w:u w:val="dotted"/>
          <w:rtl/>
        </w:rPr>
        <w:t xml:space="preserve">הא דאיתרע שטרא – לאיזה עניין איתרע: </w:t>
      </w:r>
    </w:p>
    <w:p w14:paraId="2FA66754" w14:textId="77777777" w:rsidR="001D49D4" w:rsidRPr="001D49D4" w:rsidRDefault="001D49D4" w:rsidP="0004348D">
      <w:pPr>
        <w:numPr>
          <w:ilvl w:val="0"/>
          <w:numId w:val="313"/>
        </w:numPr>
        <w:spacing w:before="360" w:after="240"/>
        <w:contextualSpacing/>
      </w:pPr>
      <w:r w:rsidRPr="001D49D4">
        <w:rPr>
          <w:rtl/>
        </w:rPr>
        <w:t>תוס'</w:t>
      </w:r>
      <w:r w:rsidRPr="001D49D4">
        <w:rPr>
          <w:sz w:val="16"/>
          <w:szCs w:val="16"/>
          <w:rtl/>
        </w:rPr>
        <w:t xml:space="preserve"> (שבועות מב. ד"ה איתרע) </w:t>
      </w:r>
      <w:r w:rsidRPr="001D49D4">
        <w:rPr>
          <w:rtl/>
        </w:rPr>
        <w:t xml:space="preserve">רא"ש </w:t>
      </w:r>
      <w:r w:rsidRPr="001D49D4">
        <w:rPr>
          <w:sz w:val="16"/>
          <w:szCs w:val="16"/>
          <w:rtl/>
        </w:rPr>
        <w:t>(שבועות פ"ו סי' יט)</w:t>
      </w:r>
      <w:r w:rsidRPr="001D49D4">
        <w:rPr>
          <w:rtl/>
        </w:rPr>
        <w:t xml:space="preserve"> ור"ן</w:t>
      </w:r>
      <w:r w:rsidRPr="001D49D4">
        <w:rPr>
          <w:vertAlign w:val="superscript"/>
          <w:rtl/>
        </w:rPr>
        <w:footnoteReference w:id="4474"/>
      </w:r>
      <w:r w:rsidRPr="001D49D4">
        <w:rPr>
          <w:rtl/>
        </w:rPr>
        <w:t xml:space="preserve"> </w:t>
      </w:r>
      <w:r w:rsidRPr="001D49D4">
        <w:rPr>
          <w:sz w:val="16"/>
          <w:szCs w:val="16"/>
          <w:rtl/>
        </w:rPr>
        <w:t>(פרק הכותב מב:)</w:t>
      </w:r>
      <w:r w:rsidRPr="001D49D4">
        <w:rPr>
          <w:rtl/>
        </w:rPr>
        <w:t>- דלא גבינן ביה ולא קרעינן ליה</w:t>
      </w:r>
      <w:r w:rsidRPr="001D49D4">
        <w:rPr>
          <w:vertAlign w:val="superscript"/>
          <w:rtl/>
        </w:rPr>
        <w:footnoteReference w:id="4475"/>
      </w:r>
      <w:r w:rsidRPr="001D49D4">
        <w:rPr>
          <w:rtl/>
        </w:rPr>
        <w:t xml:space="preserve">. </w:t>
      </w:r>
      <w:r w:rsidRPr="001D49D4">
        <w:rPr>
          <w:color w:val="00B0F0"/>
          <w:rtl/>
        </w:rPr>
        <w:t>(וכ"פ הרמ"א)</w:t>
      </w:r>
    </w:p>
    <w:p w14:paraId="1DD6CEEB" w14:textId="77777777" w:rsidR="001D49D4" w:rsidRPr="001D49D4" w:rsidRDefault="001D49D4" w:rsidP="0004348D">
      <w:pPr>
        <w:numPr>
          <w:ilvl w:val="0"/>
          <w:numId w:val="313"/>
        </w:numPr>
        <w:spacing w:before="360" w:after="240"/>
        <w:contextualSpacing/>
      </w:pPr>
      <w:r w:rsidRPr="001D49D4">
        <w:rPr>
          <w:rtl/>
        </w:rPr>
        <w:t>ר"ח</w:t>
      </w:r>
      <w:r w:rsidRPr="001D49D4">
        <w:rPr>
          <w:sz w:val="16"/>
          <w:szCs w:val="16"/>
          <w:rtl/>
        </w:rPr>
        <w:t xml:space="preserve"> (שבועות מב.) </w:t>
      </w:r>
      <w:r w:rsidRPr="001D49D4">
        <w:rPr>
          <w:rtl/>
        </w:rPr>
        <w:t>ור"ת</w:t>
      </w:r>
      <w:r w:rsidRPr="001D49D4">
        <w:rPr>
          <w:sz w:val="16"/>
          <w:szCs w:val="16"/>
          <w:rtl/>
        </w:rPr>
        <w:t xml:space="preserve"> (כ"כ התוס' בשמו [שם])</w:t>
      </w:r>
      <w:r w:rsidRPr="001D49D4">
        <w:rPr>
          <w:rtl/>
        </w:rPr>
        <w:t>- לא איתרע שטרא אלא לענין שצריך לישבע אפילו אם יש בו נאמנות אבל בשבועה מיהא גובה בו.</w:t>
      </w:r>
    </w:p>
    <w:p w14:paraId="54CCD933" w14:textId="77777777" w:rsidR="001D49D4" w:rsidRPr="001D49D4" w:rsidRDefault="001D49D4" w:rsidP="0004348D">
      <w:pPr>
        <w:numPr>
          <w:ilvl w:val="0"/>
          <w:numId w:val="313"/>
        </w:numPr>
        <w:spacing w:before="360" w:after="240"/>
        <w:contextualSpacing/>
      </w:pPr>
      <w:r w:rsidRPr="001D49D4">
        <w:rPr>
          <w:rtl/>
        </w:rPr>
        <w:t>רב האי רב שרירא רי"ף ורמב"ם</w:t>
      </w:r>
      <w:r w:rsidRPr="001D49D4">
        <w:rPr>
          <w:vertAlign w:val="superscript"/>
          <w:rtl/>
        </w:rPr>
        <w:footnoteReference w:id="4476"/>
      </w:r>
      <w:r w:rsidRPr="001D49D4">
        <w:rPr>
          <w:rtl/>
        </w:rPr>
        <w:t>- השטר בטל לגמרי</w:t>
      </w:r>
      <w:r w:rsidRPr="001D49D4">
        <w:rPr>
          <w:vertAlign w:val="superscript"/>
          <w:rtl/>
        </w:rPr>
        <w:footnoteReference w:id="4477"/>
      </w:r>
      <w:r w:rsidRPr="001D49D4">
        <w:rPr>
          <w:rtl/>
        </w:rPr>
        <w:t xml:space="preserve">. </w:t>
      </w:r>
      <w:r w:rsidRPr="001D49D4">
        <w:rPr>
          <w:color w:val="E36C0A" w:themeColor="accent6" w:themeShade="BF"/>
          <w:rtl/>
        </w:rPr>
        <w:t>(וכ"פ בשו"ע</w:t>
      </w:r>
      <w:r w:rsidRPr="001D49D4">
        <w:rPr>
          <w:vertAlign w:val="superscript"/>
          <w:rtl/>
        </w:rPr>
        <w:footnoteReference w:id="4478"/>
      </w:r>
      <w:r w:rsidRPr="001D49D4">
        <w:rPr>
          <w:color w:val="E36C0A" w:themeColor="accent6" w:themeShade="BF"/>
          <w:rtl/>
        </w:rPr>
        <w:t>)</w:t>
      </w:r>
    </w:p>
    <w:p w14:paraId="51B54C79" w14:textId="77777777" w:rsidR="001D49D4" w:rsidRPr="001D49D4" w:rsidRDefault="001D49D4" w:rsidP="0004348D">
      <w:pPr>
        <w:spacing w:before="360" w:after="240"/>
        <w:rPr>
          <w:rFonts w:ascii="Calibri" w:eastAsia="Calibri" w:hAnsi="Calibri" w:cs="Arial"/>
          <w:u w:val="single"/>
        </w:rPr>
      </w:pPr>
      <w:r w:rsidRPr="001D49D4">
        <w:rPr>
          <w:rFonts w:ascii="Calibri" w:eastAsia="Calibri" w:hAnsi="Calibri" w:cs="Arial"/>
          <w:u w:val="single"/>
          <w:rtl/>
        </w:rPr>
        <w:t xml:space="preserve">פרעו בפני ב' עדים וטען סטראי </w:t>
      </w:r>
      <w:r w:rsidRPr="001D49D4">
        <w:rPr>
          <w:rFonts w:ascii="Calibri" w:eastAsia="Calibri" w:hAnsi="Calibri" w:cs="Arial"/>
          <w:sz w:val="16"/>
          <w:szCs w:val="16"/>
          <w:u w:val="single"/>
          <w:rtl/>
        </w:rPr>
        <w:t>(כנ"ל)</w:t>
      </w:r>
      <w:r w:rsidRPr="001D49D4">
        <w:rPr>
          <w:rFonts w:ascii="Calibri" w:eastAsia="Calibri" w:hAnsi="Calibri" w:cs="Arial"/>
          <w:u w:val="single"/>
          <w:rtl/>
        </w:rPr>
        <w:t xml:space="preserve"> - ואין שתי התביעות שלו </w:t>
      </w:r>
      <w:r w:rsidRPr="001D49D4">
        <w:rPr>
          <w:rFonts w:ascii="Calibri" w:eastAsia="Calibri" w:hAnsi="Calibri" w:cs="Arial"/>
          <w:sz w:val="16"/>
          <w:szCs w:val="16"/>
          <w:u w:val="single"/>
          <w:rtl/>
        </w:rPr>
        <w:t>(כגון שיש לו רק תביעה אחת והשניה הוא אחראי לגבותה בהרשאה)</w:t>
      </w:r>
      <w:r w:rsidRPr="001D49D4">
        <w:rPr>
          <w:rFonts w:ascii="Calibri" w:eastAsia="Calibri" w:hAnsi="Calibri" w:cs="Arial"/>
          <w:u w:val="single"/>
          <w:rtl/>
        </w:rPr>
        <w:t>:</w:t>
      </w:r>
    </w:p>
    <w:p w14:paraId="33439AB8" w14:textId="77777777" w:rsidR="001D49D4" w:rsidRPr="001D49D4" w:rsidRDefault="001D49D4" w:rsidP="0004348D">
      <w:pPr>
        <w:numPr>
          <w:ilvl w:val="0"/>
          <w:numId w:val="314"/>
        </w:numPr>
        <w:spacing w:before="360" w:after="240"/>
        <w:contextualSpacing/>
        <w:rPr>
          <w:rtl/>
        </w:rPr>
      </w:pPr>
      <w:r w:rsidRPr="001D49D4">
        <w:rPr>
          <w:rtl/>
        </w:rPr>
        <w:t xml:space="preserve">רא"ש </w:t>
      </w:r>
      <w:r w:rsidRPr="001D49D4">
        <w:rPr>
          <w:sz w:val="16"/>
          <w:szCs w:val="16"/>
          <w:rtl/>
        </w:rPr>
        <w:t>(סוף כלל פו סי' טו ד"ה אמת)</w:t>
      </w:r>
      <w:r w:rsidRPr="001D49D4">
        <w:rPr>
          <w:rtl/>
        </w:rPr>
        <w:t>- הא דאמרינן שאם פרעו בפני עדים אינו נאמן היינו דוקא היכא ששתי תביעות היו שלו, אבל אם על חוב שבשטר הוא בא בהרשאה ועל הממון שהודה שקבל הוא בא מכח עצמו – לא, משום דאי בעי מהדר הרשאה למריה ולא נשאר אצלו אלא תביעת הממון שקיבל, ועל אותו ממון שהודה שקבל נאמן בשבועתו</w:t>
      </w:r>
      <w:r w:rsidRPr="001D49D4">
        <w:rPr>
          <w:vertAlign w:val="superscript"/>
          <w:rtl/>
        </w:rPr>
        <w:footnoteReference w:id="4479"/>
      </w:r>
      <w:r w:rsidRPr="001D49D4">
        <w:rPr>
          <w:rtl/>
        </w:rPr>
        <w:t xml:space="preserve"> לומר קבלתי בשביל ממון שהיה חייב לי</w:t>
      </w:r>
      <w:r w:rsidRPr="001D49D4">
        <w:rPr>
          <w:vertAlign w:val="superscript"/>
          <w:rtl/>
        </w:rPr>
        <w:footnoteReference w:id="4480"/>
      </w:r>
      <w:r w:rsidRPr="001D49D4">
        <w:rPr>
          <w:rtl/>
        </w:rPr>
        <w:t xml:space="preserve">. (וכ"כ הסמ"ע </w:t>
      </w:r>
      <w:r w:rsidRPr="001D49D4">
        <w:rPr>
          <w:sz w:val="16"/>
          <w:szCs w:val="16"/>
          <w:rtl/>
        </w:rPr>
        <w:t>[סקי"ב]</w:t>
      </w:r>
      <w:r w:rsidRPr="001D49D4">
        <w:rPr>
          <w:rtl/>
        </w:rPr>
        <w:t xml:space="preserve"> והש"ך</w:t>
      </w:r>
      <w:r w:rsidRPr="001D49D4">
        <w:rPr>
          <w:sz w:val="16"/>
          <w:szCs w:val="16"/>
          <w:rtl/>
        </w:rPr>
        <w:t xml:space="preserve"> [סקט"ו]</w:t>
      </w:r>
      <w:r w:rsidRPr="001D49D4">
        <w:rPr>
          <w:rtl/>
        </w:rPr>
        <w:t>)</w:t>
      </w:r>
    </w:p>
    <w:p w14:paraId="439359BD" w14:textId="77777777" w:rsidR="001D49D4" w:rsidRPr="001D49D4" w:rsidRDefault="001D49D4" w:rsidP="0004348D">
      <w:pPr>
        <w:spacing w:before="360" w:after="240"/>
        <w:rPr>
          <w:rFonts w:ascii="Calibri" w:eastAsia="Calibri" w:hAnsi="Calibri" w:cs="Arial"/>
          <w:u w:val="single"/>
          <w:rtl/>
        </w:rPr>
      </w:pPr>
      <w:r w:rsidRPr="001D49D4">
        <w:rPr>
          <w:rFonts w:ascii="Calibri" w:eastAsia="Calibri" w:hAnsi="Calibri" w:cs="Arial"/>
          <w:u w:val="single"/>
          <w:rtl/>
        </w:rPr>
        <w:t xml:space="preserve">פרעו בפני ב' עדים וטען סטראי </w:t>
      </w:r>
      <w:r w:rsidRPr="001D49D4">
        <w:rPr>
          <w:rFonts w:ascii="Calibri" w:eastAsia="Calibri" w:hAnsi="Calibri" w:cs="Arial"/>
          <w:sz w:val="16"/>
          <w:szCs w:val="16"/>
          <w:u w:val="single"/>
          <w:rtl/>
        </w:rPr>
        <w:t>(כנ"ל)</w:t>
      </w:r>
      <w:r w:rsidRPr="001D49D4">
        <w:rPr>
          <w:rFonts w:ascii="Calibri" w:eastAsia="Calibri" w:hAnsi="Calibri" w:cs="Arial"/>
          <w:u w:val="single"/>
          <w:rtl/>
        </w:rPr>
        <w:t xml:space="preserve"> - אך העדים אינם יודעים אם נתנם לו בתורת פרעון או בתורת מתנה וכדו':</w:t>
      </w:r>
    </w:p>
    <w:p w14:paraId="06E679C9" w14:textId="77777777" w:rsidR="001D49D4" w:rsidRPr="001D49D4" w:rsidRDefault="001D49D4" w:rsidP="0004348D">
      <w:pPr>
        <w:numPr>
          <w:ilvl w:val="0"/>
          <w:numId w:val="313"/>
        </w:numPr>
        <w:spacing w:before="360" w:after="240"/>
        <w:contextualSpacing/>
      </w:pPr>
      <w:r w:rsidRPr="001D49D4">
        <w:rPr>
          <w:rtl/>
        </w:rPr>
        <w:t>רי"ף ר"י מיגאש רמב"ם בעל התרומות ומהר"ם</w:t>
      </w:r>
      <w:r w:rsidRPr="001D49D4">
        <w:rPr>
          <w:vertAlign w:val="superscript"/>
          <w:rtl/>
        </w:rPr>
        <w:footnoteReference w:id="4481"/>
      </w:r>
      <w:r w:rsidRPr="001D49D4">
        <w:rPr>
          <w:rtl/>
        </w:rPr>
        <w:t>- הא דאיתרע כי יהיב ליה באפי סהדי ה"מ כשמעידין שבתורת פרעון נתנם לו ואינן יודעין אם מזה השטר אם מאחר, אבל אם מעידין שנתנם לו ואינן יודעין אם בתורת פרעון אי בתורת פקדון אי בתורת מתנה - לא איתרע</w:t>
      </w:r>
      <w:r w:rsidRPr="001D49D4">
        <w:rPr>
          <w:vertAlign w:val="superscript"/>
          <w:rtl/>
        </w:rPr>
        <w:footnoteReference w:id="4482"/>
      </w:r>
      <w:r w:rsidRPr="001D49D4">
        <w:rPr>
          <w:rtl/>
        </w:rPr>
        <w:t xml:space="preserve"> ויכול לומר סיטראי נינהו</w:t>
      </w:r>
      <w:r w:rsidRPr="001D49D4">
        <w:rPr>
          <w:vertAlign w:val="superscript"/>
          <w:rtl/>
        </w:rPr>
        <w:footnoteReference w:id="4483"/>
      </w:r>
      <w:r w:rsidRPr="001D49D4">
        <w:rPr>
          <w:rtl/>
        </w:rPr>
        <w:t>, דמיגו דאי בעי אמר בתורת מתנה נתנם לו</w:t>
      </w:r>
      <w:r w:rsidRPr="001D49D4">
        <w:rPr>
          <w:vertAlign w:val="superscript"/>
          <w:rtl/>
        </w:rPr>
        <w:footnoteReference w:id="4484"/>
      </w:r>
      <w:r w:rsidRPr="001D49D4">
        <w:rPr>
          <w:sz w:val="16"/>
          <w:szCs w:val="16"/>
          <w:rtl/>
        </w:rPr>
        <w:t xml:space="preserve"> (ל' הטור בשם הר"י מיגאש)</w:t>
      </w:r>
      <w:r w:rsidRPr="001D49D4">
        <w:rPr>
          <w:rtl/>
        </w:rPr>
        <w:t>.</w:t>
      </w:r>
      <w:r w:rsidRPr="001D49D4">
        <w:rPr>
          <w:color w:val="E36C0A" w:themeColor="accent6" w:themeShade="BF"/>
          <w:rtl/>
        </w:rPr>
        <w:t xml:space="preserve"> (וכ"פ בשו"ע)</w:t>
      </w:r>
    </w:p>
    <w:p w14:paraId="52DACA7E" w14:textId="77777777" w:rsidR="001D49D4" w:rsidRPr="001D49D4" w:rsidRDefault="001D49D4" w:rsidP="0004348D">
      <w:pPr>
        <w:numPr>
          <w:ilvl w:val="0"/>
          <w:numId w:val="313"/>
        </w:numPr>
        <w:spacing w:before="360" w:after="240"/>
        <w:contextualSpacing/>
      </w:pPr>
      <w:r w:rsidRPr="001D49D4">
        <w:rPr>
          <w:rtl/>
        </w:rPr>
        <w:t xml:space="preserve">ר"ת </w:t>
      </w:r>
      <w:r w:rsidRPr="001D49D4">
        <w:rPr>
          <w:sz w:val="16"/>
          <w:szCs w:val="16"/>
          <w:rtl/>
        </w:rPr>
        <w:t>(כ"כ הטור בשמו)</w:t>
      </w:r>
      <w:r w:rsidRPr="001D49D4">
        <w:rPr>
          <w:rFonts w:hint="cs"/>
          <w:sz w:val="16"/>
          <w:szCs w:val="16"/>
        </w:rPr>
        <w:t xml:space="preserve"> </w:t>
      </w:r>
      <w:r w:rsidRPr="001D49D4">
        <w:rPr>
          <w:rtl/>
        </w:rPr>
        <w:t xml:space="preserve">רמב"ן </w:t>
      </w:r>
      <w:r w:rsidRPr="001D49D4">
        <w:rPr>
          <w:sz w:val="16"/>
          <w:szCs w:val="16"/>
          <w:rtl/>
        </w:rPr>
        <w:t xml:space="preserve">(שבועות מב. ד"ה כתב) </w:t>
      </w:r>
      <w:r w:rsidRPr="001D49D4">
        <w:rPr>
          <w:rtl/>
        </w:rPr>
        <w:t>ורא"ש</w:t>
      </w:r>
      <w:r w:rsidRPr="001D49D4">
        <w:rPr>
          <w:sz w:val="16"/>
          <w:szCs w:val="16"/>
          <w:rtl/>
        </w:rPr>
        <w:t xml:space="preserve"> (שבועות פ"ו סי' יט)</w:t>
      </w:r>
      <w:r w:rsidRPr="001D49D4">
        <w:rPr>
          <w:rtl/>
        </w:rPr>
        <w:t>- אפילו לא ידעו בתורת מה נתנם לו כיון שראו נתינת המעות איתרע שטרא</w:t>
      </w:r>
      <w:r w:rsidRPr="001D49D4">
        <w:rPr>
          <w:sz w:val="16"/>
          <w:szCs w:val="16"/>
          <w:rtl/>
        </w:rPr>
        <w:t xml:space="preserve"> (ל' הטור בשם ר"ת)</w:t>
      </w:r>
      <w:r w:rsidRPr="001D49D4">
        <w:rPr>
          <w:rtl/>
        </w:rPr>
        <w:t>.</w:t>
      </w:r>
      <w:r w:rsidRPr="001D49D4">
        <w:rPr>
          <w:color w:val="00B0F0"/>
          <w:rtl/>
        </w:rPr>
        <w:t xml:space="preserve"> (וכ"פ הרמ"א)</w:t>
      </w:r>
    </w:p>
    <w:p w14:paraId="2E971FA3" w14:textId="77777777" w:rsidR="001D49D4" w:rsidRPr="001D49D4" w:rsidRDefault="001D49D4" w:rsidP="0004348D">
      <w:pPr>
        <w:spacing w:before="360" w:after="240"/>
        <w:rPr>
          <w:rFonts w:ascii="Arial" w:eastAsia="Calibri" w:hAnsi="Arial" w:cs="Arial"/>
          <w:b/>
          <w:bCs/>
          <w:color w:val="000000"/>
          <w:sz w:val="28"/>
          <w:szCs w:val="28"/>
          <w:u w:val="single"/>
          <w:rtl/>
        </w:rPr>
      </w:pPr>
      <w:r w:rsidRPr="001D49D4">
        <w:rPr>
          <w:rFonts w:ascii="Arial" w:eastAsia="Calibri" w:hAnsi="Arial" w:cs="Arial"/>
          <w:b/>
          <w:bCs/>
          <w:color w:val="000000"/>
          <w:sz w:val="28"/>
          <w:szCs w:val="28"/>
          <w:u w:val="single"/>
          <w:rtl/>
        </w:rPr>
        <w:t>שו"ע:</w:t>
      </w:r>
    </w:p>
    <w:p w14:paraId="76A57E36"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rtl/>
        </w:rPr>
        <w:t>טען הלוה ואמר 'הלא פרעתיך בפני פלוני ופלוני', ובאו אלו והעידו</w:t>
      </w:r>
      <w:r w:rsidRPr="001D49D4">
        <w:rPr>
          <w:rFonts w:ascii="Calibri" w:eastAsia="Calibri" w:hAnsi="Calibri" w:cs="Arial"/>
          <w:vertAlign w:val="superscript"/>
          <w:rtl/>
        </w:rPr>
        <w:footnoteReference w:id="4485"/>
      </w:r>
      <w:r w:rsidRPr="001D49D4">
        <w:rPr>
          <w:rFonts w:ascii="Calibri" w:eastAsia="Calibri" w:hAnsi="Calibri" w:cs="Arial"/>
          <w:rtl/>
        </w:rPr>
        <w:t xml:space="preserve"> שפרעו</w:t>
      </w:r>
      <w:r w:rsidRPr="001D49D4">
        <w:rPr>
          <w:rFonts w:ascii="Calibri" w:eastAsia="Calibri" w:hAnsi="Calibri" w:cs="Arial"/>
          <w:vertAlign w:val="superscript"/>
          <w:rtl/>
        </w:rPr>
        <w:footnoteReference w:id="4486"/>
      </w:r>
      <w:r w:rsidRPr="001D49D4">
        <w:rPr>
          <w:rFonts w:ascii="Calibri" w:eastAsia="Calibri" w:hAnsi="Calibri" w:cs="Arial"/>
          <w:rtl/>
        </w:rPr>
        <w:t xml:space="preserve"> אבל לא הזכיר לו השטר, והשיב המלוה 'חוב אחר הוא שפרעת לי', הרי בטל השטר</w:t>
      </w:r>
      <w:r w:rsidRPr="001D49D4">
        <w:rPr>
          <w:rFonts w:ascii="Calibri" w:eastAsia="Calibri" w:hAnsi="Calibri" w:cs="Arial"/>
          <w:vertAlign w:val="superscript"/>
          <w:rtl/>
        </w:rPr>
        <w:footnoteReference w:id="4487"/>
      </w:r>
      <w:r w:rsidRPr="001D49D4">
        <w:rPr>
          <w:rFonts w:ascii="Calibri" w:eastAsia="Calibri" w:hAnsi="Calibri" w:cs="Arial"/>
          <w:rtl/>
        </w:rPr>
        <w:t xml:space="preserve">. </w:t>
      </w:r>
      <w:r w:rsidRPr="001D49D4">
        <w:rPr>
          <w:rFonts w:ascii="Calibri" w:eastAsia="Calibri" w:hAnsi="Calibri" w:cs="Arial"/>
          <w:sz w:val="18"/>
          <w:szCs w:val="18"/>
          <w:rtl/>
        </w:rPr>
        <w:t>הגה: וי"א דאין השטר בטל לגמרי, רק דלא מגבינן ביה, ומיהו אם תפס לא מפקינן מיניה (טור בשם הרא"ש ור"ן) וכן נראה לי עיקר</w:t>
      </w:r>
      <w:r w:rsidRPr="001D49D4">
        <w:rPr>
          <w:rFonts w:ascii="Calibri" w:eastAsia="Calibri" w:hAnsi="Calibri" w:cs="Arial"/>
          <w:sz w:val="18"/>
          <w:szCs w:val="18"/>
          <w:vertAlign w:val="superscript"/>
          <w:rtl/>
        </w:rPr>
        <w:footnoteReference w:id="4488"/>
      </w:r>
      <w:r w:rsidRPr="001D49D4">
        <w:rPr>
          <w:rFonts w:ascii="Calibri" w:eastAsia="Calibri" w:hAnsi="Calibri" w:cs="Arial"/>
          <w:sz w:val="18"/>
          <w:szCs w:val="18"/>
          <w:rtl/>
        </w:rPr>
        <w:t>.</w:t>
      </w:r>
      <w:r w:rsidRPr="001D49D4">
        <w:rPr>
          <w:rFonts w:ascii="Calibri" w:eastAsia="Calibri" w:hAnsi="Calibri" w:cs="Arial"/>
          <w:rtl/>
        </w:rPr>
        <w:t xml:space="preserve"> במה דברים אמורים, כשהעידו שנתן לו בתורת פרעון, אבל אם ראוהו נותן לו מעות ולא ידעו אם בתורת פרעון או בתורת פקדון או בתורת מתנה, אם אמר המלוה 'לא היו דברים מעולם', הרי הוחזק כפרן</w:t>
      </w:r>
      <w:r w:rsidRPr="001D49D4">
        <w:rPr>
          <w:rFonts w:ascii="Calibri" w:eastAsia="Calibri" w:hAnsi="Calibri" w:cs="Arial"/>
          <w:vertAlign w:val="superscript"/>
          <w:rtl/>
        </w:rPr>
        <w:footnoteReference w:id="4489"/>
      </w:r>
      <w:r w:rsidRPr="001D49D4">
        <w:rPr>
          <w:rFonts w:ascii="Calibri" w:eastAsia="Calibri" w:hAnsi="Calibri" w:cs="Arial"/>
          <w:rtl/>
        </w:rPr>
        <w:t xml:space="preserve"> ובטל השטר. ואם אמר 'פרעון של חוב אחר הוא', הרי זה נאמן, ונשבע ונוטל מה שבשטר, שהרי לא פרעו בעדים</w:t>
      </w:r>
      <w:r w:rsidRPr="001D49D4">
        <w:rPr>
          <w:rFonts w:ascii="Calibri" w:eastAsia="Calibri" w:hAnsi="Calibri" w:cs="Arial"/>
          <w:vertAlign w:val="superscript"/>
          <w:rtl/>
        </w:rPr>
        <w:footnoteReference w:id="4490"/>
      </w:r>
      <w:r w:rsidRPr="001D49D4">
        <w:rPr>
          <w:rFonts w:ascii="Calibri" w:eastAsia="Calibri" w:hAnsi="Calibri" w:cs="Arial"/>
          <w:rtl/>
        </w:rPr>
        <w:t xml:space="preserve"> מתוך שיכול לומר 'מתנה נתנם לי' נאמן לומר 'פרעון של חוב אחר הוא'. </w:t>
      </w:r>
      <w:r w:rsidRPr="001D49D4">
        <w:rPr>
          <w:rFonts w:ascii="Calibri" w:eastAsia="Calibri" w:hAnsi="Calibri" w:cs="Arial"/>
          <w:sz w:val="18"/>
          <w:szCs w:val="18"/>
          <w:rtl/>
        </w:rPr>
        <w:t>הגה: ויש חולקין וס"ל דאפילו בכה"ג אתרע שטרא</w:t>
      </w:r>
      <w:r w:rsidRPr="001D49D4">
        <w:rPr>
          <w:rFonts w:ascii="Calibri" w:eastAsia="Calibri" w:hAnsi="Calibri" w:cs="Arial"/>
          <w:sz w:val="18"/>
          <w:szCs w:val="18"/>
          <w:vertAlign w:val="superscript"/>
          <w:rtl/>
        </w:rPr>
        <w:footnoteReference w:id="4491"/>
      </w:r>
      <w:r w:rsidRPr="001D49D4">
        <w:rPr>
          <w:rFonts w:ascii="Calibri" w:eastAsia="Calibri" w:hAnsi="Calibri" w:cs="Arial"/>
          <w:sz w:val="18"/>
          <w:szCs w:val="18"/>
          <w:rtl/>
        </w:rPr>
        <w:t xml:space="preserve"> (ר"ת רמב"ן ורא"ש) וכן נ"ל עיקר, דהמוציא מחבירו עליו הראיה. וכל זה דנתנו לו בפני שני עדים, אבל בפני עד א', לא אמרינן</w:t>
      </w:r>
      <w:r w:rsidRPr="001D49D4">
        <w:rPr>
          <w:rFonts w:ascii="Calibri" w:eastAsia="Calibri" w:hAnsi="Calibri" w:cs="Arial"/>
          <w:sz w:val="18"/>
          <w:szCs w:val="18"/>
          <w:vertAlign w:val="superscript"/>
          <w:rtl/>
        </w:rPr>
        <w:footnoteReference w:id="4492"/>
      </w:r>
      <w:r w:rsidRPr="001D49D4">
        <w:rPr>
          <w:rFonts w:ascii="Calibri" w:eastAsia="Calibri" w:hAnsi="Calibri" w:cs="Arial"/>
          <w:sz w:val="18"/>
          <w:szCs w:val="18"/>
          <w:rtl/>
        </w:rPr>
        <w:t xml:space="preserve"> דאתרע שטרא</w:t>
      </w:r>
      <w:r w:rsidRPr="001D49D4">
        <w:rPr>
          <w:rFonts w:ascii="Calibri" w:eastAsia="Calibri" w:hAnsi="Calibri" w:cs="Arial"/>
          <w:sz w:val="18"/>
          <w:szCs w:val="18"/>
          <w:vertAlign w:val="superscript"/>
          <w:rtl/>
        </w:rPr>
        <w:footnoteReference w:id="4493"/>
      </w:r>
      <w:r w:rsidRPr="001D49D4">
        <w:rPr>
          <w:rFonts w:ascii="Calibri" w:eastAsia="Calibri" w:hAnsi="Calibri" w:cs="Arial"/>
          <w:sz w:val="18"/>
          <w:szCs w:val="18"/>
          <w:rtl/>
        </w:rPr>
        <w:t xml:space="preserve"> (טור בשם הרמב"ן). וע"ל סימן ע'</w:t>
      </w:r>
      <w:r w:rsidRPr="001D49D4">
        <w:rPr>
          <w:rFonts w:ascii="Calibri" w:eastAsia="Calibri" w:hAnsi="Calibri" w:cs="Arial"/>
          <w:sz w:val="18"/>
          <w:szCs w:val="18"/>
          <w:vertAlign w:val="superscript"/>
          <w:rtl/>
        </w:rPr>
        <w:footnoteReference w:id="4494"/>
      </w:r>
      <w:r w:rsidRPr="001D49D4">
        <w:rPr>
          <w:rFonts w:ascii="Calibri" w:eastAsia="Calibri" w:hAnsi="Calibri" w:cs="Arial"/>
          <w:sz w:val="18"/>
          <w:szCs w:val="18"/>
          <w:rtl/>
        </w:rPr>
        <w:t xml:space="preserve">. </w:t>
      </w:r>
    </w:p>
    <w:p w14:paraId="45E7E131" w14:textId="77777777" w:rsidR="001D49D4" w:rsidRPr="001D49D4" w:rsidRDefault="001D49D4" w:rsidP="0004348D">
      <w:pPr>
        <w:spacing w:before="360" w:after="240"/>
        <w:rPr>
          <w:rFonts w:ascii="Calibri" w:eastAsia="Calibri" w:hAnsi="Calibri" w:cs="Arial"/>
          <w:u w:val="single"/>
          <w:rtl/>
        </w:rPr>
      </w:pPr>
      <w:r w:rsidRPr="001D49D4">
        <w:rPr>
          <w:rFonts w:ascii="Calibri" w:eastAsia="Calibri" w:hAnsi="Calibri" w:cs="Arial"/>
          <w:u w:val="single"/>
          <w:rtl/>
        </w:rPr>
        <w:t>כתב בשטר דהאמין למלוה כשני עדים, ופרע לו בעדים – האם המלוה נאמן לומר סיטראי:</w:t>
      </w:r>
    </w:p>
    <w:p w14:paraId="6BB6ED24" w14:textId="77777777" w:rsidR="001D49D4" w:rsidRPr="001D49D4" w:rsidRDefault="001D49D4" w:rsidP="0004348D">
      <w:pPr>
        <w:numPr>
          <w:ilvl w:val="0"/>
          <w:numId w:val="315"/>
        </w:numPr>
        <w:spacing w:before="360" w:after="240"/>
        <w:contextualSpacing/>
        <w:rPr>
          <w:rtl/>
        </w:rPr>
      </w:pPr>
      <w:r w:rsidRPr="001D49D4">
        <w:rPr>
          <w:rtl/>
        </w:rPr>
        <w:t xml:space="preserve">סמ"ע </w:t>
      </w:r>
      <w:r w:rsidRPr="001D49D4">
        <w:rPr>
          <w:sz w:val="16"/>
          <w:szCs w:val="16"/>
          <w:rtl/>
        </w:rPr>
        <w:t>(סק"י)</w:t>
      </w:r>
      <w:r w:rsidRPr="001D49D4">
        <w:rPr>
          <w:rtl/>
        </w:rPr>
        <w:t xml:space="preserve"> וש"ך</w:t>
      </w:r>
      <w:r w:rsidRPr="001D49D4">
        <w:rPr>
          <w:sz w:val="16"/>
          <w:szCs w:val="16"/>
          <w:rtl/>
        </w:rPr>
        <w:t xml:space="preserve"> (סקי"א)</w:t>
      </w:r>
      <w:r w:rsidRPr="001D49D4">
        <w:rPr>
          <w:rtl/>
        </w:rPr>
        <w:t>- אם כתב בשטר דהאמין למלוה כשני עדים, אפילו נתנו לו בעדים - נאמן לומר סיטראי נינהו... דכיון שהאמינו יותר מהעדים, האמינו בכל מה שיאמר</w:t>
      </w:r>
      <w:r w:rsidRPr="001D49D4">
        <w:rPr>
          <w:sz w:val="16"/>
          <w:szCs w:val="16"/>
          <w:rtl/>
        </w:rPr>
        <w:t xml:space="preserve"> (ל' הסמ"ע))</w:t>
      </w:r>
      <w:r w:rsidRPr="001D49D4">
        <w:rPr>
          <w:rtl/>
        </w:rPr>
        <w:t>.</w:t>
      </w:r>
    </w:p>
    <w:p w14:paraId="63B45DD6" w14:textId="77777777" w:rsidR="001D49D4" w:rsidRPr="001D49D4" w:rsidRDefault="001D49D4" w:rsidP="0004348D">
      <w:pPr>
        <w:numPr>
          <w:ilvl w:val="0"/>
          <w:numId w:val="315"/>
        </w:numPr>
        <w:spacing w:before="360" w:after="240"/>
        <w:contextualSpacing/>
      </w:pPr>
      <w:r w:rsidRPr="001D49D4">
        <w:rPr>
          <w:rtl/>
        </w:rPr>
        <w:t>מהר"א ן' ששון</w:t>
      </w:r>
      <w:r w:rsidRPr="001D49D4">
        <w:rPr>
          <w:sz w:val="16"/>
          <w:szCs w:val="16"/>
          <w:rtl/>
        </w:rPr>
        <w:t xml:space="preserve"> (סי' עד)</w:t>
      </w:r>
      <w:r w:rsidRPr="001D49D4">
        <w:rPr>
          <w:rtl/>
        </w:rPr>
        <w:t>- היכא דהעדים מעידים על פרעון סתם - אינו נאמן אפילו האמינו כב' עדים דלא חשיב מיגו מעליא דלא ניחא ליה למיטען להד"ם שהעדים יכחישוהו... אבל אם העדים מעידים שקיבלם על פרעון בפירוש מזה השטר, נאמן במיגו, דהא השתא נמי בהך דטעין סיטראי מכחיש העדים, וא"כ כיון ששתי הטענות שוות נאמן לומר סיטראי במיגו</w:t>
      </w:r>
      <w:r w:rsidRPr="001D49D4">
        <w:rPr>
          <w:vertAlign w:val="superscript"/>
          <w:rtl/>
        </w:rPr>
        <w:footnoteReference w:id="4495"/>
      </w:r>
      <w:r w:rsidRPr="001D49D4">
        <w:rPr>
          <w:rtl/>
        </w:rPr>
        <w:t>.</w:t>
      </w:r>
    </w:p>
    <w:p w14:paraId="1980B9FB" w14:textId="77777777" w:rsidR="001D49D4" w:rsidRPr="001D49D4" w:rsidRDefault="001D49D4" w:rsidP="0004348D">
      <w:pPr>
        <w:spacing w:before="360" w:after="240"/>
        <w:rPr>
          <w:rFonts w:ascii="Calibri" w:eastAsia="Calibri" w:hAnsi="Calibri" w:cs="Arial"/>
        </w:rPr>
      </w:pPr>
      <w:r w:rsidRPr="001D49D4">
        <w:rPr>
          <w:rFonts w:ascii="Calibri" w:eastAsia="Calibri" w:hAnsi="Calibri" w:cs="Arial"/>
          <w:u w:val="single"/>
          <w:rtl/>
        </w:rPr>
        <w:t>מלוה שלח שלוחו לקבל מעות מהלוה, והלוה אמר לשליח שלא ישלם למלוה עד שיכתוב קבלה, והשליח לא עשה כן:</w:t>
      </w:r>
      <w:r w:rsidRPr="001D49D4">
        <w:rPr>
          <w:rFonts w:ascii="Calibri" w:eastAsia="Calibri" w:hAnsi="Calibri" w:cs="Arial"/>
          <w:rtl/>
        </w:rPr>
        <w:t xml:space="preserve"> </w:t>
      </w:r>
    </w:p>
    <w:p w14:paraId="7A6B807C" w14:textId="77777777" w:rsidR="001D49D4" w:rsidRPr="001D49D4" w:rsidRDefault="001D49D4" w:rsidP="0004348D">
      <w:pPr>
        <w:numPr>
          <w:ilvl w:val="0"/>
          <w:numId w:val="315"/>
        </w:numPr>
        <w:spacing w:before="360" w:after="240"/>
        <w:contextualSpacing/>
      </w:pPr>
      <w:r w:rsidRPr="001D49D4">
        <w:rPr>
          <w:rtl/>
        </w:rPr>
        <w:t xml:space="preserve">מהר"מ מלובלין </w:t>
      </w:r>
      <w:r w:rsidRPr="001D49D4">
        <w:rPr>
          <w:sz w:val="16"/>
          <w:szCs w:val="16"/>
          <w:rtl/>
        </w:rPr>
        <w:t>(סי' קיד)</w:t>
      </w:r>
      <w:r w:rsidRPr="001D49D4">
        <w:rPr>
          <w:rtl/>
        </w:rPr>
        <w:t>- אחד שלח שלוחו לקבל מעות מהלוה, והלוה אמר לשליח שלא ישלם למלוה עד שיכתוב קבלה על השטר, והשליח לא עשה כן, והמלוה טוען סיטראי. תשובה, אם מינה המלוה את השליח בעדים או ע"י כתב וניכר הכתב, כיון דאינו יכול לטעון להד"ם</w:t>
      </w:r>
      <w:r w:rsidRPr="001D49D4">
        <w:rPr>
          <w:sz w:val="16"/>
          <w:szCs w:val="16"/>
          <w:rtl/>
        </w:rPr>
        <w:t xml:space="preserve"> (כדלקמן סי' קכא)</w:t>
      </w:r>
      <w:r w:rsidRPr="001D49D4">
        <w:rPr>
          <w:rtl/>
        </w:rPr>
        <w:t xml:space="preserve"> - אינו יכול לטעון סיטראי. אבל אם לא מינהו בעדים וגם אין כת"י ניכר - יכול לטעון סיטראי במיגו דלהד"ם, והשליח חייב לשלם להלוה</w:t>
      </w:r>
      <w:r w:rsidRPr="001D49D4">
        <w:rPr>
          <w:vertAlign w:val="superscript"/>
          <w:rtl/>
        </w:rPr>
        <w:footnoteReference w:id="4496"/>
      </w:r>
      <w:r w:rsidRPr="001D49D4">
        <w:rPr>
          <w:rtl/>
        </w:rPr>
        <w:t>.</w:t>
      </w:r>
    </w:p>
    <w:p w14:paraId="092D1EFE" w14:textId="77777777" w:rsidR="001D49D4" w:rsidRPr="001D49D4" w:rsidRDefault="001D49D4" w:rsidP="0004348D">
      <w:pPr>
        <w:spacing w:before="360" w:after="240"/>
        <w:rPr>
          <w:rFonts w:ascii="Calibri" w:eastAsia="Calibri" w:hAnsi="Calibri" w:cs="Arial"/>
          <w:rtl/>
        </w:rPr>
      </w:pPr>
    </w:p>
    <w:p w14:paraId="230AB930" w14:textId="77777777" w:rsidR="001D49D4" w:rsidRPr="001D49D4" w:rsidRDefault="001D49D4" w:rsidP="0004348D">
      <w:pPr>
        <w:keepNext/>
        <w:keepLines/>
        <w:spacing w:before="360" w:after="240"/>
        <w:outlineLvl w:val="1"/>
        <w:rPr>
          <w:rFonts w:ascii="Cambria" w:eastAsia="Times New Roman" w:hAnsi="Cambria" w:cs="Arial"/>
          <w:bCs/>
          <w:color w:val="548DD4" w:themeColor="text2" w:themeTint="99"/>
          <w:sz w:val="26"/>
          <w:szCs w:val="26"/>
          <w:rtl/>
        </w:rPr>
      </w:pPr>
      <w:bookmarkStart w:id="601" w:name="_Toc24884027"/>
      <w:r w:rsidRPr="001D49D4">
        <w:rPr>
          <w:rFonts w:ascii="Cambria" w:eastAsia="Times New Roman" w:hAnsi="Cambria" w:cs="Arial"/>
          <w:bCs/>
          <w:color w:val="548DD4" w:themeColor="text2" w:themeTint="99"/>
          <w:sz w:val="26"/>
          <w:szCs w:val="26"/>
          <w:rtl/>
        </w:rPr>
        <w:t>סעיף ג: לוה שטוען 'והלא שטר חוב זה דמי שור שלקחתי ממך הוא ואתה גבית דמי בשרו'.</w:t>
      </w:r>
      <w:bookmarkEnd w:id="601"/>
    </w:p>
    <w:p w14:paraId="6D6F21C7"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b/>
          <w:bCs/>
          <w:rtl/>
        </w:rPr>
        <w:t xml:space="preserve">שבועות </w:t>
      </w:r>
      <w:r w:rsidRPr="001D49D4">
        <w:rPr>
          <w:rFonts w:ascii="Calibri" w:eastAsia="Calibri" w:hAnsi="Calibri" w:cs="Arial"/>
          <w:b/>
          <w:bCs/>
          <w:sz w:val="16"/>
          <w:szCs w:val="16"/>
          <w:rtl/>
        </w:rPr>
        <w:t xml:space="preserve">(פרק שבועת הדיינין) </w:t>
      </w:r>
      <w:r w:rsidRPr="001D49D4">
        <w:rPr>
          <w:rFonts w:ascii="Calibri" w:eastAsia="Calibri" w:hAnsi="Calibri" w:cs="Arial"/>
          <w:b/>
          <w:bCs/>
          <w:rtl/>
        </w:rPr>
        <w:t>מב</w:t>
      </w:r>
      <w:r w:rsidRPr="001D49D4">
        <w:rPr>
          <w:rFonts w:ascii="Calibri" w:eastAsia="Calibri" w:hAnsi="Calibri" w:cs="Arial"/>
          <w:b/>
          <w:bCs/>
          <w:vertAlign w:val="superscript"/>
          <w:rtl/>
        </w:rPr>
        <w:footnoteReference w:id="4497"/>
      </w:r>
      <w:r w:rsidRPr="001D49D4">
        <w:rPr>
          <w:rFonts w:ascii="Calibri" w:eastAsia="Calibri" w:hAnsi="Calibri" w:cs="Arial"/>
          <w:b/>
          <w:bCs/>
          <w:rtl/>
        </w:rPr>
        <w:t xml:space="preserve"> ע"א:</w:t>
      </w:r>
      <w:r w:rsidRPr="001D49D4">
        <w:rPr>
          <w:rFonts w:ascii="Calibri" w:eastAsia="Calibri" w:hAnsi="Calibri" w:cs="Arial"/>
          <w:rtl/>
        </w:rPr>
        <w:t xml:space="preserve"> ההוא דא"ל לחבריה: הב לי מאה זוזי דמסיקנא בך והא שטרא, א"ל: פרעתיך, אמר ליה: הנהו סיטראי נינהו. </w:t>
      </w:r>
      <w:r w:rsidRPr="001D49D4">
        <w:rPr>
          <w:rFonts w:ascii="Calibri" w:eastAsia="Calibri" w:hAnsi="Calibri" w:cs="Arial"/>
          <w:u w:val="single"/>
          <w:rtl/>
        </w:rPr>
        <w:t>אמר רב נחמן</w:t>
      </w:r>
      <w:r w:rsidRPr="001D49D4">
        <w:rPr>
          <w:rFonts w:ascii="Calibri" w:eastAsia="Calibri" w:hAnsi="Calibri" w:cs="Arial"/>
          <w:rtl/>
        </w:rPr>
        <w:t xml:space="preserve">: איתרע שטרא; </w:t>
      </w:r>
      <w:r w:rsidRPr="001D49D4">
        <w:rPr>
          <w:rFonts w:ascii="Calibri" w:eastAsia="Calibri" w:hAnsi="Calibri" w:cs="Arial"/>
          <w:u w:val="single"/>
          <w:rtl/>
        </w:rPr>
        <w:t>רב פפא אמר</w:t>
      </w:r>
      <w:r w:rsidRPr="001D49D4">
        <w:rPr>
          <w:rFonts w:ascii="Calibri" w:eastAsia="Calibri" w:hAnsi="Calibri" w:cs="Arial"/>
          <w:rtl/>
        </w:rPr>
        <w:t>: לא איתרע שטרא. ולרב פפא, מאי שנא מההוא דאמר ליה לחבריה: הב לי מאה זוזי דמסיקנא בך והא שטרא, א"ל: לאו אתורי יהבת לי</w:t>
      </w:r>
      <w:r w:rsidRPr="001D49D4">
        <w:rPr>
          <w:rFonts w:ascii="Calibri" w:eastAsia="Calibri" w:hAnsi="Calibri" w:cs="Arial"/>
          <w:vertAlign w:val="superscript"/>
          <w:rtl/>
        </w:rPr>
        <w:footnoteReference w:id="4498"/>
      </w:r>
      <w:r w:rsidRPr="001D49D4">
        <w:rPr>
          <w:rFonts w:ascii="Calibri" w:eastAsia="Calibri" w:hAnsi="Calibri" w:cs="Arial"/>
          <w:rtl/>
        </w:rPr>
        <w:t xml:space="preserve"> ואתית ואיתיבת אמסחתא</w:t>
      </w:r>
      <w:r w:rsidRPr="001D49D4">
        <w:rPr>
          <w:rFonts w:ascii="Calibri" w:eastAsia="Calibri" w:hAnsi="Calibri" w:cs="Arial"/>
          <w:vertAlign w:val="superscript"/>
          <w:rtl/>
        </w:rPr>
        <w:footnoteReference w:id="4499"/>
      </w:r>
      <w:r w:rsidRPr="001D49D4">
        <w:rPr>
          <w:rFonts w:ascii="Calibri" w:eastAsia="Calibri" w:hAnsi="Calibri" w:cs="Arial"/>
          <w:rtl/>
        </w:rPr>
        <w:t xml:space="preserve"> וקבילת זוזך? ואמר ליה: הנהו סיטראי נינהו, ואמר רב פפא: איתרע שטרא</w:t>
      </w:r>
      <w:r w:rsidRPr="001D49D4">
        <w:rPr>
          <w:rFonts w:ascii="Calibri" w:eastAsia="Calibri" w:hAnsi="Calibri" w:cs="Arial"/>
          <w:vertAlign w:val="superscript"/>
          <w:rtl/>
        </w:rPr>
        <w:footnoteReference w:id="4500"/>
      </w:r>
      <w:r w:rsidRPr="001D49D4">
        <w:rPr>
          <w:rFonts w:ascii="Calibri" w:eastAsia="Calibri" w:hAnsi="Calibri" w:cs="Arial"/>
          <w:rtl/>
        </w:rPr>
        <w:t xml:space="preserve">! התם כיון דקאמר אתורי יהבת לי ומתורי שקלת - איתרע שטרא, הכא אימור סיטראי נינהו. מאי הוי עלה? </w:t>
      </w:r>
      <w:r w:rsidRPr="001D49D4">
        <w:rPr>
          <w:rFonts w:ascii="Calibri" w:eastAsia="Calibri" w:hAnsi="Calibri" w:cs="Arial"/>
          <w:u w:val="single"/>
          <w:rtl/>
        </w:rPr>
        <w:t>רב פפי אמר</w:t>
      </w:r>
      <w:r w:rsidRPr="001D49D4">
        <w:rPr>
          <w:rFonts w:ascii="Calibri" w:eastAsia="Calibri" w:hAnsi="Calibri" w:cs="Arial"/>
          <w:rtl/>
        </w:rPr>
        <w:t xml:space="preserve">: לא איתרע שטרא, </w:t>
      </w:r>
      <w:r w:rsidRPr="001D49D4">
        <w:rPr>
          <w:rFonts w:ascii="Calibri" w:eastAsia="Calibri" w:hAnsi="Calibri" w:cs="Arial"/>
          <w:u w:val="single"/>
          <w:rtl/>
        </w:rPr>
        <w:t>רב ששת בריה דרב אידי אמר</w:t>
      </w:r>
      <w:r w:rsidRPr="001D49D4">
        <w:rPr>
          <w:rFonts w:ascii="Calibri" w:eastAsia="Calibri" w:hAnsi="Calibri" w:cs="Arial"/>
          <w:rtl/>
        </w:rPr>
        <w:t>: איתרע שטרא. והלכתא: איתרע שטרא.</w:t>
      </w:r>
    </w:p>
    <w:p w14:paraId="5B6FCA19"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u w:val="single"/>
          <w:rtl/>
        </w:rPr>
        <w:t xml:space="preserve">מלוה שהוציא שטר על חברו, והלוה אומר לאו אתורי יהבת לי </w:t>
      </w:r>
      <w:r w:rsidRPr="001D49D4">
        <w:rPr>
          <w:rFonts w:ascii="Calibri" w:eastAsia="Calibri" w:hAnsi="Calibri" w:cs="Arial"/>
          <w:sz w:val="16"/>
          <w:szCs w:val="16"/>
          <w:u w:val="single"/>
          <w:rtl/>
        </w:rPr>
        <w:t>(ואתית ואיתיבת אמסחתא)</w:t>
      </w:r>
      <w:r w:rsidRPr="001D49D4">
        <w:rPr>
          <w:rFonts w:ascii="Calibri" w:eastAsia="Calibri" w:hAnsi="Calibri" w:cs="Arial"/>
          <w:u w:val="single"/>
          <w:rtl/>
        </w:rPr>
        <w:t xml:space="preserve"> וקבילת זוזך, והמלוה טוען סיטראי:</w:t>
      </w:r>
    </w:p>
    <w:p w14:paraId="6AA91631" w14:textId="77777777" w:rsidR="001D49D4" w:rsidRPr="001D49D4" w:rsidRDefault="001D49D4" w:rsidP="0004348D">
      <w:pPr>
        <w:numPr>
          <w:ilvl w:val="0"/>
          <w:numId w:val="315"/>
        </w:numPr>
        <w:spacing w:before="360" w:after="240"/>
        <w:contextualSpacing/>
        <w:rPr>
          <w:rtl/>
        </w:rPr>
      </w:pPr>
      <w:r w:rsidRPr="001D49D4">
        <w:rPr>
          <w:rtl/>
        </w:rPr>
        <w:t xml:space="preserve">טור- אם אמר הלוה 'והלא מעות אלו מדמי שור שלקחתי ממך ואתה גבית דמי בשרו כשמכרתיו', והשיב לו בעל השטר 'כן גביתי אבל מחוב אחר שהיה לי אצלך', כיון שהודה שמדמי השור היה החוב ומדמי השור נפרע - בטל השטר. </w:t>
      </w:r>
    </w:p>
    <w:p w14:paraId="73C55254" w14:textId="77777777" w:rsidR="001D49D4" w:rsidRPr="001D49D4" w:rsidRDefault="001D49D4" w:rsidP="0004348D">
      <w:pPr>
        <w:spacing w:before="360" w:after="240"/>
        <w:ind w:left="360"/>
        <w:rPr>
          <w:rFonts w:ascii="Calibri" w:eastAsia="Calibri" w:hAnsi="Calibri" w:cs="Arial"/>
          <w:u w:val="dotted"/>
        </w:rPr>
      </w:pPr>
      <w:r w:rsidRPr="001D49D4">
        <w:rPr>
          <w:rFonts w:ascii="Calibri" w:eastAsia="Calibri" w:hAnsi="Calibri" w:cs="Arial"/>
          <w:u w:val="dotted"/>
          <w:rtl/>
        </w:rPr>
        <w:t>האם השטר בטל אע"ג שאין ללוה עדים שפרע למלוה מדמי השור:</w:t>
      </w:r>
    </w:p>
    <w:p w14:paraId="73F45C5F" w14:textId="77777777" w:rsidR="001D49D4" w:rsidRPr="001D49D4" w:rsidRDefault="001D49D4" w:rsidP="0004348D">
      <w:pPr>
        <w:numPr>
          <w:ilvl w:val="0"/>
          <w:numId w:val="315"/>
        </w:numPr>
        <w:spacing w:before="360" w:after="240"/>
        <w:contextualSpacing/>
      </w:pPr>
      <w:r w:rsidRPr="001D49D4">
        <w:rPr>
          <w:rtl/>
        </w:rPr>
        <w:t xml:space="preserve">רי"ף </w:t>
      </w:r>
      <w:r w:rsidRPr="001D49D4">
        <w:rPr>
          <w:sz w:val="16"/>
          <w:szCs w:val="16"/>
          <w:rtl/>
        </w:rPr>
        <w:t xml:space="preserve">(כב., כ"כ הב"י בשמו) </w:t>
      </w:r>
      <w:r w:rsidRPr="001D49D4">
        <w:rPr>
          <w:rtl/>
        </w:rPr>
        <w:t xml:space="preserve">ורמב"ם </w:t>
      </w:r>
      <w:r w:rsidRPr="001D49D4">
        <w:rPr>
          <w:sz w:val="16"/>
          <w:szCs w:val="16"/>
          <w:rtl/>
        </w:rPr>
        <w:t>(פי"ד ממלוה ולוה ה"ט)</w:t>
      </w:r>
      <w:r w:rsidRPr="001D49D4">
        <w:rPr>
          <w:rtl/>
        </w:rPr>
        <w:t>- אפילו אין עליו עדים שפרעו מדמיו ישבע הלוה היסת שפרעו</w:t>
      </w:r>
      <w:r w:rsidRPr="001D49D4">
        <w:rPr>
          <w:vertAlign w:val="superscript"/>
          <w:rtl/>
        </w:rPr>
        <w:footnoteReference w:id="4501"/>
      </w:r>
      <w:r w:rsidRPr="001D49D4">
        <w:rPr>
          <w:rtl/>
        </w:rPr>
        <w:t>.</w:t>
      </w:r>
    </w:p>
    <w:p w14:paraId="00888C18" w14:textId="77777777" w:rsidR="001D49D4" w:rsidRPr="001D49D4" w:rsidRDefault="001D49D4" w:rsidP="0004348D">
      <w:pPr>
        <w:numPr>
          <w:ilvl w:val="0"/>
          <w:numId w:val="315"/>
        </w:numPr>
        <w:spacing w:before="360" w:after="240"/>
        <w:contextualSpacing/>
      </w:pPr>
      <w:r w:rsidRPr="001D49D4">
        <w:rPr>
          <w:rtl/>
        </w:rPr>
        <w:t>ר"י מיגאש</w:t>
      </w:r>
      <w:r w:rsidRPr="001D49D4">
        <w:rPr>
          <w:sz w:val="16"/>
          <w:szCs w:val="16"/>
          <w:rtl/>
        </w:rPr>
        <w:t xml:space="preserve"> (כ"כ הטור בשמו)</w:t>
      </w:r>
      <w:r w:rsidRPr="001D49D4">
        <w:rPr>
          <w:rtl/>
        </w:rPr>
        <w:t xml:space="preserve"> וטור- דוקא שיש עדים שפרע לו דמי השור, דאי לאו הכי היה נאמן לומר סיטראי נינהו במיגו דלא נתפרעתי מדמי השור</w:t>
      </w:r>
      <w:r w:rsidRPr="001D49D4">
        <w:rPr>
          <w:sz w:val="16"/>
          <w:szCs w:val="16"/>
          <w:rtl/>
        </w:rPr>
        <w:t xml:space="preserve"> (ל' הטור)</w:t>
      </w:r>
      <w:r w:rsidRPr="001D49D4">
        <w:rPr>
          <w:rtl/>
        </w:rPr>
        <w:t xml:space="preserve">. </w:t>
      </w:r>
      <w:r w:rsidRPr="001D49D4">
        <w:rPr>
          <w:color w:val="E36C0A" w:themeColor="accent6" w:themeShade="BF"/>
          <w:rtl/>
        </w:rPr>
        <w:t>(וכ"ס בשו"ע)</w:t>
      </w:r>
      <w:r w:rsidRPr="001D49D4">
        <w:rPr>
          <w:color w:val="00B0F0"/>
          <w:rtl/>
        </w:rPr>
        <w:t xml:space="preserve"> (וכ"פ הרמ"א)</w:t>
      </w:r>
    </w:p>
    <w:p w14:paraId="117337A2" w14:textId="77777777" w:rsidR="001D49D4" w:rsidRPr="001D49D4" w:rsidRDefault="001D49D4" w:rsidP="0004348D">
      <w:pPr>
        <w:numPr>
          <w:ilvl w:val="1"/>
          <w:numId w:val="315"/>
        </w:numPr>
        <w:spacing w:before="360" w:after="240"/>
        <w:contextualSpacing/>
      </w:pPr>
      <w:r w:rsidRPr="001D49D4">
        <w:rPr>
          <w:rtl/>
        </w:rPr>
        <w:t>ב"י- ולענין הלכה כיון שהרי"ף והרמב"ם מסכימים לדעת אחת הכי נקיטינן</w:t>
      </w:r>
      <w:r w:rsidRPr="001D49D4">
        <w:rPr>
          <w:vertAlign w:val="superscript"/>
          <w:rtl/>
        </w:rPr>
        <w:footnoteReference w:id="4502"/>
      </w:r>
      <w:r w:rsidRPr="001D49D4">
        <w:rPr>
          <w:rtl/>
        </w:rPr>
        <w:t>.</w:t>
      </w:r>
    </w:p>
    <w:p w14:paraId="0C29FD33" w14:textId="77777777" w:rsidR="001D49D4" w:rsidRPr="001D49D4" w:rsidRDefault="001D49D4" w:rsidP="0004348D">
      <w:pPr>
        <w:spacing w:before="360" w:after="240"/>
        <w:rPr>
          <w:rFonts w:ascii="Arial" w:eastAsia="Calibri" w:hAnsi="Arial" w:cs="Arial"/>
          <w:b/>
          <w:bCs/>
          <w:color w:val="000000"/>
          <w:sz w:val="28"/>
          <w:szCs w:val="28"/>
          <w:u w:val="single"/>
          <w:rtl/>
        </w:rPr>
      </w:pPr>
      <w:r w:rsidRPr="001D49D4">
        <w:rPr>
          <w:rFonts w:ascii="Arial" w:eastAsia="Calibri" w:hAnsi="Arial" w:cs="Arial"/>
          <w:b/>
          <w:bCs/>
          <w:color w:val="000000"/>
          <w:sz w:val="28"/>
          <w:szCs w:val="28"/>
          <w:u w:val="single"/>
          <w:rtl/>
        </w:rPr>
        <w:t>שו"ע:</w:t>
      </w:r>
    </w:p>
    <w:p w14:paraId="41E3471C"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rtl/>
        </w:rPr>
        <w:t>אמר לו הלוה 'הלא שטר חוב זה דמי שור שלקחתי ממך הוא ואתה גבית דמי בשרו', ואמר לו בעל השטר 'כן אני גביתי דמיו, אבל מחוב אחר שהיה לי אצלך', הואיל והודה שדמי השור הוא החוב ומדמיו נפרע, בטל השטר אם יש עדים שפרע לו</w:t>
      </w:r>
      <w:r w:rsidRPr="001D49D4">
        <w:rPr>
          <w:rFonts w:ascii="Calibri" w:eastAsia="Calibri" w:hAnsi="Calibri" w:cs="Arial"/>
          <w:vertAlign w:val="superscript"/>
          <w:rtl/>
        </w:rPr>
        <w:footnoteReference w:id="4503"/>
      </w:r>
      <w:r w:rsidRPr="001D49D4">
        <w:rPr>
          <w:rFonts w:ascii="Calibri" w:eastAsia="Calibri" w:hAnsi="Calibri" w:cs="Arial"/>
          <w:rtl/>
        </w:rPr>
        <w:t xml:space="preserve"> דמי השור</w:t>
      </w:r>
      <w:r w:rsidRPr="001D49D4">
        <w:rPr>
          <w:rFonts w:ascii="Calibri" w:eastAsia="Calibri" w:hAnsi="Calibri" w:cs="Arial"/>
          <w:vertAlign w:val="superscript"/>
          <w:rtl/>
        </w:rPr>
        <w:footnoteReference w:id="4504"/>
      </w:r>
      <w:r w:rsidRPr="001D49D4">
        <w:rPr>
          <w:rFonts w:ascii="Calibri" w:eastAsia="Calibri" w:hAnsi="Calibri" w:cs="Arial"/>
          <w:rtl/>
        </w:rPr>
        <w:t xml:space="preserve">. ויש מי שכתב שאף על פי שאין עליו עדים שפרע מדמיו, ישבע הלוה היסת שפרעו. </w:t>
      </w:r>
      <w:r w:rsidRPr="001D49D4">
        <w:rPr>
          <w:rFonts w:ascii="Calibri" w:eastAsia="Calibri" w:hAnsi="Calibri" w:cs="Arial"/>
          <w:sz w:val="18"/>
          <w:szCs w:val="18"/>
          <w:rtl/>
        </w:rPr>
        <w:t>[הגה] והעיקר כסברא הראשונה</w:t>
      </w:r>
      <w:r w:rsidRPr="001D49D4">
        <w:rPr>
          <w:rFonts w:ascii="Calibri" w:eastAsia="Calibri" w:hAnsi="Calibri" w:cs="Arial"/>
          <w:sz w:val="18"/>
          <w:szCs w:val="18"/>
          <w:vertAlign w:val="superscript"/>
          <w:rtl/>
        </w:rPr>
        <w:footnoteReference w:id="4505"/>
      </w:r>
      <w:r w:rsidRPr="001D49D4">
        <w:rPr>
          <w:rFonts w:ascii="Calibri" w:eastAsia="Calibri" w:hAnsi="Calibri" w:cs="Arial"/>
          <w:sz w:val="18"/>
          <w:szCs w:val="18"/>
          <w:rtl/>
        </w:rPr>
        <w:t>. אם ידוע שנתן לו קצת הדמים על חוב אחד לא יוכל לומר על האחרים שהם חוב אחר</w:t>
      </w:r>
      <w:r w:rsidRPr="001D49D4">
        <w:rPr>
          <w:rFonts w:ascii="Calibri" w:eastAsia="Calibri" w:hAnsi="Calibri" w:cs="Arial"/>
          <w:sz w:val="18"/>
          <w:szCs w:val="18"/>
          <w:vertAlign w:val="superscript"/>
          <w:rtl/>
        </w:rPr>
        <w:footnoteReference w:id="4506"/>
      </w:r>
      <w:r w:rsidRPr="001D49D4">
        <w:rPr>
          <w:rFonts w:ascii="Calibri" w:eastAsia="Calibri" w:hAnsi="Calibri" w:cs="Arial"/>
          <w:sz w:val="18"/>
          <w:szCs w:val="18"/>
          <w:rtl/>
        </w:rPr>
        <w:t xml:space="preserve"> (מהרי"ק שורש קכ).</w:t>
      </w:r>
      <w:r w:rsidRPr="001D49D4">
        <w:rPr>
          <w:rFonts w:ascii="Calibri" w:eastAsia="Calibri" w:hAnsi="Calibri" w:cs="Arial"/>
          <w:rtl/>
        </w:rPr>
        <w:t xml:space="preserve"> </w:t>
      </w:r>
    </w:p>
    <w:p w14:paraId="472BDA7F" w14:textId="77777777" w:rsidR="001D49D4" w:rsidRPr="001D49D4" w:rsidRDefault="001D49D4" w:rsidP="0004348D">
      <w:pPr>
        <w:spacing w:before="360" w:after="240"/>
        <w:rPr>
          <w:rFonts w:ascii="Calibri" w:eastAsia="Calibri" w:hAnsi="Calibri" w:cs="Arial"/>
          <w:rtl/>
        </w:rPr>
      </w:pPr>
    </w:p>
    <w:p w14:paraId="786A09B5" w14:textId="77777777" w:rsidR="001D49D4" w:rsidRPr="001D49D4" w:rsidRDefault="001D49D4" w:rsidP="0004348D">
      <w:pPr>
        <w:keepNext/>
        <w:keepLines/>
        <w:spacing w:before="360" w:after="240"/>
        <w:outlineLvl w:val="1"/>
        <w:rPr>
          <w:rFonts w:ascii="Cambria" w:eastAsia="Times New Roman" w:hAnsi="Cambria" w:cs="Arial"/>
          <w:bCs/>
          <w:color w:val="548DD4" w:themeColor="text2" w:themeTint="99"/>
          <w:sz w:val="26"/>
          <w:szCs w:val="26"/>
          <w:rtl/>
        </w:rPr>
      </w:pPr>
      <w:bookmarkStart w:id="602" w:name="_Toc24884028"/>
      <w:r w:rsidRPr="001D49D4">
        <w:rPr>
          <w:rFonts w:ascii="Cambria" w:eastAsia="Times New Roman" w:hAnsi="Cambria" w:cs="Arial"/>
          <w:bCs/>
          <w:color w:val="548DD4" w:themeColor="text2" w:themeTint="99"/>
          <w:sz w:val="26"/>
          <w:szCs w:val="26"/>
          <w:rtl/>
        </w:rPr>
        <w:t>סעיף ד: מלוה שקיבל פרעון חובו יכול לבחור איזה חוב נפרע.</w:t>
      </w:r>
      <w:bookmarkEnd w:id="602"/>
    </w:p>
    <w:p w14:paraId="17036136"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u w:val="single"/>
          <w:rtl/>
        </w:rPr>
        <w:t>האם מלוה שקיבל פרעון חובו יכול לבחור איזה חוב נפרע:</w:t>
      </w:r>
    </w:p>
    <w:p w14:paraId="77B52337" w14:textId="77777777" w:rsidR="001D49D4" w:rsidRPr="001D49D4" w:rsidRDefault="001D49D4" w:rsidP="0004348D">
      <w:pPr>
        <w:numPr>
          <w:ilvl w:val="0"/>
          <w:numId w:val="316"/>
        </w:numPr>
        <w:spacing w:before="360" w:after="240"/>
        <w:contextualSpacing/>
        <w:rPr>
          <w:rtl/>
        </w:rPr>
      </w:pPr>
      <w:r w:rsidRPr="001D49D4">
        <w:rPr>
          <w:rtl/>
        </w:rPr>
        <w:t xml:space="preserve">ר"ן </w:t>
      </w:r>
      <w:r w:rsidRPr="001D49D4">
        <w:rPr>
          <w:sz w:val="16"/>
          <w:szCs w:val="16"/>
          <w:rtl/>
        </w:rPr>
        <w:t>(פרק הכותב מב: ד"ה אבימי)</w:t>
      </w:r>
      <w:r w:rsidRPr="001D49D4">
        <w:rPr>
          <w:rtl/>
        </w:rPr>
        <w:t xml:space="preserve">- מהא </w:t>
      </w:r>
      <w:r w:rsidRPr="001D49D4">
        <w:rPr>
          <w:sz w:val="16"/>
          <w:szCs w:val="16"/>
          <w:rtl/>
        </w:rPr>
        <w:t xml:space="preserve">{דיכלי למימר סיטראי נינהו} </w:t>
      </w:r>
      <w:r w:rsidRPr="001D49D4">
        <w:rPr>
          <w:rtl/>
        </w:rPr>
        <w:t>שמעינן שמי שנושה בחבירו שני חובות ופרע לו הלוה סתם - הרשות ביד המלוה לומר מחוב פלוני לקחתי. ולא עוד אלא אפילו אמר לו לוה בשעת פרעון הא לך מעות אלו בשביל חוב פלוני ומלוה קבל ושתק - יכול לומר אח"כ המלוה בשביל מלוה על פה או בשביל חוב אחר תפסם, והאי דשתיק לאו משום דאודויי אודי ליה אלא פקח היה לשתוק כדי לתפוס ואחר שתפס בירר דעתו בשתיקתו</w:t>
      </w:r>
      <w:r w:rsidRPr="001D49D4">
        <w:rPr>
          <w:vertAlign w:val="superscript"/>
          <w:rtl/>
        </w:rPr>
        <w:footnoteReference w:id="4507"/>
      </w:r>
      <w:r w:rsidRPr="001D49D4">
        <w:rPr>
          <w:rtl/>
        </w:rPr>
        <w:t xml:space="preserve">. </w:t>
      </w:r>
      <w:r w:rsidRPr="001D49D4">
        <w:rPr>
          <w:color w:val="E36C0A" w:themeColor="accent6" w:themeShade="BF"/>
          <w:rtl/>
        </w:rPr>
        <w:t>(וכ"פ בשו"ע)</w:t>
      </w:r>
    </w:p>
    <w:p w14:paraId="7B14E392" w14:textId="77777777" w:rsidR="001D49D4" w:rsidRPr="001D49D4" w:rsidRDefault="001D49D4" w:rsidP="0004348D">
      <w:pPr>
        <w:spacing w:before="360" w:after="240"/>
        <w:rPr>
          <w:rFonts w:ascii="Arial" w:eastAsia="Calibri" w:hAnsi="Arial" w:cs="Arial"/>
          <w:b/>
          <w:bCs/>
          <w:color w:val="000000"/>
          <w:sz w:val="28"/>
          <w:szCs w:val="28"/>
          <w:u w:val="single"/>
          <w:rtl/>
        </w:rPr>
      </w:pPr>
      <w:r w:rsidRPr="001D49D4">
        <w:rPr>
          <w:rFonts w:ascii="Arial" w:eastAsia="Calibri" w:hAnsi="Arial" w:cs="Arial"/>
          <w:b/>
          <w:bCs/>
          <w:color w:val="000000"/>
          <w:sz w:val="28"/>
          <w:szCs w:val="28"/>
          <w:u w:val="single"/>
          <w:rtl/>
        </w:rPr>
        <w:t>שו"ע:</w:t>
      </w:r>
    </w:p>
    <w:p w14:paraId="6B6B5C23"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rtl/>
        </w:rPr>
        <w:t xml:space="preserve">מי שנושה בחבירו שני חובות, ופרע לו הלוה סתם, הרשות ביד המלוה לומר 'מחוב פלוני לקחתי'. ולא עוד אלא אפילו אמר לו לוה בשעת פרעון 'הילך מעות אלו בשביל חוב פלוני', ומלוה קבל ושתק, יכול לומר אחר כך המלוה שבשביל מלוה על פה או בשביל חוב אחר תפסם. </w:t>
      </w:r>
      <w:r w:rsidRPr="001D49D4">
        <w:rPr>
          <w:rFonts w:ascii="Calibri" w:eastAsia="Calibri" w:hAnsi="Calibri" w:cs="Arial"/>
          <w:sz w:val="18"/>
          <w:szCs w:val="18"/>
          <w:rtl/>
        </w:rPr>
        <w:t xml:space="preserve">[הגה] ועיין לקמן סי' פ"ג </w:t>
      </w:r>
      <w:r w:rsidRPr="001D49D4">
        <w:rPr>
          <w:rFonts w:ascii="Calibri" w:eastAsia="Calibri" w:hAnsi="Calibri" w:cs="Arial"/>
          <w:sz w:val="16"/>
          <w:szCs w:val="16"/>
          <w:vertAlign w:val="superscript"/>
          <w:rtl/>
        </w:rPr>
        <w:footnoteReference w:id="4508"/>
      </w:r>
      <w:r w:rsidRPr="001D49D4">
        <w:rPr>
          <w:rFonts w:ascii="Calibri" w:eastAsia="Calibri" w:hAnsi="Calibri" w:cs="Arial"/>
          <w:sz w:val="16"/>
          <w:szCs w:val="16"/>
          <w:rtl/>
        </w:rPr>
        <w:t>(סעיף ב)</w:t>
      </w:r>
      <w:r w:rsidRPr="001D49D4">
        <w:rPr>
          <w:rFonts w:ascii="Calibri" w:eastAsia="Calibri" w:hAnsi="Calibri" w:cs="Arial"/>
          <w:rtl/>
        </w:rPr>
        <w:t xml:space="preserve">. </w:t>
      </w:r>
    </w:p>
    <w:p w14:paraId="10BA8D8C" w14:textId="77777777" w:rsidR="001D49D4" w:rsidRPr="001D49D4" w:rsidRDefault="001D49D4" w:rsidP="0004348D">
      <w:pPr>
        <w:spacing w:before="360" w:after="240"/>
        <w:rPr>
          <w:rFonts w:ascii="Calibri" w:eastAsia="Calibri" w:hAnsi="Calibri" w:cs="Arial"/>
          <w:rtl/>
        </w:rPr>
      </w:pPr>
    </w:p>
    <w:p w14:paraId="5FD4FDD0" w14:textId="77777777" w:rsidR="001D49D4" w:rsidRPr="001D49D4" w:rsidRDefault="001D49D4" w:rsidP="0004348D">
      <w:pPr>
        <w:keepNext/>
        <w:keepLines/>
        <w:spacing w:before="360" w:after="240"/>
        <w:outlineLvl w:val="1"/>
        <w:rPr>
          <w:rFonts w:ascii="Cambria" w:eastAsia="Times New Roman" w:hAnsi="Cambria" w:cs="Arial"/>
          <w:bCs/>
          <w:color w:val="548DD4" w:themeColor="text2" w:themeTint="99"/>
          <w:sz w:val="26"/>
          <w:szCs w:val="26"/>
          <w:rtl/>
        </w:rPr>
      </w:pPr>
      <w:bookmarkStart w:id="603" w:name="_Toc24884029"/>
      <w:r w:rsidRPr="001D49D4">
        <w:rPr>
          <w:rFonts w:ascii="Cambria" w:eastAsia="Times New Roman" w:hAnsi="Cambria" w:cs="Arial"/>
          <w:bCs/>
          <w:color w:val="548DD4" w:themeColor="text2" w:themeTint="99"/>
          <w:sz w:val="26"/>
          <w:szCs w:val="26"/>
          <w:rtl/>
        </w:rPr>
        <w:t>סעיף ה: נתן הלוה למלוה מנה ליתנם לבעל חוב אחר ועיכבם המלוה לעצמו.</w:t>
      </w:r>
      <w:bookmarkEnd w:id="603"/>
    </w:p>
    <w:p w14:paraId="0919F91F"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u w:val="single"/>
          <w:rtl/>
        </w:rPr>
        <w:t>ראובן שהיה חייב לשמעון מנה ונתן לו מנה ליתנו ליהודה בעל חובו של לוי, וקבל שמעון דרך שתיקה ועיכב לעצמו:</w:t>
      </w:r>
      <w:r w:rsidRPr="001D49D4">
        <w:rPr>
          <w:rFonts w:ascii="Calibri" w:eastAsia="Calibri" w:hAnsi="Calibri" w:cs="Arial"/>
          <w:rtl/>
        </w:rPr>
        <w:t xml:space="preserve"> </w:t>
      </w:r>
    </w:p>
    <w:p w14:paraId="4476C499" w14:textId="77777777" w:rsidR="001D49D4" w:rsidRPr="001D49D4" w:rsidRDefault="001D49D4" w:rsidP="0004348D">
      <w:pPr>
        <w:numPr>
          <w:ilvl w:val="0"/>
          <w:numId w:val="316"/>
        </w:numPr>
        <w:spacing w:before="360" w:after="240"/>
        <w:contextualSpacing/>
        <w:rPr>
          <w:rtl/>
        </w:rPr>
      </w:pPr>
      <w:r w:rsidRPr="001D49D4">
        <w:rPr>
          <w:rtl/>
        </w:rPr>
        <w:t xml:space="preserve">רשב"א </w:t>
      </w:r>
      <w:r w:rsidRPr="001D49D4">
        <w:rPr>
          <w:sz w:val="16"/>
          <w:szCs w:val="16"/>
          <w:rtl/>
        </w:rPr>
        <w:t>(ח"ב סי' קג)</w:t>
      </w:r>
      <w:r w:rsidRPr="001D49D4">
        <w:rPr>
          <w:rtl/>
        </w:rPr>
        <w:t xml:space="preserve">- שאלת, ראובן שהיה חייב לשמעון מנה, ונתן לו מנה ליתנו ליהודה בעל חובו של לוי, וקבל שמעון דרך שתיקה ועיכב לעצמו, וכשתבעו יהודה אמר לא זכיתי מחמתך אלא מחמת חובי. תשובה, הדין עם שמעון, וראיה מההיא דאין שקלי ודידי שקלי </w:t>
      </w:r>
      <w:r w:rsidRPr="001D49D4">
        <w:rPr>
          <w:sz w:val="16"/>
          <w:szCs w:val="16"/>
          <w:rtl/>
        </w:rPr>
        <w:t xml:space="preserve">(דבסמוך מחו' ב) </w:t>
      </w:r>
      <w:r w:rsidRPr="001D49D4">
        <w:rPr>
          <w:rtl/>
        </w:rPr>
        <w:t xml:space="preserve">ומדמוקי בפ"ק דמציעא </w:t>
      </w:r>
      <w:r w:rsidRPr="001D49D4">
        <w:rPr>
          <w:sz w:val="16"/>
          <w:szCs w:val="16"/>
          <w:rtl/>
        </w:rPr>
        <w:t xml:space="preserve">(י.) </w:t>
      </w:r>
      <w:r w:rsidRPr="001D49D4">
        <w:rPr>
          <w:rtl/>
        </w:rPr>
        <w:t>מתניתין דהיה רכוב על גבי בהמה וראה את המציאה כדאמר תחלה</w:t>
      </w:r>
      <w:r w:rsidRPr="001D49D4">
        <w:rPr>
          <w:vertAlign w:val="superscript"/>
          <w:rtl/>
        </w:rPr>
        <w:footnoteReference w:id="4509"/>
      </w:r>
      <w:r w:rsidRPr="001D49D4">
        <w:rPr>
          <w:rtl/>
        </w:rPr>
        <w:t xml:space="preserve">. </w:t>
      </w:r>
      <w:r w:rsidRPr="001D49D4">
        <w:rPr>
          <w:color w:val="E36C0A" w:themeColor="accent6" w:themeShade="BF"/>
          <w:rtl/>
        </w:rPr>
        <w:t>(וכ"פ בשו"ע)</w:t>
      </w:r>
    </w:p>
    <w:p w14:paraId="1B60ED1D" w14:textId="77777777" w:rsidR="001D49D4" w:rsidRPr="001D49D4" w:rsidRDefault="001D49D4" w:rsidP="0004348D">
      <w:pPr>
        <w:spacing w:before="360" w:after="240"/>
        <w:rPr>
          <w:rFonts w:ascii="Arial" w:eastAsia="Calibri" w:hAnsi="Arial" w:cs="Arial"/>
          <w:b/>
          <w:bCs/>
          <w:color w:val="000000"/>
          <w:sz w:val="28"/>
          <w:szCs w:val="28"/>
          <w:u w:val="single"/>
          <w:rtl/>
        </w:rPr>
      </w:pPr>
      <w:r w:rsidRPr="001D49D4">
        <w:rPr>
          <w:rFonts w:ascii="Arial" w:eastAsia="Calibri" w:hAnsi="Arial" w:cs="Arial"/>
          <w:b/>
          <w:bCs/>
          <w:color w:val="000000"/>
          <w:sz w:val="28"/>
          <w:szCs w:val="28"/>
          <w:u w:val="single"/>
          <w:rtl/>
        </w:rPr>
        <w:t>שו"ע:</w:t>
      </w:r>
    </w:p>
    <w:p w14:paraId="7075289B"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rtl/>
        </w:rPr>
        <w:t>נתן הלוה למלוה מנה ליתנם לבעל חוב אחר, רשאי לעכבם לעצמו</w:t>
      </w:r>
      <w:r w:rsidRPr="001D49D4">
        <w:rPr>
          <w:rFonts w:ascii="Calibri" w:eastAsia="Calibri" w:hAnsi="Calibri" w:cs="Arial"/>
          <w:vertAlign w:val="superscript"/>
          <w:rtl/>
        </w:rPr>
        <w:footnoteReference w:id="4510"/>
      </w:r>
      <w:r w:rsidRPr="001D49D4">
        <w:rPr>
          <w:rFonts w:ascii="Calibri" w:eastAsia="Calibri" w:hAnsi="Calibri" w:cs="Arial"/>
          <w:rtl/>
        </w:rPr>
        <w:t>.</w:t>
      </w:r>
    </w:p>
    <w:p w14:paraId="59A3AF8E" w14:textId="77777777" w:rsidR="001D49D4" w:rsidRPr="001D49D4" w:rsidRDefault="001D49D4" w:rsidP="0004348D">
      <w:pPr>
        <w:spacing w:before="360" w:after="240"/>
        <w:rPr>
          <w:rFonts w:ascii="Calibri" w:eastAsia="Calibri" w:hAnsi="Calibri" w:cs="Arial"/>
          <w:rtl/>
        </w:rPr>
      </w:pPr>
    </w:p>
    <w:p w14:paraId="7792AE21" w14:textId="77777777" w:rsidR="001D49D4" w:rsidRPr="001D49D4" w:rsidRDefault="001D49D4" w:rsidP="0004348D">
      <w:pPr>
        <w:bidi w:val="0"/>
        <w:spacing w:before="360" w:after="240"/>
        <w:rPr>
          <w:rFonts w:ascii="Cambria" w:eastAsia="Times New Roman" w:hAnsi="Cambria" w:cs="Arial"/>
          <w:b/>
          <w:bCs/>
          <w:color w:val="365F91" w:themeColor="accent1" w:themeShade="BF"/>
          <w:sz w:val="28"/>
          <w:szCs w:val="28"/>
          <w:rtl/>
        </w:rPr>
        <w:sectPr w:rsidR="001D49D4" w:rsidRPr="001D49D4">
          <w:headerReference w:type="default" r:id="rId67"/>
          <w:footnotePr>
            <w:numRestart w:val="eachPage"/>
          </w:footnotePr>
          <w:pgSz w:w="11906" w:h="16838"/>
          <w:pgMar w:top="720" w:right="1134" w:bottom="720" w:left="1134" w:header="0" w:footer="0" w:gutter="0"/>
          <w:cols w:space="720"/>
          <w:bidi/>
          <w:rtlGutter/>
        </w:sectPr>
      </w:pPr>
    </w:p>
    <w:p w14:paraId="512F1622" w14:textId="77777777" w:rsidR="001D49D4" w:rsidRPr="001D49D4" w:rsidRDefault="001D49D4" w:rsidP="0004348D">
      <w:pPr>
        <w:keepNext/>
        <w:keepLines/>
        <w:spacing w:before="360" w:after="240"/>
        <w:outlineLvl w:val="0"/>
        <w:rPr>
          <w:rFonts w:ascii="Cambria" w:eastAsia="Times New Roman" w:hAnsi="Cambria" w:cs="Arial"/>
          <w:b/>
          <w:bCs/>
          <w:color w:val="365F91" w:themeColor="accent1" w:themeShade="BF"/>
          <w:sz w:val="28"/>
          <w:szCs w:val="28"/>
          <w:rtl/>
        </w:rPr>
      </w:pPr>
      <w:bookmarkStart w:id="604" w:name="_Toc24884030"/>
      <w:r w:rsidRPr="001D49D4">
        <w:rPr>
          <w:rFonts w:ascii="Cambria" w:eastAsia="Times New Roman" w:hAnsi="Cambria" w:cs="Arial"/>
          <w:b/>
          <w:bCs/>
          <w:color w:val="365F91" w:themeColor="accent1" w:themeShade="BF"/>
          <w:sz w:val="28"/>
          <w:szCs w:val="28"/>
          <w:rtl/>
        </w:rPr>
        <w:t>סימן נט: שטר מקויים והלוה טוען פרוע והמלוה אומר איני יודע, ובו סעיף אחד.</w:t>
      </w:r>
      <w:bookmarkEnd w:id="604"/>
      <w:r w:rsidRPr="001D49D4">
        <w:rPr>
          <w:rFonts w:ascii="Cambria" w:eastAsia="Times New Roman" w:hAnsi="Cambria" w:cs="Arial"/>
          <w:b/>
          <w:bCs/>
          <w:color w:val="365F91" w:themeColor="accent1" w:themeShade="BF"/>
          <w:sz w:val="28"/>
          <w:szCs w:val="28"/>
          <w:rtl/>
        </w:rPr>
        <w:t xml:space="preserve"> </w:t>
      </w:r>
    </w:p>
    <w:p w14:paraId="1670F0CB" w14:textId="77777777" w:rsidR="001D49D4" w:rsidRPr="001D49D4" w:rsidRDefault="001D49D4" w:rsidP="0004348D">
      <w:pPr>
        <w:keepNext/>
        <w:keepLines/>
        <w:spacing w:before="360" w:after="240"/>
        <w:outlineLvl w:val="1"/>
        <w:rPr>
          <w:rFonts w:ascii="Cambria" w:eastAsia="Times New Roman" w:hAnsi="Cambria" w:cs="Arial"/>
          <w:bCs/>
          <w:color w:val="548DD4" w:themeColor="text2" w:themeTint="99"/>
          <w:sz w:val="26"/>
          <w:szCs w:val="26"/>
          <w:rtl/>
        </w:rPr>
      </w:pPr>
      <w:bookmarkStart w:id="605" w:name="_Toc24884031"/>
      <w:r w:rsidRPr="001D49D4">
        <w:rPr>
          <w:rFonts w:ascii="Cambria" w:eastAsia="Times New Roman" w:hAnsi="Cambria" w:cs="Arial"/>
          <w:bCs/>
          <w:color w:val="548DD4" w:themeColor="text2" w:themeTint="99"/>
          <w:sz w:val="26"/>
          <w:szCs w:val="26"/>
          <w:rtl/>
        </w:rPr>
        <w:t>סעיף א: מלוה שהוציא שטר חוב מקויים, וטוען הלוה שהוא פרוע, והמלוה אומר איני יודע.</w:t>
      </w:r>
      <w:bookmarkEnd w:id="605"/>
    </w:p>
    <w:p w14:paraId="05D25871" w14:textId="77777777" w:rsidR="001D49D4" w:rsidRPr="001D49D4" w:rsidRDefault="001D49D4" w:rsidP="0004348D">
      <w:pPr>
        <w:spacing w:before="360" w:after="240"/>
        <w:rPr>
          <w:rFonts w:ascii="Calibri" w:eastAsia="Calibri" w:hAnsi="Calibri" w:cs="Arial"/>
          <w:sz w:val="16"/>
          <w:szCs w:val="16"/>
          <w:rtl/>
        </w:rPr>
      </w:pPr>
      <w:r w:rsidRPr="001D49D4">
        <w:rPr>
          <w:rFonts w:ascii="Calibri" w:eastAsia="Calibri" w:hAnsi="Calibri" w:cs="Arial"/>
          <w:b/>
          <w:bCs/>
          <w:rtl/>
        </w:rPr>
        <w:t xml:space="preserve">בבא מציעא </w:t>
      </w:r>
      <w:r w:rsidRPr="001D49D4">
        <w:rPr>
          <w:rFonts w:ascii="Calibri" w:eastAsia="Calibri" w:hAnsi="Calibri" w:cs="Arial"/>
          <w:b/>
          <w:bCs/>
          <w:sz w:val="16"/>
          <w:szCs w:val="16"/>
          <w:rtl/>
        </w:rPr>
        <w:t xml:space="preserve">(פ"ק) </w:t>
      </w:r>
      <w:r w:rsidRPr="001D49D4">
        <w:rPr>
          <w:rFonts w:ascii="Calibri" w:eastAsia="Calibri" w:hAnsi="Calibri" w:cs="Arial"/>
          <w:b/>
          <w:bCs/>
          <w:rtl/>
        </w:rPr>
        <w:t>כ</w:t>
      </w:r>
      <w:r w:rsidRPr="001D49D4">
        <w:rPr>
          <w:rFonts w:ascii="Calibri" w:eastAsia="Calibri" w:hAnsi="Calibri" w:cs="Arial"/>
          <w:b/>
          <w:bCs/>
          <w:vertAlign w:val="superscript"/>
          <w:rtl/>
        </w:rPr>
        <w:footnoteReference w:id="4511"/>
      </w:r>
      <w:r w:rsidRPr="001D49D4">
        <w:rPr>
          <w:rFonts w:ascii="Calibri" w:eastAsia="Calibri" w:hAnsi="Calibri" w:cs="Arial"/>
          <w:b/>
          <w:bCs/>
          <w:rtl/>
        </w:rPr>
        <w:t xml:space="preserve"> ע"א: </w:t>
      </w:r>
      <w:r w:rsidRPr="001D49D4">
        <w:rPr>
          <w:rFonts w:ascii="Calibri" w:eastAsia="Calibri" w:hAnsi="Calibri" w:cs="Arial"/>
          <w:u w:val="double"/>
          <w:rtl/>
        </w:rPr>
        <w:t>משנה:</w:t>
      </w:r>
      <w:r w:rsidRPr="001D49D4">
        <w:rPr>
          <w:rFonts w:ascii="Calibri" w:eastAsia="Calibri" w:hAnsi="Calibri" w:cs="Arial"/>
          <w:rtl/>
        </w:rPr>
        <w:t>... מצא שטר בין שטרותיו ואינו יודע מה טיבו - יהא מונח עד שיבוא אליהו. אם יש עמהן סמפונות - יעשה מה שבסמפונות.</w:t>
      </w:r>
    </w:p>
    <w:p w14:paraId="71979F78"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u w:val="single"/>
          <w:rtl/>
        </w:rPr>
        <w:t>מלוה שהוציא שטר חוב מקויים, וטוען הלוה שהוא פרוע, והמלוה אומר איני יודע:</w:t>
      </w:r>
    </w:p>
    <w:p w14:paraId="60CDB62D" w14:textId="77777777" w:rsidR="001D49D4" w:rsidRPr="001D49D4" w:rsidRDefault="001D49D4" w:rsidP="0004348D">
      <w:pPr>
        <w:numPr>
          <w:ilvl w:val="0"/>
          <w:numId w:val="316"/>
        </w:numPr>
        <w:spacing w:before="360" w:after="240"/>
        <w:contextualSpacing/>
        <w:rPr>
          <w:rtl/>
        </w:rPr>
      </w:pPr>
      <w:r w:rsidRPr="001D49D4">
        <w:rPr>
          <w:rtl/>
        </w:rPr>
        <w:t>ספר התרומות</w:t>
      </w:r>
      <w:r w:rsidRPr="001D49D4">
        <w:rPr>
          <w:vertAlign w:val="superscript"/>
          <w:rtl/>
        </w:rPr>
        <w:footnoteReference w:id="4512"/>
      </w:r>
      <w:r w:rsidRPr="001D49D4">
        <w:rPr>
          <w:rtl/>
        </w:rPr>
        <w:t xml:space="preserve"> </w:t>
      </w:r>
      <w:r w:rsidRPr="001D49D4">
        <w:rPr>
          <w:sz w:val="16"/>
          <w:szCs w:val="16"/>
          <w:rtl/>
        </w:rPr>
        <w:t>(שער נג ח"א סי' א)</w:t>
      </w:r>
      <w:r w:rsidRPr="001D49D4">
        <w:rPr>
          <w:rtl/>
        </w:rPr>
        <w:t xml:space="preserve"> וטור- מלוה שהוציא שטר חוב מקויים, וטוען הלוה שהוא פרוע, והמלוה אומר איני יודע - צריך להחזיר לו שטרו, ואין עליו</w:t>
      </w:r>
      <w:r w:rsidRPr="001D49D4">
        <w:rPr>
          <w:sz w:val="16"/>
          <w:szCs w:val="16"/>
          <w:rtl/>
        </w:rPr>
        <w:t xml:space="preserve"> {על הלוה}</w:t>
      </w:r>
      <w:r w:rsidRPr="001D49D4">
        <w:rPr>
          <w:rtl/>
        </w:rPr>
        <w:t xml:space="preserve"> אלא חרם. שהיה לו </w:t>
      </w:r>
      <w:r w:rsidRPr="001D49D4">
        <w:rPr>
          <w:sz w:val="16"/>
          <w:szCs w:val="16"/>
          <w:rtl/>
        </w:rPr>
        <w:t xml:space="preserve">{למלוה} </w:t>
      </w:r>
      <w:r w:rsidRPr="001D49D4">
        <w:rPr>
          <w:rtl/>
        </w:rPr>
        <w:t>לידע בשטרו אם פרוע אם לאו וכיון שאינו יודע אין לו עליו כלום</w:t>
      </w:r>
      <w:r w:rsidRPr="001D49D4">
        <w:rPr>
          <w:sz w:val="16"/>
          <w:szCs w:val="16"/>
          <w:rtl/>
        </w:rPr>
        <w:t xml:space="preserve"> (ל' הטור)</w:t>
      </w:r>
      <w:r w:rsidRPr="001D49D4">
        <w:rPr>
          <w:rtl/>
        </w:rPr>
        <w:t xml:space="preserve">. </w:t>
      </w:r>
      <w:r w:rsidRPr="001D49D4">
        <w:rPr>
          <w:color w:val="E36C0A" w:themeColor="accent6" w:themeShade="BF"/>
          <w:rtl/>
        </w:rPr>
        <w:t>(וכ"פ בשו"ע)</w:t>
      </w:r>
    </w:p>
    <w:p w14:paraId="4ED2D8A7" w14:textId="77777777" w:rsidR="001D49D4" w:rsidRPr="001D49D4" w:rsidRDefault="001D49D4" w:rsidP="0004348D">
      <w:pPr>
        <w:spacing w:before="360" w:after="240"/>
        <w:ind w:left="360"/>
        <w:rPr>
          <w:rFonts w:ascii="Calibri" w:eastAsia="Calibri" w:hAnsi="Calibri" w:cs="Arial"/>
          <w:u w:val="dotted"/>
        </w:rPr>
      </w:pPr>
      <w:r w:rsidRPr="001D49D4">
        <w:rPr>
          <w:rFonts w:ascii="Calibri" w:eastAsia="Calibri" w:hAnsi="Calibri" w:cs="Arial"/>
          <w:u w:val="dotted"/>
          <w:rtl/>
        </w:rPr>
        <w:t>ומה הדין אם נזכר המלוה שבודאי לא פרעו הלוה</w:t>
      </w:r>
      <w:r w:rsidRPr="001D49D4">
        <w:rPr>
          <w:rFonts w:ascii="Calibri" w:eastAsia="Calibri" w:hAnsi="Calibri" w:cs="Arial"/>
          <w:sz w:val="16"/>
          <w:szCs w:val="16"/>
          <w:u w:val="dotted"/>
          <w:rtl/>
        </w:rPr>
        <w:t xml:space="preserve"> (קודם שהחזיר את השטר ללוה)</w:t>
      </w:r>
      <w:r w:rsidRPr="001D49D4">
        <w:rPr>
          <w:rFonts w:ascii="Calibri" w:eastAsia="Calibri" w:hAnsi="Calibri" w:cs="Arial"/>
          <w:u w:val="dotted"/>
          <w:rtl/>
        </w:rPr>
        <w:t>:</w:t>
      </w:r>
    </w:p>
    <w:p w14:paraId="09CE65A0" w14:textId="77777777" w:rsidR="001D49D4" w:rsidRPr="001D49D4" w:rsidRDefault="001D49D4" w:rsidP="0004348D">
      <w:pPr>
        <w:numPr>
          <w:ilvl w:val="0"/>
          <w:numId w:val="316"/>
        </w:numPr>
        <w:spacing w:before="360" w:after="240"/>
        <w:contextualSpacing/>
      </w:pPr>
      <w:r w:rsidRPr="001D49D4">
        <w:rPr>
          <w:rtl/>
        </w:rPr>
        <w:t xml:space="preserve">ריטב"א </w:t>
      </w:r>
      <w:r w:rsidRPr="001D49D4">
        <w:rPr>
          <w:sz w:val="16"/>
          <w:szCs w:val="16"/>
          <w:rtl/>
        </w:rPr>
        <w:t>(ב"ב קעג. ד"ה הא דתנן)</w:t>
      </w:r>
      <w:r w:rsidRPr="001D49D4">
        <w:rPr>
          <w:rtl/>
        </w:rPr>
        <w:t xml:space="preserve"> ונמוק"י</w:t>
      </w:r>
      <w:r w:rsidRPr="001D49D4">
        <w:rPr>
          <w:sz w:val="16"/>
          <w:szCs w:val="16"/>
          <w:rtl/>
        </w:rPr>
        <w:t xml:space="preserve"> (פרק גט פשוט ב"ב פ: ד"ה מתני' המצוה)</w:t>
      </w:r>
      <w:r w:rsidRPr="001D49D4">
        <w:rPr>
          <w:rtl/>
        </w:rPr>
        <w:t>- מצאתי לרבינו מאיר הלוי הנשיא ז"ל שכתב כי מלוה שהוציא שטר חוב וטענו עליו שהוא פרוע ואומר איני יודע אינו גובה בו אבל אם חזר ואמר 'עיינתי בחשבוני וזכור אני בבריא שאינו פרוע' - חוזר וגובה, דמשום דאמר מעיקרא איני יודע לא איפסיל שטרא לגמרי אלא שלא היה ראוי לגבותו בספק</w:t>
      </w:r>
      <w:r w:rsidRPr="001D49D4">
        <w:rPr>
          <w:sz w:val="16"/>
          <w:szCs w:val="16"/>
          <w:rtl/>
        </w:rPr>
        <w:t xml:space="preserve"> (ל' הנמוק"י בשם הריטב"א)</w:t>
      </w:r>
      <w:r w:rsidRPr="001D49D4">
        <w:rPr>
          <w:rtl/>
        </w:rPr>
        <w:t xml:space="preserve">. </w:t>
      </w:r>
      <w:r w:rsidRPr="001D49D4">
        <w:rPr>
          <w:color w:val="E36C0A" w:themeColor="accent6" w:themeShade="BF"/>
          <w:rtl/>
        </w:rPr>
        <w:t>(וכ"פ בשו"ע)</w:t>
      </w:r>
    </w:p>
    <w:p w14:paraId="4E1D4E44" w14:textId="77777777" w:rsidR="001D49D4" w:rsidRPr="001D49D4" w:rsidRDefault="001D49D4" w:rsidP="0004348D">
      <w:pPr>
        <w:spacing w:before="360" w:after="240"/>
        <w:rPr>
          <w:rFonts w:ascii="Arial" w:eastAsia="Calibri" w:hAnsi="Arial" w:cs="Arial"/>
          <w:b/>
          <w:bCs/>
          <w:color w:val="000000"/>
          <w:sz w:val="28"/>
          <w:szCs w:val="28"/>
          <w:u w:val="single"/>
          <w:rtl/>
        </w:rPr>
      </w:pPr>
      <w:r w:rsidRPr="001D49D4">
        <w:rPr>
          <w:rFonts w:ascii="Arial" w:eastAsia="Calibri" w:hAnsi="Arial" w:cs="Arial"/>
          <w:b/>
          <w:bCs/>
          <w:color w:val="000000"/>
          <w:sz w:val="28"/>
          <w:szCs w:val="28"/>
          <w:u w:val="single"/>
          <w:rtl/>
        </w:rPr>
        <w:t>שו"ע:</w:t>
      </w:r>
    </w:p>
    <w:p w14:paraId="555067CF"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rtl/>
        </w:rPr>
        <w:t>מלוה שהוציא שטר חוב מקויים, וטוען הלוה שהוא פרוע</w:t>
      </w:r>
      <w:r w:rsidRPr="001D49D4">
        <w:rPr>
          <w:rFonts w:ascii="Calibri" w:eastAsia="Calibri" w:hAnsi="Calibri" w:cs="Arial"/>
          <w:vertAlign w:val="superscript"/>
          <w:rtl/>
        </w:rPr>
        <w:footnoteReference w:id="4513"/>
      </w:r>
      <w:r w:rsidRPr="001D49D4">
        <w:rPr>
          <w:rFonts w:ascii="Calibri" w:eastAsia="Calibri" w:hAnsi="Calibri" w:cs="Arial"/>
          <w:rtl/>
        </w:rPr>
        <w:t>, והמלוה אומר 'איני יודע', אינו גובה בו</w:t>
      </w:r>
      <w:r w:rsidRPr="001D49D4">
        <w:rPr>
          <w:rFonts w:ascii="Calibri" w:eastAsia="Calibri" w:hAnsi="Calibri" w:cs="Arial"/>
          <w:vertAlign w:val="superscript"/>
          <w:rtl/>
        </w:rPr>
        <w:footnoteReference w:id="4514"/>
      </w:r>
      <w:r w:rsidRPr="001D49D4">
        <w:rPr>
          <w:rFonts w:ascii="Calibri" w:eastAsia="Calibri" w:hAnsi="Calibri" w:cs="Arial"/>
          <w:rtl/>
        </w:rPr>
        <w:t>. ואם חזר ואמר 'עיינתי בחשבוני וזכור אני בברי שאינו פרוע', חוזר וגובה בו</w:t>
      </w:r>
      <w:r w:rsidRPr="001D49D4">
        <w:rPr>
          <w:rFonts w:ascii="Calibri" w:eastAsia="Calibri" w:hAnsi="Calibri" w:cs="Arial"/>
          <w:vertAlign w:val="superscript"/>
          <w:rtl/>
        </w:rPr>
        <w:footnoteReference w:id="4515"/>
      </w:r>
      <w:r w:rsidRPr="001D49D4">
        <w:rPr>
          <w:rFonts w:ascii="Calibri" w:eastAsia="Calibri" w:hAnsi="Calibri" w:cs="Arial"/>
          <w:rtl/>
        </w:rPr>
        <w:t>.</w:t>
      </w:r>
    </w:p>
    <w:p w14:paraId="08AB59A1" w14:textId="77777777" w:rsidR="001D49D4" w:rsidRPr="001D49D4" w:rsidRDefault="001D49D4" w:rsidP="0004348D">
      <w:pPr>
        <w:bidi w:val="0"/>
        <w:spacing w:before="360" w:after="240"/>
        <w:rPr>
          <w:rFonts w:ascii="Cambria" w:eastAsia="Times New Roman" w:hAnsi="Cambria" w:cs="Arial"/>
          <w:b/>
          <w:bCs/>
          <w:color w:val="365F91" w:themeColor="accent1" w:themeShade="BF"/>
          <w:sz w:val="28"/>
          <w:szCs w:val="28"/>
          <w:rtl/>
        </w:rPr>
        <w:sectPr w:rsidR="001D49D4" w:rsidRPr="001D49D4">
          <w:headerReference w:type="default" r:id="rId68"/>
          <w:footnotePr>
            <w:numRestart w:val="eachPage"/>
          </w:footnotePr>
          <w:pgSz w:w="11906" w:h="16838"/>
          <w:pgMar w:top="720" w:right="1134" w:bottom="720" w:left="1134" w:header="0" w:footer="0" w:gutter="0"/>
          <w:cols w:space="720"/>
          <w:bidi/>
          <w:rtlGutter/>
        </w:sectPr>
      </w:pPr>
    </w:p>
    <w:p w14:paraId="309A1868" w14:textId="77777777" w:rsidR="001D49D4" w:rsidRPr="001D49D4" w:rsidRDefault="001D49D4" w:rsidP="0004348D">
      <w:pPr>
        <w:keepNext/>
        <w:keepLines/>
        <w:spacing w:before="360" w:after="240"/>
        <w:outlineLvl w:val="0"/>
        <w:rPr>
          <w:rFonts w:ascii="Cambria" w:eastAsia="Times New Roman" w:hAnsi="Cambria" w:cs="Arial"/>
          <w:b/>
          <w:bCs/>
          <w:color w:val="365F91" w:themeColor="accent1" w:themeShade="BF"/>
          <w:sz w:val="28"/>
          <w:szCs w:val="28"/>
          <w:rtl/>
        </w:rPr>
      </w:pPr>
      <w:bookmarkStart w:id="606" w:name="_Toc24884032"/>
      <w:r w:rsidRPr="001D49D4">
        <w:rPr>
          <w:rFonts w:ascii="Cambria" w:eastAsia="Times New Roman" w:hAnsi="Cambria" w:cs="Arial"/>
          <w:b/>
          <w:bCs/>
          <w:color w:val="365F91" w:themeColor="accent1" w:themeShade="BF"/>
          <w:sz w:val="28"/>
          <w:szCs w:val="28"/>
          <w:rtl/>
        </w:rPr>
        <w:t>סימן ס: דין שעבוד מטלטלי אגב מקרקעי, ודין שעבוד דבר שלא בא לעולם, ובו י"ב סעיפים.</w:t>
      </w:r>
      <w:bookmarkEnd w:id="606"/>
      <w:r w:rsidRPr="001D49D4">
        <w:rPr>
          <w:rFonts w:ascii="Cambria" w:eastAsia="Times New Roman" w:hAnsi="Cambria" w:cs="Arial"/>
          <w:b/>
          <w:bCs/>
          <w:color w:val="365F91" w:themeColor="accent1" w:themeShade="BF"/>
          <w:sz w:val="28"/>
          <w:szCs w:val="28"/>
          <w:rtl/>
        </w:rPr>
        <w:t xml:space="preserve"> </w:t>
      </w:r>
    </w:p>
    <w:p w14:paraId="22A719FC" w14:textId="77777777" w:rsidR="001D49D4" w:rsidRPr="001D49D4" w:rsidRDefault="001D49D4" w:rsidP="0004348D">
      <w:pPr>
        <w:keepNext/>
        <w:keepLines/>
        <w:spacing w:before="360" w:after="240"/>
        <w:outlineLvl w:val="1"/>
        <w:rPr>
          <w:rFonts w:ascii="Cambria" w:eastAsia="Times New Roman" w:hAnsi="Cambria" w:cs="Arial"/>
          <w:bCs/>
          <w:color w:val="548DD4" w:themeColor="text2" w:themeTint="99"/>
          <w:sz w:val="26"/>
          <w:szCs w:val="26"/>
          <w:rtl/>
        </w:rPr>
      </w:pPr>
      <w:bookmarkStart w:id="607" w:name="_Toc24884033"/>
      <w:r w:rsidRPr="001D49D4">
        <w:rPr>
          <w:rFonts w:ascii="Cambria" w:eastAsia="Times New Roman" w:hAnsi="Cambria" w:cs="Arial"/>
          <w:bCs/>
          <w:color w:val="548DD4" w:themeColor="text2" w:themeTint="99"/>
          <w:sz w:val="26"/>
          <w:szCs w:val="26"/>
          <w:rtl/>
        </w:rPr>
        <w:t>סעיף א: שעבוד דבר שלא בא לעולם, שעבוד מטלטלי אגב מקרקעי, ותקנת השוק.</w:t>
      </w:r>
      <w:bookmarkEnd w:id="607"/>
    </w:p>
    <w:p w14:paraId="7F9CA7F8"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b/>
          <w:bCs/>
          <w:rtl/>
        </w:rPr>
        <w:t xml:space="preserve">בבא בתרא </w:t>
      </w:r>
      <w:r w:rsidRPr="001D49D4">
        <w:rPr>
          <w:rFonts w:ascii="Calibri" w:eastAsia="Calibri" w:hAnsi="Calibri" w:cs="Arial"/>
          <w:b/>
          <w:bCs/>
          <w:sz w:val="16"/>
          <w:szCs w:val="16"/>
          <w:rtl/>
        </w:rPr>
        <w:t xml:space="preserve">(פרק מי שמת) </w:t>
      </w:r>
      <w:r w:rsidRPr="001D49D4">
        <w:rPr>
          <w:rFonts w:ascii="Calibri" w:eastAsia="Calibri" w:hAnsi="Calibri" w:cs="Arial"/>
          <w:b/>
          <w:bCs/>
          <w:rtl/>
        </w:rPr>
        <w:t>קנז</w:t>
      </w:r>
      <w:r w:rsidRPr="001D49D4">
        <w:rPr>
          <w:rFonts w:ascii="Calibri" w:eastAsia="Calibri" w:hAnsi="Calibri" w:cs="Arial"/>
          <w:b/>
          <w:bCs/>
          <w:vertAlign w:val="superscript"/>
          <w:rtl/>
        </w:rPr>
        <w:footnoteReference w:id="4516"/>
      </w:r>
      <w:r w:rsidRPr="001D49D4">
        <w:rPr>
          <w:rFonts w:ascii="Calibri" w:eastAsia="Calibri" w:hAnsi="Calibri" w:cs="Arial"/>
          <w:b/>
          <w:bCs/>
          <w:rtl/>
        </w:rPr>
        <w:t xml:space="preserve"> ע"א:</w:t>
      </w:r>
      <w:r w:rsidRPr="001D49D4">
        <w:rPr>
          <w:rFonts w:ascii="Calibri" w:eastAsia="Calibri" w:hAnsi="Calibri" w:cs="Arial"/>
          <w:rtl/>
        </w:rPr>
        <w:t xml:space="preserve"> תנן התם: המלוה את חבירו בשטר - גובה מנכסים משועבדים, על ידי עדים - גובה מנכסים בני חורין. </w:t>
      </w:r>
      <w:r w:rsidRPr="001D49D4">
        <w:rPr>
          <w:rFonts w:ascii="Calibri" w:eastAsia="Calibri" w:hAnsi="Calibri" w:cs="Arial"/>
          <w:u w:val="single"/>
          <w:rtl/>
        </w:rPr>
        <w:t>בעי שמואל</w:t>
      </w:r>
      <w:r w:rsidRPr="001D49D4">
        <w:rPr>
          <w:rFonts w:ascii="Calibri" w:eastAsia="Calibri" w:hAnsi="Calibri" w:cs="Arial"/>
          <w:u w:val="single"/>
          <w:vertAlign w:val="superscript"/>
          <w:rtl/>
        </w:rPr>
        <w:footnoteReference w:id="4517"/>
      </w:r>
      <w:r w:rsidRPr="001D49D4">
        <w:rPr>
          <w:rFonts w:ascii="Calibri" w:eastAsia="Calibri" w:hAnsi="Calibri" w:cs="Arial"/>
          <w:rtl/>
        </w:rPr>
        <w:t>: דאיקני וקנה, מהו</w:t>
      </w:r>
      <w:r w:rsidRPr="001D49D4">
        <w:rPr>
          <w:rFonts w:ascii="Calibri" w:eastAsia="Calibri" w:hAnsi="Calibri" w:cs="Arial"/>
          <w:vertAlign w:val="superscript"/>
          <w:rtl/>
        </w:rPr>
        <w:footnoteReference w:id="4518"/>
      </w:r>
      <w:r w:rsidRPr="001D49D4">
        <w:rPr>
          <w:rFonts w:ascii="Calibri" w:eastAsia="Calibri" w:hAnsi="Calibri" w:cs="Arial"/>
          <w:rtl/>
        </w:rPr>
        <w:t xml:space="preserve">? אליבא דרבי מאיר דאמר: אדם מקנה דבר שלא בא לעולם - לא תיבעי לך, דודאי קנה, אלא כי תיבעי לך - אליבא דרבנן דאמרי: אין אדם מקנה דבר שלא בא לעולם... </w:t>
      </w:r>
      <w:r w:rsidRPr="001D49D4">
        <w:rPr>
          <w:rFonts w:ascii="Calibri" w:eastAsia="Calibri" w:hAnsi="Calibri" w:cs="Arial"/>
          <w:vertAlign w:val="superscript"/>
          <w:rtl/>
        </w:rPr>
        <w:footnoteReference w:id="4519"/>
      </w:r>
      <w:r w:rsidRPr="001D49D4">
        <w:rPr>
          <w:rFonts w:ascii="Calibri" w:eastAsia="Calibri" w:hAnsi="Calibri" w:cs="Arial"/>
          <w:rtl/>
        </w:rPr>
        <w:t xml:space="preserve">כי קא מיבעיא לן דאיקני - קנה ומכר, דאיקני - קנה והוריש, מאי?... </w:t>
      </w:r>
      <w:r w:rsidRPr="001D49D4">
        <w:rPr>
          <w:rFonts w:ascii="Calibri" w:eastAsia="Calibri" w:hAnsi="Calibri" w:cs="Arial"/>
          <w:sz w:val="14"/>
          <w:szCs w:val="14"/>
          <w:rtl/>
        </w:rPr>
        <w:t>(קנז:)</w:t>
      </w:r>
      <w:r w:rsidRPr="001D49D4">
        <w:rPr>
          <w:rFonts w:ascii="Calibri" w:eastAsia="Calibri" w:hAnsi="Calibri" w:cs="Arial"/>
          <w:rtl/>
        </w:rPr>
        <w:t xml:space="preserve"> אם תמצא לומר משתעבד, לַוָה</w:t>
      </w:r>
      <w:r w:rsidRPr="001D49D4">
        <w:rPr>
          <w:rFonts w:ascii="Calibri" w:eastAsia="Calibri" w:hAnsi="Calibri" w:cs="Arial"/>
          <w:vertAlign w:val="superscript"/>
          <w:rtl/>
        </w:rPr>
        <w:footnoteReference w:id="4520"/>
      </w:r>
      <w:r w:rsidRPr="001D49D4">
        <w:rPr>
          <w:rFonts w:ascii="Calibri" w:eastAsia="Calibri" w:hAnsi="Calibri" w:cs="Arial"/>
          <w:rtl/>
        </w:rPr>
        <w:t xml:space="preserve"> וְלַוָה וחזר וקנה מהו, לקמא משתעבד או לבתרא משתעבד? </w:t>
      </w:r>
      <w:r w:rsidRPr="001D49D4">
        <w:rPr>
          <w:rFonts w:ascii="Calibri" w:eastAsia="Calibri" w:hAnsi="Calibri" w:cs="Arial"/>
          <w:u w:val="single"/>
          <w:rtl/>
        </w:rPr>
        <w:t>אמר רב נחמן</w:t>
      </w:r>
      <w:r w:rsidRPr="001D49D4">
        <w:rPr>
          <w:rFonts w:ascii="Calibri" w:eastAsia="Calibri" w:hAnsi="Calibri" w:cs="Arial"/>
          <w:rtl/>
        </w:rPr>
        <w:t xml:space="preserve">: הא מילתא איבעיא לן, </w:t>
      </w:r>
      <w:r w:rsidRPr="001D49D4">
        <w:rPr>
          <w:rFonts w:ascii="Calibri" w:eastAsia="Calibri" w:hAnsi="Calibri" w:cs="Arial"/>
          <w:u w:val="single"/>
          <w:rtl/>
        </w:rPr>
        <w:t>ושלחו מתם</w:t>
      </w:r>
      <w:r w:rsidRPr="001D49D4">
        <w:rPr>
          <w:rFonts w:ascii="Calibri" w:eastAsia="Calibri" w:hAnsi="Calibri" w:cs="Arial"/>
          <w:rtl/>
        </w:rPr>
        <w:t xml:space="preserve">: ראשון קנה. </w:t>
      </w:r>
      <w:r w:rsidRPr="001D49D4">
        <w:rPr>
          <w:rFonts w:ascii="Calibri" w:eastAsia="Calibri" w:hAnsi="Calibri" w:cs="Arial"/>
          <w:u w:val="single"/>
          <w:rtl/>
        </w:rPr>
        <w:t>רב הונא אמר</w:t>
      </w:r>
      <w:r w:rsidRPr="001D49D4">
        <w:rPr>
          <w:rFonts w:ascii="Calibri" w:eastAsia="Calibri" w:hAnsi="Calibri" w:cs="Arial"/>
          <w:rtl/>
        </w:rPr>
        <w:t>: יחלוקו</w:t>
      </w:r>
      <w:r w:rsidRPr="001D49D4">
        <w:rPr>
          <w:rFonts w:ascii="Calibri" w:eastAsia="Calibri" w:hAnsi="Calibri" w:cs="Arial"/>
          <w:vertAlign w:val="superscript"/>
          <w:rtl/>
        </w:rPr>
        <w:footnoteReference w:id="4521"/>
      </w:r>
      <w:r w:rsidRPr="001D49D4">
        <w:rPr>
          <w:rFonts w:ascii="Calibri" w:eastAsia="Calibri" w:hAnsi="Calibri" w:cs="Arial"/>
          <w:rtl/>
        </w:rPr>
        <w:t xml:space="preserve">. </w:t>
      </w:r>
      <w:r w:rsidRPr="001D49D4">
        <w:rPr>
          <w:rFonts w:ascii="Calibri" w:eastAsia="Calibri" w:hAnsi="Calibri" w:cs="Arial"/>
          <w:u w:val="single"/>
          <w:rtl/>
        </w:rPr>
        <w:t>וכן תני רבה בר אבוה</w:t>
      </w:r>
      <w:r w:rsidRPr="001D49D4">
        <w:rPr>
          <w:rFonts w:ascii="Calibri" w:eastAsia="Calibri" w:hAnsi="Calibri" w:cs="Arial"/>
          <w:rtl/>
        </w:rPr>
        <w:t xml:space="preserve">: יחלוקו. </w:t>
      </w:r>
      <w:r w:rsidRPr="001D49D4">
        <w:rPr>
          <w:rFonts w:ascii="Calibri" w:eastAsia="Calibri" w:hAnsi="Calibri" w:cs="Arial"/>
          <w:u w:val="single"/>
          <w:rtl/>
        </w:rPr>
        <w:t>אמר רבינא</w:t>
      </w:r>
      <w:r w:rsidRPr="001D49D4">
        <w:rPr>
          <w:rFonts w:ascii="Calibri" w:eastAsia="Calibri" w:hAnsi="Calibri" w:cs="Arial"/>
          <w:rtl/>
        </w:rPr>
        <w:t>: מהדורא קמא דרב אשי אמר לן - ראשון קנה, מהדורא בתרא</w:t>
      </w:r>
      <w:r w:rsidRPr="001D49D4">
        <w:rPr>
          <w:rFonts w:ascii="Calibri" w:eastAsia="Calibri" w:hAnsi="Calibri" w:cs="Arial"/>
          <w:vertAlign w:val="superscript"/>
          <w:rtl/>
        </w:rPr>
        <w:footnoteReference w:id="4522"/>
      </w:r>
      <w:r w:rsidRPr="001D49D4">
        <w:rPr>
          <w:rFonts w:ascii="Calibri" w:eastAsia="Calibri" w:hAnsi="Calibri" w:cs="Arial"/>
          <w:rtl/>
        </w:rPr>
        <w:t xml:space="preserve"> דרב אשי אמר לן - יחלוקו. והלכתא: יחלוקו. מיתיבי: לשבח קרקעות כיצד? הרי שמכר שדה לחבירו והשביחה, ובא בעל חוב וטרפה, כשהוא</w:t>
      </w:r>
      <w:r w:rsidRPr="001D49D4">
        <w:rPr>
          <w:rFonts w:ascii="Calibri" w:eastAsia="Calibri" w:hAnsi="Calibri" w:cs="Arial"/>
          <w:vertAlign w:val="superscript"/>
          <w:rtl/>
        </w:rPr>
        <w:footnoteReference w:id="4523"/>
      </w:r>
      <w:r w:rsidRPr="001D49D4">
        <w:rPr>
          <w:rFonts w:ascii="Calibri" w:eastAsia="Calibri" w:hAnsi="Calibri" w:cs="Arial"/>
          <w:rtl/>
        </w:rPr>
        <w:t xml:space="preserve"> גובה</w:t>
      </w:r>
      <w:r w:rsidRPr="001D49D4">
        <w:rPr>
          <w:rFonts w:ascii="Calibri" w:eastAsia="Calibri" w:hAnsi="Calibri" w:cs="Arial"/>
          <w:vertAlign w:val="superscript"/>
          <w:rtl/>
        </w:rPr>
        <w:footnoteReference w:id="4524"/>
      </w:r>
      <w:r w:rsidRPr="001D49D4">
        <w:rPr>
          <w:rFonts w:ascii="Calibri" w:eastAsia="Calibri" w:hAnsi="Calibri" w:cs="Arial"/>
          <w:rtl/>
        </w:rPr>
        <w:t xml:space="preserve"> - גובה את הקרן מנכסין משועבדין, ואת השבח מנכסין בני חורין. ואם איתא חצי שבח מבעי ליה</w:t>
      </w:r>
      <w:r w:rsidRPr="001D49D4">
        <w:rPr>
          <w:rFonts w:ascii="Calibri" w:eastAsia="Calibri" w:hAnsi="Calibri" w:cs="Arial"/>
          <w:vertAlign w:val="superscript"/>
          <w:rtl/>
        </w:rPr>
        <w:footnoteReference w:id="4525"/>
      </w:r>
      <w:r w:rsidRPr="001D49D4">
        <w:rPr>
          <w:rFonts w:ascii="Calibri" w:eastAsia="Calibri" w:hAnsi="Calibri" w:cs="Arial"/>
          <w:rtl/>
        </w:rPr>
        <w:t>! מאי גובה נמי דקתני? חצי שבח.</w:t>
      </w:r>
    </w:p>
    <w:p w14:paraId="37E4C39D" w14:textId="77777777" w:rsidR="001D49D4" w:rsidRPr="001D49D4" w:rsidRDefault="001D49D4" w:rsidP="0004348D">
      <w:pPr>
        <w:spacing w:before="360" w:after="240"/>
        <w:rPr>
          <w:rFonts w:ascii="Calibri" w:eastAsia="Calibri" w:hAnsi="Calibri" w:cs="Arial"/>
          <w:u w:val="single"/>
          <w:rtl/>
        </w:rPr>
      </w:pPr>
      <w:r w:rsidRPr="001D49D4">
        <w:rPr>
          <w:rFonts w:ascii="Calibri" w:eastAsia="Calibri" w:hAnsi="Calibri" w:cs="Arial"/>
          <w:u w:val="single"/>
          <w:rtl/>
        </w:rPr>
        <w:t>לוה שכתב למלוה 'דקנינא ודאנא עתיד למקני':</w:t>
      </w:r>
    </w:p>
    <w:p w14:paraId="5E3134E0" w14:textId="77777777" w:rsidR="001D49D4" w:rsidRPr="001D49D4" w:rsidRDefault="001D49D4" w:rsidP="0004348D">
      <w:pPr>
        <w:numPr>
          <w:ilvl w:val="0"/>
          <w:numId w:val="316"/>
        </w:numPr>
        <w:spacing w:before="360" w:after="240"/>
        <w:contextualSpacing/>
        <w:rPr>
          <w:rtl/>
        </w:rPr>
      </w:pPr>
      <w:r w:rsidRPr="001D49D4">
        <w:rPr>
          <w:rtl/>
        </w:rPr>
        <w:t>טור- לוה שכתב למלוה 'דקנינא ודאנא עתיד למקני' וקנה ומכר או הוריש – משתעבד, וב"ח גובה מהלקוחות ומהיורשין.</w:t>
      </w:r>
      <w:r w:rsidRPr="001D49D4">
        <w:rPr>
          <w:color w:val="E36C0A" w:themeColor="accent6" w:themeShade="BF"/>
          <w:rtl/>
        </w:rPr>
        <w:t xml:space="preserve"> (וכ"פ בשו"ע</w:t>
      </w:r>
      <w:r w:rsidRPr="001D49D4">
        <w:rPr>
          <w:color w:val="000000" w:themeColor="text1"/>
          <w:sz w:val="16"/>
          <w:szCs w:val="16"/>
          <w:rtl/>
        </w:rPr>
        <w:t xml:space="preserve"> [כאן, וההמשך נמצא בסי' קז ס"א]</w:t>
      </w:r>
      <w:r w:rsidRPr="001D49D4">
        <w:rPr>
          <w:color w:val="E36C0A" w:themeColor="accent6" w:themeShade="BF"/>
          <w:rtl/>
        </w:rPr>
        <w:t xml:space="preserve">) </w:t>
      </w:r>
    </w:p>
    <w:p w14:paraId="20C66339" w14:textId="77777777" w:rsidR="001D49D4" w:rsidRPr="001D49D4" w:rsidRDefault="001D49D4" w:rsidP="0004348D">
      <w:pPr>
        <w:spacing w:before="360" w:after="240"/>
        <w:ind w:left="360"/>
        <w:rPr>
          <w:rFonts w:ascii="Calibri" w:eastAsia="Calibri" w:hAnsi="Calibri" w:cs="Arial"/>
          <w:u w:val="dotted"/>
        </w:rPr>
      </w:pPr>
      <w:r w:rsidRPr="001D49D4">
        <w:rPr>
          <w:rFonts w:ascii="Calibri" w:eastAsia="Calibri" w:hAnsi="Calibri" w:cs="Arial"/>
          <w:u w:val="dotted"/>
          <w:rtl/>
        </w:rPr>
        <w:t>ומה הדין אם לוה משנים וכתב לכל אחד כנ"ל:</w:t>
      </w:r>
    </w:p>
    <w:p w14:paraId="75D9401F" w14:textId="77777777" w:rsidR="001D49D4" w:rsidRPr="001D49D4" w:rsidRDefault="001D49D4" w:rsidP="0004348D">
      <w:pPr>
        <w:numPr>
          <w:ilvl w:val="0"/>
          <w:numId w:val="316"/>
        </w:numPr>
        <w:spacing w:before="360" w:after="240"/>
        <w:contextualSpacing/>
      </w:pPr>
      <w:r w:rsidRPr="001D49D4">
        <w:rPr>
          <w:rtl/>
        </w:rPr>
        <w:t xml:space="preserve">טור- ואם לוה הלוה משנים וכתב לכל אחד דאקני, וקנה - חל שיעבוד שניהם כאחד בשעה שקנה הנכסים וחולקין. לפיכך לוקח שהשביח את הקרקע ובא ב"ח לטורפה ממנו עם השבח - אינו גובה אלא חצי השבח, שזה השבח דאיקני הוא, והוי ליה ב"ח ולוקח גבי השבח כלוה ולוה ואח"כ קנה ויחלוקו, שכיון שמכר לו באחריות חל שיעבוד על כל מה שקנה ושיקנה. </w:t>
      </w:r>
      <w:r w:rsidRPr="001D49D4">
        <w:rPr>
          <w:color w:val="E36C0A" w:themeColor="accent6" w:themeShade="BF"/>
          <w:rtl/>
        </w:rPr>
        <w:t>(וכ"פ בשו"ע</w:t>
      </w:r>
      <w:r w:rsidRPr="001D49D4">
        <w:rPr>
          <w:color w:val="000000" w:themeColor="text1"/>
          <w:sz w:val="16"/>
          <w:szCs w:val="16"/>
          <w:rtl/>
        </w:rPr>
        <w:t xml:space="preserve"> [בסי' קטו ס"א]</w:t>
      </w:r>
      <w:r w:rsidRPr="001D49D4">
        <w:rPr>
          <w:color w:val="E36C0A" w:themeColor="accent6" w:themeShade="BF"/>
          <w:rtl/>
        </w:rPr>
        <w:t>)</w:t>
      </w:r>
    </w:p>
    <w:p w14:paraId="2A7DCADE" w14:textId="77777777" w:rsidR="001D49D4" w:rsidRPr="001D49D4" w:rsidRDefault="001D49D4" w:rsidP="0004348D">
      <w:pPr>
        <w:spacing w:before="360" w:after="240"/>
        <w:rPr>
          <w:rFonts w:ascii="Calibri" w:eastAsia="Calibri" w:hAnsi="Calibri" w:cs="Arial"/>
          <w:u w:val="single"/>
        </w:rPr>
      </w:pPr>
      <w:r w:rsidRPr="001D49D4">
        <w:rPr>
          <w:rFonts w:ascii="Calibri" w:eastAsia="Calibri" w:hAnsi="Calibri" w:cs="Arial"/>
          <w:u w:val="single"/>
          <w:rtl/>
        </w:rPr>
        <w:t>אדם שנשבע לתת דבר שעדיין לא בא לעולם לבעל חובו המאוחר:</w:t>
      </w:r>
    </w:p>
    <w:p w14:paraId="36DC65D0" w14:textId="77777777" w:rsidR="001D49D4" w:rsidRPr="001D49D4" w:rsidRDefault="001D49D4" w:rsidP="0004348D">
      <w:pPr>
        <w:numPr>
          <w:ilvl w:val="0"/>
          <w:numId w:val="316"/>
        </w:numPr>
        <w:spacing w:before="360" w:after="240"/>
        <w:contextualSpacing/>
      </w:pPr>
      <w:r w:rsidRPr="001D49D4">
        <w:rPr>
          <w:rtl/>
        </w:rPr>
        <w:t xml:space="preserve">חזה התנופה </w:t>
      </w:r>
      <w:r w:rsidRPr="001D49D4">
        <w:rPr>
          <w:sz w:val="16"/>
          <w:szCs w:val="16"/>
          <w:rtl/>
        </w:rPr>
        <w:t>(בסופו סי' מג)</w:t>
      </w:r>
      <w:r w:rsidRPr="001D49D4">
        <w:rPr>
          <w:rtl/>
        </w:rPr>
        <w:t>- לא שייך דין קדימה בדבר שאינו בעולם עתה ועתיד לבא אח"כ, ויד המוקדם והמאוחר שוה בהם ויחלוקו. אם קודם שבא זה הכח בעולם נשבע לתת אותו לבעל חוב המאוחר - צריך לקיים שבועתו ולתתו לו, כי מאותה שעה שנשבע לתת לו קדם וזכה בכח ההוא ומעכשיו ולכשיבא.</w:t>
      </w:r>
    </w:p>
    <w:p w14:paraId="403ABB1F" w14:textId="77777777" w:rsidR="001D49D4" w:rsidRPr="001D49D4" w:rsidRDefault="001D49D4" w:rsidP="0004348D">
      <w:pPr>
        <w:spacing w:before="360" w:after="240"/>
        <w:rPr>
          <w:rFonts w:ascii="Calibri" w:eastAsia="Calibri" w:hAnsi="Calibri" w:cs="Arial"/>
          <w:u w:val="single"/>
        </w:rPr>
      </w:pPr>
      <w:r w:rsidRPr="001D49D4">
        <w:rPr>
          <w:rFonts w:ascii="Calibri" w:eastAsia="Calibri" w:hAnsi="Calibri" w:cs="Arial"/>
          <w:u w:val="single"/>
          <w:rtl/>
        </w:rPr>
        <w:t>לוה ששיעבד למלוה מטלטלין אגב מקרקעי:</w:t>
      </w:r>
    </w:p>
    <w:p w14:paraId="282976F2" w14:textId="77777777" w:rsidR="001D49D4" w:rsidRPr="001D49D4" w:rsidRDefault="001D49D4" w:rsidP="0004348D">
      <w:pPr>
        <w:numPr>
          <w:ilvl w:val="0"/>
          <w:numId w:val="316"/>
        </w:numPr>
        <w:spacing w:before="360" w:after="240"/>
        <w:contextualSpacing/>
      </w:pPr>
      <w:r w:rsidRPr="001D49D4">
        <w:rPr>
          <w:rtl/>
        </w:rPr>
        <w:t xml:space="preserve">רא"ש </w:t>
      </w:r>
      <w:r w:rsidRPr="001D49D4">
        <w:rPr>
          <w:sz w:val="16"/>
          <w:szCs w:val="16"/>
          <w:rtl/>
        </w:rPr>
        <w:t xml:space="preserve">(כלל עט סי' ד) </w:t>
      </w:r>
      <w:r w:rsidRPr="001D49D4">
        <w:rPr>
          <w:rtl/>
        </w:rPr>
        <w:t>וטור- שאלת, דיין שדן דין קדימה במטלטלי שמכר או משכן הלוה מדינא דגמרא וגם מכח המנהג כי בררו שאותו דיין שהיה דיין בעיר הוציא פעמים מטלטלין שמכר הלוה ונתנם למלוה בחובו. תשובה, ודאי מדינא דגמרא יש למטלטלין דין המקרקעי לכל דבר לגבותו מן הלקוחות ויש בהן דין קדימה. ואף אם היו ללוה שטרות על אחרים ונתנם או מכרם לאחר - המלוה גובה אותם, דשטרי בכלל מטלטלין הן ומשתעבדי אגב מקרקעי כמו שאר מטלטלין. אמנם מיום בואי לארץ הזאת תמהתי על כי ראיתי שכותבין בשטרות שיעבוד מטלטלי אגב מקרקעי, שא"כ אין לך אדם שקונה חפץ מחבירו, ורציתי לבטלו. ואמרו אע"פ שכותבין כן בשטרות כבר נהגו בכל הארץ הזאת שאין מגבין לב"ח ממטלטלין שמכר או שנתן הלוה מפני תקנת השוק. על כן לבי נוקפי, כי מאחר שידוע הוא שפשט המנהג בכל הארץ שאין מגבין לבעל חוב ממטלטלי של לוקח שאם היה מקום שלא פשט בו המנהג ראוי היה שבאותה מקום לא יקנה אדם מחבירו שום חפץ כי אם בשטר ובאחריות כמו קרקע, והיה הרגש גדול בדבר כי דין זה היה נמצא בכל יום כמה פעמים והיה הדבר ידוע לכל בני העיר. גם מתוך דברי הדיינין מוכח שידוע להם שפשט המנהג בכל הארץ אלא שראוי לומר אחר שעשה מעשה הדיין המוקדם והוציא מטלטלי מיד הלוקח ונתנו למלוה זו היא ראיה שלא פשט המנהג בעיר ההוא. ואני אומר שזו אינו ראיה שמא הדיין ההוא דן דין תורה ולא שם אל לבו המנהג ההוא שאילו לא פשט המנהג היה ידוע ומפורסם לכל בני העיר, על כן אני אומר שאין להוציא המטלטלין מיד הלוקח עד שיתברר בודאי בירור גמור שלא פשט המנהג שם, כי אומדנא דמוכח הוא שפשט המנהג שמה, שאם לא פשט שם רבו דינים בכל יום בנדון זה</w:t>
      </w:r>
      <w:r w:rsidRPr="001D49D4">
        <w:rPr>
          <w:vertAlign w:val="superscript"/>
          <w:rtl/>
        </w:rPr>
        <w:footnoteReference w:id="4526"/>
      </w:r>
      <w:r w:rsidRPr="001D49D4">
        <w:rPr>
          <w:rtl/>
        </w:rPr>
        <w:t xml:space="preserve">... </w:t>
      </w:r>
      <w:r w:rsidRPr="001D49D4">
        <w:rPr>
          <w:vertAlign w:val="superscript"/>
          <w:rtl/>
        </w:rPr>
        <w:footnoteReference w:id="4527"/>
      </w:r>
      <w:r w:rsidRPr="001D49D4">
        <w:rPr>
          <w:rtl/>
        </w:rPr>
        <w:t xml:space="preserve">סבור הייתי שאי אפשר שלא תוכלו לעמוד על המנהג לכן כתבתי שאין להוציא מיד הלוקח עד שיתברר המנהג וכיון שכתבת שאי אפשר לברר שפשט המנהג שם שלא להגבות לב"ח ממטלטלי משועבדים אלא אדרבה אירע מעשה פעמים שהגבה הדיין ממטלטלי משועבדים אומר אני כיון שאין בירור למנהג - יעמוד הדבר על דין תורה ויגבו לבעל חוב ממטלטלין הידועין שקדמו ללוה קודם החוב שלוה </w:t>
      </w:r>
      <w:r w:rsidRPr="001D49D4">
        <w:rPr>
          <w:sz w:val="16"/>
          <w:szCs w:val="16"/>
          <w:rtl/>
        </w:rPr>
        <w:t>(ל' הטור בשם הרא"ש)</w:t>
      </w:r>
      <w:r w:rsidRPr="001D49D4">
        <w:rPr>
          <w:rtl/>
        </w:rPr>
        <w:t>.</w:t>
      </w:r>
      <w:r w:rsidRPr="001D49D4">
        <w:rPr>
          <w:color w:val="E36C0A" w:themeColor="accent6" w:themeShade="BF"/>
          <w:rtl/>
        </w:rPr>
        <w:t xml:space="preserve"> (וכ"פ בשו"ע)</w:t>
      </w:r>
    </w:p>
    <w:p w14:paraId="59C4DDDB" w14:textId="77777777" w:rsidR="001D49D4" w:rsidRPr="001D49D4" w:rsidRDefault="001D49D4" w:rsidP="0004348D">
      <w:pPr>
        <w:spacing w:before="360" w:after="240"/>
        <w:ind w:left="360"/>
        <w:rPr>
          <w:rFonts w:ascii="Calibri" w:eastAsia="Calibri" w:hAnsi="Calibri" w:cs="Arial"/>
          <w:u w:val="dotted"/>
        </w:rPr>
      </w:pPr>
      <w:r w:rsidRPr="001D49D4">
        <w:rPr>
          <w:rFonts w:ascii="Calibri" w:eastAsia="Calibri" w:hAnsi="Calibri" w:cs="Arial"/>
          <w:u w:val="dotted"/>
          <w:rtl/>
        </w:rPr>
        <w:t>האם שטרות חשיבי כמטלטלי לעניין תקנת השוק:</w:t>
      </w:r>
    </w:p>
    <w:p w14:paraId="70800062" w14:textId="77777777" w:rsidR="001D49D4" w:rsidRPr="001D49D4" w:rsidRDefault="001D49D4" w:rsidP="0004348D">
      <w:pPr>
        <w:numPr>
          <w:ilvl w:val="0"/>
          <w:numId w:val="316"/>
        </w:numPr>
        <w:spacing w:before="360" w:after="240"/>
        <w:contextualSpacing/>
      </w:pPr>
      <w:r w:rsidRPr="001D49D4">
        <w:rPr>
          <w:rtl/>
        </w:rPr>
        <w:t xml:space="preserve">רא"ש </w:t>
      </w:r>
      <w:r w:rsidRPr="001D49D4">
        <w:rPr>
          <w:sz w:val="16"/>
          <w:szCs w:val="16"/>
          <w:rtl/>
        </w:rPr>
        <w:t xml:space="preserve">(כלל עט סי' ה) </w:t>
      </w:r>
      <w:r w:rsidRPr="001D49D4">
        <w:rPr>
          <w:rtl/>
        </w:rPr>
        <w:t>וטור</w:t>
      </w:r>
      <w:r w:rsidRPr="001D49D4">
        <w:rPr>
          <w:sz w:val="16"/>
          <w:szCs w:val="16"/>
          <w:rtl/>
        </w:rPr>
        <w:t xml:space="preserve"> (כאן ובסי' קיא סכ"א)</w:t>
      </w:r>
      <w:r w:rsidRPr="001D49D4">
        <w:rPr>
          <w:rtl/>
        </w:rPr>
        <w:t>- אע"פ שהדין בשאר מטלטלי כן, אם היה ללוה שטר חוב על אחר ומכרו - בעל חוב גובה ממנו, דטעמא שאין גובים ממטלטלי שמכר, משום תקנת השוק, אבל בשטרות לא שייך תקנת השוק, דלא שכיח, ועוד שלא יצא השטר מרשותו לגמרי שעדיין נשאר בידו כח למחול השטר, הילכך חשיב שפיר ממונו לגבות בו ממנו בעל חוב</w:t>
      </w:r>
      <w:r w:rsidRPr="001D49D4">
        <w:rPr>
          <w:sz w:val="16"/>
          <w:szCs w:val="16"/>
          <w:rtl/>
        </w:rPr>
        <w:t xml:space="preserve"> (ל' הטור בשם הרא"ש)</w:t>
      </w:r>
      <w:r w:rsidRPr="001D49D4">
        <w:rPr>
          <w:rtl/>
        </w:rPr>
        <w:t xml:space="preserve">. </w:t>
      </w:r>
      <w:r w:rsidRPr="001D49D4">
        <w:rPr>
          <w:color w:val="E36C0A" w:themeColor="accent6" w:themeShade="BF"/>
          <w:rtl/>
        </w:rPr>
        <w:t>(וכ"פ בשו"ע)</w:t>
      </w:r>
    </w:p>
    <w:p w14:paraId="799BAA08" w14:textId="77777777" w:rsidR="001D49D4" w:rsidRPr="001D49D4" w:rsidRDefault="001D49D4" w:rsidP="0004348D">
      <w:pPr>
        <w:spacing w:before="360" w:after="240"/>
        <w:ind w:left="360"/>
        <w:rPr>
          <w:rFonts w:ascii="Calibri" w:eastAsia="Calibri" w:hAnsi="Calibri" w:cs="Arial"/>
          <w:u w:val="dotted"/>
          <w:rtl/>
        </w:rPr>
      </w:pPr>
      <w:r w:rsidRPr="001D49D4">
        <w:rPr>
          <w:rFonts w:ascii="Calibri" w:eastAsia="Calibri" w:hAnsi="Calibri" w:cs="Arial"/>
          <w:u w:val="dotted"/>
          <w:rtl/>
        </w:rPr>
        <w:t xml:space="preserve">האם גם במתנה יש את תקנת השוק הנ"ל: </w:t>
      </w:r>
    </w:p>
    <w:p w14:paraId="63D6ED9D" w14:textId="77777777" w:rsidR="001D49D4" w:rsidRPr="001D49D4" w:rsidRDefault="001D49D4" w:rsidP="0004348D">
      <w:pPr>
        <w:numPr>
          <w:ilvl w:val="0"/>
          <w:numId w:val="316"/>
        </w:numPr>
        <w:spacing w:before="360" w:after="240"/>
        <w:contextualSpacing/>
        <w:rPr>
          <w:rtl/>
        </w:rPr>
      </w:pPr>
      <w:r w:rsidRPr="001D49D4">
        <w:rPr>
          <w:rtl/>
        </w:rPr>
        <w:t xml:space="preserve">רא"ש </w:t>
      </w:r>
      <w:r w:rsidRPr="001D49D4">
        <w:rPr>
          <w:sz w:val="16"/>
          <w:szCs w:val="16"/>
          <w:rtl/>
        </w:rPr>
        <w:t>(שם, להב' הב"י)</w:t>
      </w:r>
      <w:r w:rsidRPr="001D49D4">
        <w:rPr>
          <w:rtl/>
        </w:rPr>
        <w:t xml:space="preserve">- </w:t>
      </w:r>
      <w:r w:rsidRPr="001D49D4">
        <w:rPr>
          <w:vertAlign w:val="superscript"/>
          <w:rtl/>
        </w:rPr>
        <w:footnoteReference w:id="4528"/>
      </w:r>
      <w:r w:rsidRPr="001D49D4">
        <w:rPr>
          <w:rtl/>
        </w:rPr>
        <w:t>במתנה נמי איכא משום תקנת השוק. (וכ"פ הב"י</w:t>
      </w:r>
      <w:r w:rsidRPr="001D49D4">
        <w:rPr>
          <w:vertAlign w:val="superscript"/>
          <w:rtl/>
        </w:rPr>
        <w:footnoteReference w:id="4529"/>
      </w:r>
      <w:r w:rsidRPr="001D49D4">
        <w:rPr>
          <w:rtl/>
        </w:rPr>
        <w:t>)</w:t>
      </w:r>
    </w:p>
    <w:p w14:paraId="476691DA" w14:textId="77777777" w:rsidR="001D49D4" w:rsidRPr="001D49D4" w:rsidRDefault="001D49D4" w:rsidP="0004348D">
      <w:pPr>
        <w:numPr>
          <w:ilvl w:val="0"/>
          <w:numId w:val="316"/>
        </w:numPr>
        <w:spacing w:before="360" w:after="240"/>
        <w:contextualSpacing/>
      </w:pPr>
      <w:r w:rsidRPr="001D49D4">
        <w:rPr>
          <w:rtl/>
        </w:rPr>
        <w:t xml:space="preserve">רשב"א </w:t>
      </w:r>
      <w:r w:rsidRPr="001D49D4">
        <w:rPr>
          <w:sz w:val="16"/>
          <w:szCs w:val="16"/>
          <w:rtl/>
        </w:rPr>
        <w:t>(ב"ק קטו. ד"ה והלכתא, הביאו הב"י כאן ובסי' שנו ס"ד)</w:t>
      </w:r>
      <w:r w:rsidRPr="001D49D4">
        <w:rPr>
          <w:rtl/>
        </w:rPr>
        <w:t>- במתנה לא עשו תקנת השוק</w:t>
      </w:r>
      <w:r w:rsidRPr="001D49D4">
        <w:rPr>
          <w:sz w:val="16"/>
          <w:szCs w:val="16"/>
          <w:rtl/>
        </w:rPr>
        <w:t xml:space="preserve"> (ל' הרשב"א)</w:t>
      </w:r>
      <w:r w:rsidRPr="001D49D4">
        <w:rPr>
          <w:rtl/>
        </w:rPr>
        <w:t>.</w:t>
      </w:r>
    </w:p>
    <w:p w14:paraId="44F62EAA" w14:textId="77777777" w:rsidR="001D49D4" w:rsidRPr="001D49D4" w:rsidRDefault="001D49D4" w:rsidP="0004348D">
      <w:pPr>
        <w:spacing w:before="360" w:after="240"/>
        <w:ind w:left="360"/>
        <w:rPr>
          <w:rFonts w:ascii="Calibri" w:eastAsia="Calibri" w:hAnsi="Calibri" w:cs="Arial"/>
          <w:u w:val="dotted"/>
        </w:rPr>
      </w:pPr>
      <w:r w:rsidRPr="001D49D4">
        <w:rPr>
          <w:rFonts w:ascii="Calibri" w:eastAsia="Calibri" w:hAnsi="Calibri" w:cs="Arial"/>
          <w:u w:val="dotted"/>
          <w:rtl/>
        </w:rPr>
        <w:t>ומה הדין אם נתן כל נכסיו לאחר ולא שייר לעצמו כלום:</w:t>
      </w:r>
    </w:p>
    <w:p w14:paraId="3368FAC3" w14:textId="77777777" w:rsidR="001D49D4" w:rsidRPr="001D49D4" w:rsidRDefault="001D49D4" w:rsidP="0004348D">
      <w:pPr>
        <w:numPr>
          <w:ilvl w:val="0"/>
          <w:numId w:val="316"/>
        </w:numPr>
        <w:spacing w:before="360" w:after="240"/>
        <w:contextualSpacing/>
      </w:pPr>
      <w:r w:rsidRPr="001D49D4">
        <w:rPr>
          <w:rtl/>
        </w:rPr>
        <w:t xml:space="preserve">טור </w:t>
      </w:r>
      <w:r w:rsidRPr="001D49D4">
        <w:rPr>
          <w:sz w:val="16"/>
          <w:szCs w:val="16"/>
          <w:rtl/>
        </w:rPr>
        <w:t>(סי' צט סט"ו, הב"י שלח לעיין בדבריו שם)</w:t>
      </w:r>
      <w:r w:rsidRPr="001D49D4">
        <w:rPr>
          <w:rtl/>
        </w:rPr>
        <w:t>- שאלה לא"א הרא"ש זכרונו לברכה. ראובן לוה משמעון מלוה בשטר, ושיעבד לו כל נכסיו שקנה ושיקנה מטלטלים אגב מקרקעי. ואח"כ נתן כל נכסיו לאחד מקרוביו ולא שייר כלום לעצמו, ואוכל עם קרובו הוא ואשתו ולובשים בגדים נאים ונותנין מתנות לאחרים ואומרים שהכל נותן להם קרובם ויושב בטל ואינו רוצה להתעסק בשום דבר, ועוד שאשתו מתעסקת בפרקמטיא בבית קרובו ואומר שהכל של קרובו. וכשבא בעל חובו לגבות ממנו, נשבע קרובו שהכל שלו. ובא בעל חובו להשביעו כתקנת הגאונים ושיגלגלו לו בשבועתו אם המתנה שנתן אם יש בה קנוניא ורמאות או לא. ועוד שאם יש בידו כח ליטול מנכסים אלו שהבריח להגבות חובו שיטול מרשות מקבל המתנה, בין מן המעות והמטלטלין עצמם שנתן לו בין מה שקנה והרויח בדמיהם מקבל מתנה זו או שלוחו... תשובה, כיון ששיעבד ראובן לשמעון כל נכסיו מטלטלי אגב מקרקע - דין הוא שיגבה חובו מן המטלטלין שמכר ראובן או נתן כמו שהיה גובה ממקרקעי אם מכרם או נתנן, אלא שנהגו בארץ הזאת ובשאר המקומות משום תקנת השוק שאין ב"ח גובה ממטלטלי שמכר לוה או שנתן אע"פ ששיעבד לו מטלטלים אגב מקרקעי. ובנדון זה שכתבתי לא שייך ביה תקנת השוק, דאומדנא דמוכח הוא שלהבריח מב"ח עשה, דחזקה אין אדם נותן נכסיו וימות ברעב, הלכך - גובה שמעון מהמתנה שנתן ראובן לקרובו בין מטלטלין בין מקרקעי.</w:t>
      </w:r>
      <w:r w:rsidRPr="001D49D4">
        <w:rPr>
          <w:color w:val="E36C0A" w:themeColor="accent6" w:themeShade="BF"/>
          <w:rtl/>
        </w:rPr>
        <w:t xml:space="preserve"> (וכ"פ בשו"ע)</w:t>
      </w:r>
    </w:p>
    <w:p w14:paraId="5D68DDDC" w14:textId="77777777" w:rsidR="001D49D4" w:rsidRPr="001D49D4" w:rsidRDefault="001D49D4" w:rsidP="0004348D">
      <w:pPr>
        <w:spacing w:before="360" w:after="240"/>
        <w:rPr>
          <w:rFonts w:ascii="Calibri" w:eastAsia="Calibri" w:hAnsi="Calibri" w:cs="Arial"/>
        </w:rPr>
      </w:pPr>
      <w:r w:rsidRPr="001D49D4">
        <w:rPr>
          <w:rFonts w:ascii="Calibri" w:eastAsia="Calibri" w:hAnsi="Calibri" w:cs="Arial"/>
          <w:b/>
          <w:bCs/>
          <w:rtl/>
        </w:rPr>
        <w:t xml:space="preserve">בבא בתרא </w:t>
      </w:r>
      <w:r w:rsidRPr="001D49D4">
        <w:rPr>
          <w:rFonts w:ascii="Calibri" w:eastAsia="Calibri" w:hAnsi="Calibri" w:cs="Arial"/>
          <w:b/>
          <w:bCs/>
          <w:sz w:val="16"/>
          <w:szCs w:val="16"/>
          <w:rtl/>
        </w:rPr>
        <w:t>(פרק חזקת)</w:t>
      </w:r>
      <w:r w:rsidRPr="001D49D4">
        <w:rPr>
          <w:rFonts w:ascii="Calibri" w:eastAsia="Calibri" w:hAnsi="Calibri" w:cs="Arial"/>
          <w:b/>
          <w:bCs/>
          <w:rtl/>
        </w:rPr>
        <w:t xml:space="preserve"> מד</w:t>
      </w:r>
      <w:r w:rsidRPr="001D49D4">
        <w:rPr>
          <w:rFonts w:ascii="Calibri" w:eastAsia="Calibri" w:hAnsi="Calibri" w:cs="Arial"/>
          <w:b/>
          <w:bCs/>
          <w:vertAlign w:val="superscript"/>
          <w:rtl/>
        </w:rPr>
        <w:footnoteReference w:id="4530"/>
      </w:r>
      <w:r w:rsidRPr="001D49D4">
        <w:rPr>
          <w:rFonts w:ascii="Calibri" w:eastAsia="Calibri" w:hAnsi="Calibri" w:cs="Arial"/>
          <w:b/>
          <w:bCs/>
          <w:rtl/>
        </w:rPr>
        <w:t xml:space="preserve"> ע"ב: </w:t>
      </w:r>
      <w:r w:rsidRPr="001D49D4">
        <w:rPr>
          <w:rFonts w:ascii="Calibri" w:eastAsia="Calibri" w:hAnsi="Calibri" w:cs="Arial"/>
          <w:u w:val="single"/>
          <w:rtl/>
        </w:rPr>
        <w:t>אמר רבה</w:t>
      </w:r>
      <w:r w:rsidRPr="001D49D4">
        <w:rPr>
          <w:rFonts w:ascii="Calibri" w:eastAsia="Calibri" w:hAnsi="Calibri" w:cs="Arial"/>
          <w:rtl/>
        </w:rPr>
        <w:t xml:space="preserve">: אי אקני ליה מטלטלי אגב מקרקעי - קני מקרקעי קני מטלטלי. </w:t>
      </w:r>
      <w:r w:rsidRPr="001D49D4">
        <w:rPr>
          <w:rFonts w:ascii="Calibri" w:eastAsia="Calibri" w:hAnsi="Calibri" w:cs="Arial"/>
          <w:u w:val="single"/>
          <w:rtl/>
        </w:rPr>
        <w:t>ואמר רב חסדא</w:t>
      </w:r>
      <w:r w:rsidRPr="001D49D4">
        <w:rPr>
          <w:rFonts w:ascii="Calibri" w:eastAsia="Calibri" w:hAnsi="Calibri" w:cs="Arial"/>
          <w:rtl/>
        </w:rPr>
        <w:t xml:space="preserve">: והוא דכתב ליה דלא כאסמכתא ודלא כטופסא דשטרי! </w:t>
      </w:r>
      <w:r w:rsidRPr="001D49D4">
        <w:rPr>
          <w:rFonts w:ascii="Calibri" w:eastAsia="Calibri" w:hAnsi="Calibri" w:cs="Arial"/>
          <w:sz w:val="16"/>
          <w:szCs w:val="16"/>
          <w:rtl/>
        </w:rPr>
        <w:t>(וכתב הרא"ש בתשובה (בסוף כלל עב סי' ז) דטעמא משום דדמי קצת לאסמכתא האי דמשעבד ליה מטלטלי לחובו אע"ג דאקני ליה אגב מקרקעי, צריך למיכתב ביה דלא כאסמכתא. אבל אי שעביד ליה מטלטלי בלא מקרקעי, אע"ג דכתב ביה דלא כאסמכתא - לא גבי ממטלטלי)</w:t>
      </w:r>
    </w:p>
    <w:p w14:paraId="1B1424A7" w14:textId="77777777" w:rsidR="001D49D4" w:rsidRPr="001D49D4" w:rsidRDefault="001D49D4" w:rsidP="0004348D">
      <w:pPr>
        <w:spacing w:before="360" w:after="240"/>
        <w:rPr>
          <w:rFonts w:ascii="Calibri" w:eastAsia="Calibri" w:hAnsi="Calibri" w:cs="Arial"/>
          <w:u w:val="single"/>
          <w:rtl/>
        </w:rPr>
      </w:pPr>
      <w:r w:rsidRPr="001D49D4">
        <w:rPr>
          <w:rFonts w:ascii="Calibri" w:eastAsia="Calibri" w:hAnsi="Calibri" w:cs="Arial"/>
          <w:u w:val="single"/>
          <w:rtl/>
        </w:rPr>
        <w:t>כשמשעבד למלוה מטלטלי אגב מקרקעי - האם צריך לכתוב ליה 'דלא כאסמכתא ודלא כטופסא דשטרי':</w:t>
      </w:r>
    </w:p>
    <w:p w14:paraId="6ECEEB70" w14:textId="77777777" w:rsidR="001D49D4" w:rsidRPr="001D49D4" w:rsidRDefault="001D49D4" w:rsidP="0004348D">
      <w:pPr>
        <w:numPr>
          <w:ilvl w:val="0"/>
          <w:numId w:val="317"/>
        </w:numPr>
        <w:spacing w:before="360" w:after="240"/>
        <w:contextualSpacing/>
        <w:rPr>
          <w:rtl/>
        </w:rPr>
      </w:pPr>
      <w:r w:rsidRPr="001D49D4">
        <w:rPr>
          <w:rtl/>
        </w:rPr>
        <w:t>טור</w:t>
      </w:r>
      <w:r w:rsidRPr="001D49D4">
        <w:rPr>
          <w:sz w:val="16"/>
          <w:szCs w:val="16"/>
          <w:rtl/>
        </w:rPr>
        <w:t xml:space="preserve"> (סי' קיג ס"ד)</w:t>
      </w:r>
      <w:r w:rsidRPr="001D49D4">
        <w:rPr>
          <w:rtl/>
        </w:rPr>
        <w:t xml:space="preserve">- וכי מקני ליה מטלטלי אגב מקרקעי צריך לכתוב 'דלא כאסמכתא ודלא כטופסי דשטרא', מפני שעיקר השיעבוד על הקרקעות, ושיעבוד מטלטלי אגב מקרקעי דומה לשיעבוד הערב שהיא כאסמכתא, שאם לא יפרע הלוה יפרע הערב, אף כאן אם לא ימצא קרקע, שיפרע מן המטלטלין המשועבדים. ע"כ צריך לפרש שדעתו סומכת על המטלטלין כמו על המקרקעי... 'ודלא כטופסי דשטרי' פירוש שנכתב לשם שיעבוד גמור ולא שטופס שטרות כך הוא. </w:t>
      </w:r>
      <w:r w:rsidRPr="001D49D4">
        <w:rPr>
          <w:color w:val="E36C0A" w:themeColor="accent6" w:themeShade="BF"/>
          <w:rtl/>
        </w:rPr>
        <w:t>(וכ"פ בשו"ע)</w:t>
      </w:r>
    </w:p>
    <w:p w14:paraId="132B208D" w14:textId="77777777" w:rsidR="001D49D4" w:rsidRPr="001D49D4" w:rsidRDefault="001D49D4" w:rsidP="0004348D">
      <w:pPr>
        <w:spacing w:before="360" w:after="240"/>
        <w:rPr>
          <w:rFonts w:ascii="Arial" w:eastAsia="Calibri" w:hAnsi="Arial" w:cs="Arial"/>
          <w:b/>
          <w:bCs/>
          <w:color w:val="000000"/>
          <w:sz w:val="28"/>
          <w:szCs w:val="28"/>
          <w:u w:val="single"/>
          <w:rtl/>
        </w:rPr>
      </w:pPr>
      <w:r w:rsidRPr="001D49D4">
        <w:rPr>
          <w:rFonts w:ascii="Arial" w:eastAsia="Calibri" w:hAnsi="Arial" w:cs="Arial"/>
          <w:b/>
          <w:bCs/>
          <w:color w:val="000000"/>
          <w:sz w:val="28"/>
          <w:szCs w:val="28"/>
          <w:u w:val="single"/>
          <w:rtl/>
        </w:rPr>
        <w:t>שו"ע:</w:t>
      </w:r>
    </w:p>
    <w:p w14:paraId="788C743F"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rtl/>
        </w:rPr>
        <w:t>הבא לגבות חובו בשטר מהלוה, ולא הספיק כל הנמצא לו כנגד שטר חובו, הרי זה טורף מקרקעות</w:t>
      </w:r>
      <w:r w:rsidRPr="001D49D4">
        <w:rPr>
          <w:rFonts w:ascii="Calibri" w:eastAsia="Calibri" w:hAnsi="Calibri" w:cs="Arial"/>
          <w:vertAlign w:val="superscript"/>
          <w:rtl/>
        </w:rPr>
        <w:footnoteReference w:id="4531"/>
      </w:r>
      <w:r w:rsidRPr="001D49D4">
        <w:rPr>
          <w:rFonts w:ascii="Calibri" w:eastAsia="Calibri" w:hAnsi="Calibri" w:cs="Arial"/>
          <w:rtl/>
        </w:rPr>
        <w:t xml:space="preserve"> שהיו לו בשעה שלוה מזה ומכרם או נתנם אחר כך, אבל קרקעות שקנה אחר שלוה מזה ומכר או נתנם אינו טורף מהם. ואם כתוב בשטר שהוא משעבד לו נכסין דקנינא ודאנא עתיד למקני, גובה גם מהם</w:t>
      </w:r>
      <w:r w:rsidRPr="001D49D4">
        <w:rPr>
          <w:rFonts w:ascii="Calibri" w:eastAsia="Calibri" w:hAnsi="Calibri" w:cs="Arial"/>
          <w:vertAlign w:val="superscript"/>
          <w:rtl/>
        </w:rPr>
        <w:footnoteReference w:id="4532"/>
      </w:r>
      <w:r w:rsidRPr="001D49D4">
        <w:rPr>
          <w:rFonts w:ascii="Calibri" w:eastAsia="Calibri" w:hAnsi="Calibri" w:cs="Arial"/>
          <w:rtl/>
        </w:rPr>
        <w:t>. אבל המטלטלין אין עליהם אחריות, אפילו מטלטלים שהיו לו בעת שלוה שמכרם או נתנם לשעתו</w:t>
      </w:r>
      <w:r w:rsidRPr="001D49D4">
        <w:rPr>
          <w:rFonts w:ascii="Calibri" w:eastAsia="Calibri" w:hAnsi="Calibri" w:cs="Arial"/>
          <w:vertAlign w:val="superscript"/>
          <w:rtl/>
        </w:rPr>
        <w:footnoteReference w:id="4533"/>
      </w:r>
      <w:r w:rsidRPr="001D49D4">
        <w:rPr>
          <w:rFonts w:ascii="Calibri" w:eastAsia="Calibri" w:hAnsi="Calibri" w:cs="Arial"/>
          <w:rtl/>
        </w:rPr>
        <w:t xml:space="preserve"> אין בעל חוב טורף אותם. ואם כתוב בשטר שהוא משעבד לו מטלטלי שיש לו אגב מקרקעי דלא כאסמכתא ודלא כטופסי דשטרי </w:t>
      </w:r>
      <w:r w:rsidRPr="001D49D4">
        <w:rPr>
          <w:rFonts w:ascii="Calibri" w:eastAsia="Calibri" w:hAnsi="Calibri" w:cs="Arial"/>
          <w:sz w:val="18"/>
          <w:szCs w:val="18"/>
          <w:rtl/>
        </w:rPr>
        <w:t>[הגה] ע"ל סי' קיג</w:t>
      </w:r>
      <w:r w:rsidRPr="001D49D4">
        <w:rPr>
          <w:rFonts w:ascii="Calibri" w:eastAsia="Calibri" w:hAnsi="Calibri" w:cs="Arial"/>
          <w:sz w:val="16"/>
          <w:szCs w:val="16"/>
          <w:rtl/>
        </w:rPr>
        <w:t xml:space="preserve"> (ור"ב)</w:t>
      </w:r>
      <w:r w:rsidRPr="001D49D4">
        <w:rPr>
          <w:rFonts w:ascii="Calibri" w:eastAsia="Calibri" w:hAnsi="Calibri" w:cs="Arial"/>
          <w:rtl/>
        </w:rPr>
        <w:t>, הרי זה טורף מהמטלטלים שהיו לו כשלוה כשם שהוא טורף מקרקעות. ואם כתוב בשטר ששעבד לו מטלטלי אגב מקרקעי דקנינא ודאנא עתיד למקני דלא כאסמכתא ודלא כטופסי דשטרי, טורף אף ממטלטלים שקנה אחר שלוה ומכרם או נתנם, כשם שהוא טורף מהקרקעות, זהו דין הגמרא. ועכשיו</w:t>
      </w:r>
      <w:r w:rsidRPr="001D49D4">
        <w:rPr>
          <w:rFonts w:ascii="Calibri" w:eastAsia="Calibri" w:hAnsi="Calibri" w:cs="Arial"/>
          <w:vertAlign w:val="superscript"/>
          <w:rtl/>
        </w:rPr>
        <w:footnoteReference w:id="4534"/>
      </w:r>
      <w:r w:rsidRPr="001D49D4">
        <w:rPr>
          <w:rFonts w:ascii="Calibri" w:eastAsia="Calibri" w:hAnsi="Calibri" w:cs="Arial"/>
          <w:rtl/>
        </w:rPr>
        <w:t xml:space="preserve"> אף על פי שנהגו לכתוב בכל השטרות שהוא משעבד לו מטלטלי אגב מקרקעי,  נהגו שאינו טורף</w:t>
      </w:r>
      <w:r w:rsidRPr="001D49D4">
        <w:rPr>
          <w:rFonts w:ascii="Calibri" w:eastAsia="Calibri" w:hAnsi="Calibri" w:cs="Arial"/>
          <w:vertAlign w:val="superscript"/>
          <w:rtl/>
        </w:rPr>
        <w:footnoteReference w:id="4535"/>
      </w:r>
      <w:r w:rsidRPr="001D49D4">
        <w:rPr>
          <w:rFonts w:ascii="Calibri" w:eastAsia="Calibri" w:hAnsi="Calibri" w:cs="Arial"/>
          <w:rtl/>
        </w:rPr>
        <w:t xml:space="preserve"> ממטלטלים שמכר או נתן או משכן מפני תקנת השוק</w:t>
      </w:r>
      <w:r w:rsidRPr="001D49D4">
        <w:rPr>
          <w:rFonts w:ascii="Calibri" w:eastAsia="Calibri" w:hAnsi="Calibri" w:cs="Arial"/>
          <w:vertAlign w:val="superscript"/>
          <w:rtl/>
        </w:rPr>
        <w:footnoteReference w:id="4536"/>
      </w:r>
      <w:r w:rsidRPr="001D49D4">
        <w:rPr>
          <w:rFonts w:ascii="Calibri" w:eastAsia="Calibri" w:hAnsi="Calibri" w:cs="Arial"/>
          <w:rtl/>
        </w:rPr>
        <w:t>. ואפילו למנהג זה, אם היה ללוה שטר חוב על אחד ומכרו, בעל חוב גובה ממנו</w:t>
      </w:r>
      <w:r w:rsidRPr="001D49D4">
        <w:rPr>
          <w:rFonts w:ascii="Calibri" w:eastAsia="Calibri" w:hAnsi="Calibri" w:cs="Arial"/>
          <w:vertAlign w:val="superscript"/>
          <w:rtl/>
        </w:rPr>
        <w:footnoteReference w:id="4537"/>
      </w:r>
      <w:r w:rsidRPr="001D49D4">
        <w:rPr>
          <w:rFonts w:ascii="Calibri" w:eastAsia="Calibri" w:hAnsi="Calibri" w:cs="Arial"/>
          <w:rtl/>
        </w:rPr>
        <w:t xml:space="preserve">, דלא שייך בשטרות תקנת השוק, דלא שכיח. וכן אם נתן כל נכסיו לאחר ולא שייר לעצמו כלום, אומדנא דמוכח הוא שלהבריח עשה, ולא שייך ביה תקנת השוק. </w:t>
      </w:r>
      <w:r w:rsidRPr="001D49D4">
        <w:rPr>
          <w:rFonts w:ascii="Calibri" w:eastAsia="Calibri" w:hAnsi="Calibri" w:cs="Arial"/>
          <w:sz w:val="18"/>
          <w:szCs w:val="18"/>
          <w:rtl/>
        </w:rPr>
        <w:t>[הגה] וע"ל סי' צט סע' ו</w:t>
      </w:r>
      <w:r w:rsidRPr="001D49D4">
        <w:rPr>
          <w:rFonts w:ascii="Calibri" w:eastAsia="Calibri" w:hAnsi="Calibri" w:cs="Arial"/>
          <w:sz w:val="18"/>
          <w:szCs w:val="18"/>
          <w:vertAlign w:val="superscript"/>
          <w:rtl/>
        </w:rPr>
        <w:footnoteReference w:id="4538"/>
      </w:r>
      <w:r w:rsidRPr="001D49D4">
        <w:rPr>
          <w:rFonts w:ascii="Calibri" w:eastAsia="Calibri" w:hAnsi="Calibri" w:cs="Arial"/>
          <w:rtl/>
        </w:rPr>
        <w:t xml:space="preserve">. </w:t>
      </w:r>
    </w:p>
    <w:p w14:paraId="3F54897A" w14:textId="77777777" w:rsidR="001D49D4" w:rsidRPr="001D49D4" w:rsidRDefault="001D49D4" w:rsidP="0004348D">
      <w:pPr>
        <w:spacing w:before="360" w:after="240"/>
        <w:rPr>
          <w:rFonts w:ascii="Calibri" w:eastAsia="Calibri" w:hAnsi="Calibri" w:cs="Arial"/>
          <w:rtl/>
        </w:rPr>
      </w:pPr>
    </w:p>
    <w:p w14:paraId="292AD913" w14:textId="77777777" w:rsidR="001D49D4" w:rsidRPr="001D49D4" w:rsidRDefault="001D49D4" w:rsidP="0004348D">
      <w:pPr>
        <w:keepNext/>
        <w:keepLines/>
        <w:spacing w:before="360" w:after="240"/>
        <w:outlineLvl w:val="1"/>
        <w:rPr>
          <w:rFonts w:ascii="Cambria" w:eastAsia="Times New Roman" w:hAnsi="Cambria" w:cs="Arial"/>
          <w:bCs/>
          <w:color w:val="548DD4" w:themeColor="text2" w:themeTint="99"/>
          <w:sz w:val="26"/>
          <w:szCs w:val="26"/>
          <w:rtl/>
        </w:rPr>
      </w:pPr>
      <w:bookmarkStart w:id="608" w:name="_Toc24884034"/>
      <w:r w:rsidRPr="001D49D4">
        <w:rPr>
          <w:rFonts w:ascii="Cambria" w:eastAsia="Times New Roman" w:hAnsi="Cambria" w:cs="Arial"/>
          <w:bCs/>
          <w:color w:val="548DD4" w:themeColor="text2" w:themeTint="99"/>
          <w:sz w:val="26"/>
          <w:szCs w:val="26"/>
          <w:rtl/>
        </w:rPr>
        <w:t>סעיף ב: אדם שהתחייב ליתן דבר שאינו קצוב.</w:t>
      </w:r>
      <w:bookmarkEnd w:id="608"/>
    </w:p>
    <w:p w14:paraId="6BD679E1"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b/>
          <w:bCs/>
          <w:rtl/>
        </w:rPr>
        <w:t xml:space="preserve">כתובות </w:t>
      </w:r>
      <w:r w:rsidRPr="001D49D4">
        <w:rPr>
          <w:rFonts w:ascii="Calibri" w:eastAsia="Calibri" w:hAnsi="Calibri" w:cs="Arial"/>
          <w:b/>
          <w:bCs/>
          <w:sz w:val="16"/>
          <w:szCs w:val="16"/>
          <w:rtl/>
        </w:rPr>
        <w:t xml:space="preserve">(ר"פ הנושא) </w:t>
      </w:r>
      <w:r w:rsidRPr="001D49D4">
        <w:rPr>
          <w:rFonts w:ascii="Calibri" w:eastAsia="Calibri" w:hAnsi="Calibri" w:cs="Arial"/>
          <w:b/>
          <w:bCs/>
          <w:rtl/>
        </w:rPr>
        <w:t>קא</w:t>
      </w:r>
      <w:r w:rsidRPr="001D49D4">
        <w:rPr>
          <w:rFonts w:ascii="Calibri" w:eastAsia="Calibri" w:hAnsi="Calibri" w:cs="Arial"/>
          <w:b/>
          <w:bCs/>
          <w:vertAlign w:val="superscript"/>
          <w:rtl/>
        </w:rPr>
        <w:footnoteReference w:id="4539"/>
      </w:r>
      <w:r w:rsidRPr="001D49D4">
        <w:rPr>
          <w:rFonts w:ascii="Calibri" w:eastAsia="Calibri" w:hAnsi="Calibri" w:cs="Arial"/>
          <w:b/>
          <w:bCs/>
          <w:rtl/>
        </w:rPr>
        <w:t xml:space="preserve"> ע"ב:</w:t>
      </w:r>
      <w:r w:rsidRPr="001D49D4">
        <w:rPr>
          <w:rFonts w:ascii="Calibri" w:eastAsia="Calibri" w:hAnsi="Calibri" w:cs="Arial"/>
          <w:rtl/>
        </w:rPr>
        <w:t xml:space="preserve"> אתמר: האומר לחבירו חייב אני לך מנה, </w:t>
      </w:r>
      <w:r w:rsidRPr="001D49D4">
        <w:rPr>
          <w:rFonts w:ascii="Calibri" w:eastAsia="Calibri" w:hAnsi="Calibri" w:cs="Arial"/>
          <w:u w:val="single"/>
          <w:rtl/>
        </w:rPr>
        <w:t>רבי יוחנן אמר</w:t>
      </w:r>
      <w:r w:rsidRPr="001D49D4">
        <w:rPr>
          <w:rFonts w:ascii="Calibri" w:eastAsia="Calibri" w:hAnsi="Calibri" w:cs="Arial"/>
          <w:rtl/>
        </w:rPr>
        <w:t xml:space="preserve">: חייב, </w:t>
      </w:r>
      <w:r w:rsidRPr="001D49D4">
        <w:rPr>
          <w:rFonts w:ascii="Calibri" w:eastAsia="Calibri" w:hAnsi="Calibri" w:cs="Arial"/>
          <w:u w:val="single"/>
          <w:rtl/>
        </w:rPr>
        <w:t>ור"ל אמר</w:t>
      </w:r>
      <w:r w:rsidRPr="001D49D4">
        <w:rPr>
          <w:rFonts w:ascii="Calibri" w:eastAsia="Calibri" w:hAnsi="Calibri" w:cs="Arial"/>
          <w:rtl/>
        </w:rPr>
        <w:t xml:space="preserve">: פטור. ה"ד?... לעולם דלא קאמר להו אתם עדיי, והכא במאי עסקינן - דא"ל חייב אני לך מנה בשטר, רבי יוחנן אמר: חייב, אלימא מילתא דשטרא כמאן דאמר להו אתם עדים דמי; ר"ל אמר: פטור, לא אלימא מילתא דשטרא. תנן: הנושא את האשה, ופסקה עמו לזון את בתה חמש שנים - חייב לזונה חמש שנים; מאי לאו כי האי גוונא! </w:t>
      </w:r>
      <w:r w:rsidRPr="001D49D4">
        <w:rPr>
          <w:rFonts w:ascii="Calibri" w:eastAsia="Calibri" w:hAnsi="Calibri" w:cs="Arial"/>
          <w:sz w:val="14"/>
          <w:szCs w:val="14"/>
          <w:rtl/>
        </w:rPr>
        <w:t xml:space="preserve">(קב.) </w:t>
      </w:r>
      <w:r w:rsidRPr="001D49D4">
        <w:rPr>
          <w:rFonts w:ascii="Calibri" w:eastAsia="Calibri" w:hAnsi="Calibri" w:cs="Arial"/>
          <w:rtl/>
        </w:rPr>
        <w:t xml:space="preserve">לא, בשטרי פסיקתא, וכדרב גידל, </w:t>
      </w:r>
      <w:r w:rsidRPr="001D49D4">
        <w:rPr>
          <w:rFonts w:ascii="Calibri" w:eastAsia="Calibri" w:hAnsi="Calibri" w:cs="Arial"/>
          <w:u w:val="single"/>
          <w:rtl/>
        </w:rPr>
        <w:t>דאמר רב גידל אמר רב</w:t>
      </w:r>
      <w:r w:rsidRPr="001D49D4">
        <w:rPr>
          <w:rFonts w:ascii="Calibri" w:eastAsia="Calibri" w:hAnsi="Calibri" w:cs="Arial"/>
          <w:rtl/>
        </w:rPr>
        <w:t xml:space="preserve">: כמה אתה נותן לבנך? כך וכך, וכמה אתה נותן לבתך? כך וכך, עמדו וקידשו - קנו, הן הן הדברים הנקנין באמירה... </w:t>
      </w:r>
    </w:p>
    <w:p w14:paraId="1E0E8D9F"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b/>
          <w:bCs/>
          <w:rtl/>
        </w:rPr>
        <w:t>ירושלמי כתובות פי"ב ה"א:</w:t>
      </w:r>
      <w:r w:rsidRPr="001D49D4">
        <w:rPr>
          <w:rFonts w:ascii="Calibri" w:eastAsia="Calibri" w:hAnsi="Calibri" w:cs="Arial"/>
          <w:rtl/>
        </w:rPr>
        <w:t xml:space="preserve"> </w:t>
      </w:r>
      <w:r w:rsidRPr="001D49D4">
        <w:rPr>
          <w:rFonts w:ascii="Calibri" w:eastAsia="Calibri" w:hAnsi="Calibri" w:cs="Arial"/>
          <w:u w:val="double"/>
          <w:rtl/>
        </w:rPr>
        <w:t>מתני'</w:t>
      </w:r>
      <w:r w:rsidRPr="001D49D4">
        <w:rPr>
          <w:rFonts w:ascii="Calibri" w:eastAsia="Calibri" w:hAnsi="Calibri" w:cs="Arial"/>
          <w:rtl/>
        </w:rPr>
        <w:t xml:space="preserve">: הנושא את האשה ופסקה עמו שיזון את בתה חמש שנים חייב לזונה ה' שנים נישאת לאחר ופסקה עמו כדי שיזון את בתה חמש שנים חייב לזונה ה' שנים לא יאמר הראשון לכשתבא אצלי אזונה אלא מוליך מזונותיה למקום שהיא וכן לא יאמרו שניהן הרי אנו זונין אותה כאחד אלא אחד זנה ואחד נותן לה דמי מזונות.     </w:t>
      </w:r>
      <w:r w:rsidRPr="001D49D4">
        <w:rPr>
          <w:rFonts w:ascii="Calibri" w:eastAsia="Calibri" w:hAnsi="Calibri" w:cs="Arial"/>
          <w:u w:val="double"/>
          <w:rtl/>
        </w:rPr>
        <w:t>גמ'</w:t>
      </w:r>
      <w:r w:rsidRPr="001D49D4">
        <w:rPr>
          <w:rFonts w:ascii="Calibri" w:eastAsia="Calibri" w:hAnsi="Calibri" w:cs="Arial"/>
          <w:rtl/>
        </w:rPr>
        <w:t>: במה הוא מתחייב לה לא כן ר' יוחנן ור"ש בן לקיש תריהון אמרין הכותב שטר חוב על חבירו בחזקת שהוא חייב לו ונמצא שאינו חייב לו אינו חייב ליתן לו.</w:t>
      </w:r>
    </w:p>
    <w:p w14:paraId="2F5BE15B"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b/>
          <w:bCs/>
          <w:rtl/>
        </w:rPr>
        <w:t xml:space="preserve">גיטין </w:t>
      </w:r>
      <w:r w:rsidRPr="001D49D4">
        <w:rPr>
          <w:rFonts w:ascii="Calibri" w:eastAsia="Calibri" w:hAnsi="Calibri" w:cs="Arial"/>
          <w:b/>
          <w:bCs/>
          <w:sz w:val="16"/>
          <w:szCs w:val="16"/>
          <w:rtl/>
        </w:rPr>
        <w:t>(פ' השולח)</w:t>
      </w:r>
      <w:r w:rsidRPr="001D49D4">
        <w:rPr>
          <w:rFonts w:ascii="Calibri" w:eastAsia="Calibri" w:hAnsi="Calibri" w:cs="Arial"/>
          <w:b/>
          <w:bCs/>
          <w:rtl/>
        </w:rPr>
        <w:t xml:space="preserve"> מח</w:t>
      </w:r>
      <w:r w:rsidRPr="001D49D4">
        <w:rPr>
          <w:rFonts w:ascii="Calibri" w:eastAsia="Calibri" w:hAnsi="Calibri" w:cs="Arial"/>
          <w:b/>
          <w:bCs/>
          <w:vertAlign w:val="superscript"/>
          <w:rtl/>
        </w:rPr>
        <w:footnoteReference w:id="4540"/>
      </w:r>
      <w:r w:rsidRPr="001D49D4">
        <w:rPr>
          <w:rFonts w:ascii="Calibri" w:eastAsia="Calibri" w:hAnsi="Calibri" w:cs="Arial"/>
          <w:b/>
          <w:bCs/>
          <w:rtl/>
        </w:rPr>
        <w:t xml:space="preserve"> ע"ב:</w:t>
      </w:r>
      <w:r w:rsidRPr="001D49D4">
        <w:rPr>
          <w:rFonts w:ascii="Calibri" w:eastAsia="Calibri" w:hAnsi="Calibri" w:cs="Arial"/>
          <w:rtl/>
        </w:rPr>
        <w:t xml:space="preserve"> </w:t>
      </w:r>
      <w:r w:rsidRPr="001D49D4">
        <w:rPr>
          <w:rFonts w:ascii="Calibri" w:eastAsia="Calibri" w:hAnsi="Calibri" w:cs="Arial"/>
          <w:u w:val="double"/>
          <w:rtl/>
        </w:rPr>
        <w:t>מתני'</w:t>
      </w:r>
      <w:r w:rsidRPr="001D49D4">
        <w:rPr>
          <w:rFonts w:ascii="Calibri" w:eastAsia="Calibri" w:hAnsi="Calibri" w:cs="Arial"/>
          <w:rtl/>
        </w:rPr>
        <w:t xml:space="preserve">:... אין מוציאין לאכילת פירות ולשבח קרקעות ולמזון האשה והבנות מנכסים משועבדין, מפני תיקון העולם...    </w:t>
      </w:r>
      <w:r w:rsidRPr="001D49D4">
        <w:rPr>
          <w:rFonts w:ascii="Calibri" w:eastAsia="Calibri" w:hAnsi="Calibri" w:cs="Arial"/>
          <w:u w:val="double"/>
          <w:rtl/>
        </w:rPr>
        <w:t>גמ'</w:t>
      </w:r>
      <w:r w:rsidRPr="001D49D4">
        <w:rPr>
          <w:rFonts w:ascii="Calibri" w:eastAsia="Calibri" w:hAnsi="Calibri" w:cs="Arial"/>
          <w:sz w:val="14"/>
          <w:szCs w:val="14"/>
          <w:u w:val="double"/>
          <w:rtl/>
        </w:rPr>
        <w:t xml:space="preserve"> (נ:)</w:t>
      </w:r>
      <w:r w:rsidRPr="001D49D4">
        <w:rPr>
          <w:rFonts w:ascii="Calibri" w:eastAsia="Calibri" w:hAnsi="Calibri" w:cs="Arial"/>
          <w:rtl/>
        </w:rPr>
        <w:t xml:space="preserve">: אין מוציאין לאכילת פירות. מאי טעמא? </w:t>
      </w:r>
      <w:r w:rsidRPr="001D49D4">
        <w:rPr>
          <w:rFonts w:ascii="Calibri" w:eastAsia="Calibri" w:hAnsi="Calibri" w:cs="Arial"/>
          <w:u w:val="single"/>
          <w:rtl/>
        </w:rPr>
        <w:t>אמר עולא אמר ריש לקיש</w:t>
      </w:r>
      <w:r w:rsidRPr="001D49D4">
        <w:rPr>
          <w:rFonts w:ascii="Calibri" w:eastAsia="Calibri" w:hAnsi="Calibri" w:cs="Arial"/>
          <w:rtl/>
        </w:rPr>
        <w:t xml:space="preserve">: לפי שאין כתובין. </w:t>
      </w:r>
      <w:r w:rsidRPr="001D49D4">
        <w:rPr>
          <w:rFonts w:ascii="Calibri" w:eastAsia="Calibri" w:hAnsi="Calibri" w:cs="Arial"/>
          <w:u w:val="single"/>
          <w:rtl/>
        </w:rPr>
        <w:t>אמר ליה רבי אבא לעולא</w:t>
      </w:r>
      <w:r w:rsidRPr="001D49D4">
        <w:rPr>
          <w:rFonts w:ascii="Calibri" w:eastAsia="Calibri" w:hAnsi="Calibri" w:cs="Arial"/>
          <w:rtl/>
        </w:rPr>
        <w:t xml:space="preserve">: והא מזון האשה והבנות דכמאן דכתיבי דמו, וקתני: אין מוציאין! </w:t>
      </w:r>
      <w:r w:rsidRPr="001D49D4">
        <w:rPr>
          <w:rFonts w:ascii="Calibri" w:eastAsia="Calibri" w:hAnsi="Calibri" w:cs="Arial"/>
          <w:u w:val="single"/>
          <w:rtl/>
        </w:rPr>
        <w:t>א"ל</w:t>
      </w:r>
      <w:r w:rsidRPr="001D49D4">
        <w:rPr>
          <w:rFonts w:ascii="Calibri" w:eastAsia="Calibri" w:hAnsi="Calibri" w:cs="Arial"/>
          <w:rtl/>
        </w:rPr>
        <w:t xml:space="preserve">: התם מעיקרא הכי אתקון, כתובין הן אצל בני חורין, ואין כתובין הן אצל משועבדין... </w:t>
      </w:r>
      <w:r w:rsidRPr="001D49D4">
        <w:rPr>
          <w:rFonts w:ascii="Calibri" w:eastAsia="Calibri" w:hAnsi="Calibri" w:cs="Arial"/>
          <w:u w:val="single"/>
          <w:rtl/>
        </w:rPr>
        <w:t>ר' חנינא אמר</w:t>
      </w:r>
      <w:r w:rsidRPr="001D49D4">
        <w:rPr>
          <w:rFonts w:ascii="Calibri" w:eastAsia="Calibri" w:hAnsi="Calibri" w:cs="Arial"/>
          <w:rtl/>
        </w:rPr>
        <w:t>: לפי שאין קצובין...</w:t>
      </w:r>
    </w:p>
    <w:p w14:paraId="72E13CAB" w14:textId="77777777" w:rsidR="001D49D4" w:rsidRPr="001D49D4" w:rsidRDefault="001D49D4" w:rsidP="0004348D">
      <w:pPr>
        <w:spacing w:before="360" w:after="240"/>
        <w:rPr>
          <w:rFonts w:ascii="Calibri" w:eastAsia="Calibri" w:hAnsi="Calibri" w:cs="Arial"/>
          <w:u w:val="single"/>
          <w:rtl/>
        </w:rPr>
      </w:pPr>
      <w:r w:rsidRPr="001D49D4">
        <w:rPr>
          <w:rFonts w:ascii="Calibri" w:eastAsia="Calibri" w:hAnsi="Calibri" w:cs="Arial"/>
          <w:u w:val="single"/>
          <w:rtl/>
        </w:rPr>
        <w:t>אדם שהתחייב ליתן דבר שאינו קצוב:</w:t>
      </w:r>
    </w:p>
    <w:p w14:paraId="45E15971" w14:textId="77777777" w:rsidR="001D49D4" w:rsidRPr="001D49D4" w:rsidRDefault="001D49D4" w:rsidP="0004348D">
      <w:pPr>
        <w:numPr>
          <w:ilvl w:val="0"/>
          <w:numId w:val="317"/>
        </w:numPr>
        <w:spacing w:before="360" w:after="240"/>
        <w:contextualSpacing/>
        <w:rPr>
          <w:rtl/>
        </w:rPr>
      </w:pPr>
      <w:r w:rsidRPr="001D49D4">
        <w:rPr>
          <w:rtl/>
        </w:rPr>
        <w:t xml:space="preserve">רמב"ם </w:t>
      </w:r>
      <w:r w:rsidRPr="001D49D4">
        <w:rPr>
          <w:sz w:val="16"/>
          <w:szCs w:val="16"/>
          <w:rtl/>
        </w:rPr>
        <w:t>(הל' מכירה פי"א הט"ז)</w:t>
      </w:r>
      <w:r w:rsidRPr="001D49D4">
        <w:rPr>
          <w:rtl/>
        </w:rPr>
        <w:t>- חייב עצמו בדבר שאינו קצוב, כגון שאמר 'הריני חייב לזון אותך או לכסות חמש שנים' - אע"פ שקנו מידו לא נשתעבד, שזה כמו מתנה היא ואין כאן דבר ידוע ומצוי שנתנו במתנה. וכזה הורו רבותי</w:t>
      </w:r>
      <w:r w:rsidRPr="001D49D4">
        <w:rPr>
          <w:vertAlign w:val="superscript"/>
          <w:rtl/>
        </w:rPr>
        <w:footnoteReference w:id="4541"/>
      </w:r>
      <w:r w:rsidRPr="001D49D4">
        <w:rPr>
          <w:rtl/>
        </w:rPr>
        <w:t xml:space="preserve">. </w:t>
      </w:r>
    </w:p>
    <w:p w14:paraId="71311E7D" w14:textId="77777777" w:rsidR="001D49D4" w:rsidRPr="001D49D4" w:rsidRDefault="001D49D4" w:rsidP="0004348D">
      <w:pPr>
        <w:numPr>
          <w:ilvl w:val="0"/>
          <w:numId w:val="317"/>
        </w:numPr>
        <w:spacing w:before="360" w:after="240"/>
        <w:contextualSpacing/>
        <w:rPr>
          <w:rtl/>
        </w:rPr>
      </w:pPr>
      <w:r w:rsidRPr="001D49D4">
        <w:rPr>
          <w:rtl/>
        </w:rPr>
        <w:t xml:space="preserve">ראב"ד </w:t>
      </w:r>
      <w:r w:rsidRPr="001D49D4">
        <w:rPr>
          <w:sz w:val="16"/>
          <w:szCs w:val="16"/>
          <w:rtl/>
        </w:rPr>
        <w:t xml:space="preserve">(בהשגות שם) </w:t>
      </w:r>
      <w:r w:rsidRPr="001D49D4">
        <w:rPr>
          <w:rtl/>
        </w:rPr>
        <w:t xml:space="preserve">רמב"ן </w:t>
      </w:r>
      <w:r w:rsidRPr="001D49D4">
        <w:rPr>
          <w:sz w:val="16"/>
          <w:szCs w:val="16"/>
          <w:rtl/>
        </w:rPr>
        <w:t>(כ"כ הטור והה"מ בשמו)</w:t>
      </w:r>
      <w:r w:rsidRPr="001D49D4">
        <w:rPr>
          <w:rtl/>
        </w:rPr>
        <w:t xml:space="preserve"> ורשב"א </w:t>
      </w:r>
      <w:r w:rsidRPr="001D49D4">
        <w:rPr>
          <w:sz w:val="16"/>
          <w:szCs w:val="16"/>
          <w:rtl/>
        </w:rPr>
        <w:t>(ח"ו סי' קעח, וכ"כ הה"מ בשמו)</w:t>
      </w:r>
      <w:r w:rsidRPr="001D49D4">
        <w:rPr>
          <w:rtl/>
        </w:rPr>
        <w:t>- מעשים בכל יום שאדם מחייב עצמו בקנין במה שיאמר פלוני במקח וממכר ובנדוניאות הבנות בין בדבר שיש לו קצבה בין בדבר שאין לו קצבה, שאין לאחר קנין כלום</w:t>
      </w:r>
      <w:r w:rsidRPr="001D49D4">
        <w:rPr>
          <w:sz w:val="16"/>
          <w:szCs w:val="16"/>
          <w:rtl/>
        </w:rPr>
        <w:t xml:space="preserve"> (ל' הרשב"א)</w:t>
      </w:r>
      <w:r w:rsidRPr="001D49D4">
        <w:rPr>
          <w:rtl/>
        </w:rPr>
        <w:t xml:space="preserve">. </w:t>
      </w:r>
    </w:p>
    <w:p w14:paraId="046B8478" w14:textId="77777777" w:rsidR="001D49D4" w:rsidRPr="001D49D4" w:rsidRDefault="001D49D4" w:rsidP="0004348D">
      <w:pPr>
        <w:numPr>
          <w:ilvl w:val="0"/>
          <w:numId w:val="317"/>
        </w:numPr>
        <w:spacing w:before="360" w:after="240"/>
        <w:contextualSpacing/>
        <w:rPr>
          <w:rtl/>
        </w:rPr>
      </w:pPr>
      <w:r w:rsidRPr="001D49D4">
        <w:rPr>
          <w:rtl/>
        </w:rPr>
        <w:t xml:space="preserve">טור- </w:t>
      </w:r>
      <w:r w:rsidRPr="001D49D4">
        <w:rPr>
          <w:vertAlign w:val="superscript"/>
          <w:rtl/>
        </w:rPr>
        <w:footnoteReference w:id="4542"/>
      </w:r>
      <w:r w:rsidRPr="001D49D4">
        <w:rPr>
          <w:rtl/>
        </w:rPr>
        <w:t>המחייב את עצמו בדבר שאין לו קצבה, כגון שאמר לחבירו 'הריני חייב לפרנסך או אתן לך כך וכך חטים בכל שנה', אע"פ שאין לו קצבה שמא יתייקרו החטים - הרי זה כשאר חוב, לפיכך אם לא קנו מידו ולא חייב עצמו בשטר גובה מבני חורין, אבל אם קנו מידו או שחייב את עצמו בשטר גובה ממשועבדין.</w:t>
      </w:r>
      <w:r w:rsidRPr="001D49D4">
        <w:rPr>
          <w:color w:val="E36C0A" w:themeColor="accent6" w:themeShade="BF"/>
          <w:rtl/>
        </w:rPr>
        <w:t xml:space="preserve"> </w:t>
      </w:r>
    </w:p>
    <w:p w14:paraId="2BC5A82B" w14:textId="77777777" w:rsidR="001D49D4" w:rsidRPr="001D49D4" w:rsidRDefault="001D49D4" w:rsidP="0004348D">
      <w:pPr>
        <w:spacing w:before="360" w:after="240"/>
        <w:ind w:left="360"/>
        <w:rPr>
          <w:rFonts w:ascii="Calibri" w:eastAsia="Calibri" w:hAnsi="Calibri" w:cs="Arial"/>
          <w:u w:val="dotted"/>
        </w:rPr>
      </w:pPr>
      <w:r w:rsidRPr="001D49D4">
        <w:rPr>
          <w:rFonts w:ascii="Calibri" w:eastAsia="Calibri" w:hAnsi="Calibri" w:cs="Arial"/>
          <w:u w:val="dotted"/>
          <w:rtl/>
        </w:rPr>
        <w:t>לדעת הרמב"ם – מה הדין במקרים הבאים:</w:t>
      </w:r>
    </w:p>
    <w:p w14:paraId="58D1326A" w14:textId="77777777" w:rsidR="001D49D4" w:rsidRPr="001D49D4" w:rsidRDefault="001D49D4" w:rsidP="0004348D">
      <w:pPr>
        <w:numPr>
          <w:ilvl w:val="0"/>
          <w:numId w:val="317"/>
        </w:numPr>
        <w:spacing w:before="360" w:after="240"/>
        <w:contextualSpacing/>
      </w:pPr>
      <w:r w:rsidRPr="001D49D4">
        <w:rPr>
          <w:rtl/>
        </w:rPr>
        <w:t xml:space="preserve">רשב"א </w:t>
      </w:r>
      <w:r w:rsidRPr="001D49D4">
        <w:rPr>
          <w:sz w:val="16"/>
          <w:szCs w:val="16"/>
          <w:rtl/>
        </w:rPr>
        <w:t>(ח"ב סי' פט)</w:t>
      </w:r>
      <w:r w:rsidRPr="001D49D4">
        <w:rPr>
          <w:rtl/>
        </w:rPr>
        <w:t>- שאלת, מי שחייב עצמו לחבירו בקנין לתת לו מנה בכל שנה כל ימי היותו סופר או חזן אי הוי כדבר שאינו קצוב לדעת הרמב"ם כיון שאין השנים קצובות. תשובה, נקרא קצוב, שהרי קצץ עיקר מה שהוא מתחייב והוא המנה, ואע"פ שאין קצבה להמשכת השנים. ולא עוד אלא אפילו לא קצץ סך ידוע אלא שאמר הריני מחייב עצמי בקנין לתת לך בכל שנה מעשר פירות היוצאים בשדה זו של השנה וכיוצא בזה הרי זה כקוצץ וחייב</w:t>
      </w:r>
      <w:r w:rsidRPr="001D49D4">
        <w:rPr>
          <w:vertAlign w:val="superscript"/>
          <w:rtl/>
        </w:rPr>
        <w:footnoteReference w:id="4543"/>
      </w:r>
      <w:r w:rsidRPr="001D49D4">
        <w:rPr>
          <w:rtl/>
        </w:rPr>
        <w:t xml:space="preserve">. </w:t>
      </w:r>
    </w:p>
    <w:p w14:paraId="6C880092" w14:textId="77777777" w:rsidR="001D49D4" w:rsidRPr="001D49D4" w:rsidRDefault="001D49D4" w:rsidP="0004348D">
      <w:pPr>
        <w:numPr>
          <w:ilvl w:val="0"/>
          <w:numId w:val="317"/>
        </w:numPr>
        <w:spacing w:before="360" w:after="240"/>
        <w:contextualSpacing/>
      </w:pPr>
      <w:r w:rsidRPr="001D49D4">
        <w:rPr>
          <w:rtl/>
        </w:rPr>
        <w:t xml:space="preserve">ספר התרומות </w:t>
      </w:r>
      <w:r w:rsidRPr="001D49D4">
        <w:rPr>
          <w:sz w:val="16"/>
          <w:szCs w:val="16"/>
          <w:rtl/>
        </w:rPr>
        <w:t xml:space="preserve">(שער ס"ד ח"א סי' ב) </w:t>
      </w:r>
      <w:r w:rsidRPr="001D49D4">
        <w:rPr>
          <w:rtl/>
        </w:rPr>
        <w:t xml:space="preserve">בשם הרמב"ן </w:t>
      </w:r>
      <w:r w:rsidRPr="001D49D4">
        <w:rPr>
          <w:sz w:val="16"/>
          <w:szCs w:val="16"/>
          <w:rtl/>
        </w:rPr>
        <w:t>(סי' סה)</w:t>
      </w:r>
      <w:r w:rsidRPr="001D49D4">
        <w:rPr>
          <w:rtl/>
        </w:rPr>
        <w:t xml:space="preserve">- מה ששאלת על דעת הרמב"ם אם קבל עליו לזון חמש שנים אם הוא דבר קצוב. אע"פ שהוא שלא כדעתינו - ודאי לאו קצובין הם, כדאמרינן באף על פי </w:t>
      </w:r>
      <w:r w:rsidRPr="001D49D4">
        <w:rPr>
          <w:sz w:val="16"/>
          <w:szCs w:val="16"/>
          <w:rtl/>
        </w:rPr>
        <w:t xml:space="preserve">(כתובות נט.) </w:t>
      </w:r>
      <w:r w:rsidRPr="001D49D4">
        <w:rPr>
          <w:rtl/>
        </w:rPr>
        <w:t>לאפוקי מזונות דלא קיצי, שמע מינה מזונות של כל יום ויום לא קיצי, דהתם לאו במזונות דלעולם קאמר, דאם כן אפילו מעשה ידיה לא קיצי</w:t>
      </w:r>
      <w:r w:rsidRPr="001D49D4">
        <w:rPr>
          <w:vertAlign w:val="superscript"/>
          <w:rtl/>
        </w:rPr>
        <w:footnoteReference w:id="4544"/>
      </w:r>
      <w:r w:rsidRPr="001D49D4">
        <w:rPr>
          <w:rtl/>
        </w:rPr>
        <w:t>. וכן האומר מדות כך וכך של חטים אני נותן לך לכל שנה ושנה מכאן ועד חמש שנים - דבר שאינו קצוב הוא, שמא יוקרו החטים הרבה</w:t>
      </w:r>
      <w:r w:rsidRPr="001D49D4">
        <w:rPr>
          <w:vertAlign w:val="superscript"/>
          <w:rtl/>
        </w:rPr>
        <w:footnoteReference w:id="4545"/>
      </w:r>
      <w:r w:rsidRPr="001D49D4">
        <w:rPr>
          <w:rtl/>
        </w:rPr>
        <w:t>.</w:t>
      </w:r>
    </w:p>
    <w:p w14:paraId="388AC8BE" w14:textId="77777777" w:rsidR="001D49D4" w:rsidRPr="001D49D4" w:rsidRDefault="001D49D4" w:rsidP="0004348D">
      <w:pPr>
        <w:spacing w:before="360" w:after="240"/>
        <w:rPr>
          <w:rFonts w:ascii="Arial" w:eastAsia="Calibri" w:hAnsi="Arial" w:cs="Arial"/>
          <w:b/>
          <w:bCs/>
          <w:color w:val="000000"/>
          <w:sz w:val="28"/>
          <w:szCs w:val="28"/>
          <w:u w:val="single"/>
          <w:rtl/>
        </w:rPr>
      </w:pPr>
      <w:r w:rsidRPr="001D49D4">
        <w:rPr>
          <w:rFonts w:ascii="Arial" w:eastAsia="Calibri" w:hAnsi="Arial" w:cs="Arial"/>
          <w:b/>
          <w:bCs/>
          <w:color w:val="000000"/>
          <w:sz w:val="28"/>
          <w:szCs w:val="28"/>
          <w:u w:val="single"/>
          <w:rtl/>
        </w:rPr>
        <w:t>שו"ע:</w:t>
      </w:r>
    </w:p>
    <w:p w14:paraId="3F43E37C"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rtl/>
        </w:rPr>
        <w:t>המחייב עצמו בדבר שאינו קצוב, כגון שנתחייב לזון את חבירו או לכסותו חמש שנים</w:t>
      </w:r>
      <w:r w:rsidRPr="001D49D4">
        <w:rPr>
          <w:rFonts w:ascii="Calibri" w:eastAsia="Calibri" w:hAnsi="Calibri" w:cs="Arial"/>
          <w:vertAlign w:val="superscript"/>
          <w:rtl/>
        </w:rPr>
        <w:footnoteReference w:id="4546"/>
      </w:r>
      <w:r w:rsidRPr="001D49D4">
        <w:rPr>
          <w:rFonts w:ascii="Calibri" w:eastAsia="Calibri" w:hAnsi="Calibri" w:cs="Arial"/>
          <w:rtl/>
        </w:rPr>
        <w:t xml:space="preserve">, </w:t>
      </w:r>
      <w:r w:rsidRPr="001D49D4">
        <w:rPr>
          <w:rFonts w:ascii="Calibri" w:eastAsia="Calibri" w:hAnsi="Calibri" w:cs="Arial"/>
          <w:sz w:val="18"/>
          <w:szCs w:val="18"/>
          <w:rtl/>
        </w:rPr>
        <w:t>[הגה] או שלא נתן קצבה לשנים</w:t>
      </w:r>
      <w:r w:rsidRPr="001D49D4">
        <w:rPr>
          <w:rFonts w:ascii="Calibri" w:eastAsia="Calibri" w:hAnsi="Calibri" w:cs="Arial"/>
          <w:sz w:val="18"/>
          <w:szCs w:val="18"/>
          <w:vertAlign w:val="superscript"/>
          <w:rtl/>
        </w:rPr>
        <w:footnoteReference w:id="4547"/>
      </w:r>
      <w:r w:rsidRPr="001D49D4">
        <w:rPr>
          <w:rFonts w:ascii="Calibri" w:eastAsia="Calibri" w:hAnsi="Calibri" w:cs="Arial"/>
          <w:sz w:val="18"/>
          <w:szCs w:val="18"/>
          <w:rtl/>
        </w:rPr>
        <w:t xml:space="preserve"> (ב"י בשם הרשב"א)</w:t>
      </w:r>
      <w:r w:rsidRPr="001D49D4">
        <w:rPr>
          <w:rFonts w:ascii="Calibri" w:eastAsia="Calibri" w:hAnsi="Calibri" w:cs="Arial"/>
          <w:rtl/>
        </w:rPr>
        <w:t>, אף על פי שקנו מידו לא נשתעבד להרמב"ם, וחלקו עליו כל הבאים אחריו לומר שהוא משתעבד, והכי נקטינן</w:t>
      </w:r>
      <w:r w:rsidRPr="001D49D4">
        <w:rPr>
          <w:rFonts w:ascii="Calibri" w:eastAsia="Calibri" w:hAnsi="Calibri" w:cs="Arial"/>
          <w:vertAlign w:val="superscript"/>
          <w:rtl/>
        </w:rPr>
        <w:footnoteReference w:id="4548"/>
      </w:r>
      <w:r w:rsidRPr="001D49D4">
        <w:rPr>
          <w:rFonts w:ascii="Calibri" w:eastAsia="Calibri" w:hAnsi="Calibri" w:cs="Arial"/>
          <w:rtl/>
        </w:rPr>
        <w:t xml:space="preserve"> </w:t>
      </w:r>
      <w:r w:rsidRPr="001D49D4">
        <w:rPr>
          <w:rFonts w:ascii="Calibri" w:eastAsia="Calibri" w:hAnsi="Calibri" w:cs="Arial"/>
          <w:sz w:val="18"/>
          <w:szCs w:val="18"/>
          <w:rtl/>
        </w:rPr>
        <w:t>[הגה] ועיין להלן סוף סימן ר"ז</w:t>
      </w:r>
      <w:r w:rsidRPr="001D49D4">
        <w:rPr>
          <w:rFonts w:ascii="Calibri" w:eastAsia="Calibri" w:hAnsi="Calibri" w:cs="Arial"/>
          <w:rtl/>
        </w:rPr>
        <w:t>.</w:t>
      </w:r>
    </w:p>
    <w:p w14:paraId="2A7AEA4F" w14:textId="77777777" w:rsidR="001D49D4" w:rsidRPr="001D49D4" w:rsidRDefault="001D49D4" w:rsidP="0004348D">
      <w:pPr>
        <w:spacing w:before="360" w:after="240"/>
        <w:rPr>
          <w:rFonts w:ascii="Calibri" w:eastAsia="Calibri" w:hAnsi="Calibri" w:cs="Arial"/>
          <w:rtl/>
        </w:rPr>
      </w:pPr>
    </w:p>
    <w:p w14:paraId="487B9F82" w14:textId="77777777" w:rsidR="001D49D4" w:rsidRPr="001D49D4" w:rsidRDefault="001D49D4" w:rsidP="0004348D">
      <w:pPr>
        <w:keepNext/>
        <w:keepLines/>
        <w:spacing w:before="360" w:after="240"/>
        <w:outlineLvl w:val="1"/>
        <w:rPr>
          <w:rFonts w:ascii="Cambria" w:eastAsia="Times New Roman" w:hAnsi="Cambria" w:cs="Arial"/>
          <w:bCs/>
          <w:color w:val="548DD4" w:themeColor="text2" w:themeTint="99"/>
          <w:sz w:val="26"/>
          <w:szCs w:val="26"/>
          <w:rtl/>
        </w:rPr>
      </w:pPr>
      <w:bookmarkStart w:id="609" w:name="_Toc24884035"/>
      <w:r w:rsidRPr="001D49D4">
        <w:rPr>
          <w:rFonts w:ascii="Cambria" w:eastAsia="Times New Roman" w:hAnsi="Cambria" w:cs="Arial"/>
          <w:bCs/>
          <w:color w:val="548DD4" w:themeColor="text2" w:themeTint="99"/>
          <w:sz w:val="26"/>
          <w:szCs w:val="26"/>
          <w:rtl/>
        </w:rPr>
        <w:t>סעיף ג: המתחייב לזון את חבירו.</w:t>
      </w:r>
      <w:bookmarkEnd w:id="609"/>
    </w:p>
    <w:p w14:paraId="49A30AA7"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b/>
          <w:bCs/>
          <w:rtl/>
        </w:rPr>
        <w:t xml:space="preserve">כתובות </w:t>
      </w:r>
      <w:r w:rsidRPr="001D49D4">
        <w:rPr>
          <w:rFonts w:ascii="Calibri" w:eastAsia="Calibri" w:hAnsi="Calibri" w:cs="Arial"/>
          <w:b/>
          <w:bCs/>
          <w:sz w:val="16"/>
          <w:szCs w:val="16"/>
          <w:rtl/>
        </w:rPr>
        <w:t xml:space="preserve">(ר"פ הנושא) </w:t>
      </w:r>
      <w:r w:rsidRPr="001D49D4">
        <w:rPr>
          <w:rFonts w:ascii="Calibri" w:eastAsia="Calibri" w:hAnsi="Calibri" w:cs="Arial"/>
          <w:b/>
          <w:bCs/>
          <w:rtl/>
        </w:rPr>
        <w:t>קא</w:t>
      </w:r>
      <w:r w:rsidRPr="001D49D4">
        <w:rPr>
          <w:rFonts w:ascii="Calibri" w:eastAsia="Calibri" w:hAnsi="Calibri" w:cs="Arial"/>
          <w:b/>
          <w:bCs/>
          <w:vertAlign w:val="superscript"/>
          <w:rtl/>
        </w:rPr>
        <w:footnoteReference w:id="4549"/>
      </w:r>
      <w:r w:rsidRPr="001D49D4">
        <w:rPr>
          <w:rFonts w:ascii="Calibri" w:eastAsia="Calibri" w:hAnsi="Calibri" w:cs="Arial"/>
          <w:b/>
          <w:bCs/>
          <w:rtl/>
        </w:rPr>
        <w:t xml:space="preserve"> ע"ב:</w:t>
      </w:r>
      <w:r w:rsidRPr="001D49D4">
        <w:rPr>
          <w:rFonts w:ascii="Calibri" w:eastAsia="Calibri" w:hAnsi="Calibri" w:cs="Arial"/>
          <w:rtl/>
        </w:rPr>
        <w:t xml:space="preserve"> </w:t>
      </w:r>
      <w:r w:rsidRPr="001D49D4">
        <w:rPr>
          <w:rFonts w:ascii="Calibri" w:eastAsia="Calibri" w:hAnsi="Calibri" w:cs="Arial"/>
          <w:u w:val="double"/>
          <w:rtl/>
        </w:rPr>
        <w:t>מתני'</w:t>
      </w:r>
      <w:r w:rsidRPr="001D49D4">
        <w:rPr>
          <w:rFonts w:ascii="Calibri" w:eastAsia="Calibri" w:hAnsi="Calibri" w:cs="Arial"/>
          <w:rtl/>
        </w:rPr>
        <w:t>: הנושא את האשה, ופסקה עמו כדי שיזון את בתה חמש שנים - חייב לזונה חמש שנים. ניסת לאחר, ופסקה עמו כדי שיזון את בתה חמש שנים - חייב לזונה חמש שנים. לא יאמר הראשון לכשתבא אצלי אזונה, אלא מוליך לה מזונותיה למקום שאמה. וכן לא יאמרו שניהם הרי אנו זנין אותה כאחד, אלא אחד זנה ואחד נותן לה דמי מזונות. ניסת - הבעל נותן לה מזונות, והן נותנין לה דמי מזונות. מתו - בנותיהן ניזונות מנכסים בני חורין, והיא ניזונת מנכסים משועבדים, מפני שהיא כבעלת חוב. הפקחים היו כותבים ע"מ שאזון את בתך חמש שנים כל זמן שאת עמי.</w:t>
      </w:r>
    </w:p>
    <w:p w14:paraId="0EDC8D00"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b/>
          <w:bCs/>
          <w:rtl/>
        </w:rPr>
        <w:t xml:space="preserve">כתובות </w:t>
      </w:r>
      <w:r w:rsidRPr="001D49D4">
        <w:rPr>
          <w:rFonts w:ascii="Calibri" w:eastAsia="Calibri" w:hAnsi="Calibri" w:cs="Arial"/>
          <w:b/>
          <w:bCs/>
          <w:sz w:val="16"/>
          <w:szCs w:val="16"/>
          <w:rtl/>
        </w:rPr>
        <w:t xml:space="preserve">(ר"פ הנושא) </w:t>
      </w:r>
      <w:r w:rsidRPr="001D49D4">
        <w:rPr>
          <w:rFonts w:ascii="Calibri" w:eastAsia="Calibri" w:hAnsi="Calibri" w:cs="Arial"/>
          <w:b/>
          <w:bCs/>
          <w:rtl/>
        </w:rPr>
        <w:t>קג</w:t>
      </w:r>
      <w:r w:rsidRPr="001D49D4">
        <w:rPr>
          <w:rFonts w:ascii="Calibri" w:eastAsia="Calibri" w:hAnsi="Calibri" w:cs="Arial"/>
          <w:b/>
          <w:bCs/>
          <w:vertAlign w:val="superscript"/>
          <w:rtl/>
        </w:rPr>
        <w:footnoteReference w:id="4550"/>
      </w:r>
      <w:r w:rsidRPr="001D49D4">
        <w:rPr>
          <w:rFonts w:ascii="Calibri" w:eastAsia="Calibri" w:hAnsi="Calibri" w:cs="Arial"/>
          <w:b/>
          <w:bCs/>
          <w:rtl/>
        </w:rPr>
        <w:t xml:space="preserve"> ע"א:</w:t>
      </w:r>
      <w:r w:rsidRPr="001D49D4">
        <w:rPr>
          <w:rFonts w:ascii="Calibri" w:eastAsia="Calibri" w:hAnsi="Calibri" w:cs="Arial"/>
          <w:u w:val="double"/>
          <w:rtl/>
        </w:rPr>
        <w:t xml:space="preserve"> מתני'</w:t>
      </w:r>
      <w:r w:rsidRPr="001D49D4">
        <w:rPr>
          <w:rFonts w:ascii="Calibri" w:eastAsia="Calibri" w:hAnsi="Calibri" w:cs="Arial"/>
          <w:rtl/>
        </w:rPr>
        <w:t>: אלמנה שאמרה אי אפשי לזוז מבית בעלי, אין היורשין יכולין לומר לה לכי לבית אביך ואנו זנין אותך, אלא זנין אותה ונותנין לה מדור לפי כבודה. אמרה אי אפשי לזוז מבית אבא, יכולין היורשין לומר לה אם את אצלנו יש ליך מזונות, ואם אין את אצלנו אין ליך מזונות. אם היתה טוענת</w:t>
      </w:r>
      <w:r w:rsidRPr="001D49D4">
        <w:rPr>
          <w:rFonts w:ascii="Calibri" w:eastAsia="Calibri" w:hAnsi="Calibri" w:cs="Arial"/>
          <w:vertAlign w:val="superscript"/>
          <w:rtl/>
        </w:rPr>
        <w:footnoteReference w:id="4551"/>
      </w:r>
      <w:r w:rsidRPr="001D49D4">
        <w:rPr>
          <w:rFonts w:ascii="Calibri" w:eastAsia="Calibri" w:hAnsi="Calibri" w:cs="Arial"/>
          <w:rtl/>
        </w:rPr>
        <w:t xml:space="preserve"> מפני שהיא ילדה והן ילדים, זנין אותה והיא בבית אביה.     </w:t>
      </w:r>
      <w:r w:rsidRPr="001D49D4">
        <w:rPr>
          <w:rFonts w:ascii="Calibri" w:eastAsia="Calibri" w:hAnsi="Calibri" w:cs="Arial"/>
          <w:u w:val="double"/>
          <w:rtl/>
        </w:rPr>
        <w:t>גמ'</w:t>
      </w:r>
      <w:r w:rsidRPr="001D49D4">
        <w:rPr>
          <w:rFonts w:ascii="Calibri" w:eastAsia="Calibri" w:hAnsi="Calibri" w:cs="Arial"/>
          <w:rtl/>
        </w:rPr>
        <w:t>: אמרה אי אפשי. וליתבו לה כי יתבה התם! מסייע ליה לרב הונא, דאמר רב הונא: ברכת הבית ברובה</w:t>
      </w:r>
      <w:r w:rsidRPr="001D49D4">
        <w:rPr>
          <w:rFonts w:ascii="Calibri" w:eastAsia="Calibri" w:hAnsi="Calibri" w:cs="Arial"/>
          <w:vertAlign w:val="superscript"/>
          <w:rtl/>
        </w:rPr>
        <w:footnoteReference w:id="4552"/>
      </w:r>
      <w:r w:rsidRPr="001D49D4">
        <w:rPr>
          <w:rFonts w:ascii="Calibri" w:eastAsia="Calibri" w:hAnsi="Calibri" w:cs="Arial"/>
          <w:rtl/>
        </w:rPr>
        <w:t>. וליתבו לה</w:t>
      </w:r>
      <w:r w:rsidRPr="001D49D4">
        <w:rPr>
          <w:rFonts w:ascii="Calibri" w:eastAsia="Calibri" w:hAnsi="Calibri" w:cs="Arial"/>
          <w:vertAlign w:val="superscript"/>
          <w:rtl/>
        </w:rPr>
        <w:footnoteReference w:id="4553"/>
      </w:r>
      <w:r w:rsidRPr="001D49D4">
        <w:rPr>
          <w:rFonts w:ascii="Calibri" w:eastAsia="Calibri" w:hAnsi="Calibri" w:cs="Arial"/>
          <w:rtl/>
        </w:rPr>
        <w:t xml:space="preserve"> לפי ברכת הבית! ה"נ.</w:t>
      </w:r>
    </w:p>
    <w:p w14:paraId="3E19F4CB"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b/>
          <w:bCs/>
          <w:rtl/>
        </w:rPr>
        <w:t>ירושלמי כתובות פי"ב ה"א:</w:t>
      </w:r>
      <w:r w:rsidRPr="001D49D4">
        <w:rPr>
          <w:rFonts w:ascii="Calibri" w:eastAsia="Calibri" w:hAnsi="Calibri" w:cs="Arial"/>
          <w:rtl/>
        </w:rPr>
        <w:t xml:space="preserve"> הוא רוצה שתבוא אצלו, והיא אינה רוצה - הדין עמה, דתנינן והן נותנין לה דמי מזונות. חלת כמי שנישאת.</w:t>
      </w:r>
    </w:p>
    <w:p w14:paraId="04D0E7A4" w14:textId="77777777" w:rsidR="001D49D4" w:rsidRPr="001D49D4" w:rsidRDefault="001D49D4" w:rsidP="0004348D">
      <w:pPr>
        <w:spacing w:before="360" w:after="240"/>
        <w:rPr>
          <w:rFonts w:ascii="Calibri" w:eastAsia="Calibri" w:hAnsi="Calibri" w:cs="Arial"/>
          <w:u w:val="single"/>
          <w:rtl/>
        </w:rPr>
      </w:pPr>
      <w:r w:rsidRPr="001D49D4">
        <w:rPr>
          <w:rFonts w:ascii="Calibri" w:eastAsia="Calibri" w:hAnsi="Calibri" w:cs="Arial"/>
          <w:u w:val="single"/>
          <w:rtl/>
        </w:rPr>
        <w:t>המתחייב לזון את חבירו:</w:t>
      </w:r>
    </w:p>
    <w:p w14:paraId="5D533486" w14:textId="77777777" w:rsidR="001D49D4" w:rsidRPr="001D49D4" w:rsidRDefault="001D49D4" w:rsidP="0004348D">
      <w:pPr>
        <w:numPr>
          <w:ilvl w:val="0"/>
          <w:numId w:val="318"/>
        </w:numPr>
        <w:spacing w:before="360" w:after="240"/>
        <w:contextualSpacing/>
        <w:rPr>
          <w:rtl/>
        </w:rPr>
      </w:pPr>
      <w:r w:rsidRPr="001D49D4">
        <w:rPr>
          <w:rtl/>
        </w:rPr>
        <w:t xml:space="preserve">ריטב"א </w:t>
      </w:r>
      <w:r w:rsidRPr="001D49D4">
        <w:rPr>
          <w:sz w:val="16"/>
          <w:szCs w:val="16"/>
          <w:rtl/>
        </w:rPr>
        <w:t>(סי' קסג)</w:t>
      </w:r>
      <w:r w:rsidRPr="001D49D4">
        <w:rPr>
          <w:rtl/>
        </w:rPr>
        <w:t xml:space="preserve">- כך דעתי ודעת רבותי שכל המחייב עצמו בקנין לזון את חבירו זמן ידוע - חייב לזונו הזמן ההוא ואע"פ שלא נתן קצבה למזונות. ואע"פ שהרמב"ם חולק בזה לא הסכימו עמו גדולי בעלי הוראה ז"ל, וכך רבותי עושים מעשה בכל יום לפי שהדבר מוכרע להם מכמה מקומות. ואם החיוב היה בשטר - גובה מנכסים משועבדים, כדתנן בפרק הנושא </w:t>
      </w:r>
      <w:r w:rsidRPr="001D49D4">
        <w:rPr>
          <w:sz w:val="16"/>
          <w:szCs w:val="16"/>
          <w:rtl/>
        </w:rPr>
        <w:t xml:space="preserve">(קא:) </w:t>
      </w:r>
      <w:r w:rsidRPr="001D49D4">
        <w:rPr>
          <w:rtl/>
        </w:rPr>
        <w:t xml:space="preserve">על הפוסק לזון את בת אשתו. ואם חייב עצמו לזונו סתם - חייב לתת לו דמי מזונות בכל מקום שהוא, וכדמוכח להדיא מההיא דקתני </w:t>
      </w:r>
      <w:r w:rsidRPr="001D49D4">
        <w:rPr>
          <w:sz w:val="16"/>
          <w:szCs w:val="16"/>
          <w:rtl/>
        </w:rPr>
        <w:t xml:space="preserve">(שם) </w:t>
      </w:r>
      <w:r w:rsidRPr="001D49D4">
        <w:rPr>
          <w:rtl/>
        </w:rPr>
        <w:t xml:space="preserve">לא יאמר הראשון לכשתבא אצלי אזונה. וגרסינן בירושלמי </w:t>
      </w:r>
      <w:r w:rsidRPr="001D49D4">
        <w:rPr>
          <w:sz w:val="16"/>
          <w:szCs w:val="16"/>
          <w:rtl/>
        </w:rPr>
        <w:t xml:space="preserve">(כתובות שם ה"א) </w:t>
      </w:r>
      <w:r w:rsidRPr="001D49D4">
        <w:rPr>
          <w:rtl/>
        </w:rPr>
        <w:t xml:space="preserve">המקבל עליו לזון את כלתו היא אומרת מעות והוא אומר פירות - הדין עמה. ואם התנה בפירוש לזון אותו על שולחנו והוא אינו רוצה לאכול עמו יכול הוא לומר אם אין את אצלי אין לך מזונות, וכדרך שאמרו בפרק הנושא </w:t>
      </w:r>
      <w:r w:rsidRPr="001D49D4">
        <w:rPr>
          <w:sz w:val="16"/>
          <w:szCs w:val="16"/>
          <w:rtl/>
        </w:rPr>
        <w:t xml:space="preserve">(קג.) </w:t>
      </w:r>
      <w:r w:rsidRPr="001D49D4">
        <w:rPr>
          <w:rtl/>
        </w:rPr>
        <w:t xml:space="preserve">על אלמנה שאמרה אי איפשי לזוז מבית אבא, ומ"מ נותן לו לפי ברכת הבית כדאמרינן התם </w:t>
      </w:r>
      <w:r w:rsidRPr="001D49D4">
        <w:rPr>
          <w:sz w:val="16"/>
          <w:szCs w:val="16"/>
          <w:rtl/>
        </w:rPr>
        <w:t xml:space="preserve">(שם) </w:t>
      </w:r>
      <w:r w:rsidRPr="001D49D4">
        <w:rPr>
          <w:rtl/>
        </w:rPr>
        <w:t>בהדיא גבי אלמנה. ואף בזה אם העיכוב אינו מחמת הנזון אלא מחמת המתחייב לזונו, כגון שאינו רוצה לזונו, ודאי חייב לתת לו דמי מזונות וכדרך שעושים לאלמנה שאין היתומים רוצים לזונה עמהם שתקנת מזונותיה היא על שלחן בעלה או על שולחנם. ומזה הטעם אני אומר שאם מת המתחייב חייבים היורשים לזונו מנכסיו לפי ברכת הבית או לתת לו דמי מזונות, כי אע"פ שמת המתחייב לא נפטר מחיובו לפי שהתנה לזונו על שולחנו, שלא התנה לזונו על שלחנו אלא כדי שלא יתחייב לתת לו דמי מזונות שלמים בכל מקום שהוא שם אם לא ירצה לאכול שם כדרך שהיה חייב אם נתחייב לזונו סתם. ושנים שנתחייבו לזון לאחד דינו כדין שנים שלוו מאחד שכל אחד חייב בחלקו וחייב בחלק חברו</w:t>
      </w:r>
      <w:r w:rsidRPr="001D49D4">
        <w:rPr>
          <w:vertAlign w:val="superscript"/>
          <w:rtl/>
        </w:rPr>
        <w:footnoteReference w:id="4554"/>
      </w:r>
      <w:r w:rsidRPr="001D49D4">
        <w:rPr>
          <w:rtl/>
        </w:rPr>
        <w:t xml:space="preserve">. </w:t>
      </w:r>
      <w:r w:rsidRPr="001D49D4">
        <w:rPr>
          <w:color w:val="E36C0A" w:themeColor="accent6" w:themeShade="BF"/>
          <w:rtl/>
        </w:rPr>
        <w:t>(וכ"פ בשו"ע</w:t>
      </w:r>
      <w:r w:rsidRPr="001D49D4">
        <w:rPr>
          <w:color w:val="000000" w:themeColor="text1"/>
          <w:sz w:val="16"/>
          <w:szCs w:val="16"/>
          <w:rtl/>
        </w:rPr>
        <w:t xml:space="preserve"> [כאן ובסע' ד-ה]</w:t>
      </w:r>
      <w:r w:rsidRPr="001D49D4">
        <w:rPr>
          <w:color w:val="E36C0A" w:themeColor="accent6" w:themeShade="BF"/>
          <w:rtl/>
        </w:rPr>
        <w:t>)</w:t>
      </w:r>
    </w:p>
    <w:p w14:paraId="5C12F07D" w14:textId="77777777" w:rsidR="001D49D4" w:rsidRPr="001D49D4" w:rsidRDefault="001D49D4" w:rsidP="0004348D">
      <w:pPr>
        <w:spacing w:before="360" w:after="240"/>
        <w:rPr>
          <w:rFonts w:ascii="Calibri" w:eastAsia="Calibri" w:hAnsi="Calibri" w:cs="Arial"/>
          <w:sz w:val="16"/>
          <w:szCs w:val="16"/>
        </w:rPr>
      </w:pPr>
      <w:r w:rsidRPr="001D49D4">
        <w:rPr>
          <w:rFonts w:ascii="Calibri" w:eastAsia="Calibri" w:hAnsi="Calibri" w:cs="Arial"/>
          <w:b/>
          <w:bCs/>
          <w:rtl/>
        </w:rPr>
        <w:t xml:space="preserve">גיטין </w:t>
      </w:r>
      <w:r w:rsidRPr="001D49D4">
        <w:rPr>
          <w:rFonts w:ascii="Calibri" w:eastAsia="Calibri" w:hAnsi="Calibri" w:cs="Arial"/>
          <w:b/>
          <w:bCs/>
          <w:sz w:val="16"/>
          <w:szCs w:val="16"/>
          <w:rtl/>
        </w:rPr>
        <w:t>(פ' מי שאחזו)</w:t>
      </w:r>
      <w:r w:rsidRPr="001D49D4">
        <w:rPr>
          <w:rFonts w:ascii="Calibri" w:eastAsia="Calibri" w:hAnsi="Calibri" w:cs="Arial"/>
          <w:b/>
          <w:bCs/>
          <w:rtl/>
        </w:rPr>
        <w:t xml:space="preserve"> מח</w:t>
      </w:r>
      <w:r w:rsidRPr="001D49D4">
        <w:rPr>
          <w:rFonts w:ascii="Calibri" w:eastAsia="Calibri" w:hAnsi="Calibri" w:cs="Arial"/>
          <w:vertAlign w:val="superscript"/>
          <w:rtl/>
        </w:rPr>
        <w:footnoteReference w:id="4555"/>
      </w:r>
      <w:r w:rsidRPr="001D49D4">
        <w:rPr>
          <w:rFonts w:ascii="Calibri" w:eastAsia="Calibri" w:hAnsi="Calibri" w:cs="Arial"/>
          <w:b/>
          <w:bCs/>
          <w:rtl/>
        </w:rPr>
        <w:t xml:space="preserve"> ע"ב:</w:t>
      </w:r>
      <w:r w:rsidRPr="001D49D4">
        <w:rPr>
          <w:rFonts w:ascii="Calibri" w:eastAsia="Calibri" w:hAnsi="Calibri" w:cs="Arial"/>
          <w:rtl/>
        </w:rPr>
        <w:t xml:space="preserve"> </w:t>
      </w:r>
      <w:r w:rsidRPr="001D49D4">
        <w:rPr>
          <w:rFonts w:ascii="Calibri" w:eastAsia="Calibri" w:hAnsi="Calibri" w:cs="Arial"/>
          <w:u w:val="double"/>
          <w:rtl/>
        </w:rPr>
        <w:t>מתני'</w:t>
      </w:r>
      <w:r w:rsidRPr="001D49D4">
        <w:rPr>
          <w:rFonts w:ascii="Calibri" w:eastAsia="Calibri" w:hAnsi="Calibri" w:cs="Arial"/>
          <w:rtl/>
        </w:rPr>
        <w:t>: הרי זה גיטיך ע"מ שתשמשי את אבא, על מנת שתניקי את בני, כמה היא מניקתו? שתי שנים</w:t>
      </w:r>
      <w:r w:rsidRPr="001D49D4">
        <w:rPr>
          <w:rFonts w:ascii="Calibri" w:eastAsia="Calibri" w:hAnsi="Calibri" w:cs="Arial"/>
          <w:vertAlign w:val="superscript"/>
          <w:rtl/>
        </w:rPr>
        <w:footnoteReference w:id="4556"/>
      </w:r>
      <w:r w:rsidRPr="001D49D4">
        <w:rPr>
          <w:rFonts w:ascii="Calibri" w:eastAsia="Calibri" w:hAnsi="Calibri" w:cs="Arial"/>
          <w:rtl/>
        </w:rPr>
        <w:t xml:space="preserve">, </w:t>
      </w:r>
      <w:r w:rsidRPr="001D49D4">
        <w:rPr>
          <w:rFonts w:ascii="Calibri" w:eastAsia="Calibri" w:hAnsi="Calibri" w:cs="Arial"/>
          <w:u w:val="single"/>
          <w:rtl/>
        </w:rPr>
        <w:t>רבי יהודה אומר</w:t>
      </w:r>
      <w:r w:rsidRPr="001D49D4">
        <w:rPr>
          <w:rFonts w:ascii="Calibri" w:eastAsia="Calibri" w:hAnsi="Calibri" w:cs="Arial"/>
          <w:rtl/>
        </w:rPr>
        <w:t xml:space="preserve">: שמנה עשר חדש...   </w:t>
      </w:r>
      <w:r w:rsidRPr="001D49D4">
        <w:rPr>
          <w:rFonts w:ascii="Calibri" w:eastAsia="Calibri" w:hAnsi="Calibri" w:cs="Arial"/>
          <w:u w:val="double"/>
          <w:rtl/>
        </w:rPr>
        <w:t>גמ'</w:t>
      </w:r>
      <w:r w:rsidRPr="001D49D4">
        <w:rPr>
          <w:rFonts w:ascii="Calibri" w:eastAsia="Calibri" w:hAnsi="Calibri" w:cs="Arial"/>
          <w:rtl/>
        </w:rPr>
        <w:t xml:space="preserve">: ומי בעינן כולי האי? ורמינהי: שמשתו יום אחד, הניקתו יום אחד - ה"ז גט!... </w:t>
      </w:r>
      <w:r w:rsidRPr="001D49D4">
        <w:rPr>
          <w:rFonts w:ascii="Calibri" w:eastAsia="Calibri" w:hAnsi="Calibri" w:cs="Arial"/>
          <w:u w:val="single"/>
          <w:rtl/>
        </w:rPr>
        <w:t>רבא אמר</w:t>
      </w:r>
      <w:r w:rsidRPr="001D49D4">
        <w:rPr>
          <w:rFonts w:ascii="Calibri" w:eastAsia="Calibri" w:hAnsi="Calibri" w:cs="Arial"/>
          <w:rtl/>
        </w:rPr>
        <w:t>: לא קשיא: כאן בסתם</w:t>
      </w:r>
      <w:r w:rsidRPr="001D49D4">
        <w:rPr>
          <w:rFonts w:ascii="Calibri" w:eastAsia="Calibri" w:hAnsi="Calibri" w:cs="Arial"/>
          <w:vertAlign w:val="superscript"/>
          <w:rtl/>
        </w:rPr>
        <w:footnoteReference w:id="4557"/>
      </w:r>
      <w:r w:rsidRPr="001D49D4">
        <w:rPr>
          <w:rFonts w:ascii="Calibri" w:eastAsia="Calibri" w:hAnsi="Calibri" w:cs="Arial"/>
          <w:rtl/>
        </w:rPr>
        <w:t xml:space="preserve">, כאן במפרש. </w:t>
      </w:r>
      <w:r w:rsidRPr="001D49D4">
        <w:rPr>
          <w:rFonts w:ascii="Calibri" w:eastAsia="Calibri" w:hAnsi="Calibri" w:cs="Arial"/>
          <w:u w:val="single"/>
          <w:rtl/>
        </w:rPr>
        <w:t>רב אשי אמר</w:t>
      </w:r>
      <w:r w:rsidRPr="001D49D4">
        <w:rPr>
          <w:rFonts w:ascii="Calibri" w:eastAsia="Calibri" w:hAnsi="Calibri" w:cs="Arial"/>
          <w:rtl/>
        </w:rPr>
        <w:t xml:space="preserve">: כל סתם נמי כמפרש יום אחד דמי. תנן: כמה היא מניקתו? שתי שנים, רבי יהודה אומר: שמנה עשר חדש; בשלמא לרבא ניחא, אלא לרב אשי, למה לי שתי שנים? למה לי שמנה עשר חדש? ביום אחד סגי! הכי קאמר: יום אחד משתי שנים, לאפוקי לאחר שתי שנים דלא; יום אחד משמנה עשר חדש, לאפוקי לאחר שמנה עשר חדש דלא. </w:t>
      </w:r>
      <w:r w:rsidRPr="001D49D4">
        <w:rPr>
          <w:rFonts w:ascii="Calibri" w:eastAsia="Calibri" w:hAnsi="Calibri" w:cs="Arial"/>
          <w:sz w:val="16"/>
          <w:szCs w:val="16"/>
          <w:rtl/>
        </w:rPr>
        <w:t>(וכתב הגר"א (סקי"ט) שפסקו הרא"ש ורמב"ם כרבא. ומכאן הוציא הר"ן את דבריו דהמקבל עליו לזון חבירו סתם, כל ימי חייו או כל זמן שצריך משמע. והביא הרמ"א את דבריו)</w:t>
      </w:r>
    </w:p>
    <w:p w14:paraId="5DA0D642" w14:textId="77777777" w:rsidR="001D49D4" w:rsidRPr="001D49D4" w:rsidRDefault="001D49D4" w:rsidP="0004348D">
      <w:pPr>
        <w:spacing w:before="360" w:after="240"/>
        <w:rPr>
          <w:rFonts w:ascii="Arial" w:eastAsia="Calibri" w:hAnsi="Arial" w:cs="Arial"/>
          <w:b/>
          <w:bCs/>
          <w:color w:val="000000"/>
          <w:sz w:val="28"/>
          <w:szCs w:val="28"/>
          <w:u w:val="single"/>
          <w:rtl/>
        </w:rPr>
      </w:pPr>
      <w:r w:rsidRPr="001D49D4">
        <w:rPr>
          <w:rFonts w:ascii="Arial" w:eastAsia="Calibri" w:hAnsi="Arial" w:cs="Arial"/>
          <w:b/>
          <w:bCs/>
          <w:color w:val="000000"/>
          <w:sz w:val="28"/>
          <w:szCs w:val="28"/>
          <w:u w:val="single"/>
          <w:rtl/>
        </w:rPr>
        <w:t>שו"ע:</w:t>
      </w:r>
    </w:p>
    <w:p w14:paraId="7E487C90"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rtl/>
        </w:rPr>
        <w:t>המתחייב לזון את חבירו, הנותן אומר לתת לו פירות</w:t>
      </w:r>
      <w:r w:rsidRPr="001D49D4">
        <w:rPr>
          <w:rFonts w:ascii="Calibri" w:eastAsia="Calibri" w:hAnsi="Calibri" w:cs="Arial"/>
          <w:vertAlign w:val="superscript"/>
          <w:rtl/>
        </w:rPr>
        <w:footnoteReference w:id="4558"/>
      </w:r>
      <w:r w:rsidRPr="001D49D4">
        <w:rPr>
          <w:rFonts w:ascii="Calibri" w:eastAsia="Calibri" w:hAnsi="Calibri" w:cs="Arial"/>
          <w:rtl/>
        </w:rPr>
        <w:t xml:space="preserve"> והלה אומר מעות</w:t>
      </w:r>
      <w:r w:rsidRPr="001D49D4">
        <w:rPr>
          <w:rFonts w:ascii="Calibri" w:eastAsia="Calibri" w:hAnsi="Calibri" w:cs="Arial"/>
          <w:vertAlign w:val="superscript"/>
          <w:rtl/>
        </w:rPr>
        <w:footnoteReference w:id="4559"/>
      </w:r>
      <w:r w:rsidRPr="001D49D4">
        <w:rPr>
          <w:rFonts w:ascii="Calibri" w:eastAsia="Calibri" w:hAnsi="Calibri" w:cs="Arial"/>
          <w:rtl/>
        </w:rPr>
        <w:t>, הדין עם מקבל המתנה. ואם התנה עמו בפירוש לזונו על שלחנו, והוא אינו רוצה לאכול עמו, אינו חייב ליתן לו אלא לפי ברכת הבית</w:t>
      </w:r>
      <w:r w:rsidRPr="001D49D4">
        <w:rPr>
          <w:rFonts w:ascii="Calibri" w:eastAsia="Calibri" w:hAnsi="Calibri" w:cs="Arial"/>
          <w:vertAlign w:val="superscript"/>
          <w:rtl/>
        </w:rPr>
        <w:footnoteReference w:id="4560"/>
      </w:r>
      <w:r w:rsidRPr="001D49D4">
        <w:rPr>
          <w:rFonts w:ascii="Calibri" w:eastAsia="Calibri" w:hAnsi="Calibri" w:cs="Arial"/>
          <w:rtl/>
        </w:rPr>
        <w:t xml:space="preserve">. </w:t>
      </w:r>
      <w:r w:rsidRPr="001D49D4">
        <w:rPr>
          <w:rFonts w:ascii="Calibri" w:eastAsia="Calibri" w:hAnsi="Calibri" w:cs="Arial"/>
          <w:sz w:val="18"/>
          <w:szCs w:val="18"/>
          <w:rtl/>
        </w:rPr>
        <w:t>הגה: מיהו אם אין העיכוב מכח הניזון אלא מכח המתחייב</w:t>
      </w:r>
      <w:r w:rsidRPr="001D49D4">
        <w:rPr>
          <w:rFonts w:ascii="Calibri" w:eastAsia="Calibri" w:hAnsi="Calibri" w:cs="Arial"/>
          <w:sz w:val="18"/>
          <w:szCs w:val="18"/>
          <w:vertAlign w:val="superscript"/>
          <w:rtl/>
        </w:rPr>
        <w:footnoteReference w:id="4561"/>
      </w:r>
      <w:r w:rsidRPr="001D49D4">
        <w:rPr>
          <w:rFonts w:ascii="Calibri" w:eastAsia="Calibri" w:hAnsi="Calibri" w:cs="Arial"/>
          <w:sz w:val="18"/>
          <w:szCs w:val="18"/>
          <w:rtl/>
        </w:rPr>
        <w:t xml:space="preserve">, חייב לתת לו כל דמי המזונות </w:t>
      </w:r>
      <w:r w:rsidRPr="001D49D4">
        <w:rPr>
          <w:rFonts w:ascii="Calibri" w:eastAsia="Calibri" w:hAnsi="Calibri" w:cs="Arial"/>
          <w:sz w:val="16"/>
          <w:szCs w:val="16"/>
          <w:rtl/>
        </w:rPr>
        <w:t>(ב"י בשם הריטב"א)</w:t>
      </w:r>
      <w:r w:rsidRPr="001D49D4">
        <w:rPr>
          <w:rFonts w:ascii="Calibri" w:eastAsia="Calibri" w:hAnsi="Calibri" w:cs="Arial"/>
          <w:sz w:val="18"/>
          <w:szCs w:val="18"/>
          <w:rtl/>
        </w:rPr>
        <w:t>. ואם חלה הניזון, אינו חייב ברפואתו, רק בדמי מזונות כמו שהיה בריא</w:t>
      </w:r>
      <w:r w:rsidRPr="001D49D4">
        <w:rPr>
          <w:rFonts w:ascii="Calibri" w:eastAsia="Calibri" w:hAnsi="Calibri" w:cs="Arial"/>
          <w:sz w:val="18"/>
          <w:szCs w:val="18"/>
          <w:vertAlign w:val="superscript"/>
          <w:rtl/>
        </w:rPr>
        <w:footnoteReference w:id="4562"/>
      </w:r>
      <w:r w:rsidRPr="001D49D4">
        <w:rPr>
          <w:rFonts w:ascii="Calibri" w:eastAsia="Calibri" w:hAnsi="Calibri" w:cs="Arial"/>
          <w:sz w:val="18"/>
          <w:szCs w:val="18"/>
          <w:rtl/>
        </w:rPr>
        <w:t xml:space="preserve"> </w:t>
      </w:r>
      <w:r w:rsidRPr="001D49D4">
        <w:rPr>
          <w:rFonts w:ascii="Calibri" w:eastAsia="Calibri" w:hAnsi="Calibri" w:cs="Arial"/>
          <w:sz w:val="16"/>
          <w:szCs w:val="16"/>
          <w:rtl/>
        </w:rPr>
        <w:t>(ב"י ס"ס רז בשם הריטב"א)</w:t>
      </w:r>
      <w:r w:rsidRPr="001D49D4">
        <w:rPr>
          <w:rFonts w:ascii="Calibri" w:eastAsia="Calibri" w:hAnsi="Calibri" w:cs="Arial"/>
          <w:sz w:val="18"/>
          <w:szCs w:val="18"/>
          <w:rtl/>
        </w:rPr>
        <w:t>. וי"א דהמקבל עליו לזון חבירו סתם, כל ימי חייו או כל זמן שצריך משמע</w:t>
      </w:r>
      <w:r w:rsidRPr="001D49D4">
        <w:rPr>
          <w:rFonts w:ascii="Calibri" w:eastAsia="Calibri" w:hAnsi="Calibri" w:cs="Arial"/>
          <w:sz w:val="18"/>
          <w:szCs w:val="18"/>
          <w:vertAlign w:val="superscript"/>
          <w:rtl/>
        </w:rPr>
        <w:footnoteReference w:id="4563"/>
      </w:r>
      <w:r w:rsidRPr="001D49D4">
        <w:rPr>
          <w:rFonts w:ascii="Calibri" w:eastAsia="Calibri" w:hAnsi="Calibri" w:cs="Arial"/>
          <w:sz w:val="18"/>
          <w:szCs w:val="18"/>
          <w:rtl/>
        </w:rPr>
        <w:t xml:space="preserve"> </w:t>
      </w:r>
      <w:r w:rsidRPr="001D49D4">
        <w:rPr>
          <w:rFonts w:ascii="Calibri" w:eastAsia="Calibri" w:hAnsi="Calibri" w:cs="Arial"/>
          <w:sz w:val="16"/>
          <w:szCs w:val="16"/>
          <w:rtl/>
        </w:rPr>
        <w:t>(ר"ן פ' מי שאחזו וב"י בא"ה סי' קיד בשם הרשב"א)</w:t>
      </w:r>
      <w:r w:rsidRPr="001D49D4">
        <w:rPr>
          <w:rFonts w:ascii="Calibri" w:eastAsia="Calibri" w:hAnsi="Calibri" w:cs="Arial"/>
          <w:sz w:val="18"/>
          <w:szCs w:val="18"/>
          <w:rtl/>
        </w:rPr>
        <w:t>. וי"א דאם קבל עליו לזונו סתם, או יתן לו ק' זהובים לשנה, נפטר בשנה אחת מנדרו</w:t>
      </w:r>
      <w:r w:rsidRPr="001D49D4">
        <w:rPr>
          <w:rFonts w:ascii="Calibri" w:eastAsia="Calibri" w:hAnsi="Calibri" w:cs="Arial"/>
          <w:sz w:val="18"/>
          <w:szCs w:val="18"/>
          <w:vertAlign w:val="superscript"/>
          <w:rtl/>
        </w:rPr>
        <w:footnoteReference w:id="4564"/>
      </w:r>
      <w:r w:rsidRPr="001D49D4">
        <w:rPr>
          <w:rFonts w:ascii="Calibri" w:eastAsia="Calibri" w:hAnsi="Calibri" w:cs="Arial"/>
          <w:sz w:val="18"/>
          <w:szCs w:val="18"/>
          <w:rtl/>
        </w:rPr>
        <w:t xml:space="preserve"> </w:t>
      </w:r>
      <w:r w:rsidRPr="001D49D4">
        <w:rPr>
          <w:rFonts w:ascii="Calibri" w:eastAsia="Calibri" w:hAnsi="Calibri" w:cs="Arial"/>
          <w:sz w:val="16"/>
          <w:szCs w:val="16"/>
          <w:rtl/>
        </w:rPr>
        <w:t>(רא"ש כלל ו סי' יט)</w:t>
      </w:r>
      <w:r w:rsidRPr="001D49D4">
        <w:rPr>
          <w:rFonts w:ascii="Calibri" w:eastAsia="Calibri" w:hAnsi="Calibri" w:cs="Arial"/>
          <w:sz w:val="18"/>
          <w:szCs w:val="18"/>
          <w:rtl/>
        </w:rPr>
        <w:t xml:space="preserve">. המקבל עליו לזון חבירו לפי כבודו, ב"ד שיימי כפי מה שהיה נוהג קודם לכן </w:t>
      </w:r>
      <w:r w:rsidRPr="001D49D4">
        <w:rPr>
          <w:rFonts w:ascii="Calibri" w:eastAsia="Calibri" w:hAnsi="Calibri" w:cs="Arial"/>
          <w:sz w:val="16"/>
          <w:szCs w:val="16"/>
          <w:rtl/>
        </w:rPr>
        <w:t>(רא"ש כלל עד וטור סי' רז)</w:t>
      </w:r>
      <w:r w:rsidRPr="001D49D4">
        <w:rPr>
          <w:rFonts w:ascii="Calibri" w:eastAsia="Calibri" w:hAnsi="Calibri" w:cs="Arial"/>
          <w:sz w:val="18"/>
          <w:szCs w:val="18"/>
          <w:rtl/>
        </w:rPr>
        <w:t xml:space="preserve">, ואין מלבושים בכלל מזונות, אא"כ אמר 'אזון ואפרנס' דמלבושים הוא בכלל פרנסה </w:t>
      </w:r>
      <w:r w:rsidRPr="001D49D4">
        <w:rPr>
          <w:rFonts w:ascii="Calibri" w:eastAsia="Calibri" w:hAnsi="Calibri" w:cs="Arial"/>
          <w:sz w:val="16"/>
          <w:szCs w:val="16"/>
          <w:rtl/>
        </w:rPr>
        <w:t>(ב"י בשם הרשב"א)</w:t>
      </w:r>
      <w:r w:rsidRPr="001D49D4">
        <w:rPr>
          <w:rFonts w:ascii="Calibri" w:eastAsia="Calibri" w:hAnsi="Calibri" w:cs="Arial"/>
          <w:sz w:val="18"/>
          <w:szCs w:val="18"/>
          <w:rtl/>
        </w:rPr>
        <w:t xml:space="preserve">. מי שכתב לחבירו לזונו זמן מה או לתת לו ק' דינרין, וזנו קצת הזמן ופסק, אינו חייב לתת לו ק' דינרין, אלא לתשלום מזונות עד ק' דינרין ולא יותר, דודאי לא כיון אלא אם לא יזונו כלל </w:t>
      </w:r>
      <w:r w:rsidRPr="001D49D4">
        <w:rPr>
          <w:rFonts w:ascii="Calibri" w:eastAsia="Calibri" w:hAnsi="Calibri" w:cs="Arial"/>
          <w:sz w:val="16"/>
          <w:szCs w:val="16"/>
          <w:rtl/>
        </w:rPr>
        <w:t>(ב"י בשם רשב"א)</w:t>
      </w:r>
      <w:r w:rsidRPr="001D49D4">
        <w:rPr>
          <w:rFonts w:ascii="Calibri" w:eastAsia="Calibri" w:hAnsi="Calibri" w:cs="Arial"/>
          <w:sz w:val="18"/>
          <w:szCs w:val="18"/>
          <w:rtl/>
        </w:rPr>
        <w:t>. ראובן שקבל עליו לזון לשמעון ואשתו, והתחיל לזונן, ומתה אשת שמעון, פטור ממזונותיה. ואפילו קצב סך לצורך מזונותיה, אפילו הכי פטור מחלקה</w:t>
      </w:r>
      <w:r w:rsidRPr="001D49D4">
        <w:rPr>
          <w:rFonts w:ascii="Calibri" w:eastAsia="Calibri" w:hAnsi="Calibri" w:cs="Arial"/>
          <w:sz w:val="18"/>
          <w:szCs w:val="18"/>
          <w:vertAlign w:val="superscript"/>
          <w:rtl/>
        </w:rPr>
        <w:footnoteReference w:id="4565"/>
      </w:r>
      <w:r w:rsidRPr="001D49D4">
        <w:rPr>
          <w:rFonts w:ascii="Calibri" w:eastAsia="Calibri" w:hAnsi="Calibri" w:cs="Arial"/>
          <w:sz w:val="18"/>
          <w:szCs w:val="18"/>
          <w:rtl/>
        </w:rPr>
        <w:t xml:space="preserve"> </w:t>
      </w:r>
      <w:r w:rsidRPr="001D49D4">
        <w:rPr>
          <w:rFonts w:ascii="Calibri" w:eastAsia="Calibri" w:hAnsi="Calibri" w:cs="Arial"/>
          <w:sz w:val="16"/>
          <w:szCs w:val="16"/>
          <w:rtl/>
        </w:rPr>
        <w:t>(רשב"א סי' תתקע)</w:t>
      </w:r>
      <w:r w:rsidRPr="001D49D4">
        <w:rPr>
          <w:rFonts w:ascii="Calibri" w:eastAsia="Calibri" w:hAnsi="Calibri" w:cs="Arial"/>
          <w:sz w:val="18"/>
          <w:szCs w:val="18"/>
          <w:rtl/>
        </w:rPr>
        <w:t>.</w:t>
      </w:r>
      <w:r w:rsidRPr="001D49D4">
        <w:rPr>
          <w:rFonts w:ascii="Calibri" w:eastAsia="Calibri" w:hAnsi="Calibri" w:cs="Arial"/>
          <w:rtl/>
        </w:rPr>
        <w:t xml:space="preserve"> </w:t>
      </w:r>
    </w:p>
    <w:p w14:paraId="3DDF914E" w14:textId="77777777" w:rsidR="001D49D4" w:rsidRPr="001D49D4" w:rsidRDefault="001D49D4" w:rsidP="0004348D">
      <w:pPr>
        <w:spacing w:before="360" w:after="240"/>
        <w:rPr>
          <w:rFonts w:ascii="Calibri" w:eastAsia="Calibri" w:hAnsi="Calibri" w:cs="Arial"/>
          <w:rtl/>
        </w:rPr>
      </w:pPr>
    </w:p>
    <w:p w14:paraId="44D633E1" w14:textId="77777777" w:rsidR="001D49D4" w:rsidRPr="001D49D4" w:rsidRDefault="001D49D4" w:rsidP="0004348D">
      <w:pPr>
        <w:keepNext/>
        <w:keepLines/>
        <w:spacing w:before="360" w:after="240"/>
        <w:outlineLvl w:val="1"/>
        <w:rPr>
          <w:rFonts w:ascii="Cambria" w:eastAsia="Times New Roman" w:hAnsi="Cambria" w:cs="Arial"/>
          <w:bCs/>
          <w:color w:val="548DD4" w:themeColor="text2" w:themeTint="99"/>
          <w:sz w:val="26"/>
          <w:szCs w:val="26"/>
          <w:rtl/>
        </w:rPr>
      </w:pPr>
      <w:bookmarkStart w:id="610" w:name="_Toc24884036"/>
      <w:r w:rsidRPr="001D49D4">
        <w:rPr>
          <w:rFonts w:ascii="Cambria" w:eastAsia="Times New Roman" w:hAnsi="Cambria" w:cs="Arial"/>
          <w:bCs/>
          <w:color w:val="548DD4" w:themeColor="text2" w:themeTint="99"/>
          <w:sz w:val="26"/>
          <w:szCs w:val="26"/>
          <w:rtl/>
        </w:rPr>
        <w:t>סעיף ד: המתחייב לזון את חבירו ומת המתחייב.</w:t>
      </w:r>
      <w:bookmarkEnd w:id="610"/>
    </w:p>
    <w:p w14:paraId="689110B5"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b/>
          <w:bCs/>
          <w:rtl/>
        </w:rPr>
        <w:t xml:space="preserve">כתובות </w:t>
      </w:r>
      <w:r w:rsidRPr="001D49D4">
        <w:rPr>
          <w:rFonts w:ascii="Calibri" w:eastAsia="Calibri" w:hAnsi="Calibri" w:cs="Arial"/>
          <w:b/>
          <w:bCs/>
          <w:sz w:val="16"/>
          <w:szCs w:val="16"/>
          <w:rtl/>
        </w:rPr>
        <w:t xml:space="preserve">(ר"פ הנושא) </w:t>
      </w:r>
      <w:r w:rsidRPr="001D49D4">
        <w:rPr>
          <w:rFonts w:ascii="Calibri" w:eastAsia="Calibri" w:hAnsi="Calibri" w:cs="Arial"/>
          <w:b/>
          <w:bCs/>
          <w:rtl/>
        </w:rPr>
        <w:t>קא</w:t>
      </w:r>
      <w:r w:rsidRPr="001D49D4">
        <w:rPr>
          <w:rFonts w:ascii="Calibri" w:eastAsia="Calibri" w:hAnsi="Calibri" w:cs="Arial"/>
          <w:b/>
          <w:bCs/>
          <w:vertAlign w:val="superscript"/>
          <w:rtl/>
        </w:rPr>
        <w:footnoteReference w:id="4566"/>
      </w:r>
      <w:r w:rsidRPr="001D49D4">
        <w:rPr>
          <w:rFonts w:ascii="Calibri" w:eastAsia="Calibri" w:hAnsi="Calibri" w:cs="Arial"/>
          <w:b/>
          <w:bCs/>
          <w:rtl/>
        </w:rPr>
        <w:t xml:space="preserve"> ע"ב:</w:t>
      </w:r>
      <w:r w:rsidRPr="001D49D4">
        <w:rPr>
          <w:rFonts w:ascii="Calibri" w:eastAsia="Calibri" w:hAnsi="Calibri" w:cs="Arial"/>
          <w:rtl/>
        </w:rPr>
        <w:t xml:space="preserve"> </w:t>
      </w:r>
      <w:r w:rsidRPr="001D49D4">
        <w:rPr>
          <w:rFonts w:ascii="Calibri" w:eastAsia="Calibri" w:hAnsi="Calibri" w:cs="Arial"/>
          <w:u w:val="double"/>
          <w:rtl/>
        </w:rPr>
        <w:t>מתני'</w:t>
      </w:r>
      <w:r w:rsidRPr="001D49D4">
        <w:rPr>
          <w:rFonts w:ascii="Calibri" w:eastAsia="Calibri" w:hAnsi="Calibri" w:cs="Arial"/>
          <w:rtl/>
        </w:rPr>
        <w:t xml:space="preserve">: הנושא את האשה, ופסקה עמו כדי שיזון את בתה חמש שנים - חייב לזונה חמש שנים. ניסת לאחר, ופסקה עמו כדי שיזון את בתה חמש שנים - חייב לזונה חמש שנים... מתו - בנותיהן ניזונות מנכסים בני חורין, והיא ניזונת מנכסים משועבדים, מפני שהיא כבעלת חוב. </w:t>
      </w:r>
    </w:p>
    <w:p w14:paraId="203AE505"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rtl/>
        </w:rPr>
        <w:t>עיין בדברי הריטב"א בסעיף ג'.</w:t>
      </w:r>
    </w:p>
    <w:p w14:paraId="0E70AE90" w14:textId="77777777" w:rsidR="001D49D4" w:rsidRPr="001D49D4" w:rsidRDefault="001D49D4" w:rsidP="0004348D">
      <w:pPr>
        <w:spacing w:before="360" w:after="240"/>
        <w:rPr>
          <w:rFonts w:ascii="Arial" w:eastAsia="Calibri" w:hAnsi="Arial" w:cs="Arial"/>
          <w:b/>
          <w:bCs/>
          <w:color w:val="000000"/>
          <w:sz w:val="28"/>
          <w:szCs w:val="28"/>
          <w:u w:val="single"/>
          <w:rtl/>
        </w:rPr>
      </w:pPr>
      <w:r w:rsidRPr="001D49D4">
        <w:rPr>
          <w:rFonts w:ascii="Arial" w:eastAsia="Calibri" w:hAnsi="Arial" w:cs="Arial"/>
          <w:b/>
          <w:bCs/>
          <w:color w:val="000000"/>
          <w:sz w:val="28"/>
          <w:szCs w:val="28"/>
          <w:u w:val="single"/>
          <w:rtl/>
        </w:rPr>
        <w:t>שו"ע:</w:t>
      </w:r>
    </w:p>
    <w:p w14:paraId="13E57134"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rtl/>
        </w:rPr>
        <w:t>המתחייב לזון את חבירו סתם או לזונו על שלחנו, ומת המתחייב, חייבים היורשים לזונו כמו שהיה חייב מורישו</w:t>
      </w:r>
      <w:r w:rsidRPr="001D49D4">
        <w:rPr>
          <w:rFonts w:ascii="Calibri" w:eastAsia="Calibri" w:hAnsi="Calibri" w:cs="Arial"/>
          <w:vertAlign w:val="superscript"/>
          <w:rtl/>
        </w:rPr>
        <w:footnoteReference w:id="4567"/>
      </w:r>
      <w:r w:rsidRPr="001D49D4">
        <w:rPr>
          <w:rFonts w:ascii="Calibri" w:eastAsia="Calibri" w:hAnsi="Calibri" w:cs="Arial"/>
          <w:rtl/>
        </w:rPr>
        <w:t>.</w:t>
      </w:r>
      <w:r w:rsidRPr="001D49D4">
        <w:rPr>
          <w:rFonts w:ascii="Calibri" w:eastAsia="Calibri" w:hAnsi="Calibri" w:cs="Arial"/>
          <w:sz w:val="18"/>
          <w:szCs w:val="18"/>
          <w:rtl/>
        </w:rPr>
        <w:t xml:space="preserve"> [הגה] דשולחנו לאו דוקא.</w:t>
      </w:r>
      <w:r w:rsidRPr="001D49D4">
        <w:rPr>
          <w:rFonts w:ascii="Calibri" w:eastAsia="Calibri" w:hAnsi="Calibri" w:cs="Arial"/>
          <w:rtl/>
        </w:rPr>
        <w:t xml:space="preserve"> </w:t>
      </w:r>
    </w:p>
    <w:p w14:paraId="643495C8" w14:textId="77777777" w:rsidR="001D49D4" w:rsidRPr="001D49D4" w:rsidRDefault="001D49D4" w:rsidP="0004348D">
      <w:pPr>
        <w:spacing w:before="360" w:after="240"/>
        <w:rPr>
          <w:rFonts w:ascii="Calibri" w:eastAsia="Calibri" w:hAnsi="Calibri" w:cs="Arial"/>
          <w:rtl/>
        </w:rPr>
      </w:pPr>
    </w:p>
    <w:p w14:paraId="5062F4D8" w14:textId="77777777" w:rsidR="001D49D4" w:rsidRPr="001D49D4" w:rsidRDefault="001D49D4" w:rsidP="0004348D">
      <w:pPr>
        <w:keepNext/>
        <w:keepLines/>
        <w:spacing w:before="360" w:after="240"/>
        <w:outlineLvl w:val="1"/>
        <w:rPr>
          <w:rFonts w:ascii="Cambria" w:eastAsia="Times New Roman" w:hAnsi="Cambria" w:cs="Arial"/>
          <w:bCs/>
          <w:color w:val="548DD4" w:themeColor="text2" w:themeTint="99"/>
          <w:sz w:val="26"/>
          <w:szCs w:val="26"/>
          <w:rtl/>
        </w:rPr>
      </w:pPr>
      <w:bookmarkStart w:id="611" w:name="_Toc24884037"/>
      <w:r w:rsidRPr="001D49D4">
        <w:rPr>
          <w:rFonts w:ascii="Cambria" w:eastAsia="Times New Roman" w:hAnsi="Cambria" w:cs="Arial"/>
          <w:bCs/>
          <w:color w:val="548DD4" w:themeColor="text2" w:themeTint="99"/>
          <w:sz w:val="26"/>
          <w:szCs w:val="26"/>
          <w:rtl/>
        </w:rPr>
        <w:t>סעיף ה: שנים שנתחייבו לזון לאחד.</w:t>
      </w:r>
      <w:bookmarkEnd w:id="611"/>
    </w:p>
    <w:p w14:paraId="7F57DE7A"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rtl/>
        </w:rPr>
        <w:t>עיין במקור בסעיף ג.</w:t>
      </w:r>
    </w:p>
    <w:p w14:paraId="68FEF09E" w14:textId="77777777" w:rsidR="001D49D4" w:rsidRPr="001D49D4" w:rsidRDefault="001D49D4" w:rsidP="0004348D">
      <w:pPr>
        <w:spacing w:before="360" w:after="240"/>
        <w:rPr>
          <w:rFonts w:ascii="Arial" w:eastAsia="Calibri" w:hAnsi="Arial" w:cs="Arial"/>
          <w:b/>
          <w:bCs/>
          <w:color w:val="000000"/>
          <w:sz w:val="28"/>
          <w:szCs w:val="28"/>
          <w:u w:val="single"/>
          <w:rtl/>
        </w:rPr>
      </w:pPr>
      <w:r w:rsidRPr="001D49D4">
        <w:rPr>
          <w:rFonts w:ascii="Arial" w:eastAsia="Calibri" w:hAnsi="Arial" w:cs="Arial"/>
          <w:b/>
          <w:bCs/>
          <w:color w:val="000000"/>
          <w:sz w:val="28"/>
          <w:szCs w:val="28"/>
          <w:u w:val="single"/>
          <w:rtl/>
        </w:rPr>
        <w:t>שו"ע:</w:t>
      </w:r>
    </w:p>
    <w:p w14:paraId="1761D8CF"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rtl/>
        </w:rPr>
        <w:t xml:space="preserve">שנים שנתחייבו לזון לאחד, דינו כדין שנים שלוו מאחד. </w:t>
      </w:r>
      <w:r w:rsidRPr="001D49D4">
        <w:rPr>
          <w:rFonts w:ascii="Calibri" w:eastAsia="Calibri" w:hAnsi="Calibri" w:cs="Arial"/>
          <w:sz w:val="18"/>
          <w:szCs w:val="18"/>
          <w:rtl/>
        </w:rPr>
        <w:t>[הגה] ועיין באבן העזר סי' קי"ד סעיף ז'</w:t>
      </w:r>
      <w:r w:rsidRPr="001D49D4">
        <w:rPr>
          <w:rFonts w:ascii="Calibri" w:eastAsia="Calibri" w:hAnsi="Calibri" w:cs="Arial"/>
          <w:rtl/>
        </w:rPr>
        <w:t xml:space="preserve">. </w:t>
      </w:r>
    </w:p>
    <w:p w14:paraId="1FC736E5" w14:textId="77777777" w:rsidR="001D49D4" w:rsidRPr="001D49D4" w:rsidRDefault="001D49D4" w:rsidP="0004348D">
      <w:pPr>
        <w:spacing w:before="360" w:after="240"/>
        <w:rPr>
          <w:rFonts w:ascii="Calibri" w:eastAsia="Calibri" w:hAnsi="Calibri" w:cs="Arial"/>
          <w:rtl/>
        </w:rPr>
      </w:pPr>
    </w:p>
    <w:p w14:paraId="3891C3C9" w14:textId="77777777" w:rsidR="001D49D4" w:rsidRPr="001D49D4" w:rsidRDefault="001D49D4" w:rsidP="0004348D">
      <w:pPr>
        <w:keepNext/>
        <w:keepLines/>
        <w:spacing w:before="360" w:after="240"/>
        <w:outlineLvl w:val="1"/>
        <w:rPr>
          <w:rFonts w:ascii="Cambria" w:eastAsia="Times New Roman" w:hAnsi="Cambria" w:cs="Arial"/>
          <w:bCs/>
          <w:color w:val="548DD4" w:themeColor="text2" w:themeTint="99"/>
          <w:sz w:val="26"/>
          <w:szCs w:val="26"/>
          <w:rtl/>
        </w:rPr>
      </w:pPr>
      <w:bookmarkStart w:id="612" w:name="_Toc24884038"/>
      <w:r w:rsidRPr="001D49D4">
        <w:rPr>
          <w:rFonts w:ascii="Cambria" w:eastAsia="Times New Roman" w:hAnsi="Cambria" w:cs="Arial"/>
          <w:bCs/>
          <w:color w:val="548DD4" w:themeColor="text2" w:themeTint="99"/>
          <w:sz w:val="26"/>
          <w:szCs w:val="26"/>
          <w:rtl/>
        </w:rPr>
        <w:t>סעיף ו: המחייב את עצמו בדבר שלא בא לעולם.</w:t>
      </w:r>
      <w:bookmarkEnd w:id="612"/>
    </w:p>
    <w:p w14:paraId="4B10D2A1"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b/>
          <w:bCs/>
          <w:rtl/>
        </w:rPr>
        <w:t xml:space="preserve">בבא בתרא </w:t>
      </w:r>
      <w:r w:rsidRPr="001D49D4">
        <w:rPr>
          <w:rFonts w:ascii="Calibri" w:eastAsia="Calibri" w:hAnsi="Calibri" w:cs="Arial"/>
          <w:b/>
          <w:bCs/>
          <w:sz w:val="16"/>
          <w:szCs w:val="16"/>
          <w:rtl/>
        </w:rPr>
        <w:t xml:space="preserve">(פרק מי שמת) </w:t>
      </w:r>
      <w:r w:rsidRPr="001D49D4">
        <w:rPr>
          <w:rFonts w:ascii="Calibri" w:eastAsia="Calibri" w:hAnsi="Calibri" w:cs="Arial"/>
          <w:b/>
          <w:bCs/>
          <w:rtl/>
        </w:rPr>
        <w:t>קנז</w:t>
      </w:r>
      <w:r w:rsidRPr="001D49D4">
        <w:rPr>
          <w:rFonts w:ascii="Calibri" w:eastAsia="Calibri" w:hAnsi="Calibri" w:cs="Arial"/>
          <w:b/>
          <w:bCs/>
          <w:vertAlign w:val="superscript"/>
          <w:rtl/>
        </w:rPr>
        <w:footnoteReference w:id="4568"/>
      </w:r>
      <w:r w:rsidRPr="001D49D4">
        <w:rPr>
          <w:rFonts w:ascii="Calibri" w:eastAsia="Calibri" w:hAnsi="Calibri" w:cs="Arial"/>
          <w:b/>
          <w:bCs/>
          <w:rtl/>
        </w:rPr>
        <w:t xml:space="preserve"> ע"א:</w:t>
      </w:r>
      <w:r w:rsidRPr="001D49D4">
        <w:rPr>
          <w:rFonts w:ascii="Calibri" w:eastAsia="Calibri" w:hAnsi="Calibri" w:cs="Arial"/>
          <w:rtl/>
        </w:rPr>
        <w:t xml:space="preserve"> תנן התם: המלוה את חבירו בשטר - גובה מנכסים משועבדים, על ידי עדים - גובה מנכסים בני חורין. </w:t>
      </w:r>
      <w:r w:rsidRPr="001D49D4">
        <w:rPr>
          <w:rFonts w:ascii="Calibri" w:eastAsia="Calibri" w:hAnsi="Calibri" w:cs="Arial"/>
          <w:u w:val="single"/>
          <w:rtl/>
        </w:rPr>
        <w:t>בעי שמואל</w:t>
      </w:r>
      <w:r w:rsidRPr="001D49D4">
        <w:rPr>
          <w:rFonts w:ascii="Calibri" w:eastAsia="Calibri" w:hAnsi="Calibri" w:cs="Arial"/>
          <w:u w:val="single"/>
          <w:vertAlign w:val="superscript"/>
          <w:rtl/>
        </w:rPr>
        <w:footnoteReference w:id="4569"/>
      </w:r>
      <w:r w:rsidRPr="001D49D4">
        <w:rPr>
          <w:rFonts w:ascii="Calibri" w:eastAsia="Calibri" w:hAnsi="Calibri" w:cs="Arial"/>
          <w:rtl/>
        </w:rPr>
        <w:t>: דאיקני וקנה, מהו</w:t>
      </w:r>
      <w:r w:rsidRPr="001D49D4">
        <w:rPr>
          <w:rFonts w:ascii="Calibri" w:eastAsia="Calibri" w:hAnsi="Calibri" w:cs="Arial"/>
          <w:vertAlign w:val="superscript"/>
          <w:rtl/>
        </w:rPr>
        <w:footnoteReference w:id="4570"/>
      </w:r>
      <w:r w:rsidRPr="001D49D4">
        <w:rPr>
          <w:rFonts w:ascii="Calibri" w:eastAsia="Calibri" w:hAnsi="Calibri" w:cs="Arial"/>
          <w:rtl/>
        </w:rPr>
        <w:t xml:space="preserve">?... </w:t>
      </w:r>
      <w:r w:rsidRPr="001D49D4">
        <w:rPr>
          <w:rFonts w:ascii="Calibri" w:eastAsia="Calibri" w:hAnsi="Calibri" w:cs="Arial"/>
          <w:vertAlign w:val="superscript"/>
          <w:rtl/>
        </w:rPr>
        <w:footnoteReference w:id="4571"/>
      </w:r>
      <w:r w:rsidRPr="001D49D4">
        <w:rPr>
          <w:rFonts w:ascii="Calibri" w:eastAsia="Calibri" w:hAnsi="Calibri" w:cs="Arial"/>
          <w:rtl/>
        </w:rPr>
        <w:t xml:space="preserve">כי קא מיבעיא לן דאיקני - קנה ומכר, דאיקני - קנה והוריש, מאי?... </w:t>
      </w:r>
      <w:r w:rsidRPr="001D49D4">
        <w:rPr>
          <w:rFonts w:ascii="Calibri" w:eastAsia="Calibri" w:hAnsi="Calibri" w:cs="Arial"/>
          <w:sz w:val="14"/>
          <w:szCs w:val="14"/>
          <w:rtl/>
        </w:rPr>
        <w:t>(קנז:)</w:t>
      </w:r>
      <w:r w:rsidRPr="001D49D4">
        <w:rPr>
          <w:rFonts w:ascii="Calibri" w:eastAsia="Calibri" w:hAnsi="Calibri" w:cs="Arial"/>
          <w:rtl/>
        </w:rPr>
        <w:t xml:space="preserve"> אם תמצא לומר משתעבד, לַוָה</w:t>
      </w:r>
      <w:r w:rsidRPr="001D49D4">
        <w:rPr>
          <w:rFonts w:ascii="Calibri" w:eastAsia="Calibri" w:hAnsi="Calibri" w:cs="Arial"/>
          <w:vertAlign w:val="superscript"/>
          <w:rtl/>
        </w:rPr>
        <w:footnoteReference w:id="4572"/>
      </w:r>
      <w:r w:rsidRPr="001D49D4">
        <w:rPr>
          <w:rFonts w:ascii="Calibri" w:eastAsia="Calibri" w:hAnsi="Calibri" w:cs="Arial"/>
          <w:rtl/>
        </w:rPr>
        <w:t xml:space="preserve"> וְלַוָה וחזר וקנה מהו, לקמא משתעבד או לבתרא משתעבד?... והלכתא: יחלוקו</w:t>
      </w:r>
      <w:r w:rsidRPr="001D49D4">
        <w:rPr>
          <w:rFonts w:ascii="Calibri" w:eastAsia="Calibri" w:hAnsi="Calibri" w:cs="Arial"/>
          <w:vertAlign w:val="superscript"/>
          <w:rtl/>
        </w:rPr>
        <w:footnoteReference w:id="4573"/>
      </w:r>
      <w:r w:rsidRPr="001D49D4">
        <w:rPr>
          <w:rFonts w:ascii="Calibri" w:eastAsia="Calibri" w:hAnsi="Calibri" w:cs="Arial"/>
          <w:rtl/>
        </w:rPr>
        <w:t>.</w:t>
      </w:r>
      <w:r w:rsidRPr="001D49D4">
        <w:rPr>
          <w:rFonts w:ascii="Calibri" w:eastAsia="Calibri" w:hAnsi="Calibri" w:cs="Arial"/>
          <w:sz w:val="16"/>
          <w:szCs w:val="16"/>
          <w:rtl/>
        </w:rPr>
        <w:t xml:space="preserve"> (ומדאשכחן דמשעבד לחובו מה שיקנה יש ללמוד דמחייב עצמו בדבר שלא בא לעולם, ע"פ ב"י)</w:t>
      </w:r>
    </w:p>
    <w:p w14:paraId="5F6D57CF"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u w:val="single"/>
          <w:rtl/>
        </w:rPr>
        <w:t>המחייב את עצמו בדבר שלא בא לעולם:</w:t>
      </w:r>
    </w:p>
    <w:p w14:paraId="00CE7A91" w14:textId="77777777" w:rsidR="001D49D4" w:rsidRPr="001D49D4" w:rsidRDefault="001D49D4" w:rsidP="0004348D">
      <w:pPr>
        <w:numPr>
          <w:ilvl w:val="0"/>
          <w:numId w:val="318"/>
        </w:numPr>
        <w:spacing w:before="360" w:after="240"/>
        <w:contextualSpacing/>
        <w:rPr>
          <w:rtl/>
        </w:rPr>
      </w:pPr>
      <w:r w:rsidRPr="001D49D4">
        <w:rPr>
          <w:rtl/>
        </w:rPr>
        <w:t xml:space="preserve">בעל התרומות </w:t>
      </w:r>
      <w:r w:rsidRPr="001D49D4">
        <w:rPr>
          <w:sz w:val="16"/>
          <w:szCs w:val="16"/>
          <w:rtl/>
        </w:rPr>
        <w:t>(שער סד ח"ב סי' א-ג)</w:t>
      </w:r>
      <w:r w:rsidRPr="001D49D4">
        <w:rPr>
          <w:rtl/>
        </w:rPr>
        <w:t xml:space="preserve"> וטור- המחייב את עצמו בדבר שלא בא לעולם, או בא לעולם ואינו מצוי אצלו - חייב, אע"ג דקיי"ל אין אדם מקנה דבר שלא בא לעולם ה"מ כשהקנה לו בלשון מכר או בלשון מתנה אבל בלשון חוב חייב. לפיכך, לא מיבעיא כתב לו 'מודה אני לך שאני חייב לך כך וכך מדות של פירות' שהוא חייב לו, שהרי הודה לו בהם</w:t>
      </w:r>
      <w:r w:rsidRPr="001D49D4">
        <w:rPr>
          <w:vertAlign w:val="superscript"/>
          <w:rtl/>
        </w:rPr>
        <w:footnoteReference w:id="4574"/>
      </w:r>
      <w:r w:rsidRPr="001D49D4">
        <w:rPr>
          <w:rtl/>
        </w:rPr>
        <w:t>, אלא אפילו אם אמר 'הוו עלי עדים שאני מתחייב עתה לפלוני כך וכך מדות של פירות' - שהוא חייב</w:t>
      </w:r>
      <w:r w:rsidRPr="001D49D4">
        <w:rPr>
          <w:vertAlign w:val="superscript"/>
          <w:rtl/>
        </w:rPr>
        <w:footnoteReference w:id="4575"/>
      </w:r>
      <w:r w:rsidRPr="001D49D4">
        <w:rPr>
          <w:rtl/>
        </w:rPr>
        <w:t>. ודוקא בלשון חיוב חל האחריות והשיעבוד על החיוב, אבל הנותן מתנה דבר שאינו מצוי אצלו או שלא בא לעולם, אפילו כתב לו שיעבוד על שדה או קיבל עליו אחריות על כל נכסיו - אינו כלום</w:t>
      </w:r>
      <w:r w:rsidRPr="001D49D4">
        <w:rPr>
          <w:vertAlign w:val="superscript"/>
          <w:rtl/>
        </w:rPr>
        <w:footnoteReference w:id="4576"/>
      </w:r>
      <w:r w:rsidRPr="001D49D4">
        <w:rPr>
          <w:rtl/>
        </w:rPr>
        <w:t>, שאין שיעבוד אחריות גדול ממשכון ואפילו אם נתן לו משכון על מתנה זו לא קנה, דמתנה אין כאן</w:t>
      </w:r>
      <w:r w:rsidRPr="001D49D4">
        <w:rPr>
          <w:vertAlign w:val="superscript"/>
          <w:rtl/>
        </w:rPr>
        <w:footnoteReference w:id="4577"/>
      </w:r>
      <w:r w:rsidRPr="001D49D4">
        <w:rPr>
          <w:rtl/>
        </w:rPr>
        <w:t xml:space="preserve"> ומשכון אין כאן, וכ"ש שיעבוד דגרע ממשכון</w:t>
      </w:r>
      <w:r w:rsidRPr="001D49D4">
        <w:rPr>
          <w:sz w:val="16"/>
          <w:szCs w:val="16"/>
          <w:rtl/>
        </w:rPr>
        <w:t xml:space="preserve"> (ל' הטור)</w:t>
      </w:r>
      <w:r w:rsidRPr="001D49D4">
        <w:rPr>
          <w:vertAlign w:val="superscript"/>
          <w:rtl/>
        </w:rPr>
        <w:footnoteReference w:id="4578"/>
      </w:r>
      <w:r w:rsidRPr="001D49D4">
        <w:rPr>
          <w:rtl/>
        </w:rPr>
        <w:t xml:space="preserve">. </w:t>
      </w:r>
      <w:r w:rsidRPr="001D49D4">
        <w:rPr>
          <w:color w:val="E36C0A" w:themeColor="accent6" w:themeShade="BF"/>
          <w:rtl/>
        </w:rPr>
        <w:t>(וכ"פ בשו"ע)</w:t>
      </w:r>
    </w:p>
    <w:p w14:paraId="0C40C267" w14:textId="77777777" w:rsidR="001D49D4" w:rsidRPr="001D49D4" w:rsidRDefault="001D49D4" w:rsidP="0004348D">
      <w:pPr>
        <w:spacing w:before="360" w:after="240"/>
        <w:rPr>
          <w:rFonts w:ascii="Calibri" w:eastAsia="Calibri" w:hAnsi="Calibri" w:cs="Arial"/>
          <w:u w:val="single"/>
        </w:rPr>
      </w:pPr>
      <w:r w:rsidRPr="001D49D4">
        <w:rPr>
          <w:rFonts w:ascii="Calibri" w:eastAsia="Calibri" w:hAnsi="Calibri" w:cs="Arial"/>
          <w:u w:val="single"/>
          <w:rtl/>
        </w:rPr>
        <w:t>נדר ליתן מתנה לפלוני, ופלוני מחל לו אח"כ על כל השטרות שיש לו עליו ושיעשה עליו, ואח"כ נתן הנותן המתנה:</w:t>
      </w:r>
    </w:p>
    <w:p w14:paraId="2B6EA5F6" w14:textId="77777777" w:rsidR="001D49D4" w:rsidRPr="001D49D4" w:rsidRDefault="001D49D4" w:rsidP="0004348D">
      <w:pPr>
        <w:numPr>
          <w:ilvl w:val="0"/>
          <w:numId w:val="318"/>
        </w:numPr>
        <w:spacing w:before="360" w:after="240"/>
        <w:contextualSpacing/>
        <w:rPr>
          <w:rtl/>
        </w:rPr>
      </w:pPr>
      <w:r w:rsidRPr="001D49D4">
        <w:rPr>
          <w:rtl/>
        </w:rPr>
        <w:t xml:space="preserve">ר"ן </w:t>
      </w:r>
      <w:r w:rsidRPr="001D49D4">
        <w:rPr>
          <w:sz w:val="16"/>
          <w:szCs w:val="16"/>
          <w:rtl/>
        </w:rPr>
        <w:t>(סי' כג, הביאו הדרכ"מ אות ה)</w:t>
      </w:r>
      <w:r w:rsidRPr="001D49D4">
        <w:rPr>
          <w:rtl/>
        </w:rPr>
        <w:t>- אחד נדר ליתן לאחד מתנה, והראוי לקבל מחל לו אח"כ על כל השטרות שיש לו עליו ושיעשה עליו, ואח"כ נתן הנותן המתנה בקנין להראוי לקבל - זכה הראוי לקבל במתנה ואין המחילה על מתנה זו מועלת כלום, דכשם שאין אדם מקנה דבר שלא בא לעולם כך לא ימחול עליו, ואע"פ שנדר לו תחלה קודם המחילה זה לא הוי רק דיבור בעלמא ועיקר המתנה היתה אח"כ ואין המחילה חלה עליו</w:t>
      </w:r>
      <w:r w:rsidRPr="001D49D4">
        <w:rPr>
          <w:vertAlign w:val="superscript"/>
          <w:rtl/>
        </w:rPr>
        <w:footnoteReference w:id="4579"/>
      </w:r>
      <w:r w:rsidRPr="001D49D4">
        <w:rPr>
          <w:rtl/>
        </w:rPr>
        <w:t>.</w:t>
      </w:r>
    </w:p>
    <w:p w14:paraId="4EE1AAB7" w14:textId="77777777" w:rsidR="001D49D4" w:rsidRPr="001D49D4" w:rsidRDefault="001D49D4" w:rsidP="0004348D">
      <w:pPr>
        <w:spacing w:before="360" w:after="240"/>
        <w:rPr>
          <w:rFonts w:ascii="Calibri" w:eastAsia="Calibri" w:hAnsi="Calibri" w:cs="Arial"/>
        </w:rPr>
      </w:pPr>
      <w:r w:rsidRPr="001D49D4">
        <w:rPr>
          <w:rFonts w:ascii="Calibri" w:eastAsia="Calibri" w:hAnsi="Calibri" w:cs="Arial"/>
          <w:b/>
          <w:bCs/>
          <w:rtl/>
        </w:rPr>
        <w:t>תוספתא</w:t>
      </w:r>
      <w:r w:rsidRPr="001D49D4">
        <w:rPr>
          <w:rFonts w:ascii="Calibri" w:eastAsia="Calibri" w:hAnsi="Calibri" w:cs="Arial"/>
          <w:b/>
          <w:bCs/>
          <w:sz w:val="16"/>
          <w:szCs w:val="16"/>
          <w:rtl/>
        </w:rPr>
        <w:t xml:space="preserve"> (ליברמן) </w:t>
      </w:r>
      <w:r w:rsidRPr="001D49D4">
        <w:rPr>
          <w:rFonts w:ascii="Calibri" w:eastAsia="Calibri" w:hAnsi="Calibri" w:cs="Arial"/>
          <w:b/>
          <w:bCs/>
          <w:rtl/>
        </w:rPr>
        <w:t>כתובות פ"ח ה"ה:</w:t>
      </w:r>
      <w:r w:rsidRPr="001D49D4">
        <w:rPr>
          <w:rFonts w:ascii="Calibri" w:eastAsia="Calibri" w:hAnsi="Calibri" w:cs="Arial"/>
          <w:rtl/>
        </w:rPr>
        <w:t xml:space="preserve"> הכותב נכסיו לבנו, וחזר וקנה נכסים אחרים, כל שלא היה בכלל מתנה ראשונה - הרי אילו של יורשין.</w:t>
      </w:r>
    </w:p>
    <w:p w14:paraId="425F1698" w14:textId="77777777" w:rsidR="001D49D4" w:rsidRPr="001D49D4" w:rsidRDefault="001D49D4" w:rsidP="0004348D">
      <w:pPr>
        <w:spacing w:before="360" w:after="240"/>
        <w:rPr>
          <w:rFonts w:ascii="Calibri" w:eastAsia="Calibri" w:hAnsi="Calibri" w:cs="Arial"/>
          <w:u w:val="single"/>
        </w:rPr>
      </w:pPr>
      <w:r w:rsidRPr="001D49D4">
        <w:rPr>
          <w:rFonts w:ascii="Calibri" w:eastAsia="Calibri" w:hAnsi="Calibri" w:cs="Arial"/>
          <w:u w:val="single"/>
          <w:rtl/>
        </w:rPr>
        <w:t>הנותן מתנה לחבירו ממה שקנה וממה שיקנה:</w:t>
      </w:r>
    </w:p>
    <w:p w14:paraId="54F29AC9" w14:textId="77777777" w:rsidR="001D49D4" w:rsidRPr="001D49D4" w:rsidRDefault="001D49D4" w:rsidP="0004348D">
      <w:pPr>
        <w:numPr>
          <w:ilvl w:val="0"/>
          <w:numId w:val="318"/>
        </w:numPr>
        <w:spacing w:before="360" w:after="240"/>
        <w:contextualSpacing/>
      </w:pPr>
      <w:r w:rsidRPr="001D49D4">
        <w:rPr>
          <w:rtl/>
        </w:rPr>
        <w:t>בעל התרומות</w:t>
      </w:r>
      <w:r w:rsidRPr="001D49D4">
        <w:rPr>
          <w:sz w:val="16"/>
          <w:szCs w:val="16"/>
          <w:rtl/>
        </w:rPr>
        <w:t xml:space="preserve"> (שער מג ח"ד סי' ו)</w:t>
      </w:r>
      <w:r w:rsidRPr="001D49D4">
        <w:rPr>
          <w:rtl/>
        </w:rPr>
        <w:t xml:space="preserve">- היכא דיהיב מתנה לחבריה ממה שקנה וממה שיקנה - הרי הוא פשוט שלא זכה במה שיקנה, שאין אדם מקנה מה שאינו ברשותו, וכדאיתא בתוספתא </w:t>
      </w:r>
      <w:r w:rsidRPr="001D49D4">
        <w:rPr>
          <w:sz w:val="16"/>
          <w:szCs w:val="16"/>
          <w:rtl/>
        </w:rPr>
        <w:t>(כתובות פ"ח ה"ו)</w:t>
      </w:r>
      <w:r w:rsidRPr="001D49D4">
        <w:rPr>
          <w:rtl/>
        </w:rPr>
        <w:t xml:space="preserve">... אך יש לברר אם קבל אחריות להעמיד מתנת מה שיקנה בידו אם מהני ליה - ומסתברא דלא מהני, דכיון שלא חלה המתנה גם כן לא יחול שעבוד האחריות ממנה, דאיתא כההיא דקדושין </w:t>
      </w:r>
      <w:r w:rsidRPr="001D49D4">
        <w:rPr>
          <w:sz w:val="16"/>
          <w:szCs w:val="16"/>
          <w:rtl/>
        </w:rPr>
        <w:t xml:space="preserve">(ח:) </w:t>
      </w:r>
      <w:r w:rsidRPr="001D49D4">
        <w:rPr>
          <w:rtl/>
        </w:rPr>
        <w:t>דאמרינן פריטי אין כאן נסכא אין כאן, וכן מצוי בתשובת הרב אלפסי ז"ל. אבל אם נתן או מכר לו קרקע שלו באחריות ובאותו אחריות שעבד לו נכסים שקנה ומה שאקנה לסלק מעליו כל עורר שיבא על השדה שנתן לו - בזה השוו המורים דלכל שעבוד מהני מה שאקנה ומוציאין מיד הלקוחות. וזה מה שכתב לי בזה הרמב"ן ז"ל</w:t>
      </w:r>
      <w:r w:rsidRPr="001D49D4">
        <w:rPr>
          <w:sz w:val="16"/>
          <w:szCs w:val="16"/>
          <w:rtl/>
        </w:rPr>
        <w:t xml:space="preserve"> (סי' לח)</w:t>
      </w:r>
      <w:r w:rsidRPr="001D49D4">
        <w:rPr>
          <w:rtl/>
        </w:rPr>
        <w:t xml:space="preserve"> הנותן או המוכר מה שעתיד לקנות ושעבד נכסיו וקבל אחריות להעמידה בידו - חייב להעמידה בידו, ואם לאו - גובה מהם מדין אחריות, והוא שכתב דאקנה באחריות, וליכא למימר מתנה אין כאן שעבוד אין כאן, שיכול אדם לחייב עצמו באחריות שאינו חייב בו על דרך חייב אני לך מנה בשטר </w:t>
      </w:r>
      <w:r w:rsidRPr="001D49D4">
        <w:rPr>
          <w:sz w:val="16"/>
          <w:szCs w:val="16"/>
          <w:rtl/>
        </w:rPr>
        <w:t>(כתובות קא:)</w:t>
      </w:r>
      <w:r w:rsidRPr="001D49D4">
        <w:rPr>
          <w:rtl/>
        </w:rPr>
        <w:t>, וזהו אחריות כל המתנות, וכל שכן בקנין ודאקנה בכל דין חיוב ממון משתעבד הוא. מ"מ יש לדון אם מכר אותן לאחר - שלא יגבה מהן, לפי שאינן קצובין. ומיהו אם קנו מידו לא בעינן קצבה, דהכי אסיקנא בפרק הניזקין</w:t>
      </w:r>
      <w:r w:rsidRPr="001D49D4">
        <w:rPr>
          <w:sz w:val="16"/>
          <w:szCs w:val="16"/>
          <w:rtl/>
        </w:rPr>
        <w:t xml:space="preserve"> (גיטין נא.)</w:t>
      </w:r>
      <w:r w:rsidRPr="001D49D4">
        <w:rPr>
          <w:rtl/>
        </w:rPr>
        <w:t xml:space="preserve">, אבל מיניה גובה הוא בכל ענין, אלא שיש לחוש בדבר לדעת האומר שאין אדם מחייב עצמו בדבר שאינו קצוב ויפטר לדעתם, שהרי אינו ידוע מה שיקנה והלכך לא גמר ומשעבד נפשיה בחוב דלא ידע בכמה, אבל אנו אין דעתינו שוה עמהם </w:t>
      </w:r>
      <w:r w:rsidRPr="001D49D4">
        <w:rPr>
          <w:sz w:val="16"/>
          <w:szCs w:val="16"/>
          <w:rtl/>
        </w:rPr>
        <w:t>{עכ"ד הרמב"ן}</w:t>
      </w:r>
      <w:r w:rsidRPr="001D49D4">
        <w:rPr>
          <w:vertAlign w:val="superscript"/>
          <w:rtl/>
        </w:rPr>
        <w:footnoteReference w:id="4580"/>
      </w:r>
      <w:r w:rsidRPr="001D49D4">
        <w:rPr>
          <w:rtl/>
        </w:rPr>
        <w:t>.</w:t>
      </w:r>
    </w:p>
    <w:p w14:paraId="7A28FB7D" w14:textId="77777777" w:rsidR="001D49D4" w:rsidRPr="001D49D4" w:rsidRDefault="001D49D4" w:rsidP="0004348D">
      <w:pPr>
        <w:spacing w:before="360" w:after="240"/>
        <w:rPr>
          <w:rFonts w:ascii="Calibri" w:eastAsia="Calibri" w:hAnsi="Calibri" w:cs="Arial"/>
        </w:rPr>
      </w:pPr>
      <w:r w:rsidRPr="001D49D4">
        <w:rPr>
          <w:rFonts w:ascii="Calibri" w:eastAsia="Calibri" w:hAnsi="Calibri" w:cs="Arial"/>
          <w:u w:val="single"/>
          <w:rtl/>
        </w:rPr>
        <w:t xml:space="preserve">המחייב עצמו ליתן לחברו כל מה שירויח מכאן ועד ל' יום – האם מקרי </w:t>
      </w:r>
      <w:r w:rsidRPr="001D49D4">
        <w:rPr>
          <w:rFonts w:ascii="Calibri" w:eastAsia="Calibri" w:hAnsi="Calibri" w:cs="Arial"/>
          <w:b/>
          <w:bCs/>
          <w:u w:val="single"/>
          <w:rtl/>
        </w:rPr>
        <w:t>הקניית</w:t>
      </w:r>
      <w:r w:rsidRPr="001D49D4">
        <w:rPr>
          <w:rFonts w:ascii="Calibri" w:eastAsia="Calibri" w:hAnsi="Calibri" w:cs="Arial"/>
          <w:u w:val="single"/>
          <w:rtl/>
        </w:rPr>
        <w:t xml:space="preserve"> דבר שלא בא לעולם:</w:t>
      </w:r>
    </w:p>
    <w:p w14:paraId="1144EEE3" w14:textId="77777777" w:rsidR="001D49D4" w:rsidRPr="001D49D4" w:rsidRDefault="001D49D4" w:rsidP="0004348D">
      <w:pPr>
        <w:numPr>
          <w:ilvl w:val="0"/>
          <w:numId w:val="318"/>
        </w:numPr>
        <w:spacing w:before="360" w:after="240"/>
        <w:contextualSpacing/>
      </w:pPr>
      <w:r w:rsidRPr="001D49D4">
        <w:rPr>
          <w:rtl/>
        </w:rPr>
        <w:t xml:space="preserve">רשב"א </w:t>
      </w:r>
      <w:r w:rsidRPr="001D49D4">
        <w:rPr>
          <w:sz w:val="16"/>
          <w:szCs w:val="16"/>
          <w:rtl/>
        </w:rPr>
        <w:t>(ח"ג סי' סה)</w:t>
      </w:r>
      <w:r w:rsidRPr="001D49D4">
        <w:rPr>
          <w:rtl/>
        </w:rPr>
        <w:t xml:space="preserve">- שאלת, מי שחייב עצמו ליתן לחבירו כל מה שירויח מכאן עד שלשים יום ושעבד לו בקנין גמור כל נכסיו שקנה ושיקנה אי אמרינן דלא אמר כלום לפי שאין אדם מקנה דבר שלא בא לעולם. תשובה, דבר ברור הוא שחייב, דלא אמרו בדבר שלא בא לעולם אלא במקנה הדבר כגון פירות דקל </w:t>
      </w:r>
      <w:r w:rsidRPr="001D49D4">
        <w:rPr>
          <w:sz w:val="16"/>
          <w:szCs w:val="16"/>
          <w:rtl/>
        </w:rPr>
        <w:t>(ב"מ לג:)</w:t>
      </w:r>
      <w:r w:rsidRPr="001D49D4">
        <w:rPr>
          <w:rtl/>
        </w:rPr>
        <w:t>, אבל המחייב עצמו ליתן מה שיוציא הדקל דבריו קיימים שזה אינו מקנה הפירות אלא מחייב עצמו ליתן.</w:t>
      </w:r>
    </w:p>
    <w:p w14:paraId="1C8D3357" w14:textId="77777777" w:rsidR="001D49D4" w:rsidRPr="001D49D4" w:rsidRDefault="001D49D4" w:rsidP="0004348D">
      <w:pPr>
        <w:spacing w:before="360" w:after="240"/>
        <w:rPr>
          <w:rFonts w:ascii="Calibri" w:eastAsia="Calibri" w:hAnsi="Calibri" w:cs="Arial"/>
          <w:u w:val="single"/>
        </w:rPr>
      </w:pPr>
      <w:r w:rsidRPr="001D49D4">
        <w:rPr>
          <w:rFonts w:ascii="Calibri" w:eastAsia="Calibri" w:hAnsi="Calibri" w:cs="Arial"/>
          <w:u w:val="single"/>
          <w:rtl/>
        </w:rPr>
        <w:t xml:space="preserve">שמעון הוציא שטר על ראובן וכתוב בו שמשעבד כל נכסיו עבור ק' זהובים שיתן לו וראובן טוען שלא היה בידו הכסף:  </w:t>
      </w:r>
    </w:p>
    <w:p w14:paraId="6FF73EE9" w14:textId="77777777" w:rsidR="001D49D4" w:rsidRPr="001D49D4" w:rsidRDefault="001D49D4" w:rsidP="0004348D">
      <w:pPr>
        <w:numPr>
          <w:ilvl w:val="0"/>
          <w:numId w:val="318"/>
        </w:numPr>
        <w:spacing w:before="360" w:after="240"/>
        <w:contextualSpacing/>
      </w:pPr>
      <w:r w:rsidRPr="001D49D4">
        <w:rPr>
          <w:rtl/>
        </w:rPr>
        <w:t xml:space="preserve">רי"ף </w:t>
      </w:r>
      <w:r w:rsidRPr="001D49D4">
        <w:rPr>
          <w:sz w:val="16"/>
          <w:szCs w:val="16"/>
          <w:rtl/>
        </w:rPr>
        <w:t>(דפ' בילגוריי סי' קסח, הביאו הטור)</w:t>
      </w:r>
      <w:r w:rsidRPr="001D49D4">
        <w:rPr>
          <w:rtl/>
        </w:rPr>
        <w:t xml:space="preserve"> ורמב"ם</w:t>
      </w:r>
      <w:r w:rsidRPr="001D49D4">
        <w:rPr>
          <w:vertAlign w:val="superscript"/>
          <w:rtl/>
        </w:rPr>
        <w:footnoteReference w:id="4581"/>
      </w:r>
      <w:r w:rsidRPr="001D49D4">
        <w:rPr>
          <w:rtl/>
        </w:rPr>
        <w:t xml:space="preserve"> </w:t>
      </w:r>
      <w:r w:rsidRPr="001D49D4">
        <w:rPr>
          <w:sz w:val="16"/>
          <w:szCs w:val="16"/>
          <w:rtl/>
        </w:rPr>
        <w:t>(פכ"ב מהל' מכירה ה"ח, להב' הב"י)</w:t>
      </w:r>
      <w:r w:rsidRPr="001D49D4">
        <w:rPr>
          <w:rtl/>
        </w:rPr>
        <w:t>- שאלה, שמעון הוציא שטר על ראובן שכתוב בו 'מחמת שנתתי לו מאה זהובים ושיעבדתי לו כל נכסי באלו ק' זהובים שיגבה אותן מהם', וטען ראובן שבשעה שכתבן על עצמו לא היו בידו ואין אדם מקנה דבר שלא בא לעולם, וגם העדים החתומים בשטר אומרים שאינם יודעים אם היו ברשותו הזהובים אם לא. תשובה, אם הזהובים שנתן בקנין הוא מטבע שנושאין ונותנין בהם כדרך שנושאין ונותנין במטבע של כסף - הרי הקנין אינו כלום, שאין מטבע נקנה בחליפין. אבל אם אין נושאין ונותנין באותה מדינה בזהובים הניתנין בקנין - הרי הן פירות ונקנין בחליפין, אלא שצריך שיהא ברשותו בשעת קנין. ואם אין הדבר ידוע אם היו ברשותו בשעת קנין או לא על התובע להביא ראיה. לפיכך, אם טוען בעל השטר טענת ברי שיודע שהיו בידו בשעת קנין - צריך לישבע היסת שלא היו בידו. ואם אינו טוען אלא טענת שמא - מחרימין לו סתם על מי שנתן זהובים במתנה וכחש בו. והשעבוד ששיעבד בו אינו כלום דכיון שהמתנה אינו כלום גם השעבוד לא חל</w:t>
      </w:r>
      <w:r w:rsidRPr="001D49D4">
        <w:rPr>
          <w:sz w:val="16"/>
          <w:szCs w:val="16"/>
          <w:rtl/>
        </w:rPr>
        <w:t xml:space="preserve"> (ל' הרי"ף)</w:t>
      </w:r>
      <w:r w:rsidRPr="001D49D4">
        <w:rPr>
          <w:vertAlign w:val="superscript"/>
          <w:rtl/>
        </w:rPr>
        <w:footnoteReference w:id="4582"/>
      </w:r>
      <w:r w:rsidRPr="001D49D4">
        <w:rPr>
          <w:rtl/>
        </w:rPr>
        <w:t xml:space="preserve">. </w:t>
      </w:r>
      <w:r w:rsidRPr="001D49D4">
        <w:rPr>
          <w:color w:val="E36C0A" w:themeColor="accent6" w:themeShade="BF"/>
          <w:rtl/>
        </w:rPr>
        <w:t>(וכ"פ בשו"ע)</w:t>
      </w:r>
      <w:r w:rsidRPr="001D49D4">
        <w:rPr>
          <w:rtl/>
        </w:rPr>
        <w:t xml:space="preserve"> </w:t>
      </w:r>
    </w:p>
    <w:p w14:paraId="7B355439" w14:textId="77777777" w:rsidR="001D49D4" w:rsidRPr="001D49D4" w:rsidRDefault="001D49D4" w:rsidP="0004348D">
      <w:pPr>
        <w:numPr>
          <w:ilvl w:val="0"/>
          <w:numId w:val="318"/>
        </w:numPr>
        <w:spacing w:before="360" w:after="240"/>
        <w:contextualSpacing/>
      </w:pPr>
      <w:r w:rsidRPr="001D49D4">
        <w:rPr>
          <w:rtl/>
        </w:rPr>
        <w:t xml:space="preserve">ראב"ד </w:t>
      </w:r>
      <w:r w:rsidRPr="001D49D4">
        <w:rPr>
          <w:sz w:val="16"/>
          <w:szCs w:val="16"/>
          <w:rtl/>
        </w:rPr>
        <w:t>(כ"כ הטור בשמו)</w:t>
      </w:r>
      <w:r w:rsidRPr="001D49D4">
        <w:rPr>
          <w:rtl/>
        </w:rPr>
        <w:t xml:space="preserve"> וריטב"א</w:t>
      </w:r>
      <w:r w:rsidRPr="001D49D4">
        <w:rPr>
          <w:vertAlign w:val="superscript"/>
          <w:rtl/>
        </w:rPr>
        <w:footnoteReference w:id="4583"/>
      </w:r>
      <w:r w:rsidRPr="001D49D4">
        <w:rPr>
          <w:rtl/>
        </w:rPr>
        <w:t xml:space="preserve"> </w:t>
      </w:r>
      <w:r w:rsidRPr="001D49D4">
        <w:rPr>
          <w:sz w:val="16"/>
          <w:szCs w:val="16"/>
          <w:rtl/>
        </w:rPr>
        <w:t>(סי' יא)</w:t>
      </w:r>
      <w:r w:rsidRPr="001D49D4">
        <w:rPr>
          <w:rtl/>
        </w:rPr>
        <w:t xml:space="preserve">- </w:t>
      </w:r>
      <w:r w:rsidRPr="001D49D4">
        <w:rPr>
          <w:vertAlign w:val="superscript"/>
          <w:rtl/>
        </w:rPr>
        <w:footnoteReference w:id="4584"/>
      </w:r>
      <w:r w:rsidRPr="001D49D4">
        <w:rPr>
          <w:rtl/>
        </w:rPr>
        <w:t>האומר נתתי לפלוני כך וכך הודאה היא ולא הקנאה, ומי שהודה על עצמו שנתן אין בודקין אחריו היאך נתן, ויש לנו להעמיד השטר בחזקתו ולומר שזיכה אותן לו על ידי אחר ונשארו בידו ונעשה שומר עליהם וכתב לו אחריות עליהם בקנין והרי יש כאן זהובים ושעבוד חל עליהם</w:t>
      </w:r>
      <w:r w:rsidRPr="001D49D4">
        <w:rPr>
          <w:sz w:val="16"/>
          <w:szCs w:val="16"/>
          <w:rtl/>
        </w:rPr>
        <w:t xml:space="preserve"> (ל' הטור בשם הראב"ד)</w:t>
      </w:r>
      <w:r w:rsidRPr="001D49D4">
        <w:rPr>
          <w:vertAlign w:val="superscript"/>
          <w:rtl/>
        </w:rPr>
        <w:footnoteReference w:id="4585"/>
      </w:r>
      <w:r w:rsidRPr="001D49D4">
        <w:rPr>
          <w:rtl/>
        </w:rPr>
        <w:t>.</w:t>
      </w:r>
      <w:r w:rsidRPr="001D49D4">
        <w:rPr>
          <w:color w:val="00B0F0"/>
          <w:rtl/>
        </w:rPr>
        <w:t xml:space="preserve"> (וכ"כ הרמ"א)</w:t>
      </w:r>
    </w:p>
    <w:p w14:paraId="47ECF7FB" w14:textId="77777777" w:rsidR="001D49D4" w:rsidRPr="001D49D4" w:rsidRDefault="001D49D4" w:rsidP="0004348D">
      <w:pPr>
        <w:numPr>
          <w:ilvl w:val="0"/>
          <w:numId w:val="318"/>
        </w:numPr>
        <w:spacing w:before="360" w:after="240"/>
        <w:contextualSpacing/>
      </w:pPr>
      <w:r w:rsidRPr="001D49D4">
        <w:rPr>
          <w:rtl/>
        </w:rPr>
        <w:t xml:space="preserve">רא"ש </w:t>
      </w:r>
      <w:r w:rsidRPr="001D49D4">
        <w:rPr>
          <w:sz w:val="16"/>
          <w:szCs w:val="16"/>
          <w:rtl/>
        </w:rPr>
        <w:t>(ר"פ אף על פי כתובות פ"ה סי' א)</w:t>
      </w:r>
      <w:r w:rsidRPr="001D49D4">
        <w:rPr>
          <w:rtl/>
        </w:rPr>
        <w:t xml:space="preserve">- </w:t>
      </w:r>
      <w:r w:rsidRPr="001D49D4">
        <w:rPr>
          <w:vertAlign w:val="superscript"/>
          <w:rtl/>
        </w:rPr>
        <w:footnoteReference w:id="4586"/>
      </w:r>
      <w:r w:rsidRPr="001D49D4">
        <w:rPr>
          <w:rtl/>
        </w:rPr>
        <w:t>אדם יכול לשעבד עצמו להתחייב בדבר שאינו חייב בו עתה אע"פ שאין לו עתה נכסים. כמו שנוהגין לשעבד בכתובה גדולה אע"פ שאינו חייב בה ואין לו עתה הנכסים</w:t>
      </w:r>
      <w:r w:rsidRPr="001D49D4">
        <w:rPr>
          <w:vertAlign w:val="superscript"/>
          <w:rtl/>
        </w:rPr>
        <w:footnoteReference w:id="4587"/>
      </w:r>
      <w:r w:rsidRPr="001D49D4">
        <w:rPr>
          <w:sz w:val="16"/>
          <w:szCs w:val="16"/>
          <w:rtl/>
        </w:rPr>
        <w:t xml:space="preserve"> (ל' הטור בשם הרא"ש)</w:t>
      </w:r>
      <w:r w:rsidRPr="001D49D4">
        <w:rPr>
          <w:vertAlign w:val="superscript"/>
          <w:rtl/>
        </w:rPr>
        <w:footnoteReference w:id="4588"/>
      </w:r>
      <w:r w:rsidRPr="001D49D4">
        <w:rPr>
          <w:rtl/>
        </w:rPr>
        <w:t>.</w:t>
      </w:r>
    </w:p>
    <w:p w14:paraId="68F239F6" w14:textId="77777777" w:rsidR="001D49D4" w:rsidRPr="001D49D4" w:rsidRDefault="001D49D4" w:rsidP="0004348D">
      <w:pPr>
        <w:numPr>
          <w:ilvl w:val="1"/>
          <w:numId w:val="318"/>
        </w:numPr>
        <w:spacing w:before="360" w:after="240"/>
        <w:contextualSpacing/>
      </w:pPr>
      <w:r w:rsidRPr="001D49D4">
        <w:rPr>
          <w:rtl/>
        </w:rPr>
        <w:t xml:space="preserve">ב"י </w:t>
      </w:r>
      <w:r w:rsidRPr="001D49D4">
        <w:rPr>
          <w:sz w:val="16"/>
          <w:szCs w:val="16"/>
          <w:rtl/>
        </w:rPr>
        <w:t>(בבדה"ב)</w:t>
      </w:r>
      <w:r w:rsidRPr="001D49D4">
        <w:rPr>
          <w:rtl/>
        </w:rPr>
        <w:t>- וכיון שהרי"ף והרמב"ם מסכימים לדעת אחת הכי נקטינן.</w:t>
      </w:r>
    </w:p>
    <w:p w14:paraId="2FA69425" w14:textId="77777777" w:rsidR="001D49D4" w:rsidRPr="001D49D4" w:rsidRDefault="001D49D4" w:rsidP="0004348D">
      <w:pPr>
        <w:spacing w:before="360" w:after="240"/>
        <w:ind w:left="360"/>
        <w:rPr>
          <w:rFonts w:ascii="Calibri" w:eastAsia="Calibri" w:hAnsi="Calibri" w:cs="Arial"/>
          <w:u w:val="dotted"/>
        </w:rPr>
      </w:pPr>
      <w:r w:rsidRPr="001D49D4">
        <w:rPr>
          <w:rFonts w:ascii="Calibri" w:eastAsia="Calibri" w:hAnsi="Calibri" w:cs="Arial"/>
          <w:u w:val="dotted"/>
          <w:rtl/>
        </w:rPr>
        <w:t>ומה הדין אם ראובן טוען שכבר נתן לשמעון את הזהובים:</w:t>
      </w:r>
    </w:p>
    <w:p w14:paraId="248E19FF" w14:textId="77777777" w:rsidR="001D49D4" w:rsidRPr="001D49D4" w:rsidRDefault="001D49D4" w:rsidP="0004348D">
      <w:pPr>
        <w:numPr>
          <w:ilvl w:val="0"/>
          <w:numId w:val="318"/>
        </w:numPr>
        <w:spacing w:before="360" w:after="240"/>
        <w:contextualSpacing/>
      </w:pPr>
      <w:r w:rsidRPr="001D49D4">
        <w:rPr>
          <w:rtl/>
        </w:rPr>
        <w:t xml:space="preserve">רי"ף </w:t>
      </w:r>
      <w:r w:rsidRPr="001D49D4">
        <w:rPr>
          <w:sz w:val="16"/>
          <w:szCs w:val="16"/>
          <w:rtl/>
        </w:rPr>
        <w:t>(דפ' בילגוריי סי' קסח)</w:t>
      </w:r>
      <w:r w:rsidRPr="001D49D4">
        <w:rPr>
          <w:rtl/>
        </w:rPr>
        <w:t>- אם טען ראובן ואמר 'כבר נתתים לך'</w:t>
      </w:r>
      <w:r w:rsidRPr="001D49D4">
        <w:rPr>
          <w:vertAlign w:val="superscript"/>
          <w:rtl/>
        </w:rPr>
        <w:footnoteReference w:id="4589"/>
      </w:r>
      <w:r w:rsidRPr="001D49D4">
        <w:rPr>
          <w:rtl/>
        </w:rPr>
        <w:t>, ולא טען שלא היו ברשותו, חזינן, אי הוה מצי למטען לא היו ברשותי ולבטל עיקר המתנה - כי טעין נמי היו ברשותי אלא שנתתים לך נאמן. ואי לא</w:t>
      </w:r>
      <w:r w:rsidRPr="001D49D4">
        <w:rPr>
          <w:vertAlign w:val="superscript"/>
          <w:rtl/>
        </w:rPr>
        <w:footnoteReference w:id="4590"/>
      </w:r>
      <w:r w:rsidRPr="001D49D4">
        <w:rPr>
          <w:rtl/>
        </w:rPr>
        <w:t xml:space="preserve"> - לא מהימן. וילפינן לה מהיא דהמפקיד אצל חברו בשטר ואמר לו החזרתי לך דאמרינן עלה בפרק המוכר את הבית </w:t>
      </w:r>
      <w:r w:rsidRPr="001D49D4">
        <w:rPr>
          <w:sz w:val="16"/>
          <w:szCs w:val="16"/>
          <w:rtl/>
        </w:rPr>
        <w:t xml:space="preserve">(ב"ב ע.) </w:t>
      </w:r>
      <w:r w:rsidRPr="001D49D4">
        <w:rPr>
          <w:rtl/>
        </w:rPr>
        <w:t>מגו דאי בעי למימר נאנסו נאמן כי אמר ליה החזרתי לך נמי מהימן. אלא ששבועת הפקדון דאורייתא כדין מאן דאמר נאנסו, ושבועה דהאי נותן מתנה היא שבועת היסת</w:t>
      </w:r>
      <w:r w:rsidRPr="001D49D4">
        <w:rPr>
          <w:vertAlign w:val="superscript"/>
          <w:rtl/>
        </w:rPr>
        <w:footnoteReference w:id="4591"/>
      </w:r>
      <w:r w:rsidRPr="001D49D4">
        <w:rPr>
          <w:rtl/>
        </w:rPr>
        <w:t>.</w:t>
      </w:r>
    </w:p>
    <w:p w14:paraId="7A881B35" w14:textId="77777777" w:rsidR="001D49D4" w:rsidRPr="001D49D4" w:rsidRDefault="001D49D4" w:rsidP="0004348D">
      <w:pPr>
        <w:spacing w:before="360" w:after="240"/>
        <w:rPr>
          <w:rFonts w:ascii="Calibri" w:eastAsia="Calibri" w:hAnsi="Calibri" w:cs="Arial"/>
          <w:u w:val="single"/>
        </w:rPr>
      </w:pPr>
      <w:r w:rsidRPr="001D49D4">
        <w:rPr>
          <w:rFonts w:ascii="Calibri" w:eastAsia="Calibri" w:hAnsi="Calibri" w:cs="Arial"/>
          <w:u w:val="single"/>
          <w:rtl/>
        </w:rPr>
        <w:t>הנותן מתנה בלשון כללית:</w:t>
      </w:r>
    </w:p>
    <w:p w14:paraId="5288BCB6" w14:textId="77777777" w:rsidR="001D49D4" w:rsidRPr="001D49D4" w:rsidRDefault="001D49D4" w:rsidP="0004348D">
      <w:pPr>
        <w:numPr>
          <w:ilvl w:val="0"/>
          <w:numId w:val="318"/>
        </w:numPr>
        <w:spacing w:before="360" w:after="240"/>
        <w:contextualSpacing/>
      </w:pPr>
      <w:r w:rsidRPr="001D49D4">
        <w:rPr>
          <w:rtl/>
        </w:rPr>
        <w:t xml:space="preserve">ריטב"א </w:t>
      </w:r>
      <w:r w:rsidRPr="001D49D4">
        <w:rPr>
          <w:sz w:val="16"/>
          <w:szCs w:val="16"/>
          <w:rtl/>
        </w:rPr>
        <w:t>(סי' מא ד"ה ואשר)</w:t>
      </w:r>
      <w:r w:rsidRPr="001D49D4">
        <w:rPr>
          <w:rtl/>
        </w:rPr>
        <w:t xml:space="preserve">- לענין המתנה לחוד שנתן לה בקנין גמור מאה בשטנטיש, ולא סיים בשטנטיש ידועים, גם לא אמר שהיו ברשותו באותה שעה, דעת רבותי ודעתי - שלא קנתה, שאין המתנה חלה אלא בדבר מיוחד כנותן דבר מסויים לגמרי, כאומר 'בית בבתי' 'מנה בנכסי'. אבל אין מתנה חלה בלשון כללי שאומר 'נתתי לך כך וכך מטלטלין'. ובשלמא אלו נתברר שהיו ברשותו בשעת המתנה אולי היינו אומרים שעליהם נתכוון וחלה המתנה, וכדמשמע קצת בפרק המוכר את הבית </w:t>
      </w:r>
      <w:r w:rsidRPr="001D49D4">
        <w:rPr>
          <w:sz w:val="16"/>
          <w:szCs w:val="16"/>
          <w:rtl/>
        </w:rPr>
        <w:t xml:space="preserve">(ב"ב סט:) </w:t>
      </w:r>
      <w:r w:rsidRPr="001D49D4">
        <w:rPr>
          <w:rtl/>
        </w:rPr>
        <w:t>גבי ההיא דארעא ודיקלי, אבל כשלא נתברר - היאך קנתה? שהרי אינו נותן דבר שאינו ברשותו, ועל מקבל מתנה להביא ראיה. וכן השיב הרמ"ה והסכים עמו הרמב"ן כי אלו שנותנים לנשותיהם מתנת מעות צריך שלא תהא בלשון מתנה גרידתא אלא שיכתוב לה לשון חיוב שנתחייב לה בסך ההוא בתורת חוב, הא לאו הכי אע"פ שכתב לה אחריות לא קנתה, וכן נראים הדברים. זאת ועוד, כי אם הבשטנטיש הם מטבע שיש עליו צורה - אינו נקנה בחליפין.</w:t>
      </w:r>
    </w:p>
    <w:p w14:paraId="62BC60B7" w14:textId="77777777" w:rsidR="001D49D4" w:rsidRPr="001D49D4" w:rsidRDefault="001D49D4" w:rsidP="0004348D">
      <w:pPr>
        <w:spacing w:before="360" w:after="240"/>
        <w:rPr>
          <w:rFonts w:ascii="Calibri" w:eastAsia="Calibri" w:hAnsi="Calibri" w:cs="Arial"/>
          <w:u w:val="single"/>
        </w:rPr>
      </w:pPr>
      <w:r w:rsidRPr="001D49D4">
        <w:rPr>
          <w:rFonts w:ascii="Calibri" w:eastAsia="Calibri" w:hAnsi="Calibri" w:cs="Arial"/>
          <w:u w:val="single"/>
          <w:rtl/>
        </w:rPr>
        <w:t>ראובן הקנה מטלטלין לאחד, ואחרי מותו אומרים היתומים שהמטלטלין שהניח לא היו בידו בשעת המתנה:</w:t>
      </w:r>
    </w:p>
    <w:p w14:paraId="6FD73B12" w14:textId="77777777" w:rsidR="001D49D4" w:rsidRPr="001D49D4" w:rsidRDefault="001D49D4" w:rsidP="0004348D">
      <w:pPr>
        <w:numPr>
          <w:ilvl w:val="0"/>
          <w:numId w:val="318"/>
        </w:numPr>
        <w:spacing w:before="360" w:after="240"/>
        <w:contextualSpacing/>
      </w:pPr>
      <w:r w:rsidRPr="001D49D4">
        <w:rPr>
          <w:rtl/>
        </w:rPr>
        <w:t xml:space="preserve">ב"י </w:t>
      </w:r>
      <w:r w:rsidRPr="001D49D4">
        <w:rPr>
          <w:sz w:val="16"/>
          <w:szCs w:val="16"/>
          <w:rtl/>
        </w:rPr>
        <w:t>(סי' רנ סמ"ד מחו' יד, הביאו הדרכ"מ אות ז)</w:t>
      </w:r>
      <w:r w:rsidRPr="001D49D4">
        <w:rPr>
          <w:rtl/>
        </w:rPr>
        <w:t>- ראובן הקנה מטלטלין לאחד, ואחרי מותו אומרים היתומים שהמטלטלין שהניח לא היו בידו בשעת המתנה - על היורשים להביא ראיה, משום דאמרינן כאן נמצאו וכאן היו.</w:t>
      </w:r>
    </w:p>
    <w:p w14:paraId="2F0225A4" w14:textId="77777777" w:rsidR="001D49D4" w:rsidRPr="001D49D4" w:rsidRDefault="001D49D4" w:rsidP="0004348D">
      <w:pPr>
        <w:spacing w:before="360" w:after="240"/>
        <w:rPr>
          <w:rFonts w:ascii="Arial" w:eastAsia="Calibri" w:hAnsi="Arial" w:cs="Arial"/>
          <w:b/>
          <w:bCs/>
          <w:color w:val="000000"/>
          <w:sz w:val="28"/>
          <w:szCs w:val="28"/>
          <w:u w:val="single"/>
          <w:rtl/>
        </w:rPr>
      </w:pPr>
      <w:r w:rsidRPr="001D49D4">
        <w:rPr>
          <w:rFonts w:ascii="Arial" w:eastAsia="Calibri" w:hAnsi="Arial" w:cs="Arial"/>
          <w:b/>
          <w:bCs/>
          <w:color w:val="000000"/>
          <w:sz w:val="28"/>
          <w:szCs w:val="28"/>
          <w:u w:val="single"/>
          <w:rtl/>
        </w:rPr>
        <w:t>שו"ע:</w:t>
      </w:r>
    </w:p>
    <w:p w14:paraId="006AC10D"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rtl/>
        </w:rPr>
        <w:t>המחייב עצמו בדבר שלא בא לעולם או שאינו מצוי אצלו, חייב, אף על גב דאין אדם מקנה דבר שלא בא לעולם הני מילי כשהקנה לו בלשון מכר או בלשון מתנה</w:t>
      </w:r>
      <w:r w:rsidRPr="001D49D4">
        <w:rPr>
          <w:rFonts w:ascii="Calibri" w:eastAsia="Calibri" w:hAnsi="Calibri" w:cs="Arial"/>
          <w:vertAlign w:val="superscript"/>
          <w:rtl/>
        </w:rPr>
        <w:footnoteReference w:id="4592"/>
      </w:r>
      <w:r w:rsidRPr="001D49D4">
        <w:rPr>
          <w:rFonts w:ascii="Calibri" w:eastAsia="Calibri" w:hAnsi="Calibri" w:cs="Arial"/>
          <w:rtl/>
        </w:rPr>
        <w:t>, ואפילו כתב לו שעבוד על שדה או קבל אחריות</w:t>
      </w:r>
      <w:r w:rsidRPr="001D49D4">
        <w:rPr>
          <w:rFonts w:ascii="Calibri" w:eastAsia="Calibri" w:hAnsi="Calibri" w:cs="Arial"/>
          <w:vertAlign w:val="superscript"/>
          <w:rtl/>
        </w:rPr>
        <w:footnoteReference w:id="4593"/>
      </w:r>
      <w:r w:rsidRPr="001D49D4">
        <w:rPr>
          <w:rFonts w:ascii="Calibri" w:eastAsia="Calibri" w:hAnsi="Calibri" w:cs="Arial"/>
          <w:rtl/>
        </w:rPr>
        <w:t xml:space="preserve"> על כל נכסיו ואפילו נתן לו משכון אינו כלום</w:t>
      </w:r>
      <w:r w:rsidRPr="001D49D4">
        <w:rPr>
          <w:rFonts w:ascii="Calibri" w:eastAsia="Calibri" w:hAnsi="Calibri" w:cs="Arial"/>
          <w:vertAlign w:val="superscript"/>
          <w:rtl/>
        </w:rPr>
        <w:footnoteReference w:id="4594"/>
      </w:r>
      <w:r w:rsidRPr="001D49D4">
        <w:rPr>
          <w:rFonts w:ascii="Calibri" w:eastAsia="Calibri" w:hAnsi="Calibri" w:cs="Arial"/>
          <w:rtl/>
        </w:rPr>
        <w:t>, אבל בלשון חיוב, כגון שאמר 'הוו עלי עדים שאני מתחייב לפלוני בכך וכך', חייב</w:t>
      </w:r>
      <w:r w:rsidRPr="001D49D4">
        <w:rPr>
          <w:rFonts w:ascii="Calibri" w:eastAsia="Calibri" w:hAnsi="Calibri" w:cs="Arial"/>
          <w:vertAlign w:val="superscript"/>
          <w:rtl/>
        </w:rPr>
        <w:footnoteReference w:id="4595"/>
      </w:r>
      <w:r w:rsidRPr="001D49D4">
        <w:rPr>
          <w:rFonts w:ascii="Calibri" w:eastAsia="Calibri" w:hAnsi="Calibri" w:cs="Arial"/>
          <w:rtl/>
        </w:rPr>
        <w:t>, והוא שקנו מידו</w:t>
      </w:r>
      <w:r w:rsidRPr="001D49D4">
        <w:rPr>
          <w:rFonts w:ascii="Calibri" w:eastAsia="Calibri" w:hAnsi="Calibri" w:cs="Arial"/>
          <w:vertAlign w:val="superscript"/>
          <w:rtl/>
        </w:rPr>
        <w:footnoteReference w:id="4596"/>
      </w:r>
      <w:r w:rsidRPr="001D49D4">
        <w:rPr>
          <w:rFonts w:ascii="Calibri" w:eastAsia="Calibri" w:hAnsi="Calibri" w:cs="Arial"/>
          <w:rtl/>
        </w:rPr>
        <w:t xml:space="preserve">. ראובן שהוציא שטר בקנין על שמעון שכתוב בו 'מחמת שנתתי לו ק' זהובים ושעבדתי כל נכסי לגבותם מהם', </w:t>
      </w:r>
      <w:r w:rsidRPr="001D49D4">
        <w:rPr>
          <w:rFonts w:ascii="Calibri" w:eastAsia="Calibri" w:hAnsi="Calibri" w:cs="Arial"/>
          <w:sz w:val="18"/>
          <w:szCs w:val="18"/>
          <w:rtl/>
        </w:rPr>
        <w:t>[הגה] אבל לא שעבד עצמו להתחייב (ב"י)</w:t>
      </w:r>
      <w:r w:rsidRPr="001D49D4">
        <w:rPr>
          <w:rFonts w:ascii="Calibri" w:eastAsia="Calibri" w:hAnsi="Calibri" w:cs="Arial"/>
          <w:rtl/>
        </w:rPr>
        <w:t>, וטען שמעון שבשעה שכתבו על עצמו לא היו בידו ואין מקנה דבר שלא בא לעולם, אם הזהובים שבשטר הוא מטבע שנושאים ונותנים בו, אין מטבע נקנה בחליפין. ואם אין נושאים ונותנין במדינה באותם זהובים, נקנים בחליפין, אלא שצריך שיהיו ברשותו בשעת קנין. ואם אין הדבר ידוע שהיו ברשותו, על התובע להביא ראיה</w:t>
      </w:r>
      <w:r w:rsidRPr="001D49D4">
        <w:rPr>
          <w:rFonts w:ascii="Calibri" w:eastAsia="Calibri" w:hAnsi="Calibri" w:cs="Arial"/>
          <w:vertAlign w:val="superscript"/>
          <w:rtl/>
        </w:rPr>
        <w:footnoteReference w:id="4597"/>
      </w:r>
      <w:r w:rsidRPr="001D49D4">
        <w:rPr>
          <w:rFonts w:ascii="Calibri" w:eastAsia="Calibri" w:hAnsi="Calibri" w:cs="Arial"/>
          <w:rtl/>
        </w:rPr>
        <w:t xml:space="preserve">. </w:t>
      </w:r>
      <w:r w:rsidRPr="001D49D4">
        <w:rPr>
          <w:rFonts w:ascii="Calibri" w:eastAsia="Calibri" w:hAnsi="Calibri" w:cs="Arial"/>
          <w:sz w:val="18"/>
          <w:szCs w:val="18"/>
          <w:rtl/>
        </w:rPr>
        <w:t>הגה: ואם טוען התובע ברי שהיו ברשותו, והנתבע כופר, צריך לישבע</w:t>
      </w:r>
      <w:r w:rsidRPr="001D49D4">
        <w:rPr>
          <w:rFonts w:ascii="Calibri" w:eastAsia="Calibri" w:hAnsi="Calibri" w:cs="Arial"/>
          <w:sz w:val="18"/>
          <w:szCs w:val="18"/>
          <w:vertAlign w:val="superscript"/>
          <w:rtl/>
        </w:rPr>
        <w:footnoteReference w:id="4598"/>
      </w:r>
      <w:r w:rsidRPr="001D49D4">
        <w:rPr>
          <w:rFonts w:ascii="Calibri" w:eastAsia="Calibri" w:hAnsi="Calibri" w:cs="Arial"/>
          <w:sz w:val="18"/>
          <w:szCs w:val="18"/>
          <w:rtl/>
        </w:rPr>
        <w:t xml:space="preserve"> </w:t>
      </w:r>
      <w:r w:rsidRPr="001D49D4">
        <w:rPr>
          <w:rFonts w:ascii="Calibri" w:eastAsia="Calibri" w:hAnsi="Calibri" w:cs="Arial"/>
          <w:sz w:val="16"/>
          <w:szCs w:val="16"/>
          <w:rtl/>
        </w:rPr>
        <w:t>(רי"ף)</w:t>
      </w:r>
      <w:r w:rsidRPr="001D49D4">
        <w:rPr>
          <w:rFonts w:ascii="Calibri" w:eastAsia="Calibri" w:hAnsi="Calibri" w:cs="Arial"/>
          <w:sz w:val="18"/>
          <w:szCs w:val="18"/>
          <w:rtl/>
        </w:rPr>
        <w:t xml:space="preserve">. ונאמן לומר נתתי, במיגו דאי בעי אמר שלא היה ברשותו </w:t>
      </w:r>
      <w:r w:rsidRPr="001D49D4">
        <w:rPr>
          <w:rFonts w:ascii="Calibri" w:eastAsia="Calibri" w:hAnsi="Calibri" w:cs="Arial"/>
          <w:sz w:val="16"/>
          <w:szCs w:val="16"/>
          <w:rtl/>
        </w:rPr>
        <w:t>(ב"י בשם רי"ף)</w:t>
      </w:r>
      <w:r w:rsidRPr="001D49D4">
        <w:rPr>
          <w:rFonts w:ascii="Calibri" w:eastAsia="Calibri" w:hAnsi="Calibri" w:cs="Arial"/>
          <w:sz w:val="18"/>
          <w:szCs w:val="18"/>
          <w:rtl/>
        </w:rPr>
        <w:t>. מיהו כל זה לסברת הרי"ף וקצת רבוותא</w:t>
      </w:r>
      <w:r w:rsidRPr="001D49D4">
        <w:rPr>
          <w:rFonts w:ascii="Calibri" w:eastAsia="Calibri" w:hAnsi="Calibri" w:cs="Arial"/>
          <w:sz w:val="18"/>
          <w:szCs w:val="18"/>
          <w:vertAlign w:val="superscript"/>
          <w:rtl/>
        </w:rPr>
        <w:footnoteReference w:id="4599"/>
      </w:r>
      <w:r w:rsidRPr="001D49D4">
        <w:rPr>
          <w:rFonts w:ascii="Calibri" w:eastAsia="Calibri" w:hAnsi="Calibri" w:cs="Arial"/>
          <w:sz w:val="18"/>
          <w:szCs w:val="18"/>
          <w:rtl/>
        </w:rPr>
        <w:t>, אבל רבים חולקים על זה וס"ל דכל האומר נתתי לפלוני כך וכך, הוי הודאת בעל דין כמאה עדים דמי ואין מדקדקין כיצד נתן, מאחר שהודה אמרינן דודאי נתן באופן המועיל</w:t>
      </w:r>
      <w:r w:rsidRPr="001D49D4">
        <w:rPr>
          <w:rFonts w:ascii="Calibri" w:eastAsia="Calibri" w:hAnsi="Calibri" w:cs="Arial"/>
          <w:sz w:val="18"/>
          <w:szCs w:val="18"/>
          <w:vertAlign w:val="superscript"/>
          <w:rtl/>
        </w:rPr>
        <w:footnoteReference w:id="4600"/>
      </w:r>
      <w:r w:rsidRPr="001D49D4">
        <w:rPr>
          <w:rFonts w:ascii="Calibri" w:eastAsia="Calibri" w:hAnsi="Calibri" w:cs="Arial"/>
          <w:sz w:val="18"/>
          <w:szCs w:val="18"/>
          <w:rtl/>
        </w:rPr>
        <w:t xml:space="preserve"> וקנה מקבל המתנה </w:t>
      </w:r>
      <w:r w:rsidRPr="001D49D4">
        <w:rPr>
          <w:rFonts w:ascii="Calibri" w:eastAsia="Calibri" w:hAnsi="Calibri" w:cs="Arial"/>
          <w:sz w:val="16"/>
          <w:szCs w:val="16"/>
          <w:rtl/>
        </w:rPr>
        <w:t>(ראב"ד רא"ש ותוס')</w:t>
      </w:r>
      <w:r w:rsidRPr="001D49D4">
        <w:rPr>
          <w:rFonts w:ascii="Calibri" w:eastAsia="Calibri" w:hAnsi="Calibri" w:cs="Arial"/>
          <w:sz w:val="18"/>
          <w:szCs w:val="18"/>
          <w:rtl/>
        </w:rPr>
        <w:t>.</w:t>
      </w:r>
      <w:r w:rsidRPr="001D49D4">
        <w:rPr>
          <w:rFonts w:ascii="Calibri" w:eastAsia="Calibri" w:hAnsi="Calibri" w:cs="Arial"/>
          <w:rtl/>
        </w:rPr>
        <w:t xml:space="preserve"> </w:t>
      </w:r>
    </w:p>
    <w:p w14:paraId="1A7CB33E" w14:textId="77777777" w:rsidR="001D49D4" w:rsidRPr="001D49D4" w:rsidRDefault="001D49D4" w:rsidP="0004348D">
      <w:pPr>
        <w:spacing w:before="360" w:after="240"/>
        <w:rPr>
          <w:rFonts w:ascii="Calibri" w:eastAsia="Calibri" w:hAnsi="Calibri" w:cs="Arial"/>
          <w:rtl/>
        </w:rPr>
      </w:pPr>
    </w:p>
    <w:p w14:paraId="3CF508BF" w14:textId="77777777" w:rsidR="001D49D4" w:rsidRPr="001D49D4" w:rsidRDefault="001D49D4" w:rsidP="0004348D">
      <w:pPr>
        <w:keepNext/>
        <w:keepLines/>
        <w:spacing w:before="360" w:after="240"/>
        <w:outlineLvl w:val="1"/>
        <w:rPr>
          <w:rFonts w:ascii="Cambria" w:eastAsia="Times New Roman" w:hAnsi="Cambria" w:cs="Arial"/>
          <w:bCs/>
          <w:color w:val="548DD4" w:themeColor="text2" w:themeTint="99"/>
          <w:sz w:val="26"/>
          <w:szCs w:val="26"/>
          <w:rtl/>
        </w:rPr>
      </w:pPr>
      <w:bookmarkStart w:id="613" w:name="_Toc24884039"/>
      <w:r w:rsidRPr="001D49D4">
        <w:rPr>
          <w:rFonts w:ascii="Cambria" w:eastAsia="Times New Roman" w:hAnsi="Cambria" w:cs="Arial"/>
          <w:bCs/>
          <w:color w:val="548DD4" w:themeColor="text2" w:themeTint="99"/>
          <w:sz w:val="26"/>
          <w:szCs w:val="26"/>
          <w:rtl/>
        </w:rPr>
        <w:t>סעיף ז: הממשכן קרקע למלוה לאחר שלוה ממנו.</w:t>
      </w:r>
      <w:bookmarkEnd w:id="613"/>
    </w:p>
    <w:p w14:paraId="1F5D67B6" w14:textId="77777777" w:rsidR="001D49D4" w:rsidRPr="001D49D4" w:rsidRDefault="001D49D4" w:rsidP="0004348D">
      <w:pPr>
        <w:spacing w:before="360" w:after="240"/>
        <w:rPr>
          <w:rFonts w:ascii="Calibri" w:eastAsia="Calibri" w:hAnsi="Calibri" w:cs="Arial"/>
          <w:u w:val="single"/>
          <w:rtl/>
        </w:rPr>
      </w:pPr>
      <w:r w:rsidRPr="001D49D4">
        <w:rPr>
          <w:rFonts w:ascii="Calibri" w:eastAsia="Calibri" w:hAnsi="Calibri" w:cs="Arial"/>
          <w:u w:val="single"/>
          <w:rtl/>
        </w:rPr>
        <w:t>ראובן הלוה לשמעון מנה, ואחר זמן כתב לו שטר בקנין שמחמת שלוה ממנו ונתחייב לו לכן ממשכן לו קרקע פלונית:</w:t>
      </w:r>
    </w:p>
    <w:p w14:paraId="5D606484" w14:textId="77777777" w:rsidR="001D49D4" w:rsidRPr="001D49D4" w:rsidRDefault="001D49D4" w:rsidP="0004348D">
      <w:pPr>
        <w:numPr>
          <w:ilvl w:val="0"/>
          <w:numId w:val="318"/>
        </w:numPr>
        <w:spacing w:before="360" w:after="240"/>
        <w:contextualSpacing/>
        <w:rPr>
          <w:rtl/>
        </w:rPr>
      </w:pPr>
      <w:r w:rsidRPr="001D49D4">
        <w:rPr>
          <w:rtl/>
        </w:rPr>
        <w:t>טור- ראובן הלוה לשמעון מנה ולאחר זמן כתב לו שטר ובקנין 'מחמת שלויתי מפלוני כך וכך ונתחייבתי לו בהן ומשכנתי לו קרקע פלוני' - זכה במשכונא</w:t>
      </w:r>
      <w:r w:rsidRPr="001D49D4">
        <w:rPr>
          <w:vertAlign w:val="superscript"/>
          <w:rtl/>
        </w:rPr>
        <w:footnoteReference w:id="4601"/>
      </w:r>
      <w:r w:rsidRPr="001D49D4">
        <w:rPr>
          <w:rtl/>
        </w:rPr>
        <w:t>, ולא אמרינן כיון דמלוה להוצאה ניתנה לא קנה הקרקע ולא נשתעבד לו בחובו, שהרי נשתעבד לו בחובו בשביל הודאה שהודה שלוה ממנו מנה, ואין קנין דמשכונא לגוף הקרקע אלא להחזיק בו ולאכול פירותיו עד שיפרע מחובו, ודומה למי שהלוה לחבירו מנה על פה ולאחר זמן מסר לו משכון על הלואתו שאינו יכול להוציא המשכון מידו עד שיפרע לו חובו</w:t>
      </w:r>
      <w:r w:rsidRPr="001D49D4">
        <w:rPr>
          <w:vertAlign w:val="superscript"/>
          <w:rtl/>
        </w:rPr>
        <w:footnoteReference w:id="4602"/>
      </w:r>
      <w:r w:rsidRPr="001D49D4">
        <w:rPr>
          <w:rtl/>
        </w:rPr>
        <w:t>.</w:t>
      </w:r>
      <w:r w:rsidRPr="001D49D4">
        <w:rPr>
          <w:color w:val="E36C0A" w:themeColor="accent6" w:themeShade="BF"/>
          <w:rtl/>
        </w:rPr>
        <w:t xml:space="preserve"> (וכ"פ בשו"ע)</w:t>
      </w:r>
    </w:p>
    <w:p w14:paraId="55FD0D05" w14:textId="77777777" w:rsidR="001D49D4" w:rsidRPr="001D49D4" w:rsidRDefault="001D49D4" w:rsidP="0004348D">
      <w:pPr>
        <w:spacing w:before="360" w:after="240"/>
        <w:rPr>
          <w:rFonts w:ascii="Arial" w:eastAsia="Calibri" w:hAnsi="Arial" w:cs="Arial"/>
          <w:b/>
          <w:bCs/>
          <w:color w:val="000000"/>
          <w:sz w:val="28"/>
          <w:szCs w:val="28"/>
          <w:u w:val="single"/>
          <w:rtl/>
        </w:rPr>
      </w:pPr>
      <w:r w:rsidRPr="001D49D4">
        <w:rPr>
          <w:rFonts w:ascii="Arial" w:eastAsia="Calibri" w:hAnsi="Arial" w:cs="Arial"/>
          <w:b/>
          <w:bCs/>
          <w:color w:val="000000"/>
          <w:sz w:val="28"/>
          <w:szCs w:val="28"/>
          <w:u w:val="single"/>
          <w:rtl/>
        </w:rPr>
        <w:t>שו"ע:</w:t>
      </w:r>
    </w:p>
    <w:p w14:paraId="67E95653"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rtl/>
        </w:rPr>
        <w:t>ראובן הלוה לשמעון מנה, ואחר זמן כתב לו שטר בקנין</w:t>
      </w:r>
      <w:r w:rsidRPr="001D49D4">
        <w:rPr>
          <w:rFonts w:ascii="Calibri" w:eastAsia="Calibri" w:hAnsi="Calibri" w:cs="Arial"/>
          <w:vertAlign w:val="superscript"/>
          <w:rtl/>
        </w:rPr>
        <w:footnoteReference w:id="4603"/>
      </w:r>
      <w:r w:rsidRPr="001D49D4">
        <w:rPr>
          <w:rFonts w:ascii="Calibri" w:eastAsia="Calibri" w:hAnsi="Calibri" w:cs="Arial"/>
          <w:rtl/>
        </w:rPr>
        <w:t xml:space="preserve"> 'מחמת שלויתי מפלוני כך וכך ונתחייבתי לו בהם משכנתי לו קרקע פלוני', זכה במשכונא</w:t>
      </w:r>
      <w:r w:rsidRPr="001D49D4">
        <w:rPr>
          <w:rFonts w:ascii="Calibri" w:eastAsia="Calibri" w:hAnsi="Calibri" w:cs="Arial"/>
          <w:vertAlign w:val="superscript"/>
          <w:rtl/>
        </w:rPr>
        <w:footnoteReference w:id="4604"/>
      </w:r>
      <w:r w:rsidRPr="001D49D4">
        <w:rPr>
          <w:rFonts w:ascii="Calibri" w:eastAsia="Calibri" w:hAnsi="Calibri" w:cs="Arial"/>
          <w:rtl/>
        </w:rPr>
        <w:t xml:space="preserve">. </w:t>
      </w:r>
    </w:p>
    <w:p w14:paraId="7DA1A25D" w14:textId="77777777" w:rsidR="001D49D4" w:rsidRPr="001D49D4" w:rsidRDefault="001D49D4" w:rsidP="0004348D">
      <w:pPr>
        <w:spacing w:before="360" w:after="240"/>
        <w:rPr>
          <w:rFonts w:ascii="Calibri" w:eastAsia="Calibri" w:hAnsi="Calibri" w:cs="Arial"/>
          <w:rtl/>
        </w:rPr>
      </w:pPr>
    </w:p>
    <w:p w14:paraId="3CDEBF6C" w14:textId="77777777" w:rsidR="001D49D4" w:rsidRPr="001D49D4" w:rsidRDefault="001D49D4" w:rsidP="0004348D">
      <w:pPr>
        <w:keepNext/>
        <w:keepLines/>
        <w:spacing w:before="360" w:after="240"/>
        <w:outlineLvl w:val="1"/>
        <w:rPr>
          <w:rFonts w:ascii="Cambria" w:eastAsia="Times New Roman" w:hAnsi="Cambria" w:cs="Arial"/>
          <w:bCs/>
          <w:color w:val="548DD4" w:themeColor="text2" w:themeTint="99"/>
          <w:sz w:val="26"/>
          <w:szCs w:val="26"/>
          <w:rtl/>
        </w:rPr>
      </w:pPr>
      <w:bookmarkStart w:id="614" w:name="_Toc24884040"/>
      <w:r w:rsidRPr="001D49D4">
        <w:rPr>
          <w:rFonts w:ascii="Cambria" w:eastAsia="Times New Roman" w:hAnsi="Cambria" w:cs="Arial"/>
          <w:bCs/>
          <w:color w:val="548DD4" w:themeColor="text2" w:themeTint="99"/>
          <w:sz w:val="26"/>
          <w:szCs w:val="26"/>
          <w:rtl/>
        </w:rPr>
        <w:t>סעיף ח: א' מחזיק בשטר ששמו לא נזכר בו, וטוען שהוא המלוה וההלואה נעשתה בשליחותו.</w:t>
      </w:r>
      <w:bookmarkEnd w:id="614"/>
    </w:p>
    <w:p w14:paraId="486272F7"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u w:val="single"/>
          <w:rtl/>
        </w:rPr>
        <w:t>ראובן הוציא שטר שכתוב בו שלוה שמעון מלוי, וטען ראובן שלוי שלוחו היה ובשליחותו הלוה:</w:t>
      </w:r>
      <w:r w:rsidRPr="001D49D4">
        <w:rPr>
          <w:rFonts w:ascii="Calibri" w:eastAsia="Calibri" w:hAnsi="Calibri" w:cs="Arial"/>
          <w:rtl/>
        </w:rPr>
        <w:t xml:space="preserve"> </w:t>
      </w:r>
    </w:p>
    <w:p w14:paraId="03E15AAE" w14:textId="77777777" w:rsidR="001D49D4" w:rsidRPr="001D49D4" w:rsidRDefault="001D49D4" w:rsidP="0004348D">
      <w:pPr>
        <w:numPr>
          <w:ilvl w:val="0"/>
          <w:numId w:val="318"/>
        </w:numPr>
        <w:spacing w:before="360" w:after="240"/>
        <w:contextualSpacing/>
        <w:rPr>
          <w:rtl/>
        </w:rPr>
      </w:pPr>
      <w:r w:rsidRPr="001D49D4">
        <w:rPr>
          <w:rtl/>
        </w:rPr>
        <w:t>טור- ראובן הוציא שטר שכתוב בו שלוה שמעון מלוי, וטען ראובן שלוי שלוחו היה ובשליחותו הלוה וכתב השטר על שמו ולא הקפיד עליו, ושמעון טוען 'לאו בעל דברים דידי את שהרי אין לך הרשאה מלוי ולא מכר שטר זה לך ולא נתנו לך'. אם הודה לוי לראובן ששלוחו היה, הרי נתגלה הדבר שממון זה של ראובן היה והוא המלוה, והלוה נשתעבד לו אע"פ שלא נכתב השטר בשמו - וכופין הלוה לפרוע לו ויפטר בכך. שלא הוצרכו כתיבה ומסירה אלא למי שבא לזכות ממונו למי שלא היה בו שום זכות עד עתה, אבל כאן כיון שזה מודה לדבריו ואינו חב לאחרים בהודאתו יש לנו להאמינו. לפיכך, אם בא לוי למחול ללוה - אינו יכול למחול לו, כיון שיש כאן מסירה והודאה זכה ראובן בשלו, וכאילו הלוה ראובן לשמעון מידו לידו וא"צ הקנאה חדשה</w:t>
      </w:r>
      <w:r w:rsidRPr="001D49D4">
        <w:rPr>
          <w:vertAlign w:val="superscript"/>
          <w:rtl/>
        </w:rPr>
        <w:footnoteReference w:id="4605"/>
      </w:r>
      <w:r w:rsidRPr="001D49D4">
        <w:rPr>
          <w:rtl/>
        </w:rPr>
        <w:t>.</w:t>
      </w:r>
      <w:r w:rsidRPr="001D49D4">
        <w:rPr>
          <w:color w:val="E36C0A" w:themeColor="accent6" w:themeShade="BF"/>
          <w:rtl/>
        </w:rPr>
        <w:t xml:space="preserve"> (וכ"פ בשו"ע)</w:t>
      </w:r>
    </w:p>
    <w:p w14:paraId="77607CBB" w14:textId="77777777" w:rsidR="001D49D4" w:rsidRPr="001D49D4" w:rsidRDefault="001D49D4" w:rsidP="0004348D">
      <w:pPr>
        <w:spacing w:before="360" w:after="240"/>
        <w:rPr>
          <w:rFonts w:ascii="Arial" w:eastAsia="Calibri" w:hAnsi="Arial" w:cs="Arial"/>
          <w:b/>
          <w:bCs/>
          <w:color w:val="000000"/>
          <w:sz w:val="28"/>
          <w:szCs w:val="28"/>
          <w:u w:val="single"/>
          <w:rtl/>
        </w:rPr>
      </w:pPr>
      <w:r w:rsidRPr="001D49D4">
        <w:rPr>
          <w:rFonts w:ascii="Arial" w:eastAsia="Calibri" w:hAnsi="Arial" w:cs="Arial"/>
          <w:b/>
          <w:bCs/>
          <w:color w:val="000000"/>
          <w:sz w:val="28"/>
          <w:szCs w:val="28"/>
          <w:u w:val="single"/>
          <w:rtl/>
        </w:rPr>
        <w:t>שו"ע:</w:t>
      </w:r>
    </w:p>
    <w:p w14:paraId="4B9E02A0"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rtl/>
        </w:rPr>
        <w:t xml:space="preserve">ראובן הוציא שטר שלוה שמעון מלוי, וטען ראובן שלוי היה שלוחו וכתב השטר על שמו ולא הקפיד עליו, ושמעון טוען לאו בעל דברים דידי את </w:t>
      </w:r>
      <w:r w:rsidRPr="001D49D4">
        <w:rPr>
          <w:rFonts w:ascii="Calibri" w:eastAsia="Calibri" w:hAnsi="Calibri" w:cs="Arial"/>
          <w:sz w:val="18"/>
          <w:szCs w:val="18"/>
          <w:rtl/>
        </w:rPr>
        <w:t>[הגה] מאחר שאין לך הרשאה מלוי (טור)</w:t>
      </w:r>
      <w:r w:rsidRPr="001D49D4">
        <w:rPr>
          <w:rFonts w:ascii="Calibri" w:eastAsia="Calibri" w:hAnsi="Calibri" w:cs="Arial"/>
          <w:rtl/>
        </w:rPr>
        <w:t>, אם הודה לוי לראובן ששלוחו היה, אם אינו חב לאחרים בהודאתו, כופין את שמעון שיפרע לראובן</w:t>
      </w:r>
      <w:r w:rsidRPr="001D49D4">
        <w:rPr>
          <w:rFonts w:ascii="Calibri" w:eastAsia="Calibri" w:hAnsi="Calibri" w:cs="Arial"/>
          <w:vertAlign w:val="superscript"/>
          <w:rtl/>
        </w:rPr>
        <w:footnoteReference w:id="4606"/>
      </w:r>
      <w:r w:rsidRPr="001D49D4">
        <w:rPr>
          <w:rFonts w:ascii="Calibri" w:eastAsia="Calibri" w:hAnsi="Calibri" w:cs="Arial"/>
          <w:rtl/>
        </w:rPr>
        <w:t xml:space="preserve">. ואם בא לוי למחול לשמעון, אינו מחול. </w:t>
      </w:r>
    </w:p>
    <w:p w14:paraId="07D79529" w14:textId="77777777" w:rsidR="001D49D4" w:rsidRPr="001D49D4" w:rsidRDefault="001D49D4" w:rsidP="0004348D">
      <w:pPr>
        <w:spacing w:before="360" w:after="240"/>
        <w:rPr>
          <w:rFonts w:ascii="Calibri" w:eastAsia="Calibri" w:hAnsi="Calibri" w:cs="Arial"/>
          <w:rtl/>
        </w:rPr>
      </w:pPr>
    </w:p>
    <w:p w14:paraId="748201FC" w14:textId="77777777" w:rsidR="001D49D4" w:rsidRPr="001D49D4" w:rsidRDefault="001D49D4" w:rsidP="0004348D">
      <w:pPr>
        <w:keepNext/>
        <w:keepLines/>
        <w:spacing w:before="360" w:after="240"/>
        <w:outlineLvl w:val="1"/>
        <w:rPr>
          <w:rFonts w:ascii="Cambria" w:eastAsia="Times New Roman" w:hAnsi="Cambria" w:cs="Arial"/>
          <w:bCs/>
          <w:color w:val="548DD4" w:themeColor="text2" w:themeTint="99"/>
          <w:sz w:val="26"/>
          <w:szCs w:val="26"/>
          <w:rtl/>
        </w:rPr>
      </w:pPr>
      <w:bookmarkStart w:id="615" w:name="_Toc24884041"/>
      <w:r w:rsidRPr="001D49D4">
        <w:rPr>
          <w:rFonts w:ascii="Cambria" w:eastAsia="Times New Roman" w:hAnsi="Cambria" w:cs="Arial"/>
          <w:bCs/>
          <w:color w:val="548DD4" w:themeColor="text2" w:themeTint="99"/>
          <w:sz w:val="26"/>
          <w:szCs w:val="26"/>
          <w:rtl/>
        </w:rPr>
        <w:t>סעיף ט: מלוה שאמר ללוה שיתחייב בקנין ובשטר לפלוני אך שיתנו העדים השטר לידו</w:t>
      </w:r>
      <w:r w:rsidRPr="001D49D4">
        <w:rPr>
          <w:rFonts w:ascii="Cambria" w:eastAsia="Times New Roman" w:hAnsi="Cambria" w:cs="Arial"/>
          <w:bCs/>
          <w:color w:val="548DD4" w:themeColor="text2" w:themeTint="99"/>
          <w:sz w:val="16"/>
          <w:szCs w:val="16"/>
          <w:rtl/>
        </w:rPr>
        <w:t xml:space="preserve"> (למלוה)</w:t>
      </w:r>
      <w:r w:rsidRPr="001D49D4">
        <w:rPr>
          <w:rFonts w:ascii="Cambria" w:eastAsia="Times New Roman" w:hAnsi="Cambria" w:cs="Arial"/>
          <w:bCs/>
          <w:color w:val="548DD4" w:themeColor="text2" w:themeTint="99"/>
          <w:sz w:val="26"/>
          <w:szCs w:val="26"/>
          <w:rtl/>
        </w:rPr>
        <w:t>.</w:t>
      </w:r>
      <w:bookmarkEnd w:id="615"/>
    </w:p>
    <w:p w14:paraId="3A931450"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b/>
          <w:bCs/>
          <w:rtl/>
        </w:rPr>
        <w:t xml:space="preserve">בבא קמא </w:t>
      </w:r>
      <w:r w:rsidRPr="001D49D4">
        <w:rPr>
          <w:rFonts w:ascii="Calibri" w:eastAsia="Calibri" w:hAnsi="Calibri" w:cs="Arial"/>
          <w:b/>
          <w:bCs/>
          <w:sz w:val="16"/>
          <w:szCs w:val="16"/>
          <w:rtl/>
        </w:rPr>
        <w:t>(פרק הגוזל קמא)</w:t>
      </w:r>
      <w:r w:rsidRPr="001D49D4">
        <w:rPr>
          <w:rFonts w:ascii="Calibri" w:eastAsia="Calibri" w:hAnsi="Calibri" w:cs="Arial"/>
          <w:b/>
          <w:bCs/>
          <w:rtl/>
        </w:rPr>
        <w:t xml:space="preserve"> קב</w:t>
      </w:r>
      <w:r w:rsidRPr="001D49D4">
        <w:rPr>
          <w:rFonts w:ascii="Calibri" w:eastAsia="Calibri" w:hAnsi="Calibri" w:cs="Arial"/>
          <w:b/>
          <w:bCs/>
          <w:vertAlign w:val="superscript"/>
          <w:rtl/>
        </w:rPr>
        <w:footnoteReference w:id="4607"/>
      </w:r>
      <w:r w:rsidRPr="001D49D4">
        <w:rPr>
          <w:rFonts w:ascii="Calibri" w:eastAsia="Calibri" w:hAnsi="Calibri" w:cs="Arial"/>
          <w:b/>
          <w:bCs/>
          <w:rtl/>
        </w:rPr>
        <w:t xml:space="preserve"> ע"ב:</w:t>
      </w:r>
      <w:r w:rsidRPr="001D49D4">
        <w:rPr>
          <w:rFonts w:ascii="Calibri" w:eastAsia="Calibri" w:hAnsi="Calibri" w:cs="Arial"/>
          <w:rtl/>
        </w:rPr>
        <w:t xml:space="preserve"> תנו רבנן: הלוקח שדה בשם חבירו - אין כופין אותו למכור, ואם אמר לו על מנת - כופין אותו למכור. מאי קאמר? </w:t>
      </w:r>
      <w:r w:rsidRPr="001D49D4">
        <w:rPr>
          <w:rFonts w:ascii="Calibri" w:eastAsia="Calibri" w:hAnsi="Calibri" w:cs="Arial"/>
          <w:u w:val="single"/>
          <w:rtl/>
        </w:rPr>
        <w:t>אמר רב ששת</w:t>
      </w:r>
      <w:r w:rsidRPr="001D49D4">
        <w:rPr>
          <w:rFonts w:ascii="Calibri" w:eastAsia="Calibri" w:hAnsi="Calibri" w:cs="Arial"/>
          <w:rtl/>
        </w:rPr>
        <w:t>: ה"ק, הלוקח שדה מחבירו בשם ריש גלותא</w:t>
      </w:r>
      <w:r w:rsidRPr="001D49D4">
        <w:rPr>
          <w:rFonts w:ascii="Calibri" w:eastAsia="Calibri" w:hAnsi="Calibri" w:cs="Arial"/>
          <w:vertAlign w:val="superscript"/>
          <w:rtl/>
        </w:rPr>
        <w:footnoteReference w:id="4608"/>
      </w:r>
      <w:r w:rsidRPr="001D49D4">
        <w:rPr>
          <w:rFonts w:ascii="Calibri" w:eastAsia="Calibri" w:hAnsi="Calibri" w:cs="Arial"/>
          <w:rtl/>
        </w:rPr>
        <w:t xml:space="preserve"> - אין כופין אותו ריש גלותא</w:t>
      </w:r>
      <w:r w:rsidRPr="001D49D4">
        <w:rPr>
          <w:rFonts w:ascii="Calibri" w:eastAsia="Calibri" w:hAnsi="Calibri" w:cs="Arial"/>
          <w:vertAlign w:val="superscript"/>
          <w:rtl/>
        </w:rPr>
        <w:footnoteReference w:id="4609"/>
      </w:r>
      <w:r w:rsidRPr="001D49D4">
        <w:rPr>
          <w:rFonts w:ascii="Calibri" w:eastAsia="Calibri" w:hAnsi="Calibri" w:cs="Arial"/>
          <w:rtl/>
        </w:rPr>
        <w:t xml:space="preserve"> למכור, ואם אמר על מנת - כופין את ריש גלותא למכור. </w:t>
      </w:r>
      <w:r w:rsidRPr="001D49D4">
        <w:rPr>
          <w:rFonts w:ascii="Calibri" w:eastAsia="Calibri" w:hAnsi="Calibri" w:cs="Arial"/>
          <w:u w:val="single"/>
          <w:rtl/>
        </w:rPr>
        <w:t>אמר מר</w:t>
      </w:r>
      <w:r w:rsidRPr="001D49D4">
        <w:rPr>
          <w:rFonts w:ascii="Calibri" w:eastAsia="Calibri" w:hAnsi="Calibri" w:cs="Arial"/>
          <w:rtl/>
        </w:rPr>
        <w:t>: הלוקח שדה בשם ריש גלותא - אין כופין אותו ריש גלותא למכור, מכלל דמקנא קניא ליה, לימא פליגא דבני מערבא, דאמרי: וכי מי הודיעו לבעל חטין שיקנה חטין לבעל הבית! אי משום הא לא קשיא, כגון דאודעיה לבעל שדה ואודעינהו לסהדי. אלא אימא סיפא: על מנת - כופין אותו ריש גלותא למכור, אמאי? ולימא ריש גלותא: לא יקרייכו</w:t>
      </w:r>
      <w:r w:rsidRPr="001D49D4">
        <w:rPr>
          <w:rFonts w:ascii="Calibri" w:eastAsia="Calibri" w:hAnsi="Calibri" w:cs="Arial"/>
          <w:vertAlign w:val="superscript"/>
          <w:rtl/>
        </w:rPr>
        <w:footnoteReference w:id="4610"/>
      </w:r>
      <w:r w:rsidRPr="001D49D4">
        <w:rPr>
          <w:rFonts w:ascii="Calibri" w:eastAsia="Calibri" w:hAnsi="Calibri" w:cs="Arial"/>
          <w:rtl/>
        </w:rPr>
        <w:t xml:space="preserve"> בעינא, ולא זילותייכו</w:t>
      </w:r>
      <w:r w:rsidRPr="001D49D4">
        <w:rPr>
          <w:rFonts w:ascii="Calibri" w:eastAsia="Calibri" w:hAnsi="Calibri" w:cs="Arial"/>
          <w:vertAlign w:val="superscript"/>
          <w:rtl/>
        </w:rPr>
        <w:footnoteReference w:id="4611"/>
      </w:r>
      <w:r w:rsidRPr="001D49D4">
        <w:rPr>
          <w:rFonts w:ascii="Calibri" w:eastAsia="Calibri" w:hAnsi="Calibri" w:cs="Arial"/>
          <w:rtl/>
        </w:rPr>
        <w:t xml:space="preserve"> בעינא! </w:t>
      </w:r>
      <w:r w:rsidRPr="001D49D4">
        <w:rPr>
          <w:rFonts w:ascii="Calibri" w:eastAsia="Calibri" w:hAnsi="Calibri" w:cs="Arial"/>
          <w:u w:val="single"/>
          <w:rtl/>
        </w:rPr>
        <w:t>אלא אמר אביי</w:t>
      </w:r>
      <w:r w:rsidRPr="001D49D4">
        <w:rPr>
          <w:rFonts w:ascii="Calibri" w:eastAsia="Calibri" w:hAnsi="Calibri" w:cs="Arial"/>
          <w:rtl/>
        </w:rPr>
        <w:t xml:space="preserve">: ה"ק, הלוקח שדה בשם חבירו ריש גלותא - </w:t>
      </w:r>
      <w:r w:rsidRPr="001D49D4">
        <w:rPr>
          <w:rFonts w:ascii="Calibri" w:eastAsia="Calibri" w:hAnsi="Calibri" w:cs="Arial"/>
          <w:sz w:val="14"/>
          <w:szCs w:val="14"/>
          <w:rtl/>
        </w:rPr>
        <w:t>(קג.)</w:t>
      </w:r>
      <w:r w:rsidRPr="001D49D4">
        <w:rPr>
          <w:rFonts w:ascii="Calibri" w:eastAsia="Calibri" w:hAnsi="Calibri" w:cs="Arial"/>
          <w:rtl/>
        </w:rPr>
        <w:t xml:space="preserve"> אין כופין את המוכר</w:t>
      </w:r>
      <w:r w:rsidRPr="001D49D4">
        <w:rPr>
          <w:rFonts w:ascii="Calibri" w:eastAsia="Calibri" w:hAnsi="Calibri" w:cs="Arial"/>
          <w:vertAlign w:val="superscript"/>
          <w:rtl/>
        </w:rPr>
        <w:footnoteReference w:id="4612"/>
      </w:r>
      <w:r w:rsidRPr="001D49D4">
        <w:rPr>
          <w:rFonts w:ascii="Calibri" w:eastAsia="Calibri" w:hAnsi="Calibri" w:cs="Arial"/>
          <w:rtl/>
        </w:rPr>
        <w:t xml:space="preserve"> למכור זימנא אחריתי, ואם אמר לו על מנת - כופין את המוכר למכור. </w:t>
      </w:r>
      <w:r w:rsidRPr="001D49D4">
        <w:rPr>
          <w:rFonts w:ascii="Calibri" w:eastAsia="Calibri" w:hAnsi="Calibri" w:cs="Arial"/>
          <w:u w:val="single"/>
          <w:rtl/>
        </w:rPr>
        <w:t>אמר מר</w:t>
      </w:r>
      <w:r w:rsidRPr="001D49D4">
        <w:rPr>
          <w:rFonts w:ascii="Calibri" w:eastAsia="Calibri" w:hAnsi="Calibri" w:cs="Arial"/>
          <w:rtl/>
        </w:rPr>
        <w:t>: הלוקח שדה בשם חבירו - אין כופין את המוכר למכור זימנא אחריתי. פשיטא! מהו דתימא מצי א"ל: מידע ידעת דאנא לנפשאי שקילנא, ופנחיא בעלמא הוא דקבעינא</w:t>
      </w:r>
      <w:r w:rsidRPr="001D49D4">
        <w:rPr>
          <w:rFonts w:ascii="Calibri" w:eastAsia="Calibri" w:hAnsi="Calibri" w:cs="Arial"/>
          <w:vertAlign w:val="superscript"/>
          <w:rtl/>
        </w:rPr>
        <w:footnoteReference w:id="4613"/>
      </w:r>
      <w:r w:rsidRPr="001D49D4">
        <w:rPr>
          <w:rFonts w:ascii="Calibri" w:eastAsia="Calibri" w:hAnsi="Calibri" w:cs="Arial"/>
          <w:rtl/>
        </w:rPr>
        <w:t>, וזוזי בכדי לא שדינא, אלא אדעתא דכתב ליה שטרא אחרינא, קא משמע לן דאמר ליה: עניינא</w:t>
      </w:r>
      <w:r w:rsidRPr="001D49D4">
        <w:rPr>
          <w:rFonts w:ascii="Calibri" w:eastAsia="Calibri" w:hAnsi="Calibri" w:cs="Arial"/>
          <w:vertAlign w:val="superscript"/>
          <w:rtl/>
        </w:rPr>
        <w:footnoteReference w:id="4614"/>
      </w:r>
      <w:r w:rsidRPr="001D49D4">
        <w:rPr>
          <w:rFonts w:ascii="Calibri" w:eastAsia="Calibri" w:hAnsi="Calibri" w:cs="Arial"/>
          <w:rtl/>
        </w:rPr>
        <w:t xml:space="preserve"> עבדי לך בהדי ההוא דזבנת ליה בשמיה, ויכתוב לך שטרא אחרינא. ואם אמר לו על מנת - כופין את המוכר למכור. פשיטא! לא צריכא, דאמר להו לסהדי קמיה דידיה</w:t>
      </w:r>
      <w:r w:rsidRPr="001D49D4">
        <w:rPr>
          <w:rFonts w:ascii="Calibri" w:eastAsia="Calibri" w:hAnsi="Calibri" w:cs="Arial"/>
          <w:vertAlign w:val="superscript"/>
          <w:rtl/>
        </w:rPr>
        <w:footnoteReference w:id="4615"/>
      </w:r>
      <w:r w:rsidRPr="001D49D4">
        <w:rPr>
          <w:rFonts w:ascii="Calibri" w:eastAsia="Calibri" w:hAnsi="Calibri" w:cs="Arial"/>
          <w:rtl/>
        </w:rPr>
        <w:t>: חזו דשטרא אחרינא קא בעינא, מהו דתימא מצי א"ל: אמינא שטרא מהיאך דקא שקלת בשמיה קאמרת</w:t>
      </w:r>
      <w:r w:rsidRPr="001D49D4">
        <w:rPr>
          <w:rFonts w:ascii="Calibri" w:eastAsia="Calibri" w:hAnsi="Calibri" w:cs="Arial"/>
          <w:vertAlign w:val="superscript"/>
          <w:rtl/>
        </w:rPr>
        <w:footnoteReference w:id="4616"/>
      </w:r>
      <w:r w:rsidRPr="001D49D4">
        <w:rPr>
          <w:rFonts w:ascii="Calibri" w:eastAsia="Calibri" w:hAnsi="Calibri" w:cs="Arial"/>
          <w:rtl/>
        </w:rPr>
        <w:t xml:space="preserve">, קא משמע לן דאמר ליה: להכי טרחי ואמרי להו לעדים קמך, דמינך הוא דקא בעינא. </w:t>
      </w:r>
      <w:r w:rsidRPr="001D49D4">
        <w:rPr>
          <w:rFonts w:ascii="Calibri" w:eastAsia="Calibri" w:hAnsi="Calibri" w:cs="Arial"/>
          <w:sz w:val="16"/>
          <w:szCs w:val="16"/>
          <w:rtl/>
        </w:rPr>
        <w:t>(וכתב הב"י לעי' ברא"ש בתשו' כלל צו סי' ה)</w:t>
      </w:r>
    </w:p>
    <w:p w14:paraId="377F0CF7" w14:textId="77777777" w:rsidR="001D49D4" w:rsidRPr="001D49D4" w:rsidRDefault="001D49D4" w:rsidP="0004348D">
      <w:pPr>
        <w:spacing w:before="360" w:after="240"/>
        <w:rPr>
          <w:rFonts w:ascii="Calibri" w:eastAsia="Calibri" w:hAnsi="Calibri" w:cs="Arial"/>
          <w:u w:val="single"/>
          <w:rtl/>
        </w:rPr>
      </w:pPr>
      <w:r w:rsidRPr="001D49D4">
        <w:rPr>
          <w:rFonts w:ascii="Calibri" w:eastAsia="Calibri" w:hAnsi="Calibri" w:cs="Arial"/>
          <w:u w:val="single"/>
          <w:rtl/>
        </w:rPr>
        <w:t>מלוה שאמר ללוה שיתחייב בקנין ובשטר לפלוני אך שיתנו העדים השטר לידו</w:t>
      </w:r>
      <w:r w:rsidRPr="001D49D4">
        <w:rPr>
          <w:rFonts w:ascii="Calibri" w:eastAsia="Calibri" w:hAnsi="Calibri" w:cs="Arial"/>
          <w:sz w:val="16"/>
          <w:szCs w:val="16"/>
          <w:u w:val="single"/>
          <w:rtl/>
        </w:rPr>
        <w:t xml:space="preserve"> (למלוה)</w:t>
      </w:r>
      <w:r w:rsidRPr="001D49D4">
        <w:rPr>
          <w:rFonts w:ascii="Calibri" w:eastAsia="Calibri" w:hAnsi="Calibri" w:cs="Arial"/>
          <w:u w:val="single"/>
          <w:rtl/>
        </w:rPr>
        <w:t>:</w:t>
      </w:r>
    </w:p>
    <w:p w14:paraId="202139A6" w14:textId="77777777" w:rsidR="001D49D4" w:rsidRPr="001D49D4" w:rsidRDefault="001D49D4" w:rsidP="0004348D">
      <w:pPr>
        <w:numPr>
          <w:ilvl w:val="0"/>
          <w:numId w:val="318"/>
        </w:numPr>
        <w:spacing w:before="360" w:after="240"/>
        <w:contextualSpacing/>
        <w:rPr>
          <w:rtl/>
        </w:rPr>
      </w:pPr>
      <w:r w:rsidRPr="001D49D4">
        <w:rPr>
          <w:rtl/>
        </w:rPr>
        <w:t xml:space="preserve">בעל התרומות </w:t>
      </w:r>
      <w:r w:rsidRPr="001D49D4">
        <w:rPr>
          <w:sz w:val="16"/>
          <w:szCs w:val="16"/>
          <w:rtl/>
        </w:rPr>
        <w:t>(שער נא ח"ט סי' א)</w:t>
      </w:r>
      <w:r w:rsidRPr="001D49D4">
        <w:rPr>
          <w:rtl/>
        </w:rPr>
        <w:t xml:space="preserve"> וטור- ראובן הלוה מעותיו ללוי, ובשעת הלואה אמר ללוי שיחייב עצמו בקנין ובשטר על שם שמעון אך שיתנו העדים השטר ליד ראובן. וכשתבע ראובן מלוי בזמנו טען 'לאו בעל דברים דידי את כי נתחייבתי לשמעון במצותיך והשטר נכתב על שמעון'. וראובן טוען 'ממני קבלת המעות ואני הלויתי לך ואתה חייב להחזירו לידי ולא הלויתי אותה ההלואה בשם שמעון אלא כדי שלא להשביע את עצמי' - הדין עם ראובן. ולא מיבעיא אם הודיע דבר זה ללוה ולעדים שלצורך דבר שבלבו הוא תולה ההלואה בשמעון ושמעון אינו מערער כלל בדבר, אלא אפילו עשה ענינו בסתר ושמעון מערער ואומר 'אע"פ שלא היה הממון שלי זכיתי בו מאחר שצוית ללוי להשתעבד לי בקנין ונכתב השטר על שמי הרי נתת אותו לי' - אין ממש בדבריו, הואיל ואמר ראובן שיתנו השטר לידו ולא לשמעון הרי גילה בדעתו שאינו לא לשון זכיה ולא לשון הודאה שיהיה של שמעון</w:t>
      </w:r>
      <w:r w:rsidRPr="001D49D4">
        <w:rPr>
          <w:vertAlign w:val="superscript"/>
          <w:rtl/>
        </w:rPr>
        <w:footnoteReference w:id="4617"/>
      </w:r>
      <w:r w:rsidRPr="001D49D4">
        <w:rPr>
          <w:rtl/>
        </w:rPr>
        <w:t>, שהרי לא הוציא בשפתיו אלא שיעשה השטר ע"ש שמעון מדרך אמנה שסומך עליו ולא זיכה לו כלום, וכיון ששמעון מודה שלא נעשית ההלואה מממונו כופין הלוה לפרוע לראובן שהלוה לו. ואם תבע ראובן לשמעון שנכתב השטר על שמו שיחזור ויעשה לו שטר מכר ממנו - אין כופין אותו, דמצי אמר ליה לא יקרא דידך בעינא ולא זילותא דידך בעינא. ולא עוד אלא אפילו אם הודיעו לשמעון בשעה שכתבו על שמו שעל מנת כן כתבו על שמו שיחזור ויעשה לו שטר מכר עליו - אפ"ה אין כופין אותו</w:t>
      </w:r>
      <w:r w:rsidRPr="001D49D4">
        <w:rPr>
          <w:vertAlign w:val="superscript"/>
          <w:rtl/>
        </w:rPr>
        <w:footnoteReference w:id="4618"/>
      </w:r>
      <w:r w:rsidRPr="001D49D4">
        <w:rPr>
          <w:rtl/>
        </w:rPr>
        <w:t>, שהרי לא עשה מעשה שיתקיים התנאי ביניהם. ואע"פ שהודה לו לעשותו - אינו אלא כמפליגו בדברים וחוזר בו. אבל אם אמר ללוה בשעת ההלואה 'ע"מ כן אני מלוה לך שתעשה לי שטר בשם שמעון ולכשארצה תחזירנו לי על שמי'</w:t>
      </w:r>
      <w:r w:rsidRPr="001D49D4">
        <w:rPr>
          <w:vertAlign w:val="superscript"/>
          <w:rtl/>
        </w:rPr>
        <w:footnoteReference w:id="4619"/>
      </w:r>
      <w:r w:rsidRPr="001D49D4">
        <w:rPr>
          <w:rtl/>
        </w:rPr>
        <w:t xml:space="preserve"> - כופין אותו על כן, אפילו לא פירש דבריו אלא אמר לעדים בפני הלוה עוד שטר אחר תכתבו לי על הלואה זו - מחייבין אותו לכתוב לו שטר אחר על שמו</w:t>
      </w:r>
      <w:r w:rsidRPr="001D49D4">
        <w:rPr>
          <w:sz w:val="16"/>
          <w:szCs w:val="16"/>
          <w:rtl/>
        </w:rPr>
        <w:t xml:space="preserve"> (ל' הטור)</w:t>
      </w:r>
      <w:r w:rsidRPr="001D49D4">
        <w:rPr>
          <w:rtl/>
        </w:rPr>
        <w:t>.</w:t>
      </w:r>
      <w:r w:rsidRPr="001D49D4">
        <w:rPr>
          <w:color w:val="E36C0A" w:themeColor="accent6" w:themeShade="BF"/>
          <w:rtl/>
        </w:rPr>
        <w:t xml:space="preserve"> (וכ"פ בשו"ע)</w:t>
      </w:r>
    </w:p>
    <w:p w14:paraId="35AD4795" w14:textId="77777777" w:rsidR="001D49D4" w:rsidRPr="001D49D4" w:rsidRDefault="001D49D4" w:rsidP="0004348D">
      <w:pPr>
        <w:spacing w:before="360" w:after="240"/>
        <w:rPr>
          <w:rFonts w:ascii="Calibri" w:eastAsia="Calibri" w:hAnsi="Calibri" w:cs="Arial"/>
          <w:u w:val="single"/>
        </w:rPr>
      </w:pPr>
      <w:r w:rsidRPr="001D49D4">
        <w:rPr>
          <w:rFonts w:ascii="Calibri" w:eastAsia="Calibri" w:hAnsi="Calibri" w:cs="Arial"/>
          <w:u w:val="single"/>
          <w:rtl/>
        </w:rPr>
        <w:t>שטר שהיה כתוב על שם ראובן וכתוב בסופו 'ואלו המעות הם מחכירות הקהל':</w:t>
      </w:r>
    </w:p>
    <w:p w14:paraId="539FF465" w14:textId="77777777" w:rsidR="001D49D4" w:rsidRPr="001D49D4" w:rsidRDefault="001D49D4" w:rsidP="0004348D">
      <w:pPr>
        <w:numPr>
          <w:ilvl w:val="0"/>
          <w:numId w:val="318"/>
        </w:numPr>
        <w:spacing w:before="360" w:after="240"/>
        <w:contextualSpacing/>
      </w:pPr>
      <w:r w:rsidRPr="001D49D4">
        <w:rPr>
          <w:rtl/>
        </w:rPr>
        <w:t xml:space="preserve">רא"ש </w:t>
      </w:r>
      <w:r w:rsidRPr="001D49D4">
        <w:rPr>
          <w:sz w:val="16"/>
          <w:szCs w:val="16"/>
          <w:rtl/>
        </w:rPr>
        <w:t>(כלל ו סי' טז)</w:t>
      </w:r>
      <w:r w:rsidRPr="001D49D4">
        <w:rPr>
          <w:rtl/>
        </w:rPr>
        <w:t xml:space="preserve">- שאלה, שטר שהיה כתוב על שם ראובן וכתוב בסופו 'ואלו המעות הם מחכירות הקהל', וטוען ראובן שכיון שכתובים על שמו, שלו הם. ועוד אומר שהקהל נתנו לו שטר זה לגבות ממנו מעות שהיה לו אצל הקהל, והקהל מכחישים אותו. תשובה, הדין עם הקהל </w:t>
      </w:r>
      <w:r w:rsidRPr="001D49D4">
        <w:rPr>
          <w:sz w:val="16"/>
          <w:szCs w:val="16"/>
          <w:rtl/>
        </w:rPr>
        <w:t>(ל' הב"י בשם הרא"ש)</w:t>
      </w:r>
      <w:r w:rsidRPr="001D49D4">
        <w:rPr>
          <w:vertAlign w:val="superscript"/>
          <w:rtl/>
        </w:rPr>
        <w:footnoteReference w:id="4620"/>
      </w:r>
      <w:r w:rsidRPr="001D49D4">
        <w:rPr>
          <w:rtl/>
        </w:rPr>
        <w:t>.</w:t>
      </w:r>
      <w:r w:rsidRPr="001D49D4">
        <w:rPr>
          <w:color w:val="E36C0A" w:themeColor="accent6" w:themeShade="BF"/>
          <w:rtl/>
        </w:rPr>
        <w:t xml:space="preserve"> (וכ"פ בשו"ע)</w:t>
      </w:r>
    </w:p>
    <w:p w14:paraId="3A6FBBA8" w14:textId="77777777" w:rsidR="001D49D4" w:rsidRPr="001D49D4" w:rsidRDefault="001D49D4" w:rsidP="0004348D">
      <w:pPr>
        <w:spacing w:before="360" w:after="240"/>
        <w:rPr>
          <w:rFonts w:ascii="Arial" w:eastAsia="Calibri" w:hAnsi="Arial" w:cs="Arial"/>
          <w:b/>
          <w:bCs/>
          <w:color w:val="000000"/>
          <w:sz w:val="28"/>
          <w:szCs w:val="28"/>
          <w:u w:val="single"/>
          <w:rtl/>
        </w:rPr>
      </w:pPr>
      <w:r w:rsidRPr="001D49D4">
        <w:rPr>
          <w:rFonts w:ascii="Arial" w:eastAsia="Calibri" w:hAnsi="Arial" w:cs="Arial"/>
          <w:b/>
          <w:bCs/>
          <w:color w:val="000000"/>
          <w:sz w:val="28"/>
          <w:szCs w:val="28"/>
          <w:u w:val="single"/>
          <w:rtl/>
        </w:rPr>
        <w:t>שו"ע:</w:t>
      </w:r>
    </w:p>
    <w:p w14:paraId="6B7EE443"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rtl/>
        </w:rPr>
        <w:t xml:space="preserve">ראובן הלוה מנה ללוי, ובשעת הלואה אמר ללוי שיכתבו </w:t>
      </w:r>
      <w:r w:rsidRPr="001D49D4">
        <w:rPr>
          <w:rFonts w:ascii="Calibri" w:eastAsia="Calibri" w:hAnsi="Calibri" w:cs="Arial"/>
          <w:sz w:val="16"/>
          <w:szCs w:val="16"/>
          <w:vertAlign w:val="superscript"/>
          <w:rtl/>
        </w:rPr>
        <w:footnoteReference w:id="4621"/>
      </w:r>
      <w:r w:rsidRPr="001D49D4">
        <w:rPr>
          <w:rFonts w:ascii="Calibri" w:eastAsia="Calibri" w:hAnsi="Calibri" w:cs="Arial"/>
          <w:sz w:val="16"/>
          <w:szCs w:val="16"/>
          <w:rtl/>
        </w:rPr>
        <w:t xml:space="preserve">(העדים) </w:t>
      </w:r>
      <w:r w:rsidRPr="001D49D4">
        <w:rPr>
          <w:rFonts w:ascii="Calibri" w:eastAsia="Calibri" w:hAnsi="Calibri" w:cs="Arial"/>
          <w:rtl/>
        </w:rPr>
        <w:t>השטר על שם שמעון, אך שיתנו השטר ליד ראובן. וכשתבע ראובן מלוי בזמנו טען 'לאו בעל דברים דידי את', הדין עם ראובן. ואם תבע ראובן לשמעון שיעשה לו שטר מכר מהשטר הזה שנכתב על שמו, אין כופין אותו</w:t>
      </w:r>
      <w:r w:rsidRPr="001D49D4">
        <w:rPr>
          <w:rFonts w:ascii="Calibri" w:eastAsia="Calibri" w:hAnsi="Calibri" w:cs="Arial"/>
          <w:vertAlign w:val="superscript"/>
          <w:rtl/>
        </w:rPr>
        <w:footnoteReference w:id="4622"/>
      </w:r>
      <w:r w:rsidRPr="001D49D4">
        <w:rPr>
          <w:rFonts w:ascii="Calibri" w:eastAsia="Calibri" w:hAnsi="Calibri" w:cs="Arial"/>
          <w:rtl/>
        </w:rPr>
        <w:t>. ואפילו הודה לו שמעון שיעשה לו שטר מכר, יכול לחזור בו. אבל אם אמר ללוה בשעת הלואה 'על מנת כן אני מלוה לך שתעשה לי שטר בשם שמעון ולכשארצה תחזירנו לו על שמי', כופין אותו על כך, אפילו לא פירש דבריו אלא אמר לעדים</w:t>
      </w:r>
      <w:r w:rsidRPr="001D49D4">
        <w:rPr>
          <w:rFonts w:ascii="Calibri" w:eastAsia="Calibri" w:hAnsi="Calibri" w:cs="Arial"/>
          <w:vertAlign w:val="superscript"/>
          <w:rtl/>
        </w:rPr>
        <w:footnoteReference w:id="4623"/>
      </w:r>
      <w:r w:rsidRPr="001D49D4">
        <w:rPr>
          <w:rFonts w:ascii="Calibri" w:eastAsia="Calibri" w:hAnsi="Calibri" w:cs="Arial"/>
          <w:rtl/>
        </w:rPr>
        <w:t xml:space="preserve"> בפני הלוה 'עוד שטר אחר תכתבו לי על הלואה זו', מחייבין אותו לכתוב שטר אחר על שמו. שטר שהיה כתוב על שם ראובן, וכתוב בסופו </w:t>
      </w:r>
      <w:r w:rsidRPr="001D49D4">
        <w:rPr>
          <w:rFonts w:ascii="Calibri" w:eastAsia="Calibri" w:hAnsi="Calibri" w:cs="Arial"/>
          <w:sz w:val="16"/>
          <w:szCs w:val="16"/>
          <w:vertAlign w:val="superscript"/>
          <w:rtl/>
        </w:rPr>
        <w:footnoteReference w:id="4624"/>
      </w:r>
      <w:r w:rsidRPr="001D49D4">
        <w:rPr>
          <w:rFonts w:ascii="Calibri" w:eastAsia="Calibri" w:hAnsi="Calibri" w:cs="Arial"/>
          <w:sz w:val="16"/>
          <w:szCs w:val="16"/>
          <w:rtl/>
        </w:rPr>
        <w:t>(קודם חתימת העדים)</w:t>
      </w:r>
      <w:r w:rsidRPr="001D49D4">
        <w:rPr>
          <w:rFonts w:ascii="Calibri" w:eastAsia="Calibri" w:hAnsi="Calibri" w:cs="Arial"/>
          <w:rtl/>
        </w:rPr>
        <w:t xml:space="preserve"> 'ואלו המעות הם מחכירות הקהל', וטוען ראובן שכיון שכתובים על שמו שלו הם, שהקהל נתנו לו שטר זה על מעות שהיה לו אצל הקהל, והקהל מכחישין אותו, הדין עם הקהל</w:t>
      </w:r>
      <w:r w:rsidRPr="001D49D4">
        <w:rPr>
          <w:rFonts w:ascii="Calibri" w:eastAsia="Calibri" w:hAnsi="Calibri" w:cs="Arial"/>
          <w:vertAlign w:val="superscript"/>
          <w:rtl/>
        </w:rPr>
        <w:footnoteReference w:id="4625"/>
      </w:r>
      <w:r w:rsidRPr="001D49D4">
        <w:rPr>
          <w:rFonts w:ascii="Calibri" w:eastAsia="Calibri" w:hAnsi="Calibri" w:cs="Arial"/>
          <w:rtl/>
        </w:rPr>
        <w:t xml:space="preserve">. </w:t>
      </w:r>
    </w:p>
    <w:p w14:paraId="7E07BC12" w14:textId="77777777" w:rsidR="001D49D4" w:rsidRPr="001D49D4" w:rsidRDefault="001D49D4" w:rsidP="0004348D">
      <w:pPr>
        <w:spacing w:before="360" w:after="240"/>
        <w:rPr>
          <w:rFonts w:ascii="Calibri" w:eastAsia="Calibri" w:hAnsi="Calibri" w:cs="Arial"/>
          <w:rtl/>
        </w:rPr>
      </w:pPr>
    </w:p>
    <w:p w14:paraId="09C707BD" w14:textId="77777777" w:rsidR="001D49D4" w:rsidRPr="001D49D4" w:rsidRDefault="001D49D4" w:rsidP="0004348D">
      <w:pPr>
        <w:keepNext/>
        <w:keepLines/>
        <w:spacing w:before="360" w:after="240"/>
        <w:outlineLvl w:val="1"/>
        <w:rPr>
          <w:rFonts w:ascii="Cambria" w:eastAsia="Times New Roman" w:hAnsi="Cambria" w:cs="Arial"/>
          <w:bCs/>
          <w:color w:val="548DD4" w:themeColor="text2" w:themeTint="99"/>
          <w:sz w:val="26"/>
          <w:szCs w:val="26"/>
          <w:rtl/>
        </w:rPr>
      </w:pPr>
      <w:bookmarkStart w:id="616" w:name="_Toc24884042"/>
      <w:r w:rsidRPr="001D49D4">
        <w:rPr>
          <w:rFonts w:ascii="Cambria" w:eastAsia="Times New Roman" w:hAnsi="Cambria" w:cs="Arial"/>
          <w:bCs/>
          <w:color w:val="548DD4" w:themeColor="text2" w:themeTint="99"/>
          <w:sz w:val="26"/>
          <w:szCs w:val="26"/>
          <w:rtl/>
        </w:rPr>
        <w:t>סעיף י: מלוה אמר ללוה ליתן בחובו לפלוני, ולפני שנתן לפלוני עשה המלוה שטר מחילה ללוה.</w:t>
      </w:r>
      <w:bookmarkEnd w:id="616"/>
    </w:p>
    <w:p w14:paraId="33808141" w14:textId="77777777" w:rsidR="001D49D4" w:rsidRPr="001D49D4" w:rsidRDefault="001D49D4" w:rsidP="0004348D">
      <w:pPr>
        <w:spacing w:before="360" w:after="240"/>
        <w:rPr>
          <w:rFonts w:ascii="Calibri" w:eastAsia="Calibri" w:hAnsi="Calibri" w:cs="Arial"/>
          <w:u w:val="single"/>
          <w:rtl/>
        </w:rPr>
      </w:pPr>
      <w:r w:rsidRPr="001D49D4">
        <w:rPr>
          <w:rFonts w:ascii="Calibri" w:eastAsia="Calibri" w:hAnsi="Calibri" w:cs="Arial"/>
          <w:u w:val="single"/>
          <w:rtl/>
        </w:rPr>
        <w:t>מלוה אמר ללוה ליתן בחובו לפלוני, ולפני שנתן לפלוני עשה המלוה שטר מחילה ללוה:</w:t>
      </w:r>
    </w:p>
    <w:p w14:paraId="63EB58CD" w14:textId="77777777" w:rsidR="001D49D4" w:rsidRPr="001D49D4" w:rsidRDefault="001D49D4" w:rsidP="0004348D">
      <w:pPr>
        <w:numPr>
          <w:ilvl w:val="0"/>
          <w:numId w:val="318"/>
        </w:numPr>
        <w:spacing w:before="360" w:after="240"/>
        <w:contextualSpacing/>
        <w:rPr>
          <w:rtl/>
        </w:rPr>
      </w:pPr>
      <w:r w:rsidRPr="001D49D4">
        <w:rPr>
          <w:rtl/>
        </w:rPr>
        <w:t xml:space="preserve">רשב"א </w:t>
      </w:r>
      <w:r w:rsidRPr="001D49D4">
        <w:rPr>
          <w:sz w:val="16"/>
          <w:szCs w:val="16"/>
          <w:rtl/>
        </w:rPr>
        <w:t>(סי' תתקכז)</w:t>
      </w:r>
      <w:r w:rsidRPr="001D49D4">
        <w:rPr>
          <w:rtl/>
        </w:rPr>
        <w:t>- שאלת, שמעון שהיה חייב מנה לראובן, ונתפשרו ביניהם שיעשה שמעון שטר חוב ללוי מעשרים דינרים, ואח"כ נתרצה ראובן לשמעון ועשה לו שטר מחילה גמורה מכל תביעת ממון. ועכשיו טוען שמעון כי כיון שלוי לא הלוהו שום ממון אלא ראובן הוא שהלוהו וכיון שמחל לו כל תביעת ממון גם זה בכלל. תשובה, הדין עם שמעון</w:t>
      </w:r>
      <w:r w:rsidRPr="001D49D4">
        <w:rPr>
          <w:sz w:val="16"/>
          <w:szCs w:val="16"/>
          <w:rtl/>
        </w:rPr>
        <w:t xml:space="preserve"> (ל' הב"י בשם הרשב"א)</w:t>
      </w:r>
      <w:r w:rsidRPr="001D49D4">
        <w:rPr>
          <w:vertAlign w:val="superscript"/>
          <w:rtl/>
        </w:rPr>
        <w:footnoteReference w:id="4626"/>
      </w:r>
      <w:r w:rsidRPr="001D49D4">
        <w:rPr>
          <w:rtl/>
        </w:rPr>
        <w:t>.</w:t>
      </w:r>
      <w:r w:rsidRPr="001D49D4">
        <w:rPr>
          <w:color w:val="E36C0A" w:themeColor="accent6" w:themeShade="BF"/>
          <w:rtl/>
        </w:rPr>
        <w:t xml:space="preserve"> (וכ"פ בשו"ע)</w:t>
      </w:r>
    </w:p>
    <w:p w14:paraId="56BAA788" w14:textId="77777777" w:rsidR="001D49D4" w:rsidRPr="001D49D4" w:rsidRDefault="001D49D4" w:rsidP="0004348D">
      <w:pPr>
        <w:spacing w:before="360" w:after="240"/>
        <w:rPr>
          <w:rFonts w:ascii="Arial" w:eastAsia="Calibri" w:hAnsi="Arial" w:cs="Arial"/>
          <w:b/>
          <w:bCs/>
          <w:color w:val="000000"/>
          <w:sz w:val="28"/>
          <w:szCs w:val="28"/>
          <w:u w:val="single"/>
          <w:rtl/>
        </w:rPr>
      </w:pPr>
      <w:r w:rsidRPr="001D49D4">
        <w:rPr>
          <w:rFonts w:ascii="Arial" w:eastAsia="Calibri" w:hAnsi="Arial" w:cs="Arial"/>
          <w:b/>
          <w:bCs/>
          <w:color w:val="000000"/>
          <w:sz w:val="28"/>
          <w:szCs w:val="28"/>
          <w:u w:val="single"/>
          <w:rtl/>
        </w:rPr>
        <w:t>שו"ע:</w:t>
      </w:r>
    </w:p>
    <w:p w14:paraId="51B9FE4C"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rtl/>
        </w:rPr>
        <w:t xml:space="preserve">שמעון שהיה חייב מנה לראובן, ונתפשרו ביניהם שיעשה שמעון שטר חוב ללוי מעשרים דינרים, ואחר כך עשה ראובן </w:t>
      </w:r>
      <w:r w:rsidRPr="001D49D4">
        <w:rPr>
          <w:rFonts w:ascii="Calibri" w:eastAsia="Calibri" w:hAnsi="Calibri" w:cs="Arial"/>
          <w:color w:val="000000" w:themeColor="text1"/>
          <w:sz w:val="16"/>
          <w:szCs w:val="16"/>
          <w:vertAlign w:val="superscript"/>
          <w:rtl/>
        </w:rPr>
        <w:footnoteReference w:id="4627"/>
      </w:r>
      <w:r w:rsidRPr="001D49D4">
        <w:rPr>
          <w:rFonts w:ascii="Calibri" w:eastAsia="Calibri" w:hAnsi="Calibri" w:cs="Arial"/>
          <w:color w:val="000000" w:themeColor="text1"/>
          <w:sz w:val="16"/>
          <w:szCs w:val="16"/>
          <w:rtl/>
        </w:rPr>
        <w:t xml:space="preserve">(לשמעון) </w:t>
      </w:r>
      <w:r w:rsidRPr="001D49D4">
        <w:rPr>
          <w:rFonts w:ascii="Calibri" w:eastAsia="Calibri" w:hAnsi="Calibri" w:cs="Arial"/>
          <w:rtl/>
        </w:rPr>
        <w:t>שטר מחילה מכל תביעת ממון, ועכשיו טוען שמעון שכיון שלוי לא הלוהו אלא ראובן, כיון שמחל לו כל תביעת ממון גם זה בכלל, הדין עם שמעון</w:t>
      </w:r>
      <w:r w:rsidRPr="001D49D4">
        <w:rPr>
          <w:rFonts w:ascii="Calibri" w:eastAsia="Calibri" w:hAnsi="Calibri" w:cs="Arial"/>
          <w:vertAlign w:val="superscript"/>
          <w:rtl/>
        </w:rPr>
        <w:footnoteReference w:id="4628"/>
      </w:r>
      <w:r w:rsidRPr="001D49D4">
        <w:rPr>
          <w:rFonts w:ascii="Calibri" w:eastAsia="Calibri" w:hAnsi="Calibri" w:cs="Arial"/>
          <w:rtl/>
        </w:rPr>
        <w:t xml:space="preserve">. </w:t>
      </w:r>
    </w:p>
    <w:p w14:paraId="675D870B" w14:textId="77777777" w:rsidR="001D49D4" w:rsidRPr="001D49D4" w:rsidRDefault="001D49D4" w:rsidP="0004348D">
      <w:pPr>
        <w:spacing w:before="360" w:after="240"/>
        <w:rPr>
          <w:rFonts w:ascii="Calibri" w:eastAsia="Calibri" w:hAnsi="Calibri" w:cs="Arial"/>
          <w:rtl/>
        </w:rPr>
      </w:pPr>
    </w:p>
    <w:p w14:paraId="0A129E3F" w14:textId="77777777" w:rsidR="001D49D4" w:rsidRPr="001D49D4" w:rsidRDefault="001D49D4" w:rsidP="0004348D">
      <w:pPr>
        <w:keepNext/>
        <w:keepLines/>
        <w:spacing w:before="360" w:after="240"/>
        <w:outlineLvl w:val="1"/>
        <w:rPr>
          <w:rFonts w:ascii="Cambria" w:eastAsia="Times New Roman" w:hAnsi="Cambria" w:cs="Arial"/>
          <w:bCs/>
          <w:color w:val="548DD4" w:themeColor="text2" w:themeTint="99"/>
          <w:sz w:val="26"/>
          <w:szCs w:val="26"/>
          <w:rtl/>
        </w:rPr>
      </w:pPr>
      <w:bookmarkStart w:id="617" w:name="_Toc24884043"/>
      <w:r w:rsidRPr="001D49D4">
        <w:rPr>
          <w:rFonts w:ascii="Cambria" w:eastAsia="Times New Roman" w:hAnsi="Cambria" w:cs="Arial"/>
          <w:bCs/>
          <w:color w:val="548DD4" w:themeColor="text2" w:themeTint="99"/>
          <w:sz w:val="26"/>
          <w:szCs w:val="26"/>
          <w:rtl/>
        </w:rPr>
        <w:t>סעיף יא: הלוה לחברו על משכונת קרקע וצוה לכתוב הקרקע בשם בנו הקטן.</w:t>
      </w:r>
      <w:bookmarkEnd w:id="617"/>
    </w:p>
    <w:p w14:paraId="074D83EC"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u w:val="single"/>
          <w:rtl/>
        </w:rPr>
        <w:t>הלוה לחברו על משכונת קרקע וצוה לכתוב הקרקע בשם בנו הקטן:</w:t>
      </w:r>
    </w:p>
    <w:p w14:paraId="43CAAE94" w14:textId="77777777" w:rsidR="001D49D4" w:rsidRPr="001D49D4" w:rsidRDefault="001D49D4" w:rsidP="0004348D">
      <w:pPr>
        <w:numPr>
          <w:ilvl w:val="0"/>
          <w:numId w:val="318"/>
        </w:numPr>
        <w:spacing w:before="360" w:after="240"/>
        <w:contextualSpacing/>
        <w:rPr>
          <w:rtl/>
        </w:rPr>
      </w:pPr>
      <w:r w:rsidRPr="001D49D4">
        <w:rPr>
          <w:rtl/>
        </w:rPr>
        <w:t>רא"ש</w:t>
      </w:r>
      <w:r w:rsidRPr="001D49D4">
        <w:rPr>
          <w:sz w:val="16"/>
          <w:szCs w:val="16"/>
          <w:rtl/>
        </w:rPr>
        <w:t xml:space="preserve"> (כלל צו סי' ב)</w:t>
      </w:r>
      <w:r w:rsidRPr="001D49D4">
        <w:rPr>
          <w:rtl/>
        </w:rPr>
        <w:t xml:space="preserve">- מה ששאלת על ראובן שהלוה מעות לשמעון, ומשכן בהם שמעון קרקע לראובן, וצוה ראובן לכתוב השטר בשם בנו הקטן. ועתה טוען שמעון 'לאו בעל דברים דידי את לכשיגדל בנך אדע מה אשיב לו'. דע כי אין בדברי שמעון כלום וצריך לפרוע הוא לראובן שהלוה לו המעות בשם בנו, כי נמצא שהיה אפטרופא של בנו בשעת ההלואה לכך גם עתה נמי הוא אפוטרופא שלו וצריך לפרוע לו. ועוד ביד האב תלוי למנות אפוטרופא לבנו כדתנן </w:t>
      </w:r>
      <w:r w:rsidRPr="001D49D4">
        <w:rPr>
          <w:sz w:val="16"/>
          <w:szCs w:val="16"/>
          <w:rtl/>
        </w:rPr>
        <w:t xml:space="preserve">(גיטין נב.) </w:t>
      </w:r>
      <w:r w:rsidRPr="001D49D4">
        <w:rPr>
          <w:rtl/>
        </w:rPr>
        <w:t>מנהו אבי יתומים ישבע, כל שכן שמינה את עצמו אפוטרופא. ועוד לא גרע מיתומים שסמכו אצל בעל הבית שיש לו דין אפוטרופא כדאיתא בפרק הנזקין, כ"ש הסמוך על שלחנו של אביו שהאב הוא אפוטרופא שלו, וחייב שמעון לפרוע לראובן.</w:t>
      </w:r>
      <w:r w:rsidRPr="001D49D4">
        <w:rPr>
          <w:color w:val="E36C0A" w:themeColor="accent6" w:themeShade="BF"/>
          <w:rtl/>
        </w:rPr>
        <w:t xml:space="preserve"> (וכ"פ בשו"ע)</w:t>
      </w:r>
    </w:p>
    <w:p w14:paraId="5198464C" w14:textId="77777777" w:rsidR="001D49D4" w:rsidRPr="001D49D4" w:rsidRDefault="001D49D4" w:rsidP="0004348D">
      <w:pPr>
        <w:spacing w:before="360" w:after="240"/>
        <w:rPr>
          <w:rFonts w:ascii="Calibri" w:eastAsia="Calibri" w:hAnsi="Calibri" w:cs="Arial"/>
          <w:u w:val="single"/>
        </w:rPr>
      </w:pPr>
      <w:r w:rsidRPr="001D49D4">
        <w:rPr>
          <w:rFonts w:ascii="Calibri" w:eastAsia="Calibri" w:hAnsi="Calibri" w:cs="Arial"/>
          <w:u w:val="single"/>
          <w:rtl/>
        </w:rPr>
        <w:t>קנה קרקעות</w:t>
      </w:r>
      <w:r w:rsidRPr="001D49D4">
        <w:rPr>
          <w:rFonts w:ascii="Calibri" w:eastAsia="Calibri" w:hAnsi="Calibri" w:cs="Arial"/>
          <w:sz w:val="16"/>
          <w:szCs w:val="16"/>
          <w:u w:val="single"/>
          <w:rtl/>
        </w:rPr>
        <w:t xml:space="preserve"> (או הלוה לבני אדם)</w:t>
      </w:r>
      <w:r w:rsidRPr="001D49D4">
        <w:rPr>
          <w:rFonts w:ascii="Calibri" w:eastAsia="Calibri" w:hAnsi="Calibri" w:cs="Arial"/>
          <w:u w:val="single"/>
          <w:rtl/>
        </w:rPr>
        <w:t xml:space="preserve"> וכתב שטרי הקנין בשם בניו שיזכו בהם לאחר מיתתו, ואח"כ נשא אשה אחרת וילדה בן: </w:t>
      </w:r>
    </w:p>
    <w:p w14:paraId="59CDA5FA" w14:textId="77777777" w:rsidR="001D49D4" w:rsidRPr="001D49D4" w:rsidRDefault="001D49D4" w:rsidP="0004348D">
      <w:pPr>
        <w:numPr>
          <w:ilvl w:val="0"/>
          <w:numId w:val="318"/>
        </w:numPr>
        <w:spacing w:before="360" w:after="240"/>
        <w:contextualSpacing/>
      </w:pPr>
      <w:r w:rsidRPr="001D49D4">
        <w:rPr>
          <w:rtl/>
        </w:rPr>
        <w:t>רא"ש</w:t>
      </w:r>
      <w:r w:rsidRPr="001D49D4">
        <w:rPr>
          <w:sz w:val="16"/>
          <w:szCs w:val="16"/>
          <w:rtl/>
        </w:rPr>
        <w:t xml:space="preserve"> (כלל צו סי' ג)</w:t>
      </w:r>
      <w:r w:rsidRPr="001D49D4">
        <w:rPr>
          <w:rtl/>
        </w:rPr>
        <w:t>- וששאלתם אדם א' היה לו אשה ובנים קטנים ומתה האשה, ואותו אדם קנה בתים וקרקעות ועשה השטרות של הקנייה בשם בניו הקטנים. וגם הלוה לבני אדם ועשה שטרי הלואות בשם בניו הקטנים. והפקיד כל השטרות ביד נאמן בשם בניו הקטנים ואמר לו 'כל השטרות יהו בידך אם ימות יהיו לבניו אחריו אבל כל זמן שאני קיים יהיו שלי'. ואח"כ נשא אשה אחרת והוליד ממנה בן, ונפטר, ונשארו השטרות ביד הנפקד. האם יירש הבן האחרון עם הבנים הראשונים או לא. תשובה, כיון שנכתבו השטרות בשם הבנים גם הקנין היה לשם הבנים כי בענין אחר לא היו העדים חותמין, אם כן קנו הבנים כי אביהם נתן להם הממון וזכה להם נחלת הבנים וקרקעות ובירושה נפלה להם מאבי אמם. ועוד שהרי צוה כי אם ימות יהא לבניו אחריו והנפקד זכה בהם מתחת ידו.</w:t>
      </w:r>
    </w:p>
    <w:p w14:paraId="416555E4" w14:textId="77777777" w:rsidR="001D49D4" w:rsidRPr="001D49D4" w:rsidRDefault="001D49D4" w:rsidP="0004348D">
      <w:pPr>
        <w:spacing w:before="360" w:after="240"/>
        <w:rPr>
          <w:rFonts w:ascii="Arial" w:eastAsia="Calibri" w:hAnsi="Arial" w:cs="Arial"/>
          <w:b/>
          <w:bCs/>
          <w:color w:val="000000"/>
          <w:sz w:val="28"/>
          <w:szCs w:val="28"/>
          <w:u w:val="single"/>
          <w:rtl/>
        </w:rPr>
      </w:pPr>
      <w:r w:rsidRPr="001D49D4">
        <w:rPr>
          <w:rFonts w:ascii="Arial" w:eastAsia="Calibri" w:hAnsi="Arial" w:cs="Arial"/>
          <w:b/>
          <w:bCs/>
          <w:color w:val="000000"/>
          <w:sz w:val="28"/>
          <w:szCs w:val="28"/>
          <w:u w:val="single"/>
          <w:rtl/>
        </w:rPr>
        <w:t>שו"ע:</w:t>
      </w:r>
    </w:p>
    <w:p w14:paraId="679CDF25"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rtl/>
        </w:rPr>
        <w:t>המלוה את חבירו על משכונות קרקע, וצוה לכתוב הקרקע בשם בנו הקטן, ועכשיו טוען הלוה למלוה לאו בעל דברים דידי את, אין בדבריו כלום.</w:t>
      </w:r>
    </w:p>
    <w:p w14:paraId="08298E0C" w14:textId="77777777" w:rsidR="001D49D4" w:rsidRPr="001D49D4" w:rsidRDefault="001D49D4" w:rsidP="0004348D">
      <w:pPr>
        <w:spacing w:before="360" w:after="240"/>
        <w:rPr>
          <w:rFonts w:ascii="Calibri" w:eastAsia="Calibri" w:hAnsi="Calibri" w:cs="Arial"/>
          <w:rtl/>
        </w:rPr>
      </w:pPr>
    </w:p>
    <w:p w14:paraId="3D3B22A6" w14:textId="77777777" w:rsidR="001D49D4" w:rsidRPr="001D49D4" w:rsidRDefault="001D49D4" w:rsidP="0004348D">
      <w:pPr>
        <w:keepNext/>
        <w:keepLines/>
        <w:spacing w:before="360" w:after="240"/>
        <w:outlineLvl w:val="1"/>
        <w:rPr>
          <w:rFonts w:ascii="Cambria" w:eastAsia="Times New Roman" w:hAnsi="Cambria" w:cs="Arial"/>
          <w:bCs/>
          <w:color w:val="548DD4" w:themeColor="text2" w:themeTint="99"/>
          <w:sz w:val="26"/>
          <w:szCs w:val="26"/>
          <w:rtl/>
        </w:rPr>
      </w:pPr>
      <w:bookmarkStart w:id="618" w:name="_Toc24884044"/>
      <w:r w:rsidRPr="001D49D4">
        <w:rPr>
          <w:rFonts w:ascii="Cambria" w:eastAsia="Times New Roman" w:hAnsi="Cambria" w:cs="Arial"/>
          <w:bCs/>
          <w:color w:val="548DD4" w:themeColor="text2" w:themeTint="99"/>
          <w:sz w:val="26"/>
          <w:szCs w:val="26"/>
          <w:rtl/>
        </w:rPr>
        <w:t>סעיף יב: שטר קרקע שכתוב בו שם האיש והאשה, והאשה טוענת שחצי הקרקע שלה.</w:t>
      </w:r>
      <w:bookmarkEnd w:id="618"/>
    </w:p>
    <w:p w14:paraId="20AD0E4D"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u w:val="single"/>
          <w:rtl/>
        </w:rPr>
        <w:t>אשה שטוענת על קרקע שהניח בעלה שהם חצים משלה כי בעלה קנה חצים ממעותיה והשטר כתוב בשם שניהם:</w:t>
      </w:r>
    </w:p>
    <w:p w14:paraId="2A0A6B34" w14:textId="77777777" w:rsidR="001D49D4" w:rsidRPr="001D49D4" w:rsidRDefault="001D49D4" w:rsidP="0004348D">
      <w:pPr>
        <w:numPr>
          <w:ilvl w:val="0"/>
          <w:numId w:val="318"/>
        </w:numPr>
        <w:spacing w:before="360" w:after="240"/>
        <w:contextualSpacing/>
        <w:rPr>
          <w:rtl/>
        </w:rPr>
      </w:pPr>
      <w:r w:rsidRPr="001D49D4">
        <w:rPr>
          <w:rtl/>
        </w:rPr>
        <w:t>רא"ש</w:t>
      </w:r>
      <w:r w:rsidRPr="001D49D4">
        <w:rPr>
          <w:sz w:val="16"/>
          <w:szCs w:val="16"/>
          <w:rtl/>
        </w:rPr>
        <w:t xml:space="preserve"> (כלל צו סי' ד)</w:t>
      </w:r>
      <w:r w:rsidRPr="001D49D4">
        <w:rPr>
          <w:rtl/>
        </w:rPr>
        <w:t xml:space="preserve">- וששאלת אשה שטוענת על קצת קרקעות שהניח בעלה שהם חצים משלה, כי בעלה קנה חצים משל מעותיה שנפלו לה מבית אביה, והשטר כתוב בשם שניהם. יראה שכל הקרקעות שקנה בעלה והשטרות כתובין גם בשם האשה - שהקרקעות חצים שלה. כי אדם הקונה קרקע אין דרך שיכתוב את אשתו בשטר הקנייה, וזה שכתב שם אשתו נכרין הדברים שחצי דמי הקרקע הן משלה. אם היה שטר הקנייה כתוב כלו על שמה - הדבר ידוע שהקרקע היה שלה. מה לי כולו מה לי חציו, נדון זה הוי כאלו נכתב השטר לאיניש דעלמא מה לי אשתו ומה לי איניש דעלמא. </w:t>
      </w:r>
      <w:r w:rsidRPr="001D49D4">
        <w:rPr>
          <w:color w:val="E36C0A" w:themeColor="accent6" w:themeShade="BF"/>
          <w:rtl/>
        </w:rPr>
        <w:t>(וכ"פ בשו"ע)</w:t>
      </w:r>
    </w:p>
    <w:p w14:paraId="6CBF6B73" w14:textId="77777777" w:rsidR="001D49D4" w:rsidRPr="001D49D4" w:rsidRDefault="001D49D4" w:rsidP="0004348D">
      <w:pPr>
        <w:spacing w:before="360" w:after="240"/>
        <w:rPr>
          <w:rFonts w:ascii="Calibri" w:eastAsia="Calibri" w:hAnsi="Calibri" w:cs="Arial"/>
          <w:u w:val="single"/>
        </w:rPr>
      </w:pPr>
      <w:r w:rsidRPr="001D49D4">
        <w:rPr>
          <w:rFonts w:ascii="Calibri" w:eastAsia="Calibri" w:hAnsi="Calibri" w:cs="Arial"/>
          <w:u w:val="single"/>
          <w:rtl/>
        </w:rPr>
        <w:t>האומר לחבירו 'שטר שבידך יש לי זכות בו', וזה אומר 'איני יודע אם יש לך זכות בו', או 'איני מוציא שטרי', או 'אבד':</w:t>
      </w:r>
    </w:p>
    <w:p w14:paraId="068A1883" w14:textId="77777777" w:rsidR="001D49D4" w:rsidRPr="001D49D4" w:rsidRDefault="001D49D4" w:rsidP="0004348D">
      <w:pPr>
        <w:numPr>
          <w:ilvl w:val="0"/>
          <w:numId w:val="318"/>
        </w:numPr>
        <w:spacing w:before="360" w:after="240"/>
        <w:contextualSpacing/>
      </w:pPr>
      <w:r w:rsidRPr="001D49D4">
        <w:rPr>
          <w:rtl/>
        </w:rPr>
        <w:t xml:space="preserve">טור- כתב הרמב"ם </w:t>
      </w:r>
      <w:r w:rsidRPr="001D49D4">
        <w:rPr>
          <w:sz w:val="16"/>
          <w:szCs w:val="16"/>
          <w:rtl/>
        </w:rPr>
        <w:t xml:space="preserve">(הל' טוען פ"ה ה"ז-ח) </w:t>
      </w:r>
      <w:r w:rsidRPr="001D49D4">
        <w:rPr>
          <w:rtl/>
        </w:rPr>
        <w:t>האומר לחבירו 'שטר שבידך יש לי זכות בו', וזה אומר 'איני יודע אם יש לך זכות בו אם לא', או 'איני מוציא שטרי' - כופין אותו להוציאו. טען ואמר שאבד השטר - מחרימין לו חרם סתם. טען בודאי שהוא יודע שהשטר שיש לו זכות בו הוא אצלו - ה"ז נשבע היסת שאינו אצלו ונאבד ממנו, וכזה הורו רבותי</w:t>
      </w:r>
      <w:r w:rsidRPr="001D49D4">
        <w:rPr>
          <w:vertAlign w:val="superscript"/>
          <w:rtl/>
        </w:rPr>
        <w:footnoteReference w:id="4629"/>
      </w:r>
      <w:r w:rsidRPr="001D49D4">
        <w:rPr>
          <w:rtl/>
        </w:rPr>
        <w:t>.</w:t>
      </w:r>
    </w:p>
    <w:p w14:paraId="7ADB0545" w14:textId="77777777" w:rsidR="001D49D4" w:rsidRPr="001D49D4" w:rsidRDefault="001D49D4" w:rsidP="0004348D">
      <w:pPr>
        <w:spacing w:before="360" w:after="240"/>
        <w:rPr>
          <w:rFonts w:ascii="Calibri" w:eastAsia="Calibri" w:hAnsi="Calibri" w:cs="Arial"/>
          <w:u w:val="single"/>
        </w:rPr>
      </w:pPr>
      <w:r w:rsidRPr="001D49D4">
        <w:rPr>
          <w:rFonts w:ascii="Calibri" w:eastAsia="Calibri" w:hAnsi="Calibri" w:cs="Arial"/>
          <w:u w:val="single"/>
          <w:rtl/>
        </w:rPr>
        <w:t>בעל דין שתובע טופס השטר על מנת לראות האם יש בו זיוף:</w:t>
      </w:r>
    </w:p>
    <w:p w14:paraId="3F66244C" w14:textId="77777777" w:rsidR="001D49D4" w:rsidRPr="001D49D4" w:rsidRDefault="001D49D4" w:rsidP="0004348D">
      <w:pPr>
        <w:numPr>
          <w:ilvl w:val="0"/>
          <w:numId w:val="318"/>
        </w:numPr>
        <w:spacing w:before="360" w:after="240"/>
        <w:contextualSpacing/>
      </w:pPr>
      <w:r w:rsidRPr="001D49D4">
        <w:rPr>
          <w:rtl/>
        </w:rPr>
        <w:t xml:space="preserve">רשב"א </w:t>
      </w:r>
      <w:r w:rsidRPr="001D49D4">
        <w:rPr>
          <w:sz w:val="16"/>
          <w:szCs w:val="16"/>
          <w:rtl/>
        </w:rPr>
        <w:t>(סי' תתפט)</w:t>
      </w:r>
      <w:r w:rsidRPr="001D49D4">
        <w:rPr>
          <w:rtl/>
        </w:rPr>
        <w:t xml:space="preserve"> וריטב"א</w:t>
      </w:r>
      <w:r w:rsidRPr="001D49D4">
        <w:rPr>
          <w:vertAlign w:val="superscript"/>
          <w:rtl/>
        </w:rPr>
        <w:footnoteReference w:id="4630"/>
      </w:r>
      <w:r w:rsidRPr="001D49D4">
        <w:rPr>
          <w:rtl/>
        </w:rPr>
        <w:t xml:space="preserve"> </w:t>
      </w:r>
      <w:r w:rsidRPr="001D49D4">
        <w:rPr>
          <w:sz w:val="16"/>
          <w:szCs w:val="16"/>
          <w:rtl/>
        </w:rPr>
        <w:t xml:space="preserve">(שם קסח. ד"ה לימא, הביאו הנמוק"י </w:t>
      </w:r>
      <w:r w:rsidRPr="001D49D4">
        <w:rPr>
          <w:sz w:val="14"/>
          <w:szCs w:val="14"/>
          <w:rtl/>
        </w:rPr>
        <w:t>[ב"ב עח. מדפה"ר]</w:t>
      </w:r>
      <w:r w:rsidRPr="001D49D4">
        <w:rPr>
          <w:sz w:val="16"/>
          <w:szCs w:val="16"/>
          <w:rtl/>
        </w:rPr>
        <w:t>)</w:t>
      </w:r>
      <w:r w:rsidRPr="001D49D4">
        <w:rPr>
          <w:rtl/>
        </w:rPr>
        <w:t xml:space="preserve">- אין מחייבין אותו למסור. שאין לך שטר שלא יהיה בו כמה סדקין שיוכל בעל הדין לבא דרך שם בעקיפין. ולמה ימסור שטר למי שיארוב עליו כאריה במסתר, אלא הרי זה רואה שטרו ביד ב"ד עכשו יבא וישיב. ואי משום הכחשה אין נוסח השטר מעכב. וגדולה מזו אמר רשב"ג בפרק גט פשוט </w:t>
      </w:r>
      <w:r w:rsidRPr="001D49D4">
        <w:rPr>
          <w:sz w:val="16"/>
          <w:szCs w:val="16"/>
          <w:rtl/>
        </w:rPr>
        <w:t>(קסט.)</w:t>
      </w:r>
      <w:r w:rsidRPr="001D49D4">
        <w:rPr>
          <w:rtl/>
        </w:rPr>
        <w:t xml:space="preserve"> גבי ברורין דהיינו שטרי טענתא שאין כותבין טענות שניהם בשטר אחד אלא כותבין לזה בפני עצמו ולזה בפני עצמו, ופירשו בגמרא משום דאמר ליה לא ניחא לי דתהוי זכותאי גבי זכותך דדמית עלי כאריא ארבא. ואע"פ שאין הלכה ההיא כרשב"ג התם הוא דאינן אלא שטרי טענות בלבד שטענו עכשו בפני ב"ד ואין כ"כ הפסד בדבר. ועוד שיש בזה משום מדת סדום שצריך זה לרבות בשכר. אבל זה למסור שטרו ליד הנתבע שיחזר אחר דקדוקין להעליל עליו בטענות - הדין עמו שלא ימסור לו דדמי ליה כאריא ארבא. ואם מנהג העיר לכתוב שלא ליתן נוסח שטרו וזה לא כתב - אדרבה זה ראיה לתובע, שכל המלוה מלוה על דעת המנהג, כההיא דשטרי הדיוטות. ואיני רואה הפרש בין שיהא הנתבע איש או אשה, אלא כאן וכאן אין מחייבין את התובע ליתן נוסח שטרו לנתבע בין לאיש בין לאשה</w:t>
      </w:r>
      <w:r w:rsidRPr="001D49D4">
        <w:rPr>
          <w:sz w:val="16"/>
          <w:szCs w:val="16"/>
          <w:rtl/>
        </w:rPr>
        <w:t xml:space="preserve"> (ל' הרשב"א)</w:t>
      </w:r>
      <w:r w:rsidRPr="001D49D4">
        <w:rPr>
          <w:rtl/>
        </w:rPr>
        <w:t>.</w:t>
      </w:r>
    </w:p>
    <w:p w14:paraId="4C8B57BE" w14:textId="77777777" w:rsidR="001D49D4" w:rsidRPr="001D49D4" w:rsidRDefault="001D49D4" w:rsidP="0004348D">
      <w:pPr>
        <w:numPr>
          <w:ilvl w:val="0"/>
          <w:numId w:val="318"/>
        </w:numPr>
        <w:spacing w:before="360" w:after="240"/>
        <w:contextualSpacing/>
      </w:pPr>
      <w:r w:rsidRPr="001D49D4">
        <w:rPr>
          <w:rtl/>
        </w:rPr>
        <w:t>רא"ש</w:t>
      </w:r>
      <w:r w:rsidRPr="001D49D4">
        <w:rPr>
          <w:sz w:val="16"/>
          <w:szCs w:val="16"/>
          <w:rtl/>
        </w:rPr>
        <w:t xml:space="preserve"> (כלל סח סי' כד)</w:t>
      </w:r>
      <w:r w:rsidRPr="001D49D4">
        <w:rPr>
          <w:rtl/>
        </w:rPr>
        <w:t>- מורינו ורבינו שיחיה. מה שהייתי נוהג עתה ולפי מנהג המקומות כל מי שהיה בא לפני לדין ומביא שטר על חבירו, והיה בעל דינו תובע הטפסת השטר, הייתי מצוה לנתנו לו. שהרבה פעמים מפני נתינת הטופס היה נפסד השטר מעיקרו או מפני זיוף שנמצא בו משום גרד או מחק או בשינוי השמות. והייתי סומך בזה על תשובת שאלה שמצאתי בשם הרמב"ם</w:t>
      </w:r>
      <w:r w:rsidRPr="001D49D4">
        <w:rPr>
          <w:vertAlign w:val="superscript"/>
          <w:rtl/>
        </w:rPr>
        <w:footnoteReference w:id="4631"/>
      </w:r>
      <w:r w:rsidRPr="001D49D4">
        <w:rPr>
          <w:rtl/>
        </w:rPr>
        <w:t xml:space="preserve"> ז"ל </w:t>
      </w:r>
      <w:r w:rsidRPr="001D49D4">
        <w:rPr>
          <w:sz w:val="16"/>
          <w:szCs w:val="16"/>
          <w:rtl/>
        </w:rPr>
        <w:t>(מהדו' בלאו סי' תיד)</w:t>
      </w:r>
      <w:r w:rsidRPr="001D49D4">
        <w:rPr>
          <w:rtl/>
        </w:rPr>
        <w:t xml:space="preserve">. ויש בכאן מערערים בזה והראו לי פסק לרבינו רשב"א </w:t>
      </w:r>
      <w:r w:rsidRPr="001D49D4">
        <w:rPr>
          <w:sz w:val="16"/>
          <w:szCs w:val="16"/>
          <w:rtl/>
        </w:rPr>
        <w:t>(סי' תתפט)</w:t>
      </w:r>
      <w:r w:rsidRPr="001D49D4">
        <w:rPr>
          <w:rtl/>
        </w:rPr>
        <w:t xml:space="preserve">, ואני לא נראה לי לשנות מנהג המקום בעבור אותו פסק עד שנראה הכרעת מורינו יהי אלהיו עמו... ועתה אנו ממתינין הכרעת מורינו שיחיה. תשובה, ששאלת מי שהוציא שטר על חבירו ושואל הנתבע שיתנו לו טופס מהשטר לדקדק בו. דע לך כי מנהג פשוט הוא בכל דייני ארץ אשכנז שכל אדם שמוציא שטר על חבירו בב"ד וטוען הנתבע שיתנו לו השטר לדקדק בו, והלה אומר שאינו רוצה להאמין שטר בידו - אז ב"ד מעתיקים השטר ונותנים העתקה ביד הנתבע ומדקדק בשטר, אולי ימצא בו זיוף מחק או גרד, ודין צדק הוא כי מי יחוש לתור לחזור ולבדוק ולפשפש אלא בעל הדבר. ואם השטר הוא כשר ואמיתי מה עול ושקר יוכל לעשות בשביל שהטופס בידו. ועל זה נאמר צדק צדק תרדוף לדין דין אמת לאמתו, כי הדבר יוכל להתברר יותר ע"פ בעל הדבר ממה שיוכל להתברר ע"פ ראות הדיינים. ומה ענין זה לכאן ההיא דפרק גט פשוט </w:t>
      </w:r>
      <w:r w:rsidRPr="001D49D4">
        <w:rPr>
          <w:sz w:val="16"/>
          <w:szCs w:val="16"/>
          <w:rtl/>
        </w:rPr>
        <w:t xml:space="preserve">(קסט.) </w:t>
      </w:r>
      <w:r w:rsidRPr="001D49D4">
        <w:rPr>
          <w:rtl/>
        </w:rPr>
        <w:t>דאמר לא בעינא דתהוי טענתי גבי טענתיך, דהתם אדם פקח ובעל תחבולות מתוך שטענות חבירו מצויין אצלו ורואה אותן בכל שעה מחפש תחבולות לשנות את הידוע ולבטל דברי אמת של חבירו ולהטעים דברי שקרו. הילכך בשביל מעט הוצאות שיוציא חבירו לכתוב טענותיו אמרו רבנן שהדין עמו ולא שייך הכא כופין על מדת סדום. אבל בנדון זה יש לחוש שמא שטר מזויף הוא וכשיהיה הטופס בידו ישים אל לבו לזכור באיזו תחבולה נעשה השטר ויברר הדבר על בוריו. ואם השטר כשר לא יוכל לפסלו כלל ע"י הטופס שבידו. לכך החזק במנהגך ואל תרף ידך כי מנהג הגון הוא ודין צדק הוא</w:t>
      </w:r>
      <w:r w:rsidRPr="001D49D4">
        <w:rPr>
          <w:vertAlign w:val="superscript"/>
          <w:rtl/>
        </w:rPr>
        <w:footnoteReference w:id="4632"/>
      </w:r>
      <w:r w:rsidRPr="001D49D4">
        <w:rPr>
          <w:rtl/>
        </w:rPr>
        <w:t>.</w:t>
      </w:r>
    </w:p>
    <w:p w14:paraId="18B1EF97" w14:textId="77777777" w:rsidR="001D49D4" w:rsidRPr="001D49D4" w:rsidRDefault="001D49D4" w:rsidP="0004348D">
      <w:pPr>
        <w:numPr>
          <w:ilvl w:val="1"/>
          <w:numId w:val="318"/>
        </w:numPr>
        <w:spacing w:before="360" w:after="240"/>
        <w:contextualSpacing/>
      </w:pPr>
      <w:r w:rsidRPr="001D49D4">
        <w:rPr>
          <w:rtl/>
        </w:rPr>
        <w:t>ב"י- ולענין הלכה נקטינן כהכרעת הרא"ש ז"ל ותשובת הרמב"ם ז"ל.</w:t>
      </w:r>
    </w:p>
    <w:p w14:paraId="7D4125FB" w14:textId="77777777" w:rsidR="001D49D4" w:rsidRPr="001D49D4" w:rsidRDefault="001D49D4" w:rsidP="0004348D">
      <w:pPr>
        <w:spacing w:before="360" w:after="240"/>
        <w:rPr>
          <w:rFonts w:ascii="Arial" w:eastAsia="Calibri" w:hAnsi="Arial" w:cs="Arial"/>
          <w:b/>
          <w:bCs/>
          <w:color w:val="000000"/>
          <w:sz w:val="28"/>
          <w:szCs w:val="28"/>
          <w:u w:val="single"/>
          <w:rtl/>
        </w:rPr>
      </w:pPr>
      <w:r w:rsidRPr="001D49D4">
        <w:rPr>
          <w:rFonts w:ascii="Arial" w:eastAsia="Calibri" w:hAnsi="Arial" w:cs="Arial"/>
          <w:b/>
          <w:bCs/>
          <w:color w:val="000000"/>
          <w:sz w:val="28"/>
          <w:szCs w:val="28"/>
          <w:u w:val="single"/>
          <w:rtl/>
        </w:rPr>
        <w:t>שו"ע:</w:t>
      </w:r>
    </w:p>
    <w:p w14:paraId="475AFBE1"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rtl/>
        </w:rPr>
        <w:t>אשה שטוענת על הקרקעות שהניח בעלה, שחציים שלה ממעות שנפלו לה מבית אביה, והשטרות כתובים בשם שניהם, הדין עם האשה</w:t>
      </w:r>
      <w:r w:rsidRPr="001D49D4">
        <w:rPr>
          <w:rFonts w:ascii="Calibri" w:eastAsia="Calibri" w:hAnsi="Calibri" w:cs="Arial"/>
          <w:vertAlign w:val="superscript"/>
          <w:rtl/>
        </w:rPr>
        <w:footnoteReference w:id="4633"/>
      </w:r>
      <w:r w:rsidRPr="001D49D4">
        <w:rPr>
          <w:rFonts w:ascii="Calibri" w:eastAsia="Calibri" w:hAnsi="Calibri" w:cs="Arial"/>
          <w:rtl/>
        </w:rPr>
        <w:t>. ואם כתובים בשמה לבד, והיא טוענת שכולם שלה, כולם שלה.</w:t>
      </w:r>
    </w:p>
    <w:p w14:paraId="087DBD95" w14:textId="77777777" w:rsidR="001D49D4" w:rsidRPr="001D49D4" w:rsidRDefault="001D49D4" w:rsidP="0004348D">
      <w:pPr>
        <w:spacing w:before="360" w:after="240"/>
        <w:rPr>
          <w:rFonts w:ascii="Calibri" w:eastAsia="Calibri" w:hAnsi="Calibri" w:cs="Arial"/>
          <w:rtl/>
        </w:rPr>
      </w:pPr>
    </w:p>
    <w:p w14:paraId="5ADEC49C" w14:textId="77777777" w:rsidR="001D49D4" w:rsidRPr="001D49D4" w:rsidRDefault="001D49D4" w:rsidP="0004348D">
      <w:pPr>
        <w:bidi w:val="0"/>
        <w:spacing w:before="360" w:after="240"/>
        <w:rPr>
          <w:rFonts w:ascii="Cambria" w:eastAsia="Times New Roman" w:hAnsi="Cambria" w:cs="Arial"/>
          <w:b/>
          <w:bCs/>
          <w:color w:val="365F91" w:themeColor="accent1" w:themeShade="BF"/>
          <w:sz w:val="28"/>
          <w:szCs w:val="28"/>
          <w:rtl/>
        </w:rPr>
        <w:sectPr w:rsidR="001D49D4" w:rsidRPr="001D49D4">
          <w:headerReference w:type="default" r:id="rId69"/>
          <w:footnotePr>
            <w:numRestart w:val="eachPage"/>
          </w:footnotePr>
          <w:pgSz w:w="11906" w:h="16838"/>
          <w:pgMar w:top="720" w:right="1134" w:bottom="720" w:left="1134" w:header="0" w:footer="0" w:gutter="0"/>
          <w:cols w:space="720"/>
          <w:bidi/>
          <w:rtlGutter/>
        </w:sectPr>
      </w:pPr>
    </w:p>
    <w:p w14:paraId="2F297974" w14:textId="77777777" w:rsidR="001D49D4" w:rsidRPr="001D49D4" w:rsidRDefault="001D49D4" w:rsidP="0004348D">
      <w:pPr>
        <w:keepNext/>
        <w:keepLines/>
        <w:spacing w:before="360" w:after="240"/>
        <w:outlineLvl w:val="0"/>
        <w:rPr>
          <w:rFonts w:ascii="Cambria" w:eastAsia="Times New Roman" w:hAnsi="Cambria" w:cs="Arial"/>
          <w:b/>
          <w:bCs/>
          <w:color w:val="365F91" w:themeColor="accent1" w:themeShade="BF"/>
          <w:sz w:val="28"/>
          <w:szCs w:val="28"/>
          <w:rtl/>
        </w:rPr>
      </w:pPr>
      <w:bookmarkStart w:id="619" w:name="_Toc24884045"/>
      <w:r w:rsidRPr="001D49D4">
        <w:rPr>
          <w:rFonts w:ascii="Cambria" w:eastAsia="Times New Roman" w:hAnsi="Cambria" w:cs="Arial"/>
          <w:b/>
          <w:bCs/>
          <w:color w:val="365F91" w:themeColor="accent1" w:themeShade="BF"/>
          <w:sz w:val="28"/>
          <w:szCs w:val="28"/>
          <w:rtl/>
        </w:rPr>
        <w:t>סימן סא: כמה דינים מענין שטרות, ובו ט"ז סעיפים.</w:t>
      </w:r>
      <w:bookmarkEnd w:id="619"/>
      <w:r w:rsidRPr="001D49D4">
        <w:rPr>
          <w:rFonts w:ascii="Cambria" w:eastAsia="Times New Roman" w:hAnsi="Cambria" w:cs="Arial"/>
          <w:b/>
          <w:bCs/>
          <w:color w:val="365F91" w:themeColor="accent1" w:themeShade="BF"/>
          <w:sz w:val="28"/>
          <w:szCs w:val="28"/>
          <w:rtl/>
        </w:rPr>
        <w:t xml:space="preserve"> </w:t>
      </w:r>
    </w:p>
    <w:p w14:paraId="65251661" w14:textId="77777777" w:rsidR="001D49D4" w:rsidRPr="001D49D4" w:rsidRDefault="001D49D4" w:rsidP="0004348D">
      <w:pPr>
        <w:keepNext/>
        <w:keepLines/>
        <w:spacing w:before="360" w:after="240"/>
        <w:outlineLvl w:val="1"/>
        <w:rPr>
          <w:rFonts w:ascii="Cambria" w:eastAsia="Times New Roman" w:hAnsi="Cambria" w:cs="Arial"/>
          <w:bCs/>
          <w:color w:val="548DD4" w:themeColor="text2" w:themeTint="99"/>
          <w:sz w:val="26"/>
          <w:szCs w:val="26"/>
          <w:rtl/>
        </w:rPr>
      </w:pPr>
      <w:bookmarkStart w:id="620" w:name="_Toc24884046"/>
      <w:r w:rsidRPr="001D49D4">
        <w:rPr>
          <w:rFonts w:ascii="Cambria" w:eastAsia="Times New Roman" w:hAnsi="Cambria" w:cs="Arial"/>
          <w:bCs/>
          <w:color w:val="548DD4" w:themeColor="text2" w:themeTint="99"/>
          <w:sz w:val="26"/>
          <w:szCs w:val="26"/>
          <w:rtl/>
        </w:rPr>
        <w:t>סעיף א: קהל שתקנו שלא יועיל שום שטר אם לא היה מכתיבת יד סופר העיר.</w:t>
      </w:r>
      <w:bookmarkEnd w:id="620"/>
    </w:p>
    <w:p w14:paraId="5AD86CC4" w14:textId="77777777" w:rsidR="001D49D4" w:rsidRPr="001D49D4" w:rsidRDefault="001D49D4" w:rsidP="0004348D">
      <w:pPr>
        <w:spacing w:before="360" w:after="240"/>
        <w:rPr>
          <w:rFonts w:ascii="Calibri" w:eastAsia="Calibri" w:hAnsi="Calibri" w:cs="Arial"/>
          <w:u w:val="single"/>
          <w:rtl/>
        </w:rPr>
      </w:pPr>
      <w:r w:rsidRPr="001D49D4">
        <w:rPr>
          <w:rFonts w:ascii="Calibri" w:eastAsia="Calibri" w:hAnsi="Calibri" w:cs="Arial"/>
          <w:u w:val="single"/>
          <w:rtl/>
        </w:rPr>
        <w:t>קהל שתקנו שלא יועיל שום שטר אם לא היה מכתיבת יד סופר העיר – האם בכלל זה כתב מחילה:</w:t>
      </w:r>
    </w:p>
    <w:p w14:paraId="3BD179C3" w14:textId="77777777" w:rsidR="001D49D4" w:rsidRPr="001D49D4" w:rsidRDefault="001D49D4" w:rsidP="0004348D">
      <w:pPr>
        <w:numPr>
          <w:ilvl w:val="0"/>
          <w:numId w:val="319"/>
        </w:numPr>
        <w:spacing w:before="360" w:after="240"/>
        <w:contextualSpacing/>
        <w:rPr>
          <w:rtl/>
        </w:rPr>
      </w:pPr>
      <w:r w:rsidRPr="001D49D4">
        <w:rPr>
          <w:rtl/>
        </w:rPr>
        <w:t xml:space="preserve">רא"ש </w:t>
      </w:r>
      <w:r w:rsidRPr="001D49D4">
        <w:rPr>
          <w:sz w:val="16"/>
          <w:szCs w:val="16"/>
          <w:rtl/>
        </w:rPr>
        <w:t>(כ"כ הטור בשמו, ובשו"ת הרא"ש הנדפסות איננה, רק קיצור ממנה בחזה התנופה סי' כז)</w:t>
      </w:r>
      <w:r w:rsidRPr="001D49D4">
        <w:rPr>
          <w:rtl/>
        </w:rPr>
        <w:t xml:space="preserve"> וטור- ששאלת על שתקנו הקהילות שכל חוזק של מקח וממכר מתנות והלואות שלא יועיל שום שטר אם לא יהיה מכתיבת יד סופרי העיר. ואם יש בכלל זה מחילה שמחל ראובן לשמעון והכתב אינו מכתב יד הסופרים וראובן חתם שמו על המחילה אם מועיל מאחר שאינו כתיבת יד הסופרים. תשובה, נ"ל שהתקנה לא נתקנה אלא על שטר המתקיים בעדים, וכך רגילין לתקן שלא יתקיים שום שטר רק בכתיבת יד הסופרים ובחתימת יד העדים המיוחדים בעיר. אבל שטר מחילה מעשה בכל יום שהמוחל כותב בכתב ידו וחותם</w:t>
      </w:r>
      <w:r w:rsidRPr="001D49D4">
        <w:rPr>
          <w:vertAlign w:val="superscript"/>
          <w:rtl/>
        </w:rPr>
        <w:footnoteReference w:id="4634"/>
      </w:r>
      <w:r w:rsidRPr="001D49D4">
        <w:rPr>
          <w:rtl/>
        </w:rPr>
        <w:t>, וכן היה הדין אם כתב אחר וחותם הוא, מהני כמו שאם היה הוא כותב וחותם</w:t>
      </w:r>
      <w:r w:rsidRPr="001D49D4">
        <w:rPr>
          <w:sz w:val="16"/>
          <w:szCs w:val="16"/>
          <w:rtl/>
        </w:rPr>
        <w:t xml:space="preserve"> (ל' הטור בשם הרא"ש)</w:t>
      </w:r>
      <w:r w:rsidRPr="001D49D4">
        <w:rPr>
          <w:rtl/>
        </w:rPr>
        <w:t xml:space="preserve">. </w:t>
      </w:r>
      <w:r w:rsidRPr="001D49D4">
        <w:rPr>
          <w:color w:val="E36C0A" w:themeColor="accent6" w:themeShade="BF"/>
          <w:rtl/>
        </w:rPr>
        <w:t>(וכ"פ בשו"ע)</w:t>
      </w:r>
      <w:r w:rsidRPr="001D49D4">
        <w:rPr>
          <w:rtl/>
        </w:rPr>
        <w:t xml:space="preserve"> </w:t>
      </w:r>
      <w:r w:rsidRPr="001D49D4">
        <w:rPr>
          <w:color w:val="00B0F0"/>
          <w:rtl/>
        </w:rPr>
        <w:t>(וכ"פ הרמ"א)</w:t>
      </w:r>
    </w:p>
    <w:p w14:paraId="6E391085" w14:textId="77777777" w:rsidR="001D49D4" w:rsidRPr="001D49D4" w:rsidRDefault="001D49D4" w:rsidP="0004348D">
      <w:pPr>
        <w:spacing w:before="360" w:after="240"/>
        <w:rPr>
          <w:rFonts w:ascii="Arial" w:eastAsia="Calibri" w:hAnsi="Arial" w:cs="Arial"/>
          <w:b/>
          <w:bCs/>
          <w:color w:val="000000"/>
          <w:sz w:val="28"/>
          <w:szCs w:val="28"/>
          <w:u w:val="single"/>
          <w:rtl/>
        </w:rPr>
      </w:pPr>
      <w:r w:rsidRPr="001D49D4">
        <w:rPr>
          <w:rFonts w:ascii="Arial" w:eastAsia="Calibri" w:hAnsi="Arial" w:cs="Arial"/>
          <w:b/>
          <w:bCs/>
          <w:color w:val="000000"/>
          <w:sz w:val="28"/>
          <w:szCs w:val="28"/>
          <w:u w:val="single"/>
          <w:rtl/>
        </w:rPr>
        <w:t>שו"ע:</w:t>
      </w:r>
    </w:p>
    <w:p w14:paraId="1E3BA0A0"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rtl/>
        </w:rPr>
        <w:t>קהל שתקנו שלא יועיל שום שטר אם לא היה מכתיבת יד סופר העיר</w:t>
      </w:r>
      <w:r w:rsidRPr="001D49D4">
        <w:rPr>
          <w:rFonts w:ascii="Calibri" w:eastAsia="Calibri" w:hAnsi="Calibri" w:cs="Arial"/>
          <w:vertAlign w:val="superscript"/>
          <w:rtl/>
        </w:rPr>
        <w:footnoteReference w:id="4635"/>
      </w:r>
      <w:r w:rsidRPr="001D49D4">
        <w:rPr>
          <w:rFonts w:ascii="Calibri" w:eastAsia="Calibri" w:hAnsi="Calibri" w:cs="Arial"/>
          <w:rtl/>
        </w:rPr>
        <w:t>, אין בכלל זה מחילה</w:t>
      </w:r>
      <w:r w:rsidRPr="001D49D4">
        <w:rPr>
          <w:rFonts w:ascii="Calibri" w:eastAsia="Calibri" w:hAnsi="Calibri" w:cs="Arial"/>
          <w:vertAlign w:val="superscript"/>
          <w:rtl/>
        </w:rPr>
        <w:footnoteReference w:id="4636"/>
      </w:r>
      <w:r w:rsidRPr="001D49D4">
        <w:rPr>
          <w:rFonts w:ascii="Calibri" w:eastAsia="Calibri" w:hAnsi="Calibri" w:cs="Arial"/>
          <w:rtl/>
        </w:rPr>
        <w:t xml:space="preserve"> שמחל ראובן לשמעון וחתום עליה ראובן. </w:t>
      </w:r>
      <w:r w:rsidRPr="001D49D4">
        <w:rPr>
          <w:rFonts w:ascii="Calibri" w:eastAsia="Calibri" w:hAnsi="Calibri" w:cs="Arial"/>
          <w:sz w:val="18"/>
          <w:szCs w:val="18"/>
          <w:rtl/>
        </w:rPr>
        <w:t>[הגה] דודאי אין הכוונה רק על השטר החתום בעדים</w:t>
      </w:r>
      <w:r w:rsidRPr="001D49D4">
        <w:rPr>
          <w:rFonts w:ascii="Calibri" w:eastAsia="Calibri" w:hAnsi="Calibri" w:cs="Arial"/>
          <w:sz w:val="18"/>
          <w:szCs w:val="18"/>
          <w:vertAlign w:val="superscript"/>
          <w:rtl/>
        </w:rPr>
        <w:footnoteReference w:id="4637"/>
      </w:r>
      <w:r w:rsidRPr="001D49D4">
        <w:rPr>
          <w:rFonts w:ascii="Calibri" w:eastAsia="Calibri" w:hAnsi="Calibri" w:cs="Arial"/>
          <w:sz w:val="18"/>
          <w:szCs w:val="18"/>
          <w:rtl/>
        </w:rPr>
        <w:t xml:space="preserve"> (טור).</w:t>
      </w:r>
      <w:r w:rsidRPr="001D49D4">
        <w:rPr>
          <w:rFonts w:ascii="Calibri" w:eastAsia="Calibri" w:hAnsi="Calibri" w:cs="Arial"/>
          <w:rtl/>
        </w:rPr>
        <w:t xml:space="preserve">  </w:t>
      </w:r>
    </w:p>
    <w:p w14:paraId="708DD996" w14:textId="77777777" w:rsidR="001D49D4" w:rsidRPr="001D49D4" w:rsidRDefault="001D49D4" w:rsidP="0004348D">
      <w:pPr>
        <w:spacing w:before="360" w:after="240"/>
        <w:rPr>
          <w:rFonts w:ascii="Calibri" w:eastAsia="Calibri" w:hAnsi="Calibri" w:cs="Arial"/>
          <w:rtl/>
        </w:rPr>
      </w:pPr>
    </w:p>
    <w:p w14:paraId="0CE149EE" w14:textId="77777777" w:rsidR="001D49D4" w:rsidRPr="001D49D4" w:rsidRDefault="001D49D4" w:rsidP="0004348D">
      <w:pPr>
        <w:keepNext/>
        <w:keepLines/>
        <w:spacing w:before="360" w:after="240"/>
        <w:outlineLvl w:val="1"/>
        <w:rPr>
          <w:rFonts w:ascii="Cambria" w:eastAsia="Times New Roman" w:hAnsi="Cambria" w:cs="Arial"/>
          <w:bCs/>
          <w:color w:val="548DD4" w:themeColor="text2" w:themeTint="99"/>
          <w:sz w:val="26"/>
          <w:szCs w:val="26"/>
          <w:rtl/>
        </w:rPr>
      </w:pPr>
      <w:bookmarkStart w:id="621" w:name="_Toc24884047"/>
      <w:r w:rsidRPr="001D49D4">
        <w:rPr>
          <w:rFonts w:ascii="Cambria" w:eastAsia="Times New Roman" w:hAnsi="Cambria" w:cs="Arial"/>
          <w:bCs/>
          <w:color w:val="548DD4" w:themeColor="text2" w:themeTint="99"/>
          <w:sz w:val="26"/>
          <w:szCs w:val="26"/>
          <w:rtl/>
        </w:rPr>
        <w:t>סעיף ב: שטר זכירה שביד הסופר וחתומים עליו העדים.</w:t>
      </w:r>
      <w:bookmarkEnd w:id="621"/>
    </w:p>
    <w:p w14:paraId="39DDDB72" w14:textId="77777777" w:rsidR="001D49D4" w:rsidRPr="001D49D4" w:rsidRDefault="001D49D4" w:rsidP="0004348D">
      <w:pPr>
        <w:spacing w:before="360" w:after="240"/>
        <w:rPr>
          <w:rFonts w:ascii="Calibri" w:eastAsia="Calibri" w:hAnsi="Calibri" w:cs="Arial"/>
          <w:u w:val="single"/>
          <w:rtl/>
        </w:rPr>
      </w:pPr>
      <w:r w:rsidRPr="001D49D4">
        <w:rPr>
          <w:rFonts w:ascii="Calibri" w:eastAsia="Calibri" w:hAnsi="Calibri" w:cs="Arial"/>
          <w:u w:val="single"/>
          <w:rtl/>
        </w:rPr>
        <w:t>שטר זכירה שביד הסופר וחתומים עליו העדים – האם חשיב כשטר לגבות בו:</w:t>
      </w:r>
    </w:p>
    <w:p w14:paraId="0F386FCC" w14:textId="77777777" w:rsidR="001D49D4" w:rsidRPr="001D49D4" w:rsidRDefault="001D49D4" w:rsidP="0004348D">
      <w:pPr>
        <w:numPr>
          <w:ilvl w:val="0"/>
          <w:numId w:val="319"/>
        </w:numPr>
        <w:spacing w:before="360" w:after="240"/>
        <w:contextualSpacing/>
        <w:rPr>
          <w:rtl/>
        </w:rPr>
      </w:pPr>
      <w:r w:rsidRPr="001D49D4">
        <w:rPr>
          <w:rtl/>
        </w:rPr>
        <w:t xml:space="preserve">רא"ש </w:t>
      </w:r>
      <w:r w:rsidRPr="001D49D4">
        <w:rPr>
          <w:sz w:val="16"/>
          <w:szCs w:val="16"/>
          <w:rtl/>
        </w:rPr>
        <w:t>(כלל סח סי' ה, וכ"כ הטור בשמו)</w:t>
      </w:r>
      <w:r w:rsidRPr="001D49D4">
        <w:rPr>
          <w:rtl/>
        </w:rPr>
        <w:t xml:space="preserve"> וטור- וששאלת שטר שכתוב בו 'נתחייב פלוני לפלוני כך וכך זהובים שיתנם לו לזמן פלוני בנאמנות ובאחריות ובכל יפוי שייפה סופר'. תשובה, אם אין תקנה בעיר שלא יגבה בזכירה - יראה שגובין בו, שהרי העדים מעידין שנעשה הקנין בפניהם ע"מ שיכתוב הסופר השטר בכל יפוי כח שרגיל הסופר לכתוב שטרי העיר, וכן מוכח הלשון שנקרא זכירה לפי שכותבין העדים הענין מיד כדי שלא ישכחוהו ואח"כ הולכים לסופר והוא כותב השטר ע"פ דבריהם, הילכך אם אירע כך שלא נכתב השטר מ"מ נלך אחר עדות העדים החתומים על הזכירה, ובחתימתן יצא הקול והויא מלוה בשטר, ונדון בו כפי יפוי כח שרגילין לכתוב הספרים בשטרי העיר.</w:t>
      </w:r>
      <w:r w:rsidRPr="001D49D4">
        <w:rPr>
          <w:sz w:val="16"/>
          <w:szCs w:val="16"/>
          <w:rtl/>
        </w:rPr>
        <w:t xml:space="preserve"> </w:t>
      </w:r>
      <w:r w:rsidRPr="001D49D4">
        <w:rPr>
          <w:rtl/>
        </w:rPr>
        <w:t>ומה שכתבת שאין כתוב בו באיזה מקום נעשה ולא מאיזה מטבע הם הזהובים. על המקום אין קפידא</w:t>
      </w:r>
      <w:r w:rsidRPr="001D49D4">
        <w:rPr>
          <w:vertAlign w:val="superscript"/>
          <w:rtl/>
        </w:rPr>
        <w:footnoteReference w:id="4638"/>
      </w:r>
      <w:r w:rsidRPr="001D49D4">
        <w:rPr>
          <w:rtl/>
        </w:rPr>
        <w:t xml:space="preserve"> ועל המטבע הפחות הנקרא זהובים יתן לו</w:t>
      </w:r>
      <w:r w:rsidRPr="001D49D4">
        <w:rPr>
          <w:vertAlign w:val="superscript"/>
          <w:rtl/>
        </w:rPr>
        <w:footnoteReference w:id="4639"/>
      </w:r>
      <w:r w:rsidRPr="001D49D4">
        <w:rPr>
          <w:sz w:val="16"/>
          <w:szCs w:val="16"/>
          <w:rtl/>
        </w:rPr>
        <w:t xml:space="preserve"> (ל' הטור בשם הרא"ש)</w:t>
      </w:r>
      <w:r w:rsidRPr="001D49D4">
        <w:rPr>
          <w:rtl/>
        </w:rPr>
        <w:t xml:space="preserve">. </w:t>
      </w:r>
    </w:p>
    <w:p w14:paraId="03258E40" w14:textId="77777777" w:rsidR="001D49D4" w:rsidRPr="001D49D4" w:rsidRDefault="001D49D4" w:rsidP="0004348D">
      <w:pPr>
        <w:numPr>
          <w:ilvl w:val="0"/>
          <w:numId w:val="319"/>
        </w:numPr>
        <w:spacing w:before="360" w:after="240"/>
        <w:contextualSpacing/>
        <w:rPr>
          <w:rtl/>
        </w:rPr>
      </w:pPr>
      <w:r w:rsidRPr="001D49D4">
        <w:rPr>
          <w:rtl/>
        </w:rPr>
        <w:t xml:space="preserve">רשב"א </w:t>
      </w:r>
      <w:r w:rsidRPr="001D49D4">
        <w:rPr>
          <w:sz w:val="16"/>
          <w:szCs w:val="16"/>
          <w:rtl/>
        </w:rPr>
        <w:t>(ח"ג סי' מב, ח"ד סי' ריב)</w:t>
      </w:r>
      <w:r w:rsidRPr="001D49D4">
        <w:rPr>
          <w:rtl/>
        </w:rPr>
        <w:t xml:space="preserve"> וריב"ש</w:t>
      </w:r>
      <w:r w:rsidRPr="001D49D4">
        <w:rPr>
          <w:vertAlign w:val="superscript"/>
          <w:rtl/>
        </w:rPr>
        <w:footnoteReference w:id="4640"/>
      </w:r>
      <w:r w:rsidRPr="001D49D4">
        <w:rPr>
          <w:rtl/>
        </w:rPr>
        <w:t xml:space="preserve"> </w:t>
      </w:r>
      <w:r w:rsidRPr="001D49D4">
        <w:rPr>
          <w:sz w:val="16"/>
          <w:szCs w:val="16"/>
          <w:rtl/>
        </w:rPr>
        <w:t>(סי' רי)</w:t>
      </w:r>
      <w:r w:rsidRPr="001D49D4">
        <w:rPr>
          <w:rtl/>
        </w:rPr>
        <w:t xml:space="preserve"> - אין גובין בו אא"כ מנהג בעיר לגבות בו</w:t>
      </w:r>
      <w:r w:rsidRPr="001D49D4">
        <w:rPr>
          <w:sz w:val="16"/>
          <w:szCs w:val="16"/>
          <w:rtl/>
        </w:rPr>
        <w:t xml:space="preserve"> (ל' הרשב"א)</w:t>
      </w:r>
      <w:r w:rsidRPr="001D49D4">
        <w:rPr>
          <w:rtl/>
        </w:rPr>
        <w:t xml:space="preserve">. </w:t>
      </w:r>
      <w:r w:rsidRPr="001D49D4">
        <w:rPr>
          <w:color w:val="E36C0A" w:themeColor="accent6" w:themeShade="BF"/>
          <w:rtl/>
        </w:rPr>
        <w:t>(וכ"פ בשו"ע)</w:t>
      </w:r>
    </w:p>
    <w:p w14:paraId="52CED603" w14:textId="77777777" w:rsidR="001D49D4" w:rsidRPr="001D49D4" w:rsidRDefault="001D49D4" w:rsidP="0004348D">
      <w:pPr>
        <w:spacing w:before="360" w:after="240"/>
        <w:rPr>
          <w:rFonts w:ascii="Arial" w:eastAsia="Calibri" w:hAnsi="Arial" w:cs="Arial"/>
          <w:b/>
          <w:bCs/>
          <w:color w:val="000000"/>
          <w:sz w:val="28"/>
          <w:szCs w:val="28"/>
          <w:u w:val="single"/>
          <w:rtl/>
        </w:rPr>
      </w:pPr>
      <w:r w:rsidRPr="001D49D4">
        <w:rPr>
          <w:rFonts w:ascii="Arial" w:eastAsia="Calibri" w:hAnsi="Arial" w:cs="Arial"/>
          <w:b/>
          <w:bCs/>
          <w:color w:val="000000"/>
          <w:sz w:val="28"/>
          <w:szCs w:val="28"/>
          <w:u w:val="single"/>
          <w:rtl/>
        </w:rPr>
        <w:t>שו"ע:</w:t>
      </w:r>
    </w:p>
    <w:p w14:paraId="63F503BC"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rtl/>
        </w:rPr>
        <w:t xml:space="preserve">טופס השטר שביד הסופר שחתומים עליו עדים ולא הועתק השטר, אין דין שטר לאותו טופס, אלא אם כן מנהג בעיר להיות לו דין שטר. </w:t>
      </w:r>
      <w:r w:rsidRPr="001D49D4">
        <w:rPr>
          <w:rFonts w:ascii="Calibri" w:eastAsia="Calibri" w:hAnsi="Calibri" w:cs="Arial"/>
          <w:sz w:val="18"/>
          <w:szCs w:val="18"/>
          <w:rtl/>
        </w:rPr>
        <w:t>הגה: דכל שלא חתמו בו העדים כדי למסרו לבעליו, רק לזכרון דברים בעלמא, לא מקרי שטר. וכן שטר שלא ניתן ליכתב</w:t>
      </w:r>
      <w:r w:rsidRPr="001D49D4">
        <w:rPr>
          <w:rFonts w:ascii="Calibri" w:eastAsia="Calibri" w:hAnsi="Calibri" w:cs="Arial"/>
          <w:sz w:val="18"/>
          <w:szCs w:val="18"/>
          <w:vertAlign w:val="superscript"/>
          <w:rtl/>
        </w:rPr>
        <w:footnoteReference w:id="4641"/>
      </w:r>
      <w:r w:rsidRPr="001D49D4">
        <w:rPr>
          <w:rFonts w:ascii="Calibri" w:eastAsia="Calibri" w:hAnsi="Calibri" w:cs="Arial"/>
          <w:sz w:val="18"/>
          <w:szCs w:val="18"/>
          <w:rtl/>
        </w:rPr>
        <w:t>, ואיכא למימר שהעדים טעו</w:t>
      </w:r>
      <w:r w:rsidRPr="001D49D4">
        <w:rPr>
          <w:rFonts w:ascii="Calibri" w:eastAsia="Calibri" w:hAnsi="Calibri" w:cs="Arial"/>
          <w:sz w:val="18"/>
          <w:szCs w:val="18"/>
          <w:vertAlign w:val="superscript"/>
          <w:rtl/>
        </w:rPr>
        <w:footnoteReference w:id="4642"/>
      </w:r>
      <w:r w:rsidRPr="001D49D4">
        <w:rPr>
          <w:rFonts w:ascii="Calibri" w:eastAsia="Calibri" w:hAnsi="Calibri" w:cs="Arial"/>
          <w:sz w:val="18"/>
          <w:szCs w:val="18"/>
          <w:rtl/>
        </w:rPr>
        <w:t>, אין דנין על פי אותו שטר (רשב"א סי' אלף ריא), דהוי מפי כתבן</w:t>
      </w:r>
      <w:r w:rsidRPr="001D49D4">
        <w:rPr>
          <w:rFonts w:ascii="Calibri" w:eastAsia="Calibri" w:hAnsi="Calibri" w:cs="Arial"/>
          <w:sz w:val="18"/>
          <w:szCs w:val="18"/>
          <w:vertAlign w:val="superscript"/>
          <w:rtl/>
        </w:rPr>
        <w:footnoteReference w:id="4643"/>
      </w:r>
      <w:r w:rsidRPr="001D49D4">
        <w:rPr>
          <w:rFonts w:ascii="Calibri" w:eastAsia="Calibri" w:hAnsi="Calibri" w:cs="Arial"/>
          <w:sz w:val="18"/>
          <w:szCs w:val="18"/>
          <w:rtl/>
        </w:rPr>
        <w:t>, כמו שנתבאר לעיל סימן כ"ח סעיף י"א וי"ב. מיהו יש חולקין וס"ל דכל שכתבו טופס על מנת לכתוב שטר, אע"פ שלא נכתב השטר, יש לטופס זה דין שטר</w:t>
      </w:r>
      <w:r w:rsidRPr="001D49D4">
        <w:rPr>
          <w:rFonts w:ascii="Calibri" w:eastAsia="Calibri" w:hAnsi="Calibri" w:cs="Arial"/>
          <w:sz w:val="18"/>
          <w:szCs w:val="18"/>
          <w:vertAlign w:val="superscript"/>
          <w:rtl/>
        </w:rPr>
        <w:footnoteReference w:id="4644"/>
      </w:r>
      <w:r w:rsidRPr="001D49D4">
        <w:rPr>
          <w:rFonts w:ascii="Calibri" w:eastAsia="Calibri" w:hAnsi="Calibri" w:cs="Arial"/>
          <w:sz w:val="18"/>
          <w:szCs w:val="18"/>
          <w:rtl/>
        </w:rPr>
        <w:t xml:space="preserve"> (טור בשם הרא"ש כלל סח).</w:t>
      </w:r>
      <w:r w:rsidRPr="001D49D4">
        <w:rPr>
          <w:rFonts w:ascii="Calibri" w:eastAsia="Calibri" w:hAnsi="Calibri" w:cs="Arial"/>
          <w:rtl/>
        </w:rPr>
        <w:t xml:space="preserve"> </w:t>
      </w:r>
    </w:p>
    <w:p w14:paraId="499D418D" w14:textId="77777777" w:rsidR="001D49D4" w:rsidRPr="001D49D4" w:rsidRDefault="001D49D4" w:rsidP="0004348D">
      <w:pPr>
        <w:spacing w:before="360" w:after="240"/>
        <w:rPr>
          <w:rFonts w:ascii="Calibri" w:eastAsia="Calibri" w:hAnsi="Calibri" w:cs="Arial"/>
          <w:rtl/>
        </w:rPr>
      </w:pPr>
    </w:p>
    <w:p w14:paraId="30E89A89" w14:textId="77777777" w:rsidR="001D49D4" w:rsidRPr="001D49D4" w:rsidRDefault="001D49D4" w:rsidP="0004348D">
      <w:pPr>
        <w:keepNext/>
        <w:keepLines/>
        <w:spacing w:before="360" w:after="240"/>
        <w:outlineLvl w:val="1"/>
        <w:rPr>
          <w:rFonts w:ascii="Cambria" w:eastAsia="Times New Roman" w:hAnsi="Cambria" w:cs="Arial"/>
          <w:bCs/>
          <w:color w:val="548DD4" w:themeColor="text2" w:themeTint="99"/>
          <w:sz w:val="26"/>
          <w:szCs w:val="26"/>
          <w:rtl/>
        </w:rPr>
      </w:pPr>
      <w:bookmarkStart w:id="622" w:name="_Toc24884048"/>
      <w:r w:rsidRPr="001D49D4">
        <w:rPr>
          <w:rFonts w:ascii="Cambria" w:eastAsia="Times New Roman" w:hAnsi="Cambria" w:cs="Arial"/>
          <w:bCs/>
          <w:color w:val="548DD4" w:themeColor="text2" w:themeTint="99"/>
          <w:sz w:val="26"/>
          <w:szCs w:val="26"/>
          <w:rtl/>
        </w:rPr>
        <w:t>סעיף ג: אשה שנתחייבה לישבע כתקנת הגאונים - והיא מסרבת.</w:t>
      </w:r>
      <w:bookmarkEnd w:id="622"/>
    </w:p>
    <w:p w14:paraId="667D4B37"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u w:val="single"/>
          <w:rtl/>
        </w:rPr>
        <w:t xml:space="preserve">אשה שנתחייבה לישבע כתקנת הגאונים </w:t>
      </w:r>
      <w:r w:rsidRPr="001D49D4">
        <w:rPr>
          <w:rFonts w:ascii="Calibri" w:eastAsia="Calibri" w:hAnsi="Calibri" w:cs="Arial"/>
          <w:sz w:val="16"/>
          <w:szCs w:val="16"/>
          <w:u w:val="single"/>
          <w:rtl/>
        </w:rPr>
        <w:t>(שתקנו להשביע ללוה אם יש לו מטלטלין שיפרע מהם)</w:t>
      </w:r>
      <w:r w:rsidRPr="001D49D4">
        <w:rPr>
          <w:rFonts w:ascii="Calibri" w:eastAsia="Calibri" w:hAnsi="Calibri" w:cs="Arial"/>
          <w:u w:val="single"/>
          <w:rtl/>
        </w:rPr>
        <w:t xml:space="preserve"> - והיא מסרבת:</w:t>
      </w:r>
    </w:p>
    <w:p w14:paraId="6FBB67D3" w14:textId="77777777" w:rsidR="001D49D4" w:rsidRPr="001D49D4" w:rsidRDefault="001D49D4" w:rsidP="0004348D">
      <w:pPr>
        <w:numPr>
          <w:ilvl w:val="0"/>
          <w:numId w:val="320"/>
        </w:numPr>
        <w:spacing w:before="360" w:after="240"/>
        <w:contextualSpacing/>
        <w:rPr>
          <w:rtl/>
        </w:rPr>
      </w:pPr>
      <w:r w:rsidRPr="001D49D4">
        <w:rPr>
          <w:rtl/>
        </w:rPr>
        <w:t xml:space="preserve">רא"ש </w:t>
      </w:r>
      <w:r w:rsidRPr="001D49D4">
        <w:rPr>
          <w:sz w:val="16"/>
          <w:szCs w:val="16"/>
          <w:rtl/>
        </w:rPr>
        <w:t>(כלל לט סי' ד, וכ"כ הטור בשמו [כאן ובסי' צו סכ"ב])</w:t>
      </w:r>
      <w:r w:rsidRPr="001D49D4">
        <w:rPr>
          <w:rtl/>
        </w:rPr>
        <w:t xml:space="preserve"> וטור- וששאלת אשה שיצא עליה שטר חוב, ונתחייבה לישבע כתקנת הגאונים שתקנו להשביע ללוה אם יש לו מטלטלין שיפרע מהם, והיא מסרבת. תשובה, אשה שוה לאיש לכל עונשין שבתורה, ואיש צריך לנדותו עד דציית דינא, דאל"כ מה הועילו חכמים בתקנתם, כל אדם יאמר איני רוצה ליתן מטלטלין או לישבע תגבו לבעל חובי קרקע</w:t>
      </w:r>
      <w:r w:rsidRPr="001D49D4">
        <w:rPr>
          <w:sz w:val="16"/>
          <w:szCs w:val="16"/>
          <w:rtl/>
        </w:rPr>
        <w:t xml:space="preserve"> (ל' הטור בשם הרא"ש)</w:t>
      </w:r>
      <w:r w:rsidRPr="001D49D4">
        <w:rPr>
          <w:rtl/>
        </w:rPr>
        <w:t xml:space="preserve">. </w:t>
      </w:r>
      <w:r w:rsidRPr="001D49D4">
        <w:rPr>
          <w:color w:val="E36C0A" w:themeColor="accent6" w:themeShade="BF"/>
          <w:rtl/>
        </w:rPr>
        <w:t>(וכ"פ בשו"ע)</w:t>
      </w:r>
      <w:r w:rsidRPr="001D49D4">
        <w:rPr>
          <w:rtl/>
        </w:rPr>
        <w:t xml:space="preserve"> </w:t>
      </w:r>
    </w:p>
    <w:p w14:paraId="038B0A9C" w14:textId="77777777" w:rsidR="001D49D4" w:rsidRPr="001D49D4" w:rsidRDefault="001D49D4" w:rsidP="0004348D">
      <w:pPr>
        <w:spacing w:before="360" w:after="240"/>
        <w:rPr>
          <w:rFonts w:ascii="Arial" w:eastAsia="Calibri" w:hAnsi="Arial" w:cs="Arial"/>
          <w:b/>
          <w:bCs/>
          <w:color w:val="000000"/>
          <w:sz w:val="28"/>
          <w:szCs w:val="28"/>
          <w:u w:val="single"/>
          <w:rtl/>
        </w:rPr>
      </w:pPr>
      <w:r w:rsidRPr="001D49D4">
        <w:rPr>
          <w:rFonts w:ascii="Arial" w:eastAsia="Calibri" w:hAnsi="Arial" w:cs="Arial"/>
          <w:b/>
          <w:bCs/>
          <w:color w:val="000000"/>
          <w:sz w:val="28"/>
          <w:szCs w:val="28"/>
          <w:u w:val="single"/>
          <w:rtl/>
        </w:rPr>
        <w:t>שו"ע:</w:t>
      </w:r>
    </w:p>
    <w:p w14:paraId="0822A704"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rtl/>
        </w:rPr>
        <w:t>אשה שנתחייבה לישבע, כתקנת הגאונים שתקנו ללוה אם יש לו מטלטלין</w:t>
      </w:r>
      <w:r w:rsidRPr="001D49D4">
        <w:rPr>
          <w:rFonts w:ascii="Calibri" w:eastAsia="Calibri" w:hAnsi="Calibri" w:cs="Arial"/>
          <w:vertAlign w:val="superscript"/>
          <w:rtl/>
        </w:rPr>
        <w:footnoteReference w:id="4645"/>
      </w:r>
      <w:r w:rsidRPr="001D49D4">
        <w:rPr>
          <w:rFonts w:ascii="Calibri" w:eastAsia="Calibri" w:hAnsi="Calibri" w:cs="Arial"/>
          <w:rtl/>
        </w:rPr>
        <w:t xml:space="preserve"> שיפרע מהם, והיא מסרבת, מנדין אותה עד דצייתא דינא, כשם שעושים לאיש. </w:t>
      </w:r>
      <w:r w:rsidRPr="001D49D4">
        <w:rPr>
          <w:rFonts w:ascii="Calibri" w:eastAsia="Calibri" w:hAnsi="Calibri" w:cs="Arial"/>
          <w:sz w:val="18"/>
          <w:szCs w:val="18"/>
          <w:rtl/>
        </w:rPr>
        <w:t>[הגה] דאשה שוה לאיש לכל עונשין שבתורה (טור).</w:t>
      </w:r>
      <w:r w:rsidRPr="001D49D4">
        <w:rPr>
          <w:rFonts w:ascii="Calibri" w:eastAsia="Calibri" w:hAnsi="Calibri" w:cs="Arial"/>
          <w:rtl/>
        </w:rPr>
        <w:t xml:space="preserve"> </w:t>
      </w:r>
    </w:p>
    <w:p w14:paraId="346DFB9A" w14:textId="77777777" w:rsidR="001D49D4" w:rsidRPr="001D49D4" w:rsidRDefault="001D49D4" w:rsidP="0004348D">
      <w:pPr>
        <w:spacing w:before="360" w:after="240"/>
        <w:rPr>
          <w:rFonts w:ascii="Calibri" w:eastAsia="Calibri" w:hAnsi="Calibri" w:cs="Arial"/>
          <w:rtl/>
        </w:rPr>
      </w:pPr>
    </w:p>
    <w:p w14:paraId="7A5A10CB" w14:textId="77777777" w:rsidR="001D49D4" w:rsidRPr="001D49D4" w:rsidRDefault="001D49D4" w:rsidP="0004348D">
      <w:pPr>
        <w:keepNext/>
        <w:keepLines/>
        <w:spacing w:before="360" w:after="240"/>
        <w:outlineLvl w:val="1"/>
        <w:rPr>
          <w:rFonts w:ascii="Cambria" w:eastAsia="Times New Roman" w:hAnsi="Cambria" w:cs="Arial"/>
          <w:bCs/>
          <w:color w:val="548DD4" w:themeColor="text2" w:themeTint="99"/>
          <w:sz w:val="26"/>
          <w:szCs w:val="26"/>
          <w:rtl/>
        </w:rPr>
      </w:pPr>
      <w:bookmarkStart w:id="623" w:name="_Toc24884049"/>
      <w:r w:rsidRPr="001D49D4">
        <w:rPr>
          <w:rFonts w:ascii="Cambria" w:eastAsia="Times New Roman" w:hAnsi="Cambria" w:cs="Arial"/>
          <w:bCs/>
          <w:color w:val="548DD4" w:themeColor="text2" w:themeTint="99"/>
          <w:sz w:val="26"/>
          <w:szCs w:val="26"/>
          <w:rtl/>
        </w:rPr>
        <w:t>סעיף ד: שטר שכתוב בו שיוכל כל המוציאו לגבות בו בלא הרשאה.</w:t>
      </w:r>
      <w:bookmarkEnd w:id="623"/>
    </w:p>
    <w:p w14:paraId="6C433162" w14:textId="77777777" w:rsidR="001D49D4" w:rsidRPr="001D49D4" w:rsidRDefault="001D49D4" w:rsidP="0004348D">
      <w:pPr>
        <w:spacing w:before="360" w:after="240"/>
        <w:rPr>
          <w:rFonts w:ascii="Calibri" w:eastAsia="Calibri" w:hAnsi="Calibri" w:cs="Arial"/>
          <w:u w:val="single"/>
          <w:rtl/>
        </w:rPr>
      </w:pPr>
      <w:r w:rsidRPr="001D49D4">
        <w:rPr>
          <w:rFonts w:ascii="Calibri" w:eastAsia="Calibri" w:hAnsi="Calibri" w:cs="Arial"/>
          <w:u w:val="single"/>
          <w:rtl/>
        </w:rPr>
        <w:t>שטר שכתוב בו שכל המוצאו יכול לגבות בו:</w:t>
      </w:r>
    </w:p>
    <w:p w14:paraId="68CA5D55" w14:textId="77777777" w:rsidR="001D49D4" w:rsidRPr="001D49D4" w:rsidRDefault="001D49D4" w:rsidP="0004348D">
      <w:pPr>
        <w:numPr>
          <w:ilvl w:val="0"/>
          <w:numId w:val="320"/>
        </w:numPr>
        <w:spacing w:before="360" w:after="240"/>
        <w:contextualSpacing/>
        <w:rPr>
          <w:rtl/>
        </w:rPr>
      </w:pPr>
      <w:r w:rsidRPr="001D49D4">
        <w:rPr>
          <w:rtl/>
        </w:rPr>
        <w:t xml:space="preserve">רא"ש </w:t>
      </w:r>
      <w:r w:rsidRPr="001D49D4">
        <w:rPr>
          <w:sz w:val="16"/>
          <w:szCs w:val="16"/>
          <w:rtl/>
        </w:rPr>
        <w:t>(כלל סח סי' יב, וכ"כ הטור בשמו [כאן ובסי' צו סכ"ב])</w:t>
      </w:r>
      <w:r w:rsidRPr="001D49D4">
        <w:rPr>
          <w:rtl/>
        </w:rPr>
        <w:t xml:space="preserve"> וטור- עוד ילמדני, ראובן שיש לו שטר על שמעון אם יכול ראובן או אחר לגבות בשטר זה בלא הרשאה, מחמת שרגילין לכתוב כאן בשטרות שנותן רשות למוציא שטר זה יהודי או גוי. וכמדומה לי שבטוליטולה אין מגבין בלא הרשאה כי אינן כותבין זה רק לחיזוק בעלמא גם בלא צוואת הלוה, אמנם הואיל ונהגו לכתוב כל השטרות כן, כי אמר סתמא, כפי המנהג קאמר. אע"ג דאמרינן בפרק חזקת הבתים</w:t>
      </w:r>
      <w:r w:rsidRPr="001D49D4">
        <w:rPr>
          <w:sz w:val="16"/>
          <w:szCs w:val="16"/>
          <w:rtl/>
        </w:rPr>
        <w:t xml:space="preserve"> (ב"ב מא.) </w:t>
      </w:r>
      <w:r w:rsidRPr="001D49D4">
        <w:rPr>
          <w:rtl/>
        </w:rPr>
        <w:t>הלכתא חיישינן, כבר פירשו שבימיהן לא היו כותבין בשטר כתבו וחתמו בשוק, וברייתא בלא צואת הנותן, אבל עכשיו שנהגו לכתוב בו כי אמר סתמא אדעתא דהכי קאמר, הכא נמי נימא הכי. וגם נאמנות רגילין לכתוב עכשיו בכל שטרות אף כי אמר ליה סתמא, א"כ גם לא יועיל כל מה שאין אנו יודעין שאומר לו בפירוש כן. גם הקנס שרגילין לכתוב בשטרות שיפרע כל ההוצאות עם</w:t>
      </w:r>
      <w:r w:rsidRPr="001D49D4">
        <w:rPr>
          <w:vertAlign w:val="superscript"/>
          <w:rtl/>
        </w:rPr>
        <w:footnoteReference w:id="4646"/>
      </w:r>
      <w:r w:rsidRPr="001D49D4">
        <w:rPr>
          <w:rtl/>
        </w:rPr>
        <w:t xml:space="preserve"> הכפל היאך יגבו והלא אסמכתא היא. תשובה, כן נהגו פה שצריך הרשאה אע"פ שכתוב בשטר כל מי שמוציאו, אם לא שמפורש בשטר אף בלא הרשאה</w:t>
      </w:r>
      <w:r w:rsidRPr="001D49D4">
        <w:rPr>
          <w:vertAlign w:val="superscript"/>
          <w:rtl/>
        </w:rPr>
        <w:footnoteReference w:id="4647"/>
      </w:r>
      <w:r w:rsidRPr="001D49D4">
        <w:rPr>
          <w:rtl/>
        </w:rPr>
        <w:t>. וכל דבר שנהגו במדינה לכתוב, הן נאמנות, הן כתבוה בשוקא, וכל שאר שופרי דשטרי שכבר נהגו הסופרים לכתוב, כל מי שקנה בסודר כדי לכתוב שטר דעתו שיכתבוהו כמנהג המדינה ואין צריך לומר שיכתוב כל לישני יתיר' שפירי דאית ביה</w:t>
      </w:r>
      <w:r w:rsidRPr="001D49D4">
        <w:rPr>
          <w:vertAlign w:val="superscript"/>
          <w:rtl/>
        </w:rPr>
        <w:footnoteReference w:id="4648"/>
      </w:r>
      <w:r w:rsidRPr="001D49D4">
        <w:rPr>
          <w:rtl/>
        </w:rPr>
        <w:t>. ואם היה בא לידי מעשה לגבות ההוצאה לא הייתי פוסק לגבותה אם לא שנעשה הקנין בבית דין חשוב דלא כאסמכתא</w:t>
      </w:r>
      <w:r w:rsidRPr="001D49D4">
        <w:rPr>
          <w:sz w:val="16"/>
          <w:szCs w:val="16"/>
          <w:rtl/>
        </w:rPr>
        <w:t xml:space="preserve"> (ל' הרא"ש</w:t>
      </w:r>
      <w:r w:rsidRPr="001D49D4">
        <w:rPr>
          <w:sz w:val="16"/>
          <w:szCs w:val="16"/>
          <w:vertAlign w:val="superscript"/>
          <w:rtl/>
        </w:rPr>
        <w:footnoteReference w:id="4649"/>
      </w:r>
      <w:r w:rsidRPr="001D49D4">
        <w:rPr>
          <w:sz w:val="16"/>
          <w:szCs w:val="16"/>
          <w:rtl/>
        </w:rPr>
        <w:t>)</w:t>
      </w:r>
      <w:r w:rsidRPr="001D49D4">
        <w:rPr>
          <w:rtl/>
        </w:rPr>
        <w:t xml:space="preserve">. </w:t>
      </w:r>
      <w:r w:rsidRPr="001D49D4">
        <w:rPr>
          <w:color w:val="E36C0A" w:themeColor="accent6" w:themeShade="BF"/>
          <w:rtl/>
        </w:rPr>
        <w:t>(וכ"פ בשו"ע)</w:t>
      </w:r>
      <w:r w:rsidRPr="001D49D4">
        <w:rPr>
          <w:rtl/>
        </w:rPr>
        <w:t xml:space="preserve"> </w:t>
      </w:r>
    </w:p>
    <w:p w14:paraId="366B72E7" w14:textId="77777777" w:rsidR="001D49D4" w:rsidRPr="001D49D4" w:rsidRDefault="001D49D4" w:rsidP="0004348D">
      <w:pPr>
        <w:numPr>
          <w:ilvl w:val="0"/>
          <w:numId w:val="320"/>
        </w:numPr>
        <w:spacing w:before="360" w:after="240"/>
        <w:contextualSpacing/>
        <w:rPr>
          <w:rtl/>
        </w:rPr>
      </w:pPr>
      <w:r w:rsidRPr="001D49D4">
        <w:rPr>
          <w:rtl/>
        </w:rPr>
        <w:t>רשב"א</w:t>
      </w:r>
      <w:r w:rsidRPr="001D49D4">
        <w:rPr>
          <w:sz w:val="16"/>
          <w:szCs w:val="16"/>
          <w:rtl/>
        </w:rPr>
        <w:t xml:space="preserve"> (סי' תתקכא)</w:t>
      </w:r>
      <w:r w:rsidRPr="001D49D4">
        <w:rPr>
          <w:rtl/>
        </w:rPr>
        <w:t xml:space="preserve">- </w:t>
      </w:r>
      <w:r w:rsidRPr="001D49D4">
        <w:rPr>
          <w:vertAlign w:val="superscript"/>
          <w:rtl/>
        </w:rPr>
        <w:footnoteReference w:id="4650"/>
      </w:r>
      <w:r w:rsidRPr="001D49D4">
        <w:rPr>
          <w:rtl/>
        </w:rPr>
        <w:t>דבר ברור שהוא חייב לפרוע לכל מוציאו אף בלא הרשאה</w:t>
      </w:r>
      <w:r w:rsidRPr="001D49D4">
        <w:rPr>
          <w:vertAlign w:val="superscript"/>
          <w:rtl/>
        </w:rPr>
        <w:footnoteReference w:id="4651"/>
      </w:r>
      <w:r w:rsidRPr="001D49D4">
        <w:rPr>
          <w:rtl/>
        </w:rPr>
        <w:t xml:space="preserve">. מיהו דוקא כשהמוציא היה ילוד כבר בשעת הלואה אבל אם נולד לאחר מכאן לא דלא היה יכול להשתעבד למי שלא בא לעולם וכך מפורש בסוף פ"ק דגיטין </w:t>
      </w:r>
      <w:r w:rsidRPr="001D49D4">
        <w:rPr>
          <w:sz w:val="16"/>
          <w:szCs w:val="16"/>
          <w:rtl/>
        </w:rPr>
        <w:t>(יג:)</w:t>
      </w:r>
      <w:r w:rsidRPr="001D49D4">
        <w:rPr>
          <w:rtl/>
        </w:rPr>
        <w:t xml:space="preserve">. </w:t>
      </w:r>
      <w:r w:rsidRPr="001D49D4">
        <w:rPr>
          <w:color w:val="E36C0A" w:themeColor="accent6" w:themeShade="BF"/>
          <w:rtl/>
        </w:rPr>
        <w:t>(וכ"פ בשו"ע)</w:t>
      </w:r>
    </w:p>
    <w:p w14:paraId="5323C668" w14:textId="77777777" w:rsidR="001D49D4" w:rsidRPr="001D49D4" w:rsidRDefault="001D49D4" w:rsidP="0004348D">
      <w:pPr>
        <w:spacing w:before="360" w:after="240"/>
        <w:rPr>
          <w:rFonts w:ascii="Calibri" w:eastAsia="Calibri" w:hAnsi="Calibri" w:cs="Arial"/>
          <w:u w:val="single"/>
        </w:rPr>
      </w:pPr>
      <w:r w:rsidRPr="001D49D4">
        <w:rPr>
          <w:rFonts w:ascii="Calibri" w:eastAsia="Calibri" w:hAnsi="Calibri" w:cs="Arial"/>
          <w:u w:val="single"/>
          <w:rtl/>
        </w:rPr>
        <w:t>שטר שכתוב בו שאם לא יפרענו בזמן עליו ליתן לו כל הפסד שיבא לו, ואמר המלוה שהיתה לו סחורה מזומנת לקנות:</w:t>
      </w:r>
    </w:p>
    <w:p w14:paraId="1E7F705B" w14:textId="77777777" w:rsidR="001D49D4" w:rsidRPr="001D49D4" w:rsidRDefault="001D49D4" w:rsidP="0004348D">
      <w:pPr>
        <w:numPr>
          <w:ilvl w:val="0"/>
          <w:numId w:val="320"/>
        </w:numPr>
        <w:spacing w:before="360" w:after="240"/>
        <w:contextualSpacing/>
        <w:rPr>
          <w:color w:val="000000" w:themeColor="text1"/>
        </w:rPr>
      </w:pPr>
      <w:r w:rsidRPr="001D49D4">
        <w:rPr>
          <w:rtl/>
        </w:rPr>
        <w:t>רשב"א</w:t>
      </w:r>
      <w:r w:rsidRPr="001D49D4">
        <w:rPr>
          <w:sz w:val="16"/>
          <w:szCs w:val="16"/>
          <w:rtl/>
        </w:rPr>
        <w:t xml:space="preserve"> (ח"ג סי' רכז)</w:t>
      </w:r>
      <w:r w:rsidRPr="001D49D4">
        <w:rPr>
          <w:rtl/>
        </w:rPr>
        <w:t xml:space="preserve">- שאלת, ראובן לוה מנה משמעון וכתב לו את השטר לפרוע לזמן שקבע לו, ואם לא יפרענו תוך אותו זמן קבל עליו ליתן כל הוצאה וכל הפסד שיבא לו ויעשה מחמת חוב זה. וקבל על עצמו זה בקנין גמור ובלא אסמכתא ובנאמנות. וכשהגיע הזמן תבע שמעון את חובו ואמר שהיה לו סחורה מזומנת לקנות ואם לא יפרענו יפסיד הוא הסחורה, ועם כל זה לא פרעו. ועכשיו שמעון תובע מראובן אותו הפסד הריוח, וראובן טוען שאינו חייב ליתן שאם כן נמצא שיתן לו ריבית מחמת מעותיו. תשובה, נראה לי שהדין עם ראובן הנתבע, לפי שאין בכלל ההוצאה והפסד מניעת הריוח שמבטל כיסו של חבירו... ומעתה אפי' בלא טענת רבית נפטר ראובן משמעון בתביעת הריוח... כבר ידעת שאמרו כללא דרבית כל אגר נטר ליה אסור, ומינה כל דליכא אגר נטר ליה אין רבית בו, לא רבית קצוצה ולא אבק רבית. והלכתא, כל כיוצ"ב שאומר לו אם לא תפרעני מכאן ועד יום פלוני תתן לי כך וכך, א"נ תתן לי כל מה שאפסיד מיד ולא שאמתין לך כלום מחמת תשלומי אותו הפסד - הרי זה אין בו משום רבית... ומיהו אף במה שכתבתי שאין בו משום רבית - אסור לעשות כן, שכל </w:t>
      </w:r>
      <w:r w:rsidRPr="001D49D4">
        <w:rPr>
          <w:color w:val="000000" w:themeColor="text1"/>
          <w:rtl/>
        </w:rPr>
        <w:t xml:space="preserve">זמן שיגיע ליד המלוה יותר ממה שהלוה – אסור, דלא גרע מרבית מאוחרת וריבית מוקדמת והיינו דאסירי. </w:t>
      </w:r>
    </w:p>
    <w:p w14:paraId="1A060E1B" w14:textId="77777777" w:rsidR="001D49D4" w:rsidRPr="001D49D4" w:rsidRDefault="001D49D4" w:rsidP="0004348D">
      <w:pPr>
        <w:spacing w:before="360" w:after="240"/>
        <w:rPr>
          <w:rFonts w:ascii="Calibri" w:eastAsia="Calibri" w:hAnsi="Calibri" w:cs="Arial"/>
        </w:rPr>
      </w:pPr>
      <w:r w:rsidRPr="001D49D4">
        <w:rPr>
          <w:rFonts w:ascii="Calibri" w:eastAsia="Calibri" w:hAnsi="Calibri" w:cs="Arial"/>
          <w:u w:val="single"/>
          <w:rtl/>
        </w:rPr>
        <w:t>מקום שכותבים בשטרות שיוכל לגבות חובו בלא שומא והכרזה – האם יכול לגבות בלא שומא והכרזה:</w:t>
      </w:r>
      <w:r w:rsidRPr="001D49D4">
        <w:rPr>
          <w:rFonts w:ascii="Calibri" w:eastAsia="Calibri" w:hAnsi="Calibri" w:cs="Arial"/>
          <w:sz w:val="16"/>
          <w:szCs w:val="16"/>
          <w:rtl/>
        </w:rPr>
        <w:t xml:space="preserve">  (ב"י בבדה"ב)</w:t>
      </w:r>
    </w:p>
    <w:p w14:paraId="7557DA60" w14:textId="77777777" w:rsidR="001D49D4" w:rsidRPr="001D49D4" w:rsidRDefault="001D49D4" w:rsidP="0004348D">
      <w:pPr>
        <w:numPr>
          <w:ilvl w:val="0"/>
          <w:numId w:val="320"/>
        </w:numPr>
        <w:spacing w:before="360" w:after="240"/>
        <w:contextualSpacing/>
      </w:pPr>
      <w:r w:rsidRPr="001D49D4">
        <w:rPr>
          <w:rtl/>
        </w:rPr>
        <w:t>רא"ש</w:t>
      </w:r>
      <w:r w:rsidRPr="001D49D4">
        <w:rPr>
          <w:sz w:val="16"/>
          <w:szCs w:val="16"/>
          <w:rtl/>
        </w:rPr>
        <w:t xml:space="preserve"> (כלל סח סי' יג, כתבה הטור בסי' קג סי"ד)</w:t>
      </w:r>
      <w:r w:rsidRPr="001D49D4">
        <w:rPr>
          <w:rtl/>
        </w:rPr>
        <w:t xml:space="preserve">- אע"פ שכותבין בשטרות שיוכל לגבות חובו בלא שומא והכרזה, כיון שנוהגים במקום ההוא שלא לגבות אלא בשומא והכרזה - אינו יכול לגבות זולתם. </w:t>
      </w:r>
      <w:r w:rsidRPr="001D49D4">
        <w:rPr>
          <w:color w:val="E36C0A" w:themeColor="accent6" w:themeShade="BF"/>
          <w:rtl/>
        </w:rPr>
        <w:t>(וכ"פ בשו"ע</w:t>
      </w:r>
      <w:r w:rsidRPr="001D49D4">
        <w:rPr>
          <w:color w:val="E36C0A" w:themeColor="accent6" w:themeShade="BF"/>
          <w:sz w:val="16"/>
          <w:szCs w:val="16"/>
          <w:rtl/>
        </w:rPr>
        <w:t xml:space="preserve"> </w:t>
      </w:r>
      <w:r w:rsidRPr="001D49D4">
        <w:rPr>
          <w:color w:val="002060"/>
          <w:sz w:val="16"/>
          <w:szCs w:val="16"/>
          <w:rtl/>
        </w:rPr>
        <w:t>[בסי' קג סע' ז]</w:t>
      </w:r>
      <w:r w:rsidRPr="001D49D4">
        <w:rPr>
          <w:color w:val="E36C0A" w:themeColor="accent6" w:themeShade="BF"/>
          <w:rtl/>
        </w:rPr>
        <w:t>)</w:t>
      </w:r>
    </w:p>
    <w:p w14:paraId="46619A66" w14:textId="77777777" w:rsidR="001D49D4" w:rsidRPr="001D49D4" w:rsidRDefault="001D49D4" w:rsidP="0004348D">
      <w:pPr>
        <w:spacing w:before="360" w:after="240"/>
        <w:rPr>
          <w:rFonts w:ascii="Arial" w:eastAsia="Calibri" w:hAnsi="Arial" w:cs="Arial"/>
          <w:b/>
          <w:bCs/>
          <w:color w:val="000000"/>
          <w:sz w:val="28"/>
          <w:szCs w:val="28"/>
          <w:u w:val="single"/>
          <w:rtl/>
        </w:rPr>
      </w:pPr>
      <w:r w:rsidRPr="001D49D4">
        <w:rPr>
          <w:rFonts w:ascii="Arial" w:eastAsia="Calibri" w:hAnsi="Arial" w:cs="Arial"/>
          <w:b/>
          <w:bCs/>
          <w:color w:val="000000"/>
          <w:sz w:val="28"/>
          <w:szCs w:val="28"/>
          <w:u w:val="single"/>
          <w:rtl/>
        </w:rPr>
        <w:t>שו"ע:</w:t>
      </w:r>
    </w:p>
    <w:p w14:paraId="296D08E8"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rtl/>
        </w:rPr>
        <w:t>שטר שכתוב בו שיוכל כל המוציאו לגבות בו בלא הרשאה, אם אין מנהג בעיר שלא לגבות בו בלא הרשאה, תנאו קיים וגובה בו בלא הרשאה</w:t>
      </w:r>
      <w:r w:rsidRPr="001D49D4">
        <w:rPr>
          <w:rFonts w:ascii="Calibri" w:eastAsia="Calibri" w:hAnsi="Calibri" w:cs="Arial"/>
          <w:vertAlign w:val="superscript"/>
          <w:rtl/>
        </w:rPr>
        <w:footnoteReference w:id="4652"/>
      </w:r>
      <w:r w:rsidRPr="001D49D4">
        <w:rPr>
          <w:rFonts w:ascii="Calibri" w:eastAsia="Calibri" w:hAnsi="Calibri" w:cs="Arial"/>
          <w:rtl/>
        </w:rPr>
        <w:t>, ואפילו כתוב בו שנתחייב לכל מוציאו בין יהודי בין גוי</w:t>
      </w:r>
      <w:r w:rsidRPr="001D49D4">
        <w:rPr>
          <w:rFonts w:ascii="Calibri" w:eastAsia="Calibri" w:hAnsi="Calibri" w:cs="Arial"/>
          <w:vertAlign w:val="superscript"/>
          <w:rtl/>
        </w:rPr>
        <w:footnoteReference w:id="4653"/>
      </w:r>
      <w:r w:rsidRPr="001D49D4">
        <w:rPr>
          <w:rFonts w:ascii="Calibri" w:eastAsia="Calibri" w:hAnsi="Calibri" w:cs="Arial"/>
          <w:rtl/>
        </w:rPr>
        <w:t xml:space="preserve">. ודוקא שהמוציא היה ילוד בשעת הלוואה, אבל אם נולד לאחר מכאן, לא, דלא היה יכול להשתעבד למי שלא בא לעולם. </w:t>
      </w:r>
    </w:p>
    <w:p w14:paraId="56FB7B8E" w14:textId="77777777" w:rsidR="001D49D4" w:rsidRPr="001D49D4" w:rsidRDefault="001D49D4" w:rsidP="0004348D">
      <w:pPr>
        <w:spacing w:before="360" w:after="240"/>
        <w:rPr>
          <w:rFonts w:ascii="Calibri" w:eastAsia="Calibri" w:hAnsi="Calibri" w:cs="Arial"/>
          <w:rtl/>
        </w:rPr>
      </w:pPr>
    </w:p>
    <w:p w14:paraId="08BFD72C" w14:textId="77777777" w:rsidR="001D49D4" w:rsidRPr="001D49D4" w:rsidRDefault="001D49D4" w:rsidP="0004348D">
      <w:pPr>
        <w:keepNext/>
        <w:keepLines/>
        <w:spacing w:before="360" w:after="240"/>
        <w:outlineLvl w:val="1"/>
        <w:rPr>
          <w:rFonts w:ascii="Cambria" w:eastAsia="Times New Roman" w:hAnsi="Cambria" w:cs="Arial"/>
          <w:bCs/>
          <w:color w:val="548DD4" w:themeColor="text2" w:themeTint="99"/>
          <w:sz w:val="26"/>
          <w:szCs w:val="26"/>
          <w:rtl/>
        </w:rPr>
      </w:pPr>
      <w:bookmarkStart w:id="624" w:name="_Toc24884050"/>
      <w:r w:rsidRPr="001D49D4">
        <w:rPr>
          <w:rFonts w:ascii="Cambria" w:eastAsia="Times New Roman" w:hAnsi="Cambria" w:cs="Arial"/>
          <w:bCs/>
          <w:color w:val="548DD4" w:themeColor="text2" w:themeTint="99"/>
          <w:sz w:val="26"/>
          <w:szCs w:val="26"/>
          <w:rtl/>
        </w:rPr>
        <w:t>סעיף ה: דברים שנהוג במדינה לכתוב בשטר – ולא כתבם הסופר.</w:t>
      </w:r>
      <w:bookmarkEnd w:id="624"/>
    </w:p>
    <w:p w14:paraId="42AE6BA1" w14:textId="77777777" w:rsidR="001D49D4" w:rsidRPr="001D49D4" w:rsidRDefault="001D49D4" w:rsidP="0004348D">
      <w:pPr>
        <w:spacing w:before="360" w:after="240"/>
        <w:rPr>
          <w:rFonts w:ascii="Calibri" w:eastAsia="Calibri" w:hAnsi="Calibri" w:cs="Arial"/>
          <w:u w:val="single"/>
          <w:rtl/>
        </w:rPr>
      </w:pPr>
      <w:r w:rsidRPr="001D49D4">
        <w:rPr>
          <w:rFonts w:ascii="Calibri" w:eastAsia="Calibri" w:hAnsi="Calibri" w:cs="Arial"/>
          <w:u w:val="single"/>
          <w:rtl/>
        </w:rPr>
        <w:t>דברים שנהוג במדינה לכתוב בשטר – ולא כתבם הסופר:</w:t>
      </w:r>
    </w:p>
    <w:p w14:paraId="3863E59E" w14:textId="77777777" w:rsidR="001D49D4" w:rsidRPr="001D49D4" w:rsidRDefault="001D49D4" w:rsidP="0004348D">
      <w:pPr>
        <w:numPr>
          <w:ilvl w:val="0"/>
          <w:numId w:val="320"/>
        </w:numPr>
        <w:spacing w:before="360" w:after="240"/>
        <w:contextualSpacing/>
      </w:pPr>
      <w:r w:rsidRPr="001D49D4">
        <w:rPr>
          <w:rtl/>
        </w:rPr>
        <w:t xml:space="preserve">רא"ש </w:t>
      </w:r>
      <w:r w:rsidRPr="001D49D4">
        <w:rPr>
          <w:sz w:val="16"/>
          <w:szCs w:val="16"/>
          <w:rtl/>
        </w:rPr>
        <w:t>(כלל סח סי' יב, וכ"כ הטור בשמו [כאן ובסי' צו סכ"ב])</w:t>
      </w:r>
      <w:r w:rsidRPr="001D49D4">
        <w:rPr>
          <w:rtl/>
        </w:rPr>
        <w:t xml:space="preserve"> וטור- כל דבר שנהגו במדינה לכתוב, הן נאמנות, הן כתבוה בשוקא, וכל שאר שופרי דשטרי שכבר נהגו הסופרים לכתוב, כל מי שקנה בסודר כדי לכתוב שטר דעתו שיכתבוהו כמנהג המדינה ואין צריך לומר שיכתוב כל לישני יתיר' שפירי דאית ביה</w:t>
      </w:r>
      <w:r w:rsidRPr="001D49D4">
        <w:rPr>
          <w:vertAlign w:val="superscript"/>
          <w:rtl/>
        </w:rPr>
        <w:footnoteReference w:id="4654"/>
      </w:r>
      <w:r w:rsidRPr="001D49D4">
        <w:rPr>
          <w:rtl/>
        </w:rPr>
        <w:t xml:space="preserve"> </w:t>
      </w:r>
      <w:r w:rsidRPr="001D49D4">
        <w:rPr>
          <w:sz w:val="16"/>
          <w:szCs w:val="16"/>
          <w:rtl/>
        </w:rPr>
        <w:t>(ל' הרא"ש)</w:t>
      </w:r>
      <w:r w:rsidRPr="001D49D4">
        <w:rPr>
          <w:rtl/>
        </w:rPr>
        <w:t>, ואם רגילין לכתוב קנס בשטרות שיפרע כל ההוצאות עם</w:t>
      </w:r>
      <w:r w:rsidRPr="001D49D4">
        <w:rPr>
          <w:vertAlign w:val="superscript"/>
          <w:rtl/>
        </w:rPr>
        <w:footnoteReference w:id="4655"/>
      </w:r>
      <w:r w:rsidRPr="001D49D4">
        <w:rPr>
          <w:rtl/>
        </w:rPr>
        <w:t xml:space="preserve"> הכפל - אם היה בא לידי מעשה לגבות ההוצאה לא הייתי פוסק לגבותה אם לא שנעשה הקנין בב"ד חשוב דלא כאסמכתא </w:t>
      </w:r>
      <w:r w:rsidRPr="001D49D4">
        <w:rPr>
          <w:sz w:val="16"/>
          <w:szCs w:val="16"/>
          <w:rtl/>
        </w:rPr>
        <w:t>(ע"פ ל' הרא"ש)</w:t>
      </w:r>
      <w:r w:rsidRPr="001D49D4">
        <w:rPr>
          <w:rtl/>
        </w:rPr>
        <w:t>.</w:t>
      </w:r>
      <w:r w:rsidRPr="001D49D4">
        <w:rPr>
          <w:color w:val="E36C0A" w:themeColor="accent6" w:themeShade="BF"/>
          <w:rtl/>
        </w:rPr>
        <w:t xml:space="preserve"> (וכ"פ בשו"ע)</w:t>
      </w:r>
      <w:r w:rsidRPr="001D49D4">
        <w:rPr>
          <w:color w:val="00B0F0"/>
          <w:rtl/>
        </w:rPr>
        <w:t xml:space="preserve"> (וכ"פ הרמ"א)</w:t>
      </w:r>
    </w:p>
    <w:p w14:paraId="6B6CA7FA" w14:textId="77777777" w:rsidR="001D49D4" w:rsidRPr="001D49D4" w:rsidRDefault="001D49D4" w:rsidP="0004348D">
      <w:pPr>
        <w:numPr>
          <w:ilvl w:val="0"/>
          <w:numId w:val="320"/>
        </w:numPr>
        <w:spacing w:before="360" w:after="240"/>
        <w:contextualSpacing/>
      </w:pPr>
      <w:r w:rsidRPr="001D49D4">
        <w:rPr>
          <w:rtl/>
        </w:rPr>
        <w:t>ר"ן</w:t>
      </w:r>
      <w:r w:rsidRPr="001D49D4">
        <w:rPr>
          <w:sz w:val="16"/>
          <w:szCs w:val="16"/>
          <w:rtl/>
        </w:rPr>
        <w:t xml:space="preserve"> (כתובות לז: מדפה"ר ד"ה הא)</w:t>
      </w:r>
      <w:r w:rsidRPr="001D49D4">
        <w:rPr>
          <w:rtl/>
        </w:rPr>
        <w:t>- אמרו בשם הרא"ה</w:t>
      </w:r>
      <w:r w:rsidRPr="001D49D4">
        <w:rPr>
          <w:sz w:val="16"/>
          <w:szCs w:val="16"/>
          <w:rtl/>
        </w:rPr>
        <w:t xml:space="preserve"> (שם)</w:t>
      </w:r>
      <w:r w:rsidRPr="001D49D4">
        <w:rPr>
          <w:rtl/>
        </w:rPr>
        <w:t xml:space="preserve"> דדינא דמברחת דוקא בשלא כתבה לו מתנה גמורה מתנה חלוטה מתנה עולמית, אבל אם כתבה לו כן - קנה לגמרי. וכתב הרשב"א ז"ל </w:t>
      </w:r>
      <w:r w:rsidRPr="001D49D4">
        <w:rPr>
          <w:sz w:val="16"/>
          <w:szCs w:val="16"/>
          <w:rtl/>
        </w:rPr>
        <w:t xml:space="preserve">(שם עט. ד"ה מדמקשינן) </w:t>
      </w:r>
      <w:r w:rsidRPr="001D49D4">
        <w:rPr>
          <w:rtl/>
        </w:rPr>
        <w:t xml:space="preserve">שיש לדקדק לפי דבריו, עכשיו שהכל כותבין כן אם נדון אותו לשופרא דשטרא עד שיכתבו וכך אמרה לנו בפירוש, כדרך שעושין בתנאי נאמנות ועל הנאמנות בפי'. ואני למד מדברי מורי הרב ז"ל שכתב בב"ב </w:t>
      </w:r>
      <w:r w:rsidRPr="001D49D4">
        <w:rPr>
          <w:sz w:val="16"/>
          <w:szCs w:val="16"/>
          <w:rtl/>
        </w:rPr>
        <w:t xml:space="preserve">(מ:) </w:t>
      </w:r>
      <w:r w:rsidRPr="001D49D4">
        <w:rPr>
          <w:rtl/>
        </w:rPr>
        <w:t>גבי כתבוה בשוקא דכיון שהכל מורגלין לכתוב כן בזמנינו - זה אינו צריך לומר כן בפירוש, דאילו רצה לכסותה היה מצוה שלא לכתבה בפרהסיא ושלא לכתוב בשטר כן שהרי הוא יודע שכך הם כותבים, וכאילו צוה בפירוש כתבוה בשוקא הוא, ואפשר לדון כאן כן. ונראין הדברים שהכל לפי ראות הדיינים, שא"א לומר באשה שתדע בנוסח השטרות שכותבי שטרות מורגלים לכתוב, ועד שיעידו שכך אמרה להם בפירוש לא קנה. ואם רואים שידעה ולא מיחתה אע"פ שלא אמרה להם בפירוש אפ"ל שתהא מתנתה קיימת, עכ"ל הרשב"א ז"ל</w:t>
      </w:r>
      <w:r w:rsidRPr="001D49D4">
        <w:rPr>
          <w:sz w:val="16"/>
          <w:szCs w:val="16"/>
          <w:rtl/>
        </w:rPr>
        <w:t xml:space="preserve"> (ל' הר"ן)</w:t>
      </w:r>
      <w:r w:rsidRPr="001D49D4">
        <w:rPr>
          <w:vertAlign w:val="superscript"/>
          <w:rtl/>
        </w:rPr>
        <w:footnoteReference w:id="4656"/>
      </w:r>
      <w:r w:rsidRPr="001D49D4">
        <w:rPr>
          <w:rtl/>
        </w:rPr>
        <w:t xml:space="preserve">. </w:t>
      </w:r>
    </w:p>
    <w:p w14:paraId="427509E5"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u w:val="single"/>
          <w:rtl/>
        </w:rPr>
        <w:t>סופר שקיבל לכתוב שטר בכל לשון של זכות - והסופר לא ידע לכתוב בצורה הכי טובה:</w:t>
      </w:r>
    </w:p>
    <w:p w14:paraId="1F097B92" w14:textId="77777777" w:rsidR="001D49D4" w:rsidRPr="001D49D4" w:rsidRDefault="001D49D4" w:rsidP="0004348D">
      <w:pPr>
        <w:numPr>
          <w:ilvl w:val="0"/>
          <w:numId w:val="320"/>
        </w:numPr>
        <w:spacing w:before="360" w:after="240"/>
        <w:contextualSpacing/>
      </w:pPr>
      <w:r w:rsidRPr="001D49D4">
        <w:rPr>
          <w:rtl/>
        </w:rPr>
        <w:t xml:space="preserve">רי"ו </w:t>
      </w:r>
      <w:r w:rsidRPr="001D49D4">
        <w:rPr>
          <w:sz w:val="16"/>
          <w:szCs w:val="16"/>
          <w:rtl/>
        </w:rPr>
        <w:t xml:space="preserve">(נ"ד ח"א יט ע"ג) </w:t>
      </w:r>
      <w:r w:rsidRPr="001D49D4">
        <w:rPr>
          <w:rtl/>
        </w:rPr>
        <w:t>בשם רבינו האיי- מאן דמקבל למיכתב שטרא בכל לישנא דזכותא, אע"ג דלא ידע ספרא לאחזוקי כראוי, כיון דכתיב ביה 'ואחריות שטרא דנן קבילית עלי כחומר כל שטרות דנהיגי בישראל דלא כאסמכתא ודלא כטופסי דשטרי' - קאי לכל כללי בתחלת ענינא, אבל תנאים כגון נאמנות בהלואה או ביטול מודעא במתנה לא מחשבינן עד דמפרשי</w:t>
      </w:r>
      <w:r w:rsidRPr="001D49D4">
        <w:rPr>
          <w:vertAlign w:val="superscript"/>
          <w:rtl/>
        </w:rPr>
        <w:footnoteReference w:id="4657"/>
      </w:r>
      <w:r w:rsidRPr="001D49D4">
        <w:rPr>
          <w:rtl/>
        </w:rPr>
        <w:t xml:space="preserve">. </w:t>
      </w:r>
      <w:r w:rsidRPr="001D49D4">
        <w:rPr>
          <w:color w:val="00B0F0"/>
          <w:rtl/>
        </w:rPr>
        <w:t>(וכ"פ הרמ"א)</w:t>
      </w:r>
    </w:p>
    <w:p w14:paraId="49D660A9" w14:textId="77777777" w:rsidR="001D49D4" w:rsidRPr="001D49D4" w:rsidRDefault="001D49D4" w:rsidP="0004348D">
      <w:pPr>
        <w:spacing w:before="360" w:after="240"/>
        <w:rPr>
          <w:rFonts w:ascii="Calibri" w:eastAsia="Calibri" w:hAnsi="Calibri" w:cs="Arial"/>
          <w:u w:val="single"/>
        </w:rPr>
      </w:pPr>
      <w:r w:rsidRPr="001D49D4">
        <w:rPr>
          <w:rFonts w:ascii="Calibri" w:eastAsia="Calibri" w:hAnsi="Calibri" w:cs="Arial"/>
          <w:u w:val="single"/>
          <w:rtl/>
        </w:rPr>
        <w:t>ראובן חייב לשמעון וכתב לו בשטר לפרוע לו במעות, ובשעת הפרעון אמר לו שמה שכתוב בשטר הוא מנהג הסופרים:</w:t>
      </w:r>
    </w:p>
    <w:p w14:paraId="40471E51" w14:textId="77777777" w:rsidR="001D49D4" w:rsidRPr="001D49D4" w:rsidRDefault="001D49D4" w:rsidP="0004348D">
      <w:pPr>
        <w:numPr>
          <w:ilvl w:val="0"/>
          <w:numId w:val="320"/>
        </w:numPr>
        <w:spacing w:before="360" w:after="240"/>
        <w:contextualSpacing/>
      </w:pPr>
      <w:r w:rsidRPr="001D49D4">
        <w:rPr>
          <w:rtl/>
        </w:rPr>
        <w:t xml:space="preserve">רשב"א </w:t>
      </w:r>
      <w:r w:rsidRPr="001D49D4">
        <w:rPr>
          <w:sz w:val="16"/>
          <w:szCs w:val="16"/>
          <w:rtl/>
        </w:rPr>
        <w:t>(הביאו הב"י [סי' קא ס"ט מחו' ה] והדרכ"מ [כאן אות ג*])</w:t>
      </w:r>
      <w:r w:rsidRPr="001D49D4">
        <w:rPr>
          <w:rtl/>
        </w:rPr>
        <w:t>- ראובן שהיה חייב לשמעון וכתב בשטר לפרוע לו במעות בעין. ובשעת הפרעון אמר שלא היה לו מעות רק קרקע, ומה שנכתב בשטר מעות מנהג הסופרים לכתוב כן בכל השטרות, ומי שרוצה להתנות כותב בהדיא שלא יוכל להורידו לשומת שום קרקע ולא מטלטלים. תשובה, אם האמת עם ראובן במה שטוען - הדין עמו, דכיון דהמנהג לפרש בהדיא בשטר אם מתנה, וכאן לא נתפרש, ודאי הסופר מעצמו עשה ואין לחוש</w:t>
      </w:r>
      <w:r w:rsidRPr="001D49D4">
        <w:rPr>
          <w:vertAlign w:val="superscript"/>
          <w:rtl/>
        </w:rPr>
        <w:footnoteReference w:id="4658"/>
      </w:r>
      <w:r w:rsidRPr="001D49D4">
        <w:rPr>
          <w:rtl/>
        </w:rPr>
        <w:t>.</w:t>
      </w:r>
    </w:p>
    <w:p w14:paraId="0362EAFD" w14:textId="77777777" w:rsidR="001D49D4" w:rsidRPr="001D49D4" w:rsidRDefault="001D49D4" w:rsidP="0004348D">
      <w:pPr>
        <w:spacing w:before="360" w:after="240"/>
        <w:rPr>
          <w:rFonts w:ascii="Arial" w:eastAsia="Calibri" w:hAnsi="Arial" w:cs="Arial"/>
          <w:b/>
          <w:bCs/>
          <w:color w:val="000000"/>
          <w:sz w:val="28"/>
          <w:szCs w:val="28"/>
          <w:u w:val="single"/>
        </w:rPr>
      </w:pPr>
      <w:r w:rsidRPr="001D49D4">
        <w:rPr>
          <w:rFonts w:ascii="Arial" w:eastAsia="Calibri" w:hAnsi="Arial" w:cs="Arial"/>
          <w:b/>
          <w:bCs/>
          <w:color w:val="000000"/>
          <w:sz w:val="28"/>
          <w:szCs w:val="28"/>
          <w:u w:val="single"/>
          <w:rtl/>
        </w:rPr>
        <w:t>שו"ע:</w:t>
      </w:r>
    </w:p>
    <w:p w14:paraId="04DD8C0F"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rtl/>
        </w:rPr>
        <w:t xml:space="preserve">כל דבר שנהגו במדינה לכתוב, הן נאמנות, הן כתבוה בשוקא, הן שאר שופרי דשטרי שנהגו הסופרים לכתוב, כל מי שמקנה בסודר לכתוב שטר דעתו שיכתבוהו כמנהג המדינה, ואין צריך לפרש שיכתבו כל לישני שפירי דאית ביה. ויתבאר עוד בסימן ע"א. </w:t>
      </w:r>
      <w:r w:rsidRPr="001D49D4">
        <w:rPr>
          <w:rFonts w:ascii="Calibri" w:eastAsia="Calibri" w:hAnsi="Calibri" w:cs="Arial"/>
          <w:sz w:val="18"/>
          <w:szCs w:val="18"/>
          <w:rtl/>
        </w:rPr>
        <w:t>הגה: והאי מאן דמקבל למכתב שטרא בכל לישני דזכותא, אע"ג דלא ידע ספרא לאפוקי כראוי, כיון דכתב ביה 'ואחריות שטרא דנן קבילית עלי ככל שטרות דנהיגו בישראל דלא כאסמכתא</w:t>
      </w:r>
      <w:r w:rsidRPr="001D49D4">
        <w:rPr>
          <w:rFonts w:ascii="Calibri" w:eastAsia="Calibri" w:hAnsi="Calibri" w:cs="Arial"/>
          <w:sz w:val="18"/>
          <w:szCs w:val="18"/>
          <w:vertAlign w:val="superscript"/>
          <w:rtl/>
        </w:rPr>
        <w:footnoteReference w:id="4659"/>
      </w:r>
      <w:r w:rsidRPr="001D49D4">
        <w:rPr>
          <w:rFonts w:ascii="Calibri" w:eastAsia="Calibri" w:hAnsi="Calibri" w:cs="Arial"/>
          <w:sz w:val="18"/>
          <w:szCs w:val="18"/>
          <w:rtl/>
        </w:rPr>
        <w:t xml:space="preserve"> ודלא כטופסי דשטרא' קאי לכל כללי בתחלת עניינא</w:t>
      </w:r>
      <w:r w:rsidRPr="001D49D4">
        <w:rPr>
          <w:rFonts w:ascii="Calibri" w:eastAsia="Calibri" w:hAnsi="Calibri" w:cs="Arial"/>
          <w:sz w:val="18"/>
          <w:szCs w:val="18"/>
          <w:vertAlign w:val="superscript"/>
          <w:rtl/>
        </w:rPr>
        <w:footnoteReference w:id="4660"/>
      </w:r>
      <w:r w:rsidRPr="001D49D4">
        <w:rPr>
          <w:rFonts w:ascii="Calibri" w:eastAsia="Calibri" w:hAnsi="Calibri" w:cs="Arial"/>
          <w:sz w:val="18"/>
          <w:szCs w:val="18"/>
          <w:rtl/>
        </w:rPr>
        <w:t xml:space="preserve">, אבל תנאים </w:t>
      </w:r>
      <w:r w:rsidRPr="001D49D4">
        <w:rPr>
          <w:rFonts w:ascii="Calibri" w:eastAsia="Calibri" w:hAnsi="Calibri" w:cs="Arial"/>
          <w:color w:val="000000" w:themeColor="text1"/>
          <w:sz w:val="18"/>
          <w:szCs w:val="18"/>
          <w:rtl/>
        </w:rPr>
        <w:t>כגון נאמנות בהלוואה או בטול מודעה במתנה לא חשבינן עד דמיפרשי</w:t>
      </w:r>
      <w:r w:rsidRPr="001D49D4">
        <w:rPr>
          <w:rFonts w:ascii="Calibri" w:eastAsia="Calibri" w:hAnsi="Calibri" w:cs="Arial"/>
          <w:color w:val="000000" w:themeColor="text1"/>
          <w:sz w:val="18"/>
          <w:szCs w:val="18"/>
          <w:vertAlign w:val="superscript"/>
          <w:rtl/>
        </w:rPr>
        <w:footnoteReference w:id="4661"/>
      </w:r>
      <w:r w:rsidRPr="001D49D4">
        <w:rPr>
          <w:rFonts w:ascii="Calibri" w:eastAsia="Calibri" w:hAnsi="Calibri" w:cs="Arial"/>
          <w:color w:val="000000" w:themeColor="text1"/>
          <w:sz w:val="18"/>
          <w:szCs w:val="18"/>
          <w:rtl/>
        </w:rPr>
        <w:t xml:space="preserve"> (רי"ו וע"ל סי' עא סע' יד).</w:t>
      </w:r>
      <w:r w:rsidRPr="001D49D4">
        <w:rPr>
          <w:rFonts w:ascii="Calibri" w:eastAsia="Calibri" w:hAnsi="Calibri" w:cs="Arial"/>
          <w:color w:val="000000" w:themeColor="text1"/>
          <w:rtl/>
        </w:rPr>
        <w:t xml:space="preserve"> שטר שכתוב בו שיפרע ההוצאות על</w:t>
      </w:r>
      <w:r w:rsidRPr="001D49D4">
        <w:rPr>
          <w:rFonts w:ascii="Calibri" w:eastAsia="Calibri" w:hAnsi="Calibri" w:cs="Arial"/>
          <w:vertAlign w:val="superscript"/>
          <w:rtl/>
        </w:rPr>
        <w:footnoteReference w:id="4662"/>
      </w:r>
      <w:r w:rsidRPr="001D49D4">
        <w:rPr>
          <w:rFonts w:ascii="Calibri" w:eastAsia="Calibri" w:hAnsi="Calibri" w:cs="Arial"/>
          <w:color w:val="000000" w:themeColor="text1"/>
          <w:rtl/>
        </w:rPr>
        <w:t xml:space="preserve"> </w:t>
      </w:r>
      <w:r w:rsidRPr="001D49D4">
        <w:rPr>
          <w:rFonts w:ascii="Calibri" w:eastAsia="Calibri" w:hAnsi="Calibri" w:cs="Arial"/>
          <w:rtl/>
        </w:rPr>
        <w:t>הכפל</w:t>
      </w:r>
      <w:r w:rsidRPr="001D49D4">
        <w:rPr>
          <w:rFonts w:ascii="Calibri" w:eastAsia="Calibri" w:hAnsi="Calibri" w:cs="Arial"/>
          <w:vertAlign w:val="superscript"/>
          <w:rtl/>
        </w:rPr>
        <w:footnoteReference w:id="4663"/>
      </w:r>
      <w:r w:rsidRPr="001D49D4">
        <w:rPr>
          <w:rFonts w:ascii="Calibri" w:eastAsia="Calibri" w:hAnsi="Calibri" w:cs="Arial"/>
          <w:rtl/>
        </w:rPr>
        <w:t xml:space="preserve">, אסמכתא הוא ואינו גובה. </w:t>
      </w:r>
      <w:r w:rsidRPr="001D49D4">
        <w:rPr>
          <w:rFonts w:ascii="Calibri" w:eastAsia="Calibri" w:hAnsi="Calibri" w:cs="Arial"/>
          <w:sz w:val="18"/>
          <w:szCs w:val="18"/>
          <w:rtl/>
        </w:rPr>
        <w:t>הגה: ואע"ג דכתב ביה דלא כאסמכתא וכו'. וע"ל סי' ר"ז בדיני אסמכתא</w:t>
      </w:r>
      <w:r w:rsidRPr="001D49D4">
        <w:rPr>
          <w:rFonts w:ascii="Calibri" w:eastAsia="Calibri" w:hAnsi="Calibri" w:cs="Arial"/>
          <w:sz w:val="18"/>
          <w:szCs w:val="18"/>
          <w:vertAlign w:val="superscript"/>
          <w:rtl/>
        </w:rPr>
        <w:footnoteReference w:id="4664"/>
      </w:r>
      <w:r w:rsidRPr="001D49D4">
        <w:rPr>
          <w:rFonts w:ascii="Calibri" w:eastAsia="Calibri" w:hAnsi="Calibri" w:cs="Arial"/>
          <w:sz w:val="18"/>
          <w:szCs w:val="18"/>
          <w:rtl/>
        </w:rPr>
        <w:t>. וכל דבר שנהגו בו בני המדינה בשטרות, אע"פ שאינו כתיקון חכמים, הולכין אחריו (טור בס"ס מב, וריב"ש סי' קה).</w:t>
      </w:r>
      <w:r w:rsidRPr="001D49D4">
        <w:rPr>
          <w:rFonts w:ascii="Calibri" w:eastAsia="Calibri" w:hAnsi="Calibri" w:cs="Arial"/>
          <w:rtl/>
        </w:rPr>
        <w:t xml:space="preserve"> </w:t>
      </w:r>
    </w:p>
    <w:p w14:paraId="4252CC01" w14:textId="77777777" w:rsidR="001D49D4" w:rsidRPr="001D49D4" w:rsidRDefault="001D49D4" w:rsidP="0004348D">
      <w:pPr>
        <w:spacing w:before="360" w:after="240"/>
        <w:rPr>
          <w:rFonts w:ascii="Calibri" w:eastAsia="Calibri" w:hAnsi="Calibri" w:cs="Arial"/>
          <w:rtl/>
        </w:rPr>
      </w:pPr>
    </w:p>
    <w:p w14:paraId="7D6910CF" w14:textId="77777777" w:rsidR="001D49D4" w:rsidRPr="001D49D4" w:rsidRDefault="001D49D4" w:rsidP="0004348D">
      <w:pPr>
        <w:keepNext/>
        <w:keepLines/>
        <w:spacing w:before="360" w:after="240"/>
        <w:outlineLvl w:val="1"/>
        <w:rPr>
          <w:rFonts w:ascii="Cambria" w:eastAsia="Times New Roman" w:hAnsi="Cambria" w:cs="Arial"/>
          <w:bCs/>
          <w:color w:val="548DD4" w:themeColor="text2" w:themeTint="99"/>
          <w:sz w:val="26"/>
          <w:szCs w:val="26"/>
          <w:rtl/>
        </w:rPr>
      </w:pPr>
      <w:bookmarkStart w:id="625" w:name="_Toc24884051"/>
      <w:r w:rsidRPr="001D49D4">
        <w:rPr>
          <w:rFonts w:ascii="Cambria" w:eastAsia="Times New Roman" w:hAnsi="Cambria" w:cs="Arial"/>
          <w:bCs/>
          <w:color w:val="548DD4" w:themeColor="text2" w:themeTint="99"/>
          <w:sz w:val="26"/>
          <w:szCs w:val="26"/>
          <w:rtl/>
        </w:rPr>
        <w:t>סעיף ו: ירידה  לנכסי לוה בלא שומת בית דין ומכירה עד כדי חובו.</w:t>
      </w:r>
      <w:bookmarkEnd w:id="625"/>
    </w:p>
    <w:p w14:paraId="42B6DC38" w14:textId="77777777" w:rsidR="001D49D4" w:rsidRPr="001D49D4" w:rsidRDefault="001D49D4" w:rsidP="0004348D">
      <w:pPr>
        <w:spacing w:before="360" w:after="240"/>
        <w:rPr>
          <w:rFonts w:ascii="Calibri" w:eastAsia="Calibri" w:hAnsi="Calibri" w:cs="Arial"/>
          <w:u w:val="single"/>
          <w:rtl/>
        </w:rPr>
      </w:pPr>
      <w:r w:rsidRPr="001D49D4">
        <w:rPr>
          <w:rFonts w:ascii="Calibri" w:eastAsia="Calibri" w:hAnsi="Calibri" w:cs="Arial"/>
          <w:u w:val="single"/>
          <w:rtl/>
        </w:rPr>
        <w:t>מלוה, מהו שירד מעצמו לנכסי לוה בלא שומת ב"ד ולמכור מנכסי לוה עד כדי חובו מחמת שכתוב כן בשטר:</w:t>
      </w:r>
    </w:p>
    <w:p w14:paraId="7C2B3678" w14:textId="77777777" w:rsidR="001D49D4" w:rsidRPr="001D49D4" w:rsidRDefault="001D49D4" w:rsidP="0004348D">
      <w:pPr>
        <w:numPr>
          <w:ilvl w:val="0"/>
          <w:numId w:val="320"/>
        </w:numPr>
        <w:spacing w:before="360" w:after="240"/>
        <w:contextualSpacing/>
        <w:rPr>
          <w:rtl/>
        </w:rPr>
      </w:pPr>
      <w:r w:rsidRPr="001D49D4">
        <w:rPr>
          <w:rtl/>
        </w:rPr>
        <w:t xml:space="preserve">רא"ש </w:t>
      </w:r>
      <w:r w:rsidRPr="001D49D4">
        <w:rPr>
          <w:sz w:val="16"/>
          <w:szCs w:val="16"/>
          <w:rtl/>
        </w:rPr>
        <w:t>(כלל סח סי' יג)</w:t>
      </w:r>
      <w:r w:rsidRPr="001D49D4">
        <w:rPr>
          <w:rtl/>
        </w:rPr>
        <w:t xml:space="preserve"> וטור- ששאלת מלוה שירד מעצמו לנכסי לוה בלא שומת ב"ד ומכר מנכסיו עד כדי חובו מחמת שרגילין לכתוב בשטרי חובות שיש רשות למלוה למכור כל מה שימצא ללוה מנכסיו בין בפניו בין שלא בפניו שלא ברשות ב"ד ובלא שומא והכרזה בין בשויה בין בפחות. תשובה, אמת הוא כל מה שנהגו הסופרים לכתוב בשטרות שיש לנהוג ע"פ מה שנהגו לכתוב, ומיהו בנדון זה נ"ל דלאו כל כמיניה דמלוה לירד לנכסי לוה אלא בכח בית דין. וכיוצא בזה דנתי כבר בכאן על מה שנוהגין לכתוב בשטרות 'בין בדיני ישראל בין בדיני גוים' ואמרתי חלילה וחס שיהיה רשות למלוה לתבוע הלוה בדיני גוים, אפילו אם המלוה והלוה עומדין בפנינו ואמר הלוה למלוה 'ואם תרצה תתבעני בפני דייני הגוים' מחינן למלוה ואמרינן ליה שלא יתבענו אלא בדיני ישראל, ואי לא ציית שמותי משמתינן ליה. והא דכתבינן בין בדיני גוים יש לפרשו שלא לעקור דברי תורה כגון אי גברא אלמא הוא ואין כח בדיני ישראל לכופו אז יש לו רשות להביא אותו בדיני גוים שלא יפסיד ממונו. וכן בנדון זה אע"פ שכותבין בשטרות שיש רשות למלוה שירד לנכסי לוה מ"מ אין לעבור על דברי תורה דתנן המלוה את חבירו לא ימשכננו אלא בב"ד. ויש לפרש מה שנהגו לכתוב שיוכל המלוה לירד לנכסי לוה כגון שלא מצא המלוה דיין שרוצה למשכנו, אז יש לו רשות לעשות דין לעצמו. וכן חקרתי שנוהגין בשני דברים הללו פה בטוליטולא. ועוד רגילין לכתוב לכל מוציאי שטר זה ואעפ"כ נוהגין לכתוב הרשאה, אלמא לא נהיגי לדון בלשון הכתוב בשטרות, כל שכן בדברים הללו שיש עבירה בדבר ויש לפרש הלשון בענין שלא יהא בו עבירה </w:t>
      </w:r>
      <w:r w:rsidRPr="001D49D4">
        <w:rPr>
          <w:sz w:val="16"/>
          <w:szCs w:val="16"/>
          <w:rtl/>
        </w:rPr>
        <w:t>(ל' הטור בשם הרא"ש)</w:t>
      </w:r>
      <w:r w:rsidRPr="001D49D4">
        <w:rPr>
          <w:rtl/>
        </w:rPr>
        <w:t>.</w:t>
      </w:r>
      <w:r w:rsidRPr="001D49D4">
        <w:rPr>
          <w:color w:val="E36C0A" w:themeColor="accent6" w:themeShade="BF"/>
          <w:rtl/>
        </w:rPr>
        <w:t xml:space="preserve"> (וכ"פ בשו"ע)</w:t>
      </w:r>
    </w:p>
    <w:p w14:paraId="20D5898A" w14:textId="77777777" w:rsidR="001D49D4" w:rsidRPr="001D49D4" w:rsidRDefault="001D49D4" w:rsidP="0004348D">
      <w:pPr>
        <w:spacing w:before="360" w:after="240"/>
        <w:rPr>
          <w:rFonts w:ascii="Arial" w:eastAsia="Calibri" w:hAnsi="Arial" w:cs="Arial"/>
          <w:b/>
          <w:bCs/>
          <w:color w:val="000000"/>
          <w:sz w:val="28"/>
          <w:szCs w:val="28"/>
          <w:u w:val="single"/>
          <w:rtl/>
        </w:rPr>
      </w:pPr>
      <w:r w:rsidRPr="001D49D4">
        <w:rPr>
          <w:rFonts w:ascii="Arial" w:eastAsia="Calibri" w:hAnsi="Arial" w:cs="Arial"/>
          <w:b/>
          <w:bCs/>
          <w:color w:val="000000"/>
          <w:sz w:val="28"/>
          <w:szCs w:val="28"/>
          <w:u w:val="single"/>
          <w:rtl/>
        </w:rPr>
        <w:t>שו"ע:</w:t>
      </w:r>
    </w:p>
    <w:p w14:paraId="3B0A34FF"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rtl/>
        </w:rPr>
        <w:t>שטר שכתוב בו שיש רשות למלוה לירד לנכסי לוה בין בפניו בין שלא בפניו בלא רשות בית דין ובלא שומא והכרזה, אינו רשאי לעבור על דברי תורה לירד לנכסיו</w:t>
      </w:r>
      <w:r w:rsidRPr="001D49D4">
        <w:rPr>
          <w:rFonts w:ascii="Calibri" w:eastAsia="Calibri" w:hAnsi="Calibri" w:cs="Arial"/>
          <w:vertAlign w:val="superscript"/>
          <w:rtl/>
        </w:rPr>
        <w:footnoteReference w:id="4665"/>
      </w:r>
      <w:r w:rsidRPr="001D49D4">
        <w:rPr>
          <w:rFonts w:ascii="Calibri" w:eastAsia="Calibri" w:hAnsi="Calibri" w:cs="Arial"/>
          <w:rtl/>
        </w:rPr>
        <w:t>, שהמלוה את חבירו לא ימשכנו אלא בבית דין. אבל אם לא מצא דיין שרוצה לדונו, אז יש לו רשות לעשות דין לעצמו.</w:t>
      </w:r>
    </w:p>
    <w:p w14:paraId="119FE784" w14:textId="77777777" w:rsidR="001D49D4" w:rsidRPr="001D49D4" w:rsidRDefault="001D49D4" w:rsidP="0004348D">
      <w:pPr>
        <w:spacing w:before="360" w:after="240"/>
        <w:rPr>
          <w:rFonts w:ascii="Calibri" w:eastAsia="Calibri" w:hAnsi="Calibri" w:cs="Arial"/>
          <w:rtl/>
        </w:rPr>
      </w:pPr>
    </w:p>
    <w:p w14:paraId="3E81745E" w14:textId="77777777" w:rsidR="001D49D4" w:rsidRPr="001D49D4" w:rsidRDefault="001D49D4" w:rsidP="0004348D">
      <w:pPr>
        <w:keepNext/>
        <w:keepLines/>
        <w:spacing w:before="360" w:after="240"/>
        <w:outlineLvl w:val="1"/>
        <w:rPr>
          <w:rFonts w:ascii="Cambria" w:eastAsia="Times New Roman" w:hAnsi="Cambria" w:cs="Arial"/>
          <w:bCs/>
          <w:color w:val="548DD4" w:themeColor="text2" w:themeTint="99"/>
          <w:sz w:val="26"/>
          <w:szCs w:val="26"/>
          <w:rtl/>
        </w:rPr>
      </w:pPr>
      <w:bookmarkStart w:id="626" w:name="_Toc24884052"/>
      <w:r w:rsidRPr="001D49D4">
        <w:rPr>
          <w:rFonts w:ascii="Cambria" w:eastAsia="Times New Roman" w:hAnsi="Cambria" w:cs="Arial"/>
          <w:bCs/>
          <w:color w:val="548DD4" w:themeColor="text2" w:themeTint="99"/>
          <w:sz w:val="26"/>
          <w:szCs w:val="26"/>
          <w:rtl/>
        </w:rPr>
        <w:t>סעיף ז: לוה שכתב שטר על מה שיודה</w:t>
      </w:r>
      <w:r w:rsidRPr="001D49D4">
        <w:rPr>
          <w:rFonts w:ascii="Cambria" w:eastAsia="Times New Roman" w:hAnsi="Cambria" w:cs="Arial"/>
          <w:bCs/>
          <w:color w:val="548DD4" w:themeColor="text2" w:themeTint="99"/>
          <w:sz w:val="18"/>
          <w:szCs w:val="18"/>
          <w:rtl/>
        </w:rPr>
        <w:t xml:space="preserve"> (למלוה)</w:t>
      </w:r>
      <w:r w:rsidRPr="001D49D4">
        <w:rPr>
          <w:rFonts w:ascii="Cambria" w:eastAsia="Times New Roman" w:hAnsi="Cambria" w:cs="Arial"/>
          <w:bCs/>
          <w:color w:val="548DD4" w:themeColor="text2" w:themeTint="99"/>
          <w:sz w:val="26"/>
          <w:szCs w:val="26"/>
          <w:rtl/>
        </w:rPr>
        <w:t xml:space="preserve"> בעתיד ולאחר זמן הודה בכתב ידו, מאמתי גובה.</w:t>
      </w:r>
      <w:bookmarkEnd w:id="626"/>
    </w:p>
    <w:p w14:paraId="075A0395" w14:textId="77777777" w:rsidR="001D49D4" w:rsidRPr="001D49D4" w:rsidRDefault="001D49D4" w:rsidP="0004348D">
      <w:pPr>
        <w:spacing w:before="360" w:after="240"/>
        <w:rPr>
          <w:rFonts w:ascii="Calibri" w:eastAsia="Calibri" w:hAnsi="Calibri" w:cs="Arial"/>
          <w:u w:val="single"/>
          <w:rtl/>
        </w:rPr>
      </w:pPr>
      <w:r w:rsidRPr="001D49D4">
        <w:rPr>
          <w:rFonts w:ascii="Calibri" w:eastAsia="Calibri" w:hAnsi="Calibri" w:cs="Arial"/>
          <w:u w:val="single"/>
          <w:rtl/>
        </w:rPr>
        <w:t>לוה שכתב שטר על מה שיודה למלוה בעתיד, ולאחר זמן הודה בכתב ידו - מאמתי גובה:</w:t>
      </w:r>
    </w:p>
    <w:p w14:paraId="23481EE8" w14:textId="77777777" w:rsidR="001D49D4" w:rsidRPr="001D49D4" w:rsidRDefault="001D49D4" w:rsidP="0004348D">
      <w:pPr>
        <w:numPr>
          <w:ilvl w:val="0"/>
          <w:numId w:val="320"/>
        </w:numPr>
        <w:spacing w:before="360" w:after="240"/>
        <w:contextualSpacing/>
        <w:rPr>
          <w:rtl/>
        </w:rPr>
      </w:pPr>
      <w:r w:rsidRPr="001D49D4">
        <w:rPr>
          <w:rtl/>
        </w:rPr>
        <w:t xml:space="preserve">רא"ש </w:t>
      </w:r>
      <w:r w:rsidRPr="001D49D4">
        <w:rPr>
          <w:sz w:val="16"/>
          <w:szCs w:val="16"/>
          <w:rtl/>
        </w:rPr>
        <w:t>(כלל סז סי' ג)</w:t>
      </w:r>
      <w:r w:rsidRPr="001D49D4">
        <w:rPr>
          <w:rtl/>
        </w:rPr>
        <w:t xml:space="preserve"> וטור- וששאלת, שמעון שכתב שטר לראובן עליו באחד בניסן, שנתחייב לו בכל סך ממון עד אלף זהובים מה שיודה שמעון אחר זמנו של שטר זה שיש לראובן עליו, ויכתוב ויחתום בחתימת ידו בהודאה זו, והוציא ראובן כתב ידו של שמעון שהודה שיש לראובן עליו ק' זהובים וזמן כתב ידו בכ"ז בניסן ונתקיימה חתימת שמעון באחד באייר, ונסתפקת מאימתי גובה ראובן מזמן שטרו או מזמן שנתקיים חתימת יד שמעון בב"ד. תשובה, יראה שראובן גובה מזמן שטרו, דאז יצא הקול שנתחזק שטר על שמעון באלף זהובים והיה להם ללקוחות לחוש שמא לאלתר ימסור שמעון כתב ידו לראובן, כי אין יוצא לכתב ידו שיאמרו אין אנו צריכין ליזהר אלא עד שימסור לו שמעון כתב ידו, כי דוקא העדים הוא דמפקי לקלא.</w:t>
      </w:r>
      <w:r w:rsidRPr="001D49D4">
        <w:rPr>
          <w:color w:val="E36C0A" w:themeColor="accent6" w:themeShade="BF"/>
          <w:rtl/>
        </w:rPr>
        <w:t xml:space="preserve"> (וכ"פ בשו"ע)</w:t>
      </w:r>
    </w:p>
    <w:p w14:paraId="20D67177" w14:textId="77777777" w:rsidR="001D49D4" w:rsidRPr="001D49D4" w:rsidRDefault="001D49D4" w:rsidP="0004348D">
      <w:pPr>
        <w:spacing w:before="360" w:after="240"/>
        <w:rPr>
          <w:rFonts w:ascii="Arial" w:eastAsia="Calibri" w:hAnsi="Arial" w:cs="Arial"/>
          <w:b/>
          <w:bCs/>
          <w:color w:val="000000"/>
          <w:sz w:val="28"/>
          <w:szCs w:val="28"/>
          <w:u w:val="single"/>
          <w:rtl/>
        </w:rPr>
      </w:pPr>
      <w:r w:rsidRPr="001D49D4">
        <w:rPr>
          <w:rFonts w:ascii="Arial" w:eastAsia="Calibri" w:hAnsi="Arial" w:cs="Arial"/>
          <w:b/>
          <w:bCs/>
          <w:color w:val="000000"/>
          <w:sz w:val="28"/>
          <w:szCs w:val="28"/>
          <w:u w:val="single"/>
          <w:rtl/>
        </w:rPr>
        <w:t>שו"ע:</w:t>
      </w:r>
    </w:p>
    <w:p w14:paraId="5DCBAB22"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rtl/>
        </w:rPr>
        <w:t>שמעון שכתב עליו לראובן באחד בניסן שנתחייב לו בכל סך ממון עד אלף זהובים שיודה שמעון אחר זמנו של שטר זה שיש לראובן עליו ויכתוב ויחתום בחתימת ידו בהודאה זו, והוציא ראובן כתב ידו של שמעון שהודה שיש לראובן עליו מאה זהובים, וזמן כתב ידו בכ"ז בניסן, ונתקיימה חתימת שמעון באחד באייר, ראובן גובה מזמן שטרו, דאז יצא הקול</w:t>
      </w:r>
      <w:r w:rsidRPr="001D49D4">
        <w:rPr>
          <w:rFonts w:ascii="Calibri" w:eastAsia="Calibri" w:hAnsi="Calibri" w:cs="Arial"/>
          <w:vertAlign w:val="superscript"/>
          <w:rtl/>
        </w:rPr>
        <w:footnoteReference w:id="4666"/>
      </w:r>
      <w:r w:rsidRPr="001D49D4">
        <w:rPr>
          <w:rFonts w:ascii="Calibri" w:eastAsia="Calibri" w:hAnsi="Calibri" w:cs="Arial"/>
          <w:rtl/>
        </w:rPr>
        <w:t xml:space="preserve"> שנתחזק שטר של שמעון עד אלף זהובים.</w:t>
      </w:r>
    </w:p>
    <w:p w14:paraId="69712D70"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rtl/>
        </w:rPr>
        <w:t xml:space="preserve"> </w:t>
      </w:r>
    </w:p>
    <w:p w14:paraId="35E905B8" w14:textId="77777777" w:rsidR="001D49D4" w:rsidRPr="001D49D4" w:rsidRDefault="001D49D4" w:rsidP="0004348D">
      <w:pPr>
        <w:keepNext/>
        <w:keepLines/>
        <w:spacing w:before="360" w:after="240"/>
        <w:outlineLvl w:val="1"/>
        <w:rPr>
          <w:rFonts w:ascii="Cambria" w:eastAsia="Times New Roman" w:hAnsi="Cambria" w:cs="Arial"/>
          <w:bCs/>
          <w:color w:val="548DD4" w:themeColor="text2" w:themeTint="99"/>
          <w:sz w:val="26"/>
          <w:szCs w:val="26"/>
          <w:rtl/>
        </w:rPr>
      </w:pPr>
      <w:bookmarkStart w:id="627" w:name="_Toc24884053"/>
      <w:r w:rsidRPr="001D49D4">
        <w:rPr>
          <w:rFonts w:ascii="Cambria" w:eastAsia="Times New Roman" w:hAnsi="Cambria" w:cs="Arial"/>
          <w:bCs/>
          <w:color w:val="548DD4" w:themeColor="text2" w:themeTint="99"/>
          <w:sz w:val="26"/>
          <w:szCs w:val="26"/>
          <w:rtl/>
        </w:rPr>
        <w:t>סעיף ח: אחד טוען שפלוני הודה בעדים שחייב לו מנה, אך השטר אצל פלוני וטוען שאינו חייב.</w:t>
      </w:r>
      <w:bookmarkEnd w:id="627"/>
      <w:r w:rsidRPr="001D49D4">
        <w:rPr>
          <w:rFonts w:ascii="Cambria" w:eastAsia="Times New Roman" w:hAnsi="Cambria" w:cs="Arial"/>
          <w:bCs/>
          <w:color w:val="548DD4" w:themeColor="text2" w:themeTint="99"/>
          <w:sz w:val="26"/>
          <w:szCs w:val="26"/>
          <w:rtl/>
        </w:rPr>
        <w:t xml:space="preserve"> </w:t>
      </w:r>
    </w:p>
    <w:p w14:paraId="478D2A20" w14:textId="77777777" w:rsidR="001D49D4" w:rsidRPr="001D49D4" w:rsidRDefault="001D49D4" w:rsidP="0004348D">
      <w:pPr>
        <w:spacing w:before="360" w:after="240"/>
        <w:rPr>
          <w:rFonts w:ascii="Calibri" w:eastAsia="Calibri" w:hAnsi="Calibri" w:cs="Arial"/>
          <w:u w:val="single"/>
          <w:rtl/>
        </w:rPr>
      </w:pPr>
      <w:r w:rsidRPr="001D49D4">
        <w:rPr>
          <w:rFonts w:ascii="Calibri" w:eastAsia="Calibri" w:hAnsi="Calibri" w:cs="Arial"/>
          <w:u w:val="single"/>
          <w:rtl/>
        </w:rPr>
        <w:t>אחד טוען שפלוני הודה בעדים שחייב לו מנה, אך השטר אצל פלוני וטוען שאינו חייב:</w:t>
      </w:r>
    </w:p>
    <w:p w14:paraId="0D95F601" w14:textId="77777777" w:rsidR="001D49D4" w:rsidRPr="001D49D4" w:rsidRDefault="001D49D4" w:rsidP="0004348D">
      <w:pPr>
        <w:numPr>
          <w:ilvl w:val="0"/>
          <w:numId w:val="320"/>
        </w:numPr>
        <w:spacing w:before="360" w:after="240"/>
        <w:contextualSpacing/>
        <w:rPr>
          <w:rtl/>
        </w:rPr>
      </w:pPr>
      <w:r w:rsidRPr="001D49D4">
        <w:rPr>
          <w:rtl/>
        </w:rPr>
        <w:t xml:space="preserve">רא"ש </w:t>
      </w:r>
      <w:r w:rsidRPr="001D49D4">
        <w:rPr>
          <w:sz w:val="16"/>
          <w:szCs w:val="16"/>
          <w:rtl/>
        </w:rPr>
        <w:t>(כלל סה סי' ב)</w:t>
      </w:r>
      <w:r w:rsidRPr="001D49D4">
        <w:rPr>
          <w:rtl/>
        </w:rPr>
        <w:t xml:space="preserve"> וטור- וששאלת, ראובן תבע משמעון ואמר לו 'אתה הודית בפני עדים שאתה חייב לי מנה חוב גמור בשטר, וקנו מידך קנין גמור, ועתה גנבו ממני השטר ונתנוהו לך, תן לי ממוני'. והשיב שמעון 'אתה לא מכרת לי כלום ולא הלויתני, אלא לוי נתן לי משכון ושאל ממני לעשות עלי שט"ח בשמך והוא החזיר לי שטרו והחזרתי לו משכונו'. תשובה, אם ההודאה שהודה שמעון בפני עדים הוא כמו שטען באחרונה - לאו הודאה היא, כי לפי דבריו לא היה עיקר הממון של ראובן מעולם. ואף אם הודה תחילה בפני עדים כמו שטען ראובן שחייב לו מנה חוב גמור בשטר, ועתה שאין השטר יוצא מתחת יד ראובן והיא טוען שעיקר הממון לא היה שלו אלא של לוי היה וביקש ממנו לכתוב השטר בשם ראובן ופרעו ללוי והחזיר לו שטרו - הוא נאמן בטענה זו במגו, שיכול לומר לראובן לך פרעתי והיה נאמן בשבועה כיון שאין השטר ביד ראובן, גם עתה נאמן בטענה זו שהוא טוען בשבועה. ואינו סותר בטענה זו את הראשונה כי שתיהן אמת, כי היה חייב לו מנה חוב גמור בשטר כיון שהשטר נכתב בשמו ויכול להוציא המנה ככל עת שירצה אע"פ שאין עיקר הממון שלו, ומה שטען עתה אינו סותר דבריו הראשונים אלא מתרץ דיבוריה ונאמן במגו כדפרישית.</w:t>
      </w:r>
      <w:r w:rsidRPr="001D49D4">
        <w:rPr>
          <w:color w:val="E36C0A" w:themeColor="accent6" w:themeShade="BF"/>
          <w:rtl/>
        </w:rPr>
        <w:t xml:space="preserve"> (וכ"פ בשו"ע)</w:t>
      </w:r>
    </w:p>
    <w:p w14:paraId="4D0B38D0" w14:textId="77777777" w:rsidR="001D49D4" w:rsidRPr="001D49D4" w:rsidRDefault="001D49D4" w:rsidP="0004348D">
      <w:pPr>
        <w:spacing w:before="360" w:after="240"/>
        <w:rPr>
          <w:rFonts w:ascii="Arial" w:eastAsia="Calibri" w:hAnsi="Arial" w:cs="Arial"/>
          <w:b/>
          <w:bCs/>
          <w:color w:val="000000"/>
          <w:sz w:val="28"/>
          <w:szCs w:val="28"/>
          <w:u w:val="single"/>
          <w:rtl/>
        </w:rPr>
      </w:pPr>
      <w:r w:rsidRPr="001D49D4">
        <w:rPr>
          <w:rFonts w:ascii="Arial" w:eastAsia="Calibri" w:hAnsi="Arial" w:cs="Arial"/>
          <w:b/>
          <w:bCs/>
          <w:color w:val="000000"/>
          <w:sz w:val="28"/>
          <w:szCs w:val="28"/>
          <w:u w:val="single"/>
          <w:rtl/>
        </w:rPr>
        <w:t>שו"ע:</w:t>
      </w:r>
    </w:p>
    <w:p w14:paraId="428F6319"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rtl/>
        </w:rPr>
        <w:t>ראובן שתבע את שמעון לדין ואמר ליה 'אתה הודית בפני עדים שאתה חייב לי מנה בשטר, ועתה גנבו השטר ונתנוהו לך'. והשיב שמעון 'אתה לא הלויתני, לוי נתן לי משכון</w:t>
      </w:r>
      <w:r w:rsidRPr="001D49D4">
        <w:rPr>
          <w:rFonts w:ascii="Calibri" w:eastAsia="Calibri" w:hAnsi="Calibri" w:cs="Arial"/>
          <w:vertAlign w:val="superscript"/>
          <w:rtl/>
        </w:rPr>
        <w:footnoteReference w:id="4667"/>
      </w:r>
      <w:r w:rsidRPr="001D49D4">
        <w:rPr>
          <w:rFonts w:ascii="Calibri" w:eastAsia="Calibri" w:hAnsi="Calibri" w:cs="Arial"/>
          <w:rtl/>
        </w:rPr>
        <w:t xml:space="preserve"> ושאל ממני לכתוב עלי שטר חוב בשמך, והוא החזיר לי השטר והחזרתי לו משכונו'. שמעון נאמן בשבועה. </w:t>
      </w:r>
    </w:p>
    <w:p w14:paraId="11D98044" w14:textId="77777777" w:rsidR="001D49D4" w:rsidRPr="001D49D4" w:rsidRDefault="001D49D4" w:rsidP="0004348D">
      <w:pPr>
        <w:spacing w:before="360" w:after="240"/>
        <w:rPr>
          <w:rFonts w:ascii="Calibri" w:eastAsia="Calibri" w:hAnsi="Calibri" w:cs="Arial"/>
          <w:rtl/>
        </w:rPr>
      </w:pPr>
    </w:p>
    <w:p w14:paraId="601A5D6F" w14:textId="77777777" w:rsidR="001D49D4" w:rsidRPr="001D49D4" w:rsidRDefault="001D49D4" w:rsidP="0004348D">
      <w:pPr>
        <w:keepNext/>
        <w:keepLines/>
        <w:spacing w:before="360" w:after="240"/>
        <w:outlineLvl w:val="1"/>
        <w:rPr>
          <w:rFonts w:ascii="Cambria" w:eastAsia="Times New Roman" w:hAnsi="Cambria" w:cs="Arial"/>
          <w:bCs/>
          <w:color w:val="548DD4" w:themeColor="text2" w:themeTint="99"/>
          <w:sz w:val="26"/>
          <w:szCs w:val="26"/>
          <w:rtl/>
        </w:rPr>
      </w:pPr>
      <w:bookmarkStart w:id="628" w:name="_Toc24884054"/>
      <w:r w:rsidRPr="001D49D4">
        <w:rPr>
          <w:rFonts w:ascii="Cambria" w:eastAsia="Times New Roman" w:hAnsi="Cambria" w:cs="Arial"/>
          <w:bCs/>
          <w:color w:val="548DD4" w:themeColor="text2" w:themeTint="99"/>
          <w:sz w:val="26"/>
          <w:szCs w:val="26"/>
          <w:rtl/>
        </w:rPr>
        <w:t>סעיף ט: שטר שיש הרבה חשדות כלפיו.</w:t>
      </w:r>
      <w:bookmarkEnd w:id="628"/>
    </w:p>
    <w:p w14:paraId="6E7F5605" w14:textId="77777777" w:rsidR="001D49D4" w:rsidRPr="001D49D4" w:rsidRDefault="001D49D4" w:rsidP="0004348D">
      <w:pPr>
        <w:spacing w:before="360" w:after="240"/>
        <w:rPr>
          <w:rFonts w:ascii="Calibri" w:eastAsia="Calibri" w:hAnsi="Calibri" w:cs="Arial"/>
          <w:u w:val="single"/>
          <w:rtl/>
        </w:rPr>
      </w:pPr>
      <w:r w:rsidRPr="001D49D4">
        <w:rPr>
          <w:rFonts w:ascii="Calibri" w:eastAsia="Calibri" w:hAnsi="Calibri" w:cs="Arial"/>
          <w:u w:val="single"/>
          <w:rtl/>
        </w:rPr>
        <w:t>שטר שיש הרבה חשדות כלפיו:</w:t>
      </w:r>
    </w:p>
    <w:p w14:paraId="2613F0D5" w14:textId="77777777" w:rsidR="001D49D4" w:rsidRPr="001D49D4" w:rsidRDefault="001D49D4" w:rsidP="0004348D">
      <w:pPr>
        <w:numPr>
          <w:ilvl w:val="0"/>
          <w:numId w:val="320"/>
        </w:numPr>
        <w:spacing w:before="360" w:after="240"/>
        <w:contextualSpacing/>
        <w:rPr>
          <w:rtl/>
        </w:rPr>
      </w:pPr>
      <w:r w:rsidRPr="001D49D4">
        <w:rPr>
          <w:rtl/>
        </w:rPr>
        <w:t xml:space="preserve">רא"ש </w:t>
      </w:r>
      <w:r w:rsidRPr="001D49D4">
        <w:rPr>
          <w:sz w:val="16"/>
          <w:szCs w:val="16"/>
          <w:rtl/>
        </w:rPr>
        <w:t>(כלל סח סי' כ, ובכלל עט סי' יג)</w:t>
      </w:r>
      <w:r w:rsidRPr="001D49D4">
        <w:rPr>
          <w:rtl/>
        </w:rPr>
        <w:t xml:space="preserve"> וטור- שאלה, ילמדנו רבינו, ראובן הוציא שטר מאלף זהובים על שבעה אנשים מהקהל, ויש לו</w:t>
      </w:r>
      <w:r w:rsidRPr="001D49D4">
        <w:rPr>
          <w:sz w:val="16"/>
          <w:szCs w:val="16"/>
          <w:rtl/>
        </w:rPr>
        <w:t xml:space="preserve"> {לשטר}</w:t>
      </w:r>
      <w:r w:rsidRPr="001D49D4">
        <w:rPr>
          <w:rtl/>
        </w:rPr>
        <w:t xml:space="preserve"> כמו ל' שנים ולא נשאר מהלווים חי אלא אחד, ובעל השטר תובע ליורשי הלווין ומניח לאחד מן הלווין אותו שהוא חי עדיין ואינו תובעו ויש לו ממה לפרוע החוב. והיורשין טוענין שאבותיהם עשו שטר זה בשביל הקהל, והקהל שבאותו זמן פרעו השטר, כי ראובן לא היה אמוד שילוה משלו אלף זהובים לאלו הלווין. ועוד למה לא הוציאו בחיי הלווין ובהיות הקהל קיים. ועוד כי המלוה הזה עברו עליו כמה שנים שהגיע לתכלית העוני ולא הוציא שטר זה עד שמתו הלווין וכל הדור ההוא. ועוד כיון שלוה אחד קיים ואינו רוצה לתובעו ש"מ שטרא רעוע הוא ומפני שהחי יודע מה טיבו של שטר זה אינו מעיז פניו כנגדו</w:t>
      </w:r>
      <w:r w:rsidRPr="001D49D4">
        <w:rPr>
          <w:vertAlign w:val="superscript"/>
          <w:rtl/>
        </w:rPr>
        <w:footnoteReference w:id="4668"/>
      </w:r>
      <w:r w:rsidRPr="001D49D4">
        <w:rPr>
          <w:rtl/>
        </w:rPr>
        <w:t>, ואולי נתפשר עמו. תשובה, מה שרצית לפסול השטר מפני שלא הוציאו בחיי אביהם ועוד מפני שבא לתכלית העניות ולא הוציאו - אין זה טענה לפסול שטר, אמנם אם יראה לדיין שהדין מרומה הוא ימנע מלהשתדל בו, וכן אני עושה כשמביאין לפני שטרות ישנים אני חוקר ודורש להוציא הדין לאמתו. אם אני רואה באומדנא דמוכח שהדין מרומה ושקר, אני אומר שאין לשום דיין ישראל להשתדל בדין זה, וזה אני כותב וחותם ונותן ביד הנתבע.</w:t>
      </w:r>
      <w:r w:rsidRPr="001D49D4">
        <w:rPr>
          <w:color w:val="E36C0A" w:themeColor="accent6" w:themeShade="BF"/>
          <w:rtl/>
        </w:rPr>
        <w:t xml:space="preserve"> (וכ"פ בשו"ע)</w:t>
      </w:r>
    </w:p>
    <w:p w14:paraId="660AEE53" w14:textId="77777777" w:rsidR="001D49D4" w:rsidRPr="001D49D4" w:rsidRDefault="001D49D4" w:rsidP="0004348D">
      <w:pPr>
        <w:spacing w:before="360" w:after="240"/>
        <w:rPr>
          <w:rFonts w:ascii="Arial" w:eastAsia="Calibri" w:hAnsi="Arial" w:cs="Arial"/>
          <w:b/>
          <w:bCs/>
          <w:color w:val="000000"/>
          <w:sz w:val="28"/>
          <w:szCs w:val="28"/>
          <w:u w:val="single"/>
          <w:rtl/>
        </w:rPr>
      </w:pPr>
      <w:r w:rsidRPr="001D49D4">
        <w:rPr>
          <w:rFonts w:ascii="Arial" w:eastAsia="Calibri" w:hAnsi="Arial" w:cs="Arial"/>
          <w:b/>
          <w:bCs/>
          <w:color w:val="000000"/>
          <w:sz w:val="28"/>
          <w:szCs w:val="28"/>
          <w:u w:val="single"/>
          <w:rtl/>
        </w:rPr>
        <w:t>שו"ע:</w:t>
      </w:r>
    </w:p>
    <w:p w14:paraId="4C65C2EA"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rtl/>
        </w:rPr>
        <w:t xml:space="preserve">הרוצה לפסול שטר מפני שלא הוציאו בחיי אביו, ועוד שבא </w:t>
      </w:r>
      <w:r w:rsidRPr="001D49D4">
        <w:rPr>
          <w:rFonts w:ascii="Calibri" w:eastAsia="Calibri" w:hAnsi="Calibri" w:cs="Arial"/>
          <w:color w:val="000000" w:themeColor="text1"/>
          <w:sz w:val="16"/>
          <w:szCs w:val="16"/>
          <w:vertAlign w:val="superscript"/>
          <w:rtl/>
        </w:rPr>
        <w:footnoteReference w:id="4669"/>
      </w:r>
      <w:r w:rsidRPr="001D49D4">
        <w:rPr>
          <w:rFonts w:ascii="Calibri" w:eastAsia="Calibri" w:hAnsi="Calibri" w:cs="Arial"/>
          <w:color w:val="000000" w:themeColor="text1"/>
          <w:sz w:val="16"/>
          <w:szCs w:val="16"/>
          <w:rtl/>
        </w:rPr>
        <w:t xml:space="preserve">(המלוה) </w:t>
      </w:r>
      <w:r w:rsidRPr="001D49D4">
        <w:rPr>
          <w:rFonts w:ascii="Calibri" w:eastAsia="Calibri" w:hAnsi="Calibri" w:cs="Arial"/>
          <w:rtl/>
        </w:rPr>
        <w:t>לתכלית העוני ולא הוציאו, אין השטר נפסל בכך</w:t>
      </w:r>
      <w:r w:rsidRPr="001D49D4">
        <w:rPr>
          <w:rFonts w:ascii="Calibri" w:eastAsia="Calibri" w:hAnsi="Calibri" w:cs="Arial"/>
          <w:vertAlign w:val="superscript"/>
          <w:rtl/>
        </w:rPr>
        <w:footnoteReference w:id="4670"/>
      </w:r>
      <w:r w:rsidRPr="001D49D4">
        <w:rPr>
          <w:rFonts w:ascii="Calibri" w:eastAsia="Calibri" w:hAnsi="Calibri" w:cs="Arial"/>
          <w:rtl/>
        </w:rPr>
        <w:t xml:space="preserve">. אמנם יש לדיין לחקור ולדרוש להוציא הדין לאמיתו, ואם יראה לו באומדנא דמוכח שהדין מרומה ושקר, יכתוב ויחתום שאין לשום דיין ישראל להשתדל בדין זה, ויתן ביד הנתבע </w:t>
      </w:r>
      <w:r w:rsidRPr="001D49D4">
        <w:rPr>
          <w:rFonts w:ascii="Calibri" w:eastAsia="Calibri" w:hAnsi="Calibri" w:cs="Arial"/>
          <w:sz w:val="16"/>
          <w:szCs w:val="16"/>
          <w:rtl/>
        </w:rPr>
        <w:t>(וע"ל סי' ט"ו ס"ג)</w:t>
      </w:r>
      <w:r w:rsidRPr="001D49D4">
        <w:rPr>
          <w:rFonts w:ascii="Calibri" w:eastAsia="Calibri" w:hAnsi="Calibri" w:cs="Arial"/>
          <w:sz w:val="18"/>
          <w:szCs w:val="18"/>
          <w:rtl/>
        </w:rPr>
        <w:t>. הגה: וכן כל שטר ישן, יש לב"ד לחקור ולפשפש אחריו (טור סי' צח בשם הרא"ש כלל פה ס' י, ומהרי"ק שורש קצ), אע"ג שכתוב בו שלא יטעון הנתבע שום טענה נגד השטר, וקבל עליו בחרם ובשבועה, אפילו הכי הב"ד צריך לחקור אחר זה, כדי להוציא הדין לאמיתו (מהרי"ק שם).</w:t>
      </w:r>
      <w:r w:rsidRPr="001D49D4">
        <w:rPr>
          <w:rFonts w:ascii="Calibri" w:eastAsia="Calibri" w:hAnsi="Calibri" w:cs="Arial"/>
          <w:rtl/>
        </w:rPr>
        <w:t xml:space="preserve"> </w:t>
      </w:r>
    </w:p>
    <w:p w14:paraId="76F35FE6" w14:textId="77777777" w:rsidR="001D49D4" w:rsidRPr="001D49D4" w:rsidRDefault="001D49D4" w:rsidP="0004348D">
      <w:pPr>
        <w:spacing w:before="360" w:after="240"/>
        <w:rPr>
          <w:rFonts w:ascii="Calibri" w:eastAsia="Calibri" w:hAnsi="Calibri" w:cs="Arial"/>
          <w:rtl/>
        </w:rPr>
      </w:pPr>
    </w:p>
    <w:p w14:paraId="71B2F309" w14:textId="77777777" w:rsidR="001D49D4" w:rsidRPr="001D49D4" w:rsidRDefault="001D49D4" w:rsidP="0004348D">
      <w:pPr>
        <w:keepNext/>
        <w:keepLines/>
        <w:spacing w:before="360" w:after="240"/>
        <w:outlineLvl w:val="1"/>
        <w:rPr>
          <w:rFonts w:ascii="Cambria" w:eastAsia="Times New Roman" w:hAnsi="Cambria" w:cs="Arial"/>
          <w:bCs/>
          <w:color w:val="548DD4" w:themeColor="text2" w:themeTint="99"/>
          <w:sz w:val="26"/>
          <w:szCs w:val="26"/>
          <w:rtl/>
        </w:rPr>
      </w:pPr>
      <w:bookmarkStart w:id="629" w:name="_Toc24884055"/>
      <w:r w:rsidRPr="001D49D4">
        <w:rPr>
          <w:rFonts w:ascii="Cambria" w:eastAsia="Times New Roman" w:hAnsi="Cambria" w:cs="Arial"/>
          <w:bCs/>
          <w:color w:val="548DD4" w:themeColor="text2" w:themeTint="99"/>
          <w:sz w:val="26"/>
          <w:szCs w:val="26"/>
          <w:rtl/>
        </w:rPr>
        <w:t>סעיף י: שטר שנכתב בלשון הודאה והנתבע טוען שלא הודה ע"מ שיכתב בשטר.</w:t>
      </w:r>
      <w:bookmarkEnd w:id="629"/>
    </w:p>
    <w:p w14:paraId="7922A377" w14:textId="77777777" w:rsidR="001D49D4" w:rsidRPr="001D49D4" w:rsidRDefault="001D49D4" w:rsidP="0004348D">
      <w:pPr>
        <w:spacing w:before="360" w:after="240"/>
        <w:rPr>
          <w:rFonts w:ascii="Calibri" w:eastAsia="Calibri" w:hAnsi="Calibri" w:cs="Arial"/>
          <w:u w:val="single"/>
          <w:rtl/>
        </w:rPr>
      </w:pPr>
      <w:r w:rsidRPr="001D49D4">
        <w:rPr>
          <w:rFonts w:ascii="Calibri" w:eastAsia="Calibri" w:hAnsi="Calibri" w:cs="Arial"/>
          <w:u w:val="single"/>
          <w:rtl/>
        </w:rPr>
        <w:t>שטר שנכתב בלשון הודאה והנתבע טוען שלא הודה ע"מ שיכתב בשטר:</w:t>
      </w:r>
    </w:p>
    <w:p w14:paraId="40E60E88" w14:textId="77777777" w:rsidR="001D49D4" w:rsidRPr="001D49D4" w:rsidRDefault="001D49D4" w:rsidP="0004348D">
      <w:pPr>
        <w:numPr>
          <w:ilvl w:val="0"/>
          <w:numId w:val="320"/>
        </w:numPr>
        <w:spacing w:before="360" w:after="240"/>
        <w:contextualSpacing/>
        <w:rPr>
          <w:rtl/>
        </w:rPr>
      </w:pPr>
      <w:r w:rsidRPr="001D49D4">
        <w:rPr>
          <w:rtl/>
        </w:rPr>
        <w:t xml:space="preserve">רא"ש </w:t>
      </w:r>
      <w:r w:rsidRPr="001D49D4">
        <w:rPr>
          <w:sz w:val="16"/>
          <w:szCs w:val="16"/>
          <w:rtl/>
        </w:rPr>
        <w:t>(כלל סה סי' ג)</w:t>
      </w:r>
      <w:r w:rsidRPr="001D49D4">
        <w:rPr>
          <w:rtl/>
        </w:rPr>
        <w:t xml:space="preserve"> וטור- שאלה, ראובן שיצא עליו שטר שזה נוסחו 'ביאור מה שהודה בפנינו ראובן שיש עליו מממון עזבון יעקב דמי חפץ פלוני כך וכך, וגבה משטר פלוני כך וכך, נמצא סכום מה שהודה ראובן שיש עליו מממון עזבון יעקב כך וכך, וכתבנו זה בכך וכך לירח פלוני' והעדים חתומין למטה, וטען ראובן שלא הודה הודאה זו על מנת שתכתב אלא שישב לעשות חשבון מה שהיה לו בידו ומה היה לו לקבל ואח"כ נתבלבל המעמד ולא נגמר הדבר, ושעד היום הזה לא ידע שנכתב, ובכתב ההודאה אין כתוב 'העידנו על עצמו'. תשובה, כיון שטען ראובן שלא הודה הודאה זו על דעת שתכתב אלא לעשות חשבון לידע מה היה בידו ומה היה לו לקבל נמצא שאינו מקפיד אלא על הכתיבה שכתבו בלא ידיעתו אבל אינו מכחיש בחשבון, וגם אינו טוען משטה אני באותו חשבון שהודיתי או עשיתי שלא להשביע את עצמי, א"כ מה קפידא יש בכתיבה זו, ולא כיוונו בכתיבה זו אלא לזכרון דברים ולא לשם שטר, וכן מוכיח הלשון 'ביאור מה שהודה במעמדנו' ולא כתבו 'העידנו על עצמו' כמו שרגילין לכתוב בשטרות אלא 'הודה בפנינו' כמו שכותבין בשטרי הודאות, הלכך שטר זה אין גובין בו ממשעבדי כי אין בו קנין ואינו שטר הלואה, אלא הודאה בעלמא הוא על חשבון שבינו ובין יעקב, ולענין זה הוי עדות מעליא לקיים מה שהודה בפני העדים. </w:t>
      </w:r>
      <w:r w:rsidRPr="001D49D4">
        <w:rPr>
          <w:color w:val="E36C0A" w:themeColor="accent6" w:themeShade="BF"/>
          <w:rtl/>
        </w:rPr>
        <w:t>(וכ"פ בשו"ע)</w:t>
      </w:r>
    </w:p>
    <w:p w14:paraId="54C84C73" w14:textId="77777777" w:rsidR="001D49D4" w:rsidRPr="001D49D4" w:rsidRDefault="001D49D4" w:rsidP="0004348D">
      <w:pPr>
        <w:spacing w:before="360" w:after="240"/>
        <w:rPr>
          <w:rFonts w:ascii="Calibri" w:eastAsia="Calibri" w:hAnsi="Calibri" w:cs="Arial"/>
          <w:u w:val="single"/>
        </w:rPr>
      </w:pPr>
      <w:r w:rsidRPr="001D49D4">
        <w:rPr>
          <w:rFonts w:ascii="Calibri" w:eastAsia="Calibri" w:hAnsi="Calibri" w:cs="Arial"/>
          <w:u w:val="single"/>
          <w:rtl/>
        </w:rPr>
        <w:t>ראובן משכן ביתו לשמעון ואח"כ לא מצא המחיצות שהניח שהיו מחלקים בינו ובין שותפו:</w:t>
      </w:r>
    </w:p>
    <w:p w14:paraId="2329B7D6" w14:textId="77777777" w:rsidR="001D49D4" w:rsidRPr="001D49D4" w:rsidRDefault="001D49D4" w:rsidP="0004348D">
      <w:pPr>
        <w:numPr>
          <w:ilvl w:val="0"/>
          <w:numId w:val="320"/>
        </w:numPr>
        <w:spacing w:before="360" w:after="240"/>
        <w:contextualSpacing/>
      </w:pPr>
      <w:r w:rsidRPr="001D49D4">
        <w:rPr>
          <w:rtl/>
        </w:rPr>
        <w:t xml:space="preserve">רא"ש </w:t>
      </w:r>
      <w:r w:rsidRPr="001D49D4">
        <w:rPr>
          <w:sz w:val="16"/>
          <w:szCs w:val="16"/>
          <w:rtl/>
        </w:rPr>
        <w:t>(כלל צא סי' ד)</w:t>
      </w:r>
      <w:r w:rsidRPr="001D49D4">
        <w:rPr>
          <w:rtl/>
        </w:rPr>
        <w:t xml:space="preserve">- ראובן משכן ביתו לשמעון, ואח"כ לא מצא המחיצות שהניח שהיו מחלקים בינו ובין שותפו. וטען שמעון שיביא עדים החתומים על השטר ויעידו שלא רצה לקבל אותם המחיצות במשכנתא. תשובה, מחיצות אלו הם מעיקר הבית ואם איתא שלא היו בכלל המשכנתא היה צריך להוציאם בפירוש ואף אם העדים החתומים על השטר יעידו על פה שהוציאו המחיצות מכלל המשכנתא אין בעדותם כלום מאחר שסותרין מה שכתוב בשטר. </w:t>
      </w:r>
    </w:p>
    <w:p w14:paraId="127E6157" w14:textId="77777777" w:rsidR="001D49D4" w:rsidRPr="001D49D4" w:rsidRDefault="001D49D4" w:rsidP="0004348D">
      <w:pPr>
        <w:spacing w:before="360" w:after="240"/>
        <w:rPr>
          <w:rFonts w:ascii="Calibri" w:eastAsia="Calibri" w:hAnsi="Calibri" w:cs="Arial"/>
          <w:u w:val="single"/>
        </w:rPr>
      </w:pPr>
      <w:r w:rsidRPr="001D49D4">
        <w:rPr>
          <w:rFonts w:ascii="Calibri" w:eastAsia="Calibri" w:hAnsi="Calibri" w:cs="Arial"/>
          <w:u w:val="single"/>
          <w:vertAlign w:val="superscript"/>
          <w:rtl/>
        </w:rPr>
        <w:footnoteReference w:id="4671"/>
      </w:r>
      <w:r w:rsidRPr="001D49D4">
        <w:rPr>
          <w:rFonts w:ascii="Calibri" w:eastAsia="Calibri" w:hAnsi="Calibri" w:cs="Arial"/>
          <w:u w:val="single"/>
          <w:rtl/>
        </w:rPr>
        <w:t xml:space="preserve">שטר מקויים שחתומים עליו ב' עדים ויש תקנה בעיר שיחתמו על כל שטר ג' עדים: </w:t>
      </w:r>
    </w:p>
    <w:p w14:paraId="1568FCDB" w14:textId="77777777" w:rsidR="001D49D4" w:rsidRPr="001D49D4" w:rsidRDefault="001D49D4" w:rsidP="0004348D">
      <w:pPr>
        <w:numPr>
          <w:ilvl w:val="0"/>
          <w:numId w:val="320"/>
        </w:numPr>
        <w:spacing w:before="360" w:after="240"/>
        <w:contextualSpacing/>
      </w:pPr>
      <w:r w:rsidRPr="001D49D4">
        <w:rPr>
          <w:rtl/>
        </w:rPr>
        <w:t xml:space="preserve">רא"ש </w:t>
      </w:r>
      <w:r w:rsidRPr="001D49D4">
        <w:rPr>
          <w:sz w:val="16"/>
          <w:szCs w:val="16"/>
          <w:rtl/>
        </w:rPr>
        <w:t>(כלל סח סי' א)</w:t>
      </w:r>
      <w:r w:rsidRPr="001D49D4">
        <w:rPr>
          <w:rtl/>
        </w:rPr>
        <w:t xml:space="preserve">- שני שטרות, האחד כתוב בו מקום כתיבתו וחתימת יד הלוה ושני עדים עליו מקויימים, והאחד אין בו מקום כתיבתו ושניהם עדים חתומים עליו ומקויים ושניהם בתוך זמנם. וכתוב בהם נאמנות למלוה ולבאים מכחו על הלוה ועל הבאים מכחו. ויש לכם תקנה בעירכם שיחתמו על כל שטר שלשה עדים לכתחילה ואם בדיעבד חתמו שני עדים מקצתכם אומרים שנהגו שלא לגבות בו ויש אומרים בדיעבד לא נהגו שלא לגבות בו. תשובה, יראה לנו שהשטר החתום בשני עדים או חותם יד הלוה יש לכם לגבות בו אף לפי תקנתכם. כי טעם תקנתכם היא בשביל חשש שקרי ובתלת אי אפשר דלית בהו חד דתקין. כדאמרינן גבי דיני ממונות דתקנו בשלשה משום יושבי קרנות ובתלתא אי אפשר דלית בהו חד דגמיר. ומעיקרא עדים החתומים על השטר כמו שנחקרה עדותן בבית דין ואפילו קיום לא היה צריך דלא נחשדו ישראל על הזיוף וכשנתקלקלו הדורות הוצרכו קיום. ועתה שנתרבה הקלקול הוצרכתם לגדור ולהצריך שלשה עדים מלבד הקיום, וכיון שטעם תקנתכם ידוע היכא דלא שייך אותו טעם לא חלה עליה תקנתכם. כדאשכחנא פ' הזהב (מט:)... וכן בכמה מקומות בגמרא ואין להאריך. והכא נמי כיון שחתם הלוה עם העדים מלבד הקיום ליכא למיחש לסהדי שקרי ולא גרע חותם ידו מחתימת עד שלישי לטעם תקנתכם להוציא מחשד עדי שקר. והשטר השני כל זמן שאינו ידוע שנכתב בעירכם יש לגבות בו אע"פ שאין עליו שני עדים. ועוד כיון שהוגה מכתב יד הלוה והקיום אומר שהוא כתב ידו גם זה מוציאו מחשש שקר. ועוד כיון שהשטר מקויים כבר נתקבל עדות העדים בבית דין והוי כאלו כבר העידו דקיימא לן על מנה שבשטר הן מעידין... ועוד שהרי יש נאמנות בתוך השטר על הלוה ועל הבאים מכחו. ועוד כיון שמסופקים אם נהגו לגבות בו בדיעבד גובה מספק, ולא שייך למימר יד בעל השטר על תחתונה אלא בספק שישנו בגוף השטר כגון דבר הכתוב סתם אנו מפרשים אותו בלשון המועט... אבל שטר מקויים אין למנוע לגבות בשביל ספק תקנתכם עד יתברר לכם התקנה שתקנתם שלא לגבות בו. הילכך ממה נפשך גובה באלו השטרות. </w:t>
      </w:r>
    </w:p>
    <w:p w14:paraId="77B92483" w14:textId="77777777" w:rsidR="001D49D4" w:rsidRPr="001D49D4" w:rsidRDefault="001D49D4" w:rsidP="0004348D">
      <w:pPr>
        <w:spacing w:before="360" w:after="240"/>
        <w:rPr>
          <w:rFonts w:ascii="Calibri" w:eastAsia="Calibri" w:hAnsi="Calibri" w:cs="Arial"/>
          <w:u w:val="single"/>
        </w:rPr>
      </w:pPr>
      <w:r w:rsidRPr="001D49D4">
        <w:rPr>
          <w:rFonts w:ascii="Calibri" w:eastAsia="Calibri" w:hAnsi="Calibri" w:cs="Arial"/>
          <w:u w:val="single"/>
          <w:rtl/>
        </w:rPr>
        <w:t xml:space="preserve">נתן מתנה לד' אנשים בשטרות שונים </w:t>
      </w:r>
      <w:r w:rsidRPr="001D49D4">
        <w:rPr>
          <w:rFonts w:ascii="Calibri" w:eastAsia="Calibri" w:hAnsi="Calibri" w:cs="Arial"/>
          <w:sz w:val="16"/>
          <w:szCs w:val="16"/>
          <w:u w:val="single"/>
          <w:rtl/>
        </w:rPr>
        <w:t>(ומפורטות מתנות כולם בכל אחד מהשטרות)</w:t>
      </w:r>
      <w:r w:rsidRPr="001D49D4">
        <w:rPr>
          <w:rFonts w:ascii="Calibri" w:eastAsia="Calibri" w:hAnsi="Calibri" w:cs="Arial"/>
          <w:u w:val="single"/>
          <w:rtl/>
        </w:rPr>
        <w:t xml:space="preserve"> ונאבדו השטרות לג' אנשים:</w:t>
      </w:r>
    </w:p>
    <w:p w14:paraId="14BAB652" w14:textId="77777777" w:rsidR="001D49D4" w:rsidRPr="001D49D4" w:rsidRDefault="001D49D4" w:rsidP="0004348D">
      <w:pPr>
        <w:numPr>
          <w:ilvl w:val="0"/>
          <w:numId w:val="320"/>
        </w:numPr>
        <w:spacing w:before="360" w:after="240"/>
        <w:contextualSpacing/>
        <w:rPr>
          <w:rtl/>
        </w:rPr>
      </w:pPr>
      <w:r w:rsidRPr="001D49D4">
        <w:rPr>
          <w:rtl/>
        </w:rPr>
        <w:t xml:space="preserve">רא"ש </w:t>
      </w:r>
      <w:r w:rsidRPr="001D49D4">
        <w:rPr>
          <w:sz w:val="16"/>
          <w:szCs w:val="16"/>
          <w:rtl/>
        </w:rPr>
        <w:t>(כלל סח סי' ד)</w:t>
      </w:r>
      <w:r w:rsidRPr="001D49D4">
        <w:rPr>
          <w:rtl/>
        </w:rPr>
        <w:t xml:space="preserve">- שאלה ראובן ואשתו נתנו במתנה מעכשיו לאחר פטירת הנפטר מהם באחרונה בתים שהיו להם לארבעת בניהם הרביע לכל אחד מהם, וכתבו שטר מתנה בקנין לכל אחד ברביע האחד מאותם הבתים. ואבדו שלשה השטרות מהם ונשאר השטר האחד בידו מאלו הארבעה אחין. וכתוב בו קודם חתימת העדים לאחר וקנינא טופס זה - 'והרביע השני מן הבתים הנזכרים נתנו אותו במתנה ראובן ואשתו הנזכרים לפלוני בנם בשטר מתנה שני שזמנו זמן שטר זה וחתום בחתימתנו אנחנו חתומי מטה, והרביע הג' מהבתים הנזכרים נתנו אותו במתנה ראובן ואשתו הנזכרים לפלוני בנם בשטר מתנה שלישי שזמנו זמן שטר זה וחתום בחתימתנו אנחנו חתומי מטה, והרביע הרביעי מהבתים הנזכרים נתנו אותו במתנה ראובן ואשתו הנזכרים לפלוני בנם בשטר מתנה רביעי שזמנו זמן שטר זה וחתום בחתימתנו אנחנו חתומי מטה, וחתמנו על שטר זה הכתוב למעלה על מנת שלא ידונו בשום ענין מענייני שטר זה לשום אדם מפלוני ופלוני ופלוני הנזכרים ולא לשום אדם מבאי כח שום אדם מהם, אבל ידונו בזה השטר הכתוב למעלה לפלוני ולכל באי כחו זכות גמורה'. ועתה יורנו רבינו אם הפסידו אלו הג' אחין שאבדו שטרותיהן ולא יועיל להם מה שכתוב בשטר הנמצא כיון שלבסוף כתוב שלא ידונו להם בו אם לאו. ואפילו אם תרצה לחוש ללשון השטר שלא ידונו להם בו הנה עדי השטר קיימים ומעידים בעל פה על נוסח השטרות וסופר בית דין מעיד גם כן שכתב כל ד' שטרות. ואת"ל כיון שהעדים מעידים להם זה זכו בקרקע אם נמצאו השטרות שלמים או קרועים בעזבון הנותן מהו מי אמרינן כיון דברשותו נמצאו אמרינן דלמא הדור וזבנינהו מנייהו דטוענים ליורש או דלמא מצי אינהו למיטען אנן יהבינן להו ניהליה לא נטעיהו. ועוד דהוה בהו תרי קטנים וחד לא הוה במתא בעידן מתנה ומשום הכי נקטינהו אבוהון בידיה והאי דמשתכחי קרועין אימר יורשים קרעינהו אחר מותיה. תשובה, אע"פ שנאבדו שטרות השלשה לא הפסידו זכותם כיון שהעדים החתומים על שטר רביעי מעידין גם על מתנת השלשה. אע"פ שכתוב בו לא ידונו בשום ענין מענייני שטר זה לשום אדם מפלוני ופלוני ופלוני הנזכרים אין לשון זה יכול לבטל העדות שהעידו על מתנתם. כי דבר זה דומה לעדים שהיו מעידים לפני הדיינים פלוני חייב לפלוני מנה ואומרים אין אנו רוצים שתועיל עדותנו לפלוני בודאי - אין אנו משגיחין על דבריהם האחרונים דמילתא בלא טעמא היא דכיון שהם מעידים למה לא תועיל עדותם, ועוד דנראה דמה שכתוב שלא ידונו וכו' על זכות ואחריות הכתוב בשטר המתנה היתה כוונתם שלא יבא לאחד מהם שני שטרי אחריות על מתנה זו ואם המתנה בלא אחריות שמא יש זכיות אחרות בתוך השטר ואינו רוצה שיהי' להם אלו הזכיות בשני שטרות, אבל לא היתה כוונתם שלא תועיל עדותם על שטר המתנה. ועוד דל מהכא עדות שטר זה כיון שעידי השטר קיימים וזוכרין עדותן המתנה קיימת ואפילו נמצאו השטרות בביתו של הנותן וברשותו שלמים או קרועים לא נתבטלה המתנה אפילו לרשב"ג </w:t>
      </w:r>
      <w:r w:rsidRPr="001D49D4">
        <w:rPr>
          <w:sz w:val="16"/>
          <w:szCs w:val="16"/>
          <w:rtl/>
        </w:rPr>
        <w:t>(פרק גט פשוט קסט.)</w:t>
      </w:r>
      <w:r w:rsidRPr="001D49D4">
        <w:rPr>
          <w:rtl/>
        </w:rPr>
        <w:t>...</w:t>
      </w:r>
    </w:p>
    <w:p w14:paraId="59F11DA9" w14:textId="77777777" w:rsidR="001D49D4" w:rsidRPr="001D49D4" w:rsidRDefault="001D49D4" w:rsidP="0004348D">
      <w:pPr>
        <w:spacing w:before="360" w:after="240"/>
        <w:rPr>
          <w:rFonts w:ascii="Calibri" w:eastAsia="Calibri" w:hAnsi="Calibri" w:cs="Arial"/>
          <w:u w:val="single"/>
        </w:rPr>
      </w:pPr>
      <w:r w:rsidRPr="001D49D4">
        <w:rPr>
          <w:rFonts w:ascii="Calibri" w:eastAsia="Calibri" w:hAnsi="Calibri" w:cs="Arial"/>
          <w:u w:val="single"/>
          <w:rtl/>
        </w:rPr>
        <w:t>שטר שנתחייב בו לראובן וכתב עוד שנאמן כל המוצאו – ושמעון הוציא השטר, ובעל השטר טוען שכבר פרע לראובן:</w:t>
      </w:r>
    </w:p>
    <w:p w14:paraId="120BCD3D" w14:textId="77777777" w:rsidR="001D49D4" w:rsidRPr="001D49D4" w:rsidRDefault="001D49D4" w:rsidP="0004348D">
      <w:pPr>
        <w:numPr>
          <w:ilvl w:val="0"/>
          <w:numId w:val="320"/>
        </w:numPr>
        <w:spacing w:before="360" w:after="240"/>
        <w:contextualSpacing/>
        <w:rPr>
          <w:rtl/>
        </w:rPr>
      </w:pPr>
      <w:r w:rsidRPr="001D49D4">
        <w:rPr>
          <w:rtl/>
        </w:rPr>
        <w:t xml:space="preserve">רא"ש </w:t>
      </w:r>
      <w:r w:rsidRPr="001D49D4">
        <w:rPr>
          <w:sz w:val="16"/>
          <w:szCs w:val="16"/>
          <w:rtl/>
        </w:rPr>
        <w:t>(כלל סח סי' ו)</w:t>
      </w:r>
      <w:r w:rsidRPr="001D49D4">
        <w:rPr>
          <w:rtl/>
        </w:rPr>
        <w:t>- וששאלת על שטר שכתוב נתחייב פלוני לפלוני ולפלוני ולבסוף האמין למוציא השטר, ואח"כ תבע אחד מהם עם השטר וטוען הלוה שכבר פרע לחברו ומודה חברו שנתפרע. דע כיון שהאמין למוציא השטר לאו כל כמיניה לומר שפרע כל זמן שזה מוציא השטר. ואם היו שותפים בחוב כיון שהאחד מהם מודה שנפרע אם יש לו נכסים למודה - ב"ד יורדין לנכסיו ופורעין לחבירו חלקו, ואם אין לו נכסים לא מהימן להפסיד לחברו כיון שהשטר בידו, אבל על חלקו הוא נאמן. ובית דין מגבין לאחד חלקו אע"פ שכתוב בשטר שכל מי שיוציא השטר יגבה כל החוב, כיון שידוע שהיו שותפין ומודה שקבל חלקו לא יפרע. מנכסי חלקו פעמים.</w:t>
      </w:r>
    </w:p>
    <w:p w14:paraId="69CD65C3" w14:textId="77777777" w:rsidR="001D49D4" w:rsidRPr="001D49D4" w:rsidRDefault="001D49D4" w:rsidP="0004348D">
      <w:pPr>
        <w:spacing w:before="360" w:after="240"/>
        <w:rPr>
          <w:rFonts w:ascii="Calibri" w:eastAsia="Calibri" w:hAnsi="Calibri" w:cs="Arial"/>
        </w:rPr>
      </w:pPr>
      <w:r w:rsidRPr="001D49D4">
        <w:rPr>
          <w:rFonts w:ascii="Calibri" w:eastAsia="Calibri" w:hAnsi="Calibri" w:cs="Arial"/>
          <w:u w:val="single"/>
          <w:rtl/>
        </w:rPr>
        <w:t>ראובן נתחייב בקנין סכום מעות לאשתו או לכל מי שיוציא השטר, ומתו שניהם, והשטר אצל שמעון ותובא את היורש:</w:t>
      </w:r>
    </w:p>
    <w:p w14:paraId="07C5EA6C" w14:textId="77777777" w:rsidR="001D49D4" w:rsidRPr="001D49D4" w:rsidRDefault="001D49D4" w:rsidP="0004348D">
      <w:pPr>
        <w:numPr>
          <w:ilvl w:val="0"/>
          <w:numId w:val="320"/>
        </w:numPr>
        <w:spacing w:before="360" w:after="240"/>
        <w:contextualSpacing/>
      </w:pPr>
      <w:r w:rsidRPr="001D49D4">
        <w:rPr>
          <w:rtl/>
        </w:rPr>
        <w:t xml:space="preserve">רא"ש </w:t>
      </w:r>
      <w:r w:rsidRPr="001D49D4">
        <w:rPr>
          <w:sz w:val="16"/>
          <w:szCs w:val="16"/>
          <w:rtl/>
        </w:rPr>
        <w:t>(כלל סח סי' ז)</w:t>
      </w:r>
      <w:r w:rsidRPr="001D49D4">
        <w:rPr>
          <w:rtl/>
        </w:rPr>
        <w:t xml:space="preserve">- שאלה ראובן נתחייב בקנין סכום מעות לאשתו או לכל מי שיוציא שטר זה, ומתו ראובן ואשתו ועכשיו יוצא השטר מיד שמעון על נכסי היורש בן המלוה והלוה, וטוען היורש ששטר החוב הוא שלו שהוא עומד במקום אמו שהוא יורשה. ושמעון טוען שהשטר הוא שלו מפני שאני מוציאו וכתוב בו או לכל מוציא שטר זה שהאמין הלוה למוציא השטר נאמנות גמורה עליו ועל יורשיו, והבן יורש הלוה ולכך הוא חייב לפרוע. והיורש טוען שלא נתן נאמנות למוציא השטר אלא כל זמן שלא יערער עליו המלוה שהוא העיקר, אבל בזה השטר שהוא יורש המלוה ומערער על המוציא אין כח נאמנות להוציא בזה השטר. ועוד טוען היורש שיצא קול בעיר כי ביום שמתה אמו לקח זה השטר, והמוציא השטר אומר לא כי אלא אדרבא אומר שהוא הלוה הממון ההוא ללוה ועשה השטר בשם המלוה ההוא. תשובה, הוי יודע כי נהגו בכאן בטוליטולה אע"פ שכותבין בשטרות או למוציא שטר זה יהודי או גוי שאין מוציא השטר גובה בלא הרשאה או כתיבה או מסירה שיעשה לו המלוה. וכן מסתבר מדכוללן יחד יהודי או גוי, וגוי דבר פשוט הוא שאינו יכול לגבות בו אם הוציא השטר שאין העדים יכולין לזכות לו דאין זכיה לגוי כדאמרינן בפרק איזהו נשך (עא:) קטן דאתי לכלל שליחות אית ליה זכיה גוי דלא אתי לכלל שליחות לית ליה זכיה, וכיון דלית ליה זכיה אם כן אין העדים יכולין לזכות בשבילו שיוכל לגבות החוב אם השטר יוצא מתחת ידו. ומה שרגילין לכתוב בשטרות או גוי אינו מועיל כלום אע"ג שלישראל מועיל כי העדים זוכין לו שלא בפניו. מכל מקום כיון שכוללם יחד ישראל או גוי מדהא ליתא הא נמי ליתא, זו היא סברא למנהג שנוהגין פה שצריכין הרשאה או כתיבה ומסירה. ועוד אני אומר אף אם מועיל זה התנאי שיוכל לגבות בו כל מי שהשטר יוצא מתחת ידו דכל תנאי שבממון קיים מכל מקום תנאי זה אינו אלא במקום הרשאה או במקום כתיבה ומסירה. כיון שידוע שעיקר הממון הוא של המלוה ולא עשה תנאי זה אלא שלא יצטרך להרשאה אם ירצה לעשות שליח לגבות החוב, ואם ירצה למכרו לאחר שלא יצטרך כתיבה ומסירה אלא ימסור לידו השטר ויגבה בו. וכיון שאותו שמוציא השטר הוא בא מכח המלוה אמו של היורש, הרי היורש במקום אמו ומחל השטר לעצמו שהוא היורש את אביו ועומד במקום אביו, דקיימא לן המוכר שטר חוב לחברו וחזר ומחלו מחול ואפילו יורש מוחל. וכיוצא בו בזה מצינו בכתובות בפרק הכותב (פה:) קריבתיה דרב נחמן זבינתא לכתובתה בטובת הנאה איגרשה ושכיבה אתו לקוחות וקא תבעו לברתה, אמר רב נחמן ליכא מאן דליסבא עצה שתחול כתובה דאמה לגבי אבוה ותהדר ותירתה מיניה, וזהו אם היה טוען המוציא את השטר שאם היורש מסרה לו השטר והוא אינו צריך כתיבה מאחר שכתוב בשטר לכל מוציא שטר. וכ"ש עתה שטוען המוציא השטר שהוא הלוה הממון ההוא ועשה השטר בשם המלוה ההיא דטענה גרועה היא, דאין אדם מלוה מעות לראובן ועושה השטר בשם לאה אשת ראובן דכל הממון הנמצא ללאה הם נכסי מלוג וראובן אוכל פירות ואם מתה יורשה. ואפילו אם אמר בשעת ההלואה לראובן המעות הללו שלי הן ואני מלוה אותם לך בשם אשתך ואפילו בפני עדים אמר לו אפילו הכי אינו מצוי שאדם יעשה כך שהוא חושש שמא ימותו העדים או ישכחו הדבר ויחזיר ראובן בממון, הילכך טענה גרועה היא. ולא מהימן נמי במגו דאי בעי אמר מסרה לי השטר, כדאמרינן בטענת סיטראי נינהו דאע"ג דטענה גרועה היא נאמן במגו דלא היו דברים מעולם. וכן הנהו עיזי דאכלי חושלא בנהרדעא שיכול לטעון עד כדי דמיהן במגו דלקוחין הן בידי. דאלו היה טוען אמך מסרה לי השטר היה מוחל לעצמו כמו שכתבתי לעיל. וכל שכן דאין לו עדים שאמר בשעת ההלואה שהמעות היו שלו. הילכך אין בדבריו כלום ובית דין יקרעו השטר.  </w:t>
      </w:r>
    </w:p>
    <w:p w14:paraId="4EBED905" w14:textId="77777777" w:rsidR="001D49D4" w:rsidRPr="001D49D4" w:rsidRDefault="001D49D4" w:rsidP="0004348D">
      <w:pPr>
        <w:spacing w:before="360" w:after="240"/>
        <w:rPr>
          <w:rFonts w:ascii="Calibri" w:eastAsia="Calibri" w:hAnsi="Calibri" w:cs="Arial"/>
          <w:u w:val="single"/>
        </w:rPr>
      </w:pPr>
      <w:r w:rsidRPr="001D49D4">
        <w:rPr>
          <w:rFonts w:ascii="Calibri" w:eastAsia="Calibri" w:hAnsi="Calibri" w:cs="Arial"/>
          <w:u w:val="single"/>
          <w:rtl/>
        </w:rPr>
        <w:t>שטר שלא נכתב בו שם המלוה אלא ששיעבד עצמו הלוה לכל מי שמוציא עליו שטר זה שיגבה ממנו:</w:t>
      </w:r>
    </w:p>
    <w:p w14:paraId="0A987FF8" w14:textId="77777777" w:rsidR="001D49D4" w:rsidRPr="001D49D4" w:rsidRDefault="001D49D4" w:rsidP="0004348D">
      <w:pPr>
        <w:numPr>
          <w:ilvl w:val="0"/>
          <w:numId w:val="320"/>
        </w:numPr>
        <w:spacing w:before="360" w:after="240"/>
        <w:contextualSpacing/>
        <w:rPr>
          <w:rtl/>
        </w:rPr>
      </w:pPr>
      <w:r w:rsidRPr="001D49D4">
        <w:rPr>
          <w:rtl/>
        </w:rPr>
        <w:t xml:space="preserve">רא"ש </w:t>
      </w:r>
      <w:r w:rsidRPr="001D49D4">
        <w:rPr>
          <w:sz w:val="16"/>
          <w:szCs w:val="16"/>
          <w:rtl/>
        </w:rPr>
        <w:t>(כלל סח סי' ט)</w:t>
      </w:r>
      <w:r w:rsidRPr="001D49D4">
        <w:rPr>
          <w:rtl/>
        </w:rPr>
        <w:t xml:space="preserve">- שטר שלא הוזכר בו שם המלוה אלא ששעבד עצמו הלוה שכל מי שמוציא עליו שטר חוב זה שיגבה ממנו הממון הנזכר בשטר אם הוא שטר או לא. יראה שהוא שטר וכל המוציאו גובה בו אע"פ שידוע שהוא לא הלוה זה הממון. כי המלוה לא רצה להלות ללוה עד ששעבד עצמו לכל מוציא השטר כדי שלא יצטרך להקנותו לאחר בכתיבה או במסירה אם ירצה למכרו או לתתו לאחר, או אם ירצה להרשות לאחר שיגבה החוב בשליחותו שלא יצטרך לכתוב לו שטר הרשאה, וכל תנאי שבממון קיים. ואע"פ שהעדים שזכו בשעת הקנין בשביל מוציא שטר החוב לא הכירוהו ולא ידעו מי יהיה מוציא השטר אעפ"כ מועיל הקנין והזכות שזכו בשבילו. כדאמרינן בגיטין </w:t>
      </w:r>
      <w:r w:rsidRPr="001D49D4">
        <w:rPr>
          <w:sz w:val="16"/>
          <w:szCs w:val="16"/>
          <w:rtl/>
        </w:rPr>
        <w:t xml:space="preserve">(יג:) </w:t>
      </w:r>
      <w:r w:rsidRPr="001D49D4">
        <w:rPr>
          <w:rtl/>
        </w:rPr>
        <w:t>גבי מעמד שלשתן נעשה כאומר לו משתעבדנא לך ולכל מאן דאתי מחמתך. וכן בנדון זה שעבד עצמו בפירוש לכל מוציא שטר זה. ואם ישיב המשיב לא דמי דשאני התם שהמלוה מיהו היה ידוע וניכר בשטר ואגב דמשתעביד ליה משתעביד לכל מאן דאתי מחמתיה, אבל הכא דאין שם המלוה ידוע לא משתעבד כלל. הא לך ראיה ממקום אחר שאינו תלוי בזה אלא אע"פ שאין המלוה נזכר בשטר הוי שטר מעליא. מהא דאמרינן בשילהי בתרא</w:t>
      </w:r>
      <w:r w:rsidRPr="001D49D4">
        <w:rPr>
          <w:sz w:val="16"/>
          <w:szCs w:val="16"/>
          <w:rtl/>
        </w:rPr>
        <w:t xml:space="preserve"> (קעב.) </w:t>
      </w:r>
      <w:r w:rsidRPr="001D49D4">
        <w:rPr>
          <w:rtl/>
        </w:rPr>
        <w:t>ההוא שטרא דנפק בבי דינא דרב הונא והוה כתיב ביה אני פלוני בן פלוני לויתי ממך מנה, אמר רב הונא ממך ואפילו מריש גלותא ממך ואפילו משבור מלכא, כלומר כל מי שהשטר יוצא מתחת ידו אפילו שבור מלכא או ריש גלותא שאינן רגילין להלוות מעות לשום אדם גובין בו אע"פ שלא הוזכר שם המלוה בשטר. וכן בנדון זה כיון שכתוב בשטר ששעבד עצמו לכל מוציא שטר זה גובה בו כל המוציאו. ואם תאמר שאני התם דאע"פ שלא הוזכר שם המלוה בשטר מכל מקום הלוה הכיר וידע פנים אל פנים ששעבד עצמו לו אבל בנדון זה הלוה לא הכיר וידע מוציא שטר זה ששעבד עצמו ונכסיו לו. הרי לך ראיה הראשונה מההיא דמשתעבדנא לך ולכל דאתי מחמתך שאינו תלוי בזה אלא אדם יכול לשעבד עצמו ואת נכסיו אפי' למי שאינו מכיר. וכן מצינו בשאול על מעשה דגלית הפלשתי ששעבד עצמו ונכסיו ליתן עושר גדול למי שיכה הפלשתי ובא דוד והכהו ונתחייב שאול לדוד באותו ממון, דבפרק ב' דסנהדרין</w:t>
      </w:r>
      <w:r w:rsidRPr="001D49D4">
        <w:rPr>
          <w:sz w:val="16"/>
          <w:szCs w:val="16"/>
          <w:rtl/>
        </w:rPr>
        <w:t xml:space="preserve"> (יט:) </w:t>
      </w:r>
      <w:r w:rsidRPr="001D49D4">
        <w:rPr>
          <w:rtl/>
        </w:rPr>
        <w:t>קאמר שקדש דוד את בת שאול באותו ממון, אלא דסבירא ליה לשאול דאע"פ שנתחייב לדוד באותו ממון אינה מקודשת דהמקדש במלוה אינה מקודשת. הרי ראיה ברורה שאדם יכול לשעבד נכסיו אף למי שאינו מכיר ויודע בשעת השעבוד מי הוא. וכ"ש בנדון זה שהכיר את המלוה ושעבד עצמו ונכסיו לכל מוציא שטר זה דהוי שטר מעליא</w:t>
      </w:r>
      <w:r w:rsidRPr="001D49D4">
        <w:rPr>
          <w:vertAlign w:val="superscript"/>
          <w:rtl/>
        </w:rPr>
        <w:footnoteReference w:id="4672"/>
      </w:r>
      <w:r w:rsidRPr="001D49D4">
        <w:rPr>
          <w:rtl/>
        </w:rPr>
        <w:t xml:space="preserve">. </w:t>
      </w:r>
      <w:r w:rsidRPr="001D49D4">
        <w:rPr>
          <w:color w:val="E36C0A" w:themeColor="accent6" w:themeShade="BF"/>
          <w:rtl/>
        </w:rPr>
        <w:t>(וכ"פ בשו"ע)</w:t>
      </w:r>
    </w:p>
    <w:p w14:paraId="1771F6D5" w14:textId="77777777" w:rsidR="001D49D4" w:rsidRPr="001D49D4" w:rsidRDefault="001D49D4" w:rsidP="0004348D">
      <w:pPr>
        <w:spacing w:before="360" w:after="240"/>
        <w:rPr>
          <w:rFonts w:ascii="Calibri" w:eastAsia="Calibri" w:hAnsi="Calibri" w:cs="Arial"/>
          <w:u w:val="single"/>
        </w:rPr>
      </w:pPr>
      <w:r w:rsidRPr="001D49D4">
        <w:rPr>
          <w:rFonts w:ascii="Calibri" w:eastAsia="Calibri" w:hAnsi="Calibri" w:cs="Arial"/>
          <w:u w:val="single"/>
          <w:rtl/>
        </w:rPr>
        <w:t>מי שנשתעבד בשטר בקנין לחבירו בסך קצוב ואח"כ טען שמחמת אונס נשתעבד:</w:t>
      </w:r>
    </w:p>
    <w:p w14:paraId="0A170387" w14:textId="77777777" w:rsidR="001D49D4" w:rsidRPr="001D49D4" w:rsidRDefault="001D49D4" w:rsidP="0004348D">
      <w:pPr>
        <w:numPr>
          <w:ilvl w:val="0"/>
          <w:numId w:val="320"/>
        </w:numPr>
        <w:spacing w:before="360" w:after="240"/>
        <w:contextualSpacing/>
        <w:rPr>
          <w:rtl/>
        </w:rPr>
      </w:pPr>
      <w:r w:rsidRPr="001D49D4">
        <w:rPr>
          <w:rtl/>
        </w:rPr>
        <w:t xml:space="preserve">רא"ש </w:t>
      </w:r>
      <w:r w:rsidRPr="001D49D4">
        <w:rPr>
          <w:sz w:val="16"/>
          <w:szCs w:val="16"/>
          <w:rtl/>
        </w:rPr>
        <w:t>(כלל ז סי' יא)</w:t>
      </w:r>
      <w:r w:rsidRPr="001D49D4">
        <w:rPr>
          <w:rtl/>
        </w:rPr>
        <w:t>- ששאלת, ראובן היה לו דין ודברים עם שמעון, בסבה שהיו דרין במקום אחד ופורעין מס ביחד, לימים הלך לו שמעון למקום אחר וקבע שם דירתו וראובן ושאר הקהל היה להם תרעומת על שמעון בעסק המס. לימים חזר שמעון למקום שהיה דר שם תחלה ותפסוהו הזקנים ומתוך התפיסה נשתעבד בקנין גמור בלי שום צד אסמכתא ונתפשרו והלך לו שמעון. ועכשיו תובע ראובן לשמעון אותו שטר חוב, ושמעון אומר כי מחמת האנס נשתעבד והוא לא מסר מודעא תחלה ושעבד עצמו בקנין אחר שיצא מן התפיסה, ועדים מעידים כי בסבת תרעומת הקהל נתפס ומתוך כך נתפשר, ונסתפקת אי הוי כתלוהו ויהיב. תשובה, איני רואה כאן שום טענת אונס, כי מנהג פשוט בכל תפוצת גלות ישראל מי שחייב מס לקהל חובשים אותו בבית הסוהר ואין מביאין אותו בפני ב"ד אלא טובי העיר דנין אותו כפי מנהגם. ואינו יוצא משם עד שיפרע או עד שיתן ערב או עד שישתעבד עצמו בשטר, ואין כאן טענת אונס ואין מועיל מסירת המודעא, כי כן דין המס</w:t>
      </w:r>
      <w:r w:rsidRPr="001D49D4">
        <w:rPr>
          <w:vertAlign w:val="superscript"/>
          <w:rtl/>
        </w:rPr>
        <w:footnoteReference w:id="4673"/>
      </w:r>
      <w:r w:rsidRPr="001D49D4">
        <w:rPr>
          <w:rtl/>
        </w:rPr>
        <w:t>.</w:t>
      </w:r>
    </w:p>
    <w:p w14:paraId="2FEF03B9" w14:textId="77777777" w:rsidR="001D49D4" w:rsidRPr="001D49D4" w:rsidRDefault="001D49D4" w:rsidP="0004348D">
      <w:pPr>
        <w:spacing w:before="360" w:after="240"/>
        <w:rPr>
          <w:rFonts w:ascii="Arial" w:eastAsia="Calibri" w:hAnsi="Arial" w:cs="Arial"/>
          <w:b/>
          <w:bCs/>
          <w:color w:val="000000"/>
          <w:sz w:val="28"/>
          <w:szCs w:val="28"/>
          <w:u w:val="single"/>
          <w:rtl/>
        </w:rPr>
      </w:pPr>
      <w:r w:rsidRPr="001D49D4">
        <w:rPr>
          <w:rFonts w:ascii="Arial" w:eastAsia="Calibri" w:hAnsi="Arial" w:cs="Arial"/>
          <w:b/>
          <w:bCs/>
          <w:color w:val="000000"/>
          <w:sz w:val="28"/>
          <w:szCs w:val="28"/>
          <w:u w:val="single"/>
          <w:rtl/>
        </w:rPr>
        <w:t>שו"ע:</w:t>
      </w:r>
    </w:p>
    <w:p w14:paraId="7F6E9417"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rtl/>
        </w:rPr>
        <w:t>שטר שכתוב בלשון זה 'ביאור מה שהודה בפנינו ראובן שיש עליו מממון עזבון יעקב כך וכך' אין לו דין שטר לגבות ממשעבדי</w:t>
      </w:r>
      <w:r w:rsidRPr="001D49D4">
        <w:rPr>
          <w:rFonts w:ascii="Calibri" w:eastAsia="Calibri" w:hAnsi="Calibri" w:cs="Arial"/>
          <w:vertAlign w:val="superscript"/>
          <w:rtl/>
        </w:rPr>
        <w:footnoteReference w:id="4674"/>
      </w:r>
      <w:r w:rsidRPr="001D49D4">
        <w:rPr>
          <w:rFonts w:ascii="Calibri" w:eastAsia="Calibri" w:hAnsi="Calibri" w:cs="Arial"/>
          <w:rtl/>
        </w:rPr>
        <w:t xml:space="preserve"> כי אין בו קנין אלא הודאה בעלמא הוא. ומוכיח הלשון שלא כיונו בכתיבה זו אלא לזכרון דברים ולא לשם שטר, שכתבו 'ביאור מה שהודה בפנינו', ולא כתבו 'העדנו על עצמו' כמו שרגילים לכתוב בשטרות, ולא</w:t>
      </w:r>
      <w:r w:rsidRPr="001D49D4">
        <w:rPr>
          <w:rFonts w:ascii="Calibri" w:eastAsia="Calibri" w:hAnsi="Calibri" w:cs="Arial"/>
          <w:vertAlign w:val="superscript"/>
          <w:rtl/>
        </w:rPr>
        <w:footnoteReference w:id="4675"/>
      </w:r>
      <w:r w:rsidRPr="001D49D4">
        <w:rPr>
          <w:rFonts w:ascii="Calibri" w:eastAsia="Calibri" w:hAnsi="Calibri" w:cs="Arial"/>
          <w:rtl/>
        </w:rPr>
        <w:t xml:space="preserve"> 'הודה בפנינו' כמו שכותבים בשטרי הודאות. שטר שלא נכתב בו </w:t>
      </w:r>
      <w:r w:rsidRPr="001D49D4">
        <w:rPr>
          <w:rFonts w:ascii="Calibri" w:eastAsia="Calibri" w:hAnsi="Calibri" w:cs="Arial"/>
          <w:vertAlign w:val="superscript"/>
          <w:rtl/>
        </w:rPr>
        <w:footnoteReference w:id="4676"/>
      </w:r>
      <w:r w:rsidRPr="001D49D4">
        <w:rPr>
          <w:rFonts w:ascii="Calibri" w:eastAsia="Calibri" w:hAnsi="Calibri" w:cs="Arial"/>
          <w:rtl/>
        </w:rPr>
        <w:t xml:space="preserve">שם המלוה, אלא שיעבד עצמו הלוה לכל מי שמוציא עליו שטר זה שיגבה ממנו, כל המוציאו יגבה בו, אף על פי שידוע שהוא לא הלוה זה הממון. והוא שיהיה נולד בשעת כתיבת השטר </w:t>
      </w:r>
      <w:r w:rsidRPr="001D49D4">
        <w:rPr>
          <w:rFonts w:ascii="Calibri" w:eastAsia="Calibri" w:hAnsi="Calibri" w:cs="Arial"/>
          <w:sz w:val="18"/>
          <w:szCs w:val="18"/>
          <w:rtl/>
        </w:rPr>
        <w:t>(ועיין לעיל סימן נ')</w:t>
      </w:r>
      <w:r w:rsidRPr="001D49D4">
        <w:rPr>
          <w:rFonts w:ascii="Calibri" w:eastAsia="Calibri" w:hAnsi="Calibri" w:cs="Arial"/>
          <w:rtl/>
        </w:rPr>
        <w:t xml:space="preserve">. </w:t>
      </w:r>
    </w:p>
    <w:p w14:paraId="503425EC" w14:textId="77777777" w:rsidR="001D49D4" w:rsidRPr="001D49D4" w:rsidRDefault="001D49D4" w:rsidP="0004348D">
      <w:pPr>
        <w:spacing w:before="360" w:after="240"/>
        <w:rPr>
          <w:rFonts w:ascii="Calibri" w:eastAsia="Calibri" w:hAnsi="Calibri" w:cs="Arial"/>
          <w:rtl/>
        </w:rPr>
      </w:pPr>
    </w:p>
    <w:p w14:paraId="7B9FBA67" w14:textId="77777777" w:rsidR="001D49D4" w:rsidRPr="001D49D4" w:rsidRDefault="001D49D4" w:rsidP="0004348D">
      <w:pPr>
        <w:keepNext/>
        <w:keepLines/>
        <w:spacing w:before="360" w:after="240"/>
        <w:outlineLvl w:val="1"/>
        <w:rPr>
          <w:rFonts w:ascii="Cambria" w:eastAsia="Times New Roman" w:hAnsi="Cambria" w:cs="Arial"/>
          <w:bCs/>
          <w:color w:val="548DD4" w:themeColor="text2" w:themeTint="99"/>
          <w:sz w:val="26"/>
          <w:szCs w:val="26"/>
          <w:rtl/>
        </w:rPr>
      </w:pPr>
      <w:bookmarkStart w:id="630" w:name="_Toc24884056"/>
      <w:r w:rsidRPr="001D49D4">
        <w:rPr>
          <w:rFonts w:ascii="Cambria" w:eastAsia="Times New Roman" w:hAnsi="Cambria" w:cs="Arial"/>
          <w:bCs/>
          <w:color w:val="548DD4" w:themeColor="text2" w:themeTint="99"/>
          <w:sz w:val="26"/>
          <w:szCs w:val="26"/>
          <w:rtl/>
        </w:rPr>
        <w:t>סעיף יא: לוה שפרע למלוה ואין המלוה רוצה להחזיר לו שטרו.</w:t>
      </w:r>
      <w:bookmarkEnd w:id="630"/>
    </w:p>
    <w:p w14:paraId="39BF024C" w14:textId="77777777" w:rsidR="001D49D4" w:rsidRPr="001D49D4" w:rsidRDefault="001D49D4" w:rsidP="0004348D">
      <w:pPr>
        <w:spacing w:before="360" w:after="240"/>
        <w:rPr>
          <w:rFonts w:ascii="Calibri" w:eastAsia="Calibri" w:hAnsi="Calibri" w:cs="Arial"/>
          <w:u w:val="single"/>
          <w:rtl/>
        </w:rPr>
      </w:pPr>
      <w:r w:rsidRPr="001D49D4">
        <w:rPr>
          <w:rFonts w:ascii="Calibri" w:eastAsia="Calibri" w:hAnsi="Calibri" w:cs="Arial"/>
          <w:u w:val="single"/>
          <w:rtl/>
        </w:rPr>
        <w:t>לוה שפרע למלוה ואין המלוה רוצה להחזיר לו שטרו:</w:t>
      </w:r>
    </w:p>
    <w:p w14:paraId="6FC7E144" w14:textId="77777777" w:rsidR="001D49D4" w:rsidRPr="001D49D4" w:rsidRDefault="001D49D4" w:rsidP="0004348D">
      <w:pPr>
        <w:numPr>
          <w:ilvl w:val="0"/>
          <w:numId w:val="320"/>
        </w:numPr>
        <w:spacing w:before="360" w:after="240"/>
        <w:contextualSpacing/>
        <w:rPr>
          <w:rtl/>
        </w:rPr>
      </w:pPr>
      <w:r w:rsidRPr="001D49D4">
        <w:rPr>
          <w:rtl/>
        </w:rPr>
        <w:t>רשב"ץ</w:t>
      </w:r>
      <w:r w:rsidRPr="001D49D4">
        <w:rPr>
          <w:sz w:val="16"/>
          <w:szCs w:val="16"/>
          <w:rtl/>
        </w:rPr>
        <w:t xml:space="preserve"> (ח"א סי' כד)</w:t>
      </w:r>
      <w:r w:rsidRPr="001D49D4">
        <w:rPr>
          <w:rtl/>
        </w:rPr>
        <w:t xml:space="preserve">- לוה שפרע למלוה ואין המלוה רוצה להחזיר לו שטרו - יש לנדותו עד שיחזירנו לפי שעובר על לאו של דברי קבלה. </w:t>
      </w:r>
      <w:r w:rsidRPr="001D49D4">
        <w:rPr>
          <w:color w:val="E36C0A" w:themeColor="accent6" w:themeShade="BF"/>
          <w:rtl/>
        </w:rPr>
        <w:t>(וכ"פ בשו"ע)</w:t>
      </w:r>
    </w:p>
    <w:p w14:paraId="6219EEBA" w14:textId="77777777" w:rsidR="001D49D4" w:rsidRPr="001D49D4" w:rsidRDefault="001D49D4" w:rsidP="0004348D">
      <w:pPr>
        <w:spacing w:before="360" w:after="240"/>
        <w:rPr>
          <w:rFonts w:ascii="Calibri" w:eastAsia="Calibri" w:hAnsi="Calibri" w:cs="Arial"/>
          <w:u w:val="single"/>
          <w:rtl/>
        </w:rPr>
      </w:pPr>
      <w:r w:rsidRPr="001D49D4">
        <w:rPr>
          <w:rFonts w:ascii="Calibri" w:eastAsia="Calibri" w:hAnsi="Calibri" w:cs="Arial"/>
          <w:u w:val="single"/>
          <w:rtl/>
        </w:rPr>
        <w:t>לשון השטר אינו מספיק כדי לגבות בו מן הדין:</w:t>
      </w:r>
    </w:p>
    <w:p w14:paraId="17E84DAF" w14:textId="77777777" w:rsidR="001D49D4" w:rsidRPr="001D49D4" w:rsidRDefault="001D49D4" w:rsidP="0004348D">
      <w:pPr>
        <w:numPr>
          <w:ilvl w:val="0"/>
          <w:numId w:val="320"/>
        </w:numPr>
        <w:spacing w:before="360" w:after="240"/>
        <w:contextualSpacing/>
        <w:rPr>
          <w:rtl/>
        </w:rPr>
      </w:pPr>
      <w:r w:rsidRPr="001D49D4">
        <w:rPr>
          <w:rtl/>
        </w:rPr>
        <w:t>ריב"ש</w:t>
      </w:r>
      <w:r w:rsidRPr="001D49D4">
        <w:rPr>
          <w:sz w:val="16"/>
          <w:szCs w:val="16"/>
          <w:rtl/>
        </w:rPr>
        <w:t xml:space="preserve"> (סי' קה וסי' שמה)</w:t>
      </w:r>
      <w:r w:rsidRPr="001D49D4">
        <w:rPr>
          <w:rtl/>
        </w:rPr>
        <w:t>- אם לשון השטר אינו מספיק מן הדין כל שנהגו לגבות בכיוצא בו - הולכים אחר המנהג.</w:t>
      </w:r>
    </w:p>
    <w:p w14:paraId="45F8EC92" w14:textId="77777777" w:rsidR="001D49D4" w:rsidRPr="001D49D4" w:rsidRDefault="001D49D4" w:rsidP="0004348D">
      <w:pPr>
        <w:spacing w:before="360" w:after="240"/>
        <w:rPr>
          <w:rFonts w:ascii="Arial" w:eastAsia="Calibri" w:hAnsi="Arial" w:cs="Arial"/>
          <w:b/>
          <w:bCs/>
          <w:color w:val="000000"/>
          <w:sz w:val="28"/>
          <w:szCs w:val="28"/>
          <w:u w:val="single"/>
          <w:rtl/>
        </w:rPr>
      </w:pPr>
      <w:r w:rsidRPr="001D49D4">
        <w:rPr>
          <w:rFonts w:ascii="Arial" w:eastAsia="Calibri" w:hAnsi="Arial" w:cs="Arial"/>
          <w:b/>
          <w:bCs/>
          <w:color w:val="000000"/>
          <w:sz w:val="28"/>
          <w:szCs w:val="28"/>
          <w:u w:val="single"/>
          <w:rtl/>
        </w:rPr>
        <w:t>שו"ע:</w:t>
      </w:r>
    </w:p>
    <w:p w14:paraId="79986724"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rtl/>
        </w:rPr>
        <w:t>לוה שפרע למלוה ואין המלוה רוצה להחזיר לו שטרו, יש לנדותו עד שיחזירנו, לפי שעובר על לאו של דברי קבלה</w:t>
      </w:r>
      <w:r w:rsidRPr="001D49D4">
        <w:rPr>
          <w:rFonts w:ascii="Calibri" w:eastAsia="Calibri" w:hAnsi="Calibri" w:cs="Arial"/>
          <w:vertAlign w:val="superscript"/>
          <w:rtl/>
        </w:rPr>
        <w:footnoteReference w:id="4677"/>
      </w:r>
      <w:r w:rsidRPr="001D49D4">
        <w:rPr>
          <w:rFonts w:ascii="Calibri" w:eastAsia="Calibri" w:hAnsi="Calibri" w:cs="Arial"/>
          <w:rtl/>
        </w:rPr>
        <w:t xml:space="preserve">. </w:t>
      </w:r>
      <w:r w:rsidRPr="001D49D4">
        <w:rPr>
          <w:rFonts w:ascii="Calibri" w:eastAsia="Calibri" w:hAnsi="Calibri" w:cs="Arial"/>
          <w:sz w:val="18"/>
          <w:szCs w:val="18"/>
          <w:rtl/>
        </w:rPr>
        <w:t>(וע"ל סי' נ"ז).</w:t>
      </w:r>
    </w:p>
    <w:p w14:paraId="66B9C291" w14:textId="77777777" w:rsidR="001D49D4" w:rsidRPr="001D49D4" w:rsidRDefault="001D49D4" w:rsidP="0004348D">
      <w:pPr>
        <w:spacing w:before="360" w:after="240"/>
        <w:rPr>
          <w:rFonts w:ascii="Calibri" w:eastAsia="Calibri" w:hAnsi="Calibri" w:cs="Arial"/>
          <w:rtl/>
        </w:rPr>
      </w:pPr>
    </w:p>
    <w:p w14:paraId="7F6A237E" w14:textId="77777777" w:rsidR="001D49D4" w:rsidRPr="001D49D4" w:rsidRDefault="001D49D4" w:rsidP="0004348D">
      <w:pPr>
        <w:keepNext/>
        <w:keepLines/>
        <w:spacing w:before="360" w:after="240"/>
        <w:outlineLvl w:val="1"/>
        <w:rPr>
          <w:rFonts w:ascii="Cambria" w:eastAsia="Times New Roman" w:hAnsi="Cambria" w:cs="Arial"/>
          <w:bCs/>
          <w:color w:val="548DD4" w:themeColor="text2" w:themeTint="99"/>
          <w:sz w:val="26"/>
          <w:szCs w:val="26"/>
          <w:rtl/>
        </w:rPr>
      </w:pPr>
      <w:bookmarkStart w:id="631" w:name="_Toc24884057"/>
      <w:r w:rsidRPr="001D49D4">
        <w:rPr>
          <w:rFonts w:ascii="Cambria" w:eastAsia="Times New Roman" w:hAnsi="Cambria" w:cs="Arial"/>
          <w:bCs/>
          <w:color w:val="548DD4" w:themeColor="text2" w:themeTint="99"/>
          <w:sz w:val="26"/>
          <w:szCs w:val="26"/>
          <w:rtl/>
        </w:rPr>
        <w:t>סעיף יב: שטר שנפרע או נמחל שעבודו – למי שייך גוף השטר.</w:t>
      </w:r>
      <w:bookmarkEnd w:id="631"/>
    </w:p>
    <w:p w14:paraId="25E08B6A" w14:textId="77777777" w:rsidR="001D49D4" w:rsidRPr="001D49D4" w:rsidRDefault="001D49D4" w:rsidP="0004348D">
      <w:pPr>
        <w:spacing w:before="360" w:after="240"/>
        <w:rPr>
          <w:rFonts w:ascii="Calibri" w:eastAsia="Calibri" w:hAnsi="Calibri" w:cs="Arial"/>
          <w:u w:val="single"/>
          <w:rtl/>
        </w:rPr>
      </w:pPr>
      <w:r w:rsidRPr="001D49D4">
        <w:rPr>
          <w:rFonts w:ascii="Calibri" w:eastAsia="Calibri" w:hAnsi="Calibri" w:cs="Arial"/>
          <w:u w:val="single"/>
          <w:rtl/>
        </w:rPr>
        <w:t>שטר שנפרע או נמחל שעבודו – למי שייך גוף השטר:</w:t>
      </w:r>
    </w:p>
    <w:p w14:paraId="3251380D" w14:textId="77777777" w:rsidR="001D49D4" w:rsidRPr="001D49D4" w:rsidRDefault="001D49D4" w:rsidP="0004348D">
      <w:pPr>
        <w:numPr>
          <w:ilvl w:val="0"/>
          <w:numId w:val="320"/>
        </w:numPr>
        <w:spacing w:before="360" w:after="240"/>
        <w:contextualSpacing/>
        <w:rPr>
          <w:rtl/>
        </w:rPr>
      </w:pPr>
      <w:r w:rsidRPr="001D49D4">
        <w:rPr>
          <w:rtl/>
        </w:rPr>
        <w:t>רא"ש</w:t>
      </w:r>
      <w:r w:rsidRPr="001D49D4">
        <w:rPr>
          <w:sz w:val="16"/>
          <w:szCs w:val="16"/>
          <w:rtl/>
        </w:rPr>
        <w:t xml:space="preserve"> (כלל עז סי' ד)</w:t>
      </w:r>
      <w:r w:rsidRPr="001D49D4">
        <w:rPr>
          <w:rtl/>
        </w:rPr>
        <w:t xml:space="preserve"> בשם הרמב"ן- שטר שנפרע או נמחל שעבודו - צריך המלוה להחזיר השטר ללוה, שגופו של נייר שלו הוא</w:t>
      </w:r>
      <w:r w:rsidRPr="001D49D4">
        <w:rPr>
          <w:vertAlign w:val="superscript"/>
          <w:rtl/>
        </w:rPr>
        <w:footnoteReference w:id="4678"/>
      </w:r>
      <w:r w:rsidRPr="001D49D4">
        <w:rPr>
          <w:rtl/>
        </w:rPr>
        <w:t xml:space="preserve">. </w:t>
      </w:r>
      <w:r w:rsidRPr="001D49D4">
        <w:rPr>
          <w:color w:val="E36C0A" w:themeColor="accent6" w:themeShade="BF"/>
          <w:rtl/>
        </w:rPr>
        <w:t>(וכ"פ בשו"ע)</w:t>
      </w:r>
    </w:p>
    <w:p w14:paraId="70E01CB1" w14:textId="77777777" w:rsidR="001D49D4" w:rsidRPr="001D49D4" w:rsidRDefault="001D49D4" w:rsidP="0004348D">
      <w:pPr>
        <w:spacing w:before="360" w:after="240"/>
        <w:rPr>
          <w:rFonts w:ascii="Calibri" w:eastAsia="Calibri" w:hAnsi="Calibri" w:cs="Arial"/>
          <w:u w:val="single"/>
          <w:rtl/>
        </w:rPr>
      </w:pPr>
      <w:r w:rsidRPr="001D49D4">
        <w:rPr>
          <w:rFonts w:ascii="Calibri" w:eastAsia="Calibri" w:hAnsi="Calibri" w:cs="Arial"/>
          <w:u w:val="single"/>
          <w:rtl/>
        </w:rPr>
        <w:t>מה שכותבין בשטרות 'ואפילו מגלימא דאכתפיה'- האם הוא דוקא או שופרא דשטרא:</w:t>
      </w:r>
    </w:p>
    <w:p w14:paraId="60B9A790" w14:textId="77777777" w:rsidR="001D49D4" w:rsidRPr="001D49D4" w:rsidRDefault="001D49D4" w:rsidP="0004348D">
      <w:pPr>
        <w:numPr>
          <w:ilvl w:val="0"/>
          <w:numId w:val="320"/>
        </w:numPr>
        <w:spacing w:before="360" w:after="240"/>
        <w:contextualSpacing/>
      </w:pPr>
      <w:r w:rsidRPr="001D49D4">
        <w:rPr>
          <w:rtl/>
        </w:rPr>
        <w:t xml:space="preserve">רשב"א </w:t>
      </w:r>
      <w:r w:rsidRPr="001D49D4">
        <w:rPr>
          <w:sz w:val="16"/>
          <w:szCs w:val="16"/>
          <w:rtl/>
        </w:rPr>
        <w:t>(סי' תתא)</w:t>
      </w:r>
      <w:r w:rsidRPr="001D49D4">
        <w:rPr>
          <w:rtl/>
        </w:rPr>
        <w:t xml:space="preserve">- שאלת, זה שנוהגים בכתובות 'אפילו מגלימא דעל כתפיה' אם הוא דוקא או שופרא דשטרא?... תשובה, ר"ת ז"ל פסק כמ"ד אין מסדרין בבעל חוב, ואחד מראיותיו מדאמרינן מיניה אפי' מגלימא דעל כתפיה, דס"ל דדוקא קאמרי ואע"ג דלית ליה אלא ההיא. ואפילו אותן שפסקו מסדרין בבעל חוב מפרשי דגלימא ושיש לו שתים. א"נ יש לומר דאם יש לו גלימא חשובה אומרים לו פשוט ומכור וקנה פחותה ממנו דאית להו וכו'. </w:t>
      </w:r>
    </w:p>
    <w:p w14:paraId="4D5E237E" w14:textId="77777777" w:rsidR="001D49D4" w:rsidRPr="001D49D4" w:rsidRDefault="001D49D4" w:rsidP="0004348D">
      <w:pPr>
        <w:spacing w:before="360" w:after="240"/>
        <w:rPr>
          <w:rFonts w:ascii="Calibri" w:eastAsia="Calibri" w:hAnsi="Calibri" w:cs="Arial"/>
          <w:u w:val="single"/>
        </w:rPr>
      </w:pPr>
      <w:r w:rsidRPr="001D49D4">
        <w:rPr>
          <w:rFonts w:ascii="Calibri" w:eastAsia="Calibri" w:hAnsi="Calibri" w:cs="Arial"/>
          <w:u w:val="single"/>
          <w:rtl/>
        </w:rPr>
        <w:t>קהל שתקנו שאם יפטר אחד מהעדים קודם שיחתום השטר תהא חתימת הסופר קיימת כשני עדים:</w:t>
      </w:r>
    </w:p>
    <w:p w14:paraId="2F846CFF" w14:textId="77777777" w:rsidR="001D49D4" w:rsidRPr="001D49D4" w:rsidRDefault="001D49D4" w:rsidP="0004348D">
      <w:pPr>
        <w:numPr>
          <w:ilvl w:val="0"/>
          <w:numId w:val="320"/>
        </w:numPr>
        <w:spacing w:before="360" w:after="240"/>
        <w:contextualSpacing/>
        <w:rPr>
          <w:rtl/>
        </w:rPr>
      </w:pPr>
      <w:r w:rsidRPr="001D49D4">
        <w:rPr>
          <w:rtl/>
        </w:rPr>
        <w:t xml:space="preserve">רשב"א </w:t>
      </w:r>
      <w:r w:rsidRPr="001D49D4">
        <w:rPr>
          <w:sz w:val="16"/>
          <w:szCs w:val="16"/>
          <w:rtl/>
        </w:rPr>
        <w:t>(סי' תשכט)</w:t>
      </w:r>
      <w:r w:rsidRPr="001D49D4">
        <w:rPr>
          <w:rtl/>
        </w:rPr>
        <w:t xml:space="preserve">- קהל שתקנו שאם יפטר אחד מהעדים קודם שיחתום השטר תהא חתימת הסופר קיימת כשני עדים - תקנתם קיימת. </w:t>
      </w:r>
    </w:p>
    <w:p w14:paraId="06562C69" w14:textId="77777777" w:rsidR="001D49D4" w:rsidRPr="001D49D4" w:rsidRDefault="001D49D4" w:rsidP="0004348D">
      <w:pPr>
        <w:spacing w:before="360" w:after="240"/>
        <w:rPr>
          <w:rFonts w:ascii="Calibri" w:eastAsia="Calibri" w:hAnsi="Calibri" w:cs="Arial"/>
          <w:u w:val="single"/>
        </w:rPr>
      </w:pPr>
      <w:r w:rsidRPr="001D49D4">
        <w:rPr>
          <w:rFonts w:ascii="Calibri" w:eastAsia="Calibri" w:hAnsi="Calibri" w:cs="Arial"/>
          <w:u w:val="single"/>
          <w:rtl/>
        </w:rPr>
        <w:t xml:space="preserve">שטר שכתוב בו שהעדים הם דן ונפתלי אך בחתימת העדים אין את חתימתן אלא את חתימת גד ואשר: </w:t>
      </w:r>
    </w:p>
    <w:p w14:paraId="32F26D58" w14:textId="77777777" w:rsidR="001D49D4" w:rsidRPr="001D49D4" w:rsidRDefault="001D49D4" w:rsidP="0004348D">
      <w:pPr>
        <w:numPr>
          <w:ilvl w:val="0"/>
          <w:numId w:val="320"/>
        </w:numPr>
        <w:spacing w:before="360" w:after="240"/>
        <w:contextualSpacing/>
        <w:rPr>
          <w:rtl/>
        </w:rPr>
      </w:pPr>
      <w:r w:rsidRPr="001D49D4">
        <w:rPr>
          <w:rtl/>
        </w:rPr>
        <w:t xml:space="preserve">רשב"א </w:t>
      </w:r>
      <w:r w:rsidRPr="001D49D4">
        <w:rPr>
          <w:sz w:val="16"/>
          <w:szCs w:val="16"/>
          <w:rtl/>
        </w:rPr>
        <w:t>(ח"ב סי' קז)</w:t>
      </w:r>
      <w:r w:rsidRPr="001D49D4">
        <w:rPr>
          <w:rtl/>
        </w:rPr>
        <w:t>- שאלת, שטר חוב שיוצא על לוי, וכתוב בו שהיו עדי אותה מלוה דן ונפתלי, ואין אותם עדים חתומים בשטר אלא גד ואשר. וכן כתוב בו- 'דן ונפתלי עדים ואנו סופרי קהל בורגו"ש קבלנו עדות זו והכל שריר וקיים גד בן יעקב אשר בן יצחק'. וטען לוי שאין לו לפרוע כלום מפני שלא קבלו בית דין עדות השני עדים שהן דן ונפתלי אלא שני אדם בעלמא שהם סופרי הקהל והעדים בעצמם לא חתמו בשטר. תשובה, אם קבלו עליהם קהל בורגו"ש להיות נוהגים כן וכל שטר כזה שיהא נגבה בבית דין - הרי אלו גובין בו.</w:t>
      </w:r>
    </w:p>
    <w:p w14:paraId="1959A176" w14:textId="77777777" w:rsidR="001D49D4" w:rsidRPr="001D49D4" w:rsidRDefault="001D49D4" w:rsidP="0004348D">
      <w:pPr>
        <w:spacing w:before="360" w:after="240"/>
        <w:rPr>
          <w:rFonts w:ascii="Arial" w:eastAsia="Calibri" w:hAnsi="Arial" w:cs="Arial"/>
          <w:b/>
          <w:bCs/>
          <w:color w:val="000000"/>
          <w:sz w:val="28"/>
          <w:szCs w:val="28"/>
          <w:u w:val="single"/>
          <w:rtl/>
        </w:rPr>
      </w:pPr>
      <w:r w:rsidRPr="001D49D4">
        <w:rPr>
          <w:rFonts w:ascii="Arial" w:eastAsia="Calibri" w:hAnsi="Arial" w:cs="Arial"/>
          <w:b/>
          <w:bCs/>
          <w:color w:val="000000"/>
          <w:sz w:val="28"/>
          <w:szCs w:val="28"/>
          <w:u w:val="single"/>
          <w:rtl/>
        </w:rPr>
        <w:t>שו"ע:</w:t>
      </w:r>
    </w:p>
    <w:p w14:paraId="1E93F334"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rtl/>
        </w:rPr>
        <w:t>שטר שנפרע או שנמחל שעבודו, צריך המלוה להחזיר השטר ללוה, דגופו של נייר שלו הוא</w:t>
      </w:r>
      <w:r w:rsidRPr="001D49D4">
        <w:rPr>
          <w:rFonts w:ascii="Calibri" w:eastAsia="Calibri" w:hAnsi="Calibri" w:cs="Arial"/>
          <w:vertAlign w:val="superscript"/>
          <w:rtl/>
        </w:rPr>
        <w:footnoteReference w:id="4679"/>
      </w:r>
      <w:r w:rsidRPr="001D49D4">
        <w:rPr>
          <w:rFonts w:ascii="Calibri" w:eastAsia="Calibri" w:hAnsi="Calibri" w:cs="Arial"/>
          <w:rtl/>
        </w:rPr>
        <w:t xml:space="preserve">. </w:t>
      </w:r>
      <w:r w:rsidRPr="001D49D4">
        <w:rPr>
          <w:rFonts w:ascii="Calibri" w:eastAsia="Calibri" w:hAnsi="Calibri" w:cs="Arial"/>
          <w:sz w:val="18"/>
          <w:szCs w:val="18"/>
          <w:rtl/>
        </w:rPr>
        <w:t>(ועיין לעיל סימן נ"ז).</w:t>
      </w:r>
      <w:r w:rsidRPr="001D49D4">
        <w:rPr>
          <w:rFonts w:ascii="Calibri" w:eastAsia="Calibri" w:hAnsi="Calibri" w:cs="Arial"/>
          <w:rtl/>
        </w:rPr>
        <w:t xml:space="preserve"> </w:t>
      </w:r>
    </w:p>
    <w:p w14:paraId="2CE5C25F" w14:textId="77777777" w:rsidR="001D49D4" w:rsidRPr="001D49D4" w:rsidRDefault="001D49D4" w:rsidP="0004348D">
      <w:pPr>
        <w:spacing w:before="360" w:after="240"/>
        <w:rPr>
          <w:rFonts w:ascii="Calibri" w:eastAsia="Calibri" w:hAnsi="Calibri" w:cs="Arial"/>
          <w:rtl/>
        </w:rPr>
      </w:pPr>
    </w:p>
    <w:p w14:paraId="055E7DFF" w14:textId="77777777" w:rsidR="001D49D4" w:rsidRPr="001D49D4" w:rsidRDefault="001D49D4" w:rsidP="0004348D">
      <w:pPr>
        <w:keepNext/>
        <w:keepLines/>
        <w:spacing w:before="360" w:after="240"/>
        <w:outlineLvl w:val="1"/>
        <w:rPr>
          <w:rFonts w:ascii="Cambria" w:eastAsia="Times New Roman" w:hAnsi="Cambria" w:cs="Arial"/>
          <w:bCs/>
          <w:color w:val="548DD4" w:themeColor="text2" w:themeTint="99"/>
          <w:sz w:val="26"/>
          <w:szCs w:val="26"/>
          <w:rtl/>
        </w:rPr>
      </w:pPr>
      <w:bookmarkStart w:id="632" w:name="_Toc24884058"/>
      <w:r w:rsidRPr="001D49D4">
        <w:rPr>
          <w:rFonts w:ascii="Cambria" w:eastAsia="Times New Roman" w:hAnsi="Cambria" w:cs="Arial"/>
          <w:bCs/>
          <w:color w:val="548DD4" w:themeColor="text2" w:themeTint="99"/>
          <w:sz w:val="26"/>
          <w:szCs w:val="26"/>
          <w:rtl/>
        </w:rPr>
        <w:t>סעיף יג: הטוען על כתובת אשתו שהיה עם הארץ ולא הבין כשקרא החזן הכתובה והתנאים.</w:t>
      </w:r>
      <w:bookmarkEnd w:id="632"/>
    </w:p>
    <w:p w14:paraId="15145E0E" w14:textId="77777777" w:rsidR="001D49D4" w:rsidRPr="001D49D4" w:rsidRDefault="001D49D4" w:rsidP="0004348D">
      <w:pPr>
        <w:spacing w:before="360" w:after="240"/>
        <w:rPr>
          <w:rFonts w:ascii="Calibri" w:eastAsia="Calibri" w:hAnsi="Calibri" w:cs="Arial"/>
          <w:u w:val="single"/>
          <w:rtl/>
        </w:rPr>
      </w:pPr>
      <w:r w:rsidRPr="001D49D4">
        <w:rPr>
          <w:rFonts w:ascii="Calibri" w:eastAsia="Calibri" w:hAnsi="Calibri" w:cs="Arial"/>
          <w:u w:val="single"/>
          <w:rtl/>
        </w:rPr>
        <w:t>מי שטען על כתובת אשתו שהוא עם הארץ ולא הבין כשקרא החזן הכתובה והתנאים:</w:t>
      </w:r>
    </w:p>
    <w:p w14:paraId="4968FE53" w14:textId="77777777" w:rsidR="001D49D4" w:rsidRPr="001D49D4" w:rsidRDefault="001D49D4" w:rsidP="0004348D">
      <w:pPr>
        <w:numPr>
          <w:ilvl w:val="0"/>
          <w:numId w:val="320"/>
        </w:numPr>
        <w:spacing w:before="360" w:after="240"/>
        <w:contextualSpacing/>
        <w:rPr>
          <w:rtl/>
        </w:rPr>
      </w:pPr>
      <w:r w:rsidRPr="001D49D4">
        <w:rPr>
          <w:rtl/>
        </w:rPr>
        <w:t xml:space="preserve">רשב"א </w:t>
      </w:r>
      <w:r w:rsidRPr="001D49D4">
        <w:rPr>
          <w:sz w:val="16"/>
          <w:szCs w:val="16"/>
          <w:rtl/>
        </w:rPr>
        <w:t>(ח"א סי' תרכט)</w:t>
      </w:r>
      <w:r w:rsidRPr="001D49D4">
        <w:rPr>
          <w:rtl/>
        </w:rPr>
        <w:t>- אין שומעין לו.</w:t>
      </w:r>
      <w:r w:rsidRPr="001D49D4">
        <w:rPr>
          <w:color w:val="E36C0A" w:themeColor="accent6" w:themeShade="BF"/>
          <w:rtl/>
        </w:rPr>
        <w:t xml:space="preserve"> (וכ"פ בשו"ע)</w:t>
      </w:r>
    </w:p>
    <w:p w14:paraId="5BF19BAE" w14:textId="77777777" w:rsidR="001D49D4" w:rsidRPr="001D49D4" w:rsidRDefault="001D49D4" w:rsidP="0004348D">
      <w:pPr>
        <w:numPr>
          <w:ilvl w:val="0"/>
          <w:numId w:val="320"/>
        </w:numPr>
        <w:spacing w:before="360" w:after="240"/>
        <w:contextualSpacing/>
      </w:pPr>
      <w:r w:rsidRPr="001D49D4">
        <w:rPr>
          <w:rtl/>
        </w:rPr>
        <w:t>רמ"ה</w:t>
      </w:r>
      <w:r w:rsidRPr="001D49D4">
        <w:rPr>
          <w:sz w:val="16"/>
          <w:szCs w:val="16"/>
          <w:rtl/>
        </w:rPr>
        <w:t xml:space="preserve"> (כ"כ הרשב"א בשמו)</w:t>
      </w:r>
      <w:r w:rsidRPr="001D49D4">
        <w:rPr>
          <w:rtl/>
        </w:rPr>
        <w:t>- שומעין לו.</w:t>
      </w:r>
    </w:p>
    <w:p w14:paraId="5EEE40C5" w14:textId="77777777" w:rsidR="001D49D4" w:rsidRPr="001D49D4" w:rsidRDefault="001D49D4" w:rsidP="0004348D">
      <w:pPr>
        <w:spacing w:before="360" w:after="240"/>
        <w:rPr>
          <w:rFonts w:ascii="Calibri" w:eastAsia="Calibri" w:hAnsi="Calibri" w:cs="Arial"/>
          <w:u w:val="single"/>
        </w:rPr>
      </w:pPr>
      <w:r w:rsidRPr="001D49D4">
        <w:rPr>
          <w:rFonts w:ascii="Calibri" w:eastAsia="Calibri" w:hAnsi="Calibri" w:cs="Arial"/>
          <w:u w:val="single"/>
          <w:rtl/>
        </w:rPr>
        <w:t xml:space="preserve">התובע את חבירו, וחבירו מודה שחייב לו אך אינו רוצה ליתן לו מחמת שיש לו טענה עליו </w:t>
      </w:r>
      <w:r w:rsidRPr="001D49D4">
        <w:rPr>
          <w:rFonts w:ascii="Calibri" w:eastAsia="Calibri" w:hAnsi="Calibri" w:cs="Arial"/>
          <w:sz w:val="16"/>
          <w:szCs w:val="16"/>
          <w:u w:val="single"/>
          <w:rtl/>
        </w:rPr>
        <w:t>(שחייב לו ממקום אחר)</w:t>
      </w:r>
      <w:r w:rsidRPr="001D49D4">
        <w:rPr>
          <w:rFonts w:ascii="Calibri" w:eastAsia="Calibri" w:hAnsi="Calibri" w:cs="Arial"/>
          <w:u w:val="single"/>
          <w:rtl/>
        </w:rPr>
        <w:t>:</w:t>
      </w:r>
    </w:p>
    <w:p w14:paraId="7537A83E" w14:textId="77777777" w:rsidR="001D49D4" w:rsidRPr="001D49D4" w:rsidRDefault="001D49D4" w:rsidP="0004348D">
      <w:pPr>
        <w:numPr>
          <w:ilvl w:val="0"/>
          <w:numId w:val="320"/>
        </w:numPr>
        <w:spacing w:before="360" w:after="240"/>
        <w:contextualSpacing/>
      </w:pPr>
      <w:r w:rsidRPr="001D49D4">
        <w:rPr>
          <w:rtl/>
        </w:rPr>
        <w:t xml:space="preserve">רשב"א </w:t>
      </w:r>
      <w:r w:rsidRPr="001D49D4">
        <w:rPr>
          <w:sz w:val="16"/>
          <w:szCs w:val="16"/>
          <w:rtl/>
        </w:rPr>
        <w:t>(ח"ג סי' צח)</w:t>
      </w:r>
      <w:r w:rsidRPr="001D49D4">
        <w:rPr>
          <w:rtl/>
        </w:rPr>
        <w:t>- שמעון תבע את ראובן ואמר לו 'שטר משכונא שיוצא על שם זקנתך מק"ן דינרים על בתי יהודה יש לי בהם חמשים דינרים באותה משכונא, עשה לי שטר הקנאה באותו שטר מחמשים דינרים שיש לי בו כדי שאוכל לתבוע את יהודה', והודה לו ראובן אלא שטען טענות אחרות. תשובה, אינו חייב לעשות שטר הקנאה וגם לא שטר הודאה וכדאמרינן</w:t>
      </w:r>
      <w:r w:rsidRPr="001D49D4">
        <w:rPr>
          <w:sz w:val="16"/>
          <w:szCs w:val="16"/>
          <w:rtl/>
        </w:rPr>
        <w:t xml:space="preserve"> (ב"ב מ.) </w:t>
      </w:r>
      <w:r w:rsidRPr="001D49D4">
        <w:rPr>
          <w:rtl/>
        </w:rPr>
        <w:t xml:space="preserve">הודאה בפני שנים וצריך לומר כתובו, אלא שבית דין יכולים לכתוב שראובן הודה בפניהם לשמעון שיש בידו שטר כך וכך שיש בו לשמעון כך וכך בו, והוא שקבלם לבית דין, כלומר דכנפינהו איהו, הא מיכנפי ויתבי אין כותבין עד שיאמר להם כתובו כדאיתא בפרק זה בורר </w:t>
      </w:r>
      <w:r w:rsidRPr="001D49D4">
        <w:rPr>
          <w:sz w:val="16"/>
          <w:szCs w:val="16"/>
          <w:rtl/>
        </w:rPr>
        <w:t>(כט:)</w:t>
      </w:r>
      <w:r w:rsidRPr="001D49D4">
        <w:rPr>
          <w:rtl/>
        </w:rPr>
        <w:t>. והטענה שטען שאינו חייב אלא בחלקו המגיעו באותם חמשים דינרים כדין טוען שהודאתו אינה מחייבת את אחיו וזה פשוט. ואם השטר ישנו ברשותו חייב להוציאו בבית דין כל שירצה שמעון לתבוע את יהודה הממשכן. ואם רצה שמעון להחרים חרם סתם כל מי שיש לו שום שטר שיש לו בו זכות שיוציאנו, רשאי.</w:t>
      </w:r>
    </w:p>
    <w:p w14:paraId="733E5B31" w14:textId="77777777" w:rsidR="001D49D4" w:rsidRPr="001D49D4" w:rsidRDefault="001D49D4" w:rsidP="0004348D">
      <w:pPr>
        <w:spacing w:before="360" w:after="240"/>
        <w:rPr>
          <w:rFonts w:ascii="Arial" w:eastAsia="Calibri" w:hAnsi="Arial" w:cs="Arial"/>
          <w:b/>
          <w:bCs/>
          <w:color w:val="000000"/>
          <w:sz w:val="28"/>
          <w:szCs w:val="28"/>
          <w:u w:val="single"/>
          <w:rtl/>
        </w:rPr>
      </w:pPr>
      <w:r w:rsidRPr="001D49D4">
        <w:rPr>
          <w:rFonts w:ascii="Arial" w:eastAsia="Calibri" w:hAnsi="Arial" w:cs="Arial"/>
          <w:b/>
          <w:bCs/>
          <w:color w:val="000000"/>
          <w:sz w:val="28"/>
          <w:szCs w:val="28"/>
          <w:u w:val="single"/>
          <w:rtl/>
        </w:rPr>
        <w:t>שו"ע:</w:t>
      </w:r>
    </w:p>
    <w:p w14:paraId="3A3D4CA1"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rtl/>
        </w:rPr>
        <w:t>מי שטען על כתובת אשתו שהיה עם הארץ ולא הבין כשקרא החזן הכתובה והתנאים, אין שומעין לו</w:t>
      </w:r>
      <w:r w:rsidRPr="001D49D4">
        <w:rPr>
          <w:rFonts w:ascii="Calibri" w:eastAsia="Calibri" w:hAnsi="Calibri" w:cs="Arial"/>
          <w:vertAlign w:val="superscript"/>
          <w:rtl/>
        </w:rPr>
        <w:footnoteReference w:id="4680"/>
      </w:r>
      <w:r w:rsidRPr="001D49D4">
        <w:rPr>
          <w:rFonts w:ascii="Calibri" w:eastAsia="Calibri" w:hAnsi="Calibri" w:cs="Arial"/>
          <w:rtl/>
        </w:rPr>
        <w:t xml:space="preserve">. </w:t>
      </w:r>
      <w:r w:rsidRPr="001D49D4">
        <w:rPr>
          <w:rFonts w:ascii="Calibri" w:eastAsia="Calibri" w:hAnsi="Calibri" w:cs="Arial"/>
          <w:sz w:val="18"/>
          <w:szCs w:val="18"/>
          <w:rtl/>
        </w:rPr>
        <w:t>הגה: וה"ה בשאר דקדוקים שיש לדקדק מן השטר, ולא אמרינן דהאי גברא לא דקדק כל כך, וכמו שנתבאר בסמוך</w:t>
      </w:r>
      <w:r w:rsidRPr="001D49D4">
        <w:rPr>
          <w:rFonts w:ascii="Calibri" w:eastAsia="Calibri" w:hAnsi="Calibri" w:cs="Arial"/>
          <w:sz w:val="18"/>
          <w:szCs w:val="18"/>
          <w:vertAlign w:val="superscript"/>
          <w:rtl/>
        </w:rPr>
        <w:footnoteReference w:id="4681"/>
      </w:r>
      <w:r w:rsidRPr="001D49D4">
        <w:rPr>
          <w:rFonts w:ascii="Calibri" w:eastAsia="Calibri" w:hAnsi="Calibri" w:cs="Arial"/>
          <w:sz w:val="18"/>
          <w:szCs w:val="18"/>
          <w:rtl/>
        </w:rPr>
        <w:t xml:space="preserve"> (ב"י בשם ריב"ש סי' תפ).</w:t>
      </w:r>
      <w:r w:rsidRPr="001D49D4">
        <w:rPr>
          <w:rFonts w:ascii="Calibri" w:eastAsia="Calibri" w:hAnsi="Calibri" w:cs="Arial"/>
          <w:rtl/>
        </w:rPr>
        <w:t xml:space="preserve"> </w:t>
      </w:r>
    </w:p>
    <w:p w14:paraId="5CB190A2" w14:textId="77777777" w:rsidR="001D49D4" w:rsidRPr="001D49D4" w:rsidRDefault="001D49D4" w:rsidP="0004348D">
      <w:pPr>
        <w:spacing w:before="360" w:after="240"/>
        <w:rPr>
          <w:rFonts w:ascii="Calibri" w:eastAsia="Calibri" w:hAnsi="Calibri" w:cs="Arial"/>
          <w:rtl/>
        </w:rPr>
      </w:pPr>
    </w:p>
    <w:p w14:paraId="23067005" w14:textId="77777777" w:rsidR="001D49D4" w:rsidRPr="001D49D4" w:rsidRDefault="001D49D4" w:rsidP="0004348D">
      <w:pPr>
        <w:keepNext/>
        <w:keepLines/>
        <w:spacing w:before="360" w:after="240"/>
        <w:outlineLvl w:val="1"/>
        <w:rPr>
          <w:rFonts w:ascii="Cambria" w:eastAsia="Times New Roman" w:hAnsi="Cambria" w:cs="Arial"/>
          <w:bCs/>
          <w:color w:val="548DD4" w:themeColor="text2" w:themeTint="99"/>
          <w:sz w:val="26"/>
          <w:szCs w:val="26"/>
          <w:rtl/>
        </w:rPr>
      </w:pPr>
      <w:bookmarkStart w:id="633" w:name="_Toc24884059"/>
      <w:r w:rsidRPr="001D49D4">
        <w:rPr>
          <w:rFonts w:ascii="Cambria" w:eastAsia="Times New Roman" w:hAnsi="Cambria" w:cs="Arial"/>
          <w:bCs/>
          <w:color w:val="548DD4" w:themeColor="text2" w:themeTint="99"/>
          <w:sz w:val="26"/>
          <w:szCs w:val="26"/>
          <w:rtl/>
        </w:rPr>
        <w:t>סעיף יד: מי שהוציא שטר על חבירו והדין שלא יגבה בו והלה טוען שיכופו אותו להחזיר השטר.</w:t>
      </w:r>
      <w:bookmarkEnd w:id="633"/>
    </w:p>
    <w:p w14:paraId="49042923" w14:textId="77777777" w:rsidR="001D49D4" w:rsidRPr="001D49D4" w:rsidRDefault="001D49D4" w:rsidP="0004348D">
      <w:pPr>
        <w:spacing w:before="360" w:after="240"/>
        <w:rPr>
          <w:rFonts w:ascii="Calibri" w:eastAsia="Calibri" w:hAnsi="Calibri" w:cs="Arial"/>
          <w:u w:val="single"/>
          <w:rtl/>
        </w:rPr>
      </w:pPr>
      <w:r w:rsidRPr="001D49D4">
        <w:rPr>
          <w:rFonts w:ascii="Calibri" w:eastAsia="Calibri" w:hAnsi="Calibri" w:cs="Arial"/>
          <w:u w:val="single"/>
          <w:rtl/>
        </w:rPr>
        <w:t>מי שיש בידו שטר מתנה, והדין הוא שלא יגבה בו - וחברו טוען שיכופו אותו להחזיר השטר:</w:t>
      </w:r>
    </w:p>
    <w:p w14:paraId="3FAAFBD5" w14:textId="77777777" w:rsidR="001D49D4" w:rsidRPr="001D49D4" w:rsidRDefault="001D49D4" w:rsidP="0004348D">
      <w:pPr>
        <w:numPr>
          <w:ilvl w:val="0"/>
          <w:numId w:val="320"/>
        </w:numPr>
        <w:spacing w:before="360" w:after="240"/>
        <w:contextualSpacing/>
        <w:rPr>
          <w:rtl/>
        </w:rPr>
      </w:pPr>
      <w:r w:rsidRPr="001D49D4">
        <w:rPr>
          <w:rtl/>
        </w:rPr>
        <w:t>רשב"א</w:t>
      </w:r>
      <w:r w:rsidRPr="001D49D4">
        <w:rPr>
          <w:sz w:val="16"/>
          <w:szCs w:val="16"/>
          <w:rtl/>
        </w:rPr>
        <w:t xml:space="preserve"> (ח"ג סי' נז)</w:t>
      </w:r>
      <w:r w:rsidRPr="001D49D4">
        <w:rPr>
          <w:rtl/>
        </w:rPr>
        <w:t>- מי שהוציא שטר על חבירו והדין שלא יגבה בו, והלה טוען שיכופו אותו להחזיר השטר. תשובה, אינו חייב להחזיר, דהתם המלוה נותן שכר לפיכך הנייר שלו לצור על פי צלוחיתו. ועוד שמקבל מתנה הוא זה, וההנאה שלו, והוא נותן את השכר.</w:t>
      </w:r>
      <w:r w:rsidRPr="001D49D4">
        <w:rPr>
          <w:color w:val="E36C0A" w:themeColor="accent6" w:themeShade="BF"/>
          <w:rtl/>
        </w:rPr>
        <w:t xml:space="preserve"> (וכ"פ בשו"ע)</w:t>
      </w:r>
    </w:p>
    <w:p w14:paraId="1D8BE53C" w14:textId="77777777" w:rsidR="001D49D4" w:rsidRPr="001D49D4" w:rsidRDefault="001D49D4" w:rsidP="0004348D">
      <w:pPr>
        <w:spacing w:before="360" w:after="240"/>
        <w:rPr>
          <w:rFonts w:ascii="Arial" w:eastAsia="Calibri" w:hAnsi="Arial" w:cs="Arial"/>
          <w:b/>
          <w:bCs/>
          <w:color w:val="000000"/>
          <w:sz w:val="28"/>
          <w:szCs w:val="28"/>
          <w:u w:val="single"/>
          <w:rtl/>
        </w:rPr>
      </w:pPr>
      <w:r w:rsidRPr="001D49D4">
        <w:rPr>
          <w:rFonts w:ascii="Arial" w:eastAsia="Calibri" w:hAnsi="Arial" w:cs="Arial"/>
          <w:b/>
          <w:bCs/>
          <w:color w:val="000000"/>
          <w:sz w:val="28"/>
          <w:szCs w:val="28"/>
          <w:u w:val="single"/>
          <w:rtl/>
        </w:rPr>
        <w:t>שו"ע:</w:t>
      </w:r>
    </w:p>
    <w:p w14:paraId="1AE5F3E2"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rtl/>
        </w:rPr>
        <w:t xml:space="preserve">מי שיש בידו שטר מתנה, שמן הדין אינו גובה בו, והלה טוען שיכופו אותו להוציא השטר, אין כופין אותו. </w:t>
      </w:r>
    </w:p>
    <w:p w14:paraId="02C9EAB7" w14:textId="77777777" w:rsidR="001D49D4" w:rsidRPr="001D49D4" w:rsidRDefault="001D49D4" w:rsidP="0004348D">
      <w:pPr>
        <w:spacing w:before="360" w:after="240"/>
        <w:rPr>
          <w:rFonts w:ascii="Calibri" w:eastAsia="Calibri" w:hAnsi="Calibri" w:cs="Arial"/>
          <w:rtl/>
        </w:rPr>
      </w:pPr>
    </w:p>
    <w:p w14:paraId="173E1825" w14:textId="77777777" w:rsidR="001D49D4" w:rsidRPr="001D49D4" w:rsidRDefault="001D49D4" w:rsidP="0004348D">
      <w:pPr>
        <w:keepNext/>
        <w:keepLines/>
        <w:spacing w:before="360" w:after="240"/>
        <w:outlineLvl w:val="1"/>
        <w:rPr>
          <w:rFonts w:ascii="Cambria" w:eastAsia="Times New Roman" w:hAnsi="Cambria" w:cs="Arial"/>
          <w:bCs/>
          <w:color w:val="548DD4" w:themeColor="text2" w:themeTint="99"/>
          <w:sz w:val="26"/>
          <w:szCs w:val="26"/>
          <w:rtl/>
        </w:rPr>
      </w:pPr>
      <w:bookmarkStart w:id="634" w:name="_Toc24884060"/>
      <w:r w:rsidRPr="001D49D4">
        <w:rPr>
          <w:rFonts w:ascii="Cambria" w:eastAsia="Times New Roman" w:hAnsi="Cambria" w:cs="Arial"/>
          <w:bCs/>
          <w:color w:val="548DD4" w:themeColor="text2" w:themeTint="99"/>
          <w:sz w:val="26"/>
          <w:szCs w:val="26"/>
          <w:rtl/>
        </w:rPr>
        <w:t>סעיף טו: לימוד זכות על החתום בשטר שאינו מבין את ההדקדוקים הכתובים בו ולכן חתם.</w:t>
      </w:r>
      <w:bookmarkEnd w:id="634"/>
    </w:p>
    <w:p w14:paraId="4430F69F" w14:textId="77777777" w:rsidR="001D49D4" w:rsidRPr="001D49D4" w:rsidRDefault="001D49D4" w:rsidP="0004348D">
      <w:pPr>
        <w:spacing w:before="360" w:after="240"/>
        <w:rPr>
          <w:rFonts w:ascii="Calibri" w:eastAsia="Calibri" w:hAnsi="Calibri" w:cs="Arial"/>
          <w:u w:val="single"/>
          <w:rtl/>
        </w:rPr>
      </w:pPr>
      <w:r w:rsidRPr="001D49D4">
        <w:rPr>
          <w:rFonts w:ascii="Calibri" w:eastAsia="Calibri" w:hAnsi="Calibri" w:cs="Arial"/>
          <w:u w:val="single"/>
          <w:rtl/>
        </w:rPr>
        <w:t>לימוד זכות על החתום בשטר שאינו מבין את הדקדוקים הכתובים בו ולכן חתם:</w:t>
      </w:r>
    </w:p>
    <w:p w14:paraId="2571FE91" w14:textId="77777777" w:rsidR="001D49D4" w:rsidRPr="001D49D4" w:rsidRDefault="001D49D4" w:rsidP="0004348D">
      <w:pPr>
        <w:numPr>
          <w:ilvl w:val="0"/>
          <w:numId w:val="320"/>
        </w:numPr>
        <w:spacing w:before="360" w:after="240"/>
        <w:contextualSpacing/>
        <w:rPr>
          <w:rtl/>
        </w:rPr>
      </w:pPr>
      <w:r w:rsidRPr="001D49D4">
        <w:rPr>
          <w:rtl/>
        </w:rPr>
        <w:t xml:space="preserve">ריב"ש </w:t>
      </w:r>
      <w:r w:rsidRPr="001D49D4">
        <w:rPr>
          <w:sz w:val="16"/>
          <w:szCs w:val="16"/>
          <w:rtl/>
        </w:rPr>
        <w:t>(סי' תפ)</w:t>
      </w:r>
      <w:r w:rsidRPr="001D49D4">
        <w:rPr>
          <w:rtl/>
        </w:rPr>
        <w:t xml:space="preserve">- מדקדקין לשון השטר ודנין על פי אותו דקדוק ולא אמרינן האי גברא לא גמיר כולי האי והיה סבור שהדין היה בענין כך ומפני כן כתב אותו לשון. </w:t>
      </w:r>
      <w:r w:rsidRPr="001D49D4">
        <w:rPr>
          <w:color w:val="E36C0A" w:themeColor="accent6" w:themeShade="BF"/>
          <w:rtl/>
        </w:rPr>
        <w:t xml:space="preserve">(וכ"פ בשו"ע) </w:t>
      </w:r>
      <w:r w:rsidRPr="001D49D4">
        <w:rPr>
          <w:color w:val="00B0F0"/>
          <w:rtl/>
        </w:rPr>
        <w:t>(וכ"פ הרמ"א</w:t>
      </w:r>
      <w:r w:rsidRPr="001D49D4">
        <w:rPr>
          <w:color w:val="000000" w:themeColor="text1"/>
          <w:sz w:val="16"/>
          <w:szCs w:val="16"/>
          <w:rtl/>
        </w:rPr>
        <w:t xml:space="preserve"> [בסע' יג]</w:t>
      </w:r>
      <w:r w:rsidRPr="001D49D4">
        <w:rPr>
          <w:color w:val="00B0F0"/>
          <w:rtl/>
        </w:rPr>
        <w:t>)</w:t>
      </w:r>
    </w:p>
    <w:p w14:paraId="213FBB1F" w14:textId="77777777" w:rsidR="001D49D4" w:rsidRPr="001D49D4" w:rsidRDefault="001D49D4" w:rsidP="0004348D">
      <w:pPr>
        <w:spacing w:before="360" w:after="240"/>
        <w:rPr>
          <w:rFonts w:ascii="Calibri" w:eastAsia="Calibri" w:hAnsi="Calibri" w:cs="Arial"/>
          <w:u w:val="single"/>
        </w:rPr>
      </w:pPr>
      <w:r w:rsidRPr="001D49D4">
        <w:rPr>
          <w:rFonts w:ascii="Calibri" w:eastAsia="Calibri" w:hAnsi="Calibri" w:cs="Arial"/>
          <w:u w:val="single"/>
          <w:rtl/>
        </w:rPr>
        <w:t>שטר שנתחזק על שמעון, ונפטר בעל השטר תוך הזמן, ולאחר הזמן יורשיו תובעים את שמעון, ושמעון טוען שפרע:</w:t>
      </w:r>
    </w:p>
    <w:p w14:paraId="24FA61D1" w14:textId="77777777" w:rsidR="001D49D4" w:rsidRPr="001D49D4" w:rsidRDefault="001D49D4" w:rsidP="0004348D">
      <w:pPr>
        <w:numPr>
          <w:ilvl w:val="0"/>
          <w:numId w:val="320"/>
        </w:numPr>
        <w:spacing w:before="360" w:after="240"/>
        <w:contextualSpacing/>
        <w:rPr>
          <w:rtl/>
        </w:rPr>
      </w:pPr>
      <w:r w:rsidRPr="001D49D4">
        <w:rPr>
          <w:rtl/>
        </w:rPr>
        <w:t>מהרי"ק</w:t>
      </w:r>
      <w:r w:rsidRPr="001D49D4">
        <w:rPr>
          <w:sz w:val="16"/>
          <w:szCs w:val="16"/>
          <w:rtl/>
        </w:rPr>
        <w:t xml:space="preserve"> (שורש סז)</w:t>
      </w:r>
      <w:r w:rsidRPr="001D49D4">
        <w:rPr>
          <w:rtl/>
        </w:rPr>
        <w:t xml:space="preserve"> בשם הרא"ש</w:t>
      </w:r>
      <w:r w:rsidRPr="001D49D4">
        <w:rPr>
          <w:sz w:val="16"/>
          <w:szCs w:val="16"/>
          <w:rtl/>
        </w:rPr>
        <w:t xml:space="preserve"> (בתשו', וכתבה הטור בסי' עא סכ"א)</w:t>
      </w:r>
      <w:r w:rsidRPr="001D49D4">
        <w:rPr>
          <w:rtl/>
        </w:rPr>
        <w:t xml:space="preserve">- ראובן שנתחזק לו שטר על שמעון לזמן, ונפטר ראובן תוך הזמן, ותובעים יורשיו לשמעון לפרוע לו השטר. וטען שמעון שכבר פרע לראובן לפני מותו ומראה כתב מפרעון ועדים חתומים עליו, ויורשי ראובן אומרים שהעדים עדי שקר ונותנין אמתלאה לדבר. תשובה, אלו העדים צריכים דרישה וחקירה. </w:t>
      </w:r>
    </w:p>
    <w:p w14:paraId="34874254" w14:textId="77777777" w:rsidR="001D49D4" w:rsidRPr="001D49D4" w:rsidRDefault="001D49D4" w:rsidP="0004348D">
      <w:pPr>
        <w:spacing w:before="360" w:after="240"/>
        <w:rPr>
          <w:rFonts w:ascii="Calibri" w:eastAsia="Calibri" w:hAnsi="Calibri" w:cs="Arial"/>
          <w:u w:val="single"/>
        </w:rPr>
      </w:pPr>
      <w:r w:rsidRPr="001D49D4">
        <w:rPr>
          <w:rFonts w:ascii="Calibri" w:eastAsia="Calibri" w:hAnsi="Calibri" w:cs="Arial"/>
          <w:u w:val="single"/>
          <w:rtl/>
        </w:rPr>
        <w:t>מעשה בשטר שיש בו אחריות - למאי מתפרשה האחריות:</w:t>
      </w:r>
    </w:p>
    <w:p w14:paraId="44085B38" w14:textId="77777777" w:rsidR="001D49D4" w:rsidRPr="001D49D4" w:rsidRDefault="001D49D4" w:rsidP="0004348D">
      <w:pPr>
        <w:numPr>
          <w:ilvl w:val="0"/>
          <w:numId w:val="320"/>
        </w:numPr>
        <w:spacing w:before="360" w:after="240"/>
        <w:contextualSpacing/>
        <w:rPr>
          <w:rtl/>
        </w:rPr>
      </w:pPr>
      <w:r w:rsidRPr="001D49D4">
        <w:rPr>
          <w:rtl/>
        </w:rPr>
        <w:t xml:space="preserve">רשב"א </w:t>
      </w:r>
      <w:r w:rsidRPr="001D49D4">
        <w:rPr>
          <w:sz w:val="16"/>
          <w:szCs w:val="16"/>
          <w:rtl/>
        </w:rPr>
        <w:t>(ח"ג סי' כב)</w:t>
      </w:r>
      <w:r w:rsidRPr="001D49D4">
        <w:rPr>
          <w:rtl/>
        </w:rPr>
        <w:t>- שטר פקדון שחייבו בית דין את הנפקדים מחמת האחריות שאינן נאמנים לומר פרענו שאין כאן מגו דנאנסו. תשובה, המקבל עליו אחריות סתם אין לחייבו אלא בקל שבחלקי האחריות, ואם כן חזר למקומו מגו דנאנסו. כל שכן שאיני רואה שקבלו עליהם אחריות כלל אפילו מגניבה ואבידה, שכך כתוב בשטר ש-'חייבו עצמם להחזיר לשמעון כל זמן שירצה בלי שאלת זמן בית דין ובלא נוסח שטר', ואח"כ כתוב 'וקבלו אחריות בכל זה עליהם', ולפיכך יש לומר שלא קבלו אחריות עליהם אלא בכל זה שנזכר ולומר שכל אחד מהם אחראי על חבירו בטענות אלו, שאם יעכב אחד מהם ויסרב - השני אחראי לו, אבל אחריות הממון אם נגנב או נאבד איני רואה שישנו בכלל האחריות הזה, שאם האחריות על הממון מאי 'בכל זה' דקאמר, אלא מסתברא ודאי שלא קבלו אחריות אלא על אותם תנאים כמו שכתבתי. וכל שכן להוציא ממון שהמוציא מחבירו עליו הראיה.</w:t>
      </w:r>
    </w:p>
    <w:p w14:paraId="0FA050DC" w14:textId="77777777" w:rsidR="001D49D4" w:rsidRPr="001D49D4" w:rsidRDefault="001D49D4" w:rsidP="0004348D">
      <w:pPr>
        <w:spacing w:before="360" w:after="240"/>
        <w:rPr>
          <w:rFonts w:ascii="Calibri" w:eastAsia="Calibri" w:hAnsi="Calibri" w:cs="Arial"/>
          <w:u w:val="single"/>
        </w:rPr>
      </w:pPr>
      <w:r w:rsidRPr="001D49D4">
        <w:rPr>
          <w:rFonts w:ascii="Calibri" w:eastAsia="Calibri" w:hAnsi="Calibri" w:cs="Arial"/>
          <w:u w:val="single"/>
          <w:rtl/>
        </w:rPr>
        <w:t>ראובן נתחייב לשמעון מנה בשטר וחתום בו רק עד אחד ולאחר פטירת שמעון ראה הרואה השטר וקרע בו קרע:</w:t>
      </w:r>
    </w:p>
    <w:p w14:paraId="144AAF69" w14:textId="77777777" w:rsidR="001D49D4" w:rsidRPr="001D49D4" w:rsidRDefault="001D49D4" w:rsidP="0004348D">
      <w:pPr>
        <w:numPr>
          <w:ilvl w:val="0"/>
          <w:numId w:val="320"/>
        </w:numPr>
        <w:spacing w:before="360" w:after="240"/>
        <w:contextualSpacing/>
        <w:rPr>
          <w:rtl/>
        </w:rPr>
      </w:pPr>
      <w:r w:rsidRPr="001D49D4">
        <w:rPr>
          <w:rtl/>
        </w:rPr>
        <w:t xml:space="preserve">רשב"א </w:t>
      </w:r>
      <w:r w:rsidRPr="001D49D4">
        <w:rPr>
          <w:sz w:val="16"/>
          <w:szCs w:val="16"/>
          <w:rtl/>
        </w:rPr>
        <w:t>(ח"ג סימן מב)</w:t>
      </w:r>
      <w:r w:rsidRPr="001D49D4">
        <w:rPr>
          <w:rtl/>
        </w:rPr>
        <w:t xml:space="preserve">- שאלת, ראובן נתחייב לשמעון מנה בשטר אבל אין חתום בו אלא עד אחד. לאחר זמן נפטר שמעון וראה הרואה השטר וקרע בו באמצעיתו קרע העובר על קצת שיטי השטר. והאפטרופא על נכסי שמעון תובע מראובן המנה הנזכר. וראובן טוען שאין בשטר ממש חדא מפני שהוא קרוע, ועוד שאין בו אלא עד אחד. והאפטרופא טוען שאין זה קרע בית דין שאינו שתי וערב, ומה שטען שאין בו אלא עד אחד עדיין העד השני קיים וזוכר העדות. תשובה, לפי דברי הרמב"ם </w:t>
      </w:r>
      <w:r w:rsidRPr="001D49D4">
        <w:rPr>
          <w:sz w:val="16"/>
          <w:szCs w:val="16"/>
          <w:rtl/>
        </w:rPr>
        <w:t>(הל' מלוה ולוה פי"ד ה"י)</w:t>
      </w:r>
      <w:r w:rsidRPr="001D49D4">
        <w:rPr>
          <w:rtl/>
        </w:rPr>
        <w:t xml:space="preserve"> הדין עם האפטרופא התובע שהוא ז"ל כתב שהמוציא שטר חוב שאין בו אלא עד אחד והלה טוען פרעתי הוה ליה מחוייב שבועה ואינו יכול לישבע ומשלם, והילכך חייב לפרוע, אלא שאין אני מודה לרב בעיקר הדין. אלא שיש לחקור בדין זה מצד אחר דאמרינן בר"פ גט פשוט </w:t>
      </w:r>
      <w:r w:rsidRPr="001D49D4">
        <w:rPr>
          <w:sz w:val="16"/>
          <w:szCs w:val="16"/>
          <w:rtl/>
        </w:rPr>
        <w:t xml:space="preserve">(ב"ב קסה.) </w:t>
      </w:r>
      <w:r w:rsidRPr="001D49D4">
        <w:rPr>
          <w:rtl/>
        </w:rPr>
        <w:t>עד אחד בכתב ועד אחד בעל פה מהו, ואהדר להו דעתי נוטה שיצטרפו, וכיון שכן אילו הכחיש את העד שבכתב ואמר לא היו דברים מעולם היה מתחייב שבועה עכשיו שאומר שפרע אפשר שהוא נאמן וישבע היסת, ואע"פ שיש כאן שטר אינו אומר שטרך בידי מאי בעי כיון שאינו גובה בו ממשעבדי.</w:t>
      </w:r>
    </w:p>
    <w:p w14:paraId="10381E6C" w14:textId="77777777" w:rsidR="001D49D4" w:rsidRPr="001D49D4" w:rsidRDefault="001D49D4" w:rsidP="0004348D">
      <w:pPr>
        <w:spacing w:before="360" w:after="240"/>
        <w:rPr>
          <w:rFonts w:ascii="Calibri" w:eastAsia="Calibri" w:hAnsi="Calibri" w:cs="Arial"/>
          <w:u w:val="single"/>
          <w:rtl/>
        </w:rPr>
      </w:pPr>
      <w:r w:rsidRPr="001D49D4">
        <w:rPr>
          <w:rFonts w:ascii="Calibri" w:eastAsia="Calibri" w:hAnsi="Calibri" w:cs="Arial"/>
          <w:u w:val="single"/>
          <w:rtl/>
        </w:rPr>
        <w:t>האם אמרינן אחריות ט"ס גבי מטלטלין:</w:t>
      </w:r>
    </w:p>
    <w:p w14:paraId="53F3CF74" w14:textId="77777777" w:rsidR="001D49D4" w:rsidRPr="001D49D4" w:rsidRDefault="001D49D4" w:rsidP="0004348D">
      <w:pPr>
        <w:numPr>
          <w:ilvl w:val="0"/>
          <w:numId w:val="320"/>
        </w:numPr>
        <w:spacing w:before="360" w:after="240"/>
        <w:contextualSpacing/>
        <w:rPr>
          <w:rtl/>
        </w:rPr>
      </w:pPr>
      <w:r w:rsidRPr="001D49D4">
        <w:rPr>
          <w:rtl/>
        </w:rPr>
        <w:t xml:space="preserve">מהרי"ק </w:t>
      </w:r>
      <w:r w:rsidRPr="001D49D4">
        <w:rPr>
          <w:sz w:val="16"/>
          <w:szCs w:val="16"/>
          <w:rtl/>
        </w:rPr>
        <w:t>(שורש קפב ענף ד)</w:t>
      </w:r>
      <w:r w:rsidRPr="001D49D4">
        <w:rPr>
          <w:rtl/>
        </w:rPr>
        <w:t xml:space="preserve">- הא דקיימא לן </w:t>
      </w:r>
      <w:r w:rsidRPr="001D49D4">
        <w:rPr>
          <w:sz w:val="16"/>
          <w:szCs w:val="16"/>
          <w:rtl/>
        </w:rPr>
        <w:t>(ב"מ טו:)</w:t>
      </w:r>
      <w:r w:rsidRPr="001D49D4">
        <w:rPr>
          <w:rtl/>
        </w:rPr>
        <w:t xml:space="preserve"> אחריות טעות סופר הוא אפשר לומר דאף לענין גביית מטלטלין נאמר כן מאחר שאין לנו קרקעות בזמן הזה</w:t>
      </w:r>
      <w:r w:rsidRPr="001D49D4">
        <w:rPr>
          <w:vertAlign w:val="superscript"/>
          <w:rtl/>
        </w:rPr>
        <w:footnoteReference w:id="4682"/>
      </w:r>
      <w:r w:rsidRPr="001D49D4">
        <w:rPr>
          <w:rtl/>
        </w:rPr>
        <w:t>.</w:t>
      </w:r>
    </w:p>
    <w:p w14:paraId="4B6A7426" w14:textId="77777777" w:rsidR="001D49D4" w:rsidRPr="001D49D4" w:rsidRDefault="001D49D4" w:rsidP="0004348D">
      <w:pPr>
        <w:spacing w:before="360" w:after="240"/>
        <w:rPr>
          <w:rFonts w:ascii="Calibri" w:eastAsia="Calibri" w:hAnsi="Calibri" w:cs="Arial"/>
          <w:u w:val="single"/>
          <w:rtl/>
        </w:rPr>
      </w:pPr>
      <w:r w:rsidRPr="001D49D4">
        <w:rPr>
          <w:rFonts w:ascii="Calibri" w:eastAsia="Calibri" w:hAnsi="Calibri" w:cs="Arial"/>
          <w:u w:val="single"/>
          <w:rtl/>
        </w:rPr>
        <w:t>שטר חוב שהיה לגוי על לוי ומסרו הגוי לראובן, וראובן לשמעון, ובא שמעון לטרוף מיהודה קרקע שקנה מלוי/ראובן:</w:t>
      </w:r>
    </w:p>
    <w:p w14:paraId="4DF6BBEE" w14:textId="77777777" w:rsidR="001D49D4" w:rsidRPr="001D49D4" w:rsidRDefault="001D49D4" w:rsidP="0004348D">
      <w:pPr>
        <w:numPr>
          <w:ilvl w:val="0"/>
          <w:numId w:val="320"/>
        </w:numPr>
        <w:spacing w:before="360" w:after="240"/>
        <w:contextualSpacing/>
      </w:pPr>
      <w:r w:rsidRPr="001D49D4">
        <w:rPr>
          <w:rtl/>
        </w:rPr>
        <w:t xml:space="preserve">רא"ש </w:t>
      </w:r>
      <w:r w:rsidRPr="001D49D4">
        <w:rPr>
          <w:sz w:val="16"/>
          <w:szCs w:val="16"/>
          <w:rtl/>
        </w:rPr>
        <w:t>(ראש כלל יח סי' א)</w:t>
      </w:r>
      <w:r w:rsidRPr="001D49D4">
        <w:rPr>
          <w:rtl/>
        </w:rPr>
        <w:t xml:space="preserve">- אשר שאלת, ראובן שמסר לשמעון שטר חוב שיש לו על לוי שמסרו לו גוי שהיה לו עליו. ושמעון תבע ללוי ולכל הבאים מכחו. ומצא קרקע ביד יהודה שלקחה מלוי ותבע אותו לפני ערכאות של גוים. ויהודה טוען יהודים אנחנו איני רוצה לטעון אלא לפני דייני ישראל, ושמעון השיב 'מכח הגוי אני בא ואתבע אותך לפני גוים וכמו שאם אני מחזיר השטר לגוי הגוי יתבעך בדיניהם כך תדין עמי'. ויהודה טוען לכשתחזיר. תשובה, תחלה אפרש לך אי מצי למימר לכי תהדר או לא. כל היכא שאינו בא לגרע כחו עתה יותר משאם היה כבר מוחזר לא מצי למימר לכי תהדר, דחזינן כאלו כבר החזירו, כי ההיא דפרק בתרא דכתובות </w:t>
      </w:r>
      <w:r w:rsidRPr="001D49D4">
        <w:rPr>
          <w:sz w:val="16"/>
          <w:szCs w:val="16"/>
          <w:rtl/>
        </w:rPr>
        <w:t xml:space="preserve">(קט:) </w:t>
      </w:r>
      <w:r w:rsidRPr="001D49D4">
        <w:rPr>
          <w:rtl/>
        </w:rPr>
        <w:t xml:space="preserve">בחד דאתי מכח ארבעה אמרינן לו יקח לו דרך במאה מנה דאלו היה ביד ארבעה לא היה יכול להוציא מידם. אבל היכא שבא להרע כחו יותר משאם היה מוחזר מצי למימר לכי תהדר, כדאיתא בפ"ק דב"ק </w:t>
      </w:r>
      <w:r w:rsidRPr="001D49D4">
        <w:rPr>
          <w:sz w:val="16"/>
          <w:szCs w:val="16"/>
          <w:rtl/>
        </w:rPr>
        <w:t xml:space="preserve">(ח.) </w:t>
      </w:r>
      <w:r w:rsidRPr="001D49D4">
        <w:rPr>
          <w:rtl/>
        </w:rPr>
        <w:t xml:space="preserve">גבי מכר כל נכסיו כלם נכנסו תחת הבעלים ומוקי לה כגון שלקח עדיות באחרונה, ופריך אי הכי ניתו כולהו וניגבו מעדית, אלא משום דאמר להו אי שתקיתו שתקיתו ואי לא מהדרנא שטרא דזיבורית למריה. ולא מצי האשה למימר לכי תהדר משום דאינו בא לגרע כחה, דאי מהדר שקלא זיבורית גם עתה בא ליתן לה זיבורית, ופריך אי הכי אפילו נזקין נמי, פי' בנזקין יאמר לו טול בינונית ואי לא מהדרנא שטרא דזיבורית למריה ושקלת זיבורית. אבל לא פריך ליה מבעל חוב דעלמא לשקול זיבורית ואי לא מהדרנא שטרא דזיבורית למריה, משום דאמר ליה לכי תהדר כיון שבא לגרע כחו. הרי הוכחתי לך דכל היכא דאינו בא לגרע כחו אמרינן דכמו הדר דמי ולא מצי אמר ליה לכי תהדר, אלא כל הדין שהיה לו אלו החזירו יש לו גם עתה. הילכך שמעון אינו צריך לתבוע יהודה בערכאות של גוים אלא ידונו לפני דייני ישראל והדיינין ידונו דין זה כאלו שמעון החזיר את השטר לראובן וראובן החזירו לגוי, דכל אותו כח שהיה לו לגוי על לוי בדינא דמלכותא יש לו לשמעון על לוי, כדאמרינן בחזקת הבתים </w:t>
      </w:r>
      <w:r w:rsidRPr="001D49D4">
        <w:rPr>
          <w:sz w:val="16"/>
          <w:szCs w:val="16"/>
          <w:rtl/>
        </w:rPr>
        <w:t xml:space="preserve">(לה:) </w:t>
      </w:r>
      <w:r w:rsidRPr="001D49D4">
        <w:rPr>
          <w:rtl/>
        </w:rPr>
        <w:t xml:space="preserve">ישראל הבא מכח גוי הרי הוא כגוי, דמה מכר לו הגוי לישראל כל זכות וכח שהיה לו בשטר זה ולא גרע כח הישראל מכח הגוי. והא דבעית למידק דלא אמרינן לגבי גוי אי צייתית ציית ואי לא מהדרנא מההיא דזבין מגוי לית בי' משום דינא דבר מצר' משום דא"ל ארי' אברחית לך ממצרך, ואמאי צריכנא להאי טעמא, לימא ליה לוקח למצרן אי שתקת שתקת ואי לא מהדרנא שטרא למוכר, אלא לגבי גוים לא מצי למימר דמהדרנא ואי בעי למהדר לא שבקינן ליה, לאו מילתא היא. דאי מכח טענה זאת באת להפקיע כח מצרנות אפילו זבן מישראל נמי שייך האי טעמא. אלא משום ועשית הטוב והישר חשבינן ללוקח כאלו הוא שלוחו של מצרן ובקנינו קנה המצרן ואין צריך קנין אחר. הילכך לא שייך במצרנות לומר טעמא דמהדרנא, הילכך צריך לטעמא דאריא אברחית לך ממצרך. אמנם לדין זה יש לו פנים אחרים שהרי שטר זה צריך להחזיר שמעון לראובן וראובן לגוי וכשיבא השטר ליד ראובן לא מצי ראובן לומר ליהודה אגבה ממך השדה שמכרתי לך או אחזיר השטר לגוי והוא יגבהו ממך דאפילו אם יגבהו הגוי ממנו יחזיר יהודה על ראובן שמכרה לו באחריות. הילכך שטר זה אינו יכול לשוב ליד הגוי ולא אמרינן ביה כמוחזר לגוי דמי לגבי קרקע שביד יהודה. הילכך שטר זה אינו יכול לשוב ליד הגוי, הילכך שמעון אין לו לתבוע את יהודה בערכאות של גוים ובדיני ישראל אין לו עליו כלום. ומה ששאלת הא דאמרינן בחזקת הבתים </w:t>
      </w:r>
      <w:r w:rsidRPr="001D49D4">
        <w:rPr>
          <w:sz w:val="16"/>
          <w:szCs w:val="16"/>
          <w:rtl/>
        </w:rPr>
        <w:t xml:space="preserve">(לה:) </w:t>
      </w:r>
      <w:r w:rsidRPr="001D49D4">
        <w:rPr>
          <w:rtl/>
        </w:rPr>
        <w:t xml:space="preserve">הבא מחמת גוי אנס אם הוא לטיבותיה דאנס מסהדינן ליה או לגריעותיה כדאיתא לגבי חזקה - מתוך מה שכתבתי לך בתשובה הראשונה תוכל לידע. גם בכל אותו דין שהיה לו לגוי על ישראל בהיותה בידו כך יש לישראל הלוקח לא פחות ולא יותר. </w:t>
      </w:r>
    </w:p>
    <w:p w14:paraId="0D948968" w14:textId="77777777" w:rsidR="001D49D4" w:rsidRPr="001D49D4" w:rsidRDefault="001D49D4" w:rsidP="0004348D">
      <w:pPr>
        <w:spacing w:before="360" w:after="240"/>
        <w:rPr>
          <w:rFonts w:ascii="Calibri" w:eastAsia="Calibri" w:hAnsi="Calibri" w:cs="Arial"/>
          <w:u w:val="single"/>
        </w:rPr>
      </w:pPr>
      <w:r w:rsidRPr="001D49D4">
        <w:rPr>
          <w:rFonts w:ascii="Calibri" w:eastAsia="Calibri" w:hAnsi="Calibri" w:cs="Arial"/>
          <w:u w:val="single"/>
          <w:rtl/>
        </w:rPr>
        <w:t>שני שטרות של סכום אחד ביום אחד או בשני ימים ומלוה ולוה אחד:</w:t>
      </w:r>
    </w:p>
    <w:p w14:paraId="16681C7F" w14:textId="77777777" w:rsidR="001D49D4" w:rsidRPr="001D49D4" w:rsidRDefault="001D49D4" w:rsidP="0004348D">
      <w:pPr>
        <w:numPr>
          <w:ilvl w:val="0"/>
          <w:numId w:val="320"/>
        </w:numPr>
        <w:spacing w:before="360" w:after="240"/>
        <w:contextualSpacing/>
        <w:rPr>
          <w:rtl/>
        </w:rPr>
      </w:pPr>
      <w:r w:rsidRPr="001D49D4">
        <w:rPr>
          <w:rtl/>
        </w:rPr>
        <w:t>רי"ו</w:t>
      </w:r>
      <w:r w:rsidRPr="001D49D4">
        <w:rPr>
          <w:sz w:val="16"/>
          <w:szCs w:val="16"/>
          <w:rtl/>
        </w:rPr>
        <w:t xml:space="preserve"> (נ"ו ח"א כב ע"ג, וכתבו הטור בסי' קד סי"ב)</w:t>
      </w:r>
      <w:r w:rsidRPr="001D49D4">
        <w:rPr>
          <w:rtl/>
        </w:rPr>
        <w:t xml:space="preserve"> בשם הרמ"ה והתוס'- שני שטרות של סכום אחד ביום אחד או בשני ימים ומלוה ולוה אחד גובה שניהם ולא אמרינן ביטל שני את הראשון</w:t>
      </w:r>
      <w:r w:rsidRPr="001D49D4">
        <w:rPr>
          <w:vertAlign w:val="superscript"/>
          <w:rtl/>
        </w:rPr>
        <w:footnoteReference w:id="4683"/>
      </w:r>
      <w:r w:rsidRPr="001D49D4">
        <w:rPr>
          <w:rtl/>
        </w:rPr>
        <w:t xml:space="preserve">. </w:t>
      </w:r>
    </w:p>
    <w:p w14:paraId="3319F314" w14:textId="77777777" w:rsidR="001D49D4" w:rsidRPr="001D49D4" w:rsidRDefault="001D49D4" w:rsidP="0004348D">
      <w:pPr>
        <w:spacing w:before="360" w:after="240"/>
        <w:rPr>
          <w:rFonts w:ascii="Arial" w:eastAsia="Calibri" w:hAnsi="Arial" w:cs="Arial"/>
          <w:b/>
          <w:bCs/>
          <w:color w:val="000000"/>
          <w:sz w:val="28"/>
          <w:szCs w:val="28"/>
          <w:u w:val="single"/>
          <w:rtl/>
        </w:rPr>
      </w:pPr>
      <w:r w:rsidRPr="001D49D4">
        <w:rPr>
          <w:rFonts w:ascii="Arial" w:eastAsia="Calibri" w:hAnsi="Arial" w:cs="Arial"/>
          <w:b/>
          <w:bCs/>
          <w:color w:val="000000"/>
          <w:sz w:val="28"/>
          <w:szCs w:val="28"/>
          <w:u w:val="single"/>
          <w:rtl/>
        </w:rPr>
        <w:t>שו"ע:</w:t>
      </w:r>
    </w:p>
    <w:p w14:paraId="058F0FED"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rtl/>
        </w:rPr>
        <w:t xml:space="preserve">מדקדקין לשון השטר ודנין על פי אותו דקדוק, ולא אמרינן האי גברא לא גמיר כולי האי והיה סבור שהדין היה בענין כך ומפני כך כתב אותו לשון. </w:t>
      </w:r>
    </w:p>
    <w:p w14:paraId="5C62996A" w14:textId="77777777" w:rsidR="001D49D4" w:rsidRPr="001D49D4" w:rsidRDefault="001D49D4" w:rsidP="0004348D">
      <w:pPr>
        <w:spacing w:before="360" w:after="240"/>
        <w:rPr>
          <w:rFonts w:ascii="Calibri" w:eastAsia="Calibri" w:hAnsi="Calibri" w:cs="Arial"/>
          <w:rtl/>
        </w:rPr>
      </w:pPr>
    </w:p>
    <w:p w14:paraId="4DA458B0" w14:textId="77777777" w:rsidR="001D49D4" w:rsidRPr="001D49D4" w:rsidRDefault="001D49D4" w:rsidP="0004348D">
      <w:pPr>
        <w:keepNext/>
        <w:keepLines/>
        <w:spacing w:before="360" w:after="240"/>
        <w:outlineLvl w:val="1"/>
        <w:rPr>
          <w:rFonts w:ascii="Cambria" w:eastAsia="Times New Roman" w:hAnsi="Cambria" w:cs="Arial"/>
          <w:bCs/>
          <w:color w:val="548DD4" w:themeColor="text2" w:themeTint="99"/>
          <w:sz w:val="26"/>
          <w:szCs w:val="26"/>
          <w:rtl/>
        </w:rPr>
      </w:pPr>
      <w:bookmarkStart w:id="635" w:name="_Toc24884061"/>
      <w:r w:rsidRPr="001D49D4">
        <w:rPr>
          <w:rFonts w:ascii="Cambria" w:eastAsia="Times New Roman" w:hAnsi="Cambria" w:cs="Arial"/>
          <w:bCs/>
          <w:color w:val="548DD4" w:themeColor="text2" w:themeTint="99"/>
          <w:sz w:val="26"/>
          <w:szCs w:val="26"/>
          <w:rtl/>
        </w:rPr>
        <w:t>סעיף טז: אזלינן בתר לשון השטר או בתר הכוונה.</w:t>
      </w:r>
      <w:bookmarkEnd w:id="635"/>
    </w:p>
    <w:p w14:paraId="34EB4855" w14:textId="77777777" w:rsidR="001D49D4" w:rsidRPr="001D49D4" w:rsidRDefault="001D49D4" w:rsidP="0004348D">
      <w:pPr>
        <w:spacing w:before="360" w:after="240"/>
        <w:rPr>
          <w:rFonts w:ascii="Calibri" w:eastAsia="Calibri" w:hAnsi="Calibri" w:cs="Arial"/>
          <w:u w:val="single"/>
          <w:rtl/>
        </w:rPr>
      </w:pPr>
      <w:r w:rsidRPr="001D49D4">
        <w:rPr>
          <w:rFonts w:ascii="Calibri" w:eastAsia="Calibri" w:hAnsi="Calibri" w:cs="Arial"/>
          <w:u w:val="single"/>
          <w:rtl/>
        </w:rPr>
        <w:t>האם אזלינן בתר לשון השטר או בתר הכוונה:</w:t>
      </w:r>
    </w:p>
    <w:p w14:paraId="4142AA0A" w14:textId="77777777" w:rsidR="001D49D4" w:rsidRPr="001D49D4" w:rsidRDefault="001D49D4" w:rsidP="0004348D">
      <w:pPr>
        <w:numPr>
          <w:ilvl w:val="0"/>
          <w:numId w:val="320"/>
        </w:numPr>
        <w:spacing w:before="360" w:after="240"/>
        <w:contextualSpacing/>
        <w:rPr>
          <w:rtl/>
        </w:rPr>
      </w:pPr>
      <w:r w:rsidRPr="001D49D4">
        <w:rPr>
          <w:rtl/>
        </w:rPr>
        <w:t xml:space="preserve">רי"ו </w:t>
      </w:r>
      <w:r w:rsidRPr="001D49D4">
        <w:rPr>
          <w:sz w:val="16"/>
          <w:szCs w:val="16"/>
          <w:rtl/>
        </w:rPr>
        <w:t>(מישרים נכ"ג ח"י סג ע"ד)</w:t>
      </w:r>
      <w:r w:rsidRPr="001D49D4">
        <w:rPr>
          <w:rtl/>
        </w:rPr>
        <w:t>- כלל גדול בידינו, בכל תנאי שאדם מתנה עם חבירו אין להלך אחר לשון הכתוב אלא אחר הכוונה.</w:t>
      </w:r>
      <w:r w:rsidRPr="001D49D4">
        <w:rPr>
          <w:color w:val="E36C0A" w:themeColor="accent6" w:themeShade="BF"/>
          <w:rtl/>
        </w:rPr>
        <w:t xml:space="preserve"> (וכ"כ בשו"ע)</w:t>
      </w:r>
    </w:p>
    <w:p w14:paraId="35820E36" w14:textId="77777777" w:rsidR="001D49D4" w:rsidRPr="001D49D4" w:rsidRDefault="001D49D4" w:rsidP="0004348D">
      <w:pPr>
        <w:spacing w:before="360" w:after="240"/>
        <w:rPr>
          <w:rFonts w:ascii="Calibri" w:eastAsia="Calibri" w:hAnsi="Calibri" w:cs="Arial"/>
          <w:u w:val="single"/>
        </w:rPr>
      </w:pPr>
      <w:r w:rsidRPr="001D49D4">
        <w:rPr>
          <w:rFonts w:ascii="Calibri" w:eastAsia="Calibri" w:hAnsi="Calibri" w:cs="Arial"/>
          <w:u w:val="single"/>
          <w:rtl/>
        </w:rPr>
        <w:t>'כל מילתא דלא צריך לטפויי מילתא אתא'</w:t>
      </w:r>
      <w:r w:rsidRPr="001D49D4">
        <w:rPr>
          <w:rFonts w:ascii="Calibri" w:eastAsia="Calibri" w:hAnsi="Calibri" w:cs="Arial"/>
          <w:sz w:val="16"/>
          <w:szCs w:val="16"/>
          <w:u w:val="single"/>
          <w:rtl/>
        </w:rPr>
        <w:t xml:space="preserve"> (ב"ב קלח:)</w:t>
      </w:r>
      <w:r w:rsidRPr="001D49D4">
        <w:rPr>
          <w:rFonts w:ascii="Calibri" w:eastAsia="Calibri" w:hAnsi="Calibri" w:cs="Arial"/>
          <w:u w:val="single"/>
          <w:rtl/>
        </w:rPr>
        <w:t xml:space="preserve"> – מתי אומרים כן:</w:t>
      </w:r>
    </w:p>
    <w:p w14:paraId="5967F985" w14:textId="77777777" w:rsidR="001D49D4" w:rsidRPr="001D49D4" w:rsidRDefault="001D49D4" w:rsidP="0004348D">
      <w:pPr>
        <w:numPr>
          <w:ilvl w:val="0"/>
          <w:numId w:val="320"/>
        </w:numPr>
        <w:spacing w:before="360" w:after="240"/>
        <w:contextualSpacing/>
        <w:rPr>
          <w:rtl/>
        </w:rPr>
      </w:pPr>
      <w:r w:rsidRPr="001D49D4">
        <w:rPr>
          <w:rtl/>
        </w:rPr>
        <w:t xml:space="preserve">רשב"א </w:t>
      </w:r>
      <w:r w:rsidRPr="001D49D4">
        <w:rPr>
          <w:sz w:val="16"/>
          <w:szCs w:val="16"/>
          <w:rtl/>
        </w:rPr>
        <w:t>(ח"ב סי' ער)</w:t>
      </w:r>
      <w:r w:rsidRPr="001D49D4">
        <w:rPr>
          <w:rtl/>
        </w:rPr>
        <w:t xml:space="preserve">- שאלת, באיזה ענין ראוי להשתמש במימרא </w:t>
      </w:r>
      <w:r w:rsidRPr="001D49D4">
        <w:rPr>
          <w:sz w:val="16"/>
          <w:szCs w:val="16"/>
          <w:rtl/>
        </w:rPr>
        <w:t xml:space="preserve">(ב"ב קלח:) </w:t>
      </w:r>
      <w:r w:rsidRPr="001D49D4">
        <w:rPr>
          <w:rtl/>
        </w:rPr>
        <w:t>דכל מילתא דלא צריך לטפויי מילתא אתא. תשובה, בזה אין כח בידינו לדון בו בדמיונות אלא מקום שאמרו אמרו, במקום שלא אמרו - לא ידענו מה, ואין כח בידינו לדון בו.</w:t>
      </w:r>
    </w:p>
    <w:p w14:paraId="04DC3D3C" w14:textId="77777777" w:rsidR="001D49D4" w:rsidRPr="001D49D4" w:rsidRDefault="001D49D4" w:rsidP="0004348D">
      <w:pPr>
        <w:spacing w:before="360" w:after="240"/>
        <w:rPr>
          <w:rFonts w:ascii="Calibri" w:eastAsia="Calibri" w:hAnsi="Calibri" w:cs="Arial"/>
          <w:u w:val="single"/>
        </w:rPr>
      </w:pPr>
      <w:r w:rsidRPr="001D49D4">
        <w:rPr>
          <w:rFonts w:ascii="Calibri" w:eastAsia="Calibri" w:hAnsi="Calibri" w:cs="Arial"/>
          <w:u w:val="single"/>
          <w:rtl/>
        </w:rPr>
        <w:t>אב שנתן לבנו כל נכסיו, ונדר לו בנו סכום, ועשה לו אביו שטר מחילה לעבר ולעתיד, וכתב לו בנו את הסכום הנ"ל:</w:t>
      </w:r>
    </w:p>
    <w:p w14:paraId="1025D914" w14:textId="77777777" w:rsidR="001D49D4" w:rsidRPr="001D49D4" w:rsidRDefault="001D49D4" w:rsidP="0004348D">
      <w:pPr>
        <w:numPr>
          <w:ilvl w:val="0"/>
          <w:numId w:val="320"/>
        </w:numPr>
        <w:spacing w:before="360" w:after="240"/>
        <w:contextualSpacing/>
        <w:rPr>
          <w:rtl/>
        </w:rPr>
      </w:pPr>
      <w:r w:rsidRPr="001D49D4">
        <w:rPr>
          <w:rtl/>
        </w:rPr>
        <w:t xml:space="preserve">ר"ן </w:t>
      </w:r>
      <w:r w:rsidRPr="001D49D4">
        <w:rPr>
          <w:sz w:val="16"/>
          <w:szCs w:val="16"/>
          <w:rtl/>
        </w:rPr>
        <w:t>(סי' כג)</w:t>
      </w:r>
      <w:r w:rsidRPr="001D49D4">
        <w:rPr>
          <w:rtl/>
        </w:rPr>
        <w:t xml:space="preserve">- ראובן נתן לחנוך בנו כל נכסיו בעת שהשיאו אשה, וחנוך נדר לאביו סך ידוע. ואח"כ כתב ראובן לחנוך מחילה כללית מכל שטר שנעשה או יעשה שיהיה נגד המתנה והמחילה הנזכר, ואח"כ עשה חנוך לאביו שטר חיוב מסך הממון שנדר לו ומשכן לאביו כל הבתים שנתן לו אביו בעד החיוב הזה, ובא ראובן לתבוע הסך מבנו, ודוחה אותו מכח המחילה. תשובה, נראה לי שהדין עם ראובן דהא קיי"ל </w:t>
      </w:r>
      <w:r w:rsidRPr="001D49D4">
        <w:rPr>
          <w:sz w:val="16"/>
          <w:szCs w:val="16"/>
          <w:rtl/>
        </w:rPr>
        <w:t>(ב"מ לג:)</w:t>
      </w:r>
      <w:r w:rsidRPr="001D49D4">
        <w:rPr>
          <w:rtl/>
        </w:rPr>
        <w:t xml:space="preserve"> אין אדם מקנה דבר שלא בא לעולם, ואם כן אינו יכול למחול דבר שלא בא לעולם, הלכך בנדון זה כיון שבתחלה לא נתחייב לו דבר שתחול מחילה עליו שהרי כתוב בלשון השאלה שחנוך נדר, ולפי הנראה זה היה בדיבור בעלמא, ואח"כ נתחייב מחמת לפי שרצה לעמוד בדיבורו, נמצא שעכשיו מתחיל ואין המחילה הקודמת מפקיעתו כלל.</w:t>
      </w:r>
    </w:p>
    <w:p w14:paraId="1705832C" w14:textId="77777777" w:rsidR="001D49D4" w:rsidRPr="001D49D4" w:rsidRDefault="001D49D4" w:rsidP="0004348D">
      <w:pPr>
        <w:spacing w:before="360" w:after="240"/>
        <w:rPr>
          <w:rFonts w:ascii="Arial" w:eastAsia="Calibri" w:hAnsi="Arial" w:cs="Arial"/>
          <w:b/>
          <w:bCs/>
          <w:color w:val="000000"/>
          <w:sz w:val="28"/>
          <w:szCs w:val="28"/>
          <w:u w:val="single"/>
          <w:rtl/>
        </w:rPr>
      </w:pPr>
      <w:r w:rsidRPr="001D49D4">
        <w:rPr>
          <w:rFonts w:ascii="Arial" w:eastAsia="Calibri" w:hAnsi="Arial" w:cs="Arial"/>
          <w:b/>
          <w:bCs/>
          <w:color w:val="000000"/>
          <w:sz w:val="28"/>
          <w:szCs w:val="28"/>
          <w:u w:val="single"/>
          <w:rtl/>
        </w:rPr>
        <w:t>שו"ע:</w:t>
      </w:r>
    </w:p>
    <w:p w14:paraId="4985FD95"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rtl/>
        </w:rPr>
        <w:t>יש מי שאומר שתנאי שאדם מתנה עם חבירו אין הולכים אחר הלשון הכתוב, אלא אחר הכוונה</w:t>
      </w:r>
      <w:r w:rsidRPr="001D49D4">
        <w:rPr>
          <w:rFonts w:ascii="Calibri" w:eastAsia="Calibri" w:hAnsi="Calibri" w:cs="Arial"/>
          <w:vertAlign w:val="superscript"/>
          <w:rtl/>
        </w:rPr>
        <w:footnoteReference w:id="4684"/>
      </w:r>
      <w:r w:rsidRPr="001D49D4">
        <w:rPr>
          <w:rFonts w:ascii="Calibri" w:eastAsia="Calibri" w:hAnsi="Calibri" w:cs="Arial"/>
          <w:rtl/>
        </w:rPr>
        <w:t>.</w:t>
      </w:r>
    </w:p>
    <w:p w14:paraId="345E2BB9" w14:textId="77777777" w:rsidR="001D49D4" w:rsidRPr="001D49D4" w:rsidRDefault="001D49D4" w:rsidP="0004348D">
      <w:pPr>
        <w:spacing w:before="360" w:after="240"/>
        <w:rPr>
          <w:rFonts w:ascii="Calibri" w:eastAsia="Calibri" w:hAnsi="Calibri" w:cs="Arial"/>
          <w:rtl/>
        </w:rPr>
      </w:pPr>
    </w:p>
    <w:p w14:paraId="1BC035F2" w14:textId="77777777" w:rsidR="001D49D4" w:rsidRPr="001D49D4" w:rsidRDefault="001D49D4" w:rsidP="0004348D">
      <w:pPr>
        <w:bidi w:val="0"/>
        <w:spacing w:before="360" w:after="240"/>
        <w:rPr>
          <w:rFonts w:ascii="Cambria" w:eastAsia="Times New Roman" w:hAnsi="Cambria" w:cs="Arial"/>
          <w:b/>
          <w:bCs/>
          <w:color w:val="365F91" w:themeColor="accent1" w:themeShade="BF"/>
          <w:sz w:val="28"/>
          <w:szCs w:val="28"/>
          <w:rtl/>
        </w:rPr>
        <w:sectPr w:rsidR="001D49D4" w:rsidRPr="001D49D4">
          <w:headerReference w:type="default" r:id="rId70"/>
          <w:footnotePr>
            <w:numRestart w:val="eachPage"/>
          </w:footnotePr>
          <w:pgSz w:w="11906" w:h="16838"/>
          <w:pgMar w:top="720" w:right="1134" w:bottom="720" w:left="1134" w:header="0" w:footer="0" w:gutter="0"/>
          <w:cols w:space="720"/>
          <w:bidi/>
          <w:rtlGutter/>
        </w:sectPr>
      </w:pPr>
    </w:p>
    <w:p w14:paraId="37E2414F" w14:textId="77777777" w:rsidR="001D49D4" w:rsidRPr="001D49D4" w:rsidRDefault="001D49D4" w:rsidP="0004348D">
      <w:pPr>
        <w:keepNext/>
        <w:keepLines/>
        <w:spacing w:before="360" w:after="240"/>
        <w:outlineLvl w:val="0"/>
        <w:rPr>
          <w:rFonts w:ascii="Cambria" w:eastAsia="Times New Roman" w:hAnsi="Cambria" w:cs="Arial"/>
          <w:b/>
          <w:bCs/>
          <w:color w:val="365F91" w:themeColor="accent1" w:themeShade="BF"/>
          <w:sz w:val="28"/>
          <w:szCs w:val="28"/>
          <w:rtl/>
        </w:rPr>
      </w:pPr>
      <w:bookmarkStart w:id="636" w:name="_Toc24884062"/>
      <w:r w:rsidRPr="001D49D4">
        <w:rPr>
          <w:rFonts w:ascii="Cambria" w:eastAsia="Times New Roman" w:hAnsi="Cambria" w:cs="Arial"/>
          <w:b/>
          <w:bCs/>
          <w:color w:val="365F91" w:themeColor="accent1" w:themeShade="BF"/>
          <w:sz w:val="28"/>
          <w:szCs w:val="28"/>
          <w:rtl/>
        </w:rPr>
        <w:t>סימן סב: דין אשה הנושאת ונותנת בתוך הבית, ובו סעיף אחד.</w:t>
      </w:r>
      <w:bookmarkEnd w:id="636"/>
      <w:r w:rsidRPr="001D49D4">
        <w:rPr>
          <w:rFonts w:ascii="Cambria" w:eastAsia="Times New Roman" w:hAnsi="Cambria" w:cs="Arial"/>
          <w:b/>
          <w:bCs/>
          <w:color w:val="365F91" w:themeColor="accent1" w:themeShade="BF"/>
          <w:sz w:val="28"/>
          <w:szCs w:val="28"/>
          <w:rtl/>
        </w:rPr>
        <w:t xml:space="preserve"> </w:t>
      </w:r>
    </w:p>
    <w:p w14:paraId="7DF0369B" w14:textId="77777777" w:rsidR="001D49D4" w:rsidRPr="001D49D4" w:rsidRDefault="001D49D4" w:rsidP="0004348D">
      <w:pPr>
        <w:keepNext/>
        <w:keepLines/>
        <w:spacing w:before="360" w:after="240"/>
        <w:outlineLvl w:val="1"/>
        <w:rPr>
          <w:rFonts w:ascii="Cambria" w:eastAsia="Times New Roman" w:hAnsi="Cambria" w:cs="Arial"/>
          <w:bCs/>
          <w:color w:val="548DD4" w:themeColor="text2" w:themeTint="99"/>
          <w:sz w:val="26"/>
          <w:szCs w:val="26"/>
          <w:rtl/>
        </w:rPr>
      </w:pPr>
      <w:bookmarkStart w:id="637" w:name="_Toc24884063"/>
      <w:r w:rsidRPr="001D49D4">
        <w:rPr>
          <w:rFonts w:ascii="Cambria" w:eastAsia="Times New Roman" w:hAnsi="Cambria" w:cs="Arial"/>
          <w:bCs/>
          <w:color w:val="548DD4" w:themeColor="text2" w:themeTint="99"/>
          <w:sz w:val="26"/>
          <w:szCs w:val="26"/>
          <w:rtl/>
        </w:rPr>
        <w:t>סעיף א</w:t>
      </w:r>
      <w:bookmarkEnd w:id="637"/>
    </w:p>
    <w:p w14:paraId="036BE062"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b/>
          <w:bCs/>
          <w:rtl/>
        </w:rPr>
        <w:t xml:space="preserve">בבא בתרא </w:t>
      </w:r>
      <w:r w:rsidRPr="001D49D4">
        <w:rPr>
          <w:rFonts w:ascii="Calibri" w:eastAsia="Calibri" w:hAnsi="Calibri" w:cs="Arial"/>
          <w:b/>
          <w:bCs/>
          <w:sz w:val="16"/>
          <w:szCs w:val="16"/>
          <w:rtl/>
        </w:rPr>
        <w:t>(פרק חזקת)</w:t>
      </w:r>
      <w:r w:rsidRPr="001D49D4">
        <w:rPr>
          <w:rFonts w:ascii="Calibri" w:eastAsia="Calibri" w:hAnsi="Calibri" w:cs="Arial"/>
          <w:b/>
          <w:bCs/>
          <w:rtl/>
        </w:rPr>
        <w:t xml:space="preserve"> נב</w:t>
      </w:r>
      <w:r w:rsidRPr="001D49D4">
        <w:rPr>
          <w:rFonts w:ascii="Calibri" w:eastAsia="Calibri" w:hAnsi="Calibri" w:cs="Arial"/>
          <w:vertAlign w:val="superscript"/>
          <w:rtl/>
        </w:rPr>
        <w:footnoteReference w:id="4685"/>
      </w:r>
      <w:r w:rsidRPr="001D49D4">
        <w:rPr>
          <w:rFonts w:ascii="Calibri" w:eastAsia="Calibri" w:hAnsi="Calibri" w:cs="Arial"/>
          <w:b/>
          <w:bCs/>
          <w:rtl/>
        </w:rPr>
        <w:t xml:space="preserve"> ע"א:</w:t>
      </w:r>
      <w:r w:rsidRPr="001D49D4">
        <w:rPr>
          <w:rFonts w:ascii="Calibri" w:eastAsia="Calibri" w:hAnsi="Calibri" w:cs="Arial"/>
          <w:rtl/>
        </w:rPr>
        <w:t xml:space="preserve"> איתמר: אחד מן האחין שהיה נושא ונותן בתוך הבית, והיו אונות</w:t>
      </w:r>
      <w:r w:rsidRPr="001D49D4">
        <w:rPr>
          <w:rFonts w:ascii="Calibri" w:eastAsia="Calibri" w:hAnsi="Calibri" w:cs="Arial"/>
          <w:vertAlign w:val="superscript"/>
          <w:rtl/>
        </w:rPr>
        <w:footnoteReference w:id="4686"/>
      </w:r>
      <w:r w:rsidRPr="001D49D4">
        <w:rPr>
          <w:rFonts w:ascii="Calibri" w:eastAsia="Calibri" w:hAnsi="Calibri" w:cs="Arial"/>
          <w:rtl/>
        </w:rPr>
        <w:t xml:space="preserve"> ושטרות</w:t>
      </w:r>
      <w:r w:rsidRPr="001D49D4">
        <w:rPr>
          <w:rFonts w:ascii="Calibri" w:eastAsia="Calibri" w:hAnsi="Calibri" w:cs="Arial"/>
          <w:vertAlign w:val="superscript"/>
          <w:rtl/>
        </w:rPr>
        <w:footnoteReference w:id="4687"/>
      </w:r>
      <w:r w:rsidRPr="001D49D4">
        <w:rPr>
          <w:rFonts w:ascii="Calibri" w:eastAsia="Calibri" w:hAnsi="Calibri" w:cs="Arial"/>
          <w:rtl/>
        </w:rPr>
        <w:t xml:space="preserve"> יוצאין על שמו, ואמר: שלי הם, שנפלו לי מבית אבי אמא. </w:t>
      </w:r>
      <w:r w:rsidRPr="001D49D4">
        <w:rPr>
          <w:rFonts w:ascii="Calibri" w:eastAsia="Calibri" w:hAnsi="Calibri" w:cs="Arial"/>
          <w:u w:val="single"/>
          <w:rtl/>
        </w:rPr>
        <w:t>אמר רב</w:t>
      </w:r>
      <w:r w:rsidRPr="001D49D4">
        <w:rPr>
          <w:rFonts w:ascii="Calibri" w:eastAsia="Calibri" w:hAnsi="Calibri" w:cs="Arial"/>
          <w:rtl/>
        </w:rPr>
        <w:t>: עליו להביא ראיה</w:t>
      </w:r>
      <w:r w:rsidRPr="001D49D4">
        <w:rPr>
          <w:rFonts w:ascii="Calibri" w:eastAsia="Calibri" w:hAnsi="Calibri" w:cs="Arial"/>
          <w:vertAlign w:val="superscript"/>
          <w:rtl/>
        </w:rPr>
        <w:footnoteReference w:id="4688"/>
      </w:r>
      <w:r w:rsidRPr="001D49D4">
        <w:rPr>
          <w:rFonts w:ascii="Calibri" w:eastAsia="Calibri" w:hAnsi="Calibri" w:cs="Arial"/>
          <w:rtl/>
        </w:rPr>
        <w:t xml:space="preserve">. </w:t>
      </w:r>
      <w:r w:rsidRPr="001D49D4">
        <w:rPr>
          <w:rFonts w:ascii="Calibri" w:eastAsia="Calibri" w:hAnsi="Calibri" w:cs="Arial"/>
          <w:u w:val="single"/>
          <w:rtl/>
        </w:rPr>
        <w:t>ושמואל אמר</w:t>
      </w:r>
      <w:r w:rsidRPr="001D49D4">
        <w:rPr>
          <w:rFonts w:ascii="Calibri" w:eastAsia="Calibri" w:hAnsi="Calibri" w:cs="Arial"/>
          <w:rtl/>
        </w:rPr>
        <w:t xml:space="preserve">: על האחין להביא ראיה. </w:t>
      </w:r>
      <w:r w:rsidRPr="001D49D4">
        <w:rPr>
          <w:rFonts w:ascii="Calibri" w:eastAsia="Calibri" w:hAnsi="Calibri" w:cs="Arial"/>
          <w:u w:val="single"/>
          <w:rtl/>
        </w:rPr>
        <w:t>אמר שמואל</w:t>
      </w:r>
      <w:r w:rsidRPr="001D49D4">
        <w:rPr>
          <w:rFonts w:ascii="Calibri" w:eastAsia="Calibri" w:hAnsi="Calibri" w:cs="Arial"/>
          <w:rtl/>
        </w:rPr>
        <w:t>: מודה לי אבא</w:t>
      </w:r>
      <w:r w:rsidRPr="001D49D4">
        <w:rPr>
          <w:rFonts w:ascii="Calibri" w:eastAsia="Calibri" w:hAnsi="Calibri" w:cs="Arial"/>
          <w:vertAlign w:val="superscript"/>
          <w:rtl/>
        </w:rPr>
        <w:footnoteReference w:id="4689"/>
      </w:r>
      <w:r w:rsidRPr="001D49D4">
        <w:rPr>
          <w:rFonts w:ascii="Calibri" w:eastAsia="Calibri" w:hAnsi="Calibri" w:cs="Arial"/>
          <w:rtl/>
        </w:rPr>
        <w:t xml:space="preserve">, שאם מת - על האחין להביא ראיה. </w:t>
      </w:r>
      <w:r w:rsidRPr="001D49D4">
        <w:rPr>
          <w:rFonts w:ascii="Calibri" w:eastAsia="Calibri" w:hAnsi="Calibri" w:cs="Arial"/>
          <w:u w:val="single"/>
          <w:rtl/>
        </w:rPr>
        <w:t>מתקיף לה רב פפא</w:t>
      </w:r>
      <w:r w:rsidRPr="001D49D4">
        <w:rPr>
          <w:rFonts w:ascii="Calibri" w:eastAsia="Calibri" w:hAnsi="Calibri" w:cs="Arial"/>
          <w:rtl/>
        </w:rPr>
        <w:t xml:space="preserve">: כלום טענינן להו ליתמי מידי דלא טען להו אבוהון?... </w:t>
      </w:r>
      <w:r w:rsidRPr="001D49D4">
        <w:rPr>
          <w:rFonts w:ascii="Calibri" w:eastAsia="Calibri" w:hAnsi="Calibri" w:cs="Arial"/>
          <w:sz w:val="14"/>
          <w:szCs w:val="14"/>
          <w:rtl/>
        </w:rPr>
        <w:t>(נב:)</w:t>
      </w:r>
      <w:r w:rsidRPr="001D49D4">
        <w:rPr>
          <w:rFonts w:ascii="Calibri" w:eastAsia="Calibri" w:hAnsi="Calibri" w:cs="Arial"/>
          <w:rtl/>
        </w:rPr>
        <w:t xml:space="preserve"> קשיא. </w:t>
      </w:r>
      <w:r w:rsidRPr="001D49D4">
        <w:rPr>
          <w:rFonts w:ascii="Calibri" w:eastAsia="Calibri" w:hAnsi="Calibri" w:cs="Arial"/>
          <w:u w:val="single"/>
          <w:rtl/>
        </w:rPr>
        <w:t>אמר רב חסדא</w:t>
      </w:r>
      <w:r w:rsidRPr="001D49D4">
        <w:rPr>
          <w:rFonts w:ascii="Calibri" w:eastAsia="Calibri" w:hAnsi="Calibri" w:cs="Arial"/>
          <w:rtl/>
        </w:rPr>
        <w:t>: לא שנו</w:t>
      </w:r>
      <w:r w:rsidRPr="001D49D4">
        <w:rPr>
          <w:rFonts w:ascii="Calibri" w:eastAsia="Calibri" w:hAnsi="Calibri" w:cs="Arial"/>
          <w:vertAlign w:val="superscript"/>
          <w:rtl/>
        </w:rPr>
        <w:footnoteReference w:id="4690"/>
      </w:r>
      <w:r w:rsidRPr="001D49D4">
        <w:rPr>
          <w:rFonts w:ascii="Calibri" w:eastAsia="Calibri" w:hAnsi="Calibri" w:cs="Arial"/>
          <w:rtl/>
        </w:rPr>
        <w:t xml:space="preserve"> אלא דאין חלוקין</w:t>
      </w:r>
      <w:r w:rsidRPr="001D49D4">
        <w:rPr>
          <w:rFonts w:ascii="Calibri" w:eastAsia="Calibri" w:hAnsi="Calibri" w:cs="Arial"/>
          <w:vertAlign w:val="superscript"/>
          <w:rtl/>
        </w:rPr>
        <w:footnoteReference w:id="4691"/>
      </w:r>
      <w:r w:rsidRPr="001D49D4">
        <w:rPr>
          <w:rFonts w:ascii="Calibri" w:eastAsia="Calibri" w:hAnsi="Calibri" w:cs="Arial"/>
          <w:rtl/>
        </w:rPr>
        <w:t xml:space="preserve"> בעיסתן, אבל חלוקים בעיסתן - אימור מעיסתו קימץ</w:t>
      </w:r>
      <w:r w:rsidRPr="001D49D4">
        <w:rPr>
          <w:rFonts w:ascii="Calibri" w:eastAsia="Calibri" w:hAnsi="Calibri" w:cs="Arial"/>
          <w:vertAlign w:val="superscript"/>
          <w:rtl/>
        </w:rPr>
        <w:footnoteReference w:id="4692"/>
      </w:r>
      <w:r w:rsidRPr="001D49D4">
        <w:rPr>
          <w:rFonts w:ascii="Calibri" w:eastAsia="Calibri" w:hAnsi="Calibri" w:cs="Arial"/>
          <w:rtl/>
        </w:rPr>
        <w:t xml:space="preserve">. ראיה במאי? </w:t>
      </w:r>
      <w:r w:rsidRPr="001D49D4">
        <w:rPr>
          <w:rFonts w:ascii="Calibri" w:eastAsia="Calibri" w:hAnsi="Calibri" w:cs="Arial"/>
          <w:u w:val="single"/>
          <w:rtl/>
        </w:rPr>
        <w:t>רבה אמר</w:t>
      </w:r>
      <w:r w:rsidRPr="001D49D4">
        <w:rPr>
          <w:rFonts w:ascii="Calibri" w:eastAsia="Calibri" w:hAnsi="Calibri" w:cs="Arial"/>
          <w:rtl/>
        </w:rPr>
        <w:t>: ראיה בעדים</w:t>
      </w:r>
      <w:r w:rsidRPr="001D49D4">
        <w:rPr>
          <w:rFonts w:ascii="Calibri" w:eastAsia="Calibri" w:hAnsi="Calibri" w:cs="Arial"/>
          <w:vertAlign w:val="superscript"/>
          <w:rtl/>
        </w:rPr>
        <w:footnoteReference w:id="4693"/>
      </w:r>
      <w:r w:rsidRPr="001D49D4">
        <w:rPr>
          <w:rFonts w:ascii="Calibri" w:eastAsia="Calibri" w:hAnsi="Calibri" w:cs="Arial"/>
          <w:rtl/>
        </w:rPr>
        <w:t xml:space="preserve">. </w:t>
      </w:r>
      <w:r w:rsidRPr="001D49D4">
        <w:rPr>
          <w:rFonts w:ascii="Calibri" w:eastAsia="Calibri" w:hAnsi="Calibri" w:cs="Arial"/>
          <w:u w:val="single"/>
          <w:rtl/>
        </w:rPr>
        <w:t>רב ששת אמר</w:t>
      </w:r>
      <w:r w:rsidRPr="001D49D4">
        <w:rPr>
          <w:rFonts w:ascii="Calibri" w:eastAsia="Calibri" w:hAnsi="Calibri" w:cs="Arial"/>
          <w:rtl/>
        </w:rPr>
        <w:t>: ראיה בקיום השטר</w:t>
      </w:r>
      <w:r w:rsidRPr="001D49D4">
        <w:rPr>
          <w:rFonts w:ascii="Calibri" w:eastAsia="Calibri" w:hAnsi="Calibri" w:cs="Arial"/>
          <w:vertAlign w:val="superscript"/>
          <w:rtl/>
        </w:rPr>
        <w:footnoteReference w:id="4694"/>
      </w:r>
      <w:r w:rsidRPr="001D49D4">
        <w:rPr>
          <w:rFonts w:ascii="Calibri" w:eastAsia="Calibri" w:hAnsi="Calibri" w:cs="Arial"/>
          <w:rtl/>
        </w:rPr>
        <w:t xml:space="preserve">. </w:t>
      </w:r>
      <w:r w:rsidRPr="001D49D4">
        <w:rPr>
          <w:rFonts w:ascii="Calibri" w:eastAsia="Calibri" w:hAnsi="Calibri" w:cs="Arial"/>
          <w:u w:val="single"/>
          <w:rtl/>
        </w:rPr>
        <w:t>אמר ליה רבא לרב נחמן</w:t>
      </w:r>
      <w:r w:rsidRPr="001D49D4">
        <w:rPr>
          <w:rFonts w:ascii="Calibri" w:eastAsia="Calibri" w:hAnsi="Calibri" w:cs="Arial"/>
          <w:rtl/>
        </w:rPr>
        <w:t xml:space="preserve">: הא רב והא שמואל, הא רבה והא רב ששת, מר כמאן סבירא ליה? </w:t>
      </w:r>
      <w:r w:rsidRPr="001D49D4">
        <w:rPr>
          <w:rFonts w:ascii="Calibri" w:eastAsia="Calibri" w:hAnsi="Calibri" w:cs="Arial"/>
          <w:u w:val="single"/>
          <w:rtl/>
        </w:rPr>
        <w:t>א"ל</w:t>
      </w:r>
      <w:r w:rsidRPr="001D49D4">
        <w:rPr>
          <w:rFonts w:ascii="Calibri" w:eastAsia="Calibri" w:hAnsi="Calibri" w:cs="Arial"/>
          <w:rtl/>
        </w:rPr>
        <w:t xml:space="preserve">: אנא מתניתא ידענא, דתניא: אחד מן האחין שהיה נותן ונושא בתוך הבית, והיו אונות ושטרות יוצאין על שמו, ואמר שלי הן שנפלו לי מבית אבי אמא - עליו להביא ראיה. וכן האשה שהיא נושאת ונותנת בתוך הבית, והיו אונות ושטרות יוצאין על שמה, ואמרה שלי הן, שנפלו לי מבית אבי אבא או מבית אבי אמא - עליה להביא ראיה. מאי וכן? מהו דתימא: אשה כיון דשביחא לה מילתא, דאמרי קא טרחא קמי יתמי - לא גזלה מיתמי, קא משמע לן. </w:t>
      </w:r>
      <w:r w:rsidRPr="001D49D4">
        <w:rPr>
          <w:rFonts w:ascii="Calibri" w:eastAsia="Calibri" w:hAnsi="Calibri" w:cs="Arial"/>
          <w:sz w:val="16"/>
          <w:szCs w:val="16"/>
          <w:rtl/>
        </w:rPr>
        <w:t>(ופסקו הרי"ף (כח.) והרא"ש (סי' נח) כרב, משום דרב נחמן דהלכתא כוותיה בדיני (כתובות יג.) קאי כרב, ועוד דתניא כוותיה, וכ"פ הרמב"ם פ"ט מהל' נחלות (ה"ז), ופסקו גם כן כדרבה דאמר ראיה בעדים. וכן פסקו גם כן כדשמואל דאמר ומודה לי אבא שאם מת על האחים להביא ראיה, ואע"ג דאתקפיה רב פפא ואסיקנא בקשיא הרי כתב ר"ח בשם הגאונים דלא דחינן מימרא בקשיא אלא בתיובתא, דקשיא פירושו קשיא לן דלא ידעינן לתרוצי האי מימרא אבל המימרא מימרא תריצא היא. וכתב הריב"ש (סי' קסט) שכן הסכים הרשב"א (שם ובד"ה ולענין) וטעמא משום דאע"ג דבעלמא לא טענינן ליתמי מאי דלא מצי טעין אבוהון, הכא כיון דאפשר דאילו אבוהון הוה קיים הוה מייתי ראיה אלא דהני לא ידעי, מאן ידע במילתא דאבוהון? וגם השטר יוצא בשמו - משום הכי על האחים להביא ראיה עכ"ל. וכיוצא בזה הם דברי התוס' (ד"ה ומודה) שכתבו דהכא דוקא קאמר רב על האחין להביא ראיה דכיון דיוצאים על שמו מוכחא מלתא דשלו הן, ובחייו דוקא קאמר רב דעליו להביא ראיה, דאם איתא דנפלו לו מבית אבי אמו היו לו עדים בדבר, אבל בבנו דליכא למימר הכי סמכינן אמאי דיוצאין על שמו, ב"י)</w:t>
      </w:r>
      <w:r w:rsidRPr="001D49D4">
        <w:rPr>
          <w:rFonts w:ascii="Calibri" w:eastAsia="Calibri" w:hAnsi="Calibri" w:cs="Arial"/>
          <w:rtl/>
        </w:rPr>
        <w:t xml:space="preserve"> </w:t>
      </w:r>
    </w:p>
    <w:p w14:paraId="5C8BBDAE" w14:textId="77777777" w:rsidR="001D49D4" w:rsidRPr="001D49D4" w:rsidRDefault="001D49D4" w:rsidP="0004348D">
      <w:pPr>
        <w:spacing w:before="360" w:after="240"/>
        <w:rPr>
          <w:rFonts w:ascii="Calibri" w:eastAsia="Calibri" w:hAnsi="Calibri" w:cs="Arial"/>
          <w:u w:val="single"/>
          <w:rtl/>
        </w:rPr>
      </w:pPr>
      <w:r w:rsidRPr="001D49D4">
        <w:rPr>
          <w:rFonts w:ascii="Calibri" w:eastAsia="Calibri" w:hAnsi="Calibri" w:cs="Arial"/>
          <w:u w:val="single"/>
          <w:rtl/>
        </w:rPr>
        <w:t>אשה הנושאת ונותנת בתוך הבית והיו שטרות מקניית קרקעות ועבדים או שטרי חובות כתובים על שמה:</w:t>
      </w:r>
    </w:p>
    <w:p w14:paraId="77F8B13F" w14:textId="77777777" w:rsidR="001D49D4" w:rsidRPr="001D49D4" w:rsidRDefault="001D49D4" w:rsidP="0004348D">
      <w:pPr>
        <w:numPr>
          <w:ilvl w:val="0"/>
          <w:numId w:val="320"/>
        </w:numPr>
        <w:spacing w:before="360" w:after="240"/>
        <w:contextualSpacing/>
        <w:rPr>
          <w:rtl/>
        </w:rPr>
      </w:pPr>
      <w:r w:rsidRPr="001D49D4">
        <w:rPr>
          <w:rtl/>
        </w:rPr>
        <w:t>טור- אשה הנושאת ונותנת בתוך הבית והיו שטרות מקניית קרקעות ועבדים או שטרי חובות כתובים על שמה והיא אומרת שלי הן - עליה להביא ראיה בעדים שהוא כדבריה שהיה לה ממון מיוחד, ואין צריך שיעידו על אלו השטרות שהן שלה</w:t>
      </w:r>
      <w:r w:rsidRPr="001D49D4">
        <w:rPr>
          <w:vertAlign w:val="superscript"/>
          <w:rtl/>
        </w:rPr>
        <w:footnoteReference w:id="4695"/>
      </w:r>
      <w:r w:rsidRPr="001D49D4">
        <w:rPr>
          <w:rtl/>
        </w:rPr>
        <w:t xml:space="preserve">... וכן אחד מן האחין שנושא ונותן בתוך הבית ושטרות עשויין על שמו ואומר שלי הם מנכסים שנפלו לי מבית אבי אמי - עליו להביא ראיה בעדים. </w:t>
      </w:r>
      <w:r w:rsidRPr="001D49D4">
        <w:rPr>
          <w:color w:val="E36C0A" w:themeColor="accent6" w:themeShade="BF"/>
          <w:rtl/>
        </w:rPr>
        <w:t>(וכ"פ בשו"ע)</w:t>
      </w:r>
    </w:p>
    <w:p w14:paraId="1AB4B374" w14:textId="77777777" w:rsidR="001D49D4" w:rsidRPr="001D49D4" w:rsidRDefault="001D49D4" w:rsidP="0004348D">
      <w:pPr>
        <w:spacing w:before="360" w:after="240"/>
        <w:ind w:left="360"/>
        <w:rPr>
          <w:rFonts w:ascii="Calibri" w:eastAsia="Calibri" w:hAnsi="Calibri" w:cs="Arial"/>
          <w:u w:val="dotted"/>
        </w:rPr>
      </w:pPr>
      <w:r w:rsidRPr="001D49D4">
        <w:rPr>
          <w:rFonts w:ascii="Calibri" w:eastAsia="Calibri" w:hAnsi="Calibri" w:cs="Arial"/>
          <w:u w:val="dotted"/>
          <w:rtl/>
        </w:rPr>
        <w:t>ומה הדין במטלטלין:</w:t>
      </w:r>
    </w:p>
    <w:p w14:paraId="21551C78" w14:textId="77777777" w:rsidR="001D49D4" w:rsidRPr="001D49D4" w:rsidRDefault="001D49D4" w:rsidP="0004348D">
      <w:pPr>
        <w:numPr>
          <w:ilvl w:val="0"/>
          <w:numId w:val="320"/>
        </w:numPr>
        <w:spacing w:before="360" w:after="240"/>
        <w:contextualSpacing/>
      </w:pPr>
      <w:r w:rsidRPr="001D49D4">
        <w:rPr>
          <w:rtl/>
        </w:rPr>
        <w:t>רמ"ה</w:t>
      </w:r>
      <w:r w:rsidRPr="001D49D4">
        <w:rPr>
          <w:sz w:val="16"/>
          <w:szCs w:val="16"/>
          <w:rtl/>
        </w:rPr>
        <w:t xml:space="preserve"> (הביאו הטור)</w:t>
      </w:r>
      <w:r w:rsidRPr="001D49D4">
        <w:rPr>
          <w:rtl/>
        </w:rPr>
        <w:t xml:space="preserve"> ורי"ו</w:t>
      </w:r>
      <w:r w:rsidRPr="001D49D4">
        <w:rPr>
          <w:sz w:val="16"/>
          <w:szCs w:val="16"/>
          <w:rtl/>
        </w:rPr>
        <w:t xml:space="preserve"> (נכ"ו ח"ב)</w:t>
      </w:r>
      <w:r w:rsidRPr="001D49D4">
        <w:rPr>
          <w:rtl/>
        </w:rPr>
        <w:t>- ה"ה אם נמצאו לה מטלטלין ברשותה עליה להביא ראיה</w:t>
      </w:r>
      <w:r w:rsidRPr="001D49D4">
        <w:rPr>
          <w:vertAlign w:val="superscript"/>
          <w:rtl/>
        </w:rPr>
        <w:footnoteReference w:id="4696"/>
      </w:r>
      <w:r w:rsidRPr="001D49D4">
        <w:rPr>
          <w:sz w:val="14"/>
          <w:szCs w:val="14"/>
          <w:rtl/>
        </w:rPr>
        <w:t xml:space="preserve"> </w:t>
      </w:r>
      <w:r w:rsidRPr="001D49D4">
        <w:rPr>
          <w:sz w:val="16"/>
          <w:szCs w:val="16"/>
          <w:rtl/>
        </w:rPr>
        <w:t>(ל' הטור בשמם הרמ"ה)</w:t>
      </w:r>
      <w:r w:rsidRPr="001D49D4">
        <w:rPr>
          <w:vertAlign w:val="superscript"/>
          <w:rtl/>
        </w:rPr>
        <w:footnoteReference w:id="4697"/>
      </w:r>
      <w:r w:rsidRPr="001D49D4">
        <w:rPr>
          <w:rtl/>
        </w:rPr>
        <w:t xml:space="preserve">. </w:t>
      </w:r>
      <w:r w:rsidRPr="001D49D4">
        <w:rPr>
          <w:color w:val="E36C0A" w:themeColor="accent6" w:themeShade="BF"/>
          <w:rtl/>
        </w:rPr>
        <w:t>(וכ"פ בשו"ע)</w:t>
      </w:r>
    </w:p>
    <w:p w14:paraId="5931EB54" w14:textId="77777777" w:rsidR="001D49D4" w:rsidRPr="001D49D4" w:rsidRDefault="001D49D4" w:rsidP="0004348D">
      <w:pPr>
        <w:numPr>
          <w:ilvl w:val="0"/>
          <w:numId w:val="320"/>
        </w:numPr>
        <w:spacing w:before="360" w:after="240"/>
        <w:contextualSpacing/>
      </w:pPr>
      <w:r w:rsidRPr="001D49D4">
        <w:rPr>
          <w:rtl/>
        </w:rPr>
        <w:t>ה"ר נתן ב"ר מאיר ובעל התרומות</w:t>
      </w:r>
      <w:r w:rsidRPr="001D49D4">
        <w:rPr>
          <w:vertAlign w:val="superscript"/>
          <w:rtl/>
        </w:rPr>
        <w:footnoteReference w:id="4698"/>
      </w:r>
      <w:r w:rsidRPr="001D49D4">
        <w:rPr>
          <w:rtl/>
        </w:rPr>
        <w:t xml:space="preserve">- במטלטלי מהני תפיסתה. </w:t>
      </w:r>
    </w:p>
    <w:p w14:paraId="6B1DD725" w14:textId="77777777" w:rsidR="001D49D4" w:rsidRPr="001D49D4" w:rsidRDefault="001D49D4" w:rsidP="0004348D">
      <w:pPr>
        <w:spacing w:before="360" w:after="240"/>
        <w:ind w:left="360"/>
        <w:rPr>
          <w:rFonts w:ascii="Calibri" w:eastAsia="Calibri" w:hAnsi="Calibri" w:cs="Arial"/>
          <w:u w:val="dotted"/>
        </w:rPr>
      </w:pPr>
      <w:r w:rsidRPr="001D49D4">
        <w:rPr>
          <w:rFonts w:ascii="Calibri" w:eastAsia="Calibri" w:hAnsi="Calibri" w:cs="Arial"/>
          <w:u w:val="dotted"/>
          <w:rtl/>
        </w:rPr>
        <w:t>ומה הדין אם מת והניח יתומים:</w:t>
      </w:r>
    </w:p>
    <w:p w14:paraId="72D39A47" w14:textId="77777777" w:rsidR="001D49D4" w:rsidRPr="001D49D4" w:rsidRDefault="001D49D4" w:rsidP="0004348D">
      <w:pPr>
        <w:numPr>
          <w:ilvl w:val="0"/>
          <w:numId w:val="320"/>
        </w:numPr>
        <w:spacing w:before="360" w:after="240"/>
        <w:contextualSpacing/>
      </w:pPr>
      <w:r w:rsidRPr="001D49D4">
        <w:rPr>
          <w:rtl/>
        </w:rPr>
        <w:t>טור- אם מת והניח יתומים אז צריכים האחין להביא ראיה</w:t>
      </w:r>
      <w:r w:rsidRPr="001D49D4">
        <w:rPr>
          <w:vertAlign w:val="superscript"/>
          <w:rtl/>
        </w:rPr>
        <w:footnoteReference w:id="4699"/>
      </w:r>
      <w:r w:rsidRPr="001D49D4">
        <w:rPr>
          <w:rtl/>
        </w:rPr>
        <w:t xml:space="preserve">. </w:t>
      </w:r>
      <w:r w:rsidRPr="001D49D4">
        <w:rPr>
          <w:color w:val="E36C0A" w:themeColor="accent6" w:themeShade="BF"/>
          <w:rtl/>
        </w:rPr>
        <w:t xml:space="preserve">(וכ"פ בשו"ע) </w:t>
      </w:r>
    </w:p>
    <w:p w14:paraId="3AD28F1A" w14:textId="77777777" w:rsidR="001D49D4" w:rsidRPr="001D49D4" w:rsidRDefault="001D49D4" w:rsidP="0004348D">
      <w:pPr>
        <w:numPr>
          <w:ilvl w:val="0"/>
          <w:numId w:val="320"/>
        </w:numPr>
        <w:spacing w:before="360" w:after="240"/>
        <w:contextualSpacing/>
      </w:pPr>
      <w:r w:rsidRPr="001D49D4">
        <w:rPr>
          <w:rtl/>
        </w:rPr>
        <w:t>מהרי"ח ואו"ז</w:t>
      </w:r>
      <w:r w:rsidRPr="001D49D4">
        <w:rPr>
          <w:sz w:val="16"/>
          <w:szCs w:val="16"/>
          <w:rtl/>
        </w:rPr>
        <w:t xml:space="preserve"> (כ"כ בשמם ההג"א פ"ג סי' נח הגהה אחרונה)</w:t>
      </w:r>
      <w:r w:rsidRPr="001D49D4">
        <w:rPr>
          <w:rtl/>
        </w:rPr>
        <w:t>- על היתומים להביא ראיה דלא קיימא לן כשמואל אלא כרב.</w:t>
      </w:r>
    </w:p>
    <w:p w14:paraId="3AC8B548" w14:textId="77777777" w:rsidR="001D49D4" w:rsidRPr="001D49D4" w:rsidRDefault="001D49D4" w:rsidP="0004348D">
      <w:pPr>
        <w:spacing w:before="360" w:after="240"/>
        <w:ind w:left="360"/>
        <w:rPr>
          <w:rFonts w:ascii="Calibri" w:eastAsia="Calibri" w:hAnsi="Calibri" w:cs="Arial"/>
          <w:u w:val="dotted"/>
        </w:rPr>
      </w:pPr>
      <w:r w:rsidRPr="001D49D4">
        <w:rPr>
          <w:rFonts w:ascii="Calibri" w:eastAsia="Calibri" w:hAnsi="Calibri" w:cs="Arial"/>
          <w:u w:val="dotted"/>
          <w:rtl/>
        </w:rPr>
        <w:t>ומה הדין אם חלקו האחים בשום דבר:</w:t>
      </w:r>
    </w:p>
    <w:p w14:paraId="40DF6705" w14:textId="77777777" w:rsidR="001D49D4" w:rsidRPr="001D49D4" w:rsidRDefault="001D49D4" w:rsidP="0004348D">
      <w:pPr>
        <w:numPr>
          <w:ilvl w:val="0"/>
          <w:numId w:val="320"/>
        </w:numPr>
        <w:spacing w:before="360" w:after="240"/>
        <w:contextualSpacing/>
      </w:pPr>
      <w:r w:rsidRPr="001D49D4">
        <w:rPr>
          <w:rtl/>
        </w:rPr>
        <w:t>טור- אם חלקו בשום דבר אז על האחין להביא ראיה אפילו בחייו... והוא שזמן השטרות אחר הזמן החלוקה</w:t>
      </w:r>
      <w:r w:rsidRPr="001D49D4">
        <w:rPr>
          <w:vertAlign w:val="superscript"/>
          <w:rtl/>
        </w:rPr>
        <w:footnoteReference w:id="4700"/>
      </w:r>
      <w:r w:rsidRPr="001D49D4">
        <w:rPr>
          <w:rtl/>
        </w:rPr>
        <w:t xml:space="preserve">. </w:t>
      </w:r>
      <w:r w:rsidRPr="001D49D4">
        <w:rPr>
          <w:color w:val="E36C0A" w:themeColor="accent6" w:themeShade="BF"/>
          <w:rtl/>
        </w:rPr>
        <w:t>(וכ"פ בשו"ע)</w:t>
      </w:r>
    </w:p>
    <w:p w14:paraId="557FF8D1" w14:textId="77777777" w:rsidR="001D49D4" w:rsidRPr="001D49D4" w:rsidRDefault="001D49D4" w:rsidP="0004348D">
      <w:pPr>
        <w:spacing w:before="360" w:after="240"/>
        <w:ind w:left="720"/>
        <w:rPr>
          <w:rFonts w:ascii="Calibri" w:eastAsia="Calibri" w:hAnsi="Calibri" w:cs="Arial"/>
          <w:u w:val="wave"/>
        </w:rPr>
      </w:pPr>
      <w:r w:rsidRPr="001D49D4">
        <w:rPr>
          <w:rFonts w:ascii="Calibri" w:eastAsia="Calibri" w:hAnsi="Calibri" w:cs="Arial"/>
          <w:u w:val="wave"/>
          <w:rtl/>
        </w:rPr>
        <w:t>האם על האחים להביא ראיה אפילו אם טוען על יותר מכדי הדבר שחלקו:</w:t>
      </w:r>
    </w:p>
    <w:p w14:paraId="29794723" w14:textId="77777777" w:rsidR="001D49D4" w:rsidRPr="001D49D4" w:rsidRDefault="001D49D4" w:rsidP="0004348D">
      <w:pPr>
        <w:numPr>
          <w:ilvl w:val="0"/>
          <w:numId w:val="320"/>
        </w:numPr>
        <w:spacing w:before="360" w:after="240"/>
        <w:contextualSpacing/>
      </w:pPr>
      <w:r w:rsidRPr="001D49D4">
        <w:rPr>
          <w:rtl/>
        </w:rPr>
        <w:t xml:space="preserve">טור- אפילו אם השטרות יותר מכדי הדבר שחלקו. (וכ"כ הסמ"ע </w:t>
      </w:r>
      <w:r w:rsidRPr="001D49D4">
        <w:rPr>
          <w:sz w:val="16"/>
          <w:szCs w:val="16"/>
          <w:rtl/>
        </w:rPr>
        <w:t>[סק"י]</w:t>
      </w:r>
      <w:r w:rsidRPr="001D49D4">
        <w:rPr>
          <w:rtl/>
        </w:rPr>
        <w:t xml:space="preserve"> והש"ך </w:t>
      </w:r>
      <w:r w:rsidRPr="001D49D4">
        <w:rPr>
          <w:sz w:val="16"/>
          <w:szCs w:val="16"/>
          <w:rtl/>
        </w:rPr>
        <w:t>[סק"ד]</w:t>
      </w:r>
      <w:r w:rsidRPr="001D49D4">
        <w:rPr>
          <w:rtl/>
        </w:rPr>
        <w:t>)</w:t>
      </w:r>
    </w:p>
    <w:p w14:paraId="2CAAE20F" w14:textId="77777777" w:rsidR="001D49D4" w:rsidRPr="001D49D4" w:rsidRDefault="001D49D4" w:rsidP="0004348D">
      <w:pPr>
        <w:numPr>
          <w:ilvl w:val="0"/>
          <w:numId w:val="320"/>
        </w:numPr>
        <w:spacing w:before="360" w:after="240"/>
        <w:contextualSpacing/>
      </w:pPr>
      <w:r w:rsidRPr="001D49D4">
        <w:rPr>
          <w:rtl/>
        </w:rPr>
        <w:t xml:space="preserve">ר"ח </w:t>
      </w:r>
      <w:r w:rsidRPr="001D49D4">
        <w:rPr>
          <w:sz w:val="16"/>
          <w:szCs w:val="16"/>
          <w:rtl/>
        </w:rPr>
        <w:t>(כ"כ הרשב"א שנראה מדבריו</w:t>
      </w:r>
      <w:r w:rsidRPr="001D49D4">
        <w:rPr>
          <w:sz w:val="14"/>
          <w:szCs w:val="14"/>
          <w:rtl/>
        </w:rPr>
        <w:t xml:space="preserve"> [ב"ב שם ד"ה אמר רב]</w:t>
      </w:r>
      <w:r w:rsidRPr="001D49D4">
        <w:rPr>
          <w:sz w:val="16"/>
          <w:szCs w:val="16"/>
          <w:rtl/>
        </w:rPr>
        <w:t>)</w:t>
      </w:r>
      <w:r w:rsidRPr="001D49D4">
        <w:rPr>
          <w:rtl/>
        </w:rPr>
        <w:t>- לא, אלא רק אם ראו ב"ד שהיה יכול לקמץ מעיסתו כאותו סך</w:t>
      </w:r>
      <w:r w:rsidRPr="001D49D4">
        <w:rPr>
          <w:vertAlign w:val="superscript"/>
          <w:rtl/>
        </w:rPr>
        <w:footnoteReference w:id="4701"/>
      </w:r>
      <w:r w:rsidRPr="001D49D4">
        <w:rPr>
          <w:rtl/>
        </w:rPr>
        <w:t>.</w:t>
      </w:r>
    </w:p>
    <w:p w14:paraId="32AF12D8" w14:textId="77777777" w:rsidR="001D49D4" w:rsidRPr="001D49D4" w:rsidRDefault="001D49D4" w:rsidP="0004348D">
      <w:pPr>
        <w:spacing w:before="360" w:after="240"/>
        <w:rPr>
          <w:rFonts w:ascii="Calibri" w:eastAsia="Calibri" w:hAnsi="Calibri" w:cs="Arial"/>
        </w:rPr>
      </w:pPr>
      <w:r w:rsidRPr="001D49D4">
        <w:rPr>
          <w:rFonts w:ascii="Calibri" w:eastAsia="Calibri" w:hAnsi="Calibri" w:cs="Arial"/>
          <w:b/>
          <w:bCs/>
          <w:rtl/>
        </w:rPr>
        <w:t xml:space="preserve">בבא בתרא </w:t>
      </w:r>
      <w:r w:rsidRPr="001D49D4">
        <w:rPr>
          <w:rFonts w:ascii="Calibri" w:eastAsia="Calibri" w:hAnsi="Calibri" w:cs="Arial"/>
          <w:b/>
          <w:bCs/>
          <w:sz w:val="16"/>
          <w:szCs w:val="16"/>
          <w:rtl/>
        </w:rPr>
        <w:t>(פרק גט פשוט)</w:t>
      </w:r>
      <w:r w:rsidRPr="001D49D4">
        <w:rPr>
          <w:rFonts w:ascii="Calibri" w:eastAsia="Calibri" w:hAnsi="Calibri" w:cs="Arial"/>
          <w:b/>
          <w:bCs/>
          <w:rtl/>
        </w:rPr>
        <w:t xml:space="preserve"> קעג</w:t>
      </w:r>
      <w:r w:rsidRPr="001D49D4">
        <w:rPr>
          <w:rFonts w:ascii="Calibri" w:eastAsia="Calibri" w:hAnsi="Calibri" w:cs="Arial"/>
          <w:b/>
          <w:bCs/>
          <w:vertAlign w:val="superscript"/>
          <w:rtl/>
        </w:rPr>
        <w:footnoteReference w:id="4702"/>
      </w:r>
      <w:r w:rsidRPr="001D49D4">
        <w:rPr>
          <w:rFonts w:ascii="Calibri" w:eastAsia="Calibri" w:hAnsi="Calibri" w:cs="Arial"/>
          <w:b/>
          <w:bCs/>
          <w:rtl/>
        </w:rPr>
        <w:t xml:space="preserve"> ע"א:</w:t>
      </w:r>
      <w:r w:rsidRPr="001D49D4">
        <w:rPr>
          <w:rFonts w:ascii="Calibri" w:eastAsia="Calibri" w:hAnsi="Calibri" w:cs="Arial"/>
          <w:rtl/>
        </w:rPr>
        <w:t xml:space="preserve"> דאיתמר: אותיות נקנות במסירה - </w:t>
      </w:r>
      <w:r w:rsidRPr="001D49D4">
        <w:rPr>
          <w:rFonts w:ascii="Calibri" w:eastAsia="Calibri" w:hAnsi="Calibri" w:cs="Arial"/>
          <w:u w:val="single"/>
          <w:rtl/>
        </w:rPr>
        <w:t>אביי אמר</w:t>
      </w:r>
      <w:r w:rsidRPr="001D49D4">
        <w:rPr>
          <w:rFonts w:ascii="Calibri" w:eastAsia="Calibri" w:hAnsi="Calibri" w:cs="Arial"/>
          <w:rtl/>
        </w:rPr>
        <w:t xml:space="preserve">: צריך להביא ראיה, </w:t>
      </w:r>
      <w:r w:rsidRPr="001D49D4">
        <w:rPr>
          <w:rFonts w:ascii="Calibri" w:eastAsia="Calibri" w:hAnsi="Calibri" w:cs="Arial"/>
          <w:u w:val="single"/>
          <w:rtl/>
        </w:rPr>
        <w:t>ורבא אמר</w:t>
      </w:r>
      <w:r w:rsidRPr="001D49D4">
        <w:rPr>
          <w:rFonts w:ascii="Calibri" w:eastAsia="Calibri" w:hAnsi="Calibri" w:cs="Arial"/>
          <w:rtl/>
        </w:rPr>
        <w:t xml:space="preserve">: אינו צריך להביא ראיה. </w:t>
      </w:r>
      <w:r w:rsidRPr="001D49D4">
        <w:rPr>
          <w:rFonts w:ascii="Calibri" w:eastAsia="Calibri" w:hAnsi="Calibri" w:cs="Arial"/>
          <w:u w:val="single"/>
          <w:rtl/>
        </w:rPr>
        <w:t>אמר אביי</w:t>
      </w:r>
      <w:r w:rsidRPr="001D49D4">
        <w:rPr>
          <w:rFonts w:ascii="Calibri" w:eastAsia="Calibri" w:hAnsi="Calibri" w:cs="Arial"/>
          <w:rtl/>
        </w:rPr>
        <w:t xml:space="preserve">: מנא אמינא לה? דתניא: אחד מן האחין שהשטר חוב יוצא מתחת ידו - עליו להביא ראיה; מאי לאו הוא הדין לאחריני. </w:t>
      </w:r>
      <w:r w:rsidRPr="001D49D4">
        <w:rPr>
          <w:rFonts w:ascii="Calibri" w:eastAsia="Calibri" w:hAnsi="Calibri" w:cs="Arial"/>
          <w:u w:val="single"/>
          <w:rtl/>
        </w:rPr>
        <w:t>ורבא אמר</w:t>
      </w:r>
      <w:r w:rsidRPr="001D49D4">
        <w:rPr>
          <w:rFonts w:ascii="Calibri" w:eastAsia="Calibri" w:hAnsi="Calibri" w:cs="Arial"/>
          <w:rtl/>
        </w:rPr>
        <w:t>: שאני אחין, דשמטו מהדדי</w:t>
      </w:r>
      <w:r w:rsidRPr="001D49D4">
        <w:rPr>
          <w:rFonts w:ascii="Calibri" w:eastAsia="Calibri" w:hAnsi="Calibri" w:cs="Arial"/>
          <w:vertAlign w:val="superscript"/>
          <w:rtl/>
        </w:rPr>
        <w:footnoteReference w:id="4703"/>
      </w:r>
      <w:r w:rsidRPr="001D49D4">
        <w:rPr>
          <w:rFonts w:ascii="Calibri" w:eastAsia="Calibri" w:hAnsi="Calibri" w:cs="Arial"/>
          <w:rtl/>
        </w:rPr>
        <w:t>.</w:t>
      </w:r>
    </w:p>
    <w:p w14:paraId="0172C78F" w14:textId="77777777" w:rsidR="001D49D4" w:rsidRPr="001D49D4" w:rsidRDefault="001D49D4" w:rsidP="0004348D">
      <w:pPr>
        <w:spacing w:before="360" w:after="240"/>
        <w:rPr>
          <w:rFonts w:ascii="Calibri" w:eastAsia="Calibri" w:hAnsi="Calibri" w:cs="Arial"/>
          <w:u w:val="single"/>
        </w:rPr>
      </w:pPr>
      <w:r w:rsidRPr="001D49D4">
        <w:rPr>
          <w:rFonts w:ascii="Calibri" w:eastAsia="Calibri" w:hAnsi="Calibri" w:cs="Arial"/>
          <w:u w:val="single"/>
          <w:rtl/>
        </w:rPr>
        <w:t xml:space="preserve">אב שנפטר, וסתם מישהו </w:t>
      </w:r>
      <w:r w:rsidRPr="001D49D4">
        <w:rPr>
          <w:rFonts w:ascii="Calibri" w:eastAsia="Calibri" w:hAnsi="Calibri" w:cs="Arial"/>
          <w:sz w:val="16"/>
          <w:szCs w:val="16"/>
          <w:u w:val="single"/>
          <w:rtl/>
        </w:rPr>
        <w:t>(שהוא לא אחד מן האחים)</w:t>
      </w:r>
      <w:r w:rsidRPr="001D49D4">
        <w:rPr>
          <w:rFonts w:ascii="Calibri" w:eastAsia="Calibri" w:hAnsi="Calibri" w:cs="Arial"/>
          <w:u w:val="single"/>
          <w:rtl/>
        </w:rPr>
        <w:t xml:space="preserve"> מוציא שטר חוב</w:t>
      </w:r>
      <w:r w:rsidRPr="001D49D4">
        <w:rPr>
          <w:rFonts w:ascii="Calibri" w:eastAsia="Calibri" w:hAnsi="Calibri" w:cs="Arial"/>
          <w:sz w:val="16"/>
          <w:szCs w:val="16"/>
          <w:u w:val="single"/>
          <w:rtl/>
        </w:rPr>
        <w:t xml:space="preserve"> (שעל שם האב)</w:t>
      </w:r>
      <w:r w:rsidRPr="001D49D4">
        <w:rPr>
          <w:rFonts w:ascii="Calibri" w:eastAsia="Calibri" w:hAnsi="Calibri" w:cs="Arial"/>
          <w:u w:val="single"/>
          <w:rtl/>
        </w:rPr>
        <w:t xml:space="preserve"> מתחת ידו – האם צריך להביא ראיה:</w:t>
      </w:r>
    </w:p>
    <w:p w14:paraId="2B5E5952" w14:textId="77777777" w:rsidR="001D49D4" w:rsidRPr="001D49D4" w:rsidRDefault="001D49D4" w:rsidP="0004348D">
      <w:pPr>
        <w:numPr>
          <w:ilvl w:val="0"/>
          <w:numId w:val="320"/>
        </w:numPr>
        <w:spacing w:before="360" w:after="240"/>
        <w:contextualSpacing/>
        <w:rPr>
          <w:rtl/>
        </w:rPr>
      </w:pPr>
      <w:r w:rsidRPr="001D49D4">
        <w:rPr>
          <w:rtl/>
        </w:rPr>
        <w:t xml:space="preserve">ר"י ן' מיגאש </w:t>
      </w:r>
      <w:r w:rsidRPr="001D49D4">
        <w:rPr>
          <w:sz w:val="16"/>
          <w:szCs w:val="16"/>
          <w:rtl/>
        </w:rPr>
        <w:t xml:space="preserve">(ב"ב שם ד"ה איתמר) </w:t>
      </w:r>
      <w:r w:rsidRPr="001D49D4">
        <w:rPr>
          <w:rtl/>
        </w:rPr>
        <w:t xml:space="preserve">ורמב"ם </w:t>
      </w:r>
      <w:r w:rsidRPr="001D49D4">
        <w:rPr>
          <w:sz w:val="16"/>
          <w:szCs w:val="16"/>
          <w:rtl/>
        </w:rPr>
        <w:t>(פ"ט מהל' נחלות ה"ט-י)</w:t>
      </w:r>
      <w:r w:rsidRPr="001D49D4">
        <w:rPr>
          <w:rtl/>
        </w:rPr>
        <w:t>- אחד מן האחין ששטר חוב יוצא מתחת ידו - עליו להביא ראיה שאביו נתנה לו בכתיבה ומסירה או שצוה לו בו כשהוא שכיב מרע, ואם לא הביא ראיה - הרי הוא לאמצע. במה דברים אמורים, באחים מפני שחזקתן שומטין זה מזה, אבל אחר שטען שנתן לו או שקנהו מבעליו - גובה בו ואינו צריך להביא ראיה</w:t>
      </w:r>
      <w:r w:rsidRPr="001D49D4">
        <w:rPr>
          <w:sz w:val="16"/>
          <w:szCs w:val="16"/>
          <w:rtl/>
        </w:rPr>
        <w:t xml:space="preserve"> (ל' הרמב"ם)</w:t>
      </w:r>
      <w:r w:rsidRPr="001D49D4">
        <w:rPr>
          <w:vertAlign w:val="superscript"/>
          <w:rtl/>
        </w:rPr>
        <w:footnoteReference w:id="4704"/>
      </w:r>
      <w:r w:rsidRPr="001D49D4">
        <w:rPr>
          <w:rtl/>
        </w:rPr>
        <w:t>.</w:t>
      </w:r>
    </w:p>
    <w:p w14:paraId="5D95643F" w14:textId="77777777" w:rsidR="001D49D4" w:rsidRPr="001D49D4" w:rsidRDefault="001D49D4" w:rsidP="0004348D">
      <w:pPr>
        <w:numPr>
          <w:ilvl w:val="0"/>
          <w:numId w:val="320"/>
        </w:numPr>
        <w:spacing w:before="360" w:after="240"/>
        <w:contextualSpacing/>
      </w:pPr>
      <w:r w:rsidRPr="001D49D4">
        <w:rPr>
          <w:rtl/>
        </w:rPr>
        <w:t>ר"י ראב"ד</w:t>
      </w:r>
      <w:r w:rsidRPr="001D49D4">
        <w:rPr>
          <w:vertAlign w:val="superscript"/>
          <w:rtl/>
        </w:rPr>
        <w:footnoteReference w:id="4705"/>
      </w:r>
      <w:r w:rsidRPr="001D49D4">
        <w:rPr>
          <w:rtl/>
        </w:rPr>
        <w:t xml:space="preserve"> רמב"ן רשב"א ור"ן</w:t>
      </w:r>
      <w:r w:rsidRPr="001D49D4">
        <w:rPr>
          <w:vertAlign w:val="superscript"/>
          <w:rtl/>
        </w:rPr>
        <w:footnoteReference w:id="4706"/>
      </w:r>
      <w:r w:rsidRPr="001D49D4">
        <w:rPr>
          <w:rtl/>
        </w:rPr>
        <w:t>- גם האחר אינו גובה בלא ראיה</w:t>
      </w:r>
      <w:r w:rsidRPr="001D49D4">
        <w:rPr>
          <w:vertAlign w:val="superscript"/>
          <w:rtl/>
        </w:rPr>
        <w:footnoteReference w:id="4707"/>
      </w:r>
      <w:r w:rsidRPr="001D49D4">
        <w:rPr>
          <w:rtl/>
        </w:rPr>
        <w:t>.</w:t>
      </w:r>
    </w:p>
    <w:p w14:paraId="4733B8D7" w14:textId="77777777" w:rsidR="001D49D4" w:rsidRPr="001D49D4" w:rsidRDefault="001D49D4" w:rsidP="0004348D">
      <w:pPr>
        <w:spacing w:before="360" w:after="240"/>
        <w:rPr>
          <w:rFonts w:ascii="Calibri" w:eastAsia="Calibri" w:hAnsi="Calibri" w:cs="Arial"/>
          <w:u w:val="single"/>
        </w:rPr>
      </w:pPr>
      <w:r w:rsidRPr="001D49D4">
        <w:rPr>
          <w:rFonts w:ascii="Calibri" w:eastAsia="Calibri" w:hAnsi="Calibri" w:cs="Arial"/>
          <w:u w:val="single"/>
          <w:rtl/>
        </w:rPr>
        <w:t xml:space="preserve">כשהמוחזק </w:t>
      </w:r>
      <w:r w:rsidRPr="001D49D4">
        <w:rPr>
          <w:rFonts w:ascii="Calibri" w:eastAsia="Calibri" w:hAnsi="Calibri" w:cs="Arial"/>
          <w:sz w:val="16"/>
          <w:szCs w:val="16"/>
          <w:u w:val="single"/>
          <w:rtl/>
        </w:rPr>
        <w:t>(האשה או האחים כדלעיל)</w:t>
      </w:r>
      <w:r w:rsidRPr="001D49D4">
        <w:rPr>
          <w:rFonts w:ascii="Calibri" w:eastAsia="Calibri" w:hAnsi="Calibri" w:cs="Arial"/>
          <w:u w:val="single"/>
          <w:rtl/>
        </w:rPr>
        <w:t xml:space="preserve"> לא הביא ראיה שהיה לו ממון מיוחד - האם תפיסת השטרות מועילה לענין הנייר: </w:t>
      </w:r>
    </w:p>
    <w:p w14:paraId="2646DA23" w14:textId="77777777" w:rsidR="001D49D4" w:rsidRPr="001D49D4" w:rsidRDefault="001D49D4" w:rsidP="0004348D">
      <w:pPr>
        <w:numPr>
          <w:ilvl w:val="0"/>
          <w:numId w:val="320"/>
        </w:numPr>
        <w:spacing w:before="360" w:after="240"/>
        <w:contextualSpacing/>
      </w:pPr>
      <w:r w:rsidRPr="001D49D4">
        <w:rPr>
          <w:rtl/>
        </w:rPr>
        <w:t>בעל התרומות</w:t>
      </w:r>
      <w:r w:rsidRPr="001D49D4">
        <w:rPr>
          <w:sz w:val="16"/>
          <w:szCs w:val="16"/>
          <w:rtl/>
        </w:rPr>
        <w:t xml:space="preserve"> (שער נ"א ח"ח סי' ג)</w:t>
      </w:r>
      <w:r w:rsidRPr="001D49D4">
        <w:rPr>
          <w:rtl/>
        </w:rPr>
        <w:t xml:space="preserve">- אין תפיסת השטר מועילה אפילו לענין הנייר כל היכא שאינה מועילה לענין הממון. (וכ"פ הש"ך </w:t>
      </w:r>
      <w:r w:rsidRPr="001D49D4">
        <w:rPr>
          <w:sz w:val="16"/>
          <w:szCs w:val="16"/>
          <w:rtl/>
        </w:rPr>
        <w:t>[סק"ב]</w:t>
      </w:r>
      <w:r w:rsidRPr="001D49D4">
        <w:rPr>
          <w:rtl/>
        </w:rPr>
        <w:t>)</w:t>
      </w:r>
    </w:p>
    <w:p w14:paraId="072B35E1" w14:textId="77777777" w:rsidR="001D49D4" w:rsidRPr="001D49D4" w:rsidRDefault="001D49D4" w:rsidP="0004348D">
      <w:pPr>
        <w:spacing w:before="360" w:after="240"/>
        <w:rPr>
          <w:rFonts w:ascii="Calibri" w:eastAsia="Calibri" w:hAnsi="Calibri" w:cs="Arial"/>
          <w:u w:val="single"/>
        </w:rPr>
      </w:pPr>
      <w:r w:rsidRPr="001D49D4">
        <w:rPr>
          <w:rFonts w:ascii="Calibri" w:eastAsia="Calibri" w:hAnsi="Calibri" w:cs="Arial"/>
          <w:u w:val="single"/>
          <w:rtl/>
        </w:rPr>
        <w:t>אחד מן האחים שטוען בעלות מוחלטת על דבר שידוע שהיה בעבר בשיתוף בין האחים - והדבר על שם אביו:</w:t>
      </w:r>
    </w:p>
    <w:p w14:paraId="1FBE9EF4" w14:textId="77777777" w:rsidR="001D49D4" w:rsidRPr="001D49D4" w:rsidRDefault="001D49D4" w:rsidP="0004348D">
      <w:pPr>
        <w:numPr>
          <w:ilvl w:val="0"/>
          <w:numId w:val="320"/>
        </w:numPr>
        <w:spacing w:before="360" w:after="240"/>
        <w:contextualSpacing/>
      </w:pPr>
      <w:r w:rsidRPr="001D49D4">
        <w:rPr>
          <w:rtl/>
        </w:rPr>
        <w:t xml:space="preserve">בעל התרומות </w:t>
      </w:r>
      <w:r w:rsidRPr="001D49D4">
        <w:rPr>
          <w:sz w:val="16"/>
          <w:szCs w:val="16"/>
          <w:rtl/>
        </w:rPr>
        <w:t xml:space="preserve">(שער נ"א שם סי' ב) </w:t>
      </w:r>
      <w:r w:rsidRPr="001D49D4">
        <w:rPr>
          <w:rtl/>
        </w:rPr>
        <w:t xml:space="preserve">בשם הראב"ד- כשאחד מן האחים או אחד מן השותפין מוציא שטר חוב בדבר הידוע בשיתוף, וטען לאחיו או לשותפו כי שטר זה היוצא על שם אחיו או על שם שותפו 'שלי הוא כולו כי אתם שהם שותפים שלי נתתם לי אותו בדרך קניית שטר' או 'אבי הקנה אותו כשהיה שכיב מרע' - אם אינו מביא ראיה בעדים אינו נאמן, וכדתניא בפרק גט פשוט </w:t>
      </w:r>
      <w:r w:rsidRPr="001D49D4">
        <w:rPr>
          <w:sz w:val="16"/>
          <w:szCs w:val="16"/>
          <w:rtl/>
        </w:rPr>
        <w:t xml:space="preserve">(ב"ב קעג.) </w:t>
      </w:r>
      <w:r w:rsidRPr="001D49D4">
        <w:rPr>
          <w:rtl/>
        </w:rPr>
        <w:t>אחד מן האחין ששטר חוב יוצא מתחת ידו וכו'. ולא דמי לההיא דחזקת הבתים דקתני אחד מן האחין שהיו אונות ושטרות יוצאות על שמו, דהתם מיירי שיוצאות על שמו הכא על שם אביו</w:t>
      </w:r>
      <w:r w:rsidRPr="001D49D4">
        <w:rPr>
          <w:sz w:val="16"/>
          <w:szCs w:val="16"/>
          <w:rtl/>
        </w:rPr>
        <w:t xml:space="preserve"> {ולכן לא מספיק שיביא עדים שיש לו ממון אלא צריך ראיה בעדים על השטר}</w:t>
      </w:r>
      <w:r w:rsidRPr="001D49D4">
        <w:rPr>
          <w:vertAlign w:val="superscript"/>
          <w:rtl/>
        </w:rPr>
        <w:footnoteReference w:id="4708"/>
      </w:r>
      <w:r w:rsidRPr="001D49D4">
        <w:rPr>
          <w:rtl/>
        </w:rPr>
        <w:t xml:space="preserve">. </w:t>
      </w:r>
      <w:r w:rsidRPr="001D49D4">
        <w:rPr>
          <w:color w:val="00B0F0"/>
          <w:rtl/>
        </w:rPr>
        <w:t>(וכ"פ הרמ"א)</w:t>
      </w:r>
    </w:p>
    <w:p w14:paraId="6EE4C28A" w14:textId="77777777" w:rsidR="001D49D4" w:rsidRPr="001D49D4" w:rsidRDefault="001D49D4" w:rsidP="0004348D">
      <w:pPr>
        <w:spacing w:before="360" w:after="240"/>
        <w:rPr>
          <w:rFonts w:ascii="Calibri" w:eastAsia="Calibri" w:hAnsi="Calibri" w:cs="Arial"/>
          <w:u w:val="single"/>
        </w:rPr>
      </w:pPr>
      <w:r w:rsidRPr="001D49D4">
        <w:rPr>
          <w:rFonts w:ascii="Calibri" w:eastAsia="Calibri" w:hAnsi="Calibri" w:cs="Arial"/>
          <w:u w:val="single"/>
          <w:rtl/>
        </w:rPr>
        <w:t>אחד מהאחין שנמצא בידו או ביד יורשיו שטר חוב שהיה לאביהם על אחר:</w:t>
      </w:r>
    </w:p>
    <w:p w14:paraId="59082869" w14:textId="77777777" w:rsidR="001D49D4" w:rsidRPr="001D49D4" w:rsidRDefault="001D49D4" w:rsidP="0004348D">
      <w:pPr>
        <w:numPr>
          <w:ilvl w:val="0"/>
          <w:numId w:val="320"/>
        </w:numPr>
        <w:spacing w:before="360" w:after="240"/>
        <w:contextualSpacing/>
      </w:pPr>
      <w:r w:rsidRPr="001D49D4">
        <w:rPr>
          <w:rtl/>
        </w:rPr>
        <w:t>רא"ש</w:t>
      </w:r>
      <w:r w:rsidRPr="001D49D4">
        <w:rPr>
          <w:sz w:val="16"/>
          <w:szCs w:val="16"/>
          <w:rtl/>
        </w:rPr>
        <w:t xml:space="preserve"> (סוף כלל פה סי' יב)</w:t>
      </w:r>
      <w:r w:rsidRPr="001D49D4">
        <w:rPr>
          <w:rtl/>
        </w:rPr>
        <w:t>- אחד מהאחין שנמצא בידו או ביד יורשיו שטר חוב שהיה לאביהם על אחר - דבר פשוט הוא שחולקין החוב ביניהם.</w:t>
      </w:r>
    </w:p>
    <w:p w14:paraId="29031CC9" w14:textId="77777777" w:rsidR="001D49D4" w:rsidRPr="001D49D4" w:rsidRDefault="001D49D4" w:rsidP="0004348D">
      <w:pPr>
        <w:spacing w:before="360" w:after="240"/>
        <w:rPr>
          <w:rFonts w:ascii="Calibri" w:eastAsia="Calibri" w:hAnsi="Calibri" w:cs="Arial"/>
          <w:sz w:val="16"/>
          <w:szCs w:val="16"/>
          <w:u w:val="single"/>
        </w:rPr>
      </w:pPr>
      <w:r w:rsidRPr="001D49D4">
        <w:rPr>
          <w:rFonts w:ascii="Calibri" w:eastAsia="Calibri" w:hAnsi="Calibri" w:cs="Arial"/>
          <w:u w:val="single"/>
          <w:rtl/>
        </w:rPr>
        <w:t>אלמנה שתפסה שטרות של גוים שנכתבו לשמה ולשם בעלה:</w:t>
      </w:r>
      <w:r w:rsidRPr="001D49D4">
        <w:rPr>
          <w:rFonts w:ascii="Calibri" w:eastAsia="Calibri" w:hAnsi="Calibri" w:cs="Arial"/>
          <w:sz w:val="16"/>
          <w:szCs w:val="16"/>
          <w:rtl/>
        </w:rPr>
        <w:t xml:space="preserve">   (דרכ"מ אות ג)</w:t>
      </w:r>
    </w:p>
    <w:p w14:paraId="77742049" w14:textId="77777777" w:rsidR="001D49D4" w:rsidRPr="001D49D4" w:rsidRDefault="001D49D4" w:rsidP="0004348D">
      <w:pPr>
        <w:numPr>
          <w:ilvl w:val="0"/>
          <w:numId w:val="320"/>
        </w:numPr>
        <w:spacing w:before="360" w:after="240"/>
        <w:contextualSpacing/>
      </w:pPr>
      <w:r w:rsidRPr="001D49D4">
        <w:rPr>
          <w:rtl/>
        </w:rPr>
        <w:t xml:space="preserve">מרדכי </w:t>
      </w:r>
      <w:r w:rsidRPr="001D49D4">
        <w:rPr>
          <w:sz w:val="16"/>
          <w:szCs w:val="16"/>
          <w:rtl/>
        </w:rPr>
        <w:t xml:space="preserve">(ב"ב סי' תקסב) </w:t>
      </w:r>
      <w:r w:rsidRPr="001D49D4">
        <w:rPr>
          <w:rtl/>
        </w:rPr>
        <w:t>בשם מהר"ם- אלמנה שתפסה שטרות של גוים שנכתבו לשמה ולשם בעלה - התפיסה לאו כלום היא מאחר שהיא נושאת ונותנת בתוך הבית צריכה להביא ראיה.</w:t>
      </w:r>
    </w:p>
    <w:p w14:paraId="3D07857C" w14:textId="77777777" w:rsidR="001D49D4" w:rsidRPr="001D49D4" w:rsidRDefault="001D49D4" w:rsidP="0004348D">
      <w:pPr>
        <w:spacing w:before="360" w:after="240"/>
        <w:rPr>
          <w:rFonts w:ascii="Calibri" w:eastAsia="Calibri" w:hAnsi="Calibri" w:cs="Arial"/>
          <w:u w:val="single"/>
        </w:rPr>
      </w:pPr>
      <w:r w:rsidRPr="001D49D4">
        <w:rPr>
          <w:rFonts w:ascii="Calibri" w:eastAsia="Calibri" w:hAnsi="Calibri" w:cs="Arial"/>
          <w:u w:val="single"/>
          <w:rtl/>
        </w:rPr>
        <w:t xml:space="preserve">בן בית </w:t>
      </w:r>
      <w:r w:rsidRPr="001D49D4">
        <w:rPr>
          <w:rFonts w:ascii="Calibri" w:eastAsia="Calibri" w:hAnsi="Calibri" w:cs="Arial"/>
          <w:sz w:val="16"/>
          <w:szCs w:val="16"/>
          <w:u w:val="single"/>
          <w:rtl/>
        </w:rPr>
        <w:t xml:space="preserve">(היינו סתם מישהו שאינו אחד מן האחים) </w:t>
      </w:r>
      <w:r w:rsidRPr="001D49D4">
        <w:rPr>
          <w:rFonts w:ascii="Calibri" w:eastAsia="Calibri" w:hAnsi="Calibri" w:cs="Arial"/>
          <w:u w:val="single"/>
          <w:rtl/>
        </w:rPr>
        <w:t>שיש בידו כל מיני דברים משל בעל הבית:</w:t>
      </w:r>
    </w:p>
    <w:p w14:paraId="6498AE5A" w14:textId="77777777" w:rsidR="001D49D4" w:rsidRPr="001D49D4" w:rsidRDefault="001D49D4" w:rsidP="0004348D">
      <w:pPr>
        <w:numPr>
          <w:ilvl w:val="0"/>
          <w:numId w:val="320"/>
        </w:numPr>
        <w:spacing w:before="360" w:after="240"/>
        <w:contextualSpacing/>
        <w:rPr>
          <w:rtl/>
        </w:rPr>
      </w:pPr>
      <w:r w:rsidRPr="001D49D4">
        <w:rPr>
          <w:rtl/>
        </w:rPr>
        <w:t xml:space="preserve">רי"ו </w:t>
      </w:r>
      <w:r w:rsidRPr="001D49D4">
        <w:rPr>
          <w:sz w:val="16"/>
          <w:szCs w:val="16"/>
          <w:rtl/>
        </w:rPr>
        <w:t>(מישרים נ"ל ח"א פב ע"ג)</w:t>
      </w:r>
      <w:r w:rsidRPr="001D49D4">
        <w:rPr>
          <w:rtl/>
        </w:rPr>
        <w:t>- בן בית אם הפקיד שום דבר או יש לו שום דבר - הכל בחזקת שהוא שלו, זולת אם נודע שהוא של אותו בעל הבית, ואפילו שלא היה אמוד וידוע שאין לו שום דבר אלא מאותו בעל הבית. ואם מת נותנים ליורשיו.</w:t>
      </w:r>
      <w:r w:rsidRPr="001D49D4">
        <w:rPr>
          <w:color w:val="00B0F0"/>
          <w:rtl/>
        </w:rPr>
        <w:t xml:space="preserve"> (וכ"פ הרמ"א)</w:t>
      </w:r>
    </w:p>
    <w:p w14:paraId="50659766" w14:textId="77777777" w:rsidR="001D49D4" w:rsidRPr="001D49D4" w:rsidRDefault="001D49D4" w:rsidP="0004348D">
      <w:pPr>
        <w:spacing w:before="360" w:after="240"/>
        <w:rPr>
          <w:rFonts w:ascii="Arial" w:eastAsia="Calibri" w:hAnsi="Arial" w:cs="Arial"/>
          <w:b/>
          <w:bCs/>
          <w:color w:val="000000"/>
          <w:sz w:val="28"/>
          <w:szCs w:val="28"/>
          <w:u w:val="single"/>
          <w:rtl/>
        </w:rPr>
      </w:pPr>
      <w:r w:rsidRPr="001D49D4">
        <w:rPr>
          <w:rFonts w:ascii="Arial" w:eastAsia="Calibri" w:hAnsi="Arial" w:cs="Arial"/>
          <w:b/>
          <w:bCs/>
          <w:color w:val="000000"/>
          <w:sz w:val="28"/>
          <w:szCs w:val="28"/>
          <w:u w:val="single"/>
          <w:rtl/>
        </w:rPr>
        <w:t>שו"ע:</w:t>
      </w:r>
    </w:p>
    <w:p w14:paraId="646E02B0"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rtl/>
        </w:rPr>
        <w:t>אשה הנושאת ונותנת בתוך הבית</w:t>
      </w:r>
      <w:r w:rsidRPr="001D49D4">
        <w:rPr>
          <w:rFonts w:ascii="Calibri" w:eastAsia="Calibri" w:hAnsi="Calibri" w:cs="Arial"/>
          <w:vertAlign w:val="superscript"/>
          <w:rtl/>
        </w:rPr>
        <w:footnoteReference w:id="4709"/>
      </w:r>
      <w:r w:rsidRPr="001D49D4">
        <w:rPr>
          <w:rFonts w:ascii="Calibri" w:eastAsia="Calibri" w:hAnsi="Calibri" w:cs="Arial"/>
          <w:rtl/>
        </w:rPr>
        <w:t>, והיו שטרות מקניית הקרקעות ועבדים או שטרי חובות כתובים על שמה, והיא אומרת שלי הם</w:t>
      </w:r>
      <w:r w:rsidRPr="001D49D4">
        <w:rPr>
          <w:rFonts w:ascii="Calibri" w:eastAsia="Calibri" w:hAnsi="Calibri" w:cs="Arial"/>
          <w:vertAlign w:val="superscript"/>
          <w:rtl/>
        </w:rPr>
        <w:footnoteReference w:id="4710"/>
      </w:r>
      <w:r w:rsidRPr="001D49D4">
        <w:rPr>
          <w:rFonts w:ascii="Calibri" w:eastAsia="Calibri" w:hAnsi="Calibri" w:cs="Arial"/>
          <w:rtl/>
        </w:rPr>
        <w:t xml:space="preserve">, </w:t>
      </w:r>
      <w:r w:rsidRPr="001D49D4">
        <w:rPr>
          <w:rFonts w:ascii="Calibri" w:eastAsia="Calibri" w:hAnsi="Calibri" w:cs="Arial"/>
          <w:sz w:val="18"/>
          <w:szCs w:val="18"/>
          <w:rtl/>
        </w:rPr>
        <w:t>[הגה] אפילו השטרות תחת ידה</w:t>
      </w:r>
      <w:r w:rsidRPr="001D49D4">
        <w:rPr>
          <w:rFonts w:ascii="Calibri" w:eastAsia="Calibri" w:hAnsi="Calibri" w:cs="Arial"/>
          <w:rtl/>
        </w:rPr>
        <w:t>, עליה להביא ראיה בעדים</w:t>
      </w:r>
      <w:r w:rsidRPr="001D49D4">
        <w:rPr>
          <w:rFonts w:ascii="Calibri" w:eastAsia="Calibri" w:hAnsi="Calibri" w:cs="Arial"/>
          <w:vertAlign w:val="superscript"/>
          <w:rtl/>
        </w:rPr>
        <w:footnoteReference w:id="4711"/>
      </w:r>
      <w:r w:rsidRPr="001D49D4">
        <w:rPr>
          <w:rFonts w:ascii="Calibri" w:eastAsia="Calibri" w:hAnsi="Calibri" w:cs="Arial"/>
          <w:rtl/>
        </w:rPr>
        <w:t xml:space="preserve"> שהוא כדבריה שהיה לה ממון מיוחד</w:t>
      </w:r>
      <w:r w:rsidRPr="001D49D4">
        <w:rPr>
          <w:rFonts w:ascii="Calibri" w:eastAsia="Calibri" w:hAnsi="Calibri" w:cs="Arial"/>
          <w:vertAlign w:val="superscript"/>
          <w:rtl/>
        </w:rPr>
        <w:footnoteReference w:id="4712"/>
      </w:r>
      <w:r w:rsidRPr="001D49D4">
        <w:rPr>
          <w:rFonts w:ascii="Calibri" w:eastAsia="Calibri" w:hAnsi="Calibri" w:cs="Arial"/>
          <w:rtl/>
        </w:rPr>
        <w:t>, ואין צריך שיעידו על אלו השטרות שהם שלה. והוא הדין אם נמצאו לה מטלטלי</w:t>
      </w:r>
      <w:r w:rsidRPr="001D49D4">
        <w:rPr>
          <w:rFonts w:ascii="Calibri" w:eastAsia="Calibri" w:hAnsi="Calibri" w:cs="Arial"/>
          <w:vertAlign w:val="superscript"/>
          <w:rtl/>
        </w:rPr>
        <w:footnoteReference w:id="4713"/>
      </w:r>
      <w:r w:rsidRPr="001D49D4">
        <w:rPr>
          <w:rFonts w:ascii="Calibri" w:eastAsia="Calibri" w:hAnsi="Calibri" w:cs="Arial"/>
          <w:rtl/>
        </w:rPr>
        <w:t xml:space="preserve"> ברשותה, עליה להביא ראיה. </w:t>
      </w:r>
      <w:r w:rsidRPr="001D49D4">
        <w:rPr>
          <w:rFonts w:ascii="Calibri" w:eastAsia="Calibri" w:hAnsi="Calibri" w:cs="Arial"/>
          <w:sz w:val="18"/>
          <w:szCs w:val="18"/>
          <w:rtl/>
        </w:rPr>
        <w:t>הגה: ואפילו אלמנה, ואפילו היו השטרות בידה</w:t>
      </w:r>
      <w:r w:rsidRPr="001D49D4">
        <w:rPr>
          <w:rFonts w:ascii="Calibri" w:eastAsia="Calibri" w:hAnsi="Calibri" w:cs="Arial"/>
          <w:sz w:val="18"/>
          <w:szCs w:val="18"/>
          <w:vertAlign w:val="superscript"/>
          <w:rtl/>
        </w:rPr>
        <w:footnoteReference w:id="4714"/>
      </w:r>
      <w:r w:rsidRPr="001D49D4">
        <w:rPr>
          <w:rFonts w:ascii="Calibri" w:eastAsia="Calibri" w:hAnsi="Calibri" w:cs="Arial"/>
          <w:sz w:val="18"/>
          <w:szCs w:val="18"/>
          <w:rtl/>
        </w:rPr>
        <w:t xml:space="preserve"> </w:t>
      </w:r>
      <w:r w:rsidRPr="001D49D4">
        <w:rPr>
          <w:rFonts w:ascii="Calibri" w:eastAsia="Calibri" w:hAnsi="Calibri" w:cs="Arial"/>
          <w:sz w:val="16"/>
          <w:szCs w:val="16"/>
          <w:rtl/>
        </w:rPr>
        <w:t>(מרדכי ב"ב סי' תקסב)</w:t>
      </w:r>
      <w:r w:rsidRPr="001D49D4">
        <w:rPr>
          <w:rFonts w:ascii="Calibri" w:eastAsia="Calibri" w:hAnsi="Calibri" w:cs="Arial"/>
          <w:sz w:val="18"/>
          <w:szCs w:val="18"/>
          <w:rtl/>
        </w:rPr>
        <w:t>. לא היתה נושאת ונותנת תוך הבית</w:t>
      </w:r>
      <w:r w:rsidRPr="001D49D4">
        <w:rPr>
          <w:rFonts w:ascii="Calibri" w:eastAsia="Calibri" w:hAnsi="Calibri" w:cs="Arial"/>
          <w:sz w:val="18"/>
          <w:szCs w:val="18"/>
          <w:vertAlign w:val="superscript"/>
          <w:rtl/>
        </w:rPr>
        <w:footnoteReference w:id="4715"/>
      </w:r>
      <w:r w:rsidRPr="001D49D4">
        <w:rPr>
          <w:rFonts w:ascii="Calibri" w:eastAsia="Calibri" w:hAnsi="Calibri" w:cs="Arial"/>
          <w:sz w:val="18"/>
          <w:szCs w:val="18"/>
          <w:rtl/>
        </w:rPr>
        <w:t xml:space="preserve">, והיו שטרות כתובים על שמה, הם שלה. היו כתובים על שמה ועל שם בעלה, הם שותפות של שניהם </w:t>
      </w:r>
      <w:r w:rsidRPr="001D49D4">
        <w:rPr>
          <w:rFonts w:ascii="Calibri" w:eastAsia="Calibri" w:hAnsi="Calibri" w:cs="Arial"/>
          <w:sz w:val="16"/>
          <w:szCs w:val="16"/>
          <w:rtl/>
        </w:rPr>
        <w:t>(טור אהע"ז ס"ס פו)</w:t>
      </w:r>
      <w:r w:rsidRPr="001D49D4">
        <w:rPr>
          <w:rFonts w:ascii="Calibri" w:eastAsia="Calibri" w:hAnsi="Calibri" w:cs="Arial"/>
          <w:sz w:val="18"/>
          <w:szCs w:val="18"/>
          <w:rtl/>
        </w:rPr>
        <w:t>. וסתם אשה נושאת ונותנת תוך הבית</w:t>
      </w:r>
      <w:r w:rsidRPr="001D49D4">
        <w:rPr>
          <w:rFonts w:ascii="Calibri" w:eastAsia="Calibri" w:hAnsi="Calibri" w:cs="Arial"/>
          <w:sz w:val="18"/>
          <w:szCs w:val="18"/>
          <w:vertAlign w:val="superscript"/>
          <w:rtl/>
        </w:rPr>
        <w:footnoteReference w:id="4716"/>
      </w:r>
      <w:r w:rsidRPr="001D49D4">
        <w:rPr>
          <w:rFonts w:ascii="Calibri" w:eastAsia="Calibri" w:hAnsi="Calibri" w:cs="Arial"/>
          <w:sz w:val="18"/>
          <w:szCs w:val="18"/>
          <w:rtl/>
        </w:rPr>
        <w:t xml:space="preserve"> </w:t>
      </w:r>
      <w:r w:rsidRPr="001D49D4">
        <w:rPr>
          <w:rFonts w:ascii="Calibri" w:eastAsia="Calibri" w:hAnsi="Calibri" w:cs="Arial"/>
          <w:sz w:val="16"/>
          <w:szCs w:val="16"/>
          <w:rtl/>
        </w:rPr>
        <w:t>(מרדכי פ' חזקת הבתים והרשב"א שם)</w:t>
      </w:r>
      <w:r w:rsidRPr="001D49D4">
        <w:rPr>
          <w:rFonts w:ascii="Calibri" w:eastAsia="Calibri" w:hAnsi="Calibri" w:cs="Arial"/>
          <w:sz w:val="18"/>
          <w:szCs w:val="18"/>
          <w:rtl/>
        </w:rPr>
        <w:t>. אשה שכתבה לאחרים שמה שתחת ידיה הוא של אחרים, אם ידוע</w:t>
      </w:r>
      <w:r w:rsidRPr="001D49D4">
        <w:rPr>
          <w:rFonts w:ascii="Calibri" w:eastAsia="Calibri" w:hAnsi="Calibri" w:cs="Arial"/>
          <w:sz w:val="18"/>
          <w:szCs w:val="18"/>
          <w:vertAlign w:val="superscript"/>
          <w:rtl/>
        </w:rPr>
        <w:footnoteReference w:id="4717"/>
      </w:r>
      <w:r w:rsidRPr="001D49D4">
        <w:rPr>
          <w:rFonts w:ascii="Calibri" w:eastAsia="Calibri" w:hAnsi="Calibri" w:cs="Arial"/>
          <w:sz w:val="18"/>
          <w:szCs w:val="18"/>
          <w:rtl/>
        </w:rPr>
        <w:t xml:space="preserve"> שהיה לה ממון שאינו של בעלה, נאמנת, ואין הבעל יכול לומר שהוא שלו </w:t>
      </w:r>
      <w:r w:rsidRPr="001D49D4">
        <w:rPr>
          <w:rFonts w:ascii="Calibri" w:eastAsia="Calibri" w:hAnsi="Calibri" w:cs="Arial"/>
          <w:sz w:val="16"/>
          <w:szCs w:val="16"/>
          <w:rtl/>
        </w:rPr>
        <w:t>(ב"י אהע"ז סי' פו בשם הרשב"א)</w:t>
      </w:r>
      <w:r w:rsidRPr="001D49D4">
        <w:rPr>
          <w:rFonts w:ascii="Calibri" w:eastAsia="Calibri" w:hAnsi="Calibri" w:cs="Arial"/>
          <w:sz w:val="18"/>
          <w:szCs w:val="18"/>
          <w:rtl/>
        </w:rPr>
        <w:t>. יש מי שאומר שאם היו שטרות כתובים על שמה, אע"פ שהיא אינה נאמנת מאחר שנושאת ונותנת תוך הבית, מכל מקום אם מתה, טוענין ליורשים שהיא שלה</w:t>
      </w:r>
      <w:r w:rsidRPr="001D49D4">
        <w:rPr>
          <w:rFonts w:ascii="Calibri" w:eastAsia="Calibri" w:hAnsi="Calibri" w:cs="Arial"/>
          <w:sz w:val="18"/>
          <w:szCs w:val="18"/>
          <w:vertAlign w:val="superscript"/>
          <w:rtl/>
        </w:rPr>
        <w:footnoteReference w:id="4718"/>
      </w:r>
      <w:r w:rsidRPr="001D49D4">
        <w:rPr>
          <w:rFonts w:ascii="Calibri" w:eastAsia="Calibri" w:hAnsi="Calibri" w:cs="Arial"/>
          <w:sz w:val="18"/>
          <w:szCs w:val="18"/>
          <w:rtl/>
        </w:rPr>
        <w:t xml:space="preserve">, וכמו שיתבאר בסמוך לענין האחין </w:t>
      </w:r>
      <w:r w:rsidRPr="001D49D4">
        <w:rPr>
          <w:rFonts w:ascii="Calibri" w:eastAsia="Calibri" w:hAnsi="Calibri" w:cs="Arial"/>
          <w:sz w:val="16"/>
          <w:szCs w:val="16"/>
          <w:rtl/>
        </w:rPr>
        <w:t>(רשב"א סי' תתעט וריב"ש סי' קסט)</w:t>
      </w:r>
      <w:r w:rsidRPr="001D49D4">
        <w:rPr>
          <w:rFonts w:ascii="Calibri" w:eastAsia="Calibri" w:hAnsi="Calibri" w:cs="Arial"/>
          <w:sz w:val="18"/>
          <w:szCs w:val="18"/>
          <w:rtl/>
        </w:rPr>
        <w:t xml:space="preserve">, וכן נ"ל. ועיין עוד מדינין אלו באהע"ז סי' פ"ו. </w:t>
      </w:r>
      <w:r w:rsidRPr="001D49D4">
        <w:rPr>
          <w:rFonts w:ascii="Calibri" w:eastAsia="Calibri" w:hAnsi="Calibri" w:cs="Arial"/>
          <w:rtl/>
        </w:rPr>
        <w:t>וכן אחד מהאחים שנושא ונותן בתוך הבית, ושטרות עשויים על שמו, ואומר שלי הם שנפלו לי מבית אמי, או מציאה מצאתי</w:t>
      </w:r>
      <w:r w:rsidRPr="001D49D4">
        <w:rPr>
          <w:rFonts w:ascii="Calibri" w:eastAsia="Calibri" w:hAnsi="Calibri" w:cs="Arial"/>
          <w:vertAlign w:val="superscript"/>
          <w:rtl/>
        </w:rPr>
        <w:footnoteReference w:id="4719"/>
      </w:r>
      <w:r w:rsidRPr="001D49D4">
        <w:rPr>
          <w:rFonts w:ascii="Calibri" w:eastAsia="Calibri" w:hAnsi="Calibri" w:cs="Arial"/>
          <w:rtl/>
        </w:rPr>
        <w:t>, או מתנה ניתנה לי, עליו להביא ראיה בעדים. ואם מת והניח יתומים, אז צריכים האחים</w:t>
      </w:r>
      <w:r w:rsidRPr="001D49D4">
        <w:rPr>
          <w:rFonts w:ascii="Calibri" w:eastAsia="Calibri" w:hAnsi="Calibri" w:cs="Arial"/>
          <w:vertAlign w:val="superscript"/>
          <w:rtl/>
        </w:rPr>
        <w:footnoteReference w:id="4720"/>
      </w:r>
      <w:r w:rsidRPr="001D49D4">
        <w:rPr>
          <w:rFonts w:ascii="Calibri" w:eastAsia="Calibri" w:hAnsi="Calibri" w:cs="Arial"/>
          <w:rtl/>
        </w:rPr>
        <w:t xml:space="preserve"> להביא ראיה בעדים. </w:t>
      </w:r>
      <w:r w:rsidRPr="001D49D4">
        <w:rPr>
          <w:rFonts w:ascii="Calibri" w:eastAsia="Calibri" w:hAnsi="Calibri" w:cs="Arial"/>
          <w:sz w:val="18"/>
          <w:szCs w:val="18"/>
          <w:rtl/>
        </w:rPr>
        <w:t xml:space="preserve">הגה: ודוקא בדבר שאינו ידוע שהיה של אחין, אבל  בדבר ידוע שהיה של אחין, על היתומים להביא ראיה </w:t>
      </w:r>
      <w:r w:rsidRPr="001D49D4">
        <w:rPr>
          <w:rFonts w:ascii="Calibri" w:eastAsia="Calibri" w:hAnsi="Calibri" w:cs="Arial"/>
          <w:sz w:val="16"/>
          <w:szCs w:val="16"/>
          <w:rtl/>
        </w:rPr>
        <w:t>(מרדכי ר"פ חזקת הבתים)</w:t>
      </w:r>
      <w:r w:rsidRPr="001D49D4">
        <w:rPr>
          <w:rFonts w:ascii="Calibri" w:eastAsia="Calibri" w:hAnsi="Calibri" w:cs="Arial"/>
          <w:sz w:val="18"/>
          <w:szCs w:val="18"/>
          <w:rtl/>
        </w:rPr>
        <w:t xml:space="preserve">. </w:t>
      </w:r>
      <w:r w:rsidRPr="001D49D4">
        <w:rPr>
          <w:rFonts w:ascii="Calibri" w:eastAsia="Calibri" w:hAnsi="Calibri" w:cs="Arial"/>
          <w:rtl/>
        </w:rPr>
        <w:t>ואם היו חלוקין בעיסתן</w:t>
      </w:r>
      <w:r w:rsidRPr="001D49D4">
        <w:rPr>
          <w:rFonts w:ascii="Calibri" w:eastAsia="Calibri" w:hAnsi="Calibri" w:cs="Arial"/>
          <w:vertAlign w:val="superscript"/>
          <w:rtl/>
        </w:rPr>
        <w:footnoteReference w:id="4721"/>
      </w:r>
      <w:r w:rsidRPr="001D49D4">
        <w:rPr>
          <w:rFonts w:ascii="Calibri" w:eastAsia="Calibri" w:hAnsi="Calibri" w:cs="Arial"/>
          <w:rtl/>
        </w:rPr>
        <w:t xml:space="preserve"> או בשום דבר, על האחים להביא ראיה, ואפילו בחייו, משום דאימור מעיסתו קמץ. ואפילו אומר מבית אבי אמא נפלו, נאמן במיגו. </w:t>
      </w:r>
      <w:r w:rsidRPr="001D49D4">
        <w:rPr>
          <w:rFonts w:ascii="Calibri" w:eastAsia="Calibri" w:hAnsi="Calibri" w:cs="Arial"/>
          <w:sz w:val="18"/>
          <w:szCs w:val="18"/>
          <w:rtl/>
        </w:rPr>
        <w:t>הגה: ודוקא שהשטרות כתובין על שמו, אבל כתוב על שם האחין או על שם אביהם</w:t>
      </w:r>
      <w:r w:rsidRPr="001D49D4">
        <w:rPr>
          <w:rFonts w:ascii="Calibri" w:eastAsia="Calibri" w:hAnsi="Calibri" w:cs="Arial"/>
          <w:sz w:val="18"/>
          <w:szCs w:val="18"/>
          <w:vertAlign w:val="superscript"/>
          <w:rtl/>
        </w:rPr>
        <w:footnoteReference w:id="4722"/>
      </w:r>
      <w:r w:rsidRPr="001D49D4">
        <w:rPr>
          <w:rFonts w:ascii="Calibri" w:eastAsia="Calibri" w:hAnsi="Calibri" w:cs="Arial"/>
          <w:sz w:val="18"/>
          <w:szCs w:val="18"/>
          <w:rtl/>
        </w:rPr>
        <w:t xml:space="preserve">, לא יוכל לומר ששלו הוא, ואפילו מת על היתומים להביא ראיה בעדים </w:t>
      </w:r>
      <w:r w:rsidRPr="001D49D4">
        <w:rPr>
          <w:rFonts w:ascii="Calibri" w:eastAsia="Calibri" w:hAnsi="Calibri" w:cs="Arial"/>
          <w:sz w:val="16"/>
          <w:szCs w:val="16"/>
          <w:rtl/>
        </w:rPr>
        <w:t>(ב"י בשם בעה"ת ורמב"ם פ"ט מהל' נחלות והרא"ש כלל פה)</w:t>
      </w:r>
      <w:r w:rsidRPr="001D49D4">
        <w:rPr>
          <w:rFonts w:ascii="Calibri" w:eastAsia="Calibri" w:hAnsi="Calibri" w:cs="Arial"/>
          <w:sz w:val="18"/>
          <w:szCs w:val="18"/>
          <w:rtl/>
        </w:rPr>
        <w:t>. וכל זה באשה או אחין, אבל בן בית</w:t>
      </w:r>
      <w:r w:rsidRPr="001D49D4">
        <w:rPr>
          <w:rFonts w:ascii="Calibri" w:eastAsia="Calibri" w:hAnsi="Calibri" w:cs="Arial"/>
          <w:sz w:val="18"/>
          <w:szCs w:val="18"/>
          <w:vertAlign w:val="superscript"/>
          <w:rtl/>
        </w:rPr>
        <w:footnoteReference w:id="4723"/>
      </w:r>
      <w:r w:rsidRPr="001D49D4">
        <w:rPr>
          <w:rFonts w:ascii="Calibri" w:eastAsia="Calibri" w:hAnsi="Calibri" w:cs="Arial"/>
          <w:sz w:val="18"/>
          <w:szCs w:val="18"/>
          <w:rtl/>
        </w:rPr>
        <w:t xml:space="preserve"> שנושא ונותן בשל בעל הבית, כל מה שהפקיד או שנמצא תחת ידו הוא בחזקת שהוא שלו, זולתי אם נודע שהוא של בעל הבית, אפילו אינו אמיד, וידוע שלא היה לו שום דבר חוץ משל בעל הבית. ואם מת נותנין ליורשיו </w:t>
      </w:r>
      <w:r w:rsidRPr="001D49D4">
        <w:rPr>
          <w:rFonts w:ascii="Calibri" w:eastAsia="Calibri" w:hAnsi="Calibri" w:cs="Arial"/>
          <w:sz w:val="16"/>
          <w:szCs w:val="16"/>
          <w:rtl/>
        </w:rPr>
        <w:t>(רי"ו)</w:t>
      </w:r>
      <w:r w:rsidRPr="001D49D4">
        <w:rPr>
          <w:rFonts w:ascii="Calibri" w:eastAsia="Calibri" w:hAnsi="Calibri" w:cs="Arial"/>
          <w:sz w:val="18"/>
          <w:szCs w:val="18"/>
          <w:rtl/>
        </w:rPr>
        <w:t>.</w:t>
      </w:r>
    </w:p>
    <w:p w14:paraId="6B6A0396" w14:textId="77777777" w:rsidR="001D49D4" w:rsidRPr="001D49D4" w:rsidRDefault="001D49D4" w:rsidP="0004348D">
      <w:pPr>
        <w:spacing w:before="360" w:after="240"/>
        <w:rPr>
          <w:rFonts w:ascii="Calibri" w:eastAsia="Calibri" w:hAnsi="Calibri" w:cs="Arial"/>
          <w:rtl/>
        </w:rPr>
      </w:pPr>
    </w:p>
    <w:p w14:paraId="5D186FAD" w14:textId="77777777" w:rsidR="001D49D4" w:rsidRPr="001D49D4" w:rsidRDefault="001D49D4" w:rsidP="0004348D">
      <w:pPr>
        <w:bidi w:val="0"/>
        <w:spacing w:before="360" w:after="240"/>
        <w:rPr>
          <w:rFonts w:ascii="Cambria" w:eastAsia="Times New Roman" w:hAnsi="Cambria" w:cs="Arial"/>
          <w:b/>
          <w:bCs/>
          <w:color w:val="365F91" w:themeColor="accent1" w:themeShade="BF"/>
          <w:sz w:val="28"/>
          <w:szCs w:val="28"/>
          <w:rtl/>
        </w:rPr>
        <w:sectPr w:rsidR="001D49D4" w:rsidRPr="001D49D4">
          <w:headerReference w:type="default" r:id="rId71"/>
          <w:footnotePr>
            <w:numRestart w:val="eachPage"/>
          </w:footnotePr>
          <w:pgSz w:w="11906" w:h="16838"/>
          <w:pgMar w:top="720" w:right="1134" w:bottom="720" w:left="1134" w:header="0" w:footer="0" w:gutter="0"/>
          <w:cols w:space="720"/>
          <w:bidi/>
          <w:rtlGutter/>
        </w:sectPr>
      </w:pPr>
    </w:p>
    <w:p w14:paraId="0D812621" w14:textId="77777777" w:rsidR="001D49D4" w:rsidRPr="001D49D4" w:rsidRDefault="001D49D4" w:rsidP="0004348D">
      <w:pPr>
        <w:keepNext/>
        <w:keepLines/>
        <w:spacing w:before="360" w:after="240"/>
        <w:outlineLvl w:val="0"/>
        <w:rPr>
          <w:rFonts w:ascii="Cambria" w:eastAsia="Times New Roman" w:hAnsi="Cambria" w:cs="Arial"/>
          <w:b/>
          <w:bCs/>
          <w:color w:val="365F91" w:themeColor="accent1" w:themeShade="BF"/>
          <w:sz w:val="28"/>
          <w:szCs w:val="28"/>
          <w:rtl/>
        </w:rPr>
      </w:pPr>
      <w:bookmarkStart w:id="638" w:name="_Toc24884064"/>
      <w:r w:rsidRPr="001D49D4">
        <w:rPr>
          <w:rFonts w:ascii="Cambria" w:eastAsia="Times New Roman" w:hAnsi="Cambria" w:cs="Arial"/>
          <w:b/>
          <w:bCs/>
          <w:color w:val="365F91" w:themeColor="accent1" w:themeShade="BF"/>
          <w:sz w:val="28"/>
          <w:szCs w:val="28"/>
          <w:rtl/>
        </w:rPr>
        <w:t>סימן סג: מי שהועד עליו שמחזר אחר זיוף, ובו ב' סעיפים.</w:t>
      </w:r>
      <w:bookmarkEnd w:id="638"/>
      <w:r w:rsidRPr="001D49D4">
        <w:rPr>
          <w:rFonts w:ascii="Cambria" w:eastAsia="Times New Roman" w:hAnsi="Cambria" w:cs="Arial"/>
          <w:b/>
          <w:bCs/>
          <w:color w:val="365F91" w:themeColor="accent1" w:themeShade="BF"/>
          <w:sz w:val="28"/>
          <w:szCs w:val="28"/>
          <w:rtl/>
        </w:rPr>
        <w:t xml:space="preserve"> </w:t>
      </w:r>
    </w:p>
    <w:p w14:paraId="2EA07125" w14:textId="77777777" w:rsidR="001D49D4" w:rsidRPr="001D49D4" w:rsidRDefault="001D49D4" w:rsidP="0004348D">
      <w:pPr>
        <w:keepNext/>
        <w:keepLines/>
        <w:spacing w:before="360" w:after="240"/>
        <w:outlineLvl w:val="1"/>
        <w:rPr>
          <w:rFonts w:ascii="Cambria" w:eastAsia="Times New Roman" w:hAnsi="Cambria" w:cs="Arial"/>
          <w:bCs/>
          <w:color w:val="548DD4" w:themeColor="text2" w:themeTint="99"/>
          <w:sz w:val="26"/>
          <w:szCs w:val="26"/>
          <w:rtl/>
        </w:rPr>
      </w:pPr>
      <w:bookmarkStart w:id="639" w:name="_Toc24884065"/>
      <w:r w:rsidRPr="001D49D4">
        <w:rPr>
          <w:rFonts w:ascii="Cambria" w:eastAsia="Times New Roman" w:hAnsi="Cambria" w:cs="Arial"/>
          <w:bCs/>
          <w:color w:val="548DD4" w:themeColor="text2" w:themeTint="99"/>
          <w:sz w:val="26"/>
          <w:szCs w:val="26"/>
          <w:rtl/>
        </w:rPr>
        <w:t>סעיף א: עדים שהעידו על אחד שמחזר אחד זיוף שטר.</w:t>
      </w:r>
      <w:bookmarkEnd w:id="639"/>
    </w:p>
    <w:p w14:paraId="5C2151E9"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b/>
          <w:bCs/>
          <w:rtl/>
        </w:rPr>
        <w:t xml:space="preserve">כתובות </w:t>
      </w:r>
      <w:r w:rsidRPr="001D49D4">
        <w:rPr>
          <w:rFonts w:ascii="Calibri" w:eastAsia="Calibri" w:hAnsi="Calibri" w:cs="Arial"/>
          <w:b/>
          <w:bCs/>
          <w:sz w:val="16"/>
          <w:szCs w:val="16"/>
          <w:rtl/>
        </w:rPr>
        <w:t>(פרק אלו נערות)</w:t>
      </w:r>
      <w:r w:rsidRPr="001D49D4">
        <w:rPr>
          <w:rFonts w:ascii="Calibri" w:eastAsia="Calibri" w:hAnsi="Calibri" w:cs="Arial"/>
          <w:b/>
          <w:bCs/>
          <w:rtl/>
        </w:rPr>
        <w:t xml:space="preserve"> לו</w:t>
      </w:r>
      <w:r w:rsidRPr="001D49D4">
        <w:rPr>
          <w:rFonts w:ascii="Calibri" w:eastAsia="Calibri" w:hAnsi="Calibri" w:cs="Arial"/>
          <w:b/>
          <w:bCs/>
          <w:vertAlign w:val="superscript"/>
          <w:rtl/>
        </w:rPr>
        <w:footnoteReference w:id="4724"/>
      </w:r>
      <w:r w:rsidRPr="001D49D4">
        <w:rPr>
          <w:rFonts w:ascii="Calibri" w:eastAsia="Calibri" w:hAnsi="Calibri" w:cs="Arial"/>
          <w:b/>
          <w:bCs/>
          <w:rtl/>
        </w:rPr>
        <w:t xml:space="preserve"> ע"ב:</w:t>
      </w:r>
      <w:r w:rsidRPr="001D49D4">
        <w:rPr>
          <w:rFonts w:ascii="Calibri" w:eastAsia="Calibri" w:hAnsi="Calibri" w:cs="Arial"/>
          <w:rtl/>
        </w:rPr>
        <w:t xml:space="preserve"> </w:t>
      </w:r>
      <w:r w:rsidRPr="001D49D4">
        <w:rPr>
          <w:rFonts w:ascii="Calibri" w:eastAsia="Calibri" w:hAnsi="Calibri" w:cs="Arial"/>
          <w:u w:val="single"/>
          <w:rtl/>
        </w:rPr>
        <w:t>אמר רב פפא</w:t>
      </w:r>
      <w:r w:rsidRPr="001D49D4">
        <w:rPr>
          <w:rFonts w:ascii="Calibri" w:eastAsia="Calibri" w:hAnsi="Calibri" w:cs="Arial"/>
          <w:rtl/>
        </w:rPr>
        <w:t xml:space="preserve">: ש"מ, האי שטרא ריעא לא מגבינן ביה. היכי דמי?... דאתו בי תרי ואמרי: לדידהו אמר להו זייפו לי... </w:t>
      </w:r>
      <w:bookmarkStart w:id="640" w:name="_Hlk22070661"/>
      <w:r w:rsidRPr="001D49D4">
        <w:rPr>
          <w:rFonts w:ascii="Calibri" w:eastAsia="Calibri" w:hAnsi="Calibri" w:cs="Arial"/>
          <w:rtl/>
        </w:rPr>
        <w:t xml:space="preserve">אם הוא הוחזק, כל ישראל מי הוחזקו? </w:t>
      </w:r>
      <w:bookmarkEnd w:id="640"/>
      <w:r w:rsidRPr="001D49D4">
        <w:rPr>
          <w:rFonts w:ascii="Calibri" w:eastAsia="Calibri" w:hAnsi="Calibri" w:cs="Arial"/>
          <w:rtl/>
        </w:rPr>
        <w:t>הכא נמי, כיון דקא מהדר אזיופא, אימר זיופי זייף</w:t>
      </w:r>
      <w:r w:rsidRPr="001D49D4">
        <w:rPr>
          <w:rFonts w:ascii="Calibri" w:eastAsia="Calibri" w:hAnsi="Calibri" w:cs="Arial"/>
          <w:vertAlign w:val="superscript"/>
          <w:rtl/>
        </w:rPr>
        <w:footnoteReference w:id="4725"/>
      </w:r>
      <w:r w:rsidRPr="001D49D4">
        <w:rPr>
          <w:rFonts w:ascii="Calibri" w:eastAsia="Calibri" w:hAnsi="Calibri" w:cs="Arial"/>
          <w:rtl/>
        </w:rPr>
        <w:t xml:space="preserve"> וכתב. </w:t>
      </w:r>
    </w:p>
    <w:p w14:paraId="05503DB3" w14:textId="77777777" w:rsidR="001D49D4" w:rsidRPr="001D49D4" w:rsidRDefault="001D49D4" w:rsidP="0004348D">
      <w:pPr>
        <w:spacing w:before="360" w:after="240"/>
        <w:rPr>
          <w:rFonts w:ascii="Calibri" w:eastAsia="Calibri" w:hAnsi="Calibri" w:cs="Arial"/>
          <w:u w:val="single"/>
          <w:rtl/>
        </w:rPr>
      </w:pPr>
      <w:r w:rsidRPr="001D49D4">
        <w:rPr>
          <w:rFonts w:ascii="Calibri" w:eastAsia="Calibri" w:hAnsi="Calibri" w:cs="Arial"/>
          <w:u w:val="single"/>
          <w:rtl/>
        </w:rPr>
        <w:t xml:space="preserve">עדים שהעידו על אחד שמחזר אחד זיוף שטר </w:t>
      </w:r>
      <w:r w:rsidRPr="001D49D4">
        <w:rPr>
          <w:rFonts w:ascii="Calibri" w:eastAsia="Calibri" w:hAnsi="Calibri" w:cs="Arial"/>
          <w:b/>
          <w:bCs/>
          <w:u w:val="single"/>
          <w:rtl/>
        </w:rPr>
        <w:t>מסויים</w:t>
      </w:r>
      <w:r w:rsidRPr="001D49D4">
        <w:rPr>
          <w:rFonts w:ascii="Calibri" w:eastAsia="Calibri" w:hAnsi="Calibri" w:cs="Arial"/>
          <w:u w:val="single"/>
          <w:rtl/>
        </w:rPr>
        <w:t>:</w:t>
      </w:r>
    </w:p>
    <w:p w14:paraId="725BBEA3" w14:textId="77777777" w:rsidR="001D49D4" w:rsidRPr="001D49D4" w:rsidRDefault="001D49D4" w:rsidP="0004348D">
      <w:pPr>
        <w:numPr>
          <w:ilvl w:val="0"/>
          <w:numId w:val="320"/>
        </w:numPr>
        <w:spacing w:before="360" w:after="240"/>
        <w:contextualSpacing/>
        <w:rPr>
          <w:rtl/>
        </w:rPr>
      </w:pPr>
      <w:r w:rsidRPr="001D49D4">
        <w:rPr>
          <w:rtl/>
        </w:rPr>
        <w:t>רמב"ם</w:t>
      </w:r>
      <w:r w:rsidRPr="001D49D4">
        <w:rPr>
          <w:vertAlign w:val="superscript"/>
          <w:rtl/>
        </w:rPr>
        <w:footnoteReference w:id="4726"/>
      </w:r>
      <w:r w:rsidRPr="001D49D4">
        <w:rPr>
          <w:rtl/>
        </w:rPr>
        <w:t xml:space="preserve"> </w:t>
      </w:r>
      <w:r w:rsidRPr="001D49D4">
        <w:rPr>
          <w:sz w:val="16"/>
          <w:szCs w:val="16"/>
          <w:rtl/>
        </w:rPr>
        <w:t>(פכ"ב מעדות ה"ה)</w:t>
      </w:r>
      <w:r w:rsidRPr="001D49D4">
        <w:rPr>
          <w:rtl/>
        </w:rPr>
        <w:t xml:space="preserve"> רא"ש </w:t>
      </w:r>
      <w:r w:rsidRPr="001D49D4">
        <w:rPr>
          <w:sz w:val="16"/>
          <w:szCs w:val="16"/>
          <w:rtl/>
        </w:rPr>
        <w:t>(פ"ג סי' ג)</w:t>
      </w:r>
      <w:r w:rsidRPr="001D49D4">
        <w:rPr>
          <w:rtl/>
        </w:rPr>
        <w:t xml:space="preserve"> וטור- עדים שהעידו על ראובן, שבא להם שיזייפו שטר של מנה על שמעון, ואח"כ הוציא שטר של מנה על שמעון - אין גובין לו בו</w:t>
      </w:r>
      <w:r w:rsidRPr="001D49D4">
        <w:rPr>
          <w:vertAlign w:val="superscript"/>
          <w:rtl/>
        </w:rPr>
        <w:footnoteReference w:id="4727"/>
      </w:r>
      <w:r w:rsidRPr="001D49D4">
        <w:rPr>
          <w:rtl/>
        </w:rPr>
        <w:t xml:space="preserve"> אפילו אם הוא מקוים </w:t>
      </w:r>
      <w:r w:rsidRPr="001D49D4">
        <w:rPr>
          <w:sz w:val="16"/>
          <w:szCs w:val="16"/>
          <w:rtl/>
        </w:rPr>
        <w:t>(ל' הטור)</w:t>
      </w:r>
      <w:r w:rsidRPr="001D49D4">
        <w:rPr>
          <w:rtl/>
        </w:rPr>
        <w:t xml:space="preserve">. </w:t>
      </w:r>
      <w:r w:rsidRPr="001D49D4">
        <w:rPr>
          <w:color w:val="E36C0A" w:themeColor="accent6" w:themeShade="BF"/>
          <w:rtl/>
        </w:rPr>
        <w:t>(וכ"פ בשו"ע</w:t>
      </w:r>
      <w:r w:rsidRPr="001D49D4">
        <w:rPr>
          <w:color w:val="000000" w:themeColor="text1"/>
          <w:sz w:val="16"/>
          <w:szCs w:val="16"/>
          <w:rtl/>
        </w:rPr>
        <w:t xml:space="preserve"> [כאן ובסי' לא ס"ד]</w:t>
      </w:r>
      <w:r w:rsidRPr="001D49D4">
        <w:rPr>
          <w:color w:val="E36C0A" w:themeColor="accent6" w:themeShade="BF"/>
          <w:rtl/>
        </w:rPr>
        <w:t>)</w:t>
      </w:r>
    </w:p>
    <w:p w14:paraId="44AD5F69" w14:textId="77777777" w:rsidR="001D49D4" w:rsidRPr="001D49D4" w:rsidRDefault="001D49D4" w:rsidP="0004348D">
      <w:pPr>
        <w:spacing w:before="360" w:after="240"/>
        <w:ind w:left="360"/>
        <w:rPr>
          <w:rFonts w:ascii="Calibri" w:eastAsia="Calibri" w:hAnsi="Calibri" w:cs="Arial"/>
          <w:u w:val="dotted"/>
        </w:rPr>
      </w:pPr>
      <w:r w:rsidRPr="001D49D4">
        <w:rPr>
          <w:rFonts w:ascii="Calibri" w:eastAsia="Calibri" w:hAnsi="Calibri" w:cs="Arial"/>
          <w:u w:val="dotted"/>
          <w:rtl/>
        </w:rPr>
        <w:t>ומה הדין אם עדי השטר מעידים בעצמן על כתב ידם:</w:t>
      </w:r>
    </w:p>
    <w:p w14:paraId="4A322413" w14:textId="77777777" w:rsidR="001D49D4" w:rsidRPr="001D49D4" w:rsidRDefault="001D49D4" w:rsidP="0004348D">
      <w:pPr>
        <w:numPr>
          <w:ilvl w:val="0"/>
          <w:numId w:val="320"/>
        </w:numPr>
        <w:spacing w:before="360" w:after="240"/>
        <w:contextualSpacing/>
      </w:pPr>
      <w:r w:rsidRPr="001D49D4">
        <w:rPr>
          <w:rtl/>
        </w:rPr>
        <w:t xml:space="preserve">רמב"ם </w:t>
      </w:r>
      <w:r w:rsidRPr="001D49D4">
        <w:rPr>
          <w:sz w:val="16"/>
          <w:szCs w:val="16"/>
          <w:rtl/>
        </w:rPr>
        <w:t>(שם)</w:t>
      </w:r>
      <w:r w:rsidRPr="001D49D4">
        <w:rPr>
          <w:rtl/>
        </w:rPr>
        <w:t xml:space="preserve"> רא"ש </w:t>
      </w:r>
      <w:r w:rsidRPr="001D49D4">
        <w:rPr>
          <w:sz w:val="16"/>
          <w:szCs w:val="16"/>
          <w:rtl/>
        </w:rPr>
        <w:t>(שם)</w:t>
      </w:r>
      <w:r w:rsidRPr="001D49D4">
        <w:rPr>
          <w:rtl/>
        </w:rPr>
        <w:t xml:space="preserve"> וטור- יראה לי שאם באו עדי השטר והעידו הן בעצמן על כתב ידן גובין בו</w:t>
      </w:r>
      <w:r w:rsidRPr="001D49D4">
        <w:rPr>
          <w:vertAlign w:val="superscript"/>
          <w:rtl/>
        </w:rPr>
        <w:footnoteReference w:id="4728"/>
      </w:r>
      <w:r w:rsidRPr="001D49D4">
        <w:rPr>
          <w:rtl/>
        </w:rPr>
        <w:t xml:space="preserve"> </w:t>
      </w:r>
      <w:r w:rsidRPr="001D49D4">
        <w:rPr>
          <w:sz w:val="16"/>
          <w:szCs w:val="16"/>
          <w:rtl/>
        </w:rPr>
        <w:t>(ל' הרמב"ם)</w:t>
      </w:r>
      <w:r w:rsidRPr="001D49D4">
        <w:rPr>
          <w:rtl/>
        </w:rPr>
        <w:t>.</w:t>
      </w:r>
      <w:r w:rsidRPr="001D49D4">
        <w:rPr>
          <w:color w:val="E36C0A" w:themeColor="accent6" w:themeShade="BF"/>
          <w:rtl/>
        </w:rPr>
        <w:t xml:space="preserve"> (וכ"פ בשו"ע</w:t>
      </w:r>
      <w:r w:rsidRPr="001D49D4">
        <w:rPr>
          <w:color w:val="000000" w:themeColor="text1"/>
          <w:sz w:val="16"/>
          <w:szCs w:val="16"/>
          <w:rtl/>
        </w:rPr>
        <w:t xml:space="preserve"> [כאן ובסי' לא ס"ד]</w:t>
      </w:r>
      <w:r w:rsidRPr="001D49D4">
        <w:rPr>
          <w:color w:val="E36C0A" w:themeColor="accent6" w:themeShade="BF"/>
          <w:rtl/>
        </w:rPr>
        <w:t>)</w:t>
      </w:r>
    </w:p>
    <w:p w14:paraId="009EBA15" w14:textId="77777777" w:rsidR="001D49D4" w:rsidRPr="001D49D4" w:rsidRDefault="001D49D4" w:rsidP="0004348D">
      <w:pPr>
        <w:numPr>
          <w:ilvl w:val="0"/>
          <w:numId w:val="320"/>
        </w:numPr>
        <w:spacing w:before="360" w:after="240"/>
        <w:contextualSpacing/>
      </w:pPr>
      <w:r w:rsidRPr="001D49D4">
        <w:rPr>
          <w:rtl/>
        </w:rPr>
        <w:t>רמ"ה</w:t>
      </w:r>
      <w:r w:rsidRPr="001D49D4">
        <w:rPr>
          <w:sz w:val="16"/>
          <w:szCs w:val="16"/>
          <w:rtl/>
        </w:rPr>
        <w:t xml:space="preserve"> (כ"כ הטור בשמו)</w:t>
      </w:r>
      <w:r w:rsidRPr="001D49D4">
        <w:rPr>
          <w:rtl/>
        </w:rPr>
        <w:t>- אפילו אם עדי השטר מעידין שזו היא כתיבתן וחתימתן - אינו מועיל, לא מגבינן ביה ולא מקרעינן ליה, דחיישינן שמא זייף עד שהן בעצמן סבורים שהיא חתימתן. אבל אם עדי השטר מעידין שראו ההלואה</w:t>
      </w:r>
      <w:r w:rsidRPr="001D49D4">
        <w:rPr>
          <w:vertAlign w:val="superscript"/>
          <w:rtl/>
        </w:rPr>
        <w:footnoteReference w:id="4729"/>
      </w:r>
      <w:r w:rsidRPr="001D49D4">
        <w:rPr>
          <w:rtl/>
        </w:rPr>
        <w:t>, או אחרים מעידין עליהם שראו שחתמו - מגבינן ביה, דהא תו ליכא למיחש לזיופא</w:t>
      </w:r>
      <w:r w:rsidRPr="001D49D4">
        <w:rPr>
          <w:sz w:val="16"/>
          <w:szCs w:val="16"/>
          <w:rtl/>
        </w:rPr>
        <w:t xml:space="preserve"> (ל' הטור בשם הרמ"ה)</w:t>
      </w:r>
      <w:r w:rsidRPr="001D49D4">
        <w:rPr>
          <w:vertAlign w:val="superscript"/>
          <w:rtl/>
        </w:rPr>
        <w:footnoteReference w:id="4730"/>
      </w:r>
      <w:r w:rsidRPr="001D49D4">
        <w:rPr>
          <w:rtl/>
        </w:rPr>
        <w:t>.</w:t>
      </w:r>
      <w:r w:rsidRPr="001D49D4">
        <w:rPr>
          <w:color w:val="00B0F0"/>
          <w:rtl/>
        </w:rPr>
        <w:t xml:space="preserve"> (וכ"כ הרמ"א)</w:t>
      </w:r>
    </w:p>
    <w:p w14:paraId="64556E8D" w14:textId="77777777" w:rsidR="001D49D4" w:rsidRPr="001D49D4" w:rsidRDefault="001D49D4" w:rsidP="0004348D">
      <w:pPr>
        <w:spacing w:before="360" w:after="240"/>
        <w:rPr>
          <w:rFonts w:ascii="Calibri" w:eastAsia="Calibri" w:hAnsi="Calibri" w:cs="Arial"/>
          <w:u w:val="single"/>
        </w:rPr>
      </w:pPr>
      <w:r w:rsidRPr="001D49D4">
        <w:rPr>
          <w:rFonts w:ascii="Calibri" w:eastAsia="Calibri" w:hAnsi="Calibri" w:cs="Arial"/>
          <w:u w:val="single"/>
          <w:rtl/>
        </w:rPr>
        <w:t xml:space="preserve">עדים שהעידו על אחד שמחזר אחר זיוף שטר </w:t>
      </w:r>
      <w:r w:rsidRPr="001D49D4">
        <w:rPr>
          <w:rFonts w:ascii="Calibri" w:eastAsia="Calibri" w:hAnsi="Calibri" w:cs="Arial"/>
          <w:b/>
          <w:bCs/>
          <w:u w:val="single"/>
          <w:rtl/>
        </w:rPr>
        <w:t xml:space="preserve">בסתם </w:t>
      </w:r>
      <w:r w:rsidRPr="001D49D4">
        <w:rPr>
          <w:rFonts w:ascii="Calibri" w:eastAsia="Calibri" w:hAnsi="Calibri" w:cs="Arial"/>
          <w:sz w:val="16"/>
          <w:szCs w:val="16"/>
          <w:u w:val="single"/>
          <w:rtl/>
        </w:rPr>
        <w:t>(ולא אמרו שטר מסויים)</w:t>
      </w:r>
      <w:r w:rsidRPr="001D49D4">
        <w:rPr>
          <w:rFonts w:ascii="Calibri" w:eastAsia="Calibri" w:hAnsi="Calibri" w:cs="Arial"/>
          <w:u w:val="single"/>
          <w:rtl/>
        </w:rPr>
        <w:t>:</w:t>
      </w:r>
    </w:p>
    <w:p w14:paraId="3C7EF688" w14:textId="77777777" w:rsidR="001D49D4" w:rsidRPr="001D49D4" w:rsidRDefault="001D49D4" w:rsidP="0004348D">
      <w:pPr>
        <w:numPr>
          <w:ilvl w:val="0"/>
          <w:numId w:val="320"/>
        </w:numPr>
        <w:spacing w:before="360" w:after="240"/>
        <w:contextualSpacing/>
        <w:rPr>
          <w:rtl/>
        </w:rPr>
      </w:pPr>
      <w:r w:rsidRPr="001D49D4">
        <w:rPr>
          <w:rtl/>
        </w:rPr>
        <w:t xml:space="preserve">רא"ש </w:t>
      </w:r>
      <w:r w:rsidRPr="001D49D4">
        <w:rPr>
          <w:sz w:val="16"/>
          <w:szCs w:val="16"/>
          <w:rtl/>
        </w:rPr>
        <w:t>(שם)</w:t>
      </w:r>
      <w:r w:rsidRPr="001D49D4">
        <w:rPr>
          <w:rtl/>
        </w:rPr>
        <w:t xml:space="preserve"> וטור- ואם לא הזכירו העדים שהעידו עליו שם הלוה וסכום המעות רק העידו על שטר סתם שחזר עליו לזייפו - כל שטרותיו איתרעו ולא מגבינן בהו</w:t>
      </w:r>
      <w:r w:rsidRPr="001D49D4">
        <w:rPr>
          <w:sz w:val="16"/>
          <w:szCs w:val="16"/>
          <w:rtl/>
        </w:rPr>
        <w:t xml:space="preserve"> (ל' הטור)</w:t>
      </w:r>
      <w:r w:rsidRPr="001D49D4">
        <w:rPr>
          <w:rtl/>
        </w:rPr>
        <w:t>.</w:t>
      </w:r>
      <w:r w:rsidRPr="001D49D4">
        <w:rPr>
          <w:color w:val="00B0F0"/>
          <w:rtl/>
        </w:rPr>
        <w:t xml:space="preserve"> (וכ"פ הרמ"א</w:t>
      </w:r>
      <w:r w:rsidRPr="001D49D4">
        <w:rPr>
          <w:color w:val="00B0F0"/>
          <w:sz w:val="16"/>
          <w:szCs w:val="16"/>
          <w:rtl/>
        </w:rPr>
        <w:t xml:space="preserve"> </w:t>
      </w:r>
      <w:r w:rsidRPr="001D49D4">
        <w:rPr>
          <w:color w:val="000000" w:themeColor="text1"/>
          <w:sz w:val="16"/>
          <w:szCs w:val="16"/>
          <w:rtl/>
        </w:rPr>
        <w:t>[בסע' ב]</w:t>
      </w:r>
      <w:r w:rsidRPr="001D49D4">
        <w:rPr>
          <w:color w:val="00B0F0"/>
          <w:rtl/>
        </w:rPr>
        <w:t>)</w:t>
      </w:r>
    </w:p>
    <w:p w14:paraId="6DC4A681" w14:textId="77777777" w:rsidR="001D49D4" w:rsidRPr="001D49D4" w:rsidRDefault="001D49D4" w:rsidP="0004348D">
      <w:pPr>
        <w:spacing w:before="360" w:after="240"/>
        <w:rPr>
          <w:rFonts w:ascii="Arial" w:eastAsia="Calibri" w:hAnsi="Arial" w:cs="Arial"/>
          <w:b/>
          <w:bCs/>
          <w:color w:val="000000"/>
          <w:sz w:val="28"/>
          <w:szCs w:val="28"/>
          <w:u w:val="single"/>
          <w:rtl/>
        </w:rPr>
      </w:pPr>
      <w:r w:rsidRPr="001D49D4">
        <w:rPr>
          <w:rFonts w:ascii="Arial" w:eastAsia="Calibri" w:hAnsi="Arial" w:cs="Arial"/>
          <w:b/>
          <w:bCs/>
          <w:color w:val="000000"/>
          <w:sz w:val="28"/>
          <w:szCs w:val="28"/>
          <w:u w:val="single"/>
          <w:rtl/>
        </w:rPr>
        <w:t>שו"ע:</w:t>
      </w:r>
    </w:p>
    <w:p w14:paraId="2C34A0AB"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rtl/>
        </w:rPr>
        <w:t>המוציא שטר חוב על חבירו, ובאו שנים ואמרו 'ממנו שאל לזייף לו שטר זה</w:t>
      </w:r>
      <w:r w:rsidRPr="001D49D4">
        <w:rPr>
          <w:rFonts w:ascii="Calibri" w:eastAsia="Calibri" w:hAnsi="Calibri" w:cs="Arial"/>
          <w:vertAlign w:val="superscript"/>
          <w:rtl/>
        </w:rPr>
        <w:footnoteReference w:id="4731"/>
      </w:r>
      <w:r w:rsidRPr="001D49D4">
        <w:rPr>
          <w:rFonts w:ascii="Calibri" w:eastAsia="Calibri" w:hAnsi="Calibri" w:cs="Arial"/>
          <w:rtl/>
        </w:rPr>
        <w:t>', אף על פי שנתקיים השטר בחותמיו</w:t>
      </w:r>
      <w:r w:rsidRPr="001D49D4">
        <w:rPr>
          <w:rFonts w:ascii="Calibri" w:eastAsia="Calibri" w:hAnsi="Calibri" w:cs="Arial"/>
          <w:vertAlign w:val="superscript"/>
          <w:rtl/>
        </w:rPr>
        <w:footnoteReference w:id="4732"/>
      </w:r>
      <w:r w:rsidRPr="001D49D4">
        <w:rPr>
          <w:rFonts w:ascii="Calibri" w:eastAsia="Calibri" w:hAnsi="Calibri" w:cs="Arial"/>
          <w:rtl/>
        </w:rPr>
        <w:t>, אין גובין בו</w:t>
      </w:r>
      <w:r w:rsidRPr="001D49D4">
        <w:rPr>
          <w:rFonts w:ascii="Calibri" w:eastAsia="Calibri" w:hAnsi="Calibri" w:cs="Arial"/>
          <w:vertAlign w:val="superscript"/>
          <w:rtl/>
        </w:rPr>
        <w:footnoteReference w:id="4733"/>
      </w:r>
      <w:r w:rsidRPr="001D49D4">
        <w:rPr>
          <w:rFonts w:ascii="Calibri" w:eastAsia="Calibri" w:hAnsi="Calibri" w:cs="Arial"/>
          <w:rtl/>
        </w:rPr>
        <w:t xml:space="preserve"> לעולם</w:t>
      </w:r>
      <w:r w:rsidRPr="001D49D4">
        <w:rPr>
          <w:rFonts w:ascii="Calibri" w:eastAsia="Calibri" w:hAnsi="Calibri" w:cs="Arial"/>
          <w:vertAlign w:val="superscript"/>
          <w:rtl/>
        </w:rPr>
        <w:footnoteReference w:id="4734"/>
      </w:r>
      <w:r w:rsidRPr="001D49D4">
        <w:rPr>
          <w:rFonts w:ascii="Calibri" w:eastAsia="Calibri" w:hAnsi="Calibri" w:cs="Arial"/>
          <w:rtl/>
        </w:rPr>
        <w:t>, אלא אם כן עידי השטר מעידים שראו ההלואה</w:t>
      </w:r>
      <w:r w:rsidRPr="001D49D4">
        <w:rPr>
          <w:rFonts w:ascii="Calibri" w:eastAsia="Calibri" w:hAnsi="Calibri" w:cs="Arial"/>
          <w:vertAlign w:val="superscript"/>
          <w:rtl/>
        </w:rPr>
        <w:footnoteReference w:id="4735"/>
      </w:r>
      <w:r w:rsidRPr="001D49D4">
        <w:rPr>
          <w:rFonts w:ascii="Calibri" w:eastAsia="Calibri" w:hAnsi="Calibri" w:cs="Arial"/>
          <w:rtl/>
        </w:rPr>
        <w:t>, או אחרים מעידים עליהם שראו שחתמו</w:t>
      </w:r>
      <w:r w:rsidRPr="001D49D4">
        <w:rPr>
          <w:rFonts w:ascii="Calibri" w:eastAsia="Calibri" w:hAnsi="Calibri" w:cs="Arial"/>
          <w:vertAlign w:val="superscript"/>
          <w:rtl/>
        </w:rPr>
        <w:footnoteReference w:id="4736"/>
      </w:r>
      <w:r w:rsidRPr="001D49D4">
        <w:rPr>
          <w:rFonts w:ascii="Calibri" w:eastAsia="Calibri" w:hAnsi="Calibri" w:cs="Arial"/>
          <w:rtl/>
        </w:rPr>
        <w:t>. ואם עידי השטר מעידים שזו היא חתימתן</w:t>
      </w:r>
      <w:r w:rsidRPr="001D49D4">
        <w:rPr>
          <w:rFonts w:ascii="Calibri" w:eastAsia="Calibri" w:hAnsi="Calibri" w:cs="Arial"/>
          <w:vertAlign w:val="superscript"/>
          <w:rtl/>
        </w:rPr>
        <w:footnoteReference w:id="4737"/>
      </w:r>
      <w:r w:rsidRPr="001D49D4">
        <w:rPr>
          <w:rFonts w:ascii="Calibri" w:eastAsia="Calibri" w:hAnsi="Calibri" w:cs="Arial"/>
          <w:rtl/>
        </w:rPr>
        <w:t>, גובין בו</w:t>
      </w:r>
      <w:r w:rsidRPr="001D49D4">
        <w:rPr>
          <w:rFonts w:ascii="Calibri" w:eastAsia="Calibri" w:hAnsi="Calibri" w:cs="Arial"/>
          <w:vertAlign w:val="superscript"/>
          <w:rtl/>
        </w:rPr>
        <w:footnoteReference w:id="4738"/>
      </w:r>
      <w:r w:rsidRPr="001D49D4">
        <w:rPr>
          <w:rFonts w:ascii="Calibri" w:eastAsia="Calibri" w:hAnsi="Calibri" w:cs="Arial"/>
          <w:rtl/>
        </w:rPr>
        <w:t xml:space="preserve">. </w:t>
      </w:r>
      <w:r w:rsidRPr="001D49D4">
        <w:rPr>
          <w:rFonts w:ascii="Calibri" w:eastAsia="Calibri" w:hAnsi="Calibri" w:cs="Arial"/>
          <w:sz w:val="18"/>
          <w:szCs w:val="18"/>
          <w:rtl/>
        </w:rPr>
        <w:t>[הגה] ויש חולקין וס"ל דהכרת החתימה לא מהני (טור בשם הרמ"ה ור"ן).</w:t>
      </w:r>
      <w:r w:rsidRPr="001D49D4">
        <w:rPr>
          <w:rFonts w:ascii="Calibri" w:eastAsia="Calibri" w:hAnsi="Calibri" w:cs="Arial"/>
          <w:rtl/>
        </w:rPr>
        <w:t xml:space="preserve"> </w:t>
      </w:r>
    </w:p>
    <w:p w14:paraId="7A04990F" w14:textId="77777777" w:rsidR="001D49D4" w:rsidRPr="001D49D4" w:rsidRDefault="001D49D4" w:rsidP="0004348D">
      <w:pPr>
        <w:spacing w:before="360" w:after="240"/>
        <w:rPr>
          <w:rFonts w:ascii="Calibri" w:eastAsia="Calibri" w:hAnsi="Calibri" w:cs="Arial"/>
          <w:rtl/>
        </w:rPr>
      </w:pPr>
    </w:p>
    <w:p w14:paraId="1D70C598" w14:textId="77777777" w:rsidR="001D49D4" w:rsidRPr="001D49D4" w:rsidRDefault="001D49D4" w:rsidP="0004348D">
      <w:pPr>
        <w:keepNext/>
        <w:keepLines/>
        <w:spacing w:before="360" w:after="240"/>
        <w:outlineLvl w:val="1"/>
        <w:rPr>
          <w:rFonts w:ascii="Cambria" w:eastAsia="Times New Roman" w:hAnsi="Cambria" w:cs="Arial"/>
          <w:bCs/>
          <w:color w:val="548DD4" w:themeColor="text2" w:themeTint="99"/>
          <w:sz w:val="26"/>
          <w:szCs w:val="26"/>
          <w:rtl/>
        </w:rPr>
      </w:pPr>
      <w:bookmarkStart w:id="641" w:name="_Toc24884066"/>
      <w:r w:rsidRPr="001D49D4">
        <w:rPr>
          <w:rFonts w:ascii="Cambria" w:eastAsia="Times New Roman" w:hAnsi="Cambria" w:cs="Arial"/>
          <w:bCs/>
          <w:color w:val="548DD4" w:themeColor="text2" w:themeTint="99"/>
          <w:sz w:val="26"/>
          <w:szCs w:val="26"/>
          <w:rtl/>
        </w:rPr>
        <w:t>סעיף ב: כשאין גובים בשטר רעוע משלישים אותו ביד שליש.</w:t>
      </w:r>
      <w:bookmarkEnd w:id="641"/>
    </w:p>
    <w:p w14:paraId="0A59167D"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u w:val="single"/>
          <w:rtl/>
        </w:rPr>
        <w:t>כשכל שטרותיו איתרעו ולא מגבינן בהו – היכא מוקמינן לשטרותיו</w:t>
      </w:r>
      <w:r w:rsidRPr="001D49D4">
        <w:rPr>
          <w:rFonts w:ascii="Calibri" w:eastAsia="Calibri" w:hAnsi="Calibri" w:cs="Arial"/>
          <w:sz w:val="16"/>
          <w:szCs w:val="16"/>
          <w:u w:val="single"/>
          <w:rtl/>
        </w:rPr>
        <w:t xml:space="preserve"> (לשון השאלה ע"פ הב"י)</w:t>
      </w:r>
      <w:r w:rsidRPr="001D49D4">
        <w:rPr>
          <w:rFonts w:ascii="Calibri" w:eastAsia="Calibri" w:hAnsi="Calibri" w:cs="Arial"/>
          <w:u w:val="single"/>
          <w:rtl/>
        </w:rPr>
        <w:t>:</w:t>
      </w:r>
    </w:p>
    <w:p w14:paraId="16C06AB7" w14:textId="77777777" w:rsidR="001D49D4" w:rsidRPr="001D49D4" w:rsidRDefault="001D49D4" w:rsidP="0004348D">
      <w:pPr>
        <w:numPr>
          <w:ilvl w:val="0"/>
          <w:numId w:val="321"/>
        </w:numPr>
        <w:spacing w:before="360" w:after="240"/>
        <w:contextualSpacing/>
        <w:rPr>
          <w:rtl/>
        </w:rPr>
      </w:pPr>
      <w:r w:rsidRPr="001D49D4">
        <w:rPr>
          <w:rtl/>
        </w:rPr>
        <w:t>טור- ומיהו לא משהינן ליה בידיה, דילמא מיית לוה ואזיל ומפיק ביה מיתמי בבי דינא אחרינא ולא איתברר גבייהו דהוה מהדר אזיופא, אלא מוקמינן ליה ביד שליש עד דאיתברר מילתא בסהדי</w:t>
      </w:r>
      <w:r w:rsidRPr="001D49D4">
        <w:rPr>
          <w:vertAlign w:val="superscript"/>
          <w:rtl/>
        </w:rPr>
        <w:footnoteReference w:id="4739"/>
      </w:r>
      <w:r w:rsidRPr="001D49D4">
        <w:rPr>
          <w:rtl/>
        </w:rPr>
        <w:t xml:space="preserve">.  </w:t>
      </w:r>
      <w:r w:rsidRPr="001D49D4">
        <w:rPr>
          <w:color w:val="E36C0A" w:themeColor="accent6" w:themeShade="BF"/>
          <w:rtl/>
        </w:rPr>
        <w:t>(וכ"פ בשו"ע)</w:t>
      </w:r>
    </w:p>
    <w:p w14:paraId="6ECAB5E2" w14:textId="77777777" w:rsidR="001D49D4" w:rsidRPr="001D49D4" w:rsidRDefault="001D49D4" w:rsidP="0004348D">
      <w:pPr>
        <w:spacing w:before="360" w:after="240"/>
        <w:rPr>
          <w:rFonts w:ascii="Arial" w:eastAsia="Calibri" w:hAnsi="Arial" w:cs="Arial"/>
          <w:b/>
          <w:bCs/>
          <w:color w:val="000000"/>
          <w:sz w:val="28"/>
          <w:szCs w:val="28"/>
          <w:u w:val="single"/>
          <w:rtl/>
        </w:rPr>
      </w:pPr>
      <w:r w:rsidRPr="001D49D4">
        <w:rPr>
          <w:rFonts w:ascii="Arial" w:eastAsia="Calibri" w:hAnsi="Arial" w:cs="Arial"/>
          <w:b/>
          <w:bCs/>
          <w:color w:val="000000"/>
          <w:sz w:val="28"/>
          <w:szCs w:val="28"/>
          <w:u w:val="single"/>
          <w:rtl/>
        </w:rPr>
        <w:t>שו"ע:</w:t>
      </w:r>
    </w:p>
    <w:p w14:paraId="71B0A346"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rtl/>
        </w:rPr>
        <w:t>כשאמרו אין גובין בו, לא משהינן ליה בידיה</w:t>
      </w:r>
      <w:r w:rsidRPr="001D49D4">
        <w:rPr>
          <w:rFonts w:ascii="Calibri" w:eastAsia="Calibri" w:hAnsi="Calibri" w:cs="Arial"/>
          <w:vertAlign w:val="superscript"/>
          <w:rtl/>
        </w:rPr>
        <w:footnoteReference w:id="4740"/>
      </w:r>
      <w:r w:rsidRPr="001D49D4">
        <w:rPr>
          <w:rFonts w:ascii="Calibri" w:eastAsia="Calibri" w:hAnsi="Calibri" w:cs="Arial"/>
          <w:rtl/>
        </w:rPr>
        <w:t xml:space="preserve">, אלא מוקמינן ליה ביד שליש. </w:t>
      </w:r>
      <w:r w:rsidRPr="001D49D4">
        <w:rPr>
          <w:rFonts w:ascii="Calibri" w:eastAsia="Calibri" w:hAnsi="Calibri" w:cs="Arial"/>
          <w:sz w:val="18"/>
          <w:szCs w:val="18"/>
          <w:rtl/>
        </w:rPr>
        <w:t>הגה: ואם לא אמרו העדים ששאל להם לזייף שטר זה, אלא שטר סתם, כל שטרותיו של זה שבקש</w:t>
      </w:r>
      <w:r w:rsidRPr="001D49D4">
        <w:rPr>
          <w:rFonts w:ascii="Calibri" w:eastAsia="Calibri" w:hAnsi="Calibri" w:cs="Arial"/>
          <w:sz w:val="18"/>
          <w:szCs w:val="18"/>
          <w:vertAlign w:val="superscript"/>
          <w:rtl/>
        </w:rPr>
        <w:footnoteReference w:id="4741"/>
      </w:r>
      <w:r w:rsidRPr="001D49D4">
        <w:rPr>
          <w:rFonts w:ascii="Calibri" w:eastAsia="Calibri" w:hAnsi="Calibri" w:cs="Arial"/>
          <w:sz w:val="18"/>
          <w:szCs w:val="18"/>
          <w:rtl/>
        </w:rPr>
        <w:t xml:space="preserve"> לזייף אתרעו, ולא גבינן בהו (טור).</w:t>
      </w:r>
    </w:p>
    <w:p w14:paraId="20749E28" w14:textId="77777777" w:rsidR="001D49D4" w:rsidRPr="001D49D4" w:rsidRDefault="001D49D4" w:rsidP="0004348D">
      <w:pPr>
        <w:spacing w:before="360" w:after="240"/>
        <w:rPr>
          <w:rFonts w:ascii="Calibri" w:eastAsia="Calibri" w:hAnsi="Calibri" w:cs="Arial"/>
          <w:rtl/>
        </w:rPr>
      </w:pPr>
    </w:p>
    <w:p w14:paraId="34E42366" w14:textId="77777777" w:rsidR="001D49D4" w:rsidRPr="001D49D4" w:rsidRDefault="001D49D4" w:rsidP="0004348D">
      <w:pPr>
        <w:bidi w:val="0"/>
        <w:spacing w:before="360" w:after="240"/>
        <w:rPr>
          <w:rFonts w:ascii="Cambria" w:eastAsia="Times New Roman" w:hAnsi="Cambria" w:cs="Arial"/>
          <w:b/>
          <w:bCs/>
          <w:color w:val="365F91" w:themeColor="accent1" w:themeShade="BF"/>
          <w:sz w:val="28"/>
          <w:szCs w:val="28"/>
          <w:rtl/>
        </w:rPr>
        <w:sectPr w:rsidR="001D49D4" w:rsidRPr="001D49D4">
          <w:headerReference w:type="default" r:id="rId72"/>
          <w:footnotePr>
            <w:numRestart w:val="eachPage"/>
          </w:footnotePr>
          <w:pgSz w:w="11906" w:h="16838"/>
          <w:pgMar w:top="720" w:right="1134" w:bottom="720" w:left="1134" w:header="0" w:footer="0" w:gutter="0"/>
          <w:cols w:space="720"/>
          <w:bidi/>
          <w:rtlGutter/>
        </w:sectPr>
      </w:pPr>
    </w:p>
    <w:p w14:paraId="2F2EC2BE" w14:textId="77777777" w:rsidR="001D49D4" w:rsidRPr="001D49D4" w:rsidRDefault="001D49D4" w:rsidP="0004348D">
      <w:pPr>
        <w:keepNext/>
        <w:keepLines/>
        <w:spacing w:before="360" w:after="240"/>
        <w:outlineLvl w:val="0"/>
        <w:rPr>
          <w:rFonts w:ascii="Cambria" w:eastAsia="Times New Roman" w:hAnsi="Cambria" w:cs="Arial"/>
          <w:b/>
          <w:bCs/>
          <w:color w:val="365F91" w:themeColor="accent1" w:themeShade="BF"/>
          <w:sz w:val="28"/>
          <w:szCs w:val="28"/>
          <w:rtl/>
        </w:rPr>
      </w:pPr>
      <w:bookmarkStart w:id="642" w:name="_Toc24884067"/>
      <w:r w:rsidRPr="001D49D4">
        <w:rPr>
          <w:rFonts w:ascii="Cambria" w:eastAsia="Times New Roman" w:hAnsi="Cambria" w:cs="Arial"/>
          <w:b/>
          <w:bCs/>
          <w:color w:val="365F91" w:themeColor="accent1" w:themeShade="BF"/>
          <w:sz w:val="28"/>
          <w:szCs w:val="28"/>
          <w:rtl/>
        </w:rPr>
        <w:t>סימן סד: נפקד שרצה לעכב בחובו שטרות הפקדון, ובו סעיף אחד.</w:t>
      </w:r>
      <w:bookmarkEnd w:id="642"/>
      <w:r w:rsidRPr="001D49D4">
        <w:rPr>
          <w:rFonts w:ascii="Cambria" w:eastAsia="Times New Roman" w:hAnsi="Cambria" w:cs="Arial"/>
          <w:b/>
          <w:bCs/>
          <w:color w:val="365F91" w:themeColor="accent1" w:themeShade="BF"/>
          <w:sz w:val="28"/>
          <w:szCs w:val="28"/>
          <w:rtl/>
        </w:rPr>
        <w:t xml:space="preserve"> </w:t>
      </w:r>
    </w:p>
    <w:p w14:paraId="2FF1BFD4" w14:textId="77777777" w:rsidR="001D49D4" w:rsidRPr="001D49D4" w:rsidRDefault="001D49D4" w:rsidP="0004348D">
      <w:pPr>
        <w:keepNext/>
        <w:keepLines/>
        <w:spacing w:before="360" w:after="240"/>
        <w:outlineLvl w:val="1"/>
        <w:rPr>
          <w:rFonts w:ascii="Cambria" w:eastAsia="Times New Roman" w:hAnsi="Cambria" w:cs="Arial"/>
          <w:bCs/>
          <w:color w:val="548DD4" w:themeColor="text2" w:themeTint="99"/>
          <w:sz w:val="26"/>
          <w:szCs w:val="26"/>
          <w:rtl/>
        </w:rPr>
      </w:pPr>
      <w:bookmarkStart w:id="643" w:name="_Toc24884068"/>
      <w:r w:rsidRPr="001D49D4">
        <w:rPr>
          <w:rFonts w:ascii="Cambria" w:eastAsia="Times New Roman" w:hAnsi="Cambria" w:cs="Arial"/>
          <w:bCs/>
          <w:color w:val="548DD4" w:themeColor="text2" w:themeTint="99"/>
          <w:sz w:val="26"/>
          <w:szCs w:val="26"/>
          <w:rtl/>
        </w:rPr>
        <w:t>סעיף א</w:t>
      </w:r>
      <w:bookmarkEnd w:id="643"/>
    </w:p>
    <w:p w14:paraId="6858E275"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b/>
          <w:bCs/>
          <w:rtl/>
        </w:rPr>
        <w:t xml:space="preserve">כתובות </w:t>
      </w:r>
      <w:r w:rsidRPr="001D49D4">
        <w:rPr>
          <w:rFonts w:ascii="Calibri" w:eastAsia="Calibri" w:hAnsi="Calibri" w:cs="Arial"/>
          <w:b/>
          <w:bCs/>
          <w:sz w:val="16"/>
          <w:szCs w:val="16"/>
          <w:rtl/>
        </w:rPr>
        <w:t>(פרק הכותב)</w:t>
      </w:r>
      <w:r w:rsidRPr="001D49D4">
        <w:rPr>
          <w:rFonts w:ascii="Calibri" w:eastAsia="Calibri" w:hAnsi="Calibri" w:cs="Arial"/>
          <w:b/>
          <w:bCs/>
          <w:rtl/>
        </w:rPr>
        <w:t xml:space="preserve"> פה</w:t>
      </w:r>
      <w:r w:rsidRPr="001D49D4">
        <w:rPr>
          <w:rFonts w:ascii="Calibri" w:eastAsia="Calibri" w:hAnsi="Calibri" w:cs="Arial"/>
          <w:b/>
          <w:bCs/>
          <w:vertAlign w:val="superscript"/>
          <w:rtl/>
        </w:rPr>
        <w:footnoteReference w:id="4742"/>
      </w:r>
      <w:r w:rsidRPr="001D49D4">
        <w:rPr>
          <w:rFonts w:ascii="Calibri" w:eastAsia="Calibri" w:hAnsi="Calibri" w:cs="Arial"/>
          <w:b/>
          <w:bCs/>
          <w:rtl/>
        </w:rPr>
        <w:t xml:space="preserve"> ע"א:</w:t>
      </w:r>
      <w:r w:rsidRPr="001D49D4">
        <w:rPr>
          <w:rFonts w:ascii="Calibri" w:eastAsia="Calibri" w:hAnsi="Calibri" w:cs="Arial"/>
          <w:rtl/>
        </w:rPr>
        <w:t xml:space="preserve"> ההיא איתתא דהוו מיפקדי גבה מלוגא דשטרי</w:t>
      </w:r>
      <w:r w:rsidRPr="001D49D4">
        <w:rPr>
          <w:rFonts w:ascii="Calibri" w:eastAsia="Calibri" w:hAnsi="Calibri" w:cs="Arial"/>
          <w:vertAlign w:val="superscript"/>
          <w:rtl/>
        </w:rPr>
        <w:footnoteReference w:id="4743"/>
      </w:r>
      <w:r w:rsidRPr="001D49D4">
        <w:rPr>
          <w:rFonts w:ascii="Calibri" w:eastAsia="Calibri" w:hAnsi="Calibri" w:cs="Arial"/>
          <w:rtl/>
        </w:rPr>
        <w:t>, אתו יורשים קא תבעי ליה מינה, אמרה להו: מחיים תפיסנא להו</w:t>
      </w:r>
      <w:r w:rsidRPr="001D49D4">
        <w:rPr>
          <w:rFonts w:ascii="Calibri" w:eastAsia="Calibri" w:hAnsi="Calibri" w:cs="Arial"/>
          <w:vertAlign w:val="superscript"/>
          <w:rtl/>
        </w:rPr>
        <w:footnoteReference w:id="4744"/>
      </w:r>
      <w:r w:rsidRPr="001D49D4">
        <w:rPr>
          <w:rFonts w:ascii="Calibri" w:eastAsia="Calibri" w:hAnsi="Calibri" w:cs="Arial"/>
          <w:rtl/>
        </w:rPr>
        <w:t xml:space="preserve">. </w:t>
      </w:r>
      <w:r w:rsidRPr="001D49D4">
        <w:rPr>
          <w:rFonts w:ascii="Calibri" w:eastAsia="Calibri" w:hAnsi="Calibri" w:cs="Arial"/>
          <w:u w:val="single"/>
          <w:rtl/>
        </w:rPr>
        <w:t>אתאי לקמי' דרב נחמן, אמר לה</w:t>
      </w:r>
      <w:r w:rsidRPr="001D49D4">
        <w:rPr>
          <w:rFonts w:ascii="Calibri" w:eastAsia="Calibri" w:hAnsi="Calibri" w:cs="Arial"/>
          <w:rtl/>
        </w:rPr>
        <w:t>: אית ליך סהדי דתבעוה מיניך מחיים ולא יהבית ניהליה? א"ל: לא. א"כ הוי תפיסה דלאחר מיתה</w:t>
      </w:r>
      <w:r w:rsidRPr="001D49D4">
        <w:rPr>
          <w:rFonts w:ascii="Calibri" w:eastAsia="Calibri" w:hAnsi="Calibri" w:cs="Arial"/>
          <w:vertAlign w:val="superscript"/>
          <w:rtl/>
        </w:rPr>
        <w:footnoteReference w:id="4745"/>
      </w:r>
      <w:r w:rsidRPr="001D49D4">
        <w:rPr>
          <w:rFonts w:ascii="Calibri" w:eastAsia="Calibri" w:hAnsi="Calibri" w:cs="Arial"/>
          <w:rtl/>
        </w:rPr>
        <w:t xml:space="preserve">, ותפיסה דלאחר מיתה לא כלום היא. </w:t>
      </w:r>
      <w:r w:rsidRPr="001D49D4">
        <w:rPr>
          <w:rFonts w:ascii="Calibri" w:eastAsia="Calibri" w:hAnsi="Calibri" w:cs="Arial"/>
          <w:sz w:val="16"/>
          <w:szCs w:val="16"/>
          <w:rtl/>
        </w:rPr>
        <w:t>(וכתב הרמב"ם דין זה בפי"א מהלכות מלוה</w:t>
      </w:r>
      <w:r w:rsidRPr="001D49D4">
        <w:rPr>
          <w:rFonts w:ascii="Calibri" w:eastAsia="Calibri" w:hAnsi="Calibri" w:cs="Arial"/>
          <w:sz w:val="16"/>
          <w:szCs w:val="16"/>
          <w:vertAlign w:val="superscript"/>
          <w:rtl/>
        </w:rPr>
        <w:footnoteReference w:id="4746"/>
      </w:r>
      <w:r w:rsidRPr="001D49D4">
        <w:rPr>
          <w:rFonts w:ascii="Calibri" w:eastAsia="Calibri" w:hAnsi="Calibri" w:cs="Arial"/>
          <w:sz w:val="16"/>
          <w:szCs w:val="16"/>
          <w:rtl/>
        </w:rPr>
        <w:t xml:space="preserve"> (ה"ח). וכתבו הרי"ף (מג.) והרא"ש (סי' ה) מחיים תפיסנא להו - בתורת משכון, דלענין מיגבא הנהו חובות לא מהניא תפיסה דאין אותיות נקנות במסירה. ואפילו לדעת הרמב"ם שנתבאר סימן ס"ב (ס"ג) לא מהניא תפיסה, דהכא במאי עסקינן בשראו עדים שהפקידם בידה, הא לאו הכי מהימנא לומר לקוחים הם בידי לדעתו ז"ל ויגבה בהם אם ירצה</w:t>
      </w:r>
      <w:r w:rsidRPr="001D49D4">
        <w:rPr>
          <w:rFonts w:ascii="Calibri" w:eastAsia="Calibri" w:hAnsi="Calibri" w:cs="Arial"/>
          <w:sz w:val="16"/>
          <w:szCs w:val="16"/>
          <w:vertAlign w:val="superscript"/>
          <w:rtl/>
        </w:rPr>
        <w:footnoteReference w:id="4747"/>
      </w:r>
      <w:r w:rsidRPr="001D49D4">
        <w:rPr>
          <w:rFonts w:ascii="Calibri" w:eastAsia="Calibri" w:hAnsi="Calibri" w:cs="Arial"/>
          <w:sz w:val="16"/>
          <w:szCs w:val="16"/>
          <w:rtl/>
        </w:rPr>
        <w:t xml:space="preserve"> הלוה לפרעו, ב"י)</w:t>
      </w:r>
    </w:p>
    <w:p w14:paraId="34F4966B" w14:textId="77777777" w:rsidR="001D49D4" w:rsidRPr="001D49D4" w:rsidRDefault="001D49D4" w:rsidP="0004348D">
      <w:pPr>
        <w:spacing w:before="360" w:after="240"/>
        <w:rPr>
          <w:rFonts w:ascii="Calibri" w:eastAsia="Calibri" w:hAnsi="Calibri" w:cs="Arial"/>
          <w:u w:val="single"/>
          <w:rtl/>
        </w:rPr>
      </w:pPr>
      <w:r w:rsidRPr="001D49D4">
        <w:rPr>
          <w:rFonts w:ascii="Calibri" w:eastAsia="Calibri" w:hAnsi="Calibri" w:cs="Arial"/>
          <w:u w:val="single"/>
          <w:rtl/>
        </w:rPr>
        <w:t>מי שהפקידו בידו שטרות ומת המפקיד, וטוען הנפקד 'מחיים תפשתי אותם למשכון בשביל חוב שיש לי על מפקיד':</w:t>
      </w:r>
    </w:p>
    <w:p w14:paraId="263B60A3" w14:textId="77777777" w:rsidR="001D49D4" w:rsidRPr="001D49D4" w:rsidRDefault="001D49D4" w:rsidP="0004348D">
      <w:pPr>
        <w:numPr>
          <w:ilvl w:val="0"/>
          <w:numId w:val="321"/>
        </w:numPr>
        <w:spacing w:before="360" w:after="240"/>
        <w:contextualSpacing/>
        <w:rPr>
          <w:rtl/>
        </w:rPr>
      </w:pPr>
      <w:r w:rsidRPr="001D49D4">
        <w:rPr>
          <w:rtl/>
        </w:rPr>
        <w:t xml:space="preserve">רא"ש </w:t>
      </w:r>
      <w:r w:rsidRPr="001D49D4">
        <w:rPr>
          <w:sz w:val="16"/>
          <w:szCs w:val="16"/>
          <w:rtl/>
        </w:rPr>
        <w:t xml:space="preserve">(סי' ה) </w:t>
      </w:r>
      <w:r w:rsidRPr="001D49D4">
        <w:rPr>
          <w:rtl/>
        </w:rPr>
        <w:t>וטור- מי שהפקידו בידו שטרות ומת המפקיד, וטוען הנפקד מחיים תפשתי אותם למשכון בשביל חוב שיש לי על מפקיד, דאילו לגבותם לא היה מועיל תפיסה בלא כתיבה, אם יש עדים שתבעם ממנו מחיים ולא רצה להחזירם לו - אז הויא תפיסה, ואי לא – לא. ומיירי שיש עדים שהפקידם בידו</w:t>
      </w:r>
      <w:r w:rsidRPr="001D49D4">
        <w:rPr>
          <w:vertAlign w:val="superscript"/>
          <w:rtl/>
        </w:rPr>
        <w:footnoteReference w:id="4748"/>
      </w:r>
      <w:r w:rsidRPr="001D49D4">
        <w:rPr>
          <w:rtl/>
        </w:rPr>
        <w:t>, וגם יש עדים שראו אותם עתה בידו, שאל"כ היה נאמן במגו דנאנסו או לא היו דברים מעולם. וכל זה לדינא דגמרא אבל למאי דתקון רבנן שגובין ממטלטלי דיתמי - גובין משטרותיהן אפילו לא תפש מחיים</w:t>
      </w:r>
      <w:r w:rsidRPr="001D49D4">
        <w:rPr>
          <w:vertAlign w:val="superscript"/>
          <w:rtl/>
        </w:rPr>
        <w:footnoteReference w:id="4749"/>
      </w:r>
      <w:r w:rsidRPr="001D49D4">
        <w:rPr>
          <w:sz w:val="16"/>
          <w:szCs w:val="16"/>
          <w:rtl/>
        </w:rPr>
        <w:t xml:space="preserve"> (ל' הטור)</w:t>
      </w:r>
      <w:r w:rsidRPr="001D49D4">
        <w:rPr>
          <w:rtl/>
        </w:rPr>
        <w:t xml:space="preserve">. </w:t>
      </w:r>
      <w:r w:rsidRPr="001D49D4">
        <w:rPr>
          <w:color w:val="E36C0A" w:themeColor="accent6" w:themeShade="BF"/>
          <w:rtl/>
        </w:rPr>
        <w:t>(וכ"פ בשו"ע)</w:t>
      </w:r>
      <w:r w:rsidRPr="001D49D4">
        <w:rPr>
          <w:rtl/>
        </w:rPr>
        <w:t xml:space="preserve"> </w:t>
      </w:r>
    </w:p>
    <w:p w14:paraId="4EF717EB" w14:textId="77777777" w:rsidR="001D49D4" w:rsidRPr="001D49D4" w:rsidRDefault="001D49D4" w:rsidP="0004348D">
      <w:pPr>
        <w:spacing w:before="360" w:after="240"/>
        <w:ind w:left="360"/>
        <w:rPr>
          <w:rFonts w:ascii="Calibri" w:eastAsia="Calibri" w:hAnsi="Calibri" w:cs="Arial"/>
          <w:u w:val="dotted"/>
        </w:rPr>
      </w:pPr>
      <w:r w:rsidRPr="001D49D4">
        <w:rPr>
          <w:rFonts w:ascii="Calibri" w:eastAsia="Calibri" w:hAnsi="Calibri" w:cs="Arial"/>
          <w:u w:val="dotted"/>
          <w:rtl/>
        </w:rPr>
        <w:t xml:space="preserve">האם יכול לטעון </w:t>
      </w:r>
      <w:r w:rsidRPr="001D49D4">
        <w:rPr>
          <w:rFonts w:ascii="Calibri" w:eastAsia="Calibri" w:hAnsi="Calibri" w:cs="Arial"/>
          <w:sz w:val="16"/>
          <w:szCs w:val="16"/>
          <w:u w:val="dotted"/>
          <w:rtl/>
        </w:rPr>
        <w:t>(המוחזק בשטרות)</w:t>
      </w:r>
      <w:r w:rsidRPr="001D49D4">
        <w:rPr>
          <w:rFonts w:ascii="Calibri" w:eastAsia="Calibri" w:hAnsi="Calibri" w:cs="Arial"/>
          <w:u w:val="dotted"/>
          <w:rtl/>
        </w:rPr>
        <w:t xml:space="preserve"> 'משכון הוא בידי' היכא שלא ידוע שהיה לבעל השטרות חוב אצלו: </w:t>
      </w:r>
    </w:p>
    <w:p w14:paraId="785D6FE1" w14:textId="77777777" w:rsidR="001D49D4" w:rsidRPr="001D49D4" w:rsidRDefault="001D49D4" w:rsidP="0004348D">
      <w:pPr>
        <w:numPr>
          <w:ilvl w:val="0"/>
          <w:numId w:val="321"/>
        </w:numPr>
        <w:spacing w:before="360" w:after="240"/>
        <w:contextualSpacing/>
      </w:pPr>
      <w:r w:rsidRPr="001D49D4">
        <w:rPr>
          <w:rtl/>
        </w:rPr>
        <w:t xml:space="preserve">רשב"א </w:t>
      </w:r>
      <w:r w:rsidRPr="001D49D4">
        <w:rPr>
          <w:sz w:val="16"/>
          <w:szCs w:val="16"/>
          <w:rtl/>
        </w:rPr>
        <w:t>(ח"ג סי' קצג)</w:t>
      </w:r>
      <w:r w:rsidRPr="001D49D4">
        <w:rPr>
          <w:rtl/>
        </w:rPr>
        <w:t xml:space="preserve">- מה שכתבת 'יש לומר שהוא נאמן במה שטוען דמשלו היו מגו שהיה יכול לטעון דבתורת משכון תפיס להו להני שטרי ומהימן אע"ג דאין בידו כתיבה כדכתב הרי"ף בפרק הכותב' - אומר אני דאגב חורפך לא עיינת בה, כי זה לא כתב הרב מעולם ולא אדם אחר, דא"כ אמאי אצרכה רב נחמן ראיה דמחיים תבעוה מינה, להימנה במגו דאי בעיא אמרה לקוחים הם בידי. אלא, התם במלוגא דשטרי אי אמרה לקוחים הם בידי לא היתה נאמנת, דהא קיי"ל </w:t>
      </w:r>
      <w:r w:rsidRPr="001D49D4">
        <w:rPr>
          <w:sz w:val="16"/>
          <w:szCs w:val="16"/>
          <w:rtl/>
        </w:rPr>
        <w:t xml:space="preserve">(ב"ב עו.) </w:t>
      </w:r>
      <w:r w:rsidRPr="001D49D4">
        <w:rPr>
          <w:rtl/>
        </w:rPr>
        <w:t xml:space="preserve">דאין אותיות נקנות במסירה לחוד עד שיכתוב, וצריכה היתה להביא ראיה על הכתיבה. והלכך ההיא דמלוגא לאו בטוענת </w:t>
      </w:r>
      <w:r w:rsidRPr="001D49D4">
        <w:rPr>
          <w:b/>
          <w:bCs/>
          <w:rtl/>
        </w:rPr>
        <w:t>'מלוה היתה לי על אביהם</w:t>
      </w:r>
      <w:r w:rsidRPr="001D49D4">
        <w:rPr>
          <w:rtl/>
        </w:rPr>
        <w:t xml:space="preserve"> וכדי תפיסנא להו במשכון', דבכי הא אפילו הוו לה סהדי דמחיים תבעוה מינה ולא יהבינהו ניהליה לא מהימנא כדאמרן כדלא הות מהימנא אי אמרה לקוחים הם בידי, דמאי שנא, אלא התם מילתא ידיעא הוות דמלוה יש לה על האב, או מלוה בעדים ובגו זימניה, אי נמי מלוה בשטר אלא דלית להו מהאב נכסים שיש להם אחריות ומטלטלי דיתמי לבעל חוב לא משתעבדי - והילכך אי תפסינהו מחיים הויא תפיסה, אבל לאחר מיתה לא הויא תפיסה, דמטלטלי דיתמי נינהו ולא משתעבדי לבעל חוב</w:t>
      </w:r>
      <w:r w:rsidRPr="001D49D4">
        <w:rPr>
          <w:vertAlign w:val="superscript"/>
          <w:rtl/>
        </w:rPr>
        <w:footnoteReference w:id="4750"/>
      </w:r>
      <w:r w:rsidRPr="001D49D4">
        <w:rPr>
          <w:rtl/>
        </w:rPr>
        <w:t>.</w:t>
      </w:r>
    </w:p>
    <w:p w14:paraId="3399FEF4" w14:textId="77777777" w:rsidR="001D49D4" w:rsidRPr="001D49D4" w:rsidRDefault="001D49D4" w:rsidP="0004348D">
      <w:pPr>
        <w:numPr>
          <w:ilvl w:val="0"/>
          <w:numId w:val="321"/>
        </w:numPr>
        <w:spacing w:before="360" w:after="240"/>
        <w:contextualSpacing/>
      </w:pPr>
      <w:r w:rsidRPr="001D49D4">
        <w:rPr>
          <w:rtl/>
        </w:rPr>
        <w:t xml:space="preserve">(תוס' </w:t>
      </w:r>
      <w:r w:rsidRPr="001D49D4">
        <w:rPr>
          <w:sz w:val="16"/>
          <w:szCs w:val="16"/>
          <w:rtl/>
        </w:rPr>
        <w:t>(ד"ה אית לך)</w:t>
      </w:r>
      <w:r w:rsidRPr="001D49D4">
        <w:rPr>
          <w:rtl/>
        </w:rPr>
        <w:t xml:space="preserve"> ורא"ש </w:t>
      </w:r>
      <w:r w:rsidRPr="001D49D4">
        <w:rPr>
          <w:sz w:val="16"/>
          <w:szCs w:val="16"/>
          <w:rtl/>
        </w:rPr>
        <w:t>(פ"ט) להב' דרכ"מ</w:t>
      </w:r>
      <w:r w:rsidRPr="001D49D4">
        <w:rPr>
          <w:rtl/>
        </w:rPr>
        <w:t xml:space="preserve">)- </w:t>
      </w:r>
      <w:r w:rsidRPr="001D49D4">
        <w:rPr>
          <w:vertAlign w:val="superscript"/>
          <w:rtl/>
        </w:rPr>
        <w:footnoteReference w:id="4751"/>
      </w:r>
      <w:r w:rsidRPr="001D49D4">
        <w:rPr>
          <w:rtl/>
        </w:rPr>
        <w:t>יכול לומר משכון הוא בידי, אע"ג שאינו נאמן לומר לקוחים הם בידי</w:t>
      </w:r>
      <w:r w:rsidRPr="001D49D4">
        <w:rPr>
          <w:vertAlign w:val="superscript"/>
          <w:rtl/>
        </w:rPr>
        <w:footnoteReference w:id="4752"/>
      </w:r>
      <w:r w:rsidRPr="001D49D4">
        <w:rPr>
          <w:rtl/>
        </w:rPr>
        <w:t>.</w:t>
      </w:r>
      <w:r w:rsidRPr="001D49D4">
        <w:rPr>
          <w:color w:val="00B0F0"/>
          <w:rtl/>
        </w:rPr>
        <w:t xml:space="preserve"> (וכ"פ הרמ"א)</w:t>
      </w:r>
      <w:r w:rsidRPr="001D49D4">
        <w:rPr>
          <w:rtl/>
        </w:rPr>
        <w:t xml:space="preserve"> </w:t>
      </w:r>
    </w:p>
    <w:p w14:paraId="35D6A5FE" w14:textId="77777777" w:rsidR="001D49D4" w:rsidRPr="001D49D4" w:rsidRDefault="001D49D4" w:rsidP="0004348D">
      <w:pPr>
        <w:spacing w:before="360" w:after="240"/>
        <w:rPr>
          <w:rFonts w:ascii="Arial" w:eastAsia="Calibri" w:hAnsi="Arial" w:cs="Arial"/>
          <w:b/>
          <w:bCs/>
          <w:color w:val="000000"/>
          <w:sz w:val="28"/>
          <w:szCs w:val="28"/>
          <w:u w:val="single"/>
          <w:rtl/>
        </w:rPr>
      </w:pPr>
      <w:r w:rsidRPr="001D49D4">
        <w:rPr>
          <w:rFonts w:ascii="Arial" w:eastAsia="Calibri" w:hAnsi="Arial" w:cs="Arial"/>
          <w:b/>
          <w:bCs/>
          <w:color w:val="000000"/>
          <w:sz w:val="28"/>
          <w:szCs w:val="28"/>
          <w:u w:val="single"/>
          <w:rtl/>
        </w:rPr>
        <w:t>שו"ע:</w:t>
      </w:r>
    </w:p>
    <w:p w14:paraId="06AAC277"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rtl/>
        </w:rPr>
        <w:t>מי שהפקידו בידו שטרות, ומת המפקיד, וטוען הנפקד מחיים תפסתי אותם למשכון</w:t>
      </w:r>
      <w:r w:rsidRPr="001D49D4">
        <w:rPr>
          <w:rFonts w:ascii="Calibri" w:eastAsia="Calibri" w:hAnsi="Calibri" w:cs="Arial"/>
          <w:vertAlign w:val="superscript"/>
          <w:rtl/>
        </w:rPr>
        <w:footnoteReference w:id="4753"/>
      </w:r>
      <w:r w:rsidRPr="001D49D4">
        <w:rPr>
          <w:rFonts w:ascii="Calibri" w:eastAsia="Calibri" w:hAnsi="Calibri" w:cs="Arial"/>
          <w:rtl/>
        </w:rPr>
        <w:t xml:space="preserve"> בשביל חוב שיש לי על המפקיד, דאילו לגבותם לא היה מועיל בלא כתיבה</w:t>
      </w:r>
      <w:bookmarkStart w:id="644" w:name="_Hlk535939756"/>
      <w:r w:rsidRPr="001D49D4">
        <w:rPr>
          <w:rFonts w:ascii="Calibri" w:eastAsia="Calibri" w:hAnsi="Calibri" w:cs="Arial"/>
          <w:vertAlign w:val="superscript"/>
          <w:rtl/>
        </w:rPr>
        <w:footnoteReference w:id="4754"/>
      </w:r>
      <w:bookmarkEnd w:id="644"/>
      <w:r w:rsidRPr="001D49D4">
        <w:rPr>
          <w:rFonts w:ascii="Calibri" w:eastAsia="Calibri" w:hAnsi="Calibri" w:cs="Arial"/>
          <w:rtl/>
        </w:rPr>
        <w:t>, אם יש עדים שתבעם ממנו מחיים ולא רצה להחזירם לו, אז הויא תפיסה. ואי לא, לא. ומיירי</w:t>
      </w:r>
      <w:r w:rsidRPr="001D49D4">
        <w:rPr>
          <w:rFonts w:ascii="Calibri" w:eastAsia="Calibri" w:hAnsi="Calibri" w:cs="Arial"/>
          <w:vertAlign w:val="superscript"/>
          <w:rtl/>
        </w:rPr>
        <w:footnoteReference w:id="4755"/>
      </w:r>
      <w:r w:rsidRPr="001D49D4">
        <w:rPr>
          <w:rFonts w:ascii="Calibri" w:eastAsia="Calibri" w:hAnsi="Calibri" w:cs="Arial"/>
          <w:rtl/>
        </w:rPr>
        <w:t xml:space="preserve"> שיש עדים שהפקידם בידו, וגם יש עדים שראום עתה בידו, שאם לא כן היה נאמן</w:t>
      </w:r>
      <w:r w:rsidRPr="001D49D4">
        <w:rPr>
          <w:rFonts w:ascii="Calibri" w:eastAsia="Calibri" w:hAnsi="Calibri" w:cs="Arial"/>
          <w:vertAlign w:val="superscript"/>
          <w:rtl/>
        </w:rPr>
        <w:footnoteReference w:id="4756"/>
      </w:r>
      <w:r w:rsidRPr="001D49D4">
        <w:rPr>
          <w:rFonts w:ascii="Calibri" w:eastAsia="Calibri" w:hAnsi="Calibri" w:cs="Arial"/>
          <w:rtl/>
        </w:rPr>
        <w:t xml:space="preserve"> במיגו דנאנסו או לא היו דברים מעולם</w:t>
      </w:r>
      <w:r w:rsidRPr="001D49D4">
        <w:rPr>
          <w:rFonts w:ascii="Calibri" w:eastAsia="Calibri" w:hAnsi="Calibri" w:cs="Arial"/>
          <w:vertAlign w:val="superscript"/>
          <w:rtl/>
        </w:rPr>
        <w:footnoteReference w:id="4757"/>
      </w:r>
      <w:r w:rsidRPr="001D49D4">
        <w:rPr>
          <w:rFonts w:ascii="Calibri" w:eastAsia="Calibri" w:hAnsi="Calibri" w:cs="Arial"/>
          <w:rtl/>
        </w:rPr>
        <w:t xml:space="preserve">. וכל זה לדינא דגמרא, אבל למאי דתקון רבנן שגובין מטלטלי דיתמי, גובין משטרותיהם אפילו לא תפס מחיים. </w:t>
      </w:r>
      <w:r w:rsidRPr="001D49D4">
        <w:rPr>
          <w:rFonts w:ascii="Calibri" w:eastAsia="Calibri" w:hAnsi="Calibri" w:cs="Arial"/>
          <w:sz w:val="18"/>
          <w:szCs w:val="18"/>
          <w:rtl/>
        </w:rPr>
        <w:t>הגה: ואע"פ שאין לו מיגו</w:t>
      </w:r>
      <w:r w:rsidRPr="001D49D4">
        <w:rPr>
          <w:rFonts w:ascii="Calibri" w:eastAsia="Calibri" w:hAnsi="Calibri" w:cs="Arial"/>
          <w:sz w:val="18"/>
          <w:szCs w:val="18"/>
          <w:vertAlign w:val="superscript"/>
          <w:rtl/>
        </w:rPr>
        <w:footnoteReference w:id="4758"/>
      </w:r>
      <w:r w:rsidRPr="001D49D4">
        <w:rPr>
          <w:rFonts w:ascii="Calibri" w:eastAsia="Calibri" w:hAnsi="Calibri" w:cs="Arial"/>
          <w:sz w:val="18"/>
          <w:szCs w:val="18"/>
          <w:rtl/>
        </w:rPr>
        <w:t>, ואינו יכול לומר לקוחין הם בידי</w:t>
      </w:r>
      <w:r w:rsidRPr="001D49D4">
        <w:rPr>
          <w:rFonts w:ascii="Calibri" w:eastAsia="Calibri" w:hAnsi="Calibri" w:cs="Arial"/>
          <w:sz w:val="18"/>
          <w:szCs w:val="18"/>
          <w:vertAlign w:val="superscript"/>
          <w:rtl/>
        </w:rPr>
        <w:footnoteReference w:id="4759"/>
      </w:r>
      <w:r w:rsidRPr="001D49D4">
        <w:rPr>
          <w:rFonts w:ascii="Calibri" w:eastAsia="Calibri" w:hAnsi="Calibri" w:cs="Arial"/>
          <w:sz w:val="18"/>
          <w:szCs w:val="18"/>
          <w:rtl/>
        </w:rPr>
        <w:t>, מ"מ אם תפסם מחיים יוכל לומר למשכון תפסתים (תוס' ורא"ש), דלא כיש מי שאומר דלא יוכל לומר למשכון תפסתים אלא בידוע שהיה חייב לו, מאחר שאין לו מיגו</w:t>
      </w:r>
      <w:r w:rsidRPr="001D49D4">
        <w:rPr>
          <w:rFonts w:ascii="Calibri" w:eastAsia="Calibri" w:hAnsi="Calibri" w:cs="Arial"/>
          <w:sz w:val="18"/>
          <w:szCs w:val="18"/>
          <w:vertAlign w:val="superscript"/>
          <w:rtl/>
        </w:rPr>
        <w:footnoteReference w:id="4760"/>
      </w:r>
      <w:r w:rsidRPr="001D49D4">
        <w:rPr>
          <w:rFonts w:ascii="Calibri" w:eastAsia="Calibri" w:hAnsi="Calibri" w:cs="Arial"/>
          <w:sz w:val="18"/>
          <w:szCs w:val="18"/>
          <w:rtl/>
        </w:rPr>
        <w:t xml:space="preserve"> (ב"י בשם הרשב"א).</w:t>
      </w:r>
    </w:p>
    <w:p w14:paraId="5FF303C1"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u w:val="single"/>
          <w:rtl/>
        </w:rPr>
        <w:t xml:space="preserve">היכא דיכול לקנות בלא כתיבה </w:t>
      </w:r>
      <w:r w:rsidRPr="001D49D4">
        <w:rPr>
          <w:rFonts w:ascii="Calibri" w:eastAsia="Calibri" w:hAnsi="Calibri" w:cs="Arial"/>
          <w:sz w:val="16"/>
          <w:szCs w:val="16"/>
          <w:u w:val="single"/>
          <w:rtl/>
        </w:rPr>
        <w:t>(כגון בממרמו"ת של פעם)</w:t>
      </w:r>
      <w:r w:rsidRPr="001D49D4">
        <w:rPr>
          <w:rFonts w:ascii="Calibri" w:eastAsia="Calibri" w:hAnsi="Calibri" w:cs="Arial"/>
          <w:u w:val="single"/>
          <w:rtl/>
        </w:rPr>
        <w:t xml:space="preserve"> האם נאמן לטעות טענות במגו דלקוח הוא בידי:</w:t>
      </w:r>
    </w:p>
    <w:p w14:paraId="08E3E99E" w14:textId="77777777" w:rsidR="001D49D4" w:rsidRPr="001D49D4" w:rsidRDefault="001D49D4" w:rsidP="0004348D">
      <w:pPr>
        <w:numPr>
          <w:ilvl w:val="0"/>
          <w:numId w:val="322"/>
        </w:numPr>
        <w:spacing w:before="360" w:after="240"/>
        <w:contextualSpacing/>
        <w:rPr>
          <w:rtl/>
        </w:rPr>
      </w:pPr>
      <w:r w:rsidRPr="001D49D4">
        <w:rPr>
          <w:rtl/>
        </w:rPr>
        <w:t>ש"ך</w:t>
      </w:r>
      <w:r w:rsidRPr="001D49D4">
        <w:rPr>
          <w:sz w:val="16"/>
          <w:szCs w:val="16"/>
          <w:rtl/>
        </w:rPr>
        <w:t xml:space="preserve"> (סק"ג)</w:t>
      </w:r>
      <w:r w:rsidRPr="001D49D4">
        <w:rPr>
          <w:rtl/>
        </w:rPr>
        <w:t xml:space="preserve">- משמע </w:t>
      </w:r>
      <w:r w:rsidRPr="001D49D4">
        <w:rPr>
          <w:sz w:val="16"/>
          <w:szCs w:val="16"/>
          <w:rtl/>
        </w:rPr>
        <w:t xml:space="preserve">{מדברי הטור והשו"ע} </w:t>
      </w:r>
      <w:r w:rsidRPr="001D49D4">
        <w:rPr>
          <w:rtl/>
        </w:rPr>
        <w:t xml:space="preserve">דהיכא דהיה יכול לטעון לקוח הוא בידי ולא היה צריך כתיבה כגון בממרמו"ת שלנו וכה"ג, נאמן לומר למשכון תפסתים במיגו דלקוח, וכן נראה להדיא מבואר מכל הפוסקים. </w:t>
      </w:r>
    </w:p>
    <w:p w14:paraId="2A861875" w14:textId="77777777" w:rsidR="001D49D4" w:rsidRPr="001D49D4" w:rsidRDefault="001D49D4" w:rsidP="0004348D">
      <w:pPr>
        <w:numPr>
          <w:ilvl w:val="0"/>
          <w:numId w:val="322"/>
        </w:numPr>
        <w:spacing w:before="360" w:after="240"/>
        <w:contextualSpacing/>
      </w:pPr>
      <w:r w:rsidRPr="001D49D4">
        <w:rPr>
          <w:rtl/>
        </w:rPr>
        <w:t xml:space="preserve">ב"ח </w:t>
      </w:r>
      <w:r w:rsidRPr="001D49D4">
        <w:rPr>
          <w:sz w:val="16"/>
          <w:szCs w:val="16"/>
          <w:rtl/>
        </w:rPr>
        <w:t>(סע' א)</w:t>
      </w:r>
      <w:r w:rsidRPr="001D49D4">
        <w:rPr>
          <w:rtl/>
        </w:rPr>
        <w:t xml:space="preserve">- מפרש"י </w:t>
      </w:r>
      <w:r w:rsidRPr="001D49D4">
        <w:rPr>
          <w:sz w:val="16"/>
          <w:szCs w:val="16"/>
          <w:rtl/>
        </w:rPr>
        <w:t>(כתובות פה. ד"ה הוי תפיסה)</w:t>
      </w:r>
      <w:r w:rsidRPr="001D49D4">
        <w:rPr>
          <w:rtl/>
        </w:rPr>
        <w:t xml:space="preserve"> משמע דבשטרות אפילו ה"ל מיגו דלקוח, נמי על הנפקד להביא ראיה, דכיון דהיו פקדון בידו והרי הם כמונחים ברשותיה דמפקיד וכו'</w:t>
      </w:r>
      <w:r w:rsidRPr="001D49D4">
        <w:rPr>
          <w:vertAlign w:val="superscript"/>
          <w:rtl/>
        </w:rPr>
        <w:footnoteReference w:id="4761"/>
      </w:r>
      <w:r w:rsidRPr="001D49D4">
        <w:rPr>
          <w:rtl/>
        </w:rPr>
        <w:t xml:space="preserve">. </w:t>
      </w:r>
    </w:p>
    <w:p w14:paraId="756513F9" w14:textId="77777777" w:rsidR="001D49D4" w:rsidRDefault="001D49D4" w:rsidP="0004348D">
      <w:pPr>
        <w:spacing w:before="360" w:after="240"/>
        <w:rPr>
          <w:rFonts w:cs="Arial"/>
          <w:rtl/>
        </w:rPr>
        <w:sectPr w:rsidR="001D49D4" w:rsidSect="00815FD1">
          <w:headerReference w:type="default" r:id="rId73"/>
          <w:footnotePr>
            <w:numRestart w:val="eachPage"/>
          </w:footnotePr>
          <w:pgSz w:w="11906" w:h="16838"/>
          <w:pgMar w:top="720" w:right="1134" w:bottom="720" w:left="1134" w:header="0" w:footer="0" w:gutter="0"/>
          <w:cols w:space="720"/>
          <w:bidi/>
          <w:rtlGutter/>
          <w:docGrid w:linePitch="360"/>
        </w:sectPr>
      </w:pPr>
    </w:p>
    <w:p w14:paraId="41BC1EA2" w14:textId="77777777" w:rsidR="001D49D4" w:rsidRPr="001D49D4" w:rsidRDefault="001D49D4" w:rsidP="0004348D">
      <w:pPr>
        <w:keepNext/>
        <w:keepLines/>
        <w:spacing w:before="360" w:after="240"/>
        <w:outlineLvl w:val="0"/>
        <w:rPr>
          <w:rFonts w:ascii="Cambria" w:eastAsia="Times New Roman" w:hAnsi="Cambria" w:cs="Arial"/>
          <w:b/>
          <w:bCs/>
          <w:color w:val="365F91" w:themeColor="accent1" w:themeShade="BF"/>
          <w:sz w:val="28"/>
          <w:szCs w:val="28"/>
          <w:rtl/>
        </w:rPr>
      </w:pPr>
      <w:bookmarkStart w:id="645" w:name="_Toc24884069"/>
      <w:r w:rsidRPr="001D49D4">
        <w:rPr>
          <w:rFonts w:ascii="Cambria" w:eastAsia="Times New Roman" w:hAnsi="Cambria" w:cs="Arial"/>
          <w:b/>
          <w:bCs/>
          <w:color w:val="365F91" w:themeColor="accent1" w:themeShade="BF"/>
          <w:sz w:val="28"/>
          <w:szCs w:val="28"/>
          <w:rtl/>
        </w:rPr>
        <w:t>סימן סה: דין שטרות שנמצאו, ודין שובר שנמצא ביד שליש, ובו כ"ד סעיפים.</w:t>
      </w:r>
      <w:bookmarkEnd w:id="645"/>
      <w:r w:rsidRPr="001D49D4">
        <w:rPr>
          <w:rFonts w:ascii="Cambria" w:eastAsia="Times New Roman" w:hAnsi="Cambria" w:cs="Arial"/>
          <w:b/>
          <w:bCs/>
          <w:color w:val="365F91" w:themeColor="accent1" w:themeShade="BF"/>
          <w:sz w:val="28"/>
          <w:szCs w:val="28"/>
          <w:rtl/>
        </w:rPr>
        <w:t xml:space="preserve"> </w:t>
      </w:r>
    </w:p>
    <w:p w14:paraId="68F00B55" w14:textId="77777777" w:rsidR="001D49D4" w:rsidRPr="001D49D4" w:rsidRDefault="001D49D4" w:rsidP="0004348D">
      <w:pPr>
        <w:keepNext/>
        <w:keepLines/>
        <w:spacing w:before="360" w:after="240"/>
        <w:outlineLvl w:val="1"/>
        <w:rPr>
          <w:rFonts w:ascii="Cambria" w:eastAsia="Times New Roman" w:hAnsi="Cambria" w:cs="Arial"/>
          <w:bCs/>
          <w:color w:val="548DD4" w:themeColor="text2" w:themeTint="99"/>
          <w:sz w:val="26"/>
          <w:szCs w:val="26"/>
          <w:rtl/>
        </w:rPr>
      </w:pPr>
      <w:bookmarkStart w:id="646" w:name="_Toc24884070"/>
      <w:r w:rsidRPr="001D49D4">
        <w:rPr>
          <w:rFonts w:ascii="Cambria" w:eastAsia="Times New Roman" w:hAnsi="Cambria" w:cs="Arial"/>
          <w:bCs/>
          <w:color w:val="548DD4" w:themeColor="text2" w:themeTint="99"/>
          <w:sz w:val="26"/>
          <w:szCs w:val="26"/>
          <w:rtl/>
        </w:rPr>
        <w:t>סעיף א: המוצא שטר אצלו ואינו יודע מה טיבו.</w:t>
      </w:r>
      <w:bookmarkEnd w:id="646"/>
    </w:p>
    <w:p w14:paraId="5BEFBDF4"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b/>
          <w:bCs/>
          <w:rtl/>
        </w:rPr>
        <w:t>בבא מציעא</w:t>
      </w:r>
      <w:r w:rsidRPr="001D49D4">
        <w:rPr>
          <w:rFonts w:ascii="Calibri" w:eastAsia="Calibri" w:hAnsi="Calibri" w:cs="Arial"/>
          <w:b/>
          <w:bCs/>
          <w:sz w:val="16"/>
          <w:szCs w:val="16"/>
          <w:rtl/>
        </w:rPr>
        <w:t xml:space="preserve"> (ספ"ק) </w:t>
      </w:r>
      <w:r w:rsidRPr="001D49D4">
        <w:rPr>
          <w:rFonts w:ascii="Calibri" w:eastAsia="Calibri" w:hAnsi="Calibri" w:cs="Arial"/>
          <w:b/>
          <w:bCs/>
          <w:rtl/>
        </w:rPr>
        <w:t>כ</w:t>
      </w:r>
      <w:r w:rsidRPr="001D49D4">
        <w:rPr>
          <w:rFonts w:ascii="Calibri" w:eastAsia="Calibri" w:hAnsi="Calibri" w:cs="Arial"/>
          <w:b/>
          <w:bCs/>
          <w:vertAlign w:val="superscript"/>
          <w:rtl/>
        </w:rPr>
        <w:footnoteReference w:id="4762"/>
      </w:r>
      <w:r w:rsidRPr="001D49D4">
        <w:rPr>
          <w:rFonts w:ascii="Calibri" w:eastAsia="Calibri" w:hAnsi="Calibri" w:cs="Arial"/>
          <w:b/>
          <w:bCs/>
          <w:rtl/>
        </w:rPr>
        <w:t xml:space="preserve"> ע"א:</w:t>
      </w:r>
      <w:r w:rsidRPr="001D49D4">
        <w:rPr>
          <w:rFonts w:ascii="Calibri" w:eastAsia="Calibri" w:hAnsi="Calibri" w:cs="Arial"/>
          <w:rtl/>
        </w:rPr>
        <w:t xml:space="preserve"> </w:t>
      </w:r>
      <w:r w:rsidRPr="001D49D4">
        <w:rPr>
          <w:rFonts w:ascii="Calibri" w:eastAsia="Calibri" w:hAnsi="Calibri" w:cs="Arial"/>
          <w:u w:val="double"/>
          <w:rtl/>
        </w:rPr>
        <w:t>מתני'</w:t>
      </w:r>
      <w:r w:rsidRPr="001D49D4">
        <w:rPr>
          <w:rFonts w:ascii="Calibri" w:eastAsia="Calibri" w:hAnsi="Calibri" w:cs="Arial"/>
          <w:rtl/>
        </w:rPr>
        <w:t>:... מצא שטר בין שטרותיו ואינו יודע מה טיבו</w:t>
      </w:r>
      <w:r w:rsidRPr="001D49D4">
        <w:rPr>
          <w:rFonts w:ascii="Calibri" w:eastAsia="Calibri" w:hAnsi="Calibri" w:cs="Arial"/>
          <w:vertAlign w:val="superscript"/>
          <w:rtl/>
        </w:rPr>
        <w:footnoteReference w:id="4763"/>
      </w:r>
      <w:r w:rsidRPr="001D49D4">
        <w:rPr>
          <w:rFonts w:ascii="Calibri" w:eastAsia="Calibri" w:hAnsi="Calibri" w:cs="Arial"/>
          <w:rtl/>
        </w:rPr>
        <w:t xml:space="preserve"> - יהא מונח</w:t>
      </w:r>
      <w:r w:rsidRPr="001D49D4">
        <w:rPr>
          <w:rFonts w:ascii="Calibri" w:eastAsia="Calibri" w:hAnsi="Calibri" w:cs="Arial"/>
          <w:vertAlign w:val="superscript"/>
          <w:rtl/>
        </w:rPr>
        <w:footnoteReference w:id="4764"/>
      </w:r>
      <w:r w:rsidRPr="001D49D4">
        <w:rPr>
          <w:rFonts w:ascii="Calibri" w:eastAsia="Calibri" w:hAnsi="Calibri" w:cs="Arial"/>
          <w:rtl/>
        </w:rPr>
        <w:t xml:space="preserve"> עד שיבוא אליהו.</w:t>
      </w:r>
    </w:p>
    <w:p w14:paraId="17572012"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b/>
          <w:bCs/>
          <w:rtl/>
        </w:rPr>
        <w:t xml:space="preserve">תוספתא בבא מציעא </w:t>
      </w:r>
      <w:r w:rsidRPr="001D49D4">
        <w:rPr>
          <w:rFonts w:ascii="Calibri" w:eastAsia="Calibri" w:hAnsi="Calibri" w:cs="Arial"/>
          <w:b/>
          <w:bCs/>
          <w:sz w:val="16"/>
          <w:szCs w:val="16"/>
          <w:rtl/>
        </w:rPr>
        <w:t>(ליברמן)</w:t>
      </w:r>
      <w:r w:rsidRPr="001D49D4">
        <w:rPr>
          <w:rFonts w:ascii="Calibri" w:eastAsia="Calibri" w:hAnsi="Calibri" w:cs="Arial"/>
          <w:b/>
          <w:bCs/>
          <w:rtl/>
        </w:rPr>
        <w:t xml:space="preserve"> פ"א ה"ח: </w:t>
      </w:r>
      <w:r w:rsidRPr="001D49D4">
        <w:rPr>
          <w:rFonts w:ascii="Calibri" w:eastAsia="Calibri" w:hAnsi="Calibri" w:cs="Arial"/>
          <w:rtl/>
        </w:rPr>
        <w:t>מצא...</w:t>
      </w:r>
      <w:r w:rsidRPr="001D49D4">
        <w:rPr>
          <w:rFonts w:ascii="Calibri" w:eastAsia="Calibri" w:hAnsi="Calibri" w:cs="Arial"/>
          <w:b/>
          <w:bCs/>
          <w:rtl/>
        </w:rPr>
        <w:t xml:space="preserve"> </w:t>
      </w:r>
      <w:r w:rsidRPr="001D49D4">
        <w:rPr>
          <w:rFonts w:ascii="Calibri" w:eastAsia="Calibri" w:hAnsi="Calibri" w:cs="Arial"/>
          <w:rtl/>
        </w:rPr>
        <w:t>שטרי מקח וממכר שטרי אריסיות וקבלות בהמה הרי זה לא יחזיר לא לזה ולא לזה.</w:t>
      </w:r>
    </w:p>
    <w:p w14:paraId="047611A2" w14:textId="77777777" w:rsidR="001D49D4" w:rsidRPr="001D49D4" w:rsidRDefault="001D49D4" w:rsidP="0004348D">
      <w:pPr>
        <w:spacing w:before="360" w:after="240"/>
        <w:rPr>
          <w:rFonts w:ascii="Calibri" w:eastAsia="Calibri" w:hAnsi="Calibri" w:cs="Arial"/>
          <w:u w:val="single"/>
          <w:rtl/>
        </w:rPr>
      </w:pPr>
      <w:r w:rsidRPr="001D49D4">
        <w:rPr>
          <w:rFonts w:ascii="Calibri" w:eastAsia="Calibri" w:hAnsi="Calibri" w:cs="Arial"/>
          <w:u w:val="single"/>
          <w:rtl/>
        </w:rPr>
        <w:t xml:space="preserve">המוצא שטר אצלו ואינו יודע מה טיבו: </w:t>
      </w:r>
    </w:p>
    <w:p w14:paraId="408F2514" w14:textId="77777777" w:rsidR="001D49D4" w:rsidRPr="001D49D4" w:rsidRDefault="001D49D4" w:rsidP="0004348D">
      <w:pPr>
        <w:numPr>
          <w:ilvl w:val="0"/>
          <w:numId w:val="326"/>
        </w:numPr>
        <w:spacing w:before="360" w:after="240"/>
        <w:contextualSpacing/>
        <w:rPr>
          <w:rFonts w:ascii="Calibri" w:eastAsia="Calibri" w:hAnsi="Calibri" w:cs="Arial"/>
          <w:rtl/>
        </w:rPr>
      </w:pPr>
      <w:r w:rsidRPr="001D49D4">
        <w:rPr>
          <w:rFonts w:ascii="Calibri" w:eastAsia="Calibri" w:hAnsi="Calibri" w:cs="Arial"/>
          <w:rtl/>
        </w:rPr>
        <w:t xml:space="preserve">טור- המוצא שטר אצלו ואינו יודע מה טיבו, אם המלוה הפקידו, או הלוה, או אם הפקידוהו בידו בתורת שלישות ומקצתו פרוע - יהא מונח עד שיבא אליהו. </w:t>
      </w:r>
      <w:r w:rsidRPr="001D49D4">
        <w:rPr>
          <w:rFonts w:ascii="Calibri" w:eastAsia="Calibri" w:hAnsi="Calibri" w:cs="Arial"/>
          <w:color w:val="E36C0A" w:themeColor="accent6" w:themeShade="BF"/>
          <w:rtl/>
        </w:rPr>
        <w:t>(וכ"פ בשו"ע)</w:t>
      </w:r>
    </w:p>
    <w:p w14:paraId="4E8E5711" w14:textId="77777777" w:rsidR="001D49D4" w:rsidRPr="001D49D4" w:rsidRDefault="001D49D4" w:rsidP="0004348D">
      <w:pPr>
        <w:spacing w:before="360" w:after="240"/>
        <w:rPr>
          <w:rFonts w:ascii="Calibri" w:eastAsia="Calibri" w:hAnsi="Calibri" w:cs="Arial"/>
          <w:u w:val="dotted"/>
        </w:rPr>
      </w:pPr>
      <w:r w:rsidRPr="001D49D4">
        <w:rPr>
          <w:rFonts w:ascii="Calibri" w:eastAsia="Calibri" w:hAnsi="Calibri" w:cs="Arial"/>
          <w:u w:val="dotted"/>
          <w:rtl/>
        </w:rPr>
        <w:t>ומה הדין בשטרי מקח וממכר:</w:t>
      </w:r>
    </w:p>
    <w:p w14:paraId="45AF091B" w14:textId="77777777" w:rsidR="001D49D4" w:rsidRPr="001D49D4" w:rsidRDefault="001D49D4" w:rsidP="0004348D">
      <w:pPr>
        <w:numPr>
          <w:ilvl w:val="0"/>
          <w:numId w:val="326"/>
        </w:numPr>
        <w:spacing w:before="360" w:after="240"/>
        <w:contextualSpacing/>
        <w:rPr>
          <w:rFonts w:ascii="Calibri" w:eastAsia="Calibri" w:hAnsi="Calibri" w:cs="Arial"/>
        </w:rPr>
      </w:pPr>
      <w:r w:rsidRPr="001D49D4">
        <w:rPr>
          <w:rFonts w:ascii="Calibri" w:eastAsia="Calibri" w:hAnsi="Calibri" w:cs="Arial"/>
          <w:rtl/>
        </w:rPr>
        <w:t xml:space="preserve">הה"מ </w:t>
      </w:r>
      <w:r w:rsidRPr="001D49D4">
        <w:rPr>
          <w:rFonts w:ascii="Calibri" w:eastAsia="Calibri" w:hAnsi="Calibri" w:cs="Arial"/>
          <w:sz w:val="16"/>
          <w:szCs w:val="16"/>
          <w:rtl/>
        </w:rPr>
        <w:t>(פי"ו מהל' מלוה הי"א)</w:t>
      </w:r>
      <w:r w:rsidRPr="001D49D4">
        <w:rPr>
          <w:rFonts w:ascii="Calibri" w:eastAsia="Calibri" w:hAnsi="Calibri" w:cs="Arial"/>
          <w:rtl/>
        </w:rPr>
        <w:t xml:space="preserve">- בתוספתא </w:t>
      </w:r>
      <w:r w:rsidRPr="001D49D4">
        <w:rPr>
          <w:rFonts w:ascii="Calibri" w:eastAsia="Calibri" w:hAnsi="Calibri" w:cs="Arial"/>
          <w:sz w:val="16"/>
          <w:szCs w:val="16"/>
          <w:rtl/>
        </w:rPr>
        <w:t>(ב"מ פ"א ה"ח)</w:t>
      </w:r>
      <w:r w:rsidRPr="001D49D4">
        <w:rPr>
          <w:rFonts w:ascii="Calibri" w:eastAsia="Calibri" w:hAnsi="Calibri" w:cs="Arial"/>
          <w:rtl/>
        </w:rPr>
        <w:t xml:space="preserve"> מפורש דהוא הדין לשטרי מקח וממכר, וכתב הרשב"א בתשובה </w:t>
      </w:r>
      <w:r w:rsidRPr="001D49D4">
        <w:rPr>
          <w:rFonts w:ascii="Calibri" w:eastAsia="Calibri" w:hAnsi="Calibri" w:cs="Arial"/>
          <w:sz w:val="16"/>
          <w:szCs w:val="16"/>
          <w:rtl/>
        </w:rPr>
        <w:t xml:space="preserve">(סי' אלף לה) </w:t>
      </w:r>
      <w:r w:rsidRPr="001D49D4">
        <w:rPr>
          <w:rFonts w:ascii="Calibri" w:eastAsia="Calibri" w:hAnsi="Calibri" w:cs="Arial"/>
          <w:rtl/>
        </w:rPr>
        <w:t xml:space="preserve"> דדוקא בשאין בהם קנין</w:t>
      </w:r>
      <w:r w:rsidRPr="001D49D4">
        <w:rPr>
          <w:rFonts w:ascii="Calibri" w:eastAsia="Calibri" w:hAnsi="Calibri" w:cs="Arial"/>
          <w:vertAlign w:val="superscript"/>
          <w:rtl/>
        </w:rPr>
        <w:footnoteReference w:id="4765"/>
      </w:r>
      <w:r w:rsidRPr="001D49D4">
        <w:rPr>
          <w:rFonts w:ascii="Calibri" w:eastAsia="Calibri" w:hAnsi="Calibri" w:cs="Arial"/>
          <w:rtl/>
        </w:rPr>
        <w:t xml:space="preserve"> אבל יש בהם קנין יחזיר ללקוחות ואפילו מצאם בשוק דכל היכא דליכא למיחש לפרעון ולהמלכה מחזיר</w:t>
      </w:r>
      <w:r w:rsidRPr="001D49D4">
        <w:rPr>
          <w:rFonts w:ascii="Calibri" w:eastAsia="Calibri" w:hAnsi="Calibri" w:cs="Arial"/>
          <w:vertAlign w:val="superscript"/>
          <w:rtl/>
        </w:rPr>
        <w:footnoteReference w:id="4766"/>
      </w:r>
      <w:r w:rsidRPr="001D49D4">
        <w:rPr>
          <w:rFonts w:ascii="Calibri" w:eastAsia="Calibri" w:hAnsi="Calibri" w:cs="Arial"/>
          <w:rtl/>
        </w:rPr>
        <w:t xml:space="preserve">.  </w:t>
      </w:r>
    </w:p>
    <w:p w14:paraId="66FD3A28" w14:textId="77777777" w:rsidR="001D49D4" w:rsidRPr="001D49D4" w:rsidRDefault="001D49D4" w:rsidP="0004348D">
      <w:pPr>
        <w:spacing w:before="360" w:after="240"/>
        <w:rPr>
          <w:rFonts w:ascii="Calibri" w:eastAsia="Calibri" w:hAnsi="Calibri" w:cs="Arial"/>
          <w:u w:val="single"/>
          <w:rtl/>
        </w:rPr>
      </w:pPr>
      <w:r w:rsidRPr="001D49D4">
        <w:rPr>
          <w:rFonts w:ascii="Calibri" w:eastAsia="Calibri" w:hAnsi="Calibri" w:cs="Arial"/>
          <w:u w:val="single"/>
          <w:rtl/>
        </w:rPr>
        <w:t>אב שמצא שטר על אחד מבניו בין שטרותיו ואינו יודע מה טיבו:</w:t>
      </w:r>
    </w:p>
    <w:p w14:paraId="1BACF935" w14:textId="77777777" w:rsidR="001D49D4" w:rsidRPr="001D49D4" w:rsidRDefault="001D49D4" w:rsidP="0004348D">
      <w:pPr>
        <w:numPr>
          <w:ilvl w:val="0"/>
          <w:numId w:val="326"/>
        </w:numPr>
        <w:spacing w:before="360" w:after="240"/>
        <w:contextualSpacing/>
        <w:rPr>
          <w:rFonts w:ascii="Calibri" w:eastAsia="Calibri" w:hAnsi="Calibri" w:cs="Arial"/>
          <w:rtl/>
        </w:rPr>
      </w:pPr>
      <w:r w:rsidRPr="001D49D4">
        <w:rPr>
          <w:rFonts w:ascii="Calibri" w:eastAsia="Calibri" w:hAnsi="Calibri" w:cs="Arial"/>
          <w:rtl/>
        </w:rPr>
        <w:t xml:space="preserve">רשב"א </w:t>
      </w:r>
      <w:r w:rsidRPr="001D49D4">
        <w:rPr>
          <w:rFonts w:ascii="Calibri" w:eastAsia="Calibri" w:hAnsi="Calibri" w:cs="Arial"/>
          <w:sz w:val="16"/>
          <w:szCs w:val="16"/>
          <w:rtl/>
        </w:rPr>
        <w:t>(סי' אלף לה, הביאו הה"מ שם)</w:t>
      </w:r>
      <w:r w:rsidRPr="001D49D4">
        <w:rPr>
          <w:rFonts w:ascii="Calibri" w:eastAsia="Calibri" w:hAnsi="Calibri" w:cs="Arial"/>
          <w:rtl/>
        </w:rPr>
        <w:t xml:space="preserve">- מסתברא שאם מצא האב שטר על אחד מבניו בין שטרותיו ואינו יודע מה טיבו - דלא אמרינן בכי הא יהא מונח עד שיבא אליהו. וכן אם מצאו הבן בין שטרותיו והוא יוצא על שם אביו, והוא שיהיה הבן סמוך על שולחן אביו. והרי זו כאותה ששנינו </w:t>
      </w:r>
      <w:r w:rsidRPr="001D49D4">
        <w:rPr>
          <w:rFonts w:ascii="Calibri" w:eastAsia="Calibri" w:hAnsi="Calibri" w:cs="Arial"/>
          <w:sz w:val="16"/>
          <w:szCs w:val="16"/>
          <w:rtl/>
        </w:rPr>
        <w:t xml:space="preserve">(ב"ב מב.) </w:t>
      </w:r>
      <w:r w:rsidRPr="001D49D4">
        <w:rPr>
          <w:rFonts w:ascii="Calibri" w:eastAsia="Calibri" w:hAnsi="Calibri" w:cs="Arial"/>
          <w:rtl/>
        </w:rPr>
        <w:t xml:space="preserve">אין לאב חזקה בנכסי הבן ולא לבן בנכסי האב שכל אחד מהם כאפטרופא ומפקח על נכסי השני והכל כאדם אחד. וכן האשה בנכסי בעלה והאיש בנכסי אשתו דין אחד לכולם. </w:t>
      </w:r>
      <w:r w:rsidRPr="001D49D4">
        <w:rPr>
          <w:rFonts w:ascii="Calibri" w:eastAsia="Calibri" w:hAnsi="Calibri" w:cs="Arial"/>
          <w:color w:val="00B0F0"/>
          <w:rtl/>
        </w:rPr>
        <w:t>(וכ"פ הרמ"א)</w:t>
      </w:r>
    </w:p>
    <w:p w14:paraId="55E13693"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u w:val="single"/>
          <w:rtl/>
        </w:rPr>
        <w:t>שט"ח שאין ידוע כמה נפרע ממנו והמלוה תופס קרקע במשכון, ושטר המשכון על קרקע זו מופקד אצל שליש:</w:t>
      </w:r>
    </w:p>
    <w:p w14:paraId="3BF79AD1" w14:textId="77777777" w:rsidR="001D49D4" w:rsidRPr="001D49D4" w:rsidRDefault="001D49D4" w:rsidP="0004348D">
      <w:pPr>
        <w:numPr>
          <w:ilvl w:val="0"/>
          <w:numId w:val="326"/>
        </w:numPr>
        <w:spacing w:before="360" w:after="240"/>
        <w:contextualSpacing/>
        <w:rPr>
          <w:rFonts w:ascii="Calibri" w:eastAsia="Calibri" w:hAnsi="Calibri" w:cs="Arial"/>
          <w:rtl/>
        </w:rPr>
      </w:pPr>
      <w:r w:rsidRPr="001D49D4">
        <w:rPr>
          <w:rFonts w:ascii="Calibri" w:eastAsia="Calibri" w:hAnsi="Calibri" w:cs="Arial"/>
          <w:rtl/>
        </w:rPr>
        <w:t xml:space="preserve">רא"ש </w:t>
      </w:r>
      <w:r w:rsidRPr="001D49D4">
        <w:rPr>
          <w:rFonts w:ascii="Calibri" w:eastAsia="Calibri" w:hAnsi="Calibri" w:cs="Arial"/>
          <w:sz w:val="16"/>
          <w:szCs w:val="16"/>
          <w:rtl/>
        </w:rPr>
        <w:t>(כלל קה סי' ז)</w:t>
      </w:r>
      <w:r w:rsidRPr="001D49D4">
        <w:rPr>
          <w:rFonts w:ascii="Calibri" w:eastAsia="Calibri" w:hAnsi="Calibri" w:cs="Arial"/>
          <w:rtl/>
        </w:rPr>
        <w:t xml:space="preserve"> וטור- אע"פ שבעל המשכונא מוחזק בקרקע אינו מועיל לו כלום לשום טענה, לא לומר לקוחה היא בידי ולא לומר ממושכנת היא בידי בכך וכך, כיון שידוע שבתורת משכונא באה לידו והורעה כח המשכונא כיון שנמצא ביד שליש ואינו יודע כמה נפרע ממנו. וקרקע בחזקת בעליה עומדת והוי כמלוה על פה, ויהא השטר מונח עד שיבא אליהו ותחזור הקרקע לבעליה</w:t>
      </w:r>
      <w:r w:rsidRPr="001D49D4">
        <w:rPr>
          <w:rFonts w:ascii="Calibri" w:eastAsia="Calibri" w:hAnsi="Calibri" w:cs="Arial"/>
          <w:sz w:val="16"/>
          <w:szCs w:val="16"/>
          <w:rtl/>
        </w:rPr>
        <w:t xml:space="preserve"> (ל' הטור בשם הרא"ש)</w:t>
      </w:r>
      <w:r w:rsidRPr="001D49D4">
        <w:rPr>
          <w:rFonts w:ascii="Calibri" w:eastAsia="Calibri" w:hAnsi="Calibri" w:cs="Arial"/>
          <w:rtl/>
        </w:rPr>
        <w:t>.</w:t>
      </w:r>
    </w:p>
    <w:p w14:paraId="24FB0F9B" w14:textId="77777777" w:rsidR="001D49D4" w:rsidRPr="001D49D4" w:rsidRDefault="001D49D4" w:rsidP="0004348D">
      <w:pPr>
        <w:spacing w:before="360" w:after="240"/>
        <w:rPr>
          <w:rFonts w:ascii="Calibri" w:eastAsia="Calibri" w:hAnsi="Calibri" w:cs="Arial"/>
          <w:u w:val="single"/>
        </w:rPr>
      </w:pPr>
      <w:r w:rsidRPr="001D49D4">
        <w:rPr>
          <w:rFonts w:ascii="Calibri" w:eastAsia="Calibri" w:hAnsi="Calibri" w:cs="Arial"/>
          <w:u w:val="single"/>
          <w:rtl/>
        </w:rPr>
        <w:t>מצא שטר אצלו ואינו יודע מה טיבו – וטעה ונתנו לאותו שהוא כתוב על שמו:</w:t>
      </w:r>
    </w:p>
    <w:p w14:paraId="4E927251" w14:textId="77777777" w:rsidR="001D49D4" w:rsidRPr="001D49D4" w:rsidRDefault="001D49D4" w:rsidP="0004348D">
      <w:pPr>
        <w:numPr>
          <w:ilvl w:val="0"/>
          <w:numId w:val="326"/>
        </w:numPr>
        <w:spacing w:before="360" w:after="240"/>
        <w:contextualSpacing/>
        <w:rPr>
          <w:rFonts w:ascii="Calibri" w:eastAsia="Calibri" w:hAnsi="Calibri" w:cs="Arial"/>
        </w:rPr>
      </w:pPr>
      <w:r w:rsidRPr="001D49D4">
        <w:rPr>
          <w:rFonts w:ascii="Calibri" w:eastAsia="Calibri" w:hAnsi="Calibri" w:cs="Arial"/>
          <w:rtl/>
        </w:rPr>
        <w:t xml:space="preserve">רא"ש </w:t>
      </w:r>
      <w:r w:rsidRPr="001D49D4">
        <w:rPr>
          <w:rFonts w:ascii="Calibri" w:eastAsia="Calibri" w:hAnsi="Calibri" w:cs="Arial"/>
          <w:sz w:val="16"/>
          <w:szCs w:val="16"/>
          <w:rtl/>
        </w:rPr>
        <w:t>(בתשובה [אולי בכלל קה סי' ח], כ"כ הטור בשמו)</w:t>
      </w:r>
      <w:r w:rsidRPr="001D49D4">
        <w:rPr>
          <w:rFonts w:ascii="Calibri" w:eastAsia="Calibri" w:hAnsi="Calibri" w:cs="Arial"/>
          <w:rtl/>
        </w:rPr>
        <w:t xml:space="preserve">- לא יפה עשה זה שמצאו שנתנו לזה שעבר על דברי חכמים, ואם היה זה שהשטר עתה בידו מכחיש דברי אותו שנתנו לו היה יכול לגבות בו, ואם הוא מודה לו שנתנו לידו צריך להחזירו לו ויהא מונח עד שיבא אליהו </w:t>
      </w:r>
      <w:r w:rsidRPr="001D49D4">
        <w:rPr>
          <w:rFonts w:ascii="Calibri" w:eastAsia="Calibri" w:hAnsi="Calibri" w:cs="Arial"/>
          <w:sz w:val="16"/>
          <w:szCs w:val="16"/>
          <w:rtl/>
        </w:rPr>
        <w:t>(ל' הטור בשם הרא"ש)</w:t>
      </w:r>
      <w:r w:rsidRPr="001D49D4">
        <w:rPr>
          <w:rFonts w:ascii="Calibri" w:eastAsia="Calibri" w:hAnsi="Calibri" w:cs="Arial"/>
          <w:vertAlign w:val="superscript"/>
          <w:rtl/>
        </w:rPr>
        <w:footnoteReference w:id="4767"/>
      </w:r>
      <w:r w:rsidRPr="001D49D4">
        <w:rPr>
          <w:rFonts w:ascii="Calibri" w:eastAsia="Calibri" w:hAnsi="Calibri" w:cs="Arial"/>
          <w:rtl/>
        </w:rPr>
        <w:t xml:space="preserve">. </w:t>
      </w:r>
      <w:r w:rsidRPr="001D49D4">
        <w:rPr>
          <w:rFonts w:ascii="Calibri" w:eastAsia="Calibri" w:hAnsi="Calibri" w:cs="Arial"/>
          <w:color w:val="E36C0A" w:themeColor="accent6" w:themeShade="BF"/>
          <w:rtl/>
        </w:rPr>
        <w:t>(וכ"פ בשו"ע)</w:t>
      </w:r>
    </w:p>
    <w:p w14:paraId="6338726D" w14:textId="77777777" w:rsidR="001D49D4" w:rsidRPr="001D49D4" w:rsidRDefault="001D49D4" w:rsidP="0004348D">
      <w:pPr>
        <w:spacing w:before="360" w:after="240"/>
        <w:rPr>
          <w:rFonts w:ascii="Calibri" w:eastAsia="Calibri" w:hAnsi="Calibri" w:cs="Arial"/>
          <w:u w:val="dotted"/>
        </w:rPr>
      </w:pPr>
      <w:r w:rsidRPr="001D49D4">
        <w:rPr>
          <w:rFonts w:ascii="Calibri" w:eastAsia="Calibri" w:hAnsi="Calibri" w:cs="Arial"/>
          <w:u w:val="dotted"/>
          <w:rtl/>
        </w:rPr>
        <w:t>איך בית הדין צריכים להתייחס לשטר זה:</w:t>
      </w:r>
    </w:p>
    <w:p w14:paraId="078ABA1C" w14:textId="77777777" w:rsidR="001D49D4" w:rsidRPr="001D49D4" w:rsidRDefault="001D49D4" w:rsidP="0004348D">
      <w:pPr>
        <w:numPr>
          <w:ilvl w:val="0"/>
          <w:numId w:val="326"/>
        </w:numPr>
        <w:spacing w:before="360" w:after="240"/>
        <w:contextualSpacing/>
        <w:rPr>
          <w:rFonts w:ascii="Calibri" w:eastAsia="Calibri" w:hAnsi="Calibri" w:cs="Arial"/>
        </w:rPr>
      </w:pPr>
      <w:r w:rsidRPr="001D49D4">
        <w:rPr>
          <w:rFonts w:ascii="Calibri" w:eastAsia="Calibri" w:hAnsi="Calibri" w:cs="Arial"/>
          <w:rtl/>
        </w:rPr>
        <w:t xml:space="preserve">רמב"ם </w:t>
      </w:r>
      <w:r w:rsidRPr="001D49D4">
        <w:rPr>
          <w:rFonts w:ascii="Calibri" w:eastAsia="Calibri" w:hAnsi="Calibri" w:cs="Arial"/>
          <w:sz w:val="16"/>
          <w:szCs w:val="16"/>
          <w:rtl/>
        </w:rPr>
        <w:t>(סוף הלכות גזילה פי"ח הי"ד)</w:t>
      </w:r>
      <w:r w:rsidRPr="001D49D4">
        <w:rPr>
          <w:rFonts w:ascii="Calibri" w:eastAsia="Calibri" w:hAnsi="Calibri" w:cs="Arial"/>
          <w:rtl/>
        </w:rPr>
        <w:t>- כל השטרות הנמצאות שדינן שלא יחזיר אם החזיר - הרי אלו כשרים וגובין בהם ואין מוציאין אותם מתחת יד בעליהן והרי הן בחזקתן ואין חוששין להם</w:t>
      </w:r>
      <w:r w:rsidRPr="001D49D4">
        <w:rPr>
          <w:rFonts w:ascii="Calibri" w:eastAsia="Calibri" w:hAnsi="Calibri" w:cs="Arial"/>
          <w:vertAlign w:val="superscript"/>
          <w:rtl/>
        </w:rPr>
        <w:footnoteReference w:id="4768"/>
      </w:r>
      <w:r w:rsidRPr="001D49D4">
        <w:rPr>
          <w:rFonts w:ascii="Calibri" w:eastAsia="Calibri" w:hAnsi="Calibri" w:cs="Arial"/>
          <w:rtl/>
        </w:rPr>
        <w:t>. (וכ"פ הרדב"ז</w:t>
      </w:r>
      <w:r w:rsidRPr="001D49D4">
        <w:rPr>
          <w:rFonts w:ascii="Calibri" w:eastAsia="Calibri" w:hAnsi="Calibri" w:cs="Arial"/>
          <w:sz w:val="16"/>
          <w:szCs w:val="16"/>
          <w:rtl/>
        </w:rPr>
        <w:t xml:space="preserve"> [ח"ב סי' קעט]</w:t>
      </w:r>
      <w:r w:rsidRPr="001D49D4">
        <w:rPr>
          <w:rFonts w:ascii="Calibri" w:eastAsia="Calibri" w:hAnsi="Calibri" w:cs="Arial"/>
          <w:rtl/>
        </w:rPr>
        <w:t>)</w:t>
      </w:r>
    </w:p>
    <w:p w14:paraId="701276F8" w14:textId="77777777" w:rsidR="001D49D4" w:rsidRPr="001D49D4" w:rsidRDefault="001D49D4" w:rsidP="0004348D">
      <w:pPr>
        <w:numPr>
          <w:ilvl w:val="0"/>
          <w:numId w:val="326"/>
        </w:numPr>
        <w:spacing w:before="360" w:after="240"/>
        <w:contextualSpacing/>
        <w:rPr>
          <w:rFonts w:ascii="Calibri" w:eastAsia="Calibri" w:hAnsi="Calibri" w:cs="Arial"/>
        </w:rPr>
      </w:pPr>
      <w:r w:rsidRPr="001D49D4">
        <w:rPr>
          <w:rFonts w:ascii="Calibri" w:eastAsia="Calibri" w:hAnsi="Calibri" w:cs="Arial"/>
          <w:rtl/>
        </w:rPr>
        <w:t>ראב"ד</w:t>
      </w:r>
      <w:r w:rsidRPr="001D49D4">
        <w:rPr>
          <w:rFonts w:ascii="Calibri" w:eastAsia="Calibri" w:hAnsi="Calibri" w:cs="Arial"/>
          <w:sz w:val="16"/>
          <w:szCs w:val="16"/>
          <w:rtl/>
        </w:rPr>
        <w:t xml:space="preserve"> (שם)</w:t>
      </w:r>
      <w:r w:rsidRPr="001D49D4">
        <w:rPr>
          <w:rFonts w:ascii="Calibri" w:eastAsia="Calibri" w:hAnsi="Calibri" w:cs="Arial"/>
          <w:rtl/>
        </w:rPr>
        <w:t xml:space="preserve"> ורשב"א</w:t>
      </w:r>
      <w:r w:rsidRPr="001D49D4">
        <w:rPr>
          <w:rFonts w:ascii="Calibri" w:eastAsia="Calibri" w:hAnsi="Calibri" w:cs="Arial"/>
          <w:vertAlign w:val="superscript"/>
          <w:rtl/>
        </w:rPr>
        <w:footnoteReference w:id="4769"/>
      </w:r>
      <w:r w:rsidRPr="001D49D4">
        <w:rPr>
          <w:rFonts w:ascii="Calibri" w:eastAsia="Calibri" w:hAnsi="Calibri" w:cs="Arial"/>
          <w:rtl/>
        </w:rPr>
        <w:t xml:space="preserve"> </w:t>
      </w:r>
      <w:r w:rsidRPr="001D49D4">
        <w:rPr>
          <w:rFonts w:ascii="Calibri" w:eastAsia="Calibri" w:hAnsi="Calibri" w:cs="Arial"/>
          <w:sz w:val="16"/>
          <w:szCs w:val="16"/>
          <w:rtl/>
        </w:rPr>
        <w:t>(ח"ה סי' רסא)</w:t>
      </w:r>
      <w:r w:rsidRPr="001D49D4">
        <w:rPr>
          <w:rFonts w:ascii="Calibri" w:eastAsia="Calibri" w:hAnsi="Calibri" w:cs="Arial"/>
          <w:rtl/>
        </w:rPr>
        <w:t>- אם הוחזק נפול בבית דין או אפילו בעדים - אין דנין בו מעשה</w:t>
      </w:r>
      <w:r w:rsidRPr="001D49D4">
        <w:rPr>
          <w:rFonts w:ascii="Calibri" w:eastAsia="Calibri" w:hAnsi="Calibri" w:cs="Arial"/>
          <w:vertAlign w:val="superscript"/>
          <w:rtl/>
        </w:rPr>
        <w:footnoteReference w:id="4770"/>
      </w:r>
      <w:r w:rsidRPr="001D49D4">
        <w:rPr>
          <w:rFonts w:ascii="Calibri" w:eastAsia="Calibri" w:hAnsi="Calibri" w:cs="Arial"/>
          <w:rtl/>
        </w:rPr>
        <w:t>.</w:t>
      </w:r>
    </w:p>
    <w:p w14:paraId="0F6B0E25" w14:textId="77777777" w:rsidR="001D49D4" w:rsidRPr="001D49D4" w:rsidRDefault="001D49D4" w:rsidP="0004348D">
      <w:pPr>
        <w:numPr>
          <w:ilvl w:val="0"/>
          <w:numId w:val="326"/>
        </w:numPr>
        <w:spacing w:before="360" w:after="240"/>
        <w:contextualSpacing/>
        <w:rPr>
          <w:rFonts w:ascii="Calibri" w:eastAsia="Calibri" w:hAnsi="Calibri" w:cs="Arial"/>
        </w:rPr>
      </w:pPr>
      <w:r w:rsidRPr="001D49D4">
        <w:rPr>
          <w:rFonts w:ascii="Calibri" w:eastAsia="Calibri" w:hAnsi="Calibri" w:cs="Arial"/>
          <w:rtl/>
        </w:rPr>
        <w:t xml:space="preserve">בעל התרומות </w:t>
      </w:r>
      <w:r w:rsidRPr="001D49D4">
        <w:rPr>
          <w:rFonts w:ascii="Calibri" w:eastAsia="Calibri" w:hAnsi="Calibri" w:cs="Arial"/>
          <w:sz w:val="16"/>
          <w:szCs w:val="16"/>
          <w:rtl/>
        </w:rPr>
        <w:t xml:space="preserve"> (שער נב ח"א סי' י)</w:t>
      </w:r>
      <w:r w:rsidRPr="001D49D4">
        <w:rPr>
          <w:rFonts w:ascii="Calibri" w:eastAsia="Calibri" w:hAnsi="Calibri" w:cs="Arial"/>
          <w:rtl/>
        </w:rPr>
        <w:t>- אפילו אם ב"ד גבו בו ואח"כ נודע בעדים שנפל - מחזירין ב"ד הדין ומוציאין מן המלוה להחזיר ללוה. אבל אם פרע הלוה מעצמו ואח"כ באו עדים שנפל - אין מוציאין מידו, הואיל שמעצמו פרע יודע היה שאינו פרוע, ועכשיו שמצא עדים שנפל רוצה לומר פרוע הוא ואינו נאמן, ומהניא תפישה למלוה שהרי ברי לו שעדיין חייב לו. ואפילו אם פרע ליורשי המלוה שאין התפישה ברורה להם שהיא כדין - אפ"ה מהניא להם תפישה, כיון שמדעת הבעלים באה לידם.</w:t>
      </w:r>
    </w:p>
    <w:p w14:paraId="190A5345" w14:textId="77777777" w:rsidR="001D49D4" w:rsidRPr="001D49D4" w:rsidRDefault="001D49D4" w:rsidP="0004348D">
      <w:pPr>
        <w:numPr>
          <w:ilvl w:val="1"/>
          <w:numId w:val="326"/>
        </w:numPr>
        <w:spacing w:before="360" w:after="240"/>
        <w:contextualSpacing/>
        <w:rPr>
          <w:rFonts w:ascii="Calibri" w:eastAsia="Calibri" w:hAnsi="Calibri" w:cs="Arial"/>
        </w:rPr>
      </w:pPr>
      <w:r w:rsidRPr="001D49D4">
        <w:rPr>
          <w:rFonts w:ascii="Calibri" w:eastAsia="Calibri" w:hAnsi="Calibri" w:cs="Arial"/>
          <w:rtl/>
        </w:rPr>
        <w:t>ב"י- ולענין הלכה נראה דלא קיי"ל כהרמב"ם בהא דה"ל יחידאה לגבי כל הני רבוותא דפליגי עליה</w:t>
      </w:r>
      <w:r w:rsidRPr="001D49D4">
        <w:rPr>
          <w:rFonts w:ascii="Calibri" w:eastAsia="Calibri" w:hAnsi="Calibri" w:cs="Arial"/>
          <w:vertAlign w:val="superscript"/>
          <w:rtl/>
        </w:rPr>
        <w:footnoteReference w:id="4771"/>
      </w:r>
      <w:r w:rsidRPr="001D49D4">
        <w:rPr>
          <w:rFonts w:ascii="Calibri" w:eastAsia="Calibri" w:hAnsi="Calibri" w:cs="Arial"/>
          <w:rtl/>
        </w:rPr>
        <w:t xml:space="preserve">. </w:t>
      </w:r>
    </w:p>
    <w:p w14:paraId="3C294FE3" w14:textId="77777777" w:rsidR="001D49D4" w:rsidRPr="001D49D4" w:rsidRDefault="001D49D4" w:rsidP="0004348D">
      <w:pPr>
        <w:spacing w:before="360" w:after="240"/>
        <w:rPr>
          <w:rFonts w:ascii="Arial" w:eastAsia="Calibri" w:hAnsi="Arial" w:cs="Arial"/>
          <w:b/>
          <w:bCs/>
          <w:color w:val="000000"/>
          <w:sz w:val="28"/>
          <w:szCs w:val="28"/>
          <w:u w:val="single"/>
          <w:rtl/>
        </w:rPr>
      </w:pPr>
      <w:r w:rsidRPr="001D49D4">
        <w:rPr>
          <w:rFonts w:ascii="Arial" w:eastAsia="Calibri" w:hAnsi="Arial" w:cs="Arial"/>
          <w:b/>
          <w:bCs/>
          <w:color w:val="000000"/>
          <w:sz w:val="28"/>
          <w:szCs w:val="28"/>
          <w:u w:val="single"/>
          <w:rtl/>
        </w:rPr>
        <w:t>שו"ע:</w:t>
      </w:r>
    </w:p>
    <w:p w14:paraId="17EA9ECB"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rtl/>
        </w:rPr>
        <w:t>המוצא שטר אצלו</w:t>
      </w:r>
      <w:r w:rsidRPr="001D49D4">
        <w:rPr>
          <w:rFonts w:ascii="Calibri" w:eastAsia="Calibri" w:hAnsi="Calibri" w:cs="Arial"/>
          <w:vertAlign w:val="superscript"/>
          <w:rtl/>
        </w:rPr>
        <w:footnoteReference w:id="4772"/>
      </w:r>
      <w:r w:rsidRPr="001D49D4">
        <w:rPr>
          <w:rFonts w:ascii="Calibri" w:eastAsia="Calibri" w:hAnsi="Calibri" w:cs="Arial"/>
          <w:rtl/>
        </w:rPr>
        <w:t xml:space="preserve"> ואינו יודע מה טיבו אם המלוה הפקידו או הלוה או אם הפקידוהו בידו בתורת שלישות ומקצתו פרוע, יהא מונח עד שיבא אליהו. ואם החזיר לאותו שכתוב על שמו, עבר על דברי חכמים, ואם זה שהשטר עתה בידו מכחיש דברי אותו שנתנו לו היה יכול לגבות בו</w:t>
      </w:r>
      <w:r w:rsidRPr="001D49D4">
        <w:rPr>
          <w:rFonts w:ascii="Calibri" w:eastAsia="Calibri" w:hAnsi="Calibri" w:cs="Arial"/>
          <w:vertAlign w:val="superscript"/>
          <w:rtl/>
        </w:rPr>
        <w:footnoteReference w:id="4773"/>
      </w:r>
      <w:r w:rsidRPr="001D49D4">
        <w:rPr>
          <w:rFonts w:ascii="Calibri" w:eastAsia="Calibri" w:hAnsi="Calibri" w:cs="Arial"/>
          <w:rtl/>
        </w:rPr>
        <w:t>, ואם הוא מודה לו שנתנו לידו צריך להחזירו לו</w:t>
      </w:r>
      <w:r w:rsidRPr="001D49D4">
        <w:rPr>
          <w:rFonts w:ascii="Calibri" w:eastAsia="Calibri" w:hAnsi="Calibri" w:cs="Arial"/>
          <w:vertAlign w:val="superscript"/>
          <w:rtl/>
        </w:rPr>
        <w:footnoteReference w:id="4774"/>
      </w:r>
      <w:r w:rsidRPr="001D49D4">
        <w:rPr>
          <w:rFonts w:ascii="Calibri" w:eastAsia="Calibri" w:hAnsi="Calibri" w:cs="Arial"/>
          <w:rtl/>
        </w:rPr>
        <w:t xml:space="preserve"> ויהא מונח עד שיבא אליהו. ובסימן זה יתבאר עוד. </w:t>
      </w:r>
      <w:r w:rsidRPr="001D49D4">
        <w:rPr>
          <w:rFonts w:ascii="Calibri" w:eastAsia="Calibri" w:hAnsi="Calibri" w:cs="Arial"/>
          <w:sz w:val="18"/>
          <w:szCs w:val="18"/>
          <w:rtl/>
        </w:rPr>
        <w:t>[הגה] ועיין סע' ט"ז</w:t>
      </w:r>
      <w:r w:rsidRPr="001D49D4">
        <w:rPr>
          <w:rFonts w:ascii="Calibri" w:eastAsia="Calibri" w:hAnsi="Calibri" w:cs="Arial"/>
          <w:sz w:val="18"/>
          <w:szCs w:val="18"/>
          <w:vertAlign w:val="superscript"/>
          <w:rtl/>
        </w:rPr>
        <w:footnoteReference w:id="4775"/>
      </w:r>
      <w:r w:rsidRPr="001D49D4">
        <w:rPr>
          <w:rFonts w:ascii="Calibri" w:eastAsia="Calibri" w:hAnsi="Calibri" w:cs="Arial"/>
          <w:rtl/>
        </w:rPr>
        <w:t xml:space="preserve">. ואם שטר משכונא נמצא בידו ואינו יודע מה טיבו, אף על פי שבעל המשכונא מוחזק בקרקע, אינו מועיל לו כלום שום טענה, ויהא השטר מונח עד שיבא אליהו ומחזיר הקרקע לבעליה. </w:t>
      </w:r>
      <w:r w:rsidRPr="001D49D4">
        <w:rPr>
          <w:rFonts w:ascii="Calibri" w:eastAsia="Calibri" w:hAnsi="Calibri" w:cs="Arial"/>
          <w:sz w:val="18"/>
          <w:szCs w:val="18"/>
          <w:rtl/>
        </w:rPr>
        <w:t>הגה: וכל זה דוקא במי שאין לו שייכות עם המפקיד או הנפקד, אבל בן שמוצא שטרות של אביו בידו ואינו יודע מה טיבן, או האב שמוצא שטרות בנו והוא סמוך על שולחנו, וה"ה כל אלו שאין להן חזקה זה על זה, כמו שיתבאר לקמן סי' קמ"ט, כל אלו כאדם אחד הן והוי כאלו נמצא תחת ידי עצמו</w:t>
      </w:r>
      <w:r w:rsidRPr="001D49D4">
        <w:rPr>
          <w:rFonts w:ascii="Calibri" w:eastAsia="Calibri" w:hAnsi="Calibri" w:cs="Arial"/>
          <w:sz w:val="18"/>
          <w:szCs w:val="18"/>
          <w:vertAlign w:val="superscript"/>
          <w:rtl/>
        </w:rPr>
        <w:footnoteReference w:id="4776"/>
      </w:r>
      <w:r w:rsidRPr="001D49D4">
        <w:rPr>
          <w:rFonts w:ascii="Calibri" w:eastAsia="Calibri" w:hAnsi="Calibri" w:cs="Arial"/>
          <w:sz w:val="18"/>
          <w:szCs w:val="18"/>
          <w:rtl/>
        </w:rPr>
        <w:t xml:space="preserve"> (רשב"א).</w:t>
      </w:r>
      <w:r w:rsidRPr="001D49D4">
        <w:rPr>
          <w:rFonts w:ascii="Calibri" w:eastAsia="Calibri" w:hAnsi="Calibri" w:cs="Arial"/>
          <w:rtl/>
        </w:rPr>
        <w:t xml:space="preserve"> </w:t>
      </w:r>
    </w:p>
    <w:p w14:paraId="1EDA97BB" w14:textId="77777777" w:rsidR="001D49D4" w:rsidRPr="001D49D4" w:rsidRDefault="001D49D4" w:rsidP="0004348D">
      <w:pPr>
        <w:spacing w:before="360" w:after="240"/>
        <w:rPr>
          <w:rFonts w:ascii="Calibri" w:eastAsia="Calibri" w:hAnsi="Calibri" w:cs="Arial"/>
          <w:rtl/>
        </w:rPr>
      </w:pPr>
    </w:p>
    <w:p w14:paraId="42FBAD6F" w14:textId="77777777" w:rsidR="001D49D4" w:rsidRPr="001D49D4" w:rsidRDefault="001D49D4" w:rsidP="0004348D">
      <w:pPr>
        <w:keepNext/>
        <w:keepLines/>
        <w:spacing w:before="360" w:after="240"/>
        <w:outlineLvl w:val="1"/>
        <w:rPr>
          <w:rFonts w:ascii="Cambria" w:eastAsia="Times New Roman" w:hAnsi="Cambria" w:cs="Arial"/>
          <w:bCs/>
          <w:color w:val="548DD4" w:themeColor="text2" w:themeTint="99"/>
          <w:sz w:val="26"/>
          <w:szCs w:val="26"/>
          <w:rtl/>
        </w:rPr>
      </w:pPr>
      <w:bookmarkStart w:id="647" w:name="_Toc24884071"/>
      <w:r w:rsidRPr="001D49D4">
        <w:rPr>
          <w:rFonts w:ascii="Cambria" w:eastAsia="Times New Roman" w:hAnsi="Cambria" w:cs="Arial"/>
          <w:bCs/>
          <w:color w:val="548DD4" w:themeColor="text2" w:themeTint="99"/>
          <w:sz w:val="26"/>
          <w:szCs w:val="26"/>
          <w:rtl/>
        </w:rPr>
        <w:t>סעיף ב: יורשי הנפקד שמצאו אצל מורישם שטר ואינם יודעים מה טיבו.</w:t>
      </w:r>
      <w:bookmarkEnd w:id="647"/>
    </w:p>
    <w:p w14:paraId="4C39669F"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u w:val="single"/>
          <w:rtl/>
        </w:rPr>
        <w:t>יורשי הנפקד שמצאו אצל מורישם שטר ואינם יודעים מה טיבו:</w:t>
      </w:r>
    </w:p>
    <w:p w14:paraId="5122BFCC" w14:textId="77777777" w:rsidR="001D49D4" w:rsidRPr="001D49D4" w:rsidRDefault="001D49D4" w:rsidP="0004348D">
      <w:pPr>
        <w:numPr>
          <w:ilvl w:val="0"/>
          <w:numId w:val="327"/>
        </w:numPr>
        <w:spacing w:before="360" w:after="240"/>
        <w:contextualSpacing/>
        <w:rPr>
          <w:rFonts w:ascii="Calibri" w:eastAsia="Calibri" w:hAnsi="Calibri" w:cs="Arial"/>
          <w:rtl/>
        </w:rPr>
      </w:pPr>
      <w:r w:rsidRPr="001D49D4">
        <w:rPr>
          <w:rFonts w:ascii="Calibri" w:eastAsia="Calibri" w:hAnsi="Calibri" w:cs="Arial"/>
          <w:rtl/>
        </w:rPr>
        <w:t xml:space="preserve">רא"ש </w:t>
      </w:r>
      <w:r w:rsidRPr="001D49D4">
        <w:rPr>
          <w:rFonts w:ascii="Calibri" w:eastAsia="Calibri" w:hAnsi="Calibri" w:cs="Arial"/>
          <w:sz w:val="16"/>
          <w:szCs w:val="16"/>
          <w:rtl/>
        </w:rPr>
        <w:t xml:space="preserve">(סי' נב) </w:t>
      </w:r>
      <w:r w:rsidRPr="001D49D4">
        <w:rPr>
          <w:rFonts w:ascii="Calibri" w:eastAsia="Calibri" w:hAnsi="Calibri" w:cs="Arial"/>
          <w:rtl/>
        </w:rPr>
        <w:t>וטור- יורשי הנפקד</w:t>
      </w:r>
      <w:r w:rsidRPr="001D49D4">
        <w:rPr>
          <w:rFonts w:ascii="Calibri" w:eastAsia="Calibri" w:hAnsi="Calibri" w:cs="Arial"/>
          <w:vertAlign w:val="superscript"/>
          <w:rtl/>
        </w:rPr>
        <w:footnoteReference w:id="4777"/>
      </w:r>
      <w:r w:rsidRPr="001D49D4">
        <w:rPr>
          <w:rFonts w:ascii="Calibri" w:eastAsia="Calibri" w:hAnsi="Calibri" w:cs="Arial"/>
          <w:rtl/>
        </w:rPr>
        <w:t xml:space="preserve"> לא יחזירו שום שטר שנמצא ברשות אביהם אא"כ יודעין מה טיבו</w:t>
      </w:r>
      <w:r w:rsidRPr="001D49D4">
        <w:rPr>
          <w:rFonts w:ascii="Calibri" w:eastAsia="Calibri" w:hAnsi="Calibri" w:cs="Arial"/>
          <w:sz w:val="16"/>
          <w:szCs w:val="16"/>
          <w:rtl/>
        </w:rPr>
        <w:t xml:space="preserve"> (ל' הטור)</w:t>
      </w:r>
      <w:r w:rsidRPr="001D49D4">
        <w:rPr>
          <w:rFonts w:ascii="Calibri" w:eastAsia="Calibri" w:hAnsi="Calibri" w:cs="Arial"/>
          <w:vertAlign w:val="superscript"/>
          <w:rtl/>
        </w:rPr>
        <w:footnoteReference w:id="4778"/>
      </w:r>
      <w:r w:rsidRPr="001D49D4">
        <w:rPr>
          <w:rFonts w:ascii="Calibri" w:eastAsia="Calibri" w:hAnsi="Calibri" w:cs="Arial"/>
          <w:rtl/>
        </w:rPr>
        <w:t xml:space="preserve">. </w:t>
      </w:r>
      <w:r w:rsidRPr="001D49D4">
        <w:rPr>
          <w:rFonts w:ascii="Calibri" w:eastAsia="Calibri" w:hAnsi="Calibri" w:cs="Arial"/>
          <w:color w:val="E36C0A" w:themeColor="accent6" w:themeShade="BF"/>
          <w:rtl/>
        </w:rPr>
        <w:t>(וכ"פ בשו"ע)</w:t>
      </w:r>
    </w:p>
    <w:p w14:paraId="3D24CD60" w14:textId="77777777" w:rsidR="001D49D4" w:rsidRPr="001D49D4" w:rsidRDefault="001D49D4" w:rsidP="0004348D">
      <w:pPr>
        <w:numPr>
          <w:ilvl w:val="0"/>
          <w:numId w:val="327"/>
        </w:numPr>
        <w:spacing w:before="360" w:after="240"/>
        <w:contextualSpacing/>
        <w:rPr>
          <w:rFonts w:ascii="Calibri" w:eastAsia="Calibri" w:hAnsi="Calibri" w:cs="Arial"/>
        </w:rPr>
      </w:pPr>
      <w:r w:rsidRPr="001D49D4">
        <w:rPr>
          <w:rFonts w:ascii="Calibri" w:eastAsia="Calibri" w:hAnsi="Calibri" w:cs="Arial"/>
          <w:rtl/>
        </w:rPr>
        <w:t xml:space="preserve">רשב"א </w:t>
      </w:r>
      <w:r w:rsidRPr="001D49D4">
        <w:rPr>
          <w:rFonts w:ascii="Calibri" w:eastAsia="Calibri" w:hAnsi="Calibri" w:cs="Arial"/>
          <w:sz w:val="16"/>
          <w:szCs w:val="16"/>
          <w:rtl/>
        </w:rPr>
        <w:t>(סי' אלף לה)</w:t>
      </w:r>
      <w:r w:rsidRPr="001D49D4">
        <w:rPr>
          <w:rFonts w:ascii="Calibri" w:eastAsia="Calibri" w:hAnsi="Calibri" w:cs="Arial"/>
          <w:rtl/>
        </w:rPr>
        <w:t xml:space="preserve">- נראה שאם מצאו יורש בין שטרות אביו ואינו יודע מה טיבו חייב להחזירו למלוה אלא דבתוספתא </w:t>
      </w:r>
      <w:r w:rsidRPr="001D49D4">
        <w:rPr>
          <w:rFonts w:ascii="Calibri" w:eastAsia="Calibri" w:hAnsi="Calibri" w:cs="Arial"/>
          <w:sz w:val="16"/>
          <w:szCs w:val="16"/>
          <w:rtl/>
        </w:rPr>
        <w:t xml:space="preserve">(ב"מ פ"א ה"ה - ו) </w:t>
      </w:r>
      <w:r w:rsidRPr="001D49D4">
        <w:rPr>
          <w:rFonts w:ascii="Calibri" w:eastAsia="Calibri" w:hAnsi="Calibri" w:cs="Arial"/>
          <w:rtl/>
        </w:rPr>
        <w:t>לא משמע הכי... ומיהו אפילו אם תמצא לומר יהא מונח, אם המלוה בעצמו לקחו קודם שבא ליד אחר לא אמרינן ביה יהא מונח, ואפילו לקחו מבית היורש קודם שיבא ליד היורש.</w:t>
      </w:r>
    </w:p>
    <w:p w14:paraId="47E7B4AA" w14:textId="77777777" w:rsidR="001D49D4" w:rsidRPr="001D49D4" w:rsidRDefault="001D49D4" w:rsidP="0004348D">
      <w:pPr>
        <w:spacing w:before="360" w:after="240"/>
        <w:rPr>
          <w:rFonts w:ascii="Calibri" w:eastAsia="Calibri" w:hAnsi="Calibri" w:cs="Arial"/>
        </w:rPr>
      </w:pPr>
      <w:r w:rsidRPr="001D49D4">
        <w:rPr>
          <w:rFonts w:ascii="Calibri" w:eastAsia="Calibri" w:hAnsi="Calibri" w:cs="Arial"/>
          <w:u w:val="single"/>
          <w:rtl/>
        </w:rPr>
        <w:t>יורש שמצא אצל מורישו שטר כתובת אשה ואינו יודע מה טיבו:</w:t>
      </w:r>
    </w:p>
    <w:p w14:paraId="1F0AC0F7" w14:textId="77777777" w:rsidR="001D49D4" w:rsidRPr="001D49D4" w:rsidRDefault="001D49D4" w:rsidP="0004348D">
      <w:pPr>
        <w:numPr>
          <w:ilvl w:val="0"/>
          <w:numId w:val="327"/>
        </w:numPr>
        <w:spacing w:before="360" w:after="240"/>
        <w:contextualSpacing/>
        <w:rPr>
          <w:rFonts w:ascii="Calibri" w:eastAsia="Calibri" w:hAnsi="Calibri" w:cs="Arial"/>
        </w:rPr>
      </w:pPr>
      <w:r w:rsidRPr="001D49D4">
        <w:rPr>
          <w:rFonts w:ascii="Calibri" w:eastAsia="Calibri" w:hAnsi="Calibri" w:cs="Arial"/>
          <w:rtl/>
        </w:rPr>
        <w:t xml:space="preserve">ריטב"א </w:t>
      </w:r>
      <w:r w:rsidRPr="001D49D4">
        <w:rPr>
          <w:rFonts w:ascii="Calibri" w:eastAsia="Calibri" w:hAnsi="Calibri" w:cs="Arial"/>
          <w:sz w:val="16"/>
          <w:szCs w:val="16"/>
          <w:rtl/>
        </w:rPr>
        <w:t>(סי' קי)</w:t>
      </w:r>
      <w:r w:rsidRPr="001D49D4">
        <w:rPr>
          <w:rFonts w:ascii="Calibri" w:eastAsia="Calibri" w:hAnsi="Calibri" w:cs="Arial"/>
          <w:rtl/>
        </w:rPr>
        <w:t xml:space="preserve">- מנהג פשוט בכל גלילותינו שהיורש מחזיר לאשה אפילו שלא מדעת הבעל שטר כתובה שמצא בתיבת מורישו, שחזקה שהיא הצניעה אצלו, ולא חיישינן שהבעל הפקידה לאביו או שהיא פרועה או מחולה, והיא הנותנת, שאין היורש נאמן לומר מכרתה האשה לי באגב או בכתיבה ומסירה או משכנתו אצלי. </w:t>
      </w:r>
      <w:r w:rsidRPr="001D49D4">
        <w:rPr>
          <w:rFonts w:ascii="Calibri" w:eastAsia="Calibri" w:hAnsi="Calibri" w:cs="Arial"/>
          <w:color w:val="00B0F0"/>
          <w:rtl/>
        </w:rPr>
        <w:t>(וכ"פ הרמ"א)</w:t>
      </w:r>
    </w:p>
    <w:p w14:paraId="7A998A16" w14:textId="77777777" w:rsidR="001D49D4" w:rsidRPr="001D49D4" w:rsidRDefault="001D49D4" w:rsidP="0004348D">
      <w:pPr>
        <w:spacing w:before="360" w:after="240"/>
        <w:rPr>
          <w:rFonts w:ascii="Calibri" w:eastAsia="Calibri" w:hAnsi="Calibri" w:cs="Arial"/>
          <w:u w:val="single"/>
        </w:rPr>
      </w:pPr>
      <w:r w:rsidRPr="001D49D4">
        <w:rPr>
          <w:rFonts w:ascii="Calibri" w:eastAsia="Calibri" w:hAnsi="Calibri" w:cs="Arial"/>
          <w:u w:val="single"/>
          <w:rtl/>
        </w:rPr>
        <w:t>אלמנה שנתנה שטרי חוב לאחיה וטענה שהם שלו - והיתומים טוענים שהם שלהם:</w:t>
      </w:r>
    </w:p>
    <w:p w14:paraId="6F535D55" w14:textId="77777777" w:rsidR="001D49D4" w:rsidRPr="001D49D4" w:rsidRDefault="001D49D4" w:rsidP="0004348D">
      <w:pPr>
        <w:numPr>
          <w:ilvl w:val="0"/>
          <w:numId w:val="327"/>
        </w:numPr>
        <w:spacing w:before="360" w:after="240"/>
        <w:contextualSpacing/>
        <w:rPr>
          <w:rFonts w:ascii="Calibri" w:eastAsia="Calibri" w:hAnsi="Calibri" w:cs="Arial"/>
        </w:rPr>
      </w:pPr>
      <w:r w:rsidRPr="001D49D4">
        <w:rPr>
          <w:rFonts w:ascii="Calibri" w:eastAsia="Calibri" w:hAnsi="Calibri" w:cs="Arial"/>
          <w:rtl/>
        </w:rPr>
        <w:t xml:space="preserve">ריטב"א </w:t>
      </w:r>
      <w:r w:rsidRPr="001D49D4">
        <w:rPr>
          <w:rFonts w:ascii="Calibri" w:eastAsia="Calibri" w:hAnsi="Calibri" w:cs="Arial"/>
          <w:sz w:val="16"/>
          <w:szCs w:val="16"/>
          <w:rtl/>
        </w:rPr>
        <w:t>(סי' קיב)</w:t>
      </w:r>
      <w:r w:rsidRPr="001D49D4">
        <w:rPr>
          <w:rFonts w:ascii="Calibri" w:eastAsia="Calibri" w:hAnsi="Calibri" w:cs="Arial"/>
          <w:rtl/>
        </w:rPr>
        <w:t xml:space="preserve">- אם אין ליתומים ראיה על האלמנה שהיא נתנה שטרות אלו לאחיה, אלא מתוך הודאתה בלבד - היא נאמנת לומר של אחיה היו במגו, ואע"פ שלא היה אמוד אחיה בסך ההוא אין בכך כלום דיש מתרושש והון רב </w:t>
      </w:r>
      <w:r w:rsidRPr="001D49D4">
        <w:rPr>
          <w:rFonts w:ascii="Calibri" w:eastAsia="Calibri" w:hAnsi="Calibri" w:cs="Arial"/>
          <w:sz w:val="16"/>
          <w:szCs w:val="16"/>
          <w:rtl/>
        </w:rPr>
        <w:t>(משלי יג ז)</w:t>
      </w:r>
      <w:r w:rsidRPr="001D49D4">
        <w:rPr>
          <w:rFonts w:ascii="Calibri" w:eastAsia="Calibri" w:hAnsi="Calibri" w:cs="Arial"/>
          <w:rtl/>
        </w:rPr>
        <w:t xml:space="preserve">. </w:t>
      </w:r>
    </w:p>
    <w:p w14:paraId="6C308315" w14:textId="77777777" w:rsidR="001D49D4" w:rsidRPr="001D49D4" w:rsidRDefault="001D49D4" w:rsidP="0004348D">
      <w:pPr>
        <w:spacing w:before="360" w:after="240"/>
        <w:rPr>
          <w:rFonts w:ascii="Calibri" w:eastAsia="Calibri" w:hAnsi="Calibri" w:cs="Arial"/>
          <w:u w:val="single"/>
        </w:rPr>
      </w:pPr>
      <w:r w:rsidRPr="001D49D4">
        <w:rPr>
          <w:rFonts w:ascii="Calibri" w:eastAsia="Calibri" w:hAnsi="Calibri" w:cs="Arial"/>
          <w:u w:val="single"/>
          <w:rtl/>
        </w:rPr>
        <w:t>אשה שהיה לה שטר חוב על בעלה, והפקידה אותו אצל שמעון, ומתה, ותובע הבעל משמעון את השטר:</w:t>
      </w:r>
    </w:p>
    <w:p w14:paraId="1C21AA8D" w14:textId="77777777" w:rsidR="001D49D4" w:rsidRPr="001D49D4" w:rsidRDefault="001D49D4" w:rsidP="0004348D">
      <w:pPr>
        <w:numPr>
          <w:ilvl w:val="0"/>
          <w:numId w:val="327"/>
        </w:numPr>
        <w:spacing w:before="360" w:after="240"/>
        <w:contextualSpacing/>
        <w:rPr>
          <w:rFonts w:ascii="Calibri" w:eastAsia="Calibri" w:hAnsi="Calibri" w:cs="Arial"/>
        </w:rPr>
      </w:pPr>
      <w:r w:rsidRPr="001D49D4">
        <w:rPr>
          <w:rFonts w:ascii="Calibri" w:eastAsia="Calibri" w:hAnsi="Calibri" w:cs="Arial"/>
          <w:rtl/>
        </w:rPr>
        <w:t xml:space="preserve">ריטב"א </w:t>
      </w:r>
      <w:r w:rsidRPr="001D49D4">
        <w:rPr>
          <w:rFonts w:ascii="Calibri" w:eastAsia="Calibri" w:hAnsi="Calibri" w:cs="Arial"/>
          <w:sz w:val="16"/>
          <w:szCs w:val="16"/>
          <w:rtl/>
        </w:rPr>
        <w:t>(סי' קכו)</w:t>
      </w:r>
      <w:r w:rsidRPr="001D49D4">
        <w:rPr>
          <w:rFonts w:ascii="Calibri" w:eastAsia="Calibri" w:hAnsi="Calibri" w:cs="Arial"/>
          <w:rtl/>
        </w:rPr>
        <w:t xml:space="preserve">- שאלת, אשת ראובן שהיה לה שטר חוב על בעלה והיה עשוי בענין שאין הבעל יכול לומר לגלויי זוזי עבדי, והיה לה רשות לגבותו כל זמן שתרצה וליתנו לכל מי שתרצה, והפקידה אותו אצל שמעון, ומתה. ותובע ראובן משמעון השטר, ושמעון חושש מלהחזירו לבעל כי שמא נתנה היא שטר חוב זה לשום אדם אגב קרקע ונמצא מפסידו. תשובה, אין לשמעון לחוש לכך, דכיון שהיא הפקידתו סתם אין מוציאין השטר מחזקתה, ואע"ג דאמרינן בפ"ק דמציעא </w:t>
      </w:r>
      <w:r w:rsidRPr="001D49D4">
        <w:rPr>
          <w:rFonts w:ascii="Calibri" w:eastAsia="Calibri" w:hAnsi="Calibri" w:cs="Arial"/>
          <w:sz w:val="16"/>
          <w:szCs w:val="16"/>
          <w:rtl/>
        </w:rPr>
        <w:t xml:space="preserve">(יט:) </w:t>
      </w:r>
      <w:r w:rsidRPr="001D49D4">
        <w:rPr>
          <w:rFonts w:ascii="Calibri" w:eastAsia="Calibri" w:hAnsi="Calibri" w:cs="Arial"/>
          <w:rtl/>
        </w:rPr>
        <w:t>במוצא שובר בשוק וניחוש דילמא זבינתה לכתובתה וכו' מוצא שאני דמשום דנפל איתרע ליה.</w:t>
      </w:r>
    </w:p>
    <w:p w14:paraId="5298A8AE" w14:textId="77777777" w:rsidR="001D49D4" w:rsidRPr="001D49D4" w:rsidRDefault="001D49D4" w:rsidP="0004348D">
      <w:pPr>
        <w:spacing w:before="360" w:after="240"/>
        <w:rPr>
          <w:rFonts w:ascii="Arial" w:eastAsia="Calibri" w:hAnsi="Arial" w:cs="Arial"/>
          <w:b/>
          <w:bCs/>
          <w:color w:val="000000"/>
          <w:sz w:val="28"/>
          <w:szCs w:val="28"/>
          <w:u w:val="single"/>
          <w:rtl/>
        </w:rPr>
      </w:pPr>
      <w:r w:rsidRPr="001D49D4">
        <w:rPr>
          <w:rFonts w:ascii="Arial" w:eastAsia="Calibri" w:hAnsi="Arial" w:cs="Arial"/>
          <w:b/>
          <w:bCs/>
          <w:color w:val="000000"/>
          <w:sz w:val="28"/>
          <w:szCs w:val="28"/>
          <w:u w:val="single"/>
          <w:rtl/>
        </w:rPr>
        <w:t>שו"ע:</w:t>
      </w:r>
    </w:p>
    <w:p w14:paraId="458C03A9"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rtl/>
        </w:rPr>
        <w:t>וכן יורשי הנפקד לא יחזירו שום שטר שנמצא ברשות אביהם</w:t>
      </w:r>
      <w:r w:rsidRPr="001D49D4">
        <w:rPr>
          <w:rFonts w:ascii="Calibri" w:eastAsia="Calibri" w:hAnsi="Calibri" w:cs="Arial"/>
          <w:vertAlign w:val="superscript"/>
          <w:rtl/>
        </w:rPr>
        <w:footnoteReference w:id="4779"/>
      </w:r>
      <w:r w:rsidRPr="001D49D4">
        <w:rPr>
          <w:rFonts w:ascii="Calibri" w:eastAsia="Calibri" w:hAnsi="Calibri" w:cs="Arial"/>
          <w:rtl/>
        </w:rPr>
        <w:t>, אלא אם כן יודעים מה טיבו. ויש מי שאומר</w:t>
      </w:r>
      <w:r w:rsidRPr="001D49D4">
        <w:rPr>
          <w:rFonts w:ascii="Calibri" w:eastAsia="Calibri" w:hAnsi="Calibri" w:cs="Arial"/>
          <w:vertAlign w:val="superscript"/>
          <w:rtl/>
        </w:rPr>
        <w:footnoteReference w:id="4780"/>
      </w:r>
      <w:r w:rsidRPr="001D49D4">
        <w:rPr>
          <w:rFonts w:ascii="Calibri" w:eastAsia="Calibri" w:hAnsi="Calibri" w:cs="Arial"/>
          <w:rtl/>
        </w:rPr>
        <w:t xml:space="preserve"> שאם המלוה בעצמו לקחו קודם שבא ליד אחר</w:t>
      </w:r>
      <w:r w:rsidRPr="001D49D4">
        <w:rPr>
          <w:rFonts w:ascii="Calibri" w:eastAsia="Calibri" w:hAnsi="Calibri" w:cs="Arial"/>
          <w:vertAlign w:val="superscript"/>
          <w:rtl/>
        </w:rPr>
        <w:footnoteReference w:id="4781"/>
      </w:r>
      <w:r w:rsidRPr="001D49D4">
        <w:rPr>
          <w:rFonts w:ascii="Calibri" w:eastAsia="Calibri" w:hAnsi="Calibri" w:cs="Arial"/>
          <w:rtl/>
        </w:rPr>
        <w:t xml:space="preserve">, לא אמרינן בה יהא מונח, ואפילו לקחו מבית היורש קודם שבא ליד היורש. </w:t>
      </w:r>
      <w:r w:rsidRPr="001D49D4">
        <w:rPr>
          <w:rFonts w:ascii="Calibri" w:eastAsia="Calibri" w:hAnsi="Calibri" w:cs="Arial"/>
          <w:sz w:val="18"/>
          <w:szCs w:val="18"/>
          <w:rtl/>
        </w:rPr>
        <w:t xml:space="preserve">[הגה] מיהו אם היורש מוצא </w:t>
      </w:r>
      <w:r w:rsidRPr="001D49D4">
        <w:rPr>
          <w:rFonts w:ascii="Calibri" w:eastAsia="Calibri" w:hAnsi="Calibri" w:cs="Arial"/>
          <w:sz w:val="16"/>
          <w:szCs w:val="16"/>
          <w:vertAlign w:val="superscript"/>
          <w:rtl/>
        </w:rPr>
        <w:footnoteReference w:id="4782"/>
      </w:r>
      <w:r w:rsidRPr="001D49D4">
        <w:rPr>
          <w:rFonts w:ascii="Calibri" w:eastAsia="Calibri" w:hAnsi="Calibri" w:cs="Arial"/>
          <w:sz w:val="16"/>
          <w:szCs w:val="16"/>
          <w:rtl/>
        </w:rPr>
        <w:t xml:space="preserve">(שטר) </w:t>
      </w:r>
      <w:r w:rsidRPr="001D49D4">
        <w:rPr>
          <w:rFonts w:ascii="Calibri" w:eastAsia="Calibri" w:hAnsi="Calibri" w:cs="Arial"/>
          <w:sz w:val="18"/>
          <w:szCs w:val="18"/>
          <w:rtl/>
        </w:rPr>
        <w:t>כתובת אשה הנפקד אצלו, יחזירנו לאשה</w:t>
      </w:r>
      <w:r w:rsidRPr="001D49D4">
        <w:rPr>
          <w:rFonts w:ascii="Calibri" w:eastAsia="Calibri" w:hAnsi="Calibri" w:cs="Arial"/>
          <w:sz w:val="18"/>
          <w:szCs w:val="18"/>
          <w:vertAlign w:val="superscript"/>
          <w:rtl/>
        </w:rPr>
        <w:footnoteReference w:id="4783"/>
      </w:r>
      <w:r w:rsidRPr="001D49D4">
        <w:rPr>
          <w:rFonts w:ascii="Calibri" w:eastAsia="Calibri" w:hAnsi="Calibri" w:cs="Arial"/>
          <w:sz w:val="18"/>
          <w:szCs w:val="18"/>
          <w:rtl/>
        </w:rPr>
        <w:t>, ולא חיישינן שהיא פרועה (ב"י בשם הריטב"א).</w:t>
      </w:r>
      <w:r w:rsidRPr="001D49D4">
        <w:rPr>
          <w:rFonts w:ascii="Calibri" w:eastAsia="Calibri" w:hAnsi="Calibri" w:cs="Arial"/>
          <w:rtl/>
        </w:rPr>
        <w:t xml:space="preserve"> </w:t>
      </w:r>
    </w:p>
    <w:p w14:paraId="27754C2E" w14:textId="77777777" w:rsidR="001D49D4" w:rsidRPr="001D49D4" w:rsidRDefault="001D49D4" w:rsidP="0004348D">
      <w:pPr>
        <w:spacing w:before="360" w:after="240"/>
        <w:rPr>
          <w:rFonts w:ascii="Calibri" w:eastAsia="Calibri" w:hAnsi="Calibri" w:cs="Arial"/>
          <w:rtl/>
        </w:rPr>
      </w:pPr>
    </w:p>
    <w:p w14:paraId="59F835C2" w14:textId="77777777" w:rsidR="001D49D4" w:rsidRPr="001D49D4" w:rsidRDefault="001D49D4" w:rsidP="0004348D">
      <w:pPr>
        <w:keepNext/>
        <w:keepLines/>
        <w:spacing w:before="360" w:after="240"/>
        <w:outlineLvl w:val="1"/>
        <w:rPr>
          <w:rFonts w:ascii="Cambria" w:eastAsia="Times New Roman" w:hAnsi="Cambria" w:cs="Arial"/>
          <w:bCs/>
          <w:color w:val="548DD4" w:themeColor="text2" w:themeTint="99"/>
          <w:sz w:val="26"/>
          <w:szCs w:val="26"/>
          <w:rtl/>
        </w:rPr>
      </w:pPr>
      <w:bookmarkStart w:id="648" w:name="_Toc24884072"/>
      <w:r w:rsidRPr="001D49D4">
        <w:rPr>
          <w:rFonts w:ascii="Cambria" w:eastAsia="Times New Roman" w:hAnsi="Cambria" w:cs="Arial"/>
          <w:bCs/>
          <w:color w:val="548DD4" w:themeColor="text2" w:themeTint="99"/>
          <w:sz w:val="26"/>
          <w:szCs w:val="26"/>
          <w:rtl/>
        </w:rPr>
        <w:t>סעיף ג: המוצא שטר אצלו ואינו יודע מה טיבו - ושניהם</w:t>
      </w:r>
      <w:r w:rsidRPr="001D49D4">
        <w:rPr>
          <w:rFonts w:ascii="Cambria" w:eastAsia="Times New Roman" w:hAnsi="Cambria" w:cs="Arial"/>
          <w:bCs/>
          <w:color w:val="548DD4" w:themeColor="text2" w:themeTint="99"/>
          <w:sz w:val="16"/>
          <w:szCs w:val="16"/>
          <w:rtl/>
        </w:rPr>
        <w:t xml:space="preserve"> (הלוה והמלוה)</w:t>
      </w:r>
      <w:r w:rsidRPr="001D49D4">
        <w:rPr>
          <w:rFonts w:ascii="Cambria" w:eastAsia="Times New Roman" w:hAnsi="Cambria" w:cs="Arial"/>
          <w:bCs/>
          <w:color w:val="548DD4" w:themeColor="text2" w:themeTint="99"/>
          <w:sz w:val="26"/>
          <w:szCs w:val="26"/>
          <w:rtl/>
        </w:rPr>
        <w:t xml:space="preserve"> מודים שהוא של אחד מהם.</w:t>
      </w:r>
      <w:bookmarkEnd w:id="648"/>
    </w:p>
    <w:p w14:paraId="22334465" w14:textId="77777777" w:rsidR="001D49D4" w:rsidRPr="001D49D4" w:rsidRDefault="001D49D4" w:rsidP="0004348D">
      <w:pPr>
        <w:spacing w:before="360" w:after="240"/>
        <w:rPr>
          <w:rFonts w:ascii="Calibri" w:eastAsia="Calibri" w:hAnsi="Calibri" w:cs="Arial"/>
          <w:u w:val="single"/>
          <w:rtl/>
        </w:rPr>
      </w:pPr>
      <w:r w:rsidRPr="001D49D4">
        <w:rPr>
          <w:rFonts w:ascii="Calibri" w:eastAsia="Calibri" w:hAnsi="Calibri" w:cs="Arial"/>
          <w:u w:val="single"/>
          <w:rtl/>
        </w:rPr>
        <w:t>המוצא שטר אצלו ואינו יודע מה טיבו - ושניהם</w:t>
      </w:r>
      <w:r w:rsidRPr="001D49D4">
        <w:rPr>
          <w:rFonts w:ascii="Calibri" w:eastAsia="Calibri" w:hAnsi="Calibri" w:cs="Arial"/>
          <w:sz w:val="16"/>
          <w:szCs w:val="16"/>
          <w:u w:val="single"/>
          <w:rtl/>
        </w:rPr>
        <w:t xml:space="preserve"> (הלוה והמלוה)</w:t>
      </w:r>
      <w:r w:rsidRPr="001D49D4">
        <w:rPr>
          <w:rFonts w:ascii="Calibri" w:eastAsia="Calibri" w:hAnsi="Calibri" w:cs="Arial"/>
          <w:u w:val="single"/>
          <w:rtl/>
        </w:rPr>
        <w:t xml:space="preserve"> מודים שהוא של אחד מהם:</w:t>
      </w:r>
    </w:p>
    <w:p w14:paraId="23D3A644" w14:textId="77777777" w:rsidR="001D49D4" w:rsidRPr="001D49D4" w:rsidRDefault="001D49D4" w:rsidP="0004348D">
      <w:pPr>
        <w:numPr>
          <w:ilvl w:val="0"/>
          <w:numId w:val="326"/>
        </w:numPr>
        <w:spacing w:before="360" w:after="240"/>
        <w:contextualSpacing/>
        <w:rPr>
          <w:rFonts w:ascii="Calibri" w:eastAsia="Calibri" w:hAnsi="Calibri" w:cs="Arial"/>
        </w:rPr>
      </w:pPr>
      <w:r w:rsidRPr="001D49D4">
        <w:rPr>
          <w:rFonts w:ascii="Calibri" w:eastAsia="Calibri" w:hAnsi="Calibri" w:cs="Arial"/>
          <w:rtl/>
        </w:rPr>
        <w:t xml:space="preserve">בעל התרומות </w:t>
      </w:r>
      <w:r w:rsidRPr="001D49D4">
        <w:rPr>
          <w:rFonts w:ascii="Calibri" w:eastAsia="Calibri" w:hAnsi="Calibri" w:cs="Arial"/>
          <w:sz w:val="16"/>
          <w:szCs w:val="16"/>
          <w:rtl/>
        </w:rPr>
        <w:t>(שער נב שם)</w:t>
      </w:r>
      <w:r w:rsidRPr="001D49D4">
        <w:rPr>
          <w:rFonts w:ascii="Calibri" w:eastAsia="Calibri" w:hAnsi="Calibri" w:cs="Arial"/>
          <w:rtl/>
        </w:rPr>
        <w:t xml:space="preserve"> ורשב"א </w:t>
      </w:r>
      <w:r w:rsidRPr="001D49D4">
        <w:rPr>
          <w:rFonts w:ascii="Calibri" w:eastAsia="Calibri" w:hAnsi="Calibri" w:cs="Arial"/>
          <w:sz w:val="16"/>
          <w:szCs w:val="16"/>
          <w:rtl/>
        </w:rPr>
        <w:t>(ב"מ שם ד"ה מצא, כ"כ בשמו הה"מ [פי"ו מהל' מלוה הי"א] ונמוק"י [ב"מ יא:])</w:t>
      </w:r>
      <w:r w:rsidRPr="001D49D4">
        <w:rPr>
          <w:rFonts w:ascii="Calibri" w:eastAsia="Calibri" w:hAnsi="Calibri" w:cs="Arial"/>
          <w:rtl/>
        </w:rPr>
        <w:t>- יהא מונח עד שיבא אליהו אפילו שניהם מודים</w:t>
      </w:r>
      <w:r w:rsidRPr="001D49D4">
        <w:rPr>
          <w:rFonts w:ascii="Calibri" w:eastAsia="Calibri" w:hAnsi="Calibri" w:cs="Arial"/>
          <w:vertAlign w:val="superscript"/>
          <w:rtl/>
        </w:rPr>
        <w:footnoteReference w:id="4784"/>
      </w:r>
      <w:r w:rsidRPr="001D49D4">
        <w:rPr>
          <w:rFonts w:ascii="Calibri" w:eastAsia="Calibri" w:hAnsi="Calibri" w:cs="Arial"/>
          <w:rtl/>
        </w:rPr>
        <w:t>, דומיא דנפילה (ב"מ יג.)</w:t>
      </w:r>
      <w:r w:rsidRPr="001D49D4">
        <w:rPr>
          <w:rFonts w:ascii="Calibri" w:eastAsia="Calibri" w:hAnsi="Calibri" w:cs="Arial"/>
          <w:sz w:val="14"/>
          <w:szCs w:val="14"/>
          <w:rtl/>
        </w:rPr>
        <w:t xml:space="preserve"> </w:t>
      </w:r>
      <w:r w:rsidRPr="001D49D4">
        <w:rPr>
          <w:rFonts w:ascii="Calibri" w:eastAsia="Calibri" w:hAnsi="Calibri" w:cs="Arial"/>
          <w:sz w:val="16"/>
          <w:szCs w:val="16"/>
          <w:rtl/>
        </w:rPr>
        <w:t>(ל' הה"מ בשם הרשב"א)</w:t>
      </w:r>
      <w:r w:rsidRPr="001D49D4">
        <w:rPr>
          <w:rFonts w:ascii="Calibri" w:eastAsia="Calibri" w:hAnsi="Calibri" w:cs="Arial"/>
          <w:rtl/>
        </w:rPr>
        <w:t>.</w:t>
      </w:r>
      <w:r w:rsidRPr="001D49D4">
        <w:rPr>
          <w:rFonts w:ascii="Calibri" w:eastAsia="Calibri" w:hAnsi="Calibri" w:cs="Arial"/>
          <w:color w:val="E36C0A" w:themeColor="accent6" w:themeShade="BF"/>
          <w:rtl/>
        </w:rPr>
        <w:t xml:space="preserve"> (וכנ"ד השו"ע)</w:t>
      </w:r>
    </w:p>
    <w:p w14:paraId="099E54CD" w14:textId="77777777" w:rsidR="001D49D4" w:rsidRPr="001D49D4" w:rsidRDefault="001D49D4" w:rsidP="0004348D">
      <w:pPr>
        <w:numPr>
          <w:ilvl w:val="0"/>
          <w:numId w:val="326"/>
        </w:numPr>
        <w:spacing w:before="360" w:after="240"/>
        <w:contextualSpacing/>
        <w:rPr>
          <w:rFonts w:ascii="Calibri" w:eastAsia="Calibri" w:hAnsi="Calibri" w:cs="Arial"/>
        </w:rPr>
      </w:pPr>
      <w:r w:rsidRPr="001D49D4">
        <w:rPr>
          <w:rFonts w:ascii="Calibri" w:eastAsia="Calibri" w:hAnsi="Calibri" w:cs="Arial"/>
          <w:rtl/>
        </w:rPr>
        <w:t>רא"ש</w:t>
      </w:r>
      <w:r w:rsidRPr="001D49D4">
        <w:rPr>
          <w:rFonts w:ascii="Calibri" w:eastAsia="Calibri" w:hAnsi="Calibri" w:cs="Arial"/>
          <w:sz w:val="16"/>
          <w:szCs w:val="16"/>
          <w:rtl/>
        </w:rPr>
        <w:t xml:space="preserve"> (ב"מ פ"ק סי' נב, ובתשו' כלל קה סי' ח)</w:t>
      </w:r>
      <w:r w:rsidRPr="001D49D4">
        <w:rPr>
          <w:rFonts w:ascii="Calibri" w:eastAsia="Calibri" w:hAnsi="Calibri" w:cs="Arial"/>
          <w:rtl/>
        </w:rPr>
        <w:t xml:space="preserve"> וטור- ראיתי מפרשים שאפילו שניהן רוצים לא יוציאם מתחת ידו אלא קרוע דחיישינן לקנוניא. ולא מסתבר, דלא חיישינן לקנוניא ולשמא כתב ללוות בניסן ולא לוה עד תשרי אלא בשטר שנפל דאיתרע, דאיכא למימר משום דהוה ביה ריעותא לא נזהר בשמירתו, אבל שטר המופקד לא אתייליד ביה ריעותא אלא שאין הנפקד זכור מכח מי בא לידו, ואם שניהם רוצים - יעשו כמאמרם, פי' אם יתפשרו ביניהן שיאמין האחד לחבירו בשבועה, כי המלוה יכול להשביע ללוה שהוא פרוע כולו או מקצתו והלוה יכול להשביעו למלוה שלא נפרע אע"פ שיש בו נאמנות. לפיכך כל זמן שלא נתפשרו יהא מונח.</w:t>
      </w:r>
    </w:p>
    <w:p w14:paraId="1A27E4A3" w14:textId="77777777" w:rsidR="001D49D4" w:rsidRPr="001D49D4" w:rsidRDefault="001D49D4" w:rsidP="0004348D">
      <w:pPr>
        <w:spacing w:before="360" w:after="240"/>
        <w:rPr>
          <w:rFonts w:ascii="Arial" w:eastAsia="Calibri" w:hAnsi="Arial" w:cs="Arial"/>
          <w:b/>
          <w:bCs/>
          <w:color w:val="000000"/>
          <w:sz w:val="28"/>
          <w:szCs w:val="28"/>
          <w:u w:val="single"/>
          <w:rtl/>
        </w:rPr>
      </w:pPr>
      <w:r w:rsidRPr="001D49D4">
        <w:rPr>
          <w:rFonts w:ascii="Arial" w:eastAsia="Calibri" w:hAnsi="Arial" w:cs="Arial"/>
          <w:b/>
          <w:bCs/>
          <w:color w:val="000000"/>
          <w:sz w:val="28"/>
          <w:szCs w:val="28"/>
          <w:u w:val="single"/>
          <w:rtl/>
        </w:rPr>
        <w:t>שו"ע:</w:t>
      </w:r>
    </w:p>
    <w:p w14:paraId="077B027B"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rtl/>
        </w:rPr>
        <w:t>יש אומרים שאפילו שניהם רוצים, לא יוציאם מתחת ידו אלא קרוע</w:t>
      </w:r>
      <w:r w:rsidRPr="001D49D4">
        <w:rPr>
          <w:rFonts w:ascii="Calibri" w:eastAsia="Calibri" w:hAnsi="Calibri" w:cs="Arial"/>
          <w:vertAlign w:val="superscript"/>
          <w:rtl/>
        </w:rPr>
        <w:footnoteReference w:id="4785"/>
      </w:r>
      <w:r w:rsidRPr="001D49D4">
        <w:rPr>
          <w:rFonts w:ascii="Calibri" w:eastAsia="Calibri" w:hAnsi="Calibri" w:cs="Arial"/>
          <w:rtl/>
        </w:rPr>
        <w:t>, דחיישינן לקנוניא</w:t>
      </w:r>
      <w:r w:rsidRPr="001D49D4">
        <w:rPr>
          <w:rFonts w:ascii="Calibri" w:eastAsia="Calibri" w:hAnsi="Calibri" w:cs="Arial"/>
          <w:vertAlign w:val="superscript"/>
          <w:rtl/>
        </w:rPr>
        <w:footnoteReference w:id="4786"/>
      </w:r>
      <w:r w:rsidRPr="001D49D4">
        <w:rPr>
          <w:rFonts w:ascii="Calibri" w:eastAsia="Calibri" w:hAnsi="Calibri" w:cs="Arial"/>
          <w:rtl/>
        </w:rPr>
        <w:t>. ויש מי שאומר דלא חיישינן, ואם שניהם רוצים יעשה כמאמרם</w:t>
      </w:r>
      <w:r w:rsidRPr="001D49D4">
        <w:rPr>
          <w:rFonts w:ascii="Calibri" w:eastAsia="Calibri" w:hAnsi="Calibri" w:cs="Arial"/>
          <w:vertAlign w:val="superscript"/>
          <w:rtl/>
        </w:rPr>
        <w:footnoteReference w:id="4787"/>
      </w:r>
      <w:r w:rsidRPr="001D49D4">
        <w:rPr>
          <w:rFonts w:ascii="Calibri" w:eastAsia="Calibri" w:hAnsi="Calibri" w:cs="Arial"/>
          <w:rtl/>
        </w:rPr>
        <w:t xml:space="preserve">. </w:t>
      </w:r>
    </w:p>
    <w:p w14:paraId="151AE42E" w14:textId="77777777" w:rsidR="001D49D4" w:rsidRPr="001D49D4" w:rsidRDefault="001D49D4" w:rsidP="0004348D">
      <w:pPr>
        <w:spacing w:before="360" w:after="240"/>
        <w:rPr>
          <w:rFonts w:ascii="Calibri" w:eastAsia="Calibri" w:hAnsi="Calibri" w:cs="Arial"/>
          <w:rtl/>
        </w:rPr>
      </w:pPr>
    </w:p>
    <w:p w14:paraId="43B074BB" w14:textId="77777777" w:rsidR="001D49D4" w:rsidRPr="001D49D4" w:rsidRDefault="001D49D4" w:rsidP="0004348D">
      <w:pPr>
        <w:keepNext/>
        <w:keepLines/>
        <w:spacing w:before="360" w:after="240"/>
        <w:outlineLvl w:val="1"/>
        <w:rPr>
          <w:rFonts w:ascii="Cambria" w:eastAsia="Times New Roman" w:hAnsi="Cambria" w:cs="Arial"/>
          <w:bCs/>
          <w:color w:val="548DD4" w:themeColor="text2" w:themeTint="99"/>
          <w:sz w:val="26"/>
          <w:szCs w:val="26"/>
          <w:rtl/>
        </w:rPr>
      </w:pPr>
      <w:bookmarkStart w:id="649" w:name="_Toc24884073"/>
      <w:r w:rsidRPr="001D49D4">
        <w:rPr>
          <w:rFonts w:ascii="Cambria" w:eastAsia="Times New Roman" w:hAnsi="Cambria" w:cs="Arial"/>
          <w:bCs/>
          <w:color w:val="548DD4" w:themeColor="text2" w:themeTint="99"/>
          <w:sz w:val="26"/>
          <w:szCs w:val="26"/>
          <w:rtl/>
        </w:rPr>
        <w:t>סעיף ד: יורשין שטוענים על שטר שמצאו ברשות אביהן שאביהן לקחו בשביל משכון.</w:t>
      </w:r>
      <w:bookmarkEnd w:id="649"/>
    </w:p>
    <w:p w14:paraId="637AF05D" w14:textId="77777777" w:rsidR="001D49D4" w:rsidRPr="001D49D4" w:rsidRDefault="001D49D4" w:rsidP="0004348D">
      <w:pPr>
        <w:spacing w:before="360" w:after="240"/>
        <w:rPr>
          <w:rFonts w:ascii="Calibri" w:eastAsia="Calibri" w:hAnsi="Calibri" w:cs="Arial"/>
          <w:u w:val="single"/>
          <w:rtl/>
        </w:rPr>
      </w:pPr>
      <w:r w:rsidRPr="001D49D4">
        <w:rPr>
          <w:rFonts w:ascii="Calibri" w:eastAsia="Calibri" w:hAnsi="Calibri" w:cs="Arial"/>
          <w:u w:val="single"/>
          <w:rtl/>
        </w:rPr>
        <w:t>יורשין שטוענים על שטר שמצאו ברשות אביהן שאביהן לקחו בשביל משכון:</w:t>
      </w:r>
    </w:p>
    <w:p w14:paraId="7E641618" w14:textId="77777777" w:rsidR="001D49D4" w:rsidRPr="001D49D4" w:rsidRDefault="001D49D4" w:rsidP="0004348D">
      <w:pPr>
        <w:numPr>
          <w:ilvl w:val="0"/>
          <w:numId w:val="328"/>
        </w:numPr>
        <w:spacing w:before="360" w:after="240"/>
        <w:contextualSpacing/>
        <w:rPr>
          <w:rFonts w:ascii="Calibri" w:eastAsia="Calibri" w:hAnsi="Calibri" w:cs="Arial"/>
          <w:rtl/>
        </w:rPr>
      </w:pPr>
      <w:r w:rsidRPr="001D49D4">
        <w:rPr>
          <w:rFonts w:ascii="Calibri" w:eastAsia="Calibri" w:hAnsi="Calibri" w:cs="Arial"/>
          <w:rtl/>
        </w:rPr>
        <w:t xml:space="preserve">רא"ש </w:t>
      </w:r>
      <w:r w:rsidRPr="001D49D4">
        <w:rPr>
          <w:rFonts w:ascii="Calibri" w:eastAsia="Calibri" w:hAnsi="Calibri" w:cs="Arial"/>
          <w:sz w:val="16"/>
          <w:szCs w:val="16"/>
          <w:rtl/>
        </w:rPr>
        <w:t>(כלל קה סי' ח)</w:t>
      </w:r>
      <w:r w:rsidRPr="001D49D4">
        <w:rPr>
          <w:rFonts w:ascii="Calibri" w:eastAsia="Calibri" w:hAnsi="Calibri" w:cs="Arial"/>
          <w:rtl/>
        </w:rPr>
        <w:t xml:space="preserve"> וטור- אם יטענו היורשין על שטר שמוצאין ברשות אביהן שאביהן הלוה עליו מעות להמלוה אע"פ שאינו יכול לגבותו מהלוה בלא כתיבה ובלא מסירה מ"מ לקחו בשביל משכון - טענתם טענה. אבל אנן לא טענינן להו כיון שאין להם כתיבה ומסירה</w:t>
      </w:r>
      <w:r w:rsidRPr="001D49D4">
        <w:rPr>
          <w:rFonts w:ascii="Calibri" w:eastAsia="Calibri" w:hAnsi="Calibri" w:cs="Arial"/>
          <w:sz w:val="16"/>
          <w:szCs w:val="16"/>
          <w:rtl/>
        </w:rPr>
        <w:t xml:space="preserve"> (ל' הטור)</w:t>
      </w:r>
      <w:r w:rsidRPr="001D49D4">
        <w:rPr>
          <w:rFonts w:ascii="Calibri" w:eastAsia="Calibri" w:hAnsi="Calibri" w:cs="Arial"/>
          <w:rtl/>
        </w:rPr>
        <w:t>, ומילתא דלא שכיחא היא להלוות מעות על שטרות שאינו יכול לגבותם, ומילתא דלא שכיחא לא טענינן ליתמי</w:t>
      </w:r>
      <w:r w:rsidRPr="001D49D4">
        <w:rPr>
          <w:rFonts w:ascii="Calibri" w:eastAsia="Calibri" w:hAnsi="Calibri" w:cs="Arial"/>
          <w:sz w:val="16"/>
          <w:szCs w:val="16"/>
          <w:rtl/>
        </w:rPr>
        <w:t xml:space="preserve"> (ב"י בשם הרא"ש)</w:t>
      </w:r>
      <w:r w:rsidRPr="001D49D4">
        <w:rPr>
          <w:rFonts w:ascii="Calibri" w:eastAsia="Calibri" w:hAnsi="Calibri" w:cs="Arial"/>
          <w:rtl/>
        </w:rPr>
        <w:t>.</w:t>
      </w:r>
    </w:p>
    <w:p w14:paraId="60B08FA7" w14:textId="77777777" w:rsidR="001D49D4" w:rsidRPr="001D49D4" w:rsidRDefault="001D49D4" w:rsidP="0004348D">
      <w:pPr>
        <w:spacing w:before="360" w:after="240"/>
        <w:rPr>
          <w:rFonts w:ascii="Arial" w:eastAsia="Calibri" w:hAnsi="Arial" w:cs="Arial"/>
          <w:b/>
          <w:bCs/>
          <w:color w:val="000000"/>
          <w:sz w:val="28"/>
          <w:szCs w:val="28"/>
          <w:u w:val="single"/>
          <w:rtl/>
        </w:rPr>
      </w:pPr>
      <w:r w:rsidRPr="001D49D4">
        <w:rPr>
          <w:rFonts w:ascii="Arial" w:eastAsia="Calibri" w:hAnsi="Arial" w:cs="Arial"/>
          <w:b/>
          <w:bCs/>
          <w:color w:val="000000"/>
          <w:sz w:val="28"/>
          <w:szCs w:val="28"/>
          <w:u w:val="single"/>
          <w:rtl/>
        </w:rPr>
        <w:t>שו"ע:</w:t>
      </w:r>
    </w:p>
    <w:p w14:paraId="7083DA19"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rtl/>
        </w:rPr>
        <w:t>אם יטענו היורשים על שטר שמוצאים ברשות אביהם שאביו הלוה עליו מעות למלוה, אף על פי שאינו יכול לגבותו מהלווה בלא כתיבה</w:t>
      </w:r>
      <w:r w:rsidRPr="001D49D4">
        <w:rPr>
          <w:rFonts w:ascii="Calibri" w:eastAsia="Calibri" w:hAnsi="Calibri" w:cs="Arial"/>
          <w:vertAlign w:val="superscript"/>
          <w:rtl/>
        </w:rPr>
        <w:footnoteReference w:id="4788"/>
      </w:r>
      <w:r w:rsidRPr="001D49D4">
        <w:rPr>
          <w:rFonts w:ascii="Calibri" w:eastAsia="Calibri" w:hAnsi="Calibri" w:cs="Arial"/>
          <w:rtl/>
        </w:rPr>
        <w:t xml:space="preserve"> מכל מקום לקחו למשכון, טענתם טענה, אבל אנן לא טענינן להו</w:t>
      </w:r>
      <w:r w:rsidRPr="001D49D4">
        <w:rPr>
          <w:rFonts w:ascii="Calibri" w:eastAsia="Calibri" w:hAnsi="Calibri" w:cs="Arial"/>
          <w:vertAlign w:val="superscript"/>
          <w:rtl/>
        </w:rPr>
        <w:footnoteReference w:id="4789"/>
      </w:r>
      <w:r w:rsidRPr="001D49D4">
        <w:rPr>
          <w:rFonts w:ascii="Calibri" w:eastAsia="Calibri" w:hAnsi="Calibri" w:cs="Arial"/>
          <w:rtl/>
        </w:rPr>
        <w:t xml:space="preserve">. </w:t>
      </w:r>
    </w:p>
    <w:p w14:paraId="0D52E885" w14:textId="77777777" w:rsidR="001D49D4" w:rsidRPr="001D49D4" w:rsidRDefault="001D49D4" w:rsidP="0004348D">
      <w:pPr>
        <w:spacing w:before="360" w:after="240"/>
        <w:rPr>
          <w:rFonts w:ascii="Calibri" w:eastAsia="Calibri" w:hAnsi="Calibri" w:cs="Arial"/>
          <w:rtl/>
        </w:rPr>
      </w:pPr>
    </w:p>
    <w:p w14:paraId="40AEFE79" w14:textId="77777777" w:rsidR="001D49D4" w:rsidRPr="001D49D4" w:rsidRDefault="001D49D4" w:rsidP="0004348D">
      <w:pPr>
        <w:keepNext/>
        <w:keepLines/>
        <w:spacing w:before="360" w:after="240"/>
        <w:outlineLvl w:val="1"/>
        <w:rPr>
          <w:rFonts w:ascii="Cambria" w:eastAsia="Times New Roman" w:hAnsi="Cambria" w:cs="Arial"/>
          <w:bCs/>
          <w:color w:val="548DD4" w:themeColor="text2" w:themeTint="99"/>
          <w:sz w:val="26"/>
          <w:szCs w:val="26"/>
          <w:rtl/>
        </w:rPr>
      </w:pPr>
      <w:bookmarkStart w:id="650" w:name="_Toc24884074"/>
      <w:r w:rsidRPr="001D49D4">
        <w:rPr>
          <w:rFonts w:ascii="Cambria" w:eastAsia="Times New Roman" w:hAnsi="Cambria" w:cs="Arial"/>
          <w:bCs/>
          <w:color w:val="548DD4" w:themeColor="text2" w:themeTint="99"/>
          <w:sz w:val="26"/>
          <w:szCs w:val="26"/>
          <w:rtl/>
        </w:rPr>
        <w:t>סעיף ה: שטרות שנמצאו אצל נפקד שמת, ומקצת השטרות לזכות בעל השטר ומקצת לחובתו.</w:t>
      </w:r>
      <w:bookmarkEnd w:id="650"/>
    </w:p>
    <w:p w14:paraId="14653EBA" w14:textId="77777777" w:rsidR="001D49D4" w:rsidRPr="001D49D4" w:rsidRDefault="001D49D4" w:rsidP="0004348D">
      <w:pPr>
        <w:spacing w:before="360" w:after="240"/>
        <w:rPr>
          <w:rFonts w:ascii="Calibri" w:eastAsia="Calibri" w:hAnsi="Calibri" w:cs="Arial"/>
          <w:u w:val="single"/>
          <w:rtl/>
        </w:rPr>
      </w:pPr>
      <w:r w:rsidRPr="001D49D4">
        <w:rPr>
          <w:rFonts w:ascii="Calibri" w:eastAsia="Calibri" w:hAnsi="Calibri" w:cs="Arial"/>
          <w:u w:val="single"/>
          <w:rtl/>
        </w:rPr>
        <w:t>ראובן מת ונמצאו ברשותו שטרות של אחותו קשורים יחד, מהם לזכותה ומהם לחובתה:</w:t>
      </w:r>
    </w:p>
    <w:p w14:paraId="0B242616" w14:textId="77777777" w:rsidR="001D49D4" w:rsidRPr="001D49D4" w:rsidRDefault="001D49D4" w:rsidP="0004348D">
      <w:pPr>
        <w:numPr>
          <w:ilvl w:val="0"/>
          <w:numId w:val="328"/>
        </w:numPr>
        <w:spacing w:before="360" w:after="240"/>
        <w:contextualSpacing/>
        <w:rPr>
          <w:rFonts w:ascii="Calibri" w:eastAsia="Calibri" w:hAnsi="Calibri" w:cs="Arial"/>
          <w:rtl/>
        </w:rPr>
      </w:pPr>
      <w:r w:rsidRPr="001D49D4">
        <w:rPr>
          <w:rFonts w:ascii="Calibri" w:eastAsia="Calibri" w:hAnsi="Calibri" w:cs="Arial"/>
          <w:rtl/>
        </w:rPr>
        <w:t>רא"ש</w:t>
      </w:r>
      <w:r w:rsidRPr="001D49D4">
        <w:rPr>
          <w:rFonts w:ascii="Calibri" w:eastAsia="Calibri" w:hAnsi="Calibri" w:cs="Arial"/>
          <w:sz w:val="16"/>
          <w:szCs w:val="16"/>
          <w:rtl/>
        </w:rPr>
        <w:t xml:space="preserve"> (סוף כלל קה סי' ט)</w:t>
      </w:r>
      <w:r w:rsidRPr="001D49D4">
        <w:rPr>
          <w:rFonts w:ascii="Calibri" w:eastAsia="Calibri" w:hAnsi="Calibri" w:cs="Arial"/>
          <w:rtl/>
        </w:rPr>
        <w:t xml:space="preserve"> וטור </w:t>
      </w:r>
      <w:r w:rsidRPr="001D49D4">
        <w:rPr>
          <w:rFonts w:ascii="Calibri" w:eastAsia="Calibri" w:hAnsi="Calibri" w:cs="Arial"/>
          <w:sz w:val="16"/>
          <w:szCs w:val="16"/>
          <w:rtl/>
        </w:rPr>
        <w:t>(בסי' רמג סי"ח)</w:t>
      </w:r>
      <w:r w:rsidRPr="001D49D4">
        <w:rPr>
          <w:rFonts w:ascii="Calibri" w:eastAsia="Calibri" w:hAnsi="Calibri" w:cs="Arial"/>
          <w:rtl/>
        </w:rPr>
        <w:t xml:space="preserve">- ראובן שמת ונמצאו שטרות ברשותו קשורים יחד, מקצתן יש לאחותו זכות בהן </w:t>
      </w:r>
      <w:r w:rsidRPr="001D49D4">
        <w:rPr>
          <w:rFonts w:ascii="Calibri" w:eastAsia="Calibri" w:hAnsi="Calibri" w:cs="Arial"/>
          <w:sz w:val="16"/>
          <w:szCs w:val="16"/>
          <w:rtl/>
        </w:rPr>
        <w:t>{שטר נדוניתה ושטרי קרקעותיה}</w:t>
      </w:r>
      <w:r w:rsidRPr="001D49D4">
        <w:rPr>
          <w:rFonts w:ascii="Calibri" w:eastAsia="Calibri" w:hAnsi="Calibri" w:cs="Arial"/>
          <w:rtl/>
        </w:rPr>
        <w:t xml:space="preserve">, ומקצתן יש לה חובה בהם </w:t>
      </w:r>
      <w:r w:rsidRPr="001D49D4">
        <w:rPr>
          <w:rFonts w:ascii="Calibri" w:eastAsia="Calibri" w:hAnsi="Calibri" w:cs="Arial"/>
          <w:sz w:val="16"/>
          <w:szCs w:val="16"/>
          <w:rtl/>
        </w:rPr>
        <w:t>(כגון שטר מתנה שנתנה לבעלה קרקע שהיה לה)</w:t>
      </w:r>
      <w:r w:rsidRPr="001D49D4">
        <w:rPr>
          <w:rFonts w:ascii="Calibri" w:eastAsia="Calibri" w:hAnsi="Calibri" w:cs="Arial"/>
          <w:rtl/>
        </w:rPr>
        <w:t xml:space="preserve">. ואחותו מתה קודם, ויורשיה תובעין השטרות, שאומרים שאמם הפקידה אצלו שטר נדונייתה ושטרי הקרקעות שהיו לה. תשובה, ודאי שטר נדונייתה היינו כשאר שטרי חובות, שהרי נתנו לגבות בכל עת שתרצה, ושנינו בפ"ק דמציעא מצא שטר בין שטרותיו ואינו יודע מה טיבו יהא מונח עד שיבא אליהו, ופירש רש"י אינו יודע אם הלוה הפקידו אצלו וכו', זה הדין ישנו ביורש שמצא שטרות בדיוסקא של אביו מאחר שאינו יודע היאך הופקדו בידו. אמנם בנדון זה שהיו השטרות כולם קשורים יחד אני אומר שטרי קרקעותיה ודאי שלה היו, ושטר נדונייתה ינתן ליורשיה אגב שטרי קרקעותיה מאחר שהיה קשור עמהם, ודמי להא דאמרינן </w:t>
      </w:r>
      <w:r w:rsidRPr="001D49D4">
        <w:rPr>
          <w:rFonts w:ascii="Calibri" w:eastAsia="Calibri" w:hAnsi="Calibri" w:cs="Arial"/>
          <w:sz w:val="16"/>
          <w:szCs w:val="16"/>
          <w:rtl/>
        </w:rPr>
        <w:t xml:space="preserve">(ב"מ כ.) </w:t>
      </w:r>
      <w:r w:rsidRPr="001D49D4">
        <w:rPr>
          <w:rFonts w:ascii="Calibri" w:eastAsia="Calibri" w:hAnsi="Calibri" w:cs="Arial"/>
          <w:rtl/>
        </w:rPr>
        <w:t xml:space="preserve">מצא בחפיסה או בדלוסקמא יחזיר, שכיון שנותן סימן בכלי שהשטר בתוכו יחזיר לו גם השטר ולא חיישינן שמא השאיל כליו לאחר והוא נתן בתוכו השטר. והכא כיון שידוע ששטרי קרקעותיה שלה היו ושטר נדונייתה קשור עמהם מסברא אנו תולין שכך הפקידתם בידו קשורין זה בזה. וכן אמרינן </w:t>
      </w:r>
      <w:r w:rsidRPr="001D49D4">
        <w:rPr>
          <w:rFonts w:ascii="Calibri" w:eastAsia="Calibri" w:hAnsi="Calibri" w:cs="Arial"/>
          <w:sz w:val="16"/>
          <w:szCs w:val="16"/>
          <w:rtl/>
        </w:rPr>
        <w:t xml:space="preserve">(שם) </w:t>
      </w:r>
      <w:r w:rsidRPr="001D49D4">
        <w:rPr>
          <w:rFonts w:ascii="Calibri" w:eastAsia="Calibri" w:hAnsi="Calibri" w:cs="Arial"/>
          <w:rtl/>
        </w:rPr>
        <w:t xml:space="preserve">תכריך של שטרות או אגודה של שטרות הרי זה יחזיר. וכן אמרינן </w:t>
      </w:r>
      <w:r w:rsidRPr="001D49D4">
        <w:rPr>
          <w:rFonts w:ascii="Calibri" w:eastAsia="Calibri" w:hAnsi="Calibri" w:cs="Arial"/>
          <w:sz w:val="16"/>
          <w:szCs w:val="16"/>
          <w:rtl/>
        </w:rPr>
        <w:t xml:space="preserve">(ב"מ כד:) </w:t>
      </w:r>
      <w:r w:rsidRPr="001D49D4">
        <w:rPr>
          <w:rFonts w:ascii="Calibri" w:eastAsia="Calibri" w:hAnsi="Calibri" w:cs="Arial"/>
          <w:rtl/>
        </w:rPr>
        <w:t>מצא פירות בכלי יחזיר, פירוש שיחזיר הפירות אגב סימני הכלי, ואפילו מצא כלי ולפניו פירות במקום שיש לתלות שנפלו מן הכלי מחזיר פירות בסימני הכלי. וכן הכא מחזיר שטר נדונייתה אגב שטרי קרקעותיה, ומטעם זה שטר המתנה שנתנה לבעלה קרקע אנו מחזיקים אותו שמא הפקידתו, דשמא היא צותה לכתבו שהיה לו לבעל דבר אחר לכתוב כנגדו והיא צותה לכתבן כדי שיהא מזומן בידה כשיעשה הבעל מה שיש לו לעשות לה</w:t>
      </w:r>
      <w:r w:rsidRPr="001D49D4">
        <w:rPr>
          <w:rFonts w:ascii="Calibri" w:eastAsia="Calibri" w:hAnsi="Calibri" w:cs="Arial"/>
          <w:sz w:val="16"/>
          <w:szCs w:val="16"/>
          <w:rtl/>
        </w:rPr>
        <w:t xml:space="preserve"> (ל' הרא"ש)</w:t>
      </w:r>
      <w:r w:rsidRPr="001D49D4">
        <w:rPr>
          <w:rFonts w:ascii="Calibri" w:eastAsia="Calibri" w:hAnsi="Calibri" w:cs="Arial"/>
          <w:rtl/>
        </w:rPr>
        <w:t xml:space="preserve">. </w:t>
      </w:r>
      <w:r w:rsidRPr="001D49D4">
        <w:rPr>
          <w:rFonts w:ascii="Calibri" w:eastAsia="Calibri" w:hAnsi="Calibri" w:cs="Arial"/>
          <w:color w:val="E36C0A" w:themeColor="accent6" w:themeShade="BF"/>
          <w:rtl/>
        </w:rPr>
        <w:t>(וכ"פ בשו"ע)</w:t>
      </w:r>
    </w:p>
    <w:p w14:paraId="04D5DC88" w14:textId="77777777" w:rsidR="001D49D4" w:rsidRPr="001D49D4" w:rsidRDefault="001D49D4" w:rsidP="0004348D">
      <w:pPr>
        <w:spacing w:before="360" w:after="240"/>
        <w:rPr>
          <w:rFonts w:ascii="Calibri" w:eastAsia="Calibri" w:hAnsi="Calibri" w:cs="Arial"/>
          <w:u w:val="single"/>
        </w:rPr>
      </w:pPr>
      <w:r w:rsidRPr="001D49D4">
        <w:rPr>
          <w:rFonts w:ascii="Calibri" w:eastAsia="Calibri" w:hAnsi="Calibri" w:cs="Arial"/>
          <w:u w:val="single"/>
          <w:rtl/>
        </w:rPr>
        <w:t>ראובן ושמעון היו חייבים לאמם מנה בשטר, ונפטרו כולם, ויורשי שמעון מצאו שטר החוב ותובעים בו את יורשי ראובן:</w:t>
      </w:r>
    </w:p>
    <w:p w14:paraId="1B7A0C46" w14:textId="77777777" w:rsidR="001D49D4" w:rsidRPr="001D49D4" w:rsidRDefault="001D49D4" w:rsidP="0004348D">
      <w:pPr>
        <w:numPr>
          <w:ilvl w:val="0"/>
          <w:numId w:val="328"/>
        </w:numPr>
        <w:spacing w:before="360" w:after="240"/>
        <w:contextualSpacing/>
        <w:rPr>
          <w:rFonts w:ascii="Calibri" w:eastAsia="Calibri" w:hAnsi="Calibri" w:cs="Arial"/>
        </w:rPr>
      </w:pPr>
      <w:r w:rsidRPr="001D49D4">
        <w:rPr>
          <w:rFonts w:ascii="Calibri" w:eastAsia="Calibri" w:hAnsi="Calibri" w:cs="Arial"/>
          <w:rtl/>
        </w:rPr>
        <w:t xml:space="preserve">רשב"א </w:t>
      </w:r>
      <w:r w:rsidRPr="001D49D4">
        <w:rPr>
          <w:rFonts w:ascii="Calibri" w:eastAsia="Calibri" w:hAnsi="Calibri" w:cs="Arial"/>
          <w:sz w:val="16"/>
          <w:szCs w:val="16"/>
          <w:rtl/>
        </w:rPr>
        <w:t>(ח"ג סי' מא)</w:t>
      </w:r>
      <w:r w:rsidRPr="001D49D4">
        <w:rPr>
          <w:rFonts w:ascii="Calibri" w:eastAsia="Calibri" w:hAnsi="Calibri" w:cs="Arial"/>
          <w:rtl/>
        </w:rPr>
        <w:t xml:space="preserve">- שאלת, ראובן ושמעון היו חייבים ללאה אמם מנה בשטר משכונא על כרם אחד. לימים נפטרו לאה וראובן ושמעון, ויורשי שמעון מצאו שטר החוב הנזכר בין שטרות אביהם ותבעו מחצית המנה מיורשי ראובן שאומרים שפרעו אביהם. תשובה, אין בדברי בני שמעון ממש, חדא שאפילו פרע שמעון כל החוב לאמו ואמו מכרה לו שטר החוב ומסרה לו השטר הא קיי"ל </w:t>
      </w:r>
      <w:r w:rsidRPr="001D49D4">
        <w:rPr>
          <w:rFonts w:ascii="Calibri" w:eastAsia="Calibri" w:hAnsi="Calibri" w:cs="Arial"/>
          <w:sz w:val="16"/>
          <w:szCs w:val="16"/>
          <w:rtl/>
        </w:rPr>
        <w:t xml:space="preserve">(ב"ב עז., עיין שם) </w:t>
      </w:r>
      <w:r w:rsidRPr="001D49D4">
        <w:rPr>
          <w:rFonts w:ascii="Calibri" w:eastAsia="Calibri" w:hAnsi="Calibri" w:cs="Arial"/>
          <w:rtl/>
        </w:rPr>
        <w:t xml:space="preserve">אותיות אינן נקנות במסירה, וכן אם נתנתו לו במתנה. ואם פרעו שמעון בלא שתמכרנו לו אמו הוה ליה פורע חובו של חבירו שלא מדעתו והניח מעותיו על קרן הצבי </w:t>
      </w:r>
      <w:r w:rsidRPr="001D49D4">
        <w:rPr>
          <w:rFonts w:ascii="Calibri" w:eastAsia="Calibri" w:hAnsi="Calibri" w:cs="Arial"/>
          <w:sz w:val="16"/>
          <w:szCs w:val="16"/>
          <w:rtl/>
        </w:rPr>
        <w:t>(כתובות קז:)</w:t>
      </w:r>
      <w:r w:rsidRPr="001D49D4">
        <w:rPr>
          <w:rFonts w:ascii="Calibri" w:eastAsia="Calibri" w:hAnsi="Calibri" w:cs="Arial"/>
          <w:rtl/>
        </w:rPr>
        <w:t>. ולא עוד אלא אפילו אמר לו ראובן 'לך פרע ואני אשלם לך' - חזר מה שנתחייב ראובן בכך מלוה על פה, ואינה גובה מהיורשים, אא"כ היה מלוה שלא הגיע זמנה.</w:t>
      </w:r>
    </w:p>
    <w:p w14:paraId="34359C1E" w14:textId="77777777" w:rsidR="001D49D4" w:rsidRPr="001D49D4" w:rsidRDefault="001D49D4" w:rsidP="0004348D">
      <w:pPr>
        <w:spacing w:before="360" w:after="240"/>
        <w:rPr>
          <w:rFonts w:ascii="Arial" w:eastAsia="Calibri" w:hAnsi="Arial" w:cs="Arial"/>
          <w:b/>
          <w:bCs/>
          <w:color w:val="000000"/>
          <w:sz w:val="28"/>
          <w:szCs w:val="28"/>
          <w:u w:val="single"/>
          <w:rtl/>
        </w:rPr>
      </w:pPr>
      <w:r w:rsidRPr="001D49D4">
        <w:rPr>
          <w:rFonts w:ascii="Arial" w:eastAsia="Calibri" w:hAnsi="Arial" w:cs="Arial"/>
          <w:b/>
          <w:bCs/>
          <w:color w:val="000000"/>
          <w:sz w:val="28"/>
          <w:szCs w:val="28"/>
          <w:u w:val="single"/>
          <w:rtl/>
        </w:rPr>
        <w:t>שו"ע:</w:t>
      </w:r>
    </w:p>
    <w:p w14:paraId="07B2F7B4"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rtl/>
        </w:rPr>
        <w:t>ראובן שמת ונמצאו ברשותו שטרות של אחותו קשורים יחד, מקצתם לזכותה דהיינו שטר נדוניתה ושטרי קרקעותיה, ומהם לחובתה כגון שטר מתנה שנתנה לבעלה קרקע שהיה לה, אף על פי ששטר נדונייתה הוא כשאר שטרי חובות, מאחר שהוא קשור עם שטרי קרקעותיה שהם ודאי שלה</w:t>
      </w:r>
      <w:r w:rsidRPr="001D49D4">
        <w:rPr>
          <w:rFonts w:ascii="Calibri" w:eastAsia="Calibri" w:hAnsi="Calibri" w:cs="Arial"/>
          <w:vertAlign w:val="superscript"/>
          <w:rtl/>
        </w:rPr>
        <w:footnoteReference w:id="4790"/>
      </w:r>
      <w:r w:rsidRPr="001D49D4">
        <w:rPr>
          <w:rFonts w:ascii="Calibri" w:eastAsia="Calibri" w:hAnsi="Calibri" w:cs="Arial"/>
          <w:rtl/>
        </w:rPr>
        <w:t>, הוי כאלו נודע ודאי שהיא הפקידתם. ומטעם זה גם שטר המתנה שנתנה לבעל הקרקע אנו מחזיקים שהיא הפקידתו</w:t>
      </w:r>
      <w:r w:rsidRPr="001D49D4">
        <w:rPr>
          <w:rFonts w:ascii="Calibri" w:eastAsia="Calibri" w:hAnsi="Calibri" w:cs="Arial"/>
          <w:vertAlign w:val="superscript"/>
          <w:rtl/>
        </w:rPr>
        <w:footnoteReference w:id="4791"/>
      </w:r>
      <w:r w:rsidRPr="001D49D4">
        <w:rPr>
          <w:rFonts w:ascii="Calibri" w:eastAsia="Calibri" w:hAnsi="Calibri" w:cs="Arial"/>
          <w:rtl/>
        </w:rPr>
        <w:t xml:space="preserve">, ויחזירו לה או ליורשים. </w:t>
      </w:r>
    </w:p>
    <w:p w14:paraId="77D56ED5" w14:textId="77777777" w:rsidR="001D49D4" w:rsidRPr="001D49D4" w:rsidRDefault="001D49D4" w:rsidP="0004348D">
      <w:pPr>
        <w:spacing w:before="360" w:after="240"/>
        <w:rPr>
          <w:rFonts w:ascii="Calibri" w:eastAsia="Calibri" w:hAnsi="Calibri" w:cs="Arial"/>
          <w:rtl/>
        </w:rPr>
      </w:pPr>
    </w:p>
    <w:p w14:paraId="5209D54B" w14:textId="77777777" w:rsidR="001D49D4" w:rsidRPr="001D49D4" w:rsidRDefault="001D49D4" w:rsidP="0004348D">
      <w:pPr>
        <w:keepNext/>
        <w:keepLines/>
        <w:spacing w:before="360" w:after="240"/>
        <w:outlineLvl w:val="1"/>
        <w:rPr>
          <w:rFonts w:ascii="Cambria" w:eastAsia="Times New Roman" w:hAnsi="Cambria" w:cs="Arial"/>
          <w:bCs/>
          <w:color w:val="548DD4" w:themeColor="text2" w:themeTint="99"/>
          <w:sz w:val="26"/>
          <w:szCs w:val="26"/>
          <w:rtl/>
        </w:rPr>
      </w:pPr>
      <w:bookmarkStart w:id="651" w:name="_Toc24884075"/>
      <w:r w:rsidRPr="001D49D4">
        <w:rPr>
          <w:rFonts w:ascii="Cambria" w:eastAsia="Times New Roman" w:hAnsi="Cambria" w:cs="Arial"/>
          <w:bCs/>
          <w:color w:val="548DD4" w:themeColor="text2" w:themeTint="99"/>
          <w:sz w:val="26"/>
          <w:szCs w:val="26"/>
          <w:rtl/>
        </w:rPr>
        <w:t>סעיף ו: המוצא שטר חוב.</w:t>
      </w:r>
      <w:bookmarkEnd w:id="651"/>
    </w:p>
    <w:p w14:paraId="5E487815"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b/>
          <w:bCs/>
          <w:color w:val="000000" w:themeColor="text1"/>
          <w:rtl/>
        </w:rPr>
        <w:t xml:space="preserve">בבא מציעא </w:t>
      </w:r>
      <w:r w:rsidRPr="001D49D4">
        <w:rPr>
          <w:rFonts w:ascii="Calibri" w:eastAsia="Calibri" w:hAnsi="Calibri" w:cs="Arial"/>
          <w:b/>
          <w:bCs/>
          <w:color w:val="000000" w:themeColor="text1"/>
          <w:sz w:val="16"/>
          <w:szCs w:val="16"/>
          <w:rtl/>
        </w:rPr>
        <w:t>(ספ"ק)</w:t>
      </w:r>
      <w:r w:rsidRPr="001D49D4">
        <w:rPr>
          <w:rFonts w:ascii="Calibri" w:eastAsia="Calibri" w:hAnsi="Calibri" w:cs="Arial"/>
          <w:b/>
          <w:bCs/>
          <w:color w:val="000000" w:themeColor="text1"/>
          <w:rtl/>
        </w:rPr>
        <w:t xml:space="preserve"> יב</w:t>
      </w:r>
      <w:r w:rsidRPr="001D49D4">
        <w:rPr>
          <w:rFonts w:ascii="Calibri" w:eastAsia="Calibri" w:hAnsi="Calibri" w:cs="Arial"/>
          <w:b/>
          <w:bCs/>
          <w:color w:val="000000" w:themeColor="text1"/>
          <w:vertAlign w:val="superscript"/>
          <w:rtl/>
        </w:rPr>
        <w:footnoteReference w:id="4792"/>
      </w:r>
      <w:r w:rsidRPr="001D49D4">
        <w:rPr>
          <w:rFonts w:ascii="Calibri" w:eastAsia="Calibri" w:hAnsi="Calibri" w:cs="Arial"/>
          <w:b/>
          <w:bCs/>
          <w:color w:val="000000" w:themeColor="text1"/>
          <w:rtl/>
        </w:rPr>
        <w:t xml:space="preserve"> ע"ב:</w:t>
      </w:r>
      <w:r w:rsidRPr="001D49D4">
        <w:rPr>
          <w:rFonts w:ascii="Calibri" w:eastAsia="Calibri" w:hAnsi="Calibri" w:cs="Arial"/>
          <w:color w:val="000000" w:themeColor="text1"/>
          <w:rtl/>
        </w:rPr>
        <w:t xml:space="preserve"> </w:t>
      </w:r>
      <w:r w:rsidRPr="001D49D4">
        <w:rPr>
          <w:rFonts w:ascii="Calibri" w:eastAsia="Calibri" w:hAnsi="Calibri" w:cs="Arial"/>
          <w:color w:val="000000" w:themeColor="text1"/>
          <w:u w:val="double"/>
          <w:rtl/>
        </w:rPr>
        <w:t>משנה</w:t>
      </w:r>
      <w:r w:rsidRPr="001D49D4">
        <w:rPr>
          <w:rFonts w:ascii="Calibri" w:eastAsia="Calibri" w:hAnsi="Calibri" w:cs="Arial"/>
          <w:color w:val="000000" w:themeColor="text1"/>
          <w:rtl/>
        </w:rPr>
        <w:t xml:space="preserve">: מצא שטרי חוב, אם </w:t>
      </w:r>
      <w:bookmarkStart w:id="652" w:name="_Hlk15988981"/>
      <w:r w:rsidRPr="001D49D4">
        <w:rPr>
          <w:rFonts w:ascii="Calibri" w:eastAsia="Calibri" w:hAnsi="Calibri" w:cs="Arial"/>
          <w:color w:val="000000" w:themeColor="text1"/>
          <w:rtl/>
        </w:rPr>
        <w:t xml:space="preserve">יש בהן אחריות נכסים </w:t>
      </w:r>
      <w:bookmarkEnd w:id="652"/>
      <w:r w:rsidRPr="001D49D4">
        <w:rPr>
          <w:rFonts w:ascii="Calibri" w:eastAsia="Calibri" w:hAnsi="Calibri" w:cs="Arial"/>
          <w:color w:val="000000" w:themeColor="text1"/>
          <w:rtl/>
        </w:rPr>
        <w:t xml:space="preserve">- לא יחזיר, שבית דין נפרעין מהן. אין בהן אחריות נכסים - יחזיר, שאין בית דין נפרעין מהן, </w:t>
      </w:r>
      <w:r w:rsidRPr="001D49D4">
        <w:rPr>
          <w:rFonts w:ascii="Calibri" w:eastAsia="Calibri" w:hAnsi="Calibri" w:cs="Arial"/>
          <w:color w:val="000000" w:themeColor="text1"/>
          <w:u w:val="single"/>
          <w:rtl/>
        </w:rPr>
        <w:t>דברי רבי מאיר</w:t>
      </w:r>
      <w:r w:rsidRPr="001D49D4">
        <w:rPr>
          <w:rFonts w:ascii="Calibri" w:eastAsia="Calibri" w:hAnsi="Calibri" w:cs="Arial"/>
          <w:color w:val="000000" w:themeColor="text1"/>
          <w:rtl/>
        </w:rPr>
        <w:t xml:space="preserve">. </w:t>
      </w:r>
      <w:r w:rsidRPr="001D49D4">
        <w:rPr>
          <w:rFonts w:ascii="Calibri" w:eastAsia="Calibri" w:hAnsi="Calibri" w:cs="Arial"/>
          <w:color w:val="000000" w:themeColor="text1"/>
          <w:u w:val="single"/>
          <w:rtl/>
        </w:rPr>
        <w:t>וחכמים אומרים</w:t>
      </w:r>
      <w:r w:rsidRPr="001D49D4">
        <w:rPr>
          <w:rFonts w:ascii="Calibri" w:eastAsia="Calibri" w:hAnsi="Calibri" w:cs="Arial"/>
          <w:color w:val="000000" w:themeColor="text1"/>
          <w:rtl/>
        </w:rPr>
        <w:t xml:space="preserve">: בין כך ובין כך לא יחזיר, מפני </w:t>
      </w:r>
      <w:r w:rsidRPr="001D49D4">
        <w:rPr>
          <w:rFonts w:ascii="Calibri" w:eastAsia="Calibri" w:hAnsi="Calibri" w:cs="Arial"/>
          <w:rtl/>
        </w:rPr>
        <w:t xml:space="preserve">שבית דין נפרעין מהן.      </w:t>
      </w:r>
      <w:r w:rsidRPr="001D49D4">
        <w:rPr>
          <w:rFonts w:ascii="Calibri" w:eastAsia="Calibri" w:hAnsi="Calibri" w:cs="Arial"/>
          <w:u w:val="double"/>
          <w:rtl/>
        </w:rPr>
        <w:t>גמרא</w:t>
      </w:r>
      <w:r w:rsidRPr="001D49D4">
        <w:rPr>
          <w:rFonts w:ascii="Calibri" w:eastAsia="Calibri" w:hAnsi="Calibri" w:cs="Arial"/>
          <w:rtl/>
        </w:rPr>
        <w:t xml:space="preserve">: במאי עסקינן?... לעולם כשחייב מודה, והכא היינו טעמא: דחיישינן שמא כתב ללות בניסן, ולא לוה עד תשרי, ואתי למטרף לקוחות שלא כדין. אי הכי, כל שטרי דאתו לקמן ניחוש להו הכי! כל שטרי - לא ריעי, הני - ריעי. אלא הא דתנן: כותבין שטר ללוה אף על פי שאין מלוה עמו, לכתחילה היכי כתבינהו? ניחוש שמא כתב ללות בניסן, ולא לוה עד תשרי, ואתי למטרף לקוחות שלא כדין! </w:t>
      </w:r>
      <w:r w:rsidRPr="001D49D4">
        <w:rPr>
          <w:rFonts w:ascii="Calibri" w:eastAsia="Calibri" w:hAnsi="Calibri" w:cs="Arial"/>
          <w:u w:val="single"/>
          <w:rtl/>
        </w:rPr>
        <w:t>אמר רב אסי</w:t>
      </w:r>
      <w:r w:rsidRPr="001D49D4">
        <w:rPr>
          <w:rFonts w:ascii="Calibri" w:eastAsia="Calibri" w:hAnsi="Calibri" w:cs="Arial"/>
          <w:rtl/>
        </w:rPr>
        <w:t xml:space="preserve">: </w:t>
      </w:r>
      <w:r w:rsidRPr="001D49D4">
        <w:rPr>
          <w:rFonts w:ascii="Calibri" w:eastAsia="Calibri" w:hAnsi="Calibri" w:cs="Arial"/>
          <w:sz w:val="14"/>
          <w:szCs w:val="14"/>
          <w:rtl/>
        </w:rPr>
        <w:t xml:space="preserve">(יג.) </w:t>
      </w:r>
      <w:r w:rsidRPr="001D49D4">
        <w:rPr>
          <w:rFonts w:ascii="Calibri" w:eastAsia="Calibri" w:hAnsi="Calibri" w:cs="Arial"/>
          <w:rtl/>
        </w:rPr>
        <w:t xml:space="preserve">בשטרי הקנאה, דהא שעביד נפשיה. אי הכי, מתניתין דקתני אם יש בהן אחריות נכסים לא יחזיר ואוקימנא כשחייב מודה, ומשום שמא כתב ללות בניסן ולא לוה עד תשרי ואתי למטרף לקוחות שלא כדין, אמאי לא יחזיר? נחזי, אי בשטר הקנאה - הא שעביד ליה נפשיה, אי בשטר דלא הקנאה - ליכא למיחש, דהא אמרת כי ליכא מלוה בהדיה לא כתבינן. </w:t>
      </w:r>
      <w:r w:rsidRPr="001D49D4">
        <w:rPr>
          <w:rFonts w:ascii="Calibri" w:eastAsia="Calibri" w:hAnsi="Calibri" w:cs="Arial"/>
          <w:u w:val="single"/>
          <w:rtl/>
        </w:rPr>
        <w:t>א"ל רב אסי</w:t>
      </w:r>
      <w:r w:rsidRPr="001D49D4">
        <w:rPr>
          <w:rFonts w:ascii="Calibri" w:eastAsia="Calibri" w:hAnsi="Calibri" w:cs="Arial"/>
          <w:rtl/>
        </w:rPr>
        <w:t xml:space="preserve">: אף על גב דשטרי דלאו הקנאה כי ליכא מלוה בהדיה לא כתבינן, מתניתין כיון דנפל אתרע ליה, וחיישינן דלמא אקרי וכתוב. </w:t>
      </w:r>
      <w:r w:rsidRPr="001D49D4">
        <w:rPr>
          <w:rFonts w:ascii="Calibri" w:eastAsia="Calibri" w:hAnsi="Calibri" w:cs="Arial"/>
          <w:u w:val="single"/>
          <w:rtl/>
        </w:rPr>
        <w:t>אביי אמר</w:t>
      </w:r>
      <w:r w:rsidRPr="001D49D4">
        <w:rPr>
          <w:rFonts w:ascii="Calibri" w:eastAsia="Calibri" w:hAnsi="Calibri" w:cs="Arial"/>
          <w:rtl/>
        </w:rPr>
        <w:t xml:space="preserve">: עדיו בחתומיו זכין לו, ואפילו שטרי דלאו הקנאה. משום דקשיא ליה: כיון דאמרת בשטרי דלאו הקנאה כי ליתיה למלוה בהדיה לא כתבינן - ליכא למיחש דאקרי וכתוב. אלא הא דתנן: מצא גיטי נשים ושחרורי עבדים, דייתיקי, מתנה ושוברים - הרי זה לא יחזיר, שמא כתובים היו ונמלך עליהם שלא ליתנם. וכי נמלך עליהם מאי הוי? והא אמרת עדיו בחתומיו זכין לו! הני מילי היכא דקא מטו לידיה, אבל היכא דלא מטו לידיה - לא אמרינן. אלא מתניתין, דקתני: מצא שטרי חוב, אם יש בהם אחריות נכסים - לא יחזיר. ואוקימנא כשחייב מודה, ומשום שמא כתב ללות בניסן ולא לוה עד תשרי. בשלמא לרב אסי, דאמר בשטרי אקנייתא - מוקי לה בשטרי דלאו אקנייתא, וכדאמרינן. אלא לאביי, דאמר עדיו בחתומיו זכין לו, מאי איכא למימר? אמר לך אביי: מתניתין היינו טעמא - דחייש לפרעון ולקנוניא... </w:t>
      </w:r>
      <w:r w:rsidRPr="001D49D4">
        <w:rPr>
          <w:rFonts w:ascii="Calibri" w:eastAsia="Calibri" w:hAnsi="Calibri" w:cs="Arial"/>
          <w:sz w:val="14"/>
          <w:szCs w:val="14"/>
          <w:rtl/>
        </w:rPr>
        <w:t xml:space="preserve">(יד.) </w:t>
      </w:r>
      <w:r w:rsidRPr="001D49D4">
        <w:rPr>
          <w:rFonts w:ascii="Calibri" w:eastAsia="Calibri" w:hAnsi="Calibri" w:cs="Arial"/>
          <w:u w:val="single"/>
          <w:rtl/>
        </w:rPr>
        <w:t>אמר שמואל:</w:t>
      </w:r>
      <w:r w:rsidRPr="001D49D4">
        <w:rPr>
          <w:rFonts w:ascii="Calibri" w:eastAsia="Calibri" w:hAnsi="Calibri" w:cs="Arial"/>
          <w:rtl/>
        </w:rPr>
        <w:t xml:space="preserve"> מאי טעמייהו דרבנן - סברי: אחריות טעות סופר הוא. </w:t>
      </w:r>
      <w:r w:rsidRPr="001D49D4">
        <w:rPr>
          <w:rFonts w:ascii="Calibri" w:eastAsia="Calibri" w:hAnsi="Calibri" w:cs="Arial"/>
          <w:u w:val="single"/>
          <w:rtl/>
        </w:rPr>
        <w:t>אמר ליה רבא בר איתי לרב אידי בר אבין</w:t>
      </w:r>
      <w:r w:rsidRPr="001D49D4">
        <w:rPr>
          <w:rFonts w:ascii="Calibri" w:eastAsia="Calibri" w:hAnsi="Calibri" w:cs="Arial"/>
          <w:rtl/>
        </w:rPr>
        <w:t>: ומי אמר שמואל הכי? והאמר שמואל: שבח שפר ושעבוד צריך לימלך?... לא קשיא: כאן - בשטר הלואה, דלא יהיב אינש זוזי בכדי. כאן - במקח וממכר, דעביד אינש דזבין ארעא ליומיה.</w:t>
      </w:r>
    </w:p>
    <w:p w14:paraId="1D33B5AB" w14:textId="77777777" w:rsidR="001D49D4" w:rsidRPr="001D49D4" w:rsidRDefault="001D49D4" w:rsidP="0004348D">
      <w:pPr>
        <w:spacing w:before="360" w:after="240"/>
        <w:rPr>
          <w:rFonts w:ascii="Calibri" w:eastAsia="Calibri" w:hAnsi="Calibri" w:cs="Arial"/>
          <w:u w:val="single"/>
          <w:rtl/>
        </w:rPr>
      </w:pPr>
      <w:r w:rsidRPr="001D49D4">
        <w:rPr>
          <w:rFonts w:ascii="Calibri" w:eastAsia="Calibri" w:hAnsi="Calibri" w:cs="Arial"/>
          <w:u w:val="single"/>
          <w:rtl/>
        </w:rPr>
        <w:t>מצא שטר חוב שאין בו אחריות ולוה מודה:</w:t>
      </w:r>
    </w:p>
    <w:p w14:paraId="63CD1425" w14:textId="77777777" w:rsidR="001D49D4" w:rsidRPr="001D49D4" w:rsidRDefault="001D49D4" w:rsidP="0004348D">
      <w:pPr>
        <w:numPr>
          <w:ilvl w:val="0"/>
          <w:numId w:val="328"/>
        </w:numPr>
        <w:spacing w:before="360" w:after="240"/>
        <w:contextualSpacing/>
        <w:rPr>
          <w:rFonts w:ascii="Calibri" w:eastAsia="Calibri" w:hAnsi="Calibri" w:cs="Arial"/>
          <w:rtl/>
        </w:rPr>
      </w:pPr>
      <w:r w:rsidRPr="001D49D4">
        <w:rPr>
          <w:rFonts w:ascii="Calibri" w:eastAsia="Calibri" w:hAnsi="Calibri" w:cs="Arial"/>
          <w:rtl/>
        </w:rPr>
        <w:t>טור- המוצא שטר חוב אפילו אין בו אחריות ולוה מודה - לא יחזיר לא לזה ולא לזה, דחיישינן לפרעון ולקנוניא... ואע"פ שאין בו אחריות קיי"ל אחריות טעות סופר הוא. לפיכך אם פירש בו בהדיא שאינו חייב באחריות וחייב מודה – יחזיר. או שיש ללוה בני חורין שמספיקין לשיעבוד החוב – יחזיר</w:t>
      </w:r>
      <w:r w:rsidRPr="001D49D4">
        <w:rPr>
          <w:rFonts w:ascii="Calibri" w:eastAsia="Calibri" w:hAnsi="Calibri" w:cs="Arial"/>
          <w:vertAlign w:val="superscript"/>
          <w:rtl/>
        </w:rPr>
        <w:footnoteReference w:id="4793"/>
      </w:r>
      <w:r w:rsidRPr="001D49D4">
        <w:rPr>
          <w:rFonts w:ascii="Calibri" w:eastAsia="Calibri" w:hAnsi="Calibri" w:cs="Arial"/>
          <w:rtl/>
        </w:rPr>
        <w:t>.</w:t>
      </w:r>
      <w:r w:rsidRPr="001D49D4">
        <w:rPr>
          <w:rFonts w:ascii="Calibri" w:eastAsia="Calibri" w:hAnsi="Calibri" w:cs="Arial"/>
          <w:color w:val="E36C0A" w:themeColor="accent6" w:themeShade="BF"/>
          <w:rtl/>
        </w:rPr>
        <w:t xml:space="preserve"> (וכ"פ בשו"ע</w:t>
      </w:r>
      <w:r w:rsidRPr="001D49D4">
        <w:rPr>
          <w:rFonts w:ascii="Calibri" w:eastAsia="Calibri" w:hAnsi="Calibri" w:cs="Arial"/>
          <w:color w:val="E36C0A" w:themeColor="accent6" w:themeShade="BF"/>
          <w:sz w:val="16"/>
          <w:szCs w:val="16"/>
          <w:rtl/>
        </w:rPr>
        <w:t xml:space="preserve"> </w:t>
      </w:r>
      <w:r w:rsidRPr="001D49D4">
        <w:rPr>
          <w:rFonts w:ascii="Calibri" w:eastAsia="Calibri" w:hAnsi="Calibri" w:cs="Arial"/>
          <w:color w:val="000000" w:themeColor="text1"/>
          <w:sz w:val="16"/>
          <w:szCs w:val="16"/>
          <w:rtl/>
        </w:rPr>
        <w:t>[כאן ובסע' הבא]</w:t>
      </w:r>
      <w:r w:rsidRPr="001D49D4">
        <w:rPr>
          <w:rFonts w:ascii="Calibri" w:eastAsia="Calibri" w:hAnsi="Calibri" w:cs="Arial"/>
          <w:color w:val="E36C0A" w:themeColor="accent6" w:themeShade="BF"/>
          <w:rtl/>
        </w:rPr>
        <w:t>)</w:t>
      </w:r>
    </w:p>
    <w:p w14:paraId="4D8AC408" w14:textId="77777777" w:rsidR="001D49D4" w:rsidRPr="001D49D4" w:rsidRDefault="001D49D4" w:rsidP="0004348D">
      <w:pPr>
        <w:spacing w:before="360" w:after="240"/>
        <w:rPr>
          <w:rFonts w:ascii="Calibri" w:eastAsia="Calibri" w:hAnsi="Calibri" w:cs="Arial"/>
          <w:u w:val="dotted"/>
        </w:rPr>
      </w:pPr>
      <w:r w:rsidRPr="001D49D4">
        <w:rPr>
          <w:rFonts w:ascii="Calibri" w:eastAsia="Calibri" w:hAnsi="Calibri" w:cs="Arial"/>
          <w:u w:val="dotted"/>
          <w:rtl/>
        </w:rPr>
        <w:t>ומה הדין אם כתוב בשטר נאמנות:</w:t>
      </w:r>
    </w:p>
    <w:p w14:paraId="5F8F32A8" w14:textId="77777777" w:rsidR="001D49D4" w:rsidRPr="001D49D4" w:rsidRDefault="001D49D4" w:rsidP="0004348D">
      <w:pPr>
        <w:numPr>
          <w:ilvl w:val="0"/>
          <w:numId w:val="328"/>
        </w:numPr>
        <w:spacing w:before="360" w:after="240"/>
        <w:contextualSpacing/>
        <w:rPr>
          <w:rFonts w:ascii="Calibri" w:eastAsia="Calibri" w:hAnsi="Calibri" w:cs="Arial"/>
          <w:rtl/>
        </w:rPr>
      </w:pPr>
      <w:r w:rsidRPr="001D49D4">
        <w:rPr>
          <w:rFonts w:ascii="Calibri" w:eastAsia="Calibri" w:hAnsi="Calibri" w:cs="Arial"/>
          <w:rtl/>
        </w:rPr>
        <w:t>בעל התרומות</w:t>
      </w:r>
      <w:r w:rsidRPr="001D49D4">
        <w:rPr>
          <w:rFonts w:ascii="Calibri" w:eastAsia="Calibri" w:hAnsi="Calibri" w:cs="Arial"/>
          <w:sz w:val="16"/>
          <w:szCs w:val="16"/>
          <w:rtl/>
        </w:rPr>
        <w:t xml:space="preserve"> (שער נב ח"א סי' ו)</w:t>
      </w:r>
      <w:r w:rsidRPr="001D49D4">
        <w:rPr>
          <w:rFonts w:ascii="Calibri" w:eastAsia="Calibri" w:hAnsi="Calibri" w:cs="Arial"/>
          <w:rtl/>
        </w:rPr>
        <w:t>- כיון דנפל איתרע ליה ואע"ג דכתיב ביה נאמנות, דלא הימניה אלא כשיצא שטר זה מתחת ידו, וזה אינו יוצא מתחת ידו שהרי נפל ונמצא.</w:t>
      </w:r>
      <w:r w:rsidRPr="001D49D4">
        <w:rPr>
          <w:rFonts w:ascii="Calibri" w:eastAsia="Calibri" w:hAnsi="Calibri" w:cs="Arial"/>
          <w:color w:val="E36C0A" w:themeColor="accent6" w:themeShade="BF"/>
          <w:rtl/>
        </w:rPr>
        <w:t xml:space="preserve"> (וכ"פ בשו"ע)</w:t>
      </w:r>
    </w:p>
    <w:p w14:paraId="13974960" w14:textId="77777777" w:rsidR="001D49D4" w:rsidRPr="001D49D4" w:rsidRDefault="001D49D4" w:rsidP="0004348D">
      <w:pPr>
        <w:spacing w:before="360" w:after="240"/>
        <w:rPr>
          <w:rFonts w:ascii="Calibri" w:eastAsia="Calibri" w:hAnsi="Calibri" w:cs="Arial"/>
          <w:u w:val="dotted"/>
          <w:rtl/>
        </w:rPr>
      </w:pPr>
      <w:r w:rsidRPr="001D49D4">
        <w:rPr>
          <w:rFonts w:ascii="Calibri" w:eastAsia="Calibri" w:hAnsi="Calibri" w:cs="Arial"/>
          <w:u w:val="dotted"/>
          <w:rtl/>
        </w:rPr>
        <w:t>ומה הדין אם אמר לנו הלוה/המלוה סימן שיש בשטר:</w:t>
      </w:r>
    </w:p>
    <w:p w14:paraId="2DE6A265" w14:textId="77777777" w:rsidR="001D49D4" w:rsidRPr="001D49D4" w:rsidRDefault="001D49D4" w:rsidP="0004348D">
      <w:pPr>
        <w:numPr>
          <w:ilvl w:val="0"/>
          <w:numId w:val="328"/>
        </w:numPr>
        <w:spacing w:before="360" w:after="240"/>
        <w:contextualSpacing/>
        <w:rPr>
          <w:rFonts w:ascii="Calibri" w:eastAsia="Calibri" w:hAnsi="Calibri" w:cs="Arial"/>
        </w:rPr>
      </w:pPr>
      <w:r w:rsidRPr="001D49D4">
        <w:rPr>
          <w:rFonts w:ascii="Calibri" w:eastAsia="Calibri" w:hAnsi="Calibri" w:cs="Arial"/>
          <w:rtl/>
        </w:rPr>
        <w:t xml:space="preserve">בעל התרומות </w:t>
      </w:r>
      <w:r w:rsidRPr="001D49D4">
        <w:rPr>
          <w:rFonts w:ascii="Calibri" w:eastAsia="Calibri" w:hAnsi="Calibri" w:cs="Arial"/>
          <w:sz w:val="16"/>
          <w:szCs w:val="16"/>
          <w:rtl/>
        </w:rPr>
        <w:t xml:space="preserve">(שער נב שם סי' ד) </w:t>
      </w:r>
      <w:r w:rsidRPr="001D49D4">
        <w:rPr>
          <w:rFonts w:ascii="Calibri" w:eastAsia="Calibri" w:hAnsi="Calibri" w:cs="Arial"/>
          <w:rtl/>
        </w:rPr>
        <w:t>וטור- אפילו אמר הלוה או המלוה נקב יש בצד אות פלוני</w:t>
      </w:r>
      <w:r w:rsidRPr="001D49D4">
        <w:rPr>
          <w:rFonts w:ascii="Calibri" w:eastAsia="Calibri" w:hAnsi="Calibri" w:cs="Arial"/>
          <w:vertAlign w:val="superscript"/>
          <w:rtl/>
        </w:rPr>
        <w:footnoteReference w:id="4794"/>
      </w:r>
      <w:r w:rsidRPr="001D49D4">
        <w:rPr>
          <w:rFonts w:ascii="Calibri" w:eastAsia="Calibri" w:hAnsi="Calibri" w:cs="Arial"/>
          <w:rtl/>
        </w:rPr>
        <w:t xml:space="preserve"> לא יחזיר לא לזה ולא לזה שהרי נשתהא ביד המלוה וידע בו הסימן ואפשר שנפל מיד הלוה והוא פרוע. וגם הלוה שכותב שטרו אע"פ שאין מלוה עמו</w:t>
      </w:r>
      <w:r w:rsidRPr="001D49D4">
        <w:rPr>
          <w:rFonts w:ascii="Calibri" w:eastAsia="Calibri" w:hAnsi="Calibri" w:cs="Arial"/>
          <w:vertAlign w:val="superscript"/>
          <w:rtl/>
        </w:rPr>
        <w:footnoteReference w:id="4795"/>
      </w:r>
      <w:r w:rsidRPr="001D49D4">
        <w:rPr>
          <w:rFonts w:ascii="Calibri" w:eastAsia="Calibri" w:hAnsi="Calibri" w:cs="Arial"/>
          <w:rtl/>
        </w:rPr>
        <w:t xml:space="preserve"> עומד בזה הסימן בעודו בידו ואפשר שנפל מיד המלוה. </w:t>
      </w:r>
      <w:r w:rsidRPr="001D49D4">
        <w:rPr>
          <w:rFonts w:ascii="Calibri" w:eastAsia="Calibri" w:hAnsi="Calibri" w:cs="Arial"/>
          <w:color w:val="E36C0A" w:themeColor="accent6" w:themeShade="BF"/>
          <w:rtl/>
        </w:rPr>
        <w:t>(וכ"פ בשו"ע)</w:t>
      </w:r>
    </w:p>
    <w:p w14:paraId="03F0D137" w14:textId="77777777" w:rsidR="001D49D4" w:rsidRPr="001D49D4" w:rsidRDefault="001D49D4" w:rsidP="0004348D">
      <w:pPr>
        <w:spacing w:before="360" w:after="240"/>
        <w:rPr>
          <w:rFonts w:ascii="Calibri" w:eastAsia="Calibri" w:hAnsi="Calibri" w:cs="Arial"/>
          <w:u w:val="dotted"/>
        </w:rPr>
      </w:pPr>
      <w:r w:rsidRPr="001D49D4">
        <w:rPr>
          <w:rFonts w:ascii="Calibri" w:eastAsia="Calibri" w:hAnsi="Calibri" w:cs="Arial"/>
          <w:u w:val="dotted"/>
          <w:rtl/>
        </w:rPr>
        <w:t>ומה הדין אם השטר נמצא בתוך זמן ההלואה:</w:t>
      </w:r>
    </w:p>
    <w:p w14:paraId="4896DA43" w14:textId="77777777" w:rsidR="001D49D4" w:rsidRPr="001D49D4" w:rsidRDefault="001D49D4" w:rsidP="0004348D">
      <w:pPr>
        <w:numPr>
          <w:ilvl w:val="0"/>
          <w:numId w:val="328"/>
        </w:numPr>
        <w:spacing w:before="360" w:after="240"/>
        <w:contextualSpacing/>
        <w:rPr>
          <w:rFonts w:ascii="Calibri" w:eastAsia="Calibri" w:hAnsi="Calibri" w:cs="Arial"/>
        </w:rPr>
      </w:pPr>
      <w:r w:rsidRPr="001D49D4">
        <w:rPr>
          <w:rFonts w:ascii="Calibri" w:eastAsia="Calibri" w:hAnsi="Calibri" w:cs="Arial"/>
          <w:rtl/>
        </w:rPr>
        <w:t>רמ"ה וטור- שמעינן מיניה דאפילו בקובע זמן לחבירו אי נפל שטרא ואישתכח בגו זימניה - לא יחזיר, דהא סתם הלואה ל' יום ואפילו הכי כי אין חייב מודה לא יחזיר, דחיישינן אפילו לפריעה דיומא, וה"ה נמי בקובע זמן איכא למיחש שמא הוא פרוע</w:t>
      </w:r>
      <w:r w:rsidRPr="001D49D4">
        <w:rPr>
          <w:rFonts w:ascii="Calibri" w:eastAsia="Calibri" w:hAnsi="Calibri" w:cs="Arial"/>
          <w:sz w:val="16"/>
          <w:szCs w:val="16"/>
          <w:rtl/>
        </w:rPr>
        <w:t xml:space="preserve"> (ל' הטור בשם הרמ"ה)</w:t>
      </w:r>
      <w:r w:rsidRPr="001D49D4">
        <w:rPr>
          <w:rFonts w:ascii="Calibri" w:eastAsia="Calibri" w:hAnsi="Calibri" w:cs="Arial"/>
          <w:rtl/>
        </w:rPr>
        <w:t>.</w:t>
      </w:r>
      <w:r w:rsidRPr="001D49D4">
        <w:rPr>
          <w:rFonts w:ascii="Calibri" w:eastAsia="Calibri" w:hAnsi="Calibri" w:cs="Arial"/>
          <w:color w:val="E36C0A" w:themeColor="accent6" w:themeShade="BF"/>
          <w:rtl/>
        </w:rPr>
        <w:t xml:space="preserve"> (וכ"פ בשו"ע)</w:t>
      </w:r>
    </w:p>
    <w:p w14:paraId="5E40076B"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b/>
          <w:bCs/>
          <w:rtl/>
        </w:rPr>
        <w:t xml:space="preserve">בבא מציעא </w:t>
      </w:r>
      <w:r w:rsidRPr="001D49D4">
        <w:rPr>
          <w:rFonts w:ascii="Calibri" w:eastAsia="Calibri" w:hAnsi="Calibri" w:cs="Arial"/>
          <w:b/>
          <w:bCs/>
          <w:sz w:val="16"/>
          <w:szCs w:val="16"/>
          <w:rtl/>
        </w:rPr>
        <w:t>(ספ"ק)</w:t>
      </w:r>
      <w:r w:rsidRPr="001D49D4">
        <w:rPr>
          <w:rFonts w:ascii="Calibri" w:eastAsia="Calibri" w:hAnsi="Calibri" w:cs="Arial"/>
          <w:b/>
          <w:bCs/>
          <w:rtl/>
        </w:rPr>
        <w:t xml:space="preserve"> יז</w:t>
      </w:r>
      <w:r w:rsidRPr="001D49D4">
        <w:rPr>
          <w:rFonts w:ascii="Calibri" w:eastAsia="Calibri" w:hAnsi="Calibri" w:cs="Arial"/>
          <w:b/>
          <w:bCs/>
          <w:vertAlign w:val="superscript"/>
          <w:rtl/>
        </w:rPr>
        <w:footnoteReference w:id="4796"/>
      </w:r>
      <w:r w:rsidRPr="001D49D4">
        <w:rPr>
          <w:rFonts w:ascii="Calibri" w:eastAsia="Calibri" w:hAnsi="Calibri" w:cs="Arial"/>
          <w:b/>
          <w:bCs/>
          <w:rtl/>
        </w:rPr>
        <w:t xml:space="preserve"> ע"א:</w:t>
      </w:r>
      <w:r w:rsidRPr="001D49D4">
        <w:rPr>
          <w:rFonts w:ascii="Calibri" w:eastAsia="Calibri" w:hAnsi="Calibri" w:cs="Arial"/>
          <w:rtl/>
        </w:rPr>
        <w:t xml:space="preserve"> </w:t>
      </w:r>
      <w:r w:rsidRPr="001D49D4">
        <w:rPr>
          <w:rFonts w:ascii="Calibri" w:eastAsia="Calibri" w:hAnsi="Calibri" w:cs="Arial"/>
          <w:u w:val="single"/>
          <w:rtl/>
        </w:rPr>
        <w:t>אמר רבי אסי אמר רבי יוחנן</w:t>
      </w:r>
      <w:r w:rsidRPr="001D49D4">
        <w:rPr>
          <w:rFonts w:ascii="Calibri" w:eastAsia="Calibri" w:hAnsi="Calibri" w:cs="Arial"/>
          <w:rtl/>
        </w:rPr>
        <w:t xml:space="preserve">: המוצא שטר חוב בשוק וכתוב בו הנפק, וכתוב בו זמנו בו ביום - יחזירו לבעלים. אי משום כתב ללות ולא לוה - הא כתוב בו הנפק, אי משום פרעון - לפריעה בת יומא לא חיישינן. </w:t>
      </w:r>
      <w:r w:rsidRPr="001D49D4">
        <w:rPr>
          <w:rFonts w:ascii="Calibri" w:eastAsia="Calibri" w:hAnsi="Calibri" w:cs="Arial"/>
          <w:u w:val="single"/>
          <w:rtl/>
        </w:rPr>
        <w:t>אמר ליה רבי זירא לרבי אסי</w:t>
      </w:r>
      <w:r w:rsidRPr="001D49D4">
        <w:rPr>
          <w:rFonts w:ascii="Calibri" w:eastAsia="Calibri" w:hAnsi="Calibri" w:cs="Arial"/>
          <w:rtl/>
        </w:rPr>
        <w:t>: מי אמר רבי יוחנן הכי? הא את הוא דאמרת משמיה דרבי יוחנן: שטר שלוה בו ופרעו - אינו חוזר ולוה בו, שכבר נמחל שיעבודו</w:t>
      </w:r>
      <w:r w:rsidRPr="001D49D4">
        <w:rPr>
          <w:rFonts w:ascii="Calibri" w:eastAsia="Calibri" w:hAnsi="Calibri" w:cs="Arial"/>
          <w:vertAlign w:val="superscript"/>
          <w:rtl/>
        </w:rPr>
        <w:footnoteReference w:id="4797"/>
      </w:r>
      <w:r w:rsidRPr="001D49D4">
        <w:rPr>
          <w:rFonts w:ascii="Calibri" w:eastAsia="Calibri" w:hAnsi="Calibri" w:cs="Arial"/>
          <w:rtl/>
        </w:rPr>
        <w:t xml:space="preserve">... אלמא: פרעי אינשי ביומיה! אמר ליה: מי קא אמינא דלא פרעי כלל? דלא שכיחי אינשי דפרעי ביומיה קא אמינא. </w:t>
      </w:r>
      <w:r w:rsidRPr="001D49D4">
        <w:rPr>
          <w:rFonts w:ascii="Calibri" w:eastAsia="Calibri" w:hAnsi="Calibri" w:cs="Arial"/>
          <w:u w:val="single"/>
          <w:rtl/>
        </w:rPr>
        <w:t>רב כהנא אמר</w:t>
      </w:r>
      <w:r w:rsidRPr="001D49D4">
        <w:rPr>
          <w:rFonts w:ascii="Calibri" w:eastAsia="Calibri" w:hAnsi="Calibri" w:cs="Arial"/>
          <w:rtl/>
        </w:rPr>
        <w:t>: כשחייב מודה. אי הכי מאי למימרא? מהו דתימא: האי מפרע פרעיה, והאי דקא אמר לא פרעתיה - משום דקבעי מהדר למזפא ביה זמנא אחריתי, ולפשיטי דספרא חייש, קא משמע לן דאם כן מלוה גופיה לא שבק, סבר: שמעי בי רבנן</w:t>
      </w:r>
      <w:r w:rsidRPr="001D49D4">
        <w:rPr>
          <w:rFonts w:ascii="Calibri" w:eastAsia="Calibri" w:hAnsi="Calibri" w:cs="Arial"/>
          <w:vertAlign w:val="superscript"/>
          <w:rtl/>
        </w:rPr>
        <w:footnoteReference w:id="4798"/>
      </w:r>
      <w:r w:rsidRPr="001D49D4">
        <w:rPr>
          <w:rFonts w:ascii="Calibri" w:eastAsia="Calibri" w:hAnsi="Calibri" w:cs="Arial"/>
          <w:rtl/>
        </w:rPr>
        <w:t xml:space="preserve"> ומפסדי לי</w:t>
      </w:r>
      <w:r w:rsidRPr="001D49D4">
        <w:rPr>
          <w:rFonts w:ascii="Calibri" w:eastAsia="Calibri" w:hAnsi="Calibri" w:cs="Arial"/>
          <w:vertAlign w:val="superscript"/>
          <w:rtl/>
        </w:rPr>
        <w:footnoteReference w:id="4799"/>
      </w:r>
      <w:r w:rsidRPr="001D49D4">
        <w:rPr>
          <w:rFonts w:ascii="Calibri" w:eastAsia="Calibri" w:hAnsi="Calibri" w:cs="Arial"/>
          <w:rtl/>
        </w:rPr>
        <w:t xml:space="preserve">. </w:t>
      </w:r>
      <w:r w:rsidRPr="001D49D4">
        <w:rPr>
          <w:rFonts w:ascii="Calibri" w:eastAsia="Calibri" w:hAnsi="Calibri" w:cs="Arial"/>
          <w:sz w:val="16"/>
          <w:szCs w:val="16"/>
          <w:rtl/>
        </w:rPr>
        <w:t>(והשתא רב כהנא ורב אסי פליגי בדרבי יוחנן, דלמאי דשני רב אסי לרבי זירא כי קאמר רבי יוחנן יחזיר היינו אפילו אין חייב מודה משום דלא שכיחי אינשי דפרעי ביומיה, ולרב כהנא דוקא בשחייב מודה יחזיר, ב"י)</w:t>
      </w:r>
      <w:r w:rsidRPr="001D49D4">
        <w:rPr>
          <w:rFonts w:ascii="Calibri" w:eastAsia="Calibri" w:hAnsi="Calibri" w:cs="Arial"/>
          <w:rtl/>
        </w:rPr>
        <w:t xml:space="preserve"> </w:t>
      </w:r>
    </w:p>
    <w:p w14:paraId="59696DDC" w14:textId="77777777" w:rsidR="001D49D4" w:rsidRPr="001D49D4" w:rsidRDefault="001D49D4" w:rsidP="0004348D">
      <w:pPr>
        <w:spacing w:before="360" w:after="240"/>
        <w:rPr>
          <w:rFonts w:ascii="Calibri" w:eastAsia="Calibri" w:hAnsi="Calibri" w:cs="Arial"/>
          <w:u w:val="single"/>
          <w:rtl/>
        </w:rPr>
      </w:pPr>
      <w:r w:rsidRPr="001D49D4">
        <w:rPr>
          <w:rFonts w:ascii="Calibri" w:eastAsia="Calibri" w:hAnsi="Calibri" w:cs="Arial"/>
          <w:u w:val="single"/>
          <w:rtl/>
        </w:rPr>
        <w:t>המוצא שטר חוב בשוק שזמנו הוא בו ביום – באיזה תנאי יכול להחזירו לבעלים:</w:t>
      </w:r>
    </w:p>
    <w:p w14:paraId="3CA87088" w14:textId="77777777" w:rsidR="001D49D4" w:rsidRPr="001D49D4" w:rsidRDefault="001D49D4" w:rsidP="0004348D">
      <w:pPr>
        <w:numPr>
          <w:ilvl w:val="0"/>
          <w:numId w:val="328"/>
        </w:numPr>
        <w:spacing w:before="360" w:after="240"/>
        <w:contextualSpacing/>
        <w:rPr>
          <w:rFonts w:ascii="Calibri" w:eastAsia="Calibri" w:hAnsi="Calibri" w:cs="Arial"/>
          <w:rtl/>
        </w:rPr>
      </w:pPr>
      <w:r w:rsidRPr="001D49D4">
        <w:rPr>
          <w:rFonts w:ascii="Calibri" w:eastAsia="Calibri" w:hAnsi="Calibri" w:cs="Arial"/>
          <w:rtl/>
        </w:rPr>
        <w:t xml:space="preserve">רי"ף </w:t>
      </w:r>
      <w:r w:rsidRPr="001D49D4">
        <w:rPr>
          <w:rFonts w:ascii="Calibri" w:eastAsia="Calibri" w:hAnsi="Calibri" w:cs="Arial"/>
          <w:sz w:val="16"/>
          <w:szCs w:val="16"/>
          <w:rtl/>
        </w:rPr>
        <w:t xml:space="preserve">(ב"מ י.) </w:t>
      </w:r>
      <w:r w:rsidRPr="001D49D4">
        <w:rPr>
          <w:rFonts w:ascii="Calibri" w:eastAsia="Calibri" w:hAnsi="Calibri" w:cs="Arial"/>
          <w:rtl/>
        </w:rPr>
        <w:t xml:space="preserve">ורמב"ם </w:t>
      </w:r>
      <w:r w:rsidRPr="001D49D4">
        <w:rPr>
          <w:rFonts w:ascii="Calibri" w:eastAsia="Calibri" w:hAnsi="Calibri" w:cs="Arial"/>
          <w:sz w:val="16"/>
          <w:szCs w:val="16"/>
          <w:rtl/>
        </w:rPr>
        <w:t>(סוף הל' גזילה שם ה"ב)</w:t>
      </w:r>
      <w:r w:rsidRPr="001D49D4">
        <w:rPr>
          <w:rFonts w:ascii="Calibri" w:eastAsia="Calibri" w:hAnsi="Calibri" w:cs="Arial"/>
          <w:rtl/>
        </w:rPr>
        <w:t>- בשחייב מודה, ושיהא כתוב בו הנפק</w:t>
      </w:r>
      <w:r w:rsidRPr="001D49D4">
        <w:rPr>
          <w:rFonts w:ascii="Calibri" w:eastAsia="Calibri" w:hAnsi="Calibri" w:cs="Arial"/>
          <w:vertAlign w:val="superscript"/>
          <w:rtl/>
        </w:rPr>
        <w:footnoteReference w:id="4800"/>
      </w:r>
      <w:r w:rsidRPr="001D49D4">
        <w:rPr>
          <w:rFonts w:ascii="Calibri" w:eastAsia="Calibri" w:hAnsi="Calibri" w:cs="Arial"/>
          <w:rtl/>
        </w:rPr>
        <w:t xml:space="preserve">. </w:t>
      </w:r>
      <w:r w:rsidRPr="001D49D4">
        <w:rPr>
          <w:rFonts w:ascii="Calibri" w:eastAsia="Calibri" w:hAnsi="Calibri" w:cs="Arial"/>
          <w:color w:val="E36C0A" w:themeColor="accent6" w:themeShade="BF"/>
          <w:rtl/>
        </w:rPr>
        <w:t>(וכ"פ בשו"ע</w:t>
      </w:r>
      <w:r w:rsidRPr="001D49D4">
        <w:rPr>
          <w:rFonts w:ascii="Calibri" w:eastAsia="Calibri" w:hAnsi="Calibri" w:cs="Arial"/>
          <w:color w:val="E36C0A" w:themeColor="accent6" w:themeShade="BF"/>
          <w:sz w:val="16"/>
          <w:szCs w:val="16"/>
          <w:rtl/>
        </w:rPr>
        <w:t xml:space="preserve"> </w:t>
      </w:r>
      <w:r w:rsidRPr="001D49D4">
        <w:rPr>
          <w:rFonts w:ascii="Calibri" w:eastAsia="Calibri" w:hAnsi="Calibri" w:cs="Arial"/>
          <w:color w:val="000000" w:themeColor="text1"/>
          <w:sz w:val="16"/>
          <w:szCs w:val="16"/>
          <w:rtl/>
        </w:rPr>
        <w:t>[בסע' הבא]</w:t>
      </w:r>
      <w:r w:rsidRPr="001D49D4">
        <w:rPr>
          <w:rFonts w:ascii="Calibri" w:eastAsia="Calibri" w:hAnsi="Calibri" w:cs="Arial"/>
          <w:color w:val="E36C0A" w:themeColor="accent6" w:themeShade="BF"/>
          <w:rtl/>
        </w:rPr>
        <w:t>)</w:t>
      </w:r>
    </w:p>
    <w:p w14:paraId="24F1E28E" w14:textId="77777777" w:rsidR="001D49D4" w:rsidRPr="001D49D4" w:rsidRDefault="001D49D4" w:rsidP="0004348D">
      <w:pPr>
        <w:numPr>
          <w:ilvl w:val="0"/>
          <w:numId w:val="328"/>
        </w:numPr>
        <w:spacing w:before="360" w:after="240"/>
        <w:contextualSpacing/>
        <w:rPr>
          <w:rFonts w:ascii="Calibri" w:eastAsia="Calibri" w:hAnsi="Calibri" w:cs="Arial"/>
          <w:rtl/>
        </w:rPr>
      </w:pPr>
      <w:r w:rsidRPr="001D49D4">
        <w:rPr>
          <w:rFonts w:ascii="Calibri" w:eastAsia="Calibri" w:hAnsi="Calibri" w:cs="Arial"/>
          <w:rtl/>
        </w:rPr>
        <w:t>תוס'</w:t>
      </w:r>
      <w:r w:rsidRPr="001D49D4">
        <w:rPr>
          <w:rFonts w:ascii="Calibri" w:eastAsia="Calibri" w:hAnsi="Calibri" w:cs="Arial"/>
          <w:sz w:val="16"/>
          <w:szCs w:val="16"/>
          <w:rtl/>
        </w:rPr>
        <w:t xml:space="preserve"> (ב"מ יז. ד"ה רב כהנא)</w:t>
      </w:r>
      <w:r w:rsidRPr="001D49D4">
        <w:rPr>
          <w:rFonts w:ascii="Calibri" w:eastAsia="Calibri" w:hAnsi="Calibri" w:cs="Arial"/>
          <w:rtl/>
        </w:rPr>
        <w:t xml:space="preserve"> רשב"א </w:t>
      </w:r>
      <w:r w:rsidRPr="001D49D4">
        <w:rPr>
          <w:rFonts w:ascii="Calibri" w:eastAsia="Calibri" w:hAnsi="Calibri" w:cs="Arial"/>
          <w:sz w:val="16"/>
          <w:szCs w:val="16"/>
          <w:rtl/>
        </w:rPr>
        <w:t>(ב"מ יז. ד"ה רב כהנא)</w:t>
      </w:r>
      <w:r w:rsidRPr="001D49D4">
        <w:rPr>
          <w:rFonts w:ascii="Calibri" w:eastAsia="Calibri" w:hAnsi="Calibri" w:cs="Arial"/>
          <w:rtl/>
        </w:rPr>
        <w:t xml:space="preserve"> רא"ש</w:t>
      </w:r>
      <w:r w:rsidRPr="001D49D4">
        <w:rPr>
          <w:rFonts w:ascii="Calibri" w:eastAsia="Calibri" w:hAnsi="Calibri" w:cs="Arial"/>
          <w:vertAlign w:val="superscript"/>
          <w:rtl/>
        </w:rPr>
        <w:footnoteReference w:id="4801"/>
      </w:r>
      <w:r w:rsidRPr="001D49D4">
        <w:rPr>
          <w:rFonts w:ascii="Calibri" w:eastAsia="Calibri" w:hAnsi="Calibri" w:cs="Arial"/>
          <w:rtl/>
        </w:rPr>
        <w:t xml:space="preserve"> </w:t>
      </w:r>
      <w:r w:rsidRPr="001D49D4">
        <w:rPr>
          <w:rFonts w:ascii="Calibri" w:eastAsia="Calibri" w:hAnsi="Calibri" w:cs="Arial"/>
          <w:sz w:val="16"/>
          <w:szCs w:val="16"/>
          <w:rtl/>
        </w:rPr>
        <w:t>(סי' מג)</w:t>
      </w:r>
      <w:r w:rsidRPr="001D49D4">
        <w:rPr>
          <w:rFonts w:ascii="Calibri" w:eastAsia="Calibri" w:hAnsi="Calibri" w:cs="Arial"/>
          <w:rtl/>
        </w:rPr>
        <w:t xml:space="preserve"> וטור- בשחייב מודה. (וכ"פ הש"ך</w:t>
      </w:r>
      <w:r w:rsidRPr="001D49D4">
        <w:rPr>
          <w:rFonts w:ascii="Calibri" w:eastAsia="Calibri" w:hAnsi="Calibri" w:cs="Arial"/>
          <w:sz w:val="16"/>
          <w:szCs w:val="16"/>
          <w:rtl/>
        </w:rPr>
        <w:t xml:space="preserve"> [סקכ"ג]</w:t>
      </w:r>
      <w:r w:rsidRPr="001D49D4">
        <w:rPr>
          <w:rFonts w:ascii="Calibri" w:eastAsia="Calibri" w:hAnsi="Calibri" w:cs="Arial"/>
          <w:rtl/>
        </w:rPr>
        <w:t>)</w:t>
      </w:r>
    </w:p>
    <w:p w14:paraId="6E8D308F" w14:textId="77777777" w:rsidR="001D49D4" w:rsidRPr="001D49D4" w:rsidRDefault="001D49D4" w:rsidP="0004348D">
      <w:pPr>
        <w:spacing w:before="360" w:after="240"/>
        <w:rPr>
          <w:rFonts w:ascii="Calibri" w:eastAsia="Calibri" w:hAnsi="Calibri" w:cs="Arial"/>
          <w:u w:val="dotted"/>
        </w:rPr>
      </w:pPr>
      <w:r w:rsidRPr="001D49D4">
        <w:rPr>
          <w:rFonts w:ascii="Calibri" w:eastAsia="Calibri" w:hAnsi="Calibri" w:cs="Arial"/>
          <w:u w:val="dotted"/>
          <w:rtl/>
        </w:rPr>
        <w:t>ומה הדין אם הלוה שם ואומר שפרע כבר את השטר רק שנפל ממנו:</w:t>
      </w:r>
    </w:p>
    <w:p w14:paraId="398CC906" w14:textId="77777777" w:rsidR="001D49D4" w:rsidRPr="001D49D4" w:rsidRDefault="001D49D4" w:rsidP="0004348D">
      <w:pPr>
        <w:numPr>
          <w:ilvl w:val="0"/>
          <w:numId w:val="328"/>
        </w:numPr>
        <w:spacing w:before="360" w:after="240"/>
        <w:contextualSpacing/>
        <w:rPr>
          <w:rFonts w:ascii="Calibri" w:eastAsia="Calibri" w:hAnsi="Calibri" w:cs="Arial"/>
          <w:rtl/>
        </w:rPr>
      </w:pPr>
      <w:r w:rsidRPr="001D49D4">
        <w:rPr>
          <w:rFonts w:ascii="Calibri" w:eastAsia="Calibri" w:hAnsi="Calibri" w:cs="Arial"/>
          <w:rtl/>
        </w:rPr>
        <w:t xml:space="preserve">רא"ש </w:t>
      </w:r>
      <w:r w:rsidRPr="001D49D4">
        <w:rPr>
          <w:rFonts w:ascii="Calibri" w:eastAsia="Calibri" w:hAnsi="Calibri" w:cs="Arial"/>
          <w:sz w:val="16"/>
          <w:szCs w:val="16"/>
          <w:rtl/>
        </w:rPr>
        <w:t>(כלל עו סי' ג)</w:t>
      </w:r>
      <w:r w:rsidRPr="001D49D4">
        <w:rPr>
          <w:rFonts w:ascii="Calibri" w:eastAsia="Calibri" w:hAnsi="Calibri" w:cs="Arial"/>
          <w:rtl/>
        </w:rPr>
        <w:t xml:space="preserve">- הא דאמר רבי יוחנן המוצא שטר חוב וכו' אי משום פריעה לפריעה בת יומא לא חיישינן הני מילי דליתיה ללוה קמן, אבל אי איתיה קמן ואמר פרעתיו וממני נפל - לא יחזיר. </w:t>
      </w:r>
    </w:p>
    <w:p w14:paraId="6908B462" w14:textId="77777777" w:rsidR="001D49D4" w:rsidRPr="001D49D4" w:rsidRDefault="001D49D4" w:rsidP="0004348D">
      <w:pPr>
        <w:spacing w:before="360" w:after="240"/>
        <w:rPr>
          <w:rFonts w:ascii="Calibri" w:eastAsia="Calibri" w:hAnsi="Calibri" w:cs="Arial"/>
          <w:u w:val="single"/>
        </w:rPr>
      </w:pPr>
      <w:r w:rsidRPr="001D49D4">
        <w:rPr>
          <w:rFonts w:ascii="Calibri" w:eastAsia="Calibri" w:hAnsi="Calibri" w:cs="Arial"/>
          <w:u w:val="single"/>
          <w:rtl/>
        </w:rPr>
        <w:t>ראובן אבד שטר חוב שיש לו על שמעון ורוצה להחרים כל מי שבא לידו אותו שטר שיודיע לברורים ושמעון מוחה:</w:t>
      </w:r>
    </w:p>
    <w:p w14:paraId="0DFCFF34" w14:textId="77777777" w:rsidR="001D49D4" w:rsidRPr="001D49D4" w:rsidRDefault="001D49D4" w:rsidP="0004348D">
      <w:pPr>
        <w:numPr>
          <w:ilvl w:val="0"/>
          <w:numId w:val="328"/>
        </w:numPr>
        <w:spacing w:before="360" w:after="240"/>
        <w:contextualSpacing/>
        <w:rPr>
          <w:rFonts w:ascii="Calibri" w:eastAsia="Calibri" w:hAnsi="Calibri" w:cs="Arial"/>
          <w:rtl/>
        </w:rPr>
      </w:pPr>
      <w:r w:rsidRPr="001D49D4">
        <w:rPr>
          <w:rFonts w:ascii="Calibri" w:eastAsia="Calibri" w:hAnsi="Calibri" w:cs="Arial"/>
          <w:rtl/>
        </w:rPr>
        <w:t xml:space="preserve">רשב"א </w:t>
      </w:r>
      <w:r w:rsidRPr="001D49D4">
        <w:rPr>
          <w:rFonts w:ascii="Calibri" w:eastAsia="Calibri" w:hAnsi="Calibri" w:cs="Arial"/>
          <w:sz w:val="16"/>
          <w:szCs w:val="16"/>
          <w:rtl/>
        </w:rPr>
        <w:t>(ח"ה סי' רסא)</w:t>
      </w:r>
      <w:r w:rsidRPr="001D49D4">
        <w:rPr>
          <w:rFonts w:ascii="Calibri" w:eastAsia="Calibri" w:hAnsi="Calibri" w:cs="Arial"/>
          <w:rtl/>
        </w:rPr>
        <w:t xml:space="preserve">- שאלת, ראובן אבד שטר חוב שיש לו על שמעון ורוצה להחרים כל מי שבא לידו אותו שטר שיודיע לברורים. ושמעון מוחה ואומר 'פרעתיו ואם תחרימו יביאני בערכאות שכך העיז פניו לומר שיביאנו בערכאות'. תשובה, הדין עם שמעון שהשטר שנפל שורת הדין שלא יחזירנו לא לזה ולא לזה. ואין לראובן על שמעון אלא שבועת היסת ככופר בכל. ואם יעמידנו בערכאות - שלא כדין הוא עושה, וכיון שאמר כן אינו בדין שיחרים. ואפילו החרים וישנו ביד אחר שמצאו - לא יחזירנה לו. ואפילו אם החזירו - אינו מוחזר, ושלא כדעת הרמב"ם </w:t>
      </w:r>
      <w:r w:rsidRPr="001D49D4">
        <w:rPr>
          <w:rFonts w:ascii="Calibri" w:eastAsia="Calibri" w:hAnsi="Calibri" w:cs="Arial"/>
          <w:sz w:val="16"/>
          <w:szCs w:val="16"/>
          <w:rtl/>
        </w:rPr>
        <w:t>(הל' גזילה ואבידה פי"ח הי"ד)</w:t>
      </w:r>
      <w:r w:rsidRPr="001D49D4">
        <w:rPr>
          <w:rFonts w:ascii="Calibri" w:eastAsia="Calibri" w:hAnsi="Calibri" w:cs="Arial"/>
          <w:rtl/>
        </w:rPr>
        <w:t>, ויש לנו בזה ראיה מכרעת.</w:t>
      </w:r>
    </w:p>
    <w:p w14:paraId="3DD71B13" w14:textId="77777777" w:rsidR="001D49D4" w:rsidRPr="001D49D4" w:rsidRDefault="001D49D4" w:rsidP="0004348D">
      <w:pPr>
        <w:spacing w:before="360" w:after="240"/>
        <w:rPr>
          <w:rFonts w:ascii="Calibri" w:eastAsia="Calibri" w:hAnsi="Calibri" w:cs="Arial"/>
          <w:u w:val="single"/>
        </w:rPr>
      </w:pPr>
      <w:r w:rsidRPr="001D49D4">
        <w:rPr>
          <w:rFonts w:ascii="Calibri" w:eastAsia="Calibri" w:hAnsi="Calibri" w:cs="Arial"/>
          <w:u w:val="single"/>
          <w:rtl/>
        </w:rPr>
        <w:t>מי שמעיד שהיה לפלוני שטר על פלוני מסך המעות והיה השטר מועיל וראוי לגבות בו לפני כל בית דין שבעולם:</w:t>
      </w:r>
    </w:p>
    <w:p w14:paraId="00366FB0" w14:textId="77777777" w:rsidR="001D49D4" w:rsidRPr="001D49D4" w:rsidRDefault="001D49D4" w:rsidP="0004348D">
      <w:pPr>
        <w:numPr>
          <w:ilvl w:val="0"/>
          <w:numId w:val="328"/>
        </w:numPr>
        <w:spacing w:before="360" w:after="240"/>
        <w:contextualSpacing/>
        <w:rPr>
          <w:rFonts w:ascii="Calibri" w:eastAsia="Calibri" w:hAnsi="Calibri" w:cs="Arial"/>
          <w:rtl/>
        </w:rPr>
      </w:pPr>
      <w:r w:rsidRPr="001D49D4">
        <w:rPr>
          <w:rFonts w:ascii="Calibri" w:eastAsia="Calibri" w:hAnsi="Calibri" w:cs="Arial"/>
          <w:rtl/>
        </w:rPr>
        <w:t>מהרי"ל</w:t>
      </w:r>
      <w:r w:rsidRPr="001D49D4">
        <w:rPr>
          <w:rFonts w:ascii="Calibri" w:eastAsia="Calibri" w:hAnsi="Calibri" w:cs="Arial"/>
          <w:sz w:val="16"/>
          <w:szCs w:val="16"/>
          <w:rtl/>
        </w:rPr>
        <w:t xml:space="preserve"> (סי' סג, הביאו הב"י בסי' פב [סכ"ב], והביאם כאן הדרכ"מ [אות א])</w:t>
      </w:r>
      <w:r w:rsidRPr="001D49D4">
        <w:rPr>
          <w:rFonts w:ascii="Calibri" w:eastAsia="Calibri" w:hAnsi="Calibri" w:cs="Arial"/>
          <w:rtl/>
        </w:rPr>
        <w:t xml:space="preserve">- מי שמעיד שהיה לפלוני שטר על פלוני מסך המעות והיה השטר מועיל וראוי לגבות בו לפני כל בית דין שבעולם. תשובה, הואיל ואין השטר יוצא מתחת יד המלוה יכול לומר פרוע הוא. ועוד מאן לימא לן דהיה כתוב בו דאקני, ואע"פ שהעיד שהיה מועיל וראוי לגבות בו לא סמכינן עליה דלא מספרי דאביי הוה דידעי כל לשון תקון שטרות </w:t>
      </w:r>
      <w:r w:rsidRPr="001D49D4">
        <w:rPr>
          <w:rFonts w:ascii="Calibri" w:eastAsia="Calibri" w:hAnsi="Calibri" w:cs="Arial"/>
          <w:sz w:val="16"/>
          <w:szCs w:val="16"/>
          <w:rtl/>
        </w:rPr>
        <w:t>(עי' ב"ב קלו., סנהדרין כט:)</w:t>
      </w:r>
      <w:r w:rsidRPr="001D49D4">
        <w:rPr>
          <w:rFonts w:ascii="Calibri" w:eastAsia="Calibri" w:hAnsi="Calibri" w:cs="Arial"/>
          <w:rtl/>
        </w:rPr>
        <w:t>.</w:t>
      </w:r>
    </w:p>
    <w:p w14:paraId="436766DD" w14:textId="77777777" w:rsidR="001D49D4" w:rsidRPr="001D49D4" w:rsidRDefault="001D49D4" w:rsidP="0004348D">
      <w:pPr>
        <w:spacing w:before="360" w:after="240"/>
        <w:rPr>
          <w:rFonts w:ascii="Arial" w:eastAsia="Calibri" w:hAnsi="Arial" w:cs="Arial"/>
          <w:b/>
          <w:bCs/>
          <w:color w:val="000000"/>
          <w:sz w:val="28"/>
          <w:szCs w:val="28"/>
          <w:u w:val="single"/>
          <w:rtl/>
        </w:rPr>
      </w:pPr>
      <w:r w:rsidRPr="001D49D4">
        <w:rPr>
          <w:rFonts w:ascii="Arial" w:eastAsia="Calibri" w:hAnsi="Arial" w:cs="Arial"/>
          <w:b/>
          <w:bCs/>
          <w:color w:val="000000"/>
          <w:sz w:val="28"/>
          <w:szCs w:val="28"/>
          <w:u w:val="single"/>
          <w:rtl/>
        </w:rPr>
        <w:t>שו"ע:</w:t>
      </w:r>
    </w:p>
    <w:p w14:paraId="70E20167"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rtl/>
        </w:rPr>
        <w:t>המוצא שטר חוב, אף על פי שיש בו נאמנות, אפילו הוא תוך זמנו</w:t>
      </w:r>
      <w:r w:rsidRPr="001D49D4">
        <w:rPr>
          <w:rFonts w:ascii="Calibri" w:eastAsia="Calibri" w:hAnsi="Calibri" w:cs="Arial"/>
          <w:vertAlign w:val="superscript"/>
          <w:rtl/>
        </w:rPr>
        <w:footnoteReference w:id="4802"/>
      </w:r>
      <w:r w:rsidRPr="001D49D4">
        <w:rPr>
          <w:rFonts w:ascii="Calibri" w:eastAsia="Calibri" w:hAnsi="Calibri" w:cs="Arial"/>
          <w:rtl/>
        </w:rPr>
        <w:t>, ואפילו אין בו אחריות ולוה מודה, לא יחזיר, חיישינן לפרעון</w:t>
      </w:r>
      <w:r w:rsidRPr="001D49D4">
        <w:rPr>
          <w:rFonts w:ascii="Calibri" w:eastAsia="Calibri" w:hAnsi="Calibri" w:cs="Arial"/>
          <w:vertAlign w:val="superscript"/>
          <w:rtl/>
        </w:rPr>
        <w:footnoteReference w:id="4803"/>
      </w:r>
      <w:r w:rsidRPr="001D49D4">
        <w:rPr>
          <w:rFonts w:ascii="Calibri" w:eastAsia="Calibri" w:hAnsi="Calibri" w:cs="Arial"/>
          <w:rtl/>
        </w:rPr>
        <w:t xml:space="preserve"> ולקנונייא. ואפילו אמר הלוה או המלוה 'נקב יש בו בצד אות פלוני'</w:t>
      </w:r>
      <w:r w:rsidRPr="001D49D4">
        <w:rPr>
          <w:rFonts w:ascii="Calibri" w:eastAsia="Calibri" w:hAnsi="Calibri" w:cs="Arial"/>
          <w:vertAlign w:val="superscript"/>
          <w:rtl/>
        </w:rPr>
        <w:footnoteReference w:id="4804"/>
      </w:r>
      <w:r w:rsidRPr="001D49D4">
        <w:rPr>
          <w:rFonts w:ascii="Calibri" w:eastAsia="Calibri" w:hAnsi="Calibri" w:cs="Arial"/>
          <w:rtl/>
        </w:rPr>
        <w:t xml:space="preserve">, לא יחזיר לא לזה ולא לזה. ואם מפורש בשטר בהדיא שאינו חייב באחריות, אם חייב מודה, יחזיר. </w:t>
      </w:r>
    </w:p>
    <w:p w14:paraId="295CC1D5" w14:textId="77777777" w:rsidR="001D49D4" w:rsidRPr="001D49D4" w:rsidRDefault="001D49D4" w:rsidP="0004348D">
      <w:pPr>
        <w:spacing w:before="360" w:after="240"/>
        <w:rPr>
          <w:rFonts w:ascii="Calibri" w:eastAsia="Calibri" w:hAnsi="Calibri" w:cs="Arial"/>
          <w:rtl/>
        </w:rPr>
      </w:pPr>
    </w:p>
    <w:p w14:paraId="6684D421" w14:textId="77777777" w:rsidR="001D49D4" w:rsidRPr="001D49D4" w:rsidRDefault="001D49D4" w:rsidP="0004348D">
      <w:pPr>
        <w:keepNext/>
        <w:keepLines/>
        <w:spacing w:before="360" w:after="240"/>
        <w:outlineLvl w:val="1"/>
        <w:rPr>
          <w:rFonts w:ascii="Cambria" w:eastAsia="Times New Roman" w:hAnsi="Cambria" w:cs="Arial"/>
          <w:bCs/>
          <w:color w:val="548DD4" w:themeColor="text2" w:themeTint="99"/>
          <w:sz w:val="26"/>
          <w:szCs w:val="26"/>
          <w:rtl/>
        </w:rPr>
      </w:pPr>
      <w:bookmarkStart w:id="653" w:name="_Toc24884076"/>
      <w:r w:rsidRPr="001D49D4">
        <w:rPr>
          <w:rFonts w:ascii="Cambria" w:eastAsia="Times New Roman" w:hAnsi="Cambria" w:cs="Arial"/>
          <w:bCs/>
          <w:color w:val="548DD4" w:themeColor="text2" w:themeTint="99"/>
          <w:sz w:val="26"/>
          <w:szCs w:val="26"/>
          <w:rtl/>
        </w:rPr>
        <w:t>סעיף ז: המוצא שטר חוב - המשך.</w:t>
      </w:r>
      <w:bookmarkEnd w:id="653"/>
    </w:p>
    <w:p w14:paraId="10CAE855"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rtl/>
        </w:rPr>
        <w:t>עיין במקורות בסעיף הקודם.</w:t>
      </w:r>
    </w:p>
    <w:p w14:paraId="533FBF66" w14:textId="77777777" w:rsidR="001D49D4" w:rsidRPr="001D49D4" w:rsidRDefault="001D49D4" w:rsidP="0004348D">
      <w:pPr>
        <w:spacing w:before="360" w:after="240"/>
        <w:rPr>
          <w:rFonts w:ascii="Arial" w:eastAsia="Calibri" w:hAnsi="Arial" w:cs="Arial"/>
          <w:b/>
          <w:bCs/>
          <w:color w:val="000000"/>
          <w:sz w:val="28"/>
          <w:szCs w:val="28"/>
          <w:u w:val="single"/>
          <w:rtl/>
        </w:rPr>
      </w:pPr>
      <w:r w:rsidRPr="001D49D4">
        <w:rPr>
          <w:rFonts w:ascii="Arial" w:eastAsia="Calibri" w:hAnsi="Arial" w:cs="Arial"/>
          <w:b/>
          <w:bCs/>
          <w:color w:val="000000"/>
          <w:sz w:val="28"/>
          <w:szCs w:val="28"/>
          <w:u w:val="single"/>
          <w:rtl/>
        </w:rPr>
        <w:t>שו"ע:</w:t>
      </w:r>
    </w:p>
    <w:p w14:paraId="4F9E8093"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rtl/>
        </w:rPr>
        <w:t>וכן אם יש ללוה בני חורין שמספיקין לשעבוד החוב, אם חייב מודה, יחזיר</w:t>
      </w:r>
      <w:r w:rsidRPr="001D49D4">
        <w:rPr>
          <w:rFonts w:ascii="Calibri" w:eastAsia="Calibri" w:hAnsi="Calibri" w:cs="Arial"/>
          <w:vertAlign w:val="superscript"/>
          <w:rtl/>
        </w:rPr>
        <w:footnoteReference w:id="4805"/>
      </w:r>
      <w:r w:rsidRPr="001D49D4">
        <w:rPr>
          <w:rFonts w:ascii="Calibri" w:eastAsia="Calibri" w:hAnsi="Calibri" w:cs="Arial"/>
          <w:rtl/>
        </w:rPr>
        <w:t>. וכן אם נמצא ביום שנכתב</w:t>
      </w:r>
      <w:r w:rsidRPr="001D49D4">
        <w:rPr>
          <w:rFonts w:ascii="Calibri" w:eastAsia="Calibri" w:hAnsi="Calibri" w:cs="Arial"/>
          <w:vertAlign w:val="superscript"/>
          <w:rtl/>
        </w:rPr>
        <w:footnoteReference w:id="4806"/>
      </w:r>
      <w:r w:rsidRPr="001D49D4">
        <w:rPr>
          <w:rFonts w:ascii="Calibri" w:eastAsia="Calibri" w:hAnsi="Calibri" w:cs="Arial"/>
          <w:rtl/>
        </w:rPr>
        <w:t>, וכתוב בו הנפק</w:t>
      </w:r>
      <w:r w:rsidRPr="001D49D4">
        <w:rPr>
          <w:rFonts w:ascii="Calibri" w:eastAsia="Calibri" w:hAnsi="Calibri" w:cs="Arial"/>
          <w:vertAlign w:val="superscript"/>
          <w:rtl/>
        </w:rPr>
        <w:footnoteReference w:id="4807"/>
      </w:r>
      <w:r w:rsidRPr="001D49D4">
        <w:rPr>
          <w:rFonts w:ascii="Calibri" w:eastAsia="Calibri" w:hAnsi="Calibri" w:cs="Arial"/>
          <w:rtl/>
        </w:rPr>
        <w:t>, אם חייב מודה, יחזיר. ויש מי שאומר</w:t>
      </w:r>
      <w:r w:rsidRPr="001D49D4">
        <w:rPr>
          <w:rFonts w:ascii="Calibri" w:eastAsia="Calibri" w:hAnsi="Calibri" w:cs="Arial"/>
          <w:vertAlign w:val="superscript"/>
          <w:rtl/>
        </w:rPr>
        <w:footnoteReference w:id="4808"/>
      </w:r>
      <w:r w:rsidRPr="001D49D4">
        <w:rPr>
          <w:rFonts w:ascii="Calibri" w:eastAsia="Calibri" w:hAnsi="Calibri" w:cs="Arial"/>
          <w:rtl/>
        </w:rPr>
        <w:t xml:space="preserve"> דהא דאמרינן שאם נמצא ביום שנכתב יחזיר, הני מילי דליתיה ללוה קמן, אבל איתיה קמן ואמר 'פרעתיו וממני נפל', לא יחזיר. </w:t>
      </w:r>
    </w:p>
    <w:p w14:paraId="0EB75D0C" w14:textId="77777777" w:rsidR="001D49D4" w:rsidRPr="001D49D4" w:rsidRDefault="001D49D4" w:rsidP="0004348D">
      <w:pPr>
        <w:spacing w:before="360" w:after="240"/>
        <w:rPr>
          <w:rFonts w:ascii="Calibri" w:eastAsia="Calibri" w:hAnsi="Calibri" w:cs="Arial"/>
          <w:rtl/>
        </w:rPr>
      </w:pPr>
    </w:p>
    <w:p w14:paraId="2B796070" w14:textId="77777777" w:rsidR="001D49D4" w:rsidRPr="001D49D4" w:rsidRDefault="001D49D4" w:rsidP="0004348D">
      <w:pPr>
        <w:keepNext/>
        <w:keepLines/>
        <w:spacing w:before="360" w:after="240"/>
        <w:outlineLvl w:val="1"/>
        <w:rPr>
          <w:rFonts w:ascii="Cambria" w:eastAsia="Times New Roman" w:hAnsi="Cambria" w:cs="Arial"/>
          <w:bCs/>
          <w:color w:val="548DD4" w:themeColor="text2" w:themeTint="99"/>
          <w:sz w:val="26"/>
          <w:szCs w:val="26"/>
          <w:rtl/>
        </w:rPr>
      </w:pPr>
      <w:bookmarkStart w:id="654" w:name="_Toc24884077"/>
      <w:r w:rsidRPr="001D49D4">
        <w:rPr>
          <w:rFonts w:ascii="Cambria" w:eastAsia="Times New Roman" w:hAnsi="Cambria" w:cs="Arial"/>
          <w:bCs/>
          <w:color w:val="548DD4" w:themeColor="text2" w:themeTint="99"/>
          <w:sz w:val="26"/>
          <w:szCs w:val="26"/>
          <w:rtl/>
        </w:rPr>
        <w:t>סעיף ח: שטר חוב שנמצא בין שטרות קרועים.</w:t>
      </w:r>
      <w:bookmarkEnd w:id="654"/>
    </w:p>
    <w:p w14:paraId="6A7582AD"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b/>
          <w:bCs/>
          <w:rtl/>
        </w:rPr>
        <w:t xml:space="preserve">בבא מציעא </w:t>
      </w:r>
      <w:r w:rsidRPr="001D49D4">
        <w:rPr>
          <w:rFonts w:ascii="Calibri" w:eastAsia="Calibri" w:hAnsi="Calibri" w:cs="Arial"/>
          <w:b/>
          <w:bCs/>
          <w:sz w:val="16"/>
          <w:szCs w:val="16"/>
          <w:rtl/>
        </w:rPr>
        <w:t>(ספ"ק)</w:t>
      </w:r>
      <w:r w:rsidRPr="001D49D4">
        <w:rPr>
          <w:rFonts w:ascii="Calibri" w:eastAsia="Calibri" w:hAnsi="Calibri" w:cs="Arial"/>
          <w:b/>
          <w:bCs/>
          <w:rtl/>
        </w:rPr>
        <w:t xml:space="preserve"> כ</w:t>
      </w:r>
      <w:r w:rsidRPr="001D49D4">
        <w:rPr>
          <w:rFonts w:ascii="Calibri" w:eastAsia="Calibri" w:hAnsi="Calibri" w:cs="Arial"/>
          <w:b/>
          <w:bCs/>
          <w:vertAlign w:val="superscript"/>
          <w:rtl/>
        </w:rPr>
        <w:footnoteReference w:id="4809"/>
      </w:r>
      <w:r w:rsidRPr="001D49D4">
        <w:rPr>
          <w:rFonts w:ascii="Calibri" w:eastAsia="Calibri" w:hAnsi="Calibri" w:cs="Arial"/>
          <w:b/>
          <w:bCs/>
          <w:rtl/>
        </w:rPr>
        <w:t xml:space="preserve"> ע"א:</w:t>
      </w:r>
      <w:r w:rsidRPr="001D49D4">
        <w:rPr>
          <w:rFonts w:ascii="Calibri" w:eastAsia="Calibri" w:hAnsi="Calibri" w:cs="Arial"/>
          <w:rtl/>
        </w:rPr>
        <w:t xml:space="preserve"> </w:t>
      </w:r>
      <w:r w:rsidRPr="001D49D4">
        <w:rPr>
          <w:rFonts w:ascii="Calibri" w:eastAsia="Calibri" w:hAnsi="Calibri" w:cs="Arial"/>
          <w:u w:val="double"/>
          <w:rtl/>
        </w:rPr>
        <w:t>משנה</w:t>
      </w:r>
      <w:r w:rsidRPr="001D49D4">
        <w:rPr>
          <w:rFonts w:ascii="Calibri" w:eastAsia="Calibri" w:hAnsi="Calibri" w:cs="Arial"/>
          <w:rtl/>
        </w:rPr>
        <w:t xml:space="preserve">: מצא שטר בין שטרותיו ואינו יודע מה טיבו - יהא מונח עד שיבוא אליהו. אם יש עמהן סמפונות - יעשה מה שבסמפונות.     </w:t>
      </w:r>
      <w:r w:rsidRPr="001D49D4">
        <w:rPr>
          <w:rFonts w:ascii="Calibri" w:eastAsia="Calibri" w:hAnsi="Calibri" w:cs="Arial"/>
          <w:u w:val="double"/>
          <w:rtl/>
        </w:rPr>
        <w:t>גמרא</w:t>
      </w:r>
      <w:r w:rsidRPr="001D49D4">
        <w:rPr>
          <w:rFonts w:ascii="Calibri" w:eastAsia="Calibri" w:hAnsi="Calibri" w:cs="Arial"/>
          <w:sz w:val="14"/>
          <w:szCs w:val="14"/>
          <w:u w:val="double"/>
          <w:rtl/>
        </w:rPr>
        <w:t xml:space="preserve"> (כ:)</w:t>
      </w:r>
      <w:r w:rsidRPr="001D49D4">
        <w:rPr>
          <w:rFonts w:ascii="Calibri" w:eastAsia="Calibri" w:hAnsi="Calibri" w:cs="Arial"/>
          <w:u w:val="double"/>
          <w:rtl/>
        </w:rPr>
        <w:t>:</w:t>
      </w:r>
      <w:r w:rsidRPr="001D49D4">
        <w:rPr>
          <w:rFonts w:ascii="Calibri" w:eastAsia="Calibri" w:hAnsi="Calibri" w:cs="Arial"/>
          <w:rtl/>
        </w:rPr>
        <w:t xml:space="preserve"> אם יש עמהן סמפונות יעשה מה שבסמפונות. </w:t>
      </w:r>
      <w:r w:rsidRPr="001D49D4">
        <w:rPr>
          <w:rFonts w:ascii="Calibri" w:eastAsia="Calibri" w:hAnsi="Calibri" w:cs="Arial"/>
          <w:u w:val="single"/>
          <w:rtl/>
        </w:rPr>
        <w:t>אמר רב ירמיה בר אבא אמר רב</w:t>
      </w:r>
      <w:r w:rsidRPr="001D49D4">
        <w:rPr>
          <w:rFonts w:ascii="Calibri" w:eastAsia="Calibri" w:hAnsi="Calibri" w:cs="Arial"/>
          <w:rtl/>
        </w:rPr>
        <w:t>: סמפון היוצא מתחת ידי מלוה, אף על פי שכתוב בכתב ידו - אינו אלא כמשחק, ופסול. לא מבעיא כתוב בכתב יד סופר, דאיכא למימר ספרא אתרמי ליה וכתב, אלא אפילו כתוב בכתב ידו - פסול. סבר: דלמא מתרמי ואתי בין השמשות, וקא פרע לי, דאי לא יהיבנא ליה לא יהיב לי זוזי, אכתוב אנא, דכי אייתי לי זוזי - אתן ליה. תנן: אם יש עמהן סמפונות - יעשה מה שבסמפונות! כדאמר רב ספרא: שנמצא בין שטרות קרועין, הכא נמי: שמצאו בין שטרות קרועין. תא שמע: נמצא לאחד בין שטרותיו שטרו של יוסף בן שמעון פרוע - שטרות שניהם פרועין! כדאמר רב ספרא: שנמצא בין שטרות קרועין, הכא נמי - שנמצא בין שטרות קרועין.</w:t>
      </w:r>
    </w:p>
    <w:p w14:paraId="39230675" w14:textId="77777777" w:rsidR="001D49D4" w:rsidRPr="001D49D4" w:rsidRDefault="001D49D4" w:rsidP="0004348D">
      <w:pPr>
        <w:spacing w:before="360" w:after="240"/>
        <w:rPr>
          <w:rFonts w:ascii="Calibri" w:eastAsia="Calibri" w:hAnsi="Calibri" w:cs="Arial"/>
          <w:u w:val="single"/>
          <w:rtl/>
        </w:rPr>
      </w:pPr>
      <w:r w:rsidRPr="001D49D4">
        <w:rPr>
          <w:rFonts w:ascii="Calibri" w:eastAsia="Calibri" w:hAnsi="Calibri" w:cs="Arial"/>
          <w:u w:val="single"/>
          <w:rtl/>
        </w:rPr>
        <w:t>שטר חוב שנמצא בין שטרות קרועים:</w:t>
      </w:r>
    </w:p>
    <w:p w14:paraId="0FBB87A8" w14:textId="77777777" w:rsidR="001D49D4" w:rsidRPr="001D49D4" w:rsidRDefault="001D49D4" w:rsidP="0004348D">
      <w:pPr>
        <w:numPr>
          <w:ilvl w:val="0"/>
          <w:numId w:val="328"/>
        </w:numPr>
        <w:spacing w:before="360" w:after="240"/>
        <w:contextualSpacing/>
        <w:rPr>
          <w:rFonts w:ascii="Calibri" w:eastAsia="Calibri" w:hAnsi="Calibri" w:cs="Arial"/>
          <w:rtl/>
        </w:rPr>
      </w:pPr>
      <w:r w:rsidRPr="001D49D4">
        <w:rPr>
          <w:rFonts w:ascii="Calibri" w:eastAsia="Calibri" w:hAnsi="Calibri" w:cs="Arial"/>
          <w:rtl/>
        </w:rPr>
        <w:t xml:space="preserve">רמב"ם </w:t>
      </w:r>
      <w:r w:rsidRPr="001D49D4">
        <w:rPr>
          <w:rFonts w:ascii="Calibri" w:eastAsia="Calibri" w:hAnsi="Calibri" w:cs="Arial"/>
          <w:sz w:val="16"/>
          <w:szCs w:val="16"/>
          <w:rtl/>
        </w:rPr>
        <w:t xml:space="preserve">(הל' גזילה פי"ח ה"ה) </w:t>
      </w:r>
      <w:r w:rsidRPr="001D49D4">
        <w:rPr>
          <w:rFonts w:ascii="Calibri" w:eastAsia="Calibri" w:hAnsi="Calibri" w:cs="Arial"/>
          <w:rtl/>
        </w:rPr>
        <w:t>וטור- מצא בשוק שטרות קרועין ושטר חוב ביניהן - לא יחזיר. ואם יש עליו שובר אפילו בלא עדים - יחזיר השטר ללוה, שאילו לא היה פרוע לא השליכוהו בין שטרותיו הקרועין, והרי שובר נמצא עמו שאומר שהוא פרוע</w:t>
      </w:r>
      <w:r w:rsidRPr="001D49D4">
        <w:rPr>
          <w:rFonts w:ascii="Calibri" w:eastAsia="Calibri" w:hAnsi="Calibri" w:cs="Arial"/>
          <w:sz w:val="16"/>
          <w:szCs w:val="16"/>
          <w:rtl/>
        </w:rPr>
        <w:t xml:space="preserve"> (ל' הטור)</w:t>
      </w:r>
      <w:r w:rsidRPr="001D49D4">
        <w:rPr>
          <w:rFonts w:ascii="Calibri" w:eastAsia="Calibri" w:hAnsi="Calibri" w:cs="Arial"/>
          <w:rtl/>
        </w:rPr>
        <w:t>.</w:t>
      </w:r>
      <w:r w:rsidRPr="001D49D4">
        <w:rPr>
          <w:rFonts w:ascii="Calibri" w:eastAsia="Calibri" w:hAnsi="Calibri" w:cs="Arial"/>
          <w:color w:val="E36C0A" w:themeColor="accent6" w:themeShade="BF"/>
          <w:rtl/>
        </w:rPr>
        <w:t xml:space="preserve"> (וכ"פ בשו"ע)</w:t>
      </w:r>
    </w:p>
    <w:p w14:paraId="284FE0A5" w14:textId="77777777" w:rsidR="001D49D4" w:rsidRPr="001D49D4" w:rsidRDefault="001D49D4" w:rsidP="0004348D">
      <w:pPr>
        <w:spacing w:before="360" w:after="240"/>
        <w:rPr>
          <w:rFonts w:ascii="Arial" w:eastAsia="Calibri" w:hAnsi="Arial" w:cs="Arial"/>
          <w:b/>
          <w:bCs/>
          <w:color w:val="000000"/>
          <w:sz w:val="28"/>
          <w:szCs w:val="28"/>
          <w:u w:val="single"/>
          <w:rtl/>
        </w:rPr>
      </w:pPr>
      <w:r w:rsidRPr="001D49D4">
        <w:rPr>
          <w:rFonts w:ascii="Arial" w:eastAsia="Calibri" w:hAnsi="Arial" w:cs="Arial"/>
          <w:b/>
          <w:bCs/>
          <w:color w:val="000000"/>
          <w:sz w:val="28"/>
          <w:szCs w:val="28"/>
          <w:u w:val="single"/>
          <w:rtl/>
        </w:rPr>
        <w:t>שו"ע:</w:t>
      </w:r>
    </w:p>
    <w:p w14:paraId="1B69DEA7"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rtl/>
        </w:rPr>
        <w:t>מצא בשוק שטרות קרועים</w:t>
      </w:r>
      <w:r w:rsidRPr="001D49D4">
        <w:rPr>
          <w:rFonts w:ascii="Calibri" w:eastAsia="Calibri" w:hAnsi="Calibri" w:cs="Arial"/>
          <w:vertAlign w:val="superscript"/>
          <w:rtl/>
        </w:rPr>
        <w:footnoteReference w:id="4810"/>
      </w:r>
      <w:r w:rsidRPr="001D49D4">
        <w:rPr>
          <w:rFonts w:ascii="Calibri" w:eastAsia="Calibri" w:hAnsi="Calibri" w:cs="Arial"/>
          <w:rtl/>
        </w:rPr>
        <w:t xml:space="preserve"> ושטר חוב ביניהם, לא יחזיר</w:t>
      </w:r>
      <w:r w:rsidRPr="001D49D4">
        <w:rPr>
          <w:rFonts w:ascii="Calibri" w:eastAsia="Calibri" w:hAnsi="Calibri" w:cs="Arial"/>
          <w:vertAlign w:val="superscript"/>
          <w:rtl/>
        </w:rPr>
        <w:footnoteReference w:id="4811"/>
      </w:r>
      <w:r w:rsidRPr="001D49D4">
        <w:rPr>
          <w:rFonts w:ascii="Calibri" w:eastAsia="Calibri" w:hAnsi="Calibri" w:cs="Arial"/>
          <w:rtl/>
        </w:rPr>
        <w:t>. ואם יש עמהם שובר אפילו בלא עדים</w:t>
      </w:r>
      <w:r w:rsidRPr="001D49D4">
        <w:rPr>
          <w:rFonts w:ascii="Calibri" w:eastAsia="Calibri" w:hAnsi="Calibri" w:cs="Arial"/>
          <w:vertAlign w:val="superscript"/>
          <w:rtl/>
        </w:rPr>
        <w:footnoteReference w:id="4812"/>
      </w:r>
      <w:r w:rsidRPr="001D49D4">
        <w:rPr>
          <w:rFonts w:ascii="Calibri" w:eastAsia="Calibri" w:hAnsi="Calibri" w:cs="Arial"/>
          <w:rtl/>
        </w:rPr>
        <w:t>, יחזיר השטר ללוה.</w:t>
      </w:r>
    </w:p>
    <w:p w14:paraId="478F75CC" w14:textId="77777777" w:rsidR="001D49D4" w:rsidRPr="001D49D4" w:rsidRDefault="001D49D4" w:rsidP="0004348D">
      <w:pPr>
        <w:spacing w:before="360" w:after="240"/>
        <w:rPr>
          <w:rFonts w:ascii="Calibri" w:eastAsia="Calibri" w:hAnsi="Calibri" w:cs="Arial"/>
          <w:rtl/>
        </w:rPr>
      </w:pPr>
    </w:p>
    <w:p w14:paraId="65A6F7BC" w14:textId="77777777" w:rsidR="001D49D4" w:rsidRPr="001D49D4" w:rsidRDefault="001D49D4" w:rsidP="0004348D">
      <w:pPr>
        <w:keepNext/>
        <w:keepLines/>
        <w:spacing w:before="360" w:after="240"/>
        <w:outlineLvl w:val="1"/>
        <w:rPr>
          <w:rFonts w:ascii="Cambria" w:eastAsia="Times New Roman" w:hAnsi="Cambria" w:cs="Arial"/>
          <w:bCs/>
          <w:color w:val="548DD4" w:themeColor="text2" w:themeTint="99"/>
          <w:sz w:val="26"/>
          <w:szCs w:val="26"/>
          <w:rtl/>
        </w:rPr>
      </w:pPr>
      <w:bookmarkStart w:id="655" w:name="_Toc24884078"/>
      <w:r w:rsidRPr="001D49D4">
        <w:rPr>
          <w:rFonts w:ascii="Cambria" w:eastAsia="Times New Roman" w:hAnsi="Cambria" w:cs="Arial"/>
          <w:bCs/>
          <w:color w:val="548DD4" w:themeColor="text2" w:themeTint="99"/>
          <w:sz w:val="26"/>
          <w:szCs w:val="26"/>
          <w:rtl/>
        </w:rPr>
        <w:t>סעיף ט: המוצא שטר בכלי.</w:t>
      </w:r>
      <w:bookmarkEnd w:id="655"/>
    </w:p>
    <w:p w14:paraId="517AE553"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b/>
          <w:bCs/>
          <w:rtl/>
        </w:rPr>
        <w:t xml:space="preserve">בבא מציעא </w:t>
      </w:r>
      <w:r w:rsidRPr="001D49D4">
        <w:rPr>
          <w:rFonts w:ascii="Calibri" w:eastAsia="Calibri" w:hAnsi="Calibri" w:cs="Arial"/>
          <w:b/>
          <w:bCs/>
          <w:sz w:val="16"/>
          <w:szCs w:val="16"/>
          <w:rtl/>
        </w:rPr>
        <w:t>(ספ"ק)</w:t>
      </w:r>
      <w:r w:rsidRPr="001D49D4">
        <w:rPr>
          <w:rFonts w:ascii="Calibri" w:eastAsia="Calibri" w:hAnsi="Calibri" w:cs="Arial"/>
          <w:b/>
          <w:bCs/>
          <w:rtl/>
        </w:rPr>
        <w:t xml:space="preserve"> כ</w:t>
      </w:r>
      <w:r w:rsidRPr="001D49D4">
        <w:rPr>
          <w:rFonts w:ascii="Calibri" w:eastAsia="Calibri" w:hAnsi="Calibri" w:cs="Arial"/>
          <w:b/>
          <w:bCs/>
          <w:vertAlign w:val="superscript"/>
          <w:rtl/>
        </w:rPr>
        <w:footnoteReference w:id="4813"/>
      </w:r>
      <w:r w:rsidRPr="001D49D4">
        <w:rPr>
          <w:rFonts w:ascii="Calibri" w:eastAsia="Calibri" w:hAnsi="Calibri" w:cs="Arial"/>
          <w:b/>
          <w:bCs/>
          <w:rtl/>
        </w:rPr>
        <w:t xml:space="preserve"> ע"א:</w:t>
      </w:r>
      <w:r w:rsidRPr="001D49D4">
        <w:rPr>
          <w:rFonts w:ascii="Calibri" w:eastAsia="Calibri" w:hAnsi="Calibri" w:cs="Arial"/>
          <w:rtl/>
        </w:rPr>
        <w:t xml:space="preserve"> </w:t>
      </w:r>
      <w:r w:rsidRPr="001D49D4">
        <w:rPr>
          <w:rFonts w:ascii="Calibri" w:eastAsia="Calibri" w:hAnsi="Calibri" w:cs="Arial"/>
          <w:u w:val="double"/>
          <w:rtl/>
        </w:rPr>
        <w:t>משנה</w:t>
      </w:r>
      <w:r w:rsidRPr="001D49D4">
        <w:rPr>
          <w:rFonts w:ascii="Calibri" w:eastAsia="Calibri" w:hAnsi="Calibri" w:cs="Arial"/>
          <w:rtl/>
        </w:rPr>
        <w:t>:... מצא בחפיסה או בדלוסקמא</w:t>
      </w:r>
      <w:r w:rsidRPr="001D49D4">
        <w:rPr>
          <w:rFonts w:ascii="Calibri" w:eastAsia="Calibri" w:hAnsi="Calibri" w:cs="Arial"/>
          <w:vertAlign w:val="superscript"/>
          <w:rtl/>
        </w:rPr>
        <w:footnoteReference w:id="4814"/>
      </w:r>
      <w:r w:rsidRPr="001D49D4">
        <w:rPr>
          <w:rFonts w:ascii="Calibri" w:eastAsia="Calibri" w:hAnsi="Calibri" w:cs="Arial"/>
          <w:rtl/>
        </w:rPr>
        <w:t>, תכריך של שטרות או אגודה של שטרות - הרי זה יחזיר</w:t>
      </w:r>
      <w:r w:rsidRPr="001D49D4">
        <w:rPr>
          <w:rFonts w:ascii="Calibri" w:eastAsia="Calibri" w:hAnsi="Calibri" w:cs="Arial"/>
          <w:vertAlign w:val="superscript"/>
          <w:rtl/>
        </w:rPr>
        <w:footnoteReference w:id="4815"/>
      </w:r>
      <w:r w:rsidRPr="001D49D4">
        <w:rPr>
          <w:rFonts w:ascii="Calibri" w:eastAsia="Calibri" w:hAnsi="Calibri" w:cs="Arial"/>
          <w:rtl/>
        </w:rPr>
        <w:t xml:space="preserve">. </w:t>
      </w:r>
      <w:r w:rsidRPr="001D49D4">
        <w:rPr>
          <w:rFonts w:ascii="Calibri" w:eastAsia="Calibri" w:hAnsi="Calibri" w:cs="Arial"/>
          <w:sz w:val="16"/>
          <w:szCs w:val="16"/>
          <w:rtl/>
        </w:rPr>
        <w:t>(וכתב הרא"ש (סי' נא) דלא איתרע בנפילה זו כיון שעל ידי הסימן מתברר אי מלוה נפל אי ממלוה נפל, ב"י)</w:t>
      </w:r>
    </w:p>
    <w:p w14:paraId="72BC8EEB" w14:textId="77777777" w:rsidR="001D49D4" w:rsidRPr="001D49D4" w:rsidRDefault="001D49D4" w:rsidP="0004348D">
      <w:pPr>
        <w:spacing w:before="360" w:after="240"/>
        <w:rPr>
          <w:rFonts w:ascii="Calibri" w:eastAsia="Calibri" w:hAnsi="Calibri" w:cs="Arial"/>
          <w:u w:val="single"/>
          <w:rtl/>
        </w:rPr>
      </w:pPr>
      <w:r w:rsidRPr="001D49D4">
        <w:rPr>
          <w:rFonts w:ascii="Calibri" w:eastAsia="Calibri" w:hAnsi="Calibri" w:cs="Arial"/>
          <w:u w:val="single"/>
          <w:rtl/>
        </w:rPr>
        <w:t>המוצא שטר בכלי:</w:t>
      </w:r>
    </w:p>
    <w:p w14:paraId="46C3D18B" w14:textId="77777777" w:rsidR="001D49D4" w:rsidRPr="001D49D4" w:rsidRDefault="001D49D4" w:rsidP="0004348D">
      <w:pPr>
        <w:numPr>
          <w:ilvl w:val="0"/>
          <w:numId w:val="328"/>
        </w:numPr>
        <w:spacing w:before="360" w:after="240"/>
        <w:contextualSpacing/>
        <w:rPr>
          <w:rFonts w:ascii="Calibri" w:eastAsia="Calibri" w:hAnsi="Calibri" w:cs="Arial"/>
          <w:rtl/>
        </w:rPr>
      </w:pPr>
      <w:r w:rsidRPr="001D49D4">
        <w:rPr>
          <w:rFonts w:ascii="Calibri" w:eastAsia="Calibri" w:hAnsi="Calibri" w:cs="Arial"/>
          <w:rtl/>
        </w:rPr>
        <w:t xml:space="preserve">טור- המוצא שטר בכלי - יתננו למי שנותן סימן </w:t>
      </w:r>
      <w:r w:rsidRPr="001D49D4">
        <w:rPr>
          <w:rFonts w:ascii="Calibri" w:eastAsia="Calibri" w:hAnsi="Calibri" w:cs="Arial"/>
          <w:b/>
          <w:bCs/>
          <w:rtl/>
        </w:rPr>
        <w:t>בכלי</w:t>
      </w:r>
      <w:r w:rsidRPr="001D49D4">
        <w:rPr>
          <w:rFonts w:ascii="Calibri" w:eastAsia="Calibri" w:hAnsi="Calibri" w:cs="Arial"/>
          <w:vertAlign w:val="superscript"/>
          <w:rtl/>
        </w:rPr>
        <w:footnoteReference w:id="4816"/>
      </w:r>
      <w:r w:rsidRPr="001D49D4">
        <w:rPr>
          <w:rFonts w:ascii="Calibri" w:eastAsia="Calibri" w:hAnsi="Calibri" w:cs="Arial"/>
          <w:rtl/>
        </w:rPr>
        <w:t>. ואע"ג שאין מועיל סימן בגוף השטר לפי שהיה השטר ביד הלוה וביד המלוה ושניהם מכירין בו, אבל כשנותן סימן בכלי הוכחה גמורה הוא שהוא שלו. ואפילו אם אין נותן סימן בכלי אלא כשזה מכריז 'שטר מצאתי' זה אומר 'מצאתו בכלי פלוני' - אם אין דרך העולם ליתן שטרות באותו הכלי הוי סימן.</w:t>
      </w:r>
    </w:p>
    <w:p w14:paraId="614AAB38" w14:textId="77777777" w:rsidR="001D49D4" w:rsidRPr="001D49D4" w:rsidRDefault="001D49D4" w:rsidP="0004348D">
      <w:pPr>
        <w:spacing w:before="360" w:after="240"/>
        <w:rPr>
          <w:rFonts w:ascii="Arial" w:eastAsia="Calibri" w:hAnsi="Arial" w:cs="Arial"/>
          <w:b/>
          <w:bCs/>
          <w:color w:val="000000"/>
          <w:sz w:val="28"/>
          <w:szCs w:val="28"/>
          <w:u w:val="single"/>
          <w:rtl/>
        </w:rPr>
      </w:pPr>
      <w:r w:rsidRPr="001D49D4">
        <w:rPr>
          <w:rFonts w:ascii="Arial" w:eastAsia="Calibri" w:hAnsi="Arial" w:cs="Arial"/>
          <w:b/>
          <w:bCs/>
          <w:color w:val="000000"/>
          <w:sz w:val="28"/>
          <w:szCs w:val="28"/>
          <w:u w:val="single"/>
          <w:rtl/>
        </w:rPr>
        <w:t>שו"ע:</w:t>
      </w:r>
    </w:p>
    <w:p w14:paraId="08976880"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rtl/>
        </w:rPr>
        <w:t>המוצא שטר בכלי, יתננו למי שנותן סימן בכלי</w:t>
      </w:r>
      <w:r w:rsidRPr="001D49D4">
        <w:rPr>
          <w:rFonts w:ascii="Calibri" w:eastAsia="Calibri" w:hAnsi="Calibri" w:cs="Arial"/>
          <w:vertAlign w:val="superscript"/>
          <w:rtl/>
        </w:rPr>
        <w:footnoteReference w:id="4817"/>
      </w:r>
      <w:r w:rsidRPr="001D49D4">
        <w:rPr>
          <w:rFonts w:ascii="Calibri" w:eastAsia="Calibri" w:hAnsi="Calibri" w:cs="Arial"/>
          <w:rtl/>
        </w:rPr>
        <w:t xml:space="preserve">. ואפילו אינו נותן סימן בכלי, אלא כשזה מכריז 'שטר מצאתי', וזה אומר 'מצאת בכלי פלוני', אם אין דרך העולם ליתן שטרות באותו הכלי, הוה סימן. </w:t>
      </w:r>
    </w:p>
    <w:p w14:paraId="3390B238" w14:textId="77777777" w:rsidR="001D49D4" w:rsidRPr="001D49D4" w:rsidRDefault="001D49D4" w:rsidP="0004348D">
      <w:pPr>
        <w:spacing w:before="360" w:after="240"/>
        <w:rPr>
          <w:rFonts w:ascii="Calibri" w:eastAsia="Calibri" w:hAnsi="Calibri" w:cs="Arial"/>
          <w:rtl/>
        </w:rPr>
      </w:pPr>
    </w:p>
    <w:p w14:paraId="5111DF44" w14:textId="77777777" w:rsidR="001D49D4" w:rsidRPr="001D49D4" w:rsidRDefault="001D49D4" w:rsidP="0004348D">
      <w:pPr>
        <w:keepNext/>
        <w:keepLines/>
        <w:spacing w:before="360" w:after="240"/>
        <w:outlineLvl w:val="1"/>
        <w:rPr>
          <w:rFonts w:ascii="Cambria" w:eastAsia="Times New Roman" w:hAnsi="Cambria" w:cs="Arial"/>
          <w:bCs/>
          <w:color w:val="548DD4" w:themeColor="text2" w:themeTint="99"/>
          <w:sz w:val="26"/>
          <w:szCs w:val="26"/>
          <w:rtl/>
        </w:rPr>
      </w:pPr>
      <w:bookmarkStart w:id="656" w:name="_Toc24884079"/>
      <w:r w:rsidRPr="001D49D4">
        <w:rPr>
          <w:rFonts w:ascii="Cambria" w:eastAsia="Times New Roman" w:hAnsi="Cambria" w:cs="Arial"/>
          <w:bCs/>
          <w:color w:val="548DD4" w:themeColor="text2" w:themeTint="99"/>
          <w:sz w:val="26"/>
          <w:szCs w:val="26"/>
          <w:rtl/>
        </w:rPr>
        <w:t>סעיף י: המוצא ג' שטרות או יותר כרוכים זה על זה.</w:t>
      </w:r>
      <w:bookmarkEnd w:id="656"/>
    </w:p>
    <w:p w14:paraId="35AF1423"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b/>
          <w:bCs/>
          <w:rtl/>
        </w:rPr>
        <w:t xml:space="preserve">בבא מציעא </w:t>
      </w:r>
      <w:r w:rsidRPr="001D49D4">
        <w:rPr>
          <w:rFonts w:ascii="Calibri" w:eastAsia="Calibri" w:hAnsi="Calibri" w:cs="Arial"/>
          <w:b/>
          <w:bCs/>
          <w:sz w:val="16"/>
          <w:szCs w:val="16"/>
          <w:rtl/>
        </w:rPr>
        <w:t>(ספ"ק)</w:t>
      </w:r>
      <w:r w:rsidRPr="001D49D4">
        <w:rPr>
          <w:rFonts w:ascii="Calibri" w:eastAsia="Calibri" w:hAnsi="Calibri" w:cs="Arial"/>
          <w:b/>
          <w:bCs/>
          <w:rtl/>
        </w:rPr>
        <w:t xml:space="preserve"> כ</w:t>
      </w:r>
      <w:r w:rsidRPr="001D49D4">
        <w:rPr>
          <w:rFonts w:ascii="Calibri" w:eastAsia="Calibri" w:hAnsi="Calibri" w:cs="Arial"/>
          <w:b/>
          <w:bCs/>
          <w:vertAlign w:val="superscript"/>
          <w:rtl/>
        </w:rPr>
        <w:footnoteReference w:id="4818"/>
      </w:r>
      <w:r w:rsidRPr="001D49D4">
        <w:rPr>
          <w:rFonts w:ascii="Calibri" w:eastAsia="Calibri" w:hAnsi="Calibri" w:cs="Arial"/>
          <w:b/>
          <w:bCs/>
          <w:rtl/>
        </w:rPr>
        <w:t xml:space="preserve"> ע"א:</w:t>
      </w:r>
      <w:r w:rsidRPr="001D49D4">
        <w:rPr>
          <w:rFonts w:ascii="Calibri" w:eastAsia="Calibri" w:hAnsi="Calibri" w:cs="Arial"/>
          <w:rtl/>
        </w:rPr>
        <w:t xml:space="preserve"> </w:t>
      </w:r>
      <w:r w:rsidRPr="001D49D4">
        <w:rPr>
          <w:rFonts w:ascii="Calibri" w:eastAsia="Calibri" w:hAnsi="Calibri" w:cs="Arial"/>
          <w:u w:val="double"/>
          <w:rtl/>
        </w:rPr>
        <w:t>משנה</w:t>
      </w:r>
      <w:r w:rsidRPr="001D49D4">
        <w:rPr>
          <w:rFonts w:ascii="Calibri" w:eastAsia="Calibri" w:hAnsi="Calibri" w:cs="Arial"/>
          <w:rtl/>
        </w:rPr>
        <w:t>:... מצא בחפיסה או בדלוסקמא תכריך של שטרות או אגודה של שטרות - הרי זה יחזיר</w:t>
      </w:r>
      <w:r w:rsidRPr="001D49D4">
        <w:rPr>
          <w:rFonts w:ascii="Calibri" w:eastAsia="Calibri" w:hAnsi="Calibri" w:cs="Arial"/>
          <w:vertAlign w:val="superscript"/>
          <w:rtl/>
        </w:rPr>
        <w:footnoteReference w:id="4819"/>
      </w:r>
      <w:r w:rsidRPr="001D49D4">
        <w:rPr>
          <w:rFonts w:ascii="Calibri" w:eastAsia="Calibri" w:hAnsi="Calibri" w:cs="Arial"/>
          <w:rtl/>
        </w:rPr>
        <w:t xml:space="preserve">. וכמה אגודה של שטרות - שלשה קשורין זה בזה...    </w:t>
      </w:r>
      <w:r w:rsidRPr="001D49D4">
        <w:rPr>
          <w:rFonts w:ascii="Calibri" w:eastAsia="Calibri" w:hAnsi="Calibri" w:cs="Arial"/>
          <w:u w:val="double"/>
          <w:rtl/>
        </w:rPr>
        <w:t>גמרא</w:t>
      </w:r>
      <w:r w:rsidRPr="001D49D4">
        <w:rPr>
          <w:rFonts w:ascii="Calibri" w:eastAsia="Calibri" w:hAnsi="Calibri" w:cs="Arial"/>
          <w:sz w:val="14"/>
          <w:szCs w:val="14"/>
          <w:u w:val="double"/>
          <w:rtl/>
        </w:rPr>
        <w:t xml:space="preserve"> (כ:)</w:t>
      </w:r>
      <w:r w:rsidRPr="001D49D4">
        <w:rPr>
          <w:rFonts w:ascii="Calibri" w:eastAsia="Calibri" w:hAnsi="Calibri" w:cs="Arial"/>
          <w:u w:val="double"/>
          <w:rtl/>
        </w:rPr>
        <w:t>:</w:t>
      </w:r>
      <w:r w:rsidRPr="001D49D4">
        <w:rPr>
          <w:rFonts w:ascii="Calibri" w:eastAsia="Calibri" w:hAnsi="Calibri" w:cs="Arial"/>
          <w:rtl/>
        </w:rPr>
        <w:t xml:space="preserve"> מצא בחפיסה או בדלוסקמא. מאי חפיסה? אמר רבה בר בר חנה: חמת</w:t>
      </w:r>
      <w:r w:rsidRPr="001D49D4">
        <w:rPr>
          <w:rFonts w:ascii="Calibri" w:eastAsia="Calibri" w:hAnsi="Calibri" w:cs="Arial"/>
          <w:vertAlign w:val="superscript"/>
          <w:rtl/>
        </w:rPr>
        <w:footnoteReference w:id="4820"/>
      </w:r>
      <w:r w:rsidRPr="001D49D4">
        <w:rPr>
          <w:rFonts w:ascii="Calibri" w:eastAsia="Calibri" w:hAnsi="Calibri" w:cs="Arial"/>
          <w:rtl/>
        </w:rPr>
        <w:t xml:space="preserve"> קטנה. מאי דלוסקמא? אמר רבה בר שמואל: טליקא דסבי</w:t>
      </w:r>
      <w:r w:rsidRPr="001D49D4">
        <w:rPr>
          <w:rFonts w:ascii="Calibri" w:eastAsia="Calibri" w:hAnsi="Calibri" w:cs="Arial"/>
          <w:vertAlign w:val="superscript"/>
          <w:rtl/>
        </w:rPr>
        <w:footnoteReference w:id="4821"/>
      </w:r>
      <w:r w:rsidRPr="001D49D4">
        <w:rPr>
          <w:rFonts w:ascii="Calibri" w:eastAsia="Calibri" w:hAnsi="Calibri" w:cs="Arial"/>
          <w:rtl/>
        </w:rPr>
        <w:t>. תכריך של שטרות או אגודה של שטרות וכו'. תנו רבנן: כמה הוא תכריך של שטרות - שלשה כרוכין זה בזה</w:t>
      </w:r>
      <w:r w:rsidRPr="001D49D4">
        <w:rPr>
          <w:rFonts w:ascii="Calibri" w:eastAsia="Calibri" w:hAnsi="Calibri" w:cs="Arial"/>
          <w:vertAlign w:val="superscript"/>
          <w:rtl/>
        </w:rPr>
        <w:footnoteReference w:id="4822"/>
      </w:r>
      <w:r w:rsidRPr="001D49D4">
        <w:rPr>
          <w:rFonts w:ascii="Calibri" w:eastAsia="Calibri" w:hAnsi="Calibri" w:cs="Arial"/>
          <w:rtl/>
        </w:rPr>
        <w:t>. וכמה היא אגודה של שטרות - שלשה קשורין זה בזה. שמעת מינה - קשר סימן</w:t>
      </w:r>
      <w:r w:rsidRPr="001D49D4">
        <w:rPr>
          <w:rFonts w:ascii="Calibri" w:eastAsia="Calibri" w:hAnsi="Calibri" w:cs="Arial"/>
          <w:vertAlign w:val="superscript"/>
          <w:rtl/>
        </w:rPr>
        <w:footnoteReference w:id="4823"/>
      </w:r>
      <w:r w:rsidRPr="001D49D4">
        <w:rPr>
          <w:rFonts w:ascii="Calibri" w:eastAsia="Calibri" w:hAnsi="Calibri" w:cs="Arial"/>
          <w:rtl/>
        </w:rPr>
        <w:t>. הא תני רבי חייא שלשה כרוכין זה בזה! אי הכי</w:t>
      </w:r>
      <w:r w:rsidRPr="001D49D4">
        <w:rPr>
          <w:rFonts w:ascii="Calibri" w:eastAsia="Calibri" w:hAnsi="Calibri" w:cs="Arial"/>
          <w:vertAlign w:val="superscript"/>
          <w:rtl/>
        </w:rPr>
        <w:footnoteReference w:id="4824"/>
      </w:r>
      <w:r w:rsidRPr="001D49D4">
        <w:rPr>
          <w:rFonts w:ascii="Calibri" w:eastAsia="Calibri" w:hAnsi="Calibri" w:cs="Arial"/>
          <w:rtl/>
        </w:rPr>
        <w:t>, היינו תכריך! תכריך, כל חד וחד בראשה דחבריה</w:t>
      </w:r>
      <w:r w:rsidRPr="001D49D4">
        <w:rPr>
          <w:rFonts w:ascii="Calibri" w:eastAsia="Calibri" w:hAnsi="Calibri" w:cs="Arial"/>
          <w:vertAlign w:val="superscript"/>
          <w:rtl/>
        </w:rPr>
        <w:footnoteReference w:id="4825"/>
      </w:r>
      <w:r w:rsidRPr="001D49D4">
        <w:rPr>
          <w:rFonts w:ascii="Calibri" w:eastAsia="Calibri" w:hAnsi="Calibri" w:cs="Arial"/>
          <w:rtl/>
        </w:rPr>
        <w:t>. אגודה - דרמו אהדדי</w:t>
      </w:r>
      <w:r w:rsidRPr="001D49D4">
        <w:rPr>
          <w:rFonts w:ascii="Calibri" w:eastAsia="Calibri" w:hAnsi="Calibri" w:cs="Arial"/>
          <w:vertAlign w:val="superscript"/>
          <w:rtl/>
        </w:rPr>
        <w:footnoteReference w:id="4826"/>
      </w:r>
      <w:r w:rsidRPr="001D49D4">
        <w:rPr>
          <w:rFonts w:ascii="Calibri" w:eastAsia="Calibri" w:hAnsi="Calibri" w:cs="Arial"/>
          <w:rtl/>
        </w:rPr>
        <w:t xml:space="preserve"> וכרוכות. מאי מכריז</w:t>
      </w:r>
      <w:r w:rsidRPr="001D49D4">
        <w:rPr>
          <w:rFonts w:ascii="Calibri" w:eastAsia="Calibri" w:hAnsi="Calibri" w:cs="Arial"/>
          <w:vertAlign w:val="superscript"/>
          <w:rtl/>
        </w:rPr>
        <w:footnoteReference w:id="4827"/>
      </w:r>
      <w:r w:rsidRPr="001D49D4">
        <w:rPr>
          <w:rFonts w:ascii="Calibri" w:eastAsia="Calibri" w:hAnsi="Calibri" w:cs="Arial"/>
          <w:rtl/>
        </w:rPr>
        <w:t>? מנין</w:t>
      </w:r>
      <w:r w:rsidRPr="001D49D4">
        <w:rPr>
          <w:rFonts w:ascii="Calibri" w:eastAsia="Calibri" w:hAnsi="Calibri" w:cs="Arial"/>
          <w:vertAlign w:val="superscript"/>
          <w:rtl/>
        </w:rPr>
        <w:footnoteReference w:id="4828"/>
      </w:r>
      <w:r w:rsidRPr="001D49D4">
        <w:rPr>
          <w:rFonts w:ascii="Calibri" w:eastAsia="Calibri" w:hAnsi="Calibri" w:cs="Arial"/>
          <w:rtl/>
        </w:rPr>
        <w:t>, מאי אריא תלתא? אפילו תרין נמי</w:t>
      </w:r>
      <w:r w:rsidRPr="001D49D4">
        <w:rPr>
          <w:rFonts w:ascii="Calibri" w:eastAsia="Calibri" w:hAnsi="Calibri" w:cs="Arial"/>
          <w:vertAlign w:val="superscript"/>
          <w:rtl/>
        </w:rPr>
        <w:footnoteReference w:id="4829"/>
      </w:r>
      <w:r w:rsidRPr="001D49D4">
        <w:rPr>
          <w:rFonts w:ascii="Calibri" w:eastAsia="Calibri" w:hAnsi="Calibri" w:cs="Arial"/>
          <w:rtl/>
        </w:rPr>
        <w:t>! אלא כדאמר רבינא: טבעא מכריז, הכא נמי: שטרי מכריז</w:t>
      </w:r>
      <w:r w:rsidRPr="001D49D4">
        <w:rPr>
          <w:rFonts w:ascii="Calibri" w:eastAsia="Calibri" w:hAnsi="Calibri" w:cs="Arial"/>
          <w:vertAlign w:val="superscript"/>
          <w:rtl/>
        </w:rPr>
        <w:footnoteReference w:id="4830"/>
      </w:r>
      <w:r w:rsidRPr="001D49D4">
        <w:rPr>
          <w:rFonts w:ascii="Calibri" w:eastAsia="Calibri" w:hAnsi="Calibri" w:cs="Arial"/>
          <w:rtl/>
        </w:rPr>
        <w:t xml:space="preserve">. </w:t>
      </w:r>
    </w:p>
    <w:p w14:paraId="18A453CA" w14:textId="77777777" w:rsidR="001D49D4" w:rsidRPr="001D49D4" w:rsidRDefault="001D49D4" w:rsidP="0004348D">
      <w:pPr>
        <w:spacing w:before="360" w:after="240"/>
        <w:rPr>
          <w:rFonts w:ascii="Calibri" w:eastAsia="Calibri" w:hAnsi="Calibri" w:cs="Arial"/>
          <w:u w:val="single"/>
          <w:rtl/>
        </w:rPr>
      </w:pPr>
      <w:r w:rsidRPr="001D49D4">
        <w:rPr>
          <w:rFonts w:ascii="Calibri" w:eastAsia="Calibri" w:hAnsi="Calibri" w:cs="Arial"/>
          <w:u w:val="single"/>
          <w:rtl/>
        </w:rPr>
        <w:t>המוצא ג' שטרות או יותר כרוכים זה על זה:</w:t>
      </w:r>
    </w:p>
    <w:p w14:paraId="732F3463" w14:textId="77777777" w:rsidR="001D49D4" w:rsidRPr="001D49D4" w:rsidRDefault="001D49D4" w:rsidP="0004348D">
      <w:pPr>
        <w:numPr>
          <w:ilvl w:val="0"/>
          <w:numId w:val="328"/>
        </w:numPr>
        <w:spacing w:before="360" w:after="240"/>
        <w:contextualSpacing/>
        <w:rPr>
          <w:rFonts w:ascii="Calibri" w:eastAsia="Calibri" w:hAnsi="Calibri" w:cs="Arial"/>
          <w:rtl/>
        </w:rPr>
      </w:pPr>
      <w:r w:rsidRPr="001D49D4">
        <w:rPr>
          <w:rFonts w:ascii="Calibri" w:eastAsia="Calibri" w:hAnsi="Calibri" w:cs="Arial"/>
          <w:rtl/>
        </w:rPr>
        <w:t>רא"ש</w:t>
      </w:r>
      <w:r w:rsidRPr="001D49D4">
        <w:rPr>
          <w:rFonts w:ascii="Calibri" w:eastAsia="Calibri" w:hAnsi="Calibri" w:cs="Arial"/>
          <w:vertAlign w:val="superscript"/>
          <w:rtl/>
        </w:rPr>
        <w:footnoteReference w:id="4831"/>
      </w:r>
      <w:r w:rsidRPr="001D49D4">
        <w:rPr>
          <w:rFonts w:ascii="Calibri" w:eastAsia="Calibri" w:hAnsi="Calibri" w:cs="Arial"/>
          <w:rtl/>
        </w:rPr>
        <w:t xml:space="preserve"> </w:t>
      </w:r>
      <w:r w:rsidRPr="001D49D4">
        <w:rPr>
          <w:rFonts w:ascii="Calibri" w:eastAsia="Calibri" w:hAnsi="Calibri" w:cs="Arial"/>
          <w:sz w:val="16"/>
          <w:szCs w:val="16"/>
          <w:rtl/>
        </w:rPr>
        <w:t>(סי' נב)</w:t>
      </w:r>
      <w:r w:rsidRPr="001D49D4">
        <w:rPr>
          <w:rFonts w:ascii="Calibri" w:eastAsia="Calibri" w:hAnsi="Calibri" w:cs="Arial"/>
          <w:rtl/>
        </w:rPr>
        <w:t xml:space="preserve"> וטור- מצא ג' שטרות או יותר כרוכין זה על זה או שאחד כרוך בראש חבירו יכריז 'שטרות מצאתי', ולמי שיאמר לו מנינם יחזירם, ואין צריך שיאמר לו היאך היו כרוכים</w:t>
      </w:r>
      <w:r w:rsidRPr="001D49D4">
        <w:rPr>
          <w:rFonts w:ascii="Calibri" w:eastAsia="Calibri" w:hAnsi="Calibri" w:cs="Arial"/>
          <w:sz w:val="16"/>
          <w:szCs w:val="16"/>
          <w:rtl/>
        </w:rPr>
        <w:t xml:space="preserve"> (ל' הטור)</w:t>
      </w:r>
      <w:r w:rsidRPr="001D49D4">
        <w:rPr>
          <w:rFonts w:ascii="Calibri" w:eastAsia="Calibri" w:hAnsi="Calibri" w:cs="Arial"/>
          <w:rtl/>
        </w:rPr>
        <w:t xml:space="preserve">. </w:t>
      </w:r>
      <w:r w:rsidRPr="001D49D4">
        <w:rPr>
          <w:rFonts w:ascii="Calibri" w:eastAsia="Calibri" w:hAnsi="Calibri" w:cs="Arial"/>
          <w:color w:val="E36C0A" w:themeColor="accent6" w:themeShade="BF"/>
          <w:rtl/>
        </w:rPr>
        <w:t>(וכ"פ בשו"ע)</w:t>
      </w:r>
    </w:p>
    <w:p w14:paraId="74F9A928" w14:textId="77777777" w:rsidR="001D49D4" w:rsidRPr="001D49D4" w:rsidRDefault="001D49D4" w:rsidP="0004348D">
      <w:pPr>
        <w:numPr>
          <w:ilvl w:val="0"/>
          <w:numId w:val="328"/>
        </w:numPr>
        <w:spacing w:before="360" w:after="240"/>
        <w:contextualSpacing/>
        <w:rPr>
          <w:rFonts w:ascii="Calibri" w:eastAsia="Calibri" w:hAnsi="Calibri" w:cs="Arial"/>
        </w:rPr>
      </w:pPr>
      <w:r w:rsidRPr="001D49D4">
        <w:rPr>
          <w:rFonts w:ascii="Calibri" w:eastAsia="Calibri" w:hAnsi="Calibri" w:cs="Arial"/>
          <w:rtl/>
        </w:rPr>
        <w:t>רש"י</w:t>
      </w:r>
      <w:r w:rsidRPr="001D49D4">
        <w:rPr>
          <w:rFonts w:ascii="Calibri" w:eastAsia="Calibri" w:hAnsi="Calibri" w:cs="Arial"/>
          <w:sz w:val="16"/>
          <w:szCs w:val="16"/>
          <w:rtl/>
        </w:rPr>
        <w:t xml:space="preserve"> (כ"כ הב"י בשמו)</w:t>
      </w:r>
      <w:r w:rsidRPr="001D49D4">
        <w:rPr>
          <w:rFonts w:ascii="Calibri" w:eastAsia="Calibri" w:hAnsi="Calibri" w:cs="Arial"/>
          <w:rtl/>
        </w:rPr>
        <w:t xml:space="preserve"> ורי"ו </w:t>
      </w:r>
      <w:r w:rsidRPr="001D49D4">
        <w:rPr>
          <w:rFonts w:ascii="Calibri" w:eastAsia="Calibri" w:hAnsi="Calibri" w:cs="Arial"/>
          <w:sz w:val="16"/>
          <w:szCs w:val="16"/>
          <w:rtl/>
        </w:rPr>
        <w:t>(נ"כ ח"ב נב ע"ג)</w:t>
      </w:r>
      <w:r w:rsidRPr="001D49D4">
        <w:rPr>
          <w:rFonts w:ascii="Calibri" w:eastAsia="Calibri" w:hAnsi="Calibri" w:cs="Arial"/>
          <w:rtl/>
        </w:rPr>
        <w:t>- תרי בעינן, מנין ואופן הכריכה</w:t>
      </w:r>
      <w:r w:rsidRPr="001D49D4">
        <w:rPr>
          <w:rFonts w:ascii="Calibri" w:eastAsia="Calibri" w:hAnsi="Calibri" w:cs="Arial"/>
          <w:vertAlign w:val="superscript"/>
          <w:rtl/>
        </w:rPr>
        <w:footnoteReference w:id="4832"/>
      </w:r>
      <w:r w:rsidRPr="001D49D4">
        <w:rPr>
          <w:rFonts w:ascii="Calibri" w:eastAsia="Calibri" w:hAnsi="Calibri" w:cs="Arial"/>
          <w:rtl/>
        </w:rPr>
        <w:t>. (וכ"פ הש"ך</w:t>
      </w:r>
      <w:r w:rsidRPr="001D49D4">
        <w:rPr>
          <w:rFonts w:ascii="Calibri" w:eastAsia="Calibri" w:hAnsi="Calibri" w:cs="Arial"/>
          <w:vertAlign w:val="superscript"/>
          <w:rtl/>
        </w:rPr>
        <w:footnoteReference w:id="4833"/>
      </w:r>
      <w:r w:rsidRPr="001D49D4">
        <w:rPr>
          <w:rFonts w:ascii="Calibri" w:eastAsia="Calibri" w:hAnsi="Calibri" w:cs="Arial"/>
          <w:sz w:val="16"/>
          <w:szCs w:val="16"/>
          <w:rtl/>
        </w:rPr>
        <w:t xml:space="preserve"> [סקל"א]</w:t>
      </w:r>
      <w:r w:rsidRPr="001D49D4">
        <w:rPr>
          <w:rFonts w:ascii="Calibri" w:eastAsia="Calibri" w:hAnsi="Calibri" w:cs="Arial"/>
          <w:rtl/>
        </w:rPr>
        <w:t>)</w:t>
      </w:r>
    </w:p>
    <w:p w14:paraId="28DB52A7" w14:textId="77777777" w:rsidR="001D49D4" w:rsidRPr="001D49D4" w:rsidRDefault="001D49D4" w:rsidP="0004348D">
      <w:pPr>
        <w:numPr>
          <w:ilvl w:val="0"/>
          <w:numId w:val="328"/>
        </w:numPr>
        <w:spacing w:before="360" w:after="240"/>
        <w:contextualSpacing/>
        <w:rPr>
          <w:rFonts w:ascii="Calibri" w:eastAsia="Calibri" w:hAnsi="Calibri" w:cs="Arial"/>
        </w:rPr>
      </w:pPr>
      <w:r w:rsidRPr="001D49D4">
        <w:rPr>
          <w:rFonts w:ascii="Calibri" w:eastAsia="Calibri" w:hAnsi="Calibri" w:cs="Arial"/>
          <w:rtl/>
        </w:rPr>
        <w:t xml:space="preserve">רמ"ה </w:t>
      </w:r>
      <w:r w:rsidRPr="001D49D4">
        <w:rPr>
          <w:rFonts w:ascii="Calibri" w:eastAsia="Calibri" w:hAnsi="Calibri" w:cs="Arial"/>
          <w:sz w:val="16"/>
          <w:szCs w:val="16"/>
          <w:rtl/>
        </w:rPr>
        <w:t>(הביאו הטור)</w:t>
      </w:r>
      <w:r w:rsidRPr="001D49D4">
        <w:rPr>
          <w:rFonts w:ascii="Calibri" w:eastAsia="Calibri" w:hAnsi="Calibri" w:cs="Arial"/>
          <w:rtl/>
        </w:rPr>
        <w:t>- אע"ג דקי"ל דקשר או מנין לחודיה הוי סימן הכא בעינן מנין עם כריכה או קשירה. וטעמא, דהנך תרי שטרי דחד לוה ומלוה אינון, ושמא בפעם אחת פרע הלוה, והמלוה נתנם לו כרוכין, ולכך ידע שהן כרוכין. או כשלוה הלוה שמא לקח ממנו המעות בפעם אחת ונתן לו השטרות כרוכין, ואותו שכרכן מכיר בכריכתן והאחר לא נתן אל לבו, ולכך צריך מנין עם הכריכה או הקשירה</w:t>
      </w:r>
      <w:r w:rsidRPr="001D49D4">
        <w:rPr>
          <w:rFonts w:ascii="Calibri" w:eastAsia="Calibri" w:hAnsi="Calibri" w:cs="Arial"/>
          <w:vertAlign w:val="superscript"/>
          <w:rtl/>
        </w:rPr>
        <w:footnoteReference w:id="4834"/>
      </w:r>
      <w:r w:rsidRPr="001D49D4">
        <w:rPr>
          <w:rFonts w:ascii="Calibri" w:eastAsia="Calibri" w:hAnsi="Calibri" w:cs="Arial"/>
          <w:rtl/>
        </w:rPr>
        <w:t xml:space="preserve">. </w:t>
      </w:r>
    </w:p>
    <w:p w14:paraId="00FE9289" w14:textId="77777777" w:rsidR="001D49D4" w:rsidRPr="001D49D4" w:rsidRDefault="001D49D4" w:rsidP="0004348D">
      <w:pPr>
        <w:spacing w:before="360" w:after="240"/>
        <w:rPr>
          <w:rFonts w:ascii="Calibri" w:eastAsia="Calibri" w:hAnsi="Calibri" w:cs="Arial"/>
          <w:u w:val="dotted"/>
        </w:rPr>
      </w:pPr>
      <w:r w:rsidRPr="001D49D4">
        <w:rPr>
          <w:rFonts w:ascii="Calibri" w:eastAsia="Calibri" w:hAnsi="Calibri" w:cs="Arial"/>
          <w:u w:val="dotted"/>
          <w:rtl/>
        </w:rPr>
        <w:t>ומה הדין אם הלוה והמלוה לפנינו ואחד יודע בכריכה או בקשירה או במנין והאחר אינו יודע:</w:t>
      </w:r>
    </w:p>
    <w:p w14:paraId="41483848" w14:textId="77777777" w:rsidR="001D49D4" w:rsidRPr="001D49D4" w:rsidRDefault="001D49D4" w:rsidP="0004348D">
      <w:pPr>
        <w:numPr>
          <w:ilvl w:val="0"/>
          <w:numId w:val="328"/>
        </w:numPr>
        <w:spacing w:before="360" w:after="240"/>
        <w:contextualSpacing/>
        <w:rPr>
          <w:rFonts w:ascii="Calibri" w:eastAsia="Calibri" w:hAnsi="Calibri" w:cs="Arial"/>
        </w:rPr>
      </w:pPr>
      <w:r w:rsidRPr="001D49D4">
        <w:rPr>
          <w:rFonts w:ascii="Calibri" w:eastAsia="Calibri" w:hAnsi="Calibri" w:cs="Arial"/>
          <w:rtl/>
        </w:rPr>
        <w:t xml:space="preserve">רמ"ה </w:t>
      </w:r>
      <w:r w:rsidRPr="001D49D4">
        <w:rPr>
          <w:rFonts w:ascii="Calibri" w:eastAsia="Calibri" w:hAnsi="Calibri" w:cs="Arial"/>
          <w:sz w:val="16"/>
          <w:szCs w:val="16"/>
          <w:rtl/>
        </w:rPr>
        <w:t>(הביאו הטור)</w:t>
      </w:r>
      <w:r w:rsidRPr="001D49D4">
        <w:rPr>
          <w:rFonts w:ascii="Calibri" w:eastAsia="Calibri" w:hAnsi="Calibri" w:cs="Arial"/>
          <w:rtl/>
        </w:rPr>
        <w:t xml:space="preserve">- הני מילי </w:t>
      </w:r>
      <w:r w:rsidRPr="001D49D4">
        <w:rPr>
          <w:rFonts w:ascii="Calibri" w:eastAsia="Calibri" w:hAnsi="Calibri" w:cs="Arial"/>
          <w:sz w:val="16"/>
          <w:szCs w:val="16"/>
          <w:rtl/>
        </w:rPr>
        <w:t xml:space="preserve">{מה שהובא בשם הרמ"ה לעיל} </w:t>
      </w:r>
      <w:r w:rsidRPr="001D49D4">
        <w:rPr>
          <w:rFonts w:ascii="Calibri" w:eastAsia="Calibri" w:hAnsi="Calibri" w:cs="Arial"/>
          <w:rtl/>
        </w:rPr>
        <w:t>שאין שניהן לפנינו, אבל אם הם לפנינו ואחד יודע בכריכה או בקשירה או המנין והאחר אינו יודע לא זה ולא זה - נותנין למי שיודע.</w:t>
      </w:r>
      <w:r w:rsidRPr="001D49D4">
        <w:rPr>
          <w:rFonts w:ascii="Calibri" w:eastAsia="Calibri" w:hAnsi="Calibri" w:cs="Arial"/>
          <w:color w:val="E36C0A" w:themeColor="accent6" w:themeShade="BF"/>
          <w:rtl/>
        </w:rPr>
        <w:t xml:space="preserve"> </w:t>
      </w:r>
      <w:r w:rsidRPr="001D49D4">
        <w:rPr>
          <w:rFonts w:ascii="Calibri" w:eastAsia="Calibri" w:hAnsi="Calibri" w:cs="Arial"/>
          <w:color w:val="00B0F0"/>
          <w:rtl/>
        </w:rPr>
        <w:t>(וכ"פ הרמ"א)</w:t>
      </w:r>
      <w:r w:rsidRPr="001D49D4">
        <w:rPr>
          <w:rFonts w:ascii="Calibri" w:eastAsia="Calibri" w:hAnsi="Calibri" w:cs="Arial"/>
          <w:rtl/>
        </w:rPr>
        <w:t xml:space="preserve"> (וכ"פ הש"ך</w:t>
      </w:r>
      <w:r w:rsidRPr="001D49D4">
        <w:rPr>
          <w:rFonts w:ascii="Calibri" w:eastAsia="Calibri" w:hAnsi="Calibri" w:cs="Arial"/>
          <w:sz w:val="16"/>
          <w:szCs w:val="16"/>
          <w:rtl/>
        </w:rPr>
        <w:t xml:space="preserve"> [סקל"א]</w:t>
      </w:r>
      <w:r w:rsidRPr="001D49D4">
        <w:rPr>
          <w:rFonts w:ascii="Calibri" w:eastAsia="Calibri" w:hAnsi="Calibri" w:cs="Arial"/>
          <w:rtl/>
        </w:rPr>
        <w:t>)</w:t>
      </w:r>
    </w:p>
    <w:p w14:paraId="0AA409F0" w14:textId="77777777" w:rsidR="001D49D4" w:rsidRPr="001D49D4" w:rsidRDefault="001D49D4" w:rsidP="0004348D">
      <w:pPr>
        <w:spacing w:before="360" w:after="240"/>
        <w:rPr>
          <w:rFonts w:ascii="Calibri" w:eastAsia="Calibri" w:hAnsi="Calibri" w:cs="Arial"/>
          <w:u w:val="single"/>
        </w:rPr>
      </w:pPr>
      <w:r w:rsidRPr="001D49D4">
        <w:rPr>
          <w:rFonts w:ascii="Calibri" w:eastAsia="Calibri" w:hAnsi="Calibri" w:cs="Arial"/>
          <w:u w:val="single"/>
          <w:rtl/>
        </w:rPr>
        <w:t xml:space="preserve">כרך באופן אחר מהמוזכר בגמרא </w:t>
      </w:r>
      <w:r w:rsidRPr="001D49D4">
        <w:rPr>
          <w:rFonts w:ascii="Calibri" w:eastAsia="Calibri" w:hAnsi="Calibri" w:cs="Arial"/>
          <w:sz w:val="16"/>
          <w:szCs w:val="16"/>
          <w:u w:val="single"/>
          <w:rtl/>
        </w:rPr>
        <w:t xml:space="preserve">(לא כתכריך </w:t>
      </w:r>
      <w:r w:rsidRPr="001D49D4">
        <w:rPr>
          <w:rFonts w:ascii="Calibri" w:eastAsia="Calibri" w:hAnsi="Calibri" w:cs="Arial"/>
          <w:sz w:val="14"/>
          <w:szCs w:val="14"/>
          <w:u w:val="single"/>
          <w:rtl/>
        </w:rPr>
        <w:t xml:space="preserve">[כריכי חד ברישא דחברי] </w:t>
      </w:r>
      <w:r w:rsidRPr="001D49D4">
        <w:rPr>
          <w:rFonts w:ascii="Calibri" w:eastAsia="Calibri" w:hAnsi="Calibri" w:cs="Arial"/>
          <w:sz w:val="16"/>
          <w:szCs w:val="16"/>
          <w:u w:val="single"/>
          <w:rtl/>
        </w:rPr>
        <w:t>ולא כאגודה</w:t>
      </w:r>
      <w:r w:rsidRPr="001D49D4">
        <w:rPr>
          <w:rFonts w:ascii="Calibri" w:eastAsia="Calibri" w:hAnsi="Calibri" w:cs="Arial"/>
          <w:sz w:val="14"/>
          <w:szCs w:val="14"/>
          <w:u w:val="single"/>
          <w:rtl/>
        </w:rPr>
        <w:t xml:space="preserve"> [דרמו אהדדי וכרוכות]</w:t>
      </w:r>
      <w:r w:rsidRPr="001D49D4">
        <w:rPr>
          <w:rFonts w:ascii="Calibri" w:eastAsia="Calibri" w:hAnsi="Calibri" w:cs="Arial"/>
          <w:sz w:val="16"/>
          <w:szCs w:val="16"/>
          <w:u w:val="single"/>
          <w:rtl/>
        </w:rPr>
        <w:t>)</w:t>
      </w:r>
      <w:r w:rsidRPr="001D49D4">
        <w:rPr>
          <w:rFonts w:ascii="Calibri" w:eastAsia="Calibri" w:hAnsi="Calibri" w:cs="Arial"/>
          <w:u w:val="single"/>
          <w:rtl/>
        </w:rPr>
        <w:t xml:space="preserve"> - האם יכול לתת סימן:</w:t>
      </w:r>
    </w:p>
    <w:p w14:paraId="521DEAB8" w14:textId="77777777" w:rsidR="001D49D4" w:rsidRPr="001D49D4" w:rsidRDefault="001D49D4" w:rsidP="0004348D">
      <w:pPr>
        <w:numPr>
          <w:ilvl w:val="0"/>
          <w:numId w:val="328"/>
        </w:numPr>
        <w:spacing w:before="360" w:after="240"/>
        <w:contextualSpacing/>
        <w:rPr>
          <w:rFonts w:ascii="Calibri" w:eastAsia="Calibri" w:hAnsi="Calibri" w:cs="Arial"/>
        </w:rPr>
      </w:pPr>
      <w:r w:rsidRPr="001D49D4">
        <w:rPr>
          <w:rFonts w:ascii="Calibri" w:eastAsia="Calibri" w:hAnsi="Calibri" w:cs="Arial"/>
          <w:rtl/>
        </w:rPr>
        <w:t xml:space="preserve">נמוק"י </w:t>
      </w:r>
      <w:r w:rsidRPr="001D49D4">
        <w:rPr>
          <w:rFonts w:ascii="Calibri" w:eastAsia="Calibri" w:hAnsi="Calibri" w:cs="Arial"/>
          <w:sz w:val="16"/>
          <w:szCs w:val="16"/>
          <w:rtl/>
        </w:rPr>
        <w:t>(יא: ד"ה גמ')</w:t>
      </w:r>
      <w:r w:rsidRPr="001D49D4">
        <w:rPr>
          <w:rFonts w:ascii="Calibri" w:eastAsia="Calibri" w:hAnsi="Calibri" w:cs="Arial"/>
          <w:rtl/>
        </w:rPr>
        <w:t>- לאו דוקא כריכי חד ברישא דחבריה וכו' דהוא הדין כרך אחד אם בטוח שלא יתפרדו. אבל אם בקל יכולים להתפרד דמי למעות מפוזרים דאין לו בהם סימן והן של מוצאן. (וכ"כ הסמ"ע</w:t>
      </w:r>
      <w:r w:rsidRPr="001D49D4">
        <w:rPr>
          <w:rFonts w:ascii="Calibri" w:eastAsia="Calibri" w:hAnsi="Calibri" w:cs="Arial"/>
          <w:sz w:val="16"/>
          <w:szCs w:val="16"/>
          <w:rtl/>
        </w:rPr>
        <w:t xml:space="preserve"> [סקכ"ז]</w:t>
      </w:r>
      <w:r w:rsidRPr="001D49D4">
        <w:rPr>
          <w:rFonts w:ascii="Calibri" w:eastAsia="Calibri" w:hAnsi="Calibri" w:cs="Arial"/>
          <w:rtl/>
        </w:rPr>
        <w:t>)</w:t>
      </w:r>
    </w:p>
    <w:p w14:paraId="60C266F7"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u w:val="single"/>
          <w:rtl/>
        </w:rPr>
        <w:t>אחד אומר סימן דכריכה ואחד אומר סימן דמנין:</w:t>
      </w:r>
    </w:p>
    <w:p w14:paraId="1CF4EE92" w14:textId="77777777" w:rsidR="001D49D4" w:rsidRPr="001D49D4" w:rsidRDefault="001D49D4" w:rsidP="0004348D">
      <w:pPr>
        <w:numPr>
          <w:ilvl w:val="0"/>
          <w:numId w:val="329"/>
        </w:numPr>
        <w:spacing w:before="360" w:after="240"/>
        <w:contextualSpacing/>
        <w:rPr>
          <w:rFonts w:ascii="Calibri" w:eastAsia="Calibri" w:hAnsi="Calibri" w:cs="Arial"/>
          <w:rtl/>
        </w:rPr>
      </w:pPr>
      <w:r w:rsidRPr="001D49D4">
        <w:rPr>
          <w:rFonts w:ascii="Calibri" w:eastAsia="Calibri" w:hAnsi="Calibri" w:cs="Arial"/>
          <w:rtl/>
        </w:rPr>
        <w:t>ב"י- היכא שאחד אומר סימן דכריכה ואחד אומר סימן דמנין צ"ע למי ינתן</w:t>
      </w:r>
      <w:r w:rsidRPr="001D49D4">
        <w:rPr>
          <w:rFonts w:ascii="Calibri" w:eastAsia="Calibri" w:hAnsi="Calibri" w:cs="Arial"/>
          <w:vertAlign w:val="superscript"/>
          <w:rtl/>
        </w:rPr>
        <w:footnoteReference w:id="4835"/>
      </w:r>
      <w:r w:rsidRPr="001D49D4">
        <w:rPr>
          <w:rFonts w:ascii="Calibri" w:eastAsia="Calibri" w:hAnsi="Calibri" w:cs="Arial"/>
          <w:rtl/>
        </w:rPr>
        <w:t xml:space="preserve">. </w:t>
      </w:r>
    </w:p>
    <w:p w14:paraId="7B710C89" w14:textId="77777777" w:rsidR="001D49D4" w:rsidRPr="001D49D4" w:rsidRDefault="001D49D4" w:rsidP="0004348D">
      <w:pPr>
        <w:numPr>
          <w:ilvl w:val="0"/>
          <w:numId w:val="329"/>
        </w:numPr>
        <w:spacing w:before="360" w:after="240"/>
        <w:contextualSpacing/>
        <w:rPr>
          <w:rFonts w:ascii="Calibri" w:eastAsia="Calibri" w:hAnsi="Calibri" w:cs="Arial"/>
        </w:rPr>
      </w:pPr>
      <w:r w:rsidRPr="001D49D4">
        <w:rPr>
          <w:rFonts w:ascii="Calibri" w:eastAsia="Calibri" w:hAnsi="Calibri" w:cs="Arial"/>
          <w:rtl/>
        </w:rPr>
        <w:t xml:space="preserve">דרכ"מ </w:t>
      </w:r>
      <w:r w:rsidRPr="001D49D4">
        <w:rPr>
          <w:rFonts w:ascii="Calibri" w:eastAsia="Calibri" w:hAnsi="Calibri" w:cs="Arial"/>
          <w:sz w:val="16"/>
          <w:szCs w:val="16"/>
          <w:rtl/>
        </w:rPr>
        <w:t>(אות ב)</w:t>
      </w:r>
      <w:r w:rsidRPr="001D49D4">
        <w:rPr>
          <w:rFonts w:ascii="Calibri" w:eastAsia="Calibri" w:hAnsi="Calibri" w:cs="Arial"/>
          <w:rtl/>
        </w:rPr>
        <w:t>- ינתן לנותן סימן מנין. (וכ"פ הש"ך</w:t>
      </w:r>
      <w:r w:rsidRPr="001D49D4">
        <w:rPr>
          <w:rFonts w:ascii="Calibri" w:eastAsia="Calibri" w:hAnsi="Calibri" w:cs="Arial"/>
          <w:vertAlign w:val="superscript"/>
          <w:rtl/>
        </w:rPr>
        <w:footnoteReference w:id="4836"/>
      </w:r>
      <w:r w:rsidRPr="001D49D4">
        <w:rPr>
          <w:rFonts w:ascii="Calibri" w:eastAsia="Calibri" w:hAnsi="Calibri" w:cs="Arial"/>
          <w:rtl/>
        </w:rPr>
        <w:t xml:space="preserve"> </w:t>
      </w:r>
      <w:r w:rsidRPr="001D49D4">
        <w:rPr>
          <w:rFonts w:ascii="Calibri" w:eastAsia="Calibri" w:hAnsi="Calibri" w:cs="Arial"/>
          <w:sz w:val="16"/>
          <w:szCs w:val="16"/>
          <w:rtl/>
        </w:rPr>
        <w:t>[סק"ל]</w:t>
      </w:r>
      <w:r w:rsidRPr="001D49D4">
        <w:rPr>
          <w:rFonts w:ascii="Calibri" w:eastAsia="Calibri" w:hAnsi="Calibri" w:cs="Arial"/>
          <w:rtl/>
        </w:rPr>
        <w:t>)</w:t>
      </w:r>
    </w:p>
    <w:p w14:paraId="3AFAD822" w14:textId="77777777" w:rsidR="001D49D4" w:rsidRPr="001D49D4" w:rsidRDefault="001D49D4" w:rsidP="0004348D">
      <w:pPr>
        <w:spacing w:before="360" w:after="240"/>
        <w:rPr>
          <w:rFonts w:ascii="Calibri" w:eastAsia="Calibri" w:hAnsi="Calibri" w:cs="Arial"/>
          <w:u w:val="single"/>
        </w:rPr>
      </w:pPr>
      <w:r w:rsidRPr="001D49D4">
        <w:rPr>
          <w:rFonts w:ascii="Calibri" w:eastAsia="Calibri" w:hAnsi="Calibri" w:cs="Arial"/>
          <w:u w:val="single"/>
          <w:rtl/>
        </w:rPr>
        <w:t>אחד אומר ב' סימנים ואחד אומר סימן אחד:</w:t>
      </w:r>
    </w:p>
    <w:p w14:paraId="44426DA3" w14:textId="77777777" w:rsidR="001D49D4" w:rsidRPr="001D49D4" w:rsidRDefault="001D49D4" w:rsidP="0004348D">
      <w:pPr>
        <w:numPr>
          <w:ilvl w:val="0"/>
          <w:numId w:val="329"/>
        </w:numPr>
        <w:spacing w:before="360" w:after="240"/>
        <w:contextualSpacing/>
        <w:rPr>
          <w:rFonts w:ascii="Calibri" w:eastAsia="Calibri" w:hAnsi="Calibri" w:cs="Arial"/>
        </w:rPr>
      </w:pPr>
      <w:r w:rsidRPr="001D49D4">
        <w:rPr>
          <w:rFonts w:ascii="Calibri" w:eastAsia="Calibri" w:hAnsi="Calibri" w:cs="Arial"/>
          <w:rtl/>
        </w:rPr>
        <w:t>ב"י- היכא שאחד אומר שני הסימנים ואחד אינו אומר אלא סימן אחד - נראה שפשוט שינתן לאומר שנים</w:t>
      </w:r>
      <w:r w:rsidRPr="001D49D4">
        <w:rPr>
          <w:rFonts w:ascii="Calibri" w:eastAsia="Calibri" w:hAnsi="Calibri" w:cs="Arial"/>
          <w:vertAlign w:val="superscript"/>
          <w:rtl/>
        </w:rPr>
        <w:footnoteReference w:id="4837"/>
      </w:r>
      <w:r w:rsidRPr="001D49D4">
        <w:rPr>
          <w:rFonts w:ascii="Calibri" w:eastAsia="Calibri" w:hAnsi="Calibri" w:cs="Arial"/>
          <w:rtl/>
        </w:rPr>
        <w:t xml:space="preserve">.  </w:t>
      </w:r>
    </w:p>
    <w:p w14:paraId="4374E586" w14:textId="77777777" w:rsidR="001D49D4" w:rsidRPr="001D49D4" w:rsidRDefault="001D49D4" w:rsidP="0004348D">
      <w:pPr>
        <w:spacing w:before="360" w:after="240"/>
        <w:rPr>
          <w:rFonts w:ascii="Arial" w:eastAsia="Calibri" w:hAnsi="Arial" w:cs="Arial"/>
          <w:b/>
          <w:bCs/>
          <w:color w:val="000000"/>
          <w:sz w:val="28"/>
          <w:szCs w:val="28"/>
          <w:u w:val="single"/>
          <w:rtl/>
        </w:rPr>
      </w:pPr>
      <w:r w:rsidRPr="001D49D4">
        <w:rPr>
          <w:rFonts w:ascii="Arial" w:eastAsia="Calibri" w:hAnsi="Arial" w:cs="Arial"/>
          <w:b/>
          <w:bCs/>
          <w:color w:val="000000"/>
          <w:sz w:val="28"/>
          <w:szCs w:val="28"/>
          <w:u w:val="single"/>
          <w:rtl/>
        </w:rPr>
        <w:t>שו"ע:</w:t>
      </w:r>
    </w:p>
    <w:p w14:paraId="76962150"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rtl/>
        </w:rPr>
        <w:t>מצא ג' שטרות או יותר כרוכים זה על זה, או שאחד כרוך בראש חבירו, יכריז 'שטרות מצאתי', למי שיאמר מניינם יחזירם, ואין צריך שיאמר האיך היו כרוכים</w:t>
      </w:r>
      <w:r w:rsidRPr="001D49D4">
        <w:rPr>
          <w:rFonts w:ascii="Calibri" w:eastAsia="Calibri" w:hAnsi="Calibri" w:cs="Arial"/>
          <w:vertAlign w:val="superscript"/>
          <w:rtl/>
        </w:rPr>
        <w:footnoteReference w:id="4838"/>
      </w:r>
      <w:r w:rsidRPr="001D49D4">
        <w:rPr>
          <w:rFonts w:ascii="Calibri" w:eastAsia="Calibri" w:hAnsi="Calibri" w:cs="Arial"/>
          <w:rtl/>
        </w:rPr>
        <w:t xml:space="preserve">. </w:t>
      </w:r>
      <w:r w:rsidRPr="001D49D4">
        <w:rPr>
          <w:rFonts w:ascii="Calibri" w:eastAsia="Calibri" w:hAnsi="Calibri" w:cs="Arial"/>
          <w:sz w:val="18"/>
          <w:szCs w:val="18"/>
          <w:rtl/>
        </w:rPr>
        <w:t>הגה: אבל הכריכה לחוד לא הוי סימן, אם כל השטרות היו של מלוה ולוה אחד (ד"ע בפי' דברי הטור והרמ"ה). והני מילי שאין שניהם לפנינו, אבל אם הם שניהם לפנינו והאחד יודע הכריכה והשני אינו יודע, נותנין למי שיודע</w:t>
      </w:r>
      <w:r w:rsidRPr="001D49D4">
        <w:rPr>
          <w:rFonts w:ascii="Calibri" w:eastAsia="Calibri" w:hAnsi="Calibri" w:cs="Arial"/>
          <w:sz w:val="18"/>
          <w:szCs w:val="18"/>
          <w:vertAlign w:val="superscript"/>
          <w:rtl/>
        </w:rPr>
        <w:footnoteReference w:id="4839"/>
      </w:r>
      <w:r w:rsidRPr="001D49D4">
        <w:rPr>
          <w:rFonts w:ascii="Calibri" w:eastAsia="Calibri" w:hAnsi="Calibri" w:cs="Arial"/>
          <w:sz w:val="18"/>
          <w:szCs w:val="18"/>
          <w:rtl/>
        </w:rPr>
        <w:t xml:space="preserve"> (טור). </w:t>
      </w:r>
    </w:p>
    <w:p w14:paraId="7888FFE2" w14:textId="77777777" w:rsidR="001D49D4" w:rsidRPr="001D49D4" w:rsidRDefault="001D49D4" w:rsidP="0004348D">
      <w:pPr>
        <w:spacing w:before="360" w:after="240"/>
        <w:rPr>
          <w:rFonts w:ascii="Calibri" w:eastAsia="Calibri" w:hAnsi="Calibri" w:cs="Arial"/>
          <w:rtl/>
        </w:rPr>
      </w:pPr>
    </w:p>
    <w:p w14:paraId="3ACD6AD3" w14:textId="77777777" w:rsidR="001D49D4" w:rsidRPr="001D49D4" w:rsidRDefault="001D49D4" w:rsidP="0004348D">
      <w:pPr>
        <w:keepNext/>
        <w:keepLines/>
        <w:spacing w:before="360" w:after="240"/>
        <w:outlineLvl w:val="1"/>
        <w:rPr>
          <w:rFonts w:ascii="Cambria" w:eastAsia="Times New Roman" w:hAnsi="Cambria" w:cs="Arial"/>
          <w:bCs/>
          <w:color w:val="548DD4" w:themeColor="text2" w:themeTint="99"/>
          <w:sz w:val="26"/>
          <w:szCs w:val="26"/>
          <w:rtl/>
        </w:rPr>
      </w:pPr>
      <w:bookmarkStart w:id="657" w:name="_Toc24884080"/>
      <w:r w:rsidRPr="001D49D4">
        <w:rPr>
          <w:rFonts w:ascii="Cambria" w:eastAsia="Times New Roman" w:hAnsi="Cambria" w:cs="Arial"/>
          <w:bCs/>
          <w:color w:val="548DD4" w:themeColor="text2" w:themeTint="99"/>
          <w:sz w:val="26"/>
          <w:szCs w:val="26"/>
          <w:rtl/>
        </w:rPr>
        <w:t>סעיף יא: מצא ג' שטרות יחד על לוה/מלוה אחד.</w:t>
      </w:r>
      <w:bookmarkEnd w:id="657"/>
    </w:p>
    <w:p w14:paraId="758805E1" w14:textId="77777777" w:rsidR="001D49D4" w:rsidRPr="001D49D4" w:rsidRDefault="001D49D4" w:rsidP="0004348D">
      <w:pPr>
        <w:spacing w:before="360" w:after="240"/>
        <w:rPr>
          <w:rFonts w:ascii="Calibri" w:eastAsia="Calibri" w:hAnsi="Calibri" w:cs="Arial"/>
          <w:u w:val="single"/>
          <w:rtl/>
        </w:rPr>
      </w:pPr>
      <w:r w:rsidRPr="001D49D4">
        <w:rPr>
          <w:rFonts w:ascii="Calibri" w:eastAsia="Calibri" w:hAnsi="Calibri" w:cs="Arial"/>
          <w:b/>
          <w:bCs/>
          <w:rtl/>
        </w:rPr>
        <w:t xml:space="preserve">בבא מציעא </w:t>
      </w:r>
      <w:r w:rsidRPr="001D49D4">
        <w:rPr>
          <w:rFonts w:ascii="Calibri" w:eastAsia="Calibri" w:hAnsi="Calibri" w:cs="Arial"/>
          <w:b/>
          <w:bCs/>
          <w:sz w:val="16"/>
          <w:szCs w:val="16"/>
          <w:rtl/>
        </w:rPr>
        <w:t>(ספ"ק)</w:t>
      </w:r>
      <w:r w:rsidRPr="001D49D4">
        <w:rPr>
          <w:rFonts w:ascii="Calibri" w:eastAsia="Calibri" w:hAnsi="Calibri" w:cs="Arial"/>
          <w:b/>
          <w:bCs/>
          <w:rtl/>
        </w:rPr>
        <w:t xml:space="preserve"> כ</w:t>
      </w:r>
      <w:r w:rsidRPr="001D49D4">
        <w:rPr>
          <w:rFonts w:ascii="Calibri" w:eastAsia="Calibri" w:hAnsi="Calibri" w:cs="Arial"/>
          <w:b/>
          <w:bCs/>
          <w:vertAlign w:val="superscript"/>
          <w:rtl/>
        </w:rPr>
        <w:footnoteReference w:id="4840"/>
      </w:r>
      <w:r w:rsidRPr="001D49D4">
        <w:rPr>
          <w:rFonts w:ascii="Calibri" w:eastAsia="Calibri" w:hAnsi="Calibri" w:cs="Arial"/>
          <w:b/>
          <w:bCs/>
          <w:rtl/>
        </w:rPr>
        <w:t xml:space="preserve"> ע"א:</w:t>
      </w:r>
      <w:r w:rsidRPr="001D49D4">
        <w:rPr>
          <w:rFonts w:ascii="Calibri" w:eastAsia="Calibri" w:hAnsi="Calibri" w:cs="Arial"/>
          <w:rtl/>
        </w:rPr>
        <w:t xml:space="preserve"> </w:t>
      </w:r>
      <w:r w:rsidRPr="001D49D4">
        <w:rPr>
          <w:rFonts w:ascii="Calibri" w:eastAsia="Calibri" w:hAnsi="Calibri" w:cs="Arial"/>
          <w:u w:val="double"/>
          <w:rtl/>
        </w:rPr>
        <w:t>משנה</w:t>
      </w:r>
      <w:r w:rsidRPr="001D49D4">
        <w:rPr>
          <w:rFonts w:ascii="Calibri" w:eastAsia="Calibri" w:hAnsi="Calibri" w:cs="Arial"/>
          <w:rtl/>
        </w:rPr>
        <w:t xml:space="preserve">: מצא... </w:t>
      </w:r>
      <w:r w:rsidRPr="001D49D4">
        <w:rPr>
          <w:rFonts w:ascii="Calibri" w:eastAsia="Calibri" w:hAnsi="Calibri" w:cs="Arial"/>
          <w:u w:val="single"/>
          <w:rtl/>
        </w:rPr>
        <w:t>רבן שמעון בן גמליאל אומר</w:t>
      </w:r>
      <w:r w:rsidRPr="001D49D4">
        <w:rPr>
          <w:rFonts w:ascii="Calibri" w:eastAsia="Calibri" w:hAnsi="Calibri" w:cs="Arial"/>
          <w:rtl/>
        </w:rPr>
        <w:t xml:space="preserve">: אחד הלוה משלשה - יחזיר ללוה, שלשה הלוין מן האחד - יחזיר למלוה....    </w:t>
      </w:r>
      <w:r w:rsidRPr="001D49D4">
        <w:rPr>
          <w:rFonts w:ascii="Calibri" w:eastAsia="Calibri" w:hAnsi="Calibri" w:cs="Arial"/>
          <w:u w:val="double"/>
          <w:rtl/>
        </w:rPr>
        <w:t>גמרא</w:t>
      </w:r>
      <w:r w:rsidRPr="001D49D4">
        <w:rPr>
          <w:rFonts w:ascii="Calibri" w:eastAsia="Calibri" w:hAnsi="Calibri" w:cs="Arial"/>
          <w:sz w:val="14"/>
          <w:szCs w:val="14"/>
          <w:u w:val="double"/>
          <w:rtl/>
        </w:rPr>
        <w:t xml:space="preserve"> (כ:)</w:t>
      </w:r>
      <w:r w:rsidRPr="001D49D4">
        <w:rPr>
          <w:rFonts w:ascii="Calibri" w:eastAsia="Calibri" w:hAnsi="Calibri" w:cs="Arial"/>
          <w:u w:val="double"/>
          <w:rtl/>
        </w:rPr>
        <w:t>:</w:t>
      </w:r>
      <w:r w:rsidRPr="001D49D4">
        <w:rPr>
          <w:rFonts w:ascii="Calibri" w:eastAsia="Calibri" w:hAnsi="Calibri" w:cs="Arial"/>
          <w:rtl/>
        </w:rPr>
        <w:t xml:space="preserve"> דאי סלקא דעתך דמלוין נינהו, מאי בעו גבי הדדי?! דלמא לקיומינהו אזלי? דמקיימי</w:t>
      </w:r>
      <w:r w:rsidRPr="001D49D4">
        <w:rPr>
          <w:rFonts w:ascii="Calibri" w:eastAsia="Calibri" w:hAnsi="Calibri" w:cs="Arial"/>
          <w:vertAlign w:val="superscript"/>
          <w:rtl/>
        </w:rPr>
        <w:footnoteReference w:id="4841"/>
      </w:r>
      <w:r w:rsidRPr="001D49D4">
        <w:rPr>
          <w:rFonts w:ascii="Calibri" w:eastAsia="Calibri" w:hAnsi="Calibri" w:cs="Arial"/>
          <w:rtl/>
        </w:rPr>
        <w:t>. דלמא מידא דספרא נפיל? לא משהי איניש קיומיה בידא דספרא. שלשה שלוו מאחד יחזיר למלוה וכו'. דאי סלקא דעתך דלוין נינהו מאי בעו גבי הדדי?! דלמא למכתבנהו אזלי? דכתיבי בתלת ידי ספרי. ודלמא לקיומינהו אזלי? מלוה מקיים שטריה, לוה לא מקיים שטריה.</w:t>
      </w:r>
    </w:p>
    <w:p w14:paraId="7E5671C9" w14:textId="77777777" w:rsidR="001D49D4" w:rsidRPr="001D49D4" w:rsidRDefault="001D49D4" w:rsidP="0004348D">
      <w:pPr>
        <w:spacing w:before="360" w:after="240"/>
        <w:rPr>
          <w:rFonts w:ascii="Calibri" w:eastAsia="Calibri" w:hAnsi="Calibri" w:cs="Arial"/>
          <w:u w:val="single"/>
          <w:rtl/>
        </w:rPr>
      </w:pPr>
      <w:r w:rsidRPr="001D49D4">
        <w:rPr>
          <w:rFonts w:ascii="Calibri" w:eastAsia="Calibri" w:hAnsi="Calibri" w:cs="Arial"/>
          <w:u w:val="single"/>
          <w:rtl/>
        </w:rPr>
        <w:t>מצא ג' שטרות יחד - על לוה אחד שלוה מג' אנשים:</w:t>
      </w:r>
    </w:p>
    <w:p w14:paraId="55581F55" w14:textId="77777777" w:rsidR="001D49D4" w:rsidRPr="001D49D4" w:rsidRDefault="001D49D4" w:rsidP="0004348D">
      <w:pPr>
        <w:numPr>
          <w:ilvl w:val="0"/>
          <w:numId w:val="329"/>
        </w:numPr>
        <w:spacing w:before="360" w:after="240"/>
        <w:contextualSpacing/>
        <w:rPr>
          <w:rFonts w:ascii="Calibri" w:eastAsia="Calibri" w:hAnsi="Calibri" w:cs="Arial"/>
          <w:rtl/>
        </w:rPr>
      </w:pPr>
      <w:r w:rsidRPr="001D49D4">
        <w:rPr>
          <w:rFonts w:ascii="Calibri" w:eastAsia="Calibri" w:hAnsi="Calibri" w:cs="Arial"/>
          <w:rtl/>
        </w:rPr>
        <w:t xml:space="preserve">רמב"ם </w:t>
      </w:r>
      <w:r w:rsidRPr="001D49D4">
        <w:rPr>
          <w:rFonts w:ascii="Calibri" w:eastAsia="Calibri" w:hAnsi="Calibri" w:cs="Arial"/>
          <w:sz w:val="16"/>
          <w:szCs w:val="16"/>
          <w:rtl/>
        </w:rPr>
        <w:t>(הל' גזילה פי"ח ה"ד)</w:t>
      </w:r>
      <w:r w:rsidRPr="001D49D4">
        <w:rPr>
          <w:rFonts w:ascii="Calibri" w:eastAsia="Calibri" w:hAnsi="Calibri" w:cs="Arial"/>
          <w:rtl/>
        </w:rPr>
        <w:t xml:space="preserve"> וטור- מצא ג' שטרות יחד על לוה אחד שלוה מג' אנשים והם מקויימים - יחזירם ללוה</w:t>
      </w:r>
      <w:r w:rsidRPr="001D49D4">
        <w:rPr>
          <w:rFonts w:ascii="Calibri" w:eastAsia="Calibri" w:hAnsi="Calibri" w:cs="Arial"/>
          <w:vertAlign w:val="superscript"/>
          <w:rtl/>
        </w:rPr>
        <w:footnoteReference w:id="4842"/>
      </w:r>
      <w:r w:rsidRPr="001D49D4">
        <w:rPr>
          <w:rFonts w:ascii="Calibri" w:eastAsia="Calibri" w:hAnsi="Calibri" w:cs="Arial"/>
          <w:rtl/>
        </w:rPr>
        <w:t xml:space="preserve"> אף בלא סימן, שאילו היו של ג' מלוים לא היו נמצאים ביחד. ולא יתנם למלוים אף אם יתנו בהם סימן. ואם אינם מקוימים - לא יתנם ללוה אלא למי שנותן בהם סימן</w:t>
      </w:r>
      <w:r w:rsidRPr="001D49D4">
        <w:rPr>
          <w:rFonts w:ascii="Calibri" w:eastAsia="Calibri" w:hAnsi="Calibri" w:cs="Arial"/>
          <w:sz w:val="16"/>
          <w:szCs w:val="16"/>
          <w:rtl/>
        </w:rPr>
        <w:t xml:space="preserve"> (ל' הטור)</w:t>
      </w:r>
      <w:r w:rsidRPr="001D49D4">
        <w:rPr>
          <w:rFonts w:ascii="Calibri" w:eastAsia="Calibri" w:hAnsi="Calibri" w:cs="Arial"/>
          <w:rtl/>
        </w:rPr>
        <w:t>.</w:t>
      </w:r>
      <w:r w:rsidRPr="001D49D4">
        <w:rPr>
          <w:rFonts w:ascii="Calibri" w:eastAsia="Calibri" w:hAnsi="Calibri" w:cs="Arial"/>
          <w:color w:val="E36C0A" w:themeColor="accent6" w:themeShade="BF"/>
          <w:rtl/>
        </w:rPr>
        <w:t xml:space="preserve"> (וכ"פ בשו"ע)</w:t>
      </w:r>
    </w:p>
    <w:p w14:paraId="30B6EEB3" w14:textId="77777777" w:rsidR="001D49D4" w:rsidRPr="001D49D4" w:rsidRDefault="001D49D4" w:rsidP="0004348D">
      <w:pPr>
        <w:spacing w:before="360" w:after="240"/>
        <w:rPr>
          <w:rFonts w:ascii="Calibri" w:eastAsia="Calibri" w:hAnsi="Calibri" w:cs="Arial"/>
          <w:u w:val="single"/>
        </w:rPr>
      </w:pPr>
      <w:r w:rsidRPr="001D49D4">
        <w:rPr>
          <w:rFonts w:ascii="Calibri" w:eastAsia="Calibri" w:hAnsi="Calibri" w:cs="Arial"/>
          <w:u w:val="single"/>
          <w:rtl/>
        </w:rPr>
        <w:t>מצא ג' שטרות יחד - מג' לווים שלוו ממלוה אחד:</w:t>
      </w:r>
    </w:p>
    <w:p w14:paraId="74F0154D" w14:textId="77777777" w:rsidR="001D49D4" w:rsidRPr="001D49D4" w:rsidRDefault="001D49D4" w:rsidP="0004348D">
      <w:pPr>
        <w:numPr>
          <w:ilvl w:val="0"/>
          <w:numId w:val="329"/>
        </w:numPr>
        <w:spacing w:before="360" w:after="240"/>
        <w:contextualSpacing/>
        <w:rPr>
          <w:rFonts w:ascii="Calibri" w:eastAsia="Calibri" w:hAnsi="Calibri" w:cs="Arial"/>
          <w:rtl/>
        </w:rPr>
      </w:pPr>
      <w:r w:rsidRPr="001D49D4">
        <w:rPr>
          <w:rFonts w:ascii="Calibri" w:eastAsia="Calibri" w:hAnsi="Calibri" w:cs="Arial"/>
          <w:rtl/>
        </w:rPr>
        <w:t xml:space="preserve">רמב"ם </w:t>
      </w:r>
      <w:r w:rsidRPr="001D49D4">
        <w:rPr>
          <w:rFonts w:ascii="Calibri" w:eastAsia="Calibri" w:hAnsi="Calibri" w:cs="Arial"/>
          <w:sz w:val="16"/>
          <w:szCs w:val="16"/>
          <w:rtl/>
        </w:rPr>
        <w:t>(הל' גזילה פי"ח ה"ד)</w:t>
      </w:r>
      <w:r w:rsidRPr="001D49D4">
        <w:rPr>
          <w:rFonts w:ascii="Calibri" w:eastAsia="Calibri" w:hAnsi="Calibri" w:cs="Arial"/>
          <w:rtl/>
        </w:rPr>
        <w:t xml:space="preserve"> וטור- אם מצא ג' ביחד מג' לווים שלוו ממלוה אחד והם כתיבת יד ג' סופרים - יתנם למלוה אף בלא סימן. ואם הם כתיבת יד סופר אחד - יתנם למי שיתן בהן סימן</w:t>
      </w:r>
      <w:r w:rsidRPr="001D49D4">
        <w:rPr>
          <w:rFonts w:ascii="Calibri" w:eastAsia="Calibri" w:hAnsi="Calibri" w:cs="Arial"/>
          <w:sz w:val="16"/>
          <w:szCs w:val="16"/>
          <w:rtl/>
        </w:rPr>
        <w:t xml:space="preserve"> (ל' הטור)</w:t>
      </w:r>
      <w:r w:rsidRPr="001D49D4">
        <w:rPr>
          <w:rFonts w:ascii="Calibri" w:eastAsia="Calibri" w:hAnsi="Calibri" w:cs="Arial"/>
          <w:rtl/>
        </w:rPr>
        <w:t>.</w:t>
      </w:r>
      <w:r w:rsidRPr="001D49D4">
        <w:rPr>
          <w:rFonts w:ascii="Calibri" w:eastAsia="Calibri" w:hAnsi="Calibri" w:cs="Arial"/>
          <w:color w:val="E36C0A" w:themeColor="accent6" w:themeShade="BF"/>
          <w:rtl/>
        </w:rPr>
        <w:t xml:space="preserve"> (וכ"פ בשו"ע)</w:t>
      </w:r>
    </w:p>
    <w:p w14:paraId="396E27BB" w14:textId="77777777" w:rsidR="001D49D4" w:rsidRPr="001D49D4" w:rsidRDefault="001D49D4" w:rsidP="0004348D">
      <w:pPr>
        <w:spacing w:before="360" w:after="240"/>
        <w:rPr>
          <w:rFonts w:ascii="Calibri" w:eastAsia="Calibri" w:hAnsi="Calibri" w:cs="Arial"/>
        </w:rPr>
      </w:pPr>
      <w:r w:rsidRPr="001D49D4">
        <w:rPr>
          <w:rFonts w:ascii="Calibri" w:eastAsia="Calibri" w:hAnsi="Calibri" w:cs="Arial"/>
          <w:u w:val="single"/>
          <w:rtl/>
        </w:rPr>
        <w:t>האם הדינים דלעיל הם דוקא במצא ג' שטרות או דה"ה כשמצא</w:t>
      </w:r>
      <w:r w:rsidRPr="001D49D4">
        <w:rPr>
          <w:rFonts w:ascii="Calibri" w:eastAsia="Calibri" w:hAnsi="Calibri" w:cs="Arial"/>
          <w:b/>
          <w:bCs/>
          <w:u w:val="single"/>
          <w:rtl/>
        </w:rPr>
        <w:t xml:space="preserve"> שני</w:t>
      </w:r>
      <w:r w:rsidRPr="001D49D4">
        <w:rPr>
          <w:rFonts w:ascii="Calibri" w:eastAsia="Calibri" w:hAnsi="Calibri" w:cs="Arial"/>
          <w:u w:val="single"/>
          <w:rtl/>
        </w:rPr>
        <w:t xml:space="preserve"> שטרות יחד:</w:t>
      </w:r>
    </w:p>
    <w:p w14:paraId="51F6F50B" w14:textId="77777777" w:rsidR="001D49D4" w:rsidRPr="001D49D4" w:rsidRDefault="001D49D4" w:rsidP="0004348D">
      <w:pPr>
        <w:numPr>
          <w:ilvl w:val="0"/>
          <w:numId w:val="329"/>
        </w:numPr>
        <w:spacing w:before="360" w:after="240"/>
        <w:contextualSpacing/>
        <w:rPr>
          <w:rFonts w:ascii="Calibri" w:eastAsia="Calibri" w:hAnsi="Calibri" w:cs="Arial"/>
        </w:rPr>
      </w:pPr>
      <w:r w:rsidRPr="001D49D4">
        <w:rPr>
          <w:rFonts w:ascii="Calibri" w:eastAsia="Calibri" w:hAnsi="Calibri" w:cs="Arial"/>
          <w:rtl/>
        </w:rPr>
        <w:t xml:space="preserve">רי"ו </w:t>
      </w:r>
      <w:r w:rsidRPr="001D49D4">
        <w:rPr>
          <w:rFonts w:ascii="Calibri" w:eastAsia="Calibri" w:hAnsi="Calibri" w:cs="Arial"/>
          <w:sz w:val="16"/>
          <w:szCs w:val="16"/>
          <w:rtl/>
        </w:rPr>
        <w:t>(מישרים נ"כ ח"ב נב ע"ג)</w:t>
      </w:r>
      <w:r w:rsidRPr="001D49D4">
        <w:rPr>
          <w:rFonts w:ascii="Calibri" w:eastAsia="Calibri" w:hAnsi="Calibri" w:cs="Arial"/>
          <w:rtl/>
        </w:rPr>
        <w:t xml:space="preserve"> בשם התוס'- לאו דוקא שלשה שטרות דה"ה אפילו לא היו אלא שנים.</w:t>
      </w:r>
      <w:r w:rsidRPr="001D49D4">
        <w:rPr>
          <w:rFonts w:ascii="Calibri" w:eastAsia="Calibri" w:hAnsi="Calibri" w:cs="Arial"/>
          <w:color w:val="00B0F0"/>
          <w:rtl/>
        </w:rPr>
        <w:t xml:space="preserve"> (וכ"פ הרמ"א)</w:t>
      </w:r>
    </w:p>
    <w:p w14:paraId="0A23851C" w14:textId="77777777" w:rsidR="001D49D4" w:rsidRPr="001D49D4" w:rsidRDefault="001D49D4" w:rsidP="0004348D">
      <w:pPr>
        <w:spacing w:before="360" w:after="240"/>
        <w:rPr>
          <w:rFonts w:ascii="Arial" w:eastAsia="Calibri" w:hAnsi="Arial" w:cs="Arial"/>
          <w:b/>
          <w:bCs/>
          <w:color w:val="000000"/>
          <w:sz w:val="28"/>
          <w:szCs w:val="28"/>
          <w:u w:val="single"/>
          <w:rtl/>
        </w:rPr>
      </w:pPr>
      <w:r w:rsidRPr="001D49D4">
        <w:rPr>
          <w:rFonts w:ascii="Arial" w:eastAsia="Calibri" w:hAnsi="Arial" w:cs="Arial"/>
          <w:b/>
          <w:bCs/>
          <w:color w:val="000000"/>
          <w:sz w:val="28"/>
          <w:szCs w:val="28"/>
          <w:u w:val="single"/>
          <w:rtl/>
        </w:rPr>
        <w:t>שו"ע:</w:t>
      </w:r>
    </w:p>
    <w:p w14:paraId="0FB63C0C"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rtl/>
        </w:rPr>
        <w:t>מצא ג' שטרות יחד על לוה אחד שלוה מג' אנשים, והם מקויימים, יחזירם ללוה אף בלא סימן</w:t>
      </w:r>
      <w:r w:rsidRPr="001D49D4">
        <w:rPr>
          <w:rFonts w:ascii="Calibri" w:eastAsia="Calibri" w:hAnsi="Calibri" w:cs="Arial"/>
          <w:vertAlign w:val="superscript"/>
          <w:rtl/>
        </w:rPr>
        <w:footnoteReference w:id="4843"/>
      </w:r>
      <w:r w:rsidRPr="001D49D4">
        <w:rPr>
          <w:rFonts w:ascii="Calibri" w:eastAsia="Calibri" w:hAnsi="Calibri" w:cs="Arial"/>
          <w:rtl/>
        </w:rPr>
        <w:t>. ולא יתנם למלוה אף אם יתן בהם סימן. ואם אינם מקויימים, לא יתנם אלא למי שנותן בהם סימן. ואם מצא ג' ביחד מג' לווין שלוו ממלוה אחד, והם כתיבת יד שלשה סופרים, יתנם למלוה אף בלא סימן, ואם הם כתיבת יד סופר אחד</w:t>
      </w:r>
      <w:r w:rsidRPr="001D49D4">
        <w:rPr>
          <w:rFonts w:ascii="Calibri" w:eastAsia="Calibri" w:hAnsi="Calibri" w:cs="Arial"/>
          <w:vertAlign w:val="superscript"/>
          <w:rtl/>
        </w:rPr>
        <w:footnoteReference w:id="4844"/>
      </w:r>
      <w:r w:rsidRPr="001D49D4">
        <w:rPr>
          <w:rFonts w:ascii="Calibri" w:eastAsia="Calibri" w:hAnsi="Calibri" w:cs="Arial"/>
          <w:rtl/>
        </w:rPr>
        <w:t>, יתנם למי שיתן בהם סימן</w:t>
      </w:r>
      <w:r w:rsidRPr="001D49D4">
        <w:rPr>
          <w:rFonts w:ascii="Calibri" w:eastAsia="Calibri" w:hAnsi="Calibri" w:cs="Arial"/>
          <w:vertAlign w:val="superscript"/>
          <w:rtl/>
        </w:rPr>
        <w:footnoteReference w:id="4845"/>
      </w:r>
      <w:r w:rsidRPr="001D49D4">
        <w:rPr>
          <w:rFonts w:ascii="Calibri" w:eastAsia="Calibri" w:hAnsi="Calibri" w:cs="Arial"/>
          <w:rtl/>
        </w:rPr>
        <w:t xml:space="preserve">. </w:t>
      </w:r>
      <w:r w:rsidRPr="001D49D4">
        <w:rPr>
          <w:rFonts w:ascii="Calibri" w:eastAsia="Calibri" w:hAnsi="Calibri" w:cs="Arial"/>
          <w:sz w:val="18"/>
          <w:szCs w:val="18"/>
          <w:rtl/>
        </w:rPr>
        <w:t>[הגה] והוא הדין שני שטרות</w:t>
      </w:r>
      <w:r w:rsidRPr="001D49D4">
        <w:rPr>
          <w:rFonts w:ascii="Calibri" w:eastAsia="Calibri" w:hAnsi="Calibri" w:cs="Arial"/>
          <w:sz w:val="18"/>
          <w:szCs w:val="18"/>
          <w:vertAlign w:val="superscript"/>
          <w:rtl/>
        </w:rPr>
        <w:footnoteReference w:id="4846"/>
      </w:r>
      <w:r w:rsidRPr="001D49D4">
        <w:rPr>
          <w:rFonts w:ascii="Calibri" w:eastAsia="Calibri" w:hAnsi="Calibri" w:cs="Arial"/>
          <w:sz w:val="18"/>
          <w:szCs w:val="18"/>
          <w:rtl/>
        </w:rPr>
        <w:t xml:space="preserve"> משני לווין או שני מלוין (רי"ו נ"ב ח"ג).</w:t>
      </w:r>
      <w:r w:rsidRPr="001D49D4">
        <w:rPr>
          <w:rFonts w:ascii="Calibri" w:eastAsia="Calibri" w:hAnsi="Calibri" w:cs="Arial"/>
          <w:rtl/>
        </w:rPr>
        <w:t xml:space="preserve"> </w:t>
      </w:r>
    </w:p>
    <w:p w14:paraId="5D2A46AA" w14:textId="77777777" w:rsidR="001D49D4" w:rsidRPr="001D49D4" w:rsidRDefault="001D49D4" w:rsidP="0004348D">
      <w:pPr>
        <w:spacing w:before="360" w:after="240"/>
        <w:rPr>
          <w:rFonts w:ascii="Calibri" w:eastAsia="Calibri" w:hAnsi="Calibri" w:cs="Arial"/>
          <w:rtl/>
        </w:rPr>
      </w:pPr>
    </w:p>
    <w:p w14:paraId="39E5CB57" w14:textId="77777777" w:rsidR="001D49D4" w:rsidRPr="001D49D4" w:rsidRDefault="001D49D4" w:rsidP="0004348D">
      <w:pPr>
        <w:keepNext/>
        <w:keepLines/>
        <w:spacing w:before="360" w:after="240"/>
        <w:outlineLvl w:val="1"/>
        <w:rPr>
          <w:rFonts w:ascii="Cambria" w:eastAsia="Times New Roman" w:hAnsi="Cambria" w:cs="Arial"/>
          <w:bCs/>
          <w:color w:val="548DD4" w:themeColor="text2" w:themeTint="99"/>
          <w:sz w:val="26"/>
          <w:szCs w:val="26"/>
          <w:rtl/>
        </w:rPr>
      </w:pPr>
      <w:bookmarkStart w:id="658" w:name="_Toc24884081"/>
      <w:r w:rsidRPr="001D49D4">
        <w:rPr>
          <w:rFonts w:ascii="Cambria" w:eastAsia="Times New Roman" w:hAnsi="Cambria" w:cs="Arial"/>
          <w:bCs/>
          <w:color w:val="548DD4" w:themeColor="text2" w:themeTint="99"/>
          <w:sz w:val="26"/>
          <w:szCs w:val="26"/>
          <w:rtl/>
        </w:rPr>
        <w:t>סעיף יב: המוצא אגרות שום/מזון/חליצה/מיאונין/בירורין או אגרות היוצאות בב"ד.</w:t>
      </w:r>
      <w:bookmarkEnd w:id="658"/>
    </w:p>
    <w:p w14:paraId="3FB68B71"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b/>
          <w:bCs/>
          <w:rtl/>
        </w:rPr>
        <w:t xml:space="preserve">בבא מציעא </w:t>
      </w:r>
      <w:r w:rsidRPr="001D49D4">
        <w:rPr>
          <w:rFonts w:ascii="Calibri" w:eastAsia="Calibri" w:hAnsi="Calibri" w:cs="Arial"/>
          <w:b/>
          <w:bCs/>
          <w:sz w:val="16"/>
          <w:szCs w:val="16"/>
          <w:rtl/>
        </w:rPr>
        <w:t>(ספ"ק)</w:t>
      </w:r>
      <w:r w:rsidRPr="001D49D4">
        <w:rPr>
          <w:rFonts w:ascii="Calibri" w:eastAsia="Calibri" w:hAnsi="Calibri" w:cs="Arial"/>
          <w:b/>
          <w:bCs/>
          <w:rtl/>
        </w:rPr>
        <w:t xml:space="preserve"> כ</w:t>
      </w:r>
      <w:r w:rsidRPr="001D49D4">
        <w:rPr>
          <w:rFonts w:ascii="Calibri" w:eastAsia="Calibri" w:hAnsi="Calibri" w:cs="Arial"/>
          <w:b/>
          <w:bCs/>
          <w:vertAlign w:val="superscript"/>
          <w:rtl/>
        </w:rPr>
        <w:footnoteReference w:id="4847"/>
      </w:r>
      <w:r w:rsidRPr="001D49D4">
        <w:rPr>
          <w:rFonts w:ascii="Calibri" w:eastAsia="Calibri" w:hAnsi="Calibri" w:cs="Arial"/>
          <w:b/>
          <w:bCs/>
          <w:rtl/>
        </w:rPr>
        <w:t xml:space="preserve"> ע"א:</w:t>
      </w:r>
      <w:r w:rsidRPr="001D49D4">
        <w:rPr>
          <w:rFonts w:ascii="Calibri" w:eastAsia="Calibri" w:hAnsi="Calibri" w:cs="Arial"/>
          <w:rtl/>
        </w:rPr>
        <w:t xml:space="preserve"> </w:t>
      </w:r>
      <w:r w:rsidRPr="001D49D4">
        <w:rPr>
          <w:rFonts w:ascii="Calibri" w:eastAsia="Calibri" w:hAnsi="Calibri" w:cs="Arial"/>
          <w:u w:val="double"/>
          <w:rtl/>
        </w:rPr>
        <w:t>משנה</w:t>
      </w:r>
      <w:r w:rsidRPr="001D49D4">
        <w:rPr>
          <w:rFonts w:ascii="Calibri" w:eastAsia="Calibri" w:hAnsi="Calibri" w:cs="Arial"/>
          <w:rtl/>
        </w:rPr>
        <w:t>: מצא איגרות שום</w:t>
      </w:r>
      <w:r w:rsidRPr="001D49D4">
        <w:rPr>
          <w:rFonts w:ascii="Calibri" w:eastAsia="Calibri" w:hAnsi="Calibri" w:cs="Arial"/>
          <w:vertAlign w:val="superscript"/>
          <w:rtl/>
        </w:rPr>
        <w:footnoteReference w:id="4848"/>
      </w:r>
      <w:r w:rsidRPr="001D49D4">
        <w:rPr>
          <w:rFonts w:ascii="Calibri" w:eastAsia="Calibri" w:hAnsi="Calibri" w:cs="Arial"/>
          <w:rtl/>
        </w:rPr>
        <w:t xml:space="preserve"> ואיגרות מזון</w:t>
      </w:r>
      <w:r w:rsidRPr="001D49D4">
        <w:rPr>
          <w:rFonts w:ascii="Calibri" w:eastAsia="Calibri" w:hAnsi="Calibri" w:cs="Arial"/>
          <w:vertAlign w:val="superscript"/>
          <w:rtl/>
        </w:rPr>
        <w:footnoteReference w:id="4849"/>
      </w:r>
      <w:r w:rsidRPr="001D49D4">
        <w:rPr>
          <w:rFonts w:ascii="Calibri" w:eastAsia="Calibri" w:hAnsi="Calibri" w:cs="Arial"/>
          <w:rtl/>
        </w:rPr>
        <w:t>, שטרי חליצה ומיאונין</w:t>
      </w:r>
      <w:r w:rsidRPr="001D49D4">
        <w:rPr>
          <w:rFonts w:ascii="Calibri" w:eastAsia="Calibri" w:hAnsi="Calibri" w:cs="Arial"/>
          <w:vertAlign w:val="superscript"/>
          <w:rtl/>
        </w:rPr>
        <w:footnoteReference w:id="4850"/>
      </w:r>
      <w:r w:rsidRPr="001D49D4">
        <w:rPr>
          <w:rFonts w:ascii="Calibri" w:eastAsia="Calibri" w:hAnsi="Calibri" w:cs="Arial"/>
          <w:rtl/>
        </w:rPr>
        <w:t>, ושטרי בירורין וכל מעשה בית דין - הרי זה יחזיר</w:t>
      </w:r>
      <w:r w:rsidRPr="001D49D4">
        <w:rPr>
          <w:rFonts w:ascii="Calibri" w:eastAsia="Calibri" w:hAnsi="Calibri" w:cs="Arial"/>
          <w:vertAlign w:val="superscript"/>
          <w:rtl/>
        </w:rPr>
        <w:footnoteReference w:id="4851"/>
      </w:r>
      <w:r w:rsidRPr="001D49D4">
        <w:rPr>
          <w:rFonts w:ascii="Calibri" w:eastAsia="Calibri" w:hAnsi="Calibri" w:cs="Arial"/>
          <w:rtl/>
        </w:rPr>
        <w:t xml:space="preserve">...    </w:t>
      </w:r>
      <w:r w:rsidRPr="001D49D4">
        <w:rPr>
          <w:rFonts w:ascii="Calibri" w:eastAsia="Calibri" w:hAnsi="Calibri" w:cs="Arial"/>
          <w:u w:val="double"/>
          <w:rtl/>
        </w:rPr>
        <w:t>גמרא</w:t>
      </w:r>
      <w:r w:rsidRPr="001D49D4">
        <w:rPr>
          <w:rFonts w:ascii="Calibri" w:eastAsia="Calibri" w:hAnsi="Calibri" w:cs="Arial"/>
          <w:rtl/>
        </w:rPr>
        <w:t xml:space="preserve">: מאי שטרי בירורין? הכא תרגמו: שטרי טענתא, רבי ירמיה אמר: זה בורר לו אחד וזה בורר לו אחד.  </w:t>
      </w:r>
    </w:p>
    <w:p w14:paraId="591048CA" w14:textId="77777777" w:rsidR="001D49D4" w:rsidRPr="001D49D4" w:rsidRDefault="001D49D4" w:rsidP="0004348D">
      <w:pPr>
        <w:spacing w:before="360" w:after="240"/>
        <w:rPr>
          <w:rFonts w:ascii="Calibri" w:eastAsia="Calibri" w:hAnsi="Calibri" w:cs="Arial"/>
          <w:sz w:val="16"/>
          <w:szCs w:val="16"/>
          <w:rtl/>
        </w:rPr>
      </w:pPr>
      <w:r w:rsidRPr="001D49D4">
        <w:rPr>
          <w:rFonts w:ascii="Calibri" w:eastAsia="Calibri" w:hAnsi="Calibri" w:cs="Arial"/>
          <w:b/>
          <w:bCs/>
          <w:rtl/>
        </w:rPr>
        <w:t xml:space="preserve">בבא מציעא </w:t>
      </w:r>
      <w:r w:rsidRPr="001D49D4">
        <w:rPr>
          <w:rFonts w:ascii="Calibri" w:eastAsia="Calibri" w:hAnsi="Calibri" w:cs="Arial"/>
          <w:b/>
          <w:bCs/>
          <w:sz w:val="16"/>
          <w:szCs w:val="16"/>
          <w:rtl/>
        </w:rPr>
        <w:t>(פ"ק)</w:t>
      </w:r>
      <w:r w:rsidRPr="001D49D4">
        <w:rPr>
          <w:rFonts w:ascii="Calibri" w:eastAsia="Calibri" w:hAnsi="Calibri" w:cs="Arial"/>
          <w:b/>
          <w:bCs/>
          <w:rtl/>
        </w:rPr>
        <w:t xml:space="preserve"> טז</w:t>
      </w:r>
      <w:r w:rsidRPr="001D49D4">
        <w:rPr>
          <w:rFonts w:ascii="Calibri" w:eastAsia="Calibri" w:hAnsi="Calibri" w:cs="Arial"/>
          <w:b/>
          <w:bCs/>
          <w:vertAlign w:val="superscript"/>
          <w:rtl/>
        </w:rPr>
        <w:footnoteReference w:id="4852"/>
      </w:r>
      <w:r w:rsidRPr="001D49D4">
        <w:rPr>
          <w:rFonts w:ascii="Calibri" w:eastAsia="Calibri" w:hAnsi="Calibri" w:cs="Arial"/>
          <w:b/>
          <w:bCs/>
          <w:rtl/>
        </w:rPr>
        <w:t xml:space="preserve"> ע"ב:</w:t>
      </w:r>
      <w:r w:rsidRPr="001D49D4">
        <w:rPr>
          <w:rFonts w:ascii="Calibri" w:eastAsia="Calibri" w:hAnsi="Calibri" w:cs="Arial"/>
          <w:rtl/>
        </w:rPr>
        <w:t xml:space="preserve"> </w:t>
      </w:r>
      <w:r w:rsidRPr="001D49D4">
        <w:rPr>
          <w:rFonts w:ascii="Calibri" w:eastAsia="Calibri" w:hAnsi="Calibri" w:cs="Arial"/>
          <w:u w:val="single"/>
          <w:rtl/>
        </w:rPr>
        <w:t>אמר רבי אבהו אמר רבי יוחנן</w:t>
      </w:r>
      <w:r w:rsidRPr="001D49D4">
        <w:rPr>
          <w:rFonts w:ascii="Calibri" w:eastAsia="Calibri" w:hAnsi="Calibri" w:cs="Arial"/>
          <w:rtl/>
        </w:rPr>
        <w:t xml:space="preserve">: המוצא שטר חוב בשוק, אף על פי שכתוב בו הנפק - לא יחזירו לבעלים. לא מיבעיא היכא דלא כתוב בו הנפק - דאיכא למימר כתב ללות ולא לוה, אלא אפילו כתוב בו הנפק, ומאי ניהו - דמקוים, לא יחזיר, דחיישינן לפרעון. </w:t>
      </w:r>
      <w:r w:rsidRPr="001D49D4">
        <w:rPr>
          <w:rFonts w:ascii="Calibri" w:eastAsia="Calibri" w:hAnsi="Calibri" w:cs="Arial"/>
          <w:u w:val="single"/>
          <w:rtl/>
        </w:rPr>
        <w:t>איתיביה רבי ירמיה לרבי אבהו</w:t>
      </w:r>
      <w:r w:rsidRPr="001D49D4">
        <w:rPr>
          <w:rFonts w:ascii="Calibri" w:eastAsia="Calibri" w:hAnsi="Calibri" w:cs="Arial"/>
          <w:rtl/>
        </w:rPr>
        <w:t>: כל מעשה בית דין</w:t>
      </w:r>
      <w:r w:rsidRPr="001D49D4">
        <w:rPr>
          <w:rFonts w:ascii="Calibri" w:eastAsia="Calibri" w:hAnsi="Calibri" w:cs="Arial"/>
          <w:vertAlign w:val="superscript"/>
          <w:rtl/>
        </w:rPr>
        <w:footnoteReference w:id="4853"/>
      </w:r>
      <w:r w:rsidRPr="001D49D4">
        <w:rPr>
          <w:rFonts w:ascii="Calibri" w:eastAsia="Calibri" w:hAnsi="Calibri" w:cs="Arial"/>
          <w:rtl/>
        </w:rPr>
        <w:t xml:space="preserve"> הרי זה יחזיר! </w:t>
      </w:r>
      <w:r w:rsidRPr="001D49D4">
        <w:rPr>
          <w:rFonts w:ascii="Calibri" w:eastAsia="Calibri" w:hAnsi="Calibri" w:cs="Arial"/>
          <w:u w:val="single"/>
          <w:rtl/>
        </w:rPr>
        <w:t>אמר ליה</w:t>
      </w:r>
      <w:r w:rsidRPr="001D49D4">
        <w:rPr>
          <w:rFonts w:ascii="Calibri" w:eastAsia="Calibri" w:hAnsi="Calibri" w:cs="Arial"/>
          <w:rtl/>
        </w:rPr>
        <w:t>: ירמיה ברי, לא כל מעשה בית דין שוים, אלא כגון שהוחזק</w:t>
      </w:r>
      <w:r w:rsidRPr="001D49D4">
        <w:rPr>
          <w:rFonts w:ascii="Calibri" w:eastAsia="Calibri" w:hAnsi="Calibri" w:cs="Arial"/>
          <w:vertAlign w:val="superscript"/>
          <w:rtl/>
        </w:rPr>
        <w:footnoteReference w:id="4854"/>
      </w:r>
      <w:r w:rsidRPr="001D49D4">
        <w:rPr>
          <w:rFonts w:ascii="Calibri" w:eastAsia="Calibri" w:hAnsi="Calibri" w:cs="Arial"/>
          <w:rtl/>
        </w:rPr>
        <w:t xml:space="preserve"> כפרן. </w:t>
      </w:r>
      <w:r w:rsidRPr="001D49D4">
        <w:rPr>
          <w:rFonts w:ascii="Calibri" w:eastAsia="Calibri" w:hAnsi="Calibri" w:cs="Arial"/>
          <w:u w:val="single"/>
          <w:rtl/>
        </w:rPr>
        <w:t>אמר רבא</w:t>
      </w:r>
      <w:r w:rsidRPr="001D49D4">
        <w:rPr>
          <w:rFonts w:ascii="Calibri" w:eastAsia="Calibri" w:hAnsi="Calibri" w:cs="Arial"/>
          <w:rtl/>
        </w:rPr>
        <w:t xml:space="preserve">: ומשום דהוחזק כפרן חדא זמנא, תו לא פרע כלל? </w:t>
      </w:r>
      <w:r w:rsidRPr="001D49D4">
        <w:rPr>
          <w:rFonts w:ascii="Calibri" w:eastAsia="Calibri" w:hAnsi="Calibri" w:cs="Arial"/>
          <w:u w:val="single"/>
          <w:rtl/>
        </w:rPr>
        <w:t>אלא אמר רבא:</w:t>
      </w:r>
      <w:r w:rsidRPr="001D49D4">
        <w:rPr>
          <w:rFonts w:ascii="Calibri" w:eastAsia="Calibri" w:hAnsi="Calibri" w:cs="Arial"/>
          <w:rtl/>
        </w:rPr>
        <w:t xml:space="preserve"> מתניתין בשטר חלטאתא</w:t>
      </w:r>
      <w:r w:rsidRPr="001D49D4">
        <w:rPr>
          <w:rFonts w:ascii="Calibri" w:eastAsia="Calibri" w:hAnsi="Calibri" w:cs="Arial"/>
          <w:vertAlign w:val="superscript"/>
          <w:rtl/>
        </w:rPr>
        <w:footnoteReference w:id="4855"/>
      </w:r>
      <w:r w:rsidRPr="001D49D4">
        <w:rPr>
          <w:rFonts w:ascii="Calibri" w:eastAsia="Calibri" w:hAnsi="Calibri" w:cs="Arial"/>
          <w:rtl/>
        </w:rPr>
        <w:t xml:space="preserve"> ואדרכתא</w:t>
      </w:r>
      <w:r w:rsidRPr="001D49D4">
        <w:rPr>
          <w:rFonts w:ascii="Calibri" w:eastAsia="Calibri" w:hAnsi="Calibri" w:cs="Arial"/>
          <w:vertAlign w:val="superscript"/>
          <w:rtl/>
        </w:rPr>
        <w:footnoteReference w:id="4856"/>
      </w:r>
      <w:r w:rsidRPr="001D49D4">
        <w:rPr>
          <w:rFonts w:ascii="Calibri" w:eastAsia="Calibri" w:hAnsi="Calibri" w:cs="Arial"/>
          <w:rtl/>
        </w:rPr>
        <w:t>, וכדרבי זירא.</w:t>
      </w:r>
      <w:r w:rsidRPr="001D49D4">
        <w:rPr>
          <w:rFonts w:ascii="Calibri" w:eastAsia="Calibri" w:hAnsi="Calibri" w:cs="Arial"/>
          <w:sz w:val="16"/>
          <w:szCs w:val="16"/>
          <w:rtl/>
        </w:rPr>
        <w:t xml:space="preserve"> (וכתבו התוס' </w:t>
      </w:r>
      <w:r w:rsidRPr="001D49D4">
        <w:rPr>
          <w:rFonts w:ascii="Calibri" w:eastAsia="Calibri" w:hAnsi="Calibri" w:cs="Arial"/>
          <w:sz w:val="14"/>
          <w:szCs w:val="14"/>
          <w:rtl/>
        </w:rPr>
        <w:t>(טז: ד"ה בשטרי)</w:t>
      </w:r>
      <w:r w:rsidRPr="001D49D4">
        <w:rPr>
          <w:rFonts w:ascii="Calibri" w:eastAsia="Calibri" w:hAnsi="Calibri" w:cs="Arial"/>
          <w:sz w:val="16"/>
          <w:szCs w:val="16"/>
          <w:rtl/>
        </w:rPr>
        <w:t xml:space="preserve"> דנקט אדרכתא אליבא דרבה דאמר בהמפקיד (ב"מ לה:) דאכיל פירי מכי מטא אדרכתא לידיה, ולרבא דאמר מכי שלמו יומי אכרזתא יעמיד מתניתין בחלטתא גרידא. וכיון דקיימא לן כרבא כמו שיתבאר בסימן ק"ג (ס"ז) השמיט רבינו אדרכתא, ב"י)</w:t>
      </w:r>
    </w:p>
    <w:p w14:paraId="60C545F2" w14:textId="77777777" w:rsidR="001D49D4" w:rsidRPr="001D49D4" w:rsidRDefault="001D49D4" w:rsidP="0004348D">
      <w:pPr>
        <w:spacing w:before="360" w:after="240"/>
        <w:rPr>
          <w:rFonts w:ascii="Calibri" w:eastAsia="Calibri" w:hAnsi="Calibri" w:cs="Arial"/>
          <w:u w:val="single"/>
          <w:rtl/>
        </w:rPr>
      </w:pPr>
      <w:r w:rsidRPr="001D49D4">
        <w:rPr>
          <w:rFonts w:ascii="Calibri" w:eastAsia="Calibri" w:hAnsi="Calibri" w:cs="Arial"/>
          <w:u w:val="single"/>
          <w:rtl/>
        </w:rPr>
        <w:t>המוצא אגרות שום/מזון/חליצה/מיאונין/בירורין או אגרות היוצאות בב"ד:</w:t>
      </w:r>
    </w:p>
    <w:p w14:paraId="0B194995" w14:textId="77777777" w:rsidR="001D49D4" w:rsidRPr="001D49D4" w:rsidRDefault="001D49D4" w:rsidP="0004348D">
      <w:pPr>
        <w:numPr>
          <w:ilvl w:val="0"/>
          <w:numId w:val="329"/>
        </w:numPr>
        <w:spacing w:before="360" w:after="240"/>
        <w:contextualSpacing/>
        <w:rPr>
          <w:rFonts w:ascii="Calibri" w:eastAsia="Calibri" w:hAnsi="Calibri" w:cs="Arial"/>
          <w:rtl/>
        </w:rPr>
      </w:pPr>
      <w:r w:rsidRPr="001D49D4">
        <w:rPr>
          <w:rFonts w:ascii="Calibri" w:eastAsia="Calibri" w:hAnsi="Calibri" w:cs="Arial"/>
          <w:rtl/>
        </w:rPr>
        <w:t>טור- מצא אגרות שום ששמו ב"ד נכסי לוה למלוה, ואגרות מזון שקיבל עליו לזון את בת אשתו, או שמכרו ב"ד קרקע למזון האשה והבנות, ושטרי חליצה ומיאונין, וכל מעשה ב"ד</w:t>
      </w:r>
      <w:r w:rsidRPr="001D49D4">
        <w:rPr>
          <w:rFonts w:ascii="Calibri" w:eastAsia="Calibri" w:hAnsi="Calibri" w:cs="Arial"/>
          <w:vertAlign w:val="superscript"/>
          <w:rtl/>
        </w:rPr>
        <w:footnoteReference w:id="4857"/>
      </w:r>
      <w:r w:rsidRPr="001D49D4">
        <w:rPr>
          <w:rFonts w:ascii="Calibri" w:eastAsia="Calibri" w:hAnsi="Calibri" w:cs="Arial"/>
          <w:rtl/>
        </w:rPr>
        <w:t xml:space="preserve"> כגון שטרי חלטתא שהחליטו ב"ד נכסי לוה למלוה - יחזיר לבעליו.</w:t>
      </w:r>
      <w:r w:rsidRPr="001D49D4">
        <w:rPr>
          <w:rFonts w:ascii="Calibri" w:eastAsia="Calibri" w:hAnsi="Calibri" w:cs="Arial"/>
          <w:color w:val="E36C0A" w:themeColor="accent6" w:themeShade="BF"/>
          <w:rtl/>
        </w:rPr>
        <w:t xml:space="preserve"> (וכ"פ בשו"ע)</w:t>
      </w:r>
    </w:p>
    <w:p w14:paraId="6428857C" w14:textId="77777777" w:rsidR="001D49D4" w:rsidRPr="001D49D4" w:rsidRDefault="001D49D4" w:rsidP="0004348D">
      <w:pPr>
        <w:spacing w:before="360" w:after="240"/>
        <w:rPr>
          <w:rFonts w:ascii="Calibri" w:eastAsia="Calibri" w:hAnsi="Calibri" w:cs="Arial"/>
          <w:u w:val="single"/>
          <w:rtl/>
        </w:rPr>
      </w:pPr>
      <w:r w:rsidRPr="001D49D4">
        <w:rPr>
          <w:rFonts w:ascii="Calibri" w:eastAsia="Calibri" w:hAnsi="Calibri" w:cs="Arial"/>
          <w:u w:val="single"/>
          <w:rtl/>
        </w:rPr>
        <w:t>המוצא שטר כתובה:</w:t>
      </w:r>
      <w:r w:rsidRPr="001D49D4">
        <w:rPr>
          <w:rFonts w:ascii="Calibri" w:eastAsia="Calibri" w:hAnsi="Calibri" w:cs="Arial"/>
          <w:sz w:val="16"/>
          <w:szCs w:val="16"/>
          <w:rtl/>
        </w:rPr>
        <w:t xml:space="preserve">   (ש"ך סקל"ב)</w:t>
      </w:r>
    </w:p>
    <w:p w14:paraId="0195D445" w14:textId="77777777" w:rsidR="001D49D4" w:rsidRPr="001D49D4" w:rsidRDefault="001D49D4" w:rsidP="0004348D">
      <w:pPr>
        <w:numPr>
          <w:ilvl w:val="0"/>
          <w:numId w:val="329"/>
        </w:numPr>
        <w:spacing w:before="360" w:after="240"/>
        <w:contextualSpacing/>
        <w:rPr>
          <w:rFonts w:ascii="Calibri" w:eastAsia="Calibri" w:hAnsi="Calibri" w:cs="Arial"/>
          <w:rtl/>
        </w:rPr>
      </w:pPr>
      <w:r w:rsidRPr="001D49D4">
        <w:rPr>
          <w:rFonts w:ascii="Calibri" w:eastAsia="Calibri" w:hAnsi="Calibri" w:cs="Arial"/>
          <w:rtl/>
        </w:rPr>
        <w:t xml:space="preserve">רמב"ם </w:t>
      </w:r>
      <w:r w:rsidRPr="001D49D4">
        <w:rPr>
          <w:rFonts w:ascii="Calibri" w:eastAsia="Calibri" w:hAnsi="Calibri" w:cs="Arial"/>
          <w:sz w:val="16"/>
          <w:szCs w:val="16"/>
          <w:rtl/>
        </w:rPr>
        <w:t>(סוף הל' גזילה ואבידה הי"ב)</w:t>
      </w:r>
      <w:r w:rsidRPr="001D49D4">
        <w:rPr>
          <w:rFonts w:ascii="Calibri" w:eastAsia="Calibri" w:hAnsi="Calibri" w:cs="Arial"/>
          <w:rtl/>
        </w:rPr>
        <w:t>- מצא כתובה אע"פ ששניהם מודים - לא יחזיר לאשה שמא נפרעה כתובה זו או נמחלה ואח"כ מכר הבעל נכסיו והרי הוא רוצה לעשות קנוניא על הלקוחות</w:t>
      </w:r>
      <w:r w:rsidRPr="001D49D4">
        <w:rPr>
          <w:rFonts w:ascii="Calibri" w:eastAsia="Calibri" w:hAnsi="Calibri" w:cs="Arial"/>
          <w:vertAlign w:val="superscript"/>
          <w:rtl/>
        </w:rPr>
        <w:footnoteReference w:id="4858"/>
      </w:r>
      <w:r w:rsidRPr="001D49D4">
        <w:rPr>
          <w:rFonts w:ascii="Calibri" w:eastAsia="Calibri" w:hAnsi="Calibri" w:cs="Arial"/>
          <w:rtl/>
        </w:rPr>
        <w:t xml:space="preserve">. </w:t>
      </w:r>
    </w:p>
    <w:p w14:paraId="6BFD15F5" w14:textId="77777777" w:rsidR="001D49D4" w:rsidRPr="001D49D4" w:rsidRDefault="001D49D4" w:rsidP="0004348D">
      <w:pPr>
        <w:spacing w:before="360" w:after="240"/>
        <w:rPr>
          <w:rFonts w:ascii="Arial" w:eastAsia="Calibri" w:hAnsi="Arial" w:cs="Arial"/>
          <w:b/>
          <w:bCs/>
          <w:color w:val="000000"/>
          <w:sz w:val="28"/>
          <w:szCs w:val="28"/>
          <w:u w:val="single"/>
        </w:rPr>
      </w:pPr>
      <w:r w:rsidRPr="001D49D4">
        <w:rPr>
          <w:rFonts w:ascii="Arial" w:eastAsia="Calibri" w:hAnsi="Arial" w:cs="Arial"/>
          <w:b/>
          <w:bCs/>
          <w:color w:val="000000"/>
          <w:sz w:val="28"/>
          <w:szCs w:val="28"/>
          <w:u w:val="single"/>
          <w:rtl/>
        </w:rPr>
        <w:t>שו"ע:</w:t>
      </w:r>
    </w:p>
    <w:p w14:paraId="67404F5D"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rtl/>
        </w:rPr>
        <w:t>מצא אגרות שום ואגרות מזון, שטרי חליצה ומאונין ושטרי בירורין וכל מעשה בית דין כגון חלטתא</w:t>
      </w:r>
      <w:r w:rsidRPr="001D49D4">
        <w:rPr>
          <w:rFonts w:ascii="Calibri" w:eastAsia="Calibri" w:hAnsi="Calibri" w:cs="Arial"/>
          <w:vertAlign w:val="superscript"/>
          <w:rtl/>
        </w:rPr>
        <w:footnoteReference w:id="4859"/>
      </w:r>
      <w:r w:rsidRPr="001D49D4">
        <w:rPr>
          <w:rFonts w:ascii="Calibri" w:eastAsia="Calibri" w:hAnsi="Calibri" w:cs="Arial"/>
          <w:rtl/>
        </w:rPr>
        <w:t>, יחזיר לבעליו</w:t>
      </w:r>
      <w:r w:rsidRPr="001D49D4">
        <w:rPr>
          <w:rFonts w:ascii="Calibri" w:eastAsia="Calibri" w:hAnsi="Calibri" w:cs="Arial"/>
          <w:vertAlign w:val="superscript"/>
          <w:rtl/>
        </w:rPr>
        <w:footnoteReference w:id="4860"/>
      </w:r>
      <w:r w:rsidRPr="001D49D4">
        <w:rPr>
          <w:rFonts w:ascii="Calibri" w:eastAsia="Calibri" w:hAnsi="Calibri" w:cs="Arial"/>
          <w:rtl/>
        </w:rPr>
        <w:t xml:space="preserve">. </w:t>
      </w:r>
    </w:p>
    <w:p w14:paraId="293195CD" w14:textId="77777777" w:rsidR="001D49D4" w:rsidRPr="001D49D4" w:rsidRDefault="001D49D4" w:rsidP="0004348D">
      <w:pPr>
        <w:spacing w:before="360" w:after="240"/>
        <w:rPr>
          <w:rFonts w:ascii="Calibri" w:eastAsia="Calibri" w:hAnsi="Calibri" w:cs="Arial"/>
          <w:rtl/>
        </w:rPr>
      </w:pPr>
    </w:p>
    <w:p w14:paraId="6E4CAC57" w14:textId="77777777" w:rsidR="001D49D4" w:rsidRPr="001D49D4" w:rsidRDefault="001D49D4" w:rsidP="0004348D">
      <w:pPr>
        <w:keepNext/>
        <w:keepLines/>
        <w:spacing w:before="360" w:after="240"/>
        <w:outlineLvl w:val="1"/>
        <w:rPr>
          <w:rFonts w:ascii="Cambria" w:eastAsia="Times New Roman" w:hAnsi="Cambria" w:cs="Arial"/>
          <w:bCs/>
          <w:color w:val="548DD4" w:themeColor="text2" w:themeTint="99"/>
          <w:sz w:val="26"/>
          <w:szCs w:val="26"/>
          <w:rtl/>
        </w:rPr>
      </w:pPr>
      <w:bookmarkStart w:id="659" w:name="_Toc24884082"/>
      <w:r w:rsidRPr="001D49D4">
        <w:rPr>
          <w:rFonts w:ascii="Cambria" w:eastAsia="Times New Roman" w:hAnsi="Cambria" w:cs="Arial"/>
          <w:bCs/>
          <w:color w:val="548DD4" w:themeColor="text2" w:themeTint="99"/>
          <w:sz w:val="26"/>
          <w:szCs w:val="26"/>
          <w:rtl/>
        </w:rPr>
        <w:t>סעיף יג: המוצא שטר שחרור.</w:t>
      </w:r>
      <w:bookmarkEnd w:id="659"/>
    </w:p>
    <w:p w14:paraId="0E7C81C4"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b/>
          <w:bCs/>
          <w:rtl/>
        </w:rPr>
        <w:t xml:space="preserve">בבא מציעא </w:t>
      </w:r>
      <w:r w:rsidRPr="001D49D4">
        <w:rPr>
          <w:rFonts w:ascii="Calibri" w:eastAsia="Calibri" w:hAnsi="Calibri" w:cs="Arial"/>
          <w:b/>
          <w:bCs/>
          <w:sz w:val="16"/>
          <w:szCs w:val="16"/>
          <w:rtl/>
        </w:rPr>
        <w:t>(פ"ק)</w:t>
      </w:r>
      <w:r w:rsidRPr="001D49D4">
        <w:rPr>
          <w:rFonts w:ascii="Calibri" w:eastAsia="Calibri" w:hAnsi="Calibri" w:cs="Arial"/>
          <w:b/>
          <w:bCs/>
          <w:rtl/>
        </w:rPr>
        <w:t xml:space="preserve"> יח</w:t>
      </w:r>
      <w:r w:rsidRPr="001D49D4">
        <w:rPr>
          <w:rFonts w:ascii="Calibri" w:eastAsia="Calibri" w:hAnsi="Calibri" w:cs="Arial"/>
          <w:b/>
          <w:bCs/>
          <w:vertAlign w:val="superscript"/>
          <w:rtl/>
        </w:rPr>
        <w:footnoteReference w:id="4861"/>
      </w:r>
      <w:r w:rsidRPr="001D49D4">
        <w:rPr>
          <w:rFonts w:ascii="Calibri" w:eastAsia="Calibri" w:hAnsi="Calibri" w:cs="Arial"/>
          <w:b/>
          <w:bCs/>
          <w:rtl/>
        </w:rPr>
        <w:t xml:space="preserve"> ע"א:</w:t>
      </w:r>
      <w:r w:rsidRPr="001D49D4">
        <w:rPr>
          <w:rFonts w:ascii="Calibri" w:eastAsia="Calibri" w:hAnsi="Calibri" w:cs="Arial"/>
          <w:rtl/>
        </w:rPr>
        <w:t xml:space="preserve"> </w:t>
      </w:r>
      <w:r w:rsidRPr="001D49D4">
        <w:rPr>
          <w:rFonts w:ascii="Calibri" w:eastAsia="Calibri" w:hAnsi="Calibri" w:cs="Arial"/>
          <w:u w:val="double"/>
          <w:rtl/>
        </w:rPr>
        <w:t>משנה</w:t>
      </w:r>
      <w:r w:rsidRPr="001D49D4">
        <w:rPr>
          <w:rFonts w:ascii="Calibri" w:eastAsia="Calibri" w:hAnsi="Calibri" w:cs="Arial"/>
          <w:rtl/>
        </w:rPr>
        <w:t xml:space="preserve">: מצא גיטי נשים ושחרורי עבדים, דייתיקי, מתנה ושוברין - הרי זה לא יחזיר, שאני אומר: כתובין היו, ונמלך עליהן שלא לתנן. </w:t>
      </w:r>
      <w:r w:rsidRPr="001D49D4">
        <w:rPr>
          <w:rFonts w:ascii="Calibri" w:eastAsia="Calibri" w:hAnsi="Calibri" w:cs="Arial"/>
          <w:rtl/>
        </w:rPr>
        <w:tab/>
        <w:t xml:space="preserve">   </w:t>
      </w:r>
      <w:r w:rsidRPr="001D49D4">
        <w:rPr>
          <w:rFonts w:ascii="Calibri" w:eastAsia="Calibri" w:hAnsi="Calibri" w:cs="Arial"/>
          <w:u w:val="double"/>
          <w:rtl/>
        </w:rPr>
        <w:t>גמרא</w:t>
      </w:r>
      <w:r w:rsidRPr="001D49D4">
        <w:rPr>
          <w:rFonts w:ascii="Calibri" w:eastAsia="Calibri" w:hAnsi="Calibri" w:cs="Arial"/>
          <w:sz w:val="14"/>
          <w:szCs w:val="14"/>
          <w:u w:val="double"/>
          <w:rtl/>
        </w:rPr>
        <w:t xml:space="preserve"> (יט.)</w:t>
      </w:r>
      <w:r w:rsidRPr="001D49D4">
        <w:rPr>
          <w:rFonts w:ascii="Calibri" w:eastAsia="Calibri" w:hAnsi="Calibri" w:cs="Arial"/>
          <w:u w:val="double"/>
          <w:rtl/>
        </w:rPr>
        <w:t>:</w:t>
      </w:r>
      <w:r w:rsidRPr="001D49D4">
        <w:rPr>
          <w:rFonts w:ascii="Calibri" w:eastAsia="Calibri" w:hAnsi="Calibri" w:cs="Arial"/>
          <w:rtl/>
        </w:rPr>
        <w:t xml:space="preserve"> שחרורי עבדים וכו'. תנו רבנן: מצא שטר שחרור בשוק, בזמן שהרב מודה - יחזיר לעבד, אין הרב מודה - לא יחזיר לא לזה ולא לזה. בזמן שהרב מודה מיהא - יחזיר לעבד, ואמאי? ניחוש שמא כתב ליתן לו בניסן, ולא נתן לו עד תשרי, ואזל עבדא וקנה נכסין מניסן ועד תשרי, ואזיל הרב וזבנינהו, ומפיק ליה לשחרור דכתב בניסן, וקא טריף לקוחות שלא כדין. הניחא למאן דאמר</w:t>
      </w:r>
      <w:r w:rsidRPr="001D49D4">
        <w:rPr>
          <w:rFonts w:ascii="Calibri" w:eastAsia="Calibri" w:hAnsi="Calibri" w:cs="Arial"/>
          <w:vertAlign w:val="superscript"/>
          <w:rtl/>
        </w:rPr>
        <w:footnoteReference w:id="4862"/>
      </w:r>
      <w:r w:rsidRPr="001D49D4">
        <w:rPr>
          <w:rFonts w:ascii="Calibri" w:eastAsia="Calibri" w:hAnsi="Calibri" w:cs="Arial"/>
          <w:rtl/>
        </w:rPr>
        <w:t xml:space="preserve"> זכות הוא לעבד</w:t>
      </w:r>
      <w:r w:rsidRPr="001D49D4">
        <w:rPr>
          <w:rFonts w:ascii="Calibri" w:eastAsia="Calibri" w:hAnsi="Calibri" w:cs="Arial"/>
          <w:vertAlign w:val="superscript"/>
          <w:rtl/>
        </w:rPr>
        <w:footnoteReference w:id="4863"/>
      </w:r>
      <w:r w:rsidRPr="001D49D4">
        <w:rPr>
          <w:rFonts w:ascii="Calibri" w:eastAsia="Calibri" w:hAnsi="Calibri" w:cs="Arial"/>
          <w:rtl/>
        </w:rPr>
        <w:t xml:space="preserve"> שיוצא מתחת רבו לחירות, וכאביי דאמר עדיו בחתומיו זכין ליה - שפיר. אלא למאן דאמר חוב הוא לעבד</w:t>
      </w:r>
      <w:r w:rsidRPr="001D49D4">
        <w:rPr>
          <w:rFonts w:ascii="Calibri" w:eastAsia="Calibri" w:hAnsi="Calibri" w:cs="Arial"/>
          <w:vertAlign w:val="superscript"/>
          <w:rtl/>
        </w:rPr>
        <w:footnoteReference w:id="4864"/>
      </w:r>
      <w:r w:rsidRPr="001D49D4">
        <w:rPr>
          <w:rFonts w:ascii="Calibri" w:eastAsia="Calibri" w:hAnsi="Calibri" w:cs="Arial"/>
          <w:rtl/>
        </w:rPr>
        <w:t xml:space="preserve"> שיוצא מתחת יד רבו לחירות, מאי איכא למימר</w:t>
      </w:r>
      <w:r w:rsidRPr="001D49D4">
        <w:rPr>
          <w:rFonts w:ascii="Calibri" w:eastAsia="Calibri" w:hAnsi="Calibri" w:cs="Arial"/>
          <w:vertAlign w:val="superscript"/>
          <w:rtl/>
        </w:rPr>
        <w:footnoteReference w:id="4865"/>
      </w:r>
      <w:r w:rsidRPr="001D49D4">
        <w:rPr>
          <w:rFonts w:ascii="Calibri" w:eastAsia="Calibri" w:hAnsi="Calibri" w:cs="Arial"/>
          <w:rtl/>
        </w:rPr>
        <w:t xml:space="preserve">? דכי אתי למטרף אמרינן ליה: אייתי ראיה אימת מטא שחרור לידך. </w:t>
      </w:r>
      <w:r w:rsidRPr="001D49D4">
        <w:rPr>
          <w:rFonts w:ascii="Calibri" w:eastAsia="Calibri" w:hAnsi="Calibri" w:cs="Arial"/>
          <w:sz w:val="16"/>
          <w:szCs w:val="16"/>
          <w:rtl/>
        </w:rPr>
        <w:t>(וכתב הרי"ף (י:) ואסיקנא כי אתי למיטרף אמרינן ליה אייתי ראיה אימת מטא גט שחרור לידך. וכתב הב"י דלא כתב כן משום דסבירא ליה חוב הוא לעבד שיצא מתחת ידי רבו, דרבי מאיר הוא דאמר הכי בפ"ק דגיטין (יא:) ורבנן פליגי עליה והלכתא כוותייהו, אלא לפי שהוא ז"ל (ו.) פסק דלא כאביי דאמר עדיו בחתומיו זכין לו. ומעתה הרא"ש (סי' מט) שפסק כאביי לא צריך לאיתויי ראיה אימת מטא שחרור לידיה, דכי מטא לידיה - עדיו בחתומיו זכין לו למפרע משעה ראשונה, ותמהני עליו שכתב (סי' מו) כלשון הרי"ף</w:t>
      </w:r>
      <w:r w:rsidRPr="001D49D4">
        <w:rPr>
          <w:rFonts w:ascii="Calibri" w:eastAsia="Calibri" w:hAnsi="Calibri" w:cs="Arial"/>
          <w:sz w:val="16"/>
          <w:szCs w:val="16"/>
          <w:vertAlign w:val="superscript"/>
          <w:rtl/>
        </w:rPr>
        <w:footnoteReference w:id="4866"/>
      </w:r>
      <w:r w:rsidRPr="001D49D4">
        <w:rPr>
          <w:rFonts w:ascii="Calibri" w:eastAsia="Calibri" w:hAnsi="Calibri" w:cs="Arial"/>
          <w:sz w:val="16"/>
          <w:szCs w:val="16"/>
          <w:rtl/>
        </w:rPr>
        <w:t>. מכל מקום רבינו כתב כדבריו, וכ"כ גם כן במישרים (נ"כ ח"ב נב:). עכ"ל הב"י)</w:t>
      </w:r>
    </w:p>
    <w:p w14:paraId="598AEEEE" w14:textId="77777777" w:rsidR="001D49D4" w:rsidRPr="001D49D4" w:rsidRDefault="001D49D4" w:rsidP="0004348D">
      <w:pPr>
        <w:spacing w:before="360" w:after="240"/>
        <w:rPr>
          <w:rFonts w:ascii="Calibri" w:eastAsia="Calibri" w:hAnsi="Calibri" w:cs="Arial"/>
          <w:u w:val="single"/>
          <w:rtl/>
        </w:rPr>
      </w:pPr>
      <w:r w:rsidRPr="001D49D4">
        <w:rPr>
          <w:rFonts w:ascii="Calibri" w:eastAsia="Calibri" w:hAnsi="Calibri" w:cs="Arial"/>
          <w:u w:val="single"/>
          <w:rtl/>
        </w:rPr>
        <w:t>המוצא שטר שחרור:</w:t>
      </w:r>
    </w:p>
    <w:p w14:paraId="41FCF92D" w14:textId="77777777" w:rsidR="001D49D4" w:rsidRPr="001D49D4" w:rsidRDefault="001D49D4" w:rsidP="0004348D">
      <w:pPr>
        <w:numPr>
          <w:ilvl w:val="0"/>
          <w:numId w:val="329"/>
        </w:numPr>
        <w:spacing w:before="360" w:after="240"/>
        <w:contextualSpacing/>
        <w:rPr>
          <w:rFonts w:ascii="Calibri" w:eastAsia="Calibri" w:hAnsi="Calibri" w:cs="Arial"/>
          <w:rtl/>
        </w:rPr>
      </w:pPr>
      <w:r w:rsidRPr="001D49D4">
        <w:rPr>
          <w:rFonts w:ascii="Calibri" w:eastAsia="Calibri" w:hAnsi="Calibri" w:cs="Arial"/>
          <w:rtl/>
        </w:rPr>
        <w:t>טור- המוצא שטר שיחרור, אם אין האדון מודה בו - לא יחזיר לא לזה ולא לזה. ואם האדון מודה שנתנו לעבד להשתחרר בו - יחזירנו לעבד. ומיהו אם יבא לטרוף בו ממה שמכר אדוניו מנכסיו מאחר זמן הכתוב בו - צריך להביא ראיה שהגיע לידו מזמן הכתוב בו כיון דאיתרע בנפילה</w:t>
      </w:r>
      <w:r w:rsidRPr="001D49D4">
        <w:rPr>
          <w:rFonts w:ascii="Calibri" w:eastAsia="Calibri" w:hAnsi="Calibri" w:cs="Arial"/>
          <w:vertAlign w:val="superscript"/>
          <w:rtl/>
        </w:rPr>
        <w:footnoteReference w:id="4867"/>
      </w:r>
      <w:r w:rsidRPr="001D49D4">
        <w:rPr>
          <w:rFonts w:ascii="Calibri" w:eastAsia="Calibri" w:hAnsi="Calibri" w:cs="Arial"/>
          <w:rtl/>
        </w:rPr>
        <w:t>.</w:t>
      </w:r>
      <w:r w:rsidRPr="001D49D4">
        <w:rPr>
          <w:rFonts w:ascii="Calibri" w:eastAsia="Calibri" w:hAnsi="Calibri" w:cs="Arial"/>
          <w:color w:val="E36C0A" w:themeColor="accent6" w:themeShade="BF"/>
          <w:rtl/>
        </w:rPr>
        <w:t xml:space="preserve"> (וכ"פ בשו"ע)</w:t>
      </w:r>
    </w:p>
    <w:p w14:paraId="20F00F96" w14:textId="77777777" w:rsidR="001D49D4" w:rsidRPr="001D49D4" w:rsidRDefault="001D49D4" w:rsidP="0004348D">
      <w:pPr>
        <w:spacing w:before="360" w:after="240"/>
        <w:rPr>
          <w:rFonts w:ascii="Arial" w:eastAsia="Calibri" w:hAnsi="Arial" w:cs="Arial"/>
          <w:b/>
          <w:bCs/>
          <w:color w:val="000000"/>
          <w:sz w:val="28"/>
          <w:szCs w:val="28"/>
          <w:u w:val="single"/>
          <w:rtl/>
        </w:rPr>
      </w:pPr>
      <w:r w:rsidRPr="001D49D4">
        <w:rPr>
          <w:rFonts w:ascii="Arial" w:eastAsia="Calibri" w:hAnsi="Arial" w:cs="Arial"/>
          <w:b/>
          <w:bCs/>
          <w:color w:val="000000"/>
          <w:sz w:val="28"/>
          <w:szCs w:val="28"/>
          <w:u w:val="single"/>
          <w:rtl/>
        </w:rPr>
        <w:t>שו"ע:</w:t>
      </w:r>
    </w:p>
    <w:p w14:paraId="3492B7F9"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rtl/>
        </w:rPr>
        <w:t>המוצא שטר שחרור, אם אין האדון מודה בו, לא יחזיר לא לזה ולא לזה. ואם האדון מודה שנתנו לעבד להשתחרר בו, יחזירנו לעבד</w:t>
      </w:r>
      <w:r w:rsidRPr="001D49D4">
        <w:rPr>
          <w:rFonts w:ascii="Calibri" w:eastAsia="Calibri" w:hAnsi="Calibri" w:cs="Arial"/>
          <w:vertAlign w:val="superscript"/>
          <w:rtl/>
        </w:rPr>
        <w:footnoteReference w:id="4868"/>
      </w:r>
      <w:r w:rsidRPr="001D49D4">
        <w:rPr>
          <w:rFonts w:ascii="Calibri" w:eastAsia="Calibri" w:hAnsi="Calibri" w:cs="Arial"/>
          <w:rtl/>
        </w:rPr>
        <w:t>. ומיהו אם יבא העבד לטרוף בו ממה שמכר אדוניו מנכסיו מאחר זמן הכתוב בו, צריך להביא ראיה</w:t>
      </w:r>
      <w:r w:rsidRPr="001D49D4">
        <w:rPr>
          <w:rFonts w:ascii="Calibri" w:eastAsia="Calibri" w:hAnsi="Calibri" w:cs="Arial"/>
          <w:vertAlign w:val="superscript"/>
          <w:rtl/>
        </w:rPr>
        <w:footnoteReference w:id="4869"/>
      </w:r>
      <w:r w:rsidRPr="001D49D4">
        <w:rPr>
          <w:rFonts w:ascii="Calibri" w:eastAsia="Calibri" w:hAnsi="Calibri" w:cs="Arial"/>
          <w:rtl/>
        </w:rPr>
        <w:t xml:space="preserve"> שהגיע לידו</w:t>
      </w:r>
      <w:r w:rsidRPr="001D49D4">
        <w:rPr>
          <w:rFonts w:ascii="Calibri" w:eastAsia="Calibri" w:hAnsi="Calibri" w:cs="Arial"/>
          <w:vertAlign w:val="superscript"/>
          <w:rtl/>
        </w:rPr>
        <w:footnoteReference w:id="4870"/>
      </w:r>
      <w:r w:rsidRPr="001D49D4">
        <w:rPr>
          <w:rFonts w:ascii="Calibri" w:eastAsia="Calibri" w:hAnsi="Calibri" w:cs="Arial"/>
          <w:rtl/>
        </w:rPr>
        <w:t xml:space="preserve"> מזמן הכתוב בו</w:t>
      </w:r>
      <w:r w:rsidRPr="001D49D4">
        <w:rPr>
          <w:rFonts w:ascii="Calibri" w:eastAsia="Calibri" w:hAnsi="Calibri" w:cs="Arial"/>
          <w:vertAlign w:val="superscript"/>
          <w:rtl/>
        </w:rPr>
        <w:footnoteReference w:id="4871"/>
      </w:r>
      <w:r w:rsidRPr="001D49D4">
        <w:rPr>
          <w:rFonts w:ascii="Calibri" w:eastAsia="Calibri" w:hAnsi="Calibri" w:cs="Arial"/>
          <w:rtl/>
        </w:rPr>
        <w:t xml:space="preserve">. </w:t>
      </w:r>
      <w:r w:rsidRPr="001D49D4">
        <w:rPr>
          <w:rFonts w:ascii="Calibri" w:eastAsia="Calibri" w:hAnsi="Calibri" w:cs="Arial"/>
          <w:sz w:val="18"/>
          <w:szCs w:val="18"/>
          <w:rtl/>
        </w:rPr>
        <w:t>[הגה] ובמקום שעדיו בחתומיו זכין לו</w:t>
      </w:r>
      <w:r w:rsidRPr="001D49D4">
        <w:rPr>
          <w:rFonts w:ascii="Calibri" w:eastAsia="Calibri" w:hAnsi="Calibri" w:cs="Arial"/>
          <w:sz w:val="18"/>
          <w:szCs w:val="18"/>
          <w:vertAlign w:val="superscript"/>
          <w:rtl/>
        </w:rPr>
        <w:footnoteReference w:id="4872"/>
      </w:r>
      <w:r w:rsidRPr="001D49D4">
        <w:rPr>
          <w:rFonts w:ascii="Calibri" w:eastAsia="Calibri" w:hAnsi="Calibri" w:cs="Arial"/>
          <w:sz w:val="18"/>
          <w:szCs w:val="18"/>
          <w:rtl/>
        </w:rPr>
        <w:t xml:space="preserve"> כדרך שנתבאר לעיל סימן ל"ט, א"צ להביא ראיה על זה (ב"י).</w:t>
      </w:r>
      <w:r w:rsidRPr="001D49D4">
        <w:rPr>
          <w:rFonts w:ascii="Calibri" w:eastAsia="Calibri" w:hAnsi="Calibri" w:cs="Arial"/>
          <w:rtl/>
        </w:rPr>
        <w:t xml:space="preserve"> </w:t>
      </w:r>
    </w:p>
    <w:p w14:paraId="7BA8940F" w14:textId="77777777" w:rsidR="001D49D4" w:rsidRPr="001D49D4" w:rsidRDefault="001D49D4" w:rsidP="0004348D">
      <w:pPr>
        <w:spacing w:before="360" w:after="240"/>
        <w:rPr>
          <w:rFonts w:ascii="Calibri" w:eastAsia="Calibri" w:hAnsi="Calibri" w:cs="Arial"/>
          <w:rtl/>
        </w:rPr>
      </w:pPr>
    </w:p>
    <w:p w14:paraId="0D450408" w14:textId="77777777" w:rsidR="001D49D4" w:rsidRPr="001D49D4" w:rsidRDefault="001D49D4" w:rsidP="0004348D">
      <w:pPr>
        <w:keepNext/>
        <w:keepLines/>
        <w:spacing w:before="360" w:after="240"/>
        <w:outlineLvl w:val="1"/>
        <w:rPr>
          <w:rFonts w:ascii="Cambria" w:eastAsia="Times New Roman" w:hAnsi="Cambria" w:cs="Arial"/>
          <w:bCs/>
          <w:color w:val="548DD4" w:themeColor="text2" w:themeTint="99"/>
          <w:sz w:val="26"/>
          <w:szCs w:val="26"/>
          <w:rtl/>
        </w:rPr>
      </w:pPr>
      <w:bookmarkStart w:id="660" w:name="_Toc24884083"/>
      <w:r w:rsidRPr="001D49D4">
        <w:rPr>
          <w:rFonts w:ascii="Cambria" w:eastAsia="Times New Roman" w:hAnsi="Cambria" w:cs="Arial"/>
          <w:bCs/>
          <w:color w:val="548DD4" w:themeColor="text2" w:themeTint="99"/>
          <w:sz w:val="26"/>
          <w:szCs w:val="26"/>
          <w:rtl/>
        </w:rPr>
        <w:t>סעיף יד: המוצא שטר מכר או שטר מתנת בריא/שכיב מרע.</w:t>
      </w:r>
      <w:bookmarkEnd w:id="660"/>
    </w:p>
    <w:p w14:paraId="2BB84EB2"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b/>
          <w:bCs/>
          <w:rtl/>
        </w:rPr>
        <w:t xml:space="preserve">בבא מציעא </w:t>
      </w:r>
      <w:r w:rsidRPr="001D49D4">
        <w:rPr>
          <w:rFonts w:ascii="Calibri" w:eastAsia="Calibri" w:hAnsi="Calibri" w:cs="Arial"/>
          <w:b/>
          <w:bCs/>
          <w:sz w:val="16"/>
          <w:szCs w:val="16"/>
          <w:rtl/>
        </w:rPr>
        <w:t>(פ"ק)</w:t>
      </w:r>
      <w:r w:rsidRPr="001D49D4">
        <w:rPr>
          <w:rFonts w:ascii="Calibri" w:eastAsia="Calibri" w:hAnsi="Calibri" w:cs="Arial"/>
          <w:b/>
          <w:bCs/>
          <w:rtl/>
        </w:rPr>
        <w:t xml:space="preserve"> יח</w:t>
      </w:r>
      <w:r w:rsidRPr="001D49D4">
        <w:rPr>
          <w:rFonts w:ascii="Calibri" w:eastAsia="Calibri" w:hAnsi="Calibri" w:cs="Arial"/>
          <w:b/>
          <w:bCs/>
          <w:vertAlign w:val="superscript"/>
          <w:rtl/>
        </w:rPr>
        <w:footnoteReference w:id="4873"/>
      </w:r>
      <w:r w:rsidRPr="001D49D4">
        <w:rPr>
          <w:rFonts w:ascii="Calibri" w:eastAsia="Calibri" w:hAnsi="Calibri" w:cs="Arial"/>
          <w:b/>
          <w:bCs/>
          <w:rtl/>
        </w:rPr>
        <w:t xml:space="preserve"> ע"א:</w:t>
      </w:r>
      <w:r w:rsidRPr="001D49D4">
        <w:rPr>
          <w:rFonts w:ascii="Calibri" w:eastAsia="Calibri" w:hAnsi="Calibri" w:cs="Arial"/>
          <w:rtl/>
        </w:rPr>
        <w:t xml:space="preserve"> </w:t>
      </w:r>
      <w:r w:rsidRPr="001D49D4">
        <w:rPr>
          <w:rFonts w:ascii="Calibri" w:eastAsia="Calibri" w:hAnsi="Calibri" w:cs="Arial"/>
          <w:u w:val="double"/>
          <w:rtl/>
        </w:rPr>
        <w:t>משנה</w:t>
      </w:r>
      <w:r w:rsidRPr="001D49D4">
        <w:rPr>
          <w:rFonts w:ascii="Calibri" w:eastAsia="Calibri" w:hAnsi="Calibri" w:cs="Arial"/>
          <w:rtl/>
        </w:rPr>
        <w:t>: מצא גיטי נשים ושחרורי עבדים, דייתיקי</w:t>
      </w:r>
      <w:r w:rsidRPr="001D49D4">
        <w:rPr>
          <w:rFonts w:ascii="Calibri" w:eastAsia="Calibri" w:hAnsi="Calibri" w:cs="Arial"/>
          <w:vertAlign w:val="superscript"/>
          <w:rtl/>
        </w:rPr>
        <w:footnoteReference w:id="4874"/>
      </w:r>
      <w:r w:rsidRPr="001D49D4">
        <w:rPr>
          <w:rFonts w:ascii="Calibri" w:eastAsia="Calibri" w:hAnsi="Calibri" w:cs="Arial"/>
          <w:rtl/>
        </w:rPr>
        <w:t>, מתנה</w:t>
      </w:r>
      <w:r w:rsidRPr="001D49D4">
        <w:rPr>
          <w:rFonts w:ascii="Calibri" w:eastAsia="Calibri" w:hAnsi="Calibri" w:cs="Arial"/>
          <w:vertAlign w:val="superscript"/>
          <w:rtl/>
        </w:rPr>
        <w:footnoteReference w:id="4875"/>
      </w:r>
      <w:r w:rsidRPr="001D49D4">
        <w:rPr>
          <w:rFonts w:ascii="Calibri" w:eastAsia="Calibri" w:hAnsi="Calibri" w:cs="Arial"/>
          <w:rtl/>
        </w:rPr>
        <w:t xml:space="preserve"> ושוברין - הרי זה לא יחזיר, שאני אומר: כתובין היו, ונמלך עליהן שלא לתנן.    </w:t>
      </w:r>
      <w:r w:rsidRPr="001D49D4">
        <w:rPr>
          <w:rFonts w:ascii="Calibri" w:eastAsia="Calibri" w:hAnsi="Calibri" w:cs="Arial"/>
          <w:u w:val="double"/>
          <w:rtl/>
        </w:rPr>
        <w:t>גמרא:</w:t>
      </w:r>
      <w:r w:rsidRPr="001D49D4">
        <w:rPr>
          <w:rFonts w:ascii="Calibri" w:eastAsia="Calibri" w:hAnsi="Calibri" w:cs="Arial"/>
          <w:rtl/>
        </w:rPr>
        <w:t xml:space="preserve"> טעמא - דנמלך שלא לתנן, הא אמר תנו - נותנין, ואפילו לזמן מרובה... </w:t>
      </w:r>
      <w:r w:rsidRPr="001D49D4">
        <w:rPr>
          <w:rFonts w:ascii="Calibri" w:eastAsia="Calibri" w:hAnsi="Calibri" w:cs="Arial"/>
          <w:sz w:val="14"/>
          <w:szCs w:val="14"/>
          <w:rtl/>
        </w:rPr>
        <w:t xml:space="preserve">(יט.) </w:t>
      </w:r>
      <w:r w:rsidRPr="001D49D4">
        <w:rPr>
          <w:rFonts w:ascii="Calibri" w:eastAsia="Calibri" w:hAnsi="Calibri" w:cs="Arial"/>
          <w:rtl/>
        </w:rPr>
        <w:t>דייתיקי מתנה וכו'. תנו רבנן: איזו היא דייתיקי - דא תהא למיקם</w:t>
      </w:r>
      <w:r w:rsidRPr="001D49D4">
        <w:rPr>
          <w:rFonts w:ascii="Calibri" w:eastAsia="Calibri" w:hAnsi="Calibri" w:cs="Arial"/>
          <w:vertAlign w:val="superscript"/>
          <w:rtl/>
        </w:rPr>
        <w:footnoteReference w:id="4876"/>
      </w:r>
      <w:r w:rsidRPr="001D49D4">
        <w:rPr>
          <w:rFonts w:ascii="Calibri" w:eastAsia="Calibri" w:hAnsi="Calibri" w:cs="Arial"/>
          <w:rtl/>
        </w:rPr>
        <w:t xml:space="preserve"> ולהיות, שאם מת - נכסיו לפלוני</w:t>
      </w:r>
      <w:r w:rsidRPr="001D49D4">
        <w:rPr>
          <w:rFonts w:ascii="Calibri" w:eastAsia="Calibri" w:hAnsi="Calibri" w:cs="Arial"/>
          <w:vertAlign w:val="superscript"/>
          <w:rtl/>
        </w:rPr>
        <w:footnoteReference w:id="4877"/>
      </w:r>
      <w:r w:rsidRPr="001D49D4">
        <w:rPr>
          <w:rFonts w:ascii="Calibri" w:eastAsia="Calibri" w:hAnsi="Calibri" w:cs="Arial"/>
          <w:rtl/>
        </w:rPr>
        <w:t>. מתנה</w:t>
      </w:r>
      <w:r w:rsidRPr="001D49D4">
        <w:rPr>
          <w:rFonts w:ascii="Calibri" w:eastAsia="Calibri" w:hAnsi="Calibri" w:cs="Arial"/>
          <w:vertAlign w:val="superscript"/>
          <w:rtl/>
        </w:rPr>
        <w:footnoteReference w:id="4878"/>
      </w:r>
      <w:r w:rsidRPr="001D49D4">
        <w:rPr>
          <w:rFonts w:ascii="Calibri" w:eastAsia="Calibri" w:hAnsi="Calibri" w:cs="Arial"/>
          <w:rtl/>
        </w:rPr>
        <w:t>, כל שכתוב בו מהיום ולאחר מיתה</w:t>
      </w:r>
      <w:r w:rsidRPr="001D49D4">
        <w:rPr>
          <w:rFonts w:ascii="Calibri" w:eastAsia="Calibri" w:hAnsi="Calibri" w:cs="Arial"/>
          <w:vertAlign w:val="superscript"/>
          <w:rtl/>
        </w:rPr>
        <w:footnoteReference w:id="4879"/>
      </w:r>
      <w:r w:rsidRPr="001D49D4">
        <w:rPr>
          <w:rFonts w:ascii="Calibri" w:eastAsia="Calibri" w:hAnsi="Calibri" w:cs="Arial"/>
          <w:rtl/>
        </w:rPr>
        <w:t>. אלמא: אי כתיבא מהיום ולאחר מיתה - הוא דקני, ואי לא - לא קני</w:t>
      </w:r>
      <w:r w:rsidRPr="001D49D4">
        <w:rPr>
          <w:rFonts w:ascii="Calibri" w:eastAsia="Calibri" w:hAnsi="Calibri" w:cs="Arial"/>
          <w:vertAlign w:val="superscript"/>
          <w:rtl/>
        </w:rPr>
        <w:footnoteReference w:id="4880"/>
      </w:r>
      <w:r w:rsidRPr="001D49D4">
        <w:rPr>
          <w:rFonts w:ascii="Calibri" w:eastAsia="Calibri" w:hAnsi="Calibri" w:cs="Arial"/>
          <w:rtl/>
        </w:rPr>
        <w:t xml:space="preserve">?! </w:t>
      </w:r>
      <w:r w:rsidRPr="001D49D4">
        <w:rPr>
          <w:rFonts w:ascii="Calibri" w:eastAsia="Calibri" w:hAnsi="Calibri" w:cs="Arial"/>
          <w:u w:val="single"/>
          <w:rtl/>
        </w:rPr>
        <w:t>אמר אביי</w:t>
      </w:r>
      <w:r w:rsidRPr="001D49D4">
        <w:rPr>
          <w:rFonts w:ascii="Calibri" w:eastAsia="Calibri" w:hAnsi="Calibri" w:cs="Arial"/>
          <w:rtl/>
        </w:rPr>
        <w:t>: הכי קאמר, איזו היא מתנת בריא שהיא כמתנת שכיב מרע דלא קני אלא לאחר מיתה - כל שכתוב בה מהיום ולאחר מיתה</w:t>
      </w:r>
      <w:r w:rsidRPr="001D49D4">
        <w:rPr>
          <w:rFonts w:ascii="Calibri" w:eastAsia="Calibri" w:hAnsi="Calibri" w:cs="Arial"/>
          <w:vertAlign w:val="superscript"/>
          <w:rtl/>
        </w:rPr>
        <w:footnoteReference w:id="4881"/>
      </w:r>
      <w:r w:rsidRPr="001D49D4">
        <w:rPr>
          <w:rFonts w:ascii="Calibri" w:eastAsia="Calibri" w:hAnsi="Calibri" w:cs="Arial"/>
          <w:rtl/>
        </w:rPr>
        <w:t xml:space="preserve">. </w:t>
      </w:r>
    </w:p>
    <w:p w14:paraId="58AFC772"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b/>
          <w:bCs/>
          <w:rtl/>
        </w:rPr>
        <w:t xml:space="preserve">תוספתא בבא מציעא </w:t>
      </w:r>
      <w:r w:rsidRPr="001D49D4">
        <w:rPr>
          <w:rFonts w:ascii="Calibri" w:eastAsia="Calibri" w:hAnsi="Calibri" w:cs="Arial"/>
          <w:b/>
          <w:bCs/>
          <w:sz w:val="16"/>
          <w:szCs w:val="16"/>
          <w:rtl/>
        </w:rPr>
        <w:t xml:space="preserve">(ליברמן) </w:t>
      </w:r>
      <w:r w:rsidRPr="001D49D4">
        <w:rPr>
          <w:rFonts w:ascii="Calibri" w:eastAsia="Calibri" w:hAnsi="Calibri" w:cs="Arial"/>
          <w:b/>
          <w:bCs/>
          <w:rtl/>
        </w:rPr>
        <w:t>פ"א ה"ח:</w:t>
      </w:r>
      <w:r w:rsidRPr="001D49D4">
        <w:rPr>
          <w:rFonts w:ascii="Calibri" w:eastAsia="Calibri" w:hAnsi="Calibri" w:cs="Arial"/>
          <w:rtl/>
        </w:rPr>
        <w:t xml:space="preserve"> מצא... אדייתקאות הפתיקאות ומתנות בזמן שהנותן מודה יחזיר למקביל ואם לאו לא יחזיר לא לזה ולא לזה. שטרי מקח וממכר שטרי אריסיות וקבלות בהמה הרי זה לא יחזיר לא לזה ולא לזה.</w:t>
      </w:r>
    </w:p>
    <w:p w14:paraId="6A8356E0" w14:textId="77777777" w:rsidR="001D49D4" w:rsidRPr="001D49D4" w:rsidRDefault="001D49D4" w:rsidP="0004348D">
      <w:pPr>
        <w:spacing w:before="360" w:after="240"/>
        <w:rPr>
          <w:rFonts w:ascii="Calibri" w:eastAsia="Calibri" w:hAnsi="Calibri" w:cs="Arial"/>
          <w:u w:val="single"/>
          <w:rtl/>
        </w:rPr>
      </w:pPr>
      <w:r w:rsidRPr="001D49D4">
        <w:rPr>
          <w:rFonts w:ascii="Calibri" w:eastAsia="Calibri" w:hAnsi="Calibri" w:cs="Arial"/>
          <w:u w:val="single"/>
          <w:rtl/>
        </w:rPr>
        <w:t>המוצא שטר מתנת בריא או שטר מכר:</w:t>
      </w:r>
    </w:p>
    <w:p w14:paraId="4BA8AFE2" w14:textId="77777777" w:rsidR="001D49D4" w:rsidRPr="001D49D4" w:rsidRDefault="001D49D4" w:rsidP="0004348D">
      <w:pPr>
        <w:numPr>
          <w:ilvl w:val="0"/>
          <w:numId w:val="329"/>
        </w:numPr>
        <w:spacing w:before="360" w:after="240"/>
        <w:contextualSpacing/>
        <w:rPr>
          <w:rFonts w:ascii="Calibri" w:eastAsia="Calibri" w:hAnsi="Calibri" w:cs="Arial"/>
          <w:rtl/>
        </w:rPr>
      </w:pPr>
      <w:r w:rsidRPr="001D49D4">
        <w:rPr>
          <w:rFonts w:ascii="Calibri" w:eastAsia="Calibri" w:hAnsi="Calibri" w:cs="Arial"/>
          <w:rtl/>
        </w:rPr>
        <w:t>טור- המוצא שטר מתנת בריא או שטר מכר, אפילו אומר הנותן או המוכר שיתנהו למקבל או ללוקח - לא יתננו לו אא"כ פירש במתנה ששייר לעצמו כח שיוכל לחזור בו כל ימיו, כגון שכתב 'מהיום אם לא אחזור בי כל ימי חיי'. ואם הוא שטר הקנאה שפירש שהקנה לו מיד, אע"פ שלא הגיע השטר לידו - יחזיר אפילו לא שייר לו כח שיוכל לחזור</w:t>
      </w:r>
      <w:r w:rsidRPr="001D49D4">
        <w:rPr>
          <w:rFonts w:ascii="Calibri" w:eastAsia="Calibri" w:hAnsi="Calibri" w:cs="Arial"/>
          <w:vertAlign w:val="superscript"/>
          <w:rtl/>
        </w:rPr>
        <w:footnoteReference w:id="4882"/>
      </w:r>
      <w:r w:rsidRPr="001D49D4">
        <w:rPr>
          <w:rFonts w:ascii="Calibri" w:eastAsia="Calibri" w:hAnsi="Calibri" w:cs="Arial"/>
          <w:rtl/>
        </w:rPr>
        <w:t>.</w:t>
      </w:r>
      <w:r w:rsidRPr="001D49D4">
        <w:rPr>
          <w:rFonts w:ascii="Calibri" w:eastAsia="Calibri" w:hAnsi="Calibri" w:cs="Arial"/>
          <w:color w:val="E36C0A" w:themeColor="accent6" w:themeShade="BF"/>
          <w:rtl/>
        </w:rPr>
        <w:t xml:space="preserve"> (וכ"פ בשו"ע)</w:t>
      </w:r>
    </w:p>
    <w:p w14:paraId="21704925"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b/>
          <w:bCs/>
          <w:rtl/>
        </w:rPr>
        <w:t xml:space="preserve">בבא מציעא </w:t>
      </w:r>
      <w:r w:rsidRPr="001D49D4">
        <w:rPr>
          <w:rFonts w:ascii="Calibri" w:eastAsia="Calibri" w:hAnsi="Calibri" w:cs="Arial"/>
          <w:b/>
          <w:bCs/>
          <w:sz w:val="16"/>
          <w:szCs w:val="16"/>
          <w:rtl/>
        </w:rPr>
        <w:t>(פ"ק)</w:t>
      </w:r>
      <w:r w:rsidRPr="001D49D4">
        <w:rPr>
          <w:rFonts w:ascii="Calibri" w:eastAsia="Calibri" w:hAnsi="Calibri" w:cs="Arial"/>
          <w:b/>
          <w:bCs/>
          <w:rtl/>
        </w:rPr>
        <w:t xml:space="preserve"> יח ע"א:</w:t>
      </w:r>
      <w:r w:rsidRPr="001D49D4">
        <w:rPr>
          <w:rFonts w:ascii="Calibri" w:eastAsia="Calibri" w:hAnsi="Calibri" w:cs="Arial"/>
          <w:rtl/>
        </w:rPr>
        <w:t xml:space="preserve"> </w:t>
      </w:r>
      <w:r w:rsidRPr="001D49D4">
        <w:rPr>
          <w:rFonts w:ascii="Calibri" w:eastAsia="Calibri" w:hAnsi="Calibri" w:cs="Arial"/>
          <w:u w:val="double"/>
          <w:rtl/>
        </w:rPr>
        <w:t>משנה</w:t>
      </w:r>
      <w:r w:rsidRPr="001D49D4">
        <w:rPr>
          <w:rFonts w:ascii="Calibri" w:eastAsia="Calibri" w:hAnsi="Calibri" w:cs="Arial"/>
          <w:rtl/>
        </w:rPr>
        <w:t xml:space="preserve">: מצא גיטי נשים ושחרורי עבדים, דייתיקי, מתנה ושוברין - הרי זה לא יחזיר, שאני אומר: כתובין היו, ונמלך עליהן שלא לתנן. </w:t>
      </w:r>
      <w:r w:rsidRPr="001D49D4">
        <w:rPr>
          <w:rFonts w:ascii="Calibri" w:eastAsia="Calibri" w:hAnsi="Calibri" w:cs="Arial"/>
          <w:rtl/>
        </w:rPr>
        <w:tab/>
        <w:t xml:space="preserve">   </w:t>
      </w:r>
      <w:r w:rsidRPr="001D49D4">
        <w:rPr>
          <w:rFonts w:ascii="Calibri" w:eastAsia="Calibri" w:hAnsi="Calibri" w:cs="Arial"/>
          <w:u w:val="double"/>
          <w:rtl/>
        </w:rPr>
        <w:t>גמרא</w:t>
      </w:r>
      <w:r w:rsidRPr="001D49D4">
        <w:rPr>
          <w:rFonts w:ascii="Calibri" w:eastAsia="Calibri" w:hAnsi="Calibri" w:cs="Arial"/>
          <w:sz w:val="14"/>
          <w:szCs w:val="14"/>
          <w:u w:val="double"/>
          <w:rtl/>
        </w:rPr>
        <w:t xml:space="preserve"> (יט.)</w:t>
      </w:r>
      <w:r w:rsidRPr="001D49D4">
        <w:rPr>
          <w:rFonts w:ascii="Calibri" w:eastAsia="Calibri" w:hAnsi="Calibri" w:cs="Arial"/>
          <w:u w:val="double"/>
          <w:rtl/>
        </w:rPr>
        <w:t>:</w:t>
      </w:r>
      <w:r w:rsidRPr="001D49D4">
        <w:rPr>
          <w:rFonts w:ascii="Calibri" w:eastAsia="Calibri" w:hAnsi="Calibri" w:cs="Arial"/>
          <w:rtl/>
        </w:rPr>
        <w:t xml:space="preserve"> טעמא דלא אמר תנו, הא אמר תנו - נותנין</w:t>
      </w:r>
      <w:r w:rsidRPr="001D49D4">
        <w:rPr>
          <w:rFonts w:ascii="Calibri" w:eastAsia="Calibri" w:hAnsi="Calibri" w:cs="Arial"/>
          <w:vertAlign w:val="superscript"/>
          <w:rtl/>
        </w:rPr>
        <w:footnoteReference w:id="4883"/>
      </w:r>
      <w:r w:rsidRPr="001D49D4">
        <w:rPr>
          <w:rFonts w:ascii="Calibri" w:eastAsia="Calibri" w:hAnsi="Calibri" w:cs="Arial"/>
          <w:rtl/>
        </w:rPr>
        <w:t>. ורמינהו: מצא דייתקאות, אפותיקאות</w:t>
      </w:r>
      <w:r w:rsidRPr="001D49D4">
        <w:rPr>
          <w:rFonts w:ascii="Calibri" w:eastAsia="Calibri" w:hAnsi="Calibri" w:cs="Arial"/>
          <w:vertAlign w:val="superscript"/>
          <w:rtl/>
        </w:rPr>
        <w:footnoteReference w:id="4884"/>
      </w:r>
      <w:r w:rsidRPr="001D49D4">
        <w:rPr>
          <w:rFonts w:ascii="Calibri" w:eastAsia="Calibri" w:hAnsi="Calibri" w:cs="Arial"/>
          <w:rtl/>
        </w:rPr>
        <w:t xml:space="preserve"> ומתנות, אף על פי ששניהם מודין - לא יחזיר</w:t>
      </w:r>
      <w:r w:rsidRPr="001D49D4">
        <w:rPr>
          <w:rFonts w:ascii="Calibri" w:eastAsia="Calibri" w:hAnsi="Calibri" w:cs="Arial"/>
          <w:vertAlign w:val="superscript"/>
          <w:rtl/>
        </w:rPr>
        <w:footnoteReference w:id="4885"/>
      </w:r>
      <w:r w:rsidRPr="001D49D4">
        <w:rPr>
          <w:rFonts w:ascii="Calibri" w:eastAsia="Calibri" w:hAnsi="Calibri" w:cs="Arial"/>
          <w:rtl/>
        </w:rPr>
        <w:t xml:space="preserve"> לא לזה ולא לזה!... </w:t>
      </w:r>
      <w:r w:rsidRPr="001D49D4">
        <w:rPr>
          <w:rFonts w:ascii="Calibri" w:eastAsia="Calibri" w:hAnsi="Calibri" w:cs="Arial"/>
          <w:sz w:val="14"/>
          <w:szCs w:val="14"/>
          <w:rtl/>
        </w:rPr>
        <w:t>(יט:)</w:t>
      </w:r>
      <w:r w:rsidRPr="001D49D4">
        <w:rPr>
          <w:rFonts w:ascii="Calibri" w:eastAsia="Calibri" w:hAnsi="Calibri" w:cs="Arial"/>
          <w:rtl/>
        </w:rPr>
        <w:t xml:space="preserve"> </w:t>
      </w:r>
      <w:r w:rsidRPr="001D49D4">
        <w:rPr>
          <w:rFonts w:ascii="Calibri" w:eastAsia="Calibri" w:hAnsi="Calibri" w:cs="Arial"/>
          <w:u w:val="single"/>
          <w:rtl/>
        </w:rPr>
        <w:t>אמר רב זביד</w:t>
      </w:r>
      <w:r w:rsidRPr="001D49D4">
        <w:rPr>
          <w:rFonts w:ascii="Calibri" w:eastAsia="Calibri" w:hAnsi="Calibri" w:cs="Arial"/>
          <w:rtl/>
        </w:rPr>
        <w:t>: הא והא בשכיב מרע, ולא קשיא: הא - ביה, והא - בבריה. מתניתין דקא אמר תנו נותנין - בדידיה, דבר מהדר הוא</w:t>
      </w:r>
      <w:r w:rsidRPr="001D49D4">
        <w:rPr>
          <w:rFonts w:ascii="Calibri" w:eastAsia="Calibri" w:hAnsi="Calibri" w:cs="Arial"/>
          <w:vertAlign w:val="superscript"/>
          <w:rtl/>
        </w:rPr>
        <w:footnoteReference w:id="4886"/>
      </w:r>
      <w:r w:rsidRPr="001D49D4">
        <w:rPr>
          <w:rFonts w:ascii="Calibri" w:eastAsia="Calibri" w:hAnsi="Calibri" w:cs="Arial"/>
          <w:rtl/>
        </w:rPr>
        <w:t>, דאמרינן: אי נמי יהבה לאיניש אחרינא - לית בה פסידא, דקמא ובתרא - בתרא זכי, דהא הדר ביה מקמא. כי קא תני בברייתא אף על פי ששניהם מודים, לא יחזיר לא לזה ולא לזה - בבריה. דאמרינן: דלמא כתב אבוה להאי, ואמליך ולא יהביה ניהליה. ובתר אבוה</w:t>
      </w:r>
      <w:r w:rsidRPr="001D49D4">
        <w:rPr>
          <w:rFonts w:ascii="Calibri" w:eastAsia="Calibri" w:hAnsi="Calibri" w:cs="Arial"/>
          <w:vertAlign w:val="superscript"/>
          <w:rtl/>
        </w:rPr>
        <w:footnoteReference w:id="4887"/>
      </w:r>
      <w:r w:rsidRPr="001D49D4">
        <w:rPr>
          <w:rFonts w:ascii="Calibri" w:eastAsia="Calibri" w:hAnsi="Calibri" w:cs="Arial"/>
          <w:rtl/>
        </w:rPr>
        <w:t xml:space="preserve"> כתב איהו לאיניש אחרינא, ויהבה ליה. והשתא קא הדר ביה מההוא, סבר: מהדר לא מצינא הדרנא בי, אימר להו דאבא יהבה ליה להאי, ונתבו ליה כתביה וניזיל ונפיק מיניה - דהוא זכי, ונפלוג בהדיה</w:t>
      </w:r>
      <w:r w:rsidRPr="001D49D4">
        <w:rPr>
          <w:rFonts w:ascii="Calibri" w:eastAsia="Calibri" w:hAnsi="Calibri" w:cs="Arial"/>
          <w:vertAlign w:val="superscript"/>
          <w:rtl/>
        </w:rPr>
        <w:footnoteReference w:id="4888"/>
      </w:r>
      <w:r w:rsidRPr="001D49D4">
        <w:rPr>
          <w:rFonts w:ascii="Calibri" w:eastAsia="Calibri" w:hAnsi="Calibri" w:cs="Arial"/>
          <w:rtl/>
        </w:rPr>
        <w:t>. הלכך אמרינן ליה אנן: האי כתבא לא יהבינן ליה להאי, דדלמא מכתב כתביה אבוה, מיהב לא יהבה ליה, ויהבתיה את לאיניש אחרינא וקא הדרת ביה. אלא אי קושטא קא אמרת דיהב ליה אבוך - זיל את השתא כתיב ליה שטרא אחרינא דאי נמי לא יהבה ליה אבוה, וכתבתיה את לאיניש אחרינא - לית בה פסידא, דקמא ובתרא - קמא זכי</w:t>
      </w:r>
      <w:r w:rsidRPr="001D49D4">
        <w:rPr>
          <w:rFonts w:ascii="Calibri" w:eastAsia="Calibri" w:hAnsi="Calibri" w:cs="Arial"/>
          <w:vertAlign w:val="superscript"/>
          <w:rtl/>
        </w:rPr>
        <w:footnoteReference w:id="4889"/>
      </w:r>
      <w:r w:rsidRPr="001D49D4">
        <w:rPr>
          <w:rFonts w:ascii="Calibri" w:eastAsia="Calibri" w:hAnsi="Calibri" w:cs="Arial"/>
          <w:rtl/>
        </w:rPr>
        <w:t>.</w:t>
      </w:r>
    </w:p>
    <w:p w14:paraId="6BB2D453"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u w:val="single"/>
          <w:rtl/>
        </w:rPr>
        <w:t>המוצא שטר מתנת שכיב מרע:</w:t>
      </w:r>
      <w:r w:rsidRPr="001D49D4">
        <w:rPr>
          <w:rFonts w:ascii="Calibri" w:eastAsia="Calibri" w:hAnsi="Calibri" w:cs="Arial"/>
          <w:rtl/>
        </w:rPr>
        <w:t xml:space="preserve"> </w:t>
      </w:r>
    </w:p>
    <w:p w14:paraId="468863B8" w14:textId="77777777" w:rsidR="001D49D4" w:rsidRPr="001D49D4" w:rsidRDefault="001D49D4" w:rsidP="0004348D">
      <w:pPr>
        <w:numPr>
          <w:ilvl w:val="0"/>
          <w:numId w:val="329"/>
        </w:numPr>
        <w:spacing w:before="360" w:after="240"/>
        <w:contextualSpacing/>
        <w:rPr>
          <w:rFonts w:ascii="Calibri" w:eastAsia="Calibri" w:hAnsi="Calibri" w:cs="Arial"/>
          <w:rtl/>
        </w:rPr>
      </w:pPr>
      <w:r w:rsidRPr="001D49D4">
        <w:rPr>
          <w:rFonts w:ascii="Calibri" w:eastAsia="Calibri" w:hAnsi="Calibri" w:cs="Arial"/>
          <w:rtl/>
        </w:rPr>
        <w:t>טור- המוצא שטר מתנת שכיב מרע, אם הנותן קיים ואומר שיתנוהו למקבל - יתנו לו. אבל מת הנותן ובנו אומר שיתנוהו לו - לא יתנוהו לו, אא"כ יהא שטר הקנאה כדפרישית.</w:t>
      </w:r>
      <w:r w:rsidRPr="001D49D4">
        <w:rPr>
          <w:rFonts w:ascii="Calibri" w:eastAsia="Calibri" w:hAnsi="Calibri" w:cs="Arial"/>
          <w:color w:val="E36C0A" w:themeColor="accent6" w:themeShade="BF"/>
          <w:rtl/>
        </w:rPr>
        <w:t xml:space="preserve"> (וכ"פ בשו"ע)</w:t>
      </w:r>
    </w:p>
    <w:p w14:paraId="79667583" w14:textId="77777777" w:rsidR="001D49D4" w:rsidRPr="001D49D4" w:rsidRDefault="001D49D4" w:rsidP="0004348D">
      <w:pPr>
        <w:spacing w:before="360" w:after="240"/>
        <w:rPr>
          <w:rFonts w:ascii="Arial" w:eastAsia="Calibri" w:hAnsi="Arial" w:cs="Arial"/>
          <w:b/>
          <w:bCs/>
          <w:color w:val="000000"/>
          <w:sz w:val="28"/>
          <w:szCs w:val="28"/>
          <w:u w:val="single"/>
          <w:rtl/>
        </w:rPr>
      </w:pPr>
      <w:r w:rsidRPr="001D49D4">
        <w:rPr>
          <w:rFonts w:ascii="Arial" w:eastAsia="Calibri" w:hAnsi="Arial" w:cs="Arial"/>
          <w:b/>
          <w:bCs/>
          <w:color w:val="000000"/>
          <w:sz w:val="28"/>
          <w:szCs w:val="28"/>
          <w:u w:val="single"/>
          <w:rtl/>
        </w:rPr>
        <w:t>שו"ע:</w:t>
      </w:r>
    </w:p>
    <w:p w14:paraId="6AB72377"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rtl/>
        </w:rPr>
        <w:t>המוצא שטר מתנת בריא או שטר מכר, אפילו אומר הנותן או המוכר שיתנוהו למקבל או ללוקח, לא יתנו לו</w:t>
      </w:r>
      <w:r w:rsidRPr="001D49D4">
        <w:rPr>
          <w:rFonts w:ascii="Calibri" w:eastAsia="Calibri" w:hAnsi="Calibri" w:cs="Arial"/>
          <w:vertAlign w:val="superscript"/>
          <w:rtl/>
        </w:rPr>
        <w:footnoteReference w:id="4890"/>
      </w:r>
      <w:r w:rsidRPr="001D49D4">
        <w:rPr>
          <w:rFonts w:ascii="Calibri" w:eastAsia="Calibri" w:hAnsi="Calibri" w:cs="Arial"/>
          <w:rtl/>
        </w:rPr>
        <w:t>, אלא אם כן פירש במתנה</w:t>
      </w:r>
      <w:r w:rsidRPr="001D49D4">
        <w:rPr>
          <w:rFonts w:ascii="Calibri" w:eastAsia="Calibri" w:hAnsi="Calibri" w:cs="Arial"/>
          <w:vertAlign w:val="superscript"/>
          <w:rtl/>
        </w:rPr>
        <w:footnoteReference w:id="4891"/>
      </w:r>
      <w:r w:rsidRPr="001D49D4">
        <w:rPr>
          <w:rFonts w:ascii="Calibri" w:eastAsia="Calibri" w:hAnsi="Calibri" w:cs="Arial"/>
          <w:rtl/>
        </w:rPr>
        <w:t xml:space="preserve"> ששייר לעצמו כח שיוכל לחזור בו כל ימיו, כגון שכתב 'מהיום אם לא אחזור בי כל ימי חיי'. ואם הוא  שטר הקנאה שפירש שהקנה לו מיד, אף על פי שלא הגיע השטר לידו</w:t>
      </w:r>
      <w:r w:rsidRPr="001D49D4">
        <w:rPr>
          <w:rFonts w:ascii="Calibri" w:eastAsia="Calibri" w:hAnsi="Calibri" w:cs="Arial"/>
          <w:vertAlign w:val="superscript"/>
          <w:rtl/>
        </w:rPr>
        <w:footnoteReference w:id="4892"/>
      </w:r>
      <w:r w:rsidRPr="001D49D4">
        <w:rPr>
          <w:rFonts w:ascii="Calibri" w:eastAsia="Calibri" w:hAnsi="Calibri" w:cs="Arial"/>
          <w:rtl/>
        </w:rPr>
        <w:t>, יחזיר, אפילו לא שייר לעצמו שיוכל לחזור. המוצא שטר מתנת שכיב מרע, אם הנותן קיים ואומר שיתנוהו למקבל, יתנוהו לו</w:t>
      </w:r>
      <w:r w:rsidRPr="001D49D4">
        <w:rPr>
          <w:rFonts w:ascii="Calibri" w:eastAsia="Calibri" w:hAnsi="Calibri" w:cs="Arial"/>
          <w:vertAlign w:val="superscript"/>
          <w:rtl/>
        </w:rPr>
        <w:footnoteReference w:id="4893"/>
      </w:r>
      <w:r w:rsidRPr="001D49D4">
        <w:rPr>
          <w:rFonts w:ascii="Calibri" w:eastAsia="Calibri" w:hAnsi="Calibri" w:cs="Arial"/>
          <w:rtl/>
        </w:rPr>
        <w:t xml:space="preserve">. ואם מת הנותן, אף על פי שבנו אומר שיתנוהו לו, לא יתנוהו לו אלא אם כן יהיה שטר הקנאה. </w:t>
      </w:r>
    </w:p>
    <w:p w14:paraId="0ED87642" w14:textId="77777777" w:rsidR="001D49D4" w:rsidRPr="001D49D4" w:rsidRDefault="001D49D4" w:rsidP="0004348D">
      <w:pPr>
        <w:spacing w:before="360" w:after="240"/>
        <w:rPr>
          <w:rFonts w:ascii="Calibri" w:eastAsia="Calibri" w:hAnsi="Calibri" w:cs="Arial"/>
          <w:rtl/>
        </w:rPr>
      </w:pPr>
    </w:p>
    <w:p w14:paraId="213D7647" w14:textId="77777777" w:rsidR="001D49D4" w:rsidRPr="001D49D4" w:rsidRDefault="001D49D4" w:rsidP="0004348D">
      <w:pPr>
        <w:keepNext/>
        <w:keepLines/>
        <w:spacing w:before="360" w:after="240"/>
        <w:outlineLvl w:val="1"/>
        <w:rPr>
          <w:rFonts w:ascii="Cambria" w:eastAsia="Times New Roman" w:hAnsi="Cambria" w:cs="Arial"/>
          <w:bCs/>
          <w:color w:val="548DD4" w:themeColor="text2" w:themeTint="99"/>
          <w:sz w:val="26"/>
          <w:szCs w:val="26"/>
          <w:rtl/>
        </w:rPr>
      </w:pPr>
      <w:bookmarkStart w:id="661" w:name="_Toc24884084"/>
      <w:r w:rsidRPr="001D49D4">
        <w:rPr>
          <w:rFonts w:ascii="Cambria" w:eastAsia="Times New Roman" w:hAnsi="Cambria" w:cs="Arial"/>
          <w:bCs/>
          <w:color w:val="548DD4" w:themeColor="text2" w:themeTint="99"/>
          <w:sz w:val="26"/>
          <w:szCs w:val="26"/>
          <w:rtl/>
        </w:rPr>
        <w:t>סעיף טו: שנים אדוקין בשטר.</w:t>
      </w:r>
      <w:bookmarkEnd w:id="661"/>
    </w:p>
    <w:p w14:paraId="4DEF5364"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b/>
          <w:bCs/>
          <w:rtl/>
        </w:rPr>
        <w:t xml:space="preserve">בבא מציעא </w:t>
      </w:r>
      <w:r w:rsidRPr="001D49D4">
        <w:rPr>
          <w:rFonts w:ascii="Calibri" w:eastAsia="Calibri" w:hAnsi="Calibri" w:cs="Arial"/>
          <w:b/>
          <w:bCs/>
          <w:sz w:val="16"/>
          <w:szCs w:val="16"/>
          <w:rtl/>
        </w:rPr>
        <w:t>(פ"ק)</w:t>
      </w:r>
      <w:r w:rsidRPr="001D49D4">
        <w:rPr>
          <w:rFonts w:ascii="Calibri" w:eastAsia="Calibri" w:hAnsi="Calibri" w:cs="Arial"/>
          <w:b/>
          <w:bCs/>
          <w:rtl/>
        </w:rPr>
        <w:t xml:space="preserve"> ז</w:t>
      </w:r>
      <w:r w:rsidRPr="001D49D4">
        <w:rPr>
          <w:rFonts w:ascii="Calibri" w:eastAsia="Calibri" w:hAnsi="Calibri" w:cs="Arial"/>
          <w:b/>
          <w:bCs/>
          <w:vertAlign w:val="superscript"/>
          <w:rtl/>
        </w:rPr>
        <w:footnoteReference w:id="4894"/>
      </w:r>
      <w:r w:rsidRPr="001D49D4">
        <w:rPr>
          <w:rFonts w:ascii="Calibri" w:eastAsia="Calibri" w:hAnsi="Calibri" w:cs="Arial"/>
          <w:b/>
          <w:bCs/>
          <w:rtl/>
        </w:rPr>
        <w:t xml:space="preserve"> ע"א:</w:t>
      </w:r>
      <w:r w:rsidRPr="001D49D4">
        <w:rPr>
          <w:rFonts w:ascii="Calibri" w:eastAsia="Calibri" w:hAnsi="Calibri" w:cs="Arial"/>
          <w:rtl/>
        </w:rPr>
        <w:t xml:space="preserve"> תנו רבנן: שנים אדוקין בשטר, מלוה אומר: שלי הוא, ונפל ממני, ומצאתיו. ולוה אמר: שלך הוא, ופרעתיו לך. יתקיים השטר בחותמיו, </w:t>
      </w:r>
      <w:r w:rsidRPr="001D49D4">
        <w:rPr>
          <w:rFonts w:ascii="Calibri" w:eastAsia="Calibri" w:hAnsi="Calibri" w:cs="Arial"/>
          <w:u w:val="single"/>
          <w:rtl/>
        </w:rPr>
        <w:t>דברי רבי</w:t>
      </w:r>
      <w:r w:rsidRPr="001D49D4">
        <w:rPr>
          <w:rFonts w:ascii="Calibri" w:eastAsia="Calibri" w:hAnsi="Calibri" w:cs="Arial"/>
          <w:rtl/>
        </w:rPr>
        <w:t xml:space="preserve">. </w:t>
      </w:r>
      <w:r w:rsidRPr="001D49D4">
        <w:rPr>
          <w:rFonts w:ascii="Calibri" w:eastAsia="Calibri" w:hAnsi="Calibri" w:cs="Arial"/>
          <w:u w:val="single"/>
          <w:rtl/>
        </w:rPr>
        <w:t>רבי שמעון בן גמליאל אומר</w:t>
      </w:r>
      <w:r w:rsidRPr="001D49D4">
        <w:rPr>
          <w:rFonts w:ascii="Calibri" w:eastAsia="Calibri" w:hAnsi="Calibri" w:cs="Arial"/>
          <w:rtl/>
        </w:rPr>
        <w:t>: יחלוקו</w:t>
      </w:r>
      <w:r w:rsidRPr="001D49D4">
        <w:rPr>
          <w:rFonts w:ascii="Calibri" w:eastAsia="Calibri" w:hAnsi="Calibri" w:cs="Arial"/>
          <w:vertAlign w:val="superscript"/>
          <w:rtl/>
        </w:rPr>
        <w:footnoteReference w:id="4895"/>
      </w:r>
      <w:r w:rsidRPr="001D49D4">
        <w:rPr>
          <w:rFonts w:ascii="Calibri" w:eastAsia="Calibri" w:hAnsi="Calibri" w:cs="Arial"/>
          <w:rtl/>
        </w:rPr>
        <w:t xml:space="preserve">... </w:t>
      </w:r>
      <w:r w:rsidRPr="001D49D4">
        <w:rPr>
          <w:rFonts w:ascii="Calibri" w:eastAsia="Calibri" w:hAnsi="Calibri" w:cs="Arial"/>
          <w:u w:val="single"/>
          <w:rtl/>
        </w:rPr>
        <w:t>אמר רבא אמר רב נחמן</w:t>
      </w:r>
      <w:r w:rsidRPr="001D49D4">
        <w:rPr>
          <w:rFonts w:ascii="Calibri" w:eastAsia="Calibri" w:hAnsi="Calibri" w:cs="Arial"/>
          <w:rtl/>
        </w:rPr>
        <w:t>: במקוים - דברי הכל יחלוקו</w:t>
      </w:r>
      <w:r w:rsidRPr="001D49D4">
        <w:rPr>
          <w:rFonts w:ascii="Calibri" w:eastAsia="Calibri" w:hAnsi="Calibri" w:cs="Arial"/>
          <w:vertAlign w:val="superscript"/>
          <w:rtl/>
        </w:rPr>
        <w:footnoteReference w:id="4896"/>
      </w:r>
      <w:r w:rsidRPr="001D49D4">
        <w:rPr>
          <w:rFonts w:ascii="Calibri" w:eastAsia="Calibri" w:hAnsi="Calibri" w:cs="Arial"/>
          <w:rtl/>
        </w:rPr>
        <w:t xml:space="preserve">, כי פליגי - בשאינו מקוים... </w:t>
      </w:r>
      <w:r w:rsidRPr="001D49D4">
        <w:rPr>
          <w:rFonts w:ascii="Calibri" w:eastAsia="Calibri" w:hAnsi="Calibri" w:cs="Arial"/>
          <w:sz w:val="14"/>
          <w:szCs w:val="14"/>
          <w:rtl/>
        </w:rPr>
        <w:t xml:space="preserve">(ז:) </w:t>
      </w:r>
      <w:r w:rsidRPr="001D49D4">
        <w:rPr>
          <w:rFonts w:ascii="Calibri" w:eastAsia="Calibri" w:hAnsi="Calibri" w:cs="Arial"/>
          <w:u w:val="single"/>
          <w:rtl/>
        </w:rPr>
        <w:t>אמר רבי אלעזר</w:t>
      </w:r>
      <w:r w:rsidRPr="001D49D4">
        <w:rPr>
          <w:rFonts w:ascii="Calibri" w:eastAsia="Calibri" w:hAnsi="Calibri" w:cs="Arial"/>
          <w:rtl/>
        </w:rPr>
        <w:t>: מחלוקת</w:t>
      </w:r>
      <w:r w:rsidRPr="001D49D4">
        <w:rPr>
          <w:rFonts w:ascii="Calibri" w:eastAsia="Calibri" w:hAnsi="Calibri" w:cs="Arial"/>
          <w:vertAlign w:val="superscript"/>
          <w:rtl/>
        </w:rPr>
        <w:footnoteReference w:id="4897"/>
      </w:r>
      <w:r w:rsidRPr="001D49D4">
        <w:rPr>
          <w:rFonts w:ascii="Calibri" w:eastAsia="Calibri" w:hAnsi="Calibri" w:cs="Arial"/>
          <w:rtl/>
        </w:rPr>
        <w:t xml:space="preserve"> בששניהם אדוקים בטופס ושניהם בתורף, אבל אחד אדוק בטופס ואחד אדוק בתורף - זה נוטל טופס וזה נוטל תורף. </w:t>
      </w:r>
      <w:r w:rsidRPr="001D49D4">
        <w:rPr>
          <w:rFonts w:ascii="Calibri" w:eastAsia="Calibri" w:hAnsi="Calibri" w:cs="Arial"/>
          <w:u w:val="single"/>
          <w:rtl/>
        </w:rPr>
        <w:t>ורבי יוחנן אמר</w:t>
      </w:r>
      <w:r w:rsidRPr="001D49D4">
        <w:rPr>
          <w:rFonts w:ascii="Calibri" w:eastAsia="Calibri" w:hAnsi="Calibri" w:cs="Arial"/>
          <w:rtl/>
        </w:rPr>
        <w:t>: לעולם חולקין. ואפילו אחד אדוק בטופס ואחד אדוק בתורף? והתניא: זה נוטל עד מקום שידו מגעת! לא צריכא, דקאי תורף בי מצעי</w:t>
      </w:r>
      <w:r w:rsidRPr="001D49D4">
        <w:rPr>
          <w:rFonts w:ascii="Calibri" w:eastAsia="Calibri" w:hAnsi="Calibri" w:cs="Arial"/>
          <w:vertAlign w:val="superscript"/>
          <w:rtl/>
        </w:rPr>
        <w:footnoteReference w:id="4898"/>
      </w:r>
      <w:r w:rsidRPr="001D49D4">
        <w:rPr>
          <w:rFonts w:ascii="Calibri" w:eastAsia="Calibri" w:hAnsi="Calibri" w:cs="Arial"/>
          <w:rtl/>
        </w:rPr>
        <w:t xml:space="preserve">... </w:t>
      </w:r>
      <w:r w:rsidRPr="001D49D4">
        <w:rPr>
          <w:rFonts w:ascii="Calibri" w:eastAsia="Calibri" w:hAnsi="Calibri" w:cs="Arial"/>
          <w:u w:val="single"/>
          <w:rtl/>
        </w:rPr>
        <w:t>אמר ליה רב אחא מדפתי לרבינא</w:t>
      </w:r>
      <w:r w:rsidRPr="001D49D4">
        <w:rPr>
          <w:rFonts w:ascii="Calibri" w:eastAsia="Calibri" w:hAnsi="Calibri" w:cs="Arial"/>
          <w:rtl/>
        </w:rPr>
        <w:t xml:space="preserve">: לרבי אלעזר, דאמר זה נוטל טופס וזה נוטל תורף, למה ליה? וכי לצור על פי צלוחיתו הוא צריך? </w:t>
      </w:r>
      <w:r w:rsidRPr="001D49D4">
        <w:rPr>
          <w:rFonts w:ascii="Calibri" w:eastAsia="Calibri" w:hAnsi="Calibri" w:cs="Arial"/>
          <w:u w:val="single"/>
          <w:rtl/>
        </w:rPr>
        <w:t>אמר ליה</w:t>
      </w:r>
      <w:r w:rsidRPr="001D49D4">
        <w:rPr>
          <w:rFonts w:ascii="Calibri" w:eastAsia="Calibri" w:hAnsi="Calibri" w:cs="Arial"/>
          <w:rtl/>
        </w:rPr>
        <w:t xml:space="preserve">: לדמי. דאמר הכי, שטרא דאית ביה זמן כמה שוי, ודלית ביה זמן כמה שוי? בשטרא דאית ביה זמן - גבי ממשעבדי, ואידך לא גבי ממשעבדי, יהיב ליה היאך דביני ביני. </w:t>
      </w:r>
    </w:p>
    <w:p w14:paraId="715EF5BF" w14:textId="77777777" w:rsidR="001D49D4" w:rsidRPr="001D49D4" w:rsidRDefault="001D49D4" w:rsidP="0004348D">
      <w:pPr>
        <w:spacing w:before="360" w:after="240"/>
        <w:rPr>
          <w:rFonts w:ascii="Calibri" w:eastAsia="Calibri" w:hAnsi="Calibri" w:cs="Arial"/>
          <w:u w:val="single"/>
          <w:rtl/>
        </w:rPr>
      </w:pPr>
      <w:r w:rsidRPr="001D49D4">
        <w:rPr>
          <w:rFonts w:ascii="Calibri" w:eastAsia="Calibri" w:hAnsi="Calibri" w:cs="Arial"/>
          <w:u w:val="single"/>
          <w:rtl/>
        </w:rPr>
        <w:t>מלוה ולוה שהם אדוקים בשטר:</w:t>
      </w:r>
    </w:p>
    <w:p w14:paraId="63069918" w14:textId="77777777" w:rsidR="001D49D4" w:rsidRPr="001D49D4" w:rsidRDefault="001D49D4" w:rsidP="0004348D">
      <w:pPr>
        <w:numPr>
          <w:ilvl w:val="0"/>
          <w:numId w:val="329"/>
        </w:numPr>
        <w:spacing w:before="360" w:after="240"/>
        <w:contextualSpacing/>
        <w:rPr>
          <w:rFonts w:ascii="Calibri" w:eastAsia="Calibri" w:hAnsi="Calibri" w:cs="Arial"/>
          <w:rtl/>
        </w:rPr>
      </w:pPr>
      <w:r w:rsidRPr="001D49D4">
        <w:rPr>
          <w:rFonts w:ascii="Calibri" w:eastAsia="Calibri" w:hAnsi="Calibri" w:cs="Arial"/>
          <w:rtl/>
        </w:rPr>
        <w:t>טור- מלוה ולוה שהם אדוקים בשטר כל אחד אומר שלי הוא וממני נפל, אם אינו מקוים - הלוה נאמן וישבע היסת ויפטר. ואם הוא מקוים ואוחזין בו שניהם בשוה בטופס או בתורף, או ששניהן אוחזין בגליון ואפילו כל התורף קרוב לאחד יותר מלחבירו - זה ישבע</w:t>
      </w:r>
      <w:r w:rsidRPr="001D49D4">
        <w:rPr>
          <w:rFonts w:ascii="Calibri" w:eastAsia="Calibri" w:hAnsi="Calibri" w:cs="Arial"/>
          <w:vertAlign w:val="superscript"/>
          <w:rtl/>
        </w:rPr>
        <w:footnoteReference w:id="4899"/>
      </w:r>
      <w:r w:rsidRPr="001D49D4">
        <w:rPr>
          <w:rFonts w:ascii="Calibri" w:eastAsia="Calibri" w:hAnsi="Calibri" w:cs="Arial"/>
          <w:rtl/>
        </w:rPr>
        <w:t xml:space="preserve"> שאין לו פחות מחציו וזה ישבע שאין לו פחות מחציו ויפרע לו חציו, אפילו אם יש בו נאמנות</w:t>
      </w:r>
      <w:r w:rsidRPr="001D49D4">
        <w:rPr>
          <w:rFonts w:ascii="Calibri" w:eastAsia="Calibri" w:hAnsi="Calibri" w:cs="Arial"/>
          <w:vertAlign w:val="superscript"/>
          <w:rtl/>
        </w:rPr>
        <w:footnoteReference w:id="4900"/>
      </w:r>
      <w:r w:rsidRPr="001D49D4">
        <w:rPr>
          <w:rFonts w:ascii="Calibri" w:eastAsia="Calibri" w:hAnsi="Calibri" w:cs="Arial"/>
          <w:rtl/>
        </w:rPr>
        <w:t>, שהורע כחו כיון שנפל. ואם אוחז אחד בתורף ואחד בתופס - האוחז בתורף נוטל יתרון הממון ששוה התורף על התופס, והשאר יחלקו בשוה בשבועה. וכיצד שמין זה היתרון, שמין במה שוה שטר שיש בו זמן יותר משאין בו זמן, שהרי לא תורף ולא תופס ראויין לגבות בהן זה בלא זה, לפיכך בעיקר השטר הן שוין, אלא שהתורף שוה יותר בשביל הזמן שבו</w:t>
      </w:r>
      <w:r w:rsidRPr="001D49D4">
        <w:rPr>
          <w:rFonts w:ascii="Calibri" w:eastAsia="Calibri" w:hAnsi="Calibri" w:cs="Arial"/>
          <w:vertAlign w:val="superscript"/>
          <w:rtl/>
        </w:rPr>
        <w:footnoteReference w:id="4901"/>
      </w:r>
      <w:r w:rsidRPr="001D49D4">
        <w:rPr>
          <w:rFonts w:ascii="Calibri" w:eastAsia="Calibri" w:hAnsi="Calibri" w:cs="Arial"/>
          <w:rtl/>
        </w:rPr>
        <w:t xml:space="preserve">, וכך נוטל תחילה מי שהוחזק בו. </w:t>
      </w:r>
      <w:r w:rsidRPr="001D49D4">
        <w:rPr>
          <w:rFonts w:ascii="Calibri" w:eastAsia="Calibri" w:hAnsi="Calibri" w:cs="Arial"/>
          <w:vertAlign w:val="superscript"/>
          <w:rtl/>
        </w:rPr>
        <w:footnoteReference w:id="4902"/>
      </w:r>
      <w:r w:rsidRPr="001D49D4">
        <w:rPr>
          <w:rFonts w:ascii="Calibri" w:eastAsia="Calibri" w:hAnsi="Calibri" w:cs="Arial"/>
          <w:rtl/>
        </w:rPr>
        <w:t>ואם יש כאן עדי מסירה נמצא שבין תורף ובין טופס שניהם כשרים לגבות בו בלא עדי חתימה, אלא שהטופס שוה יותר בשביל העדים החתומים, דשמא ילכו עדי מסירה למ"ה או ימותו, הלכך שמין עילויו של טופס בשביל עדיו, ועילויו של תורף בשביל הזמן, ומאי דביני ביני מנכין מעיקר המלוה, והשאר חולקין</w:t>
      </w:r>
      <w:r w:rsidRPr="001D49D4">
        <w:rPr>
          <w:rFonts w:ascii="Calibri" w:eastAsia="Calibri" w:hAnsi="Calibri" w:cs="Arial"/>
          <w:vertAlign w:val="superscript"/>
          <w:rtl/>
        </w:rPr>
        <w:footnoteReference w:id="4903"/>
      </w:r>
      <w:r w:rsidRPr="001D49D4">
        <w:rPr>
          <w:rFonts w:ascii="Calibri" w:eastAsia="Calibri" w:hAnsi="Calibri" w:cs="Arial"/>
          <w:rtl/>
        </w:rPr>
        <w:t xml:space="preserve"> בשבועה. וי"א</w:t>
      </w:r>
      <w:r w:rsidRPr="001D49D4">
        <w:rPr>
          <w:rFonts w:ascii="Calibri" w:eastAsia="Calibri" w:hAnsi="Calibri" w:cs="Arial"/>
          <w:vertAlign w:val="superscript"/>
          <w:rtl/>
        </w:rPr>
        <w:footnoteReference w:id="4904"/>
      </w:r>
      <w:r w:rsidRPr="001D49D4">
        <w:rPr>
          <w:rFonts w:ascii="Calibri" w:eastAsia="Calibri" w:hAnsi="Calibri" w:cs="Arial"/>
          <w:rtl/>
        </w:rPr>
        <w:t xml:space="preserve"> שחולקין בלא שבועה, שלא נתקנה שבועה זו אלא כדי שלא יהא כל אחד ואחד הולך ותוקף את טליתו של חבירו לפיכך לא תקנוה אלא בטלית וכיוצא בו דשכיח אבל לא בשטרות דלא שכיח</w:t>
      </w:r>
      <w:r w:rsidRPr="001D49D4">
        <w:rPr>
          <w:rFonts w:ascii="Calibri" w:eastAsia="Calibri" w:hAnsi="Calibri" w:cs="Arial"/>
          <w:vertAlign w:val="superscript"/>
          <w:rtl/>
        </w:rPr>
        <w:footnoteReference w:id="4905"/>
      </w:r>
      <w:r w:rsidRPr="001D49D4">
        <w:rPr>
          <w:rFonts w:ascii="Calibri" w:eastAsia="Calibri" w:hAnsi="Calibri" w:cs="Arial"/>
          <w:rtl/>
        </w:rPr>
        <w:t>.</w:t>
      </w:r>
    </w:p>
    <w:p w14:paraId="0F2C1F8A" w14:textId="77777777" w:rsidR="001D49D4" w:rsidRPr="001D49D4" w:rsidRDefault="001D49D4" w:rsidP="0004348D">
      <w:pPr>
        <w:numPr>
          <w:ilvl w:val="0"/>
          <w:numId w:val="329"/>
        </w:numPr>
        <w:spacing w:before="360" w:after="240"/>
        <w:contextualSpacing/>
        <w:rPr>
          <w:rFonts w:ascii="Calibri" w:eastAsia="Calibri" w:hAnsi="Calibri" w:cs="Arial"/>
        </w:rPr>
      </w:pPr>
      <w:r w:rsidRPr="001D49D4">
        <w:rPr>
          <w:rFonts w:ascii="Calibri" w:eastAsia="Calibri" w:hAnsi="Calibri" w:cs="Arial"/>
          <w:rtl/>
        </w:rPr>
        <w:t xml:space="preserve">רי"ף </w:t>
      </w:r>
      <w:r w:rsidRPr="001D49D4">
        <w:rPr>
          <w:rFonts w:ascii="Calibri" w:eastAsia="Calibri" w:hAnsi="Calibri" w:cs="Arial"/>
          <w:sz w:val="16"/>
          <w:szCs w:val="16"/>
          <w:rtl/>
        </w:rPr>
        <w:t xml:space="preserve">(ג:) </w:t>
      </w:r>
      <w:r w:rsidRPr="001D49D4">
        <w:rPr>
          <w:rFonts w:ascii="Calibri" w:eastAsia="Calibri" w:hAnsi="Calibri" w:cs="Arial"/>
          <w:rtl/>
        </w:rPr>
        <w:t>ורמב"ם</w:t>
      </w:r>
      <w:r w:rsidRPr="001D49D4">
        <w:rPr>
          <w:rFonts w:ascii="Calibri" w:eastAsia="Calibri" w:hAnsi="Calibri" w:cs="Arial"/>
          <w:sz w:val="16"/>
          <w:szCs w:val="16"/>
          <w:rtl/>
        </w:rPr>
        <w:t xml:space="preserve"> (פי"ד מהל' מלוה ולוה הי"ד)</w:t>
      </w:r>
      <w:r w:rsidRPr="001D49D4">
        <w:rPr>
          <w:rFonts w:ascii="Calibri" w:eastAsia="Calibri" w:hAnsi="Calibri" w:cs="Arial"/>
          <w:rtl/>
        </w:rPr>
        <w:t>- שנים שהן אוחזין בשטר, המלוה אומר שלי הוא והוצאתיו להפרע בו ממך, והלוה אומר פרעתיו וממני נפל, אם היה השטר שיכול לקיימו - זה נשבע שאין לו בדמים אלו פחות מחציין וזה ישבע שאין לו בדמים פחות מחציין וישלם הלוה מחצה, ואם אינו יכול לקיימו - ישבע הלוה היסת שפרעו וילך לו</w:t>
      </w:r>
      <w:r w:rsidRPr="001D49D4">
        <w:rPr>
          <w:rFonts w:ascii="Calibri" w:eastAsia="Calibri" w:hAnsi="Calibri" w:cs="Arial"/>
          <w:sz w:val="16"/>
          <w:szCs w:val="16"/>
          <w:rtl/>
        </w:rPr>
        <w:t xml:space="preserve"> (ל' הרמב"ם)</w:t>
      </w:r>
      <w:r w:rsidRPr="001D49D4">
        <w:rPr>
          <w:rFonts w:ascii="Calibri" w:eastAsia="Calibri" w:hAnsi="Calibri" w:cs="Arial"/>
          <w:rtl/>
        </w:rPr>
        <w:t xml:space="preserve">. </w:t>
      </w:r>
      <w:r w:rsidRPr="001D49D4">
        <w:rPr>
          <w:rFonts w:ascii="Calibri" w:eastAsia="Calibri" w:hAnsi="Calibri" w:cs="Arial"/>
          <w:color w:val="E36C0A" w:themeColor="accent6" w:themeShade="BF"/>
          <w:rtl/>
        </w:rPr>
        <w:t>(וכ"ס בשו"ע)</w:t>
      </w:r>
    </w:p>
    <w:p w14:paraId="2AC2A13D" w14:textId="77777777" w:rsidR="001D49D4" w:rsidRPr="001D49D4" w:rsidRDefault="001D49D4" w:rsidP="0004348D">
      <w:pPr>
        <w:spacing w:before="360" w:after="240"/>
        <w:rPr>
          <w:rFonts w:ascii="Calibri" w:eastAsia="Calibri" w:hAnsi="Calibri" w:cs="Arial"/>
          <w:u w:val="dotted"/>
          <w:rtl/>
        </w:rPr>
      </w:pPr>
      <w:r w:rsidRPr="001D49D4">
        <w:rPr>
          <w:rFonts w:ascii="Calibri" w:eastAsia="Calibri" w:hAnsi="Calibri" w:cs="Arial"/>
          <w:u w:val="dotted"/>
          <w:rtl/>
        </w:rPr>
        <w:t>כשהלוה משלם חצי – משלם חצי השטר או חצי שוויו:</w:t>
      </w:r>
    </w:p>
    <w:p w14:paraId="07B06C2B" w14:textId="77777777" w:rsidR="001D49D4" w:rsidRPr="001D49D4" w:rsidRDefault="001D49D4" w:rsidP="0004348D">
      <w:pPr>
        <w:numPr>
          <w:ilvl w:val="0"/>
          <w:numId w:val="329"/>
        </w:numPr>
        <w:spacing w:before="360" w:after="240"/>
        <w:contextualSpacing/>
        <w:rPr>
          <w:rFonts w:ascii="Calibri" w:eastAsia="Calibri" w:hAnsi="Calibri" w:cs="Arial"/>
          <w:rtl/>
        </w:rPr>
      </w:pPr>
      <w:r w:rsidRPr="001D49D4">
        <w:rPr>
          <w:rFonts w:ascii="Calibri" w:eastAsia="Calibri" w:hAnsi="Calibri" w:cs="Arial"/>
          <w:rtl/>
        </w:rPr>
        <w:t xml:space="preserve">רי"ו </w:t>
      </w:r>
      <w:r w:rsidRPr="001D49D4">
        <w:rPr>
          <w:rFonts w:ascii="Calibri" w:eastAsia="Calibri" w:hAnsi="Calibri" w:cs="Arial"/>
          <w:sz w:val="16"/>
          <w:szCs w:val="16"/>
          <w:rtl/>
        </w:rPr>
        <w:t xml:space="preserve">(נ"ו ח"ה כד ע"ג) </w:t>
      </w:r>
      <w:r w:rsidRPr="001D49D4">
        <w:rPr>
          <w:rFonts w:ascii="Calibri" w:eastAsia="Calibri" w:hAnsi="Calibri" w:cs="Arial"/>
          <w:rtl/>
        </w:rPr>
        <w:t xml:space="preserve">בשם ה"ר יונה- כשהלוה יתן חלקו המגיעו למלוה - לא כפי הכתוב בשטר, כי יש מאתיים שאינם שוים אלא מאה, אלא אומדין כמה שוה השטר ולפי זה יפרע לו חלקו, וכן נראה עיקר. </w:t>
      </w:r>
      <w:r w:rsidRPr="001D49D4">
        <w:rPr>
          <w:rFonts w:ascii="Calibri" w:eastAsia="Calibri" w:hAnsi="Calibri" w:cs="Arial"/>
          <w:color w:val="00B0F0"/>
          <w:rtl/>
        </w:rPr>
        <w:t>(וכ"פ הרמ"א)</w:t>
      </w:r>
    </w:p>
    <w:p w14:paraId="16325A48"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u w:val="single"/>
          <w:rtl/>
        </w:rPr>
        <w:t>מלוה אדוק בתורף שאין בו זמן, והלוה אדוק בזמן:</w:t>
      </w:r>
    </w:p>
    <w:p w14:paraId="24BE3986" w14:textId="77777777" w:rsidR="001D49D4" w:rsidRPr="001D49D4" w:rsidRDefault="001D49D4" w:rsidP="0004348D">
      <w:pPr>
        <w:numPr>
          <w:ilvl w:val="0"/>
          <w:numId w:val="329"/>
        </w:numPr>
        <w:spacing w:before="360" w:after="240"/>
        <w:contextualSpacing/>
        <w:rPr>
          <w:rFonts w:ascii="Calibri" w:eastAsia="Calibri" w:hAnsi="Calibri" w:cs="Arial"/>
          <w:rtl/>
        </w:rPr>
      </w:pPr>
      <w:r w:rsidRPr="001D49D4">
        <w:rPr>
          <w:rFonts w:ascii="Calibri" w:eastAsia="Calibri" w:hAnsi="Calibri" w:cs="Arial"/>
          <w:rtl/>
        </w:rPr>
        <w:t xml:space="preserve">הה"מ </w:t>
      </w:r>
      <w:r w:rsidRPr="001D49D4">
        <w:rPr>
          <w:rFonts w:ascii="Calibri" w:eastAsia="Calibri" w:hAnsi="Calibri" w:cs="Arial"/>
          <w:sz w:val="16"/>
          <w:szCs w:val="16"/>
          <w:rtl/>
        </w:rPr>
        <w:t>(פי"ד הי"ד)</w:t>
      </w:r>
      <w:r w:rsidRPr="001D49D4">
        <w:rPr>
          <w:rFonts w:ascii="Calibri" w:eastAsia="Calibri" w:hAnsi="Calibri" w:cs="Arial"/>
          <w:rtl/>
        </w:rPr>
        <w:t xml:space="preserve">- מתוך דברי קצת מפרשים נראה שאם המלוה אדוק בתורף שהוא מקום שכתובים בו הלוה והמלוה והערב והעדים אלא שאין בו זמן, והלוה אדוק בזמן - גובה מלוה כולו חוץ מדמי הזמן, כלומר ששמין שטר שיש בו זמן כמה שוה יותר משטר שאין בו זמן ומנכה ליה מאי דביני ביני. אבל אם מלוה אחוז בטופס שהוא מקום הזמן ולא בתורף - אינו גובה כלום, וזה דעת הרשב"א </w:t>
      </w:r>
      <w:r w:rsidRPr="001D49D4">
        <w:rPr>
          <w:rFonts w:ascii="Calibri" w:eastAsia="Calibri" w:hAnsi="Calibri" w:cs="Arial"/>
          <w:sz w:val="16"/>
          <w:szCs w:val="16"/>
          <w:rtl/>
        </w:rPr>
        <w:t>(ב"מ ז: ד"ה וי"מ)</w:t>
      </w:r>
      <w:r w:rsidRPr="001D49D4">
        <w:rPr>
          <w:rFonts w:ascii="Calibri" w:eastAsia="Calibri" w:hAnsi="Calibri" w:cs="Arial"/>
          <w:rtl/>
        </w:rPr>
        <w:t>.</w:t>
      </w:r>
    </w:p>
    <w:p w14:paraId="30B19A74" w14:textId="77777777" w:rsidR="001D49D4" w:rsidRPr="001D49D4" w:rsidRDefault="001D49D4" w:rsidP="0004348D">
      <w:pPr>
        <w:spacing w:before="360" w:after="240"/>
        <w:rPr>
          <w:rFonts w:ascii="Arial" w:eastAsia="Calibri" w:hAnsi="Arial" w:cs="Arial"/>
          <w:b/>
          <w:bCs/>
          <w:color w:val="000000"/>
          <w:sz w:val="28"/>
          <w:szCs w:val="28"/>
          <w:u w:val="single"/>
          <w:rtl/>
        </w:rPr>
      </w:pPr>
      <w:r w:rsidRPr="001D49D4">
        <w:rPr>
          <w:rFonts w:ascii="Arial" w:eastAsia="Calibri" w:hAnsi="Arial" w:cs="Arial"/>
          <w:b/>
          <w:bCs/>
          <w:color w:val="000000"/>
          <w:sz w:val="28"/>
          <w:szCs w:val="28"/>
          <w:u w:val="single"/>
          <w:rtl/>
        </w:rPr>
        <w:t>שו"ע:</w:t>
      </w:r>
    </w:p>
    <w:p w14:paraId="287F26A3"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rtl/>
        </w:rPr>
        <w:t xml:space="preserve">שנים שהן אוחזין בשטר, המלוה אומר 'שלי הוא והוצאתיו להפרע בו ממך', והלוה אומר 'פרעתיו וממני נפל', אם היה השטר שיכול לקיימו זה ישבע שאין לו בדמים אלו פחות מחציין וזה ישבע שאין לו בדמים אלו פחות מחציין, וישלם הלוה מחצה. </w:t>
      </w:r>
      <w:r w:rsidRPr="001D49D4">
        <w:rPr>
          <w:rFonts w:ascii="Calibri" w:eastAsia="Calibri" w:hAnsi="Calibri" w:cs="Arial"/>
          <w:sz w:val="18"/>
          <w:szCs w:val="18"/>
          <w:rtl/>
        </w:rPr>
        <w:t>[הגה] שוויו של חוב</w:t>
      </w:r>
      <w:r w:rsidRPr="001D49D4">
        <w:rPr>
          <w:rFonts w:ascii="Calibri" w:eastAsia="Calibri" w:hAnsi="Calibri" w:cs="Arial"/>
          <w:sz w:val="18"/>
          <w:szCs w:val="18"/>
          <w:vertAlign w:val="superscript"/>
          <w:rtl/>
        </w:rPr>
        <w:footnoteReference w:id="4906"/>
      </w:r>
      <w:r w:rsidRPr="001D49D4">
        <w:rPr>
          <w:rFonts w:ascii="Calibri" w:eastAsia="Calibri" w:hAnsi="Calibri" w:cs="Arial"/>
          <w:sz w:val="18"/>
          <w:szCs w:val="18"/>
          <w:rtl/>
        </w:rPr>
        <w:t xml:space="preserve"> שבשטר (רי"ו נ"ו ח"ה בשם הר"ר יונה וכ"ה בתוס').</w:t>
      </w:r>
      <w:r w:rsidRPr="001D49D4">
        <w:rPr>
          <w:rFonts w:ascii="Calibri" w:eastAsia="Calibri" w:hAnsi="Calibri" w:cs="Arial"/>
          <w:rtl/>
        </w:rPr>
        <w:t xml:space="preserve"> ואם אינו יכול לקיימו, ישבע הלוה</w:t>
      </w:r>
      <w:r w:rsidRPr="001D49D4">
        <w:rPr>
          <w:rFonts w:ascii="Calibri" w:eastAsia="Calibri" w:hAnsi="Calibri" w:cs="Arial"/>
          <w:vertAlign w:val="superscript"/>
          <w:rtl/>
        </w:rPr>
        <w:footnoteReference w:id="4907"/>
      </w:r>
      <w:r w:rsidRPr="001D49D4">
        <w:rPr>
          <w:rFonts w:ascii="Calibri" w:eastAsia="Calibri" w:hAnsi="Calibri" w:cs="Arial"/>
          <w:rtl/>
        </w:rPr>
        <w:t xml:space="preserve"> היסת שפרעו, וילך לו. ויש אומרים שאם הוא מקויים ואוחזין בו שניהם בשוה בטופס או בתורף, או ששניהם אוחזים בגליון, ואפילו כל התורף קרוב לאחד יותר מלחבירו, זה ישבע שאין לו בו פחות מחציו וזה ישבע שאין לו בו פחות מחציו, ויפרע לו חציו, אפילו אם יש בו נאמנות. ואם אחד אוחז בתורף ואחד בטופס, האוחז בתורף נוטל יתרון הממון ששוה התורף על הטופס, והשאר יחלקו בשוה בשבועה. </w:t>
      </w:r>
    </w:p>
    <w:p w14:paraId="30FA1488" w14:textId="77777777" w:rsidR="001D49D4" w:rsidRPr="001D49D4" w:rsidRDefault="001D49D4" w:rsidP="0004348D">
      <w:pPr>
        <w:spacing w:before="360" w:after="240"/>
        <w:rPr>
          <w:rFonts w:ascii="Calibri" w:eastAsia="Calibri" w:hAnsi="Calibri" w:cs="Arial"/>
          <w:rtl/>
        </w:rPr>
      </w:pPr>
    </w:p>
    <w:p w14:paraId="04F26CAB" w14:textId="77777777" w:rsidR="001D49D4" w:rsidRPr="001D49D4" w:rsidRDefault="001D49D4" w:rsidP="0004348D">
      <w:pPr>
        <w:keepNext/>
        <w:keepLines/>
        <w:spacing w:before="360" w:after="240"/>
        <w:outlineLvl w:val="1"/>
        <w:rPr>
          <w:rFonts w:ascii="Cambria" w:eastAsia="Times New Roman" w:hAnsi="Cambria" w:cs="Arial"/>
          <w:bCs/>
          <w:color w:val="548DD4" w:themeColor="text2" w:themeTint="99"/>
          <w:sz w:val="26"/>
          <w:szCs w:val="26"/>
          <w:rtl/>
        </w:rPr>
      </w:pPr>
      <w:bookmarkStart w:id="662" w:name="_Toc24884085"/>
      <w:r w:rsidRPr="001D49D4">
        <w:rPr>
          <w:rFonts w:ascii="Cambria" w:eastAsia="Times New Roman" w:hAnsi="Cambria" w:cs="Arial"/>
          <w:bCs/>
          <w:color w:val="548DD4" w:themeColor="text2" w:themeTint="99"/>
          <w:sz w:val="26"/>
          <w:szCs w:val="26"/>
          <w:rtl/>
        </w:rPr>
        <w:t>סעיף טז: המחזיר שטר שמן הדין לא היה לו להחזירו.</w:t>
      </w:r>
      <w:bookmarkEnd w:id="662"/>
    </w:p>
    <w:p w14:paraId="633F85A1"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rtl/>
        </w:rPr>
        <w:t>עיין במקורות בסוף סעיף א.</w:t>
      </w:r>
    </w:p>
    <w:p w14:paraId="16F66375" w14:textId="77777777" w:rsidR="001D49D4" w:rsidRPr="001D49D4" w:rsidRDefault="001D49D4" w:rsidP="0004348D">
      <w:pPr>
        <w:spacing w:before="360" w:after="240"/>
        <w:rPr>
          <w:rFonts w:ascii="Arial" w:eastAsia="Calibri" w:hAnsi="Arial" w:cs="Arial"/>
          <w:b/>
          <w:bCs/>
          <w:color w:val="000000"/>
          <w:sz w:val="28"/>
          <w:szCs w:val="28"/>
          <w:u w:val="single"/>
          <w:rtl/>
        </w:rPr>
      </w:pPr>
      <w:r w:rsidRPr="001D49D4">
        <w:rPr>
          <w:rFonts w:ascii="Arial" w:eastAsia="Calibri" w:hAnsi="Arial" w:cs="Arial"/>
          <w:b/>
          <w:bCs/>
          <w:color w:val="000000"/>
          <w:sz w:val="28"/>
          <w:szCs w:val="28"/>
          <w:u w:val="single"/>
          <w:rtl/>
        </w:rPr>
        <w:t>שו"ע:</w:t>
      </w:r>
    </w:p>
    <w:p w14:paraId="05523D8C"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rtl/>
        </w:rPr>
        <w:t>המחזיר שטר שמן הדין לא היה לו להחזירו, יש מי שאומר שגובין בו</w:t>
      </w:r>
      <w:r w:rsidRPr="001D49D4">
        <w:rPr>
          <w:rFonts w:ascii="Calibri" w:eastAsia="Calibri" w:hAnsi="Calibri" w:cs="Arial"/>
          <w:vertAlign w:val="superscript"/>
          <w:rtl/>
        </w:rPr>
        <w:footnoteReference w:id="4908"/>
      </w:r>
      <w:r w:rsidRPr="001D49D4">
        <w:rPr>
          <w:rFonts w:ascii="Calibri" w:eastAsia="Calibri" w:hAnsi="Calibri" w:cs="Arial"/>
          <w:rtl/>
        </w:rPr>
        <w:t xml:space="preserve">. ויש אומרים שאין גובין בו. ויש מי שאומר שאפילו גבו בבית דין ואחר כך נודע בעדים שנפל, מחזירין בית דין ומוציאין מהמלוה ללוה. אבל אם מעצמו פרע למלוה או ליורשיו, אין מוציאים מידם. </w:t>
      </w:r>
      <w:r w:rsidRPr="001D49D4">
        <w:rPr>
          <w:rFonts w:ascii="Calibri" w:eastAsia="Calibri" w:hAnsi="Calibri" w:cs="Arial"/>
          <w:color w:val="000000" w:themeColor="text1"/>
          <w:sz w:val="18"/>
          <w:szCs w:val="18"/>
          <w:rtl/>
        </w:rPr>
        <w:t>[הגה] ועיין ריש סימן זה ס"א.</w:t>
      </w:r>
      <w:r w:rsidRPr="001D49D4">
        <w:rPr>
          <w:rFonts w:ascii="Calibri" w:eastAsia="Calibri" w:hAnsi="Calibri" w:cs="Arial"/>
          <w:rtl/>
        </w:rPr>
        <w:t xml:space="preserve"> </w:t>
      </w:r>
    </w:p>
    <w:p w14:paraId="3F0FE69F" w14:textId="77777777" w:rsidR="001D49D4" w:rsidRPr="001D49D4" w:rsidRDefault="001D49D4" w:rsidP="0004348D">
      <w:pPr>
        <w:spacing w:before="360" w:after="240"/>
        <w:rPr>
          <w:rFonts w:ascii="Calibri" w:eastAsia="Calibri" w:hAnsi="Calibri" w:cs="Arial"/>
          <w:rtl/>
        </w:rPr>
      </w:pPr>
    </w:p>
    <w:p w14:paraId="600F3588" w14:textId="77777777" w:rsidR="001D49D4" w:rsidRPr="001D49D4" w:rsidRDefault="001D49D4" w:rsidP="0004348D">
      <w:pPr>
        <w:keepNext/>
        <w:keepLines/>
        <w:spacing w:before="360" w:after="240"/>
        <w:outlineLvl w:val="1"/>
        <w:rPr>
          <w:rFonts w:ascii="Cambria" w:eastAsia="Times New Roman" w:hAnsi="Cambria" w:cs="Arial"/>
          <w:bCs/>
          <w:color w:val="548DD4" w:themeColor="text2" w:themeTint="99"/>
          <w:sz w:val="26"/>
          <w:szCs w:val="26"/>
          <w:rtl/>
        </w:rPr>
      </w:pPr>
      <w:bookmarkStart w:id="663" w:name="_Toc24884086"/>
      <w:r w:rsidRPr="001D49D4">
        <w:rPr>
          <w:rFonts w:ascii="Cambria" w:eastAsia="Times New Roman" w:hAnsi="Cambria" w:cs="Arial"/>
          <w:bCs/>
          <w:color w:val="548DD4" w:themeColor="text2" w:themeTint="99"/>
          <w:sz w:val="26"/>
          <w:szCs w:val="26"/>
          <w:rtl/>
        </w:rPr>
        <w:t>סעיף יז: הוציא שט"ח על חברו, ואח"כ נאבד ממנו, ויש אומדנות דמוכחי שנאבד.</w:t>
      </w:r>
      <w:bookmarkEnd w:id="663"/>
    </w:p>
    <w:p w14:paraId="42857F18"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u w:val="single"/>
          <w:rtl/>
        </w:rPr>
        <w:t>מי שהוציא שטר חוב על חבירו ותבעו בב"ד, ואח"כ נאבד ממנו, ויש כמה אומדנות דמוכחי טובא שנאבד:</w:t>
      </w:r>
      <w:r w:rsidRPr="001D49D4">
        <w:rPr>
          <w:rFonts w:ascii="Calibri" w:eastAsia="Calibri" w:hAnsi="Calibri" w:cs="Arial"/>
          <w:rtl/>
        </w:rPr>
        <w:t xml:space="preserve"> </w:t>
      </w:r>
    </w:p>
    <w:p w14:paraId="166989A6" w14:textId="77777777" w:rsidR="001D49D4" w:rsidRPr="001D49D4" w:rsidRDefault="001D49D4" w:rsidP="0004348D">
      <w:pPr>
        <w:numPr>
          <w:ilvl w:val="0"/>
          <w:numId w:val="329"/>
        </w:numPr>
        <w:spacing w:before="360" w:after="240"/>
        <w:contextualSpacing/>
        <w:rPr>
          <w:rFonts w:ascii="Calibri" w:eastAsia="Calibri" w:hAnsi="Calibri" w:cs="Arial"/>
          <w:rtl/>
        </w:rPr>
      </w:pPr>
      <w:r w:rsidRPr="001D49D4">
        <w:rPr>
          <w:rFonts w:ascii="Calibri" w:eastAsia="Calibri" w:hAnsi="Calibri" w:cs="Arial"/>
          <w:rtl/>
        </w:rPr>
        <w:t xml:space="preserve">רא"ש </w:t>
      </w:r>
      <w:r w:rsidRPr="001D49D4">
        <w:rPr>
          <w:rFonts w:ascii="Calibri" w:eastAsia="Calibri" w:hAnsi="Calibri" w:cs="Arial"/>
          <w:sz w:val="16"/>
          <w:szCs w:val="16"/>
          <w:rtl/>
        </w:rPr>
        <w:t>(כלל סח סי' כג)</w:t>
      </w:r>
      <w:r w:rsidRPr="001D49D4">
        <w:rPr>
          <w:rFonts w:ascii="Calibri" w:eastAsia="Calibri" w:hAnsi="Calibri" w:cs="Arial"/>
          <w:rtl/>
        </w:rPr>
        <w:t xml:space="preserve"> וטור- ראובן היה לו שטר על שמעון ולוי שהיו שותפין בהרבה עסקים, והיה השטר באלף ותש"ס זהובים, ומת שמעון ונשארו בניו בחזקת חשוכי ממון ויצאו הרבה שטרות על שמעון ולוי והוצרך לוי לפרוע מקצתם כי בני שמעון לא היו להם ממה לפרוע, והרחיקו בני שמעון נדוד למרחוק בשביל נגישת החובות ונשארה אמם חולה מוטלת על ערש דוי, ותבע מורשה של ראובן ללוי והורידוהו ב"ד לבתים של לוי, ואח"כ תבע לוי לאמם של בני שמעון בשטר חיוב שהיה לו עליה ועל בניה שנתחייבו לו בכל מה שיוציאו ממנו בשטר הנזכר שהיה עליו ועל שמעון בעלה שיפרע לו, ובקשה שירויחו לה זמן עד שתתרפא מחלייה, ומיד אח"כ קודם שנתרפאה יצא קול הברה בעיר ששטר הנזכר נפל מיד המורשה הנושאו בכיסו, והוא צועק ומרדף ומחזר אחר אבידתו, ובעודו מחזר בשווקים וברחובות נודע שגוי מצאו, והגוי אומר שמכרו ליהודי פלוני אלמוני, ואותו פלוני מכר לקרובי שמעון. וקול אמתלא זו נתאמת קרוב לודאי, כי בא שלוחו של פלוני אלמוני ללוי ואמר לו אם הוא רוצה לקנות אותו שטר שנתחזק עליו ועל שמעון, והשיב לוי לפי תומו וצדקתו מה לי לקנות שטר שאני יודע בודאי שאינו פרוע, חלילה לי מעשות כדבר הזה אף אם נפל השטר יודע אני שעלינו מוטל לפרוע ממון זה. ואח"כ באו קרובי בני שמעון ואמרו שאפשר שקרוביהם בני שמעון שלחו הממון הנזכר בשטר ע"י שליח ופרעוהו והוחזר השטר לשליח ומידו נפל ואח"כ נמצא כתב ששלחו קרובי בני שמעון להם שזה נוסחו הוו יודעין ששטר שנתחזק על אביכם ועל לוי שותפו נאבד ולא נמצא ולא ימצא עוד וכך וכך טעננו בשבילכם והודענו אתכם כל הדברים שאם יגיעו דברים אלו אליכם שתדעו מה שתעשו. תשובה, אחר הדברים והאמתלא והסיבה אשר אירע בשטר זה אכתוב אני את אשר עם לבבי על פי התורה אשר הורוני ולמדוני חכמי התורה אשר דרכיה דרכי נועם וכל נתיבותיה שלום ונצטוינו בה לדון דין אמת לאמיתו, ואע"פ שאין אנו נביאים לדון דברים שבלב - חכם עדיף מנביא, ונצא בעקבות הראשונים ונלמוד ממעשיהם מההוא עובדא דפרק חזקת הבתים, ההוא גברא דשמע לדביתהו דקאמרה לברתה אמאי לא צניעא ההיא איתתא באיסורא, עשרה בני אית לי ולית לי מאבוך אלא חד. כי קא שכיב אמר כל נכסי לחד ברי דאית לי. כי קא שכיב לא ידעו אינשי להי מינייהו. אתו לקמיה דרבי בנאה אמר להו זילו חבוטו לקברא דאבוכון עד דקאי ומגלי לכו להי מינייכו. אזלו כולהו, וההוא דבריה לא אזל. אמר כולהו נכסי להאי נינהו דלא אזל. וכן בכמה מקומות. וכן הלכו חכמי התלמוד בתר אומדנא דמוכח גבי שטר מברחתא. וכן גבי כתב כל נכסיו לאחר ואח"כ נודע שיש לו בן. וכן מתנת ש"מ בכולה. וההוא דזבין נכסי אדעתא למיסק לארעא דישראל וגמל האוחר בין הגמלים. ודבר זה יש לו עיקר מדברי קבלה מאב לחכמים אשר צוה ליתן הילד החי וגו'. וכן בכל דור ודור מצווין לשבור מתלעות עול והמטים עקלקלות להדריכם בנתיבות יושר. לכן אחוה דעי בנדון זה מה דינו. אמת שאמרו חכמים בשטר שנפל מה דינו ונחלקו בו ר"מ וחכמים בפ"ק דב"מ, ר"מ אומר אם אין בו אחריות נכסים יחזיר שאין ב"ד נפרעין מהן יש בו אחריות נכסים לא יחזיר שב"ד נפרעין מהן, וחכ"א בין כך ובין כך לא יחזיר שב"ד נפרעין מהן. ונחלקו בפירוש דבריהם רבי אלעזר ורבי יוחנן, ר"א אומר מחלוקת כשאין חייב מודה ר"מ סבר שטר שאין בו אחריות אינו גובה לא מנכסים משועבדים ולא מנכסים בני חרי, ורבנן סברי ממשעבדי הוא דלא גבי הא מבני חרי מיגבא גבי, אבל כשחייב מודה ד"ה יחזיר, דלפרעון ולקנוניא לא חיישינן. ור' יוחנן אומר מחלוקת כשחייב מודה ר"מ סבר שטר שאין בו אחריות ממשעבדי הוא דלא גבי אבל מבני חרי גבי, ורבנן סברי ממשעבדי נמי גבי, הלכך אע"ג דחייב מודה לא יחזיר דחיישינן לפרעון ולקנוניא, אבל אין חייב מודה ד"ה לא יחזיר דחיישינן לפרעון. ותניא כוותיה דר"י, והלכתא כוותיה דשטר שנפל אפילו אם חייב מודה אם אין לו נכסים ללוה חיישינן לקנוניא, אבל יש לו נכסים ללוה ליכא למיחש לקנוניא, והיכא דאין חייב מודה בכל ענין לא יחזיר דחיישינן לפרעון, דאיתרע שטר זה דכיון שנמצא מוטל באשפה ניכר שלא חששו לשמירתו מחמת שנפרע וזרקוהו. וכיון שהדבר מוכרע ושקול המלוה אומר ממני נפל והלוה אומר פרעתי וממני נפל חיישינן טפי לדברי הלוה, כיון שאין סברא מוכרעת לדברי זה יותר מלדברי זה ומעמידין ממון בחזקתו. ואין לומר אדרבה העמד שטר על חזקתו שלא נפרע לפי ששטר עומד ליפרע. אבל כשיש סברא לומר שלא נפרע לא חיישינן לפריעה, כדא"ר אסי אר"י המוצא שטר חוב בשוק וכתוב בו הנפק וזמנו בו ביום יחזירנו לבעלים אי משום שמא כתב ללות ולא לוה הא כתוב ביה הנפק ואי משום פריעה לפריעה בת יומא לא חיישינן דלא שכיח לפריעה בו ביום. וכן בנדון זה יש כמה סברות וידים מוכיחות דלא חיישינן לפריעה שהאשה בקשה להרויח זמן החוב לה ולבניה עד שתתרפא, וכן עשו, ובתוך חלייה אירע מקרה הנפילה והוי כקובע זמן לחבירו דחזקה אין אדם פורע תוך זמנו. ועוד שידוע שיצאו בנים מן העיר להשמט מן הדין וידוע אם היו רק מתחילין בפרעון ופורעין מעט מעט היו מרויחין להן זמן אחר זמן, ואיך הוציאו כל כך ממון מידם בעין יפה בבת אחת בלא נגישה, ודוחק. ועוד יראה היכא שידוע שאין הלוה בעיר בין נפילת השטר למציאתו שיותר נכונים דברי המלוה שאמר שאינו פרוע, כ"ש בנדון זה שהלכו למרחקים שלא נחוש דלמא אתו בגמלא פרחא או שלחו ממון ביד שליח ופרעו במסתרים שלא בידיעת שום אחד מקרוביהם, שהרי קרוביהם אף אחר שלמדום לטעון לא אמרו אלא שמא יכולין לטעון ששלחו הממון על ידי שליח והחזירו השטר ליד השליח וממנו נפל אבל כולם הודו שלא ידעו בפרעון זה כלום, והיאך אפשר שנפרע ממון זה ולא ידעו כמה אנשים מאנשי העיר. ועוד שהרי זקני העיר מנו את הה"ר שלמה ואותי אפוטרופסים על ההקדש של רבי משה נ"ע ששטר הנזכר היה ממנו, ואיך נפרע השטר בלתי ידיעתנו. אף כי אנו מוסרים שטרות ליד שלוחים לנגוש הנושים לפרוע מ"מ אין השליח מקבל הממון אלא לידינו בא הממון וסגור בחותמינו. ועוד ידוע כי לא היה שהות בין נפילת שטר זה למציאתו בטורח כדי שיעור מנין המעות הללו, ואיך יתכן שבאותו זמן בא השליח והביא המעות ופרעם ונפל השטר מידו. ועוד כיון שידוע שכבר נכתב אדרכתא על על נכסי לוי שותף של אביהם בשביל ממון זה והם מחויבים לסלקו מאותו תביעה היאך יפרעו ממון זה בלא ידיעתו ושלא בפני ב"ד כדי לבטל מעשה ב"ד שעשו על נכסי לוי. ועוד שהדבר ידוע שאינן אמודין לפרוע ממון זה כי כבר אמרו שאביהם לא הניח להם שום ממון ומפני זה הוצרכו לברוח מרחוק מפני נושיהם. ועוד מי יסכן עצמו לשלוח ממון כזה על יד שליח בעת כזאת שהדרכים משובשים, ולואי שיתנוהו למלוה במקום שהוא שם כי אם היו רוצים לפורעו במקום שהוא שם ברצון היה מקבל המלוה עליו אחריות הדרך להביא אליו. ועוד אין אנו מאמינין לשלוחנו שהוא אמר שנפל השטר מידו כל זמן שלא נראה השטר ביד מוצאו, ושמא השליח כובשו ואינו רוצה להחזיר לנו ולא איתרע שטר זה בשום נפילה, דכיון שחוב זה ידוע לכמה בני אדם יכתבו לנו שטר אחר, שכן הדין נותן במי שנמחק שטר חובו ורישומו ניכר שב"ד עושין לו קיומו, ואין לך רישומו ניכר יותר מנדון זה מכמה אמתלאות ואומדנות ברורות וידים מוכיחות שגלוי וידוע לכל שממון זה לא נפרע, ומחויבים ב"ד לכתוב מעשה בית דין ולקיים השטר כבתחילה ולכופו לפרוע. ואם היו הנושים בכאן והיו טוענין אותו טענה שבדו קרוביהם מלבם היו ראויים לכופתם ולרדותם עד שיאמרו אמת הוא, דעדיפי כל הני אומדני מההיא אומדנא דמר זוטרא חסידא דאיגניב כסא דכספא מאושפיזיה הוה חזי לההוא בר בי רב דמשי ידיה וכפר בגלימא דחבריה וכפתיה ואודי</w:t>
      </w:r>
      <w:r w:rsidRPr="001D49D4">
        <w:rPr>
          <w:rFonts w:ascii="Calibri" w:eastAsia="Calibri" w:hAnsi="Calibri" w:cs="Arial"/>
          <w:vertAlign w:val="superscript"/>
          <w:rtl/>
        </w:rPr>
        <w:footnoteReference w:id="4909"/>
      </w:r>
      <w:r w:rsidRPr="001D49D4">
        <w:rPr>
          <w:rFonts w:ascii="Calibri" w:eastAsia="Calibri" w:hAnsi="Calibri" w:cs="Arial"/>
          <w:sz w:val="16"/>
          <w:szCs w:val="16"/>
          <w:rtl/>
        </w:rPr>
        <w:t xml:space="preserve"> (ל' הטור בשם הרא"ש)</w:t>
      </w:r>
      <w:r w:rsidRPr="001D49D4">
        <w:rPr>
          <w:rFonts w:ascii="Calibri" w:eastAsia="Calibri" w:hAnsi="Calibri" w:cs="Arial"/>
          <w:rtl/>
        </w:rPr>
        <w:t>.</w:t>
      </w:r>
      <w:r w:rsidRPr="001D49D4">
        <w:rPr>
          <w:rFonts w:ascii="Calibri" w:eastAsia="Calibri" w:hAnsi="Calibri" w:cs="Arial"/>
          <w:color w:val="E36C0A" w:themeColor="accent6" w:themeShade="BF"/>
          <w:rtl/>
        </w:rPr>
        <w:t xml:space="preserve"> (וכ"פ בשו"ע)</w:t>
      </w:r>
    </w:p>
    <w:p w14:paraId="69D2552F" w14:textId="77777777" w:rsidR="001D49D4" w:rsidRPr="001D49D4" w:rsidRDefault="001D49D4" w:rsidP="0004348D">
      <w:pPr>
        <w:spacing w:before="360" w:after="240"/>
        <w:rPr>
          <w:rFonts w:ascii="Arial" w:eastAsia="Calibri" w:hAnsi="Arial" w:cs="Arial"/>
          <w:b/>
          <w:bCs/>
          <w:color w:val="000000"/>
          <w:sz w:val="28"/>
          <w:szCs w:val="28"/>
          <w:u w:val="single"/>
          <w:rtl/>
        </w:rPr>
      </w:pPr>
      <w:r w:rsidRPr="001D49D4">
        <w:rPr>
          <w:rFonts w:ascii="Arial" w:eastAsia="Calibri" w:hAnsi="Arial" w:cs="Arial"/>
          <w:b/>
          <w:bCs/>
          <w:color w:val="000000"/>
          <w:sz w:val="28"/>
          <w:szCs w:val="28"/>
          <w:u w:val="single"/>
          <w:rtl/>
        </w:rPr>
        <w:t>שו"ע:</w:t>
      </w:r>
    </w:p>
    <w:p w14:paraId="451AC889"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rtl/>
        </w:rPr>
        <w:t>מי שהוציא שטר חוב על חבירו ותבעו בבית דין, ואחר כך נאבד ממנו, ויש כמה אומדנות דמוכחי טובא</w:t>
      </w:r>
      <w:r w:rsidRPr="001D49D4">
        <w:rPr>
          <w:rFonts w:ascii="Calibri" w:eastAsia="Calibri" w:hAnsi="Calibri" w:cs="Arial"/>
          <w:vertAlign w:val="superscript"/>
          <w:rtl/>
        </w:rPr>
        <w:footnoteReference w:id="4910"/>
      </w:r>
      <w:r w:rsidRPr="001D49D4">
        <w:rPr>
          <w:rFonts w:ascii="Calibri" w:eastAsia="Calibri" w:hAnsi="Calibri" w:cs="Arial"/>
          <w:rtl/>
        </w:rPr>
        <w:t xml:space="preserve"> שנאבד, מחוייבים בית דין לכתוב מעשה בית דין</w:t>
      </w:r>
      <w:r w:rsidRPr="001D49D4">
        <w:rPr>
          <w:rFonts w:ascii="Calibri" w:eastAsia="Calibri" w:hAnsi="Calibri" w:cs="Arial"/>
          <w:vertAlign w:val="superscript"/>
          <w:rtl/>
        </w:rPr>
        <w:footnoteReference w:id="4911"/>
      </w:r>
      <w:r w:rsidRPr="001D49D4">
        <w:rPr>
          <w:rFonts w:ascii="Calibri" w:eastAsia="Calibri" w:hAnsi="Calibri" w:cs="Arial"/>
          <w:rtl/>
        </w:rPr>
        <w:t xml:space="preserve"> ולקיים השטר כבתחלה ולכופו לפרוע.</w:t>
      </w:r>
    </w:p>
    <w:p w14:paraId="2F8C0F28" w14:textId="77777777" w:rsidR="001D49D4" w:rsidRPr="001D49D4" w:rsidRDefault="001D49D4" w:rsidP="0004348D">
      <w:pPr>
        <w:spacing w:before="360" w:after="240"/>
        <w:rPr>
          <w:rFonts w:ascii="Calibri" w:eastAsia="Calibri" w:hAnsi="Calibri" w:cs="Arial"/>
          <w:rtl/>
        </w:rPr>
      </w:pPr>
    </w:p>
    <w:p w14:paraId="2B2E2DC6" w14:textId="77777777" w:rsidR="001D49D4" w:rsidRPr="001D49D4" w:rsidRDefault="001D49D4" w:rsidP="0004348D">
      <w:pPr>
        <w:keepNext/>
        <w:keepLines/>
        <w:spacing w:before="360" w:after="240"/>
        <w:outlineLvl w:val="1"/>
        <w:rPr>
          <w:rFonts w:ascii="Cambria" w:eastAsia="Times New Roman" w:hAnsi="Cambria" w:cs="Arial"/>
          <w:bCs/>
          <w:color w:val="548DD4" w:themeColor="text2" w:themeTint="99"/>
          <w:sz w:val="26"/>
          <w:szCs w:val="26"/>
          <w:rtl/>
        </w:rPr>
      </w:pPr>
      <w:bookmarkStart w:id="664" w:name="_Toc24884087"/>
      <w:r w:rsidRPr="001D49D4">
        <w:rPr>
          <w:rFonts w:ascii="Cambria" w:eastAsia="Times New Roman" w:hAnsi="Cambria" w:cs="Arial"/>
          <w:bCs/>
          <w:color w:val="548DD4" w:themeColor="text2" w:themeTint="99"/>
          <w:sz w:val="26"/>
          <w:szCs w:val="26"/>
          <w:rtl/>
        </w:rPr>
        <w:t>סעיף יח: שובר שנמצא בשוק. ושובר שנמצא ביד המלוה.</w:t>
      </w:r>
      <w:bookmarkEnd w:id="664"/>
    </w:p>
    <w:p w14:paraId="259EE045"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b/>
          <w:bCs/>
          <w:rtl/>
        </w:rPr>
        <w:t xml:space="preserve">בבא מציעא </w:t>
      </w:r>
      <w:r w:rsidRPr="001D49D4">
        <w:rPr>
          <w:rFonts w:ascii="Calibri" w:eastAsia="Calibri" w:hAnsi="Calibri" w:cs="Arial"/>
          <w:b/>
          <w:bCs/>
          <w:sz w:val="16"/>
          <w:szCs w:val="16"/>
          <w:rtl/>
        </w:rPr>
        <w:t>(פ"ק)</w:t>
      </w:r>
      <w:r w:rsidRPr="001D49D4">
        <w:rPr>
          <w:rFonts w:ascii="Calibri" w:eastAsia="Calibri" w:hAnsi="Calibri" w:cs="Arial"/>
          <w:b/>
          <w:bCs/>
          <w:rtl/>
        </w:rPr>
        <w:t xml:space="preserve"> יט</w:t>
      </w:r>
      <w:r w:rsidRPr="001D49D4">
        <w:rPr>
          <w:rFonts w:ascii="Calibri" w:eastAsia="Calibri" w:hAnsi="Calibri" w:cs="Arial"/>
          <w:b/>
          <w:bCs/>
          <w:vertAlign w:val="superscript"/>
          <w:rtl/>
        </w:rPr>
        <w:footnoteReference w:id="4912"/>
      </w:r>
      <w:r w:rsidRPr="001D49D4">
        <w:rPr>
          <w:rFonts w:ascii="Calibri" w:eastAsia="Calibri" w:hAnsi="Calibri" w:cs="Arial"/>
          <w:b/>
          <w:bCs/>
          <w:rtl/>
        </w:rPr>
        <w:t xml:space="preserve"> ע"ב:</w:t>
      </w:r>
      <w:r w:rsidRPr="001D49D4">
        <w:rPr>
          <w:rFonts w:ascii="Calibri" w:eastAsia="Calibri" w:hAnsi="Calibri" w:cs="Arial"/>
          <w:rtl/>
        </w:rPr>
        <w:t xml:space="preserve"> תנו רבנן: מצא שובר</w:t>
      </w:r>
      <w:r w:rsidRPr="001D49D4">
        <w:rPr>
          <w:rFonts w:ascii="Calibri" w:eastAsia="Calibri" w:hAnsi="Calibri" w:cs="Arial"/>
          <w:vertAlign w:val="superscript"/>
          <w:rtl/>
        </w:rPr>
        <w:footnoteReference w:id="4913"/>
      </w:r>
      <w:r w:rsidRPr="001D49D4">
        <w:rPr>
          <w:rFonts w:ascii="Calibri" w:eastAsia="Calibri" w:hAnsi="Calibri" w:cs="Arial"/>
          <w:rtl/>
        </w:rPr>
        <w:t xml:space="preserve">, בזמן שהאשה מודה - יחזיר לבעל, אין האשה מודה - לא יחזיר לא לזה ולא לזה. בזמן שהאשה מודה מיהת - יחזיר לבעל, וליחוש דלמא כתבה ליתן בניסן, ולא נתנה עד תשרי, ואזלה זבנתה לכתובה בטובת הנאה מניסן עד תשרי, ומפיק ליה לשובר דכתיב בניסן, ואתא למטרף לקוחות שלא כדין! </w:t>
      </w:r>
      <w:r w:rsidRPr="001D49D4">
        <w:rPr>
          <w:rFonts w:ascii="Calibri" w:eastAsia="Calibri" w:hAnsi="Calibri" w:cs="Arial"/>
          <w:u w:val="single"/>
          <w:rtl/>
        </w:rPr>
        <w:t>אמר רבא</w:t>
      </w:r>
      <w:r w:rsidRPr="001D49D4">
        <w:rPr>
          <w:rFonts w:ascii="Calibri" w:eastAsia="Calibri" w:hAnsi="Calibri" w:cs="Arial"/>
          <w:rtl/>
        </w:rPr>
        <w:t>:</w:t>
      </w:r>
      <w:r w:rsidRPr="001D49D4">
        <w:rPr>
          <w:rFonts w:ascii="Calibri" w:eastAsia="Calibri" w:hAnsi="Calibri" w:cs="Arial"/>
          <w:sz w:val="14"/>
          <w:szCs w:val="14"/>
          <w:rtl/>
        </w:rPr>
        <w:t xml:space="preserve"> (כ.) </w:t>
      </w:r>
      <w:r w:rsidRPr="001D49D4">
        <w:rPr>
          <w:rFonts w:ascii="Calibri" w:eastAsia="Calibri" w:hAnsi="Calibri" w:cs="Arial"/>
          <w:rtl/>
        </w:rPr>
        <w:t xml:space="preserve">שמע מינה איתא לדשמואל. דאמר שמואל: המוכר שטר חוב לחבירו וחזר ומחלו - מחול, ואפילו יורש מוחל. </w:t>
      </w:r>
      <w:r w:rsidRPr="001D49D4">
        <w:rPr>
          <w:rFonts w:ascii="Calibri" w:eastAsia="Calibri" w:hAnsi="Calibri" w:cs="Arial"/>
          <w:u w:val="single"/>
          <w:rtl/>
        </w:rPr>
        <w:t>אביי אמר</w:t>
      </w:r>
      <w:r w:rsidRPr="001D49D4">
        <w:rPr>
          <w:rFonts w:ascii="Calibri" w:eastAsia="Calibri" w:hAnsi="Calibri" w:cs="Arial"/>
          <w:rtl/>
        </w:rPr>
        <w:t xml:space="preserve">: אפילו תימא ליתיה לדשמואל, הכא במאי עסקינן - בששטר כתובה יוצא מתחת ידה. </w:t>
      </w:r>
      <w:r w:rsidRPr="001D49D4">
        <w:rPr>
          <w:rFonts w:ascii="Calibri" w:eastAsia="Calibri" w:hAnsi="Calibri" w:cs="Arial"/>
          <w:u w:val="single"/>
          <w:rtl/>
        </w:rPr>
        <w:t>ורבא אמר</w:t>
      </w:r>
      <w:r w:rsidRPr="001D49D4">
        <w:rPr>
          <w:rFonts w:ascii="Calibri" w:eastAsia="Calibri" w:hAnsi="Calibri" w:cs="Arial"/>
          <w:rtl/>
        </w:rPr>
        <w:t xml:space="preserve">: אי משום שטר כתובה - חיישינן לשתי כתובות. </w:t>
      </w:r>
      <w:r w:rsidRPr="001D49D4">
        <w:rPr>
          <w:rFonts w:ascii="Calibri" w:eastAsia="Calibri" w:hAnsi="Calibri" w:cs="Arial"/>
          <w:u w:val="single"/>
          <w:rtl/>
        </w:rPr>
        <w:t>ואביי אמר</w:t>
      </w:r>
      <w:r w:rsidRPr="001D49D4">
        <w:rPr>
          <w:rFonts w:ascii="Calibri" w:eastAsia="Calibri" w:hAnsi="Calibri" w:cs="Arial"/>
          <w:rtl/>
        </w:rPr>
        <w:t>: חדא, לשתי כתובות לא חיישינן. ועוד, שובר בזמנו טריף. אביי לטעמיה, דאמר: עדיו בחתומיו זכין לו.</w:t>
      </w:r>
    </w:p>
    <w:p w14:paraId="5B0E7AA7"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u w:val="single"/>
          <w:rtl/>
        </w:rPr>
        <w:t>המוצא שובר בשוק:</w:t>
      </w:r>
    </w:p>
    <w:p w14:paraId="55842C5D" w14:textId="77777777" w:rsidR="001D49D4" w:rsidRPr="001D49D4" w:rsidRDefault="001D49D4" w:rsidP="0004348D">
      <w:pPr>
        <w:numPr>
          <w:ilvl w:val="0"/>
          <w:numId w:val="329"/>
        </w:numPr>
        <w:spacing w:before="360" w:after="240"/>
        <w:contextualSpacing/>
        <w:rPr>
          <w:rFonts w:ascii="Calibri" w:eastAsia="Calibri" w:hAnsi="Calibri" w:cs="Arial"/>
          <w:rtl/>
        </w:rPr>
      </w:pPr>
      <w:r w:rsidRPr="001D49D4">
        <w:rPr>
          <w:rFonts w:ascii="Calibri" w:eastAsia="Calibri" w:hAnsi="Calibri" w:cs="Arial"/>
          <w:rtl/>
        </w:rPr>
        <w:t>טור- המוצא שובר בשוק, בזמן שהמלוה מודה שנתנו ללוה - יחזירו ללוה, אינו מודה - לא יתננו לא לזה ולא לזה.</w:t>
      </w:r>
      <w:r w:rsidRPr="001D49D4">
        <w:rPr>
          <w:rFonts w:ascii="Calibri" w:eastAsia="Calibri" w:hAnsi="Calibri" w:cs="Arial"/>
          <w:color w:val="E36C0A" w:themeColor="accent6" w:themeShade="BF"/>
          <w:rtl/>
        </w:rPr>
        <w:t xml:space="preserve"> (וכ"פ בשו"ע)</w:t>
      </w:r>
    </w:p>
    <w:p w14:paraId="4AA6C181"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b/>
          <w:bCs/>
          <w:rtl/>
        </w:rPr>
        <w:t xml:space="preserve">בבא מציעא </w:t>
      </w:r>
      <w:r w:rsidRPr="001D49D4">
        <w:rPr>
          <w:rFonts w:ascii="Calibri" w:eastAsia="Calibri" w:hAnsi="Calibri" w:cs="Arial"/>
          <w:b/>
          <w:bCs/>
          <w:sz w:val="16"/>
          <w:szCs w:val="16"/>
          <w:rtl/>
        </w:rPr>
        <w:t>(פ"ק)</w:t>
      </w:r>
      <w:r w:rsidRPr="001D49D4">
        <w:rPr>
          <w:rFonts w:ascii="Calibri" w:eastAsia="Calibri" w:hAnsi="Calibri" w:cs="Arial"/>
          <w:b/>
          <w:bCs/>
          <w:rtl/>
        </w:rPr>
        <w:t xml:space="preserve"> כ</w:t>
      </w:r>
      <w:r w:rsidRPr="001D49D4">
        <w:rPr>
          <w:rFonts w:ascii="Calibri" w:eastAsia="Calibri" w:hAnsi="Calibri" w:cs="Arial"/>
          <w:b/>
          <w:bCs/>
          <w:vertAlign w:val="superscript"/>
          <w:rtl/>
        </w:rPr>
        <w:footnoteReference w:id="4914"/>
      </w:r>
      <w:r w:rsidRPr="001D49D4">
        <w:rPr>
          <w:rFonts w:ascii="Calibri" w:eastAsia="Calibri" w:hAnsi="Calibri" w:cs="Arial"/>
          <w:b/>
          <w:bCs/>
          <w:rtl/>
        </w:rPr>
        <w:t xml:space="preserve"> ע"ב:</w:t>
      </w:r>
      <w:r w:rsidRPr="001D49D4">
        <w:rPr>
          <w:rFonts w:ascii="Calibri" w:eastAsia="Calibri" w:hAnsi="Calibri" w:cs="Arial"/>
          <w:rtl/>
        </w:rPr>
        <w:t xml:space="preserve"> </w:t>
      </w:r>
      <w:r w:rsidRPr="001D49D4">
        <w:rPr>
          <w:rFonts w:ascii="Calibri" w:eastAsia="Calibri" w:hAnsi="Calibri" w:cs="Arial"/>
          <w:u w:val="single"/>
          <w:rtl/>
        </w:rPr>
        <w:t>אמר רב ירמיה בר אבא אמר רב</w:t>
      </w:r>
      <w:r w:rsidRPr="001D49D4">
        <w:rPr>
          <w:rFonts w:ascii="Calibri" w:eastAsia="Calibri" w:hAnsi="Calibri" w:cs="Arial"/>
          <w:rtl/>
        </w:rPr>
        <w:t>: סמפון היוצא מתחת ידי מלוה, אף על פי שכתוב בכתב ידו - אינו אלא כמשחק, ופסול. לא מבעיא כתוב בכתב יד סופר, דאיכא למימר ספרא אתרמי ליה וכתב, אלא אפילו כתוב בכתב ידו - פסול. סבר: דלמא מתרמי ואתי בין השמשות, וקא פרע לי, דאי לא יהיבנא ליה לא יהיב לי זוזי, אכתוב אנא, דכי אייתי לי זוזי - אתן ליה. תנן: אם יש עמהן סמפונות - יעשה מה שבסמפונות! כדאמר רב ספרא: שנמצא בין שטרות קרועין</w:t>
      </w:r>
      <w:r w:rsidRPr="001D49D4">
        <w:rPr>
          <w:rFonts w:ascii="Calibri" w:eastAsia="Calibri" w:hAnsi="Calibri" w:cs="Arial"/>
          <w:vertAlign w:val="superscript"/>
          <w:rtl/>
        </w:rPr>
        <w:footnoteReference w:id="4915"/>
      </w:r>
      <w:r w:rsidRPr="001D49D4">
        <w:rPr>
          <w:rFonts w:ascii="Calibri" w:eastAsia="Calibri" w:hAnsi="Calibri" w:cs="Arial"/>
          <w:rtl/>
        </w:rPr>
        <w:t>, הכא נמי: שמצאו בין שטרות קרועין.</w:t>
      </w:r>
    </w:p>
    <w:p w14:paraId="7A5A43E8" w14:textId="77777777" w:rsidR="001D49D4" w:rsidRPr="001D49D4" w:rsidRDefault="001D49D4" w:rsidP="0004348D">
      <w:pPr>
        <w:spacing w:before="360" w:after="240"/>
        <w:rPr>
          <w:rFonts w:ascii="Calibri" w:eastAsia="Calibri" w:hAnsi="Calibri" w:cs="Arial"/>
          <w:u w:val="single"/>
          <w:rtl/>
        </w:rPr>
      </w:pPr>
      <w:r w:rsidRPr="001D49D4">
        <w:rPr>
          <w:rFonts w:ascii="Calibri" w:eastAsia="Calibri" w:hAnsi="Calibri" w:cs="Arial"/>
          <w:u w:val="single"/>
          <w:rtl/>
        </w:rPr>
        <w:t>נמצא ביד המלוה שובר על א' משטרותיו שהוא פרוע:</w:t>
      </w:r>
    </w:p>
    <w:p w14:paraId="73EC1782" w14:textId="77777777" w:rsidR="001D49D4" w:rsidRPr="001D49D4" w:rsidRDefault="001D49D4" w:rsidP="0004348D">
      <w:pPr>
        <w:numPr>
          <w:ilvl w:val="0"/>
          <w:numId w:val="329"/>
        </w:numPr>
        <w:spacing w:before="360" w:after="240"/>
        <w:contextualSpacing/>
        <w:rPr>
          <w:rFonts w:ascii="Calibri" w:eastAsia="Calibri" w:hAnsi="Calibri" w:cs="Arial"/>
          <w:rtl/>
        </w:rPr>
      </w:pPr>
      <w:r w:rsidRPr="001D49D4">
        <w:rPr>
          <w:rFonts w:ascii="Calibri" w:eastAsia="Calibri" w:hAnsi="Calibri" w:cs="Arial"/>
          <w:rtl/>
        </w:rPr>
        <w:t>טור- אם נמצא ביד המלוה שובר על א' משטרותיו שהוא פרוע - אינו כלום לגרוע כח השטר, אפי' אם הוא כתב יד הלוה</w:t>
      </w:r>
      <w:r w:rsidRPr="001D49D4">
        <w:rPr>
          <w:rFonts w:ascii="Calibri" w:eastAsia="Calibri" w:hAnsi="Calibri" w:cs="Arial"/>
          <w:vertAlign w:val="superscript"/>
          <w:rtl/>
        </w:rPr>
        <w:footnoteReference w:id="4916"/>
      </w:r>
      <w:r w:rsidRPr="001D49D4">
        <w:rPr>
          <w:rFonts w:ascii="Calibri" w:eastAsia="Calibri" w:hAnsi="Calibri" w:cs="Arial"/>
          <w:rtl/>
        </w:rPr>
        <w:t xml:space="preserve"> או המלוה עצמו. אא"כ השטר שהשובר כתוב עליו מונח בין שטרותיו הפרועין</w:t>
      </w:r>
      <w:r w:rsidRPr="001D49D4">
        <w:rPr>
          <w:rFonts w:ascii="Calibri" w:eastAsia="Calibri" w:hAnsi="Calibri" w:cs="Arial"/>
          <w:vertAlign w:val="superscript"/>
          <w:rtl/>
        </w:rPr>
        <w:footnoteReference w:id="4917"/>
      </w:r>
      <w:r w:rsidRPr="001D49D4">
        <w:rPr>
          <w:rFonts w:ascii="Calibri" w:eastAsia="Calibri" w:hAnsi="Calibri" w:cs="Arial"/>
          <w:rtl/>
        </w:rPr>
        <w:t xml:space="preserve"> אע"פ שהוא אינו קרוע, מ"מ איתרע, הלכך סמכינן אשובר אפילו אין על השובר עדים</w:t>
      </w:r>
      <w:r w:rsidRPr="001D49D4">
        <w:rPr>
          <w:rFonts w:ascii="Calibri" w:eastAsia="Calibri" w:hAnsi="Calibri" w:cs="Arial"/>
          <w:vertAlign w:val="superscript"/>
          <w:rtl/>
        </w:rPr>
        <w:footnoteReference w:id="4918"/>
      </w:r>
      <w:r w:rsidRPr="001D49D4">
        <w:rPr>
          <w:rFonts w:ascii="Calibri" w:eastAsia="Calibri" w:hAnsi="Calibri" w:cs="Arial"/>
          <w:rtl/>
        </w:rPr>
        <w:t>. אבל לא נמצא עליו שובר אע"פ שנמצא בין שטרות קרועין לא גרע וגובין בו יורשיו</w:t>
      </w:r>
      <w:r w:rsidRPr="001D49D4">
        <w:rPr>
          <w:rFonts w:ascii="Calibri" w:eastAsia="Calibri" w:hAnsi="Calibri" w:cs="Arial"/>
          <w:vertAlign w:val="superscript"/>
          <w:rtl/>
        </w:rPr>
        <w:footnoteReference w:id="4919"/>
      </w:r>
      <w:r w:rsidRPr="001D49D4">
        <w:rPr>
          <w:rFonts w:ascii="Calibri" w:eastAsia="Calibri" w:hAnsi="Calibri" w:cs="Arial"/>
          <w:rtl/>
        </w:rPr>
        <w:t xml:space="preserve">. </w:t>
      </w:r>
      <w:r w:rsidRPr="001D49D4">
        <w:rPr>
          <w:rFonts w:ascii="Calibri" w:eastAsia="Calibri" w:hAnsi="Calibri" w:cs="Arial"/>
          <w:color w:val="E36C0A" w:themeColor="accent6" w:themeShade="BF"/>
          <w:rtl/>
        </w:rPr>
        <w:t>(וכ"פ בשו"ע)</w:t>
      </w:r>
    </w:p>
    <w:p w14:paraId="434EDCB9" w14:textId="77777777" w:rsidR="001D49D4" w:rsidRPr="001D49D4" w:rsidRDefault="001D49D4" w:rsidP="0004348D">
      <w:pPr>
        <w:spacing w:before="360" w:after="240"/>
        <w:rPr>
          <w:rFonts w:ascii="Calibri" w:eastAsia="Calibri" w:hAnsi="Calibri" w:cs="Arial"/>
        </w:rPr>
      </w:pPr>
      <w:r w:rsidRPr="001D49D4">
        <w:rPr>
          <w:rFonts w:ascii="Calibri" w:eastAsia="Calibri" w:hAnsi="Calibri" w:cs="Arial"/>
          <w:b/>
          <w:bCs/>
          <w:rtl/>
        </w:rPr>
        <w:t xml:space="preserve">בבא מציעא </w:t>
      </w:r>
      <w:r w:rsidRPr="001D49D4">
        <w:rPr>
          <w:rFonts w:ascii="Calibri" w:eastAsia="Calibri" w:hAnsi="Calibri" w:cs="Arial"/>
          <w:b/>
          <w:bCs/>
          <w:sz w:val="16"/>
          <w:szCs w:val="16"/>
          <w:rtl/>
        </w:rPr>
        <w:t>(ספ"ק)</w:t>
      </w:r>
      <w:r w:rsidRPr="001D49D4">
        <w:rPr>
          <w:rFonts w:ascii="Calibri" w:eastAsia="Calibri" w:hAnsi="Calibri" w:cs="Arial"/>
          <w:b/>
          <w:bCs/>
          <w:rtl/>
        </w:rPr>
        <w:t xml:space="preserve"> כ ע"ב:</w:t>
      </w:r>
      <w:r w:rsidRPr="001D49D4">
        <w:rPr>
          <w:rFonts w:ascii="Calibri" w:eastAsia="Calibri" w:hAnsi="Calibri" w:cs="Arial"/>
          <w:rtl/>
        </w:rPr>
        <w:t xml:space="preserve"> תא שמע: סמפון שיש עליו עדים: יתקיים בחותמיו! אימא: יתקיים מחותמיו, </w:t>
      </w:r>
      <w:r w:rsidRPr="001D49D4">
        <w:rPr>
          <w:rFonts w:ascii="Calibri" w:eastAsia="Calibri" w:hAnsi="Calibri" w:cs="Arial"/>
          <w:sz w:val="14"/>
          <w:szCs w:val="14"/>
          <w:rtl/>
        </w:rPr>
        <w:t xml:space="preserve">(כא.) </w:t>
      </w:r>
      <w:r w:rsidRPr="001D49D4">
        <w:rPr>
          <w:rFonts w:ascii="Calibri" w:eastAsia="Calibri" w:hAnsi="Calibri" w:cs="Arial"/>
          <w:rtl/>
        </w:rPr>
        <w:t>דשיילינן להו לסהדי אי פרוע, אי לא פרוע.</w:t>
      </w:r>
    </w:p>
    <w:p w14:paraId="437680D8" w14:textId="77777777" w:rsidR="001D49D4" w:rsidRPr="001D49D4" w:rsidRDefault="001D49D4" w:rsidP="0004348D">
      <w:pPr>
        <w:spacing w:before="360" w:after="240"/>
        <w:rPr>
          <w:rFonts w:ascii="Calibri" w:eastAsia="Calibri" w:hAnsi="Calibri" w:cs="Arial"/>
          <w:u w:val="single"/>
          <w:rtl/>
        </w:rPr>
      </w:pPr>
      <w:r w:rsidRPr="001D49D4">
        <w:rPr>
          <w:rFonts w:ascii="Calibri" w:eastAsia="Calibri" w:hAnsi="Calibri" w:cs="Arial"/>
          <w:u w:val="single"/>
          <w:rtl/>
        </w:rPr>
        <w:t>שובר שנמצא ביד המלוה ועדים חתומים עליו:</w:t>
      </w:r>
    </w:p>
    <w:p w14:paraId="3439BDEE" w14:textId="77777777" w:rsidR="001D49D4" w:rsidRPr="001D49D4" w:rsidRDefault="001D49D4" w:rsidP="0004348D">
      <w:pPr>
        <w:numPr>
          <w:ilvl w:val="0"/>
          <w:numId w:val="329"/>
        </w:numPr>
        <w:spacing w:before="360" w:after="240"/>
        <w:contextualSpacing/>
        <w:rPr>
          <w:rFonts w:ascii="Calibri" w:eastAsia="Calibri" w:hAnsi="Calibri" w:cs="Arial"/>
        </w:rPr>
      </w:pPr>
      <w:r w:rsidRPr="001D49D4">
        <w:rPr>
          <w:rFonts w:ascii="Calibri" w:eastAsia="Calibri" w:hAnsi="Calibri" w:cs="Arial"/>
          <w:rtl/>
        </w:rPr>
        <w:t xml:space="preserve">בעל התרומות </w:t>
      </w:r>
      <w:r w:rsidRPr="001D49D4">
        <w:rPr>
          <w:rFonts w:ascii="Calibri" w:eastAsia="Calibri" w:hAnsi="Calibri" w:cs="Arial"/>
          <w:sz w:val="16"/>
          <w:szCs w:val="16"/>
          <w:rtl/>
        </w:rPr>
        <w:t xml:space="preserve">(שער נג ח"ג סי' ב) </w:t>
      </w:r>
      <w:r w:rsidRPr="001D49D4">
        <w:rPr>
          <w:rFonts w:ascii="Calibri" w:eastAsia="Calibri" w:hAnsi="Calibri" w:cs="Arial"/>
          <w:rtl/>
        </w:rPr>
        <w:t>וטור- ואם עדים חתומים על השובר שנמצא ביד המלוה ישאלו לעדים אם יודעין אם השטר פרוע אם לא ויעשו על פיהם. ואם אינם יודעין או שאינן לפנינו - אינו כלום</w:t>
      </w:r>
      <w:r w:rsidRPr="001D49D4">
        <w:rPr>
          <w:rFonts w:ascii="Calibri" w:eastAsia="Calibri" w:hAnsi="Calibri" w:cs="Arial"/>
          <w:vertAlign w:val="superscript"/>
          <w:rtl/>
        </w:rPr>
        <w:footnoteReference w:id="4920"/>
      </w:r>
      <w:r w:rsidRPr="001D49D4">
        <w:rPr>
          <w:rFonts w:ascii="Calibri" w:eastAsia="Calibri" w:hAnsi="Calibri" w:cs="Arial"/>
          <w:rtl/>
        </w:rPr>
        <w:t>, דשמא הפסיד שטרו והיה ירא כשיבא הלוה אם לא יתן לו השובר לא יפרענו ולכך כתבו שיהא מזומן בידו</w:t>
      </w:r>
      <w:r w:rsidRPr="001D49D4">
        <w:rPr>
          <w:rFonts w:ascii="Calibri" w:eastAsia="Calibri" w:hAnsi="Calibri" w:cs="Arial"/>
          <w:sz w:val="16"/>
          <w:szCs w:val="16"/>
          <w:rtl/>
        </w:rPr>
        <w:t xml:space="preserve"> (ל' הטור)</w:t>
      </w:r>
      <w:r w:rsidRPr="001D49D4">
        <w:rPr>
          <w:rFonts w:ascii="Calibri" w:eastAsia="Calibri" w:hAnsi="Calibri" w:cs="Arial"/>
          <w:rtl/>
        </w:rPr>
        <w:t xml:space="preserve">. </w:t>
      </w:r>
      <w:r w:rsidRPr="001D49D4">
        <w:rPr>
          <w:rFonts w:ascii="Calibri" w:eastAsia="Calibri" w:hAnsi="Calibri" w:cs="Arial"/>
          <w:color w:val="E36C0A" w:themeColor="accent6" w:themeShade="BF"/>
          <w:rtl/>
        </w:rPr>
        <w:t>(וכ"פ בשו"ע)</w:t>
      </w:r>
    </w:p>
    <w:p w14:paraId="263816AC" w14:textId="77777777" w:rsidR="001D49D4" w:rsidRPr="001D49D4" w:rsidRDefault="001D49D4" w:rsidP="0004348D">
      <w:pPr>
        <w:spacing w:before="360" w:after="240"/>
        <w:rPr>
          <w:rFonts w:ascii="Calibri" w:eastAsia="Calibri" w:hAnsi="Calibri" w:cs="Arial"/>
        </w:rPr>
      </w:pPr>
      <w:r w:rsidRPr="001D49D4">
        <w:rPr>
          <w:rFonts w:ascii="Calibri" w:eastAsia="Calibri" w:hAnsi="Calibri" w:cs="Arial"/>
          <w:b/>
          <w:bCs/>
          <w:rtl/>
        </w:rPr>
        <w:t xml:space="preserve">בבא מציעא </w:t>
      </w:r>
      <w:r w:rsidRPr="001D49D4">
        <w:rPr>
          <w:rFonts w:ascii="Calibri" w:eastAsia="Calibri" w:hAnsi="Calibri" w:cs="Arial"/>
          <w:b/>
          <w:bCs/>
          <w:sz w:val="16"/>
          <w:szCs w:val="16"/>
          <w:rtl/>
        </w:rPr>
        <w:t>(ספ"ק)</w:t>
      </w:r>
      <w:r w:rsidRPr="001D49D4">
        <w:rPr>
          <w:rFonts w:ascii="Calibri" w:eastAsia="Calibri" w:hAnsi="Calibri" w:cs="Arial"/>
          <w:b/>
          <w:bCs/>
          <w:rtl/>
        </w:rPr>
        <w:t xml:space="preserve"> כא ע"א:</w:t>
      </w:r>
      <w:r w:rsidRPr="001D49D4">
        <w:rPr>
          <w:rFonts w:ascii="Calibri" w:eastAsia="Calibri" w:hAnsi="Calibri" w:cs="Arial"/>
          <w:rtl/>
        </w:rPr>
        <w:t xml:space="preserve"> תא שמע: סמפון שיש עליו עדים - כשר. מאי עדים - עדי קיום. הכי נמי מסתברא, מדקתני סיפא: ושאין עליו עדים - פסול. מאי אין עליו עדים? אילימא דליכא עלויה עדים כלל - צריכא למימר דפסול? אלא לאו - עדי קיום. </w:t>
      </w:r>
      <w:r w:rsidRPr="001D49D4">
        <w:rPr>
          <w:rFonts w:ascii="Calibri" w:eastAsia="Calibri" w:hAnsi="Calibri" w:cs="Arial"/>
          <w:sz w:val="16"/>
          <w:szCs w:val="16"/>
          <w:rtl/>
        </w:rPr>
        <w:t>(וכ"כ שם הרי"ף (יב.) והרא"ש (סי' נד) והרמב"ם בפרק הנזכר (הל' מלוה ולוה פט"ז ה"ט), ב"י)</w:t>
      </w:r>
    </w:p>
    <w:p w14:paraId="50CA9BB3" w14:textId="77777777" w:rsidR="001D49D4" w:rsidRPr="001D49D4" w:rsidRDefault="001D49D4" w:rsidP="0004348D">
      <w:pPr>
        <w:spacing w:before="360" w:after="240"/>
        <w:rPr>
          <w:rFonts w:ascii="Calibri" w:eastAsia="Calibri" w:hAnsi="Calibri" w:cs="Arial"/>
          <w:u w:val="single"/>
          <w:rtl/>
        </w:rPr>
      </w:pPr>
      <w:r w:rsidRPr="001D49D4">
        <w:rPr>
          <w:rFonts w:ascii="Calibri" w:eastAsia="Calibri" w:hAnsi="Calibri" w:cs="Arial"/>
          <w:u w:val="single"/>
          <w:rtl/>
        </w:rPr>
        <w:t>שובר מקויים שנמצא אצל המלוה:</w:t>
      </w:r>
    </w:p>
    <w:p w14:paraId="07C40C5B" w14:textId="77777777" w:rsidR="001D49D4" w:rsidRPr="001D49D4" w:rsidRDefault="001D49D4" w:rsidP="0004348D">
      <w:pPr>
        <w:numPr>
          <w:ilvl w:val="0"/>
          <w:numId w:val="329"/>
        </w:numPr>
        <w:spacing w:before="360" w:after="240"/>
        <w:contextualSpacing/>
        <w:rPr>
          <w:rFonts w:ascii="Calibri" w:eastAsia="Calibri" w:hAnsi="Calibri" w:cs="Arial"/>
        </w:rPr>
      </w:pPr>
      <w:r w:rsidRPr="001D49D4">
        <w:rPr>
          <w:rFonts w:ascii="Calibri" w:eastAsia="Calibri" w:hAnsi="Calibri" w:cs="Arial"/>
          <w:rtl/>
        </w:rPr>
        <w:t>טור- אם הוא מקויים אז ודאי הוא כשר, שהמלוה אינו מקיימו אלא ודאי נתנו ללוה וחזר והפקידו בידו.</w:t>
      </w:r>
      <w:r w:rsidRPr="001D49D4">
        <w:rPr>
          <w:rFonts w:ascii="Calibri" w:eastAsia="Calibri" w:hAnsi="Calibri" w:cs="Arial"/>
          <w:color w:val="E36C0A" w:themeColor="accent6" w:themeShade="BF"/>
          <w:rtl/>
        </w:rPr>
        <w:t xml:space="preserve"> (וכ"פ בשו"ע)</w:t>
      </w:r>
    </w:p>
    <w:p w14:paraId="071AA8DF" w14:textId="77777777" w:rsidR="001D49D4" w:rsidRPr="001D49D4" w:rsidRDefault="001D49D4" w:rsidP="0004348D">
      <w:pPr>
        <w:spacing w:before="360" w:after="240"/>
        <w:rPr>
          <w:rFonts w:ascii="Arial" w:eastAsia="Calibri" w:hAnsi="Arial" w:cs="Arial"/>
          <w:b/>
          <w:bCs/>
          <w:color w:val="000000"/>
          <w:sz w:val="28"/>
          <w:szCs w:val="28"/>
          <w:u w:val="single"/>
          <w:rtl/>
        </w:rPr>
      </w:pPr>
      <w:r w:rsidRPr="001D49D4">
        <w:rPr>
          <w:rFonts w:ascii="Arial" w:eastAsia="Calibri" w:hAnsi="Arial" w:cs="Arial"/>
          <w:b/>
          <w:bCs/>
          <w:color w:val="000000"/>
          <w:sz w:val="28"/>
          <w:szCs w:val="28"/>
          <w:u w:val="single"/>
          <w:rtl/>
        </w:rPr>
        <w:t>שו"ע:</w:t>
      </w:r>
    </w:p>
    <w:p w14:paraId="24CD3420"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rtl/>
        </w:rPr>
        <w:t>המוצא שובר</w:t>
      </w:r>
      <w:r w:rsidRPr="001D49D4">
        <w:rPr>
          <w:rFonts w:ascii="Calibri" w:eastAsia="Calibri" w:hAnsi="Calibri" w:cs="Arial"/>
          <w:vertAlign w:val="superscript"/>
          <w:rtl/>
        </w:rPr>
        <w:footnoteReference w:id="4921"/>
      </w:r>
      <w:r w:rsidRPr="001D49D4">
        <w:rPr>
          <w:rFonts w:ascii="Calibri" w:eastAsia="Calibri" w:hAnsi="Calibri" w:cs="Arial"/>
          <w:rtl/>
        </w:rPr>
        <w:t xml:space="preserve"> בשוק, בזמן שהמלוה</w:t>
      </w:r>
      <w:r w:rsidRPr="001D49D4">
        <w:rPr>
          <w:rFonts w:ascii="Calibri" w:eastAsia="Calibri" w:hAnsi="Calibri" w:cs="Arial"/>
          <w:vertAlign w:val="superscript"/>
          <w:rtl/>
        </w:rPr>
        <w:footnoteReference w:id="4922"/>
      </w:r>
      <w:r w:rsidRPr="001D49D4">
        <w:rPr>
          <w:rFonts w:ascii="Calibri" w:eastAsia="Calibri" w:hAnsi="Calibri" w:cs="Arial"/>
          <w:rtl/>
        </w:rPr>
        <w:t xml:space="preserve"> מודה שנתנו ללוה, יחזיר ללוה. אינו מודה, לא יתנו לא לזה ולא לזה. ואם נמצא ביד המלוה שובר על אחד משטרותיו שהוא פרוע, אינו כלום</w:t>
      </w:r>
      <w:r w:rsidRPr="001D49D4">
        <w:rPr>
          <w:rFonts w:ascii="Calibri" w:eastAsia="Calibri" w:hAnsi="Calibri" w:cs="Arial"/>
          <w:vertAlign w:val="superscript"/>
          <w:rtl/>
        </w:rPr>
        <w:footnoteReference w:id="4923"/>
      </w:r>
      <w:r w:rsidRPr="001D49D4">
        <w:rPr>
          <w:rFonts w:ascii="Calibri" w:eastAsia="Calibri" w:hAnsi="Calibri" w:cs="Arial"/>
          <w:rtl/>
        </w:rPr>
        <w:t xml:space="preserve"> לגרוע כח השטר, אפילו אם הוא כתב יד הלוה או המלוה עצמו, אלא אם כן שהשטר שהשובר כתוב עליו מונח בין שטרותיו הקרועים אף על פי שהוא אינו קרוע מכל מקום  איתרע וסמכינן אשובר</w:t>
      </w:r>
      <w:r w:rsidRPr="001D49D4">
        <w:rPr>
          <w:rFonts w:ascii="Calibri" w:eastAsia="Calibri" w:hAnsi="Calibri" w:cs="Arial"/>
          <w:vertAlign w:val="superscript"/>
          <w:rtl/>
        </w:rPr>
        <w:footnoteReference w:id="4924"/>
      </w:r>
      <w:r w:rsidRPr="001D49D4">
        <w:rPr>
          <w:rFonts w:ascii="Calibri" w:eastAsia="Calibri" w:hAnsi="Calibri" w:cs="Arial"/>
          <w:rtl/>
        </w:rPr>
        <w:t>, אפילו אין על השובר עדים</w:t>
      </w:r>
      <w:r w:rsidRPr="001D49D4">
        <w:rPr>
          <w:rFonts w:ascii="Calibri" w:eastAsia="Calibri" w:hAnsi="Calibri" w:cs="Arial"/>
          <w:vertAlign w:val="superscript"/>
          <w:rtl/>
        </w:rPr>
        <w:footnoteReference w:id="4925"/>
      </w:r>
      <w:r w:rsidRPr="001D49D4">
        <w:rPr>
          <w:rFonts w:ascii="Calibri" w:eastAsia="Calibri" w:hAnsi="Calibri" w:cs="Arial"/>
          <w:rtl/>
        </w:rPr>
        <w:t>. אבל לא נמצא עליו שובר, אף על פי שנמצא בין שטרות קרועים, לא גרע וגובין בו</w:t>
      </w:r>
      <w:r w:rsidRPr="001D49D4">
        <w:rPr>
          <w:rFonts w:ascii="Calibri" w:eastAsia="Calibri" w:hAnsi="Calibri" w:cs="Arial"/>
          <w:vertAlign w:val="superscript"/>
          <w:rtl/>
        </w:rPr>
        <w:footnoteReference w:id="4926"/>
      </w:r>
      <w:r w:rsidRPr="001D49D4">
        <w:rPr>
          <w:rFonts w:ascii="Calibri" w:eastAsia="Calibri" w:hAnsi="Calibri" w:cs="Arial"/>
          <w:rtl/>
        </w:rPr>
        <w:t>. ואם עדים חתומים על השובר שנמצא ביד המלוה</w:t>
      </w:r>
      <w:r w:rsidRPr="001D49D4">
        <w:rPr>
          <w:rFonts w:ascii="Calibri" w:eastAsia="Calibri" w:hAnsi="Calibri" w:cs="Arial"/>
          <w:vertAlign w:val="superscript"/>
          <w:rtl/>
        </w:rPr>
        <w:footnoteReference w:id="4927"/>
      </w:r>
      <w:r w:rsidRPr="001D49D4">
        <w:rPr>
          <w:rFonts w:ascii="Calibri" w:eastAsia="Calibri" w:hAnsi="Calibri" w:cs="Arial"/>
          <w:rtl/>
        </w:rPr>
        <w:t xml:space="preserve">, ישאלו העדים, אם יודעים שהשטר פרוע יעשו על פיהם. ואם אינם יודעים או שאינם לפנינו, אינו כלום. ואם הוא מקוים, כשר. </w:t>
      </w:r>
    </w:p>
    <w:p w14:paraId="6F55838B" w14:textId="77777777" w:rsidR="001D49D4" w:rsidRPr="001D49D4" w:rsidRDefault="001D49D4" w:rsidP="0004348D">
      <w:pPr>
        <w:spacing w:before="360" w:after="240"/>
        <w:rPr>
          <w:rFonts w:ascii="Calibri" w:eastAsia="Calibri" w:hAnsi="Calibri" w:cs="Arial"/>
          <w:rtl/>
        </w:rPr>
      </w:pPr>
    </w:p>
    <w:p w14:paraId="3EA4561F" w14:textId="77777777" w:rsidR="001D49D4" w:rsidRPr="001D49D4" w:rsidRDefault="001D49D4" w:rsidP="0004348D">
      <w:pPr>
        <w:keepNext/>
        <w:keepLines/>
        <w:spacing w:before="360" w:after="240"/>
        <w:outlineLvl w:val="1"/>
        <w:rPr>
          <w:rFonts w:ascii="Cambria" w:eastAsia="Times New Roman" w:hAnsi="Cambria" w:cs="Arial"/>
          <w:bCs/>
          <w:color w:val="548DD4" w:themeColor="text2" w:themeTint="99"/>
          <w:sz w:val="26"/>
          <w:szCs w:val="26"/>
          <w:rtl/>
        </w:rPr>
      </w:pPr>
      <w:bookmarkStart w:id="665" w:name="_Toc24884088"/>
      <w:r w:rsidRPr="001D49D4">
        <w:rPr>
          <w:rFonts w:ascii="Cambria" w:eastAsia="Times New Roman" w:hAnsi="Cambria" w:cs="Arial"/>
          <w:bCs/>
          <w:color w:val="548DD4" w:themeColor="text2" w:themeTint="99"/>
          <w:sz w:val="26"/>
          <w:szCs w:val="26"/>
          <w:rtl/>
        </w:rPr>
        <w:t>סעיף יט: שובר שנמצא ביד שליש.</w:t>
      </w:r>
      <w:bookmarkEnd w:id="665"/>
    </w:p>
    <w:p w14:paraId="4188A905"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b/>
          <w:bCs/>
          <w:rtl/>
        </w:rPr>
        <w:t xml:space="preserve">בבא מציעא </w:t>
      </w:r>
      <w:r w:rsidRPr="001D49D4">
        <w:rPr>
          <w:rFonts w:ascii="Calibri" w:eastAsia="Calibri" w:hAnsi="Calibri" w:cs="Arial"/>
          <w:b/>
          <w:bCs/>
          <w:sz w:val="16"/>
          <w:szCs w:val="16"/>
          <w:rtl/>
        </w:rPr>
        <w:t>(ספ"ק)</w:t>
      </w:r>
      <w:r w:rsidRPr="001D49D4">
        <w:rPr>
          <w:rFonts w:ascii="Calibri" w:eastAsia="Calibri" w:hAnsi="Calibri" w:cs="Arial"/>
          <w:b/>
          <w:bCs/>
          <w:rtl/>
        </w:rPr>
        <w:t xml:space="preserve"> כא</w:t>
      </w:r>
      <w:r w:rsidRPr="001D49D4">
        <w:rPr>
          <w:rFonts w:ascii="Calibri" w:eastAsia="Calibri" w:hAnsi="Calibri" w:cs="Arial"/>
          <w:b/>
          <w:bCs/>
          <w:vertAlign w:val="superscript"/>
          <w:rtl/>
        </w:rPr>
        <w:footnoteReference w:id="4928"/>
      </w:r>
      <w:r w:rsidRPr="001D49D4">
        <w:rPr>
          <w:rFonts w:ascii="Calibri" w:eastAsia="Calibri" w:hAnsi="Calibri" w:cs="Arial"/>
          <w:b/>
          <w:bCs/>
          <w:rtl/>
        </w:rPr>
        <w:t xml:space="preserve"> ע"א:</w:t>
      </w:r>
      <w:r w:rsidRPr="001D49D4">
        <w:rPr>
          <w:rFonts w:ascii="Calibri" w:eastAsia="Calibri" w:hAnsi="Calibri" w:cs="Arial"/>
          <w:rtl/>
        </w:rPr>
        <w:t xml:space="preserve"> סמפון שיש עליו עדים - יתקיים בחותמיו, אין עליו עדים, ויוצא מתחת ידי שליש או שיוצא לאחר חיתום שטרות - כשר. יוצא מתחת ידי שליש - דהא הימניה מלוה לשליש... </w:t>
      </w:r>
      <w:r w:rsidRPr="001D49D4">
        <w:rPr>
          <w:rFonts w:ascii="Calibri" w:eastAsia="Calibri" w:hAnsi="Calibri" w:cs="Arial"/>
          <w:sz w:val="16"/>
          <w:szCs w:val="16"/>
          <w:rtl/>
        </w:rPr>
        <w:t>(וכתב הרא"ש (שם) ולא מבעיא אם לא ראוהו בידו דנאמן במגו דאי בעי יהביה ניהליה, אלא אפילו ראוהו בידו דתו ליכא מגו, כדאמרינן בסוף פרק זה בורר (סנהדרין לא: עיין שם תוד"ה וכיון) כיון דאתחזק בבי דינא פירוש שראוהו בית דין בידה קודם שאמרה פרוע הוא דשוב אינה נאמנת על ידי מגו שהיה לה קודם לכן, אפילו הכי כשר דהא הימניה לשליש עכ"ל. וכ"כ נמוק"י (יב. ד"ה סמפון) בשם הרשב"א (כא. ד"ה אין עליו) והראב"ד ז"ל. עיין במישרים (נ"ו ח"ד כג ע"ד), ב"י)</w:t>
      </w:r>
    </w:p>
    <w:p w14:paraId="32C902C7" w14:textId="77777777" w:rsidR="001D49D4" w:rsidRPr="001D49D4" w:rsidRDefault="001D49D4" w:rsidP="0004348D">
      <w:pPr>
        <w:spacing w:before="360" w:after="240"/>
        <w:rPr>
          <w:rFonts w:ascii="Calibri" w:eastAsia="Calibri" w:hAnsi="Calibri" w:cs="Arial"/>
          <w:u w:val="single"/>
          <w:rtl/>
        </w:rPr>
      </w:pPr>
      <w:r w:rsidRPr="001D49D4">
        <w:rPr>
          <w:rFonts w:ascii="Calibri" w:eastAsia="Calibri" w:hAnsi="Calibri" w:cs="Arial"/>
          <w:u w:val="single"/>
          <w:rtl/>
        </w:rPr>
        <w:t>שטר ושוברו שנמצאו ביד שליש:</w:t>
      </w:r>
    </w:p>
    <w:p w14:paraId="647C5D97" w14:textId="77777777" w:rsidR="001D49D4" w:rsidRPr="001D49D4" w:rsidRDefault="001D49D4" w:rsidP="0004348D">
      <w:pPr>
        <w:numPr>
          <w:ilvl w:val="0"/>
          <w:numId w:val="329"/>
        </w:numPr>
        <w:spacing w:before="360" w:after="240"/>
        <w:contextualSpacing/>
        <w:rPr>
          <w:rFonts w:ascii="Calibri" w:eastAsia="Calibri" w:hAnsi="Calibri" w:cs="Arial"/>
        </w:rPr>
      </w:pPr>
      <w:r w:rsidRPr="001D49D4">
        <w:rPr>
          <w:rFonts w:ascii="Calibri" w:eastAsia="Calibri" w:hAnsi="Calibri" w:cs="Arial"/>
          <w:rtl/>
        </w:rPr>
        <w:t>טור- אם השובר ביד השליש ואומר שהוא פרוע - נאמן אפי' ראוהו כבר ב"ד בידו ואפי' אין עליו עדים, ואפילו מת השליש - השובר כשר</w:t>
      </w:r>
      <w:r w:rsidRPr="001D49D4">
        <w:rPr>
          <w:rFonts w:ascii="Calibri" w:eastAsia="Calibri" w:hAnsi="Calibri" w:cs="Arial"/>
          <w:vertAlign w:val="superscript"/>
          <w:rtl/>
        </w:rPr>
        <w:footnoteReference w:id="4929"/>
      </w:r>
      <w:r w:rsidRPr="001D49D4">
        <w:rPr>
          <w:rFonts w:ascii="Calibri" w:eastAsia="Calibri" w:hAnsi="Calibri" w:cs="Arial"/>
          <w:rtl/>
        </w:rPr>
        <w:t>. ודוקא שהשטר בידו עם השובר</w:t>
      </w:r>
      <w:r w:rsidRPr="001D49D4">
        <w:rPr>
          <w:rFonts w:ascii="Calibri" w:eastAsia="Calibri" w:hAnsi="Calibri" w:cs="Arial"/>
          <w:vertAlign w:val="superscript"/>
          <w:rtl/>
        </w:rPr>
        <w:footnoteReference w:id="4930"/>
      </w:r>
      <w:r w:rsidRPr="001D49D4">
        <w:rPr>
          <w:rFonts w:ascii="Calibri" w:eastAsia="Calibri" w:hAnsi="Calibri" w:cs="Arial"/>
          <w:rtl/>
        </w:rPr>
        <w:t xml:space="preserve">, אבל אם אין השטר בידו ואין עדים בשובר - אינו כלום, דלא עדיף שליש מלוה עצמו שהוציא שובר בלא עדים שאינו כלום. </w:t>
      </w:r>
      <w:r w:rsidRPr="001D49D4">
        <w:rPr>
          <w:rFonts w:ascii="Calibri" w:eastAsia="Calibri" w:hAnsi="Calibri" w:cs="Arial"/>
          <w:color w:val="E36C0A" w:themeColor="accent6" w:themeShade="BF"/>
          <w:rtl/>
        </w:rPr>
        <w:t>(וכ"פ בשו"ע)</w:t>
      </w:r>
    </w:p>
    <w:p w14:paraId="121F46C5" w14:textId="77777777" w:rsidR="001D49D4" w:rsidRPr="001D49D4" w:rsidRDefault="001D49D4" w:rsidP="0004348D">
      <w:pPr>
        <w:spacing w:before="360" w:after="240"/>
        <w:rPr>
          <w:rFonts w:ascii="Calibri" w:eastAsia="Calibri" w:hAnsi="Calibri" w:cs="Arial"/>
          <w:u w:val="dotted"/>
        </w:rPr>
      </w:pPr>
      <w:r w:rsidRPr="001D49D4">
        <w:rPr>
          <w:rFonts w:ascii="Calibri" w:eastAsia="Calibri" w:hAnsi="Calibri" w:cs="Arial"/>
          <w:u w:val="dotted"/>
          <w:rtl/>
        </w:rPr>
        <w:t>ומה הדין אם נמצא רק השובר אצל השליש אך יש עליו עדים:</w:t>
      </w:r>
    </w:p>
    <w:p w14:paraId="54EAB008" w14:textId="77777777" w:rsidR="001D49D4" w:rsidRPr="001D49D4" w:rsidRDefault="001D49D4" w:rsidP="0004348D">
      <w:pPr>
        <w:numPr>
          <w:ilvl w:val="0"/>
          <w:numId w:val="329"/>
        </w:numPr>
        <w:spacing w:before="360" w:after="240"/>
        <w:contextualSpacing/>
        <w:rPr>
          <w:rFonts w:ascii="Calibri" w:eastAsia="Calibri" w:hAnsi="Calibri" w:cs="Arial"/>
        </w:rPr>
      </w:pPr>
      <w:r w:rsidRPr="001D49D4">
        <w:rPr>
          <w:rFonts w:ascii="Calibri" w:eastAsia="Calibri" w:hAnsi="Calibri" w:cs="Arial"/>
          <w:rtl/>
        </w:rPr>
        <w:t>טור- אם יש עליו עדים, אע"פ שאינם כאן שיוכלו לשאול אותם אם הוא פרוע אם לאו, אם הוא מקויים - כשר, שודאי מיד הלוה בא. ואם אינו מקויים - יתקיים בחותמיו, ואז</w:t>
      </w:r>
      <w:r w:rsidRPr="001D49D4">
        <w:rPr>
          <w:rFonts w:ascii="Calibri" w:eastAsia="Calibri" w:hAnsi="Calibri" w:cs="Arial"/>
          <w:vertAlign w:val="superscript"/>
          <w:rtl/>
        </w:rPr>
        <w:footnoteReference w:id="4931"/>
      </w:r>
      <w:r w:rsidRPr="001D49D4">
        <w:rPr>
          <w:rFonts w:ascii="Calibri" w:eastAsia="Calibri" w:hAnsi="Calibri" w:cs="Arial"/>
          <w:rtl/>
        </w:rPr>
        <w:t xml:space="preserve"> נאמן השליש לומר שהוא פרוע. ואם השליש מת - לא יחזיר לא ללוה ולא למלוה אפי' שהחייב מודה שהמלוה הפקידו בידו ועדיין לא נפרע החוב, לפי שחוששין לקנוניא</w:t>
      </w:r>
      <w:r w:rsidRPr="001D49D4">
        <w:rPr>
          <w:rFonts w:ascii="Calibri" w:eastAsia="Calibri" w:hAnsi="Calibri" w:cs="Arial"/>
          <w:vertAlign w:val="superscript"/>
          <w:rtl/>
        </w:rPr>
        <w:footnoteReference w:id="4932"/>
      </w:r>
      <w:r w:rsidRPr="001D49D4">
        <w:rPr>
          <w:rFonts w:ascii="Calibri" w:eastAsia="Calibri" w:hAnsi="Calibri" w:cs="Arial"/>
          <w:rtl/>
        </w:rPr>
        <w:t>. לפיכך אין גובין בשטר חוב שזה השובר יוצא עליו ואין קורעין אותו.</w:t>
      </w:r>
    </w:p>
    <w:p w14:paraId="4A701326" w14:textId="77777777" w:rsidR="001D49D4" w:rsidRPr="001D49D4" w:rsidRDefault="001D49D4" w:rsidP="0004348D">
      <w:pPr>
        <w:spacing w:before="360" w:after="240"/>
        <w:rPr>
          <w:rFonts w:ascii="Calibri" w:eastAsia="Calibri" w:hAnsi="Calibri" w:cs="Arial"/>
        </w:rPr>
      </w:pPr>
      <w:r w:rsidRPr="001D49D4">
        <w:rPr>
          <w:rFonts w:ascii="Calibri" w:eastAsia="Calibri" w:hAnsi="Calibri" w:cs="Arial"/>
          <w:rtl/>
        </w:rPr>
        <w:t xml:space="preserve"> </w:t>
      </w:r>
      <w:r w:rsidRPr="001D49D4">
        <w:rPr>
          <w:rFonts w:ascii="Calibri" w:eastAsia="Calibri" w:hAnsi="Calibri" w:cs="Arial" w:hint="cs"/>
          <w:u w:val="single"/>
          <w:rtl/>
        </w:rPr>
        <w:t>שטר ושוברו שנמצאו ביד שליש – והשליש אינו יודע אם השטר פרוע:</w:t>
      </w:r>
    </w:p>
    <w:p w14:paraId="489B7664" w14:textId="77777777" w:rsidR="001D49D4" w:rsidRPr="001D49D4" w:rsidRDefault="001D49D4" w:rsidP="0004348D">
      <w:pPr>
        <w:numPr>
          <w:ilvl w:val="0"/>
          <w:numId w:val="329"/>
        </w:numPr>
        <w:spacing w:before="360" w:after="240"/>
        <w:contextualSpacing/>
        <w:rPr>
          <w:rFonts w:ascii="Calibri" w:eastAsia="Calibri" w:hAnsi="Calibri" w:cs="Arial"/>
        </w:rPr>
      </w:pPr>
      <w:r w:rsidRPr="001D49D4">
        <w:rPr>
          <w:rFonts w:ascii="Calibri" w:eastAsia="Calibri" w:hAnsi="Calibri" w:cs="Arial"/>
          <w:rtl/>
        </w:rPr>
        <w:t>הגמ"ר</w:t>
      </w:r>
      <w:r w:rsidRPr="001D49D4">
        <w:rPr>
          <w:rFonts w:ascii="Calibri" w:eastAsia="Calibri" w:hAnsi="Calibri" w:cs="Arial"/>
          <w:sz w:val="16"/>
          <w:szCs w:val="16"/>
          <w:rtl/>
        </w:rPr>
        <w:t xml:space="preserve"> (ספ"ק דבבא מציעא סו"ס תכג, כ"כ הדרכ"מ בשמו [אות ז])</w:t>
      </w:r>
      <w:r w:rsidRPr="001D49D4">
        <w:rPr>
          <w:rFonts w:ascii="Calibri" w:eastAsia="Calibri" w:hAnsi="Calibri" w:cs="Arial"/>
          <w:rtl/>
        </w:rPr>
        <w:t>- אם נתנו שובר ושטר ביד שליש אע"פ שהשליש אינו יודע אם פרוע הוא - אפילו הכי אמרינן ודאי מדמסרו לו השטר עם השובר ודאי פרעו לו. (וכ"פ הסמ"ע</w:t>
      </w:r>
      <w:r w:rsidRPr="001D49D4">
        <w:rPr>
          <w:rFonts w:ascii="Calibri" w:eastAsia="Calibri" w:hAnsi="Calibri" w:cs="Arial"/>
          <w:vertAlign w:val="superscript"/>
          <w:rtl/>
        </w:rPr>
        <w:footnoteReference w:id="4933"/>
      </w:r>
      <w:r w:rsidRPr="001D49D4">
        <w:rPr>
          <w:rFonts w:ascii="Calibri" w:eastAsia="Calibri" w:hAnsi="Calibri" w:cs="Arial"/>
          <w:sz w:val="16"/>
          <w:szCs w:val="16"/>
          <w:rtl/>
        </w:rPr>
        <w:t xml:space="preserve">  [ס"ק סה]</w:t>
      </w:r>
      <w:r w:rsidRPr="001D49D4">
        <w:rPr>
          <w:rFonts w:ascii="Calibri" w:eastAsia="Calibri" w:hAnsi="Calibri" w:cs="Arial"/>
          <w:rtl/>
        </w:rPr>
        <w:t>)</w:t>
      </w:r>
    </w:p>
    <w:p w14:paraId="0F19AF26" w14:textId="77777777" w:rsidR="001D49D4" w:rsidRPr="001D49D4" w:rsidRDefault="001D49D4" w:rsidP="0004348D">
      <w:pPr>
        <w:spacing w:before="360" w:after="240"/>
        <w:rPr>
          <w:rFonts w:ascii="Arial" w:eastAsia="Calibri" w:hAnsi="Arial" w:cs="Arial"/>
          <w:b/>
          <w:bCs/>
          <w:color w:val="000000"/>
          <w:sz w:val="28"/>
          <w:szCs w:val="28"/>
          <w:u w:val="single"/>
          <w:rtl/>
        </w:rPr>
      </w:pPr>
      <w:r w:rsidRPr="001D49D4">
        <w:rPr>
          <w:rFonts w:ascii="Arial" w:eastAsia="Calibri" w:hAnsi="Arial" w:cs="Arial"/>
          <w:b/>
          <w:bCs/>
          <w:color w:val="000000"/>
          <w:sz w:val="28"/>
          <w:szCs w:val="28"/>
          <w:u w:val="single"/>
          <w:rtl/>
        </w:rPr>
        <w:t>שו"ע:</w:t>
      </w:r>
    </w:p>
    <w:p w14:paraId="67610FF5"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rtl/>
        </w:rPr>
        <w:t>אם השובר ביד השליש ואומר שהוא פרוע, נאמן אפילו ראוהו בית דין כבר בידו</w:t>
      </w:r>
      <w:r w:rsidRPr="001D49D4">
        <w:rPr>
          <w:rFonts w:ascii="Calibri" w:eastAsia="Calibri" w:hAnsi="Calibri" w:cs="Arial"/>
          <w:vertAlign w:val="superscript"/>
          <w:rtl/>
        </w:rPr>
        <w:footnoteReference w:id="4934"/>
      </w:r>
      <w:r w:rsidRPr="001D49D4">
        <w:rPr>
          <w:rFonts w:ascii="Calibri" w:eastAsia="Calibri" w:hAnsi="Calibri" w:cs="Arial"/>
          <w:rtl/>
        </w:rPr>
        <w:t xml:space="preserve"> ואפילו אין עליו עדים, ואפילו מת השליש, כשר השובר. ודוקא שהשטר בידו עם השובר, אבל אם אין השטר בידו ואין עדים בשובר, אינו כלום</w:t>
      </w:r>
      <w:r w:rsidRPr="001D49D4">
        <w:rPr>
          <w:rFonts w:ascii="Calibri" w:eastAsia="Calibri" w:hAnsi="Calibri" w:cs="Arial"/>
          <w:vertAlign w:val="superscript"/>
          <w:rtl/>
        </w:rPr>
        <w:footnoteReference w:id="4935"/>
      </w:r>
      <w:r w:rsidRPr="001D49D4">
        <w:rPr>
          <w:rFonts w:ascii="Calibri" w:eastAsia="Calibri" w:hAnsi="Calibri" w:cs="Arial"/>
          <w:rtl/>
        </w:rPr>
        <w:t>. ואם יש עליו עדים, אף על פי שאינם כאן, אם הוא מקויים, כשר</w:t>
      </w:r>
      <w:r w:rsidRPr="001D49D4">
        <w:rPr>
          <w:rFonts w:ascii="Calibri" w:eastAsia="Calibri" w:hAnsi="Calibri" w:cs="Arial"/>
          <w:vertAlign w:val="superscript"/>
          <w:rtl/>
        </w:rPr>
        <w:footnoteReference w:id="4936"/>
      </w:r>
      <w:r w:rsidRPr="001D49D4">
        <w:rPr>
          <w:rFonts w:ascii="Calibri" w:eastAsia="Calibri" w:hAnsi="Calibri" w:cs="Arial"/>
          <w:rtl/>
        </w:rPr>
        <w:t>. ואם אינו מקויים, יתקיים בחותמיו</w:t>
      </w:r>
      <w:r w:rsidRPr="001D49D4">
        <w:rPr>
          <w:rFonts w:ascii="Calibri" w:eastAsia="Calibri" w:hAnsi="Calibri" w:cs="Arial"/>
          <w:vertAlign w:val="superscript"/>
          <w:rtl/>
        </w:rPr>
        <w:footnoteReference w:id="4937"/>
      </w:r>
      <w:r w:rsidRPr="001D49D4">
        <w:rPr>
          <w:rFonts w:ascii="Calibri" w:eastAsia="Calibri" w:hAnsi="Calibri" w:cs="Arial"/>
          <w:rtl/>
        </w:rPr>
        <w:t>. ואם השליש מת, לא יחזיר לא ללוה ולא למלוה</w:t>
      </w:r>
      <w:r w:rsidRPr="001D49D4">
        <w:rPr>
          <w:rFonts w:ascii="Calibri" w:eastAsia="Calibri" w:hAnsi="Calibri" w:cs="Arial"/>
          <w:vertAlign w:val="superscript"/>
          <w:rtl/>
        </w:rPr>
        <w:footnoteReference w:id="4938"/>
      </w:r>
      <w:r w:rsidRPr="001D49D4">
        <w:rPr>
          <w:rFonts w:ascii="Calibri" w:eastAsia="Calibri" w:hAnsi="Calibri" w:cs="Arial"/>
          <w:rtl/>
        </w:rPr>
        <w:t>, אפילו שהחייב</w:t>
      </w:r>
      <w:r w:rsidRPr="001D49D4">
        <w:rPr>
          <w:rFonts w:ascii="Calibri" w:eastAsia="Calibri" w:hAnsi="Calibri" w:cs="Arial"/>
          <w:vertAlign w:val="superscript"/>
          <w:rtl/>
        </w:rPr>
        <w:footnoteReference w:id="4939"/>
      </w:r>
      <w:r w:rsidRPr="001D49D4">
        <w:rPr>
          <w:rFonts w:ascii="Calibri" w:eastAsia="Calibri" w:hAnsi="Calibri" w:cs="Arial"/>
          <w:rtl/>
        </w:rPr>
        <w:t xml:space="preserve"> מודה שהמלוה הפקידו בידו ועדיין לא נפרע החוב, לפי שחוששין לקנוניא</w:t>
      </w:r>
      <w:r w:rsidRPr="001D49D4">
        <w:rPr>
          <w:rFonts w:ascii="Calibri" w:eastAsia="Calibri" w:hAnsi="Calibri" w:cs="Arial"/>
          <w:vertAlign w:val="superscript"/>
          <w:rtl/>
        </w:rPr>
        <w:footnoteReference w:id="4940"/>
      </w:r>
      <w:r w:rsidRPr="001D49D4">
        <w:rPr>
          <w:rFonts w:ascii="Calibri" w:eastAsia="Calibri" w:hAnsi="Calibri" w:cs="Arial"/>
          <w:rtl/>
        </w:rPr>
        <w:t>. לפיכך אין גובין בשטר חוב</w:t>
      </w:r>
      <w:r w:rsidRPr="001D49D4">
        <w:rPr>
          <w:rFonts w:ascii="Calibri" w:eastAsia="Calibri" w:hAnsi="Calibri" w:cs="Arial"/>
          <w:vertAlign w:val="superscript"/>
          <w:rtl/>
        </w:rPr>
        <w:footnoteReference w:id="4941"/>
      </w:r>
      <w:r w:rsidRPr="001D49D4">
        <w:rPr>
          <w:rFonts w:ascii="Calibri" w:eastAsia="Calibri" w:hAnsi="Calibri" w:cs="Arial"/>
          <w:rtl/>
        </w:rPr>
        <w:t xml:space="preserve"> שזה השובר יוצא עליו ואין קורעין אותו. </w:t>
      </w:r>
    </w:p>
    <w:p w14:paraId="11AE0AF7" w14:textId="77777777" w:rsidR="001D49D4" w:rsidRPr="001D49D4" w:rsidRDefault="001D49D4" w:rsidP="0004348D">
      <w:pPr>
        <w:spacing w:before="360" w:after="240"/>
        <w:rPr>
          <w:rFonts w:ascii="Calibri" w:eastAsia="Calibri" w:hAnsi="Calibri" w:cs="Arial"/>
          <w:rtl/>
        </w:rPr>
      </w:pPr>
    </w:p>
    <w:p w14:paraId="5CE75ADA" w14:textId="77777777" w:rsidR="001D49D4" w:rsidRPr="001D49D4" w:rsidRDefault="001D49D4" w:rsidP="0004348D">
      <w:pPr>
        <w:keepNext/>
        <w:keepLines/>
        <w:spacing w:before="360" w:after="240"/>
        <w:outlineLvl w:val="1"/>
        <w:rPr>
          <w:rFonts w:ascii="Cambria" w:eastAsia="Times New Roman" w:hAnsi="Cambria" w:cs="Arial"/>
          <w:bCs/>
          <w:color w:val="548DD4" w:themeColor="text2" w:themeTint="99"/>
          <w:sz w:val="26"/>
          <w:szCs w:val="26"/>
          <w:rtl/>
        </w:rPr>
      </w:pPr>
      <w:bookmarkStart w:id="666" w:name="_Toc24884089"/>
      <w:r w:rsidRPr="001D49D4">
        <w:rPr>
          <w:rFonts w:ascii="Cambria" w:eastAsia="Times New Roman" w:hAnsi="Cambria" w:cs="Arial"/>
          <w:bCs/>
          <w:color w:val="548DD4" w:themeColor="text2" w:themeTint="99"/>
          <w:sz w:val="26"/>
          <w:szCs w:val="26"/>
          <w:rtl/>
        </w:rPr>
        <w:t>סעיף כ: שטר שנמצא בו שובר בגוף השטר.</w:t>
      </w:r>
      <w:bookmarkEnd w:id="666"/>
    </w:p>
    <w:p w14:paraId="32955515"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b/>
          <w:bCs/>
          <w:rtl/>
        </w:rPr>
        <w:t xml:space="preserve">בבא מציעא </w:t>
      </w:r>
      <w:r w:rsidRPr="001D49D4">
        <w:rPr>
          <w:rFonts w:ascii="Calibri" w:eastAsia="Calibri" w:hAnsi="Calibri" w:cs="Arial"/>
          <w:b/>
          <w:bCs/>
          <w:sz w:val="16"/>
          <w:szCs w:val="16"/>
          <w:rtl/>
        </w:rPr>
        <w:t>(ספ"ק)</w:t>
      </w:r>
      <w:r w:rsidRPr="001D49D4">
        <w:rPr>
          <w:rFonts w:ascii="Calibri" w:eastAsia="Calibri" w:hAnsi="Calibri" w:cs="Arial"/>
          <w:b/>
          <w:bCs/>
          <w:rtl/>
        </w:rPr>
        <w:t xml:space="preserve"> כא</w:t>
      </w:r>
      <w:r w:rsidRPr="001D49D4">
        <w:rPr>
          <w:rFonts w:ascii="Calibri" w:eastAsia="Calibri" w:hAnsi="Calibri" w:cs="Arial"/>
          <w:b/>
          <w:bCs/>
          <w:vertAlign w:val="superscript"/>
          <w:rtl/>
        </w:rPr>
        <w:footnoteReference w:id="4942"/>
      </w:r>
      <w:r w:rsidRPr="001D49D4">
        <w:rPr>
          <w:rFonts w:ascii="Calibri" w:eastAsia="Calibri" w:hAnsi="Calibri" w:cs="Arial"/>
          <w:b/>
          <w:bCs/>
          <w:rtl/>
        </w:rPr>
        <w:t xml:space="preserve"> ע"א:</w:t>
      </w:r>
      <w:r w:rsidRPr="001D49D4">
        <w:rPr>
          <w:rFonts w:ascii="Calibri" w:eastAsia="Calibri" w:hAnsi="Calibri" w:cs="Arial"/>
          <w:rtl/>
        </w:rPr>
        <w:t xml:space="preserve"> סמפון שיש עליו עדים - יתקיים בחותמיו, אין עליו עדים, ויוצא מתחת ידי שליש או שיוצא לאחר חיתום שטרות</w:t>
      </w:r>
      <w:r w:rsidRPr="001D49D4">
        <w:rPr>
          <w:rFonts w:ascii="Calibri" w:eastAsia="Calibri" w:hAnsi="Calibri" w:cs="Arial"/>
          <w:vertAlign w:val="superscript"/>
          <w:rtl/>
        </w:rPr>
        <w:footnoteReference w:id="4943"/>
      </w:r>
      <w:r w:rsidRPr="001D49D4">
        <w:rPr>
          <w:rFonts w:ascii="Calibri" w:eastAsia="Calibri" w:hAnsi="Calibri" w:cs="Arial"/>
          <w:rtl/>
        </w:rPr>
        <w:t xml:space="preserve"> - כשר. יוצא מתחת ידי שליש - דהא הימניה מלוה לשליש. יוצא לאחר חיתום שטרות נמי, דאי לאו דפריע - לא הוה מרע ליה לשטריה.</w:t>
      </w:r>
    </w:p>
    <w:p w14:paraId="25EDD215"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u w:val="single"/>
          <w:rtl/>
        </w:rPr>
        <w:t>שטר שנמצא בו שובר בגוף השטר:</w:t>
      </w:r>
    </w:p>
    <w:p w14:paraId="2FA14619" w14:textId="77777777" w:rsidR="001D49D4" w:rsidRPr="001D49D4" w:rsidRDefault="001D49D4" w:rsidP="0004348D">
      <w:pPr>
        <w:numPr>
          <w:ilvl w:val="0"/>
          <w:numId w:val="329"/>
        </w:numPr>
        <w:spacing w:before="360" w:after="240"/>
        <w:contextualSpacing/>
        <w:rPr>
          <w:rFonts w:ascii="Calibri" w:eastAsia="Calibri" w:hAnsi="Calibri" w:cs="Arial"/>
          <w:rtl/>
        </w:rPr>
      </w:pPr>
      <w:r w:rsidRPr="001D49D4">
        <w:rPr>
          <w:rFonts w:ascii="Calibri" w:eastAsia="Calibri" w:hAnsi="Calibri" w:cs="Arial"/>
          <w:rtl/>
        </w:rPr>
        <w:t>בעל התרומות</w:t>
      </w:r>
      <w:r w:rsidRPr="001D49D4">
        <w:rPr>
          <w:rFonts w:ascii="Calibri" w:eastAsia="Calibri" w:hAnsi="Calibri" w:cs="Arial"/>
          <w:vertAlign w:val="superscript"/>
          <w:rtl/>
        </w:rPr>
        <w:footnoteReference w:id="4944"/>
      </w:r>
      <w:r w:rsidRPr="001D49D4">
        <w:rPr>
          <w:rFonts w:ascii="Calibri" w:eastAsia="Calibri" w:hAnsi="Calibri" w:cs="Arial"/>
          <w:rtl/>
        </w:rPr>
        <w:t xml:space="preserve"> </w:t>
      </w:r>
      <w:r w:rsidRPr="001D49D4">
        <w:rPr>
          <w:rFonts w:ascii="Calibri" w:eastAsia="Calibri" w:hAnsi="Calibri" w:cs="Arial"/>
          <w:sz w:val="16"/>
          <w:szCs w:val="16"/>
          <w:rtl/>
        </w:rPr>
        <w:t>(שער נב שם)</w:t>
      </w:r>
      <w:r w:rsidRPr="001D49D4">
        <w:rPr>
          <w:rFonts w:ascii="Calibri" w:eastAsia="Calibri" w:hAnsi="Calibri" w:cs="Arial"/>
          <w:rtl/>
        </w:rPr>
        <w:t xml:space="preserve"> וטור- שטר שנמצא בו שובר בגוף השטר בין מלפניו בין מלאחריו 'שטר זה פרוע' או ש-'נפרע ממנו כך וכך' - עושין כמש"כ בשובר, שאם לא היה פרוע לא היה כותב אותו בגוף השטר</w:t>
      </w:r>
      <w:r w:rsidRPr="001D49D4">
        <w:rPr>
          <w:rFonts w:ascii="Calibri" w:eastAsia="Calibri" w:hAnsi="Calibri" w:cs="Arial"/>
          <w:sz w:val="16"/>
          <w:szCs w:val="16"/>
          <w:rtl/>
        </w:rPr>
        <w:t xml:space="preserve"> (ל' הטור)</w:t>
      </w:r>
      <w:r w:rsidRPr="001D49D4">
        <w:rPr>
          <w:rFonts w:ascii="Calibri" w:eastAsia="Calibri" w:hAnsi="Calibri" w:cs="Arial"/>
          <w:rtl/>
        </w:rPr>
        <w:t>.</w:t>
      </w:r>
    </w:p>
    <w:p w14:paraId="590AF816" w14:textId="77777777" w:rsidR="001D49D4" w:rsidRPr="001D49D4" w:rsidRDefault="001D49D4" w:rsidP="0004348D">
      <w:pPr>
        <w:numPr>
          <w:ilvl w:val="0"/>
          <w:numId w:val="329"/>
        </w:numPr>
        <w:spacing w:before="360" w:after="240"/>
        <w:contextualSpacing/>
        <w:rPr>
          <w:rFonts w:ascii="Calibri" w:eastAsia="Calibri" w:hAnsi="Calibri" w:cs="Arial"/>
        </w:rPr>
      </w:pPr>
      <w:r w:rsidRPr="001D49D4">
        <w:rPr>
          <w:rFonts w:ascii="Calibri" w:eastAsia="Calibri" w:hAnsi="Calibri" w:cs="Arial"/>
          <w:rtl/>
        </w:rPr>
        <w:t xml:space="preserve">רמב"ם </w:t>
      </w:r>
      <w:r w:rsidRPr="001D49D4">
        <w:rPr>
          <w:rFonts w:ascii="Calibri" w:eastAsia="Calibri" w:hAnsi="Calibri" w:cs="Arial"/>
          <w:sz w:val="16"/>
          <w:szCs w:val="16"/>
          <w:rtl/>
        </w:rPr>
        <w:t>(פי"ו מהל' מלוה ה"י)</w:t>
      </w:r>
      <w:r w:rsidRPr="001D49D4">
        <w:rPr>
          <w:rFonts w:ascii="Calibri" w:eastAsia="Calibri" w:hAnsi="Calibri" w:cs="Arial"/>
          <w:rtl/>
        </w:rPr>
        <w:t xml:space="preserve">- אם נמצא כתוב בגופו של שטר בין מלפניו בין מאחוריו ואפילו במקצתו 'שטר זה פרוע' או 'נפרע ממנו כך וכך' עושים על פי הכתב ואע"פ שאין על הכתב עדים. </w:t>
      </w:r>
      <w:r w:rsidRPr="001D49D4">
        <w:rPr>
          <w:rFonts w:ascii="Calibri" w:eastAsia="Calibri" w:hAnsi="Calibri" w:cs="Arial"/>
          <w:color w:val="E36C0A" w:themeColor="accent6" w:themeShade="BF"/>
          <w:rtl/>
        </w:rPr>
        <w:t>(וכ"פ בשו"ע)</w:t>
      </w:r>
    </w:p>
    <w:p w14:paraId="14DC3704" w14:textId="77777777" w:rsidR="001D49D4" w:rsidRPr="001D49D4" w:rsidRDefault="001D49D4" w:rsidP="0004348D">
      <w:pPr>
        <w:numPr>
          <w:ilvl w:val="0"/>
          <w:numId w:val="329"/>
        </w:numPr>
        <w:spacing w:before="360" w:after="240"/>
        <w:contextualSpacing/>
        <w:rPr>
          <w:rFonts w:ascii="Calibri" w:eastAsia="Calibri" w:hAnsi="Calibri" w:cs="Arial"/>
        </w:rPr>
      </w:pPr>
      <w:r w:rsidRPr="001D49D4">
        <w:rPr>
          <w:rFonts w:ascii="Calibri" w:eastAsia="Calibri" w:hAnsi="Calibri" w:cs="Arial"/>
          <w:rtl/>
        </w:rPr>
        <w:t xml:space="preserve">רי"ו </w:t>
      </w:r>
      <w:r w:rsidRPr="001D49D4">
        <w:rPr>
          <w:rFonts w:ascii="Calibri" w:eastAsia="Calibri" w:hAnsi="Calibri" w:cs="Arial"/>
          <w:sz w:val="16"/>
          <w:szCs w:val="16"/>
          <w:rtl/>
        </w:rPr>
        <w:t>(נ"ו ח"ד כד.)</w:t>
      </w:r>
      <w:r w:rsidRPr="001D49D4">
        <w:rPr>
          <w:rFonts w:ascii="Calibri" w:eastAsia="Calibri" w:hAnsi="Calibri" w:cs="Arial"/>
          <w:rtl/>
        </w:rPr>
        <w:t>- כתבו החדושין שאם כתבו על גב השטר ואין עליו עדים שאינו כלום וכן נראה מדברי רב אלפס בפרק שני סנהדרין מציעא</w:t>
      </w:r>
      <w:r w:rsidRPr="001D49D4">
        <w:rPr>
          <w:rFonts w:ascii="Calibri" w:eastAsia="Calibri" w:hAnsi="Calibri" w:cs="Arial"/>
          <w:vertAlign w:val="superscript"/>
          <w:rtl/>
        </w:rPr>
        <w:footnoteReference w:id="4945"/>
      </w:r>
      <w:r w:rsidRPr="001D49D4">
        <w:rPr>
          <w:rFonts w:ascii="Calibri" w:eastAsia="Calibri" w:hAnsi="Calibri" w:cs="Arial"/>
          <w:rtl/>
        </w:rPr>
        <w:t xml:space="preserve">.  </w:t>
      </w:r>
    </w:p>
    <w:p w14:paraId="5F3751D1"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u w:val="dotted"/>
          <w:rtl/>
        </w:rPr>
        <w:t>האם עושין כמו שכתוב בשובר אע"ג שהוא יוצא מתחת יד המלוה:</w:t>
      </w:r>
    </w:p>
    <w:p w14:paraId="684AB60F" w14:textId="77777777" w:rsidR="001D49D4" w:rsidRPr="001D49D4" w:rsidRDefault="001D49D4" w:rsidP="0004348D">
      <w:pPr>
        <w:numPr>
          <w:ilvl w:val="0"/>
          <w:numId w:val="329"/>
        </w:numPr>
        <w:spacing w:before="360" w:after="240"/>
        <w:contextualSpacing/>
        <w:rPr>
          <w:rFonts w:ascii="Calibri" w:eastAsia="Calibri" w:hAnsi="Calibri" w:cs="Arial"/>
          <w:rtl/>
        </w:rPr>
      </w:pPr>
      <w:r w:rsidRPr="001D49D4">
        <w:rPr>
          <w:rFonts w:ascii="Calibri" w:eastAsia="Calibri" w:hAnsi="Calibri" w:cs="Arial"/>
          <w:rtl/>
        </w:rPr>
        <w:t xml:space="preserve">רמב"ם </w:t>
      </w:r>
      <w:r w:rsidRPr="001D49D4">
        <w:rPr>
          <w:rFonts w:ascii="Calibri" w:eastAsia="Calibri" w:hAnsi="Calibri" w:cs="Arial"/>
          <w:sz w:val="16"/>
          <w:szCs w:val="16"/>
          <w:rtl/>
        </w:rPr>
        <w:t>(פי"ו מהל' מלוה ה"י)</w:t>
      </w:r>
      <w:r w:rsidRPr="001D49D4">
        <w:rPr>
          <w:rFonts w:ascii="Calibri" w:eastAsia="Calibri" w:hAnsi="Calibri" w:cs="Arial"/>
          <w:rtl/>
        </w:rPr>
        <w:t>- אפילו שיוצא מתחת ידי המלוה כלומר אינו ביד שליש - סומכין על השובר.</w:t>
      </w:r>
      <w:r w:rsidRPr="001D49D4">
        <w:rPr>
          <w:rFonts w:ascii="Calibri" w:eastAsia="Calibri" w:hAnsi="Calibri" w:cs="Arial"/>
          <w:color w:val="E36C0A" w:themeColor="accent6" w:themeShade="BF"/>
          <w:rtl/>
        </w:rPr>
        <w:t xml:space="preserve"> (וכ"פ בשו"ע)</w:t>
      </w:r>
      <w:r w:rsidRPr="001D49D4">
        <w:rPr>
          <w:rFonts w:ascii="Calibri" w:eastAsia="Calibri" w:hAnsi="Calibri" w:cs="Arial"/>
          <w:rtl/>
        </w:rPr>
        <w:t xml:space="preserve"> </w:t>
      </w:r>
    </w:p>
    <w:p w14:paraId="15375650" w14:textId="77777777" w:rsidR="001D49D4" w:rsidRPr="001D49D4" w:rsidRDefault="001D49D4" w:rsidP="0004348D">
      <w:pPr>
        <w:spacing w:before="360" w:after="240"/>
        <w:rPr>
          <w:rFonts w:ascii="Calibri" w:eastAsia="Calibri" w:hAnsi="Calibri" w:cs="Arial"/>
          <w:u w:val="single"/>
        </w:rPr>
      </w:pPr>
      <w:r w:rsidRPr="001D49D4">
        <w:rPr>
          <w:rFonts w:ascii="Calibri" w:eastAsia="Calibri" w:hAnsi="Calibri" w:cs="Arial"/>
          <w:u w:val="single"/>
          <w:rtl/>
        </w:rPr>
        <w:t>מלוה שנמצא כתוב בפנקסו 'שטר יש לי על פלוני פרוע הוא':</w:t>
      </w:r>
    </w:p>
    <w:p w14:paraId="06F6EE04" w14:textId="77777777" w:rsidR="001D49D4" w:rsidRPr="001D49D4" w:rsidRDefault="001D49D4" w:rsidP="0004348D">
      <w:pPr>
        <w:numPr>
          <w:ilvl w:val="0"/>
          <w:numId w:val="329"/>
        </w:numPr>
        <w:spacing w:before="360" w:after="240"/>
        <w:contextualSpacing/>
        <w:rPr>
          <w:rFonts w:ascii="Calibri" w:eastAsia="Calibri" w:hAnsi="Calibri" w:cs="Arial"/>
        </w:rPr>
      </w:pPr>
      <w:r w:rsidRPr="001D49D4">
        <w:rPr>
          <w:rFonts w:ascii="Calibri" w:eastAsia="Calibri" w:hAnsi="Calibri" w:cs="Arial"/>
          <w:rtl/>
        </w:rPr>
        <w:t xml:space="preserve">רי"ו </w:t>
      </w:r>
      <w:r w:rsidRPr="001D49D4">
        <w:rPr>
          <w:rFonts w:ascii="Calibri" w:eastAsia="Calibri" w:hAnsi="Calibri" w:cs="Arial"/>
          <w:sz w:val="16"/>
          <w:szCs w:val="16"/>
          <w:rtl/>
        </w:rPr>
        <w:t>(נ"ו ח"ד כד.)</w:t>
      </w:r>
      <w:r w:rsidRPr="001D49D4">
        <w:rPr>
          <w:rFonts w:ascii="Calibri" w:eastAsia="Calibri" w:hAnsi="Calibri" w:cs="Arial"/>
          <w:rtl/>
        </w:rPr>
        <w:t xml:space="preserve">- כתבו המפרשים כי הוא הדין </w:t>
      </w:r>
      <w:r w:rsidRPr="001D49D4">
        <w:rPr>
          <w:rFonts w:ascii="Calibri" w:eastAsia="Calibri" w:hAnsi="Calibri" w:cs="Arial"/>
          <w:sz w:val="16"/>
          <w:szCs w:val="16"/>
          <w:rtl/>
        </w:rPr>
        <w:t xml:space="preserve">{היינו - כמו שכתוב בגופו של שטר} </w:t>
      </w:r>
      <w:r w:rsidRPr="001D49D4">
        <w:rPr>
          <w:rFonts w:ascii="Calibri" w:eastAsia="Calibri" w:hAnsi="Calibri" w:cs="Arial"/>
          <w:rtl/>
        </w:rPr>
        <w:t xml:space="preserve">אם נמצא כתוב בפנקסו שטר יש לי על פלוני פרוע הוא שכבר מרע ליה לשטריה. </w:t>
      </w:r>
      <w:r w:rsidRPr="001D49D4">
        <w:rPr>
          <w:rFonts w:ascii="Calibri" w:eastAsia="Calibri" w:hAnsi="Calibri" w:cs="Arial"/>
          <w:color w:val="00B0F0"/>
          <w:rtl/>
        </w:rPr>
        <w:t>(וכ"פ הרמ"א)</w:t>
      </w:r>
      <w:r w:rsidRPr="001D49D4">
        <w:rPr>
          <w:rFonts w:ascii="Calibri" w:eastAsia="Calibri" w:hAnsi="Calibri" w:cs="Arial"/>
          <w:rtl/>
        </w:rPr>
        <w:t xml:space="preserve"> </w:t>
      </w:r>
    </w:p>
    <w:p w14:paraId="4A15D6B6" w14:textId="77777777" w:rsidR="001D49D4" w:rsidRPr="001D49D4" w:rsidRDefault="001D49D4" w:rsidP="0004348D">
      <w:pPr>
        <w:spacing w:before="360" w:after="240"/>
        <w:rPr>
          <w:rFonts w:ascii="Arial" w:eastAsia="Calibri" w:hAnsi="Arial" w:cs="Arial"/>
          <w:b/>
          <w:bCs/>
          <w:color w:val="000000"/>
          <w:sz w:val="28"/>
          <w:szCs w:val="28"/>
          <w:u w:val="single"/>
        </w:rPr>
      </w:pPr>
      <w:r w:rsidRPr="001D49D4">
        <w:rPr>
          <w:rFonts w:ascii="Arial" w:eastAsia="Calibri" w:hAnsi="Arial" w:cs="Arial"/>
          <w:b/>
          <w:bCs/>
          <w:color w:val="000000"/>
          <w:sz w:val="28"/>
          <w:szCs w:val="28"/>
          <w:u w:val="single"/>
          <w:rtl/>
        </w:rPr>
        <w:t>שו"ע:</w:t>
      </w:r>
    </w:p>
    <w:p w14:paraId="42DAD3FE"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rtl/>
        </w:rPr>
        <w:t>שטר שנמצא בו שובר בגוף השטר, בין מלפניו בין מלאחריו ואפילו במקצתו</w:t>
      </w:r>
      <w:r w:rsidRPr="001D49D4">
        <w:rPr>
          <w:rFonts w:ascii="Calibri" w:eastAsia="Calibri" w:hAnsi="Calibri" w:cs="Arial"/>
          <w:vertAlign w:val="superscript"/>
          <w:rtl/>
        </w:rPr>
        <w:footnoteReference w:id="4946"/>
      </w:r>
      <w:r w:rsidRPr="001D49D4">
        <w:rPr>
          <w:rFonts w:ascii="Calibri" w:eastAsia="Calibri" w:hAnsi="Calibri" w:cs="Arial"/>
          <w:rtl/>
        </w:rPr>
        <w:t xml:space="preserve">, 'שטר זה פרוע' או ש-'נפרע ממנו כך וכך', אפילו יוצא מתחת ידי המלוה, ואף על פי שאין על הכתב עדים, עושים כמו שכתוב בשובר. </w:t>
      </w:r>
      <w:r w:rsidRPr="001D49D4">
        <w:rPr>
          <w:rFonts w:ascii="Calibri" w:eastAsia="Calibri" w:hAnsi="Calibri" w:cs="Arial"/>
          <w:sz w:val="18"/>
          <w:szCs w:val="18"/>
          <w:rtl/>
        </w:rPr>
        <w:t>[הגה] והוא הדין אם מצא כתוב בפנקסו</w:t>
      </w:r>
      <w:r w:rsidRPr="001D49D4">
        <w:rPr>
          <w:rFonts w:ascii="Calibri" w:eastAsia="Calibri" w:hAnsi="Calibri" w:cs="Arial"/>
          <w:sz w:val="18"/>
          <w:szCs w:val="18"/>
          <w:vertAlign w:val="superscript"/>
          <w:rtl/>
        </w:rPr>
        <w:footnoteReference w:id="4947"/>
      </w:r>
      <w:r w:rsidRPr="001D49D4">
        <w:rPr>
          <w:rFonts w:ascii="Calibri" w:eastAsia="Calibri" w:hAnsi="Calibri" w:cs="Arial"/>
          <w:sz w:val="18"/>
          <w:szCs w:val="18"/>
          <w:rtl/>
        </w:rPr>
        <w:t xml:space="preserve"> 'שטר פלוני הוא פרוע'</w:t>
      </w:r>
      <w:r w:rsidRPr="001D49D4">
        <w:rPr>
          <w:rFonts w:ascii="Calibri" w:eastAsia="Calibri" w:hAnsi="Calibri" w:cs="Arial"/>
          <w:sz w:val="18"/>
          <w:szCs w:val="18"/>
          <w:vertAlign w:val="superscript"/>
          <w:rtl/>
        </w:rPr>
        <w:footnoteReference w:id="4948"/>
      </w:r>
      <w:r w:rsidRPr="001D49D4">
        <w:rPr>
          <w:rFonts w:ascii="Calibri" w:eastAsia="Calibri" w:hAnsi="Calibri" w:cs="Arial"/>
          <w:sz w:val="18"/>
          <w:szCs w:val="18"/>
          <w:rtl/>
        </w:rPr>
        <w:t xml:space="preserve"> (רי"ו נ"י ח"ד).</w:t>
      </w:r>
      <w:r w:rsidRPr="001D49D4">
        <w:rPr>
          <w:rFonts w:ascii="Calibri" w:eastAsia="Calibri" w:hAnsi="Calibri" w:cs="Arial"/>
          <w:rtl/>
        </w:rPr>
        <w:t xml:space="preserve"> </w:t>
      </w:r>
    </w:p>
    <w:p w14:paraId="600382E0" w14:textId="77777777" w:rsidR="001D49D4" w:rsidRPr="001D49D4" w:rsidRDefault="001D49D4" w:rsidP="0004348D">
      <w:pPr>
        <w:spacing w:before="360" w:after="240"/>
        <w:rPr>
          <w:rFonts w:ascii="Calibri" w:eastAsia="Calibri" w:hAnsi="Calibri" w:cs="Arial"/>
          <w:rtl/>
        </w:rPr>
      </w:pPr>
    </w:p>
    <w:p w14:paraId="01C0AFC8" w14:textId="77777777" w:rsidR="001D49D4" w:rsidRPr="001D49D4" w:rsidRDefault="001D49D4" w:rsidP="0004348D">
      <w:pPr>
        <w:keepNext/>
        <w:keepLines/>
        <w:spacing w:before="360" w:after="240"/>
        <w:outlineLvl w:val="1"/>
        <w:rPr>
          <w:rFonts w:ascii="Cambria" w:eastAsia="Times New Roman" w:hAnsi="Cambria" w:cs="Arial"/>
          <w:bCs/>
          <w:color w:val="548DD4" w:themeColor="text2" w:themeTint="99"/>
          <w:sz w:val="26"/>
          <w:szCs w:val="26"/>
          <w:rtl/>
        </w:rPr>
      </w:pPr>
      <w:bookmarkStart w:id="667" w:name="_Toc24884090"/>
      <w:r w:rsidRPr="001D49D4">
        <w:rPr>
          <w:rFonts w:ascii="Cambria" w:eastAsia="Times New Roman" w:hAnsi="Cambria" w:cs="Arial"/>
          <w:bCs/>
          <w:color w:val="548DD4" w:themeColor="text2" w:themeTint="99"/>
          <w:sz w:val="26"/>
          <w:szCs w:val="26"/>
          <w:rtl/>
        </w:rPr>
        <w:t>סעיף כא: שטר שכתב עליו המלוה שובר בכתב ידו ונפטר.</w:t>
      </w:r>
      <w:bookmarkEnd w:id="667"/>
    </w:p>
    <w:p w14:paraId="58244E6B" w14:textId="77777777" w:rsidR="001D49D4" w:rsidRPr="001D49D4" w:rsidRDefault="001D49D4" w:rsidP="0004348D">
      <w:pPr>
        <w:spacing w:before="360" w:after="240"/>
        <w:rPr>
          <w:rFonts w:ascii="Calibri" w:eastAsia="Calibri" w:hAnsi="Calibri" w:cs="Arial"/>
          <w:u w:val="single"/>
          <w:rtl/>
        </w:rPr>
      </w:pPr>
      <w:r w:rsidRPr="001D49D4">
        <w:rPr>
          <w:rFonts w:ascii="Calibri" w:eastAsia="Calibri" w:hAnsi="Calibri" w:cs="Arial"/>
          <w:u w:val="single"/>
          <w:rtl/>
        </w:rPr>
        <w:t>שטר שכתב עליו המלוה בכתב ידו 'שטר זה חציו לפלוני' ונפטר:</w:t>
      </w:r>
    </w:p>
    <w:p w14:paraId="03E132A6" w14:textId="77777777" w:rsidR="001D49D4" w:rsidRPr="001D49D4" w:rsidRDefault="001D49D4" w:rsidP="0004348D">
      <w:pPr>
        <w:numPr>
          <w:ilvl w:val="0"/>
          <w:numId w:val="329"/>
        </w:numPr>
        <w:spacing w:before="360" w:after="240"/>
        <w:contextualSpacing/>
        <w:rPr>
          <w:rFonts w:ascii="Calibri" w:eastAsia="Calibri" w:hAnsi="Calibri" w:cs="Arial"/>
          <w:rtl/>
        </w:rPr>
      </w:pPr>
      <w:r w:rsidRPr="001D49D4">
        <w:rPr>
          <w:rFonts w:ascii="Calibri" w:eastAsia="Calibri" w:hAnsi="Calibri" w:cs="Arial"/>
          <w:rtl/>
        </w:rPr>
        <w:t xml:space="preserve">רא"ש </w:t>
      </w:r>
      <w:r w:rsidRPr="001D49D4">
        <w:rPr>
          <w:rFonts w:ascii="Calibri" w:eastAsia="Calibri" w:hAnsi="Calibri" w:cs="Arial"/>
          <w:sz w:val="16"/>
          <w:szCs w:val="16"/>
          <w:rtl/>
        </w:rPr>
        <w:t>(כלל סח סי' טו)</w:t>
      </w:r>
      <w:r w:rsidRPr="001D49D4">
        <w:rPr>
          <w:rFonts w:ascii="Calibri" w:eastAsia="Calibri" w:hAnsi="Calibri" w:cs="Arial"/>
          <w:rtl/>
        </w:rPr>
        <w:t xml:space="preserve"> וטור- שאלת, ראובן נפטר ונמצא באחד משטרותיו מכתב ידו 'שטר זה חציו לפלוני'. אם יזכה בו פלוני באותו החצי. תשובה, אין לפלוני חלק בו. ולא דמי לשטר שנכתב עליו פרעון דמגרע השטר, דכשיוצא השטר בב"ד לגבות רואין עליו פרעון הילכך לא היה כותב אותו אם אינו אמת, אבל מ"ש עליו שיש לאחד חלק בו אינו מגרע כח השטר, הלכך אין בו ממש שאפילו אם היה אומר לו בפני עדים 'זה השטר חציו שלך' אם לא היה אומר אתם עדי יכול לומר שלא להשביע את עצמי עשיתי ואינו אמת, ולא עדיף מה שכתב מאילו הודה לו בפני עדים</w:t>
      </w:r>
      <w:r w:rsidRPr="001D49D4">
        <w:rPr>
          <w:rFonts w:ascii="Calibri" w:eastAsia="Calibri" w:hAnsi="Calibri" w:cs="Arial"/>
          <w:sz w:val="16"/>
          <w:szCs w:val="16"/>
          <w:rtl/>
        </w:rPr>
        <w:t xml:space="preserve"> (ל' הטור בשם הרא"ש)</w:t>
      </w:r>
      <w:r w:rsidRPr="001D49D4">
        <w:rPr>
          <w:rFonts w:ascii="Calibri" w:eastAsia="Calibri" w:hAnsi="Calibri" w:cs="Arial"/>
          <w:rtl/>
        </w:rPr>
        <w:t xml:space="preserve">. </w:t>
      </w:r>
      <w:r w:rsidRPr="001D49D4">
        <w:rPr>
          <w:rFonts w:ascii="Calibri" w:eastAsia="Calibri" w:hAnsi="Calibri" w:cs="Arial"/>
          <w:color w:val="E36C0A" w:themeColor="accent6" w:themeShade="BF"/>
          <w:rtl/>
        </w:rPr>
        <w:t>(וכ"פ בשו"ע</w:t>
      </w:r>
      <w:r w:rsidRPr="001D49D4">
        <w:rPr>
          <w:rFonts w:ascii="Calibri" w:eastAsia="Calibri" w:hAnsi="Calibri" w:cs="Arial"/>
          <w:color w:val="E36C0A" w:themeColor="accent6" w:themeShade="BF"/>
          <w:sz w:val="16"/>
          <w:szCs w:val="16"/>
          <w:rtl/>
        </w:rPr>
        <w:t xml:space="preserve"> </w:t>
      </w:r>
      <w:r w:rsidRPr="001D49D4">
        <w:rPr>
          <w:rFonts w:ascii="Calibri" w:eastAsia="Calibri" w:hAnsi="Calibri" w:cs="Arial"/>
          <w:color w:val="000000" w:themeColor="text1"/>
          <w:sz w:val="16"/>
          <w:szCs w:val="16"/>
          <w:rtl/>
        </w:rPr>
        <w:t>[כאן ובסע' הבא]</w:t>
      </w:r>
      <w:r w:rsidRPr="001D49D4">
        <w:rPr>
          <w:rFonts w:ascii="Calibri" w:eastAsia="Calibri" w:hAnsi="Calibri" w:cs="Arial"/>
          <w:color w:val="E36C0A" w:themeColor="accent6" w:themeShade="BF"/>
          <w:rtl/>
        </w:rPr>
        <w:t>)</w:t>
      </w:r>
    </w:p>
    <w:p w14:paraId="7160B144" w14:textId="77777777" w:rsidR="001D49D4" w:rsidRPr="001D49D4" w:rsidRDefault="001D49D4" w:rsidP="0004348D">
      <w:pPr>
        <w:spacing w:before="360" w:after="240"/>
        <w:rPr>
          <w:rFonts w:ascii="Arial" w:eastAsia="Calibri" w:hAnsi="Arial" w:cs="Arial"/>
          <w:b/>
          <w:bCs/>
          <w:color w:val="000000"/>
          <w:sz w:val="28"/>
          <w:szCs w:val="28"/>
          <w:u w:val="single"/>
          <w:rtl/>
        </w:rPr>
      </w:pPr>
      <w:r w:rsidRPr="001D49D4">
        <w:rPr>
          <w:rFonts w:ascii="Arial" w:eastAsia="Calibri" w:hAnsi="Arial" w:cs="Arial"/>
          <w:b/>
          <w:bCs/>
          <w:color w:val="000000"/>
          <w:sz w:val="28"/>
          <w:szCs w:val="28"/>
          <w:u w:val="single"/>
          <w:rtl/>
        </w:rPr>
        <w:t>שו"ע:</w:t>
      </w:r>
    </w:p>
    <w:p w14:paraId="257D68ED"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rtl/>
        </w:rPr>
        <w:t>ראובן נפטר ונמצא באחד משטרותיו מכתב ידו 'שטר זה פרוע' או ש-'נפרע כך וכך', עושים כמו שכתוב בשובר</w:t>
      </w:r>
      <w:r w:rsidRPr="001D49D4">
        <w:rPr>
          <w:rFonts w:ascii="Calibri" w:eastAsia="Calibri" w:hAnsi="Calibri" w:cs="Arial"/>
          <w:vertAlign w:val="superscript"/>
          <w:rtl/>
        </w:rPr>
        <w:footnoteReference w:id="4949"/>
      </w:r>
      <w:r w:rsidRPr="001D49D4">
        <w:rPr>
          <w:rFonts w:ascii="Calibri" w:eastAsia="Calibri" w:hAnsi="Calibri" w:cs="Arial"/>
          <w:rtl/>
        </w:rPr>
        <w:t xml:space="preserve">. </w:t>
      </w:r>
    </w:p>
    <w:p w14:paraId="572F233D" w14:textId="77777777" w:rsidR="001D49D4" w:rsidRPr="001D49D4" w:rsidRDefault="001D49D4" w:rsidP="0004348D">
      <w:pPr>
        <w:spacing w:before="360" w:after="240"/>
        <w:rPr>
          <w:rFonts w:ascii="Calibri" w:eastAsia="Calibri" w:hAnsi="Calibri" w:cs="Arial"/>
          <w:rtl/>
        </w:rPr>
      </w:pPr>
    </w:p>
    <w:p w14:paraId="4667BE84" w14:textId="77777777" w:rsidR="001D49D4" w:rsidRPr="001D49D4" w:rsidRDefault="001D49D4" w:rsidP="0004348D">
      <w:pPr>
        <w:keepNext/>
        <w:keepLines/>
        <w:spacing w:before="360" w:after="240"/>
        <w:outlineLvl w:val="1"/>
        <w:rPr>
          <w:rFonts w:ascii="Cambria" w:eastAsia="Times New Roman" w:hAnsi="Cambria" w:cs="Arial"/>
          <w:bCs/>
          <w:color w:val="548DD4" w:themeColor="text2" w:themeTint="99"/>
          <w:sz w:val="26"/>
          <w:szCs w:val="26"/>
          <w:rtl/>
        </w:rPr>
      </w:pPr>
      <w:bookmarkStart w:id="668" w:name="_Toc24884091"/>
      <w:r w:rsidRPr="001D49D4">
        <w:rPr>
          <w:rFonts w:ascii="Cambria" w:eastAsia="Times New Roman" w:hAnsi="Cambria" w:cs="Arial"/>
          <w:bCs/>
          <w:color w:val="548DD4" w:themeColor="text2" w:themeTint="99"/>
          <w:sz w:val="26"/>
          <w:szCs w:val="26"/>
          <w:rtl/>
        </w:rPr>
        <w:t>סעיף כב: שטר שכתב עליו המלוה בכתב ידו 'שטר זה חציו לפלוני' ונפטר.</w:t>
      </w:r>
      <w:bookmarkEnd w:id="668"/>
    </w:p>
    <w:p w14:paraId="1504A240"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rtl/>
        </w:rPr>
        <w:t>עיין במקור בסעיף הקודם.</w:t>
      </w:r>
    </w:p>
    <w:p w14:paraId="6DD131FC" w14:textId="77777777" w:rsidR="001D49D4" w:rsidRPr="001D49D4" w:rsidRDefault="001D49D4" w:rsidP="0004348D">
      <w:pPr>
        <w:spacing w:before="360" w:after="240"/>
        <w:rPr>
          <w:rFonts w:ascii="Arial" w:eastAsia="Calibri" w:hAnsi="Arial" w:cs="Arial"/>
          <w:b/>
          <w:bCs/>
          <w:color w:val="000000"/>
          <w:sz w:val="28"/>
          <w:szCs w:val="28"/>
          <w:u w:val="single"/>
          <w:rtl/>
        </w:rPr>
      </w:pPr>
      <w:r w:rsidRPr="001D49D4">
        <w:rPr>
          <w:rFonts w:ascii="Arial" w:eastAsia="Calibri" w:hAnsi="Arial" w:cs="Arial"/>
          <w:b/>
          <w:bCs/>
          <w:color w:val="000000"/>
          <w:sz w:val="28"/>
          <w:szCs w:val="28"/>
          <w:u w:val="single"/>
          <w:rtl/>
        </w:rPr>
        <w:t>שו"ע:</w:t>
      </w:r>
    </w:p>
    <w:p w14:paraId="0D778E5B"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rtl/>
        </w:rPr>
        <w:t>מי שמת ונמצא באחד משטרותיו מכתב ידו 'שטר זה חציו לפלוני', אין לאותו פלוני חלק בו</w:t>
      </w:r>
      <w:r w:rsidRPr="001D49D4">
        <w:rPr>
          <w:rFonts w:ascii="Calibri" w:eastAsia="Calibri" w:hAnsi="Calibri" w:cs="Arial"/>
          <w:vertAlign w:val="superscript"/>
          <w:rtl/>
        </w:rPr>
        <w:footnoteReference w:id="4950"/>
      </w:r>
      <w:r w:rsidRPr="001D49D4">
        <w:rPr>
          <w:rFonts w:ascii="Calibri" w:eastAsia="Calibri" w:hAnsi="Calibri" w:cs="Arial"/>
          <w:rtl/>
        </w:rPr>
        <w:t xml:space="preserve">. </w:t>
      </w:r>
    </w:p>
    <w:p w14:paraId="3E9CEBA3" w14:textId="77777777" w:rsidR="001D49D4" w:rsidRPr="001D49D4" w:rsidRDefault="001D49D4" w:rsidP="0004348D">
      <w:pPr>
        <w:spacing w:before="360" w:after="240"/>
        <w:rPr>
          <w:rFonts w:ascii="Calibri" w:eastAsia="Calibri" w:hAnsi="Calibri" w:cs="Arial"/>
          <w:rtl/>
        </w:rPr>
      </w:pPr>
    </w:p>
    <w:p w14:paraId="250896FF" w14:textId="77777777" w:rsidR="001D49D4" w:rsidRPr="001D49D4" w:rsidRDefault="001D49D4" w:rsidP="0004348D">
      <w:pPr>
        <w:keepNext/>
        <w:keepLines/>
        <w:spacing w:before="360" w:after="240"/>
        <w:outlineLvl w:val="1"/>
        <w:rPr>
          <w:rFonts w:ascii="Cambria" w:eastAsia="Times New Roman" w:hAnsi="Cambria" w:cs="Arial"/>
          <w:bCs/>
          <w:color w:val="548DD4" w:themeColor="text2" w:themeTint="99"/>
          <w:sz w:val="26"/>
          <w:szCs w:val="26"/>
          <w:rtl/>
        </w:rPr>
      </w:pPr>
      <w:bookmarkStart w:id="669" w:name="_Toc24884092"/>
      <w:r w:rsidRPr="001D49D4">
        <w:rPr>
          <w:rFonts w:ascii="Cambria" w:eastAsia="Times New Roman" w:hAnsi="Cambria" w:cs="Arial"/>
          <w:bCs/>
          <w:color w:val="548DD4" w:themeColor="text2" w:themeTint="99"/>
          <w:sz w:val="26"/>
          <w:szCs w:val="26"/>
          <w:rtl/>
        </w:rPr>
        <w:t>סעיף כג: האומר 'שטר בין שטרותי פרוע ואיני יודע איזהו'.</w:t>
      </w:r>
      <w:bookmarkEnd w:id="669"/>
    </w:p>
    <w:p w14:paraId="559572C0"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b/>
          <w:bCs/>
          <w:rtl/>
        </w:rPr>
        <w:t xml:space="preserve">בבא בתרא </w:t>
      </w:r>
      <w:r w:rsidRPr="001D49D4">
        <w:rPr>
          <w:rFonts w:ascii="Calibri" w:eastAsia="Calibri" w:hAnsi="Calibri" w:cs="Arial"/>
          <w:b/>
          <w:bCs/>
          <w:sz w:val="16"/>
          <w:szCs w:val="16"/>
          <w:rtl/>
        </w:rPr>
        <w:t>(פרק בתרא)</w:t>
      </w:r>
      <w:r w:rsidRPr="001D49D4">
        <w:rPr>
          <w:rFonts w:ascii="Calibri" w:eastAsia="Calibri" w:hAnsi="Calibri" w:cs="Arial"/>
          <w:b/>
          <w:bCs/>
          <w:rtl/>
        </w:rPr>
        <w:t xml:space="preserve"> קעג</w:t>
      </w:r>
      <w:r w:rsidRPr="001D49D4">
        <w:rPr>
          <w:rFonts w:ascii="Calibri" w:eastAsia="Calibri" w:hAnsi="Calibri" w:cs="Arial"/>
          <w:b/>
          <w:bCs/>
          <w:vertAlign w:val="superscript"/>
          <w:rtl/>
        </w:rPr>
        <w:footnoteReference w:id="4951"/>
      </w:r>
      <w:r w:rsidRPr="001D49D4">
        <w:rPr>
          <w:rFonts w:ascii="Calibri" w:eastAsia="Calibri" w:hAnsi="Calibri" w:cs="Arial"/>
          <w:b/>
          <w:bCs/>
          <w:rtl/>
        </w:rPr>
        <w:t xml:space="preserve"> ע"א:</w:t>
      </w:r>
      <w:r w:rsidRPr="001D49D4">
        <w:rPr>
          <w:rFonts w:ascii="Calibri" w:eastAsia="Calibri" w:hAnsi="Calibri" w:cs="Arial"/>
          <w:rtl/>
        </w:rPr>
        <w:t xml:space="preserve"> </w:t>
      </w:r>
      <w:r w:rsidRPr="001D49D4">
        <w:rPr>
          <w:rFonts w:ascii="Calibri" w:eastAsia="Calibri" w:hAnsi="Calibri" w:cs="Arial"/>
          <w:u w:val="double"/>
          <w:rtl/>
        </w:rPr>
        <w:t>מתני'</w:t>
      </w:r>
      <w:r w:rsidRPr="001D49D4">
        <w:rPr>
          <w:rFonts w:ascii="Calibri" w:eastAsia="Calibri" w:hAnsi="Calibri" w:cs="Arial"/>
          <w:rtl/>
        </w:rPr>
        <w:t>: האומר לבנו שטר בין שטרותי פרוע ואיני יודע אי זהו - שטרות כולן פרועין. נמצא לאחד שם שנים - הגדול פרוע, והקטן אינו פרוע.</w:t>
      </w:r>
    </w:p>
    <w:p w14:paraId="61601FD7" w14:textId="77777777" w:rsidR="001D49D4" w:rsidRPr="001D49D4" w:rsidRDefault="001D49D4" w:rsidP="0004348D">
      <w:pPr>
        <w:spacing w:before="360" w:after="240"/>
        <w:rPr>
          <w:rFonts w:ascii="Calibri" w:eastAsia="Calibri" w:hAnsi="Calibri" w:cs="Arial"/>
          <w:u w:val="single"/>
          <w:rtl/>
        </w:rPr>
      </w:pPr>
      <w:r w:rsidRPr="001D49D4">
        <w:rPr>
          <w:rFonts w:ascii="Calibri" w:eastAsia="Calibri" w:hAnsi="Calibri" w:cs="Arial"/>
          <w:u w:val="single"/>
          <w:rtl/>
        </w:rPr>
        <w:t>האומר שטר בין שטרותי פרוע ואיני יודע איזהו:</w:t>
      </w:r>
    </w:p>
    <w:p w14:paraId="3FB2711E" w14:textId="77777777" w:rsidR="001D49D4" w:rsidRPr="001D49D4" w:rsidRDefault="001D49D4" w:rsidP="0004348D">
      <w:pPr>
        <w:numPr>
          <w:ilvl w:val="0"/>
          <w:numId w:val="329"/>
        </w:numPr>
        <w:spacing w:before="360" w:after="240"/>
        <w:contextualSpacing/>
        <w:rPr>
          <w:rFonts w:ascii="Calibri" w:eastAsia="Calibri" w:hAnsi="Calibri" w:cs="Arial"/>
          <w:rtl/>
        </w:rPr>
      </w:pPr>
      <w:r w:rsidRPr="001D49D4">
        <w:rPr>
          <w:rFonts w:ascii="Calibri" w:eastAsia="Calibri" w:hAnsi="Calibri" w:cs="Arial"/>
          <w:rtl/>
        </w:rPr>
        <w:t>טור- האומר שטר בין שטרותי פרוע ואיני יודע איזהו - כל שטרותיו פרועין. נמצא לאחד שם שנים הגדול פרוע ולא הקטן.</w:t>
      </w:r>
      <w:r w:rsidRPr="001D49D4">
        <w:rPr>
          <w:rFonts w:ascii="Calibri" w:eastAsia="Calibri" w:hAnsi="Calibri" w:cs="Arial"/>
          <w:color w:val="E36C0A" w:themeColor="accent6" w:themeShade="BF"/>
          <w:rtl/>
        </w:rPr>
        <w:t xml:space="preserve"> (וכ"פ בשו"ע)</w:t>
      </w:r>
    </w:p>
    <w:p w14:paraId="3BAA68F6" w14:textId="77777777" w:rsidR="001D49D4" w:rsidRPr="001D49D4" w:rsidRDefault="001D49D4" w:rsidP="0004348D">
      <w:pPr>
        <w:spacing w:before="360" w:after="240"/>
        <w:rPr>
          <w:rFonts w:ascii="Calibri" w:eastAsia="Calibri" w:hAnsi="Calibri" w:cs="Arial"/>
          <w:u w:val="dotted"/>
        </w:rPr>
      </w:pPr>
      <w:r w:rsidRPr="001D49D4">
        <w:rPr>
          <w:rFonts w:ascii="Calibri" w:eastAsia="Calibri" w:hAnsi="Calibri" w:cs="Arial"/>
          <w:u w:val="dotted"/>
          <w:rtl/>
        </w:rPr>
        <w:t>ומה הדין אם לא אמר בפירוש 'איני יודע' אלא רק לא בירר להם איזהו:</w:t>
      </w:r>
    </w:p>
    <w:p w14:paraId="13896FC6" w14:textId="77777777" w:rsidR="001D49D4" w:rsidRPr="001D49D4" w:rsidRDefault="001D49D4" w:rsidP="0004348D">
      <w:pPr>
        <w:numPr>
          <w:ilvl w:val="0"/>
          <w:numId w:val="329"/>
        </w:numPr>
        <w:spacing w:before="360" w:after="240"/>
        <w:contextualSpacing/>
        <w:rPr>
          <w:rFonts w:ascii="Calibri" w:eastAsia="Calibri" w:hAnsi="Calibri" w:cs="Arial"/>
        </w:rPr>
      </w:pPr>
      <w:r w:rsidRPr="001D49D4">
        <w:rPr>
          <w:rFonts w:ascii="Calibri" w:eastAsia="Calibri" w:hAnsi="Calibri" w:cs="Arial"/>
          <w:rtl/>
        </w:rPr>
        <w:t xml:space="preserve">נמוק"י </w:t>
      </w:r>
      <w:r w:rsidRPr="001D49D4">
        <w:rPr>
          <w:rFonts w:ascii="Calibri" w:eastAsia="Calibri" w:hAnsi="Calibri" w:cs="Arial"/>
          <w:sz w:val="16"/>
          <w:szCs w:val="16"/>
          <w:rtl/>
        </w:rPr>
        <w:t>(פ: ד"ה מתני' המצוה)</w:t>
      </w:r>
      <w:r w:rsidRPr="001D49D4">
        <w:rPr>
          <w:rFonts w:ascii="Calibri" w:eastAsia="Calibri" w:hAnsi="Calibri" w:cs="Arial"/>
          <w:rtl/>
        </w:rPr>
        <w:t xml:space="preserve">- </w:t>
      </w:r>
      <w:r w:rsidRPr="001D49D4">
        <w:rPr>
          <w:rFonts w:ascii="Calibri" w:eastAsia="Calibri" w:hAnsi="Calibri" w:cs="Arial"/>
          <w:sz w:val="16"/>
          <w:szCs w:val="16"/>
          <w:rtl/>
        </w:rPr>
        <w:t xml:space="preserve">{הדין לעיל הוא} </w:t>
      </w:r>
      <w:r w:rsidRPr="001D49D4">
        <w:rPr>
          <w:rFonts w:ascii="Calibri" w:eastAsia="Calibri" w:hAnsi="Calibri" w:cs="Arial"/>
          <w:rtl/>
        </w:rPr>
        <w:t>לאו דוקא שאמר בפירוש איני יודע אלא כל שלא בירר להם איזהו - כן הדין. (וכ"פ הש"ך</w:t>
      </w:r>
      <w:r w:rsidRPr="001D49D4">
        <w:rPr>
          <w:rFonts w:ascii="Calibri" w:eastAsia="Calibri" w:hAnsi="Calibri" w:cs="Arial"/>
          <w:sz w:val="16"/>
          <w:szCs w:val="16"/>
          <w:rtl/>
        </w:rPr>
        <w:t xml:space="preserve"> [סקע"ה]</w:t>
      </w:r>
      <w:r w:rsidRPr="001D49D4">
        <w:rPr>
          <w:rFonts w:ascii="Calibri" w:eastAsia="Calibri" w:hAnsi="Calibri" w:cs="Arial"/>
          <w:rtl/>
        </w:rPr>
        <w:t>)</w:t>
      </w:r>
    </w:p>
    <w:p w14:paraId="1A91C092" w14:textId="77777777" w:rsidR="001D49D4" w:rsidRPr="001D49D4" w:rsidRDefault="001D49D4" w:rsidP="0004348D">
      <w:pPr>
        <w:spacing w:before="360" w:after="240"/>
        <w:rPr>
          <w:rFonts w:ascii="Calibri" w:eastAsia="Calibri" w:hAnsi="Calibri" w:cs="Arial"/>
          <w:u w:val="dotted"/>
        </w:rPr>
      </w:pPr>
      <w:r w:rsidRPr="001D49D4">
        <w:rPr>
          <w:rFonts w:ascii="Calibri" w:eastAsia="Calibri" w:hAnsi="Calibri" w:cs="Arial"/>
          <w:u w:val="dotted"/>
          <w:rtl/>
        </w:rPr>
        <w:t>ומה הדין אם נמצא בבית הלוה שובר על השטר הקטן:</w:t>
      </w:r>
    </w:p>
    <w:p w14:paraId="64955902" w14:textId="77777777" w:rsidR="001D49D4" w:rsidRPr="001D49D4" w:rsidRDefault="001D49D4" w:rsidP="0004348D">
      <w:pPr>
        <w:numPr>
          <w:ilvl w:val="0"/>
          <w:numId w:val="329"/>
        </w:numPr>
        <w:spacing w:before="360" w:after="240"/>
        <w:contextualSpacing/>
        <w:rPr>
          <w:rFonts w:ascii="Calibri" w:eastAsia="Calibri" w:hAnsi="Calibri" w:cs="Arial"/>
        </w:rPr>
      </w:pPr>
      <w:r w:rsidRPr="001D49D4">
        <w:rPr>
          <w:rFonts w:ascii="Calibri" w:eastAsia="Calibri" w:hAnsi="Calibri" w:cs="Arial"/>
          <w:rtl/>
        </w:rPr>
        <w:t xml:space="preserve">נמוק"י </w:t>
      </w:r>
      <w:r w:rsidRPr="001D49D4">
        <w:rPr>
          <w:rFonts w:ascii="Calibri" w:eastAsia="Calibri" w:hAnsi="Calibri" w:cs="Arial"/>
          <w:sz w:val="16"/>
          <w:szCs w:val="16"/>
          <w:rtl/>
        </w:rPr>
        <w:t>(שם)</w:t>
      </w:r>
      <w:r w:rsidRPr="001D49D4">
        <w:rPr>
          <w:rFonts w:ascii="Calibri" w:eastAsia="Calibri" w:hAnsi="Calibri" w:cs="Arial"/>
          <w:rtl/>
        </w:rPr>
        <w:t>- נראה שכל שנמצא שובר בעדים על אחד מהם ברשות אחד מהלווים - שגובים השאר, שהרי נתברר איזהו שהיה פרוע, ולשובר אמנה לא חיישינן.</w:t>
      </w:r>
      <w:r w:rsidRPr="001D49D4">
        <w:rPr>
          <w:rFonts w:ascii="Calibri" w:eastAsia="Calibri" w:hAnsi="Calibri" w:cs="Arial"/>
          <w:color w:val="00B0F0"/>
          <w:rtl/>
        </w:rPr>
        <w:t xml:space="preserve"> (וכ"פ הרמ"א)</w:t>
      </w:r>
    </w:p>
    <w:p w14:paraId="508495DD" w14:textId="77777777" w:rsidR="001D49D4" w:rsidRPr="001D49D4" w:rsidRDefault="001D49D4" w:rsidP="0004348D">
      <w:pPr>
        <w:spacing w:before="360" w:after="240"/>
        <w:rPr>
          <w:rFonts w:ascii="Calibri" w:eastAsia="Calibri" w:hAnsi="Calibri" w:cs="Arial"/>
          <w:u w:val="single"/>
        </w:rPr>
      </w:pPr>
      <w:r w:rsidRPr="001D49D4">
        <w:rPr>
          <w:rFonts w:ascii="Calibri" w:eastAsia="Calibri" w:hAnsi="Calibri" w:cs="Arial"/>
          <w:u w:val="single"/>
          <w:rtl/>
        </w:rPr>
        <w:t>מלוה שהוציא שטר חוב, וטענו עליו שהוא פרוע, ומלוה אומר איני יודע ואח"כ נזכר שאינו פרוע:</w:t>
      </w:r>
    </w:p>
    <w:p w14:paraId="09762DF5" w14:textId="77777777" w:rsidR="001D49D4" w:rsidRPr="001D49D4" w:rsidRDefault="001D49D4" w:rsidP="0004348D">
      <w:pPr>
        <w:numPr>
          <w:ilvl w:val="0"/>
          <w:numId w:val="329"/>
        </w:numPr>
        <w:spacing w:before="360" w:after="240"/>
        <w:contextualSpacing/>
        <w:rPr>
          <w:rFonts w:ascii="Calibri" w:eastAsia="Calibri" w:hAnsi="Calibri" w:cs="Arial"/>
          <w:rtl/>
        </w:rPr>
      </w:pPr>
      <w:r w:rsidRPr="001D49D4">
        <w:rPr>
          <w:rFonts w:ascii="Calibri" w:eastAsia="Calibri" w:hAnsi="Calibri" w:cs="Arial"/>
          <w:rtl/>
        </w:rPr>
        <w:t>ריטב"א</w:t>
      </w:r>
      <w:r w:rsidRPr="001D49D4">
        <w:rPr>
          <w:rFonts w:ascii="Calibri" w:eastAsia="Calibri" w:hAnsi="Calibri" w:cs="Arial"/>
          <w:sz w:val="16"/>
          <w:szCs w:val="16"/>
          <w:rtl/>
        </w:rPr>
        <w:t xml:space="preserve"> (קעג. ד"ה הא דתנן)</w:t>
      </w:r>
      <w:r w:rsidRPr="001D49D4">
        <w:rPr>
          <w:rFonts w:ascii="Calibri" w:eastAsia="Calibri" w:hAnsi="Calibri" w:cs="Arial"/>
          <w:rtl/>
        </w:rPr>
        <w:t xml:space="preserve"> ונמוק"י </w:t>
      </w:r>
      <w:r w:rsidRPr="001D49D4">
        <w:rPr>
          <w:rFonts w:ascii="Calibri" w:eastAsia="Calibri" w:hAnsi="Calibri" w:cs="Arial"/>
          <w:sz w:val="16"/>
          <w:szCs w:val="16"/>
          <w:rtl/>
        </w:rPr>
        <w:t>(פ: ד"ה מתני' המצוה)</w:t>
      </w:r>
      <w:r w:rsidRPr="001D49D4">
        <w:rPr>
          <w:rFonts w:ascii="Calibri" w:eastAsia="Calibri" w:hAnsi="Calibri" w:cs="Arial"/>
          <w:rtl/>
        </w:rPr>
        <w:t>- מצאתי לר' מאיר הנשיא הלוי ז"ל</w:t>
      </w:r>
      <w:r w:rsidRPr="001D49D4">
        <w:rPr>
          <w:rFonts w:ascii="Calibri" w:eastAsia="Calibri" w:hAnsi="Calibri" w:cs="Arial"/>
          <w:sz w:val="16"/>
          <w:szCs w:val="16"/>
          <w:rtl/>
        </w:rPr>
        <w:t xml:space="preserve"> {הרמ"ה}</w:t>
      </w:r>
      <w:r w:rsidRPr="001D49D4">
        <w:rPr>
          <w:rFonts w:ascii="Calibri" w:eastAsia="Calibri" w:hAnsi="Calibri" w:cs="Arial"/>
          <w:rtl/>
        </w:rPr>
        <w:t xml:space="preserve"> שכתב כי מלוה שהוציא שטר חוב וטענו עליו שהוא פרוע, ואמר 'איני יודע' - אינו גובה בו, אבל אם חזר ואמר 'עיינתי בחשבוני וזכורני בברי </w:t>
      </w:r>
      <w:r w:rsidRPr="001D49D4">
        <w:rPr>
          <w:rFonts w:ascii="Calibri" w:eastAsia="Calibri" w:hAnsi="Calibri" w:cs="Arial"/>
          <w:sz w:val="16"/>
          <w:szCs w:val="16"/>
          <w:rtl/>
        </w:rPr>
        <w:t>(נ"א: וידעתי בבירור)</w:t>
      </w:r>
      <w:r w:rsidRPr="001D49D4">
        <w:rPr>
          <w:rFonts w:ascii="Calibri" w:eastAsia="Calibri" w:hAnsi="Calibri" w:cs="Arial"/>
          <w:rtl/>
        </w:rPr>
        <w:t xml:space="preserve"> שאינו פרוע' - שחוזר וגובה בו, דמשום דאמר מעיקרא איני יודע לא איפסיל שטרא לגמרי אלא שלא היה ראוי לגבותו בספק</w:t>
      </w:r>
      <w:r w:rsidRPr="001D49D4">
        <w:rPr>
          <w:rFonts w:ascii="Calibri" w:eastAsia="Calibri" w:hAnsi="Calibri" w:cs="Arial"/>
          <w:vertAlign w:val="superscript"/>
          <w:rtl/>
        </w:rPr>
        <w:footnoteReference w:id="4952"/>
      </w:r>
      <w:r w:rsidRPr="001D49D4">
        <w:rPr>
          <w:rFonts w:ascii="Calibri" w:eastAsia="Calibri" w:hAnsi="Calibri" w:cs="Arial"/>
          <w:rtl/>
        </w:rPr>
        <w:t xml:space="preserve"> </w:t>
      </w:r>
      <w:r w:rsidRPr="001D49D4">
        <w:rPr>
          <w:rFonts w:ascii="Calibri" w:eastAsia="Calibri" w:hAnsi="Calibri" w:cs="Arial"/>
          <w:sz w:val="16"/>
          <w:szCs w:val="16"/>
          <w:rtl/>
        </w:rPr>
        <w:t>(ל' הריטב"א בשם הרמ"ה)</w:t>
      </w:r>
      <w:r w:rsidRPr="001D49D4">
        <w:rPr>
          <w:rFonts w:ascii="Calibri" w:eastAsia="Calibri" w:hAnsi="Calibri" w:cs="Arial"/>
          <w:rtl/>
        </w:rPr>
        <w:t xml:space="preserve">. </w:t>
      </w:r>
      <w:r w:rsidRPr="001D49D4">
        <w:rPr>
          <w:rFonts w:ascii="Calibri" w:eastAsia="Calibri" w:hAnsi="Calibri" w:cs="Arial"/>
          <w:color w:val="E36C0A" w:themeColor="accent6" w:themeShade="BF"/>
          <w:rtl/>
        </w:rPr>
        <w:t>(וכ"פ בשו"ע</w:t>
      </w:r>
      <w:r w:rsidRPr="001D49D4">
        <w:rPr>
          <w:rFonts w:ascii="Calibri" w:eastAsia="Calibri" w:hAnsi="Calibri" w:cs="Arial"/>
          <w:color w:val="E36C0A" w:themeColor="accent6" w:themeShade="BF"/>
          <w:sz w:val="16"/>
          <w:szCs w:val="16"/>
          <w:rtl/>
        </w:rPr>
        <w:t xml:space="preserve"> </w:t>
      </w:r>
      <w:r w:rsidRPr="001D49D4">
        <w:rPr>
          <w:rFonts w:ascii="Calibri" w:eastAsia="Calibri" w:hAnsi="Calibri" w:cs="Arial"/>
          <w:color w:val="000000" w:themeColor="text1"/>
          <w:sz w:val="16"/>
          <w:szCs w:val="16"/>
          <w:rtl/>
        </w:rPr>
        <w:t>[סי' נט]</w:t>
      </w:r>
      <w:r w:rsidRPr="001D49D4">
        <w:rPr>
          <w:rFonts w:ascii="Calibri" w:eastAsia="Calibri" w:hAnsi="Calibri" w:cs="Arial"/>
          <w:color w:val="E36C0A" w:themeColor="accent6" w:themeShade="BF"/>
          <w:rtl/>
        </w:rPr>
        <w:t>)</w:t>
      </w:r>
      <w:r w:rsidRPr="001D49D4">
        <w:rPr>
          <w:rFonts w:ascii="Calibri" w:eastAsia="Calibri" w:hAnsi="Calibri" w:cs="Arial"/>
          <w:rtl/>
        </w:rPr>
        <w:t xml:space="preserve"> (וכ"פ הש"ך</w:t>
      </w:r>
      <w:r w:rsidRPr="001D49D4">
        <w:rPr>
          <w:rFonts w:ascii="Calibri" w:eastAsia="Calibri" w:hAnsi="Calibri" w:cs="Arial"/>
          <w:sz w:val="16"/>
          <w:szCs w:val="16"/>
          <w:rtl/>
        </w:rPr>
        <w:t xml:space="preserve"> [סקע"ו]</w:t>
      </w:r>
      <w:r w:rsidRPr="001D49D4">
        <w:rPr>
          <w:rFonts w:ascii="Calibri" w:eastAsia="Calibri" w:hAnsi="Calibri" w:cs="Arial"/>
          <w:rtl/>
        </w:rPr>
        <w:t>)</w:t>
      </w:r>
    </w:p>
    <w:p w14:paraId="15CDCE59" w14:textId="77777777" w:rsidR="001D49D4" w:rsidRPr="001D49D4" w:rsidRDefault="001D49D4" w:rsidP="0004348D">
      <w:pPr>
        <w:spacing w:before="360" w:after="240"/>
        <w:rPr>
          <w:rFonts w:ascii="Calibri" w:eastAsia="Calibri" w:hAnsi="Calibri" w:cs="Arial"/>
          <w:u w:val="single"/>
        </w:rPr>
      </w:pPr>
      <w:r w:rsidRPr="001D49D4">
        <w:rPr>
          <w:rFonts w:ascii="Calibri" w:eastAsia="Calibri" w:hAnsi="Calibri" w:cs="Arial"/>
          <w:u w:val="single"/>
          <w:rtl/>
        </w:rPr>
        <w:t>האומר 'מאתים דינרים ליוסף' ויש שני יוסף, אחד שונא ואחד אוהב:</w:t>
      </w:r>
    </w:p>
    <w:p w14:paraId="1371E49B" w14:textId="77777777" w:rsidR="001D49D4" w:rsidRPr="001D49D4" w:rsidRDefault="001D49D4" w:rsidP="0004348D">
      <w:pPr>
        <w:numPr>
          <w:ilvl w:val="0"/>
          <w:numId w:val="329"/>
        </w:numPr>
        <w:spacing w:before="360" w:after="240"/>
        <w:contextualSpacing/>
        <w:rPr>
          <w:rFonts w:ascii="Calibri" w:eastAsia="Calibri" w:hAnsi="Calibri" w:cs="Arial"/>
          <w:rtl/>
        </w:rPr>
      </w:pPr>
      <w:r w:rsidRPr="001D49D4">
        <w:rPr>
          <w:rFonts w:ascii="Calibri" w:eastAsia="Calibri" w:hAnsi="Calibri" w:cs="Arial"/>
          <w:rtl/>
        </w:rPr>
        <w:t xml:space="preserve">נמוק"י </w:t>
      </w:r>
      <w:r w:rsidRPr="001D49D4">
        <w:rPr>
          <w:rFonts w:ascii="Calibri" w:eastAsia="Calibri" w:hAnsi="Calibri" w:cs="Arial"/>
          <w:sz w:val="16"/>
          <w:szCs w:val="16"/>
          <w:rtl/>
        </w:rPr>
        <w:t>(שם)</w:t>
      </w:r>
      <w:r w:rsidRPr="001D49D4">
        <w:rPr>
          <w:rFonts w:ascii="Calibri" w:eastAsia="Calibri" w:hAnsi="Calibri" w:cs="Arial"/>
          <w:rtl/>
        </w:rPr>
        <w:t xml:space="preserve"> בשם הריטב"א </w:t>
      </w:r>
      <w:r w:rsidRPr="001D49D4">
        <w:rPr>
          <w:rFonts w:ascii="Calibri" w:eastAsia="Calibri" w:hAnsi="Calibri" w:cs="Arial"/>
          <w:sz w:val="16"/>
          <w:szCs w:val="16"/>
          <w:rtl/>
        </w:rPr>
        <w:t>(שם ד"ה גרסינן)</w:t>
      </w:r>
      <w:r w:rsidRPr="001D49D4">
        <w:rPr>
          <w:rFonts w:ascii="Calibri" w:eastAsia="Calibri" w:hAnsi="Calibri" w:cs="Arial"/>
          <w:rtl/>
        </w:rPr>
        <w:t xml:space="preserve">- גרסינן בתוספתא </w:t>
      </w:r>
      <w:r w:rsidRPr="001D49D4">
        <w:rPr>
          <w:rFonts w:ascii="Calibri" w:eastAsia="Calibri" w:hAnsi="Calibri" w:cs="Arial"/>
          <w:sz w:val="16"/>
          <w:szCs w:val="16"/>
          <w:rtl/>
        </w:rPr>
        <w:t>(ב"ב פי"א ה"ז)</w:t>
      </w:r>
      <w:r w:rsidRPr="001D49D4">
        <w:rPr>
          <w:rFonts w:ascii="Calibri" w:eastAsia="Calibri" w:hAnsi="Calibri" w:cs="Arial"/>
          <w:rtl/>
        </w:rPr>
        <w:t xml:space="preserve"> 'האומר מאתים דינרים ליוסף אין אומרים לזה היה אוהב אלא שניהם חולקים', נראה לי דבנותן מתנה איירי אבל במודה שהוא חייב - אין לאחד מהם כלום עד שיביא ראיה, ויכולים היורשים לדחות לכל אחד.</w:t>
      </w:r>
    </w:p>
    <w:p w14:paraId="135BD199" w14:textId="77777777" w:rsidR="001D49D4" w:rsidRPr="001D49D4" w:rsidRDefault="001D49D4" w:rsidP="0004348D">
      <w:pPr>
        <w:spacing w:before="360" w:after="240"/>
        <w:rPr>
          <w:rFonts w:ascii="Arial" w:eastAsia="Calibri" w:hAnsi="Arial" w:cs="Arial"/>
          <w:b/>
          <w:bCs/>
          <w:color w:val="000000"/>
          <w:sz w:val="28"/>
          <w:szCs w:val="28"/>
          <w:u w:val="single"/>
          <w:rtl/>
        </w:rPr>
      </w:pPr>
      <w:r w:rsidRPr="001D49D4">
        <w:rPr>
          <w:rFonts w:ascii="Arial" w:eastAsia="Calibri" w:hAnsi="Arial" w:cs="Arial"/>
          <w:b/>
          <w:bCs/>
          <w:color w:val="000000"/>
          <w:sz w:val="28"/>
          <w:szCs w:val="28"/>
          <w:u w:val="single"/>
          <w:rtl/>
        </w:rPr>
        <w:t>שו"ע:</w:t>
      </w:r>
    </w:p>
    <w:p w14:paraId="44849267"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rtl/>
        </w:rPr>
        <w:t>האומר 'שטר בין שטרותי פרוע ואיני יודע איזהו', כל שטרותיו פרועים</w:t>
      </w:r>
      <w:r w:rsidRPr="001D49D4">
        <w:rPr>
          <w:rFonts w:ascii="Calibri" w:eastAsia="Calibri" w:hAnsi="Calibri" w:cs="Arial"/>
          <w:vertAlign w:val="superscript"/>
          <w:rtl/>
        </w:rPr>
        <w:footnoteReference w:id="4953"/>
      </w:r>
      <w:r w:rsidRPr="001D49D4">
        <w:rPr>
          <w:rFonts w:ascii="Calibri" w:eastAsia="Calibri" w:hAnsi="Calibri" w:cs="Arial"/>
          <w:rtl/>
        </w:rPr>
        <w:t>. נמצא לאחד שם שנים, הגדול פרוע ולא הקטן</w:t>
      </w:r>
      <w:r w:rsidRPr="001D49D4">
        <w:rPr>
          <w:rFonts w:ascii="Calibri" w:eastAsia="Calibri" w:hAnsi="Calibri" w:cs="Arial"/>
          <w:sz w:val="18"/>
          <w:szCs w:val="18"/>
          <w:rtl/>
        </w:rPr>
        <w:t>. הגה: אבל אם נמצא שובר בבית לוה על הקטן, ודאי הקטן פרוע ולא הגדול</w:t>
      </w:r>
      <w:r w:rsidRPr="001D49D4">
        <w:rPr>
          <w:rFonts w:ascii="Calibri" w:eastAsia="Calibri" w:hAnsi="Calibri" w:cs="Arial"/>
          <w:sz w:val="18"/>
          <w:szCs w:val="18"/>
          <w:vertAlign w:val="superscript"/>
          <w:rtl/>
        </w:rPr>
        <w:footnoteReference w:id="4954"/>
      </w:r>
      <w:r w:rsidRPr="001D49D4">
        <w:rPr>
          <w:rFonts w:ascii="Calibri" w:eastAsia="Calibri" w:hAnsi="Calibri" w:cs="Arial"/>
          <w:sz w:val="18"/>
          <w:szCs w:val="18"/>
          <w:rtl/>
        </w:rPr>
        <w:t xml:space="preserve"> (נמוק"י). וכן אם לא אמר 'אחד פרוע', אלא אומר 'שטר אחד מחול לך', הקטן מחול ולא הגדול</w:t>
      </w:r>
      <w:r w:rsidRPr="001D49D4">
        <w:rPr>
          <w:rFonts w:ascii="Calibri" w:eastAsia="Calibri" w:hAnsi="Calibri" w:cs="Arial"/>
          <w:sz w:val="18"/>
          <w:szCs w:val="18"/>
          <w:vertAlign w:val="superscript"/>
          <w:rtl/>
        </w:rPr>
        <w:footnoteReference w:id="4955"/>
      </w:r>
      <w:r w:rsidRPr="001D49D4">
        <w:rPr>
          <w:rFonts w:ascii="Calibri" w:eastAsia="Calibri" w:hAnsi="Calibri" w:cs="Arial"/>
          <w:sz w:val="18"/>
          <w:szCs w:val="18"/>
          <w:rtl/>
        </w:rPr>
        <w:t xml:space="preserve"> (מהרד"ך ב"כ סי' ו).</w:t>
      </w:r>
      <w:r w:rsidRPr="001D49D4">
        <w:rPr>
          <w:rFonts w:ascii="Calibri" w:eastAsia="Calibri" w:hAnsi="Calibri" w:cs="Arial"/>
          <w:rtl/>
        </w:rPr>
        <w:t xml:space="preserve"> </w:t>
      </w:r>
    </w:p>
    <w:p w14:paraId="2CF15F9F" w14:textId="77777777" w:rsidR="001D49D4" w:rsidRPr="001D49D4" w:rsidRDefault="001D49D4" w:rsidP="0004348D">
      <w:pPr>
        <w:spacing w:before="360" w:after="240"/>
        <w:rPr>
          <w:rFonts w:ascii="Calibri" w:eastAsia="Calibri" w:hAnsi="Calibri" w:cs="Arial"/>
          <w:rtl/>
        </w:rPr>
      </w:pPr>
    </w:p>
    <w:p w14:paraId="42EE274F" w14:textId="77777777" w:rsidR="001D49D4" w:rsidRPr="001D49D4" w:rsidRDefault="001D49D4" w:rsidP="0004348D">
      <w:pPr>
        <w:keepNext/>
        <w:keepLines/>
        <w:spacing w:before="360" w:after="240"/>
        <w:outlineLvl w:val="1"/>
        <w:rPr>
          <w:rFonts w:ascii="Cambria" w:eastAsia="Times New Roman" w:hAnsi="Cambria" w:cs="Arial"/>
          <w:bCs/>
          <w:color w:val="548DD4" w:themeColor="text2" w:themeTint="99"/>
          <w:sz w:val="26"/>
          <w:szCs w:val="26"/>
          <w:rtl/>
        </w:rPr>
      </w:pPr>
      <w:bookmarkStart w:id="670" w:name="_Toc24884093"/>
      <w:r w:rsidRPr="001D49D4">
        <w:rPr>
          <w:rFonts w:ascii="Cambria" w:eastAsia="Times New Roman" w:hAnsi="Cambria" w:cs="Arial"/>
          <w:bCs/>
          <w:color w:val="548DD4" w:themeColor="text2" w:themeTint="99"/>
          <w:sz w:val="26"/>
          <w:szCs w:val="26"/>
          <w:rtl/>
        </w:rPr>
        <w:t>סעיף כד: האומר לחבירו 'שטר/חוב לך בידי פרוע'.</w:t>
      </w:r>
      <w:bookmarkEnd w:id="670"/>
    </w:p>
    <w:p w14:paraId="4566E5A7"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b/>
          <w:bCs/>
          <w:rtl/>
        </w:rPr>
        <w:t xml:space="preserve">בבא מציעא </w:t>
      </w:r>
      <w:r w:rsidRPr="001D49D4">
        <w:rPr>
          <w:rFonts w:ascii="Calibri" w:eastAsia="Calibri" w:hAnsi="Calibri" w:cs="Arial"/>
          <w:b/>
          <w:bCs/>
          <w:sz w:val="16"/>
          <w:szCs w:val="16"/>
          <w:rtl/>
        </w:rPr>
        <w:t>(פרק בתרא)</w:t>
      </w:r>
      <w:r w:rsidRPr="001D49D4">
        <w:rPr>
          <w:rFonts w:ascii="Calibri" w:eastAsia="Calibri" w:hAnsi="Calibri" w:cs="Arial"/>
          <w:b/>
          <w:bCs/>
          <w:rtl/>
        </w:rPr>
        <w:t xml:space="preserve"> קעג</w:t>
      </w:r>
      <w:r w:rsidRPr="001D49D4">
        <w:rPr>
          <w:rFonts w:ascii="Calibri" w:eastAsia="Calibri" w:hAnsi="Calibri" w:cs="Arial"/>
          <w:b/>
          <w:bCs/>
          <w:vertAlign w:val="superscript"/>
          <w:rtl/>
        </w:rPr>
        <w:footnoteReference w:id="4956"/>
      </w:r>
      <w:r w:rsidRPr="001D49D4">
        <w:rPr>
          <w:rFonts w:ascii="Calibri" w:eastAsia="Calibri" w:hAnsi="Calibri" w:cs="Arial"/>
          <w:b/>
          <w:bCs/>
          <w:rtl/>
        </w:rPr>
        <w:t xml:space="preserve"> ע"א:</w:t>
      </w:r>
      <w:r w:rsidRPr="001D49D4">
        <w:rPr>
          <w:rFonts w:ascii="Calibri" w:eastAsia="Calibri" w:hAnsi="Calibri" w:cs="Arial"/>
          <w:rtl/>
        </w:rPr>
        <w:t xml:space="preserve"> </w:t>
      </w:r>
      <w:r w:rsidRPr="001D49D4">
        <w:rPr>
          <w:rFonts w:ascii="Calibri" w:eastAsia="Calibri" w:hAnsi="Calibri" w:cs="Arial"/>
          <w:u w:val="single"/>
          <w:rtl/>
        </w:rPr>
        <w:t>אמר רבא</w:t>
      </w:r>
      <w:r w:rsidRPr="001D49D4">
        <w:rPr>
          <w:rFonts w:ascii="Calibri" w:eastAsia="Calibri" w:hAnsi="Calibri" w:cs="Arial"/>
          <w:rtl/>
        </w:rPr>
        <w:t xml:space="preserve">: שטר לך בידי פרוע - הגדול פרוע, והקטן אינו פרוע. חוב לך בידי פרוע - שטרות כולן פרועין. </w:t>
      </w:r>
      <w:r w:rsidRPr="001D49D4">
        <w:rPr>
          <w:rFonts w:ascii="Calibri" w:eastAsia="Calibri" w:hAnsi="Calibri" w:cs="Arial"/>
          <w:u w:val="single"/>
          <w:rtl/>
        </w:rPr>
        <w:t>אמר ליה רבינא לרבא</w:t>
      </w:r>
      <w:r w:rsidRPr="001D49D4">
        <w:rPr>
          <w:rFonts w:ascii="Calibri" w:eastAsia="Calibri" w:hAnsi="Calibri" w:cs="Arial"/>
          <w:rtl/>
        </w:rPr>
        <w:t>: אלא מעתה, שדי מכורה לך - שדה גדולה מכורה לו, שדה שיש לי מכורה לך - כל שדותיו מכורין לו! התם יד בעל השטר על התחתונה.</w:t>
      </w:r>
    </w:p>
    <w:p w14:paraId="17851D59" w14:textId="77777777" w:rsidR="001D49D4" w:rsidRPr="001D49D4" w:rsidRDefault="001D49D4" w:rsidP="0004348D">
      <w:pPr>
        <w:spacing w:before="360" w:after="240"/>
        <w:rPr>
          <w:rFonts w:ascii="Calibri" w:eastAsia="Calibri" w:hAnsi="Calibri" w:cs="Arial"/>
          <w:u w:val="single"/>
          <w:rtl/>
        </w:rPr>
      </w:pPr>
      <w:r w:rsidRPr="001D49D4">
        <w:rPr>
          <w:rFonts w:ascii="Calibri" w:eastAsia="Calibri" w:hAnsi="Calibri" w:cs="Arial"/>
          <w:u w:val="single"/>
          <w:rtl/>
        </w:rPr>
        <w:t>האומר לחבירו 'שטר/חוב לך בידי פרוע':</w:t>
      </w:r>
    </w:p>
    <w:p w14:paraId="68C3A576" w14:textId="77777777" w:rsidR="001D49D4" w:rsidRPr="001D49D4" w:rsidRDefault="001D49D4" w:rsidP="0004348D">
      <w:pPr>
        <w:numPr>
          <w:ilvl w:val="0"/>
          <w:numId w:val="329"/>
        </w:numPr>
        <w:spacing w:before="360" w:after="240"/>
        <w:contextualSpacing/>
        <w:rPr>
          <w:rFonts w:ascii="Calibri" w:eastAsia="Calibri" w:hAnsi="Calibri" w:cs="Arial"/>
          <w:rtl/>
        </w:rPr>
      </w:pPr>
      <w:r w:rsidRPr="001D49D4">
        <w:rPr>
          <w:rFonts w:ascii="Calibri" w:eastAsia="Calibri" w:hAnsi="Calibri" w:cs="Arial"/>
          <w:rtl/>
        </w:rPr>
        <w:t>טור- האומר לחבירו 'שטר לך בידי שהוא פרוע' - הגדול פרוע והקטן אינו פרוע. 'חוב לך בידי פרוע' - כל שטרותיו שיש לו עליו פרועין.</w:t>
      </w:r>
      <w:r w:rsidRPr="001D49D4">
        <w:rPr>
          <w:rFonts w:ascii="Calibri" w:eastAsia="Calibri" w:hAnsi="Calibri" w:cs="Arial"/>
          <w:color w:val="E36C0A" w:themeColor="accent6" w:themeShade="BF"/>
          <w:rtl/>
        </w:rPr>
        <w:t xml:space="preserve"> (וכ"פ בשו"ע)</w:t>
      </w:r>
    </w:p>
    <w:p w14:paraId="34AFA0AC" w14:textId="77777777" w:rsidR="001D49D4" w:rsidRPr="001D49D4" w:rsidRDefault="001D49D4" w:rsidP="0004348D">
      <w:pPr>
        <w:spacing w:before="360" w:after="240"/>
        <w:rPr>
          <w:rFonts w:ascii="Calibri" w:eastAsia="Calibri" w:hAnsi="Calibri" w:cs="Arial"/>
          <w:u w:val="single"/>
        </w:rPr>
      </w:pPr>
      <w:r w:rsidRPr="001D49D4">
        <w:rPr>
          <w:rFonts w:ascii="Calibri" w:eastAsia="Calibri" w:hAnsi="Calibri" w:cs="Arial"/>
          <w:u w:val="single"/>
          <w:rtl/>
        </w:rPr>
        <w:t>האומר לחבירו 'שטר לך בידי מחול':</w:t>
      </w:r>
    </w:p>
    <w:p w14:paraId="50B3A32D" w14:textId="77777777" w:rsidR="001D49D4" w:rsidRPr="001D49D4" w:rsidRDefault="001D49D4" w:rsidP="0004348D">
      <w:pPr>
        <w:numPr>
          <w:ilvl w:val="0"/>
          <w:numId w:val="329"/>
        </w:numPr>
        <w:spacing w:before="360" w:after="240"/>
        <w:contextualSpacing/>
        <w:rPr>
          <w:rFonts w:ascii="Calibri" w:eastAsia="Calibri" w:hAnsi="Calibri" w:cs="Arial"/>
        </w:rPr>
      </w:pPr>
      <w:r w:rsidRPr="001D49D4">
        <w:rPr>
          <w:rFonts w:ascii="Calibri" w:eastAsia="Calibri" w:hAnsi="Calibri" w:cs="Arial"/>
          <w:rtl/>
        </w:rPr>
        <w:t xml:space="preserve">רד"ך </w:t>
      </w:r>
      <w:r w:rsidRPr="001D49D4">
        <w:rPr>
          <w:rFonts w:ascii="Calibri" w:eastAsia="Calibri" w:hAnsi="Calibri" w:cs="Arial"/>
          <w:sz w:val="16"/>
          <w:szCs w:val="16"/>
          <w:rtl/>
        </w:rPr>
        <w:t xml:space="preserve">(בית ב סי' ו חדר ז) </w:t>
      </w:r>
      <w:r w:rsidRPr="001D49D4">
        <w:rPr>
          <w:rFonts w:ascii="Calibri" w:eastAsia="Calibri" w:hAnsi="Calibri" w:cs="Arial"/>
          <w:rtl/>
        </w:rPr>
        <w:t xml:space="preserve">בשם הרשב"א </w:t>
      </w:r>
      <w:r w:rsidRPr="001D49D4">
        <w:rPr>
          <w:rFonts w:ascii="Calibri" w:eastAsia="Calibri" w:hAnsi="Calibri" w:cs="Arial"/>
          <w:sz w:val="16"/>
          <w:szCs w:val="16"/>
          <w:rtl/>
        </w:rPr>
        <w:t>(ח"ו סי' ה)</w:t>
      </w:r>
      <w:r w:rsidRPr="001D49D4">
        <w:rPr>
          <w:rFonts w:ascii="Calibri" w:eastAsia="Calibri" w:hAnsi="Calibri" w:cs="Arial"/>
          <w:rtl/>
        </w:rPr>
        <w:t xml:space="preserve">- טעמא </w:t>
      </w:r>
      <w:r w:rsidRPr="001D49D4">
        <w:rPr>
          <w:rFonts w:ascii="Calibri" w:eastAsia="Calibri" w:hAnsi="Calibri" w:cs="Arial"/>
          <w:sz w:val="16"/>
          <w:szCs w:val="16"/>
          <w:rtl/>
        </w:rPr>
        <w:t xml:space="preserve">{דהאומר לחבירו 'שטר לך בידי פרוע' - הגדול פרוע} </w:t>
      </w:r>
      <w:r w:rsidRPr="001D49D4">
        <w:rPr>
          <w:rFonts w:ascii="Calibri" w:eastAsia="Calibri" w:hAnsi="Calibri" w:cs="Arial"/>
          <w:rtl/>
        </w:rPr>
        <w:t xml:space="preserve">משום דהואיל והמלוה מודה לו שפרע שטר אחד - ידו על התחתונה, אבל באומר 'שטר לך בידי מחול שמחלתיו לך' אין לומר כן, אלא הקטן מחול ויד הלוה על התחתונה, שהקונה או המקבל מתנה ידו על התחתונה, שהוא המוציא או המקבל, שכל כך הוא האומר 'שטרי מחול לך' או 'מכור לך' הואיל והוא מוחזק בשטרו כאומר 'שדי מכורה לך' דאמרינן התם </w:t>
      </w:r>
      <w:r w:rsidRPr="001D49D4">
        <w:rPr>
          <w:rFonts w:ascii="Calibri" w:eastAsia="Calibri" w:hAnsi="Calibri" w:cs="Arial"/>
          <w:sz w:val="16"/>
          <w:szCs w:val="16"/>
          <w:rtl/>
        </w:rPr>
        <w:t xml:space="preserve">(שם) </w:t>
      </w:r>
      <w:r w:rsidRPr="001D49D4">
        <w:rPr>
          <w:rFonts w:ascii="Calibri" w:eastAsia="Calibri" w:hAnsi="Calibri" w:cs="Arial"/>
          <w:rtl/>
        </w:rPr>
        <w:t xml:space="preserve">שהקטנה מכורה שיד הקונה על התחתונה. </w:t>
      </w:r>
      <w:r w:rsidRPr="001D49D4">
        <w:rPr>
          <w:rFonts w:ascii="Calibri" w:eastAsia="Calibri" w:hAnsi="Calibri" w:cs="Arial"/>
          <w:color w:val="00B0F0"/>
          <w:rtl/>
        </w:rPr>
        <w:t>(וכ"פ הרמ"א</w:t>
      </w:r>
      <w:r w:rsidRPr="001D49D4">
        <w:rPr>
          <w:rFonts w:ascii="Calibri" w:eastAsia="Calibri" w:hAnsi="Calibri" w:cs="Arial"/>
          <w:color w:val="00B0F0"/>
          <w:sz w:val="16"/>
          <w:szCs w:val="16"/>
          <w:rtl/>
        </w:rPr>
        <w:t xml:space="preserve"> </w:t>
      </w:r>
      <w:r w:rsidRPr="001D49D4">
        <w:rPr>
          <w:rFonts w:ascii="Calibri" w:eastAsia="Calibri" w:hAnsi="Calibri" w:cs="Arial"/>
          <w:color w:val="000000" w:themeColor="text1"/>
          <w:sz w:val="16"/>
          <w:szCs w:val="16"/>
          <w:rtl/>
        </w:rPr>
        <w:t>[בסע' הקודם]</w:t>
      </w:r>
      <w:r w:rsidRPr="001D49D4">
        <w:rPr>
          <w:rFonts w:ascii="Calibri" w:eastAsia="Calibri" w:hAnsi="Calibri" w:cs="Arial"/>
          <w:color w:val="00B0F0"/>
          <w:rtl/>
        </w:rPr>
        <w:t>)</w:t>
      </w:r>
    </w:p>
    <w:p w14:paraId="1687D423" w14:textId="77777777" w:rsidR="001D49D4" w:rsidRPr="001D49D4" w:rsidRDefault="001D49D4" w:rsidP="0004348D">
      <w:pPr>
        <w:spacing w:before="360" w:after="240"/>
        <w:rPr>
          <w:rFonts w:ascii="Arial" w:eastAsia="Calibri" w:hAnsi="Arial" w:cs="Arial"/>
          <w:b/>
          <w:bCs/>
          <w:color w:val="000000"/>
          <w:sz w:val="28"/>
          <w:szCs w:val="28"/>
          <w:u w:val="single"/>
          <w:rtl/>
        </w:rPr>
      </w:pPr>
      <w:r w:rsidRPr="001D49D4">
        <w:rPr>
          <w:rFonts w:ascii="Arial" w:eastAsia="Calibri" w:hAnsi="Arial" w:cs="Arial"/>
          <w:b/>
          <w:bCs/>
          <w:color w:val="000000"/>
          <w:sz w:val="28"/>
          <w:szCs w:val="28"/>
          <w:u w:val="single"/>
          <w:rtl/>
        </w:rPr>
        <w:t>שו"ע:</w:t>
      </w:r>
    </w:p>
    <w:p w14:paraId="73E1ED92"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rtl/>
        </w:rPr>
        <w:t>האומר לחבירו 'שטר לך בידי שהוא פרוע', הגדול פרוע והקטן אינו פרוע. 'חוב לך בידי פרוע', כל שטרות שיש לו עליו פרועים</w:t>
      </w:r>
      <w:r w:rsidRPr="001D49D4">
        <w:rPr>
          <w:rFonts w:ascii="Calibri" w:eastAsia="Calibri" w:hAnsi="Calibri" w:cs="Arial"/>
          <w:vertAlign w:val="superscript"/>
          <w:rtl/>
        </w:rPr>
        <w:footnoteReference w:id="4957"/>
      </w:r>
      <w:r w:rsidRPr="001D49D4">
        <w:rPr>
          <w:rFonts w:ascii="Calibri" w:eastAsia="Calibri" w:hAnsi="Calibri" w:cs="Arial"/>
          <w:rtl/>
        </w:rPr>
        <w:t>.</w:t>
      </w:r>
    </w:p>
    <w:p w14:paraId="3D63F658" w14:textId="77777777" w:rsidR="001D49D4" w:rsidRPr="001D49D4" w:rsidRDefault="001D49D4" w:rsidP="0004348D">
      <w:pPr>
        <w:spacing w:before="360" w:after="240"/>
        <w:rPr>
          <w:rFonts w:ascii="Calibri" w:eastAsia="Calibri" w:hAnsi="Calibri" w:cs="Arial"/>
          <w:rtl/>
        </w:rPr>
      </w:pPr>
    </w:p>
    <w:p w14:paraId="3EEE74FF" w14:textId="77777777" w:rsidR="001D49D4" w:rsidRPr="001D49D4" w:rsidRDefault="001D49D4" w:rsidP="0004348D">
      <w:pPr>
        <w:spacing w:before="360" w:after="240"/>
        <w:rPr>
          <w:rFonts w:ascii="Calibri" w:eastAsia="Calibri" w:hAnsi="Calibri" w:cs="Arial"/>
          <w:rtl/>
        </w:rPr>
      </w:pPr>
    </w:p>
    <w:p w14:paraId="5D0B2B1C" w14:textId="77777777" w:rsidR="001D49D4" w:rsidRPr="001D49D4" w:rsidRDefault="001D49D4" w:rsidP="0004348D">
      <w:pPr>
        <w:bidi w:val="0"/>
        <w:spacing w:before="360" w:after="240"/>
        <w:rPr>
          <w:rFonts w:ascii="Cambria" w:eastAsia="Times New Roman" w:hAnsi="Cambria" w:cs="Arial"/>
          <w:b/>
          <w:bCs/>
          <w:color w:val="365F91" w:themeColor="accent1" w:themeShade="BF"/>
          <w:sz w:val="28"/>
          <w:szCs w:val="28"/>
          <w:rtl/>
        </w:rPr>
        <w:sectPr w:rsidR="001D49D4" w:rsidRPr="001D49D4">
          <w:headerReference w:type="default" r:id="rId74"/>
          <w:footnotePr>
            <w:numRestart w:val="eachPage"/>
          </w:footnotePr>
          <w:pgSz w:w="11906" w:h="16838"/>
          <w:pgMar w:top="720" w:right="1134" w:bottom="720" w:left="1134" w:header="0" w:footer="0" w:gutter="0"/>
          <w:cols w:space="720"/>
          <w:bidi/>
          <w:rtlGutter/>
        </w:sectPr>
      </w:pPr>
    </w:p>
    <w:p w14:paraId="1081AE29" w14:textId="77777777" w:rsidR="001D49D4" w:rsidRPr="001D49D4" w:rsidRDefault="001D49D4" w:rsidP="0004348D">
      <w:pPr>
        <w:keepNext/>
        <w:keepLines/>
        <w:spacing w:before="360" w:after="240"/>
        <w:outlineLvl w:val="0"/>
        <w:rPr>
          <w:rFonts w:ascii="Cambria" w:eastAsia="Times New Roman" w:hAnsi="Cambria" w:cs="Arial"/>
          <w:b/>
          <w:bCs/>
          <w:color w:val="365F91" w:themeColor="accent1" w:themeShade="BF"/>
          <w:sz w:val="28"/>
          <w:szCs w:val="28"/>
          <w:rtl/>
        </w:rPr>
      </w:pPr>
      <w:bookmarkStart w:id="671" w:name="_Toc24884094"/>
      <w:r w:rsidRPr="001D49D4">
        <w:rPr>
          <w:rFonts w:ascii="Cambria" w:eastAsia="Times New Roman" w:hAnsi="Cambria" w:cs="Arial"/>
          <w:b/>
          <w:bCs/>
          <w:color w:val="365F91" w:themeColor="accent1" w:themeShade="BF"/>
          <w:sz w:val="28"/>
          <w:szCs w:val="28"/>
          <w:rtl/>
        </w:rPr>
        <w:t>סימן סו: דין מכירת שטרות ואונאתן, ובו מ"ב סעיפים.</w:t>
      </w:r>
      <w:bookmarkEnd w:id="671"/>
      <w:r w:rsidRPr="001D49D4">
        <w:rPr>
          <w:rFonts w:ascii="Cambria" w:eastAsia="Times New Roman" w:hAnsi="Cambria" w:cs="Arial"/>
          <w:b/>
          <w:bCs/>
          <w:color w:val="365F91" w:themeColor="accent1" w:themeShade="BF"/>
          <w:sz w:val="28"/>
          <w:szCs w:val="28"/>
          <w:rtl/>
        </w:rPr>
        <w:t xml:space="preserve"> </w:t>
      </w:r>
    </w:p>
    <w:p w14:paraId="5A031E54" w14:textId="77777777" w:rsidR="001D49D4" w:rsidRPr="001D49D4" w:rsidRDefault="001D49D4" w:rsidP="0004348D">
      <w:pPr>
        <w:keepNext/>
        <w:keepLines/>
        <w:spacing w:before="360" w:after="240"/>
        <w:outlineLvl w:val="1"/>
        <w:rPr>
          <w:rFonts w:ascii="Cambria" w:eastAsia="Times New Roman" w:hAnsi="Cambria" w:cs="Arial"/>
          <w:bCs/>
          <w:color w:val="548DD4" w:themeColor="text2" w:themeTint="99"/>
          <w:sz w:val="26"/>
          <w:szCs w:val="26"/>
          <w:rtl/>
        </w:rPr>
      </w:pPr>
      <w:bookmarkStart w:id="672" w:name="_Toc24884095"/>
      <w:r w:rsidRPr="001D49D4">
        <w:rPr>
          <w:rFonts w:ascii="Cambria" w:eastAsia="Times New Roman" w:hAnsi="Cambria" w:cs="Arial"/>
          <w:bCs/>
          <w:color w:val="548DD4" w:themeColor="text2" w:themeTint="99"/>
          <w:sz w:val="26"/>
          <w:szCs w:val="26"/>
          <w:rtl/>
        </w:rPr>
        <w:t>סעיף א: קניית שטרות.</w:t>
      </w:r>
      <w:bookmarkEnd w:id="672"/>
    </w:p>
    <w:p w14:paraId="44AF68A3"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b/>
          <w:bCs/>
          <w:rtl/>
        </w:rPr>
        <w:t xml:space="preserve">בבא בתרא </w:t>
      </w:r>
      <w:r w:rsidRPr="001D49D4">
        <w:rPr>
          <w:rFonts w:ascii="Calibri" w:eastAsia="Calibri" w:hAnsi="Calibri" w:cs="Arial"/>
          <w:b/>
          <w:bCs/>
          <w:sz w:val="16"/>
          <w:szCs w:val="16"/>
          <w:rtl/>
        </w:rPr>
        <w:t>(פרק הספינה)</w:t>
      </w:r>
      <w:r w:rsidRPr="001D49D4">
        <w:rPr>
          <w:rFonts w:ascii="Calibri" w:eastAsia="Calibri" w:hAnsi="Calibri" w:cs="Arial"/>
          <w:b/>
          <w:bCs/>
          <w:rtl/>
        </w:rPr>
        <w:t xml:space="preserve"> עו</w:t>
      </w:r>
      <w:r w:rsidRPr="001D49D4">
        <w:rPr>
          <w:rFonts w:ascii="Calibri" w:eastAsia="Calibri" w:hAnsi="Calibri" w:cs="Arial"/>
          <w:b/>
          <w:bCs/>
          <w:vertAlign w:val="superscript"/>
          <w:rtl/>
        </w:rPr>
        <w:footnoteReference w:id="4958"/>
      </w:r>
      <w:r w:rsidRPr="001D49D4">
        <w:rPr>
          <w:rFonts w:ascii="Calibri" w:eastAsia="Calibri" w:hAnsi="Calibri" w:cs="Arial"/>
          <w:b/>
          <w:bCs/>
          <w:rtl/>
        </w:rPr>
        <w:t xml:space="preserve"> ע"א:</w:t>
      </w:r>
      <w:r w:rsidRPr="001D49D4">
        <w:rPr>
          <w:rFonts w:ascii="Calibri" w:eastAsia="Calibri" w:hAnsi="Calibri" w:cs="Arial"/>
          <w:rtl/>
        </w:rPr>
        <w:t xml:space="preserve"> דתניא: אותיות נקנות במסירה, </w:t>
      </w:r>
      <w:r w:rsidRPr="001D49D4">
        <w:rPr>
          <w:rFonts w:ascii="Calibri" w:eastAsia="Calibri" w:hAnsi="Calibri" w:cs="Arial"/>
          <w:u w:val="single"/>
          <w:rtl/>
        </w:rPr>
        <w:t>דברי רבי</w:t>
      </w:r>
      <w:r w:rsidRPr="001D49D4">
        <w:rPr>
          <w:rFonts w:ascii="Calibri" w:eastAsia="Calibri" w:hAnsi="Calibri" w:cs="Arial"/>
          <w:rtl/>
        </w:rPr>
        <w:t xml:space="preserve">. </w:t>
      </w:r>
      <w:r w:rsidRPr="001D49D4">
        <w:rPr>
          <w:rFonts w:ascii="Calibri" w:eastAsia="Calibri" w:hAnsi="Calibri" w:cs="Arial"/>
          <w:u w:val="single"/>
          <w:rtl/>
        </w:rPr>
        <w:t>וחכמים אומרים</w:t>
      </w:r>
      <w:r w:rsidRPr="001D49D4">
        <w:rPr>
          <w:rFonts w:ascii="Calibri" w:eastAsia="Calibri" w:hAnsi="Calibri" w:cs="Arial"/>
          <w:rtl/>
        </w:rPr>
        <w:t>: בין כתב ולא מסר, בין מסר ולא כתב - לא קנה עד שיכתוב וימסור...</w:t>
      </w:r>
      <w:r w:rsidRPr="001D49D4">
        <w:rPr>
          <w:rFonts w:ascii="Calibri" w:eastAsia="Calibri" w:hAnsi="Calibri" w:cs="Arial"/>
          <w:sz w:val="14"/>
          <w:szCs w:val="14"/>
          <w:rtl/>
        </w:rPr>
        <w:t xml:space="preserve"> (עו:)</w:t>
      </w:r>
      <w:r w:rsidRPr="001D49D4">
        <w:rPr>
          <w:rFonts w:ascii="Calibri" w:eastAsia="Calibri" w:hAnsi="Calibri" w:cs="Arial"/>
          <w:rtl/>
        </w:rPr>
        <w:t xml:space="preserve"> </w:t>
      </w:r>
      <w:r w:rsidRPr="001D49D4">
        <w:rPr>
          <w:rFonts w:ascii="Calibri" w:eastAsia="Calibri" w:hAnsi="Calibri" w:cs="Arial"/>
          <w:u w:val="single"/>
          <w:rtl/>
        </w:rPr>
        <w:t>אמר רב פפא</w:t>
      </w:r>
      <w:r w:rsidRPr="001D49D4">
        <w:rPr>
          <w:rFonts w:ascii="Calibri" w:eastAsia="Calibri" w:hAnsi="Calibri" w:cs="Arial"/>
          <w:rtl/>
        </w:rPr>
        <w:t>: האי מאן דמזבין ליה שטרא לחבריה, צריך למיכתב ליה: קני הוא וכל שעבודא דביה</w:t>
      </w:r>
      <w:r w:rsidRPr="001D49D4">
        <w:rPr>
          <w:rFonts w:ascii="Calibri" w:eastAsia="Calibri" w:hAnsi="Calibri" w:cs="Arial"/>
          <w:vertAlign w:val="superscript"/>
          <w:rtl/>
        </w:rPr>
        <w:footnoteReference w:id="4959"/>
      </w:r>
      <w:r w:rsidRPr="001D49D4">
        <w:rPr>
          <w:rFonts w:ascii="Calibri" w:eastAsia="Calibri" w:hAnsi="Calibri" w:cs="Arial"/>
          <w:rtl/>
        </w:rPr>
        <w:t xml:space="preserve">. </w:t>
      </w:r>
      <w:r w:rsidRPr="001D49D4">
        <w:rPr>
          <w:rFonts w:ascii="Calibri" w:eastAsia="Calibri" w:hAnsi="Calibri" w:cs="Arial"/>
          <w:u w:val="single"/>
          <w:rtl/>
        </w:rPr>
        <w:t>אמר רב אשי</w:t>
      </w:r>
      <w:r w:rsidRPr="001D49D4">
        <w:rPr>
          <w:rFonts w:ascii="Calibri" w:eastAsia="Calibri" w:hAnsi="Calibri" w:cs="Arial"/>
          <w:rtl/>
        </w:rPr>
        <w:t>: אמריתה לשמעתא</w:t>
      </w:r>
      <w:r w:rsidRPr="001D49D4">
        <w:rPr>
          <w:rFonts w:ascii="Calibri" w:eastAsia="Calibri" w:hAnsi="Calibri" w:cs="Arial"/>
          <w:vertAlign w:val="superscript"/>
          <w:rtl/>
        </w:rPr>
        <w:footnoteReference w:id="4960"/>
      </w:r>
      <w:r w:rsidRPr="001D49D4">
        <w:rPr>
          <w:rFonts w:ascii="Calibri" w:eastAsia="Calibri" w:hAnsi="Calibri" w:cs="Arial"/>
          <w:rtl/>
        </w:rPr>
        <w:t xml:space="preserve"> קמיה דרב כהנא, ואמרית ליה: טעמא דכתב ליה הכי, הא לא כתב ליה הכי</w:t>
      </w:r>
      <w:r w:rsidRPr="001D49D4">
        <w:rPr>
          <w:rFonts w:ascii="Calibri" w:eastAsia="Calibri" w:hAnsi="Calibri" w:cs="Arial"/>
          <w:vertAlign w:val="superscript"/>
          <w:rtl/>
        </w:rPr>
        <w:footnoteReference w:id="4961"/>
      </w:r>
      <w:r w:rsidRPr="001D49D4">
        <w:rPr>
          <w:rFonts w:ascii="Calibri" w:eastAsia="Calibri" w:hAnsi="Calibri" w:cs="Arial"/>
          <w:rtl/>
        </w:rPr>
        <w:t xml:space="preserve"> - לא קני, וכי לצור על פי צלוחיתו הוא צריך? </w:t>
      </w:r>
      <w:r w:rsidRPr="001D49D4">
        <w:rPr>
          <w:rFonts w:ascii="Calibri" w:eastAsia="Calibri" w:hAnsi="Calibri" w:cs="Arial"/>
          <w:u w:val="single"/>
          <w:rtl/>
        </w:rPr>
        <w:t>אמר לי</w:t>
      </w:r>
      <w:r w:rsidRPr="001D49D4">
        <w:rPr>
          <w:rFonts w:ascii="Calibri" w:eastAsia="Calibri" w:hAnsi="Calibri" w:cs="Arial"/>
          <w:rtl/>
        </w:rPr>
        <w:t>: אין, לצור ולצור</w:t>
      </w:r>
      <w:r w:rsidRPr="001D49D4">
        <w:rPr>
          <w:rFonts w:ascii="Calibri" w:eastAsia="Calibri" w:hAnsi="Calibri" w:cs="Arial"/>
          <w:vertAlign w:val="superscript"/>
          <w:rtl/>
        </w:rPr>
        <w:footnoteReference w:id="4962"/>
      </w:r>
      <w:r w:rsidRPr="001D49D4">
        <w:rPr>
          <w:rFonts w:ascii="Calibri" w:eastAsia="Calibri" w:hAnsi="Calibri" w:cs="Arial"/>
          <w:rtl/>
        </w:rPr>
        <w:t>.</w:t>
      </w:r>
      <w:r w:rsidRPr="001D49D4">
        <w:rPr>
          <w:rFonts w:ascii="Calibri" w:eastAsia="Calibri" w:hAnsi="Calibri" w:cs="Arial"/>
          <w:sz w:val="14"/>
          <w:szCs w:val="14"/>
          <w:rtl/>
        </w:rPr>
        <w:t xml:space="preserve"> (עז.)</w:t>
      </w:r>
      <w:r w:rsidRPr="001D49D4">
        <w:rPr>
          <w:rFonts w:ascii="Calibri" w:eastAsia="Calibri" w:hAnsi="Calibri" w:cs="Arial"/>
          <w:rtl/>
        </w:rPr>
        <w:t xml:space="preserve"> </w:t>
      </w:r>
      <w:r w:rsidRPr="001D49D4">
        <w:rPr>
          <w:rFonts w:ascii="Calibri" w:eastAsia="Calibri" w:hAnsi="Calibri" w:cs="Arial"/>
          <w:u w:val="single"/>
          <w:rtl/>
        </w:rPr>
        <w:t>אמר אמימר</w:t>
      </w:r>
      <w:r w:rsidRPr="001D49D4">
        <w:rPr>
          <w:rFonts w:ascii="Calibri" w:eastAsia="Calibri" w:hAnsi="Calibri" w:cs="Arial"/>
          <w:rtl/>
        </w:rPr>
        <w:t xml:space="preserve">: הלכתא, אין אותיות נקנות במסירה. </w:t>
      </w:r>
      <w:r w:rsidRPr="001D49D4">
        <w:rPr>
          <w:rFonts w:ascii="Calibri" w:eastAsia="Calibri" w:hAnsi="Calibri" w:cs="Arial"/>
          <w:sz w:val="16"/>
          <w:szCs w:val="16"/>
          <w:rtl/>
        </w:rPr>
        <w:t>(כך גירסת הרי"ף (לט.) וכן הרמב"ם פ"ו מהל' מכירה (ה"י-יא) וכן דעת התוס' (ד"ה אמר אמימר) והרא"ש (סי' ד) והביאו ראיות לדבר לאפוקי ממי שגורס</w:t>
      </w:r>
      <w:r w:rsidRPr="001D49D4">
        <w:rPr>
          <w:rFonts w:ascii="Calibri" w:eastAsia="Calibri" w:hAnsi="Calibri" w:cs="Arial"/>
          <w:sz w:val="14"/>
          <w:szCs w:val="14"/>
          <w:rtl/>
        </w:rPr>
        <w:t xml:space="preserve"> {רשב"ם ועוד, וכן הוא לפנינו}</w:t>
      </w:r>
      <w:r w:rsidRPr="001D49D4">
        <w:rPr>
          <w:rFonts w:ascii="Calibri" w:eastAsia="Calibri" w:hAnsi="Calibri" w:cs="Arial"/>
          <w:sz w:val="16"/>
          <w:szCs w:val="16"/>
          <w:rtl/>
        </w:rPr>
        <w:t xml:space="preserve"> 'הלכתא אותיות נקנות במסירה', וכ"כ עוד הרא"ש בתשובה</w:t>
      </w:r>
      <w:r w:rsidRPr="001D49D4">
        <w:rPr>
          <w:rFonts w:ascii="Calibri" w:eastAsia="Calibri" w:hAnsi="Calibri" w:cs="Arial"/>
          <w:sz w:val="16"/>
          <w:szCs w:val="16"/>
          <w:vertAlign w:val="superscript"/>
          <w:rtl/>
        </w:rPr>
        <w:footnoteReference w:id="4963"/>
      </w:r>
      <w:r w:rsidRPr="001D49D4">
        <w:rPr>
          <w:rFonts w:ascii="Calibri" w:eastAsia="Calibri" w:hAnsi="Calibri" w:cs="Arial"/>
          <w:sz w:val="16"/>
          <w:szCs w:val="16"/>
          <w:rtl/>
        </w:rPr>
        <w:t xml:space="preserve"> (כלל עה סי' ב) כתבה רבינו בס"ס רמ"ח (סט"ז-יח), ב"י)</w:t>
      </w:r>
    </w:p>
    <w:p w14:paraId="184E132D" w14:textId="77777777" w:rsidR="001D49D4" w:rsidRPr="001D49D4" w:rsidRDefault="001D49D4" w:rsidP="0004348D">
      <w:pPr>
        <w:spacing w:before="360" w:after="240"/>
        <w:rPr>
          <w:rFonts w:ascii="Calibri" w:eastAsia="Calibri" w:hAnsi="Calibri" w:cs="Arial"/>
          <w:u w:val="single"/>
          <w:rtl/>
        </w:rPr>
      </w:pPr>
      <w:r w:rsidRPr="001D49D4">
        <w:rPr>
          <w:rFonts w:ascii="Calibri" w:eastAsia="Calibri" w:hAnsi="Calibri" w:cs="Arial"/>
          <w:u w:val="single"/>
          <w:rtl/>
        </w:rPr>
        <w:t>קניית שטרות - כיצד:</w:t>
      </w:r>
    </w:p>
    <w:p w14:paraId="064276A6" w14:textId="77777777" w:rsidR="001D49D4" w:rsidRPr="001D49D4" w:rsidRDefault="001D49D4" w:rsidP="0004348D">
      <w:pPr>
        <w:numPr>
          <w:ilvl w:val="0"/>
          <w:numId w:val="329"/>
        </w:numPr>
        <w:spacing w:before="360" w:after="240"/>
        <w:contextualSpacing/>
        <w:rPr>
          <w:rFonts w:ascii="Calibri" w:eastAsia="Calibri" w:hAnsi="Calibri" w:cs="Arial"/>
          <w:rtl/>
        </w:rPr>
      </w:pPr>
      <w:r w:rsidRPr="001D49D4">
        <w:rPr>
          <w:rFonts w:ascii="Calibri" w:eastAsia="Calibri" w:hAnsi="Calibri" w:cs="Arial"/>
          <w:rtl/>
        </w:rPr>
        <w:t>טור- הלכתא אותיות אין נקנין אלא בכתיבה ומסירה. לפיכך האי מאן דמזבין שטרא לחבריה צריך למיכתב ליה 'קני לך איהו וכל שיעבודא דאית ביה', ואם לא כתב כן - לא קנה המלוה שבו, ואפי' הנייר בעלמא לצור על פי צלוחיתו לא קנה, אלא מקח טעות הוא ומחזיר הנייר ויחזיר לו הדמים. וכ"כ הרמב"ן שלא קנה אפילו הנייר לצור ע"פ צלוחיתו</w:t>
      </w:r>
      <w:r w:rsidRPr="001D49D4">
        <w:rPr>
          <w:rFonts w:ascii="Calibri" w:eastAsia="Calibri" w:hAnsi="Calibri" w:cs="Arial"/>
          <w:vertAlign w:val="superscript"/>
          <w:rtl/>
        </w:rPr>
        <w:footnoteReference w:id="4964"/>
      </w:r>
      <w:r w:rsidRPr="001D49D4">
        <w:rPr>
          <w:rFonts w:ascii="Calibri" w:eastAsia="Calibri" w:hAnsi="Calibri" w:cs="Arial"/>
          <w:rtl/>
        </w:rPr>
        <w:t xml:space="preserve">, מפני שעיקר מקחו לראיה והכל בטל ולא יתקיים לחצאין. </w:t>
      </w:r>
      <w:r w:rsidRPr="001D49D4">
        <w:rPr>
          <w:rFonts w:ascii="Calibri" w:eastAsia="Calibri" w:hAnsi="Calibri" w:cs="Arial"/>
          <w:color w:val="E36C0A" w:themeColor="accent6" w:themeShade="BF"/>
          <w:rtl/>
        </w:rPr>
        <w:t>(וכ"פ בשו"ע)</w:t>
      </w:r>
    </w:p>
    <w:p w14:paraId="3ECE74DA" w14:textId="77777777" w:rsidR="001D49D4" w:rsidRPr="001D49D4" w:rsidRDefault="001D49D4" w:rsidP="0004348D">
      <w:pPr>
        <w:spacing w:before="360" w:after="240"/>
        <w:rPr>
          <w:rFonts w:ascii="Calibri" w:eastAsia="Calibri" w:hAnsi="Calibri" w:cs="Arial"/>
          <w:u w:val="single"/>
        </w:rPr>
      </w:pPr>
      <w:r w:rsidRPr="001D49D4">
        <w:rPr>
          <w:rFonts w:ascii="Calibri" w:eastAsia="Calibri" w:hAnsi="Calibri" w:cs="Arial"/>
          <w:u w:val="single"/>
          <w:rtl/>
        </w:rPr>
        <w:t>האם צריך לכתוב בשטר המכר 'זיל דון והנפק לנפשך':</w:t>
      </w:r>
    </w:p>
    <w:p w14:paraId="1165B207" w14:textId="77777777" w:rsidR="001D49D4" w:rsidRPr="001D49D4" w:rsidRDefault="001D49D4" w:rsidP="0004348D">
      <w:pPr>
        <w:numPr>
          <w:ilvl w:val="0"/>
          <w:numId w:val="329"/>
        </w:numPr>
        <w:spacing w:before="360" w:after="240"/>
        <w:contextualSpacing/>
        <w:rPr>
          <w:rFonts w:ascii="Calibri" w:eastAsia="Calibri" w:hAnsi="Calibri" w:cs="Arial"/>
        </w:rPr>
      </w:pPr>
      <w:r w:rsidRPr="001D49D4">
        <w:rPr>
          <w:rFonts w:ascii="Calibri" w:eastAsia="Calibri" w:hAnsi="Calibri" w:cs="Arial"/>
          <w:rtl/>
        </w:rPr>
        <w:t xml:space="preserve">בעל התרומות </w:t>
      </w:r>
      <w:r w:rsidRPr="001D49D4">
        <w:rPr>
          <w:rFonts w:ascii="Calibri" w:eastAsia="Calibri" w:hAnsi="Calibri" w:cs="Arial"/>
          <w:sz w:val="16"/>
          <w:szCs w:val="16"/>
          <w:rtl/>
        </w:rPr>
        <w:t>(שער נא ח"ד סי' ה)</w:t>
      </w:r>
      <w:r w:rsidRPr="001D49D4">
        <w:rPr>
          <w:rFonts w:ascii="Calibri" w:eastAsia="Calibri" w:hAnsi="Calibri" w:cs="Arial"/>
          <w:rtl/>
        </w:rPr>
        <w:t xml:space="preserve">- יש מן המורים שהורו שהמוכר שטר חוב לחבירו צריך לכתוב בשטר המכירה 'זיל דון והנפק לנפשך' ואי לא לא מצי לאשתעויי דינא בהדיה דמצי אמר ליה לאו בעל דברים דידי את, כך דעת הראב"ד </w:t>
      </w:r>
      <w:r w:rsidRPr="001D49D4">
        <w:rPr>
          <w:rFonts w:ascii="Calibri" w:eastAsia="Calibri" w:hAnsi="Calibri" w:cs="Arial"/>
          <w:sz w:val="16"/>
          <w:szCs w:val="16"/>
          <w:rtl/>
        </w:rPr>
        <w:t>(תמים דעים סי' סא)</w:t>
      </w:r>
      <w:r w:rsidRPr="001D49D4">
        <w:rPr>
          <w:rFonts w:ascii="Calibri" w:eastAsia="Calibri" w:hAnsi="Calibri" w:cs="Arial"/>
          <w:rtl/>
        </w:rPr>
        <w:t>. ויש תימה דאטו מי גרע לישנא ד-'קני לך הוא וכל שעבודא דאית ביה' מלשון 'דון וזכי לנפשך'.</w:t>
      </w:r>
    </w:p>
    <w:p w14:paraId="056B806D" w14:textId="77777777" w:rsidR="001D49D4" w:rsidRPr="001D49D4" w:rsidRDefault="001D49D4" w:rsidP="0004348D">
      <w:pPr>
        <w:spacing w:before="360" w:after="240"/>
        <w:rPr>
          <w:rFonts w:ascii="Calibri" w:eastAsia="Calibri" w:hAnsi="Calibri" w:cs="Arial"/>
          <w:u w:val="single"/>
        </w:rPr>
      </w:pPr>
      <w:r w:rsidRPr="001D49D4">
        <w:rPr>
          <w:rFonts w:ascii="Calibri" w:eastAsia="Calibri" w:hAnsi="Calibri" w:cs="Arial"/>
          <w:u w:val="single"/>
          <w:rtl/>
        </w:rPr>
        <w:t>המוכר שטר חוב לחבירו במסירה לבד – האם יכול הקונה לתפוס בשטר עד שיחזיר לו המוכר את דמי המכירה:</w:t>
      </w:r>
    </w:p>
    <w:p w14:paraId="082A8CD3" w14:textId="77777777" w:rsidR="001D49D4" w:rsidRPr="001D49D4" w:rsidRDefault="001D49D4" w:rsidP="0004348D">
      <w:pPr>
        <w:numPr>
          <w:ilvl w:val="0"/>
          <w:numId w:val="329"/>
        </w:numPr>
        <w:spacing w:before="360" w:after="240"/>
        <w:contextualSpacing/>
        <w:rPr>
          <w:rFonts w:ascii="Calibri" w:eastAsia="Calibri" w:hAnsi="Calibri" w:cs="Arial"/>
        </w:rPr>
      </w:pPr>
      <w:r w:rsidRPr="001D49D4">
        <w:rPr>
          <w:rFonts w:ascii="Calibri" w:eastAsia="Calibri" w:hAnsi="Calibri" w:cs="Arial"/>
          <w:rtl/>
        </w:rPr>
        <w:t xml:space="preserve">רי"ו </w:t>
      </w:r>
      <w:r w:rsidRPr="001D49D4">
        <w:rPr>
          <w:rFonts w:ascii="Calibri" w:eastAsia="Calibri" w:hAnsi="Calibri" w:cs="Arial"/>
          <w:sz w:val="16"/>
          <w:szCs w:val="16"/>
          <w:rtl/>
        </w:rPr>
        <w:t>(ני"ד מה ע"ג)</w:t>
      </w:r>
      <w:r w:rsidRPr="001D49D4">
        <w:rPr>
          <w:rFonts w:ascii="Calibri" w:eastAsia="Calibri" w:hAnsi="Calibri" w:cs="Arial"/>
          <w:rtl/>
        </w:rPr>
        <w:t xml:space="preserve">- כתבו הגאונים המוכר שטר חוב לחבירו במסירה לבד אע"פ שלא קנה הלוקח יכול לתפוס הנייר עד שיחזיר לו דמי המקח. </w:t>
      </w:r>
      <w:r w:rsidRPr="001D49D4">
        <w:rPr>
          <w:rFonts w:ascii="Calibri" w:eastAsia="Calibri" w:hAnsi="Calibri" w:cs="Arial"/>
          <w:color w:val="00B0F0"/>
          <w:rtl/>
        </w:rPr>
        <w:t>(וכ"פ הרמ"א)</w:t>
      </w:r>
    </w:p>
    <w:p w14:paraId="6369291B" w14:textId="77777777" w:rsidR="001D49D4" w:rsidRPr="001D49D4" w:rsidRDefault="001D49D4" w:rsidP="0004348D">
      <w:pPr>
        <w:spacing w:before="360" w:after="240"/>
        <w:rPr>
          <w:rFonts w:ascii="Calibri" w:eastAsia="Calibri" w:hAnsi="Calibri" w:cs="Arial"/>
          <w:u w:val="dotted"/>
        </w:rPr>
      </w:pPr>
      <w:r w:rsidRPr="001D49D4">
        <w:rPr>
          <w:rFonts w:ascii="Calibri" w:eastAsia="Calibri" w:hAnsi="Calibri" w:cs="Arial"/>
          <w:u w:val="dotted"/>
          <w:rtl/>
        </w:rPr>
        <w:t>ומה הדין אם הלוקח תופס בשטר חוב, והגיע זמן הפרעון ואין למוכר ליתן ללוקח בחזרה את דמי המכר:</w:t>
      </w:r>
    </w:p>
    <w:p w14:paraId="545AE253" w14:textId="77777777" w:rsidR="001D49D4" w:rsidRPr="001D49D4" w:rsidRDefault="001D49D4" w:rsidP="0004348D">
      <w:pPr>
        <w:numPr>
          <w:ilvl w:val="0"/>
          <w:numId w:val="329"/>
        </w:numPr>
        <w:spacing w:before="360" w:after="240"/>
        <w:contextualSpacing/>
        <w:rPr>
          <w:rFonts w:ascii="Calibri" w:eastAsia="Calibri" w:hAnsi="Calibri" w:cs="Arial"/>
        </w:rPr>
      </w:pPr>
      <w:r w:rsidRPr="001D49D4">
        <w:rPr>
          <w:rFonts w:ascii="Calibri" w:eastAsia="Calibri" w:hAnsi="Calibri" w:cs="Arial"/>
          <w:rtl/>
        </w:rPr>
        <w:t xml:space="preserve">רשב"א </w:t>
      </w:r>
      <w:r w:rsidRPr="001D49D4">
        <w:rPr>
          <w:rFonts w:ascii="Calibri" w:eastAsia="Calibri" w:hAnsi="Calibri" w:cs="Arial"/>
          <w:sz w:val="16"/>
          <w:szCs w:val="16"/>
          <w:rtl/>
        </w:rPr>
        <w:t>(ח"ב סי' ב)</w:t>
      </w:r>
      <w:r w:rsidRPr="001D49D4">
        <w:rPr>
          <w:rFonts w:ascii="Calibri" w:eastAsia="Calibri" w:hAnsi="Calibri" w:cs="Arial"/>
          <w:rtl/>
        </w:rPr>
        <w:t xml:space="preserve">- המוכר שטר חוב לחבירו וקבל ממנו מעות ולא כתב לו 'קני לך הוא וכל שעבודא דאית ביה' דקיי"ל דלא קנו, הני מילי לענין שאין הלוה חייב ליתן לו, ודוקא בשיש לו למוכר שישלם לו דמי המכר שנתן לו, הא לאו הכי מוציאין מן הלוה הזה ונותנין לו </w:t>
      </w:r>
      <w:r w:rsidRPr="001D49D4">
        <w:rPr>
          <w:rFonts w:ascii="Calibri" w:eastAsia="Calibri" w:hAnsi="Calibri" w:cs="Arial"/>
          <w:sz w:val="16"/>
          <w:szCs w:val="16"/>
          <w:rtl/>
        </w:rPr>
        <w:t xml:space="preserve">{ללוקח} </w:t>
      </w:r>
      <w:r w:rsidRPr="001D49D4">
        <w:rPr>
          <w:rFonts w:ascii="Calibri" w:eastAsia="Calibri" w:hAnsi="Calibri" w:cs="Arial"/>
          <w:rtl/>
        </w:rPr>
        <w:t xml:space="preserve">מדרבי נתן </w:t>
      </w:r>
      <w:r w:rsidRPr="001D49D4">
        <w:rPr>
          <w:rFonts w:ascii="Calibri" w:eastAsia="Calibri" w:hAnsi="Calibri" w:cs="Arial"/>
          <w:sz w:val="16"/>
          <w:szCs w:val="16"/>
          <w:rtl/>
        </w:rPr>
        <w:t>(כתובות יט.)</w:t>
      </w:r>
      <w:r w:rsidRPr="001D49D4">
        <w:rPr>
          <w:rFonts w:ascii="Calibri" w:eastAsia="Calibri" w:hAnsi="Calibri" w:cs="Arial"/>
          <w:vertAlign w:val="superscript"/>
          <w:rtl/>
        </w:rPr>
        <w:footnoteReference w:id="4965"/>
      </w:r>
      <w:r w:rsidRPr="001D49D4">
        <w:rPr>
          <w:rFonts w:ascii="Calibri" w:eastAsia="Calibri" w:hAnsi="Calibri" w:cs="Arial"/>
          <w:rtl/>
        </w:rPr>
        <w:t>.</w:t>
      </w:r>
      <w:r w:rsidRPr="001D49D4">
        <w:rPr>
          <w:rFonts w:ascii="Calibri" w:eastAsia="Calibri" w:hAnsi="Calibri" w:cs="Arial"/>
          <w:color w:val="00B0F0"/>
          <w:rtl/>
        </w:rPr>
        <w:t xml:space="preserve"> (וכ"פ הרמ"א)</w:t>
      </w:r>
    </w:p>
    <w:p w14:paraId="3DA96B1C" w14:textId="77777777" w:rsidR="001D49D4" w:rsidRPr="001D49D4" w:rsidRDefault="001D49D4" w:rsidP="0004348D">
      <w:pPr>
        <w:spacing w:before="360" w:after="240"/>
        <w:rPr>
          <w:rFonts w:ascii="Calibri" w:eastAsia="Calibri" w:hAnsi="Calibri" w:cs="Arial"/>
          <w:u w:val="single"/>
        </w:rPr>
      </w:pPr>
      <w:r w:rsidRPr="001D49D4">
        <w:rPr>
          <w:rFonts w:ascii="Calibri" w:eastAsia="Calibri" w:hAnsi="Calibri" w:cs="Arial"/>
          <w:u w:val="single"/>
          <w:rtl/>
        </w:rPr>
        <w:t>האם נאמן אדם לומר שקיבל שטרות מפלוני בכתיבה ומסירה מכח מיגו דטעין להד"ם</w:t>
      </w:r>
      <w:r w:rsidRPr="001D49D4">
        <w:rPr>
          <w:rFonts w:ascii="Calibri" w:eastAsia="Calibri" w:hAnsi="Calibri" w:cs="Arial"/>
          <w:sz w:val="16"/>
          <w:szCs w:val="16"/>
          <w:u w:val="single"/>
          <w:rtl/>
        </w:rPr>
        <w:t xml:space="preserve"> (ואח"כ יפרע בשקט מבע"ח)</w:t>
      </w:r>
      <w:r w:rsidRPr="001D49D4">
        <w:rPr>
          <w:rFonts w:ascii="Calibri" w:eastAsia="Calibri" w:hAnsi="Calibri" w:cs="Arial"/>
          <w:u w:val="single"/>
          <w:rtl/>
        </w:rPr>
        <w:t>:</w:t>
      </w:r>
    </w:p>
    <w:p w14:paraId="277EECA9" w14:textId="77777777" w:rsidR="001D49D4" w:rsidRPr="001D49D4" w:rsidRDefault="001D49D4" w:rsidP="0004348D">
      <w:pPr>
        <w:numPr>
          <w:ilvl w:val="0"/>
          <w:numId w:val="329"/>
        </w:numPr>
        <w:spacing w:before="360" w:after="240"/>
        <w:contextualSpacing/>
        <w:rPr>
          <w:rFonts w:ascii="Calibri" w:eastAsia="Calibri" w:hAnsi="Calibri" w:cs="Arial"/>
        </w:rPr>
      </w:pPr>
      <w:r w:rsidRPr="001D49D4">
        <w:rPr>
          <w:rFonts w:ascii="Calibri" w:eastAsia="Calibri" w:hAnsi="Calibri" w:cs="Arial"/>
          <w:rtl/>
        </w:rPr>
        <w:t xml:space="preserve">רשב"א </w:t>
      </w:r>
      <w:r w:rsidRPr="001D49D4">
        <w:rPr>
          <w:rFonts w:ascii="Calibri" w:eastAsia="Calibri" w:hAnsi="Calibri" w:cs="Arial"/>
          <w:sz w:val="16"/>
          <w:szCs w:val="16"/>
          <w:rtl/>
        </w:rPr>
        <w:t>(ח"ב סי' ריא)</w:t>
      </w:r>
      <w:r w:rsidRPr="001D49D4">
        <w:rPr>
          <w:rFonts w:ascii="Calibri" w:eastAsia="Calibri" w:hAnsi="Calibri" w:cs="Arial"/>
          <w:rtl/>
        </w:rPr>
        <w:t xml:space="preserve">- יעקב מת והיו כל נכסיו ביד בנימין, ובא ראובן ותבעו שיחלוק עמו, וטען בנימין שהכל שלו ששטר מתנה בידו מכל חובות יעקב בין בשטר בין בעל פה. תשובה, מה שטוען ראובן שאין שטרי חוב נקנין אלא בכתיבה ומסירה הדין עמו, ועוד צריך שיכתוב לו הן וכל שעבודן. ואפי' טען בנימין שנתן בכתיבה ומסירה ואפי' אין השטרות יוצאות בב"ד - אינו נאמן משום מגו, דבשטרות ליכא מגו דאי בעי אמר לא באו לידי מעולם, שאם אמר כן היה מתיירא להוציאן ולתבוע מבעלי החוב, וכענין מלוגא דשטרי דפרק הכותב </w:t>
      </w:r>
      <w:r w:rsidRPr="001D49D4">
        <w:rPr>
          <w:rFonts w:ascii="Calibri" w:eastAsia="Calibri" w:hAnsi="Calibri" w:cs="Arial"/>
          <w:sz w:val="16"/>
          <w:szCs w:val="16"/>
          <w:rtl/>
        </w:rPr>
        <w:t>(כתובות פה.)</w:t>
      </w:r>
      <w:r w:rsidRPr="001D49D4">
        <w:rPr>
          <w:rFonts w:ascii="Calibri" w:eastAsia="Calibri" w:hAnsi="Calibri" w:cs="Arial"/>
          <w:rtl/>
        </w:rPr>
        <w:t xml:space="preserve">. </w:t>
      </w:r>
    </w:p>
    <w:p w14:paraId="4B49E0EB" w14:textId="77777777" w:rsidR="001D49D4" w:rsidRPr="001D49D4" w:rsidRDefault="001D49D4" w:rsidP="0004348D">
      <w:pPr>
        <w:spacing w:before="360" w:after="240"/>
        <w:rPr>
          <w:rFonts w:ascii="Calibri" w:eastAsia="Calibri" w:hAnsi="Calibri" w:cs="Arial"/>
          <w:u w:val="dotted"/>
        </w:rPr>
      </w:pPr>
      <w:r w:rsidRPr="001D49D4">
        <w:rPr>
          <w:rFonts w:ascii="Calibri" w:eastAsia="Calibri" w:hAnsi="Calibri" w:cs="Arial"/>
          <w:u w:val="dotted"/>
          <w:rtl/>
        </w:rPr>
        <w:t>ומה הדין אם טוען שקיבלם בכתיבה ומסירה כנ"ל וגם השטרות יוצאות על שמו:</w:t>
      </w:r>
    </w:p>
    <w:p w14:paraId="6C4662D2" w14:textId="77777777" w:rsidR="001D49D4" w:rsidRPr="001D49D4" w:rsidRDefault="001D49D4" w:rsidP="0004348D">
      <w:pPr>
        <w:numPr>
          <w:ilvl w:val="0"/>
          <w:numId w:val="329"/>
        </w:numPr>
        <w:spacing w:before="360" w:after="240"/>
        <w:contextualSpacing/>
        <w:rPr>
          <w:rFonts w:ascii="Calibri" w:eastAsia="Calibri" w:hAnsi="Calibri" w:cs="Arial"/>
        </w:rPr>
      </w:pPr>
      <w:r w:rsidRPr="001D49D4">
        <w:rPr>
          <w:rFonts w:ascii="Calibri" w:eastAsia="Calibri" w:hAnsi="Calibri" w:cs="Arial"/>
          <w:rtl/>
        </w:rPr>
        <w:t>רשב"א</w:t>
      </w:r>
      <w:r w:rsidRPr="001D49D4">
        <w:rPr>
          <w:rFonts w:ascii="Calibri" w:eastAsia="Calibri" w:hAnsi="Calibri" w:cs="Arial"/>
          <w:sz w:val="16"/>
          <w:szCs w:val="16"/>
          <w:rtl/>
        </w:rPr>
        <w:t xml:space="preserve"> (שם)</w:t>
      </w:r>
      <w:r w:rsidRPr="001D49D4">
        <w:rPr>
          <w:rFonts w:ascii="Calibri" w:eastAsia="Calibri" w:hAnsi="Calibri" w:cs="Arial"/>
          <w:rtl/>
        </w:rPr>
        <w:t xml:space="preserve">- ושטרות שהיו יוצאות על שמו יש מן הגדולים שאמרו שנקנין במסירה לבד שכיון שיוצאות על שמו זה עולה לו במקום כתיבה, ואין דעתי כן אלא בין כך ובין כך צריך כתיבה ומסירה ושיאמר לו קני איהו וכל שעבודא דאית ביה, וראיה מבוארת בפרק האשה שלום </w:t>
      </w:r>
      <w:r w:rsidRPr="001D49D4">
        <w:rPr>
          <w:rFonts w:ascii="Calibri" w:eastAsia="Calibri" w:hAnsi="Calibri" w:cs="Arial"/>
          <w:sz w:val="16"/>
          <w:szCs w:val="16"/>
          <w:rtl/>
        </w:rPr>
        <w:t xml:space="preserve">(יבמות קטו:) </w:t>
      </w:r>
      <w:r w:rsidRPr="001D49D4">
        <w:rPr>
          <w:rFonts w:ascii="Calibri" w:eastAsia="Calibri" w:hAnsi="Calibri" w:cs="Arial"/>
          <w:rtl/>
        </w:rPr>
        <w:t xml:space="preserve">גבי יצחק ריש גלותא הוה אזיל מקורטובא לאספמיא אמר רבא מנא אמינא לה דהנהו שטרי דנפקי במחוזא וכתוב בהו חבו בר נני וכו' אי לפקדון כיון דשמיה כשמיה לא מפקיד ליה מאי אמרת דילמא מסר ליה וכו'. הילכך כל שנודע שהשטרות היו של יעקב אע"פ שיוצאות על שם בנימין - אינו קונה אלא בכתיבה ומסירה. </w:t>
      </w:r>
    </w:p>
    <w:p w14:paraId="634A0F1E" w14:textId="77777777" w:rsidR="001D49D4" w:rsidRPr="001D49D4" w:rsidRDefault="001D49D4" w:rsidP="0004348D">
      <w:pPr>
        <w:spacing w:before="360" w:after="240"/>
        <w:rPr>
          <w:rFonts w:ascii="Calibri" w:eastAsia="Calibri" w:hAnsi="Calibri" w:cs="Arial"/>
          <w:u w:val="single"/>
        </w:rPr>
      </w:pPr>
      <w:r w:rsidRPr="001D49D4">
        <w:rPr>
          <w:rFonts w:ascii="Calibri" w:eastAsia="Calibri" w:hAnsi="Calibri" w:cs="Arial"/>
          <w:u w:val="single"/>
          <w:rtl/>
        </w:rPr>
        <w:t xml:space="preserve">שטר מתנה שעל שם האם שנמצא אצל ביתה - וטוענת הבת שאמה כתבה לה שטר מתנה ונאבד:  </w:t>
      </w:r>
    </w:p>
    <w:p w14:paraId="2B32E36B" w14:textId="77777777" w:rsidR="001D49D4" w:rsidRPr="001D49D4" w:rsidRDefault="001D49D4" w:rsidP="0004348D">
      <w:pPr>
        <w:numPr>
          <w:ilvl w:val="0"/>
          <w:numId w:val="329"/>
        </w:numPr>
        <w:spacing w:before="360" w:after="240"/>
        <w:contextualSpacing/>
        <w:rPr>
          <w:rFonts w:ascii="Calibri" w:eastAsia="Calibri" w:hAnsi="Calibri" w:cs="Arial"/>
          <w:rtl/>
        </w:rPr>
      </w:pPr>
      <w:r w:rsidRPr="001D49D4">
        <w:rPr>
          <w:rFonts w:ascii="Calibri" w:eastAsia="Calibri" w:hAnsi="Calibri" w:cs="Arial"/>
          <w:rtl/>
        </w:rPr>
        <w:t>רשב"א</w:t>
      </w:r>
      <w:r w:rsidRPr="001D49D4">
        <w:rPr>
          <w:rFonts w:ascii="Calibri" w:eastAsia="Calibri" w:hAnsi="Calibri" w:cs="Arial"/>
          <w:sz w:val="16"/>
          <w:szCs w:val="16"/>
          <w:rtl/>
        </w:rPr>
        <w:t xml:space="preserve"> (ח"א סי' אלף קנו)</w:t>
      </w:r>
      <w:r w:rsidRPr="001D49D4">
        <w:rPr>
          <w:rFonts w:ascii="Calibri" w:eastAsia="Calibri" w:hAnsi="Calibri" w:cs="Arial"/>
          <w:rtl/>
        </w:rPr>
        <w:t>- שטר מתנת האם שביד הבת אינו מעלה ולא מוריד שאין תפיסתה בגוף השטר ראיה על מתנת האם לבת, דשמא הפקידו האם בידה. ואפילו אם תמצא לומר שנתנה לה - אינה זוכה בכך בגוף הנכסים ואע"פ שנזכרים אותם נכסים באותו שטר לפי שאותיות אינם נקנים במסירה לבד, ואע"פ שהיא טוענת שכתבה לה אמה שטר מתנה על אותם נכסים ונאבד - אינה נאמנת עד שתביא ראיה לדבריה.</w:t>
      </w:r>
    </w:p>
    <w:p w14:paraId="5A4B3A77" w14:textId="77777777" w:rsidR="001D49D4" w:rsidRPr="001D49D4" w:rsidRDefault="001D49D4" w:rsidP="0004348D">
      <w:pPr>
        <w:spacing w:before="360" w:after="240"/>
        <w:rPr>
          <w:rFonts w:ascii="Calibri" w:eastAsia="Calibri" w:hAnsi="Calibri" w:cs="Arial"/>
          <w:u w:val="single"/>
          <w:rtl/>
        </w:rPr>
      </w:pPr>
      <w:r w:rsidRPr="001D49D4">
        <w:rPr>
          <w:rFonts w:ascii="Calibri" w:eastAsia="Calibri" w:hAnsi="Calibri" w:cs="Arial"/>
          <w:u w:val="single"/>
          <w:rtl/>
        </w:rPr>
        <w:t xml:space="preserve">שטר ששם בעל השטר הכתוב בו הוא כשם הלוקח – האם סגי במסירה ללא כתיבה </w:t>
      </w:r>
      <w:r w:rsidRPr="001D49D4">
        <w:rPr>
          <w:rFonts w:ascii="Calibri" w:eastAsia="Calibri" w:hAnsi="Calibri" w:cs="Arial"/>
          <w:sz w:val="16"/>
          <w:szCs w:val="16"/>
          <w:u w:val="single"/>
          <w:rtl/>
        </w:rPr>
        <w:t>(כיון ששמו של הלוקח כבר כתוב בשטר)</w:t>
      </w:r>
      <w:r w:rsidRPr="001D49D4">
        <w:rPr>
          <w:rFonts w:ascii="Calibri" w:eastAsia="Calibri" w:hAnsi="Calibri" w:cs="Arial"/>
          <w:u w:val="single"/>
          <w:rtl/>
        </w:rPr>
        <w:t xml:space="preserve">: </w:t>
      </w:r>
    </w:p>
    <w:p w14:paraId="130EC2B9" w14:textId="77777777" w:rsidR="001D49D4" w:rsidRPr="001D49D4" w:rsidRDefault="001D49D4" w:rsidP="0004348D">
      <w:pPr>
        <w:numPr>
          <w:ilvl w:val="0"/>
          <w:numId w:val="329"/>
        </w:numPr>
        <w:spacing w:before="360" w:after="240"/>
        <w:contextualSpacing/>
        <w:rPr>
          <w:rFonts w:ascii="Calibri" w:eastAsia="Calibri" w:hAnsi="Calibri" w:cs="Arial"/>
        </w:rPr>
      </w:pPr>
      <w:r w:rsidRPr="001D49D4">
        <w:rPr>
          <w:rFonts w:ascii="Calibri" w:eastAsia="Calibri" w:hAnsi="Calibri" w:cs="Arial"/>
          <w:rtl/>
        </w:rPr>
        <w:t xml:space="preserve">רשב"א </w:t>
      </w:r>
      <w:r w:rsidRPr="001D49D4">
        <w:rPr>
          <w:rFonts w:ascii="Calibri" w:eastAsia="Calibri" w:hAnsi="Calibri" w:cs="Arial"/>
          <w:sz w:val="16"/>
          <w:szCs w:val="16"/>
          <w:rtl/>
        </w:rPr>
        <w:t>(ח"ב סי' לח)</w:t>
      </w:r>
      <w:r w:rsidRPr="001D49D4">
        <w:rPr>
          <w:rFonts w:ascii="Calibri" w:eastAsia="Calibri" w:hAnsi="Calibri" w:cs="Arial"/>
          <w:rtl/>
        </w:rPr>
        <w:t xml:space="preserve">- הרב בעל המאור כתב בפרק גט פשוט </w:t>
      </w:r>
      <w:r w:rsidRPr="001D49D4">
        <w:rPr>
          <w:rFonts w:ascii="Calibri" w:eastAsia="Calibri" w:hAnsi="Calibri" w:cs="Arial"/>
          <w:sz w:val="16"/>
          <w:szCs w:val="16"/>
          <w:rtl/>
        </w:rPr>
        <w:t xml:space="preserve">(פרק גט פשוט שם) </w:t>
      </w:r>
      <w:r w:rsidRPr="001D49D4">
        <w:rPr>
          <w:rFonts w:ascii="Calibri" w:eastAsia="Calibri" w:hAnsi="Calibri" w:cs="Arial"/>
          <w:rtl/>
        </w:rPr>
        <w:t>דכל שהשטר בשמו אין צריך כתיבה אחרת לפי שגוף השטר עומד לו במקום כתיבה, כגון שהוא כתוב על שם יוסף בן שמעון ושם זה יוסף בן שמעון כשם זה לפיכך זכה בו במסירה זו שנמסר השטר לידו כיון שהוא כתוב בשם איש ששמו כשמו עכ"ל הרז"ה, ולפי דבריו כל שכן כאן שיוסף בן שמעון זה הכתוב בשטר הוא הקונה, ואין כן דעת הרי"ף ולא ראיתי כן לאחד מכל הראשונים והאחרונים, וגם אני איני יכול לעמוד על דבריו, וההיא דריש פרק האשה שלום נראה לי דהויא תיובתיה</w:t>
      </w:r>
      <w:r w:rsidRPr="001D49D4">
        <w:rPr>
          <w:rFonts w:ascii="Calibri" w:eastAsia="Calibri" w:hAnsi="Calibri" w:cs="Arial"/>
          <w:vertAlign w:val="superscript"/>
          <w:rtl/>
        </w:rPr>
        <w:footnoteReference w:id="4966"/>
      </w:r>
      <w:r w:rsidRPr="001D49D4">
        <w:rPr>
          <w:rFonts w:ascii="Calibri" w:eastAsia="Calibri" w:hAnsi="Calibri" w:cs="Arial"/>
          <w:rtl/>
        </w:rPr>
        <w:t xml:space="preserve">. </w:t>
      </w:r>
      <w:r w:rsidRPr="001D49D4">
        <w:rPr>
          <w:rFonts w:ascii="Calibri" w:eastAsia="Calibri" w:hAnsi="Calibri" w:cs="Arial"/>
          <w:color w:val="00B0F0"/>
          <w:rtl/>
        </w:rPr>
        <w:t>(וכ"פ הרמ"א)</w:t>
      </w:r>
    </w:p>
    <w:p w14:paraId="3850DE5E" w14:textId="77777777" w:rsidR="001D49D4" w:rsidRPr="001D49D4" w:rsidRDefault="001D49D4" w:rsidP="0004348D">
      <w:pPr>
        <w:spacing w:before="360" w:after="240"/>
        <w:rPr>
          <w:rFonts w:ascii="Calibri" w:eastAsia="Calibri" w:hAnsi="Calibri" w:cs="Arial"/>
          <w:u w:val="single"/>
        </w:rPr>
      </w:pPr>
      <w:r w:rsidRPr="001D49D4">
        <w:rPr>
          <w:rFonts w:ascii="Calibri" w:eastAsia="Calibri" w:hAnsi="Calibri" w:cs="Arial"/>
          <w:u w:val="single"/>
          <w:rtl/>
        </w:rPr>
        <w:t>האומר לעדים לכתוב ולמסור ללוקח</w:t>
      </w:r>
      <w:r w:rsidRPr="001D49D4">
        <w:rPr>
          <w:rFonts w:ascii="Calibri" w:eastAsia="Calibri" w:hAnsi="Calibri" w:cs="Arial"/>
          <w:sz w:val="16"/>
          <w:szCs w:val="16"/>
          <w:u w:val="single"/>
          <w:rtl/>
        </w:rPr>
        <w:t xml:space="preserve"> (או שיתנו לו והוא יוליכנו אצל הלוקח)</w:t>
      </w:r>
      <w:r w:rsidRPr="001D49D4">
        <w:rPr>
          <w:rFonts w:ascii="Calibri" w:eastAsia="Calibri" w:hAnsi="Calibri" w:cs="Arial"/>
          <w:u w:val="single"/>
          <w:rtl/>
        </w:rPr>
        <w:t>, או שאמר לעדים לזכות ללוקח – האם בעינן כתיבה:</w:t>
      </w:r>
    </w:p>
    <w:p w14:paraId="116F879B" w14:textId="77777777" w:rsidR="001D49D4" w:rsidRPr="001D49D4" w:rsidRDefault="001D49D4" w:rsidP="0004348D">
      <w:pPr>
        <w:numPr>
          <w:ilvl w:val="0"/>
          <w:numId w:val="329"/>
        </w:numPr>
        <w:spacing w:before="360" w:after="240"/>
        <w:contextualSpacing/>
        <w:rPr>
          <w:rFonts w:ascii="Calibri" w:eastAsia="Calibri" w:hAnsi="Calibri" w:cs="Arial"/>
        </w:rPr>
      </w:pPr>
      <w:r w:rsidRPr="001D49D4">
        <w:rPr>
          <w:rFonts w:ascii="Calibri" w:eastAsia="Calibri" w:hAnsi="Calibri" w:cs="Arial"/>
          <w:rtl/>
        </w:rPr>
        <w:t xml:space="preserve">רשב"א </w:t>
      </w:r>
      <w:r w:rsidRPr="001D49D4">
        <w:rPr>
          <w:rFonts w:ascii="Calibri" w:eastAsia="Calibri" w:hAnsi="Calibri" w:cs="Arial"/>
          <w:sz w:val="16"/>
          <w:szCs w:val="16"/>
          <w:rtl/>
        </w:rPr>
        <w:t>(ח"ב סי' צט)</w:t>
      </w:r>
      <w:r w:rsidRPr="001D49D4">
        <w:rPr>
          <w:rFonts w:ascii="Calibri" w:eastAsia="Calibri" w:hAnsi="Calibri" w:cs="Arial"/>
          <w:rtl/>
        </w:rPr>
        <w:t>- כל שהוא אומר לעדים לכתוב ולמסור ללוקח או למלוה או לאחר בשבילם, או שיזכו להם העדים בעצמם, או שיכתבו ויתנו לו והוא יוליכנו אצל המלוה או הלוקח - אינו צריך כתיבה ומסירה, לפי שהעדים כותבין וחותמין לזוכה ואין זה שטר של מקנה אלא של קונה. אבל אם אמר לעדים כתבו ותנו לו, א"נ יהא בידכם עד שארצה אני ואם יתרצה לי הלוקח או המלוה אמסור לו שטר זה ונתרצה לו הלוקח או המלוה ומסר לו השטר - לא קנה עד שימסור ויכתוב, לפי שלא נעשה אותו השטר לקונה אלא למקנה ועכשיו הוא שמזכה המקנה שטר זה לקונה, ולפיכך הוה ליה כשטרות דעלמא שצריכים כתיבה ומסירה או אגב</w:t>
      </w:r>
      <w:r w:rsidRPr="001D49D4">
        <w:rPr>
          <w:rFonts w:ascii="Calibri" w:eastAsia="Calibri" w:hAnsi="Calibri" w:cs="Arial"/>
          <w:vertAlign w:val="superscript"/>
          <w:rtl/>
        </w:rPr>
        <w:footnoteReference w:id="4967"/>
      </w:r>
      <w:r w:rsidRPr="001D49D4">
        <w:rPr>
          <w:rFonts w:ascii="Calibri" w:eastAsia="Calibri" w:hAnsi="Calibri" w:cs="Arial"/>
          <w:rtl/>
        </w:rPr>
        <w:t xml:space="preserve">. </w:t>
      </w:r>
      <w:r w:rsidRPr="001D49D4">
        <w:rPr>
          <w:rFonts w:ascii="Calibri" w:eastAsia="Calibri" w:hAnsi="Calibri" w:cs="Arial"/>
          <w:color w:val="00B0F0"/>
          <w:rtl/>
        </w:rPr>
        <w:t>(וכ"פ הרמ"א)</w:t>
      </w:r>
    </w:p>
    <w:p w14:paraId="7EB1F569" w14:textId="77777777" w:rsidR="001D49D4" w:rsidRPr="001D49D4" w:rsidRDefault="001D49D4" w:rsidP="0004348D">
      <w:pPr>
        <w:spacing w:before="360" w:after="240"/>
        <w:rPr>
          <w:rFonts w:ascii="Calibri" w:eastAsia="Calibri" w:hAnsi="Calibri" w:cs="Arial"/>
          <w:u w:val="single"/>
          <w:rtl/>
        </w:rPr>
      </w:pPr>
      <w:r w:rsidRPr="001D49D4">
        <w:rPr>
          <w:rFonts w:ascii="Calibri" w:eastAsia="Calibri" w:hAnsi="Calibri" w:cs="Arial"/>
          <w:u w:val="single"/>
          <w:rtl/>
        </w:rPr>
        <w:t>שטר שכתוב בו שהוא משעבד עצמו למלוה ולכל שיתבענו בשטר ההוא – האם בעינן כתיבה בכה"ג:</w:t>
      </w:r>
    </w:p>
    <w:p w14:paraId="0C20AE84" w14:textId="77777777" w:rsidR="001D49D4" w:rsidRPr="001D49D4" w:rsidRDefault="001D49D4" w:rsidP="0004348D">
      <w:pPr>
        <w:numPr>
          <w:ilvl w:val="0"/>
          <w:numId w:val="329"/>
        </w:numPr>
        <w:spacing w:before="360" w:after="240"/>
        <w:contextualSpacing/>
        <w:rPr>
          <w:rFonts w:ascii="Calibri" w:eastAsia="Calibri" w:hAnsi="Calibri" w:cs="Arial"/>
          <w:rtl/>
        </w:rPr>
      </w:pPr>
      <w:r w:rsidRPr="001D49D4">
        <w:rPr>
          <w:rFonts w:ascii="Calibri" w:eastAsia="Calibri" w:hAnsi="Calibri" w:cs="Arial"/>
          <w:rtl/>
        </w:rPr>
        <w:t xml:space="preserve">תרוה"ד </w:t>
      </w:r>
      <w:r w:rsidRPr="001D49D4">
        <w:rPr>
          <w:rFonts w:ascii="Calibri" w:eastAsia="Calibri" w:hAnsi="Calibri" w:cs="Arial"/>
          <w:sz w:val="16"/>
          <w:szCs w:val="16"/>
          <w:rtl/>
        </w:rPr>
        <w:t>(סי' שלא)</w:t>
      </w:r>
      <w:r w:rsidRPr="001D49D4">
        <w:rPr>
          <w:rFonts w:ascii="Calibri" w:eastAsia="Calibri" w:hAnsi="Calibri" w:cs="Arial"/>
          <w:rtl/>
        </w:rPr>
        <w:t>- שטר שכתוב בו שהוא משעבד עצמו למלוה ולכל שיתבענו בשטר ההוא - יכול למכרו לחבירו בחליפין או במסירה בלא כתיבה</w:t>
      </w:r>
      <w:r w:rsidRPr="001D49D4">
        <w:rPr>
          <w:rFonts w:ascii="Calibri" w:eastAsia="Calibri" w:hAnsi="Calibri" w:cs="Arial"/>
          <w:vertAlign w:val="superscript"/>
          <w:rtl/>
        </w:rPr>
        <w:footnoteReference w:id="4968"/>
      </w:r>
      <w:r w:rsidRPr="001D49D4">
        <w:rPr>
          <w:rFonts w:ascii="Calibri" w:eastAsia="Calibri" w:hAnsi="Calibri" w:cs="Arial"/>
          <w:rtl/>
        </w:rPr>
        <w:t>.</w:t>
      </w:r>
      <w:r w:rsidRPr="001D49D4">
        <w:rPr>
          <w:rFonts w:ascii="Calibri" w:eastAsia="Calibri" w:hAnsi="Calibri" w:cs="Arial"/>
          <w:color w:val="00B0F0"/>
          <w:rtl/>
        </w:rPr>
        <w:t xml:space="preserve"> (וכ"פ הרמ"א)</w:t>
      </w:r>
    </w:p>
    <w:p w14:paraId="5CD3AAAF" w14:textId="77777777" w:rsidR="001D49D4" w:rsidRPr="001D49D4" w:rsidRDefault="001D49D4" w:rsidP="0004348D">
      <w:pPr>
        <w:spacing w:before="360" w:after="240"/>
        <w:rPr>
          <w:rFonts w:ascii="Calibri" w:eastAsia="Calibri" w:hAnsi="Calibri" w:cs="Arial"/>
          <w:u w:val="single"/>
        </w:rPr>
      </w:pPr>
      <w:r w:rsidRPr="001D49D4">
        <w:rPr>
          <w:rFonts w:ascii="Calibri" w:eastAsia="Calibri" w:hAnsi="Calibri" w:cs="Arial"/>
          <w:u w:val="single"/>
          <w:rtl/>
        </w:rPr>
        <w:t xml:space="preserve">מכר שטר חובו וכתב ולא מסר לו </w:t>
      </w:r>
      <w:r w:rsidRPr="001D49D4">
        <w:rPr>
          <w:rFonts w:ascii="Calibri" w:eastAsia="Calibri" w:hAnsi="Calibri" w:cs="Arial"/>
          <w:sz w:val="16"/>
          <w:szCs w:val="16"/>
          <w:u w:val="single"/>
          <w:rtl/>
        </w:rPr>
        <w:t>(או איפכא)</w:t>
      </w:r>
      <w:r w:rsidRPr="001D49D4">
        <w:rPr>
          <w:rFonts w:ascii="Calibri" w:eastAsia="Calibri" w:hAnsi="Calibri" w:cs="Arial"/>
          <w:u w:val="single"/>
          <w:rtl/>
        </w:rPr>
        <w:t>, ויש ביניהם דברים ומעות – וחזר בו המוכר:</w:t>
      </w:r>
    </w:p>
    <w:p w14:paraId="3F47E646" w14:textId="77777777" w:rsidR="001D49D4" w:rsidRPr="001D49D4" w:rsidRDefault="001D49D4" w:rsidP="0004348D">
      <w:pPr>
        <w:numPr>
          <w:ilvl w:val="0"/>
          <w:numId w:val="329"/>
        </w:numPr>
        <w:spacing w:before="360" w:after="240"/>
        <w:contextualSpacing/>
        <w:rPr>
          <w:rFonts w:ascii="Calibri" w:eastAsia="Calibri" w:hAnsi="Calibri" w:cs="Arial"/>
        </w:rPr>
      </w:pPr>
      <w:r w:rsidRPr="001D49D4">
        <w:rPr>
          <w:rFonts w:ascii="Calibri" w:eastAsia="Calibri" w:hAnsi="Calibri" w:cs="Arial"/>
          <w:rtl/>
        </w:rPr>
        <w:t xml:space="preserve">בעל התרומות </w:t>
      </w:r>
      <w:r w:rsidRPr="001D49D4">
        <w:rPr>
          <w:rFonts w:ascii="Calibri" w:eastAsia="Calibri" w:hAnsi="Calibri" w:cs="Arial"/>
          <w:sz w:val="16"/>
          <w:szCs w:val="16"/>
          <w:rtl/>
        </w:rPr>
        <w:t>(שער נא ח"ד סי' ד)</w:t>
      </w:r>
      <w:r w:rsidRPr="001D49D4">
        <w:rPr>
          <w:rFonts w:ascii="Calibri" w:eastAsia="Calibri" w:hAnsi="Calibri" w:cs="Arial"/>
          <w:rtl/>
        </w:rPr>
        <w:t>- יש לעיין מלוה שמכר שטר חובו בלא כתיבה ומסירה או שלא כתב לו הקנאתו כהוגן ונמצא שיש ביניהם דברים ומעות, שהרי אמר לו שהוא מוסר לו כל ממון החוב ולא קנאו. וחוזר בו המוכר. אם מוסרין אותו ל'מי שפרע' אם לאו. ויש מורה ואומר שבכל דבר שהוא פטור אין מוסרים אותו ל'מי שפרע', שהרי אין לו להחזיר לו את מעות המקח, וכדלעיל</w:t>
      </w:r>
      <w:r w:rsidRPr="001D49D4">
        <w:rPr>
          <w:rFonts w:ascii="Calibri" w:eastAsia="Calibri" w:hAnsi="Calibri" w:cs="Arial"/>
          <w:sz w:val="16"/>
          <w:szCs w:val="16"/>
          <w:rtl/>
        </w:rPr>
        <w:t xml:space="preserve"> (סי' א)</w:t>
      </w:r>
      <w:r w:rsidRPr="001D49D4">
        <w:rPr>
          <w:rFonts w:ascii="Calibri" w:eastAsia="Calibri" w:hAnsi="Calibri" w:cs="Arial"/>
          <w:rtl/>
        </w:rPr>
        <w:t>, דניחא ליה לצור. ואין בו משום אונאה, וכדלעיל. ואע"פ שאין ברור אצלנו, כמו שכתבנו למעלה</w:t>
      </w:r>
      <w:r w:rsidRPr="001D49D4">
        <w:rPr>
          <w:rFonts w:ascii="Calibri" w:eastAsia="Calibri" w:hAnsi="Calibri" w:cs="Arial"/>
          <w:vertAlign w:val="superscript"/>
          <w:rtl/>
        </w:rPr>
        <w:footnoteReference w:id="4969"/>
      </w:r>
      <w:r w:rsidRPr="001D49D4">
        <w:rPr>
          <w:rFonts w:ascii="Calibri" w:eastAsia="Calibri" w:hAnsi="Calibri" w:cs="Arial"/>
          <w:rtl/>
        </w:rPr>
        <w:t>.</w:t>
      </w:r>
      <w:r w:rsidRPr="001D49D4">
        <w:rPr>
          <w:rFonts w:ascii="Calibri" w:eastAsia="Calibri" w:hAnsi="Calibri" w:cs="Arial"/>
          <w:color w:val="00B0F0"/>
          <w:rtl/>
        </w:rPr>
        <w:t xml:space="preserve"> (וכ"פ הרמ"א</w:t>
      </w:r>
      <w:r w:rsidRPr="001D49D4">
        <w:rPr>
          <w:rFonts w:ascii="Calibri" w:eastAsia="Calibri" w:hAnsi="Calibri" w:cs="Arial"/>
          <w:vertAlign w:val="superscript"/>
          <w:rtl/>
        </w:rPr>
        <w:footnoteReference w:id="4970"/>
      </w:r>
      <w:r w:rsidRPr="001D49D4">
        <w:rPr>
          <w:rFonts w:ascii="Calibri" w:eastAsia="Calibri" w:hAnsi="Calibri" w:cs="Arial"/>
          <w:color w:val="00B0F0"/>
          <w:rtl/>
        </w:rPr>
        <w:t>)</w:t>
      </w:r>
      <w:r w:rsidRPr="001D49D4">
        <w:rPr>
          <w:rFonts w:ascii="Calibri" w:eastAsia="Calibri" w:hAnsi="Calibri" w:cs="Arial"/>
          <w:rtl/>
        </w:rPr>
        <w:t xml:space="preserve"> </w:t>
      </w:r>
    </w:p>
    <w:p w14:paraId="4459D815" w14:textId="77777777" w:rsidR="001D49D4" w:rsidRPr="001D49D4" w:rsidRDefault="001D49D4" w:rsidP="0004348D">
      <w:pPr>
        <w:spacing w:before="360" w:after="240"/>
        <w:rPr>
          <w:rFonts w:ascii="Calibri" w:eastAsia="Calibri" w:hAnsi="Calibri" w:cs="Arial"/>
          <w:u w:val="single"/>
        </w:rPr>
      </w:pPr>
      <w:r w:rsidRPr="001D49D4">
        <w:rPr>
          <w:rFonts w:ascii="Calibri" w:eastAsia="Calibri" w:hAnsi="Calibri" w:cs="Arial"/>
          <w:u w:val="single"/>
          <w:rtl/>
        </w:rPr>
        <w:t xml:space="preserve">ראובן נתן לשמעון שט"ח ועשה לו שטר הקנאה, ולא בא </w:t>
      </w:r>
      <w:r w:rsidRPr="001D49D4">
        <w:rPr>
          <w:rFonts w:ascii="Calibri" w:eastAsia="Calibri" w:hAnsi="Calibri" w:cs="Arial"/>
          <w:sz w:val="16"/>
          <w:szCs w:val="16"/>
          <w:u w:val="single"/>
          <w:rtl/>
        </w:rPr>
        <w:t xml:space="preserve">(שטר ההקנאה) </w:t>
      </w:r>
      <w:r w:rsidRPr="001D49D4">
        <w:rPr>
          <w:rFonts w:ascii="Calibri" w:eastAsia="Calibri" w:hAnsi="Calibri" w:cs="Arial"/>
          <w:u w:val="single"/>
          <w:rtl/>
        </w:rPr>
        <w:t>ליד שמעון, וקבל עליו ראובן אחריות על השט"ח:</w:t>
      </w:r>
    </w:p>
    <w:p w14:paraId="45C37080" w14:textId="77777777" w:rsidR="001D49D4" w:rsidRPr="001D49D4" w:rsidRDefault="001D49D4" w:rsidP="0004348D">
      <w:pPr>
        <w:numPr>
          <w:ilvl w:val="0"/>
          <w:numId w:val="329"/>
        </w:numPr>
        <w:spacing w:before="360" w:after="240"/>
        <w:contextualSpacing/>
        <w:rPr>
          <w:rFonts w:ascii="Calibri" w:eastAsia="Calibri" w:hAnsi="Calibri" w:cs="Arial"/>
          <w:rtl/>
        </w:rPr>
      </w:pPr>
      <w:r w:rsidRPr="001D49D4">
        <w:rPr>
          <w:rFonts w:ascii="Calibri" w:eastAsia="Calibri" w:hAnsi="Calibri" w:cs="Arial"/>
          <w:rtl/>
        </w:rPr>
        <w:t xml:space="preserve">רשב"א </w:t>
      </w:r>
      <w:r w:rsidRPr="001D49D4">
        <w:rPr>
          <w:rFonts w:ascii="Calibri" w:eastAsia="Calibri" w:hAnsi="Calibri" w:cs="Arial"/>
          <w:sz w:val="16"/>
          <w:szCs w:val="16"/>
          <w:rtl/>
        </w:rPr>
        <w:t>(ח"ב סי' קצד)</w:t>
      </w:r>
      <w:r w:rsidRPr="001D49D4">
        <w:rPr>
          <w:rFonts w:ascii="Calibri" w:eastAsia="Calibri" w:hAnsi="Calibri" w:cs="Arial"/>
          <w:rtl/>
        </w:rPr>
        <w:t xml:space="preserve">- ראובן נתן לשמעון שטרי חובות, ועשה לו מהם שטר הקנאה בגופן של גוים, וקבל עליו אחריות בשטר, וכתב לו בלשון הזה 'מחמת שהקניתי לו כבר שטרי חובות עשויין בגופן של גוים בשטר הקנאה שבידו שעשיתי לו גם כן בגופן של גוים ועכשיו רציתי ברצון נפשי וקבלתי עלי אחריות בשטר מכל סך הקרן הנזכר'. ועכשיו תובע שמעון לראובן שיפרע לו אחד מהשטרות שאינו יכול לגבות מהלוה. וראובן טוען ששמעון תובע מכח הקנאה העשויה בגופן של גוים ואותה הקנאה אינה עשויה כראוי. וטען שמעון שהיא עשויה כראוי אלא שאינו יכול להוציא מיד הסופר. תשובה, המודה שהקנה לחבירו כך וכך - הקנאה כתקונה משמע, דכל שמודה דרך סיפור לא הוצרך לפרט אלא להזכיר כלל מה שעשה והקנה כבר, וכל שכן זה שהודה שהקנה לו וקבל עליו אחריות קרן השטרות - שזה באמת מודה שבמה שהוא מקבל עליו האחריות מודה שהקנה לו כבר. אבל מצד אחר אני אומר שלא קנה שמעון מעיקרא השטרות ההם - משום דאין אותיות נקנות אלא בכתיבה ומסירה, וזה כבר הודה שלא בא לידו שטר ההקנאה. ואע"פ שאמר לערב לכתוב לו, ואפילו אמר לעדים וקנו מידו - לא קנה, שאין כאן כתיבה, וא"כ במה קנאן. ומ"מ כיון שחייב לו עצמו ונכסיו ראובן עכשיו בקנין שאם לא יפרעו לו הלווים שיהא רשות בידו לכופו לשלם לו - הרי הוא מחוייב בכך, שהרי הוא יכול לחייב עצמו במה שלא היה חייב כדרבי יוחנן </w:t>
      </w:r>
      <w:r w:rsidRPr="001D49D4">
        <w:rPr>
          <w:rFonts w:ascii="Calibri" w:eastAsia="Calibri" w:hAnsi="Calibri" w:cs="Arial"/>
          <w:sz w:val="16"/>
          <w:szCs w:val="16"/>
          <w:rtl/>
        </w:rPr>
        <w:t xml:space="preserve">(כתובות קא:) </w:t>
      </w:r>
      <w:r w:rsidRPr="001D49D4">
        <w:rPr>
          <w:rFonts w:ascii="Calibri" w:eastAsia="Calibri" w:hAnsi="Calibri" w:cs="Arial"/>
          <w:rtl/>
        </w:rPr>
        <w:t>דאמר חייב אני לך מנה בשטר חייב, ואפילו מסר לו עכשיו בפנינו שטרות ואמר לו 'קני לך הן וכל שעבודן ואם לא יפרעו לך מכאן ועד יום פלוני גבה בסך השטרות מנכסי' וקנו מידו - זה בלי ספק גובה מנכסיו שאין האחריות תלוי במה שהדין נותן שקנה או שלא קנה.</w:t>
      </w:r>
      <w:r w:rsidRPr="001D49D4">
        <w:rPr>
          <w:rFonts w:ascii="Calibri" w:eastAsia="Calibri" w:hAnsi="Calibri" w:cs="Arial"/>
          <w:color w:val="00B0F0"/>
          <w:rtl/>
        </w:rPr>
        <w:t xml:space="preserve"> (וכ"פ הרמ"א)</w:t>
      </w:r>
    </w:p>
    <w:p w14:paraId="75BFB44A" w14:textId="77777777" w:rsidR="001D49D4" w:rsidRPr="001D49D4" w:rsidRDefault="001D49D4" w:rsidP="0004348D">
      <w:pPr>
        <w:spacing w:before="360" w:after="240"/>
        <w:rPr>
          <w:rFonts w:ascii="Calibri" w:eastAsia="Calibri" w:hAnsi="Calibri" w:cs="Arial"/>
          <w:sz w:val="16"/>
          <w:szCs w:val="16"/>
          <w:rtl/>
        </w:rPr>
      </w:pPr>
      <w:r w:rsidRPr="001D49D4">
        <w:rPr>
          <w:rFonts w:ascii="Calibri" w:eastAsia="Calibri" w:hAnsi="Calibri" w:cs="Arial"/>
          <w:u w:val="single"/>
          <w:rtl/>
        </w:rPr>
        <w:t>קניית קרקעות בכסף:</w:t>
      </w:r>
      <w:r w:rsidRPr="001D49D4">
        <w:rPr>
          <w:rFonts w:ascii="Calibri" w:eastAsia="Calibri" w:hAnsi="Calibri" w:cs="Arial"/>
          <w:sz w:val="16"/>
          <w:szCs w:val="16"/>
          <w:rtl/>
        </w:rPr>
        <w:t xml:space="preserve">   (ש"ך סק"ב)</w:t>
      </w:r>
    </w:p>
    <w:p w14:paraId="56747A43" w14:textId="77777777" w:rsidR="001D49D4" w:rsidRPr="001D49D4" w:rsidRDefault="001D49D4" w:rsidP="0004348D">
      <w:pPr>
        <w:numPr>
          <w:ilvl w:val="0"/>
          <w:numId w:val="329"/>
        </w:numPr>
        <w:spacing w:before="360" w:after="240"/>
        <w:contextualSpacing/>
        <w:rPr>
          <w:rFonts w:ascii="Calibri" w:eastAsia="Calibri" w:hAnsi="Calibri" w:cs="Arial"/>
          <w:rtl/>
        </w:rPr>
      </w:pPr>
      <w:r w:rsidRPr="001D49D4">
        <w:rPr>
          <w:rFonts w:ascii="Calibri" w:eastAsia="Calibri" w:hAnsi="Calibri" w:cs="Arial"/>
          <w:rtl/>
        </w:rPr>
        <w:t xml:space="preserve">רי"ו </w:t>
      </w:r>
      <w:r w:rsidRPr="001D49D4">
        <w:rPr>
          <w:rFonts w:ascii="Calibri" w:eastAsia="Calibri" w:hAnsi="Calibri" w:cs="Arial"/>
          <w:sz w:val="16"/>
          <w:szCs w:val="16"/>
          <w:rtl/>
        </w:rPr>
        <w:t>(ני"ד)</w:t>
      </w:r>
      <w:r w:rsidRPr="001D49D4">
        <w:rPr>
          <w:rFonts w:ascii="Calibri" w:eastAsia="Calibri" w:hAnsi="Calibri" w:cs="Arial"/>
          <w:rtl/>
        </w:rPr>
        <w:t>- שטרות נקנים בכסף כמו קרקע, כך פשוט בש"ס קמא</w:t>
      </w:r>
      <w:r w:rsidRPr="001D49D4">
        <w:rPr>
          <w:rFonts w:ascii="Calibri" w:eastAsia="Calibri" w:hAnsi="Calibri" w:cs="Arial"/>
          <w:vertAlign w:val="superscript"/>
          <w:rtl/>
        </w:rPr>
        <w:footnoteReference w:id="4971"/>
      </w:r>
      <w:r w:rsidRPr="001D49D4">
        <w:rPr>
          <w:rFonts w:ascii="Calibri" w:eastAsia="Calibri" w:hAnsi="Calibri" w:cs="Arial"/>
          <w:rtl/>
        </w:rPr>
        <w:t>.</w:t>
      </w:r>
    </w:p>
    <w:p w14:paraId="4D832E16" w14:textId="77777777" w:rsidR="001D49D4" w:rsidRPr="001D49D4" w:rsidRDefault="001D49D4" w:rsidP="0004348D">
      <w:pPr>
        <w:spacing w:before="360" w:after="240"/>
        <w:rPr>
          <w:rFonts w:ascii="Calibri" w:eastAsia="Calibri" w:hAnsi="Calibri" w:cs="Arial"/>
        </w:rPr>
      </w:pPr>
      <w:r w:rsidRPr="001D49D4">
        <w:rPr>
          <w:rFonts w:ascii="Calibri" w:eastAsia="Calibri" w:hAnsi="Calibri" w:cs="Arial"/>
          <w:b/>
          <w:bCs/>
          <w:rtl/>
        </w:rPr>
        <w:t xml:space="preserve">קדושין </w:t>
      </w:r>
      <w:r w:rsidRPr="001D49D4">
        <w:rPr>
          <w:rFonts w:ascii="Calibri" w:eastAsia="Calibri" w:hAnsi="Calibri" w:cs="Arial"/>
          <w:b/>
          <w:bCs/>
          <w:sz w:val="16"/>
          <w:szCs w:val="16"/>
          <w:rtl/>
        </w:rPr>
        <w:t xml:space="preserve">(פ"ק) </w:t>
      </w:r>
      <w:r w:rsidRPr="001D49D4">
        <w:rPr>
          <w:rFonts w:ascii="Calibri" w:eastAsia="Calibri" w:hAnsi="Calibri" w:cs="Arial"/>
          <w:b/>
          <w:bCs/>
          <w:rtl/>
        </w:rPr>
        <w:t>כח</w:t>
      </w:r>
      <w:r w:rsidRPr="001D49D4">
        <w:rPr>
          <w:rFonts w:ascii="Calibri" w:eastAsia="Calibri" w:hAnsi="Calibri" w:cs="Arial"/>
          <w:b/>
          <w:bCs/>
          <w:vertAlign w:val="superscript"/>
          <w:rtl/>
        </w:rPr>
        <w:footnoteReference w:id="4972"/>
      </w:r>
      <w:r w:rsidRPr="001D49D4">
        <w:rPr>
          <w:rFonts w:ascii="Calibri" w:eastAsia="Calibri" w:hAnsi="Calibri" w:cs="Arial"/>
          <w:b/>
          <w:bCs/>
          <w:rtl/>
        </w:rPr>
        <w:t xml:space="preserve"> ע"ב:</w:t>
      </w:r>
      <w:r w:rsidRPr="001D49D4">
        <w:rPr>
          <w:rFonts w:ascii="Calibri" w:eastAsia="Calibri" w:hAnsi="Calibri" w:cs="Arial"/>
          <w:rtl/>
        </w:rPr>
        <w:t xml:space="preserve"> </w:t>
      </w:r>
      <w:r w:rsidRPr="001D49D4">
        <w:rPr>
          <w:rFonts w:ascii="Calibri" w:eastAsia="Calibri" w:hAnsi="Calibri" w:cs="Arial"/>
          <w:u w:val="double"/>
          <w:rtl/>
        </w:rPr>
        <w:t>מתני'</w:t>
      </w:r>
      <w:r w:rsidRPr="001D49D4">
        <w:rPr>
          <w:rFonts w:ascii="Calibri" w:eastAsia="Calibri" w:hAnsi="Calibri" w:cs="Arial"/>
          <w:rtl/>
        </w:rPr>
        <w:t>: רשות הגבוה - בכסף, ורשות ההדיוט - בחזקה. אמירתו לגבוה כמסירתו להדיוט.</w:t>
      </w:r>
    </w:p>
    <w:p w14:paraId="3C8BE25A" w14:textId="77777777" w:rsidR="001D49D4" w:rsidRPr="001D49D4" w:rsidRDefault="001D49D4" w:rsidP="0004348D">
      <w:pPr>
        <w:spacing w:before="360" w:after="240"/>
        <w:rPr>
          <w:rFonts w:ascii="Calibri" w:eastAsia="Calibri" w:hAnsi="Calibri" w:cs="Arial"/>
          <w:u w:val="single"/>
          <w:rtl/>
        </w:rPr>
      </w:pPr>
      <w:r w:rsidRPr="001D49D4">
        <w:rPr>
          <w:rFonts w:ascii="Calibri" w:eastAsia="Calibri" w:hAnsi="Calibri" w:cs="Arial"/>
          <w:u w:val="single"/>
          <w:rtl/>
        </w:rPr>
        <w:t>האומר 'שטר זה וכל שעבודו יהיה לעניים' – האם קנו העניים:</w:t>
      </w:r>
      <w:r w:rsidRPr="001D49D4">
        <w:rPr>
          <w:rFonts w:ascii="Calibri" w:eastAsia="Calibri" w:hAnsi="Calibri" w:cs="Arial"/>
          <w:sz w:val="16"/>
          <w:szCs w:val="16"/>
          <w:rtl/>
        </w:rPr>
        <w:t xml:space="preserve">  (ש"ך סק"ב)</w:t>
      </w:r>
    </w:p>
    <w:p w14:paraId="5D7760CC" w14:textId="77777777" w:rsidR="001D49D4" w:rsidRPr="001D49D4" w:rsidRDefault="001D49D4" w:rsidP="0004348D">
      <w:pPr>
        <w:numPr>
          <w:ilvl w:val="0"/>
          <w:numId w:val="329"/>
        </w:numPr>
        <w:spacing w:before="360" w:after="240"/>
        <w:contextualSpacing/>
        <w:rPr>
          <w:rFonts w:ascii="Calibri" w:eastAsia="Calibri" w:hAnsi="Calibri" w:cs="Arial"/>
        </w:rPr>
      </w:pPr>
      <w:r w:rsidRPr="001D49D4">
        <w:rPr>
          <w:rFonts w:ascii="Calibri" w:eastAsia="Calibri" w:hAnsi="Calibri" w:cs="Arial"/>
          <w:rtl/>
        </w:rPr>
        <w:t xml:space="preserve">ריטב"א </w:t>
      </w:r>
      <w:r w:rsidRPr="001D49D4">
        <w:rPr>
          <w:rFonts w:ascii="Calibri" w:eastAsia="Calibri" w:hAnsi="Calibri" w:cs="Arial"/>
          <w:sz w:val="16"/>
          <w:szCs w:val="16"/>
          <w:rtl/>
        </w:rPr>
        <w:t>(פ"ק דקדושין כח. ד"ה רשות)</w:t>
      </w:r>
      <w:r w:rsidRPr="001D49D4">
        <w:rPr>
          <w:rFonts w:ascii="Calibri" w:eastAsia="Calibri" w:hAnsi="Calibri" w:cs="Arial"/>
          <w:rtl/>
        </w:rPr>
        <w:t xml:space="preserve">- הא דאמרינן 'אמירתו לגבוה כמסירתו להדיוט' כן הדין בהקדש לעניים בזמן הזה, והאי כמסירתו דקאמר, לאו מסירה ממש אלא מסירתו פירושו בהקנאתו כל חד וחד בהקנאה דיליה, ובשטרות הוי ככתיבה ומסירה, ובקרקעות כחזקה. הלכך האומר שטר זה וכל שעבודו יהיה לעניים - זכו לגמרי, והוא דקאמר 'וכל שעבודו'. דנהי דהקנאה דהדיוט לא בעי, אמירה דהדיוט בעי, מפי מורי נר"ו.  </w:t>
      </w:r>
    </w:p>
    <w:p w14:paraId="47C9649A" w14:textId="77777777" w:rsidR="001D49D4" w:rsidRPr="001D49D4" w:rsidRDefault="001D49D4" w:rsidP="0004348D">
      <w:pPr>
        <w:spacing w:before="360" w:after="240"/>
        <w:rPr>
          <w:rFonts w:ascii="Arial" w:eastAsia="Calibri" w:hAnsi="Arial" w:cs="Arial"/>
          <w:b/>
          <w:bCs/>
          <w:color w:val="000000"/>
          <w:sz w:val="28"/>
          <w:szCs w:val="28"/>
          <w:u w:val="single"/>
          <w:rtl/>
        </w:rPr>
      </w:pPr>
      <w:r w:rsidRPr="001D49D4">
        <w:rPr>
          <w:rFonts w:ascii="Arial" w:eastAsia="Calibri" w:hAnsi="Arial" w:cs="Arial"/>
          <w:b/>
          <w:bCs/>
          <w:color w:val="000000"/>
          <w:sz w:val="28"/>
          <w:szCs w:val="28"/>
          <w:u w:val="single"/>
          <w:rtl/>
        </w:rPr>
        <w:t>שו"ע:</w:t>
      </w:r>
    </w:p>
    <w:p w14:paraId="14253067"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rtl/>
        </w:rPr>
        <w:t xml:space="preserve">אותיות אין נקנין אלא בכתיבה ומסירה. </w:t>
      </w:r>
      <w:r w:rsidRPr="001D49D4">
        <w:rPr>
          <w:rFonts w:ascii="Calibri" w:eastAsia="Calibri" w:hAnsi="Calibri" w:cs="Arial"/>
          <w:sz w:val="18"/>
          <w:szCs w:val="18"/>
          <w:rtl/>
        </w:rPr>
        <w:t>הגה: י"א דשטר שכתוב בו 'אני משעבד לך ולכל מי שמוציאו', נקנה בחליפין או במסירה בלא כתיבה</w:t>
      </w:r>
      <w:r w:rsidRPr="001D49D4">
        <w:rPr>
          <w:rFonts w:ascii="Calibri" w:eastAsia="Calibri" w:hAnsi="Calibri" w:cs="Arial"/>
          <w:sz w:val="18"/>
          <w:szCs w:val="18"/>
          <w:vertAlign w:val="superscript"/>
          <w:rtl/>
        </w:rPr>
        <w:footnoteReference w:id="4973"/>
      </w:r>
      <w:r w:rsidRPr="001D49D4">
        <w:rPr>
          <w:rFonts w:ascii="Calibri" w:eastAsia="Calibri" w:hAnsi="Calibri" w:cs="Arial"/>
          <w:sz w:val="18"/>
          <w:szCs w:val="18"/>
          <w:rtl/>
        </w:rPr>
        <w:t xml:space="preserve"> </w:t>
      </w:r>
      <w:r w:rsidRPr="001D49D4">
        <w:rPr>
          <w:rFonts w:ascii="Calibri" w:eastAsia="Calibri" w:hAnsi="Calibri" w:cs="Arial"/>
          <w:sz w:val="16"/>
          <w:szCs w:val="16"/>
          <w:rtl/>
        </w:rPr>
        <w:t>(תרוה"ד)</w:t>
      </w:r>
      <w:r w:rsidRPr="001D49D4">
        <w:rPr>
          <w:rFonts w:ascii="Calibri" w:eastAsia="Calibri" w:hAnsi="Calibri" w:cs="Arial"/>
          <w:sz w:val="18"/>
          <w:szCs w:val="18"/>
          <w:rtl/>
        </w:rPr>
        <w:t>. אבל אם לא כתוב בו כך, רק שנכתב על שם הלוקח מתחילה, צריך כתיבה ומסירה</w:t>
      </w:r>
      <w:r w:rsidRPr="001D49D4">
        <w:rPr>
          <w:rFonts w:ascii="Calibri" w:eastAsia="Calibri" w:hAnsi="Calibri" w:cs="Arial"/>
          <w:sz w:val="16"/>
          <w:szCs w:val="16"/>
          <w:rtl/>
        </w:rPr>
        <w:t xml:space="preserve"> (רשב"א בשם הרי"ף)</w:t>
      </w:r>
      <w:r w:rsidRPr="001D49D4">
        <w:rPr>
          <w:rFonts w:ascii="Calibri" w:eastAsia="Calibri" w:hAnsi="Calibri" w:cs="Arial"/>
          <w:sz w:val="18"/>
          <w:szCs w:val="18"/>
          <w:rtl/>
        </w:rPr>
        <w:t>. ודוקא שהיה השטר של מוכר רק שהיה נכתב על שם הלוקח, אבל אם אמר מתחילה לעדים 'כתבו שטר ללוקח ותנו לו', דעיקר הכתיבה היתה ללוקח, א"צ כתיבה ומסירה</w:t>
      </w:r>
      <w:r w:rsidRPr="001D49D4">
        <w:rPr>
          <w:rFonts w:ascii="Calibri" w:eastAsia="Calibri" w:hAnsi="Calibri" w:cs="Arial"/>
          <w:sz w:val="16"/>
          <w:szCs w:val="16"/>
          <w:rtl/>
        </w:rPr>
        <w:t xml:space="preserve"> (רשב"א)</w:t>
      </w:r>
      <w:r w:rsidRPr="001D49D4">
        <w:rPr>
          <w:rFonts w:ascii="Calibri" w:eastAsia="Calibri" w:hAnsi="Calibri" w:cs="Arial"/>
          <w:sz w:val="18"/>
          <w:szCs w:val="18"/>
          <w:rtl/>
        </w:rPr>
        <w:t>. ועיין בסמוך סע' ד' ה'.</w:t>
      </w:r>
      <w:r w:rsidRPr="001D49D4">
        <w:rPr>
          <w:rFonts w:ascii="Calibri" w:eastAsia="Calibri" w:hAnsi="Calibri" w:cs="Arial"/>
          <w:rtl/>
        </w:rPr>
        <w:t xml:space="preserve"> הילכך האי מאן דמזבין</w:t>
      </w:r>
      <w:r w:rsidRPr="001D49D4">
        <w:rPr>
          <w:rFonts w:ascii="Calibri" w:eastAsia="Calibri" w:hAnsi="Calibri" w:cs="Arial"/>
          <w:vertAlign w:val="superscript"/>
          <w:rtl/>
        </w:rPr>
        <w:footnoteReference w:id="4974"/>
      </w:r>
      <w:r w:rsidRPr="001D49D4">
        <w:rPr>
          <w:rFonts w:ascii="Calibri" w:eastAsia="Calibri" w:hAnsi="Calibri" w:cs="Arial"/>
          <w:rtl/>
        </w:rPr>
        <w:t xml:space="preserve"> שטרא לחבריה, צריך למכתב</w:t>
      </w:r>
      <w:r w:rsidRPr="001D49D4">
        <w:rPr>
          <w:rFonts w:ascii="Calibri" w:eastAsia="Calibri" w:hAnsi="Calibri" w:cs="Arial"/>
          <w:vertAlign w:val="superscript"/>
          <w:rtl/>
        </w:rPr>
        <w:footnoteReference w:id="4975"/>
      </w:r>
      <w:r w:rsidRPr="001D49D4">
        <w:rPr>
          <w:rFonts w:ascii="Calibri" w:eastAsia="Calibri" w:hAnsi="Calibri" w:cs="Arial"/>
          <w:rtl/>
        </w:rPr>
        <w:t xml:space="preserve"> ליה: קני לך איהו וכל שעבודא דאית ביה. ואם לא כתב כן, לא קנה המלוה שבו, ואפילו הנייר לצור על פי צלוחיתו לא קנה</w:t>
      </w:r>
      <w:r w:rsidRPr="001D49D4">
        <w:rPr>
          <w:rFonts w:ascii="Calibri" w:eastAsia="Calibri" w:hAnsi="Calibri" w:cs="Arial"/>
          <w:vertAlign w:val="superscript"/>
          <w:rtl/>
        </w:rPr>
        <w:footnoteReference w:id="4976"/>
      </w:r>
      <w:r w:rsidRPr="001D49D4">
        <w:rPr>
          <w:rFonts w:ascii="Calibri" w:eastAsia="Calibri" w:hAnsi="Calibri" w:cs="Arial"/>
          <w:rtl/>
        </w:rPr>
        <w:t>, אלא מקח טעות הוא</w:t>
      </w:r>
      <w:r w:rsidRPr="001D49D4">
        <w:rPr>
          <w:rFonts w:ascii="Calibri" w:eastAsia="Calibri" w:hAnsi="Calibri" w:cs="Arial"/>
          <w:vertAlign w:val="superscript"/>
          <w:rtl/>
        </w:rPr>
        <w:footnoteReference w:id="4977"/>
      </w:r>
      <w:r w:rsidRPr="001D49D4">
        <w:rPr>
          <w:rFonts w:ascii="Calibri" w:eastAsia="Calibri" w:hAnsi="Calibri" w:cs="Arial"/>
          <w:rtl/>
        </w:rPr>
        <w:t>, ומחזיר הנייר ויחזיר לו הדמים.</w:t>
      </w:r>
      <w:r w:rsidRPr="001D49D4">
        <w:rPr>
          <w:rFonts w:ascii="Calibri" w:eastAsia="Calibri" w:hAnsi="Calibri" w:cs="Arial"/>
          <w:sz w:val="18"/>
          <w:szCs w:val="18"/>
          <w:vertAlign w:val="superscript"/>
          <w:rtl/>
        </w:rPr>
        <w:t xml:space="preserve"> </w:t>
      </w:r>
      <w:r w:rsidRPr="001D49D4">
        <w:rPr>
          <w:rFonts w:ascii="Calibri" w:eastAsia="Calibri" w:hAnsi="Calibri" w:cs="Arial"/>
          <w:sz w:val="18"/>
          <w:szCs w:val="18"/>
          <w:vertAlign w:val="superscript"/>
          <w:rtl/>
        </w:rPr>
        <w:footnoteReference w:id="4978"/>
      </w:r>
      <w:r w:rsidRPr="001D49D4">
        <w:rPr>
          <w:rFonts w:ascii="Calibri" w:eastAsia="Calibri" w:hAnsi="Calibri" w:cs="Arial"/>
          <w:sz w:val="18"/>
          <w:szCs w:val="18"/>
          <w:rtl/>
        </w:rPr>
        <w:t>הגה: מיהו יכול לתפוס הנייר עד שיחזיר לו דמיו</w:t>
      </w:r>
      <w:r w:rsidRPr="001D49D4">
        <w:rPr>
          <w:rFonts w:ascii="Calibri" w:eastAsia="Calibri" w:hAnsi="Calibri" w:cs="Arial"/>
          <w:sz w:val="18"/>
          <w:szCs w:val="18"/>
          <w:vertAlign w:val="superscript"/>
          <w:rtl/>
        </w:rPr>
        <w:footnoteReference w:id="4979"/>
      </w:r>
      <w:r w:rsidRPr="001D49D4">
        <w:rPr>
          <w:rFonts w:ascii="Calibri" w:eastAsia="Calibri" w:hAnsi="Calibri" w:cs="Arial"/>
          <w:sz w:val="18"/>
          <w:szCs w:val="18"/>
          <w:rtl/>
        </w:rPr>
        <w:t xml:space="preserve"> </w:t>
      </w:r>
      <w:r w:rsidRPr="001D49D4">
        <w:rPr>
          <w:rFonts w:ascii="Calibri" w:eastAsia="Calibri" w:hAnsi="Calibri" w:cs="Arial"/>
          <w:sz w:val="16"/>
          <w:szCs w:val="16"/>
          <w:rtl/>
        </w:rPr>
        <w:t>(רי"ו)</w:t>
      </w:r>
      <w:r w:rsidRPr="001D49D4">
        <w:rPr>
          <w:rFonts w:ascii="Calibri" w:eastAsia="Calibri" w:hAnsi="Calibri" w:cs="Arial"/>
          <w:sz w:val="18"/>
          <w:szCs w:val="18"/>
          <w:rtl/>
        </w:rPr>
        <w:t xml:space="preserve">. וכן אם אין למוכר לשלם ללוקח, מוציאין מן הלוה ונותנין לקונה, כדלקמן סימן פ"ו, ואע"פ שלא קנה השטר </w:t>
      </w:r>
      <w:r w:rsidRPr="001D49D4">
        <w:rPr>
          <w:rFonts w:ascii="Calibri" w:eastAsia="Calibri" w:hAnsi="Calibri" w:cs="Arial"/>
          <w:sz w:val="16"/>
          <w:szCs w:val="16"/>
          <w:rtl/>
        </w:rPr>
        <w:t>(ב"י בשם הרשב"א)</w:t>
      </w:r>
      <w:r w:rsidRPr="001D49D4">
        <w:rPr>
          <w:rFonts w:ascii="Calibri" w:eastAsia="Calibri" w:hAnsi="Calibri" w:cs="Arial"/>
          <w:sz w:val="18"/>
          <w:szCs w:val="18"/>
          <w:rtl/>
        </w:rPr>
        <w:t>. וכן אם קבל עליו המוכר אחריות אם לא יגבה הלוקח השטרות, צריך לקיים המוכר מה שקבל עליו</w:t>
      </w:r>
      <w:r w:rsidRPr="001D49D4">
        <w:rPr>
          <w:rFonts w:ascii="Calibri" w:eastAsia="Calibri" w:hAnsi="Calibri" w:cs="Arial"/>
          <w:sz w:val="18"/>
          <w:szCs w:val="18"/>
          <w:vertAlign w:val="superscript"/>
          <w:rtl/>
        </w:rPr>
        <w:footnoteReference w:id="4980"/>
      </w:r>
      <w:r w:rsidRPr="001D49D4">
        <w:rPr>
          <w:rFonts w:ascii="Calibri" w:eastAsia="Calibri" w:hAnsi="Calibri" w:cs="Arial"/>
          <w:sz w:val="18"/>
          <w:szCs w:val="18"/>
          <w:rtl/>
        </w:rPr>
        <w:t xml:space="preserve">, אע"פ שלא קנה הלוקח השטרות </w:t>
      </w:r>
      <w:r w:rsidRPr="001D49D4">
        <w:rPr>
          <w:rFonts w:ascii="Calibri" w:eastAsia="Calibri" w:hAnsi="Calibri" w:cs="Arial"/>
          <w:sz w:val="16"/>
          <w:szCs w:val="16"/>
          <w:rtl/>
        </w:rPr>
        <w:t>(רשב"א)</w:t>
      </w:r>
      <w:r w:rsidRPr="001D49D4">
        <w:rPr>
          <w:rFonts w:ascii="Calibri" w:eastAsia="Calibri" w:hAnsi="Calibri" w:cs="Arial"/>
          <w:sz w:val="18"/>
          <w:szCs w:val="18"/>
          <w:rtl/>
        </w:rPr>
        <w:t>. ובמקום דלא קנה הלוקח השטר, ואומר שהמוכר עדיין יכתוב וימסור לו, והמוכר חוזר במכירה, י"א דאינו חייב לקבל מי שפרע</w:t>
      </w:r>
      <w:r w:rsidRPr="001D49D4">
        <w:rPr>
          <w:rFonts w:ascii="Calibri" w:eastAsia="Calibri" w:hAnsi="Calibri" w:cs="Arial"/>
          <w:sz w:val="18"/>
          <w:szCs w:val="18"/>
          <w:vertAlign w:val="superscript"/>
          <w:rtl/>
        </w:rPr>
        <w:footnoteReference w:id="4981"/>
      </w:r>
      <w:r w:rsidRPr="001D49D4">
        <w:rPr>
          <w:rFonts w:ascii="Calibri" w:eastAsia="Calibri" w:hAnsi="Calibri" w:cs="Arial"/>
          <w:sz w:val="18"/>
          <w:szCs w:val="18"/>
          <w:rtl/>
        </w:rPr>
        <w:t xml:space="preserve"> ויכול לחזור בו אע"פ שקבל המעות </w:t>
      </w:r>
      <w:r w:rsidRPr="001D49D4">
        <w:rPr>
          <w:rFonts w:ascii="Calibri" w:eastAsia="Calibri" w:hAnsi="Calibri" w:cs="Arial"/>
          <w:sz w:val="16"/>
          <w:szCs w:val="16"/>
          <w:rtl/>
        </w:rPr>
        <w:t>(בעל התרומות)</w:t>
      </w:r>
      <w:r w:rsidRPr="001D49D4">
        <w:rPr>
          <w:rFonts w:ascii="Calibri" w:eastAsia="Calibri" w:hAnsi="Calibri" w:cs="Arial"/>
          <w:sz w:val="18"/>
          <w:szCs w:val="18"/>
          <w:rtl/>
        </w:rPr>
        <w:t>.</w:t>
      </w:r>
    </w:p>
    <w:p w14:paraId="71BEABB1" w14:textId="77777777" w:rsidR="001D49D4" w:rsidRPr="001D49D4" w:rsidRDefault="001D49D4" w:rsidP="0004348D">
      <w:pPr>
        <w:spacing w:before="360" w:after="240"/>
        <w:rPr>
          <w:rFonts w:ascii="Calibri" w:eastAsia="Calibri" w:hAnsi="Calibri" w:cs="Arial"/>
          <w:rtl/>
        </w:rPr>
      </w:pPr>
    </w:p>
    <w:p w14:paraId="3ACDA20F" w14:textId="77777777" w:rsidR="001D49D4" w:rsidRPr="001D49D4" w:rsidRDefault="001D49D4" w:rsidP="0004348D">
      <w:pPr>
        <w:keepNext/>
        <w:keepLines/>
        <w:spacing w:before="360" w:after="240"/>
        <w:outlineLvl w:val="1"/>
        <w:rPr>
          <w:rFonts w:ascii="Cambria" w:eastAsia="Times New Roman" w:hAnsi="Cambria" w:cs="Arial"/>
          <w:bCs/>
          <w:color w:val="548DD4" w:themeColor="text2" w:themeTint="99"/>
          <w:sz w:val="26"/>
          <w:szCs w:val="26"/>
          <w:rtl/>
        </w:rPr>
      </w:pPr>
      <w:bookmarkStart w:id="673" w:name="_Toc24884096"/>
      <w:r w:rsidRPr="001D49D4">
        <w:rPr>
          <w:rFonts w:ascii="Cambria" w:eastAsia="Times New Roman" w:hAnsi="Cambria" w:cs="Arial"/>
          <w:bCs/>
          <w:color w:val="548DD4" w:themeColor="text2" w:themeTint="99"/>
          <w:sz w:val="26"/>
          <w:szCs w:val="26"/>
          <w:rtl/>
        </w:rPr>
        <w:t>סעיף ב: מכירת שטר בקנין ומסירה.</w:t>
      </w:r>
      <w:bookmarkEnd w:id="673"/>
    </w:p>
    <w:p w14:paraId="7DCEDD8E" w14:textId="77777777" w:rsidR="001D49D4" w:rsidRPr="001D49D4" w:rsidRDefault="001D49D4" w:rsidP="0004348D">
      <w:pPr>
        <w:spacing w:before="360" w:after="240"/>
        <w:rPr>
          <w:rFonts w:ascii="Calibri" w:eastAsia="Calibri" w:hAnsi="Calibri" w:cs="Arial"/>
          <w:u w:val="single"/>
          <w:rtl/>
        </w:rPr>
      </w:pPr>
      <w:r w:rsidRPr="001D49D4">
        <w:rPr>
          <w:rFonts w:ascii="Calibri" w:eastAsia="Calibri" w:hAnsi="Calibri" w:cs="Arial"/>
          <w:u w:val="single"/>
          <w:rtl/>
        </w:rPr>
        <w:t>מסר והקנה את השטר לחברו בפני עדים, וכתבו העדים לחברו את הקניין שראו עיניהם – האם חברו קנה:</w:t>
      </w:r>
    </w:p>
    <w:p w14:paraId="04169510" w14:textId="77777777" w:rsidR="001D49D4" w:rsidRPr="001D49D4" w:rsidRDefault="001D49D4" w:rsidP="0004348D">
      <w:pPr>
        <w:numPr>
          <w:ilvl w:val="0"/>
          <w:numId w:val="329"/>
        </w:numPr>
        <w:spacing w:before="360" w:after="240"/>
        <w:contextualSpacing/>
        <w:rPr>
          <w:rFonts w:ascii="Calibri" w:eastAsia="Calibri" w:hAnsi="Calibri" w:cs="Arial"/>
          <w:rtl/>
        </w:rPr>
      </w:pPr>
      <w:r w:rsidRPr="001D49D4">
        <w:rPr>
          <w:rFonts w:ascii="Calibri" w:eastAsia="Calibri" w:hAnsi="Calibri" w:cs="Arial"/>
          <w:rtl/>
        </w:rPr>
        <w:t xml:space="preserve">רב האי </w:t>
      </w:r>
      <w:r w:rsidRPr="001D49D4">
        <w:rPr>
          <w:rFonts w:ascii="Calibri" w:eastAsia="Calibri" w:hAnsi="Calibri" w:cs="Arial"/>
          <w:sz w:val="16"/>
          <w:szCs w:val="16"/>
          <w:rtl/>
        </w:rPr>
        <w:t xml:space="preserve">(כ"כ בעל התרומות בשמו [שם]) </w:t>
      </w:r>
      <w:r w:rsidRPr="001D49D4">
        <w:rPr>
          <w:rFonts w:ascii="Calibri" w:eastAsia="Calibri" w:hAnsi="Calibri" w:cs="Arial"/>
          <w:rtl/>
        </w:rPr>
        <w:t xml:space="preserve">ר"י מיגאש </w:t>
      </w:r>
      <w:r w:rsidRPr="001D49D4">
        <w:rPr>
          <w:rFonts w:ascii="Calibri" w:eastAsia="Calibri" w:hAnsi="Calibri" w:cs="Arial"/>
          <w:sz w:val="16"/>
          <w:szCs w:val="16"/>
          <w:rtl/>
        </w:rPr>
        <w:t xml:space="preserve">(עו: ד"ה אמר ר"פ) </w:t>
      </w:r>
      <w:r w:rsidRPr="001D49D4">
        <w:rPr>
          <w:rFonts w:ascii="Calibri" w:eastAsia="Calibri" w:hAnsi="Calibri" w:cs="Arial"/>
          <w:rtl/>
        </w:rPr>
        <w:t>בעל התרומות</w:t>
      </w:r>
      <w:r w:rsidRPr="001D49D4">
        <w:rPr>
          <w:rFonts w:ascii="Calibri" w:eastAsia="Calibri" w:hAnsi="Calibri" w:cs="Arial"/>
          <w:vertAlign w:val="superscript"/>
          <w:rtl/>
        </w:rPr>
        <w:footnoteReference w:id="4982"/>
      </w:r>
      <w:r w:rsidRPr="001D49D4">
        <w:rPr>
          <w:rFonts w:ascii="Calibri" w:eastAsia="Calibri" w:hAnsi="Calibri" w:cs="Arial"/>
          <w:rtl/>
        </w:rPr>
        <w:t xml:space="preserve"> </w:t>
      </w:r>
      <w:r w:rsidRPr="001D49D4">
        <w:rPr>
          <w:rFonts w:ascii="Calibri" w:eastAsia="Calibri" w:hAnsi="Calibri" w:cs="Arial"/>
          <w:sz w:val="16"/>
          <w:szCs w:val="16"/>
          <w:rtl/>
        </w:rPr>
        <w:t xml:space="preserve">(שער נא ח"ג סי' ד) </w:t>
      </w:r>
      <w:r w:rsidRPr="001D49D4">
        <w:rPr>
          <w:rFonts w:ascii="Calibri" w:eastAsia="Calibri" w:hAnsi="Calibri" w:cs="Arial"/>
          <w:rtl/>
        </w:rPr>
        <w:t>וטור- אפילו אם מסרו לידו וקנו מידו בקנין שמוכר לו כל השיעבוד שבו - אינו כלום, אע"ג דסתם קנין לכתיבה עומד וכתבו לו העדים הקנין - אינו כלום, דכתיבה שהשטר נקנה בה הוא הקנין בעצמו, שבזה הכתיבה נקנה השטר כשמסרו לו, אבל כתיבה שכותבים העדים שראו הקנין אינה אלא לראיה בעלמא. לפיכך כיון שלא כתב לו השטר בשעה שהקנה לו - אין כותבין אח"כ, ואפילו אם כתבו לו העדים - אינו שטר הקנאה אלא שטר של ראיה</w:t>
      </w:r>
      <w:r w:rsidRPr="001D49D4">
        <w:rPr>
          <w:rFonts w:ascii="Calibri" w:eastAsia="Calibri" w:hAnsi="Calibri" w:cs="Arial"/>
          <w:sz w:val="16"/>
          <w:szCs w:val="16"/>
          <w:rtl/>
        </w:rPr>
        <w:t xml:space="preserve"> (ל' הטור)</w:t>
      </w:r>
      <w:r w:rsidRPr="001D49D4">
        <w:rPr>
          <w:rFonts w:ascii="Calibri" w:eastAsia="Calibri" w:hAnsi="Calibri" w:cs="Arial"/>
          <w:vertAlign w:val="superscript"/>
          <w:rtl/>
        </w:rPr>
        <w:footnoteReference w:id="4983"/>
      </w:r>
      <w:r w:rsidRPr="001D49D4">
        <w:rPr>
          <w:rFonts w:ascii="Calibri" w:eastAsia="Calibri" w:hAnsi="Calibri" w:cs="Arial"/>
          <w:rtl/>
        </w:rPr>
        <w:t xml:space="preserve">. </w:t>
      </w:r>
      <w:r w:rsidRPr="001D49D4">
        <w:rPr>
          <w:rFonts w:ascii="Calibri" w:eastAsia="Calibri" w:hAnsi="Calibri" w:cs="Arial"/>
          <w:color w:val="E36C0A" w:themeColor="accent6" w:themeShade="BF"/>
          <w:rtl/>
        </w:rPr>
        <w:t>(וכ"פ בשו"ע)</w:t>
      </w:r>
    </w:p>
    <w:p w14:paraId="71613FAE" w14:textId="77777777" w:rsidR="001D49D4" w:rsidRPr="001D49D4" w:rsidRDefault="001D49D4" w:rsidP="0004348D">
      <w:pPr>
        <w:spacing w:before="360" w:after="240"/>
        <w:rPr>
          <w:rFonts w:ascii="Arial" w:eastAsia="Calibri" w:hAnsi="Arial" w:cs="Arial"/>
          <w:b/>
          <w:bCs/>
          <w:color w:val="000000"/>
          <w:sz w:val="28"/>
          <w:szCs w:val="28"/>
          <w:u w:val="single"/>
          <w:rtl/>
        </w:rPr>
      </w:pPr>
      <w:r w:rsidRPr="001D49D4">
        <w:rPr>
          <w:rFonts w:ascii="Arial" w:eastAsia="Calibri" w:hAnsi="Arial" w:cs="Arial"/>
          <w:b/>
          <w:bCs/>
          <w:color w:val="000000"/>
          <w:sz w:val="28"/>
          <w:szCs w:val="28"/>
          <w:u w:val="single"/>
          <w:rtl/>
        </w:rPr>
        <w:t>שו"ע:</w:t>
      </w:r>
    </w:p>
    <w:p w14:paraId="3AD4F13E"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rtl/>
        </w:rPr>
        <w:t>אפילו אם מסרו לידו וקנו מידו בקנין שמוכר לו כל השעבוד שבו, וכתבו לו עדים הקנין, זה הכתב אינו אלא לראיה בעלמא, ואינו כלום, אלא צריך שיאמר לעדים שיכתבו שטר מכר ושיקנה</w:t>
      </w:r>
      <w:r w:rsidRPr="001D49D4">
        <w:rPr>
          <w:rFonts w:ascii="Calibri" w:eastAsia="Calibri" w:hAnsi="Calibri" w:cs="Arial"/>
          <w:vertAlign w:val="superscript"/>
          <w:rtl/>
        </w:rPr>
        <w:footnoteReference w:id="4984"/>
      </w:r>
      <w:r w:rsidRPr="001D49D4">
        <w:rPr>
          <w:rFonts w:ascii="Calibri" w:eastAsia="Calibri" w:hAnsi="Calibri" w:cs="Arial"/>
          <w:rtl/>
        </w:rPr>
        <w:t xml:space="preserve"> באותה כתיבה שטר זה וכל שעבודו</w:t>
      </w:r>
      <w:r w:rsidRPr="001D49D4">
        <w:rPr>
          <w:rFonts w:ascii="Calibri" w:eastAsia="Calibri" w:hAnsi="Calibri" w:cs="Arial"/>
          <w:vertAlign w:val="superscript"/>
          <w:rtl/>
        </w:rPr>
        <w:footnoteReference w:id="4985"/>
      </w:r>
      <w:r w:rsidRPr="001D49D4">
        <w:rPr>
          <w:rFonts w:ascii="Calibri" w:eastAsia="Calibri" w:hAnsi="Calibri" w:cs="Arial"/>
          <w:rtl/>
        </w:rPr>
        <w:t>. וצריך שיכתוב, ואם לא נכתב, לא קנה. ויש מי שאומר</w:t>
      </w:r>
      <w:r w:rsidRPr="001D49D4">
        <w:rPr>
          <w:rFonts w:ascii="Calibri" w:eastAsia="Calibri" w:hAnsi="Calibri" w:cs="Arial"/>
          <w:vertAlign w:val="superscript"/>
          <w:rtl/>
        </w:rPr>
        <w:footnoteReference w:id="4986"/>
      </w:r>
      <w:r w:rsidRPr="001D49D4">
        <w:rPr>
          <w:rFonts w:ascii="Calibri" w:eastAsia="Calibri" w:hAnsi="Calibri" w:cs="Arial"/>
          <w:rtl/>
        </w:rPr>
        <w:t xml:space="preserve"> שצריך שתבא לידו אותה כתיבה. </w:t>
      </w:r>
    </w:p>
    <w:p w14:paraId="1637BB42" w14:textId="77777777" w:rsidR="001D49D4" w:rsidRPr="001D49D4" w:rsidRDefault="001D49D4" w:rsidP="0004348D">
      <w:pPr>
        <w:spacing w:before="360" w:after="240"/>
        <w:rPr>
          <w:rFonts w:ascii="Calibri" w:eastAsia="Calibri" w:hAnsi="Calibri" w:cs="Arial"/>
          <w:rtl/>
        </w:rPr>
      </w:pPr>
    </w:p>
    <w:p w14:paraId="73177D62" w14:textId="77777777" w:rsidR="001D49D4" w:rsidRPr="001D49D4" w:rsidRDefault="001D49D4" w:rsidP="0004348D">
      <w:pPr>
        <w:keepNext/>
        <w:keepLines/>
        <w:spacing w:before="360" w:after="240"/>
        <w:outlineLvl w:val="1"/>
        <w:rPr>
          <w:rFonts w:ascii="Cambria" w:eastAsia="Times New Roman" w:hAnsi="Cambria" w:cs="Arial"/>
          <w:bCs/>
          <w:color w:val="548DD4" w:themeColor="text2" w:themeTint="99"/>
          <w:sz w:val="26"/>
          <w:szCs w:val="26"/>
          <w:rtl/>
        </w:rPr>
      </w:pPr>
      <w:bookmarkStart w:id="674" w:name="_Toc24884097"/>
      <w:r w:rsidRPr="001D49D4">
        <w:rPr>
          <w:rFonts w:ascii="Cambria" w:eastAsia="Times New Roman" w:hAnsi="Cambria" w:cs="Arial"/>
          <w:bCs/>
          <w:color w:val="548DD4" w:themeColor="text2" w:themeTint="99"/>
          <w:sz w:val="26"/>
          <w:szCs w:val="26"/>
          <w:rtl/>
        </w:rPr>
        <w:t>סעיף ג: הקניית שטרות אגב מקרקעי.</w:t>
      </w:r>
      <w:bookmarkEnd w:id="674"/>
    </w:p>
    <w:p w14:paraId="67321175" w14:textId="77777777" w:rsidR="001D49D4" w:rsidRPr="001D49D4" w:rsidRDefault="001D49D4" w:rsidP="0004348D">
      <w:pPr>
        <w:spacing w:before="360" w:after="240"/>
        <w:rPr>
          <w:rFonts w:ascii="Calibri" w:eastAsia="Calibri" w:hAnsi="Calibri" w:cs="Arial"/>
          <w:u w:val="single"/>
          <w:rtl/>
        </w:rPr>
      </w:pPr>
      <w:r w:rsidRPr="001D49D4">
        <w:rPr>
          <w:rFonts w:ascii="Calibri" w:eastAsia="Calibri" w:hAnsi="Calibri" w:cs="Arial"/>
          <w:u w:val="single"/>
          <w:rtl/>
        </w:rPr>
        <w:t>ראובן נתן לשמעון כל נכסיו במתנת בריא מטלטלי אגב מקרקעי בקנין - ושטרי בכלל נכסי:</w:t>
      </w:r>
    </w:p>
    <w:p w14:paraId="06D4B543" w14:textId="77777777" w:rsidR="001D49D4" w:rsidRPr="001D49D4" w:rsidRDefault="001D49D4" w:rsidP="0004348D">
      <w:pPr>
        <w:numPr>
          <w:ilvl w:val="0"/>
          <w:numId w:val="329"/>
        </w:numPr>
        <w:spacing w:before="360" w:after="240"/>
        <w:contextualSpacing/>
        <w:rPr>
          <w:rFonts w:ascii="Calibri" w:eastAsia="Calibri" w:hAnsi="Calibri" w:cs="Arial"/>
          <w:rtl/>
        </w:rPr>
      </w:pPr>
      <w:r w:rsidRPr="001D49D4">
        <w:rPr>
          <w:rFonts w:ascii="Calibri" w:eastAsia="Calibri" w:hAnsi="Calibri" w:cs="Arial"/>
          <w:rtl/>
        </w:rPr>
        <w:t xml:space="preserve">רא"ש </w:t>
      </w:r>
      <w:r w:rsidRPr="001D49D4">
        <w:rPr>
          <w:rFonts w:ascii="Calibri" w:eastAsia="Calibri" w:hAnsi="Calibri" w:cs="Arial"/>
          <w:sz w:val="16"/>
          <w:szCs w:val="16"/>
          <w:rtl/>
        </w:rPr>
        <w:t>(כלל עה סי' ב)</w:t>
      </w:r>
      <w:r w:rsidRPr="001D49D4">
        <w:rPr>
          <w:rFonts w:ascii="Calibri" w:eastAsia="Calibri" w:hAnsi="Calibri" w:cs="Arial"/>
          <w:rtl/>
        </w:rPr>
        <w:t xml:space="preserve"> וטור- ראובן שנתן לשמעון כל נכסיו במתנת בריא מטלטלי אגב מקרקעי בקנין, אע"ג דשטרי בכלל נכסי אינון - לא קנאם אע"פ שהיו שטרות בבית ראובן והקנה לשמעון כל נכסיו ונמצא שקנה הבית שהשטרות בתוכו, ויש כאן כתיבה, וחצרו דהוי כמסירה - אפ"ה לא קנה השטרות, כיון שלא כתב לו קני לך איהו וכל שיעבודא דאית ביה</w:t>
      </w:r>
      <w:r w:rsidRPr="001D49D4">
        <w:rPr>
          <w:rFonts w:ascii="Calibri" w:eastAsia="Calibri" w:hAnsi="Calibri" w:cs="Arial"/>
          <w:sz w:val="16"/>
          <w:szCs w:val="16"/>
          <w:rtl/>
        </w:rPr>
        <w:t xml:space="preserve"> (ל' הטור בשם הרא"ש)</w:t>
      </w:r>
      <w:r w:rsidRPr="001D49D4">
        <w:rPr>
          <w:rFonts w:ascii="Calibri" w:eastAsia="Calibri" w:hAnsi="Calibri" w:cs="Arial"/>
          <w:vertAlign w:val="superscript"/>
          <w:rtl/>
        </w:rPr>
        <w:footnoteReference w:id="4987"/>
      </w:r>
      <w:r w:rsidRPr="001D49D4">
        <w:rPr>
          <w:rFonts w:ascii="Calibri" w:eastAsia="Calibri" w:hAnsi="Calibri" w:cs="Arial"/>
          <w:rtl/>
        </w:rPr>
        <w:t xml:space="preserve">. </w:t>
      </w:r>
      <w:r w:rsidRPr="001D49D4">
        <w:rPr>
          <w:rFonts w:ascii="Calibri" w:eastAsia="Calibri" w:hAnsi="Calibri" w:cs="Arial"/>
          <w:color w:val="E36C0A" w:themeColor="accent6" w:themeShade="BF"/>
          <w:rtl/>
        </w:rPr>
        <w:t>(וכ"פ בשו"ע)</w:t>
      </w:r>
    </w:p>
    <w:p w14:paraId="293A7334" w14:textId="77777777" w:rsidR="001D49D4" w:rsidRPr="001D49D4" w:rsidRDefault="001D49D4" w:rsidP="0004348D">
      <w:pPr>
        <w:spacing w:before="360" w:after="240"/>
        <w:rPr>
          <w:rFonts w:ascii="Arial" w:eastAsia="Calibri" w:hAnsi="Arial" w:cs="Arial"/>
          <w:b/>
          <w:bCs/>
          <w:color w:val="000000"/>
          <w:sz w:val="28"/>
          <w:szCs w:val="28"/>
          <w:u w:val="single"/>
          <w:rtl/>
        </w:rPr>
      </w:pPr>
      <w:r w:rsidRPr="001D49D4">
        <w:rPr>
          <w:rFonts w:ascii="Arial" w:eastAsia="Calibri" w:hAnsi="Arial" w:cs="Arial"/>
          <w:b/>
          <w:bCs/>
          <w:color w:val="000000"/>
          <w:sz w:val="28"/>
          <w:szCs w:val="28"/>
          <w:u w:val="single"/>
          <w:rtl/>
        </w:rPr>
        <w:t>שו"ע:</w:t>
      </w:r>
    </w:p>
    <w:p w14:paraId="42625DA5"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rtl/>
        </w:rPr>
        <w:t>הנותן נכסיו לאחר במתנת בריא מטלטלי אגב מקרקעי בקנין, והיו לו שטרות</w:t>
      </w:r>
      <w:r w:rsidRPr="001D49D4">
        <w:rPr>
          <w:rFonts w:ascii="Calibri" w:eastAsia="Calibri" w:hAnsi="Calibri" w:cs="Arial"/>
          <w:vertAlign w:val="superscript"/>
          <w:rtl/>
        </w:rPr>
        <w:footnoteReference w:id="4988"/>
      </w:r>
      <w:r w:rsidRPr="001D49D4">
        <w:rPr>
          <w:rFonts w:ascii="Calibri" w:eastAsia="Calibri" w:hAnsi="Calibri" w:cs="Arial"/>
          <w:rtl/>
        </w:rPr>
        <w:t>, אף על גב דשטרי בכלל נכסי אינון, לא קנאם</w:t>
      </w:r>
      <w:r w:rsidRPr="001D49D4">
        <w:rPr>
          <w:rFonts w:ascii="Calibri" w:eastAsia="Calibri" w:hAnsi="Calibri" w:cs="Arial"/>
          <w:vertAlign w:val="superscript"/>
          <w:rtl/>
        </w:rPr>
        <w:footnoteReference w:id="4989"/>
      </w:r>
      <w:r w:rsidRPr="001D49D4">
        <w:rPr>
          <w:rFonts w:ascii="Calibri" w:eastAsia="Calibri" w:hAnsi="Calibri" w:cs="Arial"/>
          <w:rtl/>
        </w:rPr>
        <w:t xml:space="preserve"> כיון שלא כתב</w:t>
      </w:r>
      <w:r w:rsidRPr="001D49D4">
        <w:rPr>
          <w:rFonts w:ascii="Calibri" w:eastAsia="Calibri" w:hAnsi="Calibri" w:cs="Arial"/>
          <w:vertAlign w:val="superscript"/>
          <w:rtl/>
        </w:rPr>
        <w:footnoteReference w:id="4990"/>
      </w:r>
      <w:r w:rsidRPr="001D49D4">
        <w:rPr>
          <w:rFonts w:ascii="Calibri" w:eastAsia="Calibri" w:hAnsi="Calibri" w:cs="Arial"/>
          <w:rtl/>
        </w:rPr>
        <w:t xml:space="preserve"> לו 'קני לך איהו וכל שעבודא דאית ביה'. </w:t>
      </w:r>
    </w:p>
    <w:p w14:paraId="52AF4EEB" w14:textId="77777777" w:rsidR="001D49D4" w:rsidRPr="001D49D4" w:rsidRDefault="001D49D4" w:rsidP="0004348D">
      <w:pPr>
        <w:spacing w:before="360" w:after="240"/>
        <w:rPr>
          <w:rFonts w:ascii="Calibri" w:eastAsia="Calibri" w:hAnsi="Calibri" w:cs="Arial"/>
          <w:rtl/>
        </w:rPr>
      </w:pPr>
    </w:p>
    <w:p w14:paraId="2A736E41" w14:textId="77777777" w:rsidR="001D49D4" w:rsidRPr="001D49D4" w:rsidRDefault="001D49D4" w:rsidP="0004348D">
      <w:pPr>
        <w:keepNext/>
        <w:keepLines/>
        <w:spacing w:before="360" w:after="240"/>
        <w:outlineLvl w:val="1"/>
        <w:rPr>
          <w:rFonts w:ascii="Cambria" w:eastAsia="Times New Roman" w:hAnsi="Cambria" w:cs="Arial"/>
          <w:bCs/>
          <w:color w:val="548DD4" w:themeColor="text2" w:themeTint="99"/>
          <w:sz w:val="26"/>
          <w:szCs w:val="26"/>
          <w:rtl/>
        </w:rPr>
      </w:pPr>
      <w:bookmarkStart w:id="675" w:name="_Toc24884098"/>
      <w:r w:rsidRPr="001D49D4">
        <w:rPr>
          <w:rFonts w:ascii="Cambria" w:eastAsia="Times New Roman" w:hAnsi="Cambria" w:cs="Arial"/>
          <w:bCs/>
          <w:color w:val="548DD4" w:themeColor="text2" w:themeTint="99"/>
          <w:sz w:val="26"/>
          <w:szCs w:val="26"/>
          <w:rtl/>
        </w:rPr>
        <w:t>סעיף ד: מסירת שטר קודם כתיבת השעבוד.</w:t>
      </w:r>
      <w:bookmarkEnd w:id="675"/>
      <w:r w:rsidRPr="001D49D4">
        <w:rPr>
          <w:rFonts w:ascii="Cambria" w:eastAsia="Times New Roman" w:hAnsi="Cambria" w:cs="Arial"/>
          <w:bCs/>
          <w:color w:val="548DD4" w:themeColor="text2" w:themeTint="99"/>
          <w:sz w:val="26"/>
          <w:szCs w:val="26"/>
          <w:rtl/>
        </w:rPr>
        <w:t xml:space="preserve"> </w:t>
      </w:r>
    </w:p>
    <w:p w14:paraId="29598822" w14:textId="77777777" w:rsidR="001D49D4" w:rsidRPr="001D49D4" w:rsidRDefault="001D49D4" w:rsidP="0004348D">
      <w:pPr>
        <w:spacing w:before="360" w:after="240"/>
        <w:rPr>
          <w:rFonts w:ascii="Calibri" w:eastAsia="Calibri" w:hAnsi="Calibri" w:cs="Arial"/>
          <w:u w:val="single"/>
          <w:rtl/>
        </w:rPr>
      </w:pPr>
      <w:r w:rsidRPr="001D49D4">
        <w:rPr>
          <w:rFonts w:ascii="Calibri" w:eastAsia="Calibri" w:hAnsi="Calibri" w:cs="Arial"/>
          <w:u w:val="single"/>
          <w:rtl/>
        </w:rPr>
        <w:t>כתיבה ומסירה ורק לאחמ"כ כתיבת שטר השעבוד:</w:t>
      </w:r>
    </w:p>
    <w:p w14:paraId="6AC855FE" w14:textId="77777777" w:rsidR="001D49D4" w:rsidRPr="001D49D4" w:rsidRDefault="001D49D4" w:rsidP="0004348D">
      <w:pPr>
        <w:numPr>
          <w:ilvl w:val="0"/>
          <w:numId w:val="329"/>
        </w:numPr>
        <w:spacing w:before="360" w:after="240"/>
        <w:contextualSpacing/>
        <w:rPr>
          <w:rFonts w:ascii="Calibri" w:eastAsia="Calibri" w:hAnsi="Calibri" w:cs="Arial"/>
          <w:rtl/>
        </w:rPr>
      </w:pPr>
      <w:r w:rsidRPr="001D49D4">
        <w:rPr>
          <w:rFonts w:ascii="Calibri" w:eastAsia="Calibri" w:hAnsi="Calibri" w:cs="Arial"/>
          <w:rtl/>
        </w:rPr>
        <w:t xml:space="preserve">נמוק"י </w:t>
      </w:r>
      <w:r w:rsidRPr="001D49D4">
        <w:rPr>
          <w:rFonts w:ascii="Calibri" w:eastAsia="Calibri" w:hAnsi="Calibri" w:cs="Arial"/>
          <w:sz w:val="16"/>
          <w:szCs w:val="16"/>
          <w:rtl/>
        </w:rPr>
        <w:t>(ר"פ הספינה לט. ד"ה אין)</w:t>
      </w:r>
      <w:r w:rsidRPr="001D49D4">
        <w:rPr>
          <w:rFonts w:ascii="Calibri" w:eastAsia="Calibri" w:hAnsi="Calibri" w:cs="Arial"/>
          <w:rtl/>
        </w:rPr>
        <w:t>- כתב הרשב"א דבעי מסירת הנייר מקמי כתיבת השעבוד, משום דהשעבוד לבדו אינו נקנה קודם שיזכה בשטר החוב, כיון דהשעבוד לא מהניא לגוף הנייר, ואע"פ שמוסר לו אח"כ, כיון שלא קנה בשעה שמסר לו שטר הכתיבה השתא במה יקנה. הילכך צריך שימסור לו שטר חוב ואח"כ יכתוב לו שטר השעבוד.</w:t>
      </w:r>
      <w:r w:rsidRPr="001D49D4">
        <w:rPr>
          <w:rFonts w:ascii="Calibri" w:eastAsia="Calibri" w:hAnsi="Calibri" w:cs="Arial"/>
          <w:color w:val="E36C0A" w:themeColor="accent6" w:themeShade="BF"/>
          <w:rtl/>
        </w:rPr>
        <w:t xml:space="preserve"> (וכ"פ בשו"ע)</w:t>
      </w:r>
    </w:p>
    <w:p w14:paraId="2297E2B8" w14:textId="77777777" w:rsidR="001D49D4" w:rsidRPr="001D49D4" w:rsidRDefault="001D49D4" w:rsidP="0004348D">
      <w:pPr>
        <w:spacing w:before="360" w:after="240"/>
        <w:rPr>
          <w:rFonts w:ascii="Calibri" w:eastAsia="Calibri" w:hAnsi="Calibri" w:cs="Arial"/>
          <w:u w:val="single"/>
          <w:rtl/>
        </w:rPr>
      </w:pPr>
      <w:r w:rsidRPr="001D49D4">
        <w:rPr>
          <w:rFonts w:ascii="Calibri" w:eastAsia="Calibri" w:hAnsi="Calibri" w:cs="Arial"/>
          <w:u w:val="single"/>
          <w:rtl/>
        </w:rPr>
        <w:t xml:space="preserve">כתב ומסר לו שטר שעבוד </w:t>
      </w:r>
      <w:r w:rsidRPr="001D49D4">
        <w:rPr>
          <w:rFonts w:ascii="Calibri" w:eastAsia="Calibri" w:hAnsi="Calibri" w:cs="Arial"/>
          <w:sz w:val="16"/>
          <w:szCs w:val="16"/>
          <w:u w:val="single"/>
          <w:rtl/>
        </w:rPr>
        <w:t>('קני לך איהו...')</w:t>
      </w:r>
      <w:r w:rsidRPr="001D49D4">
        <w:rPr>
          <w:rFonts w:ascii="Calibri" w:eastAsia="Calibri" w:hAnsi="Calibri" w:cs="Arial"/>
          <w:u w:val="single"/>
          <w:rtl/>
        </w:rPr>
        <w:t xml:space="preserve"> אבל השטר הנמכר לא היה מצוי אצלו, וקנו מידו שמוכר לו שטר פלוני:</w:t>
      </w:r>
    </w:p>
    <w:p w14:paraId="37E1609F" w14:textId="77777777" w:rsidR="001D49D4" w:rsidRPr="001D49D4" w:rsidRDefault="001D49D4" w:rsidP="0004348D">
      <w:pPr>
        <w:numPr>
          <w:ilvl w:val="0"/>
          <w:numId w:val="329"/>
        </w:numPr>
        <w:spacing w:before="360" w:after="240"/>
        <w:contextualSpacing/>
        <w:rPr>
          <w:rFonts w:ascii="Calibri" w:eastAsia="Calibri" w:hAnsi="Calibri" w:cs="Arial"/>
          <w:rtl/>
        </w:rPr>
      </w:pPr>
      <w:r w:rsidRPr="001D49D4">
        <w:rPr>
          <w:rFonts w:ascii="Calibri" w:eastAsia="Calibri" w:hAnsi="Calibri" w:cs="Arial"/>
          <w:rtl/>
        </w:rPr>
        <w:t xml:space="preserve">ראב"ד </w:t>
      </w:r>
      <w:r w:rsidRPr="001D49D4">
        <w:rPr>
          <w:rFonts w:ascii="Calibri" w:eastAsia="Calibri" w:hAnsi="Calibri" w:cs="Arial"/>
          <w:sz w:val="16"/>
          <w:szCs w:val="16"/>
          <w:rtl/>
        </w:rPr>
        <w:t>(תמים דעים סי' סא)</w:t>
      </w:r>
      <w:r w:rsidRPr="001D49D4">
        <w:rPr>
          <w:rFonts w:ascii="Calibri" w:eastAsia="Calibri" w:hAnsi="Calibri" w:cs="Arial"/>
          <w:rtl/>
        </w:rPr>
        <w:t>- קנה, דחליפין הן במקום המסירה, דכמו ששאר מטלטלין נקנין בחליפין כן גופו של שטר נקנה בחליפין, והכתיבה לקנות שיעבוד שבו.</w:t>
      </w:r>
    </w:p>
    <w:p w14:paraId="5C447AF1" w14:textId="77777777" w:rsidR="001D49D4" w:rsidRPr="001D49D4" w:rsidRDefault="001D49D4" w:rsidP="0004348D">
      <w:pPr>
        <w:numPr>
          <w:ilvl w:val="0"/>
          <w:numId w:val="329"/>
        </w:numPr>
        <w:spacing w:before="360" w:after="240"/>
        <w:contextualSpacing/>
        <w:rPr>
          <w:rFonts w:ascii="Calibri" w:eastAsia="Calibri" w:hAnsi="Calibri" w:cs="Arial"/>
        </w:rPr>
      </w:pPr>
      <w:r w:rsidRPr="001D49D4">
        <w:rPr>
          <w:rFonts w:ascii="Calibri" w:eastAsia="Calibri" w:hAnsi="Calibri" w:cs="Arial"/>
          <w:rtl/>
        </w:rPr>
        <w:t xml:space="preserve">רמב"ן </w:t>
      </w:r>
      <w:r w:rsidRPr="001D49D4">
        <w:rPr>
          <w:rFonts w:ascii="Calibri" w:eastAsia="Calibri" w:hAnsi="Calibri" w:cs="Arial"/>
          <w:sz w:val="16"/>
          <w:szCs w:val="16"/>
          <w:rtl/>
        </w:rPr>
        <w:t>(כ"כ בשמו בעל התרומות [שער נא ח"ג סי' ד])</w:t>
      </w:r>
      <w:r w:rsidRPr="001D49D4">
        <w:rPr>
          <w:rFonts w:ascii="Calibri" w:eastAsia="Calibri" w:hAnsi="Calibri" w:cs="Arial"/>
          <w:rtl/>
        </w:rPr>
        <w:t>- אינו מועיל אא"כ ימסור לו גופו של שטר ובכתיבה</w:t>
      </w:r>
      <w:r w:rsidRPr="001D49D4">
        <w:rPr>
          <w:rFonts w:ascii="Calibri" w:eastAsia="Calibri" w:hAnsi="Calibri" w:cs="Arial"/>
          <w:vertAlign w:val="superscript"/>
          <w:rtl/>
        </w:rPr>
        <w:footnoteReference w:id="4991"/>
      </w:r>
      <w:r w:rsidRPr="001D49D4">
        <w:rPr>
          <w:rFonts w:ascii="Calibri" w:eastAsia="Calibri" w:hAnsi="Calibri" w:cs="Arial"/>
          <w:rtl/>
        </w:rPr>
        <w:t xml:space="preserve">. </w:t>
      </w:r>
      <w:r w:rsidRPr="001D49D4">
        <w:rPr>
          <w:rFonts w:ascii="Calibri" w:eastAsia="Calibri" w:hAnsi="Calibri" w:cs="Arial"/>
          <w:color w:val="E36C0A" w:themeColor="accent6" w:themeShade="BF"/>
          <w:rtl/>
        </w:rPr>
        <w:t>(וכ"פ בשו"ע)</w:t>
      </w:r>
    </w:p>
    <w:p w14:paraId="4A2D5ED2" w14:textId="77777777" w:rsidR="001D49D4" w:rsidRPr="001D49D4" w:rsidRDefault="001D49D4" w:rsidP="0004348D">
      <w:pPr>
        <w:spacing w:before="360" w:after="240"/>
        <w:rPr>
          <w:rFonts w:ascii="Calibri" w:eastAsia="Calibri" w:hAnsi="Calibri" w:cs="Arial"/>
          <w:u w:val="single"/>
        </w:rPr>
      </w:pPr>
      <w:r w:rsidRPr="001D49D4">
        <w:rPr>
          <w:rFonts w:ascii="Calibri" w:eastAsia="Calibri" w:hAnsi="Calibri" w:cs="Arial"/>
          <w:u w:val="single"/>
          <w:rtl/>
        </w:rPr>
        <w:t>ראובן עשה שטר הודאה בחתם ידו לשמעון שיש בידו כך וכך שטרות, וכשתבעו שמעון אמר לו 'חזרת ומחלת לי':</w:t>
      </w:r>
    </w:p>
    <w:p w14:paraId="499B6E03" w14:textId="77777777" w:rsidR="001D49D4" w:rsidRPr="001D49D4" w:rsidRDefault="001D49D4" w:rsidP="0004348D">
      <w:pPr>
        <w:numPr>
          <w:ilvl w:val="0"/>
          <w:numId w:val="329"/>
        </w:numPr>
        <w:spacing w:before="360" w:after="240"/>
        <w:contextualSpacing/>
        <w:rPr>
          <w:rFonts w:ascii="Calibri" w:eastAsia="Calibri" w:hAnsi="Calibri" w:cs="Arial"/>
        </w:rPr>
      </w:pPr>
      <w:r w:rsidRPr="001D49D4">
        <w:rPr>
          <w:rFonts w:ascii="Calibri" w:eastAsia="Calibri" w:hAnsi="Calibri" w:cs="Arial"/>
          <w:rtl/>
        </w:rPr>
        <w:t xml:space="preserve">רשב"א </w:t>
      </w:r>
      <w:r w:rsidRPr="001D49D4">
        <w:rPr>
          <w:rFonts w:ascii="Calibri" w:eastAsia="Calibri" w:hAnsi="Calibri" w:cs="Arial"/>
          <w:sz w:val="16"/>
          <w:szCs w:val="16"/>
          <w:rtl/>
        </w:rPr>
        <w:t>(ח"ג סי' פו)</w:t>
      </w:r>
      <w:r w:rsidRPr="001D49D4">
        <w:rPr>
          <w:rFonts w:ascii="Calibri" w:eastAsia="Calibri" w:hAnsi="Calibri" w:cs="Arial"/>
          <w:rtl/>
        </w:rPr>
        <w:t xml:space="preserve">- ראובן עשה שטר הודאה בחתם ידו לשמעון שיש בידו כך וכך שטרות, וכשתבעו שמעון אמר לו 'חזרת ומחלת לתביעה זו ביני לבינך'. תשובה, טענת המחילה שטען אם לא נפרע עדיין - אין בדבריו כלום, שאפילו מחל לו בעדים ובשטר לא עשה ולא כלום, שהשטרות אינן נקנין אלא בכתיבה ומסירה וצריך שיאמר קני לך הן וכל מה שכתוב בהן בתוכן, אבל אם קדם וגבה מה שגבה גבה. וכאותה שאמרו בפרק איזהו נשך </w:t>
      </w:r>
      <w:r w:rsidRPr="001D49D4">
        <w:rPr>
          <w:rFonts w:ascii="Calibri" w:eastAsia="Calibri" w:hAnsi="Calibri" w:cs="Arial"/>
          <w:sz w:val="16"/>
          <w:szCs w:val="16"/>
          <w:rtl/>
        </w:rPr>
        <w:t xml:space="preserve">(ב"מ סו:) </w:t>
      </w:r>
      <w:r w:rsidRPr="001D49D4">
        <w:rPr>
          <w:rFonts w:ascii="Calibri" w:eastAsia="Calibri" w:hAnsi="Calibri" w:cs="Arial"/>
          <w:rtl/>
        </w:rPr>
        <w:t xml:space="preserve">המוכר פירות דקל לחברו רב הונא אמר עד שלא באו לעולם יכול לחזור בו משבאו לעולם אינו יכול לחזור בו, ורב נחמן אמר יכול לחזור בו, ומודה רב נחמן אף משבאו לעולם דאי שמיט ואכיל לא מפקי מיניה ולומר דמחילה בטעות הויא מחילה. ומכאן הביא ר"ת ז"ל ראיה למוכר שטר חוב לחבירו שלא בכתיבה ומסירה שאם קדם וגבה קודם שחזר בו המוכר מה שגבה גבה וכל שכן אם מחל לו אחר שגבה. </w:t>
      </w:r>
      <w:r w:rsidRPr="001D49D4">
        <w:rPr>
          <w:rFonts w:ascii="Calibri" w:eastAsia="Calibri" w:hAnsi="Calibri" w:cs="Arial"/>
          <w:color w:val="00B0F0"/>
          <w:rtl/>
        </w:rPr>
        <w:t>(וכ"פ הרמ"א)</w:t>
      </w:r>
    </w:p>
    <w:p w14:paraId="6AD84D1E" w14:textId="77777777" w:rsidR="001D49D4" w:rsidRPr="001D49D4" w:rsidRDefault="001D49D4" w:rsidP="0004348D">
      <w:pPr>
        <w:spacing w:before="360" w:after="240"/>
        <w:rPr>
          <w:rFonts w:ascii="Calibri" w:eastAsia="Calibri" w:hAnsi="Calibri" w:cs="Arial"/>
          <w:u w:val="single"/>
        </w:rPr>
      </w:pPr>
      <w:r w:rsidRPr="001D49D4">
        <w:rPr>
          <w:rFonts w:ascii="Calibri" w:eastAsia="Calibri" w:hAnsi="Calibri" w:cs="Arial"/>
          <w:u w:val="single"/>
          <w:rtl/>
        </w:rPr>
        <w:t xml:space="preserve">מלך נתן שטר לראובן ושמעון </w:t>
      </w:r>
      <w:r w:rsidRPr="001D49D4">
        <w:rPr>
          <w:rFonts w:ascii="Calibri" w:eastAsia="Calibri" w:hAnsi="Calibri" w:cs="Arial"/>
          <w:sz w:val="16"/>
          <w:szCs w:val="16"/>
          <w:u w:val="single"/>
          <w:rtl/>
        </w:rPr>
        <w:t>(ובו זכות לגבות דבר ידוע מהכפר כל שנה)</w:t>
      </w:r>
      <w:r w:rsidRPr="001D49D4">
        <w:rPr>
          <w:rFonts w:ascii="Calibri" w:eastAsia="Calibri" w:hAnsi="Calibri" w:cs="Arial"/>
          <w:u w:val="single"/>
          <w:rtl/>
        </w:rPr>
        <w:t>, ומתו, והשטר ביד בן ראובן וטוען שבן שמעון מחל לו:</w:t>
      </w:r>
    </w:p>
    <w:p w14:paraId="0713648C" w14:textId="77777777" w:rsidR="001D49D4" w:rsidRPr="001D49D4" w:rsidRDefault="001D49D4" w:rsidP="0004348D">
      <w:pPr>
        <w:numPr>
          <w:ilvl w:val="0"/>
          <w:numId w:val="329"/>
        </w:numPr>
        <w:spacing w:before="360" w:after="240"/>
        <w:contextualSpacing/>
        <w:rPr>
          <w:rFonts w:ascii="Calibri" w:eastAsia="Calibri" w:hAnsi="Calibri" w:cs="Arial"/>
        </w:rPr>
      </w:pPr>
      <w:r w:rsidRPr="001D49D4">
        <w:rPr>
          <w:rFonts w:ascii="Calibri" w:eastAsia="Calibri" w:hAnsi="Calibri" w:cs="Arial"/>
          <w:rtl/>
        </w:rPr>
        <w:t>רשב"א</w:t>
      </w:r>
      <w:r w:rsidRPr="001D49D4">
        <w:rPr>
          <w:rFonts w:ascii="Calibri" w:eastAsia="Calibri" w:hAnsi="Calibri" w:cs="Arial"/>
          <w:sz w:val="16"/>
          <w:szCs w:val="16"/>
          <w:rtl/>
        </w:rPr>
        <w:t xml:space="preserve"> (ח"ו סי' קנט)</w:t>
      </w:r>
      <w:r w:rsidRPr="001D49D4">
        <w:rPr>
          <w:rFonts w:ascii="Calibri" w:eastAsia="Calibri" w:hAnsi="Calibri" w:cs="Arial"/>
          <w:rtl/>
        </w:rPr>
        <w:t xml:space="preserve">- ראובן ושמעון שנתן להם המלך בחותמיו דבר ידוע בכל שנה בכפר אחד, ומתו שניהם, ונשאר אותו חותם ביד חנוך בנו של ראובן. ושאול בנו של שמעון תובע את חנוך להראות לו אותו חותם כדי שיוכל לגבות חלקו. והשיב חנוך 'אתה מחלת לי מחילה גמורה ואין לי להראות לך'. והשיב שאול 'אין אותיות נקנות במחילה'. והשיב חנוך 'אפילו כדבריך הרי זכיתי בגוף הנייר ואין לי להראות לך', הדין עם מי. תשובה, הדין עם שאול מכמה טעמים, חדא - שאפילו היה שטר זה כשאר שטרי חוב דעלמא לא היה נקנה במסירה לבד, ולפיכך אפילו באנו לדון מחילה זו כמסירה הואיל ובשעת מחילה היה החותם מסור ביד חנוך אפילו הכי אינו נקנה עד שיהא שם כתיבה ומסירה, ואפילו גוף הנייר לא קנה שהנייר נגרר אחר השעבוד שלא לצור על פי צלוחיתו הוא צריך. וכן נראה ממ"ש הרי"ף בכתובות </w:t>
      </w:r>
      <w:r w:rsidRPr="001D49D4">
        <w:rPr>
          <w:rFonts w:ascii="Calibri" w:eastAsia="Calibri" w:hAnsi="Calibri" w:cs="Arial"/>
          <w:sz w:val="16"/>
          <w:szCs w:val="16"/>
          <w:rtl/>
        </w:rPr>
        <w:t xml:space="preserve">(מג.) </w:t>
      </w:r>
      <w:r w:rsidRPr="001D49D4">
        <w:rPr>
          <w:rFonts w:ascii="Calibri" w:eastAsia="Calibri" w:hAnsi="Calibri" w:cs="Arial"/>
          <w:rtl/>
        </w:rPr>
        <w:t xml:space="preserve">בעובדא דמלוגא דשטרי. ועוד קרוב הוא בעיני שאין שטר כזה נקנה אפילו בכתיבה ומסירה לפי שאין שם מתחייב, שהמלך לא חייב עצמו להם באותו סך בשטר זה, וכן לא נתן להם שום גוף לפירות, אלא שמתחסד עמהם ואומר שיטלו מצותו כך וכך בכל שנה ושנה, וכשאומר לאחד אתחסד עמך ואתן לך כך וכך בכל שנה, ושטר כזה איני רואה שיוכל למכור אפילו בכתיבה ומסירה שאין כאן מתחייב. ומ"מ אם כבר גבה חנוך וטען שמחל לו שאול - מה שגבה חנוך לאחר אותה מחילה הרי הוא של חנוך. ואע"פ שלא קנה חנוך השטר באותה מחילה משום דמחילת שאול בטעות היתה, מכל מקום מתוך אותו טעות הניחו לאכול וקיי"ל דמחילה בטעות בכל כי האי - הויא מחילה, וכדאמרינן בפרק איזהו נשך </w:t>
      </w:r>
      <w:r w:rsidRPr="001D49D4">
        <w:rPr>
          <w:rFonts w:ascii="Calibri" w:eastAsia="Calibri" w:hAnsi="Calibri" w:cs="Arial"/>
          <w:sz w:val="16"/>
          <w:szCs w:val="16"/>
          <w:rtl/>
        </w:rPr>
        <w:t xml:space="preserve">(ב"מ סו:) </w:t>
      </w:r>
      <w:r w:rsidRPr="001D49D4">
        <w:rPr>
          <w:rFonts w:ascii="Calibri" w:eastAsia="Calibri" w:hAnsi="Calibri" w:cs="Arial"/>
          <w:rtl/>
        </w:rPr>
        <w:t xml:space="preserve">גבי מוכר פירות דקל לחבירו מודה רב נחמן דאי שמיט ואכיל קנה. ומפרשים טעמא התם משום דמחילה בטעות הויא מחילה, שהמוכר היה סבור שקנה ומתוך טעות זה הניחו לאכול ואע"פ שטעה בזה מכל מקום ברשותו אכל ולפיכך הויא מחילה. </w:t>
      </w:r>
      <w:r w:rsidRPr="001D49D4">
        <w:rPr>
          <w:rFonts w:ascii="Calibri" w:eastAsia="Calibri" w:hAnsi="Calibri" w:cs="Arial"/>
          <w:color w:val="00B0F0"/>
          <w:rtl/>
        </w:rPr>
        <w:t>(וכ"פ הרמ"א)</w:t>
      </w:r>
    </w:p>
    <w:p w14:paraId="0E051106" w14:textId="77777777" w:rsidR="001D49D4" w:rsidRPr="001D49D4" w:rsidRDefault="001D49D4" w:rsidP="0004348D">
      <w:pPr>
        <w:spacing w:before="360" w:after="240"/>
        <w:rPr>
          <w:rFonts w:ascii="Arial" w:eastAsia="Calibri" w:hAnsi="Arial" w:cs="Arial"/>
          <w:b/>
          <w:bCs/>
          <w:color w:val="000000"/>
          <w:sz w:val="28"/>
          <w:szCs w:val="28"/>
          <w:u w:val="single"/>
          <w:rtl/>
        </w:rPr>
      </w:pPr>
      <w:r w:rsidRPr="001D49D4">
        <w:rPr>
          <w:rFonts w:ascii="Arial" w:eastAsia="Calibri" w:hAnsi="Arial" w:cs="Arial"/>
          <w:b/>
          <w:bCs/>
          <w:color w:val="000000"/>
          <w:sz w:val="28"/>
          <w:szCs w:val="28"/>
          <w:u w:val="single"/>
          <w:rtl/>
        </w:rPr>
        <w:t>שו"ע:</w:t>
      </w:r>
    </w:p>
    <w:p w14:paraId="736AD590"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rtl/>
        </w:rPr>
        <w:t>יש מי שאומר שצריך מסירת השטר קודם כתיבת השעבוד</w:t>
      </w:r>
      <w:r w:rsidRPr="001D49D4">
        <w:rPr>
          <w:rFonts w:ascii="Calibri" w:eastAsia="Calibri" w:hAnsi="Calibri" w:cs="Arial"/>
          <w:vertAlign w:val="superscript"/>
          <w:rtl/>
        </w:rPr>
        <w:footnoteReference w:id="4992"/>
      </w:r>
      <w:r w:rsidRPr="001D49D4">
        <w:rPr>
          <w:rFonts w:ascii="Calibri" w:eastAsia="Calibri" w:hAnsi="Calibri" w:cs="Arial"/>
          <w:rtl/>
        </w:rPr>
        <w:t>. אם השטר הנמסר אינו מצוי אצלו, אף על פי שהקנהו לו בקנין חליפין, אינו חשוב כמסירה</w:t>
      </w:r>
      <w:r w:rsidRPr="001D49D4">
        <w:rPr>
          <w:rFonts w:ascii="Calibri" w:eastAsia="Calibri" w:hAnsi="Calibri" w:cs="Arial"/>
          <w:vertAlign w:val="superscript"/>
          <w:rtl/>
        </w:rPr>
        <w:footnoteReference w:id="4993"/>
      </w:r>
      <w:r w:rsidRPr="001D49D4">
        <w:rPr>
          <w:rFonts w:ascii="Calibri" w:eastAsia="Calibri" w:hAnsi="Calibri" w:cs="Arial"/>
          <w:rtl/>
        </w:rPr>
        <w:t xml:space="preserve">. </w:t>
      </w:r>
      <w:r w:rsidRPr="001D49D4">
        <w:rPr>
          <w:rFonts w:ascii="Calibri" w:eastAsia="Calibri" w:hAnsi="Calibri" w:cs="Arial"/>
          <w:sz w:val="18"/>
          <w:szCs w:val="18"/>
          <w:rtl/>
        </w:rPr>
        <w:t xml:space="preserve">הגה: שטר של ראובן ושמעון ביחד שנתן להם השר רשות לגבות הכנסת כפר אחד, והאחד טוען שחבירו מחל לו חלקו, והשטר תחת ידו, אין טענתו טענה, דשטר כזה אין נקנה </w:t>
      </w:r>
      <w:r w:rsidRPr="001D49D4">
        <w:rPr>
          <w:rFonts w:ascii="Calibri" w:eastAsia="Calibri" w:hAnsi="Calibri" w:cs="Arial"/>
          <w:sz w:val="18"/>
          <w:szCs w:val="18"/>
          <w:vertAlign w:val="superscript"/>
          <w:rtl/>
        </w:rPr>
        <w:footnoteReference w:id="4994"/>
      </w:r>
      <w:r w:rsidRPr="001D49D4">
        <w:rPr>
          <w:rFonts w:ascii="Calibri" w:eastAsia="Calibri" w:hAnsi="Calibri" w:cs="Arial"/>
          <w:sz w:val="18"/>
          <w:szCs w:val="18"/>
          <w:rtl/>
        </w:rPr>
        <w:t>אפילו בכתיבה ומסירה הואיל ואין בו חיוב כלל רק שהשר נתן להם רשות. מיהו אם כבר גבה האחד ואומר שהשני מחל לו, מה שגבה גבה (רשב"א). ראובן שיש לו שטרות משמעון מופקדים בידו ושמעון מחל לו עליהם, לא קנה ראובן דכתיבה ומסירה בעינן (רשב"א).</w:t>
      </w:r>
      <w:r w:rsidRPr="001D49D4">
        <w:rPr>
          <w:rFonts w:ascii="Calibri" w:eastAsia="Calibri" w:hAnsi="Calibri" w:cs="Arial"/>
          <w:rtl/>
        </w:rPr>
        <w:t xml:space="preserve"> </w:t>
      </w:r>
    </w:p>
    <w:p w14:paraId="648FF2F7" w14:textId="77777777" w:rsidR="001D49D4" w:rsidRPr="001D49D4" w:rsidRDefault="001D49D4" w:rsidP="0004348D">
      <w:pPr>
        <w:spacing w:before="360" w:after="240"/>
        <w:rPr>
          <w:rFonts w:ascii="Calibri" w:eastAsia="Calibri" w:hAnsi="Calibri" w:cs="Arial"/>
          <w:rtl/>
        </w:rPr>
      </w:pPr>
    </w:p>
    <w:p w14:paraId="0168DF1A" w14:textId="77777777" w:rsidR="001D49D4" w:rsidRPr="001D49D4" w:rsidRDefault="001D49D4" w:rsidP="0004348D">
      <w:pPr>
        <w:keepNext/>
        <w:keepLines/>
        <w:spacing w:before="360" w:after="240"/>
        <w:outlineLvl w:val="1"/>
        <w:rPr>
          <w:rFonts w:ascii="Cambria" w:eastAsia="Times New Roman" w:hAnsi="Cambria" w:cs="Arial"/>
          <w:bCs/>
          <w:color w:val="548DD4" w:themeColor="text2" w:themeTint="99"/>
          <w:sz w:val="26"/>
          <w:szCs w:val="26"/>
          <w:rtl/>
        </w:rPr>
      </w:pPr>
      <w:bookmarkStart w:id="676" w:name="_Toc24884099"/>
      <w:r w:rsidRPr="001D49D4">
        <w:rPr>
          <w:rFonts w:ascii="Cambria" w:eastAsia="Times New Roman" w:hAnsi="Cambria" w:cs="Arial"/>
          <w:bCs/>
          <w:color w:val="548DD4" w:themeColor="text2" w:themeTint="99"/>
          <w:sz w:val="26"/>
          <w:szCs w:val="26"/>
          <w:rtl/>
        </w:rPr>
        <w:t>סעיף ה: שטרות הרשומות על פלוני אך אינם שלו ואח"כ ניתנו לו במתנה.</w:t>
      </w:r>
      <w:bookmarkEnd w:id="676"/>
    </w:p>
    <w:p w14:paraId="2F43951B" w14:textId="77777777" w:rsidR="001D49D4" w:rsidRPr="001D49D4" w:rsidRDefault="001D49D4" w:rsidP="0004348D">
      <w:pPr>
        <w:spacing w:before="360" w:after="240"/>
        <w:rPr>
          <w:rFonts w:ascii="Calibri" w:eastAsia="Calibri" w:hAnsi="Calibri" w:cs="Arial"/>
          <w:u w:val="single"/>
          <w:rtl/>
        </w:rPr>
      </w:pPr>
      <w:r w:rsidRPr="001D49D4">
        <w:rPr>
          <w:rFonts w:ascii="Calibri" w:eastAsia="Calibri" w:hAnsi="Calibri" w:cs="Arial"/>
          <w:u w:val="single"/>
          <w:rtl/>
        </w:rPr>
        <w:t>ראובן הפקיד מעות ביד שמעון להתעסק בהם והרשה לו להעלות השטרות בשמו ואח"כ נתנם לו במתנה בלא כתיבה:</w:t>
      </w:r>
    </w:p>
    <w:p w14:paraId="4EBBEA2D" w14:textId="77777777" w:rsidR="001D49D4" w:rsidRPr="001D49D4" w:rsidRDefault="001D49D4" w:rsidP="0004348D">
      <w:pPr>
        <w:numPr>
          <w:ilvl w:val="0"/>
          <w:numId w:val="329"/>
        </w:numPr>
        <w:spacing w:before="360" w:after="240"/>
        <w:contextualSpacing/>
        <w:rPr>
          <w:rFonts w:ascii="Calibri" w:eastAsia="Calibri" w:hAnsi="Calibri" w:cs="Arial"/>
        </w:rPr>
      </w:pPr>
      <w:r w:rsidRPr="001D49D4">
        <w:rPr>
          <w:rFonts w:ascii="Calibri" w:eastAsia="Calibri" w:hAnsi="Calibri" w:cs="Arial"/>
          <w:rtl/>
        </w:rPr>
        <w:t xml:space="preserve">רשב"א </w:t>
      </w:r>
      <w:r w:rsidRPr="001D49D4">
        <w:rPr>
          <w:rFonts w:ascii="Calibri" w:eastAsia="Calibri" w:hAnsi="Calibri" w:cs="Arial"/>
          <w:sz w:val="16"/>
          <w:szCs w:val="16"/>
          <w:rtl/>
        </w:rPr>
        <w:t>(ח"ב סי' סא)</w:t>
      </w:r>
      <w:r w:rsidRPr="001D49D4">
        <w:rPr>
          <w:rFonts w:ascii="Calibri" w:eastAsia="Calibri" w:hAnsi="Calibri" w:cs="Arial"/>
          <w:rtl/>
        </w:rPr>
        <w:t>- ראובן הפקיד מעות ביד שמעון להתעסק בהם, ונתן לו רשות להעלות השטרות בשמו, ואח"כ נתנם</w:t>
      </w:r>
      <w:r w:rsidRPr="001D49D4">
        <w:rPr>
          <w:rFonts w:ascii="Calibri" w:eastAsia="Calibri" w:hAnsi="Calibri" w:cs="Arial"/>
          <w:sz w:val="16"/>
          <w:szCs w:val="16"/>
          <w:rtl/>
        </w:rPr>
        <w:t xml:space="preserve"> {ראובן}</w:t>
      </w:r>
      <w:r w:rsidRPr="001D49D4">
        <w:rPr>
          <w:rFonts w:ascii="Calibri" w:eastAsia="Calibri" w:hAnsi="Calibri" w:cs="Arial"/>
          <w:rtl/>
        </w:rPr>
        <w:t xml:space="preserve"> לו במתנה בלא כתיבה. תשובה, כבר כתבתי לך שלדעת הרי"ף </w:t>
      </w:r>
      <w:r w:rsidRPr="001D49D4">
        <w:rPr>
          <w:rFonts w:ascii="Calibri" w:eastAsia="Calibri" w:hAnsi="Calibri" w:cs="Arial"/>
          <w:sz w:val="16"/>
          <w:szCs w:val="16"/>
          <w:rtl/>
        </w:rPr>
        <w:t>(ב"ב פ.)</w:t>
      </w:r>
      <w:r w:rsidRPr="001D49D4">
        <w:rPr>
          <w:rFonts w:ascii="Calibri" w:eastAsia="Calibri" w:hAnsi="Calibri" w:cs="Arial"/>
          <w:rtl/>
        </w:rPr>
        <w:t xml:space="preserve"> לא קנה, וכן דעתי מכרעת מפלוגתא דאביי ורבא בר"פ האשה שלום </w:t>
      </w:r>
      <w:r w:rsidRPr="001D49D4">
        <w:rPr>
          <w:rFonts w:ascii="Calibri" w:eastAsia="Calibri" w:hAnsi="Calibri" w:cs="Arial"/>
          <w:sz w:val="16"/>
          <w:szCs w:val="16"/>
          <w:rtl/>
        </w:rPr>
        <w:t>(קטו:)</w:t>
      </w:r>
      <w:r w:rsidRPr="001D49D4">
        <w:rPr>
          <w:rFonts w:ascii="Calibri" w:eastAsia="Calibri" w:hAnsi="Calibri" w:cs="Arial"/>
          <w:rtl/>
        </w:rPr>
        <w:t xml:space="preserve">. ולדעת הרז"ה </w:t>
      </w:r>
      <w:r w:rsidRPr="001D49D4">
        <w:rPr>
          <w:rFonts w:ascii="Calibri" w:eastAsia="Calibri" w:hAnsi="Calibri" w:cs="Arial"/>
          <w:sz w:val="16"/>
          <w:szCs w:val="16"/>
          <w:rtl/>
        </w:rPr>
        <w:t xml:space="preserve">(שם) </w:t>
      </w:r>
      <w:r w:rsidRPr="001D49D4">
        <w:rPr>
          <w:rFonts w:ascii="Calibri" w:eastAsia="Calibri" w:hAnsi="Calibri" w:cs="Arial"/>
          <w:rtl/>
        </w:rPr>
        <w:t>קנה כיון דשמו כתוב בו. ואיני רואה ממש בדברי המחלקים, בין שם המקנה כשם הקונה ובין שאין שם המקנה כשם הקונה.</w:t>
      </w:r>
      <w:r w:rsidRPr="001D49D4">
        <w:rPr>
          <w:rFonts w:ascii="Calibri" w:eastAsia="Calibri" w:hAnsi="Calibri" w:cs="Arial"/>
          <w:color w:val="E36C0A" w:themeColor="accent6" w:themeShade="BF"/>
          <w:rtl/>
        </w:rPr>
        <w:t xml:space="preserve"> (וכ"פ בשו"ע)</w:t>
      </w:r>
    </w:p>
    <w:p w14:paraId="1A139CA0" w14:textId="77777777" w:rsidR="001D49D4" w:rsidRPr="001D49D4" w:rsidRDefault="001D49D4" w:rsidP="0004348D">
      <w:pPr>
        <w:spacing w:before="360" w:after="240"/>
        <w:rPr>
          <w:rFonts w:ascii="Arial" w:eastAsia="Calibri" w:hAnsi="Arial" w:cs="Arial"/>
          <w:b/>
          <w:bCs/>
          <w:color w:val="000000"/>
          <w:sz w:val="28"/>
          <w:szCs w:val="28"/>
          <w:u w:val="single"/>
          <w:rtl/>
        </w:rPr>
      </w:pPr>
      <w:r w:rsidRPr="001D49D4">
        <w:rPr>
          <w:rFonts w:ascii="Arial" w:eastAsia="Calibri" w:hAnsi="Arial" w:cs="Arial"/>
          <w:b/>
          <w:bCs/>
          <w:color w:val="000000"/>
          <w:sz w:val="28"/>
          <w:szCs w:val="28"/>
          <w:u w:val="single"/>
          <w:rtl/>
        </w:rPr>
        <w:t>שו"ע:</w:t>
      </w:r>
    </w:p>
    <w:p w14:paraId="7D6C60DE" w14:textId="77777777" w:rsidR="001D49D4" w:rsidRPr="001D49D4" w:rsidRDefault="001D49D4" w:rsidP="0004348D">
      <w:pPr>
        <w:spacing w:before="360" w:after="240"/>
        <w:rPr>
          <w:rFonts w:ascii="Calibri" w:eastAsia="Calibri" w:hAnsi="Calibri" w:cs="Arial"/>
          <w:color w:val="000000" w:themeColor="text1"/>
          <w:rtl/>
        </w:rPr>
      </w:pPr>
      <w:r w:rsidRPr="001D49D4">
        <w:rPr>
          <w:rFonts w:ascii="Calibri" w:eastAsia="Calibri" w:hAnsi="Calibri" w:cs="Arial"/>
          <w:rtl/>
        </w:rPr>
        <w:t>ראובן הפקיד מעות ביד שמעון להתעסק בהם, ונתן לו רשות להעלות השטרות בשמו</w:t>
      </w:r>
      <w:r w:rsidRPr="001D49D4">
        <w:rPr>
          <w:rFonts w:ascii="Calibri" w:eastAsia="Calibri" w:hAnsi="Calibri" w:cs="Arial"/>
          <w:vertAlign w:val="superscript"/>
          <w:rtl/>
        </w:rPr>
        <w:footnoteReference w:id="4995"/>
      </w:r>
      <w:r w:rsidRPr="001D49D4">
        <w:rPr>
          <w:rFonts w:ascii="Calibri" w:eastAsia="Calibri" w:hAnsi="Calibri" w:cs="Arial"/>
          <w:rtl/>
        </w:rPr>
        <w:t xml:space="preserve">, ואח"כ נתנם לו במתנה בלא </w:t>
      </w:r>
      <w:r w:rsidRPr="001D49D4">
        <w:rPr>
          <w:rFonts w:ascii="Calibri" w:eastAsia="Calibri" w:hAnsi="Calibri" w:cs="Arial"/>
          <w:color w:val="000000" w:themeColor="text1"/>
          <w:rtl/>
        </w:rPr>
        <w:t xml:space="preserve">כתיבה, לא קנה. </w:t>
      </w:r>
      <w:r w:rsidRPr="001D49D4">
        <w:rPr>
          <w:rFonts w:ascii="Calibri" w:eastAsia="Calibri" w:hAnsi="Calibri" w:cs="Arial"/>
          <w:color w:val="000000" w:themeColor="text1"/>
          <w:sz w:val="18"/>
          <w:szCs w:val="18"/>
          <w:rtl/>
        </w:rPr>
        <w:t xml:space="preserve">[הגה] וכבר נתבאר בסמוך </w:t>
      </w:r>
      <w:r w:rsidRPr="001D49D4">
        <w:rPr>
          <w:rFonts w:ascii="Calibri" w:eastAsia="Calibri" w:hAnsi="Calibri" w:cs="Arial"/>
          <w:color w:val="000000" w:themeColor="text1"/>
          <w:sz w:val="16"/>
          <w:szCs w:val="16"/>
          <w:vertAlign w:val="superscript"/>
          <w:rtl/>
        </w:rPr>
        <w:footnoteReference w:id="4996"/>
      </w:r>
      <w:r w:rsidRPr="001D49D4">
        <w:rPr>
          <w:rFonts w:ascii="Calibri" w:eastAsia="Calibri" w:hAnsi="Calibri" w:cs="Arial"/>
          <w:color w:val="000000" w:themeColor="text1"/>
          <w:sz w:val="16"/>
          <w:szCs w:val="16"/>
          <w:rtl/>
        </w:rPr>
        <w:t>(בסוף ס"א)</w:t>
      </w:r>
      <w:r w:rsidRPr="001D49D4">
        <w:rPr>
          <w:rFonts w:ascii="Calibri" w:eastAsia="Calibri" w:hAnsi="Calibri" w:cs="Arial"/>
          <w:color w:val="000000" w:themeColor="text1"/>
          <w:sz w:val="18"/>
          <w:szCs w:val="18"/>
          <w:rtl/>
        </w:rPr>
        <w:t>.</w:t>
      </w:r>
      <w:r w:rsidRPr="001D49D4">
        <w:rPr>
          <w:rFonts w:ascii="Calibri" w:eastAsia="Calibri" w:hAnsi="Calibri" w:cs="Arial"/>
          <w:color w:val="000000" w:themeColor="text1"/>
          <w:rtl/>
        </w:rPr>
        <w:t xml:space="preserve"> </w:t>
      </w:r>
    </w:p>
    <w:p w14:paraId="41CD0E13"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u w:val="single"/>
          <w:rtl/>
        </w:rPr>
        <w:t>שותפים שנכתבו שטרות על שם שניהם ועכשיו הפסיקו שותפותם ורוצים לחלק את השטרות:</w:t>
      </w:r>
      <w:r w:rsidRPr="001D49D4">
        <w:rPr>
          <w:rFonts w:ascii="Calibri" w:eastAsia="Calibri" w:hAnsi="Calibri" w:cs="Arial"/>
          <w:rtl/>
        </w:rPr>
        <w:t xml:space="preserve"> </w:t>
      </w:r>
    </w:p>
    <w:p w14:paraId="72A1B841" w14:textId="77777777" w:rsidR="001D49D4" w:rsidRPr="001D49D4" w:rsidRDefault="001D49D4" w:rsidP="0004348D">
      <w:pPr>
        <w:numPr>
          <w:ilvl w:val="0"/>
          <w:numId w:val="329"/>
        </w:numPr>
        <w:spacing w:before="360" w:after="240"/>
        <w:contextualSpacing/>
        <w:rPr>
          <w:rFonts w:ascii="Calibri" w:eastAsia="Calibri" w:hAnsi="Calibri" w:cs="Arial"/>
          <w:rtl/>
        </w:rPr>
      </w:pPr>
      <w:r w:rsidRPr="001D49D4">
        <w:rPr>
          <w:rFonts w:ascii="Calibri" w:eastAsia="Calibri" w:hAnsi="Calibri" w:cs="Arial"/>
          <w:rtl/>
        </w:rPr>
        <w:t>מהרשד"ם</w:t>
      </w:r>
      <w:r w:rsidRPr="001D49D4">
        <w:rPr>
          <w:rFonts w:ascii="Calibri" w:eastAsia="Calibri" w:hAnsi="Calibri" w:cs="Arial"/>
          <w:sz w:val="16"/>
          <w:szCs w:val="16"/>
          <w:rtl/>
        </w:rPr>
        <w:t xml:space="preserve"> (חו"מ סי' יט)</w:t>
      </w:r>
      <w:r w:rsidRPr="001D49D4">
        <w:rPr>
          <w:rFonts w:ascii="Calibri" w:eastAsia="Calibri" w:hAnsi="Calibri" w:cs="Arial"/>
          <w:rtl/>
        </w:rPr>
        <w:t xml:space="preserve">- נראה בעיני בחלוקה מה שחלקו השותפים שטרות שכותבים על שניהם, צריך כתיבה ומסירה כשאר שטרות, ואין לומר דדוקא בשאר שטרות אמרינן כן ולא בשטר שותפות שכתוב על שניהם, דהא כתב הב"י סימן ס"ו [מחודש ד'] בשם תשובת הרשב"א [ח"ב סי' ס"א] על ראובן שהפקיד מעות ביד שמעון ונתן לו רשות להעלות השטרות בשמו ואח"כ נתנם לו במתנה בלא כתיבה לא קנה, ע"כ, וא"כ נראה בנידון דידן דליכא כתיבה כלל לא קנה השטרות, והן כמו שהיו בזמן שותפותם. </w:t>
      </w:r>
    </w:p>
    <w:p w14:paraId="41268F26" w14:textId="77777777" w:rsidR="001D49D4" w:rsidRPr="001D49D4" w:rsidRDefault="001D49D4" w:rsidP="0004348D">
      <w:pPr>
        <w:numPr>
          <w:ilvl w:val="0"/>
          <w:numId w:val="329"/>
        </w:numPr>
        <w:spacing w:before="360" w:after="240"/>
        <w:contextualSpacing/>
        <w:rPr>
          <w:rFonts w:ascii="Calibri" w:eastAsia="Calibri" w:hAnsi="Calibri" w:cs="Arial"/>
        </w:rPr>
      </w:pPr>
      <w:r w:rsidRPr="001D49D4">
        <w:rPr>
          <w:rFonts w:ascii="Calibri" w:eastAsia="Calibri" w:hAnsi="Calibri" w:cs="Arial"/>
          <w:rtl/>
        </w:rPr>
        <w:t xml:space="preserve">ש"ך </w:t>
      </w:r>
      <w:r w:rsidRPr="001D49D4">
        <w:rPr>
          <w:rFonts w:ascii="Calibri" w:eastAsia="Calibri" w:hAnsi="Calibri" w:cs="Arial"/>
          <w:sz w:val="16"/>
          <w:szCs w:val="16"/>
          <w:rtl/>
        </w:rPr>
        <w:t>(סקי"ח)</w:t>
      </w:r>
      <w:r w:rsidRPr="001D49D4">
        <w:rPr>
          <w:rFonts w:ascii="Calibri" w:eastAsia="Calibri" w:hAnsi="Calibri" w:cs="Arial"/>
          <w:rtl/>
        </w:rPr>
        <w:t xml:space="preserve">- </w:t>
      </w:r>
      <w:r w:rsidRPr="001D49D4">
        <w:rPr>
          <w:rFonts w:ascii="Calibri" w:eastAsia="Calibri" w:hAnsi="Calibri" w:cs="Arial"/>
          <w:vertAlign w:val="superscript"/>
          <w:rtl/>
        </w:rPr>
        <w:footnoteReference w:id="4997"/>
      </w:r>
      <w:r w:rsidRPr="001D49D4">
        <w:rPr>
          <w:rFonts w:ascii="Calibri" w:eastAsia="Calibri" w:hAnsi="Calibri" w:cs="Arial"/>
          <w:rtl/>
        </w:rPr>
        <w:t>שותפים שנכתב השטר מתחילה על שם שניהם, יכול אחד לתבוע כולו</w:t>
      </w:r>
      <w:r w:rsidRPr="001D49D4">
        <w:rPr>
          <w:rFonts w:ascii="Calibri" w:eastAsia="Calibri" w:hAnsi="Calibri" w:cs="Arial"/>
          <w:vertAlign w:val="superscript"/>
          <w:rtl/>
        </w:rPr>
        <w:footnoteReference w:id="4998"/>
      </w:r>
      <w:r w:rsidRPr="001D49D4">
        <w:rPr>
          <w:rFonts w:ascii="Calibri" w:eastAsia="Calibri" w:hAnsi="Calibri" w:cs="Arial"/>
          <w:rtl/>
        </w:rPr>
        <w:t>.</w:t>
      </w:r>
    </w:p>
    <w:p w14:paraId="7F4E7041" w14:textId="77777777" w:rsidR="001D49D4" w:rsidRPr="001D49D4" w:rsidRDefault="001D49D4" w:rsidP="0004348D">
      <w:pPr>
        <w:spacing w:before="360" w:after="240"/>
        <w:rPr>
          <w:rFonts w:ascii="Calibri" w:eastAsia="Calibri" w:hAnsi="Calibri" w:cs="Arial"/>
          <w:rtl/>
        </w:rPr>
      </w:pPr>
    </w:p>
    <w:p w14:paraId="7F356A71" w14:textId="77777777" w:rsidR="001D49D4" w:rsidRPr="001D49D4" w:rsidRDefault="001D49D4" w:rsidP="0004348D">
      <w:pPr>
        <w:keepNext/>
        <w:keepLines/>
        <w:spacing w:before="360" w:after="240"/>
        <w:outlineLvl w:val="1"/>
        <w:rPr>
          <w:rFonts w:ascii="Cambria" w:eastAsia="Times New Roman" w:hAnsi="Cambria" w:cs="Arial"/>
          <w:bCs/>
          <w:color w:val="548DD4" w:themeColor="text2" w:themeTint="99"/>
          <w:sz w:val="26"/>
          <w:szCs w:val="26"/>
          <w:rtl/>
        </w:rPr>
      </w:pPr>
      <w:bookmarkStart w:id="677" w:name="_Toc24884100"/>
      <w:r w:rsidRPr="001D49D4">
        <w:rPr>
          <w:rFonts w:ascii="Cambria" w:eastAsia="Times New Roman" w:hAnsi="Cambria" w:cs="Arial"/>
          <w:bCs/>
          <w:color w:val="548DD4" w:themeColor="text2" w:themeTint="99"/>
          <w:sz w:val="26"/>
          <w:szCs w:val="26"/>
          <w:rtl/>
        </w:rPr>
        <w:t>סעיף ו: שטר העשוי בערכאות של גוים. שטר העשוי בכתיבת ידו.</w:t>
      </w:r>
      <w:bookmarkEnd w:id="677"/>
    </w:p>
    <w:p w14:paraId="3F416291"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u w:val="single"/>
          <w:rtl/>
        </w:rPr>
        <w:t>קניית שטר העשוי בערכאות של גוים או שטר העשוי בכתיבת ידו:</w:t>
      </w:r>
    </w:p>
    <w:p w14:paraId="4A6F35B5" w14:textId="77777777" w:rsidR="001D49D4" w:rsidRPr="001D49D4" w:rsidRDefault="001D49D4" w:rsidP="0004348D">
      <w:pPr>
        <w:numPr>
          <w:ilvl w:val="0"/>
          <w:numId w:val="330"/>
        </w:numPr>
        <w:spacing w:before="360" w:after="240"/>
        <w:contextualSpacing/>
        <w:rPr>
          <w:rFonts w:ascii="Calibri" w:eastAsia="Calibri" w:hAnsi="Calibri" w:cs="Arial"/>
          <w:rtl/>
        </w:rPr>
      </w:pPr>
      <w:r w:rsidRPr="001D49D4">
        <w:rPr>
          <w:rFonts w:ascii="Calibri" w:eastAsia="Calibri" w:hAnsi="Calibri" w:cs="Arial"/>
          <w:rtl/>
        </w:rPr>
        <w:t xml:space="preserve">בעל התרומות </w:t>
      </w:r>
      <w:r w:rsidRPr="001D49D4">
        <w:rPr>
          <w:rFonts w:ascii="Calibri" w:eastAsia="Calibri" w:hAnsi="Calibri" w:cs="Arial"/>
          <w:sz w:val="16"/>
          <w:szCs w:val="16"/>
          <w:rtl/>
        </w:rPr>
        <w:t>(שער נא שם סי' ה)</w:t>
      </w:r>
      <w:r w:rsidRPr="001D49D4">
        <w:rPr>
          <w:rFonts w:ascii="Calibri" w:eastAsia="Calibri" w:hAnsi="Calibri" w:cs="Arial"/>
          <w:rtl/>
        </w:rPr>
        <w:t xml:space="preserve"> רשב"א </w:t>
      </w:r>
      <w:r w:rsidRPr="001D49D4">
        <w:rPr>
          <w:rFonts w:ascii="Calibri" w:eastAsia="Calibri" w:hAnsi="Calibri" w:cs="Arial"/>
          <w:sz w:val="16"/>
          <w:szCs w:val="16"/>
          <w:rtl/>
        </w:rPr>
        <w:t>(ח"א סי' אלף לח, ח"ג סי' סו, סי' תתקפד, סי' אלף לח)</w:t>
      </w:r>
      <w:r w:rsidRPr="001D49D4">
        <w:rPr>
          <w:rFonts w:ascii="Calibri" w:eastAsia="Calibri" w:hAnsi="Calibri" w:cs="Arial"/>
          <w:rtl/>
        </w:rPr>
        <w:t xml:space="preserve"> וטור- שטר העשוי בערכאות של גוים ושטר של כתב ידו - נקנין גם כן בכתיבה ומסירה. ולא אמרינן דליחשביה כמלוה על פה שאינה נקנית אלא במעמד שלשתן, דשטר העשוי בערכאות של גוים אם עשוי כתיקונו גובין בו אפילו ממשעבדי. וכתב ידו נהי דלא חשיב כשטר לגבות בו ממשעבדי גובין בו מבני חרי</w:t>
      </w:r>
      <w:r w:rsidRPr="001D49D4">
        <w:rPr>
          <w:rFonts w:ascii="Calibri" w:eastAsia="Calibri" w:hAnsi="Calibri" w:cs="Arial"/>
          <w:vertAlign w:val="superscript"/>
          <w:rtl/>
        </w:rPr>
        <w:footnoteReference w:id="4999"/>
      </w:r>
      <w:r w:rsidRPr="001D49D4">
        <w:rPr>
          <w:rFonts w:ascii="Calibri" w:eastAsia="Calibri" w:hAnsi="Calibri" w:cs="Arial"/>
          <w:sz w:val="16"/>
          <w:szCs w:val="16"/>
          <w:rtl/>
        </w:rPr>
        <w:t xml:space="preserve"> (ל' הטור)</w:t>
      </w:r>
      <w:r w:rsidRPr="001D49D4">
        <w:rPr>
          <w:rFonts w:ascii="Calibri" w:eastAsia="Calibri" w:hAnsi="Calibri" w:cs="Arial"/>
          <w:rtl/>
        </w:rPr>
        <w:t xml:space="preserve">. </w:t>
      </w:r>
      <w:r w:rsidRPr="001D49D4">
        <w:rPr>
          <w:rFonts w:ascii="Calibri" w:eastAsia="Calibri" w:hAnsi="Calibri" w:cs="Arial"/>
          <w:color w:val="E36C0A" w:themeColor="accent6" w:themeShade="BF"/>
          <w:rtl/>
        </w:rPr>
        <w:t>(וכ"פ בשו"ע)</w:t>
      </w:r>
    </w:p>
    <w:p w14:paraId="276C4336" w14:textId="77777777" w:rsidR="001D49D4" w:rsidRPr="001D49D4" w:rsidRDefault="001D49D4" w:rsidP="0004348D">
      <w:pPr>
        <w:spacing w:before="360" w:after="240"/>
        <w:rPr>
          <w:rFonts w:ascii="Arial" w:eastAsia="Calibri" w:hAnsi="Arial" w:cs="Arial"/>
          <w:b/>
          <w:bCs/>
          <w:color w:val="000000"/>
          <w:sz w:val="28"/>
          <w:szCs w:val="28"/>
          <w:u w:val="single"/>
        </w:rPr>
      </w:pPr>
      <w:r w:rsidRPr="001D49D4">
        <w:rPr>
          <w:rFonts w:ascii="Arial" w:eastAsia="Calibri" w:hAnsi="Arial" w:cs="Arial"/>
          <w:b/>
          <w:bCs/>
          <w:color w:val="000000"/>
          <w:sz w:val="28"/>
          <w:szCs w:val="28"/>
          <w:u w:val="single"/>
          <w:rtl/>
        </w:rPr>
        <w:t>שו"ע:</w:t>
      </w:r>
    </w:p>
    <w:p w14:paraId="7F5B3C04" w14:textId="77777777" w:rsidR="001D49D4" w:rsidRPr="001D49D4" w:rsidRDefault="001D49D4" w:rsidP="0004348D">
      <w:pPr>
        <w:spacing w:before="360" w:after="240"/>
        <w:rPr>
          <w:rFonts w:ascii="Arial" w:eastAsia="Calibri" w:hAnsi="Arial" w:cs="Arial"/>
          <w:b/>
          <w:bCs/>
          <w:color w:val="000000"/>
          <w:sz w:val="28"/>
          <w:szCs w:val="28"/>
          <w:u w:val="single"/>
          <w:rtl/>
        </w:rPr>
      </w:pPr>
      <w:r w:rsidRPr="001D49D4">
        <w:rPr>
          <w:rFonts w:ascii="Calibri" w:eastAsia="Calibri" w:hAnsi="Calibri" w:cs="Arial"/>
          <w:rtl/>
        </w:rPr>
        <w:t>שטר העשוי בערכאות של גוים, אם הוא עשוי בענין שהוא כשר</w:t>
      </w:r>
      <w:r w:rsidRPr="001D49D4">
        <w:rPr>
          <w:rFonts w:ascii="Calibri" w:eastAsia="Calibri" w:hAnsi="Calibri" w:cs="Arial"/>
          <w:vertAlign w:val="superscript"/>
          <w:rtl/>
        </w:rPr>
        <w:footnoteReference w:id="5000"/>
      </w:r>
      <w:r w:rsidRPr="001D49D4">
        <w:rPr>
          <w:rFonts w:ascii="Calibri" w:eastAsia="Calibri" w:hAnsi="Calibri" w:cs="Arial"/>
          <w:rtl/>
        </w:rPr>
        <w:t xml:space="preserve"> בדינינו, וכן שטר של כתב ידו, הם נקנים בכתיבה ומסירה.</w:t>
      </w:r>
    </w:p>
    <w:p w14:paraId="6A1A57A4" w14:textId="77777777" w:rsidR="001D49D4" w:rsidRPr="001D49D4" w:rsidRDefault="001D49D4" w:rsidP="0004348D">
      <w:pPr>
        <w:spacing w:before="360" w:after="240"/>
        <w:rPr>
          <w:rFonts w:ascii="Calibri" w:eastAsia="Calibri" w:hAnsi="Calibri" w:cs="Arial"/>
          <w:rtl/>
        </w:rPr>
      </w:pPr>
    </w:p>
    <w:p w14:paraId="0FA127E4" w14:textId="77777777" w:rsidR="001D49D4" w:rsidRPr="001D49D4" w:rsidRDefault="001D49D4" w:rsidP="0004348D">
      <w:pPr>
        <w:keepNext/>
        <w:keepLines/>
        <w:spacing w:before="360" w:after="240"/>
        <w:outlineLvl w:val="1"/>
        <w:rPr>
          <w:rFonts w:ascii="Cambria" w:eastAsia="Times New Roman" w:hAnsi="Cambria" w:cs="Arial"/>
          <w:bCs/>
          <w:color w:val="548DD4" w:themeColor="text2" w:themeTint="99"/>
          <w:sz w:val="26"/>
          <w:szCs w:val="26"/>
          <w:rtl/>
        </w:rPr>
      </w:pPr>
      <w:bookmarkStart w:id="678" w:name="_Toc24884101"/>
      <w:r w:rsidRPr="001D49D4">
        <w:rPr>
          <w:rFonts w:ascii="Cambria" w:eastAsia="Times New Roman" w:hAnsi="Cambria" w:cs="Arial"/>
          <w:bCs/>
          <w:color w:val="548DD4" w:themeColor="text2" w:themeTint="99"/>
          <w:sz w:val="26"/>
          <w:szCs w:val="26"/>
          <w:rtl/>
        </w:rPr>
        <w:t>סעיף ז: שטר הקנאה העשוי בגופן של גוים.</w:t>
      </w:r>
      <w:bookmarkEnd w:id="678"/>
    </w:p>
    <w:p w14:paraId="34840C3A"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u w:val="single"/>
          <w:rtl/>
        </w:rPr>
        <w:t>שטר הקנאה העשוי בגופן של גוים:</w:t>
      </w:r>
    </w:p>
    <w:p w14:paraId="48D5E1F7" w14:textId="77777777" w:rsidR="001D49D4" w:rsidRPr="001D49D4" w:rsidRDefault="001D49D4" w:rsidP="0004348D">
      <w:pPr>
        <w:numPr>
          <w:ilvl w:val="0"/>
          <w:numId w:val="330"/>
        </w:numPr>
        <w:spacing w:before="360" w:after="240"/>
        <w:contextualSpacing/>
        <w:rPr>
          <w:rFonts w:ascii="Calibri" w:eastAsia="Calibri" w:hAnsi="Calibri" w:cs="Arial"/>
          <w:rtl/>
        </w:rPr>
      </w:pPr>
      <w:r w:rsidRPr="001D49D4">
        <w:rPr>
          <w:rFonts w:ascii="Calibri" w:eastAsia="Calibri" w:hAnsi="Calibri" w:cs="Arial"/>
          <w:rtl/>
        </w:rPr>
        <w:t xml:space="preserve">רשב"א </w:t>
      </w:r>
      <w:r w:rsidRPr="001D49D4">
        <w:rPr>
          <w:rFonts w:ascii="Calibri" w:eastAsia="Calibri" w:hAnsi="Calibri" w:cs="Arial"/>
          <w:sz w:val="16"/>
          <w:szCs w:val="16"/>
          <w:rtl/>
        </w:rPr>
        <w:t>(ח"ז סי' רנ)</w:t>
      </w:r>
      <w:r w:rsidRPr="001D49D4">
        <w:rPr>
          <w:rFonts w:ascii="Calibri" w:eastAsia="Calibri" w:hAnsi="Calibri" w:cs="Arial"/>
          <w:rtl/>
        </w:rPr>
        <w:t>- שטר הקנאה העשוי בגופן של גוים אם כתוב בו לשונות המספיקים לנתינת גוף הנייר והשעבוד - הרי הן כשטרות שלנו.</w:t>
      </w:r>
      <w:r w:rsidRPr="001D49D4">
        <w:rPr>
          <w:rFonts w:ascii="Calibri" w:eastAsia="Calibri" w:hAnsi="Calibri" w:cs="Arial"/>
          <w:color w:val="E36C0A" w:themeColor="accent6" w:themeShade="BF"/>
          <w:rtl/>
        </w:rPr>
        <w:t xml:space="preserve"> (וכ"פ בשו"ע)</w:t>
      </w:r>
    </w:p>
    <w:p w14:paraId="504A92DA" w14:textId="77777777" w:rsidR="001D49D4" w:rsidRPr="001D49D4" w:rsidRDefault="001D49D4" w:rsidP="0004348D">
      <w:pPr>
        <w:spacing w:before="360" w:after="240"/>
        <w:rPr>
          <w:rFonts w:ascii="Arial" w:eastAsia="Calibri" w:hAnsi="Arial" w:cs="Arial"/>
          <w:b/>
          <w:bCs/>
          <w:color w:val="000000"/>
          <w:sz w:val="28"/>
          <w:szCs w:val="28"/>
          <w:u w:val="single"/>
          <w:rtl/>
        </w:rPr>
      </w:pPr>
      <w:r w:rsidRPr="001D49D4">
        <w:rPr>
          <w:rFonts w:ascii="Arial" w:eastAsia="Calibri" w:hAnsi="Arial" w:cs="Arial"/>
          <w:b/>
          <w:bCs/>
          <w:color w:val="000000"/>
          <w:sz w:val="28"/>
          <w:szCs w:val="28"/>
          <w:u w:val="single"/>
          <w:rtl/>
        </w:rPr>
        <w:t>שו"ע:</w:t>
      </w:r>
    </w:p>
    <w:p w14:paraId="57F09208"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rtl/>
        </w:rPr>
        <w:t>שטר הקנאה</w:t>
      </w:r>
      <w:r w:rsidRPr="001D49D4">
        <w:rPr>
          <w:rFonts w:ascii="Calibri" w:eastAsia="Calibri" w:hAnsi="Calibri" w:cs="Arial"/>
          <w:vertAlign w:val="superscript"/>
          <w:rtl/>
        </w:rPr>
        <w:footnoteReference w:id="5001"/>
      </w:r>
      <w:r w:rsidRPr="001D49D4">
        <w:rPr>
          <w:rFonts w:ascii="Calibri" w:eastAsia="Calibri" w:hAnsi="Calibri" w:cs="Arial"/>
          <w:rtl/>
        </w:rPr>
        <w:t xml:space="preserve"> העשוי בדינן של גוים, אם כתוב בו לשונות המספיקין לנתינת גוף הנייר והשעבוד, הרי הם כשטרות שלנו. </w:t>
      </w:r>
    </w:p>
    <w:p w14:paraId="431F18C5" w14:textId="77777777" w:rsidR="001D49D4" w:rsidRPr="001D49D4" w:rsidRDefault="001D49D4" w:rsidP="0004348D">
      <w:pPr>
        <w:spacing w:before="360" w:after="240"/>
        <w:rPr>
          <w:rFonts w:ascii="Calibri" w:eastAsia="Calibri" w:hAnsi="Calibri" w:cs="Arial"/>
          <w:rtl/>
        </w:rPr>
      </w:pPr>
    </w:p>
    <w:p w14:paraId="1B060B92" w14:textId="77777777" w:rsidR="001D49D4" w:rsidRPr="001D49D4" w:rsidRDefault="001D49D4" w:rsidP="0004348D">
      <w:pPr>
        <w:keepNext/>
        <w:keepLines/>
        <w:spacing w:before="360" w:after="240"/>
        <w:outlineLvl w:val="1"/>
        <w:rPr>
          <w:rFonts w:ascii="Cambria" w:eastAsia="Times New Roman" w:hAnsi="Cambria" w:cs="Arial"/>
          <w:bCs/>
          <w:color w:val="548DD4" w:themeColor="text2" w:themeTint="99"/>
          <w:sz w:val="26"/>
          <w:szCs w:val="26"/>
          <w:rtl/>
        </w:rPr>
      </w:pPr>
      <w:bookmarkStart w:id="679" w:name="_Toc24884102"/>
      <w:r w:rsidRPr="001D49D4">
        <w:rPr>
          <w:rFonts w:ascii="Cambria" w:eastAsia="Times New Roman" w:hAnsi="Cambria" w:cs="Arial"/>
          <w:bCs/>
          <w:color w:val="548DD4" w:themeColor="text2" w:themeTint="99"/>
          <w:sz w:val="26"/>
          <w:szCs w:val="26"/>
          <w:rtl/>
        </w:rPr>
        <w:t>סעיף ח: קנית שטר משכון.</w:t>
      </w:r>
      <w:bookmarkEnd w:id="679"/>
    </w:p>
    <w:p w14:paraId="51F696E3" w14:textId="77777777" w:rsidR="001D49D4" w:rsidRPr="001D49D4" w:rsidRDefault="001D49D4" w:rsidP="0004348D">
      <w:pPr>
        <w:spacing w:before="360" w:after="240"/>
        <w:rPr>
          <w:rFonts w:ascii="Calibri" w:eastAsia="Calibri" w:hAnsi="Calibri" w:cs="Arial"/>
          <w:u w:val="single"/>
          <w:rtl/>
        </w:rPr>
      </w:pPr>
      <w:r w:rsidRPr="001D49D4">
        <w:rPr>
          <w:rFonts w:ascii="Calibri" w:eastAsia="Calibri" w:hAnsi="Calibri" w:cs="Arial"/>
          <w:u w:val="single"/>
          <w:rtl/>
        </w:rPr>
        <w:t>האם שטר משכון צריך גם כתיבה ומסירה:</w:t>
      </w:r>
    </w:p>
    <w:p w14:paraId="7C075ACD" w14:textId="77777777" w:rsidR="001D49D4" w:rsidRPr="001D49D4" w:rsidRDefault="001D49D4" w:rsidP="0004348D">
      <w:pPr>
        <w:numPr>
          <w:ilvl w:val="0"/>
          <w:numId w:val="330"/>
        </w:numPr>
        <w:spacing w:before="360" w:after="240"/>
        <w:contextualSpacing/>
        <w:rPr>
          <w:rFonts w:ascii="Calibri" w:eastAsia="Calibri" w:hAnsi="Calibri" w:cs="Arial"/>
          <w:rtl/>
        </w:rPr>
      </w:pPr>
      <w:r w:rsidRPr="001D49D4">
        <w:rPr>
          <w:rFonts w:ascii="Calibri" w:eastAsia="Calibri" w:hAnsi="Calibri" w:cs="Arial"/>
          <w:rtl/>
        </w:rPr>
        <w:t>ר"י מיגאש</w:t>
      </w:r>
      <w:r w:rsidRPr="001D49D4">
        <w:rPr>
          <w:rFonts w:ascii="Calibri" w:eastAsia="Calibri" w:hAnsi="Calibri" w:cs="Arial"/>
          <w:sz w:val="16"/>
          <w:szCs w:val="16"/>
          <w:rtl/>
        </w:rPr>
        <w:t xml:space="preserve"> (כ"כ הטור בשמו)</w:t>
      </w:r>
      <w:r w:rsidRPr="001D49D4">
        <w:rPr>
          <w:rFonts w:ascii="Calibri" w:eastAsia="Calibri" w:hAnsi="Calibri" w:cs="Arial"/>
          <w:rtl/>
        </w:rPr>
        <w:t xml:space="preserve">- דינו כשאר מלוה כיון שיכול לסלקו במעות, וצריך כתיבה ומסירה. </w:t>
      </w:r>
    </w:p>
    <w:p w14:paraId="41337098" w14:textId="77777777" w:rsidR="001D49D4" w:rsidRPr="001D49D4" w:rsidRDefault="001D49D4" w:rsidP="0004348D">
      <w:pPr>
        <w:numPr>
          <w:ilvl w:val="0"/>
          <w:numId w:val="330"/>
        </w:numPr>
        <w:spacing w:before="360" w:after="240"/>
        <w:contextualSpacing/>
        <w:rPr>
          <w:rFonts w:ascii="Calibri" w:eastAsia="Calibri" w:hAnsi="Calibri" w:cs="Arial"/>
        </w:rPr>
      </w:pPr>
      <w:r w:rsidRPr="001D49D4">
        <w:rPr>
          <w:rFonts w:ascii="Calibri" w:eastAsia="Calibri" w:hAnsi="Calibri" w:cs="Arial"/>
          <w:rtl/>
        </w:rPr>
        <w:t xml:space="preserve">גאונים </w:t>
      </w:r>
      <w:r w:rsidRPr="001D49D4">
        <w:rPr>
          <w:rFonts w:ascii="Calibri" w:eastAsia="Calibri" w:hAnsi="Calibri" w:cs="Arial"/>
          <w:sz w:val="16"/>
          <w:szCs w:val="16"/>
          <w:rtl/>
        </w:rPr>
        <w:t>(כ"כ הטור בשמם)</w:t>
      </w:r>
      <w:r w:rsidRPr="001D49D4">
        <w:rPr>
          <w:rFonts w:ascii="Calibri" w:eastAsia="Calibri" w:hAnsi="Calibri" w:cs="Arial"/>
          <w:rtl/>
        </w:rPr>
        <w:t>- מסירה בעלמא בלא כתיבה לא קניא אבל כתיבה קניא בלא מסירה, דכיון שהחזיק בקרקע וכתב לו קני לך וכו' קנה אע"פ שלא מסר לו שטר המשכונא. ודוקא במשכונא מוחזקת אבל אינה מוחזקת הוי כשאר מלוה. (וכ"פ הש"ך</w:t>
      </w:r>
      <w:r w:rsidRPr="001D49D4">
        <w:rPr>
          <w:rFonts w:ascii="Calibri" w:eastAsia="Calibri" w:hAnsi="Calibri" w:cs="Arial"/>
          <w:sz w:val="16"/>
          <w:szCs w:val="16"/>
          <w:rtl/>
        </w:rPr>
        <w:t xml:space="preserve"> [סקכ"א]</w:t>
      </w:r>
      <w:r w:rsidRPr="001D49D4">
        <w:rPr>
          <w:rFonts w:ascii="Calibri" w:eastAsia="Calibri" w:hAnsi="Calibri" w:cs="Arial"/>
          <w:rtl/>
        </w:rPr>
        <w:t>)</w:t>
      </w:r>
    </w:p>
    <w:p w14:paraId="6D735673" w14:textId="77777777" w:rsidR="001D49D4" w:rsidRPr="001D49D4" w:rsidRDefault="001D49D4" w:rsidP="0004348D">
      <w:pPr>
        <w:spacing w:before="360" w:after="240"/>
        <w:rPr>
          <w:rFonts w:ascii="Calibri" w:eastAsia="Calibri" w:hAnsi="Calibri" w:cs="Arial"/>
          <w:u w:val="single"/>
        </w:rPr>
      </w:pPr>
      <w:r w:rsidRPr="001D49D4">
        <w:rPr>
          <w:rFonts w:ascii="Calibri" w:eastAsia="Calibri" w:hAnsi="Calibri" w:cs="Arial"/>
          <w:u w:val="single"/>
          <w:rtl/>
        </w:rPr>
        <w:t>הלוה לחברו וקיבל ממנו גם שטר חוב וגם משכון של מטלטלין – ועתה רוצה למכור את החוב לחברו:</w:t>
      </w:r>
    </w:p>
    <w:p w14:paraId="7CC874CE" w14:textId="77777777" w:rsidR="001D49D4" w:rsidRPr="001D49D4" w:rsidRDefault="001D49D4" w:rsidP="0004348D">
      <w:pPr>
        <w:numPr>
          <w:ilvl w:val="0"/>
          <w:numId w:val="330"/>
        </w:numPr>
        <w:spacing w:before="360" w:after="240"/>
        <w:contextualSpacing/>
        <w:rPr>
          <w:rFonts w:ascii="Calibri" w:eastAsia="Calibri" w:hAnsi="Calibri" w:cs="Arial"/>
        </w:rPr>
      </w:pPr>
      <w:r w:rsidRPr="001D49D4">
        <w:rPr>
          <w:rFonts w:ascii="Calibri" w:eastAsia="Calibri" w:hAnsi="Calibri" w:cs="Arial"/>
          <w:rtl/>
        </w:rPr>
        <w:t>בעל התרומות</w:t>
      </w:r>
      <w:r w:rsidRPr="001D49D4">
        <w:rPr>
          <w:rFonts w:ascii="Calibri" w:eastAsia="Calibri" w:hAnsi="Calibri" w:cs="Arial"/>
          <w:sz w:val="16"/>
          <w:szCs w:val="16"/>
          <w:rtl/>
        </w:rPr>
        <w:t xml:space="preserve"> (שער נא ח"ד סי' ו-ז)</w:t>
      </w:r>
      <w:r w:rsidRPr="001D49D4">
        <w:rPr>
          <w:rFonts w:ascii="Calibri" w:eastAsia="Calibri" w:hAnsi="Calibri" w:cs="Arial"/>
          <w:rtl/>
        </w:rPr>
        <w:t xml:space="preserve"> וטור- שטר חוב על המשכון של מטלטלין, כיון שמכר לו החוב ומסר לו המטלטלין אע"פ שלא מסר לו השטר - קנה החוב שעליו במשיכת המשכון</w:t>
      </w:r>
      <w:r w:rsidRPr="001D49D4">
        <w:rPr>
          <w:rFonts w:ascii="Calibri" w:eastAsia="Calibri" w:hAnsi="Calibri" w:cs="Arial"/>
          <w:sz w:val="16"/>
          <w:szCs w:val="16"/>
          <w:rtl/>
        </w:rPr>
        <w:t xml:space="preserve"> (ל' הטור)</w:t>
      </w:r>
      <w:r w:rsidRPr="001D49D4">
        <w:rPr>
          <w:rFonts w:ascii="Calibri" w:eastAsia="Calibri" w:hAnsi="Calibri" w:cs="Arial"/>
          <w:vertAlign w:val="superscript"/>
          <w:rtl/>
        </w:rPr>
        <w:footnoteReference w:id="5002"/>
      </w:r>
      <w:r w:rsidRPr="001D49D4">
        <w:rPr>
          <w:rFonts w:ascii="Calibri" w:eastAsia="Calibri" w:hAnsi="Calibri" w:cs="Arial"/>
          <w:rtl/>
        </w:rPr>
        <w:t>.</w:t>
      </w:r>
      <w:r w:rsidRPr="001D49D4">
        <w:rPr>
          <w:rFonts w:ascii="Calibri" w:eastAsia="Calibri" w:hAnsi="Calibri" w:cs="Arial"/>
          <w:color w:val="E36C0A" w:themeColor="accent6" w:themeShade="BF"/>
          <w:rtl/>
        </w:rPr>
        <w:t xml:space="preserve"> (וכ"פ בשו"ע)</w:t>
      </w:r>
    </w:p>
    <w:p w14:paraId="31360CEE" w14:textId="77777777" w:rsidR="001D49D4" w:rsidRPr="001D49D4" w:rsidRDefault="001D49D4" w:rsidP="0004348D">
      <w:pPr>
        <w:spacing w:before="360" w:after="240"/>
        <w:rPr>
          <w:rFonts w:ascii="Arial" w:eastAsia="Calibri" w:hAnsi="Arial" w:cs="Arial"/>
          <w:b/>
          <w:bCs/>
          <w:color w:val="000000"/>
          <w:sz w:val="28"/>
          <w:szCs w:val="28"/>
          <w:u w:val="single"/>
          <w:rtl/>
        </w:rPr>
      </w:pPr>
      <w:r w:rsidRPr="001D49D4">
        <w:rPr>
          <w:rFonts w:ascii="Arial" w:eastAsia="Calibri" w:hAnsi="Arial" w:cs="Arial"/>
          <w:b/>
          <w:bCs/>
          <w:color w:val="000000"/>
          <w:sz w:val="28"/>
          <w:szCs w:val="28"/>
          <w:u w:val="single"/>
          <w:rtl/>
        </w:rPr>
        <w:t>שו"ע:</w:t>
      </w:r>
    </w:p>
    <w:p w14:paraId="019AD750"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rtl/>
        </w:rPr>
        <w:t>שטר משכונא</w:t>
      </w:r>
      <w:r w:rsidRPr="001D49D4">
        <w:rPr>
          <w:rFonts w:ascii="Calibri" w:eastAsia="Calibri" w:hAnsi="Calibri" w:cs="Arial"/>
          <w:vertAlign w:val="superscript"/>
          <w:rtl/>
        </w:rPr>
        <w:footnoteReference w:id="5003"/>
      </w:r>
      <w:r w:rsidRPr="001D49D4">
        <w:rPr>
          <w:rFonts w:ascii="Calibri" w:eastAsia="Calibri" w:hAnsi="Calibri" w:cs="Arial"/>
          <w:rtl/>
        </w:rPr>
        <w:t>, להרי"ן מיגש, כיון שיכול לסלקו במעות צריך כתיבה ומסירה</w:t>
      </w:r>
      <w:r w:rsidRPr="001D49D4">
        <w:rPr>
          <w:rFonts w:ascii="Calibri" w:eastAsia="Calibri" w:hAnsi="Calibri" w:cs="Arial"/>
          <w:vertAlign w:val="superscript"/>
          <w:rtl/>
        </w:rPr>
        <w:footnoteReference w:id="5004"/>
      </w:r>
      <w:r w:rsidRPr="001D49D4">
        <w:rPr>
          <w:rFonts w:ascii="Calibri" w:eastAsia="Calibri" w:hAnsi="Calibri" w:cs="Arial"/>
          <w:rtl/>
        </w:rPr>
        <w:t>. והגאונים כתבו דמסירה בלא כתיבה לא קניא, אבל כתיבה קניא בלא מסירה, דכיון שהחזיק בקרקע וכתב לו קני לך וכו', קנה אף על פי שלא מסר לו שטר המשכונא. ודוקא במשכונא מוחזקת, אבל אינה מוחזקת הויא כשאר מלוה</w:t>
      </w:r>
      <w:r w:rsidRPr="001D49D4">
        <w:rPr>
          <w:rFonts w:ascii="Calibri" w:eastAsia="Calibri" w:hAnsi="Calibri" w:cs="Arial"/>
          <w:vertAlign w:val="superscript"/>
          <w:rtl/>
        </w:rPr>
        <w:footnoteReference w:id="5005"/>
      </w:r>
      <w:r w:rsidRPr="001D49D4">
        <w:rPr>
          <w:rFonts w:ascii="Calibri" w:eastAsia="Calibri" w:hAnsi="Calibri" w:cs="Arial"/>
          <w:rtl/>
        </w:rPr>
        <w:t>. אבל שטר חוב על משכון של מטלטלין, כיון שמכר לו החוב ומסר לו המטלטלין, קנה החוב שעליו במסירת המשכון, אף על פי שלא מסר לו השטר ולא כתב לו שום דבר.</w:t>
      </w:r>
    </w:p>
    <w:p w14:paraId="2C42CB2A" w14:textId="77777777" w:rsidR="001D49D4" w:rsidRPr="001D49D4" w:rsidRDefault="001D49D4" w:rsidP="0004348D">
      <w:pPr>
        <w:spacing w:before="360" w:after="240"/>
        <w:rPr>
          <w:rFonts w:ascii="Calibri" w:eastAsia="Calibri" w:hAnsi="Calibri" w:cs="Arial"/>
          <w:rtl/>
        </w:rPr>
      </w:pPr>
    </w:p>
    <w:p w14:paraId="1978DF75" w14:textId="77777777" w:rsidR="001D49D4" w:rsidRPr="001D49D4" w:rsidRDefault="001D49D4" w:rsidP="0004348D">
      <w:pPr>
        <w:keepNext/>
        <w:keepLines/>
        <w:spacing w:before="360" w:after="240"/>
        <w:outlineLvl w:val="1"/>
        <w:rPr>
          <w:rFonts w:ascii="Cambria" w:eastAsia="Times New Roman" w:hAnsi="Cambria" w:cs="Arial"/>
          <w:bCs/>
          <w:color w:val="548DD4" w:themeColor="text2" w:themeTint="99"/>
          <w:sz w:val="26"/>
          <w:szCs w:val="26"/>
          <w:rtl/>
        </w:rPr>
      </w:pPr>
      <w:bookmarkStart w:id="680" w:name="_Toc24884103"/>
      <w:r w:rsidRPr="001D49D4">
        <w:rPr>
          <w:rFonts w:ascii="Cambria" w:eastAsia="Times New Roman" w:hAnsi="Cambria" w:cs="Arial"/>
          <w:bCs/>
          <w:color w:val="548DD4" w:themeColor="text2" w:themeTint="99"/>
          <w:sz w:val="26"/>
          <w:szCs w:val="26"/>
          <w:rtl/>
        </w:rPr>
        <w:t>סעיף ט: מסירת השטר כיצד.</w:t>
      </w:r>
      <w:bookmarkEnd w:id="680"/>
    </w:p>
    <w:p w14:paraId="4D213846" w14:textId="77777777" w:rsidR="001D49D4" w:rsidRPr="001D49D4" w:rsidRDefault="001D49D4" w:rsidP="0004348D">
      <w:pPr>
        <w:spacing w:before="360" w:after="240"/>
        <w:rPr>
          <w:rFonts w:ascii="Calibri" w:eastAsia="Calibri" w:hAnsi="Calibri" w:cs="Arial"/>
          <w:u w:val="single"/>
          <w:rtl/>
        </w:rPr>
      </w:pPr>
      <w:r w:rsidRPr="001D49D4">
        <w:rPr>
          <w:rFonts w:ascii="Calibri" w:eastAsia="Calibri" w:hAnsi="Calibri" w:cs="Arial"/>
          <w:u w:val="single"/>
          <w:rtl/>
        </w:rPr>
        <w:t>מסירה השטר כיצד:</w:t>
      </w:r>
    </w:p>
    <w:p w14:paraId="0E78B06F" w14:textId="77777777" w:rsidR="001D49D4" w:rsidRPr="001D49D4" w:rsidRDefault="001D49D4" w:rsidP="0004348D">
      <w:pPr>
        <w:numPr>
          <w:ilvl w:val="0"/>
          <w:numId w:val="330"/>
        </w:numPr>
        <w:spacing w:before="360" w:after="240"/>
        <w:contextualSpacing/>
        <w:rPr>
          <w:rFonts w:ascii="Calibri" w:eastAsia="Calibri" w:hAnsi="Calibri" w:cs="Arial"/>
          <w:rtl/>
        </w:rPr>
      </w:pPr>
      <w:r w:rsidRPr="001D49D4">
        <w:rPr>
          <w:rFonts w:ascii="Calibri" w:eastAsia="Calibri" w:hAnsi="Calibri" w:cs="Arial"/>
          <w:rtl/>
        </w:rPr>
        <w:t xml:space="preserve">תוס' </w:t>
      </w:r>
      <w:r w:rsidRPr="001D49D4">
        <w:rPr>
          <w:rFonts w:ascii="Calibri" w:eastAsia="Calibri" w:hAnsi="Calibri" w:cs="Arial"/>
          <w:sz w:val="16"/>
          <w:szCs w:val="16"/>
          <w:rtl/>
        </w:rPr>
        <w:t>(ר"פ הספינה עו. ד"ה אי כרבי)</w:t>
      </w:r>
      <w:r w:rsidRPr="001D49D4">
        <w:rPr>
          <w:rFonts w:ascii="Calibri" w:eastAsia="Calibri" w:hAnsi="Calibri" w:cs="Arial"/>
          <w:rtl/>
        </w:rPr>
        <w:t xml:space="preserve"> רא"ש </w:t>
      </w:r>
      <w:r w:rsidRPr="001D49D4">
        <w:rPr>
          <w:rFonts w:ascii="Calibri" w:eastAsia="Calibri" w:hAnsi="Calibri" w:cs="Arial"/>
          <w:sz w:val="16"/>
          <w:szCs w:val="16"/>
          <w:rtl/>
        </w:rPr>
        <w:t>(סי' ג)</w:t>
      </w:r>
      <w:r w:rsidRPr="001D49D4">
        <w:rPr>
          <w:rFonts w:ascii="Calibri" w:eastAsia="Calibri" w:hAnsi="Calibri" w:cs="Arial"/>
          <w:rtl/>
        </w:rPr>
        <w:t xml:space="preserve"> וטור- לאו מסירה לחודא שימסרנו המוכר ליד הלוקח, שלא הוזכרה מסירה אלא בבעלי חיים וספינה, דמסירה דידהו דמיא למשיכה, דכשאוחז הספינה בחבל ומנענעה כל שהו הולכת מכחו, וכן בבעלי חיים, הלכך אפילו בלא ניענוע נמי קונה אבל בשאר מטלטלי לא, אלא הך מסירה צריך הגבהה עמה, או משיכה אם הוא שק מלא שטרות שאין דרכו להגביהו. והא דקרי ליה מסירה אע"ג דבעי משיכה או הגבהה עמה - משום דבעינן מסירה מיד ליד עם ההגבהה או עם המשיכה, וטעמא, משום דבעינן קנין חשוב לקנות שיעבוד השטר. א"נ אפילו אי לא בעינן מסירה מיד ליד נקט לשון מסירה משום דבעינן דעת אחרת מקנה אותה, כמו שאר מסירה שחבירו מוסר לו. לפיכך הזוכה בשטר הפקר שחבירו הפקיר שטרו אינו קונה על ידו המלוה הכתובה בו כיון שאין כאן דעת אחרת מקנה</w:t>
      </w:r>
      <w:r w:rsidRPr="001D49D4">
        <w:rPr>
          <w:rFonts w:ascii="Calibri" w:eastAsia="Calibri" w:hAnsi="Calibri" w:cs="Arial"/>
          <w:vertAlign w:val="superscript"/>
          <w:rtl/>
        </w:rPr>
        <w:footnoteReference w:id="5006"/>
      </w:r>
      <w:r w:rsidRPr="001D49D4">
        <w:rPr>
          <w:rFonts w:ascii="Calibri" w:eastAsia="Calibri" w:hAnsi="Calibri" w:cs="Arial"/>
          <w:sz w:val="16"/>
          <w:szCs w:val="16"/>
          <w:rtl/>
        </w:rPr>
        <w:t xml:space="preserve"> (ל' הטור בשם התוס')</w:t>
      </w:r>
      <w:r w:rsidRPr="001D49D4">
        <w:rPr>
          <w:rFonts w:ascii="Calibri" w:eastAsia="Calibri" w:hAnsi="Calibri" w:cs="Arial"/>
          <w:rtl/>
        </w:rPr>
        <w:t>.</w:t>
      </w:r>
      <w:r w:rsidRPr="001D49D4">
        <w:rPr>
          <w:rFonts w:ascii="Calibri" w:eastAsia="Calibri" w:hAnsi="Calibri" w:cs="Arial"/>
          <w:color w:val="E36C0A" w:themeColor="accent6" w:themeShade="BF"/>
          <w:rtl/>
        </w:rPr>
        <w:t xml:space="preserve"> (וכ"פ בשו"ע)</w:t>
      </w:r>
    </w:p>
    <w:p w14:paraId="471549C5" w14:textId="77777777" w:rsidR="001D49D4" w:rsidRPr="001D49D4" w:rsidRDefault="001D49D4" w:rsidP="0004348D">
      <w:pPr>
        <w:numPr>
          <w:ilvl w:val="0"/>
          <w:numId w:val="330"/>
        </w:numPr>
        <w:spacing w:before="360" w:after="240"/>
        <w:contextualSpacing/>
        <w:rPr>
          <w:rFonts w:ascii="Calibri" w:eastAsia="Calibri" w:hAnsi="Calibri" w:cs="Arial"/>
        </w:rPr>
      </w:pPr>
      <w:r w:rsidRPr="001D49D4">
        <w:rPr>
          <w:rFonts w:ascii="Calibri" w:eastAsia="Calibri" w:hAnsi="Calibri" w:cs="Arial"/>
          <w:rtl/>
        </w:rPr>
        <w:t xml:space="preserve">רמב"ן </w:t>
      </w:r>
      <w:r w:rsidRPr="001D49D4">
        <w:rPr>
          <w:rFonts w:ascii="Calibri" w:eastAsia="Calibri" w:hAnsi="Calibri" w:cs="Arial"/>
          <w:sz w:val="16"/>
          <w:szCs w:val="16"/>
          <w:rtl/>
        </w:rPr>
        <w:t>(עו. ד"ה הא דאמרינן)</w:t>
      </w:r>
      <w:r w:rsidRPr="001D49D4">
        <w:rPr>
          <w:rFonts w:ascii="Calibri" w:eastAsia="Calibri" w:hAnsi="Calibri" w:cs="Arial"/>
          <w:rtl/>
        </w:rPr>
        <w:t xml:space="preserve"> ונמוק"י</w:t>
      </w:r>
      <w:r w:rsidRPr="001D49D4">
        <w:rPr>
          <w:rFonts w:ascii="Calibri" w:eastAsia="Calibri" w:hAnsi="Calibri" w:cs="Arial"/>
          <w:vertAlign w:val="superscript"/>
          <w:rtl/>
        </w:rPr>
        <w:footnoteReference w:id="5007"/>
      </w:r>
      <w:r w:rsidRPr="001D49D4">
        <w:rPr>
          <w:rFonts w:ascii="Calibri" w:eastAsia="Calibri" w:hAnsi="Calibri" w:cs="Arial"/>
          <w:rtl/>
        </w:rPr>
        <w:t xml:space="preserve"> </w:t>
      </w:r>
      <w:r w:rsidRPr="001D49D4">
        <w:rPr>
          <w:rFonts w:ascii="Calibri" w:eastAsia="Calibri" w:hAnsi="Calibri" w:cs="Arial"/>
          <w:sz w:val="16"/>
          <w:szCs w:val="16"/>
          <w:rtl/>
        </w:rPr>
        <w:t>(ר"פ הספינה שם)</w:t>
      </w:r>
      <w:r w:rsidRPr="001D49D4">
        <w:rPr>
          <w:rFonts w:ascii="Calibri" w:eastAsia="Calibri" w:hAnsi="Calibri" w:cs="Arial"/>
          <w:rtl/>
        </w:rPr>
        <w:t xml:space="preserve">- </w:t>
      </w:r>
      <w:r w:rsidRPr="001D49D4">
        <w:rPr>
          <w:rFonts w:ascii="Calibri" w:eastAsia="Calibri" w:hAnsi="Calibri" w:cs="Arial"/>
          <w:vertAlign w:val="superscript"/>
          <w:rtl/>
        </w:rPr>
        <w:footnoteReference w:id="5008"/>
      </w:r>
      <w:r w:rsidRPr="001D49D4">
        <w:rPr>
          <w:rFonts w:ascii="Calibri" w:eastAsia="Calibri" w:hAnsi="Calibri" w:cs="Arial"/>
          <w:rtl/>
        </w:rPr>
        <w:t>אין מסירה ומשיכה השנויין בתלמוד משונין זה מזה, אבל לפיכך אותיות נקנות במסירה מפני שהמסירה והמשיכה וההגבהה שוין בהן שאין גופן מכור וקנוי, והראיה שבהן אינה נמשכת ומוגבהת במשיכתן, ולפיכך לא הצריכו בהן הגבהה ומשיכה, ותקנת חכמים היא שיקנה משעה שהוציא הלה ראיותיו מתחת ידו וגמר והקנה אותן לו. וכן הא דקתני רבי נתן אי איכא מסירה ושטר אין אי לא לא לאו משום גריעותא דמסירה אלא אף במשיכה והגבהה נמי אי איכא שטרא אין אי לא לא, דמודה ליה ר' נתן לת"ק שמסירת האותיות ומשיכתן והגבהתן כולן שוין בדינן</w:t>
      </w:r>
      <w:r w:rsidRPr="001D49D4">
        <w:rPr>
          <w:rFonts w:ascii="Calibri" w:eastAsia="Calibri" w:hAnsi="Calibri" w:cs="Arial"/>
          <w:sz w:val="16"/>
          <w:szCs w:val="16"/>
          <w:rtl/>
        </w:rPr>
        <w:t xml:space="preserve"> (ל' הרמב"ן)</w:t>
      </w:r>
      <w:r w:rsidRPr="001D49D4">
        <w:rPr>
          <w:rFonts w:ascii="Calibri" w:eastAsia="Calibri" w:hAnsi="Calibri" w:cs="Arial"/>
          <w:rtl/>
        </w:rPr>
        <w:t>. (וכ"פ הש"ך</w:t>
      </w:r>
      <w:r w:rsidRPr="001D49D4">
        <w:rPr>
          <w:rFonts w:ascii="Calibri" w:eastAsia="Calibri" w:hAnsi="Calibri" w:cs="Arial"/>
          <w:vertAlign w:val="superscript"/>
          <w:rtl/>
        </w:rPr>
        <w:footnoteReference w:id="5009"/>
      </w:r>
      <w:r w:rsidRPr="001D49D4">
        <w:rPr>
          <w:rFonts w:ascii="Calibri" w:eastAsia="Calibri" w:hAnsi="Calibri" w:cs="Arial"/>
          <w:sz w:val="16"/>
          <w:szCs w:val="16"/>
          <w:rtl/>
        </w:rPr>
        <w:t xml:space="preserve"> [סקכ"ב]</w:t>
      </w:r>
      <w:r w:rsidRPr="001D49D4">
        <w:rPr>
          <w:rFonts w:ascii="Calibri" w:eastAsia="Calibri" w:hAnsi="Calibri" w:cs="Arial"/>
          <w:rtl/>
        </w:rPr>
        <w:t>)</w:t>
      </w:r>
    </w:p>
    <w:p w14:paraId="16BBF44B" w14:textId="77777777" w:rsidR="001D49D4" w:rsidRPr="001D49D4" w:rsidRDefault="001D49D4" w:rsidP="0004348D">
      <w:pPr>
        <w:spacing w:before="360" w:after="240"/>
        <w:rPr>
          <w:rFonts w:ascii="Arial" w:eastAsia="Calibri" w:hAnsi="Arial" w:cs="Arial"/>
          <w:b/>
          <w:bCs/>
          <w:color w:val="000000"/>
          <w:sz w:val="28"/>
          <w:szCs w:val="28"/>
          <w:u w:val="single"/>
          <w:rtl/>
        </w:rPr>
      </w:pPr>
      <w:r w:rsidRPr="001D49D4">
        <w:rPr>
          <w:rFonts w:ascii="Arial" w:eastAsia="Calibri" w:hAnsi="Arial" w:cs="Arial"/>
          <w:b/>
          <w:bCs/>
          <w:color w:val="000000"/>
          <w:sz w:val="28"/>
          <w:szCs w:val="28"/>
          <w:u w:val="single"/>
          <w:rtl/>
        </w:rPr>
        <w:t>שו"ע:</w:t>
      </w:r>
    </w:p>
    <w:p w14:paraId="4397A009"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rtl/>
        </w:rPr>
        <w:t>האי מסירה דשטרות צריך הגבהה עמה, או משיכה</w:t>
      </w:r>
      <w:r w:rsidRPr="001D49D4">
        <w:rPr>
          <w:rFonts w:ascii="Calibri" w:eastAsia="Calibri" w:hAnsi="Calibri" w:cs="Arial"/>
          <w:vertAlign w:val="superscript"/>
          <w:rtl/>
        </w:rPr>
        <w:footnoteReference w:id="5010"/>
      </w:r>
      <w:r w:rsidRPr="001D49D4">
        <w:rPr>
          <w:rFonts w:ascii="Calibri" w:eastAsia="Calibri" w:hAnsi="Calibri" w:cs="Arial"/>
          <w:rtl/>
        </w:rPr>
        <w:t xml:space="preserve"> אם הוא שק מלא שטרות שאין דרכו להגביהו. והא דקרי ליה מסירה, אף על גב </w:t>
      </w:r>
      <w:r w:rsidRPr="001D49D4">
        <w:rPr>
          <w:rFonts w:ascii="Calibri" w:eastAsia="Calibri" w:hAnsi="Calibri" w:cs="Arial"/>
          <w:sz w:val="18"/>
          <w:szCs w:val="18"/>
          <w:rtl/>
        </w:rPr>
        <w:t xml:space="preserve">[הגה] דבעי משיכה או הגבהה עמה משום (טור) </w:t>
      </w:r>
      <w:r w:rsidRPr="001D49D4">
        <w:rPr>
          <w:rFonts w:ascii="Calibri" w:eastAsia="Calibri" w:hAnsi="Calibri" w:cs="Arial"/>
          <w:rtl/>
        </w:rPr>
        <w:t>דבעי מסירה מיד ליד עם ההגבהה או עם המשיכה</w:t>
      </w:r>
      <w:r w:rsidRPr="001D49D4">
        <w:rPr>
          <w:rFonts w:ascii="Calibri" w:eastAsia="Calibri" w:hAnsi="Calibri" w:cs="Arial"/>
          <w:vertAlign w:val="superscript"/>
          <w:rtl/>
        </w:rPr>
        <w:footnoteReference w:id="5011"/>
      </w:r>
      <w:r w:rsidRPr="001D49D4">
        <w:rPr>
          <w:rFonts w:ascii="Calibri" w:eastAsia="Calibri" w:hAnsi="Calibri" w:cs="Arial"/>
          <w:rtl/>
        </w:rPr>
        <w:t>. אי נמי אפילו אי לא בעי מסירה מיד ליד</w:t>
      </w:r>
      <w:r w:rsidRPr="001D49D4">
        <w:rPr>
          <w:rFonts w:ascii="Calibri" w:eastAsia="Calibri" w:hAnsi="Calibri" w:cs="Arial"/>
          <w:vertAlign w:val="superscript"/>
          <w:rtl/>
        </w:rPr>
        <w:footnoteReference w:id="5012"/>
      </w:r>
      <w:r w:rsidRPr="001D49D4">
        <w:rPr>
          <w:rFonts w:ascii="Calibri" w:eastAsia="Calibri" w:hAnsi="Calibri" w:cs="Arial"/>
          <w:rtl/>
        </w:rPr>
        <w:t xml:space="preserve"> נקט לשון מסירה משום דבעי דעת אחרת מקנה. לפיכך הזוכה בשטר הפקר שחבירו הפקיר שטרו, אינו קונה על ידו מלוה הכתובה בו, כיון שאין דעת אחרים מקנה</w:t>
      </w:r>
      <w:r w:rsidRPr="001D49D4">
        <w:rPr>
          <w:rFonts w:ascii="Calibri" w:eastAsia="Calibri" w:hAnsi="Calibri" w:cs="Arial"/>
          <w:vertAlign w:val="superscript"/>
          <w:rtl/>
        </w:rPr>
        <w:footnoteReference w:id="5013"/>
      </w:r>
      <w:r w:rsidRPr="001D49D4">
        <w:rPr>
          <w:rFonts w:ascii="Calibri" w:eastAsia="Calibri" w:hAnsi="Calibri" w:cs="Arial"/>
          <w:rtl/>
        </w:rPr>
        <w:t xml:space="preserve">. </w:t>
      </w:r>
    </w:p>
    <w:p w14:paraId="2AE35B5A" w14:textId="77777777" w:rsidR="001D49D4" w:rsidRPr="001D49D4" w:rsidRDefault="001D49D4" w:rsidP="0004348D">
      <w:pPr>
        <w:spacing w:before="360" w:after="240"/>
        <w:rPr>
          <w:rFonts w:ascii="Calibri" w:eastAsia="Calibri" w:hAnsi="Calibri" w:cs="Arial"/>
          <w:rtl/>
        </w:rPr>
      </w:pPr>
    </w:p>
    <w:p w14:paraId="6F345C9E" w14:textId="77777777" w:rsidR="001D49D4" w:rsidRPr="001D49D4" w:rsidRDefault="001D49D4" w:rsidP="0004348D">
      <w:pPr>
        <w:keepNext/>
        <w:keepLines/>
        <w:spacing w:before="360" w:after="240"/>
        <w:outlineLvl w:val="1"/>
        <w:rPr>
          <w:rFonts w:ascii="Cambria" w:eastAsia="Times New Roman" w:hAnsi="Cambria" w:cs="Arial"/>
          <w:bCs/>
          <w:color w:val="548DD4" w:themeColor="text2" w:themeTint="99"/>
          <w:sz w:val="26"/>
          <w:szCs w:val="26"/>
          <w:rtl/>
        </w:rPr>
      </w:pPr>
      <w:bookmarkStart w:id="681" w:name="_Toc24884104"/>
      <w:r w:rsidRPr="001D49D4">
        <w:rPr>
          <w:rFonts w:ascii="Cambria" w:eastAsia="Times New Roman" w:hAnsi="Cambria" w:cs="Arial"/>
          <w:bCs/>
          <w:color w:val="548DD4" w:themeColor="text2" w:themeTint="99"/>
          <w:sz w:val="26"/>
          <w:szCs w:val="26"/>
          <w:rtl/>
        </w:rPr>
        <w:t>סעיף י: הקניית שטר אגב קרקע.</w:t>
      </w:r>
      <w:bookmarkEnd w:id="681"/>
    </w:p>
    <w:p w14:paraId="46D1F9D5"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b/>
          <w:bCs/>
          <w:rtl/>
        </w:rPr>
        <w:t xml:space="preserve">בבא בתרא </w:t>
      </w:r>
      <w:r w:rsidRPr="001D49D4">
        <w:rPr>
          <w:rFonts w:ascii="Calibri" w:eastAsia="Calibri" w:hAnsi="Calibri" w:cs="Arial"/>
          <w:b/>
          <w:bCs/>
          <w:sz w:val="16"/>
          <w:szCs w:val="16"/>
          <w:rtl/>
        </w:rPr>
        <w:t xml:space="preserve">(פ' המוכר את הספינה) </w:t>
      </w:r>
      <w:r w:rsidRPr="001D49D4">
        <w:rPr>
          <w:rFonts w:ascii="Calibri" w:eastAsia="Calibri" w:hAnsi="Calibri" w:cs="Arial"/>
          <w:b/>
          <w:bCs/>
          <w:rtl/>
        </w:rPr>
        <w:t>עז</w:t>
      </w:r>
      <w:r w:rsidRPr="001D49D4">
        <w:rPr>
          <w:rFonts w:ascii="Calibri" w:eastAsia="Calibri" w:hAnsi="Calibri" w:cs="Arial"/>
          <w:b/>
          <w:bCs/>
          <w:vertAlign w:val="superscript"/>
          <w:rtl/>
        </w:rPr>
        <w:footnoteReference w:id="5014"/>
      </w:r>
      <w:r w:rsidRPr="001D49D4">
        <w:rPr>
          <w:rFonts w:ascii="Calibri" w:eastAsia="Calibri" w:hAnsi="Calibri" w:cs="Arial"/>
          <w:b/>
          <w:bCs/>
          <w:rtl/>
        </w:rPr>
        <w:t xml:space="preserve"> ע"ב:</w:t>
      </w:r>
      <w:r w:rsidRPr="001D49D4">
        <w:rPr>
          <w:rFonts w:ascii="Calibri" w:eastAsia="Calibri" w:hAnsi="Calibri" w:cs="Arial"/>
          <w:rtl/>
        </w:rPr>
        <w:t xml:space="preserve"> ששנינו: כותבין שטר למוכר אף על פי שאין לוקח עמו, כיון שהחזיק זה בקרקע - נקנה שטר בכל מקום שהוא.</w:t>
      </w:r>
    </w:p>
    <w:p w14:paraId="006A3188" w14:textId="77777777" w:rsidR="001D49D4" w:rsidRPr="001D49D4" w:rsidRDefault="001D49D4" w:rsidP="0004348D">
      <w:pPr>
        <w:spacing w:before="360" w:after="240"/>
        <w:rPr>
          <w:rFonts w:ascii="Calibri" w:eastAsia="Calibri" w:hAnsi="Calibri" w:cs="Arial"/>
          <w:u w:val="single"/>
          <w:rtl/>
        </w:rPr>
      </w:pPr>
      <w:r w:rsidRPr="001D49D4">
        <w:rPr>
          <w:rFonts w:ascii="Calibri" w:eastAsia="Calibri" w:hAnsi="Calibri" w:cs="Arial"/>
          <w:u w:val="single"/>
          <w:rtl/>
        </w:rPr>
        <w:t>הקניית שטר אגב קרקע:</w:t>
      </w:r>
    </w:p>
    <w:p w14:paraId="04FAD705" w14:textId="77777777" w:rsidR="001D49D4" w:rsidRPr="001D49D4" w:rsidRDefault="001D49D4" w:rsidP="0004348D">
      <w:pPr>
        <w:numPr>
          <w:ilvl w:val="0"/>
          <w:numId w:val="331"/>
        </w:numPr>
        <w:spacing w:before="360" w:after="240"/>
        <w:contextualSpacing/>
        <w:rPr>
          <w:rFonts w:ascii="Calibri" w:eastAsia="Calibri" w:hAnsi="Calibri" w:cs="Arial"/>
          <w:rtl/>
        </w:rPr>
      </w:pPr>
      <w:r w:rsidRPr="001D49D4">
        <w:rPr>
          <w:rFonts w:ascii="Calibri" w:eastAsia="Calibri" w:hAnsi="Calibri" w:cs="Arial"/>
          <w:rtl/>
        </w:rPr>
        <w:t xml:space="preserve">ר"ח </w:t>
      </w:r>
      <w:r w:rsidRPr="001D49D4">
        <w:rPr>
          <w:rFonts w:ascii="Calibri" w:eastAsia="Calibri" w:hAnsi="Calibri" w:cs="Arial"/>
          <w:sz w:val="16"/>
          <w:szCs w:val="16"/>
          <w:rtl/>
        </w:rPr>
        <w:t xml:space="preserve">(כ"כ הטור והב"י בשמו) </w:t>
      </w:r>
      <w:r w:rsidRPr="001D49D4">
        <w:rPr>
          <w:rFonts w:ascii="Calibri" w:eastAsia="Calibri" w:hAnsi="Calibri" w:cs="Arial"/>
          <w:rtl/>
        </w:rPr>
        <w:t xml:space="preserve">רא"ש </w:t>
      </w:r>
      <w:r w:rsidRPr="001D49D4">
        <w:rPr>
          <w:rFonts w:ascii="Calibri" w:eastAsia="Calibri" w:hAnsi="Calibri" w:cs="Arial"/>
          <w:sz w:val="16"/>
          <w:szCs w:val="16"/>
          <w:rtl/>
        </w:rPr>
        <w:t xml:space="preserve">(סי' ו, כ"כ הטור והב"י בשמו) </w:t>
      </w:r>
      <w:r w:rsidRPr="001D49D4">
        <w:rPr>
          <w:rFonts w:ascii="Calibri" w:eastAsia="Calibri" w:hAnsi="Calibri" w:cs="Arial"/>
          <w:rtl/>
        </w:rPr>
        <w:t>וטור- אין נקנין נמי אגב קרקע אע"ג דשאר מטלטלי נקנין אגב קרקע, הכא בעינן קנין חשוב כדפרישית</w:t>
      </w:r>
      <w:r w:rsidRPr="001D49D4">
        <w:rPr>
          <w:rFonts w:ascii="Calibri" w:eastAsia="Calibri" w:hAnsi="Calibri" w:cs="Arial"/>
          <w:vertAlign w:val="superscript"/>
          <w:rtl/>
        </w:rPr>
        <w:footnoteReference w:id="5015"/>
      </w:r>
      <w:r w:rsidRPr="001D49D4">
        <w:rPr>
          <w:rFonts w:ascii="Calibri" w:eastAsia="Calibri" w:hAnsi="Calibri" w:cs="Arial"/>
          <w:rtl/>
        </w:rPr>
        <w:t xml:space="preserve"> </w:t>
      </w:r>
      <w:r w:rsidRPr="001D49D4">
        <w:rPr>
          <w:rFonts w:ascii="Calibri" w:eastAsia="Calibri" w:hAnsi="Calibri" w:cs="Arial"/>
          <w:sz w:val="16"/>
          <w:szCs w:val="16"/>
          <w:rtl/>
        </w:rPr>
        <w:t>(ל' הטור)</w:t>
      </w:r>
      <w:r w:rsidRPr="001D49D4">
        <w:rPr>
          <w:rFonts w:ascii="Calibri" w:eastAsia="Calibri" w:hAnsi="Calibri" w:cs="Arial"/>
          <w:rtl/>
        </w:rPr>
        <w:t xml:space="preserve">. </w:t>
      </w:r>
    </w:p>
    <w:p w14:paraId="26179F87" w14:textId="77777777" w:rsidR="001D49D4" w:rsidRPr="001D49D4" w:rsidRDefault="001D49D4" w:rsidP="0004348D">
      <w:pPr>
        <w:numPr>
          <w:ilvl w:val="0"/>
          <w:numId w:val="331"/>
        </w:numPr>
        <w:spacing w:before="360" w:after="240"/>
        <w:contextualSpacing/>
        <w:rPr>
          <w:rFonts w:ascii="Calibri" w:eastAsia="Calibri" w:hAnsi="Calibri" w:cs="Arial"/>
        </w:rPr>
      </w:pPr>
      <w:r w:rsidRPr="001D49D4">
        <w:rPr>
          <w:rFonts w:ascii="Calibri" w:eastAsia="Calibri" w:hAnsi="Calibri" w:cs="Arial"/>
          <w:rtl/>
        </w:rPr>
        <w:t>רי"ף</w:t>
      </w:r>
      <w:r w:rsidRPr="001D49D4">
        <w:rPr>
          <w:rFonts w:ascii="Calibri" w:eastAsia="Calibri" w:hAnsi="Calibri" w:cs="Arial"/>
          <w:vertAlign w:val="superscript"/>
          <w:rtl/>
        </w:rPr>
        <w:footnoteReference w:id="5016"/>
      </w:r>
      <w:r w:rsidRPr="001D49D4">
        <w:rPr>
          <w:rFonts w:ascii="Calibri" w:eastAsia="Calibri" w:hAnsi="Calibri" w:cs="Arial"/>
          <w:rtl/>
        </w:rPr>
        <w:t xml:space="preserve"> ר"י מיגאש ראב"ד רמב"ם ונמוק"י</w:t>
      </w:r>
      <w:r w:rsidRPr="001D49D4">
        <w:rPr>
          <w:rFonts w:ascii="Calibri" w:eastAsia="Calibri" w:hAnsi="Calibri" w:cs="Arial"/>
          <w:vertAlign w:val="superscript"/>
          <w:rtl/>
        </w:rPr>
        <w:footnoteReference w:id="5017"/>
      </w:r>
      <w:r w:rsidRPr="001D49D4">
        <w:rPr>
          <w:rFonts w:ascii="Calibri" w:eastAsia="Calibri" w:hAnsi="Calibri" w:cs="Arial"/>
          <w:rtl/>
        </w:rPr>
        <w:t>- המקנה לחבירו קרקע כל שהוא והקנה לו על גבה שטר חוב הרי זה קנה השטר בכל מקום שהוא</w:t>
      </w:r>
      <w:r w:rsidRPr="001D49D4">
        <w:rPr>
          <w:rFonts w:ascii="Calibri" w:eastAsia="Calibri" w:hAnsi="Calibri" w:cs="Arial"/>
          <w:vertAlign w:val="superscript"/>
          <w:rtl/>
        </w:rPr>
        <w:footnoteReference w:id="5018"/>
      </w:r>
      <w:r w:rsidRPr="001D49D4">
        <w:rPr>
          <w:rFonts w:ascii="Calibri" w:eastAsia="Calibri" w:hAnsi="Calibri" w:cs="Arial"/>
          <w:rtl/>
        </w:rPr>
        <w:t xml:space="preserve"> בלא כתיבה ובלא מסירה</w:t>
      </w:r>
      <w:r w:rsidRPr="001D49D4">
        <w:rPr>
          <w:rFonts w:ascii="Calibri" w:eastAsia="Calibri" w:hAnsi="Calibri" w:cs="Arial"/>
          <w:vertAlign w:val="superscript"/>
          <w:rtl/>
        </w:rPr>
        <w:footnoteReference w:id="5019"/>
      </w:r>
      <w:r w:rsidRPr="001D49D4">
        <w:rPr>
          <w:rFonts w:ascii="Calibri" w:eastAsia="Calibri" w:hAnsi="Calibri" w:cs="Arial"/>
          <w:sz w:val="16"/>
          <w:szCs w:val="16"/>
          <w:rtl/>
        </w:rPr>
        <w:t xml:space="preserve"> (ל' הרמב"ם)</w:t>
      </w:r>
      <w:r w:rsidRPr="001D49D4">
        <w:rPr>
          <w:rFonts w:ascii="Calibri" w:eastAsia="Calibri" w:hAnsi="Calibri" w:cs="Arial"/>
          <w:vertAlign w:val="superscript"/>
          <w:rtl/>
        </w:rPr>
        <w:footnoteReference w:id="5020"/>
      </w:r>
      <w:r w:rsidRPr="001D49D4">
        <w:rPr>
          <w:rFonts w:ascii="Calibri" w:eastAsia="Calibri" w:hAnsi="Calibri" w:cs="Arial"/>
          <w:rtl/>
        </w:rPr>
        <w:t xml:space="preserve">. </w:t>
      </w:r>
      <w:r w:rsidRPr="001D49D4">
        <w:rPr>
          <w:rFonts w:ascii="Calibri" w:eastAsia="Calibri" w:hAnsi="Calibri" w:cs="Arial"/>
          <w:color w:val="E36C0A" w:themeColor="accent6" w:themeShade="BF"/>
          <w:rtl/>
        </w:rPr>
        <w:t>(וכ"פ בשו"ע</w:t>
      </w:r>
      <w:r w:rsidRPr="001D49D4">
        <w:rPr>
          <w:rFonts w:ascii="Calibri" w:eastAsia="Calibri" w:hAnsi="Calibri" w:cs="Arial"/>
          <w:vertAlign w:val="superscript"/>
          <w:rtl/>
        </w:rPr>
        <w:footnoteReference w:id="5021"/>
      </w:r>
      <w:r w:rsidRPr="001D49D4">
        <w:rPr>
          <w:rFonts w:ascii="Calibri" w:eastAsia="Calibri" w:hAnsi="Calibri" w:cs="Arial"/>
          <w:color w:val="E36C0A" w:themeColor="accent6" w:themeShade="BF"/>
          <w:rtl/>
        </w:rPr>
        <w:t>)</w:t>
      </w:r>
      <w:r w:rsidRPr="001D49D4">
        <w:rPr>
          <w:rFonts w:ascii="Calibri" w:eastAsia="Calibri" w:hAnsi="Calibri" w:cs="Arial"/>
          <w:rtl/>
        </w:rPr>
        <w:t xml:space="preserve"> </w:t>
      </w:r>
      <w:r w:rsidRPr="001D49D4">
        <w:rPr>
          <w:rFonts w:ascii="Calibri" w:eastAsia="Calibri" w:hAnsi="Calibri" w:cs="Arial"/>
          <w:color w:val="00B0F0"/>
          <w:rtl/>
        </w:rPr>
        <w:t>(וכ"פ הרמ"א)</w:t>
      </w:r>
    </w:p>
    <w:p w14:paraId="734FD2AB" w14:textId="77777777" w:rsidR="001D49D4" w:rsidRPr="001D49D4" w:rsidRDefault="001D49D4" w:rsidP="0004348D">
      <w:pPr>
        <w:numPr>
          <w:ilvl w:val="0"/>
          <w:numId w:val="331"/>
        </w:numPr>
        <w:spacing w:before="360" w:after="240"/>
        <w:contextualSpacing/>
        <w:rPr>
          <w:rFonts w:ascii="Calibri" w:eastAsia="Calibri" w:hAnsi="Calibri" w:cs="Arial"/>
        </w:rPr>
      </w:pPr>
      <w:r w:rsidRPr="001D49D4">
        <w:rPr>
          <w:rFonts w:ascii="Calibri" w:eastAsia="Calibri" w:hAnsi="Calibri" w:cs="Arial"/>
          <w:rtl/>
        </w:rPr>
        <w:t xml:space="preserve">י"א </w:t>
      </w:r>
      <w:r w:rsidRPr="001D49D4">
        <w:rPr>
          <w:rFonts w:ascii="Calibri" w:eastAsia="Calibri" w:hAnsi="Calibri" w:cs="Arial"/>
          <w:sz w:val="16"/>
          <w:szCs w:val="16"/>
          <w:rtl/>
        </w:rPr>
        <w:t>(כ"כ בשמם בעל התרומות [שער נא ח"ג ס"ג])</w:t>
      </w:r>
      <w:r w:rsidRPr="001D49D4">
        <w:rPr>
          <w:rFonts w:ascii="Calibri" w:eastAsia="Calibri" w:hAnsi="Calibri" w:cs="Arial"/>
          <w:rtl/>
        </w:rPr>
        <w:t>- אגב קרקע הוא כמסירה לחוד וכתיבה בעי. (וכ"פ הש"ך</w:t>
      </w:r>
      <w:r w:rsidRPr="001D49D4">
        <w:rPr>
          <w:rFonts w:ascii="Calibri" w:eastAsia="Calibri" w:hAnsi="Calibri" w:cs="Arial"/>
          <w:sz w:val="16"/>
          <w:szCs w:val="16"/>
          <w:rtl/>
        </w:rPr>
        <w:t xml:space="preserve"> [סקכ"ז]</w:t>
      </w:r>
      <w:r w:rsidRPr="001D49D4">
        <w:rPr>
          <w:rFonts w:ascii="Calibri" w:eastAsia="Calibri" w:hAnsi="Calibri" w:cs="Arial"/>
          <w:rtl/>
        </w:rPr>
        <w:t>)</w:t>
      </w:r>
    </w:p>
    <w:p w14:paraId="5851D5C1" w14:textId="77777777" w:rsidR="001D49D4" w:rsidRPr="001D49D4" w:rsidRDefault="001D49D4" w:rsidP="0004348D">
      <w:pPr>
        <w:spacing w:before="360" w:after="240"/>
        <w:rPr>
          <w:rFonts w:ascii="Calibri" w:eastAsia="Calibri" w:hAnsi="Calibri" w:cs="Arial"/>
          <w:u w:val="dotted"/>
        </w:rPr>
      </w:pPr>
      <w:r w:rsidRPr="001D49D4">
        <w:rPr>
          <w:rFonts w:ascii="Calibri" w:eastAsia="Calibri" w:hAnsi="Calibri" w:cs="Arial"/>
          <w:u w:val="dotted"/>
          <w:rtl/>
        </w:rPr>
        <w:t>לרי"ף וסיעתו – האם צריך לומר לו מכל מקום בעל פה 'קני לך איהו...':</w:t>
      </w:r>
    </w:p>
    <w:p w14:paraId="5682376F" w14:textId="77777777" w:rsidR="001D49D4" w:rsidRPr="001D49D4" w:rsidRDefault="001D49D4" w:rsidP="0004348D">
      <w:pPr>
        <w:numPr>
          <w:ilvl w:val="0"/>
          <w:numId w:val="331"/>
        </w:numPr>
        <w:spacing w:before="360" w:after="240"/>
        <w:contextualSpacing/>
        <w:rPr>
          <w:rFonts w:ascii="Calibri" w:eastAsia="Calibri" w:hAnsi="Calibri" w:cs="Arial"/>
        </w:rPr>
      </w:pPr>
      <w:r w:rsidRPr="001D49D4">
        <w:rPr>
          <w:rFonts w:ascii="Calibri" w:eastAsia="Calibri" w:hAnsi="Calibri" w:cs="Arial"/>
          <w:rtl/>
        </w:rPr>
        <w:t xml:space="preserve">רא"ש </w:t>
      </w:r>
      <w:r w:rsidRPr="001D49D4">
        <w:rPr>
          <w:rFonts w:ascii="Calibri" w:eastAsia="Calibri" w:hAnsi="Calibri" w:cs="Arial"/>
          <w:sz w:val="16"/>
          <w:szCs w:val="16"/>
          <w:rtl/>
        </w:rPr>
        <w:t xml:space="preserve">(כלל עה סי' ב, וכתבה הטור בסי' רמח סי"ח) </w:t>
      </w:r>
      <w:r w:rsidRPr="001D49D4">
        <w:rPr>
          <w:rFonts w:ascii="Calibri" w:eastAsia="Calibri" w:hAnsi="Calibri" w:cs="Arial"/>
          <w:rtl/>
        </w:rPr>
        <w:t xml:space="preserve">וטור- אפילו לדברי הרי"ף צריך לומר לו על פה 'קני לך איהו וכל שיעבודא דאית ביה' ולא מהני אגב אלא שאין צריך כתיבה אבל על פה צריך לאומרו. </w:t>
      </w:r>
      <w:r w:rsidRPr="001D49D4">
        <w:rPr>
          <w:rFonts w:ascii="Calibri" w:eastAsia="Calibri" w:hAnsi="Calibri" w:cs="Arial"/>
          <w:color w:val="E36C0A" w:themeColor="accent6" w:themeShade="BF"/>
          <w:rtl/>
        </w:rPr>
        <w:t>(וכ"פ בשו"ע)</w:t>
      </w:r>
    </w:p>
    <w:p w14:paraId="5C9593DC" w14:textId="77777777" w:rsidR="001D49D4" w:rsidRPr="001D49D4" w:rsidRDefault="001D49D4" w:rsidP="0004348D">
      <w:pPr>
        <w:spacing w:before="360" w:after="240"/>
        <w:rPr>
          <w:rFonts w:ascii="Calibri" w:eastAsia="Calibri" w:hAnsi="Calibri" w:cs="Arial"/>
        </w:rPr>
      </w:pPr>
      <w:r w:rsidRPr="001D49D4">
        <w:rPr>
          <w:rFonts w:ascii="Calibri" w:eastAsia="Calibri" w:hAnsi="Calibri" w:cs="Arial"/>
          <w:u w:val="dotted"/>
          <w:rtl/>
        </w:rPr>
        <w:t xml:space="preserve">לרי"ף וסיעתו – האם אפשר להקנות </w:t>
      </w:r>
      <w:r w:rsidRPr="001D49D4">
        <w:rPr>
          <w:rFonts w:ascii="Calibri" w:eastAsia="Calibri" w:hAnsi="Calibri" w:cs="Arial"/>
          <w:sz w:val="16"/>
          <w:szCs w:val="16"/>
          <w:u w:val="dotted"/>
          <w:rtl/>
        </w:rPr>
        <w:t xml:space="preserve">(אגב קרקע) </w:t>
      </w:r>
      <w:r w:rsidRPr="001D49D4">
        <w:rPr>
          <w:rFonts w:ascii="Calibri" w:eastAsia="Calibri" w:hAnsi="Calibri" w:cs="Arial"/>
          <w:u w:val="dotted"/>
          <w:rtl/>
        </w:rPr>
        <w:t>שטר שעדיין לא נכתב:</w:t>
      </w:r>
      <w:r w:rsidRPr="001D49D4">
        <w:rPr>
          <w:rFonts w:ascii="Calibri" w:eastAsia="Calibri" w:hAnsi="Calibri" w:cs="Arial"/>
          <w:sz w:val="16"/>
          <w:szCs w:val="16"/>
          <w:rtl/>
        </w:rPr>
        <w:t xml:space="preserve">  (דרכ"מ אות ד)</w:t>
      </w:r>
    </w:p>
    <w:p w14:paraId="71564665" w14:textId="77777777" w:rsidR="001D49D4" w:rsidRPr="001D49D4" w:rsidRDefault="001D49D4" w:rsidP="0004348D">
      <w:pPr>
        <w:numPr>
          <w:ilvl w:val="0"/>
          <w:numId w:val="331"/>
        </w:numPr>
        <w:spacing w:before="360" w:after="240"/>
        <w:contextualSpacing/>
        <w:rPr>
          <w:rFonts w:ascii="Calibri" w:eastAsia="Calibri" w:hAnsi="Calibri" w:cs="Arial"/>
        </w:rPr>
      </w:pPr>
      <w:r w:rsidRPr="001D49D4">
        <w:rPr>
          <w:rFonts w:ascii="Calibri" w:eastAsia="Calibri" w:hAnsi="Calibri" w:cs="Arial"/>
          <w:rtl/>
        </w:rPr>
        <w:t xml:space="preserve">ריב"ש </w:t>
      </w:r>
      <w:r w:rsidRPr="001D49D4">
        <w:rPr>
          <w:rFonts w:ascii="Calibri" w:eastAsia="Calibri" w:hAnsi="Calibri" w:cs="Arial"/>
          <w:sz w:val="16"/>
          <w:szCs w:val="16"/>
          <w:rtl/>
        </w:rPr>
        <w:t>(סי' רי)</w:t>
      </w:r>
      <w:r w:rsidRPr="001D49D4">
        <w:rPr>
          <w:rFonts w:ascii="Calibri" w:eastAsia="Calibri" w:hAnsi="Calibri" w:cs="Arial"/>
          <w:rtl/>
        </w:rPr>
        <w:t>- אף למאן דאמר נקנה באגב היינו כשהשטר כבר נכתב, אבל לא יוכל להקנות לו בקנין כשיכתוב השטר, דהוה דבר שלא בא לעולם</w:t>
      </w:r>
      <w:r w:rsidRPr="001D49D4">
        <w:rPr>
          <w:rFonts w:ascii="Calibri" w:eastAsia="Calibri" w:hAnsi="Calibri" w:cs="Arial"/>
          <w:vertAlign w:val="superscript"/>
          <w:rtl/>
        </w:rPr>
        <w:footnoteReference w:id="5022"/>
      </w:r>
      <w:r w:rsidRPr="001D49D4">
        <w:rPr>
          <w:rFonts w:ascii="Calibri" w:eastAsia="Calibri" w:hAnsi="Calibri" w:cs="Arial"/>
          <w:rtl/>
        </w:rPr>
        <w:t xml:space="preserve">. </w:t>
      </w:r>
      <w:r w:rsidRPr="001D49D4">
        <w:rPr>
          <w:rFonts w:ascii="Calibri" w:eastAsia="Calibri" w:hAnsi="Calibri" w:cs="Arial"/>
          <w:color w:val="00B0F0"/>
          <w:rtl/>
        </w:rPr>
        <w:t>(וכ"פ הרמ"א)</w:t>
      </w:r>
    </w:p>
    <w:p w14:paraId="15D78AFA" w14:textId="77777777" w:rsidR="001D49D4" w:rsidRPr="001D49D4" w:rsidRDefault="001D49D4" w:rsidP="0004348D">
      <w:pPr>
        <w:spacing w:before="360" w:after="240"/>
        <w:rPr>
          <w:rFonts w:ascii="Calibri" w:eastAsia="Calibri" w:hAnsi="Calibri" w:cs="Arial"/>
          <w:u w:val="single"/>
        </w:rPr>
      </w:pPr>
      <w:r w:rsidRPr="001D49D4">
        <w:rPr>
          <w:rFonts w:ascii="Calibri" w:eastAsia="Calibri" w:hAnsi="Calibri" w:cs="Arial"/>
          <w:u w:val="single"/>
          <w:rtl/>
        </w:rPr>
        <w:t>שעבוד שטר אגב קרקע:</w:t>
      </w:r>
    </w:p>
    <w:p w14:paraId="08FB5D15" w14:textId="77777777" w:rsidR="001D49D4" w:rsidRPr="001D49D4" w:rsidRDefault="001D49D4" w:rsidP="0004348D">
      <w:pPr>
        <w:numPr>
          <w:ilvl w:val="0"/>
          <w:numId w:val="331"/>
        </w:numPr>
        <w:spacing w:before="360" w:after="240"/>
        <w:contextualSpacing/>
        <w:rPr>
          <w:rFonts w:ascii="Calibri" w:eastAsia="Calibri" w:hAnsi="Calibri" w:cs="Arial"/>
        </w:rPr>
      </w:pPr>
      <w:r w:rsidRPr="001D49D4">
        <w:rPr>
          <w:rFonts w:ascii="Calibri" w:eastAsia="Calibri" w:hAnsi="Calibri" w:cs="Arial"/>
          <w:rtl/>
        </w:rPr>
        <w:t xml:space="preserve">רא"ש </w:t>
      </w:r>
      <w:r w:rsidRPr="001D49D4">
        <w:rPr>
          <w:rFonts w:ascii="Calibri" w:eastAsia="Calibri" w:hAnsi="Calibri" w:cs="Arial"/>
          <w:sz w:val="16"/>
          <w:szCs w:val="16"/>
          <w:rtl/>
        </w:rPr>
        <w:t>(כלל עה סי' ג)</w:t>
      </w:r>
      <w:r w:rsidRPr="001D49D4">
        <w:rPr>
          <w:rFonts w:ascii="Calibri" w:eastAsia="Calibri" w:hAnsi="Calibri" w:cs="Arial"/>
          <w:rtl/>
        </w:rPr>
        <w:t xml:space="preserve">- אף לדברי ר"ח דס"ל דאותיות לא מיקנו באגב - מודה דמשתעבדי באגב. הילכך, שטר שהיה לשמעון על ראובן, ונשתעבד ללוי, אף אם נתנו שמעון לאחר - לוי גובה ממנו, כי שעבד לו שמעון נכסיו ללוי מטלטלי אגב מקרקעי, ושטר שהיה לשמעון על אחר בכלל נכסיו הוא. </w:t>
      </w:r>
      <w:r w:rsidRPr="001D49D4">
        <w:rPr>
          <w:rFonts w:ascii="Calibri" w:eastAsia="Calibri" w:hAnsi="Calibri" w:cs="Arial"/>
          <w:color w:val="E36C0A" w:themeColor="accent6" w:themeShade="BF"/>
          <w:rtl/>
        </w:rPr>
        <w:t>(וכ"פ בשו"ע</w:t>
      </w:r>
      <w:r w:rsidRPr="001D49D4">
        <w:rPr>
          <w:rFonts w:ascii="Calibri" w:eastAsia="Calibri" w:hAnsi="Calibri" w:cs="Arial"/>
          <w:vertAlign w:val="superscript"/>
          <w:rtl/>
        </w:rPr>
        <w:footnoteReference w:id="5023"/>
      </w:r>
      <w:r w:rsidRPr="001D49D4">
        <w:rPr>
          <w:rFonts w:ascii="Calibri" w:eastAsia="Calibri" w:hAnsi="Calibri" w:cs="Arial"/>
          <w:color w:val="E36C0A" w:themeColor="accent6" w:themeShade="BF"/>
          <w:sz w:val="16"/>
          <w:szCs w:val="16"/>
          <w:rtl/>
        </w:rPr>
        <w:t xml:space="preserve"> </w:t>
      </w:r>
      <w:r w:rsidRPr="001D49D4">
        <w:rPr>
          <w:rFonts w:ascii="Calibri" w:eastAsia="Calibri" w:hAnsi="Calibri" w:cs="Arial"/>
          <w:sz w:val="16"/>
          <w:szCs w:val="16"/>
          <w:rtl/>
        </w:rPr>
        <w:t>[סי' ס ס"א]</w:t>
      </w:r>
      <w:r w:rsidRPr="001D49D4">
        <w:rPr>
          <w:rFonts w:ascii="Calibri" w:eastAsia="Calibri" w:hAnsi="Calibri" w:cs="Arial"/>
          <w:color w:val="E36C0A" w:themeColor="accent6" w:themeShade="BF"/>
          <w:rtl/>
        </w:rPr>
        <w:t>)</w:t>
      </w:r>
      <w:r w:rsidRPr="001D49D4">
        <w:rPr>
          <w:rFonts w:ascii="Calibri" w:eastAsia="Calibri" w:hAnsi="Calibri" w:cs="Arial"/>
          <w:rtl/>
        </w:rPr>
        <w:t xml:space="preserve"> </w:t>
      </w:r>
    </w:p>
    <w:p w14:paraId="2E2EB450" w14:textId="77777777" w:rsidR="001D49D4" w:rsidRPr="001D49D4" w:rsidRDefault="001D49D4" w:rsidP="0004348D">
      <w:pPr>
        <w:numPr>
          <w:ilvl w:val="0"/>
          <w:numId w:val="331"/>
        </w:numPr>
        <w:spacing w:before="360" w:after="240"/>
        <w:contextualSpacing/>
        <w:rPr>
          <w:rFonts w:ascii="Calibri" w:eastAsia="Calibri" w:hAnsi="Calibri" w:cs="Arial"/>
        </w:rPr>
      </w:pPr>
      <w:r w:rsidRPr="001D49D4">
        <w:rPr>
          <w:rFonts w:ascii="Calibri" w:eastAsia="Calibri" w:hAnsi="Calibri" w:cs="Arial"/>
          <w:rtl/>
        </w:rPr>
        <w:t xml:space="preserve">רשב"א </w:t>
      </w:r>
      <w:r w:rsidRPr="001D49D4">
        <w:rPr>
          <w:rFonts w:ascii="Calibri" w:eastAsia="Calibri" w:hAnsi="Calibri" w:cs="Arial"/>
          <w:sz w:val="16"/>
          <w:szCs w:val="16"/>
          <w:rtl/>
        </w:rPr>
        <w:t>(ח"א סי' תתקיד, הביאו הש"ך [סקכ"ו], ומביאו הב"י בקצרה בסי' קד [מחו' ה])</w:t>
      </w:r>
      <w:r w:rsidRPr="001D49D4">
        <w:rPr>
          <w:rFonts w:ascii="Calibri" w:eastAsia="Calibri" w:hAnsi="Calibri" w:cs="Arial"/>
          <w:rtl/>
        </w:rPr>
        <w:t>- אפילו למ"ד דנקנה באגב לא משתעבד באגב כיון דשטר אין גופו ממון</w:t>
      </w:r>
      <w:r w:rsidRPr="001D49D4">
        <w:rPr>
          <w:rFonts w:ascii="Calibri" w:eastAsia="Calibri" w:hAnsi="Calibri" w:cs="Arial"/>
          <w:sz w:val="16"/>
          <w:szCs w:val="16"/>
          <w:rtl/>
        </w:rPr>
        <w:t xml:space="preserve"> (ל' הש"ך בשם הרשב"א)</w:t>
      </w:r>
      <w:r w:rsidRPr="001D49D4">
        <w:rPr>
          <w:rFonts w:ascii="Calibri" w:eastAsia="Calibri" w:hAnsi="Calibri" w:cs="Arial"/>
          <w:rtl/>
        </w:rPr>
        <w:t xml:space="preserve">. </w:t>
      </w:r>
    </w:p>
    <w:p w14:paraId="50C8380E" w14:textId="77777777" w:rsidR="001D49D4" w:rsidRPr="001D49D4" w:rsidRDefault="001D49D4" w:rsidP="0004348D">
      <w:pPr>
        <w:spacing w:before="360" w:after="240"/>
        <w:rPr>
          <w:rFonts w:ascii="Arial" w:eastAsia="Calibri" w:hAnsi="Arial" w:cs="Arial"/>
          <w:b/>
          <w:bCs/>
          <w:color w:val="000000"/>
          <w:sz w:val="28"/>
          <w:szCs w:val="28"/>
          <w:u w:val="single"/>
        </w:rPr>
      </w:pPr>
      <w:r w:rsidRPr="001D49D4">
        <w:rPr>
          <w:rFonts w:ascii="Arial" w:eastAsia="Calibri" w:hAnsi="Arial" w:cs="Arial"/>
          <w:b/>
          <w:bCs/>
          <w:color w:val="000000"/>
          <w:sz w:val="28"/>
          <w:szCs w:val="28"/>
          <w:u w:val="single"/>
          <w:rtl/>
        </w:rPr>
        <w:t>שו"ע:</w:t>
      </w:r>
    </w:p>
    <w:p w14:paraId="2C1B4681"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rtl/>
        </w:rPr>
        <w:t>המקנה לחבירו קרקע כל שהוא, והקנה לו על גבו שטר חוב, הרי זה קנה השטר בכל מקום שהוא</w:t>
      </w:r>
      <w:r w:rsidRPr="001D49D4">
        <w:rPr>
          <w:rFonts w:ascii="Calibri" w:eastAsia="Calibri" w:hAnsi="Calibri" w:cs="Arial"/>
          <w:vertAlign w:val="superscript"/>
          <w:rtl/>
        </w:rPr>
        <w:footnoteReference w:id="5024"/>
      </w:r>
      <w:r w:rsidRPr="001D49D4">
        <w:rPr>
          <w:rFonts w:ascii="Calibri" w:eastAsia="Calibri" w:hAnsi="Calibri" w:cs="Arial"/>
          <w:rtl/>
        </w:rPr>
        <w:t xml:space="preserve"> בלא כתיבה ובלא מסירה</w:t>
      </w:r>
      <w:r w:rsidRPr="001D49D4">
        <w:rPr>
          <w:rFonts w:ascii="Calibri" w:eastAsia="Calibri" w:hAnsi="Calibri" w:cs="Arial"/>
          <w:vertAlign w:val="superscript"/>
          <w:rtl/>
        </w:rPr>
        <w:footnoteReference w:id="5025"/>
      </w:r>
      <w:r w:rsidRPr="001D49D4">
        <w:rPr>
          <w:rFonts w:ascii="Calibri" w:eastAsia="Calibri" w:hAnsi="Calibri" w:cs="Arial"/>
          <w:rtl/>
        </w:rPr>
        <w:t xml:space="preserve">, והוא שיאמר לו על פה 'קנה לך הוא וכל שעבודא דאית ביה'. </w:t>
      </w:r>
      <w:r w:rsidRPr="001D49D4">
        <w:rPr>
          <w:rFonts w:ascii="Calibri" w:eastAsia="Calibri" w:hAnsi="Calibri" w:cs="Arial"/>
          <w:sz w:val="18"/>
          <w:szCs w:val="18"/>
          <w:rtl/>
        </w:rPr>
        <w:t>הגה: וי"א דשטר אינו נקנה באגב (ר"ח ורא"ש). ולענין הלכתא נקטינן כסברא הראשונה, דנקנה באגב. ודוקא שטר שכבר נכתב, אבל לא יוכל להקנות לו באגב שטר שעדיין לא נכתב</w:t>
      </w:r>
      <w:r w:rsidRPr="001D49D4">
        <w:rPr>
          <w:rFonts w:ascii="Calibri" w:eastAsia="Calibri" w:hAnsi="Calibri" w:cs="Arial"/>
          <w:sz w:val="18"/>
          <w:szCs w:val="18"/>
          <w:vertAlign w:val="superscript"/>
          <w:rtl/>
        </w:rPr>
        <w:footnoteReference w:id="5026"/>
      </w:r>
      <w:r w:rsidRPr="001D49D4">
        <w:rPr>
          <w:rFonts w:ascii="Calibri" w:eastAsia="Calibri" w:hAnsi="Calibri" w:cs="Arial"/>
          <w:sz w:val="18"/>
          <w:szCs w:val="18"/>
          <w:rtl/>
        </w:rPr>
        <w:t xml:space="preserve"> (ריב"ש סי' רי).</w:t>
      </w:r>
      <w:r w:rsidRPr="001D49D4">
        <w:rPr>
          <w:rFonts w:ascii="Calibri" w:eastAsia="Calibri" w:hAnsi="Calibri" w:cs="Arial"/>
          <w:rtl/>
        </w:rPr>
        <w:t xml:space="preserve"> </w:t>
      </w:r>
    </w:p>
    <w:p w14:paraId="2D6C9F67" w14:textId="77777777" w:rsidR="001D49D4" w:rsidRPr="001D49D4" w:rsidRDefault="001D49D4" w:rsidP="0004348D">
      <w:pPr>
        <w:spacing w:before="360" w:after="240"/>
        <w:rPr>
          <w:rFonts w:ascii="Calibri" w:eastAsia="Calibri" w:hAnsi="Calibri" w:cs="Arial"/>
          <w:rtl/>
        </w:rPr>
      </w:pPr>
    </w:p>
    <w:p w14:paraId="3B2BF268" w14:textId="77777777" w:rsidR="001D49D4" w:rsidRPr="001D49D4" w:rsidRDefault="001D49D4" w:rsidP="0004348D">
      <w:pPr>
        <w:keepNext/>
        <w:keepLines/>
        <w:spacing w:before="360" w:after="240"/>
        <w:outlineLvl w:val="1"/>
        <w:rPr>
          <w:rFonts w:ascii="Cambria" w:eastAsia="Times New Roman" w:hAnsi="Cambria" w:cs="Arial"/>
          <w:bCs/>
          <w:color w:val="548DD4" w:themeColor="text2" w:themeTint="99"/>
          <w:sz w:val="26"/>
          <w:szCs w:val="26"/>
          <w:rtl/>
        </w:rPr>
      </w:pPr>
      <w:bookmarkStart w:id="682" w:name="_Toc24884105"/>
      <w:r w:rsidRPr="001D49D4">
        <w:rPr>
          <w:rFonts w:ascii="Cambria" w:eastAsia="Times New Roman" w:hAnsi="Cambria" w:cs="Arial"/>
          <w:bCs/>
          <w:color w:val="548DD4" w:themeColor="text2" w:themeTint="99"/>
          <w:sz w:val="26"/>
          <w:szCs w:val="26"/>
          <w:rtl/>
        </w:rPr>
        <w:t>סעיף יא: קנה שט"ח ואיבד את שטר הקניין.</w:t>
      </w:r>
      <w:bookmarkEnd w:id="682"/>
    </w:p>
    <w:p w14:paraId="1FFF5E45" w14:textId="77777777" w:rsidR="001D49D4" w:rsidRPr="001D49D4" w:rsidRDefault="001D49D4" w:rsidP="0004348D">
      <w:pPr>
        <w:spacing w:before="360" w:after="240"/>
        <w:rPr>
          <w:rFonts w:ascii="Calibri" w:eastAsia="Calibri" w:hAnsi="Calibri" w:cs="Arial"/>
          <w:u w:val="single"/>
          <w:rtl/>
        </w:rPr>
      </w:pPr>
      <w:r w:rsidRPr="001D49D4">
        <w:rPr>
          <w:rFonts w:ascii="Calibri" w:eastAsia="Calibri" w:hAnsi="Calibri" w:cs="Arial"/>
          <w:u w:val="single"/>
          <w:rtl/>
        </w:rPr>
        <w:t xml:space="preserve">קנה שטר חוב </w:t>
      </w:r>
      <w:r w:rsidRPr="001D49D4">
        <w:rPr>
          <w:rFonts w:ascii="Calibri" w:eastAsia="Calibri" w:hAnsi="Calibri" w:cs="Arial"/>
          <w:sz w:val="16"/>
          <w:szCs w:val="16"/>
          <w:u w:val="single"/>
          <w:rtl/>
        </w:rPr>
        <w:t xml:space="preserve">(בכתיבה ומסירה </w:t>
      </w:r>
      <w:r w:rsidRPr="001D49D4">
        <w:rPr>
          <w:rFonts w:ascii="Calibri" w:eastAsia="Calibri" w:hAnsi="Calibri" w:cs="Arial"/>
          <w:sz w:val="14"/>
          <w:szCs w:val="14"/>
          <w:u w:val="single"/>
          <w:rtl/>
        </w:rPr>
        <w:t xml:space="preserve">[לכו"ע] </w:t>
      </w:r>
      <w:r w:rsidRPr="001D49D4">
        <w:rPr>
          <w:rFonts w:ascii="Calibri" w:eastAsia="Calibri" w:hAnsi="Calibri" w:cs="Arial"/>
          <w:sz w:val="16"/>
          <w:szCs w:val="16"/>
          <w:u w:val="single"/>
          <w:rtl/>
        </w:rPr>
        <w:t>או אגב קרקע</w:t>
      </w:r>
      <w:r w:rsidRPr="001D49D4">
        <w:rPr>
          <w:rFonts w:ascii="Calibri" w:eastAsia="Calibri" w:hAnsi="Calibri" w:cs="Arial"/>
          <w:sz w:val="14"/>
          <w:szCs w:val="14"/>
          <w:u w:val="single"/>
          <w:rtl/>
        </w:rPr>
        <w:t xml:space="preserve"> [לרי"ף]</w:t>
      </w:r>
      <w:r w:rsidRPr="001D49D4">
        <w:rPr>
          <w:rFonts w:ascii="Calibri" w:eastAsia="Calibri" w:hAnsi="Calibri" w:cs="Arial"/>
          <w:sz w:val="16"/>
          <w:szCs w:val="16"/>
          <w:u w:val="single"/>
          <w:rtl/>
        </w:rPr>
        <w:t>)</w:t>
      </w:r>
      <w:r w:rsidRPr="001D49D4">
        <w:rPr>
          <w:rFonts w:ascii="Calibri" w:eastAsia="Calibri" w:hAnsi="Calibri" w:cs="Arial"/>
          <w:u w:val="single"/>
          <w:rtl/>
        </w:rPr>
        <w:t xml:space="preserve"> מהמלוה, ואח"כ איבד את שטר הקניין – מה הדין במקרים הבאים:</w:t>
      </w:r>
    </w:p>
    <w:p w14:paraId="22D0326B" w14:textId="77777777" w:rsidR="001D49D4" w:rsidRPr="001D49D4" w:rsidRDefault="001D49D4" w:rsidP="0004348D">
      <w:pPr>
        <w:spacing w:before="360" w:after="240"/>
        <w:rPr>
          <w:rFonts w:ascii="Calibri" w:eastAsia="Calibri" w:hAnsi="Calibri" w:cs="Arial"/>
          <w:u w:val="dotted"/>
          <w:rtl/>
        </w:rPr>
      </w:pPr>
      <w:r w:rsidRPr="001D49D4">
        <w:rPr>
          <w:rFonts w:ascii="Calibri" w:eastAsia="Calibri" w:hAnsi="Calibri" w:cs="Arial"/>
          <w:u w:val="dotted"/>
          <w:rtl/>
        </w:rPr>
        <w:t xml:space="preserve">כשהמלוה אומר לקונה 'תחזיר לי את השטר, מעולם לא מכרתי לך אותו', והלוה </w:t>
      </w:r>
      <w:r w:rsidRPr="001D49D4">
        <w:rPr>
          <w:rFonts w:ascii="Calibri" w:eastAsia="Calibri" w:hAnsi="Calibri" w:cs="Arial"/>
          <w:b/>
          <w:bCs/>
          <w:u w:val="dotted"/>
          <w:rtl/>
        </w:rPr>
        <w:t>לא מתנגד</w:t>
      </w:r>
      <w:r w:rsidRPr="001D49D4">
        <w:rPr>
          <w:rFonts w:ascii="Calibri" w:eastAsia="Calibri" w:hAnsi="Calibri" w:cs="Arial"/>
          <w:u w:val="dotted"/>
          <w:rtl/>
        </w:rPr>
        <w:t xml:space="preserve"> לפרעו: </w:t>
      </w:r>
    </w:p>
    <w:p w14:paraId="282AF2F0" w14:textId="77777777" w:rsidR="001D49D4" w:rsidRPr="001D49D4" w:rsidRDefault="001D49D4" w:rsidP="0004348D">
      <w:pPr>
        <w:numPr>
          <w:ilvl w:val="0"/>
          <w:numId w:val="331"/>
        </w:numPr>
        <w:spacing w:before="360" w:after="240"/>
        <w:contextualSpacing/>
        <w:rPr>
          <w:rFonts w:ascii="Calibri" w:eastAsia="Calibri" w:hAnsi="Calibri" w:cs="Arial"/>
        </w:rPr>
      </w:pPr>
      <w:r w:rsidRPr="001D49D4">
        <w:rPr>
          <w:rFonts w:ascii="Calibri" w:eastAsia="Calibri" w:hAnsi="Calibri" w:cs="Arial"/>
          <w:rtl/>
        </w:rPr>
        <w:t>ר"י מיגאש</w:t>
      </w:r>
      <w:r w:rsidRPr="001D49D4">
        <w:rPr>
          <w:rFonts w:ascii="Calibri" w:eastAsia="Calibri" w:hAnsi="Calibri" w:cs="Arial"/>
          <w:vertAlign w:val="superscript"/>
          <w:rtl/>
        </w:rPr>
        <w:footnoteReference w:id="5027"/>
      </w:r>
      <w:r w:rsidRPr="001D49D4">
        <w:rPr>
          <w:rFonts w:ascii="Calibri" w:eastAsia="Calibri" w:hAnsi="Calibri" w:cs="Arial"/>
          <w:rtl/>
        </w:rPr>
        <w:t xml:space="preserve"> ורמב"ם </w:t>
      </w:r>
      <w:r w:rsidRPr="001D49D4">
        <w:rPr>
          <w:rFonts w:ascii="Calibri" w:eastAsia="Calibri" w:hAnsi="Calibri" w:cs="Arial"/>
          <w:sz w:val="16"/>
          <w:szCs w:val="16"/>
          <w:rtl/>
        </w:rPr>
        <w:t>(פ"ו ממכירה</w:t>
      </w:r>
      <w:r w:rsidRPr="001D49D4">
        <w:rPr>
          <w:rFonts w:ascii="Calibri" w:eastAsia="Calibri" w:hAnsi="Calibri" w:cs="Arial"/>
          <w:sz w:val="16"/>
          <w:szCs w:val="16"/>
          <w:vertAlign w:val="superscript"/>
          <w:rtl/>
        </w:rPr>
        <w:footnoteReference w:id="5028"/>
      </w:r>
      <w:r w:rsidRPr="001D49D4">
        <w:rPr>
          <w:rFonts w:ascii="Calibri" w:eastAsia="Calibri" w:hAnsi="Calibri" w:cs="Arial"/>
          <w:sz w:val="16"/>
          <w:szCs w:val="16"/>
          <w:rtl/>
        </w:rPr>
        <w:t xml:space="preserve"> (הי"א), פי"ו ממלוה</w:t>
      </w:r>
      <w:r w:rsidRPr="001D49D4">
        <w:rPr>
          <w:rFonts w:ascii="Calibri" w:eastAsia="Calibri" w:hAnsi="Calibri" w:cs="Arial"/>
          <w:sz w:val="16"/>
          <w:szCs w:val="16"/>
          <w:vertAlign w:val="superscript"/>
          <w:rtl/>
        </w:rPr>
        <w:footnoteReference w:id="5029"/>
      </w:r>
      <w:r w:rsidRPr="001D49D4">
        <w:rPr>
          <w:rFonts w:ascii="Calibri" w:eastAsia="Calibri" w:hAnsi="Calibri" w:cs="Arial"/>
          <w:sz w:val="16"/>
          <w:szCs w:val="16"/>
          <w:rtl/>
        </w:rPr>
        <w:t xml:space="preserve"> (ה"ז), ופ"ט מנחלות</w:t>
      </w:r>
      <w:r w:rsidRPr="001D49D4">
        <w:rPr>
          <w:rFonts w:ascii="Calibri" w:eastAsia="Calibri" w:hAnsi="Calibri" w:cs="Arial"/>
          <w:sz w:val="16"/>
          <w:szCs w:val="16"/>
          <w:vertAlign w:val="superscript"/>
          <w:rtl/>
        </w:rPr>
        <w:footnoteReference w:id="5030"/>
      </w:r>
      <w:r w:rsidRPr="001D49D4">
        <w:rPr>
          <w:rFonts w:ascii="Calibri" w:eastAsia="Calibri" w:hAnsi="Calibri" w:cs="Arial"/>
          <w:sz w:val="16"/>
          <w:szCs w:val="16"/>
          <w:rtl/>
        </w:rPr>
        <w:t xml:space="preserve"> (ה"ט-י), כ"כ הב"י בשמו)</w:t>
      </w:r>
      <w:r w:rsidRPr="001D49D4">
        <w:rPr>
          <w:rFonts w:ascii="Calibri" w:eastAsia="Calibri" w:hAnsi="Calibri" w:cs="Arial"/>
          <w:rtl/>
        </w:rPr>
        <w:t>- אפי' למאן דבעי כתיבה ומסירה אין צריך להביא ראיה ונאמן לומר שטר כתוב היה לי ואבד</w:t>
      </w:r>
      <w:r w:rsidRPr="001D49D4">
        <w:rPr>
          <w:rFonts w:ascii="Calibri" w:eastAsia="Calibri" w:hAnsi="Calibri" w:cs="Arial"/>
          <w:color w:val="000000" w:themeColor="text1"/>
          <w:vertAlign w:val="superscript"/>
          <w:rtl/>
        </w:rPr>
        <w:footnoteReference w:id="5031"/>
      </w:r>
      <w:r w:rsidRPr="001D49D4">
        <w:rPr>
          <w:rFonts w:ascii="Calibri" w:eastAsia="Calibri" w:hAnsi="Calibri" w:cs="Arial"/>
          <w:rtl/>
        </w:rPr>
        <w:t xml:space="preserve">. </w:t>
      </w:r>
      <w:r w:rsidRPr="001D49D4">
        <w:rPr>
          <w:rFonts w:ascii="Calibri" w:eastAsia="Calibri" w:hAnsi="Calibri" w:cs="Arial"/>
          <w:color w:val="E36C0A" w:themeColor="accent6" w:themeShade="BF"/>
          <w:rtl/>
        </w:rPr>
        <w:t>(וכ"ס בשו"ע</w:t>
      </w:r>
      <w:r w:rsidRPr="001D49D4">
        <w:rPr>
          <w:rFonts w:ascii="Calibri" w:eastAsia="Calibri" w:hAnsi="Calibri" w:cs="Arial"/>
          <w:color w:val="000000" w:themeColor="text1"/>
          <w:vertAlign w:val="superscript"/>
          <w:rtl/>
        </w:rPr>
        <w:footnoteReference w:id="5032"/>
      </w:r>
      <w:r w:rsidRPr="001D49D4">
        <w:rPr>
          <w:rFonts w:ascii="Calibri" w:eastAsia="Calibri" w:hAnsi="Calibri" w:cs="Arial"/>
          <w:color w:val="E36C0A" w:themeColor="accent6" w:themeShade="BF"/>
          <w:rtl/>
        </w:rPr>
        <w:t xml:space="preserve">) </w:t>
      </w:r>
    </w:p>
    <w:p w14:paraId="12B6A048" w14:textId="77777777" w:rsidR="001D49D4" w:rsidRPr="001D49D4" w:rsidRDefault="001D49D4" w:rsidP="0004348D">
      <w:pPr>
        <w:numPr>
          <w:ilvl w:val="0"/>
          <w:numId w:val="331"/>
        </w:numPr>
        <w:spacing w:before="360" w:after="240"/>
        <w:contextualSpacing/>
        <w:rPr>
          <w:rFonts w:ascii="Calibri" w:eastAsia="Calibri" w:hAnsi="Calibri" w:cs="Arial"/>
        </w:rPr>
      </w:pPr>
      <w:r w:rsidRPr="001D49D4">
        <w:rPr>
          <w:rFonts w:ascii="Calibri" w:eastAsia="Calibri" w:hAnsi="Calibri" w:cs="Arial"/>
          <w:rtl/>
        </w:rPr>
        <w:t>ר"ח ר"י רמב"ן רשב"א</w:t>
      </w:r>
      <w:r w:rsidRPr="001D49D4">
        <w:rPr>
          <w:rFonts w:ascii="Calibri" w:eastAsia="Calibri" w:hAnsi="Calibri" w:cs="Arial"/>
          <w:vertAlign w:val="superscript"/>
          <w:rtl/>
        </w:rPr>
        <w:footnoteReference w:id="5033"/>
      </w:r>
      <w:r w:rsidRPr="001D49D4">
        <w:rPr>
          <w:rFonts w:ascii="Calibri" w:eastAsia="Calibri" w:hAnsi="Calibri" w:cs="Arial"/>
          <w:rtl/>
        </w:rPr>
        <w:t xml:space="preserve"> רא"ש הה"מ ר"ן ונמוק"י</w:t>
      </w:r>
      <w:r w:rsidRPr="001D49D4">
        <w:rPr>
          <w:rFonts w:ascii="Calibri" w:eastAsia="Calibri" w:hAnsi="Calibri" w:cs="Arial"/>
          <w:vertAlign w:val="superscript"/>
          <w:rtl/>
        </w:rPr>
        <w:footnoteReference w:id="5034"/>
      </w:r>
      <w:r w:rsidRPr="001D49D4">
        <w:rPr>
          <w:rFonts w:ascii="Calibri" w:eastAsia="Calibri" w:hAnsi="Calibri" w:cs="Arial"/>
          <w:rtl/>
        </w:rPr>
        <w:t>- כיון שדרך לעשות על אותיות שטר - צריך להביא ראיה ואינו נאמן לומר שטר היה לי ואבד</w:t>
      </w:r>
      <w:r w:rsidRPr="001D49D4">
        <w:rPr>
          <w:rFonts w:ascii="Calibri" w:eastAsia="Calibri" w:hAnsi="Calibri" w:cs="Arial"/>
          <w:sz w:val="16"/>
          <w:szCs w:val="16"/>
          <w:rtl/>
        </w:rPr>
        <w:t xml:space="preserve"> (ל' הטור בשם ר"י)</w:t>
      </w:r>
      <w:r w:rsidRPr="001D49D4">
        <w:rPr>
          <w:rFonts w:ascii="Calibri" w:eastAsia="Calibri" w:hAnsi="Calibri" w:cs="Arial"/>
          <w:vertAlign w:val="superscript"/>
          <w:rtl/>
        </w:rPr>
        <w:footnoteReference w:id="5035"/>
      </w:r>
      <w:r w:rsidRPr="001D49D4">
        <w:rPr>
          <w:rFonts w:ascii="Calibri" w:eastAsia="Calibri" w:hAnsi="Calibri" w:cs="Arial"/>
          <w:rtl/>
        </w:rPr>
        <w:t>.</w:t>
      </w:r>
      <w:r w:rsidRPr="001D49D4">
        <w:rPr>
          <w:rFonts w:ascii="Calibri" w:eastAsia="Calibri" w:hAnsi="Calibri" w:cs="Arial"/>
          <w:color w:val="00B0F0"/>
          <w:rtl/>
        </w:rPr>
        <w:t xml:space="preserve"> (וכ"פ הרמ"א</w:t>
      </w:r>
      <w:r w:rsidRPr="001D49D4">
        <w:rPr>
          <w:rFonts w:ascii="Calibri" w:eastAsia="Calibri" w:hAnsi="Calibri" w:cs="Arial"/>
          <w:sz w:val="16"/>
          <w:szCs w:val="16"/>
          <w:rtl/>
        </w:rPr>
        <w:t xml:space="preserve"> [וכ"פ בדרכ"מ אות ב]</w:t>
      </w:r>
      <w:r w:rsidRPr="001D49D4">
        <w:rPr>
          <w:rFonts w:ascii="Calibri" w:eastAsia="Calibri" w:hAnsi="Calibri" w:cs="Arial"/>
          <w:color w:val="00B0F0"/>
          <w:rtl/>
        </w:rPr>
        <w:t>)</w:t>
      </w:r>
      <w:r w:rsidRPr="001D49D4">
        <w:rPr>
          <w:rFonts w:ascii="Calibri" w:eastAsia="Calibri" w:hAnsi="Calibri" w:cs="Arial"/>
          <w:rtl/>
        </w:rPr>
        <w:t xml:space="preserve"> (וכ"פ הש"ך</w:t>
      </w:r>
      <w:r w:rsidRPr="001D49D4">
        <w:rPr>
          <w:rFonts w:ascii="Calibri" w:eastAsia="Calibri" w:hAnsi="Calibri" w:cs="Arial"/>
          <w:sz w:val="16"/>
          <w:szCs w:val="16"/>
          <w:rtl/>
        </w:rPr>
        <w:t xml:space="preserve"> [סקכ"ט]</w:t>
      </w:r>
      <w:r w:rsidRPr="001D49D4">
        <w:rPr>
          <w:rFonts w:ascii="Calibri" w:eastAsia="Calibri" w:hAnsi="Calibri" w:cs="Arial"/>
          <w:rtl/>
        </w:rPr>
        <w:t>)</w:t>
      </w:r>
    </w:p>
    <w:p w14:paraId="032F9B63" w14:textId="77777777" w:rsidR="001D49D4" w:rsidRPr="001D49D4" w:rsidRDefault="001D49D4" w:rsidP="0004348D">
      <w:pPr>
        <w:spacing w:before="360" w:after="240"/>
        <w:rPr>
          <w:rFonts w:ascii="Calibri" w:eastAsia="Calibri" w:hAnsi="Calibri" w:cs="Arial"/>
        </w:rPr>
      </w:pPr>
      <w:r w:rsidRPr="001D49D4">
        <w:rPr>
          <w:rFonts w:ascii="Calibri" w:eastAsia="Calibri" w:hAnsi="Calibri" w:cs="Arial"/>
          <w:u w:val="dotted"/>
          <w:rtl/>
        </w:rPr>
        <w:t xml:space="preserve">כשהקונה תובע את הלוה, והמלוה טוען שהשטר שלו ולא מכרו, והלוה </w:t>
      </w:r>
      <w:r w:rsidRPr="001D49D4">
        <w:rPr>
          <w:rFonts w:ascii="Calibri" w:eastAsia="Calibri" w:hAnsi="Calibri" w:cs="Arial"/>
          <w:b/>
          <w:bCs/>
          <w:u w:val="dotted"/>
          <w:rtl/>
        </w:rPr>
        <w:t>מתנגד</w:t>
      </w:r>
      <w:r w:rsidRPr="001D49D4">
        <w:rPr>
          <w:rFonts w:ascii="Calibri" w:eastAsia="Calibri" w:hAnsi="Calibri" w:cs="Arial"/>
          <w:u w:val="dotted"/>
          <w:rtl/>
        </w:rPr>
        <w:t xml:space="preserve"> לפרעו:</w:t>
      </w:r>
    </w:p>
    <w:p w14:paraId="5468E567" w14:textId="77777777" w:rsidR="001D49D4" w:rsidRPr="001D49D4" w:rsidRDefault="001D49D4" w:rsidP="0004348D">
      <w:pPr>
        <w:numPr>
          <w:ilvl w:val="0"/>
          <w:numId w:val="331"/>
        </w:numPr>
        <w:spacing w:before="360" w:after="240"/>
        <w:contextualSpacing/>
        <w:rPr>
          <w:rFonts w:ascii="Calibri" w:eastAsia="Calibri" w:hAnsi="Calibri" w:cs="Arial"/>
        </w:rPr>
      </w:pPr>
      <w:r w:rsidRPr="001D49D4">
        <w:rPr>
          <w:rFonts w:ascii="Calibri" w:eastAsia="Calibri" w:hAnsi="Calibri" w:cs="Arial"/>
          <w:rtl/>
        </w:rPr>
        <w:t>רמב"ם</w:t>
      </w:r>
      <w:r w:rsidRPr="001D49D4">
        <w:rPr>
          <w:rFonts w:ascii="Calibri" w:eastAsia="Calibri" w:hAnsi="Calibri" w:cs="Arial"/>
          <w:sz w:val="16"/>
          <w:szCs w:val="16"/>
          <w:rtl/>
        </w:rPr>
        <w:t xml:space="preserve"> (בהל' מלוה שם)</w:t>
      </w:r>
      <w:r w:rsidRPr="001D49D4">
        <w:rPr>
          <w:rFonts w:ascii="Calibri" w:eastAsia="Calibri" w:hAnsi="Calibri" w:cs="Arial"/>
          <w:rtl/>
        </w:rPr>
        <w:t>- אם טען המלוה שלא מכר ולא נתן שטר זה - ישבע</w:t>
      </w:r>
      <w:r w:rsidRPr="001D49D4">
        <w:rPr>
          <w:rFonts w:ascii="Calibri" w:eastAsia="Calibri" w:hAnsi="Calibri" w:cs="Arial"/>
          <w:vertAlign w:val="superscript"/>
          <w:rtl/>
        </w:rPr>
        <w:footnoteReference w:id="5036"/>
      </w:r>
      <w:r w:rsidRPr="001D49D4">
        <w:rPr>
          <w:rFonts w:ascii="Calibri" w:eastAsia="Calibri" w:hAnsi="Calibri" w:cs="Arial"/>
          <w:rtl/>
        </w:rPr>
        <w:t xml:space="preserve"> היסת ונפטר</w:t>
      </w:r>
      <w:r w:rsidRPr="001D49D4">
        <w:rPr>
          <w:rFonts w:ascii="Calibri" w:eastAsia="Calibri" w:hAnsi="Calibri" w:cs="Arial"/>
          <w:vertAlign w:val="superscript"/>
          <w:rtl/>
        </w:rPr>
        <w:footnoteReference w:id="5037"/>
      </w:r>
      <w:r w:rsidRPr="001D49D4">
        <w:rPr>
          <w:rFonts w:ascii="Calibri" w:eastAsia="Calibri" w:hAnsi="Calibri" w:cs="Arial"/>
          <w:rtl/>
        </w:rPr>
        <w:t>.</w:t>
      </w:r>
      <w:r w:rsidRPr="001D49D4">
        <w:rPr>
          <w:rFonts w:ascii="Calibri" w:eastAsia="Calibri" w:hAnsi="Calibri" w:cs="Arial"/>
          <w:color w:val="E36C0A" w:themeColor="accent6" w:themeShade="BF"/>
          <w:rtl/>
        </w:rPr>
        <w:t xml:space="preserve"> (וכ"פ בשו"ע)</w:t>
      </w:r>
    </w:p>
    <w:p w14:paraId="5735825A" w14:textId="77777777" w:rsidR="001D49D4" w:rsidRPr="001D49D4" w:rsidRDefault="001D49D4" w:rsidP="0004348D">
      <w:pPr>
        <w:spacing w:before="360" w:after="240"/>
        <w:rPr>
          <w:rFonts w:ascii="Calibri" w:eastAsia="Calibri" w:hAnsi="Calibri" w:cs="Arial"/>
          <w:u w:val="dotted"/>
        </w:rPr>
      </w:pPr>
      <w:r w:rsidRPr="001D49D4">
        <w:rPr>
          <w:rFonts w:ascii="Calibri" w:eastAsia="Calibri" w:hAnsi="Calibri" w:cs="Arial"/>
          <w:u w:val="dotted"/>
          <w:rtl/>
        </w:rPr>
        <w:t>כשהקונה בא לגבות את החוב מהלוה אך הלוה טוען 'לאו בעל דברים דידי את':</w:t>
      </w:r>
    </w:p>
    <w:p w14:paraId="3AD690AF" w14:textId="77777777" w:rsidR="001D49D4" w:rsidRPr="001D49D4" w:rsidRDefault="001D49D4" w:rsidP="0004348D">
      <w:pPr>
        <w:numPr>
          <w:ilvl w:val="0"/>
          <w:numId w:val="331"/>
        </w:numPr>
        <w:spacing w:before="360" w:after="240"/>
        <w:contextualSpacing/>
        <w:rPr>
          <w:rFonts w:ascii="Calibri" w:eastAsia="Calibri" w:hAnsi="Calibri" w:cs="Arial"/>
        </w:rPr>
      </w:pPr>
      <w:r w:rsidRPr="001D49D4">
        <w:rPr>
          <w:rFonts w:ascii="Calibri" w:eastAsia="Calibri" w:hAnsi="Calibri" w:cs="Arial"/>
          <w:rtl/>
        </w:rPr>
        <w:t xml:space="preserve">רמב"ם </w:t>
      </w:r>
      <w:r w:rsidRPr="001D49D4">
        <w:rPr>
          <w:rFonts w:ascii="Calibri" w:eastAsia="Calibri" w:hAnsi="Calibri" w:cs="Arial"/>
          <w:sz w:val="16"/>
          <w:szCs w:val="16"/>
          <w:rtl/>
        </w:rPr>
        <w:t>(בהל' מכירה שם)</w:t>
      </w:r>
      <w:r w:rsidRPr="001D49D4">
        <w:rPr>
          <w:rFonts w:ascii="Calibri" w:eastAsia="Calibri" w:hAnsi="Calibri" w:cs="Arial"/>
          <w:rtl/>
        </w:rPr>
        <w:t>- טענתו טענה.</w:t>
      </w:r>
      <w:r w:rsidRPr="001D49D4">
        <w:rPr>
          <w:rFonts w:ascii="Calibri" w:eastAsia="Calibri" w:hAnsi="Calibri" w:cs="Arial"/>
          <w:color w:val="E36C0A" w:themeColor="accent6" w:themeShade="BF"/>
          <w:rtl/>
        </w:rPr>
        <w:t xml:space="preserve"> (וכ"פ בשו"ע)</w:t>
      </w:r>
    </w:p>
    <w:p w14:paraId="5479692F" w14:textId="77777777" w:rsidR="001D49D4" w:rsidRPr="001D49D4" w:rsidRDefault="001D49D4" w:rsidP="0004348D">
      <w:pPr>
        <w:spacing w:before="360" w:after="240"/>
        <w:rPr>
          <w:rFonts w:ascii="Calibri" w:eastAsia="Calibri" w:hAnsi="Calibri" w:cs="Arial"/>
          <w:u w:val="dotted"/>
        </w:rPr>
      </w:pPr>
      <w:r w:rsidRPr="001D49D4">
        <w:rPr>
          <w:rFonts w:ascii="Calibri" w:eastAsia="Calibri" w:hAnsi="Calibri" w:cs="Arial"/>
          <w:u w:val="dotted"/>
          <w:rtl/>
        </w:rPr>
        <w:t>כשהקונה בא לגבות את החוב מהלוה אך הלוה טוען שכבר פרע למלוה:</w:t>
      </w:r>
    </w:p>
    <w:p w14:paraId="50C50139" w14:textId="77777777" w:rsidR="001D49D4" w:rsidRPr="001D49D4" w:rsidRDefault="001D49D4" w:rsidP="0004348D">
      <w:pPr>
        <w:numPr>
          <w:ilvl w:val="0"/>
          <w:numId w:val="331"/>
        </w:numPr>
        <w:spacing w:before="360" w:after="240"/>
        <w:contextualSpacing/>
        <w:rPr>
          <w:rFonts w:ascii="Calibri" w:eastAsia="Calibri" w:hAnsi="Calibri" w:cs="Arial"/>
        </w:rPr>
      </w:pPr>
      <w:r w:rsidRPr="001D49D4">
        <w:rPr>
          <w:rFonts w:ascii="Calibri" w:eastAsia="Calibri" w:hAnsi="Calibri" w:cs="Arial"/>
          <w:rtl/>
        </w:rPr>
        <w:t>רמב"ם</w:t>
      </w:r>
      <w:r w:rsidRPr="001D49D4">
        <w:rPr>
          <w:rFonts w:ascii="Calibri" w:eastAsia="Calibri" w:hAnsi="Calibri" w:cs="Arial"/>
          <w:sz w:val="16"/>
          <w:szCs w:val="16"/>
          <w:rtl/>
        </w:rPr>
        <w:t xml:space="preserve"> (בהל' מלוה שם)</w:t>
      </w:r>
      <w:r w:rsidRPr="001D49D4">
        <w:rPr>
          <w:rFonts w:ascii="Calibri" w:eastAsia="Calibri" w:hAnsi="Calibri" w:cs="Arial"/>
          <w:rtl/>
        </w:rPr>
        <w:t>- טען הלוה שפרע למלוה ואמר למלוה להישבע לו שלא פרע לו כבר</w:t>
      </w:r>
      <w:r w:rsidRPr="001D49D4">
        <w:rPr>
          <w:rFonts w:ascii="Calibri" w:eastAsia="Calibri" w:hAnsi="Calibri" w:cs="Arial"/>
          <w:sz w:val="16"/>
          <w:szCs w:val="16"/>
          <w:rtl/>
        </w:rPr>
        <w:t xml:space="preserve"> </w:t>
      </w:r>
      <w:r w:rsidRPr="001D49D4">
        <w:rPr>
          <w:rFonts w:ascii="Calibri" w:eastAsia="Calibri" w:hAnsi="Calibri" w:cs="Arial"/>
          <w:rtl/>
        </w:rPr>
        <w:t>- ישבע המלוה ללוה ואח"כ יגבה הקונה מהלוה</w:t>
      </w:r>
      <w:r w:rsidRPr="001D49D4">
        <w:rPr>
          <w:rFonts w:ascii="Calibri" w:eastAsia="Calibri" w:hAnsi="Calibri" w:cs="Arial"/>
          <w:vertAlign w:val="superscript"/>
          <w:rtl/>
        </w:rPr>
        <w:footnoteReference w:id="5038"/>
      </w:r>
      <w:r w:rsidRPr="001D49D4">
        <w:rPr>
          <w:rFonts w:ascii="Calibri" w:eastAsia="Calibri" w:hAnsi="Calibri" w:cs="Arial"/>
          <w:rtl/>
        </w:rPr>
        <w:t>. אך אם הודה המלוה ששכבר פרע לו הלוה - ישלם המלוה לקונה</w:t>
      </w:r>
      <w:r w:rsidRPr="001D49D4">
        <w:rPr>
          <w:rFonts w:ascii="Calibri" w:eastAsia="Calibri" w:hAnsi="Calibri" w:cs="Arial"/>
          <w:vertAlign w:val="superscript"/>
          <w:rtl/>
        </w:rPr>
        <w:footnoteReference w:id="5039"/>
      </w:r>
      <w:r w:rsidRPr="001D49D4">
        <w:rPr>
          <w:rFonts w:ascii="Calibri" w:eastAsia="Calibri" w:hAnsi="Calibri" w:cs="Arial"/>
          <w:rtl/>
        </w:rPr>
        <w:t xml:space="preserve">. </w:t>
      </w:r>
      <w:r w:rsidRPr="001D49D4">
        <w:rPr>
          <w:rFonts w:ascii="Calibri" w:eastAsia="Calibri" w:hAnsi="Calibri" w:cs="Arial"/>
          <w:color w:val="E36C0A" w:themeColor="accent6" w:themeShade="BF"/>
          <w:rtl/>
        </w:rPr>
        <w:t>(וכ"פ בשו"ע)</w:t>
      </w:r>
    </w:p>
    <w:p w14:paraId="30CCB6AF" w14:textId="77777777" w:rsidR="001D49D4" w:rsidRPr="001D49D4" w:rsidRDefault="001D49D4" w:rsidP="0004348D">
      <w:pPr>
        <w:spacing w:before="360" w:after="240"/>
        <w:rPr>
          <w:rFonts w:ascii="Calibri" w:eastAsia="Calibri" w:hAnsi="Calibri" w:cs="Arial"/>
          <w:u w:val="single"/>
        </w:rPr>
      </w:pPr>
      <w:r w:rsidRPr="001D49D4">
        <w:rPr>
          <w:rFonts w:ascii="Calibri" w:eastAsia="Calibri" w:hAnsi="Calibri" w:cs="Arial"/>
          <w:u w:val="single"/>
          <w:rtl/>
        </w:rPr>
        <w:t xml:space="preserve">שליש שהוציא שטר מידו ואמר שבעליו נתנו לאחרים בכתיבה ומסירה: </w:t>
      </w:r>
    </w:p>
    <w:p w14:paraId="38891C49" w14:textId="77777777" w:rsidR="001D49D4" w:rsidRPr="001D49D4" w:rsidRDefault="001D49D4" w:rsidP="0004348D">
      <w:pPr>
        <w:numPr>
          <w:ilvl w:val="0"/>
          <w:numId w:val="331"/>
        </w:numPr>
        <w:spacing w:before="360" w:after="240"/>
        <w:contextualSpacing/>
        <w:rPr>
          <w:rFonts w:ascii="Calibri" w:eastAsia="Calibri" w:hAnsi="Calibri" w:cs="Arial"/>
        </w:rPr>
      </w:pPr>
      <w:r w:rsidRPr="001D49D4">
        <w:rPr>
          <w:rFonts w:ascii="Calibri" w:eastAsia="Calibri" w:hAnsi="Calibri" w:cs="Arial"/>
          <w:rtl/>
        </w:rPr>
        <w:t xml:space="preserve">נמוק"י </w:t>
      </w:r>
      <w:r w:rsidRPr="001D49D4">
        <w:rPr>
          <w:rFonts w:ascii="Calibri" w:eastAsia="Calibri" w:hAnsi="Calibri" w:cs="Arial"/>
          <w:sz w:val="16"/>
          <w:szCs w:val="16"/>
          <w:rtl/>
        </w:rPr>
        <w:t>(ס"פ בתרא פ. ד"ה תניא)</w:t>
      </w:r>
      <w:r w:rsidRPr="001D49D4">
        <w:rPr>
          <w:rFonts w:ascii="Calibri" w:eastAsia="Calibri" w:hAnsi="Calibri" w:cs="Arial"/>
          <w:rtl/>
        </w:rPr>
        <w:t>- שליש שהוציא שטר מידו ואמר שבעליו נתנו לאחרים בכתיבה ומסירה, י"א שהוא נאמן, ונראין דברים שהוא כן לגבי בעל דבר דהא הימניה, ואיכא נמי מגו דאי בעי קלייה. אבל לגבותו מהלוה - ליתנהו להני טעמי, ואינו נאמן, וצריך להביא ראיה על הכתיבה או על האגב ואין השליש נאמן בזה. ואפילו כלפי בעליו אינו נאמן לומר שהוא לעצמו. וכל זה ברור ונכון קבלתי מפי מורי הרב הלוי הכ"מ ז"ל, וכן קבלתי ממורי הרשב"א ז"ל, וכן פסקו בתוספותיהם. ואע"פ שהרמב"ם</w:t>
      </w:r>
      <w:r w:rsidRPr="001D49D4">
        <w:rPr>
          <w:rFonts w:ascii="Calibri" w:eastAsia="Calibri" w:hAnsi="Calibri" w:cs="Arial"/>
          <w:vertAlign w:val="superscript"/>
          <w:rtl/>
        </w:rPr>
        <w:footnoteReference w:id="5040"/>
      </w:r>
      <w:r w:rsidRPr="001D49D4">
        <w:rPr>
          <w:rFonts w:ascii="Calibri" w:eastAsia="Calibri" w:hAnsi="Calibri" w:cs="Arial"/>
          <w:rtl/>
        </w:rPr>
        <w:t xml:space="preserve"> כתב שאפילו לעצמו נאמן כלפי בעליו. הריטב"א ז"ל </w:t>
      </w:r>
      <w:r w:rsidRPr="001D49D4">
        <w:rPr>
          <w:rFonts w:ascii="Calibri" w:eastAsia="Calibri" w:hAnsi="Calibri" w:cs="Arial"/>
          <w:sz w:val="16"/>
          <w:szCs w:val="16"/>
          <w:rtl/>
        </w:rPr>
        <w:t>(ד"ה ושליש)</w:t>
      </w:r>
      <w:r w:rsidRPr="001D49D4">
        <w:rPr>
          <w:rFonts w:ascii="Calibri" w:eastAsia="Calibri" w:hAnsi="Calibri" w:cs="Arial"/>
          <w:rtl/>
        </w:rPr>
        <w:t>.</w:t>
      </w:r>
      <w:r w:rsidRPr="001D49D4">
        <w:rPr>
          <w:rFonts w:ascii="Calibri" w:eastAsia="Calibri" w:hAnsi="Calibri" w:cs="Arial"/>
          <w:color w:val="00B0F0"/>
          <w:rtl/>
        </w:rPr>
        <w:t xml:space="preserve"> (וכ"פ הרמ"א)</w:t>
      </w:r>
    </w:p>
    <w:p w14:paraId="7F0EE5A5" w14:textId="77777777" w:rsidR="001D49D4" w:rsidRPr="001D49D4" w:rsidRDefault="001D49D4" w:rsidP="0004348D">
      <w:pPr>
        <w:spacing w:before="360" w:after="240"/>
        <w:rPr>
          <w:rFonts w:ascii="Calibri" w:eastAsia="Calibri" w:hAnsi="Calibri" w:cs="Arial"/>
          <w:u w:val="single"/>
        </w:rPr>
      </w:pPr>
      <w:r w:rsidRPr="001D49D4">
        <w:rPr>
          <w:rFonts w:ascii="Calibri" w:eastAsia="Calibri" w:hAnsi="Calibri" w:cs="Arial"/>
          <w:u w:val="single"/>
          <w:rtl/>
        </w:rPr>
        <w:t>אדם שטען שקיבל את השטר במתנת שכיב מרע – האם צריך להביא ראיה:</w:t>
      </w:r>
    </w:p>
    <w:p w14:paraId="798CF5EE" w14:textId="77777777" w:rsidR="001D49D4" w:rsidRPr="001D49D4" w:rsidRDefault="001D49D4" w:rsidP="0004348D">
      <w:pPr>
        <w:numPr>
          <w:ilvl w:val="0"/>
          <w:numId w:val="331"/>
        </w:numPr>
        <w:spacing w:before="360" w:after="240"/>
        <w:contextualSpacing/>
        <w:rPr>
          <w:rFonts w:ascii="Calibri" w:eastAsia="Calibri" w:hAnsi="Calibri" w:cs="Arial"/>
        </w:rPr>
      </w:pPr>
      <w:r w:rsidRPr="001D49D4">
        <w:rPr>
          <w:rFonts w:ascii="Calibri" w:eastAsia="Calibri" w:hAnsi="Calibri" w:cs="Arial"/>
          <w:rtl/>
        </w:rPr>
        <w:t xml:space="preserve">ב"י </w:t>
      </w:r>
      <w:r w:rsidRPr="001D49D4">
        <w:rPr>
          <w:rFonts w:ascii="Calibri" w:eastAsia="Calibri" w:hAnsi="Calibri" w:cs="Arial"/>
          <w:sz w:val="16"/>
          <w:szCs w:val="16"/>
          <w:rtl/>
        </w:rPr>
        <w:t>(אהע"ז סי' צו)</w:t>
      </w:r>
      <w:r w:rsidRPr="001D49D4">
        <w:rPr>
          <w:rFonts w:ascii="Calibri" w:eastAsia="Calibri" w:hAnsi="Calibri" w:cs="Arial"/>
          <w:rtl/>
        </w:rPr>
        <w:t xml:space="preserve">- אם אומרת שנתנו לה במתנת שכיב מרע, משמע דנאמנת לדברי הרמב"ם </w:t>
      </w:r>
      <w:r w:rsidRPr="001D49D4">
        <w:rPr>
          <w:rFonts w:ascii="Calibri" w:eastAsia="Calibri" w:hAnsi="Calibri" w:cs="Arial"/>
          <w:sz w:val="16"/>
          <w:szCs w:val="16"/>
          <w:rtl/>
        </w:rPr>
        <w:t xml:space="preserve">(פ"י מזכיה ה"ב) </w:t>
      </w:r>
      <w:r w:rsidRPr="001D49D4">
        <w:rPr>
          <w:rFonts w:ascii="Calibri" w:eastAsia="Calibri" w:hAnsi="Calibri" w:cs="Arial"/>
          <w:rtl/>
        </w:rPr>
        <w:t xml:space="preserve">והרא"ש </w:t>
      </w:r>
      <w:r w:rsidRPr="001D49D4">
        <w:rPr>
          <w:rFonts w:ascii="Calibri" w:eastAsia="Calibri" w:hAnsi="Calibri" w:cs="Arial"/>
          <w:sz w:val="16"/>
          <w:szCs w:val="16"/>
          <w:rtl/>
        </w:rPr>
        <w:t xml:space="preserve">(כלל פ"ג סי' ד) </w:t>
      </w:r>
      <w:r w:rsidRPr="001D49D4">
        <w:rPr>
          <w:rFonts w:ascii="Calibri" w:eastAsia="Calibri" w:hAnsi="Calibri" w:cs="Arial"/>
          <w:rtl/>
        </w:rPr>
        <w:t xml:space="preserve">שסוברים שאם נתנו במתנת שכיב מרע אין צריך לומר קני לך איהו וכל שעבודא דאית ביה, וכמו שנתבאר בטור חשן משפט </w:t>
      </w:r>
      <w:r w:rsidRPr="001D49D4">
        <w:rPr>
          <w:rFonts w:ascii="Calibri" w:eastAsia="Calibri" w:hAnsi="Calibri" w:cs="Arial"/>
          <w:sz w:val="16"/>
          <w:szCs w:val="16"/>
          <w:rtl/>
        </w:rPr>
        <w:t>(ס"ס סו)</w:t>
      </w:r>
      <w:r w:rsidRPr="001D49D4">
        <w:rPr>
          <w:rFonts w:ascii="Calibri" w:eastAsia="Calibri" w:hAnsi="Calibri" w:cs="Arial"/>
          <w:vertAlign w:val="superscript"/>
          <w:rtl/>
        </w:rPr>
        <w:footnoteReference w:id="5041"/>
      </w:r>
      <w:r w:rsidRPr="001D49D4">
        <w:rPr>
          <w:rFonts w:ascii="Calibri" w:eastAsia="Calibri" w:hAnsi="Calibri" w:cs="Arial"/>
          <w:rtl/>
        </w:rPr>
        <w:t>.</w:t>
      </w:r>
    </w:p>
    <w:p w14:paraId="2FC3A991" w14:textId="77777777" w:rsidR="001D49D4" w:rsidRPr="001D49D4" w:rsidRDefault="001D49D4" w:rsidP="0004348D">
      <w:pPr>
        <w:numPr>
          <w:ilvl w:val="0"/>
          <w:numId w:val="331"/>
        </w:numPr>
        <w:spacing w:before="360" w:after="240"/>
        <w:contextualSpacing/>
        <w:rPr>
          <w:rFonts w:ascii="Calibri" w:eastAsia="Calibri" w:hAnsi="Calibri" w:cs="Arial"/>
          <w:rtl/>
        </w:rPr>
      </w:pPr>
      <w:r w:rsidRPr="001D49D4">
        <w:rPr>
          <w:rFonts w:ascii="Calibri" w:eastAsia="Calibri" w:hAnsi="Calibri" w:cs="Arial"/>
          <w:rtl/>
        </w:rPr>
        <w:t xml:space="preserve">רשב"א </w:t>
      </w:r>
      <w:r w:rsidRPr="001D49D4">
        <w:rPr>
          <w:rFonts w:ascii="Calibri" w:eastAsia="Calibri" w:hAnsi="Calibri" w:cs="Arial"/>
          <w:sz w:val="16"/>
          <w:szCs w:val="16"/>
          <w:rtl/>
        </w:rPr>
        <w:t xml:space="preserve">(ח"ג סי' עב) </w:t>
      </w:r>
      <w:r w:rsidRPr="001D49D4">
        <w:rPr>
          <w:rFonts w:ascii="Calibri" w:eastAsia="Calibri" w:hAnsi="Calibri" w:cs="Arial"/>
          <w:rtl/>
        </w:rPr>
        <w:t xml:space="preserve">ר"ן </w:t>
      </w:r>
      <w:r w:rsidRPr="001D49D4">
        <w:rPr>
          <w:rFonts w:ascii="Calibri" w:eastAsia="Calibri" w:hAnsi="Calibri" w:cs="Arial"/>
          <w:sz w:val="16"/>
          <w:szCs w:val="16"/>
          <w:rtl/>
        </w:rPr>
        <w:t>(פרק הכותב כתובות מג.)</w:t>
      </w:r>
      <w:r w:rsidRPr="001D49D4">
        <w:rPr>
          <w:rFonts w:ascii="Calibri" w:eastAsia="Calibri" w:hAnsi="Calibri" w:cs="Arial"/>
          <w:rtl/>
        </w:rPr>
        <w:t xml:space="preserve"> ונמוק"י </w:t>
      </w:r>
      <w:r w:rsidRPr="001D49D4">
        <w:rPr>
          <w:rFonts w:ascii="Calibri" w:eastAsia="Calibri" w:hAnsi="Calibri" w:cs="Arial"/>
          <w:sz w:val="16"/>
          <w:szCs w:val="16"/>
          <w:rtl/>
        </w:rPr>
        <w:t>(ס"פ בתרא פ. ד"ה תניא)</w:t>
      </w:r>
      <w:r w:rsidRPr="001D49D4">
        <w:rPr>
          <w:rFonts w:ascii="Calibri" w:eastAsia="Calibri" w:hAnsi="Calibri" w:cs="Arial"/>
          <w:rtl/>
        </w:rPr>
        <w:t>- צריך להביא ראיה. (וכ"פ הש"ך</w:t>
      </w:r>
      <w:r w:rsidRPr="001D49D4">
        <w:rPr>
          <w:rFonts w:ascii="Calibri" w:eastAsia="Calibri" w:hAnsi="Calibri" w:cs="Arial"/>
          <w:vertAlign w:val="superscript"/>
          <w:rtl/>
        </w:rPr>
        <w:footnoteReference w:id="5042"/>
      </w:r>
      <w:r w:rsidRPr="001D49D4">
        <w:rPr>
          <w:rFonts w:ascii="Calibri" w:eastAsia="Calibri" w:hAnsi="Calibri" w:cs="Arial"/>
          <w:sz w:val="16"/>
          <w:szCs w:val="16"/>
          <w:rtl/>
        </w:rPr>
        <w:t xml:space="preserve"> [סק"מ]</w:t>
      </w:r>
      <w:r w:rsidRPr="001D49D4">
        <w:rPr>
          <w:rFonts w:ascii="Calibri" w:eastAsia="Calibri" w:hAnsi="Calibri" w:cs="Arial"/>
          <w:rtl/>
        </w:rPr>
        <w:t>)</w:t>
      </w:r>
    </w:p>
    <w:p w14:paraId="004CEE21" w14:textId="77777777" w:rsidR="001D49D4" w:rsidRPr="001D49D4" w:rsidRDefault="001D49D4" w:rsidP="0004348D">
      <w:pPr>
        <w:spacing w:before="360" w:after="240"/>
        <w:rPr>
          <w:rFonts w:ascii="Arial" w:eastAsia="Calibri" w:hAnsi="Arial" w:cs="Arial"/>
          <w:b/>
          <w:bCs/>
          <w:color w:val="000000"/>
          <w:sz w:val="28"/>
          <w:szCs w:val="28"/>
          <w:u w:val="single"/>
        </w:rPr>
      </w:pPr>
      <w:r w:rsidRPr="001D49D4">
        <w:rPr>
          <w:rFonts w:ascii="Arial" w:eastAsia="Calibri" w:hAnsi="Arial" w:cs="Arial"/>
          <w:b/>
          <w:bCs/>
          <w:color w:val="000000"/>
          <w:sz w:val="28"/>
          <w:szCs w:val="28"/>
          <w:u w:val="single"/>
          <w:rtl/>
        </w:rPr>
        <w:t>שו"ע:</w:t>
      </w:r>
    </w:p>
    <w:p w14:paraId="22582249"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rtl/>
        </w:rPr>
        <w:t>מי שהוציא שטר, וטוען שחבירו מכרו לו בכתיבה ומסירה ואבד ממנו שטר המכר, אינו צריך עדים לענין קנייתו, אבל צריך עדים לענין תביעתו</w:t>
      </w:r>
      <w:r w:rsidRPr="001D49D4">
        <w:rPr>
          <w:rFonts w:ascii="Calibri" w:eastAsia="Calibri" w:hAnsi="Calibri" w:cs="Arial"/>
          <w:vertAlign w:val="superscript"/>
          <w:rtl/>
        </w:rPr>
        <w:footnoteReference w:id="5043"/>
      </w:r>
      <w:r w:rsidRPr="001D49D4">
        <w:rPr>
          <w:rFonts w:ascii="Calibri" w:eastAsia="Calibri" w:hAnsi="Calibri" w:cs="Arial"/>
          <w:rtl/>
        </w:rPr>
        <w:t>, שהרי הנתבע אומר לו 'מי יאמר לי שבעל דברים שלי כתב ומסר לך'. לפיכך ראובן שהוציא שטר חוב שיש ללוי על שמעון, וטען שלוי נתנו לו בכתיבה ומסירה ואבד השטר שהקנהו בו, או שטען שהקנהו על גבי קרקע, הרי זה גובה אותו משמעון אם אין הלוה טוען 'מי יאמר שבעל דברים שלי כתב ומסר לך'. ואם טוען שמעון שפרע ללוי ואמר 'ישבע לי', ישבע לוי לשמעון, ואחר כך יגבה ראובן. ואם יש ראיה שמכר ולא רצה לישבע, חייב לשלם לראובן</w:t>
      </w:r>
      <w:r w:rsidRPr="001D49D4">
        <w:rPr>
          <w:rFonts w:ascii="Calibri" w:eastAsia="Calibri" w:hAnsi="Calibri" w:cs="Arial"/>
          <w:vertAlign w:val="superscript"/>
          <w:rtl/>
        </w:rPr>
        <w:footnoteReference w:id="5044"/>
      </w:r>
      <w:r w:rsidRPr="001D49D4">
        <w:rPr>
          <w:rFonts w:ascii="Calibri" w:eastAsia="Calibri" w:hAnsi="Calibri" w:cs="Arial"/>
          <w:rtl/>
        </w:rPr>
        <w:t>. וכן</w:t>
      </w:r>
      <w:r w:rsidRPr="001D49D4">
        <w:rPr>
          <w:rFonts w:ascii="Calibri" w:eastAsia="Calibri" w:hAnsi="Calibri" w:cs="Arial"/>
          <w:vertAlign w:val="superscript"/>
          <w:rtl/>
        </w:rPr>
        <w:footnoteReference w:id="5045"/>
      </w:r>
      <w:r w:rsidRPr="001D49D4">
        <w:rPr>
          <w:rFonts w:ascii="Calibri" w:eastAsia="Calibri" w:hAnsi="Calibri" w:cs="Arial"/>
          <w:rtl/>
        </w:rPr>
        <w:t xml:space="preserve"> אם הודה לוי שפרעו, ישלם לוי לראובן</w:t>
      </w:r>
      <w:r w:rsidRPr="001D49D4">
        <w:rPr>
          <w:rFonts w:ascii="Calibri" w:eastAsia="Calibri" w:hAnsi="Calibri" w:cs="Arial"/>
          <w:vertAlign w:val="superscript"/>
          <w:rtl/>
        </w:rPr>
        <w:footnoteReference w:id="5046"/>
      </w:r>
      <w:r w:rsidRPr="001D49D4">
        <w:rPr>
          <w:rFonts w:ascii="Calibri" w:eastAsia="Calibri" w:hAnsi="Calibri" w:cs="Arial"/>
          <w:rtl/>
        </w:rPr>
        <w:t>. מת מוכר, יורשיו נשבעים שבועת היורשים</w:t>
      </w:r>
      <w:r w:rsidRPr="001D49D4">
        <w:rPr>
          <w:rFonts w:ascii="Calibri" w:eastAsia="Calibri" w:hAnsi="Calibri" w:cs="Arial"/>
          <w:vertAlign w:val="superscript"/>
          <w:rtl/>
        </w:rPr>
        <w:footnoteReference w:id="5047"/>
      </w:r>
      <w:r w:rsidRPr="001D49D4">
        <w:rPr>
          <w:rFonts w:ascii="Calibri" w:eastAsia="Calibri" w:hAnsi="Calibri" w:cs="Arial"/>
          <w:rtl/>
        </w:rPr>
        <w:t>, ונוטל לוקח. ואם לא רצו לישבע, משלמין ללוקח</w:t>
      </w:r>
      <w:r w:rsidRPr="001D49D4">
        <w:rPr>
          <w:rFonts w:ascii="Calibri" w:eastAsia="Calibri" w:hAnsi="Calibri" w:cs="Arial"/>
          <w:vertAlign w:val="superscript"/>
          <w:rtl/>
        </w:rPr>
        <w:footnoteReference w:id="5048"/>
      </w:r>
      <w:r w:rsidRPr="001D49D4">
        <w:rPr>
          <w:rFonts w:ascii="Calibri" w:eastAsia="Calibri" w:hAnsi="Calibri" w:cs="Arial"/>
          <w:rtl/>
        </w:rPr>
        <w:t>. טען לוי שלא מכר ולא נתן שטר זה, נשבע היסת ונפטר. וי"א שגם לענין קנייתו</w:t>
      </w:r>
      <w:r w:rsidRPr="001D49D4">
        <w:rPr>
          <w:rFonts w:ascii="Calibri" w:eastAsia="Calibri" w:hAnsi="Calibri" w:cs="Arial"/>
          <w:vertAlign w:val="superscript"/>
          <w:rtl/>
        </w:rPr>
        <w:footnoteReference w:id="5049"/>
      </w:r>
      <w:r w:rsidRPr="001D49D4">
        <w:rPr>
          <w:rFonts w:ascii="Calibri" w:eastAsia="Calibri" w:hAnsi="Calibri" w:cs="Arial"/>
          <w:rtl/>
        </w:rPr>
        <w:t xml:space="preserve"> אינו נאמן</w:t>
      </w:r>
      <w:r w:rsidRPr="001D49D4">
        <w:rPr>
          <w:rFonts w:ascii="Calibri" w:eastAsia="Calibri" w:hAnsi="Calibri" w:cs="Arial"/>
          <w:vertAlign w:val="superscript"/>
          <w:rtl/>
        </w:rPr>
        <w:footnoteReference w:id="5050"/>
      </w:r>
      <w:r w:rsidRPr="001D49D4">
        <w:rPr>
          <w:rFonts w:ascii="Calibri" w:eastAsia="Calibri" w:hAnsi="Calibri" w:cs="Arial"/>
          <w:rtl/>
        </w:rPr>
        <w:t xml:space="preserve">. </w:t>
      </w:r>
      <w:r w:rsidRPr="001D49D4">
        <w:rPr>
          <w:rFonts w:ascii="Calibri" w:eastAsia="Calibri" w:hAnsi="Calibri" w:cs="Arial"/>
          <w:sz w:val="18"/>
          <w:szCs w:val="18"/>
          <w:rtl/>
        </w:rPr>
        <w:t>הגה: וכן נראה לי עיקר לענין הלכתא. ואפילו</w:t>
      </w:r>
      <w:r w:rsidRPr="001D49D4">
        <w:rPr>
          <w:rFonts w:ascii="Calibri" w:eastAsia="Calibri" w:hAnsi="Calibri" w:cs="Arial"/>
          <w:sz w:val="18"/>
          <w:szCs w:val="18"/>
          <w:vertAlign w:val="superscript"/>
          <w:rtl/>
        </w:rPr>
        <w:footnoteReference w:id="5051"/>
      </w:r>
      <w:r w:rsidRPr="001D49D4">
        <w:rPr>
          <w:rFonts w:ascii="Calibri" w:eastAsia="Calibri" w:hAnsi="Calibri" w:cs="Arial"/>
          <w:sz w:val="18"/>
          <w:szCs w:val="18"/>
          <w:rtl/>
        </w:rPr>
        <w:t xml:space="preserve"> היה השטר מונח תחת יד שליש, אע"ג דנאמן נגד המוכר שעשאו שליש, מ"מ אינו נאמן נגד הנתבע</w:t>
      </w:r>
      <w:r w:rsidRPr="001D49D4">
        <w:rPr>
          <w:rFonts w:ascii="Calibri" w:eastAsia="Calibri" w:hAnsi="Calibri" w:cs="Arial"/>
          <w:sz w:val="18"/>
          <w:szCs w:val="18"/>
          <w:vertAlign w:val="superscript"/>
          <w:rtl/>
        </w:rPr>
        <w:footnoteReference w:id="5052"/>
      </w:r>
      <w:r w:rsidRPr="001D49D4">
        <w:rPr>
          <w:rFonts w:ascii="Calibri" w:eastAsia="Calibri" w:hAnsi="Calibri" w:cs="Arial"/>
          <w:sz w:val="18"/>
          <w:szCs w:val="18"/>
          <w:rtl/>
        </w:rPr>
        <w:t>, ואין הלוקח יכול לגבות בשטר זה בלא כתיבה ומסירה</w:t>
      </w:r>
      <w:r w:rsidRPr="001D49D4">
        <w:rPr>
          <w:rFonts w:ascii="Calibri" w:eastAsia="Calibri" w:hAnsi="Calibri" w:cs="Arial"/>
          <w:sz w:val="18"/>
          <w:szCs w:val="18"/>
          <w:vertAlign w:val="superscript"/>
          <w:rtl/>
        </w:rPr>
        <w:footnoteReference w:id="5053"/>
      </w:r>
      <w:r w:rsidRPr="001D49D4">
        <w:rPr>
          <w:rFonts w:ascii="Calibri" w:eastAsia="Calibri" w:hAnsi="Calibri" w:cs="Arial"/>
          <w:sz w:val="18"/>
          <w:szCs w:val="18"/>
          <w:rtl/>
        </w:rPr>
        <w:t xml:space="preserve"> (נמוק"י סוף ב"ב).</w:t>
      </w:r>
      <w:r w:rsidRPr="001D49D4">
        <w:rPr>
          <w:rFonts w:ascii="Calibri" w:eastAsia="Calibri" w:hAnsi="Calibri" w:cs="Arial"/>
          <w:rtl/>
        </w:rPr>
        <w:t xml:space="preserve"> </w:t>
      </w:r>
    </w:p>
    <w:p w14:paraId="2A280A23" w14:textId="77777777" w:rsidR="001D49D4" w:rsidRPr="001D49D4" w:rsidRDefault="001D49D4" w:rsidP="0004348D">
      <w:pPr>
        <w:spacing w:before="360" w:after="240"/>
        <w:rPr>
          <w:rFonts w:ascii="Calibri" w:eastAsia="Calibri" w:hAnsi="Calibri" w:cs="Arial"/>
          <w:rtl/>
        </w:rPr>
      </w:pPr>
    </w:p>
    <w:p w14:paraId="5D19AABE" w14:textId="77777777" w:rsidR="001D49D4" w:rsidRPr="001D49D4" w:rsidRDefault="001D49D4" w:rsidP="0004348D">
      <w:pPr>
        <w:keepNext/>
        <w:keepLines/>
        <w:spacing w:before="360" w:after="240"/>
        <w:outlineLvl w:val="1"/>
        <w:rPr>
          <w:rFonts w:ascii="Cambria" w:eastAsia="Times New Roman" w:hAnsi="Cambria" w:cs="Arial"/>
          <w:bCs/>
          <w:color w:val="548DD4" w:themeColor="text2" w:themeTint="99"/>
          <w:sz w:val="26"/>
          <w:szCs w:val="26"/>
          <w:rtl/>
        </w:rPr>
      </w:pPr>
      <w:bookmarkStart w:id="683" w:name="_Toc24884106"/>
      <w:r w:rsidRPr="001D49D4">
        <w:rPr>
          <w:rFonts w:ascii="Cambria" w:eastAsia="Times New Roman" w:hAnsi="Cambria" w:cs="Arial"/>
          <w:bCs/>
          <w:color w:val="548DD4" w:themeColor="text2" w:themeTint="99"/>
          <w:sz w:val="26"/>
          <w:szCs w:val="26"/>
          <w:rtl/>
        </w:rPr>
        <w:t>סעיף יב: המכנסת לבעלה שטר חוב – האם צריך כתיבה ומסירה.</w:t>
      </w:r>
      <w:bookmarkEnd w:id="683"/>
    </w:p>
    <w:p w14:paraId="3CB8268C"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b/>
          <w:bCs/>
          <w:rtl/>
        </w:rPr>
        <w:t xml:space="preserve">כתובות </w:t>
      </w:r>
      <w:r w:rsidRPr="001D49D4">
        <w:rPr>
          <w:rFonts w:ascii="Calibri" w:eastAsia="Calibri" w:hAnsi="Calibri" w:cs="Arial"/>
          <w:b/>
          <w:bCs/>
          <w:sz w:val="16"/>
          <w:szCs w:val="16"/>
          <w:rtl/>
        </w:rPr>
        <w:t>(פרק הכותב)</w:t>
      </w:r>
      <w:r w:rsidRPr="001D49D4">
        <w:rPr>
          <w:rFonts w:ascii="Calibri" w:eastAsia="Calibri" w:hAnsi="Calibri" w:cs="Arial"/>
          <w:b/>
          <w:bCs/>
          <w:rtl/>
        </w:rPr>
        <w:t xml:space="preserve"> פה</w:t>
      </w:r>
      <w:r w:rsidRPr="001D49D4">
        <w:rPr>
          <w:rFonts w:ascii="Calibri" w:eastAsia="Calibri" w:hAnsi="Calibri" w:cs="Arial"/>
          <w:b/>
          <w:bCs/>
          <w:vertAlign w:val="superscript"/>
          <w:rtl/>
        </w:rPr>
        <w:footnoteReference w:id="5054"/>
      </w:r>
      <w:r w:rsidRPr="001D49D4">
        <w:rPr>
          <w:rFonts w:ascii="Calibri" w:eastAsia="Calibri" w:hAnsi="Calibri" w:cs="Arial"/>
          <w:b/>
          <w:bCs/>
          <w:rtl/>
        </w:rPr>
        <w:t xml:space="preserve"> ע"ב:</w:t>
      </w:r>
      <w:r w:rsidRPr="001D49D4">
        <w:rPr>
          <w:rFonts w:ascii="Calibri" w:eastAsia="Calibri" w:hAnsi="Calibri" w:cs="Arial"/>
          <w:rtl/>
        </w:rPr>
        <w:t xml:space="preserve"> </w:t>
      </w:r>
      <w:r w:rsidRPr="001D49D4">
        <w:rPr>
          <w:rFonts w:ascii="Calibri" w:eastAsia="Calibri" w:hAnsi="Calibri" w:cs="Arial"/>
          <w:u w:val="single"/>
          <w:rtl/>
        </w:rPr>
        <w:t>א"ל רבא לבריה דרב חייא בר אבין</w:t>
      </w:r>
      <w:r w:rsidRPr="001D49D4">
        <w:rPr>
          <w:rFonts w:ascii="Calibri" w:eastAsia="Calibri" w:hAnsi="Calibri" w:cs="Arial"/>
          <w:rtl/>
        </w:rPr>
        <w:t xml:space="preserve">: תא אימא לך מילתא מעליותא דהוה אמר אבוך, הא דאמר שמואל: המוכר שטר חוב לחבירו וחזר ומחלו - מחול, ואפילו יורש מוחל, מודה שמואל במכנסת שטר חוב לבעלה וחזרה ומחלתו - שאינו מחול, מפני שידו כידה. </w:t>
      </w:r>
    </w:p>
    <w:p w14:paraId="7FAB956F" w14:textId="77777777" w:rsidR="001D49D4" w:rsidRPr="001D49D4" w:rsidRDefault="001D49D4" w:rsidP="0004348D">
      <w:pPr>
        <w:spacing w:before="360" w:after="240"/>
        <w:rPr>
          <w:rFonts w:ascii="Calibri" w:eastAsia="Calibri" w:hAnsi="Calibri" w:cs="Arial"/>
          <w:u w:val="single"/>
          <w:rtl/>
        </w:rPr>
      </w:pPr>
      <w:r w:rsidRPr="001D49D4">
        <w:rPr>
          <w:rFonts w:ascii="Calibri" w:eastAsia="Calibri" w:hAnsi="Calibri" w:cs="Arial"/>
          <w:u w:val="single"/>
          <w:rtl/>
        </w:rPr>
        <w:t xml:space="preserve">המכנסת לבעלה שטר חוב – האם יכולה למחול על החוב: </w:t>
      </w:r>
    </w:p>
    <w:p w14:paraId="7490B596" w14:textId="77777777" w:rsidR="001D49D4" w:rsidRPr="001D49D4" w:rsidRDefault="001D49D4" w:rsidP="0004348D">
      <w:pPr>
        <w:numPr>
          <w:ilvl w:val="0"/>
          <w:numId w:val="332"/>
        </w:numPr>
        <w:spacing w:before="360" w:after="240"/>
        <w:contextualSpacing/>
        <w:rPr>
          <w:rFonts w:ascii="Calibri" w:eastAsia="Calibri" w:hAnsi="Calibri" w:cs="Arial"/>
          <w:rtl/>
        </w:rPr>
      </w:pPr>
      <w:r w:rsidRPr="001D49D4">
        <w:rPr>
          <w:rFonts w:ascii="Calibri" w:eastAsia="Calibri" w:hAnsi="Calibri" w:cs="Arial"/>
          <w:rtl/>
        </w:rPr>
        <w:t>טור- המכנסת שטר חוב לבעלה אינה יכולה למחול, שאין קנין לאשה בלי בעלה.</w:t>
      </w:r>
      <w:r w:rsidRPr="001D49D4">
        <w:rPr>
          <w:rFonts w:ascii="Calibri" w:eastAsia="Calibri" w:hAnsi="Calibri" w:cs="Arial"/>
          <w:color w:val="E36C0A" w:themeColor="accent6" w:themeShade="BF"/>
          <w:rtl/>
        </w:rPr>
        <w:t xml:space="preserve"> (וכ"פ בשו"ע</w:t>
      </w:r>
      <w:r w:rsidRPr="001D49D4">
        <w:rPr>
          <w:rFonts w:ascii="Calibri" w:eastAsia="Calibri" w:hAnsi="Calibri" w:cs="Arial"/>
          <w:color w:val="000000" w:themeColor="text1"/>
          <w:sz w:val="16"/>
          <w:szCs w:val="16"/>
          <w:rtl/>
        </w:rPr>
        <w:t xml:space="preserve"> [סע' כח]</w:t>
      </w:r>
      <w:r w:rsidRPr="001D49D4">
        <w:rPr>
          <w:rFonts w:ascii="Calibri" w:eastAsia="Calibri" w:hAnsi="Calibri" w:cs="Arial"/>
          <w:color w:val="E36C0A" w:themeColor="accent6" w:themeShade="BF"/>
          <w:rtl/>
        </w:rPr>
        <w:t>)</w:t>
      </w:r>
    </w:p>
    <w:p w14:paraId="6E933BD8" w14:textId="77777777" w:rsidR="001D49D4" w:rsidRPr="001D49D4" w:rsidRDefault="001D49D4" w:rsidP="0004348D">
      <w:pPr>
        <w:spacing w:before="360" w:after="240"/>
        <w:rPr>
          <w:rFonts w:ascii="Calibri" w:eastAsia="Calibri" w:hAnsi="Calibri" w:cs="Arial"/>
          <w:u w:val="dotted"/>
        </w:rPr>
      </w:pPr>
      <w:r w:rsidRPr="001D49D4">
        <w:rPr>
          <w:rFonts w:ascii="Calibri" w:eastAsia="Calibri" w:hAnsi="Calibri" w:cs="Arial"/>
          <w:u w:val="dotted"/>
          <w:rtl/>
        </w:rPr>
        <w:t>לגבי אלו חובות נאמר שאינה יכולה למחול:</w:t>
      </w:r>
    </w:p>
    <w:p w14:paraId="216BAD28" w14:textId="77777777" w:rsidR="001D49D4" w:rsidRPr="001D49D4" w:rsidRDefault="001D49D4" w:rsidP="0004348D">
      <w:pPr>
        <w:numPr>
          <w:ilvl w:val="0"/>
          <w:numId w:val="332"/>
        </w:numPr>
        <w:spacing w:before="360" w:after="240"/>
        <w:contextualSpacing/>
        <w:rPr>
          <w:rFonts w:ascii="Calibri" w:eastAsia="Calibri" w:hAnsi="Calibri" w:cs="Arial"/>
        </w:rPr>
      </w:pPr>
      <w:r w:rsidRPr="001D49D4">
        <w:rPr>
          <w:rFonts w:ascii="Calibri" w:eastAsia="Calibri" w:hAnsi="Calibri" w:cs="Arial"/>
          <w:rtl/>
        </w:rPr>
        <w:t xml:space="preserve">י"א </w:t>
      </w:r>
      <w:r w:rsidRPr="001D49D4">
        <w:rPr>
          <w:rFonts w:ascii="Calibri" w:eastAsia="Calibri" w:hAnsi="Calibri" w:cs="Arial"/>
          <w:sz w:val="16"/>
          <w:szCs w:val="16"/>
          <w:rtl/>
        </w:rPr>
        <w:t>(כ"כ בעל התרומות בשמו [שער נא שם סי' ב])</w:t>
      </w:r>
      <w:r w:rsidRPr="001D49D4">
        <w:rPr>
          <w:rFonts w:ascii="Calibri" w:eastAsia="Calibri" w:hAnsi="Calibri" w:cs="Arial"/>
          <w:rtl/>
        </w:rPr>
        <w:t xml:space="preserve"> רמב"ן </w:t>
      </w:r>
      <w:r w:rsidRPr="001D49D4">
        <w:rPr>
          <w:rFonts w:ascii="Calibri" w:eastAsia="Calibri" w:hAnsi="Calibri" w:cs="Arial"/>
          <w:sz w:val="16"/>
          <w:szCs w:val="16"/>
          <w:rtl/>
        </w:rPr>
        <w:t>(סי' נג, כ"כ בעל התרומות בשמו)</w:t>
      </w:r>
      <w:r w:rsidRPr="001D49D4">
        <w:rPr>
          <w:rFonts w:ascii="Calibri" w:eastAsia="Calibri" w:hAnsi="Calibri" w:cs="Arial"/>
          <w:rtl/>
        </w:rPr>
        <w:t xml:space="preserve"> ובעל התרומות</w:t>
      </w:r>
      <w:r w:rsidRPr="001D49D4">
        <w:rPr>
          <w:rFonts w:ascii="Calibri" w:eastAsia="Calibri" w:hAnsi="Calibri" w:cs="Arial"/>
          <w:sz w:val="16"/>
          <w:szCs w:val="16"/>
          <w:rtl/>
        </w:rPr>
        <w:t xml:space="preserve"> (שם)</w:t>
      </w:r>
      <w:r w:rsidRPr="001D49D4">
        <w:rPr>
          <w:rFonts w:ascii="Calibri" w:eastAsia="Calibri" w:hAnsi="Calibri" w:cs="Arial"/>
          <w:rtl/>
        </w:rPr>
        <w:t>- כיון דכתב הרי"ף פרק מי שמת דטעמא דמכנסת שאינה יכולה למחול משום דאין קנין לאשה בלא בעלה הילכך דייקינן מינה דאפילו לא הכניסה לו שטר חוב בשעה שנשאה אלא שלוו ממנה אחרים אחר נשואיה ועודה תחת בעלה אינה יכולה למחול דאין קנין לאשה בלא בעלה לא שנא מלוה על פה ולא שנא מלוה בשטר</w:t>
      </w:r>
      <w:r w:rsidRPr="001D49D4">
        <w:rPr>
          <w:rFonts w:ascii="Calibri" w:eastAsia="Calibri" w:hAnsi="Calibri" w:cs="Arial"/>
          <w:vertAlign w:val="superscript"/>
          <w:rtl/>
        </w:rPr>
        <w:footnoteReference w:id="5055"/>
      </w:r>
      <w:r w:rsidRPr="001D49D4">
        <w:rPr>
          <w:rFonts w:ascii="Calibri" w:eastAsia="Calibri" w:hAnsi="Calibri" w:cs="Arial"/>
          <w:rtl/>
        </w:rPr>
        <w:t xml:space="preserve">. </w:t>
      </w:r>
      <w:r w:rsidRPr="001D49D4">
        <w:rPr>
          <w:rFonts w:ascii="Calibri" w:eastAsia="Calibri" w:hAnsi="Calibri" w:cs="Arial"/>
          <w:color w:val="E36C0A" w:themeColor="accent6" w:themeShade="BF"/>
          <w:rtl/>
        </w:rPr>
        <w:t>(וכ"פ בשו"ע</w:t>
      </w:r>
      <w:r w:rsidRPr="001D49D4">
        <w:rPr>
          <w:rFonts w:ascii="Calibri" w:eastAsia="Calibri" w:hAnsi="Calibri" w:cs="Arial"/>
          <w:color w:val="000000" w:themeColor="text1"/>
          <w:sz w:val="16"/>
          <w:szCs w:val="16"/>
          <w:rtl/>
        </w:rPr>
        <w:t xml:space="preserve"> [סע' כח]</w:t>
      </w:r>
      <w:r w:rsidRPr="001D49D4">
        <w:rPr>
          <w:rFonts w:ascii="Calibri" w:eastAsia="Calibri" w:hAnsi="Calibri" w:cs="Arial"/>
          <w:color w:val="E36C0A" w:themeColor="accent6" w:themeShade="BF"/>
          <w:rtl/>
        </w:rPr>
        <w:t>)</w:t>
      </w:r>
      <w:r w:rsidRPr="001D49D4">
        <w:rPr>
          <w:rFonts w:ascii="Calibri" w:eastAsia="Calibri" w:hAnsi="Calibri" w:cs="Arial"/>
          <w:rtl/>
        </w:rPr>
        <w:t xml:space="preserve"> </w:t>
      </w:r>
    </w:p>
    <w:p w14:paraId="3ADE895C" w14:textId="77777777" w:rsidR="001D49D4" w:rsidRPr="001D49D4" w:rsidRDefault="001D49D4" w:rsidP="0004348D">
      <w:pPr>
        <w:numPr>
          <w:ilvl w:val="0"/>
          <w:numId w:val="332"/>
        </w:numPr>
        <w:spacing w:before="360" w:after="240"/>
        <w:contextualSpacing/>
        <w:rPr>
          <w:rFonts w:ascii="Calibri" w:eastAsia="Calibri" w:hAnsi="Calibri" w:cs="Arial"/>
        </w:rPr>
      </w:pPr>
      <w:r w:rsidRPr="001D49D4">
        <w:rPr>
          <w:rFonts w:ascii="Calibri" w:eastAsia="Calibri" w:hAnsi="Calibri" w:cs="Arial"/>
          <w:rtl/>
        </w:rPr>
        <w:t xml:space="preserve">י"א </w:t>
      </w:r>
      <w:r w:rsidRPr="001D49D4">
        <w:rPr>
          <w:rFonts w:ascii="Calibri" w:eastAsia="Calibri" w:hAnsi="Calibri" w:cs="Arial"/>
          <w:sz w:val="16"/>
          <w:szCs w:val="16"/>
          <w:rtl/>
        </w:rPr>
        <w:t>(כ"כ בעל התרומות בשמו [שם])</w:t>
      </w:r>
      <w:r w:rsidRPr="001D49D4">
        <w:rPr>
          <w:rFonts w:ascii="Calibri" w:eastAsia="Calibri" w:hAnsi="Calibri" w:cs="Arial"/>
          <w:rtl/>
        </w:rPr>
        <w:t xml:space="preserve">- דוקא מכנסת שטר חוב לבעלה דקני ליה לדידיה בכתיבה ומסירה אינה יכולה למחול. וכל המכנסת לו מלוה על פה או מלוה בשטר בלא כתיבה ומסירה - אז יכולה היא למחול. </w:t>
      </w:r>
    </w:p>
    <w:p w14:paraId="0648603F" w14:textId="77777777" w:rsidR="001D49D4" w:rsidRPr="001D49D4" w:rsidRDefault="001D49D4" w:rsidP="0004348D">
      <w:pPr>
        <w:spacing w:before="360" w:after="240"/>
        <w:rPr>
          <w:rFonts w:ascii="Calibri" w:eastAsia="Calibri" w:hAnsi="Calibri" w:cs="Arial"/>
        </w:rPr>
      </w:pPr>
      <w:r w:rsidRPr="001D49D4">
        <w:rPr>
          <w:rFonts w:ascii="Calibri" w:eastAsia="Calibri" w:hAnsi="Calibri" w:cs="Arial"/>
          <w:u w:val="single"/>
          <w:rtl/>
        </w:rPr>
        <w:t>המכנסת לבעלה שטר חוב – האם צריך כתיבה ומסירה:</w:t>
      </w:r>
    </w:p>
    <w:p w14:paraId="21A111DA" w14:textId="77777777" w:rsidR="001D49D4" w:rsidRPr="001D49D4" w:rsidRDefault="001D49D4" w:rsidP="0004348D">
      <w:pPr>
        <w:numPr>
          <w:ilvl w:val="0"/>
          <w:numId w:val="332"/>
        </w:numPr>
        <w:spacing w:before="360" w:after="240"/>
        <w:contextualSpacing/>
        <w:rPr>
          <w:rFonts w:ascii="Calibri" w:eastAsia="Calibri" w:hAnsi="Calibri" w:cs="Arial"/>
        </w:rPr>
      </w:pPr>
      <w:r w:rsidRPr="001D49D4">
        <w:rPr>
          <w:rFonts w:ascii="Calibri" w:eastAsia="Calibri" w:hAnsi="Calibri" w:cs="Arial"/>
          <w:rtl/>
        </w:rPr>
        <w:t xml:space="preserve">רמב"ן </w:t>
      </w:r>
      <w:r w:rsidRPr="001D49D4">
        <w:rPr>
          <w:rFonts w:ascii="Calibri" w:eastAsia="Calibri" w:hAnsi="Calibri" w:cs="Arial"/>
          <w:sz w:val="16"/>
          <w:szCs w:val="16"/>
          <w:rtl/>
        </w:rPr>
        <w:t>(סי' נג)</w:t>
      </w:r>
      <w:r w:rsidRPr="001D49D4">
        <w:rPr>
          <w:rFonts w:ascii="Calibri" w:eastAsia="Calibri" w:hAnsi="Calibri" w:cs="Arial"/>
          <w:rtl/>
        </w:rPr>
        <w:t xml:space="preserve">- המכנסת לבעלה שטר - אין צריך לכתיבה ומסירה. וכן אם היא מלוה על פה - אינו צריך במעמד שלשתן, אלא בתקנת חכמים שעשאוהו כלוקח ויורש לזכותו קנה הכל. ואפילו היו המעות אלו נכסי מלוג - ידו כידה, ואע"פ שלא קנה כדרכי ההקנאות אלא בתקנת חכמים - קנה הבעל ואינה יכולה למחול. </w:t>
      </w:r>
      <w:r w:rsidRPr="001D49D4">
        <w:rPr>
          <w:rFonts w:ascii="Calibri" w:eastAsia="Calibri" w:hAnsi="Calibri" w:cs="Arial"/>
          <w:color w:val="E36C0A" w:themeColor="accent6" w:themeShade="BF"/>
          <w:rtl/>
        </w:rPr>
        <w:t>(וכ"פ בשו"ע)</w:t>
      </w:r>
    </w:p>
    <w:p w14:paraId="3B369E2E" w14:textId="77777777" w:rsidR="001D49D4" w:rsidRPr="001D49D4" w:rsidRDefault="001D49D4" w:rsidP="0004348D">
      <w:pPr>
        <w:spacing w:before="360" w:after="240"/>
        <w:rPr>
          <w:rFonts w:ascii="Arial" w:eastAsia="Calibri" w:hAnsi="Arial" w:cs="Arial"/>
          <w:b/>
          <w:bCs/>
          <w:color w:val="000000"/>
          <w:sz w:val="28"/>
          <w:szCs w:val="28"/>
          <w:u w:val="single"/>
        </w:rPr>
      </w:pPr>
      <w:r w:rsidRPr="001D49D4">
        <w:rPr>
          <w:rFonts w:ascii="Arial" w:eastAsia="Calibri" w:hAnsi="Arial" w:cs="Arial"/>
          <w:b/>
          <w:bCs/>
          <w:color w:val="000000"/>
          <w:sz w:val="28"/>
          <w:szCs w:val="28"/>
          <w:u w:val="single"/>
          <w:rtl/>
        </w:rPr>
        <w:t>שו"ע:</w:t>
      </w:r>
    </w:p>
    <w:p w14:paraId="395F1737"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rtl/>
        </w:rPr>
        <w:t>מכנסת לבעלה שטר, אינו צריך כתיבה ומסירה. ואם הוא מלוה על פה, אינו צריך מעמד שלשתן, ואפילו אם היו נכסי מלוג.</w:t>
      </w:r>
    </w:p>
    <w:p w14:paraId="100A5DEB" w14:textId="77777777" w:rsidR="001D49D4" w:rsidRPr="001D49D4" w:rsidRDefault="001D49D4" w:rsidP="0004348D">
      <w:pPr>
        <w:spacing w:before="360" w:after="240"/>
        <w:rPr>
          <w:rFonts w:ascii="Calibri" w:eastAsia="Calibri" w:hAnsi="Calibri" w:cs="Arial"/>
          <w:rtl/>
        </w:rPr>
      </w:pPr>
    </w:p>
    <w:p w14:paraId="78C1B80A" w14:textId="77777777" w:rsidR="001D49D4" w:rsidRPr="001D49D4" w:rsidRDefault="001D49D4" w:rsidP="0004348D">
      <w:pPr>
        <w:keepNext/>
        <w:keepLines/>
        <w:spacing w:before="360" w:after="240"/>
        <w:outlineLvl w:val="1"/>
        <w:rPr>
          <w:rFonts w:ascii="Cambria" w:eastAsia="Times New Roman" w:hAnsi="Cambria" w:cs="Arial"/>
          <w:bCs/>
          <w:color w:val="548DD4" w:themeColor="text2" w:themeTint="99"/>
          <w:sz w:val="26"/>
          <w:szCs w:val="26"/>
          <w:rtl/>
        </w:rPr>
      </w:pPr>
      <w:bookmarkStart w:id="684" w:name="_Toc24884107"/>
      <w:r w:rsidRPr="001D49D4">
        <w:rPr>
          <w:rFonts w:ascii="Cambria" w:eastAsia="Times New Roman" w:hAnsi="Cambria" w:cs="Arial"/>
          <w:bCs/>
          <w:color w:val="548DD4" w:themeColor="text2" w:themeTint="99"/>
          <w:sz w:val="26"/>
          <w:szCs w:val="26"/>
          <w:rtl/>
        </w:rPr>
        <w:t>סעיף יג: הנותן מתנה לחבירו והחזיר לו השטר – האם צריך כתיבה ומסירה.</w:t>
      </w:r>
      <w:bookmarkEnd w:id="684"/>
    </w:p>
    <w:p w14:paraId="3ABE5643"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b/>
          <w:bCs/>
          <w:rtl/>
        </w:rPr>
        <w:t>בבא בתרא</w:t>
      </w:r>
      <w:r w:rsidRPr="001D49D4">
        <w:rPr>
          <w:rFonts w:ascii="Calibri" w:eastAsia="Calibri" w:hAnsi="Calibri" w:cs="Arial"/>
          <w:b/>
          <w:bCs/>
          <w:sz w:val="16"/>
          <w:szCs w:val="16"/>
          <w:rtl/>
        </w:rPr>
        <w:t xml:space="preserve"> (פרק גט פשוט)</w:t>
      </w:r>
      <w:r w:rsidRPr="001D49D4">
        <w:rPr>
          <w:rFonts w:ascii="Calibri" w:eastAsia="Calibri" w:hAnsi="Calibri" w:cs="Arial"/>
          <w:b/>
          <w:bCs/>
          <w:rtl/>
        </w:rPr>
        <w:t xml:space="preserve"> קסט</w:t>
      </w:r>
      <w:r w:rsidRPr="001D49D4">
        <w:rPr>
          <w:rFonts w:ascii="Calibri" w:eastAsia="Calibri" w:hAnsi="Calibri" w:cs="Arial"/>
          <w:b/>
          <w:bCs/>
          <w:vertAlign w:val="superscript"/>
          <w:rtl/>
        </w:rPr>
        <w:footnoteReference w:id="5056"/>
      </w:r>
      <w:r w:rsidRPr="001D49D4">
        <w:rPr>
          <w:rFonts w:ascii="Calibri" w:eastAsia="Calibri" w:hAnsi="Calibri" w:cs="Arial"/>
          <w:b/>
          <w:bCs/>
          <w:rtl/>
        </w:rPr>
        <w:t xml:space="preserve"> ע"ב: </w:t>
      </w:r>
      <w:r w:rsidRPr="001D49D4">
        <w:rPr>
          <w:rFonts w:ascii="Calibri" w:eastAsia="Calibri" w:hAnsi="Calibri" w:cs="Arial"/>
          <w:u w:val="single"/>
          <w:rtl/>
        </w:rPr>
        <w:t>רשב"ג אומר</w:t>
      </w:r>
      <w:r w:rsidRPr="001D49D4">
        <w:rPr>
          <w:rFonts w:ascii="Calibri" w:eastAsia="Calibri" w:hAnsi="Calibri" w:cs="Arial"/>
          <w:rtl/>
        </w:rPr>
        <w:t xml:space="preserve">: הנותן מתנה לחבירו והחזיר לו את השטר - חזרה מתנתו, </w:t>
      </w:r>
      <w:r w:rsidRPr="001D49D4">
        <w:rPr>
          <w:rFonts w:ascii="Calibri" w:eastAsia="Calibri" w:hAnsi="Calibri" w:cs="Arial"/>
          <w:u w:val="single"/>
          <w:rtl/>
        </w:rPr>
        <w:t>וחכ"א</w:t>
      </w:r>
      <w:r w:rsidRPr="001D49D4">
        <w:rPr>
          <w:rFonts w:ascii="Calibri" w:eastAsia="Calibri" w:hAnsi="Calibri" w:cs="Arial"/>
          <w:rtl/>
        </w:rPr>
        <w:t xml:space="preserve">: מתנתו קיימת. מאי טעמא דרשב"ג?... </w:t>
      </w:r>
      <w:r w:rsidRPr="001D49D4">
        <w:rPr>
          <w:rFonts w:ascii="Calibri" w:eastAsia="Calibri" w:hAnsi="Calibri" w:cs="Arial"/>
          <w:u w:val="single"/>
          <w:rtl/>
        </w:rPr>
        <w:t>אמר רבה</w:t>
      </w:r>
      <w:r w:rsidRPr="001D49D4">
        <w:rPr>
          <w:rFonts w:ascii="Calibri" w:eastAsia="Calibri" w:hAnsi="Calibri" w:cs="Arial"/>
          <w:rtl/>
        </w:rPr>
        <w:t xml:space="preserve">: באותיות נקנות במסירה קמיפלגי, </w:t>
      </w:r>
      <w:r w:rsidRPr="001D49D4">
        <w:rPr>
          <w:rFonts w:ascii="Calibri" w:eastAsia="Calibri" w:hAnsi="Calibri" w:cs="Arial"/>
          <w:u w:val="single"/>
          <w:rtl/>
        </w:rPr>
        <w:t>רשב"ג סבר</w:t>
      </w:r>
      <w:r w:rsidRPr="001D49D4">
        <w:rPr>
          <w:rFonts w:ascii="Calibri" w:eastAsia="Calibri" w:hAnsi="Calibri" w:cs="Arial"/>
          <w:rtl/>
        </w:rPr>
        <w:t xml:space="preserve">: אותיות נקנות במסירה, </w:t>
      </w:r>
      <w:r w:rsidRPr="001D49D4">
        <w:rPr>
          <w:rFonts w:ascii="Calibri" w:eastAsia="Calibri" w:hAnsi="Calibri" w:cs="Arial"/>
          <w:u w:val="single"/>
          <w:rtl/>
        </w:rPr>
        <w:t>ורבנן סברי</w:t>
      </w:r>
      <w:r w:rsidRPr="001D49D4">
        <w:rPr>
          <w:rFonts w:ascii="Calibri" w:eastAsia="Calibri" w:hAnsi="Calibri" w:cs="Arial"/>
          <w:rtl/>
        </w:rPr>
        <w:t>: אין אותיות נקנות במסירה.</w:t>
      </w:r>
      <w:r w:rsidRPr="001D49D4">
        <w:rPr>
          <w:rFonts w:ascii="Calibri" w:eastAsia="Calibri" w:hAnsi="Calibri" w:cs="Arial"/>
          <w:sz w:val="16"/>
          <w:szCs w:val="16"/>
          <w:rtl/>
        </w:rPr>
        <w:t xml:space="preserve"> (וכיון שפסקנו לעיל (ס"א) דאין נקנות ממילא הלכה כרבנן דאמרי הכי, ב"י)</w:t>
      </w:r>
    </w:p>
    <w:p w14:paraId="33002148"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u w:val="single"/>
          <w:rtl/>
        </w:rPr>
        <w:t>הנותן מתנה לחבירו והחזיר לו השטר – האם צריך כתיבה ומסירה:</w:t>
      </w:r>
    </w:p>
    <w:p w14:paraId="270991F0" w14:textId="77777777" w:rsidR="001D49D4" w:rsidRPr="001D49D4" w:rsidRDefault="001D49D4" w:rsidP="0004348D">
      <w:pPr>
        <w:numPr>
          <w:ilvl w:val="0"/>
          <w:numId w:val="332"/>
        </w:numPr>
        <w:spacing w:before="360" w:after="240"/>
        <w:contextualSpacing/>
        <w:rPr>
          <w:rFonts w:ascii="Calibri" w:eastAsia="Calibri" w:hAnsi="Calibri" w:cs="Arial"/>
          <w:rtl/>
        </w:rPr>
      </w:pPr>
      <w:r w:rsidRPr="001D49D4">
        <w:rPr>
          <w:rFonts w:ascii="Calibri" w:eastAsia="Calibri" w:hAnsi="Calibri" w:cs="Arial"/>
          <w:rtl/>
        </w:rPr>
        <w:t>טור- הנותן מתנה לחבירו והחזיר לו השטר - לא חזרה מתנתו עד שיכתוב לו 'קני לך איהו וכל שיעבודא דאית ביה'.</w:t>
      </w:r>
      <w:r w:rsidRPr="001D49D4">
        <w:rPr>
          <w:rFonts w:ascii="Calibri" w:eastAsia="Calibri" w:hAnsi="Calibri" w:cs="Arial"/>
          <w:color w:val="E36C0A" w:themeColor="accent6" w:themeShade="BF"/>
          <w:rtl/>
        </w:rPr>
        <w:t xml:space="preserve"> (וכ"פ בשו"ע)</w:t>
      </w:r>
    </w:p>
    <w:p w14:paraId="3530624E" w14:textId="77777777" w:rsidR="001D49D4" w:rsidRPr="001D49D4" w:rsidRDefault="001D49D4" w:rsidP="0004348D">
      <w:pPr>
        <w:spacing w:before="360" w:after="240"/>
        <w:rPr>
          <w:rFonts w:ascii="Arial" w:eastAsia="Calibri" w:hAnsi="Arial" w:cs="Arial"/>
          <w:b/>
          <w:bCs/>
          <w:color w:val="000000"/>
          <w:sz w:val="28"/>
          <w:szCs w:val="28"/>
          <w:u w:val="single"/>
          <w:rtl/>
        </w:rPr>
      </w:pPr>
      <w:r w:rsidRPr="001D49D4">
        <w:rPr>
          <w:rFonts w:ascii="Arial" w:eastAsia="Calibri" w:hAnsi="Arial" w:cs="Arial"/>
          <w:b/>
          <w:bCs/>
          <w:color w:val="000000"/>
          <w:sz w:val="28"/>
          <w:szCs w:val="28"/>
          <w:u w:val="single"/>
          <w:rtl/>
        </w:rPr>
        <w:t>שו"ע:</w:t>
      </w:r>
    </w:p>
    <w:p w14:paraId="1C381411"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rtl/>
        </w:rPr>
        <w:t>כיון דאין אותיות נקנות אלא בכתיבה ומסירה, הנותן מתנה לחבירו והחזיר לו השטר, לא חזרה מתנתו</w:t>
      </w:r>
      <w:r w:rsidRPr="001D49D4">
        <w:rPr>
          <w:rFonts w:ascii="Calibri" w:eastAsia="Calibri" w:hAnsi="Calibri" w:cs="Arial"/>
          <w:vertAlign w:val="superscript"/>
          <w:rtl/>
        </w:rPr>
        <w:footnoteReference w:id="5057"/>
      </w:r>
      <w:r w:rsidRPr="001D49D4">
        <w:rPr>
          <w:rFonts w:ascii="Calibri" w:eastAsia="Calibri" w:hAnsi="Calibri" w:cs="Arial"/>
          <w:rtl/>
        </w:rPr>
        <w:t xml:space="preserve"> עד שיכתוב לו 'קני לך איהו וכל שעבודא דאית ביה'.</w:t>
      </w:r>
    </w:p>
    <w:p w14:paraId="2E669FD3" w14:textId="77777777" w:rsidR="001D49D4" w:rsidRPr="001D49D4" w:rsidRDefault="001D49D4" w:rsidP="0004348D">
      <w:pPr>
        <w:spacing w:before="360" w:after="240"/>
        <w:rPr>
          <w:rFonts w:ascii="Calibri" w:eastAsia="Calibri" w:hAnsi="Calibri" w:cs="Arial"/>
          <w:rtl/>
        </w:rPr>
      </w:pPr>
    </w:p>
    <w:p w14:paraId="320E3EB7" w14:textId="77777777" w:rsidR="001D49D4" w:rsidRPr="001D49D4" w:rsidRDefault="001D49D4" w:rsidP="0004348D">
      <w:pPr>
        <w:keepNext/>
        <w:keepLines/>
        <w:spacing w:before="360" w:after="240"/>
        <w:outlineLvl w:val="1"/>
        <w:rPr>
          <w:rFonts w:ascii="Cambria" w:eastAsia="Times New Roman" w:hAnsi="Cambria" w:cs="Arial"/>
          <w:bCs/>
          <w:color w:val="548DD4" w:themeColor="text2" w:themeTint="99"/>
          <w:sz w:val="26"/>
          <w:szCs w:val="26"/>
          <w:rtl/>
        </w:rPr>
      </w:pPr>
      <w:bookmarkStart w:id="685" w:name="_Toc24884108"/>
      <w:r w:rsidRPr="001D49D4">
        <w:rPr>
          <w:rFonts w:ascii="Cambria" w:eastAsia="Times New Roman" w:hAnsi="Cambria" w:cs="Arial"/>
          <w:bCs/>
          <w:color w:val="548DD4" w:themeColor="text2" w:themeTint="99"/>
          <w:sz w:val="26"/>
          <w:szCs w:val="26"/>
          <w:rtl/>
        </w:rPr>
        <w:t>סעיף יד: מכירת שטר ראיה.</w:t>
      </w:r>
      <w:bookmarkEnd w:id="685"/>
    </w:p>
    <w:p w14:paraId="6788BCE2" w14:textId="77777777" w:rsidR="001D49D4" w:rsidRPr="001D49D4" w:rsidRDefault="001D49D4" w:rsidP="0004348D">
      <w:pPr>
        <w:spacing w:before="360" w:after="240"/>
        <w:rPr>
          <w:rFonts w:ascii="Calibri" w:eastAsia="Calibri" w:hAnsi="Calibri" w:cs="Arial"/>
          <w:u w:val="single"/>
          <w:rtl/>
        </w:rPr>
      </w:pPr>
      <w:r w:rsidRPr="001D49D4">
        <w:rPr>
          <w:rFonts w:ascii="Calibri" w:eastAsia="Calibri" w:hAnsi="Calibri" w:cs="Arial"/>
          <w:u w:val="single"/>
          <w:rtl/>
        </w:rPr>
        <w:t xml:space="preserve">מכירת שטר ראיה: </w:t>
      </w:r>
    </w:p>
    <w:p w14:paraId="03C3121B" w14:textId="77777777" w:rsidR="001D49D4" w:rsidRPr="001D49D4" w:rsidRDefault="001D49D4" w:rsidP="0004348D">
      <w:pPr>
        <w:numPr>
          <w:ilvl w:val="0"/>
          <w:numId w:val="332"/>
        </w:numPr>
        <w:spacing w:before="360" w:after="240"/>
        <w:contextualSpacing/>
        <w:rPr>
          <w:rFonts w:ascii="Calibri" w:eastAsia="Calibri" w:hAnsi="Calibri" w:cs="Arial"/>
          <w:rtl/>
        </w:rPr>
      </w:pPr>
      <w:bookmarkStart w:id="686" w:name="_Hlk16450868"/>
      <w:r w:rsidRPr="001D49D4">
        <w:rPr>
          <w:rFonts w:ascii="Calibri" w:eastAsia="Calibri" w:hAnsi="Calibri" w:cs="Arial"/>
          <w:rtl/>
        </w:rPr>
        <w:t xml:space="preserve">רא"ש </w:t>
      </w:r>
      <w:r w:rsidRPr="001D49D4">
        <w:rPr>
          <w:rFonts w:ascii="Calibri" w:eastAsia="Calibri" w:hAnsi="Calibri" w:cs="Arial"/>
          <w:sz w:val="16"/>
          <w:szCs w:val="16"/>
          <w:rtl/>
        </w:rPr>
        <w:t>(פרק גט פשוט סי' כג, כ"כ הטור בשמו)</w:t>
      </w:r>
      <w:r w:rsidRPr="001D49D4">
        <w:rPr>
          <w:rFonts w:ascii="Calibri" w:eastAsia="Calibri" w:hAnsi="Calibri" w:cs="Arial"/>
          <w:rtl/>
        </w:rPr>
        <w:t>- אין שטר נקנה בכתיבה ומסירה אלא שטר חוב, או שטר של קנייה שכתב לו 'שדי מכורה לך' שהוא עיקר הקנין ובו קנה השדה. ולפיכך כשמסרו הלוקח לאחר וכתב לו 'קני לך איהו וכל שיעבודא דאית ביה' - קנה על ידו הקרקע. אבל אם קנה הקרקע בכסף או בחזקה או בקנין סודר וכתבו לו שטר לראיה, אם מסרו לאחר וכתב לו קני לך איהו וכו' - לא קנה, שהרי גם הראשון לא קנה השדה באותו שטר, והיאך נייפה כח השני לקנותו באותו שטר</w:t>
      </w:r>
      <w:r w:rsidRPr="001D49D4">
        <w:rPr>
          <w:rFonts w:ascii="Calibri" w:eastAsia="Calibri" w:hAnsi="Calibri" w:cs="Arial"/>
          <w:vertAlign w:val="superscript"/>
          <w:rtl/>
        </w:rPr>
        <w:footnoteReference w:id="5058"/>
      </w:r>
      <w:r w:rsidRPr="001D49D4">
        <w:rPr>
          <w:rFonts w:ascii="Calibri" w:eastAsia="Calibri" w:hAnsi="Calibri" w:cs="Arial"/>
          <w:rtl/>
        </w:rPr>
        <w:t xml:space="preserve"> </w:t>
      </w:r>
      <w:r w:rsidRPr="001D49D4">
        <w:rPr>
          <w:rFonts w:ascii="Calibri" w:eastAsia="Calibri" w:hAnsi="Calibri" w:cs="Arial"/>
          <w:sz w:val="16"/>
          <w:szCs w:val="16"/>
          <w:rtl/>
        </w:rPr>
        <w:t>(ל' הטור בשם הרא"ש)</w:t>
      </w:r>
      <w:r w:rsidRPr="001D49D4">
        <w:rPr>
          <w:rFonts w:ascii="Calibri" w:eastAsia="Calibri" w:hAnsi="Calibri" w:cs="Arial"/>
          <w:rtl/>
        </w:rPr>
        <w:t>.</w:t>
      </w:r>
      <w:r w:rsidRPr="001D49D4">
        <w:rPr>
          <w:rFonts w:ascii="Calibri" w:eastAsia="Calibri" w:hAnsi="Calibri" w:cs="Arial"/>
          <w:color w:val="E36C0A" w:themeColor="accent6" w:themeShade="BF"/>
          <w:rtl/>
        </w:rPr>
        <w:t xml:space="preserve"> (וכ"פ בשו"ע)</w:t>
      </w:r>
    </w:p>
    <w:bookmarkEnd w:id="686"/>
    <w:p w14:paraId="6D9A4DC7" w14:textId="77777777" w:rsidR="001D49D4" w:rsidRPr="001D49D4" w:rsidRDefault="001D49D4" w:rsidP="0004348D">
      <w:pPr>
        <w:numPr>
          <w:ilvl w:val="0"/>
          <w:numId w:val="332"/>
        </w:numPr>
        <w:spacing w:before="360" w:after="240"/>
        <w:contextualSpacing/>
        <w:rPr>
          <w:rFonts w:ascii="Calibri" w:eastAsia="Calibri" w:hAnsi="Calibri" w:cs="Arial"/>
        </w:rPr>
      </w:pPr>
      <w:r w:rsidRPr="001D49D4">
        <w:rPr>
          <w:rFonts w:ascii="Calibri" w:eastAsia="Calibri" w:hAnsi="Calibri" w:cs="Arial"/>
          <w:rtl/>
        </w:rPr>
        <w:t>ה"ר ישעיה</w:t>
      </w:r>
      <w:r w:rsidRPr="001D49D4">
        <w:rPr>
          <w:rFonts w:ascii="Calibri" w:eastAsia="Calibri" w:hAnsi="Calibri" w:cs="Arial"/>
          <w:sz w:val="16"/>
          <w:szCs w:val="16"/>
          <w:rtl/>
        </w:rPr>
        <w:t xml:space="preserve"> (כ"כ הטור בשמו)</w:t>
      </w:r>
      <w:r w:rsidRPr="001D49D4">
        <w:rPr>
          <w:rFonts w:ascii="Calibri" w:eastAsia="Calibri" w:hAnsi="Calibri" w:cs="Arial"/>
          <w:rtl/>
        </w:rPr>
        <w:t>- שטר שכתוב בו קנין</w:t>
      </w:r>
      <w:r w:rsidRPr="001D49D4">
        <w:rPr>
          <w:rFonts w:ascii="Calibri" w:eastAsia="Calibri" w:hAnsi="Calibri" w:cs="Arial"/>
          <w:vertAlign w:val="superscript"/>
          <w:rtl/>
        </w:rPr>
        <w:footnoteReference w:id="5059"/>
      </w:r>
      <w:r w:rsidRPr="001D49D4">
        <w:rPr>
          <w:rFonts w:ascii="Calibri" w:eastAsia="Calibri" w:hAnsi="Calibri" w:cs="Arial"/>
          <w:rtl/>
        </w:rPr>
        <w:t xml:space="preserve"> נקנה במסירה אע"פ שעיקר הקנין לא היה בשטר אלא בקנין</w:t>
      </w:r>
      <w:r w:rsidRPr="001D49D4">
        <w:rPr>
          <w:rFonts w:ascii="Calibri" w:eastAsia="Calibri" w:hAnsi="Calibri" w:cs="Arial"/>
          <w:vertAlign w:val="superscript"/>
          <w:rtl/>
        </w:rPr>
        <w:footnoteReference w:id="5060"/>
      </w:r>
      <w:r w:rsidRPr="001D49D4">
        <w:rPr>
          <w:rFonts w:ascii="Calibri" w:eastAsia="Calibri" w:hAnsi="Calibri" w:cs="Arial"/>
          <w:rtl/>
        </w:rPr>
        <w:t xml:space="preserve"> </w:t>
      </w:r>
      <w:r w:rsidRPr="001D49D4">
        <w:rPr>
          <w:rFonts w:ascii="Calibri" w:eastAsia="Calibri" w:hAnsi="Calibri" w:cs="Arial"/>
          <w:sz w:val="16"/>
          <w:szCs w:val="16"/>
          <w:rtl/>
        </w:rPr>
        <w:t>(ל' הטור בשם ה"ר ישעיה)</w:t>
      </w:r>
      <w:r w:rsidRPr="001D49D4">
        <w:rPr>
          <w:rFonts w:ascii="Calibri" w:eastAsia="Calibri" w:hAnsi="Calibri" w:cs="Arial"/>
          <w:rtl/>
        </w:rPr>
        <w:t xml:space="preserve">. </w:t>
      </w:r>
    </w:p>
    <w:p w14:paraId="53A6BF6E" w14:textId="77777777" w:rsidR="001D49D4" w:rsidRPr="001D49D4" w:rsidRDefault="001D49D4" w:rsidP="0004348D">
      <w:pPr>
        <w:spacing w:before="360" w:after="240"/>
        <w:rPr>
          <w:rFonts w:ascii="Arial" w:eastAsia="Calibri" w:hAnsi="Arial" w:cs="Arial"/>
          <w:b/>
          <w:bCs/>
          <w:color w:val="000000"/>
          <w:sz w:val="28"/>
          <w:szCs w:val="28"/>
          <w:u w:val="single"/>
        </w:rPr>
      </w:pPr>
      <w:r w:rsidRPr="001D49D4">
        <w:rPr>
          <w:rFonts w:ascii="Arial" w:eastAsia="Calibri" w:hAnsi="Arial" w:cs="Arial"/>
          <w:b/>
          <w:bCs/>
          <w:color w:val="000000"/>
          <w:sz w:val="28"/>
          <w:szCs w:val="28"/>
          <w:u w:val="single"/>
          <w:rtl/>
        </w:rPr>
        <w:t>שו"ע:</w:t>
      </w:r>
    </w:p>
    <w:p w14:paraId="3F0ACDC8"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rtl/>
        </w:rPr>
        <w:t>אין שטר נקנה בכתיבה ומסירה אלא שטר חוב, או שטר של קנייה שכתב לו 'שדי מכורה</w:t>
      </w:r>
      <w:r w:rsidRPr="001D49D4">
        <w:rPr>
          <w:rFonts w:ascii="Calibri" w:eastAsia="Calibri" w:hAnsi="Calibri" w:cs="Arial"/>
          <w:vertAlign w:val="superscript"/>
          <w:rtl/>
        </w:rPr>
        <w:footnoteReference w:id="5061"/>
      </w:r>
      <w:r w:rsidRPr="001D49D4">
        <w:rPr>
          <w:rFonts w:ascii="Calibri" w:eastAsia="Calibri" w:hAnsi="Calibri" w:cs="Arial"/>
          <w:rtl/>
        </w:rPr>
        <w:t xml:space="preserve"> לך' שהוא עיקר הקנין ובו קנה השדה</w:t>
      </w:r>
      <w:r w:rsidRPr="001D49D4">
        <w:rPr>
          <w:rFonts w:ascii="Calibri" w:eastAsia="Calibri" w:hAnsi="Calibri" w:cs="Arial"/>
          <w:vertAlign w:val="superscript"/>
          <w:rtl/>
        </w:rPr>
        <w:footnoteReference w:id="5062"/>
      </w:r>
      <w:r w:rsidRPr="001D49D4">
        <w:rPr>
          <w:rFonts w:ascii="Calibri" w:eastAsia="Calibri" w:hAnsi="Calibri" w:cs="Arial"/>
          <w:rtl/>
        </w:rPr>
        <w:t xml:space="preserve">. ולפיכך כשמסרו הלוקח לאחר וכתב לו 'קני לך איהו וכל שעבודא דאית ביה' קנה על ידו הקרקע. אבל אם קנה הקרקע בכסף או בחזקה או בקנין, וכתבו לו שטר לראיה, אם מסרו לאחר וכתב לו קני לך איהו וכו', לא קנה. </w:t>
      </w:r>
    </w:p>
    <w:p w14:paraId="1C853DF0" w14:textId="77777777" w:rsidR="001D49D4" w:rsidRPr="001D49D4" w:rsidRDefault="001D49D4" w:rsidP="0004348D">
      <w:pPr>
        <w:spacing w:before="360" w:after="240"/>
        <w:rPr>
          <w:rFonts w:ascii="Calibri" w:eastAsia="Calibri" w:hAnsi="Calibri" w:cs="Arial"/>
          <w:rtl/>
        </w:rPr>
      </w:pPr>
    </w:p>
    <w:p w14:paraId="3EA5D038" w14:textId="77777777" w:rsidR="001D49D4" w:rsidRPr="001D49D4" w:rsidRDefault="001D49D4" w:rsidP="0004348D">
      <w:pPr>
        <w:keepNext/>
        <w:keepLines/>
        <w:spacing w:before="360" w:after="240"/>
        <w:outlineLvl w:val="1"/>
        <w:rPr>
          <w:rFonts w:ascii="Cambria" w:eastAsia="Times New Roman" w:hAnsi="Cambria" w:cs="Arial"/>
          <w:bCs/>
          <w:color w:val="548DD4" w:themeColor="text2" w:themeTint="99"/>
          <w:sz w:val="26"/>
          <w:szCs w:val="26"/>
          <w:rtl/>
        </w:rPr>
      </w:pPr>
      <w:bookmarkStart w:id="687" w:name="_Toc24884109"/>
      <w:r w:rsidRPr="001D49D4">
        <w:rPr>
          <w:rFonts w:ascii="Cambria" w:eastAsia="Times New Roman" w:hAnsi="Cambria" w:cs="Arial"/>
          <w:bCs/>
          <w:color w:val="548DD4" w:themeColor="text2" w:themeTint="99"/>
          <w:sz w:val="26"/>
          <w:szCs w:val="26"/>
          <w:rtl/>
        </w:rPr>
        <w:t>סעיף טו: לוקח שקנה מהמלוה שטר חוב שיש לו על הלוה ומת הלוה.</w:t>
      </w:r>
      <w:bookmarkEnd w:id="687"/>
    </w:p>
    <w:p w14:paraId="7A31B860" w14:textId="77777777" w:rsidR="001D49D4" w:rsidRPr="001D49D4" w:rsidRDefault="001D49D4" w:rsidP="0004348D">
      <w:pPr>
        <w:spacing w:before="360" w:after="240"/>
        <w:rPr>
          <w:rFonts w:ascii="Calibri" w:eastAsia="Calibri" w:hAnsi="Calibri" w:cs="Arial"/>
          <w:u w:val="single"/>
          <w:rtl/>
        </w:rPr>
      </w:pPr>
      <w:r w:rsidRPr="001D49D4">
        <w:rPr>
          <w:rFonts w:ascii="Calibri" w:eastAsia="Calibri" w:hAnsi="Calibri" w:cs="Arial"/>
          <w:u w:val="single"/>
          <w:rtl/>
        </w:rPr>
        <w:t>לוקח שקנה מהמלוה שטר חוב שיש לו על הלוה - ומת הלוה:</w:t>
      </w:r>
    </w:p>
    <w:p w14:paraId="607B3861" w14:textId="77777777" w:rsidR="001D49D4" w:rsidRPr="001D49D4" w:rsidRDefault="001D49D4" w:rsidP="0004348D">
      <w:pPr>
        <w:numPr>
          <w:ilvl w:val="0"/>
          <w:numId w:val="333"/>
        </w:numPr>
        <w:spacing w:before="360" w:after="240"/>
        <w:contextualSpacing/>
        <w:rPr>
          <w:rFonts w:ascii="Calibri" w:eastAsia="Calibri" w:hAnsi="Calibri" w:cs="Arial"/>
          <w:rtl/>
        </w:rPr>
      </w:pPr>
      <w:r w:rsidRPr="001D49D4">
        <w:rPr>
          <w:rFonts w:ascii="Calibri" w:eastAsia="Calibri" w:hAnsi="Calibri" w:cs="Arial"/>
          <w:rtl/>
        </w:rPr>
        <w:t xml:space="preserve">רא"ש </w:t>
      </w:r>
      <w:r w:rsidRPr="001D49D4">
        <w:rPr>
          <w:rFonts w:ascii="Calibri" w:eastAsia="Calibri" w:hAnsi="Calibri" w:cs="Arial"/>
          <w:sz w:val="16"/>
          <w:szCs w:val="16"/>
          <w:rtl/>
        </w:rPr>
        <w:t xml:space="preserve">(שבועות פ"ז סי' יד) </w:t>
      </w:r>
      <w:r w:rsidRPr="001D49D4">
        <w:rPr>
          <w:rFonts w:ascii="Calibri" w:eastAsia="Calibri" w:hAnsi="Calibri" w:cs="Arial"/>
          <w:rtl/>
        </w:rPr>
        <w:t xml:space="preserve">בשם הרמב"ן </w:t>
      </w:r>
      <w:r w:rsidRPr="001D49D4">
        <w:rPr>
          <w:rFonts w:ascii="Calibri" w:eastAsia="Calibri" w:hAnsi="Calibri" w:cs="Arial"/>
          <w:sz w:val="16"/>
          <w:szCs w:val="16"/>
          <w:rtl/>
        </w:rPr>
        <w:t>(סוף שבועות מז: ד"ה ומסתברא)</w:t>
      </w:r>
      <w:r w:rsidRPr="001D49D4">
        <w:rPr>
          <w:rFonts w:ascii="Calibri" w:eastAsia="Calibri" w:hAnsi="Calibri" w:cs="Arial"/>
          <w:rtl/>
        </w:rPr>
        <w:t xml:space="preserve"> וטור- לוקח שקנה מהמלוה שטר חוב שיש לו על הלוה, ומת הלוה. אם אחר שלקחו מת - נשבע הלוקח שלא אמר לו המוכר כלום ושאינו יודע ששטר זה פרוע וגובה. ודוקא שמת המוכר, אבל אם הוא חי עדיין גם הוא צריך לישבע קודם שיגבה הלוקח</w:t>
      </w:r>
      <w:r w:rsidRPr="001D49D4">
        <w:rPr>
          <w:rFonts w:ascii="Calibri" w:eastAsia="Calibri" w:hAnsi="Calibri" w:cs="Arial"/>
          <w:vertAlign w:val="superscript"/>
          <w:rtl/>
        </w:rPr>
        <w:footnoteReference w:id="5063"/>
      </w:r>
      <w:r w:rsidRPr="001D49D4">
        <w:rPr>
          <w:rFonts w:ascii="Calibri" w:eastAsia="Calibri" w:hAnsi="Calibri" w:cs="Arial"/>
          <w:rtl/>
        </w:rPr>
        <w:t>... ואם מת הלוה קודם שלקחו זה - אינו גובה אפילו בשבועה</w:t>
      </w:r>
      <w:r w:rsidRPr="001D49D4">
        <w:rPr>
          <w:rFonts w:ascii="Calibri" w:eastAsia="Calibri" w:hAnsi="Calibri" w:cs="Arial"/>
          <w:vertAlign w:val="superscript"/>
          <w:rtl/>
        </w:rPr>
        <w:footnoteReference w:id="5064"/>
      </w:r>
      <w:r w:rsidRPr="001D49D4">
        <w:rPr>
          <w:rFonts w:ascii="Calibri" w:eastAsia="Calibri" w:hAnsi="Calibri" w:cs="Arial"/>
          <w:sz w:val="16"/>
          <w:szCs w:val="16"/>
          <w:rtl/>
        </w:rPr>
        <w:t xml:space="preserve"> (ל' הטור)</w:t>
      </w:r>
      <w:r w:rsidRPr="001D49D4">
        <w:rPr>
          <w:rFonts w:ascii="Calibri" w:eastAsia="Calibri" w:hAnsi="Calibri" w:cs="Arial"/>
          <w:rtl/>
        </w:rPr>
        <w:t xml:space="preserve">. </w:t>
      </w:r>
      <w:r w:rsidRPr="001D49D4">
        <w:rPr>
          <w:rFonts w:ascii="Calibri" w:eastAsia="Calibri" w:hAnsi="Calibri" w:cs="Arial"/>
          <w:color w:val="E36C0A" w:themeColor="accent6" w:themeShade="BF"/>
          <w:rtl/>
        </w:rPr>
        <w:t>(וכ"פ בשו"ע)</w:t>
      </w:r>
    </w:p>
    <w:p w14:paraId="722EC4AA" w14:textId="77777777" w:rsidR="001D49D4" w:rsidRPr="001D49D4" w:rsidRDefault="001D49D4" w:rsidP="0004348D">
      <w:pPr>
        <w:spacing w:before="360" w:after="240"/>
        <w:rPr>
          <w:rFonts w:ascii="Calibri" w:eastAsia="Calibri" w:hAnsi="Calibri" w:cs="Arial"/>
          <w:u w:val="dotted"/>
        </w:rPr>
      </w:pPr>
      <w:r w:rsidRPr="001D49D4">
        <w:rPr>
          <w:rFonts w:ascii="Calibri" w:eastAsia="Calibri" w:hAnsi="Calibri" w:cs="Arial"/>
          <w:u w:val="dotted"/>
          <w:rtl/>
        </w:rPr>
        <w:t>ומה הדין אם הלוה קיים וטוען שהוא פרוע:</w:t>
      </w:r>
    </w:p>
    <w:p w14:paraId="073BAF63" w14:textId="77777777" w:rsidR="001D49D4" w:rsidRPr="001D49D4" w:rsidRDefault="001D49D4" w:rsidP="0004348D">
      <w:pPr>
        <w:numPr>
          <w:ilvl w:val="0"/>
          <w:numId w:val="333"/>
        </w:numPr>
        <w:spacing w:before="360" w:after="240"/>
        <w:contextualSpacing/>
        <w:rPr>
          <w:rFonts w:ascii="Calibri" w:eastAsia="Calibri" w:hAnsi="Calibri" w:cs="Arial"/>
        </w:rPr>
      </w:pPr>
      <w:r w:rsidRPr="001D49D4">
        <w:rPr>
          <w:rFonts w:ascii="Calibri" w:eastAsia="Calibri" w:hAnsi="Calibri" w:cs="Arial"/>
          <w:rtl/>
        </w:rPr>
        <w:t>טור- וכן נמי אם הלוה קיים וטוען שהוא פרוע, ואין בו נאמנות, אם המוכר קיים - ישבע וגובה הלוקח, ואם אינו רוצה לישבע - יפסיד</w:t>
      </w:r>
      <w:r w:rsidRPr="001D49D4">
        <w:rPr>
          <w:rFonts w:ascii="Calibri" w:eastAsia="Calibri" w:hAnsi="Calibri" w:cs="Arial"/>
          <w:vertAlign w:val="superscript"/>
          <w:rtl/>
        </w:rPr>
        <w:footnoteReference w:id="5065"/>
      </w:r>
      <w:r w:rsidRPr="001D49D4">
        <w:rPr>
          <w:rFonts w:ascii="Calibri" w:eastAsia="Calibri" w:hAnsi="Calibri" w:cs="Arial"/>
          <w:rtl/>
        </w:rPr>
        <w:t>.</w:t>
      </w:r>
      <w:r w:rsidRPr="001D49D4">
        <w:rPr>
          <w:rFonts w:ascii="Calibri" w:eastAsia="Calibri" w:hAnsi="Calibri" w:cs="Arial"/>
          <w:color w:val="E36C0A" w:themeColor="accent6" w:themeShade="BF"/>
          <w:rtl/>
        </w:rPr>
        <w:t xml:space="preserve"> (וכ"פ בשו"ע)</w:t>
      </w:r>
    </w:p>
    <w:p w14:paraId="17C425BC" w14:textId="77777777" w:rsidR="001D49D4" w:rsidRPr="001D49D4" w:rsidRDefault="001D49D4" w:rsidP="0004348D">
      <w:pPr>
        <w:spacing w:before="360" w:after="240"/>
        <w:rPr>
          <w:rFonts w:ascii="Calibri" w:eastAsia="Calibri" w:hAnsi="Calibri" w:cs="Arial"/>
          <w:u w:val="wave"/>
        </w:rPr>
      </w:pPr>
      <w:r w:rsidRPr="001D49D4">
        <w:rPr>
          <w:rFonts w:ascii="Calibri" w:eastAsia="Calibri" w:hAnsi="Calibri" w:cs="Arial"/>
          <w:u w:val="wave"/>
          <w:rtl/>
        </w:rPr>
        <w:t>ומה הדין אם מת המוכר</w:t>
      </w:r>
      <w:r w:rsidRPr="001D49D4">
        <w:rPr>
          <w:rFonts w:ascii="Calibri" w:eastAsia="Calibri" w:hAnsi="Calibri" w:cs="Arial"/>
          <w:sz w:val="16"/>
          <w:szCs w:val="16"/>
          <w:u w:val="wave"/>
          <w:rtl/>
        </w:rPr>
        <w:t xml:space="preserve"> (כך שאין מי שישבע שאינו פרוע)</w:t>
      </w:r>
      <w:r w:rsidRPr="001D49D4">
        <w:rPr>
          <w:rFonts w:ascii="Calibri" w:eastAsia="Calibri" w:hAnsi="Calibri" w:cs="Arial"/>
          <w:u w:val="wave"/>
          <w:rtl/>
        </w:rPr>
        <w:t>:</w:t>
      </w:r>
    </w:p>
    <w:p w14:paraId="5AE85CAF" w14:textId="77777777" w:rsidR="001D49D4" w:rsidRPr="001D49D4" w:rsidRDefault="001D49D4" w:rsidP="0004348D">
      <w:pPr>
        <w:numPr>
          <w:ilvl w:val="0"/>
          <w:numId w:val="333"/>
        </w:numPr>
        <w:spacing w:before="360" w:after="240"/>
        <w:contextualSpacing/>
        <w:rPr>
          <w:rFonts w:ascii="Calibri" w:eastAsia="Calibri" w:hAnsi="Calibri" w:cs="Arial"/>
        </w:rPr>
      </w:pPr>
      <w:r w:rsidRPr="001D49D4">
        <w:rPr>
          <w:rFonts w:ascii="Calibri" w:eastAsia="Calibri" w:hAnsi="Calibri" w:cs="Arial"/>
          <w:rtl/>
        </w:rPr>
        <w:t>בעל התרומות</w:t>
      </w:r>
      <w:r w:rsidRPr="001D49D4">
        <w:rPr>
          <w:rFonts w:ascii="Calibri" w:eastAsia="Calibri" w:hAnsi="Calibri" w:cs="Arial"/>
          <w:sz w:val="16"/>
          <w:szCs w:val="16"/>
          <w:rtl/>
        </w:rPr>
        <w:t xml:space="preserve"> (שער נא ח"ז סי' ג)</w:t>
      </w:r>
      <w:r w:rsidRPr="001D49D4">
        <w:rPr>
          <w:rFonts w:ascii="Calibri" w:eastAsia="Calibri" w:hAnsi="Calibri" w:cs="Arial"/>
          <w:rtl/>
        </w:rPr>
        <w:t xml:space="preserve">- כתב ה"ר יהודה אלברצלוני המוכר שטר חוב ואין בו נאמנות ולוה טוען פרוע הוא אם המוכר קיים ורוצה לישבע - נשבע וגובה הלוקח. ואם לאו - מפסיד הלוקח. ואם מת מוכר, איכא מ"ד - נשבעין יתמי שלא פקדנו אבא, ואם לא רצו לישבע - לוקח חוזר על יורשי מוכר. ואיכא מ"ד - לוקח נשבע שלא פקדנו מוכר, ונוטל, כדתנן </w:t>
      </w:r>
      <w:r w:rsidRPr="001D49D4">
        <w:rPr>
          <w:rFonts w:ascii="Calibri" w:eastAsia="Calibri" w:hAnsi="Calibri" w:cs="Arial"/>
          <w:sz w:val="16"/>
          <w:szCs w:val="16"/>
          <w:rtl/>
        </w:rPr>
        <w:t>(כתובות פו:)</w:t>
      </w:r>
      <w:r w:rsidRPr="001D49D4">
        <w:rPr>
          <w:rFonts w:ascii="Calibri" w:eastAsia="Calibri" w:hAnsi="Calibri" w:cs="Arial"/>
          <w:rtl/>
        </w:rPr>
        <w:t xml:space="preserve"> משביע הוא את יורשיה ואת הבאין ברשותה. ועל זה כתב ה"ר יצחק בהעי"ט מסתברא דהאי סברא בתרא דליתא, דהתם על שמא הוא אבל הכא בריא קא טעין ליה. ועוד דשבועה לבטלה היא, שהשטר מקויים מעיד שהמוכר אמר לו שאינו פרוע, הלכך אם איתיה למלוה ולא בעי אשתבועי חייב מן דינא לשלומי, ואי מית והיורשים לא בעו לאשתבועי חייבים לשלם, ע"כ.</w:t>
      </w:r>
      <w:r w:rsidRPr="001D49D4">
        <w:rPr>
          <w:rFonts w:ascii="Calibri" w:eastAsia="Calibri" w:hAnsi="Calibri" w:cs="Arial"/>
          <w:color w:val="E36C0A" w:themeColor="accent6" w:themeShade="BF"/>
          <w:rtl/>
        </w:rPr>
        <w:t xml:space="preserve"> (וכ"פ בשו"ע)</w:t>
      </w:r>
    </w:p>
    <w:p w14:paraId="1F38990B" w14:textId="77777777" w:rsidR="001D49D4" w:rsidRPr="001D49D4" w:rsidRDefault="001D49D4" w:rsidP="0004348D">
      <w:pPr>
        <w:spacing w:before="360" w:after="240"/>
        <w:rPr>
          <w:rFonts w:ascii="Calibri" w:eastAsia="Calibri" w:hAnsi="Calibri" w:cs="Arial"/>
          <w:u w:val="single"/>
        </w:rPr>
      </w:pPr>
      <w:r w:rsidRPr="001D49D4">
        <w:rPr>
          <w:rFonts w:ascii="Calibri" w:eastAsia="Calibri" w:hAnsi="Calibri" w:cs="Arial"/>
          <w:u w:val="single"/>
          <w:rtl/>
        </w:rPr>
        <w:t>לוה קיים וטוען שהוא פרוע והמוכר טוען 'עיינתי בחשבונותי ומצאתי שלא נותר לי חוב על הלוה':</w:t>
      </w:r>
    </w:p>
    <w:p w14:paraId="5953EAF3" w14:textId="77777777" w:rsidR="001D49D4" w:rsidRPr="001D49D4" w:rsidRDefault="001D49D4" w:rsidP="0004348D">
      <w:pPr>
        <w:numPr>
          <w:ilvl w:val="0"/>
          <w:numId w:val="333"/>
        </w:numPr>
        <w:spacing w:before="360" w:after="240"/>
        <w:contextualSpacing/>
        <w:rPr>
          <w:rFonts w:ascii="Calibri" w:eastAsia="Calibri" w:hAnsi="Calibri" w:cs="Arial"/>
        </w:rPr>
      </w:pPr>
      <w:r w:rsidRPr="001D49D4">
        <w:rPr>
          <w:rFonts w:ascii="Calibri" w:eastAsia="Calibri" w:hAnsi="Calibri" w:cs="Arial"/>
          <w:rtl/>
        </w:rPr>
        <w:t>ב"י- נראה דהיינו</w:t>
      </w:r>
      <w:r w:rsidRPr="001D49D4">
        <w:rPr>
          <w:rFonts w:ascii="Calibri" w:eastAsia="Calibri" w:hAnsi="Calibri" w:cs="Arial"/>
          <w:sz w:val="16"/>
          <w:szCs w:val="16"/>
          <w:rtl/>
        </w:rPr>
        <w:t xml:space="preserve"> {שמפסיד המוכר את הלוקח לגבות מהלוה </w:t>
      </w:r>
      <w:r w:rsidRPr="001D49D4">
        <w:rPr>
          <w:rFonts w:ascii="Calibri" w:eastAsia="Calibri" w:hAnsi="Calibri" w:cs="Arial"/>
          <w:sz w:val="14"/>
          <w:szCs w:val="14"/>
          <w:rtl/>
        </w:rPr>
        <w:t>[וגובה מהמוכר במקומו]</w:t>
      </w:r>
      <w:r w:rsidRPr="001D49D4">
        <w:rPr>
          <w:rFonts w:ascii="Calibri" w:eastAsia="Calibri" w:hAnsi="Calibri" w:cs="Arial"/>
          <w:sz w:val="16"/>
          <w:szCs w:val="16"/>
          <w:rtl/>
        </w:rPr>
        <w:t>}</w:t>
      </w:r>
      <w:r w:rsidRPr="001D49D4">
        <w:rPr>
          <w:rFonts w:ascii="Calibri" w:eastAsia="Calibri" w:hAnsi="Calibri" w:cs="Arial"/>
          <w:rtl/>
        </w:rPr>
        <w:t xml:space="preserve"> דוקא בשהמוכר מודה שהוא פרוע</w:t>
      </w:r>
      <w:r w:rsidRPr="001D49D4">
        <w:rPr>
          <w:rFonts w:ascii="Calibri" w:eastAsia="Calibri" w:hAnsi="Calibri" w:cs="Arial"/>
          <w:vertAlign w:val="superscript"/>
          <w:rtl/>
        </w:rPr>
        <w:footnoteReference w:id="5066"/>
      </w:r>
      <w:r w:rsidRPr="001D49D4">
        <w:rPr>
          <w:rFonts w:ascii="Calibri" w:eastAsia="Calibri" w:hAnsi="Calibri" w:cs="Arial"/>
          <w:rtl/>
        </w:rPr>
        <w:t>, אבל אם אומר 'עיינתי בחושבנאי ולא פש לי גביה מידי'</w:t>
      </w:r>
      <w:r w:rsidRPr="001D49D4">
        <w:rPr>
          <w:rFonts w:ascii="Calibri" w:eastAsia="Calibri" w:hAnsi="Calibri" w:cs="Arial"/>
          <w:sz w:val="16"/>
          <w:szCs w:val="16"/>
          <w:rtl/>
        </w:rPr>
        <w:t xml:space="preserve"> {עיינתי בחשבונותי ומצאתי שלא נותר לי חוב על הלוה}</w:t>
      </w:r>
      <w:r w:rsidRPr="001D49D4">
        <w:rPr>
          <w:rFonts w:ascii="Calibri" w:eastAsia="Calibri" w:hAnsi="Calibri" w:cs="Arial"/>
          <w:rtl/>
        </w:rPr>
        <w:t>, אי לא ידיעא מילתא בסהדי לאו כל כמיניה דהמוכר</w:t>
      </w:r>
      <w:r w:rsidRPr="001D49D4">
        <w:rPr>
          <w:rFonts w:ascii="Calibri" w:eastAsia="Calibri" w:hAnsi="Calibri" w:cs="Arial"/>
          <w:sz w:val="16"/>
          <w:szCs w:val="16"/>
          <w:rtl/>
        </w:rPr>
        <w:t xml:space="preserve"> {לומר שמכר לו בטעות את השטר ובכך לפסול את השטר}</w:t>
      </w:r>
      <w:r w:rsidRPr="001D49D4">
        <w:rPr>
          <w:rFonts w:ascii="Calibri" w:eastAsia="Calibri" w:hAnsi="Calibri" w:cs="Arial"/>
          <w:rtl/>
        </w:rPr>
        <w:t xml:space="preserve">, דהוה ליה כההוא עובדא דהנהו גינאי דספ"ק דגיטין </w:t>
      </w:r>
      <w:r w:rsidRPr="001D49D4">
        <w:rPr>
          <w:rFonts w:ascii="Calibri" w:eastAsia="Calibri" w:hAnsi="Calibri" w:cs="Arial"/>
          <w:sz w:val="16"/>
          <w:szCs w:val="16"/>
          <w:rtl/>
        </w:rPr>
        <w:t>(יד.)</w:t>
      </w:r>
      <w:r w:rsidRPr="001D49D4">
        <w:rPr>
          <w:rFonts w:ascii="Calibri" w:eastAsia="Calibri" w:hAnsi="Calibri" w:cs="Arial"/>
          <w:rtl/>
        </w:rPr>
        <w:t xml:space="preserve">, וכ"כ בספר התרומות </w:t>
      </w:r>
      <w:r w:rsidRPr="001D49D4">
        <w:rPr>
          <w:rFonts w:ascii="Calibri" w:eastAsia="Calibri" w:hAnsi="Calibri" w:cs="Arial"/>
          <w:sz w:val="16"/>
          <w:szCs w:val="16"/>
          <w:rtl/>
        </w:rPr>
        <w:t>(שער נא ח"ז סי' ב)</w:t>
      </w:r>
      <w:r w:rsidRPr="001D49D4">
        <w:rPr>
          <w:rFonts w:ascii="Calibri" w:eastAsia="Calibri" w:hAnsi="Calibri" w:cs="Arial"/>
          <w:vertAlign w:val="superscript"/>
          <w:rtl/>
        </w:rPr>
        <w:footnoteReference w:id="5067"/>
      </w:r>
      <w:r w:rsidRPr="001D49D4">
        <w:rPr>
          <w:rFonts w:ascii="Calibri" w:eastAsia="Calibri" w:hAnsi="Calibri" w:cs="Arial"/>
          <w:rtl/>
        </w:rPr>
        <w:t xml:space="preserve">. </w:t>
      </w:r>
    </w:p>
    <w:p w14:paraId="03694FB6" w14:textId="77777777" w:rsidR="001D49D4" w:rsidRPr="001D49D4" w:rsidRDefault="001D49D4" w:rsidP="0004348D">
      <w:pPr>
        <w:spacing w:before="360" w:after="240"/>
        <w:rPr>
          <w:rFonts w:ascii="Arial" w:eastAsia="Calibri" w:hAnsi="Arial" w:cs="Arial"/>
          <w:b/>
          <w:bCs/>
          <w:color w:val="000000"/>
          <w:sz w:val="28"/>
          <w:szCs w:val="28"/>
          <w:u w:val="single"/>
        </w:rPr>
      </w:pPr>
      <w:r w:rsidRPr="001D49D4">
        <w:rPr>
          <w:rFonts w:ascii="Arial" w:eastAsia="Calibri" w:hAnsi="Arial" w:cs="Arial"/>
          <w:b/>
          <w:bCs/>
          <w:color w:val="000000"/>
          <w:sz w:val="28"/>
          <w:szCs w:val="28"/>
          <w:u w:val="single"/>
          <w:rtl/>
        </w:rPr>
        <w:t>שו"ע:</w:t>
      </w:r>
    </w:p>
    <w:p w14:paraId="7A23AE03"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rtl/>
        </w:rPr>
        <w:t>הקונה מהמלוה שטר חוב שיש לו על הלוה, ומת הלוה, אם אחר שלקחו מת, נשבע הלוקח</w:t>
      </w:r>
      <w:r w:rsidRPr="001D49D4">
        <w:rPr>
          <w:rFonts w:ascii="Calibri" w:eastAsia="Calibri" w:hAnsi="Calibri" w:cs="Arial"/>
          <w:vertAlign w:val="superscript"/>
          <w:rtl/>
        </w:rPr>
        <w:footnoteReference w:id="5068"/>
      </w:r>
      <w:r w:rsidRPr="001D49D4">
        <w:rPr>
          <w:rFonts w:ascii="Calibri" w:eastAsia="Calibri" w:hAnsi="Calibri" w:cs="Arial"/>
          <w:rtl/>
        </w:rPr>
        <w:t xml:space="preserve"> שלא אמר לו המוכר כלום</w:t>
      </w:r>
      <w:r w:rsidRPr="001D49D4">
        <w:rPr>
          <w:rFonts w:ascii="Calibri" w:eastAsia="Calibri" w:hAnsi="Calibri" w:cs="Arial"/>
          <w:vertAlign w:val="superscript"/>
          <w:rtl/>
        </w:rPr>
        <w:footnoteReference w:id="5069"/>
      </w:r>
      <w:r w:rsidRPr="001D49D4">
        <w:rPr>
          <w:rFonts w:ascii="Calibri" w:eastAsia="Calibri" w:hAnsi="Calibri" w:cs="Arial"/>
          <w:rtl/>
        </w:rPr>
        <w:t xml:space="preserve"> ושאינו יודע ששטר זה פרוע, וגובה. ודוקא שמת המוכר, אבל אם הוא חי, גם הוא צריך לישבע</w:t>
      </w:r>
      <w:r w:rsidRPr="001D49D4">
        <w:rPr>
          <w:rFonts w:ascii="Calibri" w:eastAsia="Calibri" w:hAnsi="Calibri" w:cs="Arial"/>
          <w:vertAlign w:val="superscript"/>
          <w:rtl/>
        </w:rPr>
        <w:footnoteReference w:id="5070"/>
      </w:r>
      <w:r w:rsidRPr="001D49D4">
        <w:rPr>
          <w:rFonts w:ascii="Calibri" w:eastAsia="Calibri" w:hAnsi="Calibri" w:cs="Arial"/>
          <w:rtl/>
        </w:rPr>
        <w:t xml:space="preserve"> קודם שיגבה הלוקח. וכן אם הלוה קיים, וטוען שהוא פרוע</w:t>
      </w:r>
      <w:r w:rsidRPr="001D49D4">
        <w:rPr>
          <w:rFonts w:ascii="Calibri" w:eastAsia="Calibri" w:hAnsi="Calibri" w:cs="Arial"/>
          <w:vertAlign w:val="superscript"/>
          <w:rtl/>
        </w:rPr>
        <w:footnoteReference w:id="5071"/>
      </w:r>
      <w:r w:rsidRPr="001D49D4">
        <w:rPr>
          <w:rFonts w:ascii="Calibri" w:eastAsia="Calibri" w:hAnsi="Calibri" w:cs="Arial"/>
          <w:rtl/>
        </w:rPr>
        <w:t xml:space="preserve"> ואין בו נאמנות</w:t>
      </w:r>
      <w:r w:rsidRPr="001D49D4">
        <w:rPr>
          <w:rFonts w:ascii="Calibri" w:eastAsia="Calibri" w:hAnsi="Calibri" w:cs="Arial"/>
          <w:vertAlign w:val="superscript"/>
          <w:rtl/>
        </w:rPr>
        <w:footnoteReference w:id="5072"/>
      </w:r>
      <w:r w:rsidRPr="001D49D4">
        <w:rPr>
          <w:rFonts w:ascii="Calibri" w:eastAsia="Calibri" w:hAnsi="Calibri" w:cs="Arial"/>
          <w:rtl/>
        </w:rPr>
        <w:t xml:space="preserve">, אם המוכר קיים, ישבע, וגובה הלוקח. ואם אינו רוצה לישבע, לא יפרע הלוה. </w:t>
      </w:r>
      <w:r w:rsidRPr="001D49D4">
        <w:rPr>
          <w:rFonts w:ascii="Calibri" w:eastAsia="Calibri" w:hAnsi="Calibri" w:cs="Arial"/>
          <w:sz w:val="18"/>
          <w:szCs w:val="18"/>
          <w:rtl/>
        </w:rPr>
        <w:t>[הגה] והמוכר צריך לשלם ללוקח</w:t>
      </w:r>
      <w:r w:rsidRPr="001D49D4">
        <w:rPr>
          <w:rFonts w:ascii="Calibri" w:eastAsia="Calibri" w:hAnsi="Calibri" w:cs="Arial"/>
          <w:sz w:val="18"/>
          <w:szCs w:val="18"/>
          <w:vertAlign w:val="superscript"/>
          <w:rtl/>
        </w:rPr>
        <w:footnoteReference w:id="5073"/>
      </w:r>
      <w:r w:rsidRPr="001D49D4">
        <w:rPr>
          <w:rFonts w:ascii="Calibri" w:eastAsia="Calibri" w:hAnsi="Calibri" w:cs="Arial"/>
          <w:sz w:val="18"/>
          <w:szCs w:val="18"/>
          <w:rtl/>
        </w:rPr>
        <w:t xml:space="preserve"> (ב"י)</w:t>
      </w:r>
      <w:r w:rsidRPr="001D49D4">
        <w:rPr>
          <w:rFonts w:ascii="Calibri" w:eastAsia="Calibri" w:hAnsi="Calibri" w:cs="Arial"/>
          <w:rtl/>
        </w:rPr>
        <w:t>. ואם המוכר מת, נשבע היורש 'שלא פקדני אבא', ואם אינו רוצה, חוזר הלוקח עליו</w:t>
      </w:r>
      <w:r w:rsidRPr="001D49D4">
        <w:rPr>
          <w:rFonts w:ascii="Calibri" w:eastAsia="Calibri" w:hAnsi="Calibri" w:cs="Arial"/>
          <w:vertAlign w:val="superscript"/>
          <w:rtl/>
        </w:rPr>
        <w:footnoteReference w:id="5074"/>
      </w:r>
      <w:r w:rsidRPr="001D49D4">
        <w:rPr>
          <w:rFonts w:ascii="Calibri" w:eastAsia="Calibri" w:hAnsi="Calibri" w:cs="Arial"/>
          <w:rtl/>
        </w:rPr>
        <w:t>. ואם מת הלוה קודם שלקחו זה, ואחר כך מת מלוה, אינו גובה</w:t>
      </w:r>
      <w:r w:rsidRPr="001D49D4">
        <w:rPr>
          <w:rFonts w:ascii="Calibri" w:eastAsia="Calibri" w:hAnsi="Calibri" w:cs="Arial"/>
          <w:vertAlign w:val="superscript"/>
          <w:rtl/>
        </w:rPr>
        <w:footnoteReference w:id="5075"/>
      </w:r>
      <w:r w:rsidRPr="001D49D4">
        <w:rPr>
          <w:rFonts w:ascii="Calibri" w:eastAsia="Calibri" w:hAnsi="Calibri" w:cs="Arial"/>
          <w:rtl/>
        </w:rPr>
        <w:t xml:space="preserve"> אפילו בשבועה</w:t>
      </w:r>
      <w:r w:rsidRPr="001D49D4">
        <w:rPr>
          <w:rFonts w:ascii="Calibri" w:eastAsia="Calibri" w:hAnsi="Calibri" w:cs="Arial"/>
          <w:vertAlign w:val="superscript"/>
          <w:rtl/>
        </w:rPr>
        <w:footnoteReference w:id="5076"/>
      </w:r>
      <w:r w:rsidRPr="001D49D4">
        <w:rPr>
          <w:rFonts w:ascii="Calibri" w:eastAsia="Calibri" w:hAnsi="Calibri" w:cs="Arial"/>
          <w:rtl/>
        </w:rPr>
        <w:t xml:space="preserve">. </w:t>
      </w:r>
    </w:p>
    <w:p w14:paraId="45D7B26F" w14:textId="77777777" w:rsidR="001D49D4" w:rsidRPr="001D49D4" w:rsidRDefault="001D49D4" w:rsidP="0004348D">
      <w:pPr>
        <w:spacing w:before="360" w:after="240"/>
        <w:rPr>
          <w:rFonts w:ascii="Calibri" w:eastAsia="Calibri" w:hAnsi="Calibri" w:cs="Arial"/>
          <w:rtl/>
        </w:rPr>
      </w:pPr>
    </w:p>
    <w:p w14:paraId="7EE52436" w14:textId="77777777" w:rsidR="001D49D4" w:rsidRPr="001D49D4" w:rsidRDefault="001D49D4" w:rsidP="0004348D">
      <w:pPr>
        <w:keepNext/>
        <w:keepLines/>
        <w:spacing w:before="360" w:after="240"/>
        <w:outlineLvl w:val="1"/>
        <w:rPr>
          <w:rFonts w:ascii="Cambria" w:eastAsia="Times New Roman" w:hAnsi="Cambria" w:cs="Arial"/>
          <w:bCs/>
          <w:color w:val="548DD4" w:themeColor="text2" w:themeTint="99"/>
          <w:sz w:val="26"/>
          <w:szCs w:val="26"/>
          <w:rtl/>
        </w:rPr>
      </w:pPr>
      <w:bookmarkStart w:id="688" w:name="_Toc24884110"/>
      <w:r w:rsidRPr="001D49D4">
        <w:rPr>
          <w:rFonts w:ascii="Cambria" w:eastAsia="Times New Roman" w:hAnsi="Cambria" w:cs="Arial"/>
          <w:bCs/>
          <w:color w:val="548DD4" w:themeColor="text2" w:themeTint="99"/>
          <w:sz w:val="26"/>
          <w:szCs w:val="26"/>
          <w:rtl/>
        </w:rPr>
        <w:t>סעיף טז: לוה שפרע למוכר במקום ללוקח.</w:t>
      </w:r>
      <w:bookmarkEnd w:id="688"/>
    </w:p>
    <w:p w14:paraId="37AB2E4B" w14:textId="77777777" w:rsidR="001D49D4" w:rsidRPr="001D49D4" w:rsidRDefault="001D49D4" w:rsidP="0004348D">
      <w:pPr>
        <w:spacing w:before="360" w:after="240"/>
        <w:rPr>
          <w:rFonts w:ascii="Calibri" w:eastAsia="Calibri" w:hAnsi="Calibri" w:cs="Arial"/>
          <w:u w:val="single"/>
          <w:rtl/>
        </w:rPr>
      </w:pPr>
      <w:r w:rsidRPr="001D49D4">
        <w:rPr>
          <w:rFonts w:ascii="Calibri" w:eastAsia="Calibri" w:hAnsi="Calibri" w:cs="Arial"/>
          <w:u w:val="single"/>
          <w:rtl/>
        </w:rPr>
        <w:t>מלוה שמכר את שטר חובו, והלוה פרע למוכר במקום ללוקח:</w:t>
      </w:r>
    </w:p>
    <w:p w14:paraId="3D1BC4B2" w14:textId="77777777" w:rsidR="001D49D4" w:rsidRPr="001D49D4" w:rsidRDefault="001D49D4" w:rsidP="0004348D">
      <w:pPr>
        <w:numPr>
          <w:ilvl w:val="0"/>
          <w:numId w:val="333"/>
        </w:numPr>
        <w:spacing w:before="360" w:after="240"/>
        <w:contextualSpacing/>
        <w:rPr>
          <w:rFonts w:ascii="Calibri" w:eastAsia="Calibri" w:hAnsi="Calibri" w:cs="Arial"/>
          <w:rtl/>
        </w:rPr>
      </w:pPr>
      <w:r w:rsidRPr="001D49D4">
        <w:rPr>
          <w:rFonts w:ascii="Calibri" w:eastAsia="Calibri" w:hAnsi="Calibri" w:cs="Arial"/>
          <w:rtl/>
        </w:rPr>
        <w:t xml:space="preserve">ספר התרומות </w:t>
      </w:r>
      <w:r w:rsidRPr="001D49D4">
        <w:rPr>
          <w:rFonts w:ascii="Calibri" w:eastAsia="Calibri" w:hAnsi="Calibri" w:cs="Arial"/>
          <w:sz w:val="16"/>
          <w:szCs w:val="16"/>
          <w:rtl/>
        </w:rPr>
        <w:t>(שער נא ח"ד סי' א)</w:t>
      </w:r>
      <w:r w:rsidRPr="001D49D4">
        <w:rPr>
          <w:rFonts w:ascii="Calibri" w:eastAsia="Calibri" w:hAnsi="Calibri" w:cs="Arial"/>
          <w:rtl/>
        </w:rPr>
        <w:t xml:space="preserve"> וטור- אם אחר שמכר לו השט"ח כראוי בכתיבה ובמסירה באין המוכר והלוקח לתובעו מהלוה - פשיטא שב"ד אומרין לו ליתנו ללוקח. ואדרבה, אם יפרע למוכר - הלוקח חוזר וגובה ממנו</w:t>
      </w:r>
      <w:r w:rsidRPr="001D49D4">
        <w:rPr>
          <w:rFonts w:ascii="Calibri" w:eastAsia="Calibri" w:hAnsi="Calibri" w:cs="Arial"/>
          <w:vertAlign w:val="superscript"/>
          <w:rtl/>
        </w:rPr>
        <w:footnoteReference w:id="5077"/>
      </w:r>
      <w:r w:rsidRPr="001D49D4">
        <w:rPr>
          <w:rFonts w:ascii="Calibri" w:eastAsia="Calibri" w:hAnsi="Calibri" w:cs="Arial"/>
          <w:rtl/>
        </w:rPr>
        <w:t>. ואם קדם הלוה ופרע למוכר - אין ללוקח עליו אלא תרעומות אבל לעולם נפטר במה שפרע למלוה, וב"ד מחייבין את המלוה ליתן ללוקח מה שגבה מהלוה, ואם אינו יכול להוציאו מהמלוה כגון שהוציא ובזבז מה שגבה מן הלוה - אין הלוה חייב ללוקח כלום</w:t>
      </w:r>
      <w:r w:rsidRPr="001D49D4">
        <w:rPr>
          <w:rFonts w:ascii="Calibri" w:eastAsia="Calibri" w:hAnsi="Calibri" w:cs="Arial"/>
          <w:sz w:val="16"/>
          <w:szCs w:val="16"/>
          <w:rtl/>
        </w:rPr>
        <w:t xml:space="preserve"> (ל' הטור)</w:t>
      </w:r>
      <w:r w:rsidRPr="001D49D4">
        <w:rPr>
          <w:rFonts w:ascii="Calibri" w:eastAsia="Calibri" w:hAnsi="Calibri" w:cs="Arial"/>
          <w:rtl/>
        </w:rPr>
        <w:t>.</w:t>
      </w:r>
      <w:r w:rsidRPr="001D49D4">
        <w:rPr>
          <w:rFonts w:ascii="Calibri" w:eastAsia="Calibri" w:hAnsi="Calibri" w:cs="Arial"/>
          <w:color w:val="E36C0A" w:themeColor="accent6" w:themeShade="BF"/>
          <w:rtl/>
        </w:rPr>
        <w:t xml:space="preserve"> (וכ"ס בשו"ע)</w:t>
      </w:r>
      <w:r w:rsidRPr="001D49D4">
        <w:rPr>
          <w:rFonts w:ascii="Calibri" w:eastAsia="Calibri" w:hAnsi="Calibri" w:cs="Arial"/>
          <w:rtl/>
        </w:rPr>
        <w:t xml:space="preserve"> </w:t>
      </w:r>
    </w:p>
    <w:p w14:paraId="6D55A525" w14:textId="77777777" w:rsidR="001D49D4" w:rsidRPr="001D49D4" w:rsidRDefault="001D49D4" w:rsidP="0004348D">
      <w:pPr>
        <w:numPr>
          <w:ilvl w:val="0"/>
          <w:numId w:val="333"/>
        </w:numPr>
        <w:spacing w:before="360" w:after="240"/>
        <w:contextualSpacing/>
        <w:rPr>
          <w:rFonts w:ascii="Calibri" w:eastAsia="Calibri" w:hAnsi="Calibri" w:cs="Arial"/>
        </w:rPr>
      </w:pPr>
      <w:r w:rsidRPr="001D49D4">
        <w:rPr>
          <w:rFonts w:ascii="Calibri" w:eastAsia="Calibri" w:hAnsi="Calibri" w:cs="Arial"/>
          <w:rtl/>
        </w:rPr>
        <w:t>י"א</w:t>
      </w:r>
      <w:r w:rsidRPr="001D49D4">
        <w:rPr>
          <w:rFonts w:ascii="Calibri" w:eastAsia="Calibri" w:hAnsi="Calibri" w:cs="Arial"/>
          <w:sz w:val="16"/>
          <w:szCs w:val="16"/>
          <w:rtl/>
        </w:rPr>
        <w:t xml:space="preserve"> (הביאם הטור)</w:t>
      </w:r>
      <w:r w:rsidRPr="001D49D4">
        <w:rPr>
          <w:rFonts w:ascii="Calibri" w:eastAsia="Calibri" w:hAnsi="Calibri" w:cs="Arial"/>
          <w:rtl/>
        </w:rPr>
        <w:t>- אם פרע הלוה למלוה לא נפטר בזה מן הלוקח.</w:t>
      </w:r>
    </w:p>
    <w:p w14:paraId="09AD7D66" w14:textId="77777777" w:rsidR="001D49D4" w:rsidRPr="001D49D4" w:rsidRDefault="001D49D4" w:rsidP="0004348D">
      <w:pPr>
        <w:spacing w:before="360" w:after="240"/>
        <w:rPr>
          <w:rFonts w:ascii="Calibri" w:eastAsia="Calibri" w:hAnsi="Calibri" w:cs="Arial"/>
          <w:u w:val="dotted"/>
        </w:rPr>
      </w:pPr>
      <w:r w:rsidRPr="001D49D4">
        <w:rPr>
          <w:rFonts w:ascii="Calibri" w:eastAsia="Calibri" w:hAnsi="Calibri" w:cs="Arial"/>
          <w:u w:val="dotted"/>
          <w:rtl/>
        </w:rPr>
        <w:t xml:space="preserve">האם הלוקח צריך להחזיר את השטר ללוה: </w:t>
      </w:r>
    </w:p>
    <w:p w14:paraId="5FB05665" w14:textId="77777777" w:rsidR="001D49D4" w:rsidRPr="001D49D4" w:rsidRDefault="001D49D4" w:rsidP="0004348D">
      <w:pPr>
        <w:numPr>
          <w:ilvl w:val="0"/>
          <w:numId w:val="333"/>
        </w:numPr>
        <w:spacing w:before="360" w:after="240"/>
        <w:contextualSpacing/>
        <w:rPr>
          <w:rFonts w:ascii="Calibri" w:eastAsia="Calibri" w:hAnsi="Calibri" w:cs="Arial"/>
          <w:rtl/>
        </w:rPr>
      </w:pPr>
      <w:r w:rsidRPr="001D49D4">
        <w:rPr>
          <w:rFonts w:ascii="Calibri" w:eastAsia="Calibri" w:hAnsi="Calibri" w:cs="Arial"/>
          <w:rtl/>
        </w:rPr>
        <w:t xml:space="preserve">יש אומרים </w:t>
      </w:r>
      <w:r w:rsidRPr="001D49D4">
        <w:rPr>
          <w:rFonts w:ascii="Calibri" w:eastAsia="Calibri" w:hAnsi="Calibri" w:cs="Arial"/>
          <w:sz w:val="16"/>
          <w:szCs w:val="16"/>
          <w:rtl/>
        </w:rPr>
        <w:t>(הביאם בעל התרומות [שער נא ח"ד סי' א])</w:t>
      </w:r>
      <w:r w:rsidRPr="001D49D4">
        <w:rPr>
          <w:rFonts w:ascii="Calibri" w:eastAsia="Calibri" w:hAnsi="Calibri" w:cs="Arial"/>
          <w:rtl/>
        </w:rPr>
        <w:t>- כיון שפרע הלוה למוכר - כופין ללוקח שיחזיר השטר ללוה, והלוקח ידין עם המוכר שיחזיר לו מעותיו</w:t>
      </w:r>
      <w:r w:rsidRPr="001D49D4">
        <w:rPr>
          <w:rFonts w:ascii="Calibri" w:eastAsia="Calibri" w:hAnsi="Calibri" w:cs="Arial"/>
          <w:vertAlign w:val="superscript"/>
          <w:rtl/>
        </w:rPr>
        <w:footnoteReference w:id="5078"/>
      </w:r>
      <w:r w:rsidRPr="001D49D4">
        <w:rPr>
          <w:rFonts w:ascii="Calibri" w:eastAsia="Calibri" w:hAnsi="Calibri" w:cs="Arial"/>
          <w:rtl/>
        </w:rPr>
        <w:t xml:space="preserve">. </w:t>
      </w:r>
      <w:r w:rsidRPr="001D49D4">
        <w:rPr>
          <w:rFonts w:ascii="Calibri" w:eastAsia="Calibri" w:hAnsi="Calibri" w:cs="Arial"/>
          <w:color w:val="00B0F0"/>
          <w:rtl/>
        </w:rPr>
        <w:t>(וכ"כ הרמ"א)</w:t>
      </w:r>
    </w:p>
    <w:p w14:paraId="0AEF3E35" w14:textId="77777777" w:rsidR="001D49D4" w:rsidRPr="001D49D4" w:rsidRDefault="001D49D4" w:rsidP="0004348D">
      <w:pPr>
        <w:numPr>
          <w:ilvl w:val="0"/>
          <w:numId w:val="333"/>
        </w:numPr>
        <w:spacing w:before="360" w:after="240"/>
        <w:contextualSpacing/>
        <w:rPr>
          <w:rFonts w:ascii="Calibri" w:eastAsia="Calibri" w:hAnsi="Calibri" w:cs="Arial"/>
          <w:rtl/>
        </w:rPr>
      </w:pPr>
      <w:r w:rsidRPr="001D49D4">
        <w:rPr>
          <w:rFonts w:ascii="Calibri" w:eastAsia="Calibri" w:hAnsi="Calibri" w:cs="Arial"/>
          <w:rtl/>
        </w:rPr>
        <w:t xml:space="preserve">יש אומרים </w:t>
      </w:r>
      <w:r w:rsidRPr="001D49D4">
        <w:rPr>
          <w:rFonts w:ascii="Calibri" w:eastAsia="Calibri" w:hAnsi="Calibri" w:cs="Arial"/>
          <w:sz w:val="16"/>
          <w:szCs w:val="16"/>
          <w:rtl/>
        </w:rPr>
        <w:t>(הביאם בעל התרומות [שם])</w:t>
      </w:r>
      <w:r w:rsidRPr="001D49D4">
        <w:rPr>
          <w:rFonts w:ascii="Calibri" w:eastAsia="Calibri" w:hAnsi="Calibri" w:cs="Arial"/>
          <w:rtl/>
        </w:rPr>
        <w:t>- אפילו כתב ולא מסר או מסר ולא כתב אם הלך הלוה ופרע למלוה - אין בית דין כופין ללוקח להחזיר לו השטר ללוה ואפילו נותן לו דמי הנייר, אא"כ נותן לו מה שנתן בו כשקנאו</w:t>
      </w:r>
      <w:r w:rsidRPr="001D49D4">
        <w:rPr>
          <w:rFonts w:ascii="Calibri" w:eastAsia="Calibri" w:hAnsi="Calibri" w:cs="Arial"/>
          <w:vertAlign w:val="superscript"/>
          <w:rtl/>
        </w:rPr>
        <w:footnoteReference w:id="5079"/>
      </w:r>
      <w:r w:rsidRPr="001D49D4">
        <w:rPr>
          <w:rFonts w:ascii="Calibri" w:eastAsia="Calibri" w:hAnsi="Calibri" w:cs="Arial"/>
          <w:rtl/>
        </w:rPr>
        <w:t xml:space="preserve">. </w:t>
      </w:r>
    </w:p>
    <w:p w14:paraId="17321EBE" w14:textId="77777777" w:rsidR="001D49D4" w:rsidRPr="001D49D4" w:rsidRDefault="001D49D4" w:rsidP="0004348D">
      <w:pPr>
        <w:spacing w:before="360" w:after="240"/>
        <w:rPr>
          <w:rFonts w:ascii="Calibri" w:eastAsia="Calibri" w:hAnsi="Calibri" w:cs="Arial"/>
          <w:sz w:val="16"/>
          <w:szCs w:val="16"/>
        </w:rPr>
      </w:pPr>
      <w:r w:rsidRPr="001D49D4">
        <w:rPr>
          <w:rFonts w:ascii="Calibri" w:eastAsia="Calibri" w:hAnsi="Calibri" w:cs="Arial"/>
          <w:u w:val="single"/>
          <w:rtl/>
        </w:rPr>
        <w:t xml:space="preserve">לוה שפרע ללוקח, ותובע הלוה מן המלוה את שטר החוב </w:t>
      </w:r>
      <w:r w:rsidRPr="001D49D4">
        <w:rPr>
          <w:rFonts w:ascii="Calibri" w:eastAsia="Calibri" w:hAnsi="Calibri" w:cs="Arial"/>
          <w:sz w:val="16"/>
          <w:szCs w:val="16"/>
          <w:u w:val="single"/>
          <w:rtl/>
        </w:rPr>
        <w:t>(כיון שפרע)</w:t>
      </w:r>
      <w:r w:rsidRPr="001D49D4">
        <w:rPr>
          <w:rFonts w:ascii="Calibri" w:eastAsia="Calibri" w:hAnsi="Calibri" w:cs="Arial"/>
          <w:u w:val="single"/>
          <w:rtl/>
        </w:rPr>
        <w:t>:</w:t>
      </w:r>
      <w:r w:rsidRPr="001D49D4">
        <w:rPr>
          <w:rFonts w:ascii="Calibri" w:eastAsia="Calibri" w:hAnsi="Calibri" w:cs="Arial"/>
          <w:sz w:val="16"/>
          <w:szCs w:val="16"/>
          <w:rtl/>
        </w:rPr>
        <w:t xml:space="preserve">   (דרכ"מ אות ה)</w:t>
      </w:r>
    </w:p>
    <w:p w14:paraId="78D22E4B" w14:textId="77777777" w:rsidR="001D49D4" w:rsidRPr="001D49D4" w:rsidRDefault="001D49D4" w:rsidP="0004348D">
      <w:pPr>
        <w:numPr>
          <w:ilvl w:val="0"/>
          <w:numId w:val="333"/>
        </w:numPr>
        <w:spacing w:before="360" w:after="240"/>
        <w:contextualSpacing/>
        <w:rPr>
          <w:rFonts w:ascii="Calibri" w:eastAsia="Calibri" w:hAnsi="Calibri" w:cs="Arial"/>
        </w:rPr>
      </w:pPr>
      <w:r w:rsidRPr="001D49D4">
        <w:rPr>
          <w:rFonts w:ascii="Calibri" w:eastAsia="Calibri" w:hAnsi="Calibri" w:cs="Arial"/>
          <w:rtl/>
        </w:rPr>
        <w:t xml:space="preserve">רא"ש </w:t>
      </w:r>
      <w:r w:rsidRPr="001D49D4">
        <w:rPr>
          <w:rFonts w:ascii="Calibri" w:eastAsia="Calibri" w:hAnsi="Calibri" w:cs="Arial"/>
          <w:sz w:val="16"/>
          <w:szCs w:val="16"/>
          <w:rtl/>
        </w:rPr>
        <w:t>(כלל סט סי' ב)</w:t>
      </w:r>
      <w:r w:rsidRPr="001D49D4">
        <w:rPr>
          <w:rFonts w:ascii="Calibri" w:eastAsia="Calibri" w:hAnsi="Calibri" w:cs="Arial"/>
          <w:rtl/>
        </w:rPr>
        <w:t>- לוה אחד שפרע ללוקח ואח"כ תובע מן המלוה השטר חוב ואין הלוקח בכאן - אין בטענתו ממש, דאין לו על המוכר כלום דלא היה לו לפרוע ללוקח עד שיחזיר לו שטרו.</w:t>
      </w:r>
    </w:p>
    <w:p w14:paraId="3246FA31" w14:textId="77777777" w:rsidR="001D49D4" w:rsidRPr="001D49D4" w:rsidRDefault="001D49D4" w:rsidP="0004348D">
      <w:pPr>
        <w:spacing w:before="360" w:after="240"/>
        <w:rPr>
          <w:rFonts w:ascii="Arial" w:eastAsia="Calibri" w:hAnsi="Arial" w:cs="Arial"/>
          <w:b/>
          <w:bCs/>
          <w:color w:val="000000"/>
          <w:sz w:val="28"/>
          <w:szCs w:val="28"/>
          <w:u w:val="single"/>
          <w:rtl/>
        </w:rPr>
      </w:pPr>
      <w:r w:rsidRPr="001D49D4">
        <w:rPr>
          <w:rFonts w:ascii="Arial" w:eastAsia="Calibri" w:hAnsi="Arial" w:cs="Arial"/>
          <w:b/>
          <w:bCs/>
          <w:color w:val="000000"/>
          <w:sz w:val="28"/>
          <w:szCs w:val="28"/>
          <w:u w:val="single"/>
          <w:rtl/>
        </w:rPr>
        <w:t>שו"ע:</w:t>
      </w:r>
    </w:p>
    <w:p w14:paraId="67F908E2"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rtl/>
        </w:rPr>
        <w:t>המוכר שטר חוב לחבירו כדינו, ובאים המוכר והלוקח לתבעו מהלוה, בית דין אומרים לו ליתנו ללוקח</w:t>
      </w:r>
      <w:r w:rsidRPr="001D49D4">
        <w:rPr>
          <w:rFonts w:ascii="Calibri" w:eastAsia="Calibri" w:hAnsi="Calibri" w:cs="Arial"/>
          <w:vertAlign w:val="superscript"/>
          <w:rtl/>
        </w:rPr>
        <w:footnoteReference w:id="5080"/>
      </w:r>
      <w:r w:rsidRPr="001D49D4">
        <w:rPr>
          <w:rFonts w:ascii="Calibri" w:eastAsia="Calibri" w:hAnsi="Calibri" w:cs="Arial"/>
          <w:rtl/>
        </w:rPr>
        <w:t>. ואם יפרע למוכר, חוזר וגובה ממנו</w:t>
      </w:r>
      <w:r w:rsidRPr="001D49D4">
        <w:rPr>
          <w:rFonts w:ascii="Calibri" w:eastAsia="Calibri" w:hAnsi="Calibri" w:cs="Arial"/>
          <w:vertAlign w:val="superscript"/>
          <w:rtl/>
        </w:rPr>
        <w:footnoteReference w:id="5081"/>
      </w:r>
      <w:r w:rsidRPr="001D49D4">
        <w:rPr>
          <w:rFonts w:ascii="Calibri" w:eastAsia="Calibri" w:hAnsi="Calibri" w:cs="Arial"/>
          <w:rtl/>
        </w:rPr>
        <w:t xml:space="preserve"> הלוקח. ואם קדם הלוה ופרע למוכר, נפטר, ואין ללוקח עליו אלא תרעומת. </w:t>
      </w:r>
      <w:r w:rsidRPr="001D49D4">
        <w:rPr>
          <w:rFonts w:ascii="Calibri" w:eastAsia="Calibri" w:hAnsi="Calibri" w:cs="Arial"/>
          <w:sz w:val="18"/>
          <w:szCs w:val="18"/>
          <w:rtl/>
        </w:rPr>
        <w:t>[הגה] וי"א דהלוקח צריך להחזיר</w:t>
      </w:r>
      <w:r w:rsidRPr="001D49D4">
        <w:rPr>
          <w:rFonts w:ascii="Calibri" w:eastAsia="Calibri" w:hAnsi="Calibri" w:cs="Arial"/>
          <w:sz w:val="18"/>
          <w:szCs w:val="18"/>
          <w:vertAlign w:val="superscript"/>
          <w:rtl/>
        </w:rPr>
        <w:footnoteReference w:id="5082"/>
      </w:r>
      <w:r w:rsidRPr="001D49D4">
        <w:rPr>
          <w:rFonts w:ascii="Calibri" w:eastAsia="Calibri" w:hAnsi="Calibri" w:cs="Arial"/>
          <w:sz w:val="18"/>
          <w:szCs w:val="18"/>
          <w:rtl/>
        </w:rPr>
        <w:t xml:space="preserve"> ללוה שטרו</w:t>
      </w:r>
      <w:r w:rsidRPr="001D49D4">
        <w:rPr>
          <w:rFonts w:ascii="Calibri" w:eastAsia="Calibri" w:hAnsi="Calibri" w:cs="Arial"/>
          <w:sz w:val="18"/>
          <w:szCs w:val="18"/>
          <w:vertAlign w:val="superscript"/>
          <w:rtl/>
        </w:rPr>
        <w:footnoteReference w:id="5083"/>
      </w:r>
      <w:r w:rsidRPr="001D49D4">
        <w:rPr>
          <w:rFonts w:ascii="Calibri" w:eastAsia="Calibri" w:hAnsi="Calibri" w:cs="Arial"/>
          <w:sz w:val="18"/>
          <w:szCs w:val="18"/>
          <w:rtl/>
        </w:rPr>
        <w:t xml:space="preserve"> (ב"י בשם התרומות שם).</w:t>
      </w:r>
      <w:r w:rsidRPr="001D49D4">
        <w:rPr>
          <w:rFonts w:ascii="Calibri" w:eastAsia="Calibri" w:hAnsi="Calibri" w:cs="Arial"/>
          <w:rtl/>
        </w:rPr>
        <w:t xml:space="preserve"> ובית דין מחייבים את המלוה ליתן ללוקח מה שגבה מהלוה. ואם הוציא ובזבז ואין לו לשלם, פטור הלוה. ויש אומרים שאם פרע הלוה למלוה לא נפטר בזה</w:t>
      </w:r>
      <w:r w:rsidRPr="001D49D4">
        <w:rPr>
          <w:rFonts w:ascii="Calibri" w:eastAsia="Calibri" w:hAnsi="Calibri" w:cs="Arial"/>
          <w:vertAlign w:val="superscript"/>
          <w:rtl/>
        </w:rPr>
        <w:footnoteReference w:id="5084"/>
      </w:r>
      <w:r w:rsidRPr="001D49D4">
        <w:rPr>
          <w:rFonts w:ascii="Calibri" w:eastAsia="Calibri" w:hAnsi="Calibri" w:cs="Arial"/>
          <w:rtl/>
        </w:rPr>
        <w:t xml:space="preserve"> מהלוקח. </w:t>
      </w:r>
    </w:p>
    <w:p w14:paraId="57D6B332" w14:textId="77777777" w:rsidR="001D49D4" w:rsidRPr="001D49D4" w:rsidRDefault="001D49D4" w:rsidP="0004348D">
      <w:pPr>
        <w:spacing w:before="360" w:after="240"/>
        <w:rPr>
          <w:rFonts w:ascii="Calibri" w:eastAsia="Calibri" w:hAnsi="Calibri" w:cs="Arial"/>
          <w:rtl/>
        </w:rPr>
      </w:pPr>
    </w:p>
    <w:p w14:paraId="62A570FC" w14:textId="77777777" w:rsidR="001D49D4" w:rsidRPr="001D49D4" w:rsidRDefault="001D49D4" w:rsidP="0004348D">
      <w:pPr>
        <w:keepNext/>
        <w:keepLines/>
        <w:spacing w:before="360" w:after="240"/>
        <w:outlineLvl w:val="1"/>
        <w:rPr>
          <w:rFonts w:ascii="Cambria" w:eastAsia="Times New Roman" w:hAnsi="Cambria" w:cs="Arial"/>
          <w:bCs/>
          <w:color w:val="548DD4" w:themeColor="text2" w:themeTint="99"/>
          <w:sz w:val="26"/>
          <w:szCs w:val="26"/>
          <w:rtl/>
        </w:rPr>
      </w:pPr>
      <w:bookmarkStart w:id="689" w:name="_Toc24884111"/>
      <w:r w:rsidRPr="001D49D4">
        <w:rPr>
          <w:rFonts w:ascii="Cambria" w:eastAsia="Times New Roman" w:hAnsi="Cambria" w:cs="Arial"/>
          <w:bCs/>
          <w:color w:val="548DD4" w:themeColor="text2" w:themeTint="99"/>
          <w:sz w:val="26"/>
          <w:szCs w:val="26"/>
          <w:rtl/>
        </w:rPr>
        <w:t>סעיף יז: לוה שפרע ללוקח שקנה את השטר שלא כדין.</w:t>
      </w:r>
      <w:bookmarkEnd w:id="689"/>
    </w:p>
    <w:p w14:paraId="7FEC5BFE" w14:textId="77777777" w:rsidR="001D49D4" w:rsidRPr="001D49D4" w:rsidRDefault="001D49D4" w:rsidP="0004348D">
      <w:pPr>
        <w:spacing w:before="360" w:after="240"/>
        <w:rPr>
          <w:rFonts w:ascii="Calibri" w:eastAsia="Calibri" w:hAnsi="Calibri" w:cs="Arial"/>
          <w:color w:val="FF0000"/>
          <w:rtl/>
        </w:rPr>
      </w:pPr>
      <w:r w:rsidRPr="001D49D4">
        <w:rPr>
          <w:rFonts w:ascii="Calibri" w:eastAsia="Calibri" w:hAnsi="Calibri" w:cs="Arial"/>
          <w:b/>
          <w:bCs/>
          <w:rtl/>
        </w:rPr>
        <w:t xml:space="preserve">ב"מ </w:t>
      </w:r>
      <w:r w:rsidRPr="001D49D4">
        <w:rPr>
          <w:rFonts w:ascii="Calibri" w:eastAsia="Calibri" w:hAnsi="Calibri" w:cs="Arial"/>
          <w:b/>
          <w:bCs/>
          <w:sz w:val="16"/>
          <w:szCs w:val="16"/>
          <w:rtl/>
        </w:rPr>
        <w:t xml:space="preserve">(פ' איזהו נשך) </w:t>
      </w:r>
      <w:r w:rsidRPr="001D49D4">
        <w:rPr>
          <w:rFonts w:ascii="Calibri" w:eastAsia="Calibri" w:hAnsi="Calibri" w:cs="Arial"/>
          <w:b/>
          <w:bCs/>
          <w:rtl/>
        </w:rPr>
        <w:t xml:space="preserve">סו ע"ב: </w:t>
      </w:r>
      <w:r w:rsidRPr="001D49D4">
        <w:rPr>
          <w:rFonts w:ascii="Calibri" w:eastAsia="Calibri" w:hAnsi="Calibri" w:cs="Arial"/>
          <w:rtl/>
        </w:rPr>
        <w:t>אמר רב נחמן: השתא דאמור רבנן אסמכתא לא קניא - הדר ארעא והדרי פירי. למימרא דסבר רב נחמן: מחילה בטעות לא הויא מחילה? והאיתמר: המוכר פירות דקל לחבירו, אמר רב הונא: עד שלא באו לעולם - יכול לחזור בו. משבאו לעולם - אין יכול לחזור בו, ורב נחמן אמר: אף משבאו לעולם - יכול לחזור בו. ואמר רב נחמן: מודינא, דאי שמיט ואכיל - לא מפקינן מיניה! - התם זביני, הכא הלואה.</w:t>
      </w:r>
      <w:r w:rsidRPr="001D49D4">
        <w:rPr>
          <w:rFonts w:ascii="Calibri" w:eastAsia="Calibri" w:hAnsi="Calibri" w:cs="Arial"/>
          <w:color w:val="FF0000"/>
          <w:rtl/>
        </w:rPr>
        <w:t xml:space="preserve"> להוסיף מה שצריך בגמ' לא עברתי עליה.</w:t>
      </w:r>
    </w:p>
    <w:p w14:paraId="2992276B" w14:textId="77777777" w:rsidR="001D49D4" w:rsidRPr="001D49D4" w:rsidRDefault="001D49D4" w:rsidP="0004348D">
      <w:pPr>
        <w:spacing w:before="360" w:after="240"/>
        <w:rPr>
          <w:rFonts w:ascii="Calibri" w:eastAsia="Calibri" w:hAnsi="Calibri" w:cs="Arial"/>
          <w:u w:val="single"/>
          <w:rtl/>
        </w:rPr>
      </w:pPr>
      <w:r w:rsidRPr="001D49D4">
        <w:rPr>
          <w:rFonts w:ascii="Calibri" w:eastAsia="Calibri" w:hAnsi="Calibri" w:cs="Arial"/>
          <w:u w:val="single"/>
          <w:rtl/>
        </w:rPr>
        <w:t>לוה שפרע ללוקח שמסר לו המוכר שטר ולא כתב לו 'קני לך איהו וכל שיעבודיה':</w:t>
      </w:r>
    </w:p>
    <w:p w14:paraId="66FF0F5B" w14:textId="77777777" w:rsidR="001D49D4" w:rsidRPr="001D49D4" w:rsidRDefault="001D49D4" w:rsidP="0004348D">
      <w:pPr>
        <w:numPr>
          <w:ilvl w:val="0"/>
          <w:numId w:val="333"/>
        </w:numPr>
        <w:spacing w:before="360" w:after="240"/>
        <w:contextualSpacing/>
        <w:rPr>
          <w:rFonts w:ascii="Calibri" w:eastAsia="Calibri" w:hAnsi="Calibri" w:cs="Arial"/>
          <w:rtl/>
        </w:rPr>
      </w:pPr>
      <w:r w:rsidRPr="001D49D4">
        <w:rPr>
          <w:rFonts w:ascii="Calibri" w:eastAsia="Calibri" w:hAnsi="Calibri" w:cs="Arial"/>
          <w:rtl/>
        </w:rPr>
        <w:t>ר"ת ספר התרומות רשב"א</w:t>
      </w:r>
      <w:r w:rsidRPr="001D49D4">
        <w:rPr>
          <w:rFonts w:ascii="Calibri" w:eastAsia="Calibri" w:hAnsi="Calibri" w:cs="Arial"/>
          <w:vertAlign w:val="superscript"/>
          <w:rtl/>
        </w:rPr>
        <w:footnoteReference w:id="5085"/>
      </w:r>
      <w:r w:rsidRPr="001D49D4">
        <w:rPr>
          <w:rFonts w:ascii="Calibri" w:eastAsia="Calibri" w:hAnsi="Calibri" w:cs="Arial"/>
          <w:rtl/>
        </w:rPr>
        <w:t xml:space="preserve"> רא"ש טור הה"מ ונמוק"י</w:t>
      </w:r>
      <w:r w:rsidRPr="001D49D4">
        <w:rPr>
          <w:rFonts w:ascii="Calibri" w:eastAsia="Calibri" w:hAnsi="Calibri" w:cs="Arial"/>
          <w:vertAlign w:val="superscript"/>
          <w:rtl/>
        </w:rPr>
        <w:footnoteReference w:id="5086"/>
      </w:r>
      <w:r w:rsidRPr="001D49D4">
        <w:rPr>
          <w:rFonts w:ascii="Calibri" w:eastAsia="Calibri" w:hAnsi="Calibri" w:cs="Arial"/>
          <w:rtl/>
        </w:rPr>
        <w:t>- לוה שפרע ללוקח שמסר לו המוכר שטר ולא כתב</w:t>
      </w:r>
      <w:r w:rsidRPr="001D49D4">
        <w:rPr>
          <w:rFonts w:ascii="Calibri" w:eastAsia="Calibri" w:hAnsi="Calibri" w:cs="Arial"/>
          <w:vertAlign w:val="superscript"/>
          <w:rtl/>
        </w:rPr>
        <w:footnoteReference w:id="5087"/>
      </w:r>
      <w:r w:rsidRPr="001D49D4">
        <w:rPr>
          <w:rFonts w:ascii="Calibri" w:eastAsia="Calibri" w:hAnsi="Calibri" w:cs="Arial"/>
          <w:rtl/>
        </w:rPr>
        <w:t xml:space="preserve"> לו 'קני לך איהו וכל שיעבודיה'</w:t>
      </w:r>
      <w:r w:rsidRPr="001D49D4">
        <w:rPr>
          <w:rFonts w:ascii="Calibri" w:eastAsia="Calibri" w:hAnsi="Calibri" w:cs="Arial"/>
          <w:vertAlign w:val="superscript"/>
          <w:rtl/>
        </w:rPr>
        <w:footnoteReference w:id="5088"/>
      </w:r>
      <w:r w:rsidRPr="001D49D4">
        <w:rPr>
          <w:rFonts w:ascii="Calibri" w:eastAsia="Calibri" w:hAnsi="Calibri" w:cs="Arial"/>
          <w:rtl/>
        </w:rPr>
        <w:t xml:space="preserve"> - אינו חייב למוכר כלום, שאע"פ שאין המכר כלום מ"מ אם תפש הלוקח אין מוציאין מידו</w:t>
      </w:r>
      <w:r w:rsidRPr="001D49D4">
        <w:rPr>
          <w:rFonts w:ascii="Calibri" w:eastAsia="Calibri" w:hAnsi="Calibri" w:cs="Arial"/>
          <w:sz w:val="16"/>
          <w:szCs w:val="16"/>
          <w:rtl/>
        </w:rPr>
        <w:t xml:space="preserve"> (ל' הטור)</w:t>
      </w:r>
      <w:r w:rsidRPr="001D49D4">
        <w:rPr>
          <w:rFonts w:ascii="Calibri" w:eastAsia="Calibri" w:hAnsi="Calibri" w:cs="Arial"/>
          <w:rtl/>
        </w:rPr>
        <w:t>.</w:t>
      </w:r>
      <w:r w:rsidRPr="001D49D4">
        <w:rPr>
          <w:rFonts w:ascii="Calibri" w:eastAsia="Calibri" w:hAnsi="Calibri" w:cs="Arial"/>
          <w:color w:val="E36C0A" w:themeColor="accent6" w:themeShade="BF"/>
          <w:rtl/>
        </w:rPr>
        <w:t xml:space="preserve"> (וכ"פ בשו"ע)</w:t>
      </w:r>
    </w:p>
    <w:p w14:paraId="61FD0DF1" w14:textId="77777777" w:rsidR="001D49D4" w:rsidRPr="001D49D4" w:rsidRDefault="001D49D4" w:rsidP="0004348D">
      <w:pPr>
        <w:spacing w:before="360" w:after="240"/>
        <w:rPr>
          <w:rFonts w:ascii="Calibri" w:eastAsia="Calibri" w:hAnsi="Calibri" w:cs="Arial"/>
          <w:u w:val="dotted"/>
        </w:rPr>
      </w:pPr>
      <w:r w:rsidRPr="001D49D4">
        <w:rPr>
          <w:rFonts w:ascii="Calibri" w:eastAsia="Calibri" w:hAnsi="Calibri" w:cs="Arial"/>
          <w:u w:val="dotted"/>
          <w:rtl/>
        </w:rPr>
        <w:t xml:space="preserve">האם הדין כן אף כשהמוכר לא ידע שהלוקח גבה את השטר: </w:t>
      </w:r>
    </w:p>
    <w:p w14:paraId="440CC85E" w14:textId="77777777" w:rsidR="001D49D4" w:rsidRPr="001D49D4" w:rsidRDefault="001D49D4" w:rsidP="0004348D">
      <w:pPr>
        <w:numPr>
          <w:ilvl w:val="0"/>
          <w:numId w:val="333"/>
        </w:numPr>
        <w:spacing w:before="360" w:after="240"/>
        <w:contextualSpacing/>
        <w:rPr>
          <w:rFonts w:ascii="Calibri" w:eastAsia="Calibri" w:hAnsi="Calibri" w:cs="Arial"/>
        </w:rPr>
      </w:pPr>
      <w:r w:rsidRPr="001D49D4">
        <w:rPr>
          <w:rFonts w:ascii="Calibri" w:eastAsia="Calibri" w:hAnsi="Calibri" w:cs="Arial"/>
          <w:rtl/>
        </w:rPr>
        <w:t>רא"ש</w:t>
      </w:r>
      <w:r w:rsidRPr="001D49D4">
        <w:rPr>
          <w:rFonts w:ascii="Calibri" w:eastAsia="Calibri" w:hAnsi="Calibri" w:cs="Arial"/>
          <w:sz w:val="16"/>
          <w:szCs w:val="16"/>
          <w:rtl/>
        </w:rPr>
        <w:t xml:space="preserve"> (שם)</w:t>
      </w:r>
      <w:r w:rsidRPr="001D49D4">
        <w:rPr>
          <w:rFonts w:ascii="Calibri" w:eastAsia="Calibri" w:hAnsi="Calibri" w:cs="Arial"/>
          <w:rtl/>
        </w:rPr>
        <w:t xml:space="preserve"> וטור- ודוקא שידע המוכר שגבאו הלוקח, דכיון שידע ושתק – מחל, אבל אם לא ידע המוכר - חוזר וגובה מבעל חוב, דאמר ליה 'לא היה לך ליתן לו חובי עד שיראה לך שקנאו ממני בדין קניית שטר'. </w:t>
      </w:r>
    </w:p>
    <w:p w14:paraId="396F949E" w14:textId="77777777" w:rsidR="001D49D4" w:rsidRPr="001D49D4" w:rsidRDefault="001D49D4" w:rsidP="0004348D">
      <w:pPr>
        <w:spacing w:before="360" w:after="240"/>
        <w:rPr>
          <w:rFonts w:ascii="Arial" w:eastAsia="Calibri" w:hAnsi="Arial" w:cs="Arial"/>
          <w:b/>
          <w:bCs/>
          <w:color w:val="000000"/>
          <w:sz w:val="28"/>
          <w:szCs w:val="28"/>
          <w:u w:val="single"/>
        </w:rPr>
      </w:pPr>
      <w:r w:rsidRPr="001D49D4">
        <w:rPr>
          <w:rFonts w:ascii="Arial" w:eastAsia="Calibri" w:hAnsi="Arial" w:cs="Arial"/>
          <w:b/>
          <w:bCs/>
          <w:color w:val="000000"/>
          <w:sz w:val="28"/>
          <w:szCs w:val="28"/>
          <w:u w:val="single"/>
          <w:rtl/>
        </w:rPr>
        <w:t>שו"ע:</w:t>
      </w:r>
    </w:p>
    <w:p w14:paraId="08A53C68"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rtl/>
        </w:rPr>
        <w:t>לוה שפרע ללוקח שמסר לו השטר, ולא כתב לו 'קני לך איהו וכל שעבודיה', אינו חייב למוכר כלום, שאף על פי שאין המכר כלום, מכל מקום אם תפס הלוקח אין מוציאין מידו</w:t>
      </w:r>
      <w:r w:rsidRPr="001D49D4">
        <w:rPr>
          <w:rFonts w:ascii="Calibri" w:eastAsia="Calibri" w:hAnsi="Calibri" w:cs="Arial"/>
          <w:vertAlign w:val="superscript"/>
          <w:rtl/>
        </w:rPr>
        <w:footnoteReference w:id="5089"/>
      </w:r>
      <w:r w:rsidRPr="001D49D4">
        <w:rPr>
          <w:rFonts w:ascii="Calibri" w:eastAsia="Calibri" w:hAnsi="Calibri" w:cs="Arial"/>
          <w:rtl/>
        </w:rPr>
        <w:t xml:space="preserve">. </w:t>
      </w:r>
      <w:r w:rsidRPr="001D49D4">
        <w:rPr>
          <w:rFonts w:ascii="Calibri" w:eastAsia="Calibri" w:hAnsi="Calibri" w:cs="Arial"/>
          <w:sz w:val="18"/>
          <w:szCs w:val="18"/>
          <w:rtl/>
        </w:rPr>
        <w:t>הגה: ודוקא שלא כתב ליה: קני לך וכו', אבל אמר לו בעל פה</w:t>
      </w:r>
      <w:r w:rsidRPr="001D49D4">
        <w:rPr>
          <w:rFonts w:ascii="Calibri" w:eastAsia="Calibri" w:hAnsi="Calibri" w:cs="Arial"/>
          <w:sz w:val="18"/>
          <w:szCs w:val="18"/>
          <w:vertAlign w:val="superscript"/>
          <w:rtl/>
        </w:rPr>
        <w:footnoteReference w:id="5090"/>
      </w:r>
      <w:r w:rsidRPr="001D49D4">
        <w:rPr>
          <w:rFonts w:ascii="Calibri" w:eastAsia="Calibri" w:hAnsi="Calibri" w:cs="Arial"/>
          <w:sz w:val="18"/>
          <w:szCs w:val="18"/>
          <w:rtl/>
        </w:rPr>
        <w:t>. אבל אי לא אמר לו כן, אפילו תפס, מוציאין מידו</w:t>
      </w:r>
      <w:r w:rsidRPr="001D49D4">
        <w:rPr>
          <w:rFonts w:ascii="Calibri" w:eastAsia="Calibri" w:hAnsi="Calibri" w:cs="Arial"/>
          <w:sz w:val="16"/>
          <w:szCs w:val="16"/>
          <w:rtl/>
        </w:rPr>
        <w:t xml:space="preserve"> (רשב"א)</w:t>
      </w:r>
      <w:r w:rsidRPr="001D49D4">
        <w:rPr>
          <w:rFonts w:ascii="Calibri" w:eastAsia="Calibri" w:hAnsi="Calibri" w:cs="Arial"/>
          <w:sz w:val="18"/>
          <w:szCs w:val="18"/>
          <w:rtl/>
        </w:rPr>
        <w:t xml:space="preserve">. </w:t>
      </w:r>
      <w:r w:rsidRPr="001D49D4">
        <w:rPr>
          <w:rFonts w:ascii="Calibri" w:eastAsia="Calibri" w:hAnsi="Calibri" w:cs="Arial"/>
          <w:rtl/>
        </w:rPr>
        <w:t>ויש מי שאומר דוקא שידע המוכר שגבאו הלוקח, דכיון שידע ושתק, מחל. אבל אם לא ידע המוכר, חוזר וגובה מבעל חוב</w:t>
      </w:r>
      <w:r w:rsidRPr="001D49D4">
        <w:rPr>
          <w:rFonts w:ascii="Calibri" w:eastAsia="Calibri" w:hAnsi="Calibri" w:cs="Arial"/>
          <w:vertAlign w:val="superscript"/>
          <w:rtl/>
        </w:rPr>
        <w:footnoteReference w:id="5091"/>
      </w:r>
      <w:r w:rsidRPr="001D49D4">
        <w:rPr>
          <w:rFonts w:ascii="Calibri" w:eastAsia="Calibri" w:hAnsi="Calibri" w:cs="Arial"/>
          <w:rtl/>
        </w:rPr>
        <w:t>, דאמר ליה 'לא היה לך ליתן לו חובו עד שיראה לך שקנאו ממני כדין קניית שטר</w:t>
      </w:r>
      <w:r w:rsidRPr="001D49D4">
        <w:rPr>
          <w:rFonts w:ascii="Calibri" w:eastAsia="Calibri" w:hAnsi="Calibri" w:cs="Arial"/>
          <w:vertAlign w:val="superscript"/>
          <w:rtl/>
        </w:rPr>
        <w:footnoteReference w:id="5092"/>
      </w:r>
      <w:r w:rsidRPr="001D49D4">
        <w:rPr>
          <w:rFonts w:ascii="Calibri" w:eastAsia="Calibri" w:hAnsi="Calibri" w:cs="Arial"/>
          <w:rtl/>
        </w:rPr>
        <w:t xml:space="preserve">'. </w:t>
      </w:r>
      <w:r w:rsidRPr="001D49D4">
        <w:rPr>
          <w:rFonts w:ascii="Calibri" w:eastAsia="Calibri" w:hAnsi="Calibri" w:cs="Arial"/>
          <w:sz w:val="18"/>
          <w:szCs w:val="18"/>
          <w:rtl/>
        </w:rPr>
        <w:t>[הגה] ואם אין הלוה יכול לשלם, אין המוכר יכול להוציא מן הלוקח כלום, הואיל ותפס</w:t>
      </w:r>
      <w:r w:rsidRPr="001D49D4">
        <w:rPr>
          <w:rFonts w:ascii="Calibri" w:eastAsia="Calibri" w:hAnsi="Calibri" w:cs="Arial"/>
          <w:sz w:val="18"/>
          <w:szCs w:val="18"/>
          <w:vertAlign w:val="superscript"/>
          <w:rtl/>
        </w:rPr>
        <w:footnoteReference w:id="5093"/>
      </w:r>
      <w:r w:rsidRPr="001D49D4">
        <w:rPr>
          <w:rFonts w:ascii="Calibri" w:eastAsia="Calibri" w:hAnsi="Calibri" w:cs="Arial"/>
          <w:sz w:val="18"/>
          <w:szCs w:val="18"/>
          <w:rtl/>
        </w:rPr>
        <w:t xml:space="preserve"> </w:t>
      </w:r>
      <w:r w:rsidRPr="001D49D4">
        <w:rPr>
          <w:rFonts w:ascii="Calibri" w:eastAsia="Calibri" w:hAnsi="Calibri" w:cs="Arial"/>
          <w:sz w:val="16"/>
          <w:szCs w:val="16"/>
          <w:rtl/>
        </w:rPr>
        <w:t>(תרוה"ד ס' שיג)</w:t>
      </w:r>
      <w:r w:rsidRPr="001D49D4">
        <w:rPr>
          <w:rFonts w:ascii="Calibri" w:eastAsia="Calibri" w:hAnsi="Calibri" w:cs="Arial"/>
          <w:sz w:val="18"/>
          <w:szCs w:val="18"/>
          <w:rtl/>
        </w:rPr>
        <w:t>.</w:t>
      </w:r>
      <w:r w:rsidRPr="001D49D4">
        <w:rPr>
          <w:rFonts w:ascii="Calibri" w:eastAsia="Calibri" w:hAnsi="Calibri" w:cs="Arial"/>
          <w:rtl/>
        </w:rPr>
        <w:t xml:space="preserve"> </w:t>
      </w:r>
    </w:p>
    <w:p w14:paraId="460B0E70" w14:textId="77777777" w:rsidR="001D49D4" w:rsidRPr="001D49D4" w:rsidRDefault="001D49D4" w:rsidP="0004348D">
      <w:pPr>
        <w:spacing w:before="360" w:after="240"/>
        <w:rPr>
          <w:rFonts w:ascii="Calibri" w:eastAsia="Calibri" w:hAnsi="Calibri" w:cs="Arial"/>
          <w:rtl/>
        </w:rPr>
      </w:pPr>
    </w:p>
    <w:p w14:paraId="3135C26B" w14:textId="77777777" w:rsidR="001D49D4" w:rsidRPr="001D49D4" w:rsidRDefault="001D49D4" w:rsidP="0004348D">
      <w:pPr>
        <w:keepNext/>
        <w:keepLines/>
        <w:spacing w:before="360" w:after="240"/>
        <w:outlineLvl w:val="1"/>
        <w:rPr>
          <w:rFonts w:ascii="Cambria" w:eastAsia="Times New Roman" w:hAnsi="Cambria" w:cs="Arial"/>
          <w:bCs/>
          <w:color w:val="548DD4" w:themeColor="text2" w:themeTint="99"/>
          <w:sz w:val="26"/>
          <w:szCs w:val="26"/>
          <w:rtl/>
        </w:rPr>
      </w:pPr>
      <w:bookmarkStart w:id="690" w:name="_Toc24884112"/>
      <w:r w:rsidRPr="001D49D4">
        <w:rPr>
          <w:rFonts w:ascii="Cambria" w:eastAsia="Times New Roman" w:hAnsi="Cambria" w:cs="Arial"/>
          <w:bCs/>
          <w:color w:val="548DD4" w:themeColor="text2" w:themeTint="99"/>
          <w:sz w:val="26"/>
          <w:szCs w:val="26"/>
          <w:rtl/>
        </w:rPr>
        <w:t>סעיף יח: לוקח שקנה שטר במסירה בלבד וזקף את השטר במלוה על שמו.</w:t>
      </w:r>
      <w:bookmarkEnd w:id="690"/>
    </w:p>
    <w:p w14:paraId="767053A4" w14:textId="77777777" w:rsidR="001D49D4" w:rsidRPr="001D49D4" w:rsidRDefault="001D49D4" w:rsidP="0004348D">
      <w:pPr>
        <w:spacing w:before="360" w:after="240"/>
        <w:rPr>
          <w:rFonts w:ascii="Calibri" w:eastAsia="Calibri" w:hAnsi="Calibri" w:cs="Arial"/>
          <w:u w:val="single"/>
          <w:rtl/>
        </w:rPr>
      </w:pPr>
      <w:r w:rsidRPr="001D49D4">
        <w:rPr>
          <w:rFonts w:ascii="Calibri" w:eastAsia="Calibri" w:hAnsi="Calibri" w:cs="Arial"/>
          <w:u w:val="single"/>
          <w:rtl/>
        </w:rPr>
        <w:t>לוקח שקנה שטר במסירה בלבד וזקף את השטר במלוה על שמו – האם דינו כאילו כבר גבה את החוב</w:t>
      </w:r>
      <w:r w:rsidRPr="001D49D4">
        <w:rPr>
          <w:rFonts w:ascii="Calibri" w:eastAsia="Calibri" w:hAnsi="Calibri" w:cs="Arial"/>
          <w:sz w:val="16"/>
          <w:szCs w:val="16"/>
          <w:u w:val="single"/>
          <w:rtl/>
        </w:rPr>
        <w:t xml:space="preserve"> (כבסעיף הקודם)</w:t>
      </w:r>
      <w:r w:rsidRPr="001D49D4">
        <w:rPr>
          <w:rFonts w:ascii="Calibri" w:eastAsia="Calibri" w:hAnsi="Calibri" w:cs="Arial"/>
          <w:u w:val="single"/>
          <w:rtl/>
        </w:rPr>
        <w:t>:</w:t>
      </w:r>
    </w:p>
    <w:p w14:paraId="4E45B370" w14:textId="77777777" w:rsidR="001D49D4" w:rsidRPr="001D49D4" w:rsidRDefault="001D49D4" w:rsidP="0004348D">
      <w:pPr>
        <w:numPr>
          <w:ilvl w:val="0"/>
          <w:numId w:val="333"/>
        </w:numPr>
        <w:spacing w:before="360" w:after="240"/>
        <w:contextualSpacing/>
        <w:rPr>
          <w:rFonts w:ascii="Calibri" w:eastAsia="Calibri" w:hAnsi="Calibri" w:cs="Arial"/>
          <w:rtl/>
        </w:rPr>
      </w:pPr>
      <w:r w:rsidRPr="001D49D4">
        <w:rPr>
          <w:rFonts w:ascii="Calibri" w:eastAsia="Calibri" w:hAnsi="Calibri" w:cs="Arial"/>
          <w:rtl/>
        </w:rPr>
        <w:t xml:space="preserve">רי"ו </w:t>
      </w:r>
      <w:r w:rsidRPr="001D49D4">
        <w:rPr>
          <w:rFonts w:ascii="Calibri" w:eastAsia="Calibri" w:hAnsi="Calibri" w:cs="Arial"/>
          <w:sz w:val="16"/>
          <w:szCs w:val="16"/>
          <w:rtl/>
        </w:rPr>
        <w:t>(ני"ד מה ע"ג)</w:t>
      </w:r>
      <w:r w:rsidRPr="001D49D4">
        <w:rPr>
          <w:rFonts w:ascii="Calibri" w:eastAsia="Calibri" w:hAnsi="Calibri" w:cs="Arial"/>
          <w:rtl/>
        </w:rPr>
        <w:t>- אם זקפן במלוה על שמו דינו כגבה.</w:t>
      </w:r>
      <w:r w:rsidRPr="001D49D4">
        <w:rPr>
          <w:rFonts w:ascii="Calibri" w:eastAsia="Calibri" w:hAnsi="Calibri" w:cs="Arial"/>
          <w:color w:val="E36C0A" w:themeColor="accent6" w:themeShade="BF"/>
          <w:rtl/>
        </w:rPr>
        <w:t xml:space="preserve"> (וכ"פ בשו"ע)</w:t>
      </w:r>
    </w:p>
    <w:p w14:paraId="6301A913" w14:textId="77777777" w:rsidR="001D49D4" w:rsidRPr="001D49D4" w:rsidRDefault="001D49D4" w:rsidP="0004348D">
      <w:pPr>
        <w:spacing w:before="360" w:after="240"/>
        <w:rPr>
          <w:rFonts w:ascii="Arial" w:eastAsia="Calibri" w:hAnsi="Arial" w:cs="Arial"/>
          <w:b/>
          <w:bCs/>
          <w:color w:val="000000"/>
          <w:sz w:val="28"/>
          <w:szCs w:val="28"/>
          <w:u w:val="single"/>
          <w:rtl/>
        </w:rPr>
      </w:pPr>
      <w:r w:rsidRPr="001D49D4">
        <w:rPr>
          <w:rFonts w:ascii="Arial" w:eastAsia="Calibri" w:hAnsi="Arial" w:cs="Arial"/>
          <w:b/>
          <w:bCs/>
          <w:color w:val="000000"/>
          <w:sz w:val="28"/>
          <w:szCs w:val="28"/>
          <w:u w:val="single"/>
          <w:rtl/>
        </w:rPr>
        <w:t>שו"ע:</w:t>
      </w:r>
    </w:p>
    <w:p w14:paraId="51C0327D"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rtl/>
        </w:rPr>
        <w:t>יש מי שאומר שאם זקפן במלוה על שמו, דינו כגבה</w:t>
      </w:r>
      <w:r w:rsidRPr="001D49D4">
        <w:rPr>
          <w:rFonts w:ascii="Calibri" w:eastAsia="Calibri" w:hAnsi="Calibri" w:cs="Arial"/>
          <w:vertAlign w:val="superscript"/>
          <w:rtl/>
        </w:rPr>
        <w:footnoteReference w:id="5094"/>
      </w:r>
      <w:r w:rsidRPr="001D49D4">
        <w:rPr>
          <w:rFonts w:ascii="Calibri" w:eastAsia="Calibri" w:hAnsi="Calibri" w:cs="Arial"/>
          <w:rtl/>
        </w:rPr>
        <w:t>.</w:t>
      </w:r>
    </w:p>
    <w:p w14:paraId="555DD786" w14:textId="77777777" w:rsidR="001D49D4" w:rsidRPr="001D49D4" w:rsidRDefault="001D49D4" w:rsidP="0004348D">
      <w:pPr>
        <w:spacing w:before="360" w:after="240"/>
        <w:rPr>
          <w:rFonts w:ascii="Calibri" w:eastAsia="Calibri" w:hAnsi="Calibri" w:cs="Arial"/>
          <w:rtl/>
        </w:rPr>
      </w:pPr>
    </w:p>
    <w:p w14:paraId="0C222206" w14:textId="77777777" w:rsidR="001D49D4" w:rsidRPr="001D49D4" w:rsidRDefault="001D49D4" w:rsidP="0004348D">
      <w:pPr>
        <w:keepNext/>
        <w:keepLines/>
        <w:spacing w:before="360" w:after="240"/>
        <w:outlineLvl w:val="1"/>
        <w:rPr>
          <w:rFonts w:ascii="Cambria" w:eastAsia="Times New Roman" w:hAnsi="Cambria" w:cs="Arial"/>
          <w:bCs/>
          <w:color w:val="548DD4" w:themeColor="text2" w:themeTint="99"/>
          <w:sz w:val="26"/>
          <w:szCs w:val="26"/>
          <w:rtl/>
        </w:rPr>
      </w:pPr>
      <w:bookmarkStart w:id="691" w:name="_Toc24884113"/>
      <w:r w:rsidRPr="001D49D4">
        <w:rPr>
          <w:rFonts w:ascii="Cambria" w:eastAsia="Times New Roman" w:hAnsi="Cambria" w:cs="Arial"/>
          <w:bCs/>
          <w:color w:val="548DD4" w:themeColor="text2" w:themeTint="99"/>
          <w:sz w:val="26"/>
          <w:szCs w:val="26"/>
          <w:rtl/>
        </w:rPr>
        <w:t>סעיף יט: מלוה שאמר ללוה 'מנה יש לי בידך בשטר תנהו לפלוני' במעמד שלשתן.</w:t>
      </w:r>
      <w:bookmarkEnd w:id="691"/>
    </w:p>
    <w:p w14:paraId="147FFAB4" w14:textId="77777777" w:rsidR="001D49D4" w:rsidRPr="001D49D4" w:rsidRDefault="001D49D4" w:rsidP="0004348D">
      <w:pPr>
        <w:spacing w:before="360" w:after="240"/>
        <w:rPr>
          <w:rFonts w:ascii="Calibri" w:eastAsia="Calibri" w:hAnsi="Calibri" w:cs="Arial"/>
          <w:u w:val="single"/>
          <w:rtl/>
        </w:rPr>
      </w:pPr>
      <w:r w:rsidRPr="001D49D4">
        <w:rPr>
          <w:rFonts w:ascii="Calibri" w:eastAsia="Calibri" w:hAnsi="Calibri" w:cs="Arial"/>
          <w:u w:val="single"/>
          <w:rtl/>
        </w:rPr>
        <w:t xml:space="preserve">ראובן שהיה לו שט"ח על לוי, ואמר לו 'מנה יש לי בידך בשטר תנהו לשמעון' במעמד שלשתן: </w:t>
      </w:r>
    </w:p>
    <w:p w14:paraId="0CC1798D" w14:textId="77777777" w:rsidR="001D49D4" w:rsidRPr="001D49D4" w:rsidRDefault="001D49D4" w:rsidP="0004348D">
      <w:pPr>
        <w:numPr>
          <w:ilvl w:val="0"/>
          <w:numId w:val="333"/>
        </w:numPr>
        <w:spacing w:before="360" w:after="240"/>
        <w:contextualSpacing/>
        <w:rPr>
          <w:rFonts w:ascii="Calibri" w:eastAsia="Calibri" w:hAnsi="Calibri" w:cs="Arial"/>
          <w:rtl/>
        </w:rPr>
      </w:pPr>
      <w:r w:rsidRPr="001D49D4">
        <w:rPr>
          <w:rFonts w:ascii="Calibri" w:eastAsia="Calibri" w:hAnsi="Calibri" w:cs="Arial"/>
          <w:rtl/>
        </w:rPr>
        <w:t>ספר התרומות</w:t>
      </w:r>
      <w:r w:rsidRPr="001D49D4">
        <w:rPr>
          <w:rFonts w:ascii="Calibri" w:eastAsia="Calibri" w:hAnsi="Calibri" w:cs="Arial"/>
          <w:sz w:val="16"/>
          <w:szCs w:val="16"/>
          <w:rtl/>
        </w:rPr>
        <w:t xml:space="preserve"> (שער כח ח"ו סי' ב)</w:t>
      </w:r>
      <w:r w:rsidRPr="001D49D4">
        <w:rPr>
          <w:rFonts w:ascii="Calibri" w:eastAsia="Calibri" w:hAnsi="Calibri" w:cs="Arial"/>
          <w:rtl/>
        </w:rPr>
        <w:t xml:space="preserve"> וטור- ראובן שהיה לו שט"ח על לוי, ואמר לו 'מנה יש לי בידך בשטר תנהו לשמעון' במעמד שלשתן, כתב הרמב"ן ז"ל - שמעון קנה אותו אע"פ שלא נתן לו השטר, ונשתעבדו לו הלקוחות כמו שנשתעבדו לראובן, אלא שאין שמעון הזוכה יכול להוציא גוף השטר מידו של מלוה, שאותיות יש בהן שני קניינים, קנין הגוף וקנין השיעבוד, ואין אחד מהם נקנית בהקנאת חבירו, אלא שמעון הוא תובע ללוה, ואם כופר לו או שהוצרך לגבות מן המשועבדין - בית דין כופין למלוה להוציא לו השטר ודנין לו על פיו, שראיה של הזוכה היא אצל המלוה ואין כובשין לו עדותו וראייתו. ואם פרע הלוה לשמעון הזוכה מוציאין גוף השטר מיד המלוה ומחזירין אותו ליד הלוה</w:t>
      </w:r>
      <w:r w:rsidRPr="001D49D4">
        <w:rPr>
          <w:rFonts w:ascii="Calibri" w:eastAsia="Calibri" w:hAnsi="Calibri" w:cs="Arial"/>
          <w:sz w:val="16"/>
          <w:szCs w:val="16"/>
          <w:rtl/>
        </w:rPr>
        <w:t xml:space="preserve"> (ל' הטור)</w:t>
      </w:r>
      <w:r w:rsidRPr="001D49D4">
        <w:rPr>
          <w:rFonts w:ascii="Calibri" w:eastAsia="Calibri" w:hAnsi="Calibri" w:cs="Arial"/>
          <w:rtl/>
        </w:rPr>
        <w:t>.</w:t>
      </w:r>
      <w:r w:rsidRPr="001D49D4">
        <w:rPr>
          <w:rFonts w:ascii="Calibri" w:eastAsia="Calibri" w:hAnsi="Calibri" w:cs="Arial"/>
          <w:color w:val="E36C0A" w:themeColor="accent6" w:themeShade="BF"/>
          <w:rtl/>
        </w:rPr>
        <w:t xml:space="preserve"> (וכ"פ בשו"ע)</w:t>
      </w:r>
    </w:p>
    <w:p w14:paraId="7560C580" w14:textId="77777777" w:rsidR="001D49D4" w:rsidRPr="001D49D4" w:rsidRDefault="001D49D4" w:rsidP="0004348D">
      <w:pPr>
        <w:spacing w:before="360" w:after="240"/>
        <w:rPr>
          <w:rFonts w:ascii="Arial" w:eastAsia="Calibri" w:hAnsi="Arial" w:cs="Arial"/>
          <w:b/>
          <w:bCs/>
          <w:color w:val="000000"/>
          <w:sz w:val="28"/>
          <w:szCs w:val="28"/>
          <w:u w:val="single"/>
          <w:rtl/>
        </w:rPr>
      </w:pPr>
      <w:r w:rsidRPr="001D49D4">
        <w:rPr>
          <w:rFonts w:ascii="Arial" w:eastAsia="Calibri" w:hAnsi="Arial" w:cs="Arial"/>
          <w:b/>
          <w:bCs/>
          <w:color w:val="000000"/>
          <w:sz w:val="28"/>
          <w:szCs w:val="28"/>
          <w:u w:val="single"/>
          <w:rtl/>
        </w:rPr>
        <w:t>שו"ע:</w:t>
      </w:r>
    </w:p>
    <w:p w14:paraId="1C85B0F2"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rtl/>
        </w:rPr>
        <w:t>ראובן שהיה לו שטר חוב על לוי, ואמר ליה 'מנה יש לי בידך בשטר תנהו לשמעון', במעמד שלשתן</w:t>
      </w:r>
      <w:r w:rsidRPr="001D49D4">
        <w:rPr>
          <w:rFonts w:ascii="Calibri" w:eastAsia="Calibri" w:hAnsi="Calibri" w:cs="Arial"/>
          <w:vertAlign w:val="superscript"/>
          <w:rtl/>
        </w:rPr>
        <w:footnoteReference w:id="5095"/>
      </w:r>
      <w:r w:rsidRPr="001D49D4">
        <w:rPr>
          <w:rFonts w:ascii="Calibri" w:eastAsia="Calibri" w:hAnsi="Calibri" w:cs="Arial"/>
          <w:rtl/>
        </w:rPr>
        <w:t>, קנה שמעון אף על פי שלא נתן לו השטר, ונשתעבדו לו הלקוחות</w:t>
      </w:r>
      <w:r w:rsidRPr="001D49D4">
        <w:rPr>
          <w:rFonts w:ascii="Calibri" w:eastAsia="Calibri" w:hAnsi="Calibri" w:cs="Arial"/>
          <w:vertAlign w:val="superscript"/>
          <w:rtl/>
        </w:rPr>
        <w:footnoteReference w:id="5096"/>
      </w:r>
      <w:r w:rsidRPr="001D49D4">
        <w:rPr>
          <w:rFonts w:ascii="Calibri" w:eastAsia="Calibri" w:hAnsi="Calibri" w:cs="Arial"/>
          <w:rtl/>
        </w:rPr>
        <w:t xml:space="preserve"> כמו שנשתעבדו לראובן. אלא שאין שמעון הזוכה יכול להוציא גוף השטר מיד המלוה, אלא שמעון תובע ללוה, ואם יכפור או שהוצרך לגבות מהמשועבדים, בית דין כופין למלוה להוציא השטר, ודנין על פיו. ואם פרע הלוה לשמעון הזוכה, מוציאין גוף השטר מיד המלוה ומחזירין אותו ליד הלוה. </w:t>
      </w:r>
    </w:p>
    <w:p w14:paraId="4FE1E7B0" w14:textId="77777777" w:rsidR="001D49D4" w:rsidRPr="001D49D4" w:rsidRDefault="001D49D4" w:rsidP="0004348D">
      <w:pPr>
        <w:spacing w:before="360" w:after="240"/>
        <w:rPr>
          <w:rFonts w:ascii="Calibri" w:eastAsia="Calibri" w:hAnsi="Calibri" w:cs="Arial"/>
          <w:rtl/>
        </w:rPr>
      </w:pPr>
    </w:p>
    <w:p w14:paraId="2882387C" w14:textId="77777777" w:rsidR="001D49D4" w:rsidRPr="001D49D4" w:rsidRDefault="001D49D4" w:rsidP="0004348D">
      <w:pPr>
        <w:keepNext/>
        <w:keepLines/>
        <w:spacing w:before="360" w:after="240"/>
        <w:outlineLvl w:val="1"/>
        <w:rPr>
          <w:rFonts w:ascii="Cambria" w:eastAsia="Times New Roman" w:hAnsi="Cambria" w:cs="Arial"/>
          <w:bCs/>
          <w:color w:val="548DD4" w:themeColor="text2" w:themeTint="99"/>
          <w:sz w:val="26"/>
          <w:szCs w:val="26"/>
          <w:rtl/>
        </w:rPr>
      </w:pPr>
      <w:bookmarkStart w:id="692" w:name="_Toc24884114"/>
      <w:r w:rsidRPr="001D49D4">
        <w:rPr>
          <w:rFonts w:ascii="Cambria" w:eastAsia="Times New Roman" w:hAnsi="Cambria" w:cs="Arial"/>
          <w:bCs/>
          <w:color w:val="548DD4" w:themeColor="text2" w:themeTint="99"/>
          <w:sz w:val="26"/>
          <w:szCs w:val="26"/>
          <w:rtl/>
        </w:rPr>
        <w:t>סעיף כ: ראובן שאמר לשמעון 'שטרות שהפקדתי בידך תנם אותם ללוי' במעמד שלשתן.</w:t>
      </w:r>
      <w:bookmarkEnd w:id="692"/>
    </w:p>
    <w:p w14:paraId="26BDB5F4" w14:textId="77777777" w:rsidR="001D49D4" w:rsidRPr="001D49D4" w:rsidRDefault="001D49D4" w:rsidP="0004348D">
      <w:pPr>
        <w:spacing w:before="360" w:after="240"/>
        <w:rPr>
          <w:rFonts w:ascii="Calibri" w:eastAsia="Calibri" w:hAnsi="Calibri" w:cs="Arial"/>
          <w:u w:val="single"/>
          <w:rtl/>
        </w:rPr>
      </w:pPr>
      <w:r w:rsidRPr="001D49D4">
        <w:rPr>
          <w:rFonts w:ascii="Calibri" w:eastAsia="Calibri" w:hAnsi="Calibri" w:cs="Arial"/>
          <w:u w:val="single"/>
          <w:rtl/>
        </w:rPr>
        <w:t>ראובן הפקיד שטרי חובות אצל שמעון, וא"ל 'שטרות שהפקדתי בידך תנם אותם ללוי' במעמד שלשתן:</w:t>
      </w:r>
    </w:p>
    <w:p w14:paraId="56FA215D" w14:textId="77777777" w:rsidR="001D49D4" w:rsidRPr="001D49D4" w:rsidRDefault="001D49D4" w:rsidP="0004348D">
      <w:pPr>
        <w:numPr>
          <w:ilvl w:val="0"/>
          <w:numId w:val="333"/>
        </w:numPr>
        <w:spacing w:before="360" w:after="240"/>
        <w:contextualSpacing/>
        <w:rPr>
          <w:rFonts w:ascii="Calibri" w:eastAsia="Calibri" w:hAnsi="Calibri" w:cs="Arial"/>
          <w:rtl/>
        </w:rPr>
      </w:pPr>
      <w:r w:rsidRPr="001D49D4">
        <w:rPr>
          <w:rFonts w:ascii="Calibri" w:eastAsia="Calibri" w:hAnsi="Calibri" w:cs="Arial"/>
          <w:rtl/>
        </w:rPr>
        <w:t>ספר התרומות</w:t>
      </w:r>
      <w:r w:rsidRPr="001D49D4">
        <w:rPr>
          <w:rFonts w:ascii="Calibri" w:eastAsia="Calibri" w:hAnsi="Calibri" w:cs="Arial"/>
          <w:sz w:val="16"/>
          <w:szCs w:val="16"/>
          <w:rtl/>
        </w:rPr>
        <w:t xml:space="preserve"> (שער כח ח"ו סי' א)</w:t>
      </w:r>
      <w:r w:rsidRPr="001D49D4">
        <w:rPr>
          <w:rFonts w:ascii="Calibri" w:eastAsia="Calibri" w:hAnsi="Calibri" w:cs="Arial"/>
          <w:rtl/>
        </w:rPr>
        <w:t xml:space="preserve"> וטור- ראובן הפקיד שטרי חובות אצל שמעון, וא"ל 'שטרות שהפקדתי בידך תנם אותם ללוי' במעמד שלשתן, כל זמן שלא חזר בו ראובן - יש לשמעון ליתנם ללוי. חזר בו - יש לו להחזירם לו, שכל זמן שלא קנה השיעבוד שבהם - לא קנה גופם בין במסירה בין בחליפין בין במעמד שלשתם. </w:t>
      </w:r>
      <w:r w:rsidRPr="001D49D4">
        <w:rPr>
          <w:rFonts w:ascii="Calibri" w:eastAsia="Calibri" w:hAnsi="Calibri" w:cs="Arial"/>
          <w:color w:val="E36C0A" w:themeColor="accent6" w:themeShade="BF"/>
          <w:rtl/>
        </w:rPr>
        <w:t>(וכ"פ בשו"ע)</w:t>
      </w:r>
    </w:p>
    <w:p w14:paraId="54DED0D0" w14:textId="77777777" w:rsidR="001D49D4" w:rsidRPr="001D49D4" w:rsidRDefault="001D49D4" w:rsidP="0004348D">
      <w:pPr>
        <w:spacing w:before="360" w:after="240"/>
        <w:rPr>
          <w:rFonts w:ascii="Calibri" w:eastAsia="Calibri" w:hAnsi="Calibri" w:cs="Arial"/>
          <w:u w:val="dotted"/>
        </w:rPr>
      </w:pPr>
      <w:r w:rsidRPr="001D49D4">
        <w:rPr>
          <w:rFonts w:ascii="Calibri" w:eastAsia="Calibri" w:hAnsi="Calibri" w:cs="Arial"/>
          <w:u w:val="dotted"/>
          <w:rtl/>
        </w:rPr>
        <w:t>ומה הדין אם כתב לו והקנה לו כדין והמחה את השטרי חובות אצל שמעון – האם הוי כמסירה:</w:t>
      </w:r>
    </w:p>
    <w:p w14:paraId="02FDA836" w14:textId="77777777" w:rsidR="001D49D4" w:rsidRPr="001D49D4" w:rsidRDefault="001D49D4" w:rsidP="0004348D">
      <w:pPr>
        <w:numPr>
          <w:ilvl w:val="0"/>
          <w:numId w:val="333"/>
        </w:numPr>
        <w:spacing w:before="360" w:after="240"/>
        <w:contextualSpacing/>
        <w:rPr>
          <w:rFonts w:ascii="Calibri" w:eastAsia="Calibri" w:hAnsi="Calibri" w:cs="Arial"/>
        </w:rPr>
      </w:pPr>
      <w:r w:rsidRPr="001D49D4">
        <w:rPr>
          <w:rFonts w:ascii="Calibri" w:eastAsia="Calibri" w:hAnsi="Calibri" w:cs="Arial"/>
          <w:rtl/>
        </w:rPr>
        <w:t>ספר התרומות</w:t>
      </w:r>
      <w:r w:rsidRPr="001D49D4">
        <w:rPr>
          <w:rFonts w:ascii="Calibri" w:eastAsia="Calibri" w:hAnsi="Calibri" w:cs="Arial"/>
          <w:sz w:val="16"/>
          <w:szCs w:val="16"/>
          <w:rtl/>
        </w:rPr>
        <w:t xml:space="preserve"> (שם)</w:t>
      </w:r>
      <w:r w:rsidRPr="001D49D4">
        <w:rPr>
          <w:rFonts w:ascii="Calibri" w:eastAsia="Calibri" w:hAnsi="Calibri" w:cs="Arial"/>
          <w:rtl/>
        </w:rPr>
        <w:t xml:space="preserve"> וטור- אם כתב לו והקנה לו הן וכל השיעבוד שבהם והמחה זה אצל אותו שמופקדים בידו - המחאה זו כמו מסירה, ונמצא שהם קנויין לו בכתיבה ומסירה</w:t>
      </w:r>
      <w:r w:rsidRPr="001D49D4">
        <w:rPr>
          <w:rFonts w:ascii="Calibri" w:eastAsia="Calibri" w:hAnsi="Calibri" w:cs="Arial"/>
          <w:vertAlign w:val="superscript"/>
          <w:rtl/>
        </w:rPr>
        <w:footnoteReference w:id="5097"/>
      </w:r>
      <w:r w:rsidRPr="001D49D4">
        <w:rPr>
          <w:rFonts w:ascii="Calibri" w:eastAsia="Calibri" w:hAnsi="Calibri" w:cs="Arial"/>
          <w:rtl/>
        </w:rPr>
        <w:t>.</w:t>
      </w:r>
      <w:r w:rsidRPr="001D49D4">
        <w:rPr>
          <w:rFonts w:ascii="Calibri" w:eastAsia="Calibri" w:hAnsi="Calibri" w:cs="Arial"/>
          <w:color w:val="E36C0A" w:themeColor="accent6" w:themeShade="BF"/>
          <w:rtl/>
        </w:rPr>
        <w:t xml:space="preserve"> (וכ"פ בשו"ע)</w:t>
      </w:r>
    </w:p>
    <w:p w14:paraId="582AE1A1" w14:textId="77777777" w:rsidR="001D49D4" w:rsidRPr="001D49D4" w:rsidRDefault="001D49D4" w:rsidP="0004348D">
      <w:pPr>
        <w:spacing w:before="360" w:after="240"/>
        <w:rPr>
          <w:rFonts w:ascii="Arial" w:eastAsia="Calibri" w:hAnsi="Arial" w:cs="Arial"/>
          <w:b/>
          <w:bCs/>
          <w:color w:val="000000"/>
          <w:sz w:val="28"/>
          <w:szCs w:val="28"/>
          <w:u w:val="single"/>
          <w:rtl/>
        </w:rPr>
      </w:pPr>
      <w:r w:rsidRPr="001D49D4">
        <w:rPr>
          <w:rFonts w:ascii="Arial" w:eastAsia="Calibri" w:hAnsi="Arial" w:cs="Arial"/>
          <w:b/>
          <w:bCs/>
          <w:color w:val="000000"/>
          <w:sz w:val="28"/>
          <w:szCs w:val="28"/>
          <w:u w:val="single"/>
          <w:rtl/>
        </w:rPr>
        <w:t>שו"ע:</w:t>
      </w:r>
    </w:p>
    <w:p w14:paraId="001EB84F"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rtl/>
        </w:rPr>
        <w:t>ראובן הפקיד שטרי חובות אצל שמעון ואמר לו 'שטרות שהפקדתי בידך תנם ללוי', במעמד שלשתן</w:t>
      </w:r>
      <w:r w:rsidRPr="001D49D4">
        <w:rPr>
          <w:rFonts w:ascii="Calibri" w:eastAsia="Calibri" w:hAnsi="Calibri" w:cs="Arial"/>
          <w:vertAlign w:val="superscript"/>
          <w:rtl/>
        </w:rPr>
        <w:footnoteReference w:id="5098"/>
      </w:r>
      <w:r w:rsidRPr="001D49D4">
        <w:rPr>
          <w:rFonts w:ascii="Calibri" w:eastAsia="Calibri" w:hAnsi="Calibri" w:cs="Arial"/>
          <w:rtl/>
        </w:rPr>
        <w:t>, כל זמן שלא חזר בו ראובן יש לשמעון ליתנם ללוי. חזר בו, יש לו להחזירה לו, שכל זמן שלא קנה השעבוד שבהם לא קנה גופם, בין במסירה בין בחליפין</w:t>
      </w:r>
      <w:r w:rsidRPr="001D49D4">
        <w:rPr>
          <w:rFonts w:ascii="Calibri" w:eastAsia="Calibri" w:hAnsi="Calibri" w:cs="Arial"/>
          <w:vertAlign w:val="superscript"/>
          <w:rtl/>
        </w:rPr>
        <w:footnoteReference w:id="5099"/>
      </w:r>
      <w:r w:rsidRPr="001D49D4">
        <w:rPr>
          <w:rFonts w:ascii="Calibri" w:eastAsia="Calibri" w:hAnsi="Calibri" w:cs="Arial"/>
          <w:rtl/>
        </w:rPr>
        <w:t xml:space="preserve"> בין במעמד שלשתן. ואם כתב לו והקנה לו הן וכל השעבוד שבהן, והמחהו</w:t>
      </w:r>
      <w:r w:rsidRPr="001D49D4">
        <w:rPr>
          <w:rFonts w:ascii="Calibri" w:eastAsia="Calibri" w:hAnsi="Calibri" w:cs="Arial"/>
          <w:vertAlign w:val="superscript"/>
          <w:rtl/>
        </w:rPr>
        <w:footnoteReference w:id="5100"/>
      </w:r>
      <w:r w:rsidRPr="001D49D4">
        <w:rPr>
          <w:rFonts w:ascii="Calibri" w:eastAsia="Calibri" w:hAnsi="Calibri" w:cs="Arial"/>
          <w:rtl/>
        </w:rPr>
        <w:t xml:space="preserve"> אצל אותו שמופקדים בידו, המחאה זו כמו מסירה, ונמצא שהם קנויים לו בכתיבה ומסירה</w:t>
      </w:r>
      <w:r w:rsidRPr="001D49D4">
        <w:rPr>
          <w:rFonts w:ascii="Calibri" w:eastAsia="Calibri" w:hAnsi="Calibri" w:cs="Arial"/>
          <w:vertAlign w:val="superscript"/>
          <w:rtl/>
        </w:rPr>
        <w:footnoteReference w:id="5101"/>
      </w:r>
      <w:r w:rsidRPr="001D49D4">
        <w:rPr>
          <w:rFonts w:ascii="Calibri" w:eastAsia="Calibri" w:hAnsi="Calibri" w:cs="Arial"/>
          <w:rtl/>
        </w:rPr>
        <w:t>.</w:t>
      </w:r>
    </w:p>
    <w:p w14:paraId="35915883" w14:textId="77777777" w:rsidR="001D49D4" w:rsidRPr="001D49D4" w:rsidRDefault="001D49D4" w:rsidP="0004348D">
      <w:pPr>
        <w:spacing w:before="360" w:after="240"/>
        <w:rPr>
          <w:rFonts w:ascii="Calibri" w:eastAsia="Calibri" w:hAnsi="Calibri" w:cs="Arial"/>
          <w:rtl/>
        </w:rPr>
      </w:pPr>
    </w:p>
    <w:p w14:paraId="23FD5AB5" w14:textId="77777777" w:rsidR="001D49D4" w:rsidRPr="001D49D4" w:rsidRDefault="001D49D4" w:rsidP="0004348D">
      <w:pPr>
        <w:keepNext/>
        <w:keepLines/>
        <w:spacing w:before="360" w:after="240"/>
        <w:outlineLvl w:val="1"/>
        <w:rPr>
          <w:rFonts w:ascii="Cambria" w:eastAsia="Times New Roman" w:hAnsi="Cambria" w:cs="Arial"/>
          <w:bCs/>
          <w:color w:val="548DD4" w:themeColor="text2" w:themeTint="99"/>
          <w:sz w:val="26"/>
          <w:szCs w:val="26"/>
          <w:rtl/>
        </w:rPr>
      </w:pPr>
      <w:bookmarkStart w:id="693" w:name="_Toc24884115"/>
      <w:r w:rsidRPr="001D49D4">
        <w:rPr>
          <w:rFonts w:ascii="Cambria" w:eastAsia="Times New Roman" w:hAnsi="Cambria" w:cs="Arial"/>
          <w:bCs/>
          <w:color w:val="548DD4" w:themeColor="text2" w:themeTint="99"/>
          <w:sz w:val="26"/>
          <w:szCs w:val="26"/>
          <w:rtl/>
        </w:rPr>
        <w:t xml:space="preserve">סעיף כא: ראובן היה לו שטר על שמעון ולוי חתום בו ומכרו ללוי </w:t>
      </w:r>
      <w:r w:rsidRPr="001D49D4">
        <w:rPr>
          <w:rFonts w:ascii="Cambria" w:eastAsia="Times New Roman" w:hAnsi="Cambria" w:cs="Arial"/>
          <w:bCs/>
          <w:color w:val="548DD4" w:themeColor="text2" w:themeTint="99"/>
          <w:sz w:val="18"/>
          <w:szCs w:val="18"/>
          <w:rtl/>
        </w:rPr>
        <w:t>(העד)</w:t>
      </w:r>
      <w:r w:rsidRPr="001D49D4">
        <w:rPr>
          <w:rFonts w:ascii="Cambria" w:eastAsia="Times New Roman" w:hAnsi="Cambria" w:cs="Arial"/>
          <w:bCs/>
          <w:color w:val="548DD4" w:themeColor="text2" w:themeTint="99"/>
          <w:sz w:val="26"/>
          <w:szCs w:val="26"/>
          <w:rtl/>
        </w:rPr>
        <w:t>.</w:t>
      </w:r>
      <w:bookmarkEnd w:id="693"/>
    </w:p>
    <w:p w14:paraId="498D8DB2" w14:textId="77777777" w:rsidR="001D49D4" w:rsidRPr="001D49D4" w:rsidRDefault="001D49D4" w:rsidP="0004348D">
      <w:pPr>
        <w:spacing w:before="360" w:after="240"/>
        <w:rPr>
          <w:rFonts w:ascii="Calibri" w:eastAsia="Calibri" w:hAnsi="Calibri" w:cs="Arial"/>
          <w:u w:val="single"/>
          <w:rtl/>
        </w:rPr>
      </w:pPr>
      <w:r w:rsidRPr="001D49D4">
        <w:rPr>
          <w:rFonts w:ascii="Calibri" w:eastAsia="Calibri" w:hAnsi="Calibri" w:cs="Arial"/>
          <w:u w:val="single"/>
          <w:rtl/>
        </w:rPr>
        <w:t xml:space="preserve">ראובן היה לו שטר על שמעון ולוי חתום בו ומכרו ללוי </w:t>
      </w:r>
      <w:r w:rsidRPr="001D49D4">
        <w:rPr>
          <w:rFonts w:ascii="Calibri" w:eastAsia="Calibri" w:hAnsi="Calibri" w:cs="Arial"/>
          <w:sz w:val="16"/>
          <w:szCs w:val="16"/>
          <w:u w:val="single"/>
          <w:rtl/>
        </w:rPr>
        <w:t>(העד)</w:t>
      </w:r>
      <w:r w:rsidRPr="001D49D4">
        <w:rPr>
          <w:rFonts w:ascii="Calibri" w:eastAsia="Calibri" w:hAnsi="Calibri" w:cs="Arial"/>
          <w:u w:val="single"/>
          <w:rtl/>
        </w:rPr>
        <w:t>:</w:t>
      </w:r>
    </w:p>
    <w:p w14:paraId="5681CB7E" w14:textId="77777777" w:rsidR="001D49D4" w:rsidRPr="001D49D4" w:rsidRDefault="001D49D4" w:rsidP="0004348D">
      <w:pPr>
        <w:numPr>
          <w:ilvl w:val="0"/>
          <w:numId w:val="333"/>
        </w:numPr>
        <w:spacing w:before="360" w:after="240"/>
        <w:contextualSpacing/>
        <w:rPr>
          <w:rFonts w:ascii="Calibri" w:eastAsia="Calibri" w:hAnsi="Calibri" w:cs="Arial"/>
          <w:rtl/>
        </w:rPr>
      </w:pPr>
      <w:r w:rsidRPr="001D49D4">
        <w:rPr>
          <w:rFonts w:ascii="Calibri" w:eastAsia="Calibri" w:hAnsi="Calibri" w:cs="Arial"/>
          <w:rtl/>
        </w:rPr>
        <w:t>בעל התרומות</w:t>
      </w:r>
      <w:r w:rsidRPr="001D49D4">
        <w:rPr>
          <w:rFonts w:ascii="Calibri" w:eastAsia="Calibri" w:hAnsi="Calibri" w:cs="Arial"/>
          <w:vertAlign w:val="superscript"/>
          <w:rtl/>
        </w:rPr>
        <w:footnoteReference w:id="5102"/>
      </w:r>
      <w:r w:rsidRPr="001D49D4">
        <w:rPr>
          <w:rFonts w:ascii="Calibri" w:eastAsia="Calibri" w:hAnsi="Calibri" w:cs="Arial"/>
          <w:rtl/>
        </w:rPr>
        <w:t xml:space="preserve"> </w:t>
      </w:r>
      <w:r w:rsidRPr="001D49D4">
        <w:rPr>
          <w:rFonts w:ascii="Calibri" w:eastAsia="Calibri" w:hAnsi="Calibri" w:cs="Arial"/>
          <w:sz w:val="16"/>
          <w:szCs w:val="16"/>
          <w:rtl/>
        </w:rPr>
        <w:t>(שער נא ח"ה סי' א)</w:t>
      </w:r>
      <w:r w:rsidRPr="001D49D4">
        <w:rPr>
          <w:rFonts w:ascii="Calibri" w:eastAsia="Calibri" w:hAnsi="Calibri" w:cs="Arial"/>
          <w:rtl/>
        </w:rPr>
        <w:t xml:space="preserve"> וטור- ראובן היה לו שטר על שמעון, ולוי חתום בו, ומכרו ללוי העד - אין לוי חשוב נוגע בדבר</w:t>
      </w:r>
      <w:r w:rsidRPr="001D49D4">
        <w:rPr>
          <w:rFonts w:ascii="Calibri" w:eastAsia="Calibri" w:hAnsi="Calibri" w:cs="Arial"/>
          <w:vertAlign w:val="superscript"/>
          <w:rtl/>
        </w:rPr>
        <w:footnoteReference w:id="5103"/>
      </w:r>
      <w:r w:rsidRPr="001D49D4">
        <w:rPr>
          <w:rFonts w:ascii="Calibri" w:eastAsia="Calibri" w:hAnsi="Calibri" w:cs="Arial"/>
          <w:rtl/>
        </w:rPr>
        <w:t>, ולא חיישינן לחשדא לומר שהוא חתם לו שקר כדי שיקנהו ממנו אח"כ, לפי שהעד האחר לא היה מסכים עמו להעיד שקר בשביל הנאתו של לוי. ואם מכרו לב' העדים החתומים עליו - חיישינן להכי, ואם אין הלוה מודה בו אין יכולין לגבות</w:t>
      </w:r>
      <w:r w:rsidRPr="001D49D4">
        <w:rPr>
          <w:rFonts w:ascii="Calibri" w:eastAsia="Calibri" w:hAnsi="Calibri" w:cs="Arial"/>
          <w:sz w:val="16"/>
          <w:szCs w:val="16"/>
          <w:rtl/>
        </w:rPr>
        <w:t xml:space="preserve"> (ל' הטור)</w:t>
      </w:r>
      <w:r w:rsidRPr="001D49D4">
        <w:rPr>
          <w:rFonts w:ascii="Calibri" w:eastAsia="Calibri" w:hAnsi="Calibri" w:cs="Arial"/>
          <w:rtl/>
        </w:rPr>
        <w:t>.</w:t>
      </w:r>
      <w:r w:rsidRPr="001D49D4">
        <w:rPr>
          <w:rFonts w:ascii="Calibri" w:eastAsia="Calibri" w:hAnsi="Calibri" w:cs="Arial"/>
          <w:color w:val="E36C0A" w:themeColor="accent6" w:themeShade="BF"/>
          <w:rtl/>
        </w:rPr>
        <w:t xml:space="preserve"> (וכ"פ בשו"ע </w:t>
      </w:r>
      <w:r w:rsidRPr="001D49D4">
        <w:rPr>
          <w:rFonts w:ascii="Calibri" w:eastAsia="Calibri" w:hAnsi="Calibri" w:cs="Arial"/>
          <w:color w:val="000000" w:themeColor="text1"/>
          <w:sz w:val="16"/>
          <w:szCs w:val="16"/>
          <w:rtl/>
        </w:rPr>
        <w:t>[כאן ובסי' לז ס"ז]</w:t>
      </w:r>
      <w:r w:rsidRPr="001D49D4">
        <w:rPr>
          <w:rFonts w:ascii="Calibri" w:eastAsia="Calibri" w:hAnsi="Calibri" w:cs="Arial"/>
          <w:color w:val="E36C0A" w:themeColor="accent6" w:themeShade="BF"/>
          <w:rtl/>
        </w:rPr>
        <w:t>)</w:t>
      </w:r>
    </w:p>
    <w:p w14:paraId="4C6874D8" w14:textId="77777777" w:rsidR="001D49D4" w:rsidRPr="001D49D4" w:rsidRDefault="001D49D4" w:rsidP="0004348D">
      <w:pPr>
        <w:spacing w:before="360" w:after="240"/>
        <w:rPr>
          <w:rFonts w:ascii="Arial" w:eastAsia="Calibri" w:hAnsi="Arial" w:cs="Arial"/>
          <w:b/>
          <w:bCs/>
          <w:color w:val="000000"/>
          <w:sz w:val="28"/>
          <w:szCs w:val="28"/>
          <w:u w:val="single"/>
          <w:rtl/>
        </w:rPr>
      </w:pPr>
      <w:r w:rsidRPr="001D49D4">
        <w:rPr>
          <w:rFonts w:ascii="Arial" w:eastAsia="Calibri" w:hAnsi="Arial" w:cs="Arial"/>
          <w:b/>
          <w:bCs/>
          <w:color w:val="000000"/>
          <w:sz w:val="28"/>
          <w:szCs w:val="28"/>
          <w:u w:val="single"/>
          <w:rtl/>
        </w:rPr>
        <w:t>שו"ע:</w:t>
      </w:r>
    </w:p>
    <w:p w14:paraId="5E5754AA"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rtl/>
        </w:rPr>
        <w:t xml:space="preserve">ראובן היה לו שטר על שמעון, ולוי חתום בו, ומכרו ללוי העד, אין לוי חשוב נוגע בדבר, ולא חיישינן לחשדא לומר שהוא חתם לו שקר כדי שיקנהו ממנו אחר כך, לפי שהעד האחר לא היה מסכים עמו להעיד שקר בשביל הנאתו של לוי. </w:t>
      </w:r>
      <w:r w:rsidRPr="001D49D4">
        <w:rPr>
          <w:rFonts w:ascii="Calibri" w:eastAsia="Calibri" w:hAnsi="Calibri" w:cs="Arial"/>
          <w:sz w:val="18"/>
          <w:szCs w:val="18"/>
          <w:rtl/>
        </w:rPr>
        <w:t>[הגה] ודוקא אם העד חתום</w:t>
      </w:r>
      <w:r w:rsidRPr="001D49D4">
        <w:rPr>
          <w:rFonts w:ascii="Calibri" w:eastAsia="Calibri" w:hAnsi="Calibri" w:cs="Arial"/>
          <w:sz w:val="18"/>
          <w:szCs w:val="18"/>
          <w:vertAlign w:val="superscript"/>
          <w:rtl/>
        </w:rPr>
        <w:footnoteReference w:id="5104"/>
      </w:r>
      <w:r w:rsidRPr="001D49D4">
        <w:rPr>
          <w:rFonts w:ascii="Calibri" w:eastAsia="Calibri" w:hAnsi="Calibri" w:cs="Arial"/>
          <w:sz w:val="18"/>
          <w:szCs w:val="18"/>
          <w:rtl/>
        </w:rPr>
        <w:t xml:space="preserve"> על השטר, אבל לא יוכל להעיד על פה (ב"י בשם התרומות).</w:t>
      </w:r>
      <w:r w:rsidRPr="001D49D4">
        <w:rPr>
          <w:rFonts w:ascii="Calibri" w:eastAsia="Calibri" w:hAnsi="Calibri" w:cs="Arial"/>
          <w:rtl/>
        </w:rPr>
        <w:t xml:space="preserve"> אבל אם מכרו לשני עדים החתומים עליו, חיישינן להכי, ואם אין הלוה מודה בו, אין יכולין לגבותו</w:t>
      </w:r>
      <w:r w:rsidRPr="001D49D4">
        <w:rPr>
          <w:rFonts w:ascii="Calibri" w:eastAsia="Calibri" w:hAnsi="Calibri" w:cs="Arial"/>
          <w:vertAlign w:val="superscript"/>
          <w:rtl/>
        </w:rPr>
        <w:footnoteReference w:id="5105"/>
      </w:r>
      <w:r w:rsidRPr="001D49D4">
        <w:rPr>
          <w:rFonts w:ascii="Calibri" w:eastAsia="Calibri" w:hAnsi="Calibri" w:cs="Arial"/>
          <w:rtl/>
        </w:rPr>
        <w:t xml:space="preserve">. </w:t>
      </w:r>
    </w:p>
    <w:p w14:paraId="5757E190" w14:textId="77777777" w:rsidR="001D49D4" w:rsidRPr="001D49D4" w:rsidRDefault="001D49D4" w:rsidP="0004348D">
      <w:pPr>
        <w:spacing w:before="360" w:after="240"/>
        <w:rPr>
          <w:rFonts w:ascii="Calibri" w:eastAsia="Calibri" w:hAnsi="Calibri" w:cs="Arial"/>
          <w:rtl/>
        </w:rPr>
      </w:pPr>
    </w:p>
    <w:p w14:paraId="6175290D" w14:textId="77777777" w:rsidR="001D49D4" w:rsidRPr="001D49D4" w:rsidRDefault="001D49D4" w:rsidP="0004348D">
      <w:pPr>
        <w:keepNext/>
        <w:keepLines/>
        <w:spacing w:before="360" w:after="240"/>
        <w:outlineLvl w:val="1"/>
        <w:rPr>
          <w:rFonts w:ascii="Cambria" w:eastAsia="Times New Roman" w:hAnsi="Cambria" w:cs="Arial"/>
          <w:bCs/>
          <w:color w:val="548DD4" w:themeColor="text2" w:themeTint="99"/>
          <w:sz w:val="26"/>
          <w:szCs w:val="26"/>
          <w:rtl/>
        </w:rPr>
      </w:pPr>
      <w:bookmarkStart w:id="694" w:name="_Toc24884116"/>
      <w:r w:rsidRPr="001D49D4">
        <w:rPr>
          <w:rFonts w:ascii="Cambria" w:eastAsia="Times New Roman" w:hAnsi="Cambria" w:cs="Arial"/>
          <w:bCs/>
          <w:color w:val="548DD4" w:themeColor="text2" w:themeTint="99"/>
          <w:sz w:val="26"/>
          <w:szCs w:val="26"/>
          <w:rtl/>
        </w:rPr>
        <w:t>סעיף כב: ראובן שיש לו שטר על שמעון ונתנו ללוי כדין והיה שמעון אחד מעדי המתנה.</w:t>
      </w:r>
      <w:bookmarkEnd w:id="694"/>
    </w:p>
    <w:p w14:paraId="66B4CC75" w14:textId="77777777" w:rsidR="001D49D4" w:rsidRPr="001D49D4" w:rsidRDefault="001D49D4" w:rsidP="0004348D">
      <w:pPr>
        <w:spacing w:before="360" w:after="240"/>
        <w:rPr>
          <w:rFonts w:ascii="Calibri" w:eastAsia="Calibri" w:hAnsi="Calibri" w:cs="Arial"/>
          <w:u w:val="single"/>
          <w:rtl/>
        </w:rPr>
      </w:pPr>
      <w:r w:rsidRPr="001D49D4">
        <w:rPr>
          <w:rFonts w:ascii="Calibri" w:eastAsia="Calibri" w:hAnsi="Calibri" w:cs="Arial"/>
          <w:u w:val="single"/>
          <w:rtl/>
        </w:rPr>
        <w:t>ראובן שיש לו שטר על שמעון ונתנו ללוי בכתיבה ובמסירה והיה שמעון אחד מעדי המתנה – ורוצה ראובן לחזור בו:</w:t>
      </w:r>
    </w:p>
    <w:p w14:paraId="4114A48E" w14:textId="77777777" w:rsidR="001D49D4" w:rsidRPr="001D49D4" w:rsidRDefault="001D49D4" w:rsidP="0004348D">
      <w:pPr>
        <w:numPr>
          <w:ilvl w:val="0"/>
          <w:numId w:val="333"/>
        </w:numPr>
        <w:spacing w:before="360" w:after="240"/>
        <w:contextualSpacing/>
        <w:rPr>
          <w:rFonts w:ascii="Calibri" w:eastAsia="Calibri" w:hAnsi="Calibri" w:cs="Arial"/>
          <w:rtl/>
        </w:rPr>
      </w:pPr>
      <w:r w:rsidRPr="001D49D4">
        <w:rPr>
          <w:rFonts w:ascii="Calibri" w:eastAsia="Calibri" w:hAnsi="Calibri" w:cs="Arial"/>
          <w:rtl/>
        </w:rPr>
        <w:t xml:space="preserve">בעל התרומות </w:t>
      </w:r>
      <w:r w:rsidRPr="001D49D4">
        <w:rPr>
          <w:rFonts w:ascii="Calibri" w:eastAsia="Calibri" w:hAnsi="Calibri" w:cs="Arial"/>
          <w:sz w:val="16"/>
          <w:szCs w:val="16"/>
          <w:rtl/>
        </w:rPr>
        <w:t>(שער נא ח"ד סי' ט)</w:t>
      </w:r>
      <w:r w:rsidRPr="001D49D4">
        <w:rPr>
          <w:rFonts w:ascii="Calibri" w:eastAsia="Calibri" w:hAnsi="Calibri" w:cs="Arial"/>
          <w:rtl/>
        </w:rPr>
        <w:t xml:space="preserve"> וטור- ראובן שיש לו שטר על שמעון, ונתנו ללוי בכתיבה ובמסירה, והיה שמעון אחד מעדי המתנה ואחר עמו. ורוצה ראובן לחזור מן המתנה, וטוען שהשטר פסול הוא לפי ששמעון נוגע בעדות הוא, שרוצה להעיד כדי שיפטר מבעל דינו שהשני נוח לו. הדין עמו והרי הוא חשוב נוגע בדבר</w:t>
      </w:r>
      <w:r w:rsidRPr="001D49D4">
        <w:rPr>
          <w:rFonts w:ascii="Calibri" w:eastAsia="Calibri" w:hAnsi="Calibri" w:cs="Arial"/>
          <w:vertAlign w:val="superscript"/>
          <w:rtl/>
        </w:rPr>
        <w:footnoteReference w:id="5106"/>
      </w:r>
      <w:r w:rsidRPr="001D49D4">
        <w:rPr>
          <w:rFonts w:ascii="Calibri" w:eastAsia="Calibri" w:hAnsi="Calibri" w:cs="Arial"/>
          <w:rtl/>
        </w:rPr>
        <w:t>.</w:t>
      </w:r>
      <w:r w:rsidRPr="001D49D4">
        <w:rPr>
          <w:rFonts w:ascii="Calibri" w:eastAsia="Calibri" w:hAnsi="Calibri" w:cs="Arial"/>
          <w:color w:val="E36C0A" w:themeColor="accent6" w:themeShade="BF"/>
          <w:rtl/>
        </w:rPr>
        <w:t xml:space="preserve"> (וכ"פ בשו"ע)</w:t>
      </w:r>
    </w:p>
    <w:p w14:paraId="4FF9C5AF" w14:textId="77777777" w:rsidR="001D49D4" w:rsidRPr="001D49D4" w:rsidRDefault="001D49D4" w:rsidP="0004348D">
      <w:pPr>
        <w:spacing w:before="360" w:after="240"/>
        <w:rPr>
          <w:rFonts w:ascii="Arial" w:eastAsia="Calibri" w:hAnsi="Arial" w:cs="Arial"/>
          <w:b/>
          <w:bCs/>
          <w:color w:val="000000"/>
          <w:sz w:val="28"/>
          <w:szCs w:val="28"/>
          <w:u w:val="single"/>
          <w:rtl/>
        </w:rPr>
      </w:pPr>
      <w:r w:rsidRPr="001D49D4">
        <w:rPr>
          <w:rFonts w:ascii="Arial" w:eastAsia="Calibri" w:hAnsi="Arial" w:cs="Arial"/>
          <w:b/>
          <w:bCs/>
          <w:color w:val="000000"/>
          <w:sz w:val="28"/>
          <w:szCs w:val="28"/>
          <w:u w:val="single"/>
          <w:rtl/>
        </w:rPr>
        <w:t>שו"ע:</w:t>
      </w:r>
    </w:p>
    <w:p w14:paraId="3C21AC35"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rtl/>
        </w:rPr>
        <w:t>ראובן שיש לו שטר על שמעון, ונתנו ללוי בכתיבה ומסירה</w:t>
      </w:r>
      <w:r w:rsidRPr="001D49D4">
        <w:rPr>
          <w:rFonts w:ascii="Calibri" w:eastAsia="Calibri" w:hAnsi="Calibri" w:cs="Arial"/>
          <w:vertAlign w:val="superscript"/>
          <w:rtl/>
        </w:rPr>
        <w:footnoteReference w:id="5107"/>
      </w:r>
      <w:r w:rsidRPr="001D49D4">
        <w:rPr>
          <w:rFonts w:ascii="Calibri" w:eastAsia="Calibri" w:hAnsi="Calibri" w:cs="Arial"/>
          <w:rtl/>
        </w:rPr>
        <w:t xml:space="preserve">, והיה שמעון אחד מעידי המתנה ואחר עמו, ורוצה ראובן לחזור מהמתנה, וטוען שהשטר פסול לפי ששמעון הוא נוגע בעדות, שרוצה להעיד כדי שיפטר מבעל דינו שהשני נוח לו, הדין עמו והרי הוא חשוב נוגע בדבר. </w:t>
      </w:r>
    </w:p>
    <w:p w14:paraId="72D83ABA" w14:textId="77777777" w:rsidR="001D49D4" w:rsidRPr="001D49D4" w:rsidRDefault="001D49D4" w:rsidP="0004348D">
      <w:pPr>
        <w:spacing w:before="360" w:after="240"/>
        <w:rPr>
          <w:rFonts w:ascii="Calibri" w:eastAsia="Calibri" w:hAnsi="Calibri" w:cs="Arial"/>
          <w:rtl/>
        </w:rPr>
      </w:pPr>
    </w:p>
    <w:p w14:paraId="6C51EABA" w14:textId="77777777" w:rsidR="001D49D4" w:rsidRPr="001D49D4" w:rsidRDefault="001D49D4" w:rsidP="0004348D">
      <w:pPr>
        <w:keepNext/>
        <w:keepLines/>
        <w:spacing w:before="360" w:after="240"/>
        <w:outlineLvl w:val="1"/>
        <w:rPr>
          <w:rFonts w:ascii="Cambria" w:eastAsia="Times New Roman" w:hAnsi="Cambria" w:cs="Arial"/>
          <w:bCs/>
          <w:color w:val="548DD4" w:themeColor="text2" w:themeTint="99"/>
          <w:sz w:val="26"/>
          <w:szCs w:val="26"/>
          <w:rtl/>
        </w:rPr>
      </w:pPr>
      <w:bookmarkStart w:id="695" w:name="_Toc24884117"/>
      <w:r w:rsidRPr="001D49D4">
        <w:rPr>
          <w:rFonts w:ascii="Cambria" w:eastAsia="Times New Roman" w:hAnsi="Cambria" w:cs="Arial"/>
          <w:bCs/>
          <w:color w:val="548DD4" w:themeColor="text2" w:themeTint="99"/>
          <w:sz w:val="26"/>
          <w:szCs w:val="26"/>
          <w:rtl/>
        </w:rPr>
        <w:t>סעיף כג: המוכר שטר לחבירו במכירה גמורה בכתיבה ומסירה וחזר ומחלו ללוה.</w:t>
      </w:r>
      <w:bookmarkEnd w:id="695"/>
    </w:p>
    <w:p w14:paraId="1DA6D6D6"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b/>
          <w:bCs/>
          <w:rtl/>
        </w:rPr>
        <w:t xml:space="preserve">כתובות </w:t>
      </w:r>
      <w:r w:rsidRPr="001D49D4">
        <w:rPr>
          <w:rFonts w:ascii="Calibri" w:eastAsia="Calibri" w:hAnsi="Calibri" w:cs="Arial"/>
          <w:b/>
          <w:bCs/>
          <w:sz w:val="16"/>
          <w:szCs w:val="16"/>
          <w:rtl/>
        </w:rPr>
        <w:t>(פרק הכותב)</w:t>
      </w:r>
      <w:r w:rsidRPr="001D49D4">
        <w:rPr>
          <w:rFonts w:ascii="Calibri" w:eastAsia="Calibri" w:hAnsi="Calibri" w:cs="Arial"/>
          <w:b/>
          <w:bCs/>
          <w:rtl/>
        </w:rPr>
        <w:t xml:space="preserve"> פו</w:t>
      </w:r>
      <w:r w:rsidRPr="001D49D4">
        <w:rPr>
          <w:rFonts w:ascii="Calibri" w:eastAsia="Calibri" w:hAnsi="Calibri" w:cs="Arial"/>
          <w:b/>
          <w:bCs/>
          <w:vertAlign w:val="superscript"/>
          <w:rtl/>
        </w:rPr>
        <w:footnoteReference w:id="5108"/>
      </w:r>
      <w:r w:rsidRPr="001D49D4">
        <w:rPr>
          <w:rFonts w:ascii="Calibri" w:eastAsia="Calibri" w:hAnsi="Calibri" w:cs="Arial"/>
          <w:b/>
          <w:bCs/>
          <w:rtl/>
        </w:rPr>
        <w:t xml:space="preserve"> ע"א:</w:t>
      </w:r>
      <w:r w:rsidRPr="001D49D4">
        <w:rPr>
          <w:rFonts w:ascii="Calibri" w:eastAsia="Calibri" w:hAnsi="Calibri" w:cs="Arial"/>
          <w:rtl/>
        </w:rPr>
        <w:t xml:space="preserve"> </w:t>
      </w:r>
      <w:r w:rsidRPr="001D49D4">
        <w:rPr>
          <w:rFonts w:ascii="Calibri" w:eastAsia="Calibri" w:hAnsi="Calibri" w:cs="Arial"/>
          <w:u w:val="single"/>
          <w:rtl/>
        </w:rPr>
        <w:t>אמר שמואל</w:t>
      </w:r>
      <w:r w:rsidRPr="001D49D4">
        <w:rPr>
          <w:rFonts w:ascii="Calibri" w:eastAsia="Calibri" w:hAnsi="Calibri" w:cs="Arial"/>
          <w:rtl/>
        </w:rPr>
        <w:t xml:space="preserve">: המוכר שטר חוב לחבירו וחזר ומחלו - מחול, ואפי' יורש מוחל. </w:t>
      </w:r>
      <w:r w:rsidRPr="001D49D4">
        <w:rPr>
          <w:rFonts w:ascii="Calibri" w:eastAsia="Calibri" w:hAnsi="Calibri" w:cs="Arial"/>
          <w:u w:val="single"/>
          <w:rtl/>
        </w:rPr>
        <w:t>אמר רב הונא בריה דרב יהושע</w:t>
      </w:r>
      <w:r w:rsidRPr="001D49D4">
        <w:rPr>
          <w:rFonts w:ascii="Calibri" w:eastAsia="Calibri" w:hAnsi="Calibri" w:cs="Arial"/>
          <w:rtl/>
        </w:rPr>
        <w:t>: ואי פקח הוא</w:t>
      </w:r>
      <w:r w:rsidRPr="001D49D4">
        <w:rPr>
          <w:rFonts w:ascii="Calibri" w:eastAsia="Calibri" w:hAnsi="Calibri" w:cs="Arial"/>
          <w:vertAlign w:val="superscript"/>
          <w:rtl/>
        </w:rPr>
        <w:footnoteReference w:id="5109"/>
      </w:r>
      <w:r w:rsidRPr="001D49D4">
        <w:rPr>
          <w:rFonts w:ascii="Calibri" w:eastAsia="Calibri" w:hAnsi="Calibri" w:cs="Arial"/>
          <w:rtl/>
        </w:rPr>
        <w:t>, מקרקש ליה זוזי</w:t>
      </w:r>
      <w:r w:rsidRPr="001D49D4">
        <w:rPr>
          <w:rFonts w:ascii="Calibri" w:eastAsia="Calibri" w:hAnsi="Calibri" w:cs="Arial"/>
          <w:vertAlign w:val="superscript"/>
          <w:rtl/>
        </w:rPr>
        <w:footnoteReference w:id="5110"/>
      </w:r>
      <w:r w:rsidRPr="001D49D4">
        <w:rPr>
          <w:rFonts w:ascii="Calibri" w:eastAsia="Calibri" w:hAnsi="Calibri" w:cs="Arial"/>
          <w:rtl/>
        </w:rPr>
        <w:t xml:space="preserve"> וכתב ליה שטרא בשמיה.</w:t>
      </w:r>
      <w:r w:rsidRPr="001D49D4">
        <w:rPr>
          <w:rFonts w:ascii="Calibri" w:eastAsia="Calibri" w:hAnsi="Calibri" w:cs="Arial"/>
          <w:sz w:val="16"/>
          <w:szCs w:val="16"/>
          <w:rtl/>
        </w:rPr>
        <w:t xml:space="preserve"> (והטעם שיכול למחול כתב הרי"ף (מד:) דאמרי מקצת רבוותא משום דיכול למימר עיינתי בחושבנאי ולא פש לי גביה ולא מידי, א"נ אסתפקא לי מילתא אי פריע אי לא ומספיקא לא מגבינן שטרא. ודחה הוא ז"ל דבריהם והעלה דהיינו טעמא משום דשטרות אין גופן ממון ואי אפשר לקנותן בהקנאה גמורה אלא שחכמים תקנו להם צד מכר ולפיכך יכול למחול לפי שלא זכה בהם לוקח מן התורה. וכ"כ הרמב"ם בפ"ו מהל' מכירה (הי"ב). וא"ת היכי ממעטינן בהזהב (ב"מ נו:) שטרות מאונאה מקרא, תירץ הר"ן (שם סוף דבור ראשון) דעיקר קרא למעוטי עבדים וקרקעות אתא ואפילו הכי מפקי שטרות מאונאה לפי שאין בכלל הכתוב אלא דבר המיטלטל וגופו ממון אבל מידי אחרינא לא, הילכך שטרות למכירה דרבנן כיון שאין גופן ממון אין להם אונאה. והתוס' (כתובות פה: ד"ה המוכר, ב"ב עו: ד"ה קני) תירצו תירוצים אחרים. ור"ת כתב דמכירת שטרות דאורייתא ואעפ"כ יכול למחול, לפי ששני שעבודים יש למלוה על הלוה, שעבוד גופו של לוה שהוא מחוייב לפרוע, והוא עיקר השעבוד, ושעבוד על נכסיו אם לא יפרע, מדין ערב, דנכסוהי דבר איניש אינון ערבין ליה (ב"ב קעד.), ושעבוד הגוף שיש למלוה על הלוה לאו בר מכירה הוא ואינו מוכר אלא שעבוד הנכסים בלבד, ואע"פ שאינו נמכר, לא פקע. אבל כי חזר ומחלו פקע שעבוד הגוף, וממילא פקע שעבוד הנכסים שאינו אלא מדין ערב. ומיהו כשמת לוה אע"פ ששעבוד גופו פקע שעבוד נכסיו לא פקע לפי שעיקר ערבותן של נכסים בענין זה הוא שכל זמן שלא ימצא הלוה - שירד לנכסיו ויפרע מהם, אבל כל זמן שנפקע מחמת המלוה - אף שעבודן של נכסים נפקע. וכתב הרא"ש בתשובה כלל ס"ט (סי' א) דכדברי הרי"ף משמע בפרק מי שמת (ב"ב קמז:), ב"י)</w:t>
      </w:r>
    </w:p>
    <w:p w14:paraId="248C8D8F" w14:textId="77777777" w:rsidR="001D49D4" w:rsidRPr="001D49D4" w:rsidRDefault="001D49D4" w:rsidP="0004348D">
      <w:pPr>
        <w:spacing w:before="360" w:after="240"/>
        <w:rPr>
          <w:rFonts w:ascii="Calibri" w:eastAsia="Calibri" w:hAnsi="Calibri" w:cs="Arial"/>
          <w:u w:val="single"/>
          <w:rtl/>
        </w:rPr>
      </w:pPr>
      <w:r w:rsidRPr="001D49D4">
        <w:rPr>
          <w:rFonts w:ascii="Calibri" w:eastAsia="Calibri" w:hAnsi="Calibri" w:cs="Arial"/>
          <w:u w:val="single"/>
          <w:rtl/>
        </w:rPr>
        <w:t>המוכר שטר לחבירו במכירה גמורה בכתיבה ומסירה וחזר ומחלו ללוה:</w:t>
      </w:r>
    </w:p>
    <w:p w14:paraId="3F1F7B2B" w14:textId="77777777" w:rsidR="001D49D4" w:rsidRPr="001D49D4" w:rsidRDefault="001D49D4" w:rsidP="0004348D">
      <w:pPr>
        <w:numPr>
          <w:ilvl w:val="0"/>
          <w:numId w:val="333"/>
        </w:numPr>
        <w:spacing w:before="360" w:after="240"/>
        <w:contextualSpacing/>
        <w:rPr>
          <w:rFonts w:ascii="Calibri" w:eastAsia="Calibri" w:hAnsi="Calibri" w:cs="Arial"/>
          <w:rtl/>
        </w:rPr>
      </w:pPr>
      <w:r w:rsidRPr="001D49D4">
        <w:rPr>
          <w:rFonts w:ascii="Calibri" w:eastAsia="Calibri" w:hAnsi="Calibri" w:cs="Arial"/>
          <w:rtl/>
        </w:rPr>
        <w:t>טור- המוכר שטר לחבירו במכירה גמורה בכתיבה ומסירה, וחזר ומחלו ללוה - מחול</w:t>
      </w:r>
      <w:r w:rsidRPr="001D49D4">
        <w:rPr>
          <w:rFonts w:ascii="Calibri" w:eastAsia="Calibri" w:hAnsi="Calibri" w:cs="Arial"/>
          <w:vertAlign w:val="superscript"/>
          <w:rtl/>
        </w:rPr>
        <w:footnoteReference w:id="5111"/>
      </w:r>
      <w:r w:rsidRPr="001D49D4">
        <w:rPr>
          <w:rFonts w:ascii="Calibri" w:eastAsia="Calibri" w:hAnsi="Calibri" w:cs="Arial"/>
          <w:rtl/>
        </w:rPr>
        <w:t>. ומה תקנתיה יפייס ללוה שיעשה לו שטר על שמו ושוב לא יוכל למחול</w:t>
      </w:r>
      <w:r w:rsidRPr="001D49D4">
        <w:rPr>
          <w:rFonts w:ascii="Calibri" w:eastAsia="Calibri" w:hAnsi="Calibri" w:cs="Arial"/>
          <w:vertAlign w:val="superscript"/>
          <w:rtl/>
        </w:rPr>
        <w:footnoteReference w:id="5112"/>
      </w:r>
      <w:r w:rsidRPr="001D49D4">
        <w:rPr>
          <w:rFonts w:ascii="Calibri" w:eastAsia="Calibri" w:hAnsi="Calibri" w:cs="Arial"/>
          <w:rtl/>
        </w:rPr>
        <w:t>... ואפילו היורש של המוכר יכול למחול</w:t>
      </w:r>
      <w:r w:rsidRPr="001D49D4">
        <w:rPr>
          <w:rFonts w:ascii="Calibri" w:eastAsia="Calibri" w:hAnsi="Calibri" w:cs="Arial"/>
          <w:vertAlign w:val="superscript"/>
          <w:rtl/>
        </w:rPr>
        <w:footnoteReference w:id="5113"/>
      </w:r>
      <w:r w:rsidRPr="001D49D4">
        <w:rPr>
          <w:rFonts w:ascii="Calibri" w:eastAsia="Calibri" w:hAnsi="Calibri" w:cs="Arial"/>
          <w:rtl/>
        </w:rPr>
        <w:t>.</w:t>
      </w:r>
      <w:r w:rsidRPr="001D49D4">
        <w:rPr>
          <w:rFonts w:ascii="Calibri" w:eastAsia="Calibri" w:hAnsi="Calibri" w:cs="Arial"/>
          <w:color w:val="E36C0A" w:themeColor="accent6" w:themeShade="BF"/>
          <w:rtl/>
        </w:rPr>
        <w:t xml:space="preserve"> (וכ"פ בשו"ע)</w:t>
      </w:r>
    </w:p>
    <w:p w14:paraId="35C500C1" w14:textId="77777777" w:rsidR="001D49D4" w:rsidRPr="001D49D4" w:rsidRDefault="001D49D4" w:rsidP="0004348D">
      <w:pPr>
        <w:spacing w:before="360" w:after="240"/>
        <w:rPr>
          <w:rFonts w:ascii="Calibri" w:eastAsia="Calibri" w:hAnsi="Calibri" w:cs="Arial"/>
          <w:u w:val="dotted"/>
        </w:rPr>
      </w:pPr>
      <w:r w:rsidRPr="001D49D4">
        <w:rPr>
          <w:rFonts w:ascii="Calibri" w:eastAsia="Calibri" w:hAnsi="Calibri" w:cs="Arial"/>
          <w:u w:val="dotted"/>
          <w:rtl/>
        </w:rPr>
        <w:t>ומה הדין אם הלוקח עשה תנאי עם המוכר שלא ימחול ללוה:</w:t>
      </w:r>
    </w:p>
    <w:p w14:paraId="61BAC7AD" w14:textId="77777777" w:rsidR="001D49D4" w:rsidRPr="001D49D4" w:rsidRDefault="001D49D4" w:rsidP="0004348D">
      <w:pPr>
        <w:numPr>
          <w:ilvl w:val="0"/>
          <w:numId w:val="333"/>
        </w:numPr>
        <w:spacing w:before="360" w:after="240"/>
        <w:contextualSpacing/>
        <w:rPr>
          <w:rFonts w:ascii="Calibri" w:eastAsia="Calibri" w:hAnsi="Calibri" w:cs="Arial"/>
        </w:rPr>
      </w:pPr>
      <w:r w:rsidRPr="001D49D4">
        <w:rPr>
          <w:rFonts w:ascii="Calibri" w:eastAsia="Calibri" w:hAnsi="Calibri" w:cs="Arial"/>
          <w:rtl/>
        </w:rPr>
        <w:t xml:space="preserve">בהעי"ט </w:t>
      </w:r>
      <w:r w:rsidRPr="001D49D4">
        <w:rPr>
          <w:rFonts w:ascii="Calibri" w:eastAsia="Calibri" w:hAnsi="Calibri" w:cs="Arial"/>
          <w:sz w:val="16"/>
          <w:szCs w:val="16"/>
          <w:rtl/>
        </w:rPr>
        <w:t>(אות מ מחילה נה.)</w:t>
      </w:r>
      <w:r w:rsidRPr="001D49D4">
        <w:rPr>
          <w:rFonts w:ascii="Calibri" w:eastAsia="Calibri" w:hAnsi="Calibri" w:cs="Arial"/>
          <w:rtl/>
        </w:rPr>
        <w:t xml:space="preserve"> וטור- אפילו עבד תנאה דלא מצי מחיל לא מהני</w:t>
      </w:r>
      <w:r w:rsidRPr="001D49D4">
        <w:rPr>
          <w:rFonts w:ascii="Calibri" w:eastAsia="Calibri" w:hAnsi="Calibri" w:cs="Arial"/>
          <w:vertAlign w:val="superscript"/>
          <w:rtl/>
        </w:rPr>
        <w:footnoteReference w:id="5114"/>
      </w:r>
      <w:r w:rsidRPr="001D49D4">
        <w:rPr>
          <w:rFonts w:ascii="Calibri" w:eastAsia="Calibri" w:hAnsi="Calibri" w:cs="Arial"/>
          <w:sz w:val="16"/>
          <w:szCs w:val="16"/>
          <w:rtl/>
        </w:rPr>
        <w:t xml:space="preserve"> (ל' הטור בשם בהעי"ט)</w:t>
      </w:r>
      <w:r w:rsidRPr="001D49D4">
        <w:rPr>
          <w:rFonts w:ascii="Calibri" w:eastAsia="Calibri" w:hAnsi="Calibri" w:cs="Arial"/>
          <w:rtl/>
        </w:rPr>
        <w:t xml:space="preserve">. </w:t>
      </w:r>
      <w:r w:rsidRPr="001D49D4">
        <w:rPr>
          <w:rFonts w:ascii="Calibri" w:eastAsia="Calibri" w:hAnsi="Calibri" w:cs="Arial"/>
          <w:color w:val="E36C0A" w:themeColor="accent6" w:themeShade="BF"/>
          <w:rtl/>
        </w:rPr>
        <w:t>(וכ"פ בשו"ע)</w:t>
      </w:r>
    </w:p>
    <w:p w14:paraId="558B1056" w14:textId="77777777" w:rsidR="001D49D4" w:rsidRPr="001D49D4" w:rsidRDefault="001D49D4" w:rsidP="0004348D">
      <w:pPr>
        <w:spacing w:before="360" w:after="240"/>
        <w:rPr>
          <w:rFonts w:ascii="Calibri" w:eastAsia="Calibri" w:hAnsi="Calibri" w:cs="Arial"/>
          <w:u w:val="single"/>
        </w:rPr>
      </w:pPr>
      <w:r w:rsidRPr="001D49D4">
        <w:rPr>
          <w:rFonts w:ascii="Calibri" w:eastAsia="Calibri" w:hAnsi="Calibri" w:cs="Arial"/>
          <w:u w:val="single"/>
          <w:rtl/>
        </w:rPr>
        <w:t>המוכר שטר לחברו, וחזר בו המוכר וטען 'עיינתי בחשבונותי ומצאתי שלא נותר לי חוב על הלוה':</w:t>
      </w:r>
    </w:p>
    <w:p w14:paraId="52FEA0F0" w14:textId="77777777" w:rsidR="001D49D4" w:rsidRPr="001D49D4" w:rsidRDefault="001D49D4" w:rsidP="0004348D">
      <w:pPr>
        <w:numPr>
          <w:ilvl w:val="0"/>
          <w:numId w:val="333"/>
        </w:numPr>
        <w:spacing w:before="360" w:after="240"/>
        <w:contextualSpacing/>
        <w:rPr>
          <w:rFonts w:ascii="Calibri" w:eastAsia="Calibri" w:hAnsi="Calibri" w:cs="Arial"/>
        </w:rPr>
      </w:pPr>
      <w:r w:rsidRPr="001D49D4">
        <w:rPr>
          <w:rFonts w:ascii="Calibri" w:eastAsia="Calibri" w:hAnsi="Calibri" w:cs="Arial"/>
          <w:rtl/>
        </w:rPr>
        <w:t xml:space="preserve">בעל התרומות </w:t>
      </w:r>
      <w:r w:rsidRPr="001D49D4">
        <w:rPr>
          <w:rFonts w:ascii="Calibri" w:eastAsia="Calibri" w:hAnsi="Calibri" w:cs="Arial"/>
          <w:sz w:val="16"/>
          <w:szCs w:val="16"/>
          <w:rtl/>
        </w:rPr>
        <w:t>(שער נא ח"ז סי' ב)</w:t>
      </w:r>
      <w:r w:rsidRPr="001D49D4">
        <w:rPr>
          <w:rFonts w:ascii="Calibri" w:eastAsia="Calibri" w:hAnsi="Calibri" w:cs="Arial"/>
          <w:rtl/>
        </w:rPr>
        <w:t xml:space="preserve">- היכא דזבין איניש שטר חוב לחבירו, והדר ביה המוכר וטעין ליה עיינתי בחושבנאי ולא פש לי גבאי ולא מידי, מסתברא דאי ידיעא מילתא בסהדי במאי דהוה טעי האי מוכר והשתא עיין בעדים חשבונו ואיגלאי להו טעותא - אין כאן ספק שנמחל שעבוד השטר משעת אותו פרעון והמכירה מכירה בטעות היתה, ומחזיר המוכר מעותיו ללוקח ומתבטלת מכירתו, שהטעהו במכירתו כשכתב לו פלוני שהוא חייב לי ואינו חייב לו, ולא גרע מקנין בטעות שהוא חוזר. ואי לא ידיעא מילתא בסהדי - לאו כל כמיניה דמוכר, וטעם דבר זה פירשו הרי"ף בפ"ק דגיטין </w:t>
      </w:r>
      <w:r w:rsidRPr="001D49D4">
        <w:rPr>
          <w:rFonts w:ascii="Calibri" w:eastAsia="Calibri" w:hAnsi="Calibri" w:cs="Arial"/>
          <w:sz w:val="16"/>
          <w:szCs w:val="16"/>
          <w:rtl/>
        </w:rPr>
        <w:t xml:space="preserve">(ו.) </w:t>
      </w:r>
      <w:r w:rsidRPr="001D49D4">
        <w:rPr>
          <w:rFonts w:ascii="Calibri" w:eastAsia="Calibri" w:hAnsi="Calibri" w:cs="Arial"/>
          <w:rtl/>
        </w:rPr>
        <w:t xml:space="preserve">גבי הנהו גינאי וכו'. </w:t>
      </w:r>
    </w:p>
    <w:p w14:paraId="0D70EE08" w14:textId="77777777" w:rsidR="001D49D4" w:rsidRPr="001D49D4" w:rsidRDefault="001D49D4" w:rsidP="0004348D">
      <w:pPr>
        <w:spacing w:before="360" w:after="240"/>
        <w:rPr>
          <w:rFonts w:ascii="Calibri" w:eastAsia="Calibri" w:hAnsi="Calibri" w:cs="Arial"/>
          <w:u w:val="single"/>
          <w:rtl/>
        </w:rPr>
      </w:pPr>
      <w:r w:rsidRPr="001D49D4">
        <w:rPr>
          <w:rFonts w:ascii="Calibri" w:eastAsia="Calibri" w:hAnsi="Calibri" w:cs="Arial"/>
          <w:u w:val="single"/>
          <w:rtl/>
        </w:rPr>
        <w:t>שטר שכתוב בו 'פלוני לוה מפלוני מנה וחייב עצמו למלוה או לכל מי שמוציא שטר זה' – האם המלוה יכול למחול:</w:t>
      </w:r>
    </w:p>
    <w:p w14:paraId="40687063" w14:textId="77777777" w:rsidR="001D49D4" w:rsidRPr="001D49D4" w:rsidRDefault="001D49D4" w:rsidP="0004348D">
      <w:pPr>
        <w:numPr>
          <w:ilvl w:val="0"/>
          <w:numId w:val="333"/>
        </w:numPr>
        <w:spacing w:before="360" w:after="240"/>
        <w:contextualSpacing/>
        <w:rPr>
          <w:rFonts w:ascii="Calibri" w:eastAsia="Calibri" w:hAnsi="Calibri" w:cs="Arial"/>
          <w:rtl/>
        </w:rPr>
      </w:pPr>
      <w:r w:rsidRPr="001D49D4">
        <w:rPr>
          <w:rFonts w:ascii="Calibri" w:eastAsia="Calibri" w:hAnsi="Calibri" w:cs="Arial"/>
          <w:rtl/>
        </w:rPr>
        <w:t xml:space="preserve">רא"ש </w:t>
      </w:r>
      <w:r w:rsidRPr="001D49D4">
        <w:rPr>
          <w:rFonts w:ascii="Calibri" w:eastAsia="Calibri" w:hAnsi="Calibri" w:cs="Arial"/>
          <w:sz w:val="16"/>
          <w:szCs w:val="16"/>
          <w:rtl/>
        </w:rPr>
        <w:t>(כלל סח סי' ח)</w:t>
      </w:r>
      <w:r w:rsidRPr="001D49D4">
        <w:rPr>
          <w:rFonts w:ascii="Calibri" w:eastAsia="Calibri" w:hAnsi="Calibri" w:cs="Arial"/>
          <w:rtl/>
        </w:rPr>
        <w:t>- שטר שכתוב בו 'פלוני לוה מפלוני מנה וחייב עצמו למלוה או לכל מי שמוציא שטר זה' - דבר פשוט הוא שאם מחלו מחול ולא יוכל מוציא השטר לגבותו.</w:t>
      </w:r>
    </w:p>
    <w:p w14:paraId="01AC6ABF" w14:textId="77777777" w:rsidR="001D49D4" w:rsidRPr="001D49D4" w:rsidRDefault="001D49D4" w:rsidP="0004348D">
      <w:pPr>
        <w:spacing w:before="360" w:after="240"/>
        <w:rPr>
          <w:rFonts w:ascii="Calibri" w:eastAsia="Calibri" w:hAnsi="Calibri" w:cs="Arial"/>
          <w:sz w:val="16"/>
          <w:szCs w:val="16"/>
        </w:rPr>
      </w:pPr>
      <w:r w:rsidRPr="001D49D4">
        <w:rPr>
          <w:rFonts w:ascii="Calibri" w:eastAsia="Calibri" w:hAnsi="Calibri" w:cs="Arial"/>
          <w:b/>
          <w:bCs/>
          <w:rtl/>
        </w:rPr>
        <w:t xml:space="preserve">בבא קמא </w:t>
      </w:r>
      <w:r w:rsidRPr="001D49D4">
        <w:rPr>
          <w:rFonts w:ascii="Calibri" w:eastAsia="Calibri" w:hAnsi="Calibri" w:cs="Arial"/>
          <w:b/>
          <w:bCs/>
          <w:sz w:val="16"/>
          <w:szCs w:val="16"/>
          <w:rtl/>
        </w:rPr>
        <w:t>(פרק הגוזל קמא)</w:t>
      </w:r>
      <w:r w:rsidRPr="001D49D4">
        <w:rPr>
          <w:rFonts w:ascii="Calibri" w:eastAsia="Calibri" w:hAnsi="Calibri" w:cs="Arial"/>
          <w:b/>
          <w:bCs/>
          <w:rtl/>
        </w:rPr>
        <w:t xml:space="preserve"> קח</w:t>
      </w:r>
      <w:r w:rsidRPr="001D49D4">
        <w:rPr>
          <w:rFonts w:ascii="Calibri" w:eastAsia="Calibri" w:hAnsi="Calibri" w:cs="Arial"/>
          <w:b/>
          <w:bCs/>
          <w:vertAlign w:val="superscript"/>
          <w:rtl/>
        </w:rPr>
        <w:footnoteReference w:id="5115"/>
      </w:r>
      <w:r w:rsidRPr="001D49D4">
        <w:rPr>
          <w:rFonts w:ascii="Calibri" w:eastAsia="Calibri" w:hAnsi="Calibri" w:cs="Arial"/>
          <w:b/>
          <w:bCs/>
          <w:rtl/>
        </w:rPr>
        <w:t xml:space="preserve"> ע"ב:</w:t>
      </w:r>
      <w:r w:rsidRPr="001D49D4">
        <w:rPr>
          <w:rFonts w:ascii="Calibri" w:eastAsia="Calibri" w:hAnsi="Calibri" w:cs="Arial"/>
          <w:rtl/>
        </w:rPr>
        <w:t xml:space="preserve"> </w:t>
      </w:r>
      <w:r w:rsidRPr="001D49D4">
        <w:rPr>
          <w:rFonts w:ascii="Calibri" w:eastAsia="Calibri" w:hAnsi="Calibri" w:cs="Arial"/>
          <w:u w:val="double"/>
          <w:rtl/>
        </w:rPr>
        <w:t>מתני':</w:t>
      </w:r>
      <w:r w:rsidRPr="001D49D4">
        <w:rPr>
          <w:rFonts w:ascii="Calibri" w:eastAsia="Calibri" w:hAnsi="Calibri" w:cs="Arial"/>
          <w:rtl/>
        </w:rPr>
        <w:t>... הגוזל את אביו ונשבע לו ומת - הרי זה משלם קרן וחומש ואשם לבניו</w:t>
      </w:r>
      <w:r w:rsidRPr="001D49D4">
        <w:rPr>
          <w:rFonts w:ascii="Calibri" w:eastAsia="Calibri" w:hAnsi="Calibri" w:cs="Arial"/>
          <w:vertAlign w:val="superscript"/>
          <w:rtl/>
        </w:rPr>
        <w:footnoteReference w:id="5116"/>
      </w:r>
      <w:r w:rsidRPr="001D49D4">
        <w:rPr>
          <w:rFonts w:ascii="Calibri" w:eastAsia="Calibri" w:hAnsi="Calibri" w:cs="Arial"/>
          <w:rtl/>
        </w:rPr>
        <w:t xml:space="preserve"> או לאחיו, ואם אינו רוצה או שאין לו</w:t>
      </w:r>
      <w:r w:rsidRPr="001D49D4">
        <w:rPr>
          <w:rFonts w:ascii="Calibri" w:eastAsia="Calibri" w:hAnsi="Calibri" w:cs="Arial"/>
          <w:vertAlign w:val="superscript"/>
          <w:rtl/>
        </w:rPr>
        <w:footnoteReference w:id="5117"/>
      </w:r>
      <w:r w:rsidRPr="001D49D4">
        <w:rPr>
          <w:rFonts w:ascii="Calibri" w:eastAsia="Calibri" w:hAnsi="Calibri" w:cs="Arial"/>
          <w:rtl/>
        </w:rPr>
        <w:t xml:space="preserve"> - לוה</w:t>
      </w:r>
      <w:r w:rsidRPr="001D49D4">
        <w:rPr>
          <w:rFonts w:ascii="Calibri" w:eastAsia="Calibri" w:hAnsi="Calibri" w:cs="Arial"/>
          <w:vertAlign w:val="superscript"/>
          <w:rtl/>
        </w:rPr>
        <w:footnoteReference w:id="5118"/>
      </w:r>
      <w:r w:rsidRPr="001D49D4">
        <w:rPr>
          <w:rFonts w:ascii="Calibri" w:eastAsia="Calibri" w:hAnsi="Calibri" w:cs="Arial"/>
          <w:rtl/>
        </w:rPr>
        <w:t xml:space="preserve"> ובעלי חוב באין ונפרעים</w:t>
      </w:r>
      <w:r w:rsidRPr="001D49D4">
        <w:rPr>
          <w:rFonts w:ascii="Calibri" w:eastAsia="Calibri" w:hAnsi="Calibri" w:cs="Arial"/>
          <w:vertAlign w:val="superscript"/>
          <w:rtl/>
        </w:rPr>
        <w:footnoteReference w:id="5119"/>
      </w:r>
      <w:r w:rsidRPr="001D49D4">
        <w:rPr>
          <w:rFonts w:ascii="Calibri" w:eastAsia="Calibri" w:hAnsi="Calibri" w:cs="Arial"/>
          <w:rtl/>
        </w:rPr>
        <w:t xml:space="preserve">...   </w:t>
      </w:r>
      <w:r w:rsidRPr="001D49D4">
        <w:rPr>
          <w:rFonts w:ascii="Calibri" w:eastAsia="Calibri" w:hAnsi="Calibri" w:cs="Arial"/>
          <w:u w:val="double"/>
          <w:rtl/>
        </w:rPr>
        <w:t>גמ'</w:t>
      </w:r>
      <w:r w:rsidRPr="001D49D4">
        <w:rPr>
          <w:rFonts w:ascii="Calibri" w:eastAsia="Calibri" w:hAnsi="Calibri" w:cs="Arial"/>
          <w:sz w:val="14"/>
          <w:szCs w:val="14"/>
          <w:u w:val="double"/>
          <w:rtl/>
        </w:rPr>
        <w:t xml:space="preserve"> (קט.)</w:t>
      </w:r>
      <w:r w:rsidRPr="001D49D4">
        <w:rPr>
          <w:rFonts w:ascii="Calibri" w:eastAsia="Calibri" w:hAnsi="Calibri" w:cs="Arial"/>
          <w:u w:val="double"/>
          <w:rtl/>
        </w:rPr>
        <w:t>:</w:t>
      </w:r>
      <w:r w:rsidRPr="001D49D4">
        <w:rPr>
          <w:rFonts w:ascii="Calibri" w:eastAsia="Calibri" w:hAnsi="Calibri" w:cs="Arial"/>
          <w:rtl/>
        </w:rPr>
        <w:t xml:space="preserve"> </w:t>
      </w:r>
      <w:r w:rsidRPr="001D49D4">
        <w:rPr>
          <w:rFonts w:ascii="Calibri" w:eastAsia="Calibri" w:hAnsi="Calibri" w:cs="Arial"/>
          <w:u w:val="single"/>
          <w:rtl/>
        </w:rPr>
        <w:t>אמר רב יוסף</w:t>
      </w:r>
      <w:r w:rsidRPr="001D49D4">
        <w:rPr>
          <w:rFonts w:ascii="Calibri" w:eastAsia="Calibri" w:hAnsi="Calibri" w:cs="Arial"/>
          <w:rtl/>
        </w:rPr>
        <w:t>: אפילו לארנקי של צדקה</w:t>
      </w:r>
      <w:r w:rsidRPr="001D49D4">
        <w:rPr>
          <w:rFonts w:ascii="Calibri" w:eastAsia="Calibri" w:hAnsi="Calibri" w:cs="Arial"/>
          <w:vertAlign w:val="superscript"/>
          <w:rtl/>
        </w:rPr>
        <w:footnoteReference w:id="5120"/>
      </w:r>
      <w:r w:rsidRPr="001D49D4">
        <w:rPr>
          <w:rFonts w:ascii="Calibri" w:eastAsia="Calibri" w:hAnsi="Calibri" w:cs="Arial"/>
          <w:rtl/>
        </w:rPr>
        <w:t xml:space="preserve">. </w:t>
      </w:r>
      <w:r w:rsidRPr="001D49D4">
        <w:rPr>
          <w:rFonts w:ascii="Calibri" w:eastAsia="Calibri" w:hAnsi="Calibri" w:cs="Arial"/>
          <w:u w:val="single"/>
          <w:rtl/>
        </w:rPr>
        <w:t>אמר רב פפא</w:t>
      </w:r>
      <w:r w:rsidRPr="001D49D4">
        <w:rPr>
          <w:rFonts w:ascii="Calibri" w:eastAsia="Calibri" w:hAnsi="Calibri" w:cs="Arial"/>
          <w:rtl/>
        </w:rPr>
        <w:t>: וצריך שיאמר</w:t>
      </w:r>
      <w:r w:rsidRPr="001D49D4">
        <w:rPr>
          <w:rFonts w:ascii="Calibri" w:eastAsia="Calibri" w:hAnsi="Calibri" w:cs="Arial"/>
          <w:vertAlign w:val="superscript"/>
          <w:rtl/>
        </w:rPr>
        <w:footnoteReference w:id="5121"/>
      </w:r>
      <w:r w:rsidRPr="001D49D4">
        <w:rPr>
          <w:rFonts w:ascii="Calibri" w:eastAsia="Calibri" w:hAnsi="Calibri" w:cs="Arial"/>
          <w:rtl/>
        </w:rPr>
        <w:t xml:space="preserve"> זה גזל אבי. אמאי? נמחליה לנפשיה</w:t>
      </w:r>
      <w:r w:rsidRPr="001D49D4">
        <w:rPr>
          <w:rFonts w:ascii="Calibri" w:eastAsia="Calibri" w:hAnsi="Calibri" w:cs="Arial"/>
          <w:vertAlign w:val="superscript"/>
          <w:rtl/>
        </w:rPr>
        <w:footnoteReference w:id="5122"/>
      </w:r>
      <w:r w:rsidRPr="001D49D4">
        <w:rPr>
          <w:rFonts w:ascii="Calibri" w:eastAsia="Calibri" w:hAnsi="Calibri" w:cs="Arial"/>
          <w:rtl/>
        </w:rPr>
        <w:t>! מי לא תנן: מחל לו על הקרן</w:t>
      </w:r>
      <w:r w:rsidRPr="001D49D4">
        <w:rPr>
          <w:rFonts w:ascii="Calibri" w:eastAsia="Calibri" w:hAnsi="Calibri" w:cs="Arial"/>
          <w:vertAlign w:val="superscript"/>
          <w:rtl/>
        </w:rPr>
        <w:footnoteReference w:id="5123"/>
      </w:r>
      <w:r w:rsidRPr="001D49D4">
        <w:rPr>
          <w:rFonts w:ascii="Calibri" w:eastAsia="Calibri" w:hAnsi="Calibri" w:cs="Arial"/>
          <w:rtl/>
        </w:rPr>
        <w:t xml:space="preserve"> ולא מחל לו על החומש? אלמא בר מחילה הוא! </w:t>
      </w:r>
      <w:r w:rsidRPr="001D49D4">
        <w:rPr>
          <w:rFonts w:ascii="Calibri" w:eastAsia="Calibri" w:hAnsi="Calibri" w:cs="Arial"/>
          <w:u w:val="single"/>
          <w:rtl/>
        </w:rPr>
        <w:t>אמר רבי יוחנן</w:t>
      </w:r>
      <w:r w:rsidRPr="001D49D4">
        <w:rPr>
          <w:rFonts w:ascii="Calibri" w:eastAsia="Calibri" w:hAnsi="Calibri" w:cs="Arial"/>
          <w:rtl/>
        </w:rPr>
        <w:t>, לא קשיא: הא רבי יוסי הגלילי, הא רבי עקיבא; דתניא: ואם אין לאיש גואל להשיב האשם - וכי יש אדם בישראל שאין לו גואלים</w:t>
      </w:r>
      <w:r w:rsidRPr="001D49D4">
        <w:rPr>
          <w:rFonts w:ascii="Calibri" w:eastAsia="Calibri" w:hAnsi="Calibri" w:cs="Arial"/>
          <w:vertAlign w:val="superscript"/>
          <w:rtl/>
        </w:rPr>
        <w:footnoteReference w:id="5124"/>
      </w:r>
      <w:r w:rsidRPr="001D49D4">
        <w:rPr>
          <w:rFonts w:ascii="Calibri" w:eastAsia="Calibri" w:hAnsi="Calibri" w:cs="Arial"/>
          <w:rtl/>
        </w:rPr>
        <w:t>? אלא בגזל הגר הכתוב מדבר, הרי שגזל הגר ונשבע לו, ושמע שמת הגר, והיה מעלה כספו ואשמו לירושלים</w:t>
      </w:r>
      <w:r w:rsidRPr="001D49D4">
        <w:rPr>
          <w:rFonts w:ascii="Calibri" w:eastAsia="Calibri" w:hAnsi="Calibri" w:cs="Arial"/>
          <w:vertAlign w:val="superscript"/>
          <w:rtl/>
        </w:rPr>
        <w:footnoteReference w:id="5125"/>
      </w:r>
      <w:r w:rsidRPr="001D49D4">
        <w:rPr>
          <w:rFonts w:ascii="Calibri" w:eastAsia="Calibri" w:hAnsi="Calibri" w:cs="Arial"/>
          <w:rtl/>
        </w:rPr>
        <w:t>, ופגע באותו הגר וזקפו עליו</w:t>
      </w:r>
      <w:r w:rsidRPr="001D49D4">
        <w:rPr>
          <w:rFonts w:ascii="Calibri" w:eastAsia="Calibri" w:hAnsi="Calibri" w:cs="Arial"/>
          <w:vertAlign w:val="superscript"/>
          <w:rtl/>
        </w:rPr>
        <w:footnoteReference w:id="5126"/>
      </w:r>
      <w:r w:rsidRPr="001D49D4">
        <w:rPr>
          <w:rFonts w:ascii="Calibri" w:eastAsia="Calibri" w:hAnsi="Calibri" w:cs="Arial"/>
          <w:rtl/>
        </w:rPr>
        <w:t xml:space="preserve"> במלוה, ומת - זכה הלה במה שבידו, </w:t>
      </w:r>
      <w:r w:rsidRPr="001D49D4">
        <w:rPr>
          <w:rFonts w:ascii="Calibri" w:eastAsia="Calibri" w:hAnsi="Calibri" w:cs="Arial"/>
          <w:u w:val="single"/>
          <w:rtl/>
        </w:rPr>
        <w:t>דברי רבי יוסי הגלילי</w:t>
      </w:r>
      <w:r w:rsidRPr="001D49D4">
        <w:rPr>
          <w:rFonts w:ascii="Calibri" w:eastAsia="Calibri" w:hAnsi="Calibri" w:cs="Arial"/>
          <w:rtl/>
        </w:rPr>
        <w:t xml:space="preserve">, </w:t>
      </w:r>
      <w:r w:rsidRPr="001D49D4">
        <w:rPr>
          <w:rFonts w:ascii="Calibri" w:eastAsia="Calibri" w:hAnsi="Calibri" w:cs="Arial"/>
          <w:u w:val="single"/>
          <w:rtl/>
        </w:rPr>
        <w:t>ר' עקיבא אומר</w:t>
      </w:r>
      <w:r w:rsidRPr="001D49D4">
        <w:rPr>
          <w:rFonts w:ascii="Calibri" w:eastAsia="Calibri" w:hAnsi="Calibri" w:cs="Arial"/>
          <w:rtl/>
        </w:rPr>
        <w:t xml:space="preserve">: אין לו תקנה עד שיוציא גזילו מתחת ידו... </w:t>
      </w:r>
      <w:r w:rsidRPr="001D49D4">
        <w:rPr>
          <w:rFonts w:ascii="Calibri" w:eastAsia="Calibri" w:hAnsi="Calibri" w:cs="Arial"/>
          <w:u w:val="single"/>
          <w:rtl/>
        </w:rPr>
        <w:t>רבא אמר</w:t>
      </w:r>
      <w:r w:rsidRPr="001D49D4">
        <w:rPr>
          <w:rFonts w:ascii="Calibri" w:eastAsia="Calibri" w:hAnsi="Calibri" w:cs="Arial"/>
          <w:rtl/>
        </w:rPr>
        <w:t>: הא והא רבי עקיבא</w:t>
      </w:r>
      <w:r w:rsidRPr="001D49D4">
        <w:rPr>
          <w:rFonts w:ascii="Calibri" w:eastAsia="Calibri" w:hAnsi="Calibri" w:cs="Arial"/>
          <w:vertAlign w:val="superscript"/>
          <w:rtl/>
        </w:rPr>
        <w:footnoteReference w:id="5127"/>
      </w:r>
      <w:r w:rsidRPr="001D49D4">
        <w:rPr>
          <w:rFonts w:ascii="Calibri" w:eastAsia="Calibri" w:hAnsi="Calibri" w:cs="Arial"/>
          <w:rtl/>
        </w:rPr>
        <w:t xml:space="preserve">, כי אמר רבי עקיבא דלא מצי מחיל - לנפשיה, אבל לאחרים מצי מחיל. </w:t>
      </w:r>
      <w:r w:rsidRPr="001D49D4">
        <w:rPr>
          <w:rFonts w:ascii="Calibri" w:eastAsia="Calibri" w:hAnsi="Calibri" w:cs="Arial"/>
          <w:sz w:val="16"/>
          <w:szCs w:val="16"/>
          <w:rtl/>
        </w:rPr>
        <w:t>(כתב הב"י דנראה שמכאן למד בעל התרומות את דבריו)</w:t>
      </w:r>
    </w:p>
    <w:p w14:paraId="4E87E0A0"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b/>
          <w:bCs/>
          <w:rtl/>
        </w:rPr>
        <w:t xml:space="preserve">כתובות </w:t>
      </w:r>
      <w:r w:rsidRPr="001D49D4">
        <w:rPr>
          <w:rFonts w:ascii="Calibri" w:eastAsia="Calibri" w:hAnsi="Calibri" w:cs="Arial"/>
          <w:b/>
          <w:bCs/>
          <w:sz w:val="16"/>
          <w:szCs w:val="16"/>
          <w:rtl/>
        </w:rPr>
        <w:t>(פרק הכותב)</w:t>
      </w:r>
      <w:r w:rsidRPr="001D49D4">
        <w:rPr>
          <w:rFonts w:ascii="Calibri" w:eastAsia="Calibri" w:hAnsi="Calibri" w:cs="Arial"/>
          <w:b/>
          <w:bCs/>
          <w:rtl/>
        </w:rPr>
        <w:t xml:space="preserve"> פה</w:t>
      </w:r>
      <w:r w:rsidRPr="001D49D4">
        <w:rPr>
          <w:rFonts w:ascii="Calibri" w:eastAsia="Calibri" w:hAnsi="Calibri" w:cs="Arial"/>
          <w:b/>
          <w:bCs/>
          <w:vertAlign w:val="superscript"/>
          <w:rtl/>
        </w:rPr>
        <w:footnoteReference w:id="5128"/>
      </w:r>
      <w:r w:rsidRPr="001D49D4">
        <w:rPr>
          <w:rFonts w:ascii="Calibri" w:eastAsia="Calibri" w:hAnsi="Calibri" w:cs="Arial"/>
          <w:b/>
          <w:bCs/>
          <w:rtl/>
        </w:rPr>
        <w:t xml:space="preserve"> ע"ב:</w:t>
      </w:r>
      <w:r w:rsidRPr="001D49D4">
        <w:rPr>
          <w:rFonts w:ascii="Calibri" w:eastAsia="Calibri" w:hAnsi="Calibri" w:cs="Arial"/>
          <w:rtl/>
        </w:rPr>
        <w:t xml:space="preserve"> קריבתיה דרב נחמן זבינתה לכתובתה</w:t>
      </w:r>
      <w:r w:rsidRPr="001D49D4">
        <w:rPr>
          <w:rFonts w:ascii="Calibri" w:eastAsia="Calibri" w:hAnsi="Calibri" w:cs="Arial"/>
          <w:vertAlign w:val="superscript"/>
          <w:rtl/>
        </w:rPr>
        <w:footnoteReference w:id="5129"/>
      </w:r>
      <w:r w:rsidRPr="001D49D4">
        <w:rPr>
          <w:rFonts w:ascii="Calibri" w:eastAsia="Calibri" w:hAnsi="Calibri" w:cs="Arial"/>
          <w:rtl/>
        </w:rPr>
        <w:t xml:space="preserve"> בטובת הנאה</w:t>
      </w:r>
      <w:r w:rsidRPr="001D49D4">
        <w:rPr>
          <w:rFonts w:ascii="Calibri" w:eastAsia="Calibri" w:hAnsi="Calibri" w:cs="Arial"/>
          <w:vertAlign w:val="superscript"/>
          <w:rtl/>
        </w:rPr>
        <w:footnoteReference w:id="5130"/>
      </w:r>
      <w:r w:rsidRPr="001D49D4">
        <w:rPr>
          <w:rFonts w:ascii="Calibri" w:eastAsia="Calibri" w:hAnsi="Calibri" w:cs="Arial"/>
          <w:rtl/>
        </w:rPr>
        <w:t>, איגרשה ושכיבה, אתו קא תבעי לה לברתה</w:t>
      </w:r>
      <w:r w:rsidRPr="001D49D4">
        <w:rPr>
          <w:rFonts w:ascii="Calibri" w:eastAsia="Calibri" w:hAnsi="Calibri" w:cs="Arial"/>
          <w:vertAlign w:val="superscript"/>
          <w:rtl/>
        </w:rPr>
        <w:footnoteReference w:id="5131"/>
      </w:r>
      <w:r w:rsidRPr="001D49D4">
        <w:rPr>
          <w:rFonts w:ascii="Calibri" w:eastAsia="Calibri" w:hAnsi="Calibri" w:cs="Arial"/>
          <w:rtl/>
        </w:rPr>
        <w:t xml:space="preserve">, </w:t>
      </w:r>
      <w:r w:rsidRPr="001D49D4">
        <w:rPr>
          <w:rFonts w:ascii="Calibri" w:eastAsia="Calibri" w:hAnsi="Calibri" w:cs="Arial"/>
          <w:u w:val="single"/>
          <w:rtl/>
        </w:rPr>
        <w:t>אמר להו רב נחמן</w:t>
      </w:r>
      <w:r w:rsidRPr="001D49D4">
        <w:rPr>
          <w:rFonts w:ascii="Calibri" w:eastAsia="Calibri" w:hAnsi="Calibri" w:cs="Arial"/>
          <w:rtl/>
        </w:rPr>
        <w:t>: ליכא דליסבא לה עצה,</w:t>
      </w:r>
      <w:r w:rsidRPr="001D49D4">
        <w:rPr>
          <w:rFonts w:ascii="Calibri" w:eastAsia="Calibri" w:hAnsi="Calibri" w:cs="Arial"/>
          <w:sz w:val="14"/>
          <w:szCs w:val="14"/>
          <w:rtl/>
        </w:rPr>
        <w:t xml:space="preserve"> (פו.)</w:t>
      </w:r>
      <w:r w:rsidRPr="001D49D4">
        <w:rPr>
          <w:rFonts w:ascii="Calibri" w:eastAsia="Calibri" w:hAnsi="Calibri" w:cs="Arial"/>
          <w:rtl/>
        </w:rPr>
        <w:t xml:space="preserve"> תיזיל ותיחלה</w:t>
      </w:r>
      <w:r w:rsidRPr="001D49D4">
        <w:rPr>
          <w:rFonts w:ascii="Calibri" w:eastAsia="Calibri" w:hAnsi="Calibri" w:cs="Arial"/>
          <w:vertAlign w:val="superscript"/>
          <w:rtl/>
        </w:rPr>
        <w:footnoteReference w:id="5132"/>
      </w:r>
      <w:r w:rsidRPr="001D49D4">
        <w:rPr>
          <w:rFonts w:ascii="Calibri" w:eastAsia="Calibri" w:hAnsi="Calibri" w:cs="Arial"/>
          <w:rtl/>
        </w:rPr>
        <w:t xml:space="preserve"> לכתובתה דאמה לגבי אבוה, ותירתה מיניה. שמעה, אזלה אחילתה. </w:t>
      </w:r>
      <w:r w:rsidRPr="001D49D4">
        <w:rPr>
          <w:rFonts w:ascii="Calibri" w:eastAsia="Calibri" w:hAnsi="Calibri" w:cs="Arial"/>
          <w:u w:val="single"/>
          <w:rtl/>
        </w:rPr>
        <w:t>אמר רב נחמן</w:t>
      </w:r>
      <w:r w:rsidRPr="001D49D4">
        <w:rPr>
          <w:rFonts w:ascii="Calibri" w:eastAsia="Calibri" w:hAnsi="Calibri" w:cs="Arial"/>
          <w:rtl/>
        </w:rPr>
        <w:t>: עשינו עצמינו</w:t>
      </w:r>
      <w:r w:rsidRPr="001D49D4">
        <w:rPr>
          <w:rFonts w:ascii="Calibri" w:eastAsia="Calibri" w:hAnsi="Calibri" w:cs="Arial"/>
          <w:vertAlign w:val="superscript"/>
          <w:rtl/>
        </w:rPr>
        <w:footnoteReference w:id="5133"/>
      </w:r>
      <w:r w:rsidRPr="001D49D4">
        <w:rPr>
          <w:rFonts w:ascii="Calibri" w:eastAsia="Calibri" w:hAnsi="Calibri" w:cs="Arial"/>
          <w:rtl/>
        </w:rPr>
        <w:t xml:space="preserve"> כעורכי הדיינין. מעיקרא מאי סבר, ולבסוף מאי סבר? מעיקרא סבר: ומבשרך לא תתעלם, ולבסוף סבר: אדם חשוב שאני</w:t>
      </w:r>
      <w:r w:rsidRPr="001D49D4">
        <w:rPr>
          <w:rFonts w:ascii="Calibri" w:eastAsia="Calibri" w:hAnsi="Calibri" w:cs="Arial"/>
          <w:vertAlign w:val="superscript"/>
          <w:rtl/>
        </w:rPr>
        <w:footnoteReference w:id="5134"/>
      </w:r>
      <w:r w:rsidRPr="001D49D4">
        <w:rPr>
          <w:rFonts w:ascii="Calibri" w:eastAsia="Calibri" w:hAnsi="Calibri" w:cs="Arial"/>
          <w:rtl/>
        </w:rPr>
        <w:t>.</w:t>
      </w:r>
    </w:p>
    <w:p w14:paraId="4DC13FA8" w14:textId="77777777" w:rsidR="001D49D4" w:rsidRPr="001D49D4" w:rsidRDefault="001D49D4" w:rsidP="0004348D">
      <w:pPr>
        <w:spacing w:before="360" w:after="240"/>
        <w:rPr>
          <w:rFonts w:ascii="Calibri" w:eastAsia="Calibri" w:hAnsi="Calibri" w:cs="Arial"/>
          <w:u w:val="single"/>
        </w:rPr>
      </w:pPr>
      <w:r w:rsidRPr="001D49D4">
        <w:rPr>
          <w:rFonts w:ascii="Calibri" w:eastAsia="Calibri" w:hAnsi="Calibri" w:cs="Arial"/>
          <w:u w:val="single"/>
          <w:rtl/>
        </w:rPr>
        <w:t>האם יורש יכול למחול לעצמו אע"פ שבכך יפסיד ללוקח:</w:t>
      </w:r>
    </w:p>
    <w:p w14:paraId="09B3DF3C" w14:textId="77777777" w:rsidR="001D49D4" w:rsidRPr="001D49D4" w:rsidRDefault="001D49D4" w:rsidP="0004348D">
      <w:pPr>
        <w:numPr>
          <w:ilvl w:val="0"/>
          <w:numId w:val="333"/>
        </w:numPr>
        <w:spacing w:before="360" w:after="240"/>
        <w:contextualSpacing/>
        <w:rPr>
          <w:rFonts w:ascii="Calibri" w:eastAsia="Calibri" w:hAnsi="Calibri" w:cs="Arial"/>
          <w:rtl/>
        </w:rPr>
      </w:pPr>
      <w:r w:rsidRPr="001D49D4">
        <w:rPr>
          <w:rFonts w:ascii="Calibri" w:eastAsia="Calibri" w:hAnsi="Calibri" w:cs="Arial"/>
          <w:rtl/>
        </w:rPr>
        <w:t>תוס'</w:t>
      </w:r>
      <w:r w:rsidRPr="001D49D4">
        <w:rPr>
          <w:rFonts w:ascii="Calibri" w:eastAsia="Calibri" w:hAnsi="Calibri" w:cs="Arial"/>
          <w:sz w:val="16"/>
          <w:szCs w:val="16"/>
          <w:rtl/>
        </w:rPr>
        <w:t xml:space="preserve"> (כ"כ הטור בשמו)</w:t>
      </w:r>
      <w:r w:rsidRPr="001D49D4">
        <w:rPr>
          <w:rFonts w:ascii="Calibri" w:eastAsia="Calibri" w:hAnsi="Calibri" w:cs="Arial"/>
          <w:rtl/>
        </w:rPr>
        <w:t xml:space="preserve"> ורא"ש </w:t>
      </w:r>
      <w:r w:rsidRPr="001D49D4">
        <w:rPr>
          <w:rFonts w:ascii="Calibri" w:eastAsia="Calibri" w:hAnsi="Calibri" w:cs="Arial"/>
          <w:sz w:val="16"/>
          <w:szCs w:val="16"/>
          <w:rtl/>
        </w:rPr>
        <w:t>(סי' י)</w:t>
      </w:r>
      <w:r w:rsidRPr="001D49D4">
        <w:rPr>
          <w:rFonts w:ascii="Calibri" w:eastAsia="Calibri" w:hAnsi="Calibri" w:cs="Arial"/>
          <w:rtl/>
        </w:rPr>
        <w:t xml:space="preserve">- </w:t>
      </w:r>
      <w:r w:rsidRPr="001D49D4">
        <w:rPr>
          <w:rFonts w:ascii="Calibri" w:eastAsia="Calibri" w:hAnsi="Calibri" w:cs="Arial"/>
          <w:vertAlign w:val="superscript"/>
          <w:rtl/>
        </w:rPr>
        <w:footnoteReference w:id="5135"/>
      </w:r>
      <w:r w:rsidRPr="001D49D4">
        <w:rPr>
          <w:rFonts w:ascii="Calibri" w:eastAsia="Calibri" w:hAnsi="Calibri" w:cs="Arial"/>
          <w:rtl/>
        </w:rPr>
        <w:t>אפילו לעצמו יכול למחול.</w:t>
      </w:r>
      <w:r w:rsidRPr="001D49D4">
        <w:rPr>
          <w:rFonts w:ascii="Calibri" w:eastAsia="Calibri" w:hAnsi="Calibri" w:cs="Arial"/>
          <w:color w:val="E36C0A" w:themeColor="accent6" w:themeShade="BF"/>
          <w:rtl/>
        </w:rPr>
        <w:t xml:space="preserve"> (וכ"פ בשו"ע</w:t>
      </w:r>
      <w:r w:rsidRPr="001D49D4">
        <w:rPr>
          <w:rFonts w:ascii="Calibri" w:eastAsia="Calibri" w:hAnsi="Calibri" w:cs="Arial"/>
          <w:color w:val="E36C0A" w:themeColor="accent6" w:themeShade="BF"/>
          <w:sz w:val="16"/>
          <w:szCs w:val="16"/>
          <w:rtl/>
        </w:rPr>
        <w:t xml:space="preserve"> </w:t>
      </w:r>
      <w:r w:rsidRPr="001D49D4">
        <w:rPr>
          <w:rFonts w:ascii="Calibri" w:eastAsia="Calibri" w:hAnsi="Calibri" w:cs="Arial"/>
          <w:sz w:val="16"/>
          <w:szCs w:val="16"/>
          <w:rtl/>
        </w:rPr>
        <w:t>[באהע"ז סי' קה ס"ו]</w:t>
      </w:r>
      <w:r w:rsidRPr="001D49D4">
        <w:rPr>
          <w:rFonts w:ascii="Calibri" w:eastAsia="Calibri" w:hAnsi="Calibri" w:cs="Arial"/>
          <w:color w:val="E36C0A" w:themeColor="accent6" w:themeShade="BF"/>
          <w:rtl/>
        </w:rPr>
        <w:t>)</w:t>
      </w:r>
    </w:p>
    <w:p w14:paraId="5487B40C" w14:textId="77777777" w:rsidR="001D49D4" w:rsidRPr="001D49D4" w:rsidRDefault="001D49D4" w:rsidP="0004348D">
      <w:pPr>
        <w:numPr>
          <w:ilvl w:val="0"/>
          <w:numId w:val="333"/>
        </w:numPr>
        <w:spacing w:before="360" w:after="240"/>
        <w:contextualSpacing/>
        <w:rPr>
          <w:rFonts w:ascii="Calibri" w:eastAsia="Calibri" w:hAnsi="Calibri" w:cs="Arial"/>
          <w:rtl/>
        </w:rPr>
      </w:pPr>
      <w:r w:rsidRPr="001D49D4">
        <w:rPr>
          <w:rFonts w:ascii="Calibri" w:eastAsia="Calibri" w:hAnsi="Calibri" w:cs="Arial"/>
          <w:rtl/>
        </w:rPr>
        <w:t xml:space="preserve">רמב"ן </w:t>
      </w:r>
      <w:r w:rsidRPr="001D49D4">
        <w:rPr>
          <w:rFonts w:ascii="Calibri" w:eastAsia="Calibri" w:hAnsi="Calibri" w:cs="Arial"/>
          <w:sz w:val="16"/>
          <w:szCs w:val="16"/>
          <w:rtl/>
        </w:rPr>
        <w:t xml:space="preserve">(ספר הזכות מ: מדפה"ר ד"ה ושמא מכאן) </w:t>
      </w:r>
      <w:r w:rsidRPr="001D49D4">
        <w:rPr>
          <w:rFonts w:ascii="Calibri" w:eastAsia="Calibri" w:hAnsi="Calibri" w:cs="Arial"/>
          <w:rtl/>
        </w:rPr>
        <w:t xml:space="preserve">ובעל התרומות </w:t>
      </w:r>
      <w:r w:rsidRPr="001D49D4">
        <w:rPr>
          <w:rFonts w:ascii="Calibri" w:eastAsia="Calibri" w:hAnsi="Calibri" w:cs="Arial"/>
          <w:sz w:val="16"/>
          <w:szCs w:val="16"/>
          <w:rtl/>
        </w:rPr>
        <w:t>(שער נא ח"ו סי' ו)</w:t>
      </w:r>
      <w:r w:rsidRPr="001D49D4">
        <w:rPr>
          <w:rFonts w:ascii="Calibri" w:eastAsia="Calibri" w:hAnsi="Calibri" w:cs="Arial"/>
          <w:rtl/>
        </w:rPr>
        <w:t>- אין היורש יכול למחול לעצמו להפסיד ללוקח. כיצד, ראובן הלוה לבנו בשטר, ומכרו לשמעון, ומת ראובן. לא יאמר הבן הואיל ואני יורש החזקתי למחול לעצמי, ואין לי לשלם כלום מדינא דגרמי, שאני לא כיונתי להזיק ללוקח אלא לפטור עצמי - אלא פורע כל החוב ללוקח</w:t>
      </w:r>
      <w:r w:rsidRPr="001D49D4">
        <w:rPr>
          <w:rFonts w:ascii="Calibri" w:eastAsia="Calibri" w:hAnsi="Calibri" w:cs="Arial"/>
          <w:vertAlign w:val="superscript"/>
          <w:rtl/>
        </w:rPr>
        <w:footnoteReference w:id="5136"/>
      </w:r>
      <w:r w:rsidRPr="001D49D4">
        <w:rPr>
          <w:rFonts w:ascii="Calibri" w:eastAsia="Calibri" w:hAnsi="Calibri" w:cs="Arial"/>
          <w:sz w:val="16"/>
          <w:szCs w:val="16"/>
          <w:rtl/>
        </w:rPr>
        <w:t xml:space="preserve"> (ל' הטור בשם בעל התרומות)</w:t>
      </w:r>
      <w:r w:rsidRPr="001D49D4">
        <w:rPr>
          <w:rFonts w:ascii="Calibri" w:eastAsia="Calibri" w:hAnsi="Calibri" w:cs="Arial"/>
          <w:rtl/>
        </w:rPr>
        <w:t xml:space="preserve">. </w:t>
      </w:r>
      <w:r w:rsidRPr="001D49D4">
        <w:rPr>
          <w:rFonts w:ascii="Calibri" w:eastAsia="Calibri" w:hAnsi="Calibri" w:cs="Arial"/>
          <w:color w:val="E36C0A" w:themeColor="accent6" w:themeShade="BF"/>
          <w:rtl/>
        </w:rPr>
        <w:t>(וכ"ס בשו"ע</w:t>
      </w:r>
      <w:r w:rsidRPr="001D49D4">
        <w:rPr>
          <w:rFonts w:ascii="Calibri" w:eastAsia="Calibri" w:hAnsi="Calibri" w:cs="Arial"/>
          <w:color w:val="E36C0A" w:themeColor="accent6" w:themeShade="BF"/>
          <w:sz w:val="16"/>
          <w:szCs w:val="16"/>
          <w:rtl/>
        </w:rPr>
        <w:t xml:space="preserve"> </w:t>
      </w:r>
      <w:r w:rsidRPr="001D49D4">
        <w:rPr>
          <w:rFonts w:ascii="Calibri" w:eastAsia="Calibri" w:hAnsi="Calibri" w:cs="Arial"/>
          <w:sz w:val="16"/>
          <w:szCs w:val="16"/>
          <w:rtl/>
        </w:rPr>
        <w:t>[כאן]</w:t>
      </w:r>
      <w:r w:rsidRPr="001D49D4">
        <w:rPr>
          <w:rFonts w:ascii="Calibri" w:eastAsia="Calibri" w:hAnsi="Calibri" w:cs="Arial"/>
          <w:color w:val="E36C0A" w:themeColor="accent6" w:themeShade="BF"/>
          <w:rtl/>
        </w:rPr>
        <w:t>)</w:t>
      </w:r>
    </w:p>
    <w:p w14:paraId="7513137D" w14:textId="77777777" w:rsidR="001D49D4" w:rsidRPr="001D49D4" w:rsidRDefault="001D49D4" w:rsidP="0004348D">
      <w:pPr>
        <w:spacing w:before="360" w:after="240"/>
        <w:rPr>
          <w:rFonts w:ascii="Calibri" w:eastAsia="Calibri" w:hAnsi="Calibri" w:cs="Arial"/>
          <w:u w:val="single"/>
          <w:rtl/>
        </w:rPr>
      </w:pPr>
      <w:r w:rsidRPr="001D49D4">
        <w:rPr>
          <w:rFonts w:ascii="Calibri" w:eastAsia="Calibri" w:hAnsi="Calibri" w:cs="Arial"/>
          <w:u w:val="single"/>
          <w:rtl/>
        </w:rPr>
        <w:t>המוכר שטר חוב לחבירו באחריות ויצאו עדים ששטר זה פרוע:</w:t>
      </w:r>
    </w:p>
    <w:p w14:paraId="77DF8829" w14:textId="77777777" w:rsidR="001D49D4" w:rsidRPr="001D49D4" w:rsidRDefault="001D49D4" w:rsidP="0004348D">
      <w:pPr>
        <w:numPr>
          <w:ilvl w:val="0"/>
          <w:numId w:val="334"/>
        </w:numPr>
        <w:spacing w:before="360" w:after="240"/>
        <w:contextualSpacing/>
        <w:rPr>
          <w:rFonts w:ascii="Calibri" w:eastAsia="Calibri" w:hAnsi="Calibri" w:cs="Arial"/>
          <w:rtl/>
        </w:rPr>
      </w:pPr>
      <w:r w:rsidRPr="001D49D4">
        <w:rPr>
          <w:rFonts w:ascii="Calibri" w:eastAsia="Calibri" w:hAnsi="Calibri" w:cs="Arial"/>
          <w:rtl/>
        </w:rPr>
        <w:t>רא"ש</w:t>
      </w:r>
      <w:r w:rsidRPr="001D49D4">
        <w:rPr>
          <w:rFonts w:ascii="Calibri" w:eastAsia="Calibri" w:hAnsi="Calibri" w:cs="Arial"/>
          <w:sz w:val="16"/>
          <w:szCs w:val="16"/>
          <w:rtl/>
        </w:rPr>
        <w:t xml:space="preserve"> (כלל סט סי' ב)</w:t>
      </w:r>
      <w:r w:rsidRPr="001D49D4">
        <w:rPr>
          <w:rFonts w:ascii="Calibri" w:eastAsia="Calibri" w:hAnsi="Calibri" w:cs="Arial"/>
          <w:rtl/>
        </w:rPr>
        <w:t>- המוכר שטר חוב לחבירו באחריות ויצאו עדים ששטר זה פרוע - צריך להשלים לו השטר שיהא ראוי לגבות בו החוב, דהיינו אחריותו שקבל עליו, וחייב ליתן לו דמי החוב כפי מה שישוה שטר כשר כזה על אדם כזה לפי עניינו ולפי ממונו.</w:t>
      </w:r>
    </w:p>
    <w:p w14:paraId="55778082" w14:textId="77777777" w:rsidR="001D49D4" w:rsidRPr="001D49D4" w:rsidRDefault="001D49D4" w:rsidP="0004348D">
      <w:pPr>
        <w:spacing w:before="360" w:after="240"/>
        <w:rPr>
          <w:rFonts w:ascii="Calibri" w:eastAsia="Calibri" w:hAnsi="Calibri" w:cs="Arial"/>
          <w:u w:val="single"/>
        </w:rPr>
      </w:pPr>
      <w:r w:rsidRPr="001D49D4">
        <w:rPr>
          <w:rFonts w:ascii="Calibri" w:eastAsia="Calibri" w:hAnsi="Calibri" w:cs="Arial"/>
          <w:u w:val="single"/>
          <w:rtl/>
        </w:rPr>
        <w:t xml:space="preserve">לוקח שקנה שט"ח כדין, וקיבל מהלוה בפרעון השטר בתים, ונשאר השטר אצלו ואינו רוצה להחזירו ללוה: </w:t>
      </w:r>
    </w:p>
    <w:p w14:paraId="6489DF8E" w14:textId="77777777" w:rsidR="001D49D4" w:rsidRPr="001D49D4" w:rsidRDefault="001D49D4" w:rsidP="0004348D">
      <w:pPr>
        <w:numPr>
          <w:ilvl w:val="0"/>
          <w:numId w:val="334"/>
        </w:numPr>
        <w:spacing w:before="360" w:after="240"/>
        <w:contextualSpacing/>
        <w:rPr>
          <w:rFonts w:ascii="Calibri" w:eastAsia="Calibri" w:hAnsi="Calibri" w:cs="Arial"/>
        </w:rPr>
      </w:pPr>
      <w:r w:rsidRPr="001D49D4">
        <w:rPr>
          <w:rFonts w:ascii="Calibri" w:eastAsia="Calibri" w:hAnsi="Calibri" w:cs="Arial"/>
          <w:rtl/>
        </w:rPr>
        <w:t>רא"ש</w:t>
      </w:r>
      <w:r w:rsidRPr="001D49D4">
        <w:rPr>
          <w:rFonts w:ascii="Calibri" w:eastAsia="Calibri" w:hAnsi="Calibri" w:cs="Arial"/>
          <w:sz w:val="16"/>
          <w:szCs w:val="16"/>
          <w:rtl/>
        </w:rPr>
        <w:t xml:space="preserve"> (כלל סט סי' ב)</w:t>
      </w:r>
      <w:r w:rsidRPr="001D49D4">
        <w:rPr>
          <w:rFonts w:ascii="Calibri" w:eastAsia="Calibri" w:hAnsi="Calibri" w:cs="Arial"/>
          <w:rtl/>
        </w:rPr>
        <w:t xml:space="preserve">- ראובן שהיה לו שטר חוב על לוי, ומכרו לשמעון בכתיבה ומסירה, ומכר לוי הבתים שלו לשמעון בפרעון השטר חוב ולא החזיר לו השטר, ולוי תובע לראובן שיחזיר לו שטרו כיון שפרע, ושמעון איננו פה גם אינו רוצה להחזירו שאומר שרוצה להיות לו לראיה היאך באו הבתים לידו. תשובה, לוי אין לו טענה על ראובן בעבור השטר - כיון שמכרו לשמעון, ולוי פשע בעצמו שלא לקח השטר מיד שמעון, ושמעון חייב להחזיר השטר ללוי, ויכתבו לשמעון ראיה על הבתים. </w:t>
      </w:r>
    </w:p>
    <w:p w14:paraId="18522CBF" w14:textId="77777777" w:rsidR="001D49D4" w:rsidRPr="001D49D4" w:rsidRDefault="001D49D4" w:rsidP="0004348D">
      <w:pPr>
        <w:spacing w:before="360" w:after="240"/>
        <w:rPr>
          <w:rFonts w:ascii="Calibri" w:eastAsia="Calibri" w:hAnsi="Calibri" w:cs="Arial"/>
          <w:u w:val="single"/>
        </w:rPr>
      </w:pPr>
      <w:r w:rsidRPr="001D49D4">
        <w:rPr>
          <w:rFonts w:ascii="Calibri" w:eastAsia="Calibri" w:hAnsi="Calibri" w:cs="Arial"/>
          <w:u w:val="single"/>
          <w:rtl/>
        </w:rPr>
        <w:t>כתב שטר לפלוני על דבר שאינו בידו – האם אמרינן בכגון זה שעדיו בחתומיו זכין לו:</w:t>
      </w:r>
    </w:p>
    <w:p w14:paraId="238B4CEB" w14:textId="77777777" w:rsidR="001D49D4" w:rsidRPr="001D49D4" w:rsidRDefault="001D49D4" w:rsidP="0004348D">
      <w:pPr>
        <w:numPr>
          <w:ilvl w:val="0"/>
          <w:numId w:val="334"/>
        </w:numPr>
        <w:spacing w:before="360" w:after="240"/>
        <w:contextualSpacing/>
        <w:rPr>
          <w:rFonts w:ascii="Calibri" w:eastAsia="Calibri" w:hAnsi="Calibri" w:cs="Arial"/>
        </w:rPr>
      </w:pPr>
      <w:r w:rsidRPr="001D49D4">
        <w:rPr>
          <w:rFonts w:ascii="Calibri" w:eastAsia="Calibri" w:hAnsi="Calibri" w:cs="Arial"/>
          <w:rtl/>
        </w:rPr>
        <w:t xml:space="preserve">רי"ו </w:t>
      </w:r>
      <w:r w:rsidRPr="001D49D4">
        <w:rPr>
          <w:rFonts w:ascii="Calibri" w:eastAsia="Calibri" w:hAnsi="Calibri" w:cs="Arial"/>
          <w:sz w:val="16"/>
          <w:szCs w:val="16"/>
          <w:rtl/>
        </w:rPr>
        <w:t>(ני"ד מה:)</w:t>
      </w:r>
      <w:r w:rsidRPr="001D49D4">
        <w:rPr>
          <w:rFonts w:ascii="Calibri" w:eastAsia="Calibri" w:hAnsi="Calibri" w:cs="Arial"/>
          <w:rtl/>
        </w:rPr>
        <w:t xml:space="preserve">- דבר שאינו בידו וכתב לו שטר עליו, כגון שטר הלואה - לא אמרינן עדיו בחיתומיו זכין לו </w:t>
      </w:r>
      <w:r w:rsidRPr="001D49D4">
        <w:rPr>
          <w:rFonts w:ascii="Calibri" w:eastAsia="Calibri" w:hAnsi="Calibri" w:cs="Arial"/>
          <w:sz w:val="16"/>
          <w:szCs w:val="16"/>
          <w:rtl/>
        </w:rPr>
        <w:t xml:space="preserve">(ב"מ יג.) </w:t>
      </w:r>
      <w:r w:rsidRPr="001D49D4">
        <w:rPr>
          <w:rFonts w:ascii="Calibri" w:eastAsia="Calibri" w:hAnsi="Calibri" w:cs="Arial"/>
          <w:rtl/>
        </w:rPr>
        <w:t>אלא עד דמטא שטרא לידיה. אבל בזוכה בדבר שהוא תחת ידו - זכה משעת חתימה אפילו לא הגיע שטר לידו, והוא שניכר בזמן הכתוב בו שקדם למעשה שאחריו.</w:t>
      </w:r>
    </w:p>
    <w:p w14:paraId="32128952" w14:textId="77777777" w:rsidR="001D49D4" w:rsidRPr="001D49D4" w:rsidRDefault="001D49D4" w:rsidP="0004348D">
      <w:pPr>
        <w:spacing w:before="360" w:after="240"/>
        <w:rPr>
          <w:rFonts w:ascii="Calibri" w:eastAsia="Calibri" w:hAnsi="Calibri" w:cs="Arial"/>
        </w:rPr>
      </w:pPr>
      <w:r w:rsidRPr="001D49D4">
        <w:rPr>
          <w:rFonts w:ascii="Calibri" w:eastAsia="Calibri" w:hAnsi="Calibri" w:cs="Arial"/>
          <w:b/>
          <w:bCs/>
          <w:rtl/>
        </w:rPr>
        <w:t xml:space="preserve">כתובות </w:t>
      </w:r>
      <w:r w:rsidRPr="001D49D4">
        <w:rPr>
          <w:rFonts w:ascii="Calibri" w:eastAsia="Calibri" w:hAnsi="Calibri" w:cs="Arial"/>
          <w:b/>
          <w:bCs/>
          <w:sz w:val="16"/>
          <w:szCs w:val="16"/>
          <w:rtl/>
        </w:rPr>
        <w:t>(פרק הכותב)</w:t>
      </w:r>
      <w:r w:rsidRPr="001D49D4">
        <w:rPr>
          <w:rFonts w:ascii="Calibri" w:eastAsia="Calibri" w:hAnsi="Calibri" w:cs="Arial"/>
          <w:b/>
          <w:bCs/>
          <w:rtl/>
        </w:rPr>
        <w:t xml:space="preserve"> פו ע"א:</w:t>
      </w:r>
      <w:r w:rsidRPr="001D49D4">
        <w:rPr>
          <w:rFonts w:ascii="Calibri" w:eastAsia="Calibri" w:hAnsi="Calibri" w:cs="Arial"/>
          <w:rtl/>
        </w:rPr>
        <w:t xml:space="preserve"> </w:t>
      </w:r>
      <w:r w:rsidRPr="001D49D4">
        <w:rPr>
          <w:rFonts w:ascii="Calibri" w:eastAsia="Calibri" w:hAnsi="Calibri" w:cs="Arial"/>
          <w:u w:val="single"/>
          <w:rtl/>
        </w:rPr>
        <w:t>אמר שמואל</w:t>
      </w:r>
      <w:r w:rsidRPr="001D49D4">
        <w:rPr>
          <w:rFonts w:ascii="Calibri" w:eastAsia="Calibri" w:hAnsi="Calibri" w:cs="Arial"/>
          <w:rtl/>
        </w:rPr>
        <w:t xml:space="preserve">: המוכר שטר חוב לחבירו וחזר ומחלו - מחול, ואפי' יורש מוחל... </w:t>
      </w:r>
      <w:r w:rsidRPr="001D49D4">
        <w:rPr>
          <w:rFonts w:ascii="Calibri" w:eastAsia="Calibri" w:hAnsi="Calibri" w:cs="Arial"/>
          <w:u w:val="single"/>
          <w:rtl/>
        </w:rPr>
        <w:t>אמר אמימר</w:t>
      </w:r>
      <w:r w:rsidRPr="001D49D4">
        <w:rPr>
          <w:rFonts w:ascii="Calibri" w:eastAsia="Calibri" w:hAnsi="Calibri" w:cs="Arial"/>
          <w:rtl/>
        </w:rPr>
        <w:t>: מאן דדאין דינא דגרמי - מגבי ביה דמי שטרא מעליא, מאן דלא דאין דינא דגרמי - מגבי ביה דמי ניירא בעלמא. הוה עובדא וכפייה רפרם לרב אשי, ואגבי ביה כי כשורא לצלמי.</w:t>
      </w:r>
    </w:p>
    <w:p w14:paraId="0C2AE03D" w14:textId="77777777" w:rsidR="001D49D4" w:rsidRPr="001D49D4" w:rsidRDefault="001D49D4" w:rsidP="0004348D">
      <w:pPr>
        <w:spacing w:before="360" w:after="240"/>
        <w:rPr>
          <w:rFonts w:ascii="Calibri" w:eastAsia="Calibri" w:hAnsi="Calibri" w:cs="Arial"/>
          <w:u w:val="single"/>
        </w:rPr>
      </w:pPr>
      <w:r w:rsidRPr="001D49D4">
        <w:rPr>
          <w:rFonts w:ascii="Calibri" w:eastAsia="Calibri" w:hAnsi="Calibri" w:cs="Arial"/>
          <w:u w:val="single"/>
          <w:rtl/>
        </w:rPr>
        <w:t>מוכר שמחל את שטר החוב שמכר ללוקח – האם צריך הלוקח להחזיר את השטר ללוה:</w:t>
      </w:r>
    </w:p>
    <w:p w14:paraId="63E948A5" w14:textId="77777777" w:rsidR="001D49D4" w:rsidRPr="001D49D4" w:rsidRDefault="001D49D4" w:rsidP="0004348D">
      <w:pPr>
        <w:numPr>
          <w:ilvl w:val="0"/>
          <w:numId w:val="334"/>
        </w:numPr>
        <w:spacing w:before="360" w:after="240"/>
        <w:contextualSpacing/>
        <w:rPr>
          <w:rFonts w:ascii="Calibri" w:eastAsia="Calibri" w:hAnsi="Calibri" w:cs="Arial"/>
        </w:rPr>
      </w:pPr>
      <w:r w:rsidRPr="001D49D4">
        <w:rPr>
          <w:rFonts w:ascii="Calibri" w:eastAsia="Calibri" w:hAnsi="Calibri" w:cs="Arial"/>
          <w:rtl/>
        </w:rPr>
        <w:t>רא"ש</w:t>
      </w:r>
      <w:r w:rsidRPr="001D49D4">
        <w:rPr>
          <w:rFonts w:ascii="Calibri" w:eastAsia="Calibri" w:hAnsi="Calibri" w:cs="Arial"/>
          <w:vertAlign w:val="superscript"/>
          <w:rtl/>
        </w:rPr>
        <w:footnoteReference w:id="5137"/>
      </w:r>
      <w:r w:rsidRPr="001D49D4">
        <w:rPr>
          <w:rFonts w:ascii="Calibri" w:eastAsia="Calibri" w:hAnsi="Calibri" w:cs="Arial"/>
          <w:rtl/>
        </w:rPr>
        <w:t xml:space="preserve"> </w:t>
      </w:r>
      <w:r w:rsidRPr="001D49D4">
        <w:rPr>
          <w:rFonts w:ascii="Calibri" w:eastAsia="Calibri" w:hAnsi="Calibri" w:cs="Arial"/>
          <w:sz w:val="16"/>
          <w:szCs w:val="16"/>
          <w:rtl/>
        </w:rPr>
        <w:t>(פרק הכותב סי' י)</w:t>
      </w:r>
      <w:r w:rsidRPr="001D49D4">
        <w:rPr>
          <w:rFonts w:ascii="Calibri" w:eastAsia="Calibri" w:hAnsi="Calibri" w:cs="Arial"/>
          <w:rtl/>
        </w:rPr>
        <w:t xml:space="preserve"> ריטב"א </w:t>
      </w:r>
      <w:r w:rsidRPr="001D49D4">
        <w:rPr>
          <w:rFonts w:ascii="Calibri" w:eastAsia="Calibri" w:hAnsi="Calibri" w:cs="Arial"/>
          <w:sz w:val="16"/>
          <w:szCs w:val="16"/>
          <w:rtl/>
        </w:rPr>
        <w:t>(פרק הכותב פו. ד"ה ומאן)</w:t>
      </w:r>
      <w:r w:rsidRPr="001D49D4">
        <w:rPr>
          <w:rFonts w:ascii="Calibri" w:eastAsia="Calibri" w:hAnsi="Calibri" w:cs="Arial"/>
          <w:rtl/>
        </w:rPr>
        <w:t xml:space="preserve"> וי"א </w:t>
      </w:r>
      <w:r w:rsidRPr="001D49D4">
        <w:rPr>
          <w:rFonts w:ascii="Calibri" w:eastAsia="Calibri" w:hAnsi="Calibri" w:cs="Arial"/>
          <w:sz w:val="16"/>
          <w:szCs w:val="16"/>
          <w:rtl/>
        </w:rPr>
        <w:t>(כ"כ הר"ן בשמם [פרק הכותב מה.])</w:t>
      </w:r>
      <w:r w:rsidRPr="001D49D4">
        <w:rPr>
          <w:rFonts w:ascii="Calibri" w:eastAsia="Calibri" w:hAnsi="Calibri" w:cs="Arial"/>
          <w:rtl/>
        </w:rPr>
        <w:t>- כיון דלוה נותן שכר השטר אינו אלא כמשכון ביד מלוה עד שיפרענו, הילכך מכי מחליה ליה לגביה כיון דפקע שעבודיה - זכה לוה בגופו של שטר ומחזירו לוקח בעל כרחו</w:t>
      </w:r>
      <w:r w:rsidRPr="001D49D4">
        <w:rPr>
          <w:rFonts w:ascii="Calibri" w:eastAsia="Calibri" w:hAnsi="Calibri" w:cs="Arial"/>
          <w:sz w:val="16"/>
          <w:szCs w:val="16"/>
          <w:rtl/>
        </w:rPr>
        <w:t xml:space="preserve"> (ל' הר"ן בשם י"א)</w:t>
      </w:r>
      <w:r w:rsidRPr="001D49D4">
        <w:rPr>
          <w:rFonts w:ascii="Calibri" w:eastAsia="Calibri" w:hAnsi="Calibri" w:cs="Arial"/>
          <w:rtl/>
        </w:rPr>
        <w:t xml:space="preserve">. </w:t>
      </w:r>
    </w:p>
    <w:p w14:paraId="0794BC89" w14:textId="77777777" w:rsidR="001D49D4" w:rsidRPr="001D49D4" w:rsidRDefault="001D49D4" w:rsidP="0004348D">
      <w:pPr>
        <w:numPr>
          <w:ilvl w:val="0"/>
          <w:numId w:val="334"/>
        </w:numPr>
        <w:spacing w:before="360" w:after="240"/>
        <w:contextualSpacing/>
        <w:rPr>
          <w:rFonts w:ascii="Calibri" w:eastAsia="Calibri" w:hAnsi="Calibri" w:cs="Arial"/>
        </w:rPr>
      </w:pPr>
      <w:r w:rsidRPr="001D49D4">
        <w:rPr>
          <w:rFonts w:ascii="Calibri" w:eastAsia="Calibri" w:hAnsi="Calibri" w:cs="Arial"/>
          <w:rtl/>
        </w:rPr>
        <w:t xml:space="preserve">רשב"א </w:t>
      </w:r>
      <w:r w:rsidRPr="001D49D4">
        <w:rPr>
          <w:rFonts w:ascii="Calibri" w:eastAsia="Calibri" w:hAnsi="Calibri" w:cs="Arial"/>
          <w:sz w:val="16"/>
          <w:szCs w:val="16"/>
          <w:rtl/>
        </w:rPr>
        <w:t>(קדושין מח. ד"ה וחכמים [הביאן הר"ן שם], ובתשו' ח"ב סי' סא)</w:t>
      </w:r>
      <w:r w:rsidRPr="001D49D4">
        <w:rPr>
          <w:rFonts w:ascii="Calibri" w:eastAsia="Calibri" w:hAnsi="Calibri" w:cs="Arial"/>
          <w:rtl/>
        </w:rPr>
        <w:t xml:space="preserve"> ורי"ו </w:t>
      </w:r>
      <w:r w:rsidRPr="001D49D4">
        <w:rPr>
          <w:rFonts w:ascii="Calibri" w:eastAsia="Calibri" w:hAnsi="Calibri" w:cs="Arial"/>
          <w:sz w:val="16"/>
          <w:szCs w:val="16"/>
          <w:rtl/>
        </w:rPr>
        <w:t>(מישרים ני"ד שם)</w:t>
      </w:r>
      <w:r w:rsidRPr="001D49D4">
        <w:rPr>
          <w:rFonts w:ascii="Calibri" w:eastAsia="Calibri" w:hAnsi="Calibri" w:cs="Arial"/>
          <w:rtl/>
        </w:rPr>
        <w:t>- אע"פ שמחל המוכר - אין כופין הלוקח להחזיר הנייר</w:t>
      </w:r>
      <w:r w:rsidRPr="001D49D4">
        <w:rPr>
          <w:rFonts w:ascii="Calibri" w:eastAsia="Calibri" w:hAnsi="Calibri" w:cs="Arial"/>
          <w:vertAlign w:val="superscript"/>
          <w:rtl/>
        </w:rPr>
        <w:footnoteReference w:id="5138"/>
      </w:r>
      <w:r w:rsidRPr="001D49D4">
        <w:rPr>
          <w:rFonts w:ascii="Calibri" w:eastAsia="Calibri" w:hAnsi="Calibri" w:cs="Arial"/>
          <w:rtl/>
        </w:rPr>
        <w:t>. (וכ"כ הסמ"ע</w:t>
      </w:r>
      <w:r w:rsidRPr="001D49D4">
        <w:rPr>
          <w:rFonts w:ascii="Calibri" w:eastAsia="Calibri" w:hAnsi="Calibri" w:cs="Arial"/>
          <w:sz w:val="16"/>
          <w:szCs w:val="16"/>
          <w:rtl/>
        </w:rPr>
        <w:t xml:space="preserve"> [סקנ"ו]</w:t>
      </w:r>
      <w:r w:rsidRPr="001D49D4">
        <w:rPr>
          <w:rFonts w:ascii="Calibri" w:eastAsia="Calibri" w:hAnsi="Calibri" w:cs="Arial"/>
          <w:rtl/>
        </w:rPr>
        <w:t>)</w:t>
      </w:r>
    </w:p>
    <w:p w14:paraId="70117808"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u w:val="single"/>
          <w:rtl/>
        </w:rPr>
        <w:t>קטן שמחל:</w:t>
      </w:r>
      <w:r w:rsidRPr="001D49D4">
        <w:rPr>
          <w:rFonts w:ascii="Calibri" w:eastAsia="Calibri" w:hAnsi="Calibri" w:cs="Arial"/>
          <w:sz w:val="16"/>
          <w:szCs w:val="16"/>
          <w:rtl/>
        </w:rPr>
        <w:t xml:space="preserve">  </w:t>
      </w:r>
    </w:p>
    <w:p w14:paraId="6936C7CF" w14:textId="77777777" w:rsidR="001D49D4" w:rsidRPr="001D49D4" w:rsidRDefault="001D49D4" w:rsidP="0004348D">
      <w:pPr>
        <w:numPr>
          <w:ilvl w:val="0"/>
          <w:numId w:val="335"/>
        </w:numPr>
        <w:spacing w:before="360" w:after="240"/>
        <w:contextualSpacing/>
        <w:rPr>
          <w:rFonts w:ascii="Calibri" w:eastAsia="Calibri" w:hAnsi="Calibri" w:cs="Arial"/>
        </w:rPr>
      </w:pPr>
      <w:r w:rsidRPr="001D49D4">
        <w:rPr>
          <w:rFonts w:ascii="Calibri" w:eastAsia="Calibri" w:hAnsi="Calibri" w:cs="Arial"/>
          <w:rtl/>
        </w:rPr>
        <w:t>תוס'</w:t>
      </w:r>
      <w:r w:rsidRPr="001D49D4">
        <w:rPr>
          <w:rFonts w:ascii="Calibri" w:eastAsia="Calibri" w:hAnsi="Calibri" w:cs="Arial"/>
          <w:sz w:val="16"/>
          <w:szCs w:val="16"/>
          <w:rtl/>
        </w:rPr>
        <w:t xml:space="preserve"> (פו. ד"ה תיזיל, ובפרק מי שמת קמז: ד"ה המוכר)</w:t>
      </w:r>
      <w:r w:rsidRPr="001D49D4">
        <w:rPr>
          <w:rFonts w:ascii="Calibri" w:eastAsia="Calibri" w:hAnsi="Calibri" w:cs="Arial"/>
          <w:rtl/>
        </w:rPr>
        <w:t xml:space="preserve"> רא"ש </w:t>
      </w:r>
      <w:r w:rsidRPr="001D49D4">
        <w:rPr>
          <w:rFonts w:ascii="Calibri" w:eastAsia="Calibri" w:hAnsi="Calibri" w:cs="Arial"/>
          <w:sz w:val="16"/>
          <w:szCs w:val="16"/>
          <w:rtl/>
        </w:rPr>
        <w:t xml:space="preserve">(ספ"ק דמציעא סי' מח) </w:t>
      </w:r>
      <w:r w:rsidRPr="001D49D4">
        <w:rPr>
          <w:rFonts w:ascii="Calibri" w:eastAsia="Calibri" w:hAnsi="Calibri" w:cs="Arial"/>
          <w:rtl/>
        </w:rPr>
        <w:t>ור"ן</w:t>
      </w:r>
      <w:r w:rsidRPr="001D49D4">
        <w:rPr>
          <w:rFonts w:ascii="Calibri" w:eastAsia="Calibri" w:hAnsi="Calibri" w:cs="Arial"/>
          <w:sz w:val="16"/>
          <w:szCs w:val="16"/>
          <w:rtl/>
        </w:rPr>
        <w:t xml:space="preserve"> (פרק הכותב מה. מדפה"ר)</w:t>
      </w:r>
      <w:r w:rsidRPr="001D49D4">
        <w:rPr>
          <w:rFonts w:ascii="Calibri" w:eastAsia="Calibri" w:hAnsi="Calibri" w:cs="Arial"/>
          <w:rtl/>
        </w:rPr>
        <w:t>- קטן שמחל מחילתו מחילה</w:t>
      </w:r>
      <w:r w:rsidRPr="001D49D4">
        <w:rPr>
          <w:rFonts w:ascii="Calibri" w:eastAsia="Calibri" w:hAnsi="Calibri" w:cs="Arial"/>
          <w:vertAlign w:val="superscript"/>
          <w:rtl/>
        </w:rPr>
        <w:footnoteReference w:id="5139"/>
      </w:r>
      <w:r w:rsidRPr="001D49D4">
        <w:rPr>
          <w:rFonts w:ascii="Calibri" w:eastAsia="Calibri" w:hAnsi="Calibri" w:cs="Arial"/>
          <w:rtl/>
        </w:rPr>
        <w:t>. (וכ"פ הש"ך</w:t>
      </w:r>
      <w:r w:rsidRPr="001D49D4">
        <w:rPr>
          <w:rFonts w:ascii="Calibri" w:eastAsia="Calibri" w:hAnsi="Calibri" w:cs="Arial"/>
          <w:sz w:val="16"/>
          <w:szCs w:val="16"/>
          <w:rtl/>
        </w:rPr>
        <w:t xml:space="preserve"> [סק"פ]</w:t>
      </w:r>
      <w:r w:rsidRPr="001D49D4">
        <w:rPr>
          <w:rFonts w:ascii="Calibri" w:eastAsia="Calibri" w:hAnsi="Calibri" w:cs="Arial"/>
          <w:rtl/>
        </w:rPr>
        <w:t>)</w:t>
      </w:r>
    </w:p>
    <w:p w14:paraId="759C489B" w14:textId="77777777" w:rsidR="001D49D4" w:rsidRPr="001D49D4" w:rsidRDefault="001D49D4" w:rsidP="0004348D">
      <w:pPr>
        <w:spacing w:before="360" w:after="240"/>
        <w:rPr>
          <w:rFonts w:ascii="Arial" w:eastAsia="Calibri" w:hAnsi="Arial" w:cs="Arial"/>
          <w:b/>
          <w:bCs/>
          <w:color w:val="000000"/>
          <w:sz w:val="28"/>
          <w:szCs w:val="28"/>
          <w:u w:val="single"/>
        </w:rPr>
      </w:pPr>
      <w:r w:rsidRPr="001D49D4">
        <w:rPr>
          <w:rFonts w:ascii="Arial" w:eastAsia="Calibri" w:hAnsi="Arial" w:cs="Arial"/>
          <w:b/>
          <w:bCs/>
          <w:color w:val="000000"/>
          <w:sz w:val="28"/>
          <w:szCs w:val="28"/>
          <w:u w:val="single"/>
          <w:rtl/>
        </w:rPr>
        <w:t>שו"ע:</w:t>
      </w:r>
    </w:p>
    <w:p w14:paraId="079A5E8B"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rtl/>
        </w:rPr>
        <w:t>המוכר שטר חוב כדינו, אם חזר ומחלו ללוה, מחול</w:t>
      </w:r>
      <w:r w:rsidRPr="001D49D4">
        <w:rPr>
          <w:rFonts w:ascii="Calibri" w:eastAsia="Calibri" w:hAnsi="Calibri" w:cs="Arial"/>
          <w:vertAlign w:val="superscript"/>
          <w:rtl/>
        </w:rPr>
        <w:footnoteReference w:id="5140"/>
      </w:r>
      <w:r w:rsidRPr="001D49D4">
        <w:rPr>
          <w:rFonts w:ascii="Calibri" w:eastAsia="Calibri" w:hAnsi="Calibri" w:cs="Arial"/>
          <w:rtl/>
        </w:rPr>
        <w:t xml:space="preserve">. </w:t>
      </w:r>
      <w:r w:rsidRPr="001D49D4">
        <w:rPr>
          <w:rFonts w:ascii="Calibri" w:eastAsia="Calibri" w:hAnsi="Calibri" w:cs="Arial"/>
          <w:sz w:val="18"/>
          <w:szCs w:val="18"/>
          <w:rtl/>
        </w:rPr>
        <w:t>[הגה] מיהו אין הלוקח מחויב להחזיר ללוה שטרו</w:t>
      </w:r>
      <w:r w:rsidRPr="001D49D4">
        <w:rPr>
          <w:rFonts w:ascii="Calibri" w:eastAsia="Calibri" w:hAnsi="Calibri" w:cs="Arial"/>
          <w:sz w:val="16"/>
          <w:szCs w:val="16"/>
          <w:rtl/>
        </w:rPr>
        <w:t xml:space="preserve"> (רשב"א)</w:t>
      </w:r>
      <w:r w:rsidRPr="001D49D4">
        <w:rPr>
          <w:rFonts w:ascii="Calibri" w:eastAsia="Calibri" w:hAnsi="Calibri" w:cs="Arial"/>
          <w:sz w:val="18"/>
          <w:szCs w:val="18"/>
          <w:rtl/>
        </w:rPr>
        <w:t xml:space="preserve">. ויש חולקין </w:t>
      </w:r>
      <w:r w:rsidRPr="001D49D4">
        <w:rPr>
          <w:rFonts w:ascii="Calibri" w:eastAsia="Calibri" w:hAnsi="Calibri" w:cs="Arial"/>
          <w:sz w:val="16"/>
          <w:szCs w:val="16"/>
          <w:rtl/>
        </w:rPr>
        <w:t>(ר"ן בשם י"א)</w:t>
      </w:r>
      <w:r w:rsidRPr="001D49D4">
        <w:rPr>
          <w:rFonts w:ascii="Calibri" w:eastAsia="Calibri" w:hAnsi="Calibri" w:cs="Arial"/>
          <w:sz w:val="18"/>
          <w:szCs w:val="18"/>
          <w:rtl/>
        </w:rPr>
        <w:t>.</w:t>
      </w:r>
      <w:r w:rsidRPr="001D49D4">
        <w:rPr>
          <w:rFonts w:ascii="Calibri" w:eastAsia="Calibri" w:hAnsi="Calibri" w:cs="Arial"/>
          <w:rtl/>
        </w:rPr>
        <w:t xml:space="preserve"> ומאי תקנתיה, יפייס ללוה שיעשה לו שטר על שמו</w:t>
      </w:r>
      <w:r w:rsidRPr="001D49D4">
        <w:rPr>
          <w:rFonts w:ascii="Calibri" w:eastAsia="Calibri" w:hAnsi="Calibri" w:cs="Arial"/>
          <w:vertAlign w:val="superscript"/>
          <w:rtl/>
        </w:rPr>
        <w:footnoteReference w:id="5141"/>
      </w:r>
      <w:r w:rsidRPr="001D49D4">
        <w:rPr>
          <w:rFonts w:ascii="Calibri" w:eastAsia="Calibri" w:hAnsi="Calibri" w:cs="Arial"/>
          <w:rtl/>
        </w:rPr>
        <w:t>, או יקבל עליו הלוה בקנין או בהודאתו בפני עדים שזקפו עליו במלוה לקונה, ושוב לא יוכל למחול. ואפילו אם התנה עמו שלא יוכל למוחלו, אם מחלו, מחול</w:t>
      </w:r>
      <w:r w:rsidRPr="001D49D4">
        <w:rPr>
          <w:rFonts w:ascii="Calibri" w:eastAsia="Calibri" w:hAnsi="Calibri" w:cs="Arial"/>
          <w:vertAlign w:val="superscript"/>
          <w:rtl/>
        </w:rPr>
        <w:footnoteReference w:id="5142"/>
      </w:r>
      <w:r w:rsidRPr="001D49D4">
        <w:rPr>
          <w:rFonts w:ascii="Calibri" w:eastAsia="Calibri" w:hAnsi="Calibri" w:cs="Arial"/>
          <w:rtl/>
        </w:rPr>
        <w:t>. ואפילו אם סלק עצמו מכח החוב ההוא לגמרי, וריקן כל כחו בשטר לקונה, אפילו הכי אם מחלו, מחול. ואפילו היורש של המוכר יוכל למחול. ומיהו אין היורש יכול למחול לעצמו כדי להפסיד ללוקח, כיצד, ראובן הלוה לבנו בשטר, ומכרו לשמעון, ומת ראובן, לא יאמר הבן הואיל ואני יורש החזקתי למחול לעצמי, ואין לי לשלם כלום מדינא דגרמי שאני לא כיוונתי להזיק ללוקח אלא לפטור עצמי, אלא פורע כל החוב</w:t>
      </w:r>
      <w:r w:rsidRPr="001D49D4">
        <w:rPr>
          <w:rFonts w:ascii="Calibri" w:eastAsia="Calibri" w:hAnsi="Calibri" w:cs="Arial"/>
          <w:vertAlign w:val="superscript"/>
          <w:rtl/>
        </w:rPr>
        <w:footnoteReference w:id="5143"/>
      </w:r>
      <w:r w:rsidRPr="001D49D4">
        <w:rPr>
          <w:rFonts w:ascii="Calibri" w:eastAsia="Calibri" w:hAnsi="Calibri" w:cs="Arial"/>
          <w:rtl/>
        </w:rPr>
        <w:t xml:space="preserve"> ללוקח. ויש מי שחולק ואומר שאף לעצמו יכול למחול</w:t>
      </w:r>
      <w:r w:rsidRPr="001D49D4">
        <w:rPr>
          <w:rFonts w:ascii="Calibri" w:eastAsia="Calibri" w:hAnsi="Calibri" w:cs="Arial"/>
          <w:vertAlign w:val="superscript"/>
          <w:rtl/>
        </w:rPr>
        <w:footnoteReference w:id="5144"/>
      </w:r>
      <w:r w:rsidRPr="001D49D4">
        <w:rPr>
          <w:rFonts w:ascii="Calibri" w:eastAsia="Calibri" w:hAnsi="Calibri" w:cs="Arial"/>
          <w:rtl/>
        </w:rPr>
        <w:t xml:space="preserve">. </w:t>
      </w:r>
      <w:r w:rsidRPr="001D49D4">
        <w:rPr>
          <w:rFonts w:ascii="Calibri" w:eastAsia="Calibri" w:hAnsi="Calibri" w:cs="Arial"/>
          <w:sz w:val="18"/>
          <w:szCs w:val="18"/>
          <w:rtl/>
        </w:rPr>
        <w:t xml:space="preserve">הגה: לעיל סי' ס סע' ח נתבאר שאם ראובן צוה לכתוב שטר שלו על שם שמעון, אין שמעון יכול למחלו הואיל ואין הממון שלו, אבל ראובן יכול למחלו כי הוא נקרא בעל השטר. ואפילו לא מחלו בהדיא, רק שמחל ללוה כל מה שבידו או כיוצא בזה, גם שטר זה נמחל אע"פ שנכתב על שם שמעון </w:t>
      </w:r>
      <w:r w:rsidRPr="001D49D4">
        <w:rPr>
          <w:rFonts w:ascii="Calibri" w:eastAsia="Calibri" w:hAnsi="Calibri" w:cs="Arial"/>
          <w:sz w:val="16"/>
          <w:szCs w:val="16"/>
          <w:rtl/>
        </w:rPr>
        <w:t>(רשב"א סי' תתקכז)</w:t>
      </w:r>
      <w:r w:rsidRPr="001D49D4">
        <w:rPr>
          <w:rFonts w:ascii="Calibri" w:eastAsia="Calibri" w:hAnsi="Calibri" w:cs="Arial"/>
          <w:sz w:val="18"/>
          <w:szCs w:val="18"/>
          <w:rtl/>
        </w:rPr>
        <w:t>.</w:t>
      </w:r>
      <w:r w:rsidRPr="001D49D4">
        <w:rPr>
          <w:rFonts w:ascii="Calibri" w:eastAsia="Calibri" w:hAnsi="Calibri" w:cs="Arial"/>
          <w:rtl/>
        </w:rPr>
        <w:t xml:space="preserve"> </w:t>
      </w:r>
    </w:p>
    <w:p w14:paraId="4829B444" w14:textId="77777777" w:rsidR="001D49D4" w:rsidRPr="001D49D4" w:rsidRDefault="001D49D4" w:rsidP="0004348D">
      <w:pPr>
        <w:spacing w:before="360" w:after="240"/>
        <w:rPr>
          <w:rFonts w:ascii="Calibri" w:eastAsia="Calibri" w:hAnsi="Calibri" w:cs="Arial"/>
          <w:u w:val="single"/>
          <w:rtl/>
        </w:rPr>
      </w:pPr>
      <w:r w:rsidRPr="001D49D4">
        <w:rPr>
          <w:rFonts w:ascii="Calibri" w:eastAsia="Calibri" w:hAnsi="Calibri" w:cs="Arial"/>
          <w:u w:val="single"/>
          <w:rtl/>
        </w:rPr>
        <w:t xml:space="preserve">א' חייב לחבירו מנה בשטר ומכר השטר בפחות לאחר - האם יכול הלוה לומר למלוה אני אתן לך כמו שנתן לך הקונה: </w:t>
      </w:r>
    </w:p>
    <w:p w14:paraId="02F57045" w14:textId="77777777" w:rsidR="001D49D4" w:rsidRPr="001D49D4" w:rsidRDefault="001D49D4" w:rsidP="0004348D">
      <w:pPr>
        <w:numPr>
          <w:ilvl w:val="0"/>
          <w:numId w:val="335"/>
        </w:numPr>
        <w:spacing w:before="360" w:after="240"/>
        <w:contextualSpacing/>
        <w:rPr>
          <w:rFonts w:ascii="Calibri" w:eastAsia="Calibri" w:hAnsi="Calibri" w:cs="Arial"/>
          <w:rtl/>
        </w:rPr>
      </w:pPr>
      <w:r w:rsidRPr="001D49D4">
        <w:rPr>
          <w:rFonts w:ascii="Calibri" w:eastAsia="Calibri" w:hAnsi="Calibri" w:cs="Arial"/>
          <w:rtl/>
        </w:rPr>
        <w:t xml:space="preserve">מבי"ט </w:t>
      </w:r>
      <w:r w:rsidRPr="001D49D4">
        <w:rPr>
          <w:rFonts w:ascii="Calibri" w:eastAsia="Calibri" w:hAnsi="Calibri" w:cs="Arial"/>
          <w:sz w:val="16"/>
          <w:szCs w:val="16"/>
          <w:rtl/>
        </w:rPr>
        <w:t>(ח"א סי' שכה)</w:t>
      </w:r>
      <w:r w:rsidRPr="001D49D4">
        <w:rPr>
          <w:rFonts w:ascii="Calibri" w:eastAsia="Calibri" w:hAnsi="Calibri" w:cs="Arial"/>
          <w:rtl/>
        </w:rPr>
        <w:t>- מי שחייב לחבירו מנה בשטר ומכר השטר בפחות לאחר - יכול הלוה לומר למלוה אני אתן לך כמו שנתן לך אחר ואין המלוה יכול למכור, ואפילו מכרו כבר יכול לעכב, דמכירת שטרות הוא דרבנן</w:t>
      </w:r>
      <w:r w:rsidRPr="001D49D4">
        <w:rPr>
          <w:rFonts w:ascii="Calibri" w:eastAsia="Calibri" w:hAnsi="Calibri" w:cs="Arial"/>
          <w:vertAlign w:val="superscript"/>
          <w:rtl/>
        </w:rPr>
        <w:footnoteReference w:id="5145"/>
      </w:r>
      <w:r w:rsidRPr="001D49D4">
        <w:rPr>
          <w:rFonts w:ascii="Calibri" w:eastAsia="Calibri" w:hAnsi="Calibri" w:cs="Arial"/>
          <w:rtl/>
        </w:rPr>
        <w:t xml:space="preserve">. </w:t>
      </w:r>
    </w:p>
    <w:p w14:paraId="1CE0B932" w14:textId="77777777" w:rsidR="001D49D4" w:rsidRPr="001D49D4" w:rsidRDefault="001D49D4" w:rsidP="0004348D">
      <w:pPr>
        <w:spacing w:before="360" w:after="240"/>
        <w:rPr>
          <w:rFonts w:ascii="Calibri" w:eastAsia="Calibri" w:hAnsi="Calibri" w:cs="Arial"/>
          <w:u w:val="single"/>
        </w:rPr>
      </w:pPr>
      <w:r w:rsidRPr="001D49D4">
        <w:rPr>
          <w:rFonts w:ascii="Calibri" w:eastAsia="Calibri" w:hAnsi="Calibri" w:cs="Arial"/>
          <w:u w:val="single"/>
          <w:rtl/>
        </w:rPr>
        <w:t xml:space="preserve">בעל שט"ח שנתן השטר לפלוני </w:t>
      </w:r>
      <w:r w:rsidRPr="001D49D4">
        <w:rPr>
          <w:rFonts w:ascii="Calibri" w:eastAsia="Calibri" w:hAnsi="Calibri" w:cs="Arial"/>
          <w:sz w:val="16"/>
          <w:szCs w:val="16"/>
          <w:u w:val="single"/>
          <w:rtl/>
        </w:rPr>
        <w:t>(כראוי)</w:t>
      </w:r>
      <w:r w:rsidRPr="001D49D4">
        <w:rPr>
          <w:rFonts w:ascii="Calibri" w:eastAsia="Calibri" w:hAnsi="Calibri" w:cs="Arial"/>
          <w:u w:val="single"/>
          <w:rtl/>
        </w:rPr>
        <w:t xml:space="preserve"> - האם מהני מחילת בעל השטר היכא דפלוני חייב ללוה:</w:t>
      </w:r>
    </w:p>
    <w:p w14:paraId="742D7A7F" w14:textId="77777777" w:rsidR="001D49D4" w:rsidRPr="001D49D4" w:rsidRDefault="001D49D4" w:rsidP="0004348D">
      <w:pPr>
        <w:numPr>
          <w:ilvl w:val="0"/>
          <w:numId w:val="335"/>
        </w:numPr>
        <w:spacing w:before="360" w:after="240"/>
        <w:contextualSpacing/>
        <w:rPr>
          <w:rFonts w:ascii="Calibri" w:eastAsia="Calibri" w:hAnsi="Calibri" w:cs="Arial"/>
        </w:rPr>
      </w:pPr>
      <w:r w:rsidRPr="001D49D4">
        <w:rPr>
          <w:rFonts w:ascii="Calibri" w:eastAsia="Calibri" w:hAnsi="Calibri" w:cs="Arial"/>
          <w:rtl/>
        </w:rPr>
        <w:t xml:space="preserve">מהר"א ן' חיים </w:t>
      </w:r>
      <w:r w:rsidRPr="001D49D4">
        <w:rPr>
          <w:rFonts w:ascii="Calibri" w:eastAsia="Calibri" w:hAnsi="Calibri" w:cs="Arial"/>
          <w:sz w:val="16"/>
          <w:szCs w:val="16"/>
          <w:rtl/>
        </w:rPr>
        <w:t>(סי' צב)</w:t>
      </w:r>
      <w:r w:rsidRPr="001D49D4">
        <w:rPr>
          <w:rFonts w:ascii="Calibri" w:eastAsia="Calibri" w:hAnsi="Calibri" w:cs="Arial"/>
          <w:rtl/>
        </w:rPr>
        <w:t>- מי נתן שט"ח ללאה ולאה חייבת ללוה, כי האי גוונא לא מהניא מחילה, דהא ודאי במוכר שט"ח דגבה מקבל השטר עד שלא מחלו הנותן, מחילה דבתר הכי לא מהניא, והכא כיון שלאה היתה חייבת לו, הרי מתנה שנתנו לה השטרות חשיבא כגבוי ועומד</w:t>
      </w:r>
      <w:r w:rsidRPr="001D49D4">
        <w:rPr>
          <w:rFonts w:ascii="Calibri" w:eastAsia="Calibri" w:hAnsi="Calibri" w:cs="Arial"/>
          <w:vertAlign w:val="superscript"/>
          <w:rtl/>
        </w:rPr>
        <w:footnoteReference w:id="5146"/>
      </w:r>
      <w:r w:rsidRPr="001D49D4">
        <w:rPr>
          <w:rFonts w:ascii="Calibri" w:eastAsia="Calibri" w:hAnsi="Calibri" w:cs="Arial"/>
          <w:rtl/>
        </w:rPr>
        <w:t>.</w:t>
      </w:r>
    </w:p>
    <w:p w14:paraId="0FC147FC" w14:textId="77777777" w:rsidR="001D49D4" w:rsidRPr="001D49D4" w:rsidRDefault="001D49D4" w:rsidP="0004348D">
      <w:pPr>
        <w:numPr>
          <w:ilvl w:val="0"/>
          <w:numId w:val="335"/>
        </w:numPr>
        <w:spacing w:before="360" w:after="240"/>
        <w:contextualSpacing/>
        <w:rPr>
          <w:rFonts w:ascii="Calibri" w:eastAsia="Calibri" w:hAnsi="Calibri" w:cs="Arial"/>
        </w:rPr>
      </w:pPr>
      <w:r w:rsidRPr="001D49D4">
        <w:rPr>
          <w:rFonts w:ascii="Calibri" w:eastAsia="Calibri" w:hAnsi="Calibri" w:cs="Arial"/>
          <w:rtl/>
        </w:rPr>
        <w:t xml:space="preserve">ש"ך </w:t>
      </w:r>
      <w:r w:rsidRPr="001D49D4">
        <w:rPr>
          <w:rFonts w:ascii="Calibri" w:eastAsia="Calibri" w:hAnsi="Calibri" w:cs="Arial"/>
          <w:sz w:val="16"/>
          <w:szCs w:val="16"/>
          <w:rtl/>
        </w:rPr>
        <w:t>(סקע"ד)</w:t>
      </w:r>
      <w:r w:rsidRPr="001D49D4">
        <w:rPr>
          <w:rFonts w:ascii="Calibri" w:eastAsia="Calibri" w:hAnsi="Calibri" w:cs="Arial"/>
          <w:rtl/>
        </w:rPr>
        <w:t>- אע"פ שלאה חייבת ללוה, יכול למחול השטר.</w:t>
      </w:r>
    </w:p>
    <w:p w14:paraId="04F34D1E" w14:textId="77777777" w:rsidR="001D49D4" w:rsidRPr="001D49D4" w:rsidRDefault="001D49D4" w:rsidP="0004348D">
      <w:pPr>
        <w:spacing w:before="360" w:after="240"/>
        <w:rPr>
          <w:rFonts w:ascii="Calibri" w:eastAsia="Calibri" w:hAnsi="Calibri" w:cs="Arial"/>
          <w:u w:val="single"/>
        </w:rPr>
      </w:pPr>
      <w:r w:rsidRPr="001D49D4">
        <w:rPr>
          <w:rFonts w:ascii="Calibri" w:eastAsia="Calibri" w:hAnsi="Calibri" w:cs="Arial"/>
          <w:u w:val="single"/>
          <w:rtl/>
        </w:rPr>
        <w:t xml:space="preserve">האם יכול אדם לייעץ ליורש למחול היכא דיגיע לו </w:t>
      </w:r>
      <w:r w:rsidRPr="001D49D4">
        <w:rPr>
          <w:rFonts w:ascii="Calibri" w:eastAsia="Calibri" w:hAnsi="Calibri" w:cs="Arial"/>
          <w:sz w:val="16"/>
          <w:szCs w:val="16"/>
          <w:u w:val="single"/>
          <w:rtl/>
        </w:rPr>
        <w:t xml:space="preserve">(ליורש) </w:t>
      </w:r>
      <w:r w:rsidRPr="001D49D4">
        <w:rPr>
          <w:rFonts w:ascii="Calibri" w:eastAsia="Calibri" w:hAnsi="Calibri" w:cs="Arial"/>
          <w:u w:val="single"/>
          <w:rtl/>
        </w:rPr>
        <w:t>שום הנאה מזה:</w:t>
      </w:r>
    </w:p>
    <w:p w14:paraId="04E21EB7" w14:textId="77777777" w:rsidR="001D49D4" w:rsidRPr="001D49D4" w:rsidRDefault="001D49D4" w:rsidP="0004348D">
      <w:pPr>
        <w:numPr>
          <w:ilvl w:val="0"/>
          <w:numId w:val="335"/>
        </w:numPr>
        <w:spacing w:before="360" w:after="240"/>
        <w:contextualSpacing/>
        <w:rPr>
          <w:rFonts w:ascii="Calibri" w:eastAsia="Calibri" w:hAnsi="Calibri" w:cs="Arial"/>
        </w:rPr>
      </w:pPr>
      <w:bookmarkStart w:id="696" w:name="_Hlk16518919"/>
      <w:r w:rsidRPr="001D49D4">
        <w:rPr>
          <w:rFonts w:ascii="Calibri" w:eastAsia="Calibri" w:hAnsi="Calibri" w:cs="Arial"/>
          <w:rtl/>
        </w:rPr>
        <w:t xml:space="preserve">שלט"ג </w:t>
      </w:r>
      <w:r w:rsidRPr="001D49D4">
        <w:rPr>
          <w:rFonts w:ascii="Calibri" w:eastAsia="Calibri" w:hAnsi="Calibri" w:cs="Arial"/>
          <w:sz w:val="16"/>
          <w:szCs w:val="16"/>
          <w:rtl/>
        </w:rPr>
        <w:t xml:space="preserve">(פרק הכותב מה. מדפה"ר אות א) </w:t>
      </w:r>
      <w:r w:rsidRPr="001D49D4">
        <w:rPr>
          <w:rFonts w:ascii="Calibri" w:eastAsia="Calibri" w:hAnsi="Calibri" w:cs="Arial"/>
          <w:rtl/>
        </w:rPr>
        <w:t>בשם ריא"ז- מותר להשיאו עצה למחול אם יגיע לו ליורש שום הנאה במחילה זו, ובלבד שלא יהא המיעץ הזה מן הדיינים, שאין לו לדיין ללמד טענות ותחבולות</w:t>
      </w:r>
      <w:r w:rsidRPr="001D49D4">
        <w:rPr>
          <w:rFonts w:ascii="Calibri" w:eastAsia="Calibri" w:hAnsi="Calibri" w:cs="Arial"/>
          <w:vertAlign w:val="superscript"/>
          <w:rtl/>
        </w:rPr>
        <w:footnoteReference w:id="5147"/>
      </w:r>
      <w:r w:rsidRPr="001D49D4">
        <w:rPr>
          <w:rFonts w:ascii="Calibri" w:eastAsia="Calibri" w:hAnsi="Calibri" w:cs="Arial"/>
          <w:rtl/>
        </w:rPr>
        <w:t xml:space="preserve">. </w:t>
      </w:r>
    </w:p>
    <w:bookmarkEnd w:id="696"/>
    <w:p w14:paraId="71C10966" w14:textId="77777777" w:rsidR="001D49D4" w:rsidRPr="001D49D4" w:rsidRDefault="001D49D4" w:rsidP="0004348D">
      <w:pPr>
        <w:spacing w:before="360" w:after="240"/>
        <w:rPr>
          <w:rFonts w:ascii="Calibri" w:eastAsia="Calibri" w:hAnsi="Calibri" w:cs="Arial"/>
        </w:rPr>
      </w:pPr>
    </w:p>
    <w:p w14:paraId="159293BB" w14:textId="77777777" w:rsidR="001D49D4" w:rsidRPr="001D49D4" w:rsidRDefault="001D49D4" w:rsidP="0004348D">
      <w:pPr>
        <w:keepNext/>
        <w:keepLines/>
        <w:spacing w:before="360" w:after="240"/>
        <w:outlineLvl w:val="1"/>
        <w:rPr>
          <w:rFonts w:ascii="Cambria" w:eastAsia="Times New Roman" w:hAnsi="Cambria" w:cs="Arial"/>
          <w:bCs/>
          <w:color w:val="548DD4" w:themeColor="text2" w:themeTint="99"/>
          <w:sz w:val="26"/>
          <w:szCs w:val="26"/>
          <w:rtl/>
        </w:rPr>
      </w:pPr>
      <w:bookmarkStart w:id="697" w:name="_Toc24884118"/>
      <w:r w:rsidRPr="001D49D4">
        <w:rPr>
          <w:rFonts w:ascii="Cambria" w:eastAsia="Times New Roman" w:hAnsi="Cambria" w:cs="Arial"/>
          <w:bCs/>
          <w:color w:val="548DD4" w:themeColor="text2" w:themeTint="99"/>
          <w:sz w:val="26"/>
          <w:szCs w:val="26"/>
          <w:rtl/>
        </w:rPr>
        <w:t>סעיף כד: בעל שט"ח שכתב שובר הודאה על החוב או שהאריך ללוה את זמן הפרעון.</w:t>
      </w:r>
      <w:bookmarkEnd w:id="697"/>
      <w:r w:rsidRPr="001D49D4">
        <w:rPr>
          <w:rFonts w:ascii="Cambria" w:eastAsia="Times New Roman" w:hAnsi="Cambria" w:cs="Arial"/>
          <w:bCs/>
          <w:color w:val="548DD4" w:themeColor="text2" w:themeTint="99"/>
          <w:sz w:val="26"/>
          <w:szCs w:val="26"/>
          <w:rtl/>
        </w:rPr>
        <w:t xml:space="preserve"> </w:t>
      </w:r>
    </w:p>
    <w:p w14:paraId="333A2235" w14:textId="77777777" w:rsidR="001D49D4" w:rsidRPr="001D49D4" w:rsidRDefault="001D49D4" w:rsidP="0004348D">
      <w:pPr>
        <w:spacing w:before="360" w:after="240"/>
        <w:rPr>
          <w:rFonts w:ascii="Calibri" w:eastAsia="Calibri" w:hAnsi="Calibri" w:cs="Arial"/>
          <w:u w:val="single"/>
          <w:rtl/>
        </w:rPr>
      </w:pPr>
      <w:r w:rsidRPr="001D49D4">
        <w:rPr>
          <w:rFonts w:ascii="Calibri" w:eastAsia="Calibri" w:hAnsi="Calibri" w:cs="Arial"/>
          <w:u w:val="single"/>
          <w:rtl/>
        </w:rPr>
        <w:t>בעל שט"ח שלאחר מכירת השטר עשה שובר הודאה על פרעון או שהאריך ללוה את זמן הפרעון:</w:t>
      </w:r>
    </w:p>
    <w:p w14:paraId="583F2AB6" w14:textId="77777777" w:rsidR="001D49D4" w:rsidRPr="001D49D4" w:rsidRDefault="001D49D4" w:rsidP="0004348D">
      <w:pPr>
        <w:numPr>
          <w:ilvl w:val="0"/>
          <w:numId w:val="335"/>
        </w:numPr>
        <w:spacing w:before="360" w:after="240"/>
        <w:contextualSpacing/>
        <w:rPr>
          <w:rFonts w:ascii="Calibri" w:eastAsia="Calibri" w:hAnsi="Calibri" w:cs="Arial"/>
          <w:rtl/>
        </w:rPr>
      </w:pPr>
      <w:r w:rsidRPr="001D49D4">
        <w:rPr>
          <w:rFonts w:ascii="Calibri" w:eastAsia="Calibri" w:hAnsi="Calibri" w:cs="Arial"/>
          <w:rtl/>
        </w:rPr>
        <w:t xml:space="preserve">נמוק"י </w:t>
      </w:r>
      <w:r w:rsidRPr="001D49D4">
        <w:rPr>
          <w:rFonts w:ascii="Calibri" w:eastAsia="Calibri" w:hAnsi="Calibri" w:cs="Arial"/>
          <w:sz w:val="16"/>
          <w:szCs w:val="16"/>
          <w:rtl/>
        </w:rPr>
        <w:t>(פרק מי שמת ב"ב סט.)</w:t>
      </w:r>
      <w:r w:rsidRPr="001D49D4">
        <w:rPr>
          <w:rFonts w:ascii="Calibri" w:eastAsia="Calibri" w:hAnsi="Calibri" w:cs="Arial"/>
          <w:rtl/>
        </w:rPr>
        <w:t xml:space="preserve">- כל שיכול למחול יכול לעשות שובר הודאה שנפרע או להאריך זמן הפרעון, ומשלם לזה כפי מה שהזיקו. </w:t>
      </w:r>
      <w:r w:rsidRPr="001D49D4">
        <w:rPr>
          <w:rFonts w:ascii="Calibri" w:eastAsia="Calibri" w:hAnsi="Calibri" w:cs="Arial"/>
          <w:color w:val="E36C0A" w:themeColor="accent6" w:themeShade="BF"/>
          <w:rtl/>
        </w:rPr>
        <w:t>(וכ"פ בשו"ע)</w:t>
      </w:r>
    </w:p>
    <w:p w14:paraId="0A5671B2" w14:textId="77777777" w:rsidR="001D49D4" w:rsidRPr="001D49D4" w:rsidRDefault="001D49D4" w:rsidP="0004348D">
      <w:pPr>
        <w:spacing w:before="360" w:after="240"/>
        <w:rPr>
          <w:rFonts w:ascii="Arial" w:eastAsia="Calibri" w:hAnsi="Arial" w:cs="Arial"/>
          <w:b/>
          <w:bCs/>
          <w:color w:val="000000"/>
          <w:sz w:val="28"/>
          <w:szCs w:val="28"/>
          <w:u w:val="single"/>
          <w:rtl/>
        </w:rPr>
      </w:pPr>
      <w:r w:rsidRPr="001D49D4">
        <w:rPr>
          <w:rFonts w:ascii="Arial" w:eastAsia="Calibri" w:hAnsi="Arial" w:cs="Arial"/>
          <w:b/>
          <w:bCs/>
          <w:color w:val="000000"/>
          <w:sz w:val="28"/>
          <w:szCs w:val="28"/>
          <w:u w:val="single"/>
          <w:rtl/>
        </w:rPr>
        <w:t>שו"ע:</w:t>
      </w:r>
    </w:p>
    <w:p w14:paraId="31546A85"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rtl/>
        </w:rPr>
        <w:t>יש מי שאומר</w:t>
      </w:r>
      <w:r w:rsidRPr="001D49D4">
        <w:rPr>
          <w:rFonts w:ascii="Calibri" w:eastAsia="Calibri" w:hAnsi="Calibri" w:cs="Arial"/>
          <w:vertAlign w:val="superscript"/>
          <w:rtl/>
        </w:rPr>
        <w:footnoteReference w:id="5148"/>
      </w:r>
      <w:r w:rsidRPr="001D49D4">
        <w:rPr>
          <w:rFonts w:ascii="Calibri" w:eastAsia="Calibri" w:hAnsi="Calibri" w:cs="Arial"/>
          <w:rtl/>
        </w:rPr>
        <w:t xml:space="preserve"> שכל מי שיכול למחול יכול לעשות שובר הודאה שנפרע, או להאריך זמן הפרעון, ומשלם כפי מה שהזיקו</w:t>
      </w:r>
      <w:r w:rsidRPr="001D49D4">
        <w:rPr>
          <w:rFonts w:ascii="Calibri" w:eastAsia="Calibri" w:hAnsi="Calibri" w:cs="Arial"/>
          <w:vertAlign w:val="superscript"/>
          <w:rtl/>
        </w:rPr>
        <w:footnoteReference w:id="5149"/>
      </w:r>
      <w:r w:rsidRPr="001D49D4">
        <w:rPr>
          <w:rFonts w:ascii="Calibri" w:eastAsia="Calibri" w:hAnsi="Calibri" w:cs="Arial"/>
          <w:rtl/>
        </w:rPr>
        <w:t>.</w:t>
      </w:r>
    </w:p>
    <w:p w14:paraId="0E873448" w14:textId="77777777" w:rsidR="001D49D4" w:rsidRPr="001D49D4" w:rsidRDefault="001D49D4" w:rsidP="0004348D">
      <w:pPr>
        <w:spacing w:before="360" w:after="240"/>
        <w:rPr>
          <w:rFonts w:ascii="Calibri" w:eastAsia="Calibri" w:hAnsi="Calibri" w:cs="Arial"/>
          <w:rtl/>
        </w:rPr>
      </w:pPr>
    </w:p>
    <w:p w14:paraId="73ED57F7" w14:textId="77777777" w:rsidR="001D49D4" w:rsidRPr="001D49D4" w:rsidRDefault="001D49D4" w:rsidP="0004348D">
      <w:pPr>
        <w:keepNext/>
        <w:keepLines/>
        <w:spacing w:before="360" w:after="240"/>
        <w:outlineLvl w:val="1"/>
        <w:rPr>
          <w:rFonts w:ascii="Cambria" w:eastAsia="Times New Roman" w:hAnsi="Cambria" w:cs="Arial"/>
          <w:bCs/>
          <w:color w:val="548DD4" w:themeColor="text2" w:themeTint="99"/>
          <w:sz w:val="26"/>
          <w:szCs w:val="26"/>
          <w:rtl/>
        </w:rPr>
      </w:pPr>
      <w:bookmarkStart w:id="698" w:name="_Toc24884119"/>
      <w:r w:rsidRPr="001D49D4">
        <w:rPr>
          <w:rFonts w:ascii="Cambria" w:eastAsia="Times New Roman" w:hAnsi="Cambria" w:cs="Arial"/>
          <w:bCs/>
          <w:color w:val="548DD4" w:themeColor="text2" w:themeTint="99"/>
          <w:sz w:val="26"/>
          <w:szCs w:val="26"/>
          <w:rtl/>
        </w:rPr>
        <w:t xml:space="preserve">סעיף כה: גוי שמכר שט"ח לישראל </w:t>
      </w:r>
      <w:r w:rsidRPr="001D49D4">
        <w:rPr>
          <w:rFonts w:ascii="Cambria" w:eastAsia="Times New Roman" w:hAnsi="Cambria" w:cs="Arial"/>
          <w:bCs/>
          <w:color w:val="548DD4" w:themeColor="text2" w:themeTint="99"/>
          <w:sz w:val="18"/>
          <w:szCs w:val="18"/>
          <w:rtl/>
        </w:rPr>
        <w:t>(וכן להפך)</w:t>
      </w:r>
      <w:r w:rsidRPr="001D49D4">
        <w:rPr>
          <w:rFonts w:ascii="Cambria" w:eastAsia="Times New Roman" w:hAnsi="Cambria" w:cs="Arial"/>
          <w:bCs/>
          <w:color w:val="548DD4" w:themeColor="text2" w:themeTint="99"/>
          <w:sz w:val="26"/>
          <w:szCs w:val="26"/>
          <w:rtl/>
        </w:rPr>
        <w:t>.</w:t>
      </w:r>
      <w:bookmarkEnd w:id="698"/>
    </w:p>
    <w:p w14:paraId="73548634" w14:textId="77777777" w:rsidR="001D49D4" w:rsidRPr="001D49D4" w:rsidRDefault="001D49D4" w:rsidP="0004348D">
      <w:pPr>
        <w:spacing w:before="360" w:after="240"/>
        <w:rPr>
          <w:rFonts w:ascii="Calibri" w:eastAsia="Calibri" w:hAnsi="Calibri" w:cs="Arial"/>
          <w:u w:val="single"/>
          <w:rtl/>
        </w:rPr>
      </w:pPr>
      <w:r w:rsidRPr="001D49D4">
        <w:rPr>
          <w:rFonts w:ascii="Calibri" w:eastAsia="Calibri" w:hAnsi="Calibri" w:cs="Arial"/>
          <w:u w:val="single"/>
          <w:rtl/>
        </w:rPr>
        <w:t>גוי שמכר שט"ח לישראל – האם יכול הגוי למחול ללוה:</w:t>
      </w:r>
    </w:p>
    <w:p w14:paraId="0CAD7341" w14:textId="77777777" w:rsidR="001D49D4" w:rsidRPr="001D49D4" w:rsidRDefault="001D49D4" w:rsidP="0004348D">
      <w:pPr>
        <w:numPr>
          <w:ilvl w:val="0"/>
          <w:numId w:val="335"/>
        </w:numPr>
        <w:spacing w:before="360" w:after="240"/>
        <w:contextualSpacing/>
        <w:rPr>
          <w:rFonts w:ascii="Calibri" w:eastAsia="Calibri" w:hAnsi="Calibri" w:cs="Arial"/>
          <w:u w:val="single"/>
          <w:rtl/>
        </w:rPr>
      </w:pPr>
      <w:r w:rsidRPr="001D49D4">
        <w:rPr>
          <w:rFonts w:ascii="Calibri" w:eastAsia="Calibri" w:hAnsi="Calibri" w:cs="Arial"/>
          <w:rtl/>
        </w:rPr>
        <w:t>ריטב"א</w:t>
      </w:r>
      <w:r w:rsidRPr="001D49D4">
        <w:rPr>
          <w:rFonts w:ascii="Calibri" w:eastAsia="Calibri" w:hAnsi="Calibri" w:cs="Arial"/>
          <w:sz w:val="16"/>
          <w:szCs w:val="16"/>
          <w:rtl/>
        </w:rPr>
        <w:t xml:space="preserve"> (ב"ב קמז: ד"ה וכבר כתבנו)</w:t>
      </w:r>
      <w:r w:rsidRPr="001D49D4">
        <w:rPr>
          <w:rFonts w:ascii="Calibri" w:eastAsia="Calibri" w:hAnsi="Calibri" w:cs="Arial"/>
          <w:rtl/>
        </w:rPr>
        <w:t xml:space="preserve"> ונמוק"י </w:t>
      </w:r>
      <w:r w:rsidRPr="001D49D4">
        <w:rPr>
          <w:rFonts w:ascii="Calibri" w:eastAsia="Calibri" w:hAnsi="Calibri" w:cs="Arial"/>
          <w:sz w:val="16"/>
          <w:szCs w:val="16"/>
          <w:rtl/>
        </w:rPr>
        <w:t>(פרק מי שמת ב"ב סט.)</w:t>
      </w:r>
      <w:r w:rsidRPr="001D49D4">
        <w:rPr>
          <w:rFonts w:ascii="Calibri" w:eastAsia="Calibri" w:hAnsi="Calibri" w:cs="Arial"/>
          <w:rtl/>
        </w:rPr>
        <w:t xml:space="preserve">- גוי שמכר שטר חוב לישראל, כיון שבדיניהם כל זכותו מכר לו - כדיניהם דיינינן ליה, שאם חזר ומחלו אינו מחול. </w:t>
      </w:r>
      <w:r w:rsidRPr="001D49D4">
        <w:rPr>
          <w:rFonts w:ascii="Calibri" w:eastAsia="Calibri" w:hAnsi="Calibri" w:cs="Arial"/>
          <w:color w:val="E36C0A" w:themeColor="accent6" w:themeShade="BF"/>
          <w:rtl/>
        </w:rPr>
        <w:t>(וכ"פ בשו"ע)</w:t>
      </w:r>
    </w:p>
    <w:p w14:paraId="752B298D" w14:textId="77777777" w:rsidR="001D49D4" w:rsidRPr="001D49D4" w:rsidRDefault="001D49D4" w:rsidP="0004348D">
      <w:pPr>
        <w:spacing w:before="360" w:after="240"/>
        <w:rPr>
          <w:rFonts w:ascii="Calibri" w:eastAsia="Calibri" w:hAnsi="Calibri" w:cs="Arial"/>
          <w:u w:val="dotted"/>
        </w:rPr>
      </w:pPr>
      <w:r w:rsidRPr="001D49D4">
        <w:rPr>
          <w:rFonts w:ascii="Calibri" w:eastAsia="Calibri" w:hAnsi="Calibri" w:cs="Arial"/>
          <w:u w:val="dotted"/>
          <w:rtl/>
        </w:rPr>
        <w:t>האם הדין כן אף כשהגוי מכר לישראל בלא כתיבה ומסירה:</w:t>
      </w:r>
    </w:p>
    <w:p w14:paraId="13E5F51F" w14:textId="77777777" w:rsidR="001D49D4" w:rsidRPr="001D49D4" w:rsidRDefault="001D49D4" w:rsidP="0004348D">
      <w:pPr>
        <w:numPr>
          <w:ilvl w:val="0"/>
          <w:numId w:val="335"/>
        </w:numPr>
        <w:spacing w:before="360" w:after="240"/>
        <w:contextualSpacing/>
        <w:rPr>
          <w:rFonts w:ascii="Calibri" w:eastAsia="Calibri" w:hAnsi="Calibri" w:cs="Arial"/>
          <w:u w:val="single"/>
        </w:rPr>
      </w:pPr>
      <w:r w:rsidRPr="001D49D4">
        <w:rPr>
          <w:rFonts w:ascii="Calibri" w:eastAsia="Calibri" w:hAnsi="Calibri" w:cs="Arial"/>
          <w:rtl/>
        </w:rPr>
        <w:t>ריטב"א</w:t>
      </w:r>
      <w:r w:rsidRPr="001D49D4">
        <w:rPr>
          <w:rFonts w:ascii="Calibri" w:eastAsia="Calibri" w:hAnsi="Calibri" w:cs="Arial"/>
          <w:sz w:val="16"/>
          <w:szCs w:val="16"/>
          <w:rtl/>
        </w:rPr>
        <w:t xml:space="preserve"> (שם)</w:t>
      </w:r>
      <w:r w:rsidRPr="001D49D4">
        <w:rPr>
          <w:rFonts w:ascii="Calibri" w:eastAsia="Calibri" w:hAnsi="Calibri" w:cs="Arial"/>
          <w:rtl/>
        </w:rPr>
        <w:t xml:space="preserve"> ונמוק"י</w:t>
      </w:r>
      <w:r w:rsidRPr="001D49D4">
        <w:rPr>
          <w:rFonts w:ascii="Calibri" w:eastAsia="Calibri" w:hAnsi="Calibri" w:cs="Arial"/>
          <w:sz w:val="16"/>
          <w:szCs w:val="16"/>
          <w:rtl/>
        </w:rPr>
        <w:t xml:space="preserve"> (שם)</w:t>
      </w:r>
      <w:r w:rsidRPr="001D49D4">
        <w:rPr>
          <w:rFonts w:ascii="Calibri" w:eastAsia="Calibri" w:hAnsi="Calibri" w:cs="Arial"/>
          <w:rtl/>
        </w:rPr>
        <w:t>- וכן כל שנתן בדיניהם אפילו בלא כתיבה ומסירה - משלם.</w:t>
      </w:r>
      <w:r w:rsidRPr="001D49D4">
        <w:rPr>
          <w:rFonts w:ascii="Calibri" w:eastAsia="Calibri" w:hAnsi="Calibri" w:cs="Arial"/>
          <w:color w:val="00B0F0"/>
          <w:rtl/>
        </w:rPr>
        <w:t xml:space="preserve"> (וכ"פ הרמ"א)</w:t>
      </w:r>
    </w:p>
    <w:p w14:paraId="77F95324" w14:textId="77777777" w:rsidR="001D49D4" w:rsidRPr="001D49D4" w:rsidRDefault="001D49D4" w:rsidP="0004348D">
      <w:pPr>
        <w:spacing w:before="360" w:after="240"/>
        <w:rPr>
          <w:rFonts w:ascii="Calibri" w:eastAsia="Calibri" w:hAnsi="Calibri" w:cs="Arial"/>
          <w:u w:val="single"/>
          <w:rtl/>
        </w:rPr>
      </w:pPr>
      <w:r w:rsidRPr="001D49D4">
        <w:rPr>
          <w:rFonts w:ascii="Calibri" w:eastAsia="Calibri" w:hAnsi="Calibri" w:cs="Arial"/>
          <w:u w:val="single"/>
          <w:rtl/>
        </w:rPr>
        <w:t>ישראל שמכר לגוי – כיצד דיינינן ליה:</w:t>
      </w:r>
    </w:p>
    <w:p w14:paraId="32F784B7" w14:textId="77777777" w:rsidR="001D49D4" w:rsidRPr="001D49D4" w:rsidRDefault="001D49D4" w:rsidP="0004348D">
      <w:pPr>
        <w:numPr>
          <w:ilvl w:val="0"/>
          <w:numId w:val="335"/>
        </w:numPr>
        <w:spacing w:before="360" w:after="240"/>
        <w:contextualSpacing/>
        <w:rPr>
          <w:rFonts w:ascii="Calibri" w:eastAsia="Calibri" w:hAnsi="Calibri" w:cs="Arial"/>
          <w:rtl/>
        </w:rPr>
      </w:pPr>
      <w:r w:rsidRPr="001D49D4">
        <w:rPr>
          <w:rFonts w:ascii="Calibri" w:eastAsia="Calibri" w:hAnsi="Calibri" w:cs="Arial"/>
          <w:rtl/>
        </w:rPr>
        <w:t>ריטב"א</w:t>
      </w:r>
      <w:r w:rsidRPr="001D49D4">
        <w:rPr>
          <w:rFonts w:ascii="Calibri" w:eastAsia="Calibri" w:hAnsi="Calibri" w:cs="Arial"/>
          <w:sz w:val="16"/>
          <w:szCs w:val="16"/>
          <w:rtl/>
        </w:rPr>
        <w:t xml:space="preserve"> (שם) </w:t>
      </w:r>
      <w:r w:rsidRPr="001D49D4">
        <w:rPr>
          <w:rFonts w:ascii="Calibri" w:eastAsia="Calibri" w:hAnsi="Calibri" w:cs="Arial"/>
          <w:rtl/>
        </w:rPr>
        <w:t>ונמוק"י</w:t>
      </w:r>
      <w:r w:rsidRPr="001D49D4">
        <w:rPr>
          <w:rFonts w:ascii="Calibri" w:eastAsia="Calibri" w:hAnsi="Calibri" w:cs="Arial"/>
          <w:sz w:val="16"/>
          <w:szCs w:val="16"/>
          <w:rtl/>
        </w:rPr>
        <w:t xml:space="preserve"> (שם)</w:t>
      </w:r>
      <w:r w:rsidRPr="001D49D4">
        <w:rPr>
          <w:rFonts w:ascii="Calibri" w:eastAsia="Calibri" w:hAnsi="Calibri" w:cs="Arial"/>
          <w:rtl/>
        </w:rPr>
        <w:t>- ישראל שמכר לגוי - דינו כאילו מכר לישראל.</w:t>
      </w:r>
      <w:r w:rsidRPr="001D49D4">
        <w:rPr>
          <w:rFonts w:ascii="Calibri" w:eastAsia="Calibri" w:hAnsi="Calibri" w:cs="Arial"/>
          <w:color w:val="E36C0A" w:themeColor="accent6" w:themeShade="BF"/>
          <w:rtl/>
        </w:rPr>
        <w:t xml:space="preserve"> (וכ"פ בשו"ע)</w:t>
      </w:r>
      <w:r w:rsidRPr="001D49D4">
        <w:rPr>
          <w:rFonts w:ascii="Calibri" w:eastAsia="Calibri" w:hAnsi="Calibri" w:cs="Arial"/>
          <w:rtl/>
        </w:rPr>
        <w:t xml:space="preserve"> </w:t>
      </w:r>
    </w:p>
    <w:p w14:paraId="5CAB250A" w14:textId="77777777" w:rsidR="001D49D4" w:rsidRPr="001D49D4" w:rsidRDefault="001D49D4" w:rsidP="0004348D">
      <w:pPr>
        <w:spacing w:before="360" w:after="240"/>
        <w:rPr>
          <w:rFonts w:ascii="Calibri" w:eastAsia="Calibri" w:hAnsi="Calibri" w:cs="Arial"/>
          <w:u w:val="single"/>
          <w:rtl/>
        </w:rPr>
      </w:pPr>
      <w:r w:rsidRPr="001D49D4">
        <w:rPr>
          <w:rFonts w:ascii="Calibri" w:eastAsia="Calibri" w:hAnsi="Calibri" w:cs="Arial"/>
          <w:u w:val="single"/>
          <w:rtl/>
        </w:rPr>
        <w:t>המוכר שטר חוב שיש לו על ישראל לגוי:</w:t>
      </w:r>
    </w:p>
    <w:p w14:paraId="2CB8D231" w14:textId="77777777" w:rsidR="001D49D4" w:rsidRPr="001D49D4" w:rsidRDefault="001D49D4" w:rsidP="0004348D">
      <w:pPr>
        <w:numPr>
          <w:ilvl w:val="0"/>
          <w:numId w:val="335"/>
        </w:numPr>
        <w:spacing w:before="360" w:after="240"/>
        <w:contextualSpacing/>
        <w:rPr>
          <w:rFonts w:ascii="Calibri" w:eastAsia="Calibri" w:hAnsi="Calibri" w:cs="Arial"/>
          <w:rtl/>
        </w:rPr>
      </w:pPr>
      <w:r w:rsidRPr="001D49D4">
        <w:rPr>
          <w:rFonts w:ascii="Calibri" w:eastAsia="Calibri" w:hAnsi="Calibri" w:cs="Arial"/>
          <w:rtl/>
        </w:rPr>
        <w:t xml:space="preserve">ריטב"א </w:t>
      </w:r>
      <w:r w:rsidRPr="001D49D4">
        <w:rPr>
          <w:rFonts w:ascii="Calibri" w:eastAsia="Calibri" w:hAnsi="Calibri" w:cs="Arial"/>
          <w:sz w:val="16"/>
          <w:szCs w:val="16"/>
          <w:rtl/>
        </w:rPr>
        <w:t>(סי' יד)</w:t>
      </w:r>
      <w:r w:rsidRPr="001D49D4">
        <w:rPr>
          <w:rFonts w:ascii="Calibri" w:eastAsia="Calibri" w:hAnsi="Calibri" w:cs="Arial"/>
          <w:rtl/>
        </w:rPr>
        <w:t xml:space="preserve">- שאלת, המוכר שטר חוב שיש לו על ישראל לגוי אם הוא מכור. תשובה, לא מצאתי שום ספק בדבר שהוא מכור. והטעם, דהא קיי"ל דמכירת שטרות אינו מדרבנן כדי שנאמר שלא תקנו חכמים למכרו אלא לישראל אבל לא למכרו לגוי - אלא מכירת שטרות מדאורייתא היא, דהא אימעיטא לה </w:t>
      </w:r>
      <w:r w:rsidRPr="001D49D4">
        <w:rPr>
          <w:rFonts w:ascii="Calibri" w:eastAsia="Calibri" w:hAnsi="Calibri" w:cs="Arial"/>
          <w:sz w:val="16"/>
          <w:szCs w:val="16"/>
          <w:rtl/>
        </w:rPr>
        <w:t xml:space="preserve">(ב"מ נו:) </w:t>
      </w:r>
      <w:r w:rsidRPr="001D49D4">
        <w:rPr>
          <w:rFonts w:ascii="Calibri" w:eastAsia="Calibri" w:hAnsi="Calibri" w:cs="Arial"/>
          <w:rtl/>
        </w:rPr>
        <w:t xml:space="preserve">מכירת שטרות מאונאה מקרא </w:t>
      </w:r>
      <w:r w:rsidRPr="001D49D4">
        <w:rPr>
          <w:rFonts w:ascii="Calibri" w:eastAsia="Calibri" w:hAnsi="Calibri" w:cs="Arial"/>
          <w:sz w:val="16"/>
          <w:szCs w:val="16"/>
          <w:rtl/>
        </w:rPr>
        <w:t xml:space="preserve">(ויקרא כה יד) </w:t>
      </w:r>
      <w:r w:rsidRPr="001D49D4">
        <w:rPr>
          <w:rFonts w:ascii="Calibri" w:eastAsia="Calibri" w:hAnsi="Calibri" w:cs="Arial"/>
          <w:rtl/>
        </w:rPr>
        <w:t xml:space="preserve">דוכי תמכרו ממכר. ואע"ג דממימרא דהמוכר שטר חוב לחבירו וחזר ומחלו מחול משמע לכאורה דמכירת שטר חוב דרבנן - אינו כן, וכבר יש לנו פירוש מרווח מדברי רבני צרפת, והרמב"ן פירש פירוש מרווח מסלק אותו הספק. גם אע"פ שהרמב"ם סובר דמכירת שטר חוב דרבנן כמו שכתב בפ"ו דמכירה - כבודו מונח במקומו, שאין אנו חוששים לדבריו במקום הזה שהרי כל רבותי חולקים עליו בזה. אמנם אע"פ שְמֵכָרוֹ לגוי הוי מכר, אם הגוי אנס וכופה אותו לדון בדיני אומות העולם ואיפשר שיבא לו שום חיוב ואונס - אסור למכרו לו, ואם מכרו לו - משמתין אותו עד דמקבל עליה כל אונסא דמתייליד מחמתיה. ואם ישראל הלוה זה אנס שאין יכול המלוה להוציא ממונו בדיני ישראל בזה - לית דין ולית דיין שמותר לו למכרו לגוי, נראה לי לכתחלה לית עליה שום שמתא. </w:t>
      </w:r>
    </w:p>
    <w:p w14:paraId="4964684F" w14:textId="77777777" w:rsidR="001D49D4" w:rsidRPr="001D49D4" w:rsidRDefault="001D49D4" w:rsidP="0004348D">
      <w:pPr>
        <w:spacing w:before="360" w:after="240"/>
        <w:rPr>
          <w:rFonts w:ascii="Calibri" w:eastAsia="Calibri" w:hAnsi="Calibri" w:cs="Arial"/>
          <w:u w:val="single"/>
        </w:rPr>
      </w:pPr>
      <w:r w:rsidRPr="001D49D4">
        <w:rPr>
          <w:rFonts w:ascii="Calibri" w:eastAsia="Calibri" w:hAnsi="Calibri" w:cs="Arial"/>
          <w:u w:val="single"/>
          <w:rtl/>
        </w:rPr>
        <w:t>ראובן היה לו שטר על גוי ונתנו לשמעון לגבותו וגבאו מיד ואמר לראובן שנתן לגוי זמן שני חדשים:</w:t>
      </w:r>
    </w:p>
    <w:p w14:paraId="2C02759E" w14:textId="77777777" w:rsidR="001D49D4" w:rsidRPr="001D49D4" w:rsidRDefault="001D49D4" w:rsidP="0004348D">
      <w:pPr>
        <w:numPr>
          <w:ilvl w:val="0"/>
          <w:numId w:val="335"/>
        </w:numPr>
        <w:spacing w:before="360" w:after="240"/>
        <w:contextualSpacing/>
        <w:rPr>
          <w:rFonts w:ascii="Calibri" w:eastAsia="Calibri" w:hAnsi="Calibri" w:cs="Arial"/>
        </w:rPr>
      </w:pPr>
      <w:r w:rsidRPr="001D49D4">
        <w:rPr>
          <w:rFonts w:ascii="Calibri" w:eastAsia="Calibri" w:hAnsi="Calibri" w:cs="Arial"/>
          <w:rtl/>
        </w:rPr>
        <w:t xml:space="preserve">רא"ש </w:t>
      </w:r>
      <w:r w:rsidRPr="001D49D4">
        <w:rPr>
          <w:rFonts w:ascii="Calibri" w:eastAsia="Calibri" w:hAnsi="Calibri" w:cs="Arial"/>
          <w:sz w:val="16"/>
          <w:szCs w:val="16"/>
          <w:rtl/>
        </w:rPr>
        <w:t>(כלל סב סי' ה)</w:t>
      </w:r>
      <w:r w:rsidRPr="001D49D4">
        <w:rPr>
          <w:rFonts w:ascii="Calibri" w:eastAsia="Calibri" w:hAnsi="Calibri" w:cs="Arial"/>
          <w:rtl/>
        </w:rPr>
        <w:t>- ראובן היה לו שטר על גוי, ונתנו לשמעון לגבותו, וגבאו מיד. ואמר לראובן שנתן לגוי זמן שני חדשים אמנם אם ירצה יתן לו שטר אחר משלו בפרעון שטרו, וכן עשה, עתה אמר ראובן ששמעון נתן לו שטרו על תנאי שאם יגבו תוך שני חדשים ואם לאו שלא היה רוצה בחליפין, ושמעון אומר שנתנו לו בלא תנאי. תשובה, השטר שנתן שמעון לראובן צריך היה שיקנהו לו בכתיבה ומסירה, והעדים שהיו בקנין המסירה אם אינם מעידים על תנאי - חליפין גמורים הם בלי תנאי כיון שלא נעשה התנאי בפני עדים</w:t>
      </w:r>
      <w:r w:rsidRPr="001D49D4">
        <w:rPr>
          <w:rFonts w:ascii="Calibri" w:eastAsia="Calibri" w:hAnsi="Calibri" w:cs="Arial"/>
          <w:vertAlign w:val="superscript"/>
          <w:rtl/>
        </w:rPr>
        <w:footnoteReference w:id="5150"/>
      </w:r>
      <w:r w:rsidRPr="001D49D4">
        <w:rPr>
          <w:rFonts w:ascii="Calibri" w:eastAsia="Calibri" w:hAnsi="Calibri" w:cs="Arial"/>
          <w:rtl/>
        </w:rPr>
        <w:t xml:space="preserve">. </w:t>
      </w:r>
    </w:p>
    <w:p w14:paraId="7566FCD8" w14:textId="77777777" w:rsidR="001D49D4" w:rsidRPr="001D49D4" w:rsidRDefault="001D49D4" w:rsidP="0004348D">
      <w:pPr>
        <w:spacing w:before="360" w:after="240"/>
        <w:rPr>
          <w:rFonts w:ascii="Arial" w:eastAsia="Calibri" w:hAnsi="Arial" w:cs="Arial"/>
          <w:b/>
          <w:bCs/>
          <w:color w:val="000000"/>
          <w:sz w:val="28"/>
          <w:szCs w:val="28"/>
          <w:u w:val="single"/>
          <w:rtl/>
        </w:rPr>
      </w:pPr>
      <w:r w:rsidRPr="001D49D4">
        <w:rPr>
          <w:rFonts w:ascii="Arial" w:eastAsia="Calibri" w:hAnsi="Arial" w:cs="Arial"/>
          <w:b/>
          <w:bCs/>
          <w:color w:val="000000"/>
          <w:sz w:val="28"/>
          <w:szCs w:val="28"/>
          <w:u w:val="single"/>
          <w:rtl/>
        </w:rPr>
        <w:t>שו"ע:</w:t>
      </w:r>
    </w:p>
    <w:p w14:paraId="0AFEF17E"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rtl/>
        </w:rPr>
        <w:t xml:space="preserve">גוי שמכר שטר חוב לישראל, יש מי שאומר שכיון שבדיניהם כל זכותו מכר לו, כדיניהם דיינינן ליה, שאם חזר ומחלו אינו מחול. </w:t>
      </w:r>
      <w:r w:rsidRPr="001D49D4">
        <w:rPr>
          <w:rFonts w:ascii="Calibri" w:eastAsia="Calibri" w:hAnsi="Calibri" w:cs="Arial"/>
          <w:sz w:val="18"/>
          <w:szCs w:val="18"/>
          <w:rtl/>
        </w:rPr>
        <w:t>[הגה] וכן כל שנתן בדיניהם, אפילו בלא כתיבה ומסירה, משלם</w:t>
      </w:r>
      <w:r w:rsidRPr="001D49D4">
        <w:rPr>
          <w:rFonts w:ascii="Calibri" w:eastAsia="Calibri" w:hAnsi="Calibri" w:cs="Arial"/>
          <w:sz w:val="18"/>
          <w:szCs w:val="18"/>
          <w:vertAlign w:val="superscript"/>
          <w:rtl/>
        </w:rPr>
        <w:footnoteReference w:id="5151"/>
      </w:r>
      <w:r w:rsidRPr="001D49D4">
        <w:rPr>
          <w:rFonts w:ascii="Calibri" w:eastAsia="Calibri" w:hAnsi="Calibri" w:cs="Arial"/>
          <w:sz w:val="18"/>
          <w:szCs w:val="18"/>
          <w:rtl/>
        </w:rPr>
        <w:t xml:space="preserve"> (נמוק"י). </w:t>
      </w:r>
      <w:r w:rsidRPr="001D49D4">
        <w:rPr>
          <w:rFonts w:ascii="Calibri" w:eastAsia="Calibri" w:hAnsi="Calibri" w:cs="Arial"/>
          <w:rtl/>
        </w:rPr>
        <w:t>וישראל שמכר לגוי כאילו מכר לישראל</w:t>
      </w:r>
      <w:r w:rsidRPr="001D49D4">
        <w:rPr>
          <w:rFonts w:ascii="Calibri" w:eastAsia="Calibri" w:hAnsi="Calibri" w:cs="Arial"/>
          <w:vertAlign w:val="superscript"/>
          <w:rtl/>
        </w:rPr>
        <w:footnoteReference w:id="5152"/>
      </w:r>
      <w:r w:rsidRPr="001D49D4">
        <w:rPr>
          <w:rFonts w:ascii="Calibri" w:eastAsia="Calibri" w:hAnsi="Calibri" w:cs="Arial"/>
          <w:rtl/>
        </w:rPr>
        <w:t xml:space="preserve">. </w:t>
      </w:r>
    </w:p>
    <w:p w14:paraId="71832E89" w14:textId="77777777" w:rsidR="001D49D4" w:rsidRPr="001D49D4" w:rsidRDefault="001D49D4" w:rsidP="0004348D">
      <w:pPr>
        <w:spacing w:before="360" w:after="240"/>
        <w:rPr>
          <w:rFonts w:ascii="Calibri" w:eastAsia="Calibri" w:hAnsi="Calibri" w:cs="Arial"/>
          <w:rtl/>
        </w:rPr>
      </w:pPr>
    </w:p>
    <w:p w14:paraId="509D2DB6" w14:textId="77777777" w:rsidR="001D49D4" w:rsidRPr="001D49D4" w:rsidRDefault="001D49D4" w:rsidP="0004348D">
      <w:pPr>
        <w:keepNext/>
        <w:keepLines/>
        <w:spacing w:before="360" w:after="240"/>
        <w:outlineLvl w:val="1"/>
        <w:rPr>
          <w:rFonts w:ascii="Cambria" w:eastAsia="Times New Roman" w:hAnsi="Cambria" w:cs="Arial"/>
          <w:bCs/>
          <w:color w:val="548DD4" w:themeColor="text2" w:themeTint="99"/>
          <w:sz w:val="26"/>
          <w:szCs w:val="26"/>
          <w:rtl/>
        </w:rPr>
      </w:pPr>
      <w:bookmarkStart w:id="699" w:name="_Toc24884120"/>
      <w:r w:rsidRPr="001D49D4">
        <w:rPr>
          <w:rFonts w:ascii="Cambria" w:eastAsia="Times New Roman" w:hAnsi="Cambria" w:cs="Arial"/>
          <w:bCs/>
          <w:color w:val="548DD4" w:themeColor="text2" w:themeTint="99"/>
          <w:sz w:val="26"/>
          <w:szCs w:val="26"/>
          <w:rtl/>
        </w:rPr>
        <w:t>סעיף כו: מחילה כשהלוה כתב בשטר 'משתעבדנא לך ולכל דאתי מחמתך'.</w:t>
      </w:r>
      <w:bookmarkEnd w:id="699"/>
    </w:p>
    <w:p w14:paraId="38EF8758" w14:textId="77777777" w:rsidR="001D49D4" w:rsidRPr="001D49D4" w:rsidRDefault="001D49D4" w:rsidP="0004348D">
      <w:pPr>
        <w:spacing w:before="360" w:after="240"/>
        <w:rPr>
          <w:rFonts w:ascii="Calibri" w:eastAsia="Calibri" w:hAnsi="Calibri" w:cs="Arial"/>
          <w:u w:val="single"/>
          <w:rtl/>
        </w:rPr>
      </w:pPr>
      <w:bookmarkStart w:id="700" w:name="_Hlk16520914"/>
      <w:r w:rsidRPr="001D49D4">
        <w:rPr>
          <w:rFonts w:ascii="Calibri" w:eastAsia="Calibri" w:hAnsi="Calibri" w:cs="Arial"/>
          <w:u w:val="single"/>
          <w:rtl/>
        </w:rPr>
        <w:t>כתב לוה למלוה 'משתעבדנא לך ולכל דאתי מחמתך' ומכרו – האם יכול המוכר למחול:</w:t>
      </w:r>
    </w:p>
    <w:p w14:paraId="582807D8" w14:textId="77777777" w:rsidR="001D49D4" w:rsidRPr="001D49D4" w:rsidRDefault="001D49D4" w:rsidP="0004348D">
      <w:pPr>
        <w:numPr>
          <w:ilvl w:val="0"/>
          <w:numId w:val="335"/>
        </w:numPr>
        <w:spacing w:before="360" w:after="240"/>
        <w:contextualSpacing/>
        <w:rPr>
          <w:rFonts w:ascii="Calibri" w:eastAsia="Calibri" w:hAnsi="Calibri" w:cs="Arial"/>
        </w:rPr>
      </w:pPr>
      <w:r w:rsidRPr="001D49D4">
        <w:rPr>
          <w:rFonts w:ascii="Calibri" w:eastAsia="Calibri" w:hAnsi="Calibri" w:cs="Arial"/>
          <w:rtl/>
        </w:rPr>
        <w:t>ראב"ד בהעי"ט רשב"א ר"ן ונמוק"י</w:t>
      </w:r>
      <w:r w:rsidRPr="001D49D4">
        <w:rPr>
          <w:rFonts w:ascii="Calibri" w:eastAsia="Calibri" w:hAnsi="Calibri" w:cs="Arial"/>
          <w:vertAlign w:val="superscript"/>
          <w:rtl/>
        </w:rPr>
        <w:footnoteReference w:id="5153"/>
      </w:r>
      <w:r w:rsidRPr="001D49D4">
        <w:rPr>
          <w:rFonts w:ascii="Calibri" w:eastAsia="Calibri" w:hAnsi="Calibri" w:cs="Arial"/>
          <w:rtl/>
        </w:rPr>
        <w:t>- אם כתב לוה למלוה משתעבדנא לך ולכל דאתי מחמתך ומכרו - שוב אינו יכול למחול</w:t>
      </w:r>
      <w:r w:rsidRPr="001D49D4">
        <w:rPr>
          <w:rFonts w:ascii="Calibri" w:eastAsia="Calibri" w:hAnsi="Calibri" w:cs="Arial"/>
          <w:vertAlign w:val="superscript"/>
          <w:rtl/>
        </w:rPr>
        <w:footnoteReference w:id="5154"/>
      </w:r>
      <w:r w:rsidRPr="001D49D4">
        <w:rPr>
          <w:rFonts w:ascii="Calibri" w:eastAsia="Calibri" w:hAnsi="Calibri" w:cs="Arial"/>
          <w:rtl/>
        </w:rPr>
        <w:t>. (וכ"כ הסמ"ע</w:t>
      </w:r>
      <w:r w:rsidRPr="001D49D4">
        <w:rPr>
          <w:rFonts w:ascii="Calibri" w:eastAsia="Calibri" w:hAnsi="Calibri" w:cs="Arial"/>
          <w:sz w:val="16"/>
          <w:szCs w:val="16"/>
          <w:rtl/>
        </w:rPr>
        <w:t xml:space="preserve"> [ס"ק ס"ג]</w:t>
      </w:r>
      <w:r w:rsidRPr="001D49D4">
        <w:rPr>
          <w:rFonts w:ascii="Calibri" w:eastAsia="Calibri" w:hAnsi="Calibri" w:cs="Arial"/>
          <w:rtl/>
        </w:rPr>
        <w:t>)</w:t>
      </w:r>
    </w:p>
    <w:p w14:paraId="12C1D13F" w14:textId="77777777" w:rsidR="001D49D4" w:rsidRPr="001D49D4" w:rsidRDefault="001D49D4" w:rsidP="0004348D">
      <w:pPr>
        <w:numPr>
          <w:ilvl w:val="0"/>
          <w:numId w:val="335"/>
        </w:numPr>
        <w:spacing w:before="360" w:after="240"/>
        <w:contextualSpacing/>
        <w:rPr>
          <w:rFonts w:ascii="Calibri" w:eastAsia="Calibri" w:hAnsi="Calibri" w:cs="Arial"/>
        </w:rPr>
      </w:pPr>
      <w:r w:rsidRPr="001D49D4">
        <w:rPr>
          <w:rFonts w:ascii="Calibri" w:eastAsia="Calibri" w:hAnsi="Calibri" w:cs="Arial"/>
          <w:rtl/>
        </w:rPr>
        <w:t xml:space="preserve">רמ"ה </w:t>
      </w:r>
      <w:r w:rsidRPr="001D49D4">
        <w:rPr>
          <w:rFonts w:ascii="Calibri" w:eastAsia="Calibri" w:hAnsi="Calibri" w:cs="Arial"/>
          <w:sz w:val="16"/>
          <w:szCs w:val="16"/>
          <w:rtl/>
        </w:rPr>
        <w:t>(כ"כ הטור בשמו)</w:t>
      </w:r>
      <w:r w:rsidRPr="001D49D4">
        <w:rPr>
          <w:rFonts w:ascii="Calibri" w:eastAsia="Calibri" w:hAnsi="Calibri" w:cs="Arial"/>
          <w:rtl/>
        </w:rPr>
        <w:t xml:space="preserve"> רמב"ן </w:t>
      </w:r>
      <w:r w:rsidRPr="001D49D4">
        <w:rPr>
          <w:rFonts w:ascii="Calibri" w:eastAsia="Calibri" w:hAnsi="Calibri" w:cs="Arial"/>
          <w:sz w:val="16"/>
          <w:szCs w:val="16"/>
          <w:rtl/>
        </w:rPr>
        <w:t xml:space="preserve">(גיטין יג:) </w:t>
      </w:r>
      <w:r w:rsidRPr="001D49D4">
        <w:rPr>
          <w:rFonts w:ascii="Calibri" w:eastAsia="Calibri" w:hAnsi="Calibri" w:cs="Arial"/>
          <w:rtl/>
        </w:rPr>
        <w:t xml:space="preserve">ורא"ש </w:t>
      </w:r>
      <w:r w:rsidRPr="001D49D4">
        <w:rPr>
          <w:rFonts w:ascii="Calibri" w:eastAsia="Calibri" w:hAnsi="Calibri" w:cs="Arial"/>
          <w:sz w:val="16"/>
          <w:szCs w:val="16"/>
          <w:rtl/>
        </w:rPr>
        <w:t>(פרק הכותב סי' י, ובתשו' כלל סט סי' א)</w:t>
      </w:r>
      <w:r w:rsidRPr="001D49D4">
        <w:rPr>
          <w:rFonts w:ascii="Calibri" w:eastAsia="Calibri" w:hAnsi="Calibri" w:cs="Arial"/>
          <w:rtl/>
        </w:rPr>
        <w:t xml:space="preserve">- אפילו שכתב לו הכי - יכול למחול. </w:t>
      </w:r>
      <w:r w:rsidRPr="001D49D4">
        <w:rPr>
          <w:rFonts w:ascii="Calibri" w:eastAsia="Calibri" w:hAnsi="Calibri" w:cs="Arial"/>
          <w:color w:val="E36C0A" w:themeColor="accent6" w:themeShade="BF"/>
          <w:rtl/>
        </w:rPr>
        <w:t xml:space="preserve">(וכ"פ בשו"ע) </w:t>
      </w:r>
      <w:r w:rsidRPr="001D49D4">
        <w:rPr>
          <w:rFonts w:ascii="Calibri" w:eastAsia="Calibri" w:hAnsi="Calibri" w:cs="Arial"/>
          <w:rtl/>
        </w:rPr>
        <w:t xml:space="preserve">(וכ"פ עיר שושן </w:t>
      </w:r>
      <w:r w:rsidRPr="001D49D4">
        <w:rPr>
          <w:rFonts w:ascii="Calibri" w:eastAsia="Calibri" w:hAnsi="Calibri" w:cs="Arial"/>
          <w:sz w:val="16"/>
          <w:szCs w:val="16"/>
          <w:rtl/>
        </w:rPr>
        <w:t xml:space="preserve">[סע' כו] </w:t>
      </w:r>
      <w:r w:rsidRPr="001D49D4">
        <w:rPr>
          <w:rFonts w:ascii="Calibri" w:eastAsia="Calibri" w:hAnsi="Calibri" w:cs="Arial"/>
          <w:rtl/>
        </w:rPr>
        <w:t xml:space="preserve">וש"ך </w:t>
      </w:r>
      <w:r w:rsidRPr="001D49D4">
        <w:rPr>
          <w:rFonts w:ascii="Calibri" w:eastAsia="Calibri" w:hAnsi="Calibri" w:cs="Arial"/>
          <w:sz w:val="16"/>
          <w:szCs w:val="16"/>
          <w:rtl/>
        </w:rPr>
        <w:t>[סקפ"ז]</w:t>
      </w:r>
      <w:r w:rsidRPr="001D49D4">
        <w:rPr>
          <w:rFonts w:ascii="Calibri" w:eastAsia="Calibri" w:hAnsi="Calibri" w:cs="Arial"/>
          <w:rtl/>
        </w:rPr>
        <w:t>)</w:t>
      </w:r>
    </w:p>
    <w:p w14:paraId="30852751" w14:textId="77777777" w:rsidR="001D49D4" w:rsidRPr="001D49D4" w:rsidRDefault="001D49D4" w:rsidP="0004348D">
      <w:pPr>
        <w:spacing w:before="360" w:after="240"/>
        <w:rPr>
          <w:rFonts w:ascii="Calibri" w:eastAsia="Calibri" w:hAnsi="Calibri" w:cs="Arial"/>
          <w:rtl/>
        </w:rPr>
      </w:pPr>
      <w:bookmarkStart w:id="701" w:name="_Hlk16521577"/>
      <w:bookmarkEnd w:id="700"/>
      <w:r w:rsidRPr="001D49D4">
        <w:rPr>
          <w:rFonts w:ascii="Calibri" w:eastAsia="Calibri" w:hAnsi="Calibri" w:cs="Arial"/>
          <w:u w:val="single"/>
          <w:rtl/>
        </w:rPr>
        <w:t xml:space="preserve">הקנה לו המלוה עצמה </w:t>
      </w:r>
      <w:r w:rsidRPr="001D49D4">
        <w:rPr>
          <w:rFonts w:ascii="Calibri" w:eastAsia="Calibri" w:hAnsi="Calibri" w:cs="Arial"/>
          <w:sz w:val="16"/>
          <w:szCs w:val="16"/>
          <w:u w:val="single"/>
          <w:rtl/>
        </w:rPr>
        <w:t>(כגון מטלטלי אגב מקרקעי)</w:t>
      </w:r>
      <w:r w:rsidRPr="001D49D4">
        <w:rPr>
          <w:rFonts w:ascii="Calibri" w:eastAsia="Calibri" w:hAnsi="Calibri" w:cs="Arial"/>
          <w:u w:val="single"/>
          <w:rtl/>
        </w:rPr>
        <w:t xml:space="preserve"> בחליפין – האם יכול למחול:</w:t>
      </w:r>
      <w:r w:rsidRPr="001D49D4">
        <w:rPr>
          <w:rFonts w:ascii="Calibri" w:eastAsia="Calibri" w:hAnsi="Calibri" w:cs="Arial"/>
          <w:rtl/>
        </w:rPr>
        <w:t xml:space="preserve"> </w:t>
      </w:r>
    </w:p>
    <w:p w14:paraId="7F422890" w14:textId="77777777" w:rsidR="001D49D4" w:rsidRPr="001D49D4" w:rsidRDefault="001D49D4" w:rsidP="0004348D">
      <w:pPr>
        <w:numPr>
          <w:ilvl w:val="0"/>
          <w:numId w:val="335"/>
        </w:numPr>
        <w:spacing w:before="360" w:after="240"/>
        <w:contextualSpacing/>
        <w:rPr>
          <w:rFonts w:ascii="Calibri" w:eastAsia="Calibri" w:hAnsi="Calibri" w:cs="Arial"/>
          <w:rtl/>
        </w:rPr>
      </w:pPr>
      <w:r w:rsidRPr="001D49D4">
        <w:rPr>
          <w:rFonts w:ascii="Calibri" w:eastAsia="Calibri" w:hAnsi="Calibri" w:cs="Arial"/>
          <w:rtl/>
        </w:rPr>
        <w:t xml:space="preserve">רבני מלון </w:t>
      </w:r>
      <w:r w:rsidRPr="001D49D4">
        <w:rPr>
          <w:rFonts w:ascii="Calibri" w:eastAsia="Calibri" w:hAnsi="Calibri" w:cs="Arial"/>
          <w:sz w:val="16"/>
          <w:szCs w:val="16"/>
          <w:rtl/>
        </w:rPr>
        <w:t>(כ"כ המרדכי בשמם [פרק הכותב סי' ריט])</w:t>
      </w:r>
      <w:r w:rsidRPr="001D49D4">
        <w:rPr>
          <w:rFonts w:ascii="Calibri" w:eastAsia="Calibri" w:hAnsi="Calibri" w:cs="Arial"/>
          <w:rtl/>
        </w:rPr>
        <w:t xml:space="preserve">- יכול למחול. </w:t>
      </w:r>
    </w:p>
    <w:p w14:paraId="281B09DC" w14:textId="77777777" w:rsidR="001D49D4" w:rsidRPr="001D49D4" w:rsidRDefault="001D49D4" w:rsidP="0004348D">
      <w:pPr>
        <w:numPr>
          <w:ilvl w:val="0"/>
          <w:numId w:val="335"/>
        </w:numPr>
        <w:spacing w:before="360" w:after="240"/>
        <w:contextualSpacing/>
        <w:rPr>
          <w:rFonts w:ascii="Calibri" w:eastAsia="Calibri" w:hAnsi="Calibri" w:cs="Arial"/>
        </w:rPr>
      </w:pPr>
      <w:r w:rsidRPr="001D49D4">
        <w:rPr>
          <w:rFonts w:ascii="Calibri" w:eastAsia="Calibri" w:hAnsi="Calibri" w:cs="Arial"/>
          <w:rtl/>
        </w:rPr>
        <w:t xml:space="preserve">רבי אליעזר בר שמשון </w:t>
      </w:r>
      <w:r w:rsidRPr="001D49D4">
        <w:rPr>
          <w:rFonts w:ascii="Calibri" w:eastAsia="Calibri" w:hAnsi="Calibri" w:cs="Arial"/>
          <w:sz w:val="16"/>
          <w:szCs w:val="16"/>
          <w:rtl/>
        </w:rPr>
        <w:t>(כ"כ המרדכי בשמו [שם])</w:t>
      </w:r>
      <w:r w:rsidRPr="001D49D4">
        <w:rPr>
          <w:rFonts w:ascii="Calibri" w:eastAsia="Calibri" w:hAnsi="Calibri" w:cs="Arial"/>
          <w:rtl/>
        </w:rPr>
        <w:t>- אינו יכול למחול</w:t>
      </w:r>
      <w:r w:rsidRPr="001D49D4">
        <w:rPr>
          <w:rFonts w:ascii="Calibri" w:eastAsia="Calibri" w:hAnsi="Calibri" w:cs="Arial"/>
          <w:vertAlign w:val="superscript"/>
          <w:rtl/>
        </w:rPr>
        <w:footnoteReference w:id="5155"/>
      </w:r>
      <w:r w:rsidRPr="001D49D4">
        <w:rPr>
          <w:rFonts w:ascii="Calibri" w:eastAsia="Calibri" w:hAnsi="Calibri" w:cs="Arial"/>
          <w:rtl/>
        </w:rPr>
        <w:t>.</w:t>
      </w:r>
    </w:p>
    <w:p w14:paraId="305605FA" w14:textId="77777777" w:rsidR="001D49D4" w:rsidRPr="001D49D4" w:rsidRDefault="001D49D4" w:rsidP="0004348D">
      <w:pPr>
        <w:spacing w:before="360" w:after="240"/>
        <w:rPr>
          <w:rFonts w:ascii="Calibri" w:eastAsia="Calibri" w:hAnsi="Calibri" w:cs="Arial"/>
          <w:u w:val="dotted"/>
        </w:rPr>
      </w:pPr>
      <w:r w:rsidRPr="001D49D4">
        <w:rPr>
          <w:rFonts w:ascii="Calibri" w:eastAsia="Calibri" w:hAnsi="Calibri" w:cs="Arial"/>
          <w:u w:val="single"/>
          <w:rtl/>
        </w:rPr>
        <w:t>האם מוכר יכול למחול היכא דחייב לקונה או כשאין לו במה לפרוע לקונה:</w:t>
      </w:r>
      <w:r w:rsidRPr="001D49D4">
        <w:rPr>
          <w:rFonts w:ascii="Calibri" w:eastAsia="Calibri" w:hAnsi="Calibri" w:cs="Arial"/>
          <w:sz w:val="16"/>
          <w:szCs w:val="16"/>
          <w:rtl/>
        </w:rPr>
        <w:t xml:space="preserve">  (דרכ"מ אות ז)</w:t>
      </w:r>
      <w:r w:rsidRPr="001D49D4">
        <w:rPr>
          <w:rFonts w:ascii="Calibri" w:eastAsia="Calibri" w:hAnsi="Calibri" w:cs="Arial"/>
          <w:u w:val="dotted"/>
          <w:rtl/>
        </w:rPr>
        <w:t xml:space="preserve"> </w:t>
      </w:r>
    </w:p>
    <w:p w14:paraId="6F30257A" w14:textId="77777777" w:rsidR="001D49D4" w:rsidRPr="001D49D4" w:rsidRDefault="001D49D4" w:rsidP="0004348D">
      <w:pPr>
        <w:numPr>
          <w:ilvl w:val="0"/>
          <w:numId w:val="333"/>
        </w:numPr>
        <w:spacing w:before="360" w:after="240"/>
        <w:contextualSpacing/>
        <w:rPr>
          <w:rFonts w:ascii="Calibri" w:eastAsia="Calibri" w:hAnsi="Calibri" w:cs="Arial"/>
          <w:rtl/>
        </w:rPr>
      </w:pPr>
      <w:r w:rsidRPr="001D49D4">
        <w:rPr>
          <w:rFonts w:ascii="Calibri" w:eastAsia="Calibri" w:hAnsi="Calibri" w:cs="Arial"/>
          <w:rtl/>
        </w:rPr>
        <w:t xml:space="preserve">מרדכי </w:t>
      </w:r>
      <w:r w:rsidRPr="001D49D4">
        <w:rPr>
          <w:rFonts w:ascii="Calibri" w:eastAsia="Calibri" w:hAnsi="Calibri" w:cs="Arial"/>
          <w:sz w:val="16"/>
          <w:szCs w:val="16"/>
          <w:rtl/>
        </w:rPr>
        <w:t>(פ"ב דכתובות סי' קמב, ובס"פ האשה שנפלו סי' ריא)</w:t>
      </w:r>
      <w:r w:rsidRPr="001D49D4">
        <w:rPr>
          <w:rFonts w:ascii="Calibri" w:eastAsia="Calibri" w:hAnsi="Calibri" w:cs="Arial"/>
          <w:rtl/>
        </w:rPr>
        <w:t xml:space="preserve"> ור"ן</w:t>
      </w:r>
      <w:r w:rsidRPr="001D49D4">
        <w:rPr>
          <w:rFonts w:ascii="Calibri" w:eastAsia="Calibri" w:hAnsi="Calibri" w:cs="Arial"/>
          <w:sz w:val="16"/>
          <w:szCs w:val="16"/>
          <w:rtl/>
        </w:rPr>
        <w:t xml:space="preserve"> (פ"ב דכתובות ו. ד"ה לעולם)</w:t>
      </w:r>
      <w:r w:rsidRPr="001D49D4">
        <w:rPr>
          <w:rFonts w:ascii="Calibri" w:eastAsia="Calibri" w:hAnsi="Calibri" w:cs="Arial"/>
          <w:rtl/>
        </w:rPr>
        <w:t xml:space="preserve">- הא דיכול למחול היינו שלא היה חייב לקונה השטר או שיש לו במה לפרוע אבל אם היה חייב לו ואין לו לפרוע - אין יכול למוחלו דמשועבד לו מדרבי נתן. (וכ"פ עיר שושן </w:t>
      </w:r>
      <w:r w:rsidRPr="001D49D4">
        <w:rPr>
          <w:rFonts w:ascii="Calibri" w:eastAsia="Calibri" w:hAnsi="Calibri" w:cs="Arial"/>
          <w:sz w:val="16"/>
          <w:szCs w:val="16"/>
          <w:rtl/>
        </w:rPr>
        <w:t xml:space="preserve">[סע' כו] </w:t>
      </w:r>
      <w:r w:rsidRPr="001D49D4">
        <w:rPr>
          <w:rFonts w:ascii="Calibri" w:eastAsia="Calibri" w:hAnsi="Calibri" w:cs="Arial"/>
          <w:rtl/>
        </w:rPr>
        <w:t xml:space="preserve">וש"ך </w:t>
      </w:r>
      <w:r w:rsidRPr="001D49D4">
        <w:rPr>
          <w:rFonts w:ascii="Calibri" w:eastAsia="Calibri" w:hAnsi="Calibri" w:cs="Arial"/>
          <w:sz w:val="16"/>
          <w:szCs w:val="16"/>
          <w:rtl/>
        </w:rPr>
        <w:t>[סק"צ]</w:t>
      </w:r>
      <w:r w:rsidRPr="001D49D4">
        <w:rPr>
          <w:rFonts w:ascii="Calibri" w:eastAsia="Calibri" w:hAnsi="Calibri" w:cs="Arial"/>
          <w:rtl/>
        </w:rPr>
        <w:t>)</w:t>
      </w:r>
    </w:p>
    <w:p w14:paraId="251ABB79" w14:textId="77777777" w:rsidR="001D49D4" w:rsidRPr="001D49D4" w:rsidRDefault="001D49D4" w:rsidP="0004348D">
      <w:pPr>
        <w:numPr>
          <w:ilvl w:val="0"/>
          <w:numId w:val="333"/>
        </w:numPr>
        <w:spacing w:before="360" w:after="240"/>
        <w:contextualSpacing/>
        <w:rPr>
          <w:rFonts w:ascii="Calibri" w:eastAsia="Calibri" w:hAnsi="Calibri" w:cs="Arial"/>
        </w:rPr>
      </w:pPr>
      <w:r w:rsidRPr="001D49D4">
        <w:rPr>
          <w:rFonts w:ascii="Calibri" w:eastAsia="Calibri" w:hAnsi="Calibri" w:cs="Arial"/>
          <w:rtl/>
        </w:rPr>
        <w:t xml:space="preserve">תוס' </w:t>
      </w:r>
      <w:r w:rsidRPr="001D49D4">
        <w:rPr>
          <w:rFonts w:ascii="Calibri" w:eastAsia="Calibri" w:hAnsi="Calibri" w:cs="Arial"/>
          <w:sz w:val="16"/>
          <w:szCs w:val="16"/>
          <w:rtl/>
        </w:rPr>
        <w:t>(כ"כ הדרכ"מ בשמם [אות ז])</w:t>
      </w:r>
      <w:r w:rsidRPr="001D49D4">
        <w:rPr>
          <w:rFonts w:ascii="Calibri" w:eastAsia="Calibri" w:hAnsi="Calibri" w:cs="Arial"/>
          <w:rtl/>
        </w:rPr>
        <w:t xml:space="preserve"> ורמב"ן </w:t>
      </w:r>
      <w:r w:rsidRPr="001D49D4">
        <w:rPr>
          <w:rFonts w:ascii="Calibri" w:eastAsia="Calibri" w:hAnsi="Calibri" w:cs="Arial"/>
          <w:sz w:val="16"/>
          <w:szCs w:val="16"/>
          <w:rtl/>
        </w:rPr>
        <w:t>(סי' נא, כ"כ הב"י בשמו [בסי' פו מחו' ד])</w:t>
      </w:r>
      <w:r w:rsidRPr="001D49D4">
        <w:rPr>
          <w:rFonts w:ascii="Calibri" w:eastAsia="Calibri" w:hAnsi="Calibri" w:cs="Arial"/>
          <w:rtl/>
        </w:rPr>
        <w:t>- יכול למחול</w:t>
      </w:r>
      <w:r w:rsidRPr="001D49D4">
        <w:rPr>
          <w:rFonts w:ascii="Calibri" w:eastAsia="Calibri" w:hAnsi="Calibri" w:cs="Arial"/>
          <w:vertAlign w:val="superscript"/>
          <w:rtl/>
        </w:rPr>
        <w:footnoteReference w:id="5156"/>
      </w:r>
      <w:r w:rsidRPr="001D49D4">
        <w:rPr>
          <w:rFonts w:ascii="Calibri" w:eastAsia="Calibri" w:hAnsi="Calibri" w:cs="Arial"/>
          <w:rtl/>
        </w:rPr>
        <w:t xml:space="preserve">. </w:t>
      </w:r>
    </w:p>
    <w:bookmarkEnd w:id="701"/>
    <w:p w14:paraId="0D96D811" w14:textId="77777777" w:rsidR="001D49D4" w:rsidRPr="001D49D4" w:rsidRDefault="001D49D4" w:rsidP="0004348D">
      <w:pPr>
        <w:spacing w:before="360" w:after="240"/>
        <w:rPr>
          <w:rFonts w:ascii="Arial" w:eastAsia="Calibri" w:hAnsi="Arial" w:cs="Arial"/>
          <w:b/>
          <w:bCs/>
          <w:color w:val="000000"/>
          <w:sz w:val="28"/>
          <w:szCs w:val="28"/>
          <w:u w:val="single"/>
        </w:rPr>
      </w:pPr>
      <w:r w:rsidRPr="001D49D4">
        <w:rPr>
          <w:rFonts w:ascii="Arial" w:eastAsia="Calibri" w:hAnsi="Arial" w:cs="Arial"/>
          <w:b/>
          <w:bCs/>
          <w:color w:val="000000"/>
          <w:sz w:val="28"/>
          <w:szCs w:val="28"/>
          <w:u w:val="single"/>
          <w:rtl/>
        </w:rPr>
        <w:t>שו"ע:</w:t>
      </w:r>
    </w:p>
    <w:p w14:paraId="6EEBC61C"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rtl/>
        </w:rPr>
        <w:t>יש אומרים שאם כתב לוה למלוה 'משתעבדנא לך ולכל דאתי מחמתך</w:t>
      </w:r>
      <w:r w:rsidRPr="001D49D4">
        <w:rPr>
          <w:rFonts w:ascii="Calibri" w:eastAsia="Calibri" w:hAnsi="Calibri" w:cs="Arial"/>
          <w:vertAlign w:val="superscript"/>
          <w:rtl/>
        </w:rPr>
        <w:footnoteReference w:id="5157"/>
      </w:r>
      <w:r w:rsidRPr="001D49D4">
        <w:rPr>
          <w:rFonts w:ascii="Calibri" w:eastAsia="Calibri" w:hAnsi="Calibri" w:cs="Arial"/>
          <w:rtl/>
        </w:rPr>
        <w:t>', ומכרו למי שהיה נולד בשעת הלואה, שוב אינו יכול למחול</w:t>
      </w:r>
      <w:r w:rsidRPr="001D49D4">
        <w:rPr>
          <w:rFonts w:ascii="Calibri" w:eastAsia="Calibri" w:hAnsi="Calibri" w:cs="Arial"/>
          <w:vertAlign w:val="superscript"/>
          <w:rtl/>
        </w:rPr>
        <w:footnoteReference w:id="5158"/>
      </w:r>
      <w:r w:rsidRPr="001D49D4">
        <w:rPr>
          <w:rFonts w:ascii="Calibri" w:eastAsia="Calibri" w:hAnsi="Calibri" w:cs="Arial"/>
          <w:rtl/>
        </w:rPr>
        <w:t>. ויש אומרים שאף על פי כן יכול למחול</w:t>
      </w:r>
      <w:r w:rsidRPr="001D49D4">
        <w:rPr>
          <w:rFonts w:ascii="Calibri" w:eastAsia="Calibri" w:hAnsi="Calibri" w:cs="Arial"/>
          <w:vertAlign w:val="superscript"/>
          <w:rtl/>
        </w:rPr>
        <w:footnoteReference w:id="5159"/>
      </w:r>
      <w:r w:rsidRPr="001D49D4">
        <w:rPr>
          <w:rFonts w:ascii="Calibri" w:eastAsia="Calibri" w:hAnsi="Calibri" w:cs="Arial"/>
          <w:rtl/>
        </w:rPr>
        <w:t xml:space="preserve">. </w:t>
      </w:r>
      <w:r w:rsidRPr="001D49D4">
        <w:rPr>
          <w:rFonts w:ascii="Calibri" w:eastAsia="Calibri" w:hAnsi="Calibri" w:cs="Arial"/>
          <w:sz w:val="18"/>
          <w:szCs w:val="18"/>
          <w:rtl/>
        </w:rPr>
        <w:t>הגה: י"א הא דמוכר שטר חוב יכול למחול, היינו שהמוכר לא היה חייב ללוקח</w:t>
      </w:r>
      <w:r w:rsidRPr="001D49D4">
        <w:rPr>
          <w:rFonts w:ascii="Calibri" w:eastAsia="Calibri" w:hAnsi="Calibri" w:cs="Arial"/>
          <w:sz w:val="18"/>
          <w:szCs w:val="18"/>
          <w:vertAlign w:val="superscript"/>
          <w:rtl/>
        </w:rPr>
        <w:footnoteReference w:id="5160"/>
      </w:r>
      <w:r w:rsidRPr="001D49D4">
        <w:rPr>
          <w:rFonts w:ascii="Calibri" w:eastAsia="Calibri" w:hAnsi="Calibri" w:cs="Arial"/>
          <w:sz w:val="18"/>
          <w:szCs w:val="18"/>
          <w:rtl/>
        </w:rPr>
        <w:t>, או שיש לו במה לפרוע, אבל אם היה חייב לו ואין לו במה לפרוע</w:t>
      </w:r>
      <w:r w:rsidRPr="001D49D4">
        <w:rPr>
          <w:rFonts w:ascii="Calibri" w:eastAsia="Calibri" w:hAnsi="Calibri" w:cs="Arial"/>
          <w:sz w:val="18"/>
          <w:szCs w:val="18"/>
          <w:vertAlign w:val="superscript"/>
          <w:rtl/>
        </w:rPr>
        <w:footnoteReference w:id="5161"/>
      </w:r>
      <w:r w:rsidRPr="001D49D4">
        <w:rPr>
          <w:rFonts w:ascii="Calibri" w:eastAsia="Calibri" w:hAnsi="Calibri" w:cs="Arial"/>
          <w:sz w:val="18"/>
          <w:szCs w:val="18"/>
          <w:rtl/>
        </w:rPr>
        <w:t>, שמעכשיו הלוה משועבד ללוקח, כמו שיתבאר לקמן סימן פ"ו, אינו יכול למחול</w:t>
      </w:r>
      <w:r w:rsidRPr="001D49D4">
        <w:rPr>
          <w:rFonts w:ascii="Calibri" w:eastAsia="Calibri" w:hAnsi="Calibri" w:cs="Arial"/>
          <w:sz w:val="18"/>
          <w:szCs w:val="18"/>
          <w:vertAlign w:val="superscript"/>
          <w:rtl/>
        </w:rPr>
        <w:footnoteReference w:id="5162"/>
      </w:r>
      <w:r w:rsidRPr="001D49D4">
        <w:rPr>
          <w:rFonts w:ascii="Calibri" w:eastAsia="Calibri" w:hAnsi="Calibri" w:cs="Arial"/>
          <w:sz w:val="18"/>
          <w:szCs w:val="18"/>
          <w:rtl/>
        </w:rPr>
        <w:t xml:space="preserve"> (מרדכי). ויש חולקין (תוס' ורמב"ן). ואם הקנה לו החוב עצמו</w:t>
      </w:r>
      <w:r w:rsidRPr="001D49D4">
        <w:rPr>
          <w:rFonts w:ascii="Calibri" w:eastAsia="Calibri" w:hAnsi="Calibri" w:cs="Arial"/>
          <w:sz w:val="18"/>
          <w:szCs w:val="18"/>
          <w:vertAlign w:val="superscript"/>
          <w:rtl/>
        </w:rPr>
        <w:footnoteReference w:id="5163"/>
      </w:r>
      <w:r w:rsidRPr="001D49D4">
        <w:rPr>
          <w:rFonts w:ascii="Calibri" w:eastAsia="Calibri" w:hAnsi="Calibri" w:cs="Arial"/>
          <w:sz w:val="18"/>
          <w:szCs w:val="18"/>
          <w:rtl/>
        </w:rPr>
        <w:t xml:space="preserve"> אגב קרקע, יש אומרים דאינו יכול למחול</w:t>
      </w:r>
      <w:r w:rsidRPr="001D49D4">
        <w:rPr>
          <w:rFonts w:ascii="Calibri" w:eastAsia="Calibri" w:hAnsi="Calibri" w:cs="Arial"/>
          <w:sz w:val="18"/>
          <w:szCs w:val="18"/>
          <w:vertAlign w:val="superscript"/>
          <w:rtl/>
        </w:rPr>
        <w:footnoteReference w:id="5164"/>
      </w:r>
      <w:r w:rsidRPr="001D49D4">
        <w:rPr>
          <w:rFonts w:ascii="Calibri" w:eastAsia="Calibri" w:hAnsi="Calibri" w:cs="Arial"/>
          <w:sz w:val="18"/>
          <w:szCs w:val="18"/>
          <w:rtl/>
        </w:rPr>
        <w:t>, וי"א דיכול למחול (מרדכי פ' הכותב שתי הדעות). וי"א דאין כאן קנין כלל, דאינו נקנה באגב</w:t>
      </w:r>
      <w:r w:rsidRPr="001D49D4">
        <w:rPr>
          <w:rFonts w:ascii="Calibri" w:eastAsia="Calibri" w:hAnsi="Calibri" w:cs="Arial"/>
          <w:sz w:val="18"/>
          <w:szCs w:val="18"/>
          <w:vertAlign w:val="superscript"/>
          <w:rtl/>
        </w:rPr>
        <w:footnoteReference w:id="5165"/>
      </w:r>
      <w:r w:rsidRPr="001D49D4">
        <w:rPr>
          <w:rFonts w:ascii="Calibri" w:eastAsia="Calibri" w:hAnsi="Calibri" w:cs="Arial"/>
          <w:sz w:val="18"/>
          <w:szCs w:val="18"/>
          <w:rtl/>
        </w:rPr>
        <w:t xml:space="preserve"> ולא בחליפין (ב"י לדעת הרמב"ם) וע"ל סימן ר"ג סעיף ט'.</w:t>
      </w:r>
      <w:r w:rsidRPr="001D49D4">
        <w:rPr>
          <w:rFonts w:ascii="Calibri" w:eastAsia="Calibri" w:hAnsi="Calibri" w:cs="Arial"/>
          <w:rtl/>
        </w:rPr>
        <w:t xml:space="preserve"> </w:t>
      </w:r>
    </w:p>
    <w:p w14:paraId="661C1A61" w14:textId="77777777" w:rsidR="001D49D4" w:rsidRPr="001D49D4" w:rsidRDefault="001D49D4" w:rsidP="0004348D">
      <w:pPr>
        <w:spacing w:before="360" w:after="240"/>
        <w:rPr>
          <w:rFonts w:ascii="Calibri" w:eastAsia="Calibri" w:hAnsi="Calibri" w:cs="Arial"/>
          <w:rtl/>
        </w:rPr>
      </w:pPr>
    </w:p>
    <w:p w14:paraId="5F2CDEF7" w14:textId="77777777" w:rsidR="001D49D4" w:rsidRPr="001D49D4" w:rsidRDefault="001D49D4" w:rsidP="0004348D">
      <w:pPr>
        <w:keepNext/>
        <w:keepLines/>
        <w:spacing w:before="360" w:after="240"/>
        <w:outlineLvl w:val="1"/>
        <w:rPr>
          <w:rFonts w:ascii="Cambria" w:eastAsia="Times New Roman" w:hAnsi="Cambria" w:cs="Arial"/>
          <w:bCs/>
          <w:color w:val="548DD4" w:themeColor="text2" w:themeTint="99"/>
          <w:sz w:val="26"/>
          <w:szCs w:val="26"/>
          <w:rtl/>
        </w:rPr>
      </w:pPr>
      <w:bookmarkStart w:id="702" w:name="_Toc24884121"/>
      <w:r w:rsidRPr="001D49D4">
        <w:rPr>
          <w:rFonts w:ascii="Cambria" w:eastAsia="Times New Roman" w:hAnsi="Cambria" w:cs="Arial"/>
          <w:bCs/>
          <w:color w:val="548DD4" w:themeColor="text2" w:themeTint="99"/>
          <w:sz w:val="26"/>
          <w:szCs w:val="26"/>
          <w:rtl/>
        </w:rPr>
        <w:t>סעיף כז: שכיב מרע שנתן שטר – האם היורש יכול למחול.</w:t>
      </w:r>
      <w:bookmarkEnd w:id="702"/>
    </w:p>
    <w:p w14:paraId="5772A0DE" w14:textId="77777777" w:rsidR="001D49D4" w:rsidRPr="001D49D4" w:rsidRDefault="001D49D4" w:rsidP="0004348D">
      <w:pPr>
        <w:spacing w:before="360" w:after="240"/>
        <w:rPr>
          <w:rFonts w:ascii="Calibri" w:eastAsia="Calibri" w:hAnsi="Calibri" w:cs="Arial"/>
          <w:rtl/>
        </w:rPr>
      </w:pPr>
      <w:bookmarkStart w:id="703" w:name="_Hlk16521794"/>
      <w:r w:rsidRPr="001D49D4">
        <w:rPr>
          <w:rFonts w:ascii="Calibri" w:eastAsia="Calibri" w:hAnsi="Calibri" w:cs="Arial"/>
          <w:b/>
          <w:bCs/>
          <w:rtl/>
        </w:rPr>
        <w:t xml:space="preserve">בבא בתרא </w:t>
      </w:r>
      <w:r w:rsidRPr="001D49D4">
        <w:rPr>
          <w:rFonts w:ascii="Calibri" w:eastAsia="Calibri" w:hAnsi="Calibri" w:cs="Arial"/>
          <w:b/>
          <w:bCs/>
          <w:sz w:val="16"/>
          <w:szCs w:val="16"/>
          <w:rtl/>
        </w:rPr>
        <w:t>(פרק מי שמת)</w:t>
      </w:r>
      <w:r w:rsidRPr="001D49D4">
        <w:rPr>
          <w:rFonts w:ascii="Calibri" w:eastAsia="Calibri" w:hAnsi="Calibri" w:cs="Arial"/>
          <w:b/>
          <w:bCs/>
          <w:rtl/>
        </w:rPr>
        <w:t xml:space="preserve"> קמז</w:t>
      </w:r>
      <w:r w:rsidRPr="001D49D4">
        <w:rPr>
          <w:rFonts w:ascii="Calibri" w:eastAsia="Calibri" w:hAnsi="Calibri" w:cs="Arial"/>
          <w:b/>
          <w:bCs/>
          <w:vertAlign w:val="superscript"/>
          <w:rtl/>
        </w:rPr>
        <w:footnoteReference w:id="5166"/>
      </w:r>
      <w:r w:rsidRPr="001D49D4">
        <w:rPr>
          <w:rFonts w:ascii="Calibri" w:eastAsia="Calibri" w:hAnsi="Calibri" w:cs="Arial"/>
          <w:b/>
          <w:bCs/>
          <w:rtl/>
        </w:rPr>
        <w:t xml:space="preserve"> ע"ב:</w:t>
      </w:r>
      <w:r w:rsidRPr="001D49D4">
        <w:rPr>
          <w:rFonts w:ascii="Calibri" w:eastAsia="Calibri" w:hAnsi="Calibri" w:cs="Arial"/>
          <w:rtl/>
        </w:rPr>
        <w:t xml:space="preserve"> </w:t>
      </w:r>
      <w:r w:rsidRPr="001D49D4">
        <w:rPr>
          <w:rFonts w:ascii="Calibri" w:eastAsia="Calibri" w:hAnsi="Calibri" w:cs="Arial"/>
          <w:u w:val="single"/>
          <w:rtl/>
        </w:rPr>
        <w:t>אמר רב נחמן</w:t>
      </w:r>
      <w:r w:rsidRPr="001D49D4">
        <w:rPr>
          <w:rFonts w:ascii="Calibri" w:eastAsia="Calibri" w:hAnsi="Calibri" w:cs="Arial"/>
          <w:rtl/>
        </w:rPr>
        <w:t xml:space="preserve">: אף על גב דאמר שמואל: המוכר שטר חוב לחבירו וחזר ומחלו - מחול, ואפילו יורש מוחל. מודה שמואל, שאם נתנו במתנת שכיב מרע דאינו יכול למוחלו. </w:t>
      </w:r>
      <w:bookmarkEnd w:id="703"/>
      <w:r w:rsidRPr="001D49D4">
        <w:rPr>
          <w:rFonts w:ascii="Calibri" w:eastAsia="Calibri" w:hAnsi="Calibri" w:cs="Arial"/>
          <w:sz w:val="16"/>
          <w:szCs w:val="16"/>
          <w:rtl/>
        </w:rPr>
        <w:t>(וכתב בעל התרומות (שער נא ח"ו סי' א) פירוש היורש אבל השכיב מרע עצמו בודאי יכול למחול, וכ"כ הרי"ף (סט.), ויהבי בגמרא טעמא משום דאלמוה רבנן למתנת שכיב מרע כדי שלא תטרף דעתו עליו, ב"י)</w:t>
      </w:r>
    </w:p>
    <w:p w14:paraId="63923725"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u w:val="single"/>
          <w:rtl/>
        </w:rPr>
        <w:t>שכיב מרע שנתן שטר – האם היורש יכול למחול:</w:t>
      </w:r>
      <w:r w:rsidRPr="001D49D4">
        <w:rPr>
          <w:rFonts w:ascii="Calibri" w:eastAsia="Calibri" w:hAnsi="Calibri" w:cs="Arial"/>
          <w:rtl/>
        </w:rPr>
        <w:t xml:space="preserve"> </w:t>
      </w:r>
    </w:p>
    <w:p w14:paraId="7B5A5FC1" w14:textId="77777777" w:rsidR="001D49D4" w:rsidRPr="001D49D4" w:rsidRDefault="001D49D4" w:rsidP="0004348D">
      <w:pPr>
        <w:numPr>
          <w:ilvl w:val="0"/>
          <w:numId w:val="336"/>
        </w:numPr>
        <w:spacing w:before="360" w:after="240"/>
        <w:contextualSpacing/>
        <w:rPr>
          <w:rFonts w:ascii="Calibri" w:eastAsia="Calibri" w:hAnsi="Calibri" w:cs="Arial"/>
          <w:rtl/>
        </w:rPr>
      </w:pPr>
      <w:r w:rsidRPr="001D49D4">
        <w:rPr>
          <w:rFonts w:ascii="Calibri" w:eastAsia="Calibri" w:hAnsi="Calibri" w:cs="Arial"/>
          <w:rtl/>
        </w:rPr>
        <w:t>טור- נתנו במתנת שכיב מרע ומת - אין היורש יכול למחול.</w:t>
      </w:r>
      <w:r w:rsidRPr="001D49D4">
        <w:rPr>
          <w:rFonts w:ascii="Calibri" w:eastAsia="Calibri" w:hAnsi="Calibri" w:cs="Arial"/>
          <w:color w:val="E36C0A" w:themeColor="accent6" w:themeShade="BF"/>
          <w:rtl/>
        </w:rPr>
        <w:t xml:space="preserve"> (וכ"פ בשו"ע)</w:t>
      </w:r>
    </w:p>
    <w:p w14:paraId="55185CBB" w14:textId="77777777" w:rsidR="001D49D4" w:rsidRPr="001D49D4" w:rsidRDefault="001D49D4" w:rsidP="0004348D">
      <w:pPr>
        <w:spacing w:before="360" w:after="240"/>
        <w:rPr>
          <w:rFonts w:ascii="Arial" w:eastAsia="Calibri" w:hAnsi="Arial" w:cs="Arial"/>
          <w:b/>
          <w:bCs/>
          <w:color w:val="000000"/>
          <w:sz w:val="28"/>
          <w:szCs w:val="28"/>
          <w:u w:val="single"/>
          <w:rtl/>
        </w:rPr>
      </w:pPr>
      <w:r w:rsidRPr="001D49D4">
        <w:rPr>
          <w:rFonts w:ascii="Arial" w:eastAsia="Calibri" w:hAnsi="Arial" w:cs="Arial"/>
          <w:b/>
          <w:bCs/>
          <w:color w:val="000000"/>
          <w:sz w:val="28"/>
          <w:szCs w:val="28"/>
          <w:u w:val="single"/>
          <w:rtl/>
        </w:rPr>
        <w:t>שו"ע:</w:t>
      </w:r>
    </w:p>
    <w:p w14:paraId="22AA683F"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rtl/>
        </w:rPr>
        <w:t xml:space="preserve">נתנו במתנת שכיב מרע, ומת, אין היורש יכול למחול. </w:t>
      </w:r>
    </w:p>
    <w:p w14:paraId="7E6E0B74" w14:textId="77777777" w:rsidR="001D49D4" w:rsidRPr="001D49D4" w:rsidRDefault="001D49D4" w:rsidP="0004348D">
      <w:pPr>
        <w:spacing w:before="360" w:after="240"/>
        <w:rPr>
          <w:rFonts w:ascii="Calibri" w:eastAsia="Calibri" w:hAnsi="Calibri" w:cs="Arial"/>
          <w:rtl/>
        </w:rPr>
      </w:pPr>
    </w:p>
    <w:p w14:paraId="5EBA67C9" w14:textId="77777777" w:rsidR="001D49D4" w:rsidRPr="001D49D4" w:rsidRDefault="001D49D4" w:rsidP="0004348D">
      <w:pPr>
        <w:keepNext/>
        <w:keepLines/>
        <w:spacing w:before="360" w:after="240"/>
        <w:outlineLvl w:val="1"/>
        <w:rPr>
          <w:rFonts w:ascii="Cambria" w:eastAsia="Times New Roman" w:hAnsi="Cambria" w:cs="Arial"/>
          <w:bCs/>
          <w:color w:val="548DD4" w:themeColor="text2" w:themeTint="99"/>
          <w:sz w:val="26"/>
          <w:szCs w:val="26"/>
          <w:rtl/>
        </w:rPr>
      </w:pPr>
      <w:bookmarkStart w:id="704" w:name="_Toc24884122"/>
      <w:r w:rsidRPr="001D49D4">
        <w:rPr>
          <w:rFonts w:ascii="Cambria" w:eastAsia="Times New Roman" w:hAnsi="Cambria" w:cs="Arial"/>
          <w:bCs/>
          <w:color w:val="548DD4" w:themeColor="text2" w:themeTint="99"/>
          <w:sz w:val="26"/>
          <w:szCs w:val="26"/>
          <w:rtl/>
        </w:rPr>
        <w:t>סעיף כח: המכנסת לבעלה שטר חוב – האם יכולה למחול.</w:t>
      </w:r>
      <w:bookmarkEnd w:id="704"/>
    </w:p>
    <w:p w14:paraId="302C7398"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rtl/>
        </w:rPr>
        <w:t>עיין במקורות בסעיף יב.</w:t>
      </w:r>
    </w:p>
    <w:p w14:paraId="345B6570" w14:textId="77777777" w:rsidR="001D49D4" w:rsidRPr="001D49D4" w:rsidRDefault="001D49D4" w:rsidP="0004348D">
      <w:pPr>
        <w:spacing w:before="360" w:after="240"/>
        <w:rPr>
          <w:rFonts w:ascii="Arial" w:eastAsia="Calibri" w:hAnsi="Arial" w:cs="Arial"/>
          <w:b/>
          <w:bCs/>
          <w:color w:val="000000"/>
          <w:sz w:val="28"/>
          <w:szCs w:val="28"/>
          <w:u w:val="single"/>
          <w:rtl/>
        </w:rPr>
      </w:pPr>
      <w:r w:rsidRPr="001D49D4">
        <w:rPr>
          <w:rFonts w:ascii="Arial" w:eastAsia="Calibri" w:hAnsi="Arial" w:cs="Arial"/>
          <w:b/>
          <w:bCs/>
          <w:color w:val="000000"/>
          <w:sz w:val="28"/>
          <w:szCs w:val="28"/>
          <w:u w:val="single"/>
          <w:rtl/>
        </w:rPr>
        <w:t>שו"ע:</w:t>
      </w:r>
    </w:p>
    <w:p w14:paraId="314F3DA6"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rtl/>
        </w:rPr>
        <w:t>מכנסת לבעלה שטר חוב או מלוה על פה, או שלוו ממנה אחרים אחר נשואיה, אינה יכולה למחול, דאין קנין לאשה בלא בעלה, ואפילו היו נכסי מלוג</w:t>
      </w:r>
      <w:r w:rsidRPr="001D49D4">
        <w:rPr>
          <w:rFonts w:ascii="Calibri" w:eastAsia="Calibri" w:hAnsi="Calibri" w:cs="Arial"/>
          <w:vertAlign w:val="superscript"/>
          <w:rtl/>
        </w:rPr>
        <w:footnoteReference w:id="5167"/>
      </w:r>
      <w:r w:rsidRPr="001D49D4">
        <w:rPr>
          <w:rFonts w:ascii="Calibri" w:eastAsia="Calibri" w:hAnsi="Calibri" w:cs="Arial"/>
          <w:rtl/>
        </w:rPr>
        <w:t xml:space="preserve">. </w:t>
      </w:r>
    </w:p>
    <w:p w14:paraId="47FCD97A" w14:textId="77777777" w:rsidR="001D49D4" w:rsidRPr="001D49D4" w:rsidRDefault="001D49D4" w:rsidP="0004348D">
      <w:pPr>
        <w:spacing w:before="360" w:after="240"/>
        <w:rPr>
          <w:rFonts w:ascii="Calibri" w:eastAsia="Calibri" w:hAnsi="Calibri" w:cs="Arial"/>
          <w:rtl/>
        </w:rPr>
      </w:pPr>
    </w:p>
    <w:p w14:paraId="4A3004CC" w14:textId="77777777" w:rsidR="001D49D4" w:rsidRPr="001D49D4" w:rsidRDefault="001D49D4" w:rsidP="0004348D">
      <w:pPr>
        <w:keepNext/>
        <w:keepLines/>
        <w:spacing w:before="360" w:after="240"/>
        <w:outlineLvl w:val="1"/>
        <w:rPr>
          <w:rFonts w:ascii="Cambria" w:eastAsia="Times New Roman" w:hAnsi="Cambria" w:cs="Arial"/>
          <w:bCs/>
          <w:color w:val="548DD4" w:themeColor="text2" w:themeTint="99"/>
          <w:sz w:val="26"/>
          <w:szCs w:val="26"/>
          <w:rtl/>
        </w:rPr>
      </w:pPr>
      <w:bookmarkStart w:id="705" w:name="_Toc24884123"/>
      <w:r w:rsidRPr="001D49D4">
        <w:rPr>
          <w:rFonts w:ascii="Cambria" w:eastAsia="Times New Roman" w:hAnsi="Cambria" w:cs="Arial"/>
          <w:bCs/>
          <w:color w:val="548DD4" w:themeColor="text2" w:themeTint="99"/>
          <w:sz w:val="26"/>
          <w:szCs w:val="26"/>
          <w:rtl/>
        </w:rPr>
        <w:t>סעיף כט: שטר שנמכר או ניתן במעמד שלשתם.</w:t>
      </w:r>
      <w:bookmarkEnd w:id="705"/>
    </w:p>
    <w:p w14:paraId="2F34DA08" w14:textId="77777777" w:rsidR="001D49D4" w:rsidRPr="001D49D4" w:rsidRDefault="001D49D4" w:rsidP="0004348D">
      <w:pPr>
        <w:spacing w:before="360" w:after="240"/>
        <w:rPr>
          <w:rFonts w:ascii="Calibri" w:eastAsia="Calibri" w:hAnsi="Calibri" w:cs="Arial"/>
          <w:u w:val="single"/>
          <w:rtl/>
        </w:rPr>
      </w:pPr>
      <w:bookmarkStart w:id="706" w:name="_Hlk16522353"/>
      <w:r w:rsidRPr="001D49D4">
        <w:rPr>
          <w:rFonts w:ascii="Calibri" w:eastAsia="Calibri" w:hAnsi="Calibri" w:cs="Arial"/>
          <w:u w:val="single"/>
          <w:rtl/>
        </w:rPr>
        <w:t>שטר שנמכר או ניתן במעמד שלשתם – האם יכול למחול:</w:t>
      </w:r>
    </w:p>
    <w:p w14:paraId="199D292B" w14:textId="77777777" w:rsidR="001D49D4" w:rsidRPr="001D49D4" w:rsidRDefault="001D49D4" w:rsidP="0004348D">
      <w:pPr>
        <w:numPr>
          <w:ilvl w:val="0"/>
          <w:numId w:val="328"/>
        </w:numPr>
        <w:spacing w:before="360" w:after="240"/>
        <w:contextualSpacing/>
        <w:rPr>
          <w:rFonts w:ascii="Calibri" w:eastAsia="Calibri" w:hAnsi="Calibri" w:cs="Arial"/>
          <w:rtl/>
        </w:rPr>
      </w:pPr>
      <w:r w:rsidRPr="001D49D4">
        <w:rPr>
          <w:rFonts w:ascii="Calibri" w:eastAsia="Calibri" w:hAnsi="Calibri" w:cs="Arial"/>
          <w:rtl/>
        </w:rPr>
        <w:t>ר"ת בעל התרומות רא"ש טור ור"ן</w:t>
      </w:r>
      <w:r w:rsidRPr="001D49D4">
        <w:rPr>
          <w:rFonts w:ascii="Calibri" w:eastAsia="Calibri" w:hAnsi="Calibri" w:cs="Arial"/>
          <w:vertAlign w:val="superscript"/>
          <w:rtl/>
        </w:rPr>
        <w:footnoteReference w:id="5168"/>
      </w:r>
      <w:r w:rsidRPr="001D49D4">
        <w:rPr>
          <w:rFonts w:ascii="Calibri" w:eastAsia="Calibri" w:hAnsi="Calibri" w:cs="Arial"/>
          <w:rtl/>
        </w:rPr>
        <w:t>- הנותן שטר חוב או מכרו במעמד שלשתן - אינו יכול למחול.</w:t>
      </w:r>
      <w:r w:rsidRPr="001D49D4">
        <w:rPr>
          <w:rFonts w:ascii="Calibri" w:eastAsia="Calibri" w:hAnsi="Calibri" w:cs="Arial"/>
          <w:color w:val="E36C0A" w:themeColor="accent6" w:themeShade="BF"/>
          <w:rtl/>
        </w:rPr>
        <w:t xml:space="preserve"> (וכ"פ בשו"ע)</w:t>
      </w:r>
    </w:p>
    <w:p w14:paraId="3D411C4E" w14:textId="77777777" w:rsidR="001D49D4" w:rsidRPr="001D49D4" w:rsidRDefault="001D49D4" w:rsidP="0004348D">
      <w:pPr>
        <w:numPr>
          <w:ilvl w:val="0"/>
          <w:numId w:val="328"/>
        </w:numPr>
        <w:spacing w:before="360" w:after="240"/>
        <w:contextualSpacing/>
        <w:rPr>
          <w:rFonts w:ascii="Calibri" w:eastAsia="Calibri" w:hAnsi="Calibri" w:cs="Arial"/>
        </w:rPr>
      </w:pPr>
      <w:r w:rsidRPr="001D49D4">
        <w:rPr>
          <w:rFonts w:ascii="Calibri" w:eastAsia="Calibri" w:hAnsi="Calibri" w:cs="Arial"/>
          <w:rtl/>
        </w:rPr>
        <w:t xml:space="preserve">רמב"ן </w:t>
      </w:r>
      <w:r w:rsidRPr="001D49D4">
        <w:rPr>
          <w:rFonts w:ascii="Calibri" w:eastAsia="Calibri" w:hAnsi="Calibri" w:cs="Arial"/>
          <w:sz w:val="16"/>
          <w:szCs w:val="16"/>
          <w:rtl/>
        </w:rPr>
        <w:t>(ב"ב קמד. ד"ה ואני אומר)</w:t>
      </w:r>
      <w:r w:rsidRPr="001D49D4">
        <w:rPr>
          <w:rFonts w:ascii="Calibri" w:eastAsia="Calibri" w:hAnsi="Calibri" w:cs="Arial"/>
          <w:rtl/>
        </w:rPr>
        <w:t>- יכול למחול</w:t>
      </w:r>
      <w:r w:rsidRPr="001D49D4">
        <w:rPr>
          <w:rFonts w:ascii="Calibri" w:eastAsia="Calibri" w:hAnsi="Calibri" w:cs="Arial"/>
          <w:vertAlign w:val="superscript"/>
          <w:rtl/>
        </w:rPr>
        <w:footnoteReference w:id="5169"/>
      </w:r>
      <w:r w:rsidRPr="001D49D4">
        <w:rPr>
          <w:rFonts w:ascii="Calibri" w:eastAsia="Calibri" w:hAnsi="Calibri" w:cs="Arial"/>
          <w:rtl/>
        </w:rPr>
        <w:t>.</w:t>
      </w:r>
    </w:p>
    <w:bookmarkEnd w:id="706"/>
    <w:p w14:paraId="05E7B355" w14:textId="77777777" w:rsidR="001D49D4" w:rsidRPr="001D49D4" w:rsidRDefault="001D49D4" w:rsidP="0004348D">
      <w:pPr>
        <w:spacing w:before="360" w:after="240"/>
        <w:rPr>
          <w:rFonts w:ascii="Arial" w:eastAsia="Calibri" w:hAnsi="Arial" w:cs="Arial"/>
          <w:b/>
          <w:bCs/>
          <w:color w:val="000000"/>
          <w:sz w:val="28"/>
          <w:szCs w:val="28"/>
          <w:u w:val="single"/>
          <w:rtl/>
        </w:rPr>
      </w:pPr>
      <w:r w:rsidRPr="001D49D4">
        <w:rPr>
          <w:rFonts w:ascii="Arial" w:eastAsia="Calibri" w:hAnsi="Arial" w:cs="Arial"/>
          <w:b/>
          <w:bCs/>
          <w:color w:val="000000"/>
          <w:sz w:val="28"/>
          <w:szCs w:val="28"/>
          <w:u w:val="single"/>
          <w:rtl/>
        </w:rPr>
        <w:t>שו"ע:</w:t>
      </w:r>
    </w:p>
    <w:p w14:paraId="24D772F0"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rtl/>
        </w:rPr>
        <w:t>הנותן שטר חוב לחבירו או מכרו, במעמד שלשתן</w:t>
      </w:r>
      <w:r w:rsidRPr="001D49D4">
        <w:rPr>
          <w:rFonts w:ascii="Calibri" w:eastAsia="Calibri" w:hAnsi="Calibri" w:cs="Arial"/>
          <w:vertAlign w:val="superscript"/>
          <w:rtl/>
        </w:rPr>
        <w:footnoteReference w:id="5170"/>
      </w:r>
      <w:r w:rsidRPr="001D49D4">
        <w:rPr>
          <w:rFonts w:ascii="Calibri" w:eastAsia="Calibri" w:hAnsi="Calibri" w:cs="Arial"/>
          <w:rtl/>
        </w:rPr>
        <w:t xml:space="preserve">, אינו יכול למחול. </w:t>
      </w:r>
    </w:p>
    <w:p w14:paraId="7861175C" w14:textId="77777777" w:rsidR="001D49D4" w:rsidRPr="001D49D4" w:rsidRDefault="001D49D4" w:rsidP="0004348D">
      <w:pPr>
        <w:spacing w:before="360" w:after="240"/>
        <w:rPr>
          <w:rFonts w:ascii="Calibri" w:eastAsia="Calibri" w:hAnsi="Calibri" w:cs="Arial"/>
          <w:rtl/>
        </w:rPr>
      </w:pPr>
    </w:p>
    <w:p w14:paraId="3FCA0AC6" w14:textId="77777777" w:rsidR="001D49D4" w:rsidRPr="001D49D4" w:rsidRDefault="001D49D4" w:rsidP="0004348D">
      <w:pPr>
        <w:keepNext/>
        <w:keepLines/>
        <w:spacing w:before="360" w:after="240"/>
        <w:outlineLvl w:val="1"/>
        <w:rPr>
          <w:rFonts w:ascii="Cambria" w:eastAsia="Times New Roman" w:hAnsi="Cambria" w:cs="Arial"/>
          <w:bCs/>
          <w:color w:val="548DD4" w:themeColor="text2" w:themeTint="99"/>
          <w:sz w:val="26"/>
          <w:szCs w:val="26"/>
          <w:rtl/>
        </w:rPr>
      </w:pPr>
      <w:bookmarkStart w:id="707" w:name="_Toc24884124"/>
      <w:r w:rsidRPr="001D49D4">
        <w:rPr>
          <w:rFonts w:ascii="Cambria" w:eastAsia="Times New Roman" w:hAnsi="Cambria" w:cs="Arial"/>
          <w:bCs/>
          <w:color w:val="548DD4" w:themeColor="text2" w:themeTint="99"/>
          <w:sz w:val="26"/>
          <w:szCs w:val="26"/>
          <w:rtl/>
        </w:rPr>
        <w:t>סעיף ל: המוכר שט"ח והיה בידו משכון ומסרו ללוקח. המוכר שטר משכונת קרקע לחבירו.</w:t>
      </w:r>
      <w:bookmarkEnd w:id="707"/>
    </w:p>
    <w:p w14:paraId="450C2C90" w14:textId="77777777" w:rsidR="001D49D4" w:rsidRPr="001D49D4" w:rsidRDefault="001D49D4" w:rsidP="0004348D">
      <w:pPr>
        <w:spacing w:before="360" w:after="240"/>
        <w:rPr>
          <w:rFonts w:ascii="Calibri" w:eastAsia="Calibri" w:hAnsi="Calibri" w:cs="Arial"/>
          <w:u w:val="single"/>
          <w:rtl/>
        </w:rPr>
      </w:pPr>
      <w:bookmarkStart w:id="708" w:name="_Hlk16523135"/>
      <w:r w:rsidRPr="001D49D4">
        <w:rPr>
          <w:rFonts w:ascii="Calibri" w:eastAsia="Calibri" w:hAnsi="Calibri" w:cs="Arial"/>
          <w:u w:val="single"/>
          <w:rtl/>
        </w:rPr>
        <w:t>המוכר שט"ח לחבירו ויש משכון בידו ומסרו ליד הלוקח – האם יכול המוכר למחול:</w:t>
      </w:r>
    </w:p>
    <w:p w14:paraId="7F1679F5" w14:textId="77777777" w:rsidR="001D49D4" w:rsidRPr="001D49D4" w:rsidRDefault="001D49D4" w:rsidP="0004348D">
      <w:pPr>
        <w:numPr>
          <w:ilvl w:val="0"/>
          <w:numId w:val="337"/>
        </w:numPr>
        <w:spacing w:before="360" w:after="240"/>
        <w:contextualSpacing/>
        <w:rPr>
          <w:rFonts w:ascii="Calibri" w:eastAsia="Calibri" w:hAnsi="Calibri" w:cs="Arial"/>
          <w:rtl/>
        </w:rPr>
      </w:pPr>
      <w:r w:rsidRPr="001D49D4">
        <w:rPr>
          <w:rFonts w:ascii="Calibri" w:eastAsia="Calibri" w:hAnsi="Calibri" w:cs="Arial"/>
          <w:rtl/>
        </w:rPr>
        <w:t xml:space="preserve">בעל התרומות </w:t>
      </w:r>
      <w:r w:rsidRPr="001D49D4">
        <w:rPr>
          <w:rFonts w:ascii="Calibri" w:eastAsia="Calibri" w:hAnsi="Calibri" w:cs="Arial"/>
          <w:sz w:val="16"/>
          <w:szCs w:val="16"/>
          <w:rtl/>
        </w:rPr>
        <w:t>(שער נא שם סי' ג)</w:t>
      </w:r>
      <w:r w:rsidRPr="001D49D4">
        <w:rPr>
          <w:rFonts w:ascii="Calibri" w:eastAsia="Calibri" w:hAnsi="Calibri" w:cs="Arial"/>
          <w:rtl/>
        </w:rPr>
        <w:t xml:space="preserve">- נשאל הראב"ד ז"ל המוכר שט"ח לחברו, ויש משכון ביד המלוה ומסרו ביד הלוקח, אם יכול המוכר שהוא המלוה למוחלו ללוקח אם לאו. והשיב שאינו יכול למחול, מאחר שהמשכון מוחזק ביד הלוקח. והביא ראיה ממה שכתב הרי"ף בכתובות </w:t>
      </w:r>
      <w:r w:rsidRPr="001D49D4">
        <w:rPr>
          <w:rFonts w:ascii="Calibri" w:eastAsia="Calibri" w:hAnsi="Calibri" w:cs="Arial"/>
          <w:sz w:val="16"/>
          <w:szCs w:val="16"/>
          <w:rtl/>
        </w:rPr>
        <w:t xml:space="preserve">(מד:) </w:t>
      </w:r>
      <w:r w:rsidRPr="001D49D4">
        <w:rPr>
          <w:rFonts w:ascii="Calibri" w:eastAsia="Calibri" w:hAnsi="Calibri" w:cs="Arial"/>
          <w:rtl/>
        </w:rPr>
        <w:t xml:space="preserve">משום דמתנת שכ"מ עשאוה כמתנה דאורייתא דכמאן דמטיא ליד מקבל דמי, ולפיכך אין היורש מוחלה. ומדקאמר כמאן דמטיא לידיה דמקבל דמי ש"מ אם יש משכון ביד המלוה ומסרו ללוקח שאינו יכול למוחלו ללוה. </w:t>
      </w:r>
      <w:r w:rsidRPr="001D49D4">
        <w:rPr>
          <w:rFonts w:ascii="Calibri" w:eastAsia="Calibri" w:hAnsi="Calibri" w:cs="Arial"/>
          <w:color w:val="E36C0A" w:themeColor="accent6" w:themeShade="BF"/>
          <w:rtl/>
        </w:rPr>
        <w:t>(וכ"פ בשו"ע)</w:t>
      </w:r>
    </w:p>
    <w:p w14:paraId="1C51B08E" w14:textId="77777777" w:rsidR="001D49D4" w:rsidRPr="001D49D4" w:rsidRDefault="001D49D4" w:rsidP="0004348D">
      <w:pPr>
        <w:spacing w:before="360" w:after="240"/>
        <w:rPr>
          <w:rFonts w:ascii="Calibri" w:eastAsia="Calibri" w:hAnsi="Calibri" w:cs="Arial"/>
          <w:u w:val="dotted"/>
        </w:rPr>
      </w:pPr>
      <w:r w:rsidRPr="001D49D4">
        <w:rPr>
          <w:rFonts w:ascii="Calibri" w:eastAsia="Calibri" w:hAnsi="Calibri" w:cs="Arial"/>
          <w:u w:val="dotted"/>
          <w:rtl/>
        </w:rPr>
        <w:t>האם הדין כן אף במשכונת קרקע:</w:t>
      </w:r>
    </w:p>
    <w:p w14:paraId="04EEF781" w14:textId="77777777" w:rsidR="001D49D4" w:rsidRPr="001D49D4" w:rsidRDefault="001D49D4" w:rsidP="0004348D">
      <w:pPr>
        <w:numPr>
          <w:ilvl w:val="0"/>
          <w:numId w:val="337"/>
        </w:numPr>
        <w:spacing w:before="360" w:after="240"/>
        <w:contextualSpacing/>
        <w:rPr>
          <w:rFonts w:ascii="Calibri" w:eastAsia="Calibri" w:hAnsi="Calibri" w:cs="Arial"/>
          <w:rtl/>
        </w:rPr>
      </w:pPr>
      <w:r w:rsidRPr="001D49D4">
        <w:rPr>
          <w:rFonts w:ascii="Calibri" w:eastAsia="Calibri" w:hAnsi="Calibri" w:cs="Arial"/>
          <w:rtl/>
        </w:rPr>
        <w:t>י"א ה"ר יצחק בן מרן הלוי ורא"ש</w:t>
      </w:r>
      <w:r w:rsidRPr="001D49D4">
        <w:rPr>
          <w:rFonts w:ascii="Calibri" w:eastAsia="Calibri" w:hAnsi="Calibri" w:cs="Arial"/>
          <w:vertAlign w:val="superscript"/>
          <w:rtl/>
        </w:rPr>
        <w:footnoteReference w:id="5171"/>
      </w:r>
      <w:r w:rsidRPr="001D49D4">
        <w:rPr>
          <w:rFonts w:ascii="Calibri" w:eastAsia="Calibri" w:hAnsi="Calibri" w:cs="Arial"/>
          <w:rtl/>
        </w:rPr>
        <w:t>- המוכר שטר משכונת קרקע וכתב ומסר, וירד לוקח למשכונה והחזיק בה, הואיל והמשכונה מוחזקת ביד המלוה - אינה יכולה למחול, דשטרא לאו לגוביינא קאי אלא לזכרון דברים ולראיה בעלמא, וגוף המשכונה מכר והרי החזיק וכמאן דמטיא ממונא לידיה דאמי ולא מצי מחיל ליה</w:t>
      </w:r>
      <w:r w:rsidRPr="001D49D4">
        <w:rPr>
          <w:rFonts w:ascii="Calibri" w:eastAsia="Calibri" w:hAnsi="Calibri" w:cs="Arial"/>
          <w:vertAlign w:val="superscript"/>
          <w:rtl/>
        </w:rPr>
        <w:footnoteReference w:id="5172"/>
      </w:r>
      <w:r w:rsidRPr="001D49D4">
        <w:rPr>
          <w:rFonts w:ascii="Calibri" w:eastAsia="Calibri" w:hAnsi="Calibri" w:cs="Arial"/>
          <w:sz w:val="16"/>
          <w:szCs w:val="16"/>
          <w:rtl/>
        </w:rPr>
        <w:t xml:space="preserve"> (ל' בעל התרומות בשם י"א)</w:t>
      </w:r>
      <w:r w:rsidRPr="001D49D4">
        <w:rPr>
          <w:rFonts w:ascii="Calibri" w:eastAsia="Calibri" w:hAnsi="Calibri" w:cs="Arial"/>
          <w:vertAlign w:val="superscript"/>
          <w:rtl/>
        </w:rPr>
        <w:footnoteReference w:id="5173"/>
      </w:r>
      <w:r w:rsidRPr="001D49D4">
        <w:rPr>
          <w:rFonts w:ascii="Calibri" w:eastAsia="Calibri" w:hAnsi="Calibri" w:cs="Arial"/>
          <w:rtl/>
        </w:rPr>
        <w:t>.</w:t>
      </w:r>
      <w:r w:rsidRPr="001D49D4">
        <w:rPr>
          <w:rFonts w:ascii="Calibri" w:eastAsia="Calibri" w:hAnsi="Calibri" w:cs="Arial"/>
          <w:color w:val="E36C0A" w:themeColor="accent6" w:themeShade="BF"/>
          <w:rtl/>
        </w:rPr>
        <w:t xml:space="preserve"> (וכ"ס בשו"ע)</w:t>
      </w:r>
    </w:p>
    <w:p w14:paraId="5E99C104" w14:textId="77777777" w:rsidR="001D49D4" w:rsidRPr="001D49D4" w:rsidRDefault="001D49D4" w:rsidP="0004348D">
      <w:pPr>
        <w:numPr>
          <w:ilvl w:val="0"/>
          <w:numId w:val="337"/>
        </w:numPr>
        <w:spacing w:before="360" w:after="240"/>
        <w:contextualSpacing/>
        <w:rPr>
          <w:rFonts w:ascii="Calibri" w:eastAsia="Calibri" w:hAnsi="Calibri" w:cs="Arial"/>
        </w:rPr>
      </w:pPr>
      <w:r w:rsidRPr="001D49D4">
        <w:rPr>
          <w:rFonts w:ascii="Calibri" w:eastAsia="Calibri" w:hAnsi="Calibri" w:cs="Arial"/>
          <w:rtl/>
        </w:rPr>
        <w:t>ר"י מיגאש</w:t>
      </w:r>
      <w:r w:rsidRPr="001D49D4">
        <w:rPr>
          <w:rFonts w:ascii="Calibri" w:eastAsia="Calibri" w:hAnsi="Calibri" w:cs="Arial"/>
          <w:vertAlign w:val="superscript"/>
          <w:rtl/>
        </w:rPr>
        <w:footnoteReference w:id="5174"/>
      </w:r>
      <w:r w:rsidRPr="001D49D4">
        <w:rPr>
          <w:rFonts w:ascii="Calibri" w:eastAsia="Calibri" w:hAnsi="Calibri" w:cs="Arial"/>
          <w:rtl/>
        </w:rPr>
        <w:t xml:space="preserve"> </w:t>
      </w:r>
      <w:r w:rsidRPr="001D49D4">
        <w:rPr>
          <w:rFonts w:ascii="Calibri" w:eastAsia="Calibri" w:hAnsi="Calibri" w:cs="Arial"/>
          <w:sz w:val="16"/>
          <w:szCs w:val="16"/>
          <w:rtl/>
        </w:rPr>
        <w:t>(כ"כ הראב"ד בשמו [בתשו'], הביאו בעל התרומות [שער נא שם סי' ג])</w:t>
      </w:r>
      <w:r w:rsidRPr="001D49D4">
        <w:rPr>
          <w:rFonts w:ascii="Calibri" w:eastAsia="Calibri" w:hAnsi="Calibri" w:cs="Arial"/>
          <w:rtl/>
        </w:rPr>
        <w:t>- כיון דמצי לסלוקי בזוזי - כשאר מלוה דמי</w:t>
      </w:r>
      <w:r w:rsidRPr="001D49D4">
        <w:rPr>
          <w:rFonts w:ascii="Calibri" w:eastAsia="Calibri" w:hAnsi="Calibri" w:cs="Arial"/>
          <w:sz w:val="16"/>
          <w:szCs w:val="16"/>
          <w:rtl/>
        </w:rPr>
        <w:t xml:space="preserve"> {ויכול למחול}</w:t>
      </w:r>
      <w:r w:rsidRPr="001D49D4">
        <w:rPr>
          <w:rFonts w:ascii="Calibri" w:eastAsia="Calibri" w:hAnsi="Calibri" w:cs="Arial"/>
          <w:rtl/>
        </w:rPr>
        <w:t>, ולא גבי מיתמי בלא שבועה.</w:t>
      </w:r>
    </w:p>
    <w:bookmarkEnd w:id="708"/>
    <w:p w14:paraId="4B8E9649" w14:textId="77777777" w:rsidR="001D49D4" w:rsidRPr="001D49D4" w:rsidRDefault="001D49D4" w:rsidP="0004348D">
      <w:pPr>
        <w:spacing w:before="360" w:after="240"/>
        <w:rPr>
          <w:rFonts w:ascii="Arial" w:eastAsia="Calibri" w:hAnsi="Arial" w:cs="Arial"/>
          <w:b/>
          <w:bCs/>
          <w:color w:val="000000"/>
          <w:sz w:val="28"/>
          <w:szCs w:val="28"/>
          <w:u w:val="single"/>
        </w:rPr>
      </w:pPr>
      <w:r w:rsidRPr="001D49D4">
        <w:rPr>
          <w:rFonts w:ascii="Arial" w:eastAsia="Calibri" w:hAnsi="Arial" w:cs="Arial"/>
          <w:b/>
          <w:bCs/>
          <w:color w:val="000000"/>
          <w:sz w:val="28"/>
          <w:szCs w:val="28"/>
          <w:u w:val="single"/>
          <w:rtl/>
        </w:rPr>
        <w:t>שו"ע:</w:t>
      </w:r>
    </w:p>
    <w:p w14:paraId="38285493"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rtl/>
        </w:rPr>
        <w:t>המוכר שטר חוב לחבירו, ויש משכון בידו, ומסרו ביד הלוקח, שוב אינו יכול למחול ללוה מה שכנגד המשכון. והוא הדין אם היתה משכונת קרקע, וירד הלוקח והחזיק בה, שאינו יכול למחול. ויש מי שחולק בזו</w:t>
      </w:r>
      <w:r w:rsidRPr="001D49D4">
        <w:rPr>
          <w:rFonts w:ascii="Calibri" w:eastAsia="Calibri" w:hAnsi="Calibri" w:cs="Arial"/>
          <w:vertAlign w:val="superscript"/>
          <w:rtl/>
        </w:rPr>
        <w:footnoteReference w:id="5175"/>
      </w:r>
      <w:r w:rsidRPr="001D49D4">
        <w:rPr>
          <w:rFonts w:ascii="Calibri" w:eastAsia="Calibri" w:hAnsi="Calibri" w:cs="Arial"/>
          <w:rtl/>
        </w:rPr>
        <w:t xml:space="preserve">. </w:t>
      </w:r>
    </w:p>
    <w:p w14:paraId="7E414E03" w14:textId="77777777" w:rsidR="001D49D4" w:rsidRPr="001D49D4" w:rsidRDefault="001D49D4" w:rsidP="0004348D">
      <w:pPr>
        <w:spacing w:before="360" w:after="240"/>
        <w:rPr>
          <w:rFonts w:ascii="Calibri" w:eastAsia="Calibri" w:hAnsi="Calibri" w:cs="Arial"/>
          <w:rtl/>
        </w:rPr>
      </w:pPr>
    </w:p>
    <w:p w14:paraId="2A5AB54A" w14:textId="77777777" w:rsidR="001D49D4" w:rsidRPr="001D49D4" w:rsidRDefault="001D49D4" w:rsidP="0004348D">
      <w:pPr>
        <w:keepNext/>
        <w:keepLines/>
        <w:spacing w:before="360" w:after="240"/>
        <w:outlineLvl w:val="1"/>
        <w:rPr>
          <w:rFonts w:ascii="Cambria" w:eastAsia="Times New Roman" w:hAnsi="Cambria" w:cs="Arial"/>
          <w:bCs/>
          <w:color w:val="548DD4" w:themeColor="text2" w:themeTint="99"/>
          <w:sz w:val="26"/>
          <w:szCs w:val="26"/>
          <w:rtl/>
        </w:rPr>
      </w:pPr>
      <w:bookmarkStart w:id="709" w:name="_Toc24884125"/>
      <w:r w:rsidRPr="001D49D4">
        <w:rPr>
          <w:rFonts w:ascii="Cambria" w:eastAsia="Times New Roman" w:hAnsi="Cambria" w:cs="Arial"/>
          <w:bCs/>
          <w:color w:val="548DD4" w:themeColor="text2" w:themeTint="99"/>
          <w:sz w:val="26"/>
          <w:szCs w:val="26"/>
          <w:rtl/>
        </w:rPr>
        <w:t>סעיף לא: לוקח שטר חוב שחזר ומכרו למלוה או לאיניש דעלמא.</w:t>
      </w:r>
      <w:bookmarkEnd w:id="709"/>
    </w:p>
    <w:p w14:paraId="74E99672" w14:textId="77777777" w:rsidR="001D49D4" w:rsidRPr="001D49D4" w:rsidRDefault="001D49D4" w:rsidP="0004348D">
      <w:pPr>
        <w:spacing w:before="360" w:after="240"/>
        <w:rPr>
          <w:rFonts w:ascii="Calibri" w:eastAsia="Calibri" w:hAnsi="Calibri" w:cs="Arial"/>
          <w:u w:val="single"/>
          <w:rtl/>
        </w:rPr>
      </w:pPr>
      <w:r w:rsidRPr="001D49D4">
        <w:rPr>
          <w:rFonts w:ascii="Calibri" w:eastAsia="Calibri" w:hAnsi="Calibri" w:cs="Arial"/>
          <w:u w:val="single"/>
          <w:rtl/>
        </w:rPr>
        <w:t>לוקח שטר חוב שחזר ומכרו למלוה או לאיניש דעלמא – האם יכול הלוקח למחול:</w:t>
      </w:r>
    </w:p>
    <w:p w14:paraId="403D86F4" w14:textId="77777777" w:rsidR="001D49D4" w:rsidRPr="001D49D4" w:rsidRDefault="001D49D4" w:rsidP="0004348D">
      <w:pPr>
        <w:numPr>
          <w:ilvl w:val="0"/>
          <w:numId w:val="337"/>
        </w:numPr>
        <w:spacing w:before="360" w:after="240"/>
        <w:contextualSpacing/>
        <w:rPr>
          <w:rFonts w:ascii="Calibri" w:eastAsia="Calibri" w:hAnsi="Calibri" w:cs="Arial"/>
          <w:rtl/>
        </w:rPr>
      </w:pPr>
      <w:r w:rsidRPr="001D49D4">
        <w:rPr>
          <w:rFonts w:ascii="Calibri" w:eastAsia="Calibri" w:hAnsi="Calibri" w:cs="Arial"/>
          <w:rtl/>
        </w:rPr>
        <w:t xml:space="preserve">בעל התרומות </w:t>
      </w:r>
      <w:r w:rsidRPr="001D49D4">
        <w:rPr>
          <w:rFonts w:ascii="Calibri" w:eastAsia="Calibri" w:hAnsi="Calibri" w:cs="Arial"/>
          <w:sz w:val="16"/>
          <w:szCs w:val="16"/>
          <w:rtl/>
        </w:rPr>
        <w:t>(שער נא שם סי' ה)</w:t>
      </w:r>
      <w:r w:rsidRPr="001D49D4">
        <w:rPr>
          <w:rFonts w:ascii="Calibri" w:eastAsia="Calibri" w:hAnsi="Calibri" w:cs="Arial"/>
          <w:rtl/>
        </w:rPr>
        <w:t xml:space="preserve"> וטור- לוקח שטר חוב שחזר ומכרו למלוה - אינו יכול למחול, שהרי עיקר קניינו של שטר נשאר מתחילה אצל המלוה, שהרי המלוה יכול למחול אותו, לפיכך עכשיו נתרוקן החוב לגמרי למלוה ולא נשאר אצל הלוקח שום זכות. ולא עוד אלא אם מכרו לוקח ראשון ללוקח שני - שוב אין הלוקח ראשון יכול למחול שהרי לא נשאר לו שום זכות בשטר שהקנין שהיה לו בו מכרו כבר לשני</w:t>
      </w:r>
      <w:r w:rsidRPr="001D49D4">
        <w:rPr>
          <w:rFonts w:ascii="Calibri" w:eastAsia="Calibri" w:hAnsi="Calibri" w:cs="Arial"/>
          <w:vertAlign w:val="superscript"/>
          <w:rtl/>
        </w:rPr>
        <w:footnoteReference w:id="5176"/>
      </w:r>
      <w:r w:rsidRPr="001D49D4">
        <w:rPr>
          <w:rFonts w:ascii="Calibri" w:eastAsia="Calibri" w:hAnsi="Calibri" w:cs="Arial"/>
          <w:rtl/>
        </w:rPr>
        <w:t xml:space="preserve">. </w:t>
      </w:r>
      <w:r w:rsidRPr="001D49D4">
        <w:rPr>
          <w:rFonts w:ascii="Calibri" w:eastAsia="Calibri" w:hAnsi="Calibri" w:cs="Arial"/>
          <w:color w:val="E36C0A" w:themeColor="accent6" w:themeShade="BF"/>
          <w:rtl/>
        </w:rPr>
        <w:t>(וכ"פ בשו"ע)</w:t>
      </w:r>
    </w:p>
    <w:p w14:paraId="136F1C14" w14:textId="77777777" w:rsidR="001D49D4" w:rsidRPr="001D49D4" w:rsidRDefault="001D49D4" w:rsidP="0004348D">
      <w:pPr>
        <w:spacing w:before="360" w:after="240"/>
        <w:rPr>
          <w:rFonts w:ascii="Arial" w:eastAsia="Calibri" w:hAnsi="Arial" w:cs="Arial"/>
          <w:b/>
          <w:bCs/>
          <w:color w:val="000000"/>
          <w:sz w:val="28"/>
          <w:szCs w:val="28"/>
          <w:u w:val="single"/>
          <w:rtl/>
        </w:rPr>
      </w:pPr>
      <w:r w:rsidRPr="001D49D4">
        <w:rPr>
          <w:rFonts w:ascii="Arial" w:eastAsia="Calibri" w:hAnsi="Arial" w:cs="Arial"/>
          <w:b/>
          <w:bCs/>
          <w:color w:val="000000"/>
          <w:sz w:val="28"/>
          <w:szCs w:val="28"/>
          <w:u w:val="single"/>
          <w:rtl/>
        </w:rPr>
        <w:t>שו"ע:</w:t>
      </w:r>
    </w:p>
    <w:p w14:paraId="2894F226"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rtl/>
        </w:rPr>
        <w:t>לוקח שטר חוב שחזר ומכרו למלוה, אינו יכול למחול</w:t>
      </w:r>
      <w:r w:rsidRPr="001D49D4">
        <w:rPr>
          <w:rFonts w:ascii="Calibri" w:eastAsia="Calibri" w:hAnsi="Calibri" w:cs="Arial"/>
          <w:vertAlign w:val="superscript"/>
          <w:rtl/>
        </w:rPr>
        <w:footnoteReference w:id="5177"/>
      </w:r>
      <w:r w:rsidRPr="001D49D4">
        <w:rPr>
          <w:rFonts w:ascii="Calibri" w:eastAsia="Calibri" w:hAnsi="Calibri" w:cs="Arial"/>
          <w:rtl/>
        </w:rPr>
        <w:t>. ולא עוד, אלא אם מכרו לוקח ראשון לאיניש דעלמא, אין לוקח ראשון יכול למחול</w:t>
      </w:r>
      <w:r w:rsidRPr="001D49D4">
        <w:rPr>
          <w:rFonts w:ascii="Calibri" w:eastAsia="Calibri" w:hAnsi="Calibri" w:cs="Arial"/>
          <w:vertAlign w:val="superscript"/>
          <w:rtl/>
        </w:rPr>
        <w:footnoteReference w:id="5178"/>
      </w:r>
      <w:r w:rsidRPr="001D49D4">
        <w:rPr>
          <w:rFonts w:ascii="Calibri" w:eastAsia="Calibri" w:hAnsi="Calibri" w:cs="Arial"/>
          <w:rtl/>
        </w:rPr>
        <w:t xml:space="preserve">. </w:t>
      </w:r>
    </w:p>
    <w:p w14:paraId="751A6F32" w14:textId="77777777" w:rsidR="001D49D4" w:rsidRPr="001D49D4" w:rsidRDefault="001D49D4" w:rsidP="0004348D">
      <w:pPr>
        <w:spacing w:before="360" w:after="240"/>
        <w:rPr>
          <w:rFonts w:ascii="Calibri" w:eastAsia="Calibri" w:hAnsi="Calibri" w:cs="Arial"/>
          <w:rtl/>
        </w:rPr>
      </w:pPr>
    </w:p>
    <w:p w14:paraId="1228D7BD" w14:textId="77777777" w:rsidR="001D49D4" w:rsidRPr="001D49D4" w:rsidRDefault="001D49D4" w:rsidP="0004348D">
      <w:pPr>
        <w:keepNext/>
        <w:keepLines/>
        <w:spacing w:before="360" w:after="240"/>
        <w:outlineLvl w:val="1"/>
        <w:rPr>
          <w:rFonts w:ascii="Cambria" w:eastAsia="Times New Roman" w:hAnsi="Cambria" w:cs="Arial"/>
          <w:bCs/>
          <w:color w:val="548DD4" w:themeColor="text2" w:themeTint="99"/>
          <w:sz w:val="26"/>
          <w:szCs w:val="26"/>
          <w:rtl/>
        </w:rPr>
      </w:pPr>
      <w:bookmarkStart w:id="710" w:name="_Toc24884126"/>
      <w:r w:rsidRPr="001D49D4">
        <w:rPr>
          <w:rFonts w:ascii="Cambria" w:eastAsia="Times New Roman" w:hAnsi="Cambria" w:cs="Arial"/>
          <w:bCs/>
          <w:color w:val="548DD4" w:themeColor="text2" w:themeTint="99"/>
          <w:sz w:val="26"/>
          <w:szCs w:val="26"/>
          <w:rtl/>
        </w:rPr>
        <w:t>סעיף לב: המוכר שטר חוב ומחלו צריך לשלם ללוקח.</w:t>
      </w:r>
      <w:bookmarkEnd w:id="710"/>
    </w:p>
    <w:p w14:paraId="43E929D4" w14:textId="77777777" w:rsidR="001D49D4" w:rsidRPr="001D49D4" w:rsidRDefault="001D49D4" w:rsidP="0004348D">
      <w:pPr>
        <w:spacing w:before="360" w:after="240"/>
        <w:rPr>
          <w:rFonts w:ascii="Calibri" w:eastAsia="Calibri" w:hAnsi="Calibri" w:cs="Arial"/>
          <w:u w:val="single"/>
          <w:rtl/>
        </w:rPr>
      </w:pPr>
      <w:bookmarkStart w:id="711" w:name="_Hlk16529081"/>
      <w:r w:rsidRPr="001D49D4">
        <w:rPr>
          <w:rFonts w:ascii="Calibri" w:eastAsia="Calibri" w:hAnsi="Calibri" w:cs="Arial"/>
          <w:u w:val="single"/>
          <w:rtl/>
        </w:rPr>
        <w:t>מכר שטר חוב ומחל ללוה – האם צריך לשלם, וכיצד:</w:t>
      </w:r>
    </w:p>
    <w:p w14:paraId="62F67E62" w14:textId="77777777" w:rsidR="001D49D4" w:rsidRPr="001D49D4" w:rsidRDefault="001D49D4" w:rsidP="0004348D">
      <w:pPr>
        <w:numPr>
          <w:ilvl w:val="0"/>
          <w:numId w:val="337"/>
        </w:numPr>
        <w:spacing w:before="360" w:after="240"/>
        <w:contextualSpacing/>
        <w:rPr>
          <w:rFonts w:ascii="Calibri" w:eastAsia="Calibri" w:hAnsi="Calibri" w:cs="Arial"/>
          <w:rtl/>
        </w:rPr>
      </w:pPr>
      <w:r w:rsidRPr="001D49D4">
        <w:rPr>
          <w:rFonts w:ascii="Calibri" w:eastAsia="Calibri" w:hAnsi="Calibri" w:cs="Arial"/>
          <w:rtl/>
        </w:rPr>
        <w:t>טור- כשמוחל המוכר או יורשיו - צריכין לשלם ללוקח, ואם מת - בנו משלם תחתיו, שאין זה קנס לומר שלא קנסו לבנו, אלא ממון גמור הוא</w:t>
      </w:r>
      <w:r w:rsidRPr="001D49D4">
        <w:rPr>
          <w:rFonts w:ascii="Calibri" w:eastAsia="Calibri" w:hAnsi="Calibri" w:cs="Arial"/>
          <w:vertAlign w:val="superscript"/>
          <w:rtl/>
        </w:rPr>
        <w:footnoteReference w:id="5179"/>
      </w:r>
      <w:r w:rsidRPr="001D49D4">
        <w:rPr>
          <w:rFonts w:ascii="Calibri" w:eastAsia="Calibri" w:hAnsi="Calibri" w:cs="Arial"/>
          <w:rtl/>
        </w:rPr>
        <w:t>. וכל שכן שאם מחל היורש שצריך לשלם</w:t>
      </w:r>
      <w:r w:rsidRPr="001D49D4">
        <w:rPr>
          <w:rFonts w:ascii="Calibri" w:eastAsia="Calibri" w:hAnsi="Calibri" w:cs="Arial"/>
          <w:vertAlign w:val="superscript"/>
          <w:rtl/>
        </w:rPr>
        <w:footnoteReference w:id="5180"/>
      </w:r>
      <w:r w:rsidRPr="001D49D4">
        <w:rPr>
          <w:rFonts w:ascii="Calibri" w:eastAsia="Calibri" w:hAnsi="Calibri" w:cs="Arial"/>
          <w:rtl/>
        </w:rPr>
        <w:t xml:space="preserve">. </w:t>
      </w:r>
      <w:r w:rsidRPr="001D49D4">
        <w:rPr>
          <w:rFonts w:ascii="Calibri" w:eastAsia="Calibri" w:hAnsi="Calibri" w:cs="Arial"/>
          <w:color w:val="E36C0A" w:themeColor="accent6" w:themeShade="BF"/>
          <w:rtl/>
        </w:rPr>
        <w:t>(וכ"פ בשו"ע)</w:t>
      </w:r>
    </w:p>
    <w:bookmarkEnd w:id="711"/>
    <w:p w14:paraId="255B63AC" w14:textId="77777777" w:rsidR="001D49D4" w:rsidRPr="001D49D4" w:rsidRDefault="001D49D4" w:rsidP="0004348D">
      <w:pPr>
        <w:spacing w:before="360" w:after="240"/>
        <w:rPr>
          <w:rFonts w:ascii="Calibri" w:eastAsia="Calibri" w:hAnsi="Calibri" w:cs="Arial"/>
        </w:rPr>
      </w:pPr>
      <w:r w:rsidRPr="001D49D4">
        <w:rPr>
          <w:rFonts w:ascii="Calibri" w:eastAsia="Calibri" w:hAnsi="Calibri" w:cs="Arial"/>
          <w:b/>
          <w:bCs/>
          <w:rtl/>
        </w:rPr>
        <w:t xml:space="preserve">כתובות </w:t>
      </w:r>
      <w:r w:rsidRPr="001D49D4">
        <w:rPr>
          <w:rFonts w:ascii="Calibri" w:eastAsia="Calibri" w:hAnsi="Calibri" w:cs="Arial"/>
          <w:b/>
          <w:bCs/>
          <w:sz w:val="16"/>
          <w:szCs w:val="16"/>
          <w:rtl/>
        </w:rPr>
        <w:t>(פרק הכותב)</w:t>
      </w:r>
      <w:r w:rsidRPr="001D49D4">
        <w:rPr>
          <w:rFonts w:ascii="Calibri" w:eastAsia="Calibri" w:hAnsi="Calibri" w:cs="Arial"/>
          <w:b/>
          <w:bCs/>
          <w:rtl/>
        </w:rPr>
        <w:t xml:space="preserve"> פו</w:t>
      </w:r>
      <w:r w:rsidRPr="001D49D4">
        <w:rPr>
          <w:rFonts w:ascii="Calibri" w:eastAsia="Calibri" w:hAnsi="Calibri" w:cs="Arial"/>
          <w:color w:val="000000" w:themeColor="text1"/>
          <w:vertAlign w:val="superscript"/>
          <w:rtl/>
        </w:rPr>
        <w:footnoteReference w:id="5181"/>
      </w:r>
      <w:r w:rsidRPr="001D49D4">
        <w:rPr>
          <w:rFonts w:ascii="Calibri" w:eastAsia="Calibri" w:hAnsi="Calibri" w:cs="Arial"/>
          <w:b/>
          <w:bCs/>
          <w:rtl/>
        </w:rPr>
        <w:t xml:space="preserve"> ע"א:</w:t>
      </w:r>
      <w:r w:rsidRPr="001D49D4">
        <w:rPr>
          <w:rFonts w:ascii="Calibri" w:eastAsia="Calibri" w:hAnsi="Calibri" w:cs="Arial"/>
          <w:rtl/>
        </w:rPr>
        <w:t xml:space="preserve"> </w:t>
      </w:r>
      <w:r w:rsidRPr="001D49D4">
        <w:rPr>
          <w:rFonts w:ascii="Calibri" w:eastAsia="Calibri" w:hAnsi="Calibri" w:cs="Arial"/>
          <w:u w:val="single"/>
          <w:rtl/>
        </w:rPr>
        <w:t>אמר שמואל</w:t>
      </w:r>
      <w:r w:rsidRPr="001D49D4">
        <w:rPr>
          <w:rFonts w:ascii="Calibri" w:eastAsia="Calibri" w:hAnsi="Calibri" w:cs="Arial"/>
          <w:rtl/>
        </w:rPr>
        <w:t xml:space="preserve">: המוכר שטר חוב לחבירו וחזר ומחלו - מחול, ואפי' יורש מוחל... </w:t>
      </w:r>
      <w:r w:rsidRPr="001D49D4">
        <w:rPr>
          <w:rFonts w:ascii="Calibri" w:eastAsia="Calibri" w:hAnsi="Calibri" w:cs="Arial"/>
          <w:u w:val="single"/>
          <w:rtl/>
        </w:rPr>
        <w:t>אמר אמימר</w:t>
      </w:r>
      <w:r w:rsidRPr="001D49D4">
        <w:rPr>
          <w:rFonts w:ascii="Calibri" w:eastAsia="Calibri" w:hAnsi="Calibri" w:cs="Arial"/>
          <w:rtl/>
        </w:rPr>
        <w:t>: מאן דדאין דינא דגרמי - מגבי ביה</w:t>
      </w:r>
      <w:r w:rsidRPr="001D49D4">
        <w:rPr>
          <w:rFonts w:ascii="Calibri" w:eastAsia="Calibri" w:hAnsi="Calibri" w:cs="Arial"/>
          <w:vertAlign w:val="superscript"/>
          <w:rtl/>
        </w:rPr>
        <w:footnoteReference w:id="5182"/>
      </w:r>
      <w:r w:rsidRPr="001D49D4">
        <w:rPr>
          <w:rFonts w:ascii="Calibri" w:eastAsia="Calibri" w:hAnsi="Calibri" w:cs="Arial"/>
          <w:rtl/>
        </w:rPr>
        <w:t xml:space="preserve"> דמי שטרא מעליא, מאן דלא דאין דינא דגרמי - מגבי ביה דמי ניירא בעלמא. </w:t>
      </w:r>
      <w:r w:rsidRPr="001D49D4">
        <w:rPr>
          <w:rFonts w:ascii="Calibri" w:eastAsia="Calibri" w:hAnsi="Calibri" w:cs="Arial"/>
          <w:sz w:val="16"/>
          <w:szCs w:val="16"/>
          <w:rtl/>
        </w:rPr>
        <w:t>(ואנן קיימא לן כמאן דדאין דינא דגרמי, ב"י)</w:t>
      </w:r>
    </w:p>
    <w:p w14:paraId="3E0B90CE" w14:textId="77777777" w:rsidR="001D49D4" w:rsidRPr="001D49D4" w:rsidRDefault="001D49D4" w:rsidP="0004348D">
      <w:pPr>
        <w:spacing w:before="360" w:after="240"/>
        <w:rPr>
          <w:rFonts w:ascii="Calibri" w:eastAsia="Calibri" w:hAnsi="Calibri" w:cs="Arial"/>
          <w:u w:val="single"/>
          <w:rtl/>
        </w:rPr>
      </w:pPr>
      <w:bookmarkStart w:id="712" w:name="_Hlk16529001"/>
      <w:r w:rsidRPr="001D49D4">
        <w:rPr>
          <w:rFonts w:ascii="Calibri" w:eastAsia="Calibri" w:hAnsi="Calibri" w:cs="Arial"/>
          <w:u w:val="single"/>
          <w:rtl/>
        </w:rPr>
        <w:t xml:space="preserve">כמה צריך המוכר </w:t>
      </w:r>
      <w:r w:rsidRPr="001D49D4">
        <w:rPr>
          <w:rFonts w:ascii="Calibri" w:eastAsia="Calibri" w:hAnsi="Calibri" w:cs="Arial"/>
          <w:sz w:val="16"/>
          <w:szCs w:val="16"/>
          <w:u w:val="single"/>
          <w:rtl/>
        </w:rPr>
        <w:t>(שמחל על השטר)</w:t>
      </w:r>
      <w:r w:rsidRPr="001D49D4">
        <w:rPr>
          <w:rFonts w:ascii="Calibri" w:eastAsia="Calibri" w:hAnsi="Calibri" w:cs="Arial"/>
          <w:u w:val="single"/>
          <w:rtl/>
        </w:rPr>
        <w:t xml:space="preserve"> לשלם ללוקח:</w:t>
      </w:r>
    </w:p>
    <w:p w14:paraId="5CBF0813" w14:textId="77777777" w:rsidR="001D49D4" w:rsidRPr="001D49D4" w:rsidRDefault="001D49D4" w:rsidP="0004348D">
      <w:pPr>
        <w:numPr>
          <w:ilvl w:val="0"/>
          <w:numId w:val="338"/>
        </w:numPr>
        <w:spacing w:before="360" w:after="240"/>
        <w:contextualSpacing/>
        <w:rPr>
          <w:rFonts w:ascii="Calibri" w:eastAsia="Calibri" w:hAnsi="Calibri" w:cs="Arial"/>
        </w:rPr>
      </w:pPr>
      <w:r w:rsidRPr="001D49D4">
        <w:rPr>
          <w:rFonts w:ascii="Calibri" w:eastAsia="Calibri" w:hAnsi="Calibri" w:cs="Arial"/>
          <w:rtl/>
        </w:rPr>
        <w:t>רש"י רמב"ם רמב"ן רשב"א ור"ן</w:t>
      </w:r>
      <w:r w:rsidRPr="001D49D4">
        <w:rPr>
          <w:rFonts w:ascii="Calibri" w:eastAsia="Calibri" w:hAnsi="Calibri" w:cs="Arial"/>
          <w:vertAlign w:val="superscript"/>
          <w:rtl/>
        </w:rPr>
        <w:footnoteReference w:id="5183"/>
      </w:r>
      <w:r w:rsidRPr="001D49D4">
        <w:rPr>
          <w:rFonts w:ascii="Calibri" w:eastAsia="Calibri" w:hAnsi="Calibri" w:cs="Arial"/>
          <w:rtl/>
        </w:rPr>
        <w:t xml:space="preserve">- כל החוב שבתוכו. </w:t>
      </w:r>
      <w:r w:rsidRPr="001D49D4">
        <w:rPr>
          <w:rFonts w:ascii="Calibri" w:eastAsia="Calibri" w:hAnsi="Calibri" w:cs="Arial"/>
          <w:color w:val="E36C0A" w:themeColor="accent6" w:themeShade="BF"/>
          <w:rtl/>
        </w:rPr>
        <w:t>(וכ"פ בשו"ע</w:t>
      </w:r>
      <w:r w:rsidRPr="001D49D4">
        <w:rPr>
          <w:rFonts w:ascii="Calibri" w:eastAsia="Calibri" w:hAnsi="Calibri" w:cs="Arial"/>
          <w:color w:val="000000" w:themeColor="text1"/>
          <w:vertAlign w:val="superscript"/>
          <w:rtl/>
        </w:rPr>
        <w:footnoteReference w:id="5184"/>
      </w:r>
      <w:r w:rsidRPr="001D49D4">
        <w:rPr>
          <w:rFonts w:ascii="Calibri" w:eastAsia="Calibri" w:hAnsi="Calibri" w:cs="Arial"/>
          <w:color w:val="E36C0A" w:themeColor="accent6" w:themeShade="BF"/>
          <w:rtl/>
        </w:rPr>
        <w:t xml:space="preserve">) </w:t>
      </w:r>
      <w:r w:rsidRPr="001D49D4">
        <w:rPr>
          <w:rFonts w:ascii="Calibri" w:eastAsia="Calibri" w:hAnsi="Calibri" w:cs="Arial"/>
          <w:rtl/>
        </w:rPr>
        <w:t xml:space="preserve">(וכ"פ העיר שושן </w:t>
      </w:r>
      <w:r w:rsidRPr="001D49D4">
        <w:rPr>
          <w:rFonts w:ascii="Calibri" w:eastAsia="Calibri" w:hAnsi="Calibri" w:cs="Arial"/>
          <w:sz w:val="16"/>
          <w:szCs w:val="16"/>
          <w:rtl/>
        </w:rPr>
        <w:t xml:space="preserve">[סע' לב] </w:t>
      </w:r>
      <w:r w:rsidRPr="001D49D4">
        <w:rPr>
          <w:rFonts w:ascii="Calibri" w:eastAsia="Calibri" w:hAnsi="Calibri" w:cs="Arial"/>
          <w:rtl/>
        </w:rPr>
        <w:t>והש"ך</w:t>
      </w:r>
      <w:r w:rsidRPr="001D49D4">
        <w:rPr>
          <w:rFonts w:ascii="Calibri" w:eastAsia="Calibri" w:hAnsi="Calibri" w:cs="Arial"/>
          <w:sz w:val="16"/>
          <w:szCs w:val="16"/>
          <w:rtl/>
        </w:rPr>
        <w:t xml:space="preserve"> [סקק"ט]</w:t>
      </w:r>
      <w:r w:rsidRPr="001D49D4">
        <w:rPr>
          <w:rFonts w:ascii="Calibri" w:eastAsia="Calibri" w:hAnsi="Calibri" w:cs="Arial"/>
          <w:rtl/>
        </w:rPr>
        <w:t>)</w:t>
      </w:r>
    </w:p>
    <w:p w14:paraId="27A5A78E" w14:textId="77777777" w:rsidR="001D49D4" w:rsidRPr="001D49D4" w:rsidRDefault="001D49D4" w:rsidP="0004348D">
      <w:pPr>
        <w:numPr>
          <w:ilvl w:val="0"/>
          <w:numId w:val="338"/>
        </w:numPr>
        <w:spacing w:before="360" w:after="240"/>
        <w:contextualSpacing/>
        <w:rPr>
          <w:rFonts w:ascii="Calibri" w:eastAsia="Calibri" w:hAnsi="Calibri" w:cs="Arial"/>
          <w:rtl/>
        </w:rPr>
      </w:pPr>
      <w:r w:rsidRPr="001D49D4">
        <w:rPr>
          <w:rFonts w:ascii="Calibri" w:eastAsia="Calibri" w:hAnsi="Calibri" w:cs="Arial"/>
          <w:rtl/>
        </w:rPr>
        <w:t>רב שרירא גאון רשב"ם ר"י מרדכי וטור</w:t>
      </w:r>
      <w:r w:rsidRPr="001D49D4">
        <w:rPr>
          <w:rFonts w:ascii="Calibri" w:eastAsia="Calibri" w:hAnsi="Calibri" w:cs="Arial"/>
          <w:vertAlign w:val="superscript"/>
          <w:rtl/>
        </w:rPr>
        <w:footnoteReference w:id="5185"/>
      </w:r>
      <w:r w:rsidRPr="001D49D4">
        <w:rPr>
          <w:rFonts w:ascii="Calibri" w:eastAsia="Calibri" w:hAnsi="Calibri" w:cs="Arial"/>
          <w:rtl/>
        </w:rPr>
        <w:t>- לא מחייב מדינא דגרמי לשלם אלא דמים שנתן לו</w:t>
      </w:r>
      <w:r w:rsidRPr="001D49D4">
        <w:rPr>
          <w:rFonts w:ascii="Calibri" w:eastAsia="Calibri" w:hAnsi="Calibri" w:cs="Arial"/>
          <w:vertAlign w:val="superscript"/>
          <w:rtl/>
        </w:rPr>
        <w:footnoteReference w:id="5186"/>
      </w:r>
      <w:r w:rsidRPr="001D49D4">
        <w:rPr>
          <w:rFonts w:ascii="Calibri" w:eastAsia="Calibri" w:hAnsi="Calibri" w:cs="Arial"/>
          <w:rtl/>
        </w:rPr>
        <w:t>.</w:t>
      </w:r>
      <w:r w:rsidRPr="001D49D4">
        <w:rPr>
          <w:rFonts w:ascii="Calibri" w:eastAsia="Calibri" w:hAnsi="Calibri" w:cs="Arial"/>
          <w:color w:val="00B0F0"/>
          <w:rtl/>
        </w:rPr>
        <w:t xml:space="preserve"> (וכ"כ הרמ"א)</w:t>
      </w:r>
    </w:p>
    <w:bookmarkEnd w:id="712"/>
    <w:p w14:paraId="1919C695" w14:textId="77777777" w:rsidR="001D49D4" w:rsidRPr="001D49D4" w:rsidRDefault="001D49D4" w:rsidP="0004348D">
      <w:pPr>
        <w:spacing w:before="360" w:after="240"/>
        <w:rPr>
          <w:rFonts w:ascii="Calibri" w:eastAsia="Calibri" w:hAnsi="Calibri" w:cs="Arial"/>
          <w:u w:val="single"/>
          <w:rtl/>
        </w:rPr>
      </w:pPr>
      <w:r w:rsidRPr="001D49D4">
        <w:rPr>
          <w:rFonts w:ascii="Calibri" w:eastAsia="Calibri" w:hAnsi="Calibri" w:cs="Arial"/>
          <w:u w:val="single"/>
          <w:rtl/>
        </w:rPr>
        <w:t>הקונה שטר חוב בכתב גוים:</w:t>
      </w:r>
    </w:p>
    <w:p w14:paraId="0CE40D5C" w14:textId="77777777" w:rsidR="001D49D4" w:rsidRPr="001D49D4" w:rsidRDefault="001D49D4" w:rsidP="0004348D">
      <w:pPr>
        <w:numPr>
          <w:ilvl w:val="0"/>
          <w:numId w:val="337"/>
        </w:numPr>
        <w:spacing w:before="360" w:after="240"/>
        <w:contextualSpacing/>
        <w:rPr>
          <w:rFonts w:ascii="Calibri" w:eastAsia="Calibri" w:hAnsi="Calibri" w:cs="Arial"/>
          <w:rtl/>
        </w:rPr>
      </w:pPr>
      <w:r w:rsidRPr="001D49D4">
        <w:rPr>
          <w:rFonts w:ascii="Calibri" w:eastAsia="Calibri" w:hAnsi="Calibri" w:cs="Arial"/>
          <w:rtl/>
        </w:rPr>
        <w:t xml:space="preserve">רשב"א </w:t>
      </w:r>
      <w:r w:rsidRPr="001D49D4">
        <w:rPr>
          <w:rFonts w:ascii="Calibri" w:eastAsia="Calibri" w:hAnsi="Calibri" w:cs="Arial"/>
          <w:sz w:val="16"/>
          <w:szCs w:val="16"/>
          <w:rtl/>
        </w:rPr>
        <w:t>(ח"ג סי' סו, וכן בח"ז סי' שלד, הביאו רי"ו [ני"ד מה ע"ג])</w:t>
      </w:r>
      <w:r w:rsidRPr="001D49D4">
        <w:rPr>
          <w:rFonts w:ascii="Calibri" w:eastAsia="Calibri" w:hAnsi="Calibri" w:cs="Arial"/>
          <w:rtl/>
        </w:rPr>
        <w:t xml:space="preserve">- המוכר שטר חוב עשוי בגופן של גוים אם יש לו דין שטר לימכר בכתיבה ומסירה, ואם מכרו וחזר ומחל הרבית שבו אם משלם אותו ללוקח. תשובה, שטר העשוי בגופן של גוים - שטר הוא, דדינא דמלכותא דינא </w:t>
      </w:r>
      <w:r w:rsidRPr="001D49D4">
        <w:rPr>
          <w:rFonts w:ascii="Calibri" w:eastAsia="Calibri" w:hAnsi="Calibri" w:cs="Arial"/>
          <w:sz w:val="16"/>
          <w:szCs w:val="16"/>
          <w:rtl/>
        </w:rPr>
        <w:t>(נדרים כח.)</w:t>
      </w:r>
      <w:r w:rsidRPr="001D49D4">
        <w:rPr>
          <w:rFonts w:ascii="Calibri" w:eastAsia="Calibri" w:hAnsi="Calibri" w:cs="Arial"/>
          <w:rtl/>
        </w:rPr>
        <w:t>, ואם מכרו וחזר ומחלו משלם ככשורא לצלמי לא שנא קרן לא שנא רבית</w:t>
      </w:r>
      <w:r w:rsidRPr="001D49D4">
        <w:rPr>
          <w:rFonts w:ascii="Calibri" w:eastAsia="Calibri" w:hAnsi="Calibri" w:cs="Arial"/>
          <w:vertAlign w:val="superscript"/>
          <w:rtl/>
        </w:rPr>
        <w:footnoteReference w:id="5187"/>
      </w:r>
      <w:r w:rsidRPr="001D49D4">
        <w:rPr>
          <w:rFonts w:ascii="Calibri" w:eastAsia="Calibri" w:hAnsi="Calibri" w:cs="Arial"/>
          <w:rtl/>
        </w:rPr>
        <w:t>.</w:t>
      </w:r>
      <w:r w:rsidRPr="001D49D4">
        <w:rPr>
          <w:rFonts w:ascii="Calibri" w:eastAsia="Calibri" w:hAnsi="Calibri" w:cs="Arial"/>
          <w:color w:val="00B0F0"/>
          <w:rtl/>
        </w:rPr>
        <w:t xml:space="preserve"> </w:t>
      </w:r>
    </w:p>
    <w:p w14:paraId="23E143FC" w14:textId="77777777" w:rsidR="001D49D4" w:rsidRPr="001D49D4" w:rsidRDefault="001D49D4" w:rsidP="0004348D">
      <w:pPr>
        <w:spacing w:before="360" w:after="240"/>
        <w:rPr>
          <w:rFonts w:ascii="Calibri" w:eastAsia="Calibri" w:hAnsi="Calibri" w:cs="Arial"/>
          <w:u w:val="single"/>
        </w:rPr>
      </w:pPr>
      <w:r w:rsidRPr="001D49D4">
        <w:rPr>
          <w:rFonts w:ascii="Calibri" w:eastAsia="Calibri" w:hAnsi="Calibri" w:cs="Arial"/>
          <w:u w:val="single"/>
          <w:rtl/>
        </w:rPr>
        <w:t xml:space="preserve">מכר שטר שהיה לו על גוי ללוקח, ולאחר שפרע הגוי את </w:t>
      </w:r>
      <w:r w:rsidRPr="001D49D4">
        <w:rPr>
          <w:rFonts w:ascii="Calibri" w:eastAsia="Calibri" w:hAnsi="Calibri" w:cs="Arial"/>
          <w:b/>
          <w:bCs/>
          <w:u w:val="single"/>
          <w:rtl/>
        </w:rPr>
        <w:t>הקרן</w:t>
      </w:r>
      <w:r w:rsidRPr="001D49D4">
        <w:rPr>
          <w:rFonts w:ascii="Calibri" w:eastAsia="Calibri" w:hAnsi="Calibri" w:cs="Arial"/>
          <w:u w:val="single"/>
          <w:rtl/>
        </w:rPr>
        <w:t xml:space="preserve"> </w:t>
      </w:r>
      <w:r w:rsidRPr="001D49D4">
        <w:rPr>
          <w:rFonts w:ascii="Calibri" w:eastAsia="Calibri" w:hAnsi="Calibri" w:cs="Arial"/>
          <w:sz w:val="16"/>
          <w:szCs w:val="16"/>
          <w:u w:val="single"/>
          <w:rtl/>
        </w:rPr>
        <w:t xml:space="preserve">(בלי הריבית) </w:t>
      </w:r>
      <w:r w:rsidRPr="001D49D4">
        <w:rPr>
          <w:rFonts w:ascii="Calibri" w:eastAsia="Calibri" w:hAnsi="Calibri" w:cs="Arial"/>
          <w:u w:val="single"/>
          <w:rtl/>
        </w:rPr>
        <w:t>ללוקח מחל המוכר לגוי על השטר:</w:t>
      </w:r>
    </w:p>
    <w:p w14:paraId="13F9F1EB" w14:textId="77777777" w:rsidR="001D49D4" w:rsidRPr="001D49D4" w:rsidRDefault="001D49D4" w:rsidP="0004348D">
      <w:pPr>
        <w:numPr>
          <w:ilvl w:val="0"/>
          <w:numId w:val="337"/>
        </w:numPr>
        <w:spacing w:before="360" w:after="240"/>
        <w:contextualSpacing/>
        <w:rPr>
          <w:rFonts w:ascii="Calibri" w:eastAsia="Calibri" w:hAnsi="Calibri" w:cs="Arial"/>
        </w:rPr>
      </w:pPr>
      <w:r w:rsidRPr="001D49D4">
        <w:rPr>
          <w:rFonts w:ascii="Calibri" w:eastAsia="Calibri" w:hAnsi="Calibri" w:cs="Arial"/>
          <w:rtl/>
        </w:rPr>
        <w:t xml:space="preserve">רי"ו </w:t>
      </w:r>
      <w:r w:rsidRPr="001D49D4">
        <w:rPr>
          <w:rFonts w:ascii="Calibri" w:eastAsia="Calibri" w:hAnsi="Calibri" w:cs="Arial"/>
          <w:sz w:val="16"/>
          <w:szCs w:val="16"/>
          <w:rtl/>
        </w:rPr>
        <w:t>(ני"ד מה ע"ג)</w:t>
      </w:r>
      <w:r w:rsidRPr="001D49D4">
        <w:rPr>
          <w:rFonts w:ascii="Calibri" w:eastAsia="Calibri" w:hAnsi="Calibri" w:cs="Arial"/>
          <w:rtl/>
        </w:rPr>
        <w:t xml:space="preserve"> בשם הרשב"א</w:t>
      </w:r>
      <w:r w:rsidRPr="001D49D4">
        <w:rPr>
          <w:rFonts w:ascii="Calibri" w:eastAsia="Calibri" w:hAnsi="Calibri" w:cs="Arial"/>
          <w:vertAlign w:val="superscript"/>
          <w:rtl/>
        </w:rPr>
        <w:footnoteReference w:id="5188"/>
      </w:r>
      <w:r w:rsidRPr="001D49D4">
        <w:rPr>
          <w:rFonts w:ascii="Calibri" w:eastAsia="Calibri" w:hAnsi="Calibri" w:cs="Arial"/>
          <w:rtl/>
        </w:rPr>
        <w:t>- קונה שטר חוב בכתב גוים דינו לענין קנייה כדין שטרות שלנו ואם חזר ומחלו גובה קרן ורבית כך כתב הרשב"א בתשובה. ועוד כתב ואם היו החובות פרועי' ונודע שהיה גובה מהן קרן ורבית פטור וכן השיב רבי יצחק בר' אברהם ז"ל שאין זה דינא דגרמי אלא כמונע מציאה מחבירו ויותר גרוע מינה ואפילו גרמה בנזיקין דאסור לכתחלה ליכא.</w:t>
      </w:r>
      <w:r w:rsidRPr="001D49D4">
        <w:rPr>
          <w:rFonts w:ascii="Calibri" w:eastAsia="Calibri" w:hAnsi="Calibri" w:cs="Arial"/>
          <w:color w:val="00B0F0"/>
          <w:rtl/>
        </w:rPr>
        <w:t xml:space="preserve"> </w:t>
      </w:r>
    </w:p>
    <w:p w14:paraId="76C26FE7" w14:textId="77777777" w:rsidR="001D49D4" w:rsidRPr="001D49D4" w:rsidRDefault="001D49D4" w:rsidP="0004348D">
      <w:pPr>
        <w:spacing w:before="360" w:after="240"/>
        <w:rPr>
          <w:rFonts w:ascii="Calibri" w:eastAsia="Calibri" w:hAnsi="Calibri" w:cs="Arial"/>
          <w:u w:val="single"/>
        </w:rPr>
      </w:pPr>
      <w:r w:rsidRPr="001D49D4">
        <w:rPr>
          <w:rFonts w:ascii="Calibri" w:eastAsia="Calibri" w:hAnsi="Calibri" w:cs="Arial"/>
          <w:u w:val="single"/>
          <w:rtl/>
        </w:rPr>
        <w:t>הלוקח שטר חוב מחבירו, ואמר הלוה ללוקח 'פרעתיו למלוה, יבא המלוה וישבע לי שלא פרעתיו':</w:t>
      </w:r>
    </w:p>
    <w:p w14:paraId="1C4BDF37" w14:textId="77777777" w:rsidR="001D49D4" w:rsidRPr="001D49D4" w:rsidRDefault="001D49D4" w:rsidP="0004348D">
      <w:pPr>
        <w:numPr>
          <w:ilvl w:val="0"/>
          <w:numId w:val="337"/>
        </w:numPr>
        <w:spacing w:before="360" w:after="240"/>
        <w:contextualSpacing/>
        <w:rPr>
          <w:rFonts w:ascii="Calibri" w:eastAsia="Calibri" w:hAnsi="Calibri" w:cs="Arial"/>
        </w:rPr>
      </w:pPr>
      <w:r w:rsidRPr="001D49D4">
        <w:rPr>
          <w:rFonts w:ascii="Calibri" w:eastAsia="Calibri" w:hAnsi="Calibri" w:cs="Arial"/>
          <w:rtl/>
        </w:rPr>
        <w:t xml:space="preserve">רשב"א </w:t>
      </w:r>
      <w:r w:rsidRPr="001D49D4">
        <w:rPr>
          <w:rFonts w:ascii="Calibri" w:eastAsia="Calibri" w:hAnsi="Calibri" w:cs="Arial"/>
          <w:sz w:val="16"/>
          <w:szCs w:val="16"/>
          <w:rtl/>
        </w:rPr>
        <w:t>(ח"ד סי' קסה)</w:t>
      </w:r>
      <w:r w:rsidRPr="001D49D4">
        <w:rPr>
          <w:rFonts w:ascii="Calibri" w:eastAsia="Calibri" w:hAnsi="Calibri" w:cs="Arial"/>
          <w:rtl/>
        </w:rPr>
        <w:t xml:space="preserve">- הלוקח שטר חוב מחבירו, ואמר </w:t>
      </w:r>
      <w:r w:rsidRPr="001D49D4">
        <w:rPr>
          <w:rFonts w:ascii="Calibri" w:eastAsia="Calibri" w:hAnsi="Calibri" w:cs="Arial"/>
          <w:sz w:val="16"/>
          <w:szCs w:val="16"/>
          <w:rtl/>
        </w:rPr>
        <w:t xml:space="preserve">{הלוה} </w:t>
      </w:r>
      <w:r w:rsidRPr="001D49D4">
        <w:rPr>
          <w:rFonts w:ascii="Calibri" w:eastAsia="Calibri" w:hAnsi="Calibri" w:cs="Arial"/>
          <w:rtl/>
        </w:rPr>
        <w:t xml:space="preserve">ללוקח 'פרעתיו למלוה, יבא וישבע לי שלא פרעתיו' - לא אמר כלום דכיון ששטרו בידו </w:t>
      </w:r>
      <w:r w:rsidRPr="001D49D4">
        <w:rPr>
          <w:rFonts w:ascii="Calibri" w:eastAsia="Calibri" w:hAnsi="Calibri" w:cs="Arial"/>
          <w:sz w:val="16"/>
          <w:szCs w:val="16"/>
          <w:rtl/>
        </w:rPr>
        <w:t>{של הלוקח}</w:t>
      </w:r>
      <w:r w:rsidRPr="001D49D4">
        <w:rPr>
          <w:rFonts w:ascii="Calibri" w:eastAsia="Calibri" w:hAnsi="Calibri" w:cs="Arial"/>
          <w:rtl/>
        </w:rPr>
        <w:t xml:space="preserve"> חזקה לא פרעו. ואם אי אתה אומר כן אף היורשים לא יגבו שטר חוב שהניח להם אביהם שיטעון הלוה פרעתי את אביכם והיורשים אין להם טענת בריא שלא פרעו, וחזרו להיות כאומר איני יודע אם הלויתיך </w:t>
      </w:r>
      <w:r w:rsidRPr="001D49D4">
        <w:rPr>
          <w:rFonts w:ascii="Calibri" w:eastAsia="Calibri" w:hAnsi="Calibri" w:cs="Arial"/>
          <w:sz w:val="16"/>
          <w:szCs w:val="16"/>
          <w:rtl/>
        </w:rPr>
        <w:t>(ב"ק קיח.)</w:t>
      </w:r>
      <w:r w:rsidRPr="001D49D4">
        <w:rPr>
          <w:rFonts w:ascii="Calibri" w:eastAsia="Calibri" w:hAnsi="Calibri" w:cs="Arial"/>
          <w:rtl/>
        </w:rPr>
        <w:t xml:space="preserve">. ואפילו בא המוכר והודה שפרעו אינו נאמן, שאם יש לו - יחזיר מעות שנטל, ואם אין לו - חוששים לקנוניא, ובמקום שחב לאחרים אינו נאמן כדאיתא בפרק האשה שנתאלמנה </w:t>
      </w:r>
      <w:r w:rsidRPr="001D49D4">
        <w:rPr>
          <w:rFonts w:ascii="Calibri" w:eastAsia="Calibri" w:hAnsi="Calibri" w:cs="Arial"/>
          <w:sz w:val="16"/>
          <w:szCs w:val="16"/>
          <w:rtl/>
        </w:rPr>
        <w:t>(יט.)</w:t>
      </w:r>
      <w:r w:rsidRPr="001D49D4">
        <w:rPr>
          <w:rFonts w:ascii="Calibri" w:eastAsia="Calibri" w:hAnsi="Calibri" w:cs="Arial"/>
          <w:vertAlign w:val="superscript"/>
          <w:rtl/>
        </w:rPr>
        <w:footnoteReference w:id="5189"/>
      </w:r>
      <w:r w:rsidRPr="001D49D4">
        <w:rPr>
          <w:rFonts w:ascii="Calibri" w:eastAsia="Calibri" w:hAnsi="Calibri" w:cs="Arial"/>
          <w:rtl/>
        </w:rPr>
        <w:t>.</w:t>
      </w:r>
    </w:p>
    <w:p w14:paraId="25BF02D8" w14:textId="77777777" w:rsidR="001D49D4" w:rsidRPr="001D49D4" w:rsidRDefault="001D49D4" w:rsidP="0004348D">
      <w:pPr>
        <w:spacing w:before="360" w:after="240"/>
        <w:rPr>
          <w:rFonts w:ascii="Arial" w:eastAsia="Calibri" w:hAnsi="Arial" w:cs="Arial"/>
          <w:b/>
          <w:bCs/>
          <w:color w:val="000000"/>
          <w:sz w:val="28"/>
          <w:szCs w:val="28"/>
          <w:u w:val="single"/>
          <w:rtl/>
        </w:rPr>
      </w:pPr>
      <w:r w:rsidRPr="001D49D4">
        <w:rPr>
          <w:rFonts w:ascii="Arial" w:eastAsia="Calibri" w:hAnsi="Arial" w:cs="Arial"/>
          <w:b/>
          <w:bCs/>
          <w:color w:val="000000"/>
          <w:sz w:val="28"/>
          <w:szCs w:val="28"/>
          <w:u w:val="single"/>
          <w:rtl/>
        </w:rPr>
        <w:t>שו"ע:</w:t>
      </w:r>
    </w:p>
    <w:p w14:paraId="2BDCE559"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rtl/>
        </w:rPr>
        <w:t>כשמוחל המוכר או יורשיו, צריכים לשלם כל מה שכתוב בשטר החוב מהיפה שבנכסים</w:t>
      </w:r>
      <w:r w:rsidRPr="001D49D4">
        <w:rPr>
          <w:rFonts w:ascii="Calibri" w:eastAsia="Calibri" w:hAnsi="Calibri" w:cs="Arial"/>
          <w:vertAlign w:val="superscript"/>
          <w:rtl/>
        </w:rPr>
        <w:footnoteReference w:id="5190"/>
      </w:r>
      <w:r w:rsidRPr="001D49D4">
        <w:rPr>
          <w:rFonts w:ascii="Calibri" w:eastAsia="Calibri" w:hAnsi="Calibri" w:cs="Arial"/>
          <w:rtl/>
        </w:rPr>
        <w:t>, שהרי גרם לו לאבד השטר, והרי הוא כמו ששרפו. ומיהו שמין השטר כפי מה שהוא</w:t>
      </w:r>
      <w:r w:rsidRPr="001D49D4">
        <w:rPr>
          <w:rFonts w:ascii="Calibri" w:eastAsia="Calibri" w:hAnsi="Calibri" w:cs="Arial"/>
          <w:vertAlign w:val="superscript"/>
          <w:rtl/>
        </w:rPr>
        <w:footnoteReference w:id="5191"/>
      </w:r>
      <w:r w:rsidRPr="001D49D4">
        <w:rPr>
          <w:rFonts w:ascii="Calibri" w:eastAsia="Calibri" w:hAnsi="Calibri" w:cs="Arial"/>
          <w:rtl/>
        </w:rPr>
        <w:t>, כגון אם הלוה גברא אלמא דלא ציית דינא, או שאין לו נכסים. ואם מת, ישלמו יורשיו</w:t>
      </w:r>
      <w:r w:rsidRPr="001D49D4">
        <w:rPr>
          <w:rFonts w:ascii="Calibri" w:eastAsia="Calibri" w:hAnsi="Calibri" w:cs="Arial"/>
          <w:vertAlign w:val="superscript"/>
          <w:rtl/>
        </w:rPr>
        <w:footnoteReference w:id="5192"/>
      </w:r>
      <w:r w:rsidRPr="001D49D4">
        <w:rPr>
          <w:rFonts w:ascii="Calibri" w:eastAsia="Calibri" w:hAnsi="Calibri" w:cs="Arial"/>
          <w:rtl/>
        </w:rPr>
        <w:t xml:space="preserve">. </w:t>
      </w:r>
      <w:r w:rsidRPr="001D49D4">
        <w:rPr>
          <w:rFonts w:ascii="Calibri" w:eastAsia="Calibri" w:hAnsi="Calibri" w:cs="Arial"/>
          <w:sz w:val="18"/>
          <w:szCs w:val="18"/>
          <w:rtl/>
        </w:rPr>
        <w:t>הגה: ואם מכר לו שטר חוב של גוי, ומחלו, צריך לשלם לו אף הרבית שעלה</w:t>
      </w:r>
      <w:r w:rsidRPr="001D49D4">
        <w:rPr>
          <w:rFonts w:ascii="Calibri" w:eastAsia="Calibri" w:hAnsi="Calibri" w:cs="Arial"/>
          <w:sz w:val="18"/>
          <w:szCs w:val="18"/>
          <w:vertAlign w:val="superscript"/>
          <w:rtl/>
        </w:rPr>
        <w:footnoteReference w:id="5193"/>
      </w:r>
      <w:r w:rsidRPr="001D49D4">
        <w:rPr>
          <w:rFonts w:ascii="Calibri" w:eastAsia="Calibri" w:hAnsi="Calibri" w:cs="Arial"/>
          <w:sz w:val="18"/>
          <w:szCs w:val="18"/>
          <w:rtl/>
        </w:rPr>
        <w:t xml:space="preserve"> עליו (רשב"א). אבל אם נודע שפרוע הוא</w:t>
      </w:r>
      <w:r w:rsidRPr="001D49D4">
        <w:rPr>
          <w:rFonts w:ascii="Calibri" w:eastAsia="Calibri" w:hAnsi="Calibri" w:cs="Arial"/>
          <w:sz w:val="18"/>
          <w:szCs w:val="18"/>
          <w:vertAlign w:val="superscript"/>
          <w:rtl/>
        </w:rPr>
        <w:footnoteReference w:id="5194"/>
      </w:r>
      <w:r w:rsidRPr="001D49D4">
        <w:rPr>
          <w:rFonts w:ascii="Calibri" w:eastAsia="Calibri" w:hAnsi="Calibri" w:cs="Arial"/>
          <w:sz w:val="18"/>
          <w:szCs w:val="18"/>
          <w:rtl/>
        </w:rPr>
        <w:t xml:space="preserve"> אע"ג דהוא היה יכול לחזור ולגבות מן הגוי</w:t>
      </w:r>
      <w:r w:rsidRPr="001D49D4">
        <w:rPr>
          <w:rFonts w:ascii="Calibri" w:eastAsia="Calibri" w:hAnsi="Calibri" w:cs="Arial"/>
          <w:sz w:val="18"/>
          <w:szCs w:val="18"/>
          <w:vertAlign w:val="superscript"/>
          <w:rtl/>
        </w:rPr>
        <w:footnoteReference w:id="5195"/>
      </w:r>
      <w:r w:rsidRPr="001D49D4">
        <w:rPr>
          <w:rFonts w:ascii="Calibri" w:eastAsia="Calibri" w:hAnsi="Calibri" w:cs="Arial"/>
          <w:sz w:val="18"/>
          <w:szCs w:val="18"/>
          <w:rtl/>
        </w:rPr>
        <w:t>, פטור המוחל (רי"ו בשם הרשב"א). וכל זה לדעת קצת רבוותא, אבל רבים חולקין וסבירא להו דבכל מוכר שטר חוב ומחלו אין צריך לשלם לו אלא הדמים שנתן לו</w:t>
      </w:r>
      <w:r w:rsidRPr="001D49D4">
        <w:rPr>
          <w:rFonts w:ascii="Calibri" w:eastAsia="Calibri" w:hAnsi="Calibri" w:cs="Arial"/>
          <w:sz w:val="18"/>
          <w:szCs w:val="18"/>
          <w:vertAlign w:val="superscript"/>
          <w:rtl/>
        </w:rPr>
        <w:footnoteReference w:id="5196"/>
      </w:r>
      <w:r w:rsidRPr="001D49D4">
        <w:rPr>
          <w:rFonts w:ascii="Calibri" w:eastAsia="Calibri" w:hAnsi="Calibri" w:cs="Arial"/>
          <w:sz w:val="18"/>
          <w:szCs w:val="18"/>
          <w:rtl/>
        </w:rPr>
        <w:t xml:space="preserve"> (טור בשם רב שרירא גאון) ומה שהוציא עליו (ד"ע).</w:t>
      </w:r>
      <w:r w:rsidRPr="001D49D4">
        <w:rPr>
          <w:rFonts w:ascii="Calibri" w:eastAsia="Calibri" w:hAnsi="Calibri" w:cs="Arial"/>
          <w:rtl/>
        </w:rPr>
        <w:t xml:space="preserve"> </w:t>
      </w:r>
    </w:p>
    <w:p w14:paraId="545748BE" w14:textId="77777777" w:rsidR="001D49D4" w:rsidRPr="001D49D4" w:rsidRDefault="001D49D4" w:rsidP="0004348D">
      <w:pPr>
        <w:spacing w:before="360" w:after="240"/>
        <w:rPr>
          <w:rFonts w:ascii="Calibri" w:eastAsia="Calibri" w:hAnsi="Calibri" w:cs="Arial"/>
          <w:rtl/>
        </w:rPr>
      </w:pPr>
    </w:p>
    <w:p w14:paraId="338E90D1" w14:textId="77777777" w:rsidR="001D49D4" w:rsidRPr="001D49D4" w:rsidRDefault="001D49D4" w:rsidP="0004348D">
      <w:pPr>
        <w:keepNext/>
        <w:keepLines/>
        <w:spacing w:before="360" w:after="240"/>
        <w:outlineLvl w:val="1"/>
        <w:rPr>
          <w:rFonts w:ascii="Cambria" w:eastAsia="Times New Roman" w:hAnsi="Cambria" w:cs="Arial"/>
          <w:bCs/>
          <w:color w:val="548DD4" w:themeColor="text2" w:themeTint="99"/>
          <w:sz w:val="26"/>
          <w:szCs w:val="26"/>
          <w:rtl/>
        </w:rPr>
      </w:pPr>
      <w:bookmarkStart w:id="713" w:name="_Toc24884127"/>
      <w:r w:rsidRPr="001D49D4">
        <w:rPr>
          <w:rFonts w:ascii="Cambria" w:eastAsia="Times New Roman" w:hAnsi="Cambria" w:cs="Arial"/>
          <w:bCs/>
          <w:color w:val="548DD4" w:themeColor="text2" w:themeTint="99"/>
          <w:sz w:val="26"/>
          <w:szCs w:val="26"/>
          <w:rtl/>
        </w:rPr>
        <w:t>סעיף לג: מוכר שמחל שטר חוב שאי אפשר ליפרע משטר זה.</w:t>
      </w:r>
      <w:bookmarkEnd w:id="713"/>
    </w:p>
    <w:p w14:paraId="7F567C10" w14:textId="77777777" w:rsidR="001D49D4" w:rsidRPr="001D49D4" w:rsidRDefault="001D49D4" w:rsidP="0004348D">
      <w:pPr>
        <w:spacing w:before="360" w:after="240"/>
        <w:rPr>
          <w:rFonts w:ascii="Calibri" w:eastAsia="Calibri" w:hAnsi="Calibri" w:cs="Arial"/>
          <w:u w:val="single"/>
          <w:rtl/>
        </w:rPr>
      </w:pPr>
      <w:r w:rsidRPr="001D49D4">
        <w:rPr>
          <w:rFonts w:ascii="Calibri" w:eastAsia="Calibri" w:hAnsi="Calibri" w:cs="Arial"/>
          <w:u w:val="single"/>
          <w:rtl/>
        </w:rPr>
        <w:t>מוכר שמחל שטר שאי אפשר ליפרע מהשטר מסיבה כלשהיא:</w:t>
      </w:r>
    </w:p>
    <w:p w14:paraId="33E25F5C" w14:textId="77777777" w:rsidR="001D49D4" w:rsidRPr="001D49D4" w:rsidRDefault="001D49D4" w:rsidP="0004348D">
      <w:pPr>
        <w:numPr>
          <w:ilvl w:val="0"/>
          <w:numId w:val="337"/>
        </w:numPr>
        <w:spacing w:before="360" w:after="240"/>
        <w:contextualSpacing/>
        <w:rPr>
          <w:rFonts w:ascii="Calibri" w:eastAsia="Calibri" w:hAnsi="Calibri" w:cs="Arial"/>
          <w:rtl/>
        </w:rPr>
      </w:pPr>
      <w:r w:rsidRPr="001D49D4">
        <w:rPr>
          <w:rFonts w:ascii="Calibri" w:eastAsia="Calibri" w:hAnsi="Calibri" w:cs="Arial"/>
          <w:rtl/>
        </w:rPr>
        <w:t xml:space="preserve">ספר התרומות </w:t>
      </w:r>
      <w:r w:rsidRPr="001D49D4">
        <w:rPr>
          <w:rFonts w:ascii="Calibri" w:eastAsia="Calibri" w:hAnsi="Calibri" w:cs="Arial"/>
          <w:sz w:val="16"/>
          <w:szCs w:val="16"/>
          <w:rtl/>
        </w:rPr>
        <w:t>(שער נא שם סי' י)</w:t>
      </w:r>
      <w:r w:rsidRPr="001D49D4">
        <w:rPr>
          <w:rFonts w:ascii="Calibri" w:eastAsia="Calibri" w:hAnsi="Calibri" w:cs="Arial"/>
          <w:rtl/>
        </w:rPr>
        <w:t xml:space="preserve"> טור ורי"ו</w:t>
      </w:r>
      <w:r w:rsidRPr="001D49D4">
        <w:rPr>
          <w:rFonts w:ascii="Calibri" w:eastAsia="Calibri" w:hAnsi="Calibri" w:cs="Arial"/>
          <w:sz w:val="16"/>
          <w:szCs w:val="16"/>
          <w:rtl/>
        </w:rPr>
        <w:t xml:space="preserve"> (מישרים ני"ד מה ע"ג)</w:t>
      </w:r>
      <w:r w:rsidRPr="001D49D4">
        <w:rPr>
          <w:rFonts w:ascii="Calibri" w:eastAsia="Calibri" w:hAnsi="Calibri" w:cs="Arial"/>
          <w:rtl/>
        </w:rPr>
        <w:t xml:space="preserve"> בשם התוס'- בד"א שהמוחל חייב בתשלומין, בזמן שהשטר כשר והמלוה ראוי ליפרע ממנו, אבל טען הלוה שהוא מזוייף ואינו יכול לקיימו, או שהלוה אלם ולא ציית דינא, או שהוא עני ואין לו לשלם - אינו חייב לשלם לו כלום, הואיל ולא גרם לו הפסד ממון במחילתו, שלעולם אינו מתחייב מחמת מחילתו עד שיתברר שאין החוב נפסד ללוקח אלא מחמת מחילתו של זה. </w:t>
      </w:r>
      <w:r w:rsidRPr="001D49D4">
        <w:rPr>
          <w:rFonts w:ascii="Calibri" w:eastAsia="Calibri" w:hAnsi="Calibri" w:cs="Arial"/>
          <w:color w:val="E36C0A" w:themeColor="accent6" w:themeShade="BF"/>
          <w:rtl/>
        </w:rPr>
        <w:t>(וכ"פ בשו"ע)</w:t>
      </w:r>
    </w:p>
    <w:p w14:paraId="0E71157B" w14:textId="77777777" w:rsidR="001D49D4" w:rsidRPr="001D49D4" w:rsidRDefault="001D49D4" w:rsidP="0004348D">
      <w:pPr>
        <w:spacing w:before="360" w:after="240"/>
        <w:rPr>
          <w:rFonts w:ascii="Arial" w:eastAsia="Calibri" w:hAnsi="Arial" w:cs="Arial"/>
          <w:b/>
          <w:bCs/>
          <w:color w:val="000000"/>
          <w:sz w:val="28"/>
          <w:szCs w:val="28"/>
          <w:u w:val="single"/>
          <w:rtl/>
        </w:rPr>
      </w:pPr>
      <w:r w:rsidRPr="001D49D4">
        <w:rPr>
          <w:rFonts w:ascii="Arial" w:eastAsia="Calibri" w:hAnsi="Arial" w:cs="Arial"/>
          <w:b/>
          <w:bCs/>
          <w:color w:val="000000"/>
          <w:sz w:val="28"/>
          <w:szCs w:val="28"/>
          <w:u w:val="single"/>
          <w:rtl/>
        </w:rPr>
        <w:t>שו"ע:</w:t>
      </w:r>
    </w:p>
    <w:p w14:paraId="2351C6FC"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rtl/>
        </w:rPr>
        <w:t xml:space="preserve">במה דברים אמורים שהמוחל חייב בתשלומין, בזמן שהשטר כשר והמלוה ראוי ליפרע ממנו. אבל אם טען הלוה שהוא מזוייף, ואינו יכול לקיימו, או שהלוה אלם או עני, פטור המוחל מצד מחילתו. </w:t>
      </w:r>
    </w:p>
    <w:p w14:paraId="134B66F9" w14:textId="77777777" w:rsidR="001D49D4" w:rsidRPr="001D49D4" w:rsidRDefault="001D49D4" w:rsidP="0004348D">
      <w:pPr>
        <w:spacing w:before="360" w:after="240"/>
        <w:rPr>
          <w:rFonts w:ascii="Calibri" w:eastAsia="Calibri" w:hAnsi="Calibri" w:cs="Arial"/>
          <w:rtl/>
        </w:rPr>
      </w:pPr>
    </w:p>
    <w:p w14:paraId="4EBA257D" w14:textId="77777777" w:rsidR="001D49D4" w:rsidRPr="001D49D4" w:rsidRDefault="001D49D4" w:rsidP="0004348D">
      <w:pPr>
        <w:keepNext/>
        <w:keepLines/>
        <w:spacing w:before="360" w:after="240"/>
        <w:outlineLvl w:val="1"/>
        <w:rPr>
          <w:rFonts w:ascii="Cambria" w:eastAsia="Times New Roman" w:hAnsi="Cambria" w:cs="Arial"/>
          <w:bCs/>
          <w:color w:val="548DD4" w:themeColor="text2" w:themeTint="99"/>
          <w:sz w:val="26"/>
          <w:szCs w:val="26"/>
          <w:rtl/>
        </w:rPr>
      </w:pPr>
      <w:bookmarkStart w:id="714" w:name="_Toc24884128"/>
      <w:r w:rsidRPr="001D49D4">
        <w:rPr>
          <w:rFonts w:ascii="Cambria" w:eastAsia="Times New Roman" w:hAnsi="Cambria" w:cs="Arial"/>
          <w:bCs/>
          <w:color w:val="548DD4" w:themeColor="text2" w:themeTint="99"/>
          <w:sz w:val="26"/>
          <w:szCs w:val="26"/>
          <w:rtl/>
        </w:rPr>
        <w:t>סעיף לד: אחריות טעות סופר במוכר שטר חוב.</w:t>
      </w:r>
      <w:bookmarkEnd w:id="714"/>
    </w:p>
    <w:p w14:paraId="563D0DBE" w14:textId="77777777" w:rsidR="001D49D4" w:rsidRPr="001D49D4" w:rsidRDefault="001D49D4" w:rsidP="0004348D">
      <w:pPr>
        <w:spacing w:before="360" w:after="240"/>
        <w:rPr>
          <w:rFonts w:ascii="Calibri" w:eastAsia="Calibri" w:hAnsi="Calibri" w:cs="Arial"/>
          <w:u w:val="single"/>
          <w:rtl/>
        </w:rPr>
      </w:pPr>
      <w:r w:rsidRPr="001D49D4">
        <w:rPr>
          <w:rFonts w:ascii="Calibri" w:eastAsia="Calibri" w:hAnsi="Calibri" w:cs="Arial"/>
          <w:u w:val="single"/>
          <w:rtl/>
        </w:rPr>
        <w:t>האם אמרינן אחריות טעות סופר במכירת שטר חוב:</w:t>
      </w:r>
    </w:p>
    <w:p w14:paraId="7F4509FC" w14:textId="77777777" w:rsidR="001D49D4" w:rsidRPr="001D49D4" w:rsidRDefault="001D49D4" w:rsidP="0004348D">
      <w:pPr>
        <w:numPr>
          <w:ilvl w:val="0"/>
          <w:numId w:val="337"/>
        </w:numPr>
        <w:spacing w:before="360" w:after="240"/>
        <w:contextualSpacing/>
        <w:rPr>
          <w:rFonts w:ascii="Calibri" w:eastAsia="Calibri" w:hAnsi="Calibri" w:cs="Arial"/>
          <w:rtl/>
        </w:rPr>
      </w:pPr>
      <w:r w:rsidRPr="001D49D4">
        <w:rPr>
          <w:rFonts w:ascii="Calibri" w:eastAsia="Calibri" w:hAnsi="Calibri" w:cs="Arial"/>
          <w:rtl/>
        </w:rPr>
        <w:t>בעל התרומות</w:t>
      </w:r>
      <w:r w:rsidRPr="001D49D4">
        <w:rPr>
          <w:rFonts w:ascii="Calibri" w:eastAsia="Calibri" w:hAnsi="Calibri" w:cs="Arial"/>
          <w:sz w:val="16"/>
          <w:szCs w:val="16"/>
          <w:rtl/>
        </w:rPr>
        <w:t xml:space="preserve"> (שער נא שם סי' ט) </w:t>
      </w:r>
      <w:r w:rsidRPr="001D49D4">
        <w:rPr>
          <w:rFonts w:ascii="Calibri" w:eastAsia="Calibri" w:hAnsi="Calibri" w:cs="Arial"/>
          <w:rtl/>
        </w:rPr>
        <w:t>בשם הרמב"ן וטור- אחריות טעות סופר הוא אף בשטרי הלואות ושטרי חובות, ומה הוא האחריות הזה, שאם בא בעל חוב של מוכר וטרף חוב זה ממנו או שבא אחר והביא ראיה ששטר חוב זה שלו הוא או שלקחו מן המוכר תחלה וכיוצא בזה - חוזר הלוקח הזה וגובה מן המוכר מדין אחריות</w:t>
      </w:r>
      <w:r w:rsidRPr="001D49D4">
        <w:rPr>
          <w:rFonts w:ascii="Calibri" w:eastAsia="Calibri" w:hAnsi="Calibri" w:cs="Arial"/>
          <w:vertAlign w:val="superscript"/>
          <w:rtl/>
        </w:rPr>
        <w:footnoteReference w:id="5197"/>
      </w:r>
      <w:r w:rsidRPr="001D49D4">
        <w:rPr>
          <w:rFonts w:ascii="Calibri" w:eastAsia="Calibri" w:hAnsi="Calibri" w:cs="Arial"/>
          <w:rtl/>
        </w:rPr>
        <w:t>. וכל שכן</w:t>
      </w:r>
      <w:r w:rsidRPr="001D49D4">
        <w:rPr>
          <w:rFonts w:ascii="Calibri" w:eastAsia="Calibri" w:hAnsi="Calibri" w:cs="Arial"/>
          <w:vertAlign w:val="superscript"/>
          <w:rtl/>
        </w:rPr>
        <w:footnoteReference w:id="5198"/>
      </w:r>
      <w:r w:rsidRPr="001D49D4">
        <w:rPr>
          <w:rFonts w:ascii="Calibri" w:eastAsia="Calibri" w:hAnsi="Calibri" w:cs="Arial"/>
          <w:rtl/>
        </w:rPr>
        <w:t xml:space="preserve"> אם הוציא הלוה שובר שפרעו או שמחל לו מלוה קודם שמכרו לזה, דההוא ודאי חייב לשלם דלא הוו זביני כלל ומעות חוזרים. אבל אם הלוה עני ואין אדם יכול להוציאו ממנו בדיינים או שהעני אחר זה - אינו בדין אחריות</w:t>
      </w:r>
      <w:r w:rsidRPr="001D49D4">
        <w:rPr>
          <w:rFonts w:ascii="Calibri" w:eastAsia="Calibri" w:hAnsi="Calibri" w:cs="Arial"/>
          <w:vertAlign w:val="superscript"/>
          <w:rtl/>
        </w:rPr>
        <w:footnoteReference w:id="5199"/>
      </w:r>
      <w:r w:rsidRPr="001D49D4">
        <w:rPr>
          <w:rFonts w:ascii="Calibri" w:eastAsia="Calibri" w:hAnsi="Calibri" w:cs="Arial"/>
          <w:rtl/>
        </w:rPr>
        <w:t>, אלא כשהיה עני - בכלל אונאה הוא אם מכרו יותר מכדי דמיו</w:t>
      </w:r>
      <w:r w:rsidRPr="001D49D4">
        <w:rPr>
          <w:rFonts w:ascii="Calibri" w:eastAsia="Calibri" w:hAnsi="Calibri" w:cs="Arial"/>
          <w:vertAlign w:val="superscript"/>
          <w:rtl/>
        </w:rPr>
        <w:footnoteReference w:id="5200"/>
      </w:r>
      <w:r w:rsidRPr="001D49D4">
        <w:rPr>
          <w:rFonts w:ascii="Calibri" w:eastAsia="Calibri" w:hAnsi="Calibri" w:cs="Arial"/>
          <w:rtl/>
        </w:rPr>
        <w:t>, ואין לשטרות דין אונאה</w:t>
      </w:r>
      <w:r w:rsidRPr="001D49D4">
        <w:rPr>
          <w:rFonts w:ascii="Calibri" w:eastAsia="Calibri" w:hAnsi="Calibri" w:cs="Arial"/>
          <w:sz w:val="16"/>
          <w:szCs w:val="16"/>
          <w:rtl/>
        </w:rPr>
        <w:t xml:space="preserve"> (ל' בעל התרומות)</w:t>
      </w:r>
      <w:r w:rsidRPr="001D49D4">
        <w:rPr>
          <w:rFonts w:ascii="Calibri" w:eastAsia="Calibri" w:hAnsi="Calibri" w:cs="Arial"/>
          <w:rtl/>
        </w:rPr>
        <w:t>.</w:t>
      </w:r>
      <w:r w:rsidRPr="001D49D4">
        <w:rPr>
          <w:rFonts w:ascii="Calibri" w:eastAsia="Calibri" w:hAnsi="Calibri" w:cs="Arial"/>
          <w:color w:val="E36C0A" w:themeColor="accent6" w:themeShade="BF"/>
          <w:rtl/>
        </w:rPr>
        <w:t xml:space="preserve"> (וכ"פ בשו"ע)</w:t>
      </w:r>
      <w:r w:rsidRPr="001D49D4">
        <w:rPr>
          <w:rFonts w:ascii="Calibri" w:eastAsia="Calibri" w:hAnsi="Calibri" w:cs="Arial"/>
          <w:rtl/>
        </w:rPr>
        <w:t xml:space="preserve"> </w:t>
      </w:r>
    </w:p>
    <w:p w14:paraId="169D1231" w14:textId="77777777" w:rsidR="001D49D4" w:rsidRPr="001D49D4" w:rsidRDefault="001D49D4" w:rsidP="0004348D">
      <w:pPr>
        <w:spacing w:before="360" w:after="240"/>
        <w:rPr>
          <w:rFonts w:ascii="Arial" w:eastAsia="Calibri" w:hAnsi="Arial" w:cs="Arial"/>
          <w:b/>
          <w:bCs/>
          <w:color w:val="000000"/>
          <w:sz w:val="28"/>
          <w:szCs w:val="28"/>
          <w:u w:val="single"/>
          <w:rtl/>
        </w:rPr>
      </w:pPr>
      <w:r w:rsidRPr="001D49D4">
        <w:rPr>
          <w:rFonts w:ascii="Arial" w:eastAsia="Calibri" w:hAnsi="Arial" w:cs="Arial"/>
          <w:b/>
          <w:bCs/>
          <w:color w:val="000000"/>
          <w:sz w:val="28"/>
          <w:szCs w:val="28"/>
          <w:u w:val="single"/>
          <w:rtl/>
        </w:rPr>
        <w:t>שו"ע:</w:t>
      </w:r>
    </w:p>
    <w:p w14:paraId="22CFAF34"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rtl/>
        </w:rPr>
        <w:t xml:space="preserve">גם במוכר שטר חוב אמרינן אחריות טעות סופר הוא. לפיכך אם בא בעל חוב </w:t>
      </w:r>
      <w:r w:rsidRPr="001D49D4">
        <w:rPr>
          <w:rFonts w:ascii="Calibri" w:eastAsia="Calibri" w:hAnsi="Calibri" w:cs="Arial"/>
          <w:sz w:val="18"/>
          <w:szCs w:val="18"/>
          <w:rtl/>
        </w:rPr>
        <w:t xml:space="preserve">(של מוכר) </w:t>
      </w:r>
      <w:r w:rsidRPr="001D49D4">
        <w:rPr>
          <w:rFonts w:ascii="Calibri" w:eastAsia="Calibri" w:hAnsi="Calibri" w:cs="Arial"/>
          <w:rtl/>
        </w:rPr>
        <w:t>וטורף זה החוב, או שבא אחד והביא ראיה ששטר זה שלו</w:t>
      </w:r>
      <w:r w:rsidRPr="001D49D4">
        <w:rPr>
          <w:rFonts w:ascii="Calibri" w:eastAsia="Calibri" w:hAnsi="Calibri" w:cs="Arial"/>
          <w:vertAlign w:val="superscript"/>
          <w:rtl/>
        </w:rPr>
        <w:footnoteReference w:id="5201"/>
      </w:r>
      <w:r w:rsidRPr="001D49D4">
        <w:rPr>
          <w:rFonts w:ascii="Calibri" w:eastAsia="Calibri" w:hAnsi="Calibri" w:cs="Arial"/>
          <w:rtl/>
        </w:rPr>
        <w:t>, או שלקח מהמלוה תחלה, וכל כיוצא בזה, חוזר הלוקח וגובה מהמוכר מדין אחריות</w:t>
      </w:r>
      <w:r w:rsidRPr="001D49D4">
        <w:rPr>
          <w:rFonts w:ascii="Calibri" w:eastAsia="Calibri" w:hAnsi="Calibri" w:cs="Arial"/>
          <w:vertAlign w:val="superscript"/>
          <w:rtl/>
        </w:rPr>
        <w:footnoteReference w:id="5202"/>
      </w:r>
      <w:r w:rsidRPr="001D49D4">
        <w:rPr>
          <w:rFonts w:ascii="Calibri" w:eastAsia="Calibri" w:hAnsi="Calibri" w:cs="Arial"/>
          <w:rtl/>
        </w:rPr>
        <w:t>. ואם הוציא הלוה שובר</w:t>
      </w:r>
      <w:r w:rsidRPr="001D49D4">
        <w:rPr>
          <w:rFonts w:ascii="Calibri" w:eastAsia="Calibri" w:hAnsi="Calibri" w:cs="Arial"/>
          <w:vertAlign w:val="superscript"/>
          <w:rtl/>
        </w:rPr>
        <w:footnoteReference w:id="5203"/>
      </w:r>
      <w:r w:rsidRPr="001D49D4">
        <w:rPr>
          <w:rFonts w:ascii="Calibri" w:eastAsia="Calibri" w:hAnsi="Calibri" w:cs="Arial"/>
          <w:rtl/>
        </w:rPr>
        <w:t xml:space="preserve"> ששטר זה פרוע או שמחל לו המלוה קודם לכן, הרי זה מקח טעות, והמעות חוזרים. ואם היה הלוה עני בשעת מכירה</w:t>
      </w:r>
      <w:r w:rsidRPr="001D49D4">
        <w:rPr>
          <w:rFonts w:ascii="Calibri" w:eastAsia="Calibri" w:hAnsi="Calibri" w:cs="Arial"/>
          <w:vertAlign w:val="superscript"/>
          <w:rtl/>
        </w:rPr>
        <w:footnoteReference w:id="5204"/>
      </w:r>
      <w:r w:rsidRPr="001D49D4">
        <w:rPr>
          <w:rFonts w:ascii="Calibri" w:eastAsia="Calibri" w:hAnsi="Calibri" w:cs="Arial"/>
          <w:rtl/>
        </w:rPr>
        <w:t>, בכלל אונאה הוא אם מכרו ביותר מדמי שוויו</w:t>
      </w:r>
      <w:r w:rsidRPr="001D49D4">
        <w:rPr>
          <w:rFonts w:ascii="Calibri" w:eastAsia="Calibri" w:hAnsi="Calibri" w:cs="Arial"/>
          <w:vertAlign w:val="superscript"/>
          <w:rtl/>
        </w:rPr>
        <w:footnoteReference w:id="5205"/>
      </w:r>
      <w:r w:rsidRPr="001D49D4">
        <w:rPr>
          <w:rFonts w:ascii="Calibri" w:eastAsia="Calibri" w:hAnsi="Calibri" w:cs="Arial"/>
          <w:rtl/>
        </w:rPr>
        <w:t xml:space="preserve">, ואין לשטרות אונאה. ואם העני אחר כך ואינו יכול להוציא ממנו כלום, אין זה בכלל אחריות, דמזל דידיה גרם. </w:t>
      </w:r>
    </w:p>
    <w:p w14:paraId="148129B9" w14:textId="77777777" w:rsidR="001D49D4" w:rsidRPr="001D49D4" w:rsidRDefault="001D49D4" w:rsidP="0004348D">
      <w:pPr>
        <w:spacing w:before="360" w:after="240"/>
        <w:rPr>
          <w:rFonts w:ascii="Calibri" w:eastAsia="Calibri" w:hAnsi="Calibri" w:cs="Arial"/>
          <w:rtl/>
        </w:rPr>
      </w:pPr>
    </w:p>
    <w:p w14:paraId="3A2A4ACA" w14:textId="77777777" w:rsidR="001D49D4" w:rsidRPr="001D49D4" w:rsidRDefault="001D49D4" w:rsidP="0004348D">
      <w:pPr>
        <w:keepNext/>
        <w:keepLines/>
        <w:spacing w:before="360" w:after="240"/>
        <w:outlineLvl w:val="1"/>
        <w:rPr>
          <w:rFonts w:ascii="Cambria" w:eastAsia="Times New Roman" w:hAnsi="Cambria" w:cs="Arial"/>
          <w:bCs/>
          <w:color w:val="548DD4" w:themeColor="text2" w:themeTint="99"/>
          <w:sz w:val="26"/>
          <w:szCs w:val="26"/>
          <w:rtl/>
        </w:rPr>
      </w:pPr>
      <w:bookmarkStart w:id="715" w:name="_Toc24884129"/>
      <w:r w:rsidRPr="001D49D4">
        <w:rPr>
          <w:rFonts w:ascii="Cambria" w:eastAsia="Times New Roman" w:hAnsi="Cambria" w:cs="Arial"/>
          <w:bCs/>
          <w:color w:val="548DD4" w:themeColor="text2" w:themeTint="99"/>
          <w:sz w:val="26"/>
          <w:szCs w:val="26"/>
          <w:rtl/>
        </w:rPr>
        <w:t>סעיף לה: מאלו נכסים משלם המוחל.</w:t>
      </w:r>
      <w:bookmarkEnd w:id="715"/>
    </w:p>
    <w:p w14:paraId="03840426" w14:textId="77777777" w:rsidR="001D49D4" w:rsidRPr="001D49D4" w:rsidRDefault="001D49D4" w:rsidP="0004348D">
      <w:pPr>
        <w:spacing w:before="360" w:after="240"/>
        <w:rPr>
          <w:rFonts w:ascii="Calibri" w:eastAsia="Calibri" w:hAnsi="Calibri" w:cs="Arial"/>
          <w:u w:val="single"/>
          <w:rtl/>
        </w:rPr>
      </w:pPr>
      <w:r w:rsidRPr="001D49D4">
        <w:rPr>
          <w:rFonts w:ascii="Calibri" w:eastAsia="Calibri" w:hAnsi="Calibri" w:cs="Arial"/>
          <w:u w:val="single"/>
          <w:rtl/>
        </w:rPr>
        <w:t>מכר שט"ח ומחלו – מאלו נכסים משלם ללוקח:</w:t>
      </w:r>
    </w:p>
    <w:p w14:paraId="7A9FD455" w14:textId="77777777" w:rsidR="001D49D4" w:rsidRPr="001D49D4" w:rsidRDefault="001D49D4" w:rsidP="0004348D">
      <w:pPr>
        <w:numPr>
          <w:ilvl w:val="0"/>
          <w:numId w:val="337"/>
        </w:numPr>
        <w:spacing w:before="360" w:after="240"/>
        <w:contextualSpacing/>
        <w:rPr>
          <w:rFonts w:ascii="Calibri" w:eastAsia="Calibri" w:hAnsi="Calibri" w:cs="Arial"/>
          <w:rtl/>
        </w:rPr>
      </w:pPr>
      <w:r w:rsidRPr="001D49D4">
        <w:rPr>
          <w:rFonts w:ascii="Calibri" w:eastAsia="Calibri" w:hAnsi="Calibri" w:cs="Arial"/>
          <w:rtl/>
        </w:rPr>
        <w:t xml:space="preserve">רשב"א </w:t>
      </w:r>
      <w:r w:rsidRPr="001D49D4">
        <w:rPr>
          <w:rFonts w:ascii="Calibri" w:eastAsia="Calibri" w:hAnsi="Calibri" w:cs="Arial"/>
          <w:sz w:val="16"/>
          <w:szCs w:val="16"/>
          <w:rtl/>
        </w:rPr>
        <w:t>(ח"א סי' תתקצב)</w:t>
      </w:r>
      <w:r w:rsidRPr="001D49D4">
        <w:rPr>
          <w:rFonts w:ascii="Calibri" w:eastAsia="Calibri" w:hAnsi="Calibri" w:cs="Arial"/>
          <w:rtl/>
        </w:rPr>
        <w:t xml:space="preserve"> רא"ש </w:t>
      </w:r>
      <w:r w:rsidRPr="001D49D4">
        <w:rPr>
          <w:rFonts w:ascii="Calibri" w:eastAsia="Calibri" w:hAnsi="Calibri" w:cs="Arial"/>
          <w:sz w:val="16"/>
          <w:szCs w:val="16"/>
          <w:rtl/>
        </w:rPr>
        <w:t xml:space="preserve">(כלל סט סוף סי' א) </w:t>
      </w:r>
      <w:r w:rsidRPr="001D49D4">
        <w:rPr>
          <w:rFonts w:ascii="Calibri" w:eastAsia="Calibri" w:hAnsi="Calibri" w:cs="Arial"/>
          <w:rtl/>
        </w:rPr>
        <w:t>טור</w:t>
      </w:r>
      <w:r w:rsidRPr="001D49D4">
        <w:rPr>
          <w:rFonts w:ascii="Calibri" w:eastAsia="Calibri" w:hAnsi="Calibri" w:cs="Arial"/>
          <w:vertAlign w:val="superscript"/>
          <w:rtl/>
        </w:rPr>
        <w:footnoteReference w:id="5206"/>
      </w:r>
      <w:r w:rsidRPr="001D49D4">
        <w:rPr>
          <w:rFonts w:ascii="Calibri" w:eastAsia="Calibri" w:hAnsi="Calibri" w:cs="Arial"/>
          <w:rtl/>
        </w:rPr>
        <w:t xml:space="preserve"> ורי"ו</w:t>
      </w:r>
      <w:r w:rsidRPr="001D49D4">
        <w:rPr>
          <w:rFonts w:ascii="Calibri" w:eastAsia="Calibri" w:hAnsi="Calibri" w:cs="Arial"/>
          <w:vertAlign w:val="superscript"/>
          <w:rtl/>
        </w:rPr>
        <w:footnoteReference w:id="5207"/>
      </w:r>
      <w:r w:rsidRPr="001D49D4">
        <w:rPr>
          <w:rFonts w:ascii="Calibri" w:eastAsia="Calibri" w:hAnsi="Calibri" w:cs="Arial"/>
          <w:sz w:val="16"/>
          <w:szCs w:val="16"/>
          <w:rtl/>
        </w:rPr>
        <w:t xml:space="preserve"> (מישרים ני"ד מה ע"ג)</w:t>
      </w:r>
      <w:r w:rsidRPr="001D49D4">
        <w:rPr>
          <w:rFonts w:ascii="Calibri" w:eastAsia="Calibri" w:hAnsi="Calibri" w:cs="Arial"/>
          <w:rtl/>
        </w:rPr>
        <w:t xml:space="preserve"> בשם התוס'- המוחל מזיק הוא משעה שמחלו, ואינו גובה </w:t>
      </w:r>
      <w:r w:rsidRPr="001D49D4">
        <w:rPr>
          <w:rFonts w:ascii="Calibri" w:eastAsia="Calibri" w:hAnsi="Calibri" w:cs="Arial"/>
          <w:sz w:val="16"/>
          <w:szCs w:val="16"/>
          <w:rtl/>
        </w:rPr>
        <w:t xml:space="preserve">{הלוקח מהמוכר} </w:t>
      </w:r>
      <w:r w:rsidRPr="001D49D4">
        <w:rPr>
          <w:rFonts w:ascii="Calibri" w:eastAsia="Calibri" w:hAnsi="Calibri" w:cs="Arial"/>
          <w:rtl/>
        </w:rPr>
        <w:t>ממשעבדי ואפילו מלקוחות שלקחו לאחר מכאן. ומיהו אם כתב מוכר ללוקח בשעת מכירה 'אם אחזור ואמחול חוב זה הריני משעבד עצמי ונכסי לשלם דמי חוב זה' - גובה מהמשועבדים ואפילו מלקוחות שקדמו למחילתו שהרי שעבד עצמו לאחריות זה בשטר</w:t>
      </w:r>
      <w:r w:rsidRPr="001D49D4">
        <w:rPr>
          <w:rFonts w:ascii="Calibri" w:eastAsia="Calibri" w:hAnsi="Calibri" w:cs="Arial"/>
          <w:sz w:val="16"/>
          <w:szCs w:val="16"/>
          <w:rtl/>
        </w:rPr>
        <w:t xml:space="preserve"> (ל' הב"י בשם הרשב"א)</w:t>
      </w:r>
      <w:r w:rsidRPr="001D49D4">
        <w:rPr>
          <w:rFonts w:ascii="Calibri" w:eastAsia="Calibri" w:hAnsi="Calibri" w:cs="Arial"/>
          <w:vertAlign w:val="superscript"/>
          <w:rtl/>
        </w:rPr>
        <w:footnoteReference w:id="5208"/>
      </w:r>
      <w:r w:rsidRPr="001D49D4">
        <w:rPr>
          <w:rFonts w:ascii="Calibri" w:eastAsia="Calibri" w:hAnsi="Calibri" w:cs="Arial"/>
          <w:rtl/>
        </w:rPr>
        <w:t>.</w:t>
      </w:r>
      <w:r w:rsidRPr="001D49D4">
        <w:rPr>
          <w:rFonts w:ascii="Calibri" w:eastAsia="Calibri" w:hAnsi="Calibri" w:cs="Arial"/>
          <w:color w:val="E36C0A" w:themeColor="accent6" w:themeShade="BF"/>
          <w:rtl/>
        </w:rPr>
        <w:t xml:space="preserve"> (וכ"פ בשו"ע)</w:t>
      </w:r>
    </w:p>
    <w:p w14:paraId="60A1B95D" w14:textId="77777777" w:rsidR="001D49D4" w:rsidRPr="001D49D4" w:rsidRDefault="001D49D4" w:rsidP="0004348D">
      <w:pPr>
        <w:spacing w:before="360" w:after="240"/>
        <w:rPr>
          <w:rFonts w:ascii="Arial" w:eastAsia="Calibri" w:hAnsi="Arial" w:cs="Arial"/>
          <w:b/>
          <w:bCs/>
          <w:color w:val="000000"/>
          <w:sz w:val="28"/>
          <w:szCs w:val="28"/>
          <w:u w:val="single"/>
          <w:rtl/>
        </w:rPr>
      </w:pPr>
      <w:r w:rsidRPr="001D49D4">
        <w:rPr>
          <w:rFonts w:ascii="Arial" w:eastAsia="Calibri" w:hAnsi="Arial" w:cs="Arial"/>
          <w:b/>
          <w:bCs/>
          <w:color w:val="000000"/>
          <w:sz w:val="28"/>
          <w:szCs w:val="28"/>
          <w:u w:val="single"/>
          <w:rtl/>
        </w:rPr>
        <w:t>שו"ע:</w:t>
      </w:r>
    </w:p>
    <w:p w14:paraId="3751019F"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rtl/>
        </w:rPr>
        <w:t>המוחל, מזיק הוא משעה שמחלו, ואפילו קבל עליו אחריות אינו גובה ממשעבדי, אפילו מלקוחות שלקחו לאחר מכאן</w:t>
      </w:r>
      <w:r w:rsidRPr="001D49D4">
        <w:rPr>
          <w:rFonts w:ascii="Calibri" w:eastAsia="Calibri" w:hAnsi="Calibri" w:cs="Arial"/>
          <w:vertAlign w:val="superscript"/>
          <w:rtl/>
        </w:rPr>
        <w:footnoteReference w:id="5209"/>
      </w:r>
      <w:r w:rsidRPr="001D49D4">
        <w:rPr>
          <w:rFonts w:ascii="Calibri" w:eastAsia="Calibri" w:hAnsi="Calibri" w:cs="Arial"/>
          <w:rtl/>
        </w:rPr>
        <w:t>. אלא אם כן כתב לו בשעת מכירה 'אם אחזור ואמחול חוב זה הריני משעבד עצמי ונכסי לשלם דמי חוב זה', גובה ממשעבדי, אפילו מלקוחות שקדמו למחילתו</w:t>
      </w:r>
      <w:r w:rsidRPr="001D49D4">
        <w:rPr>
          <w:rFonts w:ascii="Calibri" w:eastAsia="Calibri" w:hAnsi="Calibri" w:cs="Arial"/>
          <w:vertAlign w:val="superscript"/>
          <w:rtl/>
        </w:rPr>
        <w:footnoteReference w:id="5210"/>
      </w:r>
      <w:r w:rsidRPr="001D49D4">
        <w:rPr>
          <w:rFonts w:ascii="Calibri" w:eastAsia="Calibri" w:hAnsi="Calibri" w:cs="Arial"/>
          <w:rtl/>
        </w:rPr>
        <w:t xml:space="preserve">. </w:t>
      </w:r>
    </w:p>
    <w:p w14:paraId="39B80CA0" w14:textId="77777777" w:rsidR="001D49D4" w:rsidRPr="001D49D4" w:rsidRDefault="001D49D4" w:rsidP="0004348D">
      <w:pPr>
        <w:spacing w:before="360" w:after="240"/>
        <w:rPr>
          <w:rFonts w:ascii="Calibri" w:eastAsia="Calibri" w:hAnsi="Calibri" w:cs="Arial"/>
          <w:rtl/>
        </w:rPr>
      </w:pPr>
    </w:p>
    <w:p w14:paraId="64C92420" w14:textId="77777777" w:rsidR="001D49D4" w:rsidRPr="001D49D4" w:rsidRDefault="001D49D4" w:rsidP="0004348D">
      <w:pPr>
        <w:keepNext/>
        <w:keepLines/>
        <w:spacing w:before="360" w:after="240"/>
        <w:outlineLvl w:val="1"/>
        <w:rPr>
          <w:rFonts w:ascii="Cambria" w:eastAsia="Times New Roman" w:hAnsi="Cambria" w:cs="Arial"/>
          <w:bCs/>
          <w:color w:val="548DD4" w:themeColor="text2" w:themeTint="99"/>
          <w:sz w:val="26"/>
          <w:szCs w:val="26"/>
          <w:rtl/>
        </w:rPr>
      </w:pPr>
      <w:bookmarkStart w:id="716" w:name="_Toc24884130"/>
      <w:r w:rsidRPr="001D49D4">
        <w:rPr>
          <w:rFonts w:ascii="Cambria" w:eastAsia="Times New Roman" w:hAnsi="Cambria" w:cs="Arial"/>
          <w:bCs/>
          <w:color w:val="548DD4" w:themeColor="text2" w:themeTint="99"/>
          <w:sz w:val="26"/>
          <w:szCs w:val="26"/>
          <w:rtl/>
        </w:rPr>
        <w:t xml:space="preserve">סעיף לו: הנותן </w:t>
      </w:r>
      <w:r w:rsidRPr="001D49D4">
        <w:rPr>
          <w:rFonts w:ascii="Cambria" w:eastAsia="Times New Roman" w:hAnsi="Cambria" w:cs="Arial"/>
          <w:bCs/>
          <w:color w:val="548DD4" w:themeColor="text2" w:themeTint="99"/>
          <w:sz w:val="18"/>
          <w:szCs w:val="18"/>
          <w:rtl/>
        </w:rPr>
        <w:t xml:space="preserve">(במתנה) </w:t>
      </w:r>
      <w:r w:rsidRPr="001D49D4">
        <w:rPr>
          <w:rFonts w:ascii="Cambria" w:eastAsia="Times New Roman" w:hAnsi="Cambria" w:cs="Arial"/>
          <w:bCs/>
          <w:color w:val="548DD4" w:themeColor="text2" w:themeTint="99"/>
          <w:sz w:val="26"/>
          <w:szCs w:val="26"/>
          <w:rtl/>
        </w:rPr>
        <w:t>שטר חוב לחברו ומחלו.</w:t>
      </w:r>
      <w:bookmarkEnd w:id="716"/>
    </w:p>
    <w:p w14:paraId="137BBCD7" w14:textId="77777777" w:rsidR="001D49D4" w:rsidRPr="001D49D4" w:rsidRDefault="001D49D4" w:rsidP="0004348D">
      <w:pPr>
        <w:spacing w:before="360" w:after="240"/>
        <w:rPr>
          <w:rFonts w:ascii="Calibri" w:eastAsia="Calibri" w:hAnsi="Calibri" w:cs="Arial"/>
          <w:rtl/>
        </w:rPr>
      </w:pPr>
      <w:bookmarkStart w:id="717" w:name="_Hlk16530344"/>
      <w:r w:rsidRPr="001D49D4">
        <w:rPr>
          <w:rFonts w:ascii="Calibri" w:eastAsia="Calibri" w:hAnsi="Calibri" w:cs="Arial"/>
          <w:u w:val="single"/>
          <w:rtl/>
        </w:rPr>
        <w:t>נתן במתנה שט"ח לחבירו וחזר ומחלו – האם צריך לשלם לחברו על היזקו:</w:t>
      </w:r>
    </w:p>
    <w:p w14:paraId="0D083616" w14:textId="77777777" w:rsidR="001D49D4" w:rsidRPr="001D49D4" w:rsidRDefault="001D49D4" w:rsidP="0004348D">
      <w:pPr>
        <w:numPr>
          <w:ilvl w:val="0"/>
          <w:numId w:val="337"/>
        </w:numPr>
        <w:spacing w:before="360" w:after="240"/>
        <w:contextualSpacing/>
        <w:rPr>
          <w:rFonts w:ascii="Calibri" w:eastAsia="Calibri" w:hAnsi="Calibri" w:cs="Arial"/>
          <w:rtl/>
        </w:rPr>
      </w:pPr>
      <w:r w:rsidRPr="001D49D4">
        <w:rPr>
          <w:rFonts w:ascii="Calibri" w:eastAsia="Calibri" w:hAnsi="Calibri" w:cs="Arial"/>
          <w:rtl/>
        </w:rPr>
        <w:t xml:space="preserve">בעל התרומות </w:t>
      </w:r>
      <w:r w:rsidRPr="001D49D4">
        <w:rPr>
          <w:rFonts w:ascii="Calibri" w:eastAsia="Calibri" w:hAnsi="Calibri" w:cs="Arial"/>
          <w:sz w:val="16"/>
          <w:szCs w:val="16"/>
          <w:rtl/>
        </w:rPr>
        <w:t>(שער נא שם סי' ט)</w:t>
      </w:r>
      <w:r w:rsidRPr="001D49D4">
        <w:rPr>
          <w:rFonts w:ascii="Calibri" w:eastAsia="Calibri" w:hAnsi="Calibri" w:cs="Arial"/>
          <w:rtl/>
        </w:rPr>
        <w:t xml:space="preserve">- כיון שהמוכר שטר לחבירו וחזר ומחלו חייב לשלם מדינא דגרמי ולא מדין אחריות אם כן אפילו במתנה שאין בה אחריות - חייב לשלם. </w:t>
      </w:r>
      <w:r w:rsidRPr="001D49D4">
        <w:rPr>
          <w:rFonts w:ascii="Calibri" w:eastAsia="Calibri" w:hAnsi="Calibri" w:cs="Arial"/>
          <w:color w:val="E36C0A" w:themeColor="accent6" w:themeShade="BF"/>
          <w:rtl/>
        </w:rPr>
        <w:t>(וכ"פ בשו"ע)</w:t>
      </w:r>
      <w:r w:rsidRPr="001D49D4">
        <w:rPr>
          <w:rFonts w:ascii="Calibri" w:eastAsia="Calibri" w:hAnsi="Calibri" w:cs="Arial"/>
          <w:rtl/>
        </w:rPr>
        <w:t xml:space="preserve"> (וכ"פ הש"ך</w:t>
      </w:r>
      <w:r w:rsidRPr="001D49D4">
        <w:rPr>
          <w:rFonts w:ascii="Calibri" w:eastAsia="Calibri" w:hAnsi="Calibri" w:cs="Arial"/>
          <w:vertAlign w:val="superscript"/>
          <w:rtl/>
        </w:rPr>
        <w:footnoteReference w:id="5211"/>
      </w:r>
      <w:r w:rsidRPr="001D49D4">
        <w:rPr>
          <w:rFonts w:ascii="Calibri" w:eastAsia="Calibri" w:hAnsi="Calibri" w:cs="Arial"/>
          <w:sz w:val="16"/>
          <w:szCs w:val="16"/>
          <w:rtl/>
        </w:rPr>
        <w:t xml:space="preserve"> [סקקט"ז]</w:t>
      </w:r>
      <w:r w:rsidRPr="001D49D4">
        <w:rPr>
          <w:rFonts w:ascii="Calibri" w:eastAsia="Calibri" w:hAnsi="Calibri" w:cs="Arial"/>
          <w:rtl/>
        </w:rPr>
        <w:t>)</w:t>
      </w:r>
    </w:p>
    <w:bookmarkEnd w:id="717"/>
    <w:p w14:paraId="0F0FA364" w14:textId="77777777" w:rsidR="001D49D4" w:rsidRPr="001D49D4" w:rsidRDefault="001D49D4" w:rsidP="0004348D">
      <w:pPr>
        <w:spacing w:before="360" w:after="240"/>
        <w:rPr>
          <w:rFonts w:ascii="Arial" w:eastAsia="Calibri" w:hAnsi="Arial" w:cs="Arial"/>
          <w:b/>
          <w:bCs/>
          <w:color w:val="000000"/>
          <w:sz w:val="28"/>
          <w:szCs w:val="28"/>
          <w:u w:val="single"/>
          <w:rtl/>
        </w:rPr>
      </w:pPr>
      <w:r w:rsidRPr="001D49D4">
        <w:rPr>
          <w:rFonts w:ascii="Arial" w:eastAsia="Calibri" w:hAnsi="Arial" w:cs="Arial"/>
          <w:b/>
          <w:bCs/>
          <w:color w:val="000000"/>
          <w:sz w:val="28"/>
          <w:szCs w:val="28"/>
          <w:u w:val="single"/>
          <w:rtl/>
        </w:rPr>
        <w:t>שו"ע:</w:t>
      </w:r>
    </w:p>
    <w:p w14:paraId="65FBEC0C"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rtl/>
        </w:rPr>
        <w:t>יש מי שאומר שהוא הדין בנותן שטר חוב לחבירו וחזר ומחלו, חייב לשלם לו</w:t>
      </w:r>
      <w:r w:rsidRPr="001D49D4">
        <w:rPr>
          <w:rFonts w:ascii="Calibri" w:eastAsia="Calibri" w:hAnsi="Calibri" w:cs="Arial"/>
          <w:vertAlign w:val="superscript"/>
          <w:rtl/>
        </w:rPr>
        <w:footnoteReference w:id="5212"/>
      </w:r>
      <w:r w:rsidRPr="001D49D4">
        <w:rPr>
          <w:rFonts w:ascii="Calibri" w:eastAsia="Calibri" w:hAnsi="Calibri" w:cs="Arial"/>
          <w:rtl/>
        </w:rPr>
        <w:t xml:space="preserve"> כדין המוכר שטר חוב וחזר ומחלו. </w:t>
      </w:r>
    </w:p>
    <w:p w14:paraId="0C9B7575" w14:textId="77777777" w:rsidR="001D49D4" w:rsidRPr="001D49D4" w:rsidRDefault="001D49D4" w:rsidP="0004348D">
      <w:pPr>
        <w:spacing w:before="360" w:after="240"/>
        <w:rPr>
          <w:rFonts w:ascii="Calibri" w:eastAsia="Calibri" w:hAnsi="Calibri" w:cs="Arial"/>
          <w:rtl/>
        </w:rPr>
      </w:pPr>
    </w:p>
    <w:p w14:paraId="42F5CEF6" w14:textId="77777777" w:rsidR="001D49D4" w:rsidRPr="001D49D4" w:rsidRDefault="001D49D4" w:rsidP="0004348D">
      <w:pPr>
        <w:keepNext/>
        <w:keepLines/>
        <w:spacing w:before="360" w:after="240"/>
        <w:outlineLvl w:val="1"/>
        <w:rPr>
          <w:rFonts w:ascii="Cambria" w:eastAsia="Times New Roman" w:hAnsi="Cambria" w:cs="Arial"/>
          <w:bCs/>
          <w:color w:val="548DD4" w:themeColor="text2" w:themeTint="99"/>
          <w:sz w:val="26"/>
          <w:szCs w:val="26"/>
          <w:rtl/>
        </w:rPr>
      </w:pPr>
      <w:bookmarkStart w:id="718" w:name="_Toc24884131"/>
      <w:r w:rsidRPr="001D49D4">
        <w:rPr>
          <w:rFonts w:ascii="Cambria" w:eastAsia="Times New Roman" w:hAnsi="Cambria" w:cs="Arial"/>
          <w:bCs/>
          <w:color w:val="548DD4" w:themeColor="text2" w:themeTint="99"/>
          <w:sz w:val="26"/>
          <w:szCs w:val="26"/>
          <w:rtl/>
        </w:rPr>
        <w:t>סעיף לז: גר שמכר שטר חוב לישראל.</w:t>
      </w:r>
      <w:bookmarkEnd w:id="718"/>
    </w:p>
    <w:p w14:paraId="6B119BD1" w14:textId="77777777" w:rsidR="001D49D4" w:rsidRPr="001D49D4" w:rsidRDefault="001D49D4" w:rsidP="0004348D">
      <w:pPr>
        <w:spacing w:before="360" w:after="240"/>
        <w:rPr>
          <w:rFonts w:ascii="Calibri" w:eastAsia="Calibri" w:hAnsi="Calibri" w:cs="Arial"/>
          <w:u w:val="single"/>
          <w:rtl/>
        </w:rPr>
      </w:pPr>
      <w:r w:rsidRPr="001D49D4">
        <w:rPr>
          <w:rFonts w:ascii="Calibri" w:eastAsia="Calibri" w:hAnsi="Calibri" w:cs="Arial"/>
          <w:u w:val="single"/>
          <w:rtl/>
        </w:rPr>
        <w:t>גר שהלוה לישראל בשטר, ומכר השטר לישראל אחר ומת הגר:</w:t>
      </w:r>
    </w:p>
    <w:p w14:paraId="1D9382B6" w14:textId="77777777" w:rsidR="001D49D4" w:rsidRPr="001D49D4" w:rsidRDefault="001D49D4" w:rsidP="0004348D">
      <w:pPr>
        <w:numPr>
          <w:ilvl w:val="0"/>
          <w:numId w:val="337"/>
        </w:numPr>
        <w:spacing w:before="360" w:after="240"/>
        <w:contextualSpacing/>
        <w:rPr>
          <w:rFonts w:ascii="Calibri" w:eastAsia="Calibri" w:hAnsi="Calibri" w:cs="Arial"/>
          <w:rtl/>
        </w:rPr>
      </w:pPr>
      <w:r w:rsidRPr="001D49D4">
        <w:rPr>
          <w:rFonts w:ascii="Calibri" w:eastAsia="Calibri" w:hAnsi="Calibri" w:cs="Arial"/>
          <w:rtl/>
        </w:rPr>
        <w:t>בעל התרומות</w:t>
      </w:r>
      <w:r w:rsidRPr="001D49D4">
        <w:rPr>
          <w:rFonts w:ascii="Calibri" w:eastAsia="Calibri" w:hAnsi="Calibri" w:cs="Arial"/>
          <w:sz w:val="16"/>
          <w:szCs w:val="16"/>
          <w:rtl/>
        </w:rPr>
        <w:t xml:space="preserve"> (שער נא שם סי' יא)</w:t>
      </w:r>
      <w:r w:rsidRPr="001D49D4">
        <w:rPr>
          <w:rFonts w:ascii="Calibri" w:eastAsia="Calibri" w:hAnsi="Calibri" w:cs="Arial"/>
          <w:rtl/>
        </w:rPr>
        <w:t>- הורו המורים והסכימו שגר שיש לו מלוה על ישראל בשטר, ומכר שטר חוב לאחרים, ומת, כיון שאם חזר ומחלו מחול כיון דמת פקע ליה ונפטר הלוה ממנו, דהוה ליה דומיא דמשכונו של ישראל ביד גוי שלא זכה המחזיק בו.</w:t>
      </w:r>
      <w:r w:rsidRPr="001D49D4">
        <w:rPr>
          <w:rFonts w:ascii="Calibri" w:eastAsia="Calibri" w:hAnsi="Calibri" w:cs="Arial"/>
          <w:color w:val="E36C0A" w:themeColor="accent6" w:themeShade="BF"/>
          <w:rtl/>
        </w:rPr>
        <w:t xml:space="preserve"> (וכ"פ בשו"ע)</w:t>
      </w:r>
    </w:p>
    <w:p w14:paraId="3F0A353E" w14:textId="77777777" w:rsidR="001D49D4" w:rsidRPr="001D49D4" w:rsidRDefault="001D49D4" w:rsidP="0004348D">
      <w:pPr>
        <w:numPr>
          <w:ilvl w:val="0"/>
          <w:numId w:val="337"/>
        </w:numPr>
        <w:spacing w:before="360" w:after="240"/>
        <w:contextualSpacing/>
        <w:rPr>
          <w:rFonts w:ascii="Calibri" w:eastAsia="Calibri" w:hAnsi="Calibri" w:cs="Arial"/>
        </w:rPr>
      </w:pPr>
      <w:r w:rsidRPr="001D49D4">
        <w:rPr>
          <w:rFonts w:ascii="Calibri" w:eastAsia="Calibri" w:hAnsi="Calibri" w:cs="Arial"/>
          <w:rtl/>
        </w:rPr>
        <w:t xml:space="preserve">ריטב"א </w:t>
      </w:r>
      <w:r w:rsidRPr="001D49D4">
        <w:rPr>
          <w:rFonts w:ascii="Calibri" w:eastAsia="Calibri" w:hAnsi="Calibri" w:cs="Arial"/>
          <w:sz w:val="16"/>
          <w:szCs w:val="16"/>
          <w:rtl/>
        </w:rPr>
        <w:t>(קדושין מז: ד"ה וכי תימא)</w:t>
      </w:r>
      <w:r w:rsidRPr="001D49D4">
        <w:rPr>
          <w:rFonts w:ascii="Calibri" w:eastAsia="Calibri" w:hAnsi="Calibri" w:cs="Arial"/>
          <w:rtl/>
        </w:rPr>
        <w:t xml:space="preserve">- </w:t>
      </w:r>
      <w:r w:rsidRPr="001D49D4">
        <w:rPr>
          <w:rFonts w:ascii="Calibri" w:eastAsia="Calibri" w:hAnsi="Calibri" w:cs="Arial"/>
          <w:vertAlign w:val="superscript"/>
          <w:rtl/>
        </w:rPr>
        <w:footnoteReference w:id="5213"/>
      </w:r>
      <w:r w:rsidRPr="001D49D4">
        <w:rPr>
          <w:rFonts w:ascii="Calibri" w:eastAsia="Calibri" w:hAnsi="Calibri" w:cs="Arial"/>
          <w:rtl/>
        </w:rPr>
        <w:t>גר שמכר שט"ח ואח"כ מת דפקע שעבוד הגוף - גובה הלוקח מן הלוה, שכבר הוא משועבד לו כל זמן שלא פטרו המלוה או יורשיו, והרי זה נכון. מפי רבינו נר"ו. (וכ"פ הש"ך</w:t>
      </w:r>
      <w:r w:rsidRPr="001D49D4">
        <w:rPr>
          <w:rFonts w:ascii="Calibri" w:eastAsia="Calibri" w:hAnsi="Calibri" w:cs="Arial"/>
          <w:sz w:val="16"/>
          <w:szCs w:val="16"/>
          <w:rtl/>
        </w:rPr>
        <w:t xml:space="preserve"> [סקקי"ח]</w:t>
      </w:r>
      <w:r w:rsidRPr="001D49D4">
        <w:rPr>
          <w:rFonts w:ascii="Calibri" w:eastAsia="Calibri" w:hAnsi="Calibri" w:cs="Arial"/>
          <w:rtl/>
        </w:rPr>
        <w:t>)</w:t>
      </w:r>
    </w:p>
    <w:p w14:paraId="05A95D0D" w14:textId="77777777" w:rsidR="001D49D4" w:rsidRPr="001D49D4" w:rsidRDefault="001D49D4" w:rsidP="0004348D">
      <w:pPr>
        <w:spacing w:before="360" w:after="240"/>
        <w:rPr>
          <w:rFonts w:ascii="Arial" w:eastAsia="Calibri" w:hAnsi="Arial" w:cs="Arial"/>
          <w:b/>
          <w:bCs/>
          <w:color w:val="000000"/>
          <w:sz w:val="28"/>
          <w:szCs w:val="28"/>
          <w:u w:val="single"/>
          <w:rtl/>
        </w:rPr>
      </w:pPr>
      <w:r w:rsidRPr="001D49D4">
        <w:rPr>
          <w:rFonts w:ascii="Arial" w:eastAsia="Calibri" w:hAnsi="Arial" w:cs="Arial"/>
          <w:b/>
          <w:bCs/>
          <w:color w:val="000000"/>
          <w:sz w:val="28"/>
          <w:szCs w:val="28"/>
          <w:u w:val="single"/>
          <w:rtl/>
        </w:rPr>
        <w:t>שו"ע:</w:t>
      </w:r>
    </w:p>
    <w:p w14:paraId="4D6360D0"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rtl/>
        </w:rPr>
        <w:t xml:space="preserve">גר שהיה לו מלוה בשטר על ישראל, ומכר השטר לישראל, ומת הגר, פקע ליה, ונפטר הלוה. </w:t>
      </w:r>
    </w:p>
    <w:p w14:paraId="7885E207" w14:textId="77777777" w:rsidR="001D49D4" w:rsidRPr="001D49D4" w:rsidRDefault="001D49D4" w:rsidP="0004348D">
      <w:pPr>
        <w:spacing w:before="360" w:after="240"/>
        <w:rPr>
          <w:rFonts w:ascii="Calibri" w:eastAsia="Calibri" w:hAnsi="Calibri" w:cs="Arial"/>
          <w:rtl/>
        </w:rPr>
      </w:pPr>
    </w:p>
    <w:p w14:paraId="433D17E9" w14:textId="77777777" w:rsidR="001D49D4" w:rsidRPr="001D49D4" w:rsidRDefault="001D49D4" w:rsidP="0004348D">
      <w:pPr>
        <w:keepNext/>
        <w:keepLines/>
        <w:spacing w:before="360" w:after="240"/>
        <w:outlineLvl w:val="1"/>
        <w:rPr>
          <w:rFonts w:ascii="Cambria" w:eastAsia="Times New Roman" w:hAnsi="Cambria" w:cs="Arial"/>
          <w:bCs/>
          <w:color w:val="548DD4" w:themeColor="text2" w:themeTint="99"/>
          <w:sz w:val="26"/>
          <w:szCs w:val="26"/>
          <w:rtl/>
        </w:rPr>
      </w:pPr>
      <w:bookmarkStart w:id="719" w:name="_Toc24884132"/>
      <w:r w:rsidRPr="001D49D4">
        <w:rPr>
          <w:rFonts w:ascii="Cambria" w:eastAsia="Times New Roman" w:hAnsi="Cambria" w:cs="Arial"/>
          <w:bCs/>
          <w:color w:val="548DD4" w:themeColor="text2" w:themeTint="99"/>
          <w:sz w:val="26"/>
          <w:szCs w:val="26"/>
          <w:rtl/>
        </w:rPr>
        <w:t>סעיף לח: אונאה וביטול מקח במכירת שטר חוב.</w:t>
      </w:r>
      <w:bookmarkEnd w:id="719"/>
    </w:p>
    <w:p w14:paraId="19CB18BE"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b/>
          <w:bCs/>
          <w:rtl/>
        </w:rPr>
        <w:t xml:space="preserve">בבא מציעא </w:t>
      </w:r>
      <w:r w:rsidRPr="001D49D4">
        <w:rPr>
          <w:rFonts w:ascii="Calibri" w:eastAsia="Calibri" w:hAnsi="Calibri" w:cs="Arial"/>
          <w:b/>
          <w:bCs/>
          <w:sz w:val="16"/>
          <w:szCs w:val="16"/>
          <w:rtl/>
        </w:rPr>
        <w:t xml:space="preserve">(פרק הזהב) </w:t>
      </w:r>
      <w:r w:rsidRPr="001D49D4">
        <w:rPr>
          <w:rFonts w:ascii="Calibri" w:eastAsia="Calibri" w:hAnsi="Calibri" w:cs="Arial"/>
          <w:b/>
          <w:bCs/>
          <w:rtl/>
        </w:rPr>
        <w:t>נו</w:t>
      </w:r>
      <w:r w:rsidRPr="001D49D4">
        <w:rPr>
          <w:rFonts w:ascii="Calibri" w:eastAsia="Calibri" w:hAnsi="Calibri" w:cs="Arial"/>
          <w:b/>
          <w:bCs/>
          <w:vertAlign w:val="superscript"/>
          <w:rtl/>
        </w:rPr>
        <w:footnoteReference w:id="5214"/>
      </w:r>
      <w:r w:rsidRPr="001D49D4">
        <w:rPr>
          <w:rFonts w:ascii="Calibri" w:eastAsia="Calibri" w:hAnsi="Calibri" w:cs="Arial"/>
          <w:b/>
          <w:bCs/>
          <w:rtl/>
        </w:rPr>
        <w:t xml:space="preserve"> ע"א:</w:t>
      </w:r>
      <w:r w:rsidRPr="001D49D4">
        <w:rPr>
          <w:rFonts w:ascii="Calibri" w:eastAsia="Calibri" w:hAnsi="Calibri" w:cs="Arial"/>
          <w:rtl/>
        </w:rPr>
        <w:t xml:space="preserve"> </w:t>
      </w:r>
      <w:r w:rsidRPr="001D49D4">
        <w:rPr>
          <w:rFonts w:ascii="Calibri" w:eastAsia="Calibri" w:hAnsi="Calibri" w:cs="Arial"/>
          <w:u w:val="double"/>
          <w:rtl/>
        </w:rPr>
        <w:t>משנה</w:t>
      </w:r>
      <w:r w:rsidRPr="001D49D4">
        <w:rPr>
          <w:rFonts w:ascii="Calibri" w:eastAsia="Calibri" w:hAnsi="Calibri" w:cs="Arial"/>
          <w:rtl/>
        </w:rPr>
        <w:t xml:space="preserve">: אלו דברים שאין להם אונאה: העבדים, והשטרות, והקרקעות, וההקדשות...     </w:t>
      </w:r>
      <w:r w:rsidRPr="001D49D4">
        <w:rPr>
          <w:rFonts w:ascii="Calibri" w:eastAsia="Calibri" w:hAnsi="Calibri" w:cs="Arial"/>
          <w:u w:val="double"/>
          <w:rtl/>
        </w:rPr>
        <w:t>גמ'</w:t>
      </w:r>
      <w:r w:rsidRPr="001D49D4">
        <w:rPr>
          <w:rFonts w:ascii="Calibri" w:eastAsia="Calibri" w:hAnsi="Calibri" w:cs="Arial"/>
          <w:sz w:val="14"/>
          <w:szCs w:val="14"/>
          <w:u w:val="double"/>
          <w:rtl/>
        </w:rPr>
        <w:t xml:space="preserve"> (נז.)</w:t>
      </w:r>
      <w:r w:rsidRPr="001D49D4">
        <w:rPr>
          <w:rFonts w:ascii="Calibri" w:eastAsia="Calibri" w:hAnsi="Calibri" w:cs="Arial"/>
          <w:u w:val="double"/>
          <w:rtl/>
        </w:rPr>
        <w:t>:</w:t>
      </w:r>
      <w:r w:rsidRPr="001D49D4">
        <w:rPr>
          <w:rFonts w:ascii="Calibri" w:eastAsia="Calibri" w:hAnsi="Calibri" w:cs="Arial"/>
          <w:rtl/>
        </w:rPr>
        <w:t xml:space="preserve"> </w:t>
      </w:r>
      <w:r w:rsidRPr="001D49D4">
        <w:rPr>
          <w:rFonts w:ascii="Calibri" w:eastAsia="Calibri" w:hAnsi="Calibri" w:cs="Arial"/>
          <w:u w:val="single"/>
          <w:rtl/>
        </w:rPr>
        <w:t>אמר רבא אמר רב חסא בעי רבי אמי</w:t>
      </w:r>
      <w:r w:rsidRPr="001D49D4">
        <w:rPr>
          <w:rFonts w:ascii="Calibri" w:eastAsia="Calibri" w:hAnsi="Calibri" w:cs="Arial"/>
          <w:rtl/>
        </w:rPr>
        <w:t>: אונאה אין להם, ביטול מקח יש להם או אין להן</w:t>
      </w:r>
      <w:r w:rsidRPr="001D49D4">
        <w:rPr>
          <w:rFonts w:ascii="Calibri" w:eastAsia="Calibri" w:hAnsi="Calibri" w:cs="Arial"/>
          <w:vertAlign w:val="superscript"/>
          <w:rtl/>
        </w:rPr>
        <w:footnoteReference w:id="5215"/>
      </w:r>
      <w:r w:rsidRPr="001D49D4">
        <w:rPr>
          <w:rFonts w:ascii="Calibri" w:eastAsia="Calibri" w:hAnsi="Calibri" w:cs="Arial"/>
          <w:rtl/>
        </w:rPr>
        <w:t xml:space="preserve">? </w:t>
      </w:r>
      <w:r w:rsidRPr="001D49D4">
        <w:rPr>
          <w:rFonts w:ascii="Calibri" w:eastAsia="Calibri" w:hAnsi="Calibri" w:cs="Arial"/>
          <w:u w:val="single"/>
          <w:rtl/>
        </w:rPr>
        <w:t>אמר רב נחמן הדר אמר רב חסא פשיט רבי אמי</w:t>
      </w:r>
      <w:r w:rsidRPr="001D49D4">
        <w:rPr>
          <w:rFonts w:ascii="Calibri" w:eastAsia="Calibri" w:hAnsi="Calibri" w:cs="Arial"/>
          <w:rtl/>
        </w:rPr>
        <w:t xml:space="preserve">: אונאה אין להם, ביטול מקח יש להם. </w:t>
      </w:r>
      <w:r w:rsidRPr="001D49D4">
        <w:rPr>
          <w:rFonts w:ascii="Calibri" w:eastAsia="Calibri" w:hAnsi="Calibri" w:cs="Arial"/>
          <w:sz w:val="16"/>
          <w:szCs w:val="16"/>
          <w:rtl/>
        </w:rPr>
        <w:t>(וכתב הרי"ף (לב.) הא מילתא חזינן בה פלוגתא ביני רבוותא. איכא מאן דסבירא ליה כי האי מימרא דרבי אמי ורבי יוחנן דאונאה אין להם ביטול מקח יש להם. ואיכא מאן דסבר ביטול מקח דאמר רבי יוחנן לאו יותר משתות הוא אלא על חד תרין הוא, וגמר להא מילתא מגמרא דבני מערבא (כתובות פי"א ה"ד). ואנן סבירא לן דהא מילתא דרבי אמי ורבי יוחנן ליתא משום דחזינן לרב נחמן (ב"מ קח.) דהוא בתרא דסבירא ליה דאין לקרקעות אונאה כלל ואפילו שוה מנה במאתים. והאריך בראיות. והרא"ש (סי' כא) כתב ולא ידעתי לעמוד על דעת הרי"ף דפסק כרב נחמן נגד רבי יוחנן משום דבתרא הוא, דדוקא מאביי ורבא ואילך הוא דפסקינן הלכה כבתראי אבל מקמי הכי אין הלכה כתלמיד במקום הרב, ורב נחמן תלמידו של שמואל היה ובכל מקום הלכה כרבי יוחנן לגבי שמואל וכל שכן לגבי רב נחמן תלמידו. והעלה כסברא שנית שכתב הרי"ף להלכה כרבי יוחנן דביטול מקח יש להם בפלגא כגון שמכר שוה מנה במאתים, ויישב ראיות הרי"ף. והיא שיטת ר"ח ור"ת (ס' הישר חי' סי' תר), ב"י)</w:t>
      </w:r>
    </w:p>
    <w:p w14:paraId="1F80F55C"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u w:val="single"/>
          <w:rtl/>
        </w:rPr>
        <w:t>האם יש ביטול מקח במכירת שטר חוב:</w:t>
      </w:r>
    </w:p>
    <w:p w14:paraId="31519713" w14:textId="77777777" w:rsidR="001D49D4" w:rsidRPr="001D49D4" w:rsidRDefault="001D49D4" w:rsidP="0004348D">
      <w:pPr>
        <w:numPr>
          <w:ilvl w:val="0"/>
          <w:numId w:val="339"/>
        </w:numPr>
        <w:spacing w:before="360" w:after="240"/>
        <w:contextualSpacing/>
        <w:rPr>
          <w:rFonts w:ascii="Calibri" w:eastAsia="Calibri" w:hAnsi="Calibri" w:cs="Arial"/>
          <w:rtl/>
        </w:rPr>
      </w:pPr>
      <w:r w:rsidRPr="001D49D4">
        <w:rPr>
          <w:rFonts w:ascii="Calibri" w:eastAsia="Calibri" w:hAnsi="Calibri" w:cs="Arial"/>
          <w:rtl/>
        </w:rPr>
        <w:t xml:space="preserve">רי"ף </w:t>
      </w:r>
      <w:r w:rsidRPr="001D49D4">
        <w:rPr>
          <w:rFonts w:ascii="Calibri" w:eastAsia="Calibri" w:hAnsi="Calibri" w:cs="Arial"/>
          <w:sz w:val="16"/>
          <w:szCs w:val="16"/>
          <w:rtl/>
        </w:rPr>
        <w:t xml:space="preserve">(לב.) </w:t>
      </w:r>
      <w:r w:rsidRPr="001D49D4">
        <w:rPr>
          <w:rFonts w:ascii="Calibri" w:eastAsia="Calibri" w:hAnsi="Calibri" w:cs="Arial"/>
          <w:rtl/>
        </w:rPr>
        <w:t xml:space="preserve">ורמב"ם </w:t>
      </w:r>
      <w:r w:rsidRPr="001D49D4">
        <w:rPr>
          <w:rFonts w:ascii="Calibri" w:eastAsia="Calibri" w:hAnsi="Calibri" w:cs="Arial"/>
          <w:sz w:val="16"/>
          <w:szCs w:val="16"/>
          <w:rtl/>
        </w:rPr>
        <w:t>(פי"ג ממכירה ה"ח)</w:t>
      </w:r>
      <w:r w:rsidRPr="001D49D4">
        <w:rPr>
          <w:rFonts w:ascii="Calibri" w:eastAsia="Calibri" w:hAnsi="Calibri" w:cs="Arial"/>
          <w:rtl/>
        </w:rPr>
        <w:t>- המוכר שט"ח לחבירו לגבותו</w:t>
      </w:r>
      <w:r w:rsidRPr="001D49D4">
        <w:rPr>
          <w:rFonts w:ascii="Calibri" w:eastAsia="Calibri" w:hAnsi="Calibri" w:cs="Arial"/>
          <w:vertAlign w:val="superscript"/>
          <w:rtl/>
        </w:rPr>
        <w:footnoteReference w:id="5216"/>
      </w:r>
      <w:r w:rsidRPr="001D49D4">
        <w:rPr>
          <w:rFonts w:ascii="Calibri" w:eastAsia="Calibri" w:hAnsi="Calibri" w:cs="Arial"/>
          <w:rtl/>
        </w:rPr>
        <w:t xml:space="preserve"> אין בו דין אונאה ואפילו ביטול מקח אין בו כלל</w:t>
      </w:r>
      <w:r w:rsidRPr="001D49D4">
        <w:rPr>
          <w:rFonts w:ascii="Calibri" w:eastAsia="Calibri" w:hAnsi="Calibri" w:cs="Arial"/>
          <w:sz w:val="16"/>
          <w:szCs w:val="16"/>
          <w:rtl/>
        </w:rPr>
        <w:t xml:space="preserve"> (ל' הטור בשם הרי"ף)</w:t>
      </w:r>
      <w:r w:rsidRPr="001D49D4">
        <w:rPr>
          <w:rFonts w:ascii="Calibri" w:eastAsia="Calibri" w:hAnsi="Calibri" w:cs="Arial"/>
          <w:rtl/>
        </w:rPr>
        <w:t xml:space="preserve">. </w:t>
      </w:r>
      <w:r w:rsidRPr="001D49D4">
        <w:rPr>
          <w:rFonts w:ascii="Calibri" w:eastAsia="Calibri" w:hAnsi="Calibri" w:cs="Arial"/>
          <w:color w:val="E36C0A" w:themeColor="accent6" w:themeShade="BF"/>
          <w:rtl/>
        </w:rPr>
        <w:t>(וכ"פ בשו"ע)</w:t>
      </w:r>
      <w:r w:rsidRPr="001D49D4">
        <w:rPr>
          <w:rFonts w:ascii="Calibri" w:eastAsia="Calibri" w:hAnsi="Calibri" w:cs="Arial"/>
          <w:rtl/>
        </w:rPr>
        <w:t xml:space="preserve"> (וכ"פ הש"ך</w:t>
      </w:r>
      <w:r w:rsidRPr="001D49D4">
        <w:rPr>
          <w:rFonts w:ascii="Calibri" w:eastAsia="Calibri" w:hAnsi="Calibri" w:cs="Arial"/>
          <w:sz w:val="16"/>
          <w:szCs w:val="16"/>
          <w:rtl/>
        </w:rPr>
        <w:t xml:space="preserve"> [סקקכ"ב]</w:t>
      </w:r>
      <w:r w:rsidRPr="001D49D4">
        <w:rPr>
          <w:rFonts w:ascii="Calibri" w:eastAsia="Calibri" w:hAnsi="Calibri" w:cs="Arial"/>
          <w:rtl/>
        </w:rPr>
        <w:t>)</w:t>
      </w:r>
    </w:p>
    <w:p w14:paraId="221D86C6" w14:textId="77777777" w:rsidR="001D49D4" w:rsidRPr="001D49D4" w:rsidRDefault="001D49D4" w:rsidP="0004348D">
      <w:pPr>
        <w:numPr>
          <w:ilvl w:val="0"/>
          <w:numId w:val="339"/>
        </w:numPr>
        <w:spacing w:before="360" w:after="240"/>
        <w:contextualSpacing/>
        <w:rPr>
          <w:rFonts w:ascii="Calibri" w:eastAsia="Calibri" w:hAnsi="Calibri" w:cs="Arial"/>
        </w:rPr>
      </w:pPr>
      <w:r w:rsidRPr="001D49D4">
        <w:rPr>
          <w:rFonts w:ascii="Calibri" w:eastAsia="Calibri" w:hAnsi="Calibri" w:cs="Arial"/>
          <w:rtl/>
        </w:rPr>
        <w:t xml:space="preserve">ר"ח </w:t>
      </w:r>
      <w:r w:rsidRPr="001D49D4">
        <w:rPr>
          <w:rFonts w:ascii="Calibri" w:eastAsia="Calibri" w:hAnsi="Calibri" w:cs="Arial"/>
          <w:sz w:val="16"/>
          <w:szCs w:val="16"/>
          <w:rtl/>
        </w:rPr>
        <w:t xml:space="preserve">(כ"כ הרא"ש והב"י בשמו) </w:t>
      </w:r>
      <w:r w:rsidRPr="001D49D4">
        <w:rPr>
          <w:rFonts w:ascii="Calibri" w:eastAsia="Calibri" w:hAnsi="Calibri" w:cs="Arial"/>
          <w:rtl/>
        </w:rPr>
        <w:t xml:space="preserve">ר"ת </w:t>
      </w:r>
      <w:r w:rsidRPr="001D49D4">
        <w:rPr>
          <w:rFonts w:ascii="Calibri" w:eastAsia="Calibri" w:hAnsi="Calibri" w:cs="Arial"/>
          <w:sz w:val="16"/>
          <w:szCs w:val="16"/>
          <w:rtl/>
        </w:rPr>
        <w:t xml:space="preserve">(ס' הישר חי' סי' תר) </w:t>
      </w:r>
      <w:r w:rsidRPr="001D49D4">
        <w:rPr>
          <w:rFonts w:ascii="Calibri" w:eastAsia="Calibri" w:hAnsi="Calibri" w:cs="Arial"/>
          <w:rtl/>
        </w:rPr>
        <w:t xml:space="preserve">ורא"ש </w:t>
      </w:r>
      <w:r w:rsidRPr="001D49D4">
        <w:rPr>
          <w:rFonts w:ascii="Calibri" w:eastAsia="Calibri" w:hAnsi="Calibri" w:cs="Arial"/>
          <w:sz w:val="16"/>
          <w:szCs w:val="16"/>
          <w:rtl/>
        </w:rPr>
        <w:t>(סי' כא)</w:t>
      </w:r>
      <w:r w:rsidRPr="001D49D4">
        <w:rPr>
          <w:rFonts w:ascii="Calibri" w:eastAsia="Calibri" w:hAnsi="Calibri" w:cs="Arial"/>
          <w:rtl/>
        </w:rPr>
        <w:t xml:space="preserve">- עד פלגא אין בו משום ביטול מקח ולא פלגא בכלל, אבל אם הטעהו בכפל המקח בטל </w:t>
      </w:r>
      <w:r w:rsidRPr="001D49D4">
        <w:rPr>
          <w:rFonts w:ascii="Calibri" w:eastAsia="Calibri" w:hAnsi="Calibri" w:cs="Arial"/>
          <w:sz w:val="16"/>
          <w:szCs w:val="16"/>
          <w:rtl/>
        </w:rPr>
        <w:t>(ל' הטור בשם ר"ת)</w:t>
      </w:r>
      <w:r w:rsidRPr="001D49D4">
        <w:rPr>
          <w:rFonts w:ascii="Calibri" w:eastAsia="Calibri" w:hAnsi="Calibri" w:cs="Arial"/>
          <w:rtl/>
        </w:rPr>
        <w:t>.</w:t>
      </w:r>
      <w:r w:rsidRPr="001D49D4">
        <w:rPr>
          <w:rFonts w:ascii="Calibri" w:eastAsia="Calibri" w:hAnsi="Calibri" w:cs="Arial"/>
          <w:color w:val="00B0F0"/>
          <w:rtl/>
        </w:rPr>
        <w:t xml:space="preserve"> (וכ"כ הרמ"א)</w:t>
      </w:r>
    </w:p>
    <w:p w14:paraId="61C82FB9" w14:textId="77777777" w:rsidR="001D49D4" w:rsidRPr="001D49D4" w:rsidRDefault="001D49D4" w:rsidP="0004348D">
      <w:pPr>
        <w:spacing w:before="360" w:after="240"/>
        <w:rPr>
          <w:rFonts w:ascii="Arial" w:eastAsia="Calibri" w:hAnsi="Arial" w:cs="Arial"/>
          <w:b/>
          <w:bCs/>
          <w:color w:val="000000"/>
          <w:sz w:val="28"/>
          <w:szCs w:val="28"/>
          <w:u w:val="single"/>
          <w:rtl/>
        </w:rPr>
      </w:pPr>
      <w:r w:rsidRPr="001D49D4">
        <w:rPr>
          <w:rFonts w:ascii="Arial" w:eastAsia="Calibri" w:hAnsi="Arial" w:cs="Arial"/>
          <w:b/>
          <w:bCs/>
          <w:color w:val="000000"/>
          <w:sz w:val="28"/>
          <w:szCs w:val="28"/>
          <w:u w:val="single"/>
          <w:rtl/>
        </w:rPr>
        <w:t>שו"ע:</w:t>
      </w:r>
    </w:p>
    <w:p w14:paraId="57DBA539"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rtl/>
        </w:rPr>
        <w:t xml:space="preserve">המוכר שטר לחבירו לגבותו, אין בו דין אונאה, אפילו מכר שוה אלף בדינר או שוה דינר באלף. </w:t>
      </w:r>
      <w:r w:rsidRPr="001D49D4">
        <w:rPr>
          <w:rFonts w:ascii="Calibri" w:eastAsia="Calibri" w:hAnsi="Calibri" w:cs="Arial"/>
          <w:sz w:val="18"/>
          <w:szCs w:val="18"/>
          <w:rtl/>
        </w:rPr>
        <w:t>[הגה] ויש חולקין וסבירא ליה דביותר ממחצה</w:t>
      </w:r>
      <w:r w:rsidRPr="001D49D4">
        <w:rPr>
          <w:rFonts w:ascii="Calibri" w:eastAsia="Calibri" w:hAnsi="Calibri" w:cs="Arial"/>
          <w:sz w:val="18"/>
          <w:szCs w:val="18"/>
          <w:vertAlign w:val="superscript"/>
          <w:rtl/>
        </w:rPr>
        <w:footnoteReference w:id="5217"/>
      </w:r>
      <w:r w:rsidRPr="001D49D4">
        <w:rPr>
          <w:rFonts w:ascii="Calibri" w:eastAsia="Calibri" w:hAnsi="Calibri" w:cs="Arial"/>
          <w:sz w:val="18"/>
          <w:szCs w:val="18"/>
          <w:rtl/>
        </w:rPr>
        <w:t xml:space="preserve"> הוי בטול מקח</w:t>
      </w:r>
      <w:r w:rsidRPr="001D49D4">
        <w:rPr>
          <w:rFonts w:ascii="Calibri" w:eastAsia="Calibri" w:hAnsi="Calibri" w:cs="Arial"/>
          <w:sz w:val="18"/>
          <w:szCs w:val="18"/>
          <w:vertAlign w:val="superscript"/>
          <w:rtl/>
        </w:rPr>
        <w:footnoteReference w:id="5218"/>
      </w:r>
      <w:r w:rsidRPr="001D49D4">
        <w:rPr>
          <w:rFonts w:ascii="Calibri" w:eastAsia="Calibri" w:hAnsi="Calibri" w:cs="Arial"/>
          <w:sz w:val="18"/>
          <w:szCs w:val="18"/>
          <w:rtl/>
        </w:rPr>
        <w:t xml:space="preserve"> (טור בשם ר"ת, וכ"כ הרא"ש פ' הזהב).</w:t>
      </w:r>
      <w:r w:rsidRPr="001D49D4">
        <w:rPr>
          <w:rFonts w:ascii="Calibri" w:eastAsia="Calibri" w:hAnsi="Calibri" w:cs="Arial"/>
          <w:rtl/>
        </w:rPr>
        <w:t xml:space="preserve"> </w:t>
      </w:r>
    </w:p>
    <w:p w14:paraId="205E4D75" w14:textId="77777777" w:rsidR="001D49D4" w:rsidRPr="001D49D4" w:rsidRDefault="001D49D4" w:rsidP="0004348D">
      <w:pPr>
        <w:spacing w:before="360" w:after="240"/>
        <w:rPr>
          <w:rFonts w:ascii="Calibri" w:eastAsia="Calibri" w:hAnsi="Calibri" w:cs="Arial"/>
          <w:rtl/>
        </w:rPr>
      </w:pPr>
    </w:p>
    <w:p w14:paraId="5CCE3B7F" w14:textId="77777777" w:rsidR="001D49D4" w:rsidRPr="001D49D4" w:rsidRDefault="001D49D4" w:rsidP="0004348D">
      <w:pPr>
        <w:keepNext/>
        <w:keepLines/>
        <w:spacing w:before="360" w:after="240"/>
        <w:outlineLvl w:val="1"/>
        <w:rPr>
          <w:rFonts w:ascii="Cambria" w:eastAsia="Times New Roman" w:hAnsi="Cambria" w:cs="Arial"/>
          <w:bCs/>
          <w:color w:val="548DD4" w:themeColor="text2" w:themeTint="99"/>
          <w:sz w:val="26"/>
          <w:szCs w:val="26"/>
          <w:rtl/>
        </w:rPr>
      </w:pPr>
      <w:bookmarkStart w:id="720" w:name="_Toc24884133"/>
      <w:r w:rsidRPr="001D49D4">
        <w:rPr>
          <w:rFonts w:ascii="Cambria" w:eastAsia="Times New Roman" w:hAnsi="Cambria" w:cs="Arial"/>
          <w:bCs/>
          <w:color w:val="548DD4" w:themeColor="text2" w:themeTint="99"/>
          <w:sz w:val="26"/>
          <w:szCs w:val="26"/>
          <w:rtl/>
        </w:rPr>
        <w:t>סעיף לט: שבועה בשטרות.</w:t>
      </w:r>
      <w:bookmarkEnd w:id="720"/>
    </w:p>
    <w:p w14:paraId="6ECD679A"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b/>
          <w:bCs/>
          <w:rtl/>
        </w:rPr>
        <w:t xml:space="preserve">בבא מציעא </w:t>
      </w:r>
      <w:r w:rsidRPr="001D49D4">
        <w:rPr>
          <w:rFonts w:ascii="Calibri" w:eastAsia="Calibri" w:hAnsi="Calibri" w:cs="Arial"/>
          <w:b/>
          <w:bCs/>
          <w:sz w:val="16"/>
          <w:szCs w:val="16"/>
          <w:rtl/>
        </w:rPr>
        <w:t xml:space="preserve">(פרק הזהב) </w:t>
      </w:r>
      <w:r w:rsidRPr="001D49D4">
        <w:rPr>
          <w:rFonts w:ascii="Calibri" w:eastAsia="Calibri" w:hAnsi="Calibri" w:cs="Arial"/>
          <w:b/>
          <w:bCs/>
          <w:rtl/>
        </w:rPr>
        <w:t>נו</w:t>
      </w:r>
      <w:r w:rsidRPr="001D49D4">
        <w:rPr>
          <w:rFonts w:ascii="Calibri" w:eastAsia="Calibri" w:hAnsi="Calibri" w:cs="Arial"/>
          <w:b/>
          <w:bCs/>
          <w:vertAlign w:val="superscript"/>
          <w:rtl/>
        </w:rPr>
        <w:footnoteReference w:id="5219"/>
      </w:r>
      <w:r w:rsidRPr="001D49D4">
        <w:rPr>
          <w:rFonts w:ascii="Calibri" w:eastAsia="Calibri" w:hAnsi="Calibri" w:cs="Arial"/>
          <w:b/>
          <w:bCs/>
          <w:rtl/>
        </w:rPr>
        <w:t xml:space="preserve"> ע"א:</w:t>
      </w:r>
      <w:r w:rsidRPr="001D49D4">
        <w:rPr>
          <w:rFonts w:ascii="Calibri" w:eastAsia="Calibri" w:hAnsi="Calibri" w:cs="Arial"/>
          <w:rtl/>
        </w:rPr>
        <w:t xml:space="preserve"> </w:t>
      </w:r>
      <w:r w:rsidRPr="001D49D4">
        <w:rPr>
          <w:rFonts w:ascii="Calibri" w:eastAsia="Calibri" w:hAnsi="Calibri" w:cs="Arial"/>
          <w:u w:val="double"/>
          <w:rtl/>
        </w:rPr>
        <w:t>משנה</w:t>
      </w:r>
      <w:r w:rsidRPr="001D49D4">
        <w:rPr>
          <w:rFonts w:ascii="Calibri" w:eastAsia="Calibri" w:hAnsi="Calibri" w:cs="Arial"/>
          <w:rtl/>
        </w:rPr>
        <w:t>: אלו דברים שאין להם אונאה: העבדים, והשטרות, והקרקעות, וההקדשות, אין להן תשלומי כפל ולא תשלומי ארבעה וחמשה. שומר חנם אינו נשבע, ונושא שכר אינו משלם...</w:t>
      </w:r>
    </w:p>
    <w:p w14:paraId="590C716F"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b/>
          <w:bCs/>
          <w:rtl/>
        </w:rPr>
        <w:t xml:space="preserve">שבועות </w:t>
      </w:r>
      <w:r w:rsidRPr="001D49D4">
        <w:rPr>
          <w:rFonts w:ascii="Calibri" w:eastAsia="Calibri" w:hAnsi="Calibri" w:cs="Arial"/>
          <w:b/>
          <w:bCs/>
          <w:sz w:val="16"/>
          <w:szCs w:val="16"/>
          <w:rtl/>
        </w:rPr>
        <w:t>(פרק שבועת הדיינין)</w:t>
      </w:r>
      <w:r w:rsidRPr="001D49D4">
        <w:rPr>
          <w:rFonts w:ascii="Calibri" w:eastAsia="Calibri" w:hAnsi="Calibri" w:cs="Arial"/>
          <w:b/>
          <w:bCs/>
          <w:rtl/>
        </w:rPr>
        <w:t xml:space="preserve"> מב</w:t>
      </w:r>
      <w:r w:rsidRPr="001D49D4">
        <w:rPr>
          <w:rFonts w:ascii="Calibri" w:eastAsia="Calibri" w:hAnsi="Calibri" w:cs="Arial"/>
          <w:b/>
          <w:bCs/>
          <w:vertAlign w:val="superscript"/>
          <w:rtl/>
        </w:rPr>
        <w:footnoteReference w:id="5220"/>
      </w:r>
      <w:r w:rsidRPr="001D49D4">
        <w:rPr>
          <w:rFonts w:ascii="Calibri" w:eastAsia="Calibri" w:hAnsi="Calibri" w:cs="Arial"/>
          <w:b/>
          <w:bCs/>
          <w:rtl/>
        </w:rPr>
        <w:t xml:space="preserve"> ע"ב: </w:t>
      </w:r>
      <w:r w:rsidRPr="001D49D4">
        <w:rPr>
          <w:rFonts w:ascii="Calibri" w:eastAsia="Calibri" w:hAnsi="Calibri" w:cs="Arial"/>
          <w:u w:val="double"/>
          <w:rtl/>
        </w:rPr>
        <w:t>מתני'</w:t>
      </w:r>
      <w:r w:rsidRPr="001D49D4">
        <w:rPr>
          <w:rFonts w:ascii="Calibri" w:eastAsia="Calibri" w:hAnsi="Calibri" w:cs="Arial"/>
          <w:rtl/>
        </w:rPr>
        <w:t xml:space="preserve">: ואלו דברים שאין נשבעין עליהן: העבדים, והשטרות, והקרקעות, וההקדשות, אין בהן תשלומי כפל ולא תשלומי ארבעה וחמשה, שומר חנם אינו נשבע, נושא שכר אינו משלם...  </w:t>
      </w:r>
      <w:r w:rsidRPr="001D49D4">
        <w:rPr>
          <w:rFonts w:ascii="Calibri" w:eastAsia="Calibri" w:hAnsi="Calibri" w:cs="Arial"/>
          <w:u w:val="double"/>
          <w:rtl/>
        </w:rPr>
        <w:t>גמ'</w:t>
      </w:r>
      <w:r w:rsidRPr="001D49D4">
        <w:rPr>
          <w:rFonts w:ascii="Calibri" w:eastAsia="Calibri" w:hAnsi="Calibri" w:cs="Arial"/>
          <w:rtl/>
        </w:rPr>
        <w:t>: שומר חנם אינו נשבע. מנא הני מילי? דתנו רבנן:</w:t>
      </w:r>
      <w:r w:rsidRPr="001D49D4">
        <w:rPr>
          <w:rFonts w:ascii="Calibri" w:eastAsia="Calibri" w:hAnsi="Calibri" w:cs="Arial"/>
          <w:sz w:val="14"/>
          <w:szCs w:val="14"/>
          <w:rtl/>
        </w:rPr>
        <w:t xml:space="preserve"> (מג.)</w:t>
      </w:r>
      <w:r w:rsidRPr="001D49D4">
        <w:rPr>
          <w:rFonts w:ascii="Calibri" w:eastAsia="Calibri" w:hAnsi="Calibri" w:cs="Arial"/>
          <w:rtl/>
        </w:rPr>
        <w:t xml:space="preserve"> כי יתן איש אל רעהו - כלל, כסף או כלים - פרט, לשמור - חזר וכלל, כלל ופרט וכלל אי אתה דן אלא כעין הפרט, מה הפרט מפורש דבר המטלטל וגופו ממון, אף כל דבר המטלטל וגופו ממון, יצאו קרקעות - שאין מטלטלין, יצאו עבדים - שהוקשו לקרקעות, יצאו שטרות - שאף על פי שמטלטלין אין גופן ממון.</w:t>
      </w:r>
    </w:p>
    <w:p w14:paraId="4D689E25" w14:textId="77777777" w:rsidR="001D49D4" w:rsidRPr="001D49D4" w:rsidRDefault="001D49D4" w:rsidP="0004348D">
      <w:pPr>
        <w:spacing w:before="360" w:after="240"/>
        <w:rPr>
          <w:rFonts w:ascii="Calibri" w:eastAsia="Calibri" w:hAnsi="Calibri" w:cs="Arial"/>
          <w:u w:val="single"/>
          <w:rtl/>
        </w:rPr>
      </w:pPr>
      <w:r w:rsidRPr="001D49D4">
        <w:rPr>
          <w:rFonts w:ascii="Calibri" w:eastAsia="Calibri" w:hAnsi="Calibri" w:cs="Arial"/>
          <w:u w:val="single"/>
          <w:rtl/>
        </w:rPr>
        <w:t>אלו שבועות נשבעים בשטרות ואלו לא:</w:t>
      </w:r>
    </w:p>
    <w:p w14:paraId="4187BDB8" w14:textId="77777777" w:rsidR="001D49D4" w:rsidRPr="001D49D4" w:rsidRDefault="001D49D4" w:rsidP="0004348D">
      <w:pPr>
        <w:spacing w:before="360" w:after="240"/>
        <w:rPr>
          <w:rFonts w:ascii="Calibri" w:eastAsia="Calibri" w:hAnsi="Calibri" w:cs="Arial"/>
          <w:u w:val="dotted"/>
          <w:rtl/>
        </w:rPr>
      </w:pPr>
      <w:r w:rsidRPr="001D49D4">
        <w:rPr>
          <w:rFonts w:ascii="Calibri" w:eastAsia="Calibri" w:hAnsi="Calibri" w:cs="Arial"/>
          <w:u w:val="dotted"/>
          <w:rtl/>
        </w:rPr>
        <w:t>שבועת השומרים:</w:t>
      </w:r>
    </w:p>
    <w:p w14:paraId="0F86123D" w14:textId="77777777" w:rsidR="001D49D4" w:rsidRPr="001D49D4" w:rsidRDefault="001D49D4" w:rsidP="0004348D">
      <w:pPr>
        <w:numPr>
          <w:ilvl w:val="0"/>
          <w:numId w:val="340"/>
        </w:numPr>
        <w:spacing w:before="360" w:after="240"/>
        <w:contextualSpacing/>
        <w:rPr>
          <w:rFonts w:ascii="Calibri" w:eastAsia="Calibri" w:hAnsi="Calibri" w:cs="Arial"/>
        </w:rPr>
      </w:pPr>
      <w:r w:rsidRPr="001D49D4">
        <w:rPr>
          <w:rFonts w:ascii="Calibri" w:eastAsia="Calibri" w:hAnsi="Calibri" w:cs="Arial"/>
          <w:rtl/>
        </w:rPr>
        <w:t xml:space="preserve">רי"ף </w:t>
      </w:r>
      <w:r w:rsidRPr="001D49D4">
        <w:rPr>
          <w:rFonts w:ascii="Calibri" w:eastAsia="Calibri" w:hAnsi="Calibri" w:cs="Arial"/>
          <w:sz w:val="16"/>
          <w:szCs w:val="16"/>
          <w:rtl/>
        </w:rPr>
        <w:t xml:space="preserve">(שבועות כג:) </w:t>
      </w:r>
      <w:r w:rsidRPr="001D49D4">
        <w:rPr>
          <w:rFonts w:ascii="Calibri" w:eastAsia="Calibri" w:hAnsi="Calibri" w:cs="Arial"/>
          <w:rtl/>
        </w:rPr>
        <w:t xml:space="preserve">רא"ש </w:t>
      </w:r>
      <w:r w:rsidRPr="001D49D4">
        <w:rPr>
          <w:rFonts w:ascii="Calibri" w:eastAsia="Calibri" w:hAnsi="Calibri" w:cs="Arial"/>
          <w:sz w:val="16"/>
          <w:szCs w:val="16"/>
          <w:rtl/>
        </w:rPr>
        <w:t xml:space="preserve">(פרק שבועת הדיינין סי' כד) </w:t>
      </w:r>
      <w:r w:rsidRPr="001D49D4">
        <w:rPr>
          <w:rFonts w:ascii="Calibri" w:eastAsia="Calibri" w:hAnsi="Calibri" w:cs="Arial"/>
          <w:rtl/>
        </w:rPr>
        <w:t>וטור- אין בהם דין שומרין, שאם נתנו שטר לשמור בחנם או בשכר ונגנב או נאבד, שומר חנם - אינו נשבע שלא פשע בהן, ושומר שכר - אינו משלם</w:t>
      </w:r>
      <w:r w:rsidRPr="001D49D4">
        <w:rPr>
          <w:rFonts w:ascii="Calibri" w:eastAsia="Calibri" w:hAnsi="Calibri" w:cs="Arial"/>
          <w:sz w:val="16"/>
          <w:szCs w:val="16"/>
          <w:rtl/>
        </w:rPr>
        <w:t xml:space="preserve"> (ל' הטור)</w:t>
      </w:r>
      <w:r w:rsidRPr="001D49D4">
        <w:rPr>
          <w:rFonts w:ascii="Calibri" w:eastAsia="Calibri" w:hAnsi="Calibri" w:cs="Arial"/>
          <w:rtl/>
        </w:rPr>
        <w:t xml:space="preserve">. </w:t>
      </w:r>
      <w:r w:rsidRPr="001D49D4">
        <w:rPr>
          <w:rFonts w:ascii="Calibri" w:eastAsia="Calibri" w:hAnsi="Calibri" w:cs="Arial"/>
          <w:color w:val="E36C0A" w:themeColor="accent6" w:themeShade="BF"/>
          <w:rtl/>
        </w:rPr>
        <w:t>(וכ"פ בשו"ע)</w:t>
      </w:r>
    </w:p>
    <w:p w14:paraId="25767232" w14:textId="77777777" w:rsidR="001D49D4" w:rsidRPr="001D49D4" w:rsidRDefault="001D49D4" w:rsidP="0004348D">
      <w:pPr>
        <w:spacing w:before="360" w:after="240"/>
        <w:rPr>
          <w:rFonts w:ascii="Calibri" w:eastAsia="Calibri" w:hAnsi="Calibri" w:cs="Arial"/>
          <w:u w:val="dotted"/>
        </w:rPr>
      </w:pPr>
      <w:r w:rsidRPr="001D49D4">
        <w:rPr>
          <w:rFonts w:ascii="Calibri" w:eastAsia="Calibri" w:hAnsi="Calibri" w:cs="Arial"/>
          <w:u w:val="dotted"/>
          <w:rtl/>
        </w:rPr>
        <w:t>שבועה ע"י גלגול:</w:t>
      </w:r>
    </w:p>
    <w:p w14:paraId="4C07BF4E" w14:textId="77777777" w:rsidR="001D49D4" w:rsidRPr="001D49D4" w:rsidRDefault="001D49D4" w:rsidP="0004348D">
      <w:pPr>
        <w:numPr>
          <w:ilvl w:val="0"/>
          <w:numId w:val="340"/>
        </w:numPr>
        <w:spacing w:before="360" w:after="240"/>
        <w:contextualSpacing/>
        <w:rPr>
          <w:rFonts w:ascii="Calibri" w:eastAsia="Calibri" w:hAnsi="Calibri" w:cs="Arial"/>
        </w:rPr>
      </w:pPr>
      <w:r w:rsidRPr="001D49D4">
        <w:rPr>
          <w:rFonts w:ascii="Calibri" w:eastAsia="Calibri" w:hAnsi="Calibri" w:cs="Arial"/>
          <w:rtl/>
        </w:rPr>
        <w:t>רי"ף</w:t>
      </w:r>
      <w:r w:rsidRPr="001D49D4">
        <w:rPr>
          <w:rFonts w:ascii="Calibri" w:eastAsia="Calibri" w:hAnsi="Calibri" w:cs="Arial"/>
          <w:vertAlign w:val="superscript"/>
          <w:rtl/>
        </w:rPr>
        <w:footnoteReference w:id="5221"/>
      </w:r>
      <w:r w:rsidRPr="001D49D4">
        <w:rPr>
          <w:rFonts w:ascii="Calibri" w:eastAsia="Calibri" w:hAnsi="Calibri" w:cs="Arial"/>
          <w:rtl/>
        </w:rPr>
        <w:t xml:space="preserve"> </w:t>
      </w:r>
      <w:r w:rsidRPr="001D49D4">
        <w:rPr>
          <w:rFonts w:ascii="Calibri" w:eastAsia="Calibri" w:hAnsi="Calibri" w:cs="Arial"/>
          <w:sz w:val="16"/>
          <w:szCs w:val="16"/>
          <w:rtl/>
        </w:rPr>
        <w:t xml:space="preserve">(שם) </w:t>
      </w:r>
      <w:r w:rsidRPr="001D49D4">
        <w:rPr>
          <w:rFonts w:ascii="Calibri" w:eastAsia="Calibri" w:hAnsi="Calibri" w:cs="Arial"/>
          <w:rtl/>
        </w:rPr>
        <w:t xml:space="preserve">ורא"ש </w:t>
      </w:r>
      <w:r w:rsidRPr="001D49D4">
        <w:rPr>
          <w:rFonts w:ascii="Calibri" w:eastAsia="Calibri" w:hAnsi="Calibri" w:cs="Arial"/>
          <w:sz w:val="16"/>
          <w:szCs w:val="16"/>
          <w:rtl/>
        </w:rPr>
        <w:t>(שם)</w:t>
      </w:r>
      <w:r w:rsidRPr="001D49D4">
        <w:rPr>
          <w:rFonts w:ascii="Calibri" w:eastAsia="Calibri" w:hAnsi="Calibri" w:cs="Arial"/>
          <w:rtl/>
        </w:rPr>
        <w:t>- הא דאין נשבעין עליהם הני מילי בפני עצמם אבל ע"י גלגול נשבעין</w:t>
      </w:r>
      <w:r w:rsidRPr="001D49D4">
        <w:rPr>
          <w:rFonts w:ascii="Calibri" w:eastAsia="Calibri" w:hAnsi="Calibri" w:cs="Arial"/>
          <w:sz w:val="16"/>
          <w:szCs w:val="16"/>
          <w:rtl/>
        </w:rPr>
        <w:t xml:space="preserve"> (ל' הרי"ף)</w:t>
      </w:r>
      <w:r w:rsidRPr="001D49D4">
        <w:rPr>
          <w:rFonts w:ascii="Calibri" w:eastAsia="Calibri" w:hAnsi="Calibri" w:cs="Arial"/>
          <w:vertAlign w:val="superscript"/>
          <w:rtl/>
        </w:rPr>
        <w:footnoteReference w:id="5222"/>
      </w:r>
      <w:r w:rsidRPr="001D49D4">
        <w:rPr>
          <w:rFonts w:ascii="Calibri" w:eastAsia="Calibri" w:hAnsi="Calibri" w:cs="Arial"/>
          <w:rtl/>
        </w:rPr>
        <w:t xml:space="preserve">. </w:t>
      </w:r>
      <w:r w:rsidRPr="001D49D4">
        <w:rPr>
          <w:rFonts w:ascii="Calibri" w:eastAsia="Calibri" w:hAnsi="Calibri" w:cs="Arial"/>
          <w:color w:val="00B0F0"/>
          <w:rtl/>
        </w:rPr>
        <w:t>(וכ"פ הרמ"א)</w:t>
      </w:r>
      <w:r w:rsidRPr="001D49D4">
        <w:rPr>
          <w:rFonts w:ascii="Calibri" w:eastAsia="Calibri" w:hAnsi="Calibri" w:cs="Arial"/>
          <w:rtl/>
        </w:rPr>
        <w:t xml:space="preserve"> </w:t>
      </w:r>
    </w:p>
    <w:p w14:paraId="6042F6B0" w14:textId="77777777" w:rsidR="001D49D4" w:rsidRPr="001D49D4" w:rsidRDefault="001D49D4" w:rsidP="0004348D">
      <w:pPr>
        <w:spacing w:before="360" w:after="240"/>
        <w:rPr>
          <w:rFonts w:ascii="Calibri" w:eastAsia="Calibri" w:hAnsi="Calibri" w:cs="Arial"/>
          <w:u w:val="dotted"/>
        </w:rPr>
      </w:pPr>
      <w:r w:rsidRPr="001D49D4">
        <w:rPr>
          <w:rFonts w:ascii="Calibri" w:eastAsia="Calibri" w:hAnsi="Calibri" w:cs="Arial"/>
          <w:u w:val="dotted"/>
          <w:rtl/>
        </w:rPr>
        <w:t>שבועת היסת:</w:t>
      </w:r>
    </w:p>
    <w:p w14:paraId="03FEB899" w14:textId="77777777" w:rsidR="001D49D4" w:rsidRPr="001D49D4" w:rsidRDefault="001D49D4" w:rsidP="0004348D">
      <w:pPr>
        <w:numPr>
          <w:ilvl w:val="0"/>
          <w:numId w:val="340"/>
        </w:numPr>
        <w:spacing w:before="360" w:after="240"/>
        <w:contextualSpacing/>
        <w:rPr>
          <w:rFonts w:ascii="Calibri" w:eastAsia="Calibri" w:hAnsi="Calibri" w:cs="Arial"/>
        </w:rPr>
      </w:pPr>
      <w:r w:rsidRPr="001D49D4">
        <w:rPr>
          <w:rFonts w:ascii="Calibri" w:eastAsia="Calibri" w:hAnsi="Calibri" w:cs="Arial"/>
          <w:rtl/>
        </w:rPr>
        <w:t xml:space="preserve">רי"ף </w:t>
      </w:r>
      <w:r w:rsidRPr="001D49D4">
        <w:rPr>
          <w:rFonts w:ascii="Calibri" w:eastAsia="Calibri" w:hAnsi="Calibri" w:cs="Arial"/>
          <w:sz w:val="16"/>
          <w:szCs w:val="16"/>
          <w:rtl/>
        </w:rPr>
        <w:t xml:space="preserve">(שם) </w:t>
      </w:r>
      <w:r w:rsidRPr="001D49D4">
        <w:rPr>
          <w:rFonts w:ascii="Calibri" w:eastAsia="Calibri" w:hAnsi="Calibri" w:cs="Arial"/>
          <w:rtl/>
        </w:rPr>
        <w:t xml:space="preserve">רמב"ם </w:t>
      </w:r>
      <w:r w:rsidRPr="001D49D4">
        <w:rPr>
          <w:rFonts w:ascii="Calibri" w:eastAsia="Calibri" w:hAnsi="Calibri" w:cs="Arial"/>
          <w:sz w:val="16"/>
          <w:szCs w:val="16"/>
          <w:rtl/>
        </w:rPr>
        <w:t xml:space="preserve">(פ"ה מטוען ונטען ה"א) </w:t>
      </w:r>
      <w:r w:rsidRPr="001D49D4">
        <w:rPr>
          <w:rFonts w:ascii="Calibri" w:eastAsia="Calibri" w:hAnsi="Calibri" w:cs="Arial"/>
          <w:rtl/>
        </w:rPr>
        <w:t xml:space="preserve">רא"ש </w:t>
      </w:r>
      <w:r w:rsidRPr="001D49D4">
        <w:rPr>
          <w:rFonts w:ascii="Calibri" w:eastAsia="Calibri" w:hAnsi="Calibri" w:cs="Arial"/>
          <w:sz w:val="16"/>
          <w:szCs w:val="16"/>
          <w:rtl/>
        </w:rPr>
        <w:t xml:space="preserve">(שם) </w:t>
      </w:r>
      <w:r w:rsidRPr="001D49D4">
        <w:rPr>
          <w:rFonts w:ascii="Calibri" w:eastAsia="Calibri" w:hAnsi="Calibri" w:cs="Arial"/>
          <w:rtl/>
        </w:rPr>
        <w:t>וטור- ואלו דברים שאין נשבעין עליהן מן התורה, הקרקעות והעבדים והשטרות... ועל כלן נשבע שבועת היסת אם היתה שם טענת ודאי</w:t>
      </w:r>
      <w:r w:rsidRPr="001D49D4">
        <w:rPr>
          <w:rFonts w:ascii="Calibri" w:eastAsia="Calibri" w:hAnsi="Calibri" w:cs="Arial"/>
          <w:sz w:val="16"/>
          <w:szCs w:val="16"/>
          <w:rtl/>
        </w:rPr>
        <w:t xml:space="preserve"> (ל' הרמב"ם)</w:t>
      </w:r>
      <w:r w:rsidRPr="001D49D4">
        <w:rPr>
          <w:rFonts w:ascii="Calibri" w:eastAsia="Calibri" w:hAnsi="Calibri" w:cs="Arial"/>
          <w:vertAlign w:val="superscript"/>
          <w:rtl/>
        </w:rPr>
        <w:footnoteReference w:id="5223"/>
      </w:r>
      <w:r w:rsidRPr="001D49D4">
        <w:rPr>
          <w:rFonts w:ascii="Calibri" w:eastAsia="Calibri" w:hAnsi="Calibri" w:cs="Arial"/>
          <w:rtl/>
        </w:rPr>
        <w:t xml:space="preserve">. </w:t>
      </w:r>
      <w:r w:rsidRPr="001D49D4">
        <w:rPr>
          <w:rFonts w:ascii="Calibri" w:eastAsia="Calibri" w:hAnsi="Calibri" w:cs="Arial"/>
          <w:color w:val="E36C0A" w:themeColor="accent6" w:themeShade="BF"/>
          <w:rtl/>
        </w:rPr>
        <w:t>(וכ"פ בשו"ע)</w:t>
      </w:r>
    </w:p>
    <w:p w14:paraId="5DFC8652" w14:textId="77777777" w:rsidR="001D49D4" w:rsidRPr="001D49D4" w:rsidRDefault="001D49D4" w:rsidP="0004348D">
      <w:pPr>
        <w:spacing w:before="360" w:after="240"/>
        <w:rPr>
          <w:rFonts w:ascii="Calibri" w:eastAsia="Calibri" w:hAnsi="Calibri" w:cs="Arial"/>
          <w:u w:val="dotted"/>
        </w:rPr>
      </w:pPr>
      <w:r w:rsidRPr="001D49D4">
        <w:rPr>
          <w:rFonts w:ascii="Calibri" w:eastAsia="Calibri" w:hAnsi="Calibri" w:cs="Arial"/>
          <w:u w:val="dotted"/>
          <w:rtl/>
        </w:rPr>
        <w:t>שבועה הבאה בהעדאת עד אחד:</w:t>
      </w:r>
    </w:p>
    <w:p w14:paraId="3BB9CF3B" w14:textId="77777777" w:rsidR="001D49D4" w:rsidRPr="001D49D4" w:rsidRDefault="001D49D4" w:rsidP="0004348D">
      <w:pPr>
        <w:numPr>
          <w:ilvl w:val="0"/>
          <w:numId w:val="340"/>
        </w:numPr>
        <w:spacing w:before="360" w:after="240"/>
        <w:contextualSpacing/>
        <w:rPr>
          <w:rFonts w:ascii="Calibri" w:eastAsia="Calibri" w:hAnsi="Calibri" w:cs="Arial"/>
          <w:rtl/>
        </w:rPr>
      </w:pPr>
      <w:r w:rsidRPr="001D49D4">
        <w:rPr>
          <w:rFonts w:ascii="Calibri" w:eastAsia="Calibri" w:hAnsi="Calibri" w:cs="Arial"/>
          <w:rtl/>
        </w:rPr>
        <w:t xml:space="preserve">ר"ן </w:t>
      </w:r>
      <w:r w:rsidRPr="001D49D4">
        <w:rPr>
          <w:rFonts w:ascii="Calibri" w:eastAsia="Calibri" w:hAnsi="Calibri" w:cs="Arial"/>
          <w:sz w:val="16"/>
          <w:szCs w:val="16"/>
          <w:rtl/>
        </w:rPr>
        <w:t>(פרק שבועת הדיינין כג: ד"ה גמ' והני)</w:t>
      </w:r>
      <w:r w:rsidRPr="001D49D4">
        <w:rPr>
          <w:rFonts w:ascii="Calibri" w:eastAsia="Calibri" w:hAnsi="Calibri" w:cs="Arial"/>
          <w:rtl/>
        </w:rPr>
        <w:t xml:space="preserve">- מפרק הכותב </w:t>
      </w:r>
      <w:r w:rsidRPr="001D49D4">
        <w:rPr>
          <w:rFonts w:ascii="Calibri" w:eastAsia="Calibri" w:hAnsi="Calibri" w:cs="Arial"/>
          <w:sz w:val="16"/>
          <w:szCs w:val="16"/>
          <w:rtl/>
        </w:rPr>
        <w:t xml:space="preserve">(כתובות פז:) </w:t>
      </w:r>
      <w:r w:rsidRPr="001D49D4">
        <w:rPr>
          <w:rFonts w:ascii="Calibri" w:eastAsia="Calibri" w:hAnsi="Calibri" w:cs="Arial"/>
          <w:rtl/>
        </w:rPr>
        <w:t xml:space="preserve">שמעינן דכשם שנתמעטו משבועת השומרין ומשבועת מודה במקצת כך נתמעטו משבועה הבאה בהעדאת עד אחד. </w:t>
      </w:r>
      <w:r w:rsidRPr="001D49D4">
        <w:rPr>
          <w:rFonts w:ascii="Calibri" w:eastAsia="Calibri" w:hAnsi="Calibri" w:cs="Arial"/>
          <w:color w:val="E36C0A" w:themeColor="accent6" w:themeShade="BF"/>
          <w:rtl/>
        </w:rPr>
        <w:t>(וכ"פ בשו"ע)</w:t>
      </w:r>
    </w:p>
    <w:p w14:paraId="624FE34C" w14:textId="77777777" w:rsidR="001D49D4" w:rsidRPr="001D49D4" w:rsidRDefault="001D49D4" w:rsidP="0004348D">
      <w:pPr>
        <w:spacing w:before="360" w:after="240"/>
        <w:rPr>
          <w:rFonts w:ascii="Calibri" w:eastAsia="Calibri" w:hAnsi="Calibri" w:cs="Arial"/>
          <w:u w:val="dotted"/>
        </w:rPr>
      </w:pPr>
      <w:r w:rsidRPr="001D49D4">
        <w:rPr>
          <w:rFonts w:ascii="Calibri" w:eastAsia="Calibri" w:hAnsi="Calibri" w:cs="Arial"/>
          <w:u w:val="dotted"/>
          <w:rtl/>
        </w:rPr>
        <w:t>שבועה שאינה ברשותו:</w:t>
      </w:r>
    </w:p>
    <w:p w14:paraId="2DCFC4C9" w14:textId="77777777" w:rsidR="001D49D4" w:rsidRPr="001D49D4" w:rsidRDefault="001D49D4" w:rsidP="0004348D">
      <w:pPr>
        <w:numPr>
          <w:ilvl w:val="0"/>
          <w:numId w:val="340"/>
        </w:numPr>
        <w:spacing w:before="360" w:after="240"/>
        <w:contextualSpacing/>
        <w:rPr>
          <w:rFonts w:ascii="Calibri" w:eastAsia="Calibri" w:hAnsi="Calibri" w:cs="Arial"/>
        </w:rPr>
      </w:pPr>
      <w:r w:rsidRPr="001D49D4">
        <w:rPr>
          <w:rFonts w:ascii="Calibri" w:eastAsia="Calibri" w:hAnsi="Calibri" w:cs="Arial"/>
          <w:rtl/>
        </w:rPr>
        <w:t xml:space="preserve">רמב"ם רשב"א </w:t>
      </w:r>
      <w:r w:rsidRPr="001D49D4">
        <w:rPr>
          <w:rFonts w:ascii="Calibri" w:eastAsia="Calibri" w:hAnsi="Calibri" w:cs="Arial"/>
          <w:sz w:val="16"/>
          <w:szCs w:val="16"/>
          <w:rtl/>
        </w:rPr>
        <w:t>(כ"כ הר"ן בשמו</w:t>
      </w:r>
      <w:r w:rsidRPr="001D49D4">
        <w:rPr>
          <w:rFonts w:ascii="Calibri" w:eastAsia="Calibri" w:hAnsi="Calibri" w:cs="Arial"/>
          <w:sz w:val="16"/>
          <w:szCs w:val="16"/>
          <w:vertAlign w:val="superscript"/>
          <w:rtl/>
        </w:rPr>
        <w:footnoteReference w:id="5224"/>
      </w:r>
      <w:r w:rsidRPr="001D49D4">
        <w:rPr>
          <w:rFonts w:ascii="Calibri" w:eastAsia="Calibri" w:hAnsi="Calibri" w:cs="Arial"/>
          <w:sz w:val="16"/>
          <w:szCs w:val="16"/>
          <w:rtl/>
        </w:rPr>
        <w:t xml:space="preserve"> [שם])</w:t>
      </w:r>
      <w:r w:rsidRPr="001D49D4">
        <w:rPr>
          <w:rFonts w:ascii="Calibri" w:eastAsia="Calibri" w:hAnsi="Calibri" w:cs="Arial"/>
          <w:rtl/>
        </w:rPr>
        <w:t xml:space="preserve"> וריטב"א</w:t>
      </w:r>
      <w:r w:rsidRPr="001D49D4">
        <w:rPr>
          <w:rFonts w:ascii="Calibri" w:eastAsia="Calibri" w:hAnsi="Calibri" w:cs="Arial"/>
          <w:vertAlign w:val="superscript"/>
          <w:rtl/>
        </w:rPr>
        <w:footnoteReference w:id="5225"/>
      </w:r>
      <w:r w:rsidRPr="001D49D4">
        <w:rPr>
          <w:rFonts w:ascii="Calibri" w:eastAsia="Calibri" w:hAnsi="Calibri" w:cs="Arial"/>
          <w:rtl/>
        </w:rPr>
        <w:t>- א"צ לישבע שאינה ברשותו אף מדרבנן</w:t>
      </w:r>
      <w:r w:rsidRPr="001D49D4">
        <w:rPr>
          <w:rFonts w:ascii="Calibri" w:eastAsia="Calibri" w:hAnsi="Calibri" w:cs="Arial"/>
          <w:vertAlign w:val="superscript"/>
          <w:rtl/>
        </w:rPr>
        <w:footnoteReference w:id="5226"/>
      </w:r>
      <w:r w:rsidRPr="001D49D4">
        <w:rPr>
          <w:rFonts w:ascii="Calibri" w:eastAsia="Calibri" w:hAnsi="Calibri" w:cs="Arial"/>
          <w:rtl/>
        </w:rPr>
        <w:t xml:space="preserve">. </w:t>
      </w:r>
    </w:p>
    <w:p w14:paraId="16BD1542" w14:textId="77777777" w:rsidR="001D49D4" w:rsidRPr="001D49D4" w:rsidRDefault="001D49D4" w:rsidP="0004348D">
      <w:pPr>
        <w:numPr>
          <w:ilvl w:val="0"/>
          <w:numId w:val="340"/>
        </w:numPr>
        <w:spacing w:before="360" w:after="240"/>
        <w:contextualSpacing/>
        <w:rPr>
          <w:rFonts w:ascii="Calibri" w:eastAsia="Calibri" w:hAnsi="Calibri" w:cs="Arial"/>
        </w:rPr>
      </w:pPr>
      <w:r w:rsidRPr="001D49D4">
        <w:rPr>
          <w:rFonts w:ascii="Calibri" w:eastAsia="Calibri" w:hAnsi="Calibri" w:cs="Arial"/>
          <w:rtl/>
        </w:rPr>
        <w:t xml:space="preserve">ראב"ד </w:t>
      </w:r>
      <w:r w:rsidRPr="001D49D4">
        <w:rPr>
          <w:rFonts w:ascii="Calibri" w:eastAsia="Calibri" w:hAnsi="Calibri" w:cs="Arial"/>
          <w:sz w:val="16"/>
          <w:szCs w:val="16"/>
          <w:rtl/>
        </w:rPr>
        <w:t>(פ"ה מטוען ונטען ה"ו)</w:t>
      </w:r>
      <w:r w:rsidRPr="001D49D4">
        <w:rPr>
          <w:rFonts w:ascii="Calibri" w:eastAsia="Calibri" w:hAnsi="Calibri" w:cs="Arial"/>
          <w:rtl/>
        </w:rPr>
        <w:t xml:space="preserve"> ור"ן </w:t>
      </w:r>
      <w:r w:rsidRPr="001D49D4">
        <w:rPr>
          <w:rFonts w:ascii="Calibri" w:eastAsia="Calibri" w:hAnsi="Calibri" w:cs="Arial"/>
          <w:sz w:val="16"/>
          <w:szCs w:val="16"/>
          <w:rtl/>
        </w:rPr>
        <w:t>(פרק שבועת הדיינין שם)</w:t>
      </w:r>
      <w:r w:rsidRPr="001D49D4">
        <w:rPr>
          <w:rFonts w:ascii="Calibri" w:eastAsia="Calibri" w:hAnsi="Calibri" w:cs="Arial"/>
          <w:rtl/>
        </w:rPr>
        <w:t xml:space="preserve">- חייב להישבע שבועה שאינה ברשותו כיון ששבועה זו חכמים תקנוה </w:t>
      </w:r>
      <w:r w:rsidRPr="001D49D4">
        <w:rPr>
          <w:rFonts w:ascii="Calibri" w:eastAsia="Calibri" w:hAnsi="Calibri" w:cs="Arial"/>
          <w:sz w:val="16"/>
          <w:szCs w:val="16"/>
          <w:rtl/>
        </w:rPr>
        <w:t>(ב"מ לד:)</w:t>
      </w:r>
      <w:r w:rsidRPr="001D49D4">
        <w:rPr>
          <w:rFonts w:ascii="Calibri" w:eastAsia="Calibri" w:hAnsi="Calibri" w:cs="Arial"/>
          <w:rtl/>
        </w:rPr>
        <w:t xml:space="preserve"> משום שמא עיניו נתן בה</w:t>
      </w:r>
      <w:r w:rsidRPr="001D49D4">
        <w:rPr>
          <w:rFonts w:ascii="Calibri" w:eastAsia="Calibri" w:hAnsi="Calibri" w:cs="Arial"/>
          <w:sz w:val="10"/>
          <w:szCs w:val="10"/>
          <w:rtl/>
        </w:rPr>
        <w:t xml:space="preserve"> </w:t>
      </w:r>
      <w:r w:rsidRPr="001D49D4">
        <w:rPr>
          <w:rFonts w:ascii="Calibri" w:eastAsia="Calibri" w:hAnsi="Calibri" w:cs="Arial"/>
          <w:sz w:val="16"/>
          <w:szCs w:val="16"/>
          <w:rtl/>
        </w:rPr>
        <w:t>(ל' הר"ן)</w:t>
      </w:r>
      <w:r w:rsidRPr="001D49D4">
        <w:rPr>
          <w:rFonts w:ascii="Calibri" w:eastAsia="Calibri" w:hAnsi="Calibri" w:cs="Arial"/>
          <w:rtl/>
        </w:rPr>
        <w:t>. (וכ"פ הש"ך</w:t>
      </w:r>
      <w:r w:rsidRPr="001D49D4">
        <w:rPr>
          <w:rFonts w:ascii="Calibri" w:eastAsia="Calibri" w:hAnsi="Calibri" w:cs="Arial"/>
          <w:sz w:val="16"/>
          <w:szCs w:val="16"/>
          <w:rtl/>
        </w:rPr>
        <w:t xml:space="preserve"> [סקקכ"ד]</w:t>
      </w:r>
      <w:r w:rsidRPr="001D49D4">
        <w:rPr>
          <w:rFonts w:ascii="Calibri" w:eastAsia="Calibri" w:hAnsi="Calibri" w:cs="Arial"/>
          <w:rtl/>
        </w:rPr>
        <w:t>)</w:t>
      </w:r>
    </w:p>
    <w:p w14:paraId="6EE54E54" w14:textId="77777777" w:rsidR="001D49D4" w:rsidRPr="001D49D4" w:rsidRDefault="001D49D4" w:rsidP="0004348D">
      <w:pPr>
        <w:spacing w:before="360" w:after="240"/>
        <w:rPr>
          <w:rFonts w:ascii="Calibri" w:eastAsia="Calibri" w:hAnsi="Calibri" w:cs="Arial"/>
        </w:rPr>
      </w:pPr>
      <w:r w:rsidRPr="001D49D4">
        <w:rPr>
          <w:rFonts w:ascii="Calibri" w:eastAsia="Calibri" w:hAnsi="Calibri" w:cs="Arial"/>
          <w:u w:val="single"/>
          <w:rtl/>
        </w:rPr>
        <w:t>יורשים שמחלו על מתנה שאביהם נתן לפני שבאה לעולם:</w:t>
      </w:r>
      <w:r w:rsidRPr="001D49D4">
        <w:rPr>
          <w:rFonts w:ascii="Calibri" w:eastAsia="Calibri" w:hAnsi="Calibri" w:cs="Arial"/>
          <w:rtl/>
        </w:rPr>
        <w:t xml:space="preserve">   </w:t>
      </w:r>
      <w:r w:rsidRPr="001D49D4">
        <w:rPr>
          <w:rFonts w:ascii="Calibri" w:eastAsia="Calibri" w:hAnsi="Calibri" w:cs="Arial"/>
          <w:sz w:val="16"/>
          <w:szCs w:val="16"/>
          <w:rtl/>
        </w:rPr>
        <w:t>(דרכ"מ אות יג)</w:t>
      </w:r>
      <w:r w:rsidRPr="001D49D4">
        <w:rPr>
          <w:rFonts w:ascii="Calibri" w:eastAsia="Calibri" w:hAnsi="Calibri" w:cs="Arial"/>
          <w:rtl/>
        </w:rPr>
        <w:t xml:space="preserve"> </w:t>
      </w:r>
    </w:p>
    <w:p w14:paraId="6DFAE60C" w14:textId="77777777" w:rsidR="001D49D4" w:rsidRPr="001D49D4" w:rsidRDefault="001D49D4" w:rsidP="0004348D">
      <w:pPr>
        <w:numPr>
          <w:ilvl w:val="0"/>
          <w:numId w:val="340"/>
        </w:numPr>
        <w:spacing w:before="360" w:after="240"/>
        <w:contextualSpacing/>
        <w:rPr>
          <w:rFonts w:ascii="Calibri" w:eastAsia="Calibri" w:hAnsi="Calibri" w:cs="Arial"/>
        </w:rPr>
      </w:pPr>
      <w:r w:rsidRPr="001D49D4">
        <w:rPr>
          <w:rFonts w:ascii="Calibri" w:eastAsia="Calibri" w:hAnsi="Calibri" w:cs="Arial"/>
          <w:rtl/>
        </w:rPr>
        <w:t xml:space="preserve">רשב"א </w:t>
      </w:r>
      <w:r w:rsidRPr="001D49D4">
        <w:rPr>
          <w:rFonts w:ascii="Calibri" w:eastAsia="Calibri" w:hAnsi="Calibri" w:cs="Arial"/>
          <w:sz w:val="16"/>
          <w:szCs w:val="16"/>
          <w:rtl/>
        </w:rPr>
        <w:t>(ח"א סי' אלף קמט אלף קנח וח"ב סי' קה, הביאו הב"י סי' רז ס"א מחו' יג)</w:t>
      </w:r>
      <w:r w:rsidRPr="001D49D4">
        <w:rPr>
          <w:rFonts w:ascii="Calibri" w:eastAsia="Calibri" w:hAnsi="Calibri" w:cs="Arial"/>
          <w:rtl/>
        </w:rPr>
        <w:t>- אלמנה שנתחייבה לראובן ר' זוז אם תנשא עד עשרים שנה. וראובן נתנו לשמעון. ויורשי ראובן מחלו החוב להאלמנה. תשובה, מאחר שהשטר אינו כתוב בדרך אסמכתא הוי המתנה קיימת ולא אמרינן דהוי דבר שלא בא לעולם, מיהו יורשי ראובן יכולין למחול.</w:t>
      </w:r>
    </w:p>
    <w:p w14:paraId="4D584C2D" w14:textId="77777777" w:rsidR="001D49D4" w:rsidRPr="001D49D4" w:rsidRDefault="001D49D4" w:rsidP="0004348D">
      <w:pPr>
        <w:spacing w:before="360" w:after="240"/>
        <w:rPr>
          <w:rFonts w:ascii="Arial" w:eastAsia="Calibri" w:hAnsi="Arial" w:cs="Arial"/>
          <w:b/>
          <w:bCs/>
          <w:color w:val="000000"/>
          <w:sz w:val="28"/>
          <w:szCs w:val="28"/>
          <w:u w:val="single"/>
          <w:rtl/>
        </w:rPr>
      </w:pPr>
      <w:r w:rsidRPr="001D49D4">
        <w:rPr>
          <w:rFonts w:ascii="Arial" w:eastAsia="Calibri" w:hAnsi="Arial" w:cs="Arial"/>
          <w:b/>
          <w:bCs/>
          <w:color w:val="000000"/>
          <w:sz w:val="28"/>
          <w:szCs w:val="28"/>
          <w:u w:val="single"/>
          <w:rtl/>
        </w:rPr>
        <w:t>שו"ע:</w:t>
      </w:r>
    </w:p>
    <w:p w14:paraId="4F6F30E4"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rtl/>
        </w:rPr>
        <w:t xml:space="preserve">שטרות, אין נשבעים עליהם. אפילו הודה במקצת או שיש עליו עד אחד, הרי זה פטור משבועת התורה. אבל נשבעים עליהם היסת אם היתה שם טענת ודאי. </w:t>
      </w:r>
      <w:r w:rsidRPr="001D49D4">
        <w:rPr>
          <w:rFonts w:ascii="Calibri" w:eastAsia="Calibri" w:hAnsi="Calibri" w:cs="Arial"/>
          <w:sz w:val="18"/>
          <w:szCs w:val="18"/>
          <w:rtl/>
        </w:rPr>
        <w:t>[הגה] וכן נשבעין עליהם ע"י גלגול (הרי"ף והרא"ש פ' שבועת הדיינים) עיין לקמן סי' צה.</w:t>
      </w:r>
      <w:r w:rsidRPr="001D49D4">
        <w:rPr>
          <w:rFonts w:ascii="Calibri" w:eastAsia="Calibri" w:hAnsi="Calibri" w:cs="Arial"/>
          <w:rtl/>
        </w:rPr>
        <w:t xml:space="preserve"> </w:t>
      </w:r>
    </w:p>
    <w:p w14:paraId="77B36CCC" w14:textId="77777777" w:rsidR="001D49D4" w:rsidRPr="001D49D4" w:rsidRDefault="001D49D4" w:rsidP="0004348D">
      <w:pPr>
        <w:spacing w:before="360" w:after="240"/>
        <w:rPr>
          <w:rFonts w:ascii="Calibri" w:eastAsia="Calibri" w:hAnsi="Calibri" w:cs="Arial"/>
          <w:rtl/>
        </w:rPr>
      </w:pPr>
    </w:p>
    <w:p w14:paraId="3961C35F" w14:textId="77777777" w:rsidR="001D49D4" w:rsidRPr="001D49D4" w:rsidRDefault="001D49D4" w:rsidP="0004348D">
      <w:pPr>
        <w:keepNext/>
        <w:keepLines/>
        <w:spacing w:before="360" w:after="240"/>
        <w:outlineLvl w:val="1"/>
        <w:rPr>
          <w:rFonts w:ascii="Cambria" w:eastAsia="Times New Roman" w:hAnsi="Cambria" w:cs="Arial"/>
          <w:bCs/>
          <w:color w:val="548DD4" w:themeColor="text2" w:themeTint="99"/>
          <w:sz w:val="26"/>
          <w:szCs w:val="26"/>
          <w:rtl/>
        </w:rPr>
      </w:pPr>
      <w:bookmarkStart w:id="721" w:name="_Toc24884134"/>
      <w:r w:rsidRPr="001D49D4">
        <w:rPr>
          <w:rFonts w:ascii="Cambria" w:eastAsia="Times New Roman" w:hAnsi="Cambria" w:cs="Arial"/>
          <w:bCs/>
          <w:color w:val="548DD4" w:themeColor="text2" w:themeTint="99"/>
          <w:sz w:val="26"/>
          <w:szCs w:val="26"/>
          <w:rtl/>
        </w:rPr>
        <w:t>סעיף מ: חיובי שומרים בשטרות.</w:t>
      </w:r>
      <w:bookmarkEnd w:id="721"/>
      <w:r w:rsidRPr="001D49D4">
        <w:rPr>
          <w:rFonts w:ascii="Cambria" w:eastAsia="Times New Roman" w:hAnsi="Cambria" w:cs="Arial"/>
          <w:bCs/>
          <w:color w:val="548DD4" w:themeColor="text2" w:themeTint="99"/>
          <w:sz w:val="26"/>
          <w:szCs w:val="26"/>
          <w:rtl/>
        </w:rPr>
        <w:t xml:space="preserve"> </w:t>
      </w:r>
    </w:p>
    <w:p w14:paraId="7690F7B0"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b/>
          <w:bCs/>
          <w:rtl/>
        </w:rPr>
        <w:t xml:space="preserve">בבא מציעא </w:t>
      </w:r>
      <w:r w:rsidRPr="001D49D4">
        <w:rPr>
          <w:rFonts w:ascii="Calibri" w:eastAsia="Calibri" w:hAnsi="Calibri" w:cs="Arial"/>
          <w:b/>
          <w:bCs/>
          <w:sz w:val="16"/>
          <w:szCs w:val="16"/>
          <w:rtl/>
        </w:rPr>
        <w:t xml:space="preserve">(פרק הזהב) </w:t>
      </w:r>
      <w:r w:rsidRPr="001D49D4">
        <w:rPr>
          <w:rFonts w:ascii="Calibri" w:eastAsia="Calibri" w:hAnsi="Calibri" w:cs="Arial"/>
          <w:b/>
          <w:bCs/>
          <w:rtl/>
        </w:rPr>
        <w:t>נו</w:t>
      </w:r>
      <w:r w:rsidRPr="001D49D4">
        <w:rPr>
          <w:rFonts w:ascii="Calibri" w:eastAsia="Calibri" w:hAnsi="Calibri" w:cs="Arial"/>
          <w:b/>
          <w:bCs/>
          <w:vertAlign w:val="superscript"/>
          <w:rtl/>
        </w:rPr>
        <w:footnoteReference w:id="5227"/>
      </w:r>
      <w:r w:rsidRPr="001D49D4">
        <w:rPr>
          <w:rFonts w:ascii="Calibri" w:eastAsia="Calibri" w:hAnsi="Calibri" w:cs="Arial"/>
          <w:b/>
          <w:bCs/>
          <w:rtl/>
        </w:rPr>
        <w:t xml:space="preserve"> ע"א:</w:t>
      </w:r>
      <w:r w:rsidRPr="001D49D4">
        <w:rPr>
          <w:rFonts w:ascii="Calibri" w:eastAsia="Calibri" w:hAnsi="Calibri" w:cs="Arial"/>
          <w:rtl/>
        </w:rPr>
        <w:t xml:space="preserve"> </w:t>
      </w:r>
      <w:r w:rsidRPr="001D49D4">
        <w:rPr>
          <w:rFonts w:ascii="Calibri" w:eastAsia="Calibri" w:hAnsi="Calibri" w:cs="Arial"/>
          <w:u w:val="double"/>
          <w:rtl/>
        </w:rPr>
        <w:t>משנה</w:t>
      </w:r>
      <w:r w:rsidRPr="001D49D4">
        <w:rPr>
          <w:rFonts w:ascii="Calibri" w:eastAsia="Calibri" w:hAnsi="Calibri" w:cs="Arial"/>
          <w:rtl/>
        </w:rPr>
        <w:t xml:space="preserve">: אלו דברים שאין להם אונאה: העבדים, והשטרות, והקרקעות, וההקדשות, אין להן תשלומי כפל ולא תשלומי ארבעה וחמשה. שומר חנם אינו נשבע, ונושא שכר אינו משלם...    </w:t>
      </w:r>
      <w:r w:rsidRPr="001D49D4">
        <w:rPr>
          <w:rFonts w:ascii="Calibri" w:eastAsia="Calibri" w:hAnsi="Calibri" w:cs="Arial"/>
          <w:u w:val="double"/>
          <w:rtl/>
        </w:rPr>
        <w:t>גמ'</w:t>
      </w:r>
      <w:r w:rsidRPr="001D49D4">
        <w:rPr>
          <w:rFonts w:ascii="Calibri" w:eastAsia="Calibri" w:hAnsi="Calibri" w:cs="Arial"/>
          <w:sz w:val="14"/>
          <w:szCs w:val="14"/>
          <w:u w:val="double"/>
          <w:rtl/>
        </w:rPr>
        <w:t xml:space="preserve"> (נח.)</w:t>
      </w:r>
      <w:r w:rsidRPr="001D49D4">
        <w:rPr>
          <w:rFonts w:ascii="Calibri" w:eastAsia="Calibri" w:hAnsi="Calibri" w:cs="Arial"/>
          <w:u w:val="double"/>
          <w:rtl/>
        </w:rPr>
        <w:t>:</w:t>
      </w:r>
      <w:r w:rsidRPr="001D49D4">
        <w:rPr>
          <w:rFonts w:ascii="Calibri" w:eastAsia="Calibri" w:hAnsi="Calibri" w:cs="Arial"/>
          <w:rtl/>
        </w:rPr>
        <w:t xml:space="preserve"> נושא שכר אינו משלם. </w:t>
      </w:r>
      <w:r w:rsidRPr="001D49D4">
        <w:rPr>
          <w:rFonts w:ascii="Calibri" w:eastAsia="Calibri" w:hAnsi="Calibri" w:cs="Arial"/>
          <w:u w:val="single"/>
          <w:rtl/>
        </w:rPr>
        <w:t>רמי ליה רב יוסף בר חמא לרבה</w:t>
      </w:r>
      <w:r w:rsidRPr="001D49D4">
        <w:rPr>
          <w:rFonts w:ascii="Calibri" w:eastAsia="Calibri" w:hAnsi="Calibri" w:cs="Arial"/>
          <w:rtl/>
        </w:rPr>
        <w:t xml:space="preserve">; תנן: נושא שכר אינו משלם, ורמינהו: השוכר את הפועל לשמור את הפרה, לשמור את התינוק, לשמור את הזרעים - אין נותנים לו שכר שבת, לפיכך אין אחריות שבת עליו. היה שכיר שבת, שכיר חדש, שכיר שנה, שכיר שבוע - נותנין לו שכר שבת, לפיכך אחריות שבת עליו. מאי לאו לשלם? לא, להפסיד שכרו. אי הכי, רישא דקתני אין אחריות שבת עליו - הכי נמי דלהפסיד שכרו? ומי אית ליה שכר שבת, והא קתני אין נותנין לו שכר שבת! אשתיק. </w:t>
      </w:r>
      <w:r w:rsidRPr="001D49D4">
        <w:rPr>
          <w:rFonts w:ascii="Calibri" w:eastAsia="Calibri" w:hAnsi="Calibri" w:cs="Arial"/>
          <w:u w:val="single"/>
          <w:rtl/>
        </w:rPr>
        <w:t>אמר ליה</w:t>
      </w:r>
      <w:r w:rsidRPr="001D49D4">
        <w:rPr>
          <w:rFonts w:ascii="Calibri" w:eastAsia="Calibri" w:hAnsi="Calibri" w:cs="Arial"/>
          <w:rtl/>
        </w:rPr>
        <w:t xml:space="preserve">: מידי שמיע לך בהא? </w:t>
      </w:r>
      <w:r w:rsidRPr="001D49D4">
        <w:rPr>
          <w:rFonts w:ascii="Calibri" w:eastAsia="Calibri" w:hAnsi="Calibri" w:cs="Arial"/>
          <w:u w:val="single"/>
          <w:rtl/>
        </w:rPr>
        <w:t>אמר ליה, הכי אמר רב ששת</w:t>
      </w:r>
      <w:r w:rsidRPr="001D49D4">
        <w:rPr>
          <w:rFonts w:ascii="Calibri" w:eastAsia="Calibri" w:hAnsi="Calibri" w:cs="Arial"/>
          <w:rtl/>
        </w:rPr>
        <w:t xml:space="preserve">: בשקנו מידו. </w:t>
      </w:r>
      <w:r w:rsidRPr="001D49D4">
        <w:rPr>
          <w:rFonts w:ascii="Calibri" w:eastAsia="Calibri" w:hAnsi="Calibri" w:cs="Arial"/>
          <w:u w:val="single"/>
          <w:rtl/>
        </w:rPr>
        <w:t>וכן אמר רבי יוחנן</w:t>
      </w:r>
      <w:r w:rsidRPr="001D49D4">
        <w:rPr>
          <w:rFonts w:ascii="Calibri" w:eastAsia="Calibri" w:hAnsi="Calibri" w:cs="Arial"/>
          <w:rtl/>
        </w:rPr>
        <w:t>: בשקנו מידו.</w:t>
      </w:r>
    </w:p>
    <w:p w14:paraId="327B1585" w14:textId="77777777" w:rsidR="001D49D4" w:rsidRPr="001D49D4" w:rsidRDefault="001D49D4" w:rsidP="0004348D">
      <w:pPr>
        <w:spacing w:before="360" w:after="240"/>
        <w:rPr>
          <w:rFonts w:ascii="Calibri" w:eastAsia="Calibri" w:hAnsi="Calibri" w:cs="Arial"/>
          <w:u w:val="single"/>
          <w:rtl/>
        </w:rPr>
      </w:pPr>
      <w:r w:rsidRPr="001D49D4">
        <w:rPr>
          <w:rFonts w:ascii="Calibri" w:eastAsia="Calibri" w:hAnsi="Calibri" w:cs="Arial"/>
          <w:u w:val="single"/>
          <w:rtl/>
        </w:rPr>
        <w:t>אדם שהביאו לו לשמור על שטרות - ופשע בשמירתם:</w:t>
      </w:r>
    </w:p>
    <w:p w14:paraId="36F56F73" w14:textId="77777777" w:rsidR="001D49D4" w:rsidRPr="001D49D4" w:rsidRDefault="001D49D4" w:rsidP="0004348D">
      <w:pPr>
        <w:numPr>
          <w:ilvl w:val="0"/>
          <w:numId w:val="341"/>
        </w:numPr>
        <w:spacing w:before="360" w:after="240"/>
        <w:contextualSpacing/>
        <w:rPr>
          <w:rFonts w:ascii="Calibri" w:eastAsia="Calibri" w:hAnsi="Calibri" w:cs="Arial"/>
          <w:rtl/>
        </w:rPr>
      </w:pPr>
      <w:r w:rsidRPr="001D49D4">
        <w:rPr>
          <w:rFonts w:ascii="Calibri" w:eastAsia="Calibri" w:hAnsi="Calibri" w:cs="Arial"/>
          <w:rtl/>
        </w:rPr>
        <w:t xml:space="preserve">רמב"ם </w:t>
      </w:r>
      <w:r w:rsidRPr="001D49D4">
        <w:rPr>
          <w:rFonts w:ascii="Calibri" w:eastAsia="Calibri" w:hAnsi="Calibri" w:cs="Arial"/>
          <w:sz w:val="16"/>
          <w:szCs w:val="16"/>
          <w:rtl/>
        </w:rPr>
        <w:t>(פ"ב מהל' שכירות</w:t>
      </w:r>
      <w:r w:rsidRPr="001D49D4">
        <w:rPr>
          <w:rFonts w:ascii="Calibri" w:eastAsia="Calibri" w:hAnsi="Calibri" w:cs="Arial"/>
          <w:sz w:val="16"/>
          <w:szCs w:val="16"/>
          <w:vertAlign w:val="superscript"/>
          <w:rtl/>
        </w:rPr>
        <w:footnoteReference w:id="5228"/>
      </w:r>
      <w:r w:rsidRPr="001D49D4">
        <w:rPr>
          <w:rFonts w:ascii="Calibri" w:eastAsia="Calibri" w:hAnsi="Calibri" w:cs="Arial"/>
          <w:sz w:val="16"/>
          <w:szCs w:val="16"/>
          <w:rtl/>
        </w:rPr>
        <w:t xml:space="preserve"> ה"ג)</w:t>
      </w:r>
      <w:r w:rsidRPr="001D49D4">
        <w:rPr>
          <w:rFonts w:ascii="Calibri" w:eastAsia="Calibri" w:hAnsi="Calibri" w:cs="Arial"/>
          <w:rtl/>
        </w:rPr>
        <w:t xml:space="preserve"> ובהעי"ט </w:t>
      </w:r>
      <w:r w:rsidRPr="001D49D4">
        <w:rPr>
          <w:rFonts w:ascii="Calibri" w:eastAsia="Calibri" w:hAnsi="Calibri" w:cs="Arial"/>
          <w:sz w:val="16"/>
          <w:szCs w:val="16"/>
          <w:rtl/>
        </w:rPr>
        <w:t>(אות ע עיסקא וחוב הל' מלוה על פה כ ע"ג)</w:t>
      </w:r>
      <w:r w:rsidRPr="001D49D4">
        <w:rPr>
          <w:rFonts w:ascii="Calibri" w:eastAsia="Calibri" w:hAnsi="Calibri" w:cs="Arial"/>
          <w:rtl/>
        </w:rPr>
        <w:t>- יראה לי שאם פשע השומר בעבדים וכיוצא בהן - חייב לשלם, שאינו פטור בעבדים וקרקעות ושטרות אלא מדין גניבה ואבידה ומתה וכיוצא בהן שאם היה שומר חינם על מטלטלין ונגנבו או אבדו ישבע ובעבדים וקרקעות ושטרות פטור משבועה, וכן אם היה שומר שכר שמשלם גניבה ואבידה במטלטלין פטור מלשלם באלו, אבל אם פשע בה חייב לשלם, שכל הפושע מזיק הוא, ואין הפרש בין דין המזיק קרקע לדין המזיק מטלטלין. ודין אמת הוא זה למבינים וכן ראוי לדון</w:t>
      </w:r>
      <w:r w:rsidRPr="001D49D4">
        <w:rPr>
          <w:rFonts w:ascii="Calibri" w:eastAsia="Calibri" w:hAnsi="Calibri" w:cs="Arial"/>
          <w:sz w:val="16"/>
          <w:szCs w:val="16"/>
          <w:rtl/>
        </w:rPr>
        <w:t xml:space="preserve"> (ל' הרמב"ם)</w:t>
      </w:r>
      <w:r w:rsidRPr="001D49D4">
        <w:rPr>
          <w:rFonts w:ascii="Calibri" w:eastAsia="Calibri" w:hAnsi="Calibri" w:cs="Arial"/>
          <w:rtl/>
        </w:rPr>
        <w:t>. (וכ"פ הש"ך</w:t>
      </w:r>
      <w:r w:rsidRPr="001D49D4">
        <w:rPr>
          <w:rFonts w:ascii="Calibri" w:eastAsia="Calibri" w:hAnsi="Calibri" w:cs="Arial"/>
          <w:sz w:val="16"/>
          <w:szCs w:val="16"/>
          <w:rtl/>
        </w:rPr>
        <w:t xml:space="preserve"> [סקקכ"ו]</w:t>
      </w:r>
      <w:r w:rsidRPr="001D49D4">
        <w:rPr>
          <w:rFonts w:ascii="Calibri" w:eastAsia="Calibri" w:hAnsi="Calibri" w:cs="Arial"/>
          <w:rtl/>
        </w:rPr>
        <w:t>)</w:t>
      </w:r>
    </w:p>
    <w:p w14:paraId="00C16A58" w14:textId="77777777" w:rsidR="001D49D4" w:rsidRPr="001D49D4" w:rsidRDefault="001D49D4" w:rsidP="0004348D">
      <w:pPr>
        <w:numPr>
          <w:ilvl w:val="0"/>
          <w:numId w:val="341"/>
        </w:numPr>
        <w:spacing w:before="360" w:after="240"/>
        <w:contextualSpacing/>
        <w:rPr>
          <w:rFonts w:ascii="Calibri" w:eastAsia="Calibri" w:hAnsi="Calibri" w:cs="Arial"/>
        </w:rPr>
      </w:pPr>
      <w:r w:rsidRPr="001D49D4">
        <w:rPr>
          <w:rFonts w:ascii="Calibri" w:eastAsia="Calibri" w:hAnsi="Calibri" w:cs="Arial"/>
          <w:rtl/>
        </w:rPr>
        <w:t>רי"ף תוס' ראב"ד רמב"ן רא"ש</w:t>
      </w:r>
      <w:r w:rsidRPr="001D49D4">
        <w:rPr>
          <w:rFonts w:ascii="Calibri" w:eastAsia="Calibri" w:hAnsi="Calibri" w:cs="Arial"/>
          <w:vertAlign w:val="superscript"/>
          <w:rtl/>
        </w:rPr>
        <w:footnoteReference w:id="5229"/>
      </w:r>
      <w:r w:rsidRPr="001D49D4">
        <w:rPr>
          <w:rFonts w:ascii="Calibri" w:eastAsia="Calibri" w:hAnsi="Calibri" w:cs="Arial"/>
          <w:rtl/>
        </w:rPr>
        <w:t xml:space="preserve"> </w:t>
      </w:r>
      <w:r w:rsidRPr="001D49D4">
        <w:rPr>
          <w:rFonts w:ascii="Calibri" w:eastAsia="Calibri" w:hAnsi="Calibri" w:cs="Arial"/>
          <w:vertAlign w:val="superscript"/>
          <w:rtl/>
        </w:rPr>
        <w:footnoteReference w:id="5230"/>
      </w:r>
      <w:r w:rsidRPr="001D49D4">
        <w:rPr>
          <w:rFonts w:ascii="Calibri" w:eastAsia="Calibri" w:hAnsi="Calibri" w:cs="Arial"/>
          <w:rtl/>
        </w:rPr>
        <w:t>וריטב"א</w:t>
      </w:r>
      <w:r w:rsidRPr="001D49D4">
        <w:rPr>
          <w:rFonts w:ascii="Calibri" w:eastAsia="Calibri" w:hAnsi="Calibri" w:cs="Arial"/>
          <w:vertAlign w:val="superscript"/>
          <w:rtl/>
        </w:rPr>
        <w:footnoteReference w:id="5231"/>
      </w:r>
      <w:r w:rsidRPr="001D49D4">
        <w:rPr>
          <w:rFonts w:ascii="Calibri" w:eastAsia="Calibri" w:hAnsi="Calibri" w:cs="Arial"/>
          <w:rtl/>
        </w:rPr>
        <w:t xml:space="preserve">- המפקיד שטרות אצל חבירו ומודה שפשע בהן ונגנבו או נאבדו - פטור מלשלם </w:t>
      </w:r>
      <w:r w:rsidRPr="001D49D4">
        <w:rPr>
          <w:rFonts w:ascii="Calibri" w:eastAsia="Calibri" w:hAnsi="Calibri" w:cs="Arial"/>
          <w:sz w:val="16"/>
          <w:szCs w:val="16"/>
          <w:rtl/>
        </w:rPr>
        <w:t>(ל' הטור בשם הרי"ף)</w:t>
      </w:r>
      <w:r w:rsidRPr="001D49D4">
        <w:rPr>
          <w:rFonts w:ascii="Calibri" w:eastAsia="Calibri" w:hAnsi="Calibri" w:cs="Arial"/>
          <w:rtl/>
        </w:rPr>
        <w:t>... שאין בהן חיוב אלא במזיק בידים אבל אם פשע בהן ונגנבו פטור</w:t>
      </w:r>
      <w:r w:rsidRPr="001D49D4">
        <w:rPr>
          <w:rFonts w:ascii="Calibri" w:eastAsia="Calibri" w:hAnsi="Calibri" w:cs="Arial"/>
          <w:vertAlign w:val="superscript"/>
          <w:rtl/>
        </w:rPr>
        <w:footnoteReference w:id="5232"/>
      </w:r>
      <w:r w:rsidRPr="001D49D4">
        <w:rPr>
          <w:rFonts w:ascii="Calibri" w:eastAsia="Calibri" w:hAnsi="Calibri" w:cs="Arial"/>
          <w:rtl/>
        </w:rPr>
        <w:t xml:space="preserve"> </w:t>
      </w:r>
      <w:r w:rsidRPr="001D49D4">
        <w:rPr>
          <w:rFonts w:ascii="Calibri" w:eastAsia="Calibri" w:hAnsi="Calibri" w:cs="Arial"/>
          <w:sz w:val="16"/>
          <w:szCs w:val="16"/>
          <w:rtl/>
        </w:rPr>
        <w:t>(ל' הטור בשם הרא"ש)</w:t>
      </w:r>
      <w:r w:rsidRPr="001D49D4">
        <w:rPr>
          <w:rFonts w:ascii="Calibri" w:eastAsia="Calibri" w:hAnsi="Calibri" w:cs="Arial"/>
          <w:rtl/>
        </w:rPr>
        <w:t>.</w:t>
      </w:r>
      <w:r w:rsidRPr="001D49D4">
        <w:rPr>
          <w:rFonts w:ascii="Calibri" w:eastAsia="Calibri" w:hAnsi="Calibri" w:cs="Arial"/>
          <w:color w:val="E36C0A" w:themeColor="accent6" w:themeShade="BF"/>
          <w:rtl/>
        </w:rPr>
        <w:t xml:space="preserve"> (וכ"ס בשו"ע</w:t>
      </w:r>
      <w:r w:rsidRPr="001D49D4">
        <w:rPr>
          <w:rFonts w:ascii="Calibri" w:eastAsia="Calibri" w:hAnsi="Calibri" w:cs="Arial"/>
          <w:color w:val="E36C0A" w:themeColor="accent6" w:themeShade="BF"/>
          <w:sz w:val="16"/>
          <w:szCs w:val="16"/>
          <w:rtl/>
        </w:rPr>
        <w:t xml:space="preserve"> </w:t>
      </w:r>
      <w:r w:rsidRPr="001D49D4">
        <w:rPr>
          <w:rFonts w:ascii="Calibri" w:eastAsia="Calibri" w:hAnsi="Calibri" w:cs="Arial"/>
          <w:sz w:val="16"/>
          <w:szCs w:val="16"/>
          <w:rtl/>
        </w:rPr>
        <w:t>[כאן ובסי' שא ס"ב ובסי' צה ס"א]</w:t>
      </w:r>
      <w:r w:rsidRPr="001D49D4">
        <w:rPr>
          <w:rFonts w:ascii="Calibri" w:eastAsia="Calibri" w:hAnsi="Calibri" w:cs="Arial"/>
          <w:color w:val="E36C0A" w:themeColor="accent6" w:themeShade="BF"/>
          <w:rtl/>
        </w:rPr>
        <w:t>)</w:t>
      </w:r>
      <w:r w:rsidRPr="001D49D4">
        <w:rPr>
          <w:rFonts w:ascii="Calibri" w:eastAsia="Calibri" w:hAnsi="Calibri" w:cs="Arial"/>
          <w:color w:val="00B0F0"/>
          <w:rtl/>
        </w:rPr>
        <w:t xml:space="preserve"> (וכ"פ הרמ"א)</w:t>
      </w:r>
      <w:r w:rsidRPr="001D49D4">
        <w:rPr>
          <w:rFonts w:ascii="Calibri" w:eastAsia="Calibri" w:hAnsi="Calibri" w:cs="Arial"/>
          <w:rtl/>
        </w:rPr>
        <w:t xml:space="preserve"> </w:t>
      </w:r>
    </w:p>
    <w:p w14:paraId="17196419" w14:textId="77777777" w:rsidR="001D49D4" w:rsidRPr="001D49D4" w:rsidRDefault="001D49D4" w:rsidP="0004348D">
      <w:pPr>
        <w:spacing w:before="360" w:after="240"/>
        <w:rPr>
          <w:rFonts w:ascii="Calibri" w:eastAsia="Calibri" w:hAnsi="Calibri" w:cs="Arial"/>
          <w:u w:val="dotted"/>
        </w:rPr>
      </w:pPr>
      <w:r w:rsidRPr="001D49D4">
        <w:rPr>
          <w:rFonts w:ascii="Calibri" w:eastAsia="Calibri" w:hAnsi="Calibri" w:cs="Arial"/>
          <w:u w:val="dotted"/>
          <w:rtl/>
        </w:rPr>
        <w:t>ומה הדין בשואל:</w:t>
      </w:r>
    </w:p>
    <w:p w14:paraId="4421DA6A" w14:textId="77777777" w:rsidR="001D49D4" w:rsidRPr="001D49D4" w:rsidRDefault="001D49D4" w:rsidP="0004348D">
      <w:pPr>
        <w:numPr>
          <w:ilvl w:val="0"/>
          <w:numId w:val="341"/>
        </w:numPr>
        <w:spacing w:before="360" w:after="240"/>
        <w:contextualSpacing/>
        <w:rPr>
          <w:rFonts w:ascii="Calibri" w:eastAsia="Calibri" w:hAnsi="Calibri" w:cs="Arial"/>
        </w:rPr>
      </w:pPr>
      <w:r w:rsidRPr="001D49D4">
        <w:rPr>
          <w:rFonts w:ascii="Calibri" w:eastAsia="Calibri" w:hAnsi="Calibri" w:cs="Arial"/>
          <w:rtl/>
        </w:rPr>
        <w:t xml:space="preserve">רא"ש </w:t>
      </w:r>
      <w:r w:rsidRPr="001D49D4">
        <w:rPr>
          <w:rFonts w:ascii="Calibri" w:eastAsia="Calibri" w:hAnsi="Calibri" w:cs="Arial"/>
          <w:sz w:val="16"/>
          <w:szCs w:val="16"/>
          <w:rtl/>
        </w:rPr>
        <w:t>(שבועות שם)</w:t>
      </w:r>
      <w:r w:rsidRPr="001D49D4">
        <w:rPr>
          <w:rFonts w:ascii="Calibri" w:eastAsia="Calibri" w:hAnsi="Calibri" w:cs="Arial"/>
          <w:rtl/>
        </w:rPr>
        <w:t>- הוא הדין בשואל. ומתניתין לא חש למיתנייה דכיון דתנא פיטור שומר חנם ושומר שכר ממילא משמע דהוא הדין לכולן.</w:t>
      </w:r>
    </w:p>
    <w:p w14:paraId="61C4F6D9" w14:textId="77777777" w:rsidR="001D49D4" w:rsidRPr="001D49D4" w:rsidRDefault="001D49D4" w:rsidP="0004348D">
      <w:pPr>
        <w:spacing w:before="360" w:after="240"/>
        <w:rPr>
          <w:rFonts w:ascii="Calibri" w:eastAsia="Calibri" w:hAnsi="Calibri" w:cs="Arial"/>
          <w:u w:val="dotted"/>
        </w:rPr>
      </w:pPr>
      <w:r w:rsidRPr="001D49D4">
        <w:rPr>
          <w:rFonts w:ascii="Calibri" w:eastAsia="Calibri" w:hAnsi="Calibri" w:cs="Arial"/>
          <w:u w:val="dotted"/>
          <w:rtl/>
        </w:rPr>
        <w:t>האם אפשר בכל אופן להפסיד את השומר את השכר שהיה צריך לקבל על השמירה עד שישבע ששמר כראוי:</w:t>
      </w:r>
    </w:p>
    <w:p w14:paraId="5C3EDF5D" w14:textId="77777777" w:rsidR="001D49D4" w:rsidRPr="001D49D4" w:rsidRDefault="001D49D4" w:rsidP="0004348D">
      <w:pPr>
        <w:numPr>
          <w:ilvl w:val="0"/>
          <w:numId w:val="341"/>
        </w:numPr>
        <w:spacing w:before="360" w:after="240"/>
        <w:contextualSpacing/>
        <w:rPr>
          <w:rFonts w:ascii="Calibri" w:eastAsia="Calibri" w:hAnsi="Calibri" w:cs="Arial"/>
        </w:rPr>
      </w:pPr>
      <w:r w:rsidRPr="001D49D4">
        <w:rPr>
          <w:rFonts w:ascii="Calibri" w:eastAsia="Calibri" w:hAnsi="Calibri" w:cs="Arial"/>
          <w:rtl/>
        </w:rPr>
        <w:t xml:space="preserve">רא"ש </w:t>
      </w:r>
      <w:r w:rsidRPr="001D49D4">
        <w:rPr>
          <w:rFonts w:ascii="Calibri" w:eastAsia="Calibri" w:hAnsi="Calibri" w:cs="Arial"/>
          <w:sz w:val="16"/>
          <w:szCs w:val="16"/>
          <w:rtl/>
        </w:rPr>
        <w:t>(פרק הזהב [ב"מ פ"ד] סי' כא)</w:t>
      </w:r>
      <w:r w:rsidRPr="001D49D4">
        <w:rPr>
          <w:rFonts w:ascii="Calibri" w:eastAsia="Calibri" w:hAnsi="Calibri" w:cs="Arial"/>
          <w:rtl/>
        </w:rPr>
        <w:t xml:space="preserve"> טור והה"מ</w:t>
      </w:r>
      <w:r w:rsidRPr="001D49D4">
        <w:rPr>
          <w:rFonts w:ascii="Calibri" w:eastAsia="Calibri" w:hAnsi="Calibri" w:cs="Arial"/>
          <w:vertAlign w:val="superscript"/>
          <w:rtl/>
        </w:rPr>
        <w:footnoteReference w:id="5233"/>
      </w:r>
      <w:r w:rsidRPr="001D49D4">
        <w:rPr>
          <w:rFonts w:ascii="Calibri" w:eastAsia="Calibri" w:hAnsi="Calibri" w:cs="Arial"/>
          <w:rtl/>
        </w:rPr>
        <w:t xml:space="preserve"> </w:t>
      </w:r>
      <w:r w:rsidRPr="001D49D4">
        <w:rPr>
          <w:rFonts w:ascii="Calibri" w:eastAsia="Calibri" w:hAnsi="Calibri" w:cs="Arial"/>
          <w:sz w:val="16"/>
          <w:szCs w:val="16"/>
          <w:rtl/>
        </w:rPr>
        <w:t>(פ"ב משכירות ה"ב)</w:t>
      </w:r>
      <w:r w:rsidRPr="001D49D4">
        <w:rPr>
          <w:rFonts w:ascii="Calibri" w:eastAsia="Calibri" w:hAnsi="Calibri" w:cs="Arial"/>
          <w:rtl/>
        </w:rPr>
        <w:t>- ומיהו אם פשע בהן שומר שכר ונגנבו או נאבדו מפסיד שכרו עד שישבע ששמר כראוי</w:t>
      </w:r>
      <w:r w:rsidRPr="001D49D4">
        <w:rPr>
          <w:rFonts w:ascii="Calibri" w:eastAsia="Calibri" w:hAnsi="Calibri" w:cs="Arial"/>
          <w:sz w:val="16"/>
          <w:szCs w:val="16"/>
          <w:rtl/>
        </w:rPr>
        <w:t xml:space="preserve"> (ל' הטור)</w:t>
      </w:r>
      <w:r w:rsidRPr="001D49D4">
        <w:rPr>
          <w:rFonts w:ascii="Calibri" w:eastAsia="Calibri" w:hAnsi="Calibri" w:cs="Arial"/>
          <w:rtl/>
        </w:rPr>
        <w:t>.</w:t>
      </w:r>
      <w:r w:rsidRPr="001D49D4">
        <w:rPr>
          <w:rFonts w:ascii="Calibri" w:eastAsia="Calibri" w:hAnsi="Calibri" w:cs="Arial"/>
          <w:color w:val="E36C0A" w:themeColor="accent6" w:themeShade="BF"/>
          <w:rtl/>
        </w:rPr>
        <w:t xml:space="preserve"> (וכ"פ בשו"ע)</w:t>
      </w:r>
    </w:p>
    <w:p w14:paraId="730BC847" w14:textId="77777777" w:rsidR="001D49D4" w:rsidRPr="001D49D4" w:rsidRDefault="001D49D4" w:rsidP="0004348D">
      <w:pPr>
        <w:spacing w:before="360" w:after="240"/>
        <w:rPr>
          <w:rFonts w:ascii="Calibri" w:eastAsia="Calibri" w:hAnsi="Calibri" w:cs="Arial"/>
          <w:u w:val="dotted"/>
        </w:rPr>
      </w:pPr>
      <w:r w:rsidRPr="001D49D4">
        <w:rPr>
          <w:rFonts w:ascii="Calibri" w:eastAsia="Calibri" w:hAnsi="Calibri" w:cs="Arial"/>
          <w:u w:val="dotted"/>
          <w:rtl/>
        </w:rPr>
        <w:t>ומה הדין אם שומר קיבל עליו בקנין שיתחייב כדין השומרים:</w:t>
      </w:r>
    </w:p>
    <w:p w14:paraId="260F2F4D" w14:textId="77777777" w:rsidR="001D49D4" w:rsidRPr="001D49D4" w:rsidRDefault="001D49D4" w:rsidP="0004348D">
      <w:pPr>
        <w:numPr>
          <w:ilvl w:val="0"/>
          <w:numId w:val="341"/>
        </w:numPr>
        <w:spacing w:before="360" w:after="240"/>
        <w:contextualSpacing/>
        <w:rPr>
          <w:rFonts w:ascii="Calibri" w:eastAsia="Calibri" w:hAnsi="Calibri" w:cs="Arial"/>
        </w:rPr>
      </w:pPr>
      <w:r w:rsidRPr="001D49D4">
        <w:rPr>
          <w:rFonts w:ascii="Calibri" w:eastAsia="Calibri" w:hAnsi="Calibri" w:cs="Arial"/>
          <w:rtl/>
        </w:rPr>
        <w:t>רמב"ם</w:t>
      </w:r>
      <w:r w:rsidRPr="001D49D4">
        <w:rPr>
          <w:rFonts w:ascii="Calibri" w:eastAsia="Calibri" w:hAnsi="Calibri" w:cs="Arial"/>
          <w:sz w:val="16"/>
          <w:szCs w:val="16"/>
          <w:rtl/>
        </w:rPr>
        <w:t xml:space="preserve"> (פ"ב משכירות ה"א)</w:t>
      </w:r>
      <w:r w:rsidRPr="001D49D4">
        <w:rPr>
          <w:rFonts w:ascii="Calibri" w:eastAsia="Calibri" w:hAnsi="Calibri" w:cs="Arial"/>
          <w:rtl/>
        </w:rPr>
        <w:t xml:space="preserve"> ורא"ש </w:t>
      </w:r>
      <w:r w:rsidRPr="001D49D4">
        <w:rPr>
          <w:rFonts w:ascii="Calibri" w:eastAsia="Calibri" w:hAnsi="Calibri" w:cs="Arial"/>
          <w:sz w:val="16"/>
          <w:szCs w:val="16"/>
          <w:rtl/>
        </w:rPr>
        <w:t>(ב"מ פ"ד סי' כא)</w:t>
      </w:r>
      <w:r w:rsidRPr="001D49D4">
        <w:rPr>
          <w:rFonts w:ascii="Calibri" w:eastAsia="Calibri" w:hAnsi="Calibri" w:cs="Arial"/>
          <w:rtl/>
        </w:rPr>
        <w:t>- העבדים והשטרות והקרקעות וההקדשות שומר חינם שלהן אינו נשבע, ונושא שכר או שוכר אינו משלם. ואם קנו מידו - חייב באחריותן</w:t>
      </w:r>
      <w:r w:rsidRPr="001D49D4">
        <w:rPr>
          <w:rFonts w:ascii="Calibri" w:eastAsia="Calibri" w:hAnsi="Calibri" w:cs="Arial"/>
          <w:sz w:val="16"/>
          <w:szCs w:val="16"/>
          <w:rtl/>
        </w:rPr>
        <w:t xml:space="preserve"> (ל' הרמב"ם)</w:t>
      </w:r>
      <w:r w:rsidRPr="001D49D4">
        <w:rPr>
          <w:rFonts w:ascii="Calibri" w:eastAsia="Calibri" w:hAnsi="Calibri" w:cs="Arial"/>
          <w:vertAlign w:val="superscript"/>
          <w:rtl/>
        </w:rPr>
        <w:footnoteReference w:id="5234"/>
      </w:r>
      <w:r w:rsidRPr="001D49D4">
        <w:rPr>
          <w:rFonts w:ascii="Calibri" w:eastAsia="Calibri" w:hAnsi="Calibri" w:cs="Arial"/>
          <w:rtl/>
        </w:rPr>
        <w:t>.</w:t>
      </w:r>
      <w:r w:rsidRPr="001D49D4">
        <w:rPr>
          <w:rFonts w:ascii="Calibri" w:eastAsia="Calibri" w:hAnsi="Calibri" w:cs="Arial"/>
          <w:color w:val="E36C0A" w:themeColor="accent6" w:themeShade="BF"/>
          <w:rtl/>
        </w:rPr>
        <w:t xml:space="preserve"> (וכ"פ בשו"ע)</w:t>
      </w:r>
    </w:p>
    <w:p w14:paraId="2F9658D7" w14:textId="77777777" w:rsidR="001D49D4" w:rsidRPr="001D49D4" w:rsidRDefault="001D49D4" w:rsidP="0004348D">
      <w:pPr>
        <w:spacing w:before="360" w:after="240"/>
        <w:rPr>
          <w:rFonts w:ascii="Calibri" w:eastAsia="Calibri" w:hAnsi="Calibri" w:cs="Arial"/>
          <w:u w:val="dotted"/>
        </w:rPr>
      </w:pPr>
      <w:r w:rsidRPr="001D49D4">
        <w:rPr>
          <w:rFonts w:ascii="Calibri" w:eastAsia="Calibri" w:hAnsi="Calibri" w:cs="Arial"/>
          <w:u w:val="dotted"/>
          <w:rtl/>
        </w:rPr>
        <w:t xml:space="preserve">לרי"ף וסיעתו </w:t>
      </w:r>
      <w:r w:rsidRPr="001D49D4">
        <w:rPr>
          <w:rFonts w:ascii="Calibri" w:eastAsia="Calibri" w:hAnsi="Calibri" w:cs="Arial"/>
          <w:sz w:val="16"/>
          <w:szCs w:val="16"/>
          <w:u w:val="dotted"/>
          <w:rtl/>
        </w:rPr>
        <w:t>(שפוטרים בפשיעה)</w:t>
      </w:r>
      <w:r w:rsidRPr="001D49D4">
        <w:rPr>
          <w:rFonts w:ascii="Calibri" w:eastAsia="Calibri" w:hAnsi="Calibri" w:cs="Arial"/>
          <w:u w:val="dotted"/>
          <w:rtl/>
        </w:rPr>
        <w:t xml:space="preserve"> – מה הדין אם השומר הזיק בידיים:</w:t>
      </w:r>
    </w:p>
    <w:p w14:paraId="35DB0EF7" w14:textId="77777777" w:rsidR="001D49D4" w:rsidRPr="001D49D4" w:rsidRDefault="001D49D4" w:rsidP="0004348D">
      <w:pPr>
        <w:numPr>
          <w:ilvl w:val="0"/>
          <w:numId w:val="341"/>
        </w:numPr>
        <w:spacing w:before="360" w:after="240"/>
        <w:contextualSpacing/>
        <w:rPr>
          <w:rFonts w:ascii="Calibri" w:eastAsia="Calibri" w:hAnsi="Calibri" w:cs="Arial"/>
        </w:rPr>
      </w:pPr>
      <w:r w:rsidRPr="001D49D4">
        <w:rPr>
          <w:rFonts w:ascii="Calibri" w:eastAsia="Calibri" w:hAnsi="Calibri" w:cs="Arial"/>
          <w:rtl/>
        </w:rPr>
        <w:t>רא"ש</w:t>
      </w:r>
      <w:r w:rsidRPr="001D49D4">
        <w:rPr>
          <w:rFonts w:ascii="Calibri" w:eastAsia="Calibri" w:hAnsi="Calibri" w:cs="Arial"/>
          <w:sz w:val="16"/>
          <w:szCs w:val="16"/>
          <w:rtl/>
        </w:rPr>
        <w:t xml:space="preserve"> (כלל לט סי' ב)</w:t>
      </w:r>
      <w:r w:rsidRPr="001D49D4">
        <w:rPr>
          <w:rFonts w:ascii="Calibri" w:eastAsia="Calibri" w:hAnsi="Calibri" w:cs="Arial"/>
          <w:rtl/>
        </w:rPr>
        <w:t>- אפילו לדברי הרי"ף דוקא שפשע בשמירתם ונגנבו או אבדו אבל אם השליכם בנהר לא</w:t>
      </w:r>
      <w:r w:rsidRPr="001D49D4">
        <w:rPr>
          <w:rFonts w:ascii="Calibri" w:eastAsia="Calibri" w:hAnsi="Calibri" w:cs="Arial"/>
          <w:vertAlign w:val="superscript"/>
          <w:rtl/>
        </w:rPr>
        <w:footnoteReference w:id="5235"/>
      </w:r>
      <w:r w:rsidRPr="001D49D4">
        <w:rPr>
          <w:rFonts w:ascii="Calibri" w:eastAsia="Calibri" w:hAnsi="Calibri" w:cs="Arial"/>
          <w:rtl/>
        </w:rPr>
        <w:t xml:space="preserve">. </w:t>
      </w:r>
      <w:r w:rsidRPr="001D49D4">
        <w:rPr>
          <w:rFonts w:ascii="Calibri" w:eastAsia="Calibri" w:hAnsi="Calibri" w:cs="Arial"/>
          <w:color w:val="00B0F0"/>
          <w:rtl/>
        </w:rPr>
        <w:t>(וכ"פ הרמ"א)</w:t>
      </w:r>
    </w:p>
    <w:p w14:paraId="2FD9F1EC" w14:textId="77777777" w:rsidR="001D49D4" w:rsidRPr="001D49D4" w:rsidRDefault="001D49D4" w:rsidP="0004348D">
      <w:pPr>
        <w:spacing w:before="360" w:after="240"/>
        <w:rPr>
          <w:rFonts w:ascii="Arial" w:eastAsia="Calibri" w:hAnsi="Arial" w:cs="Arial"/>
          <w:b/>
          <w:bCs/>
          <w:color w:val="000000"/>
          <w:sz w:val="28"/>
          <w:szCs w:val="28"/>
          <w:u w:val="single"/>
        </w:rPr>
      </w:pPr>
      <w:r w:rsidRPr="001D49D4">
        <w:rPr>
          <w:rFonts w:ascii="Arial" w:eastAsia="Calibri" w:hAnsi="Arial" w:cs="Arial"/>
          <w:b/>
          <w:bCs/>
          <w:color w:val="000000"/>
          <w:sz w:val="28"/>
          <w:szCs w:val="28"/>
          <w:u w:val="single"/>
          <w:rtl/>
        </w:rPr>
        <w:t>שו"ע:</w:t>
      </w:r>
    </w:p>
    <w:p w14:paraId="5722BC8E"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rtl/>
        </w:rPr>
        <w:t xml:space="preserve">אם היה שומר שכר עליהם ונגנבו או אבדו, אפילו בפשיעה, פטור מלשלם, אבל מפסיד שכרו עד שישבע ששמר כראוי. </w:t>
      </w:r>
      <w:r w:rsidRPr="001D49D4">
        <w:rPr>
          <w:rFonts w:ascii="Calibri" w:eastAsia="Calibri" w:hAnsi="Calibri" w:cs="Arial"/>
          <w:sz w:val="18"/>
          <w:szCs w:val="18"/>
          <w:rtl/>
        </w:rPr>
        <w:t xml:space="preserve">[הגה] וכל שכן ששומר חנם פטור מפשיעה. </w:t>
      </w:r>
      <w:r w:rsidRPr="001D49D4">
        <w:rPr>
          <w:rFonts w:ascii="Calibri" w:eastAsia="Calibri" w:hAnsi="Calibri" w:cs="Arial"/>
          <w:rtl/>
        </w:rPr>
        <w:t xml:space="preserve">ויש מחייבים בפשיעה. </w:t>
      </w:r>
      <w:r w:rsidRPr="001D49D4">
        <w:rPr>
          <w:rFonts w:ascii="Calibri" w:eastAsia="Calibri" w:hAnsi="Calibri" w:cs="Arial"/>
          <w:sz w:val="18"/>
          <w:szCs w:val="18"/>
          <w:rtl/>
        </w:rPr>
        <w:t xml:space="preserve">הגה: והסברא הראשונה היא עיקר, דפטורים על שטרות אפילו בפשיעה. אבל אם הזיק בידים, כגון שהשליכו לנהר או כדומה, חייב (טור בשם רי"ף ורא"ש). </w:t>
      </w:r>
      <w:r w:rsidRPr="001D49D4">
        <w:rPr>
          <w:rFonts w:ascii="Calibri" w:eastAsia="Calibri" w:hAnsi="Calibri" w:cs="Arial"/>
          <w:rtl/>
        </w:rPr>
        <w:t>ואם קנו</w:t>
      </w:r>
      <w:r w:rsidRPr="001D49D4">
        <w:rPr>
          <w:rFonts w:ascii="Calibri" w:eastAsia="Calibri" w:hAnsi="Calibri" w:cs="Arial"/>
          <w:vertAlign w:val="superscript"/>
          <w:rtl/>
        </w:rPr>
        <w:footnoteReference w:id="5236"/>
      </w:r>
      <w:r w:rsidRPr="001D49D4">
        <w:rPr>
          <w:rFonts w:ascii="Calibri" w:eastAsia="Calibri" w:hAnsi="Calibri" w:cs="Arial"/>
          <w:rtl/>
        </w:rPr>
        <w:t xml:space="preserve"> מידו שיתחייב בדין השומרים, חייב. </w:t>
      </w:r>
      <w:r w:rsidRPr="001D49D4">
        <w:rPr>
          <w:rFonts w:ascii="Calibri" w:eastAsia="Calibri" w:hAnsi="Calibri" w:cs="Arial"/>
          <w:sz w:val="18"/>
          <w:szCs w:val="18"/>
          <w:rtl/>
        </w:rPr>
        <w:t>[הגה] ועיין לקמן סימן ש"א ולקמן ר"ס צ"ה</w:t>
      </w:r>
      <w:r w:rsidRPr="001D49D4">
        <w:rPr>
          <w:rFonts w:ascii="Calibri" w:eastAsia="Calibri" w:hAnsi="Calibri" w:cs="Arial"/>
          <w:rtl/>
        </w:rPr>
        <w:t xml:space="preserve">. </w:t>
      </w:r>
    </w:p>
    <w:p w14:paraId="6AA87AE9"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u w:val="single"/>
          <w:rtl/>
        </w:rPr>
        <w:t>אדם שהביאו לו לשמור על שטרות – וכשביקשו ממנו השטרות טען שכבר החזירן:</w:t>
      </w:r>
      <w:r w:rsidRPr="001D49D4">
        <w:rPr>
          <w:rFonts w:ascii="Calibri" w:eastAsia="Calibri" w:hAnsi="Calibri" w:cs="Arial"/>
          <w:rtl/>
        </w:rPr>
        <w:t xml:space="preserve"> </w:t>
      </w:r>
    </w:p>
    <w:p w14:paraId="5C8028FD" w14:textId="77777777" w:rsidR="001D49D4" w:rsidRPr="001D49D4" w:rsidRDefault="001D49D4" w:rsidP="0004348D">
      <w:pPr>
        <w:numPr>
          <w:ilvl w:val="0"/>
          <w:numId w:val="341"/>
        </w:numPr>
        <w:spacing w:before="360" w:after="240"/>
        <w:contextualSpacing/>
        <w:rPr>
          <w:rFonts w:ascii="Calibri" w:eastAsia="Calibri" w:hAnsi="Calibri" w:cs="Arial"/>
          <w:rtl/>
        </w:rPr>
      </w:pPr>
      <w:r w:rsidRPr="001D49D4">
        <w:rPr>
          <w:rFonts w:ascii="Calibri" w:eastAsia="Calibri" w:hAnsi="Calibri" w:cs="Arial"/>
          <w:rtl/>
        </w:rPr>
        <w:t>ש"ך</w:t>
      </w:r>
      <w:r w:rsidRPr="001D49D4">
        <w:rPr>
          <w:rFonts w:ascii="Calibri" w:eastAsia="Calibri" w:hAnsi="Calibri" w:cs="Arial"/>
          <w:sz w:val="16"/>
          <w:szCs w:val="16"/>
          <w:rtl/>
        </w:rPr>
        <w:t xml:space="preserve"> (סקקכ"ה)</w:t>
      </w:r>
      <w:r w:rsidRPr="001D49D4">
        <w:rPr>
          <w:rFonts w:ascii="Calibri" w:eastAsia="Calibri" w:hAnsi="Calibri" w:cs="Arial"/>
          <w:rtl/>
        </w:rPr>
        <w:t>- צריך לישבע</w:t>
      </w:r>
      <w:r w:rsidRPr="001D49D4">
        <w:rPr>
          <w:rFonts w:ascii="Calibri" w:eastAsia="Calibri" w:hAnsi="Calibri" w:cs="Arial"/>
          <w:vertAlign w:val="superscript"/>
          <w:rtl/>
        </w:rPr>
        <w:footnoteReference w:id="5237"/>
      </w:r>
      <w:r w:rsidRPr="001D49D4">
        <w:rPr>
          <w:rFonts w:ascii="Calibri" w:eastAsia="Calibri" w:hAnsi="Calibri" w:cs="Arial"/>
          <w:rtl/>
        </w:rPr>
        <w:t xml:space="preserve">. </w:t>
      </w:r>
    </w:p>
    <w:p w14:paraId="3BB164C7" w14:textId="77777777" w:rsidR="001D49D4" w:rsidRPr="001D49D4" w:rsidRDefault="001D49D4" w:rsidP="0004348D">
      <w:pPr>
        <w:spacing w:before="360" w:after="240"/>
        <w:rPr>
          <w:rFonts w:ascii="Calibri" w:eastAsia="Calibri" w:hAnsi="Calibri" w:cs="Arial"/>
          <w:rtl/>
        </w:rPr>
      </w:pPr>
    </w:p>
    <w:p w14:paraId="1F73EB3B" w14:textId="77777777" w:rsidR="001D49D4" w:rsidRPr="001D49D4" w:rsidRDefault="001D49D4" w:rsidP="0004348D">
      <w:pPr>
        <w:keepNext/>
        <w:keepLines/>
        <w:spacing w:before="360" w:after="240"/>
        <w:outlineLvl w:val="1"/>
        <w:rPr>
          <w:rFonts w:ascii="Cambria" w:eastAsia="Times New Roman" w:hAnsi="Cambria" w:cs="Arial"/>
          <w:bCs/>
          <w:color w:val="548DD4" w:themeColor="text2" w:themeTint="99"/>
          <w:sz w:val="26"/>
          <w:szCs w:val="26"/>
          <w:rtl/>
        </w:rPr>
      </w:pPr>
      <w:bookmarkStart w:id="722" w:name="_Toc24884135"/>
      <w:r w:rsidRPr="001D49D4">
        <w:rPr>
          <w:rFonts w:ascii="Cambria" w:eastAsia="Times New Roman" w:hAnsi="Cambria" w:cs="Arial"/>
          <w:bCs/>
          <w:color w:val="548DD4" w:themeColor="text2" w:themeTint="99"/>
          <w:sz w:val="26"/>
          <w:szCs w:val="26"/>
          <w:rtl/>
        </w:rPr>
        <w:t>סעיף מא: חלוקת שטרות.</w:t>
      </w:r>
      <w:bookmarkEnd w:id="722"/>
    </w:p>
    <w:p w14:paraId="3D13EE1B"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u w:val="single"/>
          <w:rtl/>
        </w:rPr>
        <w:t>כיצד חולקים שטרות:</w:t>
      </w:r>
      <w:r w:rsidRPr="001D49D4">
        <w:rPr>
          <w:rFonts w:ascii="Calibri" w:eastAsia="Calibri" w:hAnsi="Calibri" w:cs="Arial"/>
          <w:rtl/>
        </w:rPr>
        <w:t xml:space="preserve"> </w:t>
      </w:r>
    </w:p>
    <w:p w14:paraId="40A25A13" w14:textId="77777777" w:rsidR="001D49D4" w:rsidRPr="001D49D4" w:rsidRDefault="001D49D4" w:rsidP="0004348D">
      <w:pPr>
        <w:numPr>
          <w:ilvl w:val="0"/>
          <w:numId w:val="341"/>
        </w:numPr>
        <w:spacing w:before="360" w:after="240"/>
        <w:contextualSpacing/>
        <w:rPr>
          <w:rFonts w:ascii="Calibri" w:eastAsia="Calibri" w:hAnsi="Calibri" w:cs="Arial"/>
          <w:rtl/>
        </w:rPr>
      </w:pPr>
      <w:r w:rsidRPr="001D49D4">
        <w:rPr>
          <w:rFonts w:ascii="Calibri" w:eastAsia="Calibri" w:hAnsi="Calibri" w:cs="Arial"/>
          <w:rtl/>
        </w:rPr>
        <w:t xml:space="preserve">רא"ש </w:t>
      </w:r>
      <w:r w:rsidRPr="001D49D4">
        <w:rPr>
          <w:rFonts w:ascii="Calibri" w:eastAsia="Calibri" w:hAnsi="Calibri" w:cs="Arial"/>
          <w:sz w:val="16"/>
          <w:szCs w:val="16"/>
          <w:rtl/>
        </w:rPr>
        <w:t>(כלל צח סי' ז)</w:t>
      </w:r>
      <w:r w:rsidRPr="001D49D4">
        <w:rPr>
          <w:rFonts w:ascii="Calibri" w:eastAsia="Calibri" w:hAnsi="Calibri" w:cs="Arial"/>
          <w:rtl/>
        </w:rPr>
        <w:t xml:space="preserve">- אחין או שותפין שבאין לחלוק ויש להן שטרות - ישומו ב"ד כל השטרות לפי שוויין כל אחד לפי קירוב הזמן או ריחוק הזמן ולפי נכסי הלוה ואלמותו ויחלקו בגורל. דבכל דבר שייך בו דין חלוקה, ואם אין בו שיעור חלוקה שייך בו גוד או אגוד, ובשטרות נמי איכא שיעור חלוקה ע"פ שומת ב"ד. ואם הוא שט"ח אחד יכול כל אחד לומר גוד או אגוד. ואם אחר ששמו ב"ד וחלקו בגורל נתקלקל שטרו של אחד מהן - מזל רע דידיה גרם, ומ"מ מחמת חששא זו שמא יתקלקל אחד מהם אין לבטל החלוקה מעיקרו. </w:t>
      </w:r>
      <w:r w:rsidRPr="001D49D4">
        <w:rPr>
          <w:rFonts w:ascii="Calibri" w:eastAsia="Calibri" w:hAnsi="Calibri" w:cs="Arial"/>
          <w:color w:val="E36C0A" w:themeColor="accent6" w:themeShade="BF"/>
          <w:rtl/>
        </w:rPr>
        <w:t>(וכ"פ בשו"ע)</w:t>
      </w:r>
    </w:p>
    <w:p w14:paraId="2F6663B2" w14:textId="77777777" w:rsidR="001D49D4" w:rsidRPr="001D49D4" w:rsidRDefault="001D49D4" w:rsidP="0004348D">
      <w:pPr>
        <w:numPr>
          <w:ilvl w:val="0"/>
          <w:numId w:val="341"/>
        </w:numPr>
        <w:spacing w:before="360" w:after="240"/>
        <w:contextualSpacing/>
        <w:rPr>
          <w:rFonts w:ascii="Calibri" w:eastAsia="Calibri" w:hAnsi="Calibri" w:cs="Arial"/>
        </w:rPr>
      </w:pPr>
      <w:r w:rsidRPr="001D49D4">
        <w:rPr>
          <w:rFonts w:ascii="Calibri" w:eastAsia="Calibri" w:hAnsi="Calibri" w:cs="Arial"/>
          <w:rtl/>
        </w:rPr>
        <w:t xml:space="preserve">רשב"א </w:t>
      </w:r>
      <w:r w:rsidRPr="001D49D4">
        <w:rPr>
          <w:rFonts w:ascii="Calibri" w:eastAsia="Calibri" w:hAnsi="Calibri" w:cs="Arial"/>
          <w:sz w:val="16"/>
          <w:szCs w:val="16"/>
          <w:rtl/>
        </w:rPr>
        <w:t>(במיוחסות סי' מג)</w:t>
      </w:r>
      <w:r w:rsidRPr="001D49D4">
        <w:rPr>
          <w:rFonts w:ascii="Calibri" w:eastAsia="Calibri" w:hAnsi="Calibri" w:cs="Arial"/>
          <w:rtl/>
        </w:rPr>
        <w:t xml:space="preserve">- לא שייך דינא דגוד או איגוד בשטרי חובות דהא המעות ראויין ליחלק. </w:t>
      </w:r>
      <w:r w:rsidRPr="001D49D4">
        <w:rPr>
          <w:rFonts w:ascii="Calibri" w:eastAsia="Calibri" w:hAnsi="Calibri" w:cs="Arial"/>
          <w:color w:val="00B0F0"/>
          <w:rtl/>
        </w:rPr>
        <w:t>(וכ"כ הרמ"א</w:t>
      </w:r>
      <w:r w:rsidRPr="001D49D4">
        <w:rPr>
          <w:rFonts w:ascii="Calibri" w:eastAsia="Calibri" w:hAnsi="Calibri" w:cs="Arial"/>
          <w:vertAlign w:val="superscript"/>
          <w:rtl/>
        </w:rPr>
        <w:footnoteReference w:id="5238"/>
      </w:r>
      <w:r w:rsidRPr="001D49D4">
        <w:rPr>
          <w:rFonts w:ascii="Calibri" w:eastAsia="Calibri" w:hAnsi="Calibri" w:cs="Arial"/>
          <w:color w:val="00B0F0"/>
          <w:rtl/>
        </w:rPr>
        <w:t xml:space="preserve"> </w:t>
      </w:r>
      <w:r w:rsidRPr="001D49D4">
        <w:rPr>
          <w:rFonts w:ascii="Calibri" w:eastAsia="Calibri" w:hAnsi="Calibri" w:cs="Arial"/>
          <w:sz w:val="16"/>
          <w:szCs w:val="16"/>
          <w:rtl/>
        </w:rPr>
        <w:t>[סי' קעא סי"ד]</w:t>
      </w:r>
      <w:r w:rsidRPr="001D49D4">
        <w:rPr>
          <w:rFonts w:ascii="Calibri" w:eastAsia="Calibri" w:hAnsi="Calibri" w:cs="Arial"/>
          <w:color w:val="00B0F0"/>
          <w:rtl/>
        </w:rPr>
        <w:t>)</w:t>
      </w:r>
    </w:p>
    <w:p w14:paraId="060B6082" w14:textId="77777777" w:rsidR="001D49D4" w:rsidRPr="001D49D4" w:rsidRDefault="001D49D4" w:rsidP="0004348D">
      <w:pPr>
        <w:spacing w:before="360" w:after="240"/>
        <w:rPr>
          <w:rFonts w:ascii="Arial" w:eastAsia="Calibri" w:hAnsi="Arial" w:cs="Arial"/>
          <w:b/>
          <w:bCs/>
          <w:color w:val="000000"/>
          <w:sz w:val="28"/>
          <w:szCs w:val="28"/>
          <w:u w:val="single"/>
          <w:rtl/>
        </w:rPr>
      </w:pPr>
      <w:r w:rsidRPr="001D49D4">
        <w:rPr>
          <w:rFonts w:ascii="Arial" w:eastAsia="Calibri" w:hAnsi="Arial" w:cs="Arial"/>
          <w:b/>
          <w:bCs/>
          <w:color w:val="000000"/>
          <w:sz w:val="28"/>
          <w:szCs w:val="28"/>
          <w:u w:val="single"/>
          <w:rtl/>
        </w:rPr>
        <w:t>שו"ע:</w:t>
      </w:r>
    </w:p>
    <w:p w14:paraId="7D822195"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rtl/>
        </w:rPr>
        <w:t>אחים או שותפים</w:t>
      </w:r>
      <w:r w:rsidRPr="001D49D4">
        <w:rPr>
          <w:rFonts w:ascii="Calibri" w:eastAsia="Calibri" w:hAnsi="Calibri" w:cs="Arial"/>
          <w:vertAlign w:val="superscript"/>
          <w:rtl/>
        </w:rPr>
        <w:footnoteReference w:id="5239"/>
      </w:r>
      <w:r w:rsidRPr="001D49D4">
        <w:rPr>
          <w:rFonts w:ascii="Calibri" w:eastAsia="Calibri" w:hAnsi="Calibri" w:cs="Arial"/>
          <w:rtl/>
        </w:rPr>
        <w:t xml:space="preserve"> שבאו לחלוק ויש להם שטרות, ישומו בית דין כל השטרות לפי שוויין, כל אחד לפי קירוב הזמן וריחוקו ולפי נכסי הלוה ואלמותו, ויחלוקו. ואם הוא שטר חוב אחד, יכול כל אחד לומר 'גוד או אגוד'</w:t>
      </w:r>
      <w:r w:rsidRPr="001D49D4">
        <w:rPr>
          <w:rFonts w:ascii="Calibri" w:eastAsia="Calibri" w:hAnsi="Calibri" w:cs="Arial"/>
          <w:vertAlign w:val="superscript"/>
          <w:rtl/>
        </w:rPr>
        <w:footnoteReference w:id="5240"/>
      </w:r>
      <w:r w:rsidRPr="001D49D4">
        <w:rPr>
          <w:rFonts w:ascii="Calibri" w:eastAsia="Calibri" w:hAnsi="Calibri" w:cs="Arial"/>
          <w:rtl/>
        </w:rPr>
        <w:t xml:space="preserve">. ואם אחר ששמו בית דין וחלקו בגורל נתקלקל שטרו של אחד מהם, מזלו גרם. </w:t>
      </w:r>
    </w:p>
    <w:p w14:paraId="044F407A" w14:textId="77777777" w:rsidR="001D49D4" w:rsidRPr="001D49D4" w:rsidRDefault="001D49D4" w:rsidP="0004348D">
      <w:pPr>
        <w:spacing w:before="360" w:after="240"/>
        <w:rPr>
          <w:rFonts w:ascii="Calibri" w:eastAsia="Calibri" w:hAnsi="Calibri" w:cs="Arial"/>
          <w:rtl/>
        </w:rPr>
      </w:pPr>
    </w:p>
    <w:p w14:paraId="6F6938CC" w14:textId="77777777" w:rsidR="001D49D4" w:rsidRPr="001D49D4" w:rsidRDefault="001D49D4" w:rsidP="0004348D">
      <w:pPr>
        <w:keepNext/>
        <w:keepLines/>
        <w:spacing w:before="360" w:after="240"/>
        <w:outlineLvl w:val="1"/>
        <w:rPr>
          <w:rFonts w:ascii="Cambria" w:eastAsia="Times New Roman" w:hAnsi="Cambria" w:cs="Arial"/>
          <w:bCs/>
          <w:color w:val="548DD4" w:themeColor="text2" w:themeTint="99"/>
          <w:sz w:val="26"/>
          <w:szCs w:val="26"/>
          <w:rtl/>
        </w:rPr>
      </w:pPr>
      <w:bookmarkStart w:id="723" w:name="_Toc24884136"/>
      <w:r w:rsidRPr="001D49D4">
        <w:rPr>
          <w:rFonts w:ascii="Cambria" w:eastAsia="Times New Roman" w:hAnsi="Cambria" w:cs="Arial"/>
          <w:bCs/>
          <w:color w:val="548DD4" w:themeColor="text2" w:themeTint="99"/>
          <w:sz w:val="26"/>
          <w:szCs w:val="26"/>
          <w:rtl/>
        </w:rPr>
        <w:t>סעיף מב: האומר 'נכסי לפלוני'.</w:t>
      </w:r>
      <w:bookmarkEnd w:id="723"/>
    </w:p>
    <w:p w14:paraId="32B4D7F5"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b/>
          <w:bCs/>
          <w:rtl/>
        </w:rPr>
        <w:t xml:space="preserve">בבא בתרא </w:t>
      </w:r>
      <w:r w:rsidRPr="001D49D4">
        <w:rPr>
          <w:rFonts w:ascii="Calibri" w:eastAsia="Calibri" w:hAnsi="Calibri" w:cs="Arial"/>
          <w:b/>
          <w:bCs/>
          <w:sz w:val="16"/>
          <w:szCs w:val="16"/>
          <w:rtl/>
        </w:rPr>
        <w:t xml:space="preserve">(פרק מי שמת) </w:t>
      </w:r>
      <w:r w:rsidRPr="001D49D4">
        <w:rPr>
          <w:rFonts w:ascii="Calibri" w:eastAsia="Calibri" w:hAnsi="Calibri" w:cs="Arial"/>
          <w:b/>
          <w:bCs/>
          <w:rtl/>
        </w:rPr>
        <w:t>קנ</w:t>
      </w:r>
      <w:r w:rsidRPr="001D49D4">
        <w:rPr>
          <w:rFonts w:ascii="Calibri" w:eastAsia="Calibri" w:hAnsi="Calibri" w:cs="Arial"/>
          <w:b/>
          <w:bCs/>
          <w:vertAlign w:val="superscript"/>
          <w:rtl/>
        </w:rPr>
        <w:footnoteReference w:id="5241"/>
      </w:r>
      <w:r w:rsidRPr="001D49D4">
        <w:rPr>
          <w:rFonts w:ascii="Calibri" w:eastAsia="Calibri" w:hAnsi="Calibri" w:cs="Arial"/>
          <w:b/>
          <w:bCs/>
          <w:rtl/>
        </w:rPr>
        <w:t xml:space="preserve"> ע"ב:</w:t>
      </w:r>
      <w:r w:rsidRPr="001D49D4">
        <w:rPr>
          <w:rFonts w:ascii="Calibri" w:eastAsia="Calibri" w:hAnsi="Calibri" w:cs="Arial"/>
          <w:rtl/>
        </w:rPr>
        <w:t xml:space="preserve"> אמר 'נכסי לפלניא'. עבדא איקרי נכסי... ארעא איקרי נכסי... גלימא איקרי נכסי... זוזי איקרי נכסי... שטרא איקרי נכסי, </w:t>
      </w:r>
      <w:r w:rsidRPr="001D49D4">
        <w:rPr>
          <w:rFonts w:ascii="Calibri" w:eastAsia="Calibri" w:hAnsi="Calibri" w:cs="Arial"/>
          <w:u w:val="single"/>
          <w:rtl/>
        </w:rPr>
        <w:t>דאמר רבה בר יצחק</w:t>
      </w:r>
      <w:r w:rsidRPr="001D49D4">
        <w:rPr>
          <w:rFonts w:ascii="Calibri" w:eastAsia="Calibri" w:hAnsi="Calibri" w:cs="Arial"/>
          <w:rtl/>
        </w:rPr>
        <w:t xml:space="preserve">: שני שטרות הן, אמר זכו בשדה זה לפלוני וכתבו לו את השטר - חוזר בשטר ואינו חוזר בשדה, על מנת שתכתבו לו את השטר - חוזר בין בשטר בין בשדה. </w:t>
      </w:r>
    </w:p>
    <w:p w14:paraId="5ECD9091" w14:textId="77777777" w:rsidR="001D49D4" w:rsidRPr="001D49D4" w:rsidRDefault="001D49D4" w:rsidP="0004348D">
      <w:pPr>
        <w:spacing w:before="360" w:after="240"/>
        <w:rPr>
          <w:rFonts w:ascii="Calibri" w:eastAsia="Calibri" w:hAnsi="Calibri" w:cs="Arial"/>
          <w:u w:val="single"/>
          <w:rtl/>
        </w:rPr>
      </w:pPr>
      <w:r w:rsidRPr="001D49D4">
        <w:rPr>
          <w:rFonts w:ascii="Calibri" w:eastAsia="Calibri" w:hAnsi="Calibri" w:cs="Arial"/>
          <w:u w:val="single"/>
          <w:rtl/>
        </w:rPr>
        <w:t>אדם שאמר 'נכסי לפלוני' – האם פלוני קנה גם את שטרותיו:</w:t>
      </w:r>
    </w:p>
    <w:p w14:paraId="0F2FFE38" w14:textId="77777777" w:rsidR="001D49D4" w:rsidRPr="001D49D4" w:rsidRDefault="001D49D4" w:rsidP="0004348D">
      <w:pPr>
        <w:numPr>
          <w:ilvl w:val="0"/>
          <w:numId w:val="342"/>
        </w:numPr>
        <w:spacing w:before="360" w:after="240"/>
        <w:contextualSpacing/>
        <w:rPr>
          <w:rFonts w:ascii="Calibri" w:eastAsia="Calibri" w:hAnsi="Calibri" w:cs="Arial"/>
          <w:rtl/>
        </w:rPr>
      </w:pPr>
      <w:r w:rsidRPr="001D49D4">
        <w:rPr>
          <w:rFonts w:ascii="Calibri" w:eastAsia="Calibri" w:hAnsi="Calibri" w:cs="Arial"/>
          <w:rtl/>
        </w:rPr>
        <w:t>רשב"א</w:t>
      </w:r>
      <w:r w:rsidRPr="001D49D4">
        <w:rPr>
          <w:rFonts w:ascii="Calibri" w:eastAsia="Calibri" w:hAnsi="Calibri" w:cs="Arial"/>
          <w:vertAlign w:val="superscript"/>
          <w:rtl/>
        </w:rPr>
        <w:footnoteReference w:id="5242"/>
      </w:r>
      <w:r w:rsidRPr="001D49D4">
        <w:rPr>
          <w:rFonts w:ascii="Calibri" w:eastAsia="Calibri" w:hAnsi="Calibri" w:cs="Arial"/>
          <w:rtl/>
        </w:rPr>
        <w:t xml:space="preserve"> </w:t>
      </w:r>
      <w:r w:rsidRPr="001D49D4">
        <w:rPr>
          <w:rFonts w:ascii="Calibri" w:eastAsia="Calibri" w:hAnsi="Calibri" w:cs="Arial"/>
          <w:sz w:val="16"/>
          <w:szCs w:val="16"/>
          <w:rtl/>
        </w:rPr>
        <w:t>(ב"ב קנ: ד"ה שטרא, ובמיוחסות סי' ז)</w:t>
      </w:r>
      <w:r w:rsidRPr="001D49D4">
        <w:rPr>
          <w:rFonts w:ascii="Calibri" w:eastAsia="Calibri" w:hAnsi="Calibri" w:cs="Arial"/>
          <w:rtl/>
        </w:rPr>
        <w:t xml:space="preserve"> וטור- אמר 'נכסי לפלוני', שטרות בכלל נכסי אינון, אע"ג דלא נפקא מיניה בבריא למאי דפסקינן דבעי מסירה וכתיבה ולא יקנה אותם עד שימסרם לידו, נפקא מינה בש"מ שדבריו ככתובים וכמסורים דמו אם אמר 'נכסי לפלוני' - קנה גם השטרות כאילו כתב לו ומסרם לידו</w:t>
      </w:r>
      <w:r w:rsidRPr="001D49D4">
        <w:rPr>
          <w:rFonts w:ascii="Calibri" w:eastAsia="Calibri" w:hAnsi="Calibri" w:cs="Arial"/>
          <w:sz w:val="16"/>
          <w:szCs w:val="16"/>
          <w:rtl/>
        </w:rPr>
        <w:t xml:space="preserve"> (ל' הטור)</w:t>
      </w:r>
      <w:r w:rsidRPr="001D49D4">
        <w:rPr>
          <w:rFonts w:ascii="Calibri" w:eastAsia="Calibri" w:hAnsi="Calibri" w:cs="Arial"/>
          <w:rtl/>
        </w:rPr>
        <w:t>.</w:t>
      </w:r>
      <w:r w:rsidRPr="001D49D4">
        <w:rPr>
          <w:rFonts w:ascii="Calibri" w:eastAsia="Calibri" w:hAnsi="Calibri" w:cs="Arial"/>
          <w:color w:val="E36C0A" w:themeColor="accent6" w:themeShade="BF"/>
          <w:rtl/>
        </w:rPr>
        <w:t xml:space="preserve"> (וכ"פ בשו"ע</w:t>
      </w:r>
      <w:r w:rsidRPr="001D49D4">
        <w:rPr>
          <w:rFonts w:ascii="Calibri" w:eastAsia="Calibri" w:hAnsi="Calibri" w:cs="Arial"/>
          <w:color w:val="E36C0A" w:themeColor="accent6" w:themeShade="BF"/>
          <w:sz w:val="16"/>
          <w:szCs w:val="16"/>
          <w:rtl/>
        </w:rPr>
        <w:t xml:space="preserve"> </w:t>
      </w:r>
      <w:r w:rsidRPr="001D49D4">
        <w:rPr>
          <w:rFonts w:ascii="Calibri" w:eastAsia="Calibri" w:hAnsi="Calibri" w:cs="Arial"/>
          <w:color w:val="000000" w:themeColor="text1"/>
          <w:sz w:val="16"/>
          <w:szCs w:val="16"/>
          <w:rtl/>
        </w:rPr>
        <w:t>[כאן ובסע' ג]</w:t>
      </w:r>
      <w:r w:rsidRPr="001D49D4">
        <w:rPr>
          <w:rFonts w:ascii="Calibri" w:eastAsia="Calibri" w:hAnsi="Calibri" w:cs="Arial"/>
          <w:color w:val="E36C0A" w:themeColor="accent6" w:themeShade="BF"/>
          <w:rtl/>
        </w:rPr>
        <w:t>)</w:t>
      </w:r>
    </w:p>
    <w:p w14:paraId="3F386144" w14:textId="77777777" w:rsidR="001D49D4" w:rsidRPr="001D49D4" w:rsidRDefault="001D49D4" w:rsidP="0004348D">
      <w:pPr>
        <w:numPr>
          <w:ilvl w:val="0"/>
          <w:numId w:val="342"/>
        </w:numPr>
        <w:spacing w:before="360" w:after="240"/>
        <w:contextualSpacing/>
        <w:rPr>
          <w:rFonts w:ascii="Calibri" w:eastAsia="Calibri" w:hAnsi="Calibri" w:cs="Arial"/>
        </w:rPr>
      </w:pPr>
      <w:r w:rsidRPr="001D49D4">
        <w:rPr>
          <w:rFonts w:ascii="Calibri" w:eastAsia="Calibri" w:hAnsi="Calibri" w:cs="Arial"/>
          <w:rtl/>
        </w:rPr>
        <w:t>רשב"ם</w:t>
      </w:r>
      <w:r w:rsidRPr="001D49D4">
        <w:rPr>
          <w:rFonts w:ascii="Calibri" w:eastAsia="Calibri" w:hAnsi="Calibri" w:cs="Arial"/>
          <w:sz w:val="16"/>
          <w:szCs w:val="16"/>
          <w:rtl/>
        </w:rPr>
        <w:t xml:space="preserve"> (ד"ה אמר נכסי לפלניא)</w:t>
      </w:r>
      <w:r w:rsidRPr="001D49D4">
        <w:rPr>
          <w:rFonts w:ascii="Calibri" w:eastAsia="Calibri" w:hAnsi="Calibri" w:cs="Arial"/>
          <w:rtl/>
        </w:rPr>
        <w:t xml:space="preserve"> ריטב"א </w:t>
      </w:r>
      <w:r w:rsidRPr="001D49D4">
        <w:rPr>
          <w:rFonts w:ascii="Calibri" w:eastAsia="Calibri" w:hAnsi="Calibri" w:cs="Arial"/>
          <w:sz w:val="16"/>
          <w:szCs w:val="16"/>
          <w:rtl/>
        </w:rPr>
        <w:t>(סי' קלט, וכן בפ"ק דקדושין כז. ד"ה ואידך)</w:t>
      </w:r>
      <w:r w:rsidRPr="001D49D4">
        <w:rPr>
          <w:rFonts w:ascii="Calibri" w:eastAsia="Calibri" w:hAnsi="Calibri" w:cs="Arial"/>
          <w:rtl/>
        </w:rPr>
        <w:t xml:space="preserve">- שטרי וכל שעבודייהו איקרו נכסי כדאיתא בפרק מי שמת </w:t>
      </w:r>
      <w:r w:rsidRPr="001D49D4">
        <w:rPr>
          <w:rFonts w:ascii="Calibri" w:eastAsia="Calibri" w:hAnsi="Calibri" w:cs="Arial"/>
          <w:sz w:val="16"/>
          <w:szCs w:val="16"/>
          <w:rtl/>
        </w:rPr>
        <w:t xml:space="preserve">(קנ:) </w:t>
      </w:r>
      <w:r w:rsidRPr="001D49D4">
        <w:rPr>
          <w:rFonts w:ascii="Calibri" w:eastAsia="Calibri" w:hAnsi="Calibri" w:cs="Arial"/>
          <w:rtl/>
        </w:rPr>
        <w:t>ואע"פ שמורי הרשב"א כתב שאין זה אלא בשכיב מרע דוקא, כבוד רבינו במקומו מונח כי אנו בפירוש קבלנו ממורינו הרא"ה בשם הרמב"ן דהוא הדין בבריא</w:t>
      </w:r>
      <w:r w:rsidRPr="001D49D4">
        <w:rPr>
          <w:rFonts w:ascii="Calibri" w:eastAsia="Calibri" w:hAnsi="Calibri" w:cs="Arial"/>
          <w:vertAlign w:val="superscript"/>
          <w:rtl/>
        </w:rPr>
        <w:footnoteReference w:id="5243"/>
      </w:r>
      <w:r w:rsidRPr="001D49D4">
        <w:rPr>
          <w:rFonts w:ascii="Calibri" w:eastAsia="Calibri" w:hAnsi="Calibri" w:cs="Arial"/>
          <w:rtl/>
        </w:rPr>
        <w:t>, וכן כתב ה"ר יצחק, וכן נראה דעת הראשונים, וכן אני תופס תמיד ויש לי ראיה לדבריהם</w:t>
      </w:r>
      <w:r w:rsidRPr="001D49D4">
        <w:rPr>
          <w:rFonts w:ascii="Calibri" w:eastAsia="Calibri" w:hAnsi="Calibri" w:cs="Arial"/>
          <w:sz w:val="16"/>
          <w:szCs w:val="16"/>
          <w:rtl/>
        </w:rPr>
        <w:t xml:space="preserve"> (ל' הריטב"א)</w:t>
      </w:r>
      <w:r w:rsidRPr="001D49D4">
        <w:rPr>
          <w:rFonts w:ascii="Calibri" w:eastAsia="Calibri" w:hAnsi="Calibri" w:cs="Arial"/>
          <w:rtl/>
        </w:rPr>
        <w:t>. (וכ"נ שפסק הש"ך</w:t>
      </w:r>
      <w:r w:rsidRPr="001D49D4">
        <w:rPr>
          <w:rFonts w:ascii="Calibri" w:eastAsia="Calibri" w:hAnsi="Calibri" w:cs="Arial"/>
          <w:sz w:val="16"/>
          <w:szCs w:val="16"/>
          <w:rtl/>
        </w:rPr>
        <w:t xml:space="preserve"> [סקי"ב]</w:t>
      </w:r>
      <w:r w:rsidRPr="001D49D4">
        <w:rPr>
          <w:rFonts w:ascii="Calibri" w:eastAsia="Calibri" w:hAnsi="Calibri" w:cs="Arial"/>
          <w:rtl/>
        </w:rPr>
        <w:t>)</w:t>
      </w:r>
    </w:p>
    <w:p w14:paraId="70F84D02" w14:textId="77777777" w:rsidR="001D49D4" w:rsidRPr="001D49D4" w:rsidRDefault="001D49D4" w:rsidP="0004348D">
      <w:pPr>
        <w:spacing w:before="360" w:after="240"/>
        <w:rPr>
          <w:rFonts w:ascii="Calibri" w:eastAsia="Calibri" w:hAnsi="Calibri" w:cs="Arial"/>
          <w:u w:val="single"/>
        </w:rPr>
      </w:pPr>
      <w:r w:rsidRPr="001D49D4">
        <w:rPr>
          <w:rFonts w:ascii="Calibri" w:eastAsia="Calibri" w:hAnsi="Calibri" w:cs="Arial"/>
          <w:u w:val="single"/>
          <w:rtl/>
        </w:rPr>
        <w:t>שכיב מרע שאמר 'תנו שטר פלוני לפלוני'</w:t>
      </w:r>
      <w:r w:rsidRPr="001D49D4">
        <w:rPr>
          <w:rFonts w:ascii="Calibri" w:eastAsia="Calibri" w:hAnsi="Calibri" w:cs="Arial"/>
          <w:sz w:val="16"/>
          <w:szCs w:val="16"/>
          <w:u w:val="single"/>
          <w:rtl/>
        </w:rPr>
        <w:t xml:space="preserve"> (ולא 'נכסי לפלוני' כבפיסקא הקודמת)</w:t>
      </w:r>
      <w:r w:rsidRPr="001D49D4">
        <w:rPr>
          <w:rFonts w:ascii="Calibri" w:eastAsia="Calibri" w:hAnsi="Calibri" w:cs="Arial"/>
          <w:u w:val="single"/>
          <w:rtl/>
        </w:rPr>
        <w:t xml:space="preserve"> – האם קנה פלוני את השטר:</w:t>
      </w:r>
    </w:p>
    <w:p w14:paraId="00AF47BB" w14:textId="77777777" w:rsidR="001D49D4" w:rsidRPr="001D49D4" w:rsidRDefault="001D49D4" w:rsidP="0004348D">
      <w:pPr>
        <w:numPr>
          <w:ilvl w:val="0"/>
          <w:numId w:val="342"/>
        </w:numPr>
        <w:spacing w:before="360" w:after="240"/>
        <w:contextualSpacing/>
        <w:rPr>
          <w:rFonts w:ascii="Calibri" w:eastAsia="Calibri" w:hAnsi="Calibri" w:cs="Arial"/>
          <w:rtl/>
        </w:rPr>
      </w:pPr>
      <w:r w:rsidRPr="001D49D4">
        <w:rPr>
          <w:rFonts w:ascii="Calibri" w:eastAsia="Calibri" w:hAnsi="Calibri" w:cs="Arial"/>
          <w:rtl/>
        </w:rPr>
        <w:t xml:space="preserve">רשב"א </w:t>
      </w:r>
      <w:r w:rsidRPr="001D49D4">
        <w:rPr>
          <w:rFonts w:ascii="Calibri" w:eastAsia="Calibri" w:hAnsi="Calibri" w:cs="Arial"/>
          <w:sz w:val="16"/>
          <w:szCs w:val="16"/>
          <w:rtl/>
        </w:rPr>
        <w:t>(ח"א סי' תתקיח)</w:t>
      </w:r>
      <w:r w:rsidRPr="001D49D4">
        <w:rPr>
          <w:rFonts w:ascii="Calibri" w:eastAsia="Calibri" w:hAnsi="Calibri" w:cs="Arial"/>
          <w:rtl/>
        </w:rPr>
        <w:t xml:space="preserve"> ריטב"א</w:t>
      </w:r>
      <w:r w:rsidRPr="001D49D4">
        <w:rPr>
          <w:rFonts w:ascii="Calibri" w:eastAsia="Calibri" w:hAnsi="Calibri" w:cs="Arial"/>
          <w:vertAlign w:val="superscript"/>
          <w:rtl/>
        </w:rPr>
        <w:footnoteReference w:id="5244"/>
      </w:r>
      <w:r w:rsidRPr="001D49D4">
        <w:rPr>
          <w:rFonts w:ascii="Calibri" w:eastAsia="Calibri" w:hAnsi="Calibri" w:cs="Arial"/>
          <w:rtl/>
        </w:rPr>
        <w:t xml:space="preserve"> </w:t>
      </w:r>
      <w:r w:rsidRPr="001D49D4">
        <w:rPr>
          <w:rFonts w:ascii="Calibri" w:eastAsia="Calibri" w:hAnsi="Calibri" w:cs="Arial"/>
          <w:sz w:val="16"/>
          <w:szCs w:val="16"/>
          <w:rtl/>
        </w:rPr>
        <w:t>(סי' לח)</w:t>
      </w:r>
      <w:r w:rsidRPr="001D49D4">
        <w:rPr>
          <w:rFonts w:ascii="Calibri" w:eastAsia="Calibri" w:hAnsi="Calibri" w:cs="Arial"/>
          <w:rtl/>
        </w:rPr>
        <w:t xml:space="preserve"> רי"ו </w:t>
      </w:r>
      <w:r w:rsidRPr="001D49D4">
        <w:rPr>
          <w:rFonts w:ascii="Calibri" w:eastAsia="Calibri" w:hAnsi="Calibri" w:cs="Arial"/>
          <w:sz w:val="16"/>
          <w:szCs w:val="16"/>
          <w:rtl/>
        </w:rPr>
        <w:t>(נכ"ד סט ע"ג)</w:t>
      </w:r>
      <w:r w:rsidRPr="001D49D4">
        <w:rPr>
          <w:rFonts w:ascii="Calibri" w:eastAsia="Calibri" w:hAnsi="Calibri" w:cs="Arial"/>
          <w:rtl/>
        </w:rPr>
        <w:t xml:space="preserve"> ונמוק"י </w:t>
      </w:r>
      <w:r w:rsidRPr="001D49D4">
        <w:rPr>
          <w:rFonts w:ascii="Calibri" w:eastAsia="Calibri" w:hAnsi="Calibri" w:cs="Arial"/>
          <w:sz w:val="16"/>
          <w:szCs w:val="16"/>
          <w:rtl/>
        </w:rPr>
        <w:t>(ב"ב לט.)</w:t>
      </w:r>
      <w:r w:rsidRPr="001D49D4">
        <w:rPr>
          <w:rFonts w:ascii="Calibri" w:eastAsia="Calibri" w:hAnsi="Calibri" w:cs="Arial"/>
          <w:rtl/>
        </w:rPr>
        <w:t>- שכיב מרע שאמר 'שטר חוב שיש לי על פלוני נתון לפלוני' ולא אמר 'הוא וכל שעבודו' - לא קנה, אבל אם אמר 'כל נכסי לפלוני' נראה שקנה השטרות ואע"פ שלא אמר 'הן וכל שעבודן' דכיון שאמר כל נכסי הוה ליה כאילו פירש לו הן וכל שעבודן</w:t>
      </w:r>
      <w:r w:rsidRPr="001D49D4">
        <w:rPr>
          <w:rFonts w:ascii="Calibri" w:eastAsia="Calibri" w:hAnsi="Calibri" w:cs="Arial"/>
          <w:sz w:val="16"/>
          <w:szCs w:val="16"/>
          <w:rtl/>
        </w:rPr>
        <w:t xml:space="preserve"> (ל' הרשב"א)</w:t>
      </w:r>
      <w:r w:rsidRPr="001D49D4">
        <w:rPr>
          <w:rFonts w:ascii="Calibri" w:eastAsia="Calibri" w:hAnsi="Calibri" w:cs="Arial"/>
          <w:rtl/>
        </w:rPr>
        <w:t>. (וכ"פ מהר"י בירב</w:t>
      </w:r>
      <w:r w:rsidRPr="001D49D4">
        <w:rPr>
          <w:rFonts w:ascii="Calibri" w:eastAsia="Calibri" w:hAnsi="Calibri" w:cs="Arial"/>
          <w:sz w:val="16"/>
          <w:szCs w:val="16"/>
          <w:rtl/>
        </w:rPr>
        <w:t xml:space="preserve"> [הביאו המבי"ט ח"א סי' יח]</w:t>
      </w:r>
      <w:r w:rsidRPr="001D49D4">
        <w:rPr>
          <w:rFonts w:ascii="Calibri" w:eastAsia="Calibri" w:hAnsi="Calibri" w:cs="Arial"/>
          <w:rtl/>
        </w:rPr>
        <w:t>)</w:t>
      </w:r>
    </w:p>
    <w:p w14:paraId="5F5F8A1A" w14:textId="77777777" w:rsidR="001D49D4" w:rsidRPr="001D49D4" w:rsidRDefault="001D49D4" w:rsidP="0004348D">
      <w:pPr>
        <w:numPr>
          <w:ilvl w:val="0"/>
          <w:numId w:val="342"/>
        </w:numPr>
        <w:spacing w:before="360" w:after="240"/>
        <w:contextualSpacing/>
        <w:rPr>
          <w:rFonts w:ascii="Calibri" w:eastAsia="Calibri" w:hAnsi="Calibri" w:cs="Arial"/>
        </w:rPr>
      </w:pPr>
      <w:r w:rsidRPr="001D49D4">
        <w:rPr>
          <w:rFonts w:ascii="Calibri" w:eastAsia="Calibri" w:hAnsi="Calibri" w:cs="Arial"/>
          <w:rtl/>
        </w:rPr>
        <w:t xml:space="preserve">רמב"ם </w:t>
      </w:r>
      <w:r w:rsidRPr="001D49D4">
        <w:rPr>
          <w:rFonts w:ascii="Calibri" w:eastAsia="Calibri" w:hAnsi="Calibri" w:cs="Arial"/>
          <w:sz w:val="16"/>
          <w:szCs w:val="16"/>
          <w:rtl/>
        </w:rPr>
        <w:t>(פ"י מהל' זכיה ה"ב)</w:t>
      </w:r>
      <w:r w:rsidRPr="001D49D4">
        <w:rPr>
          <w:rFonts w:ascii="Calibri" w:eastAsia="Calibri" w:hAnsi="Calibri" w:cs="Arial"/>
          <w:rtl/>
        </w:rPr>
        <w:t xml:space="preserve"> רא"ש </w:t>
      </w:r>
      <w:r w:rsidRPr="001D49D4">
        <w:rPr>
          <w:rFonts w:ascii="Calibri" w:eastAsia="Calibri" w:hAnsi="Calibri" w:cs="Arial"/>
          <w:sz w:val="16"/>
          <w:szCs w:val="16"/>
          <w:rtl/>
        </w:rPr>
        <w:t xml:space="preserve">(כלל עה סי' ב, כתבה הטור בס"ס רמח סט"ז) </w:t>
      </w:r>
      <w:r w:rsidRPr="001D49D4">
        <w:rPr>
          <w:rFonts w:ascii="Calibri" w:eastAsia="Calibri" w:hAnsi="Calibri" w:cs="Arial"/>
          <w:rtl/>
        </w:rPr>
        <w:t xml:space="preserve">ר"ן </w:t>
      </w:r>
      <w:r w:rsidRPr="001D49D4">
        <w:rPr>
          <w:rFonts w:ascii="Calibri" w:eastAsia="Calibri" w:hAnsi="Calibri" w:cs="Arial"/>
          <w:sz w:val="16"/>
          <w:szCs w:val="16"/>
          <w:rtl/>
        </w:rPr>
        <w:t xml:space="preserve">(פרק מי שמת שם ד"ה אמר) </w:t>
      </w:r>
      <w:r w:rsidRPr="001D49D4">
        <w:rPr>
          <w:rFonts w:ascii="Calibri" w:eastAsia="Calibri" w:hAnsi="Calibri" w:cs="Arial"/>
          <w:rtl/>
        </w:rPr>
        <w:t xml:space="preserve">והה"מ </w:t>
      </w:r>
      <w:r w:rsidRPr="001D49D4">
        <w:rPr>
          <w:rFonts w:ascii="Calibri" w:eastAsia="Calibri" w:hAnsi="Calibri" w:cs="Arial"/>
          <w:sz w:val="16"/>
          <w:szCs w:val="16"/>
          <w:rtl/>
        </w:rPr>
        <w:t>(שם)</w:t>
      </w:r>
      <w:r w:rsidRPr="001D49D4">
        <w:rPr>
          <w:rFonts w:ascii="Calibri" w:eastAsia="Calibri" w:hAnsi="Calibri" w:cs="Arial"/>
          <w:rtl/>
        </w:rPr>
        <w:t>- שכיב מרע שאמר 'תנו שטר פלוני לפלוני' זכה זה במה שיש בשטר וכאילו כתב ומסר אע"פ שלא משך השטר</w:t>
      </w:r>
      <w:r w:rsidRPr="001D49D4">
        <w:rPr>
          <w:rFonts w:ascii="Calibri" w:eastAsia="Calibri" w:hAnsi="Calibri" w:cs="Arial"/>
          <w:sz w:val="16"/>
          <w:szCs w:val="16"/>
          <w:rtl/>
        </w:rPr>
        <w:t xml:space="preserve"> (ל' הרמב"ם)</w:t>
      </w:r>
      <w:r w:rsidRPr="001D49D4">
        <w:rPr>
          <w:rFonts w:ascii="Calibri" w:eastAsia="Calibri" w:hAnsi="Calibri" w:cs="Arial"/>
          <w:vertAlign w:val="superscript"/>
          <w:rtl/>
        </w:rPr>
        <w:footnoteReference w:id="5245"/>
      </w:r>
      <w:r w:rsidRPr="001D49D4">
        <w:rPr>
          <w:rFonts w:ascii="Calibri" w:eastAsia="Calibri" w:hAnsi="Calibri" w:cs="Arial"/>
          <w:rtl/>
        </w:rPr>
        <w:t xml:space="preserve">. </w:t>
      </w:r>
      <w:r w:rsidRPr="001D49D4">
        <w:rPr>
          <w:rFonts w:ascii="Calibri" w:eastAsia="Calibri" w:hAnsi="Calibri" w:cs="Arial"/>
          <w:color w:val="E36C0A" w:themeColor="accent6" w:themeShade="BF"/>
          <w:rtl/>
        </w:rPr>
        <w:t>(וכ"פ בשו"ע</w:t>
      </w:r>
      <w:r w:rsidRPr="001D49D4">
        <w:rPr>
          <w:rFonts w:ascii="Calibri" w:eastAsia="Calibri" w:hAnsi="Calibri" w:cs="Arial"/>
          <w:color w:val="E36C0A" w:themeColor="accent6" w:themeShade="BF"/>
          <w:sz w:val="16"/>
          <w:szCs w:val="16"/>
          <w:rtl/>
        </w:rPr>
        <w:t xml:space="preserve"> </w:t>
      </w:r>
      <w:r w:rsidRPr="001D49D4">
        <w:rPr>
          <w:rFonts w:ascii="Calibri" w:eastAsia="Calibri" w:hAnsi="Calibri" w:cs="Arial"/>
          <w:color w:val="000000" w:themeColor="text1"/>
          <w:sz w:val="16"/>
          <w:szCs w:val="16"/>
          <w:rtl/>
        </w:rPr>
        <w:t>[בסי' רנג ס"כ]</w:t>
      </w:r>
      <w:r w:rsidRPr="001D49D4">
        <w:rPr>
          <w:rFonts w:ascii="Calibri" w:eastAsia="Calibri" w:hAnsi="Calibri" w:cs="Arial"/>
          <w:color w:val="E36C0A" w:themeColor="accent6" w:themeShade="BF"/>
          <w:rtl/>
        </w:rPr>
        <w:t>)</w:t>
      </w:r>
    </w:p>
    <w:p w14:paraId="6F41F7FC" w14:textId="77777777" w:rsidR="001D49D4" w:rsidRPr="001D49D4" w:rsidRDefault="001D49D4" w:rsidP="0004348D">
      <w:pPr>
        <w:spacing w:before="360" w:after="240"/>
        <w:rPr>
          <w:rFonts w:ascii="Calibri" w:eastAsia="Calibri" w:hAnsi="Calibri" w:cs="Arial"/>
          <w:u w:val="single"/>
        </w:rPr>
      </w:pPr>
      <w:r w:rsidRPr="001D49D4">
        <w:rPr>
          <w:rFonts w:ascii="Calibri" w:eastAsia="Calibri" w:hAnsi="Calibri" w:cs="Arial"/>
          <w:u w:val="single"/>
          <w:rtl/>
        </w:rPr>
        <w:t>האומר 'נתתי/שעבדתי נכסי מקרקעי ומטלטלי' – האם שטרות בכלל:</w:t>
      </w:r>
    </w:p>
    <w:p w14:paraId="50D38378" w14:textId="77777777" w:rsidR="001D49D4" w:rsidRPr="001D49D4" w:rsidRDefault="001D49D4" w:rsidP="0004348D">
      <w:pPr>
        <w:numPr>
          <w:ilvl w:val="0"/>
          <w:numId w:val="342"/>
        </w:numPr>
        <w:spacing w:before="360" w:after="240"/>
        <w:contextualSpacing/>
        <w:rPr>
          <w:rFonts w:ascii="Calibri" w:eastAsia="Calibri" w:hAnsi="Calibri" w:cs="Arial"/>
        </w:rPr>
      </w:pPr>
      <w:r w:rsidRPr="001D49D4">
        <w:rPr>
          <w:rFonts w:ascii="Calibri" w:eastAsia="Calibri" w:hAnsi="Calibri" w:cs="Arial"/>
          <w:rtl/>
        </w:rPr>
        <w:t xml:space="preserve">נמוק"י </w:t>
      </w:r>
      <w:r w:rsidRPr="001D49D4">
        <w:rPr>
          <w:rFonts w:ascii="Calibri" w:eastAsia="Calibri" w:hAnsi="Calibri" w:cs="Arial"/>
          <w:sz w:val="16"/>
          <w:szCs w:val="16"/>
          <w:rtl/>
        </w:rPr>
        <w:t>(ר"פ הספינה לט.)</w:t>
      </w:r>
      <w:r w:rsidRPr="001D49D4">
        <w:rPr>
          <w:rFonts w:ascii="Calibri" w:eastAsia="Calibri" w:hAnsi="Calibri" w:cs="Arial"/>
          <w:rtl/>
        </w:rPr>
        <w:t xml:space="preserve">- האומר 'נתתי/שעבדתי נכסי מקרקעי ומטלטלי' אין שטרות בכלל, שאין בכלל אלא מה שבפרט וצריך לומר 'מקרקעי ושאר נכסים וכל שעבודן' הריטב"א </w:t>
      </w:r>
      <w:r w:rsidRPr="001D49D4">
        <w:rPr>
          <w:rFonts w:ascii="Calibri" w:eastAsia="Calibri" w:hAnsi="Calibri" w:cs="Arial"/>
          <w:sz w:val="16"/>
          <w:szCs w:val="16"/>
          <w:rtl/>
        </w:rPr>
        <w:t xml:space="preserve">(ב"ב עו: ד"ה ושכ"מ) </w:t>
      </w:r>
      <w:r w:rsidRPr="001D49D4">
        <w:rPr>
          <w:rFonts w:ascii="Calibri" w:eastAsia="Calibri" w:hAnsi="Calibri" w:cs="Arial"/>
          <w:rtl/>
        </w:rPr>
        <w:t xml:space="preserve">וכל רבותיו ז"ל. </w:t>
      </w:r>
    </w:p>
    <w:p w14:paraId="5D67756C" w14:textId="77777777" w:rsidR="001D49D4" w:rsidRPr="001D49D4" w:rsidRDefault="001D49D4" w:rsidP="0004348D">
      <w:pPr>
        <w:spacing w:before="360" w:after="240"/>
        <w:rPr>
          <w:rFonts w:ascii="Calibri" w:eastAsia="Calibri" w:hAnsi="Calibri" w:cs="Arial"/>
          <w:u w:val="single"/>
        </w:rPr>
      </w:pPr>
      <w:r w:rsidRPr="001D49D4">
        <w:rPr>
          <w:rFonts w:ascii="Calibri" w:eastAsia="Calibri" w:hAnsi="Calibri" w:cs="Arial"/>
          <w:u w:val="single"/>
          <w:rtl/>
        </w:rPr>
        <w:t>האם שטרות הוי בכלל האומר מטלטלין:</w:t>
      </w:r>
    </w:p>
    <w:p w14:paraId="6510A07A" w14:textId="77777777" w:rsidR="001D49D4" w:rsidRPr="001D49D4" w:rsidRDefault="001D49D4" w:rsidP="0004348D">
      <w:pPr>
        <w:numPr>
          <w:ilvl w:val="0"/>
          <w:numId w:val="342"/>
        </w:numPr>
        <w:spacing w:before="360" w:after="240"/>
        <w:contextualSpacing/>
        <w:rPr>
          <w:rFonts w:ascii="Calibri" w:eastAsia="Calibri" w:hAnsi="Calibri" w:cs="Arial"/>
        </w:rPr>
      </w:pPr>
      <w:r w:rsidRPr="001D49D4">
        <w:rPr>
          <w:rFonts w:ascii="Calibri" w:eastAsia="Calibri" w:hAnsi="Calibri" w:cs="Arial"/>
          <w:rtl/>
        </w:rPr>
        <w:t xml:space="preserve">רשב"א </w:t>
      </w:r>
      <w:r w:rsidRPr="001D49D4">
        <w:rPr>
          <w:rFonts w:ascii="Calibri" w:eastAsia="Calibri" w:hAnsi="Calibri" w:cs="Arial"/>
          <w:sz w:val="16"/>
          <w:szCs w:val="16"/>
          <w:rtl/>
        </w:rPr>
        <w:t>(ח"א סי' תתפה)</w:t>
      </w:r>
      <w:r w:rsidRPr="001D49D4">
        <w:rPr>
          <w:rFonts w:ascii="Calibri" w:eastAsia="Calibri" w:hAnsi="Calibri" w:cs="Arial"/>
          <w:rtl/>
        </w:rPr>
        <w:t xml:space="preserve">- דבר פשוט הוא דשטר חוב אינן בכלל מטלטלין, דשטרות לא קרו אינשי מטלטלין. </w:t>
      </w:r>
      <w:r w:rsidRPr="001D49D4">
        <w:rPr>
          <w:rFonts w:ascii="Calibri" w:eastAsia="Calibri" w:hAnsi="Calibri" w:cs="Arial"/>
          <w:color w:val="00B0F0"/>
          <w:rtl/>
        </w:rPr>
        <w:t>(וכ"פ הרמ"א)</w:t>
      </w:r>
    </w:p>
    <w:p w14:paraId="49E945E8" w14:textId="77777777" w:rsidR="001D49D4" w:rsidRPr="001D49D4" w:rsidRDefault="001D49D4" w:rsidP="0004348D">
      <w:pPr>
        <w:spacing w:before="360" w:after="240"/>
        <w:rPr>
          <w:rFonts w:ascii="Calibri" w:eastAsia="Calibri" w:hAnsi="Calibri" w:cs="Arial"/>
          <w:u w:val="single"/>
        </w:rPr>
      </w:pPr>
      <w:r w:rsidRPr="001D49D4">
        <w:rPr>
          <w:rFonts w:ascii="Calibri" w:eastAsia="Calibri" w:hAnsi="Calibri" w:cs="Arial"/>
          <w:u w:val="single"/>
          <w:rtl/>
        </w:rPr>
        <w:t>אדם שסילק עצמו מכל נכסי אשתו – האם הסתלק גם משטר ירושה שעשה לה אביה:</w:t>
      </w:r>
    </w:p>
    <w:p w14:paraId="152BAA1A" w14:textId="77777777" w:rsidR="001D49D4" w:rsidRPr="001D49D4" w:rsidRDefault="001D49D4" w:rsidP="0004348D">
      <w:pPr>
        <w:numPr>
          <w:ilvl w:val="0"/>
          <w:numId w:val="342"/>
        </w:numPr>
        <w:spacing w:before="360" w:after="240"/>
        <w:contextualSpacing/>
        <w:rPr>
          <w:rFonts w:ascii="Calibri" w:eastAsia="Calibri" w:hAnsi="Calibri" w:cs="Arial"/>
        </w:rPr>
      </w:pPr>
      <w:r w:rsidRPr="001D49D4">
        <w:rPr>
          <w:rFonts w:ascii="Calibri" w:eastAsia="Calibri" w:hAnsi="Calibri" w:cs="Arial"/>
          <w:rtl/>
        </w:rPr>
        <w:t xml:space="preserve">מהרי"ק </w:t>
      </w:r>
      <w:r w:rsidRPr="001D49D4">
        <w:rPr>
          <w:rFonts w:ascii="Calibri" w:eastAsia="Calibri" w:hAnsi="Calibri" w:cs="Arial"/>
          <w:sz w:val="16"/>
          <w:szCs w:val="16"/>
          <w:rtl/>
        </w:rPr>
        <w:t>(שורש יג)</w:t>
      </w:r>
      <w:r w:rsidRPr="001D49D4">
        <w:rPr>
          <w:rFonts w:ascii="Calibri" w:eastAsia="Calibri" w:hAnsi="Calibri" w:cs="Arial"/>
          <w:rtl/>
        </w:rPr>
        <w:t>- אם ראובן כתב לאשתו שסילק עצמו מכל נכסיה - אף משטר ירושה שעשה לה אביה הוא מסולק.</w:t>
      </w:r>
      <w:r w:rsidRPr="001D49D4">
        <w:rPr>
          <w:rFonts w:ascii="Calibri" w:eastAsia="Calibri" w:hAnsi="Calibri" w:cs="Arial"/>
          <w:color w:val="00B0F0"/>
          <w:rtl/>
        </w:rPr>
        <w:t xml:space="preserve"> (וכ"פ הרמ"א)</w:t>
      </w:r>
    </w:p>
    <w:p w14:paraId="47297299" w14:textId="77777777" w:rsidR="001D49D4" w:rsidRPr="001D49D4" w:rsidRDefault="001D49D4" w:rsidP="0004348D">
      <w:pPr>
        <w:spacing w:before="360" w:after="240"/>
        <w:rPr>
          <w:rFonts w:ascii="Calibri" w:eastAsia="Calibri" w:hAnsi="Calibri" w:cs="Arial"/>
          <w:u w:val="single"/>
        </w:rPr>
      </w:pPr>
      <w:r w:rsidRPr="001D49D4">
        <w:rPr>
          <w:rFonts w:ascii="Calibri" w:eastAsia="Calibri" w:hAnsi="Calibri" w:cs="Arial"/>
          <w:u w:val="single"/>
          <w:rtl/>
        </w:rPr>
        <w:t>בעל חוב שמשעבד למלוה שטר חוב שיש לו על אביו – האם יש איזו תקנה לעשות שלא יוכל בעל החוב למחול לאביו:</w:t>
      </w:r>
    </w:p>
    <w:p w14:paraId="1C1E388B" w14:textId="77777777" w:rsidR="001D49D4" w:rsidRPr="001D49D4" w:rsidRDefault="001D49D4" w:rsidP="0004348D">
      <w:pPr>
        <w:numPr>
          <w:ilvl w:val="0"/>
          <w:numId w:val="342"/>
        </w:numPr>
        <w:spacing w:before="360" w:after="240"/>
        <w:contextualSpacing/>
        <w:rPr>
          <w:rFonts w:ascii="Calibri" w:eastAsia="Calibri" w:hAnsi="Calibri" w:cs="Arial"/>
        </w:rPr>
      </w:pPr>
      <w:r w:rsidRPr="001D49D4">
        <w:rPr>
          <w:rFonts w:ascii="Calibri" w:eastAsia="Calibri" w:hAnsi="Calibri" w:cs="Arial"/>
          <w:rtl/>
        </w:rPr>
        <w:t xml:space="preserve">רשב"א </w:t>
      </w:r>
      <w:r w:rsidRPr="001D49D4">
        <w:rPr>
          <w:rFonts w:ascii="Calibri" w:eastAsia="Calibri" w:hAnsi="Calibri" w:cs="Arial"/>
          <w:sz w:val="16"/>
          <w:szCs w:val="16"/>
          <w:rtl/>
        </w:rPr>
        <w:t>(ח"ו סי' רל)</w:t>
      </w:r>
      <w:r w:rsidRPr="001D49D4">
        <w:rPr>
          <w:rFonts w:ascii="Calibri" w:eastAsia="Calibri" w:hAnsi="Calibri" w:cs="Arial"/>
          <w:rtl/>
        </w:rPr>
        <w:t>- שאלת, ראובן חייב לשמעון מנה ואין לו נכסים אלא שטר חוב אלף דינרים על אביו שנתחייב לו מעכשיו ולאחר פטירתו. ועכשיו בא ראובן לכתוב לשמעון שטר חוב מאותו מנה ולשעבד לו אותו חוב של אלף דינרים. הודיעני מה תקנה יש שלא יוכל ראובן לשוב ולמחול אותן האלף דינרין לאביו, ואם יכתוב שהוא פוסל כל עדים שיעידו על שום מחילה והודאה שיעשה לאביו על שטר זה היועיל אם לאו. תשובה, אין ביטול זה מועיל כלום שאי אפשר לו לבטל העדים המעידים בזכות אחרים עליו, ואילו פסלן האב היה מועיל, ואיני מוצא לו שום תקנה שלא יוכל להודות לו שפרעו ואע"פ שלא הגיע זמנו, אבל על המחילה יש לי לדון אם תועיל במקום שחב לאחרים אלא שאין דעת רבותי שוה עמי בדבר זה. ואם מכרו לו כולו או מקצתו ויש בשטר חוב 'משתעבדנא לך ולכל דאתי מחמתך' והודיע שמעון ליעקב שראובן בנו מכר לו חוב שיש לו עליו מעתה - לא תועיל המחילה ולא אפילו הפרעון כדעת הראב"ד, ולזה דעתי נוטה</w:t>
      </w:r>
      <w:r w:rsidRPr="001D49D4">
        <w:rPr>
          <w:rFonts w:ascii="Calibri" w:eastAsia="Calibri" w:hAnsi="Calibri" w:cs="Arial"/>
          <w:vertAlign w:val="superscript"/>
          <w:rtl/>
        </w:rPr>
        <w:footnoteReference w:id="5246"/>
      </w:r>
      <w:r w:rsidRPr="001D49D4">
        <w:rPr>
          <w:rFonts w:ascii="Calibri" w:eastAsia="Calibri" w:hAnsi="Calibri" w:cs="Arial"/>
          <w:rtl/>
        </w:rPr>
        <w:t>.</w:t>
      </w:r>
    </w:p>
    <w:p w14:paraId="4E6BE19F" w14:textId="77777777" w:rsidR="001D49D4" w:rsidRPr="001D49D4" w:rsidRDefault="001D49D4" w:rsidP="0004348D">
      <w:pPr>
        <w:spacing w:before="360" w:after="240"/>
        <w:rPr>
          <w:rFonts w:ascii="Calibri" w:eastAsia="Calibri" w:hAnsi="Calibri" w:cs="Arial"/>
          <w:u w:val="single"/>
        </w:rPr>
      </w:pPr>
      <w:r w:rsidRPr="001D49D4">
        <w:rPr>
          <w:rFonts w:ascii="Calibri" w:eastAsia="Calibri" w:hAnsi="Calibri" w:cs="Arial"/>
          <w:u w:val="single"/>
          <w:rtl/>
        </w:rPr>
        <w:t>האם בית דין יכולים להגבות חוב של אדם משטרותיו:</w:t>
      </w:r>
    </w:p>
    <w:p w14:paraId="1BBB6249" w14:textId="77777777" w:rsidR="001D49D4" w:rsidRPr="001D49D4" w:rsidRDefault="001D49D4" w:rsidP="0004348D">
      <w:pPr>
        <w:numPr>
          <w:ilvl w:val="0"/>
          <w:numId w:val="342"/>
        </w:numPr>
        <w:spacing w:before="360" w:after="240"/>
        <w:contextualSpacing/>
        <w:rPr>
          <w:rFonts w:ascii="Calibri" w:eastAsia="Calibri" w:hAnsi="Calibri" w:cs="Arial"/>
        </w:rPr>
      </w:pPr>
      <w:r w:rsidRPr="001D49D4">
        <w:rPr>
          <w:rFonts w:ascii="Calibri" w:eastAsia="Calibri" w:hAnsi="Calibri" w:cs="Arial"/>
          <w:rtl/>
        </w:rPr>
        <w:t xml:space="preserve">רשב"א </w:t>
      </w:r>
      <w:r w:rsidRPr="001D49D4">
        <w:rPr>
          <w:rFonts w:ascii="Calibri" w:eastAsia="Calibri" w:hAnsi="Calibri" w:cs="Arial"/>
          <w:sz w:val="16"/>
          <w:szCs w:val="16"/>
          <w:rtl/>
        </w:rPr>
        <w:t>(סי' אלף כז וסי' תתקכט)</w:t>
      </w:r>
      <w:r w:rsidRPr="001D49D4">
        <w:rPr>
          <w:rFonts w:ascii="Calibri" w:eastAsia="Calibri" w:hAnsi="Calibri" w:cs="Arial"/>
          <w:rtl/>
        </w:rPr>
        <w:t>- שטרות אין בית דין מגבין אותם לפי דעתי לא לאשה בכתובתה ולא לבעל חוב בחובו דמילי נינהו ואין נגבין בבית דין</w:t>
      </w:r>
      <w:r w:rsidRPr="001D49D4">
        <w:rPr>
          <w:rFonts w:ascii="Calibri" w:eastAsia="Calibri" w:hAnsi="Calibri" w:cs="Arial"/>
          <w:vertAlign w:val="superscript"/>
          <w:rtl/>
        </w:rPr>
        <w:footnoteReference w:id="5247"/>
      </w:r>
      <w:r w:rsidRPr="001D49D4">
        <w:rPr>
          <w:rFonts w:ascii="Calibri" w:eastAsia="Calibri" w:hAnsi="Calibri" w:cs="Arial"/>
          <w:rtl/>
        </w:rPr>
        <w:t xml:space="preserve">. </w:t>
      </w:r>
    </w:p>
    <w:p w14:paraId="7EB655F8" w14:textId="77777777" w:rsidR="001D49D4" w:rsidRPr="001D49D4" w:rsidRDefault="001D49D4" w:rsidP="0004348D">
      <w:pPr>
        <w:spacing w:before="360" w:after="240"/>
        <w:rPr>
          <w:rFonts w:ascii="Calibri" w:eastAsia="Calibri" w:hAnsi="Calibri" w:cs="Arial"/>
          <w:u w:val="single"/>
        </w:rPr>
      </w:pPr>
      <w:r w:rsidRPr="001D49D4">
        <w:rPr>
          <w:rFonts w:ascii="Calibri" w:eastAsia="Calibri" w:hAnsi="Calibri" w:cs="Arial"/>
          <w:u w:val="single"/>
          <w:rtl/>
        </w:rPr>
        <w:t>אדם שהוציא שטרות על פלוני - ונתברר שהוציא מקצתם מבית פלוני אחר פטירתו:</w:t>
      </w:r>
    </w:p>
    <w:p w14:paraId="340D07ED" w14:textId="77777777" w:rsidR="001D49D4" w:rsidRPr="001D49D4" w:rsidRDefault="001D49D4" w:rsidP="0004348D">
      <w:pPr>
        <w:numPr>
          <w:ilvl w:val="0"/>
          <w:numId w:val="342"/>
        </w:numPr>
        <w:spacing w:before="360" w:after="240"/>
        <w:contextualSpacing/>
        <w:rPr>
          <w:rFonts w:ascii="Calibri" w:eastAsia="Calibri" w:hAnsi="Calibri" w:cs="Arial"/>
        </w:rPr>
      </w:pPr>
      <w:r w:rsidRPr="001D49D4">
        <w:rPr>
          <w:rFonts w:ascii="Calibri" w:eastAsia="Calibri" w:hAnsi="Calibri" w:cs="Arial"/>
          <w:rtl/>
        </w:rPr>
        <w:t xml:space="preserve">רשב"א </w:t>
      </w:r>
      <w:r w:rsidRPr="001D49D4">
        <w:rPr>
          <w:rFonts w:ascii="Calibri" w:eastAsia="Calibri" w:hAnsi="Calibri" w:cs="Arial"/>
          <w:sz w:val="16"/>
          <w:szCs w:val="16"/>
          <w:rtl/>
        </w:rPr>
        <w:t>(סי' תתקה)</w:t>
      </w:r>
      <w:r w:rsidRPr="001D49D4">
        <w:rPr>
          <w:rFonts w:ascii="Calibri" w:eastAsia="Calibri" w:hAnsi="Calibri" w:cs="Arial"/>
          <w:rtl/>
        </w:rPr>
        <w:t>- מי שהוציא שטרות על ראובן ונתברר שהוציא מקצתם מבית ראובן אחר פטירתו - הוחזק כפרן לכולם, דכשם שהוציא מקצתן הוציא כולן.</w:t>
      </w:r>
    </w:p>
    <w:p w14:paraId="72F5DA3F" w14:textId="77777777" w:rsidR="001D49D4" w:rsidRPr="001D49D4" w:rsidRDefault="001D49D4" w:rsidP="0004348D">
      <w:pPr>
        <w:spacing w:before="360" w:after="240"/>
        <w:rPr>
          <w:rFonts w:ascii="Calibri" w:eastAsia="Calibri" w:hAnsi="Calibri" w:cs="Arial"/>
          <w:u w:val="single"/>
        </w:rPr>
      </w:pPr>
      <w:r w:rsidRPr="001D49D4">
        <w:rPr>
          <w:rFonts w:ascii="Calibri" w:eastAsia="Calibri" w:hAnsi="Calibri" w:cs="Arial"/>
          <w:u w:val="single"/>
          <w:rtl/>
        </w:rPr>
        <w:t>הנותן שטר חוב שלא בא לעולם במתנה:</w:t>
      </w:r>
    </w:p>
    <w:p w14:paraId="5CC2AA35" w14:textId="77777777" w:rsidR="001D49D4" w:rsidRPr="001D49D4" w:rsidRDefault="001D49D4" w:rsidP="0004348D">
      <w:pPr>
        <w:numPr>
          <w:ilvl w:val="0"/>
          <w:numId w:val="342"/>
        </w:numPr>
        <w:spacing w:before="360" w:after="240"/>
        <w:contextualSpacing/>
        <w:rPr>
          <w:rFonts w:ascii="Calibri" w:eastAsia="Calibri" w:hAnsi="Calibri" w:cs="Arial"/>
        </w:rPr>
      </w:pPr>
      <w:r w:rsidRPr="001D49D4">
        <w:rPr>
          <w:rFonts w:ascii="Calibri" w:eastAsia="Calibri" w:hAnsi="Calibri" w:cs="Arial"/>
          <w:rtl/>
        </w:rPr>
        <w:t xml:space="preserve">רשב"א </w:t>
      </w:r>
      <w:r w:rsidRPr="001D49D4">
        <w:rPr>
          <w:rFonts w:ascii="Calibri" w:eastAsia="Calibri" w:hAnsi="Calibri" w:cs="Arial"/>
          <w:sz w:val="16"/>
          <w:szCs w:val="16"/>
          <w:rtl/>
        </w:rPr>
        <w:t>(ח"א סי' אלף קמט)</w:t>
      </w:r>
      <w:r w:rsidRPr="001D49D4">
        <w:rPr>
          <w:rFonts w:ascii="Calibri" w:eastAsia="Calibri" w:hAnsi="Calibri" w:cs="Arial"/>
          <w:rtl/>
        </w:rPr>
        <w:t>- שאלת, שטר שכתוב בו שהודית פלונית שיש עליה חוב לראובן אחיה ולנפתלי בן שמעון אחיה, ש' זהובים, על מנת אם תנשא עד תשלום עשרים שנה. ונפתלי הנזכר מת קודם נשואיה, ולפני מותו נתן זכותו לראובן דודו, הודיעני אם המתנה שעשה נפתלי לראובן דודו מתנה אם לאו כיון שלא זכה עדיין בחוב והוי כדבר שלא בא לעולם. תשובה, הדבר תלוי במה שכתבתי שאם החוב שנתחייבה האשה לראובן ונפתלי בענין שיוכלו לגבותו, ר"ל שיהא בלא אסמכתא ושיהא השטר שבידם שטר חיוב, גם המתנה שעשה נפתלי – מתנה, ובלבד בשנתן כדין נתינת או מכירת שטרות, כלומר שנתן בכתיבה ומסירה וכתוב בשטר המתנה 'קני לך איהו וכל שעבודא דאית ביה וכל מאי דכתיב בגויה'. ואין כאן משום דבר שלא בא לעולם שהרי זכו אלו מעכשיו אם תנשא, אבל אם יש בעיקר חיוב האשה משום אסמכתא אין מקום לשאלה זו, שהרי נפתלי בעצמו לא קנה, וכן אם השטר שבידם אין לו דין שטר כמו שכתבתי - מתנת נפתלי אינה מתנה, משום דהוי חיוב האשה כמלוה על פה, ואין הקנאה למלוה על פה אלא במעמד שלשתן, אבל בענין אחר כלל וכלל לא.</w:t>
      </w:r>
    </w:p>
    <w:p w14:paraId="33088EE4" w14:textId="77777777" w:rsidR="001D49D4" w:rsidRPr="001D49D4" w:rsidRDefault="001D49D4" w:rsidP="0004348D">
      <w:pPr>
        <w:spacing w:before="360" w:after="240"/>
        <w:rPr>
          <w:rFonts w:ascii="Calibri" w:eastAsia="Calibri" w:hAnsi="Calibri" w:cs="Arial"/>
        </w:rPr>
      </w:pPr>
      <w:r w:rsidRPr="001D49D4">
        <w:rPr>
          <w:rFonts w:ascii="Calibri" w:eastAsia="Calibri" w:hAnsi="Calibri" w:cs="Arial"/>
          <w:u w:val="single"/>
          <w:rtl/>
        </w:rPr>
        <w:t>שמעון חייב לראובן מנה, וצוה ראובן לכתוב שטר בעד דינר על שם לוי, ואח"כ מחל ראובן לשמעון:</w:t>
      </w:r>
      <w:r w:rsidRPr="001D49D4">
        <w:rPr>
          <w:rFonts w:ascii="Calibri" w:eastAsia="Calibri" w:hAnsi="Calibri" w:cs="Arial"/>
          <w:rtl/>
        </w:rPr>
        <w:t xml:space="preserve"> </w:t>
      </w:r>
      <w:r w:rsidRPr="001D49D4">
        <w:rPr>
          <w:rFonts w:ascii="Calibri" w:eastAsia="Calibri" w:hAnsi="Calibri" w:cs="Arial"/>
          <w:sz w:val="16"/>
          <w:szCs w:val="16"/>
          <w:rtl/>
        </w:rPr>
        <w:t>(דרכ"מ אות יז)</w:t>
      </w:r>
    </w:p>
    <w:p w14:paraId="6A5EA049" w14:textId="77777777" w:rsidR="001D49D4" w:rsidRPr="001D49D4" w:rsidRDefault="001D49D4" w:rsidP="0004348D">
      <w:pPr>
        <w:numPr>
          <w:ilvl w:val="0"/>
          <w:numId w:val="342"/>
        </w:numPr>
        <w:spacing w:before="360" w:after="240"/>
        <w:contextualSpacing/>
        <w:rPr>
          <w:rFonts w:ascii="Calibri" w:eastAsia="Calibri" w:hAnsi="Calibri" w:cs="Arial"/>
        </w:rPr>
      </w:pPr>
      <w:r w:rsidRPr="001D49D4">
        <w:rPr>
          <w:rFonts w:ascii="Calibri" w:eastAsia="Calibri" w:hAnsi="Calibri" w:cs="Arial"/>
          <w:rtl/>
        </w:rPr>
        <w:t xml:space="preserve">רשב"א </w:t>
      </w:r>
      <w:r w:rsidRPr="001D49D4">
        <w:rPr>
          <w:rFonts w:ascii="Calibri" w:eastAsia="Calibri" w:hAnsi="Calibri" w:cs="Arial"/>
          <w:sz w:val="16"/>
          <w:szCs w:val="16"/>
          <w:rtl/>
        </w:rPr>
        <w:t>(סי' תתקכז)</w:t>
      </w:r>
      <w:r w:rsidRPr="001D49D4">
        <w:rPr>
          <w:rFonts w:ascii="Calibri" w:eastAsia="Calibri" w:hAnsi="Calibri" w:cs="Arial"/>
          <w:rtl/>
        </w:rPr>
        <w:t>- שמעון שהיה חייב לראובן מנה, וצוה ראובן לכתוב שטר בעד דינר על שם לוי, ואח"כ מחל ראובן לשמעון בסתם כל ממון וטענות ותביעות שיש לו עליו. אף שטר לוי פסול דמאחר דהמעות הם של ראובן רק שנכתב השטר על שם לוי א"כ יכול למחול לו ובכלל ממונו הוא.</w:t>
      </w:r>
    </w:p>
    <w:p w14:paraId="4B37FA18" w14:textId="77777777" w:rsidR="001D49D4" w:rsidRPr="001D49D4" w:rsidRDefault="001D49D4" w:rsidP="0004348D">
      <w:pPr>
        <w:spacing w:before="360" w:after="240"/>
        <w:rPr>
          <w:rFonts w:ascii="Arial" w:eastAsia="Calibri" w:hAnsi="Arial" w:cs="Arial"/>
          <w:b/>
          <w:bCs/>
          <w:color w:val="000000"/>
          <w:sz w:val="28"/>
          <w:szCs w:val="28"/>
          <w:u w:val="single"/>
          <w:rtl/>
        </w:rPr>
      </w:pPr>
      <w:r w:rsidRPr="001D49D4">
        <w:rPr>
          <w:rFonts w:ascii="Arial" w:eastAsia="Calibri" w:hAnsi="Arial" w:cs="Arial"/>
          <w:b/>
          <w:bCs/>
          <w:color w:val="000000"/>
          <w:sz w:val="28"/>
          <w:szCs w:val="28"/>
          <w:u w:val="single"/>
          <w:rtl/>
        </w:rPr>
        <w:t>שו"ע:</w:t>
      </w:r>
    </w:p>
    <w:p w14:paraId="3D8241F0"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rtl/>
        </w:rPr>
        <w:t>אמר 'נכסי לפלוני', שטרי בכלל נכסי. ואם הוא שכיב מרע שדבריו ככתובים וכמסורים, קנה גם השטרות</w:t>
      </w:r>
      <w:r w:rsidRPr="001D49D4">
        <w:rPr>
          <w:rFonts w:ascii="Calibri" w:eastAsia="Calibri" w:hAnsi="Calibri" w:cs="Arial"/>
          <w:vertAlign w:val="superscript"/>
          <w:rtl/>
        </w:rPr>
        <w:footnoteReference w:id="5248"/>
      </w:r>
      <w:r w:rsidRPr="001D49D4">
        <w:rPr>
          <w:rFonts w:ascii="Calibri" w:eastAsia="Calibri" w:hAnsi="Calibri" w:cs="Arial"/>
          <w:rtl/>
        </w:rPr>
        <w:t xml:space="preserve">. </w:t>
      </w:r>
      <w:r w:rsidRPr="001D49D4">
        <w:rPr>
          <w:rFonts w:ascii="Calibri" w:eastAsia="Calibri" w:hAnsi="Calibri" w:cs="Arial"/>
          <w:sz w:val="18"/>
          <w:szCs w:val="18"/>
          <w:rtl/>
        </w:rPr>
        <w:t>הגה: ולכן בעל שסילק</w:t>
      </w:r>
      <w:r w:rsidRPr="001D49D4">
        <w:rPr>
          <w:rFonts w:ascii="Calibri" w:eastAsia="Calibri" w:hAnsi="Calibri" w:cs="Arial"/>
          <w:sz w:val="18"/>
          <w:szCs w:val="18"/>
          <w:vertAlign w:val="superscript"/>
          <w:rtl/>
        </w:rPr>
        <w:footnoteReference w:id="5249"/>
      </w:r>
      <w:r w:rsidRPr="001D49D4">
        <w:rPr>
          <w:rFonts w:ascii="Calibri" w:eastAsia="Calibri" w:hAnsi="Calibri" w:cs="Arial"/>
          <w:sz w:val="18"/>
          <w:szCs w:val="18"/>
          <w:rtl/>
        </w:rPr>
        <w:t xml:space="preserve"> עצמו מנכסי אשתו, אף שטרות בכלל, וסילק גם כן עצמו משטר ירושה שלה</w:t>
      </w:r>
      <w:r w:rsidRPr="001D49D4">
        <w:rPr>
          <w:rFonts w:ascii="Calibri" w:eastAsia="Calibri" w:hAnsi="Calibri" w:cs="Arial"/>
          <w:sz w:val="18"/>
          <w:szCs w:val="18"/>
          <w:vertAlign w:val="superscript"/>
          <w:rtl/>
        </w:rPr>
        <w:footnoteReference w:id="5250"/>
      </w:r>
      <w:r w:rsidRPr="001D49D4">
        <w:rPr>
          <w:rFonts w:ascii="Calibri" w:eastAsia="Calibri" w:hAnsi="Calibri" w:cs="Arial"/>
          <w:sz w:val="18"/>
          <w:szCs w:val="18"/>
          <w:rtl/>
        </w:rPr>
        <w:t xml:space="preserve"> שעשה לה אביה (מהרי"ק שורש יג). אבל אין שטרות בכלל מטלטלים, ולכן אם אמר 'מטלטלין לפלוני', אין שטרות בכלל (תשובת רשב"א סימן תתפ"ה).</w:t>
      </w:r>
    </w:p>
    <w:p w14:paraId="49285826" w14:textId="77777777" w:rsidR="001D49D4" w:rsidRPr="001D49D4" w:rsidRDefault="001D49D4" w:rsidP="0004348D">
      <w:pPr>
        <w:bidi w:val="0"/>
        <w:spacing w:before="360" w:after="240"/>
        <w:rPr>
          <w:rFonts w:ascii="Calibri" w:eastAsia="Calibri" w:hAnsi="Calibri" w:cs="Arial"/>
          <w:rtl/>
        </w:rPr>
        <w:sectPr w:rsidR="001D49D4" w:rsidRPr="001D49D4">
          <w:headerReference w:type="default" r:id="rId75"/>
          <w:footnotePr>
            <w:numRestart w:val="eachPage"/>
          </w:footnotePr>
          <w:pgSz w:w="11906" w:h="16838"/>
          <w:pgMar w:top="720" w:right="1134" w:bottom="720" w:left="1134" w:header="0" w:footer="0" w:gutter="0"/>
          <w:cols w:space="720"/>
          <w:bidi/>
          <w:rtlGutter/>
        </w:sectPr>
      </w:pPr>
    </w:p>
    <w:p w14:paraId="2BCA79FB" w14:textId="77777777" w:rsidR="001D49D4" w:rsidRPr="001D49D4" w:rsidRDefault="001D49D4" w:rsidP="0004348D">
      <w:pPr>
        <w:keepNext/>
        <w:keepLines/>
        <w:spacing w:before="360" w:after="240"/>
        <w:outlineLvl w:val="0"/>
        <w:rPr>
          <w:rFonts w:ascii="Cambria" w:eastAsia="Times New Roman" w:hAnsi="Cambria" w:cs="Arial"/>
          <w:b/>
          <w:bCs/>
          <w:color w:val="365F91" w:themeColor="accent1" w:themeShade="BF"/>
          <w:sz w:val="28"/>
          <w:szCs w:val="28"/>
          <w:rtl/>
        </w:rPr>
      </w:pPr>
      <w:bookmarkStart w:id="724" w:name="_Toc24884137"/>
      <w:r w:rsidRPr="001D49D4">
        <w:rPr>
          <w:rFonts w:ascii="Cambria" w:eastAsia="Times New Roman" w:hAnsi="Cambria" w:cs="Arial"/>
          <w:b/>
          <w:bCs/>
          <w:color w:val="365F91" w:themeColor="accent1" w:themeShade="BF"/>
          <w:sz w:val="28"/>
          <w:szCs w:val="28"/>
          <w:rtl/>
        </w:rPr>
        <w:t>סימן סז: דין שמיטה ופרוזבול, ובו ל"ח סעיפים.</w:t>
      </w:r>
      <w:bookmarkEnd w:id="724"/>
      <w:r w:rsidRPr="001D49D4">
        <w:rPr>
          <w:rFonts w:ascii="Cambria" w:eastAsia="Times New Roman" w:hAnsi="Cambria" w:cs="Arial"/>
          <w:b/>
          <w:bCs/>
          <w:color w:val="365F91" w:themeColor="accent1" w:themeShade="BF"/>
          <w:sz w:val="28"/>
          <w:szCs w:val="28"/>
          <w:rtl/>
        </w:rPr>
        <w:t xml:space="preserve"> </w:t>
      </w:r>
    </w:p>
    <w:p w14:paraId="11B6534D" w14:textId="77777777" w:rsidR="001D49D4" w:rsidRPr="001D49D4" w:rsidRDefault="001D49D4" w:rsidP="0004348D">
      <w:pPr>
        <w:keepNext/>
        <w:keepLines/>
        <w:spacing w:before="360" w:after="240"/>
        <w:outlineLvl w:val="1"/>
        <w:rPr>
          <w:rFonts w:ascii="Cambria" w:eastAsia="Times New Roman" w:hAnsi="Cambria" w:cs="Arial"/>
          <w:bCs/>
          <w:color w:val="548DD4" w:themeColor="text2" w:themeTint="99"/>
          <w:sz w:val="26"/>
          <w:szCs w:val="26"/>
          <w:rtl/>
        </w:rPr>
      </w:pPr>
      <w:bookmarkStart w:id="725" w:name="_Toc24884138"/>
      <w:r w:rsidRPr="001D49D4">
        <w:rPr>
          <w:rFonts w:ascii="Cambria" w:eastAsia="Times New Roman" w:hAnsi="Cambria" w:cs="Arial"/>
          <w:bCs/>
          <w:color w:val="548DD4" w:themeColor="text2" w:themeTint="99"/>
          <w:sz w:val="26"/>
          <w:szCs w:val="26"/>
          <w:rtl/>
        </w:rPr>
        <w:t>סעיף א: שמיטת כספים בזמן הזה.</w:t>
      </w:r>
      <w:bookmarkEnd w:id="725"/>
    </w:p>
    <w:p w14:paraId="1AA65E88"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b/>
          <w:bCs/>
          <w:rtl/>
        </w:rPr>
        <w:t xml:space="preserve">דברים טו </w:t>
      </w:r>
      <w:r w:rsidRPr="001D49D4">
        <w:rPr>
          <w:rFonts w:ascii="Calibri" w:eastAsia="Calibri" w:hAnsi="Calibri" w:cs="Arial"/>
          <w:b/>
          <w:bCs/>
          <w:sz w:val="16"/>
          <w:szCs w:val="16"/>
          <w:rtl/>
        </w:rPr>
        <w:t>(פרשת ראה)</w:t>
      </w:r>
      <w:r w:rsidRPr="001D49D4">
        <w:rPr>
          <w:rFonts w:ascii="Calibri" w:eastAsia="Calibri" w:hAnsi="Calibri" w:cs="Arial"/>
          <w:b/>
          <w:bCs/>
          <w:rtl/>
        </w:rPr>
        <w:t>: (א)</w:t>
      </w:r>
      <w:r w:rsidRPr="001D49D4">
        <w:rPr>
          <w:rFonts w:ascii="Calibri" w:eastAsia="Calibri" w:hAnsi="Calibri" w:cs="Arial"/>
          <w:rtl/>
        </w:rPr>
        <w:t xml:space="preserve"> מִקֵּץ שֶׁבַע שָׁנִים תַּעֲשֶׂה שְׁמִטָּה: </w:t>
      </w:r>
      <w:r w:rsidRPr="001D49D4">
        <w:rPr>
          <w:rFonts w:ascii="Calibri" w:eastAsia="Calibri" w:hAnsi="Calibri" w:cs="Arial"/>
          <w:b/>
          <w:bCs/>
          <w:rtl/>
        </w:rPr>
        <w:t>(ב)</w:t>
      </w:r>
      <w:r w:rsidRPr="001D49D4">
        <w:rPr>
          <w:rFonts w:ascii="Calibri" w:eastAsia="Calibri" w:hAnsi="Calibri" w:cs="Arial"/>
          <w:rtl/>
        </w:rPr>
        <w:t xml:space="preserve"> וְזֶה דְּבַר הַשְּׁמִטָּה שָׁמוֹט כָּל בַּעַל מַשֵּׁה יָדוֹ אֲשֶׁר יַשֶּׁה בְּרֵעֵהוּ לֹא יִגֹּשׂ אֶת רֵעֵהוּ וְאֶת  אָחִיו כִּי קָרָא שְׁמִטָּה לַיקֹוָק: </w:t>
      </w:r>
      <w:r w:rsidRPr="001D49D4">
        <w:rPr>
          <w:rFonts w:ascii="Calibri" w:eastAsia="Calibri" w:hAnsi="Calibri" w:cs="Arial"/>
          <w:b/>
          <w:bCs/>
          <w:rtl/>
        </w:rPr>
        <w:t>(ג)</w:t>
      </w:r>
      <w:r w:rsidRPr="001D49D4">
        <w:rPr>
          <w:rFonts w:ascii="Calibri" w:eastAsia="Calibri" w:hAnsi="Calibri" w:cs="Arial"/>
          <w:rtl/>
        </w:rPr>
        <w:t xml:space="preserve"> אֶת הַנָּכְרִי תִּגֹּשׂ וַאֲשֶׁר יִהְיֶה לְךָ אֶת אָחִיךָ תַּשְׁמֵט יָדֶךָ: </w:t>
      </w:r>
    </w:p>
    <w:p w14:paraId="7B854BAA" w14:textId="77777777" w:rsidR="001D49D4" w:rsidRPr="001D49D4" w:rsidRDefault="001D49D4" w:rsidP="0004348D">
      <w:pPr>
        <w:spacing w:before="360" w:after="240"/>
        <w:rPr>
          <w:rFonts w:ascii="Calibri" w:eastAsia="Calibri" w:hAnsi="Calibri" w:cs="Arial"/>
          <w:rtl/>
        </w:rPr>
      </w:pPr>
      <w:bookmarkStart w:id="726" w:name="_Hlk16620870"/>
      <w:r w:rsidRPr="001D49D4">
        <w:rPr>
          <w:rFonts w:ascii="Calibri" w:eastAsia="Calibri" w:hAnsi="Calibri" w:cs="Arial"/>
          <w:b/>
          <w:bCs/>
          <w:rtl/>
        </w:rPr>
        <w:t xml:space="preserve">גיטין </w:t>
      </w:r>
      <w:r w:rsidRPr="001D49D4">
        <w:rPr>
          <w:rFonts w:ascii="Calibri" w:eastAsia="Calibri" w:hAnsi="Calibri" w:cs="Arial"/>
          <w:b/>
          <w:bCs/>
          <w:sz w:val="16"/>
          <w:szCs w:val="16"/>
          <w:rtl/>
        </w:rPr>
        <w:t xml:space="preserve">(פ' השולח) </w:t>
      </w:r>
      <w:r w:rsidRPr="001D49D4">
        <w:rPr>
          <w:rFonts w:ascii="Calibri" w:eastAsia="Calibri" w:hAnsi="Calibri" w:cs="Arial"/>
          <w:b/>
          <w:bCs/>
          <w:rtl/>
        </w:rPr>
        <w:t>לו</w:t>
      </w:r>
      <w:r w:rsidRPr="001D49D4">
        <w:rPr>
          <w:rFonts w:ascii="Calibri" w:eastAsia="Calibri" w:hAnsi="Calibri" w:cs="Arial"/>
          <w:b/>
          <w:bCs/>
          <w:vertAlign w:val="superscript"/>
          <w:rtl/>
        </w:rPr>
        <w:footnoteReference w:id="5251"/>
      </w:r>
      <w:r w:rsidRPr="001D49D4">
        <w:rPr>
          <w:rFonts w:ascii="Calibri" w:eastAsia="Calibri" w:hAnsi="Calibri" w:cs="Arial"/>
          <w:b/>
          <w:bCs/>
          <w:rtl/>
        </w:rPr>
        <w:t xml:space="preserve"> ע"א: </w:t>
      </w:r>
      <w:r w:rsidRPr="001D49D4">
        <w:rPr>
          <w:rFonts w:ascii="Calibri" w:eastAsia="Calibri" w:hAnsi="Calibri" w:cs="Arial"/>
          <w:rtl/>
        </w:rPr>
        <w:t xml:space="preserve">הלל התקין פרוסבול וכו'... ומי איכא מידי דמדאורייתא משמטא שביעית, והתקין הלל דלא משמטא? </w:t>
      </w:r>
      <w:r w:rsidRPr="001D49D4">
        <w:rPr>
          <w:rFonts w:ascii="Calibri" w:eastAsia="Calibri" w:hAnsi="Calibri" w:cs="Arial"/>
          <w:u w:val="single"/>
          <w:rtl/>
        </w:rPr>
        <w:t>אמר אביי</w:t>
      </w:r>
      <w:r w:rsidRPr="001D49D4">
        <w:rPr>
          <w:rFonts w:ascii="Calibri" w:eastAsia="Calibri" w:hAnsi="Calibri" w:cs="Arial"/>
          <w:rtl/>
        </w:rPr>
        <w:t xml:space="preserve">: בשביעית בזמן הזה, ורבי היא, דתניא, </w:t>
      </w:r>
      <w:r w:rsidRPr="001D49D4">
        <w:rPr>
          <w:rFonts w:ascii="Calibri" w:eastAsia="Calibri" w:hAnsi="Calibri" w:cs="Arial"/>
          <w:u w:val="single"/>
          <w:rtl/>
        </w:rPr>
        <w:t>רבי אומר</w:t>
      </w:r>
      <w:r w:rsidRPr="001D49D4">
        <w:rPr>
          <w:rFonts w:ascii="Calibri" w:eastAsia="Calibri" w:hAnsi="Calibri" w:cs="Arial"/>
          <w:rtl/>
        </w:rPr>
        <w:t xml:space="preserve">: וזה דבר השמיטה שמוט - בשתי שמיטות הכתוב מדבר, אחת שמיטת קרקע ואחת שמיטת כספים, בזמן שאתה משמט קרקע - אתה משמט כספים, בזמן שאי אתה משמט קרקע - אי אתה משמט כספים; </w:t>
      </w:r>
      <w:r w:rsidRPr="001D49D4">
        <w:rPr>
          <w:rFonts w:ascii="Calibri" w:eastAsia="Calibri" w:hAnsi="Calibri" w:cs="Arial"/>
          <w:sz w:val="14"/>
          <w:szCs w:val="14"/>
          <w:rtl/>
        </w:rPr>
        <w:t xml:space="preserve">(לו:) </w:t>
      </w:r>
      <w:r w:rsidRPr="001D49D4">
        <w:rPr>
          <w:rFonts w:ascii="Calibri" w:eastAsia="Calibri" w:hAnsi="Calibri" w:cs="Arial"/>
          <w:rtl/>
        </w:rPr>
        <w:t>ותקינו רבנן דתשמט זכר לשביעית.</w:t>
      </w:r>
    </w:p>
    <w:bookmarkEnd w:id="726"/>
    <w:p w14:paraId="43B4A4CE" w14:textId="77777777" w:rsidR="001D49D4" w:rsidRPr="001D49D4" w:rsidRDefault="001D49D4" w:rsidP="0004348D">
      <w:pPr>
        <w:spacing w:before="360" w:after="240"/>
        <w:rPr>
          <w:rFonts w:ascii="Calibri" w:eastAsia="Calibri" w:hAnsi="Calibri" w:cs="Arial"/>
          <w:u w:val="single"/>
          <w:rtl/>
        </w:rPr>
      </w:pPr>
      <w:r w:rsidRPr="001D49D4">
        <w:rPr>
          <w:rFonts w:ascii="Calibri" w:eastAsia="Calibri" w:hAnsi="Calibri" w:cs="Arial"/>
          <w:u w:val="single"/>
          <w:rtl/>
        </w:rPr>
        <w:t>שמיטת כספים – בזמן הזה:</w:t>
      </w:r>
    </w:p>
    <w:p w14:paraId="042349FB" w14:textId="77777777" w:rsidR="001D49D4" w:rsidRPr="001D49D4" w:rsidRDefault="001D49D4" w:rsidP="0004348D">
      <w:pPr>
        <w:numPr>
          <w:ilvl w:val="0"/>
          <w:numId w:val="342"/>
        </w:numPr>
        <w:spacing w:before="360" w:after="240"/>
        <w:contextualSpacing/>
        <w:rPr>
          <w:rFonts w:ascii="Calibri" w:eastAsia="Calibri" w:hAnsi="Calibri" w:cs="Arial"/>
          <w:rtl/>
        </w:rPr>
      </w:pPr>
      <w:r w:rsidRPr="001D49D4">
        <w:rPr>
          <w:rFonts w:ascii="Calibri" w:eastAsia="Calibri" w:hAnsi="Calibri" w:cs="Arial"/>
          <w:rtl/>
        </w:rPr>
        <w:t>גאונים רי"ף רש"י בהעי"ט רמב"ם רמב"ן רשב"א בעל התרומות טור ור"ן</w:t>
      </w:r>
      <w:r w:rsidRPr="001D49D4">
        <w:rPr>
          <w:rFonts w:ascii="Calibri" w:eastAsia="Calibri" w:hAnsi="Calibri" w:cs="Arial"/>
          <w:vertAlign w:val="superscript"/>
          <w:rtl/>
        </w:rPr>
        <w:footnoteReference w:id="5252"/>
      </w:r>
      <w:r w:rsidRPr="001D49D4">
        <w:rPr>
          <w:rFonts w:ascii="Calibri" w:eastAsia="Calibri" w:hAnsi="Calibri" w:cs="Arial"/>
          <w:rtl/>
        </w:rPr>
        <w:t>- מדברי סופרים שתהא שמיטת כספים נוהגת בזמן הזה בכל מקום, ואע"פ שאין היובל נוהג כדי שלא תשתכח תורת שמיטת הכספים מישראל</w:t>
      </w:r>
      <w:r w:rsidRPr="001D49D4">
        <w:rPr>
          <w:rFonts w:ascii="Calibri" w:eastAsia="Calibri" w:hAnsi="Calibri" w:cs="Arial"/>
          <w:sz w:val="16"/>
          <w:szCs w:val="16"/>
          <w:rtl/>
        </w:rPr>
        <w:t xml:space="preserve"> (ל' הרמב"ם)</w:t>
      </w:r>
      <w:r w:rsidRPr="001D49D4">
        <w:rPr>
          <w:rFonts w:ascii="Calibri" w:eastAsia="Calibri" w:hAnsi="Calibri" w:cs="Arial"/>
          <w:rtl/>
        </w:rPr>
        <w:t>.</w:t>
      </w:r>
      <w:r w:rsidRPr="001D49D4">
        <w:rPr>
          <w:rFonts w:ascii="Calibri" w:eastAsia="Calibri" w:hAnsi="Calibri" w:cs="Arial"/>
          <w:color w:val="E36C0A" w:themeColor="accent6" w:themeShade="BF"/>
          <w:rtl/>
        </w:rPr>
        <w:t xml:space="preserve"> (וכ"פ בשו"ע)</w:t>
      </w:r>
    </w:p>
    <w:p w14:paraId="58D9DF2D" w14:textId="77777777" w:rsidR="001D49D4" w:rsidRPr="001D49D4" w:rsidRDefault="001D49D4" w:rsidP="0004348D">
      <w:pPr>
        <w:numPr>
          <w:ilvl w:val="0"/>
          <w:numId w:val="342"/>
        </w:numPr>
        <w:spacing w:before="360" w:after="240"/>
        <w:contextualSpacing/>
        <w:rPr>
          <w:rFonts w:ascii="Calibri" w:eastAsia="Calibri" w:hAnsi="Calibri" w:cs="Arial"/>
        </w:rPr>
      </w:pPr>
      <w:r w:rsidRPr="001D49D4">
        <w:rPr>
          <w:rFonts w:ascii="Calibri" w:eastAsia="Calibri" w:hAnsi="Calibri" w:cs="Arial"/>
          <w:rtl/>
        </w:rPr>
        <w:t xml:space="preserve">רז"ה </w:t>
      </w:r>
      <w:r w:rsidRPr="001D49D4">
        <w:rPr>
          <w:rFonts w:ascii="Calibri" w:eastAsia="Calibri" w:hAnsi="Calibri" w:cs="Arial"/>
          <w:sz w:val="16"/>
          <w:szCs w:val="16"/>
          <w:rtl/>
        </w:rPr>
        <w:t>(בתשו', הביאו בעל התרומות שם)</w:t>
      </w:r>
      <w:r w:rsidRPr="001D49D4">
        <w:rPr>
          <w:rFonts w:ascii="Calibri" w:eastAsia="Calibri" w:hAnsi="Calibri" w:cs="Arial"/>
          <w:rtl/>
        </w:rPr>
        <w:t>- אינה נוהגת אלא בזמן שהיה ב"ד קבוע בארץ ישראל שהיה מקדש היובל, ואע"ג שאין היובל נוהג אלא בזמן שכל יושביה עליה, מ"מ היו מקדשין אותו מדבריהם. אבל בזמן הזה שבטל היובל לגמרי אפילו מדבריהם ונמצא שאין כאן שמטת קרקע - אף השמטה אינה נוהגת כלל, דשמטת קרקעות ושמטת כספים תלוי בהדדי כדאמרינן בגמרא</w:t>
      </w:r>
      <w:r w:rsidRPr="001D49D4">
        <w:rPr>
          <w:rFonts w:ascii="Calibri" w:eastAsia="Calibri" w:hAnsi="Calibri" w:cs="Arial"/>
          <w:vertAlign w:val="superscript"/>
          <w:rtl/>
        </w:rPr>
        <w:footnoteReference w:id="5253"/>
      </w:r>
      <w:r w:rsidRPr="001D49D4">
        <w:rPr>
          <w:rFonts w:ascii="Calibri" w:eastAsia="Calibri" w:hAnsi="Calibri" w:cs="Arial"/>
          <w:rtl/>
        </w:rPr>
        <w:t xml:space="preserve">. </w:t>
      </w:r>
    </w:p>
    <w:p w14:paraId="395395A5" w14:textId="77777777" w:rsidR="001D49D4" w:rsidRPr="001D49D4" w:rsidRDefault="001D49D4" w:rsidP="0004348D">
      <w:pPr>
        <w:numPr>
          <w:ilvl w:val="0"/>
          <w:numId w:val="342"/>
        </w:numPr>
        <w:spacing w:before="360" w:after="240"/>
        <w:contextualSpacing/>
        <w:rPr>
          <w:rFonts w:ascii="Calibri" w:eastAsia="Calibri" w:hAnsi="Calibri" w:cs="Arial"/>
        </w:rPr>
      </w:pPr>
      <w:r w:rsidRPr="001D49D4">
        <w:rPr>
          <w:rFonts w:ascii="Calibri" w:eastAsia="Calibri" w:hAnsi="Calibri" w:cs="Arial"/>
          <w:rtl/>
        </w:rPr>
        <w:t xml:space="preserve">ר"י אלברצלוני </w:t>
      </w:r>
      <w:r w:rsidRPr="001D49D4">
        <w:rPr>
          <w:rFonts w:ascii="Calibri" w:eastAsia="Calibri" w:hAnsi="Calibri" w:cs="Arial"/>
          <w:sz w:val="16"/>
          <w:szCs w:val="16"/>
          <w:rtl/>
        </w:rPr>
        <w:t>(הביאו הרמב"ן שם)</w:t>
      </w:r>
      <w:r w:rsidRPr="001D49D4">
        <w:rPr>
          <w:rFonts w:ascii="Calibri" w:eastAsia="Calibri" w:hAnsi="Calibri" w:cs="Arial"/>
          <w:rtl/>
        </w:rPr>
        <w:t>- אין שמטת כספים נוהגת בחו"ל בזמן הזה.</w:t>
      </w:r>
    </w:p>
    <w:p w14:paraId="56A09BAE"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u w:val="single"/>
          <w:rtl/>
        </w:rPr>
        <w:t>מקום שלא נוהגים בו שמיטת כספים:</w:t>
      </w:r>
    </w:p>
    <w:p w14:paraId="6A8139A6" w14:textId="77777777" w:rsidR="001D49D4" w:rsidRPr="001D49D4" w:rsidRDefault="001D49D4" w:rsidP="0004348D">
      <w:pPr>
        <w:numPr>
          <w:ilvl w:val="0"/>
          <w:numId w:val="343"/>
        </w:numPr>
        <w:spacing w:before="360" w:after="240"/>
        <w:contextualSpacing/>
        <w:rPr>
          <w:rFonts w:ascii="Calibri" w:eastAsia="Calibri" w:hAnsi="Calibri" w:cs="Arial"/>
          <w:rtl/>
        </w:rPr>
      </w:pPr>
      <w:r w:rsidRPr="001D49D4">
        <w:rPr>
          <w:rFonts w:ascii="Calibri" w:eastAsia="Calibri" w:hAnsi="Calibri" w:cs="Arial"/>
          <w:rtl/>
        </w:rPr>
        <w:t xml:space="preserve">רא"ש </w:t>
      </w:r>
      <w:r w:rsidRPr="001D49D4">
        <w:rPr>
          <w:rFonts w:ascii="Calibri" w:eastAsia="Calibri" w:hAnsi="Calibri" w:cs="Arial"/>
          <w:sz w:val="16"/>
          <w:szCs w:val="16"/>
          <w:rtl/>
        </w:rPr>
        <w:t>(כלל עז סי' ד)</w:t>
      </w:r>
      <w:r w:rsidRPr="001D49D4">
        <w:rPr>
          <w:rFonts w:ascii="Calibri" w:eastAsia="Calibri" w:hAnsi="Calibri" w:cs="Arial"/>
          <w:rtl/>
        </w:rPr>
        <w:t>- ששאלת שנוהגין בארץ הזאת לגבות שטרות שעברה עליהן שביעית. הוי יודע שתמהתי על זה מיום בואי לארץ הזאת וצווחתי ככרוכיא ולית דמשגח בי. ואמרו כי כבר נהגו כן בארץ הזאת וא"א לשנות המנהג. ואמרתי מנהג כזה שהוא לעבור על דברי תורה ולהוציא ממון שלא כדין אין לילך אחריו. ואמרו לי כי הרבה יפוי לשון רגילין לכתוב בשטרות שהן מורין על זה שלא תהא שביעית משמטתו. ודקדקתי ולא מצאתי שום תנאי ויפוי לשון שיורה על דרך זה</w:t>
      </w:r>
      <w:r w:rsidRPr="001D49D4">
        <w:rPr>
          <w:rFonts w:ascii="Calibri" w:eastAsia="Calibri" w:hAnsi="Calibri" w:cs="Arial"/>
          <w:vertAlign w:val="superscript"/>
          <w:rtl/>
        </w:rPr>
        <w:footnoteReference w:id="5254"/>
      </w:r>
      <w:r w:rsidRPr="001D49D4">
        <w:rPr>
          <w:rFonts w:ascii="Calibri" w:eastAsia="Calibri" w:hAnsi="Calibri" w:cs="Arial"/>
          <w:rtl/>
        </w:rPr>
        <w:t>.</w:t>
      </w:r>
    </w:p>
    <w:p w14:paraId="7A8D9488" w14:textId="77777777" w:rsidR="001D49D4" w:rsidRPr="001D49D4" w:rsidRDefault="001D49D4" w:rsidP="0004348D">
      <w:pPr>
        <w:spacing w:before="360" w:after="240"/>
        <w:rPr>
          <w:rFonts w:ascii="Calibri" w:eastAsia="Calibri" w:hAnsi="Calibri" w:cs="Arial"/>
          <w:u w:val="single"/>
        </w:rPr>
      </w:pPr>
      <w:r w:rsidRPr="001D49D4">
        <w:rPr>
          <w:rFonts w:ascii="Calibri" w:eastAsia="Calibri" w:hAnsi="Calibri" w:cs="Arial"/>
          <w:u w:val="single"/>
          <w:rtl/>
        </w:rPr>
        <w:t>חשבון שנת השמיטה:</w:t>
      </w:r>
    </w:p>
    <w:p w14:paraId="24880F95" w14:textId="77777777" w:rsidR="001D49D4" w:rsidRPr="001D49D4" w:rsidRDefault="001D49D4" w:rsidP="0004348D">
      <w:pPr>
        <w:numPr>
          <w:ilvl w:val="0"/>
          <w:numId w:val="343"/>
        </w:numPr>
        <w:spacing w:before="360" w:after="240"/>
        <w:contextualSpacing/>
        <w:rPr>
          <w:rFonts w:ascii="Calibri" w:eastAsia="Calibri" w:hAnsi="Calibri" w:cs="Arial"/>
        </w:rPr>
      </w:pPr>
      <w:r w:rsidRPr="001D49D4">
        <w:rPr>
          <w:rFonts w:ascii="Calibri" w:eastAsia="Calibri" w:hAnsi="Calibri" w:cs="Arial"/>
          <w:rtl/>
        </w:rPr>
        <w:t xml:space="preserve">רש"י </w:t>
      </w:r>
      <w:r w:rsidRPr="001D49D4">
        <w:rPr>
          <w:rFonts w:ascii="Calibri" w:eastAsia="Calibri" w:hAnsi="Calibri" w:cs="Arial"/>
          <w:sz w:val="16"/>
          <w:szCs w:val="16"/>
          <w:rtl/>
        </w:rPr>
        <w:t>(כ"כ הטור בשמו)</w:t>
      </w:r>
      <w:r w:rsidRPr="001D49D4">
        <w:rPr>
          <w:rFonts w:ascii="Calibri" w:eastAsia="Calibri" w:hAnsi="Calibri" w:cs="Arial"/>
          <w:rtl/>
        </w:rPr>
        <w:t xml:space="preserve"> רא"ש </w:t>
      </w:r>
      <w:r w:rsidRPr="001D49D4">
        <w:rPr>
          <w:rFonts w:ascii="Calibri" w:eastAsia="Calibri" w:hAnsi="Calibri" w:cs="Arial"/>
          <w:sz w:val="16"/>
          <w:szCs w:val="16"/>
          <w:rtl/>
        </w:rPr>
        <w:t>(פ"ק דע"ז סי' ז, כ"כ הב"י בשמו)</w:t>
      </w:r>
      <w:r w:rsidRPr="001D49D4">
        <w:rPr>
          <w:rFonts w:ascii="Calibri" w:eastAsia="Calibri" w:hAnsi="Calibri" w:cs="Arial"/>
          <w:rtl/>
        </w:rPr>
        <w:t xml:space="preserve"> וטור- שנת השמיטה היתה בשנת פ"ז</w:t>
      </w:r>
      <w:r w:rsidRPr="001D49D4">
        <w:rPr>
          <w:rFonts w:ascii="Calibri" w:eastAsia="Calibri" w:hAnsi="Calibri" w:cs="Arial"/>
          <w:vertAlign w:val="superscript"/>
          <w:rtl/>
        </w:rPr>
        <w:footnoteReference w:id="5255"/>
      </w:r>
      <w:r w:rsidRPr="001D49D4">
        <w:rPr>
          <w:rFonts w:ascii="Calibri" w:eastAsia="Calibri" w:hAnsi="Calibri" w:cs="Arial"/>
          <w:rtl/>
        </w:rPr>
        <w:t xml:space="preserve"> </w:t>
      </w:r>
      <w:r w:rsidRPr="001D49D4">
        <w:rPr>
          <w:rFonts w:ascii="Calibri" w:eastAsia="Calibri" w:hAnsi="Calibri" w:cs="Arial"/>
          <w:sz w:val="16"/>
          <w:szCs w:val="16"/>
          <w:rtl/>
        </w:rPr>
        <w:t>{לאלף הששי לבריאת העולם}</w:t>
      </w:r>
      <w:r w:rsidRPr="001D49D4">
        <w:rPr>
          <w:rFonts w:ascii="Calibri" w:eastAsia="Calibri" w:hAnsi="Calibri" w:cs="Arial"/>
          <w:rtl/>
        </w:rPr>
        <w:t>.</w:t>
      </w:r>
    </w:p>
    <w:p w14:paraId="12CA8972" w14:textId="77777777" w:rsidR="001D49D4" w:rsidRPr="001D49D4" w:rsidRDefault="001D49D4" w:rsidP="0004348D">
      <w:pPr>
        <w:numPr>
          <w:ilvl w:val="0"/>
          <w:numId w:val="343"/>
        </w:numPr>
        <w:spacing w:before="360" w:after="240"/>
        <w:contextualSpacing/>
        <w:rPr>
          <w:rFonts w:ascii="Calibri" w:eastAsia="Calibri" w:hAnsi="Calibri" w:cs="Arial"/>
        </w:rPr>
      </w:pPr>
      <w:r w:rsidRPr="001D49D4">
        <w:rPr>
          <w:rFonts w:ascii="Calibri" w:eastAsia="Calibri" w:hAnsi="Calibri" w:cs="Arial"/>
          <w:rtl/>
        </w:rPr>
        <w:t xml:space="preserve">(ר"י </w:t>
      </w:r>
      <w:r w:rsidRPr="001D49D4">
        <w:rPr>
          <w:rFonts w:ascii="Calibri" w:eastAsia="Calibri" w:hAnsi="Calibri" w:cs="Arial"/>
          <w:sz w:val="16"/>
          <w:szCs w:val="16"/>
          <w:rtl/>
        </w:rPr>
        <w:t>להב' הרא"ש והטור</w:t>
      </w:r>
      <w:r w:rsidRPr="001D49D4">
        <w:rPr>
          <w:rFonts w:ascii="Calibri" w:eastAsia="Calibri" w:hAnsi="Calibri" w:cs="Arial"/>
          <w:rtl/>
        </w:rPr>
        <w:t>)- שנת השמיטה היתה בשנת פ"ח</w:t>
      </w:r>
      <w:r w:rsidRPr="001D49D4">
        <w:rPr>
          <w:rFonts w:ascii="Calibri" w:eastAsia="Calibri" w:hAnsi="Calibri" w:cs="Arial"/>
          <w:sz w:val="16"/>
          <w:szCs w:val="16"/>
          <w:rtl/>
        </w:rPr>
        <w:t xml:space="preserve"> {לאלף הששי לבריאת העולם}</w:t>
      </w:r>
      <w:r w:rsidRPr="001D49D4">
        <w:rPr>
          <w:rFonts w:ascii="Calibri" w:eastAsia="Calibri" w:hAnsi="Calibri" w:cs="Arial"/>
          <w:rtl/>
        </w:rPr>
        <w:t>.</w:t>
      </w:r>
    </w:p>
    <w:p w14:paraId="7F07845F" w14:textId="77777777" w:rsidR="001D49D4" w:rsidRPr="001D49D4" w:rsidRDefault="001D49D4" w:rsidP="0004348D">
      <w:pPr>
        <w:numPr>
          <w:ilvl w:val="0"/>
          <w:numId w:val="343"/>
        </w:numPr>
        <w:spacing w:before="360" w:after="240"/>
        <w:contextualSpacing/>
        <w:rPr>
          <w:rFonts w:ascii="Calibri" w:eastAsia="Calibri" w:hAnsi="Calibri" w:cs="Arial"/>
        </w:rPr>
      </w:pPr>
      <w:r w:rsidRPr="001D49D4">
        <w:rPr>
          <w:rFonts w:ascii="Calibri" w:eastAsia="Calibri" w:hAnsi="Calibri" w:cs="Arial"/>
          <w:rtl/>
        </w:rPr>
        <w:t xml:space="preserve">(ר"י </w:t>
      </w:r>
      <w:r w:rsidRPr="001D49D4">
        <w:rPr>
          <w:rFonts w:ascii="Calibri" w:eastAsia="Calibri" w:hAnsi="Calibri" w:cs="Arial"/>
          <w:sz w:val="16"/>
          <w:szCs w:val="16"/>
          <w:rtl/>
        </w:rPr>
        <w:t>להב' מהרלב"ח</w:t>
      </w:r>
      <w:r w:rsidRPr="001D49D4">
        <w:rPr>
          <w:rFonts w:ascii="Calibri" w:eastAsia="Calibri" w:hAnsi="Calibri" w:cs="Arial"/>
          <w:rtl/>
        </w:rPr>
        <w:t>) ורמב"ם</w:t>
      </w:r>
      <w:r w:rsidRPr="001D49D4">
        <w:rPr>
          <w:rFonts w:ascii="Calibri" w:eastAsia="Calibri" w:hAnsi="Calibri" w:cs="Arial"/>
          <w:sz w:val="16"/>
          <w:szCs w:val="16"/>
          <w:rtl/>
        </w:rPr>
        <w:t xml:space="preserve"> (פ"י מהל' שמיטה ה"ו)</w:t>
      </w:r>
      <w:r w:rsidRPr="001D49D4">
        <w:rPr>
          <w:rFonts w:ascii="Calibri" w:eastAsia="Calibri" w:hAnsi="Calibri" w:cs="Arial"/>
          <w:rtl/>
        </w:rPr>
        <w:t>- ושנת השמטה ידועה היא ומפורסמת אצל הגאונים ואנשי א"י, וכולן לא מנו אלא לשני חורבן משליכין אותן שבע שבע, ולפי חשבון זה תהי שנה זו שהיא שנת שבע ומאה ואלף לחרבן מוצאי שביעית</w:t>
      </w:r>
      <w:r w:rsidRPr="001D49D4">
        <w:rPr>
          <w:rFonts w:ascii="Calibri" w:eastAsia="Calibri" w:hAnsi="Calibri" w:cs="Arial"/>
          <w:vertAlign w:val="superscript"/>
          <w:rtl/>
        </w:rPr>
        <w:footnoteReference w:id="5256"/>
      </w:r>
      <w:r w:rsidRPr="001D49D4">
        <w:rPr>
          <w:rFonts w:ascii="Calibri" w:eastAsia="Calibri" w:hAnsi="Calibri" w:cs="Arial"/>
          <w:rtl/>
        </w:rPr>
        <w:t>, ועל זה אנו סומכין, וכפי החשבון זה אנו מורין לענין מעשרות ושביעית והשמטת כספים שהקבלה והמעשה עמודים גדולים בהוראה ובהן ראוי להתלות</w:t>
      </w:r>
      <w:r w:rsidRPr="001D49D4">
        <w:rPr>
          <w:rFonts w:ascii="Calibri" w:eastAsia="Calibri" w:hAnsi="Calibri" w:cs="Arial"/>
          <w:sz w:val="16"/>
          <w:szCs w:val="16"/>
          <w:rtl/>
        </w:rPr>
        <w:t xml:space="preserve"> (ל' הרמב"ם)</w:t>
      </w:r>
      <w:r w:rsidRPr="001D49D4">
        <w:rPr>
          <w:rFonts w:ascii="Calibri" w:eastAsia="Calibri" w:hAnsi="Calibri" w:cs="Arial"/>
          <w:rtl/>
        </w:rPr>
        <w:t>.</w:t>
      </w:r>
    </w:p>
    <w:p w14:paraId="5E6E25EC" w14:textId="77777777" w:rsidR="001D49D4" w:rsidRPr="001D49D4" w:rsidRDefault="001D49D4" w:rsidP="0004348D">
      <w:pPr>
        <w:numPr>
          <w:ilvl w:val="1"/>
          <w:numId w:val="343"/>
        </w:numPr>
        <w:spacing w:before="360" w:after="240"/>
        <w:contextualSpacing/>
        <w:rPr>
          <w:rFonts w:ascii="Calibri" w:eastAsia="Calibri" w:hAnsi="Calibri" w:cs="Arial"/>
        </w:rPr>
      </w:pPr>
      <w:r w:rsidRPr="001D49D4">
        <w:rPr>
          <w:rFonts w:ascii="Calibri" w:eastAsia="Calibri" w:hAnsi="Calibri" w:cs="Arial"/>
          <w:rtl/>
        </w:rPr>
        <w:t xml:space="preserve">ב"י- והיום חמשים שנה נפל מחלוקת גדולה בין חכמי ארץ ישראל ומלכות מצרים בדבר זה, ומהרלב"ח </w:t>
      </w:r>
      <w:r w:rsidRPr="001D49D4">
        <w:rPr>
          <w:rFonts w:ascii="Calibri" w:eastAsia="Calibri" w:hAnsi="Calibri" w:cs="Arial"/>
          <w:sz w:val="16"/>
          <w:szCs w:val="16"/>
          <w:rtl/>
        </w:rPr>
        <w:t xml:space="preserve">(תשו' סי' קמג פירות שביעית) </w:t>
      </w:r>
      <w:r w:rsidRPr="001D49D4">
        <w:rPr>
          <w:rFonts w:ascii="Calibri" w:eastAsia="Calibri" w:hAnsi="Calibri" w:cs="Arial"/>
          <w:rtl/>
        </w:rPr>
        <w:t xml:space="preserve">הסכים שהשנה השביעית האמיתית היא אשר סמך עליה הרמב"ם בפ"י מהלכות שמיטה </w:t>
      </w:r>
      <w:r w:rsidRPr="001D49D4">
        <w:rPr>
          <w:rFonts w:ascii="Calibri" w:eastAsia="Calibri" w:hAnsi="Calibri" w:cs="Arial"/>
          <w:sz w:val="16"/>
          <w:szCs w:val="16"/>
          <w:rtl/>
        </w:rPr>
        <w:t>(ה"ו)</w:t>
      </w:r>
      <w:r w:rsidRPr="001D49D4">
        <w:rPr>
          <w:rFonts w:ascii="Calibri" w:eastAsia="Calibri" w:hAnsi="Calibri" w:cs="Arial"/>
          <w:rtl/>
        </w:rPr>
        <w:t xml:space="preserve">, והסכים דעת ר"י לדעת הרמב"ם, וכתב שלדעתם שנת הרס"ד </w:t>
      </w:r>
      <w:r w:rsidRPr="001D49D4">
        <w:rPr>
          <w:rFonts w:ascii="Calibri" w:eastAsia="Calibri" w:hAnsi="Calibri" w:cs="Arial"/>
          <w:sz w:val="16"/>
          <w:szCs w:val="16"/>
          <w:rtl/>
        </w:rPr>
        <w:t xml:space="preserve">{לבריאת העולם} </w:t>
      </w:r>
      <w:r w:rsidRPr="001D49D4">
        <w:rPr>
          <w:rFonts w:ascii="Calibri" w:eastAsia="Calibri" w:hAnsi="Calibri" w:cs="Arial"/>
          <w:rtl/>
        </w:rPr>
        <w:t xml:space="preserve">היתה שמיטה, וכן ראיתי אני </w:t>
      </w:r>
      <w:r w:rsidRPr="001D49D4">
        <w:rPr>
          <w:rFonts w:ascii="Calibri" w:eastAsia="Calibri" w:hAnsi="Calibri" w:cs="Arial"/>
          <w:sz w:val="16"/>
          <w:szCs w:val="16"/>
          <w:rtl/>
        </w:rPr>
        <w:t xml:space="preserve">{מהר"י קארו} </w:t>
      </w:r>
      <w:r w:rsidRPr="001D49D4">
        <w:rPr>
          <w:rFonts w:ascii="Calibri" w:eastAsia="Calibri" w:hAnsi="Calibri" w:cs="Arial"/>
          <w:rtl/>
        </w:rPr>
        <w:t>במצרים ששנת השמיטה היא מקובלת שם שהיתה שנת הרע"א, וזה עולה כהסכמת הה"ר לוי ז"ל, ונראה שכך עלתה הסכמת כל החכמים הנזכרים, שכך נוהגים בארץ ישראל ששנת הרצ"ט ושנת ש"ו ושנת שי"ג השמיטו, וזה עולה כהסכמה הנזכרת</w:t>
      </w:r>
      <w:r w:rsidRPr="001D49D4">
        <w:rPr>
          <w:rFonts w:ascii="Calibri" w:eastAsia="Calibri" w:hAnsi="Calibri" w:cs="Arial"/>
          <w:vertAlign w:val="superscript"/>
          <w:rtl/>
        </w:rPr>
        <w:footnoteReference w:id="5257"/>
      </w:r>
      <w:r w:rsidRPr="001D49D4">
        <w:rPr>
          <w:rFonts w:ascii="Calibri" w:eastAsia="Calibri" w:hAnsi="Calibri" w:cs="Arial"/>
          <w:rtl/>
        </w:rPr>
        <w:t>.</w:t>
      </w:r>
      <w:r w:rsidRPr="001D49D4">
        <w:rPr>
          <w:rFonts w:ascii="Calibri" w:eastAsia="Calibri" w:hAnsi="Calibri" w:cs="Arial"/>
          <w:color w:val="00B0F0"/>
          <w:rtl/>
        </w:rPr>
        <w:t xml:space="preserve"> (וכ"פ הרמ"א)</w:t>
      </w:r>
    </w:p>
    <w:p w14:paraId="42B1C0DA" w14:textId="77777777" w:rsidR="001D49D4" w:rsidRPr="001D49D4" w:rsidRDefault="001D49D4" w:rsidP="0004348D">
      <w:pPr>
        <w:spacing w:before="360" w:after="240"/>
        <w:rPr>
          <w:rFonts w:ascii="Arial" w:eastAsia="Calibri" w:hAnsi="Arial" w:cs="Arial"/>
          <w:b/>
          <w:bCs/>
          <w:color w:val="000000"/>
          <w:sz w:val="28"/>
          <w:szCs w:val="28"/>
          <w:u w:val="single"/>
        </w:rPr>
      </w:pPr>
      <w:r w:rsidRPr="001D49D4">
        <w:rPr>
          <w:rFonts w:ascii="Arial" w:eastAsia="Calibri" w:hAnsi="Arial" w:cs="Arial"/>
          <w:b/>
          <w:bCs/>
          <w:color w:val="000000"/>
          <w:sz w:val="28"/>
          <w:szCs w:val="28"/>
          <w:u w:val="single"/>
          <w:rtl/>
        </w:rPr>
        <w:t>שו"ע:</w:t>
      </w:r>
    </w:p>
    <w:p w14:paraId="3840372C"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rtl/>
        </w:rPr>
        <w:t>אין שמיטת כספים נוהגת מן התורה,אלא בזמן שהיובל נוהג. ומדברי סופרים</w:t>
      </w:r>
      <w:r w:rsidRPr="001D49D4">
        <w:rPr>
          <w:rFonts w:ascii="Calibri" w:eastAsia="Calibri" w:hAnsi="Calibri" w:cs="Arial"/>
          <w:vertAlign w:val="superscript"/>
          <w:rtl/>
        </w:rPr>
        <w:footnoteReference w:id="5258"/>
      </w:r>
      <w:r w:rsidRPr="001D49D4">
        <w:rPr>
          <w:rFonts w:ascii="Calibri" w:eastAsia="Calibri" w:hAnsi="Calibri" w:cs="Arial"/>
          <w:rtl/>
        </w:rPr>
        <w:t xml:space="preserve"> שתהא שמיטת כספים נוהגת בזמן הזה, בכל מקום</w:t>
      </w:r>
      <w:r w:rsidRPr="001D49D4">
        <w:rPr>
          <w:rFonts w:ascii="Calibri" w:eastAsia="Calibri" w:hAnsi="Calibri" w:cs="Arial"/>
          <w:sz w:val="18"/>
          <w:szCs w:val="18"/>
          <w:rtl/>
        </w:rPr>
        <w:t>. הגה: כן הוא הסכמת הפוסקים. אבל י"א דאין שמיטה נוהגת בזמן הזה, ונראה שעליהם סמכו במדינות אלו שאין נוהגים דין שמיטה כלל בזמן הזה, והמנהג היו נוהגים עדין בזמן הרא"ש, כמו שכתוב בתשובה שהיה צווח ככרוכיא לבטל המנהג, ולא אשגחו ביה, וכבר כתבו גם כן האחרונים ז"ל טעם למנהג שאין נוהגין שמיטה כמבואר בדברי מהרי"ק שורש צ"ב ומהר"ר איסרלן בתרוה"ד סימן ש"ד ובמהרי"ל, ואין לדקדק אחריהם</w:t>
      </w:r>
      <w:r w:rsidRPr="001D49D4">
        <w:rPr>
          <w:rFonts w:ascii="Calibri" w:eastAsia="Calibri" w:hAnsi="Calibri" w:cs="Arial"/>
          <w:sz w:val="18"/>
          <w:szCs w:val="18"/>
          <w:vertAlign w:val="superscript"/>
          <w:rtl/>
        </w:rPr>
        <w:footnoteReference w:id="5259"/>
      </w:r>
      <w:r w:rsidRPr="001D49D4">
        <w:rPr>
          <w:rFonts w:ascii="Calibri" w:eastAsia="Calibri" w:hAnsi="Calibri" w:cs="Arial"/>
          <w:sz w:val="18"/>
          <w:szCs w:val="18"/>
          <w:rtl/>
        </w:rPr>
        <w:t>. ובחשבון שנת השמיטה נפלה מחלוקת, והעיקר ששנת ש"כ</w:t>
      </w:r>
      <w:r w:rsidRPr="001D49D4">
        <w:rPr>
          <w:rFonts w:ascii="Calibri" w:eastAsia="Calibri" w:hAnsi="Calibri" w:cs="Arial"/>
          <w:sz w:val="18"/>
          <w:szCs w:val="18"/>
          <w:vertAlign w:val="superscript"/>
          <w:rtl/>
        </w:rPr>
        <w:footnoteReference w:id="5260"/>
      </w:r>
      <w:r w:rsidRPr="001D49D4">
        <w:rPr>
          <w:rFonts w:ascii="Calibri" w:eastAsia="Calibri" w:hAnsi="Calibri" w:cs="Arial"/>
          <w:sz w:val="18"/>
          <w:szCs w:val="18"/>
          <w:rtl/>
        </w:rPr>
        <w:t xml:space="preserve"> ושנת שכ"ז היתה שמיטה, וא"כ יהיה שנת של"ד הבע"ל שמיטה, יהי רצון שיבנה בית המקדש ויחזרו אז למנות שמיטין ויובלות כי יבא של"ה (בראשית מט, י) לפרט.</w:t>
      </w:r>
    </w:p>
    <w:p w14:paraId="129173DF"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rtl/>
        </w:rPr>
        <w:t xml:space="preserve"> </w:t>
      </w:r>
    </w:p>
    <w:p w14:paraId="7116E02A" w14:textId="77777777" w:rsidR="001D49D4" w:rsidRPr="001D49D4" w:rsidRDefault="001D49D4" w:rsidP="0004348D">
      <w:pPr>
        <w:keepNext/>
        <w:keepLines/>
        <w:spacing w:before="360" w:after="240"/>
        <w:outlineLvl w:val="1"/>
        <w:rPr>
          <w:rFonts w:ascii="Cambria" w:eastAsia="Times New Roman" w:hAnsi="Cambria" w:cs="Arial"/>
          <w:bCs/>
          <w:color w:val="548DD4" w:themeColor="text2" w:themeTint="99"/>
          <w:sz w:val="26"/>
          <w:szCs w:val="26"/>
          <w:rtl/>
        </w:rPr>
      </w:pPr>
      <w:bookmarkStart w:id="728" w:name="_Toc24884139"/>
      <w:r w:rsidRPr="001D49D4">
        <w:rPr>
          <w:rFonts w:ascii="Cambria" w:eastAsia="Times New Roman" w:hAnsi="Cambria" w:cs="Arial"/>
          <w:bCs/>
          <w:color w:val="548DD4" w:themeColor="text2" w:themeTint="99"/>
          <w:sz w:val="26"/>
          <w:szCs w:val="26"/>
          <w:rtl/>
        </w:rPr>
        <w:t>סעיף ב: מלוה בשטר שיש בו אחריות נכסים. ומלוה שניתנה בעבורה משכנתא.</w:t>
      </w:r>
      <w:bookmarkEnd w:id="728"/>
      <w:r w:rsidRPr="001D49D4">
        <w:rPr>
          <w:rFonts w:ascii="Cambria" w:eastAsia="Times New Roman" w:hAnsi="Cambria" w:cs="Arial"/>
          <w:bCs/>
          <w:color w:val="548DD4" w:themeColor="text2" w:themeTint="99"/>
          <w:sz w:val="26"/>
          <w:szCs w:val="26"/>
          <w:rtl/>
        </w:rPr>
        <w:t xml:space="preserve"> </w:t>
      </w:r>
    </w:p>
    <w:p w14:paraId="15A2A744" w14:textId="77777777" w:rsidR="001D49D4" w:rsidRPr="001D49D4" w:rsidRDefault="001D49D4" w:rsidP="0004348D">
      <w:pPr>
        <w:spacing w:before="360" w:after="240"/>
        <w:rPr>
          <w:rFonts w:ascii="Calibri" w:eastAsia="Calibri" w:hAnsi="Calibri" w:cs="Arial"/>
          <w:rtl/>
        </w:rPr>
      </w:pPr>
      <w:bookmarkStart w:id="729" w:name="_Hlk16622627"/>
      <w:r w:rsidRPr="001D49D4">
        <w:rPr>
          <w:rFonts w:ascii="Calibri" w:eastAsia="Calibri" w:hAnsi="Calibri" w:cs="Arial"/>
          <w:b/>
          <w:bCs/>
          <w:rtl/>
        </w:rPr>
        <w:t xml:space="preserve">גיטין </w:t>
      </w:r>
      <w:r w:rsidRPr="001D49D4">
        <w:rPr>
          <w:rFonts w:ascii="Calibri" w:eastAsia="Calibri" w:hAnsi="Calibri" w:cs="Arial"/>
          <w:b/>
          <w:bCs/>
          <w:sz w:val="16"/>
          <w:szCs w:val="16"/>
          <w:rtl/>
        </w:rPr>
        <w:t xml:space="preserve">(פרק השולח) </w:t>
      </w:r>
      <w:r w:rsidRPr="001D49D4">
        <w:rPr>
          <w:rFonts w:ascii="Calibri" w:eastAsia="Calibri" w:hAnsi="Calibri" w:cs="Arial"/>
          <w:b/>
          <w:bCs/>
          <w:rtl/>
        </w:rPr>
        <w:t>לז</w:t>
      </w:r>
      <w:r w:rsidRPr="001D49D4">
        <w:rPr>
          <w:rFonts w:ascii="Calibri" w:eastAsia="Calibri" w:hAnsi="Calibri" w:cs="Arial"/>
          <w:b/>
          <w:bCs/>
          <w:vertAlign w:val="superscript"/>
          <w:rtl/>
        </w:rPr>
        <w:footnoteReference w:id="5261"/>
      </w:r>
      <w:r w:rsidRPr="001D49D4">
        <w:rPr>
          <w:rFonts w:ascii="Calibri" w:eastAsia="Calibri" w:hAnsi="Calibri" w:cs="Arial"/>
          <w:b/>
          <w:bCs/>
          <w:rtl/>
        </w:rPr>
        <w:t xml:space="preserve"> ע"א: </w:t>
      </w:r>
      <w:r w:rsidRPr="001D49D4">
        <w:rPr>
          <w:rFonts w:ascii="Calibri" w:eastAsia="Calibri" w:hAnsi="Calibri" w:cs="Arial"/>
          <w:rtl/>
        </w:rPr>
        <w:t>תנן התם</w:t>
      </w:r>
      <w:r w:rsidRPr="001D49D4">
        <w:rPr>
          <w:rFonts w:ascii="Calibri" w:eastAsia="Calibri" w:hAnsi="Calibri" w:cs="Arial"/>
          <w:vertAlign w:val="superscript"/>
          <w:rtl/>
        </w:rPr>
        <w:footnoteReference w:id="5262"/>
      </w:r>
      <w:r w:rsidRPr="001D49D4">
        <w:rPr>
          <w:rFonts w:ascii="Calibri" w:eastAsia="Calibri" w:hAnsi="Calibri" w:cs="Arial"/>
          <w:rtl/>
        </w:rPr>
        <w:t xml:space="preserve">: השביעית משמטת את המלוה, בין בשטר בין שלא בשטר. </w:t>
      </w:r>
      <w:r w:rsidRPr="001D49D4">
        <w:rPr>
          <w:rFonts w:ascii="Calibri" w:eastAsia="Calibri" w:hAnsi="Calibri" w:cs="Arial"/>
          <w:u w:val="single"/>
          <w:rtl/>
        </w:rPr>
        <w:t>רב ושמואל דאמרי תרוייהו</w:t>
      </w:r>
      <w:r w:rsidRPr="001D49D4">
        <w:rPr>
          <w:rFonts w:ascii="Calibri" w:eastAsia="Calibri" w:hAnsi="Calibri" w:cs="Arial"/>
          <w:rtl/>
        </w:rPr>
        <w:t xml:space="preserve">: בשטר - שטר שיש בו אחריות נכסים, שלא בשטר - שאין בו אחריות נכסים, כל שכן מלוה על פה. </w:t>
      </w:r>
      <w:r w:rsidRPr="001D49D4">
        <w:rPr>
          <w:rFonts w:ascii="Calibri" w:eastAsia="Calibri" w:hAnsi="Calibri" w:cs="Arial"/>
          <w:u w:val="single"/>
          <w:rtl/>
        </w:rPr>
        <w:t>רבי יוחנן ורבי שמעון בן לקיש דאמרי תרוייהו</w:t>
      </w:r>
      <w:r w:rsidRPr="001D49D4">
        <w:rPr>
          <w:rFonts w:ascii="Calibri" w:eastAsia="Calibri" w:hAnsi="Calibri" w:cs="Arial"/>
          <w:rtl/>
        </w:rPr>
        <w:t>: בשטר - שטר שאין בו אחריות נכסים, שלא בשטר - מלוה על פה, אבל שטר שיש בו אחריות נכסים - אינו משמט</w:t>
      </w:r>
      <w:r w:rsidRPr="001D49D4">
        <w:rPr>
          <w:rFonts w:ascii="Calibri" w:eastAsia="Calibri" w:hAnsi="Calibri" w:cs="Arial"/>
          <w:vertAlign w:val="superscript"/>
          <w:rtl/>
        </w:rPr>
        <w:footnoteReference w:id="5263"/>
      </w:r>
      <w:r w:rsidRPr="001D49D4">
        <w:rPr>
          <w:rFonts w:ascii="Calibri" w:eastAsia="Calibri" w:hAnsi="Calibri" w:cs="Arial"/>
          <w:rtl/>
        </w:rPr>
        <w:t>. תניא כותיה דר' יוחנן ורבי שמעון בן לקיש: שטר חוב משמט, ואם יש בו אחריות נכסים - אינו משמט. תניא אידך: סיים לו שדה אחת בהלוואתו</w:t>
      </w:r>
      <w:r w:rsidRPr="001D49D4">
        <w:rPr>
          <w:rFonts w:ascii="Calibri" w:eastAsia="Calibri" w:hAnsi="Calibri" w:cs="Arial"/>
          <w:vertAlign w:val="superscript"/>
          <w:rtl/>
        </w:rPr>
        <w:footnoteReference w:id="5264"/>
      </w:r>
      <w:r w:rsidRPr="001D49D4">
        <w:rPr>
          <w:rFonts w:ascii="Calibri" w:eastAsia="Calibri" w:hAnsi="Calibri" w:cs="Arial"/>
          <w:rtl/>
        </w:rPr>
        <w:t xml:space="preserve"> - אינו משמט, ולא עוד, אלא אפילו כתב כל נכסיי אחראין וערבאין לך - אינו משמט</w:t>
      </w:r>
      <w:r w:rsidRPr="001D49D4">
        <w:rPr>
          <w:rFonts w:ascii="Calibri" w:eastAsia="Calibri" w:hAnsi="Calibri" w:cs="Arial"/>
          <w:vertAlign w:val="superscript"/>
          <w:rtl/>
        </w:rPr>
        <w:footnoteReference w:id="5265"/>
      </w:r>
      <w:r w:rsidRPr="001D49D4">
        <w:rPr>
          <w:rFonts w:ascii="Calibri" w:eastAsia="Calibri" w:hAnsi="Calibri" w:cs="Arial"/>
          <w:rtl/>
        </w:rPr>
        <w:t xml:space="preserve">. קריביה דר' אסי הוה ליה ההוא שטרא דהוה כתיב ביה אחריות נכסים, אתא לקמיה דר' אסי, </w:t>
      </w:r>
      <w:r w:rsidRPr="001D49D4">
        <w:rPr>
          <w:rFonts w:ascii="Calibri" w:eastAsia="Calibri" w:hAnsi="Calibri" w:cs="Arial"/>
          <w:u w:val="single"/>
          <w:rtl/>
        </w:rPr>
        <w:t>אמר ליה</w:t>
      </w:r>
      <w:r w:rsidRPr="001D49D4">
        <w:rPr>
          <w:rFonts w:ascii="Calibri" w:eastAsia="Calibri" w:hAnsi="Calibri" w:cs="Arial"/>
          <w:rtl/>
        </w:rPr>
        <w:t xml:space="preserve">: משמט או אינו משמט? </w:t>
      </w:r>
      <w:r w:rsidRPr="001D49D4">
        <w:rPr>
          <w:rFonts w:ascii="Calibri" w:eastAsia="Calibri" w:hAnsi="Calibri" w:cs="Arial"/>
          <w:u w:val="single"/>
          <w:rtl/>
        </w:rPr>
        <w:t>א"ל</w:t>
      </w:r>
      <w:r w:rsidRPr="001D49D4">
        <w:rPr>
          <w:rFonts w:ascii="Calibri" w:eastAsia="Calibri" w:hAnsi="Calibri" w:cs="Arial"/>
          <w:rtl/>
        </w:rPr>
        <w:t xml:space="preserve">: אינו משמט, שבקיה ואתא לקמיה דר' יוחנן. </w:t>
      </w:r>
      <w:r w:rsidRPr="001D49D4">
        <w:rPr>
          <w:rFonts w:ascii="Calibri" w:eastAsia="Calibri" w:hAnsi="Calibri" w:cs="Arial"/>
          <w:u w:val="single"/>
          <w:rtl/>
        </w:rPr>
        <w:t>א"ל</w:t>
      </w:r>
      <w:r w:rsidRPr="001D49D4">
        <w:rPr>
          <w:rFonts w:ascii="Calibri" w:eastAsia="Calibri" w:hAnsi="Calibri" w:cs="Arial"/>
          <w:rtl/>
        </w:rPr>
        <w:t xml:space="preserve">: משמט. </w:t>
      </w:r>
      <w:r w:rsidRPr="001D49D4">
        <w:rPr>
          <w:rFonts w:ascii="Calibri" w:eastAsia="Calibri" w:hAnsi="Calibri" w:cs="Arial"/>
          <w:u w:val="single"/>
          <w:rtl/>
        </w:rPr>
        <w:t>אתא ר' אסי לקמיה דר' יוחנן, א"ל</w:t>
      </w:r>
      <w:r w:rsidRPr="001D49D4">
        <w:rPr>
          <w:rFonts w:ascii="Calibri" w:eastAsia="Calibri" w:hAnsi="Calibri" w:cs="Arial"/>
          <w:rtl/>
        </w:rPr>
        <w:t xml:space="preserve">: משמט או אינו משמט? </w:t>
      </w:r>
      <w:r w:rsidRPr="001D49D4">
        <w:rPr>
          <w:rFonts w:ascii="Calibri" w:eastAsia="Calibri" w:hAnsi="Calibri" w:cs="Arial"/>
          <w:u w:val="single"/>
          <w:rtl/>
        </w:rPr>
        <w:t>אמר ליה</w:t>
      </w:r>
      <w:r w:rsidRPr="001D49D4">
        <w:rPr>
          <w:rFonts w:ascii="Calibri" w:eastAsia="Calibri" w:hAnsi="Calibri" w:cs="Arial"/>
          <w:rtl/>
        </w:rPr>
        <w:t xml:space="preserve">: משמט. והא מר הוא דאמר אינו משמט. </w:t>
      </w:r>
      <w:r w:rsidRPr="001D49D4">
        <w:rPr>
          <w:rFonts w:ascii="Calibri" w:eastAsia="Calibri" w:hAnsi="Calibri" w:cs="Arial"/>
          <w:u w:val="single"/>
          <w:rtl/>
        </w:rPr>
        <w:t>א"ל</w:t>
      </w:r>
      <w:r w:rsidRPr="001D49D4">
        <w:rPr>
          <w:rFonts w:ascii="Calibri" w:eastAsia="Calibri" w:hAnsi="Calibri" w:cs="Arial"/>
          <w:rtl/>
        </w:rPr>
        <w:t>: וכי מפני שאנו מדמין נעשה מעשה</w:t>
      </w:r>
      <w:r w:rsidRPr="001D49D4">
        <w:rPr>
          <w:rFonts w:ascii="Calibri" w:eastAsia="Calibri" w:hAnsi="Calibri" w:cs="Arial"/>
          <w:vertAlign w:val="superscript"/>
          <w:rtl/>
        </w:rPr>
        <w:footnoteReference w:id="5266"/>
      </w:r>
      <w:r w:rsidRPr="001D49D4">
        <w:rPr>
          <w:rFonts w:ascii="Calibri" w:eastAsia="Calibri" w:hAnsi="Calibri" w:cs="Arial"/>
          <w:rtl/>
        </w:rPr>
        <w:t xml:space="preserve">? </w:t>
      </w:r>
      <w:r w:rsidRPr="001D49D4">
        <w:rPr>
          <w:rFonts w:ascii="Calibri" w:eastAsia="Calibri" w:hAnsi="Calibri" w:cs="Arial"/>
          <w:u w:val="single"/>
          <w:rtl/>
        </w:rPr>
        <w:t>א"ל</w:t>
      </w:r>
      <w:r w:rsidRPr="001D49D4">
        <w:rPr>
          <w:rFonts w:ascii="Calibri" w:eastAsia="Calibri" w:hAnsi="Calibri" w:cs="Arial"/>
          <w:rtl/>
        </w:rPr>
        <w:t xml:space="preserve">: והתני' כוותיה דמר! </w:t>
      </w:r>
      <w:r w:rsidRPr="001D49D4">
        <w:rPr>
          <w:rFonts w:ascii="Calibri" w:eastAsia="Calibri" w:hAnsi="Calibri" w:cs="Arial"/>
          <w:u w:val="single"/>
          <w:rtl/>
        </w:rPr>
        <w:t>א"ל</w:t>
      </w:r>
      <w:r w:rsidRPr="001D49D4">
        <w:rPr>
          <w:rFonts w:ascii="Calibri" w:eastAsia="Calibri" w:hAnsi="Calibri" w:cs="Arial"/>
          <w:rtl/>
        </w:rPr>
        <w:t>: דלמא ההיא בית שמאי היא, דאמרי</w:t>
      </w:r>
      <w:r w:rsidRPr="001D49D4">
        <w:rPr>
          <w:rFonts w:ascii="Calibri" w:eastAsia="Calibri" w:hAnsi="Calibri" w:cs="Arial"/>
          <w:vertAlign w:val="superscript"/>
          <w:rtl/>
        </w:rPr>
        <w:footnoteReference w:id="5267"/>
      </w:r>
      <w:r w:rsidRPr="001D49D4">
        <w:rPr>
          <w:rFonts w:ascii="Calibri" w:eastAsia="Calibri" w:hAnsi="Calibri" w:cs="Arial"/>
          <w:rtl/>
        </w:rPr>
        <w:t xml:space="preserve">: שטר העומד לגבות כגבוי דמי. </w:t>
      </w:r>
    </w:p>
    <w:p w14:paraId="1BF7A6DC" w14:textId="77777777" w:rsidR="001D49D4" w:rsidRPr="001D49D4" w:rsidRDefault="001D49D4" w:rsidP="0004348D">
      <w:pPr>
        <w:spacing w:before="360" w:after="240"/>
        <w:rPr>
          <w:rFonts w:ascii="Calibri" w:eastAsia="Calibri" w:hAnsi="Calibri" w:cs="Arial"/>
          <w:rtl/>
        </w:rPr>
      </w:pPr>
      <w:bookmarkStart w:id="730" w:name="_Hlk16623742"/>
      <w:bookmarkEnd w:id="729"/>
      <w:r w:rsidRPr="001D49D4">
        <w:rPr>
          <w:rFonts w:ascii="Calibri" w:eastAsia="Calibri" w:hAnsi="Calibri" w:cs="Arial"/>
          <w:b/>
          <w:bCs/>
          <w:rtl/>
        </w:rPr>
        <w:t xml:space="preserve">בבא מציעא </w:t>
      </w:r>
      <w:r w:rsidRPr="001D49D4">
        <w:rPr>
          <w:rFonts w:ascii="Calibri" w:eastAsia="Calibri" w:hAnsi="Calibri" w:cs="Arial"/>
          <w:b/>
          <w:bCs/>
          <w:sz w:val="16"/>
          <w:szCs w:val="16"/>
          <w:rtl/>
        </w:rPr>
        <w:t>(פרק איזהו נשך)</w:t>
      </w:r>
      <w:r w:rsidRPr="001D49D4">
        <w:rPr>
          <w:rFonts w:ascii="Calibri" w:eastAsia="Calibri" w:hAnsi="Calibri" w:cs="Arial"/>
          <w:b/>
          <w:bCs/>
          <w:rtl/>
        </w:rPr>
        <w:t xml:space="preserve"> סז</w:t>
      </w:r>
      <w:r w:rsidRPr="001D49D4">
        <w:rPr>
          <w:rFonts w:ascii="Calibri" w:eastAsia="Calibri" w:hAnsi="Calibri" w:cs="Arial"/>
          <w:b/>
          <w:bCs/>
          <w:vertAlign w:val="superscript"/>
          <w:rtl/>
        </w:rPr>
        <w:footnoteReference w:id="5268"/>
      </w:r>
      <w:r w:rsidRPr="001D49D4">
        <w:rPr>
          <w:rFonts w:ascii="Calibri" w:eastAsia="Calibri" w:hAnsi="Calibri" w:cs="Arial"/>
          <w:b/>
          <w:bCs/>
          <w:rtl/>
        </w:rPr>
        <w:t xml:space="preserve"> ע"ב:</w:t>
      </w:r>
      <w:r w:rsidRPr="001D49D4">
        <w:rPr>
          <w:rFonts w:ascii="Calibri" w:eastAsia="Calibri" w:hAnsi="Calibri" w:cs="Arial"/>
          <w:rtl/>
        </w:rPr>
        <w:t xml:space="preserve"> </w:t>
      </w:r>
      <w:r w:rsidRPr="001D49D4">
        <w:rPr>
          <w:rFonts w:ascii="Calibri" w:eastAsia="Calibri" w:hAnsi="Calibri" w:cs="Arial"/>
          <w:u w:val="single"/>
          <w:rtl/>
        </w:rPr>
        <w:t>רב פפא ורב הונא בריה דרב יהושע אמרי תרוייהו</w:t>
      </w:r>
      <w:r w:rsidRPr="001D49D4">
        <w:rPr>
          <w:rFonts w:ascii="Calibri" w:eastAsia="Calibri" w:hAnsi="Calibri" w:cs="Arial"/>
          <w:rtl/>
        </w:rPr>
        <w:t>: האי משכנתא</w:t>
      </w:r>
      <w:r w:rsidRPr="001D49D4">
        <w:rPr>
          <w:rFonts w:ascii="Calibri" w:eastAsia="Calibri" w:hAnsi="Calibri" w:cs="Arial"/>
          <w:vertAlign w:val="superscript"/>
          <w:rtl/>
        </w:rPr>
        <w:footnoteReference w:id="5269"/>
      </w:r>
      <w:r w:rsidRPr="001D49D4">
        <w:rPr>
          <w:rFonts w:ascii="Calibri" w:eastAsia="Calibri" w:hAnsi="Calibri" w:cs="Arial"/>
          <w:rtl/>
        </w:rPr>
        <w:t>, באתרא דמסלקי</w:t>
      </w:r>
      <w:r w:rsidRPr="001D49D4">
        <w:rPr>
          <w:rFonts w:ascii="Calibri" w:eastAsia="Calibri" w:hAnsi="Calibri" w:cs="Arial"/>
          <w:vertAlign w:val="superscript"/>
          <w:rtl/>
        </w:rPr>
        <w:footnoteReference w:id="5270"/>
      </w:r>
      <w:r w:rsidRPr="001D49D4">
        <w:rPr>
          <w:rFonts w:ascii="Calibri" w:eastAsia="Calibri" w:hAnsi="Calibri" w:cs="Arial"/>
          <w:rtl/>
        </w:rPr>
        <w:t xml:space="preserve"> - אין בעל חוב גובה הימנה, ואין הבכור נוטל בה פי שנים, ושביעית משמטתה</w:t>
      </w:r>
      <w:r w:rsidRPr="001D49D4">
        <w:rPr>
          <w:rFonts w:ascii="Calibri" w:eastAsia="Calibri" w:hAnsi="Calibri" w:cs="Arial"/>
          <w:vertAlign w:val="superscript"/>
          <w:rtl/>
        </w:rPr>
        <w:footnoteReference w:id="5271"/>
      </w:r>
      <w:r w:rsidRPr="001D49D4">
        <w:rPr>
          <w:rFonts w:ascii="Calibri" w:eastAsia="Calibri" w:hAnsi="Calibri" w:cs="Arial"/>
          <w:rtl/>
        </w:rPr>
        <w:t>. ובאתרא דלא מסלקי - בעל חוב גובה הימנו, ובכור נוטל בו פי שנים, ואין שביעית משמטתה.</w:t>
      </w:r>
      <w:bookmarkEnd w:id="730"/>
    </w:p>
    <w:p w14:paraId="06C90085" w14:textId="77777777" w:rsidR="001D49D4" w:rsidRPr="001D49D4" w:rsidRDefault="001D49D4" w:rsidP="0004348D">
      <w:pPr>
        <w:spacing w:before="360" w:after="240"/>
        <w:rPr>
          <w:rFonts w:ascii="Calibri" w:eastAsia="Calibri" w:hAnsi="Calibri" w:cs="Arial"/>
          <w:u w:val="single"/>
          <w:rtl/>
        </w:rPr>
      </w:pPr>
      <w:r w:rsidRPr="001D49D4">
        <w:rPr>
          <w:rFonts w:ascii="Calibri" w:eastAsia="Calibri" w:hAnsi="Calibri" w:cs="Arial"/>
          <w:u w:val="single"/>
          <w:rtl/>
        </w:rPr>
        <w:t>האם שביעית משמטת גם מלוה בשטר שיש בו אחריות נכסים או מלוה שניתנה בעבורה משכנתא:</w:t>
      </w:r>
    </w:p>
    <w:p w14:paraId="6825A370" w14:textId="77777777" w:rsidR="001D49D4" w:rsidRPr="001D49D4" w:rsidRDefault="001D49D4" w:rsidP="0004348D">
      <w:pPr>
        <w:numPr>
          <w:ilvl w:val="0"/>
          <w:numId w:val="344"/>
        </w:numPr>
        <w:spacing w:before="360" w:after="240"/>
        <w:contextualSpacing/>
        <w:rPr>
          <w:rFonts w:ascii="Calibri" w:eastAsia="Calibri" w:hAnsi="Calibri" w:cs="Arial"/>
          <w:rtl/>
        </w:rPr>
      </w:pPr>
      <w:r w:rsidRPr="001D49D4">
        <w:rPr>
          <w:rFonts w:ascii="Calibri" w:eastAsia="Calibri" w:hAnsi="Calibri" w:cs="Arial"/>
          <w:rtl/>
        </w:rPr>
        <w:t>טור- כל שטר חוב אפילו יש בו אחריות שביעית משמטתו, ואפילו משכנתא באתרא דמסלקי.</w:t>
      </w:r>
      <w:r w:rsidRPr="001D49D4">
        <w:rPr>
          <w:rFonts w:ascii="Calibri" w:eastAsia="Calibri" w:hAnsi="Calibri" w:cs="Arial"/>
          <w:color w:val="E36C0A" w:themeColor="accent6" w:themeShade="BF"/>
          <w:rtl/>
        </w:rPr>
        <w:t xml:space="preserve"> (וכ"פ בשו"ע)</w:t>
      </w:r>
    </w:p>
    <w:p w14:paraId="06FBF794" w14:textId="77777777" w:rsidR="001D49D4" w:rsidRPr="001D49D4" w:rsidRDefault="001D49D4" w:rsidP="0004348D">
      <w:pPr>
        <w:numPr>
          <w:ilvl w:val="0"/>
          <w:numId w:val="344"/>
        </w:numPr>
        <w:spacing w:before="360" w:after="240"/>
        <w:contextualSpacing/>
        <w:rPr>
          <w:rFonts w:ascii="Calibri" w:eastAsia="Calibri" w:hAnsi="Calibri" w:cs="Arial"/>
        </w:rPr>
      </w:pPr>
      <w:r w:rsidRPr="001D49D4">
        <w:rPr>
          <w:rFonts w:ascii="Calibri" w:eastAsia="Calibri" w:hAnsi="Calibri" w:cs="Arial"/>
          <w:rtl/>
        </w:rPr>
        <w:t xml:space="preserve">מהרי"ק </w:t>
      </w:r>
      <w:r w:rsidRPr="001D49D4">
        <w:rPr>
          <w:rFonts w:ascii="Calibri" w:eastAsia="Calibri" w:hAnsi="Calibri" w:cs="Arial"/>
          <w:sz w:val="16"/>
          <w:szCs w:val="16"/>
          <w:rtl/>
        </w:rPr>
        <w:t>(שורש צב)</w:t>
      </w:r>
      <w:r w:rsidRPr="001D49D4">
        <w:rPr>
          <w:rFonts w:ascii="Calibri" w:eastAsia="Calibri" w:hAnsi="Calibri" w:cs="Arial"/>
          <w:rtl/>
        </w:rPr>
        <w:t>- שטר שיש בו אחריות אינו משמט דקיימא לן שטר העומד לגבות כגבוי דמי</w:t>
      </w:r>
      <w:r w:rsidRPr="001D49D4">
        <w:rPr>
          <w:rFonts w:ascii="Calibri" w:eastAsia="Calibri" w:hAnsi="Calibri" w:cs="Arial"/>
          <w:vertAlign w:val="superscript"/>
          <w:rtl/>
        </w:rPr>
        <w:footnoteReference w:id="5272"/>
      </w:r>
      <w:r w:rsidRPr="001D49D4">
        <w:rPr>
          <w:rFonts w:ascii="Calibri" w:eastAsia="Calibri" w:hAnsi="Calibri" w:cs="Arial"/>
          <w:rtl/>
        </w:rPr>
        <w:t xml:space="preserve">. </w:t>
      </w:r>
    </w:p>
    <w:p w14:paraId="0B558DDC" w14:textId="77777777" w:rsidR="001D49D4" w:rsidRPr="001D49D4" w:rsidRDefault="001D49D4" w:rsidP="0004348D">
      <w:pPr>
        <w:spacing w:before="360" w:after="240"/>
        <w:rPr>
          <w:rFonts w:ascii="Calibri" w:eastAsia="Calibri" w:hAnsi="Calibri" w:cs="Arial"/>
          <w:u w:val="single"/>
          <w:rtl/>
        </w:rPr>
      </w:pPr>
      <w:bookmarkStart w:id="731" w:name="_Hlk16623838"/>
      <w:r w:rsidRPr="001D49D4">
        <w:rPr>
          <w:rFonts w:ascii="Calibri" w:eastAsia="Calibri" w:hAnsi="Calibri" w:cs="Arial"/>
          <w:u w:val="single"/>
          <w:rtl/>
        </w:rPr>
        <w:t>סיים לו שדהו – האם שביעית משמטת:</w:t>
      </w:r>
    </w:p>
    <w:p w14:paraId="6C2FE106" w14:textId="77777777" w:rsidR="001D49D4" w:rsidRPr="001D49D4" w:rsidRDefault="001D49D4" w:rsidP="0004348D">
      <w:pPr>
        <w:numPr>
          <w:ilvl w:val="0"/>
          <w:numId w:val="344"/>
        </w:numPr>
        <w:spacing w:before="360" w:after="240"/>
        <w:contextualSpacing/>
        <w:rPr>
          <w:rFonts w:ascii="Calibri" w:eastAsia="Calibri" w:hAnsi="Calibri" w:cs="Arial"/>
        </w:rPr>
      </w:pPr>
      <w:r w:rsidRPr="001D49D4">
        <w:rPr>
          <w:rFonts w:ascii="Calibri" w:eastAsia="Calibri" w:hAnsi="Calibri" w:cs="Arial"/>
          <w:rtl/>
        </w:rPr>
        <w:t xml:space="preserve">רמב"ן </w:t>
      </w:r>
      <w:r w:rsidRPr="001D49D4">
        <w:rPr>
          <w:rFonts w:ascii="Calibri" w:eastAsia="Calibri" w:hAnsi="Calibri" w:cs="Arial"/>
          <w:sz w:val="16"/>
          <w:szCs w:val="16"/>
          <w:rtl/>
        </w:rPr>
        <w:t>(לו: סוד"ה והא, כ"כ הר"ן בשמו [יט: מדפה"ר ד"ה הלכך])</w:t>
      </w:r>
      <w:r w:rsidRPr="001D49D4">
        <w:rPr>
          <w:rFonts w:ascii="Calibri" w:eastAsia="Calibri" w:hAnsi="Calibri" w:cs="Arial"/>
          <w:rtl/>
        </w:rPr>
        <w:t>- סיים לו שדה בהלואתו נמי משמט</w:t>
      </w:r>
      <w:r w:rsidRPr="001D49D4">
        <w:rPr>
          <w:rFonts w:ascii="Calibri" w:eastAsia="Calibri" w:hAnsi="Calibri" w:cs="Arial"/>
          <w:vertAlign w:val="superscript"/>
          <w:rtl/>
        </w:rPr>
        <w:footnoteReference w:id="5273"/>
      </w:r>
      <w:r w:rsidRPr="001D49D4">
        <w:rPr>
          <w:rFonts w:ascii="Calibri" w:eastAsia="Calibri" w:hAnsi="Calibri" w:cs="Arial"/>
          <w:rtl/>
        </w:rPr>
        <w:t xml:space="preserve">. </w:t>
      </w:r>
    </w:p>
    <w:p w14:paraId="03D8948D" w14:textId="77777777" w:rsidR="001D49D4" w:rsidRPr="001D49D4" w:rsidRDefault="001D49D4" w:rsidP="0004348D">
      <w:pPr>
        <w:numPr>
          <w:ilvl w:val="0"/>
          <w:numId w:val="344"/>
        </w:numPr>
        <w:spacing w:before="360" w:after="240"/>
        <w:contextualSpacing/>
        <w:rPr>
          <w:rFonts w:ascii="Calibri" w:eastAsia="Calibri" w:hAnsi="Calibri" w:cs="Arial"/>
        </w:rPr>
      </w:pPr>
      <w:r w:rsidRPr="001D49D4">
        <w:rPr>
          <w:rFonts w:ascii="Calibri" w:eastAsia="Calibri" w:hAnsi="Calibri" w:cs="Arial"/>
          <w:rtl/>
        </w:rPr>
        <w:t xml:space="preserve">רמב"ם </w:t>
      </w:r>
      <w:r w:rsidRPr="001D49D4">
        <w:rPr>
          <w:rFonts w:ascii="Calibri" w:eastAsia="Calibri" w:hAnsi="Calibri" w:cs="Arial"/>
          <w:sz w:val="16"/>
          <w:szCs w:val="16"/>
          <w:rtl/>
        </w:rPr>
        <w:t>(פ"ט משמיטה ה"ו)</w:t>
      </w:r>
      <w:r w:rsidRPr="001D49D4">
        <w:rPr>
          <w:rFonts w:ascii="Calibri" w:eastAsia="Calibri" w:hAnsi="Calibri" w:cs="Arial"/>
          <w:rtl/>
        </w:rPr>
        <w:t>- אם סיים לו שדה בהלואתו אינו משמיט</w:t>
      </w:r>
      <w:r w:rsidRPr="001D49D4">
        <w:rPr>
          <w:rFonts w:ascii="Calibri" w:eastAsia="Calibri" w:hAnsi="Calibri" w:cs="Arial"/>
          <w:vertAlign w:val="superscript"/>
          <w:rtl/>
        </w:rPr>
        <w:footnoteReference w:id="5274"/>
      </w:r>
      <w:r w:rsidRPr="001D49D4">
        <w:rPr>
          <w:rFonts w:ascii="Calibri" w:eastAsia="Calibri" w:hAnsi="Calibri" w:cs="Arial"/>
          <w:rtl/>
        </w:rPr>
        <w:t xml:space="preserve">. </w:t>
      </w:r>
      <w:r w:rsidRPr="001D49D4">
        <w:rPr>
          <w:rFonts w:ascii="Calibri" w:eastAsia="Calibri" w:hAnsi="Calibri" w:cs="Arial"/>
          <w:color w:val="E36C0A" w:themeColor="accent6" w:themeShade="BF"/>
          <w:rtl/>
        </w:rPr>
        <w:t>(וכ"ס בשו"ע)</w:t>
      </w:r>
    </w:p>
    <w:p w14:paraId="26C791F5" w14:textId="77777777" w:rsidR="001D49D4" w:rsidRPr="001D49D4" w:rsidRDefault="001D49D4" w:rsidP="0004348D">
      <w:pPr>
        <w:numPr>
          <w:ilvl w:val="0"/>
          <w:numId w:val="344"/>
        </w:numPr>
        <w:spacing w:before="360" w:after="240"/>
        <w:contextualSpacing/>
        <w:rPr>
          <w:rFonts w:ascii="Calibri" w:eastAsia="Calibri" w:hAnsi="Calibri" w:cs="Arial"/>
        </w:rPr>
      </w:pPr>
      <w:r w:rsidRPr="001D49D4">
        <w:rPr>
          <w:rFonts w:ascii="Calibri" w:eastAsia="Calibri" w:hAnsi="Calibri" w:cs="Arial"/>
          <w:rtl/>
        </w:rPr>
        <w:t xml:space="preserve">רשב"א </w:t>
      </w:r>
      <w:r w:rsidRPr="001D49D4">
        <w:rPr>
          <w:rFonts w:ascii="Calibri" w:eastAsia="Calibri" w:hAnsi="Calibri" w:cs="Arial"/>
          <w:sz w:val="16"/>
          <w:szCs w:val="16"/>
          <w:rtl/>
        </w:rPr>
        <w:t>(סי' תתקפא)</w:t>
      </w:r>
      <w:r w:rsidRPr="001D49D4">
        <w:rPr>
          <w:rFonts w:ascii="Calibri" w:eastAsia="Calibri" w:hAnsi="Calibri" w:cs="Arial"/>
          <w:rtl/>
        </w:rPr>
        <w:t>- שביעית משמטת אפותיקי מפורש ודלא כדברי הר"מ דהא בפרק איזהו נשך לא אשכחנא דלא תשמט אלא באתרא דלא מסלקי. ומיהו כל שאינו יכול לסלקו אפילו יום אחד אינו משמט כדאיתא התם.</w:t>
      </w:r>
    </w:p>
    <w:bookmarkEnd w:id="731"/>
    <w:p w14:paraId="51372856" w14:textId="77777777" w:rsidR="001D49D4" w:rsidRPr="001D49D4" w:rsidRDefault="001D49D4" w:rsidP="0004348D">
      <w:pPr>
        <w:spacing w:before="360" w:after="240"/>
        <w:rPr>
          <w:rFonts w:ascii="Arial" w:eastAsia="Calibri" w:hAnsi="Arial" w:cs="Arial"/>
          <w:b/>
          <w:bCs/>
          <w:color w:val="000000"/>
          <w:sz w:val="28"/>
          <w:szCs w:val="28"/>
          <w:u w:val="single"/>
        </w:rPr>
      </w:pPr>
      <w:r w:rsidRPr="001D49D4">
        <w:rPr>
          <w:rFonts w:ascii="Arial" w:eastAsia="Calibri" w:hAnsi="Arial" w:cs="Arial"/>
          <w:b/>
          <w:bCs/>
          <w:color w:val="000000"/>
          <w:sz w:val="28"/>
          <w:szCs w:val="28"/>
          <w:u w:val="single"/>
          <w:rtl/>
        </w:rPr>
        <w:t>שו"ע:</w:t>
      </w:r>
    </w:p>
    <w:p w14:paraId="4C135E42"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rtl/>
        </w:rPr>
        <w:t>שביעית משמטת את המלוה</w:t>
      </w:r>
      <w:r w:rsidRPr="001D49D4">
        <w:rPr>
          <w:rFonts w:ascii="Calibri" w:eastAsia="Calibri" w:hAnsi="Calibri" w:cs="Arial"/>
          <w:vertAlign w:val="superscript"/>
          <w:rtl/>
        </w:rPr>
        <w:footnoteReference w:id="5275"/>
      </w:r>
      <w:r w:rsidRPr="001D49D4">
        <w:rPr>
          <w:rFonts w:ascii="Calibri" w:eastAsia="Calibri" w:hAnsi="Calibri" w:cs="Arial"/>
          <w:rtl/>
        </w:rPr>
        <w:t>, ואפילו מלוה שבשטר שיש בו אחריות נכסים</w:t>
      </w:r>
      <w:r w:rsidRPr="001D49D4">
        <w:rPr>
          <w:rFonts w:ascii="Calibri" w:eastAsia="Calibri" w:hAnsi="Calibri" w:cs="Arial"/>
          <w:vertAlign w:val="superscript"/>
          <w:rtl/>
        </w:rPr>
        <w:footnoteReference w:id="5276"/>
      </w:r>
      <w:r w:rsidRPr="001D49D4">
        <w:rPr>
          <w:rFonts w:ascii="Calibri" w:eastAsia="Calibri" w:hAnsi="Calibri" w:cs="Arial"/>
          <w:rtl/>
        </w:rPr>
        <w:t>. והמשכנתא</w:t>
      </w:r>
      <w:r w:rsidRPr="001D49D4">
        <w:rPr>
          <w:rFonts w:ascii="Calibri" w:eastAsia="Calibri" w:hAnsi="Calibri" w:cs="Arial"/>
          <w:vertAlign w:val="superscript"/>
          <w:rtl/>
        </w:rPr>
        <w:footnoteReference w:id="5277"/>
      </w:r>
      <w:r w:rsidRPr="001D49D4">
        <w:rPr>
          <w:rFonts w:ascii="Calibri" w:eastAsia="Calibri" w:hAnsi="Calibri" w:cs="Arial"/>
          <w:rtl/>
        </w:rPr>
        <w:t>, במקום שדרכם לסלק המלוה בכל עת שיביא מעותיו, שביעית משמטתה. ומקום שאינו יכול לסלקו עד סוף זמנו</w:t>
      </w:r>
      <w:r w:rsidRPr="001D49D4">
        <w:rPr>
          <w:rFonts w:ascii="Calibri" w:eastAsia="Calibri" w:hAnsi="Calibri" w:cs="Arial"/>
          <w:vertAlign w:val="superscript"/>
          <w:rtl/>
        </w:rPr>
        <w:footnoteReference w:id="5278"/>
      </w:r>
      <w:r w:rsidRPr="001D49D4">
        <w:rPr>
          <w:rFonts w:ascii="Calibri" w:eastAsia="Calibri" w:hAnsi="Calibri" w:cs="Arial"/>
          <w:rtl/>
        </w:rPr>
        <w:t>, אין שביעית משמטתה. ואם אינה משכנתא, אלא שסיים לו שדה בהלואתו</w:t>
      </w:r>
      <w:r w:rsidRPr="001D49D4">
        <w:rPr>
          <w:rFonts w:ascii="Calibri" w:eastAsia="Calibri" w:hAnsi="Calibri" w:cs="Arial"/>
          <w:vertAlign w:val="superscript"/>
          <w:rtl/>
        </w:rPr>
        <w:footnoteReference w:id="5279"/>
      </w:r>
      <w:r w:rsidRPr="001D49D4">
        <w:rPr>
          <w:rFonts w:ascii="Calibri" w:eastAsia="Calibri" w:hAnsi="Calibri" w:cs="Arial"/>
          <w:rtl/>
        </w:rPr>
        <w:t xml:space="preserve">, אינו משמט. ויש אומרים דהני מילי באתרא דלא מסלקי ליה. וכל שאינו יכול לסלקו, אפילו יום אחד, מקרי אתרא דלא מסלקי ליה. </w:t>
      </w:r>
    </w:p>
    <w:p w14:paraId="1E13DCDA" w14:textId="77777777" w:rsidR="001D49D4" w:rsidRPr="001D49D4" w:rsidRDefault="001D49D4" w:rsidP="0004348D">
      <w:pPr>
        <w:spacing w:before="360" w:after="240"/>
        <w:rPr>
          <w:rFonts w:ascii="Calibri" w:eastAsia="Calibri" w:hAnsi="Calibri" w:cs="Arial"/>
          <w:rtl/>
        </w:rPr>
      </w:pPr>
    </w:p>
    <w:p w14:paraId="7B0C469F" w14:textId="77777777" w:rsidR="001D49D4" w:rsidRPr="001D49D4" w:rsidRDefault="001D49D4" w:rsidP="0004348D">
      <w:pPr>
        <w:keepNext/>
        <w:keepLines/>
        <w:spacing w:before="360" w:after="240"/>
        <w:outlineLvl w:val="1"/>
        <w:rPr>
          <w:rFonts w:ascii="Cambria" w:eastAsia="Times New Roman" w:hAnsi="Cambria" w:cs="Arial"/>
          <w:bCs/>
          <w:color w:val="548DD4" w:themeColor="text2" w:themeTint="99"/>
          <w:sz w:val="26"/>
          <w:szCs w:val="26"/>
          <w:rtl/>
        </w:rPr>
      </w:pPr>
      <w:bookmarkStart w:id="732" w:name="_Toc24884140"/>
      <w:r w:rsidRPr="001D49D4">
        <w:rPr>
          <w:rFonts w:ascii="Cambria" w:eastAsia="Times New Roman" w:hAnsi="Cambria" w:cs="Arial"/>
          <w:bCs/>
          <w:color w:val="548DD4" w:themeColor="text2" w:themeTint="99"/>
          <w:sz w:val="26"/>
          <w:szCs w:val="26"/>
          <w:rtl/>
        </w:rPr>
        <w:t>סעיף ג: פלגא דמלוה שבשטר עסקא.</w:t>
      </w:r>
      <w:bookmarkEnd w:id="732"/>
    </w:p>
    <w:p w14:paraId="20FE4124" w14:textId="77777777" w:rsidR="001D49D4" w:rsidRPr="001D49D4" w:rsidRDefault="001D49D4" w:rsidP="0004348D">
      <w:pPr>
        <w:spacing w:before="360" w:after="240"/>
        <w:rPr>
          <w:rFonts w:ascii="Calibri" w:eastAsia="Calibri" w:hAnsi="Calibri" w:cs="Arial"/>
          <w:u w:val="single"/>
          <w:rtl/>
        </w:rPr>
      </w:pPr>
      <w:r w:rsidRPr="001D49D4">
        <w:rPr>
          <w:rFonts w:ascii="Calibri" w:eastAsia="Calibri" w:hAnsi="Calibri" w:cs="Arial"/>
          <w:u w:val="single"/>
          <w:rtl/>
        </w:rPr>
        <w:t>מי שעשה עם חברו 'עסקא' – האם שביעית משמטת פלגא דמלוה:</w:t>
      </w:r>
    </w:p>
    <w:p w14:paraId="5515D3D3" w14:textId="77777777" w:rsidR="001D49D4" w:rsidRPr="001D49D4" w:rsidRDefault="001D49D4" w:rsidP="0004348D">
      <w:pPr>
        <w:numPr>
          <w:ilvl w:val="0"/>
          <w:numId w:val="345"/>
        </w:numPr>
        <w:spacing w:before="360" w:after="240"/>
        <w:contextualSpacing/>
        <w:rPr>
          <w:rFonts w:ascii="Calibri" w:eastAsia="Calibri" w:hAnsi="Calibri" w:cs="Arial"/>
          <w:rtl/>
        </w:rPr>
      </w:pPr>
      <w:r w:rsidRPr="001D49D4">
        <w:rPr>
          <w:rFonts w:ascii="Calibri" w:eastAsia="Calibri" w:hAnsi="Calibri" w:cs="Arial"/>
          <w:rtl/>
        </w:rPr>
        <w:t xml:space="preserve">מהר"ם </w:t>
      </w:r>
      <w:r w:rsidRPr="001D49D4">
        <w:rPr>
          <w:rFonts w:ascii="Calibri" w:eastAsia="Calibri" w:hAnsi="Calibri" w:cs="Arial"/>
          <w:sz w:val="16"/>
          <w:szCs w:val="16"/>
          <w:rtl/>
        </w:rPr>
        <w:t>(ד"פ סי' תתקעג, העתיקוהו בהגה"מ [בתשו' השייכות לספר משפטים סי' יב] ובמרדכי [פרק המקבל ב"מ סי' שצ])</w:t>
      </w:r>
      <w:r w:rsidRPr="001D49D4">
        <w:rPr>
          <w:rFonts w:ascii="Calibri" w:eastAsia="Calibri" w:hAnsi="Calibri" w:cs="Arial"/>
          <w:rtl/>
        </w:rPr>
        <w:t xml:space="preserve">- האי עיסקא דקיי"ל </w:t>
      </w:r>
      <w:r w:rsidRPr="001D49D4">
        <w:rPr>
          <w:rFonts w:ascii="Calibri" w:eastAsia="Calibri" w:hAnsi="Calibri" w:cs="Arial"/>
          <w:sz w:val="16"/>
          <w:szCs w:val="16"/>
          <w:rtl/>
        </w:rPr>
        <w:t xml:space="preserve">(ב"מ קד:) </w:t>
      </w:r>
      <w:r w:rsidRPr="001D49D4">
        <w:rPr>
          <w:rFonts w:ascii="Calibri" w:eastAsia="Calibri" w:hAnsi="Calibri" w:cs="Arial"/>
          <w:rtl/>
        </w:rPr>
        <w:t xml:space="preserve">פלגא מלוה - שמטה משמטת חלק המלוה, דלכל חשיבא מלוה פלגא, לענין מקדש במלוה אינה מקודשת, וכן לענין מכר אם מכר לו קרקע במלוה שהוא חייב לו לא קנה </w:t>
      </w:r>
      <w:r w:rsidRPr="001D49D4">
        <w:rPr>
          <w:rFonts w:ascii="Calibri" w:eastAsia="Calibri" w:hAnsi="Calibri" w:cs="Arial"/>
          <w:sz w:val="16"/>
          <w:szCs w:val="16"/>
          <w:rtl/>
        </w:rPr>
        <w:t>(קידושין מז.)</w:t>
      </w:r>
      <w:r w:rsidRPr="001D49D4">
        <w:rPr>
          <w:rFonts w:ascii="Calibri" w:eastAsia="Calibri" w:hAnsi="Calibri" w:cs="Arial"/>
          <w:rtl/>
        </w:rPr>
        <w:t>, ולהתחייב באונסין. ואף לענין הריוח היה שייך לומר כן דשקיל כל חד פלגא רווחא אלא משום איסור רבית הוא, ונפקא מינה היכא דיהיב ליה עיסקא סתמא וקצץ לו דינר לשכר טרחו דהשתא ליכא איסור רבית הוא לכל מילי... סוף דבר נ"ל דבר פשוט דשביעית משמטת פלגא דמלוה, דאע"ג דהנותן לא בעי שיוציאנה ויכלה אותם לגמרי, הא הוי ממש כראובן שמלוה לשמעון על המשכון שהוא ברשות שמעון, ויחד לו שמעון אותו משכון, דאפילו נטלו ראובן וחזר ויחדו אצלו שיהא ממושכן לו למעותיו - שמטה משמטתו כיון דלא תפיס ליה ראובן, וקרי ביה לא יגוש, דמה מועיל לו משכון יותר מבלא משכון, אטו בלא משכון מי לא מחייב שמעון לפורעו, ואי משום לא יגוש - בהא נמי שייך לא יגוש כיון דלא תפיס ליה מיחסר גוביינא.</w:t>
      </w:r>
      <w:r w:rsidRPr="001D49D4">
        <w:rPr>
          <w:rFonts w:ascii="Calibri" w:eastAsia="Calibri" w:hAnsi="Calibri" w:cs="Arial"/>
          <w:color w:val="E36C0A" w:themeColor="accent6" w:themeShade="BF"/>
          <w:rtl/>
        </w:rPr>
        <w:t xml:space="preserve"> (וכ"פ בשו"ע)</w:t>
      </w:r>
      <w:r w:rsidRPr="001D49D4">
        <w:rPr>
          <w:rFonts w:ascii="Calibri" w:eastAsia="Calibri" w:hAnsi="Calibri" w:cs="Arial"/>
          <w:color w:val="00B0F0"/>
          <w:rtl/>
        </w:rPr>
        <w:t xml:space="preserve"> </w:t>
      </w:r>
    </w:p>
    <w:p w14:paraId="416C2603" w14:textId="77777777" w:rsidR="001D49D4" w:rsidRPr="001D49D4" w:rsidRDefault="001D49D4" w:rsidP="0004348D">
      <w:pPr>
        <w:spacing w:before="360" w:after="240"/>
        <w:rPr>
          <w:rFonts w:ascii="Arial" w:eastAsia="Calibri" w:hAnsi="Arial" w:cs="Arial"/>
          <w:b/>
          <w:bCs/>
          <w:color w:val="000000"/>
          <w:sz w:val="28"/>
          <w:szCs w:val="28"/>
          <w:u w:val="single"/>
          <w:rtl/>
        </w:rPr>
      </w:pPr>
      <w:r w:rsidRPr="001D49D4">
        <w:rPr>
          <w:rFonts w:ascii="Arial" w:eastAsia="Calibri" w:hAnsi="Arial" w:cs="Arial"/>
          <w:b/>
          <w:bCs/>
          <w:color w:val="000000"/>
          <w:sz w:val="28"/>
          <w:szCs w:val="28"/>
          <w:u w:val="single"/>
          <w:rtl/>
        </w:rPr>
        <w:t>שו"ע:</w:t>
      </w:r>
    </w:p>
    <w:p w14:paraId="6CFB0B31"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rtl/>
        </w:rPr>
        <w:t>מי שיש לו עסקא</w:t>
      </w:r>
      <w:r w:rsidRPr="001D49D4">
        <w:rPr>
          <w:rFonts w:ascii="Calibri" w:eastAsia="Calibri" w:hAnsi="Calibri" w:cs="Arial"/>
          <w:vertAlign w:val="superscript"/>
          <w:rtl/>
        </w:rPr>
        <w:footnoteReference w:id="5280"/>
      </w:r>
      <w:r w:rsidRPr="001D49D4">
        <w:rPr>
          <w:rFonts w:ascii="Calibri" w:eastAsia="Calibri" w:hAnsi="Calibri" w:cs="Arial"/>
          <w:rtl/>
        </w:rPr>
        <w:t xml:space="preserve"> משל חבירו, שביעית משמטת פלגא שהיא מלוה. </w:t>
      </w:r>
    </w:p>
    <w:p w14:paraId="75E9494A" w14:textId="77777777" w:rsidR="001D49D4" w:rsidRPr="001D49D4" w:rsidRDefault="001D49D4" w:rsidP="0004348D">
      <w:pPr>
        <w:spacing w:before="360" w:after="240"/>
        <w:rPr>
          <w:rFonts w:ascii="Calibri" w:eastAsia="Calibri" w:hAnsi="Calibri" w:cs="Arial"/>
          <w:rtl/>
        </w:rPr>
      </w:pPr>
    </w:p>
    <w:p w14:paraId="11AD8AB4" w14:textId="77777777" w:rsidR="001D49D4" w:rsidRPr="001D49D4" w:rsidRDefault="001D49D4" w:rsidP="0004348D">
      <w:pPr>
        <w:keepNext/>
        <w:keepLines/>
        <w:spacing w:before="360" w:after="240"/>
        <w:outlineLvl w:val="1"/>
        <w:rPr>
          <w:rFonts w:ascii="Cambria" w:eastAsia="Times New Roman" w:hAnsi="Cambria" w:cs="Arial"/>
          <w:bCs/>
          <w:color w:val="548DD4" w:themeColor="text2" w:themeTint="99"/>
          <w:sz w:val="26"/>
          <w:szCs w:val="26"/>
          <w:rtl/>
        </w:rPr>
      </w:pPr>
      <w:bookmarkStart w:id="733" w:name="_Toc24884141"/>
      <w:r w:rsidRPr="001D49D4">
        <w:rPr>
          <w:rFonts w:ascii="Cambria" w:eastAsia="Times New Roman" w:hAnsi="Cambria" w:cs="Arial"/>
          <w:bCs/>
          <w:color w:val="548DD4" w:themeColor="text2" w:themeTint="99"/>
          <w:sz w:val="26"/>
          <w:szCs w:val="26"/>
          <w:rtl/>
        </w:rPr>
        <w:t>סעיף ד: שותפים שהיה ביד אחד שטר ששיך גם לשותף השני.</w:t>
      </w:r>
      <w:bookmarkEnd w:id="733"/>
      <w:r w:rsidRPr="001D49D4">
        <w:rPr>
          <w:rFonts w:ascii="Cambria" w:eastAsia="Times New Roman" w:hAnsi="Cambria" w:cs="Arial"/>
          <w:bCs/>
          <w:color w:val="548DD4" w:themeColor="text2" w:themeTint="99"/>
          <w:sz w:val="26"/>
          <w:szCs w:val="26"/>
          <w:rtl/>
        </w:rPr>
        <w:t xml:space="preserve"> </w:t>
      </w:r>
    </w:p>
    <w:p w14:paraId="49AEE7BE"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u w:val="single"/>
          <w:rtl/>
        </w:rPr>
        <w:t>שותפים שהיה ביד אחד שטר ששיך גם לשותף השני:</w:t>
      </w:r>
    </w:p>
    <w:p w14:paraId="55FD4162" w14:textId="77777777" w:rsidR="001D49D4" w:rsidRPr="001D49D4" w:rsidRDefault="001D49D4" w:rsidP="0004348D">
      <w:pPr>
        <w:numPr>
          <w:ilvl w:val="0"/>
          <w:numId w:val="345"/>
        </w:numPr>
        <w:spacing w:before="360" w:after="240"/>
        <w:contextualSpacing/>
        <w:rPr>
          <w:rFonts w:ascii="Calibri" w:eastAsia="Calibri" w:hAnsi="Calibri" w:cs="Arial"/>
          <w:rtl/>
        </w:rPr>
      </w:pPr>
      <w:r w:rsidRPr="001D49D4">
        <w:rPr>
          <w:rFonts w:ascii="Calibri" w:eastAsia="Calibri" w:hAnsi="Calibri" w:cs="Arial"/>
          <w:rtl/>
        </w:rPr>
        <w:t xml:space="preserve">רא"ש </w:t>
      </w:r>
      <w:r w:rsidRPr="001D49D4">
        <w:rPr>
          <w:rFonts w:ascii="Calibri" w:eastAsia="Calibri" w:hAnsi="Calibri" w:cs="Arial"/>
          <w:sz w:val="16"/>
          <w:szCs w:val="16"/>
          <w:rtl/>
        </w:rPr>
        <w:t>(כלל עז סי' ג)</w:t>
      </w:r>
      <w:r w:rsidRPr="001D49D4">
        <w:rPr>
          <w:rFonts w:ascii="Calibri" w:eastAsia="Calibri" w:hAnsi="Calibri" w:cs="Arial"/>
          <w:rtl/>
        </w:rPr>
        <w:t xml:space="preserve"> ור"ן </w:t>
      </w:r>
      <w:r w:rsidRPr="001D49D4">
        <w:rPr>
          <w:rFonts w:ascii="Calibri" w:eastAsia="Calibri" w:hAnsi="Calibri" w:cs="Arial"/>
          <w:sz w:val="16"/>
          <w:szCs w:val="16"/>
          <w:rtl/>
        </w:rPr>
        <w:t>(פרק כל הנשבעין לב: ד"ה מתני')</w:t>
      </w:r>
      <w:r w:rsidRPr="001D49D4">
        <w:rPr>
          <w:rFonts w:ascii="Calibri" w:eastAsia="Calibri" w:hAnsi="Calibri" w:cs="Arial"/>
          <w:rtl/>
        </w:rPr>
        <w:t xml:space="preserve">- אחד שהיה שותף עם חבירו והיו מתעסקים בסחורה ובשטרות ונשאר ביד אחד מהם מהשותפים - יראה לי שאין שביעית משמטת שותפות, דמה שהיה בידו מעסק השותפות כמו פקדון הוא ולא קרי ביה </w:t>
      </w:r>
      <w:r w:rsidRPr="001D49D4">
        <w:rPr>
          <w:rFonts w:ascii="Calibri" w:eastAsia="Calibri" w:hAnsi="Calibri" w:cs="Arial"/>
          <w:sz w:val="16"/>
          <w:szCs w:val="16"/>
          <w:rtl/>
        </w:rPr>
        <w:t xml:space="preserve">(דברים טו ב) </w:t>
      </w:r>
      <w:r w:rsidRPr="001D49D4">
        <w:rPr>
          <w:rFonts w:ascii="Calibri" w:eastAsia="Calibri" w:hAnsi="Calibri" w:cs="Arial"/>
          <w:rtl/>
        </w:rPr>
        <w:t>כל בעל משה ידו אשר ישה ברעהו</w:t>
      </w:r>
      <w:r w:rsidRPr="001D49D4">
        <w:rPr>
          <w:rFonts w:ascii="Calibri" w:eastAsia="Calibri" w:hAnsi="Calibri" w:cs="Arial"/>
          <w:vertAlign w:val="superscript"/>
          <w:rtl/>
        </w:rPr>
        <w:footnoteReference w:id="5281"/>
      </w:r>
      <w:r w:rsidRPr="001D49D4">
        <w:rPr>
          <w:rFonts w:ascii="Calibri" w:eastAsia="Calibri" w:hAnsi="Calibri" w:cs="Arial"/>
          <w:sz w:val="16"/>
          <w:szCs w:val="16"/>
          <w:rtl/>
        </w:rPr>
        <w:t xml:space="preserve"> (ל' הרא"ש)</w:t>
      </w:r>
      <w:r w:rsidRPr="001D49D4">
        <w:rPr>
          <w:rFonts w:ascii="Calibri" w:eastAsia="Calibri" w:hAnsi="Calibri" w:cs="Arial"/>
          <w:rtl/>
        </w:rPr>
        <w:t>.</w:t>
      </w:r>
      <w:r w:rsidRPr="001D49D4">
        <w:rPr>
          <w:rFonts w:ascii="Calibri" w:eastAsia="Calibri" w:hAnsi="Calibri" w:cs="Arial"/>
          <w:color w:val="E36C0A" w:themeColor="accent6" w:themeShade="BF"/>
          <w:rtl/>
        </w:rPr>
        <w:t xml:space="preserve"> (וכ"פ בשו"ע)</w:t>
      </w:r>
    </w:p>
    <w:p w14:paraId="6FC232E0" w14:textId="77777777" w:rsidR="001D49D4" w:rsidRPr="001D49D4" w:rsidRDefault="001D49D4" w:rsidP="0004348D">
      <w:pPr>
        <w:spacing w:before="360" w:after="240"/>
        <w:rPr>
          <w:rFonts w:ascii="Arial" w:eastAsia="Calibri" w:hAnsi="Arial" w:cs="Arial"/>
          <w:b/>
          <w:bCs/>
          <w:color w:val="000000"/>
          <w:sz w:val="28"/>
          <w:szCs w:val="28"/>
          <w:u w:val="single"/>
          <w:rtl/>
        </w:rPr>
      </w:pPr>
      <w:r w:rsidRPr="001D49D4">
        <w:rPr>
          <w:rFonts w:ascii="Arial" w:eastAsia="Calibri" w:hAnsi="Arial" w:cs="Arial"/>
          <w:b/>
          <w:bCs/>
          <w:color w:val="000000"/>
          <w:sz w:val="28"/>
          <w:szCs w:val="28"/>
          <w:u w:val="single"/>
          <w:rtl/>
        </w:rPr>
        <w:t>שו"ע:</w:t>
      </w:r>
    </w:p>
    <w:p w14:paraId="0826B942"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rtl/>
        </w:rPr>
        <w:t xml:space="preserve">מי שהיה שותף עם חבירו, והיו מתעסקים בסחורות ובשטרות, ונשאר ביד אחד מהשותפין, אין שביעית משמטתו, שאין שביעית משמטת אלא מלוה. </w:t>
      </w:r>
    </w:p>
    <w:p w14:paraId="509DD272" w14:textId="77777777" w:rsidR="001D49D4" w:rsidRPr="001D49D4" w:rsidRDefault="001D49D4" w:rsidP="0004348D">
      <w:pPr>
        <w:spacing w:before="360" w:after="240"/>
        <w:rPr>
          <w:rFonts w:ascii="Calibri" w:eastAsia="Calibri" w:hAnsi="Calibri" w:cs="Arial"/>
          <w:rtl/>
        </w:rPr>
      </w:pPr>
    </w:p>
    <w:p w14:paraId="519F4577" w14:textId="77777777" w:rsidR="001D49D4" w:rsidRPr="001D49D4" w:rsidRDefault="001D49D4" w:rsidP="0004348D">
      <w:pPr>
        <w:keepNext/>
        <w:keepLines/>
        <w:spacing w:before="360" w:after="240"/>
        <w:outlineLvl w:val="1"/>
        <w:rPr>
          <w:rFonts w:ascii="Cambria" w:eastAsia="Times New Roman" w:hAnsi="Cambria" w:cs="Arial"/>
          <w:bCs/>
          <w:color w:val="548DD4" w:themeColor="text2" w:themeTint="99"/>
          <w:sz w:val="26"/>
          <w:szCs w:val="26"/>
          <w:rtl/>
        </w:rPr>
      </w:pPr>
      <w:bookmarkStart w:id="734" w:name="_Toc24884142"/>
      <w:r w:rsidRPr="001D49D4">
        <w:rPr>
          <w:rFonts w:ascii="Cambria" w:eastAsia="Times New Roman" w:hAnsi="Cambria" w:cs="Arial"/>
          <w:bCs/>
          <w:color w:val="548DD4" w:themeColor="text2" w:themeTint="99"/>
          <w:sz w:val="26"/>
          <w:szCs w:val="26"/>
          <w:rtl/>
        </w:rPr>
        <w:t>סעיף ה: ערב שפרע למלוה, וקודם שנתפרע מהלוה הגיעה שנת השמיטה.</w:t>
      </w:r>
      <w:bookmarkEnd w:id="734"/>
    </w:p>
    <w:p w14:paraId="6638CF34"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u w:val="single"/>
          <w:rtl/>
        </w:rPr>
        <w:t>ערב שפרע למלוה וקודם שנתפרע מהלוה הגיעה שנת השמיטה:</w:t>
      </w:r>
    </w:p>
    <w:p w14:paraId="2C71EA17" w14:textId="77777777" w:rsidR="001D49D4" w:rsidRPr="001D49D4" w:rsidRDefault="001D49D4" w:rsidP="0004348D">
      <w:pPr>
        <w:numPr>
          <w:ilvl w:val="0"/>
          <w:numId w:val="345"/>
        </w:numPr>
        <w:spacing w:before="360" w:after="240"/>
        <w:contextualSpacing/>
        <w:rPr>
          <w:rFonts w:ascii="Calibri" w:eastAsia="Calibri" w:hAnsi="Calibri" w:cs="Arial"/>
          <w:rtl/>
        </w:rPr>
      </w:pPr>
      <w:r w:rsidRPr="001D49D4">
        <w:rPr>
          <w:rFonts w:ascii="Calibri" w:eastAsia="Calibri" w:hAnsi="Calibri" w:cs="Arial"/>
          <w:rtl/>
        </w:rPr>
        <w:t xml:space="preserve">רי"ו </w:t>
      </w:r>
      <w:r w:rsidRPr="001D49D4">
        <w:rPr>
          <w:rFonts w:ascii="Calibri" w:eastAsia="Calibri" w:hAnsi="Calibri" w:cs="Arial"/>
          <w:sz w:val="16"/>
          <w:szCs w:val="16"/>
          <w:rtl/>
        </w:rPr>
        <w:t>(מישרים נ"ז ח"א כו ע"ד)</w:t>
      </w:r>
      <w:r w:rsidRPr="001D49D4">
        <w:rPr>
          <w:rFonts w:ascii="Calibri" w:eastAsia="Calibri" w:hAnsi="Calibri" w:cs="Arial"/>
          <w:rtl/>
        </w:rPr>
        <w:t xml:space="preserve">- ערב שפרע למלוה וקודם שנתפרע מהלוה הגיע שנת שמטה - אינו גובה חובו, שכבר נעשה מלוה משעה שפרע, כ"כ הגאונים וכ"כ הרשב"א בתשו' </w:t>
      </w:r>
      <w:r w:rsidRPr="001D49D4">
        <w:rPr>
          <w:rFonts w:ascii="Calibri" w:eastAsia="Calibri" w:hAnsi="Calibri" w:cs="Arial"/>
          <w:sz w:val="16"/>
          <w:szCs w:val="16"/>
          <w:rtl/>
        </w:rPr>
        <w:t>(ח"ג סי' נט)</w:t>
      </w:r>
      <w:r w:rsidRPr="001D49D4">
        <w:rPr>
          <w:rFonts w:ascii="Calibri" w:eastAsia="Calibri" w:hAnsi="Calibri" w:cs="Arial"/>
          <w:rtl/>
        </w:rPr>
        <w:t xml:space="preserve">. </w:t>
      </w:r>
      <w:r w:rsidRPr="001D49D4">
        <w:rPr>
          <w:rFonts w:ascii="Calibri" w:eastAsia="Calibri" w:hAnsi="Calibri" w:cs="Arial"/>
          <w:color w:val="E36C0A" w:themeColor="accent6" w:themeShade="BF"/>
          <w:rtl/>
        </w:rPr>
        <w:t>(וכ"פ בשו"ע)</w:t>
      </w:r>
      <w:r w:rsidRPr="001D49D4">
        <w:rPr>
          <w:rFonts w:ascii="Calibri" w:eastAsia="Calibri" w:hAnsi="Calibri" w:cs="Arial"/>
          <w:color w:val="00B0F0"/>
          <w:rtl/>
        </w:rPr>
        <w:t xml:space="preserve"> (וכ"פ הרמ"א</w:t>
      </w:r>
      <w:r w:rsidRPr="001D49D4">
        <w:rPr>
          <w:rFonts w:ascii="Calibri" w:eastAsia="Calibri" w:hAnsi="Calibri" w:cs="Arial"/>
          <w:color w:val="000000" w:themeColor="text1"/>
          <w:sz w:val="16"/>
          <w:szCs w:val="16"/>
          <w:rtl/>
        </w:rPr>
        <w:t xml:space="preserve"> [בסע' יז]</w:t>
      </w:r>
      <w:r w:rsidRPr="001D49D4">
        <w:rPr>
          <w:rFonts w:ascii="Calibri" w:eastAsia="Calibri" w:hAnsi="Calibri" w:cs="Arial"/>
          <w:color w:val="00B0F0"/>
          <w:rtl/>
        </w:rPr>
        <w:t>)</w:t>
      </w:r>
    </w:p>
    <w:p w14:paraId="292E32EC" w14:textId="77777777" w:rsidR="001D49D4" w:rsidRPr="001D49D4" w:rsidRDefault="001D49D4" w:rsidP="0004348D">
      <w:pPr>
        <w:spacing w:before="360" w:after="240"/>
        <w:rPr>
          <w:rFonts w:ascii="Arial" w:eastAsia="Calibri" w:hAnsi="Arial" w:cs="Arial"/>
          <w:b/>
          <w:bCs/>
          <w:color w:val="000000"/>
          <w:sz w:val="28"/>
          <w:szCs w:val="28"/>
          <w:u w:val="single"/>
          <w:rtl/>
        </w:rPr>
      </w:pPr>
      <w:r w:rsidRPr="001D49D4">
        <w:rPr>
          <w:rFonts w:ascii="Arial" w:eastAsia="Calibri" w:hAnsi="Arial" w:cs="Arial"/>
          <w:b/>
          <w:bCs/>
          <w:color w:val="000000"/>
          <w:sz w:val="28"/>
          <w:szCs w:val="28"/>
          <w:u w:val="single"/>
          <w:rtl/>
        </w:rPr>
        <w:t>שו"ע:</w:t>
      </w:r>
    </w:p>
    <w:p w14:paraId="6C6454E8"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rtl/>
        </w:rPr>
        <w:t xml:space="preserve">ערב שפרע למלוה, וקודם שפרע הלוה הגיעה שנת השמיטה, משמט. </w:t>
      </w:r>
    </w:p>
    <w:p w14:paraId="601A4BEE" w14:textId="77777777" w:rsidR="001D49D4" w:rsidRPr="001D49D4" w:rsidRDefault="001D49D4" w:rsidP="0004348D">
      <w:pPr>
        <w:spacing w:before="360" w:after="240"/>
        <w:rPr>
          <w:rFonts w:ascii="Calibri" w:eastAsia="Calibri" w:hAnsi="Calibri" w:cs="Arial"/>
          <w:rtl/>
        </w:rPr>
      </w:pPr>
    </w:p>
    <w:p w14:paraId="6BDFC8D8" w14:textId="77777777" w:rsidR="001D49D4" w:rsidRPr="001D49D4" w:rsidRDefault="001D49D4" w:rsidP="0004348D">
      <w:pPr>
        <w:keepNext/>
        <w:keepLines/>
        <w:spacing w:before="360" w:after="240"/>
        <w:outlineLvl w:val="1"/>
        <w:rPr>
          <w:rFonts w:ascii="Cambria" w:eastAsia="Times New Roman" w:hAnsi="Cambria" w:cs="Arial"/>
          <w:bCs/>
          <w:color w:val="548DD4" w:themeColor="text2" w:themeTint="99"/>
          <w:sz w:val="26"/>
          <w:szCs w:val="26"/>
          <w:rtl/>
        </w:rPr>
      </w:pPr>
      <w:bookmarkStart w:id="735" w:name="_Toc24884143"/>
      <w:r w:rsidRPr="001D49D4">
        <w:rPr>
          <w:rFonts w:ascii="Cambria" w:eastAsia="Times New Roman" w:hAnsi="Cambria" w:cs="Arial"/>
          <w:bCs/>
          <w:color w:val="548DD4" w:themeColor="text2" w:themeTint="99"/>
          <w:sz w:val="26"/>
          <w:szCs w:val="26"/>
          <w:rtl/>
        </w:rPr>
        <w:t>סעיף ו: שביעית משמטת שבועה.</w:t>
      </w:r>
      <w:bookmarkEnd w:id="735"/>
    </w:p>
    <w:p w14:paraId="0328E914" w14:textId="77777777" w:rsidR="001D49D4" w:rsidRPr="001D49D4" w:rsidRDefault="001D49D4" w:rsidP="0004348D">
      <w:pPr>
        <w:spacing w:before="360" w:after="240"/>
        <w:rPr>
          <w:rFonts w:ascii="Calibri" w:eastAsia="Calibri" w:hAnsi="Calibri" w:cs="Arial"/>
          <w:rtl/>
        </w:rPr>
      </w:pPr>
      <w:bookmarkStart w:id="736" w:name="_Hlk16625416"/>
      <w:r w:rsidRPr="001D49D4">
        <w:rPr>
          <w:rFonts w:ascii="Calibri" w:eastAsia="Calibri" w:hAnsi="Calibri" w:cs="Arial"/>
          <w:b/>
          <w:bCs/>
          <w:rtl/>
        </w:rPr>
        <w:t xml:space="preserve">שבועות </w:t>
      </w:r>
      <w:r w:rsidRPr="001D49D4">
        <w:rPr>
          <w:rFonts w:ascii="Calibri" w:eastAsia="Calibri" w:hAnsi="Calibri" w:cs="Arial"/>
          <w:b/>
          <w:bCs/>
          <w:sz w:val="16"/>
          <w:szCs w:val="16"/>
          <w:rtl/>
        </w:rPr>
        <w:t>(ס"פ הנשבעים)</w:t>
      </w:r>
      <w:r w:rsidRPr="001D49D4">
        <w:rPr>
          <w:rFonts w:ascii="Calibri" w:eastAsia="Calibri" w:hAnsi="Calibri" w:cs="Arial"/>
          <w:b/>
          <w:bCs/>
          <w:rtl/>
        </w:rPr>
        <w:t xml:space="preserve"> מה</w:t>
      </w:r>
      <w:r w:rsidRPr="001D49D4">
        <w:rPr>
          <w:rFonts w:ascii="Calibri" w:eastAsia="Calibri" w:hAnsi="Calibri" w:cs="Arial"/>
          <w:b/>
          <w:bCs/>
          <w:vertAlign w:val="superscript"/>
          <w:rtl/>
        </w:rPr>
        <w:footnoteReference w:id="5282"/>
      </w:r>
      <w:r w:rsidRPr="001D49D4">
        <w:rPr>
          <w:rFonts w:ascii="Calibri" w:eastAsia="Calibri" w:hAnsi="Calibri" w:cs="Arial"/>
          <w:b/>
          <w:bCs/>
          <w:rtl/>
        </w:rPr>
        <w:t xml:space="preserve"> ע"א:</w:t>
      </w:r>
      <w:r w:rsidRPr="001D49D4">
        <w:rPr>
          <w:rFonts w:ascii="Calibri" w:eastAsia="Calibri" w:hAnsi="Calibri" w:cs="Arial"/>
          <w:rtl/>
        </w:rPr>
        <w:t xml:space="preserve"> </w:t>
      </w:r>
      <w:r w:rsidRPr="001D49D4">
        <w:rPr>
          <w:rFonts w:ascii="Calibri" w:eastAsia="Calibri" w:hAnsi="Calibri" w:cs="Arial"/>
          <w:u w:val="double"/>
          <w:rtl/>
        </w:rPr>
        <w:t>מתני'</w:t>
      </w:r>
      <w:r w:rsidRPr="001D49D4">
        <w:rPr>
          <w:rFonts w:ascii="Calibri" w:eastAsia="Calibri" w:hAnsi="Calibri" w:cs="Arial"/>
          <w:rtl/>
        </w:rPr>
        <w:t>:... והשביעית משמטת את השבועה.</w:t>
      </w:r>
      <w:bookmarkEnd w:id="736"/>
      <w:r w:rsidRPr="001D49D4">
        <w:rPr>
          <w:rFonts w:ascii="Calibri" w:eastAsia="Calibri" w:hAnsi="Calibri" w:cs="Arial"/>
          <w:rtl/>
        </w:rPr>
        <w:t xml:space="preserve"> </w:t>
      </w:r>
    </w:p>
    <w:p w14:paraId="5382593D" w14:textId="77777777" w:rsidR="001D49D4" w:rsidRPr="001D49D4" w:rsidRDefault="001D49D4" w:rsidP="0004348D">
      <w:pPr>
        <w:spacing w:before="360" w:after="240"/>
        <w:rPr>
          <w:rFonts w:ascii="Calibri" w:eastAsia="Calibri" w:hAnsi="Calibri" w:cs="Arial"/>
          <w:rtl/>
        </w:rPr>
      </w:pPr>
      <w:bookmarkStart w:id="737" w:name="_Hlk16625595"/>
      <w:r w:rsidRPr="001D49D4">
        <w:rPr>
          <w:rFonts w:ascii="Calibri" w:eastAsia="Calibri" w:hAnsi="Calibri" w:cs="Arial"/>
          <w:b/>
          <w:bCs/>
          <w:rtl/>
        </w:rPr>
        <w:t>תוספתא</w:t>
      </w:r>
      <w:r w:rsidRPr="001D49D4">
        <w:rPr>
          <w:rFonts w:ascii="Calibri" w:eastAsia="Calibri" w:hAnsi="Calibri" w:cs="Arial"/>
          <w:b/>
          <w:bCs/>
          <w:sz w:val="16"/>
          <w:szCs w:val="16"/>
          <w:rtl/>
        </w:rPr>
        <w:t xml:space="preserve"> </w:t>
      </w:r>
      <w:r w:rsidRPr="001D49D4">
        <w:rPr>
          <w:rFonts w:ascii="Calibri" w:eastAsia="Calibri" w:hAnsi="Calibri" w:cs="Arial"/>
          <w:b/>
          <w:bCs/>
          <w:rtl/>
        </w:rPr>
        <w:t>שביעית פ"ח ה"ח:</w:t>
      </w:r>
      <w:r w:rsidRPr="001D49D4">
        <w:rPr>
          <w:rFonts w:ascii="Calibri" w:eastAsia="Calibri" w:hAnsi="Calibri" w:cs="Arial"/>
          <w:rtl/>
        </w:rPr>
        <w:t>... כשם שהשביעית משמטת מלוה כך שביעית משמטת שבועה</w:t>
      </w:r>
      <w:r w:rsidRPr="001D49D4">
        <w:rPr>
          <w:rFonts w:ascii="Calibri" w:eastAsia="Calibri" w:hAnsi="Calibri" w:cs="Arial"/>
          <w:vertAlign w:val="superscript"/>
          <w:rtl/>
        </w:rPr>
        <w:footnoteReference w:id="5283"/>
      </w:r>
      <w:r w:rsidRPr="001D49D4">
        <w:rPr>
          <w:rFonts w:ascii="Calibri" w:eastAsia="Calibri" w:hAnsi="Calibri" w:cs="Arial"/>
          <w:rtl/>
        </w:rPr>
        <w:t>. דבר שהשביעית משמטתו משמטת שבועתו ודבר שאין השביעי' משמטתו אין משמטת שבועתו...</w:t>
      </w:r>
      <w:r w:rsidRPr="001D49D4">
        <w:rPr>
          <w:rFonts w:ascii="Calibri" w:eastAsia="Calibri" w:hAnsi="Calibri" w:cs="Arial"/>
          <w:sz w:val="16"/>
          <w:szCs w:val="16"/>
          <w:rtl/>
        </w:rPr>
        <w:t xml:space="preserve"> (וכ"פ הרמב"ם (פ"ט ה"ו) הרא"ש (פרק השולח סי' יח) טור ור"ן (שבועות לב: ד"ה מתני'). </w:t>
      </w:r>
      <w:r w:rsidRPr="001D49D4">
        <w:rPr>
          <w:rFonts w:ascii="Calibri" w:eastAsia="Calibri" w:hAnsi="Calibri" w:cs="Arial"/>
          <w:color w:val="E36C0A" w:themeColor="accent6" w:themeShade="BF"/>
          <w:sz w:val="16"/>
          <w:szCs w:val="16"/>
          <w:rtl/>
        </w:rPr>
        <w:t>וכ"פ בשו"ע</w:t>
      </w:r>
      <w:r w:rsidRPr="001D49D4">
        <w:rPr>
          <w:rFonts w:ascii="Calibri" w:eastAsia="Calibri" w:hAnsi="Calibri" w:cs="Arial"/>
          <w:sz w:val="16"/>
          <w:szCs w:val="16"/>
          <w:rtl/>
        </w:rPr>
        <w:t>)</w:t>
      </w:r>
    </w:p>
    <w:bookmarkEnd w:id="737"/>
    <w:p w14:paraId="4AA6631C"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b/>
          <w:bCs/>
          <w:rtl/>
        </w:rPr>
        <w:t xml:space="preserve">ירושלמי </w:t>
      </w:r>
      <w:r w:rsidRPr="001D49D4">
        <w:rPr>
          <w:rFonts w:ascii="Calibri" w:eastAsia="Calibri" w:hAnsi="Calibri" w:cs="Arial"/>
          <w:b/>
          <w:bCs/>
          <w:sz w:val="16"/>
          <w:szCs w:val="16"/>
          <w:rtl/>
        </w:rPr>
        <w:t>(וילנא)</w:t>
      </w:r>
      <w:r w:rsidRPr="001D49D4">
        <w:rPr>
          <w:rFonts w:ascii="Calibri" w:eastAsia="Calibri" w:hAnsi="Calibri" w:cs="Arial"/>
          <w:b/>
          <w:bCs/>
          <w:rtl/>
        </w:rPr>
        <w:t xml:space="preserve"> שביעית פ"י ה"א: </w:t>
      </w:r>
      <w:r w:rsidRPr="001D49D4">
        <w:rPr>
          <w:rFonts w:ascii="Calibri" w:eastAsia="Calibri" w:hAnsi="Calibri" w:cs="Arial"/>
          <w:u w:val="double"/>
          <w:rtl/>
        </w:rPr>
        <w:t>מתני'</w:t>
      </w:r>
      <w:r w:rsidRPr="001D49D4">
        <w:rPr>
          <w:rFonts w:ascii="Calibri" w:eastAsia="Calibri" w:hAnsi="Calibri" w:cs="Arial"/>
          <w:rtl/>
        </w:rPr>
        <w:t xml:space="preserve">:.. האונס והמפתה והמוציא שם רע וכל מעשה ב"ד אינן משמיטין...   </w:t>
      </w:r>
      <w:r w:rsidRPr="001D49D4">
        <w:rPr>
          <w:rFonts w:ascii="Calibri" w:eastAsia="Calibri" w:hAnsi="Calibri" w:cs="Arial"/>
          <w:u w:val="double"/>
          <w:rtl/>
        </w:rPr>
        <w:t>גמ'</w:t>
      </w:r>
      <w:r w:rsidRPr="001D49D4">
        <w:rPr>
          <w:rFonts w:ascii="Calibri" w:eastAsia="Calibri" w:hAnsi="Calibri" w:cs="Arial"/>
          <w:rtl/>
        </w:rPr>
        <w:t xml:space="preserve">: האונס והמפתה והמוציא שם רע. </w:t>
      </w:r>
      <w:r w:rsidRPr="001D49D4">
        <w:rPr>
          <w:rFonts w:ascii="Calibri" w:eastAsia="Calibri" w:hAnsi="Calibri" w:cs="Arial"/>
          <w:u w:val="single"/>
          <w:rtl/>
        </w:rPr>
        <w:t>רב יהודא אמר רב</w:t>
      </w:r>
      <w:r w:rsidRPr="001D49D4">
        <w:rPr>
          <w:rFonts w:ascii="Calibri" w:eastAsia="Calibri" w:hAnsi="Calibri" w:cs="Arial"/>
          <w:rtl/>
        </w:rPr>
        <w:t>: דר"מ היא, דר"מ אמר במלוה הדבר תלוי</w:t>
      </w:r>
      <w:r w:rsidRPr="001D49D4">
        <w:rPr>
          <w:rFonts w:ascii="Calibri" w:eastAsia="Calibri" w:hAnsi="Calibri" w:cs="Arial"/>
          <w:vertAlign w:val="superscript"/>
          <w:rtl/>
        </w:rPr>
        <w:footnoteReference w:id="5284"/>
      </w:r>
      <w:r w:rsidRPr="001D49D4">
        <w:rPr>
          <w:rFonts w:ascii="Calibri" w:eastAsia="Calibri" w:hAnsi="Calibri" w:cs="Arial"/>
          <w:rtl/>
        </w:rPr>
        <w:t>. וכל מעשה ב"ד - אילו גזרי דינים</w:t>
      </w:r>
      <w:r w:rsidRPr="001D49D4">
        <w:rPr>
          <w:rFonts w:ascii="Calibri" w:eastAsia="Calibri" w:hAnsi="Calibri" w:cs="Arial"/>
          <w:vertAlign w:val="superscript"/>
          <w:rtl/>
        </w:rPr>
        <w:footnoteReference w:id="5285"/>
      </w:r>
      <w:r w:rsidRPr="001D49D4">
        <w:rPr>
          <w:rFonts w:ascii="Calibri" w:eastAsia="Calibri" w:hAnsi="Calibri" w:cs="Arial"/>
          <w:rtl/>
        </w:rPr>
        <w:t>. פשיטא דא מילתא, מלוה שהיא נעשית כפרנית</w:t>
      </w:r>
      <w:r w:rsidRPr="001D49D4">
        <w:rPr>
          <w:rFonts w:ascii="Calibri" w:eastAsia="Calibri" w:hAnsi="Calibri" w:cs="Arial"/>
          <w:vertAlign w:val="superscript"/>
          <w:rtl/>
        </w:rPr>
        <w:footnoteReference w:id="5286"/>
      </w:r>
      <w:r w:rsidRPr="001D49D4">
        <w:rPr>
          <w:rFonts w:ascii="Calibri" w:eastAsia="Calibri" w:hAnsi="Calibri" w:cs="Arial"/>
          <w:rtl/>
        </w:rPr>
        <w:t xml:space="preserve"> - אינה משמטת</w:t>
      </w:r>
      <w:r w:rsidRPr="001D49D4">
        <w:rPr>
          <w:rFonts w:ascii="Calibri" w:eastAsia="Calibri" w:hAnsi="Calibri" w:cs="Arial"/>
          <w:vertAlign w:val="superscript"/>
          <w:rtl/>
        </w:rPr>
        <w:footnoteReference w:id="5287"/>
      </w:r>
      <w:r w:rsidRPr="001D49D4">
        <w:rPr>
          <w:rFonts w:ascii="Calibri" w:eastAsia="Calibri" w:hAnsi="Calibri" w:cs="Arial"/>
          <w:rtl/>
        </w:rPr>
        <w:t>. כפרנית שהיא נעשית מלוה</w:t>
      </w:r>
      <w:r w:rsidRPr="001D49D4">
        <w:rPr>
          <w:rFonts w:ascii="Calibri" w:eastAsia="Calibri" w:hAnsi="Calibri" w:cs="Arial"/>
          <w:vertAlign w:val="superscript"/>
          <w:rtl/>
        </w:rPr>
        <w:footnoteReference w:id="5288"/>
      </w:r>
      <w:r w:rsidRPr="001D49D4">
        <w:rPr>
          <w:rFonts w:ascii="Calibri" w:eastAsia="Calibri" w:hAnsi="Calibri" w:cs="Arial"/>
          <w:rtl/>
        </w:rPr>
        <w:t xml:space="preserve"> -משמטת.</w:t>
      </w:r>
      <w:r w:rsidRPr="001D49D4">
        <w:rPr>
          <w:rFonts w:ascii="Calibri" w:eastAsia="Calibri" w:hAnsi="Calibri" w:cs="Arial"/>
          <w:sz w:val="16"/>
          <w:szCs w:val="16"/>
          <w:rtl/>
        </w:rPr>
        <w:t xml:space="preserve"> (וכתב הראב"ד (בהשגות פ"ט מהל' שמיטה ה"ו) שנראה שמירושלמי זה הוציא הרמב"ם </w:t>
      </w:r>
      <w:r w:rsidRPr="001D49D4">
        <w:rPr>
          <w:rFonts w:ascii="Calibri" w:eastAsia="Calibri" w:hAnsi="Calibri" w:cs="Arial"/>
          <w:sz w:val="14"/>
          <w:szCs w:val="14"/>
          <w:rtl/>
        </w:rPr>
        <w:t>{וממילא גם הטור שהלך בעקבותיו}</w:t>
      </w:r>
      <w:r w:rsidRPr="001D49D4">
        <w:rPr>
          <w:rFonts w:ascii="Calibri" w:eastAsia="Calibri" w:hAnsi="Calibri" w:cs="Arial"/>
          <w:sz w:val="16"/>
          <w:szCs w:val="16"/>
          <w:rtl/>
        </w:rPr>
        <w:t xml:space="preserve"> דלקמן את דבריו)</w:t>
      </w:r>
      <w:r w:rsidRPr="001D49D4">
        <w:rPr>
          <w:rFonts w:ascii="Calibri" w:eastAsia="Calibri" w:hAnsi="Calibri" w:cs="Arial"/>
          <w:rtl/>
        </w:rPr>
        <w:t xml:space="preserve"> </w:t>
      </w:r>
    </w:p>
    <w:p w14:paraId="6C3513DE"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u w:val="single"/>
          <w:rtl/>
        </w:rPr>
        <w:t>איזו שבועה השביעית משמטת ואיזו לא:</w:t>
      </w:r>
    </w:p>
    <w:p w14:paraId="4B481EAA" w14:textId="77777777" w:rsidR="001D49D4" w:rsidRPr="001D49D4" w:rsidRDefault="001D49D4" w:rsidP="0004348D">
      <w:pPr>
        <w:numPr>
          <w:ilvl w:val="0"/>
          <w:numId w:val="345"/>
        </w:numPr>
        <w:spacing w:before="360" w:after="240"/>
        <w:contextualSpacing/>
        <w:rPr>
          <w:rFonts w:ascii="Calibri" w:eastAsia="Calibri" w:hAnsi="Calibri" w:cs="Arial"/>
          <w:rtl/>
        </w:rPr>
      </w:pPr>
      <w:r w:rsidRPr="001D49D4">
        <w:rPr>
          <w:rFonts w:ascii="Calibri" w:eastAsia="Calibri" w:hAnsi="Calibri" w:cs="Arial"/>
          <w:rtl/>
        </w:rPr>
        <w:t>רמב"ם</w:t>
      </w:r>
      <w:r w:rsidRPr="001D49D4">
        <w:rPr>
          <w:rFonts w:ascii="Calibri" w:eastAsia="Calibri" w:hAnsi="Calibri" w:cs="Arial"/>
          <w:vertAlign w:val="superscript"/>
          <w:rtl/>
        </w:rPr>
        <w:footnoteReference w:id="5289"/>
      </w:r>
      <w:r w:rsidRPr="001D49D4">
        <w:rPr>
          <w:rFonts w:ascii="Calibri" w:eastAsia="Calibri" w:hAnsi="Calibri" w:cs="Arial"/>
          <w:rtl/>
        </w:rPr>
        <w:t xml:space="preserve"> </w:t>
      </w:r>
      <w:r w:rsidRPr="001D49D4">
        <w:rPr>
          <w:rFonts w:ascii="Calibri" w:eastAsia="Calibri" w:hAnsi="Calibri" w:cs="Arial"/>
          <w:sz w:val="16"/>
          <w:szCs w:val="16"/>
          <w:rtl/>
        </w:rPr>
        <w:t>(פ"ט משמיטה ה"ו-ז)</w:t>
      </w:r>
      <w:r w:rsidRPr="001D49D4">
        <w:rPr>
          <w:rFonts w:ascii="Calibri" w:eastAsia="Calibri" w:hAnsi="Calibri" w:cs="Arial"/>
          <w:rtl/>
        </w:rPr>
        <w:t xml:space="preserve"> וטור- כל דבר ששביעית משמטתו משמטת שבועתו. לפיכך, שבועת הדיינין וכיוצא בהן דבר שאם יודה בו שביעית משמטתו - משמטת שבועתו. אבל שבועת השומרין והשותפין וכיוצא בהן דבר שאפי' אם יודה בו קודם שביעית אין שביעית משמטתו</w:t>
      </w:r>
      <w:r w:rsidRPr="001D49D4">
        <w:rPr>
          <w:rFonts w:ascii="Calibri" w:eastAsia="Calibri" w:hAnsi="Calibri" w:cs="Arial"/>
          <w:vertAlign w:val="superscript"/>
          <w:rtl/>
        </w:rPr>
        <w:footnoteReference w:id="5290"/>
      </w:r>
      <w:r w:rsidRPr="001D49D4">
        <w:rPr>
          <w:rFonts w:ascii="Calibri" w:eastAsia="Calibri" w:hAnsi="Calibri" w:cs="Arial"/>
          <w:rtl/>
        </w:rPr>
        <w:t xml:space="preserve"> - גם שבועה שבו אינה משמטת</w:t>
      </w:r>
      <w:r w:rsidRPr="001D49D4">
        <w:rPr>
          <w:rFonts w:ascii="Calibri" w:eastAsia="Calibri" w:hAnsi="Calibri" w:cs="Arial"/>
          <w:vertAlign w:val="superscript"/>
          <w:rtl/>
        </w:rPr>
        <w:footnoteReference w:id="5291"/>
      </w:r>
      <w:r w:rsidRPr="001D49D4">
        <w:rPr>
          <w:rFonts w:ascii="Calibri" w:eastAsia="Calibri" w:hAnsi="Calibri" w:cs="Arial"/>
          <w:sz w:val="16"/>
          <w:szCs w:val="16"/>
          <w:rtl/>
        </w:rPr>
        <w:t xml:space="preserve"> (ל' הטור)</w:t>
      </w:r>
      <w:r w:rsidRPr="001D49D4">
        <w:rPr>
          <w:rFonts w:ascii="Calibri" w:eastAsia="Calibri" w:hAnsi="Calibri" w:cs="Arial"/>
          <w:rtl/>
        </w:rPr>
        <w:t>.</w:t>
      </w:r>
      <w:r w:rsidRPr="001D49D4">
        <w:rPr>
          <w:rFonts w:ascii="Calibri" w:eastAsia="Calibri" w:hAnsi="Calibri" w:cs="Arial"/>
          <w:color w:val="E36C0A" w:themeColor="accent6" w:themeShade="BF"/>
          <w:rtl/>
        </w:rPr>
        <w:t xml:space="preserve"> (וכ"פ בשו"ע)</w:t>
      </w:r>
    </w:p>
    <w:p w14:paraId="28CD32B5"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u w:val="single"/>
          <w:rtl/>
        </w:rPr>
        <w:t>מי שנשבע לפרוע לחבירו לזמן פלוני והגיע שמטה תוך זמן ההלואה:</w:t>
      </w:r>
      <w:r w:rsidRPr="001D49D4">
        <w:rPr>
          <w:rFonts w:ascii="Calibri" w:eastAsia="Calibri" w:hAnsi="Calibri" w:cs="Arial"/>
          <w:rtl/>
        </w:rPr>
        <w:t xml:space="preserve"> </w:t>
      </w:r>
    </w:p>
    <w:p w14:paraId="631F0026" w14:textId="77777777" w:rsidR="001D49D4" w:rsidRPr="001D49D4" w:rsidRDefault="001D49D4" w:rsidP="0004348D">
      <w:pPr>
        <w:numPr>
          <w:ilvl w:val="0"/>
          <w:numId w:val="345"/>
        </w:numPr>
        <w:spacing w:before="360" w:after="240"/>
        <w:contextualSpacing/>
        <w:rPr>
          <w:rFonts w:ascii="Calibri" w:eastAsia="Calibri" w:hAnsi="Calibri" w:cs="Arial"/>
          <w:rtl/>
        </w:rPr>
      </w:pPr>
      <w:r w:rsidRPr="001D49D4">
        <w:rPr>
          <w:rFonts w:ascii="Calibri" w:eastAsia="Calibri" w:hAnsi="Calibri" w:cs="Arial"/>
          <w:rtl/>
        </w:rPr>
        <w:t xml:space="preserve">רשב"א </w:t>
      </w:r>
      <w:r w:rsidRPr="001D49D4">
        <w:rPr>
          <w:rFonts w:ascii="Calibri" w:eastAsia="Calibri" w:hAnsi="Calibri" w:cs="Arial"/>
          <w:sz w:val="16"/>
          <w:szCs w:val="16"/>
          <w:rtl/>
        </w:rPr>
        <w:t>(במיוחסות סי' רנו, הביאו מהרי"ק [שורש פא ענף ג], וכן בשו"ת הרשב"א ח"א סי' תשעה)</w:t>
      </w:r>
      <w:r w:rsidRPr="001D49D4">
        <w:rPr>
          <w:rFonts w:ascii="Calibri" w:eastAsia="Calibri" w:hAnsi="Calibri" w:cs="Arial"/>
          <w:rtl/>
        </w:rPr>
        <w:t>- שאלה, בנשבע לחבירו שיפרענו לזמן פלוני, והגיע שמטה. אם השביעית בזמן הזה משמטת ונאמר ממון אין כאן שבועה אין כאן. או נאמר שבועה דאורייתא שמיטה בזמן הזה דרבנן ולא אתי דרבנן ומבטל דאורייתא. תשובה, יש לך לדעת שאם הגיע השמיטה תוך זמן ההלואה אין השביעית משמטתה. דקי"ל כר' יצחק פ"ק דמכות</w:t>
      </w:r>
      <w:r w:rsidRPr="001D49D4">
        <w:rPr>
          <w:rFonts w:ascii="Calibri" w:eastAsia="Calibri" w:hAnsi="Calibri" w:cs="Arial"/>
          <w:sz w:val="16"/>
          <w:szCs w:val="16"/>
          <w:rtl/>
        </w:rPr>
        <w:t xml:space="preserve"> (ג.)</w:t>
      </w:r>
      <w:r w:rsidRPr="001D49D4">
        <w:rPr>
          <w:rFonts w:ascii="Calibri" w:eastAsia="Calibri" w:hAnsi="Calibri" w:cs="Arial"/>
          <w:rtl/>
        </w:rPr>
        <w:t xml:space="preserve"> המלוה חבירו לעשר שנים אין שביעית משמטתה. וכן אם הגיע זמן הלואה קודם שביעית ונשבע שיפרענו ליום פלוני, ולא פרעו כבר עבר על שבועה ושוב אין לה תשלומין ואין עליו עוד חיוב פרעון בשבועה, כנשבע שיאכל ככר זה היום ועבר היום ולא אכלו, שזה עובר על שבועתו ושוב אינו חייב לאכול את הככר. דמאי דהוה הוה. ועוד אתה צריך לדעת דקי"ל כרב דאמר פרק השולח האומר פרוסבול היה לי ואבד, נאמן. משום דכל דאית ליה תקנתא חזקה לא שביק היתרא ואכיל איסורא. ואפילו עכשיו שאין העם מורגלים בפרוסבולי ואינם יודעים אותו - נאמן לומר תנאי היה דברינו שלא תשמטנו בשביעית, מההוא טעמא גופה דרב לא שביק היתרא ואכיל איסורא. ולא עוד אלא דכל כגון זה פותחין לו למלוה ואומר כלום תנאי היה לו עמך שלא תשמיטנו שביעית, דכגון זה פתח פיך לאלם הוא. וכדאמרינן התם כי אתי לקמיה דרב הוה אמר ליה מידי פרוסבול היה לך ואבד, כגון זה פתח פיך לאלם הוא. וכיון שכן נאמן ואפילו שלא בשבועה. אבל אם אין לו פרוסבול ולא תנאי- שביעית משמטתו ואפילו בזמן הזה דהפקר ב"ד הפקר. ולא נשבע זה לפרוע אלא כל זמן שהוא חייב. שאילו מחל לו זה חובו אין חיוב שבועה חל עליו. והרי זה יכול להתיר שבועתו שלא ע"פ חכם בכענין זה. שהרי כאלו התקבל חובו דאפקעתא דמלכא הוא דהפקר ב"ד הפקר דאו' </w:t>
      </w:r>
      <w:r w:rsidRPr="001D49D4">
        <w:rPr>
          <w:rFonts w:ascii="Calibri" w:eastAsia="Calibri" w:hAnsi="Calibri" w:cs="Arial"/>
          <w:sz w:val="16"/>
          <w:szCs w:val="16"/>
          <w:rtl/>
        </w:rPr>
        <w:t>(גיטין לו:)</w:t>
      </w:r>
      <w:r w:rsidRPr="001D49D4">
        <w:rPr>
          <w:rFonts w:ascii="Calibri" w:eastAsia="Calibri" w:hAnsi="Calibri" w:cs="Arial"/>
          <w:rtl/>
        </w:rPr>
        <w:t xml:space="preserve">, כדילפינן ליה מאלה הנחלות אשר נחלו אלעזר הכהן ויהושע בן נון וראשי האבות </w:t>
      </w:r>
      <w:r w:rsidRPr="001D49D4">
        <w:rPr>
          <w:rFonts w:ascii="Calibri" w:eastAsia="Calibri" w:hAnsi="Calibri" w:cs="Arial"/>
          <w:sz w:val="16"/>
          <w:szCs w:val="16"/>
          <w:rtl/>
        </w:rPr>
        <w:t>(יהושע יט נא)</w:t>
      </w:r>
      <w:r w:rsidRPr="001D49D4">
        <w:rPr>
          <w:rFonts w:ascii="Calibri" w:eastAsia="Calibri" w:hAnsi="Calibri" w:cs="Arial"/>
          <w:rtl/>
        </w:rPr>
        <w:t>, ואמרי' מה ענין ראשים אצל אבות, לומר לך מה אבות מנחילין את בניהם מה שירצו אף ראשים ינחילו את העם מה שירצו. ומן הטעם הזה בעצמו הוא דאמר רבא דאע"ג דאמרה תורה דתשמט אפ"ה אתא הלל ותקן דלא תשמט, ולוקחין ממון מלוה ונותנים למלוה אע"ג דהוי זה כעין גזל ושנוטלין מזה ונותנים לזה. וכדאקשינן התם ומי איכא מידי דמדאורייתא משמטא שביעית ותיקן הלל דלא תשמט, כלומר ונוטלים מזה ונותנים לזה. ופריק רבא הפקר ב"ד הפקר, ואין אומר גזל דאורייתא ואיך נוציא מזה שלא כדין מדעת חכמים, ועוד דבלא"ה בכל שב ואל תעשה העמידו חכמים דבריהם אפילו במקום כרת, שהרי העמידו דבריהם בפסח וערלה וכ"ש בשאר מצות כגון שופר ולולב ודברים מלבד אלו. וה"נ כשנשבע שיפרענו חכמים פטרוהו ואמרו לו שב ואל תעשה שאנו פוטרים אותך. ואין השבועה דומה לפרוזבול כמו שאמרת. דטעמא דפרוסבול כאילו נגוש כבר ועומד בב"ד. וכדאמרינן מוסרני לכם פלוני ופלוני הדיינים. אבל כאן אינו נגוש ביד ב"ד אלא שהוא אסר עצמו בשבועה לבטחון שיפרענו בזמן פלוני.</w:t>
      </w:r>
      <w:r w:rsidRPr="001D49D4">
        <w:rPr>
          <w:rFonts w:ascii="Calibri" w:eastAsia="Calibri" w:hAnsi="Calibri" w:cs="Arial"/>
          <w:color w:val="00B0F0"/>
          <w:rtl/>
        </w:rPr>
        <w:t xml:space="preserve"> (וכ"פ הרמ"א)</w:t>
      </w:r>
    </w:p>
    <w:p w14:paraId="3755AD10" w14:textId="77777777" w:rsidR="001D49D4" w:rsidRPr="001D49D4" w:rsidRDefault="001D49D4" w:rsidP="0004348D">
      <w:pPr>
        <w:spacing w:before="360" w:after="240"/>
        <w:rPr>
          <w:rFonts w:ascii="Arial" w:eastAsia="Calibri" w:hAnsi="Arial" w:cs="Arial"/>
          <w:b/>
          <w:bCs/>
          <w:color w:val="000000"/>
          <w:sz w:val="28"/>
          <w:szCs w:val="28"/>
          <w:u w:val="single"/>
        </w:rPr>
      </w:pPr>
      <w:r w:rsidRPr="001D49D4">
        <w:rPr>
          <w:rFonts w:ascii="Arial" w:eastAsia="Calibri" w:hAnsi="Arial" w:cs="Arial"/>
          <w:b/>
          <w:bCs/>
          <w:color w:val="000000"/>
          <w:sz w:val="28"/>
          <w:szCs w:val="28"/>
          <w:u w:val="single"/>
          <w:rtl/>
        </w:rPr>
        <w:t>שו"ע:</w:t>
      </w:r>
    </w:p>
    <w:p w14:paraId="6CDD10EE" w14:textId="77777777" w:rsidR="001D49D4" w:rsidRPr="001D49D4" w:rsidRDefault="001D49D4" w:rsidP="0004348D">
      <w:pPr>
        <w:spacing w:before="360" w:after="240"/>
        <w:rPr>
          <w:rFonts w:ascii="Calibri" w:eastAsia="Calibri" w:hAnsi="Calibri" w:cs="Arial"/>
          <w:sz w:val="18"/>
          <w:szCs w:val="18"/>
          <w:rtl/>
        </w:rPr>
      </w:pPr>
      <w:r w:rsidRPr="001D49D4">
        <w:rPr>
          <w:rFonts w:ascii="Calibri" w:eastAsia="Calibri" w:hAnsi="Calibri" w:cs="Arial"/>
          <w:rtl/>
        </w:rPr>
        <w:t xml:space="preserve">כל דבר ששביעית משמטת, גם כן משמטת שבועתו. לפיכך שבועת הדיינים וכיוצא בה, שאם היה מודה בו היתה שביעית משמטתו, משמטת שבועתו. אבל שבועת השומרים והשותפים וכיוצא בהם, שאם היה מודה בו לא היתה שביעית משמטתו לפי שהם פקדון ולא מלוה, אין שביעית משמטת שבועתו. </w:t>
      </w:r>
      <w:r w:rsidRPr="001D49D4">
        <w:rPr>
          <w:rFonts w:ascii="Calibri" w:eastAsia="Calibri" w:hAnsi="Calibri" w:cs="Arial"/>
          <w:sz w:val="18"/>
          <w:szCs w:val="18"/>
          <w:rtl/>
        </w:rPr>
        <w:t>הגה: מי שחייב לחבירו ונשבע לשלם לו, כל דבר שהשביעית משמטת פטור ג"כ לשלם מכח השבועה, דלא נשבע לשלם רק כל זמן שחייב לו ממון</w:t>
      </w:r>
      <w:r w:rsidRPr="001D49D4">
        <w:rPr>
          <w:rFonts w:ascii="Calibri" w:eastAsia="Calibri" w:hAnsi="Calibri" w:cs="Arial"/>
          <w:sz w:val="16"/>
          <w:szCs w:val="16"/>
          <w:rtl/>
        </w:rPr>
        <w:t xml:space="preserve"> (רשב"א ומהרי"ק)</w:t>
      </w:r>
      <w:r w:rsidRPr="001D49D4">
        <w:rPr>
          <w:rFonts w:ascii="Calibri" w:eastAsia="Calibri" w:hAnsi="Calibri" w:cs="Arial"/>
          <w:sz w:val="18"/>
          <w:szCs w:val="18"/>
          <w:rtl/>
        </w:rPr>
        <w:t xml:space="preserve"> וע"ל סימן ע"ג סעיף ז'. </w:t>
      </w:r>
    </w:p>
    <w:p w14:paraId="77DF7DA8" w14:textId="77777777" w:rsidR="001D49D4" w:rsidRPr="001D49D4" w:rsidRDefault="001D49D4" w:rsidP="0004348D">
      <w:pPr>
        <w:spacing w:before="360" w:after="240"/>
        <w:rPr>
          <w:rFonts w:ascii="Calibri" w:eastAsia="Calibri" w:hAnsi="Calibri" w:cs="Arial"/>
          <w:rtl/>
        </w:rPr>
      </w:pPr>
    </w:p>
    <w:p w14:paraId="53E49855" w14:textId="77777777" w:rsidR="001D49D4" w:rsidRPr="001D49D4" w:rsidRDefault="001D49D4" w:rsidP="0004348D">
      <w:pPr>
        <w:keepNext/>
        <w:keepLines/>
        <w:spacing w:before="360" w:after="240"/>
        <w:outlineLvl w:val="1"/>
        <w:rPr>
          <w:rFonts w:ascii="Cambria" w:eastAsia="Times New Roman" w:hAnsi="Cambria" w:cs="Arial"/>
          <w:bCs/>
          <w:color w:val="548DD4" w:themeColor="text2" w:themeTint="99"/>
          <w:sz w:val="26"/>
          <w:szCs w:val="26"/>
          <w:rtl/>
        </w:rPr>
      </w:pPr>
      <w:bookmarkStart w:id="738" w:name="_Toc24884144"/>
      <w:r w:rsidRPr="001D49D4">
        <w:rPr>
          <w:rFonts w:ascii="Cambria" w:eastAsia="Times New Roman" w:hAnsi="Cambria" w:cs="Arial"/>
          <w:bCs/>
          <w:color w:val="548DD4" w:themeColor="text2" w:themeTint="99"/>
          <w:sz w:val="26"/>
          <w:szCs w:val="26"/>
          <w:rtl/>
        </w:rPr>
        <w:t>סעיף ז: הלוהו ותבעו וכפר בו, והגיע השמטה והוא בכפירתו, והודה אחר שעברה שביעית.</w:t>
      </w:r>
      <w:bookmarkEnd w:id="738"/>
    </w:p>
    <w:p w14:paraId="03B4C9ED"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b/>
          <w:bCs/>
          <w:rtl/>
        </w:rPr>
        <w:t xml:space="preserve">ירושלמי </w:t>
      </w:r>
      <w:r w:rsidRPr="001D49D4">
        <w:rPr>
          <w:rFonts w:ascii="Calibri" w:eastAsia="Calibri" w:hAnsi="Calibri" w:cs="Arial"/>
          <w:b/>
          <w:bCs/>
          <w:sz w:val="16"/>
          <w:szCs w:val="16"/>
          <w:rtl/>
        </w:rPr>
        <w:t>(וילנא)</w:t>
      </w:r>
      <w:r w:rsidRPr="001D49D4">
        <w:rPr>
          <w:rFonts w:ascii="Calibri" w:eastAsia="Calibri" w:hAnsi="Calibri" w:cs="Arial"/>
          <w:b/>
          <w:bCs/>
          <w:rtl/>
        </w:rPr>
        <w:t xml:space="preserve"> שביעית פ"י ה"א: </w:t>
      </w:r>
      <w:r w:rsidRPr="001D49D4">
        <w:rPr>
          <w:rFonts w:ascii="Calibri" w:eastAsia="Calibri" w:hAnsi="Calibri" w:cs="Arial"/>
          <w:u w:val="double"/>
          <w:rtl/>
        </w:rPr>
        <w:t>מתני'</w:t>
      </w:r>
      <w:r w:rsidRPr="001D49D4">
        <w:rPr>
          <w:rFonts w:ascii="Calibri" w:eastAsia="Calibri" w:hAnsi="Calibri" w:cs="Arial"/>
          <w:rtl/>
        </w:rPr>
        <w:t xml:space="preserve">:.. האונס והמפתה והמוציא שם רע וכל מעשה ב"ד אינן משמיטין... </w:t>
      </w:r>
      <w:r w:rsidRPr="001D49D4">
        <w:rPr>
          <w:rFonts w:ascii="Calibri" w:eastAsia="Calibri" w:hAnsi="Calibri" w:cs="Arial"/>
          <w:u w:val="double"/>
          <w:rtl/>
        </w:rPr>
        <w:t>גמ'</w:t>
      </w:r>
      <w:r w:rsidRPr="001D49D4">
        <w:rPr>
          <w:rFonts w:ascii="Calibri" w:eastAsia="Calibri" w:hAnsi="Calibri" w:cs="Arial"/>
          <w:rtl/>
        </w:rPr>
        <w:t xml:space="preserve">: האונס והמפתה והמוציא שם רע. </w:t>
      </w:r>
      <w:r w:rsidRPr="001D49D4">
        <w:rPr>
          <w:rFonts w:ascii="Calibri" w:eastAsia="Calibri" w:hAnsi="Calibri" w:cs="Arial"/>
          <w:u w:val="single"/>
          <w:rtl/>
        </w:rPr>
        <w:t>רב יהודא אמר רב</w:t>
      </w:r>
      <w:r w:rsidRPr="001D49D4">
        <w:rPr>
          <w:rFonts w:ascii="Calibri" w:eastAsia="Calibri" w:hAnsi="Calibri" w:cs="Arial"/>
          <w:rtl/>
        </w:rPr>
        <w:t>: דר"מ היא, דר"מ אמר במלוה הדבר תלוי</w:t>
      </w:r>
      <w:r w:rsidRPr="001D49D4">
        <w:rPr>
          <w:rFonts w:ascii="Calibri" w:eastAsia="Calibri" w:hAnsi="Calibri" w:cs="Arial"/>
          <w:vertAlign w:val="superscript"/>
          <w:rtl/>
        </w:rPr>
        <w:footnoteReference w:id="5292"/>
      </w:r>
      <w:r w:rsidRPr="001D49D4">
        <w:rPr>
          <w:rFonts w:ascii="Calibri" w:eastAsia="Calibri" w:hAnsi="Calibri" w:cs="Arial"/>
          <w:rtl/>
        </w:rPr>
        <w:t>. וכל מעשה ב"ד - אילו גזרי דינים</w:t>
      </w:r>
      <w:r w:rsidRPr="001D49D4">
        <w:rPr>
          <w:rFonts w:ascii="Calibri" w:eastAsia="Calibri" w:hAnsi="Calibri" w:cs="Arial"/>
          <w:vertAlign w:val="superscript"/>
          <w:rtl/>
        </w:rPr>
        <w:footnoteReference w:id="5293"/>
      </w:r>
      <w:r w:rsidRPr="001D49D4">
        <w:rPr>
          <w:rFonts w:ascii="Calibri" w:eastAsia="Calibri" w:hAnsi="Calibri" w:cs="Arial"/>
          <w:rtl/>
        </w:rPr>
        <w:t>. פשיטא דא מילתא, מלוה שהיא נעשית כפרנית</w:t>
      </w:r>
      <w:r w:rsidRPr="001D49D4">
        <w:rPr>
          <w:rFonts w:ascii="Calibri" w:eastAsia="Calibri" w:hAnsi="Calibri" w:cs="Arial"/>
          <w:vertAlign w:val="superscript"/>
          <w:rtl/>
        </w:rPr>
        <w:footnoteReference w:id="5294"/>
      </w:r>
      <w:r w:rsidRPr="001D49D4">
        <w:rPr>
          <w:rFonts w:ascii="Calibri" w:eastAsia="Calibri" w:hAnsi="Calibri" w:cs="Arial"/>
          <w:rtl/>
        </w:rPr>
        <w:t xml:space="preserve"> - אינה משמטת</w:t>
      </w:r>
      <w:r w:rsidRPr="001D49D4">
        <w:rPr>
          <w:rFonts w:ascii="Calibri" w:eastAsia="Calibri" w:hAnsi="Calibri" w:cs="Arial"/>
          <w:vertAlign w:val="superscript"/>
          <w:rtl/>
        </w:rPr>
        <w:footnoteReference w:id="5295"/>
      </w:r>
      <w:r w:rsidRPr="001D49D4">
        <w:rPr>
          <w:rFonts w:ascii="Calibri" w:eastAsia="Calibri" w:hAnsi="Calibri" w:cs="Arial"/>
          <w:rtl/>
        </w:rPr>
        <w:t>. כפרנית שהיא נעשית מלוה</w:t>
      </w:r>
      <w:r w:rsidRPr="001D49D4">
        <w:rPr>
          <w:rFonts w:ascii="Calibri" w:eastAsia="Calibri" w:hAnsi="Calibri" w:cs="Arial"/>
          <w:vertAlign w:val="superscript"/>
          <w:rtl/>
        </w:rPr>
        <w:footnoteReference w:id="5296"/>
      </w:r>
      <w:r w:rsidRPr="001D49D4">
        <w:rPr>
          <w:rFonts w:ascii="Calibri" w:eastAsia="Calibri" w:hAnsi="Calibri" w:cs="Arial"/>
          <w:rtl/>
        </w:rPr>
        <w:t xml:space="preserve">  -משמטת.</w:t>
      </w:r>
    </w:p>
    <w:p w14:paraId="49B342CB" w14:textId="77777777" w:rsidR="001D49D4" w:rsidRPr="001D49D4" w:rsidRDefault="001D49D4" w:rsidP="0004348D">
      <w:pPr>
        <w:spacing w:before="360" w:after="240"/>
        <w:rPr>
          <w:rFonts w:ascii="Calibri" w:eastAsia="Calibri" w:hAnsi="Calibri" w:cs="Arial"/>
          <w:u w:val="single"/>
          <w:rtl/>
        </w:rPr>
      </w:pPr>
      <w:r w:rsidRPr="001D49D4">
        <w:rPr>
          <w:rFonts w:ascii="Calibri" w:eastAsia="Calibri" w:hAnsi="Calibri" w:cs="Arial"/>
          <w:u w:val="single"/>
          <w:rtl/>
        </w:rPr>
        <w:t xml:space="preserve">הלוהו ותבעו וכפר, והגיע השמטה והוא בכפירתו - והודה </w:t>
      </w:r>
      <w:r w:rsidRPr="001D49D4">
        <w:rPr>
          <w:rFonts w:ascii="Calibri" w:eastAsia="Calibri" w:hAnsi="Calibri" w:cs="Arial"/>
          <w:sz w:val="16"/>
          <w:szCs w:val="16"/>
          <w:u w:val="single"/>
          <w:rtl/>
        </w:rPr>
        <w:t xml:space="preserve">(או שבאו עדים) </w:t>
      </w:r>
      <w:r w:rsidRPr="001D49D4">
        <w:rPr>
          <w:rFonts w:ascii="Calibri" w:eastAsia="Calibri" w:hAnsi="Calibri" w:cs="Arial"/>
          <w:u w:val="single"/>
          <w:rtl/>
        </w:rPr>
        <w:t>אחר שעברה שביעית:</w:t>
      </w:r>
    </w:p>
    <w:p w14:paraId="7D163A56" w14:textId="77777777" w:rsidR="001D49D4" w:rsidRPr="001D49D4" w:rsidRDefault="001D49D4" w:rsidP="0004348D">
      <w:pPr>
        <w:numPr>
          <w:ilvl w:val="0"/>
          <w:numId w:val="345"/>
        </w:numPr>
        <w:spacing w:before="360" w:after="240"/>
        <w:contextualSpacing/>
        <w:rPr>
          <w:rFonts w:ascii="Calibri" w:eastAsia="Calibri" w:hAnsi="Calibri" w:cs="Arial"/>
          <w:rtl/>
        </w:rPr>
      </w:pPr>
      <w:r w:rsidRPr="001D49D4">
        <w:rPr>
          <w:rFonts w:ascii="Calibri" w:eastAsia="Calibri" w:hAnsi="Calibri" w:cs="Arial"/>
          <w:rtl/>
        </w:rPr>
        <w:t>רמב"ם</w:t>
      </w:r>
      <w:r w:rsidRPr="001D49D4">
        <w:rPr>
          <w:rFonts w:ascii="Calibri" w:eastAsia="Calibri" w:hAnsi="Calibri" w:cs="Arial"/>
          <w:vertAlign w:val="superscript"/>
          <w:rtl/>
        </w:rPr>
        <w:footnoteReference w:id="5297"/>
      </w:r>
      <w:r w:rsidRPr="001D49D4">
        <w:rPr>
          <w:rFonts w:ascii="Calibri" w:eastAsia="Calibri" w:hAnsi="Calibri" w:cs="Arial"/>
          <w:rtl/>
        </w:rPr>
        <w:t xml:space="preserve"> </w:t>
      </w:r>
      <w:r w:rsidRPr="001D49D4">
        <w:rPr>
          <w:rFonts w:ascii="Calibri" w:eastAsia="Calibri" w:hAnsi="Calibri" w:cs="Arial"/>
          <w:sz w:val="16"/>
          <w:szCs w:val="16"/>
          <w:rtl/>
        </w:rPr>
        <w:t xml:space="preserve">(פ"ט משמיטה ה"ח) </w:t>
      </w:r>
      <w:r w:rsidRPr="001D49D4">
        <w:rPr>
          <w:rFonts w:ascii="Calibri" w:eastAsia="Calibri" w:hAnsi="Calibri" w:cs="Arial"/>
          <w:rtl/>
        </w:rPr>
        <w:t xml:space="preserve">טור ור"ן </w:t>
      </w:r>
      <w:r w:rsidRPr="001D49D4">
        <w:rPr>
          <w:rFonts w:ascii="Calibri" w:eastAsia="Calibri" w:hAnsi="Calibri" w:cs="Arial"/>
          <w:sz w:val="16"/>
          <w:szCs w:val="16"/>
          <w:rtl/>
        </w:rPr>
        <w:t>(בהנשבעים לב: ד"ה מתני')</w:t>
      </w:r>
      <w:r w:rsidRPr="001D49D4">
        <w:rPr>
          <w:rFonts w:ascii="Calibri" w:eastAsia="Calibri" w:hAnsi="Calibri" w:cs="Arial"/>
          <w:rtl/>
        </w:rPr>
        <w:t>- תבעו וכפר ונשבע</w:t>
      </w:r>
      <w:r w:rsidRPr="001D49D4">
        <w:rPr>
          <w:rFonts w:ascii="Calibri" w:eastAsia="Calibri" w:hAnsi="Calibri" w:cs="Arial"/>
          <w:vertAlign w:val="superscript"/>
          <w:rtl/>
        </w:rPr>
        <w:footnoteReference w:id="5298"/>
      </w:r>
      <w:r w:rsidRPr="001D49D4">
        <w:rPr>
          <w:rFonts w:ascii="Calibri" w:eastAsia="Calibri" w:hAnsi="Calibri" w:cs="Arial"/>
          <w:rtl/>
        </w:rPr>
        <w:t xml:space="preserve"> לו והגיעה שמיטה והוא בכפירתו, ולאחר שעברה שמיטה הודה או באו עדים - אינו משמט</w:t>
      </w:r>
      <w:r w:rsidRPr="001D49D4">
        <w:rPr>
          <w:rFonts w:ascii="Calibri" w:eastAsia="Calibri" w:hAnsi="Calibri" w:cs="Arial"/>
          <w:sz w:val="16"/>
          <w:szCs w:val="16"/>
          <w:rtl/>
        </w:rPr>
        <w:t xml:space="preserve"> (ל' הטור)</w:t>
      </w:r>
      <w:r w:rsidRPr="001D49D4">
        <w:rPr>
          <w:rFonts w:ascii="Calibri" w:eastAsia="Calibri" w:hAnsi="Calibri" w:cs="Arial"/>
          <w:rtl/>
        </w:rPr>
        <w:t xml:space="preserve">. </w:t>
      </w:r>
      <w:r w:rsidRPr="001D49D4">
        <w:rPr>
          <w:rFonts w:ascii="Calibri" w:eastAsia="Calibri" w:hAnsi="Calibri" w:cs="Arial"/>
          <w:color w:val="E36C0A" w:themeColor="accent6" w:themeShade="BF"/>
          <w:rtl/>
        </w:rPr>
        <w:t>(וכ"פ בשו"ע)</w:t>
      </w:r>
    </w:p>
    <w:p w14:paraId="58C8F837" w14:textId="77777777" w:rsidR="001D49D4" w:rsidRPr="001D49D4" w:rsidRDefault="001D49D4" w:rsidP="0004348D">
      <w:pPr>
        <w:spacing w:before="360" w:after="240"/>
        <w:rPr>
          <w:rFonts w:ascii="Calibri" w:eastAsia="Calibri" w:hAnsi="Calibri" w:cs="Arial"/>
          <w:u w:val="dotted"/>
        </w:rPr>
      </w:pPr>
      <w:r w:rsidRPr="001D49D4">
        <w:rPr>
          <w:rFonts w:ascii="Calibri" w:eastAsia="Calibri" w:hAnsi="Calibri" w:cs="Arial"/>
          <w:u w:val="dotted"/>
          <w:rtl/>
        </w:rPr>
        <w:t xml:space="preserve">ומה הדין אם הודה </w:t>
      </w:r>
      <w:r w:rsidRPr="001D49D4">
        <w:rPr>
          <w:rFonts w:ascii="Calibri" w:eastAsia="Calibri" w:hAnsi="Calibri" w:cs="Arial"/>
          <w:sz w:val="16"/>
          <w:szCs w:val="16"/>
          <w:u w:val="dotted"/>
          <w:rtl/>
        </w:rPr>
        <w:t xml:space="preserve">(או שבאו עדים) </w:t>
      </w:r>
      <w:r w:rsidRPr="001D49D4">
        <w:rPr>
          <w:rFonts w:ascii="Calibri" w:eastAsia="Calibri" w:hAnsi="Calibri" w:cs="Arial"/>
          <w:u w:val="dotted"/>
          <w:rtl/>
        </w:rPr>
        <w:t>קודם שעברה שביעית:</w:t>
      </w:r>
    </w:p>
    <w:p w14:paraId="30E7434D" w14:textId="77777777" w:rsidR="001D49D4" w:rsidRPr="001D49D4" w:rsidRDefault="001D49D4" w:rsidP="0004348D">
      <w:pPr>
        <w:numPr>
          <w:ilvl w:val="0"/>
          <w:numId w:val="345"/>
        </w:numPr>
        <w:spacing w:before="360" w:after="240"/>
        <w:contextualSpacing/>
        <w:rPr>
          <w:rFonts w:ascii="Calibri" w:eastAsia="Calibri" w:hAnsi="Calibri" w:cs="Arial"/>
        </w:rPr>
      </w:pPr>
      <w:r w:rsidRPr="001D49D4">
        <w:rPr>
          <w:rFonts w:ascii="Calibri" w:eastAsia="Calibri" w:hAnsi="Calibri" w:cs="Arial"/>
          <w:rtl/>
        </w:rPr>
        <w:t>טור- אבל כפר ונשבע והודה אח"כ או שבאו עדים קודם סוף שביעית - נעשה עליו מלוה ומשמטת</w:t>
      </w:r>
      <w:r w:rsidRPr="001D49D4">
        <w:rPr>
          <w:rFonts w:ascii="Calibri" w:eastAsia="Calibri" w:hAnsi="Calibri" w:cs="Arial"/>
          <w:vertAlign w:val="superscript"/>
          <w:rtl/>
        </w:rPr>
        <w:footnoteReference w:id="5299"/>
      </w:r>
      <w:r w:rsidRPr="001D49D4">
        <w:rPr>
          <w:rFonts w:ascii="Calibri" w:eastAsia="Calibri" w:hAnsi="Calibri" w:cs="Arial"/>
          <w:rtl/>
        </w:rPr>
        <w:t xml:space="preserve">. </w:t>
      </w:r>
      <w:r w:rsidRPr="001D49D4">
        <w:rPr>
          <w:rFonts w:ascii="Calibri" w:eastAsia="Calibri" w:hAnsi="Calibri" w:cs="Arial"/>
          <w:color w:val="E36C0A" w:themeColor="accent6" w:themeShade="BF"/>
          <w:rtl/>
        </w:rPr>
        <w:t>(וכ"פ בשו"ע)</w:t>
      </w:r>
    </w:p>
    <w:p w14:paraId="330DBB56" w14:textId="77777777" w:rsidR="001D49D4" w:rsidRPr="001D49D4" w:rsidRDefault="001D49D4" w:rsidP="0004348D">
      <w:pPr>
        <w:spacing w:before="360" w:after="240"/>
        <w:rPr>
          <w:rFonts w:ascii="Arial" w:eastAsia="Calibri" w:hAnsi="Arial" w:cs="Arial"/>
          <w:b/>
          <w:bCs/>
          <w:color w:val="000000"/>
          <w:sz w:val="28"/>
          <w:szCs w:val="28"/>
          <w:u w:val="single"/>
          <w:rtl/>
        </w:rPr>
      </w:pPr>
      <w:r w:rsidRPr="001D49D4">
        <w:rPr>
          <w:rFonts w:ascii="Arial" w:eastAsia="Calibri" w:hAnsi="Arial" w:cs="Arial"/>
          <w:b/>
          <w:bCs/>
          <w:color w:val="000000"/>
          <w:sz w:val="28"/>
          <w:szCs w:val="28"/>
          <w:u w:val="single"/>
          <w:rtl/>
        </w:rPr>
        <w:t>שו"ע:</w:t>
      </w:r>
    </w:p>
    <w:p w14:paraId="30D8AE55"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rtl/>
        </w:rPr>
        <w:t xml:space="preserve">הלוהו ותבעו, וכפר ונשבע לו, והגיעה שמיטה והוא בכפירתו, ולאחר שעברה שמיטה הודה או באו עדים, אינו משמט. אבל כפר ונשבע והודה אחר כך או שבאו עדים קודם סוף שביעית, הרי זה משמטת. </w:t>
      </w:r>
    </w:p>
    <w:p w14:paraId="03A4AF6D" w14:textId="77777777" w:rsidR="001D49D4" w:rsidRPr="001D49D4" w:rsidRDefault="001D49D4" w:rsidP="0004348D">
      <w:pPr>
        <w:spacing w:before="360" w:after="240"/>
        <w:rPr>
          <w:rFonts w:ascii="Calibri" w:eastAsia="Calibri" w:hAnsi="Calibri" w:cs="Arial"/>
          <w:rtl/>
        </w:rPr>
      </w:pPr>
    </w:p>
    <w:p w14:paraId="5FEA9315" w14:textId="77777777" w:rsidR="001D49D4" w:rsidRPr="001D49D4" w:rsidRDefault="001D49D4" w:rsidP="0004348D">
      <w:pPr>
        <w:keepNext/>
        <w:keepLines/>
        <w:spacing w:before="360" w:after="240"/>
        <w:outlineLvl w:val="1"/>
        <w:rPr>
          <w:rFonts w:ascii="Cambria" w:eastAsia="Times New Roman" w:hAnsi="Cambria" w:cs="Arial"/>
          <w:bCs/>
          <w:color w:val="548DD4" w:themeColor="text2" w:themeTint="99"/>
          <w:sz w:val="26"/>
          <w:szCs w:val="26"/>
          <w:rtl/>
        </w:rPr>
      </w:pPr>
      <w:bookmarkStart w:id="739" w:name="_Toc24884145"/>
      <w:r w:rsidRPr="001D49D4">
        <w:rPr>
          <w:rFonts w:ascii="Cambria" w:eastAsia="Times New Roman" w:hAnsi="Cambria" w:cs="Arial"/>
          <w:bCs/>
          <w:color w:val="548DD4" w:themeColor="text2" w:themeTint="99"/>
          <w:sz w:val="26"/>
          <w:szCs w:val="26"/>
          <w:rtl/>
        </w:rPr>
        <w:t>סעיף ח: מעשה בית דין.</w:t>
      </w:r>
      <w:bookmarkEnd w:id="739"/>
    </w:p>
    <w:p w14:paraId="45196618"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b/>
          <w:bCs/>
          <w:rtl/>
        </w:rPr>
        <w:t>משנה שביעית פ"י מ"ב:</w:t>
      </w:r>
      <w:r w:rsidRPr="001D49D4">
        <w:rPr>
          <w:rFonts w:ascii="Calibri" w:eastAsia="Calibri" w:hAnsi="Calibri" w:cs="Arial"/>
          <w:rtl/>
        </w:rPr>
        <w:t>... האונס והמפתה והמוציא שם רע וכל מעשה בית דין אין משמטין...</w:t>
      </w:r>
    </w:p>
    <w:p w14:paraId="7A6E7BE9"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u w:val="single"/>
          <w:rtl/>
        </w:rPr>
        <w:t>בית דין שגמרו הדין וכתבו איש פלוני חייב לאיש פלוני כך וכך:</w:t>
      </w:r>
      <w:r w:rsidRPr="001D49D4">
        <w:rPr>
          <w:rFonts w:ascii="Calibri" w:eastAsia="Calibri" w:hAnsi="Calibri" w:cs="Arial"/>
          <w:rtl/>
        </w:rPr>
        <w:t xml:space="preserve"> </w:t>
      </w:r>
    </w:p>
    <w:p w14:paraId="7B9487A3" w14:textId="77777777" w:rsidR="001D49D4" w:rsidRPr="001D49D4" w:rsidRDefault="001D49D4" w:rsidP="0004348D">
      <w:pPr>
        <w:numPr>
          <w:ilvl w:val="0"/>
          <w:numId w:val="345"/>
        </w:numPr>
        <w:spacing w:before="360" w:after="240"/>
        <w:contextualSpacing/>
        <w:rPr>
          <w:rFonts w:ascii="Calibri" w:eastAsia="Calibri" w:hAnsi="Calibri" w:cs="Arial"/>
          <w:rtl/>
        </w:rPr>
      </w:pPr>
      <w:r w:rsidRPr="001D49D4">
        <w:rPr>
          <w:rFonts w:ascii="Calibri" w:eastAsia="Calibri" w:hAnsi="Calibri" w:cs="Arial"/>
          <w:rtl/>
        </w:rPr>
        <w:t>בעל התרומות</w:t>
      </w:r>
      <w:r w:rsidRPr="001D49D4">
        <w:rPr>
          <w:rFonts w:ascii="Calibri" w:eastAsia="Calibri" w:hAnsi="Calibri" w:cs="Arial"/>
          <w:sz w:val="16"/>
          <w:szCs w:val="16"/>
          <w:rtl/>
        </w:rPr>
        <w:t xml:space="preserve"> (שער מה שם)</w:t>
      </w:r>
      <w:r w:rsidRPr="001D49D4">
        <w:rPr>
          <w:rFonts w:ascii="Calibri" w:eastAsia="Calibri" w:hAnsi="Calibri" w:cs="Arial"/>
          <w:rtl/>
        </w:rPr>
        <w:t xml:space="preserve"> וטור- בית דין שגמרו הדין וכתבו 'איש פלוני חייב לאיש פלוני כך וכך' - אינו משמט, שכל מעשה בית דין כגבוי דמי.</w:t>
      </w:r>
      <w:r w:rsidRPr="001D49D4">
        <w:rPr>
          <w:rFonts w:ascii="Calibri" w:eastAsia="Calibri" w:hAnsi="Calibri" w:cs="Arial"/>
          <w:color w:val="E36C0A" w:themeColor="accent6" w:themeShade="BF"/>
          <w:rtl/>
        </w:rPr>
        <w:t xml:space="preserve"> (וכ"פ בשו"ע)</w:t>
      </w:r>
    </w:p>
    <w:p w14:paraId="0C246AEF" w14:textId="77777777" w:rsidR="001D49D4" w:rsidRPr="001D49D4" w:rsidRDefault="001D49D4" w:rsidP="0004348D">
      <w:pPr>
        <w:spacing w:before="360" w:after="240"/>
        <w:rPr>
          <w:rFonts w:ascii="Arial" w:eastAsia="Calibri" w:hAnsi="Arial" w:cs="Arial"/>
          <w:b/>
          <w:bCs/>
          <w:color w:val="000000"/>
          <w:sz w:val="28"/>
          <w:szCs w:val="28"/>
          <w:u w:val="single"/>
          <w:rtl/>
        </w:rPr>
      </w:pPr>
      <w:r w:rsidRPr="001D49D4">
        <w:rPr>
          <w:rFonts w:ascii="Arial" w:eastAsia="Calibri" w:hAnsi="Arial" w:cs="Arial"/>
          <w:b/>
          <w:bCs/>
          <w:color w:val="000000"/>
          <w:sz w:val="28"/>
          <w:szCs w:val="28"/>
          <w:u w:val="single"/>
          <w:rtl/>
        </w:rPr>
        <w:t>שו"ע:</w:t>
      </w:r>
    </w:p>
    <w:p w14:paraId="6C2709E5"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rtl/>
        </w:rPr>
        <w:t>תבעו ממון וכפר, והביא עדים וחייבוהו בית דין וכתבו לו פסק דין</w:t>
      </w:r>
      <w:r w:rsidRPr="001D49D4">
        <w:rPr>
          <w:rFonts w:ascii="Calibri" w:eastAsia="Calibri" w:hAnsi="Calibri" w:cs="Arial"/>
          <w:vertAlign w:val="superscript"/>
          <w:rtl/>
        </w:rPr>
        <w:footnoteReference w:id="5300"/>
      </w:r>
      <w:r w:rsidRPr="001D49D4">
        <w:rPr>
          <w:rFonts w:ascii="Calibri" w:eastAsia="Calibri" w:hAnsi="Calibri" w:cs="Arial"/>
          <w:rtl/>
        </w:rPr>
        <w:t xml:space="preserve">, הוי כגבוי ואינו משמט. </w:t>
      </w:r>
    </w:p>
    <w:p w14:paraId="30B38370" w14:textId="77777777" w:rsidR="001D49D4" w:rsidRPr="001D49D4" w:rsidRDefault="001D49D4" w:rsidP="0004348D">
      <w:pPr>
        <w:spacing w:before="360" w:after="240"/>
        <w:rPr>
          <w:rFonts w:ascii="Calibri" w:eastAsia="Calibri" w:hAnsi="Calibri" w:cs="Arial"/>
          <w:rtl/>
        </w:rPr>
      </w:pPr>
    </w:p>
    <w:p w14:paraId="71C6333B" w14:textId="77777777" w:rsidR="001D49D4" w:rsidRPr="001D49D4" w:rsidRDefault="001D49D4" w:rsidP="0004348D">
      <w:pPr>
        <w:keepNext/>
        <w:keepLines/>
        <w:spacing w:before="360" w:after="240"/>
        <w:outlineLvl w:val="1"/>
        <w:rPr>
          <w:rFonts w:ascii="Cambria" w:eastAsia="Times New Roman" w:hAnsi="Cambria" w:cs="Arial"/>
          <w:bCs/>
          <w:color w:val="548DD4" w:themeColor="text2" w:themeTint="99"/>
          <w:sz w:val="26"/>
          <w:szCs w:val="26"/>
          <w:rtl/>
        </w:rPr>
      </w:pPr>
      <w:bookmarkStart w:id="740" w:name="_Toc24884146"/>
      <w:r w:rsidRPr="001D49D4">
        <w:rPr>
          <w:rFonts w:ascii="Cambria" w:eastAsia="Times New Roman" w:hAnsi="Cambria" w:cs="Arial"/>
          <w:bCs/>
          <w:color w:val="548DD4" w:themeColor="text2" w:themeTint="99"/>
          <w:sz w:val="26"/>
          <w:szCs w:val="26"/>
          <w:rtl/>
        </w:rPr>
        <w:t>סעיף ט: המתנה עם הלוה שלא ישמט חובו בשביעית.</w:t>
      </w:r>
      <w:bookmarkEnd w:id="740"/>
    </w:p>
    <w:p w14:paraId="5BA84C94"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b/>
          <w:bCs/>
          <w:rtl/>
        </w:rPr>
        <w:t>מכות</w:t>
      </w:r>
      <w:r w:rsidRPr="001D49D4">
        <w:rPr>
          <w:rFonts w:ascii="Calibri" w:eastAsia="Calibri" w:hAnsi="Calibri" w:cs="Arial"/>
          <w:b/>
          <w:bCs/>
          <w:sz w:val="16"/>
          <w:szCs w:val="16"/>
          <w:rtl/>
        </w:rPr>
        <w:t xml:space="preserve"> (פ"ק)</w:t>
      </w:r>
      <w:r w:rsidRPr="001D49D4">
        <w:rPr>
          <w:rFonts w:ascii="Calibri" w:eastAsia="Calibri" w:hAnsi="Calibri" w:cs="Arial"/>
          <w:b/>
          <w:bCs/>
          <w:rtl/>
        </w:rPr>
        <w:t xml:space="preserve"> ג</w:t>
      </w:r>
      <w:r w:rsidRPr="001D49D4">
        <w:rPr>
          <w:rFonts w:ascii="Calibri" w:eastAsia="Calibri" w:hAnsi="Calibri" w:cs="Arial"/>
          <w:b/>
          <w:bCs/>
          <w:vertAlign w:val="superscript"/>
          <w:rtl/>
        </w:rPr>
        <w:footnoteReference w:id="5301"/>
      </w:r>
      <w:r w:rsidRPr="001D49D4">
        <w:rPr>
          <w:rFonts w:ascii="Calibri" w:eastAsia="Calibri" w:hAnsi="Calibri" w:cs="Arial"/>
          <w:b/>
          <w:bCs/>
          <w:rtl/>
        </w:rPr>
        <w:t xml:space="preserve"> ע"ב: </w:t>
      </w:r>
      <w:r w:rsidRPr="001D49D4">
        <w:rPr>
          <w:rFonts w:ascii="Calibri" w:eastAsia="Calibri" w:hAnsi="Calibri" w:cs="Arial"/>
          <w:u w:val="single"/>
          <w:rtl/>
        </w:rPr>
        <w:t>ואמר רב יהודה אמר שמואל</w:t>
      </w:r>
      <w:r w:rsidRPr="001D49D4">
        <w:rPr>
          <w:rFonts w:ascii="Calibri" w:eastAsia="Calibri" w:hAnsi="Calibri" w:cs="Arial"/>
          <w:rtl/>
        </w:rPr>
        <w:t xml:space="preserve">: האומר לחבירו ע"מ שלא תשמטני שביעית - שביעית משמטת. לימא קסבר שמואל: מתנה על מה שכתוב בתורה הוא, וכל המתנה על מה שכתוב בתורה תנאו בטל, והא איתמר: האומר לחבירו על מנת שאין לך עלי אונאה - רב אומר: יש לו עליו אונאה, ושמואל אומר: אין לו עליו אונאה! הא איתמר עלה: </w:t>
      </w:r>
      <w:r w:rsidRPr="001D49D4">
        <w:rPr>
          <w:rFonts w:ascii="Calibri" w:eastAsia="Calibri" w:hAnsi="Calibri" w:cs="Arial"/>
          <w:u w:val="single"/>
          <w:rtl/>
        </w:rPr>
        <w:t>אמר רב ענן</w:t>
      </w:r>
      <w:r w:rsidRPr="001D49D4">
        <w:rPr>
          <w:rFonts w:ascii="Calibri" w:eastAsia="Calibri" w:hAnsi="Calibri" w:cs="Arial"/>
          <w:rtl/>
        </w:rPr>
        <w:t>: לדידי מפרשא ליה מיניה דשמואל, על מנת שאין לך עלי אונאה - אין לו עליו אונאה, על מנת שאין בו אונאה - הרי יש בו אונאה, ה"נ: על מנת שלא תשמטני בשביעית - אין שביעית משמטתו, ע"מ שלא תשמטני שביעית - שביעית משמטתו</w:t>
      </w:r>
      <w:r w:rsidRPr="001D49D4">
        <w:rPr>
          <w:rFonts w:ascii="Calibri" w:eastAsia="Calibri" w:hAnsi="Calibri" w:cs="Arial"/>
          <w:vertAlign w:val="superscript"/>
          <w:rtl/>
        </w:rPr>
        <w:footnoteReference w:id="5302"/>
      </w:r>
      <w:r w:rsidRPr="001D49D4">
        <w:rPr>
          <w:rFonts w:ascii="Calibri" w:eastAsia="Calibri" w:hAnsi="Calibri" w:cs="Arial"/>
          <w:rtl/>
        </w:rPr>
        <w:t xml:space="preserve">.   </w:t>
      </w:r>
    </w:p>
    <w:p w14:paraId="628EA434" w14:textId="77777777" w:rsidR="001D49D4" w:rsidRPr="001D49D4" w:rsidRDefault="001D49D4" w:rsidP="0004348D">
      <w:pPr>
        <w:spacing w:before="360" w:after="240"/>
        <w:rPr>
          <w:rFonts w:ascii="Calibri" w:eastAsia="Calibri" w:hAnsi="Calibri" w:cs="Arial"/>
          <w:u w:val="single"/>
          <w:rtl/>
        </w:rPr>
      </w:pPr>
      <w:r w:rsidRPr="001D49D4">
        <w:rPr>
          <w:rFonts w:ascii="Calibri" w:eastAsia="Calibri" w:hAnsi="Calibri" w:cs="Arial"/>
          <w:u w:val="single"/>
          <w:rtl/>
        </w:rPr>
        <w:t>מלוה שהתנה עם הלוה שלא ישמט חובו בשביעית:</w:t>
      </w:r>
    </w:p>
    <w:p w14:paraId="153E41F3" w14:textId="77777777" w:rsidR="001D49D4" w:rsidRPr="001D49D4" w:rsidRDefault="001D49D4" w:rsidP="0004348D">
      <w:pPr>
        <w:numPr>
          <w:ilvl w:val="0"/>
          <w:numId w:val="345"/>
        </w:numPr>
        <w:spacing w:before="360" w:after="240"/>
        <w:contextualSpacing/>
        <w:rPr>
          <w:rFonts w:ascii="Calibri" w:eastAsia="Calibri" w:hAnsi="Calibri" w:cs="Arial"/>
          <w:rtl/>
        </w:rPr>
      </w:pPr>
      <w:r w:rsidRPr="001D49D4">
        <w:rPr>
          <w:rFonts w:ascii="Calibri" w:eastAsia="Calibri" w:hAnsi="Calibri" w:cs="Arial"/>
          <w:rtl/>
        </w:rPr>
        <w:t xml:space="preserve">רמב"ם </w:t>
      </w:r>
      <w:r w:rsidRPr="001D49D4">
        <w:rPr>
          <w:rFonts w:ascii="Calibri" w:eastAsia="Calibri" w:hAnsi="Calibri" w:cs="Arial"/>
          <w:sz w:val="16"/>
          <w:szCs w:val="16"/>
          <w:rtl/>
        </w:rPr>
        <w:t>(פ"ט משמיטה ה"י)</w:t>
      </w:r>
      <w:r w:rsidRPr="001D49D4">
        <w:rPr>
          <w:rFonts w:ascii="Calibri" w:eastAsia="Calibri" w:hAnsi="Calibri" w:cs="Arial"/>
          <w:rtl/>
        </w:rPr>
        <w:t xml:space="preserve"> וטור- המלוה את חבירו והתנה עמו שלא תשמיטנו שביעית - הרי זה נשמט, שאינו יכול לבטל דין השביעית. התנה עמו שלא ישמיט הוא חוב זה ואפילו בשביעית - תנאו קיים, שכל תנאי שבממון תנאו קיים, ונמצא זה חייב עצמו בממון שלא חייבתו תורה שהוא חייב</w:t>
      </w:r>
      <w:r w:rsidRPr="001D49D4">
        <w:rPr>
          <w:rFonts w:ascii="Calibri" w:eastAsia="Calibri" w:hAnsi="Calibri" w:cs="Arial"/>
          <w:vertAlign w:val="superscript"/>
          <w:rtl/>
        </w:rPr>
        <w:footnoteReference w:id="5303"/>
      </w:r>
      <w:r w:rsidRPr="001D49D4">
        <w:rPr>
          <w:rFonts w:ascii="Calibri" w:eastAsia="Calibri" w:hAnsi="Calibri" w:cs="Arial"/>
          <w:rtl/>
        </w:rPr>
        <w:t xml:space="preserve">. </w:t>
      </w:r>
      <w:r w:rsidRPr="001D49D4">
        <w:rPr>
          <w:rFonts w:ascii="Calibri" w:eastAsia="Calibri" w:hAnsi="Calibri" w:cs="Arial"/>
          <w:color w:val="E36C0A" w:themeColor="accent6" w:themeShade="BF"/>
          <w:rtl/>
        </w:rPr>
        <w:t>(וכ"פ בשו"ע)</w:t>
      </w:r>
    </w:p>
    <w:p w14:paraId="1074BFB4" w14:textId="77777777" w:rsidR="001D49D4" w:rsidRPr="001D49D4" w:rsidRDefault="001D49D4" w:rsidP="0004348D">
      <w:pPr>
        <w:spacing w:before="360" w:after="240"/>
        <w:rPr>
          <w:rFonts w:ascii="Calibri" w:eastAsia="Calibri" w:hAnsi="Calibri" w:cs="Arial"/>
          <w:u w:val="dotted"/>
        </w:rPr>
      </w:pPr>
      <w:r w:rsidRPr="001D49D4">
        <w:rPr>
          <w:rFonts w:ascii="Calibri" w:eastAsia="Calibri" w:hAnsi="Calibri" w:cs="Arial"/>
          <w:u w:val="dotted"/>
          <w:rtl/>
        </w:rPr>
        <w:t>כיון שתנאי זה קיים למה הוצרך הלל לתקן פרוזבול:</w:t>
      </w:r>
    </w:p>
    <w:p w14:paraId="69EB073F" w14:textId="77777777" w:rsidR="001D49D4" w:rsidRPr="001D49D4" w:rsidRDefault="001D49D4" w:rsidP="0004348D">
      <w:pPr>
        <w:numPr>
          <w:ilvl w:val="0"/>
          <w:numId w:val="345"/>
        </w:numPr>
        <w:spacing w:before="360" w:after="240"/>
        <w:contextualSpacing/>
        <w:rPr>
          <w:rFonts w:ascii="Calibri" w:eastAsia="Calibri" w:hAnsi="Calibri" w:cs="Arial"/>
        </w:rPr>
      </w:pPr>
      <w:r w:rsidRPr="001D49D4">
        <w:rPr>
          <w:rFonts w:ascii="Calibri" w:eastAsia="Calibri" w:hAnsi="Calibri" w:cs="Arial"/>
          <w:rtl/>
        </w:rPr>
        <w:t xml:space="preserve">ריטב"א </w:t>
      </w:r>
      <w:r w:rsidRPr="001D49D4">
        <w:rPr>
          <w:rFonts w:ascii="Calibri" w:eastAsia="Calibri" w:hAnsi="Calibri" w:cs="Arial"/>
          <w:sz w:val="16"/>
          <w:szCs w:val="16"/>
          <w:rtl/>
        </w:rPr>
        <w:t>(שם ד"ה א"ר)</w:t>
      </w:r>
      <w:r w:rsidRPr="001D49D4">
        <w:rPr>
          <w:rFonts w:ascii="Calibri" w:eastAsia="Calibri" w:hAnsi="Calibri" w:cs="Arial"/>
          <w:rtl/>
        </w:rPr>
        <w:t>- י"ל שאין כל אדם זכור להתנות כן בשעת הלואה. וגם אינו רוצה ,שנראה כמתייאש מלגבות חובו בזמנו. ועוד שנראה כמראה עין רעה לשמטת שביעית. ועוד שתשכח תורת שביעית, אבל בפרוזבול יהא זכר לשביעית דאוושא מילתא כשבאים כולם לעשות פרוזבול.</w:t>
      </w:r>
    </w:p>
    <w:p w14:paraId="7881F831" w14:textId="77777777" w:rsidR="001D49D4" w:rsidRPr="001D49D4" w:rsidRDefault="001D49D4" w:rsidP="0004348D">
      <w:pPr>
        <w:spacing w:before="360" w:after="240"/>
        <w:rPr>
          <w:rFonts w:ascii="Calibri" w:eastAsia="Calibri" w:hAnsi="Calibri" w:cs="Arial"/>
          <w:u w:val="single"/>
        </w:rPr>
      </w:pPr>
      <w:r w:rsidRPr="001D49D4">
        <w:rPr>
          <w:rFonts w:ascii="Calibri" w:eastAsia="Calibri" w:hAnsi="Calibri" w:cs="Arial"/>
          <w:u w:val="single"/>
          <w:rtl/>
        </w:rPr>
        <w:t>מקום שנהגו לכתוב בשטרותיהם 'על מנת שלא תשמיטנו בשביעית' – ובשטר אחד לא נכתב תנאי זה:</w:t>
      </w:r>
    </w:p>
    <w:p w14:paraId="2D1B56C1" w14:textId="77777777" w:rsidR="001D49D4" w:rsidRPr="001D49D4" w:rsidRDefault="001D49D4" w:rsidP="0004348D">
      <w:pPr>
        <w:numPr>
          <w:ilvl w:val="0"/>
          <w:numId w:val="345"/>
        </w:numPr>
        <w:spacing w:before="360" w:after="240"/>
        <w:contextualSpacing/>
        <w:rPr>
          <w:rFonts w:ascii="Calibri" w:eastAsia="Calibri" w:hAnsi="Calibri" w:cs="Arial"/>
        </w:rPr>
      </w:pPr>
      <w:r w:rsidRPr="001D49D4">
        <w:rPr>
          <w:rFonts w:ascii="Calibri" w:eastAsia="Calibri" w:hAnsi="Calibri" w:cs="Arial"/>
          <w:rtl/>
        </w:rPr>
        <w:t xml:space="preserve">רשב"א </w:t>
      </w:r>
      <w:r w:rsidRPr="001D49D4">
        <w:rPr>
          <w:rFonts w:ascii="Calibri" w:eastAsia="Calibri" w:hAnsi="Calibri" w:cs="Arial"/>
          <w:sz w:val="16"/>
          <w:szCs w:val="16"/>
          <w:rtl/>
        </w:rPr>
        <w:t>(ח"ב סי' שיד)</w:t>
      </w:r>
      <w:r w:rsidRPr="001D49D4">
        <w:rPr>
          <w:rFonts w:ascii="Calibri" w:eastAsia="Calibri" w:hAnsi="Calibri" w:cs="Arial"/>
          <w:rtl/>
        </w:rPr>
        <w:t>- אף במקום שנהגו לכתוב בשטרותיהם 'על מנת שלא תשמיטנו בשביעית' אם בשטר אחד לא נכתב תנאי זה - לא אמרינן כמאן דנכתב דמי כמו שאנו אומרים בדרישת לשון הדיוט</w:t>
      </w:r>
      <w:r w:rsidRPr="001D49D4">
        <w:rPr>
          <w:rFonts w:ascii="Calibri" w:eastAsia="Calibri" w:hAnsi="Calibri" w:cs="Arial"/>
          <w:vertAlign w:val="superscript"/>
          <w:rtl/>
        </w:rPr>
        <w:footnoteReference w:id="5304"/>
      </w:r>
      <w:r w:rsidRPr="001D49D4">
        <w:rPr>
          <w:rFonts w:ascii="Calibri" w:eastAsia="Calibri" w:hAnsi="Calibri" w:cs="Arial"/>
          <w:rtl/>
        </w:rPr>
        <w:t>.</w:t>
      </w:r>
      <w:r w:rsidRPr="001D49D4">
        <w:rPr>
          <w:rFonts w:ascii="Calibri" w:eastAsia="Calibri" w:hAnsi="Calibri" w:cs="Arial"/>
          <w:color w:val="00B0F0"/>
          <w:rtl/>
        </w:rPr>
        <w:t xml:space="preserve"> (וכ"פ הרמ"א)</w:t>
      </w:r>
    </w:p>
    <w:p w14:paraId="0CDBF3C5" w14:textId="77777777" w:rsidR="001D49D4" w:rsidRPr="001D49D4" w:rsidRDefault="001D49D4" w:rsidP="0004348D">
      <w:pPr>
        <w:spacing w:before="360" w:after="240"/>
        <w:rPr>
          <w:rFonts w:ascii="Calibri" w:eastAsia="Calibri" w:hAnsi="Calibri" w:cs="Arial"/>
          <w:u w:val="single"/>
        </w:rPr>
      </w:pPr>
      <w:r w:rsidRPr="001D49D4">
        <w:rPr>
          <w:rFonts w:ascii="Calibri" w:eastAsia="Calibri" w:hAnsi="Calibri" w:cs="Arial"/>
          <w:u w:val="single"/>
          <w:rtl/>
        </w:rPr>
        <w:t xml:space="preserve">אדם שהביא לחברו מעות בהלואה אך כתב בשטר שנתנם לו בתורת פיקדון </w:t>
      </w:r>
      <w:r w:rsidRPr="001D49D4">
        <w:rPr>
          <w:rFonts w:ascii="Calibri" w:eastAsia="Calibri" w:hAnsi="Calibri" w:cs="Arial"/>
          <w:sz w:val="16"/>
          <w:szCs w:val="16"/>
          <w:u w:val="single"/>
          <w:rtl/>
        </w:rPr>
        <w:t>(ע"מ שלא תשמתנו שביעית)</w:t>
      </w:r>
      <w:r w:rsidRPr="001D49D4">
        <w:rPr>
          <w:rFonts w:ascii="Calibri" w:eastAsia="Calibri" w:hAnsi="Calibri" w:cs="Arial"/>
          <w:u w:val="single"/>
          <w:rtl/>
        </w:rPr>
        <w:t xml:space="preserve">: </w:t>
      </w:r>
    </w:p>
    <w:p w14:paraId="6D23953F" w14:textId="77777777" w:rsidR="001D49D4" w:rsidRPr="001D49D4" w:rsidRDefault="001D49D4" w:rsidP="0004348D">
      <w:pPr>
        <w:numPr>
          <w:ilvl w:val="0"/>
          <w:numId w:val="345"/>
        </w:numPr>
        <w:spacing w:before="360" w:after="240"/>
        <w:contextualSpacing/>
        <w:rPr>
          <w:rFonts w:ascii="Calibri" w:eastAsia="Calibri" w:hAnsi="Calibri" w:cs="Arial"/>
        </w:rPr>
      </w:pPr>
      <w:r w:rsidRPr="001D49D4">
        <w:rPr>
          <w:rFonts w:ascii="Calibri" w:eastAsia="Calibri" w:hAnsi="Calibri" w:cs="Arial"/>
          <w:rtl/>
        </w:rPr>
        <w:t xml:space="preserve">מהרי"ק </w:t>
      </w:r>
      <w:r w:rsidRPr="001D49D4">
        <w:rPr>
          <w:rFonts w:ascii="Calibri" w:eastAsia="Calibri" w:hAnsi="Calibri" w:cs="Arial"/>
          <w:sz w:val="16"/>
          <w:szCs w:val="16"/>
          <w:rtl/>
        </w:rPr>
        <w:t>(שורש קפב ענף ה)</w:t>
      </w:r>
      <w:r w:rsidRPr="001D49D4">
        <w:rPr>
          <w:rFonts w:ascii="Calibri" w:eastAsia="Calibri" w:hAnsi="Calibri" w:cs="Arial"/>
          <w:rtl/>
        </w:rPr>
        <w:t>- מאחר שקבל המעות בתורת פקדון - אפילו לא יהיה אמת שהיו פקדון אלא מלוה יש לילך אחר יפוי כח המבואר ולא תשמיטנו שביעית.</w:t>
      </w:r>
      <w:r w:rsidRPr="001D49D4">
        <w:rPr>
          <w:rFonts w:ascii="Calibri" w:eastAsia="Calibri" w:hAnsi="Calibri" w:cs="Arial"/>
          <w:color w:val="00B0F0"/>
          <w:rtl/>
        </w:rPr>
        <w:t xml:space="preserve"> (וכ"פ הרמ"א)</w:t>
      </w:r>
    </w:p>
    <w:p w14:paraId="09217313" w14:textId="77777777" w:rsidR="001D49D4" w:rsidRPr="001D49D4" w:rsidRDefault="001D49D4" w:rsidP="0004348D">
      <w:pPr>
        <w:spacing w:before="360" w:after="240"/>
        <w:rPr>
          <w:rFonts w:ascii="Arial" w:eastAsia="Calibri" w:hAnsi="Arial" w:cs="Arial"/>
          <w:b/>
          <w:bCs/>
          <w:color w:val="000000"/>
          <w:sz w:val="28"/>
          <w:szCs w:val="28"/>
          <w:u w:val="single"/>
          <w:rtl/>
        </w:rPr>
      </w:pPr>
      <w:r w:rsidRPr="001D49D4">
        <w:rPr>
          <w:rFonts w:ascii="Arial" w:eastAsia="Calibri" w:hAnsi="Arial" w:cs="Arial"/>
          <w:b/>
          <w:bCs/>
          <w:color w:val="000000"/>
          <w:sz w:val="28"/>
          <w:szCs w:val="28"/>
          <w:u w:val="single"/>
          <w:rtl/>
        </w:rPr>
        <w:t>שו"ע:</w:t>
      </w:r>
    </w:p>
    <w:p w14:paraId="634843A4"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rtl/>
        </w:rPr>
        <w:t xml:space="preserve">המלוה את חבירו, והתנה עמו שלא תשמיטנו שביעית, הרי זה נשמט. אבל אם התנה עמו שלא ישמיט הוא חוב זה, ואפילו בשביעית, תנאו קיים, שנמצא שחייב עצמו בממון שלא חייבתו תורה, שהוא חייב. </w:t>
      </w:r>
      <w:r w:rsidRPr="001D49D4">
        <w:rPr>
          <w:rFonts w:ascii="Calibri" w:eastAsia="Calibri" w:hAnsi="Calibri" w:cs="Arial"/>
          <w:sz w:val="18"/>
          <w:szCs w:val="18"/>
          <w:rtl/>
        </w:rPr>
        <w:t>הגה: וכן אם כתב בשטר לשון פקדון, אינה משמטת, דלהכי כתב לשון פקדון, שלא ישמט (מהרי"ק שורש קפב). אם נהגו לכתוב כן בשטרות, ובשטר אחד לא נמצא כך, לא אמרינן דהוי כאילו נכתב, אע"פ שלענין שאר דברים אמרינן כך כדלעיל סימן מ"ב</w:t>
      </w:r>
      <w:r w:rsidRPr="001D49D4">
        <w:rPr>
          <w:rFonts w:ascii="Calibri" w:eastAsia="Calibri" w:hAnsi="Calibri" w:cs="Arial"/>
          <w:sz w:val="18"/>
          <w:szCs w:val="18"/>
          <w:vertAlign w:val="superscript"/>
          <w:rtl/>
        </w:rPr>
        <w:footnoteReference w:id="5305"/>
      </w:r>
      <w:r w:rsidRPr="001D49D4">
        <w:rPr>
          <w:rFonts w:ascii="Calibri" w:eastAsia="Calibri" w:hAnsi="Calibri" w:cs="Arial"/>
          <w:sz w:val="18"/>
          <w:szCs w:val="18"/>
          <w:rtl/>
        </w:rPr>
        <w:t xml:space="preserve"> (ב"י בשם הרשב"א).</w:t>
      </w:r>
      <w:r w:rsidRPr="001D49D4">
        <w:rPr>
          <w:rFonts w:ascii="Calibri" w:eastAsia="Calibri" w:hAnsi="Calibri" w:cs="Arial"/>
          <w:rtl/>
        </w:rPr>
        <w:t xml:space="preserve"> </w:t>
      </w:r>
    </w:p>
    <w:p w14:paraId="6657DD11" w14:textId="77777777" w:rsidR="001D49D4" w:rsidRPr="001D49D4" w:rsidRDefault="001D49D4" w:rsidP="0004348D">
      <w:pPr>
        <w:spacing w:before="360" w:after="240"/>
        <w:rPr>
          <w:rFonts w:ascii="Calibri" w:eastAsia="Calibri" w:hAnsi="Calibri" w:cs="Arial"/>
          <w:rtl/>
        </w:rPr>
      </w:pPr>
    </w:p>
    <w:p w14:paraId="53C8C3FE" w14:textId="77777777" w:rsidR="001D49D4" w:rsidRPr="001D49D4" w:rsidRDefault="001D49D4" w:rsidP="0004348D">
      <w:pPr>
        <w:keepNext/>
        <w:keepLines/>
        <w:spacing w:before="360" w:after="240"/>
        <w:outlineLvl w:val="1"/>
        <w:rPr>
          <w:rFonts w:ascii="Cambria" w:eastAsia="Times New Roman" w:hAnsi="Cambria" w:cs="Arial"/>
          <w:bCs/>
          <w:color w:val="548DD4" w:themeColor="text2" w:themeTint="99"/>
          <w:sz w:val="26"/>
          <w:szCs w:val="26"/>
          <w:rtl/>
        </w:rPr>
      </w:pPr>
      <w:bookmarkStart w:id="741" w:name="_Toc24884147"/>
      <w:r w:rsidRPr="001D49D4">
        <w:rPr>
          <w:rFonts w:ascii="Cambria" w:eastAsia="Times New Roman" w:hAnsi="Cambria" w:cs="Arial"/>
          <w:bCs/>
          <w:color w:val="548DD4" w:themeColor="text2" w:themeTint="99"/>
          <w:sz w:val="26"/>
          <w:szCs w:val="26"/>
          <w:rtl/>
        </w:rPr>
        <w:t>סעיף י: המלוה את חברו לזמן רב.</w:t>
      </w:r>
      <w:bookmarkEnd w:id="741"/>
    </w:p>
    <w:p w14:paraId="5813D9EA"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b/>
          <w:bCs/>
          <w:rtl/>
        </w:rPr>
        <w:t>מכות</w:t>
      </w:r>
      <w:r w:rsidRPr="001D49D4">
        <w:rPr>
          <w:rFonts w:ascii="Calibri" w:eastAsia="Calibri" w:hAnsi="Calibri" w:cs="Arial"/>
          <w:b/>
          <w:bCs/>
          <w:sz w:val="16"/>
          <w:szCs w:val="16"/>
          <w:rtl/>
        </w:rPr>
        <w:t xml:space="preserve"> (פ"ק)</w:t>
      </w:r>
      <w:r w:rsidRPr="001D49D4">
        <w:rPr>
          <w:rFonts w:ascii="Calibri" w:eastAsia="Calibri" w:hAnsi="Calibri" w:cs="Arial"/>
          <w:b/>
          <w:bCs/>
          <w:rtl/>
        </w:rPr>
        <w:t xml:space="preserve"> ג</w:t>
      </w:r>
      <w:r w:rsidRPr="001D49D4">
        <w:rPr>
          <w:rFonts w:ascii="Calibri" w:eastAsia="Calibri" w:hAnsi="Calibri" w:cs="Arial"/>
          <w:b/>
          <w:bCs/>
          <w:vertAlign w:val="superscript"/>
          <w:rtl/>
        </w:rPr>
        <w:footnoteReference w:id="5306"/>
      </w:r>
      <w:r w:rsidRPr="001D49D4">
        <w:rPr>
          <w:rFonts w:ascii="Calibri" w:eastAsia="Calibri" w:hAnsi="Calibri" w:cs="Arial"/>
          <w:b/>
          <w:bCs/>
          <w:rtl/>
        </w:rPr>
        <w:t xml:space="preserve"> ע"א: </w:t>
      </w:r>
      <w:r w:rsidRPr="001D49D4">
        <w:rPr>
          <w:rFonts w:ascii="Calibri" w:eastAsia="Calibri" w:hAnsi="Calibri" w:cs="Arial"/>
          <w:u w:val="single"/>
          <w:rtl/>
        </w:rPr>
        <w:t>אמר רב יהודה אמר שמואל</w:t>
      </w:r>
      <w:r w:rsidRPr="001D49D4">
        <w:rPr>
          <w:rFonts w:ascii="Calibri" w:eastAsia="Calibri" w:hAnsi="Calibri" w:cs="Arial"/>
          <w:rtl/>
        </w:rPr>
        <w:t>: המלוה את חבירו לעשר שנים - שביעית משמטתו,</w:t>
      </w:r>
      <w:r w:rsidRPr="001D49D4">
        <w:rPr>
          <w:rFonts w:ascii="Calibri" w:eastAsia="Calibri" w:hAnsi="Calibri" w:cs="Arial"/>
          <w:sz w:val="14"/>
          <w:szCs w:val="14"/>
          <w:rtl/>
        </w:rPr>
        <w:t xml:space="preserve"> (ג:)</w:t>
      </w:r>
      <w:r w:rsidRPr="001D49D4">
        <w:rPr>
          <w:rFonts w:ascii="Calibri" w:eastAsia="Calibri" w:hAnsi="Calibri" w:cs="Arial"/>
          <w:rtl/>
        </w:rPr>
        <w:t xml:space="preserve"> ואף על גב דהשתא לא קרינן ביה לא יגוש, סוף אתי לידי לא יגוש</w:t>
      </w:r>
      <w:r w:rsidRPr="001D49D4">
        <w:rPr>
          <w:rFonts w:ascii="Calibri" w:eastAsia="Calibri" w:hAnsi="Calibri" w:cs="Arial"/>
          <w:vertAlign w:val="superscript"/>
          <w:rtl/>
        </w:rPr>
        <w:footnoteReference w:id="5307"/>
      </w:r>
      <w:r w:rsidRPr="001D49D4">
        <w:rPr>
          <w:rFonts w:ascii="Calibri" w:eastAsia="Calibri" w:hAnsi="Calibri" w:cs="Arial"/>
          <w:rtl/>
        </w:rPr>
        <w:t xml:space="preserve">... </w:t>
      </w:r>
      <w:r w:rsidRPr="001D49D4">
        <w:rPr>
          <w:rFonts w:ascii="Calibri" w:eastAsia="Calibri" w:hAnsi="Calibri" w:cs="Arial"/>
          <w:u w:val="dotted"/>
          <w:rtl/>
        </w:rPr>
        <w:t>איכא דאמרי</w:t>
      </w:r>
      <w:r w:rsidRPr="001D49D4">
        <w:rPr>
          <w:rFonts w:ascii="Calibri" w:eastAsia="Calibri" w:hAnsi="Calibri" w:cs="Arial"/>
          <w:rtl/>
        </w:rPr>
        <w:t xml:space="preserve">, </w:t>
      </w:r>
      <w:r w:rsidRPr="001D49D4">
        <w:rPr>
          <w:rFonts w:ascii="Calibri" w:eastAsia="Calibri" w:hAnsi="Calibri" w:cs="Arial"/>
          <w:u w:val="single"/>
          <w:rtl/>
        </w:rPr>
        <w:t>א"ר יהודה אמר שמואל</w:t>
      </w:r>
      <w:r w:rsidRPr="001D49D4">
        <w:rPr>
          <w:rFonts w:ascii="Calibri" w:eastAsia="Calibri" w:hAnsi="Calibri" w:cs="Arial"/>
          <w:rtl/>
        </w:rPr>
        <w:t>: המלוה את חבירו לעשר שנים - אין שביעית משמטתו, ואף על גב דאתי לידי לא יגוש, השתא מיהא לא קרינן ביה לא יגוש</w:t>
      </w:r>
      <w:r w:rsidRPr="001D49D4">
        <w:rPr>
          <w:rFonts w:ascii="Calibri" w:eastAsia="Calibri" w:hAnsi="Calibri" w:cs="Arial"/>
          <w:vertAlign w:val="superscript"/>
          <w:rtl/>
        </w:rPr>
        <w:footnoteReference w:id="5308"/>
      </w:r>
      <w:r w:rsidRPr="001D49D4">
        <w:rPr>
          <w:rFonts w:ascii="Calibri" w:eastAsia="Calibri" w:hAnsi="Calibri" w:cs="Arial"/>
          <w:rtl/>
        </w:rPr>
        <w:t>.</w:t>
      </w:r>
    </w:p>
    <w:p w14:paraId="0C9BBC67" w14:textId="77777777" w:rsidR="001D49D4" w:rsidRPr="001D49D4" w:rsidRDefault="001D49D4" w:rsidP="0004348D">
      <w:pPr>
        <w:spacing w:before="360" w:after="240"/>
        <w:rPr>
          <w:rFonts w:ascii="Calibri" w:eastAsia="Calibri" w:hAnsi="Calibri" w:cs="Arial"/>
          <w:u w:val="single"/>
          <w:rtl/>
        </w:rPr>
      </w:pPr>
      <w:r w:rsidRPr="001D49D4">
        <w:rPr>
          <w:rFonts w:ascii="Calibri" w:eastAsia="Calibri" w:hAnsi="Calibri" w:cs="Arial"/>
          <w:u w:val="single"/>
          <w:rtl/>
        </w:rPr>
        <w:t>המלוה את חבירו לזמן רב:</w:t>
      </w:r>
    </w:p>
    <w:p w14:paraId="4D977F74" w14:textId="77777777" w:rsidR="001D49D4" w:rsidRPr="001D49D4" w:rsidRDefault="001D49D4" w:rsidP="0004348D">
      <w:pPr>
        <w:numPr>
          <w:ilvl w:val="0"/>
          <w:numId w:val="345"/>
        </w:numPr>
        <w:spacing w:before="360" w:after="240"/>
        <w:contextualSpacing/>
        <w:rPr>
          <w:rFonts w:ascii="Calibri" w:eastAsia="Calibri" w:hAnsi="Calibri" w:cs="Arial"/>
          <w:rtl/>
        </w:rPr>
      </w:pPr>
      <w:r w:rsidRPr="001D49D4">
        <w:rPr>
          <w:rFonts w:ascii="Calibri" w:eastAsia="Calibri" w:hAnsi="Calibri" w:cs="Arial"/>
          <w:rtl/>
        </w:rPr>
        <w:t>ר"ת רמב"ם רמב"ן ספר התרומות רא"ש וטור</w:t>
      </w:r>
      <w:r w:rsidRPr="001D49D4">
        <w:rPr>
          <w:rFonts w:ascii="Calibri" w:eastAsia="Calibri" w:hAnsi="Calibri" w:cs="Arial"/>
          <w:vertAlign w:val="superscript"/>
          <w:rtl/>
        </w:rPr>
        <w:footnoteReference w:id="5309"/>
      </w:r>
      <w:r w:rsidRPr="001D49D4">
        <w:rPr>
          <w:rFonts w:ascii="Calibri" w:eastAsia="Calibri" w:hAnsi="Calibri" w:cs="Arial"/>
          <w:rtl/>
        </w:rPr>
        <w:t>- המלוה לזמן, אפילו</w:t>
      </w:r>
      <w:r w:rsidRPr="001D49D4">
        <w:rPr>
          <w:rFonts w:ascii="Calibri" w:eastAsia="Calibri" w:hAnsi="Calibri" w:cs="Arial"/>
          <w:vertAlign w:val="superscript"/>
          <w:rtl/>
        </w:rPr>
        <w:footnoteReference w:id="5310"/>
      </w:r>
      <w:r w:rsidRPr="001D49D4">
        <w:rPr>
          <w:rFonts w:ascii="Calibri" w:eastAsia="Calibri" w:hAnsi="Calibri" w:cs="Arial"/>
          <w:rtl/>
        </w:rPr>
        <w:t xml:space="preserve"> הרחיב הזמן למאה שנה - אינה משמטת, כלישנא בתרא</w:t>
      </w:r>
      <w:r w:rsidRPr="001D49D4">
        <w:rPr>
          <w:rFonts w:ascii="Calibri" w:eastAsia="Calibri" w:hAnsi="Calibri" w:cs="Arial"/>
          <w:vertAlign w:val="superscript"/>
          <w:rtl/>
        </w:rPr>
        <w:footnoteReference w:id="5311"/>
      </w:r>
      <w:r w:rsidRPr="001D49D4">
        <w:rPr>
          <w:rFonts w:ascii="Calibri" w:eastAsia="Calibri" w:hAnsi="Calibri" w:cs="Arial"/>
          <w:rtl/>
        </w:rPr>
        <w:t xml:space="preserve">. </w:t>
      </w:r>
      <w:r w:rsidRPr="001D49D4">
        <w:rPr>
          <w:rFonts w:ascii="Calibri" w:eastAsia="Calibri" w:hAnsi="Calibri" w:cs="Arial"/>
          <w:color w:val="E36C0A" w:themeColor="accent6" w:themeShade="BF"/>
          <w:rtl/>
        </w:rPr>
        <w:t>(וכ"פ בשו"ע)</w:t>
      </w:r>
    </w:p>
    <w:p w14:paraId="48015C48" w14:textId="77777777" w:rsidR="001D49D4" w:rsidRPr="001D49D4" w:rsidRDefault="001D49D4" w:rsidP="0004348D">
      <w:pPr>
        <w:numPr>
          <w:ilvl w:val="0"/>
          <w:numId w:val="345"/>
        </w:numPr>
        <w:spacing w:before="360" w:after="240"/>
        <w:contextualSpacing/>
        <w:rPr>
          <w:rFonts w:ascii="Calibri" w:eastAsia="Calibri" w:hAnsi="Calibri" w:cs="Arial"/>
        </w:rPr>
      </w:pPr>
      <w:r w:rsidRPr="001D49D4">
        <w:rPr>
          <w:rFonts w:ascii="Calibri" w:eastAsia="Calibri" w:hAnsi="Calibri" w:cs="Arial"/>
          <w:rtl/>
        </w:rPr>
        <w:t xml:space="preserve">ריב"א </w:t>
      </w:r>
      <w:r w:rsidRPr="001D49D4">
        <w:rPr>
          <w:rFonts w:ascii="Calibri" w:eastAsia="Calibri" w:hAnsi="Calibri" w:cs="Arial"/>
          <w:sz w:val="16"/>
          <w:szCs w:val="16"/>
          <w:rtl/>
        </w:rPr>
        <w:t xml:space="preserve">(כ"כ הרא"ש בשמו) </w:t>
      </w:r>
      <w:r w:rsidRPr="001D49D4">
        <w:rPr>
          <w:rFonts w:ascii="Calibri" w:eastAsia="Calibri" w:hAnsi="Calibri" w:cs="Arial"/>
          <w:rtl/>
        </w:rPr>
        <w:t xml:space="preserve">רבינו אליהו </w:t>
      </w:r>
      <w:r w:rsidRPr="001D49D4">
        <w:rPr>
          <w:rFonts w:ascii="Calibri" w:eastAsia="Calibri" w:hAnsi="Calibri" w:cs="Arial"/>
          <w:sz w:val="16"/>
          <w:szCs w:val="16"/>
          <w:rtl/>
        </w:rPr>
        <w:t>(כ"כ הרא"ש בשמו)</w:t>
      </w:r>
      <w:r w:rsidRPr="001D49D4">
        <w:rPr>
          <w:rFonts w:ascii="Calibri" w:eastAsia="Calibri" w:hAnsi="Calibri" w:cs="Arial"/>
          <w:rtl/>
        </w:rPr>
        <w:t xml:space="preserve"> ורמ"ה</w:t>
      </w:r>
      <w:r w:rsidRPr="001D49D4">
        <w:rPr>
          <w:rFonts w:ascii="Calibri" w:eastAsia="Calibri" w:hAnsi="Calibri" w:cs="Arial"/>
          <w:sz w:val="16"/>
          <w:szCs w:val="16"/>
          <w:rtl/>
        </w:rPr>
        <w:t xml:space="preserve"> (כ"כ הטור בשמו)</w:t>
      </w:r>
      <w:r w:rsidRPr="001D49D4">
        <w:rPr>
          <w:rFonts w:ascii="Calibri" w:eastAsia="Calibri" w:hAnsi="Calibri" w:cs="Arial"/>
          <w:rtl/>
        </w:rPr>
        <w:t>- השביעית משמטתו, כלשון ראשון.</w:t>
      </w:r>
    </w:p>
    <w:p w14:paraId="773E1982" w14:textId="77777777" w:rsidR="001D49D4" w:rsidRPr="001D49D4" w:rsidRDefault="001D49D4" w:rsidP="0004348D">
      <w:pPr>
        <w:spacing w:before="360" w:after="240"/>
        <w:rPr>
          <w:rFonts w:ascii="Arial" w:eastAsia="Calibri" w:hAnsi="Arial" w:cs="Arial"/>
          <w:b/>
          <w:bCs/>
          <w:color w:val="000000"/>
          <w:sz w:val="28"/>
          <w:szCs w:val="28"/>
          <w:u w:val="single"/>
          <w:rtl/>
        </w:rPr>
      </w:pPr>
      <w:r w:rsidRPr="001D49D4">
        <w:rPr>
          <w:rFonts w:ascii="Arial" w:eastAsia="Calibri" w:hAnsi="Arial" w:cs="Arial"/>
          <w:b/>
          <w:bCs/>
          <w:color w:val="000000"/>
          <w:sz w:val="28"/>
          <w:szCs w:val="28"/>
          <w:u w:val="single"/>
          <w:rtl/>
        </w:rPr>
        <w:t>שו"ע:</w:t>
      </w:r>
    </w:p>
    <w:p w14:paraId="24658AE3"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rtl/>
        </w:rPr>
        <w:t xml:space="preserve">המלוה את חבירו וקבע לו זמן לעשר שנים או פחות או יותר, אין שביעית הבאה בתוך הזמן משמטתו, דהשתא לא קרי ביה לא יגוש </w:t>
      </w:r>
      <w:r w:rsidRPr="001D49D4">
        <w:rPr>
          <w:rFonts w:ascii="Calibri" w:eastAsia="Calibri" w:hAnsi="Calibri" w:cs="Arial"/>
          <w:sz w:val="16"/>
          <w:szCs w:val="16"/>
          <w:rtl/>
        </w:rPr>
        <w:t>(דברים טו ב)</w:t>
      </w:r>
      <w:r w:rsidRPr="001D49D4">
        <w:rPr>
          <w:rFonts w:ascii="Calibri" w:eastAsia="Calibri" w:hAnsi="Calibri" w:cs="Arial"/>
          <w:rtl/>
        </w:rPr>
        <w:t xml:space="preserve">. </w:t>
      </w:r>
    </w:p>
    <w:p w14:paraId="668DE747" w14:textId="77777777" w:rsidR="001D49D4" w:rsidRPr="001D49D4" w:rsidRDefault="001D49D4" w:rsidP="0004348D">
      <w:pPr>
        <w:spacing w:before="360" w:after="240"/>
        <w:rPr>
          <w:rFonts w:ascii="Calibri" w:eastAsia="Calibri" w:hAnsi="Calibri" w:cs="Arial"/>
          <w:rtl/>
        </w:rPr>
      </w:pPr>
    </w:p>
    <w:p w14:paraId="6CEE6D33" w14:textId="77777777" w:rsidR="001D49D4" w:rsidRPr="001D49D4" w:rsidRDefault="001D49D4" w:rsidP="0004348D">
      <w:pPr>
        <w:keepNext/>
        <w:keepLines/>
        <w:spacing w:before="360" w:after="240"/>
        <w:outlineLvl w:val="1"/>
        <w:rPr>
          <w:rFonts w:ascii="Cambria" w:eastAsia="Times New Roman" w:hAnsi="Cambria" w:cs="Arial"/>
          <w:bCs/>
          <w:color w:val="548DD4" w:themeColor="text2" w:themeTint="99"/>
          <w:sz w:val="26"/>
          <w:szCs w:val="26"/>
          <w:rtl/>
        </w:rPr>
      </w:pPr>
      <w:bookmarkStart w:id="742" w:name="_Toc24884148"/>
      <w:r w:rsidRPr="001D49D4">
        <w:rPr>
          <w:rFonts w:ascii="Cambria" w:eastAsia="Times New Roman" w:hAnsi="Cambria" w:cs="Arial"/>
          <w:bCs/>
          <w:color w:val="548DD4" w:themeColor="text2" w:themeTint="99"/>
          <w:sz w:val="26"/>
          <w:szCs w:val="26"/>
          <w:rtl/>
        </w:rPr>
        <w:t>סעיף יא: המוסר שטרותיו לבית דין.</w:t>
      </w:r>
      <w:bookmarkEnd w:id="742"/>
    </w:p>
    <w:p w14:paraId="11E038A3"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b/>
          <w:bCs/>
          <w:rtl/>
        </w:rPr>
        <w:t>משנה שביעית פ"י מ"ב:</w:t>
      </w:r>
      <w:r w:rsidRPr="001D49D4">
        <w:rPr>
          <w:rFonts w:ascii="Calibri" w:eastAsia="Calibri" w:hAnsi="Calibri" w:cs="Arial"/>
          <w:rtl/>
        </w:rPr>
        <w:t>... המוסר שטרותיו לבית דין אינן משמטין.</w:t>
      </w:r>
    </w:p>
    <w:p w14:paraId="61E98979" w14:textId="77777777" w:rsidR="001D49D4" w:rsidRPr="001D49D4" w:rsidRDefault="001D49D4" w:rsidP="0004348D">
      <w:pPr>
        <w:spacing w:before="360" w:after="240"/>
        <w:rPr>
          <w:rFonts w:ascii="Calibri" w:eastAsia="Calibri" w:hAnsi="Calibri" w:cs="Arial"/>
          <w:u w:val="single"/>
          <w:rtl/>
        </w:rPr>
      </w:pPr>
      <w:r w:rsidRPr="001D49D4">
        <w:rPr>
          <w:rFonts w:ascii="Calibri" w:eastAsia="Calibri" w:hAnsi="Calibri" w:cs="Arial"/>
          <w:b/>
          <w:bCs/>
          <w:rtl/>
        </w:rPr>
        <w:t>מכות</w:t>
      </w:r>
      <w:r w:rsidRPr="001D49D4">
        <w:rPr>
          <w:rFonts w:ascii="Calibri" w:eastAsia="Calibri" w:hAnsi="Calibri" w:cs="Arial"/>
          <w:b/>
          <w:bCs/>
          <w:sz w:val="16"/>
          <w:szCs w:val="16"/>
          <w:rtl/>
        </w:rPr>
        <w:t xml:space="preserve"> (פ"ק)</w:t>
      </w:r>
      <w:r w:rsidRPr="001D49D4">
        <w:rPr>
          <w:rFonts w:ascii="Calibri" w:eastAsia="Calibri" w:hAnsi="Calibri" w:cs="Arial"/>
          <w:b/>
          <w:bCs/>
          <w:rtl/>
        </w:rPr>
        <w:t xml:space="preserve"> ג</w:t>
      </w:r>
      <w:r w:rsidRPr="001D49D4">
        <w:rPr>
          <w:rFonts w:ascii="Calibri" w:eastAsia="Calibri" w:hAnsi="Calibri" w:cs="Arial"/>
          <w:b/>
          <w:bCs/>
          <w:vertAlign w:val="superscript"/>
          <w:rtl/>
        </w:rPr>
        <w:footnoteReference w:id="5312"/>
      </w:r>
      <w:r w:rsidRPr="001D49D4">
        <w:rPr>
          <w:rFonts w:ascii="Calibri" w:eastAsia="Calibri" w:hAnsi="Calibri" w:cs="Arial"/>
          <w:b/>
          <w:bCs/>
          <w:rtl/>
        </w:rPr>
        <w:t xml:space="preserve"> ע"א:</w:t>
      </w:r>
      <w:r w:rsidRPr="001D49D4">
        <w:rPr>
          <w:rFonts w:ascii="Calibri" w:eastAsia="Calibri" w:hAnsi="Calibri" w:cs="Arial"/>
          <w:rtl/>
        </w:rPr>
        <w:t xml:space="preserve"> </w:t>
      </w:r>
      <w:r w:rsidRPr="001D49D4">
        <w:rPr>
          <w:rFonts w:ascii="Calibri" w:eastAsia="Calibri" w:hAnsi="Calibri" w:cs="Arial"/>
          <w:u w:val="single"/>
          <w:rtl/>
        </w:rPr>
        <w:t>אמר רבא</w:t>
      </w:r>
      <w:r w:rsidRPr="001D49D4">
        <w:rPr>
          <w:rFonts w:ascii="Calibri" w:eastAsia="Calibri" w:hAnsi="Calibri" w:cs="Arial"/>
          <w:rtl/>
        </w:rPr>
        <w:t>: הב"ע - במלוה על המשכון, ובמוסר שטרותיו לב"ד</w:t>
      </w:r>
      <w:r w:rsidRPr="001D49D4">
        <w:rPr>
          <w:rFonts w:ascii="Calibri" w:eastAsia="Calibri" w:hAnsi="Calibri" w:cs="Arial"/>
          <w:vertAlign w:val="superscript"/>
          <w:rtl/>
        </w:rPr>
        <w:footnoteReference w:id="5313"/>
      </w:r>
      <w:r w:rsidRPr="001D49D4">
        <w:rPr>
          <w:rFonts w:ascii="Calibri" w:eastAsia="Calibri" w:hAnsi="Calibri" w:cs="Arial"/>
          <w:rtl/>
        </w:rPr>
        <w:t>, דתנן: המלוה על המשכון, והמוסר שטרותיו לב"ד - אין משמיטין.</w:t>
      </w:r>
    </w:p>
    <w:p w14:paraId="574BD301" w14:textId="77777777" w:rsidR="001D49D4" w:rsidRPr="001D49D4" w:rsidRDefault="001D49D4" w:rsidP="0004348D">
      <w:pPr>
        <w:spacing w:before="360" w:after="240"/>
        <w:rPr>
          <w:rFonts w:ascii="Calibri" w:eastAsia="Calibri" w:hAnsi="Calibri" w:cs="Arial"/>
          <w:u w:val="single"/>
          <w:rtl/>
        </w:rPr>
      </w:pPr>
      <w:r w:rsidRPr="001D49D4">
        <w:rPr>
          <w:rFonts w:ascii="Calibri" w:eastAsia="Calibri" w:hAnsi="Calibri" w:cs="Arial"/>
          <w:u w:val="single"/>
          <w:rtl/>
        </w:rPr>
        <w:t>המוסר שטרותיו לבית דין:</w:t>
      </w:r>
    </w:p>
    <w:p w14:paraId="12EAA45C" w14:textId="77777777" w:rsidR="001D49D4" w:rsidRPr="001D49D4" w:rsidRDefault="001D49D4" w:rsidP="0004348D">
      <w:pPr>
        <w:numPr>
          <w:ilvl w:val="0"/>
          <w:numId w:val="346"/>
        </w:numPr>
        <w:spacing w:before="360" w:after="240"/>
        <w:contextualSpacing/>
        <w:rPr>
          <w:rFonts w:ascii="Calibri" w:eastAsia="Calibri" w:hAnsi="Calibri" w:cs="Arial"/>
          <w:rtl/>
        </w:rPr>
      </w:pPr>
      <w:r w:rsidRPr="001D49D4">
        <w:rPr>
          <w:rFonts w:ascii="Calibri" w:eastAsia="Calibri" w:hAnsi="Calibri" w:cs="Arial"/>
          <w:rtl/>
        </w:rPr>
        <w:t>טור- המוסר שטרותיו לבית דין - אינה משמטת.</w:t>
      </w:r>
      <w:r w:rsidRPr="001D49D4">
        <w:rPr>
          <w:rFonts w:ascii="Calibri" w:eastAsia="Calibri" w:hAnsi="Calibri" w:cs="Arial"/>
          <w:color w:val="E36C0A" w:themeColor="accent6" w:themeShade="BF"/>
          <w:rtl/>
        </w:rPr>
        <w:t xml:space="preserve"> (וכ"פ בשו"ע)</w:t>
      </w:r>
    </w:p>
    <w:p w14:paraId="4EB00C7A" w14:textId="77777777" w:rsidR="001D49D4" w:rsidRPr="001D49D4" w:rsidRDefault="001D49D4" w:rsidP="0004348D">
      <w:pPr>
        <w:spacing w:before="360" w:after="240"/>
        <w:rPr>
          <w:rFonts w:ascii="Calibri" w:eastAsia="Calibri" w:hAnsi="Calibri" w:cs="Arial"/>
          <w:u w:val="single"/>
        </w:rPr>
      </w:pPr>
      <w:r w:rsidRPr="001D49D4">
        <w:rPr>
          <w:rFonts w:ascii="Calibri" w:eastAsia="Calibri" w:hAnsi="Calibri" w:cs="Arial"/>
          <w:u w:val="single"/>
          <w:rtl/>
        </w:rPr>
        <w:t>בית דין שראו שטר הורדה ודנו שיגבה בו – האם מקרי כמוסר שטרותיו לב"ד:</w:t>
      </w:r>
    </w:p>
    <w:p w14:paraId="52DB80DB" w14:textId="77777777" w:rsidR="001D49D4" w:rsidRPr="001D49D4" w:rsidRDefault="001D49D4" w:rsidP="0004348D">
      <w:pPr>
        <w:numPr>
          <w:ilvl w:val="0"/>
          <w:numId w:val="346"/>
        </w:numPr>
        <w:spacing w:before="360" w:after="240"/>
        <w:contextualSpacing/>
        <w:rPr>
          <w:rFonts w:ascii="Calibri" w:eastAsia="Calibri" w:hAnsi="Calibri" w:cs="Arial"/>
        </w:rPr>
      </w:pPr>
      <w:r w:rsidRPr="001D49D4">
        <w:rPr>
          <w:rFonts w:ascii="Calibri" w:eastAsia="Calibri" w:hAnsi="Calibri" w:cs="Arial"/>
          <w:rtl/>
        </w:rPr>
        <w:t xml:space="preserve">רא"ש </w:t>
      </w:r>
      <w:r w:rsidRPr="001D49D4">
        <w:rPr>
          <w:rFonts w:ascii="Calibri" w:eastAsia="Calibri" w:hAnsi="Calibri" w:cs="Arial"/>
          <w:sz w:val="16"/>
          <w:szCs w:val="16"/>
          <w:rtl/>
        </w:rPr>
        <w:t>(סוף כלל פו סי' טו)</w:t>
      </w:r>
      <w:r w:rsidRPr="001D49D4">
        <w:rPr>
          <w:rFonts w:ascii="Calibri" w:eastAsia="Calibri" w:hAnsi="Calibri" w:cs="Arial"/>
          <w:rtl/>
        </w:rPr>
        <w:t>- מה שאמרו בית דין אחר שראו שטר ההורדה שאין לחוש לטענת שמטה כיון שקודם שהגיעה שנת השמטה בא ליד ב"ד ודנו שיגבה - זו אינה טענה כל זמן שלא מסר שטרו ליד בית דין שיהא מונח בידם. כדתנן</w:t>
      </w:r>
      <w:r w:rsidRPr="001D49D4">
        <w:rPr>
          <w:rFonts w:ascii="Calibri" w:eastAsia="Calibri" w:hAnsi="Calibri" w:cs="Arial"/>
          <w:sz w:val="16"/>
          <w:szCs w:val="16"/>
          <w:rtl/>
        </w:rPr>
        <w:t xml:space="preserve"> (שביעית פ"י)</w:t>
      </w:r>
      <w:r w:rsidRPr="001D49D4">
        <w:rPr>
          <w:rFonts w:ascii="Calibri" w:eastAsia="Calibri" w:hAnsi="Calibri" w:cs="Arial"/>
          <w:rtl/>
        </w:rPr>
        <w:t xml:space="preserve"> המוסר שטרותיו לב"ד אינן משמטין. וכן התובע את חברו לדין וכתבו לו ב"ד פסק דין - אין מעשה ב"ד משמטת, כדתנן </w:t>
      </w:r>
      <w:r w:rsidRPr="001D49D4">
        <w:rPr>
          <w:rFonts w:ascii="Calibri" w:eastAsia="Calibri" w:hAnsi="Calibri" w:cs="Arial"/>
          <w:sz w:val="16"/>
          <w:szCs w:val="16"/>
          <w:rtl/>
        </w:rPr>
        <w:t xml:space="preserve">(שם) </w:t>
      </w:r>
      <w:r w:rsidRPr="001D49D4">
        <w:rPr>
          <w:rFonts w:ascii="Calibri" w:eastAsia="Calibri" w:hAnsi="Calibri" w:cs="Arial"/>
          <w:rtl/>
        </w:rPr>
        <w:t xml:space="preserve">וכל מעשה ב"ד אינן משמיטין, ומפרש בירושלמי גזרי ב"ד התובע את חבירו ממון וכפר לו והביא עדים וחייבוהו ב"ד וכתבו לו פסק דין אז הוי כגבוי ואינו משמט. והא דאמר בירושלמי מלוה שהיא נעשית כפרנית אינה משמטת אם כפר לפני שביעית ולאחר שביעית הודה לו אין משמטת. כפרנית שנעשית מלוה משמטת. פירוש- אם כפר בה לפני שביעית ותבעו לדין והביא עדים וחייבוהו ונעשית מלוה משמטת, וקשיא להא דאמרינן דגזרי ב"ד אין משמיטין, י"ל דמיירי שלא כתבו לו ב"ד פסק דין ולהכי לא הוי כגבוי. כל שכן בנדון זה שלא היה לשטר זה כי אם ראיית בית דין. </w:t>
      </w:r>
    </w:p>
    <w:p w14:paraId="49EB37E9" w14:textId="77777777" w:rsidR="001D49D4" w:rsidRPr="001D49D4" w:rsidRDefault="001D49D4" w:rsidP="0004348D">
      <w:pPr>
        <w:spacing w:before="360" w:after="240"/>
        <w:rPr>
          <w:rFonts w:ascii="Calibri" w:eastAsia="Calibri" w:hAnsi="Calibri" w:cs="Arial"/>
          <w:u w:val="single"/>
        </w:rPr>
      </w:pPr>
      <w:r w:rsidRPr="001D49D4">
        <w:rPr>
          <w:rFonts w:ascii="Calibri" w:eastAsia="Calibri" w:hAnsi="Calibri" w:cs="Arial"/>
          <w:u w:val="single"/>
          <w:rtl/>
        </w:rPr>
        <w:t>מה ההבדל בין מוסר שטרותיו לב"ד לבין פרוזבול:</w:t>
      </w:r>
    </w:p>
    <w:p w14:paraId="5FCCC421" w14:textId="77777777" w:rsidR="001D49D4" w:rsidRPr="001D49D4" w:rsidRDefault="001D49D4" w:rsidP="0004348D">
      <w:pPr>
        <w:numPr>
          <w:ilvl w:val="0"/>
          <w:numId w:val="346"/>
        </w:numPr>
        <w:spacing w:before="360" w:after="240"/>
        <w:contextualSpacing/>
        <w:rPr>
          <w:rFonts w:ascii="Calibri" w:eastAsia="Calibri" w:hAnsi="Calibri" w:cs="Arial"/>
        </w:rPr>
      </w:pPr>
      <w:r w:rsidRPr="001D49D4">
        <w:rPr>
          <w:rFonts w:ascii="Calibri" w:eastAsia="Calibri" w:hAnsi="Calibri" w:cs="Arial"/>
          <w:rtl/>
        </w:rPr>
        <w:t>בעל התרומות</w:t>
      </w:r>
      <w:r w:rsidRPr="001D49D4">
        <w:rPr>
          <w:rFonts w:ascii="Calibri" w:eastAsia="Calibri" w:hAnsi="Calibri" w:cs="Arial"/>
          <w:sz w:val="16"/>
          <w:szCs w:val="16"/>
          <w:rtl/>
        </w:rPr>
        <w:t xml:space="preserve"> (שער מה סי' יא)</w:t>
      </w:r>
      <w:r w:rsidRPr="001D49D4">
        <w:rPr>
          <w:rFonts w:ascii="Calibri" w:eastAsia="Calibri" w:hAnsi="Calibri" w:cs="Arial"/>
          <w:rtl/>
        </w:rPr>
        <w:t>- נ"ל שהמוסר שטרו לבית דין אינו כענין הפרוזבול, שהפרוזבול אינו מועיל אלא בחוצה לארץ ואינו אלא בבית דין חשוב, ואע"ג דכתיב בפרוזבול מוסרני לכם כך היה אומר אבל לא היה מוסר, וזהו מה שהקל רבן גמליאל. אבל מוסר חזק ומועיל יותר מפרוזבול, ויכול להיות אפילו בהדיוטות הואיל ויהיו שלשה בני אדם, כך נראה לי באמת.</w:t>
      </w:r>
    </w:p>
    <w:p w14:paraId="4D8D01B3" w14:textId="77777777" w:rsidR="001D49D4" w:rsidRPr="001D49D4" w:rsidRDefault="001D49D4" w:rsidP="0004348D">
      <w:pPr>
        <w:spacing w:before="360" w:after="240"/>
        <w:rPr>
          <w:rFonts w:ascii="Calibri" w:eastAsia="Calibri" w:hAnsi="Calibri" w:cs="Arial"/>
          <w:u w:val="single"/>
        </w:rPr>
      </w:pPr>
      <w:r w:rsidRPr="001D49D4">
        <w:rPr>
          <w:rFonts w:ascii="Calibri" w:eastAsia="Calibri" w:hAnsi="Calibri" w:cs="Arial"/>
          <w:u w:val="single"/>
          <w:rtl/>
        </w:rPr>
        <w:t xml:space="preserve">לוה שנתבע ע"י המלוה ונתעכב הלוה מלבוא לב"ד ובעקבות כך נכנסה שביעית – האם מקרי כמוסר שטרותיו לב"ד: </w:t>
      </w:r>
    </w:p>
    <w:p w14:paraId="35871675" w14:textId="77777777" w:rsidR="001D49D4" w:rsidRPr="001D49D4" w:rsidRDefault="001D49D4" w:rsidP="0004348D">
      <w:pPr>
        <w:numPr>
          <w:ilvl w:val="0"/>
          <w:numId w:val="346"/>
        </w:numPr>
        <w:spacing w:before="360" w:after="240"/>
        <w:contextualSpacing/>
        <w:rPr>
          <w:rFonts w:ascii="Calibri" w:eastAsia="Calibri" w:hAnsi="Calibri" w:cs="Arial"/>
        </w:rPr>
      </w:pPr>
      <w:r w:rsidRPr="001D49D4">
        <w:rPr>
          <w:rFonts w:ascii="Calibri" w:eastAsia="Calibri" w:hAnsi="Calibri" w:cs="Arial"/>
          <w:rtl/>
        </w:rPr>
        <w:t xml:space="preserve">רא"ש </w:t>
      </w:r>
      <w:r w:rsidRPr="001D49D4">
        <w:rPr>
          <w:rFonts w:ascii="Calibri" w:eastAsia="Calibri" w:hAnsi="Calibri" w:cs="Arial"/>
          <w:sz w:val="16"/>
          <w:szCs w:val="16"/>
          <w:rtl/>
        </w:rPr>
        <w:t>(כלל עז סי' ה)</w:t>
      </w:r>
      <w:r w:rsidRPr="001D49D4">
        <w:rPr>
          <w:rFonts w:ascii="Calibri" w:eastAsia="Calibri" w:hAnsi="Calibri" w:cs="Arial"/>
          <w:rtl/>
        </w:rPr>
        <w:t xml:space="preserve"> וטור- וששאלת אם התובע הלך והראה שטר שיש לו על חבירו והיה מתרעם ממנו קודם שביעית שלא היה יכול להשיג ממנו דין ונתנו לו ב"ד הזמנה שיזמין אותו לדין והלך והזמינו ולא הגיע לדין עד שבא שביעית אם יהיה זה כמוסר שטרותיו לב"ד. תשובה, אין לנו אלא מה שאמרו חכמים ז"ל המוסר שטרותיו לב"ד דוקא משום דלא קרינן ביה ולא יגוש שא"צ ליגוש שב"ד נוגשין אותו אבל בנדון זה נוגש ונוגש הוא</w:t>
      </w:r>
      <w:r w:rsidRPr="001D49D4">
        <w:rPr>
          <w:rFonts w:ascii="Calibri" w:eastAsia="Calibri" w:hAnsi="Calibri" w:cs="Arial"/>
          <w:sz w:val="16"/>
          <w:szCs w:val="16"/>
          <w:rtl/>
        </w:rPr>
        <w:t xml:space="preserve"> (ל' הטור)</w:t>
      </w:r>
      <w:r w:rsidRPr="001D49D4">
        <w:rPr>
          <w:rFonts w:ascii="Calibri" w:eastAsia="Calibri" w:hAnsi="Calibri" w:cs="Arial"/>
          <w:rtl/>
        </w:rPr>
        <w:t>.</w:t>
      </w:r>
    </w:p>
    <w:p w14:paraId="1A754599" w14:textId="77777777" w:rsidR="001D49D4" w:rsidRPr="001D49D4" w:rsidRDefault="001D49D4" w:rsidP="0004348D">
      <w:pPr>
        <w:spacing w:before="360" w:after="240"/>
        <w:rPr>
          <w:rFonts w:ascii="Arial" w:eastAsia="Calibri" w:hAnsi="Arial" w:cs="Arial"/>
          <w:b/>
          <w:bCs/>
          <w:color w:val="000000"/>
          <w:sz w:val="28"/>
          <w:szCs w:val="28"/>
          <w:u w:val="single"/>
          <w:rtl/>
        </w:rPr>
      </w:pPr>
      <w:r w:rsidRPr="001D49D4">
        <w:rPr>
          <w:rFonts w:ascii="Arial" w:eastAsia="Calibri" w:hAnsi="Arial" w:cs="Arial"/>
          <w:b/>
          <w:bCs/>
          <w:color w:val="000000"/>
          <w:sz w:val="28"/>
          <w:szCs w:val="28"/>
          <w:u w:val="single"/>
          <w:rtl/>
        </w:rPr>
        <w:t>שו"ע:</w:t>
      </w:r>
    </w:p>
    <w:p w14:paraId="1FFBAFD0"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rtl/>
        </w:rPr>
        <w:t>המוסר שטרותיו</w:t>
      </w:r>
      <w:r w:rsidRPr="001D49D4">
        <w:rPr>
          <w:rFonts w:ascii="Calibri" w:eastAsia="Calibri" w:hAnsi="Calibri" w:cs="Arial"/>
          <w:vertAlign w:val="superscript"/>
          <w:rtl/>
        </w:rPr>
        <w:footnoteReference w:id="5314"/>
      </w:r>
      <w:r w:rsidRPr="001D49D4">
        <w:rPr>
          <w:rFonts w:ascii="Calibri" w:eastAsia="Calibri" w:hAnsi="Calibri" w:cs="Arial"/>
          <w:rtl/>
        </w:rPr>
        <w:t xml:space="preserve"> לבית דין ואמר להם 'אתם גבו לי חובי', אינו נשמט</w:t>
      </w:r>
      <w:r w:rsidRPr="001D49D4">
        <w:rPr>
          <w:rFonts w:ascii="Calibri" w:eastAsia="Calibri" w:hAnsi="Calibri" w:cs="Arial"/>
          <w:vertAlign w:val="superscript"/>
          <w:rtl/>
        </w:rPr>
        <w:footnoteReference w:id="5315"/>
      </w:r>
      <w:r w:rsidRPr="001D49D4">
        <w:rPr>
          <w:rFonts w:ascii="Calibri" w:eastAsia="Calibri" w:hAnsi="Calibri" w:cs="Arial"/>
          <w:rtl/>
        </w:rPr>
        <w:t xml:space="preserve">. </w:t>
      </w:r>
    </w:p>
    <w:p w14:paraId="15947F01" w14:textId="77777777" w:rsidR="001D49D4" w:rsidRPr="001D49D4" w:rsidRDefault="001D49D4" w:rsidP="0004348D">
      <w:pPr>
        <w:spacing w:before="360" w:after="240"/>
        <w:rPr>
          <w:rFonts w:ascii="Calibri" w:eastAsia="Calibri" w:hAnsi="Calibri" w:cs="Arial"/>
          <w:rtl/>
        </w:rPr>
      </w:pPr>
    </w:p>
    <w:p w14:paraId="7CD904EE" w14:textId="77777777" w:rsidR="001D49D4" w:rsidRPr="001D49D4" w:rsidRDefault="001D49D4" w:rsidP="0004348D">
      <w:pPr>
        <w:keepNext/>
        <w:keepLines/>
        <w:spacing w:before="360" w:after="240"/>
        <w:outlineLvl w:val="1"/>
        <w:rPr>
          <w:rFonts w:ascii="Cambria" w:eastAsia="Times New Roman" w:hAnsi="Cambria" w:cs="Arial"/>
          <w:bCs/>
          <w:color w:val="548DD4" w:themeColor="text2" w:themeTint="99"/>
          <w:sz w:val="26"/>
          <w:szCs w:val="26"/>
          <w:rtl/>
        </w:rPr>
      </w:pPr>
      <w:bookmarkStart w:id="743" w:name="_Toc24884149"/>
      <w:r w:rsidRPr="001D49D4">
        <w:rPr>
          <w:rFonts w:ascii="Cambria" w:eastAsia="Times New Roman" w:hAnsi="Cambria" w:cs="Arial"/>
          <w:bCs/>
          <w:color w:val="548DD4" w:themeColor="text2" w:themeTint="99"/>
          <w:sz w:val="26"/>
          <w:szCs w:val="26"/>
          <w:rtl/>
        </w:rPr>
        <w:t>סעיף יב: המלוה על המשכון.</w:t>
      </w:r>
      <w:bookmarkEnd w:id="743"/>
    </w:p>
    <w:p w14:paraId="2C9F07D0"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b/>
          <w:bCs/>
          <w:rtl/>
        </w:rPr>
        <w:t>משנה שביעית פ"י מ"ב:</w:t>
      </w:r>
      <w:r w:rsidRPr="001D49D4">
        <w:rPr>
          <w:rFonts w:ascii="Calibri" w:eastAsia="Calibri" w:hAnsi="Calibri" w:cs="Arial"/>
          <w:rtl/>
        </w:rPr>
        <w:t>... המלוה על המשכון והמוסר שטרותיו לבית דין אינן משמטין.</w:t>
      </w:r>
    </w:p>
    <w:p w14:paraId="6BFB7906" w14:textId="77777777" w:rsidR="001D49D4" w:rsidRPr="001D49D4" w:rsidRDefault="001D49D4" w:rsidP="0004348D">
      <w:pPr>
        <w:spacing w:before="360" w:after="240"/>
        <w:rPr>
          <w:rFonts w:ascii="Calibri" w:eastAsia="Calibri" w:hAnsi="Calibri" w:cs="Arial"/>
          <w:sz w:val="16"/>
          <w:szCs w:val="16"/>
          <w:rtl/>
        </w:rPr>
      </w:pPr>
      <w:r w:rsidRPr="001D49D4">
        <w:rPr>
          <w:rFonts w:ascii="Calibri" w:eastAsia="Calibri" w:hAnsi="Calibri" w:cs="Arial"/>
          <w:b/>
          <w:bCs/>
          <w:rtl/>
        </w:rPr>
        <w:t xml:space="preserve">גיטין </w:t>
      </w:r>
      <w:r w:rsidRPr="001D49D4">
        <w:rPr>
          <w:rFonts w:ascii="Calibri" w:eastAsia="Calibri" w:hAnsi="Calibri" w:cs="Arial"/>
          <w:b/>
          <w:bCs/>
          <w:sz w:val="16"/>
          <w:szCs w:val="16"/>
          <w:rtl/>
        </w:rPr>
        <w:t xml:space="preserve">(פרק השולח) </w:t>
      </w:r>
      <w:r w:rsidRPr="001D49D4">
        <w:rPr>
          <w:rFonts w:ascii="Calibri" w:eastAsia="Calibri" w:hAnsi="Calibri" w:cs="Arial"/>
          <w:b/>
          <w:bCs/>
          <w:rtl/>
        </w:rPr>
        <w:t>לז</w:t>
      </w:r>
      <w:r w:rsidRPr="001D49D4">
        <w:rPr>
          <w:rFonts w:ascii="Calibri" w:eastAsia="Calibri" w:hAnsi="Calibri" w:cs="Arial"/>
          <w:b/>
          <w:bCs/>
          <w:vertAlign w:val="superscript"/>
          <w:rtl/>
        </w:rPr>
        <w:footnoteReference w:id="5316"/>
      </w:r>
      <w:r w:rsidRPr="001D49D4">
        <w:rPr>
          <w:rFonts w:ascii="Calibri" w:eastAsia="Calibri" w:hAnsi="Calibri" w:cs="Arial"/>
          <w:b/>
          <w:bCs/>
          <w:rtl/>
        </w:rPr>
        <w:t xml:space="preserve"> ע"א: </w:t>
      </w:r>
      <w:r w:rsidRPr="001D49D4">
        <w:rPr>
          <w:rFonts w:ascii="Calibri" w:eastAsia="Calibri" w:hAnsi="Calibri" w:cs="Arial"/>
          <w:rtl/>
        </w:rPr>
        <w:t xml:space="preserve">תנן התם: המלוה את חבירו מעות על המשכון, והמוסר שטרותיו לבית דין - אין משמטין. בשלמא מוסר שטרותיו לב"ד, דתפסי להו בי דינא, אלא מלוה על המשכון מאי טעמא? </w:t>
      </w:r>
      <w:r w:rsidRPr="001D49D4">
        <w:rPr>
          <w:rFonts w:ascii="Calibri" w:eastAsia="Calibri" w:hAnsi="Calibri" w:cs="Arial"/>
          <w:u w:val="single"/>
          <w:rtl/>
        </w:rPr>
        <w:t>אמר רבא</w:t>
      </w:r>
      <w:r w:rsidRPr="001D49D4">
        <w:rPr>
          <w:rFonts w:ascii="Calibri" w:eastAsia="Calibri" w:hAnsi="Calibri" w:cs="Arial"/>
          <w:rtl/>
        </w:rPr>
        <w:t xml:space="preserve">: משום דתפס ליה. </w:t>
      </w:r>
      <w:r w:rsidRPr="001D49D4">
        <w:rPr>
          <w:rFonts w:ascii="Calibri" w:eastAsia="Calibri" w:hAnsi="Calibri" w:cs="Arial"/>
          <w:u w:val="single"/>
          <w:rtl/>
        </w:rPr>
        <w:t>אמר ליה אביי</w:t>
      </w:r>
      <w:r w:rsidRPr="001D49D4">
        <w:rPr>
          <w:rFonts w:ascii="Calibri" w:eastAsia="Calibri" w:hAnsi="Calibri" w:cs="Arial"/>
          <w:rtl/>
        </w:rPr>
        <w:t xml:space="preserve">: אלא מעתה, הלוהו ודר בחצרו דתפיס ליה, הכי נמי דלא משמט! </w:t>
      </w:r>
      <w:r w:rsidRPr="001D49D4">
        <w:rPr>
          <w:rFonts w:ascii="Calibri" w:eastAsia="Calibri" w:hAnsi="Calibri" w:cs="Arial"/>
          <w:u w:val="single"/>
          <w:rtl/>
        </w:rPr>
        <w:t>אמר ליה</w:t>
      </w:r>
      <w:r w:rsidRPr="001D49D4">
        <w:rPr>
          <w:rFonts w:ascii="Calibri" w:eastAsia="Calibri" w:hAnsi="Calibri" w:cs="Arial"/>
          <w:rtl/>
        </w:rPr>
        <w:t xml:space="preserve">: שאני משכון, דקני ליה, מדרבי יצחק, </w:t>
      </w:r>
      <w:r w:rsidRPr="001D49D4">
        <w:rPr>
          <w:rFonts w:ascii="Calibri" w:eastAsia="Calibri" w:hAnsi="Calibri" w:cs="Arial"/>
          <w:u w:val="single"/>
          <w:rtl/>
        </w:rPr>
        <w:t>דאמר רבי יצחק</w:t>
      </w:r>
      <w:r w:rsidRPr="001D49D4">
        <w:rPr>
          <w:rFonts w:ascii="Calibri" w:eastAsia="Calibri" w:hAnsi="Calibri" w:cs="Arial"/>
          <w:rtl/>
        </w:rPr>
        <w:t>: מנין לבעל חוב שקונה משכון? שנאמר: ולך תהיה צדקה, אם אינו קונה - צדקה מנין? מכאן לבעל חוב שקונה משכון.</w:t>
      </w:r>
      <w:r w:rsidRPr="001D49D4">
        <w:rPr>
          <w:rFonts w:ascii="Calibri" w:eastAsia="Calibri" w:hAnsi="Calibri" w:cs="Arial"/>
          <w:sz w:val="16"/>
          <w:szCs w:val="16"/>
          <w:rtl/>
        </w:rPr>
        <w:t xml:space="preserve"> (וכ"פ פסקו הפוסקים. </w:t>
      </w:r>
      <w:r w:rsidRPr="001D49D4">
        <w:rPr>
          <w:rFonts w:ascii="Calibri" w:eastAsia="Calibri" w:hAnsi="Calibri" w:cs="Arial"/>
          <w:color w:val="E36C0A" w:themeColor="accent6" w:themeShade="BF"/>
          <w:sz w:val="16"/>
          <w:szCs w:val="16"/>
          <w:rtl/>
        </w:rPr>
        <w:t>וכ"פ בשו"ע</w:t>
      </w:r>
      <w:r w:rsidRPr="001D49D4">
        <w:rPr>
          <w:rFonts w:ascii="Calibri" w:eastAsia="Calibri" w:hAnsi="Calibri" w:cs="Arial"/>
          <w:sz w:val="16"/>
          <w:szCs w:val="16"/>
          <w:rtl/>
        </w:rPr>
        <w:t>)</w:t>
      </w:r>
    </w:p>
    <w:p w14:paraId="295EB971" w14:textId="77777777" w:rsidR="001D49D4" w:rsidRPr="001D49D4" w:rsidRDefault="001D49D4" w:rsidP="0004348D">
      <w:pPr>
        <w:spacing w:before="360" w:after="240"/>
        <w:rPr>
          <w:rFonts w:ascii="Calibri" w:eastAsia="Calibri" w:hAnsi="Calibri" w:cs="Arial"/>
          <w:u w:val="single"/>
          <w:rtl/>
        </w:rPr>
      </w:pPr>
      <w:r w:rsidRPr="001D49D4">
        <w:rPr>
          <w:rFonts w:ascii="Calibri" w:eastAsia="Calibri" w:hAnsi="Calibri" w:cs="Arial"/>
          <w:u w:val="single"/>
          <w:rtl/>
        </w:rPr>
        <w:t>הא דהמלוה על המשכון אינה משמטת – דוקא את המחיר ששוה המשכון אינה משמטת או את כל ההלואה:</w:t>
      </w:r>
    </w:p>
    <w:p w14:paraId="31FCEB02" w14:textId="77777777" w:rsidR="001D49D4" w:rsidRPr="001D49D4" w:rsidRDefault="001D49D4" w:rsidP="0004348D">
      <w:pPr>
        <w:numPr>
          <w:ilvl w:val="0"/>
          <w:numId w:val="346"/>
        </w:numPr>
        <w:spacing w:before="360" w:after="240"/>
        <w:contextualSpacing/>
        <w:rPr>
          <w:rFonts w:ascii="Calibri" w:eastAsia="Calibri" w:hAnsi="Calibri" w:cs="Arial"/>
        </w:rPr>
      </w:pPr>
      <w:r w:rsidRPr="001D49D4">
        <w:rPr>
          <w:rFonts w:ascii="Calibri" w:eastAsia="Calibri" w:hAnsi="Calibri" w:cs="Arial"/>
          <w:rtl/>
        </w:rPr>
        <w:t xml:space="preserve">רמב"ם </w:t>
      </w:r>
      <w:r w:rsidRPr="001D49D4">
        <w:rPr>
          <w:rFonts w:ascii="Calibri" w:eastAsia="Calibri" w:hAnsi="Calibri" w:cs="Arial"/>
          <w:sz w:val="16"/>
          <w:szCs w:val="16"/>
          <w:rtl/>
        </w:rPr>
        <w:t>(פ"ט מהל' שמיטה הי"ד)</w:t>
      </w:r>
      <w:r w:rsidRPr="001D49D4">
        <w:rPr>
          <w:rFonts w:ascii="Calibri" w:eastAsia="Calibri" w:hAnsi="Calibri" w:cs="Arial"/>
          <w:rtl/>
        </w:rPr>
        <w:t xml:space="preserve"> ור"ן </w:t>
      </w:r>
      <w:r w:rsidRPr="001D49D4">
        <w:rPr>
          <w:rFonts w:ascii="Calibri" w:eastAsia="Calibri" w:hAnsi="Calibri" w:cs="Arial"/>
          <w:sz w:val="16"/>
          <w:szCs w:val="16"/>
          <w:rtl/>
        </w:rPr>
        <w:t>(פרק השולח יט: ד"ה וגרסי' תו תנן, כ"כ הדרכ"מ בשמו [אות ה])</w:t>
      </w:r>
      <w:r w:rsidRPr="001D49D4">
        <w:rPr>
          <w:rFonts w:ascii="Calibri" w:eastAsia="Calibri" w:hAnsi="Calibri" w:cs="Arial"/>
          <w:rtl/>
        </w:rPr>
        <w:t>- דוקא מה שכנגד המשכון, אבל המותר משמט.</w:t>
      </w:r>
      <w:r w:rsidRPr="001D49D4">
        <w:rPr>
          <w:rFonts w:ascii="Calibri" w:eastAsia="Calibri" w:hAnsi="Calibri" w:cs="Arial"/>
          <w:color w:val="E36C0A" w:themeColor="accent6" w:themeShade="BF"/>
          <w:rtl/>
        </w:rPr>
        <w:t xml:space="preserve"> (וכ"ס בשו"ע)</w:t>
      </w:r>
    </w:p>
    <w:p w14:paraId="4ED08617" w14:textId="77777777" w:rsidR="001D49D4" w:rsidRPr="001D49D4" w:rsidRDefault="001D49D4" w:rsidP="0004348D">
      <w:pPr>
        <w:numPr>
          <w:ilvl w:val="0"/>
          <w:numId w:val="346"/>
        </w:numPr>
        <w:spacing w:before="360" w:after="240"/>
        <w:contextualSpacing/>
        <w:rPr>
          <w:rFonts w:ascii="Calibri" w:eastAsia="Calibri" w:hAnsi="Calibri" w:cs="Arial"/>
        </w:rPr>
      </w:pPr>
      <w:r w:rsidRPr="001D49D4">
        <w:rPr>
          <w:rFonts w:ascii="Calibri" w:eastAsia="Calibri" w:hAnsi="Calibri" w:cs="Arial"/>
          <w:rtl/>
        </w:rPr>
        <w:t xml:space="preserve">רא"ש </w:t>
      </w:r>
      <w:r w:rsidRPr="001D49D4">
        <w:rPr>
          <w:rFonts w:ascii="Calibri" w:eastAsia="Calibri" w:hAnsi="Calibri" w:cs="Arial"/>
          <w:sz w:val="16"/>
          <w:szCs w:val="16"/>
          <w:rtl/>
        </w:rPr>
        <w:t>(פרק השולח סי' יז)</w:t>
      </w:r>
      <w:r w:rsidRPr="001D49D4">
        <w:rPr>
          <w:rFonts w:ascii="Calibri" w:eastAsia="Calibri" w:hAnsi="Calibri" w:cs="Arial"/>
          <w:rtl/>
        </w:rPr>
        <w:t xml:space="preserve">- תנן בפרק בתרא דשביעית המלוה על המשכון והמוסר שטרותיו לבית דין אינו משמט, ירושלמי </w:t>
      </w:r>
      <w:r w:rsidRPr="001D49D4">
        <w:rPr>
          <w:rFonts w:ascii="Calibri" w:eastAsia="Calibri" w:hAnsi="Calibri" w:cs="Arial"/>
          <w:sz w:val="16"/>
          <w:szCs w:val="16"/>
          <w:rtl/>
        </w:rPr>
        <w:t>(שביעית פ"י ה"א)</w:t>
      </w:r>
      <w:r w:rsidRPr="001D49D4">
        <w:rPr>
          <w:rFonts w:ascii="Calibri" w:eastAsia="Calibri" w:hAnsi="Calibri" w:cs="Arial"/>
          <w:rtl/>
        </w:rPr>
        <w:t xml:space="preserve"> אמר שמואל אפילו על המחט, והיינו כרבן שמעון בן גמליאל דאמר פרק שבועת הדיינין </w:t>
      </w:r>
      <w:r w:rsidRPr="001D49D4">
        <w:rPr>
          <w:rFonts w:ascii="Calibri" w:eastAsia="Calibri" w:hAnsi="Calibri" w:cs="Arial"/>
          <w:sz w:val="16"/>
          <w:szCs w:val="16"/>
          <w:rtl/>
        </w:rPr>
        <w:t xml:space="preserve">(שבועות מד:) </w:t>
      </w:r>
      <w:r w:rsidRPr="001D49D4">
        <w:rPr>
          <w:rFonts w:ascii="Calibri" w:eastAsia="Calibri" w:hAnsi="Calibri" w:cs="Arial"/>
          <w:rtl/>
        </w:rPr>
        <w:t>אפילו אינו שווה אלא פלגא אינו משמט.</w:t>
      </w:r>
    </w:p>
    <w:p w14:paraId="30B4FC72" w14:textId="77777777" w:rsidR="001D49D4" w:rsidRPr="001D49D4" w:rsidRDefault="001D49D4" w:rsidP="0004348D">
      <w:pPr>
        <w:spacing w:before="360" w:after="240"/>
        <w:rPr>
          <w:rFonts w:ascii="Arial" w:eastAsia="Calibri" w:hAnsi="Arial" w:cs="Arial"/>
          <w:b/>
          <w:bCs/>
          <w:color w:val="000000"/>
          <w:sz w:val="28"/>
          <w:szCs w:val="28"/>
          <w:u w:val="single"/>
          <w:rtl/>
        </w:rPr>
      </w:pPr>
      <w:r w:rsidRPr="001D49D4">
        <w:rPr>
          <w:rFonts w:ascii="Arial" w:eastAsia="Calibri" w:hAnsi="Arial" w:cs="Arial"/>
          <w:b/>
          <w:bCs/>
          <w:color w:val="000000"/>
          <w:sz w:val="28"/>
          <w:szCs w:val="28"/>
          <w:u w:val="single"/>
          <w:rtl/>
        </w:rPr>
        <w:t>שו"ע:</w:t>
      </w:r>
    </w:p>
    <w:p w14:paraId="2A455DF5"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rtl/>
        </w:rPr>
        <w:t>המלוה על המשכון, אינו משמט מה שכנגד המשכון</w:t>
      </w:r>
      <w:r w:rsidRPr="001D49D4">
        <w:rPr>
          <w:rFonts w:ascii="Calibri" w:eastAsia="Calibri" w:hAnsi="Calibri" w:cs="Arial"/>
          <w:vertAlign w:val="superscript"/>
          <w:rtl/>
        </w:rPr>
        <w:footnoteReference w:id="5317"/>
      </w:r>
      <w:r w:rsidRPr="001D49D4">
        <w:rPr>
          <w:rFonts w:ascii="Calibri" w:eastAsia="Calibri" w:hAnsi="Calibri" w:cs="Arial"/>
          <w:rtl/>
        </w:rPr>
        <w:t xml:space="preserve">. ויש מי שאומר שאף היתר על המשכון אינו משמט. </w:t>
      </w:r>
    </w:p>
    <w:p w14:paraId="423250DA" w14:textId="77777777" w:rsidR="001D49D4" w:rsidRPr="001D49D4" w:rsidRDefault="001D49D4" w:rsidP="0004348D">
      <w:pPr>
        <w:spacing w:before="360" w:after="240"/>
        <w:rPr>
          <w:rFonts w:ascii="Calibri" w:eastAsia="Calibri" w:hAnsi="Calibri" w:cs="Arial"/>
          <w:rtl/>
        </w:rPr>
      </w:pPr>
    </w:p>
    <w:p w14:paraId="1F5494A9" w14:textId="77777777" w:rsidR="001D49D4" w:rsidRPr="001D49D4" w:rsidRDefault="001D49D4" w:rsidP="0004348D">
      <w:pPr>
        <w:keepNext/>
        <w:keepLines/>
        <w:spacing w:before="360" w:after="240"/>
        <w:outlineLvl w:val="1"/>
        <w:rPr>
          <w:rFonts w:ascii="Cambria" w:eastAsia="Times New Roman" w:hAnsi="Cambria" w:cs="Arial"/>
          <w:bCs/>
          <w:color w:val="548DD4" w:themeColor="text2" w:themeTint="99"/>
          <w:sz w:val="26"/>
          <w:szCs w:val="26"/>
          <w:rtl/>
        </w:rPr>
      </w:pPr>
      <w:bookmarkStart w:id="744" w:name="_Toc24884150"/>
      <w:r w:rsidRPr="001D49D4">
        <w:rPr>
          <w:rFonts w:ascii="Cambria" w:eastAsia="Times New Roman" w:hAnsi="Cambria" w:cs="Arial"/>
          <w:bCs/>
          <w:color w:val="548DD4" w:themeColor="text2" w:themeTint="99"/>
          <w:sz w:val="26"/>
          <w:szCs w:val="26"/>
          <w:rtl/>
        </w:rPr>
        <w:t>סעיף יג: משכנו שלא בשעת הלואתו.</w:t>
      </w:r>
      <w:bookmarkEnd w:id="744"/>
    </w:p>
    <w:p w14:paraId="0AD7EC97"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b/>
          <w:bCs/>
          <w:rtl/>
        </w:rPr>
        <w:t xml:space="preserve">בבא מציעא </w:t>
      </w:r>
      <w:r w:rsidRPr="001D49D4">
        <w:rPr>
          <w:rFonts w:ascii="Calibri" w:eastAsia="Calibri" w:hAnsi="Calibri" w:cs="Arial"/>
          <w:b/>
          <w:bCs/>
          <w:sz w:val="16"/>
          <w:szCs w:val="16"/>
          <w:rtl/>
        </w:rPr>
        <w:t>(ס"פ המקבל)</w:t>
      </w:r>
      <w:r w:rsidRPr="001D49D4">
        <w:rPr>
          <w:rFonts w:ascii="Calibri" w:eastAsia="Calibri" w:hAnsi="Calibri" w:cs="Arial"/>
          <w:b/>
          <w:bCs/>
          <w:rtl/>
        </w:rPr>
        <w:t xml:space="preserve"> קיד ע"ב: </w:t>
      </w:r>
      <w:r w:rsidRPr="001D49D4">
        <w:rPr>
          <w:rFonts w:ascii="Calibri" w:eastAsia="Calibri" w:hAnsi="Calibri" w:cs="Arial"/>
          <w:rtl/>
        </w:rPr>
        <w:t>תנו רבנן: המלוה את חבירו אינו רשאי למשכנו, ואינו חייב להחזיר לו, ועובר בכל השמות הללו</w:t>
      </w:r>
      <w:r w:rsidRPr="001D49D4">
        <w:rPr>
          <w:rFonts w:ascii="Calibri" w:eastAsia="Calibri" w:hAnsi="Calibri" w:cs="Arial"/>
          <w:vertAlign w:val="superscript"/>
          <w:rtl/>
        </w:rPr>
        <w:footnoteReference w:id="5318"/>
      </w:r>
      <w:r w:rsidRPr="001D49D4">
        <w:rPr>
          <w:rFonts w:ascii="Calibri" w:eastAsia="Calibri" w:hAnsi="Calibri" w:cs="Arial"/>
          <w:rtl/>
        </w:rPr>
        <w:t xml:space="preserve">. מאי קאמר? </w:t>
      </w:r>
      <w:r w:rsidRPr="001D49D4">
        <w:rPr>
          <w:rFonts w:ascii="Calibri" w:eastAsia="Calibri" w:hAnsi="Calibri" w:cs="Arial"/>
          <w:u w:val="single"/>
          <w:rtl/>
        </w:rPr>
        <w:t>אמר רב ששת</w:t>
      </w:r>
      <w:r w:rsidRPr="001D49D4">
        <w:rPr>
          <w:rFonts w:ascii="Calibri" w:eastAsia="Calibri" w:hAnsi="Calibri" w:cs="Arial"/>
          <w:rtl/>
        </w:rPr>
        <w:t>: הכי קאמר, המלוה את חבירו אינו רשאי למשכנו, ואם משכנו - חייב להחזיר לו, ועובר בכל השמות הללו - אסיפא</w:t>
      </w:r>
      <w:r w:rsidRPr="001D49D4">
        <w:rPr>
          <w:rFonts w:ascii="Calibri" w:eastAsia="Calibri" w:hAnsi="Calibri" w:cs="Arial"/>
          <w:vertAlign w:val="superscript"/>
          <w:rtl/>
        </w:rPr>
        <w:footnoteReference w:id="5319"/>
      </w:r>
      <w:r w:rsidRPr="001D49D4">
        <w:rPr>
          <w:rFonts w:ascii="Calibri" w:eastAsia="Calibri" w:hAnsi="Calibri" w:cs="Arial"/>
          <w:rtl/>
        </w:rPr>
        <w:t xml:space="preserve">. </w:t>
      </w:r>
      <w:r w:rsidRPr="001D49D4">
        <w:rPr>
          <w:rFonts w:ascii="Calibri" w:eastAsia="Calibri" w:hAnsi="Calibri" w:cs="Arial"/>
          <w:u w:val="single"/>
          <w:rtl/>
        </w:rPr>
        <w:t>רבא אמר</w:t>
      </w:r>
      <w:r w:rsidRPr="001D49D4">
        <w:rPr>
          <w:rFonts w:ascii="Calibri" w:eastAsia="Calibri" w:hAnsi="Calibri" w:cs="Arial"/>
          <w:rtl/>
        </w:rPr>
        <w:t>: הכי קאמר, המלוה את חבירו אינו רשאי למשכנו, ואם משכנו - חייב להחזיר לו. במה דברים אמורים - שמשכנו שלא בשעת הלואתו</w:t>
      </w:r>
      <w:r w:rsidRPr="001D49D4">
        <w:rPr>
          <w:rFonts w:ascii="Calibri" w:eastAsia="Calibri" w:hAnsi="Calibri" w:cs="Arial"/>
          <w:vertAlign w:val="superscript"/>
          <w:rtl/>
        </w:rPr>
        <w:footnoteReference w:id="5320"/>
      </w:r>
      <w:r w:rsidRPr="001D49D4">
        <w:rPr>
          <w:rFonts w:ascii="Calibri" w:eastAsia="Calibri" w:hAnsi="Calibri" w:cs="Arial"/>
          <w:rtl/>
        </w:rPr>
        <w:t>, אבל משכנו בשעת הלואתו</w:t>
      </w:r>
      <w:r w:rsidRPr="001D49D4">
        <w:rPr>
          <w:rFonts w:ascii="Calibri" w:eastAsia="Calibri" w:hAnsi="Calibri" w:cs="Arial"/>
          <w:vertAlign w:val="superscript"/>
          <w:rtl/>
        </w:rPr>
        <w:footnoteReference w:id="5321"/>
      </w:r>
      <w:r w:rsidRPr="001D49D4">
        <w:rPr>
          <w:rFonts w:ascii="Calibri" w:eastAsia="Calibri" w:hAnsi="Calibri" w:cs="Arial"/>
          <w:rtl/>
        </w:rPr>
        <w:t xml:space="preserve"> - אינו חייב להחזיר לו</w:t>
      </w:r>
      <w:r w:rsidRPr="001D49D4">
        <w:rPr>
          <w:rFonts w:ascii="Calibri" w:eastAsia="Calibri" w:hAnsi="Calibri" w:cs="Arial"/>
          <w:vertAlign w:val="superscript"/>
          <w:rtl/>
        </w:rPr>
        <w:footnoteReference w:id="5322"/>
      </w:r>
      <w:r w:rsidRPr="001D49D4">
        <w:rPr>
          <w:rFonts w:ascii="Calibri" w:eastAsia="Calibri" w:hAnsi="Calibri" w:cs="Arial"/>
          <w:rtl/>
        </w:rPr>
        <w:t>, ועובר בכל השמות הללו - ארישא</w:t>
      </w:r>
      <w:r w:rsidRPr="001D49D4">
        <w:rPr>
          <w:rFonts w:ascii="Calibri" w:eastAsia="Calibri" w:hAnsi="Calibri" w:cs="Arial"/>
          <w:vertAlign w:val="superscript"/>
          <w:rtl/>
        </w:rPr>
        <w:footnoteReference w:id="5323"/>
      </w:r>
      <w:r w:rsidRPr="001D49D4">
        <w:rPr>
          <w:rFonts w:ascii="Calibri" w:eastAsia="Calibri" w:hAnsi="Calibri" w:cs="Arial"/>
          <w:rtl/>
        </w:rPr>
        <w:t>.</w:t>
      </w:r>
    </w:p>
    <w:p w14:paraId="189C247D" w14:textId="77777777" w:rsidR="001D49D4" w:rsidRPr="001D49D4" w:rsidRDefault="001D49D4" w:rsidP="0004348D">
      <w:pPr>
        <w:spacing w:before="360" w:after="240"/>
        <w:rPr>
          <w:rFonts w:ascii="Calibri" w:eastAsia="Calibri" w:hAnsi="Calibri" w:cs="Arial"/>
          <w:u w:val="single"/>
          <w:rtl/>
        </w:rPr>
      </w:pPr>
      <w:r w:rsidRPr="001D49D4">
        <w:rPr>
          <w:rFonts w:ascii="Calibri" w:eastAsia="Calibri" w:hAnsi="Calibri" w:cs="Arial"/>
          <w:u w:val="single"/>
          <w:rtl/>
        </w:rPr>
        <w:t>משכנו שלא בשעת הלואתו – האם שביעית משמטת:</w:t>
      </w:r>
    </w:p>
    <w:p w14:paraId="39309BC3" w14:textId="77777777" w:rsidR="001D49D4" w:rsidRPr="001D49D4" w:rsidRDefault="001D49D4" w:rsidP="0004348D">
      <w:pPr>
        <w:numPr>
          <w:ilvl w:val="0"/>
          <w:numId w:val="347"/>
        </w:numPr>
        <w:spacing w:before="360" w:after="240"/>
        <w:contextualSpacing/>
        <w:rPr>
          <w:rFonts w:ascii="Calibri" w:eastAsia="Calibri" w:hAnsi="Calibri" w:cs="Arial"/>
          <w:rtl/>
        </w:rPr>
      </w:pPr>
      <w:r w:rsidRPr="001D49D4">
        <w:rPr>
          <w:rFonts w:ascii="Calibri" w:eastAsia="Calibri" w:hAnsi="Calibri" w:cs="Arial"/>
          <w:rtl/>
        </w:rPr>
        <w:t>טור- משכנו שלא בשעת הלואתו ע"י ב"ד ולקח ממנו כלים - אע"פ שצריך להחזירם</w:t>
      </w:r>
      <w:r w:rsidRPr="001D49D4">
        <w:rPr>
          <w:rFonts w:ascii="Calibri" w:eastAsia="Calibri" w:hAnsi="Calibri" w:cs="Arial"/>
          <w:vertAlign w:val="superscript"/>
          <w:rtl/>
        </w:rPr>
        <w:footnoteReference w:id="5324"/>
      </w:r>
      <w:r w:rsidRPr="001D49D4">
        <w:rPr>
          <w:rFonts w:ascii="Calibri" w:eastAsia="Calibri" w:hAnsi="Calibri" w:cs="Arial"/>
          <w:rtl/>
        </w:rPr>
        <w:t xml:space="preserve"> אינו משמט.</w:t>
      </w:r>
      <w:r w:rsidRPr="001D49D4">
        <w:rPr>
          <w:rFonts w:ascii="Calibri" w:eastAsia="Calibri" w:hAnsi="Calibri" w:cs="Arial"/>
          <w:color w:val="E36C0A" w:themeColor="accent6" w:themeShade="BF"/>
          <w:rtl/>
        </w:rPr>
        <w:t xml:space="preserve"> (וכ"פ בשו"ע)</w:t>
      </w:r>
    </w:p>
    <w:p w14:paraId="18D46534" w14:textId="77777777" w:rsidR="001D49D4" w:rsidRPr="001D49D4" w:rsidRDefault="001D49D4" w:rsidP="0004348D">
      <w:pPr>
        <w:spacing w:before="360" w:after="240"/>
        <w:rPr>
          <w:rFonts w:ascii="Arial" w:eastAsia="Calibri" w:hAnsi="Arial" w:cs="Arial"/>
          <w:b/>
          <w:bCs/>
          <w:color w:val="000000"/>
          <w:sz w:val="28"/>
          <w:szCs w:val="28"/>
          <w:u w:val="single"/>
          <w:rtl/>
        </w:rPr>
      </w:pPr>
      <w:r w:rsidRPr="001D49D4">
        <w:rPr>
          <w:rFonts w:ascii="Arial" w:eastAsia="Calibri" w:hAnsi="Arial" w:cs="Arial"/>
          <w:b/>
          <w:bCs/>
          <w:color w:val="000000"/>
          <w:sz w:val="28"/>
          <w:szCs w:val="28"/>
          <w:u w:val="single"/>
          <w:rtl/>
        </w:rPr>
        <w:t>שו"ע:</w:t>
      </w:r>
    </w:p>
    <w:p w14:paraId="273B3BCE"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rtl/>
        </w:rPr>
        <w:t xml:space="preserve">משכנו שלא בשעת הלואתו, על ידי בית דין, דינו כמלוה על המשכון. </w:t>
      </w:r>
    </w:p>
    <w:p w14:paraId="2672255B" w14:textId="77777777" w:rsidR="001D49D4" w:rsidRPr="001D49D4" w:rsidRDefault="001D49D4" w:rsidP="0004348D">
      <w:pPr>
        <w:keepNext/>
        <w:keepLines/>
        <w:spacing w:before="360" w:after="240"/>
        <w:outlineLvl w:val="1"/>
        <w:rPr>
          <w:rFonts w:ascii="Cambria" w:eastAsia="Times New Roman" w:hAnsi="Cambria" w:cs="Arial"/>
          <w:bCs/>
          <w:color w:val="548DD4" w:themeColor="text2" w:themeTint="99"/>
          <w:sz w:val="26"/>
          <w:szCs w:val="26"/>
          <w:rtl/>
        </w:rPr>
      </w:pPr>
      <w:bookmarkStart w:id="745" w:name="_Toc24884151"/>
      <w:r w:rsidRPr="001D49D4">
        <w:rPr>
          <w:rFonts w:ascii="Cambria" w:eastAsia="Times New Roman" w:hAnsi="Cambria" w:cs="Arial"/>
          <w:bCs/>
          <w:color w:val="548DD4" w:themeColor="text2" w:themeTint="99"/>
          <w:sz w:val="26"/>
          <w:szCs w:val="26"/>
          <w:rtl/>
        </w:rPr>
        <w:t>סעיף יד: הקפת החנות.</w:t>
      </w:r>
      <w:bookmarkEnd w:id="745"/>
    </w:p>
    <w:p w14:paraId="040FCD88"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b/>
          <w:bCs/>
          <w:rtl/>
        </w:rPr>
        <w:t>משנה שביעית פ"י מ"א:</w:t>
      </w:r>
      <w:r w:rsidRPr="001D49D4">
        <w:rPr>
          <w:rFonts w:ascii="Calibri" w:eastAsia="Calibri" w:hAnsi="Calibri" w:cs="Arial"/>
          <w:rtl/>
        </w:rPr>
        <w:t>... הקפת החנות - אינה משמטת</w:t>
      </w:r>
      <w:r w:rsidRPr="001D49D4">
        <w:rPr>
          <w:rFonts w:ascii="Calibri" w:eastAsia="Calibri" w:hAnsi="Calibri" w:cs="Arial"/>
          <w:vertAlign w:val="superscript"/>
          <w:rtl/>
        </w:rPr>
        <w:footnoteReference w:id="5325"/>
      </w:r>
      <w:r w:rsidRPr="001D49D4">
        <w:rPr>
          <w:rFonts w:ascii="Calibri" w:eastAsia="Calibri" w:hAnsi="Calibri" w:cs="Arial"/>
          <w:rtl/>
        </w:rPr>
        <w:t xml:space="preserve">. ואם עשאה מלוה - הרי זה משמט. </w:t>
      </w:r>
      <w:r w:rsidRPr="001D49D4">
        <w:rPr>
          <w:rFonts w:ascii="Calibri" w:eastAsia="Calibri" w:hAnsi="Calibri" w:cs="Arial"/>
          <w:u w:val="single"/>
          <w:rtl/>
        </w:rPr>
        <w:t>רבי יהודה אומר</w:t>
      </w:r>
      <w:r w:rsidRPr="001D49D4">
        <w:rPr>
          <w:rFonts w:ascii="Calibri" w:eastAsia="Calibri" w:hAnsi="Calibri" w:cs="Arial"/>
          <w:rtl/>
        </w:rPr>
        <w:t>: הראשון הראשון</w:t>
      </w:r>
      <w:r w:rsidRPr="001D49D4">
        <w:rPr>
          <w:rFonts w:ascii="Calibri" w:eastAsia="Calibri" w:hAnsi="Calibri" w:cs="Arial"/>
          <w:vertAlign w:val="superscript"/>
          <w:rtl/>
        </w:rPr>
        <w:footnoteReference w:id="5326"/>
      </w:r>
      <w:r w:rsidRPr="001D49D4">
        <w:rPr>
          <w:rFonts w:ascii="Calibri" w:eastAsia="Calibri" w:hAnsi="Calibri" w:cs="Arial"/>
          <w:rtl/>
        </w:rPr>
        <w:t xml:space="preserve"> משמט...</w:t>
      </w:r>
      <w:r w:rsidRPr="001D49D4">
        <w:rPr>
          <w:rFonts w:ascii="Calibri" w:eastAsia="Calibri" w:hAnsi="Calibri" w:cs="Arial"/>
          <w:sz w:val="16"/>
          <w:szCs w:val="16"/>
          <w:rtl/>
        </w:rPr>
        <w:t xml:space="preserve"> (ואע"ג דפליג רבי יהודה קיימא לן כתנא קמא, ב"י)</w:t>
      </w:r>
    </w:p>
    <w:p w14:paraId="6D4C9A18" w14:textId="77777777" w:rsidR="001D49D4" w:rsidRPr="001D49D4" w:rsidRDefault="001D49D4" w:rsidP="0004348D">
      <w:pPr>
        <w:spacing w:before="360" w:after="240"/>
        <w:rPr>
          <w:rFonts w:ascii="Calibri" w:eastAsia="Calibri" w:hAnsi="Calibri" w:cs="Arial"/>
          <w:u w:val="single"/>
          <w:rtl/>
        </w:rPr>
      </w:pPr>
      <w:r w:rsidRPr="001D49D4">
        <w:rPr>
          <w:rFonts w:ascii="Calibri" w:eastAsia="Calibri" w:hAnsi="Calibri" w:cs="Arial"/>
          <w:u w:val="single"/>
          <w:rtl/>
        </w:rPr>
        <w:t>הקפת החנות – האם שביעית משמטת:</w:t>
      </w:r>
    </w:p>
    <w:p w14:paraId="2EC073B2" w14:textId="77777777" w:rsidR="001D49D4" w:rsidRPr="001D49D4" w:rsidRDefault="001D49D4" w:rsidP="0004348D">
      <w:pPr>
        <w:numPr>
          <w:ilvl w:val="0"/>
          <w:numId w:val="347"/>
        </w:numPr>
        <w:spacing w:before="360" w:after="240"/>
        <w:contextualSpacing/>
        <w:rPr>
          <w:rFonts w:ascii="Calibri" w:eastAsia="Calibri" w:hAnsi="Calibri" w:cs="Arial"/>
          <w:rtl/>
        </w:rPr>
      </w:pPr>
      <w:r w:rsidRPr="001D49D4">
        <w:rPr>
          <w:rFonts w:ascii="Calibri" w:eastAsia="Calibri" w:hAnsi="Calibri" w:cs="Arial"/>
          <w:rtl/>
        </w:rPr>
        <w:t xml:space="preserve">רמב"ם </w:t>
      </w:r>
      <w:r w:rsidRPr="001D49D4">
        <w:rPr>
          <w:rFonts w:ascii="Calibri" w:eastAsia="Calibri" w:hAnsi="Calibri" w:cs="Arial"/>
          <w:sz w:val="16"/>
          <w:szCs w:val="16"/>
          <w:rtl/>
        </w:rPr>
        <w:t>(פ"ט משמיטה הי"א)</w:t>
      </w:r>
      <w:r w:rsidRPr="001D49D4">
        <w:rPr>
          <w:rFonts w:ascii="Calibri" w:eastAsia="Calibri" w:hAnsi="Calibri" w:cs="Arial"/>
          <w:rtl/>
        </w:rPr>
        <w:t>- הקפת החנות – אינה נשמטת. ואם עשאה מלוה – נשמטת.</w:t>
      </w:r>
      <w:r w:rsidRPr="001D49D4">
        <w:rPr>
          <w:rFonts w:ascii="Calibri" w:eastAsia="Calibri" w:hAnsi="Calibri" w:cs="Arial"/>
          <w:color w:val="E36C0A" w:themeColor="accent6" w:themeShade="BF"/>
          <w:rtl/>
        </w:rPr>
        <w:t xml:space="preserve"> (וכ"פ בשו"ע)</w:t>
      </w:r>
    </w:p>
    <w:p w14:paraId="28233993" w14:textId="77777777" w:rsidR="001D49D4" w:rsidRPr="001D49D4" w:rsidRDefault="001D49D4" w:rsidP="0004348D">
      <w:pPr>
        <w:spacing w:before="360" w:after="240"/>
        <w:rPr>
          <w:rFonts w:ascii="Calibri" w:eastAsia="Calibri" w:hAnsi="Calibri" w:cs="Arial"/>
          <w:u w:val="dotted"/>
          <w:rtl/>
        </w:rPr>
      </w:pPr>
      <w:r w:rsidRPr="001D49D4">
        <w:rPr>
          <w:rFonts w:ascii="Calibri" w:eastAsia="Calibri" w:hAnsi="Calibri" w:cs="Arial"/>
          <w:u w:val="dotted"/>
          <w:rtl/>
        </w:rPr>
        <w:t>מאימתי מקרי זקיפה במלוה:</w:t>
      </w:r>
    </w:p>
    <w:p w14:paraId="6A6481EF" w14:textId="77777777" w:rsidR="001D49D4" w:rsidRPr="001D49D4" w:rsidRDefault="001D49D4" w:rsidP="0004348D">
      <w:pPr>
        <w:numPr>
          <w:ilvl w:val="0"/>
          <w:numId w:val="347"/>
        </w:numPr>
        <w:spacing w:before="360" w:after="240"/>
        <w:contextualSpacing/>
        <w:rPr>
          <w:rFonts w:ascii="Calibri" w:eastAsia="Calibri" w:hAnsi="Calibri" w:cs="Arial"/>
          <w:rtl/>
        </w:rPr>
      </w:pPr>
      <w:r w:rsidRPr="001D49D4">
        <w:rPr>
          <w:rFonts w:ascii="Calibri" w:eastAsia="Calibri" w:hAnsi="Calibri" w:cs="Arial"/>
          <w:rtl/>
        </w:rPr>
        <w:t>רמב"ם</w:t>
      </w:r>
      <w:r w:rsidRPr="001D49D4">
        <w:rPr>
          <w:rFonts w:ascii="Calibri" w:eastAsia="Calibri" w:hAnsi="Calibri" w:cs="Arial"/>
          <w:sz w:val="16"/>
          <w:szCs w:val="16"/>
          <w:rtl/>
        </w:rPr>
        <w:t xml:space="preserve"> (פ"ט משמיטה הי"ב, כ"כ הב"י בשמו</w:t>
      </w:r>
      <w:r w:rsidRPr="001D49D4">
        <w:rPr>
          <w:rFonts w:ascii="Calibri" w:eastAsia="Calibri" w:hAnsi="Calibri" w:cs="Arial"/>
          <w:sz w:val="16"/>
          <w:szCs w:val="16"/>
          <w:vertAlign w:val="superscript"/>
          <w:rtl/>
        </w:rPr>
        <w:footnoteReference w:id="5327"/>
      </w:r>
      <w:r w:rsidRPr="001D49D4">
        <w:rPr>
          <w:rFonts w:ascii="Calibri" w:eastAsia="Calibri" w:hAnsi="Calibri" w:cs="Arial"/>
          <w:sz w:val="16"/>
          <w:szCs w:val="16"/>
          <w:rtl/>
        </w:rPr>
        <w:t>)</w:t>
      </w:r>
      <w:r w:rsidRPr="001D49D4">
        <w:rPr>
          <w:rFonts w:ascii="Calibri" w:eastAsia="Calibri" w:hAnsi="Calibri" w:cs="Arial"/>
          <w:rtl/>
        </w:rPr>
        <w:t>- מאימתי נזקפין במלוה - משעת העמדה בדין</w:t>
      </w:r>
      <w:r w:rsidRPr="001D49D4">
        <w:rPr>
          <w:rFonts w:ascii="Calibri" w:eastAsia="Calibri" w:hAnsi="Calibri" w:cs="Arial"/>
          <w:sz w:val="16"/>
          <w:szCs w:val="16"/>
          <w:rtl/>
        </w:rPr>
        <w:t xml:space="preserve"> (ל' הרמב"ם)</w:t>
      </w:r>
      <w:r w:rsidRPr="001D49D4">
        <w:rPr>
          <w:rFonts w:ascii="Calibri" w:eastAsia="Calibri" w:hAnsi="Calibri" w:cs="Arial"/>
          <w:vertAlign w:val="superscript"/>
          <w:rtl/>
        </w:rPr>
        <w:footnoteReference w:id="5328"/>
      </w:r>
      <w:r w:rsidRPr="001D49D4">
        <w:rPr>
          <w:rFonts w:ascii="Calibri" w:eastAsia="Calibri" w:hAnsi="Calibri" w:cs="Arial"/>
          <w:rtl/>
        </w:rPr>
        <w:t xml:space="preserve">. </w:t>
      </w:r>
    </w:p>
    <w:p w14:paraId="2CD99D3E" w14:textId="77777777" w:rsidR="001D49D4" w:rsidRPr="001D49D4" w:rsidRDefault="001D49D4" w:rsidP="0004348D">
      <w:pPr>
        <w:numPr>
          <w:ilvl w:val="0"/>
          <w:numId w:val="347"/>
        </w:numPr>
        <w:spacing w:before="360" w:after="240"/>
        <w:contextualSpacing/>
        <w:rPr>
          <w:rFonts w:ascii="Calibri" w:eastAsia="Calibri" w:hAnsi="Calibri" w:cs="Arial"/>
        </w:rPr>
      </w:pPr>
      <w:r w:rsidRPr="001D49D4">
        <w:rPr>
          <w:rFonts w:ascii="Calibri" w:eastAsia="Calibri" w:hAnsi="Calibri" w:cs="Arial"/>
          <w:rtl/>
        </w:rPr>
        <w:t xml:space="preserve">רא"ש </w:t>
      </w:r>
      <w:r w:rsidRPr="001D49D4">
        <w:rPr>
          <w:rFonts w:ascii="Calibri" w:eastAsia="Calibri" w:hAnsi="Calibri" w:cs="Arial"/>
          <w:sz w:val="16"/>
          <w:szCs w:val="16"/>
          <w:rtl/>
        </w:rPr>
        <w:t>(פרק השולח סי' יז)</w:t>
      </w:r>
      <w:r w:rsidRPr="001D49D4">
        <w:rPr>
          <w:rFonts w:ascii="Calibri" w:eastAsia="Calibri" w:hAnsi="Calibri" w:cs="Arial"/>
          <w:rtl/>
        </w:rPr>
        <w:t xml:space="preserve"> וטור- אם עשאן מלוה משמטין פירוש - שזקפן במלוה לפורען עד זמן פלוני</w:t>
      </w:r>
      <w:r w:rsidRPr="001D49D4">
        <w:rPr>
          <w:rFonts w:ascii="Calibri" w:eastAsia="Calibri" w:hAnsi="Calibri" w:cs="Arial"/>
          <w:vertAlign w:val="superscript"/>
          <w:rtl/>
        </w:rPr>
        <w:footnoteReference w:id="5329"/>
      </w:r>
      <w:r w:rsidRPr="001D49D4">
        <w:rPr>
          <w:rFonts w:ascii="Calibri" w:eastAsia="Calibri" w:hAnsi="Calibri" w:cs="Arial"/>
          <w:rtl/>
        </w:rPr>
        <w:t xml:space="preserve">. </w:t>
      </w:r>
    </w:p>
    <w:p w14:paraId="3372312F" w14:textId="77777777" w:rsidR="001D49D4" w:rsidRPr="001D49D4" w:rsidRDefault="001D49D4" w:rsidP="0004348D">
      <w:pPr>
        <w:numPr>
          <w:ilvl w:val="0"/>
          <w:numId w:val="347"/>
        </w:numPr>
        <w:spacing w:before="360" w:after="240"/>
        <w:contextualSpacing/>
        <w:rPr>
          <w:rFonts w:ascii="Calibri" w:eastAsia="Calibri" w:hAnsi="Calibri" w:cs="Arial"/>
        </w:rPr>
      </w:pPr>
      <w:r w:rsidRPr="001D49D4">
        <w:rPr>
          <w:rFonts w:ascii="Calibri" w:eastAsia="Calibri" w:hAnsi="Calibri" w:cs="Arial"/>
          <w:rtl/>
        </w:rPr>
        <w:t xml:space="preserve">מרדכי </w:t>
      </w:r>
      <w:r w:rsidRPr="001D49D4">
        <w:rPr>
          <w:rFonts w:ascii="Calibri" w:eastAsia="Calibri" w:hAnsi="Calibri" w:cs="Arial"/>
          <w:sz w:val="16"/>
          <w:szCs w:val="16"/>
          <w:rtl/>
        </w:rPr>
        <w:t>(פרק כל הנשבעין סי' תשפ, הביאו הדרכ"מ אות ז)</w:t>
      </w:r>
      <w:r w:rsidRPr="001D49D4">
        <w:rPr>
          <w:rFonts w:ascii="Calibri" w:eastAsia="Calibri" w:hAnsi="Calibri" w:cs="Arial"/>
          <w:rtl/>
        </w:rPr>
        <w:t>- משכתבו בפנקסו סך המעות מקרי זקיפה.</w:t>
      </w:r>
    </w:p>
    <w:p w14:paraId="3ED5B3DD" w14:textId="77777777" w:rsidR="001D49D4" w:rsidRPr="001D49D4" w:rsidRDefault="001D49D4" w:rsidP="0004348D">
      <w:pPr>
        <w:spacing w:before="360" w:after="240"/>
        <w:rPr>
          <w:rFonts w:ascii="Calibri" w:eastAsia="Calibri" w:hAnsi="Calibri" w:cs="Arial"/>
          <w:u w:val="single"/>
        </w:rPr>
      </w:pPr>
      <w:r w:rsidRPr="001D49D4">
        <w:rPr>
          <w:rFonts w:ascii="Calibri" w:eastAsia="Calibri" w:hAnsi="Calibri" w:cs="Arial"/>
          <w:u w:val="single"/>
          <w:rtl/>
        </w:rPr>
        <w:t>המוכר חפץ לחברו – האם חשיב כהקפת החנות:</w:t>
      </w:r>
    </w:p>
    <w:p w14:paraId="2761EC52" w14:textId="77777777" w:rsidR="001D49D4" w:rsidRPr="001D49D4" w:rsidRDefault="001D49D4" w:rsidP="0004348D">
      <w:pPr>
        <w:numPr>
          <w:ilvl w:val="0"/>
          <w:numId w:val="347"/>
        </w:numPr>
        <w:spacing w:before="360" w:after="240"/>
        <w:contextualSpacing/>
        <w:rPr>
          <w:rFonts w:ascii="Calibri" w:eastAsia="Calibri" w:hAnsi="Calibri" w:cs="Arial"/>
        </w:rPr>
      </w:pPr>
      <w:r w:rsidRPr="001D49D4">
        <w:rPr>
          <w:rFonts w:ascii="Calibri" w:eastAsia="Calibri" w:hAnsi="Calibri" w:cs="Arial"/>
          <w:rtl/>
        </w:rPr>
        <w:t>ב"י- המוכר חפץ לחברו ולא קבע לו זמן לפרעו אחר שביעית - מיד שמכר לו הוה ליה כאילו הלוהו ושביעית משמטתו</w:t>
      </w:r>
      <w:r w:rsidRPr="001D49D4">
        <w:rPr>
          <w:rFonts w:ascii="Calibri" w:eastAsia="Calibri" w:hAnsi="Calibri" w:cs="Arial"/>
          <w:sz w:val="16"/>
          <w:szCs w:val="16"/>
          <w:rtl/>
        </w:rPr>
        <w:t xml:space="preserve"> (ל' הב"י ביישוב דברי הרמב"ם)</w:t>
      </w:r>
      <w:r w:rsidRPr="001D49D4">
        <w:rPr>
          <w:rFonts w:ascii="Calibri" w:eastAsia="Calibri" w:hAnsi="Calibri" w:cs="Arial"/>
          <w:vertAlign w:val="superscript"/>
          <w:rtl/>
        </w:rPr>
        <w:footnoteReference w:id="5330"/>
      </w:r>
      <w:r w:rsidRPr="001D49D4">
        <w:rPr>
          <w:rFonts w:ascii="Calibri" w:eastAsia="Calibri" w:hAnsi="Calibri" w:cs="Arial"/>
          <w:rtl/>
        </w:rPr>
        <w:t xml:space="preserve">. (וכ"כ הסמ"ע </w:t>
      </w:r>
      <w:r w:rsidRPr="001D49D4">
        <w:rPr>
          <w:rFonts w:ascii="Calibri" w:eastAsia="Calibri" w:hAnsi="Calibri" w:cs="Arial"/>
          <w:sz w:val="16"/>
          <w:szCs w:val="16"/>
          <w:rtl/>
        </w:rPr>
        <w:t>[סקכ"ו]</w:t>
      </w:r>
      <w:r w:rsidRPr="001D49D4">
        <w:rPr>
          <w:rFonts w:ascii="Calibri" w:eastAsia="Calibri" w:hAnsi="Calibri" w:cs="Arial"/>
          <w:rtl/>
        </w:rPr>
        <w:t>)</w:t>
      </w:r>
    </w:p>
    <w:p w14:paraId="72B3C0C1" w14:textId="77777777" w:rsidR="001D49D4" w:rsidRPr="001D49D4" w:rsidRDefault="001D49D4" w:rsidP="0004348D">
      <w:pPr>
        <w:numPr>
          <w:ilvl w:val="0"/>
          <w:numId w:val="347"/>
        </w:numPr>
        <w:spacing w:before="360" w:after="240"/>
        <w:contextualSpacing/>
        <w:rPr>
          <w:rFonts w:ascii="Calibri" w:eastAsia="Calibri" w:hAnsi="Calibri" w:cs="Arial"/>
        </w:rPr>
      </w:pPr>
      <w:r w:rsidRPr="001D49D4">
        <w:rPr>
          <w:rFonts w:ascii="Calibri" w:eastAsia="Calibri" w:hAnsi="Calibri" w:cs="Arial"/>
          <w:rtl/>
        </w:rPr>
        <w:t>ב"ח- כל חוב שאינו דרך הלואה אינו משמט כמו בהקפת חנות ושכר שכיר</w:t>
      </w:r>
      <w:r w:rsidRPr="001D49D4">
        <w:rPr>
          <w:rFonts w:ascii="Calibri" w:eastAsia="Calibri" w:hAnsi="Calibri" w:cs="Arial"/>
          <w:vertAlign w:val="superscript"/>
          <w:rtl/>
        </w:rPr>
        <w:footnoteReference w:id="5331"/>
      </w:r>
      <w:r w:rsidRPr="001D49D4">
        <w:rPr>
          <w:rFonts w:ascii="Calibri" w:eastAsia="Calibri" w:hAnsi="Calibri" w:cs="Arial"/>
          <w:rtl/>
        </w:rPr>
        <w:t xml:space="preserve">. (וכ"פ שער משפט </w:t>
      </w:r>
      <w:r w:rsidRPr="001D49D4">
        <w:rPr>
          <w:rFonts w:ascii="Calibri" w:eastAsia="Calibri" w:hAnsi="Calibri" w:cs="Arial"/>
          <w:sz w:val="16"/>
          <w:szCs w:val="16"/>
          <w:rtl/>
        </w:rPr>
        <w:t>[סק"ו]</w:t>
      </w:r>
      <w:r w:rsidRPr="001D49D4">
        <w:rPr>
          <w:rFonts w:ascii="Calibri" w:eastAsia="Calibri" w:hAnsi="Calibri" w:cs="Arial"/>
          <w:rtl/>
        </w:rPr>
        <w:t>)</w:t>
      </w:r>
    </w:p>
    <w:p w14:paraId="74F6AA71" w14:textId="77777777" w:rsidR="001D49D4" w:rsidRPr="001D49D4" w:rsidRDefault="001D49D4" w:rsidP="0004348D">
      <w:pPr>
        <w:spacing w:before="360" w:after="240"/>
        <w:rPr>
          <w:rFonts w:ascii="Calibri" w:eastAsia="Calibri" w:hAnsi="Calibri" w:cs="Arial"/>
          <w:u w:val="single"/>
        </w:rPr>
      </w:pPr>
      <w:r w:rsidRPr="001D49D4">
        <w:rPr>
          <w:rFonts w:ascii="Calibri" w:eastAsia="Calibri" w:hAnsi="Calibri" w:cs="Arial"/>
          <w:u w:val="single"/>
          <w:rtl/>
        </w:rPr>
        <w:t>המלוה לחברו בפחות מ-ל' יום סמוך לסוף השמיטה:</w:t>
      </w:r>
    </w:p>
    <w:p w14:paraId="35F5947B" w14:textId="77777777" w:rsidR="001D49D4" w:rsidRPr="001D49D4" w:rsidRDefault="001D49D4" w:rsidP="0004348D">
      <w:pPr>
        <w:numPr>
          <w:ilvl w:val="0"/>
          <w:numId w:val="347"/>
        </w:numPr>
        <w:spacing w:before="360" w:after="240"/>
        <w:contextualSpacing/>
        <w:rPr>
          <w:rFonts w:ascii="Calibri" w:eastAsia="Calibri" w:hAnsi="Calibri" w:cs="Arial"/>
        </w:rPr>
      </w:pPr>
      <w:r w:rsidRPr="001D49D4">
        <w:rPr>
          <w:rFonts w:ascii="Calibri" w:eastAsia="Calibri" w:hAnsi="Calibri" w:cs="Arial"/>
          <w:rtl/>
        </w:rPr>
        <w:t xml:space="preserve">ב"ח </w:t>
      </w:r>
      <w:r w:rsidRPr="001D49D4">
        <w:rPr>
          <w:rFonts w:ascii="Calibri" w:eastAsia="Calibri" w:hAnsi="Calibri" w:cs="Arial"/>
          <w:sz w:val="16"/>
          <w:szCs w:val="16"/>
          <w:rtl/>
        </w:rPr>
        <w:t>(סע' יג)</w:t>
      </w:r>
      <w:r w:rsidRPr="001D49D4">
        <w:rPr>
          <w:rFonts w:ascii="Calibri" w:eastAsia="Calibri" w:hAnsi="Calibri" w:cs="Arial"/>
          <w:rtl/>
        </w:rPr>
        <w:t>- אם הלוהו בפחות משלשים יום סמוך לסוף שמיטה, אע"פ דקי"ל סתם הלואה שלשים יום, ואם כן לא היה יכול לתובעו - מכל מקום יש בו דין שמיטה</w:t>
      </w:r>
      <w:r w:rsidRPr="001D49D4">
        <w:rPr>
          <w:rFonts w:ascii="Calibri" w:eastAsia="Calibri" w:hAnsi="Calibri" w:cs="Arial"/>
          <w:vertAlign w:val="superscript"/>
          <w:rtl/>
        </w:rPr>
        <w:footnoteReference w:id="5332"/>
      </w:r>
      <w:r w:rsidRPr="001D49D4">
        <w:rPr>
          <w:rFonts w:ascii="Calibri" w:eastAsia="Calibri" w:hAnsi="Calibri" w:cs="Arial"/>
          <w:rtl/>
        </w:rPr>
        <w:t xml:space="preserve">. </w:t>
      </w:r>
    </w:p>
    <w:p w14:paraId="294E0E06" w14:textId="77777777" w:rsidR="001D49D4" w:rsidRPr="001D49D4" w:rsidRDefault="001D49D4" w:rsidP="0004348D">
      <w:pPr>
        <w:spacing w:before="360" w:after="240"/>
        <w:rPr>
          <w:rFonts w:ascii="Arial" w:eastAsia="Calibri" w:hAnsi="Arial" w:cs="Arial"/>
          <w:b/>
          <w:bCs/>
          <w:color w:val="000000"/>
          <w:sz w:val="28"/>
          <w:szCs w:val="28"/>
          <w:u w:val="single"/>
          <w:rtl/>
        </w:rPr>
      </w:pPr>
      <w:r w:rsidRPr="001D49D4">
        <w:rPr>
          <w:rFonts w:ascii="Arial" w:eastAsia="Calibri" w:hAnsi="Arial" w:cs="Arial"/>
          <w:b/>
          <w:bCs/>
          <w:color w:val="000000"/>
          <w:sz w:val="28"/>
          <w:szCs w:val="28"/>
          <w:u w:val="single"/>
          <w:rtl/>
        </w:rPr>
        <w:t>שו"ע:</w:t>
      </w:r>
    </w:p>
    <w:p w14:paraId="327CBFC4"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rtl/>
        </w:rPr>
        <w:t xml:space="preserve">הקפת חנות, אינה משמטת. ואם זקפה עליו במלוה, משמטת. </w:t>
      </w:r>
      <w:r w:rsidRPr="001D49D4">
        <w:rPr>
          <w:rFonts w:ascii="Calibri" w:eastAsia="Calibri" w:hAnsi="Calibri" w:cs="Arial"/>
          <w:sz w:val="18"/>
          <w:szCs w:val="18"/>
          <w:rtl/>
        </w:rPr>
        <w:t>הגה: ומקרי זקיפה משעה שקבע לו זמן לפרעו (טור והרא"ש פרק השולח). ויש אומרים דמקרי זקיפה מיד שכתב בפנקסו כל החשבון ביחד (מרדכי פ' הנשבעין).</w:t>
      </w:r>
      <w:r w:rsidRPr="001D49D4">
        <w:rPr>
          <w:rFonts w:ascii="Calibri" w:eastAsia="Calibri" w:hAnsi="Calibri" w:cs="Arial"/>
          <w:rtl/>
        </w:rPr>
        <w:t xml:space="preserve"> </w:t>
      </w:r>
    </w:p>
    <w:p w14:paraId="76D595E5" w14:textId="77777777" w:rsidR="001D49D4" w:rsidRPr="001D49D4" w:rsidRDefault="001D49D4" w:rsidP="0004348D">
      <w:pPr>
        <w:spacing w:before="360" w:after="240"/>
        <w:rPr>
          <w:rFonts w:ascii="Calibri" w:eastAsia="Calibri" w:hAnsi="Calibri" w:cs="Arial"/>
          <w:rtl/>
        </w:rPr>
      </w:pPr>
    </w:p>
    <w:p w14:paraId="7AE46E45" w14:textId="77777777" w:rsidR="001D49D4" w:rsidRPr="001D49D4" w:rsidRDefault="001D49D4" w:rsidP="0004348D">
      <w:pPr>
        <w:keepNext/>
        <w:keepLines/>
        <w:spacing w:before="360" w:after="240"/>
        <w:outlineLvl w:val="1"/>
        <w:rPr>
          <w:rFonts w:ascii="Cambria" w:eastAsia="Times New Roman" w:hAnsi="Cambria" w:cs="Arial"/>
          <w:bCs/>
          <w:color w:val="548DD4" w:themeColor="text2" w:themeTint="99"/>
          <w:sz w:val="26"/>
          <w:szCs w:val="26"/>
          <w:rtl/>
        </w:rPr>
      </w:pPr>
      <w:bookmarkStart w:id="746" w:name="_Toc24884152"/>
      <w:r w:rsidRPr="001D49D4">
        <w:rPr>
          <w:rFonts w:ascii="Cambria" w:eastAsia="Times New Roman" w:hAnsi="Cambria" w:cs="Arial"/>
          <w:bCs/>
          <w:color w:val="548DD4" w:themeColor="text2" w:themeTint="99"/>
          <w:sz w:val="26"/>
          <w:szCs w:val="26"/>
          <w:rtl/>
        </w:rPr>
        <w:t>סעיף טו: שכר שכיר.</w:t>
      </w:r>
      <w:bookmarkEnd w:id="746"/>
    </w:p>
    <w:p w14:paraId="2867457A"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b/>
          <w:bCs/>
          <w:rtl/>
        </w:rPr>
        <w:t>משנה שביעית פ"י מ"א:</w:t>
      </w:r>
      <w:r w:rsidRPr="001D49D4">
        <w:rPr>
          <w:rFonts w:ascii="Calibri" w:eastAsia="Calibri" w:hAnsi="Calibri" w:cs="Arial"/>
          <w:rtl/>
        </w:rPr>
        <w:t xml:space="preserve">... שכר שכיר אינו משמט ואם עשאו מלוה הרי זה משמט... </w:t>
      </w:r>
      <w:r w:rsidRPr="001D49D4">
        <w:rPr>
          <w:rFonts w:ascii="Calibri" w:eastAsia="Calibri" w:hAnsi="Calibri" w:cs="Arial"/>
          <w:sz w:val="16"/>
          <w:szCs w:val="16"/>
          <w:rtl/>
        </w:rPr>
        <w:t xml:space="preserve">(וכתבו הרמב"ם בפרק הנזכר (הי"א), וגם בעל התרומות (שער מה סי' יג) כתבו, ולא ידעתי למה השמיטו רבינו, ב"י. </w:t>
      </w:r>
      <w:r w:rsidRPr="001D49D4">
        <w:rPr>
          <w:rFonts w:ascii="Calibri" w:eastAsia="Calibri" w:hAnsi="Calibri" w:cs="Arial"/>
          <w:color w:val="E36C0A" w:themeColor="accent6" w:themeShade="BF"/>
          <w:sz w:val="16"/>
          <w:szCs w:val="16"/>
          <w:rtl/>
        </w:rPr>
        <w:t>וכ"פ בשו"ע</w:t>
      </w:r>
      <w:r w:rsidRPr="001D49D4">
        <w:rPr>
          <w:rFonts w:ascii="Calibri" w:eastAsia="Calibri" w:hAnsi="Calibri" w:cs="Arial"/>
          <w:sz w:val="16"/>
          <w:szCs w:val="16"/>
          <w:rtl/>
        </w:rPr>
        <w:t>)</w:t>
      </w:r>
    </w:p>
    <w:p w14:paraId="1CE12F44" w14:textId="77777777" w:rsidR="001D49D4" w:rsidRPr="001D49D4" w:rsidRDefault="001D49D4" w:rsidP="0004348D">
      <w:pPr>
        <w:spacing w:before="360" w:after="240"/>
        <w:rPr>
          <w:rFonts w:ascii="Arial" w:eastAsia="Calibri" w:hAnsi="Arial" w:cs="Arial"/>
          <w:b/>
          <w:bCs/>
          <w:color w:val="000000"/>
          <w:sz w:val="28"/>
          <w:szCs w:val="28"/>
          <w:u w:val="single"/>
          <w:rtl/>
        </w:rPr>
      </w:pPr>
      <w:r w:rsidRPr="001D49D4">
        <w:rPr>
          <w:rFonts w:ascii="Arial" w:eastAsia="Calibri" w:hAnsi="Arial" w:cs="Arial"/>
          <w:b/>
          <w:bCs/>
          <w:color w:val="000000"/>
          <w:sz w:val="28"/>
          <w:szCs w:val="28"/>
          <w:u w:val="single"/>
          <w:rtl/>
        </w:rPr>
        <w:t>שו"ע:</w:t>
      </w:r>
    </w:p>
    <w:p w14:paraId="05DF044C"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rtl/>
        </w:rPr>
        <w:t>שכר שכיר, אינו משמט</w:t>
      </w:r>
      <w:r w:rsidRPr="001D49D4">
        <w:rPr>
          <w:rFonts w:ascii="Calibri" w:eastAsia="Calibri" w:hAnsi="Calibri" w:cs="Arial"/>
          <w:vertAlign w:val="superscript"/>
          <w:rtl/>
        </w:rPr>
        <w:footnoteReference w:id="5333"/>
      </w:r>
      <w:r w:rsidRPr="001D49D4">
        <w:rPr>
          <w:rFonts w:ascii="Calibri" w:eastAsia="Calibri" w:hAnsi="Calibri" w:cs="Arial"/>
          <w:rtl/>
        </w:rPr>
        <w:t xml:space="preserve">. ואם זקפו עליו במלוה, משמט. </w:t>
      </w:r>
    </w:p>
    <w:p w14:paraId="57B47AC0" w14:textId="77777777" w:rsidR="001D49D4" w:rsidRPr="001D49D4" w:rsidRDefault="001D49D4" w:rsidP="0004348D">
      <w:pPr>
        <w:spacing w:before="360" w:after="240"/>
        <w:rPr>
          <w:rFonts w:ascii="Calibri" w:eastAsia="Calibri" w:hAnsi="Calibri" w:cs="Arial"/>
          <w:rtl/>
        </w:rPr>
      </w:pPr>
    </w:p>
    <w:p w14:paraId="41D5F8DB" w14:textId="77777777" w:rsidR="001D49D4" w:rsidRPr="001D49D4" w:rsidRDefault="001D49D4" w:rsidP="0004348D">
      <w:pPr>
        <w:keepNext/>
        <w:keepLines/>
        <w:spacing w:before="360" w:after="240"/>
        <w:outlineLvl w:val="1"/>
        <w:rPr>
          <w:rFonts w:ascii="Cambria" w:eastAsia="Times New Roman" w:hAnsi="Cambria" w:cs="Arial"/>
          <w:bCs/>
          <w:color w:val="548DD4" w:themeColor="text2" w:themeTint="99"/>
          <w:sz w:val="26"/>
          <w:szCs w:val="26"/>
          <w:rtl/>
        </w:rPr>
      </w:pPr>
      <w:bookmarkStart w:id="747" w:name="_Toc24884153"/>
      <w:r w:rsidRPr="001D49D4">
        <w:rPr>
          <w:rFonts w:ascii="Cambria" w:eastAsia="Times New Roman" w:hAnsi="Cambria" w:cs="Arial"/>
          <w:bCs/>
          <w:color w:val="548DD4" w:themeColor="text2" w:themeTint="99"/>
          <w:sz w:val="26"/>
          <w:szCs w:val="26"/>
          <w:rtl/>
        </w:rPr>
        <w:t>סעיף טז: קנס של אונס ומפתה ומוציא שם רע.</w:t>
      </w:r>
      <w:bookmarkEnd w:id="747"/>
    </w:p>
    <w:p w14:paraId="48B8D2FC"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b/>
          <w:bCs/>
          <w:rtl/>
        </w:rPr>
        <w:t xml:space="preserve">גיטין </w:t>
      </w:r>
      <w:r w:rsidRPr="001D49D4">
        <w:rPr>
          <w:rFonts w:ascii="Calibri" w:eastAsia="Calibri" w:hAnsi="Calibri" w:cs="Arial"/>
          <w:b/>
          <w:bCs/>
          <w:sz w:val="16"/>
          <w:szCs w:val="16"/>
          <w:rtl/>
        </w:rPr>
        <w:t xml:space="preserve">(פ"ב) </w:t>
      </w:r>
      <w:r w:rsidRPr="001D49D4">
        <w:rPr>
          <w:rFonts w:ascii="Calibri" w:eastAsia="Calibri" w:hAnsi="Calibri" w:cs="Arial"/>
          <w:b/>
          <w:bCs/>
          <w:rtl/>
        </w:rPr>
        <w:t>יח</w:t>
      </w:r>
      <w:r w:rsidRPr="001D49D4">
        <w:rPr>
          <w:rFonts w:ascii="Calibri" w:eastAsia="Calibri" w:hAnsi="Calibri" w:cs="Arial"/>
          <w:b/>
          <w:bCs/>
          <w:vertAlign w:val="superscript"/>
          <w:rtl/>
        </w:rPr>
        <w:footnoteReference w:id="5334"/>
      </w:r>
      <w:r w:rsidRPr="001D49D4">
        <w:rPr>
          <w:rFonts w:ascii="Calibri" w:eastAsia="Calibri" w:hAnsi="Calibri" w:cs="Arial"/>
          <w:b/>
          <w:bCs/>
          <w:rtl/>
        </w:rPr>
        <w:t xml:space="preserve"> ע"א:</w:t>
      </w:r>
      <w:r w:rsidRPr="001D49D4">
        <w:rPr>
          <w:rFonts w:ascii="Calibri" w:eastAsia="Calibri" w:hAnsi="Calibri" w:cs="Arial"/>
          <w:rtl/>
        </w:rPr>
        <w:t xml:space="preserve"> תניא כוותיה דשמואל: אונס, וקנס, ופיתוי, וכתובת אשה שזקפן במלוה - משמטין, ואם לאו - אין משמטין, מאימתי נזקפים במלוה? משעת העמדה בדין.</w:t>
      </w:r>
      <w:r w:rsidRPr="001D49D4">
        <w:rPr>
          <w:rFonts w:ascii="Calibri" w:eastAsia="Calibri" w:hAnsi="Calibri" w:cs="Arial"/>
          <w:sz w:val="16"/>
          <w:szCs w:val="16"/>
          <w:rtl/>
        </w:rPr>
        <w:t xml:space="preserve"> (וכ"פ הרמב"ם בפ"ט משמיטה (הי"ב). </w:t>
      </w:r>
      <w:r w:rsidRPr="001D49D4">
        <w:rPr>
          <w:rFonts w:ascii="Calibri" w:eastAsia="Calibri" w:hAnsi="Calibri" w:cs="Arial"/>
          <w:color w:val="E36C0A" w:themeColor="accent6" w:themeShade="BF"/>
          <w:sz w:val="16"/>
          <w:szCs w:val="16"/>
          <w:rtl/>
        </w:rPr>
        <w:t>וכ"פ בשו"ע</w:t>
      </w:r>
      <w:r w:rsidRPr="001D49D4">
        <w:rPr>
          <w:rFonts w:ascii="Calibri" w:eastAsia="Calibri" w:hAnsi="Calibri" w:cs="Arial"/>
          <w:sz w:val="16"/>
          <w:szCs w:val="16"/>
          <w:rtl/>
        </w:rPr>
        <w:t>)</w:t>
      </w:r>
    </w:p>
    <w:p w14:paraId="7582D6D3" w14:textId="77777777" w:rsidR="001D49D4" w:rsidRPr="001D49D4" w:rsidRDefault="001D49D4" w:rsidP="0004348D">
      <w:pPr>
        <w:spacing w:before="360" w:after="240"/>
        <w:rPr>
          <w:rFonts w:ascii="Arial" w:eastAsia="Calibri" w:hAnsi="Arial" w:cs="Arial"/>
          <w:b/>
          <w:bCs/>
          <w:color w:val="000000"/>
          <w:sz w:val="28"/>
          <w:szCs w:val="28"/>
          <w:u w:val="single"/>
          <w:rtl/>
        </w:rPr>
      </w:pPr>
      <w:r w:rsidRPr="001D49D4">
        <w:rPr>
          <w:rFonts w:ascii="Arial" w:eastAsia="Calibri" w:hAnsi="Arial" w:cs="Arial"/>
          <w:b/>
          <w:bCs/>
          <w:color w:val="000000"/>
          <w:sz w:val="28"/>
          <w:szCs w:val="28"/>
          <w:u w:val="single"/>
          <w:rtl/>
        </w:rPr>
        <w:t>שו"ע:</w:t>
      </w:r>
    </w:p>
    <w:p w14:paraId="37784F38"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rtl/>
        </w:rPr>
        <w:t>קנס של אונס ומפתה ומוציא שם רע, אינם משמטים. ואם זקפם במלוה, משמטים. ומאימתי נזקפים, משעת העמדה בדין</w:t>
      </w:r>
      <w:r w:rsidRPr="001D49D4">
        <w:rPr>
          <w:rFonts w:ascii="Calibri" w:eastAsia="Calibri" w:hAnsi="Calibri" w:cs="Arial"/>
          <w:vertAlign w:val="superscript"/>
          <w:rtl/>
        </w:rPr>
        <w:footnoteReference w:id="5335"/>
      </w:r>
      <w:r w:rsidRPr="001D49D4">
        <w:rPr>
          <w:rFonts w:ascii="Calibri" w:eastAsia="Calibri" w:hAnsi="Calibri" w:cs="Arial"/>
          <w:rtl/>
        </w:rPr>
        <w:t xml:space="preserve">. </w:t>
      </w:r>
    </w:p>
    <w:p w14:paraId="1D83E6D8" w14:textId="77777777" w:rsidR="001D49D4" w:rsidRPr="001D49D4" w:rsidRDefault="001D49D4" w:rsidP="0004348D">
      <w:pPr>
        <w:spacing w:before="360" w:after="240"/>
        <w:rPr>
          <w:rFonts w:ascii="Calibri" w:eastAsia="Calibri" w:hAnsi="Calibri" w:cs="Arial"/>
          <w:rtl/>
        </w:rPr>
      </w:pPr>
    </w:p>
    <w:p w14:paraId="683BBB97" w14:textId="77777777" w:rsidR="001D49D4" w:rsidRPr="001D49D4" w:rsidRDefault="001D49D4" w:rsidP="0004348D">
      <w:pPr>
        <w:keepNext/>
        <w:keepLines/>
        <w:spacing w:before="360" w:after="240"/>
        <w:outlineLvl w:val="1"/>
        <w:rPr>
          <w:rFonts w:ascii="Cambria" w:eastAsia="Times New Roman" w:hAnsi="Cambria" w:cs="Arial"/>
          <w:bCs/>
          <w:color w:val="548DD4" w:themeColor="text2" w:themeTint="99"/>
          <w:sz w:val="26"/>
          <w:szCs w:val="26"/>
          <w:rtl/>
        </w:rPr>
      </w:pPr>
      <w:bookmarkStart w:id="748" w:name="_Toc24884154"/>
      <w:r w:rsidRPr="001D49D4">
        <w:rPr>
          <w:rFonts w:ascii="Cambria" w:eastAsia="Times New Roman" w:hAnsi="Cambria" w:cs="Arial"/>
          <w:bCs/>
          <w:color w:val="548DD4" w:themeColor="text2" w:themeTint="99"/>
          <w:sz w:val="26"/>
          <w:szCs w:val="26"/>
          <w:rtl/>
        </w:rPr>
        <w:t>סעיף יז: כתובת אשה.</w:t>
      </w:r>
      <w:bookmarkEnd w:id="748"/>
    </w:p>
    <w:p w14:paraId="569888DD"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b/>
          <w:bCs/>
          <w:rtl/>
        </w:rPr>
        <w:t xml:space="preserve">גיטין </w:t>
      </w:r>
      <w:r w:rsidRPr="001D49D4">
        <w:rPr>
          <w:rFonts w:ascii="Calibri" w:eastAsia="Calibri" w:hAnsi="Calibri" w:cs="Arial"/>
          <w:b/>
          <w:bCs/>
          <w:sz w:val="16"/>
          <w:szCs w:val="16"/>
          <w:rtl/>
        </w:rPr>
        <w:t xml:space="preserve">(פ"ב) </w:t>
      </w:r>
      <w:r w:rsidRPr="001D49D4">
        <w:rPr>
          <w:rFonts w:ascii="Calibri" w:eastAsia="Calibri" w:hAnsi="Calibri" w:cs="Arial"/>
          <w:b/>
          <w:bCs/>
          <w:rtl/>
        </w:rPr>
        <w:t>יח ע"א:</w:t>
      </w:r>
      <w:r w:rsidRPr="001D49D4">
        <w:rPr>
          <w:rFonts w:ascii="Calibri" w:eastAsia="Calibri" w:hAnsi="Calibri" w:cs="Arial"/>
          <w:rtl/>
        </w:rPr>
        <w:t xml:space="preserve"> תניא כוותיה דשמואל: אונס, וקנס, ופיתוי, וכתובת אשה שזקפן במלוה - משמטין, ואם לאו - אין משמטין, מאימתי נזקפים במלוה? משעת העמדה בדין.</w:t>
      </w:r>
    </w:p>
    <w:p w14:paraId="34C76D8A" w14:textId="77777777" w:rsidR="001D49D4" w:rsidRPr="001D49D4" w:rsidRDefault="001D49D4" w:rsidP="0004348D">
      <w:pPr>
        <w:spacing w:before="360" w:after="240"/>
        <w:rPr>
          <w:rFonts w:ascii="Calibri" w:eastAsia="Calibri" w:hAnsi="Calibri" w:cs="Arial"/>
          <w:u w:val="single"/>
          <w:rtl/>
        </w:rPr>
      </w:pPr>
      <w:r w:rsidRPr="001D49D4">
        <w:rPr>
          <w:rFonts w:ascii="Calibri" w:eastAsia="Calibri" w:hAnsi="Calibri" w:cs="Arial"/>
          <w:u w:val="single"/>
          <w:rtl/>
        </w:rPr>
        <w:t>המגרש את אשתו קודם השמטה:</w:t>
      </w:r>
    </w:p>
    <w:p w14:paraId="61C20625" w14:textId="77777777" w:rsidR="001D49D4" w:rsidRPr="001D49D4" w:rsidRDefault="001D49D4" w:rsidP="0004348D">
      <w:pPr>
        <w:numPr>
          <w:ilvl w:val="0"/>
          <w:numId w:val="347"/>
        </w:numPr>
        <w:spacing w:before="360" w:after="240"/>
        <w:contextualSpacing/>
        <w:rPr>
          <w:rFonts w:ascii="Calibri" w:eastAsia="Calibri" w:hAnsi="Calibri" w:cs="Arial"/>
          <w:rtl/>
        </w:rPr>
      </w:pPr>
      <w:r w:rsidRPr="001D49D4">
        <w:rPr>
          <w:rFonts w:ascii="Calibri" w:eastAsia="Calibri" w:hAnsi="Calibri" w:cs="Arial"/>
          <w:rtl/>
        </w:rPr>
        <w:t>רמב"ם</w:t>
      </w:r>
      <w:r w:rsidRPr="001D49D4">
        <w:rPr>
          <w:rFonts w:ascii="Calibri" w:eastAsia="Calibri" w:hAnsi="Calibri" w:cs="Arial"/>
          <w:sz w:val="16"/>
          <w:szCs w:val="16"/>
          <w:rtl/>
        </w:rPr>
        <w:t xml:space="preserve"> (פ"ט משמיטה הי"ג)</w:t>
      </w:r>
      <w:r w:rsidRPr="001D49D4">
        <w:rPr>
          <w:rFonts w:ascii="Calibri" w:eastAsia="Calibri" w:hAnsi="Calibri" w:cs="Arial"/>
          <w:rtl/>
        </w:rPr>
        <w:t>- המגרש את אשתו קודם השמטה - אין כתובתה נשמטת. ואם פגמתה או זקפתה עליו במלוה - נשמטת.</w:t>
      </w:r>
      <w:r w:rsidRPr="001D49D4">
        <w:rPr>
          <w:rFonts w:ascii="Calibri" w:eastAsia="Calibri" w:hAnsi="Calibri" w:cs="Arial"/>
          <w:color w:val="E36C0A" w:themeColor="accent6" w:themeShade="BF"/>
          <w:rtl/>
        </w:rPr>
        <w:t xml:space="preserve"> (וכ"פ בשו"ע)</w:t>
      </w:r>
    </w:p>
    <w:p w14:paraId="6B72B06D" w14:textId="77777777" w:rsidR="001D49D4" w:rsidRPr="001D49D4" w:rsidRDefault="001D49D4" w:rsidP="0004348D">
      <w:pPr>
        <w:spacing w:before="360" w:after="240"/>
        <w:rPr>
          <w:rFonts w:ascii="Calibri" w:eastAsia="Calibri" w:hAnsi="Calibri" w:cs="Arial"/>
          <w:u w:val="single"/>
          <w:rtl/>
        </w:rPr>
      </w:pPr>
      <w:r w:rsidRPr="001D49D4">
        <w:rPr>
          <w:rFonts w:ascii="Calibri" w:eastAsia="Calibri" w:hAnsi="Calibri" w:cs="Arial"/>
          <w:u w:val="single"/>
          <w:rtl/>
        </w:rPr>
        <w:t>ישראל שלקח שטר חוב מגוי שיש לו על ישראל:</w:t>
      </w:r>
    </w:p>
    <w:p w14:paraId="29E73086" w14:textId="77777777" w:rsidR="001D49D4" w:rsidRPr="001D49D4" w:rsidRDefault="001D49D4" w:rsidP="0004348D">
      <w:pPr>
        <w:numPr>
          <w:ilvl w:val="0"/>
          <w:numId w:val="347"/>
        </w:numPr>
        <w:spacing w:before="360" w:after="240"/>
        <w:contextualSpacing/>
        <w:rPr>
          <w:rFonts w:ascii="Calibri" w:eastAsia="Calibri" w:hAnsi="Calibri" w:cs="Arial"/>
          <w:rtl/>
        </w:rPr>
      </w:pPr>
      <w:r w:rsidRPr="001D49D4">
        <w:rPr>
          <w:rFonts w:ascii="Calibri" w:eastAsia="Calibri" w:hAnsi="Calibri" w:cs="Arial"/>
          <w:rtl/>
        </w:rPr>
        <w:t xml:space="preserve">רשב"א </w:t>
      </w:r>
      <w:r w:rsidRPr="001D49D4">
        <w:rPr>
          <w:rFonts w:ascii="Calibri" w:eastAsia="Calibri" w:hAnsi="Calibri" w:cs="Arial"/>
          <w:sz w:val="16"/>
          <w:szCs w:val="16"/>
          <w:rtl/>
        </w:rPr>
        <w:t>(ח"א סי' תשסט)</w:t>
      </w:r>
      <w:r w:rsidRPr="001D49D4">
        <w:rPr>
          <w:rFonts w:ascii="Calibri" w:eastAsia="Calibri" w:hAnsi="Calibri" w:cs="Arial"/>
          <w:rtl/>
        </w:rPr>
        <w:t>- ישראל שלקח שטר חוב מגוי שיש לו על ישראל - אין שביעית משמטתו. שכל שאינו בר השמטה בתחלתו שוב אינו משמט אא"כ זקף עליו במלוה, כגזילה והקפת חנות והפקדון שכולם אין משמטים אא"כ זקף, וכמו ששנינו בספרי.</w:t>
      </w:r>
      <w:r w:rsidRPr="001D49D4">
        <w:rPr>
          <w:rFonts w:ascii="Calibri" w:eastAsia="Calibri" w:hAnsi="Calibri" w:cs="Arial"/>
          <w:color w:val="00B0F0"/>
          <w:rtl/>
        </w:rPr>
        <w:t xml:space="preserve"> (וכ"פ הרמ"א)</w:t>
      </w:r>
    </w:p>
    <w:p w14:paraId="253D3FF3" w14:textId="77777777" w:rsidR="001D49D4" w:rsidRPr="001D49D4" w:rsidRDefault="001D49D4" w:rsidP="0004348D">
      <w:pPr>
        <w:spacing w:before="360" w:after="240"/>
        <w:rPr>
          <w:rFonts w:ascii="Calibri" w:eastAsia="Calibri" w:hAnsi="Calibri" w:cs="Arial"/>
          <w:u w:val="single"/>
          <w:rtl/>
        </w:rPr>
      </w:pPr>
      <w:r w:rsidRPr="001D49D4">
        <w:rPr>
          <w:rFonts w:ascii="Calibri" w:eastAsia="Calibri" w:hAnsi="Calibri" w:cs="Arial"/>
          <w:u w:val="single"/>
          <w:rtl/>
        </w:rPr>
        <w:t>מי שערב בעד חבירו נגד גוי, ופרע לגוי, ולקח השטר מן הגוי ותבע חבירו באותו השטר:</w:t>
      </w:r>
    </w:p>
    <w:p w14:paraId="39CB1AC1" w14:textId="77777777" w:rsidR="001D49D4" w:rsidRPr="001D49D4" w:rsidRDefault="001D49D4" w:rsidP="0004348D">
      <w:pPr>
        <w:numPr>
          <w:ilvl w:val="0"/>
          <w:numId w:val="347"/>
        </w:numPr>
        <w:spacing w:before="360" w:after="240"/>
        <w:contextualSpacing/>
        <w:rPr>
          <w:rFonts w:ascii="Calibri" w:eastAsia="Calibri" w:hAnsi="Calibri" w:cs="Arial"/>
        </w:rPr>
      </w:pPr>
      <w:r w:rsidRPr="001D49D4">
        <w:rPr>
          <w:rFonts w:ascii="Calibri" w:eastAsia="Calibri" w:hAnsi="Calibri" w:cs="Arial"/>
          <w:rtl/>
        </w:rPr>
        <w:t xml:space="preserve">רשב"א </w:t>
      </w:r>
      <w:r w:rsidRPr="001D49D4">
        <w:rPr>
          <w:rFonts w:ascii="Calibri" w:eastAsia="Calibri" w:hAnsi="Calibri" w:cs="Arial"/>
          <w:sz w:val="16"/>
          <w:szCs w:val="16"/>
          <w:rtl/>
        </w:rPr>
        <w:t>(ח"ג סי' נט)</w:t>
      </w:r>
      <w:r w:rsidRPr="001D49D4">
        <w:rPr>
          <w:rFonts w:ascii="Calibri" w:eastAsia="Calibri" w:hAnsi="Calibri" w:cs="Arial"/>
          <w:rtl/>
        </w:rPr>
        <w:t>- שאלת, שמעון לוה מעות מגוי, וראובן נעשה לו קבלן, ועשה לו שמעון שטר בגופן של גוים שישמרנו מנזק. והוצרך ראובן לפרוע לו בכח החצר, ואח"כ נכנסה השמטה, מי נימא שתשמיטנו שביעית או לא. תשובה, מסתברא שאם נתן לו הגוי רשותו בשטר כדרך שעושים הגוים לכל ערב הפורע ומוסרים לו שטר החוב - אינו משמט, שזה אינו בא מכח קבלנותו אלא מכח שטרו של גוי שמכרו לו, ואין הגוים בתורת שביעית, והבא מחמת גוי דינו כגוי. ואם פרע קבלן זה לגוי ובא מכח שטר חיוב שעשה לו שמעון הלוה - הרי זה משמט, דתכף שפרע זה קבלנותו נתחייב לו שמעון מחמת מה שנתחייב לו בשטר החיוב שחייב עצמו לו, ולא עוד אלא אפילו לא כתב לו שטר חיוב אפילו הכי כל שפרע מחמתו נתחייב לו מחמת שפרע ממון מלוה עליו, וחזר עליו כמלוה. ולאו דוקא קבלן אלא אפילו ערב גם כן הוא משמט. לפי שמשעה שפרע חזר על הלוה כמלוה וחייב לערב ונעשה לו כמלוה על פה ומשמט.</w:t>
      </w:r>
      <w:r w:rsidRPr="001D49D4">
        <w:rPr>
          <w:rFonts w:ascii="Calibri" w:eastAsia="Calibri" w:hAnsi="Calibri" w:cs="Arial"/>
          <w:color w:val="00B0F0"/>
          <w:rtl/>
        </w:rPr>
        <w:t xml:space="preserve"> (וכ"פ הרמ"א)</w:t>
      </w:r>
      <w:r w:rsidRPr="001D49D4">
        <w:rPr>
          <w:rFonts w:ascii="Calibri" w:eastAsia="Calibri" w:hAnsi="Calibri" w:cs="Arial"/>
          <w:rtl/>
        </w:rPr>
        <w:t xml:space="preserve"> </w:t>
      </w:r>
    </w:p>
    <w:p w14:paraId="3FCE30E9" w14:textId="77777777" w:rsidR="001D49D4" w:rsidRPr="001D49D4" w:rsidRDefault="001D49D4" w:rsidP="0004348D">
      <w:pPr>
        <w:spacing w:before="360" w:after="240"/>
        <w:rPr>
          <w:rFonts w:ascii="Arial" w:eastAsia="Calibri" w:hAnsi="Arial" w:cs="Arial"/>
          <w:b/>
          <w:bCs/>
          <w:color w:val="000000"/>
          <w:sz w:val="28"/>
          <w:szCs w:val="28"/>
          <w:u w:val="single"/>
        </w:rPr>
      </w:pPr>
      <w:r w:rsidRPr="001D49D4">
        <w:rPr>
          <w:rFonts w:ascii="Arial" w:eastAsia="Calibri" w:hAnsi="Arial" w:cs="Arial"/>
          <w:b/>
          <w:bCs/>
          <w:color w:val="000000"/>
          <w:sz w:val="28"/>
          <w:szCs w:val="28"/>
          <w:u w:val="single"/>
          <w:rtl/>
        </w:rPr>
        <w:t>שו"ע:</w:t>
      </w:r>
    </w:p>
    <w:p w14:paraId="64372978"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rtl/>
        </w:rPr>
        <w:t>המגרש את אשתו קודם השמיטה, אין כתובתה נשמטת</w:t>
      </w:r>
      <w:r w:rsidRPr="001D49D4">
        <w:rPr>
          <w:rFonts w:ascii="Calibri" w:eastAsia="Calibri" w:hAnsi="Calibri" w:cs="Arial"/>
          <w:vertAlign w:val="superscript"/>
          <w:rtl/>
        </w:rPr>
        <w:footnoteReference w:id="5336"/>
      </w:r>
      <w:r w:rsidRPr="001D49D4">
        <w:rPr>
          <w:rFonts w:ascii="Calibri" w:eastAsia="Calibri" w:hAnsi="Calibri" w:cs="Arial"/>
          <w:rtl/>
        </w:rPr>
        <w:t>. ואם פגמתה</w:t>
      </w:r>
      <w:r w:rsidRPr="001D49D4">
        <w:rPr>
          <w:rFonts w:ascii="Calibri" w:eastAsia="Calibri" w:hAnsi="Calibri" w:cs="Arial"/>
          <w:vertAlign w:val="superscript"/>
          <w:rtl/>
        </w:rPr>
        <w:footnoteReference w:id="5337"/>
      </w:r>
      <w:r w:rsidRPr="001D49D4">
        <w:rPr>
          <w:rFonts w:ascii="Calibri" w:eastAsia="Calibri" w:hAnsi="Calibri" w:cs="Arial"/>
          <w:rtl/>
        </w:rPr>
        <w:t xml:space="preserve"> או זקפתה עליו במלוה, משמטת. </w:t>
      </w:r>
      <w:r w:rsidRPr="001D49D4">
        <w:rPr>
          <w:rFonts w:ascii="Calibri" w:eastAsia="Calibri" w:hAnsi="Calibri" w:cs="Arial"/>
          <w:sz w:val="18"/>
          <w:szCs w:val="18"/>
          <w:rtl/>
        </w:rPr>
        <w:t>הגה: הבא מכח גוי, הרי הוא כגוי. ולכן מי שקנה שטר מן הגוי על חבירו, אין השביעית משמטתו</w:t>
      </w:r>
      <w:r w:rsidRPr="001D49D4">
        <w:rPr>
          <w:rFonts w:ascii="Calibri" w:eastAsia="Calibri" w:hAnsi="Calibri" w:cs="Arial"/>
          <w:sz w:val="18"/>
          <w:szCs w:val="18"/>
          <w:vertAlign w:val="superscript"/>
          <w:rtl/>
        </w:rPr>
        <w:footnoteReference w:id="5338"/>
      </w:r>
      <w:r w:rsidRPr="001D49D4">
        <w:rPr>
          <w:rFonts w:ascii="Calibri" w:eastAsia="Calibri" w:hAnsi="Calibri" w:cs="Arial"/>
          <w:sz w:val="18"/>
          <w:szCs w:val="18"/>
          <w:rtl/>
        </w:rPr>
        <w:t xml:space="preserve"> </w:t>
      </w:r>
      <w:r w:rsidRPr="001D49D4">
        <w:rPr>
          <w:rFonts w:ascii="Calibri" w:eastAsia="Calibri" w:hAnsi="Calibri" w:cs="Arial"/>
          <w:sz w:val="16"/>
          <w:szCs w:val="16"/>
          <w:rtl/>
        </w:rPr>
        <w:t>(רשב"א סי' תשסט)</w:t>
      </w:r>
      <w:r w:rsidRPr="001D49D4">
        <w:rPr>
          <w:rFonts w:ascii="Calibri" w:eastAsia="Calibri" w:hAnsi="Calibri" w:cs="Arial"/>
          <w:sz w:val="18"/>
          <w:szCs w:val="18"/>
          <w:rtl/>
        </w:rPr>
        <w:t>. וכן מי שערב בעד חבירו נגד גוי, ופרע לגוי, ולקח השטר מן הגוי ותבע חבירו באותו השטר, אין השביעית משמטת. אבל בלאו הכי</w:t>
      </w:r>
      <w:r w:rsidRPr="001D49D4">
        <w:rPr>
          <w:rFonts w:ascii="Calibri" w:eastAsia="Calibri" w:hAnsi="Calibri" w:cs="Arial"/>
          <w:sz w:val="18"/>
          <w:szCs w:val="18"/>
          <w:vertAlign w:val="superscript"/>
          <w:rtl/>
        </w:rPr>
        <w:footnoteReference w:id="5339"/>
      </w:r>
      <w:r w:rsidRPr="001D49D4">
        <w:rPr>
          <w:rFonts w:ascii="Calibri" w:eastAsia="Calibri" w:hAnsi="Calibri" w:cs="Arial"/>
          <w:sz w:val="18"/>
          <w:szCs w:val="18"/>
          <w:rtl/>
        </w:rPr>
        <w:t>, משמטת, אע"פ שפרע לגוי בשבילו</w:t>
      </w:r>
      <w:r w:rsidRPr="001D49D4">
        <w:rPr>
          <w:rFonts w:ascii="Calibri" w:eastAsia="Calibri" w:hAnsi="Calibri" w:cs="Arial"/>
          <w:sz w:val="16"/>
          <w:szCs w:val="16"/>
          <w:rtl/>
        </w:rPr>
        <w:t xml:space="preserve"> (ב"י בשם הרשב"א)</w:t>
      </w:r>
      <w:r w:rsidRPr="001D49D4">
        <w:rPr>
          <w:rFonts w:ascii="Calibri" w:eastAsia="Calibri" w:hAnsi="Calibri" w:cs="Arial"/>
          <w:sz w:val="18"/>
          <w:szCs w:val="18"/>
          <w:rtl/>
        </w:rPr>
        <w:t>.</w:t>
      </w:r>
      <w:r w:rsidRPr="001D49D4">
        <w:rPr>
          <w:rFonts w:ascii="Calibri" w:eastAsia="Calibri" w:hAnsi="Calibri" w:cs="Arial"/>
          <w:rtl/>
        </w:rPr>
        <w:t xml:space="preserve"> </w:t>
      </w:r>
    </w:p>
    <w:p w14:paraId="333EBDBB" w14:textId="77777777" w:rsidR="001D49D4" w:rsidRPr="001D49D4" w:rsidRDefault="001D49D4" w:rsidP="0004348D">
      <w:pPr>
        <w:spacing w:before="360" w:after="240"/>
        <w:rPr>
          <w:rFonts w:ascii="Calibri" w:eastAsia="Calibri" w:hAnsi="Calibri" w:cs="Arial"/>
          <w:rtl/>
        </w:rPr>
      </w:pPr>
    </w:p>
    <w:p w14:paraId="0901804F" w14:textId="77777777" w:rsidR="001D49D4" w:rsidRPr="001D49D4" w:rsidRDefault="001D49D4" w:rsidP="0004348D">
      <w:pPr>
        <w:keepNext/>
        <w:keepLines/>
        <w:spacing w:before="360" w:after="240"/>
        <w:outlineLvl w:val="1"/>
        <w:rPr>
          <w:rFonts w:ascii="Cambria" w:eastAsia="Times New Roman" w:hAnsi="Cambria" w:cs="Arial"/>
          <w:bCs/>
          <w:color w:val="548DD4" w:themeColor="text2" w:themeTint="99"/>
          <w:sz w:val="26"/>
          <w:szCs w:val="26"/>
          <w:rtl/>
        </w:rPr>
      </w:pPr>
      <w:bookmarkStart w:id="749" w:name="_Toc24884155"/>
      <w:r w:rsidRPr="001D49D4">
        <w:rPr>
          <w:rFonts w:ascii="Cambria" w:eastAsia="Times New Roman" w:hAnsi="Cambria" w:cs="Arial"/>
          <w:bCs/>
          <w:color w:val="548DD4" w:themeColor="text2" w:themeTint="99"/>
          <w:sz w:val="26"/>
          <w:szCs w:val="26"/>
          <w:rtl/>
        </w:rPr>
        <w:t>סעיף יח: פרוזבול.</w:t>
      </w:r>
      <w:bookmarkEnd w:id="749"/>
    </w:p>
    <w:p w14:paraId="19A41438"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b/>
          <w:bCs/>
          <w:rtl/>
        </w:rPr>
        <w:t>משנה שביעית פ"י: [ג]</w:t>
      </w:r>
      <w:r w:rsidRPr="001D49D4">
        <w:rPr>
          <w:rFonts w:ascii="Calibri" w:eastAsia="Calibri" w:hAnsi="Calibri" w:cs="Arial"/>
          <w:rtl/>
        </w:rPr>
        <w:t xml:space="preserve"> פרוזבול אינו משמט זה אחד מן הדברים שהתקין הלל הזקן. כשראה שנמנעו העם מלהלוות זה את זה ועוברין על מה שכתוב בתורה </w:t>
      </w:r>
      <w:r w:rsidRPr="001D49D4">
        <w:rPr>
          <w:rFonts w:ascii="Calibri" w:eastAsia="Calibri" w:hAnsi="Calibri" w:cs="Arial"/>
          <w:sz w:val="16"/>
          <w:szCs w:val="16"/>
          <w:rtl/>
        </w:rPr>
        <w:t xml:space="preserve">(דברים טו) </w:t>
      </w:r>
      <w:r w:rsidRPr="001D49D4">
        <w:rPr>
          <w:rFonts w:ascii="Calibri" w:eastAsia="Calibri" w:hAnsi="Calibri" w:cs="Arial"/>
          <w:rtl/>
        </w:rPr>
        <w:t xml:space="preserve">השמר לך פן יהיה דבר עם לבבך בליעל וגו' התקין הלל לפרוזבול. </w:t>
      </w:r>
      <w:r w:rsidRPr="001D49D4">
        <w:rPr>
          <w:rFonts w:ascii="Calibri" w:eastAsia="Calibri" w:hAnsi="Calibri" w:cs="Arial"/>
          <w:b/>
          <w:bCs/>
          <w:rtl/>
        </w:rPr>
        <w:t>[ד]</w:t>
      </w:r>
      <w:r w:rsidRPr="001D49D4">
        <w:rPr>
          <w:rFonts w:ascii="Calibri" w:eastAsia="Calibri" w:hAnsi="Calibri" w:cs="Arial"/>
          <w:rtl/>
        </w:rPr>
        <w:t xml:space="preserve"> זהו גופו של פרוזבול מוסר אני לכם איש פלוני ופלוני הדיינים שבמקום פלוני שכל חוב שיש לי שאגבנו כ"ז שארצה והדיינים חותמין למטה או העדים.</w:t>
      </w:r>
    </w:p>
    <w:p w14:paraId="46A860B1"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b/>
          <w:bCs/>
          <w:rtl/>
        </w:rPr>
        <w:t xml:space="preserve">גיטין </w:t>
      </w:r>
      <w:r w:rsidRPr="001D49D4">
        <w:rPr>
          <w:rFonts w:ascii="Calibri" w:eastAsia="Calibri" w:hAnsi="Calibri" w:cs="Arial"/>
          <w:b/>
          <w:bCs/>
          <w:sz w:val="16"/>
          <w:szCs w:val="16"/>
          <w:rtl/>
        </w:rPr>
        <w:t xml:space="preserve">(פרק השולח) </w:t>
      </w:r>
      <w:r w:rsidRPr="001D49D4">
        <w:rPr>
          <w:rFonts w:ascii="Calibri" w:eastAsia="Calibri" w:hAnsi="Calibri" w:cs="Arial"/>
          <w:b/>
          <w:bCs/>
          <w:rtl/>
        </w:rPr>
        <w:t>לו</w:t>
      </w:r>
      <w:r w:rsidRPr="001D49D4">
        <w:rPr>
          <w:rFonts w:ascii="Calibri" w:eastAsia="Calibri" w:hAnsi="Calibri" w:cs="Arial"/>
          <w:b/>
          <w:bCs/>
          <w:vertAlign w:val="superscript"/>
          <w:rtl/>
        </w:rPr>
        <w:footnoteReference w:id="5340"/>
      </w:r>
      <w:r w:rsidRPr="001D49D4">
        <w:rPr>
          <w:rFonts w:ascii="Calibri" w:eastAsia="Calibri" w:hAnsi="Calibri" w:cs="Arial"/>
          <w:b/>
          <w:bCs/>
          <w:rtl/>
        </w:rPr>
        <w:t xml:space="preserve"> ע"א:</w:t>
      </w:r>
      <w:r w:rsidRPr="001D49D4">
        <w:rPr>
          <w:rFonts w:ascii="Calibri" w:eastAsia="Calibri" w:hAnsi="Calibri" w:cs="Arial"/>
          <w:rtl/>
        </w:rPr>
        <w:t xml:space="preserve"> הלל התקין פרוסבול... ומי איכא מידי, דמדאורייתא משמטא שביעית, והתקין הלל דלא משמטא? </w:t>
      </w:r>
      <w:r w:rsidRPr="001D49D4">
        <w:rPr>
          <w:rFonts w:ascii="Calibri" w:eastAsia="Calibri" w:hAnsi="Calibri" w:cs="Arial"/>
          <w:u w:val="single"/>
          <w:rtl/>
        </w:rPr>
        <w:t>אמר אביי</w:t>
      </w:r>
      <w:r w:rsidRPr="001D49D4">
        <w:rPr>
          <w:rFonts w:ascii="Calibri" w:eastAsia="Calibri" w:hAnsi="Calibri" w:cs="Arial"/>
          <w:rtl/>
        </w:rPr>
        <w:t xml:space="preserve">: בשביעית בזמן הזה, ורבי היא, דתניא, רבי אומר: וזה דבר השמיטה שמוט - בשתי שמיטות הכתוב מדבר, אחת שמיטת קרקע ואחת שמיטת כספים, בזמן שאתה משמט קרקע - אתה משמט כספים, בזמן שאי אתה משמט קרקע - אי אתה משמט כספים, </w:t>
      </w:r>
      <w:r w:rsidRPr="001D49D4">
        <w:rPr>
          <w:rFonts w:ascii="Calibri" w:eastAsia="Calibri" w:hAnsi="Calibri" w:cs="Arial"/>
          <w:sz w:val="16"/>
          <w:szCs w:val="16"/>
          <w:rtl/>
        </w:rPr>
        <w:t xml:space="preserve">(לו:) </w:t>
      </w:r>
      <w:r w:rsidRPr="001D49D4">
        <w:rPr>
          <w:rFonts w:ascii="Calibri" w:eastAsia="Calibri" w:hAnsi="Calibri" w:cs="Arial"/>
          <w:rtl/>
        </w:rPr>
        <w:t xml:space="preserve">ותקינו רבנן דתשמט זכר לשביעית. ראה הלל שנמנעו העם מלהלוות זה את זה, עמד והתקין פרוסבול. ומי איכא מידי, דמדאורייתא לא משמטא שביעית, ותקינו רבנן דתשמט? </w:t>
      </w:r>
      <w:r w:rsidRPr="001D49D4">
        <w:rPr>
          <w:rFonts w:ascii="Calibri" w:eastAsia="Calibri" w:hAnsi="Calibri" w:cs="Arial"/>
          <w:u w:val="single"/>
          <w:rtl/>
        </w:rPr>
        <w:t>אמר אביי</w:t>
      </w:r>
      <w:r w:rsidRPr="001D49D4">
        <w:rPr>
          <w:rFonts w:ascii="Calibri" w:eastAsia="Calibri" w:hAnsi="Calibri" w:cs="Arial"/>
          <w:rtl/>
        </w:rPr>
        <w:t xml:space="preserve">: שב ואל תעשה הוא. </w:t>
      </w:r>
      <w:r w:rsidRPr="001D49D4">
        <w:rPr>
          <w:rFonts w:ascii="Calibri" w:eastAsia="Calibri" w:hAnsi="Calibri" w:cs="Arial"/>
          <w:u w:val="single"/>
          <w:rtl/>
        </w:rPr>
        <w:t>רבא אמר</w:t>
      </w:r>
      <w:r w:rsidRPr="001D49D4">
        <w:rPr>
          <w:rFonts w:ascii="Calibri" w:eastAsia="Calibri" w:hAnsi="Calibri" w:cs="Arial"/>
          <w:rtl/>
        </w:rPr>
        <w:t>: הפקר ב"ד הפקר</w:t>
      </w:r>
      <w:r w:rsidRPr="001D49D4">
        <w:rPr>
          <w:rFonts w:ascii="Calibri" w:eastAsia="Calibri" w:hAnsi="Calibri" w:cs="Arial"/>
          <w:vertAlign w:val="superscript"/>
          <w:rtl/>
        </w:rPr>
        <w:footnoteReference w:id="5341"/>
      </w:r>
      <w:r w:rsidRPr="001D49D4">
        <w:rPr>
          <w:rFonts w:ascii="Calibri" w:eastAsia="Calibri" w:hAnsi="Calibri" w:cs="Arial"/>
          <w:rtl/>
        </w:rPr>
        <w:t xml:space="preserve">. </w:t>
      </w:r>
      <w:r w:rsidRPr="001D49D4">
        <w:rPr>
          <w:rFonts w:ascii="Calibri" w:eastAsia="Calibri" w:hAnsi="Calibri" w:cs="Arial"/>
          <w:u w:val="single"/>
          <w:rtl/>
        </w:rPr>
        <w:t>דאמר ר' יצחק</w:t>
      </w:r>
      <w:r w:rsidRPr="001D49D4">
        <w:rPr>
          <w:rFonts w:ascii="Calibri" w:eastAsia="Calibri" w:hAnsi="Calibri" w:cs="Arial"/>
          <w:rtl/>
        </w:rPr>
        <w:t xml:space="preserve">: מנין שהפקר ב"ד היה הפקר? שנאמ': וכל אשר לא יבוא לשלשת הימים כעצת השרים והזקנים יחרם כל רכושו והוא יבדל מקהל הגולה. </w:t>
      </w:r>
      <w:r w:rsidRPr="001D49D4">
        <w:rPr>
          <w:rFonts w:ascii="Calibri" w:eastAsia="Calibri" w:hAnsi="Calibri" w:cs="Arial"/>
          <w:u w:val="single"/>
          <w:rtl/>
        </w:rPr>
        <w:t>רבי אליעזר אמר</w:t>
      </w:r>
      <w:r w:rsidRPr="001D49D4">
        <w:rPr>
          <w:rFonts w:ascii="Calibri" w:eastAsia="Calibri" w:hAnsi="Calibri" w:cs="Arial"/>
          <w:rtl/>
        </w:rPr>
        <w:t xml:space="preserve">: מהכא, אלה הנחלות אשר נחלו אלעזר הכהן ויהושע בן נון וראשי האבות וגו', וכי מה ענין ראשים אצל אבות? לומר לך, מה אבות מנחילין את בניהם כל מה שירצו, אף ראשים מנחילין העם כל מה שירצו... מאי פרוסבול? </w:t>
      </w:r>
      <w:r w:rsidRPr="001D49D4">
        <w:rPr>
          <w:rFonts w:ascii="Calibri" w:eastAsia="Calibri" w:hAnsi="Calibri" w:cs="Arial"/>
          <w:u w:val="single"/>
          <w:rtl/>
        </w:rPr>
        <w:t>אמר רב חסדא</w:t>
      </w:r>
      <w:r w:rsidRPr="001D49D4">
        <w:rPr>
          <w:rFonts w:ascii="Calibri" w:eastAsia="Calibri" w:hAnsi="Calibri" w:cs="Arial"/>
          <w:rtl/>
        </w:rPr>
        <w:t>: פרוס</w:t>
      </w:r>
      <w:r w:rsidRPr="001D49D4">
        <w:rPr>
          <w:rFonts w:ascii="Calibri" w:eastAsia="Calibri" w:hAnsi="Calibri" w:cs="Arial"/>
          <w:vertAlign w:val="superscript"/>
          <w:rtl/>
        </w:rPr>
        <w:footnoteReference w:id="5342"/>
      </w:r>
      <w:r w:rsidRPr="001D49D4">
        <w:rPr>
          <w:rFonts w:ascii="Calibri" w:eastAsia="Calibri" w:hAnsi="Calibri" w:cs="Arial"/>
          <w:rtl/>
        </w:rPr>
        <w:t xml:space="preserve"> בולי ובוטי</w:t>
      </w:r>
      <w:r w:rsidRPr="001D49D4">
        <w:rPr>
          <w:rFonts w:ascii="Calibri" w:eastAsia="Calibri" w:hAnsi="Calibri" w:cs="Arial"/>
          <w:vertAlign w:val="superscript"/>
          <w:rtl/>
        </w:rPr>
        <w:footnoteReference w:id="5343"/>
      </w:r>
      <w:r w:rsidRPr="001D49D4">
        <w:rPr>
          <w:rFonts w:ascii="Calibri" w:eastAsia="Calibri" w:hAnsi="Calibri" w:cs="Arial"/>
          <w:rtl/>
        </w:rPr>
        <w:t>,</w:t>
      </w:r>
      <w:r w:rsidRPr="001D49D4">
        <w:rPr>
          <w:rFonts w:ascii="Calibri" w:eastAsia="Calibri" w:hAnsi="Calibri" w:cs="Arial"/>
          <w:sz w:val="14"/>
          <w:szCs w:val="14"/>
          <w:rtl/>
        </w:rPr>
        <w:t xml:space="preserve"> (לז.)</w:t>
      </w:r>
      <w:r w:rsidRPr="001D49D4">
        <w:rPr>
          <w:rFonts w:ascii="Calibri" w:eastAsia="Calibri" w:hAnsi="Calibri" w:cs="Arial"/>
          <w:rtl/>
        </w:rPr>
        <w:t xml:space="preserve"> בולי - אלו עשירים, דכתיב: ושברתי את גאון עוזכם, ותני רב יוסף: אלו בולאות</w:t>
      </w:r>
      <w:r w:rsidRPr="001D49D4">
        <w:rPr>
          <w:rFonts w:ascii="Calibri" w:eastAsia="Calibri" w:hAnsi="Calibri" w:cs="Arial"/>
          <w:vertAlign w:val="superscript"/>
          <w:rtl/>
        </w:rPr>
        <w:footnoteReference w:id="5344"/>
      </w:r>
      <w:r w:rsidRPr="001D49D4">
        <w:rPr>
          <w:rFonts w:ascii="Calibri" w:eastAsia="Calibri" w:hAnsi="Calibri" w:cs="Arial"/>
          <w:rtl/>
        </w:rPr>
        <w:t xml:space="preserve"> שביהודה. בוטי - אלו העניים, דכתיב: העבט</w:t>
      </w:r>
      <w:r w:rsidRPr="001D49D4">
        <w:rPr>
          <w:rFonts w:ascii="Calibri" w:eastAsia="Calibri" w:hAnsi="Calibri" w:cs="Arial"/>
          <w:vertAlign w:val="superscript"/>
          <w:rtl/>
        </w:rPr>
        <w:footnoteReference w:id="5345"/>
      </w:r>
      <w:r w:rsidRPr="001D49D4">
        <w:rPr>
          <w:rFonts w:ascii="Calibri" w:eastAsia="Calibri" w:hAnsi="Calibri" w:cs="Arial"/>
          <w:rtl/>
        </w:rPr>
        <w:t xml:space="preserve"> תעביטנו. אמר ליה רבא ללעוזא</w:t>
      </w:r>
      <w:r w:rsidRPr="001D49D4">
        <w:rPr>
          <w:rFonts w:ascii="Calibri" w:eastAsia="Calibri" w:hAnsi="Calibri" w:cs="Arial"/>
          <w:vertAlign w:val="superscript"/>
          <w:rtl/>
        </w:rPr>
        <w:footnoteReference w:id="5346"/>
      </w:r>
      <w:r w:rsidRPr="001D49D4">
        <w:rPr>
          <w:rFonts w:ascii="Calibri" w:eastAsia="Calibri" w:hAnsi="Calibri" w:cs="Arial"/>
          <w:rtl/>
        </w:rPr>
        <w:t>: מאי פרוסבול? א"ל: פורסא דמילתא.</w:t>
      </w:r>
    </w:p>
    <w:p w14:paraId="4492308E" w14:textId="77777777" w:rsidR="001D49D4" w:rsidRPr="001D49D4" w:rsidRDefault="001D49D4" w:rsidP="0004348D">
      <w:pPr>
        <w:spacing w:before="360" w:after="240"/>
        <w:rPr>
          <w:rFonts w:ascii="Calibri" w:eastAsia="Calibri" w:hAnsi="Calibri" w:cs="Arial"/>
          <w:sz w:val="14"/>
          <w:szCs w:val="14"/>
          <w:u w:val="single"/>
          <w:rtl/>
        </w:rPr>
      </w:pPr>
      <w:r w:rsidRPr="001D49D4">
        <w:rPr>
          <w:rFonts w:ascii="Calibri" w:eastAsia="Calibri" w:hAnsi="Calibri" w:cs="Arial"/>
          <w:u w:val="single"/>
          <w:rtl/>
        </w:rPr>
        <w:t>מלוה שעשה פרוזבול:</w:t>
      </w:r>
    </w:p>
    <w:p w14:paraId="375D91A7" w14:textId="77777777" w:rsidR="001D49D4" w:rsidRPr="001D49D4" w:rsidRDefault="001D49D4" w:rsidP="0004348D">
      <w:pPr>
        <w:numPr>
          <w:ilvl w:val="0"/>
          <w:numId w:val="347"/>
        </w:numPr>
        <w:spacing w:before="360" w:after="240"/>
        <w:contextualSpacing/>
        <w:rPr>
          <w:rFonts w:ascii="Calibri" w:eastAsia="Calibri" w:hAnsi="Calibri" w:cs="Arial"/>
          <w:rtl/>
        </w:rPr>
      </w:pPr>
      <w:r w:rsidRPr="001D49D4">
        <w:rPr>
          <w:rFonts w:ascii="Calibri" w:eastAsia="Calibri" w:hAnsi="Calibri" w:cs="Arial"/>
          <w:rtl/>
        </w:rPr>
        <w:t xml:space="preserve">טור- יש לו פרוזבול אינה משמטת. </w:t>
      </w:r>
      <w:r w:rsidRPr="001D49D4">
        <w:rPr>
          <w:rFonts w:ascii="Calibri" w:eastAsia="Calibri" w:hAnsi="Calibri" w:cs="Arial"/>
          <w:color w:val="E36C0A" w:themeColor="accent6" w:themeShade="BF"/>
          <w:rtl/>
        </w:rPr>
        <w:t>(וכ"פ בשו"ע)</w:t>
      </w:r>
    </w:p>
    <w:p w14:paraId="1BA973E2"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b/>
          <w:bCs/>
          <w:rtl/>
        </w:rPr>
        <w:t xml:space="preserve">גיטין </w:t>
      </w:r>
      <w:r w:rsidRPr="001D49D4">
        <w:rPr>
          <w:rFonts w:ascii="Calibri" w:eastAsia="Calibri" w:hAnsi="Calibri" w:cs="Arial"/>
          <w:b/>
          <w:bCs/>
          <w:sz w:val="16"/>
          <w:szCs w:val="16"/>
          <w:rtl/>
        </w:rPr>
        <w:t xml:space="preserve">(פרק השולח) </w:t>
      </w:r>
      <w:r w:rsidRPr="001D49D4">
        <w:rPr>
          <w:rFonts w:ascii="Calibri" w:eastAsia="Calibri" w:hAnsi="Calibri" w:cs="Arial"/>
          <w:b/>
          <w:bCs/>
          <w:rtl/>
        </w:rPr>
        <w:t>לו ע"ב:</w:t>
      </w:r>
      <w:r w:rsidRPr="001D49D4">
        <w:rPr>
          <w:rFonts w:ascii="Calibri" w:eastAsia="Calibri" w:hAnsi="Calibri" w:cs="Arial"/>
          <w:rtl/>
        </w:rPr>
        <w:t xml:space="preserve"> איבעיא להו: כי התקין הלל פרוסבול - לדריה הוא דתקין, או דלמא לדרי עלמא נמי תקין? למאי נפקא מינה? לבטוליה, אי אמרת לדריה הוא דתקין - מבטלינן ליה. אלא אי אמרת לדרי עלמא נמי תקין - הא אין בית דין יכול לבטל דברי בית דין חברו אלא א"כ גדול הימנו בחכמה ובמנין. מאי? ת"ש, </w:t>
      </w:r>
      <w:r w:rsidRPr="001D49D4">
        <w:rPr>
          <w:rFonts w:ascii="Calibri" w:eastAsia="Calibri" w:hAnsi="Calibri" w:cs="Arial"/>
          <w:u w:val="single"/>
          <w:rtl/>
        </w:rPr>
        <w:t>דאמר שמואל</w:t>
      </w:r>
      <w:r w:rsidRPr="001D49D4">
        <w:rPr>
          <w:rFonts w:ascii="Calibri" w:eastAsia="Calibri" w:hAnsi="Calibri" w:cs="Arial"/>
          <w:rtl/>
        </w:rPr>
        <w:t xml:space="preserve">: לא כתבינן פרוסבול אלא אי בבי דינא דסורא אי בבי דינא דנהרדעא, ואי סלקא דעתך לדרי עלמא נמי תקין, בשאר בי דינא נמי לכתבו! דלמא כי תקין הלל לדרי עלמא - כגון בי דינא דידיה, וכרב אמי ורב אסי, דאלימי לאפקועי ממונא, אבל לכולי עלמא לא. ת"ש, </w:t>
      </w:r>
      <w:r w:rsidRPr="001D49D4">
        <w:rPr>
          <w:rFonts w:ascii="Calibri" w:eastAsia="Calibri" w:hAnsi="Calibri" w:cs="Arial"/>
          <w:u w:val="single"/>
          <w:rtl/>
        </w:rPr>
        <w:t>דאמר שמואל</w:t>
      </w:r>
      <w:r w:rsidRPr="001D49D4">
        <w:rPr>
          <w:rFonts w:ascii="Calibri" w:eastAsia="Calibri" w:hAnsi="Calibri" w:cs="Arial"/>
          <w:rtl/>
        </w:rPr>
        <w:t>: הא פרוסבלא - עולבנא דדייני הוא</w:t>
      </w:r>
      <w:r w:rsidRPr="001D49D4">
        <w:rPr>
          <w:rFonts w:ascii="Calibri" w:eastAsia="Calibri" w:hAnsi="Calibri" w:cs="Arial"/>
          <w:vertAlign w:val="superscript"/>
          <w:rtl/>
        </w:rPr>
        <w:footnoteReference w:id="5347"/>
      </w:r>
      <w:r w:rsidRPr="001D49D4">
        <w:rPr>
          <w:rFonts w:ascii="Calibri" w:eastAsia="Calibri" w:hAnsi="Calibri" w:cs="Arial"/>
          <w:rtl/>
        </w:rPr>
        <w:t xml:space="preserve">, אי איישר חיל אבטליני'. אבטליני'? והא אין ב"ד יכול לבטל דברי ב"ד חברו - אלא א"כ גדול הימנו בחכמה ובמנין! הכי קאמר: אם איישר חיל יותר מהלל אבטליניה. </w:t>
      </w:r>
      <w:r w:rsidRPr="001D49D4">
        <w:rPr>
          <w:rFonts w:ascii="Calibri" w:eastAsia="Calibri" w:hAnsi="Calibri" w:cs="Arial"/>
          <w:u w:val="single"/>
          <w:rtl/>
        </w:rPr>
        <w:t>ורב נחמן אמר</w:t>
      </w:r>
      <w:r w:rsidRPr="001D49D4">
        <w:rPr>
          <w:rFonts w:ascii="Calibri" w:eastAsia="Calibri" w:hAnsi="Calibri" w:cs="Arial"/>
          <w:rtl/>
        </w:rPr>
        <w:t>: אקיימנה. אקיימנה? הא מיקיים וקאי! הכי קאמר: אימא ביה מילתא</w:t>
      </w:r>
      <w:r w:rsidRPr="001D49D4">
        <w:rPr>
          <w:rFonts w:ascii="Calibri" w:eastAsia="Calibri" w:hAnsi="Calibri" w:cs="Arial"/>
          <w:vertAlign w:val="superscript"/>
          <w:rtl/>
        </w:rPr>
        <w:footnoteReference w:id="5348"/>
      </w:r>
      <w:r w:rsidRPr="001D49D4">
        <w:rPr>
          <w:rFonts w:ascii="Calibri" w:eastAsia="Calibri" w:hAnsi="Calibri" w:cs="Arial"/>
          <w:rtl/>
        </w:rPr>
        <w:t>, דאע"ג דלא כתוב ככתוב דמי</w:t>
      </w:r>
      <w:r w:rsidRPr="001D49D4">
        <w:rPr>
          <w:rFonts w:ascii="Calibri" w:eastAsia="Calibri" w:hAnsi="Calibri" w:cs="Arial"/>
          <w:vertAlign w:val="superscript"/>
          <w:rtl/>
        </w:rPr>
        <w:footnoteReference w:id="5349"/>
      </w:r>
      <w:r w:rsidRPr="001D49D4">
        <w:rPr>
          <w:rFonts w:ascii="Calibri" w:eastAsia="Calibri" w:hAnsi="Calibri" w:cs="Arial"/>
          <w:rtl/>
        </w:rPr>
        <w:t xml:space="preserve">... </w:t>
      </w:r>
      <w:r w:rsidRPr="001D49D4">
        <w:rPr>
          <w:rFonts w:ascii="Calibri" w:eastAsia="Calibri" w:hAnsi="Calibri" w:cs="Arial"/>
          <w:sz w:val="14"/>
          <w:szCs w:val="14"/>
          <w:rtl/>
        </w:rPr>
        <w:t xml:space="preserve">(לז.) </w:t>
      </w:r>
      <w:r w:rsidRPr="001D49D4">
        <w:rPr>
          <w:rFonts w:ascii="Calibri" w:eastAsia="Calibri" w:hAnsi="Calibri" w:cs="Arial"/>
          <w:rtl/>
        </w:rPr>
        <w:t>רבנן דבי רב אשי מסרי מילייהו להדדי. רבי יונתן מסר מילי לר' חייא בר אבא, אמר ליה: צריכנא מידי אחרינא? אמר ליה: לא צריכת.</w:t>
      </w:r>
    </w:p>
    <w:p w14:paraId="4ECF7221" w14:textId="77777777" w:rsidR="001D49D4" w:rsidRPr="001D49D4" w:rsidRDefault="001D49D4" w:rsidP="0004348D">
      <w:pPr>
        <w:spacing w:before="360" w:after="240"/>
        <w:rPr>
          <w:rFonts w:ascii="Calibri" w:eastAsia="Calibri" w:hAnsi="Calibri" w:cs="Arial"/>
          <w:u w:val="single"/>
          <w:rtl/>
        </w:rPr>
      </w:pPr>
      <w:r w:rsidRPr="001D49D4">
        <w:rPr>
          <w:rFonts w:ascii="Calibri" w:eastAsia="Calibri" w:hAnsi="Calibri" w:cs="Arial"/>
          <w:u w:val="single"/>
          <w:rtl/>
        </w:rPr>
        <w:t>איזה בית דין יכול לכתוב פרוזבול:</w:t>
      </w:r>
    </w:p>
    <w:p w14:paraId="075A2B57" w14:textId="77777777" w:rsidR="001D49D4" w:rsidRPr="001D49D4" w:rsidRDefault="001D49D4" w:rsidP="0004348D">
      <w:pPr>
        <w:numPr>
          <w:ilvl w:val="0"/>
          <w:numId w:val="347"/>
        </w:numPr>
        <w:spacing w:before="360" w:after="240"/>
        <w:contextualSpacing/>
        <w:rPr>
          <w:rFonts w:ascii="Calibri" w:eastAsia="Calibri" w:hAnsi="Calibri" w:cs="Arial"/>
          <w:rtl/>
        </w:rPr>
      </w:pPr>
      <w:r w:rsidRPr="001D49D4">
        <w:rPr>
          <w:rFonts w:ascii="Calibri" w:eastAsia="Calibri" w:hAnsi="Calibri" w:cs="Arial"/>
          <w:rtl/>
        </w:rPr>
        <w:t>רי"ף רמב"ן מהר"ם</w:t>
      </w:r>
      <w:r w:rsidRPr="001D49D4">
        <w:rPr>
          <w:rFonts w:ascii="Calibri" w:eastAsia="Calibri" w:hAnsi="Calibri" w:cs="Arial"/>
          <w:vertAlign w:val="superscript"/>
          <w:rtl/>
        </w:rPr>
        <w:footnoteReference w:id="5350"/>
      </w:r>
      <w:r w:rsidRPr="001D49D4">
        <w:rPr>
          <w:rFonts w:ascii="Calibri" w:eastAsia="Calibri" w:hAnsi="Calibri" w:cs="Arial"/>
          <w:sz w:val="16"/>
          <w:szCs w:val="16"/>
          <w:rtl/>
        </w:rPr>
        <w:t xml:space="preserve"> </w:t>
      </w:r>
      <w:r w:rsidRPr="001D49D4">
        <w:rPr>
          <w:rFonts w:ascii="Calibri" w:eastAsia="Calibri" w:hAnsi="Calibri" w:cs="Arial"/>
          <w:rtl/>
        </w:rPr>
        <w:t>מרדכי רשב"א</w:t>
      </w:r>
      <w:r w:rsidRPr="001D49D4">
        <w:rPr>
          <w:rFonts w:ascii="Calibri" w:eastAsia="Calibri" w:hAnsi="Calibri" w:cs="Arial"/>
          <w:vertAlign w:val="superscript"/>
          <w:rtl/>
        </w:rPr>
        <w:footnoteReference w:id="5351"/>
      </w:r>
      <w:r w:rsidRPr="001D49D4">
        <w:rPr>
          <w:rFonts w:ascii="Calibri" w:eastAsia="Calibri" w:hAnsi="Calibri" w:cs="Arial"/>
          <w:rtl/>
        </w:rPr>
        <w:t xml:space="preserve"> רא"ש</w:t>
      </w:r>
      <w:r w:rsidRPr="001D49D4">
        <w:rPr>
          <w:rFonts w:ascii="Calibri" w:eastAsia="Calibri" w:hAnsi="Calibri" w:cs="Arial"/>
          <w:vertAlign w:val="superscript"/>
          <w:rtl/>
        </w:rPr>
        <w:footnoteReference w:id="5352"/>
      </w:r>
      <w:r w:rsidRPr="001D49D4">
        <w:rPr>
          <w:rFonts w:ascii="Calibri" w:eastAsia="Calibri" w:hAnsi="Calibri" w:cs="Arial"/>
          <w:rtl/>
        </w:rPr>
        <w:t xml:space="preserve"> וטור</w:t>
      </w:r>
      <w:r w:rsidRPr="001D49D4">
        <w:rPr>
          <w:rFonts w:ascii="Calibri" w:eastAsia="Calibri" w:hAnsi="Calibri" w:cs="Arial"/>
          <w:vertAlign w:val="superscript"/>
          <w:rtl/>
        </w:rPr>
        <w:footnoteReference w:id="5353"/>
      </w:r>
      <w:r w:rsidRPr="001D49D4">
        <w:rPr>
          <w:rFonts w:ascii="Calibri" w:eastAsia="Calibri" w:hAnsi="Calibri" w:cs="Arial"/>
          <w:rtl/>
        </w:rPr>
        <w:t>- כותבין אותו אפילו בזמן הזה בכל ב"ד, דלית הלכתא כשמואל דאמר אין כותבין אותו אלא בבי דינא דסורא ודנהרדעא</w:t>
      </w:r>
      <w:r w:rsidRPr="001D49D4">
        <w:rPr>
          <w:rFonts w:ascii="Calibri" w:eastAsia="Calibri" w:hAnsi="Calibri" w:cs="Arial"/>
          <w:vertAlign w:val="superscript"/>
          <w:rtl/>
        </w:rPr>
        <w:footnoteReference w:id="5354"/>
      </w:r>
      <w:r w:rsidRPr="001D49D4">
        <w:rPr>
          <w:rFonts w:ascii="Calibri" w:eastAsia="Calibri" w:hAnsi="Calibri" w:cs="Arial"/>
          <w:rtl/>
        </w:rPr>
        <w:t>... אלא בכל בית דין וב"ד יכולין לכתבו</w:t>
      </w:r>
      <w:r w:rsidRPr="001D49D4">
        <w:rPr>
          <w:rFonts w:ascii="Calibri" w:eastAsia="Calibri" w:hAnsi="Calibri" w:cs="Arial"/>
          <w:sz w:val="16"/>
          <w:szCs w:val="16"/>
          <w:rtl/>
        </w:rPr>
        <w:t xml:space="preserve"> (ל' הטור)</w:t>
      </w:r>
      <w:r w:rsidRPr="001D49D4">
        <w:rPr>
          <w:rFonts w:ascii="Calibri" w:eastAsia="Calibri" w:hAnsi="Calibri" w:cs="Arial"/>
          <w:rtl/>
        </w:rPr>
        <w:t xml:space="preserve">. </w:t>
      </w:r>
      <w:r w:rsidRPr="001D49D4">
        <w:rPr>
          <w:rFonts w:ascii="Calibri" w:eastAsia="Calibri" w:hAnsi="Calibri" w:cs="Arial"/>
          <w:color w:val="00B0F0"/>
          <w:rtl/>
        </w:rPr>
        <w:t>(וכ"פ הרמ"א)</w:t>
      </w:r>
    </w:p>
    <w:p w14:paraId="293D69CB" w14:textId="77777777" w:rsidR="001D49D4" w:rsidRPr="001D49D4" w:rsidRDefault="001D49D4" w:rsidP="0004348D">
      <w:pPr>
        <w:numPr>
          <w:ilvl w:val="0"/>
          <w:numId w:val="347"/>
        </w:numPr>
        <w:spacing w:before="360" w:after="240"/>
        <w:contextualSpacing/>
        <w:rPr>
          <w:rFonts w:ascii="Calibri" w:eastAsia="Calibri" w:hAnsi="Calibri" w:cs="Arial"/>
        </w:rPr>
      </w:pPr>
      <w:r w:rsidRPr="001D49D4">
        <w:rPr>
          <w:rFonts w:ascii="Calibri" w:eastAsia="Calibri" w:hAnsi="Calibri" w:cs="Arial"/>
          <w:rtl/>
        </w:rPr>
        <w:t xml:space="preserve">בעל התרומות </w:t>
      </w:r>
      <w:r w:rsidRPr="001D49D4">
        <w:rPr>
          <w:rFonts w:ascii="Calibri" w:eastAsia="Calibri" w:hAnsi="Calibri" w:cs="Arial"/>
          <w:sz w:val="16"/>
          <w:szCs w:val="16"/>
          <w:rtl/>
        </w:rPr>
        <w:t>(שער מה סי' טז)</w:t>
      </w:r>
      <w:r w:rsidRPr="001D49D4">
        <w:rPr>
          <w:rFonts w:ascii="Calibri" w:eastAsia="Calibri" w:hAnsi="Calibri" w:cs="Arial"/>
          <w:rtl/>
        </w:rPr>
        <w:t xml:space="preserve">- </w:t>
      </w:r>
      <w:r w:rsidRPr="001D49D4">
        <w:rPr>
          <w:rFonts w:ascii="Calibri" w:eastAsia="Calibri" w:hAnsi="Calibri" w:cs="Arial"/>
          <w:vertAlign w:val="superscript"/>
          <w:rtl/>
        </w:rPr>
        <w:footnoteReference w:id="5355"/>
      </w:r>
      <w:r w:rsidRPr="001D49D4">
        <w:rPr>
          <w:rFonts w:ascii="Calibri" w:eastAsia="Calibri" w:hAnsi="Calibri" w:cs="Arial"/>
          <w:rtl/>
        </w:rPr>
        <w:t>כל שלשה בקיאין בדין ובענין פרוזבול ויודעים מצות שמטה והמחום רבים עליהם באותה העיר שהם דרים בה - הרי הם באותה העיר ובאותו זמן כבי דינא דרב אסי, וראויים להפקיע ממון בני עירם כתקנתם הנראה להם כמו הם בדורם.</w:t>
      </w:r>
      <w:r w:rsidRPr="001D49D4">
        <w:rPr>
          <w:rFonts w:ascii="Calibri" w:eastAsia="Calibri" w:hAnsi="Calibri" w:cs="Arial"/>
          <w:color w:val="E36C0A" w:themeColor="accent6" w:themeShade="BF"/>
          <w:rtl/>
        </w:rPr>
        <w:t xml:space="preserve"> (וכ"פ בשו"ע)</w:t>
      </w:r>
    </w:p>
    <w:p w14:paraId="34106BA3" w14:textId="77777777" w:rsidR="001D49D4" w:rsidRPr="001D49D4" w:rsidRDefault="001D49D4" w:rsidP="0004348D">
      <w:pPr>
        <w:numPr>
          <w:ilvl w:val="0"/>
          <w:numId w:val="347"/>
        </w:numPr>
        <w:spacing w:before="360" w:after="240"/>
        <w:contextualSpacing/>
        <w:rPr>
          <w:rFonts w:ascii="Calibri" w:eastAsia="Calibri" w:hAnsi="Calibri" w:cs="Arial"/>
        </w:rPr>
      </w:pPr>
      <w:r w:rsidRPr="001D49D4">
        <w:rPr>
          <w:rFonts w:ascii="Calibri" w:eastAsia="Calibri" w:hAnsi="Calibri" w:cs="Arial"/>
          <w:rtl/>
        </w:rPr>
        <w:t>ר"ת רמב"ם</w:t>
      </w:r>
      <w:r w:rsidRPr="001D49D4">
        <w:rPr>
          <w:rFonts w:ascii="Calibri" w:eastAsia="Calibri" w:hAnsi="Calibri" w:cs="Arial"/>
          <w:vertAlign w:val="superscript"/>
          <w:rtl/>
        </w:rPr>
        <w:footnoteReference w:id="5356"/>
      </w:r>
      <w:r w:rsidRPr="001D49D4">
        <w:rPr>
          <w:rFonts w:ascii="Calibri" w:eastAsia="Calibri" w:hAnsi="Calibri" w:cs="Arial"/>
          <w:rtl/>
        </w:rPr>
        <w:t xml:space="preserve"> ור"ן</w:t>
      </w:r>
      <w:r w:rsidRPr="001D49D4">
        <w:rPr>
          <w:rFonts w:ascii="Calibri" w:eastAsia="Calibri" w:hAnsi="Calibri" w:cs="Arial"/>
          <w:vertAlign w:val="superscript"/>
          <w:rtl/>
        </w:rPr>
        <w:footnoteReference w:id="5357"/>
      </w:r>
      <w:r w:rsidRPr="001D49D4">
        <w:rPr>
          <w:rFonts w:ascii="Calibri" w:eastAsia="Calibri" w:hAnsi="Calibri" w:cs="Arial"/>
          <w:rtl/>
        </w:rPr>
        <w:t xml:space="preserve">- </w:t>
      </w:r>
      <w:r w:rsidRPr="001D49D4">
        <w:rPr>
          <w:rFonts w:ascii="Calibri" w:eastAsia="Calibri" w:hAnsi="Calibri" w:cs="Arial"/>
          <w:vertAlign w:val="superscript"/>
          <w:rtl/>
        </w:rPr>
        <w:footnoteReference w:id="5358"/>
      </w:r>
      <w:r w:rsidRPr="001D49D4">
        <w:rPr>
          <w:rFonts w:ascii="Calibri" w:eastAsia="Calibri" w:hAnsi="Calibri" w:cs="Arial"/>
          <w:rtl/>
        </w:rPr>
        <w:t>לא בעינן אלא ב"ד חשוב שבדור</w:t>
      </w:r>
      <w:r w:rsidRPr="001D49D4">
        <w:rPr>
          <w:rFonts w:ascii="Calibri" w:eastAsia="Calibri" w:hAnsi="Calibri" w:cs="Arial"/>
          <w:sz w:val="16"/>
          <w:szCs w:val="16"/>
          <w:rtl/>
        </w:rPr>
        <w:t xml:space="preserve"> (ל' התוס' בשם ר"ת)</w:t>
      </w:r>
      <w:r w:rsidRPr="001D49D4">
        <w:rPr>
          <w:rFonts w:ascii="Calibri" w:eastAsia="Calibri" w:hAnsi="Calibri" w:cs="Arial"/>
          <w:rtl/>
        </w:rPr>
        <w:t>.</w:t>
      </w:r>
      <w:r w:rsidRPr="001D49D4">
        <w:rPr>
          <w:rFonts w:ascii="Calibri" w:eastAsia="Calibri" w:hAnsi="Calibri" w:cs="Arial"/>
          <w:color w:val="E36C0A" w:themeColor="accent6" w:themeShade="BF"/>
          <w:rtl/>
        </w:rPr>
        <w:t xml:space="preserve"> </w:t>
      </w:r>
    </w:p>
    <w:p w14:paraId="74FE0C5A" w14:textId="77777777" w:rsidR="001D49D4" w:rsidRPr="001D49D4" w:rsidRDefault="001D49D4" w:rsidP="0004348D">
      <w:pPr>
        <w:spacing w:before="360" w:after="240"/>
        <w:rPr>
          <w:rFonts w:ascii="Arial" w:eastAsia="Calibri" w:hAnsi="Arial" w:cs="Arial"/>
          <w:b/>
          <w:bCs/>
          <w:color w:val="000000"/>
          <w:sz w:val="28"/>
          <w:szCs w:val="28"/>
          <w:u w:val="single"/>
        </w:rPr>
      </w:pPr>
      <w:r w:rsidRPr="001D49D4">
        <w:rPr>
          <w:rFonts w:ascii="Arial" w:eastAsia="Calibri" w:hAnsi="Arial" w:cs="Arial"/>
          <w:b/>
          <w:bCs/>
          <w:color w:val="000000"/>
          <w:sz w:val="28"/>
          <w:szCs w:val="28"/>
          <w:u w:val="single"/>
          <w:rtl/>
        </w:rPr>
        <w:t>שו"ע:</w:t>
      </w:r>
    </w:p>
    <w:p w14:paraId="512CC51E"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rtl/>
        </w:rPr>
        <w:t xml:space="preserve">פרוזבול אינו משמט. ואינו נכתב אלא בבית דין חשוב, דהיינו שלשה בקיאים בדין ובענין פרוזבול ויודעים ענין שמיטה והמחום רבים עליהם באותה העיר. </w:t>
      </w:r>
      <w:r w:rsidRPr="001D49D4">
        <w:rPr>
          <w:rFonts w:ascii="Calibri" w:eastAsia="Calibri" w:hAnsi="Calibri" w:cs="Arial"/>
          <w:sz w:val="18"/>
          <w:szCs w:val="18"/>
          <w:rtl/>
        </w:rPr>
        <w:t xml:space="preserve">[הגה] וי"א דכותבין פרוזבול בכל בית דין </w:t>
      </w:r>
      <w:r w:rsidRPr="001D49D4">
        <w:rPr>
          <w:rFonts w:ascii="Calibri" w:eastAsia="Calibri" w:hAnsi="Calibri" w:cs="Arial"/>
          <w:sz w:val="16"/>
          <w:szCs w:val="16"/>
          <w:rtl/>
        </w:rPr>
        <w:t>(טור וב"י בשם הפוסקים)</w:t>
      </w:r>
      <w:r w:rsidRPr="001D49D4">
        <w:rPr>
          <w:rFonts w:ascii="Calibri" w:eastAsia="Calibri" w:hAnsi="Calibri" w:cs="Arial"/>
          <w:sz w:val="18"/>
          <w:szCs w:val="18"/>
          <w:rtl/>
        </w:rPr>
        <w:t>, ונראה לי דיש להקל בזמן הזה</w:t>
      </w:r>
      <w:r w:rsidRPr="001D49D4">
        <w:rPr>
          <w:rFonts w:ascii="Calibri" w:eastAsia="Calibri" w:hAnsi="Calibri" w:cs="Arial"/>
          <w:sz w:val="18"/>
          <w:szCs w:val="18"/>
          <w:vertAlign w:val="superscript"/>
          <w:rtl/>
        </w:rPr>
        <w:footnoteReference w:id="5359"/>
      </w:r>
      <w:r w:rsidRPr="001D49D4">
        <w:rPr>
          <w:rFonts w:ascii="Calibri" w:eastAsia="Calibri" w:hAnsi="Calibri" w:cs="Arial"/>
          <w:sz w:val="18"/>
          <w:szCs w:val="18"/>
          <w:rtl/>
        </w:rPr>
        <w:t xml:space="preserve">. </w:t>
      </w:r>
    </w:p>
    <w:p w14:paraId="3D92E372" w14:textId="77777777" w:rsidR="001D49D4" w:rsidRPr="001D49D4" w:rsidRDefault="001D49D4" w:rsidP="0004348D">
      <w:pPr>
        <w:spacing w:before="360" w:after="240"/>
        <w:rPr>
          <w:rFonts w:ascii="Calibri" w:eastAsia="Calibri" w:hAnsi="Calibri" w:cs="Arial"/>
          <w:rtl/>
        </w:rPr>
      </w:pPr>
    </w:p>
    <w:p w14:paraId="472C5432" w14:textId="77777777" w:rsidR="001D49D4" w:rsidRPr="001D49D4" w:rsidRDefault="001D49D4" w:rsidP="0004348D">
      <w:pPr>
        <w:keepNext/>
        <w:keepLines/>
        <w:spacing w:before="360" w:after="240"/>
        <w:outlineLvl w:val="1"/>
        <w:rPr>
          <w:rFonts w:ascii="Cambria" w:eastAsia="Times New Roman" w:hAnsi="Cambria" w:cs="Arial"/>
          <w:bCs/>
          <w:color w:val="548DD4" w:themeColor="text2" w:themeTint="99"/>
          <w:sz w:val="26"/>
          <w:szCs w:val="26"/>
          <w:rtl/>
        </w:rPr>
      </w:pPr>
      <w:bookmarkStart w:id="750" w:name="_Toc24884156"/>
      <w:r w:rsidRPr="001D49D4">
        <w:rPr>
          <w:rFonts w:ascii="Cambria" w:eastAsia="Times New Roman" w:hAnsi="Cambria" w:cs="Arial"/>
          <w:bCs/>
          <w:color w:val="548DD4" w:themeColor="text2" w:themeTint="99"/>
          <w:sz w:val="26"/>
          <w:szCs w:val="26"/>
          <w:rtl/>
        </w:rPr>
        <w:t>סעיף יט: נוסח הפרוזבול.</w:t>
      </w:r>
      <w:bookmarkEnd w:id="750"/>
    </w:p>
    <w:p w14:paraId="0AA6DC75"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b/>
          <w:bCs/>
          <w:rtl/>
        </w:rPr>
        <w:t xml:space="preserve">משנה שביעית פ"י מ"ד: </w:t>
      </w:r>
      <w:r w:rsidRPr="001D49D4">
        <w:rPr>
          <w:rFonts w:ascii="Calibri" w:eastAsia="Calibri" w:hAnsi="Calibri" w:cs="Arial"/>
          <w:rtl/>
        </w:rPr>
        <w:t>זהו גופו של פרוזבול מוסר אני לכם איש פלוני ופלוני הדיינים שבמקום פלוני שכל חוב שיש לי שאגבנו כ"ז שארצה והדיינים חותמין למטה או העדים.</w:t>
      </w:r>
    </w:p>
    <w:p w14:paraId="3E642342"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b/>
          <w:bCs/>
          <w:rtl/>
        </w:rPr>
        <w:t xml:space="preserve">גיטין </w:t>
      </w:r>
      <w:r w:rsidRPr="001D49D4">
        <w:rPr>
          <w:rFonts w:ascii="Calibri" w:eastAsia="Calibri" w:hAnsi="Calibri" w:cs="Arial"/>
          <w:b/>
          <w:bCs/>
          <w:sz w:val="16"/>
          <w:szCs w:val="16"/>
          <w:rtl/>
        </w:rPr>
        <w:t>(ר"פ השולח)</w:t>
      </w:r>
      <w:r w:rsidRPr="001D49D4">
        <w:rPr>
          <w:rFonts w:ascii="Calibri" w:eastAsia="Calibri" w:hAnsi="Calibri" w:cs="Arial"/>
          <w:b/>
          <w:bCs/>
          <w:rtl/>
        </w:rPr>
        <w:t xml:space="preserve"> לב</w:t>
      </w:r>
      <w:r w:rsidRPr="001D49D4">
        <w:rPr>
          <w:rFonts w:ascii="Calibri" w:eastAsia="Calibri" w:hAnsi="Calibri" w:cs="Arial"/>
          <w:b/>
          <w:bCs/>
          <w:vertAlign w:val="superscript"/>
          <w:rtl/>
        </w:rPr>
        <w:footnoteReference w:id="5360"/>
      </w:r>
      <w:r w:rsidRPr="001D49D4">
        <w:rPr>
          <w:rFonts w:ascii="Calibri" w:eastAsia="Calibri" w:hAnsi="Calibri" w:cs="Arial"/>
          <w:b/>
          <w:bCs/>
          <w:rtl/>
        </w:rPr>
        <w:t xml:space="preserve"> ע"א:</w:t>
      </w:r>
      <w:r w:rsidRPr="001D49D4">
        <w:rPr>
          <w:rFonts w:ascii="Calibri" w:eastAsia="Calibri" w:hAnsi="Calibri" w:cs="Arial"/>
          <w:rtl/>
        </w:rPr>
        <w:t xml:space="preserve"> </w:t>
      </w:r>
      <w:r w:rsidRPr="001D49D4">
        <w:rPr>
          <w:rFonts w:ascii="Calibri" w:eastAsia="Calibri" w:hAnsi="Calibri" w:cs="Arial"/>
          <w:u w:val="double"/>
          <w:rtl/>
        </w:rPr>
        <w:t>מתני':</w:t>
      </w:r>
      <w:r w:rsidRPr="001D49D4">
        <w:rPr>
          <w:rFonts w:ascii="Calibri" w:eastAsia="Calibri" w:hAnsi="Calibri" w:cs="Arial"/>
          <w:rtl/>
        </w:rPr>
        <w:t xml:space="preserve"> בראשונה</w:t>
      </w:r>
      <w:r w:rsidRPr="001D49D4">
        <w:rPr>
          <w:rFonts w:ascii="Calibri" w:eastAsia="Calibri" w:hAnsi="Calibri" w:cs="Arial"/>
          <w:vertAlign w:val="superscript"/>
          <w:rtl/>
        </w:rPr>
        <w:footnoteReference w:id="5361"/>
      </w:r>
      <w:r w:rsidRPr="001D49D4">
        <w:rPr>
          <w:rFonts w:ascii="Calibri" w:eastAsia="Calibri" w:hAnsi="Calibri" w:cs="Arial"/>
          <w:rtl/>
        </w:rPr>
        <w:t xml:space="preserve"> היה עושה ב"ד ממקום אחר ומבטלו, התקין רבן גמליאל הזקן שלא יהו עושין כן, מפני תיקון העולם</w:t>
      </w:r>
      <w:r w:rsidRPr="001D49D4">
        <w:rPr>
          <w:rFonts w:ascii="Calibri" w:eastAsia="Calibri" w:hAnsi="Calibri" w:cs="Arial"/>
          <w:vertAlign w:val="superscript"/>
          <w:rtl/>
        </w:rPr>
        <w:footnoteReference w:id="5362"/>
      </w:r>
      <w:r w:rsidRPr="001D49D4">
        <w:rPr>
          <w:rFonts w:ascii="Calibri" w:eastAsia="Calibri" w:hAnsi="Calibri" w:cs="Arial"/>
          <w:rtl/>
        </w:rPr>
        <w:t xml:space="preserve">.    </w:t>
      </w:r>
      <w:r w:rsidRPr="001D49D4">
        <w:rPr>
          <w:rFonts w:ascii="Calibri" w:eastAsia="Calibri" w:hAnsi="Calibri" w:cs="Arial"/>
          <w:u w:val="double"/>
          <w:rtl/>
        </w:rPr>
        <w:t>גמ'</w:t>
      </w:r>
      <w:r w:rsidRPr="001D49D4">
        <w:rPr>
          <w:rFonts w:ascii="Calibri" w:eastAsia="Calibri" w:hAnsi="Calibri" w:cs="Arial"/>
          <w:sz w:val="14"/>
          <w:szCs w:val="14"/>
          <w:u w:val="double"/>
          <w:rtl/>
        </w:rPr>
        <w:t xml:space="preserve"> (לב:)</w:t>
      </w:r>
      <w:r w:rsidRPr="001D49D4">
        <w:rPr>
          <w:rFonts w:ascii="Calibri" w:eastAsia="Calibri" w:hAnsi="Calibri" w:cs="Arial"/>
          <w:u w:val="double"/>
          <w:rtl/>
        </w:rPr>
        <w:t>:</w:t>
      </w:r>
      <w:r w:rsidRPr="001D49D4">
        <w:rPr>
          <w:rFonts w:ascii="Calibri" w:eastAsia="Calibri" w:hAnsi="Calibri" w:cs="Arial"/>
          <w:rtl/>
        </w:rPr>
        <w:t xml:space="preserve"> בראשונה היה עושה. איתמר: בפני כמה הוא מבטלו? </w:t>
      </w:r>
      <w:r w:rsidRPr="001D49D4">
        <w:rPr>
          <w:rFonts w:ascii="Calibri" w:eastAsia="Calibri" w:hAnsi="Calibri" w:cs="Arial"/>
          <w:u w:val="single"/>
          <w:rtl/>
        </w:rPr>
        <w:t>רב נחמן אמר</w:t>
      </w:r>
      <w:r w:rsidRPr="001D49D4">
        <w:rPr>
          <w:rFonts w:ascii="Calibri" w:eastAsia="Calibri" w:hAnsi="Calibri" w:cs="Arial"/>
          <w:rtl/>
        </w:rPr>
        <w:t xml:space="preserve">: בפני ב'. </w:t>
      </w:r>
      <w:r w:rsidRPr="001D49D4">
        <w:rPr>
          <w:rFonts w:ascii="Calibri" w:eastAsia="Calibri" w:hAnsi="Calibri" w:cs="Arial"/>
          <w:u w:val="single"/>
          <w:rtl/>
        </w:rPr>
        <w:t>רב ששת אמר</w:t>
      </w:r>
      <w:r w:rsidRPr="001D49D4">
        <w:rPr>
          <w:rFonts w:ascii="Calibri" w:eastAsia="Calibri" w:hAnsi="Calibri" w:cs="Arial"/>
          <w:rtl/>
        </w:rPr>
        <w:t xml:space="preserve">: בפני ג'. </w:t>
      </w:r>
      <w:r w:rsidRPr="001D49D4">
        <w:rPr>
          <w:rFonts w:ascii="Calibri" w:eastAsia="Calibri" w:hAnsi="Calibri" w:cs="Arial"/>
          <w:u w:val="single"/>
          <w:rtl/>
        </w:rPr>
        <w:t>רב ששת אמר</w:t>
      </w:r>
      <w:r w:rsidRPr="001D49D4">
        <w:rPr>
          <w:rFonts w:ascii="Calibri" w:eastAsia="Calibri" w:hAnsi="Calibri" w:cs="Arial"/>
          <w:rtl/>
        </w:rPr>
        <w:t xml:space="preserve">: בפני ג', ב"ד קתני. </w:t>
      </w:r>
      <w:r w:rsidRPr="001D49D4">
        <w:rPr>
          <w:rFonts w:ascii="Calibri" w:eastAsia="Calibri" w:hAnsi="Calibri" w:cs="Arial"/>
          <w:u w:val="single"/>
          <w:rtl/>
        </w:rPr>
        <w:t>ורב נחמן אמר</w:t>
      </w:r>
      <w:r w:rsidRPr="001D49D4">
        <w:rPr>
          <w:rFonts w:ascii="Calibri" w:eastAsia="Calibri" w:hAnsi="Calibri" w:cs="Arial"/>
          <w:rtl/>
        </w:rPr>
        <w:t xml:space="preserve">: בפני ב', לבי תרי נמי ב"ד קרי להו. </w:t>
      </w:r>
      <w:r w:rsidRPr="001D49D4">
        <w:rPr>
          <w:rFonts w:ascii="Calibri" w:eastAsia="Calibri" w:hAnsi="Calibri" w:cs="Arial"/>
          <w:u w:val="single"/>
          <w:rtl/>
        </w:rPr>
        <w:t>אמר רב נחמן</w:t>
      </w:r>
      <w:r w:rsidRPr="001D49D4">
        <w:rPr>
          <w:rFonts w:ascii="Calibri" w:eastAsia="Calibri" w:hAnsi="Calibri" w:cs="Arial"/>
          <w:rtl/>
        </w:rPr>
        <w:t xml:space="preserve">: מנא אמינא לה? דתנן: מוסרני לפניכם </w:t>
      </w:r>
      <w:r w:rsidRPr="001D49D4">
        <w:rPr>
          <w:rFonts w:ascii="Calibri" w:eastAsia="Calibri" w:hAnsi="Calibri" w:cs="Arial"/>
          <w:sz w:val="14"/>
          <w:szCs w:val="14"/>
          <w:rtl/>
        </w:rPr>
        <w:t xml:space="preserve">(לג.) </w:t>
      </w:r>
      <w:r w:rsidRPr="001D49D4">
        <w:rPr>
          <w:rFonts w:ascii="Calibri" w:eastAsia="Calibri" w:hAnsi="Calibri" w:cs="Arial"/>
          <w:rtl/>
        </w:rPr>
        <w:t>פלוני ופלוני</w:t>
      </w:r>
      <w:r w:rsidRPr="001D49D4">
        <w:rPr>
          <w:rFonts w:ascii="Calibri" w:eastAsia="Calibri" w:hAnsi="Calibri" w:cs="Arial"/>
          <w:vertAlign w:val="superscript"/>
          <w:rtl/>
        </w:rPr>
        <w:footnoteReference w:id="5363"/>
      </w:r>
      <w:r w:rsidRPr="001D49D4">
        <w:rPr>
          <w:rFonts w:ascii="Calibri" w:eastAsia="Calibri" w:hAnsi="Calibri" w:cs="Arial"/>
          <w:rtl/>
        </w:rPr>
        <w:t xml:space="preserve"> הדיינין שבמקום פלוני. ורב ששת? אטו תנא כי רוכלא ליחשיב וליזיל</w:t>
      </w:r>
      <w:r w:rsidRPr="001D49D4">
        <w:rPr>
          <w:rFonts w:ascii="Calibri" w:eastAsia="Calibri" w:hAnsi="Calibri" w:cs="Arial"/>
          <w:vertAlign w:val="superscript"/>
          <w:rtl/>
        </w:rPr>
        <w:footnoteReference w:id="5364"/>
      </w:r>
      <w:r w:rsidRPr="001D49D4">
        <w:rPr>
          <w:rFonts w:ascii="Calibri" w:eastAsia="Calibri" w:hAnsi="Calibri" w:cs="Arial"/>
          <w:rtl/>
        </w:rPr>
        <w:t xml:space="preserve">?. </w:t>
      </w:r>
      <w:r w:rsidRPr="001D49D4">
        <w:rPr>
          <w:rFonts w:ascii="Calibri" w:eastAsia="Calibri" w:hAnsi="Calibri" w:cs="Arial"/>
          <w:u w:val="single"/>
          <w:rtl/>
        </w:rPr>
        <w:t>אמר רב נחמן</w:t>
      </w:r>
      <w:r w:rsidRPr="001D49D4">
        <w:rPr>
          <w:rFonts w:ascii="Calibri" w:eastAsia="Calibri" w:hAnsi="Calibri" w:cs="Arial"/>
          <w:rtl/>
        </w:rPr>
        <w:t>: מנא אמינא לה? דתנן: הדיינים חותמין למטה</w:t>
      </w:r>
      <w:r w:rsidRPr="001D49D4">
        <w:rPr>
          <w:rFonts w:ascii="Calibri" w:eastAsia="Calibri" w:hAnsi="Calibri" w:cs="Arial"/>
          <w:vertAlign w:val="superscript"/>
          <w:rtl/>
        </w:rPr>
        <w:footnoteReference w:id="5365"/>
      </w:r>
      <w:r w:rsidRPr="001D49D4">
        <w:rPr>
          <w:rFonts w:ascii="Calibri" w:eastAsia="Calibri" w:hAnsi="Calibri" w:cs="Arial"/>
          <w:rtl/>
        </w:rPr>
        <w:t xml:space="preserve"> או העדים. מאי לאו דיינים דומיא דעדים, מה עדים שנים, אף דיינים נמי שנים. ורב ששת? מידי איריא? הא כדאיתא, והא כדאיתא. </w:t>
      </w:r>
      <w:r w:rsidRPr="001D49D4">
        <w:rPr>
          <w:rFonts w:ascii="Calibri" w:eastAsia="Calibri" w:hAnsi="Calibri" w:cs="Arial"/>
          <w:sz w:val="16"/>
          <w:szCs w:val="16"/>
          <w:rtl/>
        </w:rPr>
        <w:t>(ולכאורה משמע דבתרי סגי דהלכה כרב נחמן בדיני, אבל מלשון בעל התרומות שכתבתי בסמוך נראה דשלשה בעינן, וכן נראה מדברי רבינו שכתב 'פלוני ופלוני ופלוני', ואפשר דטעמא משום דמשמע להו דדיני שמיטה איסורא נינהו והלכה כרב ששת דמסתבר טעמיה דסתם דיינים תלתא נינהו. ודברי הרמב"ם בפ"ט (הי"ח) סתומים שכתב מוסרני לכם פלוני ופלוני הדיינים כלשון המשנה ולא פירש יותר, ב"י)</w:t>
      </w:r>
    </w:p>
    <w:p w14:paraId="22A98201" w14:textId="77777777" w:rsidR="001D49D4" w:rsidRPr="001D49D4" w:rsidRDefault="001D49D4" w:rsidP="0004348D">
      <w:pPr>
        <w:spacing w:before="360" w:after="240"/>
        <w:rPr>
          <w:rFonts w:ascii="Calibri" w:eastAsia="Calibri" w:hAnsi="Calibri" w:cs="Arial"/>
          <w:u w:val="single"/>
          <w:rtl/>
        </w:rPr>
      </w:pPr>
      <w:r w:rsidRPr="001D49D4">
        <w:rPr>
          <w:rFonts w:ascii="Calibri" w:eastAsia="Calibri" w:hAnsi="Calibri" w:cs="Arial"/>
          <w:u w:val="single"/>
          <w:rtl/>
        </w:rPr>
        <w:t>נוסח הפרוזבול:</w:t>
      </w:r>
    </w:p>
    <w:p w14:paraId="5BED30D6" w14:textId="77777777" w:rsidR="001D49D4" w:rsidRPr="001D49D4" w:rsidRDefault="001D49D4" w:rsidP="0004348D">
      <w:pPr>
        <w:numPr>
          <w:ilvl w:val="0"/>
          <w:numId w:val="348"/>
        </w:numPr>
        <w:spacing w:before="360" w:after="240"/>
        <w:contextualSpacing/>
        <w:rPr>
          <w:rFonts w:ascii="Calibri" w:eastAsia="Calibri" w:hAnsi="Calibri" w:cs="Arial"/>
          <w:rtl/>
        </w:rPr>
      </w:pPr>
      <w:r w:rsidRPr="001D49D4">
        <w:rPr>
          <w:rFonts w:ascii="Calibri" w:eastAsia="Calibri" w:hAnsi="Calibri" w:cs="Arial"/>
          <w:rtl/>
        </w:rPr>
        <w:t>טור- וזה לשונו 'פלוני ופלוני ופלוני הדיינים מוסרני לכם כל חוב שיש לי על פלוני שאגבנו כל זמן שארצה', וחותמים בו ג' הדיינין.</w:t>
      </w:r>
      <w:r w:rsidRPr="001D49D4">
        <w:rPr>
          <w:rFonts w:ascii="Calibri" w:eastAsia="Calibri" w:hAnsi="Calibri" w:cs="Arial"/>
          <w:color w:val="E36C0A" w:themeColor="accent6" w:themeShade="BF"/>
          <w:rtl/>
        </w:rPr>
        <w:t xml:space="preserve"> (וכ"פ בשו"ע)</w:t>
      </w:r>
    </w:p>
    <w:p w14:paraId="35775EBB" w14:textId="77777777" w:rsidR="001D49D4" w:rsidRPr="001D49D4" w:rsidRDefault="001D49D4" w:rsidP="0004348D">
      <w:pPr>
        <w:numPr>
          <w:ilvl w:val="0"/>
          <w:numId w:val="348"/>
        </w:numPr>
        <w:spacing w:before="360" w:after="240"/>
        <w:contextualSpacing/>
        <w:rPr>
          <w:rFonts w:ascii="Calibri" w:eastAsia="Calibri" w:hAnsi="Calibri" w:cs="Arial"/>
        </w:rPr>
      </w:pPr>
      <w:r w:rsidRPr="001D49D4">
        <w:rPr>
          <w:rFonts w:ascii="Calibri" w:eastAsia="Calibri" w:hAnsi="Calibri" w:cs="Arial"/>
          <w:rtl/>
        </w:rPr>
        <w:t xml:space="preserve">רמב"ם </w:t>
      </w:r>
      <w:r w:rsidRPr="001D49D4">
        <w:rPr>
          <w:rFonts w:ascii="Calibri" w:eastAsia="Calibri" w:hAnsi="Calibri" w:cs="Arial"/>
          <w:sz w:val="16"/>
          <w:szCs w:val="16"/>
          <w:rtl/>
        </w:rPr>
        <w:t>(פ"ט משמיטה הי"ח)</w:t>
      </w:r>
      <w:r w:rsidRPr="001D49D4">
        <w:rPr>
          <w:rFonts w:ascii="Calibri" w:eastAsia="Calibri" w:hAnsi="Calibri" w:cs="Arial"/>
          <w:rtl/>
        </w:rPr>
        <w:t>- זהו גופו של פרוזבול, 'מוסרני לכם פלוני ופלוני הדיינין שבמקום פלוני שכל חוב שיש לי שאגבנו כל זמן שארצה', והדיינין או העדים חותמין מלמטה.</w:t>
      </w:r>
      <w:r w:rsidRPr="001D49D4">
        <w:rPr>
          <w:rFonts w:ascii="Calibri" w:eastAsia="Calibri" w:hAnsi="Calibri" w:cs="Arial"/>
          <w:color w:val="E36C0A" w:themeColor="accent6" w:themeShade="BF"/>
          <w:rtl/>
        </w:rPr>
        <w:t xml:space="preserve"> </w:t>
      </w:r>
    </w:p>
    <w:p w14:paraId="3F79EF5F" w14:textId="77777777" w:rsidR="001D49D4" w:rsidRPr="001D49D4" w:rsidRDefault="001D49D4" w:rsidP="0004348D">
      <w:pPr>
        <w:spacing w:before="360" w:after="240"/>
        <w:rPr>
          <w:rFonts w:ascii="Arial" w:eastAsia="Calibri" w:hAnsi="Arial" w:cs="Arial"/>
          <w:b/>
          <w:bCs/>
          <w:color w:val="000000"/>
          <w:sz w:val="28"/>
          <w:szCs w:val="28"/>
          <w:u w:val="single"/>
        </w:rPr>
      </w:pPr>
      <w:r w:rsidRPr="001D49D4">
        <w:rPr>
          <w:rFonts w:ascii="Arial" w:eastAsia="Calibri" w:hAnsi="Arial" w:cs="Arial"/>
          <w:b/>
          <w:bCs/>
          <w:color w:val="000000"/>
          <w:sz w:val="28"/>
          <w:szCs w:val="28"/>
          <w:u w:val="single"/>
          <w:rtl/>
        </w:rPr>
        <w:t>שו"ע:</w:t>
      </w:r>
    </w:p>
    <w:p w14:paraId="43E0D545"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rtl/>
        </w:rPr>
        <w:t>זה גופו של פרוזבול</w:t>
      </w:r>
      <w:r w:rsidRPr="001D49D4">
        <w:rPr>
          <w:rFonts w:ascii="Calibri" w:eastAsia="Calibri" w:hAnsi="Calibri" w:cs="Arial"/>
          <w:vertAlign w:val="superscript"/>
          <w:rtl/>
        </w:rPr>
        <w:footnoteReference w:id="5366"/>
      </w:r>
      <w:r w:rsidRPr="001D49D4">
        <w:rPr>
          <w:rFonts w:ascii="Calibri" w:eastAsia="Calibri" w:hAnsi="Calibri" w:cs="Arial"/>
          <w:rtl/>
        </w:rPr>
        <w:t>, מוסרני</w:t>
      </w:r>
      <w:r w:rsidRPr="001D49D4">
        <w:rPr>
          <w:rFonts w:ascii="Calibri" w:eastAsia="Calibri" w:hAnsi="Calibri" w:cs="Arial"/>
          <w:vertAlign w:val="superscript"/>
          <w:rtl/>
        </w:rPr>
        <w:footnoteReference w:id="5367"/>
      </w:r>
      <w:r w:rsidRPr="001D49D4">
        <w:rPr>
          <w:rFonts w:ascii="Calibri" w:eastAsia="Calibri" w:hAnsi="Calibri" w:cs="Arial"/>
          <w:rtl/>
        </w:rPr>
        <w:t xml:space="preserve"> לכם פלוני ופלוני ופלוני הדיינים שבמקום פלוני שכל חוב שיש לי שאגבנו כל זמן שארצה, והדיינים או העדים חותמים מלמטה.</w:t>
      </w:r>
      <w:r w:rsidRPr="001D49D4">
        <w:rPr>
          <w:rFonts w:ascii="Calibri" w:eastAsia="Calibri" w:hAnsi="Calibri" w:cs="Arial"/>
          <w:sz w:val="18"/>
          <w:szCs w:val="18"/>
          <w:rtl/>
        </w:rPr>
        <w:t xml:space="preserve"> [הגה] וה"ה שיוכל למסור בבית דין חובותיו שבעל פה (ר"ן פרק השולח [יט:]). </w:t>
      </w:r>
    </w:p>
    <w:p w14:paraId="23629607" w14:textId="77777777" w:rsidR="001D49D4" w:rsidRPr="001D49D4" w:rsidRDefault="001D49D4" w:rsidP="0004348D">
      <w:pPr>
        <w:spacing w:before="360" w:after="240"/>
        <w:rPr>
          <w:rFonts w:ascii="Calibri" w:eastAsia="Calibri" w:hAnsi="Calibri" w:cs="Arial"/>
          <w:rtl/>
        </w:rPr>
      </w:pPr>
    </w:p>
    <w:p w14:paraId="18225BD8" w14:textId="77777777" w:rsidR="001D49D4" w:rsidRPr="001D49D4" w:rsidRDefault="001D49D4" w:rsidP="0004348D">
      <w:pPr>
        <w:keepNext/>
        <w:keepLines/>
        <w:spacing w:before="360" w:after="240"/>
        <w:outlineLvl w:val="1"/>
        <w:rPr>
          <w:rFonts w:ascii="Cambria" w:eastAsia="Times New Roman" w:hAnsi="Cambria" w:cs="Arial"/>
          <w:bCs/>
          <w:color w:val="548DD4" w:themeColor="text2" w:themeTint="99"/>
          <w:sz w:val="26"/>
          <w:szCs w:val="26"/>
          <w:rtl/>
        </w:rPr>
      </w:pPr>
      <w:bookmarkStart w:id="751" w:name="_Toc24884157"/>
      <w:r w:rsidRPr="001D49D4">
        <w:rPr>
          <w:rFonts w:ascii="Cambria" w:eastAsia="Times New Roman" w:hAnsi="Cambria" w:cs="Arial"/>
          <w:bCs/>
          <w:color w:val="548DD4" w:themeColor="text2" w:themeTint="99"/>
          <w:sz w:val="26"/>
          <w:szCs w:val="26"/>
          <w:rtl/>
        </w:rPr>
        <w:t>סעיף כ: פרוזבול על פה.</w:t>
      </w:r>
      <w:bookmarkEnd w:id="751"/>
    </w:p>
    <w:p w14:paraId="792A2403"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b/>
          <w:bCs/>
          <w:rtl/>
        </w:rPr>
        <w:t xml:space="preserve">גיטין </w:t>
      </w:r>
      <w:r w:rsidRPr="001D49D4">
        <w:rPr>
          <w:rFonts w:ascii="Calibri" w:eastAsia="Calibri" w:hAnsi="Calibri" w:cs="Arial"/>
          <w:b/>
          <w:bCs/>
          <w:sz w:val="16"/>
          <w:szCs w:val="16"/>
          <w:rtl/>
        </w:rPr>
        <w:t xml:space="preserve">(פרק השולח) </w:t>
      </w:r>
      <w:r w:rsidRPr="001D49D4">
        <w:rPr>
          <w:rFonts w:ascii="Calibri" w:eastAsia="Calibri" w:hAnsi="Calibri" w:cs="Arial"/>
          <w:b/>
          <w:bCs/>
          <w:rtl/>
        </w:rPr>
        <w:t>לו</w:t>
      </w:r>
      <w:r w:rsidRPr="001D49D4">
        <w:rPr>
          <w:rFonts w:ascii="Calibri" w:eastAsia="Calibri" w:hAnsi="Calibri" w:cs="Arial"/>
          <w:b/>
          <w:bCs/>
          <w:vertAlign w:val="superscript"/>
          <w:rtl/>
        </w:rPr>
        <w:footnoteReference w:id="5368"/>
      </w:r>
      <w:r w:rsidRPr="001D49D4">
        <w:rPr>
          <w:rFonts w:ascii="Calibri" w:eastAsia="Calibri" w:hAnsi="Calibri" w:cs="Arial"/>
          <w:b/>
          <w:bCs/>
          <w:rtl/>
        </w:rPr>
        <w:t xml:space="preserve"> ע"ב:</w:t>
      </w:r>
      <w:r w:rsidRPr="001D49D4">
        <w:rPr>
          <w:rFonts w:ascii="Calibri" w:eastAsia="Calibri" w:hAnsi="Calibri" w:cs="Arial"/>
          <w:rtl/>
        </w:rPr>
        <w:t xml:space="preserve"> </w:t>
      </w:r>
      <w:r w:rsidRPr="001D49D4">
        <w:rPr>
          <w:rFonts w:ascii="Calibri" w:eastAsia="Calibri" w:hAnsi="Calibri" w:cs="Arial"/>
          <w:u w:val="single"/>
          <w:rtl/>
        </w:rPr>
        <w:t>ורב נחמן אמר</w:t>
      </w:r>
      <w:r w:rsidRPr="001D49D4">
        <w:rPr>
          <w:rFonts w:ascii="Calibri" w:eastAsia="Calibri" w:hAnsi="Calibri" w:cs="Arial"/>
          <w:rtl/>
        </w:rPr>
        <w:t>: אקיימנה. אקיימנה? הא מיקיים וקאי! הכי קאמר: אימא ביה מילתא</w:t>
      </w:r>
      <w:r w:rsidRPr="001D49D4">
        <w:rPr>
          <w:rFonts w:ascii="Calibri" w:eastAsia="Calibri" w:hAnsi="Calibri" w:cs="Arial"/>
          <w:vertAlign w:val="superscript"/>
          <w:rtl/>
        </w:rPr>
        <w:footnoteReference w:id="5369"/>
      </w:r>
      <w:r w:rsidRPr="001D49D4">
        <w:rPr>
          <w:rFonts w:ascii="Calibri" w:eastAsia="Calibri" w:hAnsi="Calibri" w:cs="Arial"/>
          <w:rtl/>
        </w:rPr>
        <w:t>, דאע"ג דלא כתוב ככתוב דמי</w:t>
      </w:r>
      <w:r w:rsidRPr="001D49D4">
        <w:rPr>
          <w:rFonts w:ascii="Calibri" w:eastAsia="Calibri" w:hAnsi="Calibri" w:cs="Arial"/>
          <w:vertAlign w:val="superscript"/>
          <w:rtl/>
        </w:rPr>
        <w:footnoteReference w:id="5370"/>
      </w:r>
      <w:r w:rsidRPr="001D49D4">
        <w:rPr>
          <w:rFonts w:ascii="Calibri" w:eastAsia="Calibri" w:hAnsi="Calibri" w:cs="Arial"/>
          <w:rtl/>
        </w:rPr>
        <w:t xml:space="preserve">... </w:t>
      </w:r>
      <w:r w:rsidRPr="001D49D4">
        <w:rPr>
          <w:rFonts w:ascii="Calibri" w:eastAsia="Calibri" w:hAnsi="Calibri" w:cs="Arial"/>
          <w:sz w:val="14"/>
          <w:szCs w:val="14"/>
          <w:rtl/>
        </w:rPr>
        <w:t xml:space="preserve">(לז.) </w:t>
      </w:r>
      <w:r w:rsidRPr="001D49D4">
        <w:rPr>
          <w:rFonts w:ascii="Calibri" w:eastAsia="Calibri" w:hAnsi="Calibri" w:cs="Arial"/>
          <w:rtl/>
        </w:rPr>
        <w:t>רבנן דבי רב אשי מסרי מילייהו</w:t>
      </w:r>
      <w:r w:rsidRPr="001D49D4">
        <w:rPr>
          <w:rFonts w:ascii="Calibri" w:eastAsia="Calibri" w:hAnsi="Calibri" w:cs="Arial"/>
          <w:vertAlign w:val="superscript"/>
          <w:rtl/>
        </w:rPr>
        <w:footnoteReference w:id="5371"/>
      </w:r>
      <w:r w:rsidRPr="001D49D4">
        <w:rPr>
          <w:rFonts w:ascii="Calibri" w:eastAsia="Calibri" w:hAnsi="Calibri" w:cs="Arial"/>
          <w:rtl/>
        </w:rPr>
        <w:t xml:space="preserve"> להדדי. רבי יונתן מסר מילי לר' חייא בר אבא, אמר ליה: צריכנא מידי אחרינא? אמר ליה: לא צריכת.</w:t>
      </w:r>
    </w:p>
    <w:p w14:paraId="60B49048" w14:textId="77777777" w:rsidR="001D49D4" w:rsidRPr="001D49D4" w:rsidRDefault="001D49D4" w:rsidP="0004348D">
      <w:pPr>
        <w:spacing w:before="360" w:after="240"/>
        <w:rPr>
          <w:rFonts w:ascii="Calibri" w:eastAsia="Calibri" w:hAnsi="Calibri" w:cs="Arial"/>
          <w:u w:val="single"/>
        </w:rPr>
      </w:pPr>
      <w:r w:rsidRPr="001D49D4">
        <w:rPr>
          <w:rFonts w:ascii="Calibri" w:eastAsia="Calibri" w:hAnsi="Calibri" w:cs="Arial"/>
          <w:u w:val="single"/>
          <w:rtl/>
        </w:rPr>
        <w:t>פרוזבול על פה:</w:t>
      </w:r>
    </w:p>
    <w:p w14:paraId="0A100A7A" w14:textId="77777777" w:rsidR="001D49D4" w:rsidRPr="001D49D4" w:rsidRDefault="001D49D4" w:rsidP="0004348D">
      <w:pPr>
        <w:numPr>
          <w:ilvl w:val="0"/>
          <w:numId w:val="348"/>
        </w:numPr>
        <w:spacing w:before="360" w:after="240"/>
        <w:contextualSpacing/>
        <w:rPr>
          <w:rFonts w:ascii="Calibri" w:eastAsia="Calibri" w:hAnsi="Calibri" w:cs="Arial"/>
          <w:rtl/>
        </w:rPr>
      </w:pPr>
      <w:r w:rsidRPr="001D49D4">
        <w:rPr>
          <w:rFonts w:ascii="Calibri" w:eastAsia="Calibri" w:hAnsi="Calibri" w:cs="Arial"/>
          <w:rtl/>
        </w:rPr>
        <w:t xml:space="preserve">רא"ש </w:t>
      </w:r>
      <w:r w:rsidRPr="001D49D4">
        <w:rPr>
          <w:rFonts w:ascii="Calibri" w:eastAsia="Calibri" w:hAnsi="Calibri" w:cs="Arial"/>
          <w:sz w:val="16"/>
          <w:szCs w:val="16"/>
          <w:rtl/>
        </w:rPr>
        <w:t>(סי' יג)</w:t>
      </w:r>
      <w:r w:rsidRPr="001D49D4">
        <w:rPr>
          <w:rFonts w:ascii="Calibri" w:eastAsia="Calibri" w:hAnsi="Calibri" w:cs="Arial"/>
          <w:rtl/>
        </w:rPr>
        <w:t xml:space="preserve"> וטור- אפי' לא נכתב אלא אמר זה הלשון על פה לדיינים - מהני</w:t>
      </w:r>
      <w:r w:rsidRPr="001D49D4">
        <w:rPr>
          <w:rFonts w:ascii="Calibri" w:eastAsia="Calibri" w:hAnsi="Calibri" w:cs="Arial"/>
          <w:sz w:val="16"/>
          <w:szCs w:val="16"/>
          <w:rtl/>
        </w:rPr>
        <w:t xml:space="preserve"> (ל' הטור)</w:t>
      </w:r>
      <w:r w:rsidRPr="001D49D4">
        <w:rPr>
          <w:rFonts w:ascii="Calibri" w:eastAsia="Calibri" w:hAnsi="Calibri" w:cs="Arial"/>
          <w:rtl/>
        </w:rPr>
        <w:t>.</w:t>
      </w:r>
      <w:r w:rsidRPr="001D49D4">
        <w:rPr>
          <w:rFonts w:ascii="Calibri" w:eastAsia="Calibri" w:hAnsi="Calibri" w:cs="Arial"/>
          <w:color w:val="00B0F0"/>
          <w:rtl/>
        </w:rPr>
        <w:t xml:space="preserve"> (וכ"פ הרמ"א)</w:t>
      </w:r>
    </w:p>
    <w:p w14:paraId="246EA883" w14:textId="77777777" w:rsidR="001D49D4" w:rsidRPr="001D49D4" w:rsidRDefault="001D49D4" w:rsidP="0004348D">
      <w:pPr>
        <w:numPr>
          <w:ilvl w:val="0"/>
          <w:numId w:val="348"/>
        </w:numPr>
        <w:spacing w:before="360" w:after="240"/>
        <w:contextualSpacing/>
        <w:rPr>
          <w:rFonts w:ascii="Calibri" w:eastAsia="Calibri" w:hAnsi="Calibri" w:cs="Arial"/>
        </w:rPr>
      </w:pPr>
      <w:r w:rsidRPr="001D49D4">
        <w:rPr>
          <w:rFonts w:ascii="Calibri" w:eastAsia="Calibri" w:hAnsi="Calibri" w:cs="Arial"/>
          <w:rtl/>
        </w:rPr>
        <w:t xml:space="preserve">רמב"ם </w:t>
      </w:r>
      <w:r w:rsidRPr="001D49D4">
        <w:rPr>
          <w:rFonts w:ascii="Calibri" w:eastAsia="Calibri" w:hAnsi="Calibri" w:cs="Arial"/>
          <w:sz w:val="16"/>
          <w:szCs w:val="16"/>
          <w:rtl/>
        </w:rPr>
        <w:t>(פ"ט משמיטה הכ"ז)</w:t>
      </w:r>
      <w:r w:rsidRPr="001D49D4">
        <w:rPr>
          <w:rFonts w:ascii="Calibri" w:eastAsia="Calibri" w:hAnsi="Calibri" w:cs="Arial"/>
          <w:rtl/>
        </w:rPr>
        <w:t xml:space="preserve">- </w:t>
      </w:r>
      <w:r w:rsidRPr="001D49D4">
        <w:rPr>
          <w:rFonts w:ascii="Calibri" w:eastAsia="Calibri" w:hAnsi="Calibri" w:cs="Arial"/>
          <w:vertAlign w:val="superscript"/>
          <w:rtl/>
        </w:rPr>
        <w:footnoteReference w:id="5372"/>
      </w:r>
      <w:r w:rsidRPr="001D49D4">
        <w:rPr>
          <w:rFonts w:ascii="Calibri" w:eastAsia="Calibri" w:hAnsi="Calibri" w:cs="Arial"/>
          <w:rtl/>
        </w:rPr>
        <w:t>תלמידי חכמים שהלוו זה את זה ומסר דבריו לתלמידים, ואמר 'מוסרני לכם שכל חוב שיש לי שאגבנו כל זמן שארצה' - אינו צריך לכתוב פרוזבול, מפני שהן יודעים שהשמטת כספים בזמן הזה מדבריהם ובדברים בלבד היא נדחית</w:t>
      </w:r>
      <w:r w:rsidRPr="001D49D4">
        <w:rPr>
          <w:rFonts w:ascii="Calibri" w:eastAsia="Calibri" w:hAnsi="Calibri" w:cs="Arial"/>
          <w:vertAlign w:val="superscript"/>
          <w:rtl/>
        </w:rPr>
        <w:footnoteReference w:id="5373"/>
      </w:r>
      <w:r w:rsidRPr="001D49D4">
        <w:rPr>
          <w:rFonts w:ascii="Calibri" w:eastAsia="Calibri" w:hAnsi="Calibri" w:cs="Arial"/>
          <w:rtl/>
        </w:rPr>
        <w:t>.</w:t>
      </w:r>
      <w:r w:rsidRPr="001D49D4">
        <w:rPr>
          <w:rFonts w:ascii="Calibri" w:eastAsia="Calibri" w:hAnsi="Calibri" w:cs="Arial"/>
          <w:color w:val="E36C0A" w:themeColor="accent6" w:themeShade="BF"/>
          <w:rtl/>
        </w:rPr>
        <w:t xml:space="preserve"> (וכ"פ בשו"ע)</w:t>
      </w:r>
    </w:p>
    <w:p w14:paraId="44437A4A" w14:textId="77777777" w:rsidR="001D49D4" w:rsidRPr="001D49D4" w:rsidRDefault="001D49D4" w:rsidP="0004348D">
      <w:pPr>
        <w:spacing w:before="360" w:after="240"/>
        <w:rPr>
          <w:rFonts w:ascii="Calibri" w:eastAsia="Calibri" w:hAnsi="Calibri" w:cs="Arial"/>
        </w:rPr>
      </w:pPr>
      <w:r w:rsidRPr="001D49D4">
        <w:rPr>
          <w:rFonts w:ascii="Calibri" w:eastAsia="Calibri" w:hAnsi="Calibri" w:cs="Arial"/>
          <w:u w:val="single"/>
          <w:rtl/>
        </w:rPr>
        <w:t>האם המלוה צריך להיות מול הדיינים בעת שמוסר להם את הפרוזבול:</w:t>
      </w:r>
      <w:r w:rsidRPr="001D49D4">
        <w:rPr>
          <w:rFonts w:ascii="Calibri" w:eastAsia="Calibri" w:hAnsi="Calibri" w:cs="Arial"/>
          <w:sz w:val="16"/>
          <w:szCs w:val="16"/>
          <w:rtl/>
        </w:rPr>
        <w:t xml:space="preserve"> (ב"י [בבדה"ב] ודרכ"מ [אות ט])</w:t>
      </w:r>
    </w:p>
    <w:p w14:paraId="6BB73468" w14:textId="77777777" w:rsidR="001D49D4" w:rsidRPr="001D49D4" w:rsidRDefault="001D49D4" w:rsidP="0004348D">
      <w:pPr>
        <w:numPr>
          <w:ilvl w:val="0"/>
          <w:numId w:val="348"/>
        </w:numPr>
        <w:spacing w:before="360" w:after="240"/>
        <w:contextualSpacing/>
        <w:rPr>
          <w:rFonts w:ascii="Calibri" w:eastAsia="Calibri" w:hAnsi="Calibri" w:cs="Arial"/>
        </w:rPr>
      </w:pPr>
      <w:r w:rsidRPr="001D49D4">
        <w:rPr>
          <w:rFonts w:ascii="Calibri" w:eastAsia="Calibri" w:hAnsi="Calibri" w:cs="Arial"/>
          <w:rtl/>
        </w:rPr>
        <w:t>רבינו יחיאל</w:t>
      </w:r>
      <w:r w:rsidRPr="001D49D4">
        <w:rPr>
          <w:rFonts w:ascii="Calibri" w:eastAsia="Calibri" w:hAnsi="Calibri" w:cs="Arial"/>
          <w:sz w:val="16"/>
          <w:szCs w:val="16"/>
          <w:rtl/>
        </w:rPr>
        <w:t xml:space="preserve"> (כ"כ המרדכי בשמו [שם])</w:t>
      </w:r>
      <w:r w:rsidRPr="001D49D4">
        <w:rPr>
          <w:rFonts w:ascii="Calibri" w:eastAsia="Calibri" w:hAnsi="Calibri" w:cs="Arial"/>
          <w:rtl/>
        </w:rPr>
        <w:t>- אינו מועיל פרוזבול אא"כ יאמר לדיינים עצמם מוסרני לכם.</w:t>
      </w:r>
    </w:p>
    <w:p w14:paraId="6E627D94" w14:textId="77777777" w:rsidR="001D49D4" w:rsidRPr="001D49D4" w:rsidRDefault="001D49D4" w:rsidP="0004348D">
      <w:pPr>
        <w:numPr>
          <w:ilvl w:val="0"/>
          <w:numId w:val="348"/>
        </w:numPr>
        <w:spacing w:before="360" w:after="240"/>
        <w:contextualSpacing/>
        <w:rPr>
          <w:rFonts w:ascii="Calibri" w:eastAsia="Calibri" w:hAnsi="Calibri" w:cs="Arial"/>
        </w:rPr>
      </w:pPr>
      <w:r w:rsidRPr="001D49D4">
        <w:rPr>
          <w:rFonts w:ascii="Calibri" w:eastAsia="Calibri" w:hAnsi="Calibri" w:cs="Arial"/>
          <w:rtl/>
        </w:rPr>
        <w:t xml:space="preserve">מרדכי </w:t>
      </w:r>
      <w:r w:rsidRPr="001D49D4">
        <w:rPr>
          <w:rFonts w:ascii="Calibri" w:eastAsia="Calibri" w:hAnsi="Calibri" w:cs="Arial"/>
          <w:sz w:val="16"/>
          <w:szCs w:val="16"/>
          <w:rtl/>
        </w:rPr>
        <w:t>(פרק השולח סי' שפ)</w:t>
      </w:r>
      <w:r w:rsidRPr="001D49D4">
        <w:rPr>
          <w:rFonts w:ascii="Calibri" w:eastAsia="Calibri" w:hAnsi="Calibri" w:cs="Arial"/>
          <w:rtl/>
        </w:rPr>
        <w:t xml:space="preserve">- אע"פ שאין המלוה והדיינים בעיר אחד יכול לומר הריני מוסר חובי לדיינים שבעיר פלונית, מדגרסינן בירושלמי </w:t>
      </w:r>
      <w:r w:rsidRPr="001D49D4">
        <w:rPr>
          <w:rFonts w:ascii="Calibri" w:eastAsia="Calibri" w:hAnsi="Calibri" w:cs="Arial"/>
          <w:sz w:val="16"/>
          <w:szCs w:val="16"/>
          <w:rtl/>
        </w:rPr>
        <w:t xml:space="preserve">(שביעית פ"י ה"ב) </w:t>
      </w:r>
      <w:r w:rsidRPr="001D49D4">
        <w:rPr>
          <w:rFonts w:ascii="Calibri" w:eastAsia="Calibri" w:hAnsi="Calibri" w:cs="Arial"/>
          <w:rtl/>
        </w:rPr>
        <w:t>אפילו נתונים ברומי פירוש הדיינים.</w:t>
      </w:r>
      <w:r w:rsidRPr="001D49D4">
        <w:rPr>
          <w:rFonts w:ascii="Calibri" w:eastAsia="Calibri" w:hAnsi="Calibri" w:cs="Arial"/>
          <w:color w:val="00B0F0"/>
          <w:rtl/>
        </w:rPr>
        <w:t xml:space="preserve"> (וכ"פ הרמ"א)</w:t>
      </w:r>
    </w:p>
    <w:p w14:paraId="53788416" w14:textId="77777777" w:rsidR="001D49D4" w:rsidRPr="001D49D4" w:rsidRDefault="001D49D4" w:rsidP="0004348D">
      <w:pPr>
        <w:spacing w:before="360" w:after="240"/>
        <w:rPr>
          <w:rFonts w:ascii="Arial" w:eastAsia="Calibri" w:hAnsi="Arial" w:cs="Arial"/>
          <w:b/>
          <w:bCs/>
          <w:color w:val="000000"/>
          <w:sz w:val="28"/>
          <w:szCs w:val="28"/>
          <w:u w:val="single"/>
        </w:rPr>
      </w:pPr>
      <w:r w:rsidRPr="001D49D4">
        <w:rPr>
          <w:rFonts w:ascii="Arial" w:eastAsia="Calibri" w:hAnsi="Arial" w:cs="Arial"/>
          <w:b/>
          <w:bCs/>
          <w:color w:val="000000"/>
          <w:sz w:val="28"/>
          <w:szCs w:val="28"/>
          <w:u w:val="single"/>
          <w:rtl/>
        </w:rPr>
        <w:t>שו"ע:</w:t>
      </w:r>
    </w:p>
    <w:p w14:paraId="51701A6E"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rtl/>
        </w:rPr>
        <w:t xml:space="preserve">תלמידי חכמים שהלוו זה את זה, ומסר דבריו לתלמידים, ואמר: מוסרני לכם שכל חוב שיש לי שאגבנו כל זמן שארצה, אינו צריך לכתוב פרוזבול, מפני שהם יודעים ששמיטת כספים בזמן הזה מדבריהם, ובדברים בלבד היא נדחת. </w:t>
      </w:r>
      <w:r w:rsidRPr="001D49D4">
        <w:rPr>
          <w:rFonts w:ascii="Calibri" w:eastAsia="Calibri" w:hAnsi="Calibri" w:cs="Arial"/>
          <w:sz w:val="18"/>
          <w:szCs w:val="18"/>
          <w:rtl/>
        </w:rPr>
        <w:t>הגה: וי"א דכל אדם נמי יוכל לומר דבריו בעל פה לפני ב"ד, ומהני ואין צריך פרוזבול (טור). ואין חילוק בין אם המלוה בעיר הדיינים או לא, כי יכול לומר אפילו שלא בפניהם 'אני מוסר שטרותי לבית דין פלוני שבעיר פלונית' (מרדכי ס"פ השולח).</w:t>
      </w:r>
    </w:p>
    <w:p w14:paraId="54B2D104"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rtl/>
        </w:rPr>
        <w:t xml:space="preserve"> </w:t>
      </w:r>
    </w:p>
    <w:p w14:paraId="6B09653C" w14:textId="77777777" w:rsidR="001D49D4" w:rsidRPr="001D49D4" w:rsidRDefault="001D49D4" w:rsidP="0004348D">
      <w:pPr>
        <w:keepNext/>
        <w:keepLines/>
        <w:spacing w:before="360" w:after="240"/>
        <w:outlineLvl w:val="1"/>
        <w:rPr>
          <w:rFonts w:ascii="Cambria" w:eastAsia="Times New Roman" w:hAnsi="Cambria" w:cs="Arial"/>
          <w:bCs/>
          <w:color w:val="548DD4" w:themeColor="text2" w:themeTint="99"/>
          <w:sz w:val="26"/>
          <w:szCs w:val="26"/>
          <w:rtl/>
        </w:rPr>
      </w:pPr>
      <w:bookmarkStart w:id="753" w:name="_Toc24884158"/>
      <w:r w:rsidRPr="001D49D4">
        <w:rPr>
          <w:rFonts w:ascii="Cambria" w:eastAsia="Times New Roman" w:hAnsi="Cambria" w:cs="Arial"/>
          <w:bCs/>
          <w:color w:val="548DD4" w:themeColor="text2" w:themeTint="99"/>
          <w:sz w:val="26"/>
          <w:szCs w:val="26"/>
          <w:rtl/>
        </w:rPr>
        <w:t>סעיף כא: כיצד מתבצע הפרוזבול.</w:t>
      </w:r>
      <w:bookmarkEnd w:id="753"/>
    </w:p>
    <w:p w14:paraId="627DA661"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b/>
          <w:bCs/>
          <w:rtl/>
        </w:rPr>
        <w:t>משנה שביעית פ"י מ"ד:</w:t>
      </w:r>
      <w:r w:rsidRPr="001D49D4">
        <w:rPr>
          <w:rFonts w:ascii="Calibri" w:eastAsia="Calibri" w:hAnsi="Calibri" w:cs="Arial"/>
          <w:rtl/>
        </w:rPr>
        <w:t xml:space="preserve"> זהו גופו של פרוזבול מוסר אני לכם איש פלוני ופלוני הדיינים שבמקום פלוני שכל חוב שיש לי שאגבנו כ"ז שארצה. והדיינים חותמין למטה או העדים.</w:t>
      </w:r>
    </w:p>
    <w:p w14:paraId="0964D38C"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b/>
          <w:bCs/>
          <w:rtl/>
        </w:rPr>
        <w:t xml:space="preserve">גיטין </w:t>
      </w:r>
      <w:r w:rsidRPr="001D49D4">
        <w:rPr>
          <w:rFonts w:ascii="Calibri" w:eastAsia="Calibri" w:hAnsi="Calibri" w:cs="Arial"/>
          <w:b/>
          <w:bCs/>
          <w:sz w:val="16"/>
          <w:szCs w:val="16"/>
          <w:rtl/>
        </w:rPr>
        <w:t>(ר"פ השולח)</w:t>
      </w:r>
      <w:r w:rsidRPr="001D49D4">
        <w:rPr>
          <w:rFonts w:ascii="Calibri" w:eastAsia="Calibri" w:hAnsi="Calibri" w:cs="Arial"/>
          <w:b/>
          <w:bCs/>
          <w:rtl/>
        </w:rPr>
        <w:t xml:space="preserve"> לג</w:t>
      </w:r>
      <w:r w:rsidRPr="001D49D4">
        <w:rPr>
          <w:rFonts w:ascii="Calibri" w:eastAsia="Calibri" w:hAnsi="Calibri" w:cs="Arial"/>
          <w:b/>
          <w:bCs/>
          <w:vertAlign w:val="superscript"/>
          <w:rtl/>
        </w:rPr>
        <w:footnoteReference w:id="5374"/>
      </w:r>
      <w:r w:rsidRPr="001D49D4">
        <w:rPr>
          <w:rFonts w:ascii="Calibri" w:eastAsia="Calibri" w:hAnsi="Calibri" w:cs="Arial"/>
          <w:b/>
          <w:bCs/>
          <w:rtl/>
        </w:rPr>
        <w:t xml:space="preserve"> ע"א:</w:t>
      </w:r>
      <w:r w:rsidRPr="001D49D4">
        <w:rPr>
          <w:rFonts w:ascii="Calibri" w:eastAsia="Calibri" w:hAnsi="Calibri" w:cs="Arial"/>
          <w:rtl/>
        </w:rPr>
        <w:t xml:space="preserve"> תנן: הדיינים חותמין למטה או העדים... ל"ל למיתנא דיינים, ל"ל למיתנא עדים</w:t>
      </w:r>
      <w:r w:rsidRPr="001D49D4">
        <w:rPr>
          <w:rFonts w:ascii="Calibri" w:eastAsia="Calibri" w:hAnsi="Calibri" w:cs="Arial"/>
          <w:vertAlign w:val="superscript"/>
          <w:rtl/>
        </w:rPr>
        <w:footnoteReference w:id="5375"/>
      </w:r>
      <w:r w:rsidRPr="001D49D4">
        <w:rPr>
          <w:rFonts w:ascii="Calibri" w:eastAsia="Calibri" w:hAnsi="Calibri" w:cs="Arial"/>
          <w:rtl/>
        </w:rPr>
        <w:t>? הא קמ"ל דלא שנא כתוב בלשון דיינים</w:t>
      </w:r>
      <w:r w:rsidRPr="001D49D4">
        <w:rPr>
          <w:rFonts w:ascii="Calibri" w:eastAsia="Calibri" w:hAnsi="Calibri" w:cs="Arial"/>
          <w:vertAlign w:val="superscript"/>
          <w:rtl/>
        </w:rPr>
        <w:footnoteReference w:id="5376"/>
      </w:r>
      <w:r w:rsidRPr="001D49D4">
        <w:rPr>
          <w:rFonts w:ascii="Calibri" w:eastAsia="Calibri" w:hAnsi="Calibri" w:cs="Arial"/>
          <w:rtl/>
        </w:rPr>
        <w:t xml:space="preserve"> וחתמי עדים</w:t>
      </w:r>
      <w:r w:rsidRPr="001D49D4">
        <w:rPr>
          <w:rFonts w:ascii="Calibri" w:eastAsia="Calibri" w:hAnsi="Calibri" w:cs="Arial"/>
          <w:vertAlign w:val="superscript"/>
          <w:rtl/>
        </w:rPr>
        <w:footnoteReference w:id="5377"/>
      </w:r>
      <w:r w:rsidRPr="001D49D4">
        <w:rPr>
          <w:rFonts w:ascii="Calibri" w:eastAsia="Calibri" w:hAnsi="Calibri" w:cs="Arial"/>
          <w:rtl/>
        </w:rPr>
        <w:t>, ולא שנא כתוב בלשון עדים</w:t>
      </w:r>
      <w:r w:rsidRPr="001D49D4">
        <w:rPr>
          <w:rFonts w:ascii="Calibri" w:eastAsia="Calibri" w:hAnsi="Calibri" w:cs="Arial"/>
          <w:vertAlign w:val="superscript"/>
          <w:rtl/>
        </w:rPr>
        <w:footnoteReference w:id="5378"/>
      </w:r>
      <w:r w:rsidRPr="001D49D4">
        <w:rPr>
          <w:rFonts w:ascii="Calibri" w:eastAsia="Calibri" w:hAnsi="Calibri" w:cs="Arial"/>
          <w:rtl/>
        </w:rPr>
        <w:t xml:space="preserve"> וחתמי דיינים.</w:t>
      </w:r>
    </w:p>
    <w:p w14:paraId="7C146272" w14:textId="77777777" w:rsidR="001D49D4" w:rsidRPr="001D49D4" w:rsidRDefault="001D49D4" w:rsidP="0004348D">
      <w:pPr>
        <w:spacing w:before="360" w:after="240"/>
        <w:rPr>
          <w:rFonts w:ascii="Calibri" w:eastAsia="Calibri" w:hAnsi="Calibri" w:cs="Arial"/>
          <w:u w:val="single"/>
          <w:rtl/>
        </w:rPr>
      </w:pPr>
      <w:r w:rsidRPr="001D49D4">
        <w:rPr>
          <w:rFonts w:ascii="Calibri" w:eastAsia="Calibri" w:hAnsi="Calibri" w:cs="Arial"/>
          <w:u w:val="single"/>
          <w:rtl/>
        </w:rPr>
        <w:t>כיצד מתבצע הפרוזבול:</w:t>
      </w:r>
    </w:p>
    <w:p w14:paraId="35119F48" w14:textId="77777777" w:rsidR="001D49D4" w:rsidRPr="001D49D4" w:rsidRDefault="001D49D4" w:rsidP="0004348D">
      <w:pPr>
        <w:numPr>
          <w:ilvl w:val="0"/>
          <w:numId w:val="348"/>
        </w:numPr>
        <w:spacing w:before="360" w:after="240"/>
        <w:contextualSpacing/>
        <w:rPr>
          <w:rFonts w:ascii="Calibri" w:eastAsia="Calibri" w:hAnsi="Calibri" w:cs="Arial"/>
          <w:rtl/>
        </w:rPr>
      </w:pPr>
      <w:r w:rsidRPr="001D49D4">
        <w:rPr>
          <w:rFonts w:ascii="Calibri" w:eastAsia="Calibri" w:hAnsi="Calibri" w:cs="Arial"/>
          <w:rtl/>
        </w:rPr>
        <w:t>טור- וזה לשונו 'פלוני ופלוני ופלוני הדיינים מוסרני לכם כל חוב שיש לי על פלוני שאגבנו כל זמן שארצה', וחותמים בו ג' הדיינין. בין שכתבו בלשון דיינים כגון- בי דינא הוינא ואתא פלוני ואמר לנא מוסרני וכו', וחתמו בלשון עד, כגון 'איש פלוני עד'. בין כתבו בלשון עדות כגון 'דוכרן סהדותא דהוה באנפנא', וחתמו פלוני דיין. ויש מפרשים לא שנא כתיבי בלשון דייני וחתימי בלשון דייני ל"ש כתיבי בלשון סהדי דמסהדי מאי דאמר לדייני וחתימי סהדי.</w:t>
      </w:r>
    </w:p>
    <w:p w14:paraId="00186E58" w14:textId="77777777" w:rsidR="001D49D4" w:rsidRPr="001D49D4" w:rsidRDefault="001D49D4" w:rsidP="0004348D">
      <w:pPr>
        <w:numPr>
          <w:ilvl w:val="0"/>
          <w:numId w:val="348"/>
        </w:numPr>
        <w:spacing w:before="360" w:after="240"/>
        <w:contextualSpacing/>
        <w:rPr>
          <w:rFonts w:ascii="Calibri" w:eastAsia="Calibri" w:hAnsi="Calibri" w:cs="Arial"/>
        </w:rPr>
      </w:pPr>
      <w:r w:rsidRPr="001D49D4">
        <w:rPr>
          <w:rFonts w:ascii="Calibri" w:eastAsia="Calibri" w:hAnsi="Calibri" w:cs="Arial"/>
          <w:rtl/>
        </w:rPr>
        <w:t xml:space="preserve">ספר התרומות </w:t>
      </w:r>
      <w:r w:rsidRPr="001D49D4">
        <w:rPr>
          <w:rFonts w:ascii="Calibri" w:eastAsia="Calibri" w:hAnsi="Calibri" w:cs="Arial"/>
          <w:sz w:val="16"/>
          <w:szCs w:val="16"/>
          <w:rtl/>
        </w:rPr>
        <w:t xml:space="preserve">(שם סי' יז) </w:t>
      </w:r>
      <w:r w:rsidRPr="001D49D4">
        <w:rPr>
          <w:rFonts w:ascii="Calibri" w:eastAsia="Calibri" w:hAnsi="Calibri" w:cs="Arial"/>
          <w:rtl/>
        </w:rPr>
        <w:t xml:space="preserve">בשם הר"י אלברצלוני </w:t>
      </w:r>
      <w:r w:rsidRPr="001D49D4">
        <w:rPr>
          <w:rFonts w:ascii="Calibri" w:eastAsia="Calibri" w:hAnsi="Calibri" w:cs="Arial"/>
          <w:sz w:val="16"/>
          <w:szCs w:val="16"/>
          <w:rtl/>
        </w:rPr>
        <w:t>(ספר השטרות השטר המ"ח)</w:t>
      </w:r>
      <w:r w:rsidRPr="001D49D4">
        <w:rPr>
          <w:rFonts w:ascii="Calibri" w:eastAsia="Calibri" w:hAnsi="Calibri" w:cs="Arial"/>
          <w:rtl/>
        </w:rPr>
        <w:t>- ענין שטר פרוזבול כך הוא, הולך המלוה אצל שלשה עדים ויש אומרים אפילו לשנים ואומר 'הוו עלי סהדי וחזו דאנא מסרנא פרוזבול קמי שלשה דיינים דאינון פלוני ופלוני ופלוני הדיינים שבמקום פלוני', ודי לו אם יחתמו אותם עדים באותו פרוזבול שהם ראו כי בפניהם מסרו בפני הדיינים, ואע"פ שאין הדיינין חותמין בו, מיהו אי חתימי דייני טפי מעלי ואין צריך שם עדים כלל, וזהו ששנינו הדיינים חותמין למטה או העדים.</w:t>
      </w:r>
      <w:r w:rsidRPr="001D49D4">
        <w:rPr>
          <w:rFonts w:ascii="Calibri" w:eastAsia="Calibri" w:hAnsi="Calibri" w:cs="Arial"/>
          <w:color w:val="E36C0A" w:themeColor="accent6" w:themeShade="BF"/>
          <w:rtl/>
        </w:rPr>
        <w:t xml:space="preserve"> (וכ"פ בשו"ע)</w:t>
      </w:r>
    </w:p>
    <w:p w14:paraId="444DC9A2" w14:textId="77777777" w:rsidR="001D49D4" w:rsidRPr="001D49D4" w:rsidRDefault="001D49D4" w:rsidP="0004348D">
      <w:pPr>
        <w:spacing w:before="360" w:after="240"/>
        <w:rPr>
          <w:rFonts w:ascii="Arial" w:eastAsia="Calibri" w:hAnsi="Arial" w:cs="Arial"/>
          <w:b/>
          <w:bCs/>
          <w:color w:val="000000"/>
          <w:sz w:val="28"/>
          <w:szCs w:val="28"/>
          <w:u w:val="single"/>
          <w:rtl/>
        </w:rPr>
      </w:pPr>
      <w:r w:rsidRPr="001D49D4">
        <w:rPr>
          <w:rFonts w:ascii="Arial" w:eastAsia="Calibri" w:hAnsi="Arial" w:cs="Arial"/>
          <w:b/>
          <w:bCs/>
          <w:color w:val="000000"/>
          <w:sz w:val="28"/>
          <w:szCs w:val="28"/>
          <w:u w:val="single"/>
          <w:rtl/>
        </w:rPr>
        <w:t>שו"ע:</w:t>
      </w:r>
    </w:p>
    <w:p w14:paraId="773D375F"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rtl/>
        </w:rPr>
        <w:t>יש מי שכתב ענין שטר פרוזבול כך הוא, הולך המלוה אצל שלשה עדים, ויש אומרים אפילו לשנים, ואומר 'הוו עלי סהדי וחזו דאנא מסרנא פרוזבול קמי שלשה דיינים דאינון פלוני ופלוני ופלוני דיינים שבמקום פלוני', ודי לו אם יחתמו בו אותם עדים. ואי חתמו ביה דייני, טפי מעלי</w:t>
      </w:r>
      <w:r w:rsidRPr="001D49D4">
        <w:rPr>
          <w:rFonts w:ascii="Calibri" w:eastAsia="Calibri" w:hAnsi="Calibri" w:cs="Arial"/>
          <w:vertAlign w:val="superscript"/>
          <w:rtl/>
        </w:rPr>
        <w:footnoteReference w:id="5379"/>
      </w:r>
      <w:r w:rsidRPr="001D49D4">
        <w:rPr>
          <w:rFonts w:ascii="Calibri" w:eastAsia="Calibri" w:hAnsi="Calibri" w:cs="Arial"/>
          <w:rtl/>
        </w:rPr>
        <w:t xml:space="preserve">, ואין צריך שם עדים. </w:t>
      </w:r>
    </w:p>
    <w:p w14:paraId="02823818" w14:textId="77777777" w:rsidR="001D49D4" w:rsidRPr="001D49D4" w:rsidRDefault="001D49D4" w:rsidP="0004348D">
      <w:pPr>
        <w:spacing w:before="360" w:after="240"/>
        <w:rPr>
          <w:rFonts w:ascii="Calibri" w:eastAsia="Calibri" w:hAnsi="Calibri" w:cs="Arial"/>
          <w:rtl/>
        </w:rPr>
      </w:pPr>
    </w:p>
    <w:p w14:paraId="58AE9881" w14:textId="77777777" w:rsidR="001D49D4" w:rsidRPr="001D49D4" w:rsidRDefault="001D49D4" w:rsidP="0004348D">
      <w:pPr>
        <w:keepNext/>
        <w:keepLines/>
        <w:spacing w:before="360" w:after="240"/>
        <w:outlineLvl w:val="1"/>
        <w:rPr>
          <w:rFonts w:ascii="Cambria" w:eastAsia="Times New Roman" w:hAnsi="Cambria" w:cs="Arial"/>
          <w:bCs/>
          <w:color w:val="548DD4" w:themeColor="text2" w:themeTint="99"/>
          <w:sz w:val="26"/>
          <w:szCs w:val="26"/>
          <w:rtl/>
        </w:rPr>
      </w:pPr>
      <w:bookmarkStart w:id="754" w:name="_Toc24884159"/>
      <w:r w:rsidRPr="001D49D4">
        <w:rPr>
          <w:rFonts w:ascii="Cambria" w:eastAsia="Times New Roman" w:hAnsi="Cambria" w:cs="Arial"/>
          <w:bCs/>
          <w:color w:val="548DD4" w:themeColor="text2" w:themeTint="99"/>
          <w:sz w:val="26"/>
          <w:szCs w:val="26"/>
          <w:rtl/>
        </w:rPr>
        <w:t>סעיף כב: אין כותבין פרוזבול אלא על הקרקע.</w:t>
      </w:r>
      <w:bookmarkEnd w:id="754"/>
    </w:p>
    <w:p w14:paraId="3D1D7803"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b/>
          <w:bCs/>
          <w:rtl/>
        </w:rPr>
        <w:t>משנה שביעית פ"י מ"ו:</w:t>
      </w:r>
      <w:r w:rsidRPr="001D49D4">
        <w:rPr>
          <w:rFonts w:ascii="Calibri" w:eastAsia="Calibri" w:hAnsi="Calibri" w:cs="Arial"/>
          <w:rtl/>
        </w:rPr>
        <w:t xml:space="preserve"> אין כותבין פרוזבול אלא על הקרקע</w:t>
      </w:r>
      <w:r w:rsidRPr="001D49D4">
        <w:rPr>
          <w:rFonts w:ascii="Calibri" w:eastAsia="Calibri" w:hAnsi="Calibri" w:cs="Arial"/>
          <w:vertAlign w:val="superscript"/>
          <w:rtl/>
        </w:rPr>
        <w:footnoteReference w:id="5380"/>
      </w:r>
      <w:r w:rsidRPr="001D49D4">
        <w:rPr>
          <w:rFonts w:ascii="Calibri" w:eastAsia="Calibri" w:hAnsi="Calibri" w:cs="Arial"/>
          <w:rtl/>
        </w:rPr>
        <w:t xml:space="preserve">. אם אין לו מזכה הוא בתוך שדהו כל שהוא. </w:t>
      </w:r>
    </w:p>
    <w:p w14:paraId="2E91F231"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b/>
          <w:bCs/>
          <w:rtl/>
        </w:rPr>
        <w:t xml:space="preserve">ירושלמי </w:t>
      </w:r>
      <w:r w:rsidRPr="001D49D4">
        <w:rPr>
          <w:rFonts w:ascii="Calibri" w:eastAsia="Calibri" w:hAnsi="Calibri" w:cs="Arial"/>
          <w:b/>
          <w:bCs/>
          <w:sz w:val="16"/>
          <w:szCs w:val="16"/>
          <w:rtl/>
        </w:rPr>
        <w:t xml:space="preserve">(וילנא) </w:t>
      </w:r>
      <w:r w:rsidRPr="001D49D4">
        <w:rPr>
          <w:rFonts w:ascii="Calibri" w:eastAsia="Calibri" w:hAnsi="Calibri" w:cs="Arial"/>
          <w:b/>
          <w:bCs/>
          <w:rtl/>
        </w:rPr>
        <w:t>שביעית פ"י ה"ג:</w:t>
      </w:r>
      <w:r w:rsidRPr="001D49D4">
        <w:rPr>
          <w:rFonts w:ascii="Calibri" w:eastAsia="Calibri" w:hAnsi="Calibri" w:cs="Arial"/>
          <w:rtl/>
        </w:rPr>
        <w:t xml:space="preserve"> </w:t>
      </w:r>
      <w:r w:rsidRPr="001D49D4">
        <w:rPr>
          <w:rFonts w:ascii="Calibri" w:eastAsia="Calibri" w:hAnsi="Calibri" w:cs="Arial"/>
          <w:u w:val="double"/>
          <w:rtl/>
        </w:rPr>
        <w:t>מתני'</w:t>
      </w:r>
      <w:r w:rsidRPr="001D49D4">
        <w:rPr>
          <w:rFonts w:ascii="Calibri" w:eastAsia="Calibri" w:hAnsi="Calibri" w:cs="Arial"/>
          <w:rtl/>
        </w:rPr>
        <w:t xml:space="preserve">:.. אין כותבין פרוזבול אלא על הקרקע אם אין לו מזכהו בתוך שדהו כל שהוא...  </w:t>
      </w:r>
      <w:r w:rsidRPr="001D49D4">
        <w:rPr>
          <w:rFonts w:ascii="Calibri" w:eastAsia="Calibri" w:hAnsi="Calibri" w:cs="Arial"/>
          <w:u w:val="double"/>
          <w:rtl/>
        </w:rPr>
        <w:t>גמ'</w:t>
      </w:r>
      <w:r w:rsidRPr="001D49D4">
        <w:rPr>
          <w:rFonts w:ascii="Calibri" w:eastAsia="Calibri" w:hAnsi="Calibri" w:cs="Arial"/>
          <w:rtl/>
        </w:rPr>
        <w:t xml:space="preserve">: </w:t>
      </w:r>
      <w:r w:rsidRPr="001D49D4">
        <w:rPr>
          <w:rFonts w:ascii="Calibri" w:eastAsia="Calibri" w:hAnsi="Calibri" w:cs="Arial"/>
          <w:u w:val="single"/>
          <w:rtl/>
        </w:rPr>
        <w:t>רב אמר</w:t>
      </w:r>
      <w:r w:rsidRPr="001D49D4">
        <w:rPr>
          <w:rFonts w:ascii="Calibri" w:eastAsia="Calibri" w:hAnsi="Calibri" w:cs="Arial"/>
          <w:rtl/>
        </w:rPr>
        <w:t xml:space="preserve">: והוא שיהא קרקע למלוה וללוה. </w:t>
      </w:r>
      <w:r w:rsidRPr="001D49D4">
        <w:rPr>
          <w:rFonts w:ascii="Calibri" w:eastAsia="Calibri" w:hAnsi="Calibri" w:cs="Arial"/>
          <w:u w:val="single"/>
          <w:rtl/>
        </w:rPr>
        <w:t>ור' יוחנן אמר</w:t>
      </w:r>
      <w:r w:rsidRPr="001D49D4">
        <w:rPr>
          <w:rFonts w:ascii="Calibri" w:eastAsia="Calibri" w:hAnsi="Calibri" w:cs="Arial"/>
          <w:rtl/>
        </w:rPr>
        <w:t>: למלוה אף על פי שאין ללוה, וללוה אף על פי שאין למלוה.</w:t>
      </w:r>
    </w:p>
    <w:p w14:paraId="3005193E"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b/>
          <w:bCs/>
          <w:rtl/>
        </w:rPr>
        <w:t xml:space="preserve">גיטין </w:t>
      </w:r>
      <w:r w:rsidRPr="001D49D4">
        <w:rPr>
          <w:rFonts w:ascii="Calibri" w:eastAsia="Calibri" w:hAnsi="Calibri" w:cs="Arial"/>
          <w:b/>
          <w:bCs/>
          <w:sz w:val="16"/>
          <w:szCs w:val="16"/>
          <w:rtl/>
        </w:rPr>
        <w:t>(פרק כל הגט)</w:t>
      </w:r>
      <w:r w:rsidRPr="001D49D4">
        <w:rPr>
          <w:rFonts w:ascii="Calibri" w:eastAsia="Calibri" w:hAnsi="Calibri" w:cs="Arial"/>
          <w:b/>
          <w:bCs/>
          <w:rtl/>
        </w:rPr>
        <w:t xml:space="preserve"> ל ע"א:</w:t>
      </w:r>
      <w:r w:rsidRPr="001D49D4">
        <w:rPr>
          <w:rFonts w:ascii="Calibri" w:eastAsia="Calibri" w:hAnsi="Calibri" w:cs="Arial"/>
          <w:rtl/>
        </w:rPr>
        <w:t xml:space="preserve"> </w:t>
      </w:r>
      <w:r w:rsidRPr="001D49D4">
        <w:rPr>
          <w:rFonts w:ascii="Calibri" w:eastAsia="Calibri" w:hAnsi="Calibri" w:cs="Arial"/>
          <w:u w:val="double"/>
          <w:rtl/>
        </w:rPr>
        <w:t>מתני'</w:t>
      </w:r>
      <w:r w:rsidRPr="001D49D4">
        <w:rPr>
          <w:rFonts w:ascii="Calibri" w:eastAsia="Calibri" w:hAnsi="Calibri" w:cs="Arial"/>
          <w:rtl/>
        </w:rPr>
        <w:t xml:space="preserve">: המלוה מעות את הכהן ואת הלוי ואת העני להיות מפריש עליהן מחלקן - מפריש עליהן בחזקת שהן קיימין, ואינו חושש שמא מת הכהן או הלוי, או העשיר העני. מתו - צריך ליטול רשות מן היורשים. אם הלוון בפני ב"ד - אינו צריך ליטול רשות מן היורשין.      </w:t>
      </w:r>
      <w:r w:rsidRPr="001D49D4">
        <w:rPr>
          <w:rFonts w:ascii="Calibri" w:eastAsia="Calibri" w:hAnsi="Calibri" w:cs="Arial"/>
          <w:u w:val="double"/>
          <w:rtl/>
        </w:rPr>
        <w:t>גמ'</w:t>
      </w:r>
      <w:r w:rsidRPr="001D49D4">
        <w:rPr>
          <w:rFonts w:ascii="Calibri" w:eastAsia="Calibri" w:hAnsi="Calibri" w:cs="Arial"/>
          <w:sz w:val="14"/>
          <w:szCs w:val="14"/>
          <w:u w:val="double"/>
          <w:rtl/>
        </w:rPr>
        <w:t xml:space="preserve"> (ל:)</w:t>
      </w:r>
      <w:r w:rsidRPr="001D49D4">
        <w:rPr>
          <w:rFonts w:ascii="Calibri" w:eastAsia="Calibri" w:hAnsi="Calibri" w:cs="Arial"/>
          <w:u w:val="double"/>
          <w:rtl/>
        </w:rPr>
        <w:t>:</w:t>
      </w:r>
      <w:r w:rsidRPr="001D49D4">
        <w:rPr>
          <w:rFonts w:ascii="Calibri" w:eastAsia="Calibri" w:hAnsi="Calibri" w:cs="Arial"/>
          <w:rtl/>
        </w:rPr>
        <w:t xml:space="preserve"> מת - צריך ליטול רשות וכו'. תניא, </w:t>
      </w:r>
      <w:r w:rsidRPr="001D49D4">
        <w:rPr>
          <w:rFonts w:ascii="Calibri" w:eastAsia="Calibri" w:hAnsi="Calibri" w:cs="Arial"/>
          <w:u w:val="single"/>
          <w:rtl/>
        </w:rPr>
        <w:t>רבי אומר</w:t>
      </w:r>
      <w:r w:rsidRPr="001D49D4">
        <w:rPr>
          <w:rFonts w:ascii="Calibri" w:eastAsia="Calibri" w:hAnsi="Calibri" w:cs="Arial"/>
          <w:rtl/>
        </w:rPr>
        <w:t xml:space="preserve">: יורשין שירשו. ומי איכא יורשין דלא ירתי? </w:t>
      </w:r>
      <w:r w:rsidRPr="001D49D4">
        <w:rPr>
          <w:rFonts w:ascii="Calibri" w:eastAsia="Calibri" w:hAnsi="Calibri" w:cs="Arial"/>
          <w:u w:val="single"/>
          <w:rtl/>
        </w:rPr>
        <w:t>אלא אמר ר' יוחנן</w:t>
      </w:r>
      <w:r w:rsidRPr="001D49D4">
        <w:rPr>
          <w:rFonts w:ascii="Calibri" w:eastAsia="Calibri" w:hAnsi="Calibri" w:cs="Arial"/>
          <w:rtl/>
        </w:rPr>
        <w:t>: שירשו קרקע</w:t>
      </w:r>
      <w:r w:rsidRPr="001D49D4">
        <w:rPr>
          <w:rFonts w:ascii="Calibri" w:eastAsia="Calibri" w:hAnsi="Calibri" w:cs="Arial"/>
          <w:vertAlign w:val="superscript"/>
          <w:rtl/>
        </w:rPr>
        <w:footnoteReference w:id="5381"/>
      </w:r>
      <w:r w:rsidRPr="001D49D4">
        <w:rPr>
          <w:rFonts w:ascii="Calibri" w:eastAsia="Calibri" w:hAnsi="Calibri" w:cs="Arial"/>
          <w:rtl/>
        </w:rPr>
        <w:t xml:space="preserve"> ולא שירשו כספים. </w:t>
      </w:r>
      <w:r w:rsidRPr="001D49D4">
        <w:rPr>
          <w:rFonts w:ascii="Calibri" w:eastAsia="Calibri" w:hAnsi="Calibri" w:cs="Arial"/>
          <w:u w:val="single"/>
          <w:rtl/>
        </w:rPr>
        <w:t>א"ר יונתן</w:t>
      </w:r>
      <w:r w:rsidRPr="001D49D4">
        <w:rPr>
          <w:rFonts w:ascii="Calibri" w:eastAsia="Calibri" w:hAnsi="Calibri" w:cs="Arial"/>
          <w:rtl/>
        </w:rPr>
        <w:t>: הניח מלא מחט</w:t>
      </w:r>
      <w:r w:rsidRPr="001D49D4">
        <w:rPr>
          <w:rFonts w:ascii="Calibri" w:eastAsia="Calibri" w:hAnsi="Calibri" w:cs="Arial"/>
          <w:vertAlign w:val="superscript"/>
          <w:rtl/>
        </w:rPr>
        <w:footnoteReference w:id="5382"/>
      </w:r>
      <w:r w:rsidRPr="001D49D4">
        <w:rPr>
          <w:rFonts w:ascii="Calibri" w:eastAsia="Calibri" w:hAnsi="Calibri" w:cs="Arial"/>
          <w:rtl/>
        </w:rPr>
        <w:t xml:space="preserve"> גובה מלא מחט, מלא קרדום</w:t>
      </w:r>
      <w:r w:rsidRPr="001D49D4">
        <w:rPr>
          <w:rFonts w:ascii="Calibri" w:eastAsia="Calibri" w:hAnsi="Calibri" w:cs="Arial"/>
          <w:vertAlign w:val="superscript"/>
          <w:rtl/>
        </w:rPr>
        <w:footnoteReference w:id="5383"/>
      </w:r>
      <w:r w:rsidRPr="001D49D4">
        <w:rPr>
          <w:rFonts w:ascii="Calibri" w:eastAsia="Calibri" w:hAnsi="Calibri" w:cs="Arial"/>
          <w:rtl/>
        </w:rPr>
        <w:t xml:space="preserve"> - גובה מלא קרדום. </w:t>
      </w:r>
      <w:r w:rsidRPr="001D49D4">
        <w:rPr>
          <w:rFonts w:ascii="Calibri" w:eastAsia="Calibri" w:hAnsi="Calibri" w:cs="Arial"/>
          <w:u w:val="single"/>
          <w:rtl/>
        </w:rPr>
        <w:t>ור' יוחנן אמר</w:t>
      </w:r>
      <w:r w:rsidRPr="001D49D4">
        <w:rPr>
          <w:rFonts w:ascii="Calibri" w:eastAsia="Calibri" w:hAnsi="Calibri" w:cs="Arial"/>
          <w:rtl/>
        </w:rPr>
        <w:t>: אפילו הניח מלא מחט גובה מלא קרדום</w:t>
      </w:r>
      <w:r w:rsidRPr="001D49D4">
        <w:rPr>
          <w:rFonts w:ascii="Calibri" w:eastAsia="Calibri" w:hAnsi="Calibri" w:cs="Arial"/>
          <w:vertAlign w:val="superscript"/>
          <w:rtl/>
        </w:rPr>
        <w:footnoteReference w:id="5384"/>
      </w:r>
      <w:r w:rsidRPr="001D49D4">
        <w:rPr>
          <w:rFonts w:ascii="Calibri" w:eastAsia="Calibri" w:hAnsi="Calibri" w:cs="Arial"/>
          <w:rtl/>
        </w:rPr>
        <w:t>, וכמעשה דקטינא דאביי</w:t>
      </w:r>
      <w:r w:rsidRPr="001D49D4">
        <w:rPr>
          <w:rFonts w:ascii="Calibri" w:eastAsia="Calibri" w:hAnsi="Calibri" w:cs="Arial"/>
          <w:vertAlign w:val="superscript"/>
          <w:rtl/>
        </w:rPr>
        <w:footnoteReference w:id="5385"/>
      </w:r>
      <w:r w:rsidRPr="001D49D4">
        <w:rPr>
          <w:rFonts w:ascii="Calibri" w:eastAsia="Calibri" w:hAnsi="Calibri" w:cs="Arial"/>
          <w:rtl/>
        </w:rPr>
        <w:t>.</w:t>
      </w:r>
    </w:p>
    <w:p w14:paraId="4EA63863"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b/>
          <w:bCs/>
          <w:rtl/>
        </w:rPr>
        <w:t xml:space="preserve">גיטין </w:t>
      </w:r>
      <w:r w:rsidRPr="001D49D4">
        <w:rPr>
          <w:rFonts w:ascii="Calibri" w:eastAsia="Calibri" w:hAnsi="Calibri" w:cs="Arial"/>
          <w:b/>
          <w:bCs/>
          <w:sz w:val="16"/>
          <w:szCs w:val="16"/>
          <w:rtl/>
        </w:rPr>
        <w:t xml:space="preserve">(פרק השולח) </w:t>
      </w:r>
      <w:r w:rsidRPr="001D49D4">
        <w:rPr>
          <w:rFonts w:ascii="Calibri" w:eastAsia="Calibri" w:hAnsi="Calibri" w:cs="Arial"/>
          <w:b/>
          <w:bCs/>
          <w:rtl/>
        </w:rPr>
        <w:t>לז</w:t>
      </w:r>
      <w:r w:rsidRPr="001D49D4">
        <w:rPr>
          <w:rFonts w:ascii="Calibri" w:eastAsia="Calibri" w:hAnsi="Calibri" w:cs="Arial"/>
          <w:b/>
          <w:bCs/>
          <w:vertAlign w:val="superscript"/>
          <w:rtl/>
        </w:rPr>
        <w:footnoteReference w:id="5386"/>
      </w:r>
      <w:r w:rsidRPr="001D49D4">
        <w:rPr>
          <w:rFonts w:ascii="Calibri" w:eastAsia="Calibri" w:hAnsi="Calibri" w:cs="Arial"/>
          <w:b/>
          <w:bCs/>
          <w:rtl/>
        </w:rPr>
        <w:t xml:space="preserve"> ע"א:</w:t>
      </w:r>
      <w:r w:rsidRPr="001D49D4">
        <w:rPr>
          <w:rFonts w:ascii="Calibri" w:eastAsia="Calibri" w:hAnsi="Calibri" w:cs="Arial"/>
          <w:rtl/>
        </w:rPr>
        <w:t xml:space="preserve"> תנן התם: אין כותבין פרוסבול אלא על הקרקע, אם אין לו - מזכהו</w:t>
      </w:r>
      <w:r w:rsidRPr="001D49D4">
        <w:rPr>
          <w:rFonts w:ascii="Calibri" w:eastAsia="Calibri" w:hAnsi="Calibri" w:cs="Arial"/>
          <w:vertAlign w:val="superscript"/>
          <w:rtl/>
        </w:rPr>
        <w:footnoteReference w:id="5387"/>
      </w:r>
      <w:r w:rsidRPr="001D49D4">
        <w:rPr>
          <w:rFonts w:ascii="Calibri" w:eastAsia="Calibri" w:hAnsi="Calibri" w:cs="Arial"/>
          <w:rtl/>
        </w:rPr>
        <w:t xml:space="preserve"> בתוך שדהו כל שהו</w:t>
      </w:r>
      <w:r w:rsidRPr="001D49D4">
        <w:rPr>
          <w:rFonts w:ascii="Calibri" w:eastAsia="Calibri" w:hAnsi="Calibri" w:cs="Arial"/>
          <w:vertAlign w:val="superscript"/>
          <w:rtl/>
        </w:rPr>
        <w:footnoteReference w:id="5388"/>
      </w:r>
      <w:r w:rsidRPr="001D49D4">
        <w:rPr>
          <w:rFonts w:ascii="Calibri" w:eastAsia="Calibri" w:hAnsi="Calibri" w:cs="Arial"/>
          <w:rtl/>
        </w:rPr>
        <w:t xml:space="preserve">. וכמה כל שהו? </w:t>
      </w:r>
      <w:r w:rsidRPr="001D49D4">
        <w:rPr>
          <w:rFonts w:ascii="Calibri" w:eastAsia="Calibri" w:hAnsi="Calibri" w:cs="Arial"/>
          <w:u w:val="single"/>
          <w:rtl/>
        </w:rPr>
        <w:t>אמר רב חייא בר אשי אמר רב</w:t>
      </w:r>
      <w:r w:rsidRPr="001D49D4">
        <w:rPr>
          <w:rFonts w:ascii="Calibri" w:eastAsia="Calibri" w:hAnsi="Calibri" w:cs="Arial"/>
          <w:rtl/>
        </w:rPr>
        <w:t>: אפילו קלח של כרוב... רב אשי מקני ליה גידמא דדיקלא וכתב עליה פרוסבול.</w:t>
      </w:r>
    </w:p>
    <w:p w14:paraId="59CE1823" w14:textId="77777777" w:rsidR="001D49D4" w:rsidRPr="001D49D4" w:rsidRDefault="001D49D4" w:rsidP="0004348D">
      <w:pPr>
        <w:spacing w:before="360" w:after="240"/>
        <w:rPr>
          <w:rFonts w:ascii="Calibri" w:eastAsia="Calibri" w:hAnsi="Calibri" w:cs="Arial"/>
          <w:u w:val="single"/>
          <w:rtl/>
        </w:rPr>
      </w:pPr>
      <w:r w:rsidRPr="001D49D4">
        <w:rPr>
          <w:rFonts w:ascii="Calibri" w:eastAsia="Calibri" w:hAnsi="Calibri" w:cs="Arial"/>
          <w:u w:val="single"/>
          <w:rtl/>
        </w:rPr>
        <w:t>אין כותבין פרוזבול אלא על הקרקע:</w:t>
      </w:r>
    </w:p>
    <w:p w14:paraId="5280DF50" w14:textId="77777777" w:rsidR="001D49D4" w:rsidRPr="001D49D4" w:rsidRDefault="001D49D4" w:rsidP="0004348D">
      <w:pPr>
        <w:numPr>
          <w:ilvl w:val="0"/>
          <w:numId w:val="349"/>
        </w:numPr>
        <w:spacing w:before="360" w:after="240"/>
        <w:contextualSpacing/>
        <w:rPr>
          <w:rFonts w:ascii="Calibri" w:eastAsia="Calibri" w:hAnsi="Calibri" w:cs="Arial"/>
          <w:rtl/>
        </w:rPr>
      </w:pPr>
      <w:r w:rsidRPr="001D49D4">
        <w:rPr>
          <w:rFonts w:ascii="Calibri" w:eastAsia="Calibri" w:hAnsi="Calibri" w:cs="Arial"/>
          <w:rtl/>
        </w:rPr>
        <w:t xml:space="preserve">רש"י </w:t>
      </w:r>
      <w:r w:rsidRPr="001D49D4">
        <w:rPr>
          <w:rFonts w:ascii="Calibri" w:eastAsia="Calibri" w:hAnsi="Calibri" w:cs="Arial"/>
          <w:sz w:val="16"/>
          <w:szCs w:val="16"/>
          <w:rtl/>
        </w:rPr>
        <w:t>(פרק השולח לז.)</w:t>
      </w:r>
      <w:r w:rsidRPr="001D49D4">
        <w:rPr>
          <w:rFonts w:ascii="Calibri" w:eastAsia="Calibri" w:hAnsi="Calibri" w:cs="Arial"/>
          <w:rtl/>
        </w:rPr>
        <w:t xml:space="preserve"> רמב"ם </w:t>
      </w:r>
      <w:r w:rsidRPr="001D49D4">
        <w:rPr>
          <w:rFonts w:ascii="Calibri" w:eastAsia="Calibri" w:hAnsi="Calibri" w:cs="Arial"/>
          <w:sz w:val="16"/>
          <w:szCs w:val="16"/>
          <w:rtl/>
        </w:rPr>
        <w:t>(פ"ט משמיטה הי"ט)</w:t>
      </w:r>
      <w:r w:rsidRPr="001D49D4">
        <w:rPr>
          <w:rFonts w:ascii="Calibri" w:eastAsia="Calibri" w:hAnsi="Calibri" w:cs="Arial"/>
          <w:rtl/>
        </w:rPr>
        <w:t xml:space="preserve"> וטור- אין פרוזבול מועיל אא"כ יש לו ללוה קרקע ומיהו אפי' יש לו כל שהוא </w:t>
      </w:r>
      <w:r w:rsidRPr="001D49D4">
        <w:rPr>
          <w:rFonts w:ascii="Calibri" w:eastAsia="Calibri" w:hAnsi="Calibri" w:cs="Arial"/>
          <w:sz w:val="16"/>
          <w:szCs w:val="16"/>
          <w:rtl/>
        </w:rPr>
        <w:t>(ל' הטור)</w:t>
      </w:r>
      <w:r w:rsidRPr="001D49D4">
        <w:rPr>
          <w:rFonts w:ascii="Calibri" w:eastAsia="Calibri" w:hAnsi="Calibri" w:cs="Arial"/>
          <w:rtl/>
        </w:rPr>
        <w:t xml:space="preserve">. </w:t>
      </w:r>
      <w:r w:rsidRPr="001D49D4">
        <w:rPr>
          <w:rFonts w:ascii="Calibri" w:eastAsia="Calibri" w:hAnsi="Calibri" w:cs="Arial"/>
          <w:color w:val="E36C0A" w:themeColor="accent6" w:themeShade="BF"/>
          <w:rtl/>
        </w:rPr>
        <w:t>(וכ"פ בשו"ע)</w:t>
      </w:r>
    </w:p>
    <w:p w14:paraId="3503EFC8" w14:textId="77777777" w:rsidR="001D49D4" w:rsidRPr="001D49D4" w:rsidRDefault="001D49D4" w:rsidP="0004348D">
      <w:pPr>
        <w:spacing w:before="360" w:after="240"/>
        <w:rPr>
          <w:rFonts w:ascii="Calibri" w:eastAsia="Calibri" w:hAnsi="Calibri" w:cs="Arial"/>
        </w:rPr>
      </w:pPr>
      <w:r w:rsidRPr="001D49D4">
        <w:rPr>
          <w:rFonts w:ascii="Calibri" w:eastAsia="Calibri" w:hAnsi="Calibri" w:cs="Arial"/>
          <w:b/>
          <w:bCs/>
          <w:rtl/>
        </w:rPr>
        <w:t xml:space="preserve">גיטין </w:t>
      </w:r>
      <w:r w:rsidRPr="001D49D4">
        <w:rPr>
          <w:rFonts w:ascii="Calibri" w:eastAsia="Calibri" w:hAnsi="Calibri" w:cs="Arial"/>
          <w:b/>
          <w:bCs/>
          <w:sz w:val="16"/>
          <w:szCs w:val="16"/>
          <w:rtl/>
        </w:rPr>
        <w:t xml:space="preserve">(פרק השולח) </w:t>
      </w:r>
      <w:r w:rsidRPr="001D49D4">
        <w:rPr>
          <w:rFonts w:ascii="Calibri" w:eastAsia="Calibri" w:hAnsi="Calibri" w:cs="Arial"/>
          <w:b/>
          <w:bCs/>
          <w:rtl/>
        </w:rPr>
        <w:t>לז ע"א:</w:t>
      </w:r>
      <w:r w:rsidRPr="001D49D4">
        <w:rPr>
          <w:rFonts w:ascii="Calibri" w:eastAsia="Calibri" w:hAnsi="Calibri" w:cs="Arial"/>
          <w:rtl/>
        </w:rPr>
        <w:t xml:space="preserve"> תנן התם: אין כותבין פרוסבול אלא על הקרקע, אם אין לו - מזכהו בתוך שדהו כל שהו... </w:t>
      </w:r>
      <w:r w:rsidRPr="001D49D4">
        <w:rPr>
          <w:rFonts w:ascii="Calibri" w:eastAsia="Calibri" w:hAnsi="Calibri" w:cs="Arial"/>
          <w:u w:val="single"/>
          <w:rtl/>
        </w:rPr>
        <w:t>אמר רב יהודה</w:t>
      </w:r>
      <w:r w:rsidRPr="001D49D4">
        <w:rPr>
          <w:rFonts w:ascii="Calibri" w:eastAsia="Calibri" w:hAnsi="Calibri" w:cs="Arial"/>
          <w:rtl/>
        </w:rPr>
        <w:t>: אפי' השאילו מקום לתנור</w:t>
      </w:r>
      <w:r w:rsidRPr="001D49D4">
        <w:rPr>
          <w:rFonts w:ascii="Calibri" w:eastAsia="Calibri" w:hAnsi="Calibri" w:cs="Arial"/>
          <w:vertAlign w:val="superscript"/>
          <w:rtl/>
        </w:rPr>
        <w:footnoteReference w:id="5389"/>
      </w:r>
      <w:r w:rsidRPr="001D49D4">
        <w:rPr>
          <w:rFonts w:ascii="Calibri" w:eastAsia="Calibri" w:hAnsi="Calibri" w:cs="Arial"/>
          <w:rtl/>
        </w:rPr>
        <w:t xml:space="preserve"> ולכירים - כותבין עליו פרוסבול. איני? והתני הלל</w:t>
      </w:r>
      <w:r w:rsidRPr="001D49D4">
        <w:rPr>
          <w:rFonts w:ascii="Calibri" w:eastAsia="Calibri" w:hAnsi="Calibri" w:cs="Arial"/>
          <w:vertAlign w:val="superscript"/>
          <w:rtl/>
        </w:rPr>
        <w:footnoteReference w:id="5390"/>
      </w:r>
      <w:r w:rsidRPr="001D49D4">
        <w:rPr>
          <w:rFonts w:ascii="Calibri" w:eastAsia="Calibri" w:hAnsi="Calibri" w:cs="Arial"/>
          <w:rtl/>
        </w:rPr>
        <w:t>: אין כותבין פרוסבול אלא על עציץ נקוב</w:t>
      </w:r>
      <w:r w:rsidRPr="001D49D4">
        <w:rPr>
          <w:rFonts w:ascii="Calibri" w:eastAsia="Calibri" w:hAnsi="Calibri" w:cs="Arial"/>
          <w:vertAlign w:val="superscript"/>
          <w:rtl/>
        </w:rPr>
        <w:footnoteReference w:id="5391"/>
      </w:r>
      <w:r w:rsidRPr="001D49D4">
        <w:rPr>
          <w:rFonts w:ascii="Calibri" w:eastAsia="Calibri" w:hAnsi="Calibri" w:cs="Arial"/>
          <w:rtl/>
        </w:rPr>
        <w:t xml:space="preserve"> בלבד. נקוב אין, שאינו נקוב לא, אמאי? והא איכא מקומו</w:t>
      </w:r>
      <w:r w:rsidRPr="001D49D4">
        <w:rPr>
          <w:rFonts w:ascii="Calibri" w:eastAsia="Calibri" w:hAnsi="Calibri" w:cs="Arial"/>
          <w:vertAlign w:val="superscript"/>
          <w:rtl/>
        </w:rPr>
        <w:footnoteReference w:id="5392"/>
      </w:r>
      <w:r w:rsidRPr="001D49D4">
        <w:rPr>
          <w:rFonts w:ascii="Calibri" w:eastAsia="Calibri" w:hAnsi="Calibri" w:cs="Arial"/>
          <w:rtl/>
        </w:rPr>
        <w:t>! לא צריכא דמנח אסיכי</w:t>
      </w:r>
      <w:r w:rsidRPr="001D49D4">
        <w:rPr>
          <w:rFonts w:ascii="Calibri" w:eastAsia="Calibri" w:hAnsi="Calibri" w:cs="Arial"/>
          <w:vertAlign w:val="superscript"/>
          <w:rtl/>
        </w:rPr>
        <w:footnoteReference w:id="5393"/>
      </w:r>
      <w:r w:rsidRPr="001D49D4">
        <w:rPr>
          <w:rFonts w:ascii="Calibri" w:eastAsia="Calibri" w:hAnsi="Calibri" w:cs="Arial"/>
          <w:rtl/>
        </w:rPr>
        <w:t>... ת"ר: אין לו קרקע, ולערב יש לו קרקע, כותבין עליו פרוסבול. לו ולערב אין להן קרקע, ולחייב לו</w:t>
      </w:r>
      <w:r w:rsidRPr="001D49D4">
        <w:rPr>
          <w:rFonts w:ascii="Calibri" w:eastAsia="Calibri" w:hAnsi="Calibri" w:cs="Arial"/>
          <w:vertAlign w:val="superscript"/>
          <w:rtl/>
        </w:rPr>
        <w:footnoteReference w:id="5394"/>
      </w:r>
      <w:r w:rsidRPr="001D49D4">
        <w:rPr>
          <w:rFonts w:ascii="Calibri" w:eastAsia="Calibri" w:hAnsi="Calibri" w:cs="Arial"/>
          <w:rtl/>
        </w:rPr>
        <w:t xml:space="preserve"> יש לו קרקע - כותבין עליו פרוסבול, מדרבי נתן</w:t>
      </w:r>
      <w:r w:rsidRPr="001D49D4">
        <w:rPr>
          <w:rFonts w:ascii="Calibri" w:eastAsia="Calibri" w:hAnsi="Calibri" w:cs="Arial"/>
          <w:vertAlign w:val="superscript"/>
          <w:rtl/>
        </w:rPr>
        <w:footnoteReference w:id="5395"/>
      </w:r>
      <w:r w:rsidRPr="001D49D4">
        <w:rPr>
          <w:rFonts w:ascii="Calibri" w:eastAsia="Calibri" w:hAnsi="Calibri" w:cs="Arial"/>
          <w:rtl/>
        </w:rPr>
        <w:t>. דתניא, רבי נתן אומר: מנין לנושה בחברו מנה וחברו בחברו, מנין שמוציאין מזה ונותנין לזה? ת"ל: ונתן לאשר אשם לו.</w:t>
      </w:r>
    </w:p>
    <w:p w14:paraId="73129ED3"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b/>
          <w:bCs/>
          <w:rtl/>
        </w:rPr>
        <w:t xml:space="preserve">ירושלמי </w:t>
      </w:r>
      <w:r w:rsidRPr="001D49D4">
        <w:rPr>
          <w:rFonts w:ascii="Calibri" w:eastAsia="Calibri" w:hAnsi="Calibri" w:cs="Arial"/>
          <w:b/>
          <w:bCs/>
          <w:sz w:val="16"/>
          <w:szCs w:val="16"/>
          <w:rtl/>
        </w:rPr>
        <w:t xml:space="preserve">(וילנא) </w:t>
      </w:r>
      <w:r w:rsidRPr="001D49D4">
        <w:rPr>
          <w:rFonts w:ascii="Calibri" w:eastAsia="Calibri" w:hAnsi="Calibri" w:cs="Arial"/>
          <w:b/>
          <w:bCs/>
          <w:rtl/>
        </w:rPr>
        <w:t>שביעית פ"י ה"ג:</w:t>
      </w:r>
      <w:r w:rsidRPr="001D49D4">
        <w:rPr>
          <w:rFonts w:ascii="Calibri" w:eastAsia="Calibri" w:hAnsi="Calibri" w:cs="Arial"/>
          <w:rtl/>
        </w:rPr>
        <w:t xml:space="preserve"> </w:t>
      </w:r>
      <w:r w:rsidRPr="001D49D4">
        <w:rPr>
          <w:rFonts w:ascii="Calibri" w:eastAsia="Calibri" w:hAnsi="Calibri" w:cs="Arial"/>
          <w:u w:val="double"/>
          <w:rtl/>
        </w:rPr>
        <w:t>מתני'</w:t>
      </w:r>
      <w:r w:rsidRPr="001D49D4">
        <w:rPr>
          <w:rFonts w:ascii="Calibri" w:eastAsia="Calibri" w:hAnsi="Calibri" w:cs="Arial"/>
          <w:rtl/>
        </w:rPr>
        <w:t xml:space="preserve">:.. אין כותבין פרוזבול אלא על הקרקע אם אין לו מזכהו בתוך שדהו כל שהוא...  </w:t>
      </w:r>
      <w:r w:rsidRPr="001D49D4">
        <w:rPr>
          <w:rFonts w:ascii="Calibri" w:eastAsia="Calibri" w:hAnsi="Calibri" w:cs="Arial"/>
          <w:u w:val="double"/>
          <w:rtl/>
        </w:rPr>
        <w:t>גמ'</w:t>
      </w:r>
      <w:r w:rsidRPr="001D49D4">
        <w:rPr>
          <w:rFonts w:ascii="Calibri" w:eastAsia="Calibri" w:hAnsi="Calibri" w:cs="Arial"/>
          <w:rtl/>
        </w:rPr>
        <w:t xml:space="preserve">: </w:t>
      </w:r>
      <w:r w:rsidRPr="001D49D4">
        <w:rPr>
          <w:rFonts w:ascii="Calibri" w:eastAsia="Calibri" w:hAnsi="Calibri" w:cs="Arial"/>
          <w:u w:val="single"/>
          <w:rtl/>
        </w:rPr>
        <w:t>רב אמר</w:t>
      </w:r>
      <w:r w:rsidRPr="001D49D4">
        <w:rPr>
          <w:rFonts w:ascii="Calibri" w:eastAsia="Calibri" w:hAnsi="Calibri" w:cs="Arial"/>
          <w:rtl/>
        </w:rPr>
        <w:t xml:space="preserve">: והוא שיהא קרקע למלוה וללוה. </w:t>
      </w:r>
      <w:r w:rsidRPr="001D49D4">
        <w:rPr>
          <w:rFonts w:ascii="Calibri" w:eastAsia="Calibri" w:hAnsi="Calibri" w:cs="Arial"/>
          <w:u w:val="single"/>
          <w:rtl/>
        </w:rPr>
        <w:t>ור' יוחנן אמר</w:t>
      </w:r>
      <w:r w:rsidRPr="001D49D4">
        <w:rPr>
          <w:rFonts w:ascii="Calibri" w:eastAsia="Calibri" w:hAnsi="Calibri" w:cs="Arial"/>
          <w:rtl/>
        </w:rPr>
        <w:t>: למלוה אף על פי שאין ללוה, וללוה אף על פי שאין למלוה. אין לו</w:t>
      </w:r>
      <w:r w:rsidRPr="001D49D4">
        <w:rPr>
          <w:rFonts w:ascii="Calibri" w:eastAsia="Calibri" w:hAnsi="Calibri" w:cs="Arial"/>
          <w:vertAlign w:val="superscript"/>
          <w:rtl/>
        </w:rPr>
        <w:footnoteReference w:id="5396"/>
      </w:r>
      <w:r w:rsidRPr="001D49D4">
        <w:rPr>
          <w:rFonts w:ascii="Calibri" w:eastAsia="Calibri" w:hAnsi="Calibri" w:cs="Arial"/>
          <w:rtl/>
        </w:rPr>
        <w:t xml:space="preserve"> קרקע, ולחייבין לו</w:t>
      </w:r>
      <w:r w:rsidRPr="001D49D4">
        <w:rPr>
          <w:rFonts w:ascii="Calibri" w:eastAsia="Calibri" w:hAnsi="Calibri" w:cs="Arial"/>
          <w:vertAlign w:val="superscript"/>
          <w:rtl/>
        </w:rPr>
        <w:footnoteReference w:id="5397"/>
      </w:r>
      <w:r w:rsidRPr="001D49D4">
        <w:rPr>
          <w:rFonts w:ascii="Calibri" w:eastAsia="Calibri" w:hAnsi="Calibri" w:cs="Arial"/>
          <w:rtl/>
        </w:rPr>
        <w:t xml:space="preserve"> קרקע - כותבין לו פרוזבול</w:t>
      </w:r>
      <w:r w:rsidRPr="001D49D4">
        <w:rPr>
          <w:rFonts w:ascii="Calibri" w:eastAsia="Calibri" w:hAnsi="Calibri" w:cs="Arial"/>
          <w:vertAlign w:val="superscript"/>
          <w:rtl/>
        </w:rPr>
        <w:footnoteReference w:id="5398"/>
      </w:r>
      <w:r w:rsidRPr="001D49D4">
        <w:rPr>
          <w:rFonts w:ascii="Calibri" w:eastAsia="Calibri" w:hAnsi="Calibri" w:cs="Arial"/>
          <w:rtl/>
        </w:rPr>
        <w:t xml:space="preserve">. </w:t>
      </w:r>
      <w:r w:rsidRPr="001D49D4">
        <w:rPr>
          <w:rFonts w:ascii="Calibri" w:eastAsia="Calibri" w:hAnsi="Calibri" w:cs="Arial"/>
          <w:u w:val="single"/>
          <w:rtl/>
        </w:rPr>
        <w:t>רבי בא בשם רב</w:t>
      </w:r>
      <w:r w:rsidRPr="001D49D4">
        <w:rPr>
          <w:rFonts w:ascii="Calibri" w:eastAsia="Calibri" w:hAnsi="Calibri" w:cs="Arial"/>
          <w:rtl/>
        </w:rPr>
        <w:t>: מי שאין לו אלא קלח א' בתוך שדהו</w:t>
      </w:r>
      <w:r w:rsidRPr="001D49D4">
        <w:rPr>
          <w:rFonts w:ascii="Calibri" w:eastAsia="Calibri" w:hAnsi="Calibri" w:cs="Arial"/>
          <w:vertAlign w:val="superscript"/>
          <w:rtl/>
        </w:rPr>
        <w:footnoteReference w:id="5399"/>
      </w:r>
      <w:r w:rsidRPr="001D49D4">
        <w:rPr>
          <w:rFonts w:ascii="Calibri" w:eastAsia="Calibri" w:hAnsi="Calibri" w:cs="Arial"/>
          <w:rtl/>
        </w:rPr>
        <w:t xml:space="preserve"> כותבין לו פרוזבול.</w:t>
      </w:r>
    </w:p>
    <w:p w14:paraId="2C63F652" w14:textId="77777777" w:rsidR="001D49D4" w:rsidRPr="001D49D4" w:rsidRDefault="001D49D4" w:rsidP="0004348D">
      <w:pPr>
        <w:spacing w:before="360" w:after="240"/>
        <w:rPr>
          <w:rFonts w:ascii="Calibri" w:eastAsia="Calibri" w:hAnsi="Calibri" w:cs="Arial"/>
          <w:u w:val="single"/>
          <w:rtl/>
        </w:rPr>
      </w:pPr>
      <w:r w:rsidRPr="001D49D4">
        <w:rPr>
          <w:rFonts w:ascii="Calibri" w:eastAsia="Calibri" w:hAnsi="Calibri" w:cs="Arial"/>
          <w:u w:val="single"/>
          <w:rtl/>
        </w:rPr>
        <w:t>לוה שאין לו קרקע:</w:t>
      </w:r>
    </w:p>
    <w:p w14:paraId="11ED7066" w14:textId="77777777" w:rsidR="001D49D4" w:rsidRPr="001D49D4" w:rsidRDefault="001D49D4" w:rsidP="0004348D">
      <w:pPr>
        <w:numPr>
          <w:ilvl w:val="0"/>
          <w:numId w:val="350"/>
        </w:numPr>
        <w:spacing w:before="360" w:after="240"/>
        <w:contextualSpacing/>
        <w:rPr>
          <w:rFonts w:ascii="Calibri" w:eastAsia="Calibri" w:hAnsi="Calibri" w:cs="Arial"/>
        </w:rPr>
      </w:pPr>
      <w:r w:rsidRPr="001D49D4">
        <w:rPr>
          <w:rFonts w:ascii="Calibri" w:eastAsia="Calibri" w:hAnsi="Calibri" w:cs="Arial"/>
          <w:rtl/>
        </w:rPr>
        <w:t xml:space="preserve">רמב"ם </w:t>
      </w:r>
      <w:r w:rsidRPr="001D49D4">
        <w:rPr>
          <w:rFonts w:ascii="Calibri" w:eastAsia="Calibri" w:hAnsi="Calibri" w:cs="Arial"/>
          <w:sz w:val="16"/>
          <w:szCs w:val="16"/>
          <w:rtl/>
        </w:rPr>
        <w:t>(שם הי"ט-כ)</w:t>
      </w:r>
      <w:r w:rsidRPr="001D49D4">
        <w:rPr>
          <w:rFonts w:ascii="Calibri" w:eastAsia="Calibri" w:hAnsi="Calibri" w:cs="Arial"/>
          <w:rtl/>
        </w:rPr>
        <w:t xml:space="preserve"> וטור- אפי' עציץ נקוב מונח על גבי יתדות באויר ואין מקום היתדות שלו – סגי, ובלבד שיהא העציץ נקוב. אפילו אין ללוה כלל ויש לחייב לו</w:t>
      </w:r>
      <w:r w:rsidRPr="001D49D4">
        <w:rPr>
          <w:rFonts w:ascii="Calibri" w:eastAsia="Calibri" w:hAnsi="Calibri" w:cs="Arial"/>
          <w:vertAlign w:val="superscript"/>
          <w:rtl/>
        </w:rPr>
        <w:footnoteReference w:id="5400"/>
      </w:r>
      <w:r w:rsidRPr="001D49D4">
        <w:rPr>
          <w:rFonts w:ascii="Calibri" w:eastAsia="Calibri" w:hAnsi="Calibri" w:cs="Arial"/>
          <w:rtl/>
        </w:rPr>
        <w:t xml:space="preserve"> או לערב או למי שחייב לו - כותבין אותו. אפילו אין לו לזה ולא לזה ויש למלוה או למי שחייב לו - מזכין אותו ללוה אפילו ע"י אחר שלא בפניו</w:t>
      </w:r>
      <w:r w:rsidRPr="001D49D4">
        <w:rPr>
          <w:rFonts w:ascii="Calibri" w:eastAsia="Calibri" w:hAnsi="Calibri" w:cs="Arial"/>
          <w:vertAlign w:val="superscript"/>
          <w:rtl/>
        </w:rPr>
        <w:footnoteReference w:id="5401"/>
      </w:r>
      <w:r w:rsidRPr="001D49D4">
        <w:rPr>
          <w:rFonts w:ascii="Calibri" w:eastAsia="Calibri" w:hAnsi="Calibri" w:cs="Arial"/>
          <w:sz w:val="16"/>
          <w:szCs w:val="16"/>
          <w:rtl/>
        </w:rPr>
        <w:t xml:space="preserve"> (ל' הטור)</w:t>
      </w:r>
      <w:r w:rsidRPr="001D49D4">
        <w:rPr>
          <w:rFonts w:ascii="Calibri" w:eastAsia="Calibri" w:hAnsi="Calibri" w:cs="Arial"/>
          <w:rtl/>
        </w:rPr>
        <w:t>.</w:t>
      </w:r>
      <w:r w:rsidRPr="001D49D4">
        <w:rPr>
          <w:rFonts w:ascii="Calibri" w:eastAsia="Calibri" w:hAnsi="Calibri" w:cs="Arial"/>
          <w:color w:val="E36C0A" w:themeColor="accent6" w:themeShade="BF"/>
          <w:rtl/>
        </w:rPr>
        <w:t xml:space="preserve"> (וכ"פ בשו"ע)</w:t>
      </w:r>
    </w:p>
    <w:p w14:paraId="5CFDACE7" w14:textId="77777777" w:rsidR="001D49D4" w:rsidRPr="001D49D4" w:rsidRDefault="001D49D4" w:rsidP="0004348D">
      <w:pPr>
        <w:spacing w:before="360" w:after="240"/>
        <w:rPr>
          <w:rFonts w:ascii="Calibri" w:eastAsia="Calibri" w:hAnsi="Calibri" w:cs="Arial"/>
          <w:u w:val="single"/>
        </w:rPr>
      </w:pPr>
      <w:r w:rsidRPr="001D49D4">
        <w:rPr>
          <w:rFonts w:ascii="Calibri" w:eastAsia="Calibri" w:hAnsi="Calibri" w:cs="Arial"/>
          <w:u w:val="single"/>
          <w:rtl/>
        </w:rPr>
        <w:t>האם יכול המלוה לזכות ללוה קרקע בתוך שדהו אע"ג שהלוה מוחה:</w:t>
      </w:r>
    </w:p>
    <w:p w14:paraId="0ADF0E6F" w14:textId="77777777" w:rsidR="001D49D4" w:rsidRPr="001D49D4" w:rsidRDefault="001D49D4" w:rsidP="0004348D">
      <w:pPr>
        <w:numPr>
          <w:ilvl w:val="0"/>
          <w:numId w:val="350"/>
        </w:numPr>
        <w:spacing w:before="360" w:after="240"/>
        <w:contextualSpacing/>
        <w:rPr>
          <w:rFonts w:ascii="Calibri" w:eastAsia="Calibri" w:hAnsi="Calibri" w:cs="Arial"/>
          <w:rtl/>
        </w:rPr>
      </w:pPr>
      <w:r w:rsidRPr="001D49D4">
        <w:rPr>
          <w:rFonts w:ascii="Calibri" w:eastAsia="Calibri" w:hAnsi="Calibri" w:cs="Arial"/>
          <w:rtl/>
        </w:rPr>
        <w:t xml:space="preserve">ר"ן </w:t>
      </w:r>
      <w:r w:rsidRPr="001D49D4">
        <w:rPr>
          <w:rFonts w:ascii="Calibri" w:eastAsia="Calibri" w:hAnsi="Calibri" w:cs="Arial"/>
          <w:sz w:val="16"/>
          <w:szCs w:val="16"/>
          <w:rtl/>
        </w:rPr>
        <w:t>(גיטין יט: ד"ה ומסתברא)</w:t>
      </w:r>
      <w:r w:rsidRPr="001D49D4">
        <w:rPr>
          <w:rFonts w:ascii="Calibri" w:eastAsia="Calibri" w:hAnsi="Calibri" w:cs="Arial"/>
          <w:rtl/>
        </w:rPr>
        <w:t>- מסתברא דמאי דאמרינן 'מזכהו בשדהו קרקע כל שהו' שאם היה שם וצווח - לא מהני, שאין אדם זוכה בעל כרחו. ומיהו אם לא היה שם משמע דמהני</w:t>
      </w:r>
      <w:r w:rsidRPr="001D49D4">
        <w:rPr>
          <w:rFonts w:ascii="Calibri" w:eastAsia="Calibri" w:hAnsi="Calibri" w:cs="Arial"/>
          <w:vertAlign w:val="superscript"/>
          <w:rtl/>
        </w:rPr>
        <w:footnoteReference w:id="5402"/>
      </w:r>
      <w:r w:rsidRPr="001D49D4">
        <w:rPr>
          <w:rFonts w:ascii="Calibri" w:eastAsia="Calibri" w:hAnsi="Calibri" w:cs="Arial"/>
          <w:rtl/>
        </w:rPr>
        <w:t xml:space="preserve">. </w:t>
      </w:r>
      <w:r w:rsidRPr="001D49D4">
        <w:rPr>
          <w:rFonts w:ascii="Calibri" w:eastAsia="Calibri" w:hAnsi="Calibri" w:cs="Arial"/>
          <w:color w:val="00B0F0"/>
          <w:rtl/>
        </w:rPr>
        <w:t>(וכ"פ הרמ"א)</w:t>
      </w:r>
    </w:p>
    <w:p w14:paraId="2A397D1C" w14:textId="77777777" w:rsidR="001D49D4" w:rsidRPr="001D49D4" w:rsidRDefault="001D49D4" w:rsidP="0004348D">
      <w:pPr>
        <w:spacing w:before="360" w:after="240"/>
        <w:rPr>
          <w:rFonts w:ascii="Calibri" w:eastAsia="Calibri" w:hAnsi="Calibri" w:cs="Arial"/>
          <w:u w:val="single"/>
        </w:rPr>
      </w:pPr>
      <w:r w:rsidRPr="001D49D4">
        <w:rPr>
          <w:rFonts w:ascii="Calibri" w:eastAsia="Calibri" w:hAnsi="Calibri" w:cs="Arial"/>
          <w:u w:val="single"/>
          <w:rtl/>
        </w:rPr>
        <w:t>הקנאת פרוזבול אגב קרקע:</w:t>
      </w:r>
    </w:p>
    <w:p w14:paraId="7A816B44" w14:textId="77777777" w:rsidR="001D49D4" w:rsidRPr="001D49D4" w:rsidRDefault="001D49D4" w:rsidP="0004348D">
      <w:pPr>
        <w:numPr>
          <w:ilvl w:val="0"/>
          <w:numId w:val="350"/>
        </w:numPr>
        <w:spacing w:before="360" w:after="240"/>
        <w:contextualSpacing/>
        <w:rPr>
          <w:rFonts w:ascii="Calibri" w:eastAsia="Calibri" w:hAnsi="Calibri" w:cs="Arial"/>
          <w:rtl/>
        </w:rPr>
      </w:pPr>
      <w:r w:rsidRPr="001D49D4">
        <w:rPr>
          <w:rFonts w:ascii="Calibri" w:eastAsia="Calibri" w:hAnsi="Calibri" w:cs="Arial"/>
          <w:rtl/>
        </w:rPr>
        <w:t>בעל התרומות</w:t>
      </w:r>
      <w:r w:rsidRPr="001D49D4">
        <w:rPr>
          <w:rFonts w:ascii="Calibri" w:eastAsia="Calibri" w:hAnsi="Calibri" w:cs="Arial"/>
          <w:sz w:val="16"/>
          <w:szCs w:val="16"/>
          <w:rtl/>
        </w:rPr>
        <w:t xml:space="preserve"> (שער מה סי' יז)</w:t>
      </w:r>
      <w:r w:rsidRPr="001D49D4">
        <w:rPr>
          <w:rFonts w:ascii="Calibri" w:eastAsia="Calibri" w:hAnsi="Calibri" w:cs="Arial"/>
          <w:rtl/>
        </w:rPr>
        <w:t>- גרסינן בירושלמי</w:t>
      </w:r>
      <w:r w:rsidRPr="001D49D4">
        <w:rPr>
          <w:rFonts w:ascii="Calibri" w:eastAsia="Calibri" w:hAnsi="Calibri" w:cs="Arial"/>
          <w:sz w:val="16"/>
          <w:szCs w:val="16"/>
          <w:rtl/>
        </w:rPr>
        <w:t xml:space="preserve"> (שביעית פ"י ה"ג)</w:t>
      </w:r>
      <w:r w:rsidRPr="001D49D4">
        <w:rPr>
          <w:rFonts w:ascii="Calibri" w:eastAsia="Calibri" w:hAnsi="Calibri" w:cs="Arial"/>
          <w:rtl/>
        </w:rPr>
        <w:t xml:space="preserve"> והוא שיש לו קרקע ללוה ולמלוה, ומפני זה הירושלמי הצריכו הראשונים לכתוב טופס פרוזבול בהקנאת קרקע, דבודאי כל שטר חוב בכתיבה ומסירה נקנה בלבד, והם כתבו המסירה ואגב קרקע</w:t>
      </w:r>
      <w:r w:rsidRPr="001D49D4">
        <w:rPr>
          <w:rFonts w:ascii="Calibri" w:eastAsia="Calibri" w:hAnsi="Calibri" w:cs="Arial"/>
          <w:vertAlign w:val="superscript"/>
          <w:rtl/>
        </w:rPr>
        <w:footnoteReference w:id="5403"/>
      </w:r>
      <w:r w:rsidRPr="001D49D4">
        <w:rPr>
          <w:rFonts w:ascii="Calibri" w:eastAsia="Calibri" w:hAnsi="Calibri" w:cs="Arial"/>
          <w:rtl/>
        </w:rPr>
        <w:t xml:space="preserve">. וזהו נוסח שטר פרוזבול שכתב ה"ר יהודה אלברצלוני- 'אנו בית דין החתומים למטה, כך היה שבא לפנינו פלוני בן פלוני ואמר לפנינו רבותי הרי שיש לי חובות על פלוני ופלוני והריני מוסר לכם פרוזבול, ויהבית לכון במתנה בקנין ארבעה גרמידי מן ארעא דאית לי, ועל גביהון ארשיתי יתכון למיגבא כל שטר חוב דאית לי על כל אינש ,ומעתה תהוו לי דייני ותגבוהו ותקבלוהו לי, ואם לא תגבוהו אתם מעתה כיון שמסרתי לכם פרוזבול זה הרי אני גובה כל חוב שיש לי עד היום אצל כל אדם כל זמן שארצה. ואנו בית דין כיון שראינו דבריו נכונים והואיל ומסר קדמנא מילי דפרוזבול כדאמור רבנן, כתבנא וחתמנא ביום פלוני בירח פלוני לשבת פלוני הא שטרא דפרוזבולא כדנהגנא מיומא דהלל הזקן וכדתיקון רבנן מיומא דנן ולעלם, ומדאתעביד הדין עובדא קדמנא ייפינו כחו דלא תשמט ליה להדין פלוני כל חוב ורשו שיש לו אצל כל אדם עד יומא דנן, וכן החזקנו כחו כתקנתא דרבנן, והכל שריר וקיים. </w:t>
      </w:r>
    </w:p>
    <w:p w14:paraId="51FD1693" w14:textId="77777777" w:rsidR="001D49D4" w:rsidRPr="001D49D4" w:rsidRDefault="001D49D4" w:rsidP="0004348D">
      <w:pPr>
        <w:spacing w:before="360" w:after="240"/>
        <w:rPr>
          <w:rFonts w:ascii="Calibri" w:eastAsia="Calibri" w:hAnsi="Calibri" w:cs="Arial"/>
        </w:rPr>
      </w:pPr>
      <w:r w:rsidRPr="001D49D4">
        <w:rPr>
          <w:rFonts w:ascii="Calibri" w:eastAsia="Calibri" w:hAnsi="Calibri" w:cs="Arial"/>
          <w:u w:val="single"/>
          <w:rtl/>
        </w:rPr>
        <w:t>חמשה שלוו מאחד – ויש קרקע רק לאחד מהם:</w:t>
      </w:r>
    </w:p>
    <w:p w14:paraId="7557DD71" w14:textId="77777777" w:rsidR="001D49D4" w:rsidRPr="001D49D4" w:rsidRDefault="001D49D4" w:rsidP="0004348D">
      <w:pPr>
        <w:numPr>
          <w:ilvl w:val="0"/>
          <w:numId w:val="350"/>
        </w:numPr>
        <w:spacing w:before="360" w:after="240"/>
        <w:contextualSpacing/>
        <w:rPr>
          <w:rFonts w:ascii="Calibri" w:eastAsia="Calibri" w:hAnsi="Calibri" w:cs="Arial"/>
          <w:rtl/>
        </w:rPr>
      </w:pPr>
      <w:r w:rsidRPr="001D49D4">
        <w:rPr>
          <w:rFonts w:ascii="Calibri" w:eastAsia="Calibri" w:hAnsi="Calibri" w:cs="Arial"/>
          <w:rtl/>
        </w:rPr>
        <w:t xml:space="preserve">רי"ו </w:t>
      </w:r>
      <w:r w:rsidRPr="001D49D4">
        <w:rPr>
          <w:rFonts w:ascii="Calibri" w:eastAsia="Calibri" w:hAnsi="Calibri" w:cs="Arial"/>
          <w:sz w:val="16"/>
          <w:szCs w:val="16"/>
          <w:rtl/>
        </w:rPr>
        <w:t>(מישרים נ"ז ח"א כו ע"ג)</w:t>
      </w:r>
      <w:r w:rsidRPr="001D49D4">
        <w:rPr>
          <w:rFonts w:ascii="Calibri" w:eastAsia="Calibri" w:hAnsi="Calibri" w:cs="Arial"/>
          <w:rtl/>
        </w:rPr>
        <w:t>- הכי איתא בתוספתא</w:t>
      </w:r>
      <w:r w:rsidRPr="001D49D4">
        <w:rPr>
          <w:rFonts w:ascii="Calibri" w:eastAsia="Calibri" w:hAnsi="Calibri" w:cs="Arial"/>
          <w:sz w:val="16"/>
          <w:szCs w:val="16"/>
          <w:rtl/>
        </w:rPr>
        <w:t xml:space="preserve"> (שביעית פ"ח ה"י)</w:t>
      </w:r>
      <w:r w:rsidRPr="001D49D4">
        <w:rPr>
          <w:rFonts w:ascii="Calibri" w:eastAsia="Calibri" w:hAnsi="Calibri" w:cs="Arial"/>
          <w:rtl/>
        </w:rPr>
        <w:t xml:space="preserve"> חמשה שלוו מאחד, אפילו אין קרקע אלא לאחד מהם - כותבין פרוזבול על כולם</w:t>
      </w:r>
    </w:p>
    <w:p w14:paraId="46D7224D" w14:textId="77777777" w:rsidR="001D49D4" w:rsidRPr="001D49D4" w:rsidRDefault="001D49D4" w:rsidP="0004348D">
      <w:pPr>
        <w:spacing w:before="360" w:after="240"/>
        <w:rPr>
          <w:rFonts w:ascii="Arial" w:eastAsia="Calibri" w:hAnsi="Arial" w:cs="Arial"/>
          <w:b/>
          <w:bCs/>
          <w:color w:val="000000"/>
          <w:sz w:val="28"/>
          <w:szCs w:val="28"/>
          <w:u w:val="single"/>
          <w:rtl/>
        </w:rPr>
      </w:pPr>
      <w:r w:rsidRPr="001D49D4">
        <w:rPr>
          <w:rFonts w:ascii="Arial" w:eastAsia="Calibri" w:hAnsi="Arial" w:cs="Arial"/>
          <w:b/>
          <w:bCs/>
          <w:color w:val="000000"/>
          <w:sz w:val="28"/>
          <w:szCs w:val="28"/>
          <w:u w:val="single"/>
          <w:rtl/>
        </w:rPr>
        <w:t>שו"ע:</w:t>
      </w:r>
    </w:p>
    <w:p w14:paraId="464BAD54"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rtl/>
        </w:rPr>
        <w:t xml:space="preserve">אין כותבין פרוזבול אלא על הקרקע, ואפילו קרקע כל שהוא סגי, ואפילו אין לו אלא עציץ נקוב מונח על גבי יתידות באויר אף על פי שאין מקום היתידות שלו, סגי. אפילו אין ללוה כלל ויש לחייב לו או לערב או למי שחייב לו, כותבין. ואפילו אין לזה ולא לזה, ויש למלוה או למי שחייב לו, מזכהו אפילו על ידי אחר, ואפילו שלא בפניו. </w:t>
      </w:r>
      <w:r w:rsidRPr="001D49D4">
        <w:rPr>
          <w:rFonts w:ascii="Calibri" w:eastAsia="Calibri" w:hAnsi="Calibri" w:cs="Arial"/>
          <w:sz w:val="18"/>
          <w:szCs w:val="18"/>
          <w:rtl/>
        </w:rPr>
        <w:t xml:space="preserve">הגה: מיהו אם הלוה לפנינו וצווח 'איני רוצה לזכות בקרקע של אחרים', אין מזכין לו לאדם בעל כרחו (ר"ן פ' השולח). </w:t>
      </w:r>
      <w:r w:rsidRPr="001D49D4">
        <w:rPr>
          <w:rFonts w:ascii="Calibri" w:eastAsia="Calibri" w:hAnsi="Calibri" w:cs="Arial"/>
          <w:rtl/>
        </w:rPr>
        <w:t xml:space="preserve"> </w:t>
      </w:r>
    </w:p>
    <w:p w14:paraId="604542AF" w14:textId="77777777" w:rsidR="001D49D4" w:rsidRPr="001D49D4" w:rsidRDefault="001D49D4" w:rsidP="0004348D">
      <w:pPr>
        <w:spacing w:before="360" w:after="240"/>
        <w:rPr>
          <w:rFonts w:ascii="Calibri" w:eastAsia="Calibri" w:hAnsi="Calibri" w:cs="Arial"/>
          <w:rtl/>
        </w:rPr>
      </w:pPr>
    </w:p>
    <w:p w14:paraId="5C1C253D" w14:textId="77777777" w:rsidR="001D49D4" w:rsidRPr="001D49D4" w:rsidRDefault="001D49D4" w:rsidP="0004348D">
      <w:pPr>
        <w:keepNext/>
        <w:keepLines/>
        <w:spacing w:before="360" w:after="240"/>
        <w:outlineLvl w:val="1"/>
        <w:rPr>
          <w:rFonts w:ascii="Cambria" w:eastAsia="Times New Roman" w:hAnsi="Cambria" w:cs="Arial"/>
          <w:bCs/>
          <w:color w:val="548DD4" w:themeColor="text2" w:themeTint="99"/>
          <w:sz w:val="26"/>
          <w:szCs w:val="26"/>
          <w:rtl/>
        </w:rPr>
      </w:pPr>
      <w:bookmarkStart w:id="755" w:name="_Toc24884160"/>
      <w:r w:rsidRPr="001D49D4">
        <w:rPr>
          <w:rFonts w:ascii="Cambria" w:eastAsia="Times New Roman" w:hAnsi="Cambria" w:cs="Arial"/>
          <w:bCs/>
          <w:color w:val="548DD4" w:themeColor="text2" w:themeTint="99"/>
          <w:sz w:val="26"/>
          <w:szCs w:val="26"/>
          <w:rtl/>
        </w:rPr>
        <w:t>סעיף כג: השאיל או השכיר ללוה מקום להניח תנור או כיריים.</w:t>
      </w:r>
      <w:bookmarkEnd w:id="755"/>
    </w:p>
    <w:p w14:paraId="3ECD840E"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b/>
          <w:bCs/>
          <w:rtl/>
        </w:rPr>
        <w:t xml:space="preserve">גיטין </w:t>
      </w:r>
      <w:r w:rsidRPr="001D49D4">
        <w:rPr>
          <w:rFonts w:ascii="Calibri" w:eastAsia="Calibri" w:hAnsi="Calibri" w:cs="Arial"/>
          <w:b/>
          <w:bCs/>
          <w:sz w:val="16"/>
          <w:szCs w:val="16"/>
          <w:rtl/>
        </w:rPr>
        <w:t xml:space="preserve">(פרק השולח) </w:t>
      </w:r>
      <w:r w:rsidRPr="001D49D4">
        <w:rPr>
          <w:rFonts w:ascii="Calibri" w:eastAsia="Calibri" w:hAnsi="Calibri" w:cs="Arial"/>
          <w:b/>
          <w:bCs/>
          <w:rtl/>
        </w:rPr>
        <w:t>לז</w:t>
      </w:r>
      <w:r w:rsidRPr="001D49D4">
        <w:rPr>
          <w:rFonts w:ascii="Calibri" w:eastAsia="Calibri" w:hAnsi="Calibri" w:cs="Arial"/>
          <w:b/>
          <w:bCs/>
          <w:vertAlign w:val="superscript"/>
          <w:rtl/>
        </w:rPr>
        <w:footnoteReference w:id="5404"/>
      </w:r>
      <w:r w:rsidRPr="001D49D4">
        <w:rPr>
          <w:rFonts w:ascii="Calibri" w:eastAsia="Calibri" w:hAnsi="Calibri" w:cs="Arial"/>
          <w:b/>
          <w:bCs/>
          <w:rtl/>
        </w:rPr>
        <w:t xml:space="preserve"> ע"א:</w:t>
      </w:r>
      <w:r w:rsidRPr="001D49D4">
        <w:rPr>
          <w:rFonts w:ascii="Calibri" w:eastAsia="Calibri" w:hAnsi="Calibri" w:cs="Arial"/>
          <w:rtl/>
        </w:rPr>
        <w:t xml:space="preserve"> תנן התם: אין כותבין פרוסבול אלא על הקרקע, אם אין לו - מזכהו בתוך שדהו כל שהו... </w:t>
      </w:r>
      <w:r w:rsidRPr="001D49D4">
        <w:rPr>
          <w:rFonts w:ascii="Calibri" w:eastAsia="Calibri" w:hAnsi="Calibri" w:cs="Arial"/>
          <w:u w:val="single"/>
          <w:rtl/>
        </w:rPr>
        <w:t>אמר רב יהודה</w:t>
      </w:r>
      <w:r w:rsidRPr="001D49D4">
        <w:rPr>
          <w:rFonts w:ascii="Calibri" w:eastAsia="Calibri" w:hAnsi="Calibri" w:cs="Arial"/>
          <w:rtl/>
        </w:rPr>
        <w:t>: אפי' השאילו מקום לתנור</w:t>
      </w:r>
      <w:r w:rsidRPr="001D49D4">
        <w:rPr>
          <w:rFonts w:ascii="Calibri" w:eastAsia="Calibri" w:hAnsi="Calibri" w:cs="Arial"/>
          <w:vertAlign w:val="superscript"/>
          <w:rtl/>
        </w:rPr>
        <w:footnoteReference w:id="5405"/>
      </w:r>
      <w:r w:rsidRPr="001D49D4">
        <w:rPr>
          <w:rFonts w:ascii="Calibri" w:eastAsia="Calibri" w:hAnsi="Calibri" w:cs="Arial"/>
          <w:rtl/>
        </w:rPr>
        <w:t xml:space="preserve"> ולכירים - כותבין עליו פרוסבול.</w:t>
      </w:r>
    </w:p>
    <w:p w14:paraId="6D4FE054" w14:textId="77777777" w:rsidR="001D49D4" w:rsidRPr="001D49D4" w:rsidRDefault="001D49D4" w:rsidP="0004348D">
      <w:pPr>
        <w:spacing w:before="360" w:after="240"/>
        <w:rPr>
          <w:rFonts w:ascii="Calibri" w:eastAsia="Calibri" w:hAnsi="Calibri" w:cs="Arial"/>
          <w:u w:val="single"/>
          <w:rtl/>
        </w:rPr>
      </w:pPr>
      <w:r w:rsidRPr="001D49D4">
        <w:rPr>
          <w:rFonts w:ascii="Calibri" w:eastAsia="Calibri" w:hAnsi="Calibri" w:cs="Arial"/>
          <w:u w:val="single"/>
          <w:rtl/>
        </w:rPr>
        <w:t xml:space="preserve">ללוה </w:t>
      </w:r>
      <w:r w:rsidRPr="001D49D4">
        <w:rPr>
          <w:rFonts w:ascii="Calibri" w:eastAsia="Calibri" w:hAnsi="Calibri" w:cs="Arial"/>
          <w:b/>
          <w:bCs/>
          <w:u w:val="single"/>
          <w:rtl/>
        </w:rPr>
        <w:t>שהשאיל</w:t>
      </w:r>
      <w:r w:rsidRPr="001D49D4">
        <w:rPr>
          <w:rFonts w:ascii="Calibri" w:eastAsia="Calibri" w:hAnsi="Calibri" w:cs="Arial"/>
          <w:u w:val="single"/>
          <w:rtl/>
        </w:rPr>
        <w:t xml:space="preserve"> מקום לתנור או כיריים:</w:t>
      </w:r>
    </w:p>
    <w:p w14:paraId="2C5DEF27" w14:textId="77777777" w:rsidR="001D49D4" w:rsidRPr="001D49D4" w:rsidRDefault="001D49D4" w:rsidP="0004348D">
      <w:pPr>
        <w:numPr>
          <w:ilvl w:val="0"/>
          <w:numId w:val="349"/>
        </w:numPr>
        <w:spacing w:before="360" w:after="240"/>
        <w:contextualSpacing/>
        <w:rPr>
          <w:rFonts w:ascii="Calibri" w:eastAsia="Calibri" w:hAnsi="Calibri" w:cs="Arial"/>
          <w:rtl/>
        </w:rPr>
      </w:pPr>
      <w:r w:rsidRPr="001D49D4">
        <w:rPr>
          <w:rFonts w:ascii="Calibri" w:eastAsia="Calibri" w:hAnsi="Calibri" w:cs="Arial"/>
          <w:rtl/>
        </w:rPr>
        <w:t xml:space="preserve">רמב"ם </w:t>
      </w:r>
      <w:r w:rsidRPr="001D49D4">
        <w:rPr>
          <w:rFonts w:ascii="Calibri" w:eastAsia="Calibri" w:hAnsi="Calibri" w:cs="Arial"/>
          <w:sz w:val="16"/>
          <w:szCs w:val="16"/>
          <w:rtl/>
        </w:rPr>
        <w:t>(פ"ט משמיטה הי"ט)</w:t>
      </w:r>
      <w:r w:rsidRPr="001D49D4">
        <w:rPr>
          <w:rFonts w:ascii="Calibri" w:eastAsia="Calibri" w:hAnsi="Calibri" w:cs="Arial"/>
          <w:rtl/>
        </w:rPr>
        <w:t xml:space="preserve"> וטור- השאילו מקום לתנור או לכירה - כותבין עליו פרוזבול.</w:t>
      </w:r>
      <w:r w:rsidRPr="001D49D4">
        <w:rPr>
          <w:rFonts w:ascii="Calibri" w:eastAsia="Calibri" w:hAnsi="Calibri" w:cs="Arial"/>
          <w:color w:val="E36C0A" w:themeColor="accent6" w:themeShade="BF"/>
          <w:rtl/>
        </w:rPr>
        <w:t xml:space="preserve"> (וכ"פ בשו"ע)</w:t>
      </w:r>
    </w:p>
    <w:p w14:paraId="2AAC6FBB" w14:textId="77777777" w:rsidR="001D49D4" w:rsidRPr="001D49D4" w:rsidRDefault="001D49D4" w:rsidP="0004348D">
      <w:pPr>
        <w:spacing w:before="360" w:after="240"/>
        <w:rPr>
          <w:rFonts w:ascii="Calibri" w:eastAsia="Calibri" w:hAnsi="Calibri" w:cs="Arial"/>
          <w:u w:val="dotted"/>
        </w:rPr>
      </w:pPr>
      <w:r w:rsidRPr="001D49D4">
        <w:rPr>
          <w:rFonts w:ascii="Calibri" w:eastAsia="Calibri" w:hAnsi="Calibri" w:cs="Arial"/>
          <w:u w:val="dotted"/>
          <w:rtl/>
        </w:rPr>
        <w:t xml:space="preserve">האם הדין כן אם </w:t>
      </w:r>
      <w:r w:rsidRPr="001D49D4">
        <w:rPr>
          <w:rFonts w:ascii="Calibri" w:eastAsia="Calibri" w:hAnsi="Calibri" w:cs="Arial"/>
          <w:b/>
          <w:bCs/>
          <w:u w:val="dotted"/>
          <w:rtl/>
        </w:rPr>
        <w:t>השכיר</w:t>
      </w:r>
      <w:r w:rsidRPr="001D49D4">
        <w:rPr>
          <w:rFonts w:ascii="Calibri" w:eastAsia="Calibri" w:hAnsi="Calibri" w:cs="Arial"/>
          <w:u w:val="dotted"/>
          <w:rtl/>
        </w:rPr>
        <w:t xml:space="preserve"> לו מקום לתנור או כיריים:</w:t>
      </w:r>
    </w:p>
    <w:p w14:paraId="34471421" w14:textId="77777777" w:rsidR="001D49D4" w:rsidRPr="001D49D4" w:rsidRDefault="001D49D4" w:rsidP="0004348D">
      <w:pPr>
        <w:numPr>
          <w:ilvl w:val="0"/>
          <w:numId w:val="349"/>
        </w:numPr>
        <w:spacing w:before="360" w:after="240"/>
        <w:contextualSpacing/>
        <w:rPr>
          <w:rFonts w:ascii="Calibri" w:eastAsia="Calibri" w:hAnsi="Calibri" w:cs="Arial"/>
        </w:rPr>
      </w:pPr>
      <w:r w:rsidRPr="001D49D4">
        <w:rPr>
          <w:rFonts w:ascii="Calibri" w:eastAsia="Calibri" w:hAnsi="Calibri" w:cs="Arial"/>
          <w:rtl/>
        </w:rPr>
        <w:t>ב"י- משמע לי דכיון דעל קרקע מושאל כותבין, ה"ה נמי שכותבין על קרקע שהוא מושכר בידו</w:t>
      </w:r>
      <w:r w:rsidRPr="001D49D4">
        <w:rPr>
          <w:rFonts w:ascii="Calibri" w:eastAsia="Calibri" w:hAnsi="Calibri" w:cs="Arial"/>
          <w:vertAlign w:val="superscript"/>
          <w:rtl/>
        </w:rPr>
        <w:footnoteReference w:id="5406"/>
      </w:r>
      <w:r w:rsidRPr="001D49D4">
        <w:rPr>
          <w:rFonts w:ascii="Calibri" w:eastAsia="Calibri" w:hAnsi="Calibri" w:cs="Arial"/>
          <w:rtl/>
        </w:rPr>
        <w:t>.</w:t>
      </w:r>
      <w:r w:rsidRPr="001D49D4">
        <w:rPr>
          <w:rFonts w:ascii="Calibri" w:eastAsia="Calibri" w:hAnsi="Calibri" w:cs="Arial"/>
          <w:color w:val="E36C0A" w:themeColor="accent6" w:themeShade="BF"/>
          <w:rtl/>
        </w:rPr>
        <w:t xml:space="preserve"> (וכ"פ בשו"ע)</w:t>
      </w:r>
    </w:p>
    <w:p w14:paraId="25DBFC7F" w14:textId="77777777" w:rsidR="001D49D4" w:rsidRPr="001D49D4" w:rsidRDefault="001D49D4" w:rsidP="0004348D">
      <w:pPr>
        <w:spacing w:before="360" w:after="240"/>
        <w:rPr>
          <w:rFonts w:ascii="Arial" w:eastAsia="Calibri" w:hAnsi="Arial" w:cs="Arial"/>
          <w:b/>
          <w:bCs/>
          <w:color w:val="000000"/>
          <w:sz w:val="28"/>
          <w:szCs w:val="28"/>
          <w:u w:val="single"/>
          <w:rtl/>
        </w:rPr>
      </w:pPr>
      <w:r w:rsidRPr="001D49D4">
        <w:rPr>
          <w:rFonts w:ascii="Arial" w:eastAsia="Calibri" w:hAnsi="Arial" w:cs="Arial"/>
          <w:b/>
          <w:bCs/>
          <w:color w:val="000000"/>
          <w:sz w:val="28"/>
          <w:szCs w:val="28"/>
          <w:u w:val="single"/>
          <w:rtl/>
        </w:rPr>
        <w:t>שו"ע:</w:t>
      </w:r>
    </w:p>
    <w:p w14:paraId="03726B0F"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rtl/>
        </w:rPr>
        <w:t xml:space="preserve">השאילו מקום לתנור או לכירים, כותבים עליו פרוזבול. והוא הדין אם השכירו לו. </w:t>
      </w:r>
    </w:p>
    <w:p w14:paraId="5781C689" w14:textId="77777777" w:rsidR="001D49D4" w:rsidRPr="001D49D4" w:rsidRDefault="001D49D4" w:rsidP="0004348D">
      <w:pPr>
        <w:spacing w:before="360" w:after="240"/>
        <w:rPr>
          <w:rFonts w:ascii="Calibri" w:eastAsia="Calibri" w:hAnsi="Calibri" w:cs="Arial"/>
          <w:rtl/>
        </w:rPr>
      </w:pPr>
    </w:p>
    <w:p w14:paraId="28AA566E" w14:textId="77777777" w:rsidR="001D49D4" w:rsidRPr="001D49D4" w:rsidRDefault="001D49D4" w:rsidP="0004348D">
      <w:pPr>
        <w:keepNext/>
        <w:keepLines/>
        <w:spacing w:before="360" w:after="240"/>
        <w:outlineLvl w:val="1"/>
        <w:rPr>
          <w:rFonts w:ascii="Cambria" w:eastAsia="Times New Roman" w:hAnsi="Cambria" w:cs="Arial"/>
          <w:bCs/>
          <w:color w:val="548DD4" w:themeColor="text2" w:themeTint="99"/>
          <w:sz w:val="26"/>
          <w:szCs w:val="26"/>
          <w:rtl/>
        </w:rPr>
      </w:pPr>
      <w:bookmarkStart w:id="756" w:name="_Toc24884161"/>
      <w:r w:rsidRPr="001D49D4">
        <w:rPr>
          <w:rFonts w:ascii="Cambria" w:eastAsia="Times New Roman" w:hAnsi="Cambria" w:cs="Arial"/>
          <w:bCs/>
          <w:color w:val="548DD4" w:themeColor="text2" w:themeTint="99"/>
          <w:sz w:val="26"/>
          <w:szCs w:val="26"/>
          <w:rtl/>
        </w:rPr>
        <w:t>סעיף כד: לוה שיש לו שדה ממושכנת.</w:t>
      </w:r>
      <w:bookmarkEnd w:id="756"/>
    </w:p>
    <w:p w14:paraId="29C27994"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b/>
          <w:bCs/>
          <w:rtl/>
        </w:rPr>
        <w:t>משנה שביעית פ"י מ"ו:</w:t>
      </w:r>
      <w:r w:rsidRPr="001D49D4">
        <w:rPr>
          <w:rFonts w:ascii="Calibri" w:eastAsia="Calibri" w:hAnsi="Calibri" w:cs="Arial"/>
          <w:rtl/>
        </w:rPr>
        <w:t xml:space="preserve"> אין כותבין פרוזבול אלא על הקרקע... היתה לו שדה ממושכנת בעיר כותבין עליה פרוזבול.</w:t>
      </w:r>
    </w:p>
    <w:p w14:paraId="24BEDE69" w14:textId="77777777" w:rsidR="001D49D4" w:rsidRPr="001D49D4" w:rsidRDefault="001D49D4" w:rsidP="0004348D">
      <w:pPr>
        <w:spacing w:before="360" w:after="240"/>
        <w:rPr>
          <w:rFonts w:ascii="Calibri" w:eastAsia="Calibri" w:hAnsi="Calibri" w:cs="Arial"/>
          <w:u w:val="single"/>
          <w:rtl/>
        </w:rPr>
      </w:pPr>
      <w:r w:rsidRPr="001D49D4">
        <w:rPr>
          <w:rFonts w:ascii="Calibri" w:eastAsia="Calibri" w:hAnsi="Calibri" w:cs="Arial"/>
          <w:u w:val="single"/>
          <w:rtl/>
        </w:rPr>
        <w:t>לוה שיש לו שדה ממושכנת:</w:t>
      </w:r>
    </w:p>
    <w:p w14:paraId="49672C19" w14:textId="77777777" w:rsidR="001D49D4" w:rsidRPr="001D49D4" w:rsidRDefault="001D49D4" w:rsidP="0004348D">
      <w:pPr>
        <w:numPr>
          <w:ilvl w:val="0"/>
          <w:numId w:val="349"/>
        </w:numPr>
        <w:spacing w:before="360" w:after="240"/>
        <w:contextualSpacing/>
        <w:rPr>
          <w:rFonts w:ascii="Calibri" w:eastAsia="Calibri" w:hAnsi="Calibri" w:cs="Arial"/>
          <w:rtl/>
        </w:rPr>
      </w:pPr>
      <w:r w:rsidRPr="001D49D4">
        <w:rPr>
          <w:rFonts w:ascii="Calibri" w:eastAsia="Calibri" w:hAnsi="Calibri" w:cs="Arial"/>
          <w:rtl/>
        </w:rPr>
        <w:t xml:space="preserve">רמב"ם </w:t>
      </w:r>
      <w:r w:rsidRPr="001D49D4">
        <w:rPr>
          <w:rFonts w:ascii="Calibri" w:eastAsia="Calibri" w:hAnsi="Calibri" w:cs="Arial"/>
          <w:sz w:val="16"/>
          <w:szCs w:val="16"/>
          <w:rtl/>
        </w:rPr>
        <w:t>(פ"ט משמיטה הי"ט)</w:t>
      </w:r>
      <w:r w:rsidRPr="001D49D4">
        <w:rPr>
          <w:rFonts w:ascii="Calibri" w:eastAsia="Calibri" w:hAnsi="Calibri" w:cs="Arial"/>
          <w:rtl/>
        </w:rPr>
        <w:t>- היתה לו שדה ממושכנת - כותבין עליה פרוזבול</w:t>
      </w:r>
      <w:r w:rsidRPr="001D49D4">
        <w:rPr>
          <w:rFonts w:ascii="Calibri" w:eastAsia="Calibri" w:hAnsi="Calibri" w:cs="Arial"/>
          <w:vertAlign w:val="superscript"/>
          <w:rtl/>
        </w:rPr>
        <w:footnoteReference w:id="5407"/>
      </w:r>
      <w:r w:rsidRPr="001D49D4">
        <w:rPr>
          <w:rFonts w:ascii="Calibri" w:eastAsia="Calibri" w:hAnsi="Calibri" w:cs="Arial"/>
          <w:rtl/>
        </w:rPr>
        <w:t xml:space="preserve">. </w:t>
      </w:r>
      <w:r w:rsidRPr="001D49D4">
        <w:rPr>
          <w:rFonts w:ascii="Calibri" w:eastAsia="Calibri" w:hAnsi="Calibri" w:cs="Arial"/>
          <w:color w:val="E36C0A" w:themeColor="accent6" w:themeShade="BF"/>
          <w:rtl/>
        </w:rPr>
        <w:t>(וכ"פ בשו"ע)</w:t>
      </w:r>
    </w:p>
    <w:p w14:paraId="16139FA4" w14:textId="77777777" w:rsidR="001D49D4" w:rsidRPr="001D49D4" w:rsidRDefault="001D49D4" w:rsidP="0004348D">
      <w:pPr>
        <w:spacing w:before="360" w:after="240"/>
        <w:rPr>
          <w:rFonts w:ascii="Arial" w:eastAsia="Calibri" w:hAnsi="Arial" w:cs="Arial"/>
          <w:b/>
          <w:bCs/>
          <w:color w:val="000000"/>
          <w:sz w:val="28"/>
          <w:szCs w:val="28"/>
          <w:u w:val="single"/>
          <w:rtl/>
        </w:rPr>
      </w:pPr>
      <w:r w:rsidRPr="001D49D4">
        <w:rPr>
          <w:rFonts w:ascii="Arial" w:eastAsia="Calibri" w:hAnsi="Arial" w:cs="Arial"/>
          <w:b/>
          <w:bCs/>
          <w:color w:val="000000"/>
          <w:sz w:val="28"/>
          <w:szCs w:val="28"/>
          <w:u w:val="single"/>
          <w:rtl/>
        </w:rPr>
        <w:t>שו"ע:</w:t>
      </w:r>
    </w:p>
    <w:p w14:paraId="09E000EB"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rtl/>
        </w:rPr>
        <w:t>היתה לו שדה ממושכנת</w:t>
      </w:r>
      <w:r w:rsidRPr="001D49D4">
        <w:rPr>
          <w:rFonts w:ascii="Calibri" w:eastAsia="Calibri" w:hAnsi="Calibri" w:cs="Arial"/>
          <w:vertAlign w:val="superscript"/>
          <w:rtl/>
        </w:rPr>
        <w:footnoteReference w:id="5408"/>
      </w:r>
      <w:r w:rsidRPr="001D49D4">
        <w:rPr>
          <w:rFonts w:ascii="Calibri" w:eastAsia="Calibri" w:hAnsi="Calibri" w:cs="Arial"/>
          <w:rtl/>
        </w:rPr>
        <w:t xml:space="preserve">, כותבין עליה פרוזבול. </w:t>
      </w:r>
    </w:p>
    <w:p w14:paraId="718FDC88" w14:textId="77777777" w:rsidR="001D49D4" w:rsidRPr="001D49D4" w:rsidRDefault="001D49D4" w:rsidP="0004348D">
      <w:pPr>
        <w:spacing w:before="360" w:after="240"/>
        <w:rPr>
          <w:rFonts w:ascii="Calibri" w:eastAsia="Calibri" w:hAnsi="Calibri" w:cs="Arial"/>
          <w:rtl/>
        </w:rPr>
      </w:pPr>
    </w:p>
    <w:p w14:paraId="370C5135" w14:textId="77777777" w:rsidR="001D49D4" w:rsidRPr="001D49D4" w:rsidRDefault="001D49D4" w:rsidP="0004348D">
      <w:pPr>
        <w:keepNext/>
        <w:keepLines/>
        <w:spacing w:before="360" w:after="240"/>
        <w:outlineLvl w:val="1"/>
        <w:rPr>
          <w:rFonts w:ascii="Cambria" w:eastAsia="Times New Roman" w:hAnsi="Cambria" w:cs="Arial"/>
          <w:bCs/>
          <w:color w:val="548DD4" w:themeColor="text2" w:themeTint="99"/>
          <w:sz w:val="26"/>
          <w:szCs w:val="26"/>
          <w:rtl/>
        </w:rPr>
      </w:pPr>
      <w:bookmarkStart w:id="757" w:name="_Toc24884162"/>
      <w:r w:rsidRPr="001D49D4">
        <w:rPr>
          <w:rFonts w:ascii="Cambria" w:eastAsia="Times New Roman" w:hAnsi="Cambria" w:cs="Arial"/>
          <w:bCs/>
          <w:color w:val="548DD4" w:themeColor="text2" w:themeTint="99"/>
          <w:sz w:val="26"/>
          <w:szCs w:val="26"/>
          <w:rtl/>
        </w:rPr>
        <w:t xml:space="preserve">סעיף כה: איש שלוה ויש קרקע לאשתו </w:t>
      </w:r>
      <w:r w:rsidRPr="001D49D4">
        <w:rPr>
          <w:rFonts w:ascii="Cambria" w:eastAsia="Times New Roman" w:hAnsi="Cambria" w:cs="Arial"/>
          <w:bCs/>
          <w:color w:val="548DD4" w:themeColor="text2" w:themeTint="99"/>
          <w:sz w:val="18"/>
          <w:szCs w:val="18"/>
          <w:rtl/>
        </w:rPr>
        <w:t>(וכן להפך)</w:t>
      </w:r>
      <w:r w:rsidRPr="001D49D4">
        <w:rPr>
          <w:rFonts w:ascii="Cambria" w:eastAsia="Times New Roman" w:hAnsi="Cambria" w:cs="Arial"/>
          <w:bCs/>
          <w:color w:val="548DD4" w:themeColor="text2" w:themeTint="99"/>
          <w:sz w:val="26"/>
          <w:szCs w:val="26"/>
          <w:rtl/>
        </w:rPr>
        <w:t>. יתום קטן שלוה מאחרים.</w:t>
      </w:r>
      <w:bookmarkEnd w:id="757"/>
    </w:p>
    <w:p w14:paraId="6E942535"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b/>
          <w:bCs/>
          <w:rtl/>
        </w:rPr>
        <w:t>משנה שביעית פ"י מ"ו:</w:t>
      </w:r>
      <w:r w:rsidRPr="001D49D4">
        <w:rPr>
          <w:rFonts w:ascii="Calibri" w:eastAsia="Calibri" w:hAnsi="Calibri" w:cs="Arial"/>
          <w:rtl/>
        </w:rPr>
        <w:t xml:space="preserve"> אין כותבין פרוזבול אלא על הקרקע... </w:t>
      </w:r>
      <w:r w:rsidRPr="001D49D4">
        <w:rPr>
          <w:rFonts w:ascii="Calibri" w:eastAsia="Calibri" w:hAnsi="Calibri" w:cs="Arial"/>
          <w:u w:val="single"/>
          <w:rtl/>
        </w:rPr>
        <w:t>רבי חוצפית אומר</w:t>
      </w:r>
      <w:r w:rsidRPr="001D49D4">
        <w:rPr>
          <w:rFonts w:ascii="Calibri" w:eastAsia="Calibri" w:hAnsi="Calibri" w:cs="Arial"/>
          <w:rtl/>
        </w:rPr>
        <w:t xml:space="preserve">: כותבין לאיש על נכסי אשתו וליתומים על נכסי אפוטרופין. </w:t>
      </w:r>
      <w:r w:rsidRPr="001D49D4">
        <w:rPr>
          <w:rFonts w:ascii="Calibri" w:eastAsia="Calibri" w:hAnsi="Calibri" w:cs="Arial"/>
          <w:sz w:val="16"/>
          <w:szCs w:val="16"/>
          <w:rtl/>
        </w:rPr>
        <w:t>(ואין עליו חולק, ב"י)</w:t>
      </w:r>
    </w:p>
    <w:p w14:paraId="446462FB" w14:textId="77777777" w:rsidR="001D49D4" w:rsidRPr="001D49D4" w:rsidRDefault="001D49D4" w:rsidP="0004348D">
      <w:pPr>
        <w:spacing w:before="360" w:after="240"/>
        <w:rPr>
          <w:rFonts w:ascii="Calibri" w:eastAsia="Calibri" w:hAnsi="Calibri" w:cs="Arial"/>
          <w:u w:val="single"/>
          <w:rtl/>
        </w:rPr>
      </w:pPr>
      <w:r w:rsidRPr="001D49D4">
        <w:rPr>
          <w:rFonts w:ascii="Calibri" w:eastAsia="Calibri" w:hAnsi="Calibri" w:cs="Arial"/>
          <w:b/>
          <w:bCs/>
          <w:rtl/>
        </w:rPr>
        <w:t xml:space="preserve">גיטין </w:t>
      </w:r>
      <w:r w:rsidRPr="001D49D4">
        <w:rPr>
          <w:rFonts w:ascii="Calibri" w:eastAsia="Calibri" w:hAnsi="Calibri" w:cs="Arial"/>
          <w:b/>
          <w:bCs/>
          <w:sz w:val="16"/>
          <w:szCs w:val="16"/>
          <w:rtl/>
        </w:rPr>
        <w:t xml:space="preserve">(פרק השולח) </w:t>
      </w:r>
      <w:r w:rsidRPr="001D49D4">
        <w:rPr>
          <w:rFonts w:ascii="Calibri" w:eastAsia="Calibri" w:hAnsi="Calibri" w:cs="Arial"/>
          <w:b/>
          <w:bCs/>
          <w:rtl/>
        </w:rPr>
        <w:t>לז ע"א:</w:t>
      </w:r>
      <w:r w:rsidRPr="001D49D4">
        <w:rPr>
          <w:rFonts w:ascii="Calibri" w:eastAsia="Calibri" w:hAnsi="Calibri" w:cs="Arial"/>
          <w:rtl/>
        </w:rPr>
        <w:t xml:space="preserve"> </w:t>
      </w:r>
      <w:r w:rsidRPr="001D49D4">
        <w:rPr>
          <w:rFonts w:ascii="Calibri" w:eastAsia="Calibri" w:hAnsi="Calibri" w:cs="Arial"/>
          <w:u w:val="single"/>
          <w:rtl/>
        </w:rPr>
        <w:t>אמר רב יהודה אמר שמואל</w:t>
      </w:r>
      <w:r w:rsidRPr="001D49D4">
        <w:rPr>
          <w:rFonts w:ascii="Calibri" w:eastAsia="Calibri" w:hAnsi="Calibri" w:cs="Arial"/>
          <w:rtl/>
        </w:rPr>
        <w:t xml:space="preserve">: יתומין אין צריכין פרוסבול. </w:t>
      </w:r>
      <w:r w:rsidRPr="001D49D4">
        <w:rPr>
          <w:rFonts w:ascii="Calibri" w:eastAsia="Calibri" w:hAnsi="Calibri" w:cs="Arial"/>
          <w:u w:val="single"/>
          <w:rtl/>
        </w:rPr>
        <w:t>וכן תני רמי בר חמא</w:t>
      </w:r>
      <w:r w:rsidRPr="001D49D4">
        <w:rPr>
          <w:rFonts w:ascii="Calibri" w:eastAsia="Calibri" w:hAnsi="Calibri" w:cs="Arial"/>
          <w:rtl/>
        </w:rPr>
        <w:t>: יתומין אין צריכין פרוסבול, דר"ג ובית דינו אביהן של יתומין</w:t>
      </w:r>
      <w:r w:rsidRPr="001D49D4">
        <w:rPr>
          <w:rFonts w:ascii="Calibri" w:eastAsia="Calibri" w:hAnsi="Calibri" w:cs="Arial"/>
          <w:vertAlign w:val="superscript"/>
          <w:rtl/>
        </w:rPr>
        <w:footnoteReference w:id="5409"/>
      </w:r>
      <w:r w:rsidRPr="001D49D4">
        <w:rPr>
          <w:rFonts w:ascii="Calibri" w:eastAsia="Calibri" w:hAnsi="Calibri" w:cs="Arial"/>
          <w:rtl/>
        </w:rPr>
        <w:t>.</w:t>
      </w:r>
    </w:p>
    <w:p w14:paraId="5A36136B"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b/>
          <w:bCs/>
          <w:rtl/>
        </w:rPr>
        <w:t xml:space="preserve">תוספתא </w:t>
      </w:r>
      <w:r w:rsidRPr="001D49D4">
        <w:rPr>
          <w:rFonts w:ascii="Calibri" w:eastAsia="Calibri" w:hAnsi="Calibri" w:cs="Arial"/>
          <w:b/>
          <w:bCs/>
          <w:sz w:val="16"/>
          <w:szCs w:val="16"/>
          <w:rtl/>
        </w:rPr>
        <w:t xml:space="preserve">(ליברמן) </w:t>
      </w:r>
      <w:r w:rsidRPr="001D49D4">
        <w:rPr>
          <w:rFonts w:ascii="Calibri" w:eastAsia="Calibri" w:hAnsi="Calibri" w:cs="Arial"/>
          <w:b/>
          <w:bCs/>
          <w:rtl/>
        </w:rPr>
        <w:t xml:space="preserve">פ"ח ה"ו: </w:t>
      </w:r>
      <w:r w:rsidRPr="001D49D4">
        <w:rPr>
          <w:rFonts w:ascii="Calibri" w:eastAsia="Calibri" w:hAnsi="Calibri" w:cs="Arial"/>
          <w:u w:val="single"/>
          <w:rtl/>
        </w:rPr>
        <w:t>ר' שמעון אומר</w:t>
      </w:r>
      <w:r w:rsidRPr="001D49D4">
        <w:rPr>
          <w:rFonts w:ascii="Calibri" w:eastAsia="Calibri" w:hAnsi="Calibri" w:cs="Arial"/>
          <w:rtl/>
        </w:rPr>
        <w:t>: הוא משמט ואין יורשין משמיטין, שנ' שמוט כל בעל משה ידו אשר ישה ברעהו.</w:t>
      </w:r>
    </w:p>
    <w:p w14:paraId="6793E0B6" w14:textId="77777777" w:rsidR="001D49D4" w:rsidRPr="001D49D4" w:rsidRDefault="001D49D4" w:rsidP="0004348D">
      <w:pPr>
        <w:spacing w:before="360" w:after="240"/>
        <w:rPr>
          <w:rFonts w:ascii="Calibri" w:eastAsia="Calibri" w:hAnsi="Calibri" w:cs="Arial"/>
          <w:u w:val="single"/>
          <w:rtl/>
        </w:rPr>
      </w:pPr>
      <w:r w:rsidRPr="001D49D4">
        <w:rPr>
          <w:rFonts w:ascii="Calibri" w:eastAsia="Calibri" w:hAnsi="Calibri" w:cs="Arial"/>
          <w:u w:val="single"/>
          <w:rtl/>
        </w:rPr>
        <w:t>הא דאיתא בהשולח 'יתומין אין צריכין פרוזבול' - האם בכל גוונא יתומים אינם צריכים פרוזבול</w:t>
      </w:r>
      <w:r w:rsidRPr="001D49D4">
        <w:rPr>
          <w:rFonts w:ascii="Calibri" w:eastAsia="Calibri" w:hAnsi="Calibri" w:cs="Arial"/>
          <w:sz w:val="16"/>
          <w:szCs w:val="16"/>
          <w:u w:val="single"/>
          <w:rtl/>
        </w:rPr>
        <w:t xml:space="preserve"> (דהרי במשנה מפורש לא כך)</w:t>
      </w:r>
      <w:r w:rsidRPr="001D49D4">
        <w:rPr>
          <w:rFonts w:ascii="Calibri" w:eastAsia="Calibri" w:hAnsi="Calibri" w:cs="Arial"/>
          <w:u w:val="single"/>
          <w:rtl/>
        </w:rPr>
        <w:t>:</w:t>
      </w:r>
    </w:p>
    <w:p w14:paraId="2F209516" w14:textId="77777777" w:rsidR="001D49D4" w:rsidRPr="001D49D4" w:rsidRDefault="001D49D4" w:rsidP="0004348D">
      <w:pPr>
        <w:numPr>
          <w:ilvl w:val="0"/>
          <w:numId w:val="349"/>
        </w:numPr>
        <w:spacing w:before="360" w:after="240"/>
        <w:contextualSpacing/>
        <w:rPr>
          <w:rFonts w:ascii="Calibri" w:eastAsia="Calibri" w:hAnsi="Calibri" w:cs="Arial"/>
        </w:rPr>
      </w:pPr>
      <w:r w:rsidRPr="001D49D4">
        <w:rPr>
          <w:rFonts w:ascii="Calibri" w:eastAsia="Calibri" w:hAnsi="Calibri" w:cs="Arial"/>
          <w:rtl/>
        </w:rPr>
        <w:t>רש"י</w:t>
      </w:r>
      <w:r w:rsidRPr="001D49D4">
        <w:rPr>
          <w:rFonts w:ascii="Calibri" w:eastAsia="Calibri" w:hAnsi="Calibri" w:cs="Arial"/>
          <w:vertAlign w:val="superscript"/>
          <w:rtl/>
        </w:rPr>
        <w:footnoteReference w:id="5410"/>
      </w:r>
      <w:r w:rsidRPr="001D49D4">
        <w:rPr>
          <w:rFonts w:ascii="Calibri" w:eastAsia="Calibri" w:hAnsi="Calibri" w:cs="Arial"/>
          <w:sz w:val="16"/>
          <w:szCs w:val="16"/>
          <w:rtl/>
        </w:rPr>
        <w:t xml:space="preserve"> (השולח לז.)</w:t>
      </w:r>
      <w:r w:rsidRPr="001D49D4">
        <w:rPr>
          <w:rFonts w:ascii="Calibri" w:eastAsia="Calibri" w:hAnsi="Calibri" w:cs="Arial"/>
          <w:rtl/>
        </w:rPr>
        <w:t>- הא דאין צריכין פרוזבול הוא כשירשו שטר חוב מאביהם שמת. אבל כשהם לווים/מלווים בעצמם הם צריכים לכתוב פרוזבול, ויכולים לכתוב על נכסי האפוטרופוס</w:t>
      </w:r>
      <w:r w:rsidRPr="001D49D4">
        <w:rPr>
          <w:rFonts w:ascii="Calibri" w:eastAsia="Calibri" w:hAnsi="Calibri" w:cs="Arial"/>
          <w:sz w:val="16"/>
          <w:szCs w:val="16"/>
          <w:rtl/>
        </w:rPr>
        <w:t xml:space="preserve"> {כך יוצא מדברי רש"י}</w:t>
      </w:r>
      <w:r w:rsidRPr="001D49D4">
        <w:rPr>
          <w:rFonts w:ascii="Calibri" w:eastAsia="Calibri" w:hAnsi="Calibri" w:cs="Arial"/>
          <w:rtl/>
        </w:rPr>
        <w:t>.</w:t>
      </w:r>
    </w:p>
    <w:p w14:paraId="10044736" w14:textId="77777777" w:rsidR="001D49D4" w:rsidRPr="001D49D4" w:rsidRDefault="001D49D4" w:rsidP="0004348D">
      <w:pPr>
        <w:numPr>
          <w:ilvl w:val="0"/>
          <w:numId w:val="349"/>
        </w:numPr>
        <w:spacing w:before="360" w:after="240"/>
        <w:contextualSpacing/>
        <w:rPr>
          <w:rFonts w:ascii="Calibri" w:eastAsia="Calibri" w:hAnsi="Calibri" w:cs="Arial"/>
        </w:rPr>
      </w:pPr>
      <w:r w:rsidRPr="001D49D4">
        <w:rPr>
          <w:rFonts w:ascii="Calibri" w:eastAsia="Calibri" w:hAnsi="Calibri" w:cs="Arial"/>
          <w:rtl/>
        </w:rPr>
        <w:t xml:space="preserve">ריטב"א </w:t>
      </w:r>
      <w:r w:rsidRPr="001D49D4">
        <w:rPr>
          <w:rFonts w:ascii="Calibri" w:eastAsia="Calibri" w:hAnsi="Calibri" w:cs="Arial"/>
          <w:sz w:val="16"/>
          <w:szCs w:val="16"/>
          <w:rtl/>
        </w:rPr>
        <w:t>(השולח לז. דיבור ראשון)</w:t>
      </w:r>
      <w:r w:rsidRPr="001D49D4">
        <w:rPr>
          <w:rFonts w:ascii="Calibri" w:eastAsia="Calibri" w:hAnsi="Calibri" w:cs="Arial"/>
          <w:rtl/>
        </w:rPr>
        <w:t xml:space="preserve"> ור"ן </w:t>
      </w:r>
      <w:r w:rsidRPr="001D49D4">
        <w:rPr>
          <w:rFonts w:ascii="Calibri" w:eastAsia="Calibri" w:hAnsi="Calibri" w:cs="Arial"/>
          <w:sz w:val="16"/>
          <w:szCs w:val="16"/>
          <w:rtl/>
        </w:rPr>
        <w:t>(יט: ד"ה גרסי')</w:t>
      </w:r>
      <w:r w:rsidRPr="001D49D4">
        <w:rPr>
          <w:rFonts w:ascii="Calibri" w:eastAsia="Calibri" w:hAnsi="Calibri" w:cs="Arial"/>
          <w:rtl/>
        </w:rPr>
        <w:t>- כתב הרא"ה בשם רבו הרמב"ן דממה שהלוו הם קאמר</w:t>
      </w:r>
      <w:r w:rsidRPr="001D49D4">
        <w:rPr>
          <w:rFonts w:ascii="Calibri" w:eastAsia="Calibri" w:hAnsi="Calibri" w:cs="Arial"/>
          <w:sz w:val="16"/>
          <w:szCs w:val="16"/>
          <w:rtl/>
        </w:rPr>
        <w:t xml:space="preserve"> {בהשולח לעיל}</w:t>
      </w:r>
      <w:r w:rsidRPr="001D49D4">
        <w:rPr>
          <w:rFonts w:ascii="Calibri" w:eastAsia="Calibri" w:hAnsi="Calibri" w:cs="Arial"/>
          <w:rtl/>
        </w:rPr>
        <w:t>, דאי ממה שירשו מאביהם אינו צריך, וכדאמרינן בספרי</w:t>
      </w:r>
      <w:r w:rsidRPr="001D49D4">
        <w:rPr>
          <w:rFonts w:ascii="Calibri" w:eastAsia="Calibri" w:hAnsi="Calibri" w:cs="Arial"/>
          <w:sz w:val="16"/>
          <w:szCs w:val="16"/>
          <w:rtl/>
        </w:rPr>
        <w:t xml:space="preserve"> {לפנינו בתוספתא הנ"ל}</w:t>
      </w:r>
      <w:r w:rsidRPr="001D49D4">
        <w:rPr>
          <w:rFonts w:ascii="Calibri" w:eastAsia="Calibri" w:hAnsi="Calibri" w:cs="Arial"/>
          <w:rtl/>
        </w:rPr>
        <w:t xml:space="preserve"> – 'רבי שמעון אומר כל בעל משה ידו ולא היורש</w:t>
      </w:r>
      <w:r w:rsidRPr="001D49D4">
        <w:rPr>
          <w:rFonts w:ascii="Calibri" w:eastAsia="Calibri" w:hAnsi="Calibri" w:cs="Arial"/>
          <w:vertAlign w:val="superscript"/>
          <w:rtl/>
        </w:rPr>
        <w:footnoteReference w:id="5411"/>
      </w:r>
      <w:r w:rsidRPr="001D49D4">
        <w:rPr>
          <w:rFonts w:ascii="Calibri" w:eastAsia="Calibri" w:hAnsi="Calibri" w:cs="Arial"/>
          <w:rtl/>
        </w:rPr>
        <w:t>'</w:t>
      </w:r>
      <w:r w:rsidRPr="001D49D4">
        <w:rPr>
          <w:rFonts w:ascii="Calibri" w:eastAsia="Calibri" w:hAnsi="Calibri" w:cs="Arial"/>
          <w:sz w:val="16"/>
          <w:szCs w:val="16"/>
          <w:rtl/>
        </w:rPr>
        <w:t xml:space="preserve"> (ל' הר"ן)</w:t>
      </w:r>
      <w:r w:rsidRPr="001D49D4">
        <w:rPr>
          <w:rFonts w:ascii="Calibri" w:eastAsia="Calibri" w:hAnsi="Calibri" w:cs="Arial"/>
          <w:vertAlign w:val="superscript"/>
          <w:rtl/>
        </w:rPr>
        <w:footnoteReference w:id="5412"/>
      </w:r>
      <w:r w:rsidRPr="001D49D4">
        <w:rPr>
          <w:rFonts w:ascii="Calibri" w:eastAsia="Calibri" w:hAnsi="Calibri" w:cs="Arial"/>
          <w:rtl/>
        </w:rPr>
        <w:t xml:space="preserve">. </w:t>
      </w:r>
    </w:p>
    <w:p w14:paraId="0F2C8A68" w14:textId="77777777" w:rsidR="001D49D4" w:rsidRPr="001D49D4" w:rsidRDefault="001D49D4" w:rsidP="0004348D">
      <w:pPr>
        <w:numPr>
          <w:ilvl w:val="0"/>
          <w:numId w:val="349"/>
        </w:numPr>
        <w:spacing w:before="360" w:after="240"/>
        <w:contextualSpacing/>
        <w:rPr>
          <w:rFonts w:ascii="Calibri" w:eastAsia="Calibri" w:hAnsi="Calibri" w:cs="Arial"/>
        </w:rPr>
      </w:pPr>
      <w:r w:rsidRPr="001D49D4">
        <w:rPr>
          <w:rFonts w:ascii="Calibri" w:eastAsia="Calibri" w:hAnsi="Calibri" w:cs="Arial"/>
          <w:rtl/>
        </w:rPr>
        <w:t xml:space="preserve">בעל התרומות </w:t>
      </w:r>
      <w:r w:rsidRPr="001D49D4">
        <w:rPr>
          <w:rFonts w:ascii="Calibri" w:eastAsia="Calibri" w:hAnsi="Calibri" w:cs="Arial"/>
          <w:sz w:val="16"/>
          <w:szCs w:val="16"/>
          <w:rtl/>
        </w:rPr>
        <w:t>(שער מה סי' יט-כ)</w:t>
      </w:r>
      <w:r w:rsidRPr="001D49D4">
        <w:rPr>
          <w:rFonts w:ascii="Calibri" w:eastAsia="Calibri" w:hAnsi="Calibri" w:cs="Arial"/>
          <w:rtl/>
        </w:rPr>
        <w:t xml:space="preserve">- ההיא דרבי חוצפית </w:t>
      </w:r>
      <w:r w:rsidRPr="001D49D4">
        <w:rPr>
          <w:rFonts w:ascii="Calibri" w:eastAsia="Calibri" w:hAnsi="Calibri" w:cs="Arial"/>
          <w:sz w:val="16"/>
          <w:szCs w:val="16"/>
          <w:rtl/>
        </w:rPr>
        <w:t xml:space="preserve">{במשנה} </w:t>
      </w:r>
      <w:r w:rsidRPr="001D49D4">
        <w:rPr>
          <w:rFonts w:ascii="Calibri" w:eastAsia="Calibri" w:hAnsi="Calibri" w:cs="Arial"/>
          <w:rtl/>
        </w:rPr>
        <w:t>ביתומים שלוו ואין להם קרקע ולאפטרופוסים יש קרקע - כותב המלוה פרוזבול עליהם הואיל ויש לו קרקע לאפטרופוס. אבל הם שהלוו לאחר אינן צריכין פרוזבול</w:t>
      </w:r>
      <w:r w:rsidRPr="001D49D4">
        <w:rPr>
          <w:rFonts w:ascii="Calibri" w:eastAsia="Calibri" w:hAnsi="Calibri" w:cs="Arial"/>
          <w:vertAlign w:val="superscript"/>
          <w:rtl/>
        </w:rPr>
        <w:footnoteReference w:id="5413"/>
      </w:r>
      <w:r w:rsidRPr="001D49D4">
        <w:rPr>
          <w:rFonts w:ascii="Calibri" w:eastAsia="Calibri" w:hAnsi="Calibri" w:cs="Arial"/>
          <w:rtl/>
        </w:rPr>
        <w:t xml:space="preserve"> כדאיתא בהשולח - יתומים אין צריכין פרוזבול.</w:t>
      </w:r>
      <w:r w:rsidRPr="001D49D4">
        <w:rPr>
          <w:rFonts w:ascii="Calibri" w:eastAsia="Calibri" w:hAnsi="Calibri" w:cs="Arial"/>
          <w:color w:val="E36C0A" w:themeColor="accent6" w:themeShade="BF"/>
          <w:rtl/>
        </w:rPr>
        <w:t xml:space="preserve"> (וכ"פ בשו"ע</w:t>
      </w:r>
      <w:r w:rsidRPr="001D49D4">
        <w:rPr>
          <w:rFonts w:ascii="Calibri" w:eastAsia="Calibri" w:hAnsi="Calibri" w:cs="Arial"/>
          <w:color w:val="E36C0A" w:themeColor="accent6" w:themeShade="BF"/>
          <w:sz w:val="16"/>
          <w:szCs w:val="16"/>
          <w:rtl/>
        </w:rPr>
        <w:t xml:space="preserve"> </w:t>
      </w:r>
      <w:r w:rsidRPr="001D49D4">
        <w:rPr>
          <w:rFonts w:ascii="Calibri" w:eastAsia="Calibri" w:hAnsi="Calibri" w:cs="Arial"/>
          <w:color w:val="000000" w:themeColor="text1"/>
          <w:sz w:val="16"/>
          <w:szCs w:val="16"/>
          <w:rtl/>
        </w:rPr>
        <w:t>[כאן ובסע' כח]</w:t>
      </w:r>
      <w:r w:rsidRPr="001D49D4">
        <w:rPr>
          <w:rFonts w:ascii="Calibri" w:eastAsia="Calibri" w:hAnsi="Calibri" w:cs="Arial"/>
          <w:color w:val="E36C0A" w:themeColor="accent6" w:themeShade="BF"/>
          <w:rtl/>
        </w:rPr>
        <w:t>)</w:t>
      </w:r>
    </w:p>
    <w:p w14:paraId="3AC67C91"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b/>
          <w:bCs/>
          <w:rtl/>
        </w:rPr>
        <w:t xml:space="preserve">ירושלמי </w:t>
      </w:r>
      <w:r w:rsidRPr="001D49D4">
        <w:rPr>
          <w:rFonts w:ascii="Calibri" w:eastAsia="Calibri" w:hAnsi="Calibri" w:cs="Arial"/>
          <w:b/>
          <w:bCs/>
          <w:sz w:val="16"/>
          <w:szCs w:val="16"/>
          <w:rtl/>
        </w:rPr>
        <w:t xml:space="preserve">(וילנא) </w:t>
      </w:r>
      <w:r w:rsidRPr="001D49D4">
        <w:rPr>
          <w:rFonts w:ascii="Calibri" w:eastAsia="Calibri" w:hAnsi="Calibri" w:cs="Arial"/>
          <w:b/>
          <w:bCs/>
          <w:rtl/>
        </w:rPr>
        <w:t>שביעית פ"י ה"ג:</w:t>
      </w:r>
      <w:r w:rsidRPr="001D49D4">
        <w:rPr>
          <w:rFonts w:ascii="Calibri" w:eastAsia="Calibri" w:hAnsi="Calibri" w:cs="Arial"/>
          <w:rtl/>
        </w:rPr>
        <w:t xml:space="preserve"> </w:t>
      </w:r>
      <w:r w:rsidRPr="001D49D4">
        <w:rPr>
          <w:rFonts w:ascii="Calibri" w:eastAsia="Calibri" w:hAnsi="Calibri" w:cs="Arial"/>
          <w:u w:val="double"/>
          <w:rtl/>
        </w:rPr>
        <w:t>מתני'</w:t>
      </w:r>
      <w:r w:rsidRPr="001D49D4">
        <w:rPr>
          <w:rFonts w:ascii="Calibri" w:eastAsia="Calibri" w:hAnsi="Calibri" w:cs="Arial"/>
          <w:rtl/>
        </w:rPr>
        <w:t xml:space="preserve">:.. רבי חוצפית אומר כותבין לאדם על נכסי אשתו וליתומים על נכסי אפטרופין...  </w:t>
      </w:r>
      <w:r w:rsidRPr="001D49D4">
        <w:rPr>
          <w:rFonts w:ascii="Calibri" w:eastAsia="Calibri" w:hAnsi="Calibri" w:cs="Arial"/>
          <w:u w:val="double"/>
          <w:rtl/>
        </w:rPr>
        <w:t>גמ'</w:t>
      </w:r>
      <w:r w:rsidRPr="001D49D4">
        <w:rPr>
          <w:rFonts w:ascii="Calibri" w:eastAsia="Calibri" w:hAnsi="Calibri" w:cs="Arial"/>
          <w:rtl/>
        </w:rPr>
        <w:t>: מהו ליכתוב לאפטרופוס על נכסי יתומים? נשמעינא מן הדא: כותבין לאיש על נכסי אשתו</w:t>
      </w:r>
      <w:r w:rsidRPr="001D49D4">
        <w:rPr>
          <w:rFonts w:ascii="Calibri" w:eastAsia="Calibri" w:hAnsi="Calibri" w:cs="Arial"/>
          <w:vertAlign w:val="superscript"/>
          <w:rtl/>
        </w:rPr>
        <w:footnoteReference w:id="5414"/>
      </w:r>
      <w:r w:rsidRPr="001D49D4">
        <w:rPr>
          <w:rFonts w:ascii="Calibri" w:eastAsia="Calibri" w:hAnsi="Calibri" w:cs="Arial"/>
          <w:rtl/>
        </w:rPr>
        <w:t xml:space="preserve">. מהו לכתוב לאשה על נכסי בעלה? נשמעינא מן הדא: וכן ליתומין על נכסי אפוטרופין. </w:t>
      </w:r>
      <w:r w:rsidRPr="001D49D4">
        <w:rPr>
          <w:rFonts w:ascii="Calibri" w:eastAsia="Calibri" w:hAnsi="Calibri" w:cs="Arial"/>
          <w:sz w:val="16"/>
          <w:szCs w:val="16"/>
          <w:rtl/>
        </w:rPr>
        <w:t>(הביאו הרא"ש (סי' טו))</w:t>
      </w:r>
    </w:p>
    <w:p w14:paraId="6BA596C6" w14:textId="77777777" w:rsidR="001D49D4" w:rsidRPr="001D49D4" w:rsidRDefault="001D49D4" w:rsidP="0004348D">
      <w:pPr>
        <w:spacing w:before="360" w:after="240"/>
        <w:rPr>
          <w:rFonts w:ascii="Calibri" w:eastAsia="Calibri" w:hAnsi="Calibri" w:cs="Arial"/>
          <w:u w:val="single"/>
          <w:rtl/>
        </w:rPr>
      </w:pPr>
      <w:r w:rsidRPr="001D49D4">
        <w:rPr>
          <w:rFonts w:ascii="Calibri" w:eastAsia="Calibri" w:hAnsi="Calibri" w:cs="Arial"/>
          <w:u w:val="single"/>
          <w:rtl/>
        </w:rPr>
        <w:t>איש שלוה ויש קרקע לאשתו וכן אשה שלותה ויש קרקע לבעלה:</w:t>
      </w:r>
    </w:p>
    <w:p w14:paraId="4A960A70" w14:textId="77777777" w:rsidR="001D49D4" w:rsidRPr="001D49D4" w:rsidRDefault="001D49D4" w:rsidP="0004348D">
      <w:pPr>
        <w:numPr>
          <w:ilvl w:val="0"/>
          <w:numId w:val="349"/>
        </w:numPr>
        <w:spacing w:before="360" w:after="240"/>
        <w:contextualSpacing/>
        <w:rPr>
          <w:rFonts w:ascii="Calibri" w:eastAsia="Calibri" w:hAnsi="Calibri" w:cs="Arial"/>
          <w:rtl/>
        </w:rPr>
      </w:pPr>
      <w:r w:rsidRPr="001D49D4">
        <w:rPr>
          <w:rFonts w:ascii="Calibri" w:eastAsia="Calibri" w:hAnsi="Calibri" w:cs="Arial"/>
          <w:rtl/>
        </w:rPr>
        <w:t xml:space="preserve">טור- כותבין על איש שלוה אם יש קרקע לאשתו, וכן על אשה אם יש קרקע לבעלה. </w:t>
      </w:r>
      <w:r w:rsidRPr="001D49D4">
        <w:rPr>
          <w:rFonts w:ascii="Calibri" w:eastAsia="Calibri" w:hAnsi="Calibri" w:cs="Arial"/>
          <w:color w:val="E36C0A" w:themeColor="accent6" w:themeShade="BF"/>
          <w:rtl/>
        </w:rPr>
        <w:t>(וכ"פ בשו"ע)</w:t>
      </w:r>
    </w:p>
    <w:p w14:paraId="791B42BA" w14:textId="77777777" w:rsidR="001D49D4" w:rsidRPr="001D49D4" w:rsidRDefault="001D49D4" w:rsidP="0004348D">
      <w:pPr>
        <w:spacing w:before="360" w:after="240"/>
        <w:rPr>
          <w:rFonts w:ascii="Arial" w:eastAsia="Calibri" w:hAnsi="Arial" w:cs="Arial"/>
          <w:b/>
          <w:bCs/>
          <w:color w:val="000000"/>
          <w:sz w:val="28"/>
          <w:szCs w:val="28"/>
          <w:u w:val="single"/>
        </w:rPr>
      </w:pPr>
      <w:r w:rsidRPr="001D49D4">
        <w:rPr>
          <w:rFonts w:ascii="Arial" w:eastAsia="Calibri" w:hAnsi="Arial" w:cs="Arial"/>
          <w:b/>
          <w:bCs/>
          <w:color w:val="000000"/>
          <w:sz w:val="28"/>
          <w:szCs w:val="28"/>
          <w:u w:val="single"/>
          <w:rtl/>
        </w:rPr>
        <w:t>שו"ע:</w:t>
      </w:r>
    </w:p>
    <w:p w14:paraId="25DBC3D2"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rtl/>
        </w:rPr>
        <w:t>כותבים לאיש על נכסי אשתו, ולאשה על נכסי בעלה, וליתומים על נכסי אפוטרופוס</w:t>
      </w:r>
      <w:r w:rsidRPr="001D49D4">
        <w:rPr>
          <w:rFonts w:ascii="Calibri" w:eastAsia="Calibri" w:hAnsi="Calibri" w:cs="Arial"/>
          <w:vertAlign w:val="superscript"/>
          <w:rtl/>
        </w:rPr>
        <w:footnoteReference w:id="5415"/>
      </w:r>
      <w:r w:rsidRPr="001D49D4">
        <w:rPr>
          <w:rFonts w:ascii="Calibri" w:eastAsia="Calibri" w:hAnsi="Calibri" w:cs="Arial"/>
          <w:rtl/>
        </w:rPr>
        <w:t xml:space="preserve">. </w:t>
      </w:r>
    </w:p>
    <w:p w14:paraId="7AF418A4" w14:textId="77777777" w:rsidR="001D49D4" w:rsidRPr="001D49D4" w:rsidRDefault="001D49D4" w:rsidP="0004348D">
      <w:pPr>
        <w:spacing w:before="360" w:after="240"/>
        <w:rPr>
          <w:rFonts w:ascii="Calibri" w:eastAsia="Calibri" w:hAnsi="Calibri" w:cs="Arial"/>
          <w:rtl/>
        </w:rPr>
      </w:pPr>
    </w:p>
    <w:p w14:paraId="0162451E" w14:textId="77777777" w:rsidR="001D49D4" w:rsidRPr="001D49D4" w:rsidRDefault="001D49D4" w:rsidP="0004348D">
      <w:pPr>
        <w:keepNext/>
        <w:keepLines/>
        <w:spacing w:before="360" w:after="240"/>
        <w:outlineLvl w:val="1"/>
        <w:rPr>
          <w:rFonts w:ascii="Cambria" w:eastAsia="Times New Roman" w:hAnsi="Cambria" w:cs="Arial"/>
          <w:bCs/>
          <w:color w:val="548DD4" w:themeColor="text2" w:themeTint="99"/>
          <w:sz w:val="26"/>
          <w:szCs w:val="26"/>
          <w:rtl/>
        </w:rPr>
      </w:pPr>
      <w:bookmarkStart w:id="758" w:name="_Toc24884163"/>
      <w:r w:rsidRPr="001D49D4">
        <w:rPr>
          <w:rFonts w:ascii="Cambria" w:eastAsia="Times New Roman" w:hAnsi="Cambria" w:cs="Arial"/>
          <w:bCs/>
          <w:color w:val="548DD4" w:themeColor="text2" w:themeTint="99"/>
          <w:sz w:val="26"/>
          <w:szCs w:val="26"/>
          <w:rtl/>
        </w:rPr>
        <w:t>סעיף כו: מספר אנשים שלוו מאדם אחד.</w:t>
      </w:r>
      <w:bookmarkEnd w:id="758"/>
    </w:p>
    <w:p w14:paraId="320234FD"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b/>
          <w:bCs/>
          <w:rtl/>
        </w:rPr>
        <w:t>משנה שביעית פ"י מ"ה:</w:t>
      </w:r>
      <w:r w:rsidRPr="001D49D4">
        <w:rPr>
          <w:rFonts w:ascii="Calibri" w:eastAsia="Calibri" w:hAnsi="Calibri" w:cs="Arial"/>
          <w:rtl/>
        </w:rPr>
        <w:t>... חמשה לוין מאחד אינו כותב אלא פרוזבול אחד לכולם.</w:t>
      </w:r>
    </w:p>
    <w:p w14:paraId="19B7A462"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b/>
          <w:bCs/>
          <w:rtl/>
        </w:rPr>
        <w:t xml:space="preserve">תוספתא </w:t>
      </w:r>
      <w:r w:rsidRPr="001D49D4">
        <w:rPr>
          <w:rFonts w:ascii="Calibri" w:eastAsia="Calibri" w:hAnsi="Calibri" w:cs="Arial"/>
          <w:b/>
          <w:bCs/>
          <w:sz w:val="16"/>
          <w:szCs w:val="16"/>
          <w:rtl/>
        </w:rPr>
        <w:t xml:space="preserve">(גי' הרא"ש) </w:t>
      </w:r>
      <w:r w:rsidRPr="001D49D4">
        <w:rPr>
          <w:rFonts w:ascii="Calibri" w:eastAsia="Calibri" w:hAnsi="Calibri" w:cs="Arial"/>
          <w:b/>
          <w:bCs/>
          <w:rtl/>
        </w:rPr>
        <w:t>פ"ח ה"ח:</w:t>
      </w:r>
      <w:r w:rsidRPr="001D49D4">
        <w:rPr>
          <w:rFonts w:ascii="Calibri" w:eastAsia="Calibri" w:hAnsi="Calibri" w:cs="Arial"/>
          <w:rtl/>
        </w:rPr>
        <w:t xml:space="preserve"> חמשה שלוו בשטר אחד כל מי שיש לו קרקע כותבין עליו פרוזבול כל מי שאין לו קרקע אין כותבין עליו פרוזבול. </w:t>
      </w:r>
      <w:r w:rsidRPr="001D49D4">
        <w:rPr>
          <w:rFonts w:ascii="Calibri" w:eastAsia="Calibri" w:hAnsi="Calibri" w:cs="Arial"/>
          <w:u w:val="single"/>
          <w:rtl/>
        </w:rPr>
        <w:t>רשב"ג אומר</w:t>
      </w:r>
      <w:r w:rsidRPr="001D49D4">
        <w:rPr>
          <w:rFonts w:ascii="Calibri" w:eastAsia="Calibri" w:hAnsi="Calibri" w:cs="Arial"/>
          <w:rtl/>
        </w:rPr>
        <w:t>: אפי' יש לאחד קרקע כותבין פרוזבול על כולן.</w:t>
      </w:r>
      <w:r w:rsidRPr="001D49D4">
        <w:rPr>
          <w:rFonts w:ascii="Calibri" w:eastAsia="Calibri" w:hAnsi="Calibri" w:cs="Arial"/>
          <w:sz w:val="16"/>
          <w:szCs w:val="16"/>
          <w:rtl/>
        </w:rPr>
        <w:t xml:space="preserve"> (כתבה הרא"ש פרק השולח (סי' יח) וכתב דנראה דהלכה כר"ש בן גמליאל דקיימא לן (ירושלמי שבועות פ"ה ה"א) חמשה שלוו כאחד נעשו ערבאין ואחראין זה לזה עכ"ל</w:t>
      </w:r>
      <w:r w:rsidRPr="001D49D4">
        <w:rPr>
          <w:rFonts w:ascii="Calibri" w:eastAsia="Calibri" w:hAnsi="Calibri" w:cs="Arial"/>
          <w:sz w:val="14"/>
          <w:szCs w:val="14"/>
          <w:rtl/>
        </w:rPr>
        <w:t xml:space="preserve"> {הרא"ש}</w:t>
      </w:r>
      <w:r w:rsidRPr="001D49D4">
        <w:rPr>
          <w:rFonts w:ascii="Calibri" w:eastAsia="Calibri" w:hAnsi="Calibri" w:cs="Arial"/>
          <w:sz w:val="16"/>
          <w:szCs w:val="16"/>
          <w:rtl/>
        </w:rPr>
        <w:t>, ב"י)</w:t>
      </w:r>
    </w:p>
    <w:p w14:paraId="3529F3BE" w14:textId="77777777" w:rsidR="001D49D4" w:rsidRPr="001D49D4" w:rsidRDefault="001D49D4" w:rsidP="0004348D">
      <w:pPr>
        <w:spacing w:before="360" w:after="240"/>
        <w:rPr>
          <w:rFonts w:ascii="Calibri" w:eastAsia="Calibri" w:hAnsi="Calibri" w:cs="Arial"/>
          <w:u w:val="single"/>
          <w:rtl/>
        </w:rPr>
      </w:pPr>
      <w:r w:rsidRPr="001D49D4">
        <w:rPr>
          <w:rFonts w:ascii="Calibri" w:eastAsia="Calibri" w:hAnsi="Calibri" w:cs="Arial"/>
          <w:u w:val="single"/>
          <w:rtl/>
        </w:rPr>
        <w:t>חמשה אנשים שלוו מאדם אחד:</w:t>
      </w:r>
    </w:p>
    <w:p w14:paraId="2578A1B2" w14:textId="77777777" w:rsidR="001D49D4" w:rsidRPr="001D49D4" w:rsidRDefault="001D49D4" w:rsidP="0004348D">
      <w:pPr>
        <w:numPr>
          <w:ilvl w:val="0"/>
          <w:numId w:val="349"/>
        </w:numPr>
        <w:spacing w:before="360" w:after="240"/>
        <w:contextualSpacing/>
        <w:rPr>
          <w:rFonts w:ascii="Calibri" w:eastAsia="Calibri" w:hAnsi="Calibri" w:cs="Arial"/>
          <w:rtl/>
        </w:rPr>
      </w:pPr>
      <w:r w:rsidRPr="001D49D4">
        <w:rPr>
          <w:rFonts w:ascii="Calibri" w:eastAsia="Calibri" w:hAnsi="Calibri" w:cs="Arial"/>
          <w:rtl/>
        </w:rPr>
        <w:t>טור- חמשה שלוו מאחר - די לו בפרוזבול אחד שיכתוב 'מוסרני לכם כל חוב שיש לי על פלוני ופלוני'. ואם לוו בשטר אחד אפילו אין קרקע אלא לאחד מהם - כותבין פרוזבול על כולם.</w:t>
      </w:r>
      <w:r w:rsidRPr="001D49D4">
        <w:rPr>
          <w:rFonts w:ascii="Calibri" w:eastAsia="Calibri" w:hAnsi="Calibri" w:cs="Arial"/>
          <w:color w:val="E36C0A" w:themeColor="accent6" w:themeShade="BF"/>
          <w:rtl/>
        </w:rPr>
        <w:t xml:space="preserve"> (וכ"פ בשו"ע)</w:t>
      </w:r>
    </w:p>
    <w:p w14:paraId="1FDFE772" w14:textId="77777777" w:rsidR="001D49D4" w:rsidRPr="001D49D4" w:rsidRDefault="001D49D4" w:rsidP="0004348D">
      <w:pPr>
        <w:spacing w:before="360" w:after="240"/>
        <w:rPr>
          <w:rFonts w:ascii="Calibri" w:eastAsia="Calibri" w:hAnsi="Calibri" w:cs="Arial"/>
          <w:rtl/>
        </w:rPr>
      </w:pPr>
    </w:p>
    <w:p w14:paraId="6BBEBDF7" w14:textId="77777777" w:rsidR="001D49D4" w:rsidRPr="001D49D4" w:rsidRDefault="001D49D4" w:rsidP="0004348D">
      <w:pPr>
        <w:spacing w:before="360" w:after="240"/>
        <w:rPr>
          <w:rFonts w:ascii="Arial" w:eastAsia="Calibri" w:hAnsi="Arial" w:cs="Arial"/>
          <w:b/>
          <w:bCs/>
          <w:color w:val="000000"/>
          <w:sz w:val="28"/>
          <w:szCs w:val="28"/>
          <w:u w:val="single"/>
          <w:rtl/>
        </w:rPr>
      </w:pPr>
      <w:r w:rsidRPr="001D49D4">
        <w:rPr>
          <w:rFonts w:ascii="Arial" w:eastAsia="Calibri" w:hAnsi="Arial" w:cs="Arial"/>
          <w:b/>
          <w:bCs/>
          <w:color w:val="000000"/>
          <w:sz w:val="28"/>
          <w:szCs w:val="28"/>
          <w:u w:val="single"/>
          <w:rtl/>
        </w:rPr>
        <w:t>שו"ע:</w:t>
      </w:r>
    </w:p>
    <w:p w14:paraId="0F8AA21C"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rtl/>
        </w:rPr>
        <w:t xml:space="preserve">חמשה שלוו מאחד, די לו בפרוזבול אחד. ואם לוו בשטר אחד, אפילו אין לו קרקע אלא לאחד מהם, כותבים פרוזבול על כולם. </w:t>
      </w:r>
    </w:p>
    <w:p w14:paraId="5479C14C" w14:textId="77777777" w:rsidR="001D49D4" w:rsidRPr="001D49D4" w:rsidRDefault="001D49D4" w:rsidP="0004348D">
      <w:pPr>
        <w:spacing w:before="360" w:after="240"/>
        <w:rPr>
          <w:rFonts w:ascii="Calibri" w:eastAsia="Calibri" w:hAnsi="Calibri" w:cs="Arial"/>
          <w:u w:val="single"/>
          <w:rtl/>
        </w:rPr>
      </w:pPr>
      <w:r w:rsidRPr="001D49D4">
        <w:rPr>
          <w:rFonts w:ascii="Calibri" w:eastAsia="Calibri" w:hAnsi="Calibri" w:cs="Arial"/>
          <w:u w:val="single"/>
          <w:rtl/>
        </w:rPr>
        <w:t>מספר אנשים שלוו מאדם אחד – כל אחד בשטר בפני עצמו:</w:t>
      </w:r>
    </w:p>
    <w:p w14:paraId="5DF95221" w14:textId="77777777" w:rsidR="001D49D4" w:rsidRPr="001D49D4" w:rsidRDefault="001D49D4" w:rsidP="0004348D">
      <w:pPr>
        <w:numPr>
          <w:ilvl w:val="0"/>
          <w:numId w:val="349"/>
        </w:numPr>
        <w:spacing w:before="360" w:after="240"/>
        <w:contextualSpacing/>
        <w:rPr>
          <w:rFonts w:ascii="Calibri" w:eastAsia="Calibri" w:hAnsi="Calibri" w:cs="Arial"/>
          <w:rtl/>
        </w:rPr>
      </w:pPr>
      <w:r w:rsidRPr="001D49D4">
        <w:rPr>
          <w:rFonts w:ascii="Calibri" w:eastAsia="Calibri" w:hAnsi="Calibri" w:cs="Arial"/>
          <w:rtl/>
        </w:rPr>
        <w:t>סמ"ע</w:t>
      </w:r>
      <w:r w:rsidRPr="001D49D4">
        <w:rPr>
          <w:rFonts w:ascii="Calibri" w:eastAsia="Calibri" w:hAnsi="Calibri" w:cs="Arial"/>
          <w:sz w:val="16"/>
          <w:szCs w:val="16"/>
          <w:rtl/>
        </w:rPr>
        <w:t xml:space="preserve"> (סקמ"ט)</w:t>
      </w:r>
      <w:r w:rsidRPr="001D49D4">
        <w:rPr>
          <w:rFonts w:ascii="Calibri" w:eastAsia="Calibri" w:hAnsi="Calibri" w:cs="Arial"/>
          <w:rtl/>
        </w:rPr>
        <w:t xml:space="preserve">- אפילו לוו כל אחד בפני עצמו ויש קרקע לאחד מהן כותבין פרוזבול על כולם, דהא אותה קרקע שיש להאחד מחשב כאילו היא של המלוה, ואז המלוה מזכהו ללוין שלו, </w:t>
      </w:r>
      <w:r w:rsidRPr="001D49D4">
        <w:rPr>
          <w:rFonts w:ascii="Calibri" w:eastAsia="Calibri" w:hAnsi="Calibri" w:cs="Arial"/>
          <w:sz w:val="16"/>
          <w:szCs w:val="16"/>
          <w:rtl/>
        </w:rPr>
        <w:t>(וכמו שכתבו הטור והמחבר לפני זה [סע' כב])</w:t>
      </w:r>
      <w:r w:rsidRPr="001D49D4">
        <w:rPr>
          <w:rFonts w:ascii="Calibri" w:eastAsia="Calibri" w:hAnsi="Calibri" w:cs="Arial"/>
          <w:rtl/>
        </w:rPr>
        <w:t>, אלא דאז צריך שיזכהו המלוה להן. ובלוו כולן בשטר אחד אפילו בלא זיכוי נמי כותבין אכולן מטעם הנ"ל.</w:t>
      </w:r>
    </w:p>
    <w:p w14:paraId="40D0ADCE" w14:textId="77777777" w:rsidR="001D49D4" w:rsidRPr="001D49D4" w:rsidRDefault="001D49D4" w:rsidP="0004348D">
      <w:pPr>
        <w:spacing w:before="360" w:after="240"/>
        <w:rPr>
          <w:rFonts w:ascii="Calibri" w:eastAsia="Calibri" w:hAnsi="Calibri" w:cs="Arial"/>
          <w:rtl/>
        </w:rPr>
      </w:pPr>
    </w:p>
    <w:p w14:paraId="20A88E4E" w14:textId="77777777" w:rsidR="001D49D4" w:rsidRPr="001D49D4" w:rsidRDefault="001D49D4" w:rsidP="0004348D">
      <w:pPr>
        <w:keepNext/>
        <w:keepLines/>
        <w:spacing w:before="360" w:after="240"/>
        <w:outlineLvl w:val="1"/>
        <w:rPr>
          <w:rFonts w:ascii="Cambria" w:eastAsia="Times New Roman" w:hAnsi="Cambria" w:cs="Arial"/>
          <w:bCs/>
          <w:color w:val="548DD4" w:themeColor="text2" w:themeTint="99"/>
          <w:sz w:val="26"/>
          <w:szCs w:val="26"/>
          <w:rtl/>
        </w:rPr>
      </w:pPr>
      <w:bookmarkStart w:id="759" w:name="_Toc24884164"/>
      <w:r w:rsidRPr="001D49D4">
        <w:rPr>
          <w:rFonts w:ascii="Cambria" w:eastAsia="Times New Roman" w:hAnsi="Cambria" w:cs="Arial"/>
          <w:bCs/>
          <w:color w:val="548DD4" w:themeColor="text2" w:themeTint="99"/>
          <w:sz w:val="26"/>
          <w:szCs w:val="26"/>
          <w:rtl/>
        </w:rPr>
        <w:t>סעיף כז: אדם אחד שלוה ממספר אנשים.</w:t>
      </w:r>
      <w:bookmarkEnd w:id="759"/>
    </w:p>
    <w:p w14:paraId="7D681156"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b/>
          <w:bCs/>
          <w:rtl/>
        </w:rPr>
        <w:t>משנה שביעית פ"י מ"ה:</w:t>
      </w:r>
      <w:r w:rsidRPr="001D49D4">
        <w:rPr>
          <w:rFonts w:ascii="Calibri" w:eastAsia="Calibri" w:hAnsi="Calibri" w:cs="Arial"/>
          <w:rtl/>
        </w:rPr>
        <w:t xml:space="preserve">... אחד לוה מחמשה, כותב פרוזבול לכל אחד ואחד. </w:t>
      </w:r>
    </w:p>
    <w:p w14:paraId="1C6E09A1" w14:textId="77777777" w:rsidR="001D49D4" w:rsidRPr="001D49D4" w:rsidRDefault="001D49D4" w:rsidP="0004348D">
      <w:pPr>
        <w:spacing w:before="360" w:after="240"/>
        <w:rPr>
          <w:rFonts w:ascii="Calibri" w:eastAsia="Calibri" w:hAnsi="Calibri" w:cs="Arial"/>
          <w:u w:val="single"/>
          <w:rtl/>
        </w:rPr>
      </w:pPr>
      <w:r w:rsidRPr="001D49D4">
        <w:rPr>
          <w:rFonts w:ascii="Calibri" w:eastAsia="Calibri" w:hAnsi="Calibri" w:cs="Arial"/>
          <w:u w:val="single"/>
          <w:rtl/>
        </w:rPr>
        <w:t>אדם אחד שלוה מחמשה אנשים:</w:t>
      </w:r>
    </w:p>
    <w:p w14:paraId="447422DB" w14:textId="77777777" w:rsidR="001D49D4" w:rsidRPr="001D49D4" w:rsidRDefault="001D49D4" w:rsidP="0004348D">
      <w:pPr>
        <w:numPr>
          <w:ilvl w:val="0"/>
          <w:numId w:val="349"/>
        </w:numPr>
        <w:spacing w:before="360" w:after="240"/>
        <w:contextualSpacing/>
        <w:rPr>
          <w:rFonts w:ascii="Calibri" w:eastAsia="Calibri" w:hAnsi="Calibri" w:cs="Arial"/>
          <w:rtl/>
        </w:rPr>
      </w:pPr>
      <w:r w:rsidRPr="001D49D4">
        <w:rPr>
          <w:rFonts w:ascii="Calibri" w:eastAsia="Calibri" w:hAnsi="Calibri" w:cs="Arial"/>
          <w:rtl/>
        </w:rPr>
        <w:t>טור- חמשה שהלוו לאחד - כל חד וחד צריך פרוזבול.</w:t>
      </w:r>
      <w:r w:rsidRPr="001D49D4">
        <w:rPr>
          <w:rFonts w:ascii="Calibri" w:eastAsia="Calibri" w:hAnsi="Calibri" w:cs="Arial"/>
          <w:color w:val="E36C0A" w:themeColor="accent6" w:themeShade="BF"/>
          <w:rtl/>
        </w:rPr>
        <w:t xml:space="preserve"> (וכ"פ בשו"ע)</w:t>
      </w:r>
    </w:p>
    <w:p w14:paraId="3669FC55" w14:textId="77777777" w:rsidR="001D49D4" w:rsidRPr="001D49D4" w:rsidRDefault="001D49D4" w:rsidP="0004348D">
      <w:pPr>
        <w:spacing w:before="360" w:after="240"/>
        <w:rPr>
          <w:rFonts w:ascii="Arial" w:eastAsia="Calibri" w:hAnsi="Arial" w:cs="Arial"/>
          <w:b/>
          <w:bCs/>
          <w:color w:val="000000"/>
          <w:sz w:val="28"/>
          <w:szCs w:val="28"/>
          <w:u w:val="single"/>
          <w:rtl/>
        </w:rPr>
      </w:pPr>
      <w:r w:rsidRPr="001D49D4">
        <w:rPr>
          <w:rFonts w:ascii="Arial" w:eastAsia="Calibri" w:hAnsi="Arial" w:cs="Arial"/>
          <w:b/>
          <w:bCs/>
          <w:color w:val="000000"/>
          <w:sz w:val="28"/>
          <w:szCs w:val="28"/>
          <w:u w:val="single"/>
          <w:rtl/>
        </w:rPr>
        <w:t>שו"ע:</w:t>
      </w:r>
    </w:p>
    <w:p w14:paraId="1B021B61"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rtl/>
        </w:rPr>
        <w:t xml:space="preserve">חמשה שהלוו לאחד, כל אחד צריך פרוזבול. </w:t>
      </w:r>
    </w:p>
    <w:p w14:paraId="3AE10B31" w14:textId="77777777" w:rsidR="001D49D4" w:rsidRPr="001D49D4" w:rsidRDefault="001D49D4" w:rsidP="0004348D">
      <w:pPr>
        <w:spacing w:before="360" w:after="240"/>
        <w:rPr>
          <w:rFonts w:ascii="Calibri" w:eastAsia="Calibri" w:hAnsi="Calibri" w:cs="Arial"/>
          <w:rtl/>
        </w:rPr>
      </w:pPr>
    </w:p>
    <w:p w14:paraId="66771E0E" w14:textId="77777777" w:rsidR="001D49D4" w:rsidRPr="001D49D4" w:rsidRDefault="001D49D4" w:rsidP="0004348D">
      <w:pPr>
        <w:keepNext/>
        <w:keepLines/>
        <w:spacing w:before="360" w:after="240"/>
        <w:outlineLvl w:val="1"/>
        <w:rPr>
          <w:rFonts w:ascii="Cambria" w:eastAsia="Times New Roman" w:hAnsi="Cambria" w:cs="Arial"/>
          <w:bCs/>
          <w:color w:val="548DD4" w:themeColor="text2" w:themeTint="99"/>
          <w:sz w:val="26"/>
          <w:szCs w:val="26"/>
          <w:rtl/>
        </w:rPr>
      </w:pPr>
      <w:bookmarkStart w:id="760" w:name="_Toc24884165"/>
      <w:r w:rsidRPr="001D49D4">
        <w:rPr>
          <w:rFonts w:ascii="Cambria" w:eastAsia="Times New Roman" w:hAnsi="Cambria" w:cs="Arial"/>
          <w:bCs/>
          <w:color w:val="548DD4" w:themeColor="text2" w:themeTint="99"/>
          <w:sz w:val="26"/>
          <w:szCs w:val="26"/>
          <w:rtl/>
        </w:rPr>
        <w:t>סעיף כח: יתום קטן שהלוה לאחרים. אדם שחייב לקופת צדקה.</w:t>
      </w:r>
      <w:bookmarkEnd w:id="760"/>
    </w:p>
    <w:p w14:paraId="02C8F554" w14:textId="77777777" w:rsidR="001D49D4" w:rsidRPr="001D49D4" w:rsidRDefault="001D49D4" w:rsidP="0004348D">
      <w:pPr>
        <w:spacing w:before="360" w:after="240"/>
        <w:rPr>
          <w:rFonts w:ascii="Calibri" w:eastAsia="Calibri" w:hAnsi="Calibri" w:cs="Arial"/>
          <w:u w:val="single"/>
          <w:rtl/>
        </w:rPr>
      </w:pPr>
      <w:r w:rsidRPr="001D49D4">
        <w:rPr>
          <w:rFonts w:ascii="Calibri" w:eastAsia="Calibri" w:hAnsi="Calibri" w:cs="Arial"/>
          <w:u w:val="single"/>
          <w:rtl/>
        </w:rPr>
        <w:t>האם יתומים צריכים פרוזבול:</w:t>
      </w:r>
    </w:p>
    <w:p w14:paraId="72783CC1" w14:textId="77777777" w:rsidR="001D49D4" w:rsidRPr="001D49D4" w:rsidRDefault="001D49D4" w:rsidP="0004348D">
      <w:pPr>
        <w:numPr>
          <w:ilvl w:val="0"/>
          <w:numId w:val="349"/>
        </w:numPr>
        <w:spacing w:before="360" w:after="240"/>
        <w:contextualSpacing/>
        <w:rPr>
          <w:rFonts w:ascii="Calibri" w:eastAsia="Calibri" w:hAnsi="Calibri" w:cs="Arial"/>
        </w:rPr>
      </w:pPr>
      <w:r w:rsidRPr="001D49D4">
        <w:rPr>
          <w:rFonts w:ascii="Calibri" w:eastAsia="Calibri" w:hAnsi="Calibri" w:cs="Arial"/>
          <w:rtl/>
        </w:rPr>
        <w:t>עיין בסעיף כה.</w:t>
      </w:r>
    </w:p>
    <w:p w14:paraId="09BF9C86" w14:textId="77777777" w:rsidR="001D49D4" w:rsidRPr="001D49D4" w:rsidRDefault="001D49D4" w:rsidP="0004348D">
      <w:pPr>
        <w:spacing w:before="360" w:after="240"/>
        <w:rPr>
          <w:rFonts w:ascii="Calibri" w:eastAsia="Calibri" w:hAnsi="Calibri" w:cs="Arial"/>
          <w:u w:val="single"/>
          <w:rtl/>
        </w:rPr>
      </w:pPr>
      <w:r w:rsidRPr="001D49D4">
        <w:rPr>
          <w:rFonts w:ascii="Calibri" w:eastAsia="Calibri" w:hAnsi="Calibri" w:cs="Arial"/>
          <w:u w:val="single"/>
          <w:rtl/>
        </w:rPr>
        <w:t>אדם שחייב מעות לקופת הצדקה – האם שביעית משמטת:</w:t>
      </w:r>
    </w:p>
    <w:p w14:paraId="16E47429" w14:textId="77777777" w:rsidR="001D49D4" w:rsidRPr="001D49D4" w:rsidRDefault="001D49D4" w:rsidP="0004348D">
      <w:pPr>
        <w:numPr>
          <w:ilvl w:val="0"/>
          <w:numId w:val="349"/>
        </w:numPr>
        <w:spacing w:before="360" w:after="240"/>
        <w:contextualSpacing/>
        <w:rPr>
          <w:rFonts w:ascii="Calibri" w:eastAsia="Calibri" w:hAnsi="Calibri" w:cs="Arial"/>
          <w:rtl/>
        </w:rPr>
      </w:pPr>
      <w:r w:rsidRPr="001D49D4">
        <w:rPr>
          <w:rFonts w:ascii="Calibri" w:eastAsia="Calibri" w:hAnsi="Calibri" w:cs="Arial"/>
          <w:rtl/>
        </w:rPr>
        <w:t xml:space="preserve">רשב"א </w:t>
      </w:r>
      <w:r w:rsidRPr="001D49D4">
        <w:rPr>
          <w:rFonts w:ascii="Calibri" w:eastAsia="Calibri" w:hAnsi="Calibri" w:cs="Arial"/>
          <w:sz w:val="16"/>
          <w:szCs w:val="16"/>
          <w:rtl/>
        </w:rPr>
        <w:t>(פרק שור שנגח ב"ק לו: ד"ה הא)</w:t>
      </w:r>
      <w:r w:rsidRPr="001D49D4">
        <w:rPr>
          <w:rFonts w:ascii="Calibri" w:eastAsia="Calibri" w:hAnsi="Calibri" w:cs="Arial"/>
          <w:rtl/>
        </w:rPr>
        <w:t xml:space="preserve">- מהא דאמר רב יוסף יד עניים אנן דאמר רב יהודה אמר שמואל יתומים אין צריכים פרוזבול שמעינן דדין עניים כדין היתומים ומי שחייב מעות לקופת הצדקה אינו משמט. </w:t>
      </w:r>
      <w:r w:rsidRPr="001D49D4">
        <w:rPr>
          <w:rFonts w:ascii="Calibri" w:eastAsia="Calibri" w:hAnsi="Calibri" w:cs="Arial"/>
          <w:color w:val="E36C0A" w:themeColor="accent6" w:themeShade="BF"/>
          <w:rtl/>
        </w:rPr>
        <w:t>(וכ"פ בשו"ע)</w:t>
      </w:r>
    </w:p>
    <w:p w14:paraId="5548F434" w14:textId="77777777" w:rsidR="001D49D4" w:rsidRPr="001D49D4" w:rsidRDefault="001D49D4" w:rsidP="0004348D">
      <w:pPr>
        <w:spacing w:before="360" w:after="240"/>
        <w:rPr>
          <w:rFonts w:ascii="Arial" w:eastAsia="Calibri" w:hAnsi="Arial" w:cs="Arial"/>
          <w:b/>
          <w:bCs/>
          <w:color w:val="000000"/>
          <w:sz w:val="28"/>
          <w:szCs w:val="28"/>
          <w:u w:val="single"/>
        </w:rPr>
      </w:pPr>
      <w:r w:rsidRPr="001D49D4">
        <w:rPr>
          <w:rFonts w:ascii="Arial" w:eastAsia="Calibri" w:hAnsi="Arial" w:cs="Arial"/>
          <w:b/>
          <w:bCs/>
          <w:color w:val="000000"/>
          <w:sz w:val="28"/>
          <w:szCs w:val="28"/>
          <w:u w:val="single"/>
          <w:rtl/>
        </w:rPr>
        <w:t>שו"ע:</w:t>
      </w:r>
    </w:p>
    <w:p w14:paraId="6ACD4847"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rtl/>
        </w:rPr>
        <w:t>יתומים קטנים שיש להם מלוה ביד אחרים</w:t>
      </w:r>
      <w:r w:rsidRPr="001D49D4">
        <w:rPr>
          <w:rFonts w:ascii="Calibri" w:eastAsia="Calibri" w:hAnsi="Calibri" w:cs="Arial"/>
          <w:vertAlign w:val="superscript"/>
          <w:rtl/>
        </w:rPr>
        <w:footnoteReference w:id="5416"/>
      </w:r>
      <w:r w:rsidRPr="001D49D4">
        <w:rPr>
          <w:rFonts w:ascii="Calibri" w:eastAsia="Calibri" w:hAnsi="Calibri" w:cs="Arial"/>
          <w:rtl/>
        </w:rPr>
        <w:t xml:space="preserve">, אין צריכים פרוזבול. מי שחייב לקופת הצדקה, אינו משמט. </w:t>
      </w:r>
    </w:p>
    <w:p w14:paraId="605AC061" w14:textId="77777777" w:rsidR="001D49D4" w:rsidRPr="001D49D4" w:rsidRDefault="001D49D4" w:rsidP="0004348D">
      <w:pPr>
        <w:spacing w:before="360" w:after="240"/>
        <w:rPr>
          <w:rFonts w:ascii="Calibri" w:eastAsia="Calibri" w:hAnsi="Calibri" w:cs="Arial"/>
          <w:rtl/>
        </w:rPr>
      </w:pPr>
    </w:p>
    <w:p w14:paraId="14933B5B" w14:textId="77777777" w:rsidR="001D49D4" w:rsidRPr="001D49D4" w:rsidRDefault="001D49D4" w:rsidP="0004348D">
      <w:pPr>
        <w:keepNext/>
        <w:keepLines/>
        <w:spacing w:before="360" w:after="240"/>
        <w:outlineLvl w:val="1"/>
        <w:rPr>
          <w:rFonts w:ascii="Cambria" w:eastAsia="Times New Roman" w:hAnsi="Cambria" w:cs="Arial"/>
          <w:bCs/>
          <w:color w:val="548DD4" w:themeColor="text2" w:themeTint="99"/>
          <w:sz w:val="26"/>
          <w:szCs w:val="26"/>
          <w:rtl/>
        </w:rPr>
      </w:pPr>
      <w:bookmarkStart w:id="761" w:name="_Toc24884166"/>
      <w:r w:rsidRPr="001D49D4">
        <w:rPr>
          <w:rFonts w:ascii="Cambria" w:eastAsia="Times New Roman" w:hAnsi="Cambria" w:cs="Arial"/>
          <w:bCs/>
          <w:color w:val="548DD4" w:themeColor="text2" w:themeTint="99"/>
          <w:sz w:val="26"/>
          <w:szCs w:val="26"/>
          <w:rtl/>
        </w:rPr>
        <w:t>סעיף כט: יתומים גדולים.</w:t>
      </w:r>
      <w:bookmarkEnd w:id="761"/>
    </w:p>
    <w:p w14:paraId="6F58DE09" w14:textId="77777777" w:rsidR="001D49D4" w:rsidRPr="001D49D4" w:rsidRDefault="001D49D4" w:rsidP="0004348D">
      <w:pPr>
        <w:spacing w:before="360" w:after="240"/>
        <w:rPr>
          <w:rFonts w:ascii="Calibri" w:eastAsia="Calibri" w:hAnsi="Calibri" w:cs="Arial"/>
          <w:u w:val="single"/>
          <w:rtl/>
        </w:rPr>
      </w:pPr>
      <w:r w:rsidRPr="001D49D4">
        <w:rPr>
          <w:rFonts w:ascii="Calibri" w:eastAsia="Calibri" w:hAnsi="Calibri" w:cs="Arial"/>
          <w:u w:val="single"/>
          <w:rtl/>
        </w:rPr>
        <w:t>מי נקרא יתום/עני לעניין שאינו צריך פרוזבול:</w:t>
      </w:r>
    </w:p>
    <w:p w14:paraId="3F4AE027" w14:textId="77777777" w:rsidR="001D49D4" w:rsidRPr="001D49D4" w:rsidRDefault="001D49D4" w:rsidP="0004348D">
      <w:pPr>
        <w:numPr>
          <w:ilvl w:val="0"/>
          <w:numId w:val="349"/>
        </w:numPr>
        <w:spacing w:before="360" w:after="240"/>
        <w:contextualSpacing/>
        <w:rPr>
          <w:rFonts w:ascii="Calibri" w:eastAsia="Calibri" w:hAnsi="Calibri" w:cs="Arial"/>
        </w:rPr>
      </w:pPr>
      <w:r w:rsidRPr="001D49D4">
        <w:rPr>
          <w:rFonts w:ascii="Calibri" w:eastAsia="Calibri" w:hAnsi="Calibri" w:cs="Arial"/>
          <w:rtl/>
        </w:rPr>
        <w:t xml:space="preserve">נמוק"י </w:t>
      </w:r>
      <w:r w:rsidRPr="001D49D4">
        <w:rPr>
          <w:rFonts w:ascii="Calibri" w:eastAsia="Calibri" w:hAnsi="Calibri" w:cs="Arial"/>
          <w:sz w:val="16"/>
          <w:szCs w:val="16"/>
          <w:rtl/>
        </w:rPr>
        <w:t>(פרק שור שנגח יח: מדפה"ר)</w:t>
      </w:r>
      <w:r w:rsidRPr="001D49D4">
        <w:rPr>
          <w:rFonts w:ascii="Calibri" w:eastAsia="Calibri" w:hAnsi="Calibri" w:cs="Arial"/>
          <w:rtl/>
        </w:rPr>
        <w:t>- הא דיתומים - דוקא בקטנים, אבל גדולים כאינשי דעלמא נינהו, וכן עניים שהם בני דעה. וכיון דיכלי למיכתב פרוזבול אי לא כתבו - אינהו דאפסידו אנפשייהו.</w:t>
      </w:r>
    </w:p>
    <w:p w14:paraId="36860CC3" w14:textId="77777777" w:rsidR="001D49D4" w:rsidRPr="001D49D4" w:rsidRDefault="001D49D4" w:rsidP="0004348D">
      <w:pPr>
        <w:spacing w:before="360" w:after="240"/>
        <w:rPr>
          <w:rFonts w:ascii="Calibri" w:eastAsia="Calibri" w:hAnsi="Calibri" w:cs="Arial"/>
          <w:u w:val="single"/>
          <w:rtl/>
        </w:rPr>
      </w:pPr>
      <w:r w:rsidRPr="001D49D4">
        <w:rPr>
          <w:rFonts w:ascii="Calibri" w:eastAsia="Calibri" w:hAnsi="Calibri" w:cs="Arial"/>
          <w:u w:val="single"/>
          <w:rtl/>
        </w:rPr>
        <w:t>יתומים גדולים – האם טענינן להו:</w:t>
      </w:r>
    </w:p>
    <w:p w14:paraId="4FA47173" w14:textId="77777777" w:rsidR="001D49D4" w:rsidRPr="001D49D4" w:rsidRDefault="001D49D4" w:rsidP="0004348D">
      <w:pPr>
        <w:numPr>
          <w:ilvl w:val="0"/>
          <w:numId w:val="349"/>
        </w:numPr>
        <w:spacing w:before="360" w:after="240"/>
        <w:contextualSpacing/>
        <w:rPr>
          <w:rFonts w:ascii="Calibri" w:eastAsia="Calibri" w:hAnsi="Calibri" w:cs="Arial"/>
          <w:rtl/>
        </w:rPr>
      </w:pPr>
      <w:r w:rsidRPr="001D49D4">
        <w:rPr>
          <w:rFonts w:ascii="Calibri" w:eastAsia="Calibri" w:hAnsi="Calibri" w:cs="Arial"/>
          <w:rtl/>
        </w:rPr>
        <w:t xml:space="preserve">רשב"א </w:t>
      </w:r>
      <w:r w:rsidRPr="001D49D4">
        <w:rPr>
          <w:rFonts w:ascii="Calibri" w:eastAsia="Calibri" w:hAnsi="Calibri" w:cs="Arial"/>
          <w:sz w:val="16"/>
          <w:szCs w:val="16"/>
          <w:rtl/>
        </w:rPr>
        <w:t>(חי' שם ע"ב ד"ה כי אתו, ובשו"ת ח"ג סי' נז)</w:t>
      </w:r>
      <w:r w:rsidRPr="001D49D4">
        <w:rPr>
          <w:rFonts w:ascii="Calibri" w:eastAsia="Calibri" w:hAnsi="Calibri" w:cs="Arial"/>
          <w:rtl/>
        </w:rPr>
        <w:t xml:space="preserve"> ורי"ו </w:t>
      </w:r>
      <w:r w:rsidRPr="001D49D4">
        <w:rPr>
          <w:rFonts w:ascii="Calibri" w:eastAsia="Calibri" w:hAnsi="Calibri" w:cs="Arial"/>
          <w:sz w:val="16"/>
          <w:szCs w:val="16"/>
          <w:rtl/>
        </w:rPr>
        <w:t>(מישרים נ"ז כו ע"ג)</w:t>
      </w:r>
      <w:r w:rsidRPr="001D49D4">
        <w:rPr>
          <w:rFonts w:ascii="Calibri" w:eastAsia="Calibri" w:hAnsi="Calibri" w:cs="Arial"/>
          <w:rtl/>
        </w:rPr>
        <w:t>- אם היו גדולים - טענינן להו שמא היה לאביהם פרוזבול או שמא התנה שלא ישמיטנו בשביעית</w:t>
      </w:r>
      <w:r w:rsidRPr="001D49D4">
        <w:rPr>
          <w:rFonts w:ascii="Calibri" w:eastAsia="Calibri" w:hAnsi="Calibri" w:cs="Arial"/>
          <w:vertAlign w:val="superscript"/>
          <w:rtl/>
        </w:rPr>
        <w:footnoteReference w:id="5417"/>
      </w:r>
      <w:r w:rsidRPr="001D49D4">
        <w:rPr>
          <w:rFonts w:ascii="Calibri" w:eastAsia="Calibri" w:hAnsi="Calibri" w:cs="Arial"/>
          <w:rtl/>
        </w:rPr>
        <w:t>.</w:t>
      </w:r>
      <w:r w:rsidRPr="001D49D4">
        <w:rPr>
          <w:rFonts w:ascii="Calibri" w:eastAsia="Calibri" w:hAnsi="Calibri" w:cs="Arial"/>
          <w:color w:val="E36C0A" w:themeColor="accent6" w:themeShade="BF"/>
          <w:rtl/>
        </w:rPr>
        <w:t xml:space="preserve"> (וכ"פ בשו"ע)</w:t>
      </w:r>
    </w:p>
    <w:p w14:paraId="72A13618" w14:textId="77777777" w:rsidR="001D49D4" w:rsidRPr="001D49D4" w:rsidRDefault="001D49D4" w:rsidP="0004348D">
      <w:pPr>
        <w:spacing w:before="360" w:after="240"/>
        <w:rPr>
          <w:rFonts w:ascii="Arial" w:eastAsia="Calibri" w:hAnsi="Arial" w:cs="Arial"/>
          <w:b/>
          <w:bCs/>
          <w:color w:val="000000"/>
          <w:sz w:val="28"/>
          <w:szCs w:val="28"/>
          <w:u w:val="single"/>
          <w:rtl/>
        </w:rPr>
      </w:pPr>
      <w:r w:rsidRPr="001D49D4">
        <w:rPr>
          <w:rFonts w:ascii="Arial" w:eastAsia="Calibri" w:hAnsi="Arial" w:cs="Arial"/>
          <w:b/>
          <w:bCs/>
          <w:color w:val="000000"/>
          <w:sz w:val="28"/>
          <w:szCs w:val="28"/>
          <w:u w:val="single"/>
          <w:rtl/>
        </w:rPr>
        <w:t>שו"ע:</w:t>
      </w:r>
    </w:p>
    <w:p w14:paraId="2DA53772"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rtl/>
        </w:rPr>
        <w:t xml:space="preserve">יתומים גדולים, טעינינן להו שמא היה לאביהם פרוזבול או שמא התנה שלא ישמיטנו בשביעית. </w:t>
      </w:r>
    </w:p>
    <w:p w14:paraId="364CECA7" w14:textId="77777777" w:rsidR="001D49D4" w:rsidRPr="001D49D4" w:rsidRDefault="001D49D4" w:rsidP="0004348D">
      <w:pPr>
        <w:spacing w:before="360" w:after="240"/>
        <w:rPr>
          <w:rFonts w:ascii="Calibri" w:eastAsia="Calibri" w:hAnsi="Calibri" w:cs="Arial"/>
          <w:rtl/>
        </w:rPr>
      </w:pPr>
    </w:p>
    <w:p w14:paraId="401F8D26" w14:textId="77777777" w:rsidR="001D49D4" w:rsidRPr="001D49D4" w:rsidRDefault="001D49D4" w:rsidP="0004348D">
      <w:pPr>
        <w:keepNext/>
        <w:keepLines/>
        <w:spacing w:before="360" w:after="240"/>
        <w:outlineLvl w:val="1"/>
        <w:rPr>
          <w:rFonts w:ascii="Cambria" w:eastAsia="Times New Roman" w:hAnsi="Cambria" w:cs="Arial"/>
          <w:bCs/>
          <w:color w:val="548DD4" w:themeColor="text2" w:themeTint="99"/>
          <w:sz w:val="26"/>
          <w:szCs w:val="26"/>
          <w:rtl/>
        </w:rPr>
      </w:pPr>
      <w:bookmarkStart w:id="762" w:name="_Toc24884167"/>
      <w:r w:rsidRPr="001D49D4">
        <w:rPr>
          <w:rFonts w:ascii="Cambria" w:eastAsia="Times New Roman" w:hAnsi="Cambria" w:cs="Arial"/>
          <w:bCs/>
          <w:color w:val="548DD4" w:themeColor="text2" w:themeTint="99"/>
          <w:sz w:val="26"/>
          <w:szCs w:val="26"/>
          <w:rtl/>
        </w:rPr>
        <w:t>סעיף ל: עד מתי יכול לגבות חובו בבית דין.</w:t>
      </w:r>
      <w:bookmarkEnd w:id="762"/>
    </w:p>
    <w:p w14:paraId="1576B36A"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b/>
          <w:bCs/>
          <w:rtl/>
        </w:rPr>
        <w:t>דברים טו: [א]</w:t>
      </w:r>
      <w:r w:rsidRPr="001D49D4">
        <w:rPr>
          <w:rFonts w:ascii="Calibri" w:eastAsia="Calibri" w:hAnsi="Calibri" w:cs="Arial"/>
          <w:rtl/>
        </w:rPr>
        <w:t xml:space="preserve"> מִקֵּץ שֶׁבַע שָׁנִים תַּעֲשֶׂה שְׁמִטָּה: </w:t>
      </w:r>
      <w:r w:rsidRPr="001D49D4">
        <w:rPr>
          <w:rFonts w:ascii="Calibri" w:eastAsia="Calibri" w:hAnsi="Calibri" w:cs="Arial"/>
          <w:b/>
          <w:bCs/>
          <w:rtl/>
        </w:rPr>
        <w:t>[ב]</w:t>
      </w:r>
      <w:r w:rsidRPr="001D49D4">
        <w:rPr>
          <w:rFonts w:ascii="Calibri" w:eastAsia="Calibri" w:hAnsi="Calibri" w:cs="Arial"/>
          <w:rtl/>
        </w:rPr>
        <w:t xml:space="preserve"> וְזֶה דְּבַר הַשְּׁמִטָּה שָׁמוֹט כָּל בַּעַל מַשֵּׁה יָדוֹ אֲשֶׁר יַשֶּׁה בְּרֵעֵהוּ לֹא יִגֹּשׂ אֶת רֵעֵהוּ וְאֶת אָחִיו כִּי קָרָא שְׁמִטָּה לַיקֹוָק: </w:t>
      </w:r>
    </w:p>
    <w:p w14:paraId="05CD9D5D"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b/>
          <w:bCs/>
          <w:rtl/>
        </w:rPr>
        <w:t xml:space="preserve">ערכין </w:t>
      </w:r>
      <w:r w:rsidRPr="001D49D4">
        <w:rPr>
          <w:rFonts w:ascii="Calibri" w:eastAsia="Calibri" w:hAnsi="Calibri" w:cs="Arial"/>
          <w:b/>
          <w:bCs/>
          <w:sz w:val="16"/>
          <w:szCs w:val="16"/>
          <w:rtl/>
        </w:rPr>
        <w:t xml:space="preserve">(פרק המקדיש) </w:t>
      </w:r>
      <w:r w:rsidRPr="001D49D4">
        <w:rPr>
          <w:rFonts w:ascii="Calibri" w:eastAsia="Calibri" w:hAnsi="Calibri" w:cs="Arial"/>
          <w:b/>
          <w:bCs/>
          <w:rtl/>
        </w:rPr>
        <w:t xml:space="preserve">כח ע"ב: </w:t>
      </w:r>
      <w:r w:rsidRPr="001D49D4">
        <w:rPr>
          <w:rFonts w:ascii="Calibri" w:eastAsia="Calibri" w:hAnsi="Calibri" w:cs="Arial"/>
          <w:u w:val="single"/>
          <w:rtl/>
        </w:rPr>
        <w:t>אמר רב נחמן בר יצחק</w:t>
      </w:r>
      <w:r w:rsidRPr="001D49D4">
        <w:rPr>
          <w:rFonts w:ascii="Calibri" w:eastAsia="Calibri" w:hAnsi="Calibri" w:cs="Arial"/>
          <w:rtl/>
        </w:rPr>
        <w:t xml:space="preserve">: תניא נמי הכי, נמצאת אתה אומר: אחד יובל ואחד שביעית משמטין כאחד, אלא שיובל בתחילתו והשמטה בסופה. אדרבה, משום הכי הואי! אימא: מפני שהיובל כו'. בשלמא שביעית בסופה, דכתיב: מקץ שבע שנים תעשה שמטה, אלא יובל בתחילתו ביום הכיפורים הוא, דכתיב: ביום הכיפורים תעבירו שופר בכל ארצכם! הא מני? ר' ישמעאל בנו של רבי יוחנן בן ברוקה היא, דאמר: מר"ה הוא דחייל יובל. </w:t>
      </w:r>
    </w:p>
    <w:p w14:paraId="3C1AA093"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b/>
          <w:bCs/>
          <w:rtl/>
        </w:rPr>
        <w:t xml:space="preserve">תוספתא </w:t>
      </w:r>
      <w:r w:rsidRPr="001D49D4">
        <w:rPr>
          <w:rFonts w:ascii="Calibri" w:eastAsia="Calibri" w:hAnsi="Calibri" w:cs="Arial"/>
          <w:b/>
          <w:bCs/>
          <w:sz w:val="16"/>
          <w:szCs w:val="16"/>
          <w:rtl/>
        </w:rPr>
        <w:t xml:space="preserve">(גי' הרא"ש </w:t>
      </w:r>
      <w:r w:rsidRPr="001D49D4">
        <w:rPr>
          <w:rFonts w:ascii="Calibri" w:eastAsia="Calibri" w:hAnsi="Calibri" w:cs="Arial"/>
          <w:b/>
          <w:bCs/>
          <w:sz w:val="14"/>
          <w:szCs w:val="14"/>
          <w:rtl/>
        </w:rPr>
        <w:t>[וכ"ה גי' בהעי"ט]</w:t>
      </w:r>
      <w:r w:rsidRPr="001D49D4">
        <w:rPr>
          <w:rFonts w:ascii="Calibri" w:eastAsia="Calibri" w:hAnsi="Calibri" w:cs="Arial"/>
          <w:b/>
          <w:bCs/>
          <w:sz w:val="16"/>
          <w:szCs w:val="16"/>
          <w:rtl/>
        </w:rPr>
        <w:t xml:space="preserve">) </w:t>
      </w:r>
      <w:r w:rsidRPr="001D49D4">
        <w:rPr>
          <w:rFonts w:ascii="Calibri" w:eastAsia="Calibri" w:hAnsi="Calibri" w:cs="Arial"/>
          <w:b/>
          <w:bCs/>
          <w:rtl/>
        </w:rPr>
        <w:t>פ"ח ה"י:</w:t>
      </w:r>
      <w:r w:rsidRPr="001D49D4">
        <w:rPr>
          <w:rFonts w:ascii="Calibri" w:eastAsia="Calibri" w:hAnsi="Calibri" w:cs="Arial"/>
          <w:rtl/>
        </w:rPr>
        <w:t xml:space="preserve"> אימתי כותבין עליו פרוזבול? ערב ראש השנה של שביעית.</w:t>
      </w:r>
      <w:r w:rsidRPr="001D49D4">
        <w:rPr>
          <w:rFonts w:ascii="Calibri" w:eastAsia="Calibri" w:hAnsi="Calibri" w:cs="Arial"/>
          <w:sz w:val="16"/>
          <w:szCs w:val="16"/>
          <w:rtl/>
        </w:rPr>
        <w:t xml:space="preserve"> (ולא בא למעט אלא בשנה שביעית דאע"ג דשביעית אינה משמטת אלא בסופה אפילו הכי אין כותבין פרוזבול, רא"ש (פרק השולח סי' יח))</w:t>
      </w:r>
    </w:p>
    <w:p w14:paraId="648EEC2F"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b/>
          <w:bCs/>
          <w:rtl/>
        </w:rPr>
        <w:t xml:space="preserve">תוספתא </w:t>
      </w:r>
      <w:r w:rsidRPr="001D49D4">
        <w:rPr>
          <w:rFonts w:ascii="Calibri" w:eastAsia="Calibri" w:hAnsi="Calibri" w:cs="Arial"/>
          <w:b/>
          <w:bCs/>
          <w:sz w:val="16"/>
          <w:szCs w:val="16"/>
          <w:rtl/>
        </w:rPr>
        <w:t>(גי' הרשב"א</w:t>
      </w:r>
      <w:r w:rsidRPr="001D49D4">
        <w:rPr>
          <w:rFonts w:ascii="Calibri" w:eastAsia="Calibri" w:hAnsi="Calibri" w:cs="Arial"/>
          <w:b/>
          <w:bCs/>
          <w:sz w:val="14"/>
          <w:szCs w:val="14"/>
          <w:rtl/>
        </w:rPr>
        <w:t xml:space="preserve"> [וכ"ה גי' ר"ש]</w:t>
      </w:r>
      <w:r w:rsidRPr="001D49D4">
        <w:rPr>
          <w:rFonts w:ascii="Calibri" w:eastAsia="Calibri" w:hAnsi="Calibri" w:cs="Arial"/>
          <w:b/>
          <w:bCs/>
          <w:sz w:val="16"/>
          <w:szCs w:val="16"/>
          <w:rtl/>
        </w:rPr>
        <w:t xml:space="preserve">) </w:t>
      </w:r>
      <w:r w:rsidRPr="001D49D4">
        <w:rPr>
          <w:rFonts w:ascii="Calibri" w:eastAsia="Calibri" w:hAnsi="Calibri" w:cs="Arial"/>
          <w:b/>
          <w:bCs/>
          <w:rtl/>
        </w:rPr>
        <w:t>פ"ח ה"י:</w:t>
      </w:r>
      <w:r w:rsidRPr="001D49D4">
        <w:rPr>
          <w:rFonts w:ascii="Calibri" w:eastAsia="Calibri" w:hAnsi="Calibri" w:cs="Arial"/>
          <w:rtl/>
        </w:rPr>
        <w:t xml:space="preserve"> אימתי כותבין פרוזבול? ערב ראש השנה של מוצאי שביעית.</w:t>
      </w:r>
    </w:p>
    <w:p w14:paraId="5A07BD89" w14:textId="77777777" w:rsidR="001D49D4" w:rsidRPr="001D49D4" w:rsidRDefault="001D49D4" w:rsidP="0004348D">
      <w:pPr>
        <w:spacing w:before="360" w:after="240"/>
        <w:rPr>
          <w:rFonts w:ascii="Calibri" w:eastAsia="Calibri" w:hAnsi="Calibri" w:cs="Arial"/>
          <w:u w:val="single"/>
          <w:rtl/>
        </w:rPr>
      </w:pPr>
      <w:r w:rsidRPr="001D49D4">
        <w:rPr>
          <w:rFonts w:ascii="Calibri" w:eastAsia="Calibri" w:hAnsi="Calibri" w:cs="Arial"/>
          <w:u w:val="single"/>
          <w:rtl/>
        </w:rPr>
        <w:t>עד מתי יכול לכתוב פרוזבול:</w:t>
      </w:r>
    </w:p>
    <w:p w14:paraId="75FF1146" w14:textId="77777777" w:rsidR="001D49D4" w:rsidRPr="001D49D4" w:rsidRDefault="001D49D4" w:rsidP="0004348D">
      <w:pPr>
        <w:numPr>
          <w:ilvl w:val="0"/>
          <w:numId w:val="349"/>
        </w:numPr>
        <w:spacing w:before="360" w:after="240"/>
        <w:contextualSpacing/>
        <w:rPr>
          <w:rFonts w:ascii="Calibri" w:eastAsia="Calibri" w:hAnsi="Calibri" w:cs="Arial"/>
          <w:rtl/>
        </w:rPr>
      </w:pPr>
      <w:r w:rsidRPr="001D49D4">
        <w:rPr>
          <w:rFonts w:ascii="Calibri" w:eastAsia="Calibri" w:hAnsi="Calibri" w:cs="Arial"/>
          <w:rtl/>
        </w:rPr>
        <w:t xml:space="preserve">רמב"ם </w:t>
      </w:r>
      <w:r w:rsidRPr="001D49D4">
        <w:rPr>
          <w:rFonts w:ascii="Calibri" w:eastAsia="Calibri" w:hAnsi="Calibri" w:cs="Arial"/>
          <w:sz w:val="16"/>
          <w:szCs w:val="16"/>
          <w:rtl/>
        </w:rPr>
        <w:t>(פ"ט משמיטה ה"ד)</w:t>
      </w:r>
      <w:r w:rsidRPr="001D49D4">
        <w:rPr>
          <w:rFonts w:ascii="Calibri" w:eastAsia="Calibri" w:hAnsi="Calibri" w:cs="Arial"/>
          <w:rtl/>
        </w:rPr>
        <w:t xml:space="preserve"> רשב"א</w:t>
      </w:r>
      <w:r w:rsidRPr="001D49D4">
        <w:rPr>
          <w:rFonts w:ascii="Calibri" w:eastAsia="Calibri" w:hAnsi="Calibri" w:cs="Arial"/>
          <w:sz w:val="16"/>
          <w:szCs w:val="16"/>
          <w:rtl/>
        </w:rPr>
        <w:t xml:space="preserve"> (במיוחסות סי' צח, וכן בשו"ת הרשב"א ח"ב סי' שיד)</w:t>
      </w:r>
      <w:r w:rsidRPr="001D49D4">
        <w:rPr>
          <w:rFonts w:ascii="Calibri" w:eastAsia="Calibri" w:hAnsi="Calibri" w:cs="Arial"/>
          <w:rtl/>
        </w:rPr>
        <w:t xml:space="preserve"> ורא"ש </w:t>
      </w:r>
      <w:r w:rsidRPr="001D49D4">
        <w:rPr>
          <w:rFonts w:ascii="Calibri" w:eastAsia="Calibri" w:hAnsi="Calibri" w:cs="Arial"/>
          <w:sz w:val="16"/>
          <w:szCs w:val="16"/>
          <w:rtl/>
        </w:rPr>
        <w:t>(סי' כ)</w:t>
      </w:r>
      <w:r w:rsidRPr="001D49D4">
        <w:rPr>
          <w:rFonts w:ascii="Calibri" w:eastAsia="Calibri" w:hAnsi="Calibri" w:cs="Arial"/>
          <w:rtl/>
        </w:rPr>
        <w:t>- כל זמן שבית דין נזקקין לו לגבות שטרותיו יכול עדיין לכתוב פרוזבול</w:t>
      </w:r>
      <w:r w:rsidRPr="001D49D4">
        <w:rPr>
          <w:rFonts w:ascii="Calibri" w:eastAsia="Calibri" w:hAnsi="Calibri" w:cs="Arial"/>
          <w:sz w:val="16"/>
          <w:szCs w:val="16"/>
          <w:rtl/>
        </w:rPr>
        <w:t xml:space="preserve"> (עיין לקמן בסמוך ויתבאר בהרחבה)</w:t>
      </w:r>
      <w:r w:rsidRPr="001D49D4">
        <w:rPr>
          <w:rFonts w:ascii="Calibri" w:eastAsia="Calibri" w:hAnsi="Calibri" w:cs="Arial"/>
          <w:rtl/>
        </w:rPr>
        <w:t>.</w:t>
      </w:r>
    </w:p>
    <w:p w14:paraId="5546A8D5" w14:textId="77777777" w:rsidR="001D49D4" w:rsidRPr="001D49D4" w:rsidRDefault="001D49D4" w:rsidP="0004348D">
      <w:pPr>
        <w:spacing w:before="360" w:after="240"/>
        <w:rPr>
          <w:rFonts w:ascii="Calibri" w:eastAsia="Calibri" w:hAnsi="Calibri" w:cs="Arial"/>
          <w:u w:val="dotted"/>
          <w:rtl/>
        </w:rPr>
      </w:pPr>
      <w:r w:rsidRPr="001D49D4">
        <w:rPr>
          <w:rFonts w:ascii="Calibri" w:eastAsia="Calibri" w:hAnsi="Calibri" w:cs="Arial"/>
          <w:u w:val="dotted"/>
          <w:rtl/>
        </w:rPr>
        <w:t>עד מתי יכול לגבות חובו בבית דין:</w:t>
      </w:r>
    </w:p>
    <w:p w14:paraId="12C7DDB5" w14:textId="77777777" w:rsidR="001D49D4" w:rsidRPr="001D49D4" w:rsidRDefault="001D49D4" w:rsidP="0004348D">
      <w:pPr>
        <w:numPr>
          <w:ilvl w:val="0"/>
          <w:numId w:val="349"/>
        </w:numPr>
        <w:spacing w:before="360" w:after="240"/>
        <w:contextualSpacing/>
        <w:rPr>
          <w:rFonts w:ascii="Calibri" w:eastAsia="Calibri" w:hAnsi="Calibri" w:cs="Arial"/>
          <w:rtl/>
        </w:rPr>
      </w:pPr>
      <w:r w:rsidRPr="001D49D4">
        <w:rPr>
          <w:rFonts w:ascii="Calibri" w:eastAsia="Calibri" w:hAnsi="Calibri" w:cs="Arial"/>
          <w:rtl/>
        </w:rPr>
        <w:t xml:space="preserve">רא"ש </w:t>
      </w:r>
      <w:r w:rsidRPr="001D49D4">
        <w:rPr>
          <w:rFonts w:ascii="Calibri" w:eastAsia="Calibri" w:hAnsi="Calibri" w:cs="Arial"/>
          <w:sz w:val="16"/>
          <w:szCs w:val="16"/>
          <w:rtl/>
        </w:rPr>
        <w:t>(פרק השולח סי' יח, וסי' כ)</w:t>
      </w:r>
      <w:r w:rsidRPr="001D49D4">
        <w:rPr>
          <w:rFonts w:ascii="Calibri" w:eastAsia="Calibri" w:hAnsi="Calibri" w:cs="Arial"/>
          <w:rtl/>
        </w:rPr>
        <w:t xml:space="preserve"> וטור- אינה משמטת אלא בסופה, ואין כותבין אותו אלא עד סוף שנה ששית. נכנסה שנה שביעית אע"פ שאין משמטת עדיין אלא בסופה - אפ"ה אין כותבין אותו</w:t>
      </w:r>
      <w:r w:rsidRPr="001D49D4">
        <w:rPr>
          <w:rFonts w:ascii="Calibri" w:eastAsia="Calibri" w:hAnsi="Calibri" w:cs="Arial"/>
          <w:vertAlign w:val="superscript"/>
          <w:rtl/>
        </w:rPr>
        <w:footnoteReference w:id="5418"/>
      </w:r>
      <w:r w:rsidRPr="001D49D4">
        <w:rPr>
          <w:rFonts w:ascii="Calibri" w:eastAsia="Calibri" w:hAnsi="Calibri" w:cs="Arial"/>
          <w:sz w:val="16"/>
          <w:szCs w:val="16"/>
          <w:rtl/>
        </w:rPr>
        <w:t xml:space="preserve"> (ל' הטור)</w:t>
      </w:r>
      <w:r w:rsidRPr="001D49D4">
        <w:rPr>
          <w:rFonts w:ascii="Calibri" w:eastAsia="Calibri" w:hAnsi="Calibri" w:cs="Arial"/>
          <w:rtl/>
        </w:rPr>
        <w:t>.</w:t>
      </w:r>
    </w:p>
    <w:p w14:paraId="18911291" w14:textId="77777777" w:rsidR="001D49D4" w:rsidRPr="001D49D4" w:rsidRDefault="001D49D4" w:rsidP="0004348D">
      <w:pPr>
        <w:numPr>
          <w:ilvl w:val="0"/>
          <w:numId w:val="349"/>
        </w:numPr>
        <w:spacing w:before="360" w:after="240"/>
        <w:contextualSpacing/>
        <w:rPr>
          <w:rFonts w:ascii="Calibri" w:eastAsia="Calibri" w:hAnsi="Calibri" w:cs="Arial"/>
        </w:rPr>
      </w:pPr>
      <w:r w:rsidRPr="001D49D4">
        <w:rPr>
          <w:rFonts w:ascii="Calibri" w:eastAsia="Calibri" w:hAnsi="Calibri" w:cs="Arial"/>
          <w:rtl/>
        </w:rPr>
        <w:t xml:space="preserve">רמב"ם </w:t>
      </w:r>
      <w:r w:rsidRPr="001D49D4">
        <w:rPr>
          <w:rFonts w:ascii="Calibri" w:eastAsia="Calibri" w:hAnsi="Calibri" w:cs="Arial"/>
          <w:sz w:val="16"/>
          <w:szCs w:val="16"/>
          <w:rtl/>
        </w:rPr>
        <w:t>(פ"ט משמיטה ה"ד)</w:t>
      </w:r>
      <w:r w:rsidRPr="001D49D4">
        <w:rPr>
          <w:rFonts w:ascii="Calibri" w:eastAsia="Calibri" w:hAnsi="Calibri" w:cs="Arial"/>
          <w:rtl/>
        </w:rPr>
        <w:t xml:space="preserve"> ורשב"א</w:t>
      </w:r>
      <w:r w:rsidRPr="001D49D4">
        <w:rPr>
          <w:rFonts w:ascii="Calibri" w:eastAsia="Calibri" w:hAnsi="Calibri" w:cs="Arial"/>
          <w:vertAlign w:val="superscript"/>
          <w:rtl/>
        </w:rPr>
        <w:footnoteReference w:id="5419"/>
      </w:r>
      <w:r w:rsidRPr="001D49D4">
        <w:rPr>
          <w:rFonts w:ascii="Calibri" w:eastAsia="Calibri" w:hAnsi="Calibri" w:cs="Arial"/>
          <w:rtl/>
        </w:rPr>
        <w:t xml:space="preserve"> </w:t>
      </w:r>
      <w:r w:rsidRPr="001D49D4">
        <w:rPr>
          <w:rFonts w:ascii="Calibri" w:eastAsia="Calibri" w:hAnsi="Calibri" w:cs="Arial"/>
          <w:sz w:val="16"/>
          <w:szCs w:val="16"/>
          <w:rtl/>
        </w:rPr>
        <w:t>(במיוחסות סי' צח, וכן בשו"ת הרשב"א ח"ב סי' שיד)</w:t>
      </w:r>
      <w:r w:rsidRPr="001D49D4">
        <w:rPr>
          <w:rFonts w:ascii="Calibri" w:eastAsia="Calibri" w:hAnsi="Calibri" w:cs="Arial"/>
          <w:rtl/>
        </w:rPr>
        <w:t>- אין שביעית משמטת כספים אלא בסופה... לפיכך הלוה את חבירו בשביעית גובה חובו כל השנה וכשתשקע חמה בליל ראש השנה של מוצאי שביעית אבד החוב</w:t>
      </w:r>
      <w:r w:rsidRPr="001D49D4">
        <w:rPr>
          <w:rFonts w:ascii="Calibri" w:eastAsia="Calibri" w:hAnsi="Calibri" w:cs="Arial"/>
          <w:vertAlign w:val="superscript"/>
          <w:rtl/>
        </w:rPr>
        <w:footnoteReference w:id="5420"/>
      </w:r>
      <w:r w:rsidRPr="001D49D4">
        <w:rPr>
          <w:rFonts w:ascii="Calibri" w:eastAsia="Calibri" w:hAnsi="Calibri" w:cs="Arial"/>
          <w:sz w:val="16"/>
          <w:szCs w:val="16"/>
          <w:rtl/>
        </w:rPr>
        <w:t xml:space="preserve"> (ל' הרמב"ם)</w:t>
      </w:r>
      <w:r w:rsidRPr="001D49D4">
        <w:rPr>
          <w:rFonts w:ascii="Calibri" w:eastAsia="Calibri" w:hAnsi="Calibri" w:cs="Arial"/>
          <w:rtl/>
        </w:rPr>
        <w:t>. ומכיון ששביעית אינה משמטת אלא בסוף, כל זמן שהוא גובה - מוסר שטרותיו לבית דין</w:t>
      </w:r>
      <w:r w:rsidRPr="001D49D4">
        <w:rPr>
          <w:rFonts w:ascii="Calibri" w:eastAsia="Calibri" w:hAnsi="Calibri" w:cs="Arial"/>
          <w:sz w:val="16"/>
          <w:szCs w:val="16"/>
          <w:rtl/>
        </w:rPr>
        <w:t xml:space="preserve"> (ל' הב"י בשם הרשב"א)</w:t>
      </w:r>
      <w:r w:rsidRPr="001D49D4">
        <w:rPr>
          <w:rFonts w:ascii="Calibri" w:eastAsia="Calibri" w:hAnsi="Calibri" w:cs="Arial"/>
          <w:vertAlign w:val="superscript"/>
          <w:rtl/>
        </w:rPr>
        <w:footnoteReference w:id="5421"/>
      </w:r>
      <w:r w:rsidRPr="001D49D4">
        <w:rPr>
          <w:rFonts w:ascii="Calibri" w:eastAsia="Calibri" w:hAnsi="Calibri" w:cs="Arial"/>
          <w:rtl/>
        </w:rPr>
        <w:t>.</w:t>
      </w:r>
      <w:r w:rsidRPr="001D49D4">
        <w:rPr>
          <w:rFonts w:ascii="Calibri" w:eastAsia="Calibri" w:hAnsi="Calibri" w:cs="Arial"/>
          <w:color w:val="E36C0A" w:themeColor="accent6" w:themeShade="BF"/>
          <w:rtl/>
        </w:rPr>
        <w:t xml:space="preserve"> (וכ"פ בשו"ע</w:t>
      </w:r>
      <w:r w:rsidRPr="001D49D4">
        <w:rPr>
          <w:rFonts w:ascii="Calibri" w:eastAsia="Calibri" w:hAnsi="Calibri" w:cs="Arial"/>
          <w:color w:val="E36C0A" w:themeColor="accent6" w:themeShade="BF"/>
          <w:sz w:val="16"/>
          <w:szCs w:val="16"/>
          <w:rtl/>
        </w:rPr>
        <w:t xml:space="preserve"> </w:t>
      </w:r>
      <w:r w:rsidRPr="001D49D4">
        <w:rPr>
          <w:rFonts w:ascii="Calibri" w:eastAsia="Calibri" w:hAnsi="Calibri" w:cs="Arial"/>
          <w:color w:val="000000" w:themeColor="text1"/>
          <w:sz w:val="16"/>
          <w:szCs w:val="16"/>
          <w:rtl/>
        </w:rPr>
        <w:t>[כאן ובסע' הבא]</w:t>
      </w:r>
      <w:r w:rsidRPr="001D49D4">
        <w:rPr>
          <w:rFonts w:ascii="Calibri" w:eastAsia="Calibri" w:hAnsi="Calibri" w:cs="Arial"/>
          <w:color w:val="E36C0A" w:themeColor="accent6" w:themeShade="BF"/>
          <w:rtl/>
        </w:rPr>
        <w:t>)</w:t>
      </w:r>
    </w:p>
    <w:p w14:paraId="108205CB" w14:textId="77777777" w:rsidR="001D49D4" w:rsidRPr="001D49D4" w:rsidRDefault="001D49D4" w:rsidP="0004348D">
      <w:pPr>
        <w:spacing w:before="360" w:after="240"/>
        <w:rPr>
          <w:rFonts w:ascii="Arial" w:eastAsia="Calibri" w:hAnsi="Arial" w:cs="Arial"/>
          <w:b/>
          <w:bCs/>
          <w:color w:val="000000"/>
          <w:sz w:val="28"/>
          <w:szCs w:val="28"/>
          <w:u w:val="single"/>
          <w:rtl/>
        </w:rPr>
      </w:pPr>
      <w:r w:rsidRPr="001D49D4">
        <w:rPr>
          <w:rFonts w:ascii="Arial" w:eastAsia="Calibri" w:hAnsi="Arial" w:cs="Arial"/>
          <w:b/>
          <w:bCs/>
          <w:color w:val="000000"/>
          <w:sz w:val="28"/>
          <w:szCs w:val="28"/>
          <w:u w:val="single"/>
          <w:rtl/>
        </w:rPr>
        <w:t>שו"ע:</w:t>
      </w:r>
    </w:p>
    <w:p w14:paraId="6724EA4D"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rtl/>
        </w:rPr>
        <w:t xml:space="preserve">אין שביעית משמטת כספים אלא בסופה. לפיכך המלוה את חבירו בשביעית עצמה, גובה חובו כל השנה בבית דין, וכשתשקע חמה בליל ראש השנה של מוצאי שביעית אבד החוב. </w:t>
      </w:r>
    </w:p>
    <w:p w14:paraId="0E3D7699" w14:textId="77777777" w:rsidR="001D49D4" w:rsidRPr="001D49D4" w:rsidRDefault="001D49D4" w:rsidP="0004348D">
      <w:pPr>
        <w:spacing w:before="360" w:after="240"/>
        <w:rPr>
          <w:rFonts w:ascii="Calibri" w:eastAsia="Calibri" w:hAnsi="Calibri" w:cs="Arial"/>
          <w:rtl/>
        </w:rPr>
      </w:pPr>
    </w:p>
    <w:p w14:paraId="66FB9143" w14:textId="77777777" w:rsidR="001D49D4" w:rsidRPr="001D49D4" w:rsidRDefault="001D49D4" w:rsidP="0004348D">
      <w:pPr>
        <w:keepNext/>
        <w:keepLines/>
        <w:spacing w:before="360" w:after="240"/>
        <w:outlineLvl w:val="1"/>
        <w:rPr>
          <w:rFonts w:ascii="Cambria" w:eastAsia="Times New Roman" w:hAnsi="Cambria" w:cs="Arial"/>
          <w:bCs/>
          <w:color w:val="548DD4" w:themeColor="text2" w:themeTint="99"/>
          <w:sz w:val="26"/>
          <w:szCs w:val="26"/>
          <w:rtl/>
        </w:rPr>
      </w:pPr>
      <w:bookmarkStart w:id="763" w:name="_Toc24884168"/>
      <w:r w:rsidRPr="001D49D4">
        <w:rPr>
          <w:rFonts w:ascii="Cambria" w:eastAsia="Times New Roman" w:hAnsi="Cambria" w:cs="Arial"/>
          <w:bCs/>
          <w:color w:val="548DD4" w:themeColor="text2" w:themeTint="99"/>
          <w:sz w:val="26"/>
          <w:szCs w:val="26"/>
          <w:rtl/>
        </w:rPr>
        <w:t>סעיף לא: עד מתי יכול לכתוב פרוזבול.</w:t>
      </w:r>
      <w:bookmarkEnd w:id="763"/>
    </w:p>
    <w:p w14:paraId="5C00B4B2"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rtl/>
        </w:rPr>
        <w:t>עיין במקורות בסעיף הקודם.</w:t>
      </w:r>
    </w:p>
    <w:p w14:paraId="2220E616" w14:textId="77777777" w:rsidR="001D49D4" w:rsidRPr="001D49D4" w:rsidRDefault="001D49D4" w:rsidP="0004348D">
      <w:pPr>
        <w:spacing w:before="360" w:after="240"/>
        <w:rPr>
          <w:rFonts w:ascii="Arial" w:eastAsia="Calibri" w:hAnsi="Arial" w:cs="Arial"/>
          <w:b/>
          <w:bCs/>
          <w:color w:val="000000"/>
          <w:sz w:val="28"/>
          <w:szCs w:val="28"/>
          <w:u w:val="single"/>
          <w:rtl/>
        </w:rPr>
      </w:pPr>
      <w:r w:rsidRPr="001D49D4">
        <w:rPr>
          <w:rFonts w:ascii="Arial" w:eastAsia="Calibri" w:hAnsi="Arial" w:cs="Arial"/>
          <w:b/>
          <w:bCs/>
          <w:color w:val="000000"/>
          <w:sz w:val="28"/>
          <w:szCs w:val="28"/>
          <w:u w:val="single"/>
          <w:rtl/>
        </w:rPr>
        <w:t>שו"ע:</w:t>
      </w:r>
    </w:p>
    <w:p w14:paraId="6327902A"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rtl/>
        </w:rPr>
        <w:t xml:space="preserve">כל זמן שהוא יכול לגבות החוב, כותבין פרוזבול. </w:t>
      </w:r>
    </w:p>
    <w:p w14:paraId="7FD2819B" w14:textId="77777777" w:rsidR="001D49D4" w:rsidRPr="001D49D4" w:rsidRDefault="001D49D4" w:rsidP="0004348D">
      <w:pPr>
        <w:spacing w:before="360" w:after="240"/>
        <w:rPr>
          <w:rFonts w:ascii="Calibri" w:eastAsia="Calibri" w:hAnsi="Calibri" w:cs="Arial"/>
          <w:rtl/>
        </w:rPr>
      </w:pPr>
    </w:p>
    <w:p w14:paraId="49C31C28" w14:textId="77777777" w:rsidR="001D49D4" w:rsidRPr="001D49D4" w:rsidRDefault="001D49D4" w:rsidP="0004348D">
      <w:pPr>
        <w:keepNext/>
        <w:keepLines/>
        <w:spacing w:before="360" w:after="240"/>
        <w:outlineLvl w:val="1"/>
        <w:rPr>
          <w:rFonts w:ascii="Cambria" w:eastAsia="Times New Roman" w:hAnsi="Cambria" w:cs="Arial"/>
          <w:bCs/>
          <w:color w:val="548DD4" w:themeColor="text2" w:themeTint="99"/>
          <w:sz w:val="26"/>
          <w:szCs w:val="26"/>
          <w:rtl/>
        </w:rPr>
      </w:pPr>
      <w:bookmarkStart w:id="764" w:name="_Toc24884169"/>
      <w:r w:rsidRPr="001D49D4">
        <w:rPr>
          <w:rFonts w:ascii="Cambria" w:eastAsia="Times New Roman" w:hAnsi="Cambria" w:cs="Arial"/>
          <w:bCs/>
          <w:color w:val="548DD4" w:themeColor="text2" w:themeTint="99"/>
          <w:sz w:val="26"/>
          <w:szCs w:val="26"/>
          <w:rtl/>
        </w:rPr>
        <w:t>סעיף לב: פרוזבול המוקדם/המאוחר.</w:t>
      </w:r>
      <w:bookmarkEnd w:id="764"/>
    </w:p>
    <w:p w14:paraId="5D1C0651"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b/>
          <w:bCs/>
          <w:rtl/>
        </w:rPr>
        <w:t>משנה שביעית פ"י מ"ה:</w:t>
      </w:r>
      <w:r w:rsidRPr="001D49D4">
        <w:rPr>
          <w:rFonts w:ascii="Calibri" w:eastAsia="Calibri" w:hAnsi="Calibri" w:cs="Arial"/>
          <w:rtl/>
        </w:rPr>
        <w:t xml:space="preserve"> פרוזבול המוקדם, כשר. והמאוחר, פסול.</w:t>
      </w:r>
    </w:p>
    <w:p w14:paraId="172B3ED3" w14:textId="77777777" w:rsidR="001D49D4" w:rsidRPr="001D49D4" w:rsidRDefault="001D49D4" w:rsidP="0004348D">
      <w:pPr>
        <w:spacing w:before="360" w:after="240"/>
        <w:rPr>
          <w:rFonts w:ascii="Calibri" w:eastAsia="Calibri" w:hAnsi="Calibri" w:cs="Arial"/>
          <w:u w:val="single"/>
          <w:rtl/>
        </w:rPr>
      </w:pPr>
      <w:r w:rsidRPr="001D49D4">
        <w:rPr>
          <w:rFonts w:ascii="Calibri" w:eastAsia="Calibri" w:hAnsi="Calibri" w:cs="Arial"/>
          <w:u w:val="single"/>
          <w:rtl/>
        </w:rPr>
        <w:t>פרוזבול המוקדם/המאוחר:</w:t>
      </w:r>
    </w:p>
    <w:p w14:paraId="7115DF9E" w14:textId="77777777" w:rsidR="001D49D4" w:rsidRPr="001D49D4" w:rsidRDefault="001D49D4" w:rsidP="0004348D">
      <w:pPr>
        <w:numPr>
          <w:ilvl w:val="0"/>
          <w:numId w:val="351"/>
        </w:numPr>
        <w:spacing w:before="360" w:after="240"/>
        <w:contextualSpacing/>
        <w:rPr>
          <w:rFonts w:ascii="Calibri" w:eastAsia="Calibri" w:hAnsi="Calibri" w:cs="Arial"/>
          <w:rtl/>
        </w:rPr>
      </w:pPr>
      <w:r w:rsidRPr="001D49D4">
        <w:rPr>
          <w:rFonts w:ascii="Calibri" w:eastAsia="Calibri" w:hAnsi="Calibri" w:cs="Arial"/>
          <w:rtl/>
        </w:rPr>
        <w:t xml:space="preserve">תוס' </w:t>
      </w:r>
      <w:r w:rsidRPr="001D49D4">
        <w:rPr>
          <w:rFonts w:ascii="Calibri" w:eastAsia="Calibri" w:hAnsi="Calibri" w:cs="Arial"/>
          <w:sz w:val="16"/>
          <w:szCs w:val="16"/>
          <w:rtl/>
        </w:rPr>
        <w:t xml:space="preserve">(לו: ד"ה דאלימי) </w:t>
      </w:r>
      <w:r w:rsidRPr="001D49D4">
        <w:rPr>
          <w:rFonts w:ascii="Calibri" w:eastAsia="Calibri" w:hAnsi="Calibri" w:cs="Arial"/>
          <w:rtl/>
        </w:rPr>
        <w:t>וטור- פרוזבול המאוחר – פסול. כגון שעומד בניסן וכתב זמנו מאייר, שאינו מועיל אלא לחוב שקדם לו נמצא שבאיחורו מיפה כח המלוה. והמוקדם – כשר, שמגרע כח המלוה</w:t>
      </w:r>
      <w:r w:rsidRPr="001D49D4">
        <w:rPr>
          <w:rFonts w:ascii="Calibri" w:eastAsia="Calibri" w:hAnsi="Calibri" w:cs="Arial"/>
          <w:sz w:val="16"/>
          <w:szCs w:val="16"/>
          <w:rtl/>
        </w:rPr>
        <w:t xml:space="preserve"> (ל' הטור)</w:t>
      </w:r>
      <w:r w:rsidRPr="001D49D4">
        <w:rPr>
          <w:rFonts w:ascii="Calibri" w:eastAsia="Calibri" w:hAnsi="Calibri" w:cs="Arial"/>
          <w:rtl/>
        </w:rPr>
        <w:t>.</w:t>
      </w:r>
      <w:r w:rsidRPr="001D49D4">
        <w:rPr>
          <w:rFonts w:ascii="Calibri" w:eastAsia="Calibri" w:hAnsi="Calibri" w:cs="Arial"/>
          <w:color w:val="E36C0A" w:themeColor="accent6" w:themeShade="BF"/>
          <w:rtl/>
        </w:rPr>
        <w:t xml:space="preserve"> (וכ"פ בשו"ע)</w:t>
      </w:r>
    </w:p>
    <w:p w14:paraId="6F30AEBA" w14:textId="77777777" w:rsidR="001D49D4" w:rsidRPr="001D49D4" w:rsidRDefault="001D49D4" w:rsidP="0004348D">
      <w:pPr>
        <w:spacing w:before="360" w:after="240"/>
        <w:rPr>
          <w:rFonts w:ascii="Arial" w:eastAsia="Calibri" w:hAnsi="Arial" w:cs="Arial"/>
          <w:b/>
          <w:bCs/>
          <w:color w:val="000000"/>
          <w:sz w:val="28"/>
          <w:szCs w:val="28"/>
          <w:u w:val="single"/>
          <w:rtl/>
        </w:rPr>
      </w:pPr>
      <w:r w:rsidRPr="001D49D4">
        <w:rPr>
          <w:rFonts w:ascii="Arial" w:eastAsia="Calibri" w:hAnsi="Arial" w:cs="Arial"/>
          <w:b/>
          <w:bCs/>
          <w:color w:val="000000"/>
          <w:sz w:val="28"/>
          <w:szCs w:val="28"/>
          <w:u w:val="single"/>
          <w:rtl/>
        </w:rPr>
        <w:t>שו"ע:</w:t>
      </w:r>
    </w:p>
    <w:p w14:paraId="39ABF900"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rtl/>
        </w:rPr>
        <w:t>פרוזבול המוקדם, כשר. והמאוחר, פסול</w:t>
      </w:r>
      <w:r w:rsidRPr="001D49D4">
        <w:rPr>
          <w:rFonts w:ascii="Calibri" w:eastAsia="Calibri" w:hAnsi="Calibri" w:cs="Arial"/>
          <w:vertAlign w:val="superscript"/>
          <w:rtl/>
        </w:rPr>
        <w:footnoteReference w:id="5422"/>
      </w:r>
      <w:r w:rsidRPr="001D49D4">
        <w:rPr>
          <w:rFonts w:ascii="Calibri" w:eastAsia="Calibri" w:hAnsi="Calibri" w:cs="Arial"/>
          <w:rtl/>
        </w:rPr>
        <w:t xml:space="preserve">. </w:t>
      </w:r>
    </w:p>
    <w:p w14:paraId="157C5057" w14:textId="77777777" w:rsidR="001D49D4" w:rsidRPr="001D49D4" w:rsidRDefault="001D49D4" w:rsidP="0004348D">
      <w:pPr>
        <w:spacing w:before="360" w:after="240"/>
        <w:rPr>
          <w:rFonts w:ascii="Calibri" w:eastAsia="Calibri" w:hAnsi="Calibri" w:cs="Arial"/>
          <w:rtl/>
        </w:rPr>
      </w:pPr>
    </w:p>
    <w:p w14:paraId="5D22DD30" w14:textId="77777777" w:rsidR="001D49D4" w:rsidRPr="001D49D4" w:rsidRDefault="001D49D4" w:rsidP="0004348D">
      <w:pPr>
        <w:keepNext/>
        <w:keepLines/>
        <w:spacing w:before="360" w:after="240"/>
        <w:outlineLvl w:val="1"/>
        <w:rPr>
          <w:rFonts w:ascii="Cambria" w:eastAsia="Times New Roman" w:hAnsi="Cambria" w:cs="Arial"/>
          <w:bCs/>
          <w:color w:val="548DD4" w:themeColor="text2" w:themeTint="99"/>
          <w:sz w:val="26"/>
          <w:szCs w:val="26"/>
          <w:rtl/>
        </w:rPr>
      </w:pPr>
      <w:bookmarkStart w:id="765" w:name="_Toc24884170"/>
      <w:r w:rsidRPr="001D49D4">
        <w:rPr>
          <w:rFonts w:ascii="Cambria" w:eastAsia="Times New Roman" w:hAnsi="Cambria" w:cs="Arial"/>
          <w:bCs/>
          <w:color w:val="548DD4" w:themeColor="text2" w:themeTint="99"/>
          <w:sz w:val="26"/>
          <w:szCs w:val="26"/>
          <w:rtl/>
        </w:rPr>
        <w:t>סעיף לג: האומר 'פרוזבול היה לי ואבד'.</w:t>
      </w:r>
      <w:bookmarkEnd w:id="765"/>
    </w:p>
    <w:p w14:paraId="1D8C7480"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b/>
          <w:bCs/>
          <w:rtl/>
        </w:rPr>
        <w:t xml:space="preserve">גיטין </w:t>
      </w:r>
      <w:r w:rsidRPr="001D49D4">
        <w:rPr>
          <w:rFonts w:ascii="Calibri" w:eastAsia="Calibri" w:hAnsi="Calibri" w:cs="Arial"/>
          <w:b/>
          <w:bCs/>
          <w:sz w:val="16"/>
          <w:szCs w:val="16"/>
          <w:rtl/>
        </w:rPr>
        <w:t xml:space="preserve">(פרק השולח) </w:t>
      </w:r>
      <w:r w:rsidRPr="001D49D4">
        <w:rPr>
          <w:rFonts w:ascii="Calibri" w:eastAsia="Calibri" w:hAnsi="Calibri" w:cs="Arial"/>
          <w:b/>
          <w:bCs/>
          <w:rtl/>
        </w:rPr>
        <w:t>לז</w:t>
      </w:r>
      <w:r w:rsidRPr="001D49D4">
        <w:rPr>
          <w:rFonts w:ascii="Calibri" w:eastAsia="Calibri" w:hAnsi="Calibri" w:cs="Arial"/>
          <w:b/>
          <w:bCs/>
          <w:vertAlign w:val="superscript"/>
          <w:rtl/>
        </w:rPr>
        <w:footnoteReference w:id="5423"/>
      </w:r>
      <w:r w:rsidRPr="001D49D4">
        <w:rPr>
          <w:rFonts w:ascii="Calibri" w:eastAsia="Calibri" w:hAnsi="Calibri" w:cs="Arial"/>
          <w:b/>
          <w:bCs/>
          <w:rtl/>
        </w:rPr>
        <w:t xml:space="preserve"> ע"ב:</w:t>
      </w:r>
      <w:r w:rsidRPr="001D49D4">
        <w:rPr>
          <w:rFonts w:ascii="Calibri" w:eastAsia="Calibri" w:hAnsi="Calibri" w:cs="Arial"/>
          <w:rtl/>
        </w:rPr>
        <w:t xml:space="preserve"> </w:t>
      </w:r>
      <w:r w:rsidRPr="001D49D4">
        <w:rPr>
          <w:rFonts w:ascii="Calibri" w:eastAsia="Calibri" w:hAnsi="Calibri" w:cs="Arial"/>
          <w:u w:val="single"/>
          <w:rtl/>
        </w:rPr>
        <w:t>אמר רב יהודה אמר רב נחמן</w:t>
      </w:r>
      <w:r w:rsidRPr="001D49D4">
        <w:rPr>
          <w:rFonts w:ascii="Calibri" w:eastAsia="Calibri" w:hAnsi="Calibri" w:cs="Arial"/>
          <w:rtl/>
        </w:rPr>
        <w:t xml:space="preserve">: נאמן אדם לומר פרוסבול היה בידי ואבד ממני. מאי טעמא? כיון דתקינו רבנן פרוסבול, לא שביק היתירא ואכיל איסורא. </w:t>
      </w:r>
      <w:r w:rsidRPr="001D49D4">
        <w:rPr>
          <w:rFonts w:ascii="Calibri" w:eastAsia="Calibri" w:hAnsi="Calibri" w:cs="Arial"/>
          <w:u w:val="single"/>
          <w:rtl/>
        </w:rPr>
        <w:t>כי אתו לקמיה דרב, אמר ליה</w:t>
      </w:r>
      <w:r w:rsidRPr="001D49D4">
        <w:rPr>
          <w:rFonts w:ascii="Calibri" w:eastAsia="Calibri" w:hAnsi="Calibri" w:cs="Arial"/>
          <w:rtl/>
        </w:rPr>
        <w:t xml:space="preserve">: מידי פרוסבול היה לך ואבד? כגון זה פתח פיך לאלם הוא. תנן: וכן בעל חוב שמוציא שטר חוב ואין עמו פרוסבול - הרי אלו לא יפרעו! תנאי היא, דתניא: המוציא שטר חוב - צריך שיהא עמו פרוסבול, </w:t>
      </w:r>
      <w:r w:rsidRPr="001D49D4">
        <w:rPr>
          <w:rFonts w:ascii="Calibri" w:eastAsia="Calibri" w:hAnsi="Calibri" w:cs="Arial"/>
          <w:u w:val="single"/>
          <w:rtl/>
        </w:rPr>
        <w:t>וחכמים אומרים</w:t>
      </w:r>
      <w:r w:rsidRPr="001D49D4">
        <w:rPr>
          <w:rFonts w:ascii="Calibri" w:eastAsia="Calibri" w:hAnsi="Calibri" w:cs="Arial"/>
          <w:rtl/>
        </w:rPr>
        <w:t>: אינו צריך</w:t>
      </w:r>
      <w:r w:rsidRPr="001D49D4">
        <w:rPr>
          <w:rFonts w:ascii="Calibri" w:eastAsia="Calibri" w:hAnsi="Calibri" w:cs="Arial"/>
          <w:vertAlign w:val="superscript"/>
          <w:rtl/>
        </w:rPr>
        <w:footnoteReference w:id="5424"/>
      </w:r>
      <w:r w:rsidRPr="001D49D4">
        <w:rPr>
          <w:rFonts w:ascii="Calibri" w:eastAsia="Calibri" w:hAnsi="Calibri" w:cs="Arial"/>
          <w:rtl/>
        </w:rPr>
        <w:t>.</w:t>
      </w:r>
    </w:p>
    <w:p w14:paraId="305E01DB" w14:textId="77777777" w:rsidR="001D49D4" w:rsidRPr="001D49D4" w:rsidRDefault="001D49D4" w:rsidP="0004348D">
      <w:pPr>
        <w:spacing w:before="360" w:after="240"/>
        <w:rPr>
          <w:rFonts w:ascii="Calibri" w:eastAsia="Calibri" w:hAnsi="Calibri" w:cs="Arial"/>
          <w:u w:val="single"/>
          <w:rtl/>
        </w:rPr>
      </w:pPr>
      <w:r w:rsidRPr="001D49D4">
        <w:rPr>
          <w:rFonts w:ascii="Calibri" w:eastAsia="Calibri" w:hAnsi="Calibri" w:cs="Arial"/>
          <w:u w:val="single"/>
          <w:rtl/>
        </w:rPr>
        <w:t xml:space="preserve">האם נאמן אדם לומר 'פרוזבול היה לי ואבד': </w:t>
      </w:r>
    </w:p>
    <w:p w14:paraId="217A009B" w14:textId="77777777" w:rsidR="001D49D4" w:rsidRPr="001D49D4" w:rsidRDefault="001D49D4" w:rsidP="0004348D">
      <w:pPr>
        <w:numPr>
          <w:ilvl w:val="0"/>
          <w:numId w:val="351"/>
        </w:numPr>
        <w:spacing w:before="360" w:after="240"/>
        <w:contextualSpacing/>
        <w:rPr>
          <w:rFonts w:ascii="Calibri" w:eastAsia="Calibri" w:hAnsi="Calibri" w:cs="Arial"/>
          <w:rtl/>
        </w:rPr>
      </w:pPr>
      <w:r w:rsidRPr="001D49D4">
        <w:rPr>
          <w:rFonts w:ascii="Calibri" w:eastAsia="Calibri" w:hAnsi="Calibri" w:cs="Arial"/>
          <w:rtl/>
        </w:rPr>
        <w:t>רי"ף</w:t>
      </w:r>
      <w:r w:rsidRPr="001D49D4">
        <w:rPr>
          <w:rFonts w:ascii="Calibri" w:eastAsia="Calibri" w:hAnsi="Calibri" w:cs="Arial"/>
          <w:sz w:val="16"/>
          <w:szCs w:val="16"/>
          <w:rtl/>
        </w:rPr>
        <w:t xml:space="preserve"> (כ"כ בשמו רשב"א רא"ש ור"ן</w:t>
      </w:r>
      <w:r w:rsidRPr="001D49D4">
        <w:rPr>
          <w:rFonts w:ascii="Calibri" w:eastAsia="Calibri" w:hAnsi="Calibri" w:cs="Arial"/>
          <w:sz w:val="16"/>
          <w:szCs w:val="16"/>
          <w:vertAlign w:val="superscript"/>
          <w:rtl/>
        </w:rPr>
        <w:footnoteReference w:id="5425"/>
      </w:r>
      <w:r w:rsidRPr="001D49D4">
        <w:rPr>
          <w:rFonts w:ascii="Calibri" w:eastAsia="Calibri" w:hAnsi="Calibri" w:cs="Arial"/>
          <w:sz w:val="16"/>
          <w:szCs w:val="16"/>
          <w:rtl/>
        </w:rPr>
        <w:t>)</w:t>
      </w:r>
      <w:r w:rsidRPr="001D49D4">
        <w:rPr>
          <w:rFonts w:ascii="Calibri" w:eastAsia="Calibri" w:hAnsi="Calibri" w:cs="Arial"/>
          <w:rtl/>
        </w:rPr>
        <w:t xml:space="preserve"> ובהעי"ט</w:t>
      </w:r>
      <w:r w:rsidRPr="001D49D4">
        <w:rPr>
          <w:rFonts w:ascii="Calibri" w:eastAsia="Calibri" w:hAnsi="Calibri" w:cs="Arial"/>
          <w:sz w:val="16"/>
          <w:szCs w:val="16"/>
          <w:rtl/>
        </w:rPr>
        <w:t xml:space="preserve"> (אות פ פרוזבול עו:)</w:t>
      </w:r>
      <w:r w:rsidRPr="001D49D4">
        <w:rPr>
          <w:rFonts w:ascii="Calibri" w:eastAsia="Calibri" w:hAnsi="Calibri" w:cs="Arial"/>
          <w:rtl/>
        </w:rPr>
        <w:t xml:space="preserve">- אין הלכה כרב נחמן אלא כסתם משנה שאינו נאמן. </w:t>
      </w:r>
    </w:p>
    <w:p w14:paraId="6076102D" w14:textId="77777777" w:rsidR="001D49D4" w:rsidRPr="001D49D4" w:rsidRDefault="001D49D4" w:rsidP="0004348D">
      <w:pPr>
        <w:numPr>
          <w:ilvl w:val="0"/>
          <w:numId w:val="351"/>
        </w:numPr>
        <w:spacing w:before="360" w:after="240"/>
        <w:contextualSpacing/>
        <w:rPr>
          <w:rFonts w:ascii="Calibri" w:eastAsia="Calibri" w:hAnsi="Calibri" w:cs="Arial"/>
        </w:rPr>
      </w:pPr>
      <w:r w:rsidRPr="001D49D4">
        <w:rPr>
          <w:rFonts w:ascii="Calibri" w:eastAsia="Calibri" w:hAnsi="Calibri" w:cs="Arial"/>
          <w:rtl/>
        </w:rPr>
        <w:t>רמב"ם</w:t>
      </w:r>
      <w:r w:rsidRPr="001D49D4">
        <w:rPr>
          <w:rFonts w:ascii="Calibri" w:eastAsia="Calibri" w:hAnsi="Calibri" w:cs="Arial"/>
          <w:vertAlign w:val="superscript"/>
          <w:rtl/>
        </w:rPr>
        <w:footnoteReference w:id="5426"/>
      </w:r>
      <w:r w:rsidRPr="001D49D4">
        <w:rPr>
          <w:rFonts w:ascii="Calibri" w:eastAsia="Calibri" w:hAnsi="Calibri" w:cs="Arial"/>
          <w:rtl/>
        </w:rPr>
        <w:t xml:space="preserve"> </w:t>
      </w:r>
      <w:r w:rsidRPr="001D49D4">
        <w:rPr>
          <w:rFonts w:ascii="Calibri" w:eastAsia="Calibri" w:hAnsi="Calibri" w:cs="Arial"/>
          <w:sz w:val="16"/>
          <w:szCs w:val="16"/>
          <w:rtl/>
        </w:rPr>
        <w:t>(פ"ט משמיטה הכ"ד)</w:t>
      </w:r>
      <w:r w:rsidRPr="001D49D4">
        <w:rPr>
          <w:rFonts w:ascii="Calibri" w:eastAsia="Calibri" w:hAnsi="Calibri" w:cs="Arial"/>
          <w:rtl/>
        </w:rPr>
        <w:t xml:space="preserve"> רשב"א </w:t>
      </w:r>
      <w:r w:rsidRPr="001D49D4">
        <w:rPr>
          <w:rFonts w:ascii="Calibri" w:eastAsia="Calibri" w:hAnsi="Calibri" w:cs="Arial"/>
          <w:sz w:val="16"/>
          <w:szCs w:val="16"/>
          <w:rtl/>
        </w:rPr>
        <w:t>(ח"ג סי נז)</w:t>
      </w:r>
      <w:r w:rsidRPr="001D49D4">
        <w:rPr>
          <w:rFonts w:ascii="Calibri" w:eastAsia="Calibri" w:hAnsi="Calibri" w:cs="Arial"/>
          <w:rtl/>
        </w:rPr>
        <w:t xml:space="preserve"> מרדכי </w:t>
      </w:r>
      <w:r w:rsidRPr="001D49D4">
        <w:rPr>
          <w:rFonts w:ascii="Calibri" w:eastAsia="Calibri" w:hAnsi="Calibri" w:cs="Arial"/>
          <w:sz w:val="16"/>
          <w:szCs w:val="16"/>
          <w:rtl/>
        </w:rPr>
        <w:t xml:space="preserve">(סי' שפ) </w:t>
      </w:r>
      <w:r w:rsidRPr="001D49D4">
        <w:rPr>
          <w:rFonts w:ascii="Calibri" w:eastAsia="Calibri" w:hAnsi="Calibri" w:cs="Arial"/>
          <w:rtl/>
        </w:rPr>
        <w:t>רא"ש</w:t>
      </w:r>
      <w:r w:rsidRPr="001D49D4">
        <w:rPr>
          <w:rFonts w:ascii="Calibri" w:eastAsia="Calibri" w:hAnsi="Calibri" w:cs="Arial"/>
          <w:sz w:val="16"/>
          <w:szCs w:val="16"/>
          <w:rtl/>
        </w:rPr>
        <w:t xml:space="preserve"> (סי' כ)</w:t>
      </w:r>
      <w:r w:rsidRPr="001D49D4">
        <w:rPr>
          <w:rFonts w:ascii="Calibri" w:eastAsia="Calibri" w:hAnsi="Calibri" w:cs="Arial"/>
          <w:rtl/>
        </w:rPr>
        <w:t xml:space="preserve"> ור"ן</w:t>
      </w:r>
      <w:r w:rsidRPr="001D49D4">
        <w:rPr>
          <w:rFonts w:ascii="Calibri" w:eastAsia="Calibri" w:hAnsi="Calibri" w:cs="Arial"/>
          <w:sz w:val="16"/>
          <w:szCs w:val="16"/>
          <w:rtl/>
        </w:rPr>
        <w:t xml:space="preserve"> (כ. מדפה"ר)</w:t>
      </w:r>
      <w:r w:rsidRPr="001D49D4">
        <w:rPr>
          <w:rFonts w:ascii="Calibri" w:eastAsia="Calibri" w:hAnsi="Calibri" w:cs="Arial"/>
          <w:rtl/>
        </w:rPr>
        <w:t>- הלכה כר"נ שהוא נאמן</w:t>
      </w:r>
      <w:r w:rsidRPr="001D49D4">
        <w:rPr>
          <w:rFonts w:ascii="Calibri" w:eastAsia="Calibri" w:hAnsi="Calibri" w:cs="Arial"/>
          <w:vertAlign w:val="superscript"/>
          <w:rtl/>
        </w:rPr>
        <w:footnoteReference w:id="5427"/>
      </w:r>
      <w:r w:rsidRPr="001D49D4">
        <w:rPr>
          <w:rFonts w:ascii="Calibri" w:eastAsia="Calibri" w:hAnsi="Calibri" w:cs="Arial"/>
          <w:rtl/>
        </w:rPr>
        <w:t>. ולא עוד אלא שפותחין לו שמא פרוזבול היה לך ואבד, ואם אמר כן נאמן</w:t>
      </w:r>
      <w:r w:rsidRPr="001D49D4">
        <w:rPr>
          <w:rFonts w:ascii="Calibri" w:eastAsia="Calibri" w:hAnsi="Calibri" w:cs="Arial"/>
          <w:sz w:val="16"/>
          <w:szCs w:val="16"/>
          <w:rtl/>
        </w:rPr>
        <w:t xml:space="preserve"> (ל' הטור בשם הרא"ש)</w:t>
      </w:r>
      <w:r w:rsidRPr="001D49D4">
        <w:rPr>
          <w:rFonts w:ascii="Calibri" w:eastAsia="Calibri" w:hAnsi="Calibri" w:cs="Arial"/>
          <w:vertAlign w:val="superscript"/>
          <w:rtl/>
        </w:rPr>
        <w:footnoteReference w:id="5428"/>
      </w:r>
      <w:r w:rsidRPr="001D49D4">
        <w:rPr>
          <w:rFonts w:ascii="Calibri" w:eastAsia="Calibri" w:hAnsi="Calibri" w:cs="Arial"/>
          <w:rtl/>
        </w:rPr>
        <w:t xml:space="preserve">. </w:t>
      </w:r>
      <w:r w:rsidRPr="001D49D4">
        <w:rPr>
          <w:rFonts w:ascii="Calibri" w:eastAsia="Calibri" w:hAnsi="Calibri" w:cs="Arial"/>
          <w:color w:val="E36C0A" w:themeColor="accent6" w:themeShade="BF"/>
          <w:rtl/>
        </w:rPr>
        <w:t>(וכ"פ בשו"ע)</w:t>
      </w:r>
    </w:p>
    <w:p w14:paraId="2C576E55" w14:textId="77777777" w:rsidR="001D49D4" w:rsidRPr="001D49D4" w:rsidRDefault="001D49D4" w:rsidP="0004348D">
      <w:pPr>
        <w:numPr>
          <w:ilvl w:val="0"/>
          <w:numId w:val="351"/>
        </w:numPr>
        <w:spacing w:before="360" w:after="240"/>
        <w:contextualSpacing/>
        <w:rPr>
          <w:rFonts w:ascii="Calibri" w:eastAsia="Calibri" w:hAnsi="Calibri" w:cs="Arial"/>
        </w:rPr>
      </w:pPr>
      <w:r w:rsidRPr="001D49D4">
        <w:rPr>
          <w:rFonts w:ascii="Calibri" w:eastAsia="Calibri" w:hAnsi="Calibri" w:cs="Arial"/>
          <w:rtl/>
        </w:rPr>
        <w:t>רמ"ה</w:t>
      </w:r>
      <w:r w:rsidRPr="001D49D4">
        <w:rPr>
          <w:rFonts w:ascii="Calibri" w:eastAsia="Calibri" w:hAnsi="Calibri" w:cs="Arial"/>
          <w:sz w:val="16"/>
          <w:szCs w:val="16"/>
          <w:rtl/>
        </w:rPr>
        <w:t xml:space="preserve"> (כ"כ הטור בשמו)</w:t>
      </w:r>
      <w:r w:rsidRPr="001D49D4">
        <w:rPr>
          <w:rFonts w:ascii="Calibri" w:eastAsia="Calibri" w:hAnsi="Calibri" w:cs="Arial"/>
          <w:rtl/>
        </w:rPr>
        <w:t>- נאמן, אבל צריך שבועה</w:t>
      </w:r>
      <w:r w:rsidRPr="001D49D4">
        <w:rPr>
          <w:rFonts w:ascii="Calibri" w:eastAsia="Calibri" w:hAnsi="Calibri" w:cs="Arial"/>
          <w:vertAlign w:val="superscript"/>
          <w:rtl/>
        </w:rPr>
        <w:footnoteReference w:id="5429"/>
      </w:r>
      <w:r w:rsidRPr="001D49D4">
        <w:rPr>
          <w:rFonts w:ascii="Calibri" w:eastAsia="Calibri" w:hAnsi="Calibri" w:cs="Arial"/>
          <w:rtl/>
        </w:rPr>
        <w:t>.</w:t>
      </w:r>
    </w:p>
    <w:p w14:paraId="31308081" w14:textId="77777777" w:rsidR="001D49D4" w:rsidRPr="001D49D4" w:rsidRDefault="001D49D4" w:rsidP="0004348D">
      <w:pPr>
        <w:spacing w:before="360" w:after="240"/>
        <w:rPr>
          <w:rFonts w:ascii="Calibri" w:eastAsia="Calibri" w:hAnsi="Calibri" w:cs="Arial"/>
          <w:u w:val="dotted"/>
        </w:rPr>
      </w:pPr>
      <w:r w:rsidRPr="001D49D4">
        <w:rPr>
          <w:rFonts w:ascii="Calibri" w:eastAsia="Calibri" w:hAnsi="Calibri" w:cs="Arial"/>
          <w:u w:val="dotted"/>
          <w:rtl/>
        </w:rPr>
        <w:t xml:space="preserve">האם נאמן לומר 'פרוזבול היה לי ואבד' </w:t>
      </w:r>
      <w:r w:rsidRPr="001D49D4">
        <w:rPr>
          <w:rFonts w:ascii="Calibri" w:eastAsia="Calibri" w:hAnsi="Calibri" w:cs="Arial"/>
          <w:b/>
          <w:bCs/>
          <w:u w:val="dotted"/>
          <w:rtl/>
        </w:rPr>
        <w:t>בזמן דלא שכיחי אינשי דכתבי פרוזבול</w:t>
      </w:r>
      <w:r w:rsidRPr="001D49D4">
        <w:rPr>
          <w:rFonts w:ascii="Calibri" w:eastAsia="Calibri" w:hAnsi="Calibri" w:cs="Arial"/>
          <w:sz w:val="16"/>
          <w:szCs w:val="16"/>
          <w:u w:val="dotted"/>
          <w:rtl/>
        </w:rPr>
        <w:t xml:space="preserve"> (שאז נתבטלה טענת לא שביק היתרא)</w:t>
      </w:r>
      <w:r w:rsidRPr="001D49D4">
        <w:rPr>
          <w:rFonts w:ascii="Calibri" w:eastAsia="Calibri" w:hAnsi="Calibri" w:cs="Arial"/>
          <w:u w:val="dotted"/>
          <w:rtl/>
        </w:rPr>
        <w:t>:</w:t>
      </w:r>
    </w:p>
    <w:p w14:paraId="2CBEB599" w14:textId="77777777" w:rsidR="001D49D4" w:rsidRPr="001D49D4" w:rsidRDefault="001D49D4" w:rsidP="0004348D">
      <w:pPr>
        <w:numPr>
          <w:ilvl w:val="0"/>
          <w:numId w:val="351"/>
        </w:numPr>
        <w:spacing w:before="360" w:after="240"/>
        <w:contextualSpacing/>
        <w:rPr>
          <w:rFonts w:ascii="Calibri" w:eastAsia="Calibri" w:hAnsi="Calibri" w:cs="Arial"/>
        </w:rPr>
      </w:pPr>
      <w:r w:rsidRPr="001D49D4">
        <w:rPr>
          <w:rFonts w:ascii="Calibri" w:eastAsia="Calibri" w:hAnsi="Calibri" w:cs="Arial"/>
          <w:rtl/>
        </w:rPr>
        <w:t>רשב"א</w:t>
      </w:r>
      <w:r w:rsidRPr="001D49D4">
        <w:rPr>
          <w:rFonts w:ascii="Calibri" w:eastAsia="Calibri" w:hAnsi="Calibri" w:cs="Arial"/>
          <w:sz w:val="16"/>
          <w:szCs w:val="16"/>
          <w:rtl/>
        </w:rPr>
        <w:t xml:space="preserve"> (ח"ג סי' נז</w:t>
      </w:r>
      <w:r w:rsidRPr="001D49D4">
        <w:rPr>
          <w:rFonts w:ascii="Calibri" w:eastAsia="Calibri" w:hAnsi="Calibri" w:cs="Arial"/>
          <w:sz w:val="18"/>
          <w:szCs w:val="18"/>
          <w:vertAlign w:val="superscript"/>
          <w:rtl/>
        </w:rPr>
        <w:footnoteReference w:id="5430"/>
      </w:r>
      <w:r w:rsidRPr="001D49D4">
        <w:rPr>
          <w:rFonts w:ascii="Calibri" w:eastAsia="Calibri" w:hAnsi="Calibri" w:cs="Arial"/>
          <w:sz w:val="16"/>
          <w:szCs w:val="16"/>
          <w:rtl/>
        </w:rPr>
        <w:t>, ח"ב סי' קעג</w:t>
      </w:r>
      <w:r w:rsidRPr="001D49D4">
        <w:rPr>
          <w:rFonts w:ascii="Calibri" w:eastAsia="Calibri" w:hAnsi="Calibri" w:cs="Arial"/>
          <w:sz w:val="18"/>
          <w:szCs w:val="18"/>
          <w:vertAlign w:val="superscript"/>
          <w:rtl/>
        </w:rPr>
        <w:footnoteReference w:id="5431"/>
      </w:r>
      <w:r w:rsidRPr="001D49D4">
        <w:rPr>
          <w:rFonts w:ascii="Calibri" w:eastAsia="Calibri" w:hAnsi="Calibri" w:cs="Arial"/>
          <w:sz w:val="16"/>
          <w:szCs w:val="16"/>
          <w:rtl/>
        </w:rPr>
        <w:t>)</w:t>
      </w:r>
      <w:r w:rsidRPr="001D49D4">
        <w:rPr>
          <w:rFonts w:ascii="Calibri" w:eastAsia="Calibri" w:hAnsi="Calibri" w:cs="Arial"/>
          <w:rtl/>
        </w:rPr>
        <w:t xml:space="preserve"> ורא"ש</w:t>
      </w:r>
      <w:r w:rsidRPr="001D49D4">
        <w:rPr>
          <w:rFonts w:ascii="Calibri" w:eastAsia="Calibri" w:hAnsi="Calibri" w:cs="Arial"/>
          <w:sz w:val="16"/>
          <w:szCs w:val="16"/>
          <w:rtl/>
        </w:rPr>
        <w:t xml:space="preserve"> (כלל עז סי' ד)</w:t>
      </w:r>
      <w:r w:rsidRPr="001D49D4">
        <w:rPr>
          <w:rFonts w:ascii="Calibri" w:eastAsia="Calibri" w:hAnsi="Calibri" w:cs="Arial"/>
          <w:rtl/>
        </w:rPr>
        <w:t>- מה ששאלת אם נאמן לומר פרוזבול היה לי ואבד. האמת שכתבו רבותינו שנאמן אפי' בלא שבועה, ואני לא סמכתי מעולם על זה, משום דלא שכיחי האידנא כותבי פרוזבול, וגם אין איסור לשמיטת כספים ידוע להמון העם, ולא מחזיקין ליה איסורא ולאהדורי בתר היתירא ולכתוב פרוזבול. וכשהיה בא לפני אחד וטען פרוזבול היה לי ואבד, הייתי שואלו מהו פרוזבול ולמה כתבת אותו ומי הוא שכתבו לך עד שהיה נתפס בשקרו. ומעולם לא זכה לפני אדם באשכנז בטענה זו</w:t>
      </w:r>
      <w:r w:rsidRPr="001D49D4">
        <w:rPr>
          <w:rFonts w:ascii="Calibri" w:eastAsia="Calibri" w:hAnsi="Calibri" w:cs="Arial"/>
          <w:vertAlign w:val="superscript"/>
          <w:rtl/>
        </w:rPr>
        <w:footnoteReference w:id="5432"/>
      </w:r>
      <w:r w:rsidRPr="001D49D4">
        <w:rPr>
          <w:rFonts w:ascii="Calibri" w:eastAsia="Calibri" w:hAnsi="Calibri" w:cs="Arial"/>
          <w:sz w:val="16"/>
          <w:szCs w:val="16"/>
          <w:rtl/>
        </w:rPr>
        <w:t xml:space="preserve"> (ל' הרא"ש)</w:t>
      </w:r>
      <w:r w:rsidRPr="001D49D4">
        <w:rPr>
          <w:rFonts w:ascii="Calibri" w:eastAsia="Calibri" w:hAnsi="Calibri" w:cs="Arial"/>
          <w:rtl/>
        </w:rPr>
        <w:t>.</w:t>
      </w:r>
    </w:p>
    <w:p w14:paraId="2B49752B" w14:textId="77777777" w:rsidR="001D49D4" w:rsidRPr="001D49D4" w:rsidRDefault="001D49D4" w:rsidP="0004348D">
      <w:pPr>
        <w:numPr>
          <w:ilvl w:val="0"/>
          <w:numId w:val="351"/>
        </w:numPr>
        <w:spacing w:before="360" w:after="240"/>
        <w:contextualSpacing/>
        <w:rPr>
          <w:rFonts w:ascii="Calibri" w:eastAsia="Calibri" w:hAnsi="Calibri" w:cs="Arial"/>
        </w:rPr>
      </w:pPr>
      <w:r w:rsidRPr="001D49D4">
        <w:rPr>
          <w:rFonts w:ascii="Calibri" w:eastAsia="Calibri" w:hAnsi="Calibri" w:cs="Arial"/>
          <w:rtl/>
        </w:rPr>
        <w:t>רמ"ה</w:t>
      </w:r>
      <w:r w:rsidRPr="001D49D4">
        <w:rPr>
          <w:rFonts w:ascii="Calibri" w:eastAsia="Calibri" w:hAnsi="Calibri" w:cs="Arial"/>
          <w:sz w:val="16"/>
          <w:szCs w:val="16"/>
          <w:rtl/>
        </w:rPr>
        <w:t xml:space="preserve"> (כ"כ הטור בשמו)</w:t>
      </w:r>
      <w:r w:rsidRPr="001D49D4">
        <w:rPr>
          <w:rFonts w:ascii="Calibri" w:eastAsia="Calibri" w:hAnsi="Calibri" w:cs="Arial"/>
          <w:rtl/>
        </w:rPr>
        <w:t xml:space="preserve">- אפילו בשבועה לא מהימן אלא באתרא דנהיגי למכתב פרוזבול, אבל באתרא דלא נהיגי למכתב פרוזבול - לא מהימן. </w:t>
      </w:r>
    </w:p>
    <w:p w14:paraId="3C20AA25" w14:textId="77777777" w:rsidR="001D49D4" w:rsidRPr="001D49D4" w:rsidRDefault="001D49D4" w:rsidP="0004348D">
      <w:pPr>
        <w:spacing w:before="360" w:after="240"/>
        <w:rPr>
          <w:rFonts w:ascii="Calibri" w:eastAsia="Calibri" w:hAnsi="Calibri" w:cs="Arial"/>
          <w:u w:val="dotted"/>
          <w:rtl/>
        </w:rPr>
      </w:pPr>
      <w:r w:rsidRPr="001D49D4">
        <w:rPr>
          <w:rFonts w:ascii="Calibri" w:eastAsia="Calibri" w:hAnsi="Calibri" w:cs="Arial"/>
          <w:u w:val="dotted"/>
          <w:rtl/>
        </w:rPr>
        <w:t>האומר 'תנאי היה בינינו שלא תשמטני שביעית' וכדומה:</w:t>
      </w:r>
    </w:p>
    <w:p w14:paraId="4C2C17C5" w14:textId="77777777" w:rsidR="001D49D4" w:rsidRPr="001D49D4" w:rsidRDefault="001D49D4" w:rsidP="0004348D">
      <w:pPr>
        <w:numPr>
          <w:ilvl w:val="0"/>
          <w:numId w:val="351"/>
        </w:numPr>
        <w:spacing w:before="360" w:after="240"/>
        <w:contextualSpacing/>
        <w:rPr>
          <w:rFonts w:ascii="Calibri" w:eastAsia="Calibri" w:hAnsi="Calibri" w:cs="Arial"/>
        </w:rPr>
      </w:pPr>
      <w:r w:rsidRPr="001D49D4">
        <w:rPr>
          <w:rFonts w:ascii="Calibri" w:eastAsia="Calibri" w:hAnsi="Calibri" w:cs="Arial"/>
          <w:rtl/>
        </w:rPr>
        <w:t>רמב"ם רמב"ן רשב"א טור ור"ן</w:t>
      </w:r>
      <w:r w:rsidRPr="001D49D4">
        <w:rPr>
          <w:rFonts w:ascii="Calibri" w:eastAsia="Calibri" w:hAnsi="Calibri" w:cs="Arial"/>
          <w:vertAlign w:val="superscript"/>
          <w:rtl/>
        </w:rPr>
        <w:footnoteReference w:id="5433"/>
      </w:r>
      <w:r w:rsidRPr="001D49D4">
        <w:rPr>
          <w:rFonts w:ascii="Calibri" w:eastAsia="Calibri" w:hAnsi="Calibri" w:cs="Arial"/>
          <w:rtl/>
        </w:rPr>
        <w:t>- וכן אם אומר המלוה 'תנאי היה בינינו שלא תשמטני בשביעית' או 'הקפת חנות היה' או שאר דברים שאין שביעית משמטתו - נאמן במגו דאי בעי אומר פרוזבול היה לי ואבד</w:t>
      </w:r>
      <w:r w:rsidRPr="001D49D4">
        <w:rPr>
          <w:rFonts w:ascii="Calibri" w:eastAsia="Calibri" w:hAnsi="Calibri" w:cs="Arial"/>
          <w:vertAlign w:val="superscript"/>
          <w:rtl/>
        </w:rPr>
        <w:footnoteReference w:id="5434"/>
      </w:r>
      <w:r w:rsidRPr="001D49D4">
        <w:rPr>
          <w:rFonts w:ascii="Calibri" w:eastAsia="Calibri" w:hAnsi="Calibri" w:cs="Arial"/>
          <w:sz w:val="16"/>
          <w:szCs w:val="16"/>
          <w:rtl/>
        </w:rPr>
        <w:t xml:space="preserve"> (ל' הטור)</w:t>
      </w:r>
      <w:r w:rsidRPr="001D49D4">
        <w:rPr>
          <w:rFonts w:ascii="Calibri" w:eastAsia="Calibri" w:hAnsi="Calibri" w:cs="Arial"/>
          <w:vertAlign w:val="superscript"/>
          <w:rtl/>
        </w:rPr>
        <w:footnoteReference w:id="5435"/>
      </w:r>
      <w:r w:rsidRPr="001D49D4">
        <w:rPr>
          <w:rFonts w:ascii="Calibri" w:eastAsia="Calibri" w:hAnsi="Calibri" w:cs="Arial"/>
          <w:rtl/>
        </w:rPr>
        <w:t>.</w:t>
      </w:r>
      <w:r w:rsidRPr="001D49D4">
        <w:rPr>
          <w:rFonts w:ascii="Calibri" w:eastAsia="Calibri" w:hAnsi="Calibri" w:cs="Arial"/>
          <w:vertAlign w:val="superscript"/>
          <w:rtl/>
        </w:rPr>
        <w:t xml:space="preserve"> </w:t>
      </w:r>
      <w:r w:rsidRPr="001D49D4">
        <w:rPr>
          <w:rFonts w:ascii="Calibri" w:eastAsia="Calibri" w:hAnsi="Calibri" w:cs="Arial"/>
          <w:color w:val="E36C0A" w:themeColor="accent6" w:themeShade="BF"/>
          <w:rtl/>
        </w:rPr>
        <w:t>(וכ"פ בשו"ע</w:t>
      </w:r>
      <w:r w:rsidRPr="001D49D4">
        <w:rPr>
          <w:rFonts w:ascii="Calibri" w:eastAsia="Calibri" w:hAnsi="Calibri" w:cs="Arial"/>
          <w:color w:val="E36C0A" w:themeColor="accent6" w:themeShade="BF"/>
          <w:sz w:val="16"/>
          <w:szCs w:val="16"/>
          <w:rtl/>
        </w:rPr>
        <w:t xml:space="preserve"> </w:t>
      </w:r>
      <w:r w:rsidRPr="001D49D4">
        <w:rPr>
          <w:rFonts w:ascii="Calibri" w:eastAsia="Calibri" w:hAnsi="Calibri" w:cs="Arial"/>
          <w:color w:val="000000" w:themeColor="text1"/>
          <w:sz w:val="16"/>
          <w:szCs w:val="16"/>
          <w:rtl/>
        </w:rPr>
        <w:t>[בסע' הבא]</w:t>
      </w:r>
      <w:r w:rsidRPr="001D49D4">
        <w:rPr>
          <w:rFonts w:ascii="Calibri" w:eastAsia="Calibri" w:hAnsi="Calibri" w:cs="Arial"/>
          <w:color w:val="E36C0A" w:themeColor="accent6" w:themeShade="BF"/>
          <w:rtl/>
        </w:rPr>
        <w:t>)</w:t>
      </w:r>
    </w:p>
    <w:p w14:paraId="5298C199" w14:textId="77777777" w:rsidR="001D49D4" w:rsidRPr="001D49D4" w:rsidRDefault="001D49D4" w:rsidP="0004348D">
      <w:pPr>
        <w:numPr>
          <w:ilvl w:val="0"/>
          <w:numId w:val="351"/>
        </w:numPr>
        <w:spacing w:before="360" w:after="240"/>
        <w:contextualSpacing/>
        <w:rPr>
          <w:rFonts w:ascii="Calibri" w:eastAsia="Calibri" w:hAnsi="Calibri" w:cs="Arial"/>
        </w:rPr>
      </w:pPr>
      <w:r w:rsidRPr="001D49D4">
        <w:rPr>
          <w:rFonts w:ascii="Calibri" w:eastAsia="Calibri" w:hAnsi="Calibri" w:cs="Arial"/>
          <w:rtl/>
        </w:rPr>
        <w:t xml:space="preserve">רי"ו </w:t>
      </w:r>
      <w:r w:rsidRPr="001D49D4">
        <w:rPr>
          <w:rFonts w:ascii="Calibri" w:eastAsia="Calibri" w:hAnsi="Calibri" w:cs="Arial"/>
          <w:sz w:val="16"/>
          <w:szCs w:val="16"/>
          <w:rtl/>
        </w:rPr>
        <w:t>(מישרים נ"ז ח"א כו ע"ד)</w:t>
      </w:r>
      <w:r w:rsidRPr="001D49D4">
        <w:rPr>
          <w:rFonts w:ascii="Calibri" w:eastAsia="Calibri" w:hAnsi="Calibri" w:cs="Arial"/>
          <w:rtl/>
        </w:rPr>
        <w:t xml:space="preserve">- בזמן הזה, שאין נאמן לומר 'פרוזבול היה לי', כמו שכתבתי, נראה דנאמן נתבע והמוציא מחבירו עליו הראיה. </w:t>
      </w:r>
    </w:p>
    <w:p w14:paraId="4947ED0A" w14:textId="77777777" w:rsidR="001D49D4" w:rsidRPr="001D49D4" w:rsidRDefault="001D49D4" w:rsidP="0004348D">
      <w:pPr>
        <w:spacing w:before="360" w:after="240"/>
        <w:rPr>
          <w:rFonts w:ascii="Calibri" w:eastAsia="Calibri" w:hAnsi="Calibri" w:cs="Arial"/>
          <w:u w:val="single"/>
        </w:rPr>
      </w:pPr>
      <w:r w:rsidRPr="001D49D4">
        <w:rPr>
          <w:rFonts w:ascii="Calibri" w:eastAsia="Calibri" w:hAnsi="Calibri" w:cs="Arial"/>
          <w:u w:val="single"/>
          <w:rtl/>
        </w:rPr>
        <w:t>יצא מבית דין ולא טען 'פרוזבול היה לי ואבד' וכדומה:</w:t>
      </w:r>
    </w:p>
    <w:p w14:paraId="675D6608" w14:textId="77777777" w:rsidR="001D49D4" w:rsidRPr="001D49D4" w:rsidRDefault="001D49D4" w:rsidP="0004348D">
      <w:pPr>
        <w:numPr>
          <w:ilvl w:val="0"/>
          <w:numId w:val="351"/>
        </w:numPr>
        <w:spacing w:before="360" w:after="240"/>
        <w:contextualSpacing/>
        <w:rPr>
          <w:rFonts w:ascii="Calibri" w:eastAsia="Calibri" w:hAnsi="Calibri" w:cs="Arial"/>
        </w:rPr>
      </w:pPr>
      <w:r w:rsidRPr="001D49D4">
        <w:rPr>
          <w:rFonts w:ascii="Calibri" w:eastAsia="Calibri" w:hAnsi="Calibri" w:cs="Arial"/>
          <w:rtl/>
        </w:rPr>
        <w:t xml:space="preserve">רשב"א </w:t>
      </w:r>
      <w:r w:rsidRPr="001D49D4">
        <w:rPr>
          <w:rFonts w:ascii="Calibri" w:eastAsia="Calibri" w:hAnsi="Calibri" w:cs="Arial"/>
          <w:sz w:val="16"/>
          <w:szCs w:val="16"/>
          <w:rtl/>
        </w:rPr>
        <w:t>(ח"ב סי' שיג)</w:t>
      </w:r>
      <w:r w:rsidRPr="001D49D4">
        <w:rPr>
          <w:rFonts w:ascii="Calibri" w:eastAsia="Calibri" w:hAnsi="Calibri" w:cs="Arial"/>
          <w:rtl/>
        </w:rPr>
        <w:t xml:space="preserve">- אם יצא מבית דין ולא טען 'פרוזבול היה לי' או 'תנאי היה לי שלא ישמיטנו בשביעית' וגם הבית דין לא פתחו לו בכך ופסקו הדין שמשמט והוא שתק, עם שתיקתו בשעת פסק דין נראה כמודה ואע"פ שחזר לבית דין וטען - אינו נאמן, שאנו אומרים טענתא דשקרא אגמרוה. </w:t>
      </w:r>
    </w:p>
    <w:p w14:paraId="0520331A" w14:textId="77777777" w:rsidR="001D49D4" w:rsidRPr="001D49D4" w:rsidRDefault="001D49D4" w:rsidP="0004348D">
      <w:pPr>
        <w:numPr>
          <w:ilvl w:val="0"/>
          <w:numId w:val="351"/>
        </w:numPr>
        <w:spacing w:before="360" w:after="240"/>
        <w:contextualSpacing/>
        <w:rPr>
          <w:rFonts w:ascii="Calibri" w:eastAsia="Calibri" w:hAnsi="Calibri" w:cs="Arial"/>
          <w:rtl/>
        </w:rPr>
      </w:pPr>
      <w:r w:rsidRPr="001D49D4">
        <w:rPr>
          <w:rFonts w:ascii="Calibri" w:eastAsia="Calibri" w:hAnsi="Calibri" w:cs="Arial"/>
          <w:rtl/>
        </w:rPr>
        <w:t xml:space="preserve">רשב"א </w:t>
      </w:r>
      <w:r w:rsidRPr="001D49D4">
        <w:rPr>
          <w:rFonts w:ascii="Calibri" w:eastAsia="Calibri" w:hAnsi="Calibri" w:cs="Arial"/>
          <w:sz w:val="16"/>
          <w:szCs w:val="16"/>
          <w:rtl/>
        </w:rPr>
        <w:t>(ח"ד סי' לב)</w:t>
      </w:r>
      <w:r w:rsidRPr="001D49D4">
        <w:rPr>
          <w:rFonts w:ascii="Calibri" w:eastAsia="Calibri" w:hAnsi="Calibri" w:cs="Arial"/>
          <w:rtl/>
        </w:rPr>
        <w:t xml:space="preserve">- אפילו יצא מבית דין ולא טען - נראה שיכול לטעון, שהרי בית דין פותחין לו ואין חוששים שמא מתוך דבריהם ילמדו לשקר, כל שכן במה שלא ידענו אם למדוהו בחוץ אחרים אם לאו. </w:t>
      </w:r>
    </w:p>
    <w:p w14:paraId="3F551907" w14:textId="77777777" w:rsidR="001D49D4" w:rsidRPr="001D49D4" w:rsidRDefault="001D49D4" w:rsidP="0004348D">
      <w:pPr>
        <w:numPr>
          <w:ilvl w:val="1"/>
          <w:numId w:val="351"/>
        </w:numPr>
        <w:spacing w:before="360" w:after="240"/>
        <w:contextualSpacing/>
        <w:rPr>
          <w:rFonts w:ascii="Calibri" w:eastAsia="Calibri" w:hAnsi="Calibri" w:cs="Arial"/>
        </w:rPr>
      </w:pPr>
      <w:r w:rsidRPr="001D49D4">
        <w:rPr>
          <w:rFonts w:ascii="Calibri" w:eastAsia="Calibri" w:hAnsi="Calibri" w:cs="Arial"/>
          <w:rtl/>
        </w:rPr>
        <w:t xml:space="preserve">ב"י- ונראה ליישב שתי תשובות אלו שיש לחלק בין יצא מבית דין ולא טען והבית דין לא פסקו עדיין, להיכא שפסקו הבית דין שמשמט ושתק, דאז ודאי כשיצא וחזר וטען - טענת שקר היא בלי ספק. </w:t>
      </w:r>
      <w:r w:rsidRPr="001D49D4">
        <w:rPr>
          <w:rFonts w:ascii="Calibri" w:eastAsia="Calibri" w:hAnsi="Calibri" w:cs="Arial"/>
          <w:color w:val="00B0F0"/>
          <w:rtl/>
        </w:rPr>
        <w:t>(וכ"פ הרמ"א)</w:t>
      </w:r>
    </w:p>
    <w:p w14:paraId="3EADFE4E" w14:textId="77777777" w:rsidR="001D49D4" w:rsidRPr="001D49D4" w:rsidRDefault="001D49D4" w:rsidP="0004348D">
      <w:pPr>
        <w:spacing w:before="360" w:after="240"/>
        <w:rPr>
          <w:rFonts w:ascii="Arial" w:eastAsia="Calibri" w:hAnsi="Arial" w:cs="Arial"/>
          <w:b/>
          <w:bCs/>
          <w:color w:val="000000"/>
          <w:sz w:val="28"/>
          <w:szCs w:val="28"/>
          <w:u w:val="single"/>
        </w:rPr>
      </w:pPr>
      <w:r w:rsidRPr="001D49D4">
        <w:rPr>
          <w:rFonts w:ascii="Arial" w:eastAsia="Calibri" w:hAnsi="Arial" w:cs="Arial"/>
          <w:b/>
          <w:bCs/>
          <w:color w:val="000000"/>
          <w:sz w:val="28"/>
          <w:szCs w:val="28"/>
          <w:u w:val="single"/>
          <w:rtl/>
        </w:rPr>
        <w:t>שו"ע:</w:t>
      </w:r>
    </w:p>
    <w:p w14:paraId="3401CB3B"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rtl/>
        </w:rPr>
        <w:t xml:space="preserve">נאמן אדם לומר 'פרוזבול היה לי ואבד'. ולא עוד אלא שפותחין לו 'שמא פרוזבול היה לך ואבד', ואם אמר 'כן', נאמן. </w:t>
      </w:r>
      <w:r w:rsidRPr="001D49D4">
        <w:rPr>
          <w:rFonts w:ascii="Calibri" w:eastAsia="Calibri" w:hAnsi="Calibri" w:cs="Arial"/>
          <w:sz w:val="18"/>
          <w:szCs w:val="18"/>
          <w:rtl/>
        </w:rPr>
        <w:t xml:space="preserve">הגה: ואם לא פתחו לו הב"ד, ויצא מב"ד וחזר ואמר 'פרוזבול היה לי', אם הוא קודם פסק דין, נאמן. אבל אם הוא לאחר פסק דין, אינו נאמן (ב"י בשם הרשב"א). </w:t>
      </w:r>
    </w:p>
    <w:p w14:paraId="43DE688E" w14:textId="77777777" w:rsidR="001D49D4" w:rsidRPr="001D49D4" w:rsidRDefault="001D49D4" w:rsidP="0004348D">
      <w:pPr>
        <w:spacing w:before="360" w:after="240"/>
        <w:rPr>
          <w:rFonts w:ascii="Calibri" w:eastAsia="Calibri" w:hAnsi="Calibri" w:cs="Arial"/>
          <w:rtl/>
        </w:rPr>
      </w:pPr>
    </w:p>
    <w:p w14:paraId="465DEC6C" w14:textId="77777777" w:rsidR="001D49D4" w:rsidRPr="001D49D4" w:rsidRDefault="001D49D4" w:rsidP="0004348D">
      <w:pPr>
        <w:keepNext/>
        <w:keepLines/>
        <w:spacing w:before="360" w:after="240"/>
        <w:outlineLvl w:val="1"/>
        <w:rPr>
          <w:rFonts w:ascii="Cambria" w:eastAsia="Times New Roman" w:hAnsi="Cambria" w:cs="Arial"/>
          <w:bCs/>
          <w:color w:val="548DD4" w:themeColor="text2" w:themeTint="99"/>
          <w:sz w:val="26"/>
          <w:szCs w:val="26"/>
          <w:rtl/>
        </w:rPr>
      </w:pPr>
      <w:bookmarkStart w:id="766" w:name="_Toc24884171"/>
      <w:r w:rsidRPr="001D49D4">
        <w:rPr>
          <w:rFonts w:ascii="Cambria" w:eastAsia="Times New Roman" w:hAnsi="Cambria" w:cs="Arial"/>
          <w:bCs/>
          <w:color w:val="548DD4" w:themeColor="text2" w:themeTint="99"/>
          <w:sz w:val="26"/>
          <w:szCs w:val="26"/>
          <w:rtl/>
        </w:rPr>
        <w:t>סעיף לד: האומר 'תנאי היה בינינו שלא תשמיטני שביעית' וכדומה.</w:t>
      </w:r>
      <w:bookmarkEnd w:id="766"/>
    </w:p>
    <w:p w14:paraId="1C43C719"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rtl/>
        </w:rPr>
        <w:t>עיין במקורות בסעיף הקודם.</w:t>
      </w:r>
    </w:p>
    <w:p w14:paraId="6F39D814" w14:textId="77777777" w:rsidR="001D49D4" w:rsidRPr="001D49D4" w:rsidRDefault="001D49D4" w:rsidP="0004348D">
      <w:pPr>
        <w:spacing w:before="360" w:after="240"/>
        <w:rPr>
          <w:rFonts w:ascii="Arial" w:eastAsia="Calibri" w:hAnsi="Arial" w:cs="Arial"/>
          <w:b/>
          <w:bCs/>
          <w:color w:val="000000"/>
          <w:sz w:val="28"/>
          <w:szCs w:val="28"/>
          <w:u w:val="single"/>
          <w:rtl/>
        </w:rPr>
      </w:pPr>
      <w:r w:rsidRPr="001D49D4">
        <w:rPr>
          <w:rFonts w:ascii="Arial" w:eastAsia="Calibri" w:hAnsi="Arial" w:cs="Arial"/>
          <w:b/>
          <w:bCs/>
          <w:color w:val="000000"/>
          <w:sz w:val="28"/>
          <w:szCs w:val="28"/>
          <w:u w:val="single"/>
          <w:rtl/>
        </w:rPr>
        <w:t>שו"ע:</w:t>
      </w:r>
    </w:p>
    <w:p w14:paraId="19237AD8"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rtl/>
        </w:rPr>
        <w:t xml:space="preserve">וכן אם אמר המלוה 'תנאי היה בינינו שלא תשמיטני שביעית', או 'הקפת חנות היה', או משאר דברים שאין שביעית משמטתן, נאמן, במגו דאי בעי אמר 'פרוזבול היה לי ואבד'. </w:t>
      </w:r>
    </w:p>
    <w:p w14:paraId="012C6273" w14:textId="77777777" w:rsidR="001D49D4" w:rsidRPr="001D49D4" w:rsidRDefault="001D49D4" w:rsidP="0004348D">
      <w:pPr>
        <w:spacing w:before="360" w:after="240"/>
        <w:rPr>
          <w:rFonts w:ascii="Calibri" w:eastAsia="Calibri" w:hAnsi="Calibri" w:cs="Arial"/>
          <w:rtl/>
        </w:rPr>
      </w:pPr>
    </w:p>
    <w:p w14:paraId="1EC98F2D" w14:textId="77777777" w:rsidR="001D49D4" w:rsidRPr="001D49D4" w:rsidRDefault="001D49D4" w:rsidP="0004348D">
      <w:pPr>
        <w:keepNext/>
        <w:keepLines/>
        <w:spacing w:before="360" w:after="240"/>
        <w:outlineLvl w:val="1"/>
        <w:rPr>
          <w:rFonts w:ascii="Cambria" w:eastAsia="Times New Roman" w:hAnsi="Cambria" w:cs="Arial"/>
          <w:bCs/>
          <w:color w:val="548DD4" w:themeColor="text2" w:themeTint="99"/>
          <w:sz w:val="26"/>
          <w:szCs w:val="26"/>
          <w:rtl/>
        </w:rPr>
      </w:pPr>
      <w:bookmarkStart w:id="767" w:name="_Toc24884172"/>
      <w:r w:rsidRPr="001D49D4">
        <w:rPr>
          <w:rFonts w:ascii="Cambria" w:eastAsia="Times New Roman" w:hAnsi="Cambria" w:cs="Arial"/>
          <w:bCs/>
          <w:color w:val="548DD4" w:themeColor="text2" w:themeTint="99"/>
          <w:sz w:val="26"/>
          <w:szCs w:val="26"/>
          <w:rtl/>
        </w:rPr>
        <w:t>סעיף לה: לוה שטוען שהפרוזבול נכתב קודם הלואתו.</w:t>
      </w:r>
      <w:bookmarkEnd w:id="767"/>
    </w:p>
    <w:p w14:paraId="35866A12"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u w:val="single"/>
          <w:rtl/>
        </w:rPr>
        <w:t>מלוה שהוציא פרוזבול וטען הלוה שההלואה שלוה היתה אחרי הפרוזבול, והמלוה אומר שהיתה לפני הפרוזבול:</w:t>
      </w:r>
    </w:p>
    <w:p w14:paraId="00A006C7" w14:textId="77777777" w:rsidR="001D49D4" w:rsidRPr="001D49D4" w:rsidRDefault="001D49D4" w:rsidP="0004348D">
      <w:pPr>
        <w:numPr>
          <w:ilvl w:val="0"/>
          <w:numId w:val="351"/>
        </w:numPr>
        <w:spacing w:before="360" w:after="240"/>
        <w:contextualSpacing/>
        <w:rPr>
          <w:rFonts w:ascii="Calibri" w:eastAsia="Calibri" w:hAnsi="Calibri" w:cs="Arial"/>
        </w:rPr>
      </w:pPr>
      <w:r w:rsidRPr="001D49D4">
        <w:rPr>
          <w:rFonts w:ascii="Calibri" w:eastAsia="Calibri" w:hAnsi="Calibri" w:cs="Arial"/>
          <w:rtl/>
        </w:rPr>
        <w:t xml:space="preserve">רמב"ם </w:t>
      </w:r>
      <w:r w:rsidRPr="001D49D4">
        <w:rPr>
          <w:rFonts w:ascii="Calibri" w:eastAsia="Calibri" w:hAnsi="Calibri" w:cs="Arial"/>
          <w:sz w:val="16"/>
          <w:szCs w:val="16"/>
          <w:rtl/>
        </w:rPr>
        <w:t>(שם הכ"ה)</w:t>
      </w:r>
      <w:r w:rsidRPr="001D49D4">
        <w:rPr>
          <w:rFonts w:ascii="Calibri" w:eastAsia="Calibri" w:hAnsi="Calibri" w:cs="Arial"/>
          <w:rtl/>
        </w:rPr>
        <w:t>- הוציא פרוזבול, וטען הנתבע ואמר מלוה זו שהוא תובע אחר פרוזבול זה היתה. והתובע אומר קודם פרוזבול היתה - התובע נאמן, שאילו אמר היה לי ואבד נאמן ואע"פ שאין אנו יודעין זמן הפרוזבול שאבד</w:t>
      </w:r>
      <w:r w:rsidRPr="001D49D4">
        <w:rPr>
          <w:rFonts w:ascii="Calibri" w:eastAsia="Calibri" w:hAnsi="Calibri" w:cs="Arial"/>
          <w:vertAlign w:val="superscript"/>
          <w:rtl/>
        </w:rPr>
        <w:footnoteReference w:id="5436"/>
      </w:r>
      <w:r w:rsidRPr="001D49D4">
        <w:rPr>
          <w:rFonts w:ascii="Calibri" w:eastAsia="Calibri" w:hAnsi="Calibri" w:cs="Arial"/>
          <w:rtl/>
        </w:rPr>
        <w:t>.</w:t>
      </w:r>
      <w:r w:rsidRPr="001D49D4">
        <w:rPr>
          <w:rFonts w:ascii="Calibri" w:eastAsia="Calibri" w:hAnsi="Calibri" w:cs="Arial"/>
          <w:color w:val="E36C0A" w:themeColor="accent6" w:themeShade="BF"/>
          <w:rtl/>
        </w:rPr>
        <w:t xml:space="preserve"> (וכ"פ בשו"ע)</w:t>
      </w:r>
    </w:p>
    <w:p w14:paraId="1630AE01" w14:textId="77777777" w:rsidR="001D49D4" w:rsidRPr="001D49D4" w:rsidRDefault="001D49D4" w:rsidP="0004348D">
      <w:pPr>
        <w:spacing w:before="360" w:after="240"/>
        <w:rPr>
          <w:rFonts w:ascii="Arial" w:eastAsia="Calibri" w:hAnsi="Arial" w:cs="Arial"/>
          <w:b/>
          <w:bCs/>
          <w:color w:val="000000"/>
          <w:sz w:val="28"/>
          <w:szCs w:val="28"/>
          <w:u w:val="single"/>
          <w:rtl/>
        </w:rPr>
      </w:pPr>
      <w:r w:rsidRPr="001D49D4">
        <w:rPr>
          <w:rFonts w:ascii="Arial" w:eastAsia="Calibri" w:hAnsi="Arial" w:cs="Arial"/>
          <w:b/>
          <w:bCs/>
          <w:color w:val="000000"/>
          <w:sz w:val="28"/>
          <w:szCs w:val="28"/>
          <w:u w:val="single"/>
          <w:rtl/>
        </w:rPr>
        <w:t>שו"ע:</w:t>
      </w:r>
    </w:p>
    <w:p w14:paraId="64900832"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rtl/>
        </w:rPr>
        <w:t xml:space="preserve">הוציא פרוזבול, וטוען הנתבע ואמר 'מלוה זו שהוא תובע, אחר פרוזבול זה היתה', התובע נאמן, שאלו אמר 'פרוזבול היה לי ואבד', נאמן, ואף על פי שאין אנו יודעים זמן הפרוזבול שאבד. </w:t>
      </w:r>
    </w:p>
    <w:p w14:paraId="04975579" w14:textId="77777777" w:rsidR="001D49D4" w:rsidRPr="001D49D4" w:rsidRDefault="001D49D4" w:rsidP="0004348D">
      <w:pPr>
        <w:spacing w:before="360" w:after="240"/>
        <w:rPr>
          <w:rFonts w:ascii="Calibri" w:eastAsia="Calibri" w:hAnsi="Calibri" w:cs="Arial"/>
          <w:rtl/>
        </w:rPr>
      </w:pPr>
    </w:p>
    <w:p w14:paraId="3CB6C2F2" w14:textId="77777777" w:rsidR="001D49D4" w:rsidRPr="001D49D4" w:rsidRDefault="001D49D4" w:rsidP="0004348D">
      <w:pPr>
        <w:keepNext/>
        <w:keepLines/>
        <w:spacing w:before="360" w:after="240"/>
        <w:outlineLvl w:val="1"/>
        <w:rPr>
          <w:rFonts w:ascii="Cambria" w:eastAsia="Times New Roman" w:hAnsi="Cambria" w:cs="Arial"/>
          <w:bCs/>
          <w:color w:val="548DD4" w:themeColor="text2" w:themeTint="99"/>
          <w:sz w:val="26"/>
          <w:szCs w:val="26"/>
          <w:rtl/>
        </w:rPr>
      </w:pPr>
      <w:bookmarkStart w:id="768" w:name="_Toc24884173"/>
      <w:r w:rsidRPr="001D49D4">
        <w:rPr>
          <w:rFonts w:ascii="Cambria" w:eastAsia="Times New Roman" w:hAnsi="Cambria" w:cs="Arial"/>
          <w:bCs/>
          <w:color w:val="548DD4" w:themeColor="text2" w:themeTint="99"/>
          <w:sz w:val="26"/>
          <w:szCs w:val="26"/>
          <w:rtl/>
        </w:rPr>
        <w:t>סעיף לו: המחזיר חוב שעבר עליו שביעית.</w:t>
      </w:r>
      <w:bookmarkEnd w:id="768"/>
    </w:p>
    <w:p w14:paraId="4A619C66"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b/>
          <w:bCs/>
          <w:rtl/>
        </w:rPr>
        <w:t>משנה שביעית פ"י מ"ח:</w:t>
      </w:r>
      <w:r w:rsidRPr="001D49D4">
        <w:rPr>
          <w:rFonts w:ascii="Calibri" w:eastAsia="Calibri" w:hAnsi="Calibri" w:cs="Arial"/>
          <w:rtl/>
        </w:rPr>
        <w:t xml:space="preserve"> המחזיר חוב בשביעית, יאמר לו משמט אני. אמר לו אף על פי כן, יקבל ממנו, שנאמר </w:t>
      </w:r>
      <w:r w:rsidRPr="001D49D4">
        <w:rPr>
          <w:rFonts w:ascii="Calibri" w:eastAsia="Calibri" w:hAnsi="Calibri" w:cs="Arial"/>
          <w:sz w:val="16"/>
          <w:szCs w:val="16"/>
          <w:rtl/>
        </w:rPr>
        <w:t>(דברים טו)</w:t>
      </w:r>
      <w:r w:rsidRPr="001D49D4">
        <w:rPr>
          <w:rFonts w:ascii="Calibri" w:eastAsia="Calibri" w:hAnsi="Calibri" w:cs="Arial"/>
          <w:rtl/>
        </w:rPr>
        <w:t xml:space="preserve"> וזה דבר השמטה.</w:t>
      </w:r>
    </w:p>
    <w:p w14:paraId="1DB9D0C5"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b/>
          <w:bCs/>
          <w:rtl/>
        </w:rPr>
        <w:t xml:space="preserve">גיטין </w:t>
      </w:r>
      <w:r w:rsidRPr="001D49D4">
        <w:rPr>
          <w:rFonts w:ascii="Calibri" w:eastAsia="Calibri" w:hAnsi="Calibri" w:cs="Arial"/>
          <w:b/>
          <w:bCs/>
          <w:sz w:val="16"/>
          <w:szCs w:val="16"/>
          <w:rtl/>
        </w:rPr>
        <w:t xml:space="preserve">(פרק השולח) </w:t>
      </w:r>
      <w:r w:rsidRPr="001D49D4">
        <w:rPr>
          <w:rFonts w:ascii="Calibri" w:eastAsia="Calibri" w:hAnsi="Calibri" w:cs="Arial"/>
          <w:b/>
          <w:bCs/>
          <w:rtl/>
        </w:rPr>
        <w:t>לז</w:t>
      </w:r>
      <w:r w:rsidRPr="001D49D4">
        <w:rPr>
          <w:rFonts w:ascii="Calibri" w:eastAsia="Calibri" w:hAnsi="Calibri" w:cs="Arial"/>
          <w:b/>
          <w:bCs/>
          <w:vertAlign w:val="superscript"/>
          <w:rtl/>
        </w:rPr>
        <w:footnoteReference w:id="5437"/>
      </w:r>
      <w:r w:rsidRPr="001D49D4">
        <w:rPr>
          <w:rFonts w:ascii="Calibri" w:eastAsia="Calibri" w:hAnsi="Calibri" w:cs="Arial"/>
          <w:b/>
          <w:bCs/>
          <w:rtl/>
        </w:rPr>
        <w:t xml:space="preserve"> ע"א:</w:t>
      </w:r>
      <w:r w:rsidRPr="001D49D4">
        <w:rPr>
          <w:rFonts w:ascii="Calibri" w:eastAsia="Calibri" w:hAnsi="Calibri" w:cs="Arial"/>
          <w:rtl/>
        </w:rPr>
        <w:t xml:space="preserve"> תנן התם: </w:t>
      </w:r>
      <w:r w:rsidRPr="001D49D4">
        <w:rPr>
          <w:rFonts w:ascii="Calibri" w:eastAsia="Calibri" w:hAnsi="Calibri" w:cs="Arial"/>
          <w:sz w:val="14"/>
          <w:szCs w:val="14"/>
          <w:rtl/>
        </w:rPr>
        <w:t>(לז:)</w:t>
      </w:r>
      <w:r w:rsidRPr="001D49D4">
        <w:rPr>
          <w:rFonts w:ascii="Calibri" w:eastAsia="Calibri" w:hAnsi="Calibri" w:cs="Arial"/>
          <w:rtl/>
        </w:rPr>
        <w:t xml:space="preserve"> המחזיר חוב לחבירו בשביעית - צריך</w:t>
      </w:r>
      <w:r w:rsidRPr="001D49D4">
        <w:rPr>
          <w:rFonts w:ascii="Calibri" w:eastAsia="Calibri" w:hAnsi="Calibri" w:cs="Arial"/>
          <w:vertAlign w:val="superscript"/>
          <w:rtl/>
        </w:rPr>
        <w:footnoteReference w:id="5438"/>
      </w:r>
      <w:r w:rsidRPr="001D49D4">
        <w:rPr>
          <w:rFonts w:ascii="Calibri" w:eastAsia="Calibri" w:hAnsi="Calibri" w:cs="Arial"/>
          <w:rtl/>
        </w:rPr>
        <w:t xml:space="preserve"> שיאמר לו משמט אני, ואם אמר לו אף על פי כן - יקבל הימנו, שנאמר: וזה דבר השמטה</w:t>
      </w:r>
      <w:r w:rsidRPr="001D49D4">
        <w:rPr>
          <w:rFonts w:ascii="Calibri" w:eastAsia="Calibri" w:hAnsi="Calibri" w:cs="Arial"/>
          <w:vertAlign w:val="superscript"/>
          <w:rtl/>
        </w:rPr>
        <w:footnoteReference w:id="5439"/>
      </w:r>
      <w:r w:rsidRPr="001D49D4">
        <w:rPr>
          <w:rFonts w:ascii="Calibri" w:eastAsia="Calibri" w:hAnsi="Calibri" w:cs="Arial"/>
          <w:rtl/>
        </w:rPr>
        <w:t xml:space="preserve">. </w:t>
      </w:r>
      <w:r w:rsidRPr="001D49D4">
        <w:rPr>
          <w:rFonts w:ascii="Calibri" w:eastAsia="Calibri" w:hAnsi="Calibri" w:cs="Arial"/>
          <w:u w:val="single"/>
          <w:rtl/>
        </w:rPr>
        <w:t>אמר רבה</w:t>
      </w:r>
      <w:r w:rsidRPr="001D49D4">
        <w:rPr>
          <w:rFonts w:ascii="Calibri" w:eastAsia="Calibri" w:hAnsi="Calibri" w:cs="Arial"/>
          <w:rtl/>
        </w:rPr>
        <w:t>: ותלי ליה</w:t>
      </w:r>
      <w:r w:rsidRPr="001D49D4">
        <w:rPr>
          <w:rFonts w:ascii="Calibri" w:eastAsia="Calibri" w:hAnsi="Calibri" w:cs="Arial"/>
          <w:vertAlign w:val="superscript"/>
          <w:rtl/>
        </w:rPr>
        <w:footnoteReference w:id="5440"/>
      </w:r>
      <w:r w:rsidRPr="001D49D4">
        <w:rPr>
          <w:rFonts w:ascii="Calibri" w:eastAsia="Calibri" w:hAnsi="Calibri" w:cs="Arial"/>
          <w:rtl/>
        </w:rPr>
        <w:t xml:space="preserve"> עד דאמר הכי. </w:t>
      </w:r>
      <w:r w:rsidRPr="001D49D4">
        <w:rPr>
          <w:rFonts w:ascii="Calibri" w:eastAsia="Calibri" w:hAnsi="Calibri" w:cs="Arial"/>
          <w:u w:val="single"/>
          <w:rtl/>
        </w:rPr>
        <w:t>איתיביה אביי</w:t>
      </w:r>
      <w:r w:rsidRPr="001D49D4">
        <w:rPr>
          <w:rFonts w:ascii="Calibri" w:eastAsia="Calibri" w:hAnsi="Calibri" w:cs="Arial"/>
          <w:rtl/>
        </w:rPr>
        <w:t xml:space="preserve">: כשהוא נותן לו, אל יאמר לו בחובי אני נותן לך, אלא יאמר לו שלי הן ובמתנה אני נותן לך. </w:t>
      </w:r>
      <w:r w:rsidRPr="001D49D4">
        <w:rPr>
          <w:rFonts w:ascii="Calibri" w:eastAsia="Calibri" w:hAnsi="Calibri" w:cs="Arial"/>
          <w:u w:val="single"/>
          <w:rtl/>
        </w:rPr>
        <w:t>אמר ליה</w:t>
      </w:r>
      <w:r w:rsidRPr="001D49D4">
        <w:rPr>
          <w:rFonts w:ascii="Calibri" w:eastAsia="Calibri" w:hAnsi="Calibri" w:cs="Arial"/>
          <w:rtl/>
        </w:rPr>
        <w:t>: תלי ליה נמי עד דאמר הכי</w:t>
      </w:r>
      <w:r w:rsidRPr="001D49D4">
        <w:rPr>
          <w:rFonts w:ascii="Calibri" w:eastAsia="Calibri" w:hAnsi="Calibri" w:cs="Arial"/>
          <w:vertAlign w:val="superscript"/>
          <w:rtl/>
        </w:rPr>
        <w:footnoteReference w:id="5441"/>
      </w:r>
      <w:r w:rsidRPr="001D49D4">
        <w:rPr>
          <w:rFonts w:ascii="Calibri" w:eastAsia="Calibri" w:hAnsi="Calibri" w:cs="Arial"/>
          <w:rtl/>
        </w:rPr>
        <w:t xml:space="preserve">. </w:t>
      </w:r>
      <w:r w:rsidRPr="001D49D4">
        <w:rPr>
          <w:rFonts w:ascii="Calibri" w:eastAsia="Calibri" w:hAnsi="Calibri" w:cs="Arial"/>
          <w:u w:val="single"/>
          <w:rtl/>
        </w:rPr>
        <w:t>אבא בר מרתא</w:t>
      </w:r>
      <w:r w:rsidRPr="001D49D4">
        <w:rPr>
          <w:rFonts w:ascii="Calibri" w:eastAsia="Calibri" w:hAnsi="Calibri" w:cs="Arial"/>
          <w:rtl/>
        </w:rPr>
        <w:t xml:space="preserve"> דהוא אבא בר מניומי הוה מסיק ביה רבה זוזי</w:t>
      </w:r>
      <w:r w:rsidRPr="001D49D4">
        <w:rPr>
          <w:rFonts w:ascii="Calibri" w:eastAsia="Calibri" w:hAnsi="Calibri" w:cs="Arial"/>
          <w:vertAlign w:val="superscript"/>
          <w:rtl/>
        </w:rPr>
        <w:footnoteReference w:id="5442"/>
      </w:r>
      <w:r w:rsidRPr="001D49D4">
        <w:rPr>
          <w:rFonts w:ascii="Calibri" w:eastAsia="Calibri" w:hAnsi="Calibri" w:cs="Arial"/>
          <w:rtl/>
        </w:rPr>
        <w:t>, אייתינהו ניהליה בשביעית, אמר ליה: משמט אני, שקלינהו ואזל. אתא אביי אשכחיה דהוה עציב, אמר ליה: אמאי עציב מר? אמר ליה: הכי הוה מעשה. אזל לגביה</w:t>
      </w:r>
      <w:r w:rsidRPr="001D49D4">
        <w:rPr>
          <w:rFonts w:ascii="Calibri" w:eastAsia="Calibri" w:hAnsi="Calibri" w:cs="Arial"/>
          <w:vertAlign w:val="superscript"/>
          <w:rtl/>
        </w:rPr>
        <w:footnoteReference w:id="5443"/>
      </w:r>
      <w:r w:rsidRPr="001D49D4">
        <w:rPr>
          <w:rFonts w:ascii="Calibri" w:eastAsia="Calibri" w:hAnsi="Calibri" w:cs="Arial"/>
          <w:rtl/>
        </w:rPr>
        <w:t>, אמר ליה: אמטת ליה זוזי למר? אמר ליה: אין. אמר ליה: ומאי אמר לך? אמר ליה: משמט אני. אמר ליה: ואמרת ליה אף על פי כן? אמר ליה: לא. אמר ליה: ואי אמרת ליה אף על פי כן הוה שקלינהו מינך, השתא מיהת אמטינהו ניהליה ואימא ליה אף על פי כן. אזל אמטינהו ניהליה ואמר ליה אף על פי כן, שקלינהו מיניה, אמר</w:t>
      </w:r>
      <w:r w:rsidRPr="001D49D4">
        <w:rPr>
          <w:rFonts w:ascii="Calibri" w:eastAsia="Calibri" w:hAnsi="Calibri" w:cs="Arial"/>
          <w:vertAlign w:val="superscript"/>
          <w:rtl/>
        </w:rPr>
        <w:footnoteReference w:id="5444"/>
      </w:r>
      <w:r w:rsidRPr="001D49D4">
        <w:rPr>
          <w:rFonts w:ascii="Calibri" w:eastAsia="Calibri" w:hAnsi="Calibri" w:cs="Arial"/>
          <w:rtl/>
        </w:rPr>
        <w:t>: לא הוה ביה דעתא בהאי צורבא מרבנן מעיקרא.</w:t>
      </w:r>
    </w:p>
    <w:p w14:paraId="7C8AD5A0"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b/>
          <w:bCs/>
          <w:rtl/>
        </w:rPr>
        <w:t xml:space="preserve">ירושלמי </w:t>
      </w:r>
      <w:r w:rsidRPr="001D49D4">
        <w:rPr>
          <w:rFonts w:ascii="Calibri" w:eastAsia="Calibri" w:hAnsi="Calibri" w:cs="Arial"/>
          <w:b/>
          <w:bCs/>
          <w:sz w:val="16"/>
          <w:szCs w:val="16"/>
          <w:rtl/>
        </w:rPr>
        <w:t xml:space="preserve">(וילנא) </w:t>
      </w:r>
      <w:r w:rsidRPr="001D49D4">
        <w:rPr>
          <w:rFonts w:ascii="Calibri" w:eastAsia="Calibri" w:hAnsi="Calibri" w:cs="Arial"/>
          <w:b/>
          <w:bCs/>
          <w:rtl/>
        </w:rPr>
        <w:t>שביעית פ"י ה"ג:</w:t>
      </w:r>
      <w:r w:rsidRPr="001D49D4">
        <w:rPr>
          <w:rFonts w:ascii="Calibri" w:eastAsia="Calibri" w:hAnsi="Calibri" w:cs="Arial"/>
          <w:rtl/>
        </w:rPr>
        <w:t xml:space="preserve"> </w:t>
      </w:r>
      <w:r w:rsidRPr="001D49D4">
        <w:rPr>
          <w:rFonts w:ascii="Calibri" w:eastAsia="Calibri" w:hAnsi="Calibri" w:cs="Arial"/>
          <w:u w:val="double"/>
          <w:rtl/>
        </w:rPr>
        <w:t>מתני'</w:t>
      </w:r>
      <w:r w:rsidRPr="001D49D4">
        <w:rPr>
          <w:rFonts w:ascii="Calibri" w:eastAsia="Calibri" w:hAnsi="Calibri" w:cs="Arial"/>
          <w:rtl/>
        </w:rPr>
        <w:t xml:space="preserve">:.. המחזיר חוב בשביעית אומר לו משמט אני אם אמר לו אעפ"כ יקבל ממנו שנאמר וזה דבר השמיטה...  </w:t>
      </w:r>
      <w:r w:rsidRPr="001D49D4">
        <w:rPr>
          <w:rFonts w:ascii="Calibri" w:eastAsia="Calibri" w:hAnsi="Calibri" w:cs="Arial"/>
          <w:u w:val="double"/>
          <w:rtl/>
        </w:rPr>
        <w:t>גמ'</w:t>
      </w:r>
      <w:r w:rsidRPr="001D49D4">
        <w:rPr>
          <w:rFonts w:ascii="Calibri" w:eastAsia="Calibri" w:hAnsi="Calibri" w:cs="Arial"/>
          <w:rtl/>
        </w:rPr>
        <w:t xml:space="preserve">: המחזיר חוב בשביעית אומר לו משמט אני </w:t>
      </w:r>
      <w:r w:rsidRPr="001D49D4">
        <w:rPr>
          <w:rFonts w:ascii="Calibri" w:eastAsia="Calibri" w:hAnsi="Calibri" w:cs="Arial"/>
          <w:u w:val="single"/>
          <w:rtl/>
        </w:rPr>
        <w:t>רב הונא אמר</w:t>
      </w:r>
      <w:r w:rsidRPr="001D49D4">
        <w:rPr>
          <w:rFonts w:ascii="Calibri" w:eastAsia="Calibri" w:hAnsi="Calibri" w:cs="Arial"/>
          <w:rtl/>
        </w:rPr>
        <w:t>: בשפה רפה והימין פשוטה לקבל.</w:t>
      </w:r>
    </w:p>
    <w:p w14:paraId="753266F0" w14:textId="77777777" w:rsidR="001D49D4" w:rsidRPr="001D49D4" w:rsidRDefault="001D49D4" w:rsidP="0004348D">
      <w:pPr>
        <w:spacing w:before="360" w:after="240"/>
        <w:rPr>
          <w:rFonts w:ascii="Calibri" w:eastAsia="Calibri" w:hAnsi="Calibri" w:cs="Arial"/>
          <w:u w:val="single"/>
          <w:rtl/>
        </w:rPr>
      </w:pPr>
      <w:r w:rsidRPr="001D49D4">
        <w:rPr>
          <w:rFonts w:ascii="Calibri" w:eastAsia="Calibri" w:hAnsi="Calibri" w:cs="Arial"/>
          <w:u w:val="single"/>
          <w:rtl/>
        </w:rPr>
        <w:t>המחזיר חוב שעבר עליו שביעית:</w:t>
      </w:r>
    </w:p>
    <w:p w14:paraId="29A4034B" w14:textId="77777777" w:rsidR="001D49D4" w:rsidRPr="001D49D4" w:rsidRDefault="001D49D4" w:rsidP="0004348D">
      <w:pPr>
        <w:numPr>
          <w:ilvl w:val="0"/>
          <w:numId w:val="351"/>
        </w:numPr>
        <w:spacing w:before="360" w:after="240"/>
        <w:contextualSpacing/>
        <w:rPr>
          <w:rFonts w:ascii="Calibri" w:eastAsia="Calibri" w:hAnsi="Calibri" w:cs="Arial"/>
          <w:rtl/>
        </w:rPr>
      </w:pPr>
      <w:r w:rsidRPr="001D49D4">
        <w:rPr>
          <w:rFonts w:ascii="Calibri" w:eastAsia="Calibri" w:hAnsi="Calibri" w:cs="Arial"/>
          <w:rtl/>
        </w:rPr>
        <w:t xml:space="preserve">טור- המחזיר חוב שעבר עליו שביעית - צריך שיאמר לו המלוה 'משמט אני'. ואם אמר לו הלוה 'אעפ"כ אני רוצה ליתנו לך' - יכול לקבלו מיד וא"צ לסרב יותר. </w:t>
      </w:r>
      <w:r w:rsidRPr="001D49D4">
        <w:rPr>
          <w:rFonts w:ascii="Calibri" w:eastAsia="Calibri" w:hAnsi="Calibri" w:cs="Arial"/>
          <w:color w:val="E36C0A" w:themeColor="accent6" w:themeShade="BF"/>
          <w:rtl/>
        </w:rPr>
        <w:t>(וכ"פ בשו"ע)</w:t>
      </w:r>
    </w:p>
    <w:p w14:paraId="141F22B3" w14:textId="77777777" w:rsidR="001D49D4" w:rsidRPr="001D49D4" w:rsidRDefault="001D49D4" w:rsidP="0004348D">
      <w:pPr>
        <w:spacing w:before="360" w:after="240"/>
        <w:rPr>
          <w:rFonts w:ascii="Calibri" w:eastAsia="Calibri" w:hAnsi="Calibri" w:cs="Arial"/>
        </w:rPr>
      </w:pPr>
      <w:r w:rsidRPr="001D49D4">
        <w:rPr>
          <w:rFonts w:ascii="Calibri" w:eastAsia="Calibri" w:hAnsi="Calibri" w:cs="Arial"/>
          <w:u w:val="dotted"/>
          <w:rtl/>
        </w:rPr>
        <w:t xml:space="preserve">ומה הדין אם הלוה </w:t>
      </w:r>
      <w:r w:rsidRPr="001D49D4">
        <w:rPr>
          <w:rFonts w:ascii="Calibri" w:eastAsia="Calibri" w:hAnsi="Calibri" w:cs="Arial"/>
          <w:b/>
          <w:bCs/>
          <w:u w:val="dotted"/>
          <w:rtl/>
        </w:rPr>
        <w:t>לא</w:t>
      </w:r>
      <w:r w:rsidRPr="001D49D4">
        <w:rPr>
          <w:rFonts w:ascii="Calibri" w:eastAsia="Calibri" w:hAnsi="Calibri" w:cs="Arial"/>
          <w:u w:val="dotted"/>
          <w:rtl/>
        </w:rPr>
        <w:t xml:space="preserve"> אמר לו 'אעפ"כ אני רוצה להחזיר לך':</w:t>
      </w:r>
    </w:p>
    <w:p w14:paraId="0982E753" w14:textId="77777777" w:rsidR="001D49D4" w:rsidRPr="001D49D4" w:rsidRDefault="001D49D4" w:rsidP="0004348D">
      <w:pPr>
        <w:numPr>
          <w:ilvl w:val="0"/>
          <w:numId w:val="351"/>
        </w:numPr>
        <w:spacing w:before="360" w:after="240"/>
        <w:contextualSpacing/>
        <w:rPr>
          <w:rFonts w:ascii="Calibri" w:eastAsia="Calibri" w:hAnsi="Calibri" w:cs="Arial"/>
        </w:rPr>
      </w:pPr>
      <w:r w:rsidRPr="001D49D4">
        <w:rPr>
          <w:rFonts w:ascii="Calibri" w:eastAsia="Calibri" w:hAnsi="Calibri" w:cs="Arial"/>
          <w:rtl/>
        </w:rPr>
        <w:t xml:space="preserve">רש"י- אם היה רוצה </w:t>
      </w:r>
      <w:r w:rsidRPr="001D49D4">
        <w:rPr>
          <w:rFonts w:ascii="Calibri" w:eastAsia="Calibri" w:hAnsi="Calibri" w:cs="Arial"/>
          <w:sz w:val="16"/>
          <w:szCs w:val="16"/>
          <w:rtl/>
        </w:rPr>
        <w:t xml:space="preserve">{הלוה} </w:t>
      </w:r>
      <w:r w:rsidRPr="001D49D4">
        <w:rPr>
          <w:rFonts w:ascii="Calibri" w:eastAsia="Calibri" w:hAnsi="Calibri" w:cs="Arial"/>
          <w:rtl/>
        </w:rPr>
        <w:t xml:space="preserve">לחזור בו </w:t>
      </w:r>
      <w:r w:rsidRPr="001D49D4">
        <w:rPr>
          <w:rFonts w:ascii="Calibri" w:eastAsia="Calibri" w:hAnsi="Calibri" w:cs="Arial"/>
          <w:sz w:val="16"/>
          <w:szCs w:val="16"/>
          <w:rtl/>
        </w:rPr>
        <w:t>{ולא להחזיר את המעות}</w:t>
      </w:r>
      <w:r w:rsidRPr="001D49D4">
        <w:rPr>
          <w:rFonts w:ascii="Calibri" w:eastAsia="Calibri" w:hAnsi="Calibri" w:cs="Arial"/>
          <w:rtl/>
        </w:rPr>
        <w:t xml:space="preserve"> יתלנו </w:t>
      </w:r>
      <w:r w:rsidRPr="001D49D4">
        <w:rPr>
          <w:rFonts w:ascii="Calibri" w:eastAsia="Calibri" w:hAnsi="Calibri" w:cs="Arial"/>
          <w:sz w:val="16"/>
          <w:szCs w:val="16"/>
          <w:rtl/>
        </w:rPr>
        <w:t xml:space="preserve">{המלוה} </w:t>
      </w:r>
      <w:r w:rsidRPr="001D49D4">
        <w:rPr>
          <w:rFonts w:ascii="Calibri" w:eastAsia="Calibri" w:hAnsi="Calibri" w:cs="Arial"/>
          <w:rtl/>
        </w:rPr>
        <w:t>על עץ אם גברה ידו עד דאמר ליה 'אף על פי כן'</w:t>
      </w:r>
      <w:r w:rsidRPr="001D49D4">
        <w:rPr>
          <w:rFonts w:ascii="Calibri" w:eastAsia="Calibri" w:hAnsi="Calibri" w:cs="Arial"/>
          <w:vertAlign w:val="superscript"/>
          <w:rtl/>
        </w:rPr>
        <w:footnoteReference w:id="5445"/>
      </w:r>
      <w:r w:rsidRPr="001D49D4">
        <w:rPr>
          <w:rFonts w:ascii="Calibri" w:eastAsia="Calibri" w:hAnsi="Calibri" w:cs="Arial"/>
          <w:rtl/>
        </w:rPr>
        <w:t>.</w:t>
      </w:r>
    </w:p>
    <w:p w14:paraId="7DF11AC3" w14:textId="77777777" w:rsidR="001D49D4" w:rsidRPr="001D49D4" w:rsidRDefault="001D49D4" w:rsidP="0004348D">
      <w:pPr>
        <w:numPr>
          <w:ilvl w:val="0"/>
          <w:numId w:val="351"/>
        </w:numPr>
        <w:spacing w:before="360" w:after="240"/>
        <w:contextualSpacing/>
        <w:rPr>
          <w:rFonts w:ascii="Calibri" w:eastAsia="Calibri" w:hAnsi="Calibri" w:cs="Arial"/>
        </w:rPr>
      </w:pPr>
      <w:r w:rsidRPr="001D49D4">
        <w:rPr>
          <w:rFonts w:ascii="Calibri" w:eastAsia="Calibri" w:hAnsi="Calibri" w:cs="Arial"/>
          <w:rtl/>
        </w:rPr>
        <w:t xml:space="preserve">רא"ש </w:t>
      </w:r>
      <w:r w:rsidRPr="001D49D4">
        <w:rPr>
          <w:rFonts w:ascii="Calibri" w:eastAsia="Calibri" w:hAnsi="Calibri" w:cs="Arial"/>
          <w:sz w:val="16"/>
          <w:szCs w:val="16"/>
          <w:rtl/>
        </w:rPr>
        <w:t>(סי' יט)</w:t>
      </w:r>
      <w:r w:rsidRPr="001D49D4">
        <w:rPr>
          <w:rFonts w:ascii="Calibri" w:eastAsia="Calibri" w:hAnsi="Calibri" w:cs="Arial"/>
          <w:rtl/>
        </w:rPr>
        <w:t xml:space="preserve"> וטור- יהיו עיניו תלויות יושב ומצפה עד שיאמר כך, וכן מפרש בירושלמי </w:t>
      </w:r>
      <w:r w:rsidRPr="001D49D4">
        <w:rPr>
          <w:rFonts w:ascii="Calibri" w:eastAsia="Calibri" w:hAnsi="Calibri" w:cs="Arial"/>
          <w:sz w:val="16"/>
          <w:szCs w:val="16"/>
          <w:rtl/>
        </w:rPr>
        <w:t xml:space="preserve">(סוף ה"ג) </w:t>
      </w:r>
      <w:r w:rsidRPr="001D49D4">
        <w:rPr>
          <w:rFonts w:ascii="Calibri" w:eastAsia="Calibri" w:hAnsi="Calibri" w:cs="Arial"/>
          <w:rtl/>
        </w:rPr>
        <w:t>גבי הא דתניא וצריך לומר משמט אני אמר רב הונא אמר רב אומר לו בשפה רפה והימין פשוטה לקבל</w:t>
      </w:r>
      <w:r w:rsidRPr="001D49D4">
        <w:rPr>
          <w:rFonts w:ascii="Calibri" w:eastAsia="Calibri" w:hAnsi="Calibri" w:cs="Arial"/>
          <w:sz w:val="16"/>
          <w:szCs w:val="16"/>
          <w:rtl/>
        </w:rPr>
        <w:t xml:space="preserve"> (ל' הרא"ש)</w:t>
      </w:r>
      <w:r w:rsidRPr="001D49D4">
        <w:rPr>
          <w:rFonts w:ascii="Calibri" w:eastAsia="Calibri" w:hAnsi="Calibri" w:cs="Arial"/>
          <w:vertAlign w:val="superscript"/>
          <w:rtl/>
        </w:rPr>
        <w:footnoteReference w:id="5446"/>
      </w:r>
      <w:r w:rsidRPr="001D49D4">
        <w:rPr>
          <w:rFonts w:ascii="Calibri" w:eastAsia="Calibri" w:hAnsi="Calibri" w:cs="Arial"/>
          <w:rtl/>
        </w:rPr>
        <w:t>.</w:t>
      </w:r>
    </w:p>
    <w:p w14:paraId="259CB336" w14:textId="77777777" w:rsidR="001D49D4" w:rsidRPr="001D49D4" w:rsidRDefault="001D49D4" w:rsidP="0004348D">
      <w:pPr>
        <w:spacing w:before="360" w:after="240"/>
        <w:rPr>
          <w:rFonts w:ascii="Calibri" w:eastAsia="Calibri" w:hAnsi="Calibri" w:cs="Arial"/>
          <w:u w:val="dotted"/>
        </w:rPr>
      </w:pPr>
      <w:r w:rsidRPr="001D49D4">
        <w:rPr>
          <w:rFonts w:ascii="Calibri" w:eastAsia="Calibri" w:hAnsi="Calibri" w:cs="Arial"/>
          <w:u w:val="dotted"/>
          <w:rtl/>
        </w:rPr>
        <w:t xml:space="preserve">ומה הדין אם החזיר לו אך </w:t>
      </w:r>
      <w:r w:rsidRPr="001D49D4">
        <w:rPr>
          <w:rFonts w:ascii="Calibri" w:eastAsia="Calibri" w:hAnsi="Calibri" w:cs="Arial"/>
          <w:b/>
          <w:bCs/>
          <w:u w:val="dotted"/>
          <w:rtl/>
        </w:rPr>
        <w:t>לא</w:t>
      </w:r>
      <w:r w:rsidRPr="001D49D4">
        <w:rPr>
          <w:rFonts w:ascii="Calibri" w:eastAsia="Calibri" w:hAnsi="Calibri" w:cs="Arial"/>
          <w:u w:val="dotted"/>
          <w:rtl/>
        </w:rPr>
        <w:t xml:space="preserve"> אמר 'שלי הם ובמתנה אני נותן לך':</w:t>
      </w:r>
    </w:p>
    <w:p w14:paraId="0793E893" w14:textId="77777777" w:rsidR="001D49D4" w:rsidRPr="001D49D4" w:rsidRDefault="001D49D4" w:rsidP="0004348D">
      <w:pPr>
        <w:numPr>
          <w:ilvl w:val="0"/>
          <w:numId w:val="351"/>
        </w:numPr>
        <w:spacing w:before="360" w:after="240"/>
        <w:contextualSpacing/>
        <w:rPr>
          <w:rFonts w:ascii="Calibri" w:eastAsia="Calibri" w:hAnsi="Calibri" w:cs="Arial"/>
        </w:rPr>
      </w:pPr>
      <w:r w:rsidRPr="001D49D4">
        <w:rPr>
          <w:rFonts w:ascii="Calibri" w:eastAsia="Calibri" w:hAnsi="Calibri" w:cs="Arial"/>
          <w:rtl/>
        </w:rPr>
        <w:t xml:space="preserve">רמב"ם </w:t>
      </w:r>
      <w:r w:rsidRPr="001D49D4">
        <w:rPr>
          <w:rFonts w:ascii="Calibri" w:eastAsia="Calibri" w:hAnsi="Calibri" w:cs="Arial"/>
          <w:sz w:val="16"/>
          <w:szCs w:val="16"/>
          <w:rtl/>
        </w:rPr>
        <w:t>(שם הכ"ט)</w:t>
      </w:r>
      <w:r w:rsidRPr="001D49D4">
        <w:rPr>
          <w:rFonts w:ascii="Calibri" w:eastAsia="Calibri" w:hAnsi="Calibri" w:cs="Arial"/>
          <w:rtl/>
        </w:rPr>
        <w:t>- החזיר לו חובו ולא אמר לו כן, מסבב עמו בדברים עד שיאמר לו שלי הם ובמתנה נתתים לך, ואם לא אמר - לא יקבל ממנו אלא יטול מעותיו וילך לו</w:t>
      </w:r>
      <w:r w:rsidRPr="001D49D4">
        <w:rPr>
          <w:rFonts w:ascii="Calibri" w:eastAsia="Calibri" w:hAnsi="Calibri" w:cs="Arial"/>
          <w:sz w:val="16"/>
          <w:szCs w:val="16"/>
          <w:rtl/>
        </w:rPr>
        <w:t xml:space="preserve"> (ל' הרמב"ם)</w:t>
      </w:r>
      <w:r w:rsidRPr="001D49D4">
        <w:rPr>
          <w:rFonts w:ascii="Calibri" w:eastAsia="Calibri" w:hAnsi="Calibri" w:cs="Arial"/>
          <w:rtl/>
        </w:rPr>
        <w:t xml:space="preserve">. </w:t>
      </w:r>
      <w:r w:rsidRPr="001D49D4">
        <w:rPr>
          <w:rFonts w:ascii="Calibri" w:eastAsia="Calibri" w:hAnsi="Calibri" w:cs="Arial"/>
          <w:color w:val="E36C0A" w:themeColor="accent6" w:themeShade="BF"/>
          <w:rtl/>
        </w:rPr>
        <w:t>(וכ"פ בשו"ע)</w:t>
      </w:r>
    </w:p>
    <w:p w14:paraId="504E0D98" w14:textId="77777777" w:rsidR="001D49D4" w:rsidRPr="001D49D4" w:rsidRDefault="001D49D4" w:rsidP="0004348D">
      <w:pPr>
        <w:numPr>
          <w:ilvl w:val="0"/>
          <w:numId w:val="351"/>
        </w:numPr>
        <w:spacing w:before="360" w:after="240"/>
        <w:contextualSpacing/>
        <w:rPr>
          <w:rFonts w:ascii="Calibri" w:eastAsia="Calibri" w:hAnsi="Calibri" w:cs="Arial"/>
        </w:rPr>
      </w:pPr>
      <w:r w:rsidRPr="001D49D4">
        <w:rPr>
          <w:rFonts w:ascii="Calibri" w:eastAsia="Calibri" w:hAnsi="Calibri" w:cs="Arial"/>
          <w:rtl/>
        </w:rPr>
        <w:t xml:space="preserve">רא"ש </w:t>
      </w:r>
      <w:r w:rsidRPr="001D49D4">
        <w:rPr>
          <w:rFonts w:ascii="Calibri" w:eastAsia="Calibri" w:hAnsi="Calibri" w:cs="Arial"/>
          <w:sz w:val="16"/>
          <w:szCs w:val="16"/>
          <w:rtl/>
        </w:rPr>
        <w:t>(שם)</w:t>
      </w:r>
      <w:r w:rsidRPr="001D49D4">
        <w:rPr>
          <w:rFonts w:ascii="Calibri" w:eastAsia="Calibri" w:hAnsi="Calibri" w:cs="Arial"/>
          <w:rtl/>
        </w:rPr>
        <w:t>- יהיו עיניו תלויות יושב ומצפה עד שיאמר כך.</w:t>
      </w:r>
    </w:p>
    <w:p w14:paraId="5D6C50EA" w14:textId="77777777" w:rsidR="001D49D4" w:rsidRPr="001D49D4" w:rsidRDefault="001D49D4" w:rsidP="0004348D">
      <w:pPr>
        <w:spacing w:before="360" w:after="240"/>
        <w:rPr>
          <w:rFonts w:ascii="Arial" w:eastAsia="Calibri" w:hAnsi="Arial" w:cs="Arial"/>
          <w:b/>
          <w:bCs/>
          <w:color w:val="000000"/>
          <w:sz w:val="28"/>
          <w:szCs w:val="28"/>
          <w:u w:val="single"/>
          <w:rtl/>
        </w:rPr>
      </w:pPr>
      <w:r w:rsidRPr="001D49D4">
        <w:rPr>
          <w:rFonts w:ascii="Arial" w:eastAsia="Calibri" w:hAnsi="Arial" w:cs="Arial"/>
          <w:b/>
          <w:bCs/>
          <w:color w:val="000000"/>
          <w:sz w:val="28"/>
          <w:szCs w:val="28"/>
          <w:u w:val="single"/>
          <w:rtl/>
        </w:rPr>
        <w:t>שו"ע:</w:t>
      </w:r>
    </w:p>
    <w:p w14:paraId="1F6912E7"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rtl/>
        </w:rPr>
        <w:t>המחזיר חוב שעברה עליו שביעית, יאמר לו המלוה 'משמט אני וכבר נפטרת ממני'. אמר לו 'אף על פי כן רצוני שתקבל', יקבל ממנו. ואל יאמר לו 'בחובי אני נותן לך', אלא יאמר לו 'שלי הם, במתנה אני נותן לך'. החזיר לו חובו ולא אמר לו כן, מסבב עמו בדברים</w:t>
      </w:r>
      <w:r w:rsidRPr="001D49D4">
        <w:rPr>
          <w:rFonts w:ascii="Calibri" w:eastAsia="Calibri" w:hAnsi="Calibri" w:cs="Arial"/>
          <w:vertAlign w:val="superscript"/>
          <w:rtl/>
        </w:rPr>
        <w:footnoteReference w:id="5447"/>
      </w:r>
      <w:r w:rsidRPr="001D49D4">
        <w:rPr>
          <w:rFonts w:ascii="Calibri" w:eastAsia="Calibri" w:hAnsi="Calibri" w:cs="Arial"/>
          <w:rtl/>
        </w:rPr>
        <w:t xml:space="preserve"> עד שיאמר לו 'שלי הם ובמתנה נתתי לך'. ואם לא אמר, לא יקבל ממנו, אלא יטול מעותיו</w:t>
      </w:r>
      <w:r w:rsidRPr="001D49D4">
        <w:rPr>
          <w:rFonts w:ascii="Calibri" w:eastAsia="Calibri" w:hAnsi="Calibri" w:cs="Arial"/>
          <w:vertAlign w:val="superscript"/>
          <w:rtl/>
        </w:rPr>
        <w:footnoteReference w:id="5448"/>
      </w:r>
      <w:r w:rsidRPr="001D49D4">
        <w:rPr>
          <w:rFonts w:ascii="Calibri" w:eastAsia="Calibri" w:hAnsi="Calibri" w:cs="Arial"/>
          <w:rtl/>
        </w:rPr>
        <w:t xml:space="preserve"> וילך לו. </w:t>
      </w:r>
    </w:p>
    <w:p w14:paraId="1D06DEFE" w14:textId="77777777" w:rsidR="001D49D4" w:rsidRPr="001D49D4" w:rsidRDefault="001D49D4" w:rsidP="0004348D">
      <w:pPr>
        <w:spacing w:before="360" w:after="240"/>
        <w:rPr>
          <w:rFonts w:ascii="Calibri" w:eastAsia="Calibri" w:hAnsi="Calibri" w:cs="Arial"/>
          <w:rtl/>
        </w:rPr>
      </w:pPr>
    </w:p>
    <w:p w14:paraId="2BA57D28" w14:textId="77777777" w:rsidR="001D49D4" w:rsidRPr="001D49D4" w:rsidRDefault="001D49D4" w:rsidP="0004348D">
      <w:pPr>
        <w:keepNext/>
        <w:keepLines/>
        <w:spacing w:before="360" w:after="240"/>
        <w:outlineLvl w:val="1"/>
        <w:rPr>
          <w:rFonts w:ascii="Cambria" w:eastAsia="Times New Roman" w:hAnsi="Cambria" w:cs="Arial"/>
          <w:bCs/>
          <w:color w:val="548DD4" w:themeColor="text2" w:themeTint="99"/>
          <w:sz w:val="26"/>
          <w:szCs w:val="26"/>
          <w:rtl/>
        </w:rPr>
      </w:pPr>
      <w:bookmarkStart w:id="769" w:name="_Toc24884174"/>
      <w:r w:rsidRPr="001D49D4">
        <w:rPr>
          <w:rFonts w:ascii="Cambria" w:eastAsia="Times New Roman" w:hAnsi="Cambria" w:cs="Arial"/>
          <w:bCs/>
          <w:color w:val="548DD4" w:themeColor="text2" w:themeTint="99"/>
          <w:sz w:val="26"/>
          <w:szCs w:val="26"/>
          <w:rtl/>
        </w:rPr>
        <w:t>סעיף לז: שט"ח שעבר עליו שביעית ולא נכתב עליו פרוזבול – גוף השטר למי.</w:t>
      </w:r>
      <w:bookmarkEnd w:id="769"/>
    </w:p>
    <w:p w14:paraId="06BF3AEE" w14:textId="77777777" w:rsidR="001D49D4" w:rsidRPr="001D49D4" w:rsidRDefault="001D49D4" w:rsidP="0004348D">
      <w:pPr>
        <w:spacing w:before="360" w:after="240"/>
        <w:rPr>
          <w:rFonts w:ascii="Calibri" w:eastAsia="Calibri" w:hAnsi="Calibri" w:cs="Arial"/>
          <w:u w:val="single"/>
          <w:rtl/>
        </w:rPr>
      </w:pPr>
      <w:r w:rsidRPr="001D49D4">
        <w:rPr>
          <w:rFonts w:ascii="Calibri" w:eastAsia="Calibri" w:hAnsi="Calibri" w:cs="Arial"/>
          <w:u w:val="single"/>
          <w:rtl/>
        </w:rPr>
        <w:t>שט"ח שעבר עליו שביעית ולא נכתב עליו פרוזבול – גוף השטר למי:</w:t>
      </w:r>
    </w:p>
    <w:p w14:paraId="7144764E" w14:textId="77777777" w:rsidR="001D49D4" w:rsidRPr="001D49D4" w:rsidRDefault="001D49D4" w:rsidP="0004348D">
      <w:pPr>
        <w:numPr>
          <w:ilvl w:val="0"/>
          <w:numId w:val="352"/>
        </w:numPr>
        <w:spacing w:before="360" w:after="240"/>
        <w:contextualSpacing/>
        <w:rPr>
          <w:rFonts w:ascii="Calibri" w:eastAsia="Calibri" w:hAnsi="Calibri" w:cs="Arial"/>
          <w:rtl/>
        </w:rPr>
      </w:pPr>
      <w:r w:rsidRPr="001D49D4">
        <w:rPr>
          <w:rFonts w:ascii="Calibri" w:eastAsia="Calibri" w:hAnsi="Calibri" w:cs="Arial"/>
          <w:rtl/>
        </w:rPr>
        <w:t>רמב"ן בעל התרומות וטור</w:t>
      </w:r>
      <w:r w:rsidRPr="001D49D4">
        <w:rPr>
          <w:rFonts w:ascii="Calibri" w:eastAsia="Calibri" w:hAnsi="Calibri" w:cs="Arial"/>
          <w:vertAlign w:val="superscript"/>
          <w:rtl/>
        </w:rPr>
        <w:footnoteReference w:id="5449"/>
      </w:r>
      <w:r w:rsidRPr="001D49D4">
        <w:rPr>
          <w:rFonts w:ascii="Calibri" w:eastAsia="Calibri" w:hAnsi="Calibri" w:cs="Arial"/>
          <w:rtl/>
        </w:rPr>
        <w:t>- שט"ח שעבר עליו שביעית ולא נכתב עליו פרוזבול הואיל ונמחל שיעבודו של שטר - גופו של שטר של לוה הוא ומוציאין אותו מהמלוה להחזירו ללוה.</w:t>
      </w:r>
      <w:r w:rsidRPr="001D49D4">
        <w:rPr>
          <w:rFonts w:ascii="Calibri" w:eastAsia="Calibri" w:hAnsi="Calibri" w:cs="Arial"/>
          <w:color w:val="E36C0A" w:themeColor="accent6" w:themeShade="BF"/>
          <w:rtl/>
        </w:rPr>
        <w:t xml:space="preserve"> (וכ"פ בשו"ע)</w:t>
      </w:r>
    </w:p>
    <w:p w14:paraId="6A7B70DD" w14:textId="77777777" w:rsidR="001D49D4" w:rsidRPr="001D49D4" w:rsidRDefault="001D49D4" w:rsidP="0004348D">
      <w:pPr>
        <w:spacing w:before="360" w:after="240"/>
        <w:rPr>
          <w:rFonts w:ascii="Arial" w:eastAsia="Calibri" w:hAnsi="Arial" w:cs="Arial"/>
          <w:b/>
          <w:bCs/>
          <w:color w:val="000000"/>
          <w:sz w:val="28"/>
          <w:szCs w:val="28"/>
          <w:u w:val="single"/>
          <w:rtl/>
        </w:rPr>
      </w:pPr>
      <w:r w:rsidRPr="001D49D4">
        <w:rPr>
          <w:rFonts w:ascii="Arial" w:eastAsia="Calibri" w:hAnsi="Arial" w:cs="Arial"/>
          <w:b/>
          <w:bCs/>
          <w:color w:val="000000"/>
          <w:sz w:val="28"/>
          <w:szCs w:val="28"/>
          <w:u w:val="single"/>
          <w:rtl/>
        </w:rPr>
        <w:t>שו"ע:</w:t>
      </w:r>
    </w:p>
    <w:p w14:paraId="1CA5C918"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rtl/>
        </w:rPr>
        <w:t>שטר חוב שעברה עליו שביעית ולא נכתב עליו פרוזבול, מוציאין שטר מהמלוה</w:t>
      </w:r>
      <w:r w:rsidRPr="001D49D4">
        <w:rPr>
          <w:rFonts w:ascii="Calibri" w:eastAsia="Calibri" w:hAnsi="Calibri" w:cs="Arial"/>
          <w:vertAlign w:val="superscript"/>
          <w:rtl/>
        </w:rPr>
        <w:footnoteReference w:id="5450"/>
      </w:r>
      <w:r w:rsidRPr="001D49D4">
        <w:rPr>
          <w:rFonts w:ascii="Calibri" w:eastAsia="Calibri" w:hAnsi="Calibri" w:cs="Arial"/>
          <w:rtl/>
        </w:rPr>
        <w:t xml:space="preserve"> להחזירו ללוה. </w:t>
      </w:r>
    </w:p>
    <w:p w14:paraId="1F206C65" w14:textId="77777777" w:rsidR="001D49D4" w:rsidRPr="001D49D4" w:rsidRDefault="001D49D4" w:rsidP="0004348D">
      <w:pPr>
        <w:spacing w:before="360" w:after="240"/>
        <w:rPr>
          <w:rFonts w:ascii="Calibri" w:eastAsia="Calibri" w:hAnsi="Calibri" w:cs="Arial"/>
          <w:rtl/>
        </w:rPr>
      </w:pPr>
    </w:p>
    <w:p w14:paraId="39EB2DE4" w14:textId="77777777" w:rsidR="001D49D4" w:rsidRPr="001D49D4" w:rsidRDefault="001D49D4" w:rsidP="0004348D">
      <w:pPr>
        <w:keepNext/>
        <w:keepLines/>
        <w:spacing w:before="360" w:after="240"/>
        <w:outlineLvl w:val="1"/>
        <w:rPr>
          <w:rFonts w:ascii="Cambria" w:eastAsia="Times New Roman" w:hAnsi="Cambria" w:cs="Arial"/>
          <w:bCs/>
          <w:color w:val="548DD4" w:themeColor="text2" w:themeTint="99"/>
          <w:sz w:val="26"/>
          <w:szCs w:val="26"/>
          <w:rtl/>
        </w:rPr>
      </w:pPr>
      <w:bookmarkStart w:id="770" w:name="_Toc24884175"/>
      <w:r w:rsidRPr="001D49D4">
        <w:rPr>
          <w:rFonts w:ascii="Cambria" w:eastAsia="Times New Roman" w:hAnsi="Cambria" w:cs="Arial"/>
          <w:bCs/>
          <w:color w:val="548DD4" w:themeColor="text2" w:themeTint="99"/>
          <w:sz w:val="26"/>
          <w:szCs w:val="26"/>
          <w:rtl/>
        </w:rPr>
        <w:t>סעיף לח: המוכר שט"ח לחבירו ועברה עליו שמיטה לאחר המכירה.</w:t>
      </w:r>
      <w:bookmarkEnd w:id="770"/>
    </w:p>
    <w:p w14:paraId="0E4C5D72" w14:textId="77777777" w:rsidR="001D49D4" w:rsidRPr="001D49D4" w:rsidRDefault="001D49D4" w:rsidP="0004348D">
      <w:pPr>
        <w:spacing w:before="360" w:after="240"/>
        <w:rPr>
          <w:rFonts w:ascii="Calibri" w:eastAsia="Calibri" w:hAnsi="Calibri" w:cs="Arial"/>
          <w:u w:val="single"/>
          <w:rtl/>
        </w:rPr>
      </w:pPr>
      <w:r w:rsidRPr="001D49D4">
        <w:rPr>
          <w:rFonts w:ascii="Calibri" w:eastAsia="Calibri" w:hAnsi="Calibri" w:cs="Arial"/>
          <w:u w:val="single"/>
          <w:rtl/>
        </w:rPr>
        <w:t>המוכר שט"ח לחבירו ועברה עליו שמיטה לאחר המכירה:</w:t>
      </w:r>
    </w:p>
    <w:p w14:paraId="22A99B2F" w14:textId="77777777" w:rsidR="001D49D4" w:rsidRPr="001D49D4" w:rsidRDefault="001D49D4" w:rsidP="0004348D">
      <w:pPr>
        <w:numPr>
          <w:ilvl w:val="0"/>
          <w:numId w:val="352"/>
        </w:numPr>
        <w:spacing w:before="360" w:after="240"/>
        <w:contextualSpacing/>
        <w:rPr>
          <w:rFonts w:ascii="Calibri" w:eastAsia="Calibri" w:hAnsi="Calibri" w:cs="Arial"/>
          <w:rtl/>
        </w:rPr>
      </w:pPr>
      <w:r w:rsidRPr="001D49D4">
        <w:rPr>
          <w:rFonts w:ascii="Calibri" w:eastAsia="Calibri" w:hAnsi="Calibri" w:cs="Arial"/>
          <w:rtl/>
        </w:rPr>
        <w:t xml:space="preserve">בעל התרומות </w:t>
      </w:r>
      <w:r w:rsidRPr="001D49D4">
        <w:rPr>
          <w:rFonts w:ascii="Calibri" w:eastAsia="Calibri" w:hAnsi="Calibri" w:cs="Arial"/>
          <w:sz w:val="16"/>
          <w:szCs w:val="16"/>
          <w:rtl/>
        </w:rPr>
        <w:t xml:space="preserve">(שער מה סי' ו) </w:t>
      </w:r>
      <w:r w:rsidRPr="001D49D4">
        <w:rPr>
          <w:rFonts w:ascii="Calibri" w:eastAsia="Calibri" w:hAnsi="Calibri" w:cs="Arial"/>
          <w:rtl/>
        </w:rPr>
        <w:t>וטור- המוכר שט"ח לחבירו ועברה עליו שמיטה לאחר המכירה - אין הלוקח חוזר על המוכר, שהרי הלוקח פשע בעצמו שלא עשה פרוזבול. אבל אם כבר עבר עליו שמיטה כשמכרו - טוענין ללוקח שהמוכר שמכרו היה לו פרוזבול ואבד, שכל מה שיכול מוכר לטעון טוענין ללוקח. ואם הודה המוכר שלא היה לו פרוזבול, אם אין למוכר נכסים - אינו נאמן שאין אדם נאמן בהודאתו לחוב לאחרים. ואם יש למוכר נכסים - נאמן המוכר לחוב לעצמו ומשלם ללוקח, שהרי הטעהו שמכר לו שטר שנמחל שיעבודו בחזקת שהוא קיים.</w:t>
      </w:r>
      <w:r w:rsidRPr="001D49D4">
        <w:rPr>
          <w:rFonts w:ascii="Calibri" w:eastAsia="Calibri" w:hAnsi="Calibri" w:cs="Arial"/>
          <w:color w:val="E36C0A" w:themeColor="accent6" w:themeShade="BF"/>
          <w:rtl/>
        </w:rPr>
        <w:t xml:space="preserve"> (וכ"פ בשו"ע)</w:t>
      </w:r>
    </w:p>
    <w:p w14:paraId="5FB31976" w14:textId="77777777" w:rsidR="001D49D4" w:rsidRPr="001D49D4" w:rsidRDefault="001D49D4" w:rsidP="0004348D">
      <w:pPr>
        <w:spacing w:before="360" w:after="240"/>
        <w:rPr>
          <w:rFonts w:ascii="Arial" w:eastAsia="Calibri" w:hAnsi="Arial" w:cs="Arial"/>
          <w:b/>
          <w:bCs/>
          <w:color w:val="000000"/>
          <w:sz w:val="28"/>
          <w:szCs w:val="28"/>
          <w:u w:val="single"/>
          <w:rtl/>
        </w:rPr>
      </w:pPr>
      <w:r w:rsidRPr="001D49D4">
        <w:rPr>
          <w:rFonts w:ascii="Arial" w:eastAsia="Calibri" w:hAnsi="Arial" w:cs="Arial"/>
          <w:b/>
          <w:bCs/>
          <w:color w:val="000000"/>
          <w:sz w:val="28"/>
          <w:szCs w:val="28"/>
          <w:u w:val="single"/>
          <w:rtl/>
        </w:rPr>
        <w:t>שו"ע:</w:t>
      </w:r>
    </w:p>
    <w:p w14:paraId="74E4B754"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rtl/>
        </w:rPr>
        <w:t>המוכר שטר חוב לחבירו ואחר כך עברה עליו שמיטה, אין הלוקח חוזר על המוכר, שהלוקח פשע מעצמו שלא עשה פרוזבול. ואם כבר עברה עליו שמיטה כשמכרו, טוענין ללוקח שהמוכר היה לו פרוזבול ואבד. ואם הודה המוכר שלא היה לו פרוזבול, אם אין לו נכסים, אינו נאמן</w:t>
      </w:r>
      <w:r w:rsidRPr="001D49D4">
        <w:rPr>
          <w:rFonts w:ascii="Calibri" w:eastAsia="Calibri" w:hAnsi="Calibri" w:cs="Arial"/>
          <w:vertAlign w:val="superscript"/>
          <w:rtl/>
        </w:rPr>
        <w:footnoteReference w:id="5451"/>
      </w:r>
      <w:r w:rsidRPr="001D49D4">
        <w:rPr>
          <w:rFonts w:ascii="Calibri" w:eastAsia="Calibri" w:hAnsi="Calibri" w:cs="Arial"/>
          <w:rtl/>
        </w:rPr>
        <w:t>. ואם יש לו נכסים, נאמן</w:t>
      </w:r>
      <w:r w:rsidRPr="001D49D4">
        <w:rPr>
          <w:rFonts w:ascii="Calibri" w:eastAsia="Calibri" w:hAnsi="Calibri" w:cs="Arial"/>
          <w:vertAlign w:val="superscript"/>
          <w:rtl/>
        </w:rPr>
        <w:footnoteReference w:id="5452"/>
      </w:r>
      <w:r w:rsidRPr="001D49D4">
        <w:rPr>
          <w:rFonts w:ascii="Calibri" w:eastAsia="Calibri" w:hAnsi="Calibri" w:cs="Arial"/>
          <w:rtl/>
        </w:rPr>
        <w:t xml:space="preserve"> ונפטר, והמוכר ישלם ללוקח.</w:t>
      </w:r>
    </w:p>
    <w:p w14:paraId="055A0E33" w14:textId="77777777" w:rsidR="001D49D4" w:rsidRPr="001D49D4" w:rsidRDefault="001D49D4" w:rsidP="0004348D">
      <w:pPr>
        <w:spacing w:before="360" w:after="240"/>
        <w:rPr>
          <w:rFonts w:ascii="Calibri" w:eastAsia="Calibri" w:hAnsi="Calibri" w:cs="Arial"/>
          <w:rtl/>
        </w:rPr>
      </w:pPr>
    </w:p>
    <w:p w14:paraId="6ADF7797" w14:textId="77777777" w:rsidR="001D49D4" w:rsidRPr="001D49D4" w:rsidRDefault="001D49D4" w:rsidP="0004348D">
      <w:pPr>
        <w:bidi w:val="0"/>
        <w:spacing w:before="360" w:after="240"/>
        <w:rPr>
          <w:rFonts w:ascii="Cambria" w:eastAsia="Times New Roman" w:hAnsi="Cambria" w:cs="Arial"/>
          <w:b/>
          <w:bCs/>
          <w:color w:val="365F91" w:themeColor="accent1" w:themeShade="BF"/>
          <w:sz w:val="28"/>
          <w:szCs w:val="28"/>
          <w:rtl/>
        </w:rPr>
        <w:sectPr w:rsidR="001D49D4" w:rsidRPr="001D49D4">
          <w:headerReference w:type="default" r:id="rId76"/>
          <w:footnotePr>
            <w:numRestart w:val="eachPage"/>
          </w:footnotePr>
          <w:pgSz w:w="11906" w:h="16838"/>
          <w:pgMar w:top="720" w:right="1134" w:bottom="720" w:left="1134" w:header="0" w:footer="0" w:gutter="0"/>
          <w:cols w:space="720"/>
          <w:bidi/>
          <w:rtlGutter/>
        </w:sectPr>
      </w:pPr>
    </w:p>
    <w:p w14:paraId="19FBDD7C" w14:textId="77777777" w:rsidR="001D49D4" w:rsidRPr="001D49D4" w:rsidRDefault="001D49D4" w:rsidP="0004348D">
      <w:pPr>
        <w:keepNext/>
        <w:keepLines/>
        <w:spacing w:before="360" w:after="240"/>
        <w:outlineLvl w:val="0"/>
        <w:rPr>
          <w:rFonts w:ascii="Cambria" w:eastAsia="Times New Roman" w:hAnsi="Cambria" w:cs="Arial"/>
          <w:b/>
          <w:bCs/>
          <w:color w:val="365F91" w:themeColor="accent1" w:themeShade="BF"/>
          <w:sz w:val="28"/>
          <w:szCs w:val="28"/>
          <w:rtl/>
        </w:rPr>
      </w:pPr>
      <w:bookmarkStart w:id="771" w:name="_Toc24884176"/>
      <w:r w:rsidRPr="001D49D4">
        <w:rPr>
          <w:rFonts w:ascii="Cambria" w:eastAsia="Times New Roman" w:hAnsi="Cambria" w:cs="Arial"/>
          <w:b/>
          <w:bCs/>
          <w:color w:val="365F91" w:themeColor="accent1" w:themeShade="BF"/>
          <w:sz w:val="28"/>
          <w:szCs w:val="28"/>
          <w:rtl/>
        </w:rPr>
        <w:t>סימן סח: דין שטרות העשויות בערכאות גוים, ובו ב' סעיפים.</w:t>
      </w:r>
      <w:bookmarkEnd w:id="771"/>
      <w:r w:rsidRPr="001D49D4">
        <w:rPr>
          <w:rFonts w:ascii="Cambria" w:eastAsia="Times New Roman" w:hAnsi="Cambria" w:cs="Arial"/>
          <w:b/>
          <w:bCs/>
          <w:color w:val="365F91" w:themeColor="accent1" w:themeShade="BF"/>
          <w:sz w:val="28"/>
          <w:szCs w:val="28"/>
          <w:rtl/>
        </w:rPr>
        <w:t xml:space="preserve"> </w:t>
      </w:r>
    </w:p>
    <w:p w14:paraId="6E6C9AD0" w14:textId="77777777" w:rsidR="001D49D4" w:rsidRPr="001D49D4" w:rsidRDefault="001D49D4" w:rsidP="0004348D">
      <w:pPr>
        <w:keepNext/>
        <w:keepLines/>
        <w:spacing w:before="360" w:after="240"/>
        <w:outlineLvl w:val="1"/>
        <w:rPr>
          <w:rFonts w:ascii="Cambria" w:eastAsia="Times New Roman" w:hAnsi="Cambria" w:cs="Arial"/>
          <w:bCs/>
          <w:color w:val="548DD4" w:themeColor="text2" w:themeTint="99"/>
          <w:sz w:val="26"/>
          <w:szCs w:val="26"/>
          <w:rtl/>
        </w:rPr>
      </w:pPr>
      <w:bookmarkStart w:id="772" w:name="_Toc24884177"/>
      <w:r w:rsidRPr="001D49D4">
        <w:rPr>
          <w:rFonts w:ascii="Cambria" w:eastAsia="Times New Roman" w:hAnsi="Cambria" w:cs="Arial"/>
          <w:bCs/>
          <w:color w:val="548DD4" w:themeColor="text2" w:themeTint="99"/>
          <w:sz w:val="26"/>
          <w:szCs w:val="26"/>
          <w:rtl/>
        </w:rPr>
        <w:t>סעיף א: דין שטרות העשויות בערכאות גוים.</w:t>
      </w:r>
      <w:bookmarkEnd w:id="772"/>
    </w:p>
    <w:p w14:paraId="577C0350" w14:textId="77777777" w:rsidR="001D49D4" w:rsidRPr="001D49D4" w:rsidRDefault="001D49D4" w:rsidP="0004348D">
      <w:pPr>
        <w:spacing w:before="360" w:after="240"/>
        <w:rPr>
          <w:rFonts w:ascii="Calibri" w:eastAsia="Calibri" w:hAnsi="Calibri" w:cs="Arial"/>
          <w:sz w:val="16"/>
          <w:szCs w:val="16"/>
          <w:rtl/>
        </w:rPr>
      </w:pPr>
      <w:r w:rsidRPr="001D49D4">
        <w:rPr>
          <w:rFonts w:ascii="Arial" w:eastAsia="Calibri" w:hAnsi="Arial" w:cs="Arial"/>
          <w:b/>
          <w:bCs/>
          <w:rtl/>
        </w:rPr>
        <w:t>גיטין יט</w:t>
      </w:r>
      <w:r w:rsidRPr="001D49D4">
        <w:rPr>
          <w:rFonts w:ascii="Arial" w:eastAsia="Calibri" w:hAnsi="Arial" w:cs="Arial"/>
          <w:b/>
          <w:bCs/>
          <w:vertAlign w:val="superscript"/>
          <w:rtl/>
        </w:rPr>
        <w:footnoteReference w:id="5453"/>
      </w:r>
      <w:r w:rsidRPr="001D49D4">
        <w:rPr>
          <w:rFonts w:ascii="Arial" w:eastAsia="Calibri" w:hAnsi="Arial" w:cs="Arial"/>
          <w:b/>
          <w:bCs/>
          <w:rtl/>
        </w:rPr>
        <w:t xml:space="preserve"> ע"ב: </w:t>
      </w:r>
      <w:r w:rsidRPr="001D49D4">
        <w:rPr>
          <w:rFonts w:ascii="Arial" w:eastAsia="Calibri" w:hAnsi="Arial" w:cs="Arial"/>
          <w:u w:val="single"/>
          <w:rtl/>
        </w:rPr>
        <w:t>אמר רב אשי</w:t>
      </w:r>
      <w:r w:rsidRPr="001D49D4">
        <w:rPr>
          <w:rFonts w:ascii="Arial" w:eastAsia="Calibri" w:hAnsi="Arial" w:cs="Arial"/>
          <w:rtl/>
        </w:rPr>
        <w:t>: אמר לי רב הונא בר נתן, הכי אמר אמימר: האי שטרא פרסאה דחתימי עליה סהדי ישראל</w:t>
      </w:r>
      <w:r w:rsidRPr="001D49D4">
        <w:rPr>
          <w:rFonts w:ascii="Arial" w:eastAsia="Calibri" w:hAnsi="Arial" w:cs="Arial"/>
          <w:vertAlign w:val="superscript"/>
          <w:rtl/>
        </w:rPr>
        <w:footnoteReference w:id="5454"/>
      </w:r>
      <w:r w:rsidRPr="001D49D4">
        <w:rPr>
          <w:rFonts w:ascii="Arial" w:eastAsia="Calibri" w:hAnsi="Arial" w:cs="Arial"/>
          <w:rtl/>
        </w:rPr>
        <w:t xml:space="preserve"> מגבינן ביה ממשעבדי. והא לא ידעי למיקרי! בדידעי. והא בעינן כתב שאינו יכול להזדייף וליכא! בדאפיצן. והא בעינן צריך לחזור מענינו של שטר בשיטה אחרונה וליכא! בדמהדר. ואלא מאי קמ"ל? דכל לשון כשר, תנינא! גט שכתבו</w:t>
      </w:r>
      <w:r w:rsidRPr="001D49D4">
        <w:rPr>
          <w:rFonts w:ascii="Arial" w:eastAsia="Calibri" w:hAnsi="Arial" w:cs="Arial"/>
          <w:vertAlign w:val="superscript"/>
          <w:rtl/>
        </w:rPr>
        <w:footnoteReference w:id="5455"/>
      </w:r>
      <w:r w:rsidRPr="001D49D4">
        <w:rPr>
          <w:rFonts w:ascii="Arial" w:eastAsia="Calibri" w:hAnsi="Arial" w:cs="Arial"/>
          <w:rtl/>
        </w:rPr>
        <w:t xml:space="preserve"> עברית ועדיו יונית, יונית ועדיו עברית - כשר! אי מההיא הוה אמינא הני מילי בגיטין</w:t>
      </w:r>
      <w:r w:rsidRPr="001D49D4">
        <w:rPr>
          <w:rFonts w:ascii="Arial" w:eastAsia="Calibri" w:hAnsi="Arial" w:cs="Arial"/>
          <w:vertAlign w:val="superscript"/>
          <w:rtl/>
        </w:rPr>
        <w:footnoteReference w:id="5456"/>
      </w:r>
      <w:r w:rsidRPr="001D49D4">
        <w:rPr>
          <w:rFonts w:ascii="Arial" w:eastAsia="Calibri" w:hAnsi="Arial" w:cs="Arial"/>
          <w:rtl/>
        </w:rPr>
        <w:t xml:space="preserve"> אבל בשאר שטרות לא, קמ"ל</w:t>
      </w:r>
      <w:r w:rsidRPr="001D49D4">
        <w:rPr>
          <w:rFonts w:ascii="Calibri" w:eastAsia="Calibri" w:hAnsi="Calibri" w:cs="Arial"/>
          <w:rtl/>
        </w:rPr>
        <w:t xml:space="preserve">. </w:t>
      </w:r>
      <w:r w:rsidRPr="001D49D4">
        <w:rPr>
          <w:rFonts w:ascii="Calibri" w:eastAsia="Calibri" w:hAnsi="Calibri" w:cs="Arial"/>
          <w:rtl/>
        </w:rPr>
        <w:softHyphen/>
      </w:r>
      <w:r w:rsidRPr="001D49D4">
        <w:rPr>
          <w:rFonts w:ascii="Calibri" w:eastAsia="Calibri" w:hAnsi="Calibri" w:cs="Arial"/>
          <w:rtl/>
        </w:rPr>
        <w:softHyphen/>
      </w:r>
      <w:r w:rsidRPr="001D49D4">
        <w:rPr>
          <w:rFonts w:ascii="Calibri" w:eastAsia="Calibri" w:hAnsi="Calibri" w:cs="Arial"/>
          <w:sz w:val="16"/>
          <w:szCs w:val="16"/>
          <w:rtl/>
        </w:rPr>
        <w:t xml:space="preserve">(ולמדנו מכאן ששטר שכתוב בכל לשון ובכל כתב – כשר, ובלבד שיהיה עשוי כתקון שטרי ישראל שאינם יכולים להזדייף ולא להוסיף ולא לגרוע, והיו עדיו ישראל ויודעין לקרותו. </w:t>
      </w:r>
      <w:r w:rsidRPr="001D49D4">
        <w:rPr>
          <w:rFonts w:ascii="Calibri" w:eastAsia="Calibri" w:hAnsi="Calibri" w:cs="Arial"/>
          <w:color w:val="E36C0A" w:themeColor="accent6" w:themeShade="BF"/>
          <w:sz w:val="16"/>
          <w:szCs w:val="16"/>
          <w:rtl/>
        </w:rPr>
        <w:t xml:space="preserve">וכ"פ בשו"ע </w:t>
      </w:r>
      <w:r w:rsidRPr="001D49D4">
        <w:rPr>
          <w:rFonts w:ascii="Calibri" w:eastAsia="Calibri" w:hAnsi="Calibri" w:cs="Arial"/>
          <w:sz w:val="16"/>
          <w:szCs w:val="16"/>
          <w:rtl/>
        </w:rPr>
        <w:t>כאן ובסי' מה ס"ב)</w:t>
      </w:r>
    </w:p>
    <w:p w14:paraId="4B9807AD"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b/>
          <w:bCs/>
          <w:rtl/>
        </w:rPr>
        <w:t xml:space="preserve">גיטין </w:t>
      </w:r>
      <w:r w:rsidRPr="001D49D4">
        <w:rPr>
          <w:rFonts w:ascii="Calibri" w:eastAsia="Calibri" w:hAnsi="Calibri" w:cs="Arial"/>
          <w:b/>
          <w:bCs/>
          <w:sz w:val="16"/>
          <w:szCs w:val="16"/>
          <w:rtl/>
        </w:rPr>
        <w:t>(פ"ק)</w:t>
      </w:r>
      <w:r w:rsidRPr="001D49D4">
        <w:rPr>
          <w:rFonts w:ascii="Calibri" w:eastAsia="Calibri" w:hAnsi="Calibri" w:cs="Arial"/>
          <w:b/>
          <w:bCs/>
          <w:rtl/>
        </w:rPr>
        <w:t xml:space="preserve"> י</w:t>
      </w:r>
      <w:r w:rsidRPr="001D49D4">
        <w:rPr>
          <w:rFonts w:ascii="Calibri" w:eastAsia="Calibri" w:hAnsi="Calibri" w:cs="Arial"/>
          <w:b/>
          <w:bCs/>
          <w:vertAlign w:val="superscript"/>
          <w:rtl/>
        </w:rPr>
        <w:footnoteReference w:id="5457"/>
      </w:r>
      <w:r w:rsidRPr="001D49D4">
        <w:rPr>
          <w:rFonts w:ascii="Calibri" w:eastAsia="Calibri" w:hAnsi="Calibri" w:cs="Arial"/>
          <w:b/>
          <w:bCs/>
          <w:rtl/>
        </w:rPr>
        <w:t xml:space="preserve"> ע"ב:</w:t>
      </w:r>
      <w:r w:rsidRPr="001D49D4">
        <w:rPr>
          <w:rFonts w:ascii="Calibri" w:eastAsia="Calibri" w:hAnsi="Calibri" w:cs="Arial"/>
          <w:rtl/>
        </w:rPr>
        <w:t xml:space="preserve"> </w:t>
      </w:r>
      <w:r w:rsidRPr="001D49D4">
        <w:rPr>
          <w:rFonts w:ascii="Calibri" w:eastAsia="Calibri" w:hAnsi="Calibri" w:cs="Arial"/>
          <w:u w:val="double"/>
          <w:rtl/>
        </w:rPr>
        <w:t>מתני'</w:t>
      </w:r>
      <w:r w:rsidRPr="001D49D4">
        <w:rPr>
          <w:rFonts w:ascii="Calibri" w:eastAsia="Calibri" w:hAnsi="Calibri" w:cs="Arial"/>
          <w:rtl/>
        </w:rPr>
        <w:t>: כל השטרות העולים בערכאות של גוים, אף על פי שחותמיהם גוים - כשירים, חוץ מגיטי נשים ושחרורי</w:t>
      </w:r>
      <w:r w:rsidRPr="001D49D4">
        <w:rPr>
          <w:rFonts w:ascii="Calibri" w:eastAsia="Calibri" w:hAnsi="Calibri" w:cs="Arial"/>
          <w:rtl/>
        </w:rPr>
        <w:tab/>
        <w:t xml:space="preserve"> עבדים. </w:t>
      </w:r>
      <w:r w:rsidRPr="001D49D4">
        <w:rPr>
          <w:rFonts w:ascii="Calibri" w:eastAsia="Calibri" w:hAnsi="Calibri" w:cs="Arial"/>
          <w:u w:val="single"/>
          <w:rtl/>
        </w:rPr>
        <w:t>ר"ש אומר</w:t>
      </w:r>
      <w:r w:rsidRPr="001D49D4">
        <w:rPr>
          <w:rFonts w:ascii="Calibri" w:eastAsia="Calibri" w:hAnsi="Calibri" w:cs="Arial"/>
          <w:rtl/>
        </w:rPr>
        <w:t xml:space="preserve">: אף אלו כשירין, לא הוזכרו אלא בזמן שנעשו בהדיוט.      </w:t>
      </w:r>
      <w:r w:rsidRPr="001D49D4">
        <w:rPr>
          <w:rFonts w:ascii="Calibri" w:eastAsia="Calibri" w:hAnsi="Calibri" w:cs="Arial"/>
          <w:u w:val="double"/>
          <w:rtl/>
        </w:rPr>
        <w:t>גמ'</w:t>
      </w:r>
      <w:r w:rsidRPr="001D49D4">
        <w:rPr>
          <w:rFonts w:ascii="Calibri" w:eastAsia="Calibri" w:hAnsi="Calibri" w:cs="Arial"/>
          <w:rtl/>
        </w:rPr>
        <w:t>: קא פסיק ותני, לא שנא מכר ל"ש מתנה. בשלמא מכר, מכי יהיב זוזי קמייהו הוא דקנה, ושטרא ראיה בעלמא הוא, דאי לא יהיב זוזי קמייהו לא הוו מרעי נפשייהו וכתבין ליה שטרא, אלא מתנה</w:t>
      </w:r>
      <w:r w:rsidRPr="001D49D4">
        <w:rPr>
          <w:rFonts w:ascii="Calibri" w:eastAsia="Calibri" w:hAnsi="Calibri" w:cs="Arial"/>
          <w:vertAlign w:val="superscript"/>
          <w:rtl/>
        </w:rPr>
        <w:footnoteReference w:id="5458"/>
      </w:r>
      <w:r w:rsidRPr="001D49D4">
        <w:rPr>
          <w:rFonts w:ascii="Calibri" w:eastAsia="Calibri" w:hAnsi="Calibri" w:cs="Arial"/>
          <w:rtl/>
        </w:rPr>
        <w:t xml:space="preserve"> במאי קא קני, לאו בהאי שטרא, והאי שטרא חספא בעלמא הוא! </w:t>
      </w:r>
      <w:r w:rsidRPr="001D49D4">
        <w:rPr>
          <w:rFonts w:ascii="Calibri" w:eastAsia="Calibri" w:hAnsi="Calibri" w:cs="Arial"/>
          <w:u w:val="single"/>
          <w:rtl/>
        </w:rPr>
        <w:t>אמר שמואל</w:t>
      </w:r>
      <w:r w:rsidRPr="001D49D4">
        <w:rPr>
          <w:rFonts w:ascii="Calibri" w:eastAsia="Calibri" w:hAnsi="Calibri" w:cs="Arial"/>
          <w:rtl/>
        </w:rPr>
        <w:t xml:space="preserve">: דינא דמלכותא דינא. ואב"א, תני: חוץ מכגיטי נשים... </w:t>
      </w:r>
      <w:r w:rsidRPr="001D49D4">
        <w:rPr>
          <w:rFonts w:ascii="Calibri" w:eastAsia="Calibri" w:hAnsi="Calibri" w:cs="Arial"/>
          <w:sz w:val="14"/>
          <w:szCs w:val="14"/>
          <w:rtl/>
        </w:rPr>
        <w:t>(יא.)</w:t>
      </w:r>
      <w:r w:rsidRPr="001D49D4">
        <w:rPr>
          <w:rFonts w:ascii="Calibri" w:eastAsia="Calibri" w:hAnsi="Calibri" w:cs="Arial"/>
          <w:rtl/>
        </w:rPr>
        <w:t xml:space="preserve"> רבינא סבר לאכשורי בכנופיאתה דארמאי. </w:t>
      </w:r>
      <w:r w:rsidRPr="001D49D4">
        <w:rPr>
          <w:rFonts w:ascii="Calibri" w:eastAsia="Calibri" w:hAnsi="Calibri" w:cs="Arial"/>
          <w:u w:val="single"/>
          <w:rtl/>
        </w:rPr>
        <w:t>א"ל רפרם</w:t>
      </w:r>
      <w:r w:rsidRPr="001D49D4">
        <w:rPr>
          <w:rFonts w:ascii="Calibri" w:eastAsia="Calibri" w:hAnsi="Calibri" w:cs="Arial"/>
          <w:rtl/>
        </w:rPr>
        <w:t>: ערכאות</w:t>
      </w:r>
      <w:r w:rsidRPr="001D49D4">
        <w:rPr>
          <w:rFonts w:ascii="Calibri" w:eastAsia="Calibri" w:hAnsi="Calibri" w:cs="Arial"/>
          <w:vertAlign w:val="superscript"/>
          <w:rtl/>
        </w:rPr>
        <w:footnoteReference w:id="5459"/>
      </w:r>
      <w:r w:rsidRPr="001D49D4">
        <w:rPr>
          <w:rFonts w:ascii="Calibri" w:eastAsia="Calibri" w:hAnsi="Calibri" w:cs="Arial"/>
          <w:rtl/>
        </w:rPr>
        <w:t xml:space="preserve"> תנן.  </w:t>
      </w:r>
    </w:p>
    <w:p w14:paraId="226B5C1B"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b/>
          <w:bCs/>
          <w:rtl/>
        </w:rPr>
        <w:t xml:space="preserve">גיטין </w:t>
      </w:r>
      <w:r w:rsidRPr="001D49D4">
        <w:rPr>
          <w:rFonts w:ascii="Calibri" w:eastAsia="Calibri" w:hAnsi="Calibri" w:cs="Arial"/>
          <w:b/>
          <w:bCs/>
          <w:sz w:val="16"/>
          <w:szCs w:val="16"/>
          <w:rtl/>
        </w:rPr>
        <w:t>(פ"ב)</w:t>
      </w:r>
      <w:r w:rsidRPr="001D49D4">
        <w:rPr>
          <w:rFonts w:ascii="Calibri" w:eastAsia="Calibri" w:hAnsi="Calibri" w:cs="Arial"/>
          <w:b/>
          <w:bCs/>
          <w:rtl/>
        </w:rPr>
        <w:t xml:space="preserve"> יט</w:t>
      </w:r>
      <w:r w:rsidRPr="001D49D4">
        <w:rPr>
          <w:rFonts w:ascii="Calibri" w:eastAsia="Calibri" w:hAnsi="Calibri" w:cs="Arial"/>
          <w:b/>
          <w:bCs/>
          <w:vertAlign w:val="superscript"/>
          <w:rtl/>
        </w:rPr>
        <w:footnoteReference w:id="5460"/>
      </w:r>
      <w:r w:rsidRPr="001D49D4">
        <w:rPr>
          <w:rFonts w:ascii="Calibri" w:eastAsia="Calibri" w:hAnsi="Calibri" w:cs="Arial"/>
          <w:b/>
          <w:bCs/>
          <w:rtl/>
        </w:rPr>
        <w:t xml:space="preserve"> ע"ב:</w:t>
      </w:r>
      <w:r w:rsidRPr="001D49D4">
        <w:rPr>
          <w:rFonts w:ascii="Calibri" w:eastAsia="Calibri" w:hAnsi="Calibri" w:cs="Arial"/>
          <w:rtl/>
        </w:rPr>
        <w:t xml:space="preserve"> </w:t>
      </w:r>
      <w:r w:rsidRPr="001D49D4">
        <w:rPr>
          <w:rFonts w:ascii="Calibri" w:eastAsia="Calibri" w:hAnsi="Calibri" w:cs="Arial"/>
          <w:u w:val="single"/>
          <w:rtl/>
        </w:rPr>
        <w:t>רב פפא</w:t>
      </w:r>
      <w:r w:rsidRPr="001D49D4">
        <w:rPr>
          <w:rFonts w:ascii="Calibri" w:eastAsia="Calibri" w:hAnsi="Calibri" w:cs="Arial"/>
          <w:rtl/>
        </w:rPr>
        <w:t xml:space="preserve"> כי הוה אתי לקמיה שטרא פרסאה דעביד בערכאות של גוים, מקרי להו לשני גוים זה שלא בפני זה במסיח לפי תומו, ומגבי ביה ממשעבדי</w:t>
      </w:r>
      <w:r w:rsidRPr="001D49D4">
        <w:rPr>
          <w:rFonts w:ascii="Calibri" w:eastAsia="Calibri" w:hAnsi="Calibri" w:cs="Arial"/>
          <w:vertAlign w:val="superscript"/>
          <w:rtl/>
        </w:rPr>
        <w:footnoteReference w:id="5461"/>
      </w:r>
      <w:r w:rsidRPr="001D49D4">
        <w:rPr>
          <w:rFonts w:ascii="Calibri" w:eastAsia="Calibri" w:hAnsi="Calibri" w:cs="Arial"/>
          <w:rtl/>
        </w:rPr>
        <w:t xml:space="preserve">.  </w:t>
      </w:r>
    </w:p>
    <w:p w14:paraId="0BB92CA3" w14:textId="77777777" w:rsidR="001D49D4" w:rsidRPr="001D49D4" w:rsidRDefault="001D49D4" w:rsidP="0004348D">
      <w:pPr>
        <w:spacing w:before="360" w:after="240"/>
        <w:rPr>
          <w:rFonts w:ascii="Calibri" w:eastAsia="Calibri" w:hAnsi="Calibri" w:cs="Arial"/>
          <w:u w:val="single"/>
          <w:rtl/>
        </w:rPr>
      </w:pPr>
      <w:r w:rsidRPr="001D49D4">
        <w:rPr>
          <w:rFonts w:ascii="Calibri" w:eastAsia="Calibri" w:hAnsi="Calibri" w:cs="Arial"/>
          <w:u w:val="single"/>
          <w:rtl/>
        </w:rPr>
        <w:t>כיצד נפסק בגמרא גבי שטרות שנעשו בערכאות של גוים:</w:t>
      </w:r>
    </w:p>
    <w:p w14:paraId="59F21EDD" w14:textId="77777777" w:rsidR="001D49D4" w:rsidRPr="001D49D4" w:rsidRDefault="001D49D4" w:rsidP="0004348D">
      <w:pPr>
        <w:numPr>
          <w:ilvl w:val="0"/>
          <w:numId w:val="352"/>
        </w:numPr>
        <w:spacing w:before="360" w:after="240"/>
        <w:contextualSpacing/>
        <w:rPr>
          <w:rFonts w:ascii="Calibri" w:eastAsia="Calibri" w:hAnsi="Calibri" w:cs="Arial"/>
          <w:rtl/>
        </w:rPr>
      </w:pPr>
      <w:r w:rsidRPr="001D49D4">
        <w:rPr>
          <w:rFonts w:ascii="Calibri" w:eastAsia="Calibri" w:hAnsi="Calibri" w:cs="Arial"/>
          <w:rtl/>
        </w:rPr>
        <w:t>רוב הגאונים רי"ף ורמב"ם</w:t>
      </w:r>
      <w:r w:rsidRPr="001D49D4">
        <w:rPr>
          <w:rFonts w:ascii="Calibri" w:eastAsia="Calibri" w:hAnsi="Calibri" w:cs="Arial"/>
          <w:vertAlign w:val="superscript"/>
          <w:rtl/>
        </w:rPr>
        <w:footnoteReference w:id="5462"/>
      </w:r>
      <w:r w:rsidRPr="001D49D4">
        <w:rPr>
          <w:rFonts w:ascii="Calibri" w:eastAsia="Calibri" w:hAnsi="Calibri" w:cs="Arial"/>
          <w:rtl/>
        </w:rPr>
        <w:t xml:space="preserve">- קיי"ל כלשון אחרון שאמרו תני חוץ מכגיטי נשים שרוצה לומר שכל שטר שהוא כגט </w:t>
      </w:r>
      <w:r w:rsidRPr="001D49D4">
        <w:rPr>
          <w:rFonts w:ascii="Calibri" w:eastAsia="Calibri" w:hAnsi="Calibri" w:cs="Arial"/>
          <w:sz w:val="16"/>
          <w:szCs w:val="16"/>
          <w:rtl/>
        </w:rPr>
        <w:t>(שהשטר הוא שטר הקנאה ושעבוד)</w:t>
      </w:r>
      <w:r w:rsidRPr="001D49D4">
        <w:rPr>
          <w:rFonts w:ascii="Calibri" w:eastAsia="Calibri" w:hAnsi="Calibri" w:cs="Arial"/>
          <w:rtl/>
        </w:rPr>
        <w:t xml:space="preserve"> - אינו מועיל כלל</w:t>
      </w:r>
      <w:r w:rsidRPr="001D49D4">
        <w:rPr>
          <w:rFonts w:ascii="Calibri" w:eastAsia="Calibri" w:hAnsi="Calibri" w:cs="Arial"/>
          <w:sz w:val="16"/>
          <w:szCs w:val="16"/>
          <w:rtl/>
        </w:rPr>
        <w:t xml:space="preserve"> (ל' הה"מ בשם הרמב"ם והגאונים)</w:t>
      </w:r>
      <w:r w:rsidRPr="001D49D4">
        <w:rPr>
          <w:rFonts w:ascii="Calibri" w:eastAsia="Calibri" w:hAnsi="Calibri" w:cs="Arial"/>
          <w:vertAlign w:val="superscript"/>
          <w:rtl/>
        </w:rPr>
        <w:footnoteReference w:id="5463"/>
      </w:r>
      <w:r w:rsidRPr="001D49D4">
        <w:rPr>
          <w:rFonts w:ascii="Calibri" w:eastAsia="Calibri" w:hAnsi="Calibri" w:cs="Arial"/>
          <w:rtl/>
        </w:rPr>
        <w:t xml:space="preserve">. </w:t>
      </w:r>
      <w:r w:rsidRPr="001D49D4">
        <w:rPr>
          <w:rFonts w:ascii="Calibri" w:eastAsia="Calibri" w:hAnsi="Calibri" w:cs="Arial"/>
          <w:color w:val="E36C0A" w:themeColor="accent6" w:themeShade="BF"/>
          <w:rtl/>
        </w:rPr>
        <w:t>(וכ"פ בשו"ע)</w:t>
      </w:r>
    </w:p>
    <w:p w14:paraId="3896E039" w14:textId="77777777" w:rsidR="001D49D4" w:rsidRPr="001D49D4" w:rsidRDefault="001D49D4" w:rsidP="0004348D">
      <w:pPr>
        <w:numPr>
          <w:ilvl w:val="0"/>
          <w:numId w:val="352"/>
        </w:numPr>
        <w:spacing w:before="360" w:after="240"/>
        <w:contextualSpacing/>
        <w:rPr>
          <w:rFonts w:ascii="Calibri" w:eastAsia="Calibri" w:hAnsi="Calibri" w:cs="Arial"/>
        </w:rPr>
      </w:pPr>
      <w:r w:rsidRPr="001D49D4">
        <w:rPr>
          <w:rFonts w:ascii="Calibri" w:eastAsia="Calibri" w:hAnsi="Calibri" w:cs="Arial"/>
          <w:rtl/>
        </w:rPr>
        <w:t>בהעי"ט רמב"ן רא"ש</w:t>
      </w:r>
      <w:r w:rsidRPr="001D49D4">
        <w:rPr>
          <w:rFonts w:ascii="Calibri" w:eastAsia="Calibri" w:hAnsi="Calibri" w:cs="Arial"/>
          <w:vertAlign w:val="superscript"/>
          <w:rtl/>
        </w:rPr>
        <w:footnoteReference w:id="5464"/>
      </w:r>
      <w:r w:rsidRPr="001D49D4">
        <w:rPr>
          <w:rFonts w:ascii="Calibri" w:eastAsia="Calibri" w:hAnsi="Calibri" w:cs="Arial"/>
          <w:rtl/>
        </w:rPr>
        <w:t xml:space="preserve"> טור ור"ן</w:t>
      </w:r>
      <w:r w:rsidRPr="001D49D4">
        <w:rPr>
          <w:rFonts w:ascii="Calibri" w:eastAsia="Calibri" w:hAnsi="Calibri" w:cs="Arial"/>
          <w:vertAlign w:val="superscript"/>
          <w:rtl/>
        </w:rPr>
        <w:footnoteReference w:id="5465"/>
      </w:r>
      <w:r w:rsidRPr="001D49D4">
        <w:rPr>
          <w:rFonts w:ascii="Calibri" w:eastAsia="Calibri" w:hAnsi="Calibri" w:cs="Arial"/>
          <w:rtl/>
        </w:rPr>
        <w:t xml:space="preserve">- </w:t>
      </w:r>
      <w:r w:rsidRPr="001D49D4">
        <w:rPr>
          <w:rFonts w:ascii="Calibri" w:eastAsia="Calibri" w:hAnsi="Calibri" w:cs="Arial"/>
          <w:vertAlign w:val="superscript"/>
          <w:rtl/>
        </w:rPr>
        <w:footnoteReference w:id="5466"/>
      </w:r>
      <w:r w:rsidRPr="001D49D4">
        <w:rPr>
          <w:rFonts w:ascii="Calibri" w:eastAsia="Calibri" w:hAnsi="Calibri" w:cs="Arial"/>
          <w:rtl/>
        </w:rPr>
        <w:t>ואי בעית אימא לא פליג אלישנא קמא, אלא הכי קאמר מתניתין - אפילו בדליכא הורמנא דמלכא אערכאות אלא אינהו קיימי מנפשייהו אפ"ה קתני מתניתין דכשרין, ותני חוץ מכגיטי נשים, והוא הדין לשטר מתנה דדמי להו, שבשניהם הדבר מתקיים בשטר בלבד. ומיהו היכא דאיכא הורמנא דמלכא כל השטרות העולים בערכאות שלהם כשרים ואפילו שטרי מתנה</w:t>
      </w:r>
      <w:r w:rsidRPr="001D49D4">
        <w:rPr>
          <w:rFonts w:ascii="Calibri" w:eastAsia="Calibri" w:hAnsi="Calibri" w:cs="Arial"/>
          <w:sz w:val="16"/>
          <w:szCs w:val="16"/>
          <w:rtl/>
        </w:rPr>
        <w:t xml:space="preserve"> (ל' הר"ן)</w:t>
      </w:r>
      <w:r w:rsidRPr="001D49D4">
        <w:rPr>
          <w:rFonts w:ascii="Calibri" w:eastAsia="Calibri" w:hAnsi="Calibri" w:cs="Arial"/>
          <w:rtl/>
        </w:rPr>
        <w:t xml:space="preserve">. </w:t>
      </w:r>
      <w:r w:rsidRPr="001D49D4">
        <w:rPr>
          <w:rFonts w:ascii="Calibri" w:eastAsia="Calibri" w:hAnsi="Calibri" w:cs="Arial"/>
          <w:color w:val="00B0F0"/>
          <w:rtl/>
        </w:rPr>
        <w:t>(וכ"פ הרמ"א)</w:t>
      </w:r>
    </w:p>
    <w:p w14:paraId="0F24BFAE" w14:textId="77777777" w:rsidR="001D49D4" w:rsidRPr="001D49D4" w:rsidRDefault="001D49D4" w:rsidP="0004348D">
      <w:pPr>
        <w:spacing w:before="360" w:after="240"/>
        <w:rPr>
          <w:rFonts w:ascii="Calibri" w:eastAsia="Calibri" w:hAnsi="Calibri" w:cs="Arial"/>
          <w:u w:val="dotted"/>
        </w:rPr>
      </w:pPr>
      <w:r w:rsidRPr="001D49D4">
        <w:rPr>
          <w:rFonts w:ascii="Calibri" w:eastAsia="Calibri" w:hAnsi="Calibri" w:cs="Arial"/>
          <w:u w:val="single"/>
          <w:rtl/>
        </w:rPr>
        <w:t>למעשה, מה הדין בשטרות שנעשו בערכאות של גוים במקרים הבאים:</w:t>
      </w:r>
    </w:p>
    <w:p w14:paraId="0FDA28F1" w14:textId="77777777" w:rsidR="001D49D4" w:rsidRPr="001D49D4" w:rsidRDefault="001D49D4" w:rsidP="0004348D">
      <w:pPr>
        <w:spacing w:before="360" w:after="240"/>
        <w:rPr>
          <w:rFonts w:ascii="Calibri" w:eastAsia="Calibri" w:hAnsi="Calibri" w:cs="Arial"/>
          <w:u w:val="dotted"/>
          <w:rtl/>
        </w:rPr>
      </w:pPr>
      <w:r w:rsidRPr="001D49D4">
        <w:rPr>
          <w:rFonts w:ascii="Calibri" w:eastAsia="Calibri" w:hAnsi="Calibri" w:cs="Arial"/>
          <w:u w:val="dotted"/>
          <w:rtl/>
        </w:rPr>
        <w:t xml:space="preserve">שטרי מתנות </w:t>
      </w:r>
      <w:r w:rsidRPr="001D49D4">
        <w:rPr>
          <w:rFonts w:ascii="Calibri" w:eastAsia="Calibri" w:hAnsi="Calibri" w:cs="Arial"/>
          <w:sz w:val="16"/>
          <w:szCs w:val="16"/>
          <w:u w:val="dotted"/>
          <w:rtl/>
        </w:rPr>
        <w:t>(שהשטר הוא שטר הקנאה ושעבוד)</w:t>
      </w:r>
      <w:r w:rsidRPr="001D49D4">
        <w:rPr>
          <w:rFonts w:ascii="Calibri" w:eastAsia="Calibri" w:hAnsi="Calibri" w:cs="Arial"/>
          <w:u w:val="dotted"/>
          <w:rtl/>
        </w:rPr>
        <w:t>:</w:t>
      </w:r>
    </w:p>
    <w:p w14:paraId="3F6157E7" w14:textId="77777777" w:rsidR="001D49D4" w:rsidRPr="001D49D4" w:rsidRDefault="001D49D4" w:rsidP="0004348D">
      <w:pPr>
        <w:numPr>
          <w:ilvl w:val="0"/>
          <w:numId w:val="352"/>
        </w:numPr>
        <w:spacing w:before="360" w:after="240"/>
        <w:contextualSpacing/>
        <w:rPr>
          <w:rFonts w:ascii="Calibri" w:eastAsia="Calibri" w:hAnsi="Calibri" w:cs="Arial"/>
        </w:rPr>
      </w:pPr>
      <w:r w:rsidRPr="001D49D4">
        <w:rPr>
          <w:rFonts w:ascii="Calibri" w:eastAsia="Calibri" w:hAnsi="Calibri" w:cs="Arial"/>
          <w:rtl/>
        </w:rPr>
        <w:t>רמב"ם רמב"ן רשב"א רא"ש טור ור"ן</w:t>
      </w:r>
      <w:r w:rsidRPr="001D49D4">
        <w:rPr>
          <w:rFonts w:ascii="Calibri" w:eastAsia="Calibri" w:hAnsi="Calibri" w:cs="Arial"/>
          <w:vertAlign w:val="superscript"/>
          <w:rtl/>
        </w:rPr>
        <w:footnoteReference w:id="5467"/>
      </w:r>
      <w:r w:rsidRPr="001D49D4">
        <w:rPr>
          <w:rFonts w:ascii="Calibri" w:eastAsia="Calibri" w:hAnsi="Calibri" w:cs="Arial"/>
          <w:rtl/>
        </w:rPr>
        <w:t xml:space="preserve">- שטרי מתנות כגון 'שדי נתונה לך' שעיקר הקנין נעשה ע"י השטר והם חתומים בו שנעשו בערכאותם - אינו כלום. </w:t>
      </w:r>
      <w:r w:rsidRPr="001D49D4">
        <w:rPr>
          <w:rFonts w:ascii="Calibri" w:eastAsia="Calibri" w:hAnsi="Calibri" w:cs="Arial"/>
          <w:color w:val="E36C0A" w:themeColor="accent6" w:themeShade="BF"/>
          <w:rtl/>
        </w:rPr>
        <w:t>(וכ"פ בשו"ע)</w:t>
      </w:r>
    </w:p>
    <w:p w14:paraId="14761528" w14:textId="77777777" w:rsidR="001D49D4" w:rsidRPr="001D49D4" w:rsidRDefault="001D49D4" w:rsidP="0004348D">
      <w:pPr>
        <w:spacing w:before="360" w:after="240"/>
        <w:rPr>
          <w:rFonts w:ascii="Calibri" w:eastAsia="Calibri" w:hAnsi="Calibri" w:cs="Arial"/>
        </w:rPr>
      </w:pPr>
      <w:r w:rsidRPr="001D49D4">
        <w:rPr>
          <w:rFonts w:ascii="Calibri" w:eastAsia="Calibri" w:hAnsi="Calibri" w:cs="Arial"/>
          <w:u w:val="dotted"/>
          <w:rtl/>
        </w:rPr>
        <w:t>שטרי הודאות/מחילות/פשרות</w:t>
      </w:r>
      <w:r w:rsidRPr="001D49D4">
        <w:rPr>
          <w:rFonts w:ascii="Calibri" w:eastAsia="Calibri" w:hAnsi="Calibri" w:cs="Arial"/>
          <w:sz w:val="16"/>
          <w:szCs w:val="16"/>
          <w:u w:val="dotted"/>
          <w:rtl/>
        </w:rPr>
        <w:t xml:space="preserve"> (שהשטר הוא שטר ראיה)</w:t>
      </w:r>
      <w:r w:rsidRPr="001D49D4">
        <w:rPr>
          <w:rFonts w:ascii="Calibri" w:eastAsia="Calibri" w:hAnsi="Calibri" w:cs="Arial"/>
          <w:u w:val="dotted"/>
          <w:rtl/>
        </w:rPr>
        <w:t>:</w:t>
      </w:r>
    </w:p>
    <w:p w14:paraId="11166A03" w14:textId="77777777" w:rsidR="001D49D4" w:rsidRPr="001D49D4" w:rsidRDefault="001D49D4" w:rsidP="0004348D">
      <w:pPr>
        <w:numPr>
          <w:ilvl w:val="0"/>
          <w:numId w:val="352"/>
        </w:numPr>
        <w:spacing w:before="360" w:after="240"/>
        <w:contextualSpacing/>
        <w:rPr>
          <w:rFonts w:ascii="Calibri" w:eastAsia="Calibri" w:hAnsi="Calibri" w:cs="Arial"/>
        </w:rPr>
      </w:pPr>
      <w:r w:rsidRPr="001D49D4">
        <w:rPr>
          <w:rFonts w:ascii="Calibri" w:eastAsia="Calibri" w:hAnsi="Calibri" w:cs="Arial"/>
          <w:rtl/>
        </w:rPr>
        <w:t xml:space="preserve">רמב"ם </w:t>
      </w:r>
      <w:r w:rsidRPr="001D49D4">
        <w:rPr>
          <w:rFonts w:ascii="Calibri" w:eastAsia="Calibri" w:hAnsi="Calibri" w:cs="Arial"/>
          <w:sz w:val="16"/>
          <w:szCs w:val="16"/>
          <w:rtl/>
        </w:rPr>
        <w:t>(פכ"ז ממלוה ה"א)</w:t>
      </w:r>
      <w:r w:rsidRPr="001D49D4">
        <w:rPr>
          <w:rFonts w:ascii="Calibri" w:eastAsia="Calibri" w:hAnsi="Calibri" w:cs="Arial"/>
          <w:rtl/>
        </w:rPr>
        <w:t xml:space="preserve">- וכן </w:t>
      </w:r>
      <w:r w:rsidRPr="001D49D4">
        <w:rPr>
          <w:rFonts w:ascii="Calibri" w:eastAsia="Calibri" w:hAnsi="Calibri" w:cs="Arial"/>
          <w:vertAlign w:val="superscript"/>
          <w:rtl/>
        </w:rPr>
        <w:footnoteReference w:id="5468"/>
      </w:r>
      <w:r w:rsidRPr="001D49D4">
        <w:rPr>
          <w:rFonts w:ascii="Calibri" w:eastAsia="Calibri" w:hAnsi="Calibri" w:cs="Arial"/>
          <w:rtl/>
        </w:rPr>
        <w:t>שטרי הודאות ומתנות ופשרות ומחילות שהן בעדים שלהן אע"פ שיש בהן כל הדברים שמנינו</w:t>
      </w:r>
      <w:r w:rsidRPr="001D49D4">
        <w:rPr>
          <w:rFonts w:ascii="Calibri" w:eastAsia="Calibri" w:hAnsi="Calibri" w:cs="Arial"/>
          <w:vertAlign w:val="superscript"/>
          <w:rtl/>
        </w:rPr>
        <w:footnoteReference w:id="5469"/>
      </w:r>
      <w:r w:rsidRPr="001D49D4">
        <w:rPr>
          <w:rFonts w:ascii="Calibri" w:eastAsia="Calibri" w:hAnsi="Calibri" w:cs="Arial"/>
          <w:rtl/>
        </w:rPr>
        <w:t xml:space="preserve"> - הרי הן כחרסים</w:t>
      </w:r>
      <w:r w:rsidRPr="001D49D4">
        <w:rPr>
          <w:rFonts w:ascii="Calibri" w:eastAsia="Calibri" w:hAnsi="Calibri" w:cs="Arial"/>
          <w:vertAlign w:val="superscript"/>
          <w:rtl/>
        </w:rPr>
        <w:footnoteReference w:id="5470"/>
      </w:r>
      <w:r w:rsidRPr="001D49D4">
        <w:rPr>
          <w:rFonts w:ascii="Calibri" w:eastAsia="Calibri" w:hAnsi="Calibri" w:cs="Arial"/>
          <w:rtl/>
        </w:rPr>
        <w:t xml:space="preserve">. </w:t>
      </w:r>
    </w:p>
    <w:p w14:paraId="23EDBDB3" w14:textId="77777777" w:rsidR="001D49D4" w:rsidRPr="001D49D4" w:rsidRDefault="001D49D4" w:rsidP="0004348D">
      <w:pPr>
        <w:numPr>
          <w:ilvl w:val="0"/>
          <w:numId w:val="352"/>
        </w:numPr>
        <w:spacing w:before="360" w:after="240"/>
        <w:contextualSpacing/>
        <w:rPr>
          <w:rFonts w:ascii="Calibri" w:eastAsia="Calibri" w:hAnsi="Calibri" w:cs="Arial"/>
        </w:rPr>
      </w:pPr>
      <w:r w:rsidRPr="001D49D4">
        <w:rPr>
          <w:rFonts w:ascii="Calibri" w:eastAsia="Calibri" w:hAnsi="Calibri" w:cs="Arial"/>
          <w:rtl/>
        </w:rPr>
        <w:t xml:space="preserve">רא"ש </w:t>
      </w:r>
      <w:r w:rsidRPr="001D49D4">
        <w:rPr>
          <w:rFonts w:ascii="Calibri" w:eastAsia="Calibri" w:hAnsi="Calibri" w:cs="Arial"/>
          <w:sz w:val="16"/>
          <w:szCs w:val="16"/>
          <w:rtl/>
        </w:rPr>
        <w:t xml:space="preserve">(סי' י-יא) </w:t>
      </w:r>
      <w:r w:rsidRPr="001D49D4">
        <w:rPr>
          <w:rFonts w:ascii="Calibri" w:eastAsia="Calibri" w:hAnsi="Calibri" w:cs="Arial"/>
          <w:rtl/>
        </w:rPr>
        <w:t>וטור- שטרי הודאות שפלוני הודה לפלוני שהוא חייב לו, או שטרי מחילות, או פשרות, שנעשו בערכאותם - אינו כלום, אפילו אם נמסרו בפני עדי ישראל</w:t>
      </w:r>
      <w:r w:rsidRPr="001D49D4">
        <w:rPr>
          <w:rFonts w:ascii="Calibri" w:eastAsia="Calibri" w:hAnsi="Calibri" w:cs="Arial"/>
          <w:vertAlign w:val="superscript"/>
          <w:rtl/>
        </w:rPr>
        <w:footnoteReference w:id="5471"/>
      </w:r>
      <w:r w:rsidRPr="001D49D4">
        <w:rPr>
          <w:rFonts w:ascii="Calibri" w:eastAsia="Calibri" w:hAnsi="Calibri" w:cs="Arial"/>
          <w:rtl/>
        </w:rPr>
        <w:t xml:space="preserve">. </w:t>
      </w:r>
    </w:p>
    <w:p w14:paraId="72932FE0" w14:textId="77777777" w:rsidR="001D49D4" w:rsidRPr="001D49D4" w:rsidRDefault="001D49D4" w:rsidP="0004348D">
      <w:pPr>
        <w:numPr>
          <w:ilvl w:val="0"/>
          <w:numId w:val="352"/>
        </w:numPr>
        <w:spacing w:before="360" w:after="240"/>
        <w:contextualSpacing/>
        <w:rPr>
          <w:rFonts w:ascii="Calibri" w:eastAsia="Calibri" w:hAnsi="Calibri" w:cs="Arial"/>
        </w:rPr>
      </w:pPr>
      <w:r w:rsidRPr="001D49D4">
        <w:rPr>
          <w:rFonts w:ascii="Calibri" w:eastAsia="Calibri" w:hAnsi="Calibri" w:cs="Arial"/>
          <w:rtl/>
        </w:rPr>
        <w:t xml:space="preserve">רשב"א </w:t>
      </w:r>
      <w:r w:rsidRPr="001D49D4">
        <w:rPr>
          <w:rFonts w:ascii="Calibri" w:eastAsia="Calibri" w:hAnsi="Calibri" w:cs="Arial"/>
          <w:sz w:val="16"/>
          <w:szCs w:val="16"/>
          <w:rtl/>
        </w:rPr>
        <w:t>(שו"ת החדשות סי' רנו)</w:t>
      </w:r>
      <w:r w:rsidRPr="001D49D4">
        <w:rPr>
          <w:rFonts w:ascii="Calibri" w:eastAsia="Calibri" w:hAnsi="Calibri" w:cs="Arial"/>
          <w:rtl/>
        </w:rPr>
        <w:t>- תחלת כל דבר אומר אני, שכל השטרות של מקח וממכר והודאות</w:t>
      </w:r>
      <w:r w:rsidRPr="001D49D4">
        <w:rPr>
          <w:rFonts w:ascii="Calibri" w:eastAsia="Calibri" w:hAnsi="Calibri" w:cs="Arial"/>
          <w:vertAlign w:val="superscript"/>
          <w:rtl/>
        </w:rPr>
        <w:footnoteReference w:id="5472"/>
      </w:r>
      <w:r w:rsidRPr="001D49D4">
        <w:rPr>
          <w:rFonts w:ascii="Calibri" w:eastAsia="Calibri" w:hAnsi="Calibri" w:cs="Arial"/>
          <w:rtl/>
        </w:rPr>
        <w:t xml:space="preserve"> והלואות העולות בערכאות של גוים, לפי דעתי ולפי דעת רבותי נוחי נפש - כלם כשרים מן הדין. לפי שכל שטר שאינו אלא לראיה ולדעת אמתת הענין - סומכין בעדות זו על הערכאות, משום דחזקה לא מרעי נפשיהו לשקורי, ולולי שראו כשמנה זה מעות לחברו בפניו לא היה כותב כן</w:t>
      </w:r>
      <w:r w:rsidRPr="001D49D4">
        <w:rPr>
          <w:rFonts w:ascii="Calibri" w:eastAsia="Calibri" w:hAnsi="Calibri" w:cs="Arial"/>
          <w:vertAlign w:val="superscript"/>
          <w:rtl/>
        </w:rPr>
        <w:footnoteReference w:id="5473"/>
      </w:r>
      <w:r w:rsidRPr="001D49D4">
        <w:rPr>
          <w:rFonts w:ascii="Calibri" w:eastAsia="Calibri" w:hAnsi="Calibri" w:cs="Arial"/>
          <w:rtl/>
        </w:rPr>
        <w:t xml:space="preserve">. </w:t>
      </w:r>
      <w:r w:rsidRPr="001D49D4">
        <w:rPr>
          <w:rFonts w:ascii="Calibri" w:eastAsia="Calibri" w:hAnsi="Calibri" w:cs="Arial"/>
          <w:color w:val="00B0F0"/>
          <w:rtl/>
        </w:rPr>
        <w:t>(וכ"כ הרמ"א)</w:t>
      </w:r>
    </w:p>
    <w:p w14:paraId="13A098E4" w14:textId="77777777" w:rsidR="001D49D4" w:rsidRPr="001D49D4" w:rsidRDefault="001D49D4" w:rsidP="0004348D">
      <w:pPr>
        <w:spacing w:before="360" w:after="240"/>
        <w:rPr>
          <w:rFonts w:ascii="Calibri" w:eastAsia="Calibri" w:hAnsi="Calibri" w:cs="Arial"/>
          <w:u w:val="wave"/>
        </w:rPr>
      </w:pPr>
      <w:r w:rsidRPr="001D49D4">
        <w:rPr>
          <w:rFonts w:ascii="Calibri" w:eastAsia="Calibri" w:hAnsi="Calibri" w:cs="Arial"/>
          <w:u w:val="wave"/>
          <w:rtl/>
        </w:rPr>
        <w:t>ומה הדין בשטרות אלו היכא דאיכא הורמנא דמלכא:</w:t>
      </w:r>
    </w:p>
    <w:p w14:paraId="131627B1" w14:textId="77777777" w:rsidR="001D49D4" w:rsidRPr="001D49D4" w:rsidRDefault="001D49D4" w:rsidP="0004348D">
      <w:pPr>
        <w:numPr>
          <w:ilvl w:val="0"/>
          <w:numId w:val="352"/>
        </w:numPr>
        <w:spacing w:before="360" w:after="240"/>
        <w:contextualSpacing/>
        <w:rPr>
          <w:rFonts w:ascii="Calibri" w:eastAsia="Calibri" w:hAnsi="Calibri" w:cs="Arial"/>
        </w:rPr>
      </w:pPr>
      <w:r w:rsidRPr="001D49D4">
        <w:rPr>
          <w:rFonts w:ascii="Calibri" w:eastAsia="Calibri" w:hAnsi="Calibri" w:cs="Arial"/>
          <w:rtl/>
        </w:rPr>
        <w:t>בהעי"ט רמב"ן רשב"א רא"ש טור ור"ן</w:t>
      </w:r>
      <w:r w:rsidRPr="001D49D4">
        <w:rPr>
          <w:rFonts w:ascii="Calibri" w:eastAsia="Calibri" w:hAnsi="Calibri" w:cs="Arial"/>
          <w:vertAlign w:val="superscript"/>
          <w:rtl/>
        </w:rPr>
        <w:footnoteReference w:id="5474"/>
      </w:r>
      <w:r w:rsidRPr="001D49D4">
        <w:rPr>
          <w:rFonts w:ascii="Calibri" w:eastAsia="Calibri" w:hAnsi="Calibri" w:cs="Arial"/>
          <w:rtl/>
        </w:rPr>
        <w:t>- אם הנהיג המלך שלא יעשה שום שטר אלא בפני הערכאות - אז היו כל שטרות הנעשים בערכאות כשרים</w:t>
      </w:r>
      <w:r w:rsidRPr="001D49D4">
        <w:rPr>
          <w:rFonts w:ascii="Calibri" w:eastAsia="Calibri" w:hAnsi="Calibri" w:cs="Arial"/>
          <w:vertAlign w:val="superscript"/>
          <w:rtl/>
        </w:rPr>
        <w:footnoteReference w:id="5475"/>
      </w:r>
      <w:r w:rsidRPr="001D49D4">
        <w:rPr>
          <w:rFonts w:ascii="Calibri" w:eastAsia="Calibri" w:hAnsi="Calibri" w:cs="Arial"/>
          <w:rtl/>
        </w:rPr>
        <w:t>, אפילו שטרי מתנות והודאות משום דינא דמלכותא</w:t>
      </w:r>
      <w:r w:rsidRPr="001D49D4">
        <w:rPr>
          <w:rFonts w:ascii="Calibri" w:eastAsia="Calibri" w:hAnsi="Calibri" w:cs="Arial"/>
          <w:vertAlign w:val="superscript"/>
          <w:rtl/>
        </w:rPr>
        <w:footnoteReference w:id="5476"/>
      </w:r>
      <w:r w:rsidRPr="001D49D4">
        <w:rPr>
          <w:rFonts w:ascii="Calibri" w:eastAsia="Calibri" w:hAnsi="Calibri" w:cs="Arial"/>
          <w:rtl/>
        </w:rPr>
        <w:t xml:space="preserve"> </w:t>
      </w:r>
      <w:r w:rsidRPr="001D49D4">
        <w:rPr>
          <w:rFonts w:ascii="Calibri" w:eastAsia="Calibri" w:hAnsi="Calibri" w:cs="Arial"/>
          <w:sz w:val="16"/>
          <w:szCs w:val="16"/>
          <w:rtl/>
        </w:rPr>
        <w:t>(ל' הטור)</w:t>
      </w:r>
      <w:r w:rsidRPr="001D49D4">
        <w:rPr>
          <w:rFonts w:ascii="Calibri" w:eastAsia="Calibri" w:hAnsi="Calibri" w:cs="Arial"/>
          <w:rtl/>
        </w:rPr>
        <w:t>.</w:t>
      </w:r>
      <w:r w:rsidRPr="001D49D4">
        <w:rPr>
          <w:rFonts w:ascii="Calibri" w:eastAsia="Calibri" w:hAnsi="Calibri" w:cs="Arial"/>
          <w:color w:val="00B0F0"/>
          <w:rtl/>
        </w:rPr>
        <w:t xml:space="preserve"> (וכ"פ הרמ"א)</w:t>
      </w:r>
    </w:p>
    <w:p w14:paraId="53FD6201" w14:textId="77777777" w:rsidR="001D49D4" w:rsidRPr="001D49D4" w:rsidRDefault="001D49D4" w:rsidP="0004348D">
      <w:pPr>
        <w:numPr>
          <w:ilvl w:val="0"/>
          <w:numId w:val="352"/>
        </w:numPr>
        <w:spacing w:before="360" w:after="240"/>
        <w:contextualSpacing/>
        <w:rPr>
          <w:rFonts w:ascii="Calibri" w:eastAsia="Calibri" w:hAnsi="Calibri" w:cs="Arial"/>
        </w:rPr>
      </w:pPr>
      <w:r w:rsidRPr="001D49D4">
        <w:rPr>
          <w:rFonts w:ascii="Calibri" w:eastAsia="Calibri" w:hAnsi="Calibri" w:cs="Arial"/>
          <w:rtl/>
        </w:rPr>
        <w:t>רמב"ם</w:t>
      </w:r>
      <w:r w:rsidRPr="001D49D4">
        <w:rPr>
          <w:rFonts w:ascii="Calibri" w:eastAsia="Calibri" w:hAnsi="Calibri" w:cs="Arial"/>
          <w:sz w:val="16"/>
          <w:szCs w:val="16"/>
          <w:rtl/>
        </w:rPr>
        <w:t xml:space="preserve"> (שם)</w:t>
      </w:r>
      <w:r w:rsidRPr="001D49D4">
        <w:rPr>
          <w:rFonts w:ascii="Calibri" w:eastAsia="Calibri" w:hAnsi="Calibri" w:cs="Arial"/>
          <w:rtl/>
        </w:rPr>
        <w:t>- הורמנא דמלכא לא מעלה ולא מוריד.</w:t>
      </w:r>
    </w:p>
    <w:p w14:paraId="3AA59CC0" w14:textId="77777777" w:rsidR="001D49D4" w:rsidRPr="001D49D4" w:rsidRDefault="001D49D4" w:rsidP="0004348D">
      <w:pPr>
        <w:spacing w:before="360" w:after="240"/>
        <w:rPr>
          <w:rFonts w:ascii="Calibri" w:eastAsia="Calibri" w:hAnsi="Calibri" w:cs="Arial"/>
          <w:u w:val="dotted"/>
        </w:rPr>
      </w:pPr>
      <w:r w:rsidRPr="001D49D4">
        <w:rPr>
          <w:rFonts w:ascii="Calibri" w:eastAsia="Calibri" w:hAnsi="Calibri" w:cs="Arial"/>
          <w:u w:val="dotted"/>
          <w:rtl/>
        </w:rPr>
        <w:t>שטרי חוב</w:t>
      </w:r>
      <w:r w:rsidRPr="001D49D4">
        <w:rPr>
          <w:rFonts w:ascii="Calibri" w:eastAsia="Calibri" w:hAnsi="Calibri" w:cs="Arial"/>
          <w:sz w:val="16"/>
          <w:szCs w:val="16"/>
          <w:u w:val="dotted"/>
          <w:rtl/>
        </w:rPr>
        <w:t xml:space="preserve"> (שטרי הלוואות)</w:t>
      </w:r>
      <w:r w:rsidRPr="001D49D4">
        <w:rPr>
          <w:rFonts w:ascii="Calibri" w:eastAsia="Calibri" w:hAnsi="Calibri" w:cs="Arial"/>
          <w:u w:val="dotted"/>
          <w:rtl/>
        </w:rPr>
        <w:t>:</w:t>
      </w:r>
    </w:p>
    <w:p w14:paraId="7E7B4A29" w14:textId="77777777" w:rsidR="001D49D4" w:rsidRPr="001D49D4" w:rsidRDefault="001D49D4" w:rsidP="0004348D">
      <w:pPr>
        <w:numPr>
          <w:ilvl w:val="0"/>
          <w:numId w:val="352"/>
        </w:numPr>
        <w:spacing w:before="360" w:after="240"/>
        <w:contextualSpacing/>
        <w:rPr>
          <w:rFonts w:ascii="Calibri" w:eastAsia="Calibri" w:hAnsi="Calibri" w:cs="Arial"/>
        </w:rPr>
      </w:pPr>
      <w:r w:rsidRPr="001D49D4">
        <w:rPr>
          <w:rFonts w:ascii="Calibri" w:eastAsia="Calibri" w:hAnsi="Calibri" w:cs="Arial"/>
          <w:rtl/>
        </w:rPr>
        <w:t xml:space="preserve">רמב"ם </w:t>
      </w:r>
      <w:r w:rsidRPr="001D49D4">
        <w:rPr>
          <w:rFonts w:ascii="Calibri" w:eastAsia="Calibri" w:hAnsi="Calibri" w:cs="Arial"/>
          <w:sz w:val="16"/>
          <w:szCs w:val="16"/>
          <w:rtl/>
        </w:rPr>
        <w:t>(שם)</w:t>
      </w:r>
      <w:r w:rsidRPr="001D49D4">
        <w:rPr>
          <w:rFonts w:ascii="Calibri" w:eastAsia="Calibri" w:hAnsi="Calibri" w:cs="Arial"/>
          <w:rtl/>
        </w:rPr>
        <w:t>- כל השטרות שחותמיהן גוים הרי אלו פסולין חוץ משטרי מקח וממכר ושטרי חוב, והוא שיתן המעות בפניהם</w:t>
      </w:r>
      <w:r w:rsidRPr="001D49D4">
        <w:rPr>
          <w:rFonts w:ascii="Calibri" w:eastAsia="Calibri" w:hAnsi="Calibri" w:cs="Arial"/>
          <w:vertAlign w:val="superscript"/>
          <w:rtl/>
        </w:rPr>
        <w:footnoteReference w:id="5477"/>
      </w:r>
      <w:r w:rsidRPr="001D49D4">
        <w:rPr>
          <w:rFonts w:ascii="Calibri" w:eastAsia="Calibri" w:hAnsi="Calibri" w:cs="Arial"/>
          <w:rtl/>
        </w:rPr>
        <w:t xml:space="preserve"> ויכתבו בשטר 'לפנינו מנה פלוני לפלוני כך וכך דמי המכר' או 'מעות החוב'... והורו רבותי שאפילו שטרי חוב שלהן שנתנו המעות בפניהם - פסולין, ולא הכשירו אלא שטרי מקח וממכר שנתנו המעות בפניהם. ואין אני מודה בזה</w:t>
      </w:r>
      <w:r w:rsidRPr="001D49D4">
        <w:rPr>
          <w:rFonts w:ascii="Calibri" w:eastAsia="Calibri" w:hAnsi="Calibri" w:cs="Arial"/>
          <w:sz w:val="16"/>
          <w:szCs w:val="16"/>
          <w:rtl/>
        </w:rPr>
        <w:t xml:space="preserve"> (ל' הרמב"ם)</w:t>
      </w:r>
      <w:r w:rsidRPr="001D49D4">
        <w:rPr>
          <w:rFonts w:ascii="Calibri" w:eastAsia="Calibri" w:hAnsi="Calibri" w:cs="Arial"/>
          <w:vertAlign w:val="superscript"/>
          <w:rtl/>
        </w:rPr>
        <w:footnoteReference w:id="5478"/>
      </w:r>
      <w:r w:rsidRPr="001D49D4">
        <w:rPr>
          <w:rFonts w:ascii="Calibri" w:eastAsia="Calibri" w:hAnsi="Calibri" w:cs="Arial"/>
          <w:rtl/>
        </w:rPr>
        <w:t xml:space="preserve">. </w:t>
      </w:r>
    </w:p>
    <w:p w14:paraId="5AD913FC" w14:textId="77777777" w:rsidR="001D49D4" w:rsidRPr="001D49D4" w:rsidRDefault="001D49D4" w:rsidP="0004348D">
      <w:pPr>
        <w:numPr>
          <w:ilvl w:val="0"/>
          <w:numId w:val="352"/>
        </w:numPr>
        <w:spacing w:before="360" w:after="240"/>
        <w:contextualSpacing/>
        <w:rPr>
          <w:rFonts w:ascii="Calibri" w:eastAsia="Calibri" w:hAnsi="Calibri" w:cs="Arial"/>
        </w:rPr>
      </w:pPr>
      <w:r w:rsidRPr="001D49D4">
        <w:rPr>
          <w:rFonts w:ascii="Calibri" w:eastAsia="Calibri" w:hAnsi="Calibri" w:cs="Arial"/>
          <w:rtl/>
        </w:rPr>
        <w:t xml:space="preserve">ראב"ד </w:t>
      </w:r>
      <w:r w:rsidRPr="001D49D4">
        <w:rPr>
          <w:rFonts w:ascii="Calibri" w:eastAsia="Calibri" w:hAnsi="Calibri" w:cs="Arial"/>
          <w:sz w:val="16"/>
          <w:szCs w:val="16"/>
          <w:rtl/>
        </w:rPr>
        <w:t>(בהשגות שם)</w:t>
      </w:r>
      <w:r w:rsidRPr="001D49D4">
        <w:rPr>
          <w:rFonts w:ascii="Calibri" w:eastAsia="Calibri" w:hAnsi="Calibri" w:cs="Arial"/>
          <w:rtl/>
        </w:rPr>
        <w:t xml:space="preserve">- יפה הורו רבותיו שאפילו היה שט"ח שלהן שנתנו המעות בפניהם - פסולין, שהשטר העולה בערכאות שלהן וחותמיהן גוים אינו גובה ממשועבדים דלית להו קלא, הילכך אפשר שנפרע ולא תבעו. </w:t>
      </w:r>
    </w:p>
    <w:p w14:paraId="54E08595" w14:textId="77777777" w:rsidR="001D49D4" w:rsidRPr="001D49D4" w:rsidRDefault="001D49D4" w:rsidP="0004348D">
      <w:pPr>
        <w:numPr>
          <w:ilvl w:val="1"/>
          <w:numId w:val="352"/>
        </w:numPr>
        <w:spacing w:before="360" w:after="240"/>
        <w:contextualSpacing/>
        <w:rPr>
          <w:rFonts w:ascii="Calibri" w:eastAsia="Calibri" w:hAnsi="Calibri" w:cs="Arial"/>
        </w:rPr>
      </w:pPr>
      <w:r w:rsidRPr="001D49D4">
        <w:rPr>
          <w:rFonts w:ascii="Calibri" w:eastAsia="Calibri" w:hAnsi="Calibri" w:cs="Arial"/>
          <w:rtl/>
        </w:rPr>
        <w:t xml:space="preserve">ב"י- ולענין הלכה נקטינן כהרמב"ם דהא העיטור והרמב"ן והרשב"א והרא"ש </w:t>
      </w:r>
      <w:r w:rsidRPr="001D49D4">
        <w:rPr>
          <w:rFonts w:ascii="Calibri" w:eastAsia="Calibri" w:hAnsi="Calibri" w:cs="Arial"/>
          <w:sz w:val="16"/>
          <w:szCs w:val="16"/>
          <w:rtl/>
        </w:rPr>
        <w:t xml:space="preserve">{והטור} </w:t>
      </w:r>
      <w:r w:rsidRPr="001D49D4">
        <w:rPr>
          <w:rFonts w:ascii="Calibri" w:eastAsia="Calibri" w:hAnsi="Calibri" w:cs="Arial"/>
          <w:rtl/>
        </w:rPr>
        <w:t>והר"ן סברי כוותיה בהא</w:t>
      </w:r>
      <w:r w:rsidRPr="001D49D4">
        <w:rPr>
          <w:rFonts w:ascii="Calibri" w:eastAsia="Calibri" w:hAnsi="Calibri" w:cs="Arial"/>
          <w:vertAlign w:val="superscript"/>
          <w:rtl/>
        </w:rPr>
        <w:footnoteReference w:id="5479"/>
      </w:r>
      <w:r w:rsidRPr="001D49D4">
        <w:rPr>
          <w:rFonts w:ascii="Calibri" w:eastAsia="Calibri" w:hAnsi="Calibri" w:cs="Arial"/>
          <w:rtl/>
        </w:rPr>
        <w:t xml:space="preserve">. </w:t>
      </w:r>
    </w:p>
    <w:p w14:paraId="44719991" w14:textId="77777777" w:rsidR="001D49D4" w:rsidRPr="001D49D4" w:rsidRDefault="001D49D4" w:rsidP="0004348D">
      <w:pPr>
        <w:spacing w:before="360" w:after="240"/>
        <w:rPr>
          <w:rFonts w:ascii="Calibri" w:eastAsia="Calibri" w:hAnsi="Calibri" w:cs="Arial"/>
          <w:u w:val="dotted"/>
        </w:rPr>
      </w:pPr>
      <w:r w:rsidRPr="001D49D4">
        <w:rPr>
          <w:rFonts w:ascii="Calibri" w:eastAsia="Calibri" w:hAnsi="Calibri" w:cs="Arial"/>
          <w:u w:val="dotted"/>
          <w:rtl/>
        </w:rPr>
        <w:t>שטרי הרשאה:</w:t>
      </w:r>
    </w:p>
    <w:p w14:paraId="551D33DB" w14:textId="77777777" w:rsidR="001D49D4" w:rsidRPr="001D49D4" w:rsidRDefault="001D49D4" w:rsidP="0004348D">
      <w:pPr>
        <w:numPr>
          <w:ilvl w:val="0"/>
          <w:numId w:val="352"/>
        </w:numPr>
        <w:spacing w:before="360" w:after="240"/>
        <w:contextualSpacing/>
        <w:rPr>
          <w:rFonts w:ascii="Calibri" w:eastAsia="Calibri" w:hAnsi="Calibri" w:cs="Arial"/>
        </w:rPr>
      </w:pPr>
      <w:r w:rsidRPr="001D49D4">
        <w:rPr>
          <w:rFonts w:ascii="Calibri" w:eastAsia="Calibri" w:hAnsi="Calibri" w:cs="Arial"/>
          <w:rtl/>
        </w:rPr>
        <w:t xml:space="preserve">רשב"א </w:t>
      </w:r>
      <w:r w:rsidRPr="001D49D4">
        <w:rPr>
          <w:rFonts w:ascii="Calibri" w:eastAsia="Calibri" w:hAnsi="Calibri" w:cs="Arial"/>
          <w:sz w:val="16"/>
          <w:szCs w:val="16"/>
          <w:rtl/>
        </w:rPr>
        <w:t>(ח"ב סי' ב)</w:t>
      </w:r>
      <w:r w:rsidRPr="001D49D4">
        <w:rPr>
          <w:rFonts w:ascii="Calibri" w:eastAsia="Calibri" w:hAnsi="Calibri" w:cs="Arial"/>
          <w:rtl/>
        </w:rPr>
        <w:t>- מה שטען ששטר הרשאה כשר משום דינא דמלכותא דינא. אע"פ שיש מקצת מן הגדולים סוברים כן - אין דעתי נוטה אלא כלישנא אחרינא דאיתמר תני חוץ מכגיטי נשים</w:t>
      </w:r>
      <w:r w:rsidRPr="001D49D4">
        <w:rPr>
          <w:rFonts w:ascii="Calibri" w:eastAsia="Calibri" w:hAnsi="Calibri" w:cs="Arial"/>
          <w:vertAlign w:val="superscript"/>
          <w:rtl/>
        </w:rPr>
        <w:footnoteReference w:id="5480"/>
      </w:r>
      <w:r w:rsidRPr="001D49D4">
        <w:rPr>
          <w:rFonts w:ascii="Calibri" w:eastAsia="Calibri" w:hAnsi="Calibri" w:cs="Arial"/>
          <w:rtl/>
        </w:rPr>
        <w:t xml:space="preserve">, וכן נראה דעת הרי"ף </w:t>
      </w:r>
      <w:r w:rsidRPr="001D49D4">
        <w:rPr>
          <w:rFonts w:ascii="Calibri" w:eastAsia="Calibri" w:hAnsi="Calibri" w:cs="Arial"/>
          <w:sz w:val="16"/>
          <w:szCs w:val="16"/>
          <w:rtl/>
        </w:rPr>
        <w:t>(שו"ת ח"א סי' יד)</w:t>
      </w:r>
      <w:r w:rsidRPr="001D49D4">
        <w:rPr>
          <w:rFonts w:ascii="Calibri" w:eastAsia="Calibri" w:hAnsi="Calibri" w:cs="Arial"/>
          <w:rtl/>
        </w:rPr>
        <w:t xml:space="preserve">. מלבד שאני חושש לכל השטרות העולות עכשיו בערכאות מפני שאינם מקפידים להרחקת חתום הערכי מן השטר שני שיטין. ולפיכך כל שאין המתחייב בא בחותם ידו - אני חושש להם ולא אדון בהם כלל דלא עדיפי מדידן. אבל כשהמתחייב חותם בו - כשר משום כתב ידו, וכל שכן כשעדים חתומים בו סמוך לשטר קודם חותם הערכי. ואם אמר לו בשעת הקנין 'קני הוא וכל שעבודו' אפשר שדי לו בכך לפי שהקנין במקום כתיבה עומד </w:t>
      </w:r>
      <w:r w:rsidRPr="001D49D4">
        <w:rPr>
          <w:rFonts w:ascii="Calibri" w:eastAsia="Calibri" w:hAnsi="Calibri" w:cs="Arial"/>
          <w:sz w:val="16"/>
          <w:szCs w:val="16"/>
          <w:rtl/>
        </w:rPr>
        <w:t>(ב"ב מ.)</w:t>
      </w:r>
      <w:r w:rsidRPr="001D49D4">
        <w:rPr>
          <w:rFonts w:ascii="Calibri" w:eastAsia="Calibri" w:hAnsi="Calibri" w:cs="Arial"/>
          <w:rtl/>
        </w:rPr>
        <w:t xml:space="preserve">, וכן דעת ר"ח. אבל הר"י ן' מיגאש כתב שלא קנה אלא בכתיבה ממש וכמו שכתב בפירוש בתרא שלו </w:t>
      </w:r>
      <w:r w:rsidRPr="001D49D4">
        <w:rPr>
          <w:rFonts w:ascii="Calibri" w:eastAsia="Calibri" w:hAnsi="Calibri" w:cs="Arial"/>
          <w:sz w:val="16"/>
          <w:szCs w:val="16"/>
          <w:rtl/>
        </w:rPr>
        <w:t>(ב"ב עו: ד"ה אמר)</w:t>
      </w:r>
      <w:r w:rsidRPr="001D49D4">
        <w:rPr>
          <w:rFonts w:ascii="Calibri" w:eastAsia="Calibri" w:hAnsi="Calibri" w:cs="Arial"/>
          <w:rtl/>
        </w:rPr>
        <w:t xml:space="preserve">, וגם מורי ה"ר יונה </w:t>
      </w:r>
      <w:r w:rsidRPr="001D49D4">
        <w:rPr>
          <w:rFonts w:ascii="Calibri" w:eastAsia="Calibri" w:hAnsi="Calibri" w:cs="Arial"/>
          <w:sz w:val="16"/>
          <w:szCs w:val="16"/>
          <w:rtl/>
        </w:rPr>
        <w:t xml:space="preserve">(עליות ב"ב עז. ד"ה א"ל רב אשי) </w:t>
      </w:r>
      <w:r w:rsidRPr="001D49D4">
        <w:rPr>
          <w:rFonts w:ascii="Calibri" w:eastAsia="Calibri" w:hAnsi="Calibri" w:cs="Arial"/>
          <w:rtl/>
        </w:rPr>
        <w:t xml:space="preserve">הודה לדבריו. ואם עדים חתומים בו - אף שטר הרשאה כשר, דבכל לשון כשר. </w:t>
      </w:r>
    </w:p>
    <w:p w14:paraId="5C5B2CC7" w14:textId="77777777" w:rsidR="001D49D4" w:rsidRPr="001D49D4" w:rsidRDefault="001D49D4" w:rsidP="0004348D">
      <w:pPr>
        <w:spacing w:before="360" w:after="240"/>
        <w:rPr>
          <w:rFonts w:ascii="Calibri" w:eastAsia="Calibri" w:hAnsi="Calibri" w:cs="Arial"/>
          <w:u w:val="dotted"/>
        </w:rPr>
      </w:pPr>
      <w:r w:rsidRPr="001D49D4">
        <w:rPr>
          <w:rFonts w:ascii="Calibri" w:eastAsia="Calibri" w:hAnsi="Calibri" w:cs="Arial"/>
          <w:u w:val="dotted"/>
          <w:rtl/>
        </w:rPr>
        <w:t>שטרי מכר שהם כשטרי הקנאה ושטרי הקנאה שהם כשטרי מכר:</w:t>
      </w:r>
    </w:p>
    <w:p w14:paraId="30D1AE6D" w14:textId="77777777" w:rsidR="001D49D4" w:rsidRPr="001D49D4" w:rsidRDefault="001D49D4" w:rsidP="0004348D">
      <w:pPr>
        <w:numPr>
          <w:ilvl w:val="0"/>
          <w:numId w:val="352"/>
        </w:numPr>
        <w:spacing w:before="360" w:after="240"/>
        <w:contextualSpacing/>
        <w:rPr>
          <w:rFonts w:ascii="Calibri" w:eastAsia="Calibri" w:hAnsi="Calibri" w:cs="Arial"/>
        </w:rPr>
      </w:pPr>
      <w:r w:rsidRPr="001D49D4">
        <w:rPr>
          <w:rFonts w:ascii="Calibri" w:eastAsia="Calibri" w:hAnsi="Calibri" w:cs="Arial"/>
          <w:rtl/>
        </w:rPr>
        <w:t xml:space="preserve">ר"ן </w:t>
      </w:r>
      <w:r w:rsidRPr="001D49D4">
        <w:rPr>
          <w:rFonts w:ascii="Calibri" w:eastAsia="Calibri" w:hAnsi="Calibri" w:cs="Arial"/>
          <w:sz w:val="16"/>
          <w:szCs w:val="16"/>
          <w:rtl/>
        </w:rPr>
        <w:t>(ד. מדפה"ר ד"ה ודאמרינן)</w:t>
      </w:r>
      <w:r w:rsidRPr="001D49D4">
        <w:rPr>
          <w:rFonts w:ascii="Calibri" w:eastAsia="Calibri" w:hAnsi="Calibri" w:cs="Arial"/>
          <w:rtl/>
        </w:rPr>
        <w:t xml:space="preserve"> - כי אמר 'בשלמא מכר' ומתמה אמתנה - לאו דוקא, דאה"נ דמצינן למימר איפכא, ומתנה אתיא שפיר היכא שהשטר אינו בא אלא לראיה</w:t>
      </w:r>
      <w:r w:rsidRPr="001D49D4">
        <w:rPr>
          <w:rFonts w:ascii="Calibri" w:eastAsia="Calibri" w:hAnsi="Calibri" w:cs="Arial"/>
          <w:vertAlign w:val="superscript"/>
          <w:rtl/>
        </w:rPr>
        <w:footnoteReference w:id="5481"/>
      </w:r>
      <w:r w:rsidRPr="001D49D4">
        <w:rPr>
          <w:rFonts w:ascii="Calibri" w:eastAsia="Calibri" w:hAnsi="Calibri" w:cs="Arial"/>
          <w:rtl/>
        </w:rPr>
        <w:t xml:space="preserve"> </w:t>
      </w:r>
      <w:r w:rsidRPr="001D49D4">
        <w:rPr>
          <w:rFonts w:ascii="Calibri" w:eastAsia="Calibri" w:hAnsi="Calibri" w:cs="Arial"/>
          <w:sz w:val="16"/>
          <w:szCs w:val="16"/>
          <w:rtl/>
        </w:rPr>
        <w:t>(כגון שהודה שנתן לו שדהו והקנהו לו בחזקה)</w:t>
      </w:r>
      <w:r w:rsidRPr="001D49D4">
        <w:rPr>
          <w:rFonts w:ascii="Calibri" w:eastAsia="Calibri" w:hAnsi="Calibri" w:cs="Arial"/>
          <w:rtl/>
        </w:rPr>
        <w:t xml:space="preserve">. ואיכא גוונא דמצינן לאתמוהי אמכר </w:t>
      </w:r>
      <w:r w:rsidRPr="001D49D4">
        <w:rPr>
          <w:rFonts w:ascii="Calibri" w:eastAsia="Calibri" w:hAnsi="Calibri" w:cs="Arial"/>
          <w:sz w:val="16"/>
          <w:szCs w:val="16"/>
          <w:rtl/>
        </w:rPr>
        <w:t>(כגון דהוי זוזי הלואה גביה שאין הקרקע נקנה בהן ולא קנה ליה אלא בשטרא)</w:t>
      </w:r>
      <w:r w:rsidRPr="001D49D4">
        <w:rPr>
          <w:rFonts w:ascii="Calibri" w:eastAsia="Calibri" w:hAnsi="Calibri" w:cs="Arial"/>
          <w:rtl/>
        </w:rPr>
        <w:t>. אלא משום דסתם שטר מכר לראיה וסתם שטר מתנה לקנייה, נקטינהו הכי. וה"ק - בשלמא שטר ראיה שפיר אלא שטר קנייה אמאי.</w:t>
      </w:r>
    </w:p>
    <w:p w14:paraId="771D6728" w14:textId="77777777" w:rsidR="001D49D4" w:rsidRPr="001D49D4" w:rsidRDefault="001D49D4" w:rsidP="0004348D">
      <w:pPr>
        <w:spacing w:before="360" w:after="240"/>
        <w:rPr>
          <w:rFonts w:ascii="Calibri" w:eastAsia="Calibri" w:hAnsi="Calibri" w:cs="Arial"/>
          <w:u w:val="single"/>
        </w:rPr>
      </w:pPr>
      <w:r w:rsidRPr="001D49D4">
        <w:rPr>
          <w:rFonts w:ascii="Calibri" w:eastAsia="Calibri" w:hAnsi="Calibri" w:cs="Arial"/>
          <w:u w:val="single"/>
          <w:rtl/>
        </w:rPr>
        <w:t>שטרי ראיה שנעשו בערכאות - האם בעינן שיעידו ישראל שהעדים והשופטים הגוים לא מקבלים שוחד:</w:t>
      </w:r>
    </w:p>
    <w:p w14:paraId="3E0B6863" w14:textId="77777777" w:rsidR="001D49D4" w:rsidRPr="001D49D4" w:rsidRDefault="001D49D4" w:rsidP="0004348D">
      <w:pPr>
        <w:numPr>
          <w:ilvl w:val="0"/>
          <w:numId w:val="352"/>
        </w:numPr>
        <w:spacing w:before="360" w:after="240"/>
        <w:contextualSpacing/>
        <w:rPr>
          <w:rFonts w:ascii="Calibri" w:eastAsia="Calibri" w:hAnsi="Calibri" w:cs="Arial"/>
        </w:rPr>
      </w:pPr>
      <w:r w:rsidRPr="001D49D4">
        <w:rPr>
          <w:rFonts w:ascii="Calibri" w:eastAsia="Calibri" w:hAnsi="Calibri" w:cs="Arial"/>
          <w:rtl/>
        </w:rPr>
        <w:t xml:space="preserve">רמב"ם </w:t>
      </w:r>
      <w:r w:rsidRPr="001D49D4">
        <w:rPr>
          <w:rFonts w:ascii="Calibri" w:eastAsia="Calibri" w:hAnsi="Calibri" w:cs="Arial"/>
          <w:sz w:val="16"/>
          <w:szCs w:val="16"/>
          <w:rtl/>
        </w:rPr>
        <w:t>(פכ"ז ממלוה ה"א)</w:t>
      </w:r>
      <w:r w:rsidRPr="001D49D4">
        <w:rPr>
          <w:rFonts w:ascii="Calibri" w:eastAsia="Calibri" w:hAnsi="Calibri" w:cs="Arial"/>
          <w:rtl/>
        </w:rPr>
        <w:t xml:space="preserve"> ורמ"ה</w:t>
      </w:r>
      <w:r w:rsidRPr="001D49D4">
        <w:rPr>
          <w:rFonts w:ascii="Calibri" w:eastAsia="Calibri" w:hAnsi="Calibri" w:cs="Arial"/>
          <w:sz w:val="16"/>
          <w:szCs w:val="16"/>
          <w:rtl/>
        </w:rPr>
        <w:t xml:space="preserve"> (כ"כ הטור בשמו)</w:t>
      </w:r>
      <w:r w:rsidRPr="001D49D4">
        <w:rPr>
          <w:rFonts w:ascii="Calibri" w:eastAsia="Calibri" w:hAnsi="Calibri" w:cs="Arial"/>
          <w:rtl/>
        </w:rPr>
        <w:t>- כל השטרות שחותמיהן גוים הרי אלו פסולין חוץ משטרי מקח וממכר ושטרי חוב... וכן צריכין עדי ישראל שיעידו על אלו הגוים שהן עדי שטר ועל זה השופט שלהן שקיים עדותן שאינן ידועין בקבלנות שוחד</w:t>
      </w:r>
      <w:r w:rsidRPr="001D49D4">
        <w:rPr>
          <w:rFonts w:ascii="Calibri" w:eastAsia="Calibri" w:hAnsi="Calibri" w:cs="Arial"/>
          <w:vertAlign w:val="superscript"/>
          <w:rtl/>
        </w:rPr>
        <w:footnoteReference w:id="5482"/>
      </w:r>
      <w:r w:rsidRPr="001D49D4">
        <w:rPr>
          <w:rFonts w:ascii="Calibri" w:eastAsia="Calibri" w:hAnsi="Calibri" w:cs="Arial"/>
          <w:rtl/>
        </w:rPr>
        <w:t>, ואם חסרו שטרי הגוים דבר מכל אלו הרי הן כחרס</w:t>
      </w:r>
      <w:r w:rsidRPr="001D49D4">
        <w:rPr>
          <w:rFonts w:ascii="Calibri" w:eastAsia="Calibri" w:hAnsi="Calibri" w:cs="Arial"/>
          <w:vertAlign w:val="superscript"/>
          <w:rtl/>
        </w:rPr>
        <w:footnoteReference w:id="5483"/>
      </w:r>
      <w:r w:rsidRPr="001D49D4">
        <w:rPr>
          <w:rFonts w:ascii="Calibri" w:eastAsia="Calibri" w:hAnsi="Calibri" w:cs="Arial"/>
          <w:sz w:val="16"/>
          <w:szCs w:val="16"/>
          <w:rtl/>
        </w:rPr>
        <w:t xml:space="preserve"> (ל' הרמב"ם)</w:t>
      </w:r>
      <w:r w:rsidRPr="001D49D4">
        <w:rPr>
          <w:rFonts w:ascii="Calibri" w:eastAsia="Calibri" w:hAnsi="Calibri" w:cs="Arial"/>
          <w:rtl/>
        </w:rPr>
        <w:t>.</w:t>
      </w:r>
      <w:r w:rsidRPr="001D49D4">
        <w:rPr>
          <w:rFonts w:ascii="Calibri" w:eastAsia="Calibri" w:hAnsi="Calibri" w:cs="Arial"/>
          <w:color w:val="E36C0A" w:themeColor="accent6" w:themeShade="BF"/>
          <w:rtl/>
        </w:rPr>
        <w:t xml:space="preserve"> (וכ"פ בשו"ע)</w:t>
      </w:r>
    </w:p>
    <w:p w14:paraId="56B0655F" w14:textId="77777777" w:rsidR="001D49D4" w:rsidRPr="001D49D4" w:rsidRDefault="001D49D4" w:rsidP="0004348D">
      <w:pPr>
        <w:numPr>
          <w:ilvl w:val="0"/>
          <w:numId w:val="352"/>
        </w:numPr>
        <w:spacing w:before="360" w:after="240"/>
        <w:contextualSpacing/>
        <w:rPr>
          <w:rFonts w:ascii="Calibri" w:eastAsia="Calibri" w:hAnsi="Calibri" w:cs="Arial"/>
        </w:rPr>
      </w:pPr>
      <w:r w:rsidRPr="001D49D4">
        <w:rPr>
          <w:rFonts w:ascii="Calibri" w:eastAsia="Calibri" w:hAnsi="Calibri" w:cs="Arial"/>
          <w:rtl/>
        </w:rPr>
        <w:t xml:space="preserve">רשב"א </w:t>
      </w:r>
      <w:r w:rsidRPr="001D49D4">
        <w:rPr>
          <w:rFonts w:ascii="Calibri" w:eastAsia="Calibri" w:hAnsi="Calibri" w:cs="Arial"/>
          <w:sz w:val="16"/>
          <w:szCs w:val="16"/>
          <w:rtl/>
        </w:rPr>
        <w:t>(החדשות סי' רנו, וכ"כ בשם רבותיו)</w:t>
      </w:r>
      <w:r w:rsidRPr="001D49D4">
        <w:rPr>
          <w:rFonts w:ascii="Calibri" w:eastAsia="Calibri" w:hAnsi="Calibri" w:cs="Arial"/>
          <w:rtl/>
        </w:rPr>
        <w:t xml:space="preserve"> ורא"ש </w:t>
      </w:r>
      <w:r w:rsidRPr="001D49D4">
        <w:rPr>
          <w:rFonts w:ascii="Calibri" w:eastAsia="Calibri" w:hAnsi="Calibri" w:cs="Arial"/>
          <w:sz w:val="16"/>
          <w:szCs w:val="16"/>
          <w:rtl/>
        </w:rPr>
        <w:t>(כ"כ הטור בשמו)</w:t>
      </w:r>
      <w:r w:rsidRPr="001D49D4">
        <w:rPr>
          <w:rFonts w:ascii="Calibri" w:eastAsia="Calibri" w:hAnsi="Calibri" w:cs="Arial"/>
          <w:rtl/>
        </w:rPr>
        <w:t>- סתם ערכאות</w:t>
      </w:r>
      <w:r w:rsidRPr="001D49D4">
        <w:rPr>
          <w:rFonts w:ascii="Calibri" w:eastAsia="Calibri" w:hAnsi="Calibri" w:cs="Arial"/>
          <w:vertAlign w:val="superscript"/>
          <w:rtl/>
        </w:rPr>
        <w:footnoteReference w:id="5484"/>
      </w:r>
      <w:r w:rsidRPr="001D49D4">
        <w:rPr>
          <w:rFonts w:ascii="Calibri" w:eastAsia="Calibri" w:hAnsi="Calibri" w:cs="Arial"/>
          <w:rtl/>
        </w:rPr>
        <w:t xml:space="preserve"> לא מקבלי שוחדא, וכיון שנעשה בפניהם - גובין בו אפילו ממשעבדי בלא עדי מסירה ישראל</w:t>
      </w:r>
      <w:r w:rsidRPr="001D49D4">
        <w:rPr>
          <w:rFonts w:ascii="Calibri" w:eastAsia="Calibri" w:hAnsi="Calibri" w:cs="Arial"/>
          <w:sz w:val="16"/>
          <w:szCs w:val="16"/>
          <w:rtl/>
        </w:rPr>
        <w:t xml:space="preserve"> (ל' הרא"ש)</w:t>
      </w:r>
      <w:r w:rsidRPr="001D49D4">
        <w:rPr>
          <w:rFonts w:ascii="Calibri" w:eastAsia="Calibri" w:hAnsi="Calibri" w:cs="Arial"/>
          <w:rtl/>
        </w:rPr>
        <w:t xml:space="preserve">. </w:t>
      </w:r>
      <w:r w:rsidRPr="001D49D4">
        <w:rPr>
          <w:rFonts w:ascii="Calibri" w:eastAsia="Calibri" w:hAnsi="Calibri" w:cs="Arial"/>
          <w:color w:val="00B0F0"/>
          <w:rtl/>
        </w:rPr>
        <w:t>(וכ"כ הרמ"א)</w:t>
      </w:r>
    </w:p>
    <w:p w14:paraId="482DCB52" w14:textId="77777777" w:rsidR="001D49D4" w:rsidRPr="001D49D4" w:rsidRDefault="001D49D4" w:rsidP="0004348D">
      <w:pPr>
        <w:numPr>
          <w:ilvl w:val="1"/>
          <w:numId w:val="352"/>
        </w:numPr>
        <w:spacing w:before="360" w:after="240"/>
        <w:contextualSpacing/>
        <w:rPr>
          <w:rFonts w:ascii="Calibri" w:eastAsia="Calibri" w:hAnsi="Calibri" w:cs="Arial"/>
        </w:rPr>
      </w:pPr>
      <w:r w:rsidRPr="001D49D4">
        <w:rPr>
          <w:rFonts w:ascii="Calibri" w:eastAsia="Calibri" w:hAnsi="Calibri" w:cs="Arial"/>
          <w:rtl/>
        </w:rPr>
        <w:t xml:space="preserve">ב"י </w:t>
      </w:r>
      <w:r w:rsidRPr="001D49D4">
        <w:rPr>
          <w:rFonts w:ascii="Calibri" w:eastAsia="Calibri" w:hAnsi="Calibri" w:cs="Arial"/>
          <w:sz w:val="16"/>
          <w:szCs w:val="16"/>
          <w:rtl/>
        </w:rPr>
        <w:t>(בבדה"ב)</w:t>
      </w:r>
      <w:r w:rsidRPr="001D49D4">
        <w:rPr>
          <w:rFonts w:ascii="Calibri" w:eastAsia="Calibri" w:hAnsi="Calibri" w:cs="Arial"/>
          <w:rtl/>
        </w:rPr>
        <w:t>- ולענין הלכה נקטינן כהרמב"ם דסוגיין דעלמא בדיני ממונות כוותיה ועוד דהרמ"ה כוותיה ופשט דברי הרי"ף כוותיה.</w:t>
      </w:r>
    </w:p>
    <w:p w14:paraId="1FDDF284" w14:textId="77777777" w:rsidR="001D49D4" w:rsidRPr="001D49D4" w:rsidRDefault="001D49D4" w:rsidP="0004348D">
      <w:pPr>
        <w:spacing w:before="360" w:after="240"/>
        <w:rPr>
          <w:rFonts w:ascii="Calibri" w:eastAsia="Calibri" w:hAnsi="Calibri" w:cs="Arial"/>
        </w:rPr>
      </w:pPr>
      <w:r w:rsidRPr="001D49D4">
        <w:rPr>
          <w:rFonts w:ascii="Calibri" w:eastAsia="Calibri" w:hAnsi="Calibri" w:cs="Arial"/>
          <w:b/>
          <w:bCs/>
          <w:rtl/>
        </w:rPr>
        <w:t xml:space="preserve">גיטין </w:t>
      </w:r>
      <w:r w:rsidRPr="001D49D4">
        <w:rPr>
          <w:rFonts w:ascii="Calibri" w:eastAsia="Calibri" w:hAnsi="Calibri" w:cs="Arial"/>
          <w:b/>
          <w:bCs/>
          <w:sz w:val="16"/>
          <w:szCs w:val="16"/>
          <w:rtl/>
        </w:rPr>
        <w:t>(פ"ק)</w:t>
      </w:r>
      <w:r w:rsidRPr="001D49D4">
        <w:rPr>
          <w:rFonts w:ascii="Calibri" w:eastAsia="Calibri" w:hAnsi="Calibri" w:cs="Arial"/>
          <w:b/>
          <w:bCs/>
          <w:rtl/>
        </w:rPr>
        <w:t xml:space="preserve"> יא</w:t>
      </w:r>
      <w:r w:rsidRPr="001D49D4">
        <w:rPr>
          <w:rFonts w:ascii="Calibri" w:eastAsia="Calibri" w:hAnsi="Calibri" w:cs="Arial"/>
          <w:b/>
          <w:bCs/>
          <w:vertAlign w:val="superscript"/>
          <w:rtl/>
        </w:rPr>
        <w:footnoteReference w:id="5485"/>
      </w:r>
      <w:r w:rsidRPr="001D49D4">
        <w:rPr>
          <w:rFonts w:ascii="Calibri" w:eastAsia="Calibri" w:hAnsi="Calibri" w:cs="Arial"/>
          <w:b/>
          <w:bCs/>
          <w:rtl/>
        </w:rPr>
        <w:t xml:space="preserve"> ע"א:</w:t>
      </w:r>
      <w:r w:rsidRPr="001D49D4">
        <w:rPr>
          <w:rFonts w:ascii="Calibri" w:eastAsia="Calibri" w:hAnsi="Calibri" w:cs="Arial"/>
          <w:rtl/>
        </w:rPr>
        <w:t xml:space="preserve"> </w:t>
      </w:r>
      <w:r w:rsidRPr="001D49D4">
        <w:rPr>
          <w:rFonts w:ascii="Calibri" w:eastAsia="Calibri" w:hAnsi="Calibri" w:cs="Arial"/>
          <w:u w:val="single"/>
          <w:rtl/>
        </w:rPr>
        <w:t>אמר רבא</w:t>
      </w:r>
      <w:r w:rsidRPr="001D49D4">
        <w:rPr>
          <w:rFonts w:ascii="Calibri" w:eastAsia="Calibri" w:hAnsi="Calibri" w:cs="Arial"/>
          <w:rtl/>
        </w:rPr>
        <w:t>: האי שטרא פרסאה דמסריה ניהליה באפי סהדי ישראל, מגבינן ביה מבני חרי</w:t>
      </w:r>
      <w:r w:rsidRPr="001D49D4">
        <w:rPr>
          <w:rFonts w:ascii="Calibri" w:eastAsia="Calibri" w:hAnsi="Calibri" w:cs="Arial"/>
          <w:vertAlign w:val="superscript"/>
          <w:rtl/>
        </w:rPr>
        <w:footnoteReference w:id="5486"/>
      </w:r>
      <w:r w:rsidRPr="001D49D4">
        <w:rPr>
          <w:rFonts w:ascii="Calibri" w:eastAsia="Calibri" w:hAnsi="Calibri" w:cs="Arial"/>
          <w:rtl/>
        </w:rPr>
        <w:t>.</w:t>
      </w:r>
    </w:p>
    <w:p w14:paraId="20AD70BF"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b/>
          <w:bCs/>
          <w:rtl/>
        </w:rPr>
        <w:t xml:space="preserve">גיטין </w:t>
      </w:r>
      <w:r w:rsidRPr="001D49D4">
        <w:rPr>
          <w:rFonts w:ascii="Calibri" w:eastAsia="Calibri" w:hAnsi="Calibri" w:cs="Arial"/>
          <w:b/>
          <w:bCs/>
          <w:sz w:val="16"/>
          <w:szCs w:val="16"/>
          <w:rtl/>
        </w:rPr>
        <w:t>(פ"ב)</w:t>
      </w:r>
      <w:r w:rsidRPr="001D49D4">
        <w:rPr>
          <w:rFonts w:ascii="Calibri" w:eastAsia="Calibri" w:hAnsi="Calibri" w:cs="Arial"/>
          <w:b/>
          <w:bCs/>
          <w:rtl/>
        </w:rPr>
        <w:t xml:space="preserve"> יט</w:t>
      </w:r>
      <w:r w:rsidRPr="001D49D4">
        <w:rPr>
          <w:rFonts w:ascii="Calibri" w:eastAsia="Calibri" w:hAnsi="Calibri" w:cs="Arial"/>
          <w:b/>
          <w:bCs/>
          <w:vertAlign w:val="superscript"/>
          <w:rtl/>
        </w:rPr>
        <w:footnoteReference w:id="5487"/>
      </w:r>
      <w:r w:rsidRPr="001D49D4">
        <w:rPr>
          <w:rFonts w:ascii="Calibri" w:eastAsia="Calibri" w:hAnsi="Calibri" w:cs="Arial"/>
          <w:b/>
          <w:bCs/>
          <w:rtl/>
        </w:rPr>
        <w:t xml:space="preserve"> ע"ב:</w:t>
      </w:r>
      <w:r w:rsidRPr="001D49D4">
        <w:rPr>
          <w:rFonts w:ascii="Calibri" w:eastAsia="Calibri" w:hAnsi="Calibri" w:cs="Arial"/>
          <w:rtl/>
        </w:rPr>
        <w:t xml:space="preserve"> </w:t>
      </w:r>
      <w:r w:rsidRPr="001D49D4">
        <w:rPr>
          <w:rFonts w:ascii="Calibri" w:eastAsia="Calibri" w:hAnsi="Calibri" w:cs="Arial"/>
          <w:u w:val="single"/>
          <w:rtl/>
        </w:rPr>
        <w:t>רב פפא</w:t>
      </w:r>
      <w:r w:rsidRPr="001D49D4">
        <w:rPr>
          <w:rFonts w:ascii="Calibri" w:eastAsia="Calibri" w:hAnsi="Calibri" w:cs="Arial"/>
          <w:rtl/>
        </w:rPr>
        <w:t xml:space="preserve"> כי הוה אתי לקמיה שטרא פרסאה דעביד בערכאות של גוים, מקרי להו לשני גוים זה שלא בפני זה במסיח לפי תומו, ומגבי ביה ממשעבדי.</w:t>
      </w:r>
      <w:r w:rsidRPr="001D49D4">
        <w:rPr>
          <w:rFonts w:ascii="Calibri" w:eastAsia="Calibri" w:hAnsi="Calibri" w:cs="Arial"/>
          <w:sz w:val="16"/>
          <w:szCs w:val="16"/>
          <w:rtl/>
        </w:rPr>
        <w:t xml:space="preserve"> (ויש גורסים 'מבני חרי', והמחלוקת לקמן תלויה בגירסאות)</w:t>
      </w:r>
      <w:r w:rsidRPr="001D49D4">
        <w:rPr>
          <w:rFonts w:ascii="Calibri" w:eastAsia="Calibri" w:hAnsi="Calibri" w:cs="Arial"/>
          <w:rtl/>
        </w:rPr>
        <w:t xml:space="preserve"> </w:t>
      </w:r>
    </w:p>
    <w:p w14:paraId="38CB0B1B"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b/>
          <w:bCs/>
          <w:rtl/>
        </w:rPr>
        <w:t xml:space="preserve">ירושלמי </w:t>
      </w:r>
      <w:r w:rsidRPr="001D49D4">
        <w:rPr>
          <w:rFonts w:ascii="Calibri" w:eastAsia="Calibri" w:hAnsi="Calibri" w:cs="Arial"/>
          <w:b/>
          <w:bCs/>
          <w:sz w:val="16"/>
          <w:szCs w:val="16"/>
          <w:rtl/>
        </w:rPr>
        <w:t xml:space="preserve">(וילנא) </w:t>
      </w:r>
      <w:r w:rsidRPr="001D49D4">
        <w:rPr>
          <w:rFonts w:ascii="Calibri" w:eastAsia="Calibri" w:hAnsi="Calibri" w:cs="Arial"/>
          <w:b/>
          <w:bCs/>
          <w:rtl/>
        </w:rPr>
        <w:t xml:space="preserve">גיטין פ"א ה"ד: </w:t>
      </w:r>
      <w:r w:rsidRPr="001D49D4">
        <w:rPr>
          <w:rFonts w:ascii="Calibri" w:eastAsia="Calibri" w:hAnsi="Calibri" w:cs="Arial"/>
          <w:u w:val="single"/>
          <w:rtl/>
        </w:rPr>
        <w:t>אמר ר' אחא</w:t>
      </w:r>
      <w:r w:rsidRPr="001D49D4">
        <w:rPr>
          <w:rFonts w:ascii="Calibri" w:eastAsia="Calibri" w:hAnsi="Calibri" w:cs="Arial"/>
          <w:rtl/>
        </w:rPr>
        <w:t>: קול יוצא בארכיים.</w:t>
      </w:r>
    </w:p>
    <w:p w14:paraId="6075DBBB" w14:textId="77777777" w:rsidR="001D49D4" w:rsidRPr="001D49D4" w:rsidRDefault="001D49D4" w:rsidP="0004348D">
      <w:pPr>
        <w:spacing w:before="360" w:after="240"/>
        <w:rPr>
          <w:rFonts w:ascii="Calibri" w:eastAsia="Calibri" w:hAnsi="Calibri" w:cs="Arial"/>
          <w:u w:val="single"/>
          <w:rtl/>
        </w:rPr>
      </w:pPr>
      <w:r w:rsidRPr="001D49D4">
        <w:rPr>
          <w:rFonts w:ascii="Calibri" w:eastAsia="Calibri" w:hAnsi="Calibri" w:cs="Arial"/>
          <w:u w:val="single"/>
          <w:rtl/>
        </w:rPr>
        <w:t xml:space="preserve">שטרי ראיה שנעשו </w:t>
      </w:r>
      <w:r w:rsidRPr="001D49D4">
        <w:rPr>
          <w:rFonts w:ascii="Calibri" w:eastAsia="Calibri" w:hAnsi="Calibri" w:cs="Arial"/>
          <w:b/>
          <w:bCs/>
          <w:u w:val="single"/>
          <w:rtl/>
        </w:rPr>
        <w:t>בערכאות</w:t>
      </w:r>
      <w:r w:rsidRPr="001D49D4">
        <w:rPr>
          <w:rFonts w:ascii="Calibri" w:eastAsia="Calibri" w:hAnsi="Calibri" w:cs="Arial"/>
          <w:u w:val="single"/>
          <w:rtl/>
        </w:rPr>
        <w:t xml:space="preserve"> - האם גובים ממשעבדי או מבני חרי:</w:t>
      </w:r>
    </w:p>
    <w:p w14:paraId="247B755E" w14:textId="77777777" w:rsidR="001D49D4" w:rsidRPr="001D49D4" w:rsidRDefault="001D49D4" w:rsidP="0004348D">
      <w:pPr>
        <w:numPr>
          <w:ilvl w:val="0"/>
          <w:numId w:val="352"/>
        </w:numPr>
        <w:spacing w:before="360" w:after="240"/>
        <w:contextualSpacing/>
        <w:rPr>
          <w:rFonts w:ascii="Calibri" w:eastAsia="Calibri" w:hAnsi="Calibri" w:cs="Arial"/>
        </w:rPr>
      </w:pPr>
      <w:r w:rsidRPr="001D49D4">
        <w:rPr>
          <w:rFonts w:ascii="Calibri" w:eastAsia="Calibri" w:hAnsi="Calibri" w:cs="Arial"/>
          <w:rtl/>
        </w:rPr>
        <w:t xml:space="preserve">ראב"ד </w:t>
      </w:r>
      <w:r w:rsidRPr="001D49D4">
        <w:rPr>
          <w:rFonts w:ascii="Calibri" w:eastAsia="Calibri" w:hAnsi="Calibri" w:cs="Arial"/>
          <w:sz w:val="16"/>
          <w:szCs w:val="16"/>
          <w:rtl/>
        </w:rPr>
        <w:t xml:space="preserve">(כ"כ הטור בשמו) </w:t>
      </w:r>
      <w:r w:rsidRPr="001D49D4">
        <w:rPr>
          <w:rFonts w:ascii="Calibri" w:eastAsia="Calibri" w:hAnsi="Calibri" w:cs="Arial"/>
          <w:rtl/>
        </w:rPr>
        <w:t xml:space="preserve">ורמב"ם </w:t>
      </w:r>
      <w:r w:rsidRPr="001D49D4">
        <w:rPr>
          <w:rFonts w:ascii="Calibri" w:eastAsia="Calibri" w:hAnsi="Calibri" w:cs="Arial"/>
          <w:sz w:val="16"/>
          <w:szCs w:val="16"/>
          <w:rtl/>
        </w:rPr>
        <w:t>(פכ"ז ממלוה ה"א)</w:t>
      </w:r>
      <w:r w:rsidRPr="001D49D4">
        <w:rPr>
          <w:rFonts w:ascii="Calibri" w:eastAsia="Calibri" w:hAnsi="Calibri" w:cs="Arial"/>
          <w:rtl/>
        </w:rPr>
        <w:t>- גובה בו מבני חורין, אבל אין טורפין בו מפני שאין לו קול, שהרי לא ידעו הלקוחות במה שנעשה בגוים</w:t>
      </w:r>
      <w:r w:rsidRPr="001D49D4">
        <w:rPr>
          <w:rFonts w:ascii="Calibri" w:eastAsia="Calibri" w:hAnsi="Calibri" w:cs="Arial"/>
          <w:sz w:val="16"/>
          <w:szCs w:val="16"/>
          <w:rtl/>
        </w:rPr>
        <w:t xml:space="preserve"> (ל' הרמב"ם)</w:t>
      </w:r>
      <w:r w:rsidRPr="001D49D4">
        <w:rPr>
          <w:rFonts w:ascii="Calibri" w:eastAsia="Calibri" w:hAnsi="Calibri" w:cs="Arial"/>
          <w:rtl/>
        </w:rPr>
        <w:t>.</w:t>
      </w:r>
      <w:r w:rsidRPr="001D49D4">
        <w:rPr>
          <w:rFonts w:ascii="Calibri" w:eastAsia="Calibri" w:hAnsi="Calibri" w:cs="Arial"/>
          <w:color w:val="E36C0A" w:themeColor="accent6" w:themeShade="BF"/>
          <w:rtl/>
        </w:rPr>
        <w:t xml:space="preserve"> (וכ"פ בשו"ע</w:t>
      </w:r>
      <w:r w:rsidRPr="001D49D4">
        <w:rPr>
          <w:rFonts w:ascii="Calibri" w:eastAsia="Calibri" w:hAnsi="Calibri" w:cs="Arial"/>
          <w:color w:val="E36C0A" w:themeColor="accent6" w:themeShade="BF"/>
          <w:sz w:val="16"/>
          <w:szCs w:val="16"/>
          <w:rtl/>
        </w:rPr>
        <w:t xml:space="preserve"> </w:t>
      </w:r>
      <w:r w:rsidRPr="001D49D4">
        <w:rPr>
          <w:rFonts w:ascii="Calibri" w:eastAsia="Calibri" w:hAnsi="Calibri" w:cs="Arial"/>
          <w:color w:val="000000" w:themeColor="text1"/>
          <w:sz w:val="16"/>
          <w:szCs w:val="16"/>
          <w:rtl/>
        </w:rPr>
        <w:t>[בסע' ב]</w:t>
      </w:r>
      <w:r w:rsidRPr="001D49D4">
        <w:rPr>
          <w:rFonts w:ascii="Calibri" w:eastAsia="Calibri" w:hAnsi="Calibri" w:cs="Arial"/>
          <w:color w:val="E36C0A" w:themeColor="accent6" w:themeShade="BF"/>
          <w:rtl/>
        </w:rPr>
        <w:t>)</w:t>
      </w:r>
    </w:p>
    <w:p w14:paraId="2F526839" w14:textId="77777777" w:rsidR="001D49D4" w:rsidRPr="001D49D4" w:rsidRDefault="001D49D4" w:rsidP="0004348D">
      <w:pPr>
        <w:numPr>
          <w:ilvl w:val="0"/>
          <w:numId w:val="352"/>
        </w:numPr>
        <w:spacing w:before="360" w:after="240"/>
        <w:contextualSpacing/>
        <w:rPr>
          <w:rFonts w:ascii="Calibri" w:eastAsia="Calibri" w:hAnsi="Calibri" w:cs="Arial"/>
        </w:rPr>
      </w:pPr>
      <w:r w:rsidRPr="001D49D4">
        <w:rPr>
          <w:rFonts w:ascii="Calibri" w:eastAsia="Calibri" w:hAnsi="Calibri" w:cs="Arial"/>
          <w:rtl/>
        </w:rPr>
        <w:t>רש"י רשב"א רא"ש ור"ן</w:t>
      </w:r>
      <w:r w:rsidRPr="001D49D4">
        <w:rPr>
          <w:rFonts w:ascii="Calibri" w:eastAsia="Calibri" w:hAnsi="Calibri" w:cs="Arial"/>
          <w:vertAlign w:val="superscript"/>
          <w:rtl/>
        </w:rPr>
        <w:footnoteReference w:id="5488"/>
      </w:r>
      <w:r w:rsidRPr="001D49D4">
        <w:rPr>
          <w:rFonts w:ascii="Calibri" w:eastAsia="Calibri" w:hAnsi="Calibri" w:cs="Arial"/>
          <w:rtl/>
        </w:rPr>
        <w:t>- גובין בו אפילו ממשעבדי בלא עדי מסירה ישראל</w:t>
      </w:r>
      <w:r w:rsidRPr="001D49D4">
        <w:rPr>
          <w:rFonts w:ascii="Calibri" w:eastAsia="Calibri" w:hAnsi="Calibri" w:cs="Arial"/>
          <w:sz w:val="16"/>
          <w:szCs w:val="16"/>
          <w:rtl/>
        </w:rPr>
        <w:t xml:space="preserve"> (ל' הרא"ש)</w:t>
      </w:r>
      <w:r w:rsidRPr="001D49D4">
        <w:rPr>
          <w:rFonts w:ascii="Calibri" w:eastAsia="Calibri" w:hAnsi="Calibri" w:cs="Arial"/>
          <w:rtl/>
        </w:rPr>
        <w:t>. דכל שעולין בערכאות קול יוצא עליהם</w:t>
      </w:r>
      <w:r w:rsidRPr="001D49D4">
        <w:rPr>
          <w:rFonts w:ascii="Calibri" w:eastAsia="Calibri" w:hAnsi="Calibri" w:cs="Arial"/>
          <w:vertAlign w:val="superscript"/>
          <w:rtl/>
        </w:rPr>
        <w:footnoteReference w:id="5489"/>
      </w:r>
      <w:r w:rsidRPr="001D49D4">
        <w:rPr>
          <w:rFonts w:ascii="Calibri" w:eastAsia="Calibri" w:hAnsi="Calibri" w:cs="Arial"/>
          <w:sz w:val="16"/>
          <w:szCs w:val="16"/>
          <w:rtl/>
        </w:rPr>
        <w:t xml:space="preserve"> (ל' הרשב"א)</w:t>
      </w:r>
      <w:r w:rsidRPr="001D49D4">
        <w:rPr>
          <w:rFonts w:ascii="Calibri" w:eastAsia="Calibri" w:hAnsi="Calibri" w:cs="Arial"/>
          <w:rtl/>
        </w:rPr>
        <w:t xml:space="preserve">. </w:t>
      </w:r>
      <w:r w:rsidRPr="001D49D4">
        <w:rPr>
          <w:rFonts w:ascii="Calibri" w:eastAsia="Calibri" w:hAnsi="Calibri" w:cs="Arial"/>
          <w:color w:val="00B0F0"/>
          <w:rtl/>
        </w:rPr>
        <w:t>(וכ"כ הרמ"א)</w:t>
      </w:r>
    </w:p>
    <w:p w14:paraId="07751AB8" w14:textId="77777777" w:rsidR="001D49D4" w:rsidRPr="001D49D4" w:rsidRDefault="001D49D4" w:rsidP="0004348D">
      <w:pPr>
        <w:numPr>
          <w:ilvl w:val="1"/>
          <w:numId w:val="352"/>
        </w:numPr>
        <w:spacing w:before="360" w:after="240"/>
        <w:contextualSpacing/>
        <w:rPr>
          <w:rFonts w:ascii="Calibri" w:eastAsia="Calibri" w:hAnsi="Calibri" w:cs="Arial"/>
        </w:rPr>
      </w:pPr>
      <w:r w:rsidRPr="001D49D4">
        <w:rPr>
          <w:rFonts w:ascii="Calibri" w:eastAsia="Calibri" w:hAnsi="Calibri" w:cs="Arial"/>
          <w:rtl/>
        </w:rPr>
        <w:t xml:space="preserve">ב"י </w:t>
      </w:r>
      <w:r w:rsidRPr="001D49D4">
        <w:rPr>
          <w:rFonts w:ascii="Calibri" w:eastAsia="Calibri" w:hAnsi="Calibri" w:cs="Arial"/>
          <w:sz w:val="16"/>
          <w:szCs w:val="16"/>
          <w:rtl/>
        </w:rPr>
        <w:t>(בבדה"ב)</w:t>
      </w:r>
      <w:r w:rsidRPr="001D49D4">
        <w:rPr>
          <w:rFonts w:ascii="Calibri" w:eastAsia="Calibri" w:hAnsi="Calibri" w:cs="Arial"/>
          <w:rtl/>
        </w:rPr>
        <w:t>- ולענין הלכה נקטינן כהרמב"ם דסוגיין דעלמא בדיני ממונות כוותיה ועוד דהרמ"ה כוותיה ופשט דברי הרי"ף כוותיה.</w:t>
      </w:r>
    </w:p>
    <w:p w14:paraId="328EA750" w14:textId="77777777" w:rsidR="001D49D4" w:rsidRPr="001D49D4" w:rsidRDefault="001D49D4" w:rsidP="0004348D">
      <w:pPr>
        <w:spacing w:before="360" w:after="240"/>
        <w:rPr>
          <w:rFonts w:ascii="Calibri" w:eastAsia="Calibri" w:hAnsi="Calibri" w:cs="Arial"/>
        </w:rPr>
      </w:pPr>
      <w:r w:rsidRPr="001D49D4">
        <w:rPr>
          <w:rFonts w:ascii="Calibri" w:eastAsia="Calibri" w:hAnsi="Calibri" w:cs="Arial"/>
          <w:u w:val="single"/>
          <w:rtl/>
        </w:rPr>
        <w:t>ערכאות שסומכים על נער לכתוב השטר ולא בודקים אחריו:</w:t>
      </w:r>
    </w:p>
    <w:p w14:paraId="25B570D2" w14:textId="77777777" w:rsidR="001D49D4" w:rsidRPr="001D49D4" w:rsidRDefault="001D49D4" w:rsidP="0004348D">
      <w:pPr>
        <w:numPr>
          <w:ilvl w:val="0"/>
          <w:numId w:val="352"/>
        </w:numPr>
        <w:spacing w:before="360" w:after="240"/>
        <w:contextualSpacing/>
        <w:rPr>
          <w:rFonts w:ascii="Calibri" w:eastAsia="Calibri" w:hAnsi="Calibri" w:cs="Arial"/>
        </w:rPr>
      </w:pPr>
      <w:r w:rsidRPr="001D49D4">
        <w:rPr>
          <w:rFonts w:ascii="Calibri" w:eastAsia="Calibri" w:hAnsi="Calibri" w:cs="Arial"/>
          <w:rtl/>
        </w:rPr>
        <w:t xml:space="preserve">רשב"א </w:t>
      </w:r>
      <w:r w:rsidRPr="001D49D4">
        <w:rPr>
          <w:rFonts w:ascii="Calibri" w:eastAsia="Calibri" w:hAnsi="Calibri" w:cs="Arial"/>
          <w:sz w:val="16"/>
          <w:szCs w:val="16"/>
          <w:rtl/>
        </w:rPr>
        <w:t>(שם)</w:t>
      </w:r>
      <w:r w:rsidRPr="001D49D4">
        <w:rPr>
          <w:rFonts w:ascii="Calibri" w:eastAsia="Calibri" w:hAnsi="Calibri" w:cs="Arial"/>
          <w:rtl/>
        </w:rPr>
        <w:t xml:space="preserve">- במקומות הללו שהערכי מעמיד נער במקומו לכתוב, והוא </w:t>
      </w:r>
      <w:r w:rsidRPr="001D49D4">
        <w:rPr>
          <w:rFonts w:ascii="Calibri" w:eastAsia="Calibri" w:hAnsi="Calibri" w:cs="Arial"/>
          <w:sz w:val="16"/>
          <w:szCs w:val="16"/>
          <w:rtl/>
        </w:rPr>
        <w:t xml:space="preserve">{הערכי} </w:t>
      </w:r>
      <w:r w:rsidRPr="001D49D4">
        <w:rPr>
          <w:rFonts w:ascii="Calibri" w:eastAsia="Calibri" w:hAnsi="Calibri" w:cs="Arial"/>
          <w:rtl/>
        </w:rPr>
        <w:t>אינו יודע ואעפ"כ מקיים שטר זה שכתב הנער - לא חיישינן כלל, דסמכינן אחזקה דלא מרעי נפשייהו ולא הוה מקיים להו כלל אי לאו דקים להו מתחלה ביה דלא הוה משקר ביה לעולם.</w:t>
      </w:r>
    </w:p>
    <w:p w14:paraId="3CB5EA14" w14:textId="77777777" w:rsidR="001D49D4" w:rsidRPr="001D49D4" w:rsidRDefault="001D49D4" w:rsidP="0004348D">
      <w:pPr>
        <w:spacing w:before="360" w:after="240"/>
        <w:rPr>
          <w:rFonts w:ascii="Calibri" w:eastAsia="Calibri" w:hAnsi="Calibri" w:cs="Arial"/>
          <w:u w:val="single"/>
        </w:rPr>
      </w:pPr>
      <w:r w:rsidRPr="001D49D4">
        <w:rPr>
          <w:rFonts w:ascii="Calibri" w:eastAsia="Calibri" w:hAnsi="Calibri" w:cs="Arial"/>
          <w:u w:val="single"/>
          <w:rtl/>
        </w:rPr>
        <w:t>ספרי הערכאות:</w:t>
      </w:r>
    </w:p>
    <w:p w14:paraId="29E1C72D" w14:textId="77777777" w:rsidR="001D49D4" w:rsidRPr="001D49D4" w:rsidRDefault="001D49D4" w:rsidP="0004348D">
      <w:pPr>
        <w:numPr>
          <w:ilvl w:val="0"/>
          <w:numId w:val="352"/>
        </w:numPr>
        <w:spacing w:before="360" w:after="240"/>
        <w:contextualSpacing/>
        <w:rPr>
          <w:rFonts w:ascii="Calibri" w:eastAsia="Calibri" w:hAnsi="Calibri" w:cs="Arial"/>
        </w:rPr>
      </w:pPr>
      <w:r w:rsidRPr="001D49D4">
        <w:rPr>
          <w:rFonts w:ascii="Calibri" w:eastAsia="Calibri" w:hAnsi="Calibri" w:cs="Arial"/>
          <w:rtl/>
        </w:rPr>
        <w:t xml:space="preserve">רשב"א </w:t>
      </w:r>
      <w:r w:rsidRPr="001D49D4">
        <w:rPr>
          <w:rFonts w:ascii="Calibri" w:eastAsia="Calibri" w:hAnsi="Calibri" w:cs="Arial"/>
          <w:sz w:val="16"/>
          <w:szCs w:val="16"/>
          <w:rtl/>
        </w:rPr>
        <w:t>(ח"ג סי' טו)</w:t>
      </w:r>
      <w:r w:rsidRPr="001D49D4">
        <w:rPr>
          <w:rFonts w:ascii="Calibri" w:eastAsia="Calibri" w:hAnsi="Calibri" w:cs="Arial"/>
          <w:rtl/>
        </w:rPr>
        <w:t xml:space="preserve">- ספר הערכי כשטר הערכי, שאין עיקר הענין אלא משום נאמנותו של הערכי, אם כן ספרו כשטרו שגם הוא לא היה כותב בספרו אא"כ היה אמת דלא מרע נפשיה. וכל מה שהערכי מוצא כתוב בספרו עליו הוא סומך לכתוב בשטר, אם כן אין לחלק בין ספרו לשטרו. </w:t>
      </w:r>
      <w:r w:rsidRPr="001D49D4">
        <w:rPr>
          <w:rFonts w:ascii="Calibri" w:eastAsia="Calibri" w:hAnsi="Calibri" w:cs="Arial"/>
          <w:color w:val="00B0F0"/>
          <w:rtl/>
        </w:rPr>
        <w:t>(וכ"פ הרמ"א)</w:t>
      </w:r>
    </w:p>
    <w:p w14:paraId="55A2CEE1" w14:textId="77777777" w:rsidR="001D49D4" w:rsidRPr="001D49D4" w:rsidRDefault="001D49D4" w:rsidP="0004348D">
      <w:pPr>
        <w:spacing w:before="360" w:after="240"/>
        <w:rPr>
          <w:rFonts w:ascii="Calibri" w:eastAsia="Calibri" w:hAnsi="Calibri" w:cs="Arial"/>
          <w:u w:val="single"/>
        </w:rPr>
      </w:pPr>
      <w:r w:rsidRPr="001D49D4">
        <w:rPr>
          <w:rFonts w:ascii="Calibri" w:eastAsia="Calibri" w:hAnsi="Calibri" w:cs="Arial"/>
          <w:u w:val="single"/>
          <w:rtl/>
        </w:rPr>
        <w:t>מחיקות בספרי הערכאות, והאם אפשר להעמיד/להוציא ממון ע"פ ספרי הערכאות:</w:t>
      </w:r>
    </w:p>
    <w:p w14:paraId="61E77D28" w14:textId="77777777" w:rsidR="001D49D4" w:rsidRPr="001D49D4" w:rsidRDefault="001D49D4" w:rsidP="0004348D">
      <w:pPr>
        <w:numPr>
          <w:ilvl w:val="0"/>
          <w:numId w:val="352"/>
        </w:numPr>
        <w:spacing w:before="360" w:after="240"/>
        <w:contextualSpacing/>
        <w:rPr>
          <w:rFonts w:ascii="Calibri" w:eastAsia="Calibri" w:hAnsi="Calibri" w:cs="Arial"/>
        </w:rPr>
      </w:pPr>
      <w:r w:rsidRPr="001D49D4">
        <w:rPr>
          <w:rFonts w:ascii="Calibri" w:eastAsia="Calibri" w:hAnsi="Calibri" w:cs="Arial"/>
          <w:rtl/>
        </w:rPr>
        <w:t xml:space="preserve">רשב"א </w:t>
      </w:r>
      <w:r w:rsidRPr="001D49D4">
        <w:rPr>
          <w:rFonts w:ascii="Calibri" w:eastAsia="Calibri" w:hAnsi="Calibri" w:cs="Arial"/>
          <w:sz w:val="16"/>
          <w:szCs w:val="16"/>
          <w:rtl/>
        </w:rPr>
        <w:t>(שם סי' טז)</w:t>
      </w:r>
      <w:r w:rsidRPr="001D49D4">
        <w:rPr>
          <w:rFonts w:ascii="Calibri" w:eastAsia="Calibri" w:hAnsi="Calibri" w:cs="Arial"/>
          <w:rtl/>
        </w:rPr>
        <w:t>- מה שנמצא בספר הערכי שעבר עליו הקולמוס על זכותו של זה, אומר אני כי שני מחקין יש במה שמוחק הערכי מה שכתוב בספרו, האחד - שנכתב ולא בא לידי גמר, והשני - שמוחק להודיע שכבר נכתב ונחתם וניתן לבעליו כדי שלא יכתוב שני שטרות על שדה אחת או על הלואה אחת. ואלו שבמקומנו נהגו להעביר הקולמוס כמין שלשלת על אותו שלא בא לידי גמר, ועל האחר שבא לידי גמר ונכתב ונחתם וניתן לבעליו מעביר עליו קולמוס העברה פשוטה, ומקצתן נוהגין לכתוב בזה 'נחתם ויצא'. ואשר אמרתם במה שנהגו להעביר שם הקולמוס שתי וערב יראה שהוא ענין המחק השני שאמרתי שבא לגמר אלא שניתן לבעליו. ומכל מקום עדיין אני במקומי עומד במה שאמרתי שאין כל ענין השטרות העולות בערכאות של גוים כשרים אלא מפני שנאמן הערכי אצלנו משום דלא מרע נפשיה, א"כ כל מה שכתוב בספרו אנו מחזיקין שכן היה האמת, ולפיכך אע"פ שאינך עושה דין על פי ספרו להוציא, וכמו שאין אנו כותבין שני שטרות על שדה אחת בשטרי מכר</w:t>
      </w:r>
      <w:r w:rsidRPr="001D49D4">
        <w:rPr>
          <w:rFonts w:ascii="Calibri" w:eastAsia="Calibri" w:hAnsi="Calibri" w:cs="Arial"/>
          <w:sz w:val="16"/>
          <w:szCs w:val="16"/>
          <w:rtl/>
        </w:rPr>
        <w:t xml:space="preserve"> (ב"ב קסח:)</w:t>
      </w:r>
      <w:r w:rsidRPr="001D49D4">
        <w:rPr>
          <w:rFonts w:ascii="Calibri" w:eastAsia="Calibri" w:hAnsi="Calibri" w:cs="Arial"/>
          <w:rtl/>
        </w:rPr>
        <w:t xml:space="preserve"> ובשטרי הלואה משום שמא יגבה ויחזור ויגבה, מכל מקום לאוקומי - עושין דין, שאין אנו צריכין כאן אלא לדעת שמעון זה שמחזיק בקרקע מחמת שניתן או נמכר אותו קרקע לבת ראובן ולוי בעלה שהוא בא מכחה אם הוא אמת שכן היה כדי שלא יוציאנו מחזקתו, והאמת מתברר מתוך ספרו של הערכי. זהו שנראה לי בזה בלי ספק. עוד אני אומר דפעמים דנין ומוציאין על פי ספרו כל שאין שם חשש פרעון. כיצד, האומר לחבירו 'מנה לי בידך', והלה אומר 'אין לך בידי כלום', ועדים מעידים שלוה - גובה, שכל האומר 'לא לויתי' כאומר 'לא פרעתי', וכשבאו עדים ואמרו שלוה הרי זה הוחזק כפרן, ואפילו אמרו העדים שלוה ופרע - גובה הכל, כדאיתא בפרק שבועת הדיינים </w:t>
      </w:r>
      <w:r w:rsidRPr="001D49D4">
        <w:rPr>
          <w:rFonts w:ascii="Calibri" w:eastAsia="Calibri" w:hAnsi="Calibri" w:cs="Arial"/>
          <w:sz w:val="16"/>
          <w:szCs w:val="16"/>
          <w:rtl/>
        </w:rPr>
        <w:t xml:space="preserve">(שבועות מא:) </w:t>
      </w:r>
      <w:r w:rsidRPr="001D49D4">
        <w:rPr>
          <w:rFonts w:ascii="Calibri" w:eastAsia="Calibri" w:hAnsi="Calibri" w:cs="Arial"/>
          <w:rtl/>
        </w:rPr>
        <w:t>לפי שהעדים מעידים שלוה ונאמנים עליו והוא מודה שלא פרע ונאמן על עצמו יותר ממאה עדים, וספר הערכי נאמן אצלנו כעדים.</w:t>
      </w:r>
    </w:p>
    <w:p w14:paraId="08B94532" w14:textId="77777777" w:rsidR="001D49D4" w:rsidRPr="001D49D4" w:rsidRDefault="001D49D4" w:rsidP="0004348D">
      <w:pPr>
        <w:spacing w:before="360" w:after="240"/>
        <w:rPr>
          <w:rFonts w:ascii="Calibri" w:eastAsia="Calibri" w:hAnsi="Calibri" w:cs="Arial"/>
          <w:u w:val="single"/>
        </w:rPr>
      </w:pPr>
      <w:r w:rsidRPr="001D49D4">
        <w:rPr>
          <w:rFonts w:ascii="Calibri" w:eastAsia="Calibri" w:hAnsi="Calibri" w:cs="Arial"/>
          <w:u w:val="single"/>
          <w:rtl/>
        </w:rPr>
        <w:t>שטרות שכותבים סופרי המלך:</w:t>
      </w:r>
    </w:p>
    <w:p w14:paraId="46A04496" w14:textId="77777777" w:rsidR="001D49D4" w:rsidRPr="001D49D4" w:rsidRDefault="001D49D4" w:rsidP="0004348D">
      <w:pPr>
        <w:numPr>
          <w:ilvl w:val="0"/>
          <w:numId w:val="353"/>
        </w:numPr>
        <w:spacing w:before="360" w:after="240"/>
        <w:contextualSpacing/>
        <w:rPr>
          <w:rFonts w:ascii="Calibri" w:eastAsia="Calibri" w:hAnsi="Calibri" w:cs="Arial"/>
        </w:rPr>
      </w:pPr>
      <w:r w:rsidRPr="001D49D4">
        <w:rPr>
          <w:rFonts w:ascii="Calibri" w:eastAsia="Calibri" w:hAnsi="Calibri" w:cs="Arial"/>
          <w:rtl/>
        </w:rPr>
        <w:t xml:space="preserve">רמב"ן </w:t>
      </w:r>
      <w:r w:rsidRPr="001D49D4">
        <w:rPr>
          <w:rFonts w:ascii="Calibri" w:eastAsia="Calibri" w:hAnsi="Calibri" w:cs="Arial"/>
          <w:sz w:val="16"/>
          <w:szCs w:val="16"/>
          <w:rtl/>
        </w:rPr>
        <w:t xml:space="preserve">(שו"ת סי' מז וסי' ע) </w:t>
      </w:r>
      <w:r w:rsidRPr="001D49D4">
        <w:rPr>
          <w:rFonts w:ascii="Calibri" w:eastAsia="Calibri" w:hAnsi="Calibri" w:cs="Arial"/>
          <w:rtl/>
        </w:rPr>
        <w:t>וטור- שטרות העשויין בנטורין של מלכות, פירוש ע"י סופרי המלך, ואפילו אין עדים חתומים בו אלא אחד ממונה על פי המלך - כשר</w:t>
      </w:r>
      <w:r w:rsidRPr="001D49D4">
        <w:rPr>
          <w:rFonts w:ascii="Calibri" w:eastAsia="Calibri" w:hAnsi="Calibri" w:cs="Arial"/>
          <w:vertAlign w:val="superscript"/>
          <w:rtl/>
        </w:rPr>
        <w:footnoteReference w:id="5490"/>
      </w:r>
      <w:r w:rsidRPr="001D49D4">
        <w:rPr>
          <w:rFonts w:ascii="Calibri" w:eastAsia="Calibri" w:hAnsi="Calibri" w:cs="Arial"/>
          <w:rtl/>
        </w:rPr>
        <w:t>, ולא מן הדין אלא משום דינא דמלכותא, וגובין בו מן המשועבדין דקלא אית להו. ואם חסר בו דרך מדרכי ההקנאה כגון שלא הקנה מטלטלי אגב מקרקעי או שלא כתב דאיקני וכיוצא בו - אין דנין בו לענין אותו דבר שחסר בו. ואם הוא דבר הפוסלו כגון שנתן לו מעות בלא אגב או שטרות בלא מסירה וכתיבת 'קני לך איהו וכל שיעבודא דאית ביה' - פסולין לגמרי, דלא עדיפי בערכאות מבסופרי ישראל, שאין דינין של מלכים אלא להכשיר שטרות שלהן ולעשות סופר שלהם נאמן כמאה עדים שלנו</w:t>
      </w:r>
      <w:r w:rsidRPr="001D49D4">
        <w:rPr>
          <w:rFonts w:ascii="Calibri" w:eastAsia="Calibri" w:hAnsi="Calibri" w:cs="Arial"/>
          <w:vertAlign w:val="superscript"/>
          <w:rtl/>
        </w:rPr>
        <w:footnoteReference w:id="5491"/>
      </w:r>
      <w:r w:rsidRPr="001D49D4">
        <w:rPr>
          <w:rFonts w:ascii="Calibri" w:eastAsia="Calibri" w:hAnsi="Calibri" w:cs="Arial"/>
          <w:rtl/>
        </w:rPr>
        <w:t xml:space="preserve"> אבל לענין דרכי הקנאה לא עדיפי משטרות שלנו, שאף הגוים במקומות הרבה בדינין חלוקים דנין אותם, וכשחסר להם דרך מהנימוסים שלהן לפי דעתו של דיין פוסלין אותו זה בורר לו דין ונימוס אחד וזה בורר לו דין ונימוס אחר כפי מחלוקת חכמיהם ומנהג מקומותיהם שאין המלכים מקפידים אלא בהכשר שטרות שלהם</w:t>
      </w:r>
      <w:r w:rsidRPr="001D49D4">
        <w:rPr>
          <w:rFonts w:ascii="Calibri" w:eastAsia="Calibri" w:hAnsi="Calibri" w:cs="Arial"/>
          <w:sz w:val="16"/>
          <w:szCs w:val="16"/>
          <w:rtl/>
        </w:rPr>
        <w:t xml:space="preserve"> (ל' הטור בשם הרמב"ן)</w:t>
      </w:r>
      <w:r w:rsidRPr="001D49D4">
        <w:rPr>
          <w:rFonts w:ascii="Calibri" w:eastAsia="Calibri" w:hAnsi="Calibri" w:cs="Arial"/>
          <w:vertAlign w:val="superscript"/>
          <w:rtl/>
        </w:rPr>
        <w:footnoteReference w:id="5492"/>
      </w:r>
      <w:r w:rsidRPr="001D49D4">
        <w:rPr>
          <w:rFonts w:ascii="Calibri" w:eastAsia="Calibri" w:hAnsi="Calibri" w:cs="Arial"/>
          <w:rtl/>
        </w:rPr>
        <w:t xml:space="preserve">. </w:t>
      </w:r>
      <w:r w:rsidRPr="001D49D4">
        <w:rPr>
          <w:rFonts w:ascii="Calibri" w:eastAsia="Calibri" w:hAnsi="Calibri" w:cs="Arial"/>
          <w:color w:val="00B0F0"/>
          <w:rtl/>
        </w:rPr>
        <w:t>(וכ"פ הרמ"א)</w:t>
      </w:r>
    </w:p>
    <w:p w14:paraId="0D741BE4" w14:textId="77777777" w:rsidR="001D49D4" w:rsidRPr="001D49D4" w:rsidRDefault="001D49D4" w:rsidP="0004348D">
      <w:pPr>
        <w:spacing w:before="360" w:after="240"/>
        <w:rPr>
          <w:rFonts w:ascii="Calibri" w:eastAsia="Calibri" w:hAnsi="Calibri" w:cs="Arial"/>
        </w:rPr>
      </w:pPr>
      <w:r w:rsidRPr="001D49D4">
        <w:rPr>
          <w:rFonts w:ascii="Calibri" w:eastAsia="Calibri" w:hAnsi="Calibri" w:cs="Arial"/>
          <w:u w:val="dotted"/>
          <w:rtl/>
        </w:rPr>
        <w:t>ומה הדין אם הסופרים ממונים מפי השופטים ולא מפי המלך:</w:t>
      </w:r>
    </w:p>
    <w:p w14:paraId="3A5EB4CC" w14:textId="77777777" w:rsidR="001D49D4" w:rsidRPr="001D49D4" w:rsidRDefault="001D49D4" w:rsidP="0004348D">
      <w:pPr>
        <w:numPr>
          <w:ilvl w:val="0"/>
          <w:numId w:val="352"/>
        </w:numPr>
        <w:spacing w:before="360" w:after="240"/>
        <w:contextualSpacing/>
        <w:rPr>
          <w:rFonts w:ascii="Calibri" w:eastAsia="Calibri" w:hAnsi="Calibri" w:cs="Arial"/>
          <w:rtl/>
        </w:rPr>
      </w:pPr>
      <w:r w:rsidRPr="001D49D4">
        <w:rPr>
          <w:rFonts w:ascii="Calibri" w:eastAsia="Calibri" w:hAnsi="Calibri" w:cs="Arial"/>
          <w:rtl/>
        </w:rPr>
        <w:t>טור- לדברי הכל אלו השטרות שכותבין הסופרים אין להם דין ערכאות אע"פ שהם ממונים מפי השופטים כיון שאין נעשין בפני השופטים.</w:t>
      </w:r>
      <w:r w:rsidRPr="001D49D4">
        <w:rPr>
          <w:rFonts w:ascii="Calibri" w:eastAsia="Calibri" w:hAnsi="Calibri" w:cs="Arial"/>
          <w:color w:val="00B0F0"/>
          <w:rtl/>
        </w:rPr>
        <w:t xml:space="preserve"> (וכ"פ הרמ"א)</w:t>
      </w:r>
    </w:p>
    <w:p w14:paraId="5E4ACE13" w14:textId="77777777" w:rsidR="001D49D4" w:rsidRPr="001D49D4" w:rsidRDefault="001D49D4" w:rsidP="0004348D">
      <w:pPr>
        <w:numPr>
          <w:ilvl w:val="0"/>
          <w:numId w:val="353"/>
        </w:numPr>
        <w:spacing w:before="360" w:after="240"/>
        <w:contextualSpacing/>
        <w:rPr>
          <w:rFonts w:ascii="Calibri" w:eastAsia="Calibri" w:hAnsi="Calibri" w:cs="Arial"/>
          <w:rtl/>
        </w:rPr>
      </w:pPr>
      <w:r w:rsidRPr="001D49D4">
        <w:rPr>
          <w:rFonts w:ascii="Calibri" w:eastAsia="Calibri" w:hAnsi="Calibri" w:cs="Arial"/>
          <w:rtl/>
        </w:rPr>
        <w:t>מהר"ם פדוא"ה</w:t>
      </w:r>
      <w:r w:rsidRPr="001D49D4">
        <w:rPr>
          <w:rFonts w:ascii="Calibri" w:eastAsia="Calibri" w:hAnsi="Calibri" w:cs="Arial"/>
          <w:sz w:val="16"/>
          <w:szCs w:val="16"/>
          <w:rtl/>
        </w:rPr>
        <w:t xml:space="preserve"> (סי' מז)</w:t>
      </w:r>
      <w:r w:rsidRPr="001D49D4">
        <w:rPr>
          <w:rFonts w:ascii="Calibri" w:eastAsia="Calibri" w:hAnsi="Calibri" w:cs="Arial"/>
          <w:rtl/>
        </w:rPr>
        <w:t>- לא מבעיא סופר המלך אלא אפילו סופרים הממונים מפי השופטים קשה לפוסלן ולפסול כל השטרות הנעשים לפניהם בארצות האלו</w:t>
      </w:r>
      <w:r w:rsidRPr="001D49D4">
        <w:rPr>
          <w:rFonts w:ascii="Calibri" w:eastAsia="Calibri" w:hAnsi="Calibri" w:cs="Arial"/>
          <w:vertAlign w:val="superscript"/>
          <w:rtl/>
        </w:rPr>
        <w:footnoteReference w:id="5493"/>
      </w:r>
      <w:r w:rsidRPr="001D49D4">
        <w:rPr>
          <w:rFonts w:ascii="Calibri" w:eastAsia="Calibri" w:hAnsi="Calibri" w:cs="Arial"/>
          <w:rtl/>
        </w:rPr>
        <w:t xml:space="preserve">. </w:t>
      </w:r>
    </w:p>
    <w:p w14:paraId="76D0922E" w14:textId="77777777" w:rsidR="001D49D4" w:rsidRPr="001D49D4" w:rsidRDefault="001D49D4" w:rsidP="0004348D">
      <w:pPr>
        <w:spacing w:before="360" w:after="240"/>
        <w:rPr>
          <w:rFonts w:ascii="Calibri" w:eastAsia="Calibri" w:hAnsi="Calibri" w:cs="Arial"/>
          <w:u w:val="single"/>
        </w:rPr>
      </w:pPr>
      <w:r w:rsidRPr="001D49D4">
        <w:rPr>
          <w:rFonts w:ascii="Calibri" w:eastAsia="Calibri" w:hAnsi="Calibri" w:cs="Arial"/>
          <w:u w:val="single"/>
          <w:rtl/>
        </w:rPr>
        <w:t>הורים שנתנו לבתם מטלטלי אגב מקרקעי במתנה עשויה ע"י סופר גוי וכתוב בה שנעשית בערכאות ושעשו קנין סודר:</w:t>
      </w:r>
    </w:p>
    <w:p w14:paraId="3A84E267" w14:textId="77777777" w:rsidR="001D49D4" w:rsidRPr="001D49D4" w:rsidRDefault="001D49D4" w:rsidP="0004348D">
      <w:pPr>
        <w:numPr>
          <w:ilvl w:val="0"/>
          <w:numId w:val="353"/>
        </w:numPr>
        <w:spacing w:before="360" w:after="240"/>
        <w:contextualSpacing/>
        <w:rPr>
          <w:rFonts w:ascii="Calibri" w:eastAsia="Calibri" w:hAnsi="Calibri" w:cs="Arial"/>
        </w:rPr>
      </w:pPr>
      <w:r w:rsidRPr="001D49D4">
        <w:rPr>
          <w:rFonts w:ascii="Calibri" w:eastAsia="Calibri" w:hAnsi="Calibri" w:cs="Arial"/>
          <w:rtl/>
        </w:rPr>
        <w:t xml:space="preserve">ריב"ש </w:t>
      </w:r>
      <w:r w:rsidRPr="001D49D4">
        <w:rPr>
          <w:rFonts w:ascii="Calibri" w:eastAsia="Calibri" w:hAnsi="Calibri" w:cs="Arial"/>
          <w:sz w:val="16"/>
          <w:szCs w:val="16"/>
          <w:rtl/>
        </w:rPr>
        <w:t>(סי' רג)</w:t>
      </w:r>
      <w:r w:rsidRPr="001D49D4">
        <w:rPr>
          <w:rFonts w:ascii="Calibri" w:eastAsia="Calibri" w:hAnsi="Calibri" w:cs="Arial"/>
          <w:rtl/>
        </w:rPr>
        <w:t>- ובנדון זה הרי יש במתנה זו קנין סודר, והערכי נאמן לומר שהנותן נטל קנין, דאי לאו דחזא הכי לא מרע נפשיה. ואי משום דלא כתב 'במנא דכשר למקניא ביה' - אין בכך כלום, שמה שכותבים הלשון ההוא אינו אלא לשופרא דשטרא ואין לחוש שטעו וקנו בדבר שאינו מועיל שהכל יודעים דבר זה לרוב רגילותו. ואע"פ שהערכי אינו בקי בדינים אלו מכל מקום כבר הזכיר שהיו שם עדי ישראל, והוא נאמן על זה, והעדים שהוזמנו להעיד ודאי דקדקו שנעשה כראוי.</w:t>
      </w:r>
    </w:p>
    <w:p w14:paraId="16EE4E48"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u w:val="single"/>
          <w:rtl/>
        </w:rPr>
        <w:t>שטר של מכירת בית הנעשה ביד גוים הדיוטות ואח"כ דנו הערכאות על אותו שטר והעמידו הקונה בבית:</w:t>
      </w:r>
      <w:r w:rsidRPr="001D49D4">
        <w:rPr>
          <w:rFonts w:ascii="Calibri" w:eastAsia="Calibri" w:hAnsi="Calibri" w:cs="Arial"/>
          <w:rtl/>
        </w:rPr>
        <w:t xml:space="preserve"> </w:t>
      </w:r>
      <w:r w:rsidRPr="001D49D4">
        <w:rPr>
          <w:rFonts w:ascii="Calibri" w:eastAsia="Calibri" w:hAnsi="Calibri" w:cs="Arial"/>
          <w:sz w:val="16"/>
          <w:szCs w:val="16"/>
          <w:rtl/>
        </w:rPr>
        <w:t>(דרכ"מ אות א)</w:t>
      </w:r>
      <w:r w:rsidRPr="001D49D4">
        <w:rPr>
          <w:rFonts w:ascii="Calibri" w:eastAsia="Calibri" w:hAnsi="Calibri" w:cs="Arial"/>
          <w:rtl/>
        </w:rPr>
        <w:t xml:space="preserve"> </w:t>
      </w:r>
    </w:p>
    <w:p w14:paraId="4F3DD0DC" w14:textId="77777777" w:rsidR="001D49D4" w:rsidRPr="001D49D4" w:rsidRDefault="001D49D4" w:rsidP="0004348D">
      <w:pPr>
        <w:numPr>
          <w:ilvl w:val="0"/>
          <w:numId w:val="354"/>
        </w:numPr>
        <w:spacing w:before="360" w:after="240"/>
        <w:contextualSpacing/>
        <w:rPr>
          <w:rFonts w:ascii="Calibri" w:eastAsia="Calibri" w:hAnsi="Calibri" w:cs="Arial"/>
          <w:rtl/>
        </w:rPr>
      </w:pPr>
      <w:r w:rsidRPr="001D49D4">
        <w:rPr>
          <w:rFonts w:ascii="Calibri" w:eastAsia="Calibri" w:hAnsi="Calibri" w:cs="Arial"/>
          <w:rtl/>
        </w:rPr>
        <w:t xml:space="preserve">או"ז </w:t>
      </w:r>
      <w:r w:rsidRPr="001D49D4">
        <w:rPr>
          <w:rFonts w:ascii="Calibri" w:eastAsia="Calibri" w:hAnsi="Calibri" w:cs="Arial"/>
          <w:sz w:val="16"/>
          <w:szCs w:val="16"/>
          <w:rtl/>
        </w:rPr>
        <w:t>(פ"ק דגיטין סי' תשה)</w:t>
      </w:r>
      <w:r w:rsidRPr="001D49D4">
        <w:rPr>
          <w:rFonts w:ascii="Calibri" w:eastAsia="Calibri" w:hAnsi="Calibri" w:cs="Arial"/>
          <w:rtl/>
        </w:rPr>
        <w:t xml:space="preserve">- שטר של מכירת בית הנעשה ביד גוים ולא לפני ערכאות ואח"כ דנו הערכאות על אותו שטר והעמידו הקונה בבית - אינו כלום, מאחר שהשטר לא נעשה בערכאות חספא בעלמא הוא אע"פ שדנו אח"כ על פיו. </w:t>
      </w:r>
      <w:r w:rsidRPr="001D49D4">
        <w:rPr>
          <w:rFonts w:ascii="Calibri" w:eastAsia="Calibri" w:hAnsi="Calibri" w:cs="Arial"/>
          <w:color w:val="00B0F0"/>
          <w:rtl/>
        </w:rPr>
        <w:t>(וכ"פ הרמ"א)</w:t>
      </w:r>
    </w:p>
    <w:p w14:paraId="11826450" w14:textId="77777777" w:rsidR="001D49D4" w:rsidRPr="001D49D4" w:rsidRDefault="001D49D4" w:rsidP="0004348D">
      <w:pPr>
        <w:spacing w:before="360" w:after="240"/>
        <w:rPr>
          <w:rFonts w:ascii="Calibri" w:eastAsia="Calibri" w:hAnsi="Calibri" w:cs="Arial"/>
        </w:rPr>
      </w:pPr>
      <w:r w:rsidRPr="001D49D4">
        <w:rPr>
          <w:rFonts w:ascii="Calibri" w:eastAsia="Calibri" w:hAnsi="Calibri" w:cs="Arial"/>
          <w:u w:val="single"/>
          <w:rtl/>
        </w:rPr>
        <w:t>שטר הנעשה בערכאות והוא כשר לפי חוקותיהם ולפי דיננו הוא פסול:</w:t>
      </w:r>
      <w:r w:rsidRPr="001D49D4">
        <w:rPr>
          <w:rFonts w:ascii="Calibri" w:eastAsia="Calibri" w:hAnsi="Calibri" w:cs="Arial"/>
          <w:rtl/>
        </w:rPr>
        <w:t xml:space="preserve"> </w:t>
      </w:r>
      <w:r w:rsidRPr="001D49D4">
        <w:rPr>
          <w:rFonts w:ascii="Calibri" w:eastAsia="Calibri" w:hAnsi="Calibri" w:cs="Arial"/>
          <w:sz w:val="16"/>
          <w:szCs w:val="16"/>
          <w:rtl/>
        </w:rPr>
        <w:t>(דרכ"מ אות ז)</w:t>
      </w:r>
    </w:p>
    <w:p w14:paraId="524F031D" w14:textId="77777777" w:rsidR="001D49D4" w:rsidRPr="001D49D4" w:rsidRDefault="001D49D4" w:rsidP="0004348D">
      <w:pPr>
        <w:numPr>
          <w:ilvl w:val="0"/>
          <w:numId w:val="354"/>
        </w:numPr>
        <w:spacing w:before="360" w:after="240"/>
        <w:contextualSpacing/>
        <w:rPr>
          <w:rFonts w:ascii="Calibri" w:eastAsia="Calibri" w:hAnsi="Calibri" w:cs="Arial"/>
        </w:rPr>
      </w:pPr>
      <w:r w:rsidRPr="001D49D4">
        <w:rPr>
          <w:rFonts w:ascii="Calibri" w:eastAsia="Calibri" w:hAnsi="Calibri" w:cs="Arial"/>
          <w:rtl/>
        </w:rPr>
        <w:t xml:space="preserve">רא"ש </w:t>
      </w:r>
      <w:r w:rsidRPr="001D49D4">
        <w:rPr>
          <w:rFonts w:ascii="Calibri" w:eastAsia="Calibri" w:hAnsi="Calibri" w:cs="Arial"/>
          <w:sz w:val="16"/>
          <w:szCs w:val="16"/>
          <w:rtl/>
        </w:rPr>
        <w:t>(כלל יח סי' ה)</w:t>
      </w:r>
      <w:r w:rsidRPr="001D49D4">
        <w:rPr>
          <w:rFonts w:ascii="Calibri" w:eastAsia="Calibri" w:hAnsi="Calibri" w:cs="Arial"/>
          <w:rtl/>
        </w:rPr>
        <w:t>- שטרות הנעשים בערכאות של גוים ועשויין בלשון שטרי גוים כמו שרגילים הם לעשותם אע"פ שאינם עשויין בלשון שטרי ישראל - כשרים.</w:t>
      </w:r>
      <w:r w:rsidRPr="001D49D4">
        <w:rPr>
          <w:rFonts w:ascii="Calibri" w:eastAsia="Calibri" w:hAnsi="Calibri" w:cs="Arial"/>
          <w:color w:val="FF0000"/>
          <w:rtl/>
        </w:rPr>
        <w:t xml:space="preserve"> </w:t>
      </w:r>
    </w:p>
    <w:p w14:paraId="3C375643" w14:textId="77777777" w:rsidR="001D49D4" w:rsidRPr="001D49D4" w:rsidRDefault="001D49D4" w:rsidP="0004348D">
      <w:pPr>
        <w:numPr>
          <w:ilvl w:val="0"/>
          <w:numId w:val="354"/>
        </w:numPr>
        <w:spacing w:before="360" w:after="240"/>
        <w:contextualSpacing/>
        <w:rPr>
          <w:rFonts w:ascii="Calibri" w:eastAsia="Calibri" w:hAnsi="Calibri" w:cs="Arial"/>
        </w:rPr>
      </w:pPr>
      <w:r w:rsidRPr="001D49D4">
        <w:rPr>
          <w:rFonts w:ascii="Calibri" w:eastAsia="Calibri" w:hAnsi="Calibri" w:cs="Arial"/>
          <w:rtl/>
        </w:rPr>
        <w:t xml:space="preserve">מהרי"ק </w:t>
      </w:r>
      <w:r w:rsidRPr="001D49D4">
        <w:rPr>
          <w:rFonts w:ascii="Calibri" w:eastAsia="Calibri" w:hAnsi="Calibri" w:cs="Arial"/>
          <w:sz w:val="16"/>
          <w:szCs w:val="16"/>
          <w:rtl/>
        </w:rPr>
        <w:t>(שורש קפז)</w:t>
      </w:r>
      <w:r w:rsidRPr="001D49D4">
        <w:rPr>
          <w:rFonts w:ascii="Calibri" w:eastAsia="Calibri" w:hAnsi="Calibri" w:cs="Arial"/>
          <w:rtl/>
        </w:rPr>
        <w:t xml:space="preserve">- פסול. </w:t>
      </w:r>
    </w:p>
    <w:p w14:paraId="31F5234E" w14:textId="77777777" w:rsidR="001D49D4" w:rsidRPr="001D49D4" w:rsidRDefault="001D49D4" w:rsidP="0004348D">
      <w:pPr>
        <w:spacing w:before="360" w:after="240"/>
        <w:rPr>
          <w:rFonts w:ascii="Calibri" w:eastAsia="Calibri" w:hAnsi="Calibri" w:cs="Arial"/>
        </w:rPr>
      </w:pPr>
      <w:r w:rsidRPr="001D49D4">
        <w:rPr>
          <w:rFonts w:ascii="Calibri" w:eastAsia="Calibri" w:hAnsi="Calibri" w:cs="Arial"/>
          <w:u w:val="single"/>
          <w:rtl/>
        </w:rPr>
        <w:t>שטר הנעשה לפני הערכאות והוא פסול לפי חוקותיהם ולפי דיננו הוא כשר:</w:t>
      </w:r>
      <w:r w:rsidRPr="001D49D4">
        <w:rPr>
          <w:rFonts w:ascii="Calibri" w:eastAsia="Calibri" w:hAnsi="Calibri" w:cs="Arial"/>
          <w:rtl/>
        </w:rPr>
        <w:t xml:space="preserve"> </w:t>
      </w:r>
      <w:r w:rsidRPr="001D49D4">
        <w:rPr>
          <w:rFonts w:ascii="Calibri" w:eastAsia="Calibri" w:hAnsi="Calibri" w:cs="Arial"/>
          <w:sz w:val="16"/>
          <w:szCs w:val="16"/>
          <w:rtl/>
        </w:rPr>
        <w:t>(דרכ"מ אות ז)</w:t>
      </w:r>
    </w:p>
    <w:p w14:paraId="24582E72" w14:textId="77777777" w:rsidR="001D49D4" w:rsidRPr="001D49D4" w:rsidRDefault="001D49D4" w:rsidP="0004348D">
      <w:pPr>
        <w:numPr>
          <w:ilvl w:val="0"/>
          <w:numId w:val="354"/>
        </w:numPr>
        <w:spacing w:before="360" w:after="240"/>
        <w:contextualSpacing/>
        <w:rPr>
          <w:rFonts w:ascii="Calibri" w:eastAsia="Calibri" w:hAnsi="Calibri" w:cs="Arial"/>
        </w:rPr>
      </w:pPr>
      <w:r w:rsidRPr="001D49D4">
        <w:rPr>
          <w:rFonts w:ascii="Calibri" w:eastAsia="Calibri" w:hAnsi="Calibri" w:cs="Arial"/>
          <w:rtl/>
        </w:rPr>
        <w:t xml:space="preserve">ריב"ש </w:t>
      </w:r>
      <w:r w:rsidRPr="001D49D4">
        <w:rPr>
          <w:rFonts w:ascii="Calibri" w:eastAsia="Calibri" w:hAnsi="Calibri" w:cs="Arial"/>
          <w:sz w:val="16"/>
          <w:szCs w:val="16"/>
          <w:rtl/>
        </w:rPr>
        <w:t>(סי' נא)</w:t>
      </w:r>
      <w:r w:rsidRPr="001D49D4">
        <w:rPr>
          <w:rFonts w:ascii="Calibri" w:eastAsia="Calibri" w:hAnsi="Calibri" w:cs="Arial"/>
          <w:rtl/>
        </w:rPr>
        <w:t xml:space="preserve">- שטר הנעשה לפני הערכאות והוא פסול לפי חוקותיהם, אע"פ שלפי דינינו הוא כשר - לא נכשירהו יותר מהן. </w:t>
      </w:r>
      <w:r w:rsidRPr="001D49D4">
        <w:rPr>
          <w:rFonts w:ascii="Calibri" w:eastAsia="Calibri" w:hAnsi="Calibri" w:cs="Arial"/>
          <w:color w:val="00B0F0"/>
          <w:rtl/>
        </w:rPr>
        <w:t>(וכ"פ הרמ"א)</w:t>
      </w:r>
    </w:p>
    <w:p w14:paraId="65FA8D59" w14:textId="77777777" w:rsidR="001D49D4" w:rsidRPr="001D49D4" w:rsidRDefault="001D49D4" w:rsidP="0004348D">
      <w:pPr>
        <w:spacing w:before="360" w:after="240"/>
        <w:rPr>
          <w:rFonts w:ascii="Arial" w:eastAsia="Calibri" w:hAnsi="Arial" w:cs="Arial"/>
          <w:b/>
          <w:bCs/>
          <w:color w:val="000000"/>
          <w:sz w:val="28"/>
          <w:szCs w:val="28"/>
          <w:u w:val="single"/>
          <w:rtl/>
        </w:rPr>
      </w:pPr>
      <w:r w:rsidRPr="001D49D4">
        <w:rPr>
          <w:rFonts w:ascii="Arial" w:eastAsia="Calibri" w:hAnsi="Arial" w:cs="Arial"/>
          <w:b/>
          <w:bCs/>
          <w:color w:val="000000"/>
          <w:sz w:val="28"/>
          <w:szCs w:val="28"/>
          <w:u w:val="single"/>
          <w:rtl/>
        </w:rPr>
        <w:t>שו"ע:</w:t>
      </w:r>
    </w:p>
    <w:p w14:paraId="580D898A"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rtl/>
        </w:rPr>
        <w:t>שטר שכתוב בכל לשון ובכל כתב, אם היה עשוי כתקון שטרי ישראל שאינם יכולים להזדייף ולא להוסיף ולא לגרוע, והיו עדיו ישראל ויודעין לקרותו</w:t>
      </w:r>
      <w:r w:rsidRPr="001D49D4">
        <w:rPr>
          <w:rFonts w:ascii="Calibri" w:eastAsia="Calibri" w:hAnsi="Calibri" w:cs="Arial"/>
          <w:vertAlign w:val="superscript"/>
          <w:rtl/>
        </w:rPr>
        <w:footnoteReference w:id="5494"/>
      </w:r>
      <w:r w:rsidRPr="001D49D4">
        <w:rPr>
          <w:rFonts w:ascii="Calibri" w:eastAsia="Calibri" w:hAnsi="Calibri" w:cs="Arial"/>
          <w:rtl/>
        </w:rPr>
        <w:t>, הרי הוא כשר וגובה בו מהמשועבדים. אבל כל השטרות שחותמים גוים, פסולים, חוץ משטרי מקח וממכר ושטרי חוב</w:t>
      </w:r>
      <w:r w:rsidRPr="001D49D4">
        <w:rPr>
          <w:rFonts w:ascii="Calibri" w:eastAsia="Calibri" w:hAnsi="Calibri" w:cs="Arial"/>
          <w:vertAlign w:val="superscript"/>
          <w:rtl/>
        </w:rPr>
        <w:footnoteReference w:id="5495"/>
      </w:r>
      <w:r w:rsidRPr="001D49D4">
        <w:rPr>
          <w:rFonts w:ascii="Calibri" w:eastAsia="Calibri" w:hAnsi="Calibri" w:cs="Arial"/>
          <w:rtl/>
        </w:rPr>
        <w:t>, והוא שיתן המעות בפניהם ויכתבו בשטר 'לפנינו מנה פלוני לפלוני כך וכך דמי המכר' או 'מעות החוב', והוא שיהיו עשויים בערכאות שלהם, אבל במקום קיבוץ פליליהם בלא קיום השופט שלהם, לא יועילו כלום.</w:t>
      </w:r>
      <w:r w:rsidRPr="001D49D4">
        <w:rPr>
          <w:rFonts w:ascii="Calibri" w:eastAsia="Calibri" w:hAnsi="Calibri" w:cs="Arial"/>
          <w:sz w:val="18"/>
          <w:szCs w:val="18"/>
          <w:rtl/>
        </w:rPr>
        <w:t xml:space="preserve"> [הגה] ואפילו דנו כבר הערכאות ע"פ אותו השטר והחזיקו הקונה במקחו, אינו כלום </w:t>
      </w:r>
      <w:r w:rsidRPr="001D49D4">
        <w:rPr>
          <w:rFonts w:ascii="Calibri" w:eastAsia="Calibri" w:hAnsi="Calibri" w:cs="Arial"/>
          <w:sz w:val="16"/>
          <w:szCs w:val="16"/>
          <w:rtl/>
        </w:rPr>
        <w:t>(או"ז)</w:t>
      </w:r>
      <w:r w:rsidRPr="001D49D4">
        <w:rPr>
          <w:rFonts w:ascii="Calibri" w:eastAsia="Calibri" w:hAnsi="Calibri" w:cs="Arial"/>
          <w:sz w:val="18"/>
          <w:szCs w:val="18"/>
          <w:rtl/>
        </w:rPr>
        <w:t xml:space="preserve">. </w:t>
      </w:r>
      <w:r w:rsidRPr="001D49D4">
        <w:rPr>
          <w:rFonts w:ascii="Calibri" w:eastAsia="Calibri" w:hAnsi="Calibri" w:cs="Arial"/>
          <w:rtl/>
        </w:rPr>
        <w:t>וכן צריכים עידי ישראל שיעידו על אלו גוים שהם עידי השטר, ועל זה השופט שלהם שקיים עדותן, שאינם ידועים בקבלת שוחד, ואז גובים  מבני חורין</w:t>
      </w:r>
      <w:r w:rsidRPr="001D49D4">
        <w:rPr>
          <w:rFonts w:ascii="Calibri" w:eastAsia="Calibri" w:hAnsi="Calibri" w:cs="Arial"/>
          <w:vertAlign w:val="superscript"/>
          <w:rtl/>
        </w:rPr>
        <w:footnoteReference w:id="5496"/>
      </w:r>
      <w:r w:rsidRPr="001D49D4">
        <w:rPr>
          <w:rFonts w:ascii="Calibri" w:eastAsia="Calibri" w:hAnsi="Calibri" w:cs="Arial"/>
          <w:rtl/>
        </w:rPr>
        <w:t xml:space="preserve">. ואם חסרו שטרי גוים דבר מכל אלו, הרי הם כחרס. </w:t>
      </w:r>
      <w:r w:rsidRPr="001D49D4">
        <w:rPr>
          <w:rFonts w:ascii="Calibri" w:eastAsia="Calibri" w:hAnsi="Calibri" w:cs="Arial"/>
          <w:sz w:val="18"/>
          <w:szCs w:val="18"/>
          <w:rtl/>
        </w:rPr>
        <w:t>הגה: וספר שכותבין בו הערכאות</w:t>
      </w:r>
      <w:r w:rsidRPr="001D49D4">
        <w:rPr>
          <w:rFonts w:ascii="Calibri" w:eastAsia="Calibri" w:hAnsi="Calibri" w:cs="Arial"/>
          <w:sz w:val="18"/>
          <w:szCs w:val="18"/>
          <w:vertAlign w:val="superscript"/>
          <w:rtl/>
        </w:rPr>
        <w:footnoteReference w:id="5497"/>
      </w:r>
      <w:r w:rsidRPr="001D49D4">
        <w:rPr>
          <w:rFonts w:ascii="Calibri" w:eastAsia="Calibri" w:hAnsi="Calibri" w:cs="Arial"/>
          <w:sz w:val="18"/>
          <w:szCs w:val="18"/>
          <w:rtl/>
        </w:rPr>
        <w:t xml:space="preserve">, הוי כשטר שלהם </w:t>
      </w:r>
      <w:r w:rsidRPr="001D49D4">
        <w:rPr>
          <w:rFonts w:ascii="Calibri" w:eastAsia="Calibri" w:hAnsi="Calibri" w:cs="Arial"/>
          <w:sz w:val="16"/>
          <w:szCs w:val="16"/>
          <w:rtl/>
        </w:rPr>
        <w:t>(נ"י בשם הרשב"א)</w:t>
      </w:r>
      <w:r w:rsidRPr="001D49D4">
        <w:rPr>
          <w:rFonts w:ascii="Calibri" w:eastAsia="Calibri" w:hAnsi="Calibri" w:cs="Arial"/>
          <w:sz w:val="18"/>
          <w:szCs w:val="18"/>
          <w:rtl/>
        </w:rPr>
        <w:t>. וי"א דסתם ערכאות לא מקבלי שוחדא</w:t>
      </w:r>
      <w:r w:rsidRPr="001D49D4">
        <w:rPr>
          <w:rFonts w:ascii="Calibri" w:eastAsia="Calibri" w:hAnsi="Calibri" w:cs="Arial"/>
          <w:sz w:val="18"/>
          <w:szCs w:val="18"/>
          <w:vertAlign w:val="superscript"/>
          <w:rtl/>
        </w:rPr>
        <w:footnoteReference w:id="5498"/>
      </w:r>
      <w:r w:rsidRPr="001D49D4">
        <w:rPr>
          <w:rFonts w:ascii="Calibri" w:eastAsia="Calibri" w:hAnsi="Calibri" w:cs="Arial"/>
          <w:sz w:val="18"/>
          <w:szCs w:val="18"/>
          <w:rtl/>
        </w:rPr>
        <w:t>, וכיון שנעשה בפניהם גובין אפילו ממשעבדי, אפילו בלא עידי מסירה ישראל, ואפילו אין השופט חתום לקיים העדים, אלא כל שנעשה בפני הערכאות</w:t>
      </w:r>
      <w:r w:rsidRPr="001D49D4">
        <w:rPr>
          <w:rFonts w:ascii="Calibri" w:eastAsia="Calibri" w:hAnsi="Calibri" w:cs="Arial"/>
          <w:sz w:val="18"/>
          <w:szCs w:val="18"/>
          <w:vertAlign w:val="superscript"/>
          <w:rtl/>
        </w:rPr>
        <w:footnoteReference w:id="5499"/>
      </w:r>
      <w:r w:rsidRPr="001D49D4">
        <w:rPr>
          <w:rFonts w:ascii="Calibri" w:eastAsia="Calibri" w:hAnsi="Calibri" w:cs="Arial"/>
          <w:sz w:val="18"/>
          <w:szCs w:val="18"/>
          <w:rtl/>
        </w:rPr>
        <w:t xml:space="preserve"> לא מרעי נפשייהו לשקורי. ואפילו נפק עלייהו קלא דמקבלי שוחדא להטות משפט, מכל מקום לעדות שקר לא מרעי נפשייהו. ואין צריך שיהא כתוב בו שראו נתינת המעות, אלא שאנו סומכין שראו בודאי </w:t>
      </w:r>
      <w:r w:rsidRPr="001D49D4">
        <w:rPr>
          <w:rFonts w:ascii="Calibri" w:eastAsia="Calibri" w:hAnsi="Calibri" w:cs="Arial"/>
          <w:sz w:val="16"/>
          <w:szCs w:val="16"/>
          <w:rtl/>
        </w:rPr>
        <w:t>(רא"ש טור)</w:t>
      </w:r>
      <w:r w:rsidRPr="001D49D4">
        <w:rPr>
          <w:rFonts w:ascii="Calibri" w:eastAsia="Calibri" w:hAnsi="Calibri" w:cs="Arial"/>
          <w:sz w:val="18"/>
          <w:szCs w:val="18"/>
          <w:rtl/>
        </w:rPr>
        <w:t xml:space="preserve">. ואין חילוק בין חתום עליו עד אחד גוי או שנים </w:t>
      </w:r>
      <w:r w:rsidRPr="001D49D4">
        <w:rPr>
          <w:rFonts w:ascii="Calibri" w:eastAsia="Calibri" w:hAnsi="Calibri" w:cs="Arial"/>
          <w:sz w:val="16"/>
          <w:szCs w:val="16"/>
          <w:rtl/>
        </w:rPr>
        <w:t>(ב"י בשם הרשב"א)</w:t>
      </w:r>
      <w:r w:rsidRPr="001D49D4">
        <w:rPr>
          <w:rFonts w:ascii="Calibri" w:eastAsia="Calibri" w:hAnsi="Calibri" w:cs="Arial"/>
          <w:sz w:val="18"/>
          <w:szCs w:val="18"/>
          <w:rtl/>
        </w:rPr>
        <w:t xml:space="preserve">, כל שנעשה לפני השופט. אבל אם כתב סופר הממונה מפי השופט, שלא בפני השופט, אינו כלום </w:t>
      </w:r>
      <w:r w:rsidRPr="001D49D4">
        <w:rPr>
          <w:rFonts w:ascii="Calibri" w:eastAsia="Calibri" w:hAnsi="Calibri" w:cs="Arial"/>
          <w:sz w:val="16"/>
          <w:szCs w:val="16"/>
          <w:rtl/>
        </w:rPr>
        <w:t>(טור ומהר"ם פאדוואה סי' נד)</w:t>
      </w:r>
      <w:r w:rsidRPr="001D49D4">
        <w:rPr>
          <w:rFonts w:ascii="Calibri" w:eastAsia="Calibri" w:hAnsi="Calibri" w:cs="Arial"/>
          <w:sz w:val="18"/>
          <w:szCs w:val="18"/>
          <w:rtl/>
        </w:rPr>
        <w:t xml:space="preserve">. מיהו במקום שיש דינא דמלכותא להכשיר שטר שנעשה ע"י סופר המלך, כשר </w:t>
      </w:r>
      <w:r w:rsidRPr="001D49D4">
        <w:rPr>
          <w:rFonts w:ascii="Calibri" w:eastAsia="Calibri" w:hAnsi="Calibri" w:cs="Arial"/>
          <w:sz w:val="16"/>
          <w:szCs w:val="16"/>
          <w:rtl/>
        </w:rPr>
        <w:t>(טור בשם הרמב"ן)</w:t>
      </w:r>
      <w:r w:rsidRPr="001D49D4">
        <w:rPr>
          <w:rFonts w:ascii="Calibri" w:eastAsia="Calibri" w:hAnsi="Calibri" w:cs="Arial"/>
          <w:sz w:val="18"/>
          <w:szCs w:val="18"/>
          <w:rtl/>
        </w:rPr>
        <w:t xml:space="preserve">. </w:t>
      </w:r>
      <w:r w:rsidRPr="001D49D4">
        <w:rPr>
          <w:rFonts w:ascii="Calibri" w:eastAsia="Calibri" w:hAnsi="Calibri" w:cs="Arial"/>
          <w:rtl/>
        </w:rPr>
        <w:t>אבל שטרי מתנות, כגון: שדי נתונה לך, שעיקר הקנין נעשה על ידי השטר</w:t>
      </w:r>
      <w:r w:rsidRPr="001D49D4">
        <w:rPr>
          <w:rFonts w:ascii="Calibri" w:eastAsia="Calibri" w:hAnsi="Calibri" w:cs="Arial"/>
          <w:vertAlign w:val="superscript"/>
          <w:rtl/>
        </w:rPr>
        <w:footnoteReference w:id="5500"/>
      </w:r>
      <w:r w:rsidRPr="001D49D4">
        <w:rPr>
          <w:rFonts w:ascii="Calibri" w:eastAsia="Calibri" w:hAnsi="Calibri" w:cs="Arial"/>
          <w:rtl/>
        </w:rPr>
        <w:t>, וגוים חתומים בו, וכן שטרי הודאות שפלוני הודה לפלוני שהוא חייב לו</w:t>
      </w:r>
      <w:r w:rsidRPr="001D49D4">
        <w:rPr>
          <w:rFonts w:ascii="Calibri" w:eastAsia="Calibri" w:hAnsi="Calibri" w:cs="Arial"/>
          <w:vertAlign w:val="superscript"/>
          <w:rtl/>
        </w:rPr>
        <w:footnoteReference w:id="5501"/>
      </w:r>
      <w:r w:rsidRPr="001D49D4">
        <w:rPr>
          <w:rFonts w:ascii="Calibri" w:eastAsia="Calibri" w:hAnsi="Calibri" w:cs="Arial"/>
          <w:rtl/>
        </w:rPr>
        <w:t xml:space="preserve">, ופשרות, שהם בעדים שלהם </w:t>
      </w:r>
      <w:r w:rsidRPr="001D49D4">
        <w:rPr>
          <w:rFonts w:ascii="Calibri" w:eastAsia="Calibri" w:hAnsi="Calibri" w:cs="Arial"/>
          <w:sz w:val="18"/>
          <w:szCs w:val="18"/>
          <w:rtl/>
        </w:rPr>
        <w:t>[הגה] או שטרי מחילות</w:t>
      </w:r>
      <w:r w:rsidRPr="001D49D4">
        <w:rPr>
          <w:rFonts w:ascii="Calibri" w:eastAsia="Calibri" w:hAnsi="Calibri" w:cs="Arial"/>
          <w:sz w:val="18"/>
          <w:szCs w:val="18"/>
          <w:vertAlign w:val="superscript"/>
          <w:rtl/>
        </w:rPr>
        <w:footnoteReference w:id="5502"/>
      </w:r>
      <w:r w:rsidRPr="001D49D4">
        <w:rPr>
          <w:rFonts w:ascii="Calibri" w:eastAsia="Calibri" w:hAnsi="Calibri" w:cs="Arial"/>
          <w:sz w:val="18"/>
          <w:szCs w:val="18"/>
          <w:rtl/>
        </w:rPr>
        <w:t xml:space="preserve"> (טור), </w:t>
      </w:r>
      <w:r w:rsidRPr="001D49D4">
        <w:rPr>
          <w:rFonts w:ascii="Calibri" w:eastAsia="Calibri" w:hAnsi="Calibri" w:cs="Arial"/>
          <w:rtl/>
        </w:rPr>
        <w:t xml:space="preserve">אף על פי שיש בהם כל הדברים שמנינו, </w:t>
      </w:r>
      <w:r w:rsidRPr="001D49D4">
        <w:rPr>
          <w:rFonts w:ascii="Calibri" w:eastAsia="Calibri" w:hAnsi="Calibri" w:cs="Arial"/>
          <w:sz w:val="18"/>
          <w:szCs w:val="18"/>
          <w:rtl/>
        </w:rPr>
        <w:t>[הגה] ונמסרו לפני עידי ישראל (טור)</w:t>
      </w:r>
      <w:r w:rsidRPr="001D49D4">
        <w:rPr>
          <w:rFonts w:ascii="Calibri" w:eastAsia="Calibri" w:hAnsi="Calibri" w:cs="Arial"/>
          <w:rtl/>
        </w:rPr>
        <w:t>, הרי הם כחרס.</w:t>
      </w:r>
      <w:r w:rsidRPr="001D49D4">
        <w:rPr>
          <w:rFonts w:ascii="Calibri" w:eastAsia="Calibri" w:hAnsi="Calibri" w:cs="Arial"/>
          <w:sz w:val="18"/>
          <w:szCs w:val="18"/>
          <w:rtl/>
        </w:rPr>
        <w:t xml:space="preserve"> הגה: וי"א דשטרי הודאות כשטרי הלוואות </w:t>
      </w:r>
      <w:r w:rsidRPr="001D49D4">
        <w:rPr>
          <w:rFonts w:ascii="Calibri" w:eastAsia="Calibri" w:hAnsi="Calibri" w:cs="Arial"/>
          <w:sz w:val="16"/>
          <w:szCs w:val="16"/>
          <w:rtl/>
        </w:rPr>
        <w:t>(ב"י בשם הרשב"א והר"ן)</w:t>
      </w:r>
      <w:r w:rsidRPr="001D49D4">
        <w:rPr>
          <w:rFonts w:ascii="Calibri" w:eastAsia="Calibri" w:hAnsi="Calibri" w:cs="Arial"/>
          <w:sz w:val="18"/>
          <w:szCs w:val="18"/>
          <w:rtl/>
        </w:rPr>
        <w:t xml:space="preserve">. וכן שטרי מחילות כשרים בערכאות </w:t>
      </w:r>
      <w:r w:rsidRPr="001D49D4">
        <w:rPr>
          <w:rFonts w:ascii="Calibri" w:eastAsia="Calibri" w:hAnsi="Calibri" w:cs="Arial"/>
          <w:sz w:val="16"/>
          <w:szCs w:val="16"/>
          <w:rtl/>
        </w:rPr>
        <w:t>(ריב"ש סי' קמב)</w:t>
      </w:r>
      <w:r w:rsidRPr="001D49D4">
        <w:rPr>
          <w:rFonts w:ascii="Calibri" w:eastAsia="Calibri" w:hAnsi="Calibri" w:cs="Arial"/>
          <w:sz w:val="18"/>
          <w:szCs w:val="18"/>
          <w:rtl/>
        </w:rPr>
        <w:t xml:space="preserve">. וכן מתנה הנקנית בקנין או בחזקה </w:t>
      </w:r>
      <w:r w:rsidRPr="001D49D4">
        <w:rPr>
          <w:rFonts w:ascii="Calibri" w:eastAsia="Calibri" w:hAnsi="Calibri" w:cs="Arial"/>
          <w:sz w:val="16"/>
          <w:szCs w:val="16"/>
          <w:rtl/>
        </w:rPr>
        <w:t>(ב"י)</w:t>
      </w:r>
      <w:r w:rsidRPr="001D49D4">
        <w:rPr>
          <w:rFonts w:ascii="Calibri" w:eastAsia="Calibri" w:hAnsi="Calibri" w:cs="Arial"/>
          <w:sz w:val="18"/>
          <w:szCs w:val="18"/>
          <w:rtl/>
        </w:rPr>
        <w:t xml:space="preserve">, רק שהודה בערכאות, דכל השטר אינו אלא ראייה בעלמא, כשר מה שנעשה לפניהם </w:t>
      </w:r>
      <w:r w:rsidRPr="001D49D4">
        <w:rPr>
          <w:rFonts w:ascii="Calibri" w:eastAsia="Calibri" w:hAnsi="Calibri" w:cs="Arial"/>
          <w:sz w:val="16"/>
          <w:szCs w:val="16"/>
          <w:rtl/>
        </w:rPr>
        <w:t>(ר"ן)</w:t>
      </w:r>
      <w:r w:rsidRPr="001D49D4">
        <w:rPr>
          <w:rFonts w:ascii="Calibri" w:eastAsia="Calibri" w:hAnsi="Calibri" w:cs="Arial"/>
          <w:sz w:val="18"/>
          <w:szCs w:val="18"/>
          <w:rtl/>
        </w:rPr>
        <w:t xml:space="preserve">. ולכן שכיב מרע שעשה צוואה לפני ערכאות של גוים, קיים כל מה שצוה </w:t>
      </w:r>
      <w:r w:rsidRPr="001D49D4">
        <w:rPr>
          <w:rFonts w:ascii="Calibri" w:eastAsia="Calibri" w:hAnsi="Calibri" w:cs="Arial"/>
          <w:sz w:val="16"/>
          <w:szCs w:val="16"/>
          <w:rtl/>
        </w:rPr>
        <w:t>(ריב"ש סי' נא)</w:t>
      </w:r>
      <w:r w:rsidRPr="001D49D4">
        <w:rPr>
          <w:rFonts w:ascii="Calibri" w:eastAsia="Calibri" w:hAnsi="Calibri" w:cs="Arial"/>
          <w:sz w:val="18"/>
          <w:szCs w:val="18"/>
          <w:rtl/>
        </w:rPr>
        <w:t xml:space="preserve">, וכמו שיתבאר לקמן סי' רנג סל"ב. ובכל מקום שמשפט המלך לכתוב כל הדברים בערכאות, כל השטרות העשויין לפניהם כשרים, אפילו שטרי מתנות, מכח דינא דמלכותא </w:t>
      </w:r>
      <w:r w:rsidRPr="001D49D4">
        <w:rPr>
          <w:rFonts w:ascii="Calibri" w:eastAsia="Calibri" w:hAnsi="Calibri" w:cs="Arial"/>
          <w:sz w:val="16"/>
          <w:szCs w:val="16"/>
          <w:rtl/>
        </w:rPr>
        <w:t>(רא"ש וטור)</w:t>
      </w:r>
      <w:r w:rsidRPr="001D49D4">
        <w:rPr>
          <w:rFonts w:ascii="Calibri" w:eastAsia="Calibri" w:hAnsi="Calibri" w:cs="Arial"/>
          <w:sz w:val="18"/>
          <w:szCs w:val="18"/>
          <w:rtl/>
        </w:rPr>
        <w:t xml:space="preserve">. וכל שכן במקום שכבר נהגו להכשירם, כשרים </w:t>
      </w:r>
      <w:r w:rsidRPr="001D49D4">
        <w:rPr>
          <w:rFonts w:ascii="Calibri" w:eastAsia="Calibri" w:hAnsi="Calibri" w:cs="Arial"/>
          <w:sz w:val="16"/>
          <w:szCs w:val="16"/>
          <w:rtl/>
        </w:rPr>
        <w:t>(ריב"ש סי' תצג וסי' תעח, ובה"ת וב"י בשם רשב"א והה"מ)</w:t>
      </w:r>
      <w:r w:rsidRPr="001D49D4">
        <w:rPr>
          <w:rFonts w:ascii="Calibri" w:eastAsia="Calibri" w:hAnsi="Calibri" w:cs="Arial"/>
          <w:sz w:val="18"/>
          <w:szCs w:val="18"/>
          <w:rtl/>
        </w:rPr>
        <w:t xml:space="preserve">. ועיין לקמן סימן שס"ט בדין דינא דמלכותא. וכל שטר שמכשירין משום דינא דמלכותא, אם לא נכתב כהוגן לפי דיניהם, אע"פ שנכתב כהוגן לפי דינינו, פסול, דלא נכשיר יותר מהם </w:t>
      </w:r>
      <w:r w:rsidRPr="001D49D4">
        <w:rPr>
          <w:rFonts w:ascii="Calibri" w:eastAsia="Calibri" w:hAnsi="Calibri" w:cs="Arial"/>
          <w:sz w:val="16"/>
          <w:szCs w:val="16"/>
          <w:rtl/>
        </w:rPr>
        <w:t>(ריב"ש סי' נא)</w:t>
      </w:r>
      <w:r w:rsidRPr="001D49D4">
        <w:rPr>
          <w:rFonts w:ascii="Calibri" w:eastAsia="Calibri" w:hAnsi="Calibri" w:cs="Arial"/>
          <w:sz w:val="18"/>
          <w:szCs w:val="18"/>
          <w:rtl/>
        </w:rPr>
        <w:t xml:space="preserve">. וכן להפך, אם פסול לפי דינינו וכשר לפי דיניהם </w:t>
      </w:r>
      <w:r w:rsidRPr="001D49D4">
        <w:rPr>
          <w:rFonts w:ascii="Calibri" w:eastAsia="Calibri" w:hAnsi="Calibri" w:cs="Arial"/>
          <w:sz w:val="16"/>
          <w:szCs w:val="16"/>
          <w:rtl/>
        </w:rPr>
        <w:t>(מהרי"ק שורש קפז)</w:t>
      </w:r>
      <w:r w:rsidRPr="001D49D4">
        <w:rPr>
          <w:rFonts w:ascii="Calibri" w:eastAsia="Calibri" w:hAnsi="Calibri" w:cs="Arial"/>
          <w:sz w:val="18"/>
          <w:szCs w:val="18"/>
          <w:rtl/>
        </w:rPr>
        <w:t xml:space="preserve">. ויש חולקין בזה </w:t>
      </w:r>
      <w:r w:rsidRPr="001D49D4">
        <w:rPr>
          <w:rFonts w:ascii="Calibri" w:eastAsia="Calibri" w:hAnsi="Calibri" w:cs="Arial"/>
          <w:sz w:val="16"/>
          <w:szCs w:val="16"/>
          <w:rtl/>
        </w:rPr>
        <w:t>(רא"ש כלל יח)</w:t>
      </w:r>
      <w:r w:rsidRPr="001D49D4">
        <w:rPr>
          <w:rFonts w:ascii="Calibri" w:eastAsia="Calibri" w:hAnsi="Calibri" w:cs="Arial"/>
          <w:sz w:val="18"/>
          <w:szCs w:val="18"/>
          <w:rtl/>
        </w:rPr>
        <w:t>.</w:t>
      </w:r>
      <w:r w:rsidRPr="001D49D4">
        <w:rPr>
          <w:rFonts w:ascii="Calibri" w:eastAsia="Calibri" w:hAnsi="Calibri" w:cs="Arial"/>
          <w:rtl/>
        </w:rPr>
        <w:t xml:space="preserve"> </w:t>
      </w:r>
    </w:p>
    <w:p w14:paraId="1A6256CA" w14:textId="77777777" w:rsidR="001D49D4" w:rsidRPr="001D49D4" w:rsidRDefault="001D49D4" w:rsidP="0004348D">
      <w:pPr>
        <w:spacing w:before="360" w:after="240"/>
        <w:rPr>
          <w:rFonts w:ascii="Calibri" w:eastAsia="Calibri" w:hAnsi="Calibri" w:cs="Arial"/>
          <w:rtl/>
        </w:rPr>
      </w:pPr>
    </w:p>
    <w:p w14:paraId="49A84D30" w14:textId="77777777" w:rsidR="001D49D4" w:rsidRPr="001D49D4" w:rsidRDefault="001D49D4" w:rsidP="0004348D">
      <w:pPr>
        <w:keepNext/>
        <w:keepLines/>
        <w:spacing w:before="360" w:after="240"/>
        <w:outlineLvl w:val="1"/>
        <w:rPr>
          <w:rFonts w:ascii="Cambria" w:eastAsia="Times New Roman" w:hAnsi="Cambria" w:cs="Arial"/>
          <w:bCs/>
          <w:color w:val="548DD4" w:themeColor="text2" w:themeTint="99"/>
          <w:sz w:val="26"/>
          <w:szCs w:val="26"/>
          <w:rtl/>
        </w:rPr>
      </w:pPr>
      <w:bookmarkStart w:id="773" w:name="_Toc24884178"/>
      <w:r w:rsidRPr="001D49D4">
        <w:rPr>
          <w:rFonts w:ascii="Cambria" w:eastAsia="Times New Roman" w:hAnsi="Cambria" w:cs="Arial"/>
          <w:bCs/>
          <w:color w:val="548DD4" w:themeColor="text2" w:themeTint="99"/>
          <w:sz w:val="26"/>
          <w:szCs w:val="26"/>
          <w:rtl/>
        </w:rPr>
        <w:t>סעיף ב: שטר שנעשה בערכאות ואין דייני ישראל יודעים לקרותו. ושטר שעדיו גוים ומסרו בפני ב' מישראל.</w:t>
      </w:r>
      <w:bookmarkEnd w:id="773"/>
    </w:p>
    <w:p w14:paraId="58A6010E"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b/>
          <w:bCs/>
          <w:rtl/>
        </w:rPr>
        <w:t xml:space="preserve">גיטין </w:t>
      </w:r>
      <w:r w:rsidRPr="001D49D4">
        <w:rPr>
          <w:rFonts w:ascii="Calibri" w:eastAsia="Calibri" w:hAnsi="Calibri" w:cs="Arial"/>
          <w:b/>
          <w:bCs/>
          <w:sz w:val="16"/>
          <w:szCs w:val="16"/>
          <w:rtl/>
        </w:rPr>
        <w:t>(פ"ב)</w:t>
      </w:r>
      <w:r w:rsidRPr="001D49D4">
        <w:rPr>
          <w:rFonts w:ascii="Calibri" w:eastAsia="Calibri" w:hAnsi="Calibri" w:cs="Arial"/>
          <w:b/>
          <w:bCs/>
          <w:rtl/>
        </w:rPr>
        <w:t xml:space="preserve"> יט</w:t>
      </w:r>
      <w:r w:rsidRPr="001D49D4">
        <w:rPr>
          <w:rFonts w:ascii="Calibri" w:eastAsia="Calibri" w:hAnsi="Calibri" w:cs="Arial"/>
          <w:b/>
          <w:bCs/>
          <w:vertAlign w:val="superscript"/>
          <w:rtl/>
        </w:rPr>
        <w:footnoteReference w:id="5503"/>
      </w:r>
      <w:r w:rsidRPr="001D49D4">
        <w:rPr>
          <w:rFonts w:ascii="Calibri" w:eastAsia="Calibri" w:hAnsi="Calibri" w:cs="Arial"/>
          <w:b/>
          <w:bCs/>
          <w:rtl/>
        </w:rPr>
        <w:t xml:space="preserve"> ע"ב:</w:t>
      </w:r>
      <w:r w:rsidRPr="001D49D4">
        <w:rPr>
          <w:rFonts w:ascii="Calibri" w:eastAsia="Calibri" w:hAnsi="Calibri" w:cs="Arial"/>
          <w:rtl/>
        </w:rPr>
        <w:t xml:space="preserve"> </w:t>
      </w:r>
      <w:r w:rsidRPr="001D49D4">
        <w:rPr>
          <w:rFonts w:ascii="Calibri" w:eastAsia="Calibri" w:hAnsi="Calibri" w:cs="Arial"/>
          <w:u w:val="single"/>
          <w:rtl/>
        </w:rPr>
        <w:t>רב פפא</w:t>
      </w:r>
      <w:r w:rsidRPr="001D49D4">
        <w:rPr>
          <w:rFonts w:ascii="Calibri" w:eastAsia="Calibri" w:hAnsi="Calibri" w:cs="Arial"/>
          <w:rtl/>
        </w:rPr>
        <w:t xml:space="preserve"> כי הוה אתי לקמיה שטרא פרסאה דעביד בערכאות של גוים, מקרי להו לשני גוים זה שלא בפני זה במסיח לפי תומו, ומגבי ביה ממשעבדי.</w:t>
      </w:r>
      <w:r w:rsidRPr="001D49D4">
        <w:rPr>
          <w:rFonts w:ascii="Calibri" w:eastAsia="Calibri" w:hAnsi="Calibri" w:cs="Arial"/>
          <w:sz w:val="16"/>
          <w:szCs w:val="16"/>
          <w:rtl/>
        </w:rPr>
        <w:t xml:space="preserve"> (ויש גורסים 'מבני חרי', ב"י)</w:t>
      </w:r>
      <w:r w:rsidRPr="001D49D4">
        <w:rPr>
          <w:rFonts w:ascii="Calibri" w:eastAsia="Calibri" w:hAnsi="Calibri" w:cs="Arial"/>
          <w:rtl/>
        </w:rPr>
        <w:t xml:space="preserve"> </w:t>
      </w:r>
    </w:p>
    <w:p w14:paraId="73834F06" w14:textId="77777777" w:rsidR="001D49D4" w:rsidRPr="001D49D4" w:rsidRDefault="001D49D4" w:rsidP="0004348D">
      <w:pPr>
        <w:spacing w:before="360" w:after="240"/>
        <w:rPr>
          <w:rFonts w:ascii="Calibri" w:eastAsia="Calibri" w:hAnsi="Calibri" w:cs="Arial"/>
          <w:rtl/>
        </w:rPr>
      </w:pPr>
      <w:r w:rsidRPr="001D49D4">
        <w:rPr>
          <w:rFonts w:ascii="Calibri" w:eastAsia="Calibri" w:hAnsi="Calibri" w:cs="Arial"/>
          <w:u w:val="single"/>
          <w:rtl/>
        </w:rPr>
        <w:t>שטר שנעשה בערכאות ואין דייני ישראל יודעים לקרותו:</w:t>
      </w:r>
    </w:p>
    <w:p w14:paraId="0F7B8A53" w14:textId="77777777" w:rsidR="001D49D4" w:rsidRPr="001D49D4" w:rsidRDefault="001D49D4" w:rsidP="0004348D">
      <w:pPr>
        <w:numPr>
          <w:ilvl w:val="0"/>
          <w:numId w:val="354"/>
        </w:numPr>
        <w:spacing w:before="360" w:after="240"/>
        <w:contextualSpacing/>
        <w:rPr>
          <w:rFonts w:ascii="Calibri" w:eastAsia="Calibri" w:hAnsi="Calibri" w:cs="Arial"/>
          <w:rtl/>
        </w:rPr>
      </w:pPr>
      <w:r w:rsidRPr="001D49D4">
        <w:rPr>
          <w:rFonts w:ascii="Calibri" w:eastAsia="Calibri" w:hAnsi="Calibri" w:cs="Arial"/>
          <w:rtl/>
        </w:rPr>
        <w:t>רא"ש</w:t>
      </w:r>
      <w:r w:rsidRPr="001D49D4">
        <w:rPr>
          <w:rFonts w:ascii="Calibri" w:eastAsia="Calibri" w:hAnsi="Calibri" w:cs="Arial"/>
          <w:sz w:val="16"/>
          <w:szCs w:val="16"/>
          <w:rtl/>
        </w:rPr>
        <w:t xml:space="preserve"> (סי' י-יא)</w:t>
      </w:r>
      <w:r w:rsidRPr="001D49D4">
        <w:rPr>
          <w:rFonts w:ascii="Calibri" w:eastAsia="Calibri" w:hAnsi="Calibri" w:cs="Arial"/>
          <w:rtl/>
        </w:rPr>
        <w:t xml:space="preserve"> וטור- אם לא ידעו ישראל לקרותו נותנו לשני גוים לקרותו זה שלא בפני זה וסומך עליהם... וגובה ממשעבדי. </w:t>
      </w:r>
    </w:p>
    <w:p w14:paraId="1176506C" w14:textId="77777777" w:rsidR="001D49D4" w:rsidRPr="001D49D4" w:rsidRDefault="001D49D4" w:rsidP="0004348D">
      <w:pPr>
        <w:numPr>
          <w:ilvl w:val="0"/>
          <w:numId w:val="354"/>
        </w:numPr>
        <w:spacing w:before="360" w:after="240"/>
        <w:contextualSpacing/>
        <w:rPr>
          <w:rFonts w:ascii="Calibri" w:eastAsia="Calibri" w:hAnsi="Calibri" w:cs="Arial"/>
        </w:rPr>
      </w:pPr>
      <w:r w:rsidRPr="001D49D4">
        <w:rPr>
          <w:rFonts w:ascii="Calibri" w:eastAsia="Calibri" w:hAnsi="Calibri" w:cs="Arial"/>
          <w:rtl/>
        </w:rPr>
        <w:t xml:space="preserve">רמב"ם </w:t>
      </w:r>
      <w:r w:rsidRPr="001D49D4">
        <w:rPr>
          <w:rFonts w:ascii="Calibri" w:eastAsia="Calibri" w:hAnsi="Calibri" w:cs="Arial"/>
          <w:sz w:val="16"/>
          <w:szCs w:val="16"/>
          <w:rtl/>
        </w:rPr>
        <w:t>(פכ"ז מהל' מלוה ה"א)</w:t>
      </w:r>
      <w:r w:rsidRPr="001D49D4">
        <w:rPr>
          <w:rFonts w:ascii="Calibri" w:eastAsia="Calibri" w:hAnsi="Calibri" w:cs="Arial"/>
          <w:rtl/>
        </w:rPr>
        <w:t xml:space="preserve">- אם לא ידעו דייני ישראל לקרות שטר זה הנעשה בערכאות של גוים נותנו לשני גוים זה שלא בפני זה וקורין לו, שנמצא כל אחד מהן כמסיח לפי תומו, וגובה בו מבני חורין אבל אין טורפין בו מפני שאין לו קול שהרי לא ידעו הלקוחות במה שנעשה בגוים. </w:t>
      </w:r>
      <w:r w:rsidRPr="001D49D4">
        <w:rPr>
          <w:rFonts w:ascii="Calibri" w:eastAsia="Calibri" w:hAnsi="Calibri" w:cs="Arial"/>
          <w:color w:val="E36C0A" w:themeColor="accent6" w:themeShade="BF"/>
          <w:rtl/>
        </w:rPr>
        <w:t>(וכ"פ בשו"ע)</w:t>
      </w:r>
    </w:p>
    <w:p w14:paraId="02F7F08B" w14:textId="77777777" w:rsidR="001D49D4" w:rsidRPr="001D49D4" w:rsidRDefault="001D49D4" w:rsidP="0004348D">
      <w:pPr>
        <w:spacing w:before="360" w:after="240"/>
        <w:rPr>
          <w:rFonts w:ascii="Calibri" w:eastAsia="Calibri" w:hAnsi="Calibri" w:cs="Arial"/>
          <w:rtl/>
        </w:rPr>
      </w:pPr>
      <w:bookmarkStart w:id="774" w:name="_Hlk17060419"/>
      <w:r w:rsidRPr="001D49D4">
        <w:rPr>
          <w:rFonts w:ascii="Calibri" w:eastAsia="Calibri" w:hAnsi="Calibri" w:cs="Arial"/>
          <w:b/>
          <w:bCs/>
          <w:rtl/>
        </w:rPr>
        <w:t xml:space="preserve">גיטין </w:t>
      </w:r>
      <w:r w:rsidRPr="001D49D4">
        <w:rPr>
          <w:rFonts w:ascii="Calibri" w:eastAsia="Calibri" w:hAnsi="Calibri" w:cs="Arial"/>
          <w:b/>
          <w:bCs/>
          <w:sz w:val="16"/>
          <w:szCs w:val="16"/>
          <w:rtl/>
        </w:rPr>
        <w:t>(פ"ק)</w:t>
      </w:r>
      <w:r w:rsidRPr="001D49D4">
        <w:rPr>
          <w:rFonts w:ascii="Calibri" w:eastAsia="Calibri" w:hAnsi="Calibri" w:cs="Arial"/>
          <w:b/>
          <w:bCs/>
          <w:rtl/>
        </w:rPr>
        <w:t xml:space="preserve"> י</w:t>
      </w:r>
      <w:r w:rsidRPr="001D49D4">
        <w:rPr>
          <w:rFonts w:ascii="Calibri" w:eastAsia="Calibri" w:hAnsi="Calibri" w:cs="Arial"/>
          <w:b/>
          <w:bCs/>
          <w:vertAlign w:val="superscript"/>
          <w:rtl/>
        </w:rPr>
        <w:footnoteReference w:id="5504"/>
      </w:r>
      <w:r w:rsidRPr="001D49D4">
        <w:rPr>
          <w:rFonts w:ascii="Calibri" w:eastAsia="Calibri" w:hAnsi="Calibri" w:cs="Arial"/>
          <w:b/>
          <w:bCs/>
          <w:rtl/>
        </w:rPr>
        <w:t xml:space="preserve"> ע"ב:</w:t>
      </w:r>
      <w:r w:rsidRPr="001D49D4">
        <w:rPr>
          <w:rFonts w:ascii="Calibri" w:eastAsia="Calibri" w:hAnsi="Calibri" w:cs="Arial"/>
          <w:rtl/>
        </w:rPr>
        <w:t xml:space="preserve"> </w:t>
      </w:r>
      <w:r w:rsidRPr="001D49D4">
        <w:rPr>
          <w:rFonts w:ascii="Calibri" w:eastAsia="Calibri" w:hAnsi="Calibri" w:cs="Arial"/>
          <w:u w:val="double"/>
          <w:rtl/>
        </w:rPr>
        <w:t>מתני'</w:t>
      </w:r>
      <w:r w:rsidRPr="001D49D4">
        <w:rPr>
          <w:rFonts w:ascii="Calibri" w:eastAsia="Calibri" w:hAnsi="Calibri" w:cs="Arial"/>
          <w:rtl/>
        </w:rPr>
        <w:t xml:space="preserve">: כל השטרות העולים בערכאות של גוים, אף על פי שחותמיהם גוים - כשירים, חוץ מגיטי נשים ושחרורי עבדים. </w:t>
      </w:r>
      <w:r w:rsidRPr="001D49D4">
        <w:rPr>
          <w:rFonts w:ascii="Calibri" w:eastAsia="Calibri" w:hAnsi="Calibri" w:cs="Arial"/>
          <w:u w:val="single"/>
          <w:rtl/>
        </w:rPr>
        <w:t>ר"ש אומר</w:t>
      </w:r>
      <w:r w:rsidRPr="001D49D4">
        <w:rPr>
          <w:rFonts w:ascii="Calibri" w:eastAsia="Calibri" w:hAnsi="Calibri" w:cs="Arial"/>
          <w:rtl/>
        </w:rPr>
        <w:t xml:space="preserve">: אף אלו כשירין, לא הוזכרו אלא בזמן שנעשו בהדיוט.      </w:t>
      </w:r>
      <w:r w:rsidRPr="001D49D4">
        <w:rPr>
          <w:rFonts w:ascii="Calibri" w:eastAsia="Calibri" w:hAnsi="Calibri" w:cs="Arial"/>
          <w:u w:val="double"/>
          <w:rtl/>
        </w:rPr>
        <w:t>גמ':</w:t>
      </w:r>
      <w:r w:rsidRPr="001D49D4">
        <w:rPr>
          <w:rFonts w:ascii="Calibri" w:eastAsia="Calibri" w:hAnsi="Calibri" w:cs="Arial"/>
          <w:rtl/>
        </w:rPr>
        <w:t xml:space="preserve"> רבי שמעון אומר: אף אלו כשירין וכו'. והא לאו בני כריתה</w:t>
      </w:r>
      <w:r w:rsidRPr="001D49D4">
        <w:rPr>
          <w:rFonts w:ascii="Calibri" w:eastAsia="Calibri" w:hAnsi="Calibri" w:cs="Arial"/>
          <w:vertAlign w:val="superscript"/>
          <w:rtl/>
        </w:rPr>
        <w:footnoteReference w:id="5505"/>
      </w:r>
      <w:r w:rsidRPr="001D49D4">
        <w:rPr>
          <w:rFonts w:ascii="Calibri" w:eastAsia="Calibri" w:hAnsi="Calibri" w:cs="Arial"/>
          <w:rtl/>
        </w:rPr>
        <w:t xml:space="preserve"> נינהו! </w:t>
      </w:r>
      <w:r w:rsidRPr="001D49D4">
        <w:rPr>
          <w:rFonts w:ascii="Calibri" w:eastAsia="Calibri" w:hAnsi="Calibri" w:cs="Arial"/>
          <w:u w:val="single"/>
          <w:rtl/>
        </w:rPr>
        <w:t>אמר רבי זירא</w:t>
      </w:r>
      <w:r w:rsidRPr="001D49D4">
        <w:rPr>
          <w:rFonts w:ascii="Calibri" w:eastAsia="Calibri" w:hAnsi="Calibri" w:cs="Arial"/>
          <w:rtl/>
        </w:rPr>
        <w:t>: ירד ר' שמעון לשיטתו של רבי אלעזר, דאמר עדי מסירה כרתי</w:t>
      </w:r>
      <w:r w:rsidRPr="001D49D4">
        <w:rPr>
          <w:rFonts w:ascii="Calibri" w:eastAsia="Calibri" w:hAnsi="Calibri" w:cs="Arial"/>
          <w:vertAlign w:val="superscript"/>
          <w:rtl/>
        </w:rPr>
        <w:footnoteReference w:id="5506"/>
      </w:r>
      <w:r w:rsidRPr="001D49D4">
        <w:rPr>
          <w:rFonts w:ascii="Calibri" w:eastAsia="Calibri" w:hAnsi="Calibri" w:cs="Arial"/>
          <w:rtl/>
        </w:rPr>
        <w:t xml:space="preserve">. </w:t>
      </w:r>
      <w:r w:rsidRPr="001D49D4">
        <w:rPr>
          <w:rFonts w:ascii="Calibri" w:eastAsia="Calibri" w:hAnsi="Calibri" w:cs="Arial"/>
          <w:u w:val="single"/>
          <w:rtl/>
        </w:rPr>
        <w:t>והאמר ר' אבא</w:t>
      </w:r>
      <w:r w:rsidRPr="001D49D4">
        <w:rPr>
          <w:rFonts w:ascii="Calibri" w:eastAsia="Calibri" w:hAnsi="Calibri" w:cs="Arial"/>
          <w:rtl/>
        </w:rPr>
        <w:t>: מודה ר' אלעזר, במזויף מתוכו</w:t>
      </w:r>
      <w:r w:rsidRPr="001D49D4">
        <w:rPr>
          <w:rFonts w:ascii="Calibri" w:eastAsia="Calibri" w:hAnsi="Calibri" w:cs="Arial"/>
          <w:vertAlign w:val="superscript"/>
          <w:rtl/>
        </w:rPr>
        <w:footnoteReference w:id="5507"/>
      </w:r>
      <w:r w:rsidRPr="001D49D4">
        <w:rPr>
          <w:rFonts w:ascii="Calibri" w:eastAsia="Calibri" w:hAnsi="Calibri" w:cs="Arial"/>
          <w:rtl/>
        </w:rPr>
        <w:t xml:space="preserve"> - שפסול! הכא במאי עסקינן </w:t>
      </w:r>
      <w:r w:rsidRPr="001D49D4">
        <w:rPr>
          <w:rFonts w:ascii="Calibri" w:eastAsia="Calibri" w:hAnsi="Calibri" w:cs="Arial"/>
          <w:sz w:val="14"/>
          <w:szCs w:val="14"/>
          <w:rtl/>
        </w:rPr>
        <w:t>(יא.)</w:t>
      </w:r>
      <w:r w:rsidRPr="001D49D4">
        <w:rPr>
          <w:rFonts w:ascii="Calibri" w:eastAsia="Calibri" w:hAnsi="Calibri" w:cs="Arial"/>
          <w:rtl/>
        </w:rPr>
        <w:t>- בשמות מובהקין</w:t>
      </w:r>
      <w:r w:rsidRPr="001D49D4">
        <w:rPr>
          <w:rFonts w:ascii="Calibri" w:eastAsia="Calibri" w:hAnsi="Calibri" w:cs="Arial"/>
          <w:vertAlign w:val="superscript"/>
          <w:rtl/>
        </w:rPr>
        <w:footnoteReference w:id="5508"/>
      </w:r>
      <w:r w:rsidRPr="001D49D4">
        <w:rPr>
          <w:rFonts w:ascii="Calibri" w:eastAsia="Calibri" w:hAnsi="Calibri" w:cs="Arial"/>
          <w:rtl/>
        </w:rPr>
        <w:t xml:space="preserve">. היכי דמי שמות מובהקין? </w:t>
      </w:r>
      <w:r w:rsidRPr="001D49D4">
        <w:rPr>
          <w:rFonts w:ascii="Calibri" w:eastAsia="Calibri" w:hAnsi="Calibri" w:cs="Arial"/>
          <w:u w:val="single"/>
          <w:rtl/>
        </w:rPr>
        <w:t>אמר רב פפא</w:t>
      </w:r>
      <w:r w:rsidRPr="001D49D4">
        <w:rPr>
          <w:rFonts w:ascii="Calibri" w:eastAsia="Calibri" w:hAnsi="Calibri" w:cs="Arial"/>
          <w:rtl/>
        </w:rPr>
        <w:t xml:space="preserve">: כגון הורמיז, ואבודינא, בר שיבתאי, ובר קידרי, ובאטי, ונקים אונא. אבל שמות שאין מובהקים מאי? לא. אי הכי, אדתני סיפא: לא הוזכרו אלא בזמן שנעשו בהדיוט, לפלוג וליתני בדידה: בד"א - בשמות מובהקין, אבל שמות שאין מובהקין לא! הכי נמי קאמר: בד"א - בשמות מובהקין, אבל בשמות שאין מובהקין, נעשה כמי שנעשו בהדיוט ופסולין. ואיבעית אימא: סיפא אתאן לגיטי ממון, והכי קאמר: לא הוזכרו גיטי ממון דפסולים - אלא בזמן שנעשו בהדיוט. תניא: </w:t>
      </w:r>
      <w:r w:rsidRPr="001D49D4">
        <w:rPr>
          <w:rFonts w:ascii="Calibri" w:eastAsia="Calibri" w:hAnsi="Calibri" w:cs="Arial"/>
          <w:u w:val="single"/>
          <w:rtl/>
        </w:rPr>
        <w:t>אמר ר' אלעזר בר' יוסי:</w:t>
      </w:r>
      <w:r w:rsidRPr="001D49D4">
        <w:rPr>
          <w:rFonts w:ascii="Calibri" w:eastAsia="Calibri" w:hAnsi="Calibri" w:cs="Arial"/>
          <w:rtl/>
        </w:rPr>
        <w:t xml:space="preserve"> כך אמר ר"ש לחכמים בצידן - לא נחלקו ר"ע וחכמים על כל השטרות העולין בערכאות של גוים, שאע"פ שחותמיהן גוים - כשרים, ואפי' גיטי נשים ושחרורי עבדים, לא נחלקו אלא בזמן שנעשו בהדיוט, שר"ע מכשיר, וחכמים פוסלים חוץ מגיטי נשים ושחרורי עבדים. </w:t>
      </w:r>
      <w:r w:rsidRPr="001D49D4">
        <w:rPr>
          <w:rFonts w:ascii="Calibri" w:eastAsia="Calibri" w:hAnsi="Calibri" w:cs="Arial"/>
          <w:u w:val="single"/>
          <w:rtl/>
        </w:rPr>
        <w:t>רשב"ג אומר</w:t>
      </w:r>
      <w:r w:rsidRPr="001D49D4">
        <w:rPr>
          <w:rFonts w:ascii="Calibri" w:eastAsia="Calibri" w:hAnsi="Calibri" w:cs="Arial"/>
          <w:rtl/>
        </w:rPr>
        <w:t xml:space="preserve">: אף אלו כשירין במקום שאין ישראל חותמין. אבל במקום שישראל חותמין - לא. מקום שאין ישראל חותמין נמי ליגזור אטו מקום שישראל חותמין! שמא בשמא מחליף, אתרא באתרא לא מחליף. רבינא סבר לאכשורי בכנופיאתה דארמאי. </w:t>
      </w:r>
      <w:r w:rsidRPr="001D49D4">
        <w:rPr>
          <w:rFonts w:ascii="Calibri" w:eastAsia="Calibri" w:hAnsi="Calibri" w:cs="Arial"/>
          <w:u w:val="single"/>
          <w:rtl/>
        </w:rPr>
        <w:t>א"ל רפרם</w:t>
      </w:r>
      <w:r w:rsidRPr="001D49D4">
        <w:rPr>
          <w:rFonts w:ascii="Calibri" w:eastAsia="Calibri" w:hAnsi="Calibri" w:cs="Arial"/>
          <w:rtl/>
        </w:rPr>
        <w:t xml:space="preserve">: ערכאות תנן. </w:t>
      </w:r>
      <w:r w:rsidRPr="001D49D4">
        <w:rPr>
          <w:rFonts w:ascii="Calibri" w:eastAsia="Calibri" w:hAnsi="Calibri" w:cs="Arial"/>
          <w:u w:val="single"/>
          <w:rtl/>
        </w:rPr>
        <w:t>אמר רבא</w:t>
      </w:r>
      <w:r w:rsidRPr="001D49D4">
        <w:rPr>
          <w:rFonts w:ascii="Calibri" w:eastAsia="Calibri" w:hAnsi="Calibri" w:cs="Arial"/>
          <w:rtl/>
        </w:rPr>
        <w:t>: האי שטרא פרסאה דמסריה ניהליה באפי סהדי ישראל, מגבינן ביה מבני חרי. והא לא ידעי למיקרא! בדידעי. והא בעינא כתב שאינו יכול לזייף, וליכא! בדאפיצן. והא בעינא צריך שיחזיר מענינו של שטר בשיטה אחרונה, וליכא! בדמהדר. א"ה, ממשעבדי נמי! לית ליה קלא.</w:t>
      </w:r>
    </w:p>
    <w:bookmarkEnd w:id="774"/>
    <w:p w14:paraId="7CD3A589" w14:textId="77777777" w:rsidR="001D49D4" w:rsidRPr="001D49D4" w:rsidRDefault="001D49D4" w:rsidP="0004348D">
      <w:pPr>
        <w:spacing w:before="360" w:after="240"/>
        <w:rPr>
          <w:rFonts w:ascii="Calibri" w:eastAsia="Calibri" w:hAnsi="Calibri" w:cs="Arial"/>
          <w:u w:val="single"/>
          <w:rtl/>
        </w:rPr>
      </w:pPr>
      <w:r w:rsidRPr="001D49D4">
        <w:rPr>
          <w:rFonts w:ascii="Calibri" w:eastAsia="Calibri" w:hAnsi="Calibri" w:cs="Arial"/>
          <w:u w:val="single"/>
          <w:rtl/>
        </w:rPr>
        <w:t>שטר שנעשה בכינופיא דארמאי</w:t>
      </w:r>
      <w:r w:rsidRPr="001D49D4">
        <w:rPr>
          <w:rFonts w:ascii="Calibri" w:eastAsia="Calibri" w:hAnsi="Calibri" w:cs="Arial"/>
          <w:sz w:val="16"/>
          <w:szCs w:val="16"/>
          <w:u w:val="single"/>
          <w:rtl/>
        </w:rPr>
        <w:t xml:space="preserve"> (היינו הדיוטות)</w:t>
      </w:r>
      <w:r w:rsidRPr="001D49D4">
        <w:rPr>
          <w:rFonts w:ascii="Calibri" w:eastAsia="Calibri" w:hAnsi="Calibri" w:cs="Arial"/>
          <w:u w:val="single"/>
          <w:rtl/>
        </w:rPr>
        <w:t>:</w:t>
      </w:r>
    </w:p>
    <w:p w14:paraId="5E827CF2" w14:textId="77777777" w:rsidR="001D49D4" w:rsidRPr="001D49D4" w:rsidRDefault="001D49D4" w:rsidP="0004348D">
      <w:pPr>
        <w:numPr>
          <w:ilvl w:val="0"/>
          <w:numId w:val="352"/>
        </w:numPr>
        <w:spacing w:before="360" w:after="240"/>
        <w:contextualSpacing/>
        <w:rPr>
          <w:rFonts w:ascii="Calibri" w:eastAsia="Calibri" w:hAnsi="Calibri" w:cs="Arial"/>
        </w:rPr>
      </w:pPr>
      <w:r w:rsidRPr="001D49D4">
        <w:rPr>
          <w:rFonts w:ascii="Calibri" w:eastAsia="Calibri" w:hAnsi="Calibri" w:cs="Arial"/>
          <w:rtl/>
        </w:rPr>
        <w:t xml:space="preserve">רא"ש </w:t>
      </w:r>
      <w:r w:rsidRPr="001D49D4">
        <w:rPr>
          <w:rFonts w:ascii="Calibri" w:eastAsia="Calibri" w:hAnsi="Calibri" w:cs="Arial"/>
          <w:sz w:val="16"/>
          <w:szCs w:val="16"/>
          <w:rtl/>
        </w:rPr>
        <w:t xml:space="preserve">(סי' י-יא) </w:t>
      </w:r>
      <w:r w:rsidRPr="001D49D4">
        <w:rPr>
          <w:rFonts w:ascii="Calibri" w:eastAsia="Calibri" w:hAnsi="Calibri" w:cs="Arial"/>
          <w:rtl/>
        </w:rPr>
        <w:t>וטור- אם לא נעשו בערכאות אפילו נעשו במקום הקיבוץ שלהם - פסול אפילו נמסר בפני עדי ישראל, כיון שעדי גוים חתומים ואינם ערכאות הוה לי' כמזוייף מתוכו וחספא בעלמא הוא. אבל אם אין עדי גוים חתומים בו ונמסר בפני עדי ישראל כשר לגבות בו מבני חרי ומיתמי, ואינו יכול לומר פרעתי, והוא שידעו עדי מסירה לקרותו, ויהא עשוי כהלכתו בכל העניינים, שיהא נכתב על דבר שאינו יכול להזדייף והחזירו בו מעניינו בשטה אחרונה</w:t>
      </w:r>
      <w:r w:rsidRPr="001D49D4">
        <w:rPr>
          <w:rFonts w:ascii="Calibri" w:eastAsia="Calibri" w:hAnsi="Calibri" w:cs="Arial"/>
          <w:sz w:val="16"/>
          <w:szCs w:val="16"/>
          <w:rtl/>
        </w:rPr>
        <w:t xml:space="preserve"> (ל' הטור)</w:t>
      </w:r>
      <w:r w:rsidRPr="001D49D4">
        <w:rPr>
          <w:rFonts w:ascii="Calibri" w:eastAsia="Calibri" w:hAnsi="Calibri" w:cs="Arial"/>
          <w:rtl/>
        </w:rPr>
        <w:t xml:space="preserve">. </w:t>
      </w:r>
    </w:p>
    <w:p w14:paraId="4F002A5A" w14:textId="77777777" w:rsidR="001D49D4" w:rsidRPr="001D49D4" w:rsidRDefault="001D49D4" w:rsidP="0004348D">
      <w:pPr>
        <w:numPr>
          <w:ilvl w:val="0"/>
          <w:numId w:val="352"/>
        </w:numPr>
        <w:spacing w:before="360" w:after="240"/>
        <w:contextualSpacing/>
        <w:rPr>
          <w:rFonts w:ascii="Calibri" w:eastAsia="Calibri" w:hAnsi="Calibri" w:cs="Arial"/>
        </w:rPr>
      </w:pPr>
      <w:r w:rsidRPr="001D49D4">
        <w:rPr>
          <w:rFonts w:ascii="Calibri" w:eastAsia="Calibri" w:hAnsi="Calibri" w:cs="Arial"/>
          <w:rtl/>
        </w:rPr>
        <w:t xml:space="preserve">רמ"ה </w:t>
      </w:r>
      <w:r w:rsidRPr="001D49D4">
        <w:rPr>
          <w:rFonts w:ascii="Calibri" w:eastAsia="Calibri" w:hAnsi="Calibri" w:cs="Arial"/>
          <w:sz w:val="16"/>
          <w:szCs w:val="16"/>
          <w:rtl/>
        </w:rPr>
        <w:t>(כ"כ הטור בשמו, עי' חי' הרמ"ה ושיטת הקדמונים י-ם תשמה גיטין יא:)</w:t>
      </w:r>
      <w:r w:rsidRPr="001D49D4">
        <w:rPr>
          <w:rFonts w:ascii="Calibri" w:eastAsia="Calibri" w:hAnsi="Calibri" w:cs="Arial"/>
          <w:rtl/>
        </w:rPr>
        <w:t>- שטרי מכר והלואה שנעשו בהדיוטות, או שטרי הודאות שנעשו בין בערכאות בין בהדיוטות, אם נמסרו בפני עדי ישראל דידעי למיקרייהו ומכירין השטר ומעידין שקראו אותו השטר בשעה שנמסר לפניהם ולא נשתנה בו שום דבר והוא עשוי כהלכתו ככל תיקון השטרות</w:t>
      </w:r>
      <w:r w:rsidRPr="001D49D4">
        <w:rPr>
          <w:rFonts w:ascii="Calibri" w:eastAsia="Calibri" w:hAnsi="Calibri" w:cs="Arial"/>
          <w:vertAlign w:val="superscript"/>
          <w:rtl/>
        </w:rPr>
        <w:footnoteReference w:id="5509"/>
      </w:r>
      <w:r w:rsidRPr="001D49D4">
        <w:rPr>
          <w:rFonts w:ascii="Calibri" w:eastAsia="Calibri" w:hAnsi="Calibri" w:cs="Arial"/>
          <w:rtl/>
        </w:rPr>
        <w:t>, ועדים החתומים בו שמות מובהקין שאין ישראל קורין בשמן</w:t>
      </w:r>
      <w:r w:rsidRPr="001D49D4">
        <w:rPr>
          <w:rFonts w:ascii="Calibri" w:eastAsia="Calibri" w:hAnsi="Calibri" w:cs="Arial"/>
          <w:vertAlign w:val="superscript"/>
          <w:rtl/>
        </w:rPr>
        <w:footnoteReference w:id="5510"/>
      </w:r>
      <w:r w:rsidRPr="001D49D4">
        <w:rPr>
          <w:rFonts w:ascii="Calibri" w:eastAsia="Calibri" w:hAnsi="Calibri" w:cs="Arial"/>
          <w:rtl/>
        </w:rPr>
        <w:t xml:space="preserve"> או במקום שאין ישראל רגילין לחתום כלל בשטרות - אז הם כשרים לגבות בו מבני חרי כדין שטרי מכר העולים בערכאות, ואם חסר דבר אחד מכל זה – פסולים, דחספא בעלמא נינהו.</w:t>
      </w:r>
    </w:p>
    <w:p w14:paraId="5465A1C0" w14:textId="77777777" w:rsidR="001D49D4" w:rsidRPr="001D49D4" w:rsidRDefault="001D49D4" w:rsidP="0004348D">
      <w:pPr>
        <w:numPr>
          <w:ilvl w:val="0"/>
          <w:numId w:val="352"/>
        </w:numPr>
        <w:spacing w:before="360" w:after="240"/>
        <w:contextualSpacing/>
        <w:rPr>
          <w:rFonts w:ascii="Calibri" w:eastAsia="Calibri" w:hAnsi="Calibri" w:cs="Arial"/>
        </w:rPr>
      </w:pPr>
      <w:r w:rsidRPr="001D49D4">
        <w:rPr>
          <w:rFonts w:ascii="Calibri" w:eastAsia="Calibri" w:hAnsi="Calibri" w:cs="Arial"/>
          <w:rtl/>
        </w:rPr>
        <w:t xml:space="preserve">רמב"ם </w:t>
      </w:r>
      <w:r w:rsidRPr="001D49D4">
        <w:rPr>
          <w:rFonts w:ascii="Calibri" w:eastAsia="Calibri" w:hAnsi="Calibri" w:cs="Arial"/>
          <w:sz w:val="16"/>
          <w:szCs w:val="16"/>
          <w:rtl/>
        </w:rPr>
        <w:t>(פכ"ז מהל' מלוה ה"ב)</w:t>
      </w:r>
      <w:r w:rsidRPr="001D49D4">
        <w:rPr>
          <w:rFonts w:ascii="Calibri" w:eastAsia="Calibri" w:hAnsi="Calibri" w:cs="Arial"/>
          <w:rtl/>
        </w:rPr>
        <w:t>- שטר שעדיו גוים שמסרו הלוה ליד המלוה או המוכר ליד הלוקח בפני שני עדים מישראל, אע"פ שאינו עשוי בערכאות ואין בו כל הדברים שמנינו - הרי זה גובה מבני חורין, והוא שיהיו העדים שמסר בפניהם יודעים לקרותו וקראוהו כשמסרו בפניהם ויהיה כתיקון שטר ישראל שאינו יכול להזדייף ולא להוסיף ולא לגרוע. ולמה לא יגבה בו מן המשועבדין - מפני שאין לו קול.</w:t>
      </w:r>
      <w:r w:rsidRPr="001D49D4">
        <w:rPr>
          <w:rFonts w:ascii="Calibri" w:eastAsia="Calibri" w:hAnsi="Calibri" w:cs="Arial"/>
          <w:color w:val="E36C0A" w:themeColor="accent6" w:themeShade="BF"/>
          <w:rtl/>
        </w:rPr>
        <w:t xml:space="preserve"> (וכ"ס בשו"ע)</w:t>
      </w:r>
    </w:p>
    <w:p w14:paraId="59FB2188" w14:textId="77777777" w:rsidR="001D49D4" w:rsidRPr="001D49D4" w:rsidRDefault="001D49D4" w:rsidP="0004348D">
      <w:pPr>
        <w:spacing w:before="360" w:after="240"/>
        <w:rPr>
          <w:rFonts w:ascii="Calibri" w:eastAsia="Calibri" w:hAnsi="Calibri" w:cs="Arial"/>
          <w:u w:val="single"/>
        </w:rPr>
      </w:pPr>
      <w:r w:rsidRPr="001D49D4">
        <w:rPr>
          <w:rFonts w:ascii="Calibri" w:eastAsia="Calibri" w:hAnsi="Calibri" w:cs="Arial"/>
          <w:u w:val="single"/>
          <w:rtl/>
        </w:rPr>
        <w:t xml:space="preserve">האם צריך שטר שאינו יכול להזדייף וכו' </w:t>
      </w:r>
      <w:r w:rsidRPr="001D49D4">
        <w:rPr>
          <w:rFonts w:ascii="Calibri" w:eastAsia="Calibri" w:hAnsi="Calibri" w:cs="Arial"/>
          <w:sz w:val="16"/>
          <w:szCs w:val="16"/>
          <w:u w:val="single"/>
          <w:rtl/>
        </w:rPr>
        <w:t>(כדלעיל בגמ')</w:t>
      </w:r>
      <w:r w:rsidRPr="001D49D4">
        <w:rPr>
          <w:rFonts w:ascii="Calibri" w:eastAsia="Calibri" w:hAnsi="Calibri" w:cs="Arial"/>
          <w:u w:val="single"/>
          <w:rtl/>
        </w:rPr>
        <w:t xml:space="preserve"> אף אם השטר נעשה </w:t>
      </w:r>
      <w:r w:rsidRPr="001D49D4">
        <w:rPr>
          <w:rFonts w:ascii="Calibri" w:eastAsia="Calibri" w:hAnsi="Calibri" w:cs="Arial"/>
          <w:b/>
          <w:bCs/>
          <w:u w:val="single"/>
          <w:rtl/>
        </w:rPr>
        <w:t>בערכאות</w:t>
      </w:r>
      <w:r w:rsidRPr="001D49D4">
        <w:rPr>
          <w:rFonts w:ascii="Calibri" w:eastAsia="Calibri" w:hAnsi="Calibri" w:cs="Arial"/>
          <w:u w:val="single"/>
          <w:rtl/>
        </w:rPr>
        <w:t>:</w:t>
      </w:r>
    </w:p>
    <w:p w14:paraId="124255FF" w14:textId="77777777" w:rsidR="001D49D4" w:rsidRPr="001D49D4" w:rsidRDefault="001D49D4" w:rsidP="0004348D">
      <w:pPr>
        <w:numPr>
          <w:ilvl w:val="0"/>
          <w:numId w:val="353"/>
        </w:numPr>
        <w:spacing w:before="360" w:after="240"/>
        <w:contextualSpacing/>
        <w:rPr>
          <w:rFonts w:ascii="Calibri" w:eastAsia="Calibri" w:hAnsi="Calibri" w:cs="Arial"/>
          <w:rtl/>
        </w:rPr>
      </w:pPr>
      <w:r w:rsidRPr="001D49D4">
        <w:rPr>
          <w:rFonts w:ascii="Calibri" w:eastAsia="Calibri" w:hAnsi="Calibri" w:cs="Arial"/>
          <w:rtl/>
        </w:rPr>
        <w:t xml:space="preserve">רמב"ן </w:t>
      </w:r>
      <w:r w:rsidRPr="001D49D4">
        <w:rPr>
          <w:rFonts w:ascii="Calibri" w:eastAsia="Calibri" w:hAnsi="Calibri" w:cs="Arial"/>
          <w:sz w:val="16"/>
          <w:szCs w:val="16"/>
          <w:rtl/>
        </w:rPr>
        <w:t xml:space="preserve">(יא. ד"ה והא בעינן צריך) </w:t>
      </w:r>
      <w:r w:rsidRPr="001D49D4">
        <w:rPr>
          <w:rFonts w:ascii="Calibri" w:eastAsia="Calibri" w:hAnsi="Calibri" w:cs="Arial"/>
          <w:rtl/>
        </w:rPr>
        <w:t xml:space="preserve">רשב"א </w:t>
      </w:r>
      <w:r w:rsidRPr="001D49D4">
        <w:rPr>
          <w:rFonts w:ascii="Calibri" w:eastAsia="Calibri" w:hAnsi="Calibri" w:cs="Arial"/>
          <w:sz w:val="16"/>
          <w:szCs w:val="16"/>
          <w:rtl/>
        </w:rPr>
        <w:t xml:space="preserve">(יא. ד"ה אמר רבא, שו"ת מיוחסות סי' עה עח) </w:t>
      </w:r>
      <w:r w:rsidRPr="001D49D4">
        <w:rPr>
          <w:rFonts w:ascii="Calibri" w:eastAsia="Calibri" w:hAnsi="Calibri" w:cs="Arial"/>
          <w:rtl/>
        </w:rPr>
        <w:t xml:space="preserve">רא"ש </w:t>
      </w:r>
      <w:r w:rsidRPr="001D49D4">
        <w:rPr>
          <w:rFonts w:ascii="Calibri" w:eastAsia="Calibri" w:hAnsi="Calibri" w:cs="Arial"/>
          <w:sz w:val="16"/>
          <w:szCs w:val="16"/>
          <w:rtl/>
        </w:rPr>
        <w:t>(סי' יא)</w:t>
      </w:r>
      <w:r w:rsidRPr="001D49D4">
        <w:rPr>
          <w:rFonts w:ascii="Calibri" w:eastAsia="Calibri" w:hAnsi="Calibri" w:cs="Arial"/>
          <w:rtl/>
        </w:rPr>
        <w:t xml:space="preserve"> והה"מ </w:t>
      </w:r>
      <w:r w:rsidRPr="001D49D4">
        <w:rPr>
          <w:rFonts w:ascii="Calibri" w:eastAsia="Calibri" w:hAnsi="Calibri" w:cs="Arial"/>
          <w:sz w:val="16"/>
          <w:szCs w:val="16"/>
          <w:rtl/>
        </w:rPr>
        <w:t>(שם)</w:t>
      </w:r>
      <w:r w:rsidRPr="001D49D4">
        <w:rPr>
          <w:rFonts w:ascii="Calibri" w:eastAsia="Calibri" w:hAnsi="Calibri" w:cs="Arial"/>
          <w:rtl/>
        </w:rPr>
        <w:t>- הוא הדין דכל הני פירכי שייך אמתניתין דכל שטרות העולים בערכאות של גוים דבעינן כתב שאינו יכול להזדייף ושיחזור בשטה אחרונה מענין השטר. והא דלא קבע ליה רב אשי אמתניתין משום דלא שייכי כל הני פירכי אמתניתין</w:t>
      </w:r>
      <w:r w:rsidRPr="001D49D4">
        <w:rPr>
          <w:rFonts w:ascii="Calibri" w:eastAsia="Calibri" w:hAnsi="Calibri" w:cs="Arial"/>
          <w:sz w:val="16"/>
          <w:szCs w:val="16"/>
          <w:rtl/>
        </w:rPr>
        <w:t xml:space="preserve"> (ל' הרא"ש)</w:t>
      </w:r>
      <w:r w:rsidRPr="001D49D4">
        <w:rPr>
          <w:rFonts w:ascii="Calibri" w:eastAsia="Calibri" w:hAnsi="Calibri" w:cs="Arial"/>
          <w:rtl/>
        </w:rPr>
        <w:t xml:space="preserve">. </w:t>
      </w:r>
    </w:p>
    <w:p w14:paraId="15E9C738" w14:textId="77777777" w:rsidR="001D49D4" w:rsidRPr="001D49D4" w:rsidRDefault="001D49D4" w:rsidP="0004348D">
      <w:pPr>
        <w:numPr>
          <w:ilvl w:val="0"/>
          <w:numId w:val="353"/>
        </w:numPr>
        <w:spacing w:before="360" w:after="240"/>
        <w:contextualSpacing/>
        <w:rPr>
          <w:rFonts w:ascii="Calibri" w:eastAsia="Calibri" w:hAnsi="Calibri" w:cs="Arial"/>
        </w:rPr>
      </w:pPr>
      <w:r w:rsidRPr="001D49D4">
        <w:rPr>
          <w:rFonts w:ascii="Calibri" w:eastAsia="Calibri" w:hAnsi="Calibri" w:cs="Arial"/>
          <w:rtl/>
        </w:rPr>
        <w:t xml:space="preserve">רמב"ם </w:t>
      </w:r>
      <w:r w:rsidRPr="001D49D4">
        <w:rPr>
          <w:rFonts w:ascii="Calibri" w:eastAsia="Calibri" w:hAnsi="Calibri" w:cs="Arial"/>
          <w:sz w:val="16"/>
          <w:szCs w:val="16"/>
          <w:rtl/>
        </w:rPr>
        <w:t>(כ"כ הה"מ והב"י בשמו)</w:t>
      </w:r>
      <w:r w:rsidRPr="001D49D4">
        <w:rPr>
          <w:rFonts w:ascii="Calibri" w:eastAsia="Calibri" w:hAnsi="Calibri" w:cs="Arial"/>
          <w:rtl/>
        </w:rPr>
        <w:t xml:space="preserve"> ובהעי"ט </w:t>
      </w:r>
      <w:r w:rsidRPr="001D49D4">
        <w:rPr>
          <w:rFonts w:ascii="Calibri" w:eastAsia="Calibri" w:hAnsi="Calibri" w:cs="Arial"/>
          <w:sz w:val="16"/>
          <w:szCs w:val="16"/>
          <w:rtl/>
        </w:rPr>
        <w:t>(סוף מאמר ח, כ"כ הה"מ בשמו [שם])</w:t>
      </w:r>
      <w:r w:rsidRPr="001D49D4">
        <w:rPr>
          <w:rFonts w:ascii="Calibri" w:eastAsia="Calibri" w:hAnsi="Calibri" w:cs="Arial"/>
          <w:rtl/>
        </w:rPr>
        <w:t xml:space="preserve">- מימרא דרבא האי שטרא פרסאה וכו' </w:t>
      </w:r>
      <w:r w:rsidRPr="001D49D4">
        <w:rPr>
          <w:rFonts w:ascii="Calibri" w:eastAsia="Calibri" w:hAnsi="Calibri" w:cs="Arial"/>
          <w:sz w:val="16"/>
          <w:szCs w:val="16"/>
          <w:rtl/>
        </w:rPr>
        <w:t>(שהתנו בגמ' שלא יהא יכול להזדייף וכו')</w:t>
      </w:r>
      <w:r w:rsidRPr="001D49D4">
        <w:rPr>
          <w:rFonts w:ascii="Calibri" w:eastAsia="Calibri" w:hAnsi="Calibri" w:cs="Arial"/>
          <w:rtl/>
        </w:rPr>
        <w:t xml:space="preserve"> - דוקא בשטר שאינו עשוי בערכאות, אבל כשהוא עשוי בערכאות - אין צריך שיהא כתיקון שטרי ישראל, והיינו שלא קבע רב אשי הני פירכי אמתניתין</w:t>
      </w:r>
      <w:r w:rsidRPr="001D49D4">
        <w:rPr>
          <w:rFonts w:ascii="Calibri" w:eastAsia="Calibri" w:hAnsi="Calibri" w:cs="Arial"/>
          <w:sz w:val="16"/>
          <w:szCs w:val="16"/>
          <w:rtl/>
        </w:rPr>
        <w:t xml:space="preserve"> (ל' הב"י)</w:t>
      </w:r>
      <w:r w:rsidRPr="001D49D4">
        <w:rPr>
          <w:rFonts w:ascii="Calibri" w:eastAsia="Calibri" w:hAnsi="Calibri" w:cs="Arial"/>
          <w:rtl/>
        </w:rPr>
        <w:t xml:space="preserve">. </w:t>
      </w:r>
      <w:r w:rsidRPr="001D49D4">
        <w:rPr>
          <w:rFonts w:ascii="Calibri" w:eastAsia="Calibri" w:hAnsi="Calibri" w:cs="Arial"/>
          <w:color w:val="E36C0A" w:themeColor="accent6" w:themeShade="BF"/>
          <w:rtl/>
        </w:rPr>
        <w:t>(וכ"פ בשו"ע)</w:t>
      </w:r>
    </w:p>
    <w:p w14:paraId="448C6FEF" w14:textId="77777777" w:rsidR="001D49D4" w:rsidRPr="001D49D4" w:rsidRDefault="001D49D4" w:rsidP="0004348D">
      <w:pPr>
        <w:spacing w:before="360" w:after="240"/>
        <w:rPr>
          <w:rFonts w:ascii="Calibri" w:eastAsia="Calibri" w:hAnsi="Calibri" w:cs="Arial"/>
          <w:u w:val="dotted"/>
        </w:rPr>
      </w:pPr>
      <w:r w:rsidRPr="001D49D4">
        <w:rPr>
          <w:rFonts w:ascii="Calibri" w:eastAsia="Calibri" w:hAnsi="Calibri" w:cs="Arial"/>
          <w:u w:val="dotted"/>
          <w:rtl/>
        </w:rPr>
        <w:t>ומה הדין אם השטר יכול להזדייף לפי גדר ההלכה אבל אינו יכול להזדייף לפי הנהוג אצלם:</w:t>
      </w:r>
    </w:p>
    <w:p w14:paraId="5AAEED54" w14:textId="77777777" w:rsidR="001D49D4" w:rsidRPr="001D49D4" w:rsidRDefault="001D49D4" w:rsidP="0004348D">
      <w:pPr>
        <w:numPr>
          <w:ilvl w:val="0"/>
          <w:numId w:val="353"/>
        </w:numPr>
        <w:spacing w:before="360" w:after="240"/>
        <w:contextualSpacing/>
        <w:rPr>
          <w:rFonts w:ascii="Calibri" w:eastAsia="Calibri" w:hAnsi="Calibri" w:cs="Arial"/>
        </w:rPr>
      </w:pPr>
      <w:r w:rsidRPr="001D49D4">
        <w:rPr>
          <w:rFonts w:ascii="Calibri" w:eastAsia="Calibri" w:hAnsi="Calibri" w:cs="Arial"/>
          <w:rtl/>
        </w:rPr>
        <w:t xml:space="preserve">הה"מ </w:t>
      </w:r>
      <w:r w:rsidRPr="001D49D4">
        <w:rPr>
          <w:rFonts w:ascii="Calibri" w:eastAsia="Calibri" w:hAnsi="Calibri" w:cs="Arial"/>
          <w:sz w:val="16"/>
          <w:szCs w:val="16"/>
          <w:rtl/>
        </w:rPr>
        <w:t>(שם)</w:t>
      </w:r>
      <w:r w:rsidRPr="001D49D4">
        <w:rPr>
          <w:rFonts w:ascii="Calibri" w:eastAsia="Calibri" w:hAnsi="Calibri" w:cs="Arial"/>
          <w:rtl/>
        </w:rPr>
        <w:t>- בארצותינו אע"פ שמרחיקין חותם הערכי מן הכתב יותר משטה אחת כבר ניכר סיום השטר שלהם - ודי בכך, ואין חוששין שמא יגוז השטר ויחזור ויכתוב שטר אחר, שהרי יש להם דבר שעומד אצל הערכי, וכל המזייף מירתת לזיופי שמא יגלה זיופו על ידי מה שהוא ביד הערכי.</w:t>
      </w:r>
    </w:p>
    <w:p w14:paraId="03D390A0" w14:textId="77777777" w:rsidR="001D49D4" w:rsidRPr="001D49D4" w:rsidRDefault="001D49D4" w:rsidP="0004348D">
      <w:pPr>
        <w:numPr>
          <w:ilvl w:val="0"/>
          <w:numId w:val="353"/>
        </w:numPr>
        <w:spacing w:before="360" w:after="240"/>
        <w:contextualSpacing/>
        <w:rPr>
          <w:rFonts w:ascii="Calibri" w:eastAsia="Calibri" w:hAnsi="Calibri" w:cs="Arial"/>
        </w:rPr>
      </w:pPr>
      <w:r w:rsidRPr="001D49D4">
        <w:rPr>
          <w:rFonts w:ascii="Calibri" w:eastAsia="Calibri" w:hAnsi="Calibri" w:cs="Arial"/>
          <w:rtl/>
        </w:rPr>
        <w:t xml:space="preserve">רשב"א </w:t>
      </w:r>
      <w:r w:rsidRPr="001D49D4">
        <w:rPr>
          <w:rFonts w:ascii="Calibri" w:eastAsia="Calibri" w:hAnsi="Calibri" w:cs="Arial"/>
          <w:sz w:val="16"/>
          <w:szCs w:val="16"/>
          <w:rtl/>
        </w:rPr>
        <w:t>(ח"א סי' תתקפו)</w:t>
      </w:r>
      <w:r w:rsidRPr="001D49D4">
        <w:rPr>
          <w:rFonts w:ascii="Calibri" w:eastAsia="Calibri" w:hAnsi="Calibri" w:cs="Arial"/>
          <w:rtl/>
        </w:rPr>
        <w:t xml:space="preserve">- שאלת מה הדין אם חכמי הגוים אומרים שהם סומכים בהרחקת החותם מהשטר במה שסיום שלהם ידוע וצריך שיהא סיום השטר מכתיבת הסופר מלבד זה שיחתום, והרי הכתיבה אחת והכל מיד הסופר. תשובה, אם היה הדבר כן - אין כאן בית מיחוש כלל להרחקת השיטין, והרי הוא זה </w:t>
      </w:r>
      <w:r w:rsidRPr="001D49D4">
        <w:rPr>
          <w:rFonts w:ascii="Calibri" w:eastAsia="Calibri" w:hAnsi="Calibri" w:cs="Arial"/>
          <w:sz w:val="16"/>
          <w:szCs w:val="16"/>
          <w:rtl/>
        </w:rPr>
        <w:t>(כלומר לזה הסופר שהרחיק אותן השטין)</w:t>
      </w:r>
      <w:r w:rsidRPr="001D49D4">
        <w:rPr>
          <w:rFonts w:ascii="Calibri" w:eastAsia="Calibri" w:hAnsi="Calibri" w:cs="Arial"/>
          <w:rtl/>
        </w:rPr>
        <w:t xml:space="preserve"> כאלו לא הרחיק. אלא שבארץ הזאת אדרבה כשהן כותבים שטרות וחותמים אח"כ ע"י סופר שתחתיו, לעולם מקפידים שיהא סיומו של שטר מכתיבת ידו של סופר שכתב השטר, ועל כן הוא חושש להם... ואם רצו לעשות קיום לשטר - הערכי עצמו נאמן, דסוף דינא כתחילת דינא, וכל שכן ע"י שני עדים.</w:t>
      </w:r>
    </w:p>
    <w:p w14:paraId="66600D2F" w14:textId="77777777" w:rsidR="001D49D4" w:rsidRPr="001D49D4" w:rsidRDefault="001D49D4" w:rsidP="0004348D">
      <w:pPr>
        <w:numPr>
          <w:ilvl w:val="0"/>
          <w:numId w:val="353"/>
        </w:numPr>
        <w:spacing w:before="360" w:after="240"/>
        <w:contextualSpacing/>
        <w:rPr>
          <w:rFonts w:ascii="Calibri" w:eastAsia="Calibri" w:hAnsi="Calibri" w:cs="Arial"/>
        </w:rPr>
      </w:pPr>
      <w:r w:rsidRPr="001D49D4">
        <w:rPr>
          <w:rFonts w:ascii="Calibri" w:eastAsia="Calibri" w:hAnsi="Calibri" w:cs="Arial"/>
          <w:rtl/>
        </w:rPr>
        <w:t xml:space="preserve">ר"ן </w:t>
      </w:r>
      <w:r w:rsidRPr="001D49D4">
        <w:rPr>
          <w:rFonts w:ascii="Calibri" w:eastAsia="Calibri" w:hAnsi="Calibri" w:cs="Arial"/>
          <w:sz w:val="16"/>
          <w:szCs w:val="16"/>
          <w:rtl/>
        </w:rPr>
        <w:t>(ד. ד"ה רבינא, ובחי' יא. ד"ה והא בעינן)</w:t>
      </w:r>
      <w:r w:rsidRPr="001D49D4">
        <w:rPr>
          <w:rFonts w:ascii="Calibri" w:eastAsia="Calibri" w:hAnsi="Calibri" w:cs="Arial"/>
          <w:rtl/>
        </w:rPr>
        <w:t>- אפילו לדברי האומרים דבשטרי ישראל בשלא החזיר בשטה אחרונה מעניינו של שטר לא מיפסיל שטר בהכי אלא שאין למדין משטה אחרונה לפי שהעדים מרחיקים שטה אחת מהכתב, בשטרי גוים כיון דמרחקי טובא - אי אפשר ללמוד מהם כלל, שהרי אפשר שהוסיף כמה שיטין. אא"כ היה מעניינו של שטר בשטה אחרונה שנראה כסוף השטר, ואם כתב בו משם ולמטה כלום אין חוששין לו.</w:t>
      </w:r>
    </w:p>
    <w:p w14:paraId="0DE6B3B9" w14:textId="77777777" w:rsidR="001D49D4" w:rsidRPr="001D49D4" w:rsidRDefault="001D49D4" w:rsidP="0004348D">
      <w:pPr>
        <w:spacing w:before="360" w:after="240"/>
        <w:rPr>
          <w:rFonts w:ascii="Calibri" w:eastAsia="Calibri" w:hAnsi="Calibri" w:cs="Arial"/>
          <w:u w:val="single"/>
        </w:rPr>
      </w:pPr>
      <w:r w:rsidRPr="001D49D4">
        <w:rPr>
          <w:rFonts w:ascii="Calibri" w:eastAsia="Calibri" w:hAnsi="Calibri" w:cs="Arial"/>
          <w:u w:val="single"/>
          <w:rtl/>
        </w:rPr>
        <w:t>קניין שנעשה בפני ערכאות:</w:t>
      </w:r>
    </w:p>
    <w:p w14:paraId="6689660B" w14:textId="77777777" w:rsidR="001D49D4" w:rsidRPr="001D49D4" w:rsidRDefault="001D49D4" w:rsidP="0004348D">
      <w:pPr>
        <w:numPr>
          <w:ilvl w:val="0"/>
          <w:numId w:val="354"/>
        </w:numPr>
        <w:spacing w:before="360" w:after="240"/>
        <w:contextualSpacing/>
        <w:rPr>
          <w:rFonts w:ascii="Calibri" w:eastAsia="Calibri" w:hAnsi="Calibri" w:cs="Arial"/>
        </w:rPr>
      </w:pPr>
      <w:r w:rsidRPr="001D49D4">
        <w:rPr>
          <w:rFonts w:ascii="Calibri" w:eastAsia="Calibri" w:hAnsi="Calibri" w:cs="Arial"/>
          <w:rtl/>
        </w:rPr>
        <w:t xml:space="preserve">רא"ש </w:t>
      </w:r>
      <w:r w:rsidRPr="001D49D4">
        <w:rPr>
          <w:rFonts w:ascii="Calibri" w:eastAsia="Calibri" w:hAnsi="Calibri" w:cs="Arial"/>
          <w:sz w:val="16"/>
          <w:szCs w:val="16"/>
          <w:rtl/>
        </w:rPr>
        <w:t>(סי' יא)</w:t>
      </w:r>
      <w:r w:rsidRPr="001D49D4">
        <w:rPr>
          <w:rFonts w:ascii="Calibri" w:eastAsia="Calibri" w:hAnsi="Calibri" w:cs="Arial" w:hint="cs"/>
          <w:sz w:val="16"/>
          <w:szCs w:val="16"/>
        </w:rPr>
        <w:t xml:space="preserve"> </w:t>
      </w:r>
      <w:r w:rsidRPr="001D49D4">
        <w:rPr>
          <w:rFonts w:ascii="Calibri" w:eastAsia="Calibri" w:hAnsi="Calibri" w:cs="Arial"/>
          <w:rtl/>
        </w:rPr>
        <w:t>וטור- אבל אם הנותן הקנה למקבל בקנין סודר, וכתבו הערכאות שבפניהם הקנה נותן למקבל בקנין סודר - השטר כשר, דלראיה בעלמא הוא, אע"ג דקנין סודר לא מהני ליה בדיני גוים, כיון דבעלי הדבר ישראל - מהני עדותן, דכל מילי דאיתעביד קמייהו לא מרעי נפשייהו לאסהודי שיקרא</w:t>
      </w:r>
      <w:r w:rsidRPr="001D49D4">
        <w:rPr>
          <w:rFonts w:ascii="Calibri" w:eastAsia="Calibri" w:hAnsi="Calibri" w:cs="Arial"/>
          <w:sz w:val="16"/>
          <w:szCs w:val="16"/>
          <w:rtl/>
        </w:rPr>
        <w:t xml:space="preserve"> (ל' הטור בשם הרא"ש)</w:t>
      </w:r>
      <w:r w:rsidRPr="001D49D4">
        <w:rPr>
          <w:rFonts w:ascii="Calibri" w:eastAsia="Calibri" w:hAnsi="Calibri" w:cs="Arial"/>
          <w:rtl/>
        </w:rPr>
        <w:t xml:space="preserve">. </w:t>
      </w:r>
    </w:p>
    <w:p w14:paraId="401CA9C9" w14:textId="77777777" w:rsidR="001D49D4" w:rsidRPr="001D49D4" w:rsidRDefault="001D49D4" w:rsidP="0004348D">
      <w:pPr>
        <w:numPr>
          <w:ilvl w:val="0"/>
          <w:numId w:val="354"/>
        </w:numPr>
        <w:spacing w:before="360" w:after="240"/>
        <w:contextualSpacing/>
        <w:rPr>
          <w:rFonts w:ascii="Calibri" w:eastAsia="Calibri" w:hAnsi="Calibri" w:cs="Arial"/>
        </w:rPr>
      </w:pPr>
      <w:r w:rsidRPr="001D49D4">
        <w:rPr>
          <w:rFonts w:ascii="Calibri" w:eastAsia="Calibri" w:hAnsi="Calibri" w:cs="Arial"/>
          <w:rtl/>
        </w:rPr>
        <w:t>רמב"ם</w:t>
      </w:r>
      <w:r w:rsidRPr="001D49D4">
        <w:rPr>
          <w:rFonts w:ascii="Calibri" w:eastAsia="Calibri" w:hAnsi="Calibri" w:cs="Arial"/>
          <w:sz w:val="16"/>
          <w:szCs w:val="16"/>
          <w:rtl/>
        </w:rPr>
        <w:t xml:space="preserve"> (להב' הב"י בבדה"ב </w:t>
      </w:r>
      <w:r w:rsidRPr="001D49D4">
        <w:rPr>
          <w:rFonts w:ascii="Calibri" w:eastAsia="Calibri" w:hAnsi="Calibri" w:cs="Arial"/>
          <w:sz w:val="14"/>
          <w:szCs w:val="14"/>
          <w:rtl/>
        </w:rPr>
        <w:t>[סע' א(ו) ו-א(ז)]</w:t>
      </w:r>
      <w:r w:rsidRPr="001D49D4">
        <w:rPr>
          <w:rFonts w:ascii="Calibri" w:eastAsia="Calibri" w:hAnsi="Calibri" w:cs="Arial"/>
          <w:sz w:val="16"/>
          <w:szCs w:val="16"/>
          <w:rtl/>
        </w:rPr>
        <w:t>)</w:t>
      </w:r>
      <w:r w:rsidRPr="001D49D4">
        <w:rPr>
          <w:rFonts w:ascii="Calibri" w:eastAsia="Calibri" w:hAnsi="Calibri" w:cs="Arial"/>
          <w:rtl/>
        </w:rPr>
        <w:t>- קנין העשוי בפני גוים אינו כלום... דגוים אינם בקיאים בטיב קנין. ואע"פ שמעידים שנעשה הקנין במנא דכשר וכו' כיון דרוב גוים אינם בקיאים בכך לא פלוג רבנן.</w:t>
      </w:r>
    </w:p>
    <w:p w14:paraId="26AA4C2D" w14:textId="77777777" w:rsidR="001D49D4" w:rsidRPr="001D49D4" w:rsidRDefault="001D49D4" w:rsidP="0004348D">
      <w:pPr>
        <w:spacing w:before="360" w:after="240"/>
        <w:rPr>
          <w:rFonts w:ascii="Calibri" w:eastAsia="Calibri" w:hAnsi="Calibri" w:cs="Arial"/>
        </w:rPr>
      </w:pPr>
      <w:r w:rsidRPr="001D49D4">
        <w:rPr>
          <w:rFonts w:ascii="Calibri" w:eastAsia="Calibri" w:hAnsi="Calibri" w:cs="Arial"/>
          <w:u w:val="single"/>
          <w:rtl/>
        </w:rPr>
        <w:t>שטר העשוי בערכאות והלה כופר בו - האם הערכי נאמן להעיד:</w:t>
      </w:r>
      <w:r w:rsidRPr="001D49D4">
        <w:rPr>
          <w:rFonts w:ascii="Calibri" w:eastAsia="Calibri" w:hAnsi="Calibri" w:cs="Arial"/>
          <w:rtl/>
        </w:rPr>
        <w:t xml:space="preserve"> </w:t>
      </w:r>
    </w:p>
    <w:p w14:paraId="6E39311D" w14:textId="77777777" w:rsidR="001D49D4" w:rsidRPr="001D49D4" w:rsidRDefault="001D49D4" w:rsidP="0004348D">
      <w:pPr>
        <w:numPr>
          <w:ilvl w:val="0"/>
          <w:numId w:val="354"/>
        </w:numPr>
        <w:spacing w:before="360" w:after="240"/>
        <w:contextualSpacing/>
        <w:rPr>
          <w:rFonts w:ascii="Calibri" w:eastAsia="Calibri" w:hAnsi="Calibri" w:cs="Arial"/>
          <w:rtl/>
        </w:rPr>
      </w:pPr>
      <w:r w:rsidRPr="001D49D4">
        <w:rPr>
          <w:rFonts w:ascii="Calibri" w:eastAsia="Calibri" w:hAnsi="Calibri" w:cs="Arial"/>
          <w:rtl/>
        </w:rPr>
        <w:t xml:space="preserve">רשב"א </w:t>
      </w:r>
      <w:r w:rsidRPr="001D49D4">
        <w:rPr>
          <w:rFonts w:ascii="Calibri" w:eastAsia="Calibri" w:hAnsi="Calibri" w:cs="Arial"/>
          <w:sz w:val="16"/>
          <w:szCs w:val="16"/>
          <w:rtl/>
        </w:rPr>
        <w:t>(במיוחסות סי' עח)</w:t>
      </w:r>
      <w:r w:rsidRPr="001D49D4">
        <w:rPr>
          <w:rFonts w:ascii="Calibri" w:eastAsia="Calibri" w:hAnsi="Calibri" w:cs="Arial"/>
          <w:rtl/>
        </w:rPr>
        <w:t xml:space="preserve">- ומה ששאלת להודיעך דעתי בדין שטר העשוי בערכאות והלה כופר בו. היאך יתקיים, אם הערכי נאמן להעיד או צריך שני עדים כשרים בקיאים בכתבו להעיד עליו. כך דעתי נוטה - שהאדם בעצמו נאמן. סוף דינא כתחלת דינא. שהרי כל עצמנו אין אנו סומכין אלא משום חזקה לא מרע נפשיה. וכל שכן דלא מרע בהך. דמשכוני נפשיה אשטרי דעלמא דנזדייפו משמו למה ליה, אדרבה קפיד הוא בזה יותר. ואין לך עומס עליו זיופי אחרים. ואפילו מי שאין מקפיד על עצמו ומרע נפשיה בשטרותיו מקפיד הוא בשטרות שנזדייפו ביד אחרים משמו. ולא מרע נפשיה להעיד על עצמו. </w:t>
      </w:r>
      <w:r w:rsidRPr="001D49D4">
        <w:rPr>
          <w:rFonts w:ascii="Calibri" w:eastAsia="Calibri" w:hAnsi="Calibri" w:cs="Arial"/>
          <w:color w:val="00B0F0"/>
          <w:rtl/>
        </w:rPr>
        <w:t>(וכ"פ הרמ"א)</w:t>
      </w:r>
    </w:p>
    <w:p w14:paraId="231E0C6A" w14:textId="77777777" w:rsidR="001D49D4" w:rsidRPr="001D49D4" w:rsidRDefault="001D49D4" w:rsidP="0004348D">
      <w:pPr>
        <w:spacing w:before="360" w:after="240"/>
        <w:rPr>
          <w:rFonts w:ascii="Calibri" w:eastAsia="Calibri" w:hAnsi="Calibri" w:cs="Arial"/>
          <w:u w:val="single"/>
        </w:rPr>
      </w:pPr>
      <w:r w:rsidRPr="001D49D4">
        <w:rPr>
          <w:rFonts w:ascii="Calibri" w:eastAsia="Calibri" w:hAnsi="Calibri" w:cs="Arial"/>
          <w:u w:val="single"/>
          <w:rtl/>
        </w:rPr>
        <w:t>אדם שהודה בשטר וחתם בידו והשטר בגופן של גוים:</w:t>
      </w:r>
    </w:p>
    <w:p w14:paraId="52CF011E" w14:textId="77777777" w:rsidR="001D49D4" w:rsidRPr="001D49D4" w:rsidRDefault="001D49D4" w:rsidP="0004348D">
      <w:pPr>
        <w:numPr>
          <w:ilvl w:val="0"/>
          <w:numId w:val="354"/>
        </w:numPr>
        <w:spacing w:before="360" w:after="240"/>
        <w:contextualSpacing/>
        <w:rPr>
          <w:rFonts w:ascii="Calibri" w:eastAsia="Calibri" w:hAnsi="Calibri" w:cs="Arial"/>
        </w:rPr>
      </w:pPr>
      <w:r w:rsidRPr="001D49D4">
        <w:rPr>
          <w:rFonts w:ascii="Calibri" w:eastAsia="Calibri" w:hAnsi="Calibri" w:cs="Arial"/>
          <w:rtl/>
        </w:rPr>
        <w:t xml:space="preserve">רשב"א </w:t>
      </w:r>
      <w:r w:rsidRPr="001D49D4">
        <w:rPr>
          <w:rFonts w:ascii="Calibri" w:eastAsia="Calibri" w:hAnsi="Calibri" w:cs="Arial"/>
          <w:sz w:val="16"/>
          <w:szCs w:val="16"/>
          <w:rtl/>
        </w:rPr>
        <w:t>(ח"א סי' תתקפה, ובמיוחסות סי' עז)</w:t>
      </w:r>
      <w:r w:rsidRPr="001D49D4">
        <w:rPr>
          <w:rFonts w:ascii="Calibri" w:eastAsia="Calibri" w:hAnsi="Calibri" w:cs="Arial"/>
          <w:rtl/>
        </w:rPr>
        <w:t xml:space="preserve">- הודאה בחתום ידו והשטר בגופן של גוים – מהני, דמסתמא ידע וקרא ואח"כ חתם... ואפילו מלוה מודה דאין לוה יודע לקרות - מכל מקום הרי סמך על הערכי ומתחייב הוא בכל הכתוב בו. והיינו טעמא דשליש. וגדולה מזו אמרו </w:t>
      </w:r>
      <w:r w:rsidRPr="001D49D4">
        <w:rPr>
          <w:rFonts w:ascii="Calibri" w:eastAsia="Calibri" w:hAnsi="Calibri" w:cs="Arial"/>
          <w:sz w:val="16"/>
          <w:szCs w:val="16"/>
          <w:rtl/>
        </w:rPr>
        <w:t xml:space="preserve">(גיטין סד.) </w:t>
      </w:r>
      <w:r w:rsidRPr="001D49D4">
        <w:rPr>
          <w:rFonts w:ascii="Calibri" w:eastAsia="Calibri" w:hAnsi="Calibri" w:cs="Arial"/>
          <w:rtl/>
        </w:rPr>
        <w:t>בעל אומר לפקדון ושליש אומר לגירושין שליש נאמן, וטעמא דכיון שיודע בשעה שְהֵשְלִיש הגט שהיה יכול ליתנו לאשה אף הוא גומר ונותן לגירושין כל שיאמר השליש כן. אף כאן כן הדין והוא גמר בדעתו להתחייב בכל מה שיאמר הערכי ואע"פ שלא לוה</w:t>
      </w:r>
      <w:r w:rsidRPr="001D49D4">
        <w:rPr>
          <w:rFonts w:ascii="Calibri" w:eastAsia="Calibri" w:hAnsi="Calibri" w:cs="Arial"/>
          <w:vertAlign w:val="superscript"/>
          <w:rtl/>
        </w:rPr>
        <w:footnoteReference w:id="5511"/>
      </w:r>
      <w:r w:rsidRPr="001D49D4">
        <w:rPr>
          <w:rFonts w:ascii="Calibri" w:eastAsia="Calibri" w:hAnsi="Calibri" w:cs="Arial"/>
          <w:rtl/>
        </w:rPr>
        <w:t xml:space="preserve">, כרבי יוחנן דאמר </w:t>
      </w:r>
      <w:r w:rsidRPr="001D49D4">
        <w:rPr>
          <w:rFonts w:ascii="Calibri" w:eastAsia="Calibri" w:hAnsi="Calibri" w:cs="Arial"/>
          <w:sz w:val="16"/>
          <w:szCs w:val="16"/>
          <w:rtl/>
        </w:rPr>
        <w:t xml:space="preserve">(כתובות קא:) </w:t>
      </w:r>
      <w:r w:rsidRPr="001D49D4">
        <w:rPr>
          <w:rFonts w:ascii="Calibri" w:eastAsia="Calibri" w:hAnsi="Calibri" w:cs="Arial"/>
          <w:rtl/>
        </w:rPr>
        <w:t>חייב אני לך מנה בשטר חייב אע"פ שלא לוה.</w:t>
      </w:r>
      <w:r w:rsidRPr="001D49D4">
        <w:rPr>
          <w:rFonts w:ascii="Calibri" w:eastAsia="Calibri" w:hAnsi="Calibri" w:cs="Arial"/>
          <w:color w:val="00B0F0"/>
          <w:rtl/>
        </w:rPr>
        <w:t xml:space="preserve"> (וכ"פ הרמ"א)</w:t>
      </w:r>
    </w:p>
    <w:p w14:paraId="6A6AC818" w14:textId="77777777" w:rsidR="001D49D4" w:rsidRPr="001D49D4" w:rsidRDefault="001D49D4" w:rsidP="0004348D">
      <w:pPr>
        <w:spacing w:before="360" w:after="240"/>
        <w:rPr>
          <w:rFonts w:ascii="Arial" w:eastAsia="Calibri" w:hAnsi="Arial" w:cs="Arial"/>
          <w:b/>
          <w:bCs/>
          <w:color w:val="000000"/>
          <w:sz w:val="28"/>
          <w:szCs w:val="28"/>
          <w:u w:val="single"/>
        </w:rPr>
      </w:pPr>
      <w:r w:rsidRPr="001D49D4">
        <w:rPr>
          <w:rFonts w:ascii="Arial" w:eastAsia="Calibri" w:hAnsi="Arial" w:cs="Arial"/>
          <w:b/>
          <w:bCs/>
          <w:color w:val="000000"/>
          <w:sz w:val="28"/>
          <w:szCs w:val="28"/>
          <w:u w:val="single"/>
          <w:rtl/>
        </w:rPr>
        <w:t>שו"ע:</w:t>
      </w:r>
    </w:p>
    <w:p w14:paraId="1D8B25A6" w14:textId="77777777" w:rsidR="001D49D4" w:rsidRDefault="001D49D4" w:rsidP="0004348D">
      <w:pPr>
        <w:spacing w:before="360" w:after="240"/>
        <w:rPr>
          <w:rFonts w:ascii="Calibri" w:eastAsia="Calibri" w:hAnsi="Calibri" w:cs="Arial"/>
          <w:rtl/>
        </w:rPr>
      </w:pPr>
      <w:r w:rsidRPr="001D49D4">
        <w:rPr>
          <w:rFonts w:ascii="Calibri" w:eastAsia="Calibri" w:hAnsi="Calibri" w:cs="Arial"/>
          <w:rtl/>
        </w:rPr>
        <w:t>אם לא ידעו דייני ישראל לקרות שטר זה הנעשה בערכאות של גוים, נותנים לשני גוים, זה שלא בפני זה, וקורים אותו, שנמצא כל אחד במסיח לפי תומו, וגובה בו מבני חורין. שטר שעידיו גוים, שמסרו הלוה ליד המלוה, או המוכר ליד הלוקח, בפני שני עדים מישראל, אף על פי שאינו עשוי בערכאות של גוים ואין בו כל הדברים שמנינו, הרי זה גובה מבני חורין, והוא שיהיו העדים שמסר בפניהם יודעים לקרותו, וקראוהו כשמסרו בפניהם, ויהיה כתיקון שטר ישראל שאינו יכול להזדייף ולא להוסיף ולא לגרוע. ויש מי שאומר דהני מילי ששמות העדים החתומים בו מובהקים בגיות, שאין דרך ישראל לקרות באותן שמות</w:t>
      </w:r>
      <w:r w:rsidRPr="001D49D4">
        <w:rPr>
          <w:rFonts w:ascii="Calibri" w:eastAsia="Calibri" w:hAnsi="Calibri" w:cs="Arial"/>
          <w:vertAlign w:val="superscript"/>
          <w:rtl/>
        </w:rPr>
        <w:footnoteReference w:id="5512"/>
      </w:r>
      <w:r w:rsidRPr="001D49D4">
        <w:rPr>
          <w:rFonts w:ascii="Calibri" w:eastAsia="Calibri" w:hAnsi="Calibri" w:cs="Arial"/>
          <w:rtl/>
        </w:rPr>
        <w:t xml:space="preserve">, או במקום שאין ישראל רגילים לחתום בשטרות כלל. </w:t>
      </w:r>
      <w:r w:rsidRPr="001D49D4">
        <w:rPr>
          <w:rFonts w:ascii="Calibri" w:eastAsia="Calibri" w:hAnsi="Calibri" w:cs="Arial"/>
          <w:sz w:val="18"/>
          <w:szCs w:val="18"/>
          <w:rtl/>
        </w:rPr>
        <w:t>הגה: שטר העשוי בערכאות, והלוה כופר בו</w:t>
      </w:r>
      <w:r w:rsidRPr="001D49D4">
        <w:rPr>
          <w:rFonts w:ascii="Calibri" w:eastAsia="Calibri" w:hAnsi="Calibri" w:cs="Arial"/>
          <w:sz w:val="18"/>
          <w:szCs w:val="18"/>
          <w:vertAlign w:val="superscript"/>
          <w:rtl/>
        </w:rPr>
        <w:footnoteReference w:id="5513"/>
      </w:r>
      <w:r w:rsidRPr="001D49D4">
        <w:rPr>
          <w:rFonts w:ascii="Calibri" w:eastAsia="Calibri" w:hAnsi="Calibri" w:cs="Arial"/>
          <w:sz w:val="18"/>
          <w:szCs w:val="18"/>
          <w:rtl/>
        </w:rPr>
        <w:t>, נאמן הסופר להעיד שהוא כתבו</w:t>
      </w:r>
      <w:r w:rsidRPr="001D49D4">
        <w:rPr>
          <w:rFonts w:ascii="Calibri" w:eastAsia="Calibri" w:hAnsi="Calibri" w:cs="Arial"/>
          <w:sz w:val="16"/>
          <w:szCs w:val="16"/>
          <w:rtl/>
        </w:rPr>
        <w:t xml:space="preserve"> (רשב"א במיוחסות סי' עח)</w:t>
      </w:r>
      <w:r w:rsidRPr="001D49D4">
        <w:rPr>
          <w:rFonts w:ascii="Calibri" w:eastAsia="Calibri" w:hAnsi="Calibri" w:cs="Arial"/>
          <w:sz w:val="18"/>
          <w:szCs w:val="18"/>
          <w:rtl/>
        </w:rPr>
        <w:t>. שטר העשוי לפני גוים</w:t>
      </w:r>
      <w:r w:rsidRPr="001D49D4">
        <w:rPr>
          <w:rFonts w:ascii="Calibri" w:eastAsia="Calibri" w:hAnsi="Calibri" w:cs="Arial"/>
          <w:sz w:val="18"/>
          <w:szCs w:val="18"/>
          <w:vertAlign w:val="superscript"/>
          <w:rtl/>
        </w:rPr>
        <w:footnoteReference w:id="5514"/>
      </w:r>
      <w:r w:rsidRPr="001D49D4">
        <w:rPr>
          <w:rFonts w:ascii="Calibri" w:eastAsia="Calibri" w:hAnsi="Calibri" w:cs="Arial"/>
          <w:sz w:val="18"/>
          <w:szCs w:val="18"/>
          <w:rtl/>
        </w:rPr>
        <w:t xml:space="preserve">, והלוה בעצמו חתום עליו, אע"פ שאינו יודע לקרות, חייב בכל מה שכתוב בו, דהרי גמר בדעתו להתחייב ולכן חתם עצמו, ובודאי קראוהו לפניו והאמין לקורא ההוא </w:t>
      </w:r>
      <w:r w:rsidRPr="001D49D4">
        <w:rPr>
          <w:rFonts w:ascii="Calibri" w:eastAsia="Calibri" w:hAnsi="Calibri" w:cs="Arial"/>
          <w:sz w:val="16"/>
          <w:szCs w:val="16"/>
          <w:rtl/>
        </w:rPr>
        <w:t>(רשב"א סי' תתקפה)</w:t>
      </w:r>
      <w:r w:rsidRPr="001D49D4">
        <w:rPr>
          <w:rFonts w:ascii="Calibri" w:eastAsia="Calibri" w:hAnsi="Calibri" w:cs="Arial"/>
          <w:sz w:val="18"/>
          <w:szCs w:val="18"/>
          <w:rtl/>
        </w:rPr>
        <w:t>. ועיין לעיל סימן מ"ה סעיף ג'.</w:t>
      </w:r>
      <w:r w:rsidRPr="001D49D4">
        <w:rPr>
          <w:rFonts w:ascii="Calibri" w:eastAsia="Calibri" w:hAnsi="Calibri" w:cs="Arial" w:hint="cs"/>
        </w:rPr>
        <w:t xml:space="preserve"> </w:t>
      </w:r>
    </w:p>
    <w:p w14:paraId="7E301E7A" w14:textId="77777777" w:rsidR="00F9369D" w:rsidRDefault="00F9369D" w:rsidP="0004348D">
      <w:pPr>
        <w:spacing w:before="360" w:after="240"/>
        <w:rPr>
          <w:rFonts w:ascii="Calibri" w:eastAsia="Calibri" w:hAnsi="Calibri" w:cs="Arial"/>
          <w:rtl/>
        </w:rPr>
        <w:sectPr w:rsidR="00F9369D" w:rsidSect="00815FD1">
          <w:headerReference w:type="default" r:id="rId77"/>
          <w:footnotePr>
            <w:numRestart w:val="eachPage"/>
          </w:footnotePr>
          <w:pgSz w:w="11906" w:h="16838"/>
          <w:pgMar w:top="720" w:right="1134" w:bottom="720" w:left="1134" w:header="0" w:footer="0" w:gutter="0"/>
          <w:cols w:space="720"/>
          <w:bidi/>
          <w:rtlGutter/>
          <w:docGrid w:linePitch="360"/>
        </w:sectPr>
      </w:pPr>
    </w:p>
    <w:p w14:paraId="170E31F9" w14:textId="77777777" w:rsidR="0004348D" w:rsidRPr="0004348D" w:rsidRDefault="0004348D" w:rsidP="0004348D">
      <w:pPr>
        <w:keepNext/>
        <w:keepLines/>
        <w:spacing w:before="360" w:after="240"/>
        <w:outlineLvl w:val="0"/>
        <w:rPr>
          <w:rFonts w:ascii="Cambria" w:eastAsia="Times New Roman" w:hAnsi="Cambria" w:cs="Arial"/>
          <w:b/>
          <w:bCs/>
          <w:color w:val="365F91" w:themeColor="accent1" w:themeShade="BF"/>
          <w:sz w:val="28"/>
          <w:szCs w:val="28"/>
        </w:rPr>
      </w:pPr>
      <w:bookmarkStart w:id="775" w:name="_Toc24884179"/>
      <w:r w:rsidRPr="0004348D">
        <w:rPr>
          <w:rFonts w:ascii="Cambria" w:eastAsia="Times New Roman" w:hAnsi="Cambria" w:cs="Arial"/>
          <w:b/>
          <w:bCs/>
          <w:color w:val="365F91" w:themeColor="accent1" w:themeShade="BF"/>
          <w:sz w:val="28"/>
          <w:szCs w:val="28"/>
          <w:rtl/>
        </w:rPr>
        <w:t>סימן סט: דין הוציא עליו כתב ידו מקויים או בלתי מקויים, ודין טענת פרעתי ומודה מקצת, ובו ו' סעיפים.</w:t>
      </w:r>
      <w:bookmarkEnd w:id="775"/>
      <w:r w:rsidRPr="0004348D">
        <w:rPr>
          <w:rFonts w:ascii="Cambria" w:eastAsia="Times New Roman" w:hAnsi="Cambria" w:cs="Arial"/>
          <w:b/>
          <w:bCs/>
          <w:color w:val="365F91" w:themeColor="accent1" w:themeShade="BF"/>
          <w:sz w:val="28"/>
          <w:szCs w:val="28"/>
          <w:rtl/>
        </w:rPr>
        <w:t xml:space="preserve"> </w:t>
      </w:r>
    </w:p>
    <w:p w14:paraId="169FD67B" w14:textId="77777777" w:rsidR="0004348D" w:rsidRPr="0004348D" w:rsidRDefault="0004348D" w:rsidP="0004348D">
      <w:pPr>
        <w:keepNext/>
        <w:keepLines/>
        <w:spacing w:before="360" w:after="240"/>
        <w:outlineLvl w:val="1"/>
        <w:rPr>
          <w:rFonts w:ascii="Cambria" w:eastAsia="Times New Roman" w:hAnsi="Cambria" w:cs="Arial"/>
          <w:bCs/>
          <w:color w:val="548DD4" w:themeColor="text2" w:themeTint="99"/>
          <w:sz w:val="26"/>
          <w:szCs w:val="26"/>
          <w:rtl/>
        </w:rPr>
      </w:pPr>
      <w:bookmarkStart w:id="776" w:name="_Toc24884180"/>
      <w:r w:rsidRPr="0004348D">
        <w:rPr>
          <w:rFonts w:ascii="Cambria" w:eastAsia="Times New Roman" w:hAnsi="Cambria" w:cs="Arial"/>
          <w:bCs/>
          <w:color w:val="548DD4" w:themeColor="text2" w:themeTint="99"/>
          <w:sz w:val="26"/>
          <w:szCs w:val="26"/>
          <w:rtl/>
        </w:rPr>
        <w:t>סעיף א: כתב ידו.</w:t>
      </w:r>
      <w:bookmarkEnd w:id="776"/>
    </w:p>
    <w:p w14:paraId="0CF3E8EE" w14:textId="77777777" w:rsidR="0004348D" w:rsidRPr="0004348D" w:rsidRDefault="0004348D" w:rsidP="0004348D">
      <w:pPr>
        <w:spacing w:before="360" w:after="240"/>
        <w:rPr>
          <w:rFonts w:ascii="Calibri" w:eastAsia="Calibri" w:hAnsi="Calibri" w:cs="Arial"/>
          <w:rtl/>
        </w:rPr>
      </w:pPr>
      <w:r w:rsidRPr="0004348D">
        <w:rPr>
          <w:rFonts w:ascii="Calibri" w:eastAsia="Calibri" w:hAnsi="Calibri" w:cs="Arial"/>
          <w:b/>
          <w:bCs/>
          <w:rtl/>
        </w:rPr>
        <w:t>בבא בתרא</w:t>
      </w:r>
      <w:r w:rsidRPr="0004348D">
        <w:rPr>
          <w:rFonts w:ascii="Calibri" w:eastAsia="Calibri" w:hAnsi="Calibri" w:cs="Arial"/>
          <w:b/>
          <w:bCs/>
          <w:sz w:val="16"/>
          <w:szCs w:val="16"/>
          <w:rtl/>
        </w:rPr>
        <w:t xml:space="preserve"> (פרק בתרא)</w:t>
      </w:r>
      <w:r w:rsidRPr="0004348D">
        <w:rPr>
          <w:rFonts w:ascii="Calibri" w:eastAsia="Calibri" w:hAnsi="Calibri" w:cs="Arial" w:hint="cs"/>
          <w:b/>
          <w:bCs/>
        </w:rPr>
        <w:t xml:space="preserve"> </w:t>
      </w:r>
      <w:r w:rsidRPr="0004348D">
        <w:rPr>
          <w:rFonts w:ascii="Calibri" w:eastAsia="Calibri" w:hAnsi="Calibri" w:cs="Arial"/>
          <w:b/>
          <w:bCs/>
          <w:rtl/>
        </w:rPr>
        <w:t>קעה</w:t>
      </w:r>
      <w:r w:rsidRPr="0004348D">
        <w:rPr>
          <w:rFonts w:ascii="Calibri" w:eastAsia="Calibri" w:hAnsi="Calibri" w:cs="Arial"/>
          <w:b/>
          <w:bCs/>
          <w:vertAlign w:val="superscript"/>
          <w:rtl/>
        </w:rPr>
        <w:footnoteReference w:id="5515"/>
      </w:r>
      <w:r w:rsidRPr="0004348D">
        <w:rPr>
          <w:rFonts w:ascii="Calibri" w:eastAsia="Calibri" w:hAnsi="Calibri" w:cs="Arial"/>
          <w:b/>
          <w:bCs/>
          <w:rtl/>
        </w:rPr>
        <w:t xml:space="preserve"> ע"א:</w:t>
      </w:r>
      <w:r w:rsidRPr="0004348D">
        <w:rPr>
          <w:rFonts w:ascii="Calibri" w:eastAsia="Calibri" w:hAnsi="Calibri" w:cs="Arial"/>
          <w:rtl/>
        </w:rPr>
        <w:t xml:space="preserve"> </w:t>
      </w:r>
      <w:r w:rsidRPr="0004348D">
        <w:rPr>
          <w:rFonts w:ascii="Calibri" w:eastAsia="Calibri" w:hAnsi="Calibri" w:cs="Arial"/>
          <w:u w:val="double"/>
          <w:rtl/>
        </w:rPr>
        <w:t>מתני'</w:t>
      </w:r>
      <w:r w:rsidRPr="0004348D">
        <w:rPr>
          <w:rFonts w:ascii="Calibri" w:eastAsia="Calibri" w:hAnsi="Calibri" w:cs="Arial"/>
          <w:rtl/>
        </w:rPr>
        <w:t xml:space="preserve">: המלוה את חבירו בשטר - גובה מנכסים משועבדים, על ידי עדים - גובין מנכסים בני חורין. </w:t>
      </w:r>
      <w:r w:rsidRPr="0004348D">
        <w:rPr>
          <w:rFonts w:ascii="Calibri" w:eastAsia="Calibri" w:hAnsi="Calibri" w:cs="Arial"/>
          <w:sz w:val="14"/>
          <w:szCs w:val="14"/>
          <w:rtl/>
        </w:rPr>
        <w:t xml:space="preserve">(קעה:) </w:t>
      </w:r>
      <w:r w:rsidRPr="0004348D">
        <w:rPr>
          <w:rFonts w:ascii="Calibri" w:eastAsia="Calibri" w:hAnsi="Calibri" w:cs="Arial"/>
          <w:rtl/>
        </w:rPr>
        <w:t xml:space="preserve">הוציא עליו כתב ידו שהוא חייב לו - גובה מנכסים בני חורין. </w:t>
      </w:r>
    </w:p>
    <w:p w14:paraId="043BA770" w14:textId="77777777" w:rsidR="0004348D" w:rsidRPr="0004348D" w:rsidRDefault="0004348D" w:rsidP="0004348D">
      <w:pPr>
        <w:spacing w:before="360" w:after="240"/>
        <w:rPr>
          <w:rFonts w:ascii="Calibri" w:eastAsia="Calibri" w:hAnsi="Calibri" w:cs="Arial"/>
          <w:rtl/>
        </w:rPr>
      </w:pPr>
      <w:r w:rsidRPr="0004348D">
        <w:rPr>
          <w:rFonts w:ascii="Calibri" w:eastAsia="Calibri" w:hAnsi="Calibri" w:cs="Arial"/>
          <w:b/>
          <w:bCs/>
          <w:rtl/>
        </w:rPr>
        <w:t>בבא בתרא</w:t>
      </w:r>
      <w:r w:rsidRPr="0004348D">
        <w:rPr>
          <w:rFonts w:ascii="Calibri" w:eastAsia="Calibri" w:hAnsi="Calibri" w:cs="Arial"/>
          <w:b/>
          <w:bCs/>
          <w:sz w:val="16"/>
          <w:szCs w:val="16"/>
          <w:rtl/>
        </w:rPr>
        <w:t xml:space="preserve"> (פרק גט פשוט)</w:t>
      </w:r>
      <w:r w:rsidRPr="0004348D">
        <w:rPr>
          <w:rFonts w:ascii="Calibri" w:eastAsia="Calibri" w:hAnsi="Calibri" w:cs="Arial" w:hint="cs"/>
          <w:b/>
          <w:bCs/>
        </w:rPr>
        <w:t xml:space="preserve"> </w:t>
      </w:r>
      <w:r w:rsidRPr="0004348D">
        <w:rPr>
          <w:rFonts w:ascii="Calibri" w:eastAsia="Calibri" w:hAnsi="Calibri" w:cs="Arial"/>
          <w:b/>
          <w:bCs/>
          <w:rtl/>
        </w:rPr>
        <w:t>קסז</w:t>
      </w:r>
      <w:r w:rsidRPr="0004348D">
        <w:rPr>
          <w:rFonts w:ascii="Calibri" w:eastAsia="Calibri" w:hAnsi="Calibri" w:cs="Arial"/>
          <w:b/>
          <w:bCs/>
          <w:vertAlign w:val="superscript"/>
          <w:rtl/>
        </w:rPr>
        <w:footnoteReference w:id="5516"/>
      </w:r>
      <w:r w:rsidRPr="0004348D">
        <w:rPr>
          <w:rFonts w:ascii="Calibri" w:eastAsia="Calibri" w:hAnsi="Calibri" w:cs="Arial"/>
          <w:b/>
          <w:bCs/>
          <w:rtl/>
        </w:rPr>
        <w:t xml:space="preserve"> ע"א:</w:t>
      </w:r>
      <w:r w:rsidRPr="0004348D">
        <w:rPr>
          <w:rFonts w:ascii="Calibri" w:eastAsia="Calibri" w:hAnsi="Calibri" w:cs="Arial"/>
          <w:rtl/>
        </w:rPr>
        <w:t xml:space="preserve"> </w:t>
      </w:r>
      <w:r w:rsidRPr="0004348D">
        <w:rPr>
          <w:rFonts w:ascii="Calibri" w:eastAsia="Calibri" w:hAnsi="Calibri" w:cs="Arial"/>
          <w:u w:val="single"/>
          <w:rtl/>
        </w:rPr>
        <w:t>אמר אביי</w:t>
      </w:r>
      <w:r w:rsidRPr="0004348D">
        <w:rPr>
          <w:rFonts w:ascii="Calibri" w:eastAsia="Calibri" w:hAnsi="Calibri" w:cs="Arial"/>
          <w:rtl/>
        </w:rPr>
        <w:t>: האי מאן דבעי למחוי חתימות ידיה בבי דינא, לא לחוי בסוף מגילתא, דלמא משכח לה אחר וכתיב דמסיק ביה זוזי</w:t>
      </w:r>
      <w:r w:rsidRPr="0004348D">
        <w:rPr>
          <w:rFonts w:ascii="Calibri" w:eastAsia="Calibri" w:hAnsi="Calibri" w:cs="Arial"/>
          <w:vertAlign w:val="superscript"/>
          <w:rtl/>
        </w:rPr>
        <w:footnoteReference w:id="5517"/>
      </w:r>
      <w:r w:rsidRPr="0004348D">
        <w:rPr>
          <w:rFonts w:ascii="Calibri" w:eastAsia="Calibri" w:hAnsi="Calibri" w:cs="Arial"/>
          <w:rtl/>
        </w:rPr>
        <w:t>, ותנן: הוציא עליו כתב ידו שהוא חייב לו - גובה מנכסים בני חורין. ההוא בזבינא דאתא לקמיה דאביי, אמר ליה: ניחזי לי מר חתימות ידיה, דכי אתו רבנן מחוו לי, מעברנא להו בלא מכסא. אחוי ליה בריש מגילתא, הוה קא נגיד ביה, א"ל: כבר קדמוך רבנן.</w:t>
      </w:r>
    </w:p>
    <w:p w14:paraId="7F933745" w14:textId="77777777" w:rsidR="0004348D" w:rsidRPr="0004348D" w:rsidRDefault="0004348D" w:rsidP="0004348D">
      <w:pPr>
        <w:spacing w:before="360" w:after="240"/>
        <w:rPr>
          <w:rFonts w:ascii="Calibri" w:eastAsia="Calibri" w:hAnsi="Calibri" w:cs="Arial"/>
          <w:u w:val="single"/>
          <w:rtl/>
        </w:rPr>
      </w:pPr>
      <w:r w:rsidRPr="0004348D">
        <w:rPr>
          <w:rFonts w:ascii="Calibri" w:eastAsia="Calibri" w:hAnsi="Calibri" w:cs="Arial"/>
          <w:u w:val="single"/>
          <w:rtl/>
        </w:rPr>
        <w:t>אדם שכתב 'אני פלוני הבא על החתום מודה שאני חייב לפלוני מנה'</w:t>
      </w:r>
      <w:r w:rsidRPr="0004348D">
        <w:rPr>
          <w:rFonts w:ascii="Calibri" w:eastAsia="Calibri" w:hAnsi="Calibri" w:cs="Arial"/>
          <w:sz w:val="16"/>
          <w:szCs w:val="16"/>
          <w:u w:val="single"/>
          <w:rtl/>
        </w:rPr>
        <w:t xml:space="preserve"> (או שאחר כתב כן)</w:t>
      </w:r>
      <w:r w:rsidRPr="0004348D">
        <w:rPr>
          <w:rFonts w:ascii="Calibri" w:eastAsia="Calibri" w:hAnsi="Calibri" w:cs="Arial"/>
          <w:u w:val="single"/>
          <w:rtl/>
        </w:rPr>
        <w:t xml:space="preserve">, וחתם </w:t>
      </w:r>
      <w:r w:rsidRPr="0004348D">
        <w:rPr>
          <w:rFonts w:ascii="Calibri" w:eastAsia="Calibri" w:hAnsi="Calibri" w:cs="Arial"/>
          <w:b/>
          <w:bCs/>
          <w:u w:val="single"/>
          <w:rtl/>
        </w:rPr>
        <w:t>למטה</w:t>
      </w:r>
      <w:r w:rsidRPr="0004348D">
        <w:rPr>
          <w:rFonts w:ascii="Calibri" w:eastAsia="Calibri" w:hAnsi="Calibri" w:cs="Arial"/>
          <w:u w:val="single"/>
          <w:rtl/>
        </w:rPr>
        <w:t>:</w:t>
      </w:r>
    </w:p>
    <w:p w14:paraId="4DBC4C20" w14:textId="77777777" w:rsidR="0004348D" w:rsidRPr="0004348D" w:rsidRDefault="0004348D" w:rsidP="0004348D">
      <w:pPr>
        <w:numPr>
          <w:ilvl w:val="0"/>
          <w:numId w:val="356"/>
        </w:numPr>
        <w:spacing w:before="360" w:after="240"/>
        <w:contextualSpacing/>
        <w:rPr>
          <w:rFonts w:ascii="Calibri" w:eastAsia="Calibri" w:hAnsi="Calibri" w:cs="Arial"/>
          <w:rtl/>
        </w:rPr>
      </w:pPr>
      <w:r w:rsidRPr="0004348D">
        <w:rPr>
          <w:rFonts w:ascii="Calibri" w:eastAsia="Calibri" w:hAnsi="Calibri" w:cs="Arial"/>
          <w:rtl/>
        </w:rPr>
        <w:t>טור- מי שלוה מחבירו ולא עשה לו שטר אלא כתב בכתב ידו, כגון שכתב 'אני הבא על החתום מודה שאני חייב לפלוני מנה' וחתם למטה, או שכתב בכתב יד אחר והוא חתום למטה, ונתנו לו בינו לבינו - היינו דתנן הוציא עליו כתב ידו גובה מבני חורין. לפיכך אמרו חכמים לא ליחתום אינש אלא ארישא דמגילתא דילמא משכח אינש דלא מעלי וכתב עליה מאי דבעי ותנן הוציא עליו כתב ידו גובה מנכסים בני חורין.</w:t>
      </w:r>
      <w:r w:rsidRPr="0004348D">
        <w:rPr>
          <w:rFonts w:ascii="Calibri" w:eastAsia="Calibri" w:hAnsi="Calibri" w:cs="Arial"/>
          <w:color w:val="E36C0A" w:themeColor="accent6" w:themeShade="BF"/>
          <w:rtl/>
        </w:rPr>
        <w:t xml:space="preserve"> (וכ"פ בשו"ע)</w:t>
      </w:r>
    </w:p>
    <w:p w14:paraId="4BC13D6B" w14:textId="77777777" w:rsidR="0004348D" w:rsidRPr="0004348D" w:rsidRDefault="0004348D" w:rsidP="0004348D">
      <w:pPr>
        <w:spacing w:before="360" w:after="240"/>
        <w:ind w:left="360"/>
        <w:rPr>
          <w:rFonts w:ascii="Calibri" w:eastAsia="Calibri" w:hAnsi="Calibri" w:cs="Arial"/>
          <w:u w:val="dotted"/>
        </w:rPr>
      </w:pPr>
      <w:r w:rsidRPr="0004348D">
        <w:rPr>
          <w:rFonts w:ascii="Calibri" w:eastAsia="Calibri" w:hAnsi="Calibri" w:cs="Arial"/>
          <w:u w:val="dotted"/>
          <w:rtl/>
        </w:rPr>
        <w:t xml:space="preserve">ומה הדין אם חתם </w:t>
      </w:r>
      <w:r w:rsidRPr="0004348D">
        <w:rPr>
          <w:rFonts w:ascii="Calibri" w:eastAsia="Calibri" w:hAnsi="Calibri" w:cs="Arial"/>
          <w:b/>
          <w:bCs/>
          <w:u w:val="dotted"/>
          <w:rtl/>
        </w:rPr>
        <w:t>למעלה</w:t>
      </w:r>
      <w:r w:rsidRPr="0004348D">
        <w:rPr>
          <w:rFonts w:ascii="Calibri" w:eastAsia="Calibri" w:hAnsi="Calibri" w:cs="Arial"/>
          <w:u w:val="dotted"/>
          <w:rtl/>
        </w:rPr>
        <w:t>:</w:t>
      </w:r>
    </w:p>
    <w:p w14:paraId="4F5E0AE3" w14:textId="77777777" w:rsidR="0004348D" w:rsidRPr="0004348D" w:rsidRDefault="0004348D" w:rsidP="0004348D">
      <w:pPr>
        <w:numPr>
          <w:ilvl w:val="0"/>
          <w:numId w:val="356"/>
        </w:numPr>
        <w:spacing w:before="360" w:after="240"/>
        <w:contextualSpacing/>
        <w:rPr>
          <w:rFonts w:ascii="Calibri" w:eastAsia="Calibri" w:hAnsi="Calibri" w:cs="Arial"/>
          <w:rtl/>
        </w:rPr>
      </w:pPr>
      <w:r w:rsidRPr="0004348D">
        <w:rPr>
          <w:rFonts w:ascii="Calibri" w:eastAsia="Calibri" w:hAnsi="Calibri" w:cs="Arial"/>
          <w:rtl/>
        </w:rPr>
        <w:t>בעל התרומות</w:t>
      </w:r>
      <w:r w:rsidRPr="0004348D">
        <w:rPr>
          <w:rFonts w:ascii="Calibri" w:eastAsia="Calibri" w:hAnsi="Calibri" w:cs="Arial"/>
          <w:sz w:val="16"/>
          <w:szCs w:val="16"/>
          <w:rtl/>
        </w:rPr>
        <w:t xml:space="preserve"> (שער יג ח"א סי' א-ב)</w:t>
      </w:r>
      <w:r w:rsidRPr="0004348D">
        <w:rPr>
          <w:rFonts w:ascii="Calibri" w:eastAsia="Calibri" w:hAnsi="Calibri" w:cs="Arial"/>
          <w:rtl/>
        </w:rPr>
        <w:t>- כתב מתחלה שמו וכתבו אחרים למטה חיוב עליו - אין זה נקרא כתב ידו ואינו מעלה ואינו מוריד, דאיכא למיחש לזיופא</w:t>
      </w:r>
      <w:r w:rsidRPr="0004348D">
        <w:rPr>
          <w:rFonts w:ascii="Calibri" w:eastAsia="Calibri" w:hAnsi="Calibri" w:cs="Arial"/>
          <w:vertAlign w:val="superscript"/>
          <w:rtl/>
        </w:rPr>
        <w:footnoteReference w:id="5518"/>
      </w:r>
      <w:r w:rsidRPr="0004348D">
        <w:rPr>
          <w:rFonts w:ascii="Calibri" w:eastAsia="Calibri" w:hAnsi="Calibri" w:cs="Arial"/>
          <w:rtl/>
        </w:rPr>
        <w:t xml:space="preserve">. </w:t>
      </w:r>
      <w:r w:rsidRPr="0004348D">
        <w:rPr>
          <w:rFonts w:ascii="Calibri" w:eastAsia="Calibri" w:hAnsi="Calibri" w:cs="Arial"/>
          <w:color w:val="E36C0A" w:themeColor="accent6" w:themeShade="BF"/>
          <w:rtl/>
        </w:rPr>
        <w:t>(וכ"פ בשו"ע)</w:t>
      </w:r>
    </w:p>
    <w:p w14:paraId="65D47836" w14:textId="77777777" w:rsidR="0004348D" w:rsidRPr="0004348D" w:rsidRDefault="0004348D" w:rsidP="0004348D">
      <w:pPr>
        <w:spacing w:before="360" w:after="240"/>
        <w:ind w:left="360"/>
        <w:rPr>
          <w:rFonts w:ascii="Calibri" w:eastAsia="Calibri" w:hAnsi="Calibri" w:cs="Arial"/>
          <w:u w:val="dotted"/>
          <w:rtl/>
        </w:rPr>
      </w:pPr>
      <w:bookmarkStart w:id="777" w:name="_Hlk17106245"/>
      <w:r w:rsidRPr="0004348D">
        <w:rPr>
          <w:rFonts w:ascii="Calibri" w:eastAsia="Calibri" w:hAnsi="Calibri" w:cs="Arial"/>
          <w:u w:val="dotted"/>
          <w:rtl/>
        </w:rPr>
        <w:t xml:space="preserve">ומה הדין אם </w:t>
      </w:r>
      <w:r w:rsidRPr="0004348D">
        <w:rPr>
          <w:rFonts w:ascii="Calibri" w:eastAsia="Calibri" w:hAnsi="Calibri" w:cs="Arial"/>
          <w:b/>
          <w:bCs/>
          <w:u w:val="dotted"/>
          <w:rtl/>
        </w:rPr>
        <w:t>לא חתם</w:t>
      </w:r>
      <w:r w:rsidRPr="0004348D">
        <w:rPr>
          <w:rFonts w:ascii="Calibri" w:eastAsia="Calibri" w:hAnsi="Calibri" w:cs="Arial"/>
          <w:u w:val="dotted"/>
          <w:rtl/>
        </w:rPr>
        <w:t xml:space="preserve"> </w:t>
      </w:r>
      <w:r w:rsidRPr="0004348D">
        <w:rPr>
          <w:rFonts w:ascii="Calibri" w:eastAsia="Calibri" w:hAnsi="Calibri" w:cs="Arial"/>
          <w:b/>
          <w:bCs/>
          <w:u w:val="dotted"/>
          <w:rtl/>
        </w:rPr>
        <w:t>כלל</w:t>
      </w:r>
      <w:r w:rsidRPr="0004348D">
        <w:rPr>
          <w:rFonts w:ascii="Calibri" w:eastAsia="Calibri" w:hAnsi="Calibri" w:cs="Arial"/>
          <w:u w:val="dotted"/>
          <w:rtl/>
        </w:rPr>
        <w:t xml:space="preserve"> - אבל כל השטר מכתב ידו:</w:t>
      </w:r>
    </w:p>
    <w:p w14:paraId="23148FFA" w14:textId="77777777" w:rsidR="0004348D" w:rsidRPr="0004348D" w:rsidRDefault="0004348D" w:rsidP="0004348D">
      <w:pPr>
        <w:numPr>
          <w:ilvl w:val="0"/>
          <w:numId w:val="356"/>
        </w:numPr>
        <w:spacing w:before="360" w:after="240"/>
        <w:contextualSpacing/>
        <w:rPr>
          <w:rFonts w:ascii="Calibri" w:eastAsia="Calibri" w:hAnsi="Calibri" w:cs="Arial"/>
          <w:rtl/>
        </w:rPr>
      </w:pPr>
      <w:r w:rsidRPr="0004348D">
        <w:rPr>
          <w:rFonts w:ascii="Calibri" w:eastAsia="Calibri" w:hAnsi="Calibri" w:cs="Arial"/>
          <w:rtl/>
        </w:rPr>
        <w:t>בעל התרומות</w:t>
      </w:r>
      <w:r w:rsidRPr="0004348D">
        <w:rPr>
          <w:rFonts w:ascii="Calibri" w:eastAsia="Calibri" w:hAnsi="Calibri" w:cs="Arial"/>
          <w:sz w:val="16"/>
          <w:szCs w:val="16"/>
          <w:rtl/>
        </w:rPr>
        <w:t xml:space="preserve"> (שם)</w:t>
      </w:r>
      <w:r w:rsidRPr="0004348D">
        <w:rPr>
          <w:rFonts w:ascii="Calibri" w:eastAsia="Calibri" w:hAnsi="Calibri" w:cs="Arial"/>
          <w:rtl/>
        </w:rPr>
        <w:t xml:space="preserve"> רשב"א</w:t>
      </w:r>
      <w:r w:rsidRPr="0004348D">
        <w:rPr>
          <w:rFonts w:ascii="Calibri" w:eastAsia="Calibri" w:hAnsi="Calibri" w:cs="Arial"/>
          <w:sz w:val="16"/>
          <w:szCs w:val="16"/>
          <w:rtl/>
        </w:rPr>
        <w:t xml:space="preserve"> (ח"ג סי' נה, כ"כ בשמו הדרכ"מ [אות א*])</w:t>
      </w:r>
      <w:r w:rsidRPr="0004348D">
        <w:rPr>
          <w:rFonts w:ascii="Calibri" w:eastAsia="Calibri" w:hAnsi="Calibri" w:cs="Arial"/>
          <w:vertAlign w:val="superscript"/>
          <w:rtl/>
        </w:rPr>
        <w:footnoteReference w:id="5519"/>
      </w:r>
      <w:r w:rsidRPr="0004348D">
        <w:rPr>
          <w:rFonts w:ascii="Calibri" w:eastAsia="Calibri" w:hAnsi="Calibri" w:cs="Arial"/>
          <w:rtl/>
        </w:rPr>
        <w:t xml:space="preserve">- </w:t>
      </w:r>
      <w:r w:rsidRPr="0004348D">
        <w:rPr>
          <w:rFonts w:ascii="Calibri" w:eastAsia="Calibri" w:hAnsi="Calibri" w:cs="Arial"/>
          <w:vertAlign w:val="superscript"/>
          <w:rtl/>
        </w:rPr>
        <w:footnoteReference w:id="5520"/>
      </w:r>
      <w:r w:rsidRPr="0004348D">
        <w:rPr>
          <w:rFonts w:ascii="Calibri" w:eastAsia="Calibri" w:hAnsi="Calibri" w:cs="Arial"/>
          <w:rtl/>
        </w:rPr>
        <w:t xml:space="preserve">השיב הרמב"ן </w:t>
      </w:r>
      <w:r w:rsidRPr="0004348D">
        <w:rPr>
          <w:rFonts w:ascii="Calibri" w:eastAsia="Calibri" w:hAnsi="Calibri" w:cs="Arial"/>
          <w:sz w:val="16"/>
          <w:szCs w:val="16"/>
          <w:rtl/>
        </w:rPr>
        <w:t xml:space="preserve">(שו"ת סי' כג) </w:t>
      </w:r>
      <w:r w:rsidRPr="0004348D">
        <w:rPr>
          <w:rFonts w:ascii="Calibri" w:eastAsia="Calibri" w:hAnsi="Calibri" w:cs="Arial"/>
          <w:rtl/>
        </w:rPr>
        <w:t>שאם כל השטר כתיבת ידו אע"פ שאינו חתום בו - כשר</w:t>
      </w:r>
      <w:r w:rsidRPr="0004348D">
        <w:rPr>
          <w:rFonts w:ascii="Calibri" w:eastAsia="Calibri" w:hAnsi="Calibri" w:cs="Arial"/>
          <w:vertAlign w:val="superscript"/>
          <w:rtl/>
        </w:rPr>
        <w:footnoteReference w:id="5521"/>
      </w:r>
      <w:r w:rsidRPr="0004348D">
        <w:rPr>
          <w:rFonts w:ascii="Calibri" w:eastAsia="Calibri" w:hAnsi="Calibri" w:cs="Arial"/>
          <w:rtl/>
        </w:rPr>
        <w:t>. ומכאן אני דן בתבירא שהשותפין מוציאין זה על זה כמו חתם ידו לגבות מבני חרי</w:t>
      </w:r>
      <w:r w:rsidRPr="0004348D">
        <w:rPr>
          <w:rFonts w:ascii="Calibri" w:eastAsia="Calibri" w:hAnsi="Calibri" w:cs="Arial"/>
          <w:sz w:val="16"/>
          <w:szCs w:val="16"/>
          <w:rtl/>
        </w:rPr>
        <w:t xml:space="preserve"> (ל' בעל התרומות)</w:t>
      </w:r>
      <w:r w:rsidRPr="0004348D">
        <w:rPr>
          <w:rFonts w:ascii="Calibri" w:eastAsia="Calibri" w:hAnsi="Calibri" w:cs="Arial"/>
          <w:rtl/>
        </w:rPr>
        <w:t xml:space="preserve">. </w:t>
      </w:r>
      <w:r w:rsidRPr="0004348D">
        <w:rPr>
          <w:rFonts w:ascii="Calibri" w:eastAsia="Calibri" w:hAnsi="Calibri" w:cs="Arial"/>
          <w:color w:val="E36C0A" w:themeColor="accent6" w:themeShade="BF"/>
          <w:rtl/>
        </w:rPr>
        <w:t>(וכ"פ בשו"ע)</w:t>
      </w:r>
    </w:p>
    <w:p w14:paraId="66E433EC" w14:textId="77777777" w:rsidR="0004348D" w:rsidRPr="0004348D" w:rsidRDefault="0004348D" w:rsidP="0004348D">
      <w:pPr>
        <w:numPr>
          <w:ilvl w:val="0"/>
          <w:numId w:val="356"/>
        </w:numPr>
        <w:spacing w:before="360" w:after="240"/>
        <w:contextualSpacing/>
        <w:rPr>
          <w:rFonts w:ascii="Calibri" w:eastAsia="Calibri" w:hAnsi="Calibri" w:cs="Arial"/>
        </w:rPr>
      </w:pPr>
      <w:r w:rsidRPr="0004348D">
        <w:rPr>
          <w:rFonts w:ascii="Calibri" w:eastAsia="Calibri" w:hAnsi="Calibri" w:cs="Arial"/>
          <w:rtl/>
        </w:rPr>
        <w:t xml:space="preserve">ר"ת </w:t>
      </w:r>
      <w:r w:rsidRPr="0004348D">
        <w:rPr>
          <w:rFonts w:ascii="Calibri" w:eastAsia="Calibri" w:hAnsi="Calibri" w:cs="Arial"/>
          <w:sz w:val="16"/>
          <w:szCs w:val="16"/>
          <w:rtl/>
        </w:rPr>
        <w:t xml:space="preserve"> (כ"כ הריטב"א בשמו) </w:t>
      </w:r>
      <w:r w:rsidRPr="0004348D">
        <w:rPr>
          <w:rFonts w:ascii="Calibri" w:eastAsia="Calibri" w:hAnsi="Calibri" w:cs="Arial"/>
          <w:rtl/>
        </w:rPr>
        <w:t xml:space="preserve">ובהעי"ט </w:t>
      </w:r>
      <w:r w:rsidRPr="0004348D">
        <w:rPr>
          <w:rFonts w:ascii="Calibri" w:eastAsia="Calibri" w:hAnsi="Calibri" w:cs="Arial"/>
          <w:sz w:val="16"/>
          <w:szCs w:val="16"/>
          <w:rtl/>
        </w:rPr>
        <w:t>(עסקא וחוב יג ע"ג)</w:t>
      </w:r>
      <w:r w:rsidRPr="0004348D">
        <w:rPr>
          <w:rFonts w:ascii="Calibri" w:eastAsia="Calibri" w:hAnsi="Calibri" w:cs="Arial"/>
          <w:rtl/>
        </w:rPr>
        <w:t>- כתב ידו ולא היה שמו חתום בו לא בתחילה ולא בסוף אפילו נתנו בפני עדים - לא מהני, כיון שזה טוען שלא נתחייב לו ולא הודה לו מעולם אלא שכתב כעין מזכרת מהסך או על פי אחר שהיה רוצה לחתום בו וכעין טופסי דשטרי בעלמא. ואפילו נתקיים בבית דין שזה כתב ידו.</w:t>
      </w:r>
    </w:p>
    <w:p w14:paraId="5BA8D739" w14:textId="77777777" w:rsidR="0004348D" w:rsidRPr="0004348D" w:rsidRDefault="0004348D" w:rsidP="0004348D">
      <w:pPr>
        <w:numPr>
          <w:ilvl w:val="0"/>
          <w:numId w:val="356"/>
        </w:numPr>
        <w:spacing w:before="360" w:after="240"/>
        <w:contextualSpacing/>
        <w:rPr>
          <w:rFonts w:ascii="Calibri" w:eastAsia="Calibri" w:hAnsi="Calibri" w:cs="Arial"/>
        </w:rPr>
      </w:pPr>
      <w:r w:rsidRPr="0004348D">
        <w:rPr>
          <w:rFonts w:ascii="Calibri" w:eastAsia="Calibri" w:hAnsi="Calibri" w:cs="Arial"/>
          <w:rtl/>
        </w:rPr>
        <w:t xml:space="preserve">ריטב"א </w:t>
      </w:r>
      <w:r w:rsidRPr="0004348D">
        <w:rPr>
          <w:rFonts w:ascii="Calibri" w:eastAsia="Calibri" w:hAnsi="Calibri" w:cs="Arial"/>
          <w:sz w:val="16"/>
          <w:szCs w:val="16"/>
          <w:rtl/>
        </w:rPr>
        <w:t>(פרק הנושא כתובות קב. ד"ה ופרכינן דמדרבנן)</w:t>
      </w:r>
      <w:r w:rsidRPr="0004348D">
        <w:rPr>
          <w:rFonts w:ascii="Calibri" w:eastAsia="Calibri" w:hAnsi="Calibri" w:cs="Arial"/>
          <w:rtl/>
        </w:rPr>
        <w:t xml:space="preserve">- </w:t>
      </w:r>
      <w:r w:rsidRPr="0004348D">
        <w:rPr>
          <w:rFonts w:ascii="Calibri" w:eastAsia="Calibri" w:hAnsi="Calibri" w:cs="Arial"/>
          <w:vertAlign w:val="superscript"/>
          <w:rtl/>
        </w:rPr>
        <w:footnoteReference w:id="5522"/>
      </w:r>
      <w:r w:rsidRPr="0004348D">
        <w:rPr>
          <w:rFonts w:ascii="Calibri" w:eastAsia="Calibri" w:hAnsi="Calibri" w:cs="Arial"/>
          <w:rtl/>
        </w:rPr>
        <w:t xml:space="preserve">כשזה טוען שלא כתבו אלא לטופס בעלמא כדרך סופר ולא נתנו לו להתחייב עדיין יש לומר כדברי ר"ת ובהעי"ט. ומיהו במה שהשותפין מוציאין זה על זה מנהג השותפין הוא וכיון שכתוב בפנקסיהם למדים מהם לבני חורין. ועדיין הוא צריך תלמוד. </w:t>
      </w:r>
    </w:p>
    <w:bookmarkEnd w:id="777"/>
    <w:p w14:paraId="77559486" w14:textId="77777777" w:rsidR="0004348D" w:rsidRPr="0004348D" w:rsidRDefault="0004348D" w:rsidP="0004348D">
      <w:pPr>
        <w:spacing w:before="360" w:after="240"/>
        <w:rPr>
          <w:rFonts w:ascii="Calibri" w:eastAsia="Calibri" w:hAnsi="Calibri" w:cs="Arial"/>
          <w:u w:val="single"/>
        </w:rPr>
      </w:pPr>
      <w:r w:rsidRPr="0004348D">
        <w:rPr>
          <w:rFonts w:ascii="Calibri" w:eastAsia="Calibri" w:hAnsi="Calibri" w:cs="Arial"/>
          <w:u w:val="single"/>
          <w:rtl/>
        </w:rPr>
        <w:t xml:space="preserve">הוציא עליו כתב ידו </w:t>
      </w:r>
      <w:r w:rsidRPr="0004348D">
        <w:rPr>
          <w:rFonts w:ascii="Calibri" w:eastAsia="Calibri" w:hAnsi="Calibri" w:cs="Arial"/>
          <w:sz w:val="16"/>
          <w:szCs w:val="16"/>
          <w:u w:val="single"/>
          <w:rtl/>
        </w:rPr>
        <w:t>(באופן שמתחייב בו שגובה מבנ"ח)</w:t>
      </w:r>
      <w:r w:rsidRPr="0004348D">
        <w:rPr>
          <w:rFonts w:ascii="Calibri" w:eastAsia="Calibri" w:hAnsi="Calibri" w:cs="Arial"/>
          <w:u w:val="single"/>
          <w:rtl/>
        </w:rPr>
        <w:t xml:space="preserve"> – ואין לו בני חרי לגבות מהם אלא יש רק מתנה שנתן לאחר: </w:t>
      </w:r>
    </w:p>
    <w:p w14:paraId="292FCB52" w14:textId="77777777" w:rsidR="0004348D" w:rsidRPr="0004348D" w:rsidRDefault="0004348D" w:rsidP="0004348D">
      <w:pPr>
        <w:numPr>
          <w:ilvl w:val="0"/>
          <w:numId w:val="356"/>
        </w:numPr>
        <w:spacing w:before="360" w:after="240"/>
        <w:contextualSpacing/>
        <w:rPr>
          <w:rFonts w:ascii="Calibri" w:eastAsia="Calibri" w:hAnsi="Calibri" w:cs="Arial"/>
        </w:rPr>
      </w:pPr>
      <w:r w:rsidRPr="0004348D">
        <w:rPr>
          <w:rFonts w:ascii="Calibri" w:eastAsia="Calibri" w:hAnsi="Calibri" w:cs="Arial"/>
          <w:rtl/>
        </w:rPr>
        <w:t xml:space="preserve">ריטב"א </w:t>
      </w:r>
      <w:r w:rsidRPr="0004348D">
        <w:rPr>
          <w:rFonts w:ascii="Calibri" w:eastAsia="Calibri" w:hAnsi="Calibri" w:cs="Arial"/>
          <w:sz w:val="16"/>
          <w:szCs w:val="16"/>
          <w:rtl/>
        </w:rPr>
        <w:t>(סי' לט וסי' קכח)</w:t>
      </w:r>
      <w:r w:rsidRPr="0004348D">
        <w:rPr>
          <w:rFonts w:ascii="Calibri" w:eastAsia="Calibri" w:hAnsi="Calibri" w:cs="Arial"/>
          <w:rtl/>
        </w:rPr>
        <w:t xml:space="preserve">- הוציא עליו כתב ידו שהוא חייב לו אינו גובה מנכסים שנתן במתנת בריא, שהרי הם משועבדים. ובמתנת שכיב מרע דעת הרי"ף </w:t>
      </w:r>
      <w:r w:rsidRPr="0004348D">
        <w:rPr>
          <w:rFonts w:ascii="Calibri" w:eastAsia="Calibri" w:hAnsi="Calibri" w:cs="Arial"/>
          <w:sz w:val="16"/>
          <w:szCs w:val="16"/>
          <w:rtl/>
        </w:rPr>
        <w:t xml:space="preserve">(ב"ב ע.) </w:t>
      </w:r>
      <w:r w:rsidRPr="0004348D">
        <w:rPr>
          <w:rFonts w:ascii="Calibri" w:eastAsia="Calibri" w:hAnsi="Calibri" w:cs="Arial"/>
          <w:rtl/>
        </w:rPr>
        <w:t xml:space="preserve">והרמב"ם </w:t>
      </w:r>
      <w:r w:rsidRPr="0004348D">
        <w:rPr>
          <w:rFonts w:ascii="Calibri" w:eastAsia="Calibri" w:hAnsi="Calibri" w:cs="Arial"/>
          <w:sz w:val="16"/>
          <w:szCs w:val="16"/>
          <w:rtl/>
        </w:rPr>
        <w:t xml:space="preserve">(הל' זכיה ומתנה פ"ח ה"ח - ט) </w:t>
      </w:r>
      <w:r w:rsidRPr="0004348D">
        <w:rPr>
          <w:rFonts w:ascii="Calibri" w:eastAsia="Calibri" w:hAnsi="Calibri" w:cs="Arial"/>
          <w:rtl/>
        </w:rPr>
        <w:t xml:space="preserve">שדינה כירושה וגובה ממנו, וכן דעת הרשב"א </w:t>
      </w:r>
      <w:r w:rsidRPr="0004348D">
        <w:rPr>
          <w:rFonts w:ascii="Calibri" w:eastAsia="Calibri" w:hAnsi="Calibri" w:cs="Arial"/>
          <w:sz w:val="16"/>
          <w:szCs w:val="16"/>
          <w:rtl/>
        </w:rPr>
        <w:t>(גיטין נ: ד"ה ותו איכא)</w:t>
      </w:r>
      <w:r w:rsidRPr="0004348D">
        <w:rPr>
          <w:rFonts w:ascii="Calibri" w:eastAsia="Calibri" w:hAnsi="Calibri" w:cs="Arial"/>
          <w:rtl/>
        </w:rPr>
        <w:t xml:space="preserve">. ולדעת הרא"ה דינה כמתנת בריא ולא גבי מינה. </w:t>
      </w:r>
    </w:p>
    <w:p w14:paraId="2997DF55" w14:textId="77777777" w:rsidR="0004348D" w:rsidRPr="0004348D" w:rsidRDefault="0004348D" w:rsidP="0004348D">
      <w:pPr>
        <w:spacing w:before="360" w:after="240"/>
        <w:rPr>
          <w:rFonts w:ascii="Calibri" w:eastAsia="Calibri" w:hAnsi="Calibri" w:cs="Arial"/>
          <w:u w:val="single"/>
          <w:rtl/>
        </w:rPr>
      </w:pPr>
      <w:r w:rsidRPr="0004348D">
        <w:rPr>
          <w:rFonts w:ascii="Calibri" w:eastAsia="Calibri" w:hAnsi="Calibri" w:cs="Arial"/>
          <w:u w:val="single"/>
          <w:rtl/>
        </w:rPr>
        <w:t xml:space="preserve">הוציא עליו כתב ידו – האם למדין משטה אחרונה: </w:t>
      </w:r>
    </w:p>
    <w:p w14:paraId="425F91DA" w14:textId="77777777" w:rsidR="0004348D" w:rsidRPr="0004348D" w:rsidRDefault="0004348D" w:rsidP="0004348D">
      <w:pPr>
        <w:numPr>
          <w:ilvl w:val="0"/>
          <w:numId w:val="356"/>
        </w:numPr>
        <w:spacing w:before="360" w:after="240"/>
        <w:contextualSpacing/>
        <w:rPr>
          <w:rFonts w:ascii="Calibri" w:eastAsia="Calibri" w:hAnsi="Calibri" w:cs="Arial"/>
          <w:rtl/>
        </w:rPr>
      </w:pPr>
      <w:r w:rsidRPr="0004348D">
        <w:rPr>
          <w:rFonts w:ascii="Calibri" w:eastAsia="Calibri" w:hAnsi="Calibri" w:cs="Arial"/>
          <w:rtl/>
        </w:rPr>
        <w:t xml:space="preserve">רשב"א </w:t>
      </w:r>
      <w:r w:rsidRPr="0004348D">
        <w:rPr>
          <w:rFonts w:ascii="Calibri" w:eastAsia="Calibri" w:hAnsi="Calibri" w:cs="Arial"/>
          <w:sz w:val="16"/>
          <w:szCs w:val="16"/>
          <w:rtl/>
        </w:rPr>
        <w:t>(בתשובה כתב יד, הביאה הב"י</w:t>
      </w:r>
      <w:r w:rsidRPr="0004348D">
        <w:rPr>
          <w:rFonts w:ascii="Calibri" w:eastAsia="Calibri" w:hAnsi="Calibri" w:cs="Arial"/>
          <w:sz w:val="16"/>
          <w:szCs w:val="16"/>
          <w:vertAlign w:val="superscript"/>
          <w:rtl/>
        </w:rPr>
        <w:footnoteReference w:id="5523"/>
      </w:r>
      <w:r w:rsidRPr="0004348D">
        <w:rPr>
          <w:rFonts w:ascii="Calibri" w:eastAsia="Calibri" w:hAnsi="Calibri" w:cs="Arial"/>
          <w:sz w:val="16"/>
          <w:szCs w:val="16"/>
          <w:rtl/>
        </w:rPr>
        <w:t>)</w:t>
      </w:r>
      <w:r w:rsidRPr="0004348D">
        <w:rPr>
          <w:rFonts w:ascii="Calibri" w:eastAsia="Calibri" w:hAnsi="Calibri" w:cs="Arial"/>
          <w:rtl/>
        </w:rPr>
        <w:t xml:space="preserve">- מי שהוציא עליו כתב ידו אם למדין משטה אחרונה. אם השטר כולו מכתיבת ידו של מי שנתחייב לו - בודאי למדין משטה אחרונה, שהרי נודע שהכל מכתיבת ידו ולא זייף ולא הוסיף בעל השטר כלום. ואפילו הוציא עליו כתב ידו ולא היה שמו חתום עליו – גובה, דאין חתימת ידו מחייבתו אלא הודאתו, ומקיימין כתיבתו ודי בכך. וזהו ששנינו </w:t>
      </w:r>
      <w:r w:rsidRPr="0004348D">
        <w:rPr>
          <w:rFonts w:ascii="Calibri" w:eastAsia="Calibri" w:hAnsi="Calibri" w:cs="Arial"/>
          <w:sz w:val="16"/>
          <w:szCs w:val="16"/>
          <w:rtl/>
        </w:rPr>
        <w:t xml:space="preserve">(ב"ב קעה:) </w:t>
      </w:r>
      <w:r w:rsidRPr="0004348D">
        <w:rPr>
          <w:rFonts w:ascii="Calibri" w:eastAsia="Calibri" w:hAnsi="Calibri" w:cs="Arial"/>
          <w:rtl/>
        </w:rPr>
        <w:t xml:space="preserve">'הוציא עליו כתב ידו' ולא קתני 'חתם ידו'. וכן מוכח בהדיא בפרק המגרש </w:t>
      </w:r>
      <w:r w:rsidRPr="0004348D">
        <w:rPr>
          <w:rFonts w:ascii="Calibri" w:eastAsia="Calibri" w:hAnsi="Calibri" w:cs="Arial"/>
          <w:sz w:val="16"/>
          <w:szCs w:val="16"/>
          <w:rtl/>
        </w:rPr>
        <w:t xml:space="preserve">(פו.) </w:t>
      </w:r>
      <w:r w:rsidRPr="0004348D">
        <w:rPr>
          <w:rFonts w:ascii="Calibri" w:eastAsia="Calibri" w:hAnsi="Calibri" w:cs="Arial"/>
          <w:rtl/>
        </w:rPr>
        <w:t xml:space="preserve">דתנן שלשה גיטין פסולין ואם נשאת הולד כשר, ואחד מהם כתב בכתב ידו ואין עליו עדים. אבל אם השטר מיד אחר והוא חתום למטה מסתברא שגם בזה אין למדין משטה אחרונה. </w:t>
      </w:r>
    </w:p>
    <w:p w14:paraId="676B2718" w14:textId="77777777" w:rsidR="0004348D" w:rsidRPr="0004348D" w:rsidRDefault="0004348D" w:rsidP="0004348D">
      <w:pPr>
        <w:spacing w:before="360" w:after="240"/>
        <w:rPr>
          <w:rFonts w:ascii="Calibri" w:eastAsia="Calibri" w:hAnsi="Calibri" w:cs="Arial"/>
        </w:rPr>
      </w:pPr>
      <w:r w:rsidRPr="0004348D">
        <w:rPr>
          <w:rFonts w:ascii="Calibri" w:eastAsia="Calibri" w:hAnsi="Calibri" w:cs="Arial"/>
          <w:u w:val="single"/>
          <w:rtl/>
        </w:rPr>
        <w:t>הוציא עליו כתב ידו – וכתוב בו 'תהא חתימתי מעידה עלי כמאה עדים':</w:t>
      </w:r>
    </w:p>
    <w:p w14:paraId="14C7A7D3" w14:textId="77777777" w:rsidR="0004348D" w:rsidRPr="0004348D" w:rsidRDefault="0004348D" w:rsidP="0004348D">
      <w:pPr>
        <w:numPr>
          <w:ilvl w:val="0"/>
          <w:numId w:val="356"/>
        </w:numPr>
        <w:spacing w:before="360" w:after="240"/>
        <w:contextualSpacing/>
        <w:rPr>
          <w:rFonts w:ascii="Calibri" w:eastAsia="Calibri" w:hAnsi="Calibri" w:cs="Arial"/>
        </w:rPr>
      </w:pPr>
      <w:r w:rsidRPr="0004348D">
        <w:rPr>
          <w:rFonts w:ascii="Calibri" w:eastAsia="Calibri" w:hAnsi="Calibri" w:cs="Arial"/>
          <w:rtl/>
        </w:rPr>
        <w:t xml:space="preserve">מהרא"י </w:t>
      </w:r>
      <w:r w:rsidRPr="0004348D">
        <w:rPr>
          <w:rFonts w:ascii="Calibri" w:eastAsia="Calibri" w:hAnsi="Calibri" w:cs="Arial"/>
          <w:sz w:val="16"/>
          <w:szCs w:val="16"/>
          <w:rtl/>
        </w:rPr>
        <w:t>(סי' רא)</w:t>
      </w:r>
      <w:r w:rsidRPr="0004348D">
        <w:rPr>
          <w:rFonts w:ascii="Calibri" w:eastAsia="Calibri" w:hAnsi="Calibri" w:cs="Arial"/>
          <w:rtl/>
        </w:rPr>
        <w:t xml:space="preserve">- אפילו כתב 'תהא חתימתי מעידה עלי כמאה עדים' - נאמן לומר פרעתי. </w:t>
      </w:r>
      <w:r w:rsidRPr="0004348D">
        <w:rPr>
          <w:rFonts w:ascii="Calibri" w:eastAsia="Calibri" w:hAnsi="Calibri" w:cs="Arial"/>
          <w:color w:val="00B0F0"/>
          <w:rtl/>
        </w:rPr>
        <w:t>(וכ"פ הרמ"א)</w:t>
      </w:r>
    </w:p>
    <w:p w14:paraId="4A7E16E7" w14:textId="77777777" w:rsidR="0004348D" w:rsidRPr="0004348D" w:rsidRDefault="0004348D" w:rsidP="0004348D">
      <w:pPr>
        <w:spacing w:before="360" w:after="240"/>
        <w:rPr>
          <w:rFonts w:ascii="Calibri" w:eastAsia="Calibri" w:hAnsi="Calibri" w:cs="Arial"/>
        </w:rPr>
      </w:pPr>
      <w:r w:rsidRPr="0004348D">
        <w:rPr>
          <w:rFonts w:ascii="Calibri" w:eastAsia="Calibri" w:hAnsi="Calibri" w:cs="Arial"/>
          <w:u w:val="single"/>
          <w:rtl/>
        </w:rPr>
        <w:t>כתב ידו הבא הוא וחתימתו בשורה אחת:</w:t>
      </w:r>
      <w:r w:rsidRPr="0004348D">
        <w:rPr>
          <w:rFonts w:ascii="Calibri" w:eastAsia="Calibri" w:hAnsi="Calibri" w:cs="Arial"/>
          <w:rtl/>
        </w:rPr>
        <w:t xml:space="preserve"> </w:t>
      </w:r>
      <w:r w:rsidRPr="0004348D">
        <w:rPr>
          <w:rFonts w:ascii="Calibri" w:eastAsia="Calibri" w:hAnsi="Calibri" w:cs="Arial"/>
          <w:sz w:val="16"/>
          <w:szCs w:val="16"/>
          <w:rtl/>
        </w:rPr>
        <w:t xml:space="preserve">(ש"ך סק"ב) </w:t>
      </w:r>
    </w:p>
    <w:p w14:paraId="6241802C" w14:textId="77777777" w:rsidR="0004348D" w:rsidRPr="0004348D" w:rsidRDefault="0004348D" w:rsidP="0004348D">
      <w:pPr>
        <w:numPr>
          <w:ilvl w:val="0"/>
          <w:numId w:val="356"/>
        </w:numPr>
        <w:spacing w:before="360" w:after="240"/>
        <w:contextualSpacing/>
        <w:rPr>
          <w:rFonts w:ascii="Calibri" w:eastAsia="Calibri" w:hAnsi="Calibri" w:cs="Arial"/>
        </w:rPr>
      </w:pPr>
      <w:r w:rsidRPr="0004348D">
        <w:rPr>
          <w:rFonts w:ascii="Calibri" w:eastAsia="Calibri" w:hAnsi="Calibri" w:cs="Arial"/>
          <w:rtl/>
        </w:rPr>
        <w:t xml:space="preserve">הג"א </w:t>
      </w:r>
      <w:r w:rsidRPr="0004348D">
        <w:rPr>
          <w:rFonts w:ascii="Calibri" w:eastAsia="Calibri" w:hAnsi="Calibri" w:cs="Arial"/>
          <w:sz w:val="16"/>
          <w:szCs w:val="16"/>
          <w:rtl/>
        </w:rPr>
        <w:t xml:space="preserve">(מאו"ז פרק גט פשוט סי' טו) </w:t>
      </w:r>
      <w:r w:rsidRPr="0004348D">
        <w:rPr>
          <w:rFonts w:ascii="Calibri" w:eastAsia="Calibri" w:hAnsi="Calibri" w:cs="Arial"/>
          <w:rtl/>
        </w:rPr>
        <w:t>בשם ריב"ם- כשכתוב בראש שיטה אני לויתי מפלוני מנה, והוא חתום בסוף שיטה, אינו כלום</w:t>
      </w:r>
      <w:r w:rsidRPr="0004348D">
        <w:rPr>
          <w:rFonts w:ascii="Calibri" w:eastAsia="Calibri" w:hAnsi="Calibri" w:cs="Arial"/>
          <w:vertAlign w:val="superscript"/>
          <w:rtl/>
        </w:rPr>
        <w:footnoteReference w:id="5524"/>
      </w:r>
      <w:r w:rsidRPr="0004348D">
        <w:rPr>
          <w:rFonts w:ascii="Calibri" w:eastAsia="Calibri" w:hAnsi="Calibri" w:cs="Arial"/>
          <w:rtl/>
        </w:rPr>
        <w:t>.</w:t>
      </w:r>
    </w:p>
    <w:p w14:paraId="05DEF32D" w14:textId="77777777" w:rsidR="0004348D" w:rsidRPr="0004348D" w:rsidRDefault="0004348D" w:rsidP="0004348D">
      <w:pPr>
        <w:spacing w:before="360" w:after="240"/>
        <w:rPr>
          <w:rFonts w:ascii="Arial" w:eastAsia="Calibri" w:hAnsi="Arial" w:cs="Arial"/>
          <w:b/>
          <w:bCs/>
          <w:color w:val="000000"/>
          <w:sz w:val="28"/>
          <w:szCs w:val="28"/>
          <w:u w:val="single"/>
          <w:rtl/>
        </w:rPr>
      </w:pPr>
      <w:r w:rsidRPr="0004348D">
        <w:rPr>
          <w:rFonts w:ascii="Arial" w:eastAsia="Calibri" w:hAnsi="Arial" w:cs="Arial"/>
          <w:b/>
          <w:bCs/>
          <w:color w:val="000000"/>
          <w:sz w:val="28"/>
          <w:szCs w:val="28"/>
          <w:u w:val="single"/>
          <w:rtl/>
        </w:rPr>
        <w:t>שו"ע:</w:t>
      </w:r>
    </w:p>
    <w:p w14:paraId="5523BAFF" w14:textId="77777777" w:rsidR="0004348D" w:rsidRPr="0004348D" w:rsidRDefault="0004348D" w:rsidP="0004348D">
      <w:pPr>
        <w:spacing w:before="360" w:after="240"/>
        <w:rPr>
          <w:rFonts w:ascii="Calibri" w:eastAsia="Calibri" w:hAnsi="Calibri" w:cs="Arial"/>
          <w:rtl/>
        </w:rPr>
      </w:pPr>
      <w:r w:rsidRPr="0004348D">
        <w:rPr>
          <w:rFonts w:ascii="Calibri" w:eastAsia="Calibri" w:hAnsi="Calibri" w:cs="Arial"/>
          <w:rtl/>
        </w:rPr>
        <w:t>הוציא עליו כתב ידו שהוא חייב לו, גובה מנכסים בני חורין. בין שכתב 'אני פלוני הבא על החתום מודה שאני חייב לפלוני מנה', וחתם למטה, בין שכתוב בכתב יד אחר, והוא חתם למטה. והוא הדין אם לא חתם למטה, אלא כתב 'אני פלוני בן פלוני חייב לך מנה', אלא שבזה יש חילוק, כשחתם למטה, אפילו כל העליון כתב יד אחר, גובה. אבל כשחתם שמו למעלה, צריך שיהא הכל בכתיבת ידו, דשמא חתם שמו בראש המגילה ומצאו אחר וכתב תחתיו</w:t>
      </w:r>
      <w:r w:rsidRPr="0004348D">
        <w:rPr>
          <w:rFonts w:ascii="Calibri" w:eastAsia="Calibri" w:hAnsi="Calibri" w:cs="Arial"/>
          <w:vertAlign w:val="superscript"/>
          <w:rtl/>
        </w:rPr>
        <w:footnoteReference w:id="5525"/>
      </w:r>
      <w:r w:rsidRPr="0004348D">
        <w:rPr>
          <w:rFonts w:ascii="Calibri" w:eastAsia="Calibri" w:hAnsi="Calibri" w:cs="Arial"/>
          <w:rtl/>
        </w:rPr>
        <w:t>. אבל כשהכל הוא כתב ידו ליכא למיחש לזיופי אפילו לא כתב שמו, אלא שכתב 'אני חייב לפלוני כך וכך', כיון שהוא כתב ידו, חייב. לפיכך הפיתקות שהשותפים מוציאים זה על זה, הואיל והוא כתב ידם, אפילו אין בו חתימה כלל, אלא 'קבלתי ביום פלוני כך וכך', גובין בו מבני חורין, ואינו נאמן לומר לא היו דברים מעולם</w:t>
      </w:r>
      <w:r w:rsidRPr="0004348D">
        <w:rPr>
          <w:rFonts w:ascii="Calibri" w:eastAsia="Calibri" w:hAnsi="Calibri" w:cs="Arial"/>
          <w:vertAlign w:val="superscript"/>
          <w:rtl/>
        </w:rPr>
        <w:footnoteReference w:id="5526"/>
      </w:r>
      <w:r w:rsidRPr="0004348D">
        <w:rPr>
          <w:rFonts w:ascii="Calibri" w:eastAsia="Calibri" w:hAnsi="Calibri" w:cs="Arial"/>
          <w:rtl/>
        </w:rPr>
        <w:t xml:space="preserve">. </w:t>
      </w:r>
      <w:r w:rsidRPr="0004348D">
        <w:rPr>
          <w:rFonts w:ascii="Calibri" w:eastAsia="Calibri" w:hAnsi="Calibri" w:cs="Arial"/>
          <w:sz w:val="18"/>
          <w:szCs w:val="18"/>
          <w:vertAlign w:val="superscript"/>
          <w:rtl/>
        </w:rPr>
        <w:footnoteReference w:id="5527"/>
      </w:r>
      <w:r w:rsidRPr="0004348D">
        <w:rPr>
          <w:rFonts w:ascii="Calibri" w:eastAsia="Calibri" w:hAnsi="Calibri" w:cs="Arial"/>
          <w:sz w:val="18"/>
          <w:szCs w:val="18"/>
          <w:rtl/>
        </w:rPr>
        <w:t>הגה: אפילו כתב לו בכתב ידו 'חתימת ידי דלמטה תעיד עלי כמאה עדים', אפי' הכי לא הוי רק כשאר כתיבת יד (פסקי מהרא"י סי' רא).</w:t>
      </w:r>
      <w:r w:rsidRPr="0004348D">
        <w:rPr>
          <w:rFonts w:ascii="Calibri" w:eastAsia="Calibri" w:hAnsi="Calibri" w:cs="Arial"/>
          <w:rtl/>
        </w:rPr>
        <w:t xml:space="preserve">  </w:t>
      </w:r>
    </w:p>
    <w:p w14:paraId="56C9A493" w14:textId="77777777" w:rsidR="0004348D" w:rsidRPr="0004348D" w:rsidRDefault="0004348D" w:rsidP="0004348D">
      <w:pPr>
        <w:spacing w:before="360" w:after="240"/>
        <w:rPr>
          <w:rFonts w:ascii="Calibri" w:eastAsia="Calibri" w:hAnsi="Calibri" w:cs="Arial"/>
          <w:rtl/>
        </w:rPr>
      </w:pPr>
    </w:p>
    <w:p w14:paraId="10BB7060" w14:textId="77777777" w:rsidR="0004348D" w:rsidRPr="0004348D" w:rsidRDefault="0004348D" w:rsidP="0004348D">
      <w:pPr>
        <w:keepNext/>
        <w:keepLines/>
        <w:spacing w:before="360" w:after="240"/>
        <w:outlineLvl w:val="1"/>
        <w:rPr>
          <w:rFonts w:ascii="Cambria" w:eastAsia="Times New Roman" w:hAnsi="Cambria" w:cs="Arial"/>
          <w:bCs/>
          <w:color w:val="548DD4" w:themeColor="text2" w:themeTint="99"/>
          <w:sz w:val="26"/>
          <w:szCs w:val="26"/>
          <w:rtl/>
        </w:rPr>
      </w:pPr>
      <w:bookmarkStart w:id="778" w:name="_Toc24884181"/>
      <w:r w:rsidRPr="0004348D">
        <w:rPr>
          <w:rFonts w:ascii="Cambria" w:eastAsia="Times New Roman" w:hAnsi="Cambria" w:cs="Arial"/>
          <w:bCs/>
          <w:color w:val="548DD4" w:themeColor="text2" w:themeTint="99"/>
          <w:sz w:val="26"/>
          <w:szCs w:val="26"/>
          <w:rtl/>
        </w:rPr>
        <w:t>סעיף ב: הוציא עליו כתב ידו וטען פרעתי.</w:t>
      </w:r>
      <w:bookmarkEnd w:id="778"/>
    </w:p>
    <w:p w14:paraId="01D2C59B" w14:textId="77777777" w:rsidR="0004348D" w:rsidRPr="0004348D" w:rsidRDefault="0004348D" w:rsidP="0004348D">
      <w:pPr>
        <w:spacing w:before="360" w:after="240"/>
        <w:rPr>
          <w:rFonts w:ascii="Calibri" w:eastAsia="Calibri" w:hAnsi="Calibri" w:cs="Arial"/>
          <w:rtl/>
        </w:rPr>
      </w:pPr>
      <w:r w:rsidRPr="0004348D">
        <w:rPr>
          <w:rFonts w:ascii="Calibri" w:eastAsia="Calibri" w:hAnsi="Calibri" w:cs="Arial"/>
          <w:b/>
          <w:bCs/>
          <w:rtl/>
        </w:rPr>
        <w:t xml:space="preserve">בבא בתרא </w:t>
      </w:r>
      <w:r w:rsidRPr="0004348D">
        <w:rPr>
          <w:rFonts w:ascii="Calibri" w:eastAsia="Calibri" w:hAnsi="Calibri" w:cs="Arial"/>
          <w:b/>
          <w:bCs/>
          <w:sz w:val="16"/>
          <w:szCs w:val="16"/>
          <w:rtl/>
        </w:rPr>
        <w:t xml:space="preserve">(ס"פ בתרא) </w:t>
      </w:r>
      <w:r w:rsidRPr="0004348D">
        <w:rPr>
          <w:rFonts w:ascii="Calibri" w:eastAsia="Calibri" w:hAnsi="Calibri" w:cs="Arial"/>
          <w:b/>
          <w:bCs/>
          <w:rtl/>
        </w:rPr>
        <w:t>קעה</w:t>
      </w:r>
      <w:r w:rsidRPr="0004348D">
        <w:rPr>
          <w:rFonts w:ascii="Calibri" w:eastAsia="Calibri" w:hAnsi="Calibri" w:cs="Arial"/>
          <w:b/>
          <w:bCs/>
          <w:vertAlign w:val="superscript"/>
          <w:rtl/>
        </w:rPr>
        <w:footnoteReference w:id="5528"/>
      </w:r>
      <w:r w:rsidRPr="0004348D">
        <w:rPr>
          <w:rFonts w:ascii="Calibri" w:eastAsia="Calibri" w:hAnsi="Calibri" w:cs="Arial"/>
          <w:b/>
          <w:bCs/>
          <w:rtl/>
        </w:rPr>
        <w:t xml:space="preserve"> ע"א: </w:t>
      </w:r>
      <w:r w:rsidRPr="0004348D">
        <w:rPr>
          <w:rFonts w:ascii="Calibri" w:eastAsia="Calibri" w:hAnsi="Calibri" w:cs="Arial"/>
          <w:u w:val="double"/>
          <w:rtl/>
        </w:rPr>
        <w:t>מתני'</w:t>
      </w:r>
      <w:r w:rsidRPr="0004348D">
        <w:rPr>
          <w:rFonts w:ascii="Calibri" w:eastAsia="Calibri" w:hAnsi="Calibri" w:cs="Arial"/>
          <w:rtl/>
        </w:rPr>
        <w:t xml:space="preserve">:... </w:t>
      </w:r>
      <w:r w:rsidRPr="0004348D">
        <w:rPr>
          <w:rFonts w:ascii="Calibri" w:eastAsia="Calibri" w:hAnsi="Calibri" w:cs="Arial"/>
          <w:sz w:val="14"/>
          <w:szCs w:val="14"/>
          <w:rtl/>
        </w:rPr>
        <w:t xml:space="preserve">(קעה:) </w:t>
      </w:r>
      <w:r w:rsidRPr="0004348D">
        <w:rPr>
          <w:rFonts w:ascii="Calibri" w:eastAsia="Calibri" w:hAnsi="Calibri" w:cs="Arial"/>
          <w:rtl/>
        </w:rPr>
        <w:t xml:space="preserve">הוציא עליו כתב ידו שהוא חייב לו - גובה מנכסים בני חורין... </w:t>
      </w:r>
      <w:r w:rsidRPr="0004348D">
        <w:rPr>
          <w:rFonts w:ascii="Calibri" w:eastAsia="Calibri" w:hAnsi="Calibri" w:cs="Arial"/>
          <w:u w:val="double"/>
          <w:rtl/>
        </w:rPr>
        <w:t>גמ'</w:t>
      </w:r>
      <w:r w:rsidRPr="0004348D">
        <w:rPr>
          <w:rFonts w:ascii="Calibri" w:eastAsia="Calibri" w:hAnsi="Calibri" w:cs="Arial"/>
          <w:sz w:val="14"/>
          <w:szCs w:val="14"/>
          <w:u w:val="double"/>
          <w:rtl/>
        </w:rPr>
        <w:t>(קעו.)</w:t>
      </w:r>
      <w:r w:rsidRPr="0004348D">
        <w:rPr>
          <w:rFonts w:ascii="Calibri" w:eastAsia="Calibri" w:hAnsi="Calibri" w:cs="Arial"/>
          <w:u w:val="double"/>
          <w:rtl/>
        </w:rPr>
        <w:t>:</w:t>
      </w:r>
      <w:r w:rsidRPr="0004348D">
        <w:rPr>
          <w:rFonts w:ascii="Calibri" w:eastAsia="Calibri" w:hAnsi="Calibri" w:cs="Arial"/>
          <w:rtl/>
        </w:rPr>
        <w:t xml:space="preserve"> </w:t>
      </w:r>
      <w:r w:rsidRPr="0004348D">
        <w:rPr>
          <w:rFonts w:ascii="Calibri" w:eastAsia="Calibri" w:hAnsi="Calibri" w:cs="Arial"/>
          <w:u w:val="single"/>
          <w:rtl/>
        </w:rPr>
        <w:t>בעא מיניה רבה בר נתן מר' יוחנן</w:t>
      </w:r>
      <w:r w:rsidRPr="0004348D">
        <w:rPr>
          <w:rFonts w:ascii="Calibri" w:eastAsia="Calibri" w:hAnsi="Calibri" w:cs="Arial"/>
          <w:rtl/>
        </w:rPr>
        <w:t xml:space="preserve">: הוחזק כתב ידו בבית דין, מאי? </w:t>
      </w:r>
      <w:r w:rsidRPr="0004348D">
        <w:rPr>
          <w:rFonts w:ascii="Calibri" w:eastAsia="Calibri" w:hAnsi="Calibri" w:cs="Arial"/>
          <w:u w:val="single"/>
          <w:rtl/>
        </w:rPr>
        <w:t>אמר ליה</w:t>
      </w:r>
      <w:r w:rsidRPr="0004348D">
        <w:rPr>
          <w:rFonts w:ascii="Calibri" w:eastAsia="Calibri" w:hAnsi="Calibri" w:cs="Arial"/>
          <w:rtl/>
        </w:rPr>
        <w:t>: אף על פי שהוחזק כתב ידו בבית דין - אינו גובה אלא מנכסים בני חורין</w:t>
      </w:r>
      <w:r w:rsidRPr="0004348D">
        <w:rPr>
          <w:rFonts w:ascii="Calibri" w:eastAsia="Calibri" w:hAnsi="Calibri" w:cs="Arial"/>
          <w:vertAlign w:val="superscript"/>
          <w:rtl/>
        </w:rPr>
        <w:footnoteReference w:id="5529"/>
      </w:r>
      <w:r w:rsidRPr="0004348D">
        <w:rPr>
          <w:rFonts w:ascii="Calibri" w:eastAsia="Calibri" w:hAnsi="Calibri" w:cs="Arial"/>
          <w:rtl/>
        </w:rPr>
        <w:t xml:space="preserve">. </w:t>
      </w:r>
    </w:p>
    <w:p w14:paraId="0DF37DAA" w14:textId="77777777" w:rsidR="0004348D" w:rsidRPr="0004348D" w:rsidRDefault="0004348D" w:rsidP="0004348D">
      <w:pPr>
        <w:spacing w:before="360" w:after="240"/>
        <w:rPr>
          <w:rFonts w:ascii="Calibri" w:eastAsia="Calibri" w:hAnsi="Calibri" w:cs="Arial"/>
          <w:u w:val="single"/>
          <w:rtl/>
        </w:rPr>
      </w:pPr>
      <w:r w:rsidRPr="0004348D">
        <w:rPr>
          <w:rFonts w:ascii="Calibri" w:eastAsia="Calibri" w:hAnsi="Calibri" w:cs="Arial"/>
          <w:u w:val="single"/>
          <w:rtl/>
        </w:rPr>
        <w:t>הוציא עליו כתב ידו - וטען פרעתי:</w:t>
      </w:r>
    </w:p>
    <w:p w14:paraId="512898A2" w14:textId="77777777" w:rsidR="0004348D" w:rsidRPr="0004348D" w:rsidRDefault="0004348D" w:rsidP="00992A87">
      <w:pPr>
        <w:numPr>
          <w:ilvl w:val="0"/>
          <w:numId w:val="357"/>
        </w:numPr>
        <w:spacing w:before="360" w:after="240"/>
        <w:contextualSpacing/>
        <w:rPr>
          <w:rFonts w:ascii="Calibri" w:eastAsia="Calibri" w:hAnsi="Calibri" w:cs="Arial"/>
          <w:rtl/>
        </w:rPr>
      </w:pPr>
      <w:r w:rsidRPr="0004348D">
        <w:rPr>
          <w:rFonts w:ascii="Calibri" w:eastAsia="Calibri" w:hAnsi="Calibri" w:cs="Arial"/>
          <w:rtl/>
        </w:rPr>
        <w:t>רי"ף רמב"ם רמב"ן בעל התרומות רא"ש טור ורשב"ץ</w:t>
      </w:r>
      <w:r w:rsidRPr="0004348D">
        <w:rPr>
          <w:rFonts w:ascii="Calibri" w:eastAsia="Calibri" w:hAnsi="Calibri" w:cs="Arial"/>
          <w:vertAlign w:val="superscript"/>
          <w:rtl/>
        </w:rPr>
        <w:footnoteReference w:id="5530"/>
      </w:r>
      <w:r w:rsidRPr="0004348D">
        <w:rPr>
          <w:rFonts w:ascii="Calibri" w:eastAsia="Calibri" w:hAnsi="Calibri" w:cs="Arial"/>
          <w:rtl/>
        </w:rPr>
        <w:t>- אפילו אם נתקיים כתב ידו בבית דין דינו כמלוה ע"פ בעדים ואינו גובה מהיורשים</w:t>
      </w:r>
      <w:r w:rsidRPr="0004348D">
        <w:rPr>
          <w:rFonts w:ascii="Calibri" w:eastAsia="Calibri" w:hAnsi="Calibri" w:cs="Arial"/>
          <w:vertAlign w:val="superscript"/>
          <w:rtl/>
        </w:rPr>
        <w:footnoteReference w:id="5531"/>
      </w:r>
      <w:r w:rsidRPr="0004348D">
        <w:rPr>
          <w:rFonts w:ascii="Calibri" w:eastAsia="Calibri" w:hAnsi="Calibri" w:cs="Arial"/>
          <w:rtl/>
        </w:rPr>
        <w:t xml:space="preserve"> ומן הלקוחות אלא ממנו אם הוא מודה שלא פרע. אבל אם טוען פרעתי - נאמן ונשבע היסת ונפטר, ואינו יכול לומר שטרך בידי מאי בעי, שאינו חושש להניח בידו כיון שאינו שטר גמור</w:t>
      </w:r>
      <w:r w:rsidRPr="0004348D">
        <w:rPr>
          <w:rFonts w:ascii="Calibri" w:eastAsia="Calibri" w:hAnsi="Calibri" w:cs="Arial"/>
          <w:vertAlign w:val="superscript"/>
          <w:rtl/>
        </w:rPr>
        <w:footnoteReference w:id="5532"/>
      </w:r>
      <w:r w:rsidRPr="0004348D">
        <w:rPr>
          <w:rFonts w:ascii="Calibri" w:eastAsia="Calibri" w:hAnsi="Calibri" w:cs="Arial"/>
          <w:sz w:val="16"/>
          <w:szCs w:val="16"/>
          <w:rtl/>
        </w:rPr>
        <w:t xml:space="preserve"> (ל' הטור)</w:t>
      </w:r>
      <w:r w:rsidRPr="0004348D">
        <w:rPr>
          <w:rFonts w:ascii="Calibri" w:eastAsia="Calibri" w:hAnsi="Calibri" w:cs="Arial"/>
          <w:rtl/>
        </w:rPr>
        <w:t xml:space="preserve">. </w:t>
      </w:r>
      <w:r w:rsidRPr="0004348D">
        <w:rPr>
          <w:rFonts w:ascii="Calibri" w:eastAsia="Calibri" w:hAnsi="Calibri" w:cs="Arial"/>
          <w:color w:val="E36C0A" w:themeColor="accent6" w:themeShade="BF"/>
          <w:rtl/>
        </w:rPr>
        <w:t>(וכ"פ בשו"ע)</w:t>
      </w:r>
    </w:p>
    <w:p w14:paraId="1D746056" w14:textId="77777777" w:rsidR="0004348D" w:rsidRPr="0004348D" w:rsidRDefault="0004348D" w:rsidP="00992A87">
      <w:pPr>
        <w:numPr>
          <w:ilvl w:val="0"/>
          <w:numId w:val="357"/>
        </w:numPr>
        <w:spacing w:before="360" w:after="240"/>
        <w:contextualSpacing/>
        <w:rPr>
          <w:rFonts w:ascii="Calibri" w:eastAsia="Calibri" w:hAnsi="Calibri" w:cs="Arial"/>
        </w:rPr>
      </w:pPr>
      <w:r w:rsidRPr="0004348D">
        <w:rPr>
          <w:rFonts w:ascii="Calibri" w:eastAsia="Calibri" w:hAnsi="Calibri" w:cs="Arial"/>
          <w:rtl/>
        </w:rPr>
        <w:t xml:space="preserve">רז"ה </w:t>
      </w:r>
      <w:r w:rsidRPr="0004348D">
        <w:rPr>
          <w:rFonts w:ascii="Calibri" w:eastAsia="Calibri" w:hAnsi="Calibri" w:cs="Arial"/>
          <w:sz w:val="16"/>
          <w:szCs w:val="16"/>
          <w:rtl/>
        </w:rPr>
        <w:t>(במאור פב:, כ"כ הה"מ בשמו)</w:t>
      </w:r>
      <w:r w:rsidRPr="0004348D">
        <w:rPr>
          <w:rFonts w:ascii="Calibri" w:eastAsia="Calibri" w:hAnsi="Calibri" w:cs="Arial"/>
          <w:rtl/>
        </w:rPr>
        <w:t xml:space="preserve"> רמ"ה </w:t>
      </w:r>
      <w:r w:rsidRPr="0004348D">
        <w:rPr>
          <w:rFonts w:ascii="Calibri" w:eastAsia="Calibri" w:hAnsi="Calibri" w:cs="Arial"/>
          <w:sz w:val="16"/>
          <w:szCs w:val="16"/>
          <w:rtl/>
        </w:rPr>
        <w:t>(ב"ב קעו. סי' קמט)</w:t>
      </w:r>
      <w:r w:rsidRPr="0004348D">
        <w:rPr>
          <w:rFonts w:ascii="Calibri" w:eastAsia="Calibri" w:hAnsi="Calibri" w:cs="Arial"/>
          <w:rtl/>
        </w:rPr>
        <w:t xml:space="preserve"> ורשב"א </w:t>
      </w:r>
      <w:r w:rsidRPr="0004348D">
        <w:rPr>
          <w:rFonts w:ascii="Calibri" w:eastAsia="Calibri" w:hAnsi="Calibri" w:cs="Arial"/>
          <w:sz w:val="16"/>
          <w:szCs w:val="16"/>
          <w:rtl/>
        </w:rPr>
        <w:t>(כ"כ הה"מ בשמו)</w:t>
      </w:r>
      <w:r w:rsidRPr="0004348D">
        <w:rPr>
          <w:rFonts w:ascii="Calibri" w:eastAsia="Calibri" w:hAnsi="Calibri" w:cs="Arial"/>
          <w:rtl/>
        </w:rPr>
        <w:t>- נהי שאינו כשטר לגבות ממשועבדים משום דלית ליה קלא אבל חשוב כשטר לענין שאינו נאמן לומר פרעתי</w:t>
      </w:r>
      <w:r w:rsidRPr="0004348D">
        <w:rPr>
          <w:rFonts w:ascii="Calibri" w:eastAsia="Calibri" w:hAnsi="Calibri" w:cs="Arial"/>
          <w:vertAlign w:val="superscript"/>
          <w:rtl/>
        </w:rPr>
        <w:footnoteReference w:id="5533"/>
      </w:r>
      <w:r w:rsidRPr="0004348D">
        <w:rPr>
          <w:rFonts w:ascii="Calibri" w:eastAsia="Calibri" w:hAnsi="Calibri" w:cs="Arial"/>
          <w:sz w:val="16"/>
          <w:szCs w:val="16"/>
          <w:rtl/>
        </w:rPr>
        <w:t xml:space="preserve"> (ל' הטור בשם הרמ"ה)</w:t>
      </w:r>
      <w:r w:rsidRPr="0004348D">
        <w:rPr>
          <w:rFonts w:ascii="Calibri" w:eastAsia="Calibri" w:hAnsi="Calibri" w:cs="Arial"/>
          <w:rtl/>
        </w:rPr>
        <w:t xml:space="preserve">. </w:t>
      </w:r>
    </w:p>
    <w:p w14:paraId="14A082C9" w14:textId="77777777" w:rsidR="0004348D" w:rsidRPr="0004348D" w:rsidRDefault="0004348D" w:rsidP="00992A87">
      <w:pPr>
        <w:numPr>
          <w:ilvl w:val="0"/>
          <w:numId w:val="357"/>
        </w:numPr>
        <w:spacing w:before="360" w:after="240"/>
        <w:contextualSpacing/>
        <w:rPr>
          <w:rFonts w:ascii="Calibri" w:eastAsia="Calibri" w:hAnsi="Calibri" w:cs="Arial"/>
        </w:rPr>
      </w:pPr>
      <w:r w:rsidRPr="0004348D">
        <w:rPr>
          <w:rFonts w:ascii="Calibri" w:eastAsia="Calibri" w:hAnsi="Calibri" w:cs="Arial"/>
          <w:rtl/>
        </w:rPr>
        <w:t xml:space="preserve">ריב"ש </w:t>
      </w:r>
      <w:r w:rsidRPr="0004348D">
        <w:rPr>
          <w:rFonts w:ascii="Calibri" w:eastAsia="Calibri" w:hAnsi="Calibri" w:cs="Arial"/>
          <w:sz w:val="16"/>
          <w:szCs w:val="16"/>
          <w:rtl/>
        </w:rPr>
        <w:t>(סי' תנד, הביאו הדרכ"מ [אות ב])</w:t>
      </w:r>
      <w:r w:rsidRPr="0004348D">
        <w:rPr>
          <w:rFonts w:ascii="Calibri" w:eastAsia="Calibri" w:hAnsi="Calibri" w:cs="Arial"/>
          <w:rtl/>
        </w:rPr>
        <w:t xml:space="preserve">- אין לך בדין זה אלא מה שעיניו של דיין רואות. </w:t>
      </w:r>
      <w:r w:rsidRPr="0004348D">
        <w:rPr>
          <w:rFonts w:ascii="Calibri" w:eastAsia="Calibri" w:hAnsi="Calibri" w:cs="Arial"/>
          <w:color w:val="00B0F0"/>
          <w:rtl/>
        </w:rPr>
        <w:t>(וכ"פ הרמ"א)</w:t>
      </w:r>
    </w:p>
    <w:p w14:paraId="6CC60DB1" w14:textId="77777777" w:rsidR="0004348D" w:rsidRPr="0004348D" w:rsidRDefault="0004348D" w:rsidP="0004348D">
      <w:pPr>
        <w:spacing w:before="360" w:after="240"/>
        <w:ind w:left="360"/>
        <w:rPr>
          <w:rFonts w:ascii="Calibri" w:eastAsia="Calibri" w:hAnsi="Calibri" w:cs="Arial"/>
          <w:u w:val="dotted"/>
        </w:rPr>
      </w:pPr>
      <w:r w:rsidRPr="0004348D">
        <w:rPr>
          <w:rFonts w:ascii="Calibri" w:eastAsia="Calibri" w:hAnsi="Calibri" w:cs="Arial"/>
          <w:u w:val="dotted"/>
          <w:rtl/>
        </w:rPr>
        <w:t>ומה הדין אם הוא מודה במקצת:</w:t>
      </w:r>
    </w:p>
    <w:p w14:paraId="050833BE" w14:textId="77777777" w:rsidR="0004348D" w:rsidRPr="0004348D" w:rsidRDefault="0004348D" w:rsidP="00992A87">
      <w:pPr>
        <w:numPr>
          <w:ilvl w:val="0"/>
          <w:numId w:val="357"/>
        </w:numPr>
        <w:spacing w:before="360" w:after="240"/>
        <w:contextualSpacing/>
        <w:rPr>
          <w:rFonts w:ascii="Calibri" w:eastAsia="Calibri" w:hAnsi="Calibri" w:cs="Arial"/>
        </w:rPr>
      </w:pPr>
      <w:r w:rsidRPr="0004348D">
        <w:rPr>
          <w:rFonts w:ascii="Calibri" w:eastAsia="Calibri" w:hAnsi="Calibri" w:cs="Arial"/>
          <w:rtl/>
        </w:rPr>
        <w:t xml:space="preserve">טור- אם מודה לו במקצת - נשבע לו שבועה דאורייתא. שאין שטר זה שיעבוד קרקעות, שהרי אין גובין אלא מבני חורין. </w:t>
      </w:r>
      <w:r w:rsidRPr="0004348D">
        <w:rPr>
          <w:rFonts w:ascii="Calibri" w:eastAsia="Calibri" w:hAnsi="Calibri" w:cs="Arial"/>
          <w:color w:val="E36C0A" w:themeColor="accent6" w:themeShade="BF"/>
          <w:rtl/>
        </w:rPr>
        <w:t>(וכ"פ בשו"ע)</w:t>
      </w:r>
    </w:p>
    <w:p w14:paraId="26B5BDFE" w14:textId="77777777" w:rsidR="0004348D" w:rsidRPr="0004348D" w:rsidRDefault="0004348D" w:rsidP="0004348D">
      <w:pPr>
        <w:spacing w:before="360" w:after="240"/>
        <w:rPr>
          <w:rFonts w:ascii="Calibri" w:eastAsia="Calibri" w:hAnsi="Calibri" w:cs="Arial"/>
          <w:u w:val="single"/>
        </w:rPr>
      </w:pPr>
      <w:r w:rsidRPr="0004348D">
        <w:rPr>
          <w:rFonts w:ascii="Calibri" w:eastAsia="Calibri" w:hAnsi="Calibri" w:cs="Arial"/>
          <w:u w:val="single"/>
          <w:rtl/>
        </w:rPr>
        <w:t xml:space="preserve">לסוברים שנאמן לומר פרעתי וכו' </w:t>
      </w:r>
      <w:r w:rsidRPr="0004348D">
        <w:rPr>
          <w:rFonts w:ascii="Calibri" w:eastAsia="Calibri" w:hAnsi="Calibri" w:cs="Arial"/>
          <w:sz w:val="16"/>
          <w:szCs w:val="16"/>
          <w:u w:val="single"/>
          <w:rtl/>
        </w:rPr>
        <w:t>(רי"ף רמב"ם תרומות וכו')</w:t>
      </w:r>
      <w:r w:rsidRPr="0004348D">
        <w:rPr>
          <w:rFonts w:ascii="Calibri" w:eastAsia="Calibri" w:hAnsi="Calibri" w:cs="Arial"/>
          <w:u w:val="single"/>
          <w:rtl/>
        </w:rPr>
        <w:t xml:space="preserve"> - האם נאמן לומר פרעתי גם כשכתב לו נאמנות בכתב ידו:</w:t>
      </w:r>
    </w:p>
    <w:p w14:paraId="25467511" w14:textId="77777777" w:rsidR="0004348D" w:rsidRPr="0004348D" w:rsidRDefault="0004348D" w:rsidP="00992A87">
      <w:pPr>
        <w:numPr>
          <w:ilvl w:val="0"/>
          <w:numId w:val="357"/>
        </w:numPr>
        <w:spacing w:before="360" w:after="240"/>
        <w:contextualSpacing/>
        <w:rPr>
          <w:rFonts w:ascii="Calibri" w:eastAsia="Calibri" w:hAnsi="Calibri" w:cs="Arial"/>
        </w:rPr>
      </w:pPr>
      <w:r w:rsidRPr="0004348D">
        <w:rPr>
          <w:rFonts w:ascii="Calibri" w:eastAsia="Calibri" w:hAnsi="Calibri" w:cs="Arial"/>
          <w:rtl/>
        </w:rPr>
        <w:t xml:space="preserve">בעל התרומות </w:t>
      </w:r>
      <w:r w:rsidRPr="0004348D">
        <w:rPr>
          <w:rFonts w:ascii="Calibri" w:eastAsia="Calibri" w:hAnsi="Calibri" w:cs="Arial"/>
          <w:sz w:val="16"/>
          <w:szCs w:val="16"/>
          <w:rtl/>
        </w:rPr>
        <w:t xml:space="preserve">(שער יג ח"ב סי' ב) </w:t>
      </w:r>
      <w:r w:rsidRPr="0004348D">
        <w:rPr>
          <w:rFonts w:ascii="Calibri" w:eastAsia="Calibri" w:hAnsi="Calibri" w:cs="Arial"/>
          <w:rtl/>
        </w:rPr>
        <w:t>וטור- אם כתוב בו נאמנות שהאמינו עליו ועל יורשיו</w:t>
      </w:r>
      <w:r w:rsidRPr="0004348D">
        <w:rPr>
          <w:rFonts w:ascii="Calibri" w:eastAsia="Calibri" w:hAnsi="Calibri" w:cs="Arial"/>
          <w:vertAlign w:val="superscript"/>
          <w:rtl/>
        </w:rPr>
        <w:footnoteReference w:id="5534"/>
      </w:r>
      <w:r w:rsidRPr="0004348D">
        <w:rPr>
          <w:rFonts w:ascii="Calibri" w:eastAsia="Calibri" w:hAnsi="Calibri" w:cs="Arial"/>
          <w:rtl/>
        </w:rPr>
        <w:t xml:space="preserve"> ונתקיים בבית דין או שיש עדים שהוא כתב ידו - שוב אינו נאמן לומר פרעתי, שאילו פרעו לא היה מניחו בידו כיון שיש בו נאמנות.</w:t>
      </w:r>
      <w:r w:rsidRPr="0004348D">
        <w:rPr>
          <w:rFonts w:ascii="Calibri" w:eastAsia="Calibri" w:hAnsi="Calibri" w:cs="Arial"/>
          <w:color w:val="E36C0A" w:themeColor="accent6" w:themeShade="BF"/>
          <w:rtl/>
        </w:rPr>
        <w:t xml:space="preserve"> (וכ"פ בשו"ע)</w:t>
      </w:r>
    </w:p>
    <w:p w14:paraId="1B05E512" w14:textId="77777777" w:rsidR="0004348D" w:rsidRPr="0004348D" w:rsidRDefault="0004348D" w:rsidP="0004348D">
      <w:pPr>
        <w:spacing w:before="360" w:after="240"/>
        <w:ind w:left="360"/>
        <w:rPr>
          <w:rFonts w:ascii="Calibri" w:eastAsia="Calibri" w:hAnsi="Calibri" w:cs="Arial"/>
          <w:u w:val="dotted"/>
        </w:rPr>
      </w:pPr>
      <w:r w:rsidRPr="0004348D">
        <w:rPr>
          <w:rFonts w:ascii="Calibri" w:eastAsia="Calibri" w:hAnsi="Calibri" w:cs="Arial"/>
          <w:u w:val="dotted"/>
          <w:rtl/>
        </w:rPr>
        <w:t>ומה הדין אם יש בו נאמנות אך אינו מקוים:</w:t>
      </w:r>
    </w:p>
    <w:p w14:paraId="4C31997D" w14:textId="77777777" w:rsidR="0004348D" w:rsidRPr="0004348D" w:rsidRDefault="0004348D" w:rsidP="00992A87">
      <w:pPr>
        <w:numPr>
          <w:ilvl w:val="0"/>
          <w:numId w:val="357"/>
        </w:numPr>
        <w:spacing w:before="360" w:after="240"/>
        <w:contextualSpacing/>
        <w:rPr>
          <w:rFonts w:ascii="Calibri" w:eastAsia="Calibri" w:hAnsi="Calibri" w:cs="Arial"/>
        </w:rPr>
      </w:pPr>
      <w:r w:rsidRPr="0004348D">
        <w:rPr>
          <w:rFonts w:ascii="Calibri" w:eastAsia="Calibri" w:hAnsi="Calibri" w:cs="Arial"/>
          <w:rtl/>
        </w:rPr>
        <w:t xml:space="preserve">בעל התרומות </w:t>
      </w:r>
      <w:r w:rsidRPr="0004348D">
        <w:rPr>
          <w:rFonts w:ascii="Calibri" w:eastAsia="Calibri" w:hAnsi="Calibri" w:cs="Arial"/>
          <w:sz w:val="16"/>
          <w:szCs w:val="16"/>
          <w:rtl/>
        </w:rPr>
        <w:t>(שער יג ח"א סי' ג)</w:t>
      </w:r>
      <w:r w:rsidRPr="0004348D">
        <w:rPr>
          <w:rFonts w:ascii="Calibri" w:eastAsia="Calibri" w:hAnsi="Calibri" w:cs="Arial"/>
          <w:rtl/>
        </w:rPr>
        <w:t xml:space="preserve"> רשב"א </w:t>
      </w:r>
      <w:r w:rsidRPr="0004348D">
        <w:rPr>
          <w:rFonts w:ascii="Calibri" w:eastAsia="Calibri" w:hAnsi="Calibri" w:cs="Arial"/>
          <w:sz w:val="16"/>
          <w:szCs w:val="16"/>
          <w:rtl/>
        </w:rPr>
        <w:t>(במיוחסות סי' צז)</w:t>
      </w:r>
      <w:r w:rsidRPr="0004348D">
        <w:rPr>
          <w:rFonts w:ascii="Calibri" w:eastAsia="Calibri" w:hAnsi="Calibri" w:cs="Arial"/>
          <w:rtl/>
        </w:rPr>
        <w:t xml:space="preserve"> וטור</w:t>
      </w:r>
      <w:r w:rsidRPr="0004348D">
        <w:rPr>
          <w:rFonts w:ascii="Calibri" w:eastAsia="Calibri" w:hAnsi="Calibri" w:cs="Arial"/>
          <w:vertAlign w:val="superscript"/>
          <w:rtl/>
        </w:rPr>
        <w:footnoteReference w:id="5535"/>
      </w:r>
      <w:r w:rsidRPr="0004348D">
        <w:rPr>
          <w:rFonts w:ascii="Calibri" w:eastAsia="Calibri" w:hAnsi="Calibri" w:cs="Arial"/>
          <w:sz w:val="16"/>
          <w:szCs w:val="16"/>
          <w:rtl/>
        </w:rPr>
        <w:t xml:space="preserve"> (בסי' פב ס"א)</w:t>
      </w:r>
      <w:r w:rsidRPr="0004348D">
        <w:rPr>
          <w:rFonts w:ascii="Calibri" w:eastAsia="Calibri" w:hAnsi="Calibri" w:cs="Arial"/>
          <w:rtl/>
        </w:rPr>
        <w:t>- נאמן, כיון שאין הכתב כלום אלא ע"י הודאתו שמודה לו, נאמן לומר פרוע בשבועת היסת, שאין טענתו סותרת הודאתו בנאמנות, שאפשר שהאמינו ואעפ"כ פרעו ולא תבע שטרו לפי שהיה בטוח בו כיון שאינו יכול לקיימו כי אם על פיו.</w:t>
      </w:r>
      <w:r w:rsidRPr="0004348D">
        <w:rPr>
          <w:rFonts w:ascii="Calibri" w:eastAsia="Calibri" w:hAnsi="Calibri" w:cs="Arial"/>
          <w:color w:val="E36C0A" w:themeColor="accent6" w:themeShade="BF"/>
          <w:rtl/>
        </w:rPr>
        <w:t xml:space="preserve"> (וכ"פ בשו"ע)</w:t>
      </w:r>
    </w:p>
    <w:p w14:paraId="25DA21DC" w14:textId="77777777" w:rsidR="0004348D" w:rsidRPr="0004348D" w:rsidRDefault="0004348D" w:rsidP="00992A87">
      <w:pPr>
        <w:numPr>
          <w:ilvl w:val="0"/>
          <w:numId w:val="357"/>
        </w:numPr>
        <w:spacing w:before="360" w:after="240"/>
        <w:contextualSpacing/>
        <w:rPr>
          <w:rFonts w:ascii="Calibri" w:eastAsia="Calibri" w:hAnsi="Calibri" w:cs="Arial"/>
          <w:rtl/>
        </w:rPr>
      </w:pPr>
      <w:r w:rsidRPr="0004348D">
        <w:rPr>
          <w:rFonts w:ascii="Calibri" w:eastAsia="Calibri" w:hAnsi="Calibri" w:cs="Arial"/>
          <w:rtl/>
        </w:rPr>
        <w:t xml:space="preserve">בהעי"ט </w:t>
      </w:r>
      <w:r w:rsidRPr="0004348D">
        <w:rPr>
          <w:rFonts w:ascii="Calibri" w:eastAsia="Calibri" w:hAnsi="Calibri" w:cs="Arial"/>
          <w:sz w:val="16"/>
          <w:szCs w:val="16"/>
          <w:rtl/>
        </w:rPr>
        <w:t>(עסקא וחוב יג ע"ד)</w:t>
      </w:r>
      <w:r w:rsidRPr="0004348D">
        <w:rPr>
          <w:rFonts w:ascii="Calibri" w:eastAsia="Calibri" w:hAnsi="Calibri" w:cs="Arial"/>
          <w:rtl/>
        </w:rPr>
        <w:t>- אינו נאמן, שאין כאן מיגו שנאמר שיהא נאמן במיגו שהיה אומר אינו כתב ידי, שהרי דבריו סותרים כתבו שהוא האמינו שלא יהא נאמן לומר פרוע.</w:t>
      </w:r>
    </w:p>
    <w:p w14:paraId="3C51B968" w14:textId="77777777" w:rsidR="0004348D" w:rsidRPr="0004348D" w:rsidRDefault="0004348D" w:rsidP="0004348D">
      <w:pPr>
        <w:spacing w:before="360" w:after="240"/>
        <w:ind w:left="360"/>
        <w:rPr>
          <w:rFonts w:ascii="Calibri" w:eastAsia="Calibri" w:hAnsi="Calibri" w:cs="Arial"/>
          <w:u w:val="dotted"/>
        </w:rPr>
      </w:pPr>
      <w:r w:rsidRPr="0004348D">
        <w:rPr>
          <w:rFonts w:ascii="Calibri" w:eastAsia="Calibri" w:hAnsi="Calibri" w:cs="Arial"/>
          <w:u w:val="dotted"/>
          <w:rtl/>
        </w:rPr>
        <w:t>האם צריך שיקנה בקנין על הנאמנות:</w:t>
      </w:r>
    </w:p>
    <w:p w14:paraId="2642A55F" w14:textId="77777777" w:rsidR="0004348D" w:rsidRPr="0004348D" w:rsidRDefault="0004348D" w:rsidP="00992A87">
      <w:pPr>
        <w:numPr>
          <w:ilvl w:val="0"/>
          <w:numId w:val="357"/>
        </w:numPr>
        <w:spacing w:before="360" w:after="240"/>
        <w:contextualSpacing/>
        <w:rPr>
          <w:rFonts w:ascii="Calibri" w:eastAsia="Calibri" w:hAnsi="Calibri" w:cs="Arial"/>
        </w:rPr>
      </w:pPr>
      <w:r w:rsidRPr="0004348D">
        <w:rPr>
          <w:rFonts w:ascii="Calibri" w:eastAsia="Calibri" w:hAnsi="Calibri" w:cs="Arial"/>
          <w:rtl/>
        </w:rPr>
        <w:t>י"א</w:t>
      </w:r>
      <w:r w:rsidRPr="0004348D">
        <w:rPr>
          <w:rFonts w:ascii="Calibri" w:eastAsia="Calibri" w:hAnsi="Calibri" w:cs="Arial"/>
          <w:sz w:val="16"/>
          <w:szCs w:val="16"/>
          <w:rtl/>
        </w:rPr>
        <w:t xml:space="preserve"> (הביאום בעל התרומות [שם] והטור)</w:t>
      </w:r>
      <w:r w:rsidRPr="0004348D">
        <w:rPr>
          <w:rFonts w:ascii="Calibri" w:eastAsia="Calibri" w:hAnsi="Calibri" w:cs="Arial"/>
          <w:rtl/>
        </w:rPr>
        <w:t xml:space="preserve">- צריך שיקנה בקנין על הנאמנות שאל"כ אינו מועיל הנאמנות. </w:t>
      </w:r>
    </w:p>
    <w:p w14:paraId="65CEF823" w14:textId="77777777" w:rsidR="0004348D" w:rsidRPr="0004348D" w:rsidRDefault="0004348D" w:rsidP="00992A87">
      <w:pPr>
        <w:numPr>
          <w:ilvl w:val="0"/>
          <w:numId w:val="357"/>
        </w:numPr>
        <w:spacing w:before="360" w:after="240"/>
        <w:contextualSpacing/>
        <w:rPr>
          <w:rFonts w:ascii="Calibri" w:eastAsia="Calibri" w:hAnsi="Calibri" w:cs="Arial"/>
          <w:rtl/>
        </w:rPr>
      </w:pPr>
      <w:r w:rsidRPr="0004348D">
        <w:rPr>
          <w:rFonts w:ascii="Calibri" w:eastAsia="Calibri" w:hAnsi="Calibri" w:cs="Arial"/>
          <w:rtl/>
        </w:rPr>
        <w:t xml:space="preserve">בעל התרומות </w:t>
      </w:r>
      <w:r w:rsidRPr="0004348D">
        <w:rPr>
          <w:rFonts w:ascii="Calibri" w:eastAsia="Calibri" w:hAnsi="Calibri" w:cs="Arial"/>
          <w:sz w:val="16"/>
          <w:szCs w:val="16"/>
          <w:rtl/>
        </w:rPr>
        <w:t xml:space="preserve">(שם) </w:t>
      </w:r>
      <w:r w:rsidRPr="0004348D">
        <w:rPr>
          <w:rFonts w:ascii="Calibri" w:eastAsia="Calibri" w:hAnsi="Calibri" w:cs="Arial"/>
          <w:rtl/>
        </w:rPr>
        <w:t>וטור- אין צריך קנין.</w:t>
      </w:r>
    </w:p>
    <w:p w14:paraId="5012539F" w14:textId="77777777" w:rsidR="0004348D" w:rsidRPr="0004348D" w:rsidRDefault="0004348D" w:rsidP="0004348D">
      <w:pPr>
        <w:spacing w:before="360" w:after="240"/>
        <w:rPr>
          <w:rFonts w:ascii="Calibri" w:eastAsia="Calibri" w:hAnsi="Calibri" w:cs="Arial"/>
          <w:rtl/>
        </w:rPr>
      </w:pPr>
      <w:r w:rsidRPr="0004348D">
        <w:rPr>
          <w:rFonts w:ascii="Calibri" w:eastAsia="Calibri" w:hAnsi="Calibri" w:cs="Arial"/>
          <w:u w:val="single"/>
          <w:rtl/>
        </w:rPr>
        <w:t>הוציא עליו כתב ידו - וטען שאינו כתב ידו:</w:t>
      </w:r>
    </w:p>
    <w:p w14:paraId="6A1ECCBB" w14:textId="77777777" w:rsidR="0004348D" w:rsidRPr="0004348D" w:rsidRDefault="0004348D" w:rsidP="00992A87">
      <w:pPr>
        <w:numPr>
          <w:ilvl w:val="0"/>
          <w:numId w:val="357"/>
        </w:numPr>
        <w:spacing w:before="360" w:after="240"/>
        <w:contextualSpacing/>
        <w:rPr>
          <w:rFonts w:ascii="Calibri" w:eastAsia="Calibri" w:hAnsi="Calibri" w:cs="Arial"/>
        </w:rPr>
      </w:pPr>
      <w:r w:rsidRPr="0004348D">
        <w:rPr>
          <w:rFonts w:ascii="Calibri" w:eastAsia="Calibri" w:hAnsi="Calibri" w:cs="Arial"/>
          <w:rtl/>
        </w:rPr>
        <w:t xml:space="preserve">רי"ף </w:t>
      </w:r>
      <w:r w:rsidRPr="0004348D">
        <w:rPr>
          <w:rFonts w:ascii="Calibri" w:eastAsia="Calibri" w:hAnsi="Calibri" w:cs="Arial"/>
          <w:sz w:val="16"/>
          <w:szCs w:val="16"/>
          <w:rtl/>
        </w:rPr>
        <w:t xml:space="preserve">(שם) </w:t>
      </w:r>
      <w:r w:rsidRPr="0004348D">
        <w:rPr>
          <w:rFonts w:ascii="Calibri" w:eastAsia="Calibri" w:hAnsi="Calibri" w:cs="Arial"/>
          <w:rtl/>
        </w:rPr>
        <w:t xml:space="preserve">רמב"ם </w:t>
      </w:r>
      <w:r w:rsidRPr="0004348D">
        <w:rPr>
          <w:rFonts w:ascii="Calibri" w:eastAsia="Calibri" w:hAnsi="Calibri" w:cs="Arial"/>
          <w:sz w:val="16"/>
          <w:szCs w:val="16"/>
          <w:rtl/>
        </w:rPr>
        <w:t xml:space="preserve">(פ"ו מהל' טוען ה"ג) </w:t>
      </w:r>
      <w:r w:rsidRPr="0004348D">
        <w:rPr>
          <w:rFonts w:ascii="Calibri" w:eastAsia="Calibri" w:hAnsi="Calibri" w:cs="Arial"/>
          <w:rtl/>
        </w:rPr>
        <w:t xml:space="preserve">רא"ש </w:t>
      </w:r>
      <w:r w:rsidRPr="0004348D">
        <w:rPr>
          <w:rFonts w:ascii="Calibri" w:eastAsia="Calibri" w:hAnsi="Calibri" w:cs="Arial"/>
          <w:sz w:val="16"/>
          <w:szCs w:val="16"/>
          <w:rtl/>
        </w:rPr>
        <w:t>(סוף בתרא סי' מט)</w:t>
      </w:r>
      <w:r w:rsidRPr="0004348D">
        <w:rPr>
          <w:rFonts w:ascii="Calibri" w:eastAsia="Calibri" w:hAnsi="Calibri" w:cs="Arial"/>
          <w:rtl/>
        </w:rPr>
        <w:t xml:space="preserve"> וטור- אם הוא כופר ואומר שאינו כתב ידו</w:t>
      </w:r>
      <w:r w:rsidRPr="0004348D">
        <w:rPr>
          <w:rFonts w:ascii="Calibri" w:eastAsia="Calibri" w:hAnsi="Calibri" w:cs="Arial"/>
          <w:vertAlign w:val="superscript"/>
          <w:rtl/>
        </w:rPr>
        <w:footnoteReference w:id="5536"/>
      </w:r>
      <w:r w:rsidRPr="0004348D">
        <w:rPr>
          <w:rFonts w:ascii="Calibri" w:eastAsia="Calibri" w:hAnsi="Calibri" w:cs="Arial"/>
          <w:rtl/>
        </w:rPr>
        <w:t xml:space="preserve">, אם נתקיים בב"ד או שעדים מעידים שהוא כתב ידו - הוחזק כפרן ומשלם, ואם לאו - נשבע היסת ונפטר. </w:t>
      </w:r>
      <w:r w:rsidRPr="0004348D">
        <w:rPr>
          <w:rFonts w:ascii="Calibri" w:eastAsia="Calibri" w:hAnsi="Calibri" w:cs="Arial"/>
          <w:color w:val="E36C0A" w:themeColor="accent6" w:themeShade="BF"/>
          <w:rtl/>
        </w:rPr>
        <w:t>(וכ"פ בשו"ע)</w:t>
      </w:r>
    </w:p>
    <w:p w14:paraId="3AA11732" w14:textId="77777777" w:rsidR="0004348D" w:rsidRPr="0004348D" w:rsidRDefault="0004348D" w:rsidP="0004348D">
      <w:pPr>
        <w:spacing w:before="360" w:after="240"/>
        <w:rPr>
          <w:rFonts w:ascii="Calibri" w:eastAsia="Calibri" w:hAnsi="Calibri" w:cs="Arial"/>
          <w:u w:val="single"/>
        </w:rPr>
      </w:pPr>
      <w:r w:rsidRPr="0004348D">
        <w:rPr>
          <w:rFonts w:ascii="Calibri" w:eastAsia="Calibri" w:hAnsi="Calibri" w:cs="Arial"/>
          <w:u w:val="single"/>
          <w:rtl/>
        </w:rPr>
        <w:t>הוציא כתב יד של פלוני על יורשיו - ויש לו ממון תפוס אצלו של אותו פלוני:</w:t>
      </w:r>
    </w:p>
    <w:p w14:paraId="5103BD44" w14:textId="77777777" w:rsidR="0004348D" w:rsidRPr="0004348D" w:rsidRDefault="0004348D" w:rsidP="00992A87">
      <w:pPr>
        <w:numPr>
          <w:ilvl w:val="0"/>
          <w:numId w:val="357"/>
        </w:numPr>
        <w:spacing w:before="360" w:after="240"/>
        <w:contextualSpacing/>
        <w:rPr>
          <w:rFonts w:ascii="Calibri" w:eastAsia="Calibri" w:hAnsi="Calibri" w:cs="Arial"/>
        </w:rPr>
      </w:pPr>
      <w:r w:rsidRPr="0004348D">
        <w:rPr>
          <w:rFonts w:ascii="Calibri" w:eastAsia="Calibri" w:hAnsi="Calibri" w:cs="Arial"/>
          <w:rtl/>
        </w:rPr>
        <w:t xml:space="preserve">רא"ש </w:t>
      </w:r>
      <w:r w:rsidRPr="0004348D">
        <w:rPr>
          <w:rFonts w:ascii="Calibri" w:eastAsia="Calibri" w:hAnsi="Calibri" w:cs="Arial"/>
          <w:sz w:val="16"/>
          <w:szCs w:val="16"/>
          <w:rtl/>
        </w:rPr>
        <w:t>(כלל סז סי' א)</w:t>
      </w:r>
      <w:r w:rsidRPr="0004348D">
        <w:rPr>
          <w:rFonts w:ascii="Calibri" w:eastAsia="Calibri" w:hAnsi="Calibri" w:cs="Arial"/>
          <w:rtl/>
        </w:rPr>
        <w:t>- שמעון שהוציא כתב יד ראובן על יורשיו - אינו גובה מהם. ואם שמעון תופס מטלטלים ושטרות בחיי אביהם - על המטלטלין נאמן בשבועתו עד כדי דמיהם. אבל תפיסת השטרות - לאו תפיסה היא, כיון שאין גופן ממון ובעו כתיבה ומסירה לקנות מה שכתוב בהם</w:t>
      </w:r>
      <w:r w:rsidRPr="0004348D">
        <w:rPr>
          <w:rFonts w:ascii="Calibri" w:eastAsia="Calibri" w:hAnsi="Calibri" w:cs="Arial"/>
          <w:vertAlign w:val="superscript"/>
          <w:rtl/>
        </w:rPr>
        <w:footnoteReference w:id="5537"/>
      </w:r>
      <w:r w:rsidRPr="0004348D">
        <w:rPr>
          <w:rFonts w:ascii="Calibri" w:eastAsia="Calibri" w:hAnsi="Calibri" w:cs="Arial"/>
          <w:rtl/>
        </w:rPr>
        <w:t>.</w:t>
      </w:r>
    </w:p>
    <w:p w14:paraId="1780CD52" w14:textId="77777777" w:rsidR="0004348D" w:rsidRPr="0004348D" w:rsidRDefault="0004348D" w:rsidP="0004348D">
      <w:pPr>
        <w:spacing w:before="360" w:after="240"/>
        <w:rPr>
          <w:rFonts w:ascii="Calibri" w:eastAsia="Calibri" w:hAnsi="Calibri" w:cs="Arial"/>
          <w:rtl/>
        </w:rPr>
      </w:pPr>
      <w:r w:rsidRPr="0004348D">
        <w:rPr>
          <w:rFonts w:ascii="Calibri" w:eastAsia="Calibri" w:hAnsi="Calibri" w:cs="Arial"/>
          <w:u w:val="single"/>
          <w:rtl/>
        </w:rPr>
        <w:t>הוציא עליו כתב ידו - והודה שזו חתימתו אך טען שחתם בסוף מגילה</w:t>
      </w:r>
      <w:r w:rsidRPr="0004348D">
        <w:rPr>
          <w:rFonts w:ascii="Calibri" w:eastAsia="Calibri" w:hAnsi="Calibri" w:cs="Arial"/>
          <w:sz w:val="16"/>
          <w:szCs w:val="16"/>
          <w:u w:val="single"/>
          <w:rtl/>
        </w:rPr>
        <w:t xml:space="preserve"> (או ששטר אמנה הוא)</w:t>
      </w:r>
      <w:r w:rsidRPr="0004348D">
        <w:rPr>
          <w:rFonts w:ascii="Calibri" w:eastAsia="Calibri" w:hAnsi="Calibri" w:cs="Arial"/>
          <w:u w:val="single"/>
          <w:rtl/>
        </w:rPr>
        <w:t>:</w:t>
      </w:r>
    </w:p>
    <w:p w14:paraId="435180AE" w14:textId="77777777" w:rsidR="0004348D" w:rsidRPr="0004348D" w:rsidRDefault="0004348D" w:rsidP="00992A87">
      <w:pPr>
        <w:numPr>
          <w:ilvl w:val="0"/>
          <w:numId w:val="357"/>
        </w:numPr>
        <w:spacing w:before="360" w:after="240"/>
        <w:contextualSpacing/>
        <w:rPr>
          <w:rFonts w:ascii="Calibri" w:eastAsia="Calibri" w:hAnsi="Calibri" w:cs="Arial"/>
          <w:rtl/>
        </w:rPr>
      </w:pPr>
      <w:r w:rsidRPr="0004348D">
        <w:rPr>
          <w:rFonts w:ascii="Calibri" w:eastAsia="Calibri" w:hAnsi="Calibri" w:cs="Arial"/>
          <w:rtl/>
        </w:rPr>
        <w:t>בעל התרומות</w:t>
      </w:r>
      <w:r w:rsidRPr="0004348D">
        <w:rPr>
          <w:rFonts w:ascii="Calibri" w:eastAsia="Calibri" w:hAnsi="Calibri" w:cs="Arial"/>
          <w:vertAlign w:val="superscript"/>
          <w:rtl/>
        </w:rPr>
        <w:footnoteReference w:id="5538"/>
      </w:r>
      <w:r w:rsidRPr="0004348D">
        <w:rPr>
          <w:rFonts w:ascii="Calibri" w:eastAsia="Calibri" w:hAnsi="Calibri" w:cs="Arial"/>
          <w:rtl/>
        </w:rPr>
        <w:t xml:space="preserve"> </w:t>
      </w:r>
      <w:r w:rsidRPr="0004348D">
        <w:rPr>
          <w:rFonts w:ascii="Calibri" w:eastAsia="Calibri" w:hAnsi="Calibri" w:cs="Arial"/>
          <w:sz w:val="16"/>
          <w:szCs w:val="16"/>
          <w:rtl/>
        </w:rPr>
        <w:t xml:space="preserve">(שער יג ח"ד) </w:t>
      </w:r>
      <w:r w:rsidRPr="0004348D">
        <w:rPr>
          <w:rFonts w:ascii="Calibri" w:eastAsia="Calibri" w:hAnsi="Calibri" w:cs="Arial"/>
          <w:rtl/>
        </w:rPr>
        <w:t>וטור</w:t>
      </w:r>
      <w:r w:rsidRPr="0004348D">
        <w:rPr>
          <w:rFonts w:ascii="Calibri" w:eastAsia="Calibri" w:hAnsi="Calibri" w:cs="Arial"/>
          <w:vertAlign w:val="superscript"/>
          <w:rtl/>
        </w:rPr>
        <w:footnoteReference w:id="5539"/>
      </w:r>
      <w:r w:rsidRPr="0004348D">
        <w:rPr>
          <w:rFonts w:ascii="Calibri" w:eastAsia="Calibri" w:hAnsi="Calibri" w:cs="Arial"/>
          <w:rtl/>
        </w:rPr>
        <w:t>- אם טוען ואומר 'אמת כי היא חתימתי אבל מעולם לא חתמתי על הודאת הלואה זו אלא שכחתי וחתמתי שמי בסוף המגילה ואפשר שמצאה זה וכתב עליה', או שטוען 'אמנה היתה הודאה זאת בינו לבינו אבל לא לויתי הלואה זו מעולם' - הואיל ולא כופר בחתימתו נאמן בהיסת במיגו שאם היה רוצה היה אומר פרעתי</w:t>
      </w:r>
      <w:r w:rsidRPr="0004348D">
        <w:rPr>
          <w:rFonts w:ascii="Calibri" w:eastAsia="Calibri" w:hAnsi="Calibri" w:cs="Arial"/>
          <w:vertAlign w:val="superscript"/>
          <w:rtl/>
        </w:rPr>
        <w:footnoteReference w:id="5540"/>
      </w:r>
      <w:r w:rsidRPr="0004348D">
        <w:rPr>
          <w:rFonts w:ascii="Calibri" w:eastAsia="Calibri" w:hAnsi="Calibri" w:cs="Arial"/>
          <w:sz w:val="16"/>
          <w:szCs w:val="16"/>
          <w:rtl/>
        </w:rPr>
        <w:t xml:space="preserve"> (ל' הטור)</w:t>
      </w:r>
      <w:r w:rsidRPr="0004348D">
        <w:rPr>
          <w:rFonts w:ascii="Calibri" w:eastAsia="Calibri" w:hAnsi="Calibri" w:cs="Arial"/>
          <w:vertAlign w:val="superscript"/>
          <w:rtl/>
        </w:rPr>
        <w:footnoteReference w:id="5541"/>
      </w:r>
      <w:r w:rsidRPr="0004348D">
        <w:rPr>
          <w:rFonts w:ascii="Calibri" w:eastAsia="Calibri" w:hAnsi="Calibri" w:cs="Arial"/>
          <w:rtl/>
        </w:rPr>
        <w:t xml:space="preserve">. </w:t>
      </w:r>
      <w:r w:rsidRPr="0004348D">
        <w:rPr>
          <w:rFonts w:ascii="Calibri" w:eastAsia="Calibri" w:hAnsi="Calibri" w:cs="Arial"/>
          <w:color w:val="E36C0A" w:themeColor="accent6" w:themeShade="BF"/>
          <w:rtl/>
        </w:rPr>
        <w:t>(וכ"פ בשו"ע)</w:t>
      </w:r>
    </w:p>
    <w:p w14:paraId="28C26E67" w14:textId="77777777" w:rsidR="0004348D" w:rsidRPr="0004348D" w:rsidRDefault="0004348D" w:rsidP="00992A87">
      <w:pPr>
        <w:numPr>
          <w:ilvl w:val="0"/>
          <w:numId w:val="357"/>
        </w:numPr>
        <w:spacing w:before="360" w:after="240"/>
        <w:contextualSpacing/>
        <w:rPr>
          <w:rFonts w:ascii="Calibri" w:eastAsia="Calibri" w:hAnsi="Calibri" w:cs="Arial"/>
        </w:rPr>
      </w:pPr>
      <w:r w:rsidRPr="0004348D">
        <w:rPr>
          <w:rFonts w:ascii="Calibri" w:eastAsia="Calibri" w:hAnsi="Calibri" w:cs="Arial"/>
          <w:rtl/>
        </w:rPr>
        <w:t xml:space="preserve">י"א </w:t>
      </w:r>
      <w:r w:rsidRPr="0004348D">
        <w:rPr>
          <w:rFonts w:ascii="Calibri" w:eastAsia="Calibri" w:hAnsi="Calibri" w:cs="Arial"/>
          <w:sz w:val="16"/>
          <w:szCs w:val="16"/>
          <w:rtl/>
        </w:rPr>
        <w:t>(הביאם בעל התרומות [שם])</w:t>
      </w:r>
      <w:r w:rsidRPr="0004348D">
        <w:rPr>
          <w:rFonts w:ascii="Calibri" w:eastAsia="Calibri" w:hAnsi="Calibri" w:cs="Arial"/>
          <w:rtl/>
        </w:rPr>
        <w:t>- כיון שיקיים הלה חתימת ידו יתחייב לפרעו</w:t>
      </w:r>
      <w:r w:rsidRPr="0004348D">
        <w:rPr>
          <w:rFonts w:ascii="Calibri" w:eastAsia="Calibri" w:hAnsi="Calibri" w:cs="Arial"/>
          <w:vertAlign w:val="superscript"/>
          <w:rtl/>
        </w:rPr>
        <w:footnoteReference w:id="5542"/>
      </w:r>
      <w:r w:rsidRPr="0004348D">
        <w:rPr>
          <w:rFonts w:ascii="Calibri" w:eastAsia="Calibri" w:hAnsi="Calibri" w:cs="Arial"/>
          <w:rtl/>
        </w:rPr>
        <w:t xml:space="preserve">. </w:t>
      </w:r>
    </w:p>
    <w:p w14:paraId="46121B11" w14:textId="77777777" w:rsidR="0004348D" w:rsidRPr="0004348D" w:rsidRDefault="0004348D" w:rsidP="0004348D">
      <w:pPr>
        <w:spacing w:before="360" w:after="240"/>
        <w:rPr>
          <w:rFonts w:ascii="Calibri" w:eastAsia="Calibri" w:hAnsi="Calibri" w:cs="Arial"/>
          <w:u w:val="single"/>
        </w:rPr>
      </w:pPr>
      <w:r w:rsidRPr="0004348D">
        <w:rPr>
          <w:rFonts w:ascii="Calibri" w:eastAsia="Calibri" w:hAnsi="Calibri" w:cs="Arial"/>
          <w:u w:val="single"/>
          <w:rtl/>
        </w:rPr>
        <w:t>איך מקיימים בבית דין את כתב ידו:</w:t>
      </w:r>
    </w:p>
    <w:p w14:paraId="3FA5371D" w14:textId="77777777" w:rsidR="0004348D" w:rsidRPr="0004348D" w:rsidRDefault="0004348D" w:rsidP="00992A87">
      <w:pPr>
        <w:numPr>
          <w:ilvl w:val="0"/>
          <w:numId w:val="357"/>
        </w:numPr>
        <w:spacing w:before="360" w:after="240"/>
        <w:contextualSpacing/>
        <w:rPr>
          <w:rFonts w:ascii="Calibri" w:eastAsia="Calibri" w:hAnsi="Calibri" w:cs="Arial"/>
          <w:rtl/>
        </w:rPr>
      </w:pPr>
      <w:r w:rsidRPr="0004348D">
        <w:rPr>
          <w:rFonts w:ascii="Calibri" w:eastAsia="Calibri" w:hAnsi="Calibri" w:cs="Arial"/>
          <w:rtl/>
        </w:rPr>
        <w:t>רב שרירא גאון</w:t>
      </w:r>
      <w:r w:rsidRPr="0004348D">
        <w:rPr>
          <w:rFonts w:ascii="Calibri" w:eastAsia="Calibri" w:hAnsi="Calibri" w:cs="Arial"/>
          <w:sz w:val="16"/>
          <w:szCs w:val="16"/>
          <w:rtl/>
        </w:rPr>
        <w:t xml:space="preserve"> (כ"כ בשמו בעל התרומות [שם] והטור)</w:t>
      </w:r>
      <w:r w:rsidRPr="0004348D">
        <w:rPr>
          <w:rFonts w:ascii="Calibri" w:eastAsia="Calibri" w:hAnsi="Calibri" w:cs="Arial"/>
          <w:rtl/>
        </w:rPr>
        <w:t>- מקיימין אותה על פי עדים שיעידו בבית דין שהוא כתב ידו. אבל אם קיימוהו משני שטרות או משתי כתובות – לא, כיון דקיום שטרות דרבנן היכא דאיתמר איתמר היכא דלא איתמר לא איתמר</w:t>
      </w:r>
      <w:r w:rsidRPr="0004348D">
        <w:rPr>
          <w:rFonts w:ascii="Calibri" w:eastAsia="Calibri" w:hAnsi="Calibri" w:cs="Arial"/>
          <w:vertAlign w:val="superscript"/>
          <w:rtl/>
        </w:rPr>
        <w:footnoteReference w:id="5543"/>
      </w:r>
      <w:r w:rsidRPr="0004348D">
        <w:rPr>
          <w:rFonts w:ascii="Calibri" w:eastAsia="Calibri" w:hAnsi="Calibri" w:cs="Arial"/>
          <w:rtl/>
        </w:rPr>
        <w:t>. (וכ"פ הש"ך</w:t>
      </w:r>
      <w:r w:rsidRPr="0004348D">
        <w:rPr>
          <w:rFonts w:ascii="Calibri" w:eastAsia="Calibri" w:hAnsi="Calibri" w:cs="Arial"/>
          <w:sz w:val="16"/>
          <w:szCs w:val="16"/>
          <w:rtl/>
        </w:rPr>
        <w:t xml:space="preserve"> [סקי"ב]</w:t>
      </w:r>
      <w:r w:rsidRPr="0004348D">
        <w:rPr>
          <w:rFonts w:ascii="Calibri" w:eastAsia="Calibri" w:hAnsi="Calibri" w:cs="Arial"/>
          <w:rtl/>
        </w:rPr>
        <w:t>)</w:t>
      </w:r>
    </w:p>
    <w:p w14:paraId="40402881" w14:textId="77777777" w:rsidR="0004348D" w:rsidRPr="0004348D" w:rsidRDefault="0004348D" w:rsidP="00992A87">
      <w:pPr>
        <w:numPr>
          <w:ilvl w:val="0"/>
          <w:numId w:val="357"/>
        </w:numPr>
        <w:spacing w:before="360" w:after="240"/>
        <w:contextualSpacing/>
        <w:rPr>
          <w:rFonts w:ascii="Calibri" w:eastAsia="Calibri" w:hAnsi="Calibri" w:cs="Arial"/>
        </w:rPr>
      </w:pPr>
      <w:r w:rsidRPr="0004348D">
        <w:rPr>
          <w:rFonts w:ascii="Calibri" w:eastAsia="Calibri" w:hAnsi="Calibri" w:cs="Arial"/>
          <w:rtl/>
        </w:rPr>
        <w:t xml:space="preserve">בעל התרומות </w:t>
      </w:r>
      <w:r w:rsidRPr="0004348D">
        <w:rPr>
          <w:rFonts w:ascii="Calibri" w:eastAsia="Calibri" w:hAnsi="Calibri" w:cs="Arial"/>
          <w:sz w:val="16"/>
          <w:szCs w:val="16"/>
          <w:rtl/>
        </w:rPr>
        <w:t xml:space="preserve">(שער יג ח"א סי' ג) </w:t>
      </w:r>
      <w:r w:rsidRPr="0004348D">
        <w:rPr>
          <w:rFonts w:ascii="Calibri" w:eastAsia="Calibri" w:hAnsi="Calibri" w:cs="Arial"/>
          <w:rtl/>
        </w:rPr>
        <w:t>וטור- אין לחלק בין קיום דהכא לשאר קיומים</w:t>
      </w:r>
      <w:r w:rsidRPr="0004348D">
        <w:rPr>
          <w:rFonts w:ascii="Calibri" w:eastAsia="Calibri" w:hAnsi="Calibri" w:cs="Arial"/>
          <w:vertAlign w:val="superscript"/>
          <w:rtl/>
        </w:rPr>
        <w:footnoteReference w:id="5544"/>
      </w:r>
      <w:r w:rsidRPr="0004348D">
        <w:rPr>
          <w:rFonts w:ascii="Calibri" w:eastAsia="Calibri" w:hAnsi="Calibri" w:cs="Arial"/>
          <w:sz w:val="16"/>
          <w:szCs w:val="16"/>
          <w:rtl/>
        </w:rPr>
        <w:t xml:space="preserve"> (ל' הטור)</w:t>
      </w:r>
      <w:r w:rsidRPr="0004348D">
        <w:rPr>
          <w:rFonts w:ascii="Calibri" w:eastAsia="Calibri" w:hAnsi="Calibri" w:cs="Arial"/>
          <w:rtl/>
        </w:rPr>
        <w:t xml:space="preserve">. </w:t>
      </w:r>
    </w:p>
    <w:p w14:paraId="785EB5F3" w14:textId="77777777" w:rsidR="0004348D" w:rsidRPr="0004348D" w:rsidRDefault="0004348D" w:rsidP="0004348D">
      <w:pPr>
        <w:spacing w:before="360" w:after="240"/>
        <w:rPr>
          <w:rFonts w:ascii="Arial" w:eastAsia="Calibri" w:hAnsi="Arial" w:cs="Arial"/>
          <w:b/>
          <w:bCs/>
          <w:color w:val="000000"/>
          <w:sz w:val="28"/>
          <w:szCs w:val="28"/>
          <w:u w:val="single"/>
        </w:rPr>
      </w:pPr>
      <w:r w:rsidRPr="0004348D">
        <w:rPr>
          <w:rFonts w:ascii="Arial" w:eastAsia="Calibri" w:hAnsi="Arial" w:cs="Arial"/>
          <w:b/>
          <w:bCs/>
          <w:color w:val="000000"/>
          <w:sz w:val="28"/>
          <w:szCs w:val="28"/>
          <w:u w:val="single"/>
          <w:rtl/>
        </w:rPr>
        <w:t>שו"ע:</w:t>
      </w:r>
    </w:p>
    <w:p w14:paraId="64772A5B" w14:textId="77777777" w:rsidR="0004348D" w:rsidRPr="0004348D" w:rsidRDefault="0004348D" w:rsidP="0004348D">
      <w:pPr>
        <w:spacing w:before="360" w:after="240"/>
        <w:rPr>
          <w:rFonts w:ascii="Calibri" w:eastAsia="Calibri" w:hAnsi="Calibri" w:cs="Arial"/>
          <w:rtl/>
        </w:rPr>
      </w:pPr>
      <w:r w:rsidRPr="0004348D">
        <w:rPr>
          <w:rFonts w:ascii="Calibri" w:eastAsia="Calibri" w:hAnsi="Calibri" w:cs="Arial"/>
          <w:rtl/>
        </w:rPr>
        <w:t>אפילו נתקיים בבית דין שהוא כתב ידו, אין לו אלא דין מלוה על פה בעדים, ואינו גובה לא מן היורשים ולא מן הלקוחות</w:t>
      </w:r>
      <w:r w:rsidRPr="0004348D">
        <w:rPr>
          <w:rFonts w:ascii="Calibri" w:eastAsia="Calibri" w:hAnsi="Calibri" w:cs="Arial"/>
          <w:vertAlign w:val="superscript"/>
          <w:rtl/>
        </w:rPr>
        <w:footnoteReference w:id="5545"/>
      </w:r>
      <w:r w:rsidRPr="0004348D">
        <w:rPr>
          <w:rFonts w:ascii="Calibri" w:eastAsia="Calibri" w:hAnsi="Calibri" w:cs="Arial"/>
          <w:rtl/>
        </w:rPr>
        <w:t xml:space="preserve"> אלא ממנו אם הודה שלא פרע. אבל אם טוען פרעתי, נאמן ונשבע היסת ונפטר. ואינו יכול לומר שטרך בידי מאי בעי, שאינו חושש להניחו בידו כיון שאינו שטר גמור. ואם מודה לו מקצת</w:t>
      </w:r>
      <w:r w:rsidRPr="0004348D">
        <w:rPr>
          <w:rFonts w:ascii="Calibri" w:eastAsia="Calibri" w:hAnsi="Calibri" w:cs="Arial"/>
          <w:vertAlign w:val="superscript"/>
          <w:rtl/>
        </w:rPr>
        <w:footnoteReference w:id="5546"/>
      </w:r>
      <w:r w:rsidRPr="0004348D">
        <w:rPr>
          <w:rFonts w:ascii="Calibri" w:eastAsia="Calibri" w:hAnsi="Calibri" w:cs="Arial"/>
          <w:rtl/>
        </w:rPr>
        <w:t xml:space="preserve">, נשבע שבועה דאורייתא. ואם כפר ואמר שאינו כתב ידו, אם נתקיים בבית דין, או שעדים מעידים שהוא כתב ידו, הוחזק כפרן ומשלם. ואם לאו, נשבע היסת ונפטר. </w:t>
      </w:r>
      <w:r w:rsidRPr="0004348D">
        <w:rPr>
          <w:rFonts w:ascii="Calibri" w:eastAsia="Calibri" w:hAnsi="Calibri" w:cs="Arial"/>
          <w:sz w:val="18"/>
          <w:szCs w:val="18"/>
          <w:rtl/>
        </w:rPr>
        <w:t>הגה: וי"א דאינו יכול לומר פרעתי על כתיבת ידו</w:t>
      </w:r>
      <w:r w:rsidRPr="0004348D">
        <w:rPr>
          <w:rFonts w:ascii="Calibri" w:eastAsia="Calibri" w:hAnsi="Calibri" w:cs="Arial"/>
          <w:sz w:val="18"/>
          <w:szCs w:val="18"/>
          <w:vertAlign w:val="superscript"/>
          <w:rtl/>
        </w:rPr>
        <w:footnoteReference w:id="5547"/>
      </w:r>
      <w:r w:rsidRPr="0004348D">
        <w:rPr>
          <w:rFonts w:ascii="Calibri" w:eastAsia="Calibri" w:hAnsi="Calibri" w:cs="Arial"/>
          <w:sz w:val="18"/>
          <w:szCs w:val="18"/>
          <w:rtl/>
        </w:rPr>
        <w:t xml:space="preserve"> (רמ"ה). ואין לדיין בזה אלא מה שעיניו רואות (ריב"ש סי' תנד). </w:t>
      </w:r>
      <w:r w:rsidRPr="0004348D">
        <w:rPr>
          <w:rFonts w:ascii="Calibri" w:eastAsia="Calibri" w:hAnsi="Calibri" w:cs="Arial"/>
          <w:rtl/>
        </w:rPr>
        <w:t xml:space="preserve">ואם טוען ואומר 'אמת כי היא חתימתי אבל מעולם לא חתמתי על הודאת הלואה אלא שכחתי וחתמתי שמי בסוף מגילה ואפשר שמצאה זה וכתב עליה'. </w:t>
      </w:r>
      <w:r w:rsidRPr="0004348D">
        <w:rPr>
          <w:rFonts w:ascii="Calibri" w:eastAsia="Calibri" w:hAnsi="Calibri" w:cs="Arial"/>
          <w:sz w:val="18"/>
          <w:szCs w:val="18"/>
          <w:rtl/>
        </w:rPr>
        <w:t>הגה: ולא מהני טענה זו אלא בטוען ודאי 'לא חתמתי שמי מעולם', אבל אם טוען טענת שמא, לא מהני (בעל התרומות)</w:t>
      </w:r>
      <w:r w:rsidRPr="0004348D">
        <w:rPr>
          <w:rFonts w:ascii="Calibri" w:eastAsia="Calibri" w:hAnsi="Calibri" w:cs="Arial"/>
          <w:rtl/>
        </w:rPr>
        <w:t>, או שטוען 'אמנה היתה הודאתי זאת ביני לבינו אבל לא לויתי הלואה זו מעולם', נאמן בהיסת, במגו שאם היה רוצה היה אומר פרעתי. ואם כתוב בו נאמנות</w:t>
      </w:r>
      <w:r w:rsidRPr="0004348D">
        <w:rPr>
          <w:rFonts w:ascii="Calibri" w:eastAsia="Calibri" w:hAnsi="Calibri" w:cs="Arial"/>
          <w:vertAlign w:val="superscript"/>
          <w:rtl/>
        </w:rPr>
        <w:footnoteReference w:id="5548"/>
      </w:r>
      <w:r w:rsidRPr="0004348D">
        <w:rPr>
          <w:rFonts w:ascii="Calibri" w:eastAsia="Calibri" w:hAnsi="Calibri" w:cs="Arial"/>
          <w:rtl/>
        </w:rPr>
        <w:t>, אם נתקיימה חתימתו, אינו נאמן לומר פרעתי, שאילו פרעו לא היה מניחו בידו, כיון שיש בו נאמנות</w:t>
      </w:r>
      <w:r w:rsidRPr="0004348D">
        <w:rPr>
          <w:rFonts w:ascii="Calibri" w:eastAsia="Calibri" w:hAnsi="Calibri" w:cs="Arial"/>
          <w:vertAlign w:val="superscript"/>
          <w:rtl/>
        </w:rPr>
        <w:footnoteReference w:id="5549"/>
      </w:r>
      <w:r w:rsidRPr="0004348D">
        <w:rPr>
          <w:rFonts w:ascii="Calibri" w:eastAsia="Calibri" w:hAnsi="Calibri" w:cs="Arial"/>
          <w:rtl/>
        </w:rPr>
        <w:t>. ואם לא נתקיימה חתימתו וטען פרעתי, נאמן בשבועת היסת</w:t>
      </w:r>
      <w:r w:rsidRPr="0004348D">
        <w:rPr>
          <w:rFonts w:ascii="Calibri" w:eastAsia="Calibri" w:hAnsi="Calibri" w:cs="Arial"/>
          <w:vertAlign w:val="superscript"/>
          <w:rtl/>
        </w:rPr>
        <w:footnoteReference w:id="5550"/>
      </w:r>
      <w:r w:rsidRPr="0004348D">
        <w:rPr>
          <w:rFonts w:ascii="Calibri" w:eastAsia="Calibri" w:hAnsi="Calibri" w:cs="Arial"/>
          <w:rtl/>
        </w:rPr>
        <w:t xml:space="preserve"> </w:t>
      </w:r>
      <w:r w:rsidRPr="0004348D">
        <w:rPr>
          <w:rFonts w:ascii="Calibri" w:eastAsia="Calibri" w:hAnsi="Calibri" w:cs="Arial"/>
          <w:sz w:val="18"/>
          <w:szCs w:val="18"/>
          <w:rtl/>
        </w:rPr>
        <w:t>(ועיין לקמן סימן קכ"ו סעיף י"ג וי"ד אם נאמן לומר טעיתי, במיגו דפרעתי).</w:t>
      </w:r>
    </w:p>
    <w:p w14:paraId="4AA0C14C" w14:textId="77777777" w:rsidR="0004348D" w:rsidRPr="0004348D" w:rsidRDefault="0004348D" w:rsidP="0004348D">
      <w:pPr>
        <w:spacing w:before="360" w:after="240"/>
        <w:rPr>
          <w:rFonts w:ascii="Calibri" w:eastAsia="Calibri" w:hAnsi="Calibri" w:cs="Arial"/>
          <w:rtl/>
        </w:rPr>
      </w:pPr>
      <w:r w:rsidRPr="0004348D">
        <w:rPr>
          <w:rFonts w:ascii="Calibri" w:eastAsia="Calibri" w:hAnsi="Calibri" w:cs="Arial"/>
          <w:rtl/>
        </w:rPr>
        <w:t xml:space="preserve"> </w:t>
      </w:r>
    </w:p>
    <w:p w14:paraId="14244B17" w14:textId="77777777" w:rsidR="0004348D" w:rsidRPr="0004348D" w:rsidRDefault="0004348D" w:rsidP="0004348D">
      <w:pPr>
        <w:keepNext/>
        <w:keepLines/>
        <w:spacing w:before="360" w:after="240"/>
        <w:outlineLvl w:val="1"/>
        <w:rPr>
          <w:rFonts w:ascii="Cambria" w:eastAsia="Times New Roman" w:hAnsi="Cambria" w:cs="Arial"/>
          <w:bCs/>
          <w:color w:val="548DD4" w:themeColor="text2" w:themeTint="99"/>
          <w:sz w:val="26"/>
          <w:szCs w:val="26"/>
          <w:rtl/>
        </w:rPr>
      </w:pPr>
      <w:bookmarkStart w:id="779" w:name="_Toc24884182"/>
      <w:r w:rsidRPr="0004348D">
        <w:rPr>
          <w:rFonts w:ascii="Cambria" w:eastAsia="Times New Roman" w:hAnsi="Cambria" w:cs="Arial"/>
          <w:bCs/>
          <w:color w:val="548DD4" w:themeColor="text2" w:themeTint="99"/>
          <w:sz w:val="26"/>
          <w:szCs w:val="26"/>
          <w:rtl/>
        </w:rPr>
        <w:t>סעיף ג: החתים עדים אחר חתימתו.</w:t>
      </w:r>
      <w:bookmarkEnd w:id="779"/>
    </w:p>
    <w:p w14:paraId="4F6179F6" w14:textId="77777777" w:rsidR="0004348D" w:rsidRPr="0004348D" w:rsidRDefault="0004348D" w:rsidP="0004348D">
      <w:pPr>
        <w:spacing w:before="360" w:after="240"/>
        <w:rPr>
          <w:rFonts w:ascii="Calibri" w:eastAsia="Calibri" w:hAnsi="Calibri" w:cs="Arial"/>
          <w:u w:val="single"/>
          <w:rtl/>
        </w:rPr>
      </w:pPr>
      <w:r w:rsidRPr="0004348D">
        <w:rPr>
          <w:rFonts w:ascii="Calibri" w:eastAsia="Calibri" w:hAnsi="Calibri" w:cs="Arial"/>
          <w:u w:val="single"/>
          <w:rtl/>
        </w:rPr>
        <w:t>כתב ידו שהחתים עדים אחר חתימתו - האם נאמן לומר פרעתי:</w:t>
      </w:r>
    </w:p>
    <w:p w14:paraId="6990AC94" w14:textId="77777777" w:rsidR="0004348D" w:rsidRPr="0004348D" w:rsidRDefault="0004348D" w:rsidP="00992A87">
      <w:pPr>
        <w:numPr>
          <w:ilvl w:val="0"/>
          <w:numId w:val="358"/>
        </w:numPr>
        <w:spacing w:before="360" w:after="240"/>
        <w:contextualSpacing/>
        <w:rPr>
          <w:rFonts w:ascii="Calibri" w:eastAsia="Calibri" w:hAnsi="Calibri" w:cs="Arial"/>
          <w:rtl/>
        </w:rPr>
      </w:pPr>
      <w:r w:rsidRPr="0004348D">
        <w:rPr>
          <w:rFonts w:ascii="Calibri" w:eastAsia="Calibri" w:hAnsi="Calibri" w:cs="Arial"/>
          <w:rtl/>
        </w:rPr>
        <w:t>רבינו האי רש"י</w:t>
      </w:r>
      <w:r w:rsidRPr="0004348D">
        <w:rPr>
          <w:rFonts w:ascii="Calibri" w:eastAsia="Calibri" w:hAnsi="Calibri" w:cs="Arial"/>
          <w:vertAlign w:val="superscript"/>
          <w:rtl/>
        </w:rPr>
        <w:footnoteReference w:id="5551"/>
      </w:r>
      <w:r w:rsidRPr="0004348D">
        <w:rPr>
          <w:rFonts w:ascii="Calibri" w:eastAsia="Calibri" w:hAnsi="Calibri" w:cs="Arial"/>
          <w:rtl/>
        </w:rPr>
        <w:t xml:space="preserve"> רמב"ם</w:t>
      </w:r>
      <w:r w:rsidRPr="0004348D">
        <w:rPr>
          <w:rFonts w:ascii="Calibri" w:eastAsia="Calibri" w:hAnsi="Calibri" w:cs="Arial"/>
          <w:vertAlign w:val="superscript"/>
          <w:rtl/>
        </w:rPr>
        <w:footnoteReference w:id="5552"/>
      </w:r>
      <w:r w:rsidRPr="0004348D">
        <w:rPr>
          <w:rFonts w:ascii="Calibri" w:eastAsia="Calibri" w:hAnsi="Calibri" w:cs="Arial"/>
          <w:rtl/>
        </w:rPr>
        <w:t xml:space="preserve"> רא"ש</w:t>
      </w:r>
      <w:r w:rsidRPr="0004348D">
        <w:rPr>
          <w:rFonts w:ascii="Calibri" w:eastAsia="Calibri" w:hAnsi="Calibri" w:cs="Arial"/>
          <w:vertAlign w:val="superscript"/>
          <w:rtl/>
        </w:rPr>
        <w:footnoteReference w:id="5553"/>
      </w:r>
      <w:r w:rsidRPr="0004348D">
        <w:rPr>
          <w:rFonts w:ascii="Calibri" w:eastAsia="Calibri" w:hAnsi="Calibri" w:cs="Arial"/>
          <w:rtl/>
        </w:rPr>
        <w:t xml:space="preserve"> ורי"ו</w:t>
      </w:r>
      <w:r w:rsidRPr="0004348D">
        <w:rPr>
          <w:rFonts w:ascii="Calibri" w:eastAsia="Calibri" w:hAnsi="Calibri" w:cs="Arial"/>
          <w:vertAlign w:val="superscript"/>
          <w:rtl/>
        </w:rPr>
        <w:footnoteReference w:id="5554"/>
      </w:r>
      <w:r w:rsidRPr="0004348D">
        <w:rPr>
          <w:rFonts w:ascii="Calibri" w:eastAsia="Calibri" w:hAnsi="Calibri" w:cs="Arial"/>
          <w:rtl/>
        </w:rPr>
        <w:t>- אם החתים עדים אחר חתימתו לא לקיים החתימה אלא לקיים הענין - אינו יכול לומר פרעתי</w:t>
      </w:r>
      <w:r w:rsidRPr="0004348D">
        <w:rPr>
          <w:rFonts w:ascii="Calibri" w:eastAsia="Calibri" w:hAnsi="Calibri" w:cs="Arial"/>
          <w:sz w:val="16"/>
          <w:szCs w:val="16"/>
          <w:rtl/>
        </w:rPr>
        <w:t xml:space="preserve"> (ל' רי"ו)</w:t>
      </w:r>
      <w:r w:rsidRPr="0004348D">
        <w:rPr>
          <w:rFonts w:ascii="Calibri" w:eastAsia="Calibri" w:hAnsi="Calibri" w:cs="Arial"/>
          <w:rtl/>
        </w:rPr>
        <w:t xml:space="preserve">. </w:t>
      </w:r>
      <w:r w:rsidRPr="0004348D">
        <w:rPr>
          <w:rFonts w:ascii="Calibri" w:eastAsia="Calibri" w:hAnsi="Calibri" w:cs="Arial"/>
          <w:color w:val="E36C0A" w:themeColor="accent6" w:themeShade="BF"/>
          <w:rtl/>
        </w:rPr>
        <w:t>(וכ"פ בשו"ע)</w:t>
      </w:r>
    </w:p>
    <w:p w14:paraId="6E399E47" w14:textId="77777777" w:rsidR="0004348D" w:rsidRPr="0004348D" w:rsidRDefault="0004348D" w:rsidP="0004348D">
      <w:pPr>
        <w:spacing w:before="360" w:after="240"/>
        <w:rPr>
          <w:rFonts w:ascii="Arial" w:eastAsia="Calibri" w:hAnsi="Arial" w:cs="Arial"/>
          <w:b/>
          <w:bCs/>
          <w:color w:val="000000"/>
          <w:sz w:val="28"/>
          <w:szCs w:val="28"/>
          <w:u w:val="single"/>
        </w:rPr>
      </w:pPr>
      <w:r w:rsidRPr="0004348D">
        <w:rPr>
          <w:rFonts w:ascii="Arial" w:eastAsia="Calibri" w:hAnsi="Arial" w:cs="Arial"/>
          <w:b/>
          <w:bCs/>
          <w:color w:val="000000"/>
          <w:sz w:val="28"/>
          <w:szCs w:val="28"/>
          <w:u w:val="single"/>
          <w:rtl/>
        </w:rPr>
        <w:t>שו"ע:</w:t>
      </w:r>
    </w:p>
    <w:p w14:paraId="3379F4F1" w14:textId="77777777" w:rsidR="0004348D" w:rsidRPr="0004348D" w:rsidRDefault="0004348D" w:rsidP="0004348D">
      <w:pPr>
        <w:spacing w:before="360" w:after="240"/>
        <w:rPr>
          <w:rFonts w:ascii="Calibri" w:eastAsia="Calibri" w:hAnsi="Calibri" w:cs="Arial"/>
          <w:rtl/>
        </w:rPr>
      </w:pPr>
      <w:r w:rsidRPr="0004348D">
        <w:rPr>
          <w:rFonts w:ascii="Calibri" w:eastAsia="Calibri" w:hAnsi="Calibri" w:cs="Arial"/>
          <w:rtl/>
        </w:rPr>
        <w:t>כתב ידו שהחתים עדים אחר חתימתו, לא לקיים החתימה אלא לקיים הענין, אינו נאמן לומר פרעתי</w:t>
      </w:r>
      <w:r w:rsidRPr="0004348D">
        <w:rPr>
          <w:rFonts w:ascii="Calibri" w:eastAsia="Calibri" w:hAnsi="Calibri" w:cs="Arial"/>
          <w:vertAlign w:val="superscript"/>
          <w:rtl/>
        </w:rPr>
        <w:footnoteReference w:id="5555"/>
      </w:r>
      <w:r w:rsidRPr="0004348D">
        <w:rPr>
          <w:rFonts w:ascii="Calibri" w:eastAsia="Calibri" w:hAnsi="Calibri" w:cs="Arial"/>
          <w:rtl/>
        </w:rPr>
        <w:t xml:space="preserve">. </w:t>
      </w:r>
    </w:p>
    <w:p w14:paraId="68B691CC" w14:textId="77777777" w:rsidR="0004348D" w:rsidRPr="0004348D" w:rsidRDefault="0004348D" w:rsidP="0004348D">
      <w:pPr>
        <w:spacing w:before="360" w:after="240"/>
        <w:rPr>
          <w:rFonts w:ascii="Calibri" w:eastAsia="Calibri" w:hAnsi="Calibri" w:cs="Arial"/>
          <w:rtl/>
        </w:rPr>
      </w:pPr>
    </w:p>
    <w:p w14:paraId="3F042D8E" w14:textId="77777777" w:rsidR="0004348D" w:rsidRPr="0004348D" w:rsidRDefault="0004348D" w:rsidP="0004348D">
      <w:pPr>
        <w:keepNext/>
        <w:keepLines/>
        <w:spacing w:before="360" w:after="240"/>
        <w:outlineLvl w:val="1"/>
        <w:rPr>
          <w:rFonts w:ascii="Cambria" w:eastAsia="Times New Roman" w:hAnsi="Cambria" w:cs="Arial"/>
          <w:bCs/>
          <w:color w:val="548DD4" w:themeColor="text2" w:themeTint="99"/>
          <w:sz w:val="26"/>
          <w:szCs w:val="26"/>
          <w:rtl/>
        </w:rPr>
      </w:pPr>
      <w:bookmarkStart w:id="780" w:name="_Toc24884183"/>
      <w:r w:rsidRPr="0004348D">
        <w:rPr>
          <w:rFonts w:ascii="Cambria" w:eastAsia="Times New Roman" w:hAnsi="Cambria" w:cs="Arial"/>
          <w:bCs/>
          <w:color w:val="548DD4" w:themeColor="text2" w:themeTint="99"/>
          <w:sz w:val="26"/>
          <w:szCs w:val="26"/>
          <w:rtl/>
        </w:rPr>
        <w:t>סעיף ד: חשבון פנקס שחתמו עליו בעלי הדבר והחתימו עד אחד עמהם.</w:t>
      </w:r>
      <w:bookmarkEnd w:id="780"/>
    </w:p>
    <w:p w14:paraId="1E547063" w14:textId="77777777" w:rsidR="0004348D" w:rsidRPr="0004348D" w:rsidRDefault="0004348D" w:rsidP="0004348D">
      <w:pPr>
        <w:spacing w:before="360" w:after="240"/>
        <w:rPr>
          <w:rFonts w:ascii="Calibri" w:eastAsia="Calibri" w:hAnsi="Calibri" w:cs="Arial"/>
          <w:u w:val="single"/>
          <w:rtl/>
        </w:rPr>
      </w:pPr>
      <w:r w:rsidRPr="0004348D">
        <w:rPr>
          <w:rFonts w:ascii="Calibri" w:eastAsia="Calibri" w:hAnsi="Calibri" w:cs="Arial"/>
          <w:u w:val="single"/>
          <w:rtl/>
        </w:rPr>
        <w:t>חשבון פנקס שחתמו עליו בעלי הדבר והחתימו עד אחד עמהם:</w:t>
      </w:r>
    </w:p>
    <w:p w14:paraId="28684A9A" w14:textId="77777777" w:rsidR="0004348D" w:rsidRPr="0004348D" w:rsidRDefault="0004348D" w:rsidP="00992A87">
      <w:pPr>
        <w:numPr>
          <w:ilvl w:val="0"/>
          <w:numId w:val="358"/>
        </w:numPr>
        <w:spacing w:before="360" w:after="240"/>
        <w:contextualSpacing/>
        <w:rPr>
          <w:rFonts w:ascii="Calibri" w:eastAsia="Calibri" w:hAnsi="Calibri" w:cs="Arial"/>
          <w:rtl/>
        </w:rPr>
      </w:pPr>
      <w:r w:rsidRPr="0004348D">
        <w:rPr>
          <w:rFonts w:ascii="Calibri" w:eastAsia="Calibri" w:hAnsi="Calibri" w:cs="Arial"/>
          <w:rtl/>
        </w:rPr>
        <w:t xml:space="preserve">רא"ש </w:t>
      </w:r>
      <w:r w:rsidRPr="0004348D">
        <w:rPr>
          <w:rFonts w:ascii="Calibri" w:eastAsia="Calibri" w:hAnsi="Calibri" w:cs="Arial"/>
          <w:sz w:val="16"/>
          <w:szCs w:val="16"/>
          <w:rtl/>
        </w:rPr>
        <w:t>(סוף כלל קז סי' ו ד"ה ועוד דאמתלאות)</w:t>
      </w:r>
      <w:r w:rsidRPr="0004348D">
        <w:rPr>
          <w:rFonts w:ascii="Calibri" w:eastAsia="Calibri" w:hAnsi="Calibri" w:cs="Arial"/>
          <w:rtl/>
        </w:rPr>
        <w:t xml:space="preserve">- חשבון פנקס שחתמו עליו בעלי הדבר, והחתימו עד אחד עמהם - בהא מודי כולהו רבוותא דלא מהימן לומר פרעתי כל זמן שהפנקס ביד חבירו. </w:t>
      </w:r>
      <w:r w:rsidRPr="0004348D">
        <w:rPr>
          <w:rFonts w:ascii="Calibri" w:eastAsia="Calibri" w:hAnsi="Calibri" w:cs="Arial"/>
          <w:color w:val="E36C0A" w:themeColor="accent6" w:themeShade="BF"/>
          <w:rtl/>
        </w:rPr>
        <w:t>(וכ"פ בשו"ע)</w:t>
      </w:r>
    </w:p>
    <w:p w14:paraId="4402B81B" w14:textId="77777777" w:rsidR="0004348D" w:rsidRPr="0004348D" w:rsidRDefault="0004348D" w:rsidP="0004348D">
      <w:pPr>
        <w:spacing w:before="360" w:after="240"/>
        <w:rPr>
          <w:rFonts w:ascii="Calibri" w:eastAsia="Calibri" w:hAnsi="Calibri" w:cs="Arial"/>
          <w:u w:val="single"/>
        </w:rPr>
      </w:pPr>
      <w:r w:rsidRPr="0004348D">
        <w:rPr>
          <w:rFonts w:ascii="Calibri" w:eastAsia="Calibri" w:hAnsi="Calibri" w:cs="Arial"/>
          <w:u w:val="single"/>
          <w:rtl/>
        </w:rPr>
        <w:t>גביה מיורשים - כשאביהם התחייב בכתב ידו ומת תוך הזמן, או הודה בחליו שהוא חייב עדיין וכדו':</w:t>
      </w:r>
    </w:p>
    <w:p w14:paraId="375DCC8F" w14:textId="77777777" w:rsidR="0004348D" w:rsidRPr="0004348D" w:rsidRDefault="0004348D" w:rsidP="00992A87">
      <w:pPr>
        <w:numPr>
          <w:ilvl w:val="0"/>
          <w:numId w:val="358"/>
        </w:numPr>
        <w:spacing w:before="360" w:after="240"/>
        <w:contextualSpacing/>
        <w:rPr>
          <w:rFonts w:ascii="Calibri" w:eastAsia="Calibri" w:hAnsi="Calibri" w:cs="Arial"/>
        </w:rPr>
      </w:pPr>
      <w:r w:rsidRPr="0004348D">
        <w:rPr>
          <w:rFonts w:ascii="Calibri" w:eastAsia="Calibri" w:hAnsi="Calibri" w:cs="Arial"/>
          <w:rtl/>
        </w:rPr>
        <w:t xml:space="preserve">רשב"ץ </w:t>
      </w:r>
      <w:r w:rsidRPr="0004348D">
        <w:rPr>
          <w:rFonts w:ascii="Calibri" w:eastAsia="Calibri" w:hAnsi="Calibri" w:cs="Arial"/>
          <w:sz w:val="16"/>
          <w:szCs w:val="16"/>
          <w:rtl/>
        </w:rPr>
        <w:t>(ח"א סי' לב ד"ה ולענין, הביאו הב"י בבדה"ב)</w:t>
      </w:r>
      <w:r w:rsidRPr="0004348D">
        <w:rPr>
          <w:rFonts w:ascii="Calibri" w:eastAsia="Calibri" w:hAnsi="Calibri" w:cs="Arial"/>
          <w:rtl/>
        </w:rPr>
        <w:t xml:space="preserve"> בשם בעל התרומות- אם היה חייב בכתב ידו ומת תוך זמן או הודה בחליו שהוא חייב עדיין או נמצא כתוב בפנקסו שהוא חייב לו או נידוהו ומת בנידויו ולא נתן - הואיל ומודים שהוא כתב יד אביהם וכו' גובים מהם</w:t>
      </w:r>
      <w:r w:rsidRPr="0004348D">
        <w:rPr>
          <w:rFonts w:ascii="Calibri" w:eastAsia="Calibri" w:hAnsi="Calibri" w:cs="Arial"/>
          <w:vertAlign w:val="superscript"/>
          <w:rtl/>
        </w:rPr>
        <w:footnoteReference w:id="5556"/>
      </w:r>
      <w:r w:rsidRPr="0004348D">
        <w:rPr>
          <w:rFonts w:ascii="Calibri" w:eastAsia="Calibri" w:hAnsi="Calibri" w:cs="Arial"/>
          <w:rtl/>
        </w:rPr>
        <w:t xml:space="preserve">. </w:t>
      </w:r>
    </w:p>
    <w:p w14:paraId="247D613E" w14:textId="77777777" w:rsidR="0004348D" w:rsidRPr="0004348D" w:rsidRDefault="0004348D" w:rsidP="0004348D">
      <w:pPr>
        <w:spacing w:before="360" w:after="240"/>
        <w:rPr>
          <w:rFonts w:ascii="Calibri" w:eastAsia="Calibri" w:hAnsi="Calibri" w:cs="Arial"/>
          <w:u w:val="single"/>
        </w:rPr>
      </w:pPr>
      <w:r w:rsidRPr="0004348D">
        <w:rPr>
          <w:rFonts w:ascii="Calibri" w:eastAsia="Calibri" w:hAnsi="Calibri" w:cs="Arial"/>
          <w:u w:val="single"/>
          <w:rtl/>
        </w:rPr>
        <w:t>כתב לו בכתב ידו ונתנו לו בפני עדים:</w:t>
      </w:r>
    </w:p>
    <w:p w14:paraId="79085273" w14:textId="77777777" w:rsidR="0004348D" w:rsidRPr="0004348D" w:rsidRDefault="0004348D" w:rsidP="00992A87">
      <w:pPr>
        <w:numPr>
          <w:ilvl w:val="0"/>
          <w:numId w:val="358"/>
        </w:numPr>
        <w:spacing w:before="360" w:after="240"/>
        <w:contextualSpacing/>
        <w:rPr>
          <w:rFonts w:ascii="Calibri" w:eastAsia="Calibri" w:hAnsi="Calibri" w:cs="Arial"/>
          <w:rtl/>
        </w:rPr>
      </w:pPr>
      <w:r w:rsidRPr="0004348D">
        <w:rPr>
          <w:rFonts w:ascii="Calibri" w:eastAsia="Calibri" w:hAnsi="Calibri" w:cs="Arial"/>
          <w:rtl/>
        </w:rPr>
        <w:t>טור- כתב לו בכתב ידו ונתנו לו בפני עדים - זהו שטר חוב גמור וגובה בו ממשעבדי משעת מסירה, דקיי"ל עדי מסירה כרתי. ואפילו אם לא היה כתב ידו היה לו דין שטר גמור אע"פ שפסק רב אלפס שאין הלכה כרבי אלעזר דאמר עדי מסירה כרתי אלא בגיטין אבל לא בשאר שטרות, ר"י פסק כרבי אלעזר אף בשאר שטרות וכן היא מסקנת אדוני אבי הרא"ש ז"ל</w:t>
      </w:r>
      <w:r w:rsidRPr="0004348D">
        <w:rPr>
          <w:rFonts w:ascii="Calibri" w:eastAsia="Calibri" w:hAnsi="Calibri" w:cs="Arial"/>
          <w:vertAlign w:val="superscript"/>
          <w:rtl/>
        </w:rPr>
        <w:footnoteReference w:id="5557"/>
      </w:r>
      <w:r w:rsidRPr="0004348D">
        <w:rPr>
          <w:rFonts w:ascii="Calibri" w:eastAsia="Calibri" w:hAnsi="Calibri" w:cs="Arial"/>
          <w:rtl/>
        </w:rPr>
        <w:t>.</w:t>
      </w:r>
    </w:p>
    <w:p w14:paraId="4F4FF831" w14:textId="77777777" w:rsidR="0004348D" w:rsidRPr="0004348D" w:rsidRDefault="0004348D" w:rsidP="0004348D">
      <w:pPr>
        <w:spacing w:before="360" w:after="240"/>
        <w:rPr>
          <w:rFonts w:ascii="Calibri" w:eastAsia="Calibri" w:hAnsi="Calibri" w:cs="Arial"/>
          <w:u w:val="single"/>
        </w:rPr>
      </w:pPr>
      <w:r w:rsidRPr="0004348D">
        <w:rPr>
          <w:rFonts w:ascii="Calibri" w:eastAsia="Calibri" w:hAnsi="Calibri" w:cs="Arial"/>
          <w:u w:val="single"/>
          <w:rtl/>
        </w:rPr>
        <w:t>ראובן הוציא כתב יד על שמעון – ושמעון טוען 'כתבתיו להתעסק ונגנב/נפל/נאבד ממני':</w:t>
      </w:r>
    </w:p>
    <w:p w14:paraId="49F157BA" w14:textId="77777777" w:rsidR="0004348D" w:rsidRPr="0004348D" w:rsidRDefault="0004348D" w:rsidP="00992A87">
      <w:pPr>
        <w:numPr>
          <w:ilvl w:val="0"/>
          <w:numId w:val="358"/>
        </w:numPr>
        <w:spacing w:before="360" w:after="240"/>
        <w:contextualSpacing/>
        <w:rPr>
          <w:rFonts w:ascii="Calibri" w:eastAsia="Calibri" w:hAnsi="Calibri" w:cs="Arial"/>
        </w:rPr>
      </w:pPr>
      <w:r w:rsidRPr="0004348D">
        <w:rPr>
          <w:rFonts w:ascii="Calibri" w:eastAsia="Calibri" w:hAnsi="Calibri" w:cs="Arial"/>
          <w:rtl/>
        </w:rPr>
        <w:t xml:space="preserve">רשב"א </w:t>
      </w:r>
      <w:r w:rsidRPr="0004348D">
        <w:rPr>
          <w:rFonts w:ascii="Calibri" w:eastAsia="Calibri" w:hAnsi="Calibri" w:cs="Arial"/>
          <w:sz w:val="16"/>
          <w:szCs w:val="16"/>
          <w:rtl/>
        </w:rPr>
        <w:t>(ח"ג סי' כד)</w:t>
      </w:r>
      <w:r w:rsidRPr="0004348D">
        <w:rPr>
          <w:rFonts w:ascii="Calibri" w:eastAsia="Calibri" w:hAnsi="Calibri" w:cs="Arial"/>
          <w:rtl/>
        </w:rPr>
        <w:t xml:space="preserve">- שאלת, ראובן טוען על שמעון 'הנה כתב ידך בכמה מכרת סחורתי ובכמה קנית והוא יותר ממה שהודית לי', ושמעון טוען 'לא כתבתיו אלא להתעסק, לא להיות לך לראיה, וגם לא כתבתי שמי בו ולא בא מידי לידך, ונגנב או נאבד או נפל ממני ומצאתו'. תשובה, אין בטענות שמעון כלום שמה שטוען ממני נפל ומצאתו - לנפילה לא חיישינן כדאיתא בס"פ גט פשוט </w:t>
      </w:r>
      <w:r w:rsidRPr="0004348D">
        <w:rPr>
          <w:rFonts w:ascii="Calibri" w:eastAsia="Calibri" w:hAnsi="Calibri" w:cs="Arial"/>
          <w:sz w:val="16"/>
          <w:szCs w:val="16"/>
          <w:rtl/>
        </w:rPr>
        <w:t xml:space="preserve">(ב"ב קעב:) </w:t>
      </w:r>
      <w:r w:rsidRPr="0004348D">
        <w:rPr>
          <w:rFonts w:ascii="Calibri" w:eastAsia="Calibri" w:hAnsi="Calibri" w:cs="Arial"/>
          <w:rtl/>
        </w:rPr>
        <w:t xml:space="preserve">ופרק האשה שלום </w:t>
      </w:r>
      <w:r w:rsidRPr="0004348D">
        <w:rPr>
          <w:rFonts w:ascii="Calibri" w:eastAsia="Calibri" w:hAnsi="Calibri" w:cs="Arial"/>
          <w:sz w:val="16"/>
          <w:szCs w:val="16"/>
          <w:rtl/>
        </w:rPr>
        <w:t>(יבמות קטז.)</w:t>
      </w:r>
      <w:r w:rsidRPr="0004348D">
        <w:rPr>
          <w:rFonts w:ascii="Calibri" w:eastAsia="Calibri" w:hAnsi="Calibri" w:cs="Arial"/>
          <w:rtl/>
        </w:rPr>
        <w:t>. וכן נמי לגניבה לא חיישינן. גם ממה שטען להתעסק כתבתיו - אין בו ממש, דאין אדם מתעסק וכותב להפסיד עצמו.</w:t>
      </w:r>
    </w:p>
    <w:p w14:paraId="4ABF51F0" w14:textId="77777777" w:rsidR="0004348D" w:rsidRPr="0004348D" w:rsidRDefault="0004348D" w:rsidP="0004348D">
      <w:pPr>
        <w:spacing w:before="360" w:after="240"/>
        <w:rPr>
          <w:rFonts w:ascii="Calibri" w:eastAsia="Calibri" w:hAnsi="Calibri" w:cs="Arial"/>
          <w:u w:val="single"/>
        </w:rPr>
      </w:pPr>
      <w:r w:rsidRPr="0004348D">
        <w:rPr>
          <w:rFonts w:ascii="Calibri" w:eastAsia="Calibri" w:hAnsi="Calibri" w:cs="Arial"/>
          <w:u w:val="single"/>
          <w:rtl/>
        </w:rPr>
        <w:t xml:space="preserve">בן שמחזיק בכתב יד שהתחייב בו אביו לפלוני, ופלוני תובעו לשלם לו – האם נאמן הבן לומר פרעתי </w:t>
      </w:r>
      <w:r w:rsidRPr="0004348D">
        <w:rPr>
          <w:rFonts w:ascii="Calibri" w:eastAsia="Calibri" w:hAnsi="Calibri" w:cs="Arial"/>
          <w:b/>
          <w:bCs/>
          <w:u w:val="single"/>
          <w:rtl/>
        </w:rPr>
        <w:t>ללא שבועה</w:t>
      </w:r>
      <w:r w:rsidRPr="0004348D">
        <w:rPr>
          <w:rFonts w:ascii="Calibri" w:eastAsia="Calibri" w:hAnsi="Calibri" w:cs="Arial"/>
          <w:u w:val="single"/>
          <w:rtl/>
        </w:rPr>
        <w:t>:</w:t>
      </w:r>
    </w:p>
    <w:p w14:paraId="28B73616" w14:textId="77777777" w:rsidR="0004348D" w:rsidRPr="0004348D" w:rsidRDefault="0004348D" w:rsidP="00992A87">
      <w:pPr>
        <w:numPr>
          <w:ilvl w:val="0"/>
          <w:numId w:val="358"/>
        </w:numPr>
        <w:spacing w:before="360" w:after="240"/>
        <w:contextualSpacing/>
        <w:rPr>
          <w:rFonts w:ascii="Calibri" w:eastAsia="Calibri" w:hAnsi="Calibri" w:cs="Arial"/>
        </w:rPr>
      </w:pPr>
      <w:r w:rsidRPr="0004348D">
        <w:rPr>
          <w:rFonts w:ascii="Calibri" w:eastAsia="Calibri" w:hAnsi="Calibri" w:cs="Arial"/>
          <w:rtl/>
        </w:rPr>
        <w:t xml:space="preserve">מהרי"ק </w:t>
      </w:r>
      <w:r w:rsidRPr="0004348D">
        <w:rPr>
          <w:rFonts w:ascii="Calibri" w:eastAsia="Calibri" w:hAnsi="Calibri" w:cs="Arial"/>
          <w:sz w:val="16"/>
          <w:szCs w:val="16"/>
          <w:rtl/>
        </w:rPr>
        <w:t>(שורש קמ)</w:t>
      </w:r>
      <w:r w:rsidRPr="0004348D">
        <w:rPr>
          <w:rFonts w:ascii="Calibri" w:eastAsia="Calibri" w:hAnsi="Calibri" w:cs="Arial"/>
          <w:rtl/>
        </w:rPr>
        <w:t>- הנתבע מחמת שיש לו כתיבת יד על אביו</w:t>
      </w:r>
      <w:r w:rsidRPr="0004348D">
        <w:rPr>
          <w:rFonts w:ascii="Calibri" w:eastAsia="Calibri" w:hAnsi="Calibri" w:cs="Arial"/>
          <w:sz w:val="16"/>
          <w:szCs w:val="16"/>
          <w:rtl/>
        </w:rPr>
        <w:t xml:space="preserve"> {של היורש}</w:t>
      </w:r>
      <w:r w:rsidRPr="0004348D">
        <w:rPr>
          <w:rFonts w:ascii="Calibri" w:eastAsia="Calibri" w:hAnsi="Calibri" w:cs="Arial"/>
          <w:rtl/>
        </w:rPr>
        <w:t xml:space="preserve"> - נאמן הבן לומר פרוע הוא, ואין צריך שבועה. ואפילו כשהערב מודה שאינו פרוע.</w:t>
      </w:r>
    </w:p>
    <w:p w14:paraId="17A2B1ED" w14:textId="77777777" w:rsidR="0004348D" w:rsidRPr="0004348D" w:rsidRDefault="0004348D" w:rsidP="0004348D">
      <w:pPr>
        <w:spacing w:before="360" w:after="240"/>
        <w:rPr>
          <w:rFonts w:ascii="Arial" w:eastAsia="Calibri" w:hAnsi="Arial" w:cs="Arial"/>
          <w:b/>
          <w:bCs/>
          <w:color w:val="000000"/>
          <w:sz w:val="28"/>
          <w:szCs w:val="28"/>
          <w:u w:val="single"/>
          <w:rtl/>
        </w:rPr>
      </w:pPr>
      <w:r w:rsidRPr="0004348D">
        <w:rPr>
          <w:rFonts w:ascii="Arial" w:eastAsia="Calibri" w:hAnsi="Arial" w:cs="Arial"/>
          <w:b/>
          <w:bCs/>
          <w:color w:val="000000"/>
          <w:sz w:val="28"/>
          <w:szCs w:val="28"/>
          <w:u w:val="single"/>
          <w:rtl/>
        </w:rPr>
        <w:t>שו"ע:</w:t>
      </w:r>
    </w:p>
    <w:p w14:paraId="579092F5" w14:textId="77777777" w:rsidR="0004348D" w:rsidRPr="0004348D" w:rsidRDefault="0004348D" w:rsidP="0004348D">
      <w:pPr>
        <w:spacing w:before="360" w:after="240"/>
        <w:rPr>
          <w:rFonts w:ascii="Calibri" w:eastAsia="Calibri" w:hAnsi="Calibri" w:cs="Arial"/>
          <w:rtl/>
        </w:rPr>
      </w:pPr>
      <w:r w:rsidRPr="0004348D">
        <w:rPr>
          <w:rFonts w:ascii="Calibri" w:eastAsia="Calibri" w:hAnsi="Calibri" w:cs="Arial"/>
          <w:rtl/>
        </w:rPr>
        <w:t>פנקס</w:t>
      </w:r>
      <w:r w:rsidRPr="0004348D">
        <w:rPr>
          <w:rFonts w:ascii="Calibri" w:eastAsia="Calibri" w:hAnsi="Calibri" w:cs="Arial"/>
          <w:vertAlign w:val="superscript"/>
          <w:rtl/>
        </w:rPr>
        <w:footnoteReference w:id="5558"/>
      </w:r>
      <w:r w:rsidRPr="0004348D">
        <w:rPr>
          <w:rFonts w:ascii="Calibri" w:eastAsia="Calibri" w:hAnsi="Calibri" w:cs="Arial"/>
          <w:rtl/>
        </w:rPr>
        <w:t xml:space="preserve"> שחתמו עליו בעלי הדבר, והחתימו עד אחד עמהם, אינו נאמן לומר פרעתי, כל זמן שהפנקס ביד חבירו</w:t>
      </w:r>
      <w:r w:rsidRPr="0004348D">
        <w:rPr>
          <w:rFonts w:ascii="Calibri" w:eastAsia="Calibri" w:hAnsi="Calibri" w:cs="Arial"/>
          <w:vertAlign w:val="superscript"/>
          <w:rtl/>
        </w:rPr>
        <w:footnoteReference w:id="5559"/>
      </w:r>
      <w:r w:rsidRPr="0004348D">
        <w:rPr>
          <w:rFonts w:ascii="Calibri" w:eastAsia="Calibri" w:hAnsi="Calibri" w:cs="Arial"/>
          <w:rtl/>
        </w:rPr>
        <w:t xml:space="preserve">. </w:t>
      </w:r>
    </w:p>
    <w:p w14:paraId="6062B43E" w14:textId="77777777" w:rsidR="0004348D" w:rsidRPr="0004348D" w:rsidRDefault="0004348D" w:rsidP="0004348D">
      <w:pPr>
        <w:spacing w:before="360" w:after="240"/>
        <w:rPr>
          <w:rFonts w:ascii="Calibri" w:eastAsia="Calibri" w:hAnsi="Calibri" w:cs="Arial"/>
          <w:rtl/>
        </w:rPr>
      </w:pPr>
    </w:p>
    <w:p w14:paraId="45A9964D" w14:textId="77777777" w:rsidR="0004348D" w:rsidRPr="0004348D" w:rsidRDefault="0004348D" w:rsidP="0004348D">
      <w:pPr>
        <w:keepNext/>
        <w:keepLines/>
        <w:spacing w:before="360" w:after="240"/>
        <w:outlineLvl w:val="1"/>
        <w:rPr>
          <w:rFonts w:ascii="Cambria" w:eastAsia="Times New Roman" w:hAnsi="Cambria" w:cs="Arial"/>
          <w:bCs/>
          <w:color w:val="548DD4" w:themeColor="text2" w:themeTint="99"/>
          <w:sz w:val="26"/>
          <w:szCs w:val="26"/>
          <w:rtl/>
        </w:rPr>
      </w:pPr>
      <w:bookmarkStart w:id="781" w:name="_Toc24884184"/>
      <w:r w:rsidRPr="0004348D">
        <w:rPr>
          <w:rFonts w:ascii="Cambria" w:eastAsia="Times New Roman" w:hAnsi="Cambria" w:cs="Arial"/>
          <w:bCs/>
          <w:color w:val="548DD4" w:themeColor="text2" w:themeTint="99"/>
          <w:sz w:val="26"/>
          <w:szCs w:val="26"/>
          <w:rtl/>
        </w:rPr>
        <w:t>סעיף ה: הוציא כתב יד הלוה על יורשיו.</w:t>
      </w:r>
      <w:bookmarkEnd w:id="781"/>
    </w:p>
    <w:p w14:paraId="15F7D168" w14:textId="77777777" w:rsidR="0004348D" w:rsidRPr="0004348D" w:rsidRDefault="0004348D" w:rsidP="0004348D">
      <w:pPr>
        <w:spacing w:before="360" w:after="240"/>
        <w:rPr>
          <w:rFonts w:ascii="Calibri" w:eastAsia="Calibri" w:hAnsi="Calibri" w:cs="Arial"/>
          <w:u w:val="single"/>
          <w:rtl/>
        </w:rPr>
      </w:pPr>
      <w:r w:rsidRPr="0004348D">
        <w:rPr>
          <w:rFonts w:ascii="Calibri" w:eastAsia="Calibri" w:hAnsi="Calibri" w:cs="Arial"/>
          <w:u w:val="single"/>
          <w:rtl/>
        </w:rPr>
        <w:t>מי שהוציא כתב יד הלוה על יורשיו – האם טענינן ליה:</w:t>
      </w:r>
    </w:p>
    <w:p w14:paraId="5F29368E" w14:textId="77777777" w:rsidR="0004348D" w:rsidRPr="0004348D" w:rsidRDefault="0004348D" w:rsidP="00992A87">
      <w:pPr>
        <w:numPr>
          <w:ilvl w:val="0"/>
          <w:numId w:val="358"/>
        </w:numPr>
        <w:spacing w:before="360" w:after="240"/>
        <w:contextualSpacing/>
        <w:rPr>
          <w:rFonts w:ascii="Calibri" w:eastAsia="Calibri" w:hAnsi="Calibri" w:cs="Arial"/>
          <w:rtl/>
        </w:rPr>
      </w:pPr>
      <w:r w:rsidRPr="0004348D">
        <w:rPr>
          <w:rFonts w:ascii="Calibri" w:eastAsia="Calibri" w:hAnsi="Calibri" w:cs="Arial"/>
          <w:rtl/>
        </w:rPr>
        <w:t>טור- מי שהוציא כתב יד הלוה על יורשיו, אע"פ שמודים שהוא כתב יד אביהם - אנו טוענין להם שפרוע הוא</w:t>
      </w:r>
      <w:r w:rsidRPr="0004348D">
        <w:rPr>
          <w:rFonts w:ascii="Calibri" w:eastAsia="Calibri" w:hAnsi="Calibri" w:cs="Arial"/>
          <w:vertAlign w:val="superscript"/>
          <w:rtl/>
        </w:rPr>
        <w:footnoteReference w:id="5560"/>
      </w:r>
      <w:r w:rsidRPr="0004348D">
        <w:rPr>
          <w:rFonts w:ascii="Calibri" w:eastAsia="Calibri" w:hAnsi="Calibri" w:cs="Arial"/>
          <w:rtl/>
        </w:rPr>
        <w:t xml:space="preserve">. </w:t>
      </w:r>
      <w:r w:rsidRPr="0004348D">
        <w:rPr>
          <w:rFonts w:ascii="Calibri" w:eastAsia="Calibri" w:hAnsi="Calibri" w:cs="Arial"/>
          <w:color w:val="E36C0A" w:themeColor="accent6" w:themeShade="BF"/>
          <w:rtl/>
        </w:rPr>
        <w:t>(וכ"פ בשו"ע)</w:t>
      </w:r>
    </w:p>
    <w:p w14:paraId="4B1ED321" w14:textId="77777777" w:rsidR="0004348D" w:rsidRPr="0004348D" w:rsidRDefault="0004348D" w:rsidP="0004348D">
      <w:pPr>
        <w:spacing w:before="360" w:after="240"/>
        <w:ind w:left="360"/>
        <w:rPr>
          <w:rFonts w:ascii="Calibri" w:eastAsia="Calibri" w:hAnsi="Calibri" w:cs="Arial"/>
          <w:u w:val="dotted"/>
        </w:rPr>
      </w:pPr>
      <w:r w:rsidRPr="0004348D">
        <w:rPr>
          <w:rFonts w:ascii="Calibri" w:eastAsia="Calibri" w:hAnsi="Calibri" w:cs="Arial"/>
          <w:u w:val="dotted"/>
          <w:rtl/>
        </w:rPr>
        <w:t xml:space="preserve">האם צריכים היורשים להישבע היסת: </w:t>
      </w:r>
    </w:p>
    <w:p w14:paraId="78968841" w14:textId="77777777" w:rsidR="0004348D" w:rsidRPr="0004348D" w:rsidRDefault="0004348D" w:rsidP="00992A87">
      <w:pPr>
        <w:numPr>
          <w:ilvl w:val="0"/>
          <w:numId w:val="358"/>
        </w:numPr>
        <w:spacing w:before="360" w:after="240"/>
        <w:contextualSpacing/>
        <w:rPr>
          <w:rFonts w:ascii="Calibri" w:eastAsia="Calibri" w:hAnsi="Calibri" w:cs="Arial"/>
        </w:rPr>
      </w:pPr>
      <w:r w:rsidRPr="0004348D">
        <w:rPr>
          <w:rFonts w:ascii="Calibri" w:eastAsia="Calibri" w:hAnsi="Calibri" w:cs="Arial"/>
          <w:rtl/>
        </w:rPr>
        <w:t xml:space="preserve">בעל התרומות </w:t>
      </w:r>
      <w:r w:rsidRPr="0004348D">
        <w:rPr>
          <w:rFonts w:ascii="Calibri" w:eastAsia="Calibri" w:hAnsi="Calibri" w:cs="Arial"/>
          <w:sz w:val="16"/>
          <w:szCs w:val="16"/>
          <w:rtl/>
        </w:rPr>
        <w:t>(שער יג ח"ב סי' א)</w:t>
      </w:r>
      <w:r w:rsidRPr="0004348D">
        <w:rPr>
          <w:rFonts w:ascii="Calibri" w:eastAsia="Calibri" w:hAnsi="Calibri" w:cs="Arial"/>
          <w:rtl/>
        </w:rPr>
        <w:t xml:space="preserve">- נשבעין היסת שלא אמר להם אביהם שהוא חייב חוב זה. </w:t>
      </w:r>
    </w:p>
    <w:p w14:paraId="41F61BB3" w14:textId="77777777" w:rsidR="0004348D" w:rsidRPr="0004348D" w:rsidRDefault="0004348D" w:rsidP="00992A87">
      <w:pPr>
        <w:numPr>
          <w:ilvl w:val="0"/>
          <w:numId w:val="358"/>
        </w:numPr>
        <w:spacing w:before="360" w:after="240"/>
        <w:contextualSpacing/>
        <w:rPr>
          <w:rFonts w:ascii="Calibri" w:eastAsia="Calibri" w:hAnsi="Calibri" w:cs="Arial"/>
        </w:rPr>
      </w:pPr>
      <w:r w:rsidRPr="0004348D">
        <w:rPr>
          <w:rFonts w:ascii="Calibri" w:eastAsia="Calibri" w:hAnsi="Calibri" w:cs="Arial"/>
          <w:rtl/>
        </w:rPr>
        <w:t>רב פלטוי מהר"ם רשב"א רא"ש וטור</w:t>
      </w:r>
      <w:r w:rsidRPr="0004348D">
        <w:rPr>
          <w:rFonts w:ascii="Calibri" w:eastAsia="Calibri" w:hAnsi="Calibri" w:cs="Arial"/>
          <w:vertAlign w:val="superscript"/>
          <w:rtl/>
        </w:rPr>
        <w:footnoteReference w:id="5561"/>
      </w:r>
      <w:r w:rsidRPr="0004348D">
        <w:rPr>
          <w:rFonts w:ascii="Calibri" w:eastAsia="Calibri" w:hAnsi="Calibri" w:cs="Arial"/>
          <w:rtl/>
        </w:rPr>
        <w:t xml:space="preserve">- </w:t>
      </w:r>
      <w:r w:rsidRPr="0004348D">
        <w:rPr>
          <w:rFonts w:ascii="Calibri" w:eastAsia="Calibri" w:hAnsi="Calibri" w:cs="Arial"/>
          <w:vertAlign w:val="superscript"/>
          <w:rtl/>
        </w:rPr>
        <w:footnoteReference w:id="5562"/>
      </w:r>
      <w:r w:rsidRPr="0004348D">
        <w:rPr>
          <w:rFonts w:ascii="Calibri" w:eastAsia="Calibri" w:hAnsi="Calibri" w:cs="Arial"/>
          <w:rtl/>
        </w:rPr>
        <w:t>ששאלת ראובן הוציא כתב יד שמעון על יורשיו שהוא חייב לו מנה. והם אומרים אע"פ שהוא כתב יד אבינו שמא פרע. תשובה, הדין עם היורשין, ואם היה אביהם קיים היה נשבע שפרע, והיורשים פטורים בלא שבועה</w:t>
      </w:r>
      <w:r w:rsidRPr="0004348D">
        <w:rPr>
          <w:rFonts w:ascii="Calibri" w:eastAsia="Calibri" w:hAnsi="Calibri" w:cs="Arial"/>
          <w:vertAlign w:val="superscript"/>
          <w:rtl/>
        </w:rPr>
        <w:footnoteReference w:id="5563"/>
      </w:r>
      <w:r w:rsidRPr="0004348D">
        <w:rPr>
          <w:rFonts w:ascii="Calibri" w:eastAsia="Calibri" w:hAnsi="Calibri" w:cs="Arial"/>
          <w:rtl/>
        </w:rPr>
        <w:t>, שלא נתקנה שבועת היסת אלא בין טוען לנטען אבל לא על היורשין. והא דנשבעין יורשין שבועה שלא פקדנו אבא היינו כשבאין לגבות בשטר שהניח להן אביהן, אבל להחזיק מה שבידם אפילו שבועה לא בעו, אלא מחרימין סתם במעמד היורשים שכל מי שיודע בממון זה אם פרוע שיודה ואם אינו פרוע שיעידו, וגם היורשין יאמרו אם יודעים שאינו פרוע</w:t>
      </w:r>
      <w:r w:rsidRPr="0004348D">
        <w:rPr>
          <w:rFonts w:ascii="Calibri" w:eastAsia="Calibri" w:hAnsi="Calibri" w:cs="Arial"/>
          <w:vertAlign w:val="superscript"/>
          <w:rtl/>
        </w:rPr>
        <w:footnoteReference w:id="5564"/>
      </w:r>
      <w:r w:rsidRPr="0004348D">
        <w:rPr>
          <w:rFonts w:ascii="Calibri" w:eastAsia="Calibri" w:hAnsi="Calibri" w:cs="Arial"/>
          <w:rtl/>
        </w:rPr>
        <w:t xml:space="preserve">. וגם השאלה השנייה שראובן הוציא פסק דין על יורשי שמעון שאביהם נתחייב לו שבועה על עסק תביעת ממון והם אומרים שמא נשבע או פרע לך - היא בכלל תשובה זו כיון שאביהם לא היה חייב אלא שבועה הם פטורים אף בלא שבועה, אלא מחרימין סתם במעמד היורשין כמפורש לעיל </w:t>
      </w:r>
      <w:r w:rsidRPr="0004348D">
        <w:rPr>
          <w:rFonts w:ascii="Calibri" w:eastAsia="Calibri" w:hAnsi="Calibri" w:cs="Arial"/>
          <w:sz w:val="16"/>
          <w:szCs w:val="16"/>
          <w:rtl/>
        </w:rPr>
        <w:t>(ל' הרא"ש)</w:t>
      </w:r>
      <w:r w:rsidRPr="0004348D">
        <w:rPr>
          <w:rFonts w:ascii="Calibri" w:eastAsia="Calibri" w:hAnsi="Calibri" w:cs="Arial"/>
          <w:rtl/>
        </w:rPr>
        <w:t xml:space="preserve">. </w:t>
      </w:r>
      <w:r w:rsidRPr="0004348D">
        <w:rPr>
          <w:rFonts w:ascii="Calibri" w:eastAsia="Calibri" w:hAnsi="Calibri" w:cs="Arial"/>
          <w:color w:val="E36C0A" w:themeColor="accent6" w:themeShade="BF"/>
          <w:rtl/>
        </w:rPr>
        <w:t>(וכ"פ בשו"ע</w:t>
      </w:r>
      <w:r w:rsidRPr="0004348D">
        <w:rPr>
          <w:rFonts w:ascii="Calibri" w:eastAsia="Calibri" w:hAnsi="Calibri" w:cs="Arial"/>
          <w:color w:val="E36C0A" w:themeColor="accent6" w:themeShade="BF"/>
          <w:sz w:val="16"/>
          <w:szCs w:val="16"/>
          <w:rtl/>
        </w:rPr>
        <w:t xml:space="preserve"> </w:t>
      </w:r>
      <w:r w:rsidRPr="0004348D">
        <w:rPr>
          <w:rFonts w:ascii="Calibri" w:eastAsia="Calibri" w:hAnsi="Calibri" w:cs="Arial"/>
          <w:color w:val="000000" w:themeColor="text1"/>
          <w:sz w:val="16"/>
          <w:szCs w:val="16"/>
          <w:rtl/>
        </w:rPr>
        <w:t>[כאן ובסע' הבא]</w:t>
      </w:r>
      <w:r w:rsidRPr="0004348D">
        <w:rPr>
          <w:rFonts w:ascii="Calibri" w:eastAsia="Calibri" w:hAnsi="Calibri" w:cs="Arial"/>
          <w:color w:val="E36C0A" w:themeColor="accent6" w:themeShade="BF"/>
          <w:rtl/>
        </w:rPr>
        <w:t>)</w:t>
      </w:r>
      <w:r w:rsidRPr="0004348D">
        <w:rPr>
          <w:rFonts w:ascii="Calibri" w:eastAsia="Calibri" w:hAnsi="Calibri" w:cs="Arial"/>
          <w:color w:val="00B0F0"/>
          <w:rtl/>
        </w:rPr>
        <w:t xml:space="preserve"> (וכ"פ הרמ"א)</w:t>
      </w:r>
    </w:p>
    <w:p w14:paraId="1991860F" w14:textId="77777777" w:rsidR="0004348D" w:rsidRPr="0004348D" w:rsidRDefault="0004348D" w:rsidP="0004348D">
      <w:pPr>
        <w:spacing w:before="360" w:after="240"/>
        <w:ind w:left="360"/>
        <w:rPr>
          <w:rFonts w:ascii="Calibri" w:eastAsia="Calibri" w:hAnsi="Calibri" w:cs="Arial"/>
          <w:u w:val="dotted"/>
        </w:rPr>
      </w:pPr>
      <w:r w:rsidRPr="0004348D">
        <w:rPr>
          <w:rFonts w:ascii="Calibri" w:eastAsia="Calibri" w:hAnsi="Calibri" w:cs="Arial"/>
          <w:u w:val="dotted"/>
          <w:rtl/>
        </w:rPr>
        <w:t xml:space="preserve">ומה הדין אם מת תוך זמן ההלואה ואז הוציא עליהם כתב ידו </w:t>
      </w:r>
      <w:r w:rsidRPr="0004348D">
        <w:rPr>
          <w:rFonts w:ascii="Calibri" w:eastAsia="Calibri" w:hAnsi="Calibri" w:cs="Arial"/>
          <w:sz w:val="16"/>
          <w:szCs w:val="16"/>
          <w:u w:val="dotted"/>
          <w:rtl/>
        </w:rPr>
        <w:t>(או שצוה בחליו שהוא חייב לו או שנדוהו כדי שיתן ומת בנדויו)</w:t>
      </w:r>
      <w:r w:rsidRPr="0004348D">
        <w:rPr>
          <w:rFonts w:ascii="Calibri" w:eastAsia="Calibri" w:hAnsi="Calibri" w:cs="Arial"/>
          <w:u w:val="dotted"/>
          <w:rtl/>
        </w:rPr>
        <w:t>:</w:t>
      </w:r>
    </w:p>
    <w:p w14:paraId="7ED0B3BA" w14:textId="77777777" w:rsidR="0004348D" w:rsidRPr="0004348D" w:rsidRDefault="0004348D" w:rsidP="00992A87">
      <w:pPr>
        <w:numPr>
          <w:ilvl w:val="0"/>
          <w:numId w:val="358"/>
        </w:numPr>
        <w:spacing w:before="360" w:after="240"/>
        <w:contextualSpacing/>
        <w:rPr>
          <w:rFonts w:ascii="Calibri" w:eastAsia="Calibri" w:hAnsi="Calibri" w:cs="Arial"/>
        </w:rPr>
      </w:pPr>
      <w:r w:rsidRPr="0004348D">
        <w:rPr>
          <w:rFonts w:ascii="Calibri" w:eastAsia="Calibri" w:hAnsi="Calibri" w:cs="Arial"/>
          <w:rtl/>
        </w:rPr>
        <w:t xml:space="preserve">בעל התרומות </w:t>
      </w:r>
      <w:r w:rsidRPr="0004348D">
        <w:rPr>
          <w:rFonts w:ascii="Calibri" w:eastAsia="Calibri" w:hAnsi="Calibri" w:cs="Arial"/>
          <w:sz w:val="16"/>
          <w:szCs w:val="16"/>
          <w:rtl/>
        </w:rPr>
        <w:t>(שער יג ח"ב סי' א)</w:t>
      </w:r>
      <w:r w:rsidRPr="0004348D">
        <w:rPr>
          <w:rFonts w:ascii="Calibri" w:eastAsia="Calibri" w:hAnsi="Calibri" w:cs="Arial"/>
          <w:rtl/>
        </w:rPr>
        <w:t>- אם הוא תוך הזמן או שהודה החייב וצוה בחליו שהוא חייב לו כך וכך בכתיבת ידו או שנדוהו כדי שיתן ומת בנדויו ולא נתן, הואיל ומודים שהוא כתב יד אביהן או שהיה כתב יד אביהם יוצא ממקום אחר או שיש עדים שהוא כתב ידו - גובין מהם. ואם אין כתב ידו יוצא ממקום אחר וגם אין עדים שיקיימוהו אע"פ שהוא תוך הזמן או שיש אחד מאלו הדרכים - אין גובין</w:t>
      </w:r>
      <w:r w:rsidRPr="0004348D">
        <w:rPr>
          <w:rFonts w:ascii="Calibri" w:eastAsia="Calibri" w:hAnsi="Calibri" w:cs="Arial"/>
          <w:vertAlign w:val="superscript"/>
          <w:rtl/>
        </w:rPr>
        <w:footnoteReference w:id="5565"/>
      </w:r>
      <w:r w:rsidRPr="0004348D">
        <w:rPr>
          <w:rFonts w:ascii="Calibri" w:eastAsia="Calibri" w:hAnsi="Calibri" w:cs="Arial"/>
          <w:rtl/>
        </w:rPr>
        <w:t xml:space="preserve"> אותו דשמא מזוייף הוא, ונשבעין היסת שאינו כתיבת יד אביהם.</w:t>
      </w:r>
    </w:p>
    <w:p w14:paraId="278BF54F" w14:textId="77777777" w:rsidR="0004348D" w:rsidRPr="0004348D" w:rsidRDefault="0004348D" w:rsidP="0004348D">
      <w:pPr>
        <w:spacing w:before="360" w:after="240"/>
        <w:rPr>
          <w:rFonts w:ascii="Calibri" w:eastAsia="Calibri" w:hAnsi="Calibri" w:cs="Arial"/>
          <w:u w:val="single"/>
        </w:rPr>
      </w:pPr>
      <w:r w:rsidRPr="0004348D">
        <w:rPr>
          <w:rFonts w:ascii="Calibri" w:eastAsia="Calibri" w:hAnsi="Calibri" w:cs="Arial"/>
          <w:u w:val="single"/>
          <w:rtl/>
        </w:rPr>
        <w:t>הטוען על כתב ידו ואמר 'לאו חתימת ידי הוא':</w:t>
      </w:r>
    </w:p>
    <w:p w14:paraId="3F4EB296" w14:textId="77777777" w:rsidR="0004348D" w:rsidRPr="0004348D" w:rsidRDefault="0004348D" w:rsidP="00992A87">
      <w:pPr>
        <w:numPr>
          <w:ilvl w:val="0"/>
          <w:numId w:val="358"/>
        </w:numPr>
        <w:spacing w:before="360" w:after="240"/>
        <w:contextualSpacing/>
        <w:rPr>
          <w:rFonts w:ascii="Calibri" w:eastAsia="Calibri" w:hAnsi="Calibri" w:cs="Arial"/>
        </w:rPr>
      </w:pPr>
      <w:r w:rsidRPr="0004348D">
        <w:rPr>
          <w:rFonts w:ascii="Calibri" w:eastAsia="Calibri" w:hAnsi="Calibri" w:cs="Arial"/>
          <w:rtl/>
        </w:rPr>
        <w:t xml:space="preserve">ספר התרומות </w:t>
      </w:r>
      <w:r w:rsidRPr="0004348D">
        <w:rPr>
          <w:rFonts w:ascii="Calibri" w:eastAsia="Calibri" w:hAnsi="Calibri" w:cs="Arial"/>
          <w:sz w:val="16"/>
          <w:szCs w:val="16"/>
          <w:rtl/>
        </w:rPr>
        <w:t>(שער יג ח"ג סי' ג)</w:t>
      </w:r>
      <w:r w:rsidRPr="0004348D">
        <w:rPr>
          <w:rFonts w:ascii="Calibri" w:eastAsia="Calibri" w:hAnsi="Calibri" w:cs="Arial"/>
          <w:rtl/>
        </w:rPr>
        <w:t>- הטוען על כתב ידו ואמר לאו חתימת ידי הוא. איכא מאן דאמר - תחוי חתימת ידיה בבית דין ומדמינן לה. ואיכא מאן דאמר כיון דמצי לאיערומי - בעינן כתב ידו ממקום אחר, ואי לא מגו דאי בעי אמר פרעתי - מיפטר בשבועת היסת.</w:t>
      </w:r>
    </w:p>
    <w:p w14:paraId="49260AFE" w14:textId="77777777" w:rsidR="0004348D" w:rsidRPr="0004348D" w:rsidRDefault="0004348D" w:rsidP="0004348D">
      <w:pPr>
        <w:spacing w:before="360" w:after="240"/>
        <w:rPr>
          <w:rFonts w:ascii="Arial" w:eastAsia="Calibri" w:hAnsi="Arial" w:cs="Arial"/>
          <w:b/>
          <w:bCs/>
          <w:color w:val="000000"/>
          <w:sz w:val="28"/>
          <w:szCs w:val="28"/>
          <w:u w:val="single"/>
        </w:rPr>
      </w:pPr>
      <w:r w:rsidRPr="0004348D">
        <w:rPr>
          <w:rFonts w:ascii="Arial" w:eastAsia="Calibri" w:hAnsi="Arial" w:cs="Arial"/>
          <w:b/>
          <w:bCs/>
          <w:color w:val="000000"/>
          <w:sz w:val="28"/>
          <w:szCs w:val="28"/>
          <w:u w:val="single"/>
          <w:rtl/>
        </w:rPr>
        <w:t>שו"ע:</w:t>
      </w:r>
    </w:p>
    <w:p w14:paraId="53809EB2" w14:textId="77777777" w:rsidR="0004348D" w:rsidRPr="0004348D" w:rsidRDefault="0004348D" w:rsidP="0004348D">
      <w:pPr>
        <w:spacing w:before="360" w:after="240"/>
        <w:rPr>
          <w:rFonts w:ascii="Calibri" w:eastAsia="Calibri" w:hAnsi="Calibri" w:cs="Arial"/>
          <w:rtl/>
        </w:rPr>
      </w:pPr>
      <w:r w:rsidRPr="0004348D">
        <w:rPr>
          <w:rFonts w:ascii="Calibri" w:eastAsia="Calibri" w:hAnsi="Calibri" w:cs="Arial"/>
          <w:rtl/>
        </w:rPr>
        <w:t>הוציא כתב יד הלוה על יורשיו, אף על פי שמודים שהוא כתב יד אביהם, אנו טוענים להם שהוא פרוע</w:t>
      </w:r>
      <w:r w:rsidRPr="0004348D">
        <w:rPr>
          <w:rFonts w:ascii="Calibri" w:eastAsia="Calibri" w:hAnsi="Calibri" w:cs="Arial"/>
          <w:vertAlign w:val="superscript"/>
          <w:rtl/>
        </w:rPr>
        <w:footnoteReference w:id="5566"/>
      </w:r>
      <w:r w:rsidRPr="0004348D">
        <w:rPr>
          <w:rFonts w:ascii="Calibri" w:eastAsia="Calibri" w:hAnsi="Calibri" w:cs="Arial"/>
          <w:rtl/>
        </w:rPr>
        <w:t>, ופטורים אף משבועת היורשים</w:t>
      </w:r>
      <w:r w:rsidRPr="0004348D">
        <w:rPr>
          <w:rFonts w:ascii="Calibri" w:eastAsia="Calibri" w:hAnsi="Calibri" w:cs="Arial"/>
          <w:vertAlign w:val="superscript"/>
          <w:rtl/>
        </w:rPr>
        <w:footnoteReference w:id="5567"/>
      </w:r>
      <w:r w:rsidRPr="0004348D">
        <w:rPr>
          <w:rFonts w:ascii="Calibri" w:eastAsia="Calibri" w:hAnsi="Calibri" w:cs="Arial"/>
          <w:rtl/>
        </w:rPr>
        <w:t xml:space="preserve">, אבל מחרימין סתם במעמד היורשים אם שום אדם יודע שאביהם לא פרעו. </w:t>
      </w:r>
      <w:r w:rsidRPr="0004348D">
        <w:rPr>
          <w:rFonts w:ascii="Calibri" w:eastAsia="Calibri" w:hAnsi="Calibri" w:cs="Arial"/>
          <w:sz w:val="18"/>
          <w:szCs w:val="18"/>
          <w:rtl/>
        </w:rPr>
        <w:t xml:space="preserve">הגה: וכן עיקר. ודלא כיש חולקין ואומרים דיורשי הלוה צריכין לישבע שאין יודעים שאביהן נשאר חייב לו (בעל התרומות). ומכל מקום נהגו בדורות אחרונים להחמיר על היורשין לישבע אם יש קצת רגלים לדבר ויש להסתפק אם חייב לו (פסקי מהרא"י סי' רמח). </w:t>
      </w:r>
      <w:r w:rsidRPr="0004348D">
        <w:rPr>
          <w:rFonts w:ascii="Calibri" w:eastAsia="Calibri" w:hAnsi="Calibri" w:cs="Arial"/>
          <w:rtl/>
        </w:rPr>
        <w:t>ואם הוא תוך הזמן, או שהודה החייב וצוה בחליו שהוא חייב לו</w:t>
      </w:r>
      <w:r w:rsidRPr="0004348D">
        <w:rPr>
          <w:rFonts w:ascii="Calibri" w:eastAsia="Calibri" w:hAnsi="Calibri" w:cs="Arial"/>
          <w:vertAlign w:val="superscript"/>
          <w:rtl/>
        </w:rPr>
        <w:footnoteReference w:id="5568"/>
      </w:r>
      <w:r w:rsidRPr="0004348D">
        <w:rPr>
          <w:rFonts w:ascii="Calibri" w:eastAsia="Calibri" w:hAnsi="Calibri" w:cs="Arial"/>
          <w:rtl/>
        </w:rPr>
        <w:t xml:space="preserve"> כך וכך בכתב ידו, או שנידוהו כדי שיתן ומת בנדויו ולא נתן, הואיל ומודים שהוא כתב אביהם</w:t>
      </w:r>
      <w:r w:rsidRPr="0004348D">
        <w:rPr>
          <w:rFonts w:ascii="Calibri" w:eastAsia="Calibri" w:hAnsi="Calibri" w:cs="Arial"/>
          <w:vertAlign w:val="superscript"/>
          <w:rtl/>
        </w:rPr>
        <w:footnoteReference w:id="5569"/>
      </w:r>
      <w:r w:rsidRPr="0004348D">
        <w:rPr>
          <w:rFonts w:ascii="Calibri" w:eastAsia="Calibri" w:hAnsi="Calibri" w:cs="Arial"/>
          <w:rtl/>
        </w:rPr>
        <w:t xml:space="preserve"> או שנתקיים כתב יד אביהם, גובה מהם. ואם אין מודים שהוא כתב יד אביהם וגם לא נתקיים כתב יד אביהם, אף על פי שהוא תוך הזמן</w:t>
      </w:r>
      <w:r w:rsidRPr="0004348D">
        <w:rPr>
          <w:rFonts w:ascii="Calibri" w:eastAsia="Calibri" w:hAnsi="Calibri" w:cs="Arial"/>
          <w:vertAlign w:val="superscript"/>
          <w:rtl/>
        </w:rPr>
        <w:footnoteReference w:id="5570"/>
      </w:r>
      <w:r w:rsidRPr="0004348D">
        <w:rPr>
          <w:rFonts w:ascii="Calibri" w:eastAsia="Calibri" w:hAnsi="Calibri" w:cs="Arial"/>
          <w:rtl/>
        </w:rPr>
        <w:t xml:space="preserve">, פטורים. אבל מחרימין סתם במעמד היורשים אם שום אדם יודע שאביהם חייב חוב זה ולא פרעו. </w:t>
      </w:r>
      <w:r w:rsidRPr="0004348D">
        <w:rPr>
          <w:rFonts w:ascii="Calibri" w:eastAsia="Calibri" w:hAnsi="Calibri" w:cs="Arial"/>
          <w:sz w:val="18"/>
          <w:szCs w:val="18"/>
          <w:rtl/>
        </w:rPr>
        <w:t>הגה: מיהו אם נידוהו ומת בנידויו, אין לחלק ובכל ענין חייב לשלם (ב"י וד"ע).</w:t>
      </w:r>
      <w:r w:rsidRPr="0004348D">
        <w:rPr>
          <w:rFonts w:ascii="Calibri" w:eastAsia="Calibri" w:hAnsi="Calibri" w:cs="Arial"/>
          <w:rtl/>
        </w:rPr>
        <w:t xml:space="preserve"> </w:t>
      </w:r>
    </w:p>
    <w:p w14:paraId="0854E623" w14:textId="77777777" w:rsidR="0004348D" w:rsidRPr="0004348D" w:rsidRDefault="0004348D" w:rsidP="0004348D">
      <w:pPr>
        <w:spacing w:before="360" w:after="240"/>
        <w:rPr>
          <w:rFonts w:ascii="Calibri" w:eastAsia="Calibri" w:hAnsi="Calibri" w:cs="Arial"/>
          <w:rtl/>
        </w:rPr>
      </w:pPr>
    </w:p>
    <w:p w14:paraId="3C0D8D87" w14:textId="77777777" w:rsidR="0004348D" w:rsidRPr="0004348D" w:rsidRDefault="0004348D" w:rsidP="0004348D">
      <w:pPr>
        <w:keepNext/>
        <w:keepLines/>
        <w:spacing w:before="360" w:after="240"/>
        <w:outlineLvl w:val="1"/>
        <w:rPr>
          <w:rFonts w:ascii="Cambria" w:eastAsia="Times New Roman" w:hAnsi="Cambria" w:cs="Arial"/>
          <w:bCs/>
          <w:color w:val="548DD4" w:themeColor="text2" w:themeTint="99"/>
          <w:sz w:val="26"/>
          <w:szCs w:val="26"/>
          <w:rtl/>
        </w:rPr>
      </w:pPr>
      <w:bookmarkStart w:id="782" w:name="_Toc24884185"/>
      <w:r w:rsidRPr="0004348D">
        <w:rPr>
          <w:rFonts w:ascii="Cambria" w:eastAsia="Times New Roman" w:hAnsi="Cambria" w:cs="Arial"/>
          <w:bCs/>
          <w:color w:val="548DD4" w:themeColor="text2" w:themeTint="99"/>
          <w:sz w:val="26"/>
          <w:szCs w:val="26"/>
          <w:rtl/>
        </w:rPr>
        <w:t>סעיף ו: ראובן הוציא פסק דין על יורשי שמעון שאביהם נתחייב לו שבועה על תביעת ממון.</w:t>
      </w:r>
      <w:bookmarkEnd w:id="782"/>
    </w:p>
    <w:p w14:paraId="6EFB5273" w14:textId="77777777" w:rsidR="0004348D" w:rsidRPr="0004348D" w:rsidRDefault="0004348D" w:rsidP="0004348D">
      <w:pPr>
        <w:spacing w:before="360" w:after="240"/>
        <w:rPr>
          <w:rFonts w:ascii="Calibri" w:eastAsia="Calibri" w:hAnsi="Calibri" w:cs="Arial"/>
          <w:rtl/>
        </w:rPr>
      </w:pPr>
      <w:r w:rsidRPr="0004348D">
        <w:rPr>
          <w:rFonts w:ascii="Calibri" w:eastAsia="Calibri" w:hAnsi="Calibri" w:cs="Arial"/>
          <w:rtl/>
        </w:rPr>
        <w:t>עיין במקורות בסעיף הקודם.</w:t>
      </w:r>
    </w:p>
    <w:p w14:paraId="3A9700E3" w14:textId="77777777" w:rsidR="0004348D" w:rsidRPr="0004348D" w:rsidRDefault="0004348D" w:rsidP="0004348D">
      <w:pPr>
        <w:spacing w:before="360" w:after="240"/>
        <w:rPr>
          <w:rFonts w:ascii="Arial" w:eastAsia="Calibri" w:hAnsi="Arial" w:cs="Arial"/>
          <w:b/>
          <w:bCs/>
          <w:color w:val="000000"/>
          <w:sz w:val="28"/>
          <w:szCs w:val="28"/>
          <w:u w:val="single"/>
          <w:rtl/>
        </w:rPr>
      </w:pPr>
      <w:r w:rsidRPr="0004348D">
        <w:rPr>
          <w:rFonts w:ascii="Arial" w:eastAsia="Calibri" w:hAnsi="Arial" w:cs="Arial"/>
          <w:b/>
          <w:bCs/>
          <w:color w:val="000000"/>
          <w:sz w:val="28"/>
          <w:szCs w:val="28"/>
          <w:u w:val="single"/>
          <w:rtl/>
        </w:rPr>
        <w:t>שו"ע:</w:t>
      </w:r>
    </w:p>
    <w:p w14:paraId="4E09C8B9" w14:textId="77777777" w:rsidR="0004348D" w:rsidRPr="0004348D" w:rsidRDefault="0004348D" w:rsidP="0004348D">
      <w:pPr>
        <w:spacing w:before="360" w:after="240"/>
        <w:rPr>
          <w:rFonts w:ascii="Calibri" w:eastAsia="Calibri" w:hAnsi="Calibri" w:cs="Arial"/>
          <w:rtl/>
        </w:rPr>
      </w:pPr>
      <w:r w:rsidRPr="0004348D">
        <w:rPr>
          <w:rFonts w:ascii="Calibri" w:eastAsia="Calibri" w:hAnsi="Calibri" w:cs="Arial"/>
          <w:rtl/>
        </w:rPr>
        <w:t>אם ראובן הוציא פסק על יורשי שמעון, שאביהם נתחייב לו שבועה על עסק תביעת ממון, והם אומרים שמא נשבע לך או פרע לך, פטורים אף בלא שבועה</w:t>
      </w:r>
      <w:r w:rsidRPr="0004348D">
        <w:rPr>
          <w:rFonts w:ascii="Calibri" w:eastAsia="Calibri" w:hAnsi="Calibri" w:cs="Arial"/>
          <w:vertAlign w:val="superscript"/>
          <w:rtl/>
        </w:rPr>
        <w:footnoteReference w:id="5571"/>
      </w:r>
      <w:r w:rsidRPr="0004348D">
        <w:rPr>
          <w:rFonts w:ascii="Calibri" w:eastAsia="Calibri" w:hAnsi="Calibri" w:cs="Arial"/>
          <w:rtl/>
        </w:rPr>
        <w:t>, אלא מחרימים סתם במעמד היורשים.</w:t>
      </w:r>
    </w:p>
    <w:p w14:paraId="68664D40" w14:textId="77777777" w:rsidR="0004348D" w:rsidRPr="0004348D" w:rsidRDefault="0004348D" w:rsidP="0004348D">
      <w:pPr>
        <w:spacing w:before="360" w:after="240"/>
        <w:rPr>
          <w:rFonts w:ascii="Calibri" w:eastAsia="Calibri" w:hAnsi="Calibri" w:cs="Arial"/>
          <w:rtl/>
        </w:rPr>
      </w:pPr>
    </w:p>
    <w:p w14:paraId="37AE8D9B" w14:textId="77777777" w:rsidR="0004348D" w:rsidRPr="0004348D" w:rsidRDefault="0004348D" w:rsidP="0004348D">
      <w:pPr>
        <w:bidi w:val="0"/>
        <w:spacing w:before="360" w:after="240"/>
        <w:rPr>
          <w:rFonts w:ascii="Cambria" w:eastAsia="Times New Roman" w:hAnsi="Cambria" w:cs="Arial"/>
          <w:b/>
          <w:bCs/>
          <w:color w:val="365F91" w:themeColor="accent1" w:themeShade="BF"/>
          <w:sz w:val="28"/>
          <w:szCs w:val="28"/>
          <w:rtl/>
        </w:rPr>
        <w:sectPr w:rsidR="0004348D" w:rsidRPr="0004348D">
          <w:headerReference w:type="default" r:id="rId78"/>
          <w:footnotePr>
            <w:numRestart w:val="eachPage"/>
          </w:footnotePr>
          <w:pgSz w:w="11906" w:h="16838"/>
          <w:pgMar w:top="720" w:right="1134" w:bottom="720" w:left="1134" w:header="0" w:footer="0" w:gutter="0"/>
          <w:cols w:space="720"/>
          <w:bidi/>
          <w:rtlGutter/>
        </w:sectPr>
      </w:pPr>
    </w:p>
    <w:p w14:paraId="3E7B48BA" w14:textId="77777777" w:rsidR="0004348D" w:rsidRPr="0004348D" w:rsidRDefault="0004348D" w:rsidP="0004348D">
      <w:pPr>
        <w:keepNext/>
        <w:keepLines/>
        <w:spacing w:before="360" w:after="240"/>
        <w:outlineLvl w:val="0"/>
        <w:rPr>
          <w:rFonts w:ascii="Cambria" w:eastAsia="Times New Roman" w:hAnsi="Cambria" w:cs="Arial"/>
          <w:b/>
          <w:bCs/>
          <w:color w:val="365F91" w:themeColor="accent1" w:themeShade="BF"/>
          <w:sz w:val="28"/>
          <w:szCs w:val="28"/>
          <w:rtl/>
        </w:rPr>
      </w:pPr>
      <w:bookmarkStart w:id="783" w:name="_Toc24884186"/>
      <w:r w:rsidRPr="0004348D">
        <w:rPr>
          <w:rFonts w:ascii="Cambria" w:eastAsia="Times New Roman" w:hAnsi="Cambria" w:cs="Arial"/>
          <w:b/>
          <w:bCs/>
          <w:color w:val="365F91" w:themeColor="accent1" w:themeShade="BF"/>
          <w:sz w:val="28"/>
          <w:szCs w:val="28"/>
          <w:rtl/>
        </w:rPr>
        <w:t>סימן ע: דין מלוה על פה, ואם אמר ליה: אל תפרעני אלא בעדים, ובו ו' סעיפים.</w:t>
      </w:r>
      <w:bookmarkEnd w:id="783"/>
      <w:r w:rsidRPr="0004348D">
        <w:rPr>
          <w:rFonts w:ascii="Cambria" w:eastAsia="Times New Roman" w:hAnsi="Cambria" w:cs="Arial"/>
          <w:b/>
          <w:bCs/>
          <w:color w:val="365F91" w:themeColor="accent1" w:themeShade="BF"/>
          <w:sz w:val="28"/>
          <w:szCs w:val="28"/>
          <w:rtl/>
        </w:rPr>
        <w:t xml:space="preserve"> </w:t>
      </w:r>
    </w:p>
    <w:p w14:paraId="1AA1E41C" w14:textId="77777777" w:rsidR="0004348D" w:rsidRPr="0004348D" w:rsidRDefault="0004348D" w:rsidP="0004348D">
      <w:pPr>
        <w:keepNext/>
        <w:keepLines/>
        <w:spacing w:before="360" w:after="240"/>
        <w:outlineLvl w:val="1"/>
        <w:rPr>
          <w:rFonts w:ascii="Cambria" w:eastAsia="Times New Roman" w:hAnsi="Cambria" w:cs="Arial"/>
          <w:bCs/>
          <w:color w:val="548DD4" w:themeColor="text2" w:themeTint="99"/>
          <w:sz w:val="26"/>
          <w:szCs w:val="26"/>
          <w:rtl/>
        </w:rPr>
      </w:pPr>
      <w:bookmarkStart w:id="784" w:name="_Toc24884187"/>
      <w:r w:rsidRPr="0004348D">
        <w:rPr>
          <w:rFonts w:ascii="Cambria" w:eastAsia="Times New Roman" w:hAnsi="Cambria" w:cs="Arial"/>
          <w:bCs/>
          <w:color w:val="548DD4" w:themeColor="text2" w:themeTint="99"/>
          <w:sz w:val="26"/>
          <w:szCs w:val="26"/>
          <w:rtl/>
        </w:rPr>
        <w:t>סעיף א: הלואה בלא עדים. המלוה בעדים כיצד צריך לפורעו.</w:t>
      </w:r>
      <w:bookmarkEnd w:id="784"/>
    </w:p>
    <w:p w14:paraId="4FB8C629" w14:textId="77777777" w:rsidR="0004348D" w:rsidRPr="0004348D" w:rsidRDefault="0004348D" w:rsidP="0004348D">
      <w:pPr>
        <w:spacing w:before="360" w:after="240"/>
        <w:rPr>
          <w:rFonts w:ascii="Calibri" w:eastAsia="Calibri" w:hAnsi="Calibri" w:cs="Arial"/>
          <w:rtl/>
        </w:rPr>
      </w:pPr>
      <w:r w:rsidRPr="0004348D">
        <w:rPr>
          <w:rFonts w:ascii="Calibri" w:eastAsia="Calibri" w:hAnsi="Calibri" w:cs="Arial"/>
          <w:b/>
          <w:bCs/>
          <w:rtl/>
        </w:rPr>
        <w:t xml:space="preserve">בבא מציעא </w:t>
      </w:r>
      <w:r w:rsidRPr="0004348D">
        <w:rPr>
          <w:rFonts w:ascii="Calibri" w:eastAsia="Calibri" w:hAnsi="Calibri" w:cs="Arial"/>
          <w:b/>
          <w:bCs/>
          <w:sz w:val="16"/>
          <w:szCs w:val="16"/>
          <w:rtl/>
        </w:rPr>
        <w:t xml:space="preserve">(ס"פ איזהו נשך) </w:t>
      </w:r>
      <w:r w:rsidRPr="0004348D">
        <w:rPr>
          <w:rFonts w:ascii="Calibri" w:eastAsia="Calibri" w:hAnsi="Calibri" w:cs="Arial"/>
          <w:b/>
          <w:bCs/>
          <w:rtl/>
        </w:rPr>
        <w:t>עה</w:t>
      </w:r>
      <w:r w:rsidRPr="0004348D">
        <w:rPr>
          <w:rFonts w:ascii="Calibri" w:eastAsia="Calibri" w:hAnsi="Calibri" w:cs="Arial"/>
          <w:b/>
          <w:bCs/>
          <w:vertAlign w:val="superscript"/>
          <w:rtl/>
        </w:rPr>
        <w:footnoteReference w:id="5572"/>
      </w:r>
      <w:r w:rsidRPr="0004348D">
        <w:rPr>
          <w:rFonts w:ascii="Calibri" w:eastAsia="Calibri" w:hAnsi="Calibri" w:cs="Arial"/>
          <w:b/>
          <w:bCs/>
          <w:rtl/>
        </w:rPr>
        <w:t xml:space="preserve"> ע"ב:</w:t>
      </w:r>
      <w:r w:rsidRPr="0004348D">
        <w:rPr>
          <w:rFonts w:ascii="Calibri" w:eastAsia="Calibri" w:hAnsi="Calibri" w:cs="Arial"/>
          <w:rtl/>
        </w:rPr>
        <w:t xml:space="preserve"> </w:t>
      </w:r>
      <w:r w:rsidRPr="0004348D">
        <w:rPr>
          <w:rFonts w:ascii="Calibri" w:eastAsia="Calibri" w:hAnsi="Calibri" w:cs="Arial"/>
          <w:u w:val="single"/>
          <w:rtl/>
        </w:rPr>
        <w:t>אמר רב יהודה אמר רב</w:t>
      </w:r>
      <w:r w:rsidRPr="0004348D">
        <w:rPr>
          <w:rFonts w:ascii="Calibri" w:eastAsia="Calibri" w:hAnsi="Calibri" w:cs="Arial"/>
          <w:rtl/>
        </w:rPr>
        <w:t xml:space="preserve">: כל מי שיש לו מעות, ומלוה אותן שלא בעדים - עובר משום ולפני עור לא תתן מכשל. </w:t>
      </w:r>
      <w:r w:rsidRPr="0004348D">
        <w:rPr>
          <w:rFonts w:ascii="Calibri" w:eastAsia="Calibri" w:hAnsi="Calibri" w:cs="Arial"/>
          <w:u w:val="single"/>
          <w:rtl/>
        </w:rPr>
        <w:t>וריש לקיש אמר</w:t>
      </w:r>
      <w:r w:rsidRPr="0004348D">
        <w:rPr>
          <w:rFonts w:ascii="Calibri" w:eastAsia="Calibri" w:hAnsi="Calibri" w:cs="Arial"/>
          <w:rtl/>
        </w:rPr>
        <w:t xml:space="preserve">: גורם קללה לעצמו, שנאמר תאלמנה שפתי שקר הדוברות על צדיק עתק. </w:t>
      </w:r>
      <w:r w:rsidRPr="0004348D">
        <w:rPr>
          <w:rFonts w:ascii="Calibri" w:eastAsia="Calibri" w:hAnsi="Calibri" w:cs="Arial"/>
          <w:u w:val="single"/>
          <w:rtl/>
        </w:rPr>
        <w:t>אמרו ליה רבנן לרב אשי</w:t>
      </w:r>
      <w:r w:rsidRPr="0004348D">
        <w:rPr>
          <w:rFonts w:ascii="Calibri" w:eastAsia="Calibri" w:hAnsi="Calibri" w:cs="Arial"/>
          <w:rtl/>
        </w:rPr>
        <w:t>: קא מקיים רבינא כל מה דאמור רבנן. שלח ליה בהדי פניא דמעלי שבתא: לישדר לי מר עשרה זוזי, דאתרמי לי קטינא דארעא למזבן. שלח ליה: ניתי מר סהדי, ונכתב כתבא. שלח ליה: אפילו אנא נמי? שלח ליה: כל שכן מר, דטריד בגירסיה משתלי וגורם קללה לעצמי</w:t>
      </w:r>
      <w:r w:rsidRPr="0004348D">
        <w:rPr>
          <w:rFonts w:ascii="Calibri" w:eastAsia="Calibri" w:hAnsi="Calibri" w:cs="Arial"/>
          <w:vertAlign w:val="superscript"/>
          <w:rtl/>
        </w:rPr>
        <w:footnoteReference w:id="5573"/>
      </w:r>
      <w:r w:rsidRPr="0004348D">
        <w:rPr>
          <w:rFonts w:ascii="Calibri" w:eastAsia="Calibri" w:hAnsi="Calibri" w:cs="Arial"/>
          <w:rtl/>
        </w:rPr>
        <w:t>.</w:t>
      </w:r>
    </w:p>
    <w:p w14:paraId="7E96F160" w14:textId="77777777" w:rsidR="0004348D" w:rsidRPr="0004348D" w:rsidRDefault="0004348D" w:rsidP="0004348D">
      <w:pPr>
        <w:spacing w:before="360" w:after="240"/>
        <w:rPr>
          <w:rFonts w:ascii="Calibri" w:eastAsia="Calibri" w:hAnsi="Calibri" w:cs="Arial"/>
          <w:u w:val="single"/>
          <w:rtl/>
        </w:rPr>
      </w:pPr>
      <w:r w:rsidRPr="0004348D">
        <w:rPr>
          <w:rFonts w:ascii="Calibri" w:eastAsia="Calibri" w:hAnsi="Calibri" w:cs="Arial"/>
          <w:u w:val="single"/>
          <w:rtl/>
        </w:rPr>
        <w:t>הלואה בלא עדים:</w:t>
      </w:r>
    </w:p>
    <w:p w14:paraId="7FB6F1F2" w14:textId="77777777" w:rsidR="0004348D" w:rsidRPr="0004348D" w:rsidRDefault="0004348D" w:rsidP="00992A87">
      <w:pPr>
        <w:numPr>
          <w:ilvl w:val="0"/>
          <w:numId w:val="358"/>
        </w:numPr>
        <w:spacing w:before="360" w:after="240"/>
        <w:contextualSpacing/>
        <w:rPr>
          <w:rFonts w:ascii="Calibri" w:eastAsia="Calibri" w:hAnsi="Calibri" w:cs="Arial"/>
          <w:rtl/>
        </w:rPr>
      </w:pPr>
      <w:r w:rsidRPr="0004348D">
        <w:rPr>
          <w:rFonts w:ascii="Calibri" w:eastAsia="Calibri" w:hAnsi="Calibri" w:cs="Arial"/>
          <w:rtl/>
        </w:rPr>
        <w:t xml:space="preserve">רמב"ם </w:t>
      </w:r>
      <w:r w:rsidRPr="0004348D">
        <w:rPr>
          <w:rFonts w:ascii="Calibri" w:eastAsia="Calibri" w:hAnsi="Calibri" w:cs="Arial"/>
          <w:sz w:val="16"/>
          <w:szCs w:val="16"/>
          <w:rtl/>
        </w:rPr>
        <w:t>(פ"ב ממלוה ה"ז)</w:t>
      </w:r>
      <w:r w:rsidRPr="0004348D">
        <w:rPr>
          <w:rFonts w:ascii="Calibri" w:eastAsia="Calibri" w:hAnsi="Calibri" w:cs="Arial"/>
          <w:rtl/>
        </w:rPr>
        <w:t xml:space="preserve"> וטור- אסור לאדם להלוות מעות לחבירו בלא עדים, אפילו לתלמיד חכם, אא"כ הלוהו על משכון</w:t>
      </w:r>
      <w:r w:rsidRPr="0004348D">
        <w:rPr>
          <w:rFonts w:ascii="Calibri" w:eastAsia="Calibri" w:hAnsi="Calibri" w:cs="Arial"/>
          <w:vertAlign w:val="superscript"/>
          <w:rtl/>
        </w:rPr>
        <w:footnoteReference w:id="5574"/>
      </w:r>
      <w:r w:rsidRPr="0004348D">
        <w:rPr>
          <w:rFonts w:ascii="Calibri" w:eastAsia="Calibri" w:hAnsi="Calibri" w:cs="Arial"/>
          <w:rtl/>
        </w:rPr>
        <w:t>. ואם עושה עליו שטר הרי זה משובח</w:t>
      </w:r>
      <w:r w:rsidRPr="0004348D">
        <w:rPr>
          <w:rFonts w:ascii="Calibri" w:eastAsia="Calibri" w:hAnsi="Calibri" w:cs="Arial"/>
          <w:vertAlign w:val="superscript"/>
          <w:rtl/>
        </w:rPr>
        <w:footnoteReference w:id="5575"/>
      </w:r>
      <w:r w:rsidRPr="0004348D">
        <w:rPr>
          <w:rFonts w:ascii="Calibri" w:eastAsia="Calibri" w:hAnsi="Calibri" w:cs="Arial"/>
          <w:rtl/>
        </w:rPr>
        <w:t>. אבל בעדים יכול להלוות</w:t>
      </w:r>
      <w:r w:rsidRPr="0004348D">
        <w:rPr>
          <w:rFonts w:ascii="Calibri" w:eastAsia="Calibri" w:hAnsi="Calibri" w:cs="Arial"/>
          <w:vertAlign w:val="superscript"/>
          <w:rtl/>
        </w:rPr>
        <w:footnoteReference w:id="5576"/>
      </w:r>
      <w:r w:rsidRPr="0004348D">
        <w:rPr>
          <w:rFonts w:ascii="Calibri" w:eastAsia="Calibri" w:hAnsi="Calibri" w:cs="Arial"/>
          <w:sz w:val="16"/>
          <w:szCs w:val="16"/>
          <w:rtl/>
        </w:rPr>
        <w:t xml:space="preserve"> (ל' הטור)</w:t>
      </w:r>
      <w:r w:rsidRPr="0004348D">
        <w:rPr>
          <w:rFonts w:ascii="Calibri" w:eastAsia="Calibri" w:hAnsi="Calibri" w:cs="Arial"/>
          <w:rtl/>
        </w:rPr>
        <w:t>.</w:t>
      </w:r>
      <w:r w:rsidRPr="0004348D">
        <w:rPr>
          <w:rFonts w:ascii="Calibri" w:eastAsia="Calibri" w:hAnsi="Calibri" w:cs="Arial"/>
          <w:color w:val="E36C0A" w:themeColor="accent6" w:themeShade="BF"/>
          <w:rtl/>
        </w:rPr>
        <w:t xml:space="preserve"> (וכ"פ בשו"ע)</w:t>
      </w:r>
    </w:p>
    <w:p w14:paraId="286CDDB5" w14:textId="77777777" w:rsidR="0004348D" w:rsidRPr="0004348D" w:rsidRDefault="0004348D" w:rsidP="0004348D">
      <w:pPr>
        <w:spacing w:before="360" w:after="240"/>
        <w:rPr>
          <w:rFonts w:ascii="Calibri" w:eastAsia="Calibri" w:hAnsi="Calibri" w:cs="Arial"/>
        </w:rPr>
      </w:pPr>
      <w:bookmarkStart w:id="785" w:name="_Hlk17195015"/>
      <w:r w:rsidRPr="0004348D">
        <w:rPr>
          <w:rFonts w:ascii="Calibri" w:eastAsia="Calibri" w:hAnsi="Calibri" w:cs="Arial"/>
          <w:b/>
          <w:bCs/>
          <w:rtl/>
        </w:rPr>
        <w:t xml:space="preserve">שבועות </w:t>
      </w:r>
      <w:r w:rsidRPr="0004348D">
        <w:rPr>
          <w:rFonts w:ascii="Calibri" w:eastAsia="Calibri" w:hAnsi="Calibri" w:cs="Arial"/>
          <w:b/>
          <w:bCs/>
          <w:sz w:val="16"/>
          <w:szCs w:val="16"/>
          <w:rtl/>
        </w:rPr>
        <w:t xml:space="preserve">(פרק שבועת הדיינים) </w:t>
      </w:r>
      <w:r w:rsidRPr="0004348D">
        <w:rPr>
          <w:rFonts w:ascii="Calibri" w:eastAsia="Calibri" w:hAnsi="Calibri" w:cs="Arial"/>
          <w:b/>
          <w:bCs/>
          <w:rtl/>
        </w:rPr>
        <w:t>מא</w:t>
      </w:r>
      <w:r w:rsidRPr="0004348D">
        <w:rPr>
          <w:rFonts w:ascii="Calibri" w:eastAsia="Calibri" w:hAnsi="Calibri" w:cs="Arial"/>
          <w:b/>
          <w:bCs/>
          <w:vertAlign w:val="superscript"/>
          <w:rtl/>
        </w:rPr>
        <w:footnoteReference w:id="5577"/>
      </w:r>
      <w:r w:rsidRPr="0004348D">
        <w:rPr>
          <w:rFonts w:ascii="Calibri" w:eastAsia="Calibri" w:hAnsi="Calibri" w:cs="Arial"/>
          <w:b/>
          <w:bCs/>
          <w:rtl/>
        </w:rPr>
        <w:t xml:space="preserve"> ע"ב:</w:t>
      </w:r>
      <w:r w:rsidRPr="0004348D">
        <w:rPr>
          <w:rFonts w:ascii="Calibri" w:eastAsia="Calibri" w:hAnsi="Calibri" w:cs="Arial"/>
          <w:rtl/>
        </w:rPr>
        <w:t xml:space="preserve"> </w:t>
      </w:r>
      <w:r w:rsidRPr="0004348D">
        <w:rPr>
          <w:rFonts w:ascii="Calibri" w:eastAsia="Calibri" w:hAnsi="Calibri" w:cs="Arial"/>
          <w:u w:val="single"/>
          <w:rtl/>
        </w:rPr>
        <w:t>אמר רב פפי משמיה דרבא</w:t>
      </w:r>
      <w:r w:rsidRPr="0004348D">
        <w:rPr>
          <w:rFonts w:ascii="Calibri" w:eastAsia="Calibri" w:hAnsi="Calibri" w:cs="Arial"/>
          <w:rtl/>
        </w:rPr>
        <w:t xml:space="preserve">: הלכתא, המלוה את חבירו בעדים - צריך לפורעו בעדים. </w:t>
      </w:r>
      <w:r w:rsidRPr="0004348D">
        <w:rPr>
          <w:rFonts w:ascii="Calibri" w:eastAsia="Calibri" w:hAnsi="Calibri" w:cs="Arial"/>
          <w:u w:val="single"/>
          <w:rtl/>
        </w:rPr>
        <w:t>ורב פפא משמיה דרבא אמר</w:t>
      </w:r>
      <w:r w:rsidRPr="0004348D">
        <w:rPr>
          <w:rFonts w:ascii="Calibri" w:eastAsia="Calibri" w:hAnsi="Calibri" w:cs="Arial"/>
          <w:rtl/>
        </w:rPr>
        <w:t xml:space="preserve">: המלוה את חבירו בעדים - אין צריך לפורעו בעדים. </w:t>
      </w:r>
      <w:r w:rsidRPr="0004348D">
        <w:rPr>
          <w:rFonts w:ascii="Calibri" w:eastAsia="Calibri" w:hAnsi="Calibri" w:cs="Arial"/>
          <w:sz w:val="16"/>
          <w:szCs w:val="16"/>
          <w:rtl/>
        </w:rPr>
        <w:t>(וכתב הרא"ש (פ"ו סי' יג) דהלכתא כרב פפא, דאמר רבי אבא בפרק גט פשוט (ב"ב קע.) והא קיי"ל המלוה את חבירו בעדים אין צריך לפרעו בעדים, ורבא ורמי בר חמא נמי סבירא להו הכי בפרק כל הנשבעין (שבועות מה:). וגם הרי"ף (שם כ:) פסק דאין צריך לפרעו בעדים. וכן פסק הרמב"ם בפי"א מהל' מלוה (ה"א), ב"י)</w:t>
      </w:r>
      <w:r w:rsidRPr="0004348D">
        <w:rPr>
          <w:rFonts w:ascii="Calibri" w:eastAsia="Calibri" w:hAnsi="Calibri" w:cs="Arial"/>
          <w:rtl/>
        </w:rPr>
        <w:t xml:space="preserve"> </w:t>
      </w:r>
    </w:p>
    <w:p w14:paraId="738227EA" w14:textId="77777777" w:rsidR="0004348D" w:rsidRPr="0004348D" w:rsidRDefault="0004348D" w:rsidP="0004348D">
      <w:pPr>
        <w:spacing w:before="360" w:after="240"/>
        <w:rPr>
          <w:rFonts w:ascii="Calibri" w:eastAsia="Calibri" w:hAnsi="Calibri" w:cs="Arial"/>
          <w:u w:val="single"/>
          <w:rtl/>
        </w:rPr>
      </w:pPr>
      <w:r w:rsidRPr="0004348D">
        <w:rPr>
          <w:rFonts w:ascii="Calibri" w:eastAsia="Calibri" w:hAnsi="Calibri" w:cs="Arial"/>
          <w:u w:val="single"/>
          <w:rtl/>
        </w:rPr>
        <w:t>המלוה את חברו בעדים – כיצד צריך לפורעו:</w:t>
      </w:r>
    </w:p>
    <w:p w14:paraId="634240EE" w14:textId="77777777" w:rsidR="0004348D" w:rsidRPr="0004348D" w:rsidRDefault="0004348D" w:rsidP="00992A87">
      <w:pPr>
        <w:numPr>
          <w:ilvl w:val="0"/>
          <w:numId w:val="358"/>
        </w:numPr>
        <w:spacing w:before="360" w:after="240"/>
        <w:contextualSpacing/>
        <w:rPr>
          <w:rFonts w:ascii="Calibri" w:eastAsia="Calibri" w:hAnsi="Calibri" w:cs="Arial"/>
        </w:rPr>
      </w:pPr>
      <w:r w:rsidRPr="0004348D">
        <w:rPr>
          <w:rFonts w:ascii="Calibri" w:eastAsia="Calibri" w:hAnsi="Calibri" w:cs="Arial"/>
          <w:rtl/>
        </w:rPr>
        <w:t xml:space="preserve">רמב"ם </w:t>
      </w:r>
      <w:r w:rsidRPr="0004348D">
        <w:rPr>
          <w:rFonts w:ascii="Calibri" w:eastAsia="Calibri" w:hAnsi="Calibri" w:cs="Arial"/>
          <w:sz w:val="16"/>
          <w:szCs w:val="16"/>
          <w:rtl/>
        </w:rPr>
        <w:t>(פי"א ממלוה ה"א)</w:t>
      </w:r>
      <w:r w:rsidRPr="0004348D">
        <w:rPr>
          <w:rFonts w:ascii="Calibri" w:eastAsia="Calibri" w:hAnsi="Calibri" w:cs="Arial"/>
          <w:rtl/>
        </w:rPr>
        <w:t xml:space="preserve"> וטור- המלוה את חבירו בעדים - אין צריך לפרעו בעדים, אלא נאמן לומר פרעתיך</w:t>
      </w:r>
      <w:r w:rsidRPr="0004348D">
        <w:rPr>
          <w:rFonts w:ascii="Calibri" w:eastAsia="Calibri" w:hAnsi="Calibri" w:cs="Arial"/>
          <w:vertAlign w:val="superscript"/>
          <w:rtl/>
        </w:rPr>
        <w:footnoteReference w:id="5578"/>
      </w:r>
      <w:r w:rsidRPr="0004348D">
        <w:rPr>
          <w:rFonts w:ascii="Calibri" w:eastAsia="Calibri" w:hAnsi="Calibri" w:cs="Arial"/>
          <w:sz w:val="16"/>
          <w:szCs w:val="16"/>
          <w:rtl/>
        </w:rPr>
        <w:t xml:space="preserve"> (ל' הטור)</w:t>
      </w:r>
      <w:r w:rsidRPr="0004348D">
        <w:rPr>
          <w:rFonts w:ascii="Calibri" w:eastAsia="Calibri" w:hAnsi="Calibri" w:cs="Arial"/>
          <w:rtl/>
        </w:rPr>
        <w:t xml:space="preserve">. </w:t>
      </w:r>
      <w:r w:rsidRPr="0004348D">
        <w:rPr>
          <w:rFonts w:ascii="Calibri" w:eastAsia="Calibri" w:hAnsi="Calibri" w:cs="Arial"/>
          <w:color w:val="E36C0A" w:themeColor="accent6" w:themeShade="BF"/>
          <w:rtl/>
        </w:rPr>
        <w:t>(וכ"פ בשו"ע)</w:t>
      </w:r>
    </w:p>
    <w:p w14:paraId="7FC1CD4A" w14:textId="77777777" w:rsidR="0004348D" w:rsidRPr="0004348D" w:rsidRDefault="0004348D" w:rsidP="0004348D">
      <w:pPr>
        <w:spacing w:before="360" w:after="240"/>
        <w:ind w:left="360"/>
        <w:rPr>
          <w:rFonts w:ascii="Calibri" w:eastAsia="Calibri" w:hAnsi="Calibri" w:cs="Arial"/>
          <w:u w:val="dotted"/>
        </w:rPr>
      </w:pPr>
      <w:r w:rsidRPr="0004348D">
        <w:rPr>
          <w:rFonts w:ascii="Calibri" w:eastAsia="Calibri" w:hAnsi="Calibri" w:cs="Arial"/>
          <w:u w:val="dotted"/>
          <w:rtl/>
        </w:rPr>
        <w:t>ומה הדין אם קנו מיניה בשעת הלואה:</w:t>
      </w:r>
    </w:p>
    <w:p w14:paraId="48ED8020" w14:textId="77777777" w:rsidR="0004348D" w:rsidRPr="0004348D" w:rsidRDefault="0004348D" w:rsidP="00992A87">
      <w:pPr>
        <w:numPr>
          <w:ilvl w:val="0"/>
          <w:numId w:val="358"/>
        </w:numPr>
        <w:spacing w:before="360" w:after="240"/>
        <w:contextualSpacing/>
        <w:rPr>
          <w:rFonts w:ascii="Calibri" w:eastAsia="Calibri" w:hAnsi="Calibri" w:cs="Arial"/>
        </w:rPr>
      </w:pPr>
      <w:r w:rsidRPr="0004348D">
        <w:rPr>
          <w:rFonts w:ascii="Calibri" w:eastAsia="Calibri" w:hAnsi="Calibri" w:cs="Arial"/>
          <w:rtl/>
        </w:rPr>
        <w:t xml:space="preserve">בעל התרומות </w:t>
      </w:r>
      <w:r w:rsidRPr="0004348D">
        <w:rPr>
          <w:rFonts w:ascii="Calibri" w:eastAsia="Calibri" w:hAnsi="Calibri" w:cs="Arial"/>
          <w:sz w:val="16"/>
          <w:szCs w:val="16"/>
          <w:rtl/>
        </w:rPr>
        <w:t>(שער כה ח"א סי' ג)</w:t>
      </w:r>
      <w:r w:rsidRPr="0004348D">
        <w:rPr>
          <w:rFonts w:ascii="Calibri" w:eastAsia="Calibri" w:hAnsi="Calibri" w:cs="Arial"/>
          <w:rtl/>
        </w:rPr>
        <w:t xml:space="preserve"> וטור- מה שאמרו שאין צריך לפרעו בעדים הני מילי דלא אקנייה בקנין קמייהו בשעת הלואה, אבל אם קנו ממנו בקנין שזה חייב לזה מנה, אע"פ שלא נכתב השטר - אינו יכול לטעון פרעתי, דכשטר הוא חשוב. ואי אמר אשתבע לי - משתבע כדין מאן דאפיק שטרא לחבריה ואמר פריעא הוא דמשביעין ליה. וכן מצאנו בתשובת הראב"ד </w:t>
      </w:r>
      <w:r w:rsidRPr="0004348D">
        <w:rPr>
          <w:rFonts w:ascii="Calibri" w:eastAsia="Calibri" w:hAnsi="Calibri" w:cs="Arial"/>
          <w:sz w:val="16"/>
          <w:szCs w:val="16"/>
          <w:rtl/>
        </w:rPr>
        <w:t>(תמים דעים סי' נה)</w:t>
      </w:r>
      <w:r w:rsidRPr="0004348D">
        <w:rPr>
          <w:rFonts w:ascii="Calibri" w:eastAsia="Calibri" w:hAnsi="Calibri" w:cs="Arial"/>
          <w:rtl/>
        </w:rPr>
        <w:t xml:space="preserve"> וכן כתוב בשאלתות דמי שיש בידו עדים וקנין דינו שוה למי שיש בידו שטר</w:t>
      </w:r>
      <w:r w:rsidRPr="0004348D">
        <w:rPr>
          <w:rFonts w:ascii="Calibri" w:eastAsia="Calibri" w:hAnsi="Calibri" w:cs="Arial"/>
          <w:sz w:val="16"/>
          <w:szCs w:val="16"/>
          <w:rtl/>
        </w:rPr>
        <w:t xml:space="preserve"> (ל' בעל התרומות)</w:t>
      </w:r>
      <w:r w:rsidRPr="0004348D">
        <w:rPr>
          <w:rFonts w:ascii="Calibri" w:eastAsia="Calibri" w:hAnsi="Calibri" w:cs="Arial"/>
          <w:vertAlign w:val="superscript"/>
          <w:rtl/>
        </w:rPr>
        <w:footnoteReference w:id="5579"/>
      </w:r>
      <w:r w:rsidRPr="0004348D">
        <w:rPr>
          <w:rFonts w:ascii="Calibri" w:eastAsia="Calibri" w:hAnsi="Calibri" w:cs="Arial"/>
          <w:rtl/>
        </w:rPr>
        <w:t>.</w:t>
      </w:r>
      <w:r w:rsidRPr="0004348D">
        <w:rPr>
          <w:rFonts w:ascii="Calibri" w:eastAsia="Calibri" w:hAnsi="Calibri" w:cs="Arial"/>
          <w:color w:val="E36C0A" w:themeColor="accent6" w:themeShade="BF"/>
          <w:rtl/>
        </w:rPr>
        <w:t xml:space="preserve"> (וכ"נ שפסק בשו"ע)</w:t>
      </w:r>
      <w:r w:rsidRPr="0004348D">
        <w:rPr>
          <w:rFonts w:ascii="Calibri" w:eastAsia="Calibri" w:hAnsi="Calibri" w:cs="Arial"/>
          <w:rtl/>
        </w:rPr>
        <w:t xml:space="preserve"> (וכ"פ הש"ך</w:t>
      </w:r>
      <w:r w:rsidRPr="0004348D">
        <w:rPr>
          <w:rFonts w:ascii="Calibri" w:eastAsia="Calibri" w:hAnsi="Calibri" w:cs="Arial"/>
          <w:sz w:val="16"/>
          <w:szCs w:val="16"/>
          <w:rtl/>
        </w:rPr>
        <w:t xml:space="preserve"> [סק"ד]</w:t>
      </w:r>
      <w:r w:rsidRPr="0004348D">
        <w:rPr>
          <w:rFonts w:ascii="Calibri" w:eastAsia="Calibri" w:hAnsi="Calibri" w:cs="Arial"/>
          <w:rtl/>
        </w:rPr>
        <w:t>)</w:t>
      </w:r>
      <w:bookmarkEnd w:id="785"/>
    </w:p>
    <w:p w14:paraId="5A59295C" w14:textId="77777777" w:rsidR="0004348D" w:rsidRPr="0004348D" w:rsidRDefault="0004348D" w:rsidP="0004348D">
      <w:pPr>
        <w:spacing w:before="360" w:after="240"/>
        <w:rPr>
          <w:rFonts w:ascii="Arial" w:eastAsia="Calibri" w:hAnsi="Arial" w:cs="Arial"/>
          <w:b/>
          <w:bCs/>
          <w:color w:val="000000"/>
          <w:sz w:val="28"/>
          <w:szCs w:val="28"/>
          <w:u w:val="single"/>
          <w:rtl/>
        </w:rPr>
      </w:pPr>
      <w:r w:rsidRPr="0004348D">
        <w:rPr>
          <w:rFonts w:ascii="Arial" w:eastAsia="Calibri" w:hAnsi="Arial" w:cs="Arial"/>
          <w:b/>
          <w:bCs/>
          <w:color w:val="000000"/>
          <w:sz w:val="28"/>
          <w:szCs w:val="28"/>
          <w:u w:val="single"/>
          <w:rtl/>
        </w:rPr>
        <w:t>שו"ע:</w:t>
      </w:r>
    </w:p>
    <w:p w14:paraId="2994912E" w14:textId="77777777" w:rsidR="0004348D" w:rsidRPr="0004348D" w:rsidRDefault="0004348D" w:rsidP="0004348D">
      <w:pPr>
        <w:spacing w:before="360" w:after="240"/>
        <w:rPr>
          <w:rFonts w:ascii="Calibri" w:eastAsia="Calibri" w:hAnsi="Calibri" w:cs="Arial"/>
          <w:rtl/>
        </w:rPr>
      </w:pPr>
      <w:r w:rsidRPr="0004348D">
        <w:rPr>
          <w:rFonts w:ascii="Calibri" w:eastAsia="Calibri" w:hAnsi="Calibri" w:cs="Arial"/>
          <w:rtl/>
        </w:rPr>
        <w:t>אסור להלוות בלא עדים, ואפילו לתלמיד חכם, אלא אם כן הלוהו על המשכון. והמלוה בשטר משובח יותר</w:t>
      </w:r>
      <w:r w:rsidRPr="0004348D">
        <w:rPr>
          <w:rFonts w:ascii="Calibri" w:eastAsia="Calibri" w:hAnsi="Calibri" w:cs="Arial"/>
          <w:vertAlign w:val="superscript"/>
          <w:rtl/>
        </w:rPr>
        <w:footnoteReference w:id="5580"/>
      </w:r>
      <w:r w:rsidRPr="0004348D">
        <w:rPr>
          <w:rFonts w:ascii="Calibri" w:eastAsia="Calibri" w:hAnsi="Calibri" w:cs="Arial"/>
          <w:rtl/>
        </w:rPr>
        <w:t xml:space="preserve">. וכל המלוה בלא עדים, עובר משום לפני עור לא תתן מכשול </w:t>
      </w:r>
      <w:r w:rsidRPr="0004348D">
        <w:rPr>
          <w:rFonts w:ascii="Calibri" w:eastAsia="Calibri" w:hAnsi="Calibri" w:cs="Arial"/>
          <w:sz w:val="16"/>
          <w:szCs w:val="16"/>
          <w:rtl/>
        </w:rPr>
        <w:t>(ויקרא יט, יד)</w:t>
      </w:r>
      <w:r w:rsidRPr="0004348D">
        <w:rPr>
          <w:rFonts w:ascii="Calibri" w:eastAsia="Calibri" w:hAnsi="Calibri" w:cs="Arial"/>
          <w:rtl/>
        </w:rPr>
        <w:t>, וגורם קללה לעצמו. המלוה את חבירו בעדים, בלא קנין ובלא שטר, אין צריך לפרעו בעדים, אלא נאמן בשבועת היסת לומר פרעתיך</w:t>
      </w:r>
      <w:r w:rsidRPr="0004348D">
        <w:rPr>
          <w:rFonts w:ascii="Calibri" w:eastAsia="Calibri" w:hAnsi="Calibri" w:cs="Arial"/>
          <w:vertAlign w:val="superscript"/>
          <w:rtl/>
        </w:rPr>
        <w:footnoteReference w:id="5581"/>
      </w:r>
      <w:r w:rsidRPr="0004348D">
        <w:rPr>
          <w:rFonts w:ascii="Calibri" w:eastAsia="Calibri" w:hAnsi="Calibri" w:cs="Arial"/>
          <w:rtl/>
        </w:rPr>
        <w:t xml:space="preserve">. </w:t>
      </w:r>
      <w:r w:rsidRPr="0004348D">
        <w:rPr>
          <w:rFonts w:ascii="Calibri" w:eastAsia="Calibri" w:hAnsi="Calibri" w:cs="Arial"/>
          <w:sz w:val="18"/>
          <w:szCs w:val="18"/>
          <w:rtl/>
        </w:rPr>
        <w:t>הגה: אבל אם קבל קנין, אפילו בלא שטר, לא יוכל לומר פרעתי, דהוי כשטר, דכל קנין לכתיבה עומד</w:t>
      </w:r>
      <w:r w:rsidRPr="0004348D">
        <w:rPr>
          <w:rFonts w:ascii="Calibri" w:eastAsia="Calibri" w:hAnsi="Calibri" w:cs="Arial"/>
          <w:sz w:val="18"/>
          <w:szCs w:val="18"/>
          <w:vertAlign w:val="superscript"/>
          <w:rtl/>
        </w:rPr>
        <w:footnoteReference w:id="5582"/>
      </w:r>
      <w:r w:rsidRPr="0004348D">
        <w:rPr>
          <w:rFonts w:ascii="Calibri" w:eastAsia="Calibri" w:hAnsi="Calibri" w:cs="Arial"/>
          <w:sz w:val="18"/>
          <w:szCs w:val="18"/>
          <w:rtl/>
        </w:rPr>
        <w:t xml:space="preserve"> (ב"י בשם התרומות ומרדכי פ"ק דכתובות). ויש חולקין (שם במרדכי) ועיין לעיל סי' ל"ט סעיף ה'. וכל מקום שנאמן לומר פרעתי, נאמן לומר מחלת לי, אע"פ שמחילה טענה גרועה היא (מרדכי פ' השותפין).</w:t>
      </w:r>
      <w:r w:rsidRPr="0004348D">
        <w:rPr>
          <w:rFonts w:ascii="Calibri" w:eastAsia="Calibri" w:hAnsi="Calibri" w:cs="Arial"/>
          <w:rtl/>
        </w:rPr>
        <w:t xml:space="preserve"> </w:t>
      </w:r>
    </w:p>
    <w:p w14:paraId="4392549F" w14:textId="77777777" w:rsidR="0004348D" w:rsidRPr="0004348D" w:rsidRDefault="0004348D" w:rsidP="0004348D">
      <w:pPr>
        <w:spacing w:before="360" w:after="240"/>
        <w:rPr>
          <w:rFonts w:ascii="Calibri" w:eastAsia="Calibri" w:hAnsi="Calibri" w:cs="Arial"/>
          <w:rtl/>
        </w:rPr>
      </w:pPr>
    </w:p>
    <w:p w14:paraId="5FC53977" w14:textId="77777777" w:rsidR="0004348D" w:rsidRPr="0004348D" w:rsidRDefault="0004348D" w:rsidP="0004348D">
      <w:pPr>
        <w:keepNext/>
        <w:keepLines/>
        <w:spacing w:before="360" w:after="240"/>
        <w:outlineLvl w:val="1"/>
        <w:rPr>
          <w:rFonts w:ascii="Cambria" w:eastAsia="Times New Roman" w:hAnsi="Cambria" w:cs="Arial"/>
          <w:bCs/>
          <w:color w:val="548DD4" w:themeColor="text2" w:themeTint="99"/>
          <w:sz w:val="26"/>
          <w:szCs w:val="26"/>
          <w:rtl/>
        </w:rPr>
      </w:pPr>
      <w:bookmarkStart w:id="786" w:name="_Toc24884188"/>
      <w:r w:rsidRPr="0004348D">
        <w:rPr>
          <w:rFonts w:ascii="Cambria" w:eastAsia="Times New Roman" w:hAnsi="Cambria" w:cs="Arial"/>
          <w:bCs/>
          <w:color w:val="548DD4" w:themeColor="text2" w:themeTint="99"/>
          <w:sz w:val="26"/>
          <w:szCs w:val="26"/>
          <w:rtl/>
        </w:rPr>
        <w:t>סעיף ב: הלוה בעדים - ולאחר זמן הפרעון טען ואמר 'פרעתיך בפני פלוני ופלוני'.</w:t>
      </w:r>
      <w:bookmarkEnd w:id="786"/>
    </w:p>
    <w:p w14:paraId="2C3A850A" w14:textId="77777777" w:rsidR="0004348D" w:rsidRPr="0004348D" w:rsidRDefault="0004348D" w:rsidP="0004348D">
      <w:pPr>
        <w:spacing w:before="360" w:after="240"/>
        <w:rPr>
          <w:rFonts w:ascii="Calibri" w:eastAsia="Calibri" w:hAnsi="Calibri" w:cs="Arial"/>
          <w:rtl/>
        </w:rPr>
      </w:pPr>
      <w:r w:rsidRPr="0004348D">
        <w:rPr>
          <w:rFonts w:ascii="Calibri" w:eastAsia="Calibri" w:hAnsi="Calibri" w:cs="Arial"/>
          <w:b/>
          <w:bCs/>
          <w:rtl/>
        </w:rPr>
        <w:t xml:space="preserve">בבא בתרא </w:t>
      </w:r>
      <w:r w:rsidRPr="0004348D">
        <w:rPr>
          <w:rFonts w:ascii="Calibri" w:eastAsia="Calibri" w:hAnsi="Calibri" w:cs="Arial"/>
          <w:b/>
          <w:bCs/>
          <w:sz w:val="16"/>
          <w:szCs w:val="16"/>
          <w:rtl/>
        </w:rPr>
        <w:t>(פרק גט פשוט)</w:t>
      </w:r>
      <w:r w:rsidRPr="0004348D">
        <w:rPr>
          <w:rFonts w:ascii="Calibri" w:eastAsia="Calibri" w:hAnsi="Calibri" w:cs="Arial"/>
          <w:b/>
          <w:bCs/>
          <w:rtl/>
        </w:rPr>
        <w:t xml:space="preserve"> קסט</w:t>
      </w:r>
      <w:r w:rsidRPr="0004348D">
        <w:rPr>
          <w:rFonts w:ascii="Calibri" w:eastAsia="Calibri" w:hAnsi="Calibri" w:cs="Arial"/>
          <w:b/>
          <w:bCs/>
          <w:vertAlign w:val="superscript"/>
          <w:rtl/>
        </w:rPr>
        <w:footnoteReference w:id="5583"/>
      </w:r>
      <w:r w:rsidRPr="0004348D">
        <w:rPr>
          <w:rFonts w:ascii="Calibri" w:eastAsia="Calibri" w:hAnsi="Calibri" w:cs="Arial"/>
          <w:b/>
          <w:bCs/>
          <w:rtl/>
        </w:rPr>
        <w:t xml:space="preserve"> ע"ב:</w:t>
      </w:r>
      <w:r w:rsidRPr="0004348D">
        <w:rPr>
          <w:rFonts w:ascii="Calibri" w:eastAsia="Calibri" w:hAnsi="Calibri" w:cs="Arial"/>
          <w:rtl/>
        </w:rPr>
        <w:t xml:space="preserve"> ת"ר: הבא לידון בשטר ובחזקה - נידון בשטר, </w:t>
      </w:r>
      <w:r w:rsidRPr="0004348D">
        <w:rPr>
          <w:rFonts w:ascii="Calibri" w:eastAsia="Calibri" w:hAnsi="Calibri" w:cs="Arial"/>
          <w:u w:val="single"/>
          <w:rtl/>
        </w:rPr>
        <w:t>דברי רבי</w:t>
      </w:r>
      <w:r w:rsidRPr="0004348D">
        <w:rPr>
          <w:rFonts w:ascii="Calibri" w:eastAsia="Calibri" w:hAnsi="Calibri" w:cs="Arial"/>
          <w:rtl/>
        </w:rPr>
        <w:t xml:space="preserve">. </w:t>
      </w:r>
      <w:r w:rsidRPr="0004348D">
        <w:rPr>
          <w:rFonts w:ascii="Calibri" w:eastAsia="Calibri" w:hAnsi="Calibri" w:cs="Arial"/>
          <w:u w:val="single"/>
          <w:rtl/>
        </w:rPr>
        <w:t>רשב"ג אומר</w:t>
      </w:r>
      <w:r w:rsidRPr="0004348D">
        <w:rPr>
          <w:rFonts w:ascii="Calibri" w:eastAsia="Calibri" w:hAnsi="Calibri" w:cs="Arial"/>
          <w:rtl/>
        </w:rPr>
        <w:t xml:space="preserve">: בחזקה. במאי קמיפלגי?... </w:t>
      </w:r>
      <w:r w:rsidRPr="0004348D">
        <w:rPr>
          <w:rFonts w:ascii="Calibri" w:eastAsia="Calibri" w:hAnsi="Calibri" w:cs="Arial"/>
          <w:sz w:val="14"/>
          <w:szCs w:val="14"/>
          <w:rtl/>
        </w:rPr>
        <w:t>(קע.)</w:t>
      </w:r>
      <w:r w:rsidRPr="0004348D">
        <w:rPr>
          <w:rFonts w:ascii="Calibri" w:eastAsia="Calibri" w:hAnsi="Calibri" w:cs="Arial"/>
          <w:rtl/>
        </w:rPr>
        <w:t xml:space="preserve"> הכא בלברר קמיפלגי, כי הא דרב יצחק בר יוסף הוה מסיק ביה זוזי ברבי אבא, אתא לקמיה דרבי יצחק נפחא, </w:t>
      </w:r>
      <w:r w:rsidRPr="0004348D">
        <w:rPr>
          <w:rFonts w:ascii="Calibri" w:eastAsia="Calibri" w:hAnsi="Calibri" w:cs="Arial"/>
          <w:u w:val="single"/>
          <w:rtl/>
        </w:rPr>
        <w:t>אמר</w:t>
      </w:r>
      <w:r w:rsidRPr="0004348D">
        <w:rPr>
          <w:rFonts w:ascii="Calibri" w:eastAsia="Calibri" w:hAnsi="Calibri" w:cs="Arial"/>
          <w:rtl/>
        </w:rPr>
        <w:t xml:space="preserve">: פרעתיך בפני פלוני ופלוני. </w:t>
      </w:r>
      <w:r w:rsidRPr="0004348D">
        <w:rPr>
          <w:rFonts w:ascii="Calibri" w:eastAsia="Calibri" w:hAnsi="Calibri" w:cs="Arial"/>
          <w:u w:val="single"/>
          <w:rtl/>
        </w:rPr>
        <w:t>אמר ליה רבי יצחק</w:t>
      </w:r>
      <w:r w:rsidRPr="0004348D">
        <w:rPr>
          <w:rFonts w:ascii="Calibri" w:eastAsia="Calibri" w:hAnsi="Calibri" w:cs="Arial"/>
          <w:rtl/>
        </w:rPr>
        <w:t xml:space="preserve">: יבואו פלוני ופלוני ויעידו. </w:t>
      </w:r>
      <w:r w:rsidRPr="0004348D">
        <w:rPr>
          <w:rFonts w:ascii="Calibri" w:eastAsia="Calibri" w:hAnsi="Calibri" w:cs="Arial"/>
          <w:u w:val="single"/>
          <w:rtl/>
        </w:rPr>
        <w:t>אמר ליה</w:t>
      </w:r>
      <w:r w:rsidRPr="0004348D">
        <w:rPr>
          <w:rFonts w:ascii="Calibri" w:eastAsia="Calibri" w:hAnsi="Calibri" w:cs="Arial"/>
          <w:rtl/>
        </w:rPr>
        <w:t xml:space="preserve">: אי לא אתו לא מהימנינא? והא קיימא לן: המלוה את חבירו בעדים - אינו צריך לפרעו בעדים! </w:t>
      </w:r>
      <w:r w:rsidRPr="0004348D">
        <w:rPr>
          <w:rFonts w:ascii="Calibri" w:eastAsia="Calibri" w:hAnsi="Calibri" w:cs="Arial"/>
          <w:u w:val="single"/>
          <w:rtl/>
        </w:rPr>
        <w:t>אמר ליה</w:t>
      </w:r>
      <w:r w:rsidRPr="0004348D">
        <w:rPr>
          <w:rFonts w:ascii="Calibri" w:eastAsia="Calibri" w:hAnsi="Calibri" w:cs="Arial"/>
          <w:rtl/>
        </w:rPr>
        <w:t xml:space="preserve">: אנא בההיא כשמעתא דמר סבירא לי, דאמר רבי אבא אמר רב אדא בר אהבה אמר רב: האומר לחבירו פרעתיך בפני פלוני ופלוני - צריך שיבואו פלוני ופלוני ויעידו. </w:t>
      </w:r>
      <w:r w:rsidRPr="0004348D">
        <w:rPr>
          <w:rFonts w:ascii="Calibri" w:eastAsia="Calibri" w:hAnsi="Calibri" w:cs="Arial"/>
          <w:u w:val="single"/>
          <w:rtl/>
        </w:rPr>
        <w:t>א"ל</w:t>
      </w:r>
      <w:r w:rsidRPr="0004348D">
        <w:rPr>
          <w:rFonts w:ascii="Calibri" w:eastAsia="Calibri" w:hAnsi="Calibri" w:cs="Arial"/>
          <w:rtl/>
        </w:rPr>
        <w:t xml:space="preserve">: והא אמר רב גידל אמר רב: הלכה כדברי רבן שמעון בן גמליאל, ואף רבי לא </w:t>
      </w:r>
      <w:r w:rsidRPr="0004348D">
        <w:rPr>
          <w:rFonts w:ascii="Calibri" w:eastAsia="Calibri" w:hAnsi="Calibri" w:cs="Arial"/>
          <w:sz w:val="14"/>
          <w:szCs w:val="14"/>
          <w:rtl/>
        </w:rPr>
        <w:t xml:space="preserve">(קע:) </w:t>
      </w:r>
      <w:r w:rsidRPr="0004348D">
        <w:rPr>
          <w:rFonts w:ascii="Calibri" w:eastAsia="Calibri" w:hAnsi="Calibri" w:cs="Arial"/>
          <w:rtl/>
        </w:rPr>
        <w:t>אמר אלא לברר</w:t>
      </w:r>
      <w:r w:rsidRPr="0004348D">
        <w:rPr>
          <w:rFonts w:ascii="Calibri" w:eastAsia="Calibri" w:hAnsi="Calibri" w:cs="Arial"/>
          <w:vertAlign w:val="superscript"/>
          <w:rtl/>
        </w:rPr>
        <w:footnoteReference w:id="5584"/>
      </w:r>
      <w:r w:rsidRPr="0004348D">
        <w:rPr>
          <w:rFonts w:ascii="Calibri" w:eastAsia="Calibri" w:hAnsi="Calibri" w:cs="Arial"/>
          <w:rtl/>
        </w:rPr>
        <w:t xml:space="preserve">! </w:t>
      </w:r>
      <w:r w:rsidRPr="0004348D">
        <w:rPr>
          <w:rFonts w:ascii="Calibri" w:eastAsia="Calibri" w:hAnsi="Calibri" w:cs="Arial"/>
          <w:u w:val="single"/>
          <w:rtl/>
        </w:rPr>
        <w:t>א"ל</w:t>
      </w:r>
      <w:r w:rsidRPr="0004348D">
        <w:rPr>
          <w:rFonts w:ascii="Calibri" w:eastAsia="Calibri" w:hAnsi="Calibri" w:cs="Arial"/>
          <w:rtl/>
        </w:rPr>
        <w:t>: אנא נמי לברר קאמינא.</w:t>
      </w:r>
    </w:p>
    <w:p w14:paraId="5C0E9F4E" w14:textId="77777777" w:rsidR="0004348D" w:rsidRPr="0004348D" w:rsidRDefault="0004348D" w:rsidP="0004348D">
      <w:pPr>
        <w:spacing w:before="360" w:after="240"/>
        <w:rPr>
          <w:rFonts w:ascii="Calibri" w:eastAsia="Calibri" w:hAnsi="Calibri" w:cs="Arial"/>
          <w:rtl/>
        </w:rPr>
      </w:pPr>
      <w:r w:rsidRPr="0004348D">
        <w:rPr>
          <w:rFonts w:ascii="Calibri" w:eastAsia="Calibri" w:hAnsi="Calibri" w:cs="Arial"/>
          <w:b/>
          <w:bCs/>
          <w:rtl/>
        </w:rPr>
        <w:t xml:space="preserve">שבועות </w:t>
      </w:r>
      <w:r w:rsidRPr="0004348D">
        <w:rPr>
          <w:rFonts w:ascii="Calibri" w:eastAsia="Calibri" w:hAnsi="Calibri" w:cs="Arial"/>
          <w:b/>
          <w:bCs/>
          <w:sz w:val="16"/>
          <w:szCs w:val="16"/>
          <w:rtl/>
        </w:rPr>
        <w:t xml:space="preserve">(פרק שבועת הדיינים) </w:t>
      </w:r>
      <w:r w:rsidRPr="0004348D">
        <w:rPr>
          <w:rFonts w:ascii="Calibri" w:eastAsia="Calibri" w:hAnsi="Calibri" w:cs="Arial"/>
          <w:b/>
          <w:bCs/>
          <w:rtl/>
        </w:rPr>
        <w:t>מא</w:t>
      </w:r>
      <w:r w:rsidRPr="0004348D">
        <w:rPr>
          <w:rFonts w:ascii="Calibri" w:eastAsia="Calibri" w:hAnsi="Calibri" w:cs="Arial"/>
          <w:b/>
          <w:bCs/>
          <w:vertAlign w:val="superscript"/>
          <w:rtl/>
        </w:rPr>
        <w:footnoteReference w:id="5585"/>
      </w:r>
      <w:r w:rsidRPr="0004348D">
        <w:rPr>
          <w:rFonts w:ascii="Calibri" w:eastAsia="Calibri" w:hAnsi="Calibri" w:cs="Arial"/>
          <w:b/>
          <w:bCs/>
          <w:rtl/>
        </w:rPr>
        <w:t xml:space="preserve"> ע"ב:</w:t>
      </w:r>
      <w:r w:rsidRPr="0004348D">
        <w:rPr>
          <w:rFonts w:ascii="Calibri" w:eastAsia="Calibri" w:hAnsi="Calibri" w:cs="Arial"/>
          <w:rtl/>
        </w:rPr>
        <w:t xml:space="preserve"> ההוא דאמר ליה לחבריה: הב לי מאה זוזי דמסיקנא בך, א"ל: לא פרעתיך בפני פלוני ופלוני? אתו פלוני ופלוני אמרי: לא היו דברים מעולם. </w:t>
      </w:r>
      <w:r w:rsidRPr="0004348D">
        <w:rPr>
          <w:rFonts w:ascii="Calibri" w:eastAsia="Calibri" w:hAnsi="Calibri" w:cs="Arial"/>
          <w:u w:val="single"/>
          <w:rtl/>
        </w:rPr>
        <w:t>סבר רב ששת למימר</w:t>
      </w:r>
      <w:r w:rsidRPr="0004348D">
        <w:rPr>
          <w:rFonts w:ascii="Calibri" w:eastAsia="Calibri" w:hAnsi="Calibri" w:cs="Arial"/>
          <w:rtl/>
        </w:rPr>
        <w:t xml:space="preserve">: הוחזק כפרן. </w:t>
      </w:r>
      <w:r w:rsidRPr="0004348D">
        <w:rPr>
          <w:rFonts w:ascii="Calibri" w:eastAsia="Calibri" w:hAnsi="Calibri" w:cs="Arial"/>
          <w:u w:val="single"/>
          <w:rtl/>
        </w:rPr>
        <w:t>אמר ליה רבא</w:t>
      </w:r>
      <w:r w:rsidRPr="0004348D">
        <w:rPr>
          <w:rFonts w:ascii="Calibri" w:eastAsia="Calibri" w:hAnsi="Calibri" w:cs="Arial"/>
          <w:rtl/>
        </w:rPr>
        <w:t>: כל מילתא דלא רמיא עליה דאינש - לאו אדעתיה</w:t>
      </w:r>
      <w:r w:rsidRPr="0004348D">
        <w:rPr>
          <w:rFonts w:ascii="Calibri" w:eastAsia="Calibri" w:hAnsi="Calibri" w:cs="Arial"/>
          <w:vertAlign w:val="superscript"/>
          <w:rtl/>
        </w:rPr>
        <w:footnoteReference w:id="5586"/>
      </w:r>
      <w:r w:rsidRPr="0004348D">
        <w:rPr>
          <w:rFonts w:ascii="Calibri" w:eastAsia="Calibri" w:hAnsi="Calibri" w:cs="Arial"/>
          <w:rtl/>
        </w:rPr>
        <w:t xml:space="preserve">. </w:t>
      </w:r>
    </w:p>
    <w:p w14:paraId="380268E6" w14:textId="77777777" w:rsidR="0004348D" w:rsidRPr="0004348D" w:rsidRDefault="0004348D" w:rsidP="0004348D">
      <w:pPr>
        <w:spacing w:before="360" w:after="240"/>
        <w:rPr>
          <w:rFonts w:ascii="Calibri" w:eastAsia="Calibri" w:hAnsi="Calibri" w:cs="Arial"/>
          <w:sz w:val="16"/>
          <w:szCs w:val="16"/>
          <w:rtl/>
        </w:rPr>
      </w:pPr>
      <w:r w:rsidRPr="0004348D">
        <w:rPr>
          <w:rFonts w:ascii="Calibri" w:eastAsia="Calibri" w:hAnsi="Calibri" w:cs="Arial"/>
          <w:b/>
          <w:bCs/>
          <w:rtl/>
        </w:rPr>
        <w:t xml:space="preserve">סנהדרין </w:t>
      </w:r>
      <w:r w:rsidRPr="0004348D">
        <w:rPr>
          <w:rFonts w:ascii="Calibri" w:eastAsia="Calibri" w:hAnsi="Calibri" w:cs="Arial"/>
          <w:b/>
          <w:bCs/>
          <w:sz w:val="16"/>
          <w:szCs w:val="16"/>
          <w:rtl/>
        </w:rPr>
        <w:t xml:space="preserve">(פרק זה בורר) </w:t>
      </w:r>
      <w:r w:rsidRPr="0004348D">
        <w:rPr>
          <w:rFonts w:ascii="Calibri" w:eastAsia="Calibri" w:hAnsi="Calibri" w:cs="Arial"/>
          <w:b/>
          <w:bCs/>
          <w:rtl/>
        </w:rPr>
        <w:t xml:space="preserve">כג ע"ב: </w:t>
      </w:r>
      <w:r w:rsidRPr="0004348D">
        <w:rPr>
          <w:rFonts w:ascii="Calibri" w:eastAsia="Calibri" w:hAnsi="Calibri" w:cs="Arial"/>
          <w:rtl/>
        </w:rPr>
        <w:t xml:space="preserve">הבא לידון בשטר ובחזקה - נידון בשטר, </w:t>
      </w:r>
      <w:r w:rsidRPr="0004348D">
        <w:rPr>
          <w:rFonts w:ascii="Calibri" w:eastAsia="Calibri" w:hAnsi="Calibri" w:cs="Arial"/>
          <w:u w:val="single"/>
          <w:rtl/>
        </w:rPr>
        <w:t>דברי רבי</w:t>
      </w:r>
      <w:r w:rsidRPr="0004348D">
        <w:rPr>
          <w:rFonts w:ascii="Calibri" w:eastAsia="Calibri" w:hAnsi="Calibri" w:cs="Arial"/>
          <w:rtl/>
        </w:rPr>
        <w:t xml:space="preserve">. </w:t>
      </w:r>
      <w:r w:rsidRPr="0004348D">
        <w:rPr>
          <w:rFonts w:ascii="Calibri" w:eastAsia="Calibri" w:hAnsi="Calibri" w:cs="Arial"/>
          <w:u w:val="single"/>
          <w:rtl/>
        </w:rPr>
        <w:t>רבן שמעון בן גמליאל אומר</w:t>
      </w:r>
      <w:r w:rsidRPr="0004348D">
        <w:rPr>
          <w:rFonts w:ascii="Calibri" w:eastAsia="Calibri" w:hAnsi="Calibri" w:cs="Arial"/>
          <w:rtl/>
        </w:rPr>
        <w:t xml:space="preserve">: נידון בחזקה והוינן בה: בחזקה ולא בשטר? אלא אימא: אף בחזקה. וקיימא לן: דבצריך לברר פליגי. לא, אליבא דרבן שמעון בן גמליאל - כולי עלמא לא פליגי, כי פליגי - אליבא דרבי. דרבי מאיר כרבי, ורבנן אמרי לך: עד כאן לא קאמר רבי התם - אלא בחזקה דמכח שטרא קאתי. אבל הכא דהני עדים לאו מכח עדים אחריני קאתו - אפילו רבי מודה דאין צריך לברר. </w:t>
      </w:r>
      <w:r w:rsidRPr="0004348D">
        <w:rPr>
          <w:rFonts w:ascii="Calibri" w:eastAsia="Calibri" w:hAnsi="Calibri" w:cs="Arial"/>
          <w:sz w:val="16"/>
          <w:szCs w:val="16"/>
          <w:rtl/>
        </w:rPr>
        <w:t>{הוספתי אחרי - צ"ע}</w:t>
      </w:r>
    </w:p>
    <w:p w14:paraId="4F7F192B" w14:textId="77777777" w:rsidR="0004348D" w:rsidRPr="0004348D" w:rsidRDefault="0004348D" w:rsidP="0004348D">
      <w:pPr>
        <w:spacing w:before="360" w:after="240"/>
        <w:rPr>
          <w:rFonts w:ascii="Calibri" w:eastAsia="Calibri" w:hAnsi="Calibri" w:cs="Arial"/>
          <w:u w:val="single"/>
          <w:rtl/>
        </w:rPr>
      </w:pPr>
      <w:r w:rsidRPr="0004348D">
        <w:rPr>
          <w:rFonts w:ascii="Calibri" w:eastAsia="Calibri" w:hAnsi="Calibri" w:cs="Arial"/>
          <w:u w:val="single"/>
          <w:rtl/>
        </w:rPr>
        <w:t>האומר 'פרעתיך בפני פלוני ופלוני' – האם צריך לברר דבריו ולהביא את העדים:</w:t>
      </w:r>
    </w:p>
    <w:p w14:paraId="59F569C0" w14:textId="77777777" w:rsidR="0004348D" w:rsidRPr="0004348D" w:rsidRDefault="0004348D" w:rsidP="00992A87">
      <w:pPr>
        <w:numPr>
          <w:ilvl w:val="0"/>
          <w:numId w:val="358"/>
        </w:numPr>
        <w:spacing w:before="360" w:after="240"/>
        <w:contextualSpacing/>
        <w:rPr>
          <w:rFonts w:ascii="Calibri" w:eastAsia="Calibri" w:hAnsi="Calibri" w:cs="Arial"/>
          <w:rtl/>
        </w:rPr>
      </w:pPr>
      <w:r w:rsidRPr="0004348D">
        <w:rPr>
          <w:rFonts w:ascii="Calibri" w:eastAsia="Calibri" w:hAnsi="Calibri" w:cs="Arial"/>
          <w:rtl/>
        </w:rPr>
        <w:t>ר"ח ר"ת</w:t>
      </w:r>
      <w:r w:rsidRPr="0004348D">
        <w:rPr>
          <w:rFonts w:ascii="Calibri" w:eastAsia="Calibri" w:hAnsi="Calibri" w:cs="Arial"/>
          <w:vertAlign w:val="superscript"/>
          <w:rtl/>
        </w:rPr>
        <w:footnoteReference w:id="5587"/>
      </w:r>
      <w:r w:rsidRPr="0004348D">
        <w:rPr>
          <w:rFonts w:ascii="Calibri" w:eastAsia="Calibri" w:hAnsi="Calibri" w:cs="Arial"/>
          <w:rtl/>
        </w:rPr>
        <w:t xml:space="preserve"> רמ"ה רא"ש</w:t>
      </w:r>
      <w:r w:rsidRPr="0004348D">
        <w:rPr>
          <w:rFonts w:ascii="Calibri" w:eastAsia="Calibri" w:hAnsi="Calibri" w:cs="Arial"/>
          <w:vertAlign w:val="superscript"/>
          <w:rtl/>
        </w:rPr>
        <w:footnoteReference w:id="5588"/>
      </w:r>
      <w:r w:rsidRPr="0004348D">
        <w:rPr>
          <w:rFonts w:ascii="Calibri" w:eastAsia="Calibri" w:hAnsi="Calibri" w:cs="Arial"/>
          <w:rtl/>
        </w:rPr>
        <w:t xml:space="preserve"> וטור</w:t>
      </w:r>
      <w:r w:rsidRPr="0004348D">
        <w:rPr>
          <w:rFonts w:ascii="Calibri" w:eastAsia="Calibri" w:hAnsi="Calibri" w:cs="Arial"/>
          <w:vertAlign w:val="superscript"/>
          <w:rtl/>
        </w:rPr>
        <w:footnoteReference w:id="5589"/>
      </w:r>
      <w:r w:rsidRPr="0004348D">
        <w:rPr>
          <w:rFonts w:ascii="Calibri" w:eastAsia="Calibri" w:hAnsi="Calibri" w:cs="Arial"/>
          <w:rtl/>
        </w:rPr>
        <w:t>- טען ואמר 'פרעתיך בפני פלוני ופלוני', אומרים לו 'הבא אותם ויעידו', שצריך לברר דבריו. ומיהו אם א"א לו לברר כגון שמתו העדים או שהלכו למדינת הים - ישבע היסת ויפטר</w:t>
      </w:r>
      <w:r w:rsidRPr="0004348D">
        <w:rPr>
          <w:rFonts w:ascii="Calibri" w:eastAsia="Calibri" w:hAnsi="Calibri" w:cs="Arial"/>
          <w:sz w:val="16"/>
          <w:szCs w:val="16"/>
          <w:rtl/>
        </w:rPr>
        <w:t xml:space="preserve"> (ל' הטור)</w:t>
      </w:r>
      <w:r w:rsidRPr="0004348D">
        <w:rPr>
          <w:rFonts w:ascii="Calibri" w:eastAsia="Calibri" w:hAnsi="Calibri" w:cs="Arial"/>
          <w:rtl/>
        </w:rPr>
        <w:t xml:space="preserve">. </w:t>
      </w:r>
      <w:r w:rsidRPr="0004348D">
        <w:rPr>
          <w:rFonts w:ascii="Calibri" w:eastAsia="Calibri" w:hAnsi="Calibri" w:cs="Arial"/>
          <w:color w:val="E36C0A" w:themeColor="accent6" w:themeShade="BF"/>
          <w:rtl/>
        </w:rPr>
        <w:t>(וכ"פ בשו"ע)</w:t>
      </w:r>
      <w:r w:rsidRPr="0004348D">
        <w:rPr>
          <w:rFonts w:ascii="Calibri" w:eastAsia="Calibri" w:hAnsi="Calibri" w:cs="Arial"/>
          <w:color w:val="00B0F0"/>
          <w:rtl/>
        </w:rPr>
        <w:t xml:space="preserve"> (וכ"כ הרמ"א)</w:t>
      </w:r>
    </w:p>
    <w:p w14:paraId="36E6D081" w14:textId="77777777" w:rsidR="0004348D" w:rsidRPr="0004348D" w:rsidRDefault="0004348D" w:rsidP="00992A87">
      <w:pPr>
        <w:numPr>
          <w:ilvl w:val="0"/>
          <w:numId w:val="358"/>
        </w:numPr>
        <w:spacing w:before="360" w:after="240"/>
        <w:contextualSpacing/>
        <w:rPr>
          <w:rFonts w:ascii="Calibri" w:eastAsia="Calibri" w:hAnsi="Calibri" w:cs="Arial"/>
          <w:rtl/>
        </w:rPr>
      </w:pPr>
      <w:r w:rsidRPr="0004348D">
        <w:rPr>
          <w:rFonts w:ascii="Calibri" w:eastAsia="Calibri" w:hAnsi="Calibri" w:cs="Arial"/>
          <w:rtl/>
        </w:rPr>
        <w:t>רי"ף רשב"ם</w:t>
      </w:r>
      <w:r w:rsidRPr="0004348D">
        <w:rPr>
          <w:rFonts w:ascii="Calibri" w:eastAsia="Calibri" w:hAnsi="Calibri" w:cs="Arial"/>
          <w:vertAlign w:val="superscript"/>
          <w:rtl/>
        </w:rPr>
        <w:footnoteReference w:id="5590"/>
      </w:r>
      <w:r w:rsidRPr="0004348D">
        <w:rPr>
          <w:rFonts w:ascii="Calibri" w:eastAsia="Calibri" w:hAnsi="Calibri" w:cs="Arial"/>
          <w:rtl/>
        </w:rPr>
        <w:t xml:space="preserve"> הג"א מאו"ז רשב"א ר"ן</w:t>
      </w:r>
      <w:r w:rsidRPr="0004348D">
        <w:rPr>
          <w:rFonts w:ascii="Calibri" w:eastAsia="Calibri" w:hAnsi="Calibri" w:cs="Arial"/>
          <w:vertAlign w:val="superscript"/>
          <w:rtl/>
        </w:rPr>
        <w:footnoteReference w:id="5591"/>
      </w:r>
      <w:r w:rsidRPr="0004348D">
        <w:rPr>
          <w:rFonts w:ascii="Calibri" w:eastAsia="Calibri" w:hAnsi="Calibri" w:cs="Arial"/>
          <w:rtl/>
        </w:rPr>
        <w:t xml:space="preserve"> והה"מ</w:t>
      </w:r>
      <w:r w:rsidRPr="0004348D">
        <w:rPr>
          <w:rFonts w:ascii="Calibri" w:eastAsia="Calibri" w:hAnsi="Calibri" w:cs="Arial"/>
          <w:vertAlign w:val="superscript"/>
          <w:rtl/>
        </w:rPr>
        <w:footnoteReference w:id="5592"/>
      </w:r>
      <w:r w:rsidRPr="0004348D">
        <w:rPr>
          <w:rFonts w:ascii="Calibri" w:eastAsia="Calibri" w:hAnsi="Calibri" w:cs="Arial"/>
          <w:rtl/>
        </w:rPr>
        <w:t>- אין צריך לברר דבריו</w:t>
      </w:r>
      <w:r w:rsidRPr="0004348D">
        <w:rPr>
          <w:rFonts w:ascii="Calibri" w:eastAsia="Calibri" w:hAnsi="Calibri" w:cs="Arial"/>
          <w:sz w:val="16"/>
          <w:szCs w:val="16"/>
          <w:rtl/>
        </w:rPr>
        <w:t xml:space="preserve"> {היינו אין צריך שיבואו פלוני ופלוני ויעידו}</w:t>
      </w:r>
      <w:r w:rsidRPr="0004348D">
        <w:rPr>
          <w:rFonts w:ascii="Calibri" w:eastAsia="Calibri" w:hAnsi="Calibri" w:cs="Arial"/>
          <w:rtl/>
        </w:rPr>
        <w:t>, כההיא דשבועת הדיינים דכל מילתא דלא רמיא אאינש לאו אדעתיה.</w:t>
      </w:r>
    </w:p>
    <w:p w14:paraId="4FD9B1F7" w14:textId="77777777" w:rsidR="0004348D" w:rsidRPr="0004348D" w:rsidRDefault="0004348D" w:rsidP="0004348D">
      <w:pPr>
        <w:numPr>
          <w:ilvl w:val="0"/>
          <w:numId w:val="356"/>
        </w:numPr>
        <w:spacing w:before="360" w:after="240"/>
        <w:contextualSpacing/>
        <w:rPr>
          <w:rFonts w:ascii="Calibri" w:eastAsia="Calibri" w:hAnsi="Calibri" w:cs="Arial"/>
          <w:rtl/>
        </w:rPr>
      </w:pPr>
      <w:r w:rsidRPr="0004348D">
        <w:rPr>
          <w:rFonts w:ascii="Calibri" w:eastAsia="Calibri" w:hAnsi="Calibri" w:cs="Arial"/>
          <w:rtl/>
        </w:rPr>
        <w:t>רש"י</w:t>
      </w:r>
      <w:r w:rsidRPr="0004348D">
        <w:rPr>
          <w:rFonts w:ascii="Calibri" w:eastAsia="Calibri" w:hAnsi="Calibri" w:cs="Arial"/>
          <w:vertAlign w:val="superscript"/>
          <w:rtl/>
        </w:rPr>
        <w:footnoteReference w:id="5593"/>
      </w:r>
      <w:r w:rsidRPr="0004348D">
        <w:rPr>
          <w:rFonts w:ascii="Calibri" w:eastAsia="Calibri" w:hAnsi="Calibri" w:cs="Arial"/>
          <w:rtl/>
        </w:rPr>
        <w:t>- האומר פרעתיך בפני פלוני ופלוני - אין נאמן אפילו בשבועה עד שיבואו פלוני ופלוני ויעידו.</w:t>
      </w:r>
    </w:p>
    <w:p w14:paraId="6D8D270C" w14:textId="77777777" w:rsidR="0004348D" w:rsidRPr="0004348D" w:rsidRDefault="0004348D" w:rsidP="00992A87">
      <w:pPr>
        <w:numPr>
          <w:ilvl w:val="0"/>
          <w:numId w:val="358"/>
        </w:numPr>
        <w:spacing w:before="360" w:after="240"/>
        <w:contextualSpacing/>
        <w:rPr>
          <w:rFonts w:ascii="Calibri" w:eastAsia="Calibri" w:hAnsi="Calibri" w:cs="Arial"/>
          <w:rtl/>
        </w:rPr>
      </w:pPr>
      <w:r w:rsidRPr="0004348D">
        <w:rPr>
          <w:rFonts w:ascii="Calibri" w:eastAsia="Calibri" w:hAnsi="Calibri" w:cs="Arial"/>
          <w:rtl/>
        </w:rPr>
        <w:t>רז"ה</w:t>
      </w:r>
      <w:r w:rsidRPr="0004348D">
        <w:rPr>
          <w:rFonts w:ascii="Calibri" w:eastAsia="Calibri" w:hAnsi="Calibri" w:cs="Arial"/>
          <w:sz w:val="16"/>
          <w:szCs w:val="16"/>
          <w:rtl/>
        </w:rPr>
        <w:t xml:space="preserve"> (המאור ב"ב עח:, וכ"כ הטור בשמו)</w:t>
      </w:r>
      <w:r w:rsidRPr="0004348D">
        <w:rPr>
          <w:rFonts w:ascii="Calibri" w:eastAsia="Calibri" w:hAnsi="Calibri" w:cs="Arial"/>
          <w:rtl/>
        </w:rPr>
        <w:t xml:space="preserve">- כשאמר שהזמינם לעדות אז צריך לברר דבריו... אבל כשלא הזמינם לעדות א"צ לברר דבריו. </w:t>
      </w:r>
    </w:p>
    <w:p w14:paraId="5B1FDACA" w14:textId="77777777" w:rsidR="0004348D" w:rsidRPr="0004348D" w:rsidRDefault="0004348D" w:rsidP="0004348D">
      <w:pPr>
        <w:numPr>
          <w:ilvl w:val="0"/>
          <w:numId w:val="356"/>
        </w:numPr>
        <w:spacing w:before="360" w:after="240"/>
        <w:contextualSpacing/>
        <w:rPr>
          <w:rFonts w:ascii="Calibri" w:eastAsia="Calibri" w:hAnsi="Calibri" w:cs="Arial"/>
        </w:rPr>
      </w:pPr>
      <w:r w:rsidRPr="0004348D">
        <w:rPr>
          <w:rFonts w:ascii="Calibri" w:eastAsia="Calibri" w:hAnsi="Calibri" w:cs="Arial"/>
          <w:rtl/>
        </w:rPr>
        <w:t xml:space="preserve">רמב"ם </w:t>
      </w:r>
      <w:r w:rsidRPr="0004348D">
        <w:rPr>
          <w:rFonts w:ascii="Calibri" w:eastAsia="Calibri" w:hAnsi="Calibri" w:cs="Arial"/>
          <w:sz w:val="16"/>
          <w:szCs w:val="16"/>
          <w:rtl/>
        </w:rPr>
        <w:t>(פ"ו מטוען ונטען ה"ד-ה)</w:t>
      </w:r>
      <w:r w:rsidRPr="0004348D">
        <w:rPr>
          <w:rFonts w:ascii="Calibri" w:eastAsia="Calibri" w:hAnsi="Calibri" w:cs="Arial"/>
          <w:rtl/>
        </w:rPr>
        <w:t xml:space="preserve">- </w:t>
      </w:r>
      <w:r w:rsidRPr="0004348D">
        <w:rPr>
          <w:rFonts w:ascii="Calibri" w:eastAsia="Calibri" w:hAnsi="Calibri" w:cs="Arial"/>
          <w:vertAlign w:val="superscript"/>
          <w:rtl/>
        </w:rPr>
        <w:footnoteReference w:id="5594"/>
      </w:r>
      <w:r w:rsidRPr="0004348D">
        <w:rPr>
          <w:rFonts w:ascii="Calibri" w:eastAsia="Calibri" w:hAnsi="Calibri" w:cs="Arial"/>
          <w:rtl/>
        </w:rPr>
        <w:t>'תן לי מנה שהלויתיך והרי העדים', ואמר הנטען 'פרעתיך בפני פלוני ופלוני', אומרין ללוה הביאם והפטר. לא באו או שמתו או שהלכו למדינה אחרת - ישבע היסת שפרעו, שאין אנו מצריכים אותו להביאן אלא לברר דבריו ולהפטר אף משבועה, שהמלוה את חבירו בעדים א"צ לפרעו בעדים כמו שבארנו</w:t>
      </w:r>
      <w:r w:rsidRPr="0004348D">
        <w:rPr>
          <w:rFonts w:ascii="Calibri" w:eastAsia="Calibri" w:hAnsi="Calibri" w:cs="Arial"/>
          <w:vertAlign w:val="superscript"/>
          <w:rtl/>
        </w:rPr>
        <w:footnoteReference w:id="5595"/>
      </w:r>
      <w:r w:rsidRPr="0004348D">
        <w:rPr>
          <w:rFonts w:ascii="Calibri" w:eastAsia="Calibri" w:hAnsi="Calibri" w:cs="Arial"/>
          <w:rtl/>
        </w:rPr>
        <w:t xml:space="preserve">. </w:t>
      </w:r>
    </w:p>
    <w:p w14:paraId="701952B8" w14:textId="77777777" w:rsidR="0004348D" w:rsidRPr="0004348D" w:rsidRDefault="0004348D" w:rsidP="0004348D">
      <w:pPr>
        <w:spacing w:before="360" w:after="240"/>
        <w:ind w:left="360"/>
        <w:rPr>
          <w:rFonts w:ascii="Calibri" w:eastAsia="Calibri" w:hAnsi="Calibri" w:cs="Arial"/>
          <w:u w:val="dotted"/>
        </w:rPr>
      </w:pPr>
      <w:r w:rsidRPr="0004348D">
        <w:rPr>
          <w:rFonts w:ascii="Calibri" w:eastAsia="Calibri" w:hAnsi="Calibri" w:cs="Arial"/>
          <w:u w:val="dotted"/>
          <w:rtl/>
        </w:rPr>
        <w:t xml:space="preserve">ומה הדין אם באו עדים ואמרו 'לא היו דברים מעולם' – האם עדיין נאמן </w:t>
      </w:r>
      <w:r w:rsidRPr="0004348D">
        <w:rPr>
          <w:rFonts w:ascii="Calibri" w:eastAsia="Calibri" w:hAnsi="Calibri" w:cs="Arial"/>
          <w:sz w:val="16"/>
          <w:szCs w:val="16"/>
          <w:u w:val="dotted"/>
          <w:rtl/>
        </w:rPr>
        <w:t>(בשבועת היסת)</w:t>
      </w:r>
      <w:r w:rsidRPr="0004348D">
        <w:rPr>
          <w:rFonts w:ascii="Calibri" w:eastAsia="Calibri" w:hAnsi="Calibri" w:cs="Arial"/>
          <w:u w:val="dotted"/>
          <w:rtl/>
        </w:rPr>
        <w:t>:</w:t>
      </w:r>
    </w:p>
    <w:p w14:paraId="168746CC" w14:textId="77777777" w:rsidR="0004348D" w:rsidRPr="0004348D" w:rsidRDefault="0004348D" w:rsidP="0004348D">
      <w:pPr>
        <w:numPr>
          <w:ilvl w:val="0"/>
          <w:numId w:val="356"/>
        </w:numPr>
        <w:spacing w:before="360" w:after="240"/>
        <w:contextualSpacing/>
        <w:rPr>
          <w:rFonts w:ascii="Calibri" w:eastAsia="Calibri" w:hAnsi="Calibri" w:cs="Arial"/>
        </w:rPr>
      </w:pPr>
      <w:r w:rsidRPr="0004348D">
        <w:rPr>
          <w:rFonts w:ascii="Calibri" w:eastAsia="Calibri" w:hAnsi="Calibri" w:cs="Arial"/>
          <w:rtl/>
        </w:rPr>
        <w:t xml:space="preserve">ר"ח </w:t>
      </w:r>
      <w:r w:rsidRPr="0004348D">
        <w:rPr>
          <w:rFonts w:ascii="Calibri" w:eastAsia="Calibri" w:hAnsi="Calibri" w:cs="Arial"/>
          <w:sz w:val="16"/>
          <w:szCs w:val="16"/>
          <w:rtl/>
        </w:rPr>
        <w:t xml:space="preserve">(כ"כ הר"ן בשמו </w:t>
      </w:r>
      <w:r w:rsidRPr="0004348D">
        <w:rPr>
          <w:rFonts w:ascii="Calibri" w:eastAsia="Calibri" w:hAnsi="Calibri" w:cs="Arial"/>
          <w:sz w:val="14"/>
          <w:szCs w:val="14"/>
          <w:rtl/>
        </w:rPr>
        <w:t>[פרק שבועת הדיינין שבועות כא:]</w:t>
      </w:r>
      <w:r w:rsidRPr="0004348D">
        <w:rPr>
          <w:rFonts w:ascii="Calibri" w:eastAsia="Calibri" w:hAnsi="Calibri" w:cs="Arial"/>
          <w:sz w:val="16"/>
          <w:szCs w:val="16"/>
          <w:rtl/>
        </w:rPr>
        <w:t>)</w:t>
      </w:r>
      <w:r w:rsidRPr="0004348D">
        <w:rPr>
          <w:rFonts w:ascii="Calibri" w:eastAsia="Calibri" w:hAnsi="Calibri" w:cs="Arial"/>
          <w:rtl/>
        </w:rPr>
        <w:t xml:space="preserve"> ורא"ש </w:t>
      </w:r>
      <w:r w:rsidRPr="0004348D">
        <w:rPr>
          <w:rFonts w:ascii="Calibri" w:eastAsia="Calibri" w:hAnsi="Calibri" w:cs="Arial"/>
          <w:sz w:val="16"/>
          <w:szCs w:val="16"/>
          <w:rtl/>
        </w:rPr>
        <w:t>(שם)</w:t>
      </w:r>
      <w:r w:rsidRPr="0004348D">
        <w:rPr>
          <w:rFonts w:ascii="Calibri" w:eastAsia="Calibri" w:hAnsi="Calibri" w:cs="Arial"/>
          <w:rtl/>
        </w:rPr>
        <w:t>- אם באו עדים ואמרו להד"ם - אינו נאמן.</w:t>
      </w:r>
      <w:r w:rsidRPr="0004348D">
        <w:rPr>
          <w:rFonts w:ascii="Calibri" w:eastAsia="Calibri" w:hAnsi="Calibri" w:cs="Arial"/>
          <w:color w:val="00B0F0"/>
          <w:rtl/>
        </w:rPr>
        <w:t xml:space="preserve"> (וכ"כ הרמ"א)</w:t>
      </w:r>
    </w:p>
    <w:p w14:paraId="5EB3AD97" w14:textId="77777777" w:rsidR="0004348D" w:rsidRPr="0004348D" w:rsidRDefault="0004348D" w:rsidP="00992A87">
      <w:pPr>
        <w:numPr>
          <w:ilvl w:val="0"/>
          <w:numId w:val="358"/>
        </w:numPr>
        <w:spacing w:before="360" w:after="240"/>
        <w:contextualSpacing/>
        <w:rPr>
          <w:rFonts w:ascii="Calibri" w:eastAsia="Calibri" w:hAnsi="Calibri" w:cs="Arial"/>
        </w:rPr>
      </w:pPr>
      <w:r w:rsidRPr="0004348D">
        <w:rPr>
          <w:rFonts w:ascii="Calibri" w:eastAsia="Calibri" w:hAnsi="Calibri" w:cs="Arial"/>
          <w:rtl/>
        </w:rPr>
        <w:t xml:space="preserve">ר"ת רי"ף הג"א מאו"ז רשב"א ר"ן והה"מ </w:t>
      </w:r>
      <w:r w:rsidRPr="0004348D">
        <w:rPr>
          <w:rFonts w:ascii="Calibri" w:eastAsia="Calibri" w:hAnsi="Calibri" w:cs="Arial"/>
          <w:sz w:val="16"/>
          <w:szCs w:val="16"/>
          <w:rtl/>
        </w:rPr>
        <w:t>(שם)</w:t>
      </w:r>
      <w:r w:rsidRPr="0004348D">
        <w:rPr>
          <w:rFonts w:ascii="Calibri" w:eastAsia="Calibri" w:hAnsi="Calibri" w:cs="Arial"/>
          <w:rtl/>
        </w:rPr>
        <w:t>- אפילו באו עדים ואמרו להד"ם - נאמן, כדאסיקנא בשבועת הדיינין, ואפילו רבי מודה בהא</w:t>
      </w:r>
      <w:r w:rsidRPr="0004348D">
        <w:rPr>
          <w:rFonts w:ascii="Calibri" w:eastAsia="Calibri" w:hAnsi="Calibri" w:cs="Arial"/>
          <w:sz w:val="16"/>
          <w:szCs w:val="16"/>
          <w:rtl/>
        </w:rPr>
        <w:t xml:space="preserve"> (ל' הר"ן)</w:t>
      </w:r>
      <w:r w:rsidRPr="0004348D">
        <w:rPr>
          <w:rFonts w:ascii="Calibri" w:eastAsia="Calibri" w:hAnsi="Calibri" w:cs="Arial"/>
          <w:rtl/>
        </w:rPr>
        <w:t>.</w:t>
      </w:r>
    </w:p>
    <w:p w14:paraId="2E175D83" w14:textId="77777777" w:rsidR="0004348D" w:rsidRPr="0004348D" w:rsidRDefault="0004348D" w:rsidP="00992A87">
      <w:pPr>
        <w:numPr>
          <w:ilvl w:val="0"/>
          <w:numId w:val="358"/>
        </w:numPr>
        <w:spacing w:before="360" w:after="240"/>
        <w:contextualSpacing/>
        <w:rPr>
          <w:rFonts w:ascii="Calibri" w:eastAsia="Calibri" w:hAnsi="Calibri" w:cs="Arial"/>
        </w:rPr>
      </w:pPr>
      <w:r w:rsidRPr="0004348D">
        <w:rPr>
          <w:rFonts w:ascii="Calibri" w:eastAsia="Calibri" w:hAnsi="Calibri" w:cs="Arial"/>
          <w:rtl/>
        </w:rPr>
        <w:t xml:space="preserve">רמ"ה </w:t>
      </w:r>
      <w:r w:rsidRPr="0004348D">
        <w:rPr>
          <w:rFonts w:ascii="Calibri" w:eastAsia="Calibri" w:hAnsi="Calibri" w:cs="Arial"/>
          <w:sz w:val="16"/>
          <w:szCs w:val="16"/>
          <w:rtl/>
        </w:rPr>
        <w:t>(ב"ב קע. אות צט)</w:t>
      </w:r>
      <w:r w:rsidRPr="0004348D">
        <w:rPr>
          <w:rFonts w:ascii="Calibri" w:eastAsia="Calibri" w:hAnsi="Calibri" w:cs="Arial"/>
          <w:rtl/>
        </w:rPr>
        <w:t xml:space="preserve">- </w:t>
      </w:r>
      <w:r w:rsidRPr="0004348D">
        <w:rPr>
          <w:rFonts w:ascii="Calibri" w:eastAsia="Calibri" w:hAnsi="Calibri" w:cs="Arial"/>
          <w:vertAlign w:val="superscript"/>
          <w:rtl/>
        </w:rPr>
        <w:footnoteReference w:id="5596"/>
      </w:r>
      <w:r w:rsidRPr="0004348D">
        <w:rPr>
          <w:rFonts w:ascii="Calibri" w:eastAsia="Calibri" w:hAnsi="Calibri" w:cs="Arial"/>
          <w:rtl/>
        </w:rPr>
        <w:t>אם אמר דרך תימה 'ולא פרעתיך בפני פלוני ופלוני?' שאין משמע מדבריו שאומר אותו בלשון ודאי, הילכך אע"פ שאמרו העדים להד"ם - לא הוחזק כפרן. אבל כשחתך דבריו ואמר 'פרעתיך בפני פלוני ופלוני!' - אז צריך לברר דבריו</w:t>
      </w:r>
      <w:r w:rsidRPr="0004348D">
        <w:rPr>
          <w:rFonts w:ascii="Calibri" w:eastAsia="Calibri" w:hAnsi="Calibri" w:cs="Arial"/>
          <w:sz w:val="16"/>
          <w:szCs w:val="16"/>
          <w:rtl/>
        </w:rPr>
        <w:t xml:space="preserve"> {והוחזק כפרן ואינו נאמן שוב לומר פרעתי}</w:t>
      </w:r>
      <w:r w:rsidRPr="0004348D">
        <w:rPr>
          <w:rFonts w:ascii="Calibri" w:eastAsia="Calibri" w:hAnsi="Calibri" w:cs="Arial"/>
          <w:rtl/>
        </w:rPr>
        <w:t xml:space="preserve">. </w:t>
      </w:r>
    </w:p>
    <w:p w14:paraId="516B3465" w14:textId="77777777" w:rsidR="0004348D" w:rsidRPr="0004348D" w:rsidRDefault="0004348D" w:rsidP="00992A87">
      <w:pPr>
        <w:numPr>
          <w:ilvl w:val="0"/>
          <w:numId w:val="358"/>
        </w:numPr>
        <w:spacing w:before="360" w:after="240"/>
        <w:contextualSpacing/>
        <w:rPr>
          <w:rFonts w:ascii="Calibri" w:eastAsia="Calibri" w:hAnsi="Calibri" w:cs="Arial"/>
        </w:rPr>
      </w:pPr>
      <w:r w:rsidRPr="0004348D">
        <w:rPr>
          <w:rFonts w:ascii="Calibri" w:eastAsia="Calibri" w:hAnsi="Calibri" w:cs="Arial"/>
          <w:rtl/>
        </w:rPr>
        <w:t>רז"ה</w:t>
      </w:r>
      <w:r w:rsidRPr="0004348D">
        <w:rPr>
          <w:rFonts w:ascii="Calibri" w:eastAsia="Calibri" w:hAnsi="Calibri" w:cs="Arial"/>
          <w:sz w:val="16"/>
          <w:szCs w:val="16"/>
          <w:rtl/>
        </w:rPr>
        <w:t xml:space="preserve"> (שם)</w:t>
      </w:r>
      <w:r w:rsidRPr="0004348D">
        <w:rPr>
          <w:rFonts w:ascii="Calibri" w:eastAsia="Calibri" w:hAnsi="Calibri" w:cs="Arial"/>
          <w:rtl/>
        </w:rPr>
        <w:t xml:space="preserve">- כשאמר שהזמינם לעדות - אז צריך לברר דבריו והוחזק כפרן אם יכחישוהו. אבל כשלא הזמינם לעדות - א"צ לברר דבריו. </w:t>
      </w:r>
      <w:r w:rsidRPr="0004348D">
        <w:rPr>
          <w:rFonts w:ascii="Calibri" w:eastAsia="Calibri" w:hAnsi="Calibri" w:cs="Arial"/>
          <w:color w:val="E36C0A" w:themeColor="accent6" w:themeShade="BF"/>
          <w:rtl/>
        </w:rPr>
        <w:t>(וכ"פ בשו"ע)</w:t>
      </w:r>
    </w:p>
    <w:p w14:paraId="18C5DD50" w14:textId="77777777" w:rsidR="0004348D" w:rsidRPr="0004348D" w:rsidRDefault="0004348D" w:rsidP="00992A87">
      <w:pPr>
        <w:numPr>
          <w:ilvl w:val="0"/>
          <w:numId w:val="358"/>
        </w:numPr>
        <w:spacing w:before="360" w:after="240"/>
        <w:contextualSpacing/>
        <w:rPr>
          <w:rFonts w:ascii="Calibri" w:eastAsia="Calibri" w:hAnsi="Calibri" w:cs="Arial"/>
        </w:rPr>
      </w:pPr>
      <w:r w:rsidRPr="0004348D">
        <w:rPr>
          <w:rFonts w:ascii="Calibri" w:eastAsia="Calibri" w:hAnsi="Calibri" w:cs="Arial"/>
          <w:rtl/>
        </w:rPr>
        <w:t xml:space="preserve">רמב"ם </w:t>
      </w:r>
      <w:r w:rsidRPr="0004348D">
        <w:rPr>
          <w:rFonts w:ascii="Calibri" w:eastAsia="Calibri" w:hAnsi="Calibri" w:cs="Arial"/>
          <w:sz w:val="16"/>
          <w:szCs w:val="16"/>
          <w:rtl/>
        </w:rPr>
        <w:t>(שם)</w:t>
      </w:r>
      <w:r w:rsidRPr="0004348D">
        <w:rPr>
          <w:rFonts w:ascii="Calibri" w:eastAsia="Calibri" w:hAnsi="Calibri" w:cs="Arial"/>
          <w:rtl/>
        </w:rPr>
        <w:t>- בהערה שהובאה לעיל בסוף לשון הרמב"ם נתבארו הפירושים השונים שיש בדבריו, ע"ש.</w:t>
      </w:r>
    </w:p>
    <w:p w14:paraId="79C7F8A3" w14:textId="77777777" w:rsidR="0004348D" w:rsidRPr="0004348D" w:rsidRDefault="0004348D" w:rsidP="00992A87">
      <w:pPr>
        <w:numPr>
          <w:ilvl w:val="1"/>
          <w:numId w:val="358"/>
        </w:numPr>
        <w:spacing w:before="360" w:after="240"/>
        <w:contextualSpacing/>
        <w:rPr>
          <w:rFonts w:ascii="Calibri" w:eastAsia="Calibri" w:hAnsi="Calibri" w:cs="Arial"/>
        </w:rPr>
      </w:pPr>
      <w:r w:rsidRPr="0004348D">
        <w:rPr>
          <w:rFonts w:ascii="Calibri" w:eastAsia="Calibri" w:hAnsi="Calibri" w:cs="Arial"/>
          <w:color w:val="000000" w:themeColor="text1"/>
          <w:rtl/>
        </w:rPr>
        <w:t>ב"י</w:t>
      </w:r>
      <w:r w:rsidRPr="0004348D">
        <w:rPr>
          <w:rFonts w:ascii="Calibri" w:eastAsia="Calibri" w:hAnsi="Calibri" w:cs="Arial"/>
          <w:color w:val="000000" w:themeColor="text1"/>
          <w:sz w:val="16"/>
          <w:szCs w:val="16"/>
          <w:rtl/>
        </w:rPr>
        <w:t xml:space="preserve"> (בבדה"ב)</w:t>
      </w:r>
      <w:r w:rsidRPr="0004348D">
        <w:rPr>
          <w:rFonts w:ascii="Calibri" w:eastAsia="Calibri" w:hAnsi="Calibri" w:cs="Arial"/>
          <w:color w:val="000000" w:themeColor="text1"/>
          <w:rtl/>
        </w:rPr>
        <w:t xml:space="preserve">- ולענין הלכה אם לא באו העדים או שמתו או שהלכו למדינת הים - ישבע היסת ויפטר, שהרי כל הפוסקים שוים בזה. ואם באו ואמרו לא היו דברים מעולם, כיון דלהרי"ף ורשב"ם והרשב"א פטור </w:t>
      </w:r>
      <w:r w:rsidRPr="0004348D">
        <w:rPr>
          <w:rFonts w:ascii="Calibri" w:eastAsia="Calibri" w:hAnsi="Calibri" w:cs="Arial"/>
          <w:rtl/>
        </w:rPr>
        <w:t>ולהרמב"ם אפשר לפרש דפטור ולאפוקי ממונא הוא - נקטינן דפטור. ומיהו אם אומר שהזמינם לעדים נראה לומר שאם היה כן מידכר הוו דכירי ואם אמרו לא היו דברים מעולם - חייב לשלם.</w:t>
      </w:r>
    </w:p>
    <w:p w14:paraId="079A765C" w14:textId="77777777" w:rsidR="0004348D" w:rsidRPr="0004348D" w:rsidRDefault="0004348D" w:rsidP="0004348D">
      <w:pPr>
        <w:spacing w:before="360" w:after="240"/>
        <w:ind w:left="360"/>
        <w:rPr>
          <w:rFonts w:ascii="Calibri" w:eastAsia="Calibri" w:hAnsi="Calibri" w:cs="Arial"/>
          <w:u w:val="dotted"/>
          <w:rtl/>
        </w:rPr>
      </w:pPr>
      <w:r w:rsidRPr="0004348D">
        <w:rPr>
          <w:rFonts w:ascii="Calibri" w:eastAsia="Calibri" w:hAnsi="Calibri" w:cs="Arial"/>
          <w:u w:val="dotted"/>
          <w:rtl/>
        </w:rPr>
        <w:t>מה הדין אם אמר שיש לו עדים, וקרא להם, ואח"כ חזר בו ואמר אין לי עדים, ואח"כ הגיעו העדים:</w:t>
      </w:r>
    </w:p>
    <w:p w14:paraId="4BBB65B0" w14:textId="77777777" w:rsidR="0004348D" w:rsidRPr="0004348D" w:rsidRDefault="0004348D" w:rsidP="0004348D">
      <w:pPr>
        <w:numPr>
          <w:ilvl w:val="0"/>
          <w:numId w:val="356"/>
        </w:numPr>
        <w:spacing w:before="360" w:after="240"/>
        <w:contextualSpacing/>
        <w:rPr>
          <w:rFonts w:ascii="Calibri" w:eastAsia="Calibri" w:hAnsi="Calibri" w:cs="Arial"/>
          <w:rtl/>
        </w:rPr>
      </w:pPr>
      <w:r w:rsidRPr="0004348D">
        <w:rPr>
          <w:rFonts w:ascii="Calibri" w:eastAsia="Calibri" w:hAnsi="Calibri" w:cs="Arial"/>
          <w:rtl/>
        </w:rPr>
        <w:t xml:space="preserve">בעל התרומות </w:t>
      </w:r>
      <w:r w:rsidRPr="0004348D">
        <w:rPr>
          <w:rFonts w:ascii="Calibri" w:eastAsia="Calibri" w:hAnsi="Calibri" w:cs="Arial"/>
          <w:sz w:val="16"/>
          <w:szCs w:val="16"/>
          <w:rtl/>
        </w:rPr>
        <w:t>(שער מא שם סי' ג)</w:t>
      </w:r>
      <w:r w:rsidRPr="0004348D">
        <w:rPr>
          <w:rFonts w:ascii="Calibri" w:eastAsia="Calibri" w:hAnsi="Calibri" w:cs="Arial"/>
          <w:rtl/>
        </w:rPr>
        <w:t xml:space="preserve">- מסתברא שאם חזר בו ואמר אין לי עדים אע"פ שצריך להביא פלוני ופלוני אם באו אחר שחזר בו ואמר אין לי עדים ואמרו להד"ם - לא הוחזק כפרן ונאמן, דטוען וחוזר וטוען עד שלא באו עדים. וכן הסכים הרמב"ן </w:t>
      </w:r>
      <w:r w:rsidRPr="0004348D">
        <w:rPr>
          <w:rFonts w:ascii="Calibri" w:eastAsia="Calibri" w:hAnsi="Calibri" w:cs="Arial"/>
          <w:sz w:val="16"/>
          <w:szCs w:val="16"/>
          <w:rtl/>
        </w:rPr>
        <w:t>(שבועות מא: ד"ה ובירושלמי)</w:t>
      </w:r>
      <w:r w:rsidRPr="0004348D">
        <w:rPr>
          <w:rFonts w:ascii="Calibri" w:eastAsia="Calibri" w:hAnsi="Calibri" w:cs="Arial"/>
          <w:rtl/>
        </w:rPr>
        <w:t>.</w:t>
      </w:r>
    </w:p>
    <w:p w14:paraId="6F38E89A" w14:textId="77777777" w:rsidR="0004348D" w:rsidRPr="0004348D" w:rsidRDefault="0004348D" w:rsidP="0004348D">
      <w:pPr>
        <w:spacing w:before="360" w:after="240"/>
        <w:rPr>
          <w:rFonts w:ascii="Arial" w:eastAsia="Calibri" w:hAnsi="Arial" w:cs="Arial"/>
          <w:b/>
          <w:bCs/>
          <w:color w:val="000000"/>
          <w:sz w:val="28"/>
          <w:szCs w:val="28"/>
          <w:u w:val="single"/>
        </w:rPr>
      </w:pPr>
      <w:r w:rsidRPr="0004348D">
        <w:rPr>
          <w:rFonts w:ascii="Arial" w:eastAsia="Calibri" w:hAnsi="Arial" w:cs="Arial"/>
          <w:b/>
          <w:bCs/>
          <w:color w:val="000000"/>
          <w:sz w:val="28"/>
          <w:szCs w:val="28"/>
          <w:u w:val="single"/>
          <w:rtl/>
        </w:rPr>
        <w:t>שו"ע:</w:t>
      </w:r>
    </w:p>
    <w:p w14:paraId="754049B6" w14:textId="77777777" w:rsidR="0004348D" w:rsidRPr="0004348D" w:rsidRDefault="0004348D" w:rsidP="0004348D">
      <w:pPr>
        <w:spacing w:before="360" w:after="240"/>
        <w:rPr>
          <w:rFonts w:ascii="Calibri" w:eastAsia="Calibri" w:hAnsi="Calibri" w:cs="Arial"/>
          <w:rtl/>
        </w:rPr>
      </w:pPr>
      <w:r w:rsidRPr="0004348D">
        <w:rPr>
          <w:rFonts w:ascii="Calibri" w:eastAsia="Calibri" w:hAnsi="Calibri" w:cs="Arial"/>
          <w:rtl/>
        </w:rPr>
        <w:t xml:space="preserve">אמר 'פרעתיך בפני פלוני ופלוני', אומרים ללוה 'הביאם והפטר'. </w:t>
      </w:r>
      <w:r w:rsidRPr="0004348D">
        <w:rPr>
          <w:rFonts w:ascii="Calibri" w:eastAsia="Calibri" w:hAnsi="Calibri" w:cs="Arial"/>
          <w:sz w:val="18"/>
          <w:szCs w:val="18"/>
          <w:rtl/>
        </w:rPr>
        <w:t>[הגה] שצריך לברר דבריו (טור).</w:t>
      </w:r>
      <w:r w:rsidRPr="0004348D">
        <w:rPr>
          <w:rFonts w:ascii="Calibri" w:eastAsia="Calibri" w:hAnsi="Calibri" w:cs="Arial"/>
          <w:rtl/>
        </w:rPr>
        <w:t xml:space="preserve"> לא באו, ואפילו באו והכחישוהו ואמרו 'לא היו דברים מעולם', ישבע היסת ויפטר. ואם אומר שהזמינם לעדים כשפרעו, אם הכחישוהו, חייב לשלם. </w:t>
      </w:r>
      <w:r w:rsidRPr="0004348D">
        <w:rPr>
          <w:rFonts w:ascii="Calibri" w:eastAsia="Calibri" w:hAnsi="Calibri" w:cs="Arial"/>
          <w:sz w:val="18"/>
          <w:szCs w:val="18"/>
          <w:rtl/>
        </w:rPr>
        <w:t>הגה: וי"א דאין חילוק בין הזמינם או לא, וכל שבאו עדים והכחישוהו, חייב לשלם, אלא שאין צריך לברר דבריו (הרא"ש פ' גט פשוט ורמב"ם לפירושם של הה"מ והדרכ"מ), ואם לא יוכל להביא העדים, לית לן בה</w:t>
      </w:r>
      <w:r w:rsidRPr="0004348D">
        <w:rPr>
          <w:rFonts w:ascii="Calibri" w:eastAsia="Calibri" w:hAnsi="Calibri" w:cs="Arial"/>
          <w:sz w:val="18"/>
          <w:szCs w:val="18"/>
          <w:vertAlign w:val="superscript"/>
          <w:rtl/>
        </w:rPr>
        <w:footnoteReference w:id="5597"/>
      </w:r>
      <w:r w:rsidRPr="0004348D">
        <w:rPr>
          <w:rFonts w:ascii="Calibri" w:eastAsia="Calibri" w:hAnsi="Calibri" w:cs="Arial"/>
          <w:sz w:val="18"/>
          <w:szCs w:val="18"/>
          <w:rtl/>
        </w:rPr>
        <w:t>. ועיין לקמן ריש סימן ע"ה.</w:t>
      </w:r>
      <w:r w:rsidRPr="0004348D">
        <w:rPr>
          <w:rFonts w:ascii="Calibri" w:eastAsia="Calibri" w:hAnsi="Calibri" w:cs="Arial"/>
          <w:rtl/>
        </w:rPr>
        <w:t xml:space="preserve"> </w:t>
      </w:r>
    </w:p>
    <w:p w14:paraId="3E58CF5E" w14:textId="77777777" w:rsidR="0004348D" w:rsidRPr="0004348D" w:rsidRDefault="0004348D" w:rsidP="0004348D">
      <w:pPr>
        <w:spacing w:before="360" w:after="240"/>
        <w:rPr>
          <w:rFonts w:ascii="Calibri" w:eastAsia="Calibri" w:hAnsi="Calibri" w:cs="Arial"/>
          <w:rtl/>
        </w:rPr>
      </w:pPr>
    </w:p>
    <w:p w14:paraId="7018138D" w14:textId="77777777" w:rsidR="0004348D" w:rsidRPr="0004348D" w:rsidRDefault="0004348D" w:rsidP="0004348D">
      <w:pPr>
        <w:keepNext/>
        <w:keepLines/>
        <w:spacing w:before="360" w:after="240"/>
        <w:outlineLvl w:val="1"/>
        <w:rPr>
          <w:rFonts w:ascii="Cambria" w:eastAsia="Times New Roman" w:hAnsi="Cambria" w:cs="Arial"/>
          <w:bCs/>
          <w:color w:val="548DD4" w:themeColor="text2" w:themeTint="99"/>
          <w:sz w:val="26"/>
          <w:szCs w:val="26"/>
          <w:rtl/>
        </w:rPr>
      </w:pPr>
      <w:bookmarkStart w:id="787" w:name="_Toc24884189"/>
      <w:r w:rsidRPr="0004348D">
        <w:rPr>
          <w:rFonts w:ascii="Cambria" w:eastAsia="Times New Roman" w:hAnsi="Cambria" w:cs="Arial"/>
          <w:bCs/>
          <w:color w:val="548DD4" w:themeColor="text2" w:themeTint="99"/>
          <w:sz w:val="26"/>
          <w:szCs w:val="26"/>
          <w:rtl/>
        </w:rPr>
        <w:t>סעיף ג: האומר 'אל תפרעני אלא בעדים'.</w:t>
      </w:r>
      <w:bookmarkEnd w:id="787"/>
    </w:p>
    <w:p w14:paraId="66B2F039" w14:textId="77777777" w:rsidR="0004348D" w:rsidRPr="0004348D" w:rsidRDefault="0004348D" w:rsidP="0004348D">
      <w:pPr>
        <w:spacing w:before="360" w:after="240"/>
        <w:rPr>
          <w:rFonts w:ascii="Calibri" w:eastAsia="Calibri" w:hAnsi="Calibri" w:cs="Arial"/>
          <w:rtl/>
        </w:rPr>
      </w:pPr>
      <w:r w:rsidRPr="0004348D">
        <w:rPr>
          <w:rFonts w:ascii="Calibri" w:eastAsia="Calibri" w:hAnsi="Calibri" w:cs="Arial"/>
          <w:b/>
          <w:bCs/>
          <w:rtl/>
        </w:rPr>
        <w:t xml:space="preserve">שבועות </w:t>
      </w:r>
      <w:r w:rsidRPr="0004348D">
        <w:rPr>
          <w:rFonts w:ascii="Calibri" w:eastAsia="Calibri" w:hAnsi="Calibri" w:cs="Arial"/>
          <w:b/>
          <w:bCs/>
          <w:sz w:val="16"/>
          <w:szCs w:val="16"/>
          <w:rtl/>
        </w:rPr>
        <w:t xml:space="preserve">(פרק שבועת הדיינים) </w:t>
      </w:r>
      <w:r w:rsidRPr="0004348D">
        <w:rPr>
          <w:rFonts w:ascii="Calibri" w:eastAsia="Calibri" w:hAnsi="Calibri" w:cs="Arial"/>
          <w:b/>
          <w:bCs/>
          <w:rtl/>
        </w:rPr>
        <w:t>לח</w:t>
      </w:r>
      <w:r w:rsidRPr="0004348D">
        <w:rPr>
          <w:rFonts w:ascii="Calibri" w:eastAsia="Calibri" w:hAnsi="Calibri" w:cs="Arial"/>
          <w:b/>
          <w:bCs/>
          <w:vertAlign w:val="superscript"/>
          <w:rtl/>
        </w:rPr>
        <w:footnoteReference w:id="5598"/>
      </w:r>
      <w:r w:rsidRPr="0004348D">
        <w:rPr>
          <w:rFonts w:ascii="Calibri" w:eastAsia="Calibri" w:hAnsi="Calibri" w:cs="Arial"/>
          <w:b/>
          <w:bCs/>
          <w:rtl/>
        </w:rPr>
        <w:t xml:space="preserve"> ע"ב:</w:t>
      </w:r>
      <w:r w:rsidRPr="0004348D">
        <w:rPr>
          <w:rFonts w:ascii="Calibri" w:eastAsia="Calibri" w:hAnsi="Calibri" w:cs="Arial"/>
          <w:rtl/>
        </w:rPr>
        <w:t xml:space="preserve"> מנה לי בידך, אמר לו: הן, אל תתנהו לי אלא בעדים. למחר אמר לו: תנהו לי, נתתיו לך - חייב, מפני שצריך ליתנו בעדים. </w:t>
      </w:r>
    </w:p>
    <w:p w14:paraId="79B6990A" w14:textId="77777777" w:rsidR="0004348D" w:rsidRPr="0004348D" w:rsidRDefault="0004348D" w:rsidP="0004348D">
      <w:pPr>
        <w:spacing w:before="360" w:after="240"/>
        <w:rPr>
          <w:rFonts w:ascii="Calibri" w:eastAsia="Calibri" w:hAnsi="Calibri" w:cs="Arial"/>
          <w:u w:val="single"/>
          <w:rtl/>
        </w:rPr>
      </w:pPr>
      <w:r w:rsidRPr="0004348D">
        <w:rPr>
          <w:rFonts w:ascii="Calibri" w:eastAsia="Calibri" w:hAnsi="Calibri" w:cs="Arial"/>
          <w:u w:val="single"/>
          <w:rtl/>
        </w:rPr>
        <w:t>האומר 'אל תפרעני אלא בעדים' – ופרעו שלא בעדים:</w:t>
      </w:r>
    </w:p>
    <w:p w14:paraId="6D1A08C5" w14:textId="77777777" w:rsidR="0004348D" w:rsidRPr="0004348D" w:rsidRDefault="0004348D" w:rsidP="00992A87">
      <w:pPr>
        <w:numPr>
          <w:ilvl w:val="0"/>
          <w:numId w:val="359"/>
        </w:numPr>
        <w:spacing w:before="360" w:after="240"/>
        <w:contextualSpacing/>
        <w:rPr>
          <w:rFonts w:ascii="Calibri" w:eastAsia="Calibri" w:hAnsi="Calibri" w:cs="Arial"/>
          <w:rtl/>
        </w:rPr>
      </w:pPr>
      <w:r w:rsidRPr="0004348D">
        <w:rPr>
          <w:rFonts w:ascii="Calibri" w:eastAsia="Calibri" w:hAnsi="Calibri" w:cs="Arial"/>
          <w:rtl/>
        </w:rPr>
        <w:t>טור- אמר לו 'אל תפרעני אלא בעדים' - צריך לפרעו בעדים. פרעו שלא בעדים - אינו נאמן, והמלוה גובה ממנו אפילו בלא שבועה</w:t>
      </w:r>
      <w:r w:rsidRPr="0004348D">
        <w:rPr>
          <w:rFonts w:ascii="Calibri" w:eastAsia="Calibri" w:hAnsi="Calibri" w:cs="Arial"/>
          <w:vertAlign w:val="superscript"/>
          <w:rtl/>
        </w:rPr>
        <w:footnoteReference w:id="5599"/>
      </w:r>
      <w:r w:rsidRPr="0004348D">
        <w:rPr>
          <w:rFonts w:ascii="Calibri" w:eastAsia="Calibri" w:hAnsi="Calibri" w:cs="Arial"/>
          <w:rtl/>
        </w:rPr>
        <w:t xml:space="preserve">. </w:t>
      </w:r>
      <w:r w:rsidRPr="0004348D">
        <w:rPr>
          <w:rFonts w:ascii="Calibri" w:eastAsia="Calibri" w:hAnsi="Calibri" w:cs="Arial"/>
          <w:color w:val="E36C0A" w:themeColor="accent6" w:themeShade="BF"/>
          <w:rtl/>
        </w:rPr>
        <w:t>(וכ"פ בשו"ע)</w:t>
      </w:r>
    </w:p>
    <w:p w14:paraId="1ACF5C63" w14:textId="77777777" w:rsidR="0004348D" w:rsidRPr="0004348D" w:rsidRDefault="0004348D" w:rsidP="0004348D">
      <w:pPr>
        <w:spacing w:before="360" w:after="240"/>
        <w:ind w:left="360"/>
        <w:rPr>
          <w:rFonts w:ascii="Calibri" w:eastAsia="Calibri" w:hAnsi="Calibri" w:cs="Arial"/>
          <w:u w:val="dotted"/>
        </w:rPr>
      </w:pPr>
      <w:r w:rsidRPr="0004348D">
        <w:rPr>
          <w:rFonts w:ascii="Calibri" w:eastAsia="Calibri" w:hAnsi="Calibri" w:cs="Arial"/>
          <w:u w:val="dotted"/>
          <w:rtl/>
        </w:rPr>
        <w:t>האם הדין כן אף אם אמר לו כך לאחר שכבר הלוה לו:</w:t>
      </w:r>
    </w:p>
    <w:p w14:paraId="20180E52" w14:textId="77777777" w:rsidR="0004348D" w:rsidRPr="0004348D" w:rsidRDefault="0004348D" w:rsidP="00992A87">
      <w:pPr>
        <w:numPr>
          <w:ilvl w:val="0"/>
          <w:numId w:val="359"/>
        </w:numPr>
        <w:spacing w:before="360" w:after="240"/>
        <w:contextualSpacing/>
        <w:rPr>
          <w:rFonts w:ascii="Calibri" w:eastAsia="Calibri" w:hAnsi="Calibri" w:cs="Arial"/>
        </w:rPr>
      </w:pPr>
      <w:r w:rsidRPr="0004348D">
        <w:rPr>
          <w:rFonts w:ascii="Calibri" w:eastAsia="Calibri" w:hAnsi="Calibri" w:cs="Arial"/>
          <w:rtl/>
        </w:rPr>
        <w:t xml:space="preserve">ר"י מיגאש </w:t>
      </w:r>
      <w:r w:rsidRPr="0004348D">
        <w:rPr>
          <w:rFonts w:ascii="Calibri" w:eastAsia="Calibri" w:hAnsi="Calibri" w:cs="Arial"/>
          <w:sz w:val="16"/>
          <w:szCs w:val="16"/>
          <w:rtl/>
        </w:rPr>
        <w:t>(מא. ד"ה פיסקא, כ"כ הה"מ והר"ן בשמו [כ:])</w:t>
      </w:r>
      <w:r w:rsidRPr="0004348D">
        <w:rPr>
          <w:rFonts w:ascii="Calibri" w:eastAsia="Calibri" w:hAnsi="Calibri" w:cs="Arial"/>
          <w:rtl/>
        </w:rPr>
        <w:t xml:space="preserve"> ורמב"ם </w:t>
      </w:r>
      <w:r w:rsidRPr="0004348D">
        <w:rPr>
          <w:rFonts w:ascii="Calibri" w:eastAsia="Calibri" w:hAnsi="Calibri" w:cs="Arial"/>
          <w:sz w:val="16"/>
          <w:szCs w:val="16"/>
          <w:rtl/>
        </w:rPr>
        <w:t>(פט"ו ממלוה ולוה ה"א)</w:t>
      </w:r>
      <w:r w:rsidRPr="0004348D">
        <w:rPr>
          <w:rFonts w:ascii="Calibri" w:eastAsia="Calibri" w:hAnsi="Calibri" w:cs="Arial"/>
          <w:rtl/>
        </w:rPr>
        <w:t>- בין שאמר לו בשעת הלואה בין שאמר לו אחר שהלוהו - ה"ז צריך לפרעו בעדים מפני התנאי</w:t>
      </w:r>
      <w:r w:rsidRPr="0004348D">
        <w:rPr>
          <w:rFonts w:ascii="Calibri" w:eastAsia="Calibri" w:hAnsi="Calibri" w:cs="Arial"/>
          <w:vertAlign w:val="superscript"/>
          <w:rtl/>
        </w:rPr>
        <w:footnoteReference w:id="5600"/>
      </w:r>
      <w:r w:rsidRPr="0004348D">
        <w:rPr>
          <w:rFonts w:ascii="Calibri" w:eastAsia="Calibri" w:hAnsi="Calibri" w:cs="Arial"/>
          <w:rtl/>
        </w:rPr>
        <w:t xml:space="preserve"> </w:t>
      </w:r>
      <w:r w:rsidRPr="0004348D">
        <w:rPr>
          <w:rFonts w:ascii="Calibri" w:eastAsia="Calibri" w:hAnsi="Calibri" w:cs="Arial"/>
          <w:sz w:val="16"/>
          <w:szCs w:val="16"/>
          <w:rtl/>
        </w:rPr>
        <w:t>(ל' הרמב"ם)</w:t>
      </w:r>
      <w:r w:rsidRPr="0004348D">
        <w:rPr>
          <w:rFonts w:ascii="Calibri" w:eastAsia="Calibri" w:hAnsi="Calibri" w:cs="Arial"/>
          <w:rtl/>
        </w:rPr>
        <w:t>.</w:t>
      </w:r>
      <w:r w:rsidRPr="0004348D">
        <w:rPr>
          <w:rFonts w:ascii="Calibri" w:eastAsia="Calibri" w:hAnsi="Calibri" w:cs="Arial"/>
          <w:color w:val="E36C0A" w:themeColor="accent6" w:themeShade="BF"/>
          <w:rtl/>
        </w:rPr>
        <w:t xml:space="preserve"> (וכ"פ בשו"ע)</w:t>
      </w:r>
    </w:p>
    <w:p w14:paraId="55EA16C9" w14:textId="77777777" w:rsidR="0004348D" w:rsidRPr="0004348D" w:rsidRDefault="0004348D" w:rsidP="00992A87">
      <w:pPr>
        <w:numPr>
          <w:ilvl w:val="0"/>
          <w:numId w:val="359"/>
        </w:numPr>
        <w:spacing w:before="360" w:after="240"/>
        <w:contextualSpacing/>
        <w:rPr>
          <w:rFonts w:ascii="Calibri" w:eastAsia="Calibri" w:hAnsi="Calibri" w:cs="Arial"/>
        </w:rPr>
      </w:pPr>
      <w:r w:rsidRPr="0004348D">
        <w:rPr>
          <w:rFonts w:ascii="Calibri" w:eastAsia="Calibri" w:hAnsi="Calibri" w:cs="Arial"/>
          <w:rtl/>
        </w:rPr>
        <w:t>רא"ש</w:t>
      </w:r>
      <w:r w:rsidRPr="0004348D">
        <w:rPr>
          <w:rFonts w:ascii="Calibri" w:eastAsia="Calibri" w:hAnsi="Calibri" w:cs="Arial"/>
          <w:sz w:val="16"/>
          <w:szCs w:val="16"/>
          <w:rtl/>
        </w:rPr>
        <w:t xml:space="preserve"> (שם פ"ו סי' יא)</w:t>
      </w:r>
      <w:r w:rsidRPr="0004348D">
        <w:rPr>
          <w:rFonts w:ascii="Calibri" w:eastAsia="Calibri" w:hAnsi="Calibri" w:cs="Arial"/>
          <w:rtl/>
        </w:rPr>
        <w:t>- אם כשאמר לו 'אל תפרעני אלא בעדים' קבל דבריו - אז אין חילוק בין בשעת הלואה ובין שלא בשעת הלואה. אבל אם לא השיב לו על דבריו אלא שתק, בזה יש חילוק, בשעת הלואה אפי' לא אמר הן אלא שתק - שתיקתו הוי הודאה, דאדעתא דהכי קבל המעות. אבל שלא בשעת הלואה - צריך לקבל עליו בפירוש ולא הוי שתיקתו הודאה כיון דהימניה מעיקרא חשש השתא להשיבו. אבל אם נתחייב לחבירו בב"ד והתרה בו אל תפרעני אלא בעדים אפילו אם יאמר איני מקבל עלי תנאי זה - לאו כל כמיניה כיון שהוצרך להביאו לב"ד בשביל ממון זה והתרה בו בפני ב"ד הוי התראתו התראה</w:t>
      </w:r>
      <w:r w:rsidRPr="0004348D">
        <w:rPr>
          <w:rFonts w:ascii="Calibri" w:eastAsia="Calibri" w:hAnsi="Calibri" w:cs="Arial"/>
          <w:sz w:val="16"/>
          <w:szCs w:val="16"/>
          <w:rtl/>
        </w:rPr>
        <w:t xml:space="preserve"> (ל' הטור בשם הרא"ש)</w:t>
      </w:r>
      <w:r w:rsidRPr="0004348D">
        <w:rPr>
          <w:rFonts w:ascii="Calibri" w:eastAsia="Calibri" w:hAnsi="Calibri" w:cs="Arial"/>
          <w:rtl/>
        </w:rPr>
        <w:t xml:space="preserve">. </w:t>
      </w:r>
    </w:p>
    <w:p w14:paraId="1079034D" w14:textId="77777777" w:rsidR="0004348D" w:rsidRPr="0004348D" w:rsidRDefault="0004348D" w:rsidP="00992A87">
      <w:pPr>
        <w:numPr>
          <w:ilvl w:val="1"/>
          <w:numId w:val="359"/>
        </w:numPr>
        <w:spacing w:before="360" w:after="240"/>
        <w:contextualSpacing/>
        <w:rPr>
          <w:rFonts w:ascii="Calibri" w:eastAsia="Calibri" w:hAnsi="Calibri" w:cs="Arial"/>
        </w:rPr>
      </w:pPr>
      <w:r w:rsidRPr="0004348D">
        <w:rPr>
          <w:rFonts w:ascii="Calibri" w:eastAsia="Calibri" w:hAnsi="Calibri" w:cs="Arial"/>
          <w:rtl/>
        </w:rPr>
        <w:t>ב"י- ולענין הלכה נקטינן כהרמב"ם ורבו, דפשטא דמתניתין בכל גוונא היא, וכיון דבגמרא לא חילקו בדבר מהי תיתי לן לפלוגי במלתא. ותו דהרמ"ה והרשב"א נראים כדבריהם.</w:t>
      </w:r>
    </w:p>
    <w:p w14:paraId="0D805221" w14:textId="77777777" w:rsidR="0004348D" w:rsidRPr="0004348D" w:rsidRDefault="0004348D" w:rsidP="0004348D">
      <w:pPr>
        <w:spacing w:before="360" w:after="240"/>
        <w:ind w:left="360"/>
        <w:rPr>
          <w:rFonts w:ascii="Calibri" w:eastAsia="Calibri" w:hAnsi="Calibri" w:cs="Arial"/>
          <w:u w:val="dotted"/>
          <w:rtl/>
        </w:rPr>
      </w:pPr>
      <w:r w:rsidRPr="0004348D">
        <w:rPr>
          <w:rFonts w:ascii="Calibri" w:eastAsia="Calibri" w:hAnsi="Calibri" w:cs="Arial"/>
          <w:u w:val="dotted"/>
          <w:rtl/>
        </w:rPr>
        <w:t>ומה הדין אם אמר לו כך לאחר ההלואה – והלוה מוחה ואומר שאינו רוצה לפורעו בעדים:</w:t>
      </w:r>
    </w:p>
    <w:p w14:paraId="0EDB7576" w14:textId="77777777" w:rsidR="0004348D" w:rsidRPr="0004348D" w:rsidRDefault="0004348D" w:rsidP="00992A87">
      <w:pPr>
        <w:numPr>
          <w:ilvl w:val="0"/>
          <w:numId w:val="360"/>
        </w:numPr>
        <w:spacing w:before="360" w:after="240"/>
        <w:contextualSpacing/>
        <w:rPr>
          <w:rFonts w:ascii="Calibri" w:eastAsia="Calibri" w:hAnsi="Calibri" w:cs="Arial"/>
          <w:rtl/>
        </w:rPr>
      </w:pPr>
      <w:r w:rsidRPr="0004348D">
        <w:rPr>
          <w:rFonts w:ascii="Calibri" w:eastAsia="Calibri" w:hAnsi="Calibri" w:cs="Arial"/>
          <w:rtl/>
        </w:rPr>
        <w:t>רמב"ן</w:t>
      </w:r>
      <w:r w:rsidRPr="0004348D">
        <w:rPr>
          <w:rFonts w:ascii="Calibri" w:eastAsia="Calibri" w:hAnsi="Calibri" w:cs="Arial"/>
          <w:sz w:val="16"/>
          <w:szCs w:val="16"/>
          <w:rtl/>
        </w:rPr>
        <w:t xml:space="preserve"> (מא: ד"ה אל)</w:t>
      </w:r>
      <w:r w:rsidRPr="0004348D">
        <w:rPr>
          <w:rFonts w:ascii="Calibri" w:eastAsia="Calibri" w:hAnsi="Calibri" w:cs="Arial"/>
          <w:rtl/>
        </w:rPr>
        <w:t>- כשאומר לו לאחר הלואה, אם לא קבל עליו אלא אמר לו 'לא אפרע אותך אלא שלא בעדים' - אין צריך לפרעו בעדים.</w:t>
      </w:r>
    </w:p>
    <w:p w14:paraId="1435EF8F" w14:textId="77777777" w:rsidR="0004348D" w:rsidRPr="0004348D" w:rsidRDefault="0004348D" w:rsidP="00992A87">
      <w:pPr>
        <w:numPr>
          <w:ilvl w:val="0"/>
          <w:numId w:val="360"/>
        </w:numPr>
        <w:spacing w:before="360" w:after="240"/>
        <w:contextualSpacing/>
        <w:rPr>
          <w:rFonts w:ascii="Calibri" w:eastAsia="Calibri" w:hAnsi="Calibri" w:cs="Arial"/>
        </w:rPr>
      </w:pPr>
      <w:r w:rsidRPr="0004348D">
        <w:rPr>
          <w:rFonts w:ascii="Calibri" w:eastAsia="Calibri" w:hAnsi="Calibri" w:cs="Arial"/>
          <w:rtl/>
        </w:rPr>
        <w:t xml:space="preserve">ר"י מיגאש </w:t>
      </w:r>
      <w:r w:rsidRPr="0004348D">
        <w:rPr>
          <w:rFonts w:ascii="Calibri" w:eastAsia="Calibri" w:hAnsi="Calibri" w:cs="Arial"/>
          <w:sz w:val="16"/>
          <w:szCs w:val="16"/>
          <w:rtl/>
        </w:rPr>
        <w:t xml:space="preserve">(מא. ד"ה פיסקא) </w:t>
      </w:r>
      <w:r w:rsidRPr="0004348D">
        <w:rPr>
          <w:rFonts w:ascii="Calibri" w:eastAsia="Calibri" w:hAnsi="Calibri" w:cs="Arial"/>
          <w:rtl/>
        </w:rPr>
        <w:t>רמב"ם</w:t>
      </w:r>
      <w:r w:rsidRPr="0004348D">
        <w:rPr>
          <w:rFonts w:ascii="Calibri" w:eastAsia="Calibri" w:hAnsi="Calibri" w:cs="Arial"/>
          <w:sz w:val="16"/>
          <w:szCs w:val="16"/>
          <w:rtl/>
        </w:rPr>
        <w:t xml:space="preserve"> (שם)</w:t>
      </w:r>
      <w:r w:rsidRPr="0004348D">
        <w:rPr>
          <w:rFonts w:ascii="Calibri" w:eastAsia="Calibri" w:hAnsi="Calibri" w:cs="Arial"/>
          <w:rtl/>
        </w:rPr>
        <w:t xml:space="preserve"> ור"ן</w:t>
      </w:r>
      <w:r w:rsidRPr="0004348D">
        <w:rPr>
          <w:rFonts w:ascii="Calibri" w:eastAsia="Calibri" w:hAnsi="Calibri" w:cs="Arial"/>
          <w:sz w:val="16"/>
          <w:szCs w:val="16"/>
          <w:rtl/>
        </w:rPr>
        <w:t xml:space="preserve"> (שם)</w:t>
      </w:r>
      <w:r w:rsidRPr="0004348D">
        <w:rPr>
          <w:rFonts w:ascii="Calibri" w:eastAsia="Calibri" w:hAnsi="Calibri" w:cs="Arial"/>
          <w:rtl/>
        </w:rPr>
        <w:t>- אין הדבר תלוי בקבלתו של לוה אלא כיון שהתרה בו המלוה - צריך לפרעו בעדים</w:t>
      </w:r>
      <w:r w:rsidRPr="0004348D">
        <w:rPr>
          <w:rFonts w:ascii="Calibri" w:eastAsia="Calibri" w:hAnsi="Calibri" w:cs="Arial"/>
          <w:sz w:val="16"/>
          <w:szCs w:val="16"/>
          <w:rtl/>
        </w:rPr>
        <w:t xml:space="preserve"> (ל' הר"ן בשמם)</w:t>
      </w:r>
      <w:r w:rsidRPr="0004348D">
        <w:rPr>
          <w:rFonts w:ascii="Calibri" w:eastAsia="Calibri" w:hAnsi="Calibri" w:cs="Arial"/>
          <w:rtl/>
        </w:rPr>
        <w:t xml:space="preserve">. (וכ"פ ע"ש </w:t>
      </w:r>
      <w:r w:rsidRPr="0004348D">
        <w:rPr>
          <w:rFonts w:ascii="Calibri" w:eastAsia="Calibri" w:hAnsi="Calibri" w:cs="Arial"/>
          <w:sz w:val="16"/>
          <w:szCs w:val="16"/>
          <w:rtl/>
        </w:rPr>
        <w:t xml:space="preserve">[סע' ג] </w:t>
      </w:r>
      <w:r w:rsidRPr="0004348D">
        <w:rPr>
          <w:rFonts w:ascii="Calibri" w:eastAsia="Calibri" w:hAnsi="Calibri" w:cs="Arial"/>
          <w:rtl/>
        </w:rPr>
        <w:t xml:space="preserve">סמ"ע </w:t>
      </w:r>
      <w:r w:rsidRPr="0004348D">
        <w:rPr>
          <w:rFonts w:ascii="Calibri" w:eastAsia="Calibri" w:hAnsi="Calibri" w:cs="Arial"/>
          <w:sz w:val="16"/>
          <w:szCs w:val="16"/>
          <w:rtl/>
        </w:rPr>
        <w:t>[סקט"ו]</w:t>
      </w:r>
      <w:r w:rsidRPr="0004348D">
        <w:rPr>
          <w:rFonts w:ascii="Calibri" w:eastAsia="Calibri" w:hAnsi="Calibri" w:cs="Arial"/>
          <w:rtl/>
        </w:rPr>
        <w:t xml:space="preserve"> ומהרש"ך</w:t>
      </w:r>
      <w:r w:rsidRPr="0004348D">
        <w:rPr>
          <w:rFonts w:ascii="Calibri" w:eastAsia="Calibri" w:hAnsi="Calibri" w:cs="Arial"/>
          <w:sz w:val="16"/>
          <w:szCs w:val="16"/>
          <w:rtl/>
        </w:rPr>
        <w:t xml:space="preserve"> [ספר שני סי' יא]</w:t>
      </w:r>
      <w:r w:rsidRPr="0004348D">
        <w:rPr>
          <w:rFonts w:ascii="Calibri" w:eastAsia="Calibri" w:hAnsi="Calibri" w:cs="Arial"/>
          <w:rtl/>
        </w:rPr>
        <w:t>)</w:t>
      </w:r>
    </w:p>
    <w:p w14:paraId="7434038F" w14:textId="77777777" w:rsidR="0004348D" w:rsidRPr="0004348D" w:rsidRDefault="0004348D" w:rsidP="0004348D">
      <w:pPr>
        <w:spacing w:before="360" w:after="240"/>
        <w:rPr>
          <w:rFonts w:ascii="Calibri" w:eastAsia="Calibri" w:hAnsi="Calibri" w:cs="Arial"/>
          <w:sz w:val="16"/>
          <w:szCs w:val="16"/>
          <w:rtl/>
        </w:rPr>
      </w:pPr>
      <w:r w:rsidRPr="0004348D">
        <w:rPr>
          <w:rFonts w:ascii="Calibri" w:eastAsia="Calibri" w:hAnsi="Calibri" w:cs="Arial"/>
          <w:b/>
          <w:bCs/>
          <w:rtl/>
        </w:rPr>
        <w:t xml:space="preserve">שבועות </w:t>
      </w:r>
      <w:r w:rsidRPr="0004348D">
        <w:rPr>
          <w:rFonts w:ascii="Calibri" w:eastAsia="Calibri" w:hAnsi="Calibri" w:cs="Arial"/>
          <w:b/>
          <w:bCs/>
          <w:sz w:val="16"/>
          <w:szCs w:val="16"/>
          <w:rtl/>
        </w:rPr>
        <w:t xml:space="preserve">(פרק שבועת הדיינים) </w:t>
      </w:r>
      <w:r w:rsidRPr="0004348D">
        <w:rPr>
          <w:rFonts w:ascii="Calibri" w:eastAsia="Calibri" w:hAnsi="Calibri" w:cs="Arial"/>
          <w:b/>
          <w:bCs/>
          <w:rtl/>
        </w:rPr>
        <w:t>מא</w:t>
      </w:r>
      <w:r w:rsidRPr="0004348D">
        <w:rPr>
          <w:rFonts w:ascii="Calibri" w:eastAsia="Calibri" w:hAnsi="Calibri" w:cs="Arial"/>
          <w:b/>
          <w:bCs/>
          <w:vertAlign w:val="superscript"/>
          <w:rtl/>
        </w:rPr>
        <w:footnoteReference w:id="5601"/>
      </w:r>
      <w:r w:rsidRPr="0004348D">
        <w:rPr>
          <w:rFonts w:ascii="Calibri" w:eastAsia="Calibri" w:hAnsi="Calibri" w:cs="Arial"/>
          <w:b/>
          <w:bCs/>
          <w:rtl/>
        </w:rPr>
        <w:t xml:space="preserve"> ע"ב:</w:t>
      </w:r>
      <w:r w:rsidRPr="0004348D">
        <w:rPr>
          <w:rFonts w:ascii="Calibri" w:eastAsia="Calibri" w:hAnsi="Calibri" w:cs="Arial"/>
          <w:rtl/>
        </w:rPr>
        <w:t xml:space="preserve"> </w:t>
      </w:r>
      <w:r w:rsidRPr="0004348D">
        <w:rPr>
          <w:rFonts w:ascii="Calibri" w:eastAsia="Calibri" w:hAnsi="Calibri" w:cs="Arial"/>
          <w:u w:val="single"/>
          <w:rtl/>
        </w:rPr>
        <w:t>אמר רב פפי משמיה דרבא</w:t>
      </w:r>
      <w:r w:rsidRPr="0004348D">
        <w:rPr>
          <w:rFonts w:ascii="Calibri" w:eastAsia="Calibri" w:hAnsi="Calibri" w:cs="Arial"/>
          <w:rtl/>
        </w:rPr>
        <w:t xml:space="preserve">: הלכתא, המלוה את חבירו בעדים - צריך לפורעו בעדים. </w:t>
      </w:r>
      <w:r w:rsidRPr="0004348D">
        <w:rPr>
          <w:rFonts w:ascii="Calibri" w:eastAsia="Calibri" w:hAnsi="Calibri" w:cs="Arial"/>
          <w:u w:val="single"/>
          <w:rtl/>
        </w:rPr>
        <w:t>ורב פפא משמיה דרבא אמר</w:t>
      </w:r>
      <w:r w:rsidRPr="0004348D">
        <w:rPr>
          <w:rFonts w:ascii="Calibri" w:eastAsia="Calibri" w:hAnsi="Calibri" w:cs="Arial"/>
          <w:rtl/>
        </w:rPr>
        <w:t xml:space="preserve">: המלוה את חבירו בעדים - אין צריך לפורעו בעדים, ואם אמר אל תפרעני אלא בעדים - צריך לפורעו בעדים. ואם אמר לו פרעתיך בפני פלוני ופלוני והלכו להם למדינת הים - נאמן. </w:t>
      </w:r>
      <w:r w:rsidRPr="0004348D">
        <w:rPr>
          <w:rFonts w:ascii="Calibri" w:eastAsia="Calibri" w:hAnsi="Calibri" w:cs="Arial"/>
          <w:sz w:val="16"/>
          <w:szCs w:val="16"/>
          <w:rtl/>
        </w:rPr>
        <w:t>(כן היא גירסת הרמב"ם ר"י ורמ"ה, אך הרי"ף והר"י מיגאש גורסים 'אינו נאמן')</w:t>
      </w:r>
    </w:p>
    <w:p w14:paraId="0A797126" w14:textId="77777777" w:rsidR="0004348D" w:rsidRPr="0004348D" w:rsidRDefault="0004348D" w:rsidP="0004348D">
      <w:pPr>
        <w:spacing w:before="360" w:after="240"/>
        <w:rPr>
          <w:rFonts w:ascii="Calibri" w:eastAsia="Calibri" w:hAnsi="Calibri" w:cs="Arial"/>
          <w:rtl/>
        </w:rPr>
      </w:pPr>
      <w:r w:rsidRPr="0004348D">
        <w:rPr>
          <w:rFonts w:ascii="Calibri" w:eastAsia="Calibri" w:hAnsi="Calibri" w:cs="Arial"/>
          <w:u w:val="single"/>
          <w:rtl/>
        </w:rPr>
        <w:t>האומר 'אל תפרעני אלא בעדים' – ואמר לו 'פרעתיך בפני פלוני ופלוני ומתו או הלכו למדינת הים':</w:t>
      </w:r>
      <w:r w:rsidRPr="0004348D">
        <w:rPr>
          <w:rFonts w:ascii="Calibri" w:eastAsia="Calibri" w:hAnsi="Calibri" w:cs="Arial"/>
          <w:rtl/>
        </w:rPr>
        <w:t xml:space="preserve"> </w:t>
      </w:r>
    </w:p>
    <w:p w14:paraId="6FF67D5E" w14:textId="77777777" w:rsidR="0004348D" w:rsidRPr="0004348D" w:rsidRDefault="0004348D" w:rsidP="00992A87">
      <w:pPr>
        <w:numPr>
          <w:ilvl w:val="0"/>
          <w:numId w:val="361"/>
        </w:numPr>
        <w:spacing w:before="360" w:after="240"/>
        <w:contextualSpacing/>
        <w:rPr>
          <w:rFonts w:ascii="Calibri" w:eastAsia="Calibri" w:hAnsi="Calibri" w:cs="Arial"/>
          <w:rtl/>
        </w:rPr>
      </w:pPr>
      <w:r w:rsidRPr="0004348D">
        <w:rPr>
          <w:rFonts w:ascii="Calibri" w:eastAsia="Calibri" w:hAnsi="Calibri" w:cs="Arial"/>
          <w:rtl/>
        </w:rPr>
        <w:t>ר"ח ר"י רמב"ם ורא"ש</w:t>
      </w:r>
      <w:r w:rsidRPr="0004348D">
        <w:rPr>
          <w:rFonts w:ascii="Calibri" w:eastAsia="Calibri" w:hAnsi="Calibri" w:cs="Arial"/>
          <w:vertAlign w:val="superscript"/>
          <w:rtl/>
        </w:rPr>
        <w:footnoteReference w:id="5602"/>
      </w:r>
      <w:r w:rsidRPr="0004348D">
        <w:rPr>
          <w:rFonts w:ascii="Calibri" w:eastAsia="Calibri" w:hAnsi="Calibri" w:cs="Arial"/>
          <w:rtl/>
        </w:rPr>
        <w:t>- בכל ענין נאמן</w:t>
      </w:r>
      <w:r w:rsidRPr="0004348D">
        <w:rPr>
          <w:rFonts w:ascii="Calibri" w:eastAsia="Calibri" w:hAnsi="Calibri" w:cs="Arial"/>
          <w:vertAlign w:val="superscript"/>
          <w:rtl/>
        </w:rPr>
        <w:footnoteReference w:id="5603"/>
      </w:r>
      <w:r w:rsidRPr="0004348D">
        <w:rPr>
          <w:rFonts w:ascii="Calibri" w:eastAsia="Calibri" w:hAnsi="Calibri" w:cs="Arial"/>
          <w:rtl/>
        </w:rPr>
        <w:t xml:space="preserve"> ונשבע היסת ונפטר.</w:t>
      </w:r>
      <w:r w:rsidRPr="0004348D">
        <w:rPr>
          <w:rFonts w:ascii="Calibri" w:eastAsia="Calibri" w:hAnsi="Calibri" w:cs="Arial"/>
          <w:color w:val="E36C0A" w:themeColor="accent6" w:themeShade="BF"/>
          <w:rtl/>
        </w:rPr>
        <w:t xml:space="preserve"> (וכ"פ בשו"ע)</w:t>
      </w:r>
    </w:p>
    <w:p w14:paraId="5E3472B0" w14:textId="77777777" w:rsidR="0004348D" w:rsidRPr="0004348D" w:rsidRDefault="0004348D" w:rsidP="00992A87">
      <w:pPr>
        <w:numPr>
          <w:ilvl w:val="0"/>
          <w:numId w:val="361"/>
        </w:numPr>
        <w:spacing w:before="360" w:after="240"/>
        <w:contextualSpacing/>
        <w:rPr>
          <w:rFonts w:ascii="Calibri" w:eastAsia="Calibri" w:hAnsi="Calibri" w:cs="Arial"/>
        </w:rPr>
      </w:pPr>
      <w:r w:rsidRPr="0004348D">
        <w:rPr>
          <w:rFonts w:ascii="Calibri" w:eastAsia="Calibri" w:hAnsi="Calibri" w:cs="Arial"/>
          <w:rtl/>
        </w:rPr>
        <w:t xml:space="preserve">רי"ף </w:t>
      </w:r>
      <w:r w:rsidRPr="0004348D">
        <w:rPr>
          <w:rFonts w:ascii="Calibri" w:eastAsia="Calibri" w:hAnsi="Calibri" w:cs="Arial"/>
          <w:sz w:val="16"/>
          <w:szCs w:val="16"/>
          <w:rtl/>
        </w:rPr>
        <w:t xml:space="preserve">(כא.) </w:t>
      </w:r>
      <w:r w:rsidRPr="0004348D">
        <w:rPr>
          <w:rFonts w:ascii="Calibri" w:eastAsia="Calibri" w:hAnsi="Calibri" w:cs="Arial"/>
          <w:rtl/>
        </w:rPr>
        <w:t xml:space="preserve">ור"י מיגאש  </w:t>
      </w:r>
      <w:r w:rsidRPr="0004348D">
        <w:rPr>
          <w:rFonts w:ascii="Calibri" w:eastAsia="Calibri" w:hAnsi="Calibri" w:cs="Arial"/>
          <w:sz w:val="16"/>
          <w:szCs w:val="16"/>
          <w:rtl/>
        </w:rPr>
        <w:t>(מא: ד"ה רב פפא, כ"כ בשמו בעל התרומות [שער כה ח"ב סי' ב])</w:t>
      </w:r>
      <w:r w:rsidRPr="0004348D">
        <w:rPr>
          <w:rFonts w:ascii="Calibri" w:eastAsia="Calibri" w:hAnsi="Calibri" w:cs="Arial"/>
          <w:rtl/>
        </w:rPr>
        <w:t>- אינו נאמן</w:t>
      </w:r>
      <w:r w:rsidRPr="0004348D">
        <w:rPr>
          <w:rFonts w:ascii="Calibri" w:eastAsia="Calibri" w:hAnsi="Calibri" w:cs="Arial"/>
          <w:vertAlign w:val="superscript"/>
          <w:rtl/>
        </w:rPr>
        <w:footnoteReference w:id="5604"/>
      </w:r>
      <w:r w:rsidRPr="0004348D">
        <w:rPr>
          <w:rFonts w:ascii="Calibri" w:eastAsia="Calibri" w:hAnsi="Calibri" w:cs="Arial"/>
          <w:rtl/>
        </w:rPr>
        <w:t xml:space="preserve">. </w:t>
      </w:r>
    </w:p>
    <w:p w14:paraId="1D20A760" w14:textId="77777777" w:rsidR="0004348D" w:rsidRPr="0004348D" w:rsidRDefault="0004348D" w:rsidP="00992A87">
      <w:pPr>
        <w:numPr>
          <w:ilvl w:val="0"/>
          <w:numId w:val="361"/>
        </w:numPr>
        <w:spacing w:before="360" w:after="240"/>
        <w:contextualSpacing/>
        <w:rPr>
          <w:rFonts w:ascii="Calibri" w:eastAsia="Calibri" w:hAnsi="Calibri" w:cs="Arial"/>
        </w:rPr>
      </w:pPr>
      <w:r w:rsidRPr="0004348D">
        <w:rPr>
          <w:rFonts w:ascii="Calibri" w:eastAsia="Calibri" w:hAnsi="Calibri" w:cs="Arial"/>
          <w:rtl/>
        </w:rPr>
        <w:t xml:space="preserve">ה"ר ישעיה </w:t>
      </w:r>
      <w:r w:rsidRPr="0004348D">
        <w:rPr>
          <w:rFonts w:ascii="Calibri" w:eastAsia="Calibri" w:hAnsi="Calibri" w:cs="Arial"/>
          <w:sz w:val="16"/>
          <w:szCs w:val="16"/>
          <w:rtl/>
        </w:rPr>
        <w:t>(כ"כ הטור בשמו)</w:t>
      </w:r>
      <w:r w:rsidRPr="0004348D">
        <w:rPr>
          <w:rFonts w:ascii="Calibri" w:eastAsia="Calibri" w:hAnsi="Calibri" w:cs="Arial"/>
          <w:rtl/>
        </w:rPr>
        <w:t xml:space="preserve"> רבינו מאיר</w:t>
      </w:r>
      <w:r w:rsidRPr="0004348D">
        <w:rPr>
          <w:rFonts w:ascii="Calibri" w:eastAsia="Calibri" w:hAnsi="Calibri" w:cs="Arial"/>
          <w:sz w:val="16"/>
          <w:szCs w:val="16"/>
          <w:rtl/>
        </w:rPr>
        <w:t xml:space="preserve"> (כ"כ הה"מ בשמו)</w:t>
      </w:r>
      <w:r w:rsidRPr="0004348D">
        <w:rPr>
          <w:rFonts w:ascii="Calibri" w:eastAsia="Calibri" w:hAnsi="Calibri" w:cs="Arial"/>
          <w:rtl/>
        </w:rPr>
        <w:t xml:space="preserve"> ורשב"א</w:t>
      </w:r>
      <w:r w:rsidRPr="0004348D">
        <w:rPr>
          <w:rFonts w:ascii="Calibri" w:eastAsia="Calibri" w:hAnsi="Calibri" w:cs="Arial"/>
          <w:sz w:val="16"/>
          <w:szCs w:val="16"/>
          <w:rtl/>
        </w:rPr>
        <w:t xml:space="preserve"> (מא: ד"ה רב יוסף, כ"כ הה"מ בשמו)</w:t>
      </w:r>
      <w:r w:rsidRPr="0004348D">
        <w:rPr>
          <w:rFonts w:ascii="Calibri" w:eastAsia="Calibri" w:hAnsi="Calibri" w:cs="Arial"/>
          <w:rtl/>
        </w:rPr>
        <w:t>- נאמן לענין זה שאם הלכו למדינת הים שנמתין לו עד שיבואו, אולי אמר אמת, ולא אמרינן דליפרעיה מיד ולכי מייתי עדים ואמרי דפרעיה מיהדר ליה. אבל אם אמר פרעתיך בפני פלוני ופלוני ומתו שאינו יכול להתברר לעולם - אינו נאמן וצריך לפרעו מיד</w:t>
      </w:r>
      <w:r w:rsidRPr="0004348D">
        <w:rPr>
          <w:rFonts w:ascii="Calibri" w:eastAsia="Calibri" w:hAnsi="Calibri" w:cs="Arial"/>
          <w:sz w:val="16"/>
          <w:szCs w:val="16"/>
          <w:rtl/>
        </w:rPr>
        <w:t xml:space="preserve"> (ל' הטור בשם ה"ר ישעיה)</w:t>
      </w:r>
      <w:r w:rsidRPr="0004348D">
        <w:rPr>
          <w:rFonts w:ascii="Calibri" w:eastAsia="Calibri" w:hAnsi="Calibri" w:cs="Arial"/>
          <w:vertAlign w:val="superscript"/>
          <w:rtl/>
        </w:rPr>
        <w:footnoteReference w:id="5605"/>
      </w:r>
      <w:r w:rsidRPr="0004348D">
        <w:rPr>
          <w:rFonts w:ascii="Calibri" w:eastAsia="Calibri" w:hAnsi="Calibri" w:cs="Arial"/>
          <w:rtl/>
        </w:rPr>
        <w:t xml:space="preserve">. </w:t>
      </w:r>
    </w:p>
    <w:p w14:paraId="08C1D4C3" w14:textId="77777777" w:rsidR="0004348D" w:rsidRPr="0004348D" w:rsidRDefault="0004348D" w:rsidP="00992A87">
      <w:pPr>
        <w:numPr>
          <w:ilvl w:val="0"/>
          <w:numId w:val="361"/>
        </w:numPr>
        <w:spacing w:before="360" w:after="240"/>
        <w:contextualSpacing/>
        <w:rPr>
          <w:rFonts w:ascii="Calibri" w:eastAsia="Calibri" w:hAnsi="Calibri" w:cs="Arial"/>
        </w:rPr>
      </w:pPr>
      <w:r w:rsidRPr="0004348D">
        <w:rPr>
          <w:rFonts w:ascii="Calibri" w:eastAsia="Calibri" w:hAnsi="Calibri" w:cs="Arial"/>
          <w:rtl/>
        </w:rPr>
        <w:t xml:space="preserve">רמ"ה </w:t>
      </w:r>
      <w:r w:rsidRPr="0004348D">
        <w:rPr>
          <w:rFonts w:ascii="Calibri" w:eastAsia="Calibri" w:hAnsi="Calibri" w:cs="Arial"/>
          <w:sz w:val="16"/>
          <w:szCs w:val="16"/>
          <w:rtl/>
        </w:rPr>
        <w:t>(הביאו הטור)</w:t>
      </w:r>
      <w:r w:rsidRPr="0004348D">
        <w:rPr>
          <w:rFonts w:ascii="Calibri" w:eastAsia="Calibri" w:hAnsi="Calibri" w:cs="Arial"/>
          <w:rtl/>
        </w:rPr>
        <w:t>- אם אמר 'פרעתי בפני פלוני ופלוני' - בכל ענין נאמן ונשבע היסת ונפטר. אבל אם אומר 'בפני עדים' סתם - אינו נאמן</w:t>
      </w:r>
      <w:r w:rsidRPr="0004348D">
        <w:rPr>
          <w:rFonts w:ascii="Calibri" w:eastAsia="Calibri" w:hAnsi="Calibri" w:cs="Arial"/>
          <w:vertAlign w:val="superscript"/>
          <w:rtl/>
        </w:rPr>
        <w:footnoteReference w:id="5606"/>
      </w:r>
      <w:r w:rsidRPr="0004348D">
        <w:rPr>
          <w:rFonts w:ascii="Calibri" w:eastAsia="Calibri" w:hAnsi="Calibri" w:cs="Arial"/>
          <w:rtl/>
        </w:rPr>
        <w:t>.</w:t>
      </w:r>
    </w:p>
    <w:p w14:paraId="0F0BE9E0" w14:textId="77777777" w:rsidR="0004348D" w:rsidRPr="0004348D" w:rsidRDefault="0004348D" w:rsidP="00992A87">
      <w:pPr>
        <w:numPr>
          <w:ilvl w:val="0"/>
          <w:numId w:val="361"/>
        </w:numPr>
        <w:spacing w:before="360" w:after="240"/>
        <w:contextualSpacing/>
        <w:rPr>
          <w:rFonts w:ascii="Calibri" w:eastAsia="Calibri" w:hAnsi="Calibri" w:cs="Arial"/>
        </w:rPr>
      </w:pPr>
      <w:r w:rsidRPr="0004348D">
        <w:rPr>
          <w:rFonts w:ascii="Calibri" w:eastAsia="Calibri" w:hAnsi="Calibri" w:cs="Arial"/>
          <w:rtl/>
        </w:rPr>
        <w:t xml:space="preserve">ראב"ד </w:t>
      </w:r>
      <w:r w:rsidRPr="0004348D">
        <w:rPr>
          <w:rFonts w:ascii="Calibri" w:eastAsia="Calibri" w:hAnsi="Calibri" w:cs="Arial"/>
          <w:sz w:val="16"/>
          <w:szCs w:val="16"/>
          <w:rtl/>
        </w:rPr>
        <w:t>(פט"ו ממלוה ה"א)</w:t>
      </w:r>
      <w:r w:rsidRPr="0004348D">
        <w:rPr>
          <w:rFonts w:ascii="Calibri" w:eastAsia="Calibri" w:hAnsi="Calibri" w:cs="Arial"/>
          <w:rtl/>
        </w:rPr>
        <w:t xml:space="preserve">- </w:t>
      </w:r>
      <w:r w:rsidRPr="0004348D">
        <w:rPr>
          <w:rFonts w:ascii="Calibri" w:eastAsia="Calibri" w:hAnsi="Calibri" w:cs="Arial"/>
          <w:vertAlign w:val="superscript"/>
          <w:rtl/>
        </w:rPr>
        <w:footnoteReference w:id="5607"/>
      </w:r>
      <w:r w:rsidRPr="0004348D">
        <w:rPr>
          <w:rFonts w:ascii="Calibri" w:eastAsia="Calibri" w:hAnsi="Calibri" w:cs="Arial"/>
          <w:rtl/>
        </w:rPr>
        <w:t>אם יש עדים על התנאי שאמר לו 'אל תפרעני אלא בעדים' ואמר לו 'פרעתי והלכו להם' – אינו נאמן. ואם אין שם עדים – נאמן, מגו דיכול לומר לא התנה עמי</w:t>
      </w:r>
      <w:r w:rsidRPr="0004348D">
        <w:rPr>
          <w:rFonts w:ascii="Calibri" w:eastAsia="Calibri" w:hAnsi="Calibri" w:cs="Arial"/>
          <w:vertAlign w:val="superscript"/>
          <w:rtl/>
        </w:rPr>
        <w:footnoteReference w:id="5608"/>
      </w:r>
      <w:r w:rsidRPr="0004348D">
        <w:rPr>
          <w:rFonts w:ascii="Calibri" w:eastAsia="Calibri" w:hAnsi="Calibri" w:cs="Arial"/>
          <w:rtl/>
        </w:rPr>
        <w:t xml:space="preserve">. </w:t>
      </w:r>
    </w:p>
    <w:p w14:paraId="5717F038" w14:textId="77777777" w:rsidR="0004348D" w:rsidRPr="0004348D" w:rsidRDefault="0004348D" w:rsidP="00992A87">
      <w:pPr>
        <w:numPr>
          <w:ilvl w:val="1"/>
          <w:numId w:val="361"/>
        </w:numPr>
        <w:spacing w:before="360" w:after="240"/>
        <w:contextualSpacing/>
        <w:rPr>
          <w:rFonts w:ascii="Calibri" w:eastAsia="Calibri" w:hAnsi="Calibri" w:cs="Arial"/>
        </w:rPr>
      </w:pPr>
      <w:r w:rsidRPr="0004348D">
        <w:rPr>
          <w:rFonts w:ascii="Calibri" w:eastAsia="Calibri" w:hAnsi="Calibri" w:cs="Arial"/>
          <w:rtl/>
        </w:rPr>
        <w:t>ב"י- ולענין הלכה נקטינן כהרמב"ם והרא"ש דמסתבר טעמייהו, ונוסחי עתיקי כוותייהו, וכמה רבוותא מסייעי להו.</w:t>
      </w:r>
    </w:p>
    <w:p w14:paraId="4C6776E0" w14:textId="77777777" w:rsidR="0004348D" w:rsidRPr="0004348D" w:rsidRDefault="0004348D" w:rsidP="0004348D">
      <w:pPr>
        <w:spacing w:before="360" w:after="240"/>
        <w:rPr>
          <w:rFonts w:ascii="Calibri" w:eastAsia="Calibri" w:hAnsi="Calibri" w:cs="Arial"/>
          <w:u w:val="single"/>
          <w:rtl/>
        </w:rPr>
      </w:pPr>
      <w:r w:rsidRPr="0004348D">
        <w:rPr>
          <w:rFonts w:ascii="Calibri" w:eastAsia="Calibri" w:hAnsi="Calibri" w:cs="Arial"/>
          <w:u w:val="single"/>
          <w:rtl/>
        </w:rPr>
        <w:t>מה שנאמר במשנה</w:t>
      </w:r>
      <w:r w:rsidRPr="0004348D">
        <w:rPr>
          <w:rFonts w:ascii="Calibri" w:eastAsia="Calibri" w:hAnsi="Calibri" w:cs="Arial"/>
          <w:sz w:val="14"/>
          <w:szCs w:val="14"/>
          <w:u w:val="single"/>
          <w:rtl/>
        </w:rPr>
        <w:t xml:space="preserve"> (לח:)</w:t>
      </w:r>
      <w:r w:rsidRPr="0004348D">
        <w:rPr>
          <w:rFonts w:ascii="Calibri" w:eastAsia="Calibri" w:hAnsi="Calibri" w:cs="Arial"/>
          <w:u w:val="single"/>
          <w:rtl/>
        </w:rPr>
        <w:t xml:space="preserve"> ובגמ'</w:t>
      </w:r>
      <w:r w:rsidRPr="0004348D">
        <w:rPr>
          <w:rFonts w:ascii="Calibri" w:eastAsia="Calibri" w:hAnsi="Calibri" w:cs="Arial"/>
          <w:sz w:val="14"/>
          <w:szCs w:val="14"/>
          <w:u w:val="single"/>
          <w:rtl/>
        </w:rPr>
        <w:t xml:space="preserve"> (מא:) </w:t>
      </w:r>
      <w:r w:rsidRPr="0004348D">
        <w:rPr>
          <w:rFonts w:ascii="Calibri" w:eastAsia="Calibri" w:hAnsi="Calibri" w:cs="Arial"/>
          <w:u w:val="single"/>
          <w:rtl/>
        </w:rPr>
        <w:t>דאמר המלוה 'אל תפרעני אלא בעדים' - האם מדובר שאמר לו כן בפני עדים או לא:</w:t>
      </w:r>
    </w:p>
    <w:p w14:paraId="384843BF" w14:textId="77777777" w:rsidR="0004348D" w:rsidRPr="0004348D" w:rsidRDefault="0004348D" w:rsidP="00992A87">
      <w:pPr>
        <w:numPr>
          <w:ilvl w:val="0"/>
          <w:numId w:val="361"/>
        </w:numPr>
        <w:spacing w:before="360" w:after="240"/>
        <w:contextualSpacing/>
        <w:rPr>
          <w:rFonts w:ascii="Calibri" w:eastAsia="Calibri" w:hAnsi="Calibri" w:cs="Arial"/>
        </w:rPr>
      </w:pPr>
      <w:r w:rsidRPr="0004348D">
        <w:rPr>
          <w:rFonts w:ascii="Calibri" w:eastAsia="Calibri" w:hAnsi="Calibri" w:cs="Arial"/>
          <w:rtl/>
        </w:rPr>
        <w:t xml:space="preserve">הה"מ </w:t>
      </w:r>
      <w:r w:rsidRPr="0004348D">
        <w:rPr>
          <w:rFonts w:ascii="Calibri" w:eastAsia="Calibri" w:hAnsi="Calibri" w:cs="Arial"/>
          <w:sz w:val="16"/>
          <w:szCs w:val="16"/>
          <w:rtl/>
        </w:rPr>
        <w:t>(פט"ו ה"ב)</w:t>
      </w:r>
      <w:r w:rsidRPr="0004348D">
        <w:rPr>
          <w:rFonts w:ascii="Calibri" w:eastAsia="Calibri" w:hAnsi="Calibri" w:cs="Arial"/>
          <w:rtl/>
        </w:rPr>
        <w:t xml:space="preserve">- על כרחין פלוגתא דאמוראי ותנאי התם בשיש עדים על התנאי היא, דאי בשאין עדים מי איכא דלית ליה מגו? והא מגו דאורייתא הוא. וא"כ על כרחין רבא, דפסק הלכתא דנאמן לומר הלכו להם </w:t>
      </w:r>
      <w:r w:rsidRPr="0004348D">
        <w:rPr>
          <w:rFonts w:ascii="Calibri" w:eastAsia="Calibri" w:hAnsi="Calibri" w:cs="Arial"/>
          <w:sz w:val="16"/>
          <w:szCs w:val="16"/>
          <w:rtl/>
        </w:rPr>
        <w:t>(לפי הנוסחא הישנה)</w:t>
      </w:r>
      <w:r w:rsidRPr="0004348D">
        <w:rPr>
          <w:rFonts w:ascii="Calibri" w:eastAsia="Calibri" w:hAnsi="Calibri" w:cs="Arial"/>
          <w:rtl/>
        </w:rPr>
        <w:t xml:space="preserve"> - בשיש עדים על התנאי הוא, דאי באין עדים - 'הלכה' מכלל דפליגי, והא ודאי כ"ע מודו</w:t>
      </w:r>
      <w:r w:rsidRPr="0004348D">
        <w:rPr>
          <w:rFonts w:ascii="Calibri" w:eastAsia="Calibri" w:hAnsi="Calibri" w:cs="Arial"/>
          <w:vertAlign w:val="superscript"/>
          <w:rtl/>
        </w:rPr>
        <w:footnoteReference w:id="5609"/>
      </w:r>
      <w:r w:rsidRPr="0004348D">
        <w:rPr>
          <w:rFonts w:ascii="Calibri" w:eastAsia="Calibri" w:hAnsi="Calibri" w:cs="Arial"/>
          <w:rtl/>
        </w:rPr>
        <w:t xml:space="preserve">. (וכ"פ סמ"ע </w:t>
      </w:r>
      <w:r w:rsidRPr="0004348D">
        <w:rPr>
          <w:rFonts w:ascii="Calibri" w:eastAsia="Calibri" w:hAnsi="Calibri" w:cs="Arial"/>
          <w:sz w:val="16"/>
          <w:szCs w:val="16"/>
          <w:rtl/>
        </w:rPr>
        <w:t>[סקי"א]</w:t>
      </w:r>
      <w:r w:rsidRPr="0004348D">
        <w:rPr>
          <w:rFonts w:ascii="Calibri" w:eastAsia="Calibri" w:hAnsi="Calibri" w:cs="Arial"/>
          <w:rtl/>
        </w:rPr>
        <w:t xml:space="preserve"> ש"ך</w:t>
      </w:r>
      <w:r w:rsidRPr="0004348D">
        <w:rPr>
          <w:rFonts w:ascii="Calibri" w:eastAsia="Calibri" w:hAnsi="Calibri" w:cs="Arial"/>
          <w:sz w:val="16"/>
          <w:szCs w:val="16"/>
          <w:rtl/>
        </w:rPr>
        <w:t xml:space="preserve"> [סק"ח]</w:t>
      </w:r>
      <w:r w:rsidRPr="0004348D">
        <w:rPr>
          <w:rFonts w:ascii="Calibri" w:eastAsia="Calibri" w:hAnsi="Calibri" w:cs="Arial"/>
          <w:rtl/>
        </w:rPr>
        <w:t xml:space="preserve"> ונתיבות </w:t>
      </w:r>
      <w:r w:rsidRPr="0004348D">
        <w:rPr>
          <w:rFonts w:ascii="Calibri" w:eastAsia="Calibri" w:hAnsi="Calibri" w:cs="Arial"/>
          <w:sz w:val="16"/>
          <w:szCs w:val="16"/>
          <w:rtl/>
        </w:rPr>
        <w:t>[חידו' סק"ה]</w:t>
      </w:r>
      <w:r w:rsidRPr="0004348D">
        <w:rPr>
          <w:rFonts w:ascii="Calibri" w:eastAsia="Calibri" w:hAnsi="Calibri" w:cs="Arial"/>
          <w:rtl/>
        </w:rPr>
        <w:t xml:space="preserve">). </w:t>
      </w:r>
    </w:p>
    <w:p w14:paraId="475BBE18" w14:textId="77777777" w:rsidR="0004348D" w:rsidRPr="0004348D" w:rsidRDefault="0004348D" w:rsidP="0004348D">
      <w:pPr>
        <w:spacing w:before="360" w:after="240"/>
        <w:rPr>
          <w:rFonts w:ascii="Calibri" w:eastAsia="Calibri" w:hAnsi="Calibri" w:cs="Arial"/>
        </w:rPr>
      </w:pPr>
      <w:r w:rsidRPr="0004348D">
        <w:rPr>
          <w:rFonts w:ascii="Calibri" w:eastAsia="Calibri" w:hAnsi="Calibri" w:cs="Arial"/>
          <w:b/>
          <w:bCs/>
          <w:rtl/>
        </w:rPr>
        <w:t xml:space="preserve">שבועות </w:t>
      </w:r>
      <w:r w:rsidRPr="0004348D">
        <w:rPr>
          <w:rFonts w:ascii="Calibri" w:eastAsia="Calibri" w:hAnsi="Calibri" w:cs="Arial"/>
          <w:b/>
          <w:bCs/>
          <w:sz w:val="16"/>
          <w:szCs w:val="16"/>
          <w:rtl/>
        </w:rPr>
        <w:t xml:space="preserve">(פרק שבועת הדיינים) </w:t>
      </w:r>
      <w:r w:rsidRPr="0004348D">
        <w:rPr>
          <w:rFonts w:ascii="Calibri" w:eastAsia="Calibri" w:hAnsi="Calibri" w:cs="Arial"/>
          <w:b/>
          <w:bCs/>
          <w:rtl/>
        </w:rPr>
        <w:t>מא</w:t>
      </w:r>
      <w:r w:rsidRPr="0004348D">
        <w:rPr>
          <w:rFonts w:ascii="Calibri" w:eastAsia="Calibri" w:hAnsi="Calibri" w:cs="Arial"/>
          <w:b/>
          <w:bCs/>
          <w:vertAlign w:val="superscript"/>
          <w:rtl/>
        </w:rPr>
        <w:footnoteReference w:id="5610"/>
      </w:r>
      <w:r w:rsidRPr="0004348D">
        <w:rPr>
          <w:rFonts w:ascii="Calibri" w:eastAsia="Calibri" w:hAnsi="Calibri" w:cs="Arial"/>
          <w:b/>
          <w:bCs/>
          <w:rtl/>
        </w:rPr>
        <w:t xml:space="preserve"> ע"ב:</w:t>
      </w:r>
      <w:r w:rsidRPr="0004348D">
        <w:rPr>
          <w:rFonts w:ascii="Calibri" w:eastAsia="Calibri" w:hAnsi="Calibri" w:cs="Arial"/>
          <w:rtl/>
        </w:rPr>
        <w:t xml:space="preserve"> ההוא דא"ל לחבריה: כי פרעתין - פרעין לי באפי ראובן ושמעון, אזל ופרעיה באפי תרי מעלמא, </w:t>
      </w:r>
      <w:r w:rsidRPr="0004348D">
        <w:rPr>
          <w:rFonts w:ascii="Calibri" w:eastAsia="Calibri" w:hAnsi="Calibri" w:cs="Arial"/>
          <w:u w:val="single"/>
          <w:rtl/>
        </w:rPr>
        <w:t>אמר אביי</w:t>
      </w:r>
      <w:r w:rsidRPr="0004348D">
        <w:rPr>
          <w:rFonts w:ascii="Calibri" w:eastAsia="Calibri" w:hAnsi="Calibri" w:cs="Arial"/>
          <w:rtl/>
        </w:rPr>
        <w:t xml:space="preserve">: באפי בי תרי אמר ליה, באפי בי תרי פרעיה. </w:t>
      </w:r>
      <w:r w:rsidRPr="0004348D">
        <w:rPr>
          <w:rFonts w:ascii="Calibri" w:eastAsia="Calibri" w:hAnsi="Calibri" w:cs="Arial"/>
          <w:u w:val="single"/>
          <w:rtl/>
        </w:rPr>
        <w:t>אמר ליה רבא</w:t>
      </w:r>
      <w:r w:rsidRPr="0004348D">
        <w:rPr>
          <w:rFonts w:ascii="Calibri" w:eastAsia="Calibri" w:hAnsi="Calibri" w:cs="Arial"/>
          <w:rtl/>
        </w:rPr>
        <w:t>: להכי קאמר ליה באפי ראובן ושמעון, כי היכי דלא נדחייה.</w:t>
      </w:r>
      <w:r w:rsidRPr="0004348D">
        <w:rPr>
          <w:rFonts w:ascii="Calibri" w:eastAsia="Calibri" w:hAnsi="Calibri" w:cs="Arial"/>
          <w:sz w:val="16"/>
          <w:szCs w:val="16"/>
          <w:rtl/>
        </w:rPr>
        <w:t xml:space="preserve"> (וידוע דהלכתא כרבא, ב"י)</w:t>
      </w:r>
    </w:p>
    <w:p w14:paraId="2598720A" w14:textId="77777777" w:rsidR="0004348D" w:rsidRPr="0004348D" w:rsidRDefault="0004348D" w:rsidP="0004348D">
      <w:pPr>
        <w:spacing w:before="360" w:after="240"/>
        <w:rPr>
          <w:rFonts w:ascii="Calibri" w:eastAsia="Calibri" w:hAnsi="Calibri" w:cs="Arial"/>
          <w:u w:val="single"/>
          <w:rtl/>
        </w:rPr>
      </w:pPr>
      <w:r w:rsidRPr="0004348D">
        <w:rPr>
          <w:rFonts w:ascii="Calibri" w:eastAsia="Calibri" w:hAnsi="Calibri" w:cs="Arial"/>
          <w:u w:val="single"/>
          <w:rtl/>
        </w:rPr>
        <w:t xml:space="preserve">האומר 'אל תפרעני אלא בפני פלוני ופלוני' - ואמר לו 'פרעתיך </w:t>
      </w:r>
      <w:r w:rsidRPr="0004348D">
        <w:rPr>
          <w:rFonts w:ascii="Calibri" w:eastAsia="Calibri" w:hAnsi="Calibri" w:cs="Arial"/>
          <w:b/>
          <w:bCs/>
          <w:u w:val="single"/>
          <w:rtl/>
        </w:rPr>
        <w:t>בפני אחרים</w:t>
      </w:r>
      <w:r w:rsidRPr="0004348D">
        <w:rPr>
          <w:rFonts w:ascii="Calibri" w:eastAsia="Calibri" w:hAnsi="Calibri" w:cs="Arial"/>
          <w:u w:val="single"/>
          <w:rtl/>
        </w:rPr>
        <w:t xml:space="preserve"> ומתו או הלכו למדינת הים':</w:t>
      </w:r>
    </w:p>
    <w:p w14:paraId="645BC2DF" w14:textId="77777777" w:rsidR="0004348D" w:rsidRPr="0004348D" w:rsidRDefault="0004348D" w:rsidP="00992A87">
      <w:pPr>
        <w:numPr>
          <w:ilvl w:val="0"/>
          <w:numId w:val="361"/>
        </w:numPr>
        <w:spacing w:before="360" w:after="240"/>
        <w:contextualSpacing/>
        <w:rPr>
          <w:rFonts w:ascii="Calibri" w:eastAsia="Calibri" w:hAnsi="Calibri" w:cs="Arial"/>
          <w:rtl/>
        </w:rPr>
      </w:pPr>
      <w:r w:rsidRPr="0004348D">
        <w:rPr>
          <w:rFonts w:ascii="Calibri" w:eastAsia="Calibri" w:hAnsi="Calibri" w:cs="Arial"/>
          <w:rtl/>
        </w:rPr>
        <w:t xml:space="preserve">רמב"ם </w:t>
      </w:r>
      <w:r w:rsidRPr="0004348D">
        <w:rPr>
          <w:rFonts w:ascii="Calibri" w:eastAsia="Calibri" w:hAnsi="Calibri" w:cs="Arial"/>
          <w:sz w:val="16"/>
          <w:szCs w:val="16"/>
          <w:rtl/>
        </w:rPr>
        <w:t>(פט"ו ממלוה ולוה ה"א)</w:t>
      </w:r>
      <w:r w:rsidRPr="0004348D">
        <w:rPr>
          <w:rFonts w:ascii="Calibri" w:eastAsia="Calibri" w:hAnsi="Calibri" w:cs="Arial"/>
          <w:rtl/>
        </w:rPr>
        <w:t xml:space="preserve"> וטור- אמר לו 'אל תפרעני אלא בפני פלוני ופלוני', ואמר 'פרעתיך בפני פלוני ופלוני אחרים ומתו או הלכו למדינת הים' - אינו נאמן, שמפני זה יחד עדיו שלא יוכל לדחותו ולומר פרעתי בפני אחרים והלכו להם. </w:t>
      </w:r>
      <w:r w:rsidRPr="0004348D">
        <w:rPr>
          <w:rFonts w:ascii="Calibri" w:eastAsia="Calibri" w:hAnsi="Calibri" w:cs="Arial"/>
          <w:color w:val="E36C0A" w:themeColor="accent6" w:themeShade="BF"/>
          <w:rtl/>
        </w:rPr>
        <w:t>(וכ"פ בשו"ע</w:t>
      </w:r>
      <w:r w:rsidRPr="0004348D">
        <w:rPr>
          <w:rFonts w:ascii="Calibri" w:eastAsia="Calibri" w:hAnsi="Calibri" w:cs="Arial"/>
          <w:color w:val="E36C0A" w:themeColor="accent6" w:themeShade="BF"/>
          <w:sz w:val="16"/>
          <w:szCs w:val="16"/>
          <w:rtl/>
        </w:rPr>
        <w:t xml:space="preserve"> </w:t>
      </w:r>
      <w:r w:rsidRPr="0004348D">
        <w:rPr>
          <w:rFonts w:ascii="Calibri" w:eastAsia="Calibri" w:hAnsi="Calibri" w:cs="Arial"/>
          <w:sz w:val="16"/>
          <w:szCs w:val="16"/>
          <w:rtl/>
        </w:rPr>
        <w:t>[בסע' הבא]</w:t>
      </w:r>
      <w:r w:rsidRPr="0004348D">
        <w:rPr>
          <w:rFonts w:ascii="Calibri" w:eastAsia="Calibri" w:hAnsi="Calibri" w:cs="Arial"/>
          <w:color w:val="E36C0A" w:themeColor="accent6" w:themeShade="BF"/>
          <w:rtl/>
        </w:rPr>
        <w:t>)</w:t>
      </w:r>
    </w:p>
    <w:p w14:paraId="2F4FCBAA" w14:textId="77777777" w:rsidR="0004348D" w:rsidRPr="0004348D" w:rsidRDefault="0004348D" w:rsidP="0004348D">
      <w:pPr>
        <w:spacing w:before="360" w:after="240"/>
        <w:ind w:left="360"/>
        <w:rPr>
          <w:rFonts w:ascii="Calibri" w:eastAsia="Calibri" w:hAnsi="Calibri" w:cs="Arial"/>
          <w:u w:val="dotted"/>
        </w:rPr>
      </w:pPr>
      <w:r w:rsidRPr="0004348D">
        <w:rPr>
          <w:rFonts w:ascii="Calibri" w:eastAsia="Calibri" w:hAnsi="Calibri" w:cs="Arial"/>
          <w:u w:val="dotted"/>
          <w:rtl/>
        </w:rPr>
        <w:t xml:space="preserve">ומה הדין אם באו העדים </w:t>
      </w:r>
      <w:r w:rsidRPr="0004348D">
        <w:rPr>
          <w:rFonts w:ascii="Calibri" w:eastAsia="Calibri" w:hAnsi="Calibri" w:cs="Arial"/>
          <w:sz w:val="16"/>
          <w:szCs w:val="16"/>
          <w:u w:val="dotted"/>
          <w:rtl/>
        </w:rPr>
        <w:t>(האחרים שפרע בפניהם)</w:t>
      </w:r>
      <w:r w:rsidRPr="0004348D">
        <w:rPr>
          <w:rFonts w:ascii="Calibri" w:eastAsia="Calibri" w:hAnsi="Calibri" w:cs="Arial"/>
          <w:u w:val="dotted"/>
          <w:rtl/>
        </w:rPr>
        <w:t xml:space="preserve"> והעידו שפרע לו:</w:t>
      </w:r>
    </w:p>
    <w:p w14:paraId="23450CC1" w14:textId="77777777" w:rsidR="0004348D" w:rsidRPr="0004348D" w:rsidRDefault="0004348D" w:rsidP="00992A87">
      <w:pPr>
        <w:numPr>
          <w:ilvl w:val="0"/>
          <w:numId w:val="361"/>
        </w:numPr>
        <w:spacing w:before="360" w:after="240"/>
        <w:contextualSpacing/>
        <w:rPr>
          <w:rFonts w:ascii="Calibri" w:eastAsia="Calibri" w:hAnsi="Calibri" w:cs="Arial"/>
        </w:rPr>
      </w:pPr>
      <w:r w:rsidRPr="0004348D">
        <w:rPr>
          <w:rFonts w:ascii="Calibri" w:eastAsia="Calibri" w:hAnsi="Calibri" w:cs="Arial"/>
          <w:rtl/>
        </w:rPr>
        <w:t>רבינו האי ר"ח רמב"ם רא"ש ור"ן</w:t>
      </w:r>
      <w:r w:rsidRPr="0004348D">
        <w:rPr>
          <w:rFonts w:ascii="Calibri" w:eastAsia="Calibri" w:hAnsi="Calibri" w:cs="Arial"/>
          <w:vertAlign w:val="superscript"/>
          <w:rtl/>
        </w:rPr>
        <w:footnoteReference w:id="5611"/>
      </w:r>
      <w:r w:rsidRPr="0004348D">
        <w:rPr>
          <w:rFonts w:ascii="Calibri" w:eastAsia="Calibri" w:hAnsi="Calibri" w:cs="Arial"/>
          <w:rtl/>
        </w:rPr>
        <w:t xml:space="preserve">- הני מילי </w:t>
      </w:r>
      <w:r w:rsidRPr="0004348D">
        <w:rPr>
          <w:rFonts w:ascii="Calibri" w:eastAsia="Calibri" w:hAnsi="Calibri" w:cs="Arial"/>
          <w:sz w:val="16"/>
          <w:szCs w:val="16"/>
          <w:rtl/>
        </w:rPr>
        <w:t xml:space="preserve">{שאינו נאמן וחייב לשלם} </w:t>
      </w:r>
      <w:r w:rsidRPr="0004348D">
        <w:rPr>
          <w:rFonts w:ascii="Calibri" w:eastAsia="Calibri" w:hAnsi="Calibri" w:cs="Arial"/>
          <w:rtl/>
        </w:rPr>
        <w:t>כשאין אותם עדים בפנינו, ומשום הכי מחייבין אותו לפרעו מיד, אבל אי איתנהו קמן - פטור</w:t>
      </w:r>
      <w:r w:rsidRPr="0004348D">
        <w:rPr>
          <w:rFonts w:ascii="Calibri" w:eastAsia="Calibri" w:hAnsi="Calibri" w:cs="Arial"/>
          <w:vertAlign w:val="superscript"/>
          <w:rtl/>
        </w:rPr>
        <w:footnoteReference w:id="5612"/>
      </w:r>
      <w:r w:rsidRPr="0004348D">
        <w:rPr>
          <w:rFonts w:ascii="Calibri" w:eastAsia="Calibri" w:hAnsi="Calibri" w:cs="Arial"/>
          <w:rtl/>
        </w:rPr>
        <w:t>.</w:t>
      </w:r>
      <w:r w:rsidRPr="0004348D">
        <w:rPr>
          <w:rFonts w:ascii="Calibri" w:eastAsia="Calibri" w:hAnsi="Calibri" w:cs="Arial"/>
          <w:vertAlign w:val="superscript"/>
          <w:rtl/>
        </w:rPr>
        <w:t xml:space="preserve"> </w:t>
      </w:r>
      <w:r w:rsidRPr="0004348D">
        <w:rPr>
          <w:rFonts w:ascii="Calibri" w:eastAsia="Calibri" w:hAnsi="Calibri" w:cs="Arial"/>
          <w:rtl/>
        </w:rPr>
        <w:t xml:space="preserve">וכן אם פרעו מיד ואח"כ באו אותם עדים והעידו שכבר פרעו - מחזיר לו מעותיו. </w:t>
      </w:r>
      <w:r w:rsidRPr="0004348D">
        <w:rPr>
          <w:rFonts w:ascii="Calibri" w:eastAsia="Calibri" w:hAnsi="Calibri" w:cs="Arial"/>
          <w:color w:val="E36C0A" w:themeColor="accent6" w:themeShade="BF"/>
          <w:rtl/>
        </w:rPr>
        <w:t>(וכ"פ בשו"ע</w:t>
      </w:r>
      <w:r w:rsidRPr="0004348D">
        <w:rPr>
          <w:rFonts w:ascii="Calibri" w:eastAsia="Calibri" w:hAnsi="Calibri" w:cs="Arial"/>
          <w:color w:val="E36C0A" w:themeColor="accent6" w:themeShade="BF"/>
          <w:sz w:val="16"/>
          <w:szCs w:val="16"/>
          <w:rtl/>
        </w:rPr>
        <w:t xml:space="preserve"> </w:t>
      </w:r>
      <w:r w:rsidRPr="0004348D">
        <w:rPr>
          <w:rFonts w:ascii="Calibri" w:eastAsia="Calibri" w:hAnsi="Calibri" w:cs="Arial"/>
          <w:sz w:val="16"/>
          <w:szCs w:val="16"/>
          <w:rtl/>
        </w:rPr>
        <w:t>[בסע' הבא]</w:t>
      </w:r>
      <w:r w:rsidRPr="0004348D">
        <w:rPr>
          <w:rFonts w:ascii="Calibri" w:eastAsia="Calibri" w:hAnsi="Calibri" w:cs="Arial"/>
          <w:color w:val="E36C0A" w:themeColor="accent6" w:themeShade="BF"/>
          <w:rtl/>
        </w:rPr>
        <w:t>)</w:t>
      </w:r>
    </w:p>
    <w:p w14:paraId="2B071358" w14:textId="77777777" w:rsidR="0004348D" w:rsidRPr="0004348D" w:rsidRDefault="0004348D" w:rsidP="00992A87">
      <w:pPr>
        <w:numPr>
          <w:ilvl w:val="0"/>
          <w:numId w:val="361"/>
        </w:numPr>
        <w:spacing w:before="360" w:after="240"/>
        <w:contextualSpacing/>
        <w:rPr>
          <w:rFonts w:ascii="Calibri" w:eastAsia="Calibri" w:hAnsi="Calibri" w:cs="Arial"/>
        </w:rPr>
      </w:pPr>
      <w:r w:rsidRPr="0004348D">
        <w:rPr>
          <w:rFonts w:ascii="Calibri" w:eastAsia="Calibri" w:hAnsi="Calibri" w:cs="Arial"/>
          <w:rtl/>
        </w:rPr>
        <w:t xml:space="preserve">רי"ף </w:t>
      </w:r>
      <w:r w:rsidRPr="0004348D">
        <w:rPr>
          <w:rFonts w:ascii="Calibri" w:eastAsia="Calibri" w:hAnsi="Calibri" w:cs="Arial"/>
          <w:sz w:val="16"/>
          <w:szCs w:val="16"/>
          <w:rtl/>
        </w:rPr>
        <w:t xml:space="preserve">(כא.) </w:t>
      </w:r>
      <w:r w:rsidRPr="0004348D">
        <w:rPr>
          <w:rFonts w:ascii="Calibri" w:eastAsia="Calibri" w:hAnsi="Calibri" w:cs="Arial"/>
          <w:rtl/>
        </w:rPr>
        <w:t xml:space="preserve">רש"י </w:t>
      </w:r>
      <w:r w:rsidRPr="0004348D">
        <w:rPr>
          <w:rFonts w:ascii="Calibri" w:eastAsia="Calibri" w:hAnsi="Calibri" w:cs="Arial"/>
          <w:sz w:val="16"/>
          <w:szCs w:val="16"/>
          <w:rtl/>
        </w:rPr>
        <w:t xml:space="preserve">(שם ד"ה אזל) </w:t>
      </w:r>
      <w:r w:rsidRPr="0004348D">
        <w:rPr>
          <w:rFonts w:ascii="Calibri" w:eastAsia="Calibri" w:hAnsi="Calibri" w:cs="Arial"/>
          <w:rtl/>
        </w:rPr>
        <w:t xml:space="preserve">וראב"ד </w:t>
      </w:r>
      <w:r w:rsidRPr="0004348D">
        <w:rPr>
          <w:rFonts w:ascii="Calibri" w:eastAsia="Calibri" w:hAnsi="Calibri" w:cs="Arial"/>
          <w:sz w:val="16"/>
          <w:szCs w:val="16"/>
          <w:rtl/>
        </w:rPr>
        <w:t>(שם)</w:t>
      </w:r>
      <w:r w:rsidRPr="0004348D">
        <w:rPr>
          <w:rFonts w:ascii="Calibri" w:eastAsia="Calibri" w:hAnsi="Calibri" w:cs="Arial"/>
          <w:rtl/>
        </w:rPr>
        <w:t xml:space="preserve">- </w:t>
      </w:r>
      <w:r w:rsidRPr="0004348D">
        <w:rPr>
          <w:rFonts w:ascii="Calibri" w:eastAsia="Calibri" w:hAnsi="Calibri" w:cs="Arial"/>
          <w:vertAlign w:val="superscript"/>
          <w:rtl/>
        </w:rPr>
        <w:footnoteReference w:id="5613"/>
      </w:r>
      <w:r w:rsidRPr="0004348D">
        <w:rPr>
          <w:rFonts w:ascii="Calibri" w:eastAsia="Calibri" w:hAnsi="Calibri" w:cs="Arial"/>
          <w:rtl/>
        </w:rPr>
        <w:t>אפילו באו עדים והעידו שפרעו לא מהימני</w:t>
      </w:r>
      <w:r w:rsidRPr="0004348D">
        <w:rPr>
          <w:rFonts w:ascii="Calibri" w:eastAsia="Calibri" w:hAnsi="Calibri" w:cs="Arial"/>
          <w:vertAlign w:val="superscript"/>
          <w:rtl/>
        </w:rPr>
        <w:footnoteReference w:id="5614"/>
      </w:r>
      <w:r w:rsidRPr="0004348D">
        <w:rPr>
          <w:rFonts w:ascii="Calibri" w:eastAsia="Calibri" w:hAnsi="Calibri" w:cs="Arial"/>
          <w:rtl/>
        </w:rPr>
        <w:t>, דכיון דאמר ליה לא תפרען אלא באפי ראובן ושמעון הא איפסילו להו שאר אינשי לאותו עדות</w:t>
      </w:r>
      <w:r w:rsidRPr="0004348D">
        <w:rPr>
          <w:rFonts w:ascii="Calibri" w:eastAsia="Calibri" w:hAnsi="Calibri" w:cs="Arial"/>
          <w:vertAlign w:val="superscript"/>
          <w:rtl/>
        </w:rPr>
        <w:footnoteReference w:id="5615"/>
      </w:r>
      <w:r w:rsidRPr="0004348D">
        <w:rPr>
          <w:rFonts w:ascii="Calibri" w:eastAsia="Calibri" w:hAnsi="Calibri" w:cs="Arial"/>
          <w:rtl/>
        </w:rPr>
        <w:t xml:space="preserve">. </w:t>
      </w:r>
    </w:p>
    <w:p w14:paraId="497DD888" w14:textId="77777777" w:rsidR="0004348D" w:rsidRPr="0004348D" w:rsidRDefault="0004348D" w:rsidP="00992A87">
      <w:pPr>
        <w:numPr>
          <w:ilvl w:val="1"/>
          <w:numId w:val="361"/>
        </w:numPr>
        <w:spacing w:before="360" w:after="240"/>
        <w:contextualSpacing/>
        <w:rPr>
          <w:rFonts w:ascii="Calibri" w:eastAsia="Calibri" w:hAnsi="Calibri" w:cs="Arial"/>
        </w:rPr>
      </w:pPr>
      <w:r w:rsidRPr="0004348D">
        <w:rPr>
          <w:rFonts w:ascii="Calibri" w:eastAsia="Calibri" w:hAnsi="Calibri" w:cs="Arial"/>
          <w:rtl/>
        </w:rPr>
        <w:t>ב"י- ולענין הלכה כיון דכל הני רבוותא מסכימים לדעת רבינו חננאל והרמב"ם הכי נקטינן.</w:t>
      </w:r>
    </w:p>
    <w:p w14:paraId="7BE8B0C5" w14:textId="77777777" w:rsidR="0004348D" w:rsidRPr="0004348D" w:rsidRDefault="0004348D" w:rsidP="0004348D">
      <w:pPr>
        <w:spacing w:before="360" w:after="240"/>
        <w:rPr>
          <w:rFonts w:ascii="Calibri" w:eastAsia="Calibri" w:hAnsi="Calibri" w:cs="Arial"/>
          <w:u w:val="single"/>
        </w:rPr>
      </w:pPr>
      <w:r w:rsidRPr="0004348D">
        <w:rPr>
          <w:rFonts w:ascii="Calibri" w:eastAsia="Calibri" w:hAnsi="Calibri" w:cs="Arial"/>
          <w:u w:val="single"/>
          <w:rtl/>
        </w:rPr>
        <w:t xml:space="preserve">האומר 'אל תפרעני אלא בפני פלוני ופלוני' - ואמר לו 'פרעתיך </w:t>
      </w:r>
      <w:r w:rsidRPr="0004348D">
        <w:rPr>
          <w:rFonts w:ascii="Calibri" w:eastAsia="Calibri" w:hAnsi="Calibri" w:cs="Arial"/>
          <w:b/>
          <w:bCs/>
          <w:u w:val="single"/>
          <w:rtl/>
        </w:rPr>
        <w:t>בפניהם</w:t>
      </w:r>
      <w:r w:rsidRPr="0004348D">
        <w:rPr>
          <w:rFonts w:ascii="Calibri" w:eastAsia="Calibri" w:hAnsi="Calibri" w:cs="Arial"/>
          <w:u w:val="single"/>
          <w:rtl/>
        </w:rPr>
        <w:t xml:space="preserve"> ומתו או הלכו למדינת הים':</w:t>
      </w:r>
    </w:p>
    <w:p w14:paraId="28D26DD4" w14:textId="77777777" w:rsidR="0004348D" w:rsidRPr="0004348D" w:rsidRDefault="0004348D" w:rsidP="00992A87">
      <w:pPr>
        <w:numPr>
          <w:ilvl w:val="0"/>
          <w:numId w:val="362"/>
        </w:numPr>
        <w:spacing w:before="360" w:after="240"/>
        <w:contextualSpacing/>
        <w:rPr>
          <w:rFonts w:ascii="Calibri" w:eastAsia="Calibri" w:hAnsi="Calibri" w:cs="Arial"/>
          <w:rtl/>
        </w:rPr>
      </w:pPr>
      <w:r w:rsidRPr="0004348D">
        <w:rPr>
          <w:rFonts w:ascii="Calibri" w:eastAsia="Calibri" w:hAnsi="Calibri" w:cs="Arial"/>
          <w:rtl/>
        </w:rPr>
        <w:t xml:space="preserve">רמב"ם </w:t>
      </w:r>
      <w:r w:rsidRPr="0004348D">
        <w:rPr>
          <w:rFonts w:ascii="Calibri" w:eastAsia="Calibri" w:hAnsi="Calibri" w:cs="Arial"/>
          <w:sz w:val="16"/>
          <w:szCs w:val="16"/>
          <w:rtl/>
        </w:rPr>
        <w:t xml:space="preserve">(שם ה"א) </w:t>
      </w:r>
      <w:r w:rsidRPr="0004348D">
        <w:rPr>
          <w:rFonts w:ascii="Calibri" w:eastAsia="Calibri" w:hAnsi="Calibri" w:cs="Arial"/>
          <w:rtl/>
        </w:rPr>
        <w:t xml:space="preserve">וטור- ואם אמר 'פרעתיך בפני פלוני ופלוני שיחדת ומתו או הלכו למדינת הים' - נאמן בשבועה שהרי אמר שקיים תנאו </w:t>
      </w:r>
      <w:r w:rsidRPr="0004348D">
        <w:rPr>
          <w:rFonts w:ascii="Calibri" w:eastAsia="Calibri" w:hAnsi="Calibri" w:cs="Arial"/>
          <w:sz w:val="16"/>
          <w:szCs w:val="16"/>
          <w:rtl/>
        </w:rPr>
        <w:t>(ל' הטור)</w:t>
      </w:r>
      <w:r w:rsidRPr="0004348D">
        <w:rPr>
          <w:rFonts w:ascii="Calibri" w:eastAsia="Calibri" w:hAnsi="Calibri" w:cs="Arial"/>
          <w:vertAlign w:val="superscript"/>
          <w:rtl/>
        </w:rPr>
        <w:footnoteReference w:id="5616"/>
      </w:r>
      <w:r w:rsidRPr="0004348D">
        <w:rPr>
          <w:rFonts w:ascii="Calibri" w:eastAsia="Calibri" w:hAnsi="Calibri" w:cs="Arial"/>
          <w:rtl/>
        </w:rPr>
        <w:t>.</w:t>
      </w:r>
      <w:r w:rsidRPr="0004348D">
        <w:rPr>
          <w:rFonts w:ascii="Calibri" w:eastAsia="Calibri" w:hAnsi="Calibri" w:cs="Arial"/>
          <w:color w:val="E36C0A" w:themeColor="accent6" w:themeShade="BF"/>
          <w:rtl/>
        </w:rPr>
        <w:t xml:space="preserve"> (וכ"פ בשו"ע</w:t>
      </w:r>
      <w:r w:rsidRPr="0004348D">
        <w:rPr>
          <w:rFonts w:ascii="Calibri" w:eastAsia="Calibri" w:hAnsi="Calibri" w:cs="Arial"/>
          <w:color w:val="E36C0A" w:themeColor="accent6" w:themeShade="BF"/>
          <w:sz w:val="16"/>
          <w:szCs w:val="16"/>
          <w:rtl/>
        </w:rPr>
        <w:t xml:space="preserve"> </w:t>
      </w:r>
      <w:r w:rsidRPr="0004348D">
        <w:rPr>
          <w:rFonts w:ascii="Calibri" w:eastAsia="Calibri" w:hAnsi="Calibri" w:cs="Arial"/>
          <w:sz w:val="16"/>
          <w:szCs w:val="16"/>
          <w:rtl/>
        </w:rPr>
        <w:t>[בסע' הבא]</w:t>
      </w:r>
      <w:r w:rsidRPr="0004348D">
        <w:rPr>
          <w:rFonts w:ascii="Calibri" w:eastAsia="Calibri" w:hAnsi="Calibri" w:cs="Arial"/>
          <w:color w:val="E36C0A" w:themeColor="accent6" w:themeShade="BF"/>
          <w:rtl/>
        </w:rPr>
        <w:t>)</w:t>
      </w:r>
    </w:p>
    <w:p w14:paraId="2BCC2606" w14:textId="77777777" w:rsidR="0004348D" w:rsidRPr="0004348D" w:rsidRDefault="0004348D" w:rsidP="0004348D">
      <w:pPr>
        <w:spacing w:before="360" w:after="240"/>
        <w:rPr>
          <w:rFonts w:ascii="Calibri" w:eastAsia="Calibri" w:hAnsi="Calibri" w:cs="Arial"/>
          <w:rtl/>
        </w:rPr>
      </w:pPr>
      <w:r w:rsidRPr="0004348D">
        <w:rPr>
          <w:rFonts w:ascii="Calibri" w:eastAsia="Calibri" w:hAnsi="Calibri" w:cs="Arial"/>
          <w:b/>
          <w:bCs/>
          <w:rtl/>
        </w:rPr>
        <w:t xml:space="preserve">שבועות </w:t>
      </w:r>
      <w:r w:rsidRPr="0004348D">
        <w:rPr>
          <w:rFonts w:ascii="Calibri" w:eastAsia="Calibri" w:hAnsi="Calibri" w:cs="Arial"/>
          <w:b/>
          <w:bCs/>
          <w:sz w:val="16"/>
          <w:szCs w:val="16"/>
          <w:rtl/>
        </w:rPr>
        <w:t xml:space="preserve">(פרק שבועת הדיינים) </w:t>
      </w:r>
      <w:r w:rsidRPr="0004348D">
        <w:rPr>
          <w:rFonts w:ascii="Calibri" w:eastAsia="Calibri" w:hAnsi="Calibri" w:cs="Arial"/>
          <w:b/>
          <w:bCs/>
          <w:rtl/>
        </w:rPr>
        <w:t>מא ע"ב:</w:t>
      </w:r>
      <w:r w:rsidRPr="0004348D">
        <w:rPr>
          <w:rFonts w:ascii="Calibri" w:eastAsia="Calibri" w:hAnsi="Calibri" w:cs="Arial"/>
          <w:rtl/>
        </w:rPr>
        <w:t xml:space="preserve"> ההוא דאמר ליה לחבריה: כי פרעת לי - פרעין לי באפי בי תרי דתנו הלכתא, אזל פרעיה בין דיליה לדיליה, איתניסו</w:t>
      </w:r>
      <w:r w:rsidRPr="0004348D">
        <w:rPr>
          <w:rFonts w:ascii="Calibri" w:eastAsia="Calibri" w:hAnsi="Calibri" w:cs="Arial"/>
          <w:vertAlign w:val="superscript"/>
          <w:rtl/>
        </w:rPr>
        <w:footnoteReference w:id="5617"/>
      </w:r>
      <w:r w:rsidRPr="0004348D">
        <w:rPr>
          <w:rFonts w:ascii="Calibri" w:eastAsia="Calibri" w:hAnsi="Calibri" w:cs="Arial"/>
          <w:rtl/>
        </w:rPr>
        <w:t xml:space="preserve"> הנך זוזי. אתא לקמיה דרב נחמן, א"ל: אין, קבולי קבלתינהו מיניה דרך פקדון, ואמינא: ליהוי גבאי פקדון</w:t>
      </w:r>
      <w:r w:rsidRPr="0004348D">
        <w:rPr>
          <w:rFonts w:ascii="Calibri" w:eastAsia="Calibri" w:hAnsi="Calibri" w:cs="Arial"/>
          <w:vertAlign w:val="superscript"/>
          <w:rtl/>
        </w:rPr>
        <w:footnoteReference w:id="5618"/>
      </w:r>
      <w:r w:rsidRPr="0004348D">
        <w:rPr>
          <w:rFonts w:ascii="Calibri" w:eastAsia="Calibri" w:hAnsi="Calibri" w:cs="Arial"/>
          <w:rtl/>
        </w:rPr>
        <w:t>, עד דמתרמו בי תרי דתנו הלכתא ומקיים תנאיה. א"ל: כיון דקא מודית</w:t>
      </w:r>
      <w:r w:rsidRPr="0004348D">
        <w:rPr>
          <w:rFonts w:ascii="Calibri" w:eastAsia="Calibri" w:hAnsi="Calibri" w:cs="Arial"/>
          <w:vertAlign w:val="superscript"/>
          <w:rtl/>
        </w:rPr>
        <w:footnoteReference w:id="5619"/>
      </w:r>
      <w:r w:rsidRPr="0004348D">
        <w:rPr>
          <w:rFonts w:ascii="Calibri" w:eastAsia="Calibri" w:hAnsi="Calibri" w:cs="Arial"/>
          <w:rtl/>
        </w:rPr>
        <w:t xml:space="preserve"> דודאי שקלתינהו מיניה - פרעון מעליא הוי, אי אמרת לקיומי תנאיה - זיל אייתינהו</w:t>
      </w:r>
      <w:r w:rsidRPr="0004348D">
        <w:rPr>
          <w:rFonts w:ascii="Calibri" w:eastAsia="Calibri" w:hAnsi="Calibri" w:cs="Arial"/>
          <w:vertAlign w:val="superscript"/>
          <w:rtl/>
        </w:rPr>
        <w:footnoteReference w:id="5620"/>
      </w:r>
      <w:r w:rsidRPr="0004348D">
        <w:rPr>
          <w:rFonts w:ascii="Calibri" w:eastAsia="Calibri" w:hAnsi="Calibri" w:cs="Arial"/>
          <w:rtl/>
        </w:rPr>
        <w:t>, דהא אנא ורב ששת דתנינא הלכתא וספרא וספרי ותוספתא וכולא גמרא.</w:t>
      </w:r>
    </w:p>
    <w:p w14:paraId="51DB7D02" w14:textId="77777777" w:rsidR="0004348D" w:rsidRPr="0004348D" w:rsidRDefault="0004348D" w:rsidP="0004348D">
      <w:pPr>
        <w:spacing w:before="360" w:after="240"/>
        <w:rPr>
          <w:rFonts w:ascii="Calibri" w:eastAsia="Calibri" w:hAnsi="Calibri" w:cs="Arial"/>
          <w:u w:val="single"/>
          <w:rtl/>
        </w:rPr>
      </w:pPr>
      <w:r w:rsidRPr="0004348D">
        <w:rPr>
          <w:rFonts w:ascii="Calibri" w:eastAsia="Calibri" w:hAnsi="Calibri" w:cs="Arial"/>
          <w:u w:val="single"/>
          <w:rtl/>
        </w:rPr>
        <w:t xml:space="preserve">האומר 'אל תפרעני אלא בפני עדים ת"ח או רופאים' – ואמר לו 'פרעתיך </w:t>
      </w:r>
      <w:r w:rsidRPr="0004348D">
        <w:rPr>
          <w:rFonts w:ascii="Calibri" w:eastAsia="Calibri" w:hAnsi="Calibri" w:cs="Arial"/>
          <w:b/>
          <w:bCs/>
          <w:u w:val="single"/>
          <w:rtl/>
        </w:rPr>
        <w:t>בפניהם</w:t>
      </w:r>
      <w:r w:rsidRPr="0004348D">
        <w:rPr>
          <w:rFonts w:ascii="Calibri" w:eastAsia="Calibri" w:hAnsi="Calibri" w:cs="Arial"/>
          <w:u w:val="single"/>
          <w:rtl/>
        </w:rPr>
        <w:t xml:space="preserve"> אבל מתו או הלכו למדינת הים':</w:t>
      </w:r>
    </w:p>
    <w:p w14:paraId="6C57A4D8" w14:textId="77777777" w:rsidR="0004348D" w:rsidRPr="0004348D" w:rsidRDefault="0004348D" w:rsidP="00992A87">
      <w:pPr>
        <w:numPr>
          <w:ilvl w:val="0"/>
          <w:numId w:val="362"/>
        </w:numPr>
        <w:spacing w:before="360" w:after="240"/>
        <w:contextualSpacing/>
        <w:rPr>
          <w:rFonts w:ascii="Calibri" w:eastAsia="Calibri" w:hAnsi="Calibri" w:cs="Arial"/>
        </w:rPr>
      </w:pPr>
      <w:r w:rsidRPr="0004348D">
        <w:rPr>
          <w:rFonts w:ascii="Calibri" w:eastAsia="Calibri" w:hAnsi="Calibri" w:cs="Arial"/>
          <w:rtl/>
        </w:rPr>
        <w:t xml:space="preserve">רמב"ם </w:t>
      </w:r>
      <w:r w:rsidRPr="0004348D">
        <w:rPr>
          <w:rFonts w:ascii="Calibri" w:eastAsia="Calibri" w:hAnsi="Calibri" w:cs="Arial"/>
          <w:sz w:val="16"/>
          <w:szCs w:val="16"/>
          <w:rtl/>
        </w:rPr>
        <w:t>(שם)</w:t>
      </w:r>
      <w:r w:rsidRPr="0004348D">
        <w:rPr>
          <w:rFonts w:ascii="Calibri" w:eastAsia="Calibri" w:hAnsi="Calibri" w:cs="Arial"/>
          <w:rtl/>
        </w:rPr>
        <w:t>- אם אמר 'אל תפרעני אלא בפני תלמידי חכמים או בפני רופאים', ואמר לו 'בפניהם פרעתיך ואותן העדים שפרעתיך בפניהם מתו או הלכו להם למדינת הים' - הרי זה נאמן, ונשבע היסת ונפטר</w:t>
      </w:r>
      <w:r w:rsidRPr="0004348D">
        <w:rPr>
          <w:rFonts w:ascii="Calibri" w:eastAsia="Calibri" w:hAnsi="Calibri" w:cs="Arial"/>
          <w:sz w:val="16"/>
          <w:szCs w:val="16"/>
          <w:rtl/>
        </w:rPr>
        <w:t xml:space="preserve"> (ל' הרמב"ם)</w:t>
      </w:r>
      <w:r w:rsidRPr="0004348D">
        <w:rPr>
          <w:rFonts w:ascii="Calibri" w:eastAsia="Calibri" w:hAnsi="Calibri" w:cs="Arial"/>
          <w:rtl/>
        </w:rPr>
        <w:t xml:space="preserve">. </w:t>
      </w:r>
      <w:r w:rsidRPr="0004348D">
        <w:rPr>
          <w:rFonts w:ascii="Calibri" w:eastAsia="Calibri" w:hAnsi="Calibri" w:cs="Arial"/>
          <w:color w:val="E36C0A" w:themeColor="accent6" w:themeShade="BF"/>
          <w:rtl/>
        </w:rPr>
        <w:t>(וכ"פ בשו"ע)</w:t>
      </w:r>
    </w:p>
    <w:p w14:paraId="795BDA9E" w14:textId="77777777" w:rsidR="0004348D" w:rsidRPr="0004348D" w:rsidRDefault="0004348D" w:rsidP="0004348D">
      <w:pPr>
        <w:spacing w:before="360" w:after="240"/>
        <w:ind w:left="360"/>
        <w:rPr>
          <w:rFonts w:ascii="Calibri" w:eastAsia="Calibri" w:hAnsi="Calibri" w:cs="Arial"/>
          <w:u w:val="dotted"/>
        </w:rPr>
      </w:pPr>
      <w:r w:rsidRPr="0004348D">
        <w:rPr>
          <w:rFonts w:ascii="Calibri" w:eastAsia="Calibri" w:hAnsi="Calibri" w:cs="Arial"/>
          <w:u w:val="dotted"/>
          <w:rtl/>
        </w:rPr>
        <w:t xml:space="preserve">ומה הדין אם פרע בפני </w:t>
      </w:r>
      <w:r w:rsidRPr="0004348D">
        <w:rPr>
          <w:rFonts w:ascii="Calibri" w:eastAsia="Calibri" w:hAnsi="Calibri" w:cs="Arial"/>
          <w:b/>
          <w:bCs/>
          <w:u w:val="dotted"/>
          <w:rtl/>
        </w:rPr>
        <w:t>אחרים</w:t>
      </w:r>
      <w:r w:rsidRPr="0004348D">
        <w:rPr>
          <w:rFonts w:ascii="Calibri" w:eastAsia="Calibri" w:hAnsi="Calibri" w:cs="Arial"/>
          <w:u w:val="dotted"/>
          <w:rtl/>
        </w:rPr>
        <w:t xml:space="preserve"> ובאו אותם האחרים להעיד שפרע:</w:t>
      </w:r>
    </w:p>
    <w:p w14:paraId="53DECBD2" w14:textId="77777777" w:rsidR="0004348D" w:rsidRPr="0004348D" w:rsidRDefault="0004348D" w:rsidP="00992A87">
      <w:pPr>
        <w:numPr>
          <w:ilvl w:val="0"/>
          <w:numId w:val="362"/>
        </w:numPr>
        <w:spacing w:before="360" w:after="240"/>
        <w:contextualSpacing/>
        <w:rPr>
          <w:rFonts w:ascii="Calibri" w:eastAsia="Calibri" w:hAnsi="Calibri" w:cs="Arial"/>
        </w:rPr>
      </w:pPr>
      <w:r w:rsidRPr="0004348D">
        <w:rPr>
          <w:rFonts w:ascii="Calibri" w:eastAsia="Calibri" w:hAnsi="Calibri" w:cs="Arial"/>
          <w:rtl/>
        </w:rPr>
        <w:t xml:space="preserve">רא"ש </w:t>
      </w:r>
      <w:r w:rsidRPr="0004348D">
        <w:rPr>
          <w:rFonts w:ascii="Calibri" w:eastAsia="Calibri" w:hAnsi="Calibri" w:cs="Arial"/>
          <w:sz w:val="16"/>
          <w:szCs w:val="16"/>
          <w:rtl/>
        </w:rPr>
        <w:t>(שם)</w:t>
      </w:r>
      <w:r w:rsidRPr="0004348D">
        <w:rPr>
          <w:rFonts w:ascii="Calibri" w:eastAsia="Calibri" w:hAnsi="Calibri" w:cs="Arial"/>
          <w:rtl/>
        </w:rPr>
        <w:t xml:space="preserve"> וטור- אם פרעו בפני עדים אחרים והם בפנינו ומעידים שפרעו וכן אם אמר לו אל תפרעני אלא בפני עדים ת"ח או רופאים והלך זה ופרעו בפני אחרים</w:t>
      </w:r>
      <w:r w:rsidRPr="0004348D">
        <w:rPr>
          <w:rFonts w:ascii="Calibri" w:eastAsia="Calibri" w:hAnsi="Calibri" w:cs="Arial"/>
          <w:sz w:val="16"/>
          <w:szCs w:val="16"/>
          <w:rtl/>
        </w:rPr>
        <w:t xml:space="preserve"> {ובאו הת"ח/הרופאים להעיד, כנ"ל}</w:t>
      </w:r>
      <w:r w:rsidRPr="0004348D">
        <w:rPr>
          <w:rFonts w:ascii="Calibri" w:eastAsia="Calibri" w:hAnsi="Calibri" w:cs="Arial"/>
          <w:rtl/>
        </w:rPr>
        <w:t>...- נאמן</w:t>
      </w:r>
      <w:r w:rsidRPr="0004348D">
        <w:rPr>
          <w:rFonts w:ascii="Calibri" w:eastAsia="Calibri" w:hAnsi="Calibri" w:cs="Arial"/>
          <w:sz w:val="16"/>
          <w:szCs w:val="16"/>
          <w:rtl/>
        </w:rPr>
        <w:t xml:space="preserve"> (ל' הטור)</w:t>
      </w:r>
      <w:r w:rsidRPr="0004348D">
        <w:rPr>
          <w:rFonts w:ascii="Calibri" w:eastAsia="Calibri" w:hAnsi="Calibri" w:cs="Arial"/>
          <w:rtl/>
        </w:rPr>
        <w:t>. (וכ"פ הש"ך</w:t>
      </w:r>
      <w:r w:rsidRPr="0004348D">
        <w:rPr>
          <w:rFonts w:ascii="Calibri" w:eastAsia="Calibri" w:hAnsi="Calibri" w:cs="Arial"/>
          <w:sz w:val="16"/>
          <w:szCs w:val="16"/>
          <w:rtl/>
        </w:rPr>
        <w:t xml:space="preserve"> [סקי"ח]</w:t>
      </w:r>
      <w:r w:rsidRPr="0004348D">
        <w:rPr>
          <w:rFonts w:ascii="Calibri" w:eastAsia="Calibri" w:hAnsi="Calibri" w:cs="Arial"/>
          <w:rtl/>
        </w:rPr>
        <w:t>)</w:t>
      </w:r>
    </w:p>
    <w:p w14:paraId="253E0AD6" w14:textId="77777777" w:rsidR="0004348D" w:rsidRPr="0004348D" w:rsidRDefault="0004348D" w:rsidP="00992A87">
      <w:pPr>
        <w:numPr>
          <w:ilvl w:val="0"/>
          <w:numId w:val="362"/>
        </w:numPr>
        <w:spacing w:before="360" w:after="240"/>
        <w:contextualSpacing/>
        <w:rPr>
          <w:rFonts w:ascii="Calibri" w:eastAsia="Calibri" w:hAnsi="Calibri" w:cs="Arial"/>
        </w:rPr>
      </w:pPr>
      <w:r w:rsidRPr="0004348D">
        <w:rPr>
          <w:rFonts w:ascii="Calibri" w:eastAsia="Calibri" w:hAnsi="Calibri" w:cs="Arial"/>
          <w:rtl/>
        </w:rPr>
        <w:t xml:space="preserve">שלט"ג </w:t>
      </w:r>
      <w:r w:rsidRPr="0004348D">
        <w:rPr>
          <w:rFonts w:ascii="Calibri" w:eastAsia="Calibri" w:hAnsi="Calibri" w:cs="Arial"/>
          <w:sz w:val="16"/>
          <w:szCs w:val="16"/>
          <w:rtl/>
        </w:rPr>
        <w:t>(שבועות כא. מדפה"ר אות ג)</w:t>
      </w:r>
      <w:r w:rsidRPr="0004348D">
        <w:rPr>
          <w:rFonts w:ascii="Calibri" w:eastAsia="Calibri" w:hAnsi="Calibri" w:cs="Arial"/>
          <w:rtl/>
        </w:rPr>
        <w:t>- אמר לו אל תפרעני אלא בפני ששונים הלכות, הרי פסל עליו שאר העדים והתנה שלא יהיו נאמנים עמי הארץ, ואם באו אחרים והעידו - אינן נאמנים</w:t>
      </w:r>
      <w:r w:rsidRPr="0004348D">
        <w:rPr>
          <w:rFonts w:ascii="Calibri" w:eastAsia="Calibri" w:hAnsi="Calibri" w:cs="Arial"/>
          <w:vertAlign w:val="superscript"/>
          <w:rtl/>
        </w:rPr>
        <w:footnoteReference w:id="5621"/>
      </w:r>
      <w:r w:rsidRPr="0004348D">
        <w:rPr>
          <w:rFonts w:ascii="Calibri" w:eastAsia="Calibri" w:hAnsi="Calibri" w:cs="Arial"/>
          <w:rtl/>
        </w:rPr>
        <w:t xml:space="preserve">. </w:t>
      </w:r>
    </w:p>
    <w:p w14:paraId="58327B86" w14:textId="77777777" w:rsidR="0004348D" w:rsidRPr="0004348D" w:rsidRDefault="0004348D" w:rsidP="0004348D">
      <w:pPr>
        <w:spacing w:before="360" w:after="240"/>
        <w:rPr>
          <w:rFonts w:ascii="Calibri" w:eastAsia="Calibri" w:hAnsi="Calibri" w:cs="Arial"/>
        </w:rPr>
      </w:pPr>
      <w:r w:rsidRPr="0004348D">
        <w:rPr>
          <w:rFonts w:ascii="Calibri" w:eastAsia="Calibri" w:hAnsi="Calibri" w:cs="Arial"/>
          <w:u w:val="single"/>
          <w:rtl/>
        </w:rPr>
        <w:t xml:space="preserve">לוה שטוען 'לא אפרעך עד שיבואו פלוני ופלוני אשר יחדת לי ואפרעך בפניהם' </w:t>
      </w:r>
      <w:r w:rsidRPr="0004348D">
        <w:rPr>
          <w:rFonts w:ascii="Calibri" w:eastAsia="Calibri" w:hAnsi="Calibri" w:cs="Arial"/>
          <w:sz w:val="16"/>
          <w:szCs w:val="16"/>
          <w:u w:val="single"/>
          <w:rtl/>
        </w:rPr>
        <w:t>(והמלוה והלוה נמצאים בבית דין)</w:t>
      </w:r>
      <w:r w:rsidRPr="0004348D">
        <w:rPr>
          <w:rFonts w:ascii="Calibri" w:eastAsia="Calibri" w:hAnsi="Calibri" w:cs="Arial"/>
          <w:u w:val="single"/>
          <w:rtl/>
        </w:rPr>
        <w:t>:</w:t>
      </w:r>
    </w:p>
    <w:p w14:paraId="23B99DF8" w14:textId="77777777" w:rsidR="0004348D" w:rsidRPr="0004348D" w:rsidRDefault="0004348D" w:rsidP="00992A87">
      <w:pPr>
        <w:numPr>
          <w:ilvl w:val="0"/>
          <w:numId w:val="362"/>
        </w:numPr>
        <w:spacing w:before="360" w:after="240"/>
        <w:contextualSpacing/>
        <w:rPr>
          <w:rFonts w:ascii="Calibri" w:eastAsia="Calibri" w:hAnsi="Calibri" w:cs="Arial"/>
          <w:rtl/>
        </w:rPr>
      </w:pPr>
      <w:r w:rsidRPr="0004348D">
        <w:rPr>
          <w:rFonts w:ascii="Calibri" w:eastAsia="Calibri" w:hAnsi="Calibri" w:cs="Arial"/>
          <w:rtl/>
        </w:rPr>
        <w:t>טור- אם מודה שלא פרעו אלא שאומר 'לא אפרעך עד שיבואו פלוני ופלוני אשר יחדת לי ואפרעך בפניהם' - אין שומעין לו, אלא פורעו בבית דין וכותבין לו שפרעו</w:t>
      </w:r>
      <w:r w:rsidRPr="0004348D">
        <w:rPr>
          <w:rFonts w:ascii="Calibri" w:eastAsia="Calibri" w:hAnsi="Calibri" w:cs="Arial"/>
          <w:vertAlign w:val="superscript"/>
          <w:rtl/>
        </w:rPr>
        <w:footnoteReference w:id="5622"/>
      </w:r>
      <w:r w:rsidRPr="0004348D">
        <w:rPr>
          <w:rFonts w:ascii="Calibri" w:eastAsia="Calibri" w:hAnsi="Calibri" w:cs="Arial"/>
          <w:rtl/>
        </w:rPr>
        <w:t xml:space="preserve">. </w:t>
      </w:r>
      <w:r w:rsidRPr="0004348D">
        <w:rPr>
          <w:rFonts w:ascii="Calibri" w:eastAsia="Calibri" w:hAnsi="Calibri" w:cs="Arial"/>
          <w:color w:val="E36C0A" w:themeColor="accent6" w:themeShade="BF"/>
          <w:rtl/>
        </w:rPr>
        <w:t>(וכ"פ בשו"ע</w:t>
      </w:r>
      <w:r w:rsidRPr="0004348D">
        <w:rPr>
          <w:rFonts w:ascii="Calibri" w:eastAsia="Calibri" w:hAnsi="Calibri" w:cs="Arial"/>
          <w:color w:val="E36C0A" w:themeColor="accent6" w:themeShade="BF"/>
          <w:sz w:val="16"/>
          <w:szCs w:val="16"/>
          <w:rtl/>
        </w:rPr>
        <w:t xml:space="preserve"> </w:t>
      </w:r>
      <w:r w:rsidRPr="0004348D">
        <w:rPr>
          <w:rFonts w:ascii="Calibri" w:eastAsia="Calibri" w:hAnsi="Calibri" w:cs="Arial"/>
          <w:sz w:val="16"/>
          <w:szCs w:val="16"/>
          <w:rtl/>
        </w:rPr>
        <w:t>[בסע' הבא]</w:t>
      </w:r>
      <w:r w:rsidRPr="0004348D">
        <w:rPr>
          <w:rFonts w:ascii="Calibri" w:eastAsia="Calibri" w:hAnsi="Calibri" w:cs="Arial"/>
          <w:color w:val="E36C0A" w:themeColor="accent6" w:themeShade="BF"/>
          <w:rtl/>
        </w:rPr>
        <w:t>)</w:t>
      </w:r>
    </w:p>
    <w:p w14:paraId="22EE0837" w14:textId="77777777" w:rsidR="0004348D" w:rsidRPr="0004348D" w:rsidRDefault="0004348D" w:rsidP="0004348D">
      <w:pPr>
        <w:spacing w:before="360" w:after="240"/>
        <w:rPr>
          <w:rFonts w:ascii="Calibri" w:eastAsia="Calibri" w:hAnsi="Calibri" w:cs="Arial"/>
          <w:u w:val="single"/>
        </w:rPr>
      </w:pPr>
      <w:r w:rsidRPr="0004348D">
        <w:rPr>
          <w:rFonts w:ascii="Calibri" w:eastAsia="Calibri" w:hAnsi="Calibri" w:cs="Arial"/>
          <w:u w:val="single"/>
          <w:rtl/>
        </w:rPr>
        <w:t>האומר לחבירו 'אם לא תכתוב על גבי השטר את הפרעון, לא תהא נאמן':</w:t>
      </w:r>
    </w:p>
    <w:p w14:paraId="20BDE6A5" w14:textId="77777777" w:rsidR="0004348D" w:rsidRPr="0004348D" w:rsidRDefault="0004348D" w:rsidP="00992A87">
      <w:pPr>
        <w:numPr>
          <w:ilvl w:val="0"/>
          <w:numId w:val="361"/>
        </w:numPr>
        <w:spacing w:before="360" w:after="240"/>
        <w:contextualSpacing/>
        <w:rPr>
          <w:rFonts w:ascii="Calibri" w:eastAsia="Calibri" w:hAnsi="Calibri" w:cs="Arial"/>
        </w:rPr>
      </w:pPr>
      <w:r w:rsidRPr="0004348D">
        <w:rPr>
          <w:rFonts w:ascii="Calibri" w:eastAsia="Calibri" w:hAnsi="Calibri" w:cs="Arial"/>
          <w:rtl/>
        </w:rPr>
        <w:t>רשב"ץ</w:t>
      </w:r>
      <w:r w:rsidRPr="0004348D">
        <w:rPr>
          <w:rFonts w:ascii="Calibri" w:eastAsia="Calibri" w:hAnsi="Calibri" w:cs="Arial"/>
          <w:sz w:val="16"/>
          <w:szCs w:val="16"/>
          <w:rtl/>
        </w:rPr>
        <w:t xml:space="preserve"> (ח"ג סי' שא, כ"כ הב"י בשמו)</w:t>
      </w:r>
      <w:r w:rsidRPr="0004348D">
        <w:rPr>
          <w:rFonts w:ascii="Calibri" w:eastAsia="Calibri" w:hAnsi="Calibri" w:cs="Arial"/>
          <w:rtl/>
        </w:rPr>
        <w:t xml:space="preserve">- אם אמר לחבירו 'אם לא תכתוב על גבי השטר הפרעון לא תהא נאמן' - דינו כאומר 'אל תפרעני אלא בפני פלוני ופלוני' והלך ופרעו בפני עדים אחרים. </w:t>
      </w:r>
      <w:r w:rsidRPr="0004348D">
        <w:rPr>
          <w:rFonts w:ascii="Calibri" w:eastAsia="Calibri" w:hAnsi="Calibri" w:cs="Arial"/>
          <w:color w:val="00B0F0"/>
          <w:rtl/>
        </w:rPr>
        <w:t>(וכ"פ הרמ"א</w:t>
      </w:r>
      <w:r w:rsidRPr="0004348D">
        <w:rPr>
          <w:rFonts w:ascii="Calibri" w:eastAsia="Calibri" w:hAnsi="Calibri" w:cs="Arial"/>
          <w:color w:val="00B0F0"/>
          <w:sz w:val="16"/>
          <w:szCs w:val="16"/>
          <w:rtl/>
        </w:rPr>
        <w:t xml:space="preserve"> </w:t>
      </w:r>
      <w:r w:rsidRPr="0004348D">
        <w:rPr>
          <w:rFonts w:ascii="Calibri" w:eastAsia="Calibri" w:hAnsi="Calibri" w:cs="Arial"/>
          <w:sz w:val="16"/>
          <w:szCs w:val="16"/>
          <w:rtl/>
        </w:rPr>
        <w:t>[סי' עא ס"ה]</w:t>
      </w:r>
      <w:r w:rsidRPr="0004348D">
        <w:rPr>
          <w:rFonts w:ascii="Calibri" w:eastAsia="Calibri" w:hAnsi="Calibri" w:cs="Arial"/>
          <w:color w:val="00B0F0"/>
          <w:rtl/>
        </w:rPr>
        <w:t>)</w:t>
      </w:r>
    </w:p>
    <w:p w14:paraId="3046186A" w14:textId="77777777" w:rsidR="0004348D" w:rsidRPr="0004348D" w:rsidRDefault="0004348D" w:rsidP="0004348D">
      <w:pPr>
        <w:spacing w:before="360" w:after="240"/>
        <w:rPr>
          <w:rFonts w:ascii="Calibri" w:eastAsia="Calibri" w:hAnsi="Calibri" w:cs="Arial"/>
          <w:u w:val="single"/>
        </w:rPr>
      </w:pPr>
      <w:r w:rsidRPr="0004348D">
        <w:rPr>
          <w:rFonts w:ascii="Calibri" w:eastAsia="Calibri" w:hAnsi="Calibri" w:cs="Arial"/>
          <w:u w:val="single"/>
          <w:rtl/>
        </w:rPr>
        <w:t>שטר שכתוב בו כך: 'כל זמן ששטר זה יוצא מתחת ידו לא קרוע וכשלא כתוב על גבו פרעון - יהא נאמן':</w:t>
      </w:r>
    </w:p>
    <w:p w14:paraId="0C23777F" w14:textId="77777777" w:rsidR="0004348D" w:rsidRPr="0004348D" w:rsidRDefault="0004348D" w:rsidP="00992A87">
      <w:pPr>
        <w:numPr>
          <w:ilvl w:val="0"/>
          <w:numId w:val="361"/>
        </w:numPr>
        <w:spacing w:before="360" w:after="240"/>
        <w:contextualSpacing/>
        <w:rPr>
          <w:rFonts w:ascii="Calibri" w:eastAsia="Calibri" w:hAnsi="Calibri" w:cs="Arial"/>
        </w:rPr>
      </w:pPr>
      <w:r w:rsidRPr="0004348D">
        <w:rPr>
          <w:rFonts w:ascii="Calibri" w:eastAsia="Calibri" w:hAnsi="Calibri" w:cs="Arial"/>
          <w:rtl/>
        </w:rPr>
        <w:t>רשב"ץ</w:t>
      </w:r>
      <w:r w:rsidRPr="0004348D">
        <w:rPr>
          <w:rFonts w:ascii="Calibri" w:eastAsia="Calibri" w:hAnsi="Calibri" w:cs="Arial"/>
          <w:sz w:val="16"/>
          <w:szCs w:val="16"/>
          <w:rtl/>
        </w:rPr>
        <w:t xml:space="preserve"> (ח"ג סי' שא, כ"כ הב"י בשמו)</w:t>
      </w:r>
      <w:r w:rsidRPr="0004348D">
        <w:rPr>
          <w:rFonts w:ascii="Calibri" w:eastAsia="Calibri" w:hAnsi="Calibri" w:cs="Arial"/>
          <w:rtl/>
        </w:rPr>
        <w:t>- אם כתב בשטר 'כל זמן ששטר זה יוצא מתחת ידו בדלא קרוע ודלא כתוב על גבו תהא נאמן', אם הביא עדים שפרע – נאמן. ואפילו לפי גירסת הרי"ף והר"י הלוי</w:t>
      </w:r>
      <w:r w:rsidRPr="0004348D">
        <w:rPr>
          <w:rFonts w:ascii="Calibri" w:eastAsia="Calibri" w:hAnsi="Calibri" w:cs="Arial"/>
          <w:vertAlign w:val="superscript"/>
          <w:rtl/>
        </w:rPr>
        <w:footnoteReference w:id="5623"/>
      </w:r>
      <w:r w:rsidRPr="0004348D">
        <w:rPr>
          <w:rFonts w:ascii="Calibri" w:eastAsia="Calibri" w:hAnsi="Calibri" w:cs="Arial"/>
          <w:rtl/>
        </w:rPr>
        <w:t xml:space="preserve">. </w:t>
      </w:r>
      <w:r w:rsidRPr="0004348D">
        <w:rPr>
          <w:rFonts w:ascii="Calibri" w:eastAsia="Calibri" w:hAnsi="Calibri" w:cs="Arial"/>
          <w:color w:val="00B0F0"/>
          <w:rtl/>
        </w:rPr>
        <w:t>(וכ"פ הרמ"א</w:t>
      </w:r>
      <w:r w:rsidRPr="0004348D">
        <w:rPr>
          <w:rFonts w:ascii="Calibri" w:eastAsia="Calibri" w:hAnsi="Calibri" w:cs="Arial"/>
          <w:color w:val="00B0F0"/>
          <w:sz w:val="16"/>
          <w:szCs w:val="16"/>
          <w:rtl/>
        </w:rPr>
        <w:t xml:space="preserve"> </w:t>
      </w:r>
      <w:r w:rsidRPr="0004348D">
        <w:rPr>
          <w:rFonts w:ascii="Calibri" w:eastAsia="Calibri" w:hAnsi="Calibri" w:cs="Arial"/>
          <w:sz w:val="16"/>
          <w:szCs w:val="16"/>
          <w:rtl/>
        </w:rPr>
        <w:t>[סי' עא ס"ה]</w:t>
      </w:r>
      <w:r w:rsidRPr="0004348D">
        <w:rPr>
          <w:rFonts w:ascii="Calibri" w:eastAsia="Calibri" w:hAnsi="Calibri" w:cs="Arial"/>
          <w:color w:val="00B0F0"/>
          <w:rtl/>
        </w:rPr>
        <w:t>)</w:t>
      </w:r>
    </w:p>
    <w:p w14:paraId="47AC0692" w14:textId="77777777" w:rsidR="0004348D" w:rsidRPr="0004348D" w:rsidRDefault="0004348D" w:rsidP="0004348D">
      <w:pPr>
        <w:spacing w:before="360" w:after="240"/>
        <w:rPr>
          <w:rFonts w:ascii="Calibri" w:eastAsia="Calibri" w:hAnsi="Calibri" w:cs="Arial"/>
          <w:u w:val="single"/>
        </w:rPr>
      </w:pPr>
      <w:r w:rsidRPr="0004348D">
        <w:rPr>
          <w:rFonts w:ascii="Calibri" w:eastAsia="Calibri" w:hAnsi="Calibri" w:cs="Arial"/>
          <w:u w:val="single"/>
          <w:rtl/>
        </w:rPr>
        <w:t>כשהמלוה אומר ללוה 'אל תפרעני אלא בפני עדים/פלוני ופלוני/וכדו' – האם צריך לקיים תנאי זה בקנין:</w:t>
      </w:r>
    </w:p>
    <w:p w14:paraId="2D84FB29" w14:textId="77777777" w:rsidR="0004348D" w:rsidRPr="0004348D" w:rsidRDefault="0004348D" w:rsidP="0004348D">
      <w:pPr>
        <w:numPr>
          <w:ilvl w:val="0"/>
          <w:numId w:val="356"/>
        </w:numPr>
        <w:spacing w:before="360" w:after="240"/>
        <w:contextualSpacing/>
        <w:rPr>
          <w:rFonts w:ascii="Calibri" w:eastAsia="Calibri" w:hAnsi="Calibri" w:cs="Arial"/>
        </w:rPr>
      </w:pPr>
      <w:r w:rsidRPr="0004348D">
        <w:rPr>
          <w:rFonts w:ascii="Calibri" w:eastAsia="Calibri" w:hAnsi="Calibri" w:cs="Arial"/>
          <w:rtl/>
        </w:rPr>
        <w:t xml:space="preserve">מרדכי </w:t>
      </w:r>
      <w:r w:rsidRPr="0004348D">
        <w:rPr>
          <w:rFonts w:ascii="Calibri" w:eastAsia="Calibri" w:hAnsi="Calibri" w:cs="Arial"/>
          <w:sz w:val="16"/>
          <w:szCs w:val="16"/>
          <w:rtl/>
        </w:rPr>
        <w:t>(סי' תשעא)</w:t>
      </w:r>
      <w:r w:rsidRPr="0004348D">
        <w:rPr>
          <w:rFonts w:ascii="Calibri" w:eastAsia="Calibri" w:hAnsi="Calibri" w:cs="Arial"/>
          <w:rtl/>
        </w:rPr>
        <w:t>- ההוא דאמר לחבריה כי פרעת לי פרע באנפי ראובן ושמעון. אזל פרע באפי סהדי אחריני. כתב רשב"ט דבקנין נעשה הדבר, דאל"כ היו דברים בעלמא ואינו מקוים, כדא"ר יוחנן פרק הזהב הלכה נושא שכר אינו משלם. ורבינו יואל פליג ואמר שזהו דבר יתר ובההיא הנאה דנפק עליה קלא דאיניש מהימנא הוא גמר ומשעבד נפשיה, דהכי א"ר יוחנן ס"פ הפועלים. וההיא דפ' הזהב אינו כל כך דבר יתר</w:t>
      </w:r>
      <w:r w:rsidRPr="0004348D">
        <w:rPr>
          <w:rFonts w:ascii="Calibri" w:eastAsia="Calibri" w:hAnsi="Calibri" w:cs="Arial"/>
          <w:vertAlign w:val="superscript"/>
          <w:rtl/>
        </w:rPr>
        <w:footnoteReference w:id="5624"/>
      </w:r>
      <w:r w:rsidRPr="0004348D">
        <w:rPr>
          <w:rFonts w:ascii="Calibri" w:eastAsia="Calibri" w:hAnsi="Calibri" w:cs="Arial"/>
          <w:rtl/>
        </w:rPr>
        <w:t>.</w:t>
      </w:r>
    </w:p>
    <w:p w14:paraId="61A431DA" w14:textId="77777777" w:rsidR="0004348D" w:rsidRPr="0004348D" w:rsidRDefault="0004348D" w:rsidP="0004348D">
      <w:pPr>
        <w:spacing w:before="360" w:after="240"/>
        <w:rPr>
          <w:rFonts w:ascii="Arial" w:eastAsia="Calibri" w:hAnsi="Arial" w:cs="Arial"/>
          <w:b/>
          <w:bCs/>
          <w:color w:val="000000"/>
          <w:sz w:val="28"/>
          <w:szCs w:val="28"/>
          <w:u w:val="single"/>
        </w:rPr>
      </w:pPr>
      <w:r w:rsidRPr="0004348D">
        <w:rPr>
          <w:rFonts w:ascii="Arial" w:eastAsia="Calibri" w:hAnsi="Arial" w:cs="Arial"/>
          <w:b/>
          <w:bCs/>
          <w:color w:val="000000"/>
          <w:sz w:val="28"/>
          <w:szCs w:val="28"/>
          <w:u w:val="single"/>
          <w:rtl/>
        </w:rPr>
        <w:t>שו"ע:</w:t>
      </w:r>
    </w:p>
    <w:p w14:paraId="73196FDA" w14:textId="77777777" w:rsidR="0004348D" w:rsidRPr="0004348D" w:rsidRDefault="0004348D" w:rsidP="0004348D">
      <w:pPr>
        <w:spacing w:before="360" w:after="240"/>
        <w:rPr>
          <w:rFonts w:ascii="Calibri" w:eastAsia="Calibri" w:hAnsi="Calibri" w:cs="Arial"/>
          <w:rtl/>
        </w:rPr>
      </w:pPr>
      <w:r w:rsidRPr="0004348D">
        <w:rPr>
          <w:rFonts w:ascii="Calibri" w:eastAsia="Calibri" w:hAnsi="Calibri" w:cs="Arial"/>
          <w:rtl/>
        </w:rPr>
        <w:t>אמר לו</w:t>
      </w:r>
      <w:r w:rsidRPr="0004348D">
        <w:rPr>
          <w:rFonts w:ascii="Calibri" w:eastAsia="Calibri" w:hAnsi="Calibri" w:cs="Arial"/>
          <w:vertAlign w:val="superscript"/>
          <w:rtl/>
        </w:rPr>
        <w:footnoteReference w:id="5625"/>
      </w:r>
      <w:r w:rsidRPr="0004348D">
        <w:rPr>
          <w:rFonts w:ascii="Calibri" w:eastAsia="Calibri" w:hAnsi="Calibri" w:cs="Arial"/>
          <w:rtl/>
        </w:rPr>
        <w:t xml:space="preserve"> 'אל תפרעני אלא בעדים', בין שאמר לו בשעת הלואה, בין שאמר לו אחר שהלוהו, צריך לפרעו בעדים</w:t>
      </w:r>
      <w:r w:rsidRPr="0004348D">
        <w:rPr>
          <w:rFonts w:ascii="Calibri" w:eastAsia="Calibri" w:hAnsi="Calibri" w:cs="Arial"/>
          <w:vertAlign w:val="superscript"/>
          <w:rtl/>
        </w:rPr>
        <w:footnoteReference w:id="5626"/>
      </w:r>
      <w:r w:rsidRPr="0004348D">
        <w:rPr>
          <w:rFonts w:ascii="Calibri" w:eastAsia="Calibri" w:hAnsi="Calibri" w:cs="Arial"/>
          <w:rtl/>
        </w:rPr>
        <w:t>. ואם אמר שפרעו שלא בעדים</w:t>
      </w:r>
      <w:r w:rsidRPr="0004348D">
        <w:rPr>
          <w:rFonts w:ascii="Calibri" w:eastAsia="Calibri" w:hAnsi="Calibri" w:cs="Arial"/>
          <w:vertAlign w:val="superscript"/>
          <w:rtl/>
        </w:rPr>
        <w:footnoteReference w:id="5627"/>
      </w:r>
      <w:r w:rsidRPr="0004348D">
        <w:rPr>
          <w:rFonts w:ascii="Calibri" w:eastAsia="Calibri" w:hAnsi="Calibri" w:cs="Arial"/>
          <w:rtl/>
        </w:rPr>
        <w:t>, אינו נאמן, והמלוה גובה ממנו בלא שבועה</w:t>
      </w:r>
      <w:r w:rsidRPr="0004348D">
        <w:rPr>
          <w:rFonts w:ascii="Calibri" w:eastAsia="Calibri" w:hAnsi="Calibri" w:cs="Arial"/>
          <w:vertAlign w:val="superscript"/>
          <w:rtl/>
        </w:rPr>
        <w:footnoteReference w:id="5628"/>
      </w:r>
      <w:r w:rsidRPr="0004348D">
        <w:rPr>
          <w:rFonts w:ascii="Calibri" w:eastAsia="Calibri" w:hAnsi="Calibri" w:cs="Arial"/>
          <w:rtl/>
        </w:rPr>
        <w:t>. טען ואמר 'כן עשיתי ופרעתיך בפני פלוני ופלוני</w:t>
      </w:r>
      <w:r w:rsidRPr="0004348D">
        <w:rPr>
          <w:rFonts w:ascii="Calibri" w:eastAsia="Calibri" w:hAnsi="Calibri" w:cs="Arial"/>
          <w:vertAlign w:val="superscript"/>
          <w:rtl/>
        </w:rPr>
        <w:footnoteReference w:id="5629"/>
      </w:r>
      <w:r w:rsidRPr="0004348D">
        <w:rPr>
          <w:rFonts w:ascii="Calibri" w:eastAsia="Calibri" w:hAnsi="Calibri" w:cs="Arial"/>
          <w:rtl/>
        </w:rPr>
        <w:t xml:space="preserve"> והלכו למדינת הים או מתו', הרי זה נאמן, ונשבע שבועת היסת ונפטר. וכן אם אמר 'אל תפרעני אלא בפני תלמידי חכמים או בפני רופאים', ואמר 'בפניהם פרעתיך ואותם עדים שפרעתיך בפניהם מתו או הלכו למדינת הים', הרי זה נאמן, ונשבע היסת ונפטר. </w:t>
      </w:r>
    </w:p>
    <w:p w14:paraId="31E50179" w14:textId="77777777" w:rsidR="0004348D" w:rsidRPr="0004348D" w:rsidRDefault="0004348D" w:rsidP="0004348D">
      <w:pPr>
        <w:spacing w:before="360" w:after="240"/>
        <w:rPr>
          <w:rFonts w:ascii="Calibri" w:eastAsia="Calibri" w:hAnsi="Calibri" w:cs="Arial"/>
          <w:rtl/>
        </w:rPr>
      </w:pPr>
    </w:p>
    <w:p w14:paraId="39763B6D" w14:textId="77777777" w:rsidR="0004348D" w:rsidRPr="0004348D" w:rsidRDefault="0004348D" w:rsidP="0004348D">
      <w:pPr>
        <w:keepNext/>
        <w:keepLines/>
        <w:spacing w:before="360" w:after="240"/>
        <w:outlineLvl w:val="1"/>
        <w:rPr>
          <w:rFonts w:ascii="Cambria" w:eastAsia="Times New Roman" w:hAnsi="Cambria" w:cs="Arial"/>
          <w:bCs/>
          <w:color w:val="548DD4" w:themeColor="text2" w:themeTint="99"/>
          <w:sz w:val="26"/>
          <w:szCs w:val="26"/>
          <w:rtl/>
        </w:rPr>
      </w:pPr>
      <w:bookmarkStart w:id="788" w:name="_Toc24884190"/>
      <w:r w:rsidRPr="0004348D">
        <w:rPr>
          <w:rFonts w:ascii="Cambria" w:eastAsia="Times New Roman" w:hAnsi="Cambria" w:cs="Arial"/>
          <w:bCs/>
          <w:color w:val="548DD4" w:themeColor="text2" w:themeTint="99"/>
          <w:sz w:val="26"/>
          <w:szCs w:val="26"/>
          <w:rtl/>
        </w:rPr>
        <w:t>סעיף ד: האומר 'אל תפרעי אלא בפני פלוני ופלוני'.</w:t>
      </w:r>
      <w:bookmarkEnd w:id="788"/>
    </w:p>
    <w:p w14:paraId="07D28E7B" w14:textId="77777777" w:rsidR="0004348D" w:rsidRPr="0004348D" w:rsidRDefault="0004348D" w:rsidP="0004348D">
      <w:pPr>
        <w:spacing w:before="360" w:after="240"/>
        <w:rPr>
          <w:rFonts w:ascii="Calibri" w:eastAsia="Calibri" w:hAnsi="Calibri" w:cs="Arial"/>
          <w:rtl/>
        </w:rPr>
      </w:pPr>
      <w:r w:rsidRPr="0004348D">
        <w:rPr>
          <w:rFonts w:ascii="Calibri" w:eastAsia="Calibri" w:hAnsi="Calibri" w:cs="Arial"/>
          <w:rtl/>
        </w:rPr>
        <w:t>עיין במקורות בסעיף הקודם.</w:t>
      </w:r>
    </w:p>
    <w:p w14:paraId="33B0BBE8" w14:textId="77777777" w:rsidR="0004348D" w:rsidRPr="0004348D" w:rsidRDefault="0004348D" w:rsidP="0004348D">
      <w:pPr>
        <w:spacing w:before="360" w:after="240"/>
        <w:rPr>
          <w:rFonts w:ascii="Arial" w:eastAsia="Calibri" w:hAnsi="Arial" w:cs="Arial"/>
          <w:b/>
          <w:bCs/>
          <w:color w:val="000000"/>
          <w:sz w:val="28"/>
          <w:szCs w:val="28"/>
          <w:u w:val="single"/>
          <w:rtl/>
        </w:rPr>
      </w:pPr>
      <w:r w:rsidRPr="0004348D">
        <w:rPr>
          <w:rFonts w:ascii="Arial" w:eastAsia="Calibri" w:hAnsi="Arial" w:cs="Arial"/>
          <w:b/>
          <w:bCs/>
          <w:color w:val="000000"/>
          <w:sz w:val="28"/>
          <w:szCs w:val="28"/>
          <w:u w:val="single"/>
          <w:rtl/>
        </w:rPr>
        <w:t>שו"ע:</w:t>
      </w:r>
    </w:p>
    <w:p w14:paraId="1E25881A" w14:textId="77777777" w:rsidR="0004348D" w:rsidRPr="0004348D" w:rsidRDefault="0004348D" w:rsidP="0004348D">
      <w:pPr>
        <w:spacing w:before="360" w:after="240"/>
        <w:rPr>
          <w:rFonts w:ascii="Calibri" w:eastAsia="Calibri" w:hAnsi="Calibri" w:cs="Arial"/>
          <w:rtl/>
        </w:rPr>
      </w:pPr>
      <w:r w:rsidRPr="0004348D">
        <w:rPr>
          <w:rFonts w:ascii="Calibri" w:eastAsia="Calibri" w:hAnsi="Calibri" w:cs="Arial"/>
          <w:rtl/>
        </w:rPr>
        <w:t>אמר לו 'אל תפרעני אלא בפני פלוני ופלוני', ואמר לו 'פרעתיך בפני אחרים', אם באו אותם אחרים והעידו שפרעו בפניהם, פטור</w:t>
      </w:r>
      <w:r w:rsidRPr="0004348D">
        <w:rPr>
          <w:rFonts w:ascii="Calibri" w:eastAsia="Calibri" w:hAnsi="Calibri" w:cs="Arial"/>
          <w:vertAlign w:val="superscript"/>
          <w:rtl/>
        </w:rPr>
        <w:footnoteReference w:id="5630"/>
      </w:r>
      <w:r w:rsidRPr="0004348D">
        <w:rPr>
          <w:rFonts w:ascii="Calibri" w:eastAsia="Calibri" w:hAnsi="Calibri" w:cs="Arial"/>
          <w:rtl/>
        </w:rPr>
        <w:t xml:space="preserve">. </w:t>
      </w:r>
      <w:r w:rsidRPr="0004348D">
        <w:rPr>
          <w:rFonts w:ascii="Calibri" w:eastAsia="Calibri" w:hAnsi="Calibri" w:cs="Arial"/>
          <w:sz w:val="18"/>
          <w:szCs w:val="18"/>
          <w:rtl/>
        </w:rPr>
        <w:t>[הגה] מיהו המלוה יוכל לומר שעל חוב אחר קבלם</w:t>
      </w:r>
      <w:r w:rsidRPr="0004348D">
        <w:rPr>
          <w:rFonts w:ascii="Calibri" w:eastAsia="Calibri" w:hAnsi="Calibri" w:cs="Arial"/>
          <w:sz w:val="18"/>
          <w:szCs w:val="18"/>
          <w:vertAlign w:val="superscript"/>
          <w:rtl/>
        </w:rPr>
        <w:footnoteReference w:id="5631"/>
      </w:r>
      <w:r w:rsidRPr="0004348D">
        <w:rPr>
          <w:rFonts w:ascii="Calibri" w:eastAsia="Calibri" w:hAnsi="Calibri" w:cs="Arial"/>
          <w:sz w:val="18"/>
          <w:szCs w:val="18"/>
          <w:rtl/>
        </w:rPr>
        <w:t>, אע"פ שפרעו בעדים, הואיל ולא פרעו בפני פלוני ופלוני שאמר</w:t>
      </w:r>
      <w:r w:rsidRPr="0004348D">
        <w:rPr>
          <w:rFonts w:ascii="Calibri" w:eastAsia="Calibri" w:hAnsi="Calibri" w:cs="Arial"/>
          <w:sz w:val="18"/>
          <w:szCs w:val="18"/>
          <w:vertAlign w:val="superscript"/>
          <w:rtl/>
        </w:rPr>
        <w:footnoteReference w:id="5632"/>
      </w:r>
      <w:r w:rsidRPr="0004348D">
        <w:rPr>
          <w:rFonts w:ascii="Calibri" w:eastAsia="Calibri" w:hAnsi="Calibri" w:cs="Arial"/>
          <w:sz w:val="18"/>
          <w:szCs w:val="18"/>
          <w:rtl/>
        </w:rPr>
        <w:t xml:space="preserve"> (מרדכי פרק הדיינים).</w:t>
      </w:r>
      <w:r w:rsidRPr="0004348D">
        <w:rPr>
          <w:rFonts w:ascii="Calibri" w:eastAsia="Calibri" w:hAnsi="Calibri" w:cs="Arial"/>
          <w:rtl/>
        </w:rPr>
        <w:t xml:space="preserve"> ואם מתו או הלכו למדינת הים, אינו נאמן. ואם אמר 'פרעתיך בפני פלוני ופלוני שייחדת ומתו או הלכו למדינת הים', נאמן בשבועה, שהרי אמר שקיים תנאו. ואם מודה שלא פרעו, אלא שאומר 'לא אפרעך עד שיבא פלוני ופלוני שיחדת לי ואפרעך בפניהם', אין שומעין לו, אלא פורעו בבית דין וכותבין לו שפרעו בפניהם. </w:t>
      </w:r>
    </w:p>
    <w:p w14:paraId="20E3189A" w14:textId="77777777" w:rsidR="0004348D" w:rsidRPr="0004348D" w:rsidRDefault="0004348D" w:rsidP="0004348D">
      <w:pPr>
        <w:spacing w:before="360" w:after="240"/>
        <w:rPr>
          <w:rFonts w:ascii="Calibri" w:eastAsia="Calibri" w:hAnsi="Calibri" w:cs="Arial"/>
          <w:rtl/>
        </w:rPr>
      </w:pPr>
    </w:p>
    <w:p w14:paraId="4333868A" w14:textId="77777777" w:rsidR="0004348D" w:rsidRPr="0004348D" w:rsidRDefault="0004348D" w:rsidP="0004348D">
      <w:pPr>
        <w:keepNext/>
        <w:keepLines/>
        <w:spacing w:before="360" w:after="240"/>
        <w:outlineLvl w:val="1"/>
        <w:rPr>
          <w:rFonts w:ascii="Cambria" w:eastAsia="Times New Roman" w:hAnsi="Cambria" w:cs="Arial"/>
          <w:bCs/>
          <w:color w:val="548DD4" w:themeColor="text2" w:themeTint="99"/>
          <w:sz w:val="26"/>
          <w:szCs w:val="26"/>
          <w:rtl/>
        </w:rPr>
      </w:pPr>
      <w:bookmarkStart w:id="789" w:name="_Toc24884191"/>
      <w:r w:rsidRPr="0004348D">
        <w:rPr>
          <w:rFonts w:ascii="Cambria" w:eastAsia="Times New Roman" w:hAnsi="Cambria" w:cs="Arial"/>
          <w:bCs/>
          <w:color w:val="548DD4" w:themeColor="text2" w:themeTint="99"/>
          <w:sz w:val="26"/>
          <w:szCs w:val="26"/>
          <w:rtl/>
        </w:rPr>
        <w:t>סעיף ה: האומר 'אל תפרעני אלא בפני פלוני ופלוני', ופרעו בינו לבינו, ומלוה אומר שקבל בתורת פקדון - ונאנסו.</w:t>
      </w:r>
      <w:bookmarkEnd w:id="789"/>
    </w:p>
    <w:p w14:paraId="2ABD379F" w14:textId="77777777" w:rsidR="0004348D" w:rsidRPr="0004348D" w:rsidRDefault="0004348D" w:rsidP="0004348D">
      <w:pPr>
        <w:spacing w:before="360" w:after="240"/>
        <w:rPr>
          <w:rFonts w:ascii="Calibri" w:eastAsia="Calibri" w:hAnsi="Calibri" w:cs="Arial"/>
          <w:rtl/>
        </w:rPr>
      </w:pPr>
      <w:r w:rsidRPr="0004348D">
        <w:rPr>
          <w:rFonts w:ascii="Calibri" w:eastAsia="Calibri" w:hAnsi="Calibri" w:cs="Arial"/>
          <w:b/>
          <w:bCs/>
          <w:rtl/>
        </w:rPr>
        <w:t xml:space="preserve">שבועות </w:t>
      </w:r>
      <w:r w:rsidRPr="0004348D">
        <w:rPr>
          <w:rFonts w:ascii="Calibri" w:eastAsia="Calibri" w:hAnsi="Calibri" w:cs="Arial"/>
          <w:b/>
          <w:bCs/>
          <w:sz w:val="16"/>
          <w:szCs w:val="16"/>
          <w:rtl/>
        </w:rPr>
        <w:t xml:space="preserve">(פרק שבועת הדיינים) </w:t>
      </w:r>
      <w:r w:rsidRPr="0004348D">
        <w:rPr>
          <w:rFonts w:ascii="Calibri" w:eastAsia="Calibri" w:hAnsi="Calibri" w:cs="Arial"/>
          <w:b/>
          <w:bCs/>
          <w:rtl/>
        </w:rPr>
        <w:t>מא</w:t>
      </w:r>
      <w:r w:rsidRPr="0004348D">
        <w:rPr>
          <w:rFonts w:ascii="Calibri" w:eastAsia="Calibri" w:hAnsi="Calibri" w:cs="Arial"/>
          <w:b/>
          <w:bCs/>
          <w:vertAlign w:val="superscript"/>
          <w:rtl/>
        </w:rPr>
        <w:footnoteReference w:id="5633"/>
      </w:r>
      <w:r w:rsidRPr="0004348D">
        <w:rPr>
          <w:rFonts w:ascii="Calibri" w:eastAsia="Calibri" w:hAnsi="Calibri" w:cs="Arial"/>
          <w:b/>
          <w:bCs/>
          <w:rtl/>
        </w:rPr>
        <w:t xml:space="preserve"> ע"ב:</w:t>
      </w:r>
      <w:r w:rsidRPr="0004348D">
        <w:rPr>
          <w:rFonts w:ascii="Calibri" w:eastAsia="Calibri" w:hAnsi="Calibri" w:cs="Arial"/>
          <w:rtl/>
        </w:rPr>
        <w:t xml:space="preserve"> ההוא דאמר ליה לחבריה: כי פרעת לי - פרעין לי באפי בי תרי דתנו הלכתא, אזל פרעיה בין דיליה לדיליה, איתניסו</w:t>
      </w:r>
      <w:r w:rsidRPr="0004348D">
        <w:rPr>
          <w:rFonts w:ascii="Calibri" w:eastAsia="Calibri" w:hAnsi="Calibri" w:cs="Arial"/>
          <w:vertAlign w:val="superscript"/>
          <w:rtl/>
        </w:rPr>
        <w:footnoteReference w:id="5634"/>
      </w:r>
      <w:r w:rsidRPr="0004348D">
        <w:rPr>
          <w:rFonts w:ascii="Calibri" w:eastAsia="Calibri" w:hAnsi="Calibri" w:cs="Arial"/>
          <w:rtl/>
        </w:rPr>
        <w:t xml:space="preserve"> הנך זוזי. אתא לקמיה דרב נחמן, א"ל: אין, קבולי קבלתינהו מיניה דרך פקדון, ואמינא: ליהוי גבאי פקדון</w:t>
      </w:r>
      <w:r w:rsidRPr="0004348D">
        <w:rPr>
          <w:rFonts w:ascii="Calibri" w:eastAsia="Calibri" w:hAnsi="Calibri" w:cs="Arial"/>
          <w:vertAlign w:val="superscript"/>
          <w:rtl/>
        </w:rPr>
        <w:footnoteReference w:id="5635"/>
      </w:r>
      <w:r w:rsidRPr="0004348D">
        <w:rPr>
          <w:rFonts w:ascii="Calibri" w:eastAsia="Calibri" w:hAnsi="Calibri" w:cs="Arial"/>
          <w:rtl/>
        </w:rPr>
        <w:t>, עד דמתרמו בי תרי דתנו הלכתא ומקיים תנאיה. א"ל: כיון דקא מודית</w:t>
      </w:r>
      <w:r w:rsidRPr="0004348D">
        <w:rPr>
          <w:rFonts w:ascii="Calibri" w:eastAsia="Calibri" w:hAnsi="Calibri" w:cs="Arial"/>
          <w:vertAlign w:val="superscript"/>
          <w:rtl/>
        </w:rPr>
        <w:footnoteReference w:id="5636"/>
      </w:r>
      <w:r w:rsidRPr="0004348D">
        <w:rPr>
          <w:rFonts w:ascii="Calibri" w:eastAsia="Calibri" w:hAnsi="Calibri" w:cs="Arial"/>
          <w:rtl/>
        </w:rPr>
        <w:t xml:space="preserve"> דודאי שקלתינהו מיניה - פרעון מעליא הוי, אי אמרת לקיומי תנאיה - זיל אייתינהו</w:t>
      </w:r>
      <w:r w:rsidRPr="0004348D">
        <w:rPr>
          <w:rFonts w:ascii="Calibri" w:eastAsia="Calibri" w:hAnsi="Calibri" w:cs="Arial"/>
          <w:vertAlign w:val="superscript"/>
          <w:rtl/>
        </w:rPr>
        <w:footnoteReference w:id="5637"/>
      </w:r>
      <w:r w:rsidRPr="0004348D">
        <w:rPr>
          <w:rFonts w:ascii="Calibri" w:eastAsia="Calibri" w:hAnsi="Calibri" w:cs="Arial"/>
          <w:rtl/>
        </w:rPr>
        <w:t>, דהא אנא ורב ששת דתנינא הלכתא וספרא וספרי ותוספתא וכולא גמרא.</w:t>
      </w:r>
    </w:p>
    <w:p w14:paraId="380BA049" w14:textId="77777777" w:rsidR="0004348D" w:rsidRPr="0004348D" w:rsidRDefault="0004348D" w:rsidP="0004348D">
      <w:pPr>
        <w:spacing w:before="360" w:after="240"/>
        <w:rPr>
          <w:rFonts w:ascii="Calibri" w:eastAsia="Calibri" w:hAnsi="Calibri" w:cs="Arial"/>
          <w:u w:val="single"/>
          <w:rtl/>
        </w:rPr>
      </w:pPr>
      <w:r w:rsidRPr="0004348D">
        <w:rPr>
          <w:rFonts w:ascii="Calibri" w:eastAsia="Calibri" w:hAnsi="Calibri" w:cs="Arial"/>
          <w:u w:val="single"/>
          <w:rtl/>
        </w:rPr>
        <w:t>האומר 'אל תפרעני אלא בפני פלוני ופלוני', ופרעו בינו לבינו, והוא מודה לו רק שאומר שקבלו בתורת פקדון – ונאנסו:</w:t>
      </w:r>
    </w:p>
    <w:p w14:paraId="3110DBF9" w14:textId="77777777" w:rsidR="0004348D" w:rsidRPr="0004348D" w:rsidRDefault="0004348D" w:rsidP="00992A87">
      <w:pPr>
        <w:numPr>
          <w:ilvl w:val="0"/>
          <w:numId w:val="363"/>
        </w:numPr>
        <w:spacing w:before="360" w:after="240"/>
        <w:contextualSpacing/>
        <w:rPr>
          <w:rFonts w:ascii="Calibri" w:eastAsia="Calibri" w:hAnsi="Calibri" w:cs="Arial"/>
          <w:rtl/>
        </w:rPr>
      </w:pPr>
      <w:r w:rsidRPr="0004348D">
        <w:rPr>
          <w:rFonts w:ascii="Calibri" w:eastAsia="Calibri" w:hAnsi="Calibri" w:cs="Arial"/>
          <w:rtl/>
        </w:rPr>
        <w:t>טור- אמר לו 'אל תפרעני אלא בפני פלוני ופלוני', ופרעו בינו לבינו, והוא מודה לו רק שאומר</w:t>
      </w:r>
      <w:r w:rsidRPr="0004348D">
        <w:rPr>
          <w:rFonts w:ascii="Calibri" w:eastAsia="Calibri" w:hAnsi="Calibri" w:cs="Arial"/>
          <w:vertAlign w:val="superscript"/>
          <w:rtl/>
        </w:rPr>
        <w:footnoteReference w:id="5638"/>
      </w:r>
      <w:r w:rsidRPr="0004348D">
        <w:rPr>
          <w:rFonts w:ascii="Calibri" w:eastAsia="Calibri" w:hAnsi="Calibri" w:cs="Arial"/>
          <w:rtl/>
        </w:rPr>
        <w:t xml:space="preserve"> שקבלו בתורת פקדון עד שיבואו פלוני ופלוני שיחד לעדים ובתוך כך נאנסו בידו, ותבעו שיחזור ויפרענו - פטור</w:t>
      </w:r>
      <w:r w:rsidRPr="0004348D">
        <w:rPr>
          <w:rFonts w:ascii="Calibri" w:eastAsia="Calibri" w:hAnsi="Calibri" w:cs="Arial"/>
          <w:vertAlign w:val="superscript"/>
          <w:rtl/>
        </w:rPr>
        <w:footnoteReference w:id="5639"/>
      </w:r>
      <w:r w:rsidRPr="0004348D">
        <w:rPr>
          <w:rFonts w:ascii="Calibri" w:eastAsia="Calibri" w:hAnsi="Calibri" w:cs="Arial"/>
          <w:rtl/>
        </w:rPr>
        <w:t xml:space="preserve">. </w:t>
      </w:r>
      <w:r w:rsidRPr="0004348D">
        <w:rPr>
          <w:rFonts w:ascii="Calibri" w:eastAsia="Calibri" w:hAnsi="Calibri" w:cs="Arial"/>
          <w:color w:val="E36C0A" w:themeColor="accent6" w:themeShade="BF"/>
          <w:rtl/>
        </w:rPr>
        <w:t>(וכ"פ בשו"ע)</w:t>
      </w:r>
    </w:p>
    <w:p w14:paraId="6ED3B5EC" w14:textId="77777777" w:rsidR="0004348D" w:rsidRPr="0004348D" w:rsidRDefault="0004348D" w:rsidP="0004348D">
      <w:pPr>
        <w:spacing w:before="360" w:after="240"/>
        <w:rPr>
          <w:rFonts w:ascii="Arial" w:eastAsia="Calibri" w:hAnsi="Arial" w:cs="Arial"/>
          <w:b/>
          <w:bCs/>
          <w:color w:val="000000"/>
          <w:sz w:val="28"/>
          <w:szCs w:val="28"/>
          <w:u w:val="single"/>
          <w:rtl/>
        </w:rPr>
      </w:pPr>
      <w:r w:rsidRPr="0004348D">
        <w:rPr>
          <w:rFonts w:ascii="Arial" w:eastAsia="Calibri" w:hAnsi="Arial" w:cs="Arial"/>
          <w:b/>
          <w:bCs/>
          <w:color w:val="000000"/>
          <w:sz w:val="28"/>
          <w:szCs w:val="28"/>
          <w:u w:val="single"/>
          <w:rtl/>
        </w:rPr>
        <w:t>שו"ע:</w:t>
      </w:r>
    </w:p>
    <w:p w14:paraId="4AF7101A" w14:textId="77777777" w:rsidR="0004348D" w:rsidRPr="0004348D" w:rsidRDefault="0004348D" w:rsidP="0004348D">
      <w:pPr>
        <w:spacing w:before="360" w:after="240"/>
        <w:rPr>
          <w:rFonts w:ascii="Calibri" w:eastAsia="Calibri" w:hAnsi="Calibri" w:cs="Arial"/>
          <w:rtl/>
        </w:rPr>
      </w:pPr>
      <w:r w:rsidRPr="0004348D">
        <w:rPr>
          <w:rFonts w:ascii="Calibri" w:eastAsia="Calibri" w:hAnsi="Calibri" w:cs="Arial"/>
          <w:rtl/>
        </w:rPr>
        <w:t>אמר לו 'אל תפרעני אלא בפני פלוני ופלוני', ופרעו בינו לבינו ונאנסו המעות, והמלוה אומר 'בתורת פקדון קבלתים עד שיבואו אותם פלוני ופלוני', ותובע שיחזור לפרעו, אין בדבריו כלום, מאחר שמודה שקבלם והלה לא בתורת פקדון מסרם, הוי פרעון, ודברים שאומר זה אינם דברים</w:t>
      </w:r>
      <w:r w:rsidRPr="0004348D">
        <w:rPr>
          <w:rFonts w:ascii="Calibri" w:eastAsia="Calibri" w:hAnsi="Calibri" w:cs="Arial"/>
          <w:vertAlign w:val="superscript"/>
          <w:rtl/>
        </w:rPr>
        <w:footnoteReference w:id="5640"/>
      </w:r>
      <w:r w:rsidRPr="0004348D">
        <w:rPr>
          <w:rFonts w:ascii="Calibri" w:eastAsia="Calibri" w:hAnsi="Calibri" w:cs="Arial"/>
          <w:rtl/>
        </w:rPr>
        <w:t xml:space="preserve">. </w:t>
      </w:r>
    </w:p>
    <w:p w14:paraId="0331888B" w14:textId="77777777" w:rsidR="0004348D" w:rsidRPr="0004348D" w:rsidRDefault="0004348D" w:rsidP="0004348D">
      <w:pPr>
        <w:spacing w:before="360" w:after="240"/>
        <w:rPr>
          <w:rFonts w:ascii="Calibri" w:eastAsia="Calibri" w:hAnsi="Calibri" w:cs="Arial"/>
          <w:rtl/>
        </w:rPr>
      </w:pPr>
    </w:p>
    <w:p w14:paraId="1E5000D5" w14:textId="77777777" w:rsidR="0004348D" w:rsidRPr="0004348D" w:rsidRDefault="0004348D" w:rsidP="0004348D">
      <w:pPr>
        <w:keepNext/>
        <w:keepLines/>
        <w:spacing w:before="360" w:after="240"/>
        <w:outlineLvl w:val="1"/>
        <w:rPr>
          <w:rFonts w:ascii="Cambria" w:eastAsia="Times New Roman" w:hAnsi="Cambria" w:cs="Arial"/>
          <w:bCs/>
          <w:color w:val="548DD4" w:themeColor="text2" w:themeTint="99"/>
          <w:sz w:val="26"/>
          <w:szCs w:val="26"/>
          <w:rtl/>
        </w:rPr>
      </w:pPr>
      <w:bookmarkStart w:id="791" w:name="_Toc24884192"/>
      <w:r w:rsidRPr="0004348D">
        <w:rPr>
          <w:rFonts w:ascii="Cambria" w:eastAsia="Times New Roman" w:hAnsi="Cambria" w:cs="Arial"/>
          <w:bCs/>
          <w:color w:val="548DD4" w:themeColor="text2" w:themeTint="99"/>
          <w:sz w:val="26"/>
          <w:szCs w:val="26"/>
          <w:rtl/>
        </w:rPr>
        <w:t>סעיף ו: מי שנמחק שטרו וכתבו לו ב"ד שטר אחר. המוכר שדהו באונס ומס"ר מודעה לפנ"כ.</w:t>
      </w:r>
      <w:bookmarkEnd w:id="791"/>
    </w:p>
    <w:p w14:paraId="7E3CB808" w14:textId="77777777" w:rsidR="0004348D" w:rsidRPr="0004348D" w:rsidRDefault="0004348D" w:rsidP="0004348D">
      <w:pPr>
        <w:spacing w:before="360" w:after="240"/>
        <w:rPr>
          <w:rFonts w:ascii="Calibri" w:eastAsia="Calibri" w:hAnsi="Calibri" w:cs="Arial"/>
          <w:rtl/>
        </w:rPr>
      </w:pPr>
      <w:r w:rsidRPr="0004348D">
        <w:rPr>
          <w:rFonts w:ascii="Calibri" w:eastAsia="Calibri" w:hAnsi="Calibri" w:cs="Arial"/>
          <w:b/>
          <w:bCs/>
          <w:rtl/>
        </w:rPr>
        <w:t>בבא מציעא</w:t>
      </w:r>
      <w:r w:rsidRPr="0004348D">
        <w:rPr>
          <w:rFonts w:ascii="Calibri" w:eastAsia="Calibri" w:hAnsi="Calibri" w:cs="Arial"/>
          <w:b/>
          <w:bCs/>
          <w:sz w:val="16"/>
          <w:szCs w:val="16"/>
          <w:rtl/>
        </w:rPr>
        <w:t xml:space="preserve"> (פ"ק)</w:t>
      </w:r>
      <w:r w:rsidRPr="0004348D">
        <w:rPr>
          <w:rFonts w:ascii="Calibri" w:eastAsia="Calibri" w:hAnsi="Calibri" w:cs="Arial"/>
          <w:b/>
          <w:bCs/>
          <w:rtl/>
        </w:rPr>
        <w:t xml:space="preserve"> יז</w:t>
      </w:r>
      <w:r w:rsidRPr="0004348D">
        <w:rPr>
          <w:rFonts w:ascii="Calibri" w:eastAsia="Calibri" w:hAnsi="Calibri" w:cs="Arial"/>
          <w:b/>
          <w:bCs/>
          <w:vertAlign w:val="superscript"/>
          <w:rtl/>
        </w:rPr>
        <w:footnoteReference w:id="5641"/>
      </w:r>
      <w:r w:rsidRPr="0004348D">
        <w:rPr>
          <w:rFonts w:ascii="Calibri" w:eastAsia="Calibri" w:hAnsi="Calibri" w:cs="Arial"/>
          <w:b/>
          <w:bCs/>
          <w:rtl/>
        </w:rPr>
        <w:t xml:space="preserve"> ע"א:</w:t>
      </w:r>
      <w:r w:rsidRPr="0004348D">
        <w:rPr>
          <w:rFonts w:ascii="Calibri" w:eastAsia="Calibri" w:hAnsi="Calibri" w:cs="Arial"/>
          <w:rtl/>
        </w:rPr>
        <w:t xml:space="preserve"> </w:t>
      </w:r>
      <w:r w:rsidRPr="0004348D">
        <w:rPr>
          <w:rFonts w:ascii="Calibri" w:eastAsia="Calibri" w:hAnsi="Calibri" w:cs="Arial"/>
          <w:u w:val="single"/>
          <w:rtl/>
        </w:rPr>
        <w:t>אמר רבי חייא בר אבא אמר רבי יוחנן</w:t>
      </w:r>
      <w:r w:rsidRPr="0004348D">
        <w:rPr>
          <w:rFonts w:ascii="Calibri" w:eastAsia="Calibri" w:hAnsi="Calibri" w:cs="Arial"/>
          <w:rtl/>
        </w:rPr>
        <w:t>: הטוען אחר מעשה בית דין</w:t>
      </w:r>
      <w:r w:rsidRPr="0004348D">
        <w:rPr>
          <w:rFonts w:ascii="Calibri" w:eastAsia="Calibri" w:hAnsi="Calibri" w:cs="Arial"/>
          <w:sz w:val="16"/>
          <w:szCs w:val="16"/>
          <w:rtl/>
        </w:rPr>
        <w:t xml:space="preserve"> </w:t>
      </w:r>
      <w:r w:rsidRPr="0004348D">
        <w:rPr>
          <w:rFonts w:ascii="Calibri" w:eastAsia="Calibri" w:hAnsi="Calibri" w:cs="Arial"/>
          <w:sz w:val="14"/>
          <w:szCs w:val="14"/>
          <w:rtl/>
        </w:rPr>
        <w:t>(יז:)</w:t>
      </w:r>
      <w:r w:rsidRPr="0004348D">
        <w:rPr>
          <w:rFonts w:ascii="Calibri" w:eastAsia="Calibri" w:hAnsi="Calibri" w:cs="Arial"/>
          <w:rtl/>
        </w:rPr>
        <w:t xml:space="preserve"> - לא אמר כלום. מאי טעמא - כל מעשה בית דין כמאן דנקיט שטרא בידיה דמי.</w:t>
      </w:r>
    </w:p>
    <w:p w14:paraId="7A6CF4C7" w14:textId="77777777" w:rsidR="0004348D" w:rsidRPr="0004348D" w:rsidRDefault="0004348D" w:rsidP="0004348D">
      <w:pPr>
        <w:spacing w:before="360" w:after="240"/>
        <w:rPr>
          <w:rFonts w:ascii="Calibri" w:eastAsia="Calibri" w:hAnsi="Calibri" w:cs="Arial"/>
          <w:u w:val="single"/>
          <w:rtl/>
        </w:rPr>
      </w:pPr>
      <w:r w:rsidRPr="0004348D">
        <w:rPr>
          <w:rFonts w:ascii="Calibri" w:eastAsia="Calibri" w:hAnsi="Calibri" w:cs="Arial"/>
          <w:u w:val="single"/>
          <w:rtl/>
        </w:rPr>
        <w:t>מי שנמחק שטרו</w:t>
      </w:r>
      <w:r w:rsidRPr="0004348D">
        <w:rPr>
          <w:rFonts w:ascii="Calibri" w:eastAsia="Calibri" w:hAnsi="Calibri" w:cs="Arial"/>
          <w:sz w:val="16"/>
          <w:szCs w:val="16"/>
          <w:u w:val="single"/>
          <w:rtl/>
        </w:rPr>
        <w:t xml:space="preserve"> (או שתבע אותו על פה ונתחייב בדין)</w:t>
      </w:r>
      <w:r w:rsidRPr="0004348D">
        <w:rPr>
          <w:rFonts w:ascii="Calibri" w:eastAsia="Calibri" w:hAnsi="Calibri" w:cs="Arial"/>
          <w:u w:val="single"/>
          <w:rtl/>
        </w:rPr>
        <w:t xml:space="preserve"> וכתבו לו בית דין שטר אחר – האם יכול הלוה לטעון פרעתי:</w:t>
      </w:r>
    </w:p>
    <w:p w14:paraId="40F76975" w14:textId="77777777" w:rsidR="0004348D" w:rsidRPr="0004348D" w:rsidRDefault="0004348D" w:rsidP="00992A87">
      <w:pPr>
        <w:numPr>
          <w:ilvl w:val="0"/>
          <w:numId w:val="363"/>
        </w:numPr>
        <w:spacing w:before="360" w:after="240"/>
        <w:contextualSpacing/>
        <w:rPr>
          <w:rFonts w:ascii="Calibri" w:eastAsia="Calibri" w:hAnsi="Calibri" w:cs="Arial"/>
          <w:rtl/>
        </w:rPr>
      </w:pPr>
      <w:r w:rsidRPr="0004348D">
        <w:rPr>
          <w:rFonts w:ascii="Calibri" w:eastAsia="Calibri" w:hAnsi="Calibri" w:cs="Arial"/>
          <w:rtl/>
        </w:rPr>
        <w:t>ראב"ד</w:t>
      </w:r>
      <w:r w:rsidRPr="0004348D">
        <w:rPr>
          <w:rFonts w:ascii="Calibri" w:eastAsia="Calibri" w:hAnsi="Calibri" w:cs="Arial"/>
          <w:sz w:val="16"/>
          <w:szCs w:val="16"/>
          <w:rtl/>
        </w:rPr>
        <w:t xml:space="preserve"> (כ"כ בשמו בעל התרומות [שער נז ח"ב סי' ה])</w:t>
      </w:r>
      <w:r w:rsidRPr="0004348D">
        <w:rPr>
          <w:rFonts w:ascii="Calibri" w:eastAsia="Calibri" w:hAnsi="Calibri" w:cs="Arial"/>
          <w:rtl/>
        </w:rPr>
        <w:t xml:space="preserve">- מי שנמחק שטרו וכתבו לו בית דין שטר אחר </w:t>
      </w:r>
      <w:r w:rsidRPr="0004348D">
        <w:rPr>
          <w:rFonts w:ascii="Calibri" w:eastAsia="Calibri" w:hAnsi="Calibri" w:cs="Arial"/>
          <w:sz w:val="16"/>
          <w:szCs w:val="16"/>
          <w:rtl/>
        </w:rPr>
        <w:t>(וכמו שנתבאר בסי' מא ס"א)</w:t>
      </w:r>
      <w:r w:rsidRPr="0004348D">
        <w:rPr>
          <w:rFonts w:ascii="Calibri" w:eastAsia="Calibri" w:hAnsi="Calibri" w:cs="Arial"/>
          <w:rtl/>
        </w:rPr>
        <w:t xml:space="preserve"> - דינו כמלוה בשטר ואינו יכול לטעון פרעתי, דהוי ליה טוען אחר מעשה בית דין, ואמרינן בספ"ק דמציעא </w:t>
      </w:r>
      <w:r w:rsidRPr="0004348D">
        <w:rPr>
          <w:rFonts w:ascii="Calibri" w:eastAsia="Calibri" w:hAnsi="Calibri" w:cs="Arial"/>
          <w:sz w:val="16"/>
          <w:szCs w:val="16"/>
          <w:rtl/>
        </w:rPr>
        <w:t xml:space="preserve">(יז.) </w:t>
      </w:r>
      <w:r w:rsidRPr="0004348D">
        <w:rPr>
          <w:rFonts w:ascii="Calibri" w:eastAsia="Calibri" w:hAnsi="Calibri" w:cs="Arial"/>
          <w:rtl/>
        </w:rPr>
        <w:t xml:space="preserve">הטוען אחר מעשה בית דין אינו כלום. </w:t>
      </w:r>
      <w:r w:rsidRPr="0004348D">
        <w:rPr>
          <w:rFonts w:ascii="Calibri" w:eastAsia="Calibri" w:hAnsi="Calibri" w:cs="Arial"/>
          <w:color w:val="E36C0A" w:themeColor="accent6" w:themeShade="BF"/>
          <w:rtl/>
        </w:rPr>
        <w:t>(וכ"פ בשו"ע)</w:t>
      </w:r>
    </w:p>
    <w:p w14:paraId="6E958E62" w14:textId="77777777" w:rsidR="0004348D" w:rsidRPr="0004348D" w:rsidRDefault="0004348D" w:rsidP="0004348D">
      <w:pPr>
        <w:spacing w:before="360" w:after="240"/>
        <w:ind w:left="360"/>
        <w:rPr>
          <w:rFonts w:ascii="Calibri" w:eastAsia="Calibri" w:hAnsi="Calibri" w:cs="Arial"/>
          <w:u w:val="dotted"/>
        </w:rPr>
      </w:pPr>
      <w:r w:rsidRPr="0004348D">
        <w:rPr>
          <w:rFonts w:ascii="Calibri" w:eastAsia="Calibri" w:hAnsi="Calibri" w:cs="Arial"/>
          <w:u w:val="dotted"/>
          <w:rtl/>
        </w:rPr>
        <w:t>האם אמרינן הכי גם במקרה שתבע המלוה את הלוה על פה ונתחייב בדין וכתבו לו בית הדין מעשה בית דין:</w:t>
      </w:r>
    </w:p>
    <w:p w14:paraId="7A84407B" w14:textId="77777777" w:rsidR="0004348D" w:rsidRPr="0004348D" w:rsidRDefault="0004348D" w:rsidP="0004348D">
      <w:pPr>
        <w:numPr>
          <w:ilvl w:val="0"/>
          <w:numId w:val="356"/>
        </w:numPr>
        <w:spacing w:before="360" w:after="240"/>
        <w:contextualSpacing/>
        <w:rPr>
          <w:rFonts w:ascii="Calibri" w:eastAsia="Calibri" w:hAnsi="Calibri" w:cs="Arial"/>
          <w:rtl/>
        </w:rPr>
      </w:pPr>
      <w:r w:rsidRPr="0004348D">
        <w:rPr>
          <w:rFonts w:ascii="Calibri" w:eastAsia="Calibri" w:hAnsi="Calibri" w:cs="Arial"/>
          <w:rtl/>
        </w:rPr>
        <w:t xml:space="preserve">ראב"ד </w:t>
      </w:r>
      <w:r w:rsidRPr="0004348D">
        <w:rPr>
          <w:rFonts w:ascii="Calibri" w:eastAsia="Calibri" w:hAnsi="Calibri" w:cs="Arial"/>
          <w:sz w:val="16"/>
          <w:szCs w:val="16"/>
          <w:rtl/>
        </w:rPr>
        <w:t>(שם)</w:t>
      </w:r>
      <w:r w:rsidRPr="0004348D">
        <w:rPr>
          <w:rFonts w:ascii="Calibri" w:eastAsia="Calibri" w:hAnsi="Calibri" w:cs="Arial"/>
          <w:rtl/>
        </w:rPr>
        <w:t>- אף אם תבע את חבירו מלוה על פה ונתחייב לו בדין ולא היה בידו לפרעו, וכתבו לו מעשה בית דין, אם טען אח"כ פרעתי - אינו נאמן וגובה מהלקוחות</w:t>
      </w:r>
      <w:r w:rsidRPr="0004348D">
        <w:rPr>
          <w:rFonts w:ascii="Calibri" w:eastAsia="Calibri" w:hAnsi="Calibri" w:cs="Arial"/>
          <w:vertAlign w:val="superscript"/>
          <w:rtl/>
        </w:rPr>
        <w:footnoteReference w:id="5642"/>
      </w:r>
      <w:r w:rsidRPr="0004348D">
        <w:rPr>
          <w:rFonts w:ascii="Calibri" w:eastAsia="Calibri" w:hAnsi="Calibri" w:cs="Arial"/>
          <w:rtl/>
        </w:rPr>
        <w:t xml:space="preserve">. </w:t>
      </w:r>
      <w:r w:rsidRPr="0004348D">
        <w:rPr>
          <w:rFonts w:ascii="Calibri" w:eastAsia="Calibri" w:hAnsi="Calibri" w:cs="Arial"/>
          <w:color w:val="E36C0A" w:themeColor="accent6" w:themeShade="BF"/>
          <w:rtl/>
        </w:rPr>
        <w:t>(וכ"ס בשו"ע)</w:t>
      </w:r>
      <w:r w:rsidRPr="0004348D">
        <w:rPr>
          <w:rFonts w:ascii="Calibri" w:eastAsia="Calibri" w:hAnsi="Calibri" w:cs="Arial"/>
          <w:rtl/>
        </w:rPr>
        <w:t xml:space="preserve"> </w:t>
      </w:r>
    </w:p>
    <w:p w14:paraId="3EAAAAB1" w14:textId="77777777" w:rsidR="0004348D" w:rsidRPr="0004348D" w:rsidRDefault="0004348D" w:rsidP="0004348D">
      <w:pPr>
        <w:spacing w:before="360" w:after="240"/>
        <w:rPr>
          <w:rFonts w:ascii="Calibri" w:eastAsia="Calibri" w:hAnsi="Calibri" w:cs="Arial"/>
        </w:rPr>
      </w:pPr>
      <w:bookmarkStart w:id="792" w:name="_Hlk17280238"/>
      <w:r w:rsidRPr="0004348D">
        <w:rPr>
          <w:rFonts w:ascii="Calibri" w:eastAsia="Calibri" w:hAnsi="Calibri" w:cs="Arial"/>
          <w:b/>
          <w:bCs/>
          <w:rtl/>
        </w:rPr>
        <w:t>בבא מציעא</w:t>
      </w:r>
      <w:r w:rsidRPr="0004348D">
        <w:rPr>
          <w:rFonts w:ascii="Calibri" w:eastAsia="Calibri" w:hAnsi="Calibri" w:cs="Arial"/>
          <w:b/>
          <w:bCs/>
          <w:sz w:val="16"/>
          <w:szCs w:val="16"/>
          <w:rtl/>
        </w:rPr>
        <w:t xml:space="preserve"> (פרק איזהו נשך)</w:t>
      </w:r>
      <w:r w:rsidRPr="0004348D">
        <w:rPr>
          <w:rFonts w:ascii="Calibri" w:eastAsia="Calibri" w:hAnsi="Calibri" w:cs="Arial"/>
          <w:b/>
          <w:bCs/>
          <w:rtl/>
        </w:rPr>
        <w:t xml:space="preserve"> עב</w:t>
      </w:r>
      <w:r w:rsidRPr="0004348D">
        <w:rPr>
          <w:rFonts w:ascii="Calibri" w:eastAsia="Calibri" w:hAnsi="Calibri" w:cs="Arial"/>
          <w:b/>
          <w:bCs/>
          <w:vertAlign w:val="superscript"/>
          <w:rtl/>
        </w:rPr>
        <w:footnoteReference w:id="5643"/>
      </w:r>
      <w:r w:rsidRPr="0004348D">
        <w:rPr>
          <w:rFonts w:ascii="Calibri" w:eastAsia="Calibri" w:hAnsi="Calibri" w:cs="Arial"/>
          <w:b/>
          <w:bCs/>
          <w:rtl/>
        </w:rPr>
        <w:t xml:space="preserve"> ע"א:</w:t>
      </w:r>
      <w:r w:rsidRPr="0004348D">
        <w:rPr>
          <w:rFonts w:ascii="Calibri" w:eastAsia="Calibri" w:hAnsi="Calibri" w:cs="Arial"/>
          <w:rtl/>
        </w:rPr>
        <w:t xml:space="preserve"> ההוא גברא דמשכין ליה פרדיסא</w:t>
      </w:r>
      <w:r w:rsidRPr="0004348D">
        <w:rPr>
          <w:rFonts w:ascii="Calibri" w:eastAsia="Calibri" w:hAnsi="Calibri" w:cs="Arial"/>
          <w:vertAlign w:val="superscript"/>
          <w:rtl/>
        </w:rPr>
        <w:footnoteReference w:id="5644"/>
      </w:r>
      <w:r w:rsidRPr="0004348D">
        <w:rPr>
          <w:rFonts w:ascii="Calibri" w:eastAsia="Calibri" w:hAnsi="Calibri" w:cs="Arial"/>
          <w:rtl/>
        </w:rPr>
        <w:t xml:space="preserve"> לחבריה, אכלה תלת שני. אמר ליה: אי מזבנית לה ניהלי - מוטב, ואי לא - כבישנא</w:t>
      </w:r>
      <w:r w:rsidRPr="0004348D">
        <w:rPr>
          <w:rFonts w:ascii="Calibri" w:eastAsia="Calibri" w:hAnsi="Calibri" w:cs="Arial"/>
          <w:vertAlign w:val="superscript"/>
          <w:rtl/>
        </w:rPr>
        <w:footnoteReference w:id="5645"/>
      </w:r>
      <w:r w:rsidRPr="0004348D">
        <w:rPr>
          <w:rFonts w:ascii="Calibri" w:eastAsia="Calibri" w:hAnsi="Calibri" w:cs="Arial"/>
          <w:rtl/>
        </w:rPr>
        <w:t xml:space="preserve"> לה לשטר משכנתא, ואמינא: לקוחה היא בידי</w:t>
      </w:r>
      <w:r w:rsidRPr="0004348D">
        <w:rPr>
          <w:rFonts w:ascii="Calibri" w:eastAsia="Calibri" w:hAnsi="Calibri" w:cs="Arial"/>
          <w:vertAlign w:val="superscript"/>
          <w:rtl/>
        </w:rPr>
        <w:footnoteReference w:id="5646"/>
      </w:r>
      <w:r w:rsidRPr="0004348D">
        <w:rPr>
          <w:rFonts w:ascii="Calibri" w:eastAsia="Calibri" w:hAnsi="Calibri" w:cs="Arial"/>
          <w:rtl/>
        </w:rPr>
        <w:t>. אזל</w:t>
      </w:r>
      <w:r w:rsidRPr="0004348D">
        <w:rPr>
          <w:rFonts w:ascii="Calibri" w:eastAsia="Calibri" w:hAnsi="Calibri" w:cs="Arial"/>
          <w:vertAlign w:val="superscript"/>
          <w:rtl/>
        </w:rPr>
        <w:footnoteReference w:id="5647"/>
      </w:r>
      <w:r w:rsidRPr="0004348D">
        <w:rPr>
          <w:rFonts w:ascii="Calibri" w:eastAsia="Calibri" w:hAnsi="Calibri" w:cs="Arial"/>
          <w:rtl/>
        </w:rPr>
        <w:t>, קם אקנייה</w:t>
      </w:r>
      <w:r w:rsidRPr="0004348D">
        <w:rPr>
          <w:rFonts w:ascii="Calibri" w:eastAsia="Calibri" w:hAnsi="Calibri" w:cs="Arial"/>
          <w:vertAlign w:val="superscript"/>
          <w:rtl/>
        </w:rPr>
        <w:footnoteReference w:id="5648"/>
      </w:r>
      <w:r w:rsidRPr="0004348D">
        <w:rPr>
          <w:rFonts w:ascii="Calibri" w:eastAsia="Calibri" w:hAnsi="Calibri" w:cs="Arial"/>
          <w:rtl/>
        </w:rPr>
        <w:t xml:space="preserve"> לבנו קטן</w:t>
      </w:r>
      <w:r w:rsidRPr="0004348D">
        <w:rPr>
          <w:rFonts w:ascii="Calibri" w:eastAsia="Calibri" w:hAnsi="Calibri" w:cs="Arial"/>
          <w:vertAlign w:val="superscript"/>
          <w:rtl/>
        </w:rPr>
        <w:footnoteReference w:id="5649"/>
      </w:r>
      <w:r w:rsidRPr="0004348D">
        <w:rPr>
          <w:rFonts w:ascii="Calibri" w:eastAsia="Calibri" w:hAnsi="Calibri" w:cs="Arial"/>
          <w:rtl/>
        </w:rPr>
        <w:t>, והדר זבנה ניהליה. זביני - ודאי לא הוי זביני. זוזי</w:t>
      </w:r>
      <w:r w:rsidRPr="0004348D">
        <w:rPr>
          <w:rFonts w:ascii="Calibri" w:eastAsia="Calibri" w:hAnsi="Calibri" w:cs="Arial"/>
          <w:vertAlign w:val="superscript"/>
          <w:rtl/>
        </w:rPr>
        <w:footnoteReference w:id="5650"/>
      </w:r>
      <w:r w:rsidRPr="0004348D">
        <w:rPr>
          <w:rFonts w:ascii="Calibri" w:eastAsia="Calibri" w:hAnsi="Calibri" w:cs="Arial"/>
          <w:rtl/>
        </w:rPr>
        <w:t>, כמלוה בשטר דמו</w:t>
      </w:r>
      <w:r w:rsidRPr="0004348D">
        <w:rPr>
          <w:rFonts w:ascii="Calibri" w:eastAsia="Calibri" w:hAnsi="Calibri" w:cs="Arial"/>
          <w:vertAlign w:val="superscript"/>
          <w:rtl/>
        </w:rPr>
        <w:footnoteReference w:id="5651"/>
      </w:r>
      <w:r w:rsidRPr="0004348D">
        <w:rPr>
          <w:rFonts w:ascii="Calibri" w:eastAsia="Calibri" w:hAnsi="Calibri" w:cs="Arial"/>
          <w:rtl/>
        </w:rPr>
        <w:t xml:space="preserve"> וגובה מנכסים משועבדים, או דילמא כמלוה על פה דמו ואינו גובה מנכסים משועבדים? </w:t>
      </w:r>
      <w:r w:rsidRPr="0004348D">
        <w:rPr>
          <w:rFonts w:ascii="Calibri" w:eastAsia="Calibri" w:hAnsi="Calibri" w:cs="Arial"/>
          <w:u w:val="single"/>
          <w:rtl/>
        </w:rPr>
        <w:t>אמר אביי</w:t>
      </w:r>
      <w:r w:rsidRPr="0004348D">
        <w:rPr>
          <w:rFonts w:ascii="Calibri" w:eastAsia="Calibri" w:hAnsi="Calibri" w:cs="Arial"/>
          <w:rtl/>
        </w:rPr>
        <w:t xml:space="preserve">: ולאו היינו דרבי אסי? דאמר רבי אסי: </w:t>
      </w:r>
      <w:r w:rsidRPr="0004348D">
        <w:rPr>
          <w:rFonts w:ascii="Calibri" w:eastAsia="Calibri" w:hAnsi="Calibri" w:cs="Arial"/>
          <w:sz w:val="14"/>
          <w:szCs w:val="14"/>
          <w:rtl/>
        </w:rPr>
        <w:t xml:space="preserve">(עב:) </w:t>
      </w:r>
      <w:r w:rsidRPr="0004348D">
        <w:rPr>
          <w:rFonts w:ascii="Calibri" w:eastAsia="Calibri" w:hAnsi="Calibri" w:cs="Arial"/>
          <w:rtl/>
        </w:rPr>
        <w:t>מודה בשטר שכתבו</w:t>
      </w:r>
      <w:r w:rsidRPr="0004348D">
        <w:rPr>
          <w:rFonts w:ascii="Calibri" w:eastAsia="Calibri" w:hAnsi="Calibri" w:cs="Arial"/>
          <w:vertAlign w:val="superscript"/>
          <w:rtl/>
        </w:rPr>
        <w:footnoteReference w:id="5652"/>
      </w:r>
      <w:r w:rsidRPr="0004348D">
        <w:rPr>
          <w:rFonts w:ascii="Calibri" w:eastAsia="Calibri" w:hAnsi="Calibri" w:cs="Arial"/>
          <w:rtl/>
        </w:rPr>
        <w:t xml:space="preserve"> - אינו צריך לקיימו, וגובה מנכסים משועבדים. </w:t>
      </w:r>
      <w:r w:rsidRPr="0004348D">
        <w:rPr>
          <w:rFonts w:ascii="Calibri" w:eastAsia="Calibri" w:hAnsi="Calibri" w:cs="Arial"/>
          <w:u w:val="single"/>
          <w:rtl/>
        </w:rPr>
        <w:t>אמר ליה רבא</w:t>
      </w:r>
      <w:r w:rsidRPr="0004348D">
        <w:rPr>
          <w:rFonts w:ascii="Calibri" w:eastAsia="Calibri" w:hAnsi="Calibri" w:cs="Arial"/>
          <w:rtl/>
        </w:rPr>
        <w:t>: מי דמי? התם - ניתן להכתב, הכא - לא ניתן להכתב</w:t>
      </w:r>
      <w:r w:rsidRPr="0004348D">
        <w:rPr>
          <w:rFonts w:ascii="Calibri" w:eastAsia="Calibri" w:hAnsi="Calibri" w:cs="Arial"/>
          <w:vertAlign w:val="superscript"/>
          <w:rtl/>
        </w:rPr>
        <w:footnoteReference w:id="5653"/>
      </w:r>
      <w:r w:rsidRPr="0004348D">
        <w:rPr>
          <w:rFonts w:ascii="Calibri" w:eastAsia="Calibri" w:hAnsi="Calibri" w:cs="Arial"/>
          <w:rtl/>
        </w:rPr>
        <w:t>.</w:t>
      </w:r>
      <w:r w:rsidRPr="0004348D">
        <w:rPr>
          <w:rFonts w:ascii="Calibri" w:eastAsia="Calibri" w:hAnsi="Calibri" w:cs="Arial"/>
          <w:sz w:val="16"/>
          <w:szCs w:val="16"/>
          <w:rtl/>
        </w:rPr>
        <w:t xml:space="preserve"> (ומכיון דשטר שלא ניתן ליכתב הוא - אינו גובה בו ממשועבדים. כך מסקנת הגמרא וכ"פ הטור. </w:t>
      </w:r>
      <w:r w:rsidRPr="0004348D">
        <w:rPr>
          <w:rFonts w:ascii="Calibri" w:eastAsia="Calibri" w:hAnsi="Calibri" w:cs="Arial"/>
          <w:color w:val="E36C0A" w:themeColor="accent6" w:themeShade="BF"/>
          <w:sz w:val="16"/>
          <w:szCs w:val="16"/>
          <w:rtl/>
        </w:rPr>
        <w:t>וכ"פ בשו"ע</w:t>
      </w:r>
      <w:r w:rsidRPr="0004348D">
        <w:rPr>
          <w:rFonts w:ascii="Calibri" w:eastAsia="Calibri" w:hAnsi="Calibri" w:cs="Arial"/>
          <w:sz w:val="16"/>
          <w:szCs w:val="16"/>
          <w:rtl/>
        </w:rPr>
        <w:t>)</w:t>
      </w:r>
    </w:p>
    <w:bookmarkEnd w:id="792"/>
    <w:p w14:paraId="34631374" w14:textId="77777777" w:rsidR="0004348D" w:rsidRPr="0004348D" w:rsidRDefault="0004348D" w:rsidP="0004348D">
      <w:pPr>
        <w:spacing w:before="360" w:after="240"/>
        <w:rPr>
          <w:rFonts w:ascii="Calibri" w:eastAsia="Calibri" w:hAnsi="Calibri" w:cs="Arial"/>
          <w:u w:val="single"/>
        </w:rPr>
      </w:pPr>
      <w:r w:rsidRPr="0004348D">
        <w:rPr>
          <w:rFonts w:ascii="Calibri" w:eastAsia="Calibri" w:hAnsi="Calibri" w:cs="Arial"/>
          <w:u w:val="single"/>
          <w:rtl/>
        </w:rPr>
        <w:t xml:space="preserve">המוכר שדהו באונס ומסר מודעה לפנ"כ </w:t>
      </w:r>
      <w:r w:rsidRPr="0004348D">
        <w:rPr>
          <w:rFonts w:ascii="Calibri" w:eastAsia="Calibri" w:hAnsi="Calibri" w:cs="Arial"/>
          <w:sz w:val="16"/>
          <w:szCs w:val="16"/>
          <w:u w:val="single"/>
          <w:rtl/>
        </w:rPr>
        <w:t>(בענין שהמכר בטל)</w:t>
      </w:r>
      <w:r w:rsidRPr="0004348D">
        <w:rPr>
          <w:rFonts w:ascii="Calibri" w:eastAsia="Calibri" w:hAnsi="Calibri" w:cs="Arial"/>
          <w:u w:val="single"/>
          <w:rtl/>
        </w:rPr>
        <w:t xml:space="preserve"> – מה דין המעות שביד המוכר, ומה דין השטר שביד האנס:</w:t>
      </w:r>
    </w:p>
    <w:p w14:paraId="57EE2A19" w14:textId="77777777" w:rsidR="0004348D" w:rsidRPr="0004348D" w:rsidRDefault="0004348D" w:rsidP="00992A87">
      <w:pPr>
        <w:numPr>
          <w:ilvl w:val="0"/>
          <w:numId w:val="363"/>
        </w:numPr>
        <w:spacing w:before="360" w:after="240"/>
        <w:contextualSpacing/>
        <w:rPr>
          <w:rFonts w:ascii="Calibri" w:eastAsia="Calibri" w:hAnsi="Calibri" w:cs="Arial"/>
        </w:rPr>
      </w:pPr>
      <w:bookmarkStart w:id="793" w:name="_Hlk17281137"/>
      <w:r w:rsidRPr="0004348D">
        <w:rPr>
          <w:rFonts w:ascii="Calibri" w:eastAsia="Calibri" w:hAnsi="Calibri" w:cs="Arial"/>
          <w:rtl/>
        </w:rPr>
        <w:t>טור- מי שמכר שדהו באונס ומסר מודעה קודם לכן בענין שהמכר בטל - המעות של האנס שביד המוכר יש להן דין מלוה ע"פ. ואינו טורף ממשעבדי בכח שטר שבידו, שאין לו דין שטר, שלא נכתב כדין. וגם נאמן לומר 'פרעתי'</w:t>
      </w:r>
      <w:r w:rsidRPr="0004348D">
        <w:rPr>
          <w:rFonts w:ascii="Calibri" w:eastAsia="Calibri" w:hAnsi="Calibri" w:cs="Arial"/>
          <w:vertAlign w:val="superscript"/>
          <w:rtl/>
        </w:rPr>
        <w:footnoteReference w:id="5654"/>
      </w:r>
      <w:r w:rsidRPr="0004348D">
        <w:rPr>
          <w:rFonts w:ascii="Calibri" w:eastAsia="Calibri" w:hAnsi="Calibri" w:cs="Arial"/>
          <w:rtl/>
        </w:rPr>
        <w:t xml:space="preserve">. </w:t>
      </w:r>
      <w:r w:rsidRPr="0004348D">
        <w:rPr>
          <w:rFonts w:ascii="Calibri" w:eastAsia="Calibri" w:hAnsi="Calibri" w:cs="Arial"/>
          <w:color w:val="E36C0A" w:themeColor="accent6" w:themeShade="BF"/>
          <w:rtl/>
        </w:rPr>
        <w:t>(וכ"פ בשו"ע)</w:t>
      </w:r>
    </w:p>
    <w:bookmarkEnd w:id="793"/>
    <w:p w14:paraId="66D1DC91" w14:textId="77777777" w:rsidR="0004348D" w:rsidRPr="0004348D" w:rsidRDefault="0004348D" w:rsidP="0004348D">
      <w:pPr>
        <w:spacing w:before="360" w:after="240"/>
        <w:rPr>
          <w:rFonts w:ascii="Calibri" w:eastAsia="Calibri" w:hAnsi="Calibri" w:cs="Arial"/>
          <w:u w:val="single"/>
        </w:rPr>
      </w:pPr>
      <w:r w:rsidRPr="0004348D">
        <w:rPr>
          <w:rFonts w:ascii="Calibri" w:eastAsia="Calibri" w:hAnsi="Calibri" w:cs="Arial"/>
          <w:u w:val="single"/>
          <w:rtl/>
        </w:rPr>
        <w:t xml:space="preserve">מקח שנגמר על תנאי – האם מקרי מקח או הלואה: </w:t>
      </w:r>
    </w:p>
    <w:p w14:paraId="1C079E90" w14:textId="77777777" w:rsidR="0004348D" w:rsidRPr="0004348D" w:rsidRDefault="0004348D" w:rsidP="0004348D">
      <w:pPr>
        <w:numPr>
          <w:ilvl w:val="0"/>
          <w:numId w:val="356"/>
        </w:numPr>
        <w:spacing w:before="360" w:after="240"/>
        <w:contextualSpacing/>
        <w:rPr>
          <w:rFonts w:ascii="Calibri" w:eastAsia="Calibri" w:hAnsi="Calibri" w:cs="Arial"/>
        </w:rPr>
      </w:pPr>
      <w:r w:rsidRPr="0004348D">
        <w:rPr>
          <w:rFonts w:ascii="Calibri" w:eastAsia="Calibri" w:hAnsi="Calibri" w:cs="Arial"/>
          <w:rtl/>
        </w:rPr>
        <w:t>רשב"א</w:t>
      </w:r>
      <w:r w:rsidRPr="0004348D">
        <w:rPr>
          <w:rFonts w:ascii="Calibri" w:eastAsia="Calibri" w:hAnsi="Calibri" w:cs="Arial"/>
          <w:sz w:val="16"/>
          <w:szCs w:val="16"/>
          <w:rtl/>
        </w:rPr>
        <w:t xml:space="preserve"> (ח"ב סי' קפח)</w:t>
      </w:r>
      <w:r w:rsidRPr="0004348D">
        <w:rPr>
          <w:rFonts w:ascii="Calibri" w:eastAsia="Calibri" w:hAnsi="Calibri" w:cs="Arial"/>
          <w:rtl/>
        </w:rPr>
        <w:t xml:space="preserve">- שאלת, אחד שמכר קרקע לחבירו במנה, וכתב לו שטר מכירה ומסרו בידו אבל לא החזיק בקרקע. והקונה עשה שטר הודאה בעדים למוכר שכל זמן שיפרענו שהוא חייב להחזיר אותו שטר מכירה ושאותה מכירה אינה כלום ובטלה היא למפרע. ולקץ ימים בקש הקונה לירד בתוך הקרקע, והוציא עליו המוכר שטר ההודאה, וטוען שכבר פרעו ותובע ממנו שטר מכירה שהניח בידו על אמונתו. תשובה, הרי זה כאותה ששנינו </w:t>
      </w:r>
      <w:r w:rsidRPr="0004348D">
        <w:rPr>
          <w:rFonts w:ascii="Calibri" w:eastAsia="Calibri" w:hAnsi="Calibri" w:cs="Arial"/>
          <w:sz w:val="16"/>
          <w:szCs w:val="16"/>
          <w:rtl/>
        </w:rPr>
        <w:t xml:space="preserve">(שם סה:) </w:t>
      </w:r>
      <w:r w:rsidRPr="0004348D">
        <w:rPr>
          <w:rFonts w:ascii="Calibri" w:eastAsia="Calibri" w:hAnsi="Calibri" w:cs="Arial"/>
          <w:rtl/>
        </w:rPr>
        <w:t>מכר לו בית מכר לו שדה ואמר ליה לכשיהיו לי מעות תחזירם לי, כלומר שהתנו כך בשעת המקח, ועל מנת כן נגמר, והילכך נמצא שאין המקח מקח, אלא הלוואה היא זו, ופירות הקרקע - שכר מעותיו הוא</w:t>
      </w:r>
      <w:r w:rsidRPr="0004348D">
        <w:rPr>
          <w:rFonts w:ascii="Calibri" w:eastAsia="Calibri" w:hAnsi="Calibri" w:cs="Arial"/>
          <w:vertAlign w:val="superscript"/>
          <w:rtl/>
        </w:rPr>
        <w:footnoteReference w:id="5655"/>
      </w:r>
      <w:r w:rsidRPr="0004348D">
        <w:rPr>
          <w:rFonts w:ascii="Calibri" w:eastAsia="Calibri" w:hAnsi="Calibri" w:cs="Arial"/>
          <w:rtl/>
        </w:rPr>
        <w:t xml:space="preserve">, וכעובדא דאת ונוולא אחי </w:t>
      </w:r>
      <w:r w:rsidRPr="0004348D">
        <w:rPr>
          <w:rFonts w:ascii="Calibri" w:eastAsia="Calibri" w:hAnsi="Calibri" w:cs="Arial"/>
          <w:sz w:val="16"/>
          <w:szCs w:val="16"/>
          <w:rtl/>
        </w:rPr>
        <w:t>(שם סז.)</w:t>
      </w:r>
      <w:r w:rsidRPr="0004348D">
        <w:rPr>
          <w:rFonts w:ascii="Calibri" w:eastAsia="Calibri" w:hAnsi="Calibri" w:cs="Arial"/>
          <w:rtl/>
        </w:rPr>
        <w:t>, אלמא המקח אינו מקח ואינו אלא כמשכנתא בעלמא. והילכך הכא נמי איכא למימר דלגבי מעות נמי גריע ממשכנתא, דמשכנתא אי אמר 'פרעתי' אמר ליה 'שטרך בידי מאי בעי', אבל הכא כיון דשטר מקח ליכא כדאמרינן, ושטר חוב נמי ליכא - הוי ליה כמלוה על פה ונאמן לומר פרעתי ובשבועת היסת. ואם תאמר, מכל מקום כיון שנזכר בשטר זה שקבל ממנו כך וכך מעות הוי ליה כמלוה בשטר - לא היא, דהכא האי שטרא לא ניתן ליכתב כלל</w:t>
      </w:r>
      <w:r w:rsidRPr="0004348D">
        <w:rPr>
          <w:rFonts w:ascii="Calibri" w:eastAsia="Calibri" w:hAnsi="Calibri" w:cs="Arial"/>
          <w:vertAlign w:val="superscript"/>
          <w:rtl/>
        </w:rPr>
        <w:footnoteReference w:id="5656"/>
      </w:r>
      <w:r w:rsidRPr="0004348D">
        <w:rPr>
          <w:rFonts w:ascii="Calibri" w:eastAsia="Calibri" w:hAnsi="Calibri" w:cs="Arial"/>
          <w:rtl/>
        </w:rPr>
        <w:t xml:space="preserve">, וכיון שכן מלוה על פה הוא וכדאמרינן בפרק איזהו נשך גבי ההוא דמשכן פרדסא לחבריה. </w:t>
      </w:r>
      <w:r w:rsidRPr="0004348D">
        <w:rPr>
          <w:rFonts w:ascii="Calibri" w:eastAsia="Calibri" w:hAnsi="Calibri" w:cs="Arial"/>
          <w:color w:val="E36C0A" w:themeColor="accent6" w:themeShade="BF"/>
          <w:rtl/>
        </w:rPr>
        <w:t>(וכ"פ בשו"ע)</w:t>
      </w:r>
    </w:p>
    <w:p w14:paraId="6B5AC5C3" w14:textId="77777777" w:rsidR="0004348D" w:rsidRPr="0004348D" w:rsidRDefault="0004348D" w:rsidP="0004348D">
      <w:pPr>
        <w:spacing w:before="360" w:after="240"/>
        <w:rPr>
          <w:rFonts w:ascii="Arial" w:eastAsia="Calibri" w:hAnsi="Arial" w:cs="Arial"/>
          <w:b/>
          <w:bCs/>
          <w:color w:val="000000"/>
          <w:sz w:val="28"/>
          <w:szCs w:val="28"/>
          <w:u w:val="single"/>
          <w:rtl/>
        </w:rPr>
      </w:pPr>
      <w:r w:rsidRPr="0004348D">
        <w:rPr>
          <w:rFonts w:ascii="Arial" w:eastAsia="Calibri" w:hAnsi="Arial" w:cs="Arial"/>
          <w:b/>
          <w:bCs/>
          <w:color w:val="000000"/>
          <w:sz w:val="28"/>
          <w:szCs w:val="28"/>
          <w:u w:val="single"/>
          <w:rtl/>
        </w:rPr>
        <w:t>שו"ע:</w:t>
      </w:r>
    </w:p>
    <w:p w14:paraId="1461C6AC" w14:textId="77777777" w:rsidR="0004348D" w:rsidRPr="0004348D" w:rsidRDefault="0004348D" w:rsidP="0004348D">
      <w:pPr>
        <w:spacing w:before="360" w:after="240"/>
        <w:rPr>
          <w:rFonts w:ascii="Calibri" w:eastAsia="Calibri" w:hAnsi="Calibri" w:cs="Arial"/>
          <w:rtl/>
        </w:rPr>
      </w:pPr>
      <w:r w:rsidRPr="0004348D">
        <w:rPr>
          <w:rFonts w:ascii="Calibri" w:eastAsia="Calibri" w:hAnsi="Calibri" w:cs="Arial"/>
          <w:rtl/>
        </w:rPr>
        <w:t>מי שנמחק שטרו, וכתבו לו בית דין שטר אחר, דינו כמלוה בשטר ואינו יכול לטעון 'פרעתי'. ויש מי שאומר דהוא הדין אם תבע את חבירו על פה, ונתחייב לו בדין ולא היה בידו לפרעו, וכתבו לו מעשה בית דין</w:t>
      </w:r>
      <w:r w:rsidRPr="0004348D">
        <w:rPr>
          <w:rFonts w:ascii="Calibri" w:eastAsia="Calibri" w:hAnsi="Calibri" w:cs="Arial"/>
          <w:vertAlign w:val="superscript"/>
          <w:rtl/>
        </w:rPr>
        <w:footnoteReference w:id="5657"/>
      </w:r>
      <w:r w:rsidRPr="0004348D">
        <w:rPr>
          <w:rFonts w:ascii="Calibri" w:eastAsia="Calibri" w:hAnsi="Calibri" w:cs="Arial"/>
          <w:rtl/>
        </w:rPr>
        <w:t>, אם טען אחר כך 'פרעתי', אינו נאמן וגובה מהלקוחות. מי שמכר שדהו באונס, ומסר מודעא קודם לכן בענין שהמכר בטל, המעות של האנס שביד המוכר יש להם דין מלוה על פה, ואינו טורף ממשעבדי בכח שטר שבידו, שאין לו דין שטר, שלא ניתן ליכתב. וגם נאמן לומר פרעתי. והוא הדין לכל שטר שלא ניתן ליכתב</w:t>
      </w:r>
      <w:r w:rsidRPr="0004348D">
        <w:rPr>
          <w:rFonts w:ascii="Calibri" w:eastAsia="Calibri" w:hAnsi="Calibri" w:cs="Arial"/>
          <w:vertAlign w:val="superscript"/>
          <w:rtl/>
        </w:rPr>
        <w:footnoteReference w:id="5658"/>
      </w:r>
      <w:r w:rsidRPr="0004348D">
        <w:rPr>
          <w:rFonts w:ascii="Calibri" w:eastAsia="Calibri" w:hAnsi="Calibri" w:cs="Arial"/>
          <w:rtl/>
        </w:rPr>
        <w:t>.</w:t>
      </w:r>
    </w:p>
    <w:p w14:paraId="060F7FA4" w14:textId="77777777" w:rsidR="0004348D" w:rsidRPr="0004348D" w:rsidRDefault="0004348D" w:rsidP="0004348D">
      <w:pPr>
        <w:spacing w:before="360" w:after="240"/>
        <w:rPr>
          <w:rFonts w:ascii="Calibri" w:eastAsia="Calibri" w:hAnsi="Calibri" w:cs="Arial"/>
          <w:rtl/>
        </w:rPr>
      </w:pPr>
    </w:p>
    <w:p w14:paraId="1BA0712D" w14:textId="77777777" w:rsidR="0004348D" w:rsidRPr="0004348D" w:rsidRDefault="0004348D" w:rsidP="0004348D">
      <w:pPr>
        <w:bidi w:val="0"/>
        <w:spacing w:before="360" w:after="240"/>
        <w:rPr>
          <w:rFonts w:ascii="Cambria" w:eastAsia="Times New Roman" w:hAnsi="Cambria" w:cs="Arial"/>
          <w:b/>
          <w:bCs/>
          <w:color w:val="365F91" w:themeColor="accent1" w:themeShade="BF"/>
          <w:sz w:val="28"/>
          <w:szCs w:val="28"/>
          <w:rtl/>
        </w:rPr>
        <w:sectPr w:rsidR="0004348D" w:rsidRPr="0004348D">
          <w:headerReference w:type="default" r:id="rId79"/>
          <w:footnotePr>
            <w:numRestart w:val="eachPage"/>
          </w:footnotePr>
          <w:pgSz w:w="11906" w:h="16838"/>
          <w:pgMar w:top="720" w:right="1134" w:bottom="720" w:left="1134" w:header="0" w:footer="0" w:gutter="0"/>
          <w:cols w:space="720"/>
          <w:bidi/>
          <w:rtlGutter/>
        </w:sectPr>
      </w:pPr>
    </w:p>
    <w:p w14:paraId="75228078" w14:textId="77777777" w:rsidR="0004348D" w:rsidRPr="0004348D" w:rsidRDefault="0004348D" w:rsidP="0004348D">
      <w:pPr>
        <w:keepNext/>
        <w:keepLines/>
        <w:spacing w:before="360" w:after="240"/>
        <w:outlineLvl w:val="0"/>
        <w:rPr>
          <w:rFonts w:ascii="Cambria" w:eastAsia="Times New Roman" w:hAnsi="Cambria" w:cs="Arial"/>
          <w:b/>
          <w:bCs/>
          <w:color w:val="365F91" w:themeColor="accent1" w:themeShade="BF"/>
          <w:sz w:val="28"/>
          <w:szCs w:val="28"/>
          <w:rtl/>
        </w:rPr>
      </w:pPr>
      <w:bookmarkStart w:id="794" w:name="_Toc24884193"/>
      <w:r w:rsidRPr="0004348D">
        <w:rPr>
          <w:rFonts w:ascii="Cambria" w:eastAsia="Times New Roman" w:hAnsi="Cambria" w:cs="Arial"/>
          <w:b/>
          <w:bCs/>
          <w:color w:val="365F91" w:themeColor="accent1" w:themeShade="BF"/>
          <w:sz w:val="28"/>
          <w:szCs w:val="28"/>
          <w:rtl/>
        </w:rPr>
        <w:t>סימן עא: לוה שהאמין למלוה בעל פה, למה מועיל נאמנות, ובו כ"ג סעיפים.</w:t>
      </w:r>
      <w:bookmarkEnd w:id="794"/>
      <w:r w:rsidRPr="0004348D">
        <w:rPr>
          <w:rFonts w:ascii="Cambria" w:eastAsia="Times New Roman" w:hAnsi="Cambria" w:cs="Arial"/>
          <w:b/>
          <w:bCs/>
          <w:color w:val="365F91" w:themeColor="accent1" w:themeShade="BF"/>
          <w:sz w:val="28"/>
          <w:szCs w:val="28"/>
          <w:rtl/>
        </w:rPr>
        <w:t xml:space="preserve"> </w:t>
      </w:r>
    </w:p>
    <w:p w14:paraId="47A7737B" w14:textId="77777777" w:rsidR="0004348D" w:rsidRPr="0004348D" w:rsidRDefault="0004348D" w:rsidP="0004348D">
      <w:pPr>
        <w:keepNext/>
        <w:keepLines/>
        <w:spacing w:before="360" w:after="240"/>
        <w:outlineLvl w:val="1"/>
        <w:rPr>
          <w:rFonts w:ascii="Cambria" w:eastAsia="Times New Roman" w:hAnsi="Cambria" w:cs="Arial"/>
          <w:bCs/>
          <w:color w:val="548DD4" w:themeColor="text2" w:themeTint="99"/>
          <w:sz w:val="26"/>
          <w:szCs w:val="26"/>
          <w:rtl/>
        </w:rPr>
      </w:pPr>
      <w:bookmarkStart w:id="795" w:name="_Toc24884194"/>
      <w:r w:rsidRPr="0004348D">
        <w:rPr>
          <w:rFonts w:ascii="Cambria" w:eastAsia="Times New Roman" w:hAnsi="Cambria" w:cs="Arial"/>
          <w:bCs/>
          <w:color w:val="548DD4" w:themeColor="text2" w:themeTint="99"/>
          <w:sz w:val="26"/>
          <w:szCs w:val="26"/>
          <w:rtl/>
        </w:rPr>
        <w:t>סעיף א: לוה שהאמין למלוה לומר שלא נפרע.</w:t>
      </w:r>
      <w:bookmarkEnd w:id="795"/>
    </w:p>
    <w:p w14:paraId="7E060122" w14:textId="77777777" w:rsidR="0004348D" w:rsidRPr="0004348D" w:rsidRDefault="0004348D" w:rsidP="0004348D">
      <w:pPr>
        <w:spacing w:before="360" w:after="240"/>
        <w:rPr>
          <w:rFonts w:ascii="Calibri" w:eastAsia="Calibri" w:hAnsi="Calibri" w:cs="Arial"/>
          <w:rtl/>
        </w:rPr>
      </w:pPr>
      <w:r w:rsidRPr="0004348D">
        <w:rPr>
          <w:rFonts w:ascii="Calibri" w:eastAsia="Calibri" w:hAnsi="Calibri" w:cs="Arial"/>
          <w:b/>
          <w:bCs/>
          <w:rtl/>
        </w:rPr>
        <w:t xml:space="preserve">שבועות </w:t>
      </w:r>
      <w:r w:rsidRPr="0004348D">
        <w:rPr>
          <w:rFonts w:ascii="Calibri" w:eastAsia="Calibri" w:hAnsi="Calibri" w:cs="Arial"/>
          <w:b/>
          <w:bCs/>
          <w:sz w:val="16"/>
          <w:szCs w:val="16"/>
          <w:rtl/>
        </w:rPr>
        <w:t xml:space="preserve">(פרק שבועת הדיינים) </w:t>
      </w:r>
      <w:r w:rsidRPr="0004348D">
        <w:rPr>
          <w:rFonts w:ascii="Calibri" w:eastAsia="Calibri" w:hAnsi="Calibri" w:cs="Arial"/>
          <w:b/>
          <w:bCs/>
          <w:rtl/>
        </w:rPr>
        <w:t>מב</w:t>
      </w:r>
      <w:r w:rsidRPr="0004348D">
        <w:rPr>
          <w:rFonts w:ascii="Calibri" w:eastAsia="Calibri" w:hAnsi="Calibri" w:cs="Arial"/>
          <w:b/>
          <w:bCs/>
          <w:vertAlign w:val="superscript"/>
          <w:rtl/>
        </w:rPr>
        <w:footnoteReference w:id="5659"/>
      </w:r>
      <w:r w:rsidRPr="0004348D">
        <w:rPr>
          <w:rFonts w:ascii="Calibri" w:eastAsia="Calibri" w:hAnsi="Calibri" w:cs="Arial"/>
          <w:b/>
          <w:bCs/>
          <w:rtl/>
        </w:rPr>
        <w:t xml:space="preserve"> ע"א:</w:t>
      </w:r>
      <w:r w:rsidRPr="0004348D">
        <w:rPr>
          <w:rFonts w:ascii="Calibri" w:eastAsia="Calibri" w:hAnsi="Calibri" w:cs="Arial"/>
          <w:rtl/>
        </w:rPr>
        <w:t xml:space="preserve"> ההוא דאמר ליה לחבריה: מהימנת לי כל אימת דאמרת לי לא פרענא. אזל פרעיה באפי סהדי. </w:t>
      </w:r>
      <w:r w:rsidRPr="0004348D">
        <w:rPr>
          <w:rFonts w:ascii="Calibri" w:eastAsia="Calibri" w:hAnsi="Calibri" w:cs="Arial"/>
          <w:u w:val="single"/>
          <w:rtl/>
        </w:rPr>
        <w:t>אביי ורבא דאמרי תרוייהו</w:t>
      </w:r>
      <w:r w:rsidRPr="0004348D">
        <w:rPr>
          <w:rFonts w:ascii="Calibri" w:eastAsia="Calibri" w:hAnsi="Calibri" w:cs="Arial"/>
          <w:rtl/>
        </w:rPr>
        <w:t xml:space="preserve">: הא הימניה. </w:t>
      </w:r>
      <w:r w:rsidRPr="0004348D">
        <w:rPr>
          <w:rFonts w:ascii="Calibri" w:eastAsia="Calibri" w:hAnsi="Calibri" w:cs="Arial"/>
          <w:u w:val="single"/>
          <w:rtl/>
        </w:rPr>
        <w:t>מתקיף לה רב פפא</w:t>
      </w:r>
      <w:r w:rsidRPr="0004348D">
        <w:rPr>
          <w:rFonts w:ascii="Calibri" w:eastAsia="Calibri" w:hAnsi="Calibri" w:cs="Arial"/>
          <w:rtl/>
        </w:rPr>
        <w:t xml:space="preserve">: נהי דהימניה טפי מנפשיה, טפי מסהדי מי הימניה! </w:t>
      </w:r>
      <w:r w:rsidRPr="0004348D">
        <w:rPr>
          <w:rFonts w:ascii="Calibri" w:eastAsia="Calibri" w:hAnsi="Calibri" w:cs="Arial"/>
          <w:u w:val="single"/>
          <w:rtl/>
        </w:rPr>
        <w:t>ההוא דא"ל לחבריה</w:t>
      </w:r>
      <w:r w:rsidRPr="0004348D">
        <w:rPr>
          <w:rFonts w:ascii="Calibri" w:eastAsia="Calibri" w:hAnsi="Calibri" w:cs="Arial"/>
          <w:rtl/>
        </w:rPr>
        <w:t xml:space="preserve">: מהימנת לי כבי תרי כל אימת דאמרת לא פרענא. אזל פרעיה באפי תלתא. </w:t>
      </w:r>
      <w:r w:rsidRPr="0004348D">
        <w:rPr>
          <w:rFonts w:ascii="Calibri" w:eastAsia="Calibri" w:hAnsi="Calibri" w:cs="Arial"/>
          <w:u w:val="single"/>
          <w:rtl/>
        </w:rPr>
        <w:t>אמר רב פפא</w:t>
      </w:r>
      <w:r w:rsidRPr="0004348D">
        <w:rPr>
          <w:rFonts w:ascii="Calibri" w:eastAsia="Calibri" w:hAnsi="Calibri" w:cs="Arial"/>
          <w:rtl/>
        </w:rPr>
        <w:t xml:space="preserve">: כבי תרי הימניה, כבי תלתא לא הימניה. </w:t>
      </w:r>
      <w:r w:rsidRPr="0004348D">
        <w:rPr>
          <w:rFonts w:ascii="Calibri" w:eastAsia="Calibri" w:hAnsi="Calibri" w:cs="Arial"/>
          <w:u w:val="single"/>
          <w:rtl/>
        </w:rPr>
        <w:t>א"ל רב הונא בריה דרב יהושע לרב פפא</w:t>
      </w:r>
      <w:r w:rsidRPr="0004348D">
        <w:rPr>
          <w:rFonts w:ascii="Calibri" w:eastAsia="Calibri" w:hAnsi="Calibri" w:cs="Arial"/>
          <w:rtl/>
        </w:rPr>
        <w:t xml:space="preserve">: אימור דאמרי רבנן דאזלינן בתר רוב דעות - ה"מ לענין אומדנא, דכמה דנפישי בקיאי טפי, אבל לענין עדות - מאה כתרי ותרי כמאה. </w:t>
      </w:r>
      <w:r w:rsidRPr="0004348D">
        <w:rPr>
          <w:rFonts w:ascii="Calibri" w:eastAsia="Calibri" w:hAnsi="Calibri" w:cs="Arial"/>
          <w:u w:val="dotted"/>
          <w:rtl/>
        </w:rPr>
        <w:t>לישנא אחרינא</w:t>
      </w:r>
      <w:r w:rsidRPr="0004348D">
        <w:rPr>
          <w:rFonts w:ascii="Calibri" w:eastAsia="Calibri" w:hAnsi="Calibri" w:cs="Arial"/>
          <w:rtl/>
        </w:rPr>
        <w:t xml:space="preserve">, ההוא דא"ל לחבריה: מהימנת לי כבי תרי כל אימת דאמרת לא פרענא. אזל ופרעיה באפי תלתא. </w:t>
      </w:r>
      <w:r w:rsidRPr="0004348D">
        <w:rPr>
          <w:rFonts w:ascii="Calibri" w:eastAsia="Calibri" w:hAnsi="Calibri" w:cs="Arial"/>
          <w:u w:val="single"/>
          <w:rtl/>
        </w:rPr>
        <w:t>אמר רב פפא</w:t>
      </w:r>
      <w:r w:rsidRPr="0004348D">
        <w:rPr>
          <w:rFonts w:ascii="Calibri" w:eastAsia="Calibri" w:hAnsi="Calibri" w:cs="Arial"/>
          <w:rtl/>
        </w:rPr>
        <w:t xml:space="preserve">: כבי תרי הימניה, כבי תלתא לא הימניה. </w:t>
      </w:r>
      <w:r w:rsidRPr="0004348D">
        <w:rPr>
          <w:rFonts w:ascii="Calibri" w:eastAsia="Calibri" w:hAnsi="Calibri" w:cs="Arial"/>
          <w:u w:val="single"/>
          <w:rtl/>
        </w:rPr>
        <w:t>מתקיף לה רב הונא בריה דרב יהושע</w:t>
      </w:r>
      <w:r w:rsidRPr="0004348D">
        <w:rPr>
          <w:rFonts w:ascii="Calibri" w:eastAsia="Calibri" w:hAnsi="Calibri" w:cs="Arial"/>
          <w:rtl/>
        </w:rPr>
        <w:t>: תרי כמאה ומאה כתרי! ואי א"ל כבי תלתא, ואזל פרעיה באפי בי ארבעה, כיון דנחית לדעות</w:t>
      </w:r>
      <w:r w:rsidRPr="0004348D">
        <w:rPr>
          <w:rFonts w:ascii="Calibri" w:eastAsia="Calibri" w:hAnsi="Calibri" w:cs="Arial"/>
          <w:vertAlign w:val="superscript"/>
          <w:rtl/>
        </w:rPr>
        <w:footnoteReference w:id="5660"/>
      </w:r>
      <w:r w:rsidRPr="0004348D">
        <w:rPr>
          <w:rFonts w:ascii="Calibri" w:eastAsia="Calibri" w:hAnsi="Calibri" w:cs="Arial"/>
          <w:rtl/>
        </w:rPr>
        <w:t xml:space="preserve"> - נחית לדעות.</w:t>
      </w:r>
    </w:p>
    <w:p w14:paraId="4766722F" w14:textId="77777777" w:rsidR="0004348D" w:rsidRPr="0004348D" w:rsidRDefault="0004348D" w:rsidP="0004348D">
      <w:pPr>
        <w:spacing w:before="360" w:after="240"/>
        <w:rPr>
          <w:rFonts w:ascii="Calibri" w:eastAsia="Calibri" w:hAnsi="Calibri" w:cs="Arial"/>
          <w:u w:val="single"/>
          <w:rtl/>
        </w:rPr>
      </w:pPr>
      <w:r w:rsidRPr="0004348D">
        <w:rPr>
          <w:rFonts w:ascii="Calibri" w:eastAsia="Calibri" w:hAnsi="Calibri" w:cs="Arial"/>
          <w:u w:val="single"/>
          <w:rtl/>
        </w:rPr>
        <w:t>לוה שהאמין למלוה שיהא נאמן לומר שלא נפרע:</w:t>
      </w:r>
    </w:p>
    <w:p w14:paraId="4037403A" w14:textId="77777777" w:rsidR="0004348D" w:rsidRPr="0004348D" w:rsidRDefault="0004348D" w:rsidP="00992A87">
      <w:pPr>
        <w:numPr>
          <w:ilvl w:val="0"/>
          <w:numId w:val="363"/>
        </w:numPr>
        <w:spacing w:before="360" w:after="240"/>
        <w:contextualSpacing/>
        <w:rPr>
          <w:rFonts w:ascii="Calibri" w:eastAsia="Calibri" w:hAnsi="Calibri" w:cs="Arial"/>
          <w:rtl/>
        </w:rPr>
      </w:pPr>
      <w:r w:rsidRPr="0004348D">
        <w:rPr>
          <w:rFonts w:ascii="Calibri" w:eastAsia="Calibri" w:hAnsi="Calibri" w:cs="Arial"/>
          <w:rtl/>
        </w:rPr>
        <w:t xml:space="preserve">רמב"ם </w:t>
      </w:r>
      <w:r w:rsidRPr="0004348D">
        <w:rPr>
          <w:rFonts w:ascii="Calibri" w:eastAsia="Calibri" w:hAnsi="Calibri" w:cs="Arial"/>
          <w:sz w:val="16"/>
          <w:szCs w:val="16"/>
          <w:rtl/>
        </w:rPr>
        <w:t xml:space="preserve">(פט"ו ממלוה ה"ג) </w:t>
      </w:r>
      <w:r w:rsidRPr="0004348D">
        <w:rPr>
          <w:rFonts w:ascii="Calibri" w:eastAsia="Calibri" w:hAnsi="Calibri" w:cs="Arial"/>
          <w:rtl/>
        </w:rPr>
        <w:t xml:space="preserve">בעל התרומות </w:t>
      </w:r>
      <w:r w:rsidRPr="0004348D">
        <w:rPr>
          <w:rFonts w:ascii="Calibri" w:eastAsia="Calibri" w:hAnsi="Calibri" w:cs="Arial"/>
          <w:sz w:val="16"/>
          <w:szCs w:val="16"/>
          <w:rtl/>
        </w:rPr>
        <w:t xml:space="preserve">(שער כו ח"א סי' ד) </w:t>
      </w:r>
      <w:r w:rsidRPr="0004348D">
        <w:rPr>
          <w:rFonts w:ascii="Calibri" w:eastAsia="Calibri" w:hAnsi="Calibri" w:cs="Arial"/>
          <w:rtl/>
        </w:rPr>
        <w:t>בשם הרמב"ן</w:t>
      </w:r>
      <w:r w:rsidRPr="0004348D">
        <w:rPr>
          <w:rFonts w:ascii="Calibri" w:eastAsia="Calibri" w:hAnsi="Calibri" w:cs="Arial"/>
          <w:sz w:val="16"/>
          <w:szCs w:val="16"/>
          <w:rtl/>
        </w:rPr>
        <w:t xml:space="preserve"> (שו"ת סי' לא) </w:t>
      </w:r>
      <w:r w:rsidRPr="0004348D">
        <w:rPr>
          <w:rFonts w:ascii="Calibri" w:eastAsia="Calibri" w:hAnsi="Calibri" w:cs="Arial"/>
          <w:rtl/>
        </w:rPr>
        <w:t>וטור- לוה שהאמין</w:t>
      </w:r>
      <w:r w:rsidRPr="0004348D">
        <w:rPr>
          <w:rFonts w:ascii="Calibri" w:eastAsia="Calibri" w:hAnsi="Calibri" w:cs="Arial"/>
          <w:vertAlign w:val="superscript"/>
          <w:rtl/>
        </w:rPr>
        <w:footnoteReference w:id="5661"/>
      </w:r>
      <w:r w:rsidRPr="0004348D">
        <w:rPr>
          <w:rFonts w:ascii="Calibri" w:eastAsia="Calibri" w:hAnsi="Calibri" w:cs="Arial"/>
          <w:rtl/>
        </w:rPr>
        <w:t xml:space="preserve"> למלוה שיהא נאמן לומר שלא נפרע - הרי זה נוטל בלא שבועה</w:t>
      </w:r>
      <w:r w:rsidRPr="0004348D">
        <w:rPr>
          <w:rFonts w:ascii="Calibri" w:eastAsia="Calibri" w:hAnsi="Calibri" w:cs="Arial"/>
          <w:vertAlign w:val="superscript"/>
          <w:rtl/>
        </w:rPr>
        <w:footnoteReference w:id="5662"/>
      </w:r>
      <w:r w:rsidRPr="0004348D">
        <w:rPr>
          <w:rFonts w:ascii="Calibri" w:eastAsia="Calibri" w:hAnsi="Calibri" w:cs="Arial"/>
          <w:sz w:val="16"/>
          <w:szCs w:val="16"/>
          <w:rtl/>
        </w:rPr>
        <w:t>(ל' הטור)</w:t>
      </w:r>
      <w:r w:rsidRPr="0004348D">
        <w:rPr>
          <w:rFonts w:ascii="Calibri" w:eastAsia="Calibri" w:hAnsi="Calibri" w:cs="Arial"/>
          <w:rtl/>
        </w:rPr>
        <w:t xml:space="preserve">. </w:t>
      </w:r>
      <w:r w:rsidRPr="0004348D">
        <w:rPr>
          <w:rFonts w:ascii="Calibri" w:eastAsia="Calibri" w:hAnsi="Calibri" w:cs="Arial"/>
          <w:color w:val="E36C0A" w:themeColor="accent6" w:themeShade="BF"/>
          <w:rtl/>
        </w:rPr>
        <w:t>(וכ"פ בשו"ע)</w:t>
      </w:r>
    </w:p>
    <w:p w14:paraId="22A7D208" w14:textId="77777777" w:rsidR="0004348D" w:rsidRPr="0004348D" w:rsidRDefault="0004348D" w:rsidP="0004348D">
      <w:pPr>
        <w:spacing w:before="360" w:after="240"/>
        <w:ind w:left="360"/>
        <w:rPr>
          <w:rFonts w:ascii="Calibri" w:eastAsia="Calibri" w:hAnsi="Calibri" w:cs="Arial"/>
          <w:u w:val="dotted"/>
        </w:rPr>
      </w:pPr>
      <w:bookmarkStart w:id="796" w:name="_Hlk17283546"/>
      <w:r w:rsidRPr="0004348D">
        <w:rPr>
          <w:rFonts w:ascii="Calibri" w:eastAsia="Calibri" w:hAnsi="Calibri" w:cs="Arial"/>
          <w:u w:val="dotted"/>
          <w:rtl/>
        </w:rPr>
        <w:t>האם אפשר להשביע את המלוה ע"י גלגול:</w:t>
      </w:r>
    </w:p>
    <w:p w14:paraId="1B313208" w14:textId="77777777" w:rsidR="0004348D" w:rsidRPr="0004348D" w:rsidRDefault="0004348D" w:rsidP="00992A87">
      <w:pPr>
        <w:numPr>
          <w:ilvl w:val="0"/>
          <w:numId w:val="363"/>
        </w:numPr>
        <w:spacing w:before="360" w:after="240"/>
        <w:contextualSpacing/>
        <w:rPr>
          <w:rFonts w:ascii="Calibri" w:eastAsia="Calibri" w:hAnsi="Calibri" w:cs="Arial"/>
        </w:rPr>
      </w:pPr>
      <w:r w:rsidRPr="0004348D">
        <w:rPr>
          <w:rFonts w:ascii="Calibri" w:eastAsia="Calibri" w:hAnsi="Calibri" w:cs="Arial"/>
          <w:rtl/>
        </w:rPr>
        <w:t xml:space="preserve">רא"ש </w:t>
      </w:r>
      <w:r w:rsidRPr="0004348D">
        <w:rPr>
          <w:rFonts w:ascii="Calibri" w:eastAsia="Calibri" w:hAnsi="Calibri" w:cs="Arial"/>
          <w:sz w:val="16"/>
          <w:szCs w:val="16"/>
          <w:rtl/>
        </w:rPr>
        <w:t>(שם סי' ט)</w:t>
      </w:r>
      <w:r w:rsidRPr="0004348D">
        <w:rPr>
          <w:rFonts w:ascii="Calibri" w:eastAsia="Calibri" w:hAnsi="Calibri" w:cs="Arial"/>
          <w:rtl/>
        </w:rPr>
        <w:t>- היכא דכתיב נאמנות אין משביעין אותו אפילו על ידי גלגול.</w:t>
      </w:r>
    </w:p>
    <w:p w14:paraId="49592E6E" w14:textId="77777777" w:rsidR="0004348D" w:rsidRPr="0004348D" w:rsidRDefault="0004348D" w:rsidP="00992A87">
      <w:pPr>
        <w:numPr>
          <w:ilvl w:val="0"/>
          <w:numId w:val="363"/>
        </w:numPr>
        <w:spacing w:before="360" w:after="240"/>
        <w:contextualSpacing/>
        <w:rPr>
          <w:rFonts w:ascii="Calibri" w:eastAsia="Calibri" w:hAnsi="Calibri" w:cs="Arial"/>
        </w:rPr>
      </w:pPr>
      <w:r w:rsidRPr="0004348D">
        <w:rPr>
          <w:rFonts w:ascii="Calibri" w:eastAsia="Calibri" w:hAnsi="Calibri" w:cs="Arial"/>
          <w:rtl/>
        </w:rPr>
        <w:t xml:space="preserve">גאונים </w:t>
      </w:r>
      <w:r w:rsidRPr="0004348D">
        <w:rPr>
          <w:rFonts w:ascii="Calibri" w:eastAsia="Calibri" w:hAnsi="Calibri" w:cs="Arial"/>
          <w:sz w:val="16"/>
          <w:szCs w:val="16"/>
          <w:rtl/>
        </w:rPr>
        <w:t xml:space="preserve">(כ"כ הר"ן בשמם [כתובות מו: ד"ה מתני']) </w:t>
      </w:r>
      <w:r w:rsidRPr="0004348D">
        <w:rPr>
          <w:rFonts w:ascii="Calibri" w:eastAsia="Calibri" w:hAnsi="Calibri" w:cs="Arial"/>
          <w:rtl/>
        </w:rPr>
        <w:t xml:space="preserve">ורמב"ן </w:t>
      </w:r>
      <w:r w:rsidRPr="0004348D">
        <w:rPr>
          <w:rFonts w:ascii="Calibri" w:eastAsia="Calibri" w:hAnsi="Calibri" w:cs="Arial"/>
          <w:sz w:val="16"/>
          <w:szCs w:val="16"/>
          <w:rtl/>
        </w:rPr>
        <w:t>(פו: ד"ה והא דתנן, כ"כ הר"ן בשמו [שם])</w:t>
      </w:r>
      <w:r w:rsidRPr="0004348D">
        <w:rPr>
          <w:rFonts w:ascii="Calibri" w:eastAsia="Calibri" w:hAnsi="Calibri" w:cs="Arial"/>
          <w:rtl/>
        </w:rPr>
        <w:t>- על ידי גלגול משביעין אותו.</w:t>
      </w:r>
    </w:p>
    <w:bookmarkEnd w:id="796"/>
    <w:p w14:paraId="7D56FD69" w14:textId="77777777" w:rsidR="0004348D" w:rsidRPr="0004348D" w:rsidRDefault="0004348D" w:rsidP="0004348D">
      <w:pPr>
        <w:spacing w:before="360" w:after="240"/>
        <w:ind w:left="360"/>
        <w:rPr>
          <w:rFonts w:ascii="Calibri" w:eastAsia="Calibri" w:hAnsi="Calibri" w:cs="Arial"/>
          <w:u w:val="dotted"/>
          <w:rtl/>
        </w:rPr>
      </w:pPr>
      <w:r w:rsidRPr="0004348D">
        <w:rPr>
          <w:rFonts w:ascii="Calibri" w:eastAsia="Calibri" w:hAnsi="Calibri" w:cs="Arial"/>
          <w:u w:val="dotted"/>
          <w:rtl/>
        </w:rPr>
        <w:t>ומה הדין אם המלוה פוגם שטרו</w:t>
      </w:r>
      <w:r w:rsidRPr="0004348D">
        <w:rPr>
          <w:rFonts w:ascii="Calibri" w:eastAsia="Calibri" w:hAnsi="Calibri" w:cs="Arial"/>
          <w:u w:val="dotted"/>
          <w:vertAlign w:val="superscript"/>
          <w:rtl/>
        </w:rPr>
        <w:footnoteReference w:id="5663"/>
      </w:r>
      <w:r w:rsidRPr="0004348D">
        <w:rPr>
          <w:rFonts w:ascii="Calibri" w:eastAsia="Calibri" w:hAnsi="Calibri" w:cs="Arial"/>
          <w:u w:val="dotted"/>
          <w:rtl/>
        </w:rPr>
        <w:t>:</w:t>
      </w:r>
    </w:p>
    <w:p w14:paraId="0D44A1FA" w14:textId="77777777" w:rsidR="0004348D" w:rsidRPr="0004348D" w:rsidRDefault="0004348D" w:rsidP="00992A87">
      <w:pPr>
        <w:numPr>
          <w:ilvl w:val="0"/>
          <w:numId w:val="363"/>
        </w:numPr>
        <w:spacing w:before="360" w:after="240"/>
        <w:contextualSpacing/>
        <w:rPr>
          <w:rFonts w:ascii="Calibri" w:eastAsia="Calibri" w:hAnsi="Calibri" w:cs="Arial"/>
        </w:rPr>
      </w:pPr>
      <w:r w:rsidRPr="0004348D">
        <w:rPr>
          <w:rFonts w:ascii="Calibri" w:eastAsia="Calibri" w:hAnsi="Calibri" w:cs="Arial"/>
          <w:rtl/>
        </w:rPr>
        <w:t xml:space="preserve">י"א </w:t>
      </w:r>
      <w:r w:rsidRPr="0004348D">
        <w:rPr>
          <w:rFonts w:ascii="Calibri" w:eastAsia="Calibri" w:hAnsi="Calibri" w:cs="Arial"/>
          <w:sz w:val="16"/>
          <w:szCs w:val="16"/>
          <w:rtl/>
        </w:rPr>
        <w:t>(הביאם בעל התרומות [שער כא ח"ד סי' ב])</w:t>
      </w:r>
      <w:r w:rsidRPr="0004348D">
        <w:rPr>
          <w:rFonts w:ascii="Calibri" w:eastAsia="Calibri" w:hAnsi="Calibri" w:cs="Arial"/>
          <w:rtl/>
        </w:rPr>
        <w:t xml:space="preserve">- אם פוגם שטרו - לא מהני נאמנות סתם עד שיכתוב האמנתיו בכולו כמקצתו. </w:t>
      </w:r>
    </w:p>
    <w:p w14:paraId="1D06BEFA" w14:textId="77777777" w:rsidR="0004348D" w:rsidRPr="0004348D" w:rsidRDefault="0004348D" w:rsidP="00992A87">
      <w:pPr>
        <w:numPr>
          <w:ilvl w:val="0"/>
          <w:numId w:val="363"/>
        </w:numPr>
        <w:spacing w:before="360" w:after="240"/>
        <w:contextualSpacing/>
        <w:rPr>
          <w:rFonts w:ascii="Calibri" w:eastAsia="Calibri" w:hAnsi="Calibri" w:cs="Arial"/>
        </w:rPr>
      </w:pPr>
      <w:r w:rsidRPr="0004348D">
        <w:rPr>
          <w:rFonts w:ascii="Calibri" w:eastAsia="Calibri" w:hAnsi="Calibri" w:cs="Arial"/>
          <w:rtl/>
        </w:rPr>
        <w:t xml:space="preserve">בעל התרומות </w:t>
      </w:r>
      <w:r w:rsidRPr="0004348D">
        <w:rPr>
          <w:rFonts w:ascii="Calibri" w:eastAsia="Calibri" w:hAnsi="Calibri" w:cs="Arial"/>
          <w:sz w:val="16"/>
          <w:szCs w:val="16"/>
          <w:rtl/>
        </w:rPr>
        <w:t>(שם,</w:t>
      </w:r>
      <w:r w:rsidRPr="0004348D">
        <w:rPr>
          <w:rFonts w:ascii="Calibri" w:eastAsia="Calibri" w:hAnsi="Calibri" w:cs="Arial"/>
          <w:rtl/>
        </w:rPr>
        <w:t xml:space="preserve"> </w:t>
      </w:r>
      <w:r w:rsidRPr="0004348D">
        <w:rPr>
          <w:rFonts w:ascii="Calibri" w:eastAsia="Calibri" w:hAnsi="Calibri" w:cs="Arial"/>
          <w:sz w:val="16"/>
          <w:szCs w:val="16"/>
          <w:rtl/>
        </w:rPr>
        <w:t>וכתבו הטור בסי' פד ס"א)</w:t>
      </w:r>
      <w:r w:rsidRPr="0004348D">
        <w:rPr>
          <w:rFonts w:ascii="Calibri" w:eastAsia="Calibri" w:hAnsi="Calibri" w:cs="Arial"/>
          <w:rtl/>
        </w:rPr>
        <w:t>- בין כך ובין כך נאמן.</w:t>
      </w:r>
    </w:p>
    <w:p w14:paraId="26D9376B" w14:textId="77777777" w:rsidR="0004348D" w:rsidRPr="0004348D" w:rsidRDefault="0004348D" w:rsidP="0004348D">
      <w:pPr>
        <w:spacing w:before="360" w:after="240"/>
        <w:rPr>
          <w:rFonts w:ascii="Calibri" w:eastAsia="Calibri" w:hAnsi="Calibri" w:cs="Arial"/>
          <w:u w:val="single"/>
          <w:rtl/>
        </w:rPr>
      </w:pPr>
      <w:r w:rsidRPr="0004348D">
        <w:rPr>
          <w:rFonts w:ascii="Calibri" w:eastAsia="Calibri" w:hAnsi="Calibri" w:cs="Arial"/>
          <w:u w:val="single"/>
          <w:rtl/>
        </w:rPr>
        <w:t>לוה שהאמין למלוה כנ"ל – וטען הלוה שפרע והביא עדים לדבר:</w:t>
      </w:r>
    </w:p>
    <w:p w14:paraId="762FB8FE" w14:textId="77777777" w:rsidR="0004348D" w:rsidRPr="0004348D" w:rsidRDefault="0004348D" w:rsidP="00992A87">
      <w:pPr>
        <w:numPr>
          <w:ilvl w:val="0"/>
          <w:numId w:val="363"/>
        </w:numPr>
        <w:spacing w:before="360" w:after="240"/>
        <w:contextualSpacing/>
        <w:rPr>
          <w:rFonts w:ascii="Calibri" w:eastAsia="Calibri" w:hAnsi="Calibri" w:cs="Arial"/>
        </w:rPr>
      </w:pPr>
      <w:r w:rsidRPr="0004348D">
        <w:rPr>
          <w:rFonts w:ascii="Calibri" w:eastAsia="Calibri" w:hAnsi="Calibri" w:cs="Arial"/>
          <w:rtl/>
        </w:rPr>
        <w:t xml:space="preserve">טור- אבל אם הביא הלוה עדים שפרעו – פטור, שלא האמינו אלא עליו ולא על העדים. </w:t>
      </w:r>
      <w:r w:rsidRPr="0004348D">
        <w:rPr>
          <w:rFonts w:ascii="Calibri" w:eastAsia="Calibri" w:hAnsi="Calibri" w:cs="Arial"/>
          <w:color w:val="E36C0A" w:themeColor="accent6" w:themeShade="BF"/>
          <w:rtl/>
        </w:rPr>
        <w:t>(וכ"פ בשו"ע)</w:t>
      </w:r>
    </w:p>
    <w:p w14:paraId="1FD8E029" w14:textId="77777777" w:rsidR="0004348D" w:rsidRPr="0004348D" w:rsidRDefault="0004348D" w:rsidP="0004348D">
      <w:pPr>
        <w:spacing w:before="360" w:after="240"/>
        <w:ind w:left="360"/>
        <w:rPr>
          <w:rFonts w:ascii="Calibri" w:eastAsia="Calibri" w:hAnsi="Calibri" w:cs="Arial"/>
          <w:u w:val="dotted"/>
        </w:rPr>
      </w:pPr>
      <w:r w:rsidRPr="0004348D">
        <w:rPr>
          <w:rFonts w:ascii="Calibri" w:eastAsia="Calibri" w:hAnsi="Calibri" w:cs="Arial"/>
          <w:u w:val="dotted"/>
          <w:rtl/>
        </w:rPr>
        <w:t>ומה הדין אם אמר למלוה 'תהא נאמן עלי כשני עדים':</w:t>
      </w:r>
    </w:p>
    <w:p w14:paraId="5E1C5059" w14:textId="77777777" w:rsidR="0004348D" w:rsidRPr="0004348D" w:rsidRDefault="0004348D" w:rsidP="00992A87">
      <w:pPr>
        <w:numPr>
          <w:ilvl w:val="0"/>
          <w:numId w:val="363"/>
        </w:numPr>
        <w:spacing w:before="360" w:after="240"/>
        <w:contextualSpacing/>
        <w:rPr>
          <w:rFonts w:ascii="Calibri" w:eastAsia="Calibri" w:hAnsi="Calibri" w:cs="Arial"/>
        </w:rPr>
      </w:pPr>
      <w:r w:rsidRPr="0004348D">
        <w:rPr>
          <w:rFonts w:ascii="Calibri" w:eastAsia="Calibri" w:hAnsi="Calibri" w:cs="Arial"/>
          <w:rtl/>
        </w:rPr>
        <w:t>טור- ואם כתב</w:t>
      </w:r>
      <w:r w:rsidRPr="0004348D">
        <w:rPr>
          <w:rFonts w:ascii="Calibri" w:eastAsia="Calibri" w:hAnsi="Calibri" w:cs="Arial"/>
          <w:vertAlign w:val="superscript"/>
          <w:rtl/>
        </w:rPr>
        <w:footnoteReference w:id="5664"/>
      </w:r>
      <w:r w:rsidRPr="0004348D">
        <w:rPr>
          <w:rFonts w:ascii="Calibri" w:eastAsia="Calibri" w:hAnsi="Calibri" w:cs="Arial"/>
          <w:rtl/>
        </w:rPr>
        <w:t xml:space="preserve"> 'תהא נאמן עלי כשני עדים', אפילו הביא ק' עדים - הוא נאמן מהם, ונוטל בלא שבועה. </w:t>
      </w:r>
      <w:r w:rsidRPr="0004348D">
        <w:rPr>
          <w:rFonts w:ascii="Calibri" w:eastAsia="Calibri" w:hAnsi="Calibri" w:cs="Arial"/>
          <w:color w:val="E36C0A" w:themeColor="accent6" w:themeShade="BF"/>
          <w:rtl/>
        </w:rPr>
        <w:t>(וכ"פ בשו"ע)</w:t>
      </w:r>
    </w:p>
    <w:p w14:paraId="7F433CCC" w14:textId="77777777" w:rsidR="0004348D" w:rsidRPr="0004348D" w:rsidRDefault="0004348D" w:rsidP="0004348D">
      <w:pPr>
        <w:spacing w:before="360" w:after="240"/>
        <w:ind w:left="360"/>
        <w:rPr>
          <w:rFonts w:ascii="Calibri" w:eastAsia="Calibri" w:hAnsi="Calibri" w:cs="Arial"/>
          <w:u w:val="dotted"/>
        </w:rPr>
      </w:pPr>
      <w:r w:rsidRPr="0004348D">
        <w:rPr>
          <w:rFonts w:ascii="Calibri" w:eastAsia="Calibri" w:hAnsi="Calibri" w:cs="Arial"/>
          <w:u w:val="dotted"/>
          <w:rtl/>
        </w:rPr>
        <w:t>ומה הדין אם אמר למלוה 'מהימנת לי כתלתא':</w:t>
      </w:r>
    </w:p>
    <w:p w14:paraId="51804F7A" w14:textId="77777777" w:rsidR="0004348D" w:rsidRPr="0004348D" w:rsidRDefault="0004348D" w:rsidP="00992A87">
      <w:pPr>
        <w:numPr>
          <w:ilvl w:val="0"/>
          <w:numId w:val="363"/>
        </w:numPr>
        <w:spacing w:before="360" w:after="240"/>
        <w:contextualSpacing/>
        <w:rPr>
          <w:rFonts w:ascii="Calibri" w:eastAsia="Calibri" w:hAnsi="Calibri" w:cs="Arial"/>
        </w:rPr>
      </w:pPr>
      <w:r w:rsidRPr="0004348D">
        <w:rPr>
          <w:rFonts w:ascii="Calibri" w:eastAsia="Calibri" w:hAnsi="Calibri" w:cs="Arial"/>
          <w:rtl/>
        </w:rPr>
        <w:t xml:space="preserve">טור- והני מילי דא"ל 'מהימנת לי כבי תרי', אבל אמר 'מהימנת לי כתלתא' ופרעיה בפני ד' – נאמן, כיון דנחית לדעות אזלינן בתר רובא ונאמנין. </w:t>
      </w:r>
      <w:r w:rsidRPr="0004348D">
        <w:rPr>
          <w:rFonts w:ascii="Calibri" w:eastAsia="Calibri" w:hAnsi="Calibri" w:cs="Arial"/>
          <w:color w:val="00B0F0"/>
          <w:rtl/>
        </w:rPr>
        <w:t>(וכ"פ הרמ"א)</w:t>
      </w:r>
    </w:p>
    <w:p w14:paraId="4275CE6A" w14:textId="77777777" w:rsidR="0004348D" w:rsidRPr="0004348D" w:rsidRDefault="0004348D" w:rsidP="0004348D">
      <w:pPr>
        <w:spacing w:before="360" w:after="240"/>
        <w:rPr>
          <w:rFonts w:ascii="Calibri" w:eastAsia="Calibri" w:hAnsi="Calibri" w:cs="Arial"/>
          <w:u w:val="single"/>
        </w:rPr>
      </w:pPr>
      <w:bookmarkStart w:id="797" w:name="_Hlk17295889"/>
      <w:r w:rsidRPr="0004348D">
        <w:rPr>
          <w:rFonts w:ascii="Calibri" w:eastAsia="Calibri" w:hAnsi="Calibri" w:cs="Arial"/>
          <w:u w:val="single"/>
          <w:rtl/>
        </w:rPr>
        <w:t xml:space="preserve">האמינו בסתם </w:t>
      </w:r>
      <w:r w:rsidRPr="0004348D">
        <w:rPr>
          <w:rFonts w:ascii="Calibri" w:eastAsia="Calibri" w:hAnsi="Calibri" w:cs="Arial"/>
          <w:sz w:val="16"/>
          <w:szCs w:val="16"/>
          <w:u w:val="single"/>
          <w:rtl/>
        </w:rPr>
        <w:t>(היינו שלא אמר בפירוש 'כשני עדים')</w:t>
      </w:r>
      <w:r w:rsidRPr="0004348D">
        <w:rPr>
          <w:rFonts w:ascii="Calibri" w:eastAsia="Calibri" w:hAnsi="Calibri" w:cs="Arial"/>
          <w:u w:val="single"/>
          <w:rtl/>
        </w:rPr>
        <w:t xml:space="preserve"> והביא הלוה עד אחד שפרע למלוה:</w:t>
      </w:r>
    </w:p>
    <w:p w14:paraId="3C7CA335" w14:textId="77777777" w:rsidR="0004348D" w:rsidRPr="0004348D" w:rsidRDefault="0004348D" w:rsidP="00992A87">
      <w:pPr>
        <w:numPr>
          <w:ilvl w:val="0"/>
          <w:numId w:val="363"/>
        </w:numPr>
        <w:spacing w:before="360" w:after="240"/>
        <w:contextualSpacing/>
        <w:rPr>
          <w:rFonts w:ascii="Calibri" w:eastAsia="Calibri" w:hAnsi="Calibri" w:cs="Arial"/>
        </w:rPr>
      </w:pPr>
      <w:r w:rsidRPr="0004348D">
        <w:rPr>
          <w:rFonts w:ascii="Calibri" w:eastAsia="Calibri" w:hAnsi="Calibri" w:cs="Arial"/>
          <w:rtl/>
        </w:rPr>
        <w:t xml:space="preserve">ראב"ד </w:t>
      </w:r>
      <w:r w:rsidRPr="0004348D">
        <w:rPr>
          <w:rFonts w:ascii="Calibri" w:eastAsia="Calibri" w:hAnsi="Calibri" w:cs="Arial"/>
          <w:sz w:val="16"/>
          <w:szCs w:val="16"/>
          <w:rtl/>
        </w:rPr>
        <w:t xml:space="preserve">(בהשגות על הרי"ף שם מו:) </w:t>
      </w:r>
      <w:r w:rsidRPr="0004348D">
        <w:rPr>
          <w:rFonts w:ascii="Calibri" w:eastAsia="Calibri" w:hAnsi="Calibri" w:cs="Arial"/>
          <w:rtl/>
        </w:rPr>
        <w:t>ורמב"ן</w:t>
      </w:r>
      <w:r w:rsidRPr="0004348D">
        <w:rPr>
          <w:rFonts w:ascii="Calibri" w:eastAsia="Calibri" w:hAnsi="Calibri" w:cs="Arial"/>
          <w:sz w:val="16"/>
          <w:szCs w:val="16"/>
          <w:rtl/>
        </w:rPr>
        <w:t xml:space="preserve"> (שם, כ"כ בשמו הריטב"א [פז. ד"ה אמר רב נחמן], הביאו הנמוק"י [מו:])</w:t>
      </w:r>
      <w:r w:rsidRPr="0004348D">
        <w:rPr>
          <w:rFonts w:ascii="Calibri" w:eastAsia="Calibri" w:hAnsi="Calibri" w:cs="Arial"/>
          <w:rtl/>
        </w:rPr>
        <w:t>- פיטור סתם לא מהני לעד אחד מעידו שהוא פרוע, דנהי דהימניה טפי מנפשיה טפי מעד א' לא הימניה. (וכ"פ הש"ך</w:t>
      </w:r>
      <w:r w:rsidRPr="0004348D">
        <w:rPr>
          <w:rFonts w:ascii="Calibri" w:eastAsia="Calibri" w:hAnsi="Calibri" w:cs="Arial"/>
          <w:vertAlign w:val="superscript"/>
          <w:rtl/>
        </w:rPr>
        <w:footnoteReference w:id="5665"/>
      </w:r>
      <w:r w:rsidRPr="0004348D">
        <w:rPr>
          <w:rFonts w:ascii="Calibri" w:eastAsia="Calibri" w:hAnsi="Calibri" w:cs="Arial"/>
          <w:rtl/>
        </w:rPr>
        <w:t xml:space="preserve"> </w:t>
      </w:r>
      <w:r w:rsidRPr="0004348D">
        <w:rPr>
          <w:rFonts w:ascii="Calibri" w:eastAsia="Calibri" w:hAnsi="Calibri" w:cs="Arial"/>
          <w:sz w:val="16"/>
          <w:szCs w:val="16"/>
          <w:rtl/>
        </w:rPr>
        <w:t>[סק"ב]</w:t>
      </w:r>
      <w:r w:rsidRPr="0004348D">
        <w:rPr>
          <w:rFonts w:ascii="Calibri" w:eastAsia="Calibri" w:hAnsi="Calibri" w:cs="Arial"/>
          <w:rtl/>
        </w:rPr>
        <w:t>)</w:t>
      </w:r>
    </w:p>
    <w:p w14:paraId="148DF4E9" w14:textId="77777777" w:rsidR="0004348D" w:rsidRPr="0004348D" w:rsidRDefault="0004348D" w:rsidP="00992A87">
      <w:pPr>
        <w:numPr>
          <w:ilvl w:val="0"/>
          <w:numId w:val="363"/>
        </w:numPr>
        <w:spacing w:before="360" w:after="240"/>
        <w:contextualSpacing/>
        <w:rPr>
          <w:rFonts w:ascii="Calibri" w:eastAsia="Calibri" w:hAnsi="Calibri" w:cs="Arial"/>
        </w:rPr>
      </w:pPr>
      <w:r w:rsidRPr="0004348D">
        <w:rPr>
          <w:rFonts w:ascii="Calibri" w:eastAsia="Calibri" w:hAnsi="Calibri" w:cs="Arial"/>
          <w:rtl/>
        </w:rPr>
        <w:t xml:space="preserve">ר"ח </w:t>
      </w:r>
      <w:r w:rsidRPr="0004348D">
        <w:rPr>
          <w:rFonts w:ascii="Calibri" w:eastAsia="Calibri" w:hAnsi="Calibri" w:cs="Arial"/>
          <w:sz w:val="16"/>
          <w:szCs w:val="16"/>
          <w:rtl/>
        </w:rPr>
        <w:t xml:space="preserve">(כ"כ בשמו רי"ו </w:t>
      </w:r>
      <w:r w:rsidRPr="0004348D">
        <w:rPr>
          <w:rFonts w:ascii="Calibri" w:eastAsia="Calibri" w:hAnsi="Calibri" w:cs="Arial"/>
          <w:sz w:val="14"/>
          <w:szCs w:val="14"/>
          <w:rtl/>
        </w:rPr>
        <w:t>[נ"ו ח"ט כו.]</w:t>
      </w:r>
      <w:r w:rsidRPr="0004348D">
        <w:rPr>
          <w:rFonts w:ascii="Calibri" w:eastAsia="Calibri" w:hAnsi="Calibri" w:cs="Arial"/>
          <w:sz w:val="16"/>
          <w:szCs w:val="16"/>
          <w:rtl/>
        </w:rPr>
        <w:t xml:space="preserve">) </w:t>
      </w:r>
      <w:r w:rsidRPr="0004348D">
        <w:rPr>
          <w:rFonts w:ascii="Calibri" w:eastAsia="Calibri" w:hAnsi="Calibri" w:cs="Arial"/>
          <w:rtl/>
        </w:rPr>
        <w:t xml:space="preserve">ורא"ש </w:t>
      </w:r>
      <w:r w:rsidRPr="0004348D">
        <w:rPr>
          <w:rFonts w:ascii="Calibri" w:eastAsia="Calibri" w:hAnsi="Calibri" w:cs="Arial"/>
          <w:sz w:val="16"/>
          <w:szCs w:val="16"/>
          <w:rtl/>
        </w:rPr>
        <w:t>(פרק הכותב כתובות פ"ט סי' יח)</w:t>
      </w:r>
      <w:r w:rsidRPr="0004348D">
        <w:rPr>
          <w:rFonts w:ascii="Calibri" w:eastAsia="Calibri" w:hAnsi="Calibri" w:cs="Arial"/>
          <w:rtl/>
        </w:rPr>
        <w:t xml:space="preserve">- כשפוטרו סתם - פטרו מכל שבועה שב"ד מחייבין אותו. (וכ"כ הסמ"ע </w:t>
      </w:r>
      <w:r w:rsidRPr="0004348D">
        <w:rPr>
          <w:rFonts w:ascii="Calibri" w:eastAsia="Calibri" w:hAnsi="Calibri" w:cs="Arial"/>
          <w:sz w:val="16"/>
          <w:szCs w:val="16"/>
          <w:rtl/>
        </w:rPr>
        <w:t>[סק"ג]</w:t>
      </w:r>
      <w:r w:rsidRPr="0004348D">
        <w:rPr>
          <w:rFonts w:ascii="Calibri" w:eastAsia="Calibri" w:hAnsi="Calibri" w:cs="Arial"/>
          <w:rtl/>
        </w:rPr>
        <w:t>)</w:t>
      </w:r>
    </w:p>
    <w:bookmarkEnd w:id="797"/>
    <w:p w14:paraId="24F93B27" w14:textId="77777777" w:rsidR="0004348D" w:rsidRPr="0004348D" w:rsidRDefault="0004348D" w:rsidP="0004348D">
      <w:pPr>
        <w:spacing w:before="360" w:after="240"/>
        <w:rPr>
          <w:rFonts w:ascii="Calibri" w:eastAsia="Calibri" w:hAnsi="Calibri" w:cs="Arial"/>
          <w:u w:val="single"/>
        </w:rPr>
      </w:pPr>
      <w:r w:rsidRPr="0004348D">
        <w:rPr>
          <w:rFonts w:ascii="Calibri" w:eastAsia="Calibri" w:hAnsi="Calibri" w:cs="Arial"/>
          <w:u w:val="single"/>
          <w:rtl/>
        </w:rPr>
        <w:t>מלוה שטוען 'כשהלויתיך התניתי על פה שאהיה נאמן עליך כשני עדים':</w:t>
      </w:r>
    </w:p>
    <w:p w14:paraId="085F1CF7" w14:textId="77777777" w:rsidR="0004348D" w:rsidRPr="0004348D" w:rsidRDefault="0004348D" w:rsidP="00992A87">
      <w:pPr>
        <w:numPr>
          <w:ilvl w:val="0"/>
          <w:numId w:val="363"/>
        </w:numPr>
        <w:spacing w:before="360" w:after="240"/>
        <w:contextualSpacing/>
        <w:rPr>
          <w:rFonts w:ascii="Calibri" w:eastAsia="Calibri" w:hAnsi="Calibri" w:cs="Arial"/>
        </w:rPr>
      </w:pPr>
      <w:r w:rsidRPr="0004348D">
        <w:rPr>
          <w:rFonts w:ascii="Calibri" w:eastAsia="Calibri" w:hAnsi="Calibri" w:cs="Arial"/>
          <w:rtl/>
        </w:rPr>
        <w:t xml:space="preserve">בעל התרומות </w:t>
      </w:r>
      <w:r w:rsidRPr="0004348D">
        <w:rPr>
          <w:rFonts w:ascii="Calibri" w:eastAsia="Calibri" w:hAnsi="Calibri" w:cs="Arial"/>
          <w:sz w:val="16"/>
          <w:szCs w:val="16"/>
          <w:rtl/>
        </w:rPr>
        <w:t xml:space="preserve">(שער כה ח"א סי' ב) </w:t>
      </w:r>
      <w:r w:rsidRPr="0004348D">
        <w:rPr>
          <w:rFonts w:ascii="Calibri" w:eastAsia="Calibri" w:hAnsi="Calibri" w:cs="Arial"/>
          <w:rtl/>
        </w:rPr>
        <w:t>וטור- טען המלוה 'כשהלויתיך התניתי על פה שאהיה נאמן עליך כשני עדים'. והלוה אומר 'הן, אבל פרעתיך' – נאמן</w:t>
      </w:r>
      <w:r w:rsidRPr="0004348D">
        <w:rPr>
          <w:rFonts w:ascii="Calibri" w:eastAsia="Calibri" w:hAnsi="Calibri" w:cs="Arial"/>
          <w:vertAlign w:val="superscript"/>
          <w:rtl/>
        </w:rPr>
        <w:footnoteReference w:id="5666"/>
      </w:r>
      <w:r w:rsidRPr="0004348D">
        <w:rPr>
          <w:rFonts w:ascii="Calibri" w:eastAsia="Calibri" w:hAnsi="Calibri" w:cs="Arial"/>
          <w:sz w:val="16"/>
          <w:szCs w:val="16"/>
          <w:rtl/>
        </w:rPr>
        <w:t xml:space="preserve"> (ל' הטור בשם בעל התרומות)</w:t>
      </w:r>
      <w:r w:rsidRPr="0004348D">
        <w:rPr>
          <w:rFonts w:ascii="Calibri" w:eastAsia="Calibri" w:hAnsi="Calibri" w:cs="Arial"/>
          <w:rtl/>
        </w:rPr>
        <w:t xml:space="preserve">. </w:t>
      </w:r>
    </w:p>
    <w:p w14:paraId="43E6E262" w14:textId="77777777" w:rsidR="0004348D" w:rsidRPr="0004348D" w:rsidRDefault="0004348D" w:rsidP="0004348D">
      <w:pPr>
        <w:spacing w:before="360" w:after="240"/>
        <w:rPr>
          <w:rFonts w:ascii="Calibri" w:eastAsia="Calibri" w:hAnsi="Calibri" w:cs="Arial"/>
          <w:u w:val="single"/>
        </w:rPr>
      </w:pPr>
      <w:r w:rsidRPr="0004348D">
        <w:rPr>
          <w:rFonts w:ascii="Calibri" w:eastAsia="Calibri" w:hAnsi="Calibri" w:cs="Arial"/>
          <w:u w:val="single"/>
          <w:rtl/>
        </w:rPr>
        <w:t>נאמנות במלוה בשטר:</w:t>
      </w:r>
    </w:p>
    <w:p w14:paraId="0B879B5A" w14:textId="77777777" w:rsidR="0004348D" w:rsidRPr="0004348D" w:rsidRDefault="0004348D" w:rsidP="00992A87">
      <w:pPr>
        <w:numPr>
          <w:ilvl w:val="0"/>
          <w:numId w:val="363"/>
        </w:numPr>
        <w:spacing w:before="360" w:after="240"/>
        <w:contextualSpacing/>
        <w:rPr>
          <w:rFonts w:ascii="Calibri" w:eastAsia="Calibri" w:hAnsi="Calibri" w:cs="Arial"/>
        </w:rPr>
      </w:pPr>
      <w:r w:rsidRPr="0004348D">
        <w:rPr>
          <w:rFonts w:ascii="Calibri" w:eastAsia="Calibri" w:hAnsi="Calibri" w:cs="Arial"/>
          <w:rtl/>
        </w:rPr>
        <w:t xml:space="preserve">רמב"ן </w:t>
      </w:r>
      <w:r w:rsidRPr="0004348D">
        <w:rPr>
          <w:rFonts w:ascii="Calibri" w:eastAsia="Calibri" w:hAnsi="Calibri" w:cs="Arial"/>
          <w:sz w:val="16"/>
          <w:szCs w:val="16"/>
          <w:rtl/>
        </w:rPr>
        <w:t xml:space="preserve">(שו"ת סי' לא) </w:t>
      </w:r>
      <w:r w:rsidRPr="0004348D">
        <w:rPr>
          <w:rFonts w:ascii="Calibri" w:eastAsia="Calibri" w:hAnsi="Calibri" w:cs="Arial"/>
          <w:rtl/>
        </w:rPr>
        <w:t xml:space="preserve">בעל התרומות </w:t>
      </w:r>
      <w:r w:rsidRPr="0004348D">
        <w:rPr>
          <w:rFonts w:ascii="Calibri" w:eastAsia="Calibri" w:hAnsi="Calibri" w:cs="Arial"/>
          <w:sz w:val="16"/>
          <w:szCs w:val="16"/>
          <w:rtl/>
        </w:rPr>
        <w:t>(שער כו ח"א סי' ד)</w:t>
      </w:r>
      <w:r w:rsidRPr="0004348D">
        <w:rPr>
          <w:rFonts w:ascii="Calibri" w:eastAsia="Calibri" w:hAnsi="Calibri" w:cs="Arial"/>
          <w:rtl/>
        </w:rPr>
        <w:t xml:space="preserve"> וטור- גם במלוה בשטר שייך נאמנות</w:t>
      </w:r>
      <w:r w:rsidRPr="0004348D">
        <w:rPr>
          <w:rFonts w:ascii="Calibri" w:eastAsia="Calibri" w:hAnsi="Calibri" w:cs="Arial"/>
          <w:vertAlign w:val="superscript"/>
          <w:rtl/>
        </w:rPr>
        <w:footnoteReference w:id="5667"/>
      </w:r>
      <w:r w:rsidRPr="0004348D">
        <w:rPr>
          <w:rFonts w:ascii="Calibri" w:eastAsia="Calibri" w:hAnsi="Calibri" w:cs="Arial"/>
          <w:rtl/>
        </w:rPr>
        <w:t>, ואע"פ שיש לו שטר, אם טוען 'פרעתי' - צריך לישבע. ואם האמינו עליו - גובה בלא שבועה, ואפילו לא האמינו אלא בסתם ולא פירש כשני עדים, ואף אם לא פירש בהדיא שיהא פטור מהשבועה אלא כתב 'מהימנת לי למימר לא נפרעתי'</w:t>
      </w:r>
      <w:r w:rsidRPr="0004348D">
        <w:rPr>
          <w:rFonts w:ascii="Calibri" w:eastAsia="Calibri" w:hAnsi="Calibri" w:cs="Arial"/>
          <w:vertAlign w:val="superscript"/>
          <w:rtl/>
        </w:rPr>
        <w:footnoteReference w:id="5668"/>
      </w:r>
      <w:r w:rsidRPr="0004348D">
        <w:rPr>
          <w:rFonts w:ascii="Calibri" w:eastAsia="Calibri" w:hAnsi="Calibri" w:cs="Arial"/>
          <w:rtl/>
        </w:rPr>
        <w:t xml:space="preserve"> </w:t>
      </w:r>
      <w:r w:rsidRPr="0004348D">
        <w:rPr>
          <w:rFonts w:ascii="Calibri" w:eastAsia="Calibri" w:hAnsi="Calibri" w:cs="Arial"/>
          <w:sz w:val="16"/>
          <w:szCs w:val="16"/>
          <w:rtl/>
        </w:rPr>
        <w:t>(ל' הטור)</w:t>
      </w:r>
      <w:r w:rsidRPr="0004348D">
        <w:rPr>
          <w:rFonts w:ascii="Calibri" w:eastAsia="Calibri" w:hAnsi="Calibri" w:cs="Arial"/>
          <w:rtl/>
        </w:rPr>
        <w:t xml:space="preserve">. </w:t>
      </w:r>
      <w:r w:rsidRPr="0004348D">
        <w:rPr>
          <w:rFonts w:ascii="Calibri" w:eastAsia="Calibri" w:hAnsi="Calibri" w:cs="Arial"/>
          <w:color w:val="E36C0A" w:themeColor="accent6" w:themeShade="BF"/>
          <w:rtl/>
        </w:rPr>
        <w:t>(וכ"פ בשו"ע)</w:t>
      </w:r>
    </w:p>
    <w:p w14:paraId="6C5F85B0" w14:textId="77777777" w:rsidR="0004348D" w:rsidRPr="0004348D" w:rsidRDefault="0004348D" w:rsidP="0004348D">
      <w:pPr>
        <w:spacing w:before="360" w:after="240"/>
        <w:rPr>
          <w:rFonts w:ascii="Arial" w:eastAsia="Calibri" w:hAnsi="Arial" w:cs="Arial"/>
          <w:b/>
          <w:bCs/>
          <w:color w:val="000000"/>
          <w:sz w:val="28"/>
          <w:szCs w:val="28"/>
          <w:u w:val="single"/>
          <w:rtl/>
        </w:rPr>
      </w:pPr>
      <w:r w:rsidRPr="0004348D">
        <w:rPr>
          <w:rFonts w:ascii="Arial" w:eastAsia="Calibri" w:hAnsi="Arial" w:cs="Arial"/>
          <w:b/>
          <w:bCs/>
          <w:color w:val="000000"/>
          <w:sz w:val="28"/>
          <w:szCs w:val="28"/>
          <w:u w:val="single"/>
          <w:rtl/>
        </w:rPr>
        <w:t>שו"ע:</w:t>
      </w:r>
    </w:p>
    <w:p w14:paraId="2798A168" w14:textId="77777777" w:rsidR="0004348D" w:rsidRPr="0004348D" w:rsidRDefault="0004348D" w:rsidP="0004348D">
      <w:pPr>
        <w:spacing w:before="360" w:after="240"/>
        <w:rPr>
          <w:rFonts w:ascii="Calibri" w:eastAsia="Calibri" w:hAnsi="Calibri" w:cs="Arial"/>
          <w:rtl/>
        </w:rPr>
      </w:pPr>
      <w:r w:rsidRPr="0004348D">
        <w:rPr>
          <w:rFonts w:ascii="Calibri" w:eastAsia="Calibri" w:hAnsi="Calibri" w:cs="Arial"/>
          <w:rtl/>
        </w:rPr>
        <w:t>התנה המלוה עם הלוה שיהא נאמן בכל עת שיאמר שלא פרעו, הרי זה נוטל בלא שבועה</w:t>
      </w:r>
      <w:r w:rsidRPr="0004348D">
        <w:rPr>
          <w:rFonts w:ascii="Calibri" w:eastAsia="Calibri" w:hAnsi="Calibri" w:cs="Arial"/>
          <w:vertAlign w:val="superscript"/>
          <w:rtl/>
        </w:rPr>
        <w:footnoteReference w:id="5669"/>
      </w:r>
      <w:r w:rsidRPr="0004348D">
        <w:rPr>
          <w:rFonts w:ascii="Calibri" w:eastAsia="Calibri" w:hAnsi="Calibri" w:cs="Arial"/>
          <w:rtl/>
        </w:rPr>
        <w:t xml:space="preserve"> אף על פי שטען שפרעו, אפילו היא מלוה על פה. </w:t>
      </w:r>
      <w:r w:rsidRPr="0004348D">
        <w:rPr>
          <w:rFonts w:ascii="Calibri" w:eastAsia="Calibri" w:hAnsi="Calibri" w:cs="Arial"/>
          <w:sz w:val="18"/>
          <w:szCs w:val="18"/>
          <w:rtl/>
        </w:rPr>
        <w:t>הגה: ודוקא בדאיכא עדים שהאמינו עליו, אבל אי ליכא עדים, והלוה אומר שהאמינו ופרעו, נאמן במיגו. ועיין לעיל</w:t>
      </w:r>
      <w:r w:rsidRPr="0004348D">
        <w:rPr>
          <w:rFonts w:ascii="Calibri" w:eastAsia="Calibri" w:hAnsi="Calibri" w:cs="Arial"/>
          <w:sz w:val="18"/>
          <w:szCs w:val="18"/>
          <w:vertAlign w:val="superscript"/>
          <w:rtl/>
        </w:rPr>
        <w:footnoteReference w:id="5670"/>
      </w:r>
      <w:r w:rsidRPr="0004348D">
        <w:rPr>
          <w:rFonts w:ascii="Calibri" w:eastAsia="Calibri" w:hAnsi="Calibri" w:cs="Arial"/>
          <w:sz w:val="18"/>
          <w:szCs w:val="18"/>
          <w:rtl/>
        </w:rPr>
        <w:t xml:space="preserve"> סי' סט סע' ב.</w:t>
      </w:r>
      <w:r w:rsidRPr="0004348D">
        <w:rPr>
          <w:rFonts w:ascii="Calibri" w:eastAsia="Calibri" w:hAnsi="Calibri" w:cs="Arial"/>
          <w:rtl/>
        </w:rPr>
        <w:t xml:space="preserve"> אבל אם הביא עדים שפרעו, אינו נוטל כלום. ואם התנה עמו שיהא המלוה נאמן כשני עדים, אף על פי שהביא עדים שפרעו, הרי זה גובה ממנו בלא שבועה</w:t>
      </w:r>
      <w:r w:rsidRPr="0004348D">
        <w:rPr>
          <w:rFonts w:ascii="Calibri" w:eastAsia="Calibri" w:hAnsi="Calibri" w:cs="Arial"/>
          <w:vertAlign w:val="superscript"/>
          <w:rtl/>
        </w:rPr>
        <w:footnoteReference w:id="5671"/>
      </w:r>
      <w:r w:rsidRPr="0004348D">
        <w:rPr>
          <w:rFonts w:ascii="Calibri" w:eastAsia="Calibri" w:hAnsi="Calibri" w:cs="Arial"/>
          <w:rtl/>
        </w:rPr>
        <w:t xml:space="preserve">, ואפילו הביא מאה עדים שפרעו בפניהם, שהשנים כמאה. </w:t>
      </w:r>
      <w:r w:rsidRPr="0004348D">
        <w:rPr>
          <w:rFonts w:ascii="Calibri" w:eastAsia="Calibri" w:hAnsi="Calibri" w:cs="Arial"/>
          <w:sz w:val="18"/>
          <w:szCs w:val="18"/>
          <w:rtl/>
        </w:rPr>
        <w:t>הגה: ואפילו היה ללוה מיגו, והיה אפשר למיפטר עצמו בטענה אחרת, לא מהימנינן ליה במיגו</w:t>
      </w:r>
      <w:r w:rsidRPr="0004348D">
        <w:rPr>
          <w:rFonts w:ascii="Calibri" w:eastAsia="Calibri" w:hAnsi="Calibri" w:cs="Arial"/>
          <w:sz w:val="18"/>
          <w:szCs w:val="18"/>
          <w:vertAlign w:val="superscript"/>
          <w:rtl/>
        </w:rPr>
        <w:footnoteReference w:id="5672"/>
      </w:r>
      <w:r w:rsidRPr="0004348D">
        <w:rPr>
          <w:rFonts w:ascii="Calibri" w:eastAsia="Calibri" w:hAnsi="Calibri" w:cs="Arial"/>
          <w:sz w:val="18"/>
          <w:szCs w:val="18"/>
          <w:rtl/>
        </w:rPr>
        <w:t xml:space="preserve"> נגד הנאמנות שהאמין עליו (ב"י בשם הרשב"א). אבל אם אמר לו 'הרי אתה נאמן עלי כשלשה</w:t>
      </w:r>
      <w:r w:rsidRPr="0004348D">
        <w:rPr>
          <w:rFonts w:ascii="Calibri" w:eastAsia="Calibri" w:hAnsi="Calibri" w:cs="Arial"/>
          <w:sz w:val="18"/>
          <w:szCs w:val="18"/>
          <w:vertAlign w:val="superscript"/>
          <w:rtl/>
        </w:rPr>
        <w:footnoteReference w:id="5673"/>
      </w:r>
      <w:r w:rsidRPr="0004348D">
        <w:rPr>
          <w:rFonts w:ascii="Calibri" w:eastAsia="Calibri" w:hAnsi="Calibri" w:cs="Arial"/>
          <w:sz w:val="18"/>
          <w:szCs w:val="18"/>
          <w:rtl/>
        </w:rPr>
        <w:t>', הואיל וירד למנין, אם פרעו בפני ארבעה הרי זה פרוע</w:t>
      </w:r>
      <w:r w:rsidRPr="0004348D">
        <w:rPr>
          <w:rFonts w:ascii="Calibri" w:eastAsia="Calibri" w:hAnsi="Calibri" w:cs="Arial"/>
          <w:sz w:val="18"/>
          <w:szCs w:val="18"/>
          <w:vertAlign w:val="superscript"/>
          <w:rtl/>
        </w:rPr>
        <w:footnoteReference w:id="5674"/>
      </w:r>
      <w:r w:rsidRPr="0004348D">
        <w:rPr>
          <w:rFonts w:ascii="Calibri" w:eastAsia="Calibri" w:hAnsi="Calibri" w:cs="Arial"/>
          <w:sz w:val="18"/>
          <w:szCs w:val="18"/>
          <w:rtl/>
        </w:rPr>
        <w:t>.</w:t>
      </w:r>
      <w:r w:rsidRPr="0004348D">
        <w:rPr>
          <w:rFonts w:ascii="Calibri" w:eastAsia="Calibri" w:hAnsi="Calibri" w:cs="Arial"/>
          <w:rtl/>
        </w:rPr>
        <w:t xml:space="preserve"> </w:t>
      </w:r>
    </w:p>
    <w:p w14:paraId="2574DEFC" w14:textId="77777777" w:rsidR="0004348D" w:rsidRPr="0004348D" w:rsidRDefault="0004348D" w:rsidP="0004348D">
      <w:pPr>
        <w:spacing w:before="360" w:after="240"/>
        <w:rPr>
          <w:rFonts w:ascii="Calibri" w:eastAsia="Calibri" w:hAnsi="Calibri" w:cs="Arial"/>
          <w:rtl/>
        </w:rPr>
      </w:pPr>
    </w:p>
    <w:p w14:paraId="0F9B38F9" w14:textId="77777777" w:rsidR="0004348D" w:rsidRPr="0004348D" w:rsidRDefault="0004348D" w:rsidP="0004348D">
      <w:pPr>
        <w:keepNext/>
        <w:keepLines/>
        <w:spacing w:before="360" w:after="240"/>
        <w:outlineLvl w:val="1"/>
        <w:rPr>
          <w:rFonts w:ascii="Cambria" w:eastAsia="Times New Roman" w:hAnsi="Cambria" w:cs="Arial"/>
          <w:bCs/>
          <w:color w:val="548DD4" w:themeColor="text2" w:themeTint="99"/>
          <w:sz w:val="26"/>
          <w:szCs w:val="26"/>
          <w:rtl/>
        </w:rPr>
      </w:pPr>
      <w:bookmarkStart w:id="798" w:name="_Toc24884195"/>
      <w:r w:rsidRPr="0004348D">
        <w:rPr>
          <w:rFonts w:ascii="Cambria" w:eastAsia="Times New Roman" w:hAnsi="Cambria" w:cs="Arial"/>
          <w:bCs/>
          <w:color w:val="548DD4" w:themeColor="text2" w:themeTint="99"/>
          <w:sz w:val="26"/>
          <w:szCs w:val="26"/>
          <w:rtl/>
        </w:rPr>
        <w:t>סעיף ב: האם צריך לעשות קניין על הנאמנות.</w:t>
      </w:r>
      <w:bookmarkEnd w:id="798"/>
    </w:p>
    <w:p w14:paraId="50E5709D" w14:textId="77777777" w:rsidR="0004348D" w:rsidRPr="0004348D" w:rsidRDefault="0004348D" w:rsidP="0004348D">
      <w:pPr>
        <w:spacing w:before="360" w:after="240"/>
        <w:rPr>
          <w:rFonts w:ascii="Calibri" w:eastAsia="Calibri" w:hAnsi="Calibri" w:cs="Arial"/>
          <w:u w:val="single"/>
          <w:rtl/>
        </w:rPr>
      </w:pPr>
      <w:r w:rsidRPr="0004348D">
        <w:rPr>
          <w:rFonts w:ascii="Calibri" w:eastAsia="Calibri" w:hAnsi="Calibri" w:cs="Arial"/>
          <w:u w:val="single"/>
          <w:rtl/>
        </w:rPr>
        <w:t>האם צריך לעשות קניין על הנאמנות:</w:t>
      </w:r>
    </w:p>
    <w:p w14:paraId="0D1E0DCE" w14:textId="77777777" w:rsidR="0004348D" w:rsidRPr="0004348D" w:rsidRDefault="0004348D" w:rsidP="00992A87">
      <w:pPr>
        <w:numPr>
          <w:ilvl w:val="0"/>
          <w:numId w:val="363"/>
        </w:numPr>
        <w:spacing w:before="360" w:after="240"/>
        <w:contextualSpacing/>
        <w:rPr>
          <w:rFonts w:ascii="Calibri" w:eastAsia="Calibri" w:hAnsi="Calibri" w:cs="Arial"/>
          <w:rtl/>
        </w:rPr>
      </w:pPr>
      <w:r w:rsidRPr="0004348D">
        <w:rPr>
          <w:rFonts w:ascii="Calibri" w:eastAsia="Calibri" w:hAnsi="Calibri" w:cs="Arial"/>
          <w:rtl/>
        </w:rPr>
        <w:t xml:space="preserve">רש"י </w:t>
      </w:r>
      <w:r w:rsidRPr="0004348D">
        <w:rPr>
          <w:rFonts w:ascii="Calibri" w:eastAsia="Calibri" w:hAnsi="Calibri" w:cs="Arial"/>
          <w:sz w:val="16"/>
          <w:szCs w:val="16"/>
          <w:rtl/>
        </w:rPr>
        <w:t>(שבועות מב. ד"ה ההוא, כ"כ המרשים</w:t>
      </w:r>
      <w:r w:rsidRPr="0004348D">
        <w:rPr>
          <w:rFonts w:ascii="Calibri" w:eastAsia="Calibri" w:hAnsi="Calibri" w:cs="Arial"/>
          <w:sz w:val="16"/>
          <w:szCs w:val="16"/>
          <w:vertAlign w:val="superscript"/>
          <w:rtl/>
        </w:rPr>
        <w:footnoteReference w:id="5675"/>
      </w:r>
      <w:r w:rsidRPr="0004348D">
        <w:rPr>
          <w:rFonts w:ascii="Calibri" w:eastAsia="Calibri" w:hAnsi="Calibri" w:cs="Arial"/>
          <w:sz w:val="16"/>
          <w:szCs w:val="16"/>
          <w:rtl/>
        </w:rPr>
        <w:t xml:space="preserve"> בשמו)</w:t>
      </w:r>
      <w:r w:rsidRPr="0004348D">
        <w:rPr>
          <w:rFonts w:ascii="Calibri" w:eastAsia="Calibri" w:hAnsi="Calibri" w:cs="Arial"/>
          <w:rtl/>
        </w:rPr>
        <w:t xml:space="preserve"> רמ"ה </w:t>
      </w:r>
      <w:r w:rsidRPr="0004348D">
        <w:rPr>
          <w:rFonts w:ascii="Calibri" w:eastAsia="Calibri" w:hAnsi="Calibri" w:cs="Arial"/>
          <w:sz w:val="16"/>
          <w:szCs w:val="16"/>
          <w:rtl/>
        </w:rPr>
        <w:t xml:space="preserve">(כ"כ בשמו הטור והה"מ [פט"ו ממלוה ה"ג]) </w:t>
      </w:r>
      <w:r w:rsidRPr="0004348D">
        <w:rPr>
          <w:rFonts w:ascii="Calibri" w:eastAsia="Calibri" w:hAnsi="Calibri" w:cs="Arial"/>
          <w:rtl/>
        </w:rPr>
        <w:t>וטור- הא דמהני נאמנות בלא קנין דוקא בשעת הלואה, אבל לאחר הלואה ולא קנו מיניה לא משתעבד</w:t>
      </w:r>
      <w:r w:rsidRPr="0004348D">
        <w:rPr>
          <w:rFonts w:ascii="Calibri" w:eastAsia="Calibri" w:hAnsi="Calibri" w:cs="Arial"/>
          <w:vertAlign w:val="superscript"/>
          <w:rtl/>
        </w:rPr>
        <w:footnoteReference w:id="5676"/>
      </w:r>
      <w:r w:rsidRPr="0004348D">
        <w:rPr>
          <w:rFonts w:ascii="Calibri" w:eastAsia="Calibri" w:hAnsi="Calibri" w:cs="Arial"/>
          <w:sz w:val="16"/>
          <w:szCs w:val="16"/>
          <w:rtl/>
        </w:rPr>
        <w:t xml:space="preserve"> (ל' הטור בשם הרמ"ה)</w:t>
      </w:r>
      <w:r w:rsidRPr="0004348D">
        <w:rPr>
          <w:rFonts w:ascii="Calibri" w:eastAsia="Calibri" w:hAnsi="Calibri" w:cs="Arial"/>
          <w:rtl/>
        </w:rPr>
        <w:t xml:space="preserve">. </w:t>
      </w:r>
      <w:r w:rsidRPr="0004348D">
        <w:rPr>
          <w:rFonts w:ascii="Calibri" w:eastAsia="Calibri" w:hAnsi="Calibri" w:cs="Arial"/>
          <w:color w:val="E36C0A" w:themeColor="accent6" w:themeShade="BF"/>
          <w:rtl/>
        </w:rPr>
        <w:t>(וכ"פ בשו"ע)</w:t>
      </w:r>
      <w:r w:rsidRPr="0004348D">
        <w:rPr>
          <w:rFonts w:ascii="Calibri" w:eastAsia="Calibri" w:hAnsi="Calibri" w:cs="Arial"/>
          <w:rtl/>
        </w:rPr>
        <w:t xml:space="preserve"> </w:t>
      </w:r>
      <w:r w:rsidRPr="0004348D">
        <w:rPr>
          <w:rFonts w:ascii="Calibri" w:eastAsia="Calibri" w:hAnsi="Calibri" w:cs="Arial"/>
          <w:color w:val="00B0F0"/>
          <w:rtl/>
        </w:rPr>
        <w:t>(וכ"פ הרמ"א</w:t>
      </w:r>
      <w:r w:rsidRPr="0004348D">
        <w:rPr>
          <w:rFonts w:ascii="Calibri" w:eastAsia="Calibri" w:hAnsi="Calibri" w:cs="Arial"/>
          <w:color w:val="00B0F0"/>
          <w:sz w:val="16"/>
          <w:szCs w:val="16"/>
          <w:rtl/>
        </w:rPr>
        <w:t xml:space="preserve"> </w:t>
      </w:r>
      <w:r w:rsidRPr="0004348D">
        <w:rPr>
          <w:rFonts w:ascii="Calibri" w:eastAsia="Calibri" w:hAnsi="Calibri" w:cs="Arial"/>
          <w:sz w:val="16"/>
          <w:szCs w:val="16"/>
          <w:rtl/>
        </w:rPr>
        <w:t>[סע' טו]</w:t>
      </w:r>
      <w:r w:rsidRPr="0004348D">
        <w:rPr>
          <w:rFonts w:ascii="Calibri" w:eastAsia="Calibri" w:hAnsi="Calibri" w:cs="Arial"/>
          <w:color w:val="00B0F0"/>
          <w:rtl/>
        </w:rPr>
        <w:t>)</w:t>
      </w:r>
    </w:p>
    <w:p w14:paraId="55045859" w14:textId="77777777" w:rsidR="0004348D" w:rsidRPr="0004348D" w:rsidRDefault="0004348D" w:rsidP="00992A87">
      <w:pPr>
        <w:numPr>
          <w:ilvl w:val="0"/>
          <w:numId w:val="363"/>
        </w:numPr>
        <w:spacing w:before="360" w:after="240"/>
        <w:contextualSpacing/>
        <w:rPr>
          <w:rFonts w:ascii="Calibri" w:eastAsia="Calibri" w:hAnsi="Calibri" w:cs="Arial"/>
        </w:rPr>
      </w:pPr>
      <w:r w:rsidRPr="0004348D">
        <w:rPr>
          <w:rFonts w:ascii="Calibri" w:eastAsia="Calibri" w:hAnsi="Calibri" w:cs="Arial"/>
          <w:rtl/>
        </w:rPr>
        <w:t>רי"ו</w:t>
      </w:r>
      <w:r w:rsidRPr="0004348D">
        <w:rPr>
          <w:rFonts w:ascii="Calibri" w:eastAsia="Calibri" w:hAnsi="Calibri" w:cs="Arial"/>
          <w:sz w:val="16"/>
          <w:szCs w:val="16"/>
          <w:rtl/>
        </w:rPr>
        <w:t xml:space="preserve"> (נ"ג ח"ב יז ע"א)</w:t>
      </w:r>
      <w:r w:rsidRPr="0004348D">
        <w:rPr>
          <w:rFonts w:ascii="Calibri" w:eastAsia="Calibri" w:hAnsi="Calibri" w:cs="Arial"/>
          <w:rtl/>
        </w:rPr>
        <w:t>- נראה לפי מה שכתב רב אלפס בתשובה</w:t>
      </w:r>
      <w:r w:rsidRPr="0004348D">
        <w:rPr>
          <w:rFonts w:ascii="Calibri" w:eastAsia="Calibri" w:hAnsi="Calibri" w:cs="Arial"/>
          <w:vertAlign w:val="superscript"/>
          <w:rtl/>
        </w:rPr>
        <w:footnoteReference w:id="5677"/>
      </w:r>
      <w:r w:rsidRPr="0004348D">
        <w:rPr>
          <w:rFonts w:ascii="Calibri" w:eastAsia="Calibri" w:hAnsi="Calibri" w:cs="Arial"/>
          <w:rtl/>
        </w:rPr>
        <w:t xml:space="preserve">, כשהאמינו </w:t>
      </w:r>
      <w:r w:rsidRPr="0004348D">
        <w:rPr>
          <w:rFonts w:ascii="Calibri" w:eastAsia="Calibri" w:hAnsi="Calibri" w:cs="Arial"/>
          <w:b/>
          <w:bCs/>
          <w:rtl/>
        </w:rPr>
        <w:t>כשני עדים</w:t>
      </w:r>
      <w:r w:rsidRPr="0004348D">
        <w:rPr>
          <w:rFonts w:ascii="Calibri" w:eastAsia="Calibri" w:hAnsi="Calibri" w:cs="Arial"/>
          <w:rtl/>
        </w:rPr>
        <w:t xml:space="preserve"> שצריך קנין. ויש שחולקין עליו </w:t>
      </w:r>
      <w:r w:rsidRPr="0004348D">
        <w:rPr>
          <w:rFonts w:ascii="Calibri" w:eastAsia="Calibri" w:hAnsi="Calibri" w:cs="Arial"/>
          <w:sz w:val="16"/>
          <w:szCs w:val="16"/>
          <w:rtl/>
        </w:rPr>
        <w:t>(עי' ספר התרומות [שער כו ח"ג סי' ב])</w:t>
      </w:r>
      <w:r w:rsidRPr="0004348D">
        <w:rPr>
          <w:rFonts w:ascii="Calibri" w:eastAsia="Calibri" w:hAnsi="Calibri" w:cs="Arial"/>
          <w:rtl/>
        </w:rPr>
        <w:t xml:space="preserve"> שאינו צריך קנין, וראשון עיקר. (וכ"פ הש"ך</w:t>
      </w:r>
      <w:r w:rsidRPr="0004348D">
        <w:rPr>
          <w:rFonts w:ascii="Calibri" w:eastAsia="Calibri" w:hAnsi="Calibri" w:cs="Arial"/>
          <w:sz w:val="16"/>
          <w:szCs w:val="16"/>
          <w:rtl/>
        </w:rPr>
        <w:t xml:space="preserve"> [סק"ז]</w:t>
      </w:r>
      <w:r w:rsidRPr="0004348D">
        <w:rPr>
          <w:rFonts w:ascii="Calibri" w:eastAsia="Calibri" w:hAnsi="Calibri" w:cs="Arial"/>
          <w:rtl/>
        </w:rPr>
        <w:t>)</w:t>
      </w:r>
    </w:p>
    <w:p w14:paraId="22BE373C" w14:textId="77777777" w:rsidR="0004348D" w:rsidRPr="0004348D" w:rsidRDefault="0004348D" w:rsidP="0004348D">
      <w:pPr>
        <w:spacing w:before="360" w:after="240"/>
        <w:rPr>
          <w:rFonts w:ascii="Arial" w:eastAsia="Calibri" w:hAnsi="Arial" w:cs="Arial"/>
          <w:b/>
          <w:bCs/>
          <w:color w:val="000000"/>
          <w:sz w:val="28"/>
          <w:szCs w:val="28"/>
          <w:u w:val="single"/>
        </w:rPr>
      </w:pPr>
      <w:r w:rsidRPr="0004348D">
        <w:rPr>
          <w:rFonts w:ascii="Arial" w:eastAsia="Calibri" w:hAnsi="Arial" w:cs="Arial"/>
          <w:b/>
          <w:bCs/>
          <w:color w:val="000000"/>
          <w:sz w:val="28"/>
          <w:szCs w:val="28"/>
          <w:u w:val="single"/>
          <w:rtl/>
        </w:rPr>
        <w:t>שו"ע:</w:t>
      </w:r>
    </w:p>
    <w:p w14:paraId="7659B7A9" w14:textId="77777777" w:rsidR="0004348D" w:rsidRPr="0004348D" w:rsidRDefault="0004348D" w:rsidP="0004348D">
      <w:pPr>
        <w:spacing w:before="360" w:after="240"/>
        <w:rPr>
          <w:rFonts w:ascii="Calibri" w:eastAsia="Calibri" w:hAnsi="Calibri" w:cs="Arial"/>
          <w:rtl/>
        </w:rPr>
      </w:pPr>
      <w:r w:rsidRPr="0004348D">
        <w:rPr>
          <w:rFonts w:ascii="Calibri" w:eastAsia="Calibri" w:hAnsi="Calibri" w:cs="Arial"/>
          <w:rtl/>
        </w:rPr>
        <w:t xml:space="preserve">הא דמהני נאמנות בלא קנין, דוקא בשעת הלואה. אבל לאחר הלואה, ולא קנו מיניה, לא משתעבד. </w:t>
      </w:r>
    </w:p>
    <w:p w14:paraId="6AE7B771" w14:textId="77777777" w:rsidR="0004348D" w:rsidRPr="0004348D" w:rsidRDefault="0004348D" w:rsidP="0004348D">
      <w:pPr>
        <w:spacing w:before="360" w:after="240"/>
        <w:rPr>
          <w:rFonts w:ascii="Calibri" w:eastAsia="Calibri" w:hAnsi="Calibri" w:cs="Arial"/>
          <w:rtl/>
        </w:rPr>
      </w:pPr>
    </w:p>
    <w:p w14:paraId="56755D5D" w14:textId="77777777" w:rsidR="0004348D" w:rsidRPr="0004348D" w:rsidRDefault="0004348D" w:rsidP="0004348D">
      <w:pPr>
        <w:keepNext/>
        <w:keepLines/>
        <w:spacing w:before="360" w:after="240"/>
        <w:outlineLvl w:val="1"/>
        <w:rPr>
          <w:rFonts w:ascii="Cambria" w:eastAsia="Times New Roman" w:hAnsi="Cambria" w:cs="Arial"/>
          <w:bCs/>
          <w:color w:val="548DD4" w:themeColor="text2" w:themeTint="99"/>
          <w:sz w:val="26"/>
          <w:szCs w:val="26"/>
          <w:rtl/>
        </w:rPr>
      </w:pPr>
      <w:bookmarkStart w:id="799" w:name="_Toc24884196"/>
      <w:r w:rsidRPr="0004348D">
        <w:rPr>
          <w:rFonts w:ascii="Cambria" w:eastAsia="Times New Roman" w:hAnsi="Cambria" w:cs="Arial"/>
          <w:bCs/>
          <w:color w:val="548DD4" w:themeColor="text2" w:themeTint="99"/>
          <w:sz w:val="26"/>
          <w:szCs w:val="26"/>
          <w:rtl/>
        </w:rPr>
        <w:t>סעיף ג: נאמנות המלוה מול עדים שמעידים על הודאה/מחילה.</w:t>
      </w:r>
      <w:bookmarkEnd w:id="799"/>
    </w:p>
    <w:p w14:paraId="6F8BA79A" w14:textId="77777777" w:rsidR="0004348D" w:rsidRPr="0004348D" w:rsidRDefault="0004348D" w:rsidP="0004348D">
      <w:pPr>
        <w:spacing w:before="360" w:after="240"/>
        <w:rPr>
          <w:rFonts w:ascii="Calibri" w:eastAsia="Calibri" w:hAnsi="Calibri" w:cs="Arial"/>
          <w:u w:val="single"/>
          <w:rtl/>
        </w:rPr>
      </w:pPr>
      <w:r w:rsidRPr="0004348D">
        <w:rPr>
          <w:rFonts w:ascii="Calibri" w:eastAsia="Calibri" w:hAnsi="Calibri" w:cs="Arial"/>
          <w:u w:val="single"/>
          <w:rtl/>
        </w:rPr>
        <w:t xml:space="preserve">לוה שפרע למלוה </w:t>
      </w:r>
      <w:r w:rsidRPr="0004348D">
        <w:rPr>
          <w:rFonts w:ascii="Calibri" w:eastAsia="Calibri" w:hAnsi="Calibri" w:cs="Arial"/>
          <w:sz w:val="16"/>
          <w:szCs w:val="16"/>
          <w:u w:val="single"/>
          <w:rtl/>
        </w:rPr>
        <w:t>(בפני עדים)</w:t>
      </w:r>
      <w:r w:rsidRPr="0004348D">
        <w:rPr>
          <w:rFonts w:ascii="Calibri" w:eastAsia="Calibri" w:hAnsi="Calibri" w:cs="Arial"/>
          <w:u w:val="single"/>
          <w:rtl/>
        </w:rPr>
        <w:t xml:space="preserve">, והוצרך לפורעו שנית </w:t>
      </w:r>
      <w:r w:rsidRPr="0004348D">
        <w:rPr>
          <w:rFonts w:ascii="Calibri" w:eastAsia="Calibri" w:hAnsi="Calibri" w:cs="Arial"/>
          <w:sz w:val="16"/>
          <w:szCs w:val="16"/>
          <w:u w:val="single"/>
          <w:rtl/>
        </w:rPr>
        <w:t>(כיון שהאמין את המלוה כשני עדים)</w:t>
      </w:r>
      <w:r w:rsidRPr="0004348D">
        <w:rPr>
          <w:rFonts w:ascii="Calibri" w:eastAsia="Calibri" w:hAnsi="Calibri" w:cs="Arial"/>
          <w:u w:val="single"/>
          <w:rtl/>
        </w:rPr>
        <w:t xml:space="preserve"> – האם יכול להוציא ממנו אח"כ בעדים:</w:t>
      </w:r>
    </w:p>
    <w:p w14:paraId="5BA9B196" w14:textId="77777777" w:rsidR="0004348D" w:rsidRPr="0004348D" w:rsidRDefault="0004348D" w:rsidP="00992A87">
      <w:pPr>
        <w:numPr>
          <w:ilvl w:val="0"/>
          <w:numId w:val="364"/>
        </w:numPr>
        <w:spacing w:before="360" w:after="240"/>
        <w:contextualSpacing/>
        <w:rPr>
          <w:rFonts w:ascii="Calibri" w:eastAsia="Calibri" w:hAnsi="Calibri" w:cs="Arial"/>
          <w:rtl/>
        </w:rPr>
      </w:pPr>
      <w:r w:rsidRPr="0004348D">
        <w:rPr>
          <w:rFonts w:ascii="Calibri" w:eastAsia="Calibri" w:hAnsi="Calibri" w:cs="Arial"/>
          <w:rtl/>
        </w:rPr>
        <w:t xml:space="preserve">רב האי </w:t>
      </w:r>
      <w:r w:rsidRPr="0004348D">
        <w:rPr>
          <w:rFonts w:ascii="Calibri" w:eastAsia="Calibri" w:hAnsi="Calibri" w:cs="Arial"/>
          <w:sz w:val="16"/>
          <w:szCs w:val="16"/>
          <w:rtl/>
        </w:rPr>
        <w:t>(כ"כ הטור בשמו)</w:t>
      </w:r>
      <w:r w:rsidRPr="0004348D">
        <w:rPr>
          <w:rFonts w:ascii="Calibri" w:eastAsia="Calibri" w:hAnsi="Calibri" w:cs="Arial"/>
          <w:rtl/>
        </w:rPr>
        <w:t xml:space="preserve"> והאשכול</w:t>
      </w:r>
      <w:r w:rsidRPr="0004348D">
        <w:rPr>
          <w:rFonts w:ascii="Calibri" w:eastAsia="Calibri" w:hAnsi="Calibri" w:cs="Arial"/>
          <w:sz w:val="16"/>
          <w:szCs w:val="16"/>
          <w:rtl/>
        </w:rPr>
        <w:t xml:space="preserve"> (כ"כ הר"ן [כא:] בשמו</w:t>
      </w:r>
      <w:r w:rsidRPr="0004348D">
        <w:rPr>
          <w:rFonts w:ascii="Calibri" w:eastAsia="Calibri" w:hAnsi="Calibri" w:cs="Arial"/>
          <w:vertAlign w:val="superscript"/>
          <w:rtl/>
        </w:rPr>
        <w:footnoteReference w:id="5678"/>
      </w:r>
      <w:r w:rsidRPr="0004348D">
        <w:rPr>
          <w:rFonts w:ascii="Calibri" w:eastAsia="Calibri" w:hAnsi="Calibri" w:cs="Arial"/>
          <w:sz w:val="16"/>
          <w:szCs w:val="16"/>
          <w:rtl/>
        </w:rPr>
        <w:t>)</w:t>
      </w:r>
      <w:r w:rsidRPr="0004348D">
        <w:rPr>
          <w:rFonts w:ascii="Calibri" w:eastAsia="Calibri" w:hAnsi="Calibri" w:cs="Arial"/>
          <w:rtl/>
        </w:rPr>
        <w:t xml:space="preserve">- מביא העדים שפרעו בפניהם ומוציא ממנו. </w:t>
      </w:r>
    </w:p>
    <w:p w14:paraId="180E9E0A" w14:textId="77777777" w:rsidR="0004348D" w:rsidRPr="0004348D" w:rsidRDefault="0004348D" w:rsidP="00992A87">
      <w:pPr>
        <w:numPr>
          <w:ilvl w:val="0"/>
          <w:numId w:val="364"/>
        </w:numPr>
        <w:spacing w:before="360" w:after="240"/>
        <w:contextualSpacing/>
        <w:rPr>
          <w:rFonts w:ascii="Calibri" w:eastAsia="Calibri" w:hAnsi="Calibri" w:cs="Arial"/>
        </w:rPr>
      </w:pPr>
      <w:r w:rsidRPr="0004348D">
        <w:rPr>
          <w:rFonts w:ascii="Calibri" w:eastAsia="Calibri" w:hAnsi="Calibri" w:cs="Arial"/>
          <w:rtl/>
        </w:rPr>
        <w:t>ר"י מיגאש</w:t>
      </w:r>
      <w:r w:rsidRPr="0004348D">
        <w:rPr>
          <w:rFonts w:ascii="Calibri" w:eastAsia="Calibri" w:hAnsi="Calibri" w:cs="Arial"/>
          <w:sz w:val="16"/>
          <w:szCs w:val="16"/>
          <w:rtl/>
        </w:rPr>
        <w:t xml:space="preserve"> (חי' שבועות מא: ד"ה ההוא דאמר, שו"ת סי' קעב)</w:t>
      </w:r>
      <w:r w:rsidRPr="0004348D">
        <w:rPr>
          <w:rFonts w:ascii="Calibri" w:eastAsia="Calibri" w:hAnsi="Calibri" w:cs="Arial"/>
          <w:rtl/>
        </w:rPr>
        <w:t xml:space="preserve"> רא"ש </w:t>
      </w:r>
      <w:r w:rsidRPr="0004348D">
        <w:rPr>
          <w:rFonts w:ascii="Calibri" w:eastAsia="Calibri" w:hAnsi="Calibri" w:cs="Arial"/>
          <w:sz w:val="16"/>
          <w:szCs w:val="16"/>
          <w:rtl/>
        </w:rPr>
        <w:t>(כ"כ הטור בשמו)</w:t>
      </w:r>
      <w:r w:rsidRPr="0004348D">
        <w:rPr>
          <w:rFonts w:ascii="Calibri" w:eastAsia="Calibri" w:hAnsi="Calibri" w:cs="Arial"/>
          <w:rtl/>
        </w:rPr>
        <w:t xml:space="preserve"> ור"ן </w:t>
      </w:r>
      <w:r w:rsidRPr="0004348D">
        <w:rPr>
          <w:rFonts w:ascii="Calibri" w:eastAsia="Calibri" w:hAnsi="Calibri" w:cs="Arial"/>
          <w:sz w:val="16"/>
          <w:szCs w:val="16"/>
          <w:rtl/>
        </w:rPr>
        <w:t>(פרק שבועת הדיינין כא:)</w:t>
      </w:r>
      <w:r w:rsidRPr="0004348D">
        <w:rPr>
          <w:rFonts w:ascii="Calibri" w:eastAsia="Calibri" w:hAnsi="Calibri" w:cs="Arial"/>
          <w:rtl/>
        </w:rPr>
        <w:t>- אפילו יש עדים על הפרעון הראשון - אין עדותן מועיל לגבי הלואה זו לעולם, שכיון שבתורת פרעון נתנם לו, וכבר פסלן לזה</w:t>
      </w:r>
      <w:r w:rsidRPr="0004348D">
        <w:rPr>
          <w:rFonts w:ascii="Calibri" w:eastAsia="Calibri" w:hAnsi="Calibri" w:cs="Arial"/>
          <w:vertAlign w:val="superscript"/>
          <w:rtl/>
        </w:rPr>
        <w:footnoteReference w:id="5679"/>
      </w:r>
      <w:r w:rsidRPr="0004348D">
        <w:rPr>
          <w:rFonts w:ascii="Calibri" w:eastAsia="Calibri" w:hAnsi="Calibri" w:cs="Arial"/>
          <w:rtl/>
        </w:rPr>
        <w:t>, אין לו עליו רק שבועת היסת כמו מנה לי בידך</w:t>
      </w:r>
      <w:r w:rsidRPr="0004348D">
        <w:rPr>
          <w:rFonts w:ascii="Calibri" w:eastAsia="Calibri" w:hAnsi="Calibri" w:cs="Arial"/>
          <w:sz w:val="16"/>
          <w:szCs w:val="16"/>
          <w:rtl/>
        </w:rPr>
        <w:t xml:space="preserve"> (ל' הטור)</w:t>
      </w:r>
      <w:r w:rsidRPr="0004348D">
        <w:rPr>
          <w:rFonts w:ascii="Calibri" w:eastAsia="Calibri" w:hAnsi="Calibri" w:cs="Arial"/>
          <w:rtl/>
        </w:rPr>
        <w:t xml:space="preserve">. </w:t>
      </w:r>
      <w:r w:rsidRPr="0004348D">
        <w:rPr>
          <w:rFonts w:ascii="Calibri" w:eastAsia="Calibri" w:hAnsi="Calibri" w:cs="Arial"/>
          <w:color w:val="00B0F0"/>
          <w:rtl/>
        </w:rPr>
        <w:t>(וכ"פ הרמ"א</w:t>
      </w:r>
      <w:r w:rsidRPr="0004348D">
        <w:rPr>
          <w:rFonts w:ascii="Calibri" w:eastAsia="Calibri" w:hAnsi="Calibri" w:cs="Arial"/>
          <w:color w:val="00B0F0"/>
          <w:sz w:val="16"/>
          <w:szCs w:val="16"/>
          <w:rtl/>
        </w:rPr>
        <w:t xml:space="preserve"> </w:t>
      </w:r>
      <w:r w:rsidRPr="0004348D">
        <w:rPr>
          <w:rFonts w:ascii="Calibri" w:eastAsia="Calibri" w:hAnsi="Calibri" w:cs="Arial"/>
          <w:color w:val="000000" w:themeColor="text1"/>
          <w:sz w:val="16"/>
          <w:szCs w:val="16"/>
          <w:rtl/>
        </w:rPr>
        <w:t>[בסעי' ה]</w:t>
      </w:r>
      <w:r w:rsidRPr="0004348D">
        <w:rPr>
          <w:rFonts w:ascii="Calibri" w:eastAsia="Calibri" w:hAnsi="Calibri" w:cs="Arial"/>
          <w:color w:val="00B0F0"/>
          <w:rtl/>
        </w:rPr>
        <w:t>)</w:t>
      </w:r>
    </w:p>
    <w:p w14:paraId="03D1913F" w14:textId="77777777" w:rsidR="0004348D" w:rsidRPr="0004348D" w:rsidRDefault="0004348D" w:rsidP="0004348D">
      <w:pPr>
        <w:numPr>
          <w:ilvl w:val="1"/>
          <w:numId w:val="356"/>
        </w:numPr>
        <w:spacing w:before="360" w:after="240"/>
        <w:contextualSpacing/>
        <w:rPr>
          <w:rFonts w:ascii="Calibri" w:eastAsia="Calibri" w:hAnsi="Calibri" w:cs="Arial"/>
        </w:rPr>
      </w:pPr>
      <w:r w:rsidRPr="0004348D">
        <w:rPr>
          <w:rFonts w:ascii="Calibri" w:eastAsia="Calibri" w:hAnsi="Calibri" w:cs="Arial"/>
          <w:rtl/>
        </w:rPr>
        <w:t xml:space="preserve">ב"י- </w:t>
      </w:r>
      <w:r w:rsidRPr="0004348D">
        <w:rPr>
          <w:rFonts w:ascii="Calibri" w:eastAsia="Calibri" w:hAnsi="Calibri" w:cs="Arial"/>
          <w:vertAlign w:val="superscript"/>
          <w:rtl/>
        </w:rPr>
        <w:footnoteReference w:id="5680"/>
      </w:r>
      <w:r w:rsidRPr="0004348D">
        <w:rPr>
          <w:rFonts w:ascii="Calibri" w:eastAsia="Calibri" w:hAnsi="Calibri" w:cs="Arial"/>
          <w:rtl/>
        </w:rPr>
        <w:t>ולענין הלכה כיון דכל הני רבוותא סברי כהר"י ן' מיגא"ש הכי נקטינן.</w:t>
      </w:r>
    </w:p>
    <w:p w14:paraId="19BDC66D" w14:textId="77777777" w:rsidR="0004348D" w:rsidRPr="0004348D" w:rsidRDefault="0004348D" w:rsidP="0004348D">
      <w:pPr>
        <w:spacing w:before="360" w:after="240"/>
        <w:ind w:left="360"/>
        <w:rPr>
          <w:rFonts w:ascii="Calibri" w:eastAsia="Calibri" w:hAnsi="Calibri" w:cs="Arial"/>
          <w:u w:val="dotted"/>
        </w:rPr>
      </w:pPr>
      <w:r w:rsidRPr="0004348D">
        <w:rPr>
          <w:rFonts w:ascii="Calibri" w:eastAsia="Calibri" w:hAnsi="Calibri" w:cs="Arial"/>
          <w:u w:val="dotted"/>
          <w:rtl/>
        </w:rPr>
        <w:t>ומה הדין אם העדים לא מעידים שפרעו אלא שהודה בפניהם:</w:t>
      </w:r>
    </w:p>
    <w:p w14:paraId="20720157" w14:textId="77777777" w:rsidR="0004348D" w:rsidRPr="0004348D" w:rsidRDefault="0004348D" w:rsidP="00992A87">
      <w:pPr>
        <w:numPr>
          <w:ilvl w:val="0"/>
          <w:numId w:val="364"/>
        </w:numPr>
        <w:spacing w:before="360" w:after="240"/>
        <w:contextualSpacing/>
        <w:rPr>
          <w:rFonts w:ascii="Calibri" w:eastAsia="Calibri" w:hAnsi="Calibri" w:cs="Arial"/>
        </w:rPr>
      </w:pPr>
      <w:r w:rsidRPr="0004348D">
        <w:rPr>
          <w:rFonts w:ascii="Calibri" w:eastAsia="Calibri" w:hAnsi="Calibri" w:cs="Arial"/>
          <w:rtl/>
        </w:rPr>
        <w:t>רי"ף ר"י מיגאש רמב"ם ספר התרומות ורא"ש</w:t>
      </w:r>
      <w:r w:rsidRPr="0004348D">
        <w:rPr>
          <w:rFonts w:ascii="Calibri" w:eastAsia="Calibri" w:hAnsi="Calibri" w:cs="Arial"/>
          <w:vertAlign w:val="superscript"/>
          <w:rtl/>
        </w:rPr>
        <w:footnoteReference w:id="5681"/>
      </w:r>
      <w:r w:rsidRPr="0004348D">
        <w:rPr>
          <w:rFonts w:ascii="Calibri" w:eastAsia="Calibri" w:hAnsi="Calibri" w:cs="Arial"/>
          <w:rtl/>
        </w:rPr>
        <w:t>- דוקא שהעדים מעידים 'בפנינו פרע לו' בהא אמרינן שנאמן יותר מן העדים, אבל אם יעידו 'בפנינו הודה שנפרע' – נאמנין, שלא פסלם אלא לפרעון אבל הודאה מילתא אחריתא היא ובזה לא פסלם</w:t>
      </w:r>
      <w:r w:rsidRPr="0004348D">
        <w:rPr>
          <w:rFonts w:ascii="Calibri" w:eastAsia="Calibri" w:hAnsi="Calibri" w:cs="Arial"/>
          <w:sz w:val="16"/>
          <w:szCs w:val="16"/>
          <w:rtl/>
        </w:rPr>
        <w:t xml:space="preserve"> (ל' הטור)</w:t>
      </w:r>
      <w:r w:rsidRPr="0004348D">
        <w:rPr>
          <w:rFonts w:ascii="Calibri" w:eastAsia="Calibri" w:hAnsi="Calibri" w:cs="Arial"/>
          <w:rtl/>
        </w:rPr>
        <w:t xml:space="preserve">. </w:t>
      </w:r>
      <w:r w:rsidRPr="0004348D">
        <w:rPr>
          <w:rFonts w:ascii="Calibri" w:eastAsia="Calibri" w:hAnsi="Calibri" w:cs="Arial"/>
          <w:color w:val="E36C0A" w:themeColor="accent6" w:themeShade="BF"/>
          <w:rtl/>
        </w:rPr>
        <w:t>(וכ"פ בשו"ע)</w:t>
      </w:r>
    </w:p>
    <w:p w14:paraId="50AA33DB" w14:textId="77777777" w:rsidR="0004348D" w:rsidRPr="0004348D" w:rsidRDefault="0004348D" w:rsidP="00992A87">
      <w:pPr>
        <w:numPr>
          <w:ilvl w:val="0"/>
          <w:numId w:val="364"/>
        </w:numPr>
        <w:spacing w:before="360" w:after="240"/>
        <w:contextualSpacing/>
        <w:rPr>
          <w:rFonts w:ascii="Calibri" w:eastAsia="Calibri" w:hAnsi="Calibri" w:cs="Arial"/>
          <w:rtl/>
        </w:rPr>
      </w:pPr>
      <w:r w:rsidRPr="0004348D">
        <w:rPr>
          <w:rFonts w:ascii="Calibri" w:eastAsia="Calibri" w:hAnsi="Calibri" w:cs="Arial"/>
          <w:rtl/>
        </w:rPr>
        <w:t xml:space="preserve">ה"ר ישעיה </w:t>
      </w:r>
      <w:r w:rsidRPr="0004348D">
        <w:rPr>
          <w:rFonts w:ascii="Calibri" w:eastAsia="Calibri" w:hAnsi="Calibri" w:cs="Arial"/>
          <w:sz w:val="16"/>
          <w:szCs w:val="16"/>
          <w:rtl/>
        </w:rPr>
        <w:t>(כ"כ הטור בשמו)</w:t>
      </w:r>
      <w:r w:rsidRPr="0004348D">
        <w:rPr>
          <w:rFonts w:ascii="Calibri" w:eastAsia="Calibri" w:hAnsi="Calibri" w:cs="Arial"/>
          <w:rtl/>
        </w:rPr>
        <w:t xml:space="preserve"> ורשב"א </w:t>
      </w:r>
      <w:r w:rsidRPr="0004348D">
        <w:rPr>
          <w:rFonts w:ascii="Calibri" w:eastAsia="Calibri" w:hAnsi="Calibri" w:cs="Arial"/>
          <w:sz w:val="16"/>
          <w:szCs w:val="16"/>
          <w:rtl/>
        </w:rPr>
        <w:t>(סי' תתקכב)</w:t>
      </w:r>
      <w:r w:rsidRPr="0004348D">
        <w:rPr>
          <w:rFonts w:ascii="Calibri" w:eastAsia="Calibri" w:hAnsi="Calibri" w:cs="Arial"/>
          <w:rtl/>
        </w:rPr>
        <w:t>- אפילו להודאה נמי פסולין אא"כ בפני בית דין פרעו וכתבו בו 'במותב תלתא כחדא הוינא ופרעיה קמן', או הודה לו שפרעו</w:t>
      </w:r>
      <w:r w:rsidRPr="0004348D">
        <w:rPr>
          <w:rFonts w:ascii="Calibri" w:eastAsia="Calibri" w:hAnsi="Calibri" w:cs="Arial"/>
          <w:sz w:val="16"/>
          <w:szCs w:val="16"/>
          <w:rtl/>
        </w:rPr>
        <w:t xml:space="preserve"> {בפני ב"ד}</w:t>
      </w:r>
      <w:r w:rsidRPr="0004348D">
        <w:rPr>
          <w:rFonts w:ascii="Calibri" w:eastAsia="Calibri" w:hAnsi="Calibri" w:cs="Arial"/>
          <w:rtl/>
        </w:rPr>
        <w:t xml:space="preserve"> – נאמנין, דנהי שהתנה עליו שלא יהו עדים נאמנין - על ב"ד לא התנה</w:t>
      </w:r>
      <w:r w:rsidRPr="0004348D">
        <w:rPr>
          <w:rFonts w:ascii="Calibri" w:eastAsia="Calibri" w:hAnsi="Calibri" w:cs="Arial"/>
          <w:vertAlign w:val="superscript"/>
          <w:rtl/>
        </w:rPr>
        <w:footnoteReference w:id="5682"/>
      </w:r>
      <w:r w:rsidRPr="0004348D">
        <w:rPr>
          <w:rFonts w:ascii="Calibri" w:eastAsia="Calibri" w:hAnsi="Calibri" w:cs="Arial"/>
          <w:sz w:val="16"/>
          <w:szCs w:val="16"/>
          <w:rtl/>
        </w:rPr>
        <w:t xml:space="preserve"> (ל' הטור בשם ה"ר ישעיה)</w:t>
      </w:r>
      <w:r w:rsidRPr="0004348D">
        <w:rPr>
          <w:rFonts w:ascii="Calibri" w:eastAsia="Calibri" w:hAnsi="Calibri" w:cs="Arial"/>
          <w:rtl/>
        </w:rPr>
        <w:t xml:space="preserve">. (וכ"פ הש"ך </w:t>
      </w:r>
      <w:r w:rsidRPr="0004348D">
        <w:rPr>
          <w:rFonts w:ascii="Calibri" w:eastAsia="Calibri" w:hAnsi="Calibri" w:cs="Arial"/>
          <w:sz w:val="16"/>
          <w:szCs w:val="16"/>
          <w:rtl/>
        </w:rPr>
        <w:t>[סק"ח]</w:t>
      </w:r>
      <w:r w:rsidRPr="0004348D">
        <w:rPr>
          <w:rFonts w:ascii="Calibri" w:eastAsia="Calibri" w:hAnsi="Calibri" w:cs="Arial"/>
          <w:rtl/>
        </w:rPr>
        <w:t>)</w:t>
      </w:r>
    </w:p>
    <w:p w14:paraId="2C943CD0" w14:textId="77777777" w:rsidR="0004348D" w:rsidRPr="0004348D" w:rsidRDefault="0004348D" w:rsidP="00992A87">
      <w:pPr>
        <w:numPr>
          <w:ilvl w:val="0"/>
          <w:numId w:val="364"/>
        </w:numPr>
        <w:spacing w:before="360" w:after="240"/>
        <w:contextualSpacing/>
        <w:rPr>
          <w:rFonts w:ascii="Calibri" w:eastAsia="Calibri" w:hAnsi="Calibri" w:cs="Arial"/>
          <w:rtl/>
        </w:rPr>
      </w:pPr>
      <w:r w:rsidRPr="0004348D">
        <w:rPr>
          <w:rFonts w:ascii="Calibri" w:eastAsia="Calibri" w:hAnsi="Calibri" w:cs="Arial"/>
          <w:rtl/>
        </w:rPr>
        <w:t>רמב"ן</w:t>
      </w:r>
      <w:r w:rsidRPr="0004348D">
        <w:rPr>
          <w:rFonts w:ascii="Calibri" w:eastAsia="Calibri" w:hAnsi="Calibri" w:cs="Arial"/>
          <w:vertAlign w:val="superscript"/>
          <w:rtl/>
        </w:rPr>
        <w:footnoteReference w:id="5683"/>
      </w:r>
      <w:r w:rsidRPr="0004348D">
        <w:rPr>
          <w:rFonts w:ascii="Calibri" w:eastAsia="Calibri" w:hAnsi="Calibri" w:cs="Arial"/>
          <w:rtl/>
        </w:rPr>
        <w:t xml:space="preserve"> </w:t>
      </w:r>
      <w:r w:rsidRPr="0004348D">
        <w:rPr>
          <w:rFonts w:ascii="Calibri" w:eastAsia="Calibri" w:hAnsi="Calibri" w:cs="Arial"/>
          <w:sz w:val="16"/>
          <w:szCs w:val="16"/>
          <w:rtl/>
        </w:rPr>
        <w:t>(מלחמות שבועות כב., כ"כ בשמו ספר התרומות והטור)</w:t>
      </w:r>
      <w:r w:rsidRPr="0004348D">
        <w:rPr>
          <w:rFonts w:ascii="Calibri" w:eastAsia="Calibri" w:hAnsi="Calibri" w:cs="Arial"/>
          <w:rtl/>
        </w:rPr>
        <w:t xml:space="preserve">- </w:t>
      </w:r>
      <w:r w:rsidRPr="0004348D">
        <w:rPr>
          <w:rFonts w:ascii="Calibri" w:eastAsia="Calibri" w:hAnsi="Calibri" w:cs="Arial"/>
          <w:color w:val="000000" w:themeColor="text1"/>
          <w:rtl/>
        </w:rPr>
        <w:t xml:space="preserve">ודאי אם אמר </w:t>
      </w:r>
      <w:r w:rsidRPr="0004348D">
        <w:rPr>
          <w:rFonts w:ascii="Calibri" w:eastAsia="Calibri" w:hAnsi="Calibri" w:cs="Arial"/>
          <w:rtl/>
        </w:rPr>
        <w:t>ליה 'מהימנת לי כל אימת דאמרת לא נפרעתי' ובאו ב' עדים והעידו ואמרו בפנינו הודה שנפרע והוא אומר לא נפרעתי ולא הודיתי - הוא נאמן, דהא הימניה כל אימת דאמר לא איתפרע והא אמר הכי. אבל אמר לו 'אל תפרעני אלא בפני פלוני ופלוני' ואתו סהדי ואמרו דאודי קמייהו – נאמנין, שהרי לא פסלם אלא לאותו פרעון והואיל ומשום תנאי הם פסולים אין לך אלא מה שהתנה</w:t>
      </w:r>
      <w:r w:rsidRPr="0004348D">
        <w:rPr>
          <w:rFonts w:ascii="Calibri" w:eastAsia="Calibri" w:hAnsi="Calibri" w:cs="Arial"/>
          <w:sz w:val="16"/>
          <w:szCs w:val="16"/>
          <w:rtl/>
        </w:rPr>
        <w:t xml:space="preserve"> (ל' הטור בשם הרמב"ן)</w:t>
      </w:r>
      <w:r w:rsidRPr="0004348D">
        <w:rPr>
          <w:rFonts w:ascii="Calibri" w:eastAsia="Calibri" w:hAnsi="Calibri" w:cs="Arial"/>
          <w:rtl/>
        </w:rPr>
        <w:t>.</w:t>
      </w:r>
    </w:p>
    <w:p w14:paraId="4DEDD2C0" w14:textId="77777777" w:rsidR="0004348D" w:rsidRPr="0004348D" w:rsidRDefault="0004348D" w:rsidP="0004348D">
      <w:pPr>
        <w:spacing w:before="360" w:after="240"/>
        <w:ind w:left="360"/>
        <w:rPr>
          <w:rFonts w:ascii="Calibri" w:eastAsia="Calibri" w:hAnsi="Calibri" w:cs="Arial"/>
          <w:u w:val="dotted"/>
          <w:rtl/>
        </w:rPr>
      </w:pPr>
      <w:r w:rsidRPr="0004348D">
        <w:rPr>
          <w:rFonts w:ascii="Calibri" w:eastAsia="Calibri" w:hAnsi="Calibri" w:cs="Arial"/>
          <w:u w:val="dotted"/>
          <w:rtl/>
        </w:rPr>
        <w:t>ומה הדין אם העדים מעידים שהמלוה מחל ללוה:</w:t>
      </w:r>
    </w:p>
    <w:p w14:paraId="37BAEBC3" w14:textId="77777777" w:rsidR="0004348D" w:rsidRPr="0004348D" w:rsidRDefault="0004348D" w:rsidP="00992A87">
      <w:pPr>
        <w:numPr>
          <w:ilvl w:val="0"/>
          <w:numId w:val="365"/>
        </w:numPr>
        <w:spacing w:before="360" w:after="240"/>
        <w:contextualSpacing/>
        <w:rPr>
          <w:rFonts w:ascii="Calibri" w:eastAsia="Calibri" w:hAnsi="Calibri" w:cs="Arial"/>
          <w:rtl/>
        </w:rPr>
      </w:pPr>
      <w:r w:rsidRPr="0004348D">
        <w:rPr>
          <w:rFonts w:ascii="Calibri" w:eastAsia="Calibri" w:hAnsi="Calibri" w:cs="Arial"/>
          <w:rtl/>
        </w:rPr>
        <w:t xml:space="preserve">ספר התרומות </w:t>
      </w:r>
      <w:r w:rsidRPr="0004348D">
        <w:rPr>
          <w:rFonts w:ascii="Calibri" w:eastAsia="Calibri" w:hAnsi="Calibri" w:cs="Arial"/>
          <w:sz w:val="16"/>
          <w:szCs w:val="16"/>
          <w:rtl/>
        </w:rPr>
        <w:t>(שער כו שם סי' ב)</w:t>
      </w:r>
      <w:r w:rsidRPr="0004348D">
        <w:rPr>
          <w:rFonts w:ascii="Calibri" w:eastAsia="Calibri" w:hAnsi="Calibri" w:cs="Arial"/>
          <w:rtl/>
        </w:rPr>
        <w:t xml:space="preserve"> וטור- אבל מחילה ודאי מילתא אחריתא היא, ואי אתו סהדי ומסהדי דמחליה מלוה ללוה - נאמנין אע"פ שיש בו נאמנות. והמדקדקין עושין שובר מכתיבת ידו של מלוה</w:t>
      </w:r>
      <w:r w:rsidRPr="0004348D">
        <w:rPr>
          <w:rFonts w:ascii="Calibri" w:eastAsia="Calibri" w:hAnsi="Calibri" w:cs="Arial"/>
          <w:vertAlign w:val="superscript"/>
          <w:rtl/>
        </w:rPr>
        <w:footnoteReference w:id="5684"/>
      </w:r>
      <w:r w:rsidRPr="0004348D">
        <w:rPr>
          <w:rFonts w:ascii="Calibri" w:eastAsia="Calibri" w:hAnsi="Calibri" w:cs="Arial"/>
          <w:rtl/>
        </w:rPr>
        <w:t xml:space="preserve"> על שטר שיש בו נאמנות ותו ליכא למיחש למידי</w:t>
      </w:r>
      <w:r w:rsidRPr="0004348D">
        <w:rPr>
          <w:rFonts w:ascii="Calibri" w:eastAsia="Calibri" w:hAnsi="Calibri" w:cs="Arial"/>
          <w:sz w:val="16"/>
          <w:szCs w:val="16"/>
          <w:rtl/>
        </w:rPr>
        <w:t xml:space="preserve"> (ל' הטור בשם ספר התרומות)</w:t>
      </w:r>
      <w:r w:rsidRPr="0004348D">
        <w:rPr>
          <w:rFonts w:ascii="Calibri" w:eastAsia="Calibri" w:hAnsi="Calibri" w:cs="Arial"/>
          <w:rtl/>
        </w:rPr>
        <w:t xml:space="preserve">. </w:t>
      </w:r>
      <w:r w:rsidRPr="0004348D">
        <w:rPr>
          <w:rFonts w:ascii="Calibri" w:eastAsia="Calibri" w:hAnsi="Calibri" w:cs="Arial"/>
          <w:color w:val="E36C0A" w:themeColor="accent6" w:themeShade="BF"/>
          <w:rtl/>
        </w:rPr>
        <w:t>(וכ"פ בשו"ע</w:t>
      </w:r>
      <w:r w:rsidRPr="0004348D">
        <w:rPr>
          <w:rFonts w:ascii="Calibri" w:eastAsia="Calibri" w:hAnsi="Calibri" w:cs="Arial"/>
          <w:color w:val="E36C0A" w:themeColor="accent6" w:themeShade="BF"/>
          <w:sz w:val="16"/>
          <w:szCs w:val="16"/>
          <w:rtl/>
        </w:rPr>
        <w:t xml:space="preserve"> </w:t>
      </w:r>
      <w:r w:rsidRPr="0004348D">
        <w:rPr>
          <w:rFonts w:ascii="Calibri" w:eastAsia="Calibri" w:hAnsi="Calibri" w:cs="Arial"/>
          <w:sz w:val="16"/>
          <w:szCs w:val="16"/>
          <w:rtl/>
        </w:rPr>
        <w:t>[כאן ובסע' הבא]</w:t>
      </w:r>
      <w:r w:rsidRPr="0004348D">
        <w:rPr>
          <w:rFonts w:ascii="Calibri" w:eastAsia="Calibri" w:hAnsi="Calibri" w:cs="Arial"/>
          <w:color w:val="E36C0A" w:themeColor="accent6" w:themeShade="BF"/>
          <w:rtl/>
        </w:rPr>
        <w:t>)</w:t>
      </w:r>
    </w:p>
    <w:p w14:paraId="18F373C8" w14:textId="77777777" w:rsidR="0004348D" w:rsidRPr="0004348D" w:rsidRDefault="0004348D" w:rsidP="0004348D">
      <w:pPr>
        <w:spacing w:before="360" w:after="240"/>
        <w:rPr>
          <w:rFonts w:ascii="Calibri" w:eastAsia="Calibri" w:hAnsi="Calibri" w:cs="Arial"/>
          <w:u w:val="single"/>
        </w:rPr>
      </w:pPr>
      <w:r w:rsidRPr="0004348D">
        <w:rPr>
          <w:rFonts w:ascii="Calibri" w:eastAsia="Calibri" w:hAnsi="Calibri" w:cs="Arial"/>
          <w:u w:val="single"/>
          <w:rtl/>
        </w:rPr>
        <w:t xml:space="preserve">כתב לו בנאמנות שיהא נאמן בלא שום שבועה </w:t>
      </w:r>
      <w:r w:rsidRPr="0004348D">
        <w:rPr>
          <w:rFonts w:ascii="Calibri" w:eastAsia="Calibri" w:hAnsi="Calibri" w:cs="Arial"/>
          <w:sz w:val="16"/>
          <w:szCs w:val="16"/>
          <w:u w:val="single"/>
          <w:rtl/>
        </w:rPr>
        <w:t xml:space="preserve">(וכמו שיתבאר לקמן סע' ה) </w:t>
      </w:r>
      <w:r w:rsidRPr="0004348D">
        <w:rPr>
          <w:rFonts w:ascii="Calibri" w:eastAsia="Calibri" w:hAnsi="Calibri" w:cs="Arial"/>
          <w:u w:val="single"/>
          <w:rtl/>
        </w:rPr>
        <w:t>– האם לא צריך להשבע על שום דבר:</w:t>
      </w:r>
    </w:p>
    <w:p w14:paraId="4EAD6E43" w14:textId="77777777" w:rsidR="0004348D" w:rsidRPr="0004348D" w:rsidRDefault="0004348D" w:rsidP="00992A87">
      <w:pPr>
        <w:numPr>
          <w:ilvl w:val="0"/>
          <w:numId w:val="365"/>
        </w:numPr>
        <w:spacing w:before="360" w:after="240"/>
        <w:contextualSpacing/>
        <w:rPr>
          <w:rFonts w:ascii="Calibri" w:eastAsia="Calibri" w:hAnsi="Calibri" w:cs="Arial"/>
        </w:rPr>
      </w:pPr>
      <w:r w:rsidRPr="0004348D">
        <w:rPr>
          <w:rFonts w:ascii="Calibri" w:eastAsia="Calibri" w:hAnsi="Calibri" w:cs="Arial"/>
          <w:rtl/>
        </w:rPr>
        <w:t>טור- אין פטור מועיל אלא לענין שלא נפרע או אם שטר שותפות הוא פוטרו משבועת השותפין, אבל לא לכל דבר, כמו שכתב א"א הרא"ש ז"ל בתשובה</w:t>
      </w:r>
      <w:r w:rsidRPr="0004348D">
        <w:rPr>
          <w:rFonts w:ascii="Calibri" w:eastAsia="Calibri" w:hAnsi="Calibri" w:cs="Arial"/>
          <w:sz w:val="16"/>
          <w:szCs w:val="16"/>
          <w:rtl/>
        </w:rPr>
        <w:t xml:space="preserve"> (ריש כלל עא סי' ב)</w:t>
      </w:r>
      <w:r w:rsidRPr="0004348D">
        <w:rPr>
          <w:rFonts w:ascii="Calibri" w:eastAsia="Calibri" w:hAnsi="Calibri" w:cs="Arial"/>
          <w:rtl/>
        </w:rPr>
        <w:t xml:space="preserve">- ששאלת ראובן שנתן לשמעון מעות להתעסק בשותפות, והאמין שמעון לראובן עליו ועל יורשיו וכתב בו שאם יארע בשמעון דבר המעכבו מלישבע שבועת השותפין שהוא מאמינו מעכשיו כב' עדים לומר שלא אירע הפסד באותו העסק ובכל אשר יאמר בעיקר הממון. ונפטר שמעון והניח מעות ביד לוי כשיעור חובו של ראובן ובא ראובן בשטר השותפות לגבות מאותן המעות הנמצאים בעין ואומר שמממונו הם ואומר שיש להאמינו בדיבורו בלא שבועה ע"פ שטרו. יראה שאין ראובן נאמן, שלא האמינו שמעון אלא משבועת השותפין שהיתה מוטלת עליו לישבע אם היה טוען שאירע הפסד בממון ולא הרויח כל כך, דהיינו בכלל שלא עיכב משלו כלום, ואם יארע בו דבר שאינו יכול לישבע שבועה זו כגון ששמעון היה טוען טענת שמא אז יהיה ראובן נאמן בדיבורו. אבל על טענה זו אף אם היה שמעון חי והיה טוען אלו שטרי חובות הן מממונך והיה ראובן אומר אינם מממוני אלא המעות שבתיבתך הן מממוני - על דבר זה לא האמינו. </w:t>
      </w:r>
      <w:r w:rsidRPr="0004348D">
        <w:rPr>
          <w:rFonts w:ascii="Calibri" w:eastAsia="Calibri" w:hAnsi="Calibri" w:cs="Arial"/>
          <w:color w:val="00B0F0"/>
          <w:rtl/>
        </w:rPr>
        <w:t>(וכ"פ הרמ"א)</w:t>
      </w:r>
    </w:p>
    <w:p w14:paraId="6E6BD96D" w14:textId="77777777" w:rsidR="0004348D" w:rsidRPr="0004348D" w:rsidRDefault="0004348D" w:rsidP="0004348D">
      <w:pPr>
        <w:spacing w:before="360" w:after="240"/>
        <w:rPr>
          <w:rFonts w:ascii="Calibri" w:eastAsia="Calibri" w:hAnsi="Calibri" w:cs="Arial"/>
          <w:u w:val="single"/>
        </w:rPr>
      </w:pPr>
      <w:r w:rsidRPr="0004348D">
        <w:rPr>
          <w:rFonts w:ascii="Calibri" w:eastAsia="Calibri" w:hAnsi="Calibri" w:cs="Arial"/>
          <w:u w:val="single"/>
          <w:rtl/>
        </w:rPr>
        <w:t>שטר שיש בו נאמנות וכתוב בשטר שחייב עצמו בהוצאה ושוחד וטוען הלוה שהנאמנות על גוף השטר ולא בהוצאות:</w:t>
      </w:r>
    </w:p>
    <w:p w14:paraId="3A8129AD" w14:textId="77777777" w:rsidR="0004348D" w:rsidRPr="0004348D" w:rsidRDefault="0004348D" w:rsidP="00992A87">
      <w:pPr>
        <w:numPr>
          <w:ilvl w:val="0"/>
          <w:numId w:val="365"/>
        </w:numPr>
        <w:spacing w:before="360" w:after="240"/>
        <w:contextualSpacing/>
        <w:rPr>
          <w:rFonts w:ascii="Calibri" w:eastAsia="Calibri" w:hAnsi="Calibri" w:cs="Arial"/>
        </w:rPr>
      </w:pPr>
      <w:r w:rsidRPr="0004348D">
        <w:rPr>
          <w:rFonts w:ascii="Calibri" w:eastAsia="Calibri" w:hAnsi="Calibri" w:cs="Arial"/>
          <w:rtl/>
        </w:rPr>
        <w:t xml:space="preserve">רא"ש </w:t>
      </w:r>
      <w:r w:rsidRPr="0004348D">
        <w:rPr>
          <w:rFonts w:ascii="Calibri" w:eastAsia="Calibri" w:hAnsi="Calibri" w:cs="Arial"/>
          <w:sz w:val="16"/>
          <w:szCs w:val="16"/>
          <w:rtl/>
        </w:rPr>
        <w:t>(כלל עא סי' ח)</w:t>
      </w:r>
      <w:r w:rsidRPr="0004348D">
        <w:rPr>
          <w:rFonts w:ascii="Calibri" w:eastAsia="Calibri" w:hAnsi="Calibri" w:cs="Arial"/>
          <w:rtl/>
        </w:rPr>
        <w:t>- ששאלת, שטר שיש בו נאמנות וכתוב בשטר שחייב עצמו בהוצאה ושוחד. וטוען הלוה שאין הנאמנות אלא בגוף השטר ולא בהוצאות. תשובה, כל תנאי שבממון תנאו קיים ומועיל הנאמנות אף לענין הוצאות ושוחד כמו שמועיל לעיקר הממון שכתוב בשטר.</w:t>
      </w:r>
      <w:r w:rsidRPr="0004348D">
        <w:rPr>
          <w:rFonts w:ascii="Calibri" w:eastAsia="Calibri" w:hAnsi="Calibri" w:cs="Arial"/>
          <w:color w:val="00B0F0"/>
          <w:rtl/>
        </w:rPr>
        <w:t xml:space="preserve"> (וכ"פ הרמ"א)</w:t>
      </w:r>
    </w:p>
    <w:p w14:paraId="0828AE17" w14:textId="77777777" w:rsidR="0004348D" w:rsidRPr="0004348D" w:rsidRDefault="0004348D" w:rsidP="0004348D">
      <w:pPr>
        <w:spacing w:before="360" w:after="240"/>
        <w:rPr>
          <w:rFonts w:ascii="Arial" w:eastAsia="Calibri" w:hAnsi="Arial" w:cs="Arial"/>
          <w:b/>
          <w:bCs/>
          <w:color w:val="000000"/>
          <w:sz w:val="28"/>
          <w:szCs w:val="28"/>
          <w:u w:val="single"/>
          <w:rtl/>
        </w:rPr>
      </w:pPr>
      <w:r w:rsidRPr="0004348D">
        <w:rPr>
          <w:rFonts w:ascii="Arial" w:eastAsia="Calibri" w:hAnsi="Arial" w:cs="Arial"/>
          <w:b/>
          <w:bCs/>
          <w:color w:val="000000"/>
          <w:sz w:val="28"/>
          <w:szCs w:val="28"/>
          <w:u w:val="single"/>
          <w:rtl/>
        </w:rPr>
        <w:t>שו"ע:</w:t>
      </w:r>
    </w:p>
    <w:p w14:paraId="1BAB4C79" w14:textId="77777777" w:rsidR="0004348D" w:rsidRPr="0004348D" w:rsidRDefault="0004348D" w:rsidP="0004348D">
      <w:pPr>
        <w:spacing w:before="360" w:after="240"/>
        <w:rPr>
          <w:rFonts w:ascii="Calibri" w:eastAsia="Calibri" w:hAnsi="Calibri" w:cs="Arial"/>
          <w:rtl/>
        </w:rPr>
      </w:pPr>
      <w:r w:rsidRPr="0004348D">
        <w:rPr>
          <w:rFonts w:ascii="Calibri" w:eastAsia="Calibri" w:hAnsi="Calibri" w:cs="Arial"/>
          <w:rtl/>
        </w:rPr>
        <w:t>הא דמהני נאמנות כנגד עדים הני מילי כשמעידין 'בפנינו פרעו', אבל אם העידו 'בפנינו הודה שפרעו', נאמנים, שלא פסלם אלא לפרעון</w:t>
      </w:r>
      <w:r w:rsidRPr="0004348D">
        <w:rPr>
          <w:rFonts w:ascii="Calibri" w:eastAsia="Calibri" w:hAnsi="Calibri" w:cs="Arial"/>
          <w:vertAlign w:val="superscript"/>
          <w:rtl/>
        </w:rPr>
        <w:footnoteReference w:id="5685"/>
      </w:r>
      <w:r w:rsidRPr="0004348D">
        <w:rPr>
          <w:rFonts w:ascii="Calibri" w:eastAsia="Calibri" w:hAnsi="Calibri" w:cs="Arial"/>
          <w:rtl/>
        </w:rPr>
        <w:t>, אבל הודאה מילתא אחריתי היא, ובה לא פסלם. וכן אם העידו שמחל</w:t>
      </w:r>
      <w:r w:rsidRPr="0004348D">
        <w:rPr>
          <w:rFonts w:ascii="Calibri" w:eastAsia="Calibri" w:hAnsi="Calibri" w:cs="Arial"/>
          <w:vertAlign w:val="superscript"/>
          <w:rtl/>
        </w:rPr>
        <w:footnoteReference w:id="5686"/>
      </w:r>
      <w:r w:rsidRPr="0004348D">
        <w:rPr>
          <w:rFonts w:ascii="Calibri" w:eastAsia="Calibri" w:hAnsi="Calibri" w:cs="Arial"/>
          <w:rtl/>
        </w:rPr>
        <w:t xml:space="preserve"> לו החוב, נאמנים. </w:t>
      </w:r>
      <w:r w:rsidRPr="0004348D">
        <w:rPr>
          <w:rFonts w:ascii="Calibri" w:eastAsia="Calibri" w:hAnsi="Calibri" w:cs="Arial"/>
          <w:sz w:val="18"/>
          <w:szCs w:val="18"/>
          <w:rtl/>
        </w:rPr>
        <w:t>הגה: וכן כל כיוצא בזה, דאין הנאמנות אלא למה שהאמינו</w:t>
      </w:r>
      <w:r w:rsidRPr="0004348D">
        <w:rPr>
          <w:rFonts w:ascii="Calibri" w:eastAsia="Calibri" w:hAnsi="Calibri" w:cs="Arial"/>
          <w:sz w:val="18"/>
          <w:szCs w:val="18"/>
          <w:vertAlign w:val="superscript"/>
          <w:rtl/>
        </w:rPr>
        <w:footnoteReference w:id="5687"/>
      </w:r>
      <w:r w:rsidRPr="0004348D">
        <w:rPr>
          <w:rFonts w:ascii="Calibri" w:eastAsia="Calibri" w:hAnsi="Calibri" w:cs="Arial"/>
          <w:sz w:val="18"/>
          <w:szCs w:val="18"/>
          <w:rtl/>
        </w:rPr>
        <w:t xml:space="preserve"> עליו ולא יותר, כגון מי שקבל מעות בעסקא והאמין לנותן עליו ועל יורשיו לומר שלא אירע הפסד באותו ממון ובכל אשר יאמר בעיקר הממון, ואח"כ נפטר המקבל והניח ממון ביד אחר, והנותן אומר שהוא מעסק השותפות, אינו נאמן בזה, אפילו היה המקבל </w:t>
      </w:r>
      <w:r w:rsidRPr="0004348D">
        <w:rPr>
          <w:rFonts w:ascii="Calibri" w:eastAsia="Calibri" w:hAnsi="Calibri" w:cs="Arial"/>
          <w:sz w:val="18"/>
          <w:szCs w:val="18"/>
          <w:vertAlign w:val="superscript"/>
          <w:rtl/>
        </w:rPr>
        <w:footnoteReference w:id="5688"/>
      </w:r>
      <w:r w:rsidRPr="0004348D">
        <w:rPr>
          <w:rFonts w:ascii="Calibri" w:eastAsia="Calibri" w:hAnsi="Calibri" w:cs="Arial"/>
          <w:sz w:val="16"/>
          <w:szCs w:val="16"/>
          <w:rtl/>
        </w:rPr>
        <w:t>(חי)</w:t>
      </w:r>
      <w:r w:rsidRPr="0004348D">
        <w:rPr>
          <w:rFonts w:ascii="Calibri" w:eastAsia="Calibri" w:hAnsi="Calibri" w:cs="Arial"/>
          <w:sz w:val="18"/>
          <w:szCs w:val="18"/>
          <w:rtl/>
        </w:rPr>
        <w:t xml:space="preserve">, הואיל ולא נכלל בלשון הנאמנות </w:t>
      </w:r>
      <w:r w:rsidRPr="0004348D">
        <w:rPr>
          <w:rFonts w:ascii="Calibri" w:eastAsia="Calibri" w:hAnsi="Calibri" w:cs="Arial"/>
          <w:sz w:val="16"/>
          <w:szCs w:val="16"/>
          <w:rtl/>
        </w:rPr>
        <w:t>(טור בשם תשו' הרא"ש כלל עא סי' ב)</w:t>
      </w:r>
      <w:r w:rsidRPr="0004348D">
        <w:rPr>
          <w:rFonts w:ascii="Calibri" w:eastAsia="Calibri" w:hAnsi="Calibri" w:cs="Arial"/>
          <w:sz w:val="18"/>
          <w:szCs w:val="18"/>
          <w:rtl/>
        </w:rPr>
        <w:t xml:space="preserve">. אבל כל מה שכתב עליו נאמנות, מהני. כגון אם כתב לו שיהא נאמן כמה הוציא הוצאות ושחדים, מהני, כמו שמהני לעיקר הקרן, דכל תנאי שבממון קיים </w:t>
      </w:r>
      <w:r w:rsidRPr="0004348D">
        <w:rPr>
          <w:rFonts w:ascii="Calibri" w:eastAsia="Calibri" w:hAnsi="Calibri" w:cs="Arial"/>
          <w:sz w:val="16"/>
          <w:szCs w:val="16"/>
          <w:rtl/>
        </w:rPr>
        <w:t>(טור בשם תשו' הרא"ש שם סי' ח)</w:t>
      </w:r>
      <w:r w:rsidRPr="0004348D">
        <w:rPr>
          <w:rFonts w:ascii="Calibri" w:eastAsia="Calibri" w:hAnsi="Calibri" w:cs="Arial"/>
          <w:sz w:val="18"/>
          <w:szCs w:val="18"/>
          <w:rtl/>
        </w:rPr>
        <w:t>.</w:t>
      </w:r>
      <w:r w:rsidRPr="0004348D">
        <w:rPr>
          <w:rFonts w:ascii="Calibri" w:eastAsia="Calibri" w:hAnsi="Calibri" w:cs="Arial"/>
          <w:rtl/>
        </w:rPr>
        <w:t xml:space="preserve"> </w:t>
      </w:r>
    </w:p>
    <w:p w14:paraId="15A18691" w14:textId="77777777" w:rsidR="0004348D" w:rsidRPr="0004348D" w:rsidRDefault="0004348D" w:rsidP="0004348D">
      <w:pPr>
        <w:spacing w:before="360" w:after="240"/>
        <w:rPr>
          <w:rFonts w:ascii="Calibri" w:eastAsia="Calibri" w:hAnsi="Calibri" w:cs="Arial"/>
          <w:rtl/>
        </w:rPr>
      </w:pPr>
    </w:p>
    <w:p w14:paraId="70B41C86" w14:textId="77777777" w:rsidR="0004348D" w:rsidRPr="0004348D" w:rsidRDefault="0004348D" w:rsidP="0004348D">
      <w:pPr>
        <w:keepNext/>
        <w:keepLines/>
        <w:spacing w:before="360" w:after="240"/>
        <w:outlineLvl w:val="1"/>
        <w:rPr>
          <w:rFonts w:ascii="Cambria" w:eastAsia="Times New Roman" w:hAnsi="Cambria" w:cs="Arial"/>
          <w:bCs/>
          <w:color w:val="548DD4" w:themeColor="text2" w:themeTint="99"/>
          <w:sz w:val="26"/>
          <w:szCs w:val="26"/>
          <w:rtl/>
        </w:rPr>
      </w:pPr>
      <w:bookmarkStart w:id="800" w:name="_Toc24884197"/>
      <w:r w:rsidRPr="0004348D">
        <w:rPr>
          <w:rFonts w:ascii="Cambria" w:eastAsia="Times New Roman" w:hAnsi="Cambria" w:cs="Arial"/>
          <w:bCs/>
          <w:color w:val="548DD4" w:themeColor="text2" w:themeTint="99"/>
          <w:sz w:val="26"/>
          <w:szCs w:val="26"/>
          <w:rtl/>
        </w:rPr>
        <w:t>סעיף ד: כתיבת שובר על שטר של נאמנות.</w:t>
      </w:r>
      <w:bookmarkEnd w:id="800"/>
    </w:p>
    <w:p w14:paraId="48B73531" w14:textId="77777777" w:rsidR="0004348D" w:rsidRPr="0004348D" w:rsidRDefault="0004348D" w:rsidP="0004348D">
      <w:pPr>
        <w:spacing w:before="360" w:after="240"/>
        <w:rPr>
          <w:rFonts w:ascii="Calibri" w:eastAsia="Calibri" w:hAnsi="Calibri" w:cs="Arial"/>
          <w:rtl/>
        </w:rPr>
      </w:pPr>
      <w:r w:rsidRPr="0004348D">
        <w:rPr>
          <w:rFonts w:ascii="Calibri" w:eastAsia="Calibri" w:hAnsi="Calibri" w:cs="Arial"/>
          <w:b/>
          <w:bCs/>
          <w:rtl/>
        </w:rPr>
        <w:t xml:space="preserve">שבועות </w:t>
      </w:r>
      <w:r w:rsidRPr="0004348D">
        <w:rPr>
          <w:rFonts w:ascii="Calibri" w:eastAsia="Calibri" w:hAnsi="Calibri" w:cs="Arial"/>
          <w:b/>
          <w:bCs/>
          <w:sz w:val="16"/>
          <w:szCs w:val="16"/>
          <w:rtl/>
        </w:rPr>
        <w:t xml:space="preserve">(פרק שבועת הדיינים) </w:t>
      </w:r>
      <w:r w:rsidRPr="0004348D">
        <w:rPr>
          <w:rFonts w:ascii="Calibri" w:eastAsia="Calibri" w:hAnsi="Calibri" w:cs="Arial"/>
          <w:b/>
          <w:bCs/>
          <w:rtl/>
        </w:rPr>
        <w:t>מא</w:t>
      </w:r>
      <w:r w:rsidRPr="0004348D">
        <w:rPr>
          <w:rFonts w:ascii="Calibri" w:eastAsia="Calibri" w:hAnsi="Calibri" w:cs="Arial"/>
          <w:b/>
          <w:bCs/>
          <w:vertAlign w:val="superscript"/>
          <w:rtl/>
        </w:rPr>
        <w:footnoteReference w:id="5689"/>
      </w:r>
      <w:r w:rsidRPr="0004348D">
        <w:rPr>
          <w:rFonts w:ascii="Calibri" w:eastAsia="Calibri" w:hAnsi="Calibri" w:cs="Arial"/>
          <w:b/>
          <w:bCs/>
          <w:rtl/>
        </w:rPr>
        <w:t xml:space="preserve"> ע"ב:</w:t>
      </w:r>
      <w:r w:rsidRPr="0004348D">
        <w:rPr>
          <w:rFonts w:ascii="Calibri" w:eastAsia="Calibri" w:hAnsi="Calibri" w:cs="Arial"/>
          <w:rtl/>
        </w:rPr>
        <w:t xml:space="preserve"> ההוא דאמר ליה לחבריה: כי פרעת לי - פרעין לי באפי בי תרי דתנו הלכתא, אזל פרעיה בין דיליה לדיליה, איתניסו</w:t>
      </w:r>
      <w:r w:rsidRPr="0004348D">
        <w:rPr>
          <w:rFonts w:ascii="Calibri" w:eastAsia="Calibri" w:hAnsi="Calibri" w:cs="Arial"/>
          <w:vertAlign w:val="superscript"/>
          <w:rtl/>
        </w:rPr>
        <w:footnoteReference w:id="5690"/>
      </w:r>
      <w:r w:rsidRPr="0004348D">
        <w:rPr>
          <w:rFonts w:ascii="Calibri" w:eastAsia="Calibri" w:hAnsi="Calibri" w:cs="Arial"/>
          <w:rtl/>
        </w:rPr>
        <w:t xml:space="preserve"> הנך זוזי. אתא לקמיה דרב נחמן, א"ל: אין, קבולי קבלתינהו מיניה דרך פקדון, ואמינא: ליהוי גבאי פקדון</w:t>
      </w:r>
      <w:r w:rsidRPr="0004348D">
        <w:rPr>
          <w:rFonts w:ascii="Calibri" w:eastAsia="Calibri" w:hAnsi="Calibri" w:cs="Arial"/>
          <w:vertAlign w:val="superscript"/>
          <w:rtl/>
        </w:rPr>
        <w:footnoteReference w:id="5691"/>
      </w:r>
      <w:r w:rsidRPr="0004348D">
        <w:rPr>
          <w:rFonts w:ascii="Calibri" w:eastAsia="Calibri" w:hAnsi="Calibri" w:cs="Arial"/>
          <w:rtl/>
        </w:rPr>
        <w:t>, עד דמתרמו בי תרי דתנו הלכתא ומקיים תנאיה. א"ל: כיון דקא מודית</w:t>
      </w:r>
      <w:r w:rsidRPr="0004348D">
        <w:rPr>
          <w:rFonts w:ascii="Calibri" w:eastAsia="Calibri" w:hAnsi="Calibri" w:cs="Arial"/>
          <w:vertAlign w:val="superscript"/>
          <w:rtl/>
        </w:rPr>
        <w:footnoteReference w:id="5692"/>
      </w:r>
      <w:r w:rsidRPr="0004348D">
        <w:rPr>
          <w:rFonts w:ascii="Calibri" w:eastAsia="Calibri" w:hAnsi="Calibri" w:cs="Arial"/>
          <w:rtl/>
        </w:rPr>
        <w:t xml:space="preserve"> דודאי שקלתינהו מיניה - פרעון מעליא הוי....</w:t>
      </w:r>
    </w:p>
    <w:p w14:paraId="37808406" w14:textId="77777777" w:rsidR="0004348D" w:rsidRPr="0004348D" w:rsidRDefault="0004348D" w:rsidP="0004348D">
      <w:pPr>
        <w:spacing w:before="360" w:after="240"/>
        <w:rPr>
          <w:rFonts w:ascii="Calibri" w:eastAsia="Calibri" w:hAnsi="Calibri" w:cs="Arial"/>
          <w:u w:val="single"/>
          <w:rtl/>
        </w:rPr>
      </w:pPr>
      <w:r w:rsidRPr="0004348D">
        <w:rPr>
          <w:rFonts w:ascii="Calibri" w:eastAsia="Calibri" w:hAnsi="Calibri" w:cs="Arial"/>
          <w:u w:val="single"/>
          <w:rtl/>
        </w:rPr>
        <w:t>לוה שהאמין למלוה כשני עדים – מה תקנתו כשיפרע:</w:t>
      </w:r>
    </w:p>
    <w:p w14:paraId="5855B13F" w14:textId="77777777" w:rsidR="0004348D" w:rsidRPr="0004348D" w:rsidRDefault="0004348D" w:rsidP="00992A87">
      <w:pPr>
        <w:numPr>
          <w:ilvl w:val="0"/>
          <w:numId w:val="364"/>
        </w:numPr>
        <w:spacing w:before="360" w:after="240"/>
        <w:contextualSpacing/>
        <w:rPr>
          <w:rFonts w:ascii="Calibri" w:eastAsia="Calibri" w:hAnsi="Calibri" w:cs="Arial"/>
          <w:rtl/>
        </w:rPr>
      </w:pPr>
      <w:r w:rsidRPr="0004348D">
        <w:rPr>
          <w:rFonts w:ascii="Calibri" w:eastAsia="Calibri" w:hAnsi="Calibri" w:cs="Arial"/>
          <w:rtl/>
        </w:rPr>
        <w:t xml:space="preserve">רמב"ם </w:t>
      </w:r>
      <w:r w:rsidRPr="0004348D">
        <w:rPr>
          <w:rFonts w:ascii="Calibri" w:eastAsia="Calibri" w:hAnsi="Calibri" w:cs="Arial"/>
          <w:sz w:val="16"/>
          <w:szCs w:val="16"/>
          <w:rtl/>
        </w:rPr>
        <w:t>(פט"ו ממלוה ה"ד)</w:t>
      </w:r>
      <w:r w:rsidRPr="0004348D">
        <w:rPr>
          <w:rFonts w:ascii="Calibri" w:eastAsia="Calibri" w:hAnsi="Calibri" w:cs="Arial"/>
          <w:rtl/>
        </w:rPr>
        <w:t>- זה שהאמין למלוה כשני עדים מה תקנתו כשיפרע - יקרע השטר, או יעיד זה המלוה על עצמו שבטל כל שטר שיש לו על פלוני, או יעיד על עצמו שקבל כל חוב שיש לו על פלוני.</w:t>
      </w:r>
    </w:p>
    <w:p w14:paraId="6A7D9A45" w14:textId="77777777" w:rsidR="0004348D" w:rsidRPr="0004348D" w:rsidRDefault="0004348D" w:rsidP="0004348D">
      <w:pPr>
        <w:spacing w:before="360" w:after="240"/>
        <w:rPr>
          <w:rFonts w:ascii="Arial" w:eastAsia="Calibri" w:hAnsi="Arial" w:cs="Arial"/>
          <w:b/>
          <w:bCs/>
          <w:color w:val="000000"/>
          <w:sz w:val="28"/>
          <w:szCs w:val="28"/>
          <w:u w:val="single"/>
          <w:rtl/>
        </w:rPr>
      </w:pPr>
      <w:r w:rsidRPr="0004348D">
        <w:rPr>
          <w:rFonts w:ascii="Arial" w:eastAsia="Calibri" w:hAnsi="Arial" w:cs="Arial"/>
          <w:b/>
          <w:bCs/>
          <w:color w:val="000000"/>
          <w:sz w:val="28"/>
          <w:szCs w:val="28"/>
          <w:u w:val="single"/>
          <w:rtl/>
        </w:rPr>
        <w:t>שו"ע:</w:t>
      </w:r>
    </w:p>
    <w:p w14:paraId="6F9447D8" w14:textId="77777777" w:rsidR="0004348D" w:rsidRPr="0004348D" w:rsidRDefault="0004348D" w:rsidP="0004348D">
      <w:pPr>
        <w:spacing w:before="360" w:after="240"/>
        <w:rPr>
          <w:rFonts w:ascii="Calibri" w:eastAsia="Calibri" w:hAnsi="Calibri" w:cs="Arial"/>
          <w:rtl/>
        </w:rPr>
      </w:pPr>
      <w:r w:rsidRPr="0004348D">
        <w:rPr>
          <w:rFonts w:ascii="Calibri" w:eastAsia="Calibri" w:hAnsi="Calibri" w:cs="Arial"/>
          <w:rtl/>
        </w:rPr>
        <w:t>המדקדקים, עושין שובר מכתב ידו של מלוה על שטר של נאמנות</w:t>
      </w:r>
      <w:r w:rsidRPr="0004348D">
        <w:rPr>
          <w:rFonts w:ascii="Calibri" w:eastAsia="Calibri" w:hAnsi="Calibri" w:cs="Arial"/>
          <w:vertAlign w:val="superscript"/>
          <w:rtl/>
        </w:rPr>
        <w:footnoteReference w:id="5693"/>
      </w:r>
      <w:r w:rsidRPr="0004348D">
        <w:rPr>
          <w:rFonts w:ascii="Calibri" w:eastAsia="Calibri" w:hAnsi="Calibri" w:cs="Arial"/>
          <w:rtl/>
        </w:rPr>
        <w:t xml:space="preserve">, ותו ליכא למיחש למידי. </w:t>
      </w:r>
    </w:p>
    <w:p w14:paraId="26951033" w14:textId="77777777" w:rsidR="0004348D" w:rsidRPr="0004348D" w:rsidRDefault="0004348D" w:rsidP="0004348D">
      <w:pPr>
        <w:spacing w:before="360" w:after="240"/>
        <w:rPr>
          <w:rFonts w:ascii="Calibri" w:eastAsia="Calibri" w:hAnsi="Calibri" w:cs="Arial"/>
          <w:rtl/>
        </w:rPr>
      </w:pPr>
    </w:p>
    <w:p w14:paraId="3F9B2934" w14:textId="77777777" w:rsidR="0004348D" w:rsidRPr="0004348D" w:rsidRDefault="0004348D" w:rsidP="0004348D">
      <w:pPr>
        <w:keepNext/>
        <w:keepLines/>
        <w:spacing w:before="360" w:after="240"/>
        <w:outlineLvl w:val="1"/>
        <w:rPr>
          <w:rFonts w:ascii="Cambria" w:eastAsia="Times New Roman" w:hAnsi="Cambria" w:cs="Times New Roman"/>
          <w:bCs/>
          <w:color w:val="548DD4" w:themeColor="text2" w:themeTint="99"/>
          <w:sz w:val="26"/>
          <w:szCs w:val="26"/>
          <w:rtl/>
        </w:rPr>
      </w:pPr>
      <w:bookmarkStart w:id="801" w:name="_Toc24884198"/>
      <w:r w:rsidRPr="0004348D">
        <w:rPr>
          <w:rFonts w:ascii="Cambria" w:eastAsia="Times New Roman" w:hAnsi="Cambria" w:cs="Arial"/>
          <w:bCs/>
          <w:color w:val="548DD4" w:themeColor="text2" w:themeTint="99"/>
          <w:sz w:val="26"/>
          <w:szCs w:val="26"/>
          <w:rtl/>
        </w:rPr>
        <w:t>סעיף ה: לוה שפרע ב' פעמים ועתה תובע את המלוה לדין.</w:t>
      </w:r>
      <w:bookmarkEnd w:id="801"/>
    </w:p>
    <w:p w14:paraId="3E887DF7" w14:textId="77777777" w:rsidR="0004348D" w:rsidRPr="0004348D" w:rsidRDefault="0004348D" w:rsidP="0004348D">
      <w:pPr>
        <w:spacing w:before="360" w:after="240"/>
        <w:rPr>
          <w:rFonts w:ascii="Calibri" w:eastAsia="Calibri" w:hAnsi="Calibri" w:cs="Arial"/>
          <w:u w:val="single"/>
        </w:rPr>
      </w:pPr>
      <w:r w:rsidRPr="0004348D">
        <w:rPr>
          <w:rFonts w:ascii="Calibri" w:eastAsia="Calibri" w:hAnsi="Calibri" w:cs="Arial"/>
          <w:u w:val="single"/>
          <w:rtl/>
        </w:rPr>
        <w:t xml:space="preserve">לוה שפרע למלוה </w:t>
      </w:r>
      <w:r w:rsidRPr="0004348D">
        <w:rPr>
          <w:rFonts w:ascii="Calibri" w:eastAsia="Calibri" w:hAnsi="Calibri" w:cs="Arial"/>
          <w:sz w:val="16"/>
          <w:szCs w:val="16"/>
          <w:u w:val="single"/>
          <w:rtl/>
        </w:rPr>
        <w:t>(בפני עדים)</w:t>
      </w:r>
      <w:r w:rsidRPr="0004348D">
        <w:rPr>
          <w:rFonts w:ascii="Calibri" w:eastAsia="Calibri" w:hAnsi="Calibri" w:cs="Arial"/>
          <w:u w:val="single"/>
          <w:rtl/>
        </w:rPr>
        <w:t xml:space="preserve">, והוצרך לפורעו שנית </w:t>
      </w:r>
      <w:r w:rsidRPr="0004348D">
        <w:rPr>
          <w:rFonts w:ascii="Calibri" w:eastAsia="Calibri" w:hAnsi="Calibri" w:cs="Arial"/>
          <w:sz w:val="16"/>
          <w:szCs w:val="16"/>
          <w:u w:val="single"/>
          <w:rtl/>
        </w:rPr>
        <w:t>(כיון שהאמין את המלוה כשני עדים)</w:t>
      </w:r>
      <w:r w:rsidRPr="0004348D">
        <w:rPr>
          <w:rFonts w:ascii="Calibri" w:eastAsia="Calibri" w:hAnsi="Calibri" w:cs="Arial"/>
          <w:u w:val="single"/>
          <w:rtl/>
        </w:rPr>
        <w:t xml:space="preserve"> – ותבע הלוה את המלוה לדין:</w:t>
      </w:r>
    </w:p>
    <w:p w14:paraId="155550EA" w14:textId="77777777" w:rsidR="0004348D" w:rsidRPr="0004348D" w:rsidRDefault="0004348D" w:rsidP="00992A87">
      <w:pPr>
        <w:numPr>
          <w:ilvl w:val="0"/>
          <w:numId w:val="364"/>
        </w:numPr>
        <w:spacing w:before="360" w:after="240"/>
        <w:contextualSpacing/>
        <w:rPr>
          <w:rFonts w:ascii="Calibri" w:eastAsia="Calibri" w:hAnsi="Calibri" w:cs="Arial"/>
        </w:rPr>
      </w:pPr>
      <w:r w:rsidRPr="0004348D">
        <w:rPr>
          <w:rFonts w:ascii="Calibri" w:eastAsia="Calibri" w:hAnsi="Calibri" w:cs="Arial"/>
          <w:rtl/>
        </w:rPr>
        <w:t xml:space="preserve">רמב"ם </w:t>
      </w:r>
      <w:r w:rsidRPr="0004348D">
        <w:rPr>
          <w:rFonts w:ascii="Calibri" w:eastAsia="Calibri" w:hAnsi="Calibri" w:cs="Arial"/>
          <w:sz w:val="16"/>
          <w:szCs w:val="16"/>
          <w:rtl/>
        </w:rPr>
        <w:t>(פט"ו ממלוה ה"ה)</w:t>
      </w:r>
      <w:r w:rsidRPr="0004348D">
        <w:rPr>
          <w:rFonts w:ascii="Calibri" w:eastAsia="Calibri" w:hAnsi="Calibri" w:cs="Arial"/>
          <w:rtl/>
        </w:rPr>
        <w:t xml:space="preserve"> וטור- הרי שפרעו, וטען המלוה שלא נפרע, ופרעו פעם שניה מפני התנאי, הרי הלוה חוזר ותובע את המלוה בדין ואומר לו 'כך וכך אתה חייב לי מפני שפרעתיך שתי פעמים', אם הודה – ישלם. ואם כפר - ישבע שבועת היסת על כך שלא פרעו אלא פעם אחת, וכן כל כיוצא בזה</w:t>
      </w:r>
      <w:r w:rsidRPr="0004348D">
        <w:rPr>
          <w:rFonts w:ascii="Calibri" w:eastAsia="Calibri" w:hAnsi="Calibri" w:cs="Arial"/>
          <w:sz w:val="16"/>
          <w:szCs w:val="16"/>
          <w:rtl/>
        </w:rPr>
        <w:t xml:space="preserve"> (ל' הרמב"ם)</w:t>
      </w:r>
      <w:r w:rsidRPr="0004348D">
        <w:rPr>
          <w:rFonts w:ascii="Calibri" w:eastAsia="Calibri" w:hAnsi="Calibri" w:cs="Arial"/>
          <w:rtl/>
        </w:rPr>
        <w:t>.</w:t>
      </w:r>
      <w:r w:rsidRPr="0004348D">
        <w:rPr>
          <w:rFonts w:ascii="Calibri" w:eastAsia="Calibri" w:hAnsi="Calibri" w:cs="Arial"/>
          <w:color w:val="E36C0A" w:themeColor="accent6" w:themeShade="BF"/>
          <w:rtl/>
        </w:rPr>
        <w:t xml:space="preserve"> (וכ"פ בשו"ע)</w:t>
      </w:r>
    </w:p>
    <w:p w14:paraId="050DCEDE" w14:textId="77777777" w:rsidR="0004348D" w:rsidRPr="0004348D" w:rsidRDefault="0004348D" w:rsidP="0004348D">
      <w:pPr>
        <w:spacing w:before="360" w:after="240"/>
        <w:ind w:left="360"/>
        <w:rPr>
          <w:rFonts w:ascii="Calibri" w:eastAsia="Calibri" w:hAnsi="Calibri" w:cs="Arial"/>
          <w:u w:val="dotted"/>
        </w:rPr>
      </w:pPr>
      <w:r w:rsidRPr="0004348D">
        <w:rPr>
          <w:rFonts w:ascii="Calibri" w:eastAsia="Calibri" w:hAnsi="Calibri" w:cs="Arial"/>
          <w:u w:val="dotted"/>
          <w:rtl/>
        </w:rPr>
        <w:t>ומה הדין אם כתב לו שיהא נאמן בלא שום שבועה:</w:t>
      </w:r>
    </w:p>
    <w:p w14:paraId="7DC5D46A" w14:textId="77777777" w:rsidR="0004348D" w:rsidRPr="0004348D" w:rsidRDefault="0004348D" w:rsidP="00992A87">
      <w:pPr>
        <w:numPr>
          <w:ilvl w:val="0"/>
          <w:numId w:val="364"/>
        </w:numPr>
        <w:spacing w:before="360" w:after="240"/>
        <w:contextualSpacing/>
        <w:rPr>
          <w:rFonts w:ascii="Calibri" w:eastAsia="Calibri" w:hAnsi="Calibri" w:cs="Arial"/>
        </w:rPr>
      </w:pPr>
      <w:r w:rsidRPr="0004348D">
        <w:rPr>
          <w:rFonts w:ascii="Calibri" w:eastAsia="Calibri" w:hAnsi="Calibri" w:cs="Arial"/>
          <w:rtl/>
        </w:rPr>
        <w:t xml:space="preserve">ר"א אב"ד </w:t>
      </w:r>
      <w:r w:rsidRPr="0004348D">
        <w:rPr>
          <w:rFonts w:ascii="Calibri" w:eastAsia="Calibri" w:hAnsi="Calibri" w:cs="Arial"/>
          <w:sz w:val="16"/>
          <w:szCs w:val="16"/>
          <w:rtl/>
        </w:rPr>
        <w:t>(כ"כ בעל התרומות בשמו)</w:t>
      </w:r>
      <w:r w:rsidRPr="0004348D">
        <w:rPr>
          <w:rFonts w:ascii="Calibri" w:eastAsia="Calibri" w:hAnsi="Calibri" w:cs="Arial"/>
          <w:rtl/>
        </w:rPr>
        <w:t xml:space="preserve"> בעל התרומות </w:t>
      </w:r>
      <w:r w:rsidRPr="0004348D">
        <w:rPr>
          <w:rFonts w:ascii="Calibri" w:eastAsia="Calibri" w:hAnsi="Calibri" w:cs="Arial"/>
          <w:sz w:val="16"/>
          <w:szCs w:val="16"/>
          <w:rtl/>
        </w:rPr>
        <w:t>(שער כו ח"ג סי' ב)</w:t>
      </w:r>
      <w:r w:rsidRPr="0004348D">
        <w:rPr>
          <w:rFonts w:ascii="Calibri" w:eastAsia="Calibri" w:hAnsi="Calibri" w:cs="Arial"/>
          <w:rtl/>
        </w:rPr>
        <w:t xml:space="preserve"> וטור- </w:t>
      </w:r>
      <w:r w:rsidRPr="0004348D">
        <w:rPr>
          <w:rFonts w:ascii="Calibri" w:eastAsia="Calibri" w:hAnsi="Calibri" w:cs="Arial"/>
          <w:vertAlign w:val="superscript"/>
          <w:rtl/>
        </w:rPr>
        <w:footnoteReference w:id="5694"/>
      </w:r>
      <w:r w:rsidRPr="0004348D">
        <w:rPr>
          <w:rFonts w:ascii="Calibri" w:eastAsia="Calibri" w:hAnsi="Calibri" w:cs="Arial"/>
          <w:rtl/>
        </w:rPr>
        <w:t>אם כתב לו בנאמנות שיהא נאמן בלא שום שבועה קלה וחמורה</w:t>
      </w:r>
      <w:r w:rsidRPr="0004348D">
        <w:rPr>
          <w:rFonts w:ascii="Calibri" w:eastAsia="Calibri" w:hAnsi="Calibri" w:cs="Arial"/>
          <w:vertAlign w:val="superscript"/>
          <w:rtl/>
        </w:rPr>
        <w:footnoteReference w:id="5695"/>
      </w:r>
      <w:r w:rsidRPr="0004348D">
        <w:rPr>
          <w:rFonts w:ascii="Calibri" w:eastAsia="Calibri" w:hAnsi="Calibri" w:cs="Arial"/>
          <w:rtl/>
        </w:rPr>
        <w:t xml:space="preserve"> וגלגול - לא משתבע לא בתחלת הפרעון ולא בסוף הפרעון</w:t>
      </w:r>
      <w:r w:rsidRPr="0004348D">
        <w:rPr>
          <w:rFonts w:ascii="Calibri" w:eastAsia="Calibri" w:hAnsi="Calibri" w:cs="Arial"/>
          <w:sz w:val="16"/>
          <w:szCs w:val="16"/>
          <w:rtl/>
        </w:rPr>
        <w:t xml:space="preserve"> (ל' הטור בשם בעל התרומות)</w:t>
      </w:r>
      <w:r w:rsidRPr="0004348D">
        <w:rPr>
          <w:rFonts w:ascii="Calibri" w:eastAsia="Calibri" w:hAnsi="Calibri" w:cs="Arial"/>
          <w:rtl/>
        </w:rPr>
        <w:t>.</w:t>
      </w:r>
      <w:r w:rsidRPr="0004348D">
        <w:rPr>
          <w:rFonts w:ascii="Calibri" w:eastAsia="Calibri" w:hAnsi="Calibri" w:cs="Arial"/>
          <w:color w:val="E36C0A" w:themeColor="accent6" w:themeShade="BF"/>
          <w:rtl/>
        </w:rPr>
        <w:t xml:space="preserve"> (וכ"פ בשו"ע)</w:t>
      </w:r>
    </w:p>
    <w:p w14:paraId="2972E86F" w14:textId="77777777" w:rsidR="0004348D" w:rsidRPr="0004348D" w:rsidRDefault="0004348D" w:rsidP="0004348D">
      <w:pPr>
        <w:spacing w:before="360" w:after="240"/>
        <w:rPr>
          <w:rFonts w:ascii="Arial" w:eastAsia="Calibri" w:hAnsi="Arial" w:cs="Arial"/>
          <w:b/>
          <w:bCs/>
          <w:color w:val="000000"/>
          <w:sz w:val="28"/>
          <w:szCs w:val="28"/>
          <w:u w:val="single"/>
        </w:rPr>
      </w:pPr>
      <w:r w:rsidRPr="0004348D">
        <w:rPr>
          <w:rFonts w:ascii="Arial" w:eastAsia="Calibri" w:hAnsi="Arial" w:cs="Arial"/>
          <w:b/>
          <w:bCs/>
          <w:color w:val="000000"/>
          <w:sz w:val="28"/>
          <w:szCs w:val="28"/>
          <w:u w:val="single"/>
          <w:rtl/>
        </w:rPr>
        <w:t>שו"ע:</w:t>
      </w:r>
    </w:p>
    <w:p w14:paraId="384BC2F7" w14:textId="77777777" w:rsidR="0004348D" w:rsidRPr="0004348D" w:rsidRDefault="0004348D" w:rsidP="0004348D">
      <w:pPr>
        <w:spacing w:before="360" w:after="240"/>
        <w:rPr>
          <w:rFonts w:ascii="Calibri" w:eastAsia="Calibri" w:hAnsi="Calibri" w:cs="Arial"/>
          <w:rtl/>
        </w:rPr>
      </w:pPr>
      <w:r w:rsidRPr="0004348D">
        <w:rPr>
          <w:rFonts w:ascii="Calibri" w:eastAsia="Calibri" w:hAnsi="Calibri" w:cs="Arial"/>
          <w:rtl/>
        </w:rPr>
        <w:t xml:space="preserve">הרי שפרעו, וטען המלוה שלא נפרע, ופרעו פעם שנית מפני התנאי, הרי הלוה חוזר ותובע את המלוה בדין ואומר לו 'כך וכך אתה חייב לי מפני שפרעתיך שני פעמים'. אם הודה, ישלם. ואם כפר, ישבע שבועת היסת על כך שלא פרעו אלא פעם אחת. </w:t>
      </w:r>
      <w:r w:rsidRPr="0004348D">
        <w:rPr>
          <w:rFonts w:ascii="Calibri" w:eastAsia="Calibri" w:hAnsi="Calibri" w:cs="Arial"/>
          <w:sz w:val="18"/>
          <w:szCs w:val="18"/>
          <w:rtl/>
        </w:rPr>
        <w:t>הגה: ואפילו פרעו תחלה בעדים, מאחר שהאמינו נגד עדים, אין לו עליו אלא שבועת היסת</w:t>
      </w:r>
      <w:r w:rsidRPr="0004348D">
        <w:rPr>
          <w:rFonts w:ascii="Calibri" w:eastAsia="Calibri" w:hAnsi="Calibri" w:cs="Arial"/>
          <w:sz w:val="18"/>
          <w:szCs w:val="18"/>
          <w:vertAlign w:val="superscript"/>
          <w:rtl/>
        </w:rPr>
        <w:footnoteReference w:id="5696"/>
      </w:r>
      <w:r w:rsidRPr="0004348D">
        <w:rPr>
          <w:rFonts w:ascii="Calibri" w:eastAsia="Calibri" w:hAnsi="Calibri" w:cs="Arial"/>
          <w:sz w:val="18"/>
          <w:szCs w:val="18"/>
          <w:rtl/>
        </w:rPr>
        <w:t xml:space="preserve"> (טור בשם הרא"ש והר"י מיגאש וב"י).</w:t>
      </w:r>
      <w:r w:rsidRPr="0004348D">
        <w:rPr>
          <w:rFonts w:ascii="Calibri" w:eastAsia="Calibri" w:hAnsi="Calibri" w:cs="Arial"/>
          <w:rtl/>
        </w:rPr>
        <w:t xml:space="preserve"> ולפיכך אם כתב לו בנאמנות שיהא נאמן בלא שום שבועה קלה וחמורה וגלגול</w:t>
      </w:r>
      <w:r w:rsidRPr="0004348D">
        <w:rPr>
          <w:rFonts w:ascii="Calibri" w:eastAsia="Calibri" w:hAnsi="Calibri" w:cs="Arial"/>
          <w:vertAlign w:val="superscript"/>
          <w:rtl/>
        </w:rPr>
        <w:footnoteReference w:id="5697"/>
      </w:r>
      <w:r w:rsidRPr="0004348D">
        <w:rPr>
          <w:rFonts w:ascii="Calibri" w:eastAsia="Calibri" w:hAnsi="Calibri" w:cs="Arial"/>
          <w:rtl/>
        </w:rPr>
        <w:t>, לעולם</w:t>
      </w:r>
      <w:r w:rsidRPr="0004348D">
        <w:rPr>
          <w:rFonts w:ascii="Calibri" w:eastAsia="Calibri" w:hAnsi="Calibri" w:cs="Arial"/>
          <w:vertAlign w:val="superscript"/>
          <w:rtl/>
        </w:rPr>
        <w:footnoteReference w:id="5698"/>
      </w:r>
      <w:r w:rsidRPr="0004348D">
        <w:rPr>
          <w:rFonts w:ascii="Calibri" w:eastAsia="Calibri" w:hAnsi="Calibri" w:cs="Arial"/>
          <w:rtl/>
        </w:rPr>
        <w:t xml:space="preserve"> לא משתבע, לא בתחלת הפרעון ולא בסוף הפרעון. </w:t>
      </w:r>
      <w:r w:rsidRPr="0004348D">
        <w:rPr>
          <w:rFonts w:ascii="Calibri" w:eastAsia="Calibri" w:hAnsi="Calibri" w:cs="Arial"/>
          <w:sz w:val="18"/>
          <w:szCs w:val="18"/>
          <w:rtl/>
        </w:rPr>
        <w:t>הגה: שטר שכתוב בו נאמנות כל זמן שלא נכתב עליו תברא, לא עליו על השטר ממש קאמר, אלא על החוב קאמר, ואפילו נכתב במקום אחר (מהרי"ק שורש פט), אא"כ פירש בהדיא, דאז צריך לקיומיה תנאיה (רשב"ץ ומביאו ב"י ס"ס ע). ואם הביא עדים שפרעו, מהני</w:t>
      </w:r>
      <w:r w:rsidRPr="0004348D">
        <w:rPr>
          <w:rFonts w:ascii="Calibri" w:eastAsia="Calibri" w:hAnsi="Calibri" w:cs="Arial"/>
          <w:sz w:val="18"/>
          <w:szCs w:val="18"/>
          <w:vertAlign w:val="superscript"/>
          <w:rtl/>
        </w:rPr>
        <w:footnoteReference w:id="5699"/>
      </w:r>
      <w:r w:rsidRPr="0004348D">
        <w:rPr>
          <w:rFonts w:ascii="Calibri" w:eastAsia="Calibri" w:hAnsi="Calibri" w:cs="Arial"/>
          <w:sz w:val="18"/>
          <w:szCs w:val="18"/>
          <w:rtl/>
        </w:rPr>
        <w:t>, כאילו אמר 'אל תפרעני אלא בפני פלוני ופלוני' ופרעו לפני עדים אחרים</w:t>
      </w:r>
      <w:r w:rsidRPr="0004348D">
        <w:rPr>
          <w:rFonts w:ascii="Calibri" w:eastAsia="Calibri" w:hAnsi="Calibri" w:cs="Arial"/>
          <w:sz w:val="18"/>
          <w:szCs w:val="18"/>
          <w:vertAlign w:val="superscript"/>
          <w:rtl/>
        </w:rPr>
        <w:footnoteReference w:id="5700"/>
      </w:r>
      <w:r w:rsidRPr="0004348D">
        <w:rPr>
          <w:rFonts w:ascii="Calibri" w:eastAsia="Calibri" w:hAnsi="Calibri" w:cs="Arial"/>
          <w:sz w:val="18"/>
          <w:szCs w:val="18"/>
          <w:rtl/>
        </w:rPr>
        <w:t xml:space="preserve"> (שם), וכמו שנתבאר לעיל סימן ע' סעיף ד'.</w:t>
      </w:r>
      <w:r w:rsidRPr="0004348D">
        <w:rPr>
          <w:rFonts w:ascii="Calibri" w:eastAsia="Calibri" w:hAnsi="Calibri" w:cs="Arial"/>
          <w:rtl/>
        </w:rPr>
        <w:t xml:space="preserve"> </w:t>
      </w:r>
    </w:p>
    <w:p w14:paraId="4D835300" w14:textId="77777777" w:rsidR="0004348D" w:rsidRPr="0004348D" w:rsidRDefault="0004348D" w:rsidP="0004348D">
      <w:pPr>
        <w:spacing w:before="360" w:after="240"/>
        <w:rPr>
          <w:rFonts w:ascii="Calibri" w:eastAsia="Calibri" w:hAnsi="Calibri" w:cs="Arial"/>
          <w:rtl/>
        </w:rPr>
      </w:pPr>
    </w:p>
    <w:p w14:paraId="4213F59A" w14:textId="77777777" w:rsidR="0004348D" w:rsidRPr="0004348D" w:rsidRDefault="0004348D" w:rsidP="0004348D">
      <w:pPr>
        <w:keepNext/>
        <w:keepLines/>
        <w:spacing w:before="360" w:after="240"/>
        <w:outlineLvl w:val="1"/>
        <w:rPr>
          <w:rFonts w:ascii="Cambria" w:eastAsia="Times New Roman" w:hAnsi="Cambria" w:cs="Arial"/>
          <w:bCs/>
          <w:color w:val="548DD4" w:themeColor="text2" w:themeTint="99"/>
          <w:sz w:val="26"/>
          <w:szCs w:val="26"/>
          <w:rtl/>
        </w:rPr>
      </w:pPr>
      <w:bookmarkStart w:id="802" w:name="_Toc24884199"/>
      <w:r w:rsidRPr="0004348D">
        <w:rPr>
          <w:rFonts w:ascii="Cambria" w:eastAsia="Times New Roman" w:hAnsi="Cambria" w:cs="Arial"/>
          <w:bCs/>
          <w:color w:val="548DD4" w:themeColor="text2" w:themeTint="99"/>
          <w:sz w:val="26"/>
          <w:szCs w:val="26"/>
          <w:rtl/>
        </w:rPr>
        <w:t>סעיף ו: החרמת חרם כשיש בשטר נאמנות.</w:t>
      </w:r>
      <w:bookmarkEnd w:id="802"/>
      <w:r w:rsidRPr="0004348D">
        <w:rPr>
          <w:rFonts w:ascii="Cambria" w:eastAsia="Times New Roman" w:hAnsi="Cambria" w:cs="Arial"/>
          <w:bCs/>
          <w:color w:val="548DD4" w:themeColor="text2" w:themeTint="99"/>
          <w:sz w:val="26"/>
          <w:szCs w:val="26"/>
          <w:rtl/>
        </w:rPr>
        <w:t xml:space="preserve"> </w:t>
      </w:r>
    </w:p>
    <w:p w14:paraId="12C1DD2E" w14:textId="77777777" w:rsidR="0004348D" w:rsidRPr="0004348D" w:rsidRDefault="0004348D" w:rsidP="0004348D">
      <w:pPr>
        <w:spacing w:before="360" w:after="240"/>
        <w:rPr>
          <w:rFonts w:ascii="Calibri" w:eastAsia="Calibri" w:hAnsi="Calibri" w:cs="Arial"/>
          <w:u w:val="single"/>
          <w:rtl/>
        </w:rPr>
      </w:pPr>
      <w:r w:rsidRPr="0004348D">
        <w:rPr>
          <w:rFonts w:ascii="Calibri" w:eastAsia="Calibri" w:hAnsi="Calibri" w:cs="Arial"/>
          <w:u w:val="single"/>
          <w:rtl/>
        </w:rPr>
        <w:t>החרמת חרם כשיש בשטר נאמנות:</w:t>
      </w:r>
    </w:p>
    <w:p w14:paraId="324EE516" w14:textId="77777777" w:rsidR="0004348D" w:rsidRPr="0004348D" w:rsidRDefault="0004348D" w:rsidP="00992A87">
      <w:pPr>
        <w:numPr>
          <w:ilvl w:val="0"/>
          <w:numId w:val="364"/>
        </w:numPr>
        <w:spacing w:before="360" w:after="240"/>
        <w:contextualSpacing/>
        <w:rPr>
          <w:rFonts w:ascii="Calibri" w:eastAsia="Calibri" w:hAnsi="Calibri" w:cs="Arial"/>
          <w:color w:val="000000" w:themeColor="text1"/>
          <w:rtl/>
        </w:rPr>
      </w:pPr>
      <w:r w:rsidRPr="0004348D">
        <w:rPr>
          <w:rFonts w:ascii="Calibri" w:eastAsia="Calibri" w:hAnsi="Calibri" w:cs="Arial"/>
          <w:rtl/>
        </w:rPr>
        <w:t>רב האי גאון</w:t>
      </w:r>
      <w:r w:rsidRPr="0004348D">
        <w:rPr>
          <w:rFonts w:ascii="Calibri" w:eastAsia="Calibri" w:hAnsi="Calibri" w:cs="Arial"/>
          <w:vertAlign w:val="superscript"/>
          <w:rtl/>
        </w:rPr>
        <w:footnoteReference w:id="5701"/>
      </w:r>
      <w:r w:rsidRPr="0004348D">
        <w:rPr>
          <w:rFonts w:ascii="Calibri" w:eastAsia="Calibri" w:hAnsi="Calibri" w:cs="Arial"/>
          <w:rtl/>
        </w:rPr>
        <w:t xml:space="preserve"> רשב"א</w:t>
      </w:r>
      <w:r w:rsidRPr="0004348D">
        <w:rPr>
          <w:rFonts w:ascii="Calibri" w:eastAsia="Calibri" w:hAnsi="Calibri" w:cs="Arial"/>
          <w:vertAlign w:val="superscript"/>
          <w:rtl/>
        </w:rPr>
        <w:footnoteReference w:id="5702"/>
      </w:r>
      <w:r w:rsidRPr="0004348D">
        <w:rPr>
          <w:rFonts w:ascii="Calibri" w:eastAsia="Calibri" w:hAnsi="Calibri" w:cs="Arial"/>
          <w:rtl/>
        </w:rPr>
        <w:t xml:space="preserve"> וטור- אין הנאמנות מועיל שלא להחרים חרם סתם אפילו אם פירשו בפירוש</w:t>
      </w:r>
      <w:r w:rsidRPr="0004348D">
        <w:rPr>
          <w:rFonts w:ascii="Calibri" w:eastAsia="Calibri" w:hAnsi="Calibri" w:cs="Arial"/>
          <w:sz w:val="16"/>
          <w:szCs w:val="16"/>
          <w:rtl/>
        </w:rPr>
        <w:t xml:space="preserve"> (ל' הטור)</w:t>
      </w:r>
      <w:r w:rsidRPr="0004348D">
        <w:rPr>
          <w:rFonts w:ascii="Calibri" w:eastAsia="Calibri" w:hAnsi="Calibri" w:cs="Arial"/>
          <w:rtl/>
        </w:rPr>
        <w:t>.</w:t>
      </w:r>
      <w:r w:rsidRPr="0004348D">
        <w:rPr>
          <w:rFonts w:ascii="Calibri" w:eastAsia="Calibri" w:hAnsi="Calibri" w:cs="Arial"/>
          <w:color w:val="00B0F0"/>
          <w:rtl/>
        </w:rPr>
        <w:t xml:space="preserve"> </w:t>
      </w:r>
      <w:r w:rsidRPr="0004348D">
        <w:rPr>
          <w:rFonts w:ascii="Calibri" w:eastAsia="Calibri" w:hAnsi="Calibri" w:cs="Arial"/>
          <w:color w:val="E36C0A" w:themeColor="accent6" w:themeShade="BF"/>
          <w:rtl/>
        </w:rPr>
        <w:t>(וכ"פ בשו"ע)</w:t>
      </w:r>
    </w:p>
    <w:p w14:paraId="17B73963" w14:textId="77777777" w:rsidR="0004348D" w:rsidRPr="0004348D" w:rsidRDefault="0004348D" w:rsidP="0004348D">
      <w:pPr>
        <w:spacing w:before="360" w:after="240"/>
        <w:rPr>
          <w:rFonts w:ascii="Calibri" w:eastAsia="Calibri" w:hAnsi="Calibri" w:cs="Arial"/>
          <w:u w:val="single"/>
        </w:rPr>
      </w:pPr>
      <w:bookmarkStart w:id="803" w:name="_Hlk17298324"/>
      <w:r w:rsidRPr="0004348D">
        <w:rPr>
          <w:rFonts w:ascii="Calibri" w:eastAsia="Calibri" w:hAnsi="Calibri" w:cs="Arial"/>
          <w:u w:val="single"/>
          <w:rtl/>
        </w:rPr>
        <w:t>החייב לחברו שבועה ופטרו ממנה – האם נפטר גם מנדר</w:t>
      </w:r>
      <w:r w:rsidRPr="0004348D">
        <w:rPr>
          <w:rFonts w:ascii="Calibri" w:eastAsia="Calibri" w:hAnsi="Calibri" w:cs="Arial"/>
          <w:sz w:val="16"/>
          <w:szCs w:val="16"/>
          <w:u w:val="single"/>
          <w:rtl/>
        </w:rPr>
        <w:t xml:space="preserve"> (וכן להפך)</w:t>
      </w:r>
      <w:r w:rsidRPr="0004348D">
        <w:rPr>
          <w:rFonts w:ascii="Calibri" w:eastAsia="Calibri" w:hAnsi="Calibri" w:cs="Arial"/>
          <w:u w:val="single"/>
          <w:rtl/>
        </w:rPr>
        <w:t>:</w:t>
      </w:r>
    </w:p>
    <w:p w14:paraId="6B214DE0" w14:textId="77777777" w:rsidR="0004348D" w:rsidRPr="0004348D" w:rsidRDefault="0004348D" w:rsidP="0004348D">
      <w:pPr>
        <w:numPr>
          <w:ilvl w:val="0"/>
          <w:numId w:val="356"/>
        </w:numPr>
        <w:spacing w:before="360" w:after="240"/>
        <w:contextualSpacing/>
        <w:rPr>
          <w:rFonts w:ascii="Calibri" w:eastAsia="Calibri" w:hAnsi="Calibri" w:cs="Arial"/>
          <w:rtl/>
        </w:rPr>
      </w:pPr>
      <w:r w:rsidRPr="0004348D">
        <w:rPr>
          <w:rFonts w:ascii="Calibri" w:eastAsia="Calibri" w:hAnsi="Calibri" w:cs="Arial"/>
          <w:rtl/>
        </w:rPr>
        <w:t xml:space="preserve">ר"ן </w:t>
      </w:r>
      <w:r w:rsidRPr="0004348D">
        <w:rPr>
          <w:rFonts w:ascii="Calibri" w:eastAsia="Calibri" w:hAnsi="Calibri" w:cs="Arial"/>
          <w:sz w:val="16"/>
          <w:szCs w:val="16"/>
          <w:rtl/>
        </w:rPr>
        <w:t>(פרק הכותב מו: ד"ה מתני' כתב)</w:t>
      </w:r>
      <w:r w:rsidRPr="0004348D">
        <w:rPr>
          <w:rFonts w:ascii="Calibri" w:eastAsia="Calibri" w:hAnsi="Calibri" w:cs="Arial"/>
          <w:rtl/>
        </w:rPr>
        <w:t>- דוקא באשה צריך לומר 'נדר ושבועה אין לי עליך' אבל בעלמא כל שחייב לחבירו שבועה ופטרו ממנה הרי הוא פטור מכל נדר. וכן איפכא.</w:t>
      </w:r>
      <w:r w:rsidRPr="0004348D">
        <w:rPr>
          <w:rFonts w:ascii="Calibri" w:eastAsia="Calibri" w:hAnsi="Calibri" w:cs="Arial"/>
          <w:color w:val="00B0F0"/>
          <w:rtl/>
        </w:rPr>
        <w:t xml:space="preserve"> (וכ"פ הרמ"א)</w:t>
      </w:r>
    </w:p>
    <w:bookmarkEnd w:id="803"/>
    <w:p w14:paraId="77B56C14" w14:textId="77777777" w:rsidR="0004348D" w:rsidRPr="0004348D" w:rsidRDefault="0004348D" w:rsidP="0004348D">
      <w:pPr>
        <w:spacing w:before="360" w:after="240"/>
        <w:rPr>
          <w:rFonts w:ascii="Arial" w:eastAsia="Calibri" w:hAnsi="Arial" w:cs="Arial"/>
          <w:b/>
          <w:bCs/>
          <w:color w:val="000000"/>
          <w:sz w:val="28"/>
          <w:szCs w:val="28"/>
          <w:u w:val="single"/>
          <w:rtl/>
        </w:rPr>
      </w:pPr>
      <w:r w:rsidRPr="0004348D">
        <w:rPr>
          <w:rFonts w:ascii="Arial" w:eastAsia="Calibri" w:hAnsi="Arial" w:cs="Arial"/>
          <w:b/>
          <w:bCs/>
          <w:color w:val="000000"/>
          <w:sz w:val="28"/>
          <w:szCs w:val="28"/>
          <w:u w:val="single"/>
          <w:rtl/>
        </w:rPr>
        <w:t>שו"ע:</w:t>
      </w:r>
    </w:p>
    <w:p w14:paraId="06003614" w14:textId="77777777" w:rsidR="0004348D" w:rsidRPr="0004348D" w:rsidRDefault="0004348D" w:rsidP="0004348D">
      <w:pPr>
        <w:spacing w:before="360" w:after="240"/>
        <w:rPr>
          <w:rFonts w:ascii="Calibri" w:eastAsia="Calibri" w:hAnsi="Calibri" w:cs="Arial"/>
          <w:rtl/>
        </w:rPr>
      </w:pPr>
      <w:r w:rsidRPr="0004348D">
        <w:rPr>
          <w:rFonts w:ascii="Calibri" w:eastAsia="Calibri" w:hAnsi="Calibri" w:cs="Arial"/>
          <w:rtl/>
        </w:rPr>
        <w:t>אין הנאמנות מועיל שלא להחרים חרם סתם</w:t>
      </w:r>
      <w:r w:rsidRPr="0004348D">
        <w:rPr>
          <w:rFonts w:ascii="Calibri" w:eastAsia="Calibri" w:hAnsi="Calibri" w:cs="Arial"/>
          <w:vertAlign w:val="superscript"/>
          <w:rtl/>
        </w:rPr>
        <w:footnoteReference w:id="5703"/>
      </w:r>
      <w:r w:rsidRPr="0004348D">
        <w:rPr>
          <w:rFonts w:ascii="Calibri" w:eastAsia="Calibri" w:hAnsi="Calibri" w:cs="Arial"/>
          <w:rtl/>
        </w:rPr>
        <w:t>, אפילו אם פירשו בפירוש</w:t>
      </w:r>
      <w:r w:rsidRPr="0004348D">
        <w:rPr>
          <w:rFonts w:ascii="Calibri" w:eastAsia="Calibri" w:hAnsi="Calibri" w:cs="Arial"/>
          <w:vertAlign w:val="superscript"/>
          <w:rtl/>
        </w:rPr>
        <w:footnoteReference w:id="5704"/>
      </w:r>
      <w:r w:rsidRPr="0004348D">
        <w:rPr>
          <w:rFonts w:ascii="Calibri" w:eastAsia="Calibri" w:hAnsi="Calibri" w:cs="Arial"/>
          <w:rtl/>
        </w:rPr>
        <w:t xml:space="preserve">. </w:t>
      </w:r>
      <w:r w:rsidRPr="0004348D">
        <w:rPr>
          <w:rFonts w:ascii="Calibri" w:eastAsia="Calibri" w:hAnsi="Calibri" w:cs="Arial"/>
          <w:sz w:val="18"/>
          <w:szCs w:val="18"/>
          <w:rtl/>
        </w:rPr>
        <w:t>הגה: פטרו מן השבועה, נדר בכלל</w:t>
      </w:r>
      <w:r w:rsidRPr="0004348D">
        <w:rPr>
          <w:rFonts w:ascii="Calibri" w:eastAsia="Calibri" w:hAnsi="Calibri" w:cs="Arial"/>
          <w:sz w:val="18"/>
          <w:szCs w:val="18"/>
          <w:vertAlign w:val="superscript"/>
          <w:rtl/>
        </w:rPr>
        <w:footnoteReference w:id="5705"/>
      </w:r>
      <w:r w:rsidRPr="0004348D">
        <w:rPr>
          <w:rFonts w:ascii="Calibri" w:eastAsia="Calibri" w:hAnsi="Calibri" w:cs="Arial"/>
          <w:sz w:val="18"/>
          <w:szCs w:val="18"/>
          <w:rtl/>
        </w:rPr>
        <w:t xml:space="preserve">, דאין חילוק בין נדר לשבועה רק בבעל הכותב לאשתו נאמנות (ר"ן פרק הכותב). </w:t>
      </w:r>
    </w:p>
    <w:p w14:paraId="512745A7" w14:textId="77777777" w:rsidR="0004348D" w:rsidRPr="0004348D" w:rsidRDefault="0004348D" w:rsidP="0004348D">
      <w:pPr>
        <w:spacing w:before="360" w:after="240"/>
        <w:rPr>
          <w:rFonts w:ascii="Calibri" w:eastAsia="Calibri" w:hAnsi="Calibri" w:cs="Arial"/>
          <w:rtl/>
        </w:rPr>
      </w:pPr>
    </w:p>
    <w:p w14:paraId="6AA7EDD5" w14:textId="77777777" w:rsidR="0004348D" w:rsidRPr="0004348D" w:rsidRDefault="0004348D" w:rsidP="0004348D">
      <w:pPr>
        <w:keepNext/>
        <w:keepLines/>
        <w:spacing w:before="360" w:after="240"/>
        <w:outlineLvl w:val="1"/>
        <w:rPr>
          <w:rFonts w:ascii="Cambria" w:eastAsia="Times New Roman" w:hAnsi="Cambria" w:cs="Arial"/>
          <w:bCs/>
          <w:color w:val="548DD4" w:themeColor="text2" w:themeTint="99"/>
          <w:sz w:val="26"/>
          <w:szCs w:val="26"/>
          <w:rtl/>
        </w:rPr>
      </w:pPr>
      <w:bookmarkStart w:id="804" w:name="_Toc24884200"/>
      <w:r w:rsidRPr="0004348D">
        <w:rPr>
          <w:rFonts w:ascii="Cambria" w:eastAsia="Times New Roman" w:hAnsi="Cambria" w:cs="Arial"/>
          <w:bCs/>
          <w:color w:val="548DD4" w:themeColor="text2" w:themeTint="99"/>
          <w:sz w:val="26"/>
          <w:szCs w:val="26"/>
          <w:rtl/>
        </w:rPr>
        <w:t>סעיף ז: כיצד מחרים.</w:t>
      </w:r>
      <w:bookmarkEnd w:id="804"/>
    </w:p>
    <w:p w14:paraId="475C003C" w14:textId="77777777" w:rsidR="0004348D" w:rsidRPr="0004348D" w:rsidRDefault="0004348D" w:rsidP="0004348D">
      <w:pPr>
        <w:spacing w:before="360" w:after="240"/>
        <w:rPr>
          <w:rFonts w:ascii="Calibri" w:eastAsia="Calibri" w:hAnsi="Calibri" w:cs="Arial"/>
          <w:u w:val="single"/>
          <w:rtl/>
        </w:rPr>
      </w:pPr>
      <w:r w:rsidRPr="0004348D">
        <w:rPr>
          <w:rFonts w:ascii="Calibri" w:eastAsia="Calibri" w:hAnsi="Calibri" w:cs="Arial"/>
          <w:u w:val="single"/>
          <w:rtl/>
        </w:rPr>
        <w:t>כיצד מחרים:</w:t>
      </w:r>
    </w:p>
    <w:p w14:paraId="2F81E14E" w14:textId="77777777" w:rsidR="0004348D" w:rsidRPr="0004348D" w:rsidRDefault="0004348D" w:rsidP="0004348D">
      <w:pPr>
        <w:numPr>
          <w:ilvl w:val="0"/>
          <w:numId w:val="356"/>
        </w:numPr>
        <w:spacing w:before="360" w:after="240"/>
        <w:contextualSpacing/>
        <w:rPr>
          <w:rFonts w:ascii="Calibri" w:eastAsia="Calibri" w:hAnsi="Calibri" w:cs="Arial"/>
          <w:rtl/>
        </w:rPr>
      </w:pPr>
      <w:r w:rsidRPr="0004348D">
        <w:rPr>
          <w:rFonts w:ascii="Calibri" w:eastAsia="Calibri" w:hAnsi="Calibri" w:cs="Arial"/>
          <w:rtl/>
        </w:rPr>
        <w:t>טור- וכי מחרים לא לימא 'כל מאן דגזליה', אלא 'כל מאן דאיתיה לגזילה בידיה ולא מהדר הכי והכי ליהוי'</w:t>
      </w:r>
      <w:r w:rsidRPr="0004348D">
        <w:rPr>
          <w:rFonts w:ascii="Calibri" w:eastAsia="Calibri" w:hAnsi="Calibri" w:cs="Arial"/>
          <w:vertAlign w:val="superscript"/>
          <w:rtl/>
        </w:rPr>
        <w:footnoteReference w:id="5706"/>
      </w:r>
      <w:r w:rsidRPr="0004348D">
        <w:rPr>
          <w:rFonts w:ascii="Calibri" w:eastAsia="Calibri" w:hAnsi="Calibri" w:cs="Arial"/>
          <w:rtl/>
        </w:rPr>
        <w:t xml:space="preserve">. </w:t>
      </w:r>
      <w:r w:rsidRPr="0004348D">
        <w:rPr>
          <w:rFonts w:ascii="Calibri" w:eastAsia="Calibri" w:hAnsi="Calibri" w:cs="Arial"/>
          <w:color w:val="E36C0A" w:themeColor="accent6" w:themeShade="BF"/>
          <w:rtl/>
        </w:rPr>
        <w:t>(וכ"פ בשו"ע)</w:t>
      </w:r>
    </w:p>
    <w:p w14:paraId="24AD2935" w14:textId="77777777" w:rsidR="0004348D" w:rsidRPr="0004348D" w:rsidRDefault="0004348D" w:rsidP="0004348D">
      <w:pPr>
        <w:spacing w:before="360" w:after="240"/>
        <w:rPr>
          <w:rFonts w:ascii="Arial" w:eastAsia="Calibri" w:hAnsi="Arial" w:cs="Arial"/>
          <w:b/>
          <w:bCs/>
          <w:color w:val="000000"/>
          <w:sz w:val="28"/>
          <w:szCs w:val="28"/>
          <w:u w:val="single"/>
          <w:rtl/>
        </w:rPr>
      </w:pPr>
      <w:r w:rsidRPr="0004348D">
        <w:rPr>
          <w:rFonts w:ascii="Arial" w:eastAsia="Calibri" w:hAnsi="Arial" w:cs="Arial"/>
          <w:b/>
          <w:bCs/>
          <w:color w:val="000000"/>
          <w:sz w:val="28"/>
          <w:szCs w:val="28"/>
          <w:u w:val="single"/>
          <w:rtl/>
        </w:rPr>
        <w:t>שו"ע:</w:t>
      </w:r>
    </w:p>
    <w:p w14:paraId="22128EC1" w14:textId="77777777" w:rsidR="0004348D" w:rsidRPr="0004348D" w:rsidRDefault="0004348D" w:rsidP="0004348D">
      <w:pPr>
        <w:spacing w:before="360" w:after="240"/>
        <w:rPr>
          <w:rFonts w:ascii="Calibri" w:eastAsia="Calibri" w:hAnsi="Calibri" w:cs="Arial"/>
          <w:rtl/>
        </w:rPr>
      </w:pPr>
      <w:r w:rsidRPr="0004348D">
        <w:rPr>
          <w:rFonts w:ascii="Calibri" w:eastAsia="Calibri" w:hAnsi="Calibri" w:cs="Arial"/>
          <w:rtl/>
        </w:rPr>
        <w:t xml:space="preserve">המחרים לא לימא 'כל מאן דגזליה', אלא 'כל מאן דאיתיה לגזיליה בידיה ולא מהדר'. </w:t>
      </w:r>
    </w:p>
    <w:p w14:paraId="3CFB33F1" w14:textId="77777777" w:rsidR="0004348D" w:rsidRPr="0004348D" w:rsidRDefault="0004348D" w:rsidP="0004348D">
      <w:pPr>
        <w:spacing w:before="360" w:after="240"/>
        <w:rPr>
          <w:rFonts w:ascii="Calibri" w:eastAsia="Calibri" w:hAnsi="Calibri" w:cs="Arial"/>
          <w:rtl/>
        </w:rPr>
      </w:pPr>
    </w:p>
    <w:p w14:paraId="0C047660" w14:textId="77777777" w:rsidR="0004348D" w:rsidRPr="0004348D" w:rsidRDefault="0004348D" w:rsidP="0004348D">
      <w:pPr>
        <w:keepNext/>
        <w:keepLines/>
        <w:spacing w:before="360" w:after="240"/>
        <w:outlineLvl w:val="1"/>
        <w:rPr>
          <w:rFonts w:ascii="Cambria" w:eastAsia="Times New Roman" w:hAnsi="Cambria" w:cs="Arial"/>
          <w:bCs/>
          <w:color w:val="548DD4" w:themeColor="text2" w:themeTint="99"/>
          <w:sz w:val="26"/>
          <w:szCs w:val="26"/>
          <w:rtl/>
        </w:rPr>
      </w:pPr>
      <w:bookmarkStart w:id="805" w:name="_Toc24884201"/>
      <w:r w:rsidRPr="0004348D">
        <w:rPr>
          <w:rFonts w:ascii="Cambria" w:eastAsia="Times New Roman" w:hAnsi="Cambria" w:cs="Arial"/>
          <w:bCs/>
          <w:color w:val="548DD4" w:themeColor="text2" w:themeTint="99"/>
          <w:sz w:val="26"/>
          <w:szCs w:val="26"/>
          <w:rtl/>
        </w:rPr>
        <w:t>סעיף ח: הרוצה שיכתבו 'פתקא דלטותא' להחרים בציבור.</w:t>
      </w:r>
      <w:bookmarkEnd w:id="805"/>
      <w:r w:rsidRPr="0004348D">
        <w:rPr>
          <w:rFonts w:ascii="Cambria" w:eastAsia="Times New Roman" w:hAnsi="Cambria" w:cs="Arial"/>
          <w:bCs/>
          <w:color w:val="548DD4" w:themeColor="text2" w:themeTint="99"/>
          <w:sz w:val="26"/>
          <w:szCs w:val="26"/>
          <w:rtl/>
        </w:rPr>
        <w:t xml:space="preserve"> </w:t>
      </w:r>
    </w:p>
    <w:p w14:paraId="223E01D7" w14:textId="77777777" w:rsidR="0004348D" w:rsidRPr="0004348D" w:rsidRDefault="0004348D" w:rsidP="0004348D">
      <w:pPr>
        <w:spacing w:before="360" w:after="240"/>
        <w:rPr>
          <w:rFonts w:ascii="Calibri" w:eastAsia="Calibri" w:hAnsi="Calibri" w:cs="Arial"/>
          <w:u w:val="single"/>
          <w:rtl/>
        </w:rPr>
      </w:pPr>
      <w:r w:rsidRPr="0004348D">
        <w:rPr>
          <w:rFonts w:ascii="Calibri" w:eastAsia="Calibri" w:hAnsi="Calibri" w:cs="Arial"/>
          <w:u w:val="single"/>
          <w:rtl/>
        </w:rPr>
        <w:t>הרוצה שיכתבו 'פתקא דלטותא' להחרים בציבור:</w:t>
      </w:r>
    </w:p>
    <w:p w14:paraId="3FD95B17" w14:textId="77777777" w:rsidR="0004348D" w:rsidRPr="0004348D" w:rsidRDefault="0004348D" w:rsidP="0004348D">
      <w:pPr>
        <w:numPr>
          <w:ilvl w:val="0"/>
          <w:numId w:val="356"/>
        </w:numPr>
        <w:spacing w:before="360" w:after="240"/>
        <w:contextualSpacing/>
        <w:rPr>
          <w:rFonts w:ascii="Calibri" w:eastAsia="Calibri" w:hAnsi="Calibri" w:cs="Arial"/>
          <w:rtl/>
        </w:rPr>
      </w:pPr>
      <w:r w:rsidRPr="0004348D">
        <w:rPr>
          <w:rFonts w:ascii="Calibri" w:eastAsia="Calibri" w:hAnsi="Calibri" w:cs="Arial"/>
          <w:rtl/>
        </w:rPr>
        <w:t>טור- והוו יודעין שאין אנו רגילין ליתן רשות לכל מי שבא ויאמר 'כתבו לי פתקא דלטותא ותנו לי' רשות להחרים בציבור. אלא כך אנו אומרים לו 'אם אתה תובע אדם ידוע - הרי דין ביניכם, ואם לאו - מסור אתה בביתך דין</w:t>
      </w:r>
      <w:r w:rsidRPr="0004348D">
        <w:rPr>
          <w:rFonts w:ascii="Calibri" w:eastAsia="Calibri" w:hAnsi="Calibri" w:cs="Arial"/>
          <w:vertAlign w:val="superscript"/>
          <w:rtl/>
        </w:rPr>
        <w:footnoteReference w:id="5707"/>
      </w:r>
      <w:r w:rsidRPr="0004348D">
        <w:rPr>
          <w:rFonts w:ascii="Calibri" w:eastAsia="Calibri" w:hAnsi="Calibri" w:cs="Arial"/>
          <w:rtl/>
        </w:rPr>
        <w:t xml:space="preserve"> על גוזליך וקלל אותם כרצונך'</w:t>
      </w:r>
      <w:r w:rsidRPr="0004348D">
        <w:rPr>
          <w:rFonts w:ascii="Calibri" w:eastAsia="Calibri" w:hAnsi="Calibri" w:cs="Arial"/>
          <w:vertAlign w:val="superscript"/>
          <w:rtl/>
        </w:rPr>
        <w:footnoteReference w:id="5708"/>
      </w:r>
      <w:r w:rsidRPr="0004348D">
        <w:rPr>
          <w:rFonts w:ascii="Calibri" w:eastAsia="Calibri" w:hAnsi="Calibri" w:cs="Arial"/>
          <w:rtl/>
        </w:rPr>
        <w:t>. אבל יתומים שבאו בטענת אביהם או אפוטרופוס ואמרו אין אנו יודעים אצל מי יש למורישנו כלום - כותבין פתקא דלטותא.</w:t>
      </w:r>
    </w:p>
    <w:p w14:paraId="10884DDC" w14:textId="77777777" w:rsidR="0004348D" w:rsidRPr="0004348D" w:rsidRDefault="0004348D" w:rsidP="0004348D">
      <w:pPr>
        <w:spacing w:before="360" w:after="240"/>
        <w:rPr>
          <w:rFonts w:ascii="Calibri" w:eastAsia="Calibri" w:hAnsi="Calibri" w:cs="Arial"/>
          <w:u w:val="single"/>
        </w:rPr>
      </w:pPr>
      <w:r w:rsidRPr="0004348D">
        <w:rPr>
          <w:rFonts w:ascii="Calibri" w:eastAsia="Calibri" w:hAnsi="Calibri" w:cs="Arial"/>
          <w:u w:val="single"/>
          <w:rtl/>
        </w:rPr>
        <w:t>אחד שרוצה לצאת מבית הכנסת בשעת אמירת החרם:</w:t>
      </w:r>
    </w:p>
    <w:p w14:paraId="581FB5DB" w14:textId="77777777" w:rsidR="0004348D" w:rsidRPr="0004348D" w:rsidRDefault="0004348D" w:rsidP="0004348D">
      <w:pPr>
        <w:numPr>
          <w:ilvl w:val="0"/>
          <w:numId w:val="356"/>
        </w:numPr>
        <w:spacing w:before="360" w:after="240"/>
        <w:contextualSpacing/>
        <w:rPr>
          <w:rFonts w:ascii="Calibri" w:eastAsia="Calibri" w:hAnsi="Calibri" w:cs="Arial"/>
          <w:rtl/>
        </w:rPr>
      </w:pPr>
      <w:r w:rsidRPr="0004348D">
        <w:rPr>
          <w:rFonts w:ascii="Calibri" w:eastAsia="Calibri" w:hAnsi="Calibri" w:cs="Arial"/>
          <w:rtl/>
        </w:rPr>
        <w:t xml:space="preserve">רי"ף </w:t>
      </w:r>
      <w:r w:rsidRPr="0004348D">
        <w:rPr>
          <w:rFonts w:ascii="Calibri" w:eastAsia="Calibri" w:hAnsi="Calibri" w:cs="Arial"/>
          <w:sz w:val="16"/>
          <w:szCs w:val="16"/>
          <w:rtl/>
        </w:rPr>
        <w:t>(בתשו', כ"כ בשמו ספר התרומות</w:t>
      </w:r>
      <w:r w:rsidRPr="0004348D">
        <w:rPr>
          <w:rFonts w:ascii="Calibri" w:eastAsia="Calibri" w:hAnsi="Calibri" w:cs="Arial"/>
          <w:sz w:val="14"/>
          <w:szCs w:val="14"/>
          <w:rtl/>
        </w:rPr>
        <w:t xml:space="preserve"> [שער כו שם] </w:t>
      </w:r>
      <w:r w:rsidRPr="0004348D">
        <w:rPr>
          <w:rFonts w:ascii="Calibri" w:eastAsia="Calibri" w:hAnsi="Calibri" w:cs="Arial"/>
          <w:sz w:val="16"/>
          <w:szCs w:val="16"/>
          <w:rtl/>
        </w:rPr>
        <w:t>והטור)</w:t>
      </w:r>
      <w:r w:rsidRPr="0004348D">
        <w:rPr>
          <w:rFonts w:ascii="Calibri" w:eastAsia="Calibri" w:hAnsi="Calibri" w:cs="Arial"/>
          <w:rtl/>
        </w:rPr>
        <w:t xml:space="preserve"> וטור- ואם אחד רצה לצאת מבית הכנסת כשזה מחרים יש לב"ד לומר לו 'למה אתה יוצא'. ואם לא רצה להתעכב - אין מונעין אותו, ואפי' שיצא בשעת החרם - החרם חל עליו. וכל חרם שב"ד גוזרין אותו אינו צריך לבע"ד לענות אמן עליו ואף אם היה במצולות ים החרם חל עליו</w:t>
      </w:r>
      <w:r w:rsidRPr="0004348D">
        <w:rPr>
          <w:rFonts w:ascii="Calibri" w:eastAsia="Calibri" w:hAnsi="Calibri" w:cs="Arial"/>
          <w:vertAlign w:val="superscript"/>
          <w:rtl/>
        </w:rPr>
        <w:footnoteReference w:id="5709"/>
      </w:r>
      <w:r w:rsidRPr="0004348D">
        <w:rPr>
          <w:rFonts w:ascii="Calibri" w:eastAsia="Calibri" w:hAnsi="Calibri" w:cs="Arial"/>
          <w:rtl/>
        </w:rPr>
        <w:t>.</w:t>
      </w:r>
    </w:p>
    <w:p w14:paraId="53907098" w14:textId="77777777" w:rsidR="0004348D" w:rsidRPr="0004348D" w:rsidRDefault="0004348D" w:rsidP="0004348D">
      <w:pPr>
        <w:spacing w:before="360" w:after="240"/>
        <w:rPr>
          <w:rFonts w:ascii="Arial" w:eastAsia="Calibri" w:hAnsi="Arial" w:cs="Arial"/>
          <w:b/>
          <w:bCs/>
          <w:color w:val="000000"/>
          <w:sz w:val="28"/>
          <w:szCs w:val="28"/>
          <w:u w:val="single"/>
          <w:rtl/>
        </w:rPr>
      </w:pPr>
      <w:r w:rsidRPr="0004348D">
        <w:rPr>
          <w:rFonts w:ascii="Arial" w:eastAsia="Calibri" w:hAnsi="Arial" w:cs="Arial"/>
          <w:b/>
          <w:bCs/>
          <w:color w:val="000000"/>
          <w:sz w:val="28"/>
          <w:szCs w:val="28"/>
          <w:u w:val="single"/>
          <w:rtl/>
        </w:rPr>
        <w:t>שו"ע:</w:t>
      </w:r>
    </w:p>
    <w:p w14:paraId="673C4F7B" w14:textId="77777777" w:rsidR="0004348D" w:rsidRPr="0004348D" w:rsidRDefault="0004348D" w:rsidP="0004348D">
      <w:pPr>
        <w:spacing w:before="360" w:after="240"/>
        <w:rPr>
          <w:rFonts w:ascii="Calibri" w:eastAsia="Calibri" w:hAnsi="Calibri" w:cs="Arial"/>
          <w:rtl/>
        </w:rPr>
      </w:pPr>
      <w:r w:rsidRPr="0004348D">
        <w:rPr>
          <w:rFonts w:ascii="Calibri" w:eastAsia="Calibri" w:hAnsi="Calibri" w:cs="Arial"/>
          <w:rtl/>
        </w:rPr>
        <w:t xml:space="preserve">אין כותבים פתקא דלטותא להחרים בצבור, אלא ליתומים שבאו בטענת אביהם או אפוטרופוס ואמרו 'אין אנו יודעין אצל מי יש למורישנו כלום'. ואם אחד רצה לצאת מבית הכנסת כשזה מחרים, יש לבית דין לומר 'למה אתה יוצא'. ואם לא רצה להתעכב, אין מונעין אותו, ואפילו שיצא בשעת החרם </w:t>
      </w:r>
      <w:r w:rsidRPr="0004348D">
        <w:rPr>
          <w:rFonts w:ascii="Calibri" w:eastAsia="Calibri" w:hAnsi="Calibri" w:cs="Arial"/>
          <w:vertAlign w:val="superscript"/>
          <w:rtl/>
        </w:rPr>
        <w:footnoteReference w:id="5710"/>
      </w:r>
      <w:r w:rsidRPr="0004348D">
        <w:rPr>
          <w:rFonts w:ascii="Calibri" w:eastAsia="Calibri" w:hAnsi="Calibri" w:cs="Arial"/>
          <w:sz w:val="16"/>
          <w:szCs w:val="16"/>
          <w:rtl/>
        </w:rPr>
        <w:t xml:space="preserve">(החרם) </w:t>
      </w:r>
      <w:r w:rsidRPr="0004348D">
        <w:rPr>
          <w:rFonts w:ascii="Calibri" w:eastAsia="Calibri" w:hAnsi="Calibri" w:cs="Arial"/>
          <w:rtl/>
        </w:rPr>
        <w:t xml:space="preserve">חל עליו. </w:t>
      </w:r>
      <w:r w:rsidRPr="0004348D">
        <w:rPr>
          <w:rFonts w:ascii="Calibri" w:eastAsia="Calibri" w:hAnsi="Calibri" w:cs="Arial"/>
          <w:sz w:val="18"/>
          <w:szCs w:val="18"/>
          <w:rtl/>
        </w:rPr>
        <w:t>הגה: ועיין לעיל סימן ט"ז סעיף ג' דיש אומרים דנותנין לכל אדם חרם אחר עדות</w:t>
      </w:r>
      <w:r w:rsidRPr="0004348D">
        <w:rPr>
          <w:rFonts w:ascii="Calibri" w:eastAsia="Calibri" w:hAnsi="Calibri" w:cs="Arial"/>
          <w:sz w:val="18"/>
          <w:szCs w:val="18"/>
          <w:vertAlign w:val="superscript"/>
          <w:rtl/>
        </w:rPr>
        <w:footnoteReference w:id="5711"/>
      </w:r>
      <w:r w:rsidRPr="0004348D">
        <w:rPr>
          <w:rFonts w:ascii="Calibri" w:eastAsia="Calibri" w:hAnsi="Calibri" w:cs="Arial"/>
          <w:sz w:val="18"/>
          <w:szCs w:val="18"/>
          <w:rtl/>
        </w:rPr>
        <w:t>, וכן נוהגין.</w:t>
      </w:r>
      <w:r w:rsidRPr="0004348D">
        <w:rPr>
          <w:rFonts w:ascii="Calibri" w:eastAsia="Calibri" w:hAnsi="Calibri" w:cs="Arial"/>
          <w:rtl/>
        </w:rPr>
        <w:t xml:space="preserve"> </w:t>
      </w:r>
    </w:p>
    <w:p w14:paraId="0FC220D7" w14:textId="77777777" w:rsidR="0004348D" w:rsidRPr="0004348D" w:rsidRDefault="0004348D" w:rsidP="0004348D">
      <w:pPr>
        <w:spacing w:before="360" w:after="240"/>
        <w:rPr>
          <w:rFonts w:ascii="Calibri" w:eastAsia="Calibri" w:hAnsi="Calibri" w:cs="Arial"/>
          <w:rtl/>
        </w:rPr>
      </w:pPr>
    </w:p>
    <w:p w14:paraId="257294F3" w14:textId="77777777" w:rsidR="0004348D" w:rsidRPr="0004348D" w:rsidRDefault="0004348D" w:rsidP="0004348D">
      <w:pPr>
        <w:keepNext/>
        <w:keepLines/>
        <w:spacing w:before="360" w:after="240"/>
        <w:outlineLvl w:val="1"/>
        <w:rPr>
          <w:rFonts w:ascii="Cambria" w:eastAsia="Times New Roman" w:hAnsi="Cambria" w:cs="Arial"/>
          <w:bCs/>
          <w:color w:val="548DD4" w:themeColor="text2" w:themeTint="99"/>
          <w:sz w:val="26"/>
          <w:szCs w:val="26"/>
          <w:rtl/>
        </w:rPr>
      </w:pPr>
      <w:bookmarkStart w:id="806" w:name="_Toc24884202"/>
      <w:r w:rsidRPr="0004348D">
        <w:rPr>
          <w:rFonts w:ascii="Cambria" w:eastAsia="Times New Roman" w:hAnsi="Cambria" w:cs="Arial"/>
          <w:bCs/>
          <w:color w:val="548DD4" w:themeColor="text2" w:themeTint="99"/>
          <w:sz w:val="26"/>
          <w:szCs w:val="26"/>
          <w:rtl/>
        </w:rPr>
        <w:t>סעיף ט: נאמנות המלוה מול שובר בכתב ידו.</w:t>
      </w:r>
      <w:bookmarkEnd w:id="806"/>
    </w:p>
    <w:p w14:paraId="37C8F4A3" w14:textId="77777777" w:rsidR="0004348D" w:rsidRPr="0004348D" w:rsidRDefault="0004348D" w:rsidP="0004348D">
      <w:pPr>
        <w:spacing w:before="360" w:after="240"/>
        <w:rPr>
          <w:rFonts w:ascii="Calibri" w:eastAsia="Calibri" w:hAnsi="Calibri" w:cs="Arial"/>
          <w:u w:val="single"/>
          <w:rtl/>
        </w:rPr>
      </w:pPr>
      <w:r w:rsidRPr="0004348D">
        <w:rPr>
          <w:rFonts w:ascii="Calibri" w:eastAsia="Calibri" w:hAnsi="Calibri" w:cs="Arial"/>
          <w:u w:val="single"/>
          <w:rtl/>
        </w:rPr>
        <w:t>שטר שיש בו נאמנות גמורה, והלוה מוציא כתב יד המלוה שפרע חלק מההלואה והמלוה טוען שהכתב מעסק אחר:</w:t>
      </w:r>
    </w:p>
    <w:p w14:paraId="335DDA32" w14:textId="77777777" w:rsidR="0004348D" w:rsidRPr="0004348D" w:rsidRDefault="0004348D" w:rsidP="0004348D">
      <w:pPr>
        <w:numPr>
          <w:ilvl w:val="0"/>
          <w:numId w:val="356"/>
        </w:numPr>
        <w:spacing w:before="360" w:after="240"/>
        <w:contextualSpacing/>
        <w:rPr>
          <w:rFonts w:ascii="Calibri" w:eastAsia="Calibri" w:hAnsi="Calibri" w:cs="Arial"/>
          <w:rtl/>
        </w:rPr>
      </w:pPr>
      <w:r w:rsidRPr="0004348D">
        <w:rPr>
          <w:rFonts w:ascii="Calibri" w:eastAsia="Calibri" w:hAnsi="Calibri" w:cs="Arial"/>
          <w:rtl/>
        </w:rPr>
        <w:t xml:space="preserve">רא"ש </w:t>
      </w:r>
      <w:r w:rsidRPr="0004348D">
        <w:rPr>
          <w:rFonts w:ascii="Calibri" w:eastAsia="Calibri" w:hAnsi="Calibri" w:cs="Arial"/>
          <w:sz w:val="16"/>
          <w:szCs w:val="16"/>
          <w:rtl/>
        </w:rPr>
        <w:t>(סוף כלל עא סי' ט)</w:t>
      </w:r>
      <w:r w:rsidRPr="0004348D">
        <w:rPr>
          <w:rFonts w:ascii="Calibri" w:eastAsia="Calibri" w:hAnsi="Calibri" w:cs="Arial"/>
          <w:rtl/>
        </w:rPr>
        <w:t xml:space="preserve"> וטור- ששאלת, שטר שיש בו נאמנות גמורה, והלוה מוציא כתב יד המלוה שקבל ממנו סכום פלוני וסכום פלוני ביום פלוני, ולפי אותו כתב לא נשאר השטר אלא במאה. והמלוה טוען שנשאר מהשטר מאתים והפתקא שבידו היא של עסק אחר. תשובה, מה שכותבים נאמנות בשטר מועיל לענין שלא יוכל להשביע המלוה שלא נפרע שטרו, אבל אינו מועיל כנגד עדים, דטפי מעדים לא הימניה. והיכא דאיכא עדים דפרעיה לא מהימן למימר סטראי נינהו</w:t>
      </w:r>
      <w:r w:rsidRPr="0004348D">
        <w:rPr>
          <w:rFonts w:ascii="Calibri" w:eastAsia="Calibri" w:hAnsi="Calibri" w:cs="Arial"/>
          <w:vertAlign w:val="superscript"/>
          <w:rtl/>
        </w:rPr>
        <w:footnoteReference w:id="5712"/>
      </w:r>
      <w:r w:rsidRPr="0004348D">
        <w:rPr>
          <w:rFonts w:ascii="Calibri" w:eastAsia="Calibri" w:hAnsi="Calibri" w:cs="Arial"/>
          <w:rtl/>
        </w:rPr>
        <w:t xml:space="preserve"> כדמשמע בפרק הכותב </w:t>
      </w:r>
      <w:r w:rsidRPr="0004348D">
        <w:rPr>
          <w:rFonts w:ascii="Calibri" w:eastAsia="Calibri" w:hAnsi="Calibri" w:cs="Arial"/>
          <w:sz w:val="16"/>
          <w:szCs w:val="16"/>
          <w:rtl/>
        </w:rPr>
        <w:t xml:space="preserve">(כתובות פה.) </w:t>
      </w:r>
      <w:r w:rsidRPr="0004348D">
        <w:rPr>
          <w:rFonts w:ascii="Calibri" w:eastAsia="Calibri" w:hAnsi="Calibri" w:cs="Arial"/>
          <w:rtl/>
        </w:rPr>
        <w:t>גבי עובדא דאבימי, וכן בנדון זה כתב ידו מעידו שקבל ממנו הממון - ואינו נאמן לומר של עסק אחר היה</w:t>
      </w:r>
      <w:r w:rsidRPr="0004348D">
        <w:rPr>
          <w:rFonts w:ascii="Calibri" w:eastAsia="Calibri" w:hAnsi="Calibri" w:cs="Arial"/>
          <w:sz w:val="16"/>
          <w:szCs w:val="16"/>
          <w:rtl/>
        </w:rPr>
        <w:t xml:space="preserve"> (ל' הב"י בשם הרא"ש)</w:t>
      </w:r>
      <w:r w:rsidRPr="0004348D">
        <w:rPr>
          <w:rFonts w:ascii="Calibri" w:eastAsia="Calibri" w:hAnsi="Calibri" w:cs="Arial"/>
          <w:rtl/>
        </w:rPr>
        <w:t>.</w:t>
      </w:r>
      <w:r w:rsidRPr="0004348D">
        <w:rPr>
          <w:rFonts w:ascii="Calibri" w:eastAsia="Calibri" w:hAnsi="Calibri" w:cs="Arial"/>
          <w:color w:val="E36C0A" w:themeColor="accent6" w:themeShade="BF"/>
          <w:rtl/>
        </w:rPr>
        <w:t xml:space="preserve"> (וכ"פ בשו"ע)</w:t>
      </w:r>
    </w:p>
    <w:p w14:paraId="328886DB" w14:textId="77777777" w:rsidR="0004348D" w:rsidRPr="0004348D" w:rsidRDefault="0004348D" w:rsidP="0004348D">
      <w:pPr>
        <w:spacing w:before="360" w:after="240"/>
        <w:rPr>
          <w:rFonts w:ascii="Arial" w:eastAsia="Calibri" w:hAnsi="Arial" w:cs="Arial"/>
          <w:b/>
          <w:bCs/>
          <w:color w:val="000000"/>
          <w:sz w:val="28"/>
          <w:szCs w:val="28"/>
          <w:u w:val="single"/>
          <w:rtl/>
        </w:rPr>
      </w:pPr>
      <w:r w:rsidRPr="0004348D">
        <w:rPr>
          <w:rFonts w:ascii="Arial" w:eastAsia="Calibri" w:hAnsi="Arial" w:cs="Arial"/>
          <w:b/>
          <w:bCs/>
          <w:color w:val="000000"/>
          <w:sz w:val="28"/>
          <w:szCs w:val="28"/>
          <w:u w:val="single"/>
          <w:rtl/>
        </w:rPr>
        <w:t>שו"ע:</w:t>
      </w:r>
    </w:p>
    <w:p w14:paraId="3AAA5F78" w14:textId="77777777" w:rsidR="0004348D" w:rsidRPr="0004348D" w:rsidRDefault="0004348D" w:rsidP="0004348D">
      <w:pPr>
        <w:spacing w:before="360" w:after="240"/>
        <w:rPr>
          <w:rFonts w:ascii="Calibri" w:eastAsia="Calibri" w:hAnsi="Calibri" w:cs="Arial"/>
          <w:rtl/>
        </w:rPr>
      </w:pPr>
      <w:r w:rsidRPr="0004348D">
        <w:rPr>
          <w:rFonts w:ascii="Calibri" w:eastAsia="Calibri" w:hAnsi="Calibri" w:cs="Arial"/>
          <w:rtl/>
        </w:rPr>
        <w:t>שטר שיש בו נאמנות, והלוה מוציא כתב יד המלוה שקבל ממנו סכום פלוני ביום פלוני וסכום פלוני ביום פלוני. והמלוה טוען שאותו כתב יד</w:t>
      </w:r>
      <w:r w:rsidRPr="0004348D">
        <w:rPr>
          <w:rFonts w:ascii="Calibri" w:eastAsia="Calibri" w:hAnsi="Calibri" w:cs="Arial"/>
          <w:vertAlign w:val="superscript"/>
          <w:rtl/>
        </w:rPr>
        <w:footnoteReference w:id="5713"/>
      </w:r>
      <w:r w:rsidRPr="0004348D">
        <w:rPr>
          <w:rFonts w:ascii="Calibri" w:eastAsia="Calibri" w:hAnsi="Calibri" w:cs="Arial"/>
          <w:rtl/>
        </w:rPr>
        <w:t xml:space="preserve"> הוא מעסק אחר, הדין עם הלוה</w:t>
      </w:r>
      <w:r w:rsidRPr="0004348D">
        <w:rPr>
          <w:rFonts w:ascii="Calibri" w:eastAsia="Calibri" w:hAnsi="Calibri" w:cs="Arial"/>
          <w:vertAlign w:val="superscript"/>
          <w:rtl/>
        </w:rPr>
        <w:footnoteReference w:id="5714"/>
      </w:r>
      <w:r w:rsidRPr="0004348D">
        <w:rPr>
          <w:rFonts w:ascii="Calibri" w:eastAsia="Calibri" w:hAnsi="Calibri" w:cs="Arial"/>
          <w:rtl/>
        </w:rPr>
        <w:t xml:space="preserve">. </w:t>
      </w:r>
    </w:p>
    <w:p w14:paraId="351D4541" w14:textId="77777777" w:rsidR="0004348D" w:rsidRPr="0004348D" w:rsidRDefault="0004348D" w:rsidP="0004348D">
      <w:pPr>
        <w:spacing w:before="360" w:after="240"/>
        <w:rPr>
          <w:rFonts w:ascii="Calibri" w:eastAsia="Calibri" w:hAnsi="Calibri" w:cs="Arial"/>
          <w:rtl/>
        </w:rPr>
      </w:pPr>
    </w:p>
    <w:p w14:paraId="3EF68D1B" w14:textId="77777777" w:rsidR="0004348D" w:rsidRPr="0004348D" w:rsidRDefault="0004348D" w:rsidP="0004348D">
      <w:pPr>
        <w:keepNext/>
        <w:keepLines/>
        <w:spacing w:before="360" w:after="240"/>
        <w:outlineLvl w:val="1"/>
        <w:rPr>
          <w:rFonts w:ascii="Cambria" w:eastAsia="Times New Roman" w:hAnsi="Cambria" w:cs="Arial"/>
          <w:bCs/>
          <w:color w:val="548DD4" w:themeColor="text2" w:themeTint="99"/>
          <w:sz w:val="26"/>
          <w:szCs w:val="26"/>
          <w:rtl/>
        </w:rPr>
      </w:pPr>
      <w:bookmarkStart w:id="807" w:name="_Toc24884203"/>
      <w:r w:rsidRPr="0004348D">
        <w:rPr>
          <w:rFonts w:ascii="Cambria" w:eastAsia="Times New Roman" w:hAnsi="Cambria" w:cs="Arial"/>
          <w:bCs/>
          <w:color w:val="548DD4" w:themeColor="text2" w:themeTint="99"/>
          <w:sz w:val="26"/>
          <w:szCs w:val="26"/>
          <w:rtl/>
        </w:rPr>
        <w:t>סעיף י: שטר שיש בו נאמנות ויוצא מתחת יד אחר.</w:t>
      </w:r>
      <w:bookmarkEnd w:id="807"/>
    </w:p>
    <w:p w14:paraId="13900B05" w14:textId="77777777" w:rsidR="0004348D" w:rsidRPr="0004348D" w:rsidRDefault="0004348D" w:rsidP="0004348D">
      <w:pPr>
        <w:spacing w:before="360" w:after="240"/>
        <w:rPr>
          <w:rFonts w:ascii="Calibri" w:eastAsia="Calibri" w:hAnsi="Calibri" w:cs="Arial"/>
          <w:u w:val="single"/>
          <w:rtl/>
        </w:rPr>
      </w:pPr>
      <w:r w:rsidRPr="0004348D">
        <w:rPr>
          <w:rFonts w:ascii="Calibri" w:eastAsia="Calibri" w:hAnsi="Calibri" w:cs="Arial"/>
          <w:u w:val="single"/>
          <w:rtl/>
        </w:rPr>
        <w:t>שטר שיש בו נאמנות, ויוצא מתחת יד אחר:</w:t>
      </w:r>
    </w:p>
    <w:p w14:paraId="180379DD" w14:textId="77777777" w:rsidR="0004348D" w:rsidRPr="0004348D" w:rsidRDefault="0004348D" w:rsidP="0004348D">
      <w:pPr>
        <w:numPr>
          <w:ilvl w:val="0"/>
          <w:numId w:val="356"/>
        </w:numPr>
        <w:spacing w:before="360" w:after="240"/>
        <w:contextualSpacing/>
        <w:rPr>
          <w:rFonts w:ascii="Calibri" w:eastAsia="Calibri" w:hAnsi="Calibri" w:cs="Arial"/>
          <w:rtl/>
        </w:rPr>
      </w:pPr>
      <w:r w:rsidRPr="0004348D">
        <w:rPr>
          <w:rFonts w:ascii="Calibri" w:eastAsia="Calibri" w:hAnsi="Calibri" w:cs="Arial"/>
          <w:rtl/>
        </w:rPr>
        <w:t xml:space="preserve">רא"ש </w:t>
      </w:r>
      <w:r w:rsidRPr="0004348D">
        <w:rPr>
          <w:rFonts w:ascii="Calibri" w:eastAsia="Calibri" w:hAnsi="Calibri" w:cs="Arial"/>
          <w:sz w:val="16"/>
          <w:szCs w:val="16"/>
          <w:rtl/>
        </w:rPr>
        <w:t>(כלל קה סי' ח)</w:t>
      </w:r>
      <w:r w:rsidRPr="0004348D">
        <w:rPr>
          <w:rFonts w:ascii="Calibri" w:eastAsia="Calibri" w:hAnsi="Calibri" w:cs="Arial"/>
          <w:rtl/>
        </w:rPr>
        <w:t>- אם יש נאמנות בשטר כיון שאין השטר בידו ויוצא מתחת יד אחר - אין מועיל הנאמנות</w:t>
      </w:r>
      <w:r w:rsidRPr="0004348D">
        <w:rPr>
          <w:rFonts w:ascii="Calibri" w:eastAsia="Calibri" w:hAnsi="Calibri" w:cs="Arial"/>
          <w:vertAlign w:val="superscript"/>
          <w:rtl/>
        </w:rPr>
        <w:footnoteReference w:id="5715"/>
      </w:r>
      <w:r w:rsidRPr="0004348D">
        <w:rPr>
          <w:rFonts w:ascii="Calibri" w:eastAsia="Calibri" w:hAnsi="Calibri" w:cs="Arial"/>
          <w:rtl/>
        </w:rPr>
        <w:t xml:space="preserve">. </w:t>
      </w:r>
      <w:r w:rsidRPr="0004348D">
        <w:rPr>
          <w:rFonts w:ascii="Calibri" w:eastAsia="Calibri" w:hAnsi="Calibri" w:cs="Arial"/>
          <w:color w:val="E36C0A" w:themeColor="accent6" w:themeShade="BF"/>
          <w:rtl/>
        </w:rPr>
        <w:t>(וכ"פ בשו"ע)</w:t>
      </w:r>
    </w:p>
    <w:p w14:paraId="5866CBDB" w14:textId="77777777" w:rsidR="0004348D" w:rsidRPr="0004348D" w:rsidRDefault="0004348D" w:rsidP="0004348D">
      <w:pPr>
        <w:spacing w:before="360" w:after="240"/>
        <w:rPr>
          <w:rFonts w:ascii="Calibri" w:eastAsia="Calibri" w:hAnsi="Calibri" w:cs="Arial"/>
          <w:u w:val="single"/>
        </w:rPr>
      </w:pPr>
      <w:r w:rsidRPr="0004348D">
        <w:rPr>
          <w:rFonts w:ascii="Calibri" w:eastAsia="Calibri" w:hAnsi="Calibri" w:cs="Arial"/>
          <w:u w:val="single"/>
          <w:rtl/>
        </w:rPr>
        <w:t>שטר נאמנות לו ולכל באי כחו - והלוה טוען שפרע לבא כחו:</w:t>
      </w:r>
    </w:p>
    <w:p w14:paraId="7AA76FB7" w14:textId="77777777" w:rsidR="0004348D" w:rsidRPr="0004348D" w:rsidRDefault="0004348D" w:rsidP="0004348D">
      <w:pPr>
        <w:numPr>
          <w:ilvl w:val="0"/>
          <w:numId w:val="356"/>
        </w:numPr>
        <w:spacing w:before="360" w:after="240"/>
        <w:contextualSpacing/>
        <w:rPr>
          <w:rFonts w:ascii="Calibri" w:eastAsia="Calibri" w:hAnsi="Calibri" w:cs="Arial"/>
        </w:rPr>
      </w:pPr>
      <w:r w:rsidRPr="0004348D">
        <w:rPr>
          <w:rFonts w:ascii="Calibri" w:eastAsia="Calibri" w:hAnsi="Calibri" w:cs="Arial"/>
          <w:rtl/>
        </w:rPr>
        <w:t xml:space="preserve">רא"ש </w:t>
      </w:r>
      <w:r w:rsidRPr="0004348D">
        <w:rPr>
          <w:rFonts w:ascii="Calibri" w:eastAsia="Calibri" w:hAnsi="Calibri" w:cs="Arial"/>
          <w:sz w:val="16"/>
          <w:szCs w:val="16"/>
          <w:rtl/>
        </w:rPr>
        <w:t>(כלל עא סי' ה)</w:t>
      </w:r>
      <w:r w:rsidRPr="0004348D">
        <w:rPr>
          <w:rFonts w:ascii="Calibri" w:eastAsia="Calibri" w:hAnsi="Calibri" w:cs="Arial"/>
          <w:rtl/>
        </w:rPr>
        <w:t>- ראובן שהיה לו שטר נאמנות על שמעון והאמין לו ולכל באי כחו. ואח"כ נתן</w:t>
      </w:r>
      <w:r w:rsidRPr="0004348D">
        <w:rPr>
          <w:rFonts w:ascii="Calibri" w:eastAsia="Calibri" w:hAnsi="Calibri" w:cs="Arial"/>
          <w:sz w:val="16"/>
          <w:szCs w:val="16"/>
          <w:rtl/>
        </w:rPr>
        <w:t xml:space="preserve"> {ראובן}</w:t>
      </w:r>
      <w:r w:rsidRPr="0004348D">
        <w:rPr>
          <w:rFonts w:ascii="Calibri" w:eastAsia="Calibri" w:hAnsi="Calibri" w:cs="Arial"/>
          <w:rtl/>
        </w:rPr>
        <w:t xml:space="preserve"> כחו ליהודה. ובא </w:t>
      </w:r>
      <w:r w:rsidRPr="0004348D">
        <w:rPr>
          <w:rFonts w:ascii="Calibri" w:eastAsia="Calibri" w:hAnsi="Calibri" w:cs="Arial"/>
          <w:sz w:val="16"/>
          <w:szCs w:val="16"/>
          <w:rtl/>
        </w:rPr>
        <w:t xml:space="preserve">{ראובן} </w:t>
      </w:r>
      <w:r w:rsidRPr="0004348D">
        <w:rPr>
          <w:rFonts w:ascii="Calibri" w:eastAsia="Calibri" w:hAnsi="Calibri" w:cs="Arial"/>
          <w:rtl/>
        </w:rPr>
        <w:t>לגבות משמעון. והוא משיב שכבר פרע ליהודה קודם, שהיתה לו הרשאה מראובן. תשובה, אין נאמנות ראובן מועיל לגבי יהודה. אבל אי לא טען שפרע ליהודה קודם לכן רק לראובן או ששלחן על ידי אחר - אינו נאמן</w:t>
      </w:r>
      <w:r w:rsidRPr="0004348D">
        <w:rPr>
          <w:rFonts w:ascii="Calibri" w:eastAsia="Calibri" w:hAnsi="Calibri" w:cs="Arial"/>
          <w:vertAlign w:val="superscript"/>
          <w:rtl/>
        </w:rPr>
        <w:footnoteReference w:id="5716"/>
      </w:r>
      <w:r w:rsidRPr="0004348D">
        <w:rPr>
          <w:rFonts w:ascii="Calibri" w:eastAsia="Calibri" w:hAnsi="Calibri" w:cs="Arial"/>
          <w:rtl/>
        </w:rPr>
        <w:t>.</w:t>
      </w:r>
    </w:p>
    <w:p w14:paraId="0475B38C" w14:textId="77777777" w:rsidR="0004348D" w:rsidRPr="0004348D" w:rsidRDefault="0004348D" w:rsidP="0004348D">
      <w:pPr>
        <w:spacing w:before="360" w:after="240"/>
        <w:rPr>
          <w:rFonts w:ascii="Arial" w:eastAsia="Calibri" w:hAnsi="Arial" w:cs="Arial"/>
          <w:b/>
          <w:bCs/>
          <w:color w:val="000000"/>
          <w:sz w:val="28"/>
          <w:szCs w:val="28"/>
          <w:u w:val="single"/>
          <w:rtl/>
        </w:rPr>
      </w:pPr>
      <w:r w:rsidRPr="0004348D">
        <w:rPr>
          <w:rFonts w:ascii="Arial" w:eastAsia="Calibri" w:hAnsi="Arial" w:cs="Arial"/>
          <w:b/>
          <w:bCs/>
          <w:color w:val="000000"/>
          <w:sz w:val="28"/>
          <w:szCs w:val="28"/>
          <w:u w:val="single"/>
          <w:rtl/>
        </w:rPr>
        <w:t>שו"ע:</w:t>
      </w:r>
    </w:p>
    <w:p w14:paraId="3275C346" w14:textId="77777777" w:rsidR="0004348D" w:rsidRPr="0004348D" w:rsidRDefault="0004348D" w:rsidP="0004348D">
      <w:pPr>
        <w:spacing w:before="360" w:after="240"/>
        <w:rPr>
          <w:rFonts w:ascii="Calibri" w:eastAsia="Calibri" w:hAnsi="Calibri" w:cs="Arial"/>
          <w:rtl/>
        </w:rPr>
      </w:pPr>
      <w:r w:rsidRPr="0004348D">
        <w:rPr>
          <w:rFonts w:ascii="Calibri" w:eastAsia="Calibri" w:hAnsi="Calibri" w:cs="Arial"/>
          <w:rtl/>
        </w:rPr>
        <w:t>שטר שיש בו נאמנות, ויוצא מתחת יד אחר</w:t>
      </w:r>
      <w:r w:rsidRPr="0004348D">
        <w:rPr>
          <w:rFonts w:ascii="Calibri" w:eastAsia="Calibri" w:hAnsi="Calibri" w:cs="Arial"/>
          <w:vertAlign w:val="superscript"/>
          <w:rtl/>
        </w:rPr>
        <w:footnoteReference w:id="5717"/>
      </w:r>
      <w:r w:rsidRPr="0004348D">
        <w:rPr>
          <w:rFonts w:ascii="Calibri" w:eastAsia="Calibri" w:hAnsi="Calibri" w:cs="Arial"/>
          <w:rtl/>
        </w:rPr>
        <w:t>, יש מי שאומר שאין מועיל הנאמנות</w:t>
      </w:r>
      <w:r w:rsidRPr="0004348D">
        <w:rPr>
          <w:rFonts w:ascii="Calibri" w:eastAsia="Calibri" w:hAnsi="Calibri" w:cs="Arial"/>
          <w:vertAlign w:val="superscript"/>
          <w:rtl/>
        </w:rPr>
        <w:footnoteReference w:id="5718"/>
      </w:r>
      <w:r w:rsidRPr="0004348D">
        <w:rPr>
          <w:rFonts w:ascii="Calibri" w:eastAsia="Calibri" w:hAnsi="Calibri" w:cs="Arial"/>
          <w:rtl/>
        </w:rPr>
        <w:t xml:space="preserve">. </w:t>
      </w:r>
    </w:p>
    <w:p w14:paraId="6AD11DDB" w14:textId="77777777" w:rsidR="0004348D" w:rsidRPr="0004348D" w:rsidRDefault="0004348D" w:rsidP="0004348D">
      <w:pPr>
        <w:spacing w:before="360" w:after="240"/>
        <w:rPr>
          <w:rFonts w:ascii="Calibri" w:eastAsia="Calibri" w:hAnsi="Calibri" w:cs="Arial"/>
          <w:rtl/>
        </w:rPr>
      </w:pPr>
    </w:p>
    <w:p w14:paraId="73735B0F" w14:textId="77777777" w:rsidR="0004348D" w:rsidRPr="0004348D" w:rsidRDefault="0004348D" w:rsidP="0004348D">
      <w:pPr>
        <w:keepNext/>
        <w:keepLines/>
        <w:spacing w:before="360" w:after="240"/>
        <w:outlineLvl w:val="1"/>
        <w:rPr>
          <w:rFonts w:ascii="Cambria" w:eastAsia="Times New Roman" w:hAnsi="Cambria" w:cs="Arial"/>
          <w:bCs/>
          <w:color w:val="548DD4" w:themeColor="text2" w:themeTint="99"/>
          <w:sz w:val="26"/>
          <w:szCs w:val="26"/>
          <w:rtl/>
        </w:rPr>
      </w:pPr>
      <w:bookmarkStart w:id="808" w:name="_Toc24884204"/>
      <w:r w:rsidRPr="0004348D">
        <w:rPr>
          <w:rFonts w:ascii="Cambria" w:eastAsia="Times New Roman" w:hAnsi="Cambria" w:cs="Arial"/>
          <w:bCs/>
          <w:color w:val="548DD4" w:themeColor="text2" w:themeTint="99"/>
          <w:sz w:val="26"/>
          <w:szCs w:val="26"/>
          <w:rtl/>
        </w:rPr>
        <w:t>סעיף יא: כתב פרעון בעדים שיש כמה אמתלאות שהוא מזוייף.</w:t>
      </w:r>
      <w:bookmarkEnd w:id="808"/>
    </w:p>
    <w:p w14:paraId="2B793C12" w14:textId="77777777" w:rsidR="0004348D" w:rsidRPr="0004348D" w:rsidRDefault="0004348D" w:rsidP="0004348D">
      <w:pPr>
        <w:spacing w:before="360" w:after="240"/>
        <w:rPr>
          <w:rFonts w:ascii="Calibri" w:eastAsia="Calibri" w:hAnsi="Calibri" w:cs="Arial"/>
          <w:u w:val="single"/>
          <w:rtl/>
        </w:rPr>
      </w:pPr>
      <w:r w:rsidRPr="0004348D">
        <w:rPr>
          <w:rFonts w:ascii="Calibri" w:eastAsia="Calibri" w:hAnsi="Calibri" w:cs="Arial"/>
          <w:u w:val="single"/>
          <w:rtl/>
        </w:rPr>
        <w:t>יורשים שהוציאו שטר חוב, והלוה הוציא כתב פרעון בעדים - ויש כמה אמתלאות מוכיחות שכתב הפרעון מזוייף:</w:t>
      </w:r>
    </w:p>
    <w:p w14:paraId="65024E7C" w14:textId="77777777" w:rsidR="0004348D" w:rsidRPr="0004348D" w:rsidRDefault="0004348D" w:rsidP="0004348D">
      <w:pPr>
        <w:numPr>
          <w:ilvl w:val="0"/>
          <w:numId w:val="356"/>
        </w:numPr>
        <w:spacing w:before="360" w:after="240"/>
        <w:contextualSpacing/>
        <w:rPr>
          <w:rFonts w:ascii="Calibri" w:eastAsia="Calibri" w:hAnsi="Calibri" w:cs="Arial"/>
          <w:rtl/>
        </w:rPr>
      </w:pPr>
      <w:r w:rsidRPr="0004348D">
        <w:rPr>
          <w:rFonts w:ascii="Calibri" w:eastAsia="Calibri" w:hAnsi="Calibri" w:cs="Arial"/>
          <w:rtl/>
        </w:rPr>
        <w:t xml:space="preserve">רא"ש </w:t>
      </w:r>
      <w:r w:rsidRPr="0004348D">
        <w:rPr>
          <w:rFonts w:ascii="Calibri" w:eastAsia="Calibri" w:hAnsi="Calibri" w:cs="Arial"/>
          <w:sz w:val="16"/>
          <w:szCs w:val="16"/>
          <w:rtl/>
        </w:rPr>
        <w:t>(כ"כ הטור בשמו, וכתב הב"י שהיא בתשובות שבסוף ספר חזה התנופה סי' נא)</w:t>
      </w:r>
      <w:r w:rsidRPr="0004348D">
        <w:rPr>
          <w:rFonts w:ascii="Calibri" w:eastAsia="Calibri" w:hAnsi="Calibri" w:cs="Arial"/>
          <w:rtl/>
        </w:rPr>
        <w:t xml:space="preserve">- ראובן נתחזק לו שטר על שמעון בג' אלפים שיפרע לו מחציתם לסוף שלשה חדשים ומחציתם לסוף ו' חדשים, ונפטר ראובן בתוך הזמן, ותבעו יורשיו לשמעון לפרוע השטר. וטוען שמעון שכבר פרע לראובן לפני מותו ומראה כתב פרעון ועדים חתומים עליו ושואל שיחזירו לו שטרו. והיורשין אומרים שהעדים מעידין שקר ומבקשים מב"ד שיעשו בהן דרישה וחקירה ולכפותם, ונותנין אמתלא לדבריהם שאין בין זמן השטר וזמן הפרעון אלא ט"ו יום ולא היה יכול המלוה לינצל לומר לא מצאתי השטר ואכתוב לך שובר, א"כ למה לא נתן לו השטר לקרוע. ועוד כי עדיין לא הגיע זמן פריעת חוב השטר אלא לאחר פטירת המלוה. ועוד כל העומדים בבית ראובן מעידין שלא ידעו ולא שמעו מפרעון שטר זה מעולם, ואם היה אמת היו יודעין הפרעון שכל משא ומתן של ראובן היה על ידם. תשובה, אמת הדבר שאלו העדים צריכין דרישה וחקירה ע"י ב"ד מומחה מכל אמתלאות שיש בדבר, ואם ידרשו ויחקרו כדת וכראוי ויכוונו עדותן אין כח באמתלאות לבטל עדותן, אע"ג דהקובע לחבירו זמן אינו נאמן לומר פרעתי תוך הזמן - אם יש עדים שפרע אין להכחיש העדים בשביל חזקה שאין אדם פורע תוך זמנו, ואע"פ שזמן השטר היה תוך ט"ו יום לזמן הפרעון אפשר שהשטר היה במקום אחר וראובן היה צריך למעות ושמעון עשה עמו טובה ופרע בלא החזרת השטר על ידי שובר. ומה שהעומדים בבית ראובן לא ידעו ולא שמעו מפרעון זה - לא ידעתי ולא שמעתי אינה ראיה וקמי שמיא גליא לב העומדים </w:t>
      </w:r>
      <w:r w:rsidRPr="0004348D">
        <w:rPr>
          <w:rFonts w:ascii="Calibri" w:eastAsia="Calibri" w:hAnsi="Calibri" w:cs="Arial"/>
          <w:sz w:val="16"/>
          <w:szCs w:val="16"/>
          <w:rtl/>
        </w:rPr>
        <w:t>(ס"א- העדים)</w:t>
      </w:r>
      <w:r w:rsidRPr="0004348D">
        <w:rPr>
          <w:rFonts w:ascii="Calibri" w:eastAsia="Calibri" w:hAnsi="Calibri" w:cs="Arial"/>
          <w:rtl/>
        </w:rPr>
        <w:t xml:space="preserve"> אם לעקל אם לעקלקלות אלא שאין לפסול עדים ולהוציא מעות באמתלאות הללו, ואילו היו באים העדים לפני ב"ד מומחה יראי שמים אפשר שיתברר הדבר לאמתו בדרישות וחקירות, ואם אחרי כל הדרישות וחקירות יראה לב"ד שהעדות מכוונת חייבין היורשים להחזיר השטר ללוה</w:t>
      </w:r>
      <w:r w:rsidRPr="0004348D">
        <w:rPr>
          <w:rFonts w:ascii="Calibri" w:eastAsia="Calibri" w:hAnsi="Calibri" w:cs="Arial"/>
          <w:sz w:val="16"/>
          <w:szCs w:val="16"/>
          <w:rtl/>
        </w:rPr>
        <w:t xml:space="preserve"> (ל' הטור בשם הרא"ש)</w:t>
      </w:r>
      <w:r w:rsidRPr="0004348D">
        <w:rPr>
          <w:rFonts w:ascii="Calibri" w:eastAsia="Calibri" w:hAnsi="Calibri" w:cs="Arial"/>
          <w:rtl/>
        </w:rPr>
        <w:t>.</w:t>
      </w:r>
      <w:r w:rsidRPr="0004348D">
        <w:rPr>
          <w:rFonts w:ascii="Calibri" w:eastAsia="Calibri" w:hAnsi="Calibri" w:cs="Arial"/>
          <w:color w:val="E36C0A" w:themeColor="accent6" w:themeShade="BF"/>
          <w:rtl/>
        </w:rPr>
        <w:t xml:space="preserve"> (וכ"פ בשו"ע)</w:t>
      </w:r>
      <w:r w:rsidRPr="0004348D">
        <w:rPr>
          <w:rFonts w:ascii="Calibri" w:eastAsia="Calibri" w:hAnsi="Calibri" w:cs="Arial"/>
          <w:rtl/>
        </w:rPr>
        <w:t xml:space="preserve"> </w:t>
      </w:r>
    </w:p>
    <w:p w14:paraId="2489E3FC" w14:textId="77777777" w:rsidR="0004348D" w:rsidRPr="0004348D" w:rsidRDefault="0004348D" w:rsidP="0004348D">
      <w:pPr>
        <w:spacing w:before="360" w:after="240"/>
        <w:rPr>
          <w:rFonts w:ascii="Calibri" w:eastAsia="Calibri" w:hAnsi="Calibri" w:cs="Arial"/>
          <w:u w:val="single"/>
        </w:rPr>
      </w:pPr>
      <w:r w:rsidRPr="0004348D">
        <w:rPr>
          <w:rFonts w:ascii="Calibri" w:eastAsia="Calibri" w:hAnsi="Calibri" w:cs="Arial"/>
          <w:u w:val="single"/>
          <w:rtl/>
        </w:rPr>
        <w:t xml:space="preserve">כשלוה מאמין את המלוה כשני עדים – האם צריך לומר 'כשני עדים כשרים' או מספיק שיאמר 'כשני עדים': </w:t>
      </w:r>
    </w:p>
    <w:p w14:paraId="58FBF477" w14:textId="77777777" w:rsidR="0004348D" w:rsidRPr="0004348D" w:rsidRDefault="0004348D" w:rsidP="0004348D">
      <w:pPr>
        <w:numPr>
          <w:ilvl w:val="0"/>
          <w:numId w:val="356"/>
        </w:numPr>
        <w:spacing w:before="360" w:after="240"/>
        <w:contextualSpacing/>
        <w:rPr>
          <w:rFonts w:ascii="Calibri" w:eastAsia="Calibri" w:hAnsi="Calibri" w:cs="Arial"/>
          <w:rtl/>
        </w:rPr>
      </w:pPr>
      <w:r w:rsidRPr="0004348D">
        <w:rPr>
          <w:rFonts w:ascii="Calibri" w:eastAsia="Calibri" w:hAnsi="Calibri" w:cs="Arial"/>
          <w:rtl/>
        </w:rPr>
        <w:t xml:space="preserve">ה"ר אברהם ב"ר יצחק </w:t>
      </w:r>
      <w:r w:rsidRPr="0004348D">
        <w:rPr>
          <w:rFonts w:ascii="Calibri" w:eastAsia="Calibri" w:hAnsi="Calibri" w:cs="Arial"/>
          <w:sz w:val="16"/>
          <w:szCs w:val="16"/>
          <w:rtl/>
        </w:rPr>
        <w:t>(כ"כ בשמו בעל התרומות)</w:t>
      </w:r>
      <w:r w:rsidRPr="0004348D">
        <w:rPr>
          <w:rFonts w:ascii="Calibri" w:eastAsia="Calibri" w:hAnsi="Calibri" w:cs="Arial"/>
          <w:rtl/>
        </w:rPr>
        <w:t>- צריך לכתוב בשטרות שיהא נאמן 'כשני עדים כשרים'. דאי לאו כשרים, נהי דלוה לא יכיל למימר אשתבע לי ואם פוגם שטרו אינו צריך לישבע אבל אם יבואו שנים ויאמרו פרוע הוא ומלוה אומר אינו פרוע - הוו להו תרי ותרי ואוקי ממונא בחזקת מאריה ויפסיד המלוה. אבל אחר שהאמינו ככשרים - המלוה נאמן יותר משני עדים, שאם אתה אומר ששני עדים יכולים להכחישו אשתכח דלאו ככשרים הוי איהו</w:t>
      </w:r>
      <w:r w:rsidRPr="0004348D">
        <w:rPr>
          <w:rFonts w:ascii="Calibri" w:eastAsia="Calibri" w:hAnsi="Calibri" w:cs="Arial"/>
          <w:vertAlign w:val="superscript"/>
          <w:rtl/>
        </w:rPr>
        <w:footnoteReference w:id="5719"/>
      </w:r>
      <w:r w:rsidRPr="0004348D">
        <w:rPr>
          <w:rFonts w:ascii="Calibri" w:eastAsia="Calibri" w:hAnsi="Calibri" w:cs="Arial"/>
          <w:rtl/>
        </w:rPr>
        <w:t xml:space="preserve">. </w:t>
      </w:r>
    </w:p>
    <w:p w14:paraId="54DE62BB" w14:textId="77777777" w:rsidR="0004348D" w:rsidRPr="0004348D" w:rsidRDefault="0004348D" w:rsidP="0004348D">
      <w:pPr>
        <w:numPr>
          <w:ilvl w:val="0"/>
          <w:numId w:val="356"/>
        </w:numPr>
        <w:spacing w:before="360" w:after="240"/>
        <w:contextualSpacing/>
        <w:rPr>
          <w:rFonts w:ascii="Calibri" w:eastAsia="Calibri" w:hAnsi="Calibri" w:cs="Arial"/>
        </w:rPr>
      </w:pPr>
      <w:r w:rsidRPr="0004348D">
        <w:rPr>
          <w:rFonts w:ascii="Calibri" w:eastAsia="Calibri" w:hAnsi="Calibri" w:cs="Arial"/>
          <w:rtl/>
        </w:rPr>
        <w:t>בעל התרומות</w:t>
      </w:r>
      <w:r w:rsidRPr="0004348D">
        <w:rPr>
          <w:rFonts w:ascii="Calibri" w:eastAsia="Calibri" w:hAnsi="Calibri" w:cs="Arial"/>
          <w:sz w:val="16"/>
          <w:szCs w:val="16"/>
          <w:rtl/>
        </w:rPr>
        <w:t xml:space="preserve"> (שער כו ח"א סי' ב)</w:t>
      </w:r>
      <w:r w:rsidRPr="0004348D">
        <w:rPr>
          <w:rFonts w:ascii="Calibri" w:eastAsia="Calibri" w:hAnsi="Calibri" w:cs="Arial"/>
          <w:rtl/>
        </w:rPr>
        <w:t>- אין בנו כח להעמיד דבר זה להפריש בין עדים כשרים לעדים סתם, כי סתם עדים - כשרים הם. גם המורים לא אחזו בלשונם כי אם 'האמינו כשני עדים', ולא כתבו 'כשרים'.</w:t>
      </w:r>
    </w:p>
    <w:p w14:paraId="727E702E" w14:textId="77777777" w:rsidR="0004348D" w:rsidRPr="0004348D" w:rsidRDefault="0004348D" w:rsidP="0004348D">
      <w:pPr>
        <w:spacing w:before="360" w:after="240"/>
        <w:rPr>
          <w:rFonts w:ascii="Arial" w:eastAsia="Calibri" w:hAnsi="Arial" w:cs="Arial"/>
          <w:b/>
          <w:bCs/>
          <w:color w:val="000000"/>
          <w:sz w:val="28"/>
          <w:szCs w:val="28"/>
          <w:u w:val="single"/>
          <w:rtl/>
        </w:rPr>
      </w:pPr>
      <w:r w:rsidRPr="0004348D">
        <w:rPr>
          <w:rFonts w:ascii="Arial" w:eastAsia="Calibri" w:hAnsi="Arial" w:cs="Arial"/>
          <w:b/>
          <w:bCs/>
          <w:color w:val="000000"/>
          <w:sz w:val="28"/>
          <w:szCs w:val="28"/>
          <w:u w:val="single"/>
          <w:rtl/>
        </w:rPr>
        <w:t>שו"ע:</w:t>
      </w:r>
    </w:p>
    <w:p w14:paraId="77A28327" w14:textId="77777777" w:rsidR="0004348D" w:rsidRPr="0004348D" w:rsidRDefault="0004348D" w:rsidP="0004348D">
      <w:pPr>
        <w:spacing w:before="360" w:after="240"/>
        <w:rPr>
          <w:rFonts w:ascii="Calibri" w:eastAsia="Calibri" w:hAnsi="Calibri" w:cs="Arial"/>
          <w:rtl/>
        </w:rPr>
      </w:pPr>
      <w:r w:rsidRPr="0004348D">
        <w:rPr>
          <w:rFonts w:ascii="Calibri" w:eastAsia="Calibri" w:hAnsi="Calibri" w:cs="Arial"/>
          <w:rtl/>
        </w:rPr>
        <w:t>כתב פרעון בעדים נגד שטר חוב, ומת המלוה, ויש כמה אמתלאות מוכיחות שכתב הפרעון מזוייף, יתברר הדבר בדרישות וחקירות</w:t>
      </w:r>
      <w:r w:rsidRPr="0004348D">
        <w:rPr>
          <w:rFonts w:ascii="Calibri" w:eastAsia="Calibri" w:hAnsi="Calibri" w:cs="Arial"/>
          <w:vertAlign w:val="superscript"/>
          <w:rtl/>
        </w:rPr>
        <w:footnoteReference w:id="5720"/>
      </w:r>
      <w:r w:rsidRPr="0004348D">
        <w:rPr>
          <w:rFonts w:ascii="Calibri" w:eastAsia="Calibri" w:hAnsi="Calibri" w:cs="Arial"/>
          <w:rtl/>
        </w:rPr>
        <w:t xml:space="preserve">. ואם אחר כך יראה לבית דין שהעדות מכוונת, חייבים היורשים להחזיר השטר ללוה. </w:t>
      </w:r>
    </w:p>
    <w:p w14:paraId="308E657B" w14:textId="77777777" w:rsidR="0004348D" w:rsidRPr="0004348D" w:rsidRDefault="0004348D" w:rsidP="0004348D">
      <w:pPr>
        <w:spacing w:before="360" w:after="240"/>
        <w:rPr>
          <w:rFonts w:ascii="Calibri" w:eastAsia="Calibri" w:hAnsi="Calibri" w:cs="Arial"/>
          <w:rtl/>
        </w:rPr>
      </w:pPr>
    </w:p>
    <w:p w14:paraId="61D7F254" w14:textId="77777777" w:rsidR="0004348D" w:rsidRPr="0004348D" w:rsidRDefault="0004348D" w:rsidP="0004348D">
      <w:pPr>
        <w:keepNext/>
        <w:keepLines/>
        <w:spacing w:before="360" w:after="240"/>
        <w:outlineLvl w:val="1"/>
        <w:rPr>
          <w:rFonts w:ascii="Cambria" w:eastAsia="Times New Roman" w:hAnsi="Cambria" w:cs="Arial"/>
          <w:bCs/>
          <w:color w:val="548DD4" w:themeColor="text2" w:themeTint="99"/>
          <w:sz w:val="26"/>
          <w:szCs w:val="26"/>
          <w:rtl/>
        </w:rPr>
      </w:pPr>
      <w:bookmarkStart w:id="809" w:name="_Toc24884205"/>
      <w:r w:rsidRPr="0004348D">
        <w:rPr>
          <w:rFonts w:ascii="Cambria" w:eastAsia="Times New Roman" w:hAnsi="Cambria" w:cs="Arial"/>
          <w:bCs/>
          <w:color w:val="548DD4" w:themeColor="text2" w:themeTint="99"/>
          <w:sz w:val="26"/>
          <w:szCs w:val="26"/>
          <w:rtl/>
        </w:rPr>
        <w:t>סעיף יב: שטר נאמנות מול יתומים.</w:t>
      </w:r>
      <w:bookmarkEnd w:id="809"/>
    </w:p>
    <w:p w14:paraId="347867C5" w14:textId="77777777" w:rsidR="0004348D" w:rsidRPr="0004348D" w:rsidRDefault="0004348D" w:rsidP="0004348D">
      <w:pPr>
        <w:spacing w:before="360" w:after="240"/>
        <w:rPr>
          <w:rFonts w:ascii="Calibri" w:eastAsia="Calibri" w:hAnsi="Calibri" w:cs="Arial"/>
          <w:rtl/>
        </w:rPr>
      </w:pPr>
      <w:r w:rsidRPr="0004348D">
        <w:rPr>
          <w:rFonts w:ascii="Calibri" w:eastAsia="Calibri" w:hAnsi="Calibri" w:cs="Arial"/>
          <w:u w:val="single"/>
          <w:rtl/>
        </w:rPr>
        <w:t>גבייה מיתומים ע"י שטר שיש בו נאמנות:</w:t>
      </w:r>
    </w:p>
    <w:p w14:paraId="0A31AF96" w14:textId="77777777" w:rsidR="0004348D" w:rsidRPr="0004348D" w:rsidRDefault="0004348D" w:rsidP="0004348D">
      <w:pPr>
        <w:numPr>
          <w:ilvl w:val="0"/>
          <w:numId w:val="356"/>
        </w:numPr>
        <w:spacing w:before="360" w:after="240"/>
        <w:contextualSpacing/>
        <w:rPr>
          <w:rFonts w:ascii="Calibri" w:eastAsia="Calibri" w:hAnsi="Calibri" w:cs="Arial"/>
          <w:rtl/>
        </w:rPr>
      </w:pPr>
      <w:r w:rsidRPr="0004348D">
        <w:rPr>
          <w:rFonts w:ascii="Calibri" w:eastAsia="Calibri" w:hAnsi="Calibri" w:cs="Arial"/>
          <w:rtl/>
        </w:rPr>
        <w:t xml:space="preserve">רא"ש </w:t>
      </w:r>
      <w:r w:rsidRPr="0004348D">
        <w:rPr>
          <w:rFonts w:ascii="Calibri" w:eastAsia="Calibri" w:hAnsi="Calibri" w:cs="Arial"/>
          <w:sz w:val="16"/>
          <w:szCs w:val="16"/>
          <w:rtl/>
        </w:rPr>
        <w:t xml:space="preserve">(כלל עא סי' ט) </w:t>
      </w:r>
      <w:r w:rsidRPr="0004348D">
        <w:rPr>
          <w:rFonts w:ascii="Calibri" w:eastAsia="Calibri" w:hAnsi="Calibri" w:cs="Arial"/>
          <w:rtl/>
        </w:rPr>
        <w:t xml:space="preserve">וטור </w:t>
      </w:r>
      <w:r w:rsidRPr="0004348D">
        <w:rPr>
          <w:rFonts w:ascii="Calibri" w:eastAsia="Calibri" w:hAnsi="Calibri" w:cs="Arial"/>
          <w:sz w:val="16"/>
          <w:szCs w:val="16"/>
          <w:rtl/>
        </w:rPr>
        <w:t>(ר"ס קי ס"ב)</w:t>
      </w:r>
      <w:r w:rsidRPr="0004348D">
        <w:rPr>
          <w:rFonts w:ascii="Calibri" w:eastAsia="Calibri" w:hAnsi="Calibri" w:cs="Arial"/>
          <w:rtl/>
        </w:rPr>
        <w:t xml:space="preserve">- שטר שיש בו נאמנות אינו גובה מיתומים קטנים כי אולי כשיהיו גדולים ימצאו שובר או עדי פרעון. </w:t>
      </w:r>
      <w:r w:rsidRPr="0004348D">
        <w:rPr>
          <w:rFonts w:ascii="Calibri" w:eastAsia="Calibri" w:hAnsi="Calibri" w:cs="Arial"/>
          <w:color w:val="E36C0A" w:themeColor="accent6" w:themeShade="BF"/>
          <w:rtl/>
        </w:rPr>
        <w:t>(וכ"פ בשו"ע)</w:t>
      </w:r>
    </w:p>
    <w:p w14:paraId="2F29B7C1" w14:textId="77777777" w:rsidR="0004348D" w:rsidRPr="0004348D" w:rsidRDefault="0004348D" w:rsidP="0004348D">
      <w:pPr>
        <w:spacing w:before="360" w:after="240"/>
        <w:rPr>
          <w:rFonts w:ascii="Arial" w:eastAsia="Calibri" w:hAnsi="Arial" w:cs="Arial"/>
          <w:b/>
          <w:bCs/>
          <w:color w:val="000000"/>
          <w:sz w:val="28"/>
          <w:szCs w:val="28"/>
          <w:u w:val="single"/>
          <w:rtl/>
        </w:rPr>
      </w:pPr>
      <w:r w:rsidRPr="0004348D">
        <w:rPr>
          <w:rFonts w:ascii="Arial" w:eastAsia="Calibri" w:hAnsi="Arial" w:cs="Arial"/>
          <w:b/>
          <w:bCs/>
          <w:color w:val="000000"/>
          <w:sz w:val="28"/>
          <w:szCs w:val="28"/>
          <w:u w:val="single"/>
          <w:rtl/>
        </w:rPr>
        <w:t>שו"ע:</w:t>
      </w:r>
    </w:p>
    <w:p w14:paraId="6E7B2BAC" w14:textId="77777777" w:rsidR="0004348D" w:rsidRPr="0004348D" w:rsidRDefault="0004348D" w:rsidP="0004348D">
      <w:pPr>
        <w:spacing w:before="360" w:after="240"/>
        <w:rPr>
          <w:rFonts w:ascii="Calibri" w:eastAsia="Calibri" w:hAnsi="Calibri" w:cs="Arial"/>
          <w:rtl/>
        </w:rPr>
      </w:pPr>
      <w:r w:rsidRPr="0004348D">
        <w:rPr>
          <w:rFonts w:ascii="Calibri" w:eastAsia="Calibri" w:hAnsi="Calibri" w:cs="Arial"/>
          <w:rtl/>
        </w:rPr>
        <w:t xml:space="preserve">אף על פי שיש בשטר נאמנות, אינו גובה מהיתומים קטנים, כי אולי כשיגדלו ימצאו שובר או עידי פרעון. </w:t>
      </w:r>
    </w:p>
    <w:p w14:paraId="0647470B" w14:textId="77777777" w:rsidR="0004348D" w:rsidRPr="0004348D" w:rsidRDefault="0004348D" w:rsidP="0004348D">
      <w:pPr>
        <w:spacing w:before="360" w:after="240"/>
        <w:rPr>
          <w:rFonts w:ascii="Calibri" w:eastAsia="Calibri" w:hAnsi="Calibri" w:cs="Arial"/>
          <w:rtl/>
        </w:rPr>
      </w:pPr>
    </w:p>
    <w:p w14:paraId="777D37A7" w14:textId="77777777" w:rsidR="0004348D" w:rsidRPr="0004348D" w:rsidRDefault="0004348D" w:rsidP="0004348D">
      <w:pPr>
        <w:keepNext/>
        <w:keepLines/>
        <w:spacing w:before="360" w:after="240"/>
        <w:outlineLvl w:val="1"/>
        <w:rPr>
          <w:rFonts w:ascii="Cambria" w:eastAsia="Times New Roman" w:hAnsi="Cambria" w:cs="Arial"/>
          <w:bCs/>
          <w:color w:val="548DD4" w:themeColor="text2" w:themeTint="99"/>
          <w:sz w:val="26"/>
          <w:szCs w:val="26"/>
          <w:rtl/>
        </w:rPr>
      </w:pPr>
      <w:bookmarkStart w:id="810" w:name="_Toc24884206"/>
      <w:r w:rsidRPr="0004348D">
        <w:rPr>
          <w:rFonts w:ascii="Cambria" w:eastAsia="Times New Roman" w:hAnsi="Cambria" w:cs="Arial"/>
          <w:bCs/>
          <w:color w:val="548DD4" w:themeColor="text2" w:themeTint="99"/>
          <w:sz w:val="26"/>
          <w:szCs w:val="26"/>
          <w:rtl/>
        </w:rPr>
        <w:t>סעיף יג: מלוה שיש לו שטר נאמנות ונמצא כפרן בדבר אחר.</w:t>
      </w:r>
      <w:bookmarkEnd w:id="810"/>
    </w:p>
    <w:p w14:paraId="19CCE686" w14:textId="77777777" w:rsidR="0004348D" w:rsidRPr="0004348D" w:rsidRDefault="0004348D" w:rsidP="0004348D">
      <w:pPr>
        <w:spacing w:before="360" w:after="240"/>
        <w:rPr>
          <w:rFonts w:ascii="Calibri" w:eastAsia="Calibri" w:hAnsi="Calibri" w:cs="Arial"/>
          <w:u w:val="single"/>
          <w:rtl/>
        </w:rPr>
      </w:pPr>
      <w:r w:rsidRPr="0004348D">
        <w:rPr>
          <w:rFonts w:ascii="Calibri" w:eastAsia="Calibri" w:hAnsi="Calibri" w:cs="Arial"/>
          <w:u w:val="single"/>
          <w:rtl/>
        </w:rPr>
        <w:t>מלוה שיש לו שטר נאמנות ונמצא כפרן בדבר אחר:</w:t>
      </w:r>
    </w:p>
    <w:p w14:paraId="64B46909" w14:textId="77777777" w:rsidR="0004348D" w:rsidRPr="0004348D" w:rsidRDefault="0004348D" w:rsidP="0004348D">
      <w:pPr>
        <w:numPr>
          <w:ilvl w:val="0"/>
          <w:numId w:val="356"/>
        </w:numPr>
        <w:spacing w:before="360" w:after="240"/>
        <w:contextualSpacing/>
        <w:rPr>
          <w:rFonts w:ascii="Calibri" w:eastAsia="Calibri" w:hAnsi="Calibri" w:cs="Arial"/>
          <w:rtl/>
        </w:rPr>
      </w:pPr>
      <w:r w:rsidRPr="0004348D">
        <w:rPr>
          <w:rFonts w:ascii="Calibri" w:eastAsia="Calibri" w:hAnsi="Calibri" w:cs="Arial"/>
          <w:rtl/>
        </w:rPr>
        <w:t>רבי קלונימוס</w:t>
      </w:r>
      <w:r w:rsidRPr="0004348D">
        <w:rPr>
          <w:rFonts w:ascii="Calibri" w:eastAsia="Calibri" w:hAnsi="Calibri" w:cs="Arial"/>
          <w:vertAlign w:val="superscript"/>
          <w:rtl/>
        </w:rPr>
        <w:footnoteReference w:id="5721"/>
      </w:r>
      <w:r w:rsidRPr="0004348D">
        <w:rPr>
          <w:rFonts w:ascii="Calibri" w:eastAsia="Calibri" w:hAnsi="Calibri" w:cs="Arial"/>
          <w:rtl/>
        </w:rPr>
        <w:t xml:space="preserve"> ומהר"ם </w:t>
      </w:r>
      <w:r w:rsidRPr="0004348D">
        <w:rPr>
          <w:rFonts w:ascii="Calibri" w:eastAsia="Calibri" w:hAnsi="Calibri" w:cs="Arial"/>
          <w:sz w:val="16"/>
          <w:szCs w:val="16"/>
          <w:rtl/>
        </w:rPr>
        <w:t>(ד"פ סי' תתנט)</w:t>
      </w:r>
      <w:r w:rsidRPr="0004348D">
        <w:rPr>
          <w:rFonts w:ascii="Calibri" w:eastAsia="Calibri" w:hAnsi="Calibri" w:cs="Arial"/>
          <w:rtl/>
        </w:rPr>
        <w:t>- שטר שיש בו נאמנות ונמצא המלוה כפרן בדבר אחר וע"י עדים - לא מהני ליה הנאמנות. אע"ג דקיי"ל הוחזק כפרן לאותו ממון לא הוחזק כפרן לממון אחר, אפ"ה בהא בטל לנאמנות דהימניה לוה למלוה ולא שקיל מיניה אלא בשבועה</w:t>
      </w:r>
      <w:r w:rsidRPr="0004348D">
        <w:rPr>
          <w:rFonts w:ascii="Calibri" w:eastAsia="Calibri" w:hAnsi="Calibri" w:cs="Arial"/>
          <w:vertAlign w:val="superscript"/>
          <w:rtl/>
        </w:rPr>
        <w:footnoteReference w:id="5722"/>
      </w:r>
      <w:r w:rsidRPr="0004348D">
        <w:rPr>
          <w:rFonts w:ascii="Calibri" w:eastAsia="Calibri" w:hAnsi="Calibri" w:cs="Arial"/>
          <w:rtl/>
        </w:rPr>
        <w:t xml:space="preserve">. </w:t>
      </w:r>
      <w:r w:rsidRPr="0004348D">
        <w:rPr>
          <w:rFonts w:ascii="Calibri" w:eastAsia="Calibri" w:hAnsi="Calibri" w:cs="Arial"/>
          <w:color w:val="E36C0A" w:themeColor="accent6" w:themeShade="BF"/>
          <w:rtl/>
        </w:rPr>
        <w:t>(וכ"פ בשו"ע)</w:t>
      </w:r>
    </w:p>
    <w:p w14:paraId="782E6D9C" w14:textId="77777777" w:rsidR="0004348D" w:rsidRPr="0004348D" w:rsidRDefault="0004348D" w:rsidP="0004348D">
      <w:pPr>
        <w:spacing w:before="360" w:after="240"/>
        <w:rPr>
          <w:rFonts w:ascii="Arial" w:eastAsia="Calibri" w:hAnsi="Arial" w:cs="Arial"/>
          <w:b/>
          <w:bCs/>
          <w:color w:val="000000"/>
          <w:sz w:val="28"/>
          <w:szCs w:val="28"/>
          <w:u w:val="single"/>
          <w:rtl/>
        </w:rPr>
      </w:pPr>
      <w:r w:rsidRPr="0004348D">
        <w:rPr>
          <w:rFonts w:ascii="Arial" w:eastAsia="Calibri" w:hAnsi="Arial" w:cs="Arial"/>
          <w:b/>
          <w:bCs/>
          <w:color w:val="000000"/>
          <w:sz w:val="28"/>
          <w:szCs w:val="28"/>
          <w:u w:val="single"/>
          <w:rtl/>
        </w:rPr>
        <w:t>שו"ע:</w:t>
      </w:r>
    </w:p>
    <w:p w14:paraId="282FF6BB" w14:textId="77777777" w:rsidR="0004348D" w:rsidRPr="0004348D" w:rsidRDefault="0004348D" w:rsidP="0004348D">
      <w:pPr>
        <w:spacing w:before="360" w:after="240"/>
        <w:rPr>
          <w:rFonts w:ascii="Calibri" w:eastAsia="Calibri" w:hAnsi="Calibri" w:cs="Arial"/>
          <w:rtl/>
        </w:rPr>
      </w:pPr>
      <w:r w:rsidRPr="0004348D">
        <w:rPr>
          <w:rFonts w:ascii="Calibri" w:eastAsia="Calibri" w:hAnsi="Calibri" w:cs="Arial"/>
          <w:rtl/>
        </w:rPr>
        <w:t>שטר שיש בו נאמנות, ונמצא המלוה כפרן בדבר אחד</w:t>
      </w:r>
      <w:r w:rsidRPr="0004348D">
        <w:rPr>
          <w:rFonts w:ascii="Calibri" w:eastAsia="Calibri" w:hAnsi="Calibri" w:cs="Arial"/>
          <w:vertAlign w:val="superscript"/>
          <w:rtl/>
        </w:rPr>
        <w:footnoteReference w:id="5723"/>
      </w:r>
      <w:r w:rsidRPr="0004348D">
        <w:rPr>
          <w:rFonts w:ascii="Calibri" w:eastAsia="Calibri" w:hAnsi="Calibri" w:cs="Arial"/>
          <w:rtl/>
        </w:rPr>
        <w:t xml:space="preserve"> בעדים, בטל הנאמנות</w:t>
      </w:r>
      <w:r w:rsidRPr="0004348D">
        <w:rPr>
          <w:rFonts w:ascii="Calibri" w:eastAsia="Calibri" w:hAnsi="Calibri" w:cs="Arial"/>
          <w:vertAlign w:val="superscript"/>
          <w:rtl/>
        </w:rPr>
        <w:footnoteReference w:id="5724"/>
      </w:r>
      <w:r w:rsidRPr="0004348D">
        <w:rPr>
          <w:rFonts w:ascii="Calibri" w:eastAsia="Calibri" w:hAnsi="Calibri" w:cs="Arial"/>
          <w:rtl/>
        </w:rPr>
        <w:t xml:space="preserve">. </w:t>
      </w:r>
    </w:p>
    <w:p w14:paraId="53191D8D" w14:textId="77777777" w:rsidR="0004348D" w:rsidRPr="0004348D" w:rsidRDefault="0004348D" w:rsidP="0004348D">
      <w:pPr>
        <w:spacing w:before="360" w:after="240"/>
        <w:rPr>
          <w:rFonts w:ascii="Calibri" w:eastAsia="Calibri" w:hAnsi="Calibri" w:cs="Arial"/>
          <w:rtl/>
        </w:rPr>
      </w:pPr>
    </w:p>
    <w:p w14:paraId="058F9E37" w14:textId="77777777" w:rsidR="0004348D" w:rsidRPr="0004348D" w:rsidRDefault="0004348D" w:rsidP="0004348D">
      <w:pPr>
        <w:keepNext/>
        <w:keepLines/>
        <w:spacing w:before="360" w:after="240"/>
        <w:outlineLvl w:val="1"/>
        <w:rPr>
          <w:rFonts w:ascii="Cambria" w:eastAsia="Times New Roman" w:hAnsi="Cambria" w:cs="Arial"/>
          <w:bCs/>
          <w:color w:val="548DD4" w:themeColor="text2" w:themeTint="99"/>
          <w:sz w:val="26"/>
          <w:szCs w:val="26"/>
          <w:rtl/>
        </w:rPr>
      </w:pPr>
      <w:bookmarkStart w:id="811" w:name="_Toc24884207"/>
      <w:r w:rsidRPr="0004348D">
        <w:rPr>
          <w:rFonts w:ascii="Cambria" w:eastAsia="Times New Roman" w:hAnsi="Cambria" w:cs="Arial"/>
          <w:bCs/>
          <w:color w:val="548DD4" w:themeColor="text2" w:themeTint="99"/>
          <w:sz w:val="26"/>
          <w:szCs w:val="26"/>
          <w:rtl/>
        </w:rPr>
        <w:t>סעיף יד: שטר שיש בו נאמנות וטוען הלוה שהנאמנות לא נכתבה בציוויו.</w:t>
      </w:r>
      <w:bookmarkEnd w:id="811"/>
      <w:r w:rsidRPr="0004348D">
        <w:rPr>
          <w:rFonts w:ascii="Cambria" w:eastAsia="Times New Roman" w:hAnsi="Cambria" w:cs="Arial"/>
          <w:bCs/>
          <w:color w:val="548DD4" w:themeColor="text2" w:themeTint="99"/>
          <w:sz w:val="26"/>
          <w:szCs w:val="26"/>
          <w:rtl/>
        </w:rPr>
        <w:t xml:space="preserve"> </w:t>
      </w:r>
    </w:p>
    <w:p w14:paraId="71B55E59" w14:textId="77777777" w:rsidR="0004348D" w:rsidRPr="0004348D" w:rsidRDefault="0004348D" w:rsidP="0004348D">
      <w:pPr>
        <w:spacing w:before="360" w:after="240"/>
        <w:rPr>
          <w:rFonts w:ascii="Calibri" w:eastAsia="Calibri" w:hAnsi="Calibri" w:cs="Arial"/>
          <w:u w:val="single"/>
          <w:rtl/>
        </w:rPr>
      </w:pPr>
      <w:r w:rsidRPr="0004348D">
        <w:rPr>
          <w:rFonts w:ascii="Calibri" w:eastAsia="Calibri" w:hAnsi="Calibri" w:cs="Arial"/>
          <w:u w:val="single"/>
          <w:rtl/>
        </w:rPr>
        <w:t>שטר שיש בו נאמנות וטוען הלוה שהנאמנות לא נכתבה בציוויו אלא הסופר כתבו כשופרא דשטרי:</w:t>
      </w:r>
    </w:p>
    <w:p w14:paraId="55F16947" w14:textId="77777777" w:rsidR="0004348D" w:rsidRPr="0004348D" w:rsidRDefault="0004348D" w:rsidP="0004348D">
      <w:pPr>
        <w:numPr>
          <w:ilvl w:val="0"/>
          <w:numId w:val="356"/>
        </w:numPr>
        <w:spacing w:before="360" w:after="240"/>
        <w:contextualSpacing/>
        <w:rPr>
          <w:rFonts w:ascii="Calibri" w:eastAsia="Calibri" w:hAnsi="Calibri" w:cs="Arial"/>
          <w:rtl/>
        </w:rPr>
      </w:pPr>
      <w:r w:rsidRPr="0004348D">
        <w:rPr>
          <w:rFonts w:ascii="Calibri" w:eastAsia="Calibri" w:hAnsi="Calibri" w:cs="Arial"/>
          <w:rtl/>
        </w:rPr>
        <w:t xml:space="preserve">ספר התרומות </w:t>
      </w:r>
      <w:r w:rsidRPr="0004348D">
        <w:rPr>
          <w:rFonts w:ascii="Calibri" w:eastAsia="Calibri" w:hAnsi="Calibri" w:cs="Arial"/>
          <w:sz w:val="16"/>
          <w:szCs w:val="16"/>
          <w:rtl/>
        </w:rPr>
        <w:t xml:space="preserve">(שער כו ח"ג אות א) </w:t>
      </w:r>
      <w:r w:rsidRPr="0004348D">
        <w:rPr>
          <w:rFonts w:ascii="Calibri" w:eastAsia="Calibri" w:hAnsi="Calibri" w:cs="Arial"/>
          <w:rtl/>
        </w:rPr>
        <w:t xml:space="preserve">וטור- היכא שיש בשטר נאמנות ועידי השטר אין מצויין לפנינו, ומנהג המקום שכותבין נאמנות בלא המלכת בעלים לשופרא דשטרא, והלוה טוען כי בלא רשותו נכתב. בזה ודאי אם כתב בשטר 'וקנינא מיניה על כל מה דכתיב ומפורש לעיל' - אינו יכול לבטלו, אחר שנתקיים בחותמיו, שכל הבא לפסול את השטר ולגרוע ממנו ממה שכתב בו, עליו להביא ראיה. אבל אם העדים עצמן כאן ואומרים שלא כתבוהו כי אם מפני שהיו רואין שבשאר שטרות הוא כתוב כך ועל כן כתבוהו הם בשטר זה כמו כן, בזה אע"פ שכתוב בשטר 'וקנינא על כל מה דכתיב ומפרש לעיל' - אין סומכין על הנאמנות, ואין בזה משום כיון שהגיד שוב אינו חוזר ומגיד </w:t>
      </w:r>
      <w:r w:rsidRPr="0004348D">
        <w:rPr>
          <w:rFonts w:ascii="Calibri" w:eastAsia="Calibri" w:hAnsi="Calibri" w:cs="Arial"/>
          <w:sz w:val="16"/>
          <w:szCs w:val="16"/>
          <w:rtl/>
        </w:rPr>
        <w:t>(כתובות יח:)</w:t>
      </w:r>
      <w:r w:rsidRPr="0004348D">
        <w:rPr>
          <w:rFonts w:ascii="Calibri" w:eastAsia="Calibri" w:hAnsi="Calibri" w:cs="Arial"/>
          <w:rtl/>
        </w:rPr>
        <w:t xml:space="preserve"> דאיכא למימר דאשאר מילי דשטרא חתימי, כדגרסינן בירושלמי </w:t>
      </w:r>
      <w:r w:rsidRPr="0004348D">
        <w:rPr>
          <w:rFonts w:ascii="Calibri" w:eastAsia="Calibri" w:hAnsi="Calibri" w:cs="Arial"/>
          <w:sz w:val="16"/>
          <w:szCs w:val="16"/>
          <w:rtl/>
        </w:rPr>
        <w:t>(שביעית פ"י ה"ג)</w:t>
      </w:r>
      <w:r w:rsidRPr="0004348D">
        <w:rPr>
          <w:rFonts w:ascii="Calibri" w:eastAsia="Calibri" w:hAnsi="Calibri" w:cs="Arial"/>
          <w:rtl/>
        </w:rPr>
        <w:t xml:space="preserve"> נאמנין העדים לומר על זה חתמנו ועל זה לא חתמנו. אבל אם כתב בפירוש 'וקנינא על כל מה דכתיב ומפורש לעיל' ובענין הנאמנות מפורש, ואח"כ אמר 'לא אמר לנו מעולם נאמנות זה' או 'בטעות כתבנוהו' - על זה נאמר בודאי כיון שהגיד שוב אינו חוזר ומגיד. ועל זה כתב ה"ר יהודה ברצלוני ז"ל שהוא מנהג לכתוב בשטר ועל הנאמנות מפורש, ושוב אין מפקפק בכך</w:t>
      </w:r>
      <w:r w:rsidRPr="0004348D">
        <w:rPr>
          <w:rFonts w:ascii="Calibri" w:eastAsia="Calibri" w:hAnsi="Calibri" w:cs="Arial"/>
          <w:sz w:val="16"/>
          <w:szCs w:val="16"/>
          <w:rtl/>
        </w:rPr>
        <w:t xml:space="preserve"> (ל' ספר התרומות)</w:t>
      </w:r>
      <w:r w:rsidRPr="0004348D">
        <w:rPr>
          <w:rFonts w:ascii="Calibri" w:eastAsia="Calibri" w:hAnsi="Calibri" w:cs="Arial"/>
          <w:vertAlign w:val="superscript"/>
          <w:rtl/>
        </w:rPr>
        <w:footnoteReference w:id="5725"/>
      </w:r>
      <w:r w:rsidRPr="0004348D">
        <w:rPr>
          <w:rFonts w:ascii="Calibri" w:eastAsia="Calibri" w:hAnsi="Calibri" w:cs="Arial"/>
          <w:rtl/>
        </w:rPr>
        <w:t xml:space="preserve">. </w:t>
      </w:r>
      <w:r w:rsidRPr="0004348D">
        <w:rPr>
          <w:rFonts w:ascii="Calibri" w:eastAsia="Calibri" w:hAnsi="Calibri" w:cs="Arial"/>
          <w:color w:val="E36C0A" w:themeColor="accent6" w:themeShade="BF"/>
          <w:rtl/>
        </w:rPr>
        <w:t>(וכ"פ בשו"ע)</w:t>
      </w:r>
    </w:p>
    <w:p w14:paraId="2960A6D4" w14:textId="77777777" w:rsidR="0004348D" w:rsidRPr="0004348D" w:rsidRDefault="0004348D" w:rsidP="0004348D">
      <w:pPr>
        <w:numPr>
          <w:ilvl w:val="0"/>
          <w:numId w:val="356"/>
        </w:numPr>
        <w:spacing w:before="360" w:after="240"/>
        <w:contextualSpacing/>
        <w:rPr>
          <w:rFonts w:ascii="Calibri" w:eastAsia="Calibri" w:hAnsi="Calibri" w:cs="Arial"/>
        </w:rPr>
      </w:pPr>
      <w:r w:rsidRPr="0004348D">
        <w:rPr>
          <w:rFonts w:ascii="Calibri" w:eastAsia="Calibri" w:hAnsi="Calibri" w:cs="Arial"/>
          <w:rtl/>
        </w:rPr>
        <w:t>ריטב"א</w:t>
      </w:r>
      <w:r w:rsidRPr="0004348D">
        <w:rPr>
          <w:rFonts w:ascii="Calibri" w:eastAsia="Calibri" w:hAnsi="Calibri" w:cs="Arial"/>
          <w:sz w:val="16"/>
          <w:szCs w:val="16"/>
          <w:rtl/>
        </w:rPr>
        <w:t xml:space="preserve"> (סי' עה וסי' קלח)</w:t>
      </w:r>
      <w:r w:rsidRPr="0004348D">
        <w:rPr>
          <w:rFonts w:ascii="Calibri" w:eastAsia="Calibri" w:hAnsi="Calibri" w:cs="Arial"/>
          <w:rtl/>
        </w:rPr>
        <w:t>- זה שכתב בשטר חובו שיהא ראובן נאמן בעיקר החוב ובכל מיני הטענות שיטענו עליו - הנאמנות ההוא מבטל עדות העדים כיון שראובן כופר בעדותם, ואין לומר כי לשון הנאמנות שופרא דשטרא הוא שהעדים כותבים מעצמם שלא בצוואת בעל דבר כמו שהיו סבורים קצת מהראשונים, שאין זה דעתי ולא דעת מורי הרא"ה.</w:t>
      </w:r>
    </w:p>
    <w:p w14:paraId="7BECEB47" w14:textId="77777777" w:rsidR="0004348D" w:rsidRPr="0004348D" w:rsidRDefault="0004348D" w:rsidP="0004348D">
      <w:pPr>
        <w:spacing w:before="360" w:after="240"/>
        <w:rPr>
          <w:rFonts w:ascii="Calibri" w:eastAsia="Calibri" w:hAnsi="Calibri" w:cs="Arial"/>
          <w:u w:val="single"/>
        </w:rPr>
      </w:pPr>
      <w:r w:rsidRPr="0004348D">
        <w:rPr>
          <w:rFonts w:ascii="Calibri" w:eastAsia="Calibri" w:hAnsi="Calibri" w:cs="Arial"/>
          <w:u w:val="single"/>
          <w:rtl/>
        </w:rPr>
        <w:t>כתוב בשטר 'כחומר כל שטרי' – האם בכלל זה גם דברים התלויים בתנאי:</w:t>
      </w:r>
    </w:p>
    <w:p w14:paraId="4B0B01F2" w14:textId="77777777" w:rsidR="0004348D" w:rsidRPr="0004348D" w:rsidRDefault="0004348D" w:rsidP="0004348D">
      <w:pPr>
        <w:numPr>
          <w:ilvl w:val="0"/>
          <w:numId w:val="356"/>
        </w:numPr>
        <w:spacing w:before="360" w:after="240"/>
        <w:contextualSpacing/>
        <w:rPr>
          <w:rFonts w:ascii="Calibri" w:eastAsia="Calibri" w:hAnsi="Calibri" w:cs="Arial"/>
        </w:rPr>
      </w:pPr>
      <w:r w:rsidRPr="0004348D">
        <w:rPr>
          <w:rFonts w:ascii="Calibri" w:eastAsia="Calibri" w:hAnsi="Calibri" w:cs="Arial"/>
          <w:rtl/>
        </w:rPr>
        <w:t xml:space="preserve">ריטב"א </w:t>
      </w:r>
      <w:r w:rsidRPr="0004348D">
        <w:rPr>
          <w:rFonts w:ascii="Calibri" w:eastAsia="Calibri" w:hAnsi="Calibri" w:cs="Arial"/>
          <w:sz w:val="16"/>
          <w:szCs w:val="16"/>
          <w:rtl/>
        </w:rPr>
        <w:t>(סי' יב וסי' רד)</w:t>
      </w:r>
      <w:r w:rsidRPr="0004348D">
        <w:rPr>
          <w:rFonts w:ascii="Calibri" w:eastAsia="Calibri" w:hAnsi="Calibri" w:cs="Arial"/>
          <w:rtl/>
        </w:rPr>
        <w:t>- דבר התלוי בתנאי - כל שלא פירש אינו מחוייב. ואינו נכלל בלשון 'כחומר כל שטרי' אלא דברים שאין הסופר בקי בדקדוקן ודברים שהם תחת הכלל אבל תנאים לא. תדע דשומר שכר שנתחייב באחריות שמירתו כחומר כל שטרי שכירות הנוהגים בישראל, אפילו רוב שומרי שכר כותבים שמתחייב באונסים - זה לא יתחייב אלא בגנבה ואבדה. וכ"כ רבינו האי בתשובה- האי מאן דמקבל עליה למיכתב שטרא בכל לישנא דזכותא אע"ג דלא ידע ספרא לאחזוקי כראוי כיון דכתיב ביה ואחריות שטרא דנא קבילית עלי כחומר כל שטרות דנהיגי בישראל - קיים לכל כללי דתחות ענייניה, אבל תנאים כגון נאמנות בהלואה וביטול מודעי לא מחשבינן ליה עד דמיפרשן ע"כ. והרי נאמנות וביטול מודעי שהוא נוהג בכל השטרות ואעפ"כ כיון שאינו מפורש בשטר אע"פ שכתב 'וקבילית עלי אחריות שטרא כחומר כל שטרות' לא מחשבינן ביה, והוא הדין לנדון שלפנינו, וזו ודאי סברא נכונה.</w:t>
      </w:r>
    </w:p>
    <w:p w14:paraId="00568433" w14:textId="77777777" w:rsidR="0004348D" w:rsidRPr="0004348D" w:rsidRDefault="0004348D" w:rsidP="0004348D">
      <w:pPr>
        <w:spacing w:before="360" w:after="240"/>
        <w:rPr>
          <w:rFonts w:ascii="Arial" w:eastAsia="Calibri" w:hAnsi="Arial" w:cs="Arial"/>
          <w:b/>
          <w:bCs/>
          <w:color w:val="000000"/>
          <w:sz w:val="28"/>
          <w:szCs w:val="28"/>
          <w:u w:val="single"/>
          <w:rtl/>
        </w:rPr>
      </w:pPr>
      <w:r w:rsidRPr="0004348D">
        <w:rPr>
          <w:rFonts w:ascii="Arial" w:eastAsia="Calibri" w:hAnsi="Arial" w:cs="Arial"/>
          <w:b/>
          <w:bCs/>
          <w:color w:val="000000"/>
          <w:sz w:val="28"/>
          <w:szCs w:val="28"/>
          <w:u w:val="single"/>
          <w:rtl/>
        </w:rPr>
        <w:t>שו"ע:</w:t>
      </w:r>
    </w:p>
    <w:p w14:paraId="121A3F7E" w14:textId="77777777" w:rsidR="0004348D" w:rsidRPr="0004348D" w:rsidRDefault="0004348D" w:rsidP="0004348D">
      <w:pPr>
        <w:spacing w:before="360" w:after="240"/>
        <w:rPr>
          <w:rFonts w:ascii="Calibri" w:eastAsia="Calibri" w:hAnsi="Calibri" w:cs="Arial"/>
          <w:rtl/>
        </w:rPr>
      </w:pPr>
      <w:r w:rsidRPr="0004348D">
        <w:rPr>
          <w:rFonts w:ascii="Calibri" w:eastAsia="Calibri" w:hAnsi="Calibri" w:cs="Arial"/>
          <w:rtl/>
        </w:rPr>
        <w:t>שטר שיש בו נאמנות, ומנהג המקום שהרבה כותבים נאמנות בלא המלכת הבעלים לשופרא דשטרא, והלוה טוען כי בלא רשותו נכתב, אם העדים עצמם הם כאן</w:t>
      </w:r>
      <w:r w:rsidRPr="0004348D">
        <w:rPr>
          <w:rFonts w:ascii="Calibri" w:eastAsia="Calibri" w:hAnsi="Calibri" w:cs="Arial"/>
          <w:vertAlign w:val="superscript"/>
          <w:rtl/>
        </w:rPr>
        <w:footnoteReference w:id="5726"/>
      </w:r>
      <w:r w:rsidRPr="0004348D">
        <w:rPr>
          <w:rFonts w:ascii="Calibri" w:eastAsia="Calibri" w:hAnsi="Calibri" w:cs="Arial"/>
          <w:rtl/>
        </w:rPr>
        <w:t xml:space="preserve"> ואומרים שלא כתבוהו כי אם מפני שהיו רואים שבשאר שטרות הוא כתוב כך, אף על גב דכתיב ביה 'וקנינא מיניה על כל מאי דכתיב לעיל', אין סומכין על הנאמנות</w:t>
      </w:r>
      <w:r w:rsidRPr="0004348D">
        <w:rPr>
          <w:rFonts w:ascii="Calibri" w:eastAsia="Calibri" w:hAnsi="Calibri" w:cs="Arial"/>
          <w:vertAlign w:val="superscript"/>
          <w:rtl/>
        </w:rPr>
        <w:footnoteReference w:id="5727"/>
      </w:r>
      <w:r w:rsidRPr="0004348D">
        <w:rPr>
          <w:rFonts w:ascii="Calibri" w:eastAsia="Calibri" w:hAnsi="Calibri" w:cs="Arial"/>
          <w:rtl/>
        </w:rPr>
        <w:t>, כיון שאינו מנהג פשוט לכתוב כן בכל השטרות</w:t>
      </w:r>
      <w:r w:rsidRPr="0004348D">
        <w:rPr>
          <w:rFonts w:ascii="Calibri" w:eastAsia="Calibri" w:hAnsi="Calibri" w:cs="Arial"/>
          <w:vertAlign w:val="superscript"/>
          <w:rtl/>
        </w:rPr>
        <w:footnoteReference w:id="5728"/>
      </w:r>
      <w:r w:rsidRPr="0004348D">
        <w:rPr>
          <w:rFonts w:ascii="Calibri" w:eastAsia="Calibri" w:hAnsi="Calibri" w:cs="Arial"/>
          <w:rtl/>
        </w:rPr>
        <w:t xml:space="preserve"> </w:t>
      </w:r>
      <w:r w:rsidRPr="0004348D">
        <w:rPr>
          <w:rFonts w:ascii="Calibri" w:eastAsia="Calibri" w:hAnsi="Calibri" w:cs="Arial"/>
          <w:sz w:val="18"/>
          <w:szCs w:val="18"/>
          <w:rtl/>
        </w:rPr>
        <w:t>(והוא הדין בשאר תקוני השטר ועיין לעיל סי' ס"א סעיף ה')</w:t>
      </w:r>
      <w:r w:rsidRPr="0004348D">
        <w:rPr>
          <w:rFonts w:ascii="Calibri" w:eastAsia="Calibri" w:hAnsi="Calibri" w:cs="Arial"/>
          <w:rtl/>
        </w:rPr>
        <w:t>. ואם כתוב בפירוש 'וקנינא על כל מאי דכתיב ומפורש לעיל', ובענין הנאמנות מפורש</w:t>
      </w:r>
      <w:r w:rsidRPr="0004348D">
        <w:rPr>
          <w:rFonts w:ascii="Calibri" w:eastAsia="Calibri" w:hAnsi="Calibri" w:cs="Arial"/>
          <w:vertAlign w:val="superscript"/>
          <w:rtl/>
        </w:rPr>
        <w:footnoteReference w:id="5729"/>
      </w:r>
      <w:r w:rsidRPr="0004348D">
        <w:rPr>
          <w:rFonts w:ascii="Calibri" w:eastAsia="Calibri" w:hAnsi="Calibri" w:cs="Arial"/>
          <w:rtl/>
        </w:rPr>
        <w:t xml:space="preserve">, ואחר כך אמרו 'לא אמר לנו מעולם נאמנות זה' או 'בטעות כתבנוהו', אינם נאמנים, דכיון שהגיד שוב אינו חוזר ומגיד. לכן מנהג טוב לכתוב בשטרות קנין על הנאמנות מפורש, ושוב אין לפקפק. </w:t>
      </w:r>
    </w:p>
    <w:p w14:paraId="140289A3" w14:textId="77777777" w:rsidR="0004348D" w:rsidRPr="0004348D" w:rsidRDefault="0004348D" w:rsidP="0004348D">
      <w:pPr>
        <w:spacing w:before="360" w:after="240"/>
        <w:rPr>
          <w:rFonts w:ascii="Calibri" w:eastAsia="Calibri" w:hAnsi="Calibri" w:cs="Arial"/>
          <w:rtl/>
        </w:rPr>
      </w:pPr>
    </w:p>
    <w:p w14:paraId="4066F149" w14:textId="77777777" w:rsidR="0004348D" w:rsidRPr="0004348D" w:rsidRDefault="0004348D" w:rsidP="0004348D">
      <w:pPr>
        <w:keepNext/>
        <w:keepLines/>
        <w:spacing w:before="360" w:after="240"/>
        <w:outlineLvl w:val="1"/>
        <w:rPr>
          <w:rFonts w:ascii="Cambria" w:eastAsia="Times New Roman" w:hAnsi="Cambria" w:cs="Arial"/>
          <w:bCs/>
          <w:color w:val="548DD4" w:themeColor="text2" w:themeTint="99"/>
          <w:sz w:val="26"/>
          <w:szCs w:val="26"/>
          <w:rtl/>
        </w:rPr>
      </w:pPr>
      <w:bookmarkStart w:id="812" w:name="_Toc24884208"/>
      <w:r w:rsidRPr="0004348D">
        <w:rPr>
          <w:rFonts w:ascii="Cambria" w:eastAsia="Times New Roman" w:hAnsi="Cambria" w:cs="Arial"/>
          <w:bCs/>
          <w:color w:val="548DD4" w:themeColor="text2" w:themeTint="99"/>
          <w:sz w:val="26"/>
          <w:szCs w:val="26"/>
          <w:rtl/>
        </w:rPr>
        <w:t>סעיף טו: מקום שנהגו שלא לכתוב נאמנות אלא בצווי הלוה - האם צריך קנין בכה"ג.</w:t>
      </w:r>
      <w:bookmarkEnd w:id="812"/>
    </w:p>
    <w:p w14:paraId="48435CF6" w14:textId="77777777" w:rsidR="0004348D" w:rsidRPr="0004348D" w:rsidRDefault="0004348D" w:rsidP="0004348D">
      <w:pPr>
        <w:spacing w:before="360" w:after="240"/>
        <w:rPr>
          <w:rFonts w:ascii="Calibri" w:eastAsia="Calibri" w:hAnsi="Calibri" w:cs="Arial"/>
          <w:u w:val="single"/>
          <w:rtl/>
        </w:rPr>
      </w:pPr>
      <w:r w:rsidRPr="0004348D">
        <w:rPr>
          <w:rFonts w:ascii="Calibri" w:eastAsia="Calibri" w:hAnsi="Calibri" w:cs="Arial"/>
          <w:u w:val="single"/>
          <w:rtl/>
        </w:rPr>
        <w:t>מקום שנהגו שלא לכתוב נאמנות אלא בציווי הלוה – האם מהני שכתבו כן בשטר בלא קנין:</w:t>
      </w:r>
    </w:p>
    <w:p w14:paraId="5B521472" w14:textId="77777777" w:rsidR="0004348D" w:rsidRPr="0004348D" w:rsidRDefault="0004348D" w:rsidP="0004348D">
      <w:pPr>
        <w:numPr>
          <w:ilvl w:val="0"/>
          <w:numId w:val="356"/>
        </w:numPr>
        <w:spacing w:before="360" w:after="240"/>
        <w:contextualSpacing/>
        <w:rPr>
          <w:rFonts w:ascii="Calibri" w:eastAsia="Calibri" w:hAnsi="Calibri" w:cs="Arial"/>
          <w:rtl/>
        </w:rPr>
      </w:pPr>
      <w:r w:rsidRPr="0004348D">
        <w:rPr>
          <w:rFonts w:ascii="Calibri" w:eastAsia="Calibri" w:hAnsi="Calibri" w:cs="Arial"/>
          <w:rtl/>
        </w:rPr>
        <w:t>בעל התרומות</w:t>
      </w:r>
      <w:r w:rsidRPr="0004348D">
        <w:rPr>
          <w:rFonts w:ascii="Calibri" w:eastAsia="Calibri" w:hAnsi="Calibri" w:cs="Arial"/>
          <w:sz w:val="16"/>
          <w:szCs w:val="16"/>
          <w:rtl/>
        </w:rPr>
        <w:t xml:space="preserve"> (שם אות ב)</w:t>
      </w:r>
      <w:r w:rsidRPr="0004348D">
        <w:rPr>
          <w:rFonts w:ascii="Calibri" w:eastAsia="Calibri" w:hAnsi="Calibri" w:cs="Arial"/>
          <w:rtl/>
        </w:rPr>
        <w:t xml:space="preserve"> וטור </w:t>
      </w:r>
      <w:r w:rsidRPr="0004348D">
        <w:rPr>
          <w:rFonts w:ascii="Calibri" w:eastAsia="Calibri" w:hAnsi="Calibri" w:cs="Arial"/>
          <w:sz w:val="16"/>
          <w:szCs w:val="16"/>
          <w:rtl/>
        </w:rPr>
        <w:t>(כאן, ובסי' סט סי"א)</w:t>
      </w:r>
      <w:r w:rsidRPr="0004348D">
        <w:rPr>
          <w:rFonts w:ascii="Calibri" w:eastAsia="Calibri" w:hAnsi="Calibri" w:cs="Arial"/>
          <w:rtl/>
        </w:rPr>
        <w:t xml:space="preserve">- ואל תטעה לומר שקנין יצטרך לנאמנות, שאף בלא קנין היכא דלא נהיגי למכתביה לשופרא דשטרא אלא כתיבי ליה בהמלכת הלוה - מהני אע"ג דלא קנו עליו. והראיה ההיא דמתנה שומר חנם להיות פטור משבועה </w:t>
      </w:r>
      <w:r w:rsidRPr="0004348D">
        <w:rPr>
          <w:rFonts w:ascii="Calibri" w:eastAsia="Calibri" w:hAnsi="Calibri" w:cs="Arial"/>
          <w:sz w:val="16"/>
          <w:szCs w:val="16"/>
          <w:rtl/>
        </w:rPr>
        <w:t xml:space="preserve">(ב"מ צד.) </w:t>
      </w:r>
      <w:r w:rsidRPr="0004348D">
        <w:rPr>
          <w:rFonts w:ascii="Calibri" w:eastAsia="Calibri" w:hAnsi="Calibri" w:cs="Arial"/>
          <w:rtl/>
        </w:rPr>
        <w:t>דמיירי בשלא קנו מידו</w:t>
      </w:r>
      <w:r w:rsidRPr="0004348D">
        <w:rPr>
          <w:rFonts w:ascii="Calibri" w:eastAsia="Calibri" w:hAnsi="Calibri" w:cs="Arial"/>
          <w:sz w:val="16"/>
          <w:szCs w:val="16"/>
          <w:rtl/>
        </w:rPr>
        <w:t xml:space="preserve"> (ל' בעל התרומות)</w:t>
      </w:r>
      <w:r w:rsidRPr="0004348D">
        <w:rPr>
          <w:rFonts w:ascii="Calibri" w:eastAsia="Calibri" w:hAnsi="Calibri" w:cs="Arial"/>
          <w:vertAlign w:val="superscript"/>
          <w:rtl/>
        </w:rPr>
        <w:footnoteReference w:id="5730"/>
      </w:r>
      <w:r w:rsidRPr="0004348D">
        <w:rPr>
          <w:rFonts w:ascii="Calibri" w:eastAsia="Calibri" w:hAnsi="Calibri" w:cs="Arial"/>
          <w:rtl/>
        </w:rPr>
        <w:t xml:space="preserve">. </w:t>
      </w:r>
      <w:r w:rsidRPr="0004348D">
        <w:rPr>
          <w:rFonts w:ascii="Calibri" w:eastAsia="Calibri" w:hAnsi="Calibri" w:cs="Arial"/>
          <w:color w:val="E36C0A" w:themeColor="accent6" w:themeShade="BF"/>
          <w:rtl/>
        </w:rPr>
        <w:t>(וכ"פ בשו"ע)</w:t>
      </w:r>
    </w:p>
    <w:p w14:paraId="76E73366" w14:textId="77777777" w:rsidR="0004348D" w:rsidRPr="0004348D" w:rsidRDefault="0004348D" w:rsidP="0004348D">
      <w:pPr>
        <w:spacing w:before="360" w:after="240"/>
        <w:rPr>
          <w:rFonts w:ascii="Calibri" w:eastAsia="Calibri" w:hAnsi="Calibri" w:cs="Arial"/>
          <w:u w:val="single"/>
        </w:rPr>
      </w:pPr>
      <w:r w:rsidRPr="0004348D">
        <w:rPr>
          <w:rFonts w:ascii="Calibri" w:eastAsia="Calibri" w:hAnsi="Calibri" w:cs="Arial"/>
          <w:u w:val="single"/>
          <w:rtl/>
        </w:rPr>
        <w:t>שטר פקדון שכתוב בו 'והאמינוהו בעיקר המעות הנזכרים נאמנות שלימה כשני עדים כשרים' – וטוען הנפקד פרעון:</w:t>
      </w:r>
    </w:p>
    <w:p w14:paraId="1EABD607" w14:textId="77777777" w:rsidR="0004348D" w:rsidRPr="0004348D" w:rsidRDefault="0004348D" w:rsidP="0004348D">
      <w:pPr>
        <w:numPr>
          <w:ilvl w:val="0"/>
          <w:numId w:val="356"/>
        </w:numPr>
        <w:spacing w:before="360" w:after="240"/>
        <w:contextualSpacing/>
        <w:rPr>
          <w:rFonts w:ascii="Calibri" w:eastAsia="Calibri" w:hAnsi="Calibri" w:cs="Arial"/>
          <w:rtl/>
        </w:rPr>
      </w:pPr>
      <w:r w:rsidRPr="0004348D">
        <w:rPr>
          <w:rFonts w:ascii="Calibri" w:eastAsia="Calibri" w:hAnsi="Calibri" w:cs="Arial"/>
          <w:rtl/>
        </w:rPr>
        <w:t>רשב"א</w:t>
      </w:r>
      <w:r w:rsidRPr="0004348D">
        <w:rPr>
          <w:rFonts w:ascii="Calibri" w:eastAsia="Calibri" w:hAnsi="Calibri" w:cs="Arial"/>
          <w:sz w:val="16"/>
          <w:szCs w:val="16"/>
          <w:rtl/>
        </w:rPr>
        <w:t xml:space="preserve"> (ח"ג סי' כב)</w:t>
      </w:r>
      <w:r w:rsidRPr="0004348D">
        <w:rPr>
          <w:rFonts w:ascii="Calibri" w:eastAsia="Calibri" w:hAnsi="Calibri" w:cs="Arial"/>
          <w:rtl/>
        </w:rPr>
        <w:t xml:space="preserve">- שאלת על שטר פקדון שכתוב בו 'והאמינוהו בעיקר המעות הנזכרים נאמנות שלימה כשני עדים כשרים'. תשובה, מה שאמרו שאין בכלל אותו נאמנות פרעון - כדין אמרו, לפי שלא האמינוהו אלא בעיקר המעות המופקדים, ואילו האמינוהו אפילו על פרעון ליכתוב נאמנות סתם ומאי 'בעיקר המעות המופקדים' דקאמר, אלא ודאי אינו אלא שלא יטעון בעיקר הפקדון אמנה היו דברינו או רבית. </w:t>
      </w:r>
    </w:p>
    <w:p w14:paraId="413E9BB1" w14:textId="77777777" w:rsidR="0004348D" w:rsidRPr="0004348D" w:rsidRDefault="0004348D" w:rsidP="0004348D">
      <w:pPr>
        <w:spacing w:before="360" w:after="240"/>
        <w:rPr>
          <w:rFonts w:ascii="Calibri" w:eastAsia="Calibri" w:hAnsi="Calibri" w:cs="Arial"/>
          <w:u w:val="single"/>
        </w:rPr>
      </w:pPr>
      <w:r w:rsidRPr="0004348D">
        <w:rPr>
          <w:rFonts w:ascii="Calibri" w:eastAsia="Calibri" w:hAnsi="Calibri" w:cs="Arial"/>
          <w:u w:val="single"/>
          <w:rtl/>
        </w:rPr>
        <w:t>שטר שכתוב בו 'תהא נאמן עלי בכל ענייני שטר זה' – האם נאמן לטעון 'לא נפרעתי':</w:t>
      </w:r>
    </w:p>
    <w:p w14:paraId="19E7A447" w14:textId="77777777" w:rsidR="0004348D" w:rsidRPr="0004348D" w:rsidRDefault="0004348D" w:rsidP="0004348D">
      <w:pPr>
        <w:numPr>
          <w:ilvl w:val="0"/>
          <w:numId w:val="356"/>
        </w:numPr>
        <w:spacing w:before="360" w:after="240"/>
        <w:contextualSpacing/>
        <w:rPr>
          <w:rFonts w:ascii="Calibri" w:eastAsia="Calibri" w:hAnsi="Calibri" w:cs="Arial"/>
          <w:rtl/>
        </w:rPr>
      </w:pPr>
      <w:r w:rsidRPr="0004348D">
        <w:rPr>
          <w:rFonts w:ascii="Calibri" w:eastAsia="Calibri" w:hAnsi="Calibri" w:cs="Arial"/>
          <w:rtl/>
        </w:rPr>
        <w:t xml:space="preserve">רשב"א </w:t>
      </w:r>
      <w:r w:rsidRPr="0004348D">
        <w:rPr>
          <w:rFonts w:ascii="Calibri" w:eastAsia="Calibri" w:hAnsi="Calibri" w:cs="Arial"/>
          <w:sz w:val="16"/>
          <w:szCs w:val="16"/>
          <w:rtl/>
        </w:rPr>
        <w:t>(סי' תתקצא)</w:t>
      </w:r>
      <w:r w:rsidRPr="0004348D">
        <w:rPr>
          <w:rFonts w:ascii="Calibri" w:eastAsia="Calibri" w:hAnsi="Calibri" w:cs="Arial"/>
          <w:rtl/>
        </w:rPr>
        <w:t xml:space="preserve">- שטר שכתוב בו 'תהא נאמן עלי בכל ענייני שטר זה' כדרך שרגילים לכתוב כותבי שטרות - אין הנאמנות אלא בענין השטר ממש, כגון שזה אומר 'מנה שכתוב כאן נתתיו לך' וזה אומר 'לא קבלתיו עדיין', או שטען 'שטר אמנה היה' וזה אומר 'לא היה', וכל כיוצא בזה. אבל שיהא נאמן לומר 'לא נפרעתי' - אינו נאמן, שאין זה מענייני השטר אא"כ כתב לו מפורש, אלא שכל שבאו והעידו שהאמינו על הפרעון – נאמנים, ואם רצו קורעין אותו שטר וכותבין אחר בנאמנות דהוה ליה דלא עשו עדים שליחותן. </w:t>
      </w:r>
    </w:p>
    <w:p w14:paraId="6695FC80" w14:textId="77777777" w:rsidR="0004348D" w:rsidRPr="0004348D" w:rsidRDefault="0004348D" w:rsidP="0004348D">
      <w:pPr>
        <w:spacing w:before="360" w:after="240"/>
        <w:rPr>
          <w:rFonts w:ascii="Calibri" w:eastAsia="Calibri" w:hAnsi="Calibri" w:cs="Arial"/>
          <w:u w:val="single"/>
        </w:rPr>
      </w:pPr>
      <w:r w:rsidRPr="0004348D">
        <w:rPr>
          <w:rFonts w:ascii="Calibri" w:eastAsia="Calibri" w:hAnsi="Calibri" w:cs="Arial"/>
          <w:u w:val="single"/>
          <w:rtl/>
        </w:rPr>
        <w:t>לנפתלי היו שטרות בפיקדון אצל ראובן, וראובן האמינו לומר 'לא החזיר לי אפילו מקצתו' כשני עדים כשרים:</w:t>
      </w:r>
    </w:p>
    <w:p w14:paraId="2304A9FF" w14:textId="77777777" w:rsidR="0004348D" w:rsidRPr="0004348D" w:rsidRDefault="0004348D" w:rsidP="0004348D">
      <w:pPr>
        <w:numPr>
          <w:ilvl w:val="0"/>
          <w:numId w:val="356"/>
        </w:numPr>
        <w:spacing w:before="360" w:after="240"/>
        <w:contextualSpacing/>
        <w:rPr>
          <w:rFonts w:ascii="Calibri" w:eastAsia="Calibri" w:hAnsi="Calibri" w:cs="Arial"/>
          <w:rtl/>
        </w:rPr>
      </w:pPr>
      <w:r w:rsidRPr="0004348D">
        <w:rPr>
          <w:rFonts w:ascii="Calibri" w:eastAsia="Calibri" w:hAnsi="Calibri" w:cs="Arial"/>
          <w:rtl/>
        </w:rPr>
        <w:t xml:space="preserve">רשב"א </w:t>
      </w:r>
      <w:r w:rsidRPr="0004348D">
        <w:rPr>
          <w:rFonts w:ascii="Calibri" w:eastAsia="Calibri" w:hAnsi="Calibri" w:cs="Arial"/>
          <w:sz w:val="16"/>
          <w:szCs w:val="16"/>
          <w:rtl/>
        </w:rPr>
        <w:t>(ח"ד סי' סח)</w:t>
      </w:r>
      <w:r w:rsidRPr="0004348D">
        <w:rPr>
          <w:rFonts w:ascii="Calibri" w:eastAsia="Calibri" w:hAnsi="Calibri" w:cs="Arial"/>
          <w:rtl/>
        </w:rPr>
        <w:t xml:space="preserve">- מה ששאלת אם ראובן נאמן לומר החזרתי מגו דאי בעי אמר נאנסו. דבר ברור הוא. זה האמינו כשני עדים כשרים, ואלו באו שנים והעידו שלא החזיר אינו נאמן במגו דנאנסו, דהא קיימא לן כמאן דאמר 'מגו במקום עדים לא אמרינן' </w:t>
      </w:r>
      <w:r w:rsidRPr="0004348D">
        <w:rPr>
          <w:rFonts w:ascii="Calibri" w:eastAsia="Calibri" w:hAnsi="Calibri" w:cs="Arial"/>
          <w:sz w:val="16"/>
          <w:szCs w:val="16"/>
          <w:rtl/>
        </w:rPr>
        <w:t>(ב"מ פא:)</w:t>
      </w:r>
      <w:r w:rsidRPr="0004348D">
        <w:rPr>
          <w:rFonts w:ascii="Calibri" w:eastAsia="Calibri" w:hAnsi="Calibri" w:cs="Arial"/>
          <w:rtl/>
        </w:rPr>
        <w:t>, וזה כבר הודה שלא נאנסו והאמינו על החזרה. וכן אינו נאמן לטעון שהוציא לו במזונות ופרנסה ופריעת מס, דכל שנתן או הוציא בפרנסתו או שנתן לאחר בשבילו היינו חזרתו.</w:t>
      </w:r>
    </w:p>
    <w:p w14:paraId="04FA59E8" w14:textId="77777777" w:rsidR="0004348D" w:rsidRPr="0004348D" w:rsidRDefault="0004348D" w:rsidP="0004348D">
      <w:pPr>
        <w:spacing w:before="360" w:after="240"/>
        <w:rPr>
          <w:rFonts w:ascii="Arial" w:eastAsia="Calibri" w:hAnsi="Arial" w:cs="Arial"/>
          <w:b/>
          <w:bCs/>
          <w:color w:val="000000"/>
          <w:sz w:val="28"/>
          <w:szCs w:val="28"/>
          <w:u w:val="single"/>
          <w:rtl/>
        </w:rPr>
      </w:pPr>
      <w:r w:rsidRPr="0004348D">
        <w:rPr>
          <w:rFonts w:ascii="Arial" w:eastAsia="Calibri" w:hAnsi="Arial" w:cs="Arial"/>
          <w:b/>
          <w:bCs/>
          <w:color w:val="000000"/>
          <w:sz w:val="28"/>
          <w:szCs w:val="28"/>
          <w:u w:val="single"/>
          <w:rtl/>
        </w:rPr>
        <w:t>שו"ע:</w:t>
      </w:r>
    </w:p>
    <w:p w14:paraId="1357CA96" w14:textId="77777777" w:rsidR="0004348D" w:rsidRPr="0004348D" w:rsidRDefault="0004348D" w:rsidP="0004348D">
      <w:pPr>
        <w:spacing w:before="360" w:after="240"/>
        <w:rPr>
          <w:rFonts w:ascii="Calibri" w:eastAsia="Calibri" w:hAnsi="Calibri" w:cs="Arial"/>
          <w:rtl/>
        </w:rPr>
      </w:pPr>
      <w:r w:rsidRPr="0004348D">
        <w:rPr>
          <w:rFonts w:ascii="Calibri" w:eastAsia="Calibri" w:hAnsi="Calibri" w:cs="Arial"/>
          <w:rtl/>
        </w:rPr>
        <w:t>במקום שנהגו שלא לכתוב נאמנות אלא בצווי הלוה, כשמצוה הלוה</w:t>
      </w:r>
      <w:r w:rsidRPr="0004348D">
        <w:rPr>
          <w:rFonts w:ascii="Calibri" w:eastAsia="Calibri" w:hAnsi="Calibri" w:cs="Arial"/>
          <w:vertAlign w:val="superscript"/>
          <w:rtl/>
        </w:rPr>
        <w:footnoteReference w:id="5731"/>
      </w:r>
      <w:r w:rsidRPr="0004348D">
        <w:rPr>
          <w:rFonts w:ascii="Calibri" w:eastAsia="Calibri" w:hAnsi="Calibri" w:cs="Arial"/>
          <w:rtl/>
        </w:rPr>
        <w:t xml:space="preserve"> מועיל אפילו בלא קנין. </w:t>
      </w:r>
      <w:r w:rsidRPr="0004348D">
        <w:rPr>
          <w:rFonts w:ascii="Calibri" w:eastAsia="Calibri" w:hAnsi="Calibri" w:cs="Arial"/>
          <w:sz w:val="18"/>
          <w:szCs w:val="18"/>
          <w:rtl/>
        </w:rPr>
        <w:t>הגה: ונראה לי</w:t>
      </w:r>
      <w:r w:rsidRPr="0004348D">
        <w:rPr>
          <w:rFonts w:ascii="Calibri" w:eastAsia="Calibri" w:hAnsi="Calibri" w:cs="Arial"/>
          <w:sz w:val="18"/>
          <w:szCs w:val="18"/>
          <w:vertAlign w:val="superscript"/>
          <w:rtl/>
        </w:rPr>
        <w:footnoteReference w:id="5732"/>
      </w:r>
      <w:r w:rsidRPr="0004348D">
        <w:rPr>
          <w:rFonts w:ascii="Calibri" w:eastAsia="Calibri" w:hAnsi="Calibri" w:cs="Arial"/>
          <w:sz w:val="18"/>
          <w:szCs w:val="18"/>
          <w:rtl/>
        </w:rPr>
        <w:t xml:space="preserve"> דווקא שאמר כן בשעת הלוואה</w:t>
      </w:r>
      <w:r w:rsidRPr="0004348D">
        <w:rPr>
          <w:rFonts w:ascii="Calibri" w:eastAsia="Calibri" w:hAnsi="Calibri" w:cs="Arial"/>
          <w:sz w:val="18"/>
          <w:szCs w:val="18"/>
          <w:vertAlign w:val="superscript"/>
          <w:rtl/>
        </w:rPr>
        <w:footnoteReference w:id="5733"/>
      </w:r>
      <w:r w:rsidRPr="0004348D">
        <w:rPr>
          <w:rFonts w:ascii="Calibri" w:eastAsia="Calibri" w:hAnsi="Calibri" w:cs="Arial"/>
          <w:sz w:val="18"/>
          <w:szCs w:val="18"/>
          <w:rtl/>
        </w:rPr>
        <w:t>, כמו שנתבאר בסי' זה סעיף ב'.</w:t>
      </w:r>
    </w:p>
    <w:p w14:paraId="2A03A3E7" w14:textId="77777777" w:rsidR="0004348D" w:rsidRPr="0004348D" w:rsidRDefault="0004348D" w:rsidP="0004348D">
      <w:pPr>
        <w:spacing w:before="360" w:after="240"/>
        <w:rPr>
          <w:rFonts w:ascii="Calibri" w:eastAsia="Calibri" w:hAnsi="Calibri" w:cs="Arial"/>
          <w:rtl/>
        </w:rPr>
      </w:pPr>
    </w:p>
    <w:p w14:paraId="68B38C5D" w14:textId="77777777" w:rsidR="0004348D" w:rsidRPr="0004348D" w:rsidRDefault="0004348D" w:rsidP="0004348D">
      <w:pPr>
        <w:keepNext/>
        <w:keepLines/>
        <w:spacing w:before="360" w:after="240"/>
        <w:outlineLvl w:val="1"/>
        <w:rPr>
          <w:rFonts w:ascii="Cambria" w:eastAsia="Times New Roman" w:hAnsi="Cambria" w:cs="Arial"/>
          <w:bCs/>
          <w:color w:val="548DD4" w:themeColor="text2" w:themeTint="99"/>
          <w:sz w:val="26"/>
          <w:szCs w:val="26"/>
          <w:rtl/>
        </w:rPr>
      </w:pPr>
      <w:bookmarkStart w:id="813" w:name="_Toc24884209"/>
      <w:r w:rsidRPr="0004348D">
        <w:rPr>
          <w:rFonts w:ascii="Cambria" w:eastAsia="Times New Roman" w:hAnsi="Cambria" w:cs="Arial"/>
          <w:bCs/>
          <w:color w:val="548DD4" w:themeColor="text2" w:themeTint="99"/>
          <w:sz w:val="26"/>
          <w:szCs w:val="26"/>
          <w:rtl/>
        </w:rPr>
        <w:t>סעיף טז: האם הנאמנות פוקעת כשעובר זמן הפרעון.</w:t>
      </w:r>
      <w:bookmarkEnd w:id="813"/>
    </w:p>
    <w:p w14:paraId="4B1CB582" w14:textId="77777777" w:rsidR="0004348D" w:rsidRPr="0004348D" w:rsidRDefault="0004348D" w:rsidP="0004348D">
      <w:pPr>
        <w:spacing w:before="360" w:after="240"/>
        <w:rPr>
          <w:rFonts w:ascii="Calibri" w:eastAsia="Calibri" w:hAnsi="Calibri" w:cs="Arial"/>
          <w:u w:val="single"/>
          <w:rtl/>
        </w:rPr>
      </w:pPr>
      <w:r w:rsidRPr="0004348D">
        <w:rPr>
          <w:rFonts w:ascii="Calibri" w:eastAsia="Calibri" w:hAnsi="Calibri" w:cs="Arial"/>
          <w:u w:val="single"/>
          <w:rtl/>
        </w:rPr>
        <w:t>האם הנאמנות פוקעת כשעובר זמן הפרעון:</w:t>
      </w:r>
    </w:p>
    <w:p w14:paraId="276C2162" w14:textId="77777777" w:rsidR="0004348D" w:rsidRPr="0004348D" w:rsidRDefault="0004348D" w:rsidP="0004348D">
      <w:pPr>
        <w:numPr>
          <w:ilvl w:val="0"/>
          <w:numId w:val="356"/>
        </w:numPr>
        <w:spacing w:before="360" w:after="240"/>
        <w:contextualSpacing/>
        <w:rPr>
          <w:rFonts w:ascii="Calibri" w:eastAsia="Calibri" w:hAnsi="Calibri" w:cs="Arial"/>
          <w:rtl/>
        </w:rPr>
      </w:pPr>
      <w:r w:rsidRPr="0004348D">
        <w:rPr>
          <w:rFonts w:ascii="Calibri" w:eastAsia="Calibri" w:hAnsi="Calibri" w:cs="Arial"/>
          <w:rtl/>
        </w:rPr>
        <w:t xml:space="preserve">רי"ף </w:t>
      </w:r>
      <w:r w:rsidRPr="0004348D">
        <w:rPr>
          <w:rFonts w:ascii="Calibri" w:eastAsia="Calibri" w:hAnsi="Calibri" w:cs="Arial"/>
          <w:sz w:val="16"/>
          <w:szCs w:val="16"/>
          <w:rtl/>
        </w:rPr>
        <w:t>(בתשו', כ"כ בשמו ספר התרומות [שער כו ח"ג סי' ב] והטור)</w:t>
      </w:r>
      <w:r w:rsidRPr="0004348D">
        <w:rPr>
          <w:rFonts w:ascii="Calibri" w:eastAsia="Calibri" w:hAnsi="Calibri" w:cs="Arial"/>
          <w:rtl/>
        </w:rPr>
        <w:t xml:space="preserve">- שטרא דכתיב ביה נאמנות וקבע לו זמן, אע"פ שכבר עבר הזמן - עדיין הנאמנות קיים, וכל אימת דנפיק שטרא מידיה נאמן בלא שבועה. </w:t>
      </w:r>
      <w:r w:rsidRPr="0004348D">
        <w:rPr>
          <w:rFonts w:ascii="Calibri" w:eastAsia="Calibri" w:hAnsi="Calibri" w:cs="Arial"/>
          <w:color w:val="E36C0A" w:themeColor="accent6" w:themeShade="BF"/>
          <w:rtl/>
        </w:rPr>
        <w:t>(וכ"פ בשו"ע)</w:t>
      </w:r>
    </w:p>
    <w:p w14:paraId="7A496851" w14:textId="77777777" w:rsidR="0004348D" w:rsidRPr="0004348D" w:rsidRDefault="0004348D" w:rsidP="0004348D">
      <w:pPr>
        <w:spacing w:before="360" w:after="240"/>
        <w:rPr>
          <w:rFonts w:ascii="Arial" w:eastAsia="Calibri" w:hAnsi="Arial" w:cs="Arial"/>
          <w:b/>
          <w:bCs/>
          <w:color w:val="000000"/>
          <w:sz w:val="28"/>
          <w:szCs w:val="28"/>
          <w:u w:val="single"/>
          <w:rtl/>
        </w:rPr>
      </w:pPr>
      <w:r w:rsidRPr="0004348D">
        <w:rPr>
          <w:rFonts w:ascii="Arial" w:eastAsia="Calibri" w:hAnsi="Arial" w:cs="Arial"/>
          <w:b/>
          <w:bCs/>
          <w:color w:val="000000"/>
          <w:sz w:val="28"/>
          <w:szCs w:val="28"/>
          <w:u w:val="single"/>
          <w:rtl/>
        </w:rPr>
        <w:t>שו"ע:</w:t>
      </w:r>
    </w:p>
    <w:p w14:paraId="6D33E2B6" w14:textId="77777777" w:rsidR="0004348D" w:rsidRPr="0004348D" w:rsidRDefault="0004348D" w:rsidP="0004348D">
      <w:pPr>
        <w:spacing w:before="360" w:after="240"/>
        <w:rPr>
          <w:rFonts w:ascii="Calibri" w:eastAsia="Calibri" w:hAnsi="Calibri" w:cs="Arial"/>
          <w:rtl/>
        </w:rPr>
      </w:pPr>
      <w:r w:rsidRPr="0004348D">
        <w:rPr>
          <w:rFonts w:ascii="Calibri" w:eastAsia="Calibri" w:hAnsi="Calibri" w:cs="Arial"/>
          <w:rtl/>
        </w:rPr>
        <w:t>שטר שיש בו נאמנות, וכתוב בו זמן קבוע לפרעון, אף על פי שעבר הזמן</w:t>
      </w:r>
      <w:r w:rsidRPr="0004348D">
        <w:rPr>
          <w:rFonts w:ascii="Calibri" w:eastAsia="Calibri" w:hAnsi="Calibri" w:cs="Arial"/>
          <w:vertAlign w:val="superscript"/>
          <w:rtl/>
        </w:rPr>
        <w:footnoteReference w:id="5734"/>
      </w:r>
      <w:r w:rsidRPr="0004348D">
        <w:rPr>
          <w:rFonts w:ascii="Calibri" w:eastAsia="Calibri" w:hAnsi="Calibri" w:cs="Arial"/>
          <w:rtl/>
        </w:rPr>
        <w:t xml:space="preserve"> עדיין הנאמנות קיים. </w:t>
      </w:r>
    </w:p>
    <w:p w14:paraId="7A8D408C" w14:textId="77777777" w:rsidR="0004348D" w:rsidRPr="0004348D" w:rsidRDefault="0004348D" w:rsidP="0004348D">
      <w:pPr>
        <w:spacing w:before="360" w:after="240"/>
        <w:rPr>
          <w:rFonts w:ascii="Calibri" w:eastAsia="Calibri" w:hAnsi="Calibri" w:cs="Arial"/>
          <w:rtl/>
        </w:rPr>
      </w:pPr>
    </w:p>
    <w:p w14:paraId="17F2325F" w14:textId="77777777" w:rsidR="0004348D" w:rsidRPr="0004348D" w:rsidRDefault="0004348D" w:rsidP="0004348D">
      <w:pPr>
        <w:keepNext/>
        <w:keepLines/>
        <w:spacing w:before="360" w:after="240"/>
        <w:outlineLvl w:val="1"/>
        <w:rPr>
          <w:rFonts w:ascii="Cambria" w:eastAsia="Times New Roman" w:hAnsi="Cambria" w:cs="Arial"/>
          <w:bCs/>
          <w:color w:val="548DD4" w:themeColor="text2" w:themeTint="99"/>
          <w:sz w:val="26"/>
          <w:szCs w:val="26"/>
          <w:rtl/>
        </w:rPr>
      </w:pPr>
      <w:bookmarkStart w:id="814" w:name="_Toc24884210"/>
      <w:r w:rsidRPr="0004348D">
        <w:rPr>
          <w:rFonts w:ascii="Cambria" w:eastAsia="Times New Roman" w:hAnsi="Cambria" w:cs="Arial"/>
          <w:bCs/>
          <w:color w:val="548DD4" w:themeColor="text2" w:themeTint="99"/>
          <w:sz w:val="26"/>
          <w:szCs w:val="26"/>
          <w:rtl/>
        </w:rPr>
        <w:t>סעיף יז: לוה שהאמינו למלוה, ומת הלוה, ובא המלוה לגבות מיורשי הלוה.</w:t>
      </w:r>
      <w:bookmarkEnd w:id="814"/>
    </w:p>
    <w:p w14:paraId="41833590" w14:textId="77777777" w:rsidR="0004348D" w:rsidRPr="0004348D" w:rsidRDefault="0004348D" w:rsidP="0004348D">
      <w:pPr>
        <w:spacing w:before="360" w:after="240"/>
        <w:rPr>
          <w:rFonts w:ascii="Calibri" w:eastAsia="Calibri" w:hAnsi="Calibri" w:cs="Arial"/>
          <w:rtl/>
        </w:rPr>
      </w:pPr>
      <w:bookmarkStart w:id="815" w:name="_Hlk17307816"/>
      <w:r w:rsidRPr="0004348D">
        <w:rPr>
          <w:rFonts w:ascii="Calibri" w:eastAsia="Calibri" w:hAnsi="Calibri" w:cs="Arial"/>
          <w:b/>
          <w:bCs/>
          <w:rtl/>
        </w:rPr>
        <w:t xml:space="preserve">כתובות </w:t>
      </w:r>
      <w:r w:rsidRPr="0004348D">
        <w:rPr>
          <w:rFonts w:ascii="Calibri" w:eastAsia="Calibri" w:hAnsi="Calibri" w:cs="Arial"/>
          <w:b/>
          <w:bCs/>
          <w:sz w:val="16"/>
          <w:szCs w:val="16"/>
          <w:rtl/>
        </w:rPr>
        <w:t xml:space="preserve">(פרק הכותב) </w:t>
      </w:r>
      <w:r w:rsidRPr="0004348D">
        <w:rPr>
          <w:rFonts w:ascii="Calibri" w:eastAsia="Calibri" w:hAnsi="Calibri" w:cs="Arial"/>
          <w:b/>
          <w:bCs/>
          <w:rtl/>
        </w:rPr>
        <w:t>פו</w:t>
      </w:r>
      <w:r w:rsidRPr="0004348D">
        <w:rPr>
          <w:rFonts w:ascii="Calibri" w:eastAsia="Calibri" w:hAnsi="Calibri" w:cs="Arial"/>
          <w:b/>
          <w:bCs/>
          <w:vertAlign w:val="superscript"/>
          <w:rtl/>
        </w:rPr>
        <w:footnoteReference w:id="5735"/>
      </w:r>
      <w:r w:rsidRPr="0004348D">
        <w:rPr>
          <w:rFonts w:ascii="Calibri" w:eastAsia="Calibri" w:hAnsi="Calibri" w:cs="Arial"/>
          <w:b/>
          <w:bCs/>
          <w:rtl/>
        </w:rPr>
        <w:t xml:space="preserve"> ע"ב:</w:t>
      </w:r>
      <w:r w:rsidRPr="0004348D">
        <w:rPr>
          <w:rFonts w:ascii="Calibri" w:eastAsia="Calibri" w:hAnsi="Calibri" w:cs="Arial"/>
          <w:rtl/>
        </w:rPr>
        <w:t xml:space="preserve"> </w:t>
      </w:r>
      <w:r w:rsidRPr="0004348D">
        <w:rPr>
          <w:rFonts w:ascii="Calibri" w:eastAsia="Calibri" w:hAnsi="Calibri" w:cs="Arial"/>
          <w:u w:val="double"/>
          <w:rtl/>
        </w:rPr>
        <w:t>מתני'</w:t>
      </w:r>
      <w:r w:rsidRPr="0004348D">
        <w:rPr>
          <w:rFonts w:ascii="Calibri" w:eastAsia="Calibri" w:hAnsi="Calibri" w:cs="Arial"/>
          <w:rtl/>
        </w:rPr>
        <w:t>: כתב</w:t>
      </w:r>
      <w:r w:rsidRPr="0004348D">
        <w:rPr>
          <w:rFonts w:ascii="Calibri" w:eastAsia="Calibri" w:hAnsi="Calibri" w:cs="Arial"/>
          <w:vertAlign w:val="superscript"/>
          <w:rtl/>
        </w:rPr>
        <w:footnoteReference w:id="5736"/>
      </w:r>
      <w:r w:rsidRPr="0004348D">
        <w:rPr>
          <w:rFonts w:ascii="Calibri" w:eastAsia="Calibri" w:hAnsi="Calibri" w:cs="Arial"/>
          <w:rtl/>
        </w:rPr>
        <w:t xml:space="preserve"> לה 'נדר ושבועה אין לי עליך' - אין יכול להשביעה, אבל משביע הוא את יורשיה ואת הבאים ברשותה. 'נדר ושבועה אין לי עליך ועל יורשיך ועל הבאים ברשותך' - אינו יכול להשביעה לא היא ולא יורשיה ולא את הבאים ברשותה, אבל יורשיו משביעין אותה ואת יורשיה ואת הבאים ברשותה. 'נדר ושבועה אין לי ולא ליורשי ולא לבאים ברשותי עליך ועל יורשיך ועל הבאים ברשותיך' - אינו יכול להשביעה לא הוא ולא יורשיו ולא הבאים ברשותו לא אותה ולא יורשיה ולא הבאים ברשותה.       </w:t>
      </w:r>
      <w:r w:rsidRPr="0004348D">
        <w:rPr>
          <w:rFonts w:ascii="Calibri" w:eastAsia="Calibri" w:hAnsi="Calibri" w:cs="Arial"/>
          <w:u w:val="double"/>
          <w:rtl/>
        </w:rPr>
        <w:t>גמ'</w:t>
      </w:r>
      <w:r w:rsidRPr="0004348D">
        <w:rPr>
          <w:rFonts w:ascii="Calibri" w:eastAsia="Calibri" w:hAnsi="Calibri" w:cs="Arial"/>
          <w:sz w:val="14"/>
          <w:szCs w:val="14"/>
          <w:u w:val="double"/>
          <w:rtl/>
        </w:rPr>
        <w:t xml:space="preserve"> (פז.)</w:t>
      </w:r>
      <w:r w:rsidRPr="0004348D">
        <w:rPr>
          <w:rFonts w:ascii="Calibri" w:eastAsia="Calibri" w:hAnsi="Calibri" w:cs="Arial"/>
          <w:u w:val="double"/>
          <w:rtl/>
        </w:rPr>
        <w:t>:</w:t>
      </w:r>
      <w:r w:rsidRPr="0004348D">
        <w:rPr>
          <w:rFonts w:ascii="Calibri" w:eastAsia="Calibri" w:hAnsi="Calibri" w:cs="Arial"/>
          <w:rtl/>
        </w:rPr>
        <w:t xml:space="preserve"> </w:t>
      </w:r>
      <w:r w:rsidRPr="0004348D">
        <w:rPr>
          <w:rFonts w:ascii="Calibri" w:eastAsia="Calibri" w:hAnsi="Calibri" w:cs="Arial"/>
          <w:u w:val="single"/>
          <w:rtl/>
        </w:rPr>
        <w:t>אבא שאול בן אימא מרים אמר</w:t>
      </w:r>
      <w:r w:rsidRPr="0004348D">
        <w:rPr>
          <w:rFonts w:ascii="Calibri" w:eastAsia="Calibri" w:hAnsi="Calibri" w:cs="Arial"/>
          <w:rtl/>
        </w:rPr>
        <w:t>: בין</w:t>
      </w:r>
      <w:r w:rsidRPr="0004348D">
        <w:rPr>
          <w:rFonts w:ascii="Calibri" w:eastAsia="Calibri" w:hAnsi="Calibri" w:cs="Arial"/>
          <w:vertAlign w:val="superscript"/>
          <w:rtl/>
        </w:rPr>
        <w:footnoteReference w:id="5737"/>
      </w:r>
      <w:r w:rsidRPr="0004348D">
        <w:rPr>
          <w:rFonts w:ascii="Calibri" w:eastAsia="Calibri" w:hAnsi="Calibri" w:cs="Arial"/>
          <w:rtl/>
        </w:rPr>
        <w:t xml:space="preserve"> דלא שבועה בין דנקי שבועה, בין דלא נדר ובין נקי נדר, בין מנכסי ובין מנכסיא אילין - בין הוא ובין יורשיו אין משביעין אותה, אבל מה אעשה</w:t>
      </w:r>
      <w:r w:rsidRPr="0004348D">
        <w:rPr>
          <w:rFonts w:ascii="Calibri" w:eastAsia="Calibri" w:hAnsi="Calibri" w:cs="Arial"/>
          <w:vertAlign w:val="superscript"/>
          <w:rtl/>
        </w:rPr>
        <w:footnoteReference w:id="5738"/>
      </w:r>
      <w:r w:rsidRPr="0004348D">
        <w:rPr>
          <w:rFonts w:ascii="Calibri" w:eastAsia="Calibri" w:hAnsi="Calibri" w:cs="Arial"/>
          <w:rtl/>
        </w:rPr>
        <w:t xml:space="preserve"> שהרי אמרו חכמים: הבא ליפרע מנכסי יתומים - לא יפרע אלא בשבועה. </w:t>
      </w:r>
      <w:r w:rsidRPr="0004348D">
        <w:rPr>
          <w:rFonts w:ascii="Calibri" w:eastAsia="Calibri" w:hAnsi="Calibri" w:cs="Arial"/>
          <w:u w:val="single"/>
          <w:rtl/>
        </w:rPr>
        <w:t>אמר רב נחמן אמר שמואל</w:t>
      </w:r>
      <w:r w:rsidRPr="0004348D">
        <w:rPr>
          <w:rFonts w:ascii="Calibri" w:eastAsia="Calibri" w:hAnsi="Calibri" w:cs="Arial"/>
          <w:rtl/>
        </w:rPr>
        <w:t>: הלכה כבן אימא מרים.</w:t>
      </w:r>
    </w:p>
    <w:p w14:paraId="61AAA0FD" w14:textId="77777777" w:rsidR="0004348D" w:rsidRPr="0004348D" w:rsidRDefault="0004348D" w:rsidP="0004348D">
      <w:pPr>
        <w:spacing w:before="360" w:after="240"/>
        <w:rPr>
          <w:rFonts w:ascii="Calibri" w:eastAsia="Calibri" w:hAnsi="Calibri" w:cs="Arial"/>
          <w:u w:val="single"/>
          <w:rtl/>
        </w:rPr>
      </w:pPr>
      <w:r w:rsidRPr="0004348D">
        <w:rPr>
          <w:rFonts w:ascii="Calibri" w:eastAsia="Calibri" w:hAnsi="Calibri" w:cs="Arial"/>
          <w:u w:val="single"/>
          <w:rtl/>
        </w:rPr>
        <w:t>לוה שהאמינו למלוה, ומת הלוה, ובא המלוה לגבות מיורשי הלוה:</w:t>
      </w:r>
    </w:p>
    <w:p w14:paraId="69EEF548" w14:textId="77777777" w:rsidR="0004348D" w:rsidRPr="0004348D" w:rsidRDefault="0004348D" w:rsidP="0004348D">
      <w:pPr>
        <w:numPr>
          <w:ilvl w:val="0"/>
          <w:numId w:val="356"/>
        </w:numPr>
        <w:spacing w:before="360" w:after="240"/>
        <w:contextualSpacing/>
        <w:rPr>
          <w:rFonts w:ascii="Calibri" w:eastAsia="Calibri" w:hAnsi="Calibri" w:cs="Arial"/>
          <w:rtl/>
        </w:rPr>
      </w:pPr>
      <w:r w:rsidRPr="0004348D">
        <w:rPr>
          <w:rFonts w:ascii="Calibri" w:eastAsia="Calibri" w:hAnsi="Calibri" w:cs="Arial"/>
          <w:rtl/>
        </w:rPr>
        <w:t>רי"ף רמב"ם רשב"א</w:t>
      </w:r>
      <w:r w:rsidRPr="0004348D">
        <w:rPr>
          <w:rFonts w:ascii="Calibri" w:eastAsia="Calibri" w:hAnsi="Calibri" w:cs="Arial"/>
          <w:vertAlign w:val="superscript"/>
          <w:rtl/>
        </w:rPr>
        <w:footnoteReference w:id="5739"/>
      </w:r>
      <w:r w:rsidRPr="0004348D">
        <w:rPr>
          <w:rFonts w:ascii="Calibri" w:eastAsia="Calibri" w:hAnsi="Calibri" w:cs="Arial"/>
          <w:rtl/>
        </w:rPr>
        <w:t xml:space="preserve"> וטור</w:t>
      </w:r>
      <w:r w:rsidRPr="0004348D">
        <w:rPr>
          <w:rFonts w:ascii="Calibri" w:eastAsia="Calibri" w:hAnsi="Calibri" w:cs="Arial"/>
          <w:vertAlign w:val="superscript"/>
          <w:rtl/>
        </w:rPr>
        <w:footnoteReference w:id="5740"/>
      </w:r>
      <w:r w:rsidRPr="0004348D">
        <w:rPr>
          <w:rFonts w:ascii="Calibri" w:eastAsia="Calibri" w:hAnsi="Calibri" w:cs="Arial"/>
          <w:rtl/>
        </w:rPr>
        <w:t>- בד"א דמהני פיטור סתם לפטרו משבועה - בעוד שהלוה חי ובא לגבות ממנו, אבל אם מת ובא לגבות מיורשיו - לא מהני אא"כ שפירש שפוטרו ממנו ומיורשיו</w:t>
      </w:r>
      <w:r w:rsidRPr="0004348D">
        <w:rPr>
          <w:rFonts w:ascii="Calibri" w:eastAsia="Calibri" w:hAnsi="Calibri" w:cs="Arial"/>
          <w:sz w:val="16"/>
          <w:szCs w:val="16"/>
          <w:rtl/>
        </w:rPr>
        <w:t xml:space="preserve"> (ל' הטור)</w:t>
      </w:r>
      <w:r w:rsidRPr="0004348D">
        <w:rPr>
          <w:rFonts w:ascii="Calibri" w:eastAsia="Calibri" w:hAnsi="Calibri" w:cs="Arial"/>
          <w:rtl/>
        </w:rPr>
        <w:t xml:space="preserve">. </w:t>
      </w:r>
      <w:r w:rsidRPr="0004348D">
        <w:rPr>
          <w:rFonts w:ascii="Calibri" w:eastAsia="Calibri" w:hAnsi="Calibri" w:cs="Arial"/>
          <w:color w:val="E36C0A" w:themeColor="accent6" w:themeShade="BF"/>
          <w:rtl/>
        </w:rPr>
        <w:t>(וכ"פ בשו"ע)</w:t>
      </w:r>
    </w:p>
    <w:p w14:paraId="0F44B02A" w14:textId="77777777" w:rsidR="0004348D" w:rsidRPr="0004348D" w:rsidRDefault="0004348D" w:rsidP="0004348D">
      <w:pPr>
        <w:numPr>
          <w:ilvl w:val="0"/>
          <w:numId w:val="356"/>
        </w:numPr>
        <w:spacing w:before="360" w:after="240"/>
        <w:contextualSpacing/>
        <w:rPr>
          <w:rFonts w:ascii="Calibri" w:eastAsia="Calibri" w:hAnsi="Calibri" w:cs="Arial"/>
        </w:rPr>
      </w:pPr>
      <w:r w:rsidRPr="0004348D">
        <w:rPr>
          <w:rFonts w:ascii="Calibri" w:eastAsia="Calibri" w:hAnsi="Calibri" w:cs="Arial"/>
          <w:rtl/>
        </w:rPr>
        <w:t xml:space="preserve">ר"ח </w:t>
      </w:r>
      <w:r w:rsidRPr="0004348D">
        <w:rPr>
          <w:rFonts w:ascii="Calibri" w:eastAsia="Calibri" w:hAnsi="Calibri" w:cs="Arial"/>
          <w:sz w:val="16"/>
          <w:szCs w:val="16"/>
          <w:rtl/>
        </w:rPr>
        <w:t>(כ"כ הר"ן בשמו)</w:t>
      </w:r>
      <w:r w:rsidRPr="0004348D">
        <w:rPr>
          <w:rFonts w:ascii="Calibri" w:eastAsia="Calibri" w:hAnsi="Calibri" w:cs="Arial"/>
          <w:rtl/>
        </w:rPr>
        <w:t xml:space="preserve"> וכל חכמי נרבונא</w:t>
      </w:r>
      <w:r w:rsidRPr="0004348D">
        <w:rPr>
          <w:rFonts w:ascii="Calibri" w:eastAsia="Calibri" w:hAnsi="Calibri" w:cs="Arial"/>
          <w:sz w:val="16"/>
          <w:szCs w:val="16"/>
          <w:rtl/>
        </w:rPr>
        <w:t xml:space="preserve"> (כ"כ הר"ן בשמם)</w:t>
      </w:r>
      <w:r w:rsidRPr="0004348D">
        <w:rPr>
          <w:rFonts w:ascii="Calibri" w:eastAsia="Calibri" w:hAnsi="Calibri" w:cs="Arial"/>
          <w:rtl/>
        </w:rPr>
        <w:t xml:space="preserve"> ור"ן </w:t>
      </w:r>
      <w:r w:rsidRPr="0004348D">
        <w:rPr>
          <w:rFonts w:ascii="Calibri" w:eastAsia="Calibri" w:hAnsi="Calibri" w:cs="Arial"/>
          <w:sz w:val="16"/>
          <w:szCs w:val="16"/>
          <w:rtl/>
        </w:rPr>
        <w:t>(פרק הכותב מז. ד"ה תניא)</w:t>
      </w:r>
      <w:r w:rsidRPr="0004348D">
        <w:rPr>
          <w:rFonts w:ascii="Calibri" w:eastAsia="Calibri" w:hAnsi="Calibri" w:cs="Arial"/>
          <w:rtl/>
        </w:rPr>
        <w:t xml:space="preserve">- אפילו נאמנות מפורש לא מהני בתובעת כתובתה, כדמשמע פשטא דמילתיה דאבא שאול </w:t>
      </w:r>
      <w:r w:rsidRPr="0004348D">
        <w:rPr>
          <w:rFonts w:ascii="Calibri" w:eastAsia="Calibri" w:hAnsi="Calibri" w:cs="Arial"/>
          <w:sz w:val="16"/>
          <w:szCs w:val="16"/>
          <w:rtl/>
        </w:rPr>
        <w:t>(שם פז.)</w:t>
      </w:r>
      <w:r w:rsidRPr="0004348D">
        <w:rPr>
          <w:rFonts w:ascii="Calibri" w:eastAsia="Calibri" w:hAnsi="Calibri" w:cs="Arial"/>
          <w:rtl/>
        </w:rPr>
        <w:t>. לפיכך האשה כשתובעת כתובתה - חייבת לישבע. וכן המלוה כשבא לגבות מבני לוה</w:t>
      </w:r>
      <w:r w:rsidRPr="0004348D">
        <w:rPr>
          <w:rFonts w:ascii="Calibri" w:eastAsia="Calibri" w:hAnsi="Calibri" w:cs="Arial"/>
          <w:vertAlign w:val="superscript"/>
          <w:rtl/>
        </w:rPr>
        <w:footnoteReference w:id="5741"/>
      </w:r>
      <w:r w:rsidRPr="0004348D">
        <w:rPr>
          <w:rFonts w:ascii="Calibri" w:eastAsia="Calibri" w:hAnsi="Calibri" w:cs="Arial"/>
          <w:rtl/>
        </w:rPr>
        <w:t>.</w:t>
      </w:r>
    </w:p>
    <w:p w14:paraId="5926E90A" w14:textId="77777777" w:rsidR="0004348D" w:rsidRPr="0004348D" w:rsidRDefault="0004348D" w:rsidP="0004348D">
      <w:pPr>
        <w:spacing w:before="360" w:after="240"/>
        <w:ind w:left="360"/>
        <w:rPr>
          <w:rFonts w:ascii="Calibri" w:eastAsia="Calibri" w:hAnsi="Calibri" w:cs="Arial"/>
          <w:u w:val="dotted"/>
        </w:rPr>
      </w:pPr>
      <w:bookmarkStart w:id="816" w:name="_Hlk17307861"/>
      <w:bookmarkEnd w:id="815"/>
      <w:r w:rsidRPr="0004348D">
        <w:rPr>
          <w:rFonts w:ascii="Calibri" w:eastAsia="Calibri" w:hAnsi="Calibri" w:cs="Arial"/>
          <w:u w:val="dotted"/>
          <w:rtl/>
        </w:rPr>
        <w:t>ומה הדין אם מת גם המלוה ובאים יורשיו לגבות מיורשי הלוה:</w:t>
      </w:r>
    </w:p>
    <w:p w14:paraId="44C6FDCC" w14:textId="77777777" w:rsidR="0004348D" w:rsidRPr="0004348D" w:rsidRDefault="0004348D" w:rsidP="0004348D">
      <w:pPr>
        <w:numPr>
          <w:ilvl w:val="0"/>
          <w:numId w:val="356"/>
        </w:numPr>
        <w:spacing w:before="360" w:after="240"/>
        <w:contextualSpacing/>
        <w:rPr>
          <w:rFonts w:ascii="Calibri" w:eastAsia="Calibri" w:hAnsi="Calibri" w:cs="Arial"/>
        </w:rPr>
      </w:pPr>
      <w:r w:rsidRPr="0004348D">
        <w:rPr>
          <w:rFonts w:ascii="Calibri" w:eastAsia="Calibri" w:hAnsi="Calibri" w:cs="Arial"/>
          <w:rtl/>
        </w:rPr>
        <w:t xml:space="preserve">רי"ף </w:t>
      </w:r>
      <w:r w:rsidRPr="0004348D">
        <w:rPr>
          <w:rFonts w:ascii="Calibri" w:eastAsia="Calibri" w:hAnsi="Calibri" w:cs="Arial"/>
          <w:sz w:val="16"/>
          <w:szCs w:val="16"/>
          <w:rtl/>
        </w:rPr>
        <w:t xml:space="preserve">(שם) </w:t>
      </w:r>
      <w:r w:rsidRPr="0004348D">
        <w:rPr>
          <w:rFonts w:ascii="Calibri" w:eastAsia="Calibri" w:hAnsi="Calibri" w:cs="Arial"/>
          <w:rtl/>
        </w:rPr>
        <w:t xml:space="preserve">רשב"א </w:t>
      </w:r>
      <w:r w:rsidRPr="0004348D">
        <w:rPr>
          <w:rFonts w:ascii="Calibri" w:eastAsia="Calibri" w:hAnsi="Calibri" w:cs="Arial"/>
          <w:sz w:val="16"/>
          <w:szCs w:val="16"/>
          <w:rtl/>
        </w:rPr>
        <w:t xml:space="preserve">(שם) </w:t>
      </w:r>
      <w:r w:rsidRPr="0004348D">
        <w:rPr>
          <w:rFonts w:ascii="Calibri" w:eastAsia="Calibri" w:hAnsi="Calibri" w:cs="Arial"/>
          <w:rtl/>
        </w:rPr>
        <w:t>וטור- אפילו מת לוה בחיי מלוה ואח"כ מת מלוה, אם כתב לו שפטר אותו והבאים מכחו ממנו ומבאי כחו - נוטלין יורשי המלוה בלא שבועה</w:t>
      </w:r>
      <w:r w:rsidRPr="0004348D">
        <w:rPr>
          <w:rFonts w:ascii="Calibri" w:eastAsia="Calibri" w:hAnsi="Calibri" w:cs="Arial"/>
          <w:vertAlign w:val="superscript"/>
          <w:rtl/>
        </w:rPr>
        <w:footnoteReference w:id="5742"/>
      </w:r>
      <w:r w:rsidRPr="0004348D">
        <w:rPr>
          <w:rFonts w:ascii="Calibri" w:eastAsia="Calibri" w:hAnsi="Calibri" w:cs="Arial"/>
          <w:rtl/>
        </w:rPr>
        <w:t xml:space="preserve">. </w:t>
      </w:r>
      <w:r w:rsidRPr="0004348D">
        <w:rPr>
          <w:rFonts w:ascii="Calibri" w:eastAsia="Calibri" w:hAnsi="Calibri" w:cs="Arial"/>
          <w:color w:val="E36C0A" w:themeColor="accent6" w:themeShade="BF"/>
          <w:rtl/>
        </w:rPr>
        <w:t>(וכ"פ בשו"ע</w:t>
      </w:r>
      <w:r w:rsidRPr="0004348D">
        <w:rPr>
          <w:rFonts w:ascii="Calibri" w:eastAsia="Calibri" w:hAnsi="Calibri" w:cs="Arial"/>
          <w:color w:val="E36C0A" w:themeColor="accent6" w:themeShade="BF"/>
          <w:sz w:val="16"/>
          <w:szCs w:val="16"/>
          <w:rtl/>
        </w:rPr>
        <w:t xml:space="preserve"> </w:t>
      </w:r>
      <w:r w:rsidRPr="0004348D">
        <w:rPr>
          <w:rFonts w:ascii="Calibri" w:eastAsia="Calibri" w:hAnsi="Calibri" w:cs="Arial"/>
          <w:sz w:val="16"/>
          <w:szCs w:val="16"/>
          <w:rtl/>
        </w:rPr>
        <w:t>[בסע' הבא]</w:t>
      </w:r>
      <w:r w:rsidRPr="0004348D">
        <w:rPr>
          <w:rFonts w:ascii="Calibri" w:eastAsia="Calibri" w:hAnsi="Calibri" w:cs="Arial"/>
          <w:color w:val="E36C0A" w:themeColor="accent6" w:themeShade="BF"/>
          <w:rtl/>
        </w:rPr>
        <w:t>)</w:t>
      </w:r>
    </w:p>
    <w:p w14:paraId="21035ACC" w14:textId="77777777" w:rsidR="0004348D" w:rsidRPr="0004348D" w:rsidRDefault="0004348D" w:rsidP="0004348D">
      <w:pPr>
        <w:numPr>
          <w:ilvl w:val="0"/>
          <w:numId w:val="356"/>
        </w:numPr>
        <w:spacing w:before="360" w:after="240"/>
        <w:contextualSpacing/>
        <w:rPr>
          <w:rFonts w:ascii="Calibri" w:eastAsia="Calibri" w:hAnsi="Calibri" w:cs="Arial"/>
        </w:rPr>
      </w:pPr>
      <w:r w:rsidRPr="0004348D">
        <w:rPr>
          <w:rFonts w:ascii="Calibri" w:eastAsia="Calibri" w:hAnsi="Calibri" w:cs="Arial"/>
          <w:rtl/>
        </w:rPr>
        <w:t xml:space="preserve">נמוק"י </w:t>
      </w:r>
      <w:r w:rsidRPr="0004348D">
        <w:rPr>
          <w:rFonts w:ascii="Calibri" w:eastAsia="Calibri" w:hAnsi="Calibri" w:cs="Arial"/>
          <w:sz w:val="16"/>
          <w:szCs w:val="16"/>
          <w:rtl/>
        </w:rPr>
        <w:t>(שם)</w:t>
      </w:r>
      <w:r w:rsidRPr="0004348D">
        <w:rPr>
          <w:rFonts w:ascii="Calibri" w:eastAsia="Calibri" w:hAnsi="Calibri" w:cs="Arial"/>
          <w:rtl/>
        </w:rPr>
        <w:t>- אם מת מלוה אחר לוה - אין בני מלוה יכולים לגבות כלום מבני לוה, שהרי אביהם היה חייב לישבע ואין אדם מוריש שבועה לבניו</w:t>
      </w:r>
      <w:r w:rsidRPr="0004348D">
        <w:rPr>
          <w:rFonts w:ascii="Calibri" w:eastAsia="Calibri" w:hAnsi="Calibri" w:cs="Arial"/>
          <w:vertAlign w:val="superscript"/>
          <w:rtl/>
        </w:rPr>
        <w:footnoteReference w:id="5743"/>
      </w:r>
      <w:r w:rsidRPr="0004348D">
        <w:rPr>
          <w:rFonts w:ascii="Calibri" w:eastAsia="Calibri" w:hAnsi="Calibri" w:cs="Arial"/>
          <w:rtl/>
        </w:rPr>
        <w:t>.</w:t>
      </w:r>
    </w:p>
    <w:bookmarkEnd w:id="816"/>
    <w:p w14:paraId="18BEF5DD" w14:textId="77777777" w:rsidR="0004348D" w:rsidRPr="0004348D" w:rsidRDefault="0004348D" w:rsidP="0004348D">
      <w:pPr>
        <w:spacing w:before="360" w:after="240"/>
        <w:rPr>
          <w:rFonts w:ascii="Calibri" w:eastAsia="Calibri" w:hAnsi="Calibri" w:cs="Arial"/>
          <w:u w:val="single"/>
        </w:rPr>
      </w:pPr>
      <w:r w:rsidRPr="0004348D">
        <w:rPr>
          <w:rFonts w:ascii="Calibri" w:eastAsia="Calibri" w:hAnsi="Calibri" w:cs="Arial"/>
          <w:u w:val="single"/>
          <w:rtl/>
        </w:rPr>
        <w:t>מי שהאמין חבירו בשטר 'הוא והבא מכחו' – מי בכלל זה:</w:t>
      </w:r>
    </w:p>
    <w:p w14:paraId="70EAEA23" w14:textId="77777777" w:rsidR="0004348D" w:rsidRPr="0004348D" w:rsidRDefault="0004348D" w:rsidP="0004348D">
      <w:pPr>
        <w:numPr>
          <w:ilvl w:val="0"/>
          <w:numId w:val="356"/>
        </w:numPr>
        <w:spacing w:before="360" w:after="240"/>
        <w:contextualSpacing/>
        <w:rPr>
          <w:rFonts w:ascii="Calibri" w:eastAsia="Calibri" w:hAnsi="Calibri" w:cs="Arial"/>
          <w:rtl/>
        </w:rPr>
      </w:pPr>
      <w:r w:rsidRPr="0004348D">
        <w:rPr>
          <w:rFonts w:ascii="Calibri" w:eastAsia="Calibri" w:hAnsi="Calibri" w:cs="Arial"/>
          <w:rtl/>
        </w:rPr>
        <w:t xml:space="preserve">רי"ף </w:t>
      </w:r>
      <w:r w:rsidRPr="0004348D">
        <w:rPr>
          <w:rFonts w:ascii="Calibri" w:eastAsia="Calibri" w:hAnsi="Calibri" w:cs="Arial"/>
          <w:sz w:val="16"/>
          <w:szCs w:val="16"/>
          <w:rtl/>
        </w:rPr>
        <w:t>(בתשו' סי' קסז)</w:t>
      </w:r>
      <w:r w:rsidRPr="0004348D">
        <w:rPr>
          <w:rFonts w:ascii="Calibri" w:eastAsia="Calibri" w:hAnsi="Calibri" w:cs="Arial"/>
          <w:rtl/>
        </w:rPr>
        <w:t xml:space="preserve"> ספר התרומות </w:t>
      </w:r>
      <w:r w:rsidRPr="0004348D">
        <w:rPr>
          <w:rFonts w:ascii="Calibri" w:eastAsia="Calibri" w:hAnsi="Calibri" w:cs="Arial"/>
          <w:sz w:val="16"/>
          <w:szCs w:val="16"/>
          <w:rtl/>
        </w:rPr>
        <w:t>(שער יד ח"ב סי' ח)</w:t>
      </w:r>
      <w:r w:rsidRPr="0004348D">
        <w:rPr>
          <w:rFonts w:ascii="Calibri" w:eastAsia="Calibri" w:hAnsi="Calibri" w:cs="Arial"/>
          <w:rtl/>
        </w:rPr>
        <w:t xml:space="preserve"> וטור- מי שהאמין חבירו בשטר 'הוא והבא מכחו' - היורשים נמי נאמנים, כי הם הבאים מכחו. ומקבל מתנה נמי בא מכחו. אבל אילו אמר 'הוא ויורשיו' אז לא היו נאמנים אלא יורשין בלבד אבל מקבל מתנה</w:t>
      </w:r>
      <w:r w:rsidRPr="0004348D">
        <w:rPr>
          <w:rFonts w:ascii="Calibri" w:eastAsia="Calibri" w:hAnsi="Calibri" w:cs="Arial"/>
          <w:vertAlign w:val="superscript"/>
          <w:rtl/>
        </w:rPr>
        <w:footnoteReference w:id="5744"/>
      </w:r>
      <w:r w:rsidRPr="0004348D">
        <w:rPr>
          <w:rFonts w:ascii="Calibri" w:eastAsia="Calibri" w:hAnsi="Calibri" w:cs="Arial"/>
          <w:rtl/>
        </w:rPr>
        <w:t xml:space="preserve"> לא</w:t>
      </w:r>
      <w:r w:rsidRPr="0004348D">
        <w:rPr>
          <w:rFonts w:ascii="Calibri" w:eastAsia="Calibri" w:hAnsi="Calibri" w:cs="Arial"/>
          <w:sz w:val="16"/>
          <w:szCs w:val="16"/>
          <w:rtl/>
        </w:rPr>
        <w:t xml:space="preserve"> (ל' הרי"ף)</w:t>
      </w:r>
      <w:r w:rsidRPr="0004348D">
        <w:rPr>
          <w:rFonts w:ascii="Calibri" w:eastAsia="Calibri" w:hAnsi="Calibri" w:cs="Arial"/>
          <w:rtl/>
        </w:rPr>
        <w:t xml:space="preserve">. </w:t>
      </w:r>
      <w:r w:rsidRPr="0004348D">
        <w:rPr>
          <w:rFonts w:ascii="Calibri" w:eastAsia="Calibri" w:hAnsi="Calibri" w:cs="Arial"/>
          <w:color w:val="E36C0A" w:themeColor="accent6" w:themeShade="BF"/>
          <w:rtl/>
        </w:rPr>
        <w:t>(וכ"פ בשו"ע)</w:t>
      </w:r>
    </w:p>
    <w:p w14:paraId="7F252C29" w14:textId="77777777" w:rsidR="0004348D" w:rsidRPr="0004348D" w:rsidRDefault="0004348D" w:rsidP="0004348D">
      <w:pPr>
        <w:spacing w:before="360" w:after="240"/>
        <w:ind w:left="360"/>
        <w:rPr>
          <w:rFonts w:ascii="Calibri" w:eastAsia="Calibri" w:hAnsi="Calibri" w:cs="Arial"/>
          <w:u w:val="dotted"/>
        </w:rPr>
      </w:pPr>
      <w:r w:rsidRPr="0004348D">
        <w:rPr>
          <w:rFonts w:ascii="Calibri" w:eastAsia="Calibri" w:hAnsi="Calibri" w:cs="Arial"/>
          <w:u w:val="dotted"/>
          <w:rtl/>
        </w:rPr>
        <w:t>ומה הדין אם כתב 'הוא והבאים ברשותו' – מי בכלל זה:</w:t>
      </w:r>
    </w:p>
    <w:p w14:paraId="501C0D04" w14:textId="77777777" w:rsidR="0004348D" w:rsidRPr="0004348D" w:rsidRDefault="0004348D" w:rsidP="0004348D">
      <w:pPr>
        <w:numPr>
          <w:ilvl w:val="0"/>
          <w:numId w:val="356"/>
        </w:numPr>
        <w:spacing w:before="360" w:after="240"/>
        <w:contextualSpacing/>
        <w:rPr>
          <w:rFonts w:ascii="Calibri" w:eastAsia="Calibri" w:hAnsi="Calibri" w:cs="Arial"/>
        </w:rPr>
      </w:pPr>
      <w:r w:rsidRPr="0004348D">
        <w:rPr>
          <w:rFonts w:ascii="Calibri" w:eastAsia="Calibri" w:hAnsi="Calibri" w:cs="Arial"/>
          <w:rtl/>
        </w:rPr>
        <w:t>רמ"ה</w:t>
      </w:r>
      <w:r w:rsidRPr="0004348D">
        <w:rPr>
          <w:rFonts w:ascii="Calibri" w:eastAsia="Calibri" w:hAnsi="Calibri" w:cs="Arial"/>
          <w:sz w:val="16"/>
          <w:szCs w:val="16"/>
          <w:rtl/>
        </w:rPr>
        <w:t xml:space="preserve"> (כ"כ הטור בשמו)</w:t>
      </w:r>
      <w:r w:rsidRPr="0004348D">
        <w:rPr>
          <w:rFonts w:ascii="Calibri" w:eastAsia="Calibri" w:hAnsi="Calibri" w:cs="Arial"/>
          <w:rtl/>
        </w:rPr>
        <w:t>- אע"ג דיורשין הן בכלל הבאים מכחו אם כתב הבאים ברשותו - אין היורשין בכלל אלא רק מקבל מתנה ולקוחות</w:t>
      </w:r>
      <w:r w:rsidRPr="0004348D">
        <w:rPr>
          <w:rFonts w:ascii="Calibri" w:eastAsia="Calibri" w:hAnsi="Calibri" w:cs="Arial"/>
          <w:vertAlign w:val="superscript"/>
          <w:rtl/>
        </w:rPr>
        <w:footnoteReference w:id="5745"/>
      </w:r>
      <w:r w:rsidRPr="0004348D">
        <w:rPr>
          <w:rFonts w:ascii="Calibri" w:eastAsia="Calibri" w:hAnsi="Calibri" w:cs="Arial"/>
          <w:rtl/>
        </w:rPr>
        <w:t>. (וכ"פ הב"ח</w:t>
      </w:r>
      <w:r w:rsidRPr="0004348D">
        <w:rPr>
          <w:rFonts w:ascii="Calibri" w:eastAsia="Calibri" w:hAnsi="Calibri" w:cs="Arial"/>
          <w:vertAlign w:val="superscript"/>
          <w:rtl/>
        </w:rPr>
        <w:footnoteReference w:id="5746"/>
      </w:r>
      <w:r w:rsidRPr="0004348D">
        <w:rPr>
          <w:rFonts w:ascii="Calibri" w:eastAsia="Calibri" w:hAnsi="Calibri" w:cs="Arial"/>
          <w:sz w:val="16"/>
          <w:szCs w:val="16"/>
          <w:rtl/>
        </w:rPr>
        <w:t xml:space="preserve"> [סי' קח ס"ט]</w:t>
      </w:r>
      <w:r w:rsidRPr="0004348D">
        <w:rPr>
          <w:rFonts w:ascii="Calibri" w:eastAsia="Calibri" w:hAnsi="Calibri" w:cs="Arial"/>
          <w:rtl/>
        </w:rPr>
        <w:t>)</w:t>
      </w:r>
    </w:p>
    <w:p w14:paraId="5F2C307D" w14:textId="77777777" w:rsidR="0004348D" w:rsidRPr="0004348D" w:rsidRDefault="0004348D" w:rsidP="0004348D">
      <w:pPr>
        <w:numPr>
          <w:ilvl w:val="0"/>
          <w:numId w:val="356"/>
        </w:numPr>
        <w:spacing w:before="360" w:after="240"/>
        <w:contextualSpacing/>
        <w:rPr>
          <w:rFonts w:ascii="Calibri" w:eastAsia="Calibri" w:hAnsi="Calibri" w:cs="Arial"/>
        </w:rPr>
      </w:pPr>
      <w:r w:rsidRPr="0004348D">
        <w:rPr>
          <w:rFonts w:ascii="Calibri" w:eastAsia="Calibri" w:hAnsi="Calibri" w:cs="Arial"/>
          <w:rtl/>
        </w:rPr>
        <w:t>טור- גם מקבל מתנה וגם יורשים בכלל.</w:t>
      </w:r>
    </w:p>
    <w:p w14:paraId="3D4D03AD" w14:textId="77777777" w:rsidR="0004348D" w:rsidRPr="0004348D" w:rsidRDefault="0004348D" w:rsidP="0004348D">
      <w:pPr>
        <w:spacing w:before="360" w:after="240"/>
        <w:rPr>
          <w:rFonts w:ascii="Arial" w:eastAsia="Calibri" w:hAnsi="Arial" w:cs="Arial"/>
          <w:b/>
          <w:bCs/>
          <w:color w:val="000000"/>
          <w:sz w:val="28"/>
          <w:szCs w:val="28"/>
          <w:u w:val="single"/>
          <w:rtl/>
        </w:rPr>
      </w:pPr>
      <w:r w:rsidRPr="0004348D">
        <w:rPr>
          <w:rFonts w:ascii="Arial" w:eastAsia="Calibri" w:hAnsi="Arial" w:cs="Arial"/>
          <w:b/>
          <w:bCs/>
          <w:color w:val="000000"/>
          <w:sz w:val="28"/>
          <w:szCs w:val="28"/>
          <w:u w:val="single"/>
          <w:rtl/>
        </w:rPr>
        <w:t>שו"ע:</w:t>
      </w:r>
    </w:p>
    <w:p w14:paraId="4E92DCA3" w14:textId="77777777" w:rsidR="0004348D" w:rsidRPr="0004348D" w:rsidRDefault="0004348D" w:rsidP="0004348D">
      <w:pPr>
        <w:spacing w:before="360" w:after="240"/>
        <w:rPr>
          <w:rFonts w:ascii="Calibri" w:eastAsia="Calibri" w:hAnsi="Calibri" w:cs="Arial"/>
          <w:rtl/>
        </w:rPr>
      </w:pPr>
      <w:r w:rsidRPr="0004348D">
        <w:rPr>
          <w:rFonts w:ascii="Calibri" w:eastAsia="Calibri" w:hAnsi="Calibri" w:cs="Arial"/>
          <w:rtl/>
        </w:rPr>
        <w:t>במה דברים אמורים דמהני נאמנות סתם לפטרו משבועה, בעוד שהלוה חי ובא לגבות ממנו. אבל אם מת, ובא לגבות מיורשיו, לא מהני, אלא אם כן פירש שפוטרו ממנו ומיורשיו</w:t>
      </w:r>
      <w:r w:rsidRPr="0004348D">
        <w:rPr>
          <w:rFonts w:ascii="Calibri" w:eastAsia="Calibri" w:hAnsi="Calibri" w:cs="Arial"/>
          <w:vertAlign w:val="superscript"/>
          <w:rtl/>
        </w:rPr>
        <w:footnoteReference w:id="5747"/>
      </w:r>
      <w:r w:rsidRPr="0004348D">
        <w:rPr>
          <w:rFonts w:ascii="Calibri" w:eastAsia="Calibri" w:hAnsi="Calibri" w:cs="Arial"/>
          <w:rtl/>
        </w:rPr>
        <w:t>, שאז גובים בלא שבועה</w:t>
      </w:r>
      <w:r w:rsidRPr="0004348D">
        <w:rPr>
          <w:rFonts w:ascii="Calibri" w:eastAsia="Calibri" w:hAnsi="Calibri" w:cs="Arial"/>
          <w:vertAlign w:val="superscript"/>
          <w:rtl/>
        </w:rPr>
        <w:footnoteReference w:id="5748"/>
      </w:r>
      <w:r w:rsidRPr="0004348D">
        <w:rPr>
          <w:rFonts w:ascii="Calibri" w:eastAsia="Calibri" w:hAnsi="Calibri" w:cs="Arial"/>
          <w:rtl/>
        </w:rPr>
        <w:t>. ואם כתב 'תהא נאמן עלי ועל באי כחי', יורשיו בכלל. ומקבלי מתנה גם כן בכלל באי כחו</w:t>
      </w:r>
      <w:r w:rsidRPr="0004348D">
        <w:rPr>
          <w:rFonts w:ascii="Calibri" w:eastAsia="Calibri" w:hAnsi="Calibri" w:cs="Arial"/>
          <w:vertAlign w:val="superscript"/>
          <w:rtl/>
        </w:rPr>
        <w:footnoteReference w:id="5749"/>
      </w:r>
      <w:r w:rsidRPr="0004348D">
        <w:rPr>
          <w:rFonts w:ascii="Calibri" w:eastAsia="Calibri" w:hAnsi="Calibri" w:cs="Arial"/>
          <w:rtl/>
        </w:rPr>
        <w:t>.</w:t>
      </w:r>
    </w:p>
    <w:p w14:paraId="73273C6B" w14:textId="77777777" w:rsidR="0004348D" w:rsidRPr="0004348D" w:rsidRDefault="0004348D" w:rsidP="0004348D">
      <w:pPr>
        <w:spacing w:before="360" w:after="240"/>
        <w:rPr>
          <w:rFonts w:ascii="Calibri" w:eastAsia="Calibri" w:hAnsi="Calibri" w:cs="Arial"/>
          <w:rtl/>
        </w:rPr>
      </w:pPr>
    </w:p>
    <w:p w14:paraId="4345C198" w14:textId="77777777" w:rsidR="0004348D" w:rsidRPr="0004348D" w:rsidRDefault="0004348D" w:rsidP="0004348D">
      <w:pPr>
        <w:keepNext/>
        <w:keepLines/>
        <w:spacing w:before="360" w:after="240"/>
        <w:outlineLvl w:val="1"/>
        <w:rPr>
          <w:rFonts w:ascii="Cambria" w:eastAsia="Times New Roman" w:hAnsi="Cambria" w:cs="Arial"/>
          <w:bCs/>
          <w:color w:val="548DD4" w:themeColor="text2" w:themeTint="99"/>
          <w:sz w:val="26"/>
          <w:szCs w:val="26"/>
          <w:rtl/>
        </w:rPr>
      </w:pPr>
      <w:bookmarkStart w:id="817" w:name="_Toc24884211"/>
      <w:r w:rsidRPr="0004348D">
        <w:rPr>
          <w:rFonts w:ascii="Cambria" w:eastAsia="Times New Roman" w:hAnsi="Cambria" w:cs="Arial"/>
          <w:bCs/>
          <w:color w:val="548DD4" w:themeColor="text2" w:themeTint="99"/>
          <w:sz w:val="26"/>
          <w:szCs w:val="26"/>
          <w:rtl/>
        </w:rPr>
        <w:t xml:space="preserve">סעיף יח: לוה שהאמינו למלוה וליורשיו, ומתו </w:t>
      </w:r>
      <w:r w:rsidRPr="0004348D">
        <w:rPr>
          <w:rFonts w:ascii="Cambria" w:eastAsia="Times New Roman" w:hAnsi="Cambria" w:cs="Arial"/>
          <w:bCs/>
          <w:color w:val="548DD4" w:themeColor="text2" w:themeTint="99"/>
          <w:sz w:val="18"/>
          <w:szCs w:val="18"/>
          <w:rtl/>
        </w:rPr>
        <w:t>(הלוה והמלוה)</w:t>
      </w:r>
      <w:r w:rsidRPr="0004348D">
        <w:rPr>
          <w:rFonts w:ascii="Cambria" w:eastAsia="Times New Roman" w:hAnsi="Cambria" w:cs="Arial"/>
          <w:bCs/>
          <w:color w:val="548DD4" w:themeColor="text2" w:themeTint="99"/>
          <w:sz w:val="26"/>
          <w:szCs w:val="26"/>
          <w:rtl/>
        </w:rPr>
        <w:t>, ויורשי מלוה באו לגבות מיורשי לוה.</w:t>
      </w:r>
      <w:bookmarkEnd w:id="817"/>
    </w:p>
    <w:p w14:paraId="6620AD46" w14:textId="77777777" w:rsidR="0004348D" w:rsidRPr="0004348D" w:rsidRDefault="0004348D" w:rsidP="0004348D">
      <w:pPr>
        <w:spacing w:before="360" w:after="240"/>
        <w:rPr>
          <w:rFonts w:ascii="Calibri" w:eastAsia="Calibri" w:hAnsi="Calibri" w:cs="Arial"/>
          <w:rtl/>
        </w:rPr>
      </w:pPr>
      <w:r w:rsidRPr="0004348D">
        <w:rPr>
          <w:rFonts w:ascii="Calibri" w:eastAsia="Calibri" w:hAnsi="Calibri" w:cs="Arial"/>
          <w:rtl/>
        </w:rPr>
        <w:t>עיין במקורות בסעיף הקודם.</w:t>
      </w:r>
    </w:p>
    <w:p w14:paraId="0EA43418" w14:textId="77777777" w:rsidR="0004348D" w:rsidRPr="0004348D" w:rsidRDefault="0004348D" w:rsidP="0004348D">
      <w:pPr>
        <w:spacing w:before="360" w:after="240"/>
        <w:rPr>
          <w:rFonts w:ascii="Arial" w:eastAsia="Calibri" w:hAnsi="Arial" w:cs="Arial"/>
          <w:b/>
          <w:bCs/>
          <w:color w:val="000000"/>
          <w:sz w:val="28"/>
          <w:szCs w:val="28"/>
          <w:u w:val="single"/>
          <w:rtl/>
        </w:rPr>
      </w:pPr>
      <w:r w:rsidRPr="0004348D">
        <w:rPr>
          <w:rFonts w:ascii="Arial" w:eastAsia="Calibri" w:hAnsi="Arial" w:cs="Arial"/>
          <w:b/>
          <w:bCs/>
          <w:color w:val="000000"/>
          <w:sz w:val="28"/>
          <w:szCs w:val="28"/>
          <w:u w:val="single"/>
          <w:rtl/>
        </w:rPr>
        <w:t>שו"ע:</w:t>
      </w:r>
    </w:p>
    <w:p w14:paraId="4C6F3224" w14:textId="77777777" w:rsidR="0004348D" w:rsidRPr="0004348D" w:rsidRDefault="0004348D" w:rsidP="0004348D">
      <w:pPr>
        <w:spacing w:before="360" w:after="240"/>
        <w:rPr>
          <w:rFonts w:ascii="Calibri" w:eastAsia="Calibri" w:hAnsi="Calibri" w:cs="Arial"/>
          <w:rtl/>
        </w:rPr>
      </w:pPr>
      <w:r w:rsidRPr="0004348D">
        <w:rPr>
          <w:rFonts w:ascii="Calibri" w:eastAsia="Calibri" w:hAnsi="Calibri" w:cs="Arial"/>
          <w:rtl/>
        </w:rPr>
        <w:t>מת לוה בחיי מלוה, בשטר שיש בו נאמנות סתם</w:t>
      </w:r>
      <w:r w:rsidRPr="0004348D">
        <w:rPr>
          <w:rFonts w:ascii="Calibri" w:eastAsia="Calibri" w:hAnsi="Calibri" w:cs="Arial"/>
          <w:vertAlign w:val="superscript"/>
          <w:rtl/>
        </w:rPr>
        <w:footnoteReference w:id="5750"/>
      </w:r>
      <w:r w:rsidRPr="0004348D">
        <w:rPr>
          <w:rFonts w:ascii="Calibri" w:eastAsia="Calibri" w:hAnsi="Calibri" w:cs="Arial"/>
          <w:rtl/>
        </w:rPr>
        <w:t xml:space="preserve">, ואחר כך מת מלוה, היורשים גובים בשבועת היורשים 'שלא פקדנו אבא ששטר זה פרוע'. ואם כתוב בשטר נאמנות מפורש שפטר אותו והבאים מכחו ממנו ומבאי כחו, גובים בלא שבועה כלל. </w:t>
      </w:r>
    </w:p>
    <w:p w14:paraId="60E37C79" w14:textId="77777777" w:rsidR="0004348D" w:rsidRPr="0004348D" w:rsidRDefault="0004348D" w:rsidP="0004348D">
      <w:pPr>
        <w:spacing w:before="360" w:after="240"/>
        <w:rPr>
          <w:rFonts w:ascii="Calibri" w:eastAsia="Calibri" w:hAnsi="Calibri" w:cs="Arial"/>
          <w:rtl/>
        </w:rPr>
      </w:pPr>
    </w:p>
    <w:p w14:paraId="122B0F4B" w14:textId="77777777" w:rsidR="0004348D" w:rsidRPr="0004348D" w:rsidRDefault="0004348D" w:rsidP="0004348D">
      <w:pPr>
        <w:keepNext/>
        <w:keepLines/>
        <w:spacing w:before="360" w:after="240"/>
        <w:outlineLvl w:val="1"/>
        <w:rPr>
          <w:rFonts w:ascii="Cambria" w:eastAsia="Times New Roman" w:hAnsi="Cambria" w:cs="Arial"/>
          <w:bCs/>
          <w:color w:val="548DD4" w:themeColor="text2" w:themeTint="99"/>
          <w:sz w:val="26"/>
          <w:szCs w:val="26"/>
          <w:rtl/>
        </w:rPr>
      </w:pPr>
      <w:bookmarkStart w:id="818" w:name="_Toc24884212"/>
      <w:r w:rsidRPr="0004348D">
        <w:rPr>
          <w:rFonts w:ascii="Cambria" w:eastAsia="Times New Roman" w:hAnsi="Cambria" w:cs="Arial"/>
          <w:bCs/>
          <w:color w:val="548DD4" w:themeColor="text2" w:themeTint="99"/>
          <w:sz w:val="26"/>
          <w:szCs w:val="26"/>
          <w:rtl/>
        </w:rPr>
        <w:t>סעיף יט: כח האמנה לגבי גביה מלקוחות.</w:t>
      </w:r>
      <w:bookmarkEnd w:id="818"/>
    </w:p>
    <w:p w14:paraId="18F661DA" w14:textId="77777777" w:rsidR="0004348D" w:rsidRPr="0004348D" w:rsidRDefault="0004348D" w:rsidP="0004348D">
      <w:pPr>
        <w:spacing w:before="360" w:after="240"/>
        <w:rPr>
          <w:rFonts w:ascii="Calibri" w:eastAsia="Calibri" w:hAnsi="Calibri" w:cs="Arial"/>
          <w:rtl/>
        </w:rPr>
      </w:pPr>
      <w:bookmarkStart w:id="819" w:name="_Hlk17362631"/>
      <w:r w:rsidRPr="0004348D">
        <w:rPr>
          <w:rFonts w:ascii="Calibri" w:eastAsia="Calibri" w:hAnsi="Calibri" w:cs="Arial"/>
          <w:b/>
          <w:bCs/>
          <w:rtl/>
        </w:rPr>
        <w:t xml:space="preserve">כתובות </w:t>
      </w:r>
      <w:r w:rsidRPr="0004348D">
        <w:rPr>
          <w:rFonts w:ascii="Calibri" w:eastAsia="Calibri" w:hAnsi="Calibri" w:cs="Arial"/>
          <w:b/>
          <w:bCs/>
          <w:sz w:val="16"/>
          <w:szCs w:val="16"/>
          <w:rtl/>
        </w:rPr>
        <w:t xml:space="preserve">(פרק הכותב) </w:t>
      </w:r>
      <w:r w:rsidRPr="0004348D">
        <w:rPr>
          <w:rFonts w:ascii="Calibri" w:eastAsia="Calibri" w:hAnsi="Calibri" w:cs="Arial"/>
          <w:b/>
          <w:bCs/>
          <w:rtl/>
        </w:rPr>
        <w:t>פז</w:t>
      </w:r>
      <w:r w:rsidRPr="0004348D">
        <w:rPr>
          <w:rFonts w:ascii="Calibri" w:eastAsia="Calibri" w:hAnsi="Calibri" w:cs="Arial"/>
          <w:b/>
          <w:bCs/>
          <w:vertAlign w:val="superscript"/>
          <w:rtl/>
        </w:rPr>
        <w:footnoteReference w:id="5751"/>
      </w:r>
      <w:r w:rsidRPr="0004348D">
        <w:rPr>
          <w:rFonts w:ascii="Calibri" w:eastAsia="Calibri" w:hAnsi="Calibri" w:cs="Arial"/>
          <w:b/>
          <w:bCs/>
          <w:rtl/>
        </w:rPr>
        <w:t xml:space="preserve"> ע"א:</w:t>
      </w:r>
      <w:r w:rsidRPr="0004348D">
        <w:rPr>
          <w:rFonts w:ascii="Calibri" w:eastAsia="Calibri" w:hAnsi="Calibri" w:cs="Arial"/>
          <w:rtl/>
        </w:rPr>
        <w:t xml:space="preserve"> </w:t>
      </w:r>
      <w:r w:rsidRPr="0004348D">
        <w:rPr>
          <w:rFonts w:ascii="Calibri" w:eastAsia="Calibri" w:hAnsi="Calibri" w:cs="Arial"/>
          <w:u w:val="double"/>
          <w:rtl/>
        </w:rPr>
        <w:t>מתני'</w:t>
      </w:r>
      <w:r w:rsidRPr="0004348D">
        <w:rPr>
          <w:rFonts w:ascii="Calibri" w:eastAsia="Calibri" w:hAnsi="Calibri" w:cs="Arial"/>
          <w:rtl/>
        </w:rPr>
        <w:t xml:space="preserve">: </w:t>
      </w:r>
      <w:r w:rsidRPr="0004348D">
        <w:rPr>
          <w:rFonts w:ascii="Calibri" w:eastAsia="Calibri" w:hAnsi="Calibri" w:cs="Arial"/>
          <w:sz w:val="16"/>
          <w:szCs w:val="16"/>
          <w:rtl/>
        </w:rPr>
        <w:t xml:space="preserve">{אשה שבאה לגבות כתובתה} </w:t>
      </w:r>
      <w:r w:rsidRPr="0004348D">
        <w:rPr>
          <w:rFonts w:ascii="Calibri" w:eastAsia="Calibri" w:hAnsi="Calibri" w:cs="Arial"/>
          <w:rtl/>
        </w:rPr>
        <w:t>מנכסים משועבדים... - לא תפרע אלא בשבועה... מנכסים משועבדים כיצד? מכר נכסיו לאחרים, והיא נפרעת מן הלקוחות - לא תפרע אלא בשבועה.</w:t>
      </w:r>
    </w:p>
    <w:p w14:paraId="3F14A51D" w14:textId="77777777" w:rsidR="0004348D" w:rsidRPr="0004348D" w:rsidRDefault="0004348D" w:rsidP="0004348D">
      <w:pPr>
        <w:spacing w:before="360" w:after="240"/>
        <w:rPr>
          <w:rFonts w:ascii="Calibri" w:eastAsia="Calibri" w:hAnsi="Calibri" w:cs="Arial"/>
          <w:u w:val="single"/>
        </w:rPr>
      </w:pPr>
      <w:r w:rsidRPr="0004348D">
        <w:rPr>
          <w:rFonts w:ascii="Calibri" w:eastAsia="Calibri" w:hAnsi="Calibri" w:cs="Arial"/>
          <w:u w:val="single"/>
          <w:rtl/>
        </w:rPr>
        <w:t>האם נאמנות מועילה לפטור מן השבועה גם בגביה מלקוחות</w:t>
      </w:r>
      <w:r w:rsidRPr="0004348D">
        <w:rPr>
          <w:rFonts w:ascii="Calibri" w:eastAsia="Calibri" w:hAnsi="Calibri" w:cs="Arial"/>
          <w:sz w:val="16"/>
          <w:szCs w:val="16"/>
          <w:u w:val="single"/>
          <w:rtl/>
        </w:rPr>
        <w:t xml:space="preserve"> (היינו נכסים משועבדים)</w:t>
      </w:r>
      <w:r w:rsidRPr="0004348D">
        <w:rPr>
          <w:rFonts w:ascii="Calibri" w:eastAsia="Calibri" w:hAnsi="Calibri" w:cs="Arial"/>
          <w:u w:val="single"/>
          <w:rtl/>
        </w:rPr>
        <w:t>:</w:t>
      </w:r>
    </w:p>
    <w:p w14:paraId="160F16DD" w14:textId="77777777" w:rsidR="0004348D" w:rsidRPr="0004348D" w:rsidRDefault="0004348D" w:rsidP="00992A87">
      <w:pPr>
        <w:numPr>
          <w:ilvl w:val="0"/>
          <w:numId w:val="366"/>
        </w:numPr>
        <w:spacing w:before="360" w:after="240"/>
        <w:contextualSpacing/>
        <w:rPr>
          <w:rFonts w:ascii="Calibri" w:eastAsia="Calibri" w:hAnsi="Calibri" w:cs="Arial"/>
          <w:rtl/>
        </w:rPr>
      </w:pPr>
      <w:r w:rsidRPr="0004348D">
        <w:rPr>
          <w:rFonts w:ascii="Calibri" w:eastAsia="Calibri" w:hAnsi="Calibri" w:cs="Arial"/>
          <w:rtl/>
        </w:rPr>
        <w:t>גאונים רי"ף ר"ח</w:t>
      </w:r>
      <w:r w:rsidRPr="0004348D">
        <w:rPr>
          <w:rFonts w:ascii="Calibri" w:eastAsia="Calibri" w:hAnsi="Calibri" w:cs="Arial"/>
          <w:vertAlign w:val="superscript"/>
          <w:rtl/>
        </w:rPr>
        <w:footnoteReference w:id="5752"/>
      </w:r>
      <w:r w:rsidRPr="0004348D">
        <w:rPr>
          <w:rFonts w:ascii="Calibri" w:eastAsia="Calibri" w:hAnsi="Calibri" w:cs="Arial"/>
          <w:rtl/>
        </w:rPr>
        <w:t xml:space="preserve"> רמב"ם</w:t>
      </w:r>
      <w:r w:rsidRPr="0004348D">
        <w:rPr>
          <w:rFonts w:ascii="Calibri" w:eastAsia="Calibri" w:hAnsi="Calibri" w:cs="Arial"/>
          <w:sz w:val="16"/>
          <w:szCs w:val="16"/>
          <w:rtl/>
        </w:rPr>
        <w:t xml:space="preserve"> </w:t>
      </w:r>
      <w:r w:rsidRPr="0004348D">
        <w:rPr>
          <w:rFonts w:ascii="Calibri" w:eastAsia="Calibri" w:hAnsi="Calibri" w:cs="Arial"/>
          <w:rtl/>
        </w:rPr>
        <w:t>רא"ש וטור</w:t>
      </w:r>
      <w:r w:rsidRPr="0004348D">
        <w:rPr>
          <w:rFonts w:ascii="Calibri" w:eastAsia="Calibri" w:hAnsi="Calibri" w:cs="Arial"/>
          <w:vertAlign w:val="superscript"/>
          <w:rtl/>
        </w:rPr>
        <w:footnoteReference w:id="5753"/>
      </w:r>
      <w:r w:rsidRPr="0004348D">
        <w:rPr>
          <w:rFonts w:ascii="Calibri" w:eastAsia="Calibri" w:hAnsi="Calibri" w:cs="Arial"/>
          <w:rtl/>
        </w:rPr>
        <w:t xml:space="preserve">- </w:t>
      </w:r>
      <w:r w:rsidRPr="0004348D">
        <w:rPr>
          <w:rFonts w:ascii="Calibri" w:eastAsia="Calibri" w:hAnsi="Calibri" w:cs="Arial"/>
          <w:vertAlign w:val="superscript"/>
          <w:rtl/>
        </w:rPr>
        <w:footnoteReference w:id="5754"/>
      </w:r>
      <w:r w:rsidRPr="0004348D">
        <w:rPr>
          <w:rFonts w:ascii="Calibri" w:eastAsia="Calibri" w:hAnsi="Calibri" w:cs="Arial"/>
          <w:rtl/>
        </w:rPr>
        <w:t>אינו מועיל גבי לקוחות</w:t>
      </w:r>
      <w:r w:rsidRPr="0004348D">
        <w:rPr>
          <w:rFonts w:ascii="Calibri" w:eastAsia="Calibri" w:hAnsi="Calibri" w:cs="Arial"/>
          <w:vertAlign w:val="superscript"/>
          <w:rtl/>
        </w:rPr>
        <w:footnoteReference w:id="5755"/>
      </w:r>
      <w:r w:rsidRPr="0004348D">
        <w:rPr>
          <w:rFonts w:ascii="Calibri" w:eastAsia="Calibri" w:hAnsi="Calibri" w:cs="Arial"/>
          <w:rtl/>
        </w:rPr>
        <w:t>, ואין גובין מהן אלא בשבועה</w:t>
      </w:r>
      <w:r w:rsidRPr="0004348D">
        <w:rPr>
          <w:rFonts w:ascii="Calibri" w:eastAsia="Calibri" w:hAnsi="Calibri" w:cs="Arial"/>
          <w:vertAlign w:val="superscript"/>
          <w:rtl/>
        </w:rPr>
        <w:footnoteReference w:id="5756"/>
      </w:r>
      <w:r w:rsidRPr="0004348D">
        <w:rPr>
          <w:rFonts w:ascii="Calibri" w:eastAsia="Calibri" w:hAnsi="Calibri" w:cs="Arial"/>
          <w:rtl/>
        </w:rPr>
        <w:t>.</w:t>
      </w:r>
      <w:r w:rsidRPr="0004348D">
        <w:rPr>
          <w:rFonts w:ascii="Calibri" w:eastAsia="Calibri" w:hAnsi="Calibri" w:cs="Arial"/>
          <w:color w:val="E36C0A" w:themeColor="accent6" w:themeShade="BF"/>
          <w:rtl/>
        </w:rPr>
        <w:t xml:space="preserve"> (וכ"פ בשו"ע)</w:t>
      </w:r>
    </w:p>
    <w:p w14:paraId="5BECE125" w14:textId="77777777" w:rsidR="0004348D" w:rsidRPr="0004348D" w:rsidRDefault="0004348D" w:rsidP="00992A87">
      <w:pPr>
        <w:numPr>
          <w:ilvl w:val="0"/>
          <w:numId w:val="366"/>
        </w:numPr>
        <w:spacing w:before="360" w:after="240"/>
        <w:contextualSpacing/>
        <w:rPr>
          <w:rFonts w:ascii="Calibri" w:eastAsia="Calibri" w:hAnsi="Calibri" w:cs="Arial"/>
        </w:rPr>
      </w:pPr>
      <w:r w:rsidRPr="0004348D">
        <w:rPr>
          <w:rFonts w:ascii="Calibri" w:eastAsia="Calibri" w:hAnsi="Calibri" w:cs="Arial"/>
          <w:rtl/>
        </w:rPr>
        <w:t xml:space="preserve">רז"ה </w:t>
      </w:r>
      <w:r w:rsidRPr="0004348D">
        <w:rPr>
          <w:rFonts w:ascii="Calibri" w:eastAsia="Calibri" w:hAnsi="Calibri" w:cs="Arial"/>
          <w:sz w:val="16"/>
          <w:szCs w:val="16"/>
          <w:rtl/>
        </w:rPr>
        <w:t xml:space="preserve">(במאור מז:) </w:t>
      </w:r>
      <w:r w:rsidRPr="0004348D">
        <w:rPr>
          <w:rFonts w:ascii="Calibri" w:eastAsia="Calibri" w:hAnsi="Calibri" w:cs="Arial"/>
          <w:rtl/>
        </w:rPr>
        <w:t xml:space="preserve">ראב"ד </w:t>
      </w:r>
      <w:r w:rsidRPr="0004348D">
        <w:rPr>
          <w:rFonts w:ascii="Calibri" w:eastAsia="Calibri" w:hAnsi="Calibri" w:cs="Arial"/>
          <w:sz w:val="16"/>
          <w:szCs w:val="16"/>
          <w:rtl/>
        </w:rPr>
        <w:t xml:space="preserve">(בהשגות על הרי"ף מז:) </w:t>
      </w:r>
      <w:r w:rsidRPr="0004348D">
        <w:rPr>
          <w:rFonts w:ascii="Calibri" w:eastAsia="Calibri" w:hAnsi="Calibri" w:cs="Arial"/>
          <w:rtl/>
        </w:rPr>
        <w:t xml:space="preserve">ורמ"ה </w:t>
      </w:r>
      <w:r w:rsidRPr="0004348D">
        <w:rPr>
          <w:rFonts w:ascii="Calibri" w:eastAsia="Calibri" w:hAnsi="Calibri" w:cs="Arial"/>
          <w:sz w:val="16"/>
          <w:szCs w:val="16"/>
          <w:rtl/>
        </w:rPr>
        <w:t>(כ"כ הרא"ש בשמו)</w:t>
      </w:r>
      <w:r w:rsidRPr="0004348D">
        <w:rPr>
          <w:rFonts w:ascii="Calibri" w:eastAsia="Calibri" w:hAnsi="Calibri" w:cs="Arial"/>
          <w:rtl/>
        </w:rPr>
        <w:t xml:space="preserve">- </w:t>
      </w:r>
      <w:r w:rsidRPr="0004348D">
        <w:rPr>
          <w:rFonts w:ascii="Calibri" w:eastAsia="Calibri" w:hAnsi="Calibri" w:cs="Arial"/>
          <w:vertAlign w:val="superscript"/>
          <w:rtl/>
        </w:rPr>
        <w:footnoteReference w:id="5757"/>
      </w:r>
      <w:r w:rsidRPr="0004348D">
        <w:rPr>
          <w:rFonts w:ascii="Calibri" w:eastAsia="Calibri" w:hAnsi="Calibri" w:cs="Arial"/>
          <w:rtl/>
        </w:rPr>
        <w:t>אחר שמכר נכסיו לא מהניא נאמנות, דומיא דשטר אמנה דלאו כל כמיניה לגרועי כח הלקוחות אחרי שמכר להם כבר. אבל אם קדם הנאמנות ללקוחות לא פקע בשביל שמכר נכסיו לאחרים</w:t>
      </w:r>
      <w:r w:rsidRPr="0004348D">
        <w:rPr>
          <w:rFonts w:ascii="Calibri" w:eastAsia="Calibri" w:hAnsi="Calibri" w:cs="Arial"/>
          <w:vertAlign w:val="superscript"/>
          <w:rtl/>
        </w:rPr>
        <w:footnoteReference w:id="5758"/>
      </w:r>
      <w:r w:rsidRPr="0004348D">
        <w:rPr>
          <w:rFonts w:ascii="Calibri" w:eastAsia="Calibri" w:hAnsi="Calibri" w:cs="Arial"/>
          <w:rtl/>
        </w:rPr>
        <w:t xml:space="preserve">. </w:t>
      </w:r>
    </w:p>
    <w:p w14:paraId="29861F83" w14:textId="77777777" w:rsidR="0004348D" w:rsidRPr="0004348D" w:rsidRDefault="0004348D" w:rsidP="00992A87">
      <w:pPr>
        <w:numPr>
          <w:ilvl w:val="0"/>
          <w:numId w:val="366"/>
        </w:numPr>
        <w:spacing w:before="360" w:after="240"/>
        <w:contextualSpacing/>
        <w:rPr>
          <w:rFonts w:ascii="Calibri" w:eastAsia="Calibri" w:hAnsi="Calibri" w:cs="Arial"/>
        </w:rPr>
      </w:pPr>
      <w:r w:rsidRPr="0004348D">
        <w:rPr>
          <w:rFonts w:ascii="Calibri" w:eastAsia="Calibri" w:hAnsi="Calibri" w:cs="Arial"/>
          <w:rtl/>
        </w:rPr>
        <w:t>י"א</w:t>
      </w:r>
      <w:r w:rsidRPr="0004348D">
        <w:rPr>
          <w:rFonts w:ascii="Calibri" w:eastAsia="Calibri" w:hAnsi="Calibri" w:cs="Arial"/>
          <w:sz w:val="16"/>
          <w:szCs w:val="16"/>
          <w:rtl/>
        </w:rPr>
        <w:t xml:space="preserve"> (הביאם הטור)</w:t>
      </w:r>
      <w:r w:rsidRPr="0004348D">
        <w:rPr>
          <w:rFonts w:ascii="Calibri" w:eastAsia="Calibri" w:hAnsi="Calibri" w:cs="Arial"/>
          <w:rtl/>
        </w:rPr>
        <w:t xml:space="preserve">- אם קנו מידו וכתב שטר - זה מועיל גם גבי לקוחות משום דאית ליה קלא. </w:t>
      </w:r>
    </w:p>
    <w:p w14:paraId="19739A9E" w14:textId="77777777" w:rsidR="0004348D" w:rsidRPr="0004348D" w:rsidRDefault="0004348D" w:rsidP="0004348D">
      <w:pPr>
        <w:numPr>
          <w:ilvl w:val="1"/>
          <w:numId w:val="356"/>
        </w:numPr>
        <w:spacing w:before="360" w:after="240"/>
        <w:contextualSpacing/>
        <w:rPr>
          <w:rFonts w:ascii="Calibri" w:eastAsia="Calibri" w:hAnsi="Calibri" w:cs="Arial"/>
          <w:rtl/>
        </w:rPr>
      </w:pPr>
      <w:r w:rsidRPr="0004348D">
        <w:rPr>
          <w:rFonts w:ascii="Calibri" w:eastAsia="Calibri" w:hAnsi="Calibri" w:cs="Arial"/>
          <w:rtl/>
        </w:rPr>
        <w:t xml:space="preserve">ב"י- ולענין הלכה כיון דהרי"ף והרמב"ם והרא"ש מסכימים לדעת אחת, וכל הנך רבוותא סברי כוותייהו - הכי נקטינן. </w:t>
      </w:r>
    </w:p>
    <w:bookmarkEnd w:id="819"/>
    <w:p w14:paraId="02FF5174" w14:textId="77777777" w:rsidR="0004348D" w:rsidRPr="0004348D" w:rsidRDefault="0004348D" w:rsidP="0004348D">
      <w:pPr>
        <w:spacing w:before="360" w:after="240"/>
        <w:rPr>
          <w:rFonts w:ascii="Calibri" w:eastAsia="Calibri" w:hAnsi="Calibri" w:cs="Arial"/>
          <w:sz w:val="16"/>
          <w:szCs w:val="16"/>
        </w:rPr>
      </w:pPr>
      <w:r w:rsidRPr="0004348D">
        <w:rPr>
          <w:rFonts w:ascii="Calibri" w:eastAsia="Calibri" w:hAnsi="Calibri" w:cs="Arial"/>
          <w:u w:val="single"/>
          <w:rtl/>
        </w:rPr>
        <w:t>מלוה מוקדם שבא לגבות חובו מהלוה, וכתוב בשטרו נאמנות, ויש עוד מלוה שנתן הלואה ללוה אחריו:</w:t>
      </w:r>
      <w:r w:rsidRPr="0004348D">
        <w:rPr>
          <w:rFonts w:ascii="Calibri" w:eastAsia="Calibri" w:hAnsi="Calibri" w:cs="Arial"/>
          <w:sz w:val="16"/>
          <w:szCs w:val="16"/>
          <w:rtl/>
        </w:rPr>
        <w:t xml:space="preserve"> (ב"י </w:t>
      </w:r>
      <w:r w:rsidRPr="0004348D">
        <w:rPr>
          <w:rFonts w:ascii="Calibri" w:eastAsia="Calibri" w:hAnsi="Calibri" w:cs="Arial"/>
          <w:sz w:val="14"/>
          <w:szCs w:val="14"/>
          <w:rtl/>
        </w:rPr>
        <w:t>[בסוף הסימן]</w:t>
      </w:r>
      <w:r w:rsidRPr="0004348D">
        <w:rPr>
          <w:rFonts w:ascii="Calibri" w:eastAsia="Calibri" w:hAnsi="Calibri" w:cs="Arial"/>
          <w:sz w:val="16"/>
          <w:szCs w:val="16"/>
          <w:rtl/>
        </w:rPr>
        <w:t>)</w:t>
      </w:r>
    </w:p>
    <w:p w14:paraId="17E48F82" w14:textId="77777777" w:rsidR="0004348D" w:rsidRPr="0004348D" w:rsidRDefault="0004348D" w:rsidP="0004348D">
      <w:pPr>
        <w:numPr>
          <w:ilvl w:val="0"/>
          <w:numId w:val="356"/>
        </w:numPr>
        <w:spacing w:before="360" w:after="240"/>
        <w:contextualSpacing/>
        <w:rPr>
          <w:rFonts w:ascii="Calibri" w:eastAsia="Calibri" w:hAnsi="Calibri" w:cs="Arial"/>
        </w:rPr>
      </w:pPr>
      <w:r w:rsidRPr="0004348D">
        <w:rPr>
          <w:rFonts w:ascii="Calibri" w:eastAsia="Calibri" w:hAnsi="Calibri" w:cs="Arial"/>
          <w:rtl/>
        </w:rPr>
        <w:t xml:space="preserve">ריטב"א </w:t>
      </w:r>
      <w:r w:rsidRPr="0004348D">
        <w:rPr>
          <w:rFonts w:ascii="Calibri" w:eastAsia="Calibri" w:hAnsi="Calibri" w:cs="Arial"/>
          <w:sz w:val="16"/>
          <w:szCs w:val="16"/>
          <w:rtl/>
        </w:rPr>
        <w:t>(פרק מי שהיה נשוי כתובות צג:)</w:t>
      </w:r>
      <w:r w:rsidRPr="0004348D">
        <w:rPr>
          <w:rFonts w:ascii="Calibri" w:eastAsia="Calibri" w:hAnsi="Calibri" w:cs="Arial"/>
          <w:rtl/>
        </w:rPr>
        <w:t xml:space="preserve">- מלוה מוקדם שבא לגבות תחלה לבעל חוב מאוחר - נשבע המוקדם בנקיטת חפץ שאינו פרוע כאלו בא ליפרע מנכסים משועבדים, ואין נאמנות שטר מועיל בזה, כדמוכח ממאי דכתיבנא בפרק הכותב </w:t>
      </w:r>
      <w:r w:rsidRPr="0004348D">
        <w:rPr>
          <w:rFonts w:ascii="Calibri" w:eastAsia="Calibri" w:hAnsi="Calibri" w:cs="Arial"/>
          <w:sz w:val="16"/>
          <w:szCs w:val="16"/>
          <w:rtl/>
        </w:rPr>
        <w:t>(פו: ד"ה שם דין)</w:t>
      </w:r>
      <w:r w:rsidRPr="0004348D">
        <w:rPr>
          <w:rFonts w:ascii="Calibri" w:eastAsia="Calibri" w:hAnsi="Calibri" w:cs="Arial"/>
          <w:vertAlign w:val="superscript"/>
          <w:rtl/>
        </w:rPr>
        <w:footnoteReference w:id="5759"/>
      </w:r>
      <w:r w:rsidRPr="0004348D">
        <w:rPr>
          <w:rFonts w:ascii="Calibri" w:eastAsia="Calibri" w:hAnsi="Calibri" w:cs="Arial"/>
          <w:rtl/>
        </w:rPr>
        <w:t>.</w:t>
      </w:r>
      <w:r w:rsidRPr="0004348D">
        <w:rPr>
          <w:rFonts w:ascii="Calibri" w:eastAsia="Calibri" w:hAnsi="Calibri" w:cs="Arial"/>
          <w:color w:val="E36C0A" w:themeColor="accent6" w:themeShade="BF"/>
          <w:rtl/>
        </w:rPr>
        <w:t xml:space="preserve"> (וכ"פ בשו"ע)</w:t>
      </w:r>
    </w:p>
    <w:p w14:paraId="366222D4" w14:textId="77777777" w:rsidR="0004348D" w:rsidRPr="0004348D" w:rsidRDefault="0004348D" w:rsidP="0004348D">
      <w:pPr>
        <w:spacing w:before="360" w:after="240"/>
        <w:rPr>
          <w:rFonts w:ascii="Arial" w:eastAsia="Calibri" w:hAnsi="Arial" w:cs="Arial"/>
          <w:b/>
          <w:bCs/>
          <w:color w:val="000000"/>
          <w:sz w:val="28"/>
          <w:szCs w:val="28"/>
          <w:u w:val="single"/>
          <w:rtl/>
        </w:rPr>
      </w:pPr>
      <w:r w:rsidRPr="0004348D">
        <w:rPr>
          <w:rFonts w:ascii="Arial" w:eastAsia="Calibri" w:hAnsi="Arial" w:cs="Arial"/>
          <w:b/>
          <w:bCs/>
          <w:color w:val="000000"/>
          <w:sz w:val="28"/>
          <w:szCs w:val="28"/>
          <w:u w:val="single"/>
          <w:rtl/>
        </w:rPr>
        <w:t>שו"ע:</w:t>
      </w:r>
    </w:p>
    <w:p w14:paraId="6DDEFD20" w14:textId="77777777" w:rsidR="0004348D" w:rsidRPr="0004348D" w:rsidRDefault="0004348D" w:rsidP="0004348D">
      <w:pPr>
        <w:spacing w:before="360" w:after="240"/>
        <w:rPr>
          <w:rFonts w:ascii="Calibri" w:eastAsia="Calibri" w:hAnsi="Calibri" w:cs="Arial"/>
          <w:rtl/>
        </w:rPr>
      </w:pPr>
      <w:r w:rsidRPr="0004348D">
        <w:rPr>
          <w:rFonts w:ascii="Calibri" w:eastAsia="Calibri" w:hAnsi="Calibri" w:cs="Arial"/>
          <w:rtl/>
        </w:rPr>
        <w:t>אין נאמנות מועיל לגבי לקוחות, אפילו התנה בפירוש שיגבה מהלקוחות בלא שבועת המלוה</w:t>
      </w:r>
      <w:r w:rsidRPr="0004348D">
        <w:rPr>
          <w:rFonts w:ascii="Calibri" w:eastAsia="Calibri" w:hAnsi="Calibri" w:cs="Arial"/>
          <w:vertAlign w:val="superscript"/>
          <w:rtl/>
        </w:rPr>
        <w:footnoteReference w:id="5760"/>
      </w:r>
      <w:r w:rsidRPr="0004348D">
        <w:rPr>
          <w:rFonts w:ascii="Calibri" w:eastAsia="Calibri" w:hAnsi="Calibri" w:cs="Arial"/>
          <w:rtl/>
        </w:rPr>
        <w:t>. והוא הדין למלוה מוקדם</w:t>
      </w:r>
      <w:r w:rsidRPr="0004348D">
        <w:rPr>
          <w:rFonts w:ascii="Calibri" w:eastAsia="Calibri" w:hAnsi="Calibri" w:cs="Arial"/>
          <w:vertAlign w:val="superscript"/>
          <w:rtl/>
        </w:rPr>
        <w:footnoteReference w:id="5761"/>
      </w:r>
      <w:r w:rsidRPr="0004348D">
        <w:rPr>
          <w:rFonts w:ascii="Calibri" w:eastAsia="Calibri" w:hAnsi="Calibri" w:cs="Arial"/>
          <w:rtl/>
        </w:rPr>
        <w:t xml:space="preserve"> הבא לגבות שצריך לישבע אף על פי שכתוב בשטרו נאמנות. </w:t>
      </w:r>
    </w:p>
    <w:p w14:paraId="1EA193DC" w14:textId="77777777" w:rsidR="0004348D" w:rsidRPr="0004348D" w:rsidRDefault="0004348D" w:rsidP="0004348D">
      <w:pPr>
        <w:spacing w:before="360" w:after="240"/>
        <w:rPr>
          <w:rFonts w:ascii="Calibri" w:eastAsia="Calibri" w:hAnsi="Calibri" w:cs="Arial"/>
          <w:rtl/>
        </w:rPr>
      </w:pPr>
    </w:p>
    <w:p w14:paraId="37B233AB" w14:textId="77777777" w:rsidR="0004348D" w:rsidRPr="0004348D" w:rsidRDefault="0004348D" w:rsidP="0004348D">
      <w:pPr>
        <w:keepNext/>
        <w:keepLines/>
        <w:spacing w:before="360" w:after="240"/>
        <w:outlineLvl w:val="1"/>
        <w:rPr>
          <w:rFonts w:ascii="Cambria" w:eastAsia="Times New Roman" w:hAnsi="Cambria" w:cs="Arial"/>
          <w:bCs/>
          <w:color w:val="548DD4" w:themeColor="text2" w:themeTint="99"/>
          <w:sz w:val="26"/>
          <w:szCs w:val="26"/>
          <w:rtl/>
        </w:rPr>
      </w:pPr>
      <w:bookmarkStart w:id="820" w:name="_Toc24884213"/>
      <w:r w:rsidRPr="0004348D">
        <w:rPr>
          <w:rFonts w:ascii="Cambria" w:eastAsia="Times New Roman" w:hAnsi="Cambria" w:cs="Arial"/>
          <w:bCs/>
          <w:color w:val="548DD4" w:themeColor="text2" w:themeTint="99"/>
          <w:sz w:val="26"/>
          <w:szCs w:val="26"/>
          <w:rtl/>
        </w:rPr>
        <w:t xml:space="preserve">סעיף כ: גביית חוב בנאמנות </w:t>
      </w:r>
      <w:r w:rsidRPr="0004348D">
        <w:rPr>
          <w:rFonts w:ascii="Cambria" w:eastAsia="Times New Roman" w:hAnsi="Cambria" w:cs="Arial"/>
          <w:bCs/>
          <w:color w:val="548DD4" w:themeColor="text2" w:themeTint="99"/>
          <w:sz w:val="18"/>
          <w:szCs w:val="18"/>
          <w:rtl/>
        </w:rPr>
        <w:t>(היינו בלא שבועה)</w:t>
      </w:r>
      <w:r w:rsidRPr="0004348D">
        <w:rPr>
          <w:rFonts w:ascii="Cambria" w:eastAsia="Times New Roman" w:hAnsi="Cambria" w:cs="Arial"/>
          <w:bCs/>
          <w:color w:val="548DD4" w:themeColor="text2" w:themeTint="99"/>
          <w:sz w:val="16"/>
          <w:szCs w:val="16"/>
          <w:rtl/>
        </w:rPr>
        <w:t xml:space="preserve"> </w:t>
      </w:r>
      <w:r w:rsidRPr="0004348D">
        <w:rPr>
          <w:rFonts w:ascii="Cambria" w:eastAsia="Times New Roman" w:hAnsi="Cambria" w:cs="Arial"/>
          <w:bCs/>
          <w:color w:val="548DD4" w:themeColor="text2" w:themeTint="99"/>
          <w:sz w:val="26"/>
          <w:szCs w:val="26"/>
          <w:rtl/>
        </w:rPr>
        <w:t>שלא בפני הלוה.</w:t>
      </w:r>
      <w:bookmarkEnd w:id="820"/>
    </w:p>
    <w:p w14:paraId="4A74EB4E" w14:textId="77777777" w:rsidR="0004348D" w:rsidRPr="0004348D" w:rsidRDefault="0004348D" w:rsidP="0004348D">
      <w:pPr>
        <w:spacing w:before="360" w:after="240"/>
        <w:rPr>
          <w:rFonts w:ascii="Calibri" w:eastAsia="Calibri" w:hAnsi="Calibri" w:cs="Arial"/>
          <w:rtl/>
        </w:rPr>
      </w:pPr>
      <w:r w:rsidRPr="0004348D">
        <w:rPr>
          <w:rFonts w:ascii="Calibri" w:eastAsia="Calibri" w:hAnsi="Calibri" w:cs="Arial"/>
          <w:b/>
          <w:bCs/>
          <w:rtl/>
        </w:rPr>
        <w:t xml:space="preserve">כתובות </w:t>
      </w:r>
      <w:r w:rsidRPr="0004348D">
        <w:rPr>
          <w:rFonts w:ascii="Calibri" w:eastAsia="Calibri" w:hAnsi="Calibri" w:cs="Arial"/>
          <w:b/>
          <w:bCs/>
          <w:sz w:val="16"/>
          <w:szCs w:val="16"/>
          <w:rtl/>
        </w:rPr>
        <w:t xml:space="preserve">(פרק הכותב) </w:t>
      </w:r>
      <w:r w:rsidRPr="0004348D">
        <w:rPr>
          <w:rFonts w:ascii="Calibri" w:eastAsia="Calibri" w:hAnsi="Calibri" w:cs="Arial"/>
          <w:b/>
          <w:bCs/>
          <w:rtl/>
        </w:rPr>
        <w:t>פו</w:t>
      </w:r>
      <w:r w:rsidRPr="0004348D">
        <w:rPr>
          <w:rFonts w:ascii="Calibri" w:eastAsia="Calibri" w:hAnsi="Calibri" w:cs="Arial"/>
          <w:b/>
          <w:bCs/>
          <w:vertAlign w:val="superscript"/>
          <w:rtl/>
        </w:rPr>
        <w:footnoteReference w:id="5762"/>
      </w:r>
      <w:r w:rsidRPr="0004348D">
        <w:rPr>
          <w:rFonts w:ascii="Calibri" w:eastAsia="Calibri" w:hAnsi="Calibri" w:cs="Arial"/>
          <w:b/>
          <w:bCs/>
          <w:rtl/>
        </w:rPr>
        <w:t xml:space="preserve"> ע"ב:</w:t>
      </w:r>
      <w:r w:rsidRPr="0004348D">
        <w:rPr>
          <w:rFonts w:ascii="Calibri" w:eastAsia="Calibri" w:hAnsi="Calibri" w:cs="Arial"/>
          <w:rtl/>
        </w:rPr>
        <w:t xml:space="preserve"> </w:t>
      </w:r>
      <w:r w:rsidRPr="0004348D">
        <w:rPr>
          <w:rFonts w:ascii="Calibri" w:eastAsia="Calibri" w:hAnsi="Calibri" w:cs="Arial"/>
          <w:u w:val="double"/>
          <w:rtl/>
        </w:rPr>
        <w:t>מתני'</w:t>
      </w:r>
      <w:r w:rsidRPr="0004348D">
        <w:rPr>
          <w:rFonts w:ascii="Calibri" w:eastAsia="Calibri" w:hAnsi="Calibri" w:cs="Arial"/>
          <w:rtl/>
        </w:rPr>
        <w:t>: כתב לה... 'נדר ושבועה אין לי ולא ליורשי ולא לבאים ברשותי עליך ועל יורשיך ועל הבאים ברשותיך' - אינו יכול להשביעה לא הוא ולא יורשיו ולא הבאים ברשותו, לא אותה ולא יורשיה ולא הבאים ברשותה.</w:t>
      </w:r>
    </w:p>
    <w:p w14:paraId="0273F46B" w14:textId="77777777" w:rsidR="0004348D" w:rsidRPr="0004348D" w:rsidRDefault="0004348D" w:rsidP="0004348D">
      <w:pPr>
        <w:spacing w:before="360" w:after="240"/>
        <w:rPr>
          <w:rFonts w:ascii="Calibri" w:eastAsia="Calibri" w:hAnsi="Calibri" w:cs="Arial"/>
          <w:u w:val="single"/>
          <w:rtl/>
        </w:rPr>
      </w:pPr>
      <w:bookmarkStart w:id="821" w:name="_Hlk17364923"/>
      <w:r w:rsidRPr="0004348D">
        <w:rPr>
          <w:rFonts w:ascii="Calibri" w:eastAsia="Calibri" w:hAnsi="Calibri" w:cs="Arial"/>
          <w:u w:val="single"/>
          <w:rtl/>
        </w:rPr>
        <w:t xml:space="preserve">לוה שהאמינו למלוה </w:t>
      </w:r>
      <w:r w:rsidRPr="0004348D">
        <w:rPr>
          <w:rFonts w:ascii="Calibri" w:eastAsia="Calibri" w:hAnsi="Calibri" w:cs="Arial"/>
          <w:sz w:val="16"/>
          <w:szCs w:val="16"/>
          <w:u w:val="single"/>
          <w:rtl/>
        </w:rPr>
        <w:t>(או בעל לאשתו)</w:t>
      </w:r>
      <w:r w:rsidRPr="0004348D">
        <w:rPr>
          <w:rFonts w:ascii="Calibri" w:eastAsia="Calibri" w:hAnsi="Calibri" w:cs="Arial"/>
          <w:u w:val="single"/>
          <w:rtl/>
        </w:rPr>
        <w:t xml:space="preserve"> - האם יכול המלוה </w:t>
      </w:r>
      <w:r w:rsidRPr="0004348D">
        <w:rPr>
          <w:rFonts w:ascii="Calibri" w:eastAsia="Calibri" w:hAnsi="Calibri" w:cs="Arial"/>
          <w:sz w:val="16"/>
          <w:szCs w:val="16"/>
          <w:u w:val="single"/>
          <w:rtl/>
        </w:rPr>
        <w:t>(או האשה שבאה לגבות כתובתה)</w:t>
      </w:r>
      <w:r w:rsidRPr="0004348D">
        <w:rPr>
          <w:rFonts w:ascii="Calibri" w:eastAsia="Calibri" w:hAnsi="Calibri" w:cs="Arial"/>
          <w:u w:val="single"/>
          <w:rtl/>
        </w:rPr>
        <w:t xml:space="preserve"> לגבות בלא שבועה </w:t>
      </w:r>
      <w:r w:rsidRPr="0004348D">
        <w:rPr>
          <w:rFonts w:ascii="Calibri" w:eastAsia="Calibri" w:hAnsi="Calibri" w:cs="Arial"/>
          <w:b/>
          <w:bCs/>
          <w:u w:val="single"/>
          <w:rtl/>
        </w:rPr>
        <w:t>שלא בפניו</w:t>
      </w:r>
      <w:r w:rsidRPr="0004348D">
        <w:rPr>
          <w:rFonts w:ascii="Calibri" w:eastAsia="Calibri" w:hAnsi="Calibri" w:cs="Arial"/>
          <w:u w:val="single"/>
          <w:rtl/>
        </w:rPr>
        <w:t>:</w:t>
      </w:r>
    </w:p>
    <w:p w14:paraId="3574619F" w14:textId="77777777" w:rsidR="0004348D" w:rsidRPr="0004348D" w:rsidRDefault="0004348D" w:rsidP="0004348D">
      <w:pPr>
        <w:numPr>
          <w:ilvl w:val="0"/>
          <w:numId w:val="356"/>
        </w:numPr>
        <w:spacing w:before="360" w:after="240"/>
        <w:contextualSpacing/>
        <w:rPr>
          <w:rFonts w:ascii="Calibri" w:eastAsia="Calibri" w:hAnsi="Calibri" w:cs="Arial"/>
          <w:rtl/>
        </w:rPr>
      </w:pPr>
      <w:r w:rsidRPr="0004348D">
        <w:rPr>
          <w:rFonts w:ascii="Calibri" w:eastAsia="Calibri" w:hAnsi="Calibri" w:cs="Arial"/>
          <w:rtl/>
        </w:rPr>
        <w:t xml:space="preserve">בעל התרומות </w:t>
      </w:r>
      <w:r w:rsidRPr="0004348D">
        <w:rPr>
          <w:rFonts w:ascii="Calibri" w:eastAsia="Calibri" w:hAnsi="Calibri" w:cs="Arial"/>
          <w:sz w:val="16"/>
          <w:szCs w:val="16"/>
          <w:rtl/>
        </w:rPr>
        <w:t xml:space="preserve">(שער כא ח"ה ס"ס ג') </w:t>
      </w:r>
      <w:r w:rsidRPr="0004348D">
        <w:rPr>
          <w:rFonts w:ascii="Calibri" w:eastAsia="Calibri" w:hAnsi="Calibri" w:cs="Arial"/>
          <w:rtl/>
        </w:rPr>
        <w:t>בשם הרמב"ן</w:t>
      </w:r>
      <w:r w:rsidRPr="0004348D">
        <w:rPr>
          <w:rFonts w:ascii="Calibri" w:eastAsia="Calibri" w:hAnsi="Calibri" w:cs="Arial"/>
          <w:sz w:val="16"/>
          <w:szCs w:val="16"/>
          <w:rtl/>
        </w:rPr>
        <w:t xml:space="preserve"> (שם מח.)</w:t>
      </w:r>
      <w:r w:rsidRPr="0004348D">
        <w:rPr>
          <w:rFonts w:ascii="Calibri" w:eastAsia="Calibri" w:hAnsi="Calibri" w:cs="Arial"/>
          <w:rtl/>
        </w:rPr>
        <w:t>- ונכלל עוד בלשון 'באין ברשותו' - ב"ד המשביעין אותה כשהיא נפרעת שלא בפניו. וכן מצינו בגליוני ראשונים שאין נאמנות מועיל אלא לנפרעת בפניו ממנו, שהוא משביעה</w:t>
      </w:r>
      <w:r w:rsidRPr="0004348D">
        <w:rPr>
          <w:rFonts w:ascii="Calibri" w:eastAsia="Calibri" w:hAnsi="Calibri" w:cs="Arial"/>
          <w:vertAlign w:val="superscript"/>
          <w:rtl/>
        </w:rPr>
        <w:footnoteReference w:id="5763"/>
      </w:r>
      <w:r w:rsidRPr="0004348D">
        <w:rPr>
          <w:rFonts w:ascii="Calibri" w:eastAsia="Calibri" w:hAnsi="Calibri" w:cs="Arial"/>
          <w:rtl/>
        </w:rPr>
        <w:t xml:space="preserve">, אבל שלא בפניו - לא מהני לה, דכי הימנה דוקא בפניו שאינה מעיזה פניה בו. או שמא מפני הנאמנות פרע בעדים ובשובר ואין אנו יודעין בהן - ולפיכך ב"ד משביעין אותה. </w:t>
      </w:r>
      <w:r w:rsidRPr="0004348D">
        <w:rPr>
          <w:rFonts w:ascii="Calibri" w:eastAsia="Calibri" w:hAnsi="Calibri" w:cs="Arial"/>
          <w:b/>
          <w:bCs/>
          <w:rtl/>
        </w:rPr>
        <w:t>וכשפירש</w:t>
      </w:r>
      <w:r w:rsidRPr="0004348D">
        <w:rPr>
          <w:rFonts w:ascii="Calibri" w:eastAsia="Calibri" w:hAnsi="Calibri" w:cs="Arial"/>
          <w:rtl/>
        </w:rPr>
        <w:t xml:space="preserve"> 'ולא לבאין ברשותו' - אין ב"ד משביעין אותה, שרצה ליזוק בנכסיו, ועל כל מי שבא ברשותו האמינה</w:t>
      </w:r>
      <w:r w:rsidRPr="0004348D">
        <w:rPr>
          <w:rFonts w:ascii="Calibri" w:eastAsia="Calibri" w:hAnsi="Calibri" w:cs="Arial"/>
          <w:sz w:val="16"/>
          <w:szCs w:val="16"/>
          <w:rtl/>
        </w:rPr>
        <w:t xml:space="preserve"> (ל' בעל התרומות בשם הרמב"ן)</w:t>
      </w:r>
      <w:r w:rsidRPr="0004348D">
        <w:rPr>
          <w:rFonts w:ascii="Calibri" w:eastAsia="Calibri" w:hAnsi="Calibri" w:cs="Arial"/>
          <w:rtl/>
        </w:rPr>
        <w:t xml:space="preserve">. </w:t>
      </w:r>
      <w:r w:rsidRPr="0004348D">
        <w:rPr>
          <w:rFonts w:ascii="Calibri" w:eastAsia="Calibri" w:hAnsi="Calibri" w:cs="Arial"/>
          <w:color w:val="E36C0A" w:themeColor="accent6" w:themeShade="BF"/>
          <w:rtl/>
        </w:rPr>
        <w:t>(וכ"פ בשו"ע</w:t>
      </w:r>
      <w:r w:rsidRPr="0004348D">
        <w:rPr>
          <w:rFonts w:ascii="Calibri" w:eastAsia="Calibri" w:hAnsi="Calibri" w:cs="Arial"/>
          <w:color w:val="E36C0A" w:themeColor="accent6" w:themeShade="BF"/>
          <w:sz w:val="16"/>
          <w:szCs w:val="16"/>
          <w:rtl/>
        </w:rPr>
        <w:t xml:space="preserve"> </w:t>
      </w:r>
      <w:r w:rsidRPr="0004348D">
        <w:rPr>
          <w:rFonts w:ascii="Calibri" w:eastAsia="Calibri" w:hAnsi="Calibri" w:cs="Arial"/>
          <w:color w:val="000000" w:themeColor="text1"/>
          <w:sz w:val="16"/>
          <w:szCs w:val="16"/>
          <w:rtl/>
        </w:rPr>
        <w:t>[כאן ובסי' קו ס"א]</w:t>
      </w:r>
      <w:r w:rsidRPr="0004348D">
        <w:rPr>
          <w:rFonts w:ascii="Calibri" w:eastAsia="Calibri" w:hAnsi="Calibri" w:cs="Arial"/>
          <w:color w:val="E36C0A" w:themeColor="accent6" w:themeShade="BF"/>
          <w:rtl/>
        </w:rPr>
        <w:t>)</w:t>
      </w:r>
    </w:p>
    <w:p w14:paraId="4CD1E5CF" w14:textId="77777777" w:rsidR="0004348D" w:rsidRPr="0004348D" w:rsidRDefault="0004348D" w:rsidP="0004348D">
      <w:pPr>
        <w:numPr>
          <w:ilvl w:val="0"/>
          <w:numId w:val="356"/>
        </w:numPr>
        <w:spacing w:before="360" w:after="240"/>
        <w:contextualSpacing/>
        <w:rPr>
          <w:rFonts w:ascii="Calibri" w:eastAsia="Calibri" w:hAnsi="Calibri" w:cs="Arial"/>
        </w:rPr>
      </w:pPr>
      <w:r w:rsidRPr="0004348D">
        <w:rPr>
          <w:rFonts w:ascii="Calibri" w:eastAsia="Calibri" w:hAnsi="Calibri" w:cs="Arial"/>
          <w:rtl/>
        </w:rPr>
        <w:t>רשב"א ורא"ש</w:t>
      </w:r>
      <w:r w:rsidRPr="0004348D">
        <w:rPr>
          <w:rFonts w:ascii="Calibri" w:eastAsia="Calibri" w:hAnsi="Calibri" w:cs="Arial"/>
          <w:vertAlign w:val="superscript"/>
          <w:rtl/>
        </w:rPr>
        <w:footnoteReference w:id="5764"/>
      </w:r>
      <w:r w:rsidRPr="0004348D">
        <w:rPr>
          <w:rFonts w:ascii="Calibri" w:eastAsia="Calibri" w:hAnsi="Calibri" w:cs="Arial"/>
          <w:rtl/>
        </w:rPr>
        <w:t xml:space="preserve">- נאמנות </w:t>
      </w:r>
      <w:r w:rsidRPr="0004348D">
        <w:rPr>
          <w:rFonts w:ascii="Calibri" w:eastAsia="Calibri" w:hAnsi="Calibri" w:cs="Arial"/>
          <w:b/>
          <w:bCs/>
          <w:rtl/>
        </w:rPr>
        <w:t>סתם</w:t>
      </w:r>
      <w:r w:rsidRPr="0004348D">
        <w:rPr>
          <w:rFonts w:ascii="Calibri" w:eastAsia="Calibri" w:hAnsi="Calibri" w:cs="Arial"/>
          <w:rtl/>
        </w:rPr>
        <w:t xml:space="preserve"> מהני אפילו לנפרע שלא בפניו</w:t>
      </w:r>
      <w:r w:rsidRPr="0004348D">
        <w:rPr>
          <w:rFonts w:ascii="Calibri" w:eastAsia="Calibri" w:hAnsi="Calibri" w:cs="Arial"/>
          <w:vertAlign w:val="superscript"/>
          <w:rtl/>
        </w:rPr>
        <w:footnoteReference w:id="5765"/>
      </w:r>
      <w:r w:rsidRPr="0004348D">
        <w:rPr>
          <w:rFonts w:ascii="Calibri" w:eastAsia="Calibri" w:hAnsi="Calibri" w:cs="Arial"/>
          <w:rtl/>
        </w:rPr>
        <w:t>.</w:t>
      </w:r>
    </w:p>
    <w:bookmarkEnd w:id="821"/>
    <w:p w14:paraId="2B6A06E6" w14:textId="77777777" w:rsidR="0004348D" w:rsidRPr="0004348D" w:rsidRDefault="0004348D" w:rsidP="0004348D">
      <w:pPr>
        <w:spacing w:before="360" w:after="240"/>
        <w:rPr>
          <w:rFonts w:ascii="Calibri" w:eastAsia="Calibri" w:hAnsi="Calibri" w:cs="Arial"/>
          <w:u w:val="single"/>
        </w:rPr>
      </w:pPr>
      <w:r w:rsidRPr="0004348D">
        <w:rPr>
          <w:rFonts w:ascii="Calibri" w:eastAsia="Calibri" w:hAnsi="Calibri" w:cs="Arial"/>
          <w:u w:val="single"/>
          <w:rtl/>
        </w:rPr>
        <w:t>האם לוה יכול להשביע את המלוה על טענת רבית/מחילה/וכדו':</w:t>
      </w:r>
    </w:p>
    <w:p w14:paraId="1D977116" w14:textId="77777777" w:rsidR="0004348D" w:rsidRPr="0004348D" w:rsidRDefault="0004348D" w:rsidP="0004348D">
      <w:pPr>
        <w:numPr>
          <w:ilvl w:val="0"/>
          <w:numId w:val="356"/>
        </w:numPr>
        <w:spacing w:before="360" w:after="240"/>
        <w:contextualSpacing/>
        <w:rPr>
          <w:rFonts w:ascii="Calibri" w:eastAsia="Calibri" w:hAnsi="Calibri" w:cs="Arial"/>
        </w:rPr>
      </w:pPr>
      <w:r w:rsidRPr="0004348D">
        <w:rPr>
          <w:rFonts w:ascii="Calibri" w:eastAsia="Calibri" w:hAnsi="Calibri" w:cs="Arial"/>
          <w:rtl/>
        </w:rPr>
        <w:t xml:space="preserve">רשב"א </w:t>
      </w:r>
      <w:r w:rsidRPr="0004348D">
        <w:rPr>
          <w:rFonts w:ascii="Calibri" w:eastAsia="Calibri" w:hAnsi="Calibri" w:cs="Arial"/>
          <w:sz w:val="16"/>
          <w:szCs w:val="16"/>
          <w:rtl/>
        </w:rPr>
        <w:t>(ח"ב סי' שלה ד"ה ועוד דבר)</w:t>
      </w:r>
      <w:r w:rsidRPr="0004348D">
        <w:rPr>
          <w:rFonts w:ascii="Calibri" w:eastAsia="Calibri" w:hAnsi="Calibri" w:cs="Arial"/>
          <w:rtl/>
        </w:rPr>
        <w:t xml:space="preserve">- אפילו לא כתב לו נאמנות - אינו יכול להשביעו אלא על דבר שהשטר עומד לכך, כגון טענת פרעון. אבל על דבר שאין השטר עומד לכך, כגון טענת רבית וכיוצא בזה – לא. וכ"כ הרב אבן מיגאש בשבועות </w:t>
      </w:r>
      <w:r w:rsidRPr="0004348D">
        <w:rPr>
          <w:rFonts w:ascii="Calibri" w:eastAsia="Calibri" w:hAnsi="Calibri" w:cs="Arial"/>
          <w:sz w:val="16"/>
          <w:szCs w:val="16"/>
          <w:rtl/>
        </w:rPr>
        <w:t>(מא. ד"ה הא דאמר)</w:t>
      </w:r>
      <w:r w:rsidRPr="0004348D">
        <w:rPr>
          <w:rFonts w:ascii="Calibri" w:eastAsia="Calibri" w:hAnsi="Calibri" w:cs="Arial"/>
          <w:rtl/>
        </w:rPr>
        <w:t>. וטענת מחילה כיוצא בזה היא, לפי שהשטר לפרעון עומד ולא למחילה - ולפיכך אינו יכול להשביעו לפי דעתי</w:t>
      </w:r>
      <w:r w:rsidRPr="0004348D">
        <w:rPr>
          <w:rFonts w:ascii="Calibri" w:eastAsia="Calibri" w:hAnsi="Calibri" w:cs="Arial"/>
          <w:vertAlign w:val="superscript"/>
          <w:rtl/>
        </w:rPr>
        <w:footnoteReference w:id="5766"/>
      </w:r>
      <w:r w:rsidRPr="0004348D">
        <w:rPr>
          <w:rFonts w:ascii="Calibri" w:eastAsia="Calibri" w:hAnsi="Calibri" w:cs="Arial"/>
          <w:rtl/>
        </w:rPr>
        <w:t>.</w:t>
      </w:r>
    </w:p>
    <w:p w14:paraId="55DA1010" w14:textId="77777777" w:rsidR="0004348D" w:rsidRPr="0004348D" w:rsidRDefault="0004348D" w:rsidP="0004348D">
      <w:pPr>
        <w:spacing w:before="360" w:after="240"/>
        <w:rPr>
          <w:rFonts w:ascii="Arial" w:eastAsia="Calibri" w:hAnsi="Arial" w:cs="Arial"/>
          <w:b/>
          <w:bCs/>
          <w:color w:val="000000"/>
          <w:sz w:val="28"/>
          <w:szCs w:val="28"/>
          <w:u w:val="single"/>
          <w:rtl/>
        </w:rPr>
      </w:pPr>
      <w:r w:rsidRPr="0004348D">
        <w:rPr>
          <w:rFonts w:ascii="Arial" w:eastAsia="Calibri" w:hAnsi="Arial" w:cs="Arial"/>
          <w:b/>
          <w:bCs/>
          <w:color w:val="000000"/>
          <w:sz w:val="28"/>
          <w:szCs w:val="28"/>
          <w:u w:val="single"/>
          <w:rtl/>
        </w:rPr>
        <w:t>שו"ע:</w:t>
      </w:r>
    </w:p>
    <w:p w14:paraId="29A7230F" w14:textId="77777777" w:rsidR="0004348D" w:rsidRPr="0004348D" w:rsidRDefault="0004348D" w:rsidP="0004348D">
      <w:pPr>
        <w:spacing w:before="360" w:after="240"/>
        <w:rPr>
          <w:rFonts w:ascii="Calibri" w:eastAsia="Calibri" w:hAnsi="Calibri" w:cs="Arial"/>
          <w:rtl/>
        </w:rPr>
      </w:pPr>
      <w:r w:rsidRPr="0004348D">
        <w:rPr>
          <w:rFonts w:ascii="Calibri" w:eastAsia="Calibri" w:hAnsi="Calibri" w:cs="Arial"/>
          <w:rtl/>
        </w:rPr>
        <w:t>יש אומרים שאין נאמנות מועיל אלא לנפרע בפניו ממנו, אבל שלא בפניו, לא, אלא בית דין משביעים אותו. ואם פירש 'ולא לבאים מכחו'</w:t>
      </w:r>
      <w:r w:rsidRPr="0004348D">
        <w:rPr>
          <w:rFonts w:ascii="Calibri" w:eastAsia="Calibri" w:hAnsi="Calibri" w:cs="Arial"/>
          <w:vertAlign w:val="superscript"/>
          <w:rtl/>
        </w:rPr>
        <w:footnoteReference w:id="5767"/>
      </w:r>
      <w:r w:rsidRPr="0004348D">
        <w:rPr>
          <w:rFonts w:ascii="Calibri" w:eastAsia="Calibri" w:hAnsi="Calibri" w:cs="Arial"/>
          <w:rtl/>
        </w:rPr>
        <w:t xml:space="preserve">, אין בית דין משביעים אותו. </w:t>
      </w:r>
    </w:p>
    <w:p w14:paraId="0BF8C9D9" w14:textId="77777777" w:rsidR="0004348D" w:rsidRPr="0004348D" w:rsidRDefault="0004348D" w:rsidP="0004348D">
      <w:pPr>
        <w:spacing w:before="360" w:after="240"/>
        <w:rPr>
          <w:rFonts w:ascii="Calibri" w:eastAsia="Calibri" w:hAnsi="Calibri" w:cs="Arial"/>
          <w:rtl/>
        </w:rPr>
      </w:pPr>
    </w:p>
    <w:p w14:paraId="626443AD" w14:textId="77777777" w:rsidR="0004348D" w:rsidRPr="0004348D" w:rsidRDefault="0004348D" w:rsidP="0004348D">
      <w:pPr>
        <w:keepNext/>
        <w:keepLines/>
        <w:spacing w:before="360" w:after="240"/>
        <w:outlineLvl w:val="1"/>
        <w:rPr>
          <w:rFonts w:ascii="Cambria" w:eastAsia="Times New Roman" w:hAnsi="Cambria" w:cs="Arial"/>
          <w:bCs/>
          <w:color w:val="548DD4" w:themeColor="text2" w:themeTint="99"/>
          <w:sz w:val="26"/>
          <w:szCs w:val="26"/>
          <w:rtl/>
        </w:rPr>
      </w:pPr>
      <w:bookmarkStart w:id="822" w:name="_Toc24884214"/>
      <w:r w:rsidRPr="0004348D">
        <w:rPr>
          <w:rFonts w:ascii="Cambria" w:eastAsia="Times New Roman" w:hAnsi="Cambria" w:cs="Arial"/>
          <w:bCs/>
          <w:color w:val="548DD4" w:themeColor="text2" w:themeTint="99"/>
          <w:sz w:val="26"/>
          <w:szCs w:val="26"/>
          <w:rtl/>
        </w:rPr>
        <w:t>סעיף כא: מלוה שאמינו ללוה.</w:t>
      </w:r>
      <w:bookmarkEnd w:id="822"/>
    </w:p>
    <w:p w14:paraId="3B852661" w14:textId="77777777" w:rsidR="0004348D" w:rsidRPr="0004348D" w:rsidRDefault="0004348D" w:rsidP="0004348D">
      <w:pPr>
        <w:spacing w:before="360" w:after="240"/>
        <w:rPr>
          <w:rFonts w:ascii="Calibri" w:eastAsia="Calibri" w:hAnsi="Calibri" w:cs="Arial"/>
          <w:u w:val="single"/>
          <w:rtl/>
        </w:rPr>
      </w:pPr>
      <w:bookmarkStart w:id="823" w:name="_Hlk17365442"/>
      <w:r w:rsidRPr="0004348D">
        <w:rPr>
          <w:rFonts w:ascii="Calibri" w:eastAsia="Calibri" w:hAnsi="Calibri" w:cs="Arial"/>
          <w:u w:val="single"/>
          <w:rtl/>
        </w:rPr>
        <w:t>מלוה שאמינו ללוה לומר על השטר שהוא פרוע, ומת המלוה – האם הלוה נאמן גם מול יורשי המלוה:</w:t>
      </w:r>
    </w:p>
    <w:p w14:paraId="7E1E2B9B" w14:textId="77777777" w:rsidR="0004348D" w:rsidRPr="0004348D" w:rsidRDefault="0004348D" w:rsidP="0004348D">
      <w:pPr>
        <w:numPr>
          <w:ilvl w:val="0"/>
          <w:numId w:val="356"/>
        </w:numPr>
        <w:spacing w:before="360" w:after="240"/>
        <w:contextualSpacing/>
        <w:rPr>
          <w:rFonts w:ascii="Calibri" w:eastAsia="Calibri" w:hAnsi="Calibri" w:cs="Arial"/>
          <w:rtl/>
        </w:rPr>
      </w:pPr>
      <w:r w:rsidRPr="0004348D">
        <w:rPr>
          <w:rFonts w:ascii="Calibri" w:eastAsia="Calibri" w:hAnsi="Calibri" w:cs="Arial"/>
          <w:rtl/>
        </w:rPr>
        <w:t>רב האי גאון רי"ף רמב"ם רא"ש טור ור"ן</w:t>
      </w:r>
      <w:r w:rsidRPr="0004348D">
        <w:rPr>
          <w:rFonts w:ascii="Calibri" w:eastAsia="Calibri" w:hAnsi="Calibri" w:cs="Arial"/>
          <w:vertAlign w:val="superscript"/>
          <w:rtl/>
        </w:rPr>
        <w:footnoteReference w:id="5768"/>
      </w:r>
      <w:r w:rsidRPr="0004348D">
        <w:rPr>
          <w:rFonts w:ascii="Calibri" w:eastAsia="Calibri" w:hAnsi="Calibri" w:cs="Arial"/>
          <w:rtl/>
        </w:rPr>
        <w:t>- בד"א דנאמנות סתם אינו מועיל גבי יורשין - כשהאמין הלוה למלוה סתם ומת הלוה אין המלוה נאמן על יורשיו, אבל מלוה שהאמין ללוה שיהא נאמן לומר על השטר שהוא פרוע - מועיל נמי גבי יורשין, שאם מת המלוה ובאין יורשין לגבות מהלוה - נאמן לומר שהוא פרוע</w:t>
      </w:r>
      <w:r w:rsidRPr="0004348D">
        <w:rPr>
          <w:rFonts w:ascii="Calibri" w:eastAsia="Calibri" w:hAnsi="Calibri" w:cs="Arial"/>
          <w:vertAlign w:val="superscript"/>
          <w:rtl/>
        </w:rPr>
        <w:footnoteReference w:id="5769"/>
      </w:r>
      <w:r w:rsidRPr="0004348D">
        <w:rPr>
          <w:rFonts w:ascii="Calibri" w:eastAsia="Calibri" w:hAnsi="Calibri" w:cs="Arial"/>
          <w:rtl/>
        </w:rPr>
        <w:t>. ומיהו הלוה צריך לישבע שהוא פרוע אפילו בחיי מלוה, כיון דלא כתב ליה 'מהימנת לי בלא שבועה' דילמא הכי קאמר ליה - 'מהימנת לי לבטולי שטרא וליהוי כמלוה על פה', והוי כמאן דטעניה מנה על פה וא"ל אידך 'נתתיו לך' דמשתבע אידך שבועת היסת דיד בעל השטר על התחתונה. ולכן נאמן שלא יועיל הנאמנות אלא לבטל השטר אבל לא ליפטר משבועה, אם לא שפירש</w:t>
      </w:r>
      <w:r w:rsidRPr="0004348D">
        <w:rPr>
          <w:rFonts w:ascii="Calibri" w:eastAsia="Calibri" w:hAnsi="Calibri" w:cs="Arial"/>
          <w:sz w:val="16"/>
          <w:szCs w:val="16"/>
          <w:rtl/>
        </w:rPr>
        <w:t xml:space="preserve"> (ל' הטור)</w:t>
      </w:r>
      <w:r w:rsidRPr="0004348D">
        <w:rPr>
          <w:rFonts w:ascii="Calibri" w:eastAsia="Calibri" w:hAnsi="Calibri" w:cs="Arial"/>
          <w:rtl/>
        </w:rPr>
        <w:t>.</w:t>
      </w:r>
      <w:r w:rsidRPr="0004348D">
        <w:rPr>
          <w:rFonts w:ascii="Calibri" w:eastAsia="Calibri" w:hAnsi="Calibri" w:cs="Arial"/>
          <w:color w:val="E36C0A" w:themeColor="accent6" w:themeShade="BF"/>
          <w:rtl/>
        </w:rPr>
        <w:t xml:space="preserve"> (וכ"פ בשו"ע)</w:t>
      </w:r>
    </w:p>
    <w:p w14:paraId="667BC760" w14:textId="77777777" w:rsidR="0004348D" w:rsidRPr="0004348D" w:rsidRDefault="0004348D" w:rsidP="0004348D">
      <w:pPr>
        <w:spacing w:before="360" w:after="240"/>
        <w:ind w:left="360"/>
        <w:rPr>
          <w:rFonts w:ascii="Calibri" w:eastAsia="Calibri" w:hAnsi="Calibri" w:cs="Arial"/>
          <w:u w:val="dotted"/>
        </w:rPr>
      </w:pPr>
      <w:bookmarkStart w:id="824" w:name="_Hlk17365591"/>
      <w:bookmarkEnd w:id="823"/>
      <w:r w:rsidRPr="0004348D">
        <w:rPr>
          <w:rFonts w:ascii="Calibri" w:eastAsia="Calibri" w:hAnsi="Calibri" w:cs="Arial"/>
          <w:u w:val="dotted"/>
          <w:rtl/>
        </w:rPr>
        <w:t>האם האמנה כנ"ל מועילה גם לגבי יורשי הלוה:</w:t>
      </w:r>
    </w:p>
    <w:p w14:paraId="359CA7A2" w14:textId="77777777" w:rsidR="0004348D" w:rsidRPr="0004348D" w:rsidRDefault="0004348D" w:rsidP="0004348D">
      <w:pPr>
        <w:numPr>
          <w:ilvl w:val="0"/>
          <w:numId w:val="356"/>
        </w:numPr>
        <w:spacing w:before="360" w:after="240"/>
        <w:contextualSpacing/>
        <w:rPr>
          <w:rFonts w:ascii="Calibri" w:eastAsia="Calibri" w:hAnsi="Calibri" w:cs="Arial"/>
        </w:rPr>
      </w:pPr>
      <w:r w:rsidRPr="0004348D">
        <w:rPr>
          <w:rFonts w:ascii="Calibri" w:eastAsia="Calibri" w:hAnsi="Calibri" w:cs="Arial"/>
          <w:rtl/>
        </w:rPr>
        <w:t xml:space="preserve">רמב"ם </w:t>
      </w:r>
      <w:r w:rsidRPr="0004348D">
        <w:rPr>
          <w:rFonts w:ascii="Calibri" w:eastAsia="Calibri" w:hAnsi="Calibri" w:cs="Arial"/>
          <w:sz w:val="16"/>
          <w:szCs w:val="16"/>
          <w:rtl/>
        </w:rPr>
        <w:t xml:space="preserve">(פט"ו ממלוה ה"ו) </w:t>
      </w:r>
      <w:r w:rsidRPr="0004348D">
        <w:rPr>
          <w:rFonts w:ascii="Calibri" w:eastAsia="Calibri" w:hAnsi="Calibri" w:cs="Arial"/>
          <w:rtl/>
        </w:rPr>
        <w:t xml:space="preserve">בעל התרומות </w:t>
      </w:r>
      <w:r w:rsidRPr="0004348D">
        <w:rPr>
          <w:rFonts w:ascii="Calibri" w:eastAsia="Calibri" w:hAnsi="Calibri" w:cs="Arial"/>
          <w:sz w:val="16"/>
          <w:szCs w:val="16"/>
          <w:rtl/>
        </w:rPr>
        <w:t>(שער כז ח"א סי' ג)</w:t>
      </w:r>
      <w:r w:rsidRPr="0004348D">
        <w:rPr>
          <w:rFonts w:ascii="Calibri" w:eastAsia="Calibri" w:hAnsi="Calibri" w:cs="Arial"/>
          <w:rtl/>
        </w:rPr>
        <w:t xml:space="preserve"> וטור- אם התנה הלוה שיהא נאמן לומר פרעתי - מועיל גם גבי יורשי הלוה, שאם מת הלוה אינו גובה מיורשיו. ואין צריך לומר מן הלקוחות שאין גובין אפילו אם הלוה מודה שלא פרע דחיישינן לקנוניא </w:t>
      </w:r>
      <w:r w:rsidRPr="0004348D">
        <w:rPr>
          <w:rFonts w:ascii="Calibri" w:eastAsia="Calibri" w:hAnsi="Calibri" w:cs="Arial"/>
          <w:sz w:val="16"/>
          <w:szCs w:val="16"/>
          <w:rtl/>
        </w:rPr>
        <w:t>(ל' הטור ע"פ הרמב"ם)</w:t>
      </w:r>
      <w:r w:rsidRPr="0004348D">
        <w:rPr>
          <w:rFonts w:ascii="Calibri" w:eastAsia="Calibri" w:hAnsi="Calibri" w:cs="Arial"/>
          <w:rtl/>
        </w:rPr>
        <w:t xml:space="preserve">. </w:t>
      </w:r>
      <w:r w:rsidRPr="0004348D">
        <w:rPr>
          <w:rFonts w:ascii="Calibri" w:eastAsia="Calibri" w:hAnsi="Calibri" w:cs="Arial"/>
          <w:color w:val="E36C0A" w:themeColor="accent6" w:themeShade="BF"/>
          <w:rtl/>
        </w:rPr>
        <w:t>(וכ"פ בשו"ע)</w:t>
      </w:r>
    </w:p>
    <w:p w14:paraId="55D7D20F" w14:textId="77777777" w:rsidR="0004348D" w:rsidRPr="0004348D" w:rsidRDefault="0004348D" w:rsidP="0004348D">
      <w:pPr>
        <w:spacing w:before="360" w:after="240"/>
        <w:rPr>
          <w:rFonts w:ascii="Calibri" w:eastAsia="Calibri" w:hAnsi="Calibri" w:cs="Arial"/>
          <w:u w:val="single"/>
        </w:rPr>
      </w:pPr>
      <w:r w:rsidRPr="0004348D">
        <w:rPr>
          <w:rFonts w:ascii="Calibri" w:eastAsia="Calibri" w:hAnsi="Calibri" w:cs="Arial"/>
          <w:u w:val="single"/>
          <w:rtl/>
        </w:rPr>
        <w:t>מלוה שהאמינו ללוה כנ"ל - וטען הלוה 'פרעתי מקצתו', והמלוה טוען 'לא נפרעתי כלום':</w:t>
      </w:r>
    </w:p>
    <w:p w14:paraId="53A26BFB" w14:textId="77777777" w:rsidR="0004348D" w:rsidRPr="0004348D" w:rsidRDefault="0004348D" w:rsidP="0004348D">
      <w:pPr>
        <w:numPr>
          <w:ilvl w:val="0"/>
          <w:numId w:val="356"/>
        </w:numPr>
        <w:spacing w:before="360" w:after="240"/>
        <w:contextualSpacing/>
        <w:rPr>
          <w:rFonts w:ascii="Calibri" w:eastAsia="Calibri" w:hAnsi="Calibri" w:cs="Arial"/>
        </w:rPr>
      </w:pPr>
      <w:r w:rsidRPr="0004348D">
        <w:rPr>
          <w:rFonts w:ascii="Calibri" w:eastAsia="Calibri" w:hAnsi="Calibri" w:cs="Arial"/>
          <w:rtl/>
        </w:rPr>
        <w:t xml:space="preserve">רמב"ם </w:t>
      </w:r>
      <w:r w:rsidRPr="0004348D">
        <w:rPr>
          <w:rFonts w:ascii="Calibri" w:eastAsia="Calibri" w:hAnsi="Calibri" w:cs="Arial"/>
          <w:sz w:val="16"/>
          <w:szCs w:val="16"/>
          <w:rtl/>
        </w:rPr>
        <w:t xml:space="preserve">(שם) </w:t>
      </w:r>
      <w:r w:rsidRPr="0004348D">
        <w:rPr>
          <w:rFonts w:ascii="Calibri" w:eastAsia="Calibri" w:hAnsi="Calibri" w:cs="Arial"/>
          <w:rtl/>
        </w:rPr>
        <w:t xml:space="preserve">בעל התרומות </w:t>
      </w:r>
      <w:r w:rsidRPr="0004348D">
        <w:rPr>
          <w:rFonts w:ascii="Calibri" w:eastAsia="Calibri" w:hAnsi="Calibri" w:cs="Arial"/>
          <w:sz w:val="16"/>
          <w:szCs w:val="16"/>
          <w:rtl/>
        </w:rPr>
        <w:t>(שם)</w:t>
      </w:r>
      <w:r w:rsidRPr="0004348D">
        <w:rPr>
          <w:rFonts w:ascii="Calibri" w:eastAsia="Calibri" w:hAnsi="Calibri" w:cs="Arial"/>
          <w:rtl/>
        </w:rPr>
        <w:t xml:space="preserve"> וטור- ואם טען הלוה 'פרעתי מקצתו', והמלוה טוען 'לא נפרעתי כלום' - משלם המקצת שהודה ונשבע שבועת היסת</w:t>
      </w:r>
      <w:r w:rsidRPr="0004348D">
        <w:rPr>
          <w:rFonts w:ascii="Calibri" w:eastAsia="Calibri" w:hAnsi="Calibri" w:cs="Arial"/>
          <w:vertAlign w:val="superscript"/>
          <w:rtl/>
        </w:rPr>
        <w:footnoteReference w:id="5770"/>
      </w:r>
      <w:r w:rsidRPr="0004348D">
        <w:rPr>
          <w:rFonts w:ascii="Calibri" w:eastAsia="Calibri" w:hAnsi="Calibri" w:cs="Arial"/>
          <w:rtl/>
        </w:rPr>
        <w:t>. ואם פטרו גם משבועת היסת - אינו נשבע כלל</w:t>
      </w:r>
      <w:r w:rsidRPr="0004348D">
        <w:rPr>
          <w:rFonts w:ascii="Calibri" w:eastAsia="Calibri" w:hAnsi="Calibri" w:cs="Arial"/>
          <w:sz w:val="16"/>
          <w:szCs w:val="16"/>
          <w:rtl/>
        </w:rPr>
        <w:t xml:space="preserve"> (ל' הטור ע"פ הרמב"ם)</w:t>
      </w:r>
      <w:r w:rsidRPr="0004348D">
        <w:rPr>
          <w:rFonts w:ascii="Calibri" w:eastAsia="Calibri" w:hAnsi="Calibri" w:cs="Arial"/>
          <w:rtl/>
        </w:rPr>
        <w:t xml:space="preserve">. </w:t>
      </w:r>
      <w:r w:rsidRPr="0004348D">
        <w:rPr>
          <w:rFonts w:ascii="Calibri" w:eastAsia="Calibri" w:hAnsi="Calibri" w:cs="Arial"/>
          <w:color w:val="E36C0A" w:themeColor="accent6" w:themeShade="BF"/>
          <w:rtl/>
        </w:rPr>
        <w:t>(וכ"פ בשו"ע)</w:t>
      </w:r>
    </w:p>
    <w:bookmarkEnd w:id="824"/>
    <w:p w14:paraId="1915508E" w14:textId="77777777" w:rsidR="0004348D" w:rsidRPr="0004348D" w:rsidRDefault="0004348D" w:rsidP="0004348D">
      <w:pPr>
        <w:spacing w:before="360" w:after="240"/>
        <w:rPr>
          <w:rFonts w:ascii="Arial" w:eastAsia="Calibri" w:hAnsi="Arial" w:cs="Arial"/>
          <w:b/>
          <w:bCs/>
          <w:color w:val="000000"/>
          <w:sz w:val="28"/>
          <w:szCs w:val="28"/>
          <w:u w:val="single"/>
          <w:rtl/>
        </w:rPr>
      </w:pPr>
      <w:r w:rsidRPr="0004348D">
        <w:rPr>
          <w:rFonts w:ascii="Arial" w:eastAsia="Calibri" w:hAnsi="Arial" w:cs="Arial"/>
          <w:b/>
          <w:bCs/>
          <w:color w:val="000000"/>
          <w:sz w:val="28"/>
          <w:szCs w:val="28"/>
          <w:u w:val="single"/>
          <w:rtl/>
        </w:rPr>
        <w:t>שו"ע:</w:t>
      </w:r>
    </w:p>
    <w:p w14:paraId="61C01F4A" w14:textId="77777777" w:rsidR="0004348D" w:rsidRPr="0004348D" w:rsidRDefault="0004348D" w:rsidP="0004348D">
      <w:pPr>
        <w:spacing w:before="360" w:after="240"/>
        <w:rPr>
          <w:rFonts w:ascii="Calibri" w:eastAsia="Calibri" w:hAnsi="Calibri" w:cs="Arial"/>
          <w:rtl/>
        </w:rPr>
      </w:pPr>
      <w:r w:rsidRPr="0004348D">
        <w:rPr>
          <w:rFonts w:ascii="Calibri" w:eastAsia="Calibri" w:hAnsi="Calibri" w:cs="Arial"/>
          <w:rtl/>
        </w:rPr>
        <w:t>מלוה שהאמין ללוה שיהא נאמן על השטר לומר שהוא פרוע, מועיל נמי גבי יורשים, שאם מת המלוה ובאים יורשים לגבות מהלוה, נאמן לומר שהוא פרוע. אבל צריך לישבע שהוא פרוע, אפילו בחיי המלוה</w:t>
      </w:r>
      <w:r w:rsidRPr="0004348D">
        <w:rPr>
          <w:rFonts w:ascii="Calibri" w:eastAsia="Calibri" w:hAnsi="Calibri" w:cs="Arial"/>
          <w:vertAlign w:val="superscript"/>
          <w:rtl/>
        </w:rPr>
        <w:footnoteReference w:id="5771"/>
      </w:r>
      <w:r w:rsidRPr="0004348D">
        <w:rPr>
          <w:rFonts w:ascii="Calibri" w:eastAsia="Calibri" w:hAnsi="Calibri" w:cs="Arial"/>
          <w:rtl/>
        </w:rPr>
        <w:t>, אלא אם כן כתב לו שיהא נאמן בלא שבועה. ואין המלוה יכול לגבות בשטר זה מן היורשים</w:t>
      </w:r>
      <w:r w:rsidRPr="0004348D">
        <w:rPr>
          <w:rFonts w:ascii="Calibri" w:eastAsia="Calibri" w:hAnsi="Calibri" w:cs="Arial"/>
          <w:vertAlign w:val="superscript"/>
          <w:rtl/>
        </w:rPr>
        <w:footnoteReference w:id="5772"/>
      </w:r>
      <w:r w:rsidRPr="0004348D">
        <w:rPr>
          <w:rFonts w:ascii="Calibri" w:eastAsia="Calibri" w:hAnsi="Calibri" w:cs="Arial"/>
          <w:rtl/>
        </w:rPr>
        <w:t xml:space="preserve"> ולא מהלקוחות. אפילו אמר הלוה 'לא פרעתי', אין המלוה טורף בשטר זה מלקוחות, דחיישינן לקנוניא. ואם טען הלוה בשטר זה ואמר 'פרעתי מקצתו', והמלוה אומר 'לא פרע כלום', משלם המקצת שהודה בו ונשבע היסת. ואם התנה עליו שיהא נאמן בלא שבועת היסת, אינו נשבע כלל. </w:t>
      </w:r>
    </w:p>
    <w:p w14:paraId="227D5392" w14:textId="77777777" w:rsidR="0004348D" w:rsidRPr="0004348D" w:rsidRDefault="0004348D" w:rsidP="0004348D">
      <w:pPr>
        <w:spacing w:before="360" w:after="240"/>
        <w:rPr>
          <w:rFonts w:ascii="Calibri" w:eastAsia="Calibri" w:hAnsi="Calibri" w:cs="Arial"/>
          <w:rtl/>
        </w:rPr>
      </w:pPr>
    </w:p>
    <w:p w14:paraId="3CFBBAEA" w14:textId="77777777" w:rsidR="0004348D" w:rsidRPr="0004348D" w:rsidRDefault="0004348D" w:rsidP="0004348D">
      <w:pPr>
        <w:keepNext/>
        <w:keepLines/>
        <w:spacing w:before="360" w:after="240"/>
        <w:outlineLvl w:val="1"/>
        <w:rPr>
          <w:rFonts w:ascii="Cambria" w:eastAsia="Times New Roman" w:hAnsi="Cambria" w:cs="Arial"/>
          <w:bCs/>
          <w:color w:val="548DD4" w:themeColor="text2" w:themeTint="99"/>
          <w:sz w:val="26"/>
          <w:szCs w:val="26"/>
          <w:rtl/>
        </w:rPr>
      </w:pPr>
      <w:bookmarkStart w:id="825" w:name="_Toc24884215"/>
      <w:r w:rsidRPr="0004348D">
        <w:rPr>
          <w:rFonts w:ascii="Cambria" w:eastAsia="Times New Roman" w:hAnsi="Cambria" w:cs="Arial"/>
          <w:bCs/>
          <w:color w:val="548DD4" w:themeColor="text2" w:themeTint="99"/>
          <w:sz w:val="26"/>
          <w:szCs w:val="26"/>
          <w:rtl/>
        </w:rPr>
        <w:t>סעיף כב: מלוה שאמינו ללוה וטען הלוה 'פרעתי' בתוך הזמן. ונאמנות יורשי לוה.</w:t>
      </w:r>
      <w:bookmarkEnd w:id="825"/>
    </w:p>
    <w:p w14:paraId="203E89A9" w14:textId="77777777" w:rsidR="0004348D" w:rsidRPr="0004348D" w:rsidRDefault="0004348D" w:rsidP="0004348D">
      <w:pPr>
        <w:spacing w:before="360" w:after="240"/>
        <w:rPr>
          <w:rFonts w:ascii="Calibri" w:eastAsia="Calibri" w:hAnsi="Calibri" w:cs="Arial"/>
          <w:rtl/>
        </w:rPr>
      </w:pPr>
      <w:bookmarkStart w:id="826" w:name="_Hlk17366240"/>
      <w:r w:rsidRPr="0004348D">
        <w:rPr>
          <w:rFonts w:ascii="Calibri" w:eastAsia="Calibri" w:hAnsi="Calibri" w:cs="Arial"/>
          <w:u w:val="single"/>
          <w:rtl/>
        </w:rPr>
        <w:t>מלוה שהאמינו ללוה כנ"ל – האם נאמן הלוה לומר פרעתי בתוך הזמן:</w:t>
      </w:r>
      <w:r w:rsidRPr="0004348D">
        <w:rPr>
          <w:rFonts w:ascii="Calibri" w:eastAsia="Calibri" w:hAnsi="Calibri" w:cs="Arial"/>
          <w:rtl/>
        </w:rPr>
        <w:t xml:space="preserve"> </w:t>
      </w:r>
    </w:p>
    <w:p w14:paraId="1A33EC64" w14:textId="77777777" w:rsidR="0004348D" w:rsidRPr="0004348D" w:rsidRDefault="0004348D" w:rsidP="0004348D">
      <w:pPr>
        <w:numPr>
          <w:ilvl w:val="0"/>
          <w:numId w:val="356"/>
        </w:numPr>
        <w:spacing w:before="360" w:after="240"/>
        <w:contextualSpacing/>
        <w:rPr>
          <w:rFonts w:ascii="Calibri" w:eastAsia="Calibri" w:hAnsi="Calibri" w:cs="Arial"/>
          <w:rtl/>
        </w:rPr>
      </w:pPr>
      <w:r w:rsidRPr="0004348D">
        <w:rPr>
          <w:rFonts w:ascii="Calibri" w:eastAsia="Calibri" w:hAnsi="Calibri" w:cs="Arial"/>
          <w:rtl/>
        </w:rPr>
        <w:t xml:space="preserve">בעל התרומות </w:t>
      </w:r>
      <w:r w:rsidRPr="0004348D">
        <w:rPr>
          <w:rFonts w:ascii="Calibri" w:eastAsia="Calibri" w:hAnsi="Calibri" w:cs="Arial"/>
          <w:sz w:val="16"/>
          <w:szCs w:val="16"/>
          <w:rtl/>
        </w:rPr>
        <w:t>(שער כז ח"א סי' ה)</w:t>
      </w:r>
      <w:r w:rsidRPr="0004348D">
        <w:rPr>
          <w:rFonts w:ascii="Calibri" w:eastAsia="Calibri" w:hAnsi="Calibri" w:cs="Arial"/>
          <w:rtl/>
        </w:rPr>
        <w:t xml:space="preserve">- ונאמן לוה לומר פרעתי אפילו תוך הזמן. </w:t>
      </w:r>
      <w:r w:rsidRPr="0004348D">
        <w:rPr>
          <w:rFonts w:ascii="Calibri" w:eastAsia="Calibri" w:hAnsi="Calibri" w:cs="Arial"/>
          <w:color w:val="E36C0A" w:themeColor="accent6" w:themeShade="BF"/>
          <w:rtl/>
        </w:rPr>
        <w:t>(וכ"פ בשו"ע)</w:t>
      </w:r>
    </w:p>
    <w:p w14:paraId="5500838E" w14:textId="77777777" w:rsidR="0004348D" w:rsidRPr="0004348D" w:rsidRDefault="0004348D" w:rsidP="0004348D">
      <w:pPr>
        <w:spacing w:before="360" w:after="240"/>
        <w:ind w:left="360"/>
        <w:rPr>
          <w:rFonts w:ascii="Calibri" w:eastAsia="Calibri" w:hAnsi="Calibri" w:cs="Arial"/>
          <w:u w:val="dotted"/>
        </w:rPr>
      </w:pPr>
      <w:r w:rsidRPr="0004348D">
        <w:rPr>
          <w:rFonts w:ascii="Calibri" w:eastAsia="Calibri" w:hAnsi="Calibri" w:cs="Arial"/>
          <w:u w:val="dotted"/>
          <w:rtl/>
        </w:rPr>
        <w:t xml:space="preserve">ומה הדין אם מת הלוה בתוך הזמן – האם היורשים גם נאמנים לומר שפרע אביהם כבר בתוך הזמן: </w:t>
      </w:r>
    </w:p>
    <w:p w14:paraId="0FC3C684" w14:textId="77777777" w:rsidR="0004348D" w:rsidRPr="0004348D" w:rsidRDefault="0004348D" w:rsidP="0004348D">
      <w:pPr>
        <w:numPr>
          <w:ilvl w:val="0"/>
          <w:numId w:val="356"/>
        </w:numPr>
        <w:spacing w:before="360" w:after="240"/>
        <w:contextualSpacing/>
        <w:rPr>
          <w:rFonts w:ascii="Calibri" w:eastAsia="Calibri" w:hAnsi="Calibri" w:cs="Arial"/>
        </w:rPr>
      </w:pPr>
      <w:r w:rsidRPr="0004348D">
        <w:rPr>
          <w:rFonts w:ascii="Calibri" w:eastAsia="Calibri" w:hAnsi="Calibri" w:cs="Arial"/>
          <w:rtl/>
        </w:rPr>
        <w:t xml:space="preserve">בעל התרומות </w:t>
      </w:r>
      <w:r w:rsidRPr="0004348D">
        <w:rPr>
          <w:rFonts w:ascii="Calibri" w:eastAsia="Calibri" w:hAnsi="Calibri" w:cs="Arial"/>
          <w:sz w:val="16"/>
          <w:szCs w:val="16"/>
          <w:rtl/>
        </w:rPr>
        <w:t>(שם)</w:t>
      </w:r>
      <w:r w:rsidRPr="0004348D">
        <w:rPr>
          <w:rFonts w:ascii="Calibri" w:eastAsia="Calibri" w:hAnsi="Calibri" w:cs="Arial"/>
          <w:rtl/>
        </w:rPr>
        <w:t>- לפיכך אם מת הלוה תוך הזמן - אין גובין מהיורשים, שאנו טוענין שאביהן פרע. שאם היה קיים היה נאמן לומר שפרע אפי' תוך הזמן מכח תנאי הנאמנות, אנן נמי טענינן להו, ומיהו בשבועת היסת</w:t>
      </w:r>
      <w:r w:rsidRPr="0004348D">
        <w:rPr>
          <w:rFonts w:ascii="Calibri" w:eastAsia="Calibri" w:hAnsi="Calibri" w:cs="Arial"/>
          <w:vertAlign w:val="superscript"/>
          <w:rtl/>
        </w:rPr>
        <w:footnoteReference w:id="5773"/>
      </w:r>
      <w:r w:rsidRPr="0004348D">
        <w:rPr>
          <w:rFonts w:ascii="Calibri" w:eastAsia="Calibri" w:hAnsi="Calibri" w:cs="Arial"/>
          <w:rtl/>
        </w:rPr>
        <w:t xml:space="preserve"> דלא ידעי דלא פרע</w:t>
      </w:r>
      <w:r w:rsidRPr="0004348D">
        <w:rPr>
          <w:rFonts w:ascii="Calibri" w:eastAsia="Calibri" w:hAnsi="Calibri" w:cs="Arial"/>
          <w:vertAlign w:val="superscript"/>
          <w:rtl/>
        </w:rPr>
        <w:footnoteReference w:id="5774"/>
      </w:r>
      <w:r w:rsidRPr="0004348D">
        <w:rPr>
          <w:rFonts w:ascii="Calibri" w:eastAsia="Calibri" w:hAnsi="Calibri" w:cs="Arial"/>
          <w:rtl/>
        </w:rPr>
        <w:t xml:space="preserve">. </w:t>
      </w:r>
    </w:p>
    <w:p w14:paraId="64A366F4" w14:textId="77777777" w:rsidR="0004348D" w:rsidRPr="0004348D" w:rsidRDefault="0004348D" w:rsidP="0004348D">
      <w:pPr>
        <w:numPr>
          <w:ilvl w:val="0"/>
          <w:numId w:val="356"/>
        </w:numPr>
        <w:spacing w:before="360" w:after="240"/>
        <w:contextualSpacing/>
        <w:rPr>
          <w:rFonts w:ascii="Calibri" w:eastAsia="Calibri" w:hAnsi="Calibri" w:cs="Arial"/>
        </w:rPr>
      </w:pPr>
      <w:r w:rsidRPr="0004348D">
        <w:rPr>
          <w:rFonts w:ascii="Calibri" w:eastAsia="Calibri" w:hAnsi="Calibri" w:cs="Arial"/>
          <w:rtl/>
        </w:rPr>
        <w:t xml:space="preserve">רא"ש </w:t>
      </w:r>
      <w:r w:rsidRPr="0004348D">
        <w:rPr>
          <w:rFonts w:ascii="Calibri" w:eastAsia="Calibri" w:hAnsi="Calibri" w:cs="Arial"/>
          <w:sz w:val="16"/>
          <w:szCs w:val="16"/>
          <w:rtl/>
        </w:rPr>
        <w:t>(פ"ט סי' כא)</w:t>
      </w:r>
      <w:r w:rsidRPr="0004348D">
        <w:rPr>
          <w:rFonts w:ascii="Calibri" w:eastAsia="Calibri" w:hAnsi="Calibri" w:cs="Arial"/>
          <w:rtl/>
        </w:rPr>
        <w:t xml:space="preserve">- מת הלוה ואמרו היתומים 'אבינו אמר לנו שהוא פרוע' - אין בדבריהם כלום, שאומר המלוה 'לאביכם האמנתי כשאומר שהוא פרוע ולכם לא האמנתי ואני אומר שלא אמר אביכם מעולם כלום לכם'. אבל אם הביאו עדים שאביהם אמר לפניהם שהוא פרוע - נתבטל השטר. </w:t>
      </w:r>
      <w:r w:rsidRPr="0004348D">
        <w:rPr>
          <w:rFonts w:ascii="Calibri" w:eastAsia="Calibri" w:hAnsi="Calibri" w:cs="Arial"/>
          <w:color w:val="E36C0A" w:themeColor="accent6" w:themeShade="BF"/>
          <w:rtl/>
        </w:rPr>
        <w:t>(וכ"פ בשו"ע)</w:t>
      </w:r>
    </w:p>
    <w:bookmarkEnd w:id="826"/>
    <w:p w14:paraId="6BB196E6" w14:textId="77777777" w:rsidR="0004348D" w:rsidRPr="0004348D" w:rsidRDefault="0004348D" w:rsidP="0004348D">
      <w:pPr>
        <w:spacing w:before="360" w:after="240"/>
        <w:rPr>
          <w:rFonts w:ascii="Calibri" w:eastAsia="Calibri" w:hAnsi="Calibri" w:cs="Arial"/>
          <w:rtl/>
        </w:rPr>
      </w:pPr>
      <w:r w:rsidRPr="0004348D">
        <w:rPr>
          <w:rFonts w:ascii="Arial" w:eastAsia="Calibri" w:hAnsi="Arial" w:cs="Arial"/>
          <w:b/>
          <w:bCs/>
          <w:color w:val="000000"/>
          <w:sz w:val="28"/>
          <w:szCs w:val="28"/>
          <w:u w:val="single"/>
          <w:rtl/>
        </w:rPr>
        <w:t>שו"ע:</w:t>
      </w:r>
    </w:p>
    <w:p w14:paraId="16F6E3DA" w14:textId="77777777" w:rsidR="0004348D" w:rsidRPr="0004348D" w:rsidRDefault="0004348D" w:rsidP="0004348D">
      <w:pPr>
        <w:spacing w:before="360" w:after="240"/>
        <w:rPr>
          <w:rFonts w:ascii="Calibri" w:eastAsia="Calibri" w:hAnsi="Calibri" w:cs="Arial"/>
          <w:rtl/>
        </w:rPr>
      </w:pPr>
      <w:r w:rsidRPr="0004348D">
        <w:rPr>
          <w:rFonts w:ascii="Calibri" w:eastAsia="Calibri" w:hAnsi="Calibri" w:cs="Arial"/>
          <w:rtl/>
        </w:rPr>
        <w:t>כשהאמין המלוה ללוה שהוא נאמן על השטר לומר 'פרעתי', אפילו תוך הזמן נאמן לומר 'פרעתי'. ואם מת הלוה תוך הזמן, יש מי שאומר שאינו גובה מהיורשים, שאנו טוענין שאביהם פרע, ומיהו בחרם סתם</w:t>
      </w:r>
      <w:r w:rsidRPr="0004348D">
        <w:rPr>
          <w:rFonts w:ascii="Calibri" w:eastAsia="Calibri" w:hAnsi="Calibri" w:cs="Arial"/>
          <w:vertAlign w:val="superscript"/>
          <w:rtl/>
        </w:rPr>
        <w:footnoteReference w:id="5775"/>
      </w:r>
      <w:r w:rsidRPr="0004348D">
        <w:rPr>
          <w:rFonts w:ascii="Calibri" w:eastAsia="Calibri" w:hAnsi="Calibri" w:cs="Arial"/>
          <w:rtl/>
        </w:rPr>
        <w:t xml:space="preserve"> דלא ידעי דלא פרע. ויש מי שאומר שחייבים לפרוע</w:t>
      </w:r>
      <w:r w:rsidRPr="0004348D">
        <w:rPr>
          <w:rFonts w:ascii="Calibri" w:eastAsia="Calibri" w:hAnsi="Calibri" w:cs="Arial"/>
          <w:vertAlign w:val="superscript"/>
          <w:rtl/>
        </w:rPr>
        <w:footnoteReference w:id="5776"/>
      </w:r>
      <w:r w:rsidRPr="0004348D">
        <w:rPr>
          <w:rFonts w:ascii="Calibri" w:eastAsia="Calibri" w:hAnsi="Calibri" w:cs="Arial"/>
          <w:rtl/>
        </w:rPr>
        <w:t xml:space="preserve">, אלא אם כן הביאו עדים שאביהם אמר לפניהם שהוא פרוע. </w:t>
      </w:r>
    </w:p>
    <w:p w14:paraId="188FE40F" w14:textId="77777777" w:rsidR="0004348D" w:rsidRPr="0004348D" w:rsidRDefault="0004348D" w:rsidP="0004348D">
      <w:pPr>
        <w:spacing w:before="360" w:after="240"/>
        <w:rPr>
          <w:rFonts w:ascii="Calibri" w:eastAsia="Calibri" w:hAnsi="Calibri" w:cs="Arial"/>
          <w:rtl/>
        </w:rPr>
      </w:pPr>
    </w:p>
    <w:p w14:paraId="632CE053" w14:textId="77777777" w:rsidR="0004348D" w:rsidRPr="0004348D" w:rsidRDefault="0004348D" w:rsidP="0004348D">
      <w:pPr>
        <w:keepNext/>
        <w:keepLines/>
        <w:spacing w:before="360" w:after="240"/>
        <w:outlineLvl w:val="1"/>
        <w:rPr>
          <w:rFonts w:ascii="Cambria" w:eastAsia="Times New Roman" w:hAnsi="Cambria" w:cs="Arial"/>
          <w:bCs/>
          <w:color w:val="548DD4" w:themeColor="text2" w:themeTint="99"/>
          <w:sz w:val="26"/>
          <w:szCs w:val="26"/>
          <w:rtl/>
        </w:rPr>
      </w:pPr>
      <w:bookmarkStart w:id="827" w:name="_Toc24884216"/>
      <w:r w:rsidRPr="0004348D">
        <w:rPr>
          <w:rFonts w:ascii="Cambria" w:eastAsia="Times New Roman" w:hAnsi="Cambria" w:cs="Arial"/>
          <w:bCs/>
          <w:color w:val="548DD4" w:themeColor="text2" w:themeTint="99"/>
          <w:sz w:val="26"/>
          <w:szCs w:val="26"/>
          <w:rtl/>
        </w:rPr>
        <w:t>סעיף כג: שטר שכתוב בו 'נתחייב פלוני לפלוני או לפלוני' והאמין למוציא השטר.</w:t>
      </w:r>
      <w:bookmarkEnd w:id="827"/>
    </w:p>
    <w:p w14:paraId="4BA6B7ED" w14:textId="77777777" w:rsidR="0004348D" w:rsidRPr="0004348D" w:rsidRDefault="0004348D" w:rsidP="0004348D">
      <w:pPr>
        <w:spacing w:before="360" w:after="240"/>
        <w:rPr>
          <w:rFonts w:ascii="Calibri" w:eastAsia="Calibri" w:hAnsi="Calibri" w:cs="Arial"/>
          <w:rtl/>
        </w:rPr>
      </w:pPr>
      <w:r w:rsidRPr="0004348D">
        <w:rPr>
          <w:rFonts w:ascii="Calibri" w:eastAsia="Calibri" w:hAnsi="Calibri" w:cs="Arial"/>
          <w:u w:val="single"/>
          <w:rtl/>
        </w:rPr>
        <w:t>שטר שכתוב בו 'נתחייב פלוני לפלוני או לפלוני' והאמין למוציא השטר, וא' מהם הוציא השטר, וטען הלוה שפרע לשני:</w:t>
      </w:r>
      <w:r w:rsidRPr="0004348D">
        <w:rPr>
          <w:rFonts w:ascii="Calibri" w:eastAsia="Calibri" w:hAnsi="Calibri" w:cs="Arial"/>
          <w:rtl/>
        </w:rPr>
        <w:t xml:space="preserve"> </w:t>
      </w:r>
    </w:p>
    <w:p w14:paraId="55EAEEE4" w14:textId="77777777" w:rsidR="0004348D" w:rsidRPr="0004348D" w:rsidRDefault="0004348D" w:rsidP="00992A87">
      <w:pPr>
        <w:numPr>
          <w:ilvl w:val="0"/>
          <w:numId w:val="367"/>
        </w:numPr>
        <w:spacing w:before="360" w:after="240"/>
        <w:contextualSpacing/>
        <w:rPr>
          <w:rFonts w:ascii="Calibri" w:eastAsia="Calibri" w:hAnsi="Calibri" w:cs="Arial"/>
          <w:rtl/>
        </w:rPr>
      </w:pPr>
      <w:r w:rsidRPr="0004348D">
        <w:rPr>
          <w:rFonts w:ascii="Calibri" w:eastAsia="Calibri" w:hAnsi="Calibri" w:cs="Arial"/>
          <w:rtl/>
        </w:rPr>
        <w:t xml:space="preserve">רא"ש </w:t>
      </w:r>
      <w:r w:rsidRPr="0004348D">
        <w:rPr>
          <w:rFonts w:ascii="Calibri" w:eastAsia="Calibri" w:hAnsi="Calibri" w:cs="Arial"/>
          <w:sz w:val="16"/>
          <w:szCs w:val="16"/>
          <w:rtl/>
        </w:rPr>
        <w:t>(כלל סח סי' ו)</w:t>
      </w:r>
      <w:r w:rsidRPr="0004348D">
        <w:rPr>
          <w:rFonts w:ascii="Calibri" w:eastAsia="Calibri" w:hAnsi="Calibri" w:cs="Arial"/>
          <w:rtl/>
        </w:rPr>
        <w:t>- ששאלת, שטר שכתוב בו 'נתחייב פלוני לפלוני או לפלוני' והאמין למוציא השטר. ואחד מהם הוציא השטר. וטוען הלוה שפרע לחבירו. וחבירו מודה לו - כיון שהאמין למוציא את השטר לאו כל כמיניה לומר שפרע כל זמן שזה מוציא השטר. ואם היו שותפין בחוב, כיון שאחד מהם מודה שנפרע, אם יש לו נכסים למודה - ב"ד יורדין לנכסיו ופורעים לחבירו חלקו. ואם אין לו נכסים - לא מהימן להפסיד, כיון שהשטר בידו, אבל על חלקו הוא נאמן וב"ד מגבין לאחר חלקו</w:t>
      </w:r>
      <w:r w:rsidRPr="0004348D">
        <w:rPr>
          <w:rFonts w:ascii="Calibri" w:eastAsia="Calibri" w:hAnsi="Calibri" w:cs="Arial"/>
          <w:vertAlign w:val="superscript"/>
          <w:rtl/>
        </w:rPr>
        <w:footnoteReference w:id="5777"/>
      </w:r>
      <w:r w:rsidRPr="0004348D">
        <w:rPr>
          <w:rFonts w:ascii="Calibri" w:eastAsia="Calibri" w:hAnsi="Calibri" w:cs="Arial"/>
          <w:rtl/>
        </w:rPr>
        <w:t xml:space="preserve">. </w:t>
      </w:r>
      <w:r w:rsidRPr="0004348D">
        <w:rPr>
          <w:rFonts w:ascii="Calibri" w:eastAsia="Calibri" w:hAnsi="Calibri" w:cs="Arial"/>
          <w:color w:val="E36C0A" w:themeColor="accent6" w:themeShade="BF"/>
          <w:rtl/>
        </w:rPr>
        <w:t>(וכ"פ בשו"ע)</w:t>
      </w:r>
    </w:p>
    <w:p w14:paraId="30DB7AF8" w14:textId="77777777" w:rsidR="0004348D" w:rsidRPr="0004348D" w:rsidRDefault="0004348D" w:rsidP="0004348D">
      <w:pPr>
        <w:spacing w:before="360" w:after="240"/>
        <w:rPr>
          <w:rFonts w:ascii="Calibri" w:eastAsia="Calibri" w:hAnsi="Calibri" w:cs="Arial"/>
          <w:u w:val="single"/>
          <w:rtl/>
        </w:rPr>
      </w:pPr>
      <w:r w:rsidRPr="0004348D">
        <w:rPr>
          <w:rFonts w:ascii="Calibri" w:eastAsia="Calibri" w:hAnsi="Calibri" w:cs="Arial"/>
          <w:u w:val="single"/>
          <w:rtl/>
        </w:rPr>
        <w:t>שטר שכתוב בו שיפרע לזמנים ידועים, בכל זמן דבר ידוע - האם נאמן לומר פרעתי בכל זמן:</w:t>
      </w:r>
    </w:p>
    <w:p w14:paraId="6F094346" w14:textId="77777777" w:rsidR="0004348D" w:rsidRPr="0004348D" w:rsidRDefault="0004348D" w:rsidP="00992A87">
      <w:pPr>
        <w:numPr>
          <w:ilvl w:val="0"/>
          <w:numId w:val="367"/>
        </w:numPr>
        <w:spacing w:before="360" w:after="240"/>
        <w:contextualSpacing/>
        <w:rPr>
          <w:rFonts w:ascii="Calibri" w:eastAsia="Calibri" w:hAnsi="Calibri" w:cs="Arial"/>
          <w:rtl/>
        </w:rPr>
      </w:pPr>
      <w:r w:rsidRPr="0004348D">
        <w:rPr>
          <w:rFonts w:ascii="Calibri" w:eastAsia="Calibri" w:hAnsi="Calibri" w:cs="Arial"/>
          <w:rtl/>
        </w:rPr>
        <w:t xml:space="preserve">רי"ו </w:t>
      </w:r>
      <w:r w:rsidRPr="0004348D">
        <w:rPr>
          <w:rFonts w:ascii="Calibri" w:eastAsia="Calibri" w:hAnsi="Calibri" w:cs="Arial"/>
          <w:sz w:val="16"/>
          <w:szCs w:val="16"/>
          <w:rtl/>
        </w:rPr>
        <w:t>(מישרים נ"ו ח"ט בסופו)</w:t>
      </w:r>
      <w:r w:rsidRPr="0004348D">
        <w:rPr>
          <w:rFonts w:ascii="Calibri" w:eastAsia="Calibri" w:hAnsi="Calibri" w:cs="Arial"/>
          <w:rtl/>
        </w:rPr>
        <w:t>- שטר שכתוב בו שיפרע לזמנים ידועים, בכל זמן דבר ידוע, אפילו אין בו נאמנות</w:t>
      </w:r>
      <w:r w:rsidRPr="0004348D">
        <w:rPr>
          <w:rFonts w:ascii="Calibri" w:eastAsia="Calibri" w:hAnsi="Calibri" w:cs="Arial"/>
          <w:sz w:val="16"/>
          <w:szCs w:val="16"/>
          <w:rtl/>
        </w:rPr>
        <w:t xml:space="preserve"> {למלוה}</w:t>
      </w:r>
      <w:r w:rsidRPr="0004348D">
        <w:rPr>
          <w:rFonts w:ascii="Calibri" w:eastAsia="Calibri" w:hAnsi="Calibri" w:cs="Arial"/>
          <w:rtl/>
        </w:rPr>
        <w:t xml:space="preserve"> - אינו נאמן לומר פרעתי בכל זמן, כי היה לו לכתוב מחילה מכל זמן או להחליף השטר ואיהו דאפסיד נפשיה. כך כתב הרשב"א בתשובה.</w:t>
      </w:r>
    </w:p>
    <w:p w14:paraId="5166C3B3" w14:textId="77777777" w:rsidR="0004348D" w:rsidRPr="0004348D" w:rsidRDefault="0004348D" w:rsidP="0004348D">
      <w:pPr>
        <w:spacing w:before="360" w:after="240"/>
        <w:rPr>
          <w:rFonts w:ascii="Arial" w:eastAsia="Calibri" w:hAnsi="Arial" w:cs="Arial"/>
          <w:b/>
          <w:bCs/>
          <w:color w:val="000000"/>
          <w:sz w:val="28"/>
          <w:szCs w:val="28"/>
          <w:u w:val="single"/>
        </w:rPr>
      </w:pPr>
      <w:r w:rsidRPr="0004348D">
        <w:rPr>
          <w:rFonts w:ascii="Arial" w:eastAsia="Calibri" w:hAnsi="Arial" w:cs="Arial"/>
          <w:b/>
          <w:bCs/>
          <w:color w:val="000000"/>
          <w:sz w:val="28"/>
          <w:szCs w:val="28"/>
          <w:u w:val="single"/>
          <w:rtl/>
        </w:rPr>
        <w:t>שו"ע:</w:t>
      </w:r>
    </w:p>
    <w:p w14:paraId="6E6E79D3" w14:textId="77777777" w:rsidR="0004348D" w:rsidRPr="0004348D" w:rsidRDefault="0004348D" w:rsidP="0004348D">
      <w:pPr>
        <w:spacing w:before="360" w:after="240"/>
        <w:rPr>
          <w:rFonts w:ascii="Calibri" w:eastAsia="Calibri" w:hAnsi="Calibri" w:cs="Arial"/>
          <w:rtl/>
        </w:rPr>
      </w:pPr>
      <w:r w:rsidRPr="0004348D">
        <w:rPr>
          <w:rFonts w:ascii="Calibri" w:eastAsia="Calibri" w:hAnsi="Calibri" w:cs="Arial"/>
          <w:rtl/>
        </w:rPr>
        <w:t xml:space="preserve">שטר שכתוב בו 'נתחייב פלוני לפלוני </w:t>
      </w:r>
      <w:r w:rsidRPr="0004348D">
        <w:rPr>
          <w:rFonts w:ascii="Calibri" w:eastAsia="Calibri" w:hAnsi="Calibri" w:cs="Arial"/>
          <w:vertAlign w:val="superscript"/>
          <w:rtl/>
        </w:rPr>
        <w:footnoteReference w:id="5778"/>
      </w:r>
      <w:r w:rsidRPr="0004348D">
        <w:rPr>
          <w:rFonts w:ascii="Calibri" w:eastAsia="Calibri" w:hAnsi="Calibri" w:cs="Arial"/>
          <w:rtl/>
        </w:rPr>
        <w:t>או לפלוני' והאמין למוציא השטר, ואחד מהם הוציא השטר, וטוען הלוה שפרע לחבירו, וחבירו מודה לו, כיון שהאמין למוציא השטר לאו כל כמיניה</w:t>
      </w:r>
      <w:r w:rsidRPr="0004348D">
        <w:rPr>
          <w:rFonts w:ascii="Calibri" w:eastAsia="Calibri" w:hAnsi="Calibri" w:cs="Arial"/>
          <w:vertAlign w:val="superscript"/>
          <w:rtl/>
        </w:rPr>
        <w:footnoteReference w:id="5779"/>
      </w:r>
      <w:r w:rsidRPr="0004348D">
        <w:rPr>
          <w:rFonts w:ascii="Calibri" w:eastAsia="Calibri" w:hAnsi="Calibri" w:cs="Arial"/>
          <w:rtl/>
        </w:rPr>
        <w:t xml:space="preserve"> לומר שפרע כל זמן שזה הוציא השטר. ואם היו שותפים בחוב, כיון שאחד מהם מודה שנפרע, אם יש נכסים למודה בית דין יורדים לנכסיו ופורעים לחבירו חלקו</w:t>
      </w:r>
      <w:r w:rsidRPr="0004348D">
        <w:rPr>
          <w:rFonts w:ascii="Calibri" w:eastAsia="Calibri" w:hAnsi="Calibri" w:cs="Arial"/>
          <w:vertAlign w:val="superscript"/>
          <w:rtl/>
        </w:rPr>
        <w:footnoteReference w:id="5780"/>
      </w:r>
      <w:r w:rsidRPr="0004348D">
        <w:rPr>
          <w:rFonts w:ascii="Calibri" w:eastAsia="Calibri" w:hAnsi="Calibri" w:cs="Arial"/>
          <w:rtl/>
        </w:rPr>
        <w:t>. ואם אין לו נכסים למודה, אינו נאמן להפסיד לחבירו, כיון שהשטר בידו. אבל על חלקו הוא נאמן, ובית דין מגבין לאחר חלקו.</w:t>
      </w:r>
    </w:p>
    <w:p w14:paraId="1F447EA7" w14:textId="77777777" w:rsidR="0004348D" w:rsidRPr="0004348D" w:rsidRDefault="0004348D" w:rsidP="0004348D">
      <w:pPr>
        <w:spacing w:before="360" w:after="240"/>
        <w:rPr>
          <w:rFonts w:ascii="Calibri" w:eastAsia="Calibri" w:hAnsi="Calibri" w:cs="Arial"/>
          <w:rtl/>
        </w:rPr>
      </w:pPr>
    </w:p>
    <w:p w14:paraId="21BB8ED5" w14:textId="77777777" w:rsidR="0004348D" w:rsidRPr="0004348D" w:rsidRDefault="0004348D" w:rsidP="0004348D">
      <w:pPr>
        <w:bidi w:val="0"/>
        <w:spacing w:before="360" w:after="240"/>
        <w:rPr>
          <w:rFonts w:ascii="Cambria" w:eastAsia="Times New Roman" w:hAnsi="Cambria" w:cs="Arial"/>
          <w:b/>
          <w:bCs/>
          <w:color w:val="365F91" w:themeColor="accent1" w:themeShade="BF"/>
          <w:sz w:val="28"/>
          <w:szCs w:val="28"/>
          <w:rtl/>
        </w:rPr>
        <w:sectPr w:rsidR="0004348D" w:rsidRPr="0004348D">
          <w:headerReference w:type="default" r:id="rId80"/>
          <w:footnotePr>
            <w:numRestart w:val="eachPage"/>
          </w:footnotePr>
          <w:pgSz w:w="11906" w:h="16838"/>
          <w:pgMar w:top="720" w:right="1134" w:bottom="720" w:left="1134" w:header="0" w:footer="0" w:gutter="0"/>
          <w:cols w:space="720"/>
          <w:bidi/>
          <w:rtlGutter/>
        </w:sectPr>
      </w:pPr>
    </w:p>
    <w:p w14:paraId="336343C4" w14:textId="77777777" w:rsidR="0004348D" w:rsidRPr="0004348D" w:rsidRDefault="0004348D" w:rsidP="0004348D">
      <w:pPr>
        <w:keepNext/>
        <w:keepLines/>
        <w:spacing w:before="360" w:after="240"/>
        <w:outlineLvl w:val="0"/>
        <w:rPr>
          <w:rFonts w:ascii="Cambria" w:eastAsia="Times New Roman" w:hAnsi="Cambria" w:cs="Arial"/>
          <w:b/>
          <w:bCs/>
          <w:color w:val="365F91" w:themeColor="accent1" w:themeShade="BF"/>
          <w:sz w:val="28"/>
          <w:szCs w:val="28"/>
          <w:rtl/>
        </w:rPr>
      </w:pPr>
      <w:bookmarkStart w:id="828" w:name="_Toc24884217"/>
      <w:r w:rsidRPr="0004348D">
        <w:rPr>
          <w:rFonts w:ascii="Cambria" w:eastAsia="Times New Roman" w:hAnsi="Cambria" w:cs="Arial"/>
          <w:b/>
          <w:bCs/>
          <w:color w:val="365F91" w:themeColor="accent1" w:themeShade="BF"/>
          <w:sz w:val="28"/>
          <w:szCs w:val="28"/>
          <w:rtl/>
        </w:rPr>
        <w:t>סימן עב: המלוה על המשכון, והרבה דיני משכונות, ובו מ"ה סעיפים.</w:t>
      </w:r>
      <w:bookmarkEnd w:id="828"/>
      <w:r w:rsidRPr="0004348D">
        <w:rPr>
          <w:rFonts w:ascii="Cambria" w:eastAsia="Times New Roman" w:hAnsi="Cambria" w:cs="Arial"/>
          <w:b/>
          <w:bCs/>
          <w:color w:val="365F91" w:themeColor="accent1" w:themeShade="BF"/>
          <w:sz w:val="28"/>
          <w:szCs w:val="28"/>
          <w:rtl/>
        </w:rPr>
        <w:t xml:space="preserve"> </w:t>
      </w:r>
    </w:p>
    <w:p w14:paraId="022B8D80" w14:textId="77777777" w:rsidR="0004348D" w:rsidRPr="0004348D" w:rsidRDefault="0004348D" w:rsidP="0004348D">
      <w:pPr>
        <w:keepNext/>
        <w:keepLines/>
        <w:spacing w:before="360" w:after="240"/>
        <w:outlineLvl w:val="1"/>
        <w:rPr>
          <w:rFonts w:ascii="Cambria" w:eastAsia="Times New Roman" w:hAnsi="Cambria" w:cs="Arial"/>
          <w:bCs/>
          <w:color w:val="548DD4" w:themeColor="text2" w:themeTint="99"/>
          <w:sz w:val="26"/>
          <w:szCs w:val="26"/>
          <w:rtl/>
        </w:rPr>
      </w:pPr>
      <w:bookmarkStart w:id="829" w:name="_Toc24884218"/>
      <w:r w:rsidRPr="0004348D">
        <w:rPr>
          <w:rFonts w:ascii="Cambria" w:eastAsia="Times New Roman" w:hAnsi="Cambria" w:cs="Arial"/>
          <w:bCs/>
          <w:color w:val="548DD4" w:themeColor="text2" w:themeTint="99"/>
          <w:sz w:val="26"/>
          <w:szCs w:val="26"/>
          <w:rtl/>
        </w:rPr>
        <w:t>סעיף א: שימוש במשכון. השכרת משכון.</w:t>
      </w:r>
      <w:bookmarkEnd w:id="829"/>
    </w:p>
    <w:p w14:paraId="5BE00C10" w14:textId="77777777" w:rsidR="0004348D" w:rsidRPr="0004348D" w:rsidRDefault="0004348D" w:rsidP="0004348D">
      <w:pPr>
        <w:spacing w:before="360" w:after="240"/>
        <w:rPr>
          <w:rFonts w:ascii="Calibri" w:eastAsia="Calibri" w:hAnsi="Calibri" w:cs="Arial"/>
          <w:u w:val="single"/>
          <w:rtl/>
        </w:rPr>
      </w:pPr>
      <w:r w:rsidRPr="0004348D">
        <w:rPr>
          <w:rFonts w:ascii="Calibri" w:eastAsia="Calibri" w:hAnsi="Calibri" w:cs="Arial"/>
          <w:u w:val="single"/>
          <w:rtl/>
        </w:rPr>
        <w:t>מלוה שיש בידו משכון – האם מותר להשתמש בו:</w:t>
      </w:r>
    </w:p>
    <w:p w14:paraId="3D3BB43B" w14:textId="77777777" w:rsidR="0004348D" w:rsidRPr="0004348D" w:rsidRDefault="0004348D" w:rsidP="00992A87">
      <w:pPr>
        <w:numPr>
          <w:ilvl w:val="0"/>
          <w:numId w:val="367"/>
        </w:numPr>
        <w:spacing w:before="360" w:after="240"/>
        <w:contextualSpacing/>
        <w:rPr>
          <w:rFonts w:ascii="Calibri" w:eastAsia="Calibri" w:hAnsi="Calibri" w:cs="Arial"/>
          <w:rtl/>
        </w:rPr>
      </w:pPr>
      <w:r w:rsidRPr="0004348D">
        <w:rPr>
          <w:rFonts w:ascii="Calibri" w:eastAsia="Calibri" w:hAnsi="Calibri" w:cs="Arial"/>
          <w:rtl/>
        </w:rPr>
        <w:t>טור- המלוה לחבירו על המשכון - צריך ליזהר שלא ישתמש בו, מפני שהוא כמו רבית.</w:t>
      </w:r>
      <w:r w:rsidRPr="0004348D">
        <w:rPr>
          <w:rFonts w:ascii="Calibri" w:eastAsia="Calibri" w:hAnsi="Calibri" w:cs="Arial"/>
          <w:color w:val="E36C0A" w:themeColor="accent6" w:themeShade="BF"/>
          <w:rtl/>
        </w:rPr>
        <w:t xml:space="preserve"> (וכ"פ בשו"ע)</w:t>
      </w:r>
    </w:p>
    <w:p w14:paraId="367E13ED" w14:textId="77777777" w:rsidR="0004348D" w:rsidRPr="0004348D" w:rsidRDefault="0004348D" w:rsidP="0004348D">
      <w:pPr>
        <w:spacing w:before="360" w:after="240"/>
        <w:rPr>
          <w:rFonts w:ascii="Calibri" w:eastAsia="Calibri" w:hAnsi="Calibri" w:cs="Arial"/>
        </w:rPr>
      </w:pPr>
      <w:r w:rsidRPr="0004348D">
        <w:rPr>
          <w:rFonts w:ascii="Calibri" w:eastAsia="Calibri" w:hAnsi="Calibri" w:cs="Arial"/>
          <w:b/>
          <w:bCs/>
          <w:rtl/>
        </w:rPr>
        <w:t xml:space="preserve">בבא מציעא </w:t>
      </w:r>
      <w:r w:rsidRPr="0004348D">
        <w:rPr>
          <w:rFonts w:ascii="Calibri" w:eastAsia="Calibri" w:hAnsi="Calibri" w:cs="Arial"/>
          <w:b/>
          <w:bCs/>
          <w:sz w:val="16"/>
          <w:szCs w:val="16"/>
          <w:rtl/>
        </w:rPr>
        <w:t xml:space="preserve">(ס"פ האומנים) </w:t>
      </w:r>
      <w:r w:rsidRPr="0004348D">
        <w:rPr>
          <w:rFonts w:ascii="Calibri" w:eastAsia="Calibri" w:hAnsi="Calibri" w:cs="Arial"/>
          <w:b/>
          <w:bCs/>
          <w:rtl/>
        </w:rPr>
        <w:t>פ</w:t>
      </w:r>
      <w:r w:rsidRPr="0004348D">
        <w:rPr>
          <w:rFonts w:ascii="Calibri" w:eastAsia="Calibri" w:hAnsi="Calibri" w:cs="Arial"/>
          <w:b/>
          <w:bCs/>
          <w:vertAlign w:val="superscript"/>
          <w:rtl/>
        </w:rPr>
        <w:footnoteReference w:id="5781"/>
      </w:r>
      <w:r w:rsidRPr="0004348D">
        <w:rPr>
          <w:rFonts w:ascii="Calibri" w:eastAsia="Calibri" w:hAnsi="Calibri" w:cs="Arial"/>
          <w:b/>
          <w:bCs/>
          <w:rtl/>
        </w:rPr>
        <w:t xml:space="preserve"> ע"ב: </w:t>
      </w:r>
      <w:r w:rsidRPr="0004348D">
        <w:rPr>
          <w:rFonts w:ascii="Calibri" w:eastAsia="Calibri" w:hAnsi="Calibri" w:cs="Arial"/>
          <w:u w:val="double"/>
          <w:rtl/>
        </w:rPr>
        <w:t>משנה</w:t>
      </w:r>
      <w:r w:rsidRPr="0004348D">
        <w:rPr>
          <w:rFonts w:ascii="Calibri" w:eastAsia="Calibri" w:hAnsi="Calibri" w:cs="Arial"/>
          <w:rtl/>
        </w:rPr>
        <w:t xml:space="preserve">: </w:t>
      </w:r>
      <w:r w:rsidRPr="0004348D">
        <w:rPr>
          <w:rFonts w:ascii="Calibri" w:eastAsia="Calibri" w:hAnsi="Calibri" w:cs="Arial"/>
          <w:u w:val="single"/>
          <w:rtl/>
        </w:rPr>
        <w:t>אבא שאול אומר</w:t>
      </w:r>
      <w:r w:rsidRPr="0004348D">
        <w:rPr>
          <w:rFonts w:ascii="Calibri" w:eastAsia="Calibri" w:hAnsi="Calibri" w:cs="Arial"/>
          <w:rtl/>
        </w:rPr>
        <w:t xml:space="preserve">: רשאי אדם להשכיר משכונו של עני להיות פוסק והולך עליו, מפני שהוא כמשיב אבידה.     </w:t>
      </w:r>
      <w:r w:rsidRPr="0004348D">
        <w:rPr>
          <w:rFonts w:ascii="Calibri" w:eastAsia="Calibri" w:hAnsi="Calibri" w:cs="Arial"/>
          <w:u w:val="double"/>
          <w:rtl/>
        </w:rPr>
        <w:t xml:space="preserve">גמרא </w:t>
      </w:r>
      <w:r w:rsidRPr="0004348D">
        <w:rPr>
          <w:rFonts w:ascii="Calibri" w:eastAsia="Calibri" w:hAnsi="Calibri" w:cs="Arial"/>
          <w:sz w:val="14"/>
          <w:szCs w:val="14"/>
          <w:u w:val="double"/>
          <w:rtl/>
        </w:rPr>
        <w:t>(פב:)</w:t>
      </w:r>
      <w:r w:rsidRPr="0004348D">
        <w:rPr>
          <w:rFonts w:ascii="Calibri" w:eastAsia="Calibri" w:hAnsi="Calibri" w:cs="Arial"/>
          <w:u w:val="double"/>
          <w:rtl/>
        </w:rPr>
        <w:t>:</w:t>
      </w:r>
      <w:r w:rsidRPr="0004348D">
        <w:rPr>
          <w:rFonts w:ascii="Calibri" w:eastAsia="Calibri" w:hAnsi="Calibri" w:cs="Arial"/>
          <w:rtl/>
        </w:rPr>
        <w:t xml:space="preserve"> </w:t>
      </w:r>
      <w:r w:rsidRPr="0004348D">
        <w:rPr>
          <w:rFonts w:ascii="Calibri" w:eastAsia="Calibri" w:hAnsi="Calibri" w:cs="Arial"/>
          <w:u w:val="single"/>
          <w:rtl/>
        </w:rPr>
        <w:t>אמר רב חנן בר אמי אמר שמואל</w:t>
      </w:r>
      <w:r w:rsidRPr="0004348D">
        <w:rPr>
          <w:rFonts w:ascii="Calibri" w:eastAsia="Calibri" w:hAnsi="Calibri" w:cs="Arial"/>
          <w:rtl/>
        </w:rPr>
        <w:t>: הלכה כאבא שאול. ואף אבא שאול לא אמר אלא במרא ופסל וקרדום, הואיל ונפיש אגרייהו וזוטר פחתייהו.</w:t>
      </w:r>
    </w:p>
    <w:p w14:paraId="1DCF326F" w14:textId="77777777" w:rsidR="0004348D" w:rsidRPr="0004348D" w:rsidRDefault="0004348D" w:rsidP="0004348D">
      <w:pPr>
        <w:spacing w:before="360" w:after="240"/>
        <w:rPr>
          <w:rFonts w:ascii="Calibri" w:eastAsia="Calibri" w:hAnsi="Calibri" w:cs="Arial"/>
          <w:u w:val="single"/>
        </w:rPr>
      </w:pPr>
      <w:r w:rsidRPr="0004348D">
        <w:rPr>
          <w:rFonts w:ascii="Calibri" w:eastAsia="Calibri" w:hAnsi="Calibri" w:cs="Arial"/>
          <w:u w:val="single"/>
          <w:rtl/>
        </w:rPr>
        <w:t>האם מלוה יכול להשתמש במשכון וינכה ללוה דמי השכירות מחובו:</w:t>
      </w:r>
    </w:p>
    <w:p w14:paraId="30CE7CCE" w14:textId="77777777" w:rsidR="0004348D" w:rsidRPr="0004348D" w:rsidRDefault="0004348D" w:rsidP="00992A87">
      <w:pPr>
        <w:numPr>
          <w:ilvl w:val="0"/>
          <w:numId w:val="367"/>
        </w:numPr>
        <w:spacing w:before="360" w:after="240"/>
        <w:contextualSpacing/>
        <w:rPr>
          <w:rFonts w:ascii="Calibri" w:eastAsia="Calibri" w:hAnsi="Calibri" w:cs="Arial"/>
        </w:rPr>
      </w:pPr>
      <w:r w:rsidRPr="0004348D">
        <w:rPr>
          <w:rFonts w:ascii="Calibri" w:eastAsia="Calibri" w:hAnsi="Calibri" w:cs="Arial"/>
          <w:rtl/>
        </w:rPr>
        <w:t>טור- אם הלוה לעני על מרא ופסל וקורדום וכיוצא בו ששכרו מרובה ואינו נפחת אלא מעט - יכול להשכירו ולנכות לו דמי השכירות בחובו, אבל בדברים אחרים שתשמישן מרובה - לא. ויראה</w:t>
      </w:r>
      <w:r w:rsidRPr="0004348D">
        <w:rPr>
          <w:rFonts w:ascii="Calibri" w:eastAsia="Calibri" w:hAnsi="Calibri" w:cs="Arial"/>
          <w:vertAlign w:val="superscript"/>
          <w:rtl/>
        </w:rPr>
        <w:footnoteReference w:id="5782"/>
      </w:r>
      <w:r w:rsidRPr="0004348D">
        <w:rPr>
          <w:rFonts w:ascii="Calibri" w:eastAsia="Calibri" w:hAnsi="Calibri" w:cs="Arial"/>
          <w:rtl/>
        </w:rPr>
        <w:t xml:space="preserve"> דאפילו במרא וקורדום - דוקא לאחרים יכול להשכירם, אבל הוא - לא ישתמש בהן וינכה לו בחובו, משום חשדא, כדרך שאמרו פורטין לאחרים ואין פורטין לעצמן. </w:t>
      </w:r>
      <w:r w:rsidRPr="0004348D">
        <w:rPr>
          <w:rFonts w:ascii="Calibri" w:eastAsia="Calibri" w:hAnsi="Calibri" w:cs="Arial"/>
          <w:color w:val="E36C0A" w:themeColor="accent6" w:themeShade="BF"/>
          <w:rtl/>
        </w:rPr>
        <w:t>(וכ"פ בשו"ע)</w:t>
      </w:r>
      <w:r w:rsidRPr="0004348D">
        <w:rPr>
          <w:rFonts w:ascii="Calibri" w:eastAsia="Calibri" w:hAnsi="Calibri" w:cs="Arial"/>
          <w:color w:val="00B0F0"/>
          <w:rtl/>
        </w:rPr>
        <w:t>(וכ"פ הרמ"א)</w:t>
      </w:r>
    </w:p>
    <w:p w14:paraId="7C96B250" w14:textId="77777777" w:rsidR="0004348D" w:rsidRPr="0004348D" w:rsidRDefault="0004348D" w:rsidP="0004348D">
      <w:pPr>
        <w:spacing w:before="360" w:after="240"/>
        <w:rPr>
          <w:rFonts w:ascii="Calibri" w:eastAsia="Calibri" w:hAnsi="Calibri" w:cs="Arial"/>
          <w:u w:val="single"/>
        </w:rPr>
      </w:pPr>
      <w:r w:rsidRPr="0004348D">
        <w:rPr>
          <w:rFonts w:ascii="Calibri" w:eastAsia="Calibri" w:hAnsi="Calibri" w:cs="Arial"/>
          <w:u w:val="single"/>
          <w:rtl/>
        </w:rPr>
        <w:t>המלוה את חברו על המשכון – מה הדין אם פרעו לוה ואח"כ נאבד המשכון, מי הוי שומר שכר או לא:</w:t>
      </w:r>
    </w:p>
    <w:p w14:paraId="3C43B234" w14:textId="77777777" w:rsidR="0004348D" w:rsidRPr="0004348D" w:rsidRDefault="0004348D" w:rsidP="00992A87">
      <w:pPr>
        <w:numPr>
          <w:ilvl w:val="0"/>
          <w:numId w:val="367"/>
        </w:numPr>
        <w:spacing w:before="360" w:after="240"/>
        <w:contextualSpacing/>
        <w:rPr>
          <w:rFonts w:ascii="Calibri" w:eastAsia="Calibri" w:hAnsi="Calibri" w:cs="Arial"/>
        </w:rPr>
      </w:pPr>
      <w:r w:rsidRPr="0004348D">
        <w:rPr>
          <w:rFonts w:ascii="Calibri" w:eastAsia="Calibri" w:hAnsi="Calibri" w:cs="Arial"/>
          <w:rtl/>
        </w:rPr>
        <w:t xml:space="preserve">רשב"א </w:t>
      </w:r>
      <w:r w:rsidRPr="0004348D">
        <w:rPr>
          <w:rFonts w:ascii="Calibri" w:eastAsia="Calibri" w:hAnsi="Calibri" w:cs="Arial"/>
          <w:sz w:val="16"/>
          <w:szCs w:val="16"/>
          <w:rtl/>
        </w:rPr>
        <w:t>(ח"ג סי' נב)</w:t>
      </w:r>
      <w:r w:rsidRPr="0004348D">
        <w:rPr>
          <w:rFonts w:ascii="Calibri" w:eastAsia="Calibri" w:hAnsi="Calibri" w:cs="Arial"/>
          <w:rtl/>
        </w:rPr>
        <w:t>- עוד שאלת המלוה את חברו על המשכון דקיי"ל דהוי שומר שכר משום פרוטה דרב יוסף אם פרעו לוה ואח"כ נאבד המשכון מי הוי שומר שכר או לא כיון דהשתא ליכא משום פרוטה דרב יוסף. תשובה, דע שאפילו בעוד שהמשכון בידו אינו פטור מליתן פרוטה לעני שא"כ מי שהלוה על המשכון או מי שהוא שומר אבדה או שיש מזוזה בפתחו או תפלין בראשו פטורין מכל המצות ומליתן פרוטה לעני, ועל כן אמרו בתוספות שאינו פטור אלא בשעה שהוא מתעסק בשמירתו לנערו וכיוצא בזה. ויש מגדולי המורים שאמרו שהוא פטור לאחר ההלואה מי שמאריך זמן וממתין שלא למכרו, והראב"ד ז"ל מן הדעת הזה, ומכלל דבר זה - כל שפרעו אינו שומר שכר ואם נאבד פטור שאינו אלא כשומר חנם. ואין דברים אלו מחוורים בעיני אלא כך דעתי נוטה שאינו פטור מפרוטה דרב יוסף אלא בשעת ההלואה בלבד, ומכל מקום הרי הוא שומר שכר עליו לעולם עד שיחזרנו לבעליו, שהרי הוא כנושא שכר בשעת ההלואה ומחמת אותו שכר הוי עליה כשומר שכר לעולם, שכן כל שומרי שכר שמקבלין שכר בתחילתן או בסופן ונעשין שומרין שכר לעולם מחמת אותה פרוטה שקבלו שכר בתחלה מחמת שמירתו, וזה דבר ברור ופשוט בעיני. ולפיכך נדון שלפנינו - הרי הוא כשומר שכר ומשלם את הגנבה ואת האבדה</w:t>
      </w:r>
      <w:r w:rsidRPr="0004348D">
        <w:rPr>
          <w:rFonts w:ascii="Calibri" w:eastAsia="Calibri" w:hAnsi="Calibri" w:cs="Arial"/>
          <w:vertAlign w:val="superscript"/>
          <w:rtl/>
        </w:rPr>
        <w:footnoteReference w:id="5783"/>
      </w:r>
      <w:r w:rsidRPr="0004348D">
        <w:rPr>
          <w:rFonts w:ascii="Calibri" w:eastAsia="Calibri" w:hAnsi="Calibri" w:cs="Arial"/>
          <w:rtl/>
        </w:rPr>
        <w:t>.</w:t>
      </w:r>
    </w:p>
    <w:p w14:paraId="0C185A92" w14:textId="77777777" w:rsidR="0004348D" w:rsidRPr="0004348D" w:rsidRDefault="0004348D" w:rsidP="0004348D">
      <w:pPr>
        <w:spacing w:before="360" w:after="240"/>
        <w:rPr>
          <w:rFonts w:ascii="Calibri" w:eastAsia="Calibri" w:hAnsi="Calibri" w:cs="Arial"/>
          <w:rtl/>
        </w:rPr>
      </w:pPr>
      <w:r w:rsidRPr="0004348D">
        <w:rPr>
          <w:rFonts w:ascii="Calibri" w:eastAsia="Calibri" w:hAnsi="Calibri" w:cs="Arial"/>
          <w:u w:val="single"/>
          <w:rtl/>
        </w:rPr>
        <w:t>מלוה על הספרים – האם מותר ללמוד בהם:</w:t>
      </w:r>
      <w:r w:rsidRPr="0004348D">
        <w:rPr>
          <w:rFonts w:ascii="Calibri" w:eastAsia="Calibri" w:hAnsi="Calibri" w:cs="Arial"/>
          <w:rtl/>
        </w:rPr>
        <w:t xml:space="preserve">  </w:t>
      </w:r>
      <w:r w:rsidRPr="0004348D">
        <w:rPr>
          <w:rFonts w:ascii="Calibri" w:eastAsia="Calibri" w:hAnsi="Calibri" w:cs="Arial"/>
          <w:sz w:val="16"/>
          <w:szCs w:val="16"/>
          <w:rtl/>
        </w:rPr>
        <w:t xml:space="preserve">(דרכ"מ [אות א]) </w:t>
      </w:r>
    </w:p>
    <w:p w14:paraId="1D57592D" w14:textId="77777777" w:rsidR="0004348D" w:rsidRPr="0004348D" w:rsidRDefault="0004348D" w:rsidP="00992A87">
      <w:pPr>
        <w:numPr>
          <w:ilvl w:val="0"/>
          <w:numId w:val="367"/>
        </w:numPr>
        <w:spacing w:before="360" w:after="240"/>
        <w:contextualSpacing/>
        <w:rPr>
          <w:rFonts w:ascii="Calibri" w:eastAsia="Calibri" w:hAnsi="Calibri" w:cs="Arial"/>
          <w:rtl/>
        </w:rPr>
      </w:pPr>
      <w:r w:rsidRPr="0004348D">
        <w:rPr>
          <w:rFonts w:ascii="Calibri" w:eastAsia="Calibri" w:hAnsi="Calibri" w:cs="Arial"/>
          <w:rtl/>
        </w:rPr>
        <w:t xml:space="preserve">מרדכי </w:t>
      </w:r>
      <w:r w:rsidRPr="0004348D">
        <w:rPr>
          <w:rFonts w:ascii="Calibri" w:eastAsia="Calibri" w:hAnsi="Calibri" w:cs="Arial"/>
          <w:sz w:val="16"/>
          <w:szCs w:val="16"/>
          <w:rtl/>
        </w:rPr>
        <w:t>(ס"פ אלו מציאות סי' רסא-רסב)</w:t>
      </w:r>
      <w:r w:rsidRPr="0004348D">
        <w:rPr>
          <w:rFonts w:ascii="Calibri" w:eastAsia="Calibri" w:hAnsi="Calibri" w:cs="Arial"/>
          <w:rtl/>
        </w:rPr>
        <w:t xml:space="preserve">- המלוה על ספרים - אסור ללמוד בהן. ואם למד בהן, אם יש עדים בדבר כתב ראב"ן </w:t>
      </w:r>
      <w:r w:rsidRPr="0004348D">
        <w:rPr>
          <w:rFonts w:ascii="Calibri" w:eastAsia="Calibri" w:hAnsi="Calibri" w:cs="Arial"/>
          <w:sz w:val="16"/>
          <w:szCs w:val="16"/>
          <w:rtl/>
        </w:rPr>
        <w:t xml:space="preserve">(פ' אלו מציאות קצח ע"ג) </w:t>
      </w:r>
      <w:r w:rsidRPr="0004348D">
        <w:rPr>
          <w:rFonts w:ascii="Calibri" w:eastAsia="Calibri" w:hAnsi="Calibri" w:cs="Arial"/>
          <w:rtl/>
        </w:rPr>
        <w:t>דמקרי שולח יד בפקדון ופסול לשבועה. וראבי"ה חולק משום דקסבר מצוה קעביד</w:t>
      </w:r>
      <w:r w:rsidRPr="0004348D">
        <w:rPr>
          <w:rFonts w:ascii="Calibri" w:eastAsia="Calibri" w:hAnsi="Calibri" w:cs="Arial"/>
          <w:vertAlign w:val="superscript"/>
          <w:rtl/>
        </w:rPr>
        <w:footnoteReference w:id="5784"/>
      </w:r>
      <w:r w:rsidRPr="0004348D">
        <w:rPr>
          <w:rFonts w:ascii="Calibri" w:eastAsia="Calibri" w:hAnsi="Calibri" w:cs="Arial"/>
          <w:rtl/>
        </w:rPr>
        <w:t xml:space="preserve">. </w:t>
      </w:r>
    </w:p>
    <w:p w14:paraId="3B04C76C" w14:textId="77777777" w:rsidR="0004348D" w:rsidRPr="0004348D" w:rsidRDefault="0004348D" w:rsidP="0004348D">
      <w:pPr>
        <w:spacing w:before="360" w:after="240"/>
        <w:rPr>
          <w:rFonts w:ascii="Arial" w:eastAsia="Calibri" w:hAnsi="Arial" w:cs="Arial"/>
          <w:b/>
          <w:bCs/>
          <w:color w:val="000000"/>
          <w:sz w:val="28"/>
          <w:szCs w:val="28"/>
          <w:u w:val="single"/>
          <w:rtl/>
        </w:rPr>
      </w:pPr>
      <w:r w:rsidRPr="0004348D">
        <w:rPr>
          <w:rFonts w:ascii="Arial" w:eastAsia="Calibri" w:hAnsi="Arial" w:cs="Arial"/>
          <w:b/>
          <w:bCs/>
          <w:color w:val="000000"/>
          <w:sz w:val="28"/>
          <w:szCs w:val="28"/>
          <w:u w:val="single"/>
          <w:rtl/>
        </w:rPr>
        <w:t>שו"ע:</w:t>
      </w:r>
    </w:p>
    <w:p w14:paraId="41635D4A" w14:textId="77777777" w:rsidR="0004348D" w:rsidRPr="0004348D" w:rsidRDefault="0004348D" w:rsidP="0004348D">
      <w:pPr>
        <w:spacing w:before="360" w:after="240"/>
        <w:rPr>
          <w:rFonts w:ascii="Calibri" w:eastAsia="Calibri" w:hAnsi="Calibri" w:cs="Arial"/>
          <w:sz w:val="18"/>
          <w:szCs w:val="18"/>
          <w:rtl/>
        </w:rPr>
      </w:pPr>
      <w:r w:rsidRPr="0004348D">
        <w:rPr>
          <w:rFonts w:ascii="Calibri" w:eastAsia="Calibri" w:hAnsi="Calibri" w:cs="Arial"/>
          <w:rtl/>
        </w:rPr>
        <w:t>המלוה על המשכון, צריך ליזהר שלא ישתמש בו, מפני שהוא כמו רבית</w:t>
      </w:r>
      <w:r w:rsidRPr="0004348D">
        <w:rPr>
          <w:rFonts w:ascii="Calibri" w:eastAsia="Calibri" w:hAnsi="Calibri" w:cs="Arial"/>
          <w:vertAlign w:val="superscript"/>
          <w:rtl/>
        </w:rPr>
        <w:footnoteReference w:id="5785"/>
      </w:r>
      <w:r w:rsidRPr="0004348D">
        <w:rPr>
          <w:rFonts w:ascii="Calibri" w:eastAsia="Calibri" w:hAnsi="Calibri" w:cs="Arial"/>
          <w:rtl/>
        </w:rPr>
        <w:t>. ואם הלוה לעני על מרא וקרדום וכיוצא בו, ששכרו מרובה ואינו נפחת אלא מעט, יכול להשכירו שלא ברשות בעלים</w:t>
      </w:r>
      <w:r w:rsidRPr="0004348D">
        <w:rPr>
          <w:rFonts w:ascii="Calibri" w:eastAsia="Calibri" w:hAnsi="Calibri" w:cs="Arial"/>
          <w:vertAlign w:val="superscript"/>
          <w:rtl/>
        </w:rPr>
        <w:footnoteReference w:id="5786"/>
      </w:r>
      <w:r w:rsidRPr="0004348D">
        <w:rPr>
          <w:rFonts w:ascii="Calibri" w:eastAsia="Calibri" w:hAnsi="Calibri" w:cs="Arial"/>
          <w:rtl/>
        </w:rPr>
        <w:t>, ולגבות לו דמי השכירות בחובו. ויש מי שאומר דדוקא לאחרים יכול להשכירם, אבל לא לעצמו, משום חשדא</w:t>
      </w:r>
      <w:r w:rsidRPr="0004348D">
        <w:rPr>
          <w:rFonts w:ascii="Calibri" w:eastAsia="Calibri" w:hAnsi="Calibri" w:cs="Arial"/>
          <w:vertAlign w:val="superscript"/>
          <w:rtl/>
        </w:rPr>
        <w:footnoteReference w:id="5787"/>
      </w:r>
      <w:r w:rsidRPr="0004348D">
        <w:rPr>
          <w:rFonts w:ascii="Calibri" w:eastAsia="Calibri" w:hAnsi="Calibri" w:cs="Arial"/>
          <w:rtl/>
        </w:rPr>
        <w:t xml:space="preserve">. </w:t>
      </w:r>
      <w:r w:rsidRPr="0004348D">
        <w:rPr>
          <w:rFonts w:ascii="Calibri" w:eastAsia="Calibri" w:hAnsi="Calibri" w:cs="Arial"/>
          <w:sz w:val="18"/>
          <w:szCs w:val="18"/>
          <w:rtl/>
        </w:rPr>
        <w:t>הגה: ודוקא שלא התנה עמו מתחלה, אבל אם התנה עם הלוה מתחלה, שרי</w:t>
      </w:r>
      <w:r w:rsidRPr="0004348D">
        <w:rPr>
          <w:rFonts w:ascii="Calibri" w:eastAsia="Calibri" w:hAnsi="Calibri" w:cs="Arial"/>
          <w:sz w:val="18"/>
          <w:szCs w:val="18"/>
          <w:vertAlign w:val="superscript"/>
          <w:rtl/>
        </w:rPr>
        <w:footnoteReference w:id="5788"/>
      </w:r>
      <w:r w:rsidRPr="0004348D">
        <w:rPr>
          <w:rFonts w:ascii="Calibri" w:eastAsia="Calibri" w:hAnsi="Calibri" w:cs="Arial"/>
          <w:sz w:val="18"/>
          <w:szCs w:val="18"/>
          <w:rtl/>
        </w:rPr>
        <w:t xml:space="preserve"> (ב"י). ועיין ביו"ד סימן קס"ו וקע"ב. י"א דאין חילוק בין ספרים לשאר דברים, ואם למד בספרים שהלוה עליהם, מקרי שולח יד בפקדון</w:t>
      </w:r>
      <w:r w:rsidRPr="0004348D">
        <w:rPr>
          <w:rFonts w:ascii="Calibri" w:eastAsia="Calibri" w:hAnsi="Calibri" w:cs="Arial"/>
          <w:sz w:val="18"/>
          <w:szCs w:val="18"/>
          <w:vertAlign w:val="superscript"/>
          <w:rtl/>
        </w:rPr>
        <w:footnoteReference w:id="5789"/>
      </w:r>
      <w:r w:rsidRPr="0004348D">
        <w:rPr>
          <w:rFonts w:ascii="Calibri" w:eastAsia="Calibri" w:hAnsi="Calibri" w:cs="Arial"/>
          <w:sz w:val="18"/>
          <w:szCs w:val="18"/>
          <w:rtl/>
        </w:rPr>
        <w:t xml:space="preserve">. ויש מחלקין, משום דקסבר מצוה קעביד (מרדכי פ' אלו מציאות שתי הדעות). ועיין ביו"ד סימן קע"ב. </w:t>
      </w:r>
    </w:p>
    <w:p w14:paraId="1BFEBEAB" w14:textId="77777777" w:rsidR="0004348D" w:rsidRPr="0004348D" w:rsidRDefault="0004348D" w:rsidP="0004348D">
      <w:pPr>
        <w:spacing w:before="360" w:after="240"/>
        <w:rPr>
          <w:rFonts w:ascii="Calibri" w:eastAsia="Calibri" w:hAnsi="Calibri" w:cs="Arial"/>
          <w:rtl/>
        </w:rPr>
      </w:pPr>
    </w:p>
    <w:p w14:paraId="16E57759" w14:textId="77777777" w:rsidR="0004348D" w:rsidRPr="0004348D" w:rsidRDefault="0004348D" w:rsidP="0004348D">
      <w:pPr>
        <w:keepNext/>
        <w:keepLines/>
        <w:spacing w:before="360" w:after="240"/>
        <w:outlineLvl w:val="1"/>
        <w:rPr>
          <w:rFonts w:ascii="Cambria" w:eastAsia="Times New Roman" w:hAnsi="Cambria" w:cs="Arial"/>
          <w:bCs/>
          <w:color w:val="548DD4" w:themeColor="text2" w:themeTint="99"/>
          <w:sz w:val="26"/>
          <w:szCs w:val="26"/>
          <w:rtl/>
        </w:rPr>
      </w:pPr>
      <w:bookmarkStart w:id="830" w:name="_Toc24884219"/>
      <w:r w:rsidRPr="0004348D">
        <w:rPr>
          <w:rFonts w:ascii="Cambria" w:eastAsia="Times New Roman" w:hAnsi="Cambria" w:cs="Arial"/>
          <w:bCs/>
          <w:color w:val="548DD4" w:themeColor="text2" w:themeTint="99"/>
          <w:sz w:val="26"/>
          <w:szCs w:val="26"/>
          <w:rtl/>
        </w:rPr>
        <w:t>סעיף ב: המלוה את חברו על המשכון – שומר שכר/חינם.</w:t>
      </w:r>
      <w:bookmarkEnd w:id="830"/>
    </w:p>
    <w:p w14:paraId="7C2040E8" w14:textId="77777777" w:rsidR="0004348D" w:rsidRPr="0004348D" w:rsidRDefault="0004348D" w:rsidP="0004348D">
      <w:pPr>
        <w:spacing w:before="360" w:after="240"/>
        <w:rPr>
          <w:rFonts w:ascii="Calibri" w:eastAsia="Calibri" w:hAnsi="Calibri" w:cs="Arial"/>
          <w:rtl/>
        </w:rPr>
      </w:pPr>
      <w:r w:rsidRPr="0004348D">
        <w:rPr>
          <w:rFonts w:ascii="Calibri" w:eastAsia="Calibri" w:hAnsi="Calibri" w:cs="Arial"/>
          <w:b/>
          <w:bCs/>
          <w:rtl/>
        </w:rPr>
        <w:t xml:space="preserve">בבא מציעא </w:t>
      </w:r>
      <w:r w:rsidRPr="0004348D">
        <w:rPr>
          <w:rFonts w:ascii="Calibri" w:eastAsia="Calibri" w:hAnsi="Calibri" w:cs="Arial"/>
          <w:b/>
          <w:bCs/>
          <w:sz w:val="16"/>
          <w:szCs w:val="16"/>
          <w:rtl/>
        </w:rPr>
        <w:t xml:space="preserve">(ס"פ האומנים) </w:t>
      </w:r>
      <w:r w:rsidRPr="0004348D">
        <w:rPr>
          <w:rFonts w:ascii="Calibri" w:eastAsia="Calibri" w:hAnsi="Calibri" w:cs="Arial"/>
          <w:b/>
          <w:bCs/>
          <w:rtl/>
        </w:rPr>
        <w:t xml:space="preserve">פ ע"ב: </w:t>
      </w:r>
      <w:r w:rsidRPr="0004348D">
        <w:rPr>
          <w:rFonts w:ascii="Calibri" w:eastAsia="Calibri" w:hAnsi="Calibri" w:cs="Arial"/>
          <w:u w:val="double"/>
          <w:rtl/>
        </w:rPr>
        <w:t>משנה</w:t>
      </w:r>
      <w:r w:rsidRPr="0004348D">
        <w:rPr>
          <w:rFonts w:ascii="Calibri" w:eastAsia="Calibri" w:hAnsi="Calibri" w:cs="Arial"/>
          <w:rtl/>
        </w:rPr>
        <w:t>: הלוהו על המשכון - שומר שכר</w:t>
      </w:r>
      <w:r w:rsidRPr="0004348D">
        <w:rPr>
          <w:rFonts w:ascii="Calibri" w:eastAsia="Calibri" w:hAnsi="Calibri" w:cs="Arial"/>
          <w:vertAlign w:val="superscript"/>
          <w:rtl/>
        </w:rPr>
        <w:footnoteReference w:id="5790"/>
      </w:r>
      <w:r w:rsidRPr="0004348D">
        <w:rPr>
          <w:rFonts w:ascii="Calibri" w:eastAsia="Calibri" w:hAnsi="Calibri" w:cs="Arial"/>
          <w:rtl/>
        </w:rPr>
        <w:t xml:space="preserve">. </w:t>
      </w:r>
      <w:r w:rsidRPr="0004348D">
        <w:rPr>
          <w:rFonts w:ascii="Calibri" w:eastAsia="Calibri" w:hAnsi="Calibri" w:cs="Arial"/>
          <w:u w:val="single"/>
          <w:rtl/>
        </w:rPr>
        <w:t>רבי יהודה אומר</w:t>
      </w:r>
      <w:r w:rsidRPr="0004348D">
        <w:rPr>
          <w:rFonts w:ascii="Calibri" w:eastAsia="Calibri" w:hAnsi="Calibri" w:cs="Arial"/>
          <w:rtl/>
        </w:rPr>
        <w:t>: הלוהו מעות - שומר חנם</w:t>
      </w:r>
      <w:r w:rsidRPr="0004348D">
        <w:rPr>
          <w:rFonts w:ascii="Calibri" w:eastAsia="Calibri" w:hAnsi="Calibri" w:cs="Arial"/>
          <w:vertAlign w:val="superscript"/>
          <w:rtl/>
        </w:rPr>
        <w:footnoteReference w:id="5791"/>
      </w:r>
      <w:r w:rsidRPr="0004348D">
        <w:rPr>
          <w:rFonts w:ascii="Calibri" w:eastAsia="Calibri" w:hAnsi="Calibri" w:cs="Arial"/>
          <w:rtl/>
        </w:rPr>
        <w:t>, הלוהו פירות - שומר שכר</w:t>
      </w:r>
      <w:r w:rsidRPr="0004348D">
        <w:rPr>
          <w:rFonts w:ascii="Calibri" w:eastAsia="Calibri" w:hAnsi="Calibri" w:cs="Arial"/>
          <w:vertAlign w:val="superscript"/>
          <w:rtl/>
        </w:rPr>
        <w:footnoteReference w:id="5792"/>
      </w:r>
      <w:r w:rsidRPr="0004348D">
        <w:rPr>
          <w:rFonts w:ascii="Calibri" w:eastAsia="Calibri" w:hAnsi="Calibri" w:cs="Arial"/>
          <w:rtl/>
        </w:rPr>
        <w:t xml:space="preserve">. </w:t>
      </w:r>
      <w:r w:rsidRPr="0004348D">
        <w:rPr>
          <w:rFonts w:ascii="Calibri" w:eastAsia="Calibri" w:hAnsi="Calibri" w:cs="Arial"/>
          <w:sz w:val="16"/>
          <w:szCs w:val="16"/>
          <w:rtl/>
        </w:rPr>
        <w:t xml:space="preserve">(וידוע דהלכה כתנא קמא, ב"י) </w:t>
      </w:r>
    </w:p>
    <w:p w14:paraId="7C671198" w14:textId="77777777" w:rsidR="0004348D" w:rsidRPr="0004348D" w:rsidRDefault="0004348D" w:rsidP="0004348D">
      <w:pPr>
        <w:spacing w:before="360" w:after="240"/>
        <w:rPr>
          <w:rFonts w:ascii="Calibri" w:eastAsia="Calibri" w:hAnsi="Calibri" w:cs="Arial"/>
          <w:rtl/>
        </w:rPr>
      </w:pPr>
      <w:r w:rsidRPr="0004348D">
        <w:rPr>
          <w:rFonts w:ascii="Calibri" w:eastAsia="Calibri" w:hAnsi="Calibri" w:cs="Arial"/>
          <w:b/>
          <w:bCs/>
          <w:rtl/>
        </w:rPr>
        <w:t xml:space="preserve">שבועות </w:t>
      </w:r>
      <w:r w:rsidRPr="0004348D">
        <w:rPr>
          <w:rFonts w:ascii="Calibri" w:eastAsia="Calibri" w:hAnsi="Calibri" w:cs="Arial"/>
          <w:b/>
          <w:bCs/>
          <w:sz w:val="16"/>
          <w:szCs w:val="16"/>
          <w:rtl/>
        </w:rPr>
        <w:t>(פרק שבועת הדיינין)</w:t>
      </w:r>
      <w:r w:rsidRPr="0004348D">
        <w:rPr>
          <w:rFonts w:ascii="Calibri" w:eastAsia="Calibri" w:hAnsi="Calibri" w:cs="Arial"/>
          <w:b/>
          <w:bCs/>
          <w:rtl/>
        </w:rPr>
        <w:t xml:space="preserve"> מג</w:t>
      </w:r>
      <w:r w:rsidRPr="0004348D">
        <w:rPr>
          <w:rFonts w:ascii="Calibri" w:eastAsia="Calibri" w:hAnsi="Calibri" w:cs="Arial"/>
          <w:b/>
          <w:bCs/>
          <w:vertAlign w:val="superscript"/>
          <w:rtl/>
        </w:rPr>
        <w:footnoteReference w:id="5793"/>
      </w:r>
      <w:r w:rsidRPr="0004348D">
        <w:rPr>
          <w:rFonts w:ascii="Calibri" w:eastAsia="Calibri" w:hAnsi="Calibri" w:cs="Arial"/>
          <w:b/>
          <w:bCs/>
          <w:rtl/>
        </w:rPr>
        <w:t xml:space="preserve"> ע"ב:</w:t>
      </w:r>
      <w:r w:rsidRPr="0004348D">
        <w:rPr>
          <w:rFonts w:ascii="Calibri" w:eastAsia="Calibri" w:hAnsi="Calibri" w:cs="Arial"/>
          <w:rtl/>
        </w:rPr>
        <w:t xml:space="preserve"> </w:t>
      </w:r>
      <w:r w:rsidRPr="0004348D">
        <w:rPr>
          <w:rFonts w:ascii="Calibri" w:eastAsia="Calibri" w:hAnsi="Calibri" w:cs="Arial"/>
          <w:u w:val="single"/>
          <w:rtl/>
        </w:rPr>
        <w:t>אמר שמואל</w:t>
      </w:r>
      <w:r w:rsidRPr="0004348D">
        <w:rPr>
          <w:rFonts w:ascii="Calibri" w:eastAsia="Calibri" w:hAnsi="Calibri" w:cs="Arial"/>
          <w:rtl/>
        </w:rPr>
        <w:t>: האי מאן דאוזפיה אלפא זוזי לחבריה ומשכן ליה קתא דמגלא, אבד קתא דמגלא - אבד אלפא זוזי</w:t>
      </w:r>
      <w:r w:rsidRPr="0004348D">
        <w:rPr>
          <w:rFonts w:ascii="Calibri" w:eastAsia="Calibri" w:hAnsi="Calibri" w:cs="Arial"/>
          <w:vertAlign w:val="superscript"/>
          <w:rtl/>
        </w:rPr>
        <w:footnoteReference w:id="5794"/>
      </w:r>
      <w:r w:rsidRPr="0004348D">
        <w:rPr>
          <w:rFonts w:ascii="Calibri" w:eastAsia="Calibri" w:hAnsi="Calibri" w:cs="Arial"/>
          <w:rtl/>
        </w:rPr>
        <w:t>, אבל תרתי קתאתי</w:t>
      </w:r>
      <w:r w:rsidRPr="0004348D">
        <w:rPr>
          <w:rFonts w:ascii="Calibri" w:eastAsia="Calibri" w:hAnsi="Calibri" w:cs="Arial"/>
          <w:vertAlign w:val="superscript"/>
          <w:rtl/>
        </w:rPr>
        <w:footnoteReference w:id="5795"/>
      </w:r>
      <w:r w:rsidRPr="0004348D">
        <w:rPr>
          <w:rFonts w:ascii="Calibri" w:eastAsia="Calibri" w:hAnsi="Calibri" w:cs="Arial"/>
          <w:rtl/>
        </w:rPr>
        <w:t xml:space="preserve"> לא. </w:t>
      </w:r>
      <w:r w:rsidRPr="0004348D">
        <w:rPr>
          <w:rFonts w:ascii="Calibri" w:eastAsia="Calibri" w:hAnsi="Calibri" w:cs="Arial"/>
          <w:u w:val="single"/>
          <w:rtl/>
        </w:rPr>
        <w:t>ורב נחמן אמר</w:t>
      </w:r>
      <w:r w:rsidRPr="0004348D">
        <w:rPr>
          <w:rFonts w:ascii="Calibri" w:eastAsia="Calibri" w:hAnsi="Calibri" w:cs="Arial"/>
          <w:rtl/>
        </w:rPr>
        <w:t>: אפי' תרתי קתאתי, אבד חדא - אבד חמש מאה, אבד אידך - אבד כוליה, אבל קתא ונסכא</w:t>
      </w:r>
      <w:r w:rsidRPr="0004348D">
        <w:rPr>
          <w:rFonts w:ascii="Calibri" w:eastAsia="Calibri" w:hAnsi="Calibri" w:cs="Arial"/>
          <w:vertAlign w:val="superscript"/>
          <w:rtl/>
        </w:rPr>
        <w:footnoteReference w:id="5796"/>
      </w:r>
      <w:r w:rsidRPr="0004348D">
        <w:rPr>
          <w:rFonts w:ascii="Calibri" w:eastAsia="Calibri" w:hAnsi="Calibri" w:cs="Arial"/>
          <w:rtl/>
        </w:rPr>
        <w:t xml:space="preserve"> לא. </w:t>
      </w:r>
      <w:r w:rsidRPr="0004348D">
        <w:rPr>
          <w:rFonts w:ascii="Calibri" w:eastAsia="Calibri" w:hAnsi="Calibri" w:cs="Arial"/>
          <w:u w:val="single"/>
          <w:rtl/>
        </w:rPr>
        <w:t>נהרדעי אמרי</w:t>
      </w:r>
      <w:r w:rsidRPr="0004348D">
        <w:rPr>
          <w:rFonts w:ascii="Calibri" w:eastAsia="Calibri" w:hAnsi="Calibri" w:cs="Arial"/>
          <w:rtl/>
        </w:rPr>
        <w:t>: אפילו קתא ונסכא, אבד נסכא - אבד פלגא, אבד קתא - אבד כוליה. תנן: סלע הלויתיך עליו ושקל היה שוה, והלה אומר: לא כי, אלא סלע הלויתני עליו ושלשה דינרין היה שוה – חייב</w:t>
      </w:r>
      <w:r w:rsidRPr="0004348D">
        <w:rPr>
          <w:rFonts w:ascii="Calibri" w:eastAsia="Calibri" w:hAnsi="Calibri" w:cs="Arial"/>
          <w:vertAlign w:val="superscript"/>
          <w:rtl/>
        </w:rPr>
        <w:footnoteReference w:id="5797"/>
      </w:r>
      <w:r w:rsidRPr="0004348D">
        <w:rPr>
          <w:rFonts w:ascii="Calibri" w:eastAsia="Calibri" w:hAnsi="Calibri" w:cs="Arial"/>
          <w:rtl/>
        </w:rPr>
        <w:t>. לימא ליה: הא קבילתיה! מתניתין בדפריש</w:t>
      </w:r>
      <w:r w:rsidRPr="0004348D">
        <w:rPr>
          <w:rFonts w:ascii="Calibri" w:eastAsia="Calibri" w:hAnsi="Calibri" w:cs="Arial"/>
          <w:vertAlign w:val="superscript"/>
          <w:rtl/>
        </w:rPr>
        <w:footnoteReference w:id="5798"/>
      </w:r>
      <w:r w:rsidRPr="0004348D">
        <w:rPr>
          <w:rFonts w:ascii="Calibri" w:eastAsia="Calibri" w:hAnsi="Calibri" w:cs="Arial"/>
          <w:rtl/>
        </w:rPr>
        <w:t xml:space="preserve">, שמואל בדלא פריש. לימא כתנאי: המלוה את חבירו על המשכון ואבד המשכון - ישבע ויטול את מעותיו, </w:t>
      </w:r>
      <w:r w:rsidRPr="0004348D">
        <w:rPr>
          <w:rFonts w:ascii="Calibri" w:eastAsia="Calibri" w:hAnsi="Calibri" w:cs="Arial"/>
          <w:u w:val="single"/>
          <w:rtl/>
        </w:rPr>
        <w:t>דברי רבי אליעזר</w:t>
      </w:r>
      <w:r w:rsidRPr="0004348D">
        <w:rPr>
          <w:rFonts w:ascii="Calibri" w:eastAsia="Calibri" w:hAnsi="Calibri" w:cs="Arial"/>
          <w:rtl/>
        </w:rPr>
        <w:t xml:space="preserve">. </w:t>
      </w:r>
      <w:r w:rsidRPr="0004348D">
        <w:rPr>
          <w:rFonts w:ascii="Calibri" w:eastAsia="Calibri" w:hAnsi="Calibri" w:cs="Arial"/>
          <w:u w:val="single"/>
          <w:rtl/>
        </w:rPr>
        <w:t>רבי עקיבא אומר</w:t>
      </w:r>
      <w:r w:rsidRPr="0004348D">
        <w:rPr>
          <w:rFonts w:ascii="Calibri" w:eastAsia="Calibri" w:hAnsi="Calibri" w:cs="Arial"/>
          <w:rtl/>
        </w:rPr>
        <w:t>: יכול הוא שיאמר לו 'כלום הלויתני אלא על המשכון, אבד המשכון אבדו מעותיך'. אבל המלוה אלף זוז בשטר והניח משכון בידו, דברי הכל - אבד המשכון אבדו מעותיו</w:t>
      </w:r>
      <w:r w:rsidRPr="0004348D">
        <w:rPr>
          <w:rFonts w:ascii="Calibri" w:eastAsia="Calibri" w:hAnsi="Calibri" w:cs="Arial"/>
          <w:vertAlign w:val="superscript"/>
          <w:rtl/>
        </w:rPr>
        <w:footnoteReference w:id="5799"/>
      </w:r>
      <w:r w:rsidRPr="0004348D">
        <w:rPr>
          <w:rFonts w:ascii="Calibri" w:eastAsia="Calibri" w:hAnsi="Calibri" w:cs="Arial"/>
          <w:rtl/>
        </w:rPr>
        <w:t xml:space="preserve">. היכי דמי? אי דשוי שיעור זוזי, </w:t>
      </w:r>
      <w:r w:rsidRPr="0004348D">
        <w:rPr>
          <w:rFonts w:ascii="Calibri" w:eastAsia="Calibri" w:hAnsi="Calibri" w:cs="Arial"/>
          <w:sz w:val="14"/>
          <w:szCs w:val="14"/>
          <w:rtl/>
        </w:rPr>
        <w:t xml:space="preserve">(מד.) </w:t>
      </w:r>
      <w:r w:rsidRPr="0004348D">
        <w:rPr>
          <w:rFonts w:ascii="Calibri" w:eastAsia="Calibri" w:hAnsi="Calibri" w:cs="Arial"/>
          <w:rtl/>
        </w:rPr>
        <w:t>מאי טעמיה דרבי אליעזר? אלא לאו בדלא שוי שיעור זוזי, ובדשמואל קא מיפלגי! לא, בדלא שוי כ"ע לית להו דשמואל</w:t>
      </w:r>
      <w:r w:rsidRPr="0004348D">
        <w:rPr>
          <w:rFonts w:ascii="Calibri" w:eastAsia="Calibri" w:hAnsi="Calibri" w:cs="Arial"/>
          <w:vertAlign w:val="superscript"/>
          <w:rtl/>
        </w:rPr>
        <w:footnoteReference w:id="5800"/>
      </w:r>
      <w:r w:rsidRPr="0004348D">
        <w:rPr>
          <w:rFonts w:ascii="Calibri" w:eastAsia="Calibri" w:hAnsi="Calibri" w:cs="Arial"/>
          <w:rtl/>
        </w:rPr>
        <w:t>, והכא בדשוי שיעור זוזי, ובדרבי יצחק קא מיפלגי, דאמר רבי יצחק: מנין לבעל חוב שקונה משכון? שנאמר: ולך תהיה צדקה, אם אינו קונה משכון - צדקה מנין לו? מכאן לבעל חוב שקונה משכון</w:t>
      </w:r>
      <w:r w:rsidRPr="0004348D">
        <w:rPr>
          <w:rFonts w:ascii="Calibri" w:eastAsia="Calibri" w:hAnsi="Calibri" w:cs="Arial"/>
          <w:vertAlign w:val="superscript"/>
          <w:rtl/>
        </w:rPr>
        <w:footnoteReference w:id="5801"/>
      </w:r>
      <w:r w:rsidRPr="0004348D">
        <w:rPr>
          <w:rFonts w:ascii="Calibri" w:eastAsia="Calibri" w:hAnsi="Calibri" w:cs="Arial"/>
          <w:rtl/>
        </w:rPr>
        <w:t xml:space="preserve">. לימא, דרבי יצחק תנאי היא! ותיסברא? אימור דאמר רבי יצחק - שמשכנו שלא בשעת הלואה, משכנו בשעת הלואה מי אמר? אלא, משכנו שלא בשעת הלואתו - כולי עלמא לא פליגי דאית להו דרבי יצחק, והכא במשכנו בשעת הלואתו ובשומר אבדה קמיפלגי, דאיתמר: שומר אבדה - </w:t>
      </w:r>
      <w:r w:rsidRPr="0004348D">
        <w:rPr>
          <w:rFonts w:ascii="Calibri" w:eastAsia="Calibri" w:hAnsi="Calibri" w:cs="Arial"/>
          <w:u w:val="single"/>
          <w:rtl/>
        </w:rPr>
        <w:t>רבה אמר</w:t>
      </w:r>
      <w:r w:rsidRPr="0004348D">
        <w:rPr>
          <w:rFonts w:ascii="Calibri" w:eastAsia="Calibri" w:hAnsi="Calibri" w:cs="Arial"/>
          <w:rtl/>
        </w:rPr>
        <w:t>: כשומר חנם,</w:t>
      </w:r>
      <w:r w:rsidRPr="0004348D">
        <w:rPr>
          <w:rFonts w:ascii="Calibri" w:eastAsia="Calibri" w:hAnsi="Calibri" w:cs="Arial"/>
          <w:sz w:val="14"/>
          <w:szCs w:val="14"/>
          <w:rtl/>
        </w:rPr>
        <w:t xml:space="preserve"> (מד:) </w:t>
      </w:r>
      <w:r w:rsidRPr="0004348D">
        <w:rPr>
          <w:rFonts w:ascii="Calibri" w:eastAsia="Calibri" w:hAnsi="Calibri" w:cs="Arial"/>
          <w:u w:val="single"/>
          <w:rtl/>
        </w:rPr>
        <w:t>ורב יוסף אמר</w:t>
      </w:r>
      <w:r w:rsidRPr="0004348D">
        <w:rPr>
          <w:rFonts w:ascii="Calibri" w:eastAsia="Calibri" w:hAnsi="Calibri" w:cs="Arial"/>
          <w:rtl/>
        </w:rPr>
        <w:t>: כשומר שכר דמי</w:t>
      </w:r>
      <w:r w:rsidRPr="0004348D">
        <w:rPr>
          <w:rFonts w:ascii="Calibri" w:eastAsia="Calibri" w:hAnsi="Calibri" w:cs="Arial"/>
          <w:vertAlign w:val="superscript"/>
          <w:rtl/>
        </w:rPr>
        <w:footnoteReference w:id="5802"/>
      </w:r>
      <w:r w:rsidRPr="0004348D">
        <w:rPr>
          <w:rFonts w:ascii="Calibri" w:eastAsia="Calibri" w:hAnsi="Calibri" w:cs="Arial"/>
          <w:rtl/>
        </w:rPr>
        <w:t>. לימא, דרב יוסף תנאי היא! לא, בשומר אבידה - דכולי עלמא אית להו דרב יוסף, והכא במלוה צריך למשכון קא מיפלגי, מר סבר: מצוה קא עביד, ומר סבר: לאו מצוה קא עביד.</w:t>
      </w:r>
    </w:p>
    <w:p w14:paraId="191AE43D" w14:textId="77777777" w:rsidR="0004348D" w:rsidRPr="0004348D" w:rsidRDefault="0004348D" w:rsidP="0004348D">
      <w:pPr>
        <w:spacing w:before="360" w:after="240"/>
        <w:rPr>
          <w:rFonts w:ascii="Calibri" w:eastAsia="Calibri" w:hAnsi="Calibri" w:cs="Arial"/>
          <w:u w:val="single"/>
          <w:rtl/>
        </w:rPr>
      </w:pPr>
      <w:r w:rsidRPr="0004348D">
        <w:rPr>
          <w:rFonts w:ascii="Calibri" w:eastAsia="Calibri" w:hAnsi="Calibri" w:cs="Arial"/>
          <w:u w:val="single"/>
          <w:rtl/>
        </w:rPr>
        <w:t xml:space="preserve">המלוה על המשכון – האם הוא שומר שכר </w:t>
      </w:r>
      <w:r w:rsidRPr="0004348D">
        <w:rPr>
          <w:rFonts w:ascii="Calibri" w:eastAsia="Calibri" w:hAnsi="Calibri" w:cs="Arial"/>
          <w:sz w:val="16"/>
          <w:szCs w:val="16"/>
          <w:u w:val="single"/>
          <w:rtl/>
        </w:rPr>
        <w:t xml:space="preserve">(כרב יוסף) </w:t>
      </w:r>
      <w:r w:rsidRPr="0004348D">
        <w:rPr>
          <w:rFonts w:ascii="Calibri" w:eastAsia="Calibri" w:hAnsi="Calibri" w:cs="Arial"/>
          <w:u w:val="single"/>
          <w:rtl/>
        </w:rPr>
        <w:t>או שומר חינם</w:t>
      </w:r>
      <w:r w:rsidRPr="0004348D">
        <w:rPr>
          <w:rFonts w:ascii="Calibri" w:eastAsia="Calibri" w:hAnsi="Calibri" w:cs="Arial"/>
          <w:sz w:val="16"/>
          <w:szCs w:val="16"/>
          <w:u w:val="single"/>
          <w:rtl/>
        </w:rPr>
        <w:t xml:space="preserve"> (כרבה)</w:t>
      </w:r>
      <w:r w:rsidRPr="0004348D">
        <w:rPr>
          <w:rFonts w:ascii="Calibri" w:eastAsia="Calibri" w:hAnsi="Calibri" w:cs="Arial"/>
          <w:u w:val="single"/>
          <w:rtl/>
        </w:rPr>
        <w:t>:</w:t>
      </w:r>
    </w:p>
    <w:p w14:paraId="37B2C0EB" w14:textId="77777777" w:rsidR="0004348D" w:rsidRPr="0004348D" w:rsidRDefault="0004348D" w:rsidP="00992A87">
      <w:pPr>
        <w:numPr>
          <w:ilvl w:val="0"/>
          <w:numId w:val="367"/>
        </w:numPr>
        <w:spacing w:before="360" w:after="240"/>
        <w:contextualSpacing/>
        <w:rPr>
          <w:rFonts w:ascii="Calibri" w:eastAsia="Calibri" w:hAnsi="Calibri" w:cs="Arial"/>
          <w:rtl/>
        </w:rPr>
      </w:pPr>
      <w:r w:rsidRPr="0004348D">
        <w:rPr>
          <w:rFonts w:ascii="Calibri" w:eastAsia="Calibri" w:hAnsi="Calibri" w:cs="Arial"/>
          <w:rtl/>
        </w:rPr>
        <w:t>כל הגאונים בה"ג ר"ח רי"ף רש"י רמב"ם רמב"ן רשב"א (רא"ש</w:t>
      </w:r>
      <w:r w:rsidRPr="0004348D">
        <w:rPr>
          <w:rFonts w:ascii="Calibri" w:eastAsia="Calibri" w:hAnsi="Calibri" w:cs="Arial"/>
          <w:sz w:val="16"/>
          <w:szCs w:val="16"/>
          <w:rtl/>
        </w:rPr>
        <w:t xml:space="preserve"> להב' הב"י</w:t>
      </w:r>
      <w:r w:rsidRPr="0004348D">
        <w:rPr>
          <w:rFonts w:ascii="Calibri" w:eastAsia="Calibri" w:hAnsi="Calibri" w:cs="Arial"/>
          <w:vertAlign w:val="superscript"/>
          <w:rtl/>
        </w:rPr>
        <w:footnoteReference w:id="5803"/>
      </w:r>
      <w:r w:rsidRPr="0004348D">
        <w:rPr>
          <w:rFonts w:ascii="Calibri" w:eastAsia="Calibri" w:hAnsi="Calibri" w:cs="Arial"/>
          <w:rtl/>
        </w:rPr>
        <w:t>) והה"מ</w:t>
      </w:r>
      <w:r w:rsidRPr="0004348D">
        <w:rPr>
          <w:rFonts w:ascii="Calibri" w:eastAsia="Calibri" w:hAnsi="Calibri" w:cs="Arial"/>
          <w:vertAlign w:val="superscript"/>
          <w:rtl/>
        </w:rPr>
        <w:footnoteReference w:id="5804"/>
      </w:r>
      <w:r w:rsidRPr="0004348D">
        <w:rPr>
          <w:rFonts w:ascii="Calibri" w:eastAsia="Calibri" w:hAnsi="Calibri" w:cs="Arial"/>
          <w:rtl/>
        </w:rPr>
        <w:t xml:space="preserve">- המלוה על המשכון שומר שכר הוא </w:t>
      </w:r>
      <w:r w:rsidRPr="0004348D">
        <w:rPr>
          <w:rFonts w:ascii="Calibri" w:eastAsia="Calibri" w:hAnsi="Calibri" w:cs="Arial"/>
          <w:sz w:val="16"/>
          <w:szCs w:val="16"/>
          <w:rtl/>
        </w:rPr>
        <w:t>(דחייב בגניבה ואבידה ופטור מן האונסין)</w:t>
      </w:r>
      <w:r w:rsidRPr="0004348D">
        <w:rPr>
          <w:rFonts w:ascii="Calibri" w:eastAsia="Calibri" w:hAnsi="Calibri" w:cs="Arial"/>
          <w:rtl/>
        </w:rPr>
        <w:t xml:space="preserve">, כרב יוסף. </w:t>
      </w:r>
      <w:r w:rsidRPr="0004348D">
        <w:rPr>
          <w:rFonts w:ascii="Calibri" w:eastAsia="Calibri" w:hAnsi="Calibri" w:cs="Arial"/>
          <w:color w:val="E36C0A" w:themeColor="accent6" w:themeShade="BF"/>
          <w:rtl/>
        </w:rPr>
        <w:t>(וכ"פ בשו"ע)</w:t>
      </w:r>
    </w:p>
    <w:p w14:paraId="5F9FB928" w14:textId="77777777" w:rsidR="0004348D" w:rsidRPr="0004348D" w:rsidRDefault="0004348D" w:rsidP="00992A87">
      <w:pPr>
        <w:numPr>
          <w:ilvl w:val="0"/>
          <w:numId w:val="367"/>
        </w:numPr>
        <w:spacing w:before="360" w:after="240"/>
        <w:contextualSpacing/>
        <w:rPr>
          <w:rFonts w:ascii="Calibri" w:eastAsia="Calibri" w:hAnsi="Calibri" w:cs="Arial"/>
        </w:rPr>
      </w:pPr>
      <w:r w:rsidRPr="0004348D">
        <w:rPr>
          <w:rFonts w:ascii="Calibri" w:eastAsia="Calibri" w:hAnsi="Calibri" w:cs="Arial"/>
          <w:rtl/>
        </w:rPr>
        <w:t xml:space="preserve">ר"י </w:t>
      </w:r>
      <w:r w:rsidRPr="0004348D">
        <w:rPr>
          <w:rFonts w:ascii="Calibri" w:eastAsia="Calibri" w:hAnsi="Calibri" w:cs="Arial"/>
          <w:sz w:val="16"/>
          <w:szCs w:val="16"/>
          <w:rtl/>
        </w:rPr>
        <w:t>(מד. ד"ה שומר)</w:t>
      </w:r>
      <w:r w:rsidRPr="0004348D">
        <w:rPr>
          <w:rFonts w:ascii="Calibri" w:eastAsia="Calibri" w:hAnsi="Calibri" w:cs="Arial"/>
          <w:rtl/>
        </w:rPr>
        <w:t xml:space="preserve"> (ורא"ש </w:t>
      </w:r>
      <w:r w:rsidRPr="0004348D">
        <w:rPr>
          <w:rFonts w:ascii="Calibri" w:eastAsia="Calibri" w:hAnsi="Calibri" w:cs="Arial"/>
          <w:sz w:val="16"/>
          <w:szCs w:val="16"/>
          <w:rtl/>
        </w:rPr>
        <w:t>להב' הטור</w:t>
      </w:r>
      <w:r w:rsidRPr="0004348D">
        <w:rPr>
          <w:rFonts w:ascii="Calibri" w:eastAsia="Calibri" w:hAnsi="Calibri" w:cs="Arial"/>
          <w:vertAlign w:val="superscript"/>
          <w:rtl/>
        </w:rPr>
        <w:footnoteReference w:id="5805"/>
      </w:r>
      <w:r w:rsidRPr="0004348D">
        <w:rPr>
          <w:rFonts w:ascii="Calibri" w:eastAsia="Calibri" w:hAnsi="Calibri" w:cs="Arial"/>
          <w:sz w:val="16"/>
          <w:szCs w:val="16"/>
          <w:rtl/>
        </w:rPr>
        <w:t xml:space="preserve"> והש"ך</w:t>
      </w:r>
      <w:r w:rsidRPr="0004348D">
        <w:rPr>
          <w:rFonts w:ascii="Calibri" w:eastAsia="Calibri" w:hAnsi="Calibri" w:cs="Arial"/>
          <w:rtl/>
        </w:rPr>
        <w:t>)- המלוה על המשכון שומר חנם הוא</w:t>
      </w:r>
      <w:r w:rsidRPr="0004348D">
        <w:rPr>
          <w:rFonts w:ascii="Calibri" w:eastAsia="Calibri" w:hAnsi="Calibri" w:cs="Arial"/>
          <w:sz w:val="16"/>
          <w:szCs w:val="16"/>
          <w:rtl/>
        </w:rPr>
        <w:t xml:space="preserve"> (דפטור מהכל חוץ מן הפשיעה)</w:t>
      </w:r>
      <w:r w:rsidRPr="0004348D">
        <w:rPr>
          <w:rFonts w:ascii="Calibri" w:eastAsia="Calibri" w:hAnsi="Calibri" w:cs="Arial"/>
          <w:rtl/>
        </w:rPr>
        <w:t xml:space="preserve">, כרבה. </w:t>
      </w:r>
    </w:p>
    <w:p w14:paraId="0D8F1FCE" w14:textId="77777777" w:rsidR="0004348D" w:rsidRPr="0004348D" w:rsidRDefault="0004348D" w:rsidP="00992A87">
      <w:pPr>
        <w:numPr>
          <w:ilvl w:val="0"/>
          <w:numId w:val="367"/>
        </w:numPr>
        <w:spacing w:before="360" w:after="240"/>
        <w:contextualSpacing/>
        <w:rPr>
          <w:rFonts w:ascii="Calibri" w:eastAsia="Calibri" w:hAnsi="Calibri" w:cs="Arial"/>
        </w:rPr>
      </w:pPr>
      <w:r w:rsidRPr="0004348D">
        <w:rPr>
          <w:rFonts w:ascii="Calibri" w:eastAsia="Calibri" w:hAnsi="Calibri" w:cs="Arial"/>
          <w:rtl/>
        </w:rPr>
        <w:t xml:space="preserve">מהר"ם </w:t>
      </w:r>
      <w:r w:rsidRPr="0004348D">
        <w:rPr>
          <w:rFonts w:ascii="Calibri" w:eastAsia="Calibri" w:hAnsi="Calibri" w:cs="Arial"/>
          <w:sz w:val="16"/>
          <w:szCs w:val="16"/>
          <w:rtl/>
        </w:rPr>
        <w:t>(ד"ב כ"י אמשטרדם סי' קסא, כ"כ בשמו המרדכי [ס"פ שבועת הדיינין שם])</w:t>
      </w:r>
      <w:r w:rsidRPr="0004348D">
        <w:rPr>
          <w:rFonts w:ascii="Calibri" w:eastAsia="Calibri" w:hAnsi="Calibri" w:cs="Arial"/>
          <w:rtl/>
        </w:rPr>
        <w:t xml:space="preserve">- אע"ג דיש גאונים שפסקו כרב יוסף מספיקא לא מפקינן ממונא. </w:t>
      </w:r>
      <w:r w:rsidRPr="0004348D">
        <w:rPr>
          <w:rFonts w:ascii="Calibri" w:eastAsia="Calibri" w:hAnsi="Calibri" w:cs="Arial"/>
          <w:color w:val="00B0F0"/>
          <w:rtl/>
        </w:rPr>
        <w:t>(וכ"פ הרמ"א)</w:t>
      </w:r>
    </w:p>
    <w:p w14:paraId="46C3E75F" w14:textId="77777777" w:rsidR="0004348D" w:rsidRPr="0004348D" w:rsidRDefault="0004348D" w:rsidP="0004348D">
      <w:pPr>
        <w:spacing w:before="360" w:after="240"/>
        <w:ind w:left="360"/>
        <w:rPr>
          <w:rFonts w:ascii="Calibri" w:eastAsia="Calibri" w:hAnsi="Calibri" w:cs="Arial"/>
          <w:u w:val="dotted"/>
        </w:rPr>
      </w:pPr>
      <w:r w:rsidRPr="0004348D">
        <w:rPr>
          <w:rFonts w:ascii="Calibri" w:eastAsia="Calibri" w:hAnsi="Calibri" w:cs="Arial"/>
          <w:u w:val="dotted"/>
          <w:rtl/>
        </w:rPr>
        <w:t>למעשה, המלוה על המשכון – ונגנב או אבד המשכון:</w:t>
      </w:r>
    </w:p>
    <w:p w14:paraId="648FF091" w14:textId="77777777" w:rsidR="0004348D" w:rsidRPr="0004348D" w:rsidRDefault="0004348D" w:rsidP="00992A87">
      <w:pPr>
        <w:numPr>
          <w:ilvl w:val="0"/>
          <w:numId w:val="367"/>
        </w:numPr>
        <w:spacing w:before="360" w:after="240"/>
        <w:contextualSpacing/>
        <w:rPr>
          <w:rFonts w:ascii="Calibri" w:eastAsia="Calibri" w:hAnsi="Calibri" w:cs="Arial"/>
        </w:rPr>
      </w:pPr>
      <w:r w:rsidRPr="0004348D">
        <w:rPr>
          <w:rFonts w:ascii="Calibri" w:eastAsia="Calibri" w:hAnsi="Calibri" w:cs="Arial"/>
          <w:rtl/>
        </w:rPr>
        <w:t>כל הגאונים רי"ף רש"י רמב"ם רמב"ן רשב"א והה"מ- ליתא לדשמואל, הילכך אם נגנב או אבד המשכון והיה כנגד דמי החוב - אין לאחד על חבירו כלום... ואם החוב יותר על המשכון - משלם הלוה היתרון. ואין חילוק בהן בין אם פירש המלוה שאינו מקבל המשכון אלא בכדי שווי, בין אם קבלו סתם. ואם דמי המשכון יתרים על החוב - נותן המלוה ללוה היתרון. ואם נאבד המשכון באונס - פטור המלוה, וגובה כל חובו</w:t>
      </w:r>
      <w:r w:rsidRPr="0004348D">
        <w:rPr>
          <w:rFonts w:ascii="Calibri" w:eastAsia="Calibri" w:hAnsi="Calibri" w:cs="Arial"/>
          <w:vertAlign w:val="superscript"/>
          <w:rtl/>
        </w:rPr>
        <w:footnoteReference w:id="5806"/>
      </w:r>
      <w:r w:rsidRPr="0004348D">
        <w:rPr>
          <w:rFonts w:ascii="Calibri" w:eastAsia="Calibri" w:hAnsi="Calibri" w:cs="Arial"/>
          <w:rtl/>
        </w:rPr>
        <w:t xml:space="preserve"> </w:t>
      </w:r>
      <w:r w:rsidRPr="0004348D">
        <w:rPr>
          <w:rFonts w:ascii="Calibri" w:eastAsia="Calibri" w:hAnsi="Calibri" w:cs="Arial"/>
          <w:sz w:val="16"/>
          <w:szCs w:val="16"/>
          <w:rtl/>
        </w:rPr>
        <w:t>(ל' הטור בשם הגאונים רי"ף ורמב"ם)</w:t>
      </w:r>
      <w:r w:rsidRPr="0004348D">
        <w:rPr>
          <w:rFonts w:ascii="Calibri" w:eastAsia="Calibri" w:hAnsi="Calibri" w:cs="Arial"/>
          <w:rtl/>
        </w:rPr>
        <w:t xml:space="preserve">. </w:t>
      </w:r>
      <w:r w:rsidRPr="0004348D">
        <w:rPr>
          <w:rFonts w:ascii="Calibri" w:eastAsia="Calibri" w:hAnsi="Calibri" w:cs="Arial"/>
          <w:color w:val="E36C0A" w:themeColor="accent6" w:themeShade="BF"/>
          <w:rtl/>
        </w:rPr>
        <w:t>(וכ"פ בשו"ע)</w:t>
      </w:r>
    </w:p>
    <w:p w14:paraId="010CC857" w14:textId="77777777" w:rsidR="0004348D" w:rsidRPr="0004348D" w:rsidRDefault="0004348D" w:rsidP="00992A87">
      <w:pPr>
        <w:numPr>
          <w:ilvl w:val="0"/>
          <w:numId w:val="367"/>
        </w:numPr>
        <w:spacing w:before="360" w:after="240"/>
        <w:contextualSpacing/>
        <w:rPr>
          <w:rFonts w:ascii="Calibri" w:eastAsia="Calibri" w:hAnsi="Calibri" w:cs="Arial"/>
        </w:rPr>
      </w:pPr>
      <w:r w:rsidRPr="0004348D">
        <w:rPr>
          <w:rFonts w:ascii="Calibri" w:eastAsia="Calibri" w:hAnsi="Calibri" w:cs="Arial"/>
          <w:rtl/>
        </w:rPr>
        <w:t xml:space="preserve">ר"י (ורא"ש </w:t>
      </w:r>
      <w:r w:rsidRPr="0004348D">
        <w:rPr>
          <w:rFonts w:ascii="Calibri" w:eastAsia="Calibri" w:hAnsi="Calibri" w:cs="Arial"/>
          <w:sz w:val="16"/>
          <w:szCs w:val="16"/>
          <w:rtl/>
        </w:rPr>
        <w:t>להב' הטור</w:t>
      </w:r>
      <w:r w:rsidRPr="0004348D">
        <w:rPr>
          <w:rFonts w:ascii="Calibri" w:eastAsia="Calibri" w:hAnsi="Calibri" w:cs="Arial"/>
          <w:rtl/>
        </w:rPr>
        <w:t>)- איתא לדשמואל</w:t>
      </w:r>
      <w:r w:rsidRPr="0004348D">
        <w:rPr>
          <w:rFonts w:ascii="Calibri" w:eastAsia="Calibri" w:hAnsi="Calibri" w:cs="Arial"/>
          <w:vertAlign w:val="superscript"/>
          <w:rtl/>
        </w:rPr>
        <w:footnoteReference w:id="5807"/>
      </w:r>
      <w:r w:rsidRPr="0004348D">
        <w:rPr>
          <w:rFonts w:ascii="Calibri" w:eastAsia="Calibri" w:hAnsi="Calibri" w:cs="Arial"/>
          <w:rtl/>
        </w:rPr>
        <w:t>, הילכך אם המשכונות כנגד החוב ונגנב או אבד - יצא זה בזה ואין לאחד על חבירו כלום. ואם החוב יותר על המשכון - הלוה הוא נותן למלוה דמי היתרון. בד"א - שהלוהו סתם, אבל אם פירש, לא מיבעיא אם אמר בהדיא אם יפסיד המשכון שיפסיד כל חובו, דפשיטא שאינו משלם לו היתרון, אלא אפילו לא אמר אלא 'אע"פ שאינו שוה כנגד כל החוב קבלתיו' אפילו הלוהו על קתא אלף זוז - אם אבד המשכון אבד כל החוב. וכן אם הלוהו על שני קתות אלף זוז או על קתא עם משכון אחר אלף זוז ואבד הקתא או המשכון - הפסיד חצי החוב, אבד השני - הפסיד חצי האחר</w:t>
      </w:r>
      <w:r w:rsidRPr="0004348D">
        <w:rPr>
          <w:rFonts w:ascii="Calibri" w:eastAsia="Calibri" w:hAnsi="Calibri" w:cs="Arial"/>
          <w:vertAlign w:val="superscript"/>
          <w:rtl/>
        </w:rPr>
        <w:footnoteReference w:id="5808"/>
      </w:r>
      <w:r w:rsidRPr="0004348D">
        <w:rPr>
          <w:rFonts w:ascii="Calibri" w:eastAsia="Calibri" w:hAnsi="Calibri" w:cs="Arial"/>
          <w:rtl/>
        </w:rPr>
        <w:t>. ואם דמי המשכון יתרים על החוב - אין המלוה נותן ללוה היתרון. ואם נאבד באונס - ישבע המלוה כדין השומרים וגובה כל חובו</w:t>
      </w:r>
      <w:r w:rsidRPr="0004348D">
        <w:rPr>
          <w:rFonts w:ascii="Calibri" w:eastAsia="Calibri" w:hAnsi="Calibri" w:cs="Arial"/>
          <w:sz w:val="16"/>
          <w:szCs w:val="16"/>
          <w:rtl/>
        </w:rPr>
        <w:t xml:space="preserve"> (ל' הטור בשם ר"י)</w:t>
      </w:r>
      <w:r w:rsidRPr="0004348D">
        <w:rPr>
          <w:rFonts w:ascii="Calibri" w:eastAsia="Calibri" w:hAnsi="Calibri" w:cs="Arial"/>
          <w:rtl/>
        </w:rPr>
        <w:t>.</w:t>
      </w:r>
    </w:p>
    <w:p w14:paraId="626E6707" w14:textId="77777777" w:rsidR="0004348D" w:rsidRPr="0004348D" w:rsidRDefault="0004348D" w:rsidP="00992A87">
      <w:pPr>
        <w:numPr>
          <w:ilvl w:val="1"/>
          <w:numId w:val="367"/>
        </w:numPr>
        <w:spacing w:before="360" w:after="240"/>
        <w:contextualSpacing/>
        <w:rPr>
          <w:rFonts w:ascii="Calibri" w:eastAsia="Calibri" w:hAnsi="Calibri" w:cs="Arial"/>
        </w:rPr>
      </w:pPr>
      <w:r w:rsidRPr="0004348D">
        <w:rPr>
          <w:rFonts w:ascii="Calibri" w:eastAsia="Calibri" w:hAnsi="Calibri" w:cs="Arial"/>
          <w:rtl/>
        </w:rPr>
        <w:t>ב"י- נמצינו למדין דלכו"ע מה שכנגד מעותיו - קנאו והוי עליה שומר שכר, והיינו דרבי עקיבא דאמר אבד המשכון אבדו מעותיו. ומה ששוה המשכון יותר ממעותיו, לדברי הגאונים ורש"י שפוסקים כרב יוסף - הוי עליה שומר שכר. ולדברי התוספות שפוסקים כרבה - לא הוי עליה אלא שומר חנם. ואם אין המשכון שוה כדי החוב, לפוסקים כשמואל - אבד כל חובו אם אמר 'אע"פ שאינו שוה כדי כל החוב קבלתיו'. ואם לא אמר כן - לא אבד אלא כנגד המשכון. ולפוסקים דלא כשמואל - בכל גוונא לא אבד אלא שווי המשכון, חוץ מאם אמר בהדיא 'אם יפסיד המשכון יפסיד כל חובו' דכל תנאי שבממון קיים. וכל מה שמתחייב המלוה כשאבד המשכון לכל חד כדאית ליה</w:t>
      </w:r>
      <w:r w:rsidRPr="0004348D">
        <w:rPr>
          <w:rFonts w:ascii="Calibri" w:eastAsia="Calibri" w:hAnsi="Calibri" w:cs="Arial"/>
          <w:vertAlign w:val="superscript"/>
          <w:rtl/>
        </w:rPr>
        <w:footnoteReference w:id="5809"/>
      </w:r>
      <w:r w:rsidRPr="0004348D">
        <w:rPr>
          <w:rFonts w:ascii="Calibri" w:eastAsia="Calibri" w:hAnsi="Calibri" w:cs="Arial"/>
          <w:rtl/>
        </w:rPr>
        <w:t xml:space="preserve"> - לכו"ע לא מיחייב אלא כשומר שכר, בר מרש"י שסובר שמתחייב אף באונסין. </w:t>
      </w:r>
    </w:p>
    <w:p w14:paraId="407364F1" w14:textId="77777777" w:rsidR="0004348D" w:rsidRPr="0004348D" w:rsidRDefault="0004348D" w:rsidP="0004348D">
      <w:pPr>
        <w:spacing w:before="360" w:after="240"/>
        <w:ind w:left="360"/>
        <w:rPr>
          <w:rFonts w:ascii="Calibri" w:eastAsia="Calibri" w:hAnsi="Calibri" w:cs="Arial"/>
          <w:u w:val="dotted"/>
          <w:rtl/>
        </w:rPr>
      </w:pPr>
      <w:r w:rsidRPr="0004348D">
        <w:rPr>
          <w:rFonts w:ascii="Calibri" w:eastAsia="Calibri" w:hAnsi="Calibri" w:cs="Arial"/>
          <w:u w:val="dotted"/>
          <w:rtl/>
        </w:rPr>
        <w:t xml:space="preserve">האם יש הבדל בכל הנ"ל בין הלוהו פירות או מעות: </w:t>
      </w:r>
    </w:p>
    <w:p w14:paraId="25F437FC" w14:textId="77777777" w:rsidR="0004348D" w:rsidRPr="0004348D" w:rsidRDefault="0004348D" w:rsidP="00992A87">
      <w:pPr>
        <w:numPr>
          <w:ilvl w:val="0"/>
          <w:numId w:val="368"/>
        </w:numPr>
        <w:spacing w:before="360" w:after="240"/>
        <w:contextualSpacing/>
        <w:rPr>
          <w:rFonts w:ascii="Calibri" w:eastAsia="Calibri" w:hAnsi="Calibri" w:cs="Arial"/>
          <w:rtl/>
        </w:rPr>
      </w:pPr>
      <w:r w:rsidRPr="0004348D">
        <w:rPr>
          <w:rFonts w:ascii="Calibri" w:eastAsia="Calibri" w:hAnsi="Calibri" w:cs="Arial"/>
          <w:rtl/>
        </w:rPr>
        <w:t>טור וב"י- כל דינים הללו לא שנא הלוהו מעות לא שנא הלוהו פירות</w:t>
      </w:r>
      <w:r w:rsidRPr="0004348D">
        <w:rPr>
          <w:rFonts w:ascii="Calibri" w:eastAsia="Calibri" w:hAnsi="Calibri" w:cs="Arial"/>
          <w:sz w:val="16"/>
          <w:szCs w:val="16"/>
          <w:rtl/>
        </w:rPr>
        <w:t xml:space="preserve"> (ל' הב"י)</w:t>
      </w:r>
      <w:r w:rsidRPr="0004348D">
        <w:rPr>
          <w:rFonts w:ascii="Calibri" w:eastAsia="Calibri" w:hAnsi="Calibri" w:cs="Arial"/>
          <w:rtl/>
        </w:rPr>
        <w:t>.</w:t>
      </w:r>
      <w:r w:rsidRPr="0004348D">
        <w:rPr>
          <w:rFonts w:ascii="Calibri" w:eastAsia="Calibri" w:hAnsi="Calibri" w:cs="Arial"/>
          <w:color w:val="E36C0A" w:themeColor="accent6" w:themeShade="BF"/>
          <w:rtl/>
        </w:rPr>
        <w:t xml:space="preserve"> (וכ"פ בשו"ע)</w:t>
      </w:r>
    </w:p>
    <w:p w14:paraId="25148E7F" w14:textId="77777777" w:rsidR="0004348D" w:rsidRPr="0004348D" w:rsidRDefault="0004348D" w:rsidP="0004348D">
      <w:pPr>
        <w:spacing w:before="360" w:after="240"/>
        <w:ind w:left="360"/>
        <w:rPr>
          <w:rFonts w:ascii="Calibri" w:eastAsia="Calibri" w:hAnsi="Calibri" w:cs="Arial"/>
          <w:u w:val="dotted"/>
        </w:rPr>
      </w:pPr>
      <w:r w:rsidRPr="0004348D">
        <w:rPr>
          <w:rFonts w:ascii="Calibri" w:eastAsia="Calibri" w:hAnsi="Calibri" w:cs="Arial"/>
          <w:u w:val="dotted"/>
          <w:rtl/>
        </w:rPr>
        <w:t>האם יש הבדל בכל הנ"ל בין משכנו בשעת הלואה או שלא בשעת הלואה:</w:t>
      </w:r>
    </w:p>
    <w:p w14:paraId="20AB70B6" w14:textId="77777777" w:rsidR="0004348D" w:rsidRPr="0004348D" w:rsidRDefault="0004348D" w:rsidP="00992A87">
      <w:pPr>
        <w:numPr>
          <w:ilvl w:val="0"/>
          <w:numId w:val="368"/>
        </w:numPr>
        <w:spacing w:before="360" w:after="240"/>
        <w:contextualSpacing/>
        <w:rPr>
          <w:rFonts w:ascii="Calibri" w:eastAsia="Calibri" w:hAnsi="Calibri" w:cs="Arial"/>
        </w:rPr>
      </w:pPr>
      <w:r w:rsidRPr="0004348D">
        <w:rPr>
          <w:rFonts w:ascii="Calibri" w:eastAsia="Calibri" w:hAnsi="Calibri" w:cs="Arial"/>
          <w:rtl/>
        </w:rPr>
        <w:t xml:space="preserve">גאונים </w:t>
      </w:r>
      <w:r w:rsidRPr="0004348D">
        <w:rPr>
          <w:rFonts w:ascii="Calibri" w:eastAsia="Calibri" w:hAnsi="Calibri" w:cs="Arial"/>
          <w:sz w:val="16"/>
          <w:szCs w:val="16"/>
          <w:rtl/>
        </w:rPr>
        <w:t>(כ"כ הר"ן והרמב"ן בשמם, הביאם הב"י)</w:t>
      </w:r>
      <w:r w:rsidRPr="0004348D">
        <w:rPr>
          <w:rFonts w:ascii="Calibri" w:eastAsia="Calibri" w:hAnsi="Calibri" w:cs="Arial"/>
          <w:rtl/>
        </w:rPr>
        <w:t xml:space="preserve"> </w:t>
      </w:r>
      <w:r w:rsidRPr="0004348D">
        <w:rPr>
          <w:rFonts w:ascii="Calibri" w:eastAsia="Calibri" w:hAnsi="Calibri" w:cs="Arial"/>
          <w:color w:val="000000" w:themeColor="text1"/>
          <w:rtl/>
        </w:rPr>
        <w:t>רי"ף</w:t>
      </w:r>
      <w:r w:rsidRPr="0004348D">
        <w:rPr>
          <w:rFonts w:ascii="Calibri" w:eastAsia="Calibri" w:hAnsi="Calibri" w:cs="Arial"/>
          <w:color w:val="000000" w:themeColor="text1"/>
          <w:sz w:val="16"/>
          <w:szCs w:val="16"/>
          <w:rtl/>
        </w:rPr>
        <w:t xml:space="preserve"> (שבועות נא.)</w:t>
      </w:r>
      <w:r w:rsidRPr="0004348D">
        <w:rPr>
          <w:rFonts w:ascii="Calibri" w:eastAsia="Calibri" w:hAnsi="Calibri" w:cs="Arial"/>
          <w:color w:val="000000" w:themeColor="text1"/>
          <w:rtl/>
        </w:rPr>
        <w:t xml:space="preserve"> </w:t>
      </w:r>
      <w:r w:rsidRPr="0004348D">
        <w:rPr>
          <w:rFonts w:ascii="Calibri" w:eastAsia="Calibri" w:hAnsi="Calibri" w:cs="Arial"/>
          <w:rtl/>
        </w:rPr>
        <w:t>(תוס'</w:t>
      </w:r>
      <w:r w:rsidRPr="0004348D">
        <w:rPr>
          <w:rFonts w:ascii="Calibri" w:eastAsia="Calibri" w:hAnsi="Calibri" w:cs="Arial"/>
          <w:sz w:val="16"/>
          <w:szCs w:val="16"/>
          <w:rtl/>
        </w:rPr>
        <w:t xml:space="preserve"> להב' הטור</w:t>
      </w:r>
      <w:r w:rsidRPr="0004348D">
        <w:rPr>
          <w:rFonts w:ascii="Calibri" w:eastAsia="Calibri" w:hAnsi="Calibri" w:cs="Arial"/>
          <w:vertAlign w:val="superscript"/>
          <w:rtl/>
        </w:rPr>
        <w:footnoteReference w:id="5810"/>
      </w:r>
      <w:r w:rsidRPr="0004348D">
        <w:rPr>
          <w:rFonts w:ascii="Calibri" w:eastAsia="Calibri" w:hAnsi="Calibri" w:cs="Arial"/>
          <w:rtl/>
        </w:rPr>
        <w:t xml:space="preserve">) ורשב"א </w:t>
      </w:r>
      <w:r w:rsidRPr="0004348D">
        <w:rPr>
          <w:rFonts w:ascii="Calibri" w:eastAsia="Calibri" w:hAnsi="Calibri" w:cs="Arial"/>
          <w:sz w:val="16"/>
          <w:szCs w:val="16"/>
          <w:rtl/>
        </w:rPr>
        <w:t>(ח"ה סי' שלו)</w:t>
      </w:r>
      <w:r w:rsidRPr="0004348D">
        <w:rPr>
          <w:rFonts w:ascii="Calibri" w:eastAsia="Calibri" w:hAnsi="Calibri" w:cs="Arial"/>
          <w:rtl/>
        </w:rPr>
        <w:t>- לא שנא משכנו בשעת הלואתו לא שנא שלא בשעת הלואתו</w:t>
      </w:r>
      <w:r w:rsidRPr="0004348D">
        <w:rPr>
          <w:rFonts w:ascii="Calibri" w:eastAsia="Calibri" w:hAnsi="Calibri" w:cs="Arial"/>
          <w:vertAlign w:val="superscript"/>
          <w:rtl/>
        </w:rPr>
        <w:footnoteReference w:id="5811"/>
      </w:r>
      <w:r w:rsidRPr="0004348D">
        <w:rPr>
          <w:rFonts w:ascii="Calibri" w:eastAsia="Calibri" w:hAnsi="Calibri" w:cs="Arial"/>
          <w:rtl/>
        </w:rPr>
        <w:t>.</w:t>
      </w:r>
      <w:r w:rsidRPr="0004348D">
        <w:rPr>
          <w:rFonts w:ascii="Calibri" w:eastAsia="Calibri" w:hAnsi="Calibri" w:cs="Arial"/>
          <w:color w:val="E36C0A" w:themeColor="accent6" w:themeShade="BF"/>
          <w:rtl/>
        </w:rPr>
        <w:t xml:space="preserve"> (וכ"פ בשו"ע)</w:t>
      </w:r>
    </w:p>
    <w:p w14:paraId="6C0FB009" w14:textId="77777777" w:rsidR="0004348D" w:rsidRPr="0004348D" w:rsidRDefault="0004348D" w:rsidP="00992A87">
      <w:pPr>
        <w:numPr>
          <w:ilvl w:val="0"/>
          <w:numId w:val="368"/>
        </w:numPr>
        <w:spacing w:before="360" w:after="240"/>
        <w:contextualSpacing/>
        <w:rPr>
          <w:rFonts w:ascii="Calibri" w:eastAsia="Calibri" w:hAnsi="Calibri" w:cs="Arial"/>
        </w:rPr>
      </w:pPr>
      <w:r w:rsidRPr="0004348D">
        <w:rPr>
          <w:rFonts w:ascii="Calibri" w:eastAsia="Calibri" w:hAnsi="Calibri" w:cs="Arial"/>
          <w:rtl/>
        </w:rPr>
        <w:t>(תוס'</w:t>
      </w:r>
      <w:r w:rsidRPr="0004348D">
        <w:rPr>
          <w:rFonts w:ascii="Calibri" w:eastAsia="Calibri" w:hAnsi="Calibri" w:cs="Arial"/>
          <w:sz w:val="16"/>
          <w:szCs w:val="16"/>
          <w:rtl/>
        </w:rPr>
        <w:t xml:space="preserve"> להב' הב"י</w:t>
      </w:r>
      <w:r w:rsidRPr="0004348D">
        <w:rPr>
          <w:rFonts w:ascii="Calibri" w:eastAsia="Calibri" w:hAnsi="Calibri" w:cs="Arial"/>
          <w:vertAlign w:val="superscript"/>
          <w:rtl/>
        </w:rPr>
        <w:footnoteReference w:id="5812"/>
      </w:r>
      <w:r w:rsidRPr="0004348D">
        <w:rPr>
          <w:rFonts w:ascii="Calibri" w:eastAsia="Calibri" w:hAnsi="Calibri" w:cs="Arial"/>
          <w:rtl/>
        </w:rPr>
        <w:t xml:space="preserve">)- הא דרבי יצחק לא הוי אלא שלא בשעת הלואתו, ואז לא אבד אלא כנגד המשכון. אבל משכנו בשעת הלואתו - אבד קתא אבדו אלפא זוזי, והיינו דרבי עקיבא.  </w:t>
      </w:r>
    </w:p>
    <w:p w14:paraId="30E132C5" w14:textId="77777777" w:rsidR="0004348D" w:rsidRPr="0004348D" w:rsidRDefault="0004348D" w:rsidP="0004348D">
      <w:pPr>
        <w:spacing w:before="360" w:after="240"/>
        <w:rPr>
          <w:rFonts w:ascii="Calibri" w:eastAsia="Calibri" w:hAnsi="Calibri" w:cs="Arial"/>
          <w:u w:val="single"/>
        </w:rPr>
      </w:pPr>
      <w:r w:rsidRPr="0004348D">
        <w:rPr>
          <w:rFonts w:ascii="Calibri" w:eastAsia="Calibri" w:hAnsi="Calibri" w:cs="Arial"/>
          <w:u w:val="single"/>
          <w:rtl/>
        </w:rPr>
        <w:t>להא דאמרו בגמ' לרבי יצחק - האם יש הבדל בין שהלוה במשכון לבד ובין הלוה בשטר ובמשכון:</w:t>
      </w:r>
    </w:p>
    <w:p w14:paraId="4A657FD0" w14:textId="77777777" w:rsidR="0004348D" w:rsidRPr="0004348D" w:rsidRDefault="0004348D" w:rsidP="00992A87">
      <w:pPr>
        <w:numPr>
          <w:ilvl w:val="0"/>
          <w:numId w:val="368"/>
        </w:numPr>
        <w:spacing w:before="360" w:after="240"/>
        <w:contextualSpacing/>
        <w:rPr>
          <w:rFonts w:ascii="Calibri" w:eastAsia="Calibri" w:hAnsi="Calibri" w:cs="Arial"/>
        </w:rPr>
      </w:pPr>
      <w:r w:rsidRPr="0004348D">
        <w:rPr>
          <w:rFonts w:ascii="Calibri" w:eastAsia="Calibri" w:hAnsi="Calibri" w:cs="Arial"/>
          <w:rtl/>
        </w:rPr>
        <w:t xml:space="preserve">רש"י </w:t>
      </w:r>
      <w:r w:rsidRPr="0004348D">
        <w:rPr>
          <w:rFonts w:ascii="Calibri" w:eastAsia="Calibri" w:hAnsi="Calibri" w:cs="Arial"/>
          <w:sz w:val="16"/>
          <w:szCs w:val="16"/>
          <w:rtl/>
        </w:rPr>
        <w:t>(ב"מ פא: ד"ה אבל, כ"כ הג"א בשמו [שם])</w:t>
      </w:r>
      <w:r w:rsidRPr="0004348D">
        <w:rPr>
          <w:rFonts w:ascii="Calibri" w:eastAsia="Calibri" w:hAnsi="Calibri" w:cs="Arial"/>
          <w:rtl/>
        </w:rPr>
        <w:t xml:space="preserve"> ובעל התרומות </w:t>
      </w:r>
      <w:r w:rsidRPr="0004348D">
        <w:rPr>
          <w:rFonts w:ascii="Calibri" w:eastAsia="Calibri" w:hAnsi="Calibri" w:cs="Arial"/>
          <w:sz w:val="16"/>
          <w:szCs w:val="16"/>
          <w:rtl/>
        </w:rPr>
        <w:t>(שער מט ח"ד סי' ז)</w:t>
      </w:r>
      <w:r w:rsidRPr="0004348D">
        <w:rPr>
          <w:rFonts w:ascii="Calibri" w:eastAsia="Calibri" w:hAnsi="Calibri" w:cs="Arial"/>
          <w:rtl/>
        </w:rPr>
        <w:t>- לא שנא הלוהו על המשכון בשטר או שלא בשטר</w:t>
      </w:r>
      <w:r w:rsidRPr="0004348D">
        <w:rPr>
          <w:rFonts w:ascii="Calibri" w:eastAsia="Calibri" w:hAnsi="Calibri" w:cs="Arial"/>
          <w:vertAlign w:val="superscript"/>
          <w:rtl/>
        </w:rPr>
        <w:footnoteReference w:id="5813"/>
      </w:r>
      <w:r w:rsidRPr="0004348D">
        <w:rPr>
          <w:rFonts w:ascii="Calibri" w:eastAsia="Calibri" w:hAnsi="Calibri" w:cs="Arial"/>
          <w:rtl/>
        </w:rPr>
        <w:t>.</w:t>
      </w:r>
    </w:p>
    <w:p w14:paraId="32E53D02" w14:textId="77777777" w:rsidR="0004348D" w:rsidRPr="0004348D" w:rsidRDefault="0004348D" w:rsidP="00992A87">
      <w:pPr>
        <w:numPr>
          <w:ilvl w:val="0"/>
          <w:numId w:val="368"/>
        </w:numPr>
        <w:spacing w:before="360" w:after="240"/>
        <w:contextualSpacing/>
        <w:rPr>
          <w:rFonts w:ascii="Calibri" w:eastAsia="Calibri" w:hAnsi="Calibri" w:cs="Arial"/>
        </w:rPr>
      </w:pPr>
      <w:r w:rsidRPr="0004348D">
        <w:rPr>
          <w:rFonts w:ascii="Calibri" w:eastAsia="Calibri" w:hAnsi="Calibri" w:cs="Arial"/>
          <w:rtl/>
        </w:rPr>
        <w:t xml:space="preserve">בה"ג </w:t>
      </w:r>
      <w:r w:rsidRPr="0004348D">
        <w:rPr>
          <w:rFonts w:ascii="Calibri" w:eastAsia="Calibri" w:hAnsi="Calibri" w:cs="Arial"/>
          <w:sz w:val="16"/>
          <w:szCs w:val="16"/>
          <w:rtl/>
        </w:rPr>
        <w:t>(סי' נב הל' שבועה קיז ע"ג, וכ"כ בשמו מהר"ם [ד"פ סי' רפח] והג"א [ס"פ האומנים סי' יח])</w:t>
      </w:r>
      <w:r w:rsidRPr="0004348D">
        <w:rPr>
          <w:rFonts w:ascii="Calibri" w:eastAsia="Calibri" w:hAnsi="Calibri" w:cs="Arial"/>
          <w:rtl/>
        </w:rPr>
        <w:t>- הני מילי</w:t>
      </w:r>
      <w:r w:rsidRPr="0004348D">
        <w:rPr>
          <w:rFonts w:ascii="Calibri" w:eastAsia="Calibri" w:hAnsi="Calibri" w:cs="Arial"/>
          <w:sz w:val="16"/>
          <w:szCs w:val="16"/>
          <w:rtl/>
        </w:rPr>
        <w:t xml:space="preserve"> {דאמרו בגמ' לרבי יצחק דהממשכן בשעת הלואה לא קנה היינו-}</w:t>
      </w:r>
      <w:r w:rsidRPr="0004348D">
        <w:rPr>
          <w:rFonts w:ascii="Calibri" w:eastAsia="Calibri" w:hAnsi="Calibri" w:cs="Arial"/>
          <w:rtl/>
        </w:rPr>
        <w:t xml:space="preserve"> דכתב עליה שטרא דלא סמך אמשכון</w:t>
      </w:r>
      <w:r w:rsidRPr="0004348D">
        <w:rPr>
          <w:rFonts w:ascii="Calibri" w:eastAsia="Calibri" w:hAnsi="Calibri" w:cs="Arial"/>
          <w:sz w:val="16"/>
          <w:szCs w:val="16"/>
          <w:rtl/>
        </w:rPr>
        <w:t xml:space="preserve"> {לבד}</w:t>
      </w:r>
      <w:r w:rsidRPr="0004348D">
        <w:rPr>
          <w:rFonts w:ascii="Calibri" w:eastAsia="Calibri" w:hAnsi="Calibri" w:cs="Arial"/>
          <w:rtl/>
        </w:rPr>
        <w:t>, אבל לא כתב עליה שטרא ושקיל מיניה משכון בשעת הלואה - קני, והוי עליה שומר שכר... והיכא נמי דאוזפיה וכתב עליה שטרא ולבתר הכי שקל מיניה משכון - הוי עליה שומר שכר, והיינו דרבי יצחק</w:t>
      </w:r>
      <w:r w:rsidRPr="0004348D">
        <w:rPr>
          <w:rFonts w:ascii="Calibri" w:eastAsia="Calibri" w:hAnsi="Calibri" w:cs="Arial"/>
          <w:vertAlign w:val="superscript"/>
          <w:rtl/>
        </w:rPr>
        <w:footnoteReference w:id="5814"/>
      </w:r>
      <w:r w:rsidRPr="0004348D">
        <w:rPr>
          <w:rFonts w:ascii="Calibri" w:eastAsia="Calibri" w:hAnsi="Calibri" w:cs="Arial"/>
          <w:rtl/>
        </w:rPr>
        <w:t xml:space="preserve">. </w:t>
      </w:r>
    </w:p>
    <w:p w14:paraId="1F624587" w14:textId="77777777" w:rsidR="0004348D" w:rsidRPr="0004348D" w:rsidRDefault="0004348D" w:rsidP="00992A87">
      <w:pPr>
        <w:numPr>
          <w:ilvl w:val="0"/>
          <w:numId w:val="368"/>
        </w:numPr>
        <w:spacing w:before="360" w:after="240"/>
        <w:contextualSpacing/>
        <w:rPr>
          <w:rFonts w:ascii="Calibri" w:eastAsia="Calibri" w:hAnsi="Calibri" w:cs="Arial"/>
        </w:rPr>
      </w:pPr>
      <w:r w:rsidRPr="0004348D">
        <w:rPr>
          <w:rFonts w:ascii="Calibri" w:eastAsia="Calibri" w:hAnsi="Calibri" w:cs="Arial"/>
          <w:rtl/>
        </w:rPr>
        <w:t xml:space="preserve">בה"ג </w:t>
      </w:r>
      <w:r w:rsidRPr="0004348D">
        <w:rPr>
          <w:rFonts w:ascii="Calibri" w:eastAsia="Calibri" w:hAnsi="Calibri" w:cs="Arial"/>
          <w:sz w:val="16"/>
          <w:szCs w:val="16"/>
          <w:rtl/>
        </w:rPr>
        <w:t>(כ"כ הרי"ף בשמו)</w:t>
      </w:r>
      <w:r w:rsidRPr="0004348D">
        <w:rPr>
          <w:rFonts w:ascii="Calibri" w:eastAsia="Calibri" w:hAnsi="Calibri" w:cs="Arial"/>
          <w:rtl/>
        </w:rPr>
        <w:t xml:space="preserve"> ורי"ף</w:t>
      </w:r>
      <w:r w:rsidRPr="0004348D">
        <w:rPr>
          <w:rFonts w:ascii="Calibri" w:eastAsia="Calibri" w:hAnsi="Calibri" w:cs="Arial"/>
          <w:sz w:val="16"/>
          <w:szCs w:val="16"/>
          <w:rtl/>
        </w:rPr>
        <w:t xml:space="preserve"> (שערי שבועות שער ט, כ"כ המרדכי בשמו [שבועת הדיינין סי' תשעד])</w:t>
      </w:r>
      <w:r w:rsidRPr="0004348D">
        <w:rPr>
          <w:rFonts w:ascii="Calibri" w:eastAsia="Calibri" w:hAnsi="Calibri" w:cs="Arial"/>
          <w:rtl/>
        </w:rPr>
        <w:t>- אם משכנו בשעת הלואתו - הוי שומר חנם</w:t>
      </w:r>
      <w:r w:rsidRPr="0004348D">
        <w:rPr>
          <w:rFonts w:ascii="Calibri" w:eastAsia="Calibri" w:hAnsi="Calibri" w:cs="Arial"/>
          <w:sz w:val="16"/>
          <w:szCs w:val="16"/>
          <w:rtl/>
        </w:rPr>
        <w:t xml:space="preserve"> {דלא קנה}</w:t>
      </w:r>
      <w:r w:rsidRPr="0004348D">
        <w:rPr>
          <w:rFonts w:ascii="Calibri" w:eastAsia="Calibri" w:hAnsi="Calibri" w:cs="Arial"/>
          <w:rtl/>
        </w:rPr>
        <w:t xml:space="preserve">, ושלא בשעת הלואתו - הוי שומר שכר </w:t>
      </w:r>
      <w:r w:rsidRPr="0004348D">
        <w:rPr>
          <w:rFonts w:ascii="Calibri" w:eastAsia="Calibri" w:hAnsi="Calibri" w:cs="Arial"/>
          <w:sz w:val="16"/>
          <w:szCs w:val="16"/>
          <w:rtl/>
        </w:rPr>
        <w:t>{דקנה}</w:t>
      </w:r>
      <w:r w:rsidRPr="0004348D">
        <w:rPr>
          <w:rFonts w:ascii="Calibri" w:eastAsia="Calibri" w:hAnsi="Calibri" w:cs="Arial"/>
          <w:vertAlign w:val="superscript"/>
          <w:rtl/>
        </w:rPr>
        <w:footnoteReference w:id="5815"/>
      </w:r>
      <w:r w:rsidRPr="0004348D">
        <w:rPr>
          <w:rFonts w:ascii="Calibri" w:eastAsia="Calibri" w:hAnsi="Calibri" w:cs="Arial"/>
          <w:rtl/>
        </w:rPr>
        <w:t>.</w:t>
      </w:r>
    </w:p>
    <w:p w14:paraId="181210AE" w14:textId="77777777" w:rsidR="0004348D" w:rsidRPr="0004348D" w:rsidRDefault="0004348D" w:rsidP="0004348D">
      <w:pPr>
        <w:spacing w:before="360" w:after="240"/>
        <w:rPr>
          <w:rFonts w:ascii="Arial" w:eastAsia="Calibri" w:hAnsi="Arial" w:cs="Arial"/>
          <w:b/>
          <w:bCs/>
          <w:color w:val="000000"/>
          <w:sz w:val="28"/>
          <w:szCs w:val="28"/>
          <w:u w:val="single"/>
          <w:rtl/>
        </w:rPr>
      </w:pPr>
      <w:r w:rsidRPr="0004348D">
        <w:rPr>
          <w:rFonts w:ascii="Arial" w:eastAsia="Calibri" w:hAnsi="Arial" w:cs="Arial"/>
          <w:b/>
          <w:bCs/>
          <w:color w:val="000000"/>
          <w:sz w:val="28"/>
          <w:szCs w:val="28"/>
          <w:u w:val="single"/>
          <w:rtl/>
        </w:rPr>
        <w:t>שו"ע:</w:t>
      </w:r>
    </w:p>
    <w:p w14:paraId="0816A560" w14:textId="77777777" w:rsidR="0004348D" w:rsidRPr="0004348D" w:rsidRDefault="0004348D" w:rsidP="0004348D">
      <w:pPr>
        <w:spacing w:before="360" w:after="240"/>
        <w:rPr>
          <w:rFonts w:ascii="Calibri" w:eastAsia="Calibri" w:hAnsi="Calibri" w:cs="Arial"/>
          <w:rtl/>
        </w:rPr>
      </w:pPr>
      <w:r w:rsidRPr="0004348D">
        <w:rPr>
          <w:rFonts w:ascii="Calibri" w:eastAsia="Calibri" w:hAnsi="Calibri" w:cs="Arial"/>
          <w:rtl/>
        </w:rPr>
        <w:t xml:space="preserve">המלוה את חבירו על המשכון, בין שהלוהו מעות בין שהלוהו פירות, בין שמשכנו בשעת הלואתו בין שמשכנו אחר שהלוהו, הרי זה שומר שכר. לפיכך אם אבד המשכון או נגנב, חייב בדמיו. ואם היה שוה המשכון כדי דמי החוב, אין לאחד על חבירו כלום. ואם החוב יתר על המשכון, משלם הלוה היתרון. </w:t>
      </w:r>
      <w:r w:rsidRPr="0004348D">
        <w:rPr>
          <w:rFonts w:ascii="Calibri" w:eastAsia="Calibri" w:hAnsi="Calibri" w:cs="Arial"/>
          <w:sz w:val="18"/>
          <w:szCs w:val="18"/>
          <w:vertAlign w:val="superscript"/>
          <w:rtl/>
        </w:rPr>
        <w:footnoteReference w:id="5816"/>
      </w:r>
      <w:r w:rsidRPr="0004348D">
        <w:rPr>
          <w:rFonts w:ascii="Calibri" w:eastAsia="Calibri" w:hAnsi="Calibri" w:cs="Arial"/>
          <w:sz w:val="18"/>
          <w:szCs w:val="18"/>
          <w:rtl/>
        </w:rPr>
        <w:t xml:space="preserve">הגה: ואין חלוק בין אם פירש שקבלו למשכון בכדי שוויו, בין קבלו סתם. וי"א דאם פירש ואמר בשעת הלואה שמקבל המשכון בכל החוב, אפי' אם קבל קתא דמגלא באלפא זוזי, אבד המשכון אבד הכל (טור). </w:t>
      </w:r>
      <w:r w:rsidRPr="0004348D">
        <w:rPr>
          <w:rFonts w:ascii="Calibri" w:eastAsia="Calibri" w:hAnsi="Calibri" w:cs="Arial"/>
          <w:rtl/>
        </w:rPr>
        <w:t>ואם דמי המשכון יתרים על החוב, נותן המלוה ללוה היתרון. ואם נאנס המשכון, כגון שנלקח בלסטים מזויין וכיוצא בו משאר אונסים, ישבע המלוה שנאנס, וישלם לו</w:t>
      </w:r>
      <w:r w:rsidRPr="0004348D">
        <w:rPr>
          <w:rFonts w:ascii="Calibri" w:eastAsia="Calibri" w:hAnsi="Calibri" w:cs="Arial"/>
          <w:vertAlign w:val="superscript"/>
          <w:rtl/>
        </w:rPr>
        <w:footnoteReference w:id="5817"/>
      </w:r>
      <w:r w:rsidRPr="0004348D">
        <w:rPr>
          <w:rFonts w:ascii="Calibri" w:eastAsia="Calibri" w:hAnsi="Calibri" w:cs="Arial"/>
          <w:rtl/>
        </w:rPr>
        <w:t xml:space="preserve"> בעל המשכון את חובו עד פרוטה אחרונה</w:t>
      </w:r>
      <w:r w:rsidRPr="0004348D">
        <w:rPr>
          <w:rFonts w:ascii="Calibri" w:eastAsia="Calibri" w:hAnsi="Calibri" w:cs="Arial"/>
          <w:vertAlign w:val="superscript"/>
          <w:rtl/>
        </w:rPr>
        <w:footnoteReference w:id="5818"/>
      </w:r>
      <w:r w:rsidRPr="0004348D">
        <w:rPr>
          <w:rFonts w:ascii="Calibri" w:eastAsia="Calibri" w:hAnsi="Calibri" w:cs="Arial"/>
          <w:rtl/>
        </w:rPr>
        <w:t xml:space="preserve">. </w:t>
      </w:r>
      <w:r w:rsidRPr="0004348D">
        <w:rPr>
          <w:rFonts w:ascii="Calibri" w:eastAsia="Calibri" w:hAnsi="Calibri" w:cs="Arial"/>
          <w:sz w:val="18"/>
          <w:szCs w:val="18"/>
          <w:rtl/>
        </w:rPr>
        <w:t>הגה: וי"א דמלוה על המשכון</w:t>
      </w:r>
      <w:r w:rsidRPr="0004348D">
        <w:rPr>
          <w:rFonts w:ascii="Calibri" w:eastAsia="Calibri" w:hAnsi="Calibri" w:cs="Arial"/>
          <w:sz w:val="18"/>
          <w:szCs w:val="18"/>
          <w:vertAlign w:val="superscript"/>
          <w:rtl/>
        </w:rPr>
        <w:footnoteReference w:id="5819"/>
      </w:r>
      <w:r w:rsidRPr="0004348D">
        <w:rPr>
          <w:rFonts w:ascii="Calibri" w:eastAsia="Calibri" w:hAnsi="Calibri" w:cs="Arial"/>
          <w:sz w:val="18"/>
          <w:szCs w:val="18"/>
          <w:rtl/>
        </w:rPr>
        <w:t xml:space="preserve"> לא הוי אלא שומר חנם</w:t>
      </w:r>
      <w:r w:rsidRPr="0004348D">
        <w:rPr>
          <w:rFonts w:ascii="Calibri" w:eastAsia="Calibri" w:hAnsi="Calibri" w:cs="Arial"/>
          <w:sz w:val="18"/>
          <w:szCs w:val="18"/>
          <w:vertAlign w:val="superscript"/>
          <w:rtl/>
        </w:rPr>
        <w:footnoteReference w:id="5820"/>
      </w:r>
      <w:r w:rsidRPr="0004348D">
        <w:rPr>
          <w:rFonts w:ascii="Calibri" w:eastAsia="Calibri" w:hAnsi="Calibri" w:cs="Arial"/>
          <w:sz w:val="18"/>
          <w:szCs w:val="18"/>
          <w:rtl/>
        </w:rPr>
        <w:t xml:space="preserve"> לענין זה שאם דמי המשכון יתרים על החוב אין המלוה נותן ללוה היתרון אלא אבד מעותיו, ולא יותר</w:t>
      </w:r>
      <w:r w:rsidRPr="0004348D">
        <w:rPr>
          <w:rFonts w:ascii="Calibri" w:eastAsia="Calibri" w:hAnsi="Calibri" w:cs="Arial"/>
          <w:sz w:val="16"/>
          <w:szCs w:val="16"/>
          <w:rtl/>
        </w:rPr>
        <w:t xml:space="preserve"> (טור בשם ר"י והרא"ש</w:t>
      </w:r>
      <w:r w:rsidRPr="0004348D">
        <w:rPr>
          <w:rFonts w:ascii="Calibri" w:eastAsia="Calibri" w:hAnsi="Calibri" w:cs="Arial"/>
          <w:sz w:val="16"/>
          <w:szCs w:val="16"/>
          <w:vertAlign w:val="superscript"/>
          <w:rtl/>
        </w:rPr>
        <w:footnoteReference w:id="5821"/>
      </w:r>
      <w:r w:rsidRPr="0004348D">
        <w:rPr>
          <w:rFonts w:ascii="Calibri" w:eastAsia="Calibri" w:hAnsi="Calibri" w:cs="Arial"/>
          <w:sz w:val="16"/>
          <w:szCs w:val="16"/>
          <w:rtl/>
        </w:rPr>
        <w:t>)</w:t>
      </w:r>
      <w:r w:rsidRPr="0004348D">
        <w:rPr>
          <w:rFonts w:ascii="Calibri" w:eastAsia="Calibri" w:hAnsi="Calibri" w:cs="Arial"/>
          <w:sz w:val="18"/>
          <w:szCs w:val="18"/>
          <w:rtl/>
        </w:rPr>
        <w:t>. ומספיקא לא מפקינן ממונא</w:t>
      </w:r>
      <w:r w:rsidRPr="0004348D">
        <w:rPr>
          <w:rFonts w:ascii="Calibri" w:eastAsia="Calibri" w:hAnsi="Calibri" w:cs="Arial"/>
          <w:sz w:val="18"/>
          <w:szCs w:val="18"/>
          <w:vertAlign w:val="superscript"/>
          <w:rtl/>
        </w:rPr>
        <w:footnoteReference w:id="5822"/>
      </w:r>
      <w:r w:rsidRPr="0004348D">
        <w:rPr>
          <w:rFonts w:ascii="Calibri" w:eastAsia="Calibri" w:hAnsi="Calibri" w:cs="Arial"/>
          <w:sz w:val="18"/>
          <w:szCs w:val="18"/>
          <w:rtl/>
        </w:rPr>
        <w:t xml:space="preserve"> </w:t>
      </w:r>
      <w:r w:rsidRPr="0004348D">
        <w:rPr>
          <w:rFonts w:ascii="Calibri" w:eastAsia="Calibri" w:hAnsi="Calibri" w:cs="Arial"/>
          <w:sz w:val="16"/>
          <w:szCs w:val="16"/>
          <w:rtl/>
        </w:rPr>
        <w:t>(מהר"ם)</w:t>
      </w:r>
      <w:r w:rsidRPr="0004348D">
        <w:rPr>
          <w:rFonts w:ascii="Calibri" w:eastAsia="Calibri" w:hAnsi="Calibri" w:cs="Arial"/>
          <w:sz w:val="18"/>
          <w:szCs w:val="18"/>
          <w:rtl/>
        </w:rPr>
        <w:t xml:space="preserve">. ואם נאבד או נגנב בפשיעה, חייב לשלם לדברי הכל </w:t>
      </w:r>
      <w:r w:rsidRPr="0004348D">
        <w:rPr>
          <w:rFonts w:ascii="Calibri" w:eastAsia="Calibri" w:hAnsi="Calibri" w:cs="Arial"/>
          <w:sz w:val="16"/>
          <w:szCs w:val="16"/>
          <w:rtl/>
        </w:rPr>
        <w:t>(טור)</w:t>
      </w:r>
      <w:r w:rsidRPr="0004348D">
        <w:rPr>
          <w:rFonts w:ascii="Calibri" w:eastAsia="Calibri" w:hAnsi="Calibri" w:cs="Arial"/>
          <w:sz w:val="18"/>
          <w:szCs w:val="18"/>
          <w:rtl/>
        </w:rPr>
        <w:t>.</w:t>
      </w:r>
    </w:p>
    <w:p w14:paraId="67D31642" w14:textId="77777777" w:rsidR="0004348D" w:rsidRPr="0004348D" w:rsidRDefault="0004348D" w:rsidP="0004348D">
      <w:pPr>
        <w:spacing w:before="360" w:after="240"/>
        <w:rPr>
          <w:rFonts w:ascii="Calibri" w:eastAsia="Calibri" w:hAnsi="Calibri" w:cs="Arial"/>
          <w:rtl/>
        </w:rPr>
      </w:pPr>
      <w:r w:rsidRPr="0004348D">
        <w:rPr>
          <w:rFonts w:ascii="Calibri" w:eastAsia="Calibri" w:hAnsi="Calibri" w:cs="Arial"/>
          <w:rtl/>
        </w:rPr>
        <w:t xml:space="preserve"> </w:t>
      </w:r>
    </w:p>
    <w:p w14:paraId="2809DFA2" w14:textId="77777777" w:rsidR="0004348D" w:rsidRPr="0004348D" w:rsidRDefault="0004348D" w:rsidP="0004348D">
      <w:pPr>
        <w:keepNext/>
        <w:keepLines/>
        <w:spacing w:before="360" w:after="240"/>
        <w:outlineLvl w:val="1"/>
        <w:rPr>
          <w:rFonts w:ascii="Cambria" w:eastAsia="Times New Roman" w:hAnsi="Cambria" w:cs="Arial"/>
          <w:bCs/>
          <w:color w:val="548DD4" w:themeColor="text2" w:themeTint="99"/>
          <w:sz w:val="26"/>
          <w:szCs w:val="26"/>
          <w:rtl/>
        </w:rPr>
      </w:pPr>
      <w:bookmarkStart w:id="831" w:name="_Toc24884220"/>
      <w:r w:rsidRPr="0004348D">
        <w:rPr>
          <w:rFonts w:ascii="Cambria" w:eastAsia="Times New Roman" w:hAnsi="Cambria" w:cs="Arial"/>
          <w:bCs/>
          <w:color w:val="548DD4" w:themeColor="text2" w:themeTint="99"/>
          <w:sz w:val="26"/>
          <w:szCs w:val="26"/>
          <w:rtl/>
        </w:rPr>
        <w:t>סעיף ג: המלוה על המשכון וחזר המלוה והפקידו ללוה ונגנב או נאבד.</w:t>
      </w:r>
      <w:bookmarkEnd w:id="831"/>
    </w:p>
    <w:p w14:paraId="1DD514C8" w14:textId="77777777" w:rsidR="0004348D" w:rsidRPr="0004348D" w:rsidRDefault="0004348D" w:rsidP="0004348D">
      <w:pPr>
        <w:spacing w:before="360" w:after="240"/>
        <w:rPr>
          <w:rFonts w:ascii="Calibri" w:eastAsia="Calibri" w:hAnsi="Calibri" w:cs="Arial"/>
          <w:u w:val="single"/>
          <w:rtl/>
        </w:rPr>
      </w:pPr>
      <w:r w:rsidRPr="0004348D">
        <w:rPr>
          <w:rFonts w:ascii="Calibri" w:eastAsia="Calibri" w:hAnsi="Calibri" w:cs="Arial"/>
          <w:u w:val="single"/>
          <w:rtl/>
        </w:rPr>
        <w:t>המלוה על המשכון וחזר המלוה והפקידו ללוה ונגנב או נאבד:</w:t>
      </w:r>
    </w:p>
    <w:p w14:paraId="128B08B6" w14:textId="77777777" w:rsidR="0004348D" w:rsidRPr="0004348D" w:rsidRDefault="0004348D" w:rsidP="0004348D">
      <w:pPr>
        <w:numPr>
          <w:ilvl w:val="0"/>
          <w:numId w:val="356"/>
        </w:numPr>
        <w:spacing w:before="360" w:after="240"/>
        <w:contextualSpacing/>
        <w:rPr>
          <w:rFonts w:ascii="Calibri" w:eastAsia="Calibri" w:hAnsi="Calibri" w:cs="Arial"/>
        </w:rPr>
      </w:pPr>
      <w:r w:rsidRPr="0004348D">
        <w:rPr>
          <w:rFonts w:ascii="Calibri" w:eastAsia="Calibri" w:hAnsi="Calibri" w:cs="Arial"/>
          <w:rtl/>
        </w:rPr>
        <w:t>מרדכי</w:t>
      </w:r>
      <w:r w:rsidRPr="0004348D">
        <w:rPr>
          <w:rFonts w:ascii="Calibri" w:eastAsia="Calibri" w:hAnsi="Calibri" w:cs="Arial"/>
          <w:sz w:val="16"/>
          <w:szCs w:val="16"/>
          <w:rtl/>
        </w:rPr>
        <w:t xml:space="preserve"> (ב"מ סי' שסג-שסד, ובהגהות שניות דמרדכי דמציעא סי' תסב)</w:t>
      </w:r>
      <w:r w:rsidRPr="0004348D">
        <w:rPr>
          <w:rFonts w:ascii="Calibri" w:eastAsia="Calibri" w:hAnsi="Calibri" w:cs="Arial"/>
          <w:rtl/>
        </w:rPr>
        <w:t>- המלוה על המשכון, וחזר המלוה והפקידו ללוה, ונגנב או נאבד - חייב המלוה אע"פ שביד הלוה אבד, שהרי אם הפקידו המלוה לאדם אחר ואבדו חייב, והוא הדין הפקידו ביד הלוה כיון דבתורת פקדון נתנו לו אכתי ברשותא דמלוה קאי. ומזה הטעם דן ר"י על ראובן שלוה מעות משמעון על בגדי אשתו וחזר והשאילן לו עד לאחר המועד ומת במועד, ומחמת יראת המושל מסרה את אשר לה לשמעון וגם מלבושים שהיו ממושכנים בידו והחזיר לה שמעון הכל חוץ מן המלבושים, ופסק ר"י דהדין עמו דאע"ג דאין אדם רשאי למכור בגדי אשתו מכל מקום אחזוקי אינשי בגנבי לא מחזקינן ומסתמא ברשותה משכנם בעלה, וכיון שהשאיל לו שמעון עד לאחר המועד עדיין הם ברשות שמעון כיון שבתורת שאלה באו לידו ולא בתורת חזרה, ואין האשה יכולה לטעון תפשתים בעבור כתובתי ואני הייתי מוחזקת בהם כשמסרתי לך מלבושי</w:t>
      </w:r>
      <w:r w:rsidRPr="0004348D">
        <w:rPr>
          <w:rFonts w:ascii="Calibri" w:eastAsia="Calibri" w:hAnsi="Calibri" w:cs="Arial"/>
          <w:vertAlign w:val="superscript"/>
          <w:rtl/>
        </w:rPr>
        <w:footnoteReference w:id="5823"/>
      </w:r>
      <w:r w:rsidRPr="0004348D">
        <w:rPr>
          <w:rFonts w:ascii="Calibri" w:eastAsia="Calibri" w:hAnsi="Calibri" w:cs="Arial"/>
          <w:rtl/>
        </w:rPr>
        <w:t>, דכיון שהחזירתם לו</w:t>
      </w:r>
      <w:r w:rsidRPr="0004348D">
        <w:rPr>
          <w:rFonts w:ascii="Calibri" w:eastAsia="Calibri" w:hAnsi="Calibri" w:cs="Arial"/>
          <w:vertAlign w:val="superscript"/>
          <w:rtl/>
        </w:rPr>
        <w:footnoteReference w:id="5824"/>
      </w:r>
      <w:r w:rsidRPr="0004348D">
        <w:rPr>
          <w:rFonts w:ascii="Calibri" w:eastAsia="Calibri" w:hAnsi="Calibri" w:cs="Arial"/>
          <w:rtl/>
        </w:rPr>
        <w:t xml:space="preserve"> לא היו יותר ברשותה</w:t>
      </w:r>
      <w:r w:rsidRPr="0004348D">
        <w:rPr>
          <w:rFonts w:ascii="Calibri" w:eastAsia="Calibri" w:hAnsi="Calibri" w:cs="Arial"/>
          <w:vertAlign w:val="superscript"/>
          <w:rtl/>
        </w:rPr>
        <w:footnoteReference w:id="5825"/>
      </w:r>
      <w:r w:rsidRPr="0004348D">
        <w:rPr>
          <w:rFonts w:ascii="Calibri" w:eastAsia="Calibri" w:hAnsi="Calibri" w:cs="Arial"/>
          <w:rtl/>
        </w:rPr>
        <w:t xml:space="preserve">. </w:t>
      </w:r>
      <w:r w:rsidRPr="0004348D">
        <w:rPr>
          <w:rFonts w:ascii="Calibri" w:eastAsia="Calibri" w:hAnsi="Calibri" w:cs="Arial"/>
          <w:color w:val="E36C0A" w:themeColor="accent6" w:themeShade="BF"/>
          <w:rtl/>
        </w:rPr>
        <w:t>(וכ"פ בשו"ע)</w:t>
      </w:r>
      <w:r w:rsidRPr="0004348D">
        <w:rPr>
          <w:rFonts w:ascii="Calibri" w:eastAsia="Calibri" w:hAnsi="Calibri" w:cs="Arial"/>
          <w:color w:val="00B0F0"/>
          <w:rtl/>
        </w:rPr>
        <w:t xml:space="preserve"> </w:t>
      </w:r>
    </w:p>
    <w:p w14:paraId="7AD9EF9A" w14:textId="77777777" w:rsidR="0004348D" w:rsidRPr="0004348D" w:rsidRDefault="0004348D" w:rsidP="0004348D">
      <w:pPr>
        <w:spacing w:before="360" w:after="240"/>
        <w:rPr>
          <w:rFonts w:ascii="Calibri" w:eastAsia="Calibri" w:hAnsi="Calibri" w:cs="Arial"/>
          <w:u w:val="single"/>
          <w:rtl/>
        </w:rPr>
      </w:pPr>
      <w:r w:rsidRPr="0004348D">
        <w:rPr>
          <w:rFonts w:ascii="Calibri" w:eastAsia="Calibri" w:hAnsi="Calibri" w:cs="Arial"/>
          <w:u w:val="single"/>
          <w:rtl/>
        </w:rPr>
        <w:t>משכון שהתגלגל בין אנשים - ולבסוף תבע בעל המשכון את המשכון מזה שמשכן אצלו בתחילה:</w:t>
      </w:r>
    </w:p>
    <w:p w14:paraId="15C9DDB6" w14:textId="77777777" w:rsidR="0004348D" w:rsidRPr="0004348D" w:rsidRDefault="0004348D" w:rsidP="0004348D">
      <w:pPr>
        <w:numPr>
          <w:ilvl w:val="0"/>
          <w:numId w:val="356"/>
        </w:numPr>
        <w:spacing w:before="360" w:after="240"/>
        <w:contextualSpacing/>
        <w:rPr>
          <w:rFonts w:ascii="Calibri" w:eastAsia="Calibri" w:hAnsi="Calibri" w:cs="Arial"/>
          <w:rtl/>
        </w:rPr>
      </w:pPr>
      <w:r w:rsidRPr="0004348D">
        <w:rPr>
          <w:rFonts w:ascii="Calibri" w:eastAsia="Calibri" w:hAnsi="Calibri" w:cs="Arial"/>
          <w:rtl/>
        </w:rPr>
        <w:t xml:space="preserve">מרדכי </w:t>
      </w:r>
      <w:r w:rsidRPr="0004348D">
        <w:rPr>
          <w:rFonts w:ascii="Calibri" w:eastAsia="Calibri" w:hAnsi="Calibri" w:cs="Arial"/>
          <w:sz w:val="16"/>
          <w:szCs w:val="16"/>
          <w:rtl/>
        </w:rPr>
        <w:t>(שבועת הדיינין סי' תשעה)</w:t>
      </w:r>
      <w:r w:rsidRPr="0004348D">
        <w:rPr>
          <w:rFonts w:ascii="Calibri" w:eastAsia="Calibri" w:hAnsi="Calibri" w:cs="Arial"/>
          <w:rtl/>
        </w:rPr>
        <w:t xml:space="preserve">- מצאתי תשובת רש"י. ראובן משכן חפץ לשמעון, ושמעון משכנו ללוי, וכן אמר לו שמעון ללוי שקיבל אותו משכון מראובן עד אותו זמן ועבר הזמן ושוב לא יפדנו. והלך לוי ונתנו במתנה ליהודה. וראובן תובע משכונו משמעון. כך דעתי נוטה שראובן ושמעון מוציאין המשכון מיהודה, ויחזירו ליהודה שיעור הלואה שהלוה לוי לשמעון דכל זכות שיש לו בה נתן לו לוי. ואין יכול לומר יהודה לראובן ושמעון 'לאו בעל דברים דידי את', דאמר רב יהודה גזל ולא נתייאשו הבעלים ובא אחר ואכלו רצה מזה גובה רצה מזה גובה. והא דאמר רבי יצחק בעל חוב קונה משכון היינו במשכנו שלא בשעת הלואתו. ומה שטוען שמעון שמשכון זה ניתן לזמן - לאו טענה היא דכל ד'אי' - אסמכתא היא ולא קניא אי לא אתפסיה וקנו מניה בבית דין חשוב </w:t>
      </w:r>
      <w:r w:rsidRPr="0004348D">
        <w:rPr>
          <w:rFonts w:ascii="Calibri" w:eastAsia="Calibri" w:hAnsi="Calibri" w:cs="Arial"/>
          <w:sz w:val="16"/>
          <w:szCs w:val="16"/>
          <w:rtl/>
        </w:rPr>
        <w:t>(נדרים כז:)</w:t>
      </w:r>
      <w:r w:rsidRPr="0004348D">
        <w:rPr>
          <w:rFonts w:ascii="Calibri" w:eastAsia="Calibri" w:hAnsi="Calibri" w:cs="Arial"/>
          <w:rtl/>
        </w:rPr>
        <w:t xml:space="preserve">. הלכך אם טען יהודה שאין המשכון בידו ישבע שאין ברשותו כדאמר בהמפקיד </w:t>
      </w:r>
      <w:r w:rsidRPr="0004348D">
        <w:rPr>
          <w:rFonts w:ascii="Calibri" w:eastAsia="Calibri" w:hAnsi="Calibri" w:cs="Arial"/>
          <w:sz w:val="16"/>
          <w:szCs w:val="16"/>
          <w:rtl/>
        </w:rPr>
        <w:t>(ב"מ לד:)</w:t>
      </w:r>
      <w:r w:rsidRPr="0004348D">
        <w:rPr>
          <w:rFonts w:ascii="Calibri" w:eastAsia="Calibri" w:hAnsi="Calibri" w:cs="Arial"/>
          <w:rtl/>
        </w:rPr>
        <w:t xml:space="preserve">, ועוד ישבע כמה היה שוה, דאע"ג דקיי"ל כרב אשי </w:t>
      </w:r>
      <w:r w:rsidRPr="0004348D">
        <w:rPr>
          <w:rFonts w:ascii="Calibri" w:eastAsia="Calibri" w:hAnsi="Calibri" w:cs="Arial"/>
          <w:sz w:val="16"/>
          <w:szCs w:val="16"/>
          <w:rtl/>
        </w:rPr>
        <w:t xml:space="preserve">(שם לה.) </w:t>
      </w:r>
      <w:r w:rsidRPr="0004348D">
        <w:rPr>
          <w:rFonts w:ascii="Calibri" w:eastAsia="Calibri" w:hAnsi="Calibri" w:cs="Arial"/>
          <w:rtl/>
        </w:rPr>
        <w:t>דאמר ישבע הלוה דלא קים למלוה כמה היה שוה לפי שלא היה שלו, מכל מקום כיון דיהודה סבור שיש בו מתנה גמורה קים ליה בגויה כמה הוא שוה ונשבע כדין כל הנשבעין שבתורה שנשבעין ולא משלמין</w:t>
      </w:r>
      <w:r w:rsidRPr="0004348D">
        <w:rPr>
          <w:rFonts w:ascii="Calibri" w:eastAsia="Calibri" w:hAnsi="Calibri" w:cs="Arial"/>
          <w:vertAlign w:val="superscript"/>
          <w:rtl/>
        </w:rPr>
        <w:footnoteReference w:id="5826"/>
      </w:r>
      <w:r w:rsidRPr="0004348D">
        <w:rPr>
          <w:rFonts w:ascii="Calibri" w:eastAsia="Calibri" w:hAnsi="Calibri" w:cs="Arial"/>
          <w:rtl/>
        </w:rPr>
        <w:t>.</w:t>
      </w:r>
    </w:p>
    <w:p w14:paraId="7C4B3ED8" w14:textId="77777777" w:rsidR="0004348D" w:rsidRPr="0004348D" w:rsidRDefault="0004348D" w:rsidP="0004348D">
      <w:pPr>
        <w:spacing w:before="360" w:after="240"/>
        <w:rPr>
          <w:rFonts w:ascii="Calibri" w:eastAsia="Calibri" w:hAnsi="Calibri" w:cs="Arial"/>
          <w:rtl/>
        </w:rPr>
      </w:pPr>
      <w:r w:rsidRPr="0004348D">
        <w:rPr>
          <w:rFonts w:ascii="Calibri" w:eastAsia="Calibri" w:hAnsi="Calibri" w:cs="Arial"/>
          <w:u w:val="single"/>
          <w:rtl/>
        </w:rPr>
        <w:t>אחד נתן לחבירו משכון למשכנו אצל גוי והלך והלוה לו משכון אחר ומשכנו אצל גוי ועכב זה בידו</w:t>
      </w:r>
      <w:r w:rsidRPr="0004348D">
        <w:rPr>
          <w:rFonts w:ascii="Calibri" w:eastAsia="Calibri" w:hAnsi="Calibri" w:cs="Arial"/>
          <w:rtl/>
        </w:rPr>
        <w:t xml:space="preserve">: </w:t>
      </w:r>
      <w:r w:rsidRPr="0004348D">
        <w:rPr>
          <w:rFonts w:ascii="Calibri" w:eastAsia="Calibri" w:hAnsi="Calibri" w:cs="Arial"/>
          <w:sz w:val="16"/>
          <w:szCs w:val="16"/>
          <w:rtl/>
        </w:rPr>
        <w:t>(דרכ"מ אות ד)</w:t>
      </w:r>
      <w:r w:rsidRPr="0004348D">
        <w:rPr>
          <w:rFonts w:ascii="Calibri" w:eastAsia="Calibri" w:hAnsi="Calibri" w:cs="Arial"/>
          <w:rtl/>
        </w:rPr>
        <w:t xml:space="preserve"> </w:t>
      </w:r>
    </w:p>
    <w:p w14:paraId="6DB6D95B" w14:textId="77777777" w:rsidR="0004348D" w:rsidRPr="0004348D" w:rsidRDefault="0004348D" w:rsidP="0004348D">
      <w:pPr>
        <w:numPr>
          <w:ilvl w:val="0"/>
          <w:numId w:val="356"/>
        </w:numPr>
        <w:spacing w:before="360" w:after="240"/>
        <w:contextualSpacing/>
        <w:rPr>
          <w:rFonts w:ascii="Calibri" w:eastAsia="Calibri" w:hAnsi="Calibri" w:cs="Arial"/>
          <w:rtl/>
        </w:rPr>
      </w:pPr>
      <w:r w:rsidRPr="0004348D">
        <w:rPr>
          <w:rFonts w:ascii="Calibri" w:eastAsia="Calibri" w:hAnsi="Calibri" w:cs="Arial"/>
          <w:rtl/>
        </w:rPr>
        <w:t xml:space="preserve">מהר"ם פדוא"ה </w:t>
      </w:r>
      <w:r w:rsidRPr="0004348D">
        <w:rPr>
          <w:rFonts w:ascii="Calibri" w:eastAsia="Calibri" w:hAnsi="Calibri" w:cs="Arial"/>
          <w:sz w:val="16"/>
          <w:szCs w:val="16"/>
          <w:rtl/>
        </w:rPr>
        <w:t>(סי' נט)</w:t>
      </w:r>
      <w:r w:rsidRPr="0004348D">
        <w:rPr>
          <w:rFonts w:ascii="Calibri" w:eastAsia="Calibri" w:hAnsi="Calibri" w:cs="Arial"/>
          <w:rtl/>
        </w:rPr>
        <w:t xml:space="preserve">- אחד שנתן לחבירו משכון למשכנו אצל גוי, והלך והלוה לו משכון אחר ומשכנו אצל גוי ועכב זה בידו - הוי עליו שומר שכר, דהוה כאלו הלוה לו משכון אחר על שלו. </w:t>
      </w:r>
      <w:r w:rsidRPr="0004348D">
        <w:rPr>
          <w:rFonts w:ascii="Calibri" w:eastAsia="Calibri" w:hAnsi="Calibri" w:cs="Arial"/>
          <w:color w:val="00B0F0"/>
          <w:rtl/>
        </w:rPr>
        <w:t>(וכ"פ הרמ"א)</w:t>
      </w:r>
    </w:p>
    <w:p w14:paraId="1ABD5FB0" w14:textId="77777777" w:rsidR="0004348D" w:rsidRPr="0004348D" w:rsidRDefault="0004348D" w:rsidP="0004348D">
      <w:pPr>
        <w:spacing w:before="360" w:after="240"/>
        <w:rPr>
          <w:rFonts w:ascii="Arial" w:eastAsia="Calibri" w:hAnsi="Arial" w:cs="Arial"/>
          <w:b/>
          <w:bCs/>
          <w:color w:val="000000"/>
          <w:sz w:val="28"/>
          <w:szCs w:val="28"/>
          <w:u w:val="single"/>
        </w:rPr>
      </w:pPr>
      <w:r w:rsidRPr="0004348D">
        <w:rPr>
          <w:rFonts w:ascii="Arial" w:eastAsia="Calibri" w:hAnsi="Arial" w:cs="Arial"/>
          <w:b/>
          <w:bCs/>
          <w:color w:val="000000"/>
          <w:sz w:val="28"/>
          <w:szCs w:val="28"/>
          <w:u w:val="single"/>
          <w:rtl/>
        </w:rPr>
        <w:t>שו"ע:</w:t>
      </w:r>
    </w:p>
    <w:p w14:paraId="6E0C9E81" w14:textId="77777777" w:rsidR="0004348D" w:rsidRPr="0004348D" w:rsidRDefault="0004348D" w:rsidP="0004348D">
      <w:pPr>
        <w:spacing w:before="360" w:after="240"/>
        <w:rPr>
          <w:rFonts w:ascii="Calibri" w:eastAsia="Calibri" w:hAnsi="Calibri" w:cs="Arial"/>
          <w:rtl/>
        </w:rPr>
      </w:pPr>
      <w:r w:rsidRPr="0004348D">
        <w:rPr>
          <w:rFonts w:ascii="Calibri" w:eastAsia="Calibri" w:hAnsi="Calibri" w:cs="Arial"/>
          <w:rtl/>
        </w:rPr>
        <w:t>המלוה על המשכון, וחזר המלוה והפקידו ללוה, ונגנב או נאבד, חייב המלוה אף על פי שביד הלוה אבד, כיון דבתורת פקדון נתנו לו אכתי ברשותא דמלוה קאי</w:t>
      </w:r>
      <w:r w:rsidRPr="0004348D">
        <w:rPr>
          <w:rFonts w:ascii="Calibri" w:eastAsia="Calibri" w:hAnsi="Calibri" w:cs="Arial"/>
          <w:vertAlign w:val="superscript"/>
          <w:rtl/>
        </w:rPr>
        <w:footnoteReference w:id="5827"/>
      </w:r>
      <w:r w:rsidRPr="0004348D">
        <w:rPr>
          <w:rFonts w:ascii="Calibri" w:eastAsia="Calibri" w:hAnsi="Calibri" w:cs="Arial"/>
          <w:rtl/>
        </w:rPr>
        <w:t xml:space="preserve">. ומזה הטעם אם ראובן לוה מעות משמעון על בגדי אשתו, וחזר והשאילן לו עד לאחר המועד, ומת במועד, ומאימת המושל מסרה את אשר לה לשמעון וגם הבגדים ההם, ואחר כך החזיר לה שמעון הכל חוץ מאותם בגדים, הדין עם שמעון, כיון שבתורת שאלה באו ליד ראובן עדיין הם ברשות שמעון. </w:t>
      </w:r>
      <w:r w:rsidRPr="0004348D">
        <w:rPr>
          <w:rFonts w:ascii="Calibri" w:eastAsia="Calibri" w:hAnsi="Calibri" w:cs="Arial"/>
          <w:sz w:val="18"/>
          <w:szCs w:val="18"/>
          <w:rtl/>
        </w:rPr>
        <w:t>הגה: ראובן שנתן לשמעון משכון למשכנו אצל גוי, ושמעון נתן משכון אחר לגוי ועכב משכון של ראובן בידו, נעשה עליו שומר כאלו הלוהו עליו</w:t>
      </w:r>
      <w:r w:rsidRPr="0004348D">
        <w:rPr>
          <w:rFonts w:ascii="Calibri" w:eastAsia="Calibri" w:hAnsi="Calibri" w:cs="Arial"/>
          <w:sz w:val="18"/>
          <w:szCs w:val="18"/>
          <w:vertAlign w:val="superscript"/>
          <w:rtl/>
        </w:rPr>
        <w:footnoteReference w:id="5828"/>
      </w:r>
      <w:r w:rsidRPr="0004348D">
        <w:rPr>
          <w:rFonts w:ascii="Calibri" w:eastAsia="Calibri" w:hAnsi="Calibri" w:cs="Arial"/>
          <w:sz w:val="18"/>
          <w:szCs w:val="18"/>
          <w:rtl/>
        </w:rPr>
        <w:t xml:space="preserve"> </w:t>
      </w:r>
      <w:r w:rsidRPr="0004348D">
        <w:rPr>
          <w:rFonts w:ascii="Calibri" w:eastAsia="Calibri" w:hAnsi="Calibri" w:cs="Arial"/>
          <w:sz w:val="16"/>
          <w:szCs w:val="16"/>
          <w:rtl/>
        </w:rPr>
        <w:t>(מהר"ם פאדוואה סי' נט)</w:t>
      </w:r>
      <w:r w:rsidRPr="0004348D">
        <w:rPr>
          <w:rFonts w:ascii="Calibri" w:eastAsia="Calibri" w:hAnsi="Calibri" w:cs="Arial"/>
          <w:sz w:val="18"/>
          <w:szCs w:val="18"/>
          <w:rtl/>
        </w:rPr>
        <w:t>.</w:t>
      </w:r>
    </w:p>
    <w:p w14:paraId="7529A436" w14:textId="77777777" w:rsidR="0004348D" w:rsidRPr="0004348D" w:rsidRDefault="0004348D" w:rsidP="0004348D">
      <w:pPr>
        <w:spacing w:before="360" w:after="240"/>
        <w:rPr>
          <w:rFonts w:ascii="Calibri" w:eastAsia="Calibri" w:hAnsi="Calibri" w:cs="Arial"/>
          <w:rtl/>
        </w:rPr>
      </w:pPr>
      <w:r w:rsidRPr="0004348D">
        <w:rPr>
          <w:rFonts w:ascii="Calibri" w:eastAsia="Calibri" w:hAnsi="Calibri" w:cs="Arial"/>
          <w:rtl/>
        </w:rPr>
        <w:t xml:space="preserve"> </w:t>
      </w:r>
    </w:p>
    <w:p w14:paraId="598D9471" w14:textId="77777777" w:rsidR="0004348D" w:rsidRPr="0004348D" w:rsidRDefault="0004348D" w:rsidP="0004348D">
      <w:pPr>
        <w:keepNext/>
        <w:keepLines/>
        <w:spacing w:before="360" w:after="240"/>
        <w:outlineLvl w:val="1"/>
        <w:rPr>
          <w:rFonts w:ascii="Cambria" w:eastAsia="Times New Roman" w:hAnsi="Cambria" w:cs="Arial"/>
          <w:bCs/>
          <w:color w:val="548DD4" w:themeColor="text2" w:themeTint="99"/>
          <w:sz w:val="26"/>
          <w:szCs w:val="26"/>
          <w:rtl/>
        </w:rPr>
      </w:pPr>
      <w:bookmarkStart w:id="832" w:name="_Toc24884221"/>
      <w:r w:rsidRPr="0004348D">
        <w:rPr>
          <w:rFonts w:ascii="Cambria" w:eastAsia="Times New Roman" w:hAnsi="Cambria" w:cs="Arial"/>
          <w:bCs/>
          <w:color w:val="548DD4" w:themeColor="text2" w:themeTint="99"/>
          <w:sz w:val="26"/>
          <w:szCs w:val="26"/>
          <w:rtl/>
        </w:rPr>
        <w:t>סעיף ד: לוה שנתן למלוה רשות להשתמש במשכון – האם האם נהפך דין המלוה לשואל.</w:t>
      </w:r>
      <w:bookmarkEnd w:id="832"/>
    </w:p>
    <w:p w14:paraId="27849163" w14:textId="77777777" w:rsidR="0004348D" w:rsidRPr="0004348D" w:rsidRDefault="0004348D" w:rsidP="0004348D">
      <w:pPr>
        <w:spacing w:before="360" w:after="240"/>
        <w:rPr>
          <w:rFonts w:ascii="Calibri" w:eastAsia="Calibri" w:hAnsi="Calibri" w:cs="Arial"/>
          <w:u w:val="single"/>
          <w:rtl/>
        </w:rPr>
      </w:pPr>
      <w:r w:rsidRPr="0004348D">
        <w:rPr>
          <w:rFonts w:ascii="Calibri" w:eastAsia="Calibri" w:hAnsi="Calibri" w:cs="Arial"/>
          <w:u w:val="single"/>
          <w:rtl/>
        </w:rPr>
        <w:t xml:space="preserve">הלוה על המשכון, ונתן הלוה למלוה רשות להשתמש בו, ונאנס – האם המלוה מקרי שואל </w:t>
      </w:r>
      <w:r w:rsidRPr="0004348D">
        <w:rPr>
          <w:rFonts w:ascii="Calibri" w:eastAsia="Calibri" w:hAnsi="Calibri" w:cs="Arial"/>
          <w:sz w:val="16"/>
          <w:szCs w:val="16"/>
          <w:u w:val="single"/>
          <w:rtl/>
        </w:rPr>
        <w:t>(שמתחייב באונסין)</w:t>
      </w:r>
      <w:r w:rsidRPr="0004348D">
        <w:rPr>
          <w:rFonts w:ascii="Calibri" w:eastAsia="Calibri" w:hAnsi="Calibri" w:cs="Arial"/>
          <w:u w:val="single"/>
          <w:rtl/>
        </w:rPr>
        <w:t>:</w:t>
      </w:r>
    </w:p>
    <w:p w14:paraId="23CA50BE" w14:textId="77777777" w:rsidR="0004348D" w:rsidRPr="0004348D" w:rsidRDefault="0004348D" w:rsidP="0004348D">
      <w:pPr>
        <w:numPr>
          <w:ilvl w:val="0"/>
          <w:numId w:val="356"/>
        </w:numPr>
        <w:spacing w:before="360" w:after="240"/>
        <w:contextualSpacing/>
        <w:rPr>
          <w:rFonts w:ascii="Calibri" w:eastAsia="Calibri" w:hAnsi="Calibri" w:cs="Arial"/>
          <w:rtl/>
        </w:rPr>
      </w:pPr>
      <w:r w:rsidRPr="0004348D">
        <w:rPr>
          <w:rFonts w:ascii="Calibri" w:eastAsia="Calibri" w:hAnsi="Calibri" w:cs="Arial"/>
          <w:rtl/>
        </w:rPr>
        <w:t>רשב"א</w:t>
      </w:r>
      <w:r w:rsidRPr="0004348D">
        <w:rPr>
          <w:rFonts w:ascii="Calibri" w:eastAsia="Calibri" w:hAnsi="Calibri" w:cs="Arial"/>
          <w:sz w:val="16"/>
          <w:szCs w:val="16"/>
          <w:rtl/>
        </w:rPr>
        <w:t xml:space="preserve"> (ח"ב סי' שלו)</w:t>
      </w:r>
      <w:r w:rsidRPr="0004348D">
        <w:rPr>
          <w:rFonts w:ascii="Calibri" w:eastAsia="Calibri" w:hAnsi="Calibri" w:cs="Arial"/>
          <w:rtl/>
        </w:rPr>
        <w:t>- שאלת, הלוה על המשכון, ונתן לו רשות להשתמש בו, ונאנס. אם חייב באונסין. תשובה, אפשר שאפילו בנתינת רשות בלבד אע"פ שלא נשתמש בו - הוי שואל וחייב באונסין, דהוה ליה כדמי אבדה</w:t>
      </w:r>
      <w:r w:rsidRPr="0004348D">
        <w:rPr>
          <w:rFonts w:ascii="Calibri" w:eastAsia="Calibri" w:hAnsi="Calibri" w:cs="Arial"/>
          <w:vertAlign w:val="superscript"/>
          <w:rtl/>
        </w:rPr>
        <w:footnoteReference w:id="5829"/>
      </w:r>
      <w:r w:rsidRPr="0004348D">
        <w:rPr>
          <w:rFonts w:ascii="Calibri" w:eastAsia="Calibri" w:hAnsi="Calibri" w:cs="Arial"/>
          <w:rtl/>
        </w:rPr>
        <w:t xml:space="preserve">. </w:t>
      </w:r>
      <w:r w:rsidRPr="0004348D">
        <w:rPr>
          <w:rFonts w:ascii="Calibri" w:eastAsia="Calibri" w:hAnsi="Calibri" w:cs="Arial"/>
          <w:color w:val="E36C0A" w:themeColor="accent6" w:themeShade="BF"/>
          <w:rtl/>
        </w:rPr>
        <w:t>(וכ"פ בשו"ע)</w:t>
      </w:r>
    </w:p>
    <w:p w14:paraId="23885155" w14:textId="77777777" w:rsidR="0004348D" w:rsidRPr="0004348D" w:rsidRDefault="0004348D" w:rsidP="0004348D">
      <w:pPr>
        <w:numPr>
          <w:ilvl w:val="0"/>
          <w:numId w:val="356"/>
        </w:numPr>
        <w:spacing w:before="360" w:after="240"/>
        <w:contextualSpacing/>
        <w:rPr>
          <w:rFonts w:ascii="Calibri" w:eastAsia="Calibri" w:hAnsi="Calibri" w:cs="Arial"/>
          <w:rtl/>
        </w:rPr>
      </w:pPr>
      <w:r w:rsidRPr="0004348D">
        <w:rPr>
          <w:rFonts w:ascii="Calibri" w:eastAsia="Calibri" w:hAnsi="Calibri" w:cs="Arial"/>
          <w:rtl/>
        </w:rPr>
        <w:t xml:space="preserve">רשב"א </w:t>
      </w:r>
      <w:r w:rsidRPr="0004348D">
        <w:rPr>
          <w:rFonts w:ascii="Calibri" w:eastAsia="Calibri" w:hAnsi="Calibri" w:cs="Arial"/>
          <w:sz w:val="16"/>
          <w:szCs w:val="16"/>
          <w:rtl/>
        </w:rPr>
        <w:t>(ח"ב סי' שלב)</w:t>
      </w:r>
      <w:r w:rsidRPr="0004348D">
        <w:rPr>
          <w:rFonts w:ascii="Calibri" w:eastAsia="Calibri" w:hAnsi="Calibri" w:cs="Arial"/>
          <w:rtl/>
        </w:rPr>
        <w:t xml:space="preserve">- שאלת, ראובן שתבע חובו משמעון. וטען שמעון החזר לי ספרי שמשכנתי בידך. וטען ראובן נאבדו באונס שנולד בארץ. וטען שמעון אתה שלחת בהם יד שהקרית בהם בניך. אמר ראובן כן היה אבל תנאי היה בינינו בשעת הלואה שיהא רשות בידי לקרות ולהקרות בהם. תשובה, אם התנה עמו על תשמיש הספרים בלא נכייתא - רבית קצוצה היא. ואם התנו בנכייתא ונעשה בהיתר - הרי זה שוכר ופטור מאונסין. ובין שיודה שמעון שעל תנאי זה הלוהו, ובין שלא יודה - לפי דברי ראובן אינו אלא כשוכר ואפילו לא התנו על נכייתא, דאינו נעשה שואל אלא בזמן שכל הנאה שלו, וזה כיון שמלוה מעותיו על מנת שיקרא בספרים אין כל הנאה שלו, ולפיכך שנינו בברייתא </w:t>
      </w:r>
      <w:r w:rsidRPr="0004348D">
        <w:rPr>
          <w:rFonts w:ascii="Calibri" w:eastAsia="Calibri" w:hAnsi="Calibri" w:cs="Arial"/>
          <w:sz w:val="16"/>
          <w:szCs w:val="16"/>
          <w:rtl/>
        </w:rPr>
        <w:t xml:space="preserve">(ב"מ פא.) </w:t>
      </w:r>
      <w:r w:rsidRPr="0004348D">
        <w:rPr>
          <w:rFonts w:ascii="Calibri" w:eastAsia="Calibri" w:hAnsi="Calibri" w:cs="Arial"/>
          <w:rtl/>
        </w:rPr>
        <w:t>השאילני ואשאילך נעשו שומרי שכר זה לזה. ואם שמעון אינו מודה בתנאי זה חזר הדין לזה אומר שאולה וזה אומר שכורה והרי משנה פשוטה לפניך</w:t>
      </w:r>
      <w:r w:rsidRPr="0004348D">
        <w:rPr>
          <w:rFonts w:ascii="Calibri" w:eastAsia="Calibri" w:hAnsi="Calibri" w:cs="Arial"/>
          <w:sz w:val="16"/>
          <w:szCs w:val="16"/>
          <w:rtl/>
        </w:rPr>
        <w:t xml:space="preserve"> (שם צז:)</w:t>
      </w:r>
      <w:r w:rsidRPr="0004348D">
        <w:rPr>
          <w:rFonts w:ascii="Calibri" w:eastAsia="Calibri" w:hAnsi="Calibri" w:cs="Arial"/>
          <w:vertAlign w:val="superscript"/>
          <w:rtl/>
        </w:rPr>
        <w:footnoteReference w:id="5830"/>
      </w:r>
      <w:r w:rsidRPr="0004348D">
        <w:rPr>
          <w:rFonts w:ascii="Calibri" w:eastAsia="Calibri" w:hAnsi="Calibri" w:cs="Arial"/>
          <w:rtl/>
        </w:rPr>
        <w:t xml:space="preserve">. </w:t>
      </w:r>
    </w:p>
    <w:p w14:paraId="3FA4E838" w14:textId="77777777" w:rsidR="0004348D" w:rsidRPr="0004348D" w:rsidRDefault="0004348D" w:rsidP="0004348D">
      <w:pPr>
        <w:spacing w:before="360" w:after="240"/>
        <w:rPr>
          <w:rFonts w:ascii="Calibri" w:eastAsia="Calibri" w:hAnsi="Calibri" w:cs="Arial"/>
          <w:u w:val="single"/>
        </w:rPr>
      </w:pPr>
      <w:r w:rsidRPr="0004348D">
        <w:rPr>
          <w:rFonts w:ascii="Calibri" w:eastAsia="Calibri" w:hAnsi="Calibri" w:cs="Arial"/>
          <w:u w:val="single"/>
          <w:rtl/>
        </w:rPr>
        <w:t>מלוה שהחזיר השטר חוב ללוה אחר שנתן המשכון, ונאנס המשכון – האם הלוה חייב לפרוע החוב:</w:t>
      </w:r>
    </w:p>
    <w:p w14:paraId="346D8AFB" w14:textId="77777777" w:rsidR="0004348D" w:rsidRPr="0004348D" w:rsidRDefault="0004348D" w:rsidP="0004348D">
      <w:pPr>
        <w:numPr>
          <w:ilvl w:val="0"/>
          <w:numId w:val="356"/>
        </w:numPr>
        <w:spacing w:before="360" w:after="240"/>
        <w:contextualSpacing/>
        <w:rPr>
          <w:rFonts w:ascii="Calibri" w:eastAsia="Calibri" w:hAnsi="Calibri" w:cs="Arial"/>
          <w:rtl/>
        </w:rPr>
      </w:pPr>
      <w:r w:rsidRPr="0004348D">
        <w:rPr>
          <w:rFonts w:ascii="Calibri" w:eastAsia="Calibri" w:hAnsi="Calibri" w:cs="Arial"/>
          <w:rtl/>
        </w:rPr>
        <w:t xml:space="preserve">מהרי"ק </w:t>
      </w:r>
      <w:r w:rsidRPr="0004348D">
        <w:rPr>
          <w:rFonts w:ascii="Calibri" w:eastAsia="Calibri" w:hAnsi="Calibri" w:cs="Arial"/>
          <w:sz w:val="16"/>
          <w:szCs w:val="16"/>
          <w:rtl/>
        </w:rPr>
        <w:t>(שורש פ)</w:t>
      </w:r>
      <w:r w:rsidRPr="0004348D">
        <w:rPr>
          <w:rFonts w:ascii="Calibri" w:eastAsia="Calibri" w:hAnsi="Calibri" w:cs="Arial"/>
          <w:rtl/>
        </w:rPr>
        <w:t xml:space="preserve">- אפילו החזיר השטר חוב ללוה אחר שנתן המשכון בידו - מכל מקום כשנאנס המשכון חייב הוא לפרוע החוב. (וכ"פ הש"ך </w:t>
      </w:r>
      <w:r w:rsidRPr="0004348D">
        <w:rPr>
          <w:rFonts w:ascii="Calibri" w:eastAsia="Calibri" w:hAnsi="Calibri" w:cs="Arial"/>
          <w:sz w:val="16"/>
          <w:szCs w:val="16"/>
          <w:rtl/>
        </w:rPr>
        <w:t>[סקט"ו]</w:t>
      </w:r>
      <w:r w:rsidRPr="0004348D">
        <w:rPr>
          <w:rFonts w:ascii="Calibri" w:eastAsia="Calibri" w:hAnsi="Calibri" w:cs="Arial"/>
          <w:rtl/>
        </w:rPr>
        <w:t>)</w:t>
      </w:r>
    </w:p>
    <w:p w14:paraId="69798278" w14:textId="77777777" w:rsidR="0004348D" w:rsidRPr="0004348D" w:rsidRDefault="0004348D" w:rsidP="0004348D">
      <w:pPr>
        <w:spacing w:before="360" w:after="240"/>
        <w:rPr>
          <w:rFonts w:ascii="Calibri" w:eastAsia="Calibri" w:hAnsi="Calibri" w:cs="Arial"/>
          <w:u w:val="single"/>
        </w:rPr>
      </w:pPr>
      <w:r w:rsidRPr="0004348D">
        <w:rPr>
          <w:rFonts w:ascii="Calibri" w:eastAsia="Calibri" w:hAnsi="Calibri" w:cs="Arial"/>
          <w:u w:val="single"/>
          <w:rtl/>
        </w:rPr>
        <w:t>המלוה את חברו על המשכון סתם – לאחר כמה זמן יכול לכופו להחזיר ההלואה:</w:t>
      </w:r>
    </w:p>
    <w:p w14:paraId="758F13C7" w14:textId="77777777" w:rsidR="0004348D" w:rsidRPr="0004348D" w:rsidRDefault="0004348D" w:rsidP="0004348D">
      <w:pPr>
        <w:numPr>
          <w:ilvl w:val="0"/>
          <w:numId w:val="356"/>
        </w:numPr>
        <w:spacing w:before="360" w:after="240"/>
        <w:contextualSpacing/>
        <w:rPr>
          <w:rFonts w:ascii="Calibri" w:eastAsia="Calibri" w:hAnsi="Calibri" w:cs="Arial"/>
        </w:rPr>
      </w:pPr>
      <w:r w:rsidRPr="0004348D">
        <w:rPr>
          <w:rFonts w:ascii="Calibri" w:eastAsia="Calibri" w:hAnsi="Calibri" w:cs="Arial"/>
          <w:rtl/>
        </w:rPr>
        <w:t xml:space="preserve">רי"ו </w:t>
      </w:r>
      <w:r w:rsidRPr="0004348D">
        <w:rPr>
          <w:rFonts w:ascii="Calibri" w:eastAsia="Calibri" w:hAnsi="Calibri" w:cs="Arial"/>
          <w:sz w:val="16"/>
          <w:szCs w:val="16"/>
          <w:rtl/>
        </w:rPr>
        <w:t>(מישרים נ"ל ח"ה פז.)</w:t>
      </w:r>
      <w:r w:rsidRPr="0004348D">
        <w:rPr>
          <w:rFonts w:ascii="Calibri" w:eastAsia="Calibri" w:hAnsi="Calibri" w:cs="Arial"/>
          <w:rtl/>
        </w:rPr>
        <w:t xml:space="preserve">- מדברי רש"י </w:t>
      </w:r>
      <w:r w:rsidRPr="0004348D">
        <w:rPr>
          <w:rFonts w:ascii="Calibri" w:eastAsia="Calibri" w:hAnsi="Calibri" w:cs="Arial"/>
          <w:sz w:val="16"/>
          <w:szCs w:val="16"/>
          <w:rtl/>
        </w:rPr>
        <w:t xml:space="preserve">(שבועות מג: ד"ה אבד אלפא) </w:t>
      </w:r>
      <w:r w:rsidRPr="0004348D">
        <w:rPr>
          <w:rFonts w:ascii="Calibri" w:eastAsia="Calibri" w:hAnsi="Calibri" w:cs="Arial"/>
          <w:rtl/>
        </w:rPr>
        <w:t xml:space="preserve">שפירש על דברי שמואל נראה שהמלוה את חבירו על המשכון סתם יכול לכופו לאחר שלשים יום, וכן נראה עיקר. </w:t>
      </w:r>
    </w:p>
    <w:p w14:paraId="0CF69F80" w14:textId="77777777" w:rsidR="0004348D" w:rsidRPr="0004348D" w:rsidRDefault="0004348D" w:rsidP="0004348D">
      <w:pPr>
        <w:spacing w:before="360" w:after="240"/>
        <w:rPr>
          <w:rFonts w:ascii="Arial" w:eastAsia="Calibri" w:hAnsi="Arial" w:cs="Arial"/>
          <w:b/>
          <w:bCs/>
          <w:color w:val="000000"/>
          <w:sz w:val="28"/>
          <w:szCs w:val="28"/>
          <w:u w:val="single"/>
        </w:rPr>
      </w:pPr>
      <w:r w:rsidRPr="0004348D">
        <w:rPr>
          <w:rFonts w:ascii="Arial" w:eastAsia="Calibri" w:hAnsi="Arial" w:cs="Arial"/>
          <w:b/>
          <w:bCs/>
          <w:color w:val="000000"/>
          <w:sz w:val="28"/>
          <w:szCs w:val="28"/>
          <w:u w:val="single"/>
          <w:rtl/>
        </w:rPr>
        <w:t>שו"ע:</w:t>
      </w:r>
    </w:p>
    <w:p w14:paraId="6C519BAF" w14:textId="77777777" w:rsidR="0004348D" w:rsidRPr="0004348D" w:rsidRDefault="0004348D" w:rsidP="0004348D">
      <w:pPr>
        <w:spacing w:before="360" w:after="240"/>
        <w:rPr>
          <w:rFonts w:ascii="Calibri" w:eastAsia="Calibri" w:hAnsi="Calibri" w:cs="Arial"/>
          <w:rtl/>
        </w:rPr>
      </w:pPr>
      <w:r w:rsidRPr="0004348D">
        <w:rPr>
          <w:rFonts w:ascii="Calibri" w:eastAsia="Calibri" w:hAnsi="Calibri" w:cs="Arial"/>
          <w:rtl/>
        </w:rPr>
        <w:t>המלוה על המשכון ונתן לו רשות להשתמש בו</w:t>
      </w:r>
      <w:r w:rsidRPr="0004348D">
        <w:rPr>
          <w:rFonts w:ascii="Calibri" w:eastAsia="Calibri" w:hAnsi="Calibri" w:cs="Arial"/>
          <w:vertAlign w:val="superscript"/>
          <w:rtl/>
        </w:rPr>
        <w:footnoteReference w:id="5831"/>
      </w:r>
      <w:r w:rsidRPr="0004348D">
        <w:rPr>
          <w:rFonts w:ascii="Calibri" w:eastAsia="Calibri" w:hAnsi="Calibri" w:cs="Arial"/>
          <w:rtl/>
        </w:rPr>
        <w:t xml:space="preserve">, ונאנס, אפשר שאפילו בנתינת רשות בלבד הוי שואל, וחייב. </w:t>
      </w:r>
    </w:p>
    <w:p w14:paraId="11CE6C88" w14:textId="77777777" w:rsidR="0004348D" w:rsidRPr="0004348D" w:rsidRDefault="0004348D" w:rsidP="0004348D">
      <w:pPr>
        <w:spacing w:before="360" w:after="240"/>
        <w:rPr>
          <w:rFonts w:ascii="Calibri" w:eastAsia="Calibri" w:hAnsi="Calibri" w:cs="Arial"/>
          <w:rtl/>
        </w:rPr>
      </w:pPr>
    </w:p>
    <w:p w14:paraId="37265CDF" w14:textId="77777777" w:rsidR="0004348D" w:rsidRPr="0004348D" w:rsidRDefault="0004348D" w:rsidP="0004348D">
      <w:pPr>
        <w:keepNext/>
        <w:keepLines/>
        <w:spacing w:before="360" w:after="240"/>
        <w:outlineLvl w:val="1"/>
        <w:rPr>
          <w:rFonts w:ascii="Cambria" w:eastAsia="Times New Roman" w:hAnsi="Cambria" w:cs="Arial"/>
          <w:bCs/>
          <w:color w:val="548DD4" w:themeColor="text2" w:themeTint="99"/>
          <w:sz w:val="26"/>
          <w:szCs w:val="26"/>
          <w:rtl/>
        </w:rPr>
      </w:pPr>
      <w:bookmarkStart w:id="833" w:name="_Toc24884222"/>
      <w:r w:rsidRPr="0004348D">
        <w:rPr>
          <w:rFonts w:ascii="Cambria" w:eastAsia="Times New Roman" w:hAnsi="Cambria" w:cs="Arial"/>
          <w:bCs/>
          <w:color w:val="548DD4" w:themeColor="text2" w:themeTint="99"/>
          <w:sz w:val="26"/>
          <w:szCs w:val="26"/>
          <w:rtl/>
        </w:rPr>
        <w:t>סעיף ה: מי שנתמשכן ע"י נאמני הקהל על חלקו המגיע מהמס, ונגנב המשכון.</w:t>
      </w:r>
      <w:bookmarkEnd w:id="833"/>
    </w:p>
    <w:p w14:paraId="55C5AB15" w14:textId="77777777" w:rsidR="0004348D" w:rsidRPr="0004348D" w:rsidRDefault="0004348D" w:rsidP="0004348D">
      <w:pPr>
        <w:spacing w:before="360" w:after="240"/>
        <w:rPr>
          <w:rFonts w:ascii="Calibri" w:eastAsia="Calibri" w:hAnsi="Calibri" w:cs="Arial"/>
          <w:u w:val="single"/>
          <w:rtl/>
        </w:rPr>
      </w:pPr>
      <w:r w:rsidRPr="0004348D">
        <w:rPr>
          <w:rFonts w:ascii="Calibri" w:eastAsia="Calibri" w:hAnsi="Calibri" w:cs="Arial"/>
          <w:u w:val="single"/>
          <w:rtl/>
        </w:rPr>
        <w:t>מי שנתמשכן על ידי נאמני הקהל על חלקו המגיע מהמס - ונגנב המשכון:</w:t>
      </w:r>
    </w:p>
    <w:p w14:paraId="1B4116D4" w14:textId="77777777" w:rsidR="0004348D" w:rsidRPr="0004348D" w:rsidRDefault="0004348D" w:rsidP="0004348D">
      <w:pPr>
        <w:numPr>
          <w:ilvl w:val="0"/>
          <w:numId w:val="356"/>
        </w:numPr>
        <w:spacing w:before="360" w:after="240"/>
        <w:contextualSpacing/>
        <w:rPr>
          <w:rFonts w:ascii="Calibri" w:eastAsia="Calibri" w:hAnsi="Calibri" w:cs="Arial"/>
          <w:rtl/>
        </w:rPr>
      </w:pPr>
      <w:r w:rsidRPr="0004348D">
        <w:rPr>
          <w:rFonts w:ascii="Calibri" w:eastAsia="Calibri" w:hAnsi="Calibri" w:cs="Arial"/>
          <w:rtl/>
        </w:rPr>
        <w:t>רשב"א</w:t>
      </w:r>
      <w:r w:rsidRPr="0004348D">
        <w:rPr>
          <w:rFonts w:ascii="Calibri" w:eastAsia="Calibri" w:hAnsi="Calibri" w:cs="Arial"/>
          <w:sz w:val="16"/>
          <w:szCs w:val="16"/>
          <w:rtl/>
        </w:rPr>
        <w:t xml:space="preserve"> (החדשות מכ"י סי' רסא)</w:t>
      </w:r>
      <w:r w:rsidRPr="0004348D">
        <w:rPr>
          <w:rFonts w:ascii="Calibri" w:eastAsia="Calibri" w:hAnsi="Calibri" w:cs="Arial"/>
          <w:rtl/>
        </w:rPr>
        <w:t xml:space="preserve">- אמרת שנסתפקת במי שנתמשכן ע"י נאמני הקהל על חלקו המגיעו מהמס, והתרו בו כמה פעמים ולא אבה, ונגנב המשכון. אם נחשוב הנאמן כשומר שכר. תשובה, הא פשיטא שהקהל מיהא פטורין, שהרי אין פורעי המס חייבים זה לזה כלום שנחשוב הקהל כממשכנים על חובם, אלא כל יחיד פורע חלקו לשלטון, ומעמידין עליהם נאמנים כאפוטרופין לפקח על עסקי כל יחיד ויחיד לפרוע לשלטון או לבעל חוב שלוה מחמתו. זה נראה לי לפי שורת הדין, אלא אם יש מנהג ידוע בזה בהפך. והנאמן שאמרת שיתחייב משום דנפק עליה שמא דגברא מהימנא כאפוטרופוס שמינוהו ב"ד לאבא שאול </w:t>
      </w:r>
      <w:r w:rsidRPr="0004348D">
        <w:rPr>
          <w:rFonts w:ascii="Calibri" w:eastAsia="Calibri" w:hAnsi="Calibri" w:cs="Arial"/>
          <w:sz w:val="16"/>
          <w:szCs w:val="16"/>
          <w:rtl/>
        </w:rPr>
        <w:t>(גיטין נב:)</w:t>
      </w:r>
      <w:r w:rsidRPr="0004348D">
        <w:rPr>
          <w:rFonts w:ascii="Calibri" w:eastAsia="Calibri" w:hAnsi="Calibri" w:cs="Arial"/>
          <w:rtl/>
        </w:rPr>
        <w:t xml:space="preserve">, בזה ודאי יש מקום עיון לפי שאמרו בפרק ארבעה וחמשה </w:t>
      </w:r>
      <w:r w:rsidRPr="0004348D">
        <w:rPr>
          <w:rFonts w:ascii="Calibri" w:eastAsia="Calibri" w:hAnsi="Calibri" w:cs="Arial"/>
          <w:sz w:val="16"/>
          <w:szCs w:val="16"/>
          <w:rtl/>
        </w:rPr>
        <w:t xml:space="preserve">(ב"ק לט.) </w:t>
      </w:r>
      <w:r w:rsidRPr="0004348D">
        <w:rPr>
          <w:rFonts w:ascii="Calibri" w:eastAsia="Calibri" w:hAnsi="Calibri" w:cs="Arial"/>
          <w:rtl/>
        </w:rPr>
        <w:t xml:space="preserve">דמעמידין אפוטרופוס לשור של יתומים ואם יצא והזיק משלם מעליית יתומים לרבי יוחנן, ולרבי יוסי בר חנינא מעליית אפוטרופין, וכי גדלי יתומים חוזרין ונפרעין מהם, ואפילו פשעו האפוטרופין. אלא דההיא שאני, שלא מינוהו מחמת נאמן אלא לשמור השור מנזקין. ואם תאמר דהוי שומר שכר משום דמצוה קעביד ומשתכר פרוטה דרב יוסף, יש מקום עיון מדתני רב תחליפא קמיה דרבי אבהו </w:t>
      </w:r>
      <w:r w:rsidRPr="0004348D">
        <w:rPr>
          <w:rFonts w:ascii="Calibri" w:eastAsia="Calibri" w:hAnsi="Calibri" w:cs="Arial"/>
          <w:sz w:val="16"/>
          <w:szCs w:val="16"/>
          <w:rtl/>
        </w:rPr>
        <w:t xml:space="preserve">(גיטין שם) </w:t>
      </w:r>
      <w:r w:rsidRPr="0004348D">
        <w:rPr>
          <w:rFonts w:ascii="Calibri" w:eastAsia="Calibri" w:hAnsi="Calibri" w:cs="Arial"/>
          <w:rtl/>
        </w:rPr>
        <w:t xml:space="preserve">אפוטרופוס שמינוהו ב"ד ישבע מפני שהוא נושא שכר, אמר ליה איתית קבא וכיילת ליה, ואי משום פרוטה דרב יוסף שומר שכר הוא. ומ"מ איני רואה לחייב הנאמן, דלא אמרו כשמינוהו ב"ד אלא משום דאין מעמידין אפוטרופוס ליתומים אלא אחר בדיקה שהוא אדם נאמן וזה שבח גדול לאפוטרופוס, אבל אפוטרופסין שמעמידין עליהם הצבור אינם אלא כאפוטרופוס שמינה אבי יתומים שאף הוא לא היה ממנה אותו על נכסיו אא"כ היה בוטח בו שיתנהג בנאמנות, והנאמן אין הצבור בודקין אחריו שהוא נאמן אלא שממנין מתוכם לפקח על עסקיהם ולא לאחר בדיקה. ולא עוד אלא דמיגרע גרע מאפוטרופוס שמינהו אבי יתומים, דהתם האב ממנה אותו מדעתו ומעיד שהוא נאמן בעיניו לפקח בנכסיו, אבל הנאמנים הם המדברים הם הרוצים להתמנות הם המחזירים על דבר זה, ופעמים שמקצת הצבור מוכרחים בדבר זה בכל מקום ומקום, ולפיכך איני רואה לחייב את הנאמן בגנבה ואבדה כשומר שכר. </w:t>
      </w:r>
      <w:r w:rsidRPr="0004348D">
        <w:rPr>
          <w:rFonts w:ascii="Calibri" w:eastAsia="Calibri" w:hAnsi="Calibri" w:cs="Arial"/>
          <w:color w:val="E36C0A" w:themeColor="accent6" w:themeShade="BF"/>
          <w:rtl/>
        </w:rPr>
        <w:t>(וכ"פ בשו"ע)</w:t>
      </w:r>
      <w:r w:rsidRPr="0004348D">
        <w:rPr>
          <w:rFonts w:ascii="Calibri" w:eastAsia="Calibri" w:hAnsi="Calibri" w:cs="Arial"/>
          <w:color w:val="00B0F0"/>
          <w:rtl/>
        </w:rPr>
        <w:t xml:space="preserve"> (וכ"פ הרמ"א)</w:t>
      </w:r>
    </w:p>
    <w:p w14:paraId="2B158075" w14:textId="77777777" w:rsidR="0004348D" w:rsidRPr="0004348D" w:rsidRDefault="0004348D" w:rsidP="0004348D">
      <w:pPr>
        <w:spacing w:before="360" w:after="240"/>
        <w:rPr>
          <w:rFonts w:ascii="Calibri" w:eastAsia="Calibri" w:hAnsi="Calibri" w:cs="Arial"/>
          <w:u w:val="single"/>
        </w:rPr>
      </w:pPr>
      <w:r w:rsidRPr="0004348D">
        <w:rPr>
          <w:rFonts w:ascii="Calibri" w:eastAsia="Calibri" w:hAnsi="Calibri" w:cs="Arial"/>
          <w:u w:val="single"/>
          <w:rtl/>
        </w:rPr>
        <w:t>ראובן הלוה על משכון ששוה יותר מכדי דמי ההלואה ושללו גוים ביתו והמשכון בכלל:</w:t>
      </w:r>
    </w:p>
    <w:p w14:paraId="72EDE03E" w14:textId="77777777" w:rsidR="0004348D" w:rsidRPr="0004348D" w:rsidRDefault="0004348D" w:rsidP="0004348D">
      <w:pPr>
        <w:numPr>
          <w:ilvl w:val="0"/>
          <w:numId w:val="356"/>
        </w:numPr>
        <w:spacing w:before="360" w:after="240"/>
        <w:contextualSpacing/>
        <w:rPr>
          <w:rFonts w:ascii="Calibri" w:eastAsia="Calibri" w:hAnsi="Calibri" w:cs="Arial"/>
        </w:rPr>
      </w:pPr>
      <w:r w:rsidRPr="0004348D">
        <w:rPr>
          <w:rFonts w:ascii="Calibri" w:eastAsia="Calibri" w:hAnsi="Calibri" w:cs="Arial"/>
          <w:rtl/>
        </w:rPr>
        <w:t>ר"ן</w:t>
      </w:r>
      <w:r w:rsidRPr="0004348D">
        <w:rPr>
          <w:rFonts w:ascii="Calibri" w:eastAsia="Calibri" w:hAnsi="Calibri" w:cs="Arial"/>
          <w:sz w:val="16"/>
          <w:szCs w:val="16"/>
          <w:rtl/>
        </w:rPr>
        <w:t xml:space="preserve"> (סי' יח)</w:t>
      </w:r>
      <w:r w:rsidRPr="0004348D">
        <w:rPr>
          <w:rFonts w:ascii="Calibri" w:eastAsia="Calibri" w:hAnsi="Calibri" w:cs="Arial"/>
          <w:rtl/>
        </w:rPr>
        <w:t xml:space="preserve">- ראובן שהלוה על משכון שוה יותר מכדי דמי ההלואה ושללו גוים ביתו ואומר שגם אותו משכון שללו. תשובה, מלוה על המשכון פטור מאונסים הילכך - חייב הלוה לפרוע לראובן כל מה שהלוהו. </w:t>
      </w:r>
    </w:p>
    <w:p w14:paraId="2AC09F43" w14:textId="77777777" w:rsidR="0004348D" w:rsidRPr="0004348D" w:rsidRDefault="0004348D" w:rsidP="0004348D">
      <w:pPr>
        <w:spacing w:before="360" w:after="240"/>
        <w:rPr>
          <w:rFonts w:ascii="Calibri" w:eastAsia="Calibri" w:hAnsi="Calibri" w:cs="Arial"/>
          <w:u w:val="single"/>
        </w:rPr>
      </w:pPr>
      <w:r w:rsidRPr="0004348D">
        <w:rPr>
          <w:rFonts w:ascii="Calibri" w:eastAsia="Calibri" w:hAnsi="Calibri" w:cs="Arial"/>
          <w:u w:val="single"/>
          <w:rtl/>
        </w:rPr>
        <w:t>ראובן השאיל לחבירו כוס כסף, והלה נתן לו במשכון בגד צמר – ושללו גוים ביתו ושללו גם הבגד ההוא:</w:t>
      </w:r>
    </w:p>
    <w:p w14:paraId="3AAAA72E" w14:textId="77777777" w:rsidR="0004348D" w:rsidRPr="0004348D" w:rsidRDefault="0004348D" w:rsidP="0004348D">
      <w:pPr>
        <w:numPr>
          <w:ilvl w:val="0"/>
          <w:numId w:val="356"/>
        </w:numPr>
        <w:spacing w:before="360" w:after="240"/>
        <w:contextualSpacing/>
        <w:rPr>
          <w:rFonts w:ascii="Calibri" w:eastAsia="Calibri" w:hAnsi="Calibri" w:cs="Arial"/>
        </w:rPr>
      </w:pPr>
      <w:r w:rsidRPr="0004348D">
        <w:rPr>
          <w:rFonts w:ascii="Calibri" w:eastAsia="Calibri" w:hAnsi="Calibri" w:cs="Arial"/>
          <w:rtl/>
        </w:rPr>
        <w:t>ר"ן</w:t>
      </w:r>
      <w:r w:rsidRPr="0004348D">
        <w:rPr>
          <w:rFonts w:ascii="Calibri" w:eastAsia="Calibri" w:hAnsi="Calibri" w:cs="Arial"/>
          <w:sz w:val="16"/>
          <w:szCs w:val="16"/>
          <w:rtl/>
        </w:rPr>
        <w:t xml:space="preserve"> (סי' כ)</w:t>
      </w:r>
      <w:r w:rsidRPr="0004348D">
        <w:rPr>
          <w:rFonts w:ascii="Calibri" w:eastAsia="Calibri" w:hAnsi="Calibri" w:cs="Arial"/>
          <w:rtl/>
        </w:rPr>
        <w:t xml:space="preserve">- ראובן השאיל לחבירו כוס כסף, והלה נתן לו במשכון בגד צמר. ושללו גוים ביתו ושללו גם הבגד ההוא. תשובה, כיון שנאנס - הוא פטור והם חייבים להחזיר הכוס. ואפילו היה ראובן שואל בבגד הצמר - אין תורת שואל עליו כיון דאין כל הנאה שלו. </w:t>
      </w:r>
    </w:p>
    <w:p w14:paraId="3FDC6162" w14:textId="77777777" w:rsidR="0004348D" w:rsidRPr="0004348D" w:rsidRDefault="0004348D" w:rsidP="0004348D">
      <w:pPr>
        <w:spacing w:before="360" w:after="240"/>
        <w:rPr>
          <w:rFonts w:ascii="Calibri" w:eastAsia="Calibri" w:hAnsi="Calibri" w:cs="Arial"/>
          <w:u w:val="single"/>
        </w:rPr>
      </w:pPr>
      <w:r w:rsidRPr="0004348D">
        <w:rPr>
          <w:rFonts w:ascii="Calibri" w:eastAsia="Calibri" w:hAnsi="Calibri" w:cs="Arial"/>
          <w:u w:val="single"/>
          <w:rtl/>
        </w:rPr>
        <w:t>שמעון שאל ספר מראובן והניח בידו ספר אחר למשכון, ונגנבו שני הספרים, ולימים החזירו לראובן את ספר שמעון:</w:t>
      </w:r>
    </w:p>
    <w:p w14:paraId="0490C5FF" w14:textId="77777777" w:rsidR="0004348D" w:rsidRPr="0004348D" w:rsidRDefault="0004348D" w:rsidP="0004348D">
      <w:pPr>
        <w:numPr>
          <w:ilvl w:val="0"/>
          <w:numId w:val="356"/>
        </w:numPr>
        <w:spacing w:before="360" w:after="240"/>
        <w:contextualSpacing/>
        <w:rPr>
          <w:rFonts w:ascii="Calibri" w:eastAsia="Calibri" w:hAnsi="Calibri" w:cs="Arial"/>
        </w:rPr>
      </w:pPr>
      <w:r w:rsidRPr="0004348D">
        <w:rPr>
          <w:rFonts w:ascii="Calibri" w:eastAsia="Calibri" w:hAnsi="Calibri" w:cs="Arial"/>
          <w:rtl/>
        </w:rPr>
        <w:t xml:space="preserve">ר"ן </w:t>
      </w:r>
      <w:r w:rsidRPr="0004348D">
        <w:rPr>
          <w:rFonts w:ascii="Calibri" w:eastAsia="Calibri" w:hAnsi="Calibri" w:cs="Arial"/>
          <w:sz w:val="16"/>
          <w:szCs w:val="16"/>
          <w:rtl/>
        </w:rPr>
        <w:t>(סי' יט)</w:t>
      </w:r>
      <w:r w:rsidRPr="0004348D">
        <w:rPr>
          <w:rFonts w:ascii="Calibri" w:eastAsia="Calibri" w:hAnsi="Calibri" w:cs="Arial"/>
          <w:rtl/>
        </w:rPr>
        <w:t>- שאלת על ראובן שהשאיל לשמעון ספר אחד, ושמעון הניח בידו ספר אחר למשכון, ובאו שוללים בבית שניהן ושללו מהם אותם הספרים, לימים החזירו לראובן אותו ספר שהיה ממושכן ביד ראובן משמעון. תשובה, חייב ראובן להחזיר לשמעון, דאין שמעון חייב באונס ספר של ראובן שהיה בידו</w:t>
      </w:r>
      <w:r w:rsidRPr="0004348D">
        <w:rPr>
          <w:rFonts w:ascii="Calibri" w:eastAsia="Calibri" w:hAnsi="Calibri" w:cs="Arial"/>
          <w:vertAlign w:val="superscript"/>
          <w:rtl/>
        </w:rPr>
        <w:footnoteReference w:id="5832"/>
      </w:r>
      <w:r w:rsidRPr="0004348D">
        <w:rPr>
          <w:rFonts w:ascii="Calibri" w:eastAsia="Calibri" w:hAnsi="Calibri" w:cs="Arial"/>
          <w:rtl/>
        </w:rPr>
        <w:t>.</w:t>
      </w:r>
    </w:p>
    <w:p w14:paraId="41086F80" w14:textId="77777777" w:rsidR="0004348D" w:rsidRPr="0004348D" w:rsidRDefault="0004348D" w:rsidP="0004348D">
      <w:pPr>
        <w:spacing w:before="360" w:after="240"/>
        <w:rPr>
          <w:rFonts w:ascii="Arial" w:eastAsia="Calibri" w:hAnsi="Arial" w:cs="Arial"/>
          <w:b/>
          <w:bCs/>
          <w:color w:val="000000"/>
          <w:sz w:val="28"/>
          <w:szCs w:val="28"/>
          <w:u w:val="single"/>
          <w:rtl/>
        </w:rPr>
      </w:pPr>
      <w:r w:rsidRPr="0004348D">
        <w:rPr>
          <w:rFonts w:ascii="Arial" w:eastAsia="Calibri" w:hAnsi="Arial" w:cs="Arial"/>
          <w:b/>
          <w:bCs/>
          <w:color w:val="000000"/>
          <w:sz w:val="28"/>
          <w:szCs w:val="28"/>
          <w:u w:val="single"/>
          <w:rtl/>
        </w:rPr>
        <w:t>שו"ע:</w:t>
      </w:r>
    </w:p>
    <w:p w14:paraId="7BAA4D40" w14:textId="77777777" w:rsidR="0004348D" w:rsidRPr="0004348D" w:rsidRDefault="0004348D" w:rsidP="0004348D">
      <w:pPr>
        <w:spacing w:before="360" w:after="240"/>
        <w:rPr>
          <w:rFonts w:ascii="Calibri" w:eastAsia="Calibri" w:hAnsi="Calibri" w:cs="Arial"/>
          <w:rtl/>
        </w:rPr>
      </w:pPr>
      <w:r w:rsidRPr="0004348D">
        <w:rPr>
          <w:rFonts w:ascii="Calibri" w:eastAsia="Calibri" w:hAnsi="Calibri" w:cs="Arial"/>
          <w:rtl/>
        </w:rPr>
        <w:t>מי שנתמשכן על ידי נאמני הקהל על חלקו המגיע מהמס, ונגנב המשכון, אין לקהל ולא לנאמן דין שומר שכר</w:t>
      </w:r>
      <w:r w:rsidRPr="0004348D">
        <w:rPr>
          <w:rFonts w:ascii="Calibri" w:eastAsia="Calibri" w:hAnsi="Calibri" w:cs="Arial"/>
          <w:vertAlign w:val="superscript"/>
          <w:rtl/>
        </w:rPr>
        <w:footnoteReference w:id="5833"/>
      </w:r>
      <w:r w:rsidRPr="0004348D">
        <w:rPr>
          <w:rFonts w:ascii="Calibri" w:eastAsia="Calibri" w:hAnsi="Calibri" w:cs="Arial"/>
          <w:rtl/>
        </w:rPr>
        <w:t xml:space="preserve">. </w:t>
      </w:r>
      <w:r w:rsidRPr="0004348D">
        <w:rPr>
          <w:rFonts w:ascii="Calibri" w:eastAsia="Calibri" w:hAnsi="Calibri" w:cs="Arial"/>
          <w:sz w:val="18"/>
          <w:szCs w:val="18"/>
          <w:rtl/>
        </w:rPr>
        <w:t>[הגה] אא"כ יש מנהג בעיר הולכין אחריו</w:t>
      </w:r>
      <w:r w:rsidRPr="0004348D">
        <w:rPr>
          <w:rFonts w:ascii="Calibri" w:eastAsia="Calibri" w:hAnsi="Calibri" w:cs="Arial"/>
          <w:sz w:val="18"/>
          <w:szCs w:val="18"/>
          <w:vertAlign w:val="superscript"/>
          <w:rtl/>
        </w:rPr>
        <w:footnoteReference w:id="5834"/>
      </w:r>
      <w:r w:rsidRPr="0004348D">
        <w:rPr>
          <w:rFonts w:ascii="Calibri" w:eastAsia="Calibri" w:hAnsi="Calibri" w:cs="Arial"/>
          <w:sz w:val="18"/>
          <w:szCs w:val="18"/>
          <w:rtl/>
        </w:rPr>
        <w:t xml:space="preserve"> (ב"י בשם הרשב"א).</w:t>
      </w:r>
      <w:r w:rsidRPr="0004348D">
        <w:rPr>
          <w:rFonts w:ascii="Calibri" w:eastAsia="Calibri" w:hAnsi="Calibri" w:cs="Arial"/>
          <w:rtl/>
        </w:rPr>
        <w:t xml:space="preserve"> </w:t>
      </w:r>
    </w:p>
    <w:p w14:paraId="4F628297" w14:textId="77777777" w:rsidR="0004348D" w:rsidRPr="0004348D" w:rsidRDefault="0004348D" w:rsidP="0004348D">
      <w:pPr>
        <w:spacing w:before="360" w:after="240"/>
        <w:rPr>
          <w:rFonts w:ascii="Calibri" w:eastAsia="Calibri" w:hAnsi="Calibri" w:cs="Arial"/>
          <w:rtl/>
        </w:rPr>
      </w:pPr>
    </w:p>
    <w:p w14:paraId="1138BBE4" w14:textId="77777777" w:rsidR="0004348D" w:rsidRPr="0004348D" w:rsidRDefault="0004348D" w:rsidP="0004348D">
      <w:pPr>
        <w:keepNext/>
        <w:keepLines/>
        <w:spacing w:before="360" w:after="240"/>
        <w:outlineLvl w:val="1"/>
        <w:rPr>
          <w:rFonts w:ascii="Cambria" w:eastAsia="Times New Roman" w:hAnsi="Cambria" w:cs="Arial"/>
          <w:bCs/>
          <w:color w:val="548DD4" w:themeColor="text2" w:themeTint="99"/>
          <w:sz w:val="26"/>
          <w:szCs w:val="26"/>
          <w:rtl/>
        </w:rPr>
      </w:pPr>
      <w:bookmarkStart w:id="834" w:name="_Toc24884223"/>
      <w:r w:rsidRPr="0004348D">
        <w:rPr>
          <w:rFonts w:ascii="Cambria" w:eastAsia="Times New Roman" w:hAnsi="Cambria" w:cs="Arial"/>
          <w:bCs/>
          <w:color w:val="548DD4" w:themeColor="text2" w:themeTint="99"/>
          <w:sz w:val="26"/>
          <w:szCs w:val="26"/>
          <w:rtl/>
        </w:rPr>
        <w:t>סעיף ו: המלוה על המשכון ומת – האם בנו נעשה עליו שומר שכר.</w:t>
      </w:r>
      <w:bookmarkEnd w:id="834"/>
    </w:p>
    <w:p w14:paraId="488CD5EC" w14:textId="77777777" w:rsidR="0004348D" w:rsidRPr="0004348D" w:rsidRDefault="0004348D" w:rsidP="0004348D">
      <w:pPr>
        <w:spacing w:before="360" w:after="240"/>
        <w:rPr>
          <w:rFonts w:ascii="Calibri" w:eastAsia="Calibri" w:hAnsi="Calibri" w:cs="Arial"/>
          <w:u w:val="single"/>
          <w:rtl/>
        </w:rPr>
      </w:pPr>
      <w:bookmarkStart w:id="835" w:name="_Hlk17610395"/>
      <w:r w:rsidRPr="0004348D">
        <w:rPr>
          <w:rFonts w:ascii="Calibri" w:eastAsia="Calibri" w:hAnsi="Calibri" w:cs="Arial"/>
          <w:u w:val="single"/>
          <w:rtl/>
        </w:rPr>
        <w:t>המלוה על המשכון ומת – האם בנו נעשה עליו שומר שכר:</w:t>
      </w:r>
    </w:p>
    <w:p w14:paraId="5DF78C22" w14:textId="77777777" w:rsidR="0004348D" w:rsidRPr="0004348D" w:rsidRDefault="0004348D" w:rsidP="0004348D">
      <w:pPr>
        <w:numPr>
          <w:ilvl w:val="0"/>
          <w:numId w:val="356"/>
        </w:numPr>
        <w:spacing w:before="360" w:after="240"/>
        <w:contextualSpacing/>
        <w:rPr>
          <w:rFonts w:ascii="Calibri" w:eastAsia="Calibri" w:hAnsi="Calibri" w:cs="Arial"/>
          <w:rtl/>
        </w:rPr>
      </w:pPr>
      <w:r w:rsidRPr="0004348D">
        <w:rPr>
          <w:rFonts w:ascii="Calibri" w:eastAsia="Calibri" w:hAnsi="Calibri" w:cs="Arial"/>
          <w:rtl/>
        </w:rPr>
        <w:t xml:space="preserve">נמוק"י </w:t>
      </w:r>
      <w:r w:rsidRPr="0004348D">
        <w:rPr>
          <w:rFonts w:ascii="Calibri" w:eastAsia="Calibri" w:hAnsi="Calibri" w:cs="Arial"/>
          <w:sz w:val="16"/>
          <w:szCs w:val="16"/>
          <w:rtl/>
        </w:rPr>
        <w:t>(פרק הגוזל ומאכיל ב"ק לט.)</w:t>
      </w:r>
      <w:r w:rsidRPr="0004348D">
        <w:rPr>
          <w:rFonts w:ascii="Calibri" w:eastAsia="Calibri" w:hAnsi="Calibri" w:cs="Arial"/>
          <w:rtl/>
        </w:rPr>
        <w:t>- המלוה על המשכון ומת - אף בנו נעשה עליו שומר שכר בההיא הנאה דתפיס ליה אזוזי. וכן באומן בכלי אומנותו</w:t>
      </w:r>
      <w:r w:rsidRPr="0004348D">
        <w:rPr>
          <w:rFonts w:ascii="Calibri" w:eastAsia="Calibri" w:hAnsi="Calibri" w:cs="Arial"/>
          <w:vertAlign w:val="superscript"/>
          <w:rtl/>
        </w:rPr>
        <w:footnoteReference w:id="5835"/>
      </w:r>
      <w:r w:rsidRPr="0004348D">
        <w:rPr>
          <w:rFonts w:ascii="Calibri" w:eastAsia="Calibri" w:hAnsi="Calibri" w:cs="Arial"/>
          <w:rtl/>
        </w:rPr>
        <w:t xml:space="preserve">, הריטב"א ז"ל </w:t>
      </w:r>
      <w:r w:rsidRPr="0004348D">
        <w:rPr>
          <w:rFonts w:ascii="Calibri" w:eastAsia="Calibri" w:hAnsi="Calibri" w:cs="Arial"/>
          <w:sz w:val="16"/>
          <w:szCs w:val="16"/>
          <w:rtl/>
        </w:rPr>
        <w:t>(כתובות לד: ד"ה ויש לתרץ)</w:t>
      </w:r>
      <w:r w:rsidRPr="0004348D">
        <w:rPr>
          <w:rFonts w:ascii="Calibri" w:eastAsia="Calibri" w:hAnsi="Calibri" w:cs="Arial"/>
          <w:rtl/>
        </w:rPr>
        <w:t>.</w:t>
      </w:r>
      <w:r w:rsidRPr="0004348D">
        <w:rPr>
          <w:rFonts w:ascii="Calibri" w:eastAsia="Calibri" w:hAnsi="Calibri" w:cs="Arial"/>
          <w:color w:val="E36C0A" w:themeColor="accent6" w:themeShade="BF"/>
          <w:rtl/>
        </w:rPr>
        <w:t xml:space="preserve"> (וכ"פ בשו"ע)</w:t>
      </w:r>
    </w:p>
    <w:bookmarkEnd w:id="835"/>
    <w:p w14:paraId="7CC7E68A" w14:textId="77777777" w:rsidR="0004348D" w:rsidRPr="0004348D" w:rsidRDefault="0004348D" w:rsidP="0004348D">
      <w:pPr>
        <w:spacing w:before="360" w:after="240"/>
        <w:rPr>
          <w:rFonts w:ascii="Arial" w:eastAsia="Calibri" w:hAnsi="Arial" w:cs="Arial"/>
          <w:b/>
          <w:bCs/>
          <w:color w:val="000000"/>
          <w:sz w:val="28"/>
          <w:szCs w:val="28"/>
          <w:u w:val="single"/>
          <w:rtl/>
        </w:rPr>
      </w:pPr>
      <w:r w:rsidRPr="0004348D">
        <w:rPr>
          <w:rFonts w:ascii="Arial" w:eastAsia="Calibri" w:hAnsi="Arial" w:cs="Arial"/>
          <w:b/>
          <w:bCs/>
          <w:color w:val="000000"/>
          <w:sz w:val="28"/>
          <w:szCs w:val="28"/>
          <w:u w:val="single"/>
          <w:rtl/>
        </w:rPr>
        <w:t>שו"ע:</w:t>
      </w:r>
    </w:p>
    <w:p w14:paraId="1BE43572" w14:textId="77777777" w:rsidR="0004348D" w:rsidRPr="0004348D" w:rsidRDefault="0004348D" w:rsidP="0004348D">
      <w:pPr>
        <w:spacing w:before="360" w:after="240"/>
        <w:rPr>
          <w:rFonts w:ascii="Calibri" w:eastAsia="Calibri" w:hAnsi="Calibri" w:cs="Arial"/>
          <w:rtl/>
        </w:rPr>
      </w:pPr>
      <w:r w:rsidRPr="0004348D">
        <w:rPr>
          <w:rFonts w:ascii="Calibri" w:eastAsia="Calibri" w:hAnsi="Calibri" w:cs="Arial"/>
          <w:rtl/>
        </w:rPr>
        <w:t>המלוה על המשכון, ומת, אף</w:t>
      </w:r>
      <w:r w:rsidRPr="0004348D">
        <w:rPr>
          <w:rFonts w:ascii="Calibri" w:eastAsia="Calibri" w:hAnsi="Calibri" w:cs="Arial"/>
          <w:vertAlign w:val="superscript"/>
          <w:rtl/>
        </w:rPr>
        <w:footnoteReference w:id="5836"/>
      </w:r>
      <w:r w:rsidRPr="0004348D">
        <w:rPr>
          <w:rFonts w:ascii="Calibri" w:eastAsia="Calibri" w:hAnsi="Calibri" w:cs="Arial"/>
          <w:rtl/>
        </w:rPr>
        <w:t xml:space="preserve"> בנו נעשה עליו שומר שכר</w:t>
      </w:r>
      <w:r w:rsidRPr="0004348D">
        <w:rPr>
          <w:rFonts w:ascii="Calibri" w:eastAsia="Calibri" w:hAnsi="Calibri" w:cs="Arial"/>
          <w:vertAlign w:val="superscript"/>
          <w:rtl/>
        </w:rPr>
        <w:footnoteReference w:id="5837"/>
      </w:r>
      <w:r w:rsidRPr="0004348D">
        <w:rPr>
          <w:rFonts w:ascii="Calibri" w:eastAsia="Calibri" w:hAnsi="Calibri" w:cs="Arial"/>
          <w:rtl/>
        </w:rPr>
        <w:t xml:space="preserve">. </w:t>
      </w:r>
    </w:p>
    <w:p w14:paraId="1CE30CE4" w14:textId="77777777" w:rsidR="0004348D" w:rsidRPr="0004348D" w:rsidRDefault="0004348D" w:rsidP="0004348D">
      <w:pPr>
        <w:spacing w:before="360" w:after="240"/>
        <w:rPr>
          <w:rFonts w:ascii="Calibri" w:eastAsia="Calibri" w:hAnsi="Calibri" w:cs="Arial"/>
          <w:rtl/>
        </w:rPr>
      </w:pPr>
    </w:p>
    <w:p w14:paraId="4D723C54" w14:textId="77777777" w:rsidR="0004348D" w:rsidRPr="0004348D" w:rsidRDefault="0004348D" w:rsidP="0004348D">
      <w:pPr>
        <w:keepNext/>
        <w:keepLines/>
        <w:spacing w:before="360" w:after="240"/>
        <w:outlineLvl w:val="1"/>
        <w:rPr>
          <w:rFonts w:ascii="Cambria" w:eastAsia="Times New Roman" w:hAnsi="Cambria" w:cs="Arial"/>
          <w:bCs/>
          <w:color w:val="548DD4" w:themeColor="text2" w:themeTint="99"/>
          <w:sz w:val="26"/>
          <w:szCs w:val="26"/>
          <w:rtl/>
        </w:rPr>
      </w:pPr>
      <w:bookmarkStart w:id="836" w:name="_Toc24884224"/>
      <w:r w:rsidRPr="0004348D">
        <w:rPr>
          <w:rFonts w:ascii="Cambria" w:eastAsia="Times New Roman" w:hAnsi="Cambria" w:cs="Arial"/>
          <w:bCs/>
          <w:color w:val="548DD4" w:themeColor="text2" w:themeTint="99"/>
          <w:sz w:val="26"/>
          <w:szCs w:val="26"/>
          <w:rtl/>
        </w:rPr>
        <w:t>סעיף ז: מלוה שאמר בשעת קבלת המשכון 'איני מקבל אחריותו עלי'.</w:t>
      </w:r>
      <w:bookmarkEnd w:id="836"/>
    </w:p>
    <w:p w14:paraId="32813084" w14:textId="77777777" w:rsidR="0004348D" w:rsidRPr="0004348D" w:rsidRDefault="0004348D" w:rsidP="0004348D">
      <w:pPr>
        <w:spacing w:before="360" w:after="240"/>
        <w:rPr>
          <w:rFonts w:ascii="Calibri" w:eastAsia="Calibri" w:hAnsi="Calibri" w:cs="Arial"/>
          <w:u w:val="single"/>
          <w:rtl/>
        </w:rPr>
      </w:pPr>
      <w:bookmarkStart w:id="837" w:name="_Hlk17610492"/>
      <w:r w:rsidRPr="0004348D">
        <w:rPr>
          <w:rFonts w:ascii="Calibri" w:eastAsia="Calibri" w:hAnsi="Calibri" w:cs="Arial"/>
          <w:u w:val="single"/>
          <w:rtl/>
        </w:rPr>
        <w:t>מלוה שאמר בשעת קבלת המשכון 'איני מקבל אחריותו עלי':</w:t>
      </w:r>
    </w:p>
    <w:p w14:paraId="212F152B" w14:textId="77777777" w:rsidR="0004348D" w:rsidRPr="0004348D" w:rsidRDefault="0004348D" w:rsidP="0004348D">
      <w:pPr>
        <w:numPr>
          <w:ilvl w:val="0"/>
          <w:numId w:val="356"/>
        </w:numPr>
        <w:spacing w:before="360" w:after="240"/>
        <w:contextualSpacing/>
        <w:rPr>
          <w:rFonts w:ascii="Calibri" w:eastAsia="Calibri" w:hAnsi="Calibri" w:cs="Arial"/>
          <w:rtl/>
        </w:rPr>
      </w:pPr>
      <w:r w:rsidRPr="0004348D">
        <w:rPr>
          <w:rFonts w:ascii="Calibri" w:eastAsia="Calibri" w:hAnsi="Calibri" w:cs="Arial"/>
          <w:rtl/>
        </w:rPr>
        <w:t xml:space="preserve">מרדכי </w:t>
      </w:r>
      <w:r w:rsidRPr="0004348D">
        <w:rPr>
          <w:rFonts w:ascii="Calibri" w:eastAsia="Calibri" w:hAnsi="Calibri" w:cs="Arial"/>
          <w:sz w:val="16"/>
          <w:szCs w:val="16"/>
          <w:rtl/>
        </w:rPr>
        <w:t xml:space="preserve">(ס"פ האומנים סי' שסא) </w:t>
      </w:r>
      <w:r w:rsidRPr="0004348D">
        <w:rPr>
          <w:rFonts w:ascii="Calibri" w:eastAsia="Calibri" w:hAnsi="Calibri" w:cs="Arial"/>
          <w:rtl/>
        </w:rPr>
        <w:t>בשם מהר"ם</w:t>
      </w:r>
      <w:r w:rsidRPr="0004348D">
        <w:rPr>
          <w:rFonts w:ascii="Calibri" w:eastAsia="Calibri" w:hAnsi="Calibri" w:cs="Arial"/>
          <w:sz w:val="16"/>
          <w:szCs w:val="16"/>
          <w:rtl/>
        </w:rPr>
        <w:t xml:space="preserve"> (ד"פ סי' רכט)</w:t>
      </w:r>
      <w:r w:rsidRPr="0004348D">
        <w:rPr>
          <w:rFonts w:ascii="Calibri" w:eastAsia="Calibri" w:hAnsi="Calibri" w:cs="Arial"/>
          <w:rtl/>
        </w:rPr>
        <w:t>- המלוה על המשכון ובשעת קבלת המשכון אמר 'איני מקבל אחריותו עלי' - לא הוי אפילו שומר חנם ופטור אפילו מפשיעה.</w:t>
      </w:r>
      <w:r w:rsidRPr="0004348D">
        <w:rPr>
          <w:rFonts w:ascii="Calibri" w:eastAsia="Calibri" w:hAnsi="Calibri" w:cs="Arial"/>
          <w:color w:val="E36C0A" w:themeColor="accent6" w:themeShade="BF"/>
          <w:rtl/>
        </w:rPr>
        <w:t xml:space="preserve"> (וכ"פ בשו"ע)</w:t>
      </w:r>
    </w:p>
    <w:bookmarkEnd w:id="837"/>
    <w:p w14:paraId="264BC49A" w14:textId="77777777" w:rsidR="0004348D" w:rsidRPr="0004348D" w:rsidRDefault="0004348D" w:rsidP="0004348D">
      <w:pPr>
        <w:spacing w:before="360" w:after="240"/>
        <w:rPr>
          <w:rFonts w:ascii="Arial" w:eastAsia="Calibri" w:hAnsi="Arial" w:cs="Arial"/>
          <w:b/>
          <w:bCs/>
          <w:color w:val="000000"/>
          <w:sz w:val="28"/>
          <w:szCs w:val="28"/>
          <w:u w:val="single"/>
          <w:rtl/>
        </w:rPr>
      </w:pPr>
      <w:r w:rsidRPr="0004348D">
        <w:rPr>
          <w:rFonts w:ascii="Arial" w:eastAsia="Calibri" w:hAnsi="Arial" w:cs="Arial"/>
          <w:b/>
          <w:bCs/>
          <w:color w:val="000000"/>
          <w:sz w:val="28"/>
          <w:szCs w:val="28"/>
          <w:u w:val="single"/>
          <w:rtl/>
        </w:rPr>
        <w:t>שו"ע:</w:t>
      </w:r>
    </w:p>
    <w:p w14:paraId="43C20157" w14:textId="77777777" w:rsidR="0004348D" w:rsidRPr="0004348D" w:rsidRDefault="0004348D" w:rsidP="0004348D">
      <w:pPr>
        <w:spacing w:before="360" w:after="240"/>
        <w:rPr>
          <w:rFonts w:ascii="Calibri" w:eastAsia="Calibri" w:hAnsi="Calibri" w:cs="Arial"/>
          <w:rtl/>
        </w:rPr>
      </w:pPr>
      <w:r w:rsidRPr="0004348D">
        <w:rPr>
          <w:rFonts w:ascii="Calibri" w:eastAsia="Calibri" w:hAnsi="Calibri" w:cs="Arial"/>
          <w:rtl/>
        </w:rPr>
        <w:t>המלוה על המשכון, ובשעת קבלת המשכון אמר 'איני מקבל אחריותו עלי', אינו אפילו שומר חנם, ופטור אפילו מפשיעה</w:t>
      </w:r>
      <w:r w:rsidRPr="0004348D">
        <w:rPr>
          <w:rFonts w:ascii="Calibri" w:eastAsia="Calibri" w:hAnsi="Calibri" w:cs="Arial"/>
          <w:vertAlign w:val="superscript"/>
          <w:rtl/>
        </w:rPr>
        <w:footnoteReference w:id="5838"/>
      </w:r>
      <w:r w:rsidRPr="0004348D">
        <w:rPr>
          <w:rFonts w:ascii="Calibri" w:eastAsia="Calibri" w:hAnsi="Calibri" w:cs="Arial"/>
          <w:rtl/>
        </w:rPr>
        <w:t xml:space="preserve">. </w:t>
      </w:r>
    </w:p>
    <w:p w14:paraId="04BA45B2" w14:textId="77777777" w:rsidR="0004348D" w:rsidRPr="0004348D" w:rsidRDefault="0004348D" w:rsidP="0004348D">
      <w:pPr>
        <w:spacing w:before="360" w:after="240"/>
        <w:rPr>
          <w:rFonts w:ascii="Calibri" w:eastAsia="Calibri" w:hAnsi="Calibri" w:cs="Arial"/>
          <w:rtl/>
        </w:rPr>
      </w:pPr>
    </w:p>
    <w:p w14:paraId="79105E08" w14:textId="77777777" w:rsidR="0004348D" w:rsidRPr="0004348D" w:rsidRDefault="0004348D" w:rsidP="0004348D">
      <w:pPr>
        <w:keepNext/>
        <w:keepLines/>
        <w:spacing w:before="360" w:after="240"/>
        <w:outlineLvl w:val="1"/>
        <w:rPr>
          <w:rFonts w:ascii="Cambria" w:eastAsia="Times New Roman" w:hAnsi="Cambria" w:cs="Arial"/>
          <w:bCs/>
          <w:color w:val="548DD4" w:themeColor="text2" w:themeTint="99"/>
          <w:sz w:val="26"/>
          <w:szCs w:val="26"/>
          <w:rtl/>
        </w:rPr>
      </w:pPr>
      <w:bookmarkStart w:id="838" w:name="_Toc24884225"/>
      <w:r w:rsidRPr="0004348D">
        <w:rPr>
          <w:rFonts w:ascii="Cambria" w:eastAsia="Times New Roman" w:hAnsi="Cambria" w:cs="Arial"/>
          <w:bCs/>
          <w:color w:val="548DD4" w:themeColor="text2" w:themeTint="99"/>
          <w:sz w:val="26"/>
          <w:szCs w:val="26"/>
          <w:rtl/>
        </w:rPr>
        <w:t>סעיף ח: שאל מחברו משכון של גוי, ואיבדו, וחברו תובעו לשלם דבר גדול כמו שהגוי דורש.</w:t>
      </w:r>
      <w:bookmarkEnd w:id="838"/>
    </w:p>
    <w:p w14:paraId="03F444BB" w14:textId="77777777" w:rsidR="0004348D" w:rsidRPr="0004348D" w:rsidRDefault="0004348D" w:rsidP="0004348D">
      <w:pPr>
        <w:spacing w:before="360" w:after="240"/>
        <w:rPr>
          <w:rFonts w:ascii="Calibri" w:eastAsia="Calibri" w:hAnsi="Calibri" w:cs="Arial"/>
          <w:u w:val="single"/>
          <w:rtl/>
        </w:rPr>
      </w:pPr>
      <w:r w:rsidRPr="0004348D">
        <w:rPr>
          <w:rFonts w:ascii="Calibri" w:eastAsia="Calibri" w:hAnsi="Calibri" w:cs="Arial"/>
          <w:u w:val="single"/>
          <w:rtl/>
        </w:rPr>
        <w:t>ראובן שאל משמעון סייף שהיה לו במשכון מגוי, ואיבדו, ושואל ממנו דבר גדול כמו ששואל ממנו הגוי:</w:t>
      </w:r>
    </w:p>
    <w:p w14:paraId="4CFD7C18" w14:textId="77777777" w:rsidR="0004348D" w:rsidRPr="0004348D" w:rsidRDefault="0004348D" w:rsidP="0004348D">
      <w:pPr>
        <w:numPr>
          <w:ilvl w:val="0"/>
          <w:numId w:val="356"/>
        </w:numPr>
        <w:spacing w:before="360" w:after="240"/>
        <w:contextualSpacing/>
        <w:rPr>
          <w:rFonts w:ascii="Calibri" w:eastAsia="Calibri" w:hAnsi="Calibri" w:cs="Arial"/>
          <w:rtl/>
        </w:rPr>
      </w:pPr>
      <w:r w:rsidRPr="0004348D">
        <w:rPr>
          <w:rFonts w:ascii="Calibri" w:eastAsia="Calibri" w:hAnsi="Calibri" w:cs="Arial"/>
          <w:rtl/>
        </w:rPr>
        <w:t xml:space="preserve">הגמ"ר </w:t>
      </w:r>
      <w:r w:rsidRPr="0004348D">
        <w:rPr>
          <w:rFonts w:ascii="Calibri" w:eastAsia="Calibri" w:hAnsi="Calibri" w:cs="Arial"/>
          <w:sz w:val="16"/>
          <w:szCs w:val="16"/>
          <w:rtl/>
        </w:rPr>
        <w:t>(פרק הכונס ב"ק סי' רז)</w:t>
      </w:r>
      <w:r w:rsidRPr="0004348D">
        <w:rPr>
          <w:rFonts w:ascii="Calibri" w:eastAsia="Calibri" w:hAnsi="Calibri" w:cs="Arial"/>
          <w:rtl/>
        </w:rPr>
        <w:t>- ראובן שאל משמעון סייף שהיה לו במשכון מגוי, ואיבדו. ושואל ממנו דבר גדול כמו ששואל ממנו הגוי - לא ישלם לו אלא דמי שוויו דסתם סייף דעלמא.</w:t>
      </w:r>
      <w:r w:rsidRPr="0004348D">
        <w:rPr>
          <w:rFonts w:ascii="Calibri" w:eastAsia="Calibri" w:hAnsi="Calibri" w:cs="Arial"/>
          <w:color w:val="E36C0A" w:themeColor="accent6" w:themeShade="BF"/>
          <w:rtl/>
        </w:rPr>
        <w:t xml:space="preserve"> (וכ"פ בשו"ע)</w:t>
      </w:r>
    </w:p>
    <w:p w14:paraId="338E8D78" w14:textId="77777777" w:rsidR="0004348D" w:rsidRPr="0004348D" w:rsidRDefault="0004348D" w:rsidP="0004348D">
      <w:pPr>
        <w:spacing w:before="360" w:after="240"/>
        <w:rPr>
          <w:rFonts w:ascii="Arial" w:eastAsia="Calibri" w:hAnsi="Arial" w:cs="Arial"/>
          <w:b/>
          <w:bCs/>
          <w:color w:val="000000"/>
          <w:sz w:val="28"/>
          <w:szCs w:val="28"/>
          <w:u w:val="single"/>
          <w:rtl/>
        </w:rPr>
      </w:pPr>
      <w:r w:rsidRPr="0004348D">
        <w:rPr>
          <w:rFonts w:ascii="Arial" w:eastAsia="Calibri" w:hAnsi="Arial" w:cs="Arial"/>
          <w:b/>
          <w:bCs/>
          <w:color w:val="000000"/>
          <w:sz w:val="28"/>
          <w:szCs w:val="28"/>
          <w:u w:val="single"/>
          <w:rtl/>
        </w:rPr>
        <w:t>שו"ע:</w:t>
      </w:r>
    </w:p>
    <w:p w14:paraId="7ED60BE2" w14:textId="77777777" w:rsidR="0004348D" w:rsidRPr="0004348D" w:rsidRDefault="0004348D" w:rsidP="0004348D">
      <w:pPr>
        <w:spacing w:before="360" w:after="240"/>
        <w:rPr>
          <w:rFonts w:ascii="Calibri" w:eastAsia="Calibri" w:hAnsi="Calibri" w:cs="Arial"/>
          <w:rtl/>
        </w:rPr>
      </w:pPr>
      <w:r w:rsidRPr="0004348D">
        <w:rPr>
          <w:rFonts w:ascii="Calibri" w:eastAsia="Calibri" w:hAnsi="Calibri" w:cs="Arial"/>
          <w:rtl/>
        </w:rPr>
        <w:t>ראובן שאל משמעון סייף שהיה לו במשכון מגוי, ואבדו, ושואל ממנו ממון הרבה כמו ששואל ממנו הגוי, לא ישלם לו אלא דמי שוויו דסתם סייף דעלמא</w:t>
      </w:r>
      <w:r w:rsidRPr="0004348D">
        <w:rPr>
          <w:rFonts w:ascii="Calibri" w:eastAsia="Calibri" w:hAnsi="Calibri" w:cs="Arial"/>
          <w:vertAlign w:val="superscript"/>
          <w:rtl/>
        </w:rPr>
        <w:footnoteReference w:id="5839"/>
      </w:r>
      <w:r w:rsidRPr="0004348D">
        <w:rPr>
          <w:rFonts w:ascii="Calibri" w:eastAsia="Calibri" w:hAnsi="Calibri" w:cs="Arial"/>
          <w:rtl/>
        </w:rPr>
        <w:t xml:space="preserve">. </w:t>
      </w:r>
    </w:p>
    <w:p w14:paraId="7492CE64" w14:textId="77777777" w:rsidR="0004348D" w:rsidRPr="0004348D" w:rsidRDefault="0004348D" w:rsidP="0004348D">
      <w:pPr>
        <w:spacing w:before="360" w:after="240"/>
        <w:rPr>
          <w:rFonts w:ascii="Calibri" w:eastAsia="Calibri" w:hAnsi="Calibri" w:cs="Arial"/>
          <w:rtl/>
        </w:rPr>
      </w:pPr>
    </w:p>
    <w:p w14:paraId="3F04C4BE" w14:textId="77777777" w:rsidR="0004348D" w:rsidRPr="0004348D" w:rsidRDefault="0004348D" w:rsidP="0004348D">
      <w:pPr>
        <w:keepNext/>
        <w:keepLines/>
        <w:spacing w:before="360" w:after="240"/>
        <w:outlineLvl w:val="1"/>
        <w:rPr>
          <w:rFonts w:ascii="Cambria" w:eastAsia="Times New Roman" w:hAnsi="Cambria" w:cs="Arial"/>
          <w:bCs/>
          <w:color w:val="548DD4" w:themeColor="text2" w:themeTint="99"/>
          <w:sz w:val="26"/>
          <w:szCs w:val="26"/>
          <w:rtl/>
        </w:rPr>
      </w:pPr>
      <w:bookmarkStart w:id="839" w:name="_Toc24884226"/>
      <w:r w:rsidRPr="0004348D">
        <w:rPr>
          <w:rFonts w:ascii="Cambria" w:eastAsia="Times New Roman" w:hAnsi="Cambria" w:cs="Arial"/>
          <w:bCs/>
          <w:color w:val="548DD4" w:themeColor="text2" w:themeTint="99"/>
          <w:sz w:val="26"/>
          <w:szCs w:val="26"/>
          <w:rtl/>
        </w:rPr>
        <w:t>סעיף ט: אבד המשכון – ומלוה טוען סלע הלויתיך ושקל היה שווה, ולוה טוען שסלע היה שווה.</w:t>
      </w:r>
      <w:bookmarkEnd w:id="839"/>
    </w:p>
    <w:p w14:paraId="34FC94F3" w14:textId="77777777" w:rsidR="0004348D" w:rsidRPr="0004348D" w:rsidRDefault="0004348D" w:rsidP="0004348D">
      <w:pPr>
        <w:spacing w:before="360" w:after="240"/>
        <w:rPr>
          <w:rFonts w:ascii="Calibri" w:eastAsia="Calibri" w:hAnsi="Calibri" w:cs="Arial"/>
          <w:rtl/>
        </w:rPr>
      </w:pPr>
      <w:bookmarkStart w:id="840" w:name="_Hlk17617604"/>
      <w:r w:rsidRPr="0004348D">
        <w:rPr>
          <w:rFonts w:ascii="Calibri" w:eastAsia="Calibri" w:hAnsi="Calibri" w:cs="Arial"/>
          <w:b/>
          <w:bCs/>
          <w:rtl/>
        </w:rPr>
        <w:t xml:space="preserve">שבועות </w:t>
      </w:r>
      <w:r w:rsidRPr="0004348D">
        <w:rPr>
          <w:rFonts w:ascii="Calibri" w:eastAsia="Calibri" w:hAnsi="Calibri" w:cs="Arial"/>
          <w:b/>
          <w:bCs/>
          <w:sz w:val="16"/>
          <w:szCs w:val="16"/>
          <w:rtl/>
        </w:rPr>
        <w:t>(פרק שבועת הדיינין)</w:t>
      </w:r>
      <w:r w:rsidRPr="0004348D">
        <w:rPr>
          <w:rFonts w:ascii="Calibri" w:eastAsia="Calibri" w:hAnsi="Calibri" w:cs="Arial"/>
          <w:b/>
          <w:bCs/>
          <w:rtl/>
        </w:rPr>
        <w:t xml:space="preserve"> מג</w:t>
      </w:r>
      <w:r w:rsidRPr="0004348D">
        <w:rPr>
          <w:rFonts w:ascii="Calibri" w:eastAsia="Calibri" w:hAnsi="Calibri" w:cs="Arial"/>
          <w:b/>
          <w:bCs/>
          <w:vertAlign w:val="superscript"/>
          <w:rtl/>
        </w:rPr>
        <w:footnoteReference w:id="5840"/>
      </w:r>
      <w:r w:rsidRPr="0004348D">
        <w:rPr>
          <w:rFonts w:ascii="Calibri" w:eastAsia="Calibri" w:hAnsi="Calibri" w:cs="Arial"/>
          <w:b/>
          <w:bCs/>
          <w:rtl/>
        </w:rPr>
        <w:t xml:space="preserve"> ע"א:</w:t>
      </w:r>
      <w:r w:rsidRPr="0004348D">
        <w:rPr>
          <w:rFonts w:ascii="Calibri" w:eastAsia="Calibri" w:hAnsi="Calibri" w:cs="Arial"/>
          <w:rtl/>
        </w:rPr>
        <w:t xml:space="preserve"> </w:t>
      </w:r>
      <w:r w:rsidRPr="0004348D">
        <w:rPr>
          <w:rFonts w:ascii="Calibri" w:eastAsia="Calibri" w:hAnsi="Calibri" w:cs="Arial"/>
          <w:u w:val="double"/>
          <w:rtl/>
        </w:rPr>
        <w:t>מתני'</w:t>
      </w:r>
      <w:r w:rsidRPr="0004348D">
        <w:rPr>
          <w:rFonts w:ascii="Calibri" w:eastAsia="Calibri" w:hAnsi="Calibri" w:cs="Arial"/>
          <w:rtl/>
        </w:rPr>
        <w:t>: המלוה את חבירו על המשכון ואבד המשכון, אמר לו: סלע</w:t>
      </w:r>
      <w:r w:rsidRPr="0004348D">
        <w:rPr>
          <w:rFonts w:ascii="Calibri" w:eastAsia="Calibri" w:hAnsi="Calibri" w:cs="Arial"/>
          <w:vertAlign w:val="superscript"/>
          <w:rtl/>
        </w:rPr>
        <w:footnoteReference w:id="5841"/>
      </w:r>
      <w:r w:rsidRPr="0004348D">
        <w:rPr>
          <w:rFonts w:ascii="Calibri" w:eastAsia="Calibri" w:hAnsi="Calibri" w:cs="Arial"/>
          <w:rtl/>
        </w:rPr>
        <w:t xml:space="preserve"> הלויתיך עליו ושקל היה שוה. והלה אומר: לא כי, אלא סלע הלויתני עליו וסלע היה שוה - פטור. סלע הלויתיך עליו ושקל היה שוה, והלה אומר: לא כי, אלא סלע הלויתני עליו ושלשה דינרים היה שוה - חייב...</w:t>
      </w:r>
    </w:p>
    <w:p w14:paraId="58EB05A4" w14:textId="77777777" w:rsidR="0004348D" w:rsidRPr="0004348D" w:rsidRDefault="0004348D" w:rsidP="0004348D">
      <w:pPr>
        <w:spacing w:before="360" w:after="240"/>
        <w:rPr>
          <w:rFonts w:ascii="Calibri" w:eastAsia="Calibri" w:hAnsi="Calibri" w:cs="Arial"/>
          <w:rtl/>
        </w:rPr>
      </w:pPr>
      <w:bookmarkStart w:id="841" w:name="_Hlk17617167"/>
      <w:r w:rsidRPr="0004348D">
        <w:rPr>
          <w:rFonts w:ascii="Calibri" w:eastAsia="Calibri" w:hAnsi="Calibri" w:cs="Arial"/>
          <w:b/>
          <w:bCs/>
          <w:rtl/>
        </w:rPr>
        <w:t xml:space="preserve">בבא מציעא </w:t>
      </w:r>
      <w:r w:rsidRPr="0004348D">
        <w:rPr>
          <w:rFonts w:ascii="Calibri" w:eastAsia="Calibri" w:hAnsi="Calibri" w:cs="Arial"/>
          <w:b/>
          <w:bCs/>
          <w:sz w:val="16"/>
          <w:szCs w:val="16"/>
          <w:rtl/>
        </w:rPr>
        <w:t>(פרק המפקיד)</w:t>
      </w:r>
      <w:r w:rsidRPr="0004348D">
        <w:rPr>
          <w:rFonts w:ascii="Calibri" w:eastAsia="Calibri" w:hAnsi="Calibri" w:cs="Arial"/>
          <w:b/>
          <w:bCs/>
          <w:rtl/>
        </w:rPr>
        <w:t xml:space="preserve"> לד</w:t>
      </w:r>
      <w:r w:rsidRPr="0004348D">
        <w:rPr>
          <w:rFonts w:ascii="Calibri" w:eastAsia="Calibri" w:hAnsi="Calibri" w:cs="Arial"/>
          <w:b/>
          <w:bCs/>
          <w:vertAlign w:val="superscript"/>
          <w:rtl/>
        </w:rPr>
        <w:footnoteReference w:id="5842"/>
      </w:r>
      <w:r w:rsidRPr="0004348D">
        <w:rPr>
          <w:rFonts w:ascii="Calibri" w:eastAsia="Calibri" w:hAnsi="Calibri" w:cs="Arial"/>
          <w:b/>
          <w:bCs/>
          <w:rtl/>
        </w:rPr>
        <w:t xml:space="preserve"> ע"ב:</w:t>
      </w:r>
      <w:r w:rsidRPr="0004348D">
        <w:rPr>
          <w:rFonts w:ascii="Calibri" w:eastAsia="Calibri" w:hAnsi="Calibri" w:cs="Arial"/>
          <w:rtl/>
        </w:rPr>
        <w:t xml:space="preserve"> </w:t>
      </w:r>
      <w:r w:rsidRPr="0004348D">
        <w:rPr>
          <w:rFonts w:ascii="Calibri" w:eastAsia="Calibri" w:hAnsi="Calibri" w:cs="Arial"/>
          <w:u w:val="single"/>
          <w:rtl/>
        </w:rPr>
        <w:t>אמר רב הונא</w:t>
      </w:r>
      <w:r w:rsidRPr="0004348D">
        <w:rPr>
          <w:rFonts w:ascii="Calibri" w:eastAsia="Calibri" w:hAnsi="Calibri" w:cs="Arial"/>
          <w:rtl/>
        </w:rPr>
        <w:t>: משביעין אותו שבועה שאינה ברשותו. מאי טעמא - חיישינן שמא עיניו נתן בה.</w:t>
      </w:r>
    </w:p>
    <w:bookmarkEnd w:id="841"/>
    <w:p w14:paraId="4B445CD6" w14:textId="77777777" w:rsidR="0004348D" w:rsidRPr="0004348D" w:rsidRDefault="0004348D" w:rsidP="0004348D">
      <w:pPr>
        <w:spacing w:before="360" w:after="240"/>
        <w:rPr>
          <w:rFonts w:ascii="Calibri" w:eastAsia="Calibri" w:hAnsi="Calibri" w:cs="Arial"/>
          <w:u w:val="single"/>
          <w:rtl/>
        </w:rPr>
      </w:pPr>
      <w:r w:rsidRPr="0004348D">
        <w:rPr>
          <w:rFonts w:ascii="Calibri" w:eastAsia="Calibri" w:hAnsi="Calibri" w:cs="Arial"/>
          <w:u w:val="single"/>
          <w:rtl/>
        </w:rPr>
        <w:t>המלוה את חברו סלע על המשכון, ואבד המשכון – והמלוה טוען שהמשכון היה שוה שקל והלוה טוען שהיה שוה סלע:</w:t>
      </w:r>
    </w:p>
    <w:p w14:paraId="18AA6C0A" w14:textId="77777777" w:rsidR="0004348D" w:rsidRPr="0004348D" w:rsidRDefault="0004348D" w:rsidP="0004348D">
      <w:pPr>
        <w:numPr>
          <w:ilvl w:val="0"/>
          <w:numId w:val="356"/>
        </w:numPr>
        <w:spacing w:before="360" w:after="240"/>
        <w:contextualSpacing/>
        <w:rPr>
          <w:rFonts w:ascii="Calibri" w:eastAsia="Calibri" w:hAnsi="Calibri" w:cs="Arial"/>
          <w:rtl/>
        </w:rPr>
      </w:pPr>
      <w:r w:rsidRPr="0004348D">
        <w:rPr>
          <w:rFonts w:ascii="Calibri" w:eastAsia="Calibri" w:hAnsi="Calibri" w:cs="Arial"/>
          <w:rtl/>
        </w:rPr>
        <w:t>טור- לפיכך</w:t>
      </w:r>
      <w:r w:rsidRPr="0004348D">
        <w:rPr>
          <w:rFonts w:ascii="Calibri" w:eastAsia="Calibri" w:hAnsi="Calibri" w:cs="Arial"/>
          <w:vertAlign w:val="superscript"/>
          <w:rtl/>
        </w:rPr>
        <w:footnoteReference w:id="5843"/>
      </w:r>
      <w:r w:rsidRPr="0004348D">
        <w:rPr>
          <w:rFonts w:ascii="Calibri" w:eastAsia="Calibri" w:hAnsi="Calibri" w:cs="Arial"/>
          <w:rtl/>
        </w:rPr>
        <w:t xml:space="preserve"> המלוה לחבירו על המשכון ואבד, ואומר המלוה 'סלע הלויתיך עליו ושקל היה שוה', ושואל שקל כי הלוהו סתם ולא פירש שמקבלו בשביל כל החוב. והלוה אומר שהיה שוה סלע - ישבע המלוה כעין דאורייתא</w:t>
      </w:r>
      <w:r w:rsidRPr="0004348D">
        <w:rPr>
          <w:rFonts w:ascii="Calibri" w:eastAsia="Calibri" w:hAnsi="Calibri" w:cs="Arial"/>
          <w:vertAlign w:val="superscript"/>
          <w:rtl/>
        </w:rPr>
        <w:footnoteReference w:id="5844"/>
      </w:r>
      <w:r w:rsidRPr="0004348D">
        <w:rPr>
          <w:rFonts w:ascii="Calibri" w:eastAsia="Calibri" w:hAnsi="Calibri" w:cs="Arial"/>
          <w:rtl/>
        </w:rPr>
        <w:t xml:space="preserve"> שאינו ברשותו, וישבע הלוה היסת</w:t>
      </w:r>
      <w:r w:rsidRPr="0004348D">
        <w:rPr>
          <w:rFonts w:ascii="Calibri" w:eastAsia="Calibri" w:hAnsi="Calibri" w:cs="Arial"/>
          <w:vertAlign w:val="superscript"/>
          <w:rtl/>
        </w:rPr>
        <w:footnoteReference w:id="5845"/>
      </w:r>
      <w:r w:rsidRPr="0004348D">
        <w:rPr>
          <w:rFonts w:ascii="Calibri" w:eastAsia="Calibri" w:hAnsi="Calibri" w:cs="Arial"/>
          <w:rtl/>
        </w:rPr>
        <w:t xml:space="preserve"> ויפטר. </w:t>
      </w:r>
      <w:r w:rsidRPr="0004348D">
        <w:rPr>
          <w:rFonts w:ascii="Calibri" w:eastAsia="Calibri" w:hAnsi="Calibri" w:cs="Arial"/>
          <w:color w:val="E36C0A" w:themeColor="accent6" w:themeShade="BF"/>
          <w:rtl/>
        </w:rPr>
        <w:t>(וכ"פ בשו"ע)</w:t>
      </w:r>
    </w:p>
    <w:p w14:paraId="5CFF7D7E" w14:textId="77777777" w:rsidR="0004348D" w:rsidRPr="0004348D" w:rsidRDefault="0004348D" w:rsidP="0004348D">
      <w:pPr>
        <w:spacing w:before="360" w:after="240"/>
        <w:ind w:left="360"/>
        <w:rPr>
          <w:rFonts w:ascii="Calibri" w:eastAsia="Calibri" w:hAnsi="Calibri" w:cs="Arial"/>
          <w:u w:val="dotted"/>
        </w:rPr>
      </w:pPr>
      <w:r w:rsidRPr="0004348D">
        <w:rPr>
          <w:rFonts w:ascii="Calibri" w:eastAsia="Calibri" w:hAnsi="Calibri" w:cs="Arial"/>
          <w:u w:val="dotted"/>
          <w:rtl/>
        </w:rPr>
        <w:t>ומה הדין אם הלוה טוען שהיה שוה ג' דינרין:</w:t>
      </w:r>
    </w:p>
    <w:p w14:paraId="507E3E03" w14:textId="77777777" w:rsidR="0004348D" w:rsidRPr="0004348D" w:rsidRDefault="0004348D" w:rsidP="0004348D">
      <w:pPr>
        <w:numPr>
          <w:ilvl w:val="0"/>
          <w:numId w:val="356"/>
        </w:numPr>
        <w:spacing w:before="360" w:after="240"/>
        <w:contextualSpacing/>
        <w:rPr>
          <w:rFonts w:ascii="Calibri" w:eastAsia="Calibri" w:hAnsi="Calibri" w:cs="Arial"/>
          <w:rtl/>
        </w:rPr>
      </w:pPr>
      <w:r w:rsidRPr="0004348D">
        <w:rPr>
          <w:rFonts w:ascii="Calibri" w:eastAsia="Calibri" w:hAnsi="Calibri" w:cs="Arial"/>
          <w:rtl/>
        </w:rPr>
        <w:t xml:space="preserve">טור- אמר המלוה 'סלע הלויתיך עליו ושקל היה שוה', והלוה הודה במקצת ואומר שהיה שוה ג' דינרין - ישבע המלוה שאינו ברשותו, וישבע הלוה שבועת התורה שהיה שוה ג' דינרין, וישלם לו דינר. </w:t>
      </w:r>
      <w:r w:rsidRPr="0004348D">
        <w:rPr>
          <w:rFonts w:ascii="Calibri" w:eastAsia="Calibri" w:hAnsi="Calibri" w:cs="Arial"/>
          <w:color w:val="E36C0A" w:themeColor="accent6" w:themeShade="BF"/>
          <w:rtl/>
        </w:rPr>
        <w:t>(וכ"פ בשו"ע</w:t>
      </w:r>
      <w:r w:rsidRPr="0004348D">
        <w:rPr>
          <w:rFonts w:ascii="Calibri" w:eastAsia="Calibri" w:hAnsi="Calibri" w:cs="Arial"/>
          <w:sz w:val="16"/>
          <w:szCs w:val="16"/>
          <w:rtl/>
        </w:rPr>
        <w:t xml:space="preserve"> [בסע' י]</w:t>
      </w:r>
      <w:r w:rsidRPr="0004348D">
        <w:rPr>
          <w:rFonts w:ascii="Calibri" w:eastAsia="Calibri" w:hAnsi="Calibri" w:cs="Arial"/>
          <w:color w:val="E36C0A" w:themeColor="accent6" w:themeShade="BF"/>
          <w:rtl/>
        </w:rPr>
        <w:t>)</w:t>
      </w:r>
    </w:p>
    <w:p w14:paraId="161DE0DE" w14:textId="77777777" w:rsidR="0004348D" w:rsidRPr="0004348D" w:rsidRDefault="0004348D" w:rsidP="0004348D">
      <w:pPr>
        <w:spacing w:before="360" w:after="240"/>
        <w:ind w:left="360"/>
        <w:rPr>
          <w:rFonts w:ascii="Calibri" w:eastAsia="Calibri" w:hAnsi="Calibri" w:cs="Arial"/>
          <w:u w:val="dotted"/>
        </w:rPr>
      </w:pPr>
      <w:r w:rsidRPr="0004348D">
        <w:rPr>
          <w:rFonts w:ascii="Calibri" w:eastAsia="Calibri" w:hAnsi="Calibri" w:cs="Arial"/>
          <w:u w:val="dotted"/>
          <w:rtl/>
        </w:rPr>
        <w:t>ומה הדין אם הלוה אומר 'איני יודע כמה היה שווה':</w:t>
      </w:r>
    </w:p>
    <w:p w14:paraId="13486E15" w14:textId="77777777" w:rsidR="0004348D" w:rsidRPr="0004348D" w:rsidRDefault="0004348D" w:rsidP="0004348D">
      <w:pPr>
        <w:numPr>
          <w:ilvl w:val="0"/>
          <w:numId w:val="356"/>
        </w:numPr>
        <w:spacing w:before="360" w:after="240"/>
        <w:contextualSpacing/>
        <w:rPr>
          <w:rFonts w:ascii="Calibri" w:eastAsia="Calibri" w:hAnsi="Calibri" w:cs="Arial"/>
          <w:rtl/>
        </w:rPr>
      </w:pPr>
      <w:r w:rsidRPr="0004348D">
        <w:rPr>
          <w:rFonts w:ascii="Calibri" w:eastAsia="Calibri" w:hAnsi="Calibri" w:cs="Arial"/>
          <w:rtl/>
        </w:rPr>
        <w:t xml:space="preserve">רמב"ם </w:t>
      </w:r>
      <w:r w:rsidRPr="0004348D">
        <w:rPr>
          <w:rFonts w:ascii="Calibri" w:eastAsia="Calibri" w:hAnsi="Calibri" w:cs="Arial"/>
          <w:sz w:val="16"/>
          <w:szCs w:val="16"/>
          <w:rtl/>
        </w:rPr>
        <w:t>(פי"ג ממלוה ולוה ה"ד)</w:t>
      </w:r>
      <w:r w:rsidRPr="0004348D">
        <w:rPr>
          <w:rFonts w:ascii="Calibri" w:eastAsia="Calibri" w:hAnsi="Calibri" w:cs="Arial"/>
          <w:rtl/>
        </w:rPr>
        <w:t xml:space="preserve"> וטור- ואם אמר המלוה 'סלע הלויתיך ושקל היה שוה', והלוה אומר 'איני יודע כמה היה שוה' - ישבע המלוה שאינו ברשותו, ויכלול בשבועה שלא היה שוה אלא שקל, וישלם לו הלוה ב' דינרין שודאי הוא חייב לו ואינו יודע אם פרעו אם לאו</w:t>
      </w:r>
      <w:r w:rsidRPr="0004348D">
        <w:rPr>
          <w:rFonts w:ascii="Calibri" w:eastAsia="Calibri" w:hAnsi="Calibri" w:cs="Arial"/>
          <w:vertAlign w:val="superscript"/>
          <w:rtl/>
        </w:rPr>
        <w:footnoteReference w:id="5846"/>
      </w:r>
      <w:r w:rsidRPr="0004348D">
        <w:rPr>
          <w:rFonts w:ascii="Calibri" w:eastAsia="Calibri" w:hAnsi="Calibri" w:cs="Arial"/>
          <w:rtl/>
        </w:rPr>
        <w:t>. ואם יש למלוה עדים שנאבד נוטל שקל בלא שבועה</w:t>
      </w:r>
      <w:r w:rsidRPr="0004348D">
        <w:rPr>
          <w:rFonts w:ascii="Calibri" w:eastAsia="Calibri" w:hAnsi="Calibri" w:cs="Arial"/>
          <w:vertAlign w:val="superscript"/>
          <w:rtl/>
        </w:rPr>
        <w:footnoteReference w:id="5847"/>
      </w:r>
      <w:r w:rsidRPr="0004348D">
        <w:rPr>
          <w:rFonts w:ascii="Calibri" w:eastAsia="Calibri" w:hAnsi="Calibri" w:cs="Arial"/>
          <w:rtl/>
        </w:rPr>
        <w:t>, אלא שמחרים הלוה סתם על מי שנטל ממנו שלא כדין</w:t>
      </w:r>
      <w:r w:rsidRPr="0004348D">
        <w:rPr>
          <w:rFonts w:ascii="Calibri" w:eastAsia="Calibri" w:hAnsi="Calibri" w:cs="Arial"/>
          <w:vertAlign w:val="superscript"/>
          <w:rtl/>
        </w:rPr>
        <w:footnoteReference w:id="5848"/>
      </w:r>
      <w:r w:rsidRPr="0004348D">
        <w:rPr>
          <w:rFonts w:ascii="Calibri" w:eastAsia="Calibri" w:hAnsi="Calibri" w:cs="Arial"/>
          <w:sz w:val="16"/>
          <w:szCs w:val="16"/>
          <w:rtl/>
        </w:rPr>
        <w:t xml:space="preserve"> (ל' הטור)</w:t>
      </w:r>
      <w:r w:rsidRPr="0004348D">
        <w:rPr>
          <w:rFonts w:ascii="Calibri" w:eastAsia="Calibri" w:hAnsi="Calibri" w:cs="Arial"/>
          <w:rtl/>
        </w:rPr>
        <w:t>.</w:t>
      </w:r>
      <w:r w:rsidRPr="0004348D">
        <w:rPr>
          <w:rFonts w:ascii="Calibri" w:eastAsia="Calibri" w:hAnsi="Calibri" w:cs="Arial"/>
          <w:color w:val="E36C0A" w:themeColor="accent6" w:themeShade="BF"/>
          <w:rtl/>
        </w:rPr>
        <w:t xml:space="preserve"> (וכ"פ בשו"ע</w:t>
      </w:r>
      <w:r w:rsidRPr="0004348D">
        <w:rPr>
          <w:rFonts w:ascii="Calibri" w:eastAsia="Calibri" w:hAnsi="Calibri" w:cs="Arial"/>
          <w:sz w:val="16"/>
          <w:szCs w:val="16"/>
          <w:rtl/>
        </w:rPr>
        <w:t xml:space="preserve"> [בסע' יא]</w:t>
      </w:r>
      <w:r w:rsidRPr="0004348D">
        <w:rPr>
          <w:rFonts w:ascii="Calibri" w:eastAsia="Calibri" w:hAnsi="Calibri" w:cs="Arial"/>
          <w:color w:val="E36C0A" w:themeColor="accent6" w:themeShade="BF"/>
          <w:rtl/>
        </w:rPr>
        <w:t>)</w:t>
      </w:r>
    </w:p>
    <w:bookmarkEnd w:id="840"/>
    <w:p w14:paraId="5CB3CF67" w14:textId="77777777" w:rsidR="0004348D" w:rsidRPr="0004348D" w:rsidRDefault="0004348D" w:rsidP="0004348D">
      <w:pPr>
        <w:spacing w:before="360" w:after="240"/>
        <w:rPr>
          <w:rFonts w:ascii="Arial" w:eastAsia="Calibri" w:hAnsi="Arial" w:cs="Arial"/>
          <w:b/>
          <w:bCs/>
          <w:color w:val="000000"/>
          <w:sz w:val="28"/>
          <w:szCs w:val="28"/>
          <w:u w:val="single"/>
          <w:rtl/>
        </w:rPr>
      </w:pPr>
      <w:r w:rsidRPr="0004348D">
        <w:rPr>
          <w:rFonts w:ascii="Arial" w:eastAsia="Calibri" w:hAnsi="Arial" w:cs="Arial"/>
          <w:b/>
          <w:bCs/>
          <w:color w:val="000000"/>
          <w:sz w:val="28"/>
          <w:szCs w:val="28"/>
          <w:u w:val="single"/>
          <w:rtl/>
        </w:rPr>
        <w:t>שו"ע:</w:t>
      </w:r>
    </w:p>
    <w:p w14:paraId="79288FF6" w14:textId="77777777" w:rsidR="0004348D" w:rsidRPr="0004348D" w:rsidRDefault="0004348D" w:rsidP="0004348D">
      <w:pPr>
        <w:spacing w:before="360" w:after="240"/>
        <w:rPr>
          <w:rFonts w:ascii="Calibri" w:eastAsia="Calibri" w:hAnsi="Calibri" w:cs="Arial"/>
          <w:rtl/>
        </w:rPr>
      </w:pPr>
      <w:r w:rsidRPr="0004348D">
        <w:rPr>
          <w:rFonts w:ascii="Calibri" w:eastAsia="Calibri" w:hAnsi="Calibri" w:cs="Arial"/>
          <w:rtl/>
        </w:rPr>
        <w:t>המלוה על המשכון, ואבד או נגנב בלא אונס שהרי המלוה חייב בדמי המשכון כמו שנתבאר</w:t>
      </w:r>
      <w:r w:rsidRPr="0004348D">
        <w:rPr>
          <w:rFonts w:ascii="Calibri" w:eastAsia="Calibri" w:hAnsi="Calibri" w:cs="Arial"/>
          <w:vertAlign w:val="superscript"/>
          <w:rtl/>
        </w:rPr>
        <w:footnoteReference w:id="5849"/>
      </w:r>
      <w:r w:rsidRPr="0004348D">
        <w:rPr>
          <w:rFonts w:ascii="Calibri" w:eastAsia="Calibri" w:hAnsi="Calibri" w:cs="Arial"/>
          <w:rtl/>
        </w:rPr>
        <w:t>, ואמר המלוה 'סלע הלויתיך עליו ושקל היה שוה', והלוה אומר 'סלע הלויתני עליו וסלע היה שוה', הרי המלוה נשבע תחלה</w:t>
      </w:r>
      <w:r w:rsidRPr="0004348D">
        <w:rPr>
          <w:rFonts w:ascii="Calibri" w:eastAsia="Calibri" w:hAnsi="Calibri" w:cs="Arial"/>
          <w:vertAlign w:val="superscript"/>
          <w:rtl/>
        </w:rPr>
        <w:footnoteReference w:id="5850"/>
      </w:r>
      <w:r w:rsidRPr="0004348D">
        <w:rPr>
          <w:rFonts w:ascii="Calibri" w:eastAsia="Calibri" w:hAnsi="Calibri" w:cs="Arial"/>
          <w:rtl/>
        </w:rPr>
        <w:t xml:space="preserve"> שבועת השומרים שאינו ברשותו</w:t>
      </w:r>
      <w:r w:rsidRPr="0004348D">
        <w:rPr>
          <w:rFonts w:ascii="Calibri" w:eastAsia="Calibri" w:hAnsi="Calibri" w:cs="Arial"/>
          <w:vertAlign w:val="superscript"/>
          <w:rtl/>
        </w:rPr>
        <w:footnoteReference w:id="5851"/>
      </w:r>
      <w:r w:rsidRPr="0004348D">
        <w:rPr>
          <w:rFonts w:ascii="Calibri" w:eastAsia="Calibri" w:hAnsi="Calibri" w:cs="Arial"/>
          <w:rtl/>
        </w:rPr>
        <w:t xml:space="preserve">, והלוה נשבע היסת שהיה שוה כנגד החוב, ונפטר. </w:t>
      </w:r>
    </w:p>
    <w:p w14:paraId="2427BFA3" w14:textId="77777777" w:rsidR="0004348D" w:rsidRPr="0004348D" w:rsidRDefault="0004348D" w:rsidP="0004348D">
      <w:pPr>
        <w:spacing w:before="360" w:after="240"/>
        <w:rPr>
          <w:rFonts w:ascii="Calibri" w:eastAsia="Calibri" w:hAnsi="Calibri" w:cs="Arial"/>
          <w:rtl/>
        </w:rPr>
      </w:pPr>
    </w:p>
    <w:p w14:paraId="23EFA004" w14:textId="77777777" w:rsidR="0004348D" w:rsidRPr="0004348D" w:rsidRDefault="0004348D" w:rsidP="0004348D">
      <w:pPr>
        <w:keepNext/>
        <w:keepLines/>
        <w:spacing w:before="360" w:after="240"/>
        <w:outlineLvl w:val="1"/>
        <w:rPr>
          <w:rFonts w:ascii="Cambria" w:eastAsia="Times New Roman" w:hAnsi="Cambria" w:cs="Arial"/>
          <w:bCs/>
          <w:color w:val="548DD4" w:themeColor="text2" w:themeTint="99"/>
          <w:sz w:val="26"/>
          <w:szCs w:val="26"/>
          <w:rtl/>
        </w:rPr>
      </w:pPr>
      <w:bookmarkStart w:id="842" w:name="_Toc24884227"/>
      <w:r w:rsidRPr="0004348D">
        <w:rPr>
          <w:rFonts w:ascii="Cambria" w:eastAsia="Times New Roman" w:hAnsi="Cambria" w:cs="Arial"/>
          <w:bCs/>
          <w:color w:val="548DD4" w:themeColor="text2" w:themeTint="99"/>
          <w:sz w:val="26"/>
          <w:szCs w:val="26"/>
          <w:rtl/>
        </w:rPr>
        <w:t>סעיף י: כנ"ל - ולוה טוען 'שלשה דינרים היה שווה'.</w:t>
      </w:r>
      <w:bookmarkEnd w:id="842"/>
    </w:p>
    <w:p w14:paraId="3ADA7E17" w14:textId="77777777" w:rsidR="0004348D" w:rsidRPr="0004348D" w:rsidRDefault="0004348D" w:rsidP="0004348D">
      <w:pPr>
        <w:spacing w:before="360" w:after="240"/>
        <w:rPr>
          <w:rFonts w:ascii="Calibri" w:eastAsia="Calibri" w:hAnsi="Calibri" w:cs="Arial"/>
          <w:rtl/>
        </w:rPr>
      </w:pPr>
      <w:r w:rsidRPr="0004348D">
        <w:rPr>
          <w:rFonts w:ascii="Calibri" w:eastAsia="Calibri" w:hAnsi="Calibri" w:cs="Arial"/>
          <w:rtl/>
        </w:rPr>
        <w:t xml:space="preserve">עיין במקורות בסעיף הקודם </w:t>
      </w:r>
      <w:r w:rsidRPr="0004348D">
        <w:rPr>
          <w:rFonts w:ascii="Calibri" w:eastAsia="Calibri" w:hAnsi="Calibri" w:cs="Arial"/>
          <w:sz w:val="16"/>
          <w:szCs w:val="16"/>
          <w:rtl/>
        </w:rPr>
        <w:t>(סעיף ט)</w:t>
      </w:r>
      <w:r w:rsidRPr="0004348D">
        <w:rPr>
          <w:rFonts w:ascii="Calibri" w:eastAsia="Calibri" w:hAnsi="Calibri" w:cs="Arial"/>
          <w:rtl/>
        </w:rPr>
        <w:t>.</w:t>
      </w:r>
    </w:p>
    <w:p w14:paraId="6B23FA84" w14:textId="77777777" w:rsidR="0004348D" w:rsidRPr="0004348D" w:rsidRDefault="0004348D" w:rsidP="0004348D">
      <w:pPr>
        <w:spacing w:before="360" w:after="240"/>
        <w:rPr>
          <w:rFonts w:ascii="Arial" w:eastAsia="Calibri" w:hAnsi="Arial" w:cs="Arial"/>
          <w:b/>
          <w:bCs/>
          <w:color w:val="000000"/>
          <w:sz w:val="28"/>
          <w:szCs w:val="28"/>
          <w:u w:val="single"/>
          <w:rtl/>
        </w:rPr>
      </w:pPr>
      <w:r w:rsidRPr="0004348D">
        <w:rPr>
          <w:rFonts w:ascii="Arial" w:eastAsia="Calibri" w:hAnsi="Arial" w:cs="Arial"/>
          <w:b/>
          <w:bCs/>
          <w:color w:val="000000"/>
          <w:sz w:val="28"/>
          <w:szCs w:val="28"/>
          <w:u w:val="single"/>
          <w:rtl/>
        </w:rPr>
        <w:t>שו"ע:</w:t>
      </w:r>
    </w:p>
    <w:p w14:paraId="5E4E82B4" w14:textId="77777777" w:rsidR="0004348D" w:rsidRPr="0004348D" w:rsidRDefault="0004348D" w:rsidP="0004348D">
      <w:pPr>
        <w:spacing w:before="360" w:after="240"/>
        <w:rPr>
          <w:rFonts w:ascii="Calibri" w:eastAsia="Calibri" w:hAnsi="Calibri" w:cs="Arial"/>
          <w:rtl/>
        </w:rPr>
      </w:pPr>
      <w:r w:rsidRPr="0004348D">
        <w:rPr>
          <w:rFonts w:ascii="Calibri" w:eastAsia="Calibri" w:hAnsi="Calibri" w:cs="Arial"/>
          <w:rtl/>
        </w:rPr>
        <w:t>אמר המלוה 'סלע הלויתיך עליו ושקל היה שוה', והלוה אומר 'סלע הלויתני עליו וג' דינרין היה שוה', ישבע המלוה תחלה שאינו ברשותו, ואחר כך ישבע הלוה</w:t>
      </w:r>
      <w:r w:rsidRPr="0004348D">
        <w:rPr>
          <w:rFonts w:ascii="Calibri" w:eastAsia="Calibri" w:hAnsi="Calibri" w:cs="Arial"/>
          <w:vertAlign w:val="superscript"/>
          <w:rtl/>
        </w:rPr>
        <w:footnoteReference w:id="5852"/>
      </w:r>
      <w:r w:rsidRPr="0004348D">
        <w:rPr>
          <w:rFonts w:ascii="Calibri" w:eastAsia="Calibri" w:hAnsi="Calibri" w:cs="Arial"/>
          <w:rtl/>
        </w:rPr>
        <w:t xml:space="preserve"> כמה היה שוה, שהרי הודה במקצתו, וישלם הדינר. </w:t>
      </w:r>
    </w:p>
    <w:p w14:paraId="04F90AD6" w14:textId="77777777" w:rsidR="0004348D" w:rsidRPr="0004348D" w:rsidRDefault="0004348D" w:rsidP="0004348D">
      <w:pPr>
        <w:spacing w:before="360" w:after="240"/>
        <w:rPr>
          <w:rFonts w:ascii="Calibri" w:eastAsia="Calibri" w:hAnsi="Calibri" w:cs="Arial"/>
          <w:rtl/>
        </w:rPr>
      </w:pPr>
    </w:p>
    <w:p w14:paraId="6121663E" w14:textId="77777777" w:rsidR="0004348D" w:rsidRPr="0004348D" w:rsidRDefault="0004348D" w:rsidP="0004348D">
      <w:pPr>
        <w:keepNext/>
        <w:keepLines/>
        <w:spacing w:before="360" w:after="240"/>
        <w:outlineLvl w:val="1"/>
        <w:rPr>
          <w:rFonts w:ascii="Cambria" w:eastAsia="Times New Roman" w:hAnsi="Cambria" w:cs="Arial"/>
          <w:bCs/>
          <w:color w:val="548DD4" w:themeColor="text2" w:themeTint="99"/>
          <w:sz w:val="26"/>
          <w:szCs w:val="26"/>
          <w:rtl/>
        </w:rPr>
      </w:pPr>
      <w:bookmarkStart w:id="843" w:name="_Toc24884228"/>
      <w:r w:rsidRPr="0004348D">
        <w:rPr>
          <w:rFonts w:ascii="Cambria" w:eastAsia="Times New Roman" w:hAnsi="Cambria" w:cs="Arial"/>
          <w:bCs/>
          <w:color w:val="548DD4" w:themeColor="text2" w:themeTint="99"/>
          <w:sz w:val="26"/>
          <w:szCs w:val="26"/>
          <w:rtl/>
        </w:rPr>
        <w:t>סעיף יא: כנ"ל – ולוה אומר 'איני יודע כמה היה שווה'.</w:t>
      </w:r>
      <w:bookmarkEnd w:id="843"/>
    </w:p>
    <w:p w14:paraId="595C42B2" w14:textId="77777777" w:rsidR="0004348D" w:rsidRPr="0004348D" w:rsidRDefault="0004348D" w:rsidP="0004348D">
      <w:pPr>
        <w:spacing w:before="360" w:after="240"/>
        <w:rPr>
          <w:rFonts w:ascii="Calibri" w:eastAsia="Calibri" w:hAnsi="Calibri" w:cs="Arial"/>
          <w:rtl/>
        </w:rPr>
      </w:pPr>
      <w:r w:rsidRPr="0004348D">
        <w:rPr>
          <w:rFonts w:ascii="Calibri" w:eastAsia="Calibri" w:hAnsi="Calibri" w:cs="Arial"/>
          <w:rtl/>
        </w:rPr>
        <w:t>עיין במקורות בסעיף ט.</w:t>
      </w:r>
    </w:p>
    <w:p w14:paraId="43778F44" w14:textId="77777777" w:rsidR="0004348D" w:rsidRPr="0004348D" w:rsidRDefault="0004348D" w:rsidP="0004348D">
      <w:pPr>
        <w:spacing w:before="360" w:after="240"/>
        <w:rPr>
          <w:rFonts w:ascii="Arial" w:eastAsia="Calibri" w:hAnsi="Arial" w:cs="Arial"/>
          <w:b/>
          <w:bCs/>
          <w:color w:val="000000"/>
          <w:sz w:val="28"/>
          <w:szCs w:val="28"/>
          <w:u w:val="single"/>
          <w:rtl/>
        </w:rPr>
      </w:pPr>
      <w:r w:rsidRPr="0004348D">
        <w:rPr>
          <w:rFonts w:ascii="Arial" w:eastAsia="Calibri" w:hAnsi="Arial" w:cs="Arial"/>
          <w:b/>
          <w:bCs/>
          <w:color w:val="000000"/>
          <w:sz w:val="28"/>
          <w:szCs w:val="28"/>
          <w:u w:val="single"/>
          <w:rtl/>
        </w:rPr>
        <w:t>שו"ע:</w:t>
      </w:r>
    </w:p>
    <w:p w14:paraId="5CBFED0E" w14:textId="77777777" w:rsidR="0004348D" w:rsidRPr="0004348D" w:rsidRDefault="0004348D" w:rsidP="0004348D">
      <w:pPr>
        <w:spacing w:before="360" w:after="240"/>
        <w:rPr>
          <w:rFonts w:ascii="Calibri" w:eastAsia="Calibri" w:hAnsi="Calibri" w:cs="Arial"/>
          <w:rtl/>
        </w:rPr>
      </w:pPr>
      <w:r w:rsidRPr="0004348D">
        <w:rPr>
          <w:rFonts w:ascii="Calibri" w:eastAsia="Calibri" w:hAnsi="Calibri" w:cs="Arial"/>
          <w:rtl/>
        </w:rPr>
        <w:t>'סלע הלויתיך עליו ושקל היה שוה', והלוה אומר 'איני יודע דמיו', ישבע מלוה שאינו ברשותו, וכולל בשבועתו ששני דינרים היה שוה, וישלם הלוה שאר החוב, שהרי הוא יודע בודאי שהוא חייב ואינו יודע אם פרעו אם לאו. ואם יש למלוה עדים שנאבד, נוטל שקל בלא שבועה, אלא שמחרים הלוה סתם על מי שנוטל ממנו שלא כדין. והוא הדין שאם מאמינו הלוה שנאבד, שנוטל שקל בלא שבועה</w:t>
      </w:r>
      <w:r w:rsidRPr="0004348D">
        <w:rPr>
          <w:rFonts w:ascii="Calibri" w:eastAsia="Calibri" w:hAnsi="Calibri" w:cs="Arial"/>
          <w:vertAlign w:val="superscript"/>
          <w:rtl/>
        </w:rPr>
        <w:footnoteReference w:id="5853"/>
      </w:r>
      <w:r w:rsidRPr="0004348D">
        <w:rPr>
          <w:rFonts w:ascii="Calibri" w:eastAsia="Calibri" w:hAnsi="Calibri" w:cs="Arial"/>
          <w:rtl/>
        </w:rPr>
        <w:t xml:space="preserve">. </w:t>
      </w:r>
    </w:p>
    <w:p w14:paraId="49F62B9F" w14:textId="77777777" w:rsidR="0004348D" w:rsidRPr="0004348D" w:rsidRDefault="0004348D" w:rsidP="0004348D">
      <w:pPr>
        <w:spacing w:before="360" w:after="240"/>
        <w:rPr>
          <w:rFonts w:ascii="Calibri" w:eastAsia="Calibri" w:hAnsi="Calibri" w:cs="Arial"/>
          <w:rtl/>
        </w:rPr>
      </w:pPr>
    </w:p>
    <w:p w14:paraId="03F43E12" w14:textId="77777777" w:rsidR="0004348D" w:rsidRPr="0004348D" w:rsidRDefault="0004348D" w:rsidP="0004348D">
      <w:pPr>
        <w:keepNext/>
        <w:keepLines/>
        <w:spacing w:before="360" w:after="240"/>
        <w:outlineLvl w:val="1"/>
        <w:rPr>
          <w:rFonts w:ascii="Cambria" w:eastAsia="Times New Roman" w:hAnsi="Cambria" w:cs="Arial"/>
          <w:bCs/>
          <w:color w:val="548DD4" w:themeColor="text2" w:themeTint="99"/>
          <w:sz w:val="26"/>
          <w:szCs w:val="26"/>
          <w:rtl/>
        </w:rPr>
      </w:pPr>
      <w:bookmarkStart w:id="844" w:name="_Toc24884229"/>
      <w:r w:rsidRPr="0004348D">
        <w:rPr>
          <w:rFonts w:ascii="Cambria" w:eastAsia="Times New Roman" w:hAnsi="Cambria" w:cs="Arial"/>
          <w:bCs/>
          <w:color w:val="548DD4" w:themeColor="text2" w:themeTint="99"/>
          <w:sz w:val="26"/>
          <w:szCs w:val="26"/>
          <w:rtl/>
        </w:rPr>
        <w:t>סעיף יב: אבד המשכון – ולוה טוען סלע הלויתני ושנים היה שווה.</w:t>
      </w:r>
      <w:bookmarkEnd w:id="844"/>
    </w:p>
    <w:p w14:paraId="4BFDDAB5" w14:textId="77777777" w:rsidR="0004348D" w:rsidRPr="0004348D" w:rsidRDefault="0004348D" w:rsidP="0004348D">
      <w:pPr>
        <w:spacing w:before="360" w:after="240"/>
        <w:rPr>
          <w:rFonts w:ascii="Calibri" w:eastAsia="Calibri" w:hAnsi="Calibri" w:cs="Arial"/>
          <w:rtl/>
        </w:rPr>
      </w:pPr>
      <w:bookmarkStart w:id="845" w:name="_Hlk17652093"/>
      <w:r w:rsidRPr="0004348D">
        <w:rPr>
          <w:rFonts w:ascii="Calibri" w:eastAsia="Calibri" w:hAnsi="Calibri" w:cs="Arial"/>
          <w:b/>
          <w:bCs/>
          <w:rtl/>
        </w:rPr>
        <w:t xml:space="preserve">שבועות </w:t>
      </w:r>
      <w:r w:rsidRPr="0004348D">
        <w:rPr>
          <w:rFonts w:ascii="Calibri" w:eastAsia="Calibri" w:hAnsi="Calibri" w:cs="Arial"/>
          <w:b/>
          <w:bCs/>
          <w:sz w:val="16"/>
          <w:szCs w:val="16"/>
          <w:rtl/>
        </w:rPr>
        <w:t>(פרק שבועת הדיינין)</w:t>
      </w:r>
      <w:r w:rsidRPr="0004348D">
        <w:rPr>
          <w:rFonts w:ascii="Calibri" w:eastAsia="Calibri" w:hAnsi="Calibri" w:cs="Arial"/>
          <w:b/>
          <w:bCs/>
          <w:rtl/>
        </w:rPr>
        <w:t xml:space="preserve"> מג</w:t>
      </w:r>
      <w:r w:rsidRPr="0004348D">
        <w:rPr>
          <w:rFonts w:ascii="Calibri" w:eastAsia="Calibri" w:hAnsi="Calibri" w:cs="Arial"/>
          <w:b/>
          <w:bCs/>
          <w:vertAlign w:val="superscript"/>
          <w:rtl/>
        </w:rPr>
        <w:footnoteReference w:id="5854"/>
      </w:r>
      <w:r w:rsidRPr="0004348D">
        <w:rPr>
          <w:rFonts w:ascii="Calibri" w:eastAsia="Calibri" w:hAnsi="Calibri" w:cs="Arial"/>
          <w:b/>
          <w:bCs/>
          <w:rtl/>
        </w:rPr>
        <w:t xml:space="preserve"> ע"א:</w:t>
      </w:r>
      <w:r w:rsidRPr="0004348D">
        <w:rPr>
          <w:rFonts w:ascii="Calibri" w:eastAsia="Calibri" w:hAnsi="Calibri" w:cs="Arial"/>
          <w:rtl/>
        </w:rPr>
        <w:t xml:space="preserve"> </w:t>
      </w:r>
      <w:r w:rsidRPr="0004348D">
        <w:rPr>
          <w:rFonts w:ascii="Calibri" w:eastAsia="Calibri" w:hAnsi="Calibri" w:cs="Arial"/>
          <w:u w:val="double"/>
          <w:rtl/>
        </w:rPr>
        <w:t>מתני'</w:t>
      </w:r>
      <w:r w:rsidRPr="0004348D">
        <w:rPr>
          <w:rFonts w:ascii="Calibri" w:eastAsia="Calibri" w:hAnsi="Calibri" w:cs="Arial"/>
          <w:rtl/>
        </w:rPr>
        <w:t>: המלוה את חבירו על המשכון ואבד המשכון, אמר לו... סלע הלויתני עליו ושתים היה שוה, והלה אומר: לא כי, אלא סלע הלויתיך עליו וסלע היה שוה - פטור</w:t>
      </w:r>
      <w:r w:rsidRPr="0004348D">
        <w:rPr>
          <w:rFonts w:ascii="Calibri" w:eastAsia="Calibri" w:hAnsi="Calibri" w:cs="Arial"/>
          <w:vertAlign w:val="superscript"/>
          <w:rtl/>
        </w:rPr>
        <w:footnoteReference w:id="5855"/>
      </w:r>
      <w:r w:rsidRPr="0004348D">
        <w:rPr>
          <w:rFonts w:ascii="Calibri" w:eastAsia="Calibri" w:hAnsi="Calibri" w:cs="Arial"/>
          <w:rtl/>
        </w:rPr>
        <w:t xml:space="preserve">. סלע הלויתני עליו ושתים היה שוה, והלה אומר: לא כי, אלא סלע הלויתיך עליו וחמשה דינרים היה שוה - חייב. ומי נשבע? מי שהפקדון אצלו, שמא ישבע זה ויוציא הלה את הפקדון. </w:t>
      </w:r>
    </w:p>
    <w:p w14:paraId="64BC24FF" w14:textId="77777777" w:rsidR="0004348D" w:rsidRPr="0004348D" w:rsidRDefault="0004348D" w:rsidP="0004348D">
      <w:pPr>
        <w:spacing w:before="360" w:after="240"/>
        <w:rPr>
          <w:rFonts w:ascii="Calibri" w:eastAsia="Calibri" w:hAnsi="Calibri" w:cs="Arial"/>
          <w:rtl/>
        </w:rPr>
      </w:pPr>
      <w:r w:rsidRPr="0004348D">
        <w:rPr>
          <w:rFonts w:ascii="Calibri" w:eastAsia="Calibri" w:hAnsi="Calibri" w:cs="Arial"/>
          <w:b/>
          <w:bCs/>
          <w:rtl/>
        </w:rPr>
        <w:t xml:space="preserve">בבא מציעא </w:t>
      </w:r>
      <w:r w:rsidRPr="0004348D">
        <w:rPr>
          <w:rFonts w:ascii="Calibri" w:eastAsia="Calibri" w:hAnsi="Calibri" w:cs="Arial"/>
          <w:b/>
          <w:bCs/>
          <w:sz w:val="16"/>
          <w:szCs w:val="16"/>
          <w:rtl/>
        </w:rPr>
        <w:t>(פרק המפקיד)</w:t>
      </w:r>
      <w:r w:rsidRPr="0004348D">
        <w:rPr>
          <w:rFonts w:ascii="Calibri" w:eastAsia="Calibri" w:hAnsi="Calibri" w:cs="Arial"/>
          <w:b/>
          <w:bCs/>
          <w:rtl/>
        </w:rPr>
        <w:t xml:space="preserve"> לד</w:t>
      </w:r>
      <w:r w:rsidRPr="0004348D">
        <w:rPr>
          <w:rFonts w:ascii="Calibri" w:eastAsia="Calibri" w:hAnsi="Calibri" w:cs="Arial"/>
          <w:b/>
          <w:bCs/>
          <w:vertAlign w:val="superscript"/>
          <w:rtl/>
        </w:rPr>
        <w:footnoteReference w:id="5856"/>
      </w:r>
      <w:r w:rsidRPr="0004348D">
        <w:rPr>
          <w:rFonts w:ascii="Calibri" w:eastAsia="Calibri" w:hAnsi="Calibri" w:cs="Arial"/>
          <w:b/>
          <w:bCs/>
          <w:rtl/>
        </w:rPr>
        <w:t xml:space="preserve"> ע"ב:</w:t>
      </w:r>
      <w:r w:rsidRPr="0004348D">
        <w:rPr>
          <w:rFonts w:ascii="Calibri" w:eastAsia="Calibri" w:hAnsi="Calibri" w:cs="Arial"/>
          <w:rtl/>
        </w:rPr>
        <w:t xml:space="preserve"> </w:t>
      </w:r>
      <w:r w:rsidRPr="0004348D">
        <w:rPr>
          <w:rFonts w:ascii="Calibri" w:eastAsia="Calibri" w:hAnsi="Calibri" w:cs="Arial"/>
          <w:u w:val="single"/>
          <w:rtl/>
        </w:rPr>
        <w:t>אמר רב הונא</w:t>
      </w:r>
      <w:r w:rsidRPr="0004348D">
        <w:rPr>
          <w:rFonts w:ascii="Calibri" w:eastAsia="Calibri" w:hAnsi="Calibri" w:cs="Arial"/>
          <w:rtl/>
        </w:rPr>
        <w:t>: משביעין אותו שבועה שאינה ברשותו. מאי טעמא - חיישינן שמא עיניו נתן בה...</w:t>
      </w:r>
      <w:r w:rsidRPr="0004348D">
        <w:rPr>
          <w:rFonts w:ascii="Calibri" w:eastAsia="Calibri" w:hAnsi="Calibri" w:cs="Arial"/>
          <w:sz w:val="14"/>
          <w:szCs w:val="14"/>
          <w:rtl/>
        </w:rPr>
        <w:t xml:space="preserve"> (לה.)</w:t>
      </w:r>
      <w:r w:rsidRPr="0004348D">
        <w:rPr>
          <w:rFonts w:ascii="Calibri" w:eastAsia="Calibri" w:hAnsi="Calibri" w:cs="Arial"/>
          <w:rtl/>
        </w:rPr>
        <w:t xml:space="preserve"> </w:t>
      </w:r>
      <w:r w:rsidRPr="0004348D">
        <w:rPr>
          <w:rFonts w:ascii="Calibri" w:eastAsia="Calibri" w:hAnsi="Calibri" w:cs="Arial"/>
          <w:u w:val="single"/>
          <w:rtl/>
        </w:rPr>
        <w:t>רב הונא בר תחליפא משמיה דרבא אמר</w:t>
      </w:r>
      <w:r w:rsidRPr="0004348D">
        <w:rPr>
          <w:rFonts w:ascii="Calibri" w:eastAsia="Calibri" w:hAnsi="Calibri" w:cs="Arial"/>
          <w:rtl/>
        </w:rPr>
        <w:t>: רישא דסיפא</w:t>
      </w:r>
      <w:r w:rsidRPr="0004348D">
        <w:rPr>
          <w:rFonts w:ascii="Calibri" w:eastAsia="Calibri" w:hAnsi="Calibri" w:cs="Arial"/>
          <w:vertAlign w:val="superscript"/>
          <w:rtl/>
        </w:rPr>
        <w:footnoteReference w:id="5857"/>
      </w:r>
      <w:r w:rsidRPr="0004348D">
        <w:rPr>
          <w:rFonts w:ascii="Calibri" w:eastAsia="Calibri" w:hAnsi="Calibri" w:cs="Arial"/>
          <w:rtl/>
        </w:rPr>
        <w:t xml:space="preserve"> תיובתא לרב הונא - סלע הלויתני עליו, שתים היה שוה, והלה אומר: לא כי, אלא סלע הלויתיך עליו סלע היה שוה - פטור. ואם איתא לדרב הונא, מגו דמשתבע מלוה שאינה ברשותו - לישתבע נמי אגילגול שבועה</w:t>
      </w:r>
      <w:r w:rsidRPr="0004348D">
        <w:rPr>
          <w:rFonts w:ascii="Calibri" w:eastAsia="Calibri" w:hAnsi="Calibri" w:cs="Arial"/>
          <w:vertAlign w:val="superscript"/>
          <w:rtl/>
        </w:rPr>
        <w:footnoteReference w:id="5858"/>
      </w:r>
      <w:r w:rsidRPr="0004348D">
        <w:rPr>
          <w:rFonts w:ascii="Calibri" w:eastAsia="Calibri" w:hAnsi="Calibri" w:cs="Arial"/>
          <w:rtl/>
        </w:rPr>
        <w:t xml:space="preserve"> כמה היה שוה! </w:t>
      </w:r>
      <w:r w:rsidRPr="0004348D">
        <w:rPr>
          <w:rFonts w:ascii="Calibri" w:eastAsia="Calibri" w:hAnsi="Calibri" w:cs="Arial"/>
          <w:u w:val="single"/>
          <w:rtl/>
        </w:rPr>
        <w:t>אמר רב אשי</w:t>
      </w:r>
      <w:r w:rsidRPr="0004348D">
        <w:rPr>
          <w:rFonts w:ascii="Calibri" w:eastAsia="Calibri" w:hAnsi="Calibri" w:cs="Arial"/>
          <w:rtl/>
        </w:rPr>
        <w:t>: אמריתה לשמעתא קמיה דרב כהנא, ואמר לי: תהא במאמינו</w:t>
      </w:r>
      <w:r w:rsidRPr="0004348D">
        <w:rPr>
          <w:rFonts w:ascii="Calibri" w:eastAsia="Calibri" w:hAnsi="Calibri" w:cs="Arial"/>
          <w:vertAlign w:val="superscript"/>
          <w:rtl/>
        </w:rPr>
        <w:footnoteReference w:id="5859"/>
      </w:r>
      <w:r w:rsidRPr="0004348D">
        <w:rPr>
          <w:rFonts w:ascii="Calibri" w:eastAsia="Calibri" w:hAnsi="Calibri" w:cs="Arial"/>
          <w:rtl/>
        </w:rPr>
        <w:t>. ונהמניה לוה למלוה נמי בהא כמה הוה שוה! לא קים ליה בגויה</w:t>
      </w:r>
      <w:r w:rsidRPr="0004348D">
        <w:rPr>
          <w:rFonts w:ascii="Calibri" w:eastAsia="Calibri" w:hAnsi="Calibri" w:cs="Arial"/>
          <w:vertAlign w:val="superscript"/>
          <w:rtl/>
        </w:rPr>
        <w:footnoteReference w:id="5860"/>
      </w:r>
      <w:r w:rsidRPr="0004348D">
        <w:rPr>
          <w:rFonts w:ascii="Calibri" w:eastAsia="Calibri" w:hAnsi="Calibri" w:cs="Arial"/>
          <w:rtl/>
        </w:rPr>
        <w:t>. ונהמניה מלוה ללוה, דקים ליה בגויה! לא מהימן ליה. ומאי שנא</w:t>
      </w:r>
      <w:r w:rsidRPr="0004348D">
        <w:rPr>
          <w:rFonts w:ascii="Calibri" w:eastAsia="Calibri" w:hAnsi="Calibri" w:cs="Arial"/>
          <w:vertAlign w:val="superscript"/>
          <w:rtl/>
        </w:rPr>
        <w:footnoteReference w:id="5861"/>
      </w:r>
      <w:r w:rsidRPr="0004348D">
        <w:rPr>
          <w:rFonts w:ascii="Calibri" w:eastAsia="Calibri" w:hAnsi="Calibri" w:cs="Arial"/>
          <w:rtl/>
        </w:rPr>
        <w:t xml:space="preserve"> לוה דמהימן ליה למלוה, ומאי שנא מלוה דלא מהימן ליה ללוה? לוה מקיים ביה במלוה</w:t>
      </w:r>
      <w:r w:rsidRPr="0004348D">
        <w:rPr>
          <w:rFonts w:ascii="Calibri" w:eastAsia="Calibri" w:hAnsi="Calibri" w:cs="Arial"/>
          <w:vertAlign w:val="superscript"/>
          <w:rtl/>
        </w:rPr>
        <w:footnoteReference w:id="5862"/>
      </w:r>
      <w:r w:rsidRPr="0004348D">
        <w:rPr>
          <w:rFonts w:ascii="Calibri" w:eastAsia="Calibri" w:hAnsi="Calibri" w:cs="Arial"/>
          <w:rtl/>
        </w:rPr>
        <w:t xml:space="preserve"> תמת ישרים תנחם, מלוה מקיים ביה בלוה וסלף בוגדים ישדם.</w:t>
      </w:r>
    </w:p>
    <w:p w14:paraId="20E44346" w14:textId="77777777" w:rsidR="0004348D" w:rsidRPr="0004348D" w:rsidRDefault="0004348D" w:rsidP="0004348D">
      <w:pPr>
        <w:spacing w:before="360" w:after="240"/>
        <w:rPr>
          <w:rFonts w:ascii="Calibri" w:eastAsia="Calibri" w:hAnsi="Calibri" w:cs="Arial"/>
          <w:rtl/>
        </w:rPr>
      </w:pPr>
      <w:r w:rsidRPr="0004348D">
        <w:rPr>
          <w:rFonts w:ascii="Calibri" w:eastAsia="Calibri" w:hAnsi="Calibri" w:cs="Arial"/>
          <w:u w:val="single"/>
          <w:rtl/>
        </w:rPr>
        <w:t>המלוה את חברו סלע על המשכון, ואבד המשכון – ומלוה טוען שהמשכון היה שוה סלע ולוה טוען שהיה שוה שנים:</w:t>
      </w:r>
    </w:p>
    <w:p w14:paraId="6FF598D6" w14:textId="77777777" w:rsidR="0004348D" w:rsidRPr="0004348D" w:rsidRDefault="0004348D" w:rsidP="00992A87">
      <w:pPr>
        <w:numPr>
          <w:ilvl w:val="0"/>
          <w:numId w:val="369"/>
        </w:numPr>
        <w:spacing w:before="360" w:after="240"/>
        <w:contextualSpacing/>
        <w:rPr>
          <w:rFonts w:ascii="Calibri" w:eastAsia="Calibri" w:hAnsi="Calibri" w:cs="Arial"/>
          <w:rtl/>
        </w:rPr>
      </w:pPr>
      <w:r w:rsidRPr="0004348D">
        <w:rPr>
          <w:rFonts w:ascii="Calibri" w:eastAsia="Calibri" w:hAnsi="Calibri" w:cs="Arial"/>
          <w:rtl/>
        </w:rPr>
        <w:t xml:space="preserve">טור- ואם הלוה תובע למלוה ואומר 'סלע הלויתני עליו ושתים היה שוה', ואבדו בפשיעה ולדברי הגאונים אפילו נגנב או נאבד, והמלוה אומר שלא היה שוה אלא סלע, אם הלוה מאמינו שנאבד או שיש לו עדים שנאבד - נשבע המלוה היסת ונפטר. ואם אין הלוה מאמינו וגם אין לו עדים שנאבד - נשבע המלוה כעין של תורה שאינו ברשותו ומגלגל עליו שלא היה שוה יותר ממה שהלוהו. </w:t>
      </w:r>
      <w:r w:rsidRPr="0004348D">
        <w:rPr>
          <w:rFonts w:ascii="Calibri" w:eastAsia="Calibri" w:hAnsi="Calibri" w:cs="Arial"/>
          <w:color w:val="E36C0A" w:themeColor="accent6" w:themeShade="BF"/>
          <w:rtl/>
        </w:rPr>
        <w:t>(וכ"פ בשו"ע)</w:t>
      </w:r>
    </w:p>
    <w:p w14:paraId="3BF543BA" w14:textId="77777777" w:rsidR="0004348D" w:rsidRPr="0004348D" w:rsidRDefault="0004348D" w:rsidP="0004348D">
      <w:pPr>
        <w:spacing w:before="360" w:after="240"/>
        <w:ind w:left="360"/>
        <w:rPr>
          <w:rFonts w:ascii="Calibri" w:eastAsia="Calibri" w:hAnsi="Calibri" w:cs="Arial"/>
        </w:rPr>
      </w:pPr>
      <w:r w:rsidRPr="0004348D">
        <w:rPr>
          <w:rFonts w:ascii="Calibri" w:eastAsia="Calibri" w:hAnsi="Calibri" w:cs="Arial"/>
          <w:u w:val="dotted"/>
          <w:rtl/>
        </w:rPr>
        <w:t>ומה הדין אם הלוה טוען שהיה שוה ה' דינרין:</w:t>
      </w:r>
    </w:p>
    <w:p w14:paraId="4B340552" w14:textId="77777777" w:rsidR="0004348D" w:rsidRPr="0004348D" w:rsidRDefault="0004348D" w:rsidP="00992A87">
      <w:pPr>
        <w:numPr>
          <w:ilvl w:val="0"/>
          <w:numId w:val="369"/>
        </w:numPr>
        <w:spacing w:before="360" w:after="240"/>
        <w:contextualSpacing/>
        <w:rPr>
          <w:rFonts w:ascii="Calibri" w:eastAsia="Calibri" w:hAnsi="Calibri" w:cs="Arial"/>
        </w:rPr>
      </w:pPr>
      <w:r w:rsidRPr="0004348D">
        <w:rPr>
          <w:rFonts w:ascii="Calibri" w:eastAsia="Calibri" w:hAnsi="Calibri" w:cs="Arial"/>
          <w:rtl/>
        </w:rPr>
        <w:t>טור- ואם המלוה מודה במקצת, שאמר הלוה 'סלע הלויתני עליו ושתים היה שוה', ואמר המלוה שלא היה שוה אלא ה' דינרין - משלם לו דינר אחד שמודה, וישבע שבועת התורה שלא היה שוה יותר מה' דינרין וכולל בשבועתו שאינו ברשותו אם אינו מאמינו שנאבד וגם אין לו עדים שנאבד</w:t>
      </w:r>
      <w:r w:rsidRPr="0004348D">
        <w:rPr>
          <w:rFonts w:ascii="Calibri" w:eastAsia="Calibri" w:hAnsi="Calibri" w:cs="Arial"/>
          <w:vertAlign w:val="superscript"/>
          <w:rtl/>
        </w:rPr>
        <w:footnoteReference w:id="5863"/>
      </w:r>
      <w:r w:rsidRPr="0004348D">
        <w:rPr>
          <w:rFonts w:ascii="Calibri" w:eastAsia="Calibri" w:hAnsi="Calibri" w:cs="Arial"/>
          <w:rtl/>
        </w:rPr>
        <w:t>. ואם אמר לו 'הילך הדינר שהוא שוה יותר ממה שהלויתיך' או שאומר 'היה לי בידך בכדי שהיה שוה יותר על החוב' - ה"ז נשבע היסת ונפטר אם זה מאמינו או אם יש לו עדים שנאבד</w:t>
      </w:r>
      <w:r w:rsidRPr="0004348D">
        <w:rPr>
          <w:rFonts w:ascii="Calibri" w:eastAsia="Calibri" w:hAnsi="Calibri" w:cs="Arial"/>
          <w:vertAlign w:val="superscript"/>
          <w:rtl/>
        </w:rPr>
        <w:footnoteReference w:id="5864"/>
      </w:r>
      <w:r w:rsidRPr="0004348D">
        <w:rPr>
          <w:rFonts w:ascii="Calibri" w:eastAsia="Calibri" w:hAnsi="Calibri" w:cs="Arial"/>
          <w:rtl/>
        </w:rPr>
        <w:t xml:space="preserve">. </w:t>
      </w:r>
      <w:r w:rsidRPr="0004348D">
        <w:rPr>
          <w:rFonts w:ascii="Calibri" w:eastAsia="Calibri" w:hAnsi="Calibri" w:cs="Arial"/>
          <w:color w:val="E36C0A" w:themeColor="accent6" w:themeShade="BF"/>
          <w:rtl/>
        </w:rPr>
        <w:t>(וכ"פ בשו"ע)</w:t>
      </w:r>
    </w:p>
    <w:p w14:paraId="25BCF0F5" w14:textId="77777777" w:rsidR="0004348D" w:rsidRPr="0004348D" w:rsidRDefault="0004348D" w:rsidP="0004348D">
      <w:pPr>
        <w:spacing w:before="360" w:after="240"/>
        <w:ind w:left="360"/>
        <w:rPr>
          <w:rFonts w:ascii="Calibri" w:eastAsia="Calibri" w:hAnsi="Calibri" w:cs="Arial"/>
        </w:rPr>
      </w:pPr>
      <w:r w:rsidRPr="0004348D">
        <w:rPr>
          <w:rFonts w:ascii="Calibri" w:eastAsia="Calibri" w:hAnsi="Calibri" w:cs="Arial"/>
          <w:u w:val="dotted"/>
          <w:rtl/>
        </w:rPr>
        <w:t>ומה הדין אם הלוה טוען שהיה שוה ב' סלעים, והמלוה אומר 'איני יודע כמה היה שוה':</w:t>
      </w:r>
    </w:p>
    <w:p w14:paraId="5C74BC7F" w14:textId="77777777" w:rsidR="0004348D" w:rsidRPr="0004348D" w:rsidRDefault="0004348D" w:rsidP="00992A87">
      <w:pPr>
        <w:numPr>
          <w:ilvl w:val="0"/>
          <w:numId w:val="369"/>
        </w:numPr>
        <w:spacing w:before="360" w:after="240"/>
        <w:contextualSpacing/>
        <w:rPr>
          <w:rFonts w:ascii="Calibri" w:eastAsia="Calibri" w:hAnsi="Calibri" w:cs="Arial"/>
        </w:rPr>
      </w:pPr>
      <w:r w:rsidRPr="0004348D">
        <w:rPr>
          <w:rFonts w:ascii="Calibri" w:eastAsia="Calibri" w:hAnsi="Calibri" w:cs="Arial"/>
          <w:rtl/>
        </w:rPr>
        <w:t xml:space="preserve">רמב"ם </w:t>
      </w:r>
      <w:r w:rsidRPr="0004348D">
        <w:rPr>
          <w:rFonts w:ascii="Calibri" w:eastAsia="Calibri" w:hAnsi="Calibri" w:cs="Arial"/>
          <w:sz w:val="16"/>
          <w:szCs w:val="16"/>
          <w:rtl/>
        </w:rPr>
        <w:t>(פי"ג ממלוה ולוה ה"ד)</w:t>
      </w:r>
      <w:r w:rsidRPr="0004348D">
        <w:rPr>
          <w:rFonts w:ascii="Calibri" w:eastAsia="Calibri" w:hAnsi="Calibri" w:cs="Arial"/>
          <w:rtl/>
        </w:rPr>
        <w:t xml:space="preserve"> בהעי"ט </w:t>
      </w:r>
      <w:r w:rsidRPr="0004348D">
        <w:rPr>
          <w:rFonts w:ascii="Calibri" w:eastAsia="Calibri" w:hAnsi="Calibri" w:cs="Arial"/>
          <w:sz w:val="16"/>
          <w:szCs w:val="16"/>
          <w:rtl/>
        </w:rPr>
        <w:t>(שם כב ע"א, כ"כ בשמו בעל התרומות [שער מט שם])</w:t>
      </w:r>
      <w:r w:rsidRPr="0004348D">
        <w:rPr>
          <w:rFonts w:ascii="Calibri" w:eastAsia="Calibri" w:hAnsi="Calibri" w:cs="Arial"/>
          <w:rtl/>
        </w:rPr>
        <w:t xml:space="preserve"> וטור- ואם אמר הלוה 'סלע הלויתני עליו ושתים היה שוה' והמלוה אומר 'איני יודע כמה היה שוה' - ישבע המלוה שאינו ברשותו ויכלול בשבועתו שאינו יודע שהיה שוה יותר מדמי החוב ויפטר</w:t>
      </w:r>
      <w:r w:rsidRPr="0004348D">
        <w:rPr>
          <w:rFonts w:ascii="Calibri" w:eastAsia="Calibri" w:hAnsi="Calibri" w:cs="Arial"/>
          <w:vertAlign w:val="superscript"/>
          <w:rtl/>
        </w:rPr>
        <w:footnoteReference w:id="5865"/>
      </w:r>
      <w:r w:rsidRPr="0004348D">
        <w:rPr>
          <w:rFonts w:ascii="Calibri" w:eastAsia="Calibri" w:hAnsi="Calibri" w:cs="Arial"/>
          <w:rtl/>
        </w:rPr>
        <w:t>. ואם יש עדים שנאבד או שהלוה מאמינו - נשבע היסת שאינו יודע שהיה שוה יותר מדמי החוב ויפטר. ואם השיב 'אני יודע שהוא שוה יותר מדמי החוב ואיני יודע כמה' - הוי ליה מחויב שבועה ואינו יכול לישבע ומשלם לו סלע</w:t>
      </w:r>
      <w:r w:rsidRPr="0004348D">
        <w:rPr>
          <w:rFonts w:ascii="Calibri" w:eastAsia="Calibri" w:hAnsi="Calibri" w:cs="Arial"/>
          <w:vertAlign w:val="superscript"/>
          <w:rtl/>
        </w:rPr>
        <w:footnoteReference w:id="5866"/>
      </w:r>
      <w:r w:rsidRPr="0004348D">
        <w:rPr>
          <w:rFonts w:ascii="Calibri" w:eastAsia="Calibri" w:hAnsi="Calibri" w:cs="Arial"/>
          <w:rtl/>
        </w:rPr>
        <w:t>. ואם רצה המלוה מחרים סתם על מי שנוטל הימנו מה שלא היה לו ליטול</w:t>
      </w:r>
      <w:r w:rsidRPr="0004348D">
        <w:rPr>
          <w:rFonts w:ascii="Calibri" w:eastAsia="Calibri" w:hAnsi="Calibri" w:cs="Arial"/>
          <w:sz w:val="14"/>
          <w:szCs w:val="14"/>
          <w:rtl/>
        </w:rPr>
        <w:t xml:space="preserve"> </w:t>
      </w:r>
      <w:r w:rsidRPr="0004348D">
        <w:rPr>
          <w:rFonts w:ascii="Calibri" w:eastAsia="Calibri" w:hAnsi="Calibri" w:cs="Arial"/>
          <w:sz w:val="16"/>
          <w:szCs w:val="16"/>
          <w:rtl/>
        </w:rPr>
        <w:t>(ל' הטור)</w:t>
      </w:r>
      <w:r w:rsidRPr="0004348D">
        <w:rPr>
          <w:rFonts w:ascii="Calibri" w:eastAsia="Calibri" w:hAnsi="Calibri" w:cs="Arial"/>
          <w:rtl/>
        </w:rPr>
        <w:t>.</w:t>
      </w:r>
      <w:r w:rsidRPr="0004348D">
        <w:rPr>
          <w:rFonts w:ascii="Calibri" w:eastAsia="Calibri" w:hAnsi="Calibri" w:cs="Arial"/>
          <w:color w:val="E36C0A" w:themeColor="accent6" w:themeShade="BF"/>
          <w:rtl/>
        </w:rPr>
        <w:t xml:space="preserve"> (וכ"פ בשו"ע)</w:t>
      </w:r>
    </w:p>
    <w:p w14:paraId="057037A5" w14:textId="77777777" w:rsidR="0004348D" w:rsidRPr="0004348D" w:rsidRDefault="0004348D" w:rsidP="0004348D">
      <w:pPr>
        <w:spacing w:before="360" w:after="240"/>
        <w:rPr>
          <w:rFonts w:ascii="Calibri" w:eastAsia="Calibri" w:hAnsi="Calibri" w:cs="Arial"/>
          <w:u w:val="single"/>
        </w:rPr>
      </w:pPr>
      <w:r w:rsidRPr="0004348D">
        <w:rPr>
          <w:rFonts w:ascii="Calibri" w:eastAsia="Calibri" w:hAnsi="Calibri" w:cs="Arial"/>
          <w:u w:val="single"/>
          <w:rtl/>
        </w:rPr>
        <w:t>אבד המשכון ושניהם תובעין זא"ז - לוה אומר 'סלע הלויתני עליו וב' היה שוה', ומלוה אומר 'לא היה שוה אלא שקל':</w:t>
      </w:r>
    </w:p>
    <w:p w14:paraId="3D1370CF" w14:textId="77777777" w:rsidR="0004348D" w:rsidRPr="0004348D" w:rsidRDefault="0004348D" w:rsidP="00992A87">
      <w:pPr>
        <w:numPr>
          <w:ilvl w:val="0"/>
          <w:numId w:val="369"/>
        </w:numPr>
        <w:spacing w:before="360" w:after="240"/>
        <w:contextualSpacing/>
        <w:rPr>
          <w:rFonts w:ascii="Calibri" w:eastAsia="Calibri" w:hAnsi="Calibri" w:cs="Arial"/>
        </w:rPr>
      </w:pPr>
      <w:r w:rsidRPr="0004348D">
        <w:rPr>
          <w:rFonts w:ascii="Calibri" w:eastAsia="Calibri" w:hAnsi="Calibri" w:cs="Arial"/>
          <w:rtl/>
        </w:rPr>
        <w:t>רי"ף בהעי"ט וטור</w:t>
      </w:r>
      <w:r w:rsidRPr="0004348D">
        <w:rPr>
          <w:rFonts w:ascii="Calibri" w:eastAsia="Calibri" w:hAnsi="Calibri" w:cs="Arial"/>
          <w:vertAlign w:val="superscript"/>
          <w:rtl/>
        </w:rPr>
        <w:footnoteReference w:id="5867"/>
      </w:r>
      <w:r w:rsidRPr="0004348D">
        <w:rPr>
          <w:rFonts w:ascii="Calibri" w:eastAsia="Calibri" w:hAnsi="Calibri" w:cs="Arial"/>
          <w:rtl/>
        </w:rPr>
        <w:t>- ואם שניהם תובעין זה את זה, שאמר הלוה 'סלע הלויתני עליו וב' היה שוה', והמלוה אומר שלא היה שוה אלא שקל - נשבע הלוה היסת שלא היה שוה פחות מסלע, והמלוה נשבע שאינו ברשותו ויכלול בשבועתו שלא היה שוה יותר מסלע, ואם היה הלוה מאמינו שנאבד או שיש לו עדים - גם הוא לא ישבע אלא היסת שלא היה שוה יותר מסלע.</w:t>
      </w:r>
      <w:r w:rsidRPr="0004348D">
        <w:rPr>
          <w:rFonts w:ascii="Calibri" w:eastAsia="Calibri" w:hAnsi="Calibri" w:cs="Arial"/>
          <w:color w:val="E36C0A" w:themeColor="accent6" w:themeShade="BF"/>
          <w:rtl/>
        </w:rPr>
        <w:t xml:space="preserve"> (וכ"פ בשו"ע)</w:t>
      </w:r>
    </w:p>
    <w:bookmarkEnd w:id="845"/>
    <w:p w14:paraId="2DDB940F" w14:textId="77777777" w:rsidR="0004348D" w:rsidRPr="0004348D" w:rsidRDefault="0004348D" w:rsidP="0004348D">
      <w:pPr>
        <w:spacing w:before="360" w:after="240"/>
        <w:rPr>
          <w:rFonts w:ascii="Arial" w:eastAsia="Calibri" w:hAnsi="Arial" w:cs="Arial"/>
          <w:b/>
          <w:bCs/>
          <w:color w:val="000000"/>
          <w:sz w:val="28"/>
          <w:szCs w:val="28"/>
          <w:u w:val="single"/>
          <w:rtl/>
        </w:rPr>
      </w:pPr>
      <w:r w:rsidRPr="0004348D">
        <w:rPr>
          <w:rFonts w:ascii="Arial" w:eastAsia="Calibri" w:hAnsi="Arial" w:cs="Arial"/>
          <w:b/>
          <w:bCs/>
          <w:color w:val="000000"/>
          <w:sz w:val="28"/>
          <w:szCs w:val="28"/>
          <w:u w:val="single"/>
          <w:rtl/>
        </w:rPr>
        <w:t>שו"ע:</w:t>
      </w:r>
    </w:p>
    <w:p w14:paraId="5BCBDBA3" w14:textId="77777777" w:rsidR="0004348D" w:rsidRPr="0004348D" w:rsidRDefault="0004348D" w:rsidP="0004348D">
      <w:pPr>
        <w:spacing w:before="360" w:after="240"/>
        <w:rPr>
          <w:rFonts w:ascii="Calibri" w:eastAsia="Calibri" w:hAnsi="Calibri" w:cs="Arial"/>
          <w:rtl/>
        </w:rPr>
      </w:pPr>
      <w:r w:rsidRPr="0004348D">
        <w:rPr>
          <w:rFonts w:ascii="Calibri" w:eastAsia="Calibri" w:hAnsi="Calibri" w:cs="Arial"/>
          <w:rtl/>
        </w:rPr>
        <w:t xml:space="preserve">אמר הלוה 'סלע הלויתני עליו ושתים היה שוה'. </w:t>
      </w:r>
      <w:r w:rsidRPr="0004348D">
        <w:rPr>
          <w:rFonts w:ascii="Calibri" w:eastAsia="Calibri" w:hAnsi="Calibri" w:cs="Arial"/>
          <w:sz w:val="18"/>
          <w:szCs w:val="18"/>
          <w:rtl/>
        </w:rPr>
        <w:t>הגה: ומיירי שאבדו בפשיעה למ"ד דלא הוי אלא שומר חנם</w:t>
      </w:r>
      <w:r w:rsidRPr="0004348D">
        <w:rPr>
          <w:rFonts w:ascii="Calibri" w:eastAsia="Calibri" w:hAnsi="Calibri" w:cs="Arial"/>
          <w:sz w:val="16"/>
          <w:szCs w:val="16"/>
          <w:rtl/>
        </w:rPr>
        <w:t xml:space="preserve"> (טור)</w:t>
      </w:r>
      <w:r w:rsidRPr="0004348D">
        <w:rPr>
          <w:rFonts w:ascii="Calibri" w:eastAsia="Calibri" w:hAnsi="Calibri" w:cs="Arial"/>
          <w:rtl/>
        </w:rPr>
        <w:t>, והמלוה אומר שלא היה שוה אלא סלע, אם הלוה מאמינו שנאבד או שיש לו עדים שנאבד, נשבע המלוה היסת ונפטר. ואם אין הלוה מאמינו שנאבד וגם אין לו עדים שנאבד, נשבע המלוה שאינו ברשותו ומגלגל עליו שלא היה שוה יותר ממה שהלוהו. ואם המלוה מודה במקצת, שאמר הלוה 'סלע הלויתני עליו ושתים היה שוה', ואמר המלוה שלא היה שוה אלא חמשה דינרים, משלם לו הדינר שמודה, וישבע שלא היה שוה יותר</w:t>
      </w:r>
      <w:r w:rsidRPr="0004348D">
        <w:rPr>
          <w:rFonts w:ascii="Calibri" w:eastAsia="Calibri" w:hAnsi="Calibri" w:cs="Arial"/>
          <w:vertAlign w:val="superscript"/>
          <w:rtl/>
        </w:rPr>
        <w:footnoteReference w:id="5868"/>
      </w:r>
      <w:r w:rsidRPr="0004348D">
        <w:rPr>
          <w:rFonts w:ascii="Calibri" w:eastAsia="Calibri" w:hAnsi="Calibri" w:cs="Arial"/>
          <w:rtl/>
        </w:rPr>
        <w:t xml:space="preserve"> מחמשה דינרים וכולל בשבועתו שאינו ברשותו אם אינו מאמינו שנאבד וגם אין לו עדים שנאבד. ואם אמר לו 'הילך מה שהוא שוה יותר ממה שהלויתיך', או שאמר 'היה לי בידך בכדי שהיה שוה יותר על החוב', הרי זה נשבע היסת ונפטר אם זה מאמינו שנאבד או אם יש לו עדים שנאבד. אמר הלוה 'סלע הלויתני עליו ושתים היה שוה', והמלוה אומר 'איני יודע כמה היה שוה', ישבע המלוה שאינו ברשותו ויכלול בשבועתו</w:t>
      </w:r>
      <w:r w:rsidRPr="0004348D">
        <w:rPr>
          <w:rFonts w:ascii="Calibri" w:eastAsia="Calibri" w:hAnsi="Calibri" w:cs="Arial"/>
          <w:vertAlign w:val="superscript"/>
          <w:rtl/>
        </w:rPr>
        <w:footnoteReference w:id="5869"/>
      </w:r>
      <w:r w:rsidRPr="0004348D">
        <w:rPr>
          <w:rFonts w:ascii="Calibri" w:eastAsia="Calibri" w:hAnsi="Calibri" w:cs="Arial"/>
          <w:rtl/>
        </w:rPr>
        <w:t xml:space="preserve"> שאינו יודע שהיה שוה יותר מדמי החוב ויפטר, ואם יש עדים שנאבד או שהלוה מאמינו, נשבע היסת שאינו יודע שהיה שוה יותר מדמי החוב ויפטר. ואם השיב 'אני יודע שהיה שוה יותר מדמי החוב ואיני יודע כמה', הוה ליה מחויב שבועה ואינו יכול לישבע, ומשלם לו סלע</w:t>
      </w:r>
      <w:r w:rsidRPr="0004348D">
        <w:rPr>
          <w:rFonts w:ascii="Calibri" w:eastAsia="Calibri" w:hAnsi="Calibri" w:cs="Arial"/>
          <w:vertAlign w:val="superscript"/>
          <w:rtl/>
        </w:rPr>
        <w:footnoteReference w:id="5870"/>
      </w:r>
      <w:r w:rsidRPr="0004348D">
        <w:rPr>
          <w:rFonts w:ascii="Calibri" w:eastAsia="Calibri" w:hAnsi="Calibri" w:cs="Arial"/>
          <w:rtl/>
        </w:rPr>
        <w:t>. ואם רצה המלוה מחרים סתם על מי שטוען שקר. אם שניהם תובעים זה את זה, שאמר הלוה 'סלע הלויתני עליו ושתים היה שוה', והמלוה אומר שלא היה שוה אלא שקל, נשבע הלוה היסת שלא היה שוה פחות מסלע, והמלוה נשבע שאינו ברשותו ויכלול בשבועתו שלא היה שוה יותר מסלע, ואם היה הלוה מאמינו שנאבד או שיש לו עדים, גם הוא לא ישבע אלא היסת שלא היה שוה יותר מסלע</w:t>
      </w:r>
      <w:r w:rsidRPr="0004348D">
        <w:rPr>
          <w:rFonts w:ascii="Calibri" w:eastAsia="Calibri" w:hAnsi="Calibri" w:cs="Arial"/>
          <w:vertAlign w:val="superscript"/>
          <w:rtl/>
        </w:rPr>
        <w:footnoteReference w:id="5871"/>
      </w:r>
      <w:r w:rsidRPr="0004348D">
        <w:rPr>
          <w:rFonts w:ascii="Calibri" w:eastAsia="Calibri" w:hAnsi="Calibri" w:cs="Arial"/>
          <w:rtl/>
        </w:rPr>
        <w:t xml:space="preserve">. </w:t>
      </w:r>
    </w:p>
    <w:p w14:paraId="36B5F467" w14:textId="77777777" w:rsidR="0004348D" w:rsidRPr="0004348D" w:rsidRDefault="0004348D" w:rsidP="0004348D">
      <w:pPr>
        <w:spacing w:before="360" w:after="240"/>
        <w:rPr>
          <w:rFonts w:ascii="Calibri" w:eastAsia="Calibri" w:hAnsi="Calibri" w:cs="Arial"/>
          <w:rtl/>
        </w:rPr>
      </w:pPr>
    </w:p>
    <w:p w14:paraId="7D6DD461" w14:textId="77777777" w:rsidR="0004348D" w:rsidRPr="0004348D" w:rsidRDefault="0004348D" w:rsidP="0004348D">
      <w:pPr>
        <w:keepNext/>
        <w:keepLines/>
        <w:spacing w:before="360" w:after="240"/>
        <w:outlineLvl w:val="1"/>
        <w:rPr>
          <w:rFonts w:ascii="Cambria" w:eastAsia="Times New Roman" w:hAnsi="Cambria" w:cs="Arial"/>
          <w:bCs/>
          <w:color w:val="548DD4" w:themeColor="text2" w:themeTint="99"/>
          <w:sz w:val="26"/>
          <w:szCs w:val="26"/>
          <w:rtl/>
        </w:rPr>
      </w:pPr>
      <w:bookmarkStart w:id="846" w:name="_Toc24884230"/>
      <w:r w:rsidRPr="0004348D">
        <w:rPr>
          <w:rFonts w:ascii="Cambria" w:eastAsia="Times New Roman" w:hAnsi="Cambria" w:cs="Arial"/>
          <w:bCs/>
          <w:color w:val="548DD4" w:themeColor="text2" w:themeTint="99"/>
          <w:sz w:val="26"/>
          <w:szCs w:val="26"/>
          <w:rtl/>
        </w:rPr>
        <w:t>סעיף יג: אבד המשכון – ושניהם מודים זה לזה, ולוה לא מאמין למלוה שאבד.</w:t>
      </w:r>
      <w:bookmarkEnd w:id="846"/>
    </w:p>
    <w:p w14:paraId="79797995" w14:textId="77777777" w:rsidR="0004348D" w:rsidRPr="0004348D" w:rsidRDefault="0004348D" w:rsidP="0004348D">
      <w:pPr>
        <w:spacing w:before="360" w:after="240"/>
        <w:rPr>
          <w:rFonts w:ascii="Calibri" w:eastAsia="Calibri" w:hAnsi="Calibri" w:cs="Arial"/>
          <w:u w:val="single"/>
          <w:rtl/>
        </w:rPr>
      </w:pPr>
      <w:r w:rsidRPr="0004348D">
        <w:rPr>
          <w:rFonts w:ascii="Calibri" w:eastAsia="Calibri" w:hAnsi="Calibri" w:cs="Arial"/>
          <w:u w:val="single"/>
          <w:rtl/>
        </w:rPr>
        <w:t xml:space="preserve">אבד המשכון – ושניהם מודים זה לזה </w:t>
      </w:r>
      <w:r w:rsidRPr="0004348D">
        <w:rPr>
          <w:rFonts w:ascii="Calibri" w:eastAsia="Calibri" w:hAnsi="Calibri" w:cs="Arial"/>
          <w:sz w:val="16"/>
          <w:szCs w:val="16"/>
          <w:u w:val="single"/>
          <w:rtl/>
        </w:rPr>
        <w:t xml:space="preserve">(כמה היה שוה) </w:t>
      </w:r>
      <w:r w:rsidRPr="0004348D">
        <w:rPr>
          <w:rFonts w:ascii="Calibri" w:eastAsia="Calibri" w:hAnsi="Calibri" w:cs="Arial"/>
          <w:u w:val="single"/>
          <w:rtl/>
        </w:rPr>
        <w:t>רק שהלוה לא מאמין למלוה שאבד:</w:t>
      </w:r>
    </w:p>
    <w:p w14:paraId="443A3C25" w14:textId="77777777" w:rsidR="0004348D" w:rsidRPr="0004348D" w:rsidRDefault="0004348D" w:rsidP="0004348D">
      <w:pPr>
        <w:numPr>
          <w:ilvl w:val="0"/>
          <w:numId w:val="356"/>
        </w:numPr>
        <w:spacing w:before="360" w:after="240"/>
        <w:contextualSpacing/>
        <w:rPr>
          <w:rFonts w:ascii="Calibri" w:eastAsia="Calibri" w:hAnsi="Calibri" w:cs="Arial"/>
          <w:rtl/>
        </w:rPr>
      </w:pPr>
      <w:r w:rsidRPr="0004348D">
        <w:rPr>
          <w:rFonts w:ascii="Calibri" w:eastAsia="Calibri" w:hAnsi="Calibri" w:cs="Arial"/>
          <w:rtl/>
        </w:rPr>
        <w:t>בהעי"ט</w:t>
      </w:r>
      <w:r w:rsidRPr="0004348D">
        <w:rPr>
          <w:rFonts w:ascii="Calibri" w:eastAsia="Calibri" w:hAnsi="Calibri" w:cs="Arial"/>
          <w:sz w:val="16"/>
          <w:szCs w:val="16"/>
          <w:rtl/>
        </w:rPr>
        <w:t xml:space="preserve"> (שם כב ע"א)</w:t>
      </w:r>
      <w:r w:rsidRPr="0004348D">
        <w:rPr>
          <w:rFonts w:ascii="Calibri" w:eastAsia="Calibri" w:hAnsi="Calibri" w:cs="Arial"/>
          <w:rtl/>
        </w:rPr>
        <w:t xml:space="preserve"> וטור- היו שניהן מודין זה לזה, כגון שאמר הלוה 'סלע הלויתני עליו וסלע היה שוה' ובא לפדותו, והמלוה מודה אלא שאומר שאבד, אם אין לו עדים ואין הלוה מאמינו - נשבע שאינו ברשותו ויצא זה בזה</w:t>
      </w:r>
      <w:r w:rsidRPr="0004348D">
        <w:rPr>
          <w:rFonts w:ascii="Calibri" w:eastAsia="Calibri" w:hAnsi="Calibri" w:cs="Arial"/>
          <w:sz w:val="16"/>
          <w:szCs w:val="16"/>
          <w:rtl/>
        </w:rPr>
        <w:t xml:space="preserve"> (ל' הטור)</w:t>
      </w:r>
      <w:r w:rsidRPr="0004348D">
        <w:rPr>
          <w:rFonts w:ascii="Calibri" w:eastAsia="Calibri" w:hAnsi="Calibri" w:cs="Arial"/>
          <w:rtl/>
        </w:rPr>
        <w:t>.</w:t>
      </w:r>
      <w:r w:rsidRPr="0004348D">
        <w:rPr>
          <w:rFonts w:ascii="Calibri" w:eastAsia="Calibri" w:hAnsi="Calibri" w:cs="Arial"/>
          <w:color w:val="E36C0A" w:themeColor="accent6" w:themeShade="BF"/>
          <w:rtl/>
        </w:rPr>
        <w:t xml:space="preserve"> (וכ"פ בשו"ע)</w:t>
      </w:r>
    </w:p>
    <w:p w14:paraId="09222A64" w14:textId="77777777" w:rsidR="0004348D" w:rsidRPr="0004348D" w:rsidRDefault="0004348D" w:rsidP="0004348D">
      <w:pPr>
        <w:spacing w:before="360" w:after="240"/>
        <w:ind w:left="360"/>
        <w:rPr>
          <w:rFonts w:ascii="Calibri" w:eastAsia="Calibri" w:hAnsi="Calibri" w:cs="Arial"/>
          <w:u w:val="dotted"/>
        </w:rPr>
      </w:pPr>
      <w:r w:rsidRPr="0004348D">
        <w:rPr>
          <w:rFonts w:ascii="Calibri" w:eastAsia="Calibri" w:hAnsi="Calibri" w:cs="Arial"/>
          <w:u w:val="dotted"/>
          <w:rtl/>
        </w:rPr>
        <w:t>ומה הדין אם יש שם עדים שנגנב והיה שוה יותר על החוב - והמלוה טוען שלא פשע בו:</w:t>
      </w:r>
    </w:p>
    <w:p w14:paraId="7EC0F4B9" w14:textId="77777777" w:rsidR="0004348D" w:rsidRPr="0004348D" w:rsidRDefault="0004348D" w:rsidP="00992A87">
      <w:pPr>
        <w:numPr>
          <w:ilvl w:val="0"/>
          <w:numId w:val="369"/>
        </w:numPr>
        <w:spacing w:before="360" w:after="240"/>
        <w:contextualSpacing/>
        <w:rPr>
          <w:rFonts w:ascii="Calibri" w:eastAsia="Calibri" w:hAnsi="Calibri" w:cs="Arial"/>
          <w:rtl/>
        </w:rPr>
      </w:pPr>
      <w:r w:rsidRPr="0004348D">
        <w:rPr>
          <w:rFonts w:ascii="Calibri" w:eastAsia="Calibri" w:hAnsi="Calibri" w:cs="Arial"/>
          <w:rtl/>
        </w:rPr>
        <w:t xml:space="preserve">טור- ואם יש שם עדים שנגנב והיה שוה יותר על החוב והמלוה טוען שלא פשע בו ואין לו לשלם כי אין לו עליו אלא דין שומר חנם לדעת ר"י, והלוה אומר כי פשע בו ושואל ממנו מה שהיה שוה יותר על החוב - ישבע המלוה כדין שומר חנם שלא פשע בו. </w:t>
      </w:r>
      <w:r w:rsidRPr="0004348D">
        <w:rPr>
          <w:rFonts w:ascii="Calibri" w:eastAsia="Calibri" w:hAnsi="Calibri" w:cs="Arial"/>
          <w:color w:val="00B0F0"/>
          <w:rtl/>
        </w:rPr>
        <w:t>(וכ"פ הרמ"א)</w:t>
      </w:r>
    </w:p>
    <w:p w14:paraId="4B795877" w14:textId="77777777" w:rsidR="0004348D" w:rsidRPr="0004348D" w:rsidRDefault="0004348D" w:rsidP="0004348D">
      <w:pPr>
        <w:spacing w:before="360" w:after="240"/>
        <w:rPr>
          <w:rFonts w:ascii="Arial" w:eastAsia="Calibri" w:hAnsi="Arial" w:cs="Arial"/>
          <w:b/>
          <w:bCs/>
          <w:color w:val="000000"/>
          <w:sz w:val="28"/>
          <w:szCs w:val="28"/>
          <w:u w:val="single"/>
        </w:rPr>
      </w:pPr>
      <w:r w:rsidRPr="0004348D">
        <w:rPr>
          <w:rFonts w:ascii="Arial" w:eastAsia="Calibri" w:hAnsi="Arial" w:cs="Arial"/>
          <w:b/>
          <w:bCs/>
          <w:color w:val="000000"/>
          <w:sz w:val="28"/>
          <w:szCs w:val="28"/>
          <w:u w:val="single"/>
          <w:rtl/>
        </w:rPr>
        <w:t>שו"ע:</w:t>
      </w:r>
    </w:p>
    <w:p w14:paraId="09439F6E" w14:textId="77777777" w:rsidR="0004348D" w:rsidRPr="0004348D" w:rsidRDefault="0004348D" w:rsidP="0004348D">
      <w:pPr>
        <w:spacing w:before="360" w:after="240"/>
        <w:rPr>
          <w:rFonts w:ascii="Calibri" w:eastAsia="Calibri" w:hAnsi="Calibri" w:cs="Arial"/>
          <w:rtl/>
        </w:rPr>
      </w:pPr>
      <w:r w:rsidRPr="0004348D">
        <w:rPr>
          <w:rFonts w:ascii="Calibri" w:eastAsia="Calibri" w:hAnsi="Calibri" w:cs="Arial"/>
          <w:rtl/>
        </w:rPr>
        <w:t xml:space="preserve">היו שניהם מודים זה לזה, כגון שאומר הלוה 'סלע הלויתני וסלע היה שוה' ובא לפדותו, והמלוה מודה אלא שאומר שאבד, אם אין לו עדים ואין הלוה מאמינו, נשבע שאינו ברשותו, ויצא זה בזה. </w:t>
      </w:r>
      <w:r w:rsidRPr="0004348D">
        <w:rPr>
          <w:rFonts w:ascii="Calibri" w:eastAsia="Calibri" w:hAnsi="Calibri" w:cs="Arial"/>
          <w:sz w:val="18"/>
          <w:szCs w:val="18"/>
          <w:rtl/>
        </w:rPr>
        <w:t>הגה: היו עדים שנגנב ושהיה שוה יותר על דמי החוב, ותובע הלוה המותר, והמלוה טוען שלא נגנב או נאבד בפשיעתו ופטור, למאן דאמר דלא הוי אלא כשומר חנם, ישבע המלוה כשאר שומר חנם שלא פשע בו (טור).</w:t>
      </w:r>
      <w:r w:rsidRPr="0004348D">
        <w:rPr>
          <w:rFonts w:ascii="Calibri" w:eastAsia="Calibri" w:hAnsi="Calibri" w:cs="Arial"/>
          <w:rtl/>
        </w:rPr>
        <w:t xml:space="preserve"> </w:t>
      </w:r>
    </w:p>
    <w:p w14:paraId="0247FC68" w14:textId="77777777" w:rsidR="0004348D" w:rsidRPr="0004348D" w:rsidRDefault="0004348D" w:rsidP="0004348D">
      <w:pPr>
        <w:spacing w:before="360" w:after="240"/>
        <w:rPr>
          <w:rFonts w:ascii="Calibri" w:eastAsia="Calibri" w:hAnsi="Calibri" w:cs="Arial"/>
          <w:rtl/>
        </w:rPr>
      </w:pPr>
    </w:p>
    <w:p w14:paraId="1EAAD329" w14:textId="77777777" w:rsidR="0004348D" w:rsidRPr="0004348D" w:rsidRDefault="0004348D" w:rsidP="0004348D">
      <w:pPr>
        <w:keepNext/>
        <w:keepLines/>
        <w:spacing w:before="360" w:after="240"/>
        <w:outlineLvl w:val="1"/>
        <w:rPr>
          <w:rFonts w:ascii="Cambria" w:eastAsia="Times New Roman" w:hAnsi="Cambria" w:cs="Arial"/>
          <w:b/>
          <w:color w:val="548DD4" w:themeColor="text2" w:themeTint="99"/>
          <w:sz w:val="26"/>
          <w:szCs w:val="26"/>
          <w:rtl/>
        </w:rPr>
      </w:pPr>
      <w:bookmarkStart w:id="847" w:name="_Toc24884231"/>
      <w:r w:rsidRPr="0004348D">
        <w:rPr>
          <w:rFonts w:ascii="Cambria" w:eastAsia="Times New Roman" w:hAnsi="Cambria" w:cs="Arial"/>
          <w:bCs/>
          <w:color w:val="548DD4" w:themeColor="text2" w:themeTint="99"/>
          <w:sz w:val="26"/>
          <w:szCs w:val="26"/>
          <w:rtl/>
        </w:rPr>
        <w:t>סעיף יד: לוה תובע את מה שהיה שוה המשכון יותר על דמי החוב והמלוה טוען שנאבד באונס.</w:t>
      </w:r>
      <w:bookmarkEnd w:id="847"/>
    </w:p>
    <w:p w14:paraId="1A739A46" w14:textId="77777777" w:rsidR="0004348D" w:rsidRPr="0004348D" w:rsidRDefault="0004348D" w:rsidP="0004348D">
      <w:pPr>
        <w:spacing w:before="360" w:after="240"/>
        <w:rPr>
          <w:rFonts w:ascii="Calibri" w:eastAsia="Calibri" w:hAnsi="Calibri" w:cs="Arial"/>
          <w:u w:val="single"/>
          <w:rtl/>
        </w:rPr>
      </w:pPr>
      <w:r w:rsidRPr="0004348D">
        <w:rPr>
          <w:rFonts w:ascii="Calibri" w:eastAsia="Calibri" w:hAnsi="Calibri" w:cs="Arial"/>
          <w:u w:val="single"/>
          <w:rtl/>
        </w:rPr>
        <w:t>לוה תובע את מה שהיה שוה המשכון יותר על דמי החוב – והמלוה טוען שנאבד באונס ותובע דמי חובו:</w:t>
      </w:r>
    </w:p>
    <w:p w14:paraId="5FF239C2" w14:textId="77777777" w:rsidR="0004348D" w:rsidRPr="0004348D" w:rsidRDefault="0004348D" w:rsidP="00992A87">
      <w:pPr>
        <w:numPr>
          <w:ilvl w:val="0"/>
          <w:numId w:val="369"/>
        </w:numPr>
        <w:spacing w:before="360" w:after="240"/>
        <w:contextualSpacing/>
        <w:rPr>
          <w:rFonts w:ascii="Calibri" w:eastAsia="Calibri" w:hAnsi="Calibri" w:cs="Arial"/>
        </w:rPr>
      </w:pPr>
      <w:r w:rsidRPr="0004348D">
        <w:rPr>
          <w:rFonts w:ascii="Calibri" w:eastAsia="Calibri" w:hAnsi="Calibri" w:cs="Arial"/>
          <w:rtl/>
        </w:rPr>
        <w:t>טור- אם הלוה תובע ביתרון שהיה שוה יותר על דמי החוב ויש עדים בזה או שהמלוה מודה לו אלא שטוען שנאבד באונס ותובע דמי חובו - ישבע המלוה כעין תורה שאינו ברשותו ושלא שלח בו יד ושנאבד באונס וגובה חובו מהלוה, שהרי אין הלוה יודע כיצד נאבד והו"ל כהלויתני ואיני יודע אם החזרתיו לך אם לאו.</w:t>
      </w:r>
      <w:r w:rsidRPr="0004348D">
        <w:rPr>
          <w:rFonts w:ascii="Calibri" w:eastAsia="Calibri" w:hAnsi="Calibri" w:cs="Arial"/>
          <w:color w:val="E36C0A" w:themeColor="accent6" w:themeShade="BF"/>
          <w:rtl/>
        </w:rPr>
        <w:t xml:space="preserve"> (וכ"פ בשו"ע)</w:t>
      </w:r>
    </w:p>
    <w:p w14:paraId="6A9EA882" w14:textId="77777777" w:rsidR="0004348D" w:rsidRPr="0004348D" w:rsidRDefault="0004348D" w:rsidP="0004348D">
      <w:pPr>
        <w:spacing w:before="360" w:after="240"/>
        <w:rPr>
          <w:rFonts w:ascii="Arial" w:eastAsia="Calibri" w:hAnsi="Arial" w:cs="Arial"/>
          <w:b/>
          <w:bCs/>
          <w:color w:val="000000"/>
          <w:sz w:val="28"/>
          <w:szCs w:val="28"/>
          <w:u w:val="single"/>
          <w:rtl/>
        </w:rPr>
      </w:pPr>
      <w:r w:rsidRPr="0004348D">
        <w:rPr>
          <w:rFonts w:ascii="Arial" w:eastAsia="Calibri" w:hAnsi="Arial" w:cs="Arial"/>
          <w:b/>
          <w:bCs/>
          <w:color w:val="000000"/>
          <w:sz w:val="28"/>
          <w:szCs w:val="28"/>
          <w:u w:val="single"/>
          <w:rtl/>
        </w:rPr>
        <w:t>שו"ע:</w:t>
      </w:r>
    </w:p>
    <w:p w14:paraId="63B365AE" w14:textId="77777777" w:rsidR="0004348D" w:rsidRPr="0004348D" w:rsidRDefault="0004348D" w:rsidP="0004348D">
      <w:pPr>
        <w:spacing w:before="360" w:after="240"/>
        <w:rPr>
          <w:rFonts w:ascii="Calibri" w:eastAsia="Calibri" w:hAnsi="Calibri" w:cs="Arial"/>
          <w:rtl/>
        </w:rPr>
      </w:pPr>
      <w:r w:rsidRPr="0004348D">
        <w:rPr>
          <w:rFonts w:ascii="Calibri" w:eastAsia="Calibri" w:hAnsi="Calibri" w:cs="Arial"/>
          <w:rtl/>
        </w:rPr>
        <w:t>אם הלוה תבעו ביתרון שהיה שוה המשכון יותר על דמי החוב, ויש עדים בזה או שהמלוה מודה לו, אלא שטוען שנאבד באונס ותובע דמי חובו, ישבע המלוה שאינו ברשותו ושלא שלח בו יד ושנאבד באונס, וגובה חובו מהלוה, שהרי אין הלוה יודע כיצד נאבד</w:t>
      </w:r>
      <w:r w:rsidRPr="0004348D">
        <w:rPr>
          <w:rFonts w:ascii="Calibri" w:eastAsia="Calibri" w:hAnsi="Calibri" w:cs="Arial"/>
          <w:vertAlign w:val="superscript"/>
          <w:rtl/>
        </w:rPr>
        <w:footnoteReference w:id="5872"/>
      </w:r>
      <w:r w:rsidRPr="0004348D">
        <w:rPr>
          <w:rFonts w:ascii="Calibri" w:eastAsia="Calibri" w:hAnsi="Calibri" w:cs="Arial"/>
          <w:rtl/>
        </w:rPr>
        <w:t xml:space="preserve">, והוה ליה כהלויתני ואיני יודע אם החזרתים לך. </w:t>
      </w:r>
      <w:r w:rsidRPr="0004348D">
        <w:rPr>
          <w:rFonts w:ascii="Calibri" w:eastAsia="Calibri" w:hAnsi="Calibri" w:cs="Arial"/>
          <w:sz w:val="18"/>
          <w:szCs w:val="18"/>
          <w:rtl/>
        </w:rPr>
        <w:t>הגה: הלוה שאמר למלוה על משכון 'פרעתיך כך וכך', והמלוה אומר 'אמת פרעתני אבל איני יודע כמה', הלוה נאמן במה שאומר</w:t>
      </w:r>
      <w:r w:rsidRPr="0004348D">
        <w:rPr>
          <w:rFonts w:ascii="Calibri" w:eastAsia="Calibri" w:hAnsi="Calibri" w:cs="Arial"/>
          <w:sz w:val="18"/>
          <w:szCs w:val="18"/>
          <w:vertAlign w:val="superscript"/>
          <w:rtl/>
        </w:rPr>
        <w:footnoteReference w:id="5873"/>
      </w:r>
      <w:r w:rsidRPr="0004348D">
        <w:rPr>
          <w:rFonts w:ascii="Calibri" w:eastAsia="Calibri" w:hAnsi="Calibri" w:cs="Arial"/>
          <w:sz w:val="18"/>
          <w:szCs w:val="18"/>
          <w:rtl/>
        </w:rPr>
        <w:t>, דמלוה אין לו על המשכון רק שעבוד, והוי כאילו הוא התובע, ואין אדם מוציא מאחר בטענת ספק (רשב"א סי' אלף מא, ובמיוחסות סי' פה). ואם עד אחד מעיד שלא כדברי הלוה, נשבע</w:t>
      </w:r>
      <w:r w:rsidRPr="0004348D">
        <w:rPr>
          <w:rFonts w:ascii="Calibri" w:eastAsia="Calibri" w:hAnsi="Calibri" w:cs="Arial"/>
          <w:sz w:val="18"/>
          <w:szCs w:val="18"/>
          <w:vertAlign w:val="superscript"/>
          <w:rtl/>
        </w:rPr>
        <w:footnoteReference w:id="5874"/>
      </w:r>
      <w:r w:rsidRPr="0004348D">
        <w:rPr>
          <w:rFonts w:ascii="Calibri" w:eastAsia="Calibri" w:hAnsi="Calibri" w:cs="Arial"/>
          <w:sz w:val="18"/>
          <w:szCs w:val="18"/>
          <w:rtl/>
        </w:rPr>
        <w:t xml:space="preserve"> הלוה נגד העד, ונוטל המשכון במה שאומר, הואיל והמלוה אינו יודע</w:t>
      </w:r>
      <w:r w:rsidRPr="0004348D">
        <w:rPr>
          <w:rFonts w:ascii="Calibri" w:eastAsia="Calibri" w:hAnsi="Calibri" w:cs="Arial"/>
          <w:sz w:val="18"/>
          <w:szCs w:val="18"/>
          <w:vertAlign w:val="superscript"/>
          <w:rtl/>
        </w:rPr>
        <w:footnoteReference w:id="5875"/>
      </w:r>
      <w:r w:rsidRPr="0004348D">
        <w:rPr>
          <w:rFonts w:ascii="Calibri" w:eastAsia="Calibri" w:hAnsi="Calibri" w:cs="Arial"/>
          <w:sz w:val="18"/>
          <w:szCs w:val="18"/>
          <w:rtl/>
        </w:rPr>
        <w:t xml:space="preserve"> (ב"י בשם הרשב"א). ועיין לקמן סימן זה סעיף כ"ד.</w:t>
      </w:r>
      <w:r w:rsidRPr="0004348D">
        <w:rPr>
          <w:rFonts w:ascii="Calibri" w:eastAsia="Calibri" w:hAnsi="Calibri" w:cs="Arial"/>
          <w:rtl/>
        </w:rPr>
        <w:t xml:space="preserve"> </w:t>
      </w:r>
    </w:p>
    <w:p w14:paraId="7450B7F9" w14:textId="77777777" w:rsidR="0004348D" w:rsidRPr="0004348D" w:rsidRDefault="0004348D" w:rsidP="0004348D">
      <w:pPr>
        <w:spacing w:before="360" w:after="240"/>
        <w:rPr>
          <w:rFonts w:ascii="Calibri" w:eastAsia="Calibri" w:hAnsi="Calibri" w:cs="Arial"/>
          <w:rtl/>
        </w:rPr>
      </w:pPr>
    </w:p>
    <w:p w14:paraId="57AEBDA6" w14:textId="77777777" w:rsidR="0004348D" w:rsidRPr="0004348D" w:rsidRDefault="0004348D" w:rsidP="0004348D">
      <w:pPr>
        <w:keepNext/>
        <w:keepLines/>
        <w:spacing w:before="360" w:after="240"/>
        <w:outlineLvl w:val="1"/>
        <w:rPr>
          <w:rFonts w:ascii="Cambria" w:eastAsia="Times New Roman" w:hAnsi="Cambria" w:cs="Arial"/>
          <w:bCs/>
          <w:color w:val="548DD4" w:themeColor="text2" w:themeTint="99"/>
          <w:sz w:val="26"/>
          <w:szCs w:val="26"/>
          <w:rtl/>
        </w:rPr>
      </w:pPr>
      <w:bookmarkStart w:id="848" w:name="_Toc24884232"/>
      <w:r w:rsidRPr="0004348D">
        <w:rPr>
          <w:rFonts w:ascii="Cambria" w:eastAsia="Times New Roman" w:hAnsi="Cambria" w:cs="Arial"/>
          <w:bCs/>
          <w:color w:val="548DD4" w:themeColor="text2" w:themeTint="99"/>
          <w:sz w:val="26"/>
          <w:szCs w:val="26"/>
          <w:rtl/>
        </w:rPr>
        <w:t>סעיף טו: מלוה שאומר 'הריני משלם כפי שתבע הלוה ואיני נשבע'.</w:t>
      </w:r>
      <w:bookmarkEnd w:id="848"/>
    </w:p>
    <w:p w14:paraId="65AE5C40" w14:textId="77777777" w:rsidR="0004348D" w:rsidRPr="0004348D" w:rsidRDefault="0004348D" w:rsidP="0004348D">
      <w:pPr>
        <w:spacing w:before="360" w:after="240"/>
        <w:rPr>
          <w:rFonts w:ascii="Calibri" w:eastAsia="Calibri" w:hAnsi="Calibri" w:cs="Arial"/>
          <w:rtl/>
        </w:rPr>
      </w:pPr>
      <w:bookmarkStart w:id="849" w:name="_Hlk17665814"/>
      <w:r w:rsidRPr="0004348D">
        <w:rPr>
          <w:rFonts w:ascii="Calibri" w:eastAsia="Calibri" w:hAnsi="Calibri" w:cs="Arial"/>
          <w:b/>
          <w:bCs/>
          <w:rtl/>
        </w:rPr>
        <w:t xml:space="preserve">בבא מציעא </w:t>
      </w:r>
      <w:r w:rsidRPr="0004348D">
        <w:rPr>
          <w:rFonts w:ascii="Calibri" w:eastAsia="Calibri" w:hAnsi="Calibri" w:cs="Arial"/>
          <w:b/>
          <w:bCs/>
          <w:sz w:val="16"/>
          <w:szCs w:val="16"/>
          <w:rtl/>
        </w:rPr>
        <w:t>(פרק המפקיד)</w:t>
      </w:r>
      <w:r w:rsidRPr="0004348D">
        <w:rPr>
          <w:rFonts w:ascii="Calibri" w:eastAsia="Calibri" w:hAnsi="Calibri" w:cs="Arial"/>
          <w:b/>
          <w:bCs/>
          <w:rtl/>
        </w:rPr>
        <w:t xml:space="preserve"> לג</w:t>
      </w:r>
      <w:r w:rsidRPr="0004348D">
        <w:rPr>
          <w:rFonts w:ascii="Calibri" w:eastAsia="Calibri" w:hAnsi="Calibri" w:cs="Arial"/>
          <w:b/>
          <w:bCs/>
          <w:vertAlign w:val="superscript"/>
          <w:rtl/>
        </w:rPr>
        <w:footnoteReference w:id="5876"/>
      </w:r>
      <w:r w:rsidRPr="0004348D">
        <w:rPr>
          <w:rFonts w:ascii="Calibri" w:eastAsia="Calibri" w:hAnsi="Calibri" w:cs="Arial"/>
          <w:b/>
          <w:bCs/>
          <w:rtl/>
        </w:rPr>
        <w:t xml:space="preserve"> ע"ב:</w:t>
      </w:r>
      <w:r w:rsidRPr="0004348D">
        <w:rPr>
          <w:rFonts w:ascii="Calibri" w:eastAsia="Calibri" w:hAnsi="Calibri" w:cs="Arial"/>
          <w:rtl/>
        </w:rPr>
        <w:t xml:space="preserve"> </w:t>
      </w:r>
      <w:r w:rsidRPr="0004348D">
        <w:rPr>
          <w:rFonts w:ascii="Calibri" w:eastAsia="Calibri" w:hAnsi="Calibri" w:cs="Arial"/>
          <w:u w:val="double"/>
          <w:rtl/>
        </w:rPr>
        <w:t>משנה</w:t>
      </w:r>
      <w:r w:rsidRPr="0004348D">
        <w:rPr>
          <w:rFonts w:ascii="Calibri" w:eastAsia="Calibri" w:hAnsi="Calibri" w:cs="Arial"/>
          <w:rtl/>
        </w:rPr>
        <w:t xml:space="preserve">: המפקיד אצל חבירו בהמה או כלים, ונגנבו או שאבדו, שילם ולא רצה לישבע...    </w:t>
      </w:r>
      <w:r w:rsidRPr="0004348D">
        <w:rPr>
          <w:rFonts w:ascii="Calibri" w:eastAsia="Calibri" w:hAnsi="Calibri" w:cs="Arial"/>
          <w:u w:val="double"/>
          <w:rtl/>
        </w:rPr>
        <w:t>גמרא</w:t>
      </w:r>
      <w:r w:rsidRPr="0004348D">
        <w:rPr>
          <w:rFonts w:ascii="Calibri" w:eastAsia="Calibri" w:hAnsi="Calibri" w:cs="Arial"/>
          <w:sz w:val="14"/>
          <w:szCs w:val="14"/>
          <w:u w:val="double"/>
          <w:rtl/>
        </w:rPr>
        <w:t xml:space="preserve"> (לד:)</w:t>
      </w:r>
      <w:r w:rsidRPr="0004348D">
        <w:rPr>
          <w:rFonts w:ascii="Calibri" w:eastAsia="Calibri" w:hAnsi="Calibri" w:cs="Arial"/>
          <w:u w:val="double"/>
          <w:rtl/>
        </w:rPr>
        <w:t>:</w:t>
      </w:r>
      <w:r w:rsidRPr="0004348D">
        <w:rPr>
          <w:rFonts w:ascii="Calibri" w:eastAsia="Calibri" w:hAnsi="Calibri" w:cs="Arial"/>
          <w:rtl/>
        </w:rPr>
        <w:t xml:space="preserve"> </w:t>
      </w:r>
      <w:r w:rsidRPr="0004348D">
        <w:rPr>
          <w:rFonts w:ascii="Calibri" w:eastAsia="Calibri" w:hAnsi="Calibri" w:cs="Arial"/>
          <w:u w:val="single"/>
          <w:rtl/>
        </w:rPr>
        <w:t>אמר רב הונא</w:t>
      </w:r>
      <w:r w:rsidRPr="0004348D">
        <w:rPr>
          <w:rFonts w:ascii="Calibri" w:eastAsia="Calibri" w:hAnsi="Calibri" w:cs="Arial"/>
          <w:rtl/>
        </w:rPr>
        <w:t>: משביעין אותו</w:t>
      </w:r>
      <w:r w:rsidRPr="0004348D">
        <w:rPr>
          <w:rFonts w:ascii="Calibri" w:eastAsia="Calibri" w:hAnsi="Calibri" w:cs="Arial"/>
          <w:vertAlign w:val="superscript"/>
          <w:rtl/>
        </w:rPr>
        <w:footnoteReference w:id="5877"/>
      </w:r>
      <w:r w:rsidRPr="0004348D">
        <w:rPr>
          <w:rFonts w:ascii="Calibri" w:eastAsia="Calibri" w:hAnsi="Calibri" w:cs="Arial"/>
          <w:rtl/>
        </w:rPr>
        <w:t xml:space="preserve"> שבועה שאינה ברשותו. מאי טעמא - חיישינן שמא עיניו נתן בה.</w:t>
      </w:r>
    </w:p>
    <w:p w14:paraId="6D15E002" w14:textId="77777777" w:rsidR="0004348D" w:rsidRPr="0004348D" w:rsidRDefault="0004348D" w:rsidP="0004348D">
      <w:pPr>
        <w:spacing w:before="360" w:after="240"/>
        <w:rPr>
          <w:rFonts w:ascii="Calibri" w:eastAsia="Calibri" w:hAnsi="Calibri" w:cs="Arial"/>
          <w:u w:val="single"/>
          <w:rtl/>
        </w:rPr>
      </w:pPr>
      <w:r w:rsidRPr="0004348D">
        <w:rPr>
          <w:rFonts w:ascii="Calibri" w:eastAsia="Calibri" w:hAnsi="Calibri" w:cs="Arial"/>
          <w:u w:val="single"/>
          <w:rtl/>
        </w:rPr>
        <w:t>מלוה שצריך לישבע שאין המשכון ברשותו – ואמר 'הריני משלם כפי שתבע הלוה ואיני נשבע':</w:t>
      </w:r>
    </w:p>
    <w:p w14:paraId="7B3FA7FB" w14:textId="77777777" w:rsidR="0004348D" w:rsidRPr="0004348D" w:rsidRDefault="0004348D" w:rsidP="00992A87">
      <w:pPr>
        <w:numPr>
          <w:ilvl w:val="0"/>
          <w:numId w:val="369"/>
        </w:numPr>
        <w:spacing w:before="360" w:after="240"/>
        <w:contextualSpacing/>
        <w:rPr>
          <w:rFonts w:ascii="Calibri" w:eastAsia="Calibri" w:hAnsi="Calibri" w:cs="Arial"/>
          <w:rtl/>
        </w:rPr>
      </w:pPr>
      <w:r w:rsidRPr="0004348D">
        <w:rPr>
          <w:rFonts w:ascii="Calibri" w:eastAsia="Calibri" w:hAnsi="Calibri" w:cs="Arial"/>
          <w:rtl/>
        </w:rPr>
        <w:t xml:space="preserve">טור- כל היכא שהמלוה צריך לישבע שאינו ברשותו אפילו שאמר הריני משלם כפי שתבע הלוה ואיני נשבע - אין שומעין לו, דחיישינן שמא עיניו נתן בו. </w:t>
      </w:r>
      <w:r w:rsidRPr="0004348D">
        <w:rPr>
          <w:rFonts w:ascii="Calibri" w:eastAsia="Calibri" w:hAnsi="Calibri" w:cs="Arial"/>
          <w:color w:val="E36C0A" w:themeColor="accent6" w:themeShade="BF"/>
          <w:rtl/>
        </w:rPr>
        <w:t>(וכ"פ בשו"ע)</w:t>
      </w:r>
    </w:p>
    <w:p w14:paraId="541C40BE" w14:textId="77777777" w:rsidR="0004348D" w:rsidRPr="0004348D" w:rsidRDefault="0004348D" w:rsidP="0004348D">
      <w:pPr>
        <w:spacing w:before="360" w:after="240"/>
        <w:ind w:left="360"/>
        <w:rPr>
          <w:rFonts w:ascii="Calibri" w:eastAsia="Calibri" w:hAnsi="Calibri" w:cs="Arial"/>
          <w:u w:val="dotted"/>
        </w:rPr>
      </w:pPr>
      <w:r w:rsidRPr="0004348D">
        <w:rPr>
          <w:rFonts w:ascii="Calibri" w:eastAsia="Calibri" w:hAnsi="Calibri" w:cs="Arial"/>
          <w:u w:val="dotted"/>
          <w:rtl/>
        </w:rPr>
        <w:t>ומה הדין אם המשכון היה דבר שמצוי בשוק לקנות כמותו באותן הדמים שרוצה לשלם:</w:t>
      </w:r>
    </w:p>
    <w:p w14:paraId="5AEC9CE7" w14:textId="77777777" w:rsidR="0004348D" w:rsidRPr="0004348D" w:rsidRDefault="0004348D" w:rsidP="00992A87">
      <w:pPr>
        <w:numPr>
          <w:ilvl w:val="0"/>
          <w:numId w:val="369"/>
        </w:numPr>
        <w:spacing w:before="360" w:after="240"/>
        <w:contextualSpacing/>
        <w:rPr>
          <w:rFonts w:ascii="Calibri" w:eastAsia="Calibri" w:hAnsi="Calibri" w:cs="Arial"/>
        </w:rPr>
      </w:pPr>
      <w:r w:rsidRPr="0004348D">
        <w:rPr>
          <w:rFonts w:ascii="Calibri" w:eastAsia="Calibri" w:hAnsi="Calibri" w:cs="Arial"/>
          <w:rtl/>
        </w:rPr>
        <w:t xml:space="preserve">רמב"ם </w:t>
      </w:r>
      <w:r w:rsidRPr="0004348D">
        <w:rPr>
          <w:rFonts w:ascii="Calibri" w:eastAsia="Calibri" w:hAnsi="Calibri" w:cs="Arial"/>
          <w:sz w:val="16"/>
          <w:szCs w:val="16"/>
          <w:rtl/>
        </w:rPr>
        <w:t>(פ"ו משאלה ופיקדון ה"א, והביאו בעל התרומות [שער מט ח"א סי' ב])</w:t>
      </w:r>
      <w:r w:rsidRPr="0004348D">
        <w:rPr>
          <w:rFonts w:ascii="Calibri" w:eastAsia="Calibri" w:hAnsi="Calibri" w:cs="Arial"/>
          <w:rtl/>
        </w:rPr>
        <w:t xml:space="preserve"> וטור- ואם היה דבר שמצוי בשוק לקנות כמותו באותן הדמים שרוצה לשלם - הרי זה משלם ואינו נשבע</w:t>
      </w:r>
      <w:r w:rsidRPr="0004348D">
        <w:rPr>
          <w:rFonts w:ascii="Calibri" w:eastAsia="Calibri" w:hAnsi="Calibri" w:cs="Arial"/>
          <w:sz w:val="16"/>
          <w:szCs w:val="16"/>
          <w:rtl/>
        </w:rPr>
        <w:t xml:space="preserve"> (ל' הטור)</w:t>
      </w:r>
      <w:r w:rsidRPr="0004348D">
        <w:rPr>
          <w:rFonts w:ascii="Calibri" w:eastAsia="Calibri" w:hAnsi="Calibri" w:cs="Arial"/>
          <w:vertAlign w:val="superscript"/>
          <w:rtl/>
        </w:rPr>
        <w:footnoteReference w:id="5878"/>
      </w:r>
      <w:r w:rsidRPr="0004348D">
        <w:rPr>
          <w:rFonts w:ascii="Calibri" w:eastAsia="Calibri" w:hAnsi="Calibri" w:cs="Arial"/>
          <w:rtl/>
        </w:rPr>
        <w:t xml:space="preserve">. </w:t>
      </w:r>
      <w:r w:rsidRPr="0004348D">
        <w:rPr>
          <w:rFonts w:ascii="Calibri" w:eastAsia="Calibri" w:hAnsi="Calibri" w:cs="Arial"/>
          <w:color w:val="E36C0A" w:themeColor="accent6" w:themeShade="BF"/>
          <w:rtl/>
        </w:rPr>
        <w:t>(וכ"פ בשו"ע)</w:t>
      </w:r>
    </w:p>
    <w:p w14:paraId="424C28A1" w14:textId="77777777" w:rsidR="0004348D" w:rsidRPr="0004348D" w:rsidRDefault="0004348D" w:rsidP="0004348D">
      <w:pPr>
        <w:spacing w:before="360" w:after="240"/>
        <w:ind w:left="360"/>
        <w:rPr>
          <w:rFonts w:ascii="Calibri" w:eastAsia="Calibri" w:hAnsi="Calibri" w:cs="Arial"/>
          <w:u w:val="dotted"/>
        </w:rPr>
      </w:pPr>
      <w:r w:rsidRPr="0004348D">
        <w:rPr>
          <w:rFonts w:ascii="Calibri" w:eastAsia="Calibri" w:hAnsi="Calibri" w:cs="Arial"/>
          <w:u w:val="dotted"/>
          <w:rtl/>
        </w:rPr>
        <w:t>האם המלוה נפטר משבועה</w:t>
      </w:r>
      <w:r w:rsidRPr="0004348D">
        <w:rPr>
          <w:rFonts w:ascii="Calibri" w:eastAsia="Calibri" w:hAnsi="Calibri" w:cs="Arial"/>
          <w:sz w:val="16"/>
          <w:szCs w:val="16"/>
          <w:u w:val="dotted"/>
          <w:rtl/>
        </w:rPr>
        <w:t xml:space="preserve"> (כשהדבר מצוי בשוק כנ"ל) </w:t>
      </w:r>
      <w:r w:rsidRPr="0004348D">
        <w:rPr>
          <w:rFonts w:ascii="Calibri" w:eastAsia="Calibri" w:hAnsi="Calibri" w:cs="Arial"/>
          <w:u w:val="dotted"/>
          <w:rtl/>
        </w:rPr>
        <w:t xml:space="preserve">גם כשהלוה צריך להישבע </w:t>
      </w:r>
      <w:r w:rsidRPr="0004348D">
        <w:rPr>
          <w:rFonts w:ascii="Calibri" w:eastAsia="Calibri" w:hAnsi="Calibri" w:cs="Arial"/>
          <w:sz w:val="16"/>
          <w:szCs w:val="16"/>
          <w:u w:val="dotted"/>
          <w:rtl/>
        </w:rPr>
        <w:t>(כגון שנשבע כמה היה שוה כדי ליטול או ליפטר)</w:t>
      </w:r>
      <w:r w:rsidRPr="0004348D">
        <w:rPr>
          <w:rFonts w:ascii="Calibri" w:eastAsia="Calibri" w:hAnsi="Calibri" w:cs="Arial"/>
          <w:u w:val="dotted"/>
          <w:rtl/>
        </w:rPr>
        <w:t>:</w:t>
      </w:r>
    </w:p>
    <w:p w14:paraId="7EBF72BD" w14:textId="77777777" w:rsidR="0004348D" w:rsidRPr="0004348D" w:rsidRDefault="0004348D" w:rsidP="00992A87">
      <w:pPr>
        <w:numPr>
          <w:ilvl w:val="0"/>
          <w:numId w:val="369"/>
        </w:numPr>
        <w:spacing w:before="360" w:after="240"/>
        <w:contextualSpacing/>
        <w:rPr>
          <w:rFonts w:ascii="Calibri" w:eastAsia="Calibri" w:hAnsi="Calibri" w:cs="Arial"/>
        </w:rPr>
      </w:pPr>
      <w:r w:rsidRPr="0004348D">
        <w:rPr>
          <w:rFonts w:ascii="Calibri" w:eastAsia="Calibri" w:hAnsi="Calibri" w:cs="Arial"/>
          <w:rtl/>
        </w:rPr>
        <w:t>בעל התרומות</w:t>
      </w:r>
      <w:r w:rsidRPr="0004348D">
        <w:rPr>
          <w:rFonts w:ascii="Calibri" w:eastAsia="Calibri" w:hAnsi="Calibri" w:cs="Arial"/>
          <w:sz w:val="16"/>
          <w:szCs w:val="16"/>
          <w:rtl/>
        </w:rPr>
        <w:t xml:space="preserve"> (שער מט שם) </w:t>
      </w:r>
      <w:r w:rsidRPr="0004348D">
        <w:rPr>
          <w:rFonts w:ascii="Calibri" w:eastAsia="Calibri" w:hAnsi="Calibri" w:cs="Arial"/>
          <w:rtl/>
        </w:rPr>
        <w:t>וטור- בד"א בזמן שהשבועה מוטלת רק על המלוה ואין על הלוה שום שבועה, אבל בזמן שהלוה נשבע כמה היה שוה כדי ליטול או ליפטר - אז לא ינצל המלוה לעולם מלישבע שאינו ברשותו אפילו אם ירצה לשלם והוא דבר מצוי לקנות, דחיישינן שמא יוציא את המשכון אחר שבועת הלוה</w:t>
      </w:r>
      <w:r w:rsidRPr="0004348D">
        <w:rPr>
          <w:rFonts w:ascii="Calibri" w:eastAsia="Calibri" w:hAnsi="Calibri" w:cs="Arial"/>
          <w:sz w:val="16"/>
          <w:szCs w:val="16"/>
          <w:rtl/>
        </w:rPr>
        <w:t xml:space="preserve"> (ל' הטור)</w:t>
      </w:r>
      <w:r w:rsidRPr="0004348D">
        <w:rPr>
          <w:rFonts w:ascii="Calibri" w:eastAsia="Calibri" w:hAnsi="Calibri" w:cs="Arial"/>
          <w:vertAlign w:val="superscript"/>
          <w:rtl/>
        </w:rPr>
        <w:footnoteReference w:id="5879"/>
      </w:r>
      <w:r w:rsidRPr="0004348D">
        <w:rPr>
          <w:rFonts w:ascii="Calibri" w:eastAsia="Calibri" w:hAnsi="Calibri" w:cs="Arial"/>
          <w:rtl/>
        </w:rPr>
        <w:t>.</w:t>
      </w:r>
      <w:r w:rsidRPr="0004348D">
        <w:rPr>
          <w:rFonts w:ascii="Calibri" w:eastAsia="Calibri" w:hAnsi="Calibri" w:cs="Arial"/>
          <w:color w:val="E36C0A" w:themeColor="accent6" w:themeShade="BF"/>
          <w:rtl/>
        </w:rPr>
        <w:t xml:space="preserve"> (וכ"פ בשו"ע)</w:t>
      </w:r>
    </w:p>
    <w:p w14:paraId="11A1BD17" w14:textId="77777777" w:rsidR="0004348D" w:rsidRPr="0004348D" w:rsidRDefault="0004348D" w:rsidP="0004348D">
      <w:pPr>
        <w:spacing w:before="360" w:after="240"/>
        <w:rPr>
          <w:rFonts w:ascii="Arial" w:eastAsia="Calibri" w:hAnsi="Arial" w:cs="Arial"/>
          <w:b/>
          <w:bCs/>
          <w:color w:val="000000"/>
          <w:sz w:val="28"/>
          <w:szCs w:val="28"/>
          <w:u w:val="single"/>
          <w:rtl/>
        </w:rPr>
      </w:pPr>
      <w:r w:rsidRPr="0004348D">
        <w:rPr>
          <w:rFonts w:ascii="Arial" w:eastAsia="Calibri" w:hAnsi="Arial" w:cs="Arial"/>
          <w:b/>
          <w:bCs/>
          <w:color w:val="000000"/>
          <w:sz w:val="28"/>
          <w:szCs w:val="28"/>
          <w:u w:val="single"/>
          <w:rtl/>
        </w:rPr>
        <w:t>שו"ע:</w:t>
      </w:r>
    </w:p>
    <w:p w14:paraId="04DFDBB9" w14:textId="77777777" w:rsidR="0004348D" w:rsidRPr="0004348D" w:rsidRDefault="0004348D" w:rsidP="0004348D">
      <w:pPr>
        <w:spacing w:before="360" w:after="240"/>
        <w:rPr>
          <w:rFonts w:ascii="Calibri" w:eastAsia="Calibri" w:hAnsi="Calibri" w:cs="Arial"/>
          <w:rtl/>
        </w:rPr>
      </w:pPr>
      <w:r w:rsidRPr="0004348D">
        <w:rPr>
          <w:rFonts w:ascii="Calibri" w:eastAsia="Calibri" w:hAnsi="Calibri" w:cs="Arial"/>
          <w:rtl/>
        </w:rPr>
        <w:t>כל היכא שהמלוה צריך לישבע שאינו ברשותו, אפילו שאמר 'הריני משלם כפי שתבע הלוה ואיני נשבע', אין שומעין לו, דחיישינן שמא עיניו נתן בו. ואם היה דבר שכל מינו שוה ומצוי בשוק לקנות כמותו באותן הדמים שרוצה לשלם, הרי זה משלם ואינו נשבע. במה דברים אמורים, כשהשבועה מוטלת על המלוה לבד ואין על הלוה שום שבועה, אבל בזמן שהלוה נשבע כמה היה שוה כדי ליטול</w:t>
      </w:r>
      <w:r w:rsidRPr="0004348D">
        <w:rPr>
          <w:rFonts w:ascii="Calibri" w:eastAsia="Calibri" w:hAnsi="Calibri" w:cs="Arial"/>
          <w:vertAlign w:val="superscript"/>
          <w:rtl/>
        </w:rPr>
        <w:footnoteReference w:id="5880"/>
      </w:r>
      <w:r w:rsidRPr="0004348D">
        <w:rPr>
          <w:rFonts w:ascii="Calibri" w:eastAsia="Calibri" w:hAnsi="Calibri" w:cs="Arial"/>
          <w:rtl/>
        </w:rPr>
        <w:t xml:space="preserve"> או ליפטר, אז לא ינצל המלוה לעולם מלישבע שאינו ברשותו </w:t>
      </w:r>
      <w:r w:rsidRPr="0004348D">
        <w:rPr>
          <w:rFonts w:ascii="Calibri" w:eastAsia="Calibri" w:hAnsi="Calibri" w:cs="Arial"/>
          <w:sz w:val="18"/>
          <w:szCs w:val="18"/>
          <w:rtl/>
        </w:rPr>
        <w:t>[הגה] ואפילו מאמין הלוה למלוה (ר"ן פ' הדיינים)</w:t>
      </w:r>
      <w:r w:rsidRPr="0004348D">
        <w:rPr>
          <w:rFonts w:ascii="Calibri" w:eastAsia="Calibri" w:hAnsi="Calibri" w:cs="Arial"/>
          <w:rtl/>
        </w:rPr>
        <w:t>, אפילו אם ירצה לשלם והוא דבר המצוי לקנות, דחיישינן שמא יוציא את המשכון אחר שבועת הלוה, ונמצא שם שמים מתחלל</w:t>
      </w:r>
      <w:r w:rsidRPr="0004348D">
        <w:rPr>
          <w:rFonts w:ascii="Calibri" w:eastAsia="Calibri" w:hAnsi="Calibri" w:cs="Arial"/>
          <w:vertAlign w:val="superscript"/>
          <w:rtl/>
        </w:rPr>
        <w:footnoteReference w:id="5881"/>
      </w:r>
      <w:r w:rsidRPr="0004348D">
        <w:rPr>
          <w:rFonts w:ascii="Calibri" w:eastAsia="Calibri" w:hAnsi="Calibri" w:cs="Arial"/>
          <w:rtl/>
        </w:rPr>
        <w:t xml:space="preserve">. </w:t>
      </w:r>
    </w:p>
    <w:bookmarkEnd w:id="849"/>
    <w:p w14:paraId="1AFCFCCF" w14:textId="77777777" w:rsidR="0004348D" w:rsidRPr="0004348D" w:rsidRDefault="0004348D" w:rsidP="0004348D">
      <w:pPr>
        <w:spacing w:before="360" w:after="240"/>
        <w:rPr>
          <w:rFonts w:ascii="Calibri" w:eastAsia="Calibri" w:hAnsi="Calibri" w:cs="Arial"/>
          <w:rtl/>
        </w:rPr>
      </w:pPr>
    </w:p>
    <w:p w14:paraId="767B584E" w14:textId="77777777" w:rsidR="0004348D" w:rsidRPr="0004348D" w:rsidRDefault="0004348D" w:rsidP="0004348D">
      <w:pPr>
        <w:keepNext/>
        <w:keepLines/>
        <w:spacing w:before="360" w:after="240"/>
        <w:outlineLvl w:val="1"/>
        <w:rPr>
          <w:rFonts w:ascii="Cambria" w:eastAsia="Times New Roman" w:hAnsi="Cambria" w:cs="Arial"/>
          <w:bCs/>
          <w:color w:val="548DD4" w:themeColor="text2" w:themeTint="99"/>
          <w:sz w:val="26"/>
          <w:szCs w:val="26"/>
          <w:rtl/>
        </w:rPr>
      </w:pPr>
      <w:bookmarkStart w:id="850" w:name="_Toc24884233"/>
      <w:r w:rsidRPr="0004348D">
        <w:rPr>
          <w:rFonts w:ascii="Cambria" w:eastAsia="Times New Roman" w:hAnsi="Cambria" w:cs="Arial"/>
          <w:bCs/>
          <w:color w:val="548DD4" w:themeColor="text2" w:themeTint="99"/>
          <w:sz w:val="26"/>
          <w:szCs w:val="26"/>
          <w:rtl/>
        </w:rPr>
        <w:t xml:space="preserve">סעיף טז: המלוה את חברו על דבר שצריך שומה </w:t>
      </w:r>
      <w:r w:rsidRPr="0004348D">
        <w:rPr>
          <w:rFonts w:ascii="Cambria" w:eastAsia="Times New Roman" w:hAnsi="Cambria" w:cs="Arial"/>
          <w:bCs/>
          <w:color w:val="548DD4" w:themeColor="text2" w:themeTint="99"/>
          <w:sz w:val="18"/>
          <w:szCs w:val="18"/>
          <w:rtl/>
        </w:rPr>
        <w:t>(כגון טבעת עם אבן טובה)</w:t>
      </w:r>
      <w:r w:rsidRPr="0004348D">
        <w:rPr>
          <w:rFonts w:ascii="Cambria" w:eastAsia="Times New Roman" w:hAnsi="Cambria" w:cs="Arial"/>
          <w:bCs/>
          <w:color w:val="548DD4" w:themeColor="text2" w:themeTint="99"/>
          <w:sz w:val="26"/>
          <w:szCs w:val="26"/>
          <w:rtl/>
        </w:rPr>
        <w:t>.</w:t>
      </w:r>
      <w:bookmarkEnd w:id="850"/>
    </w:p>
    <w:p w14:paraId="74F790A2" w14:textId="77777777" w:rsidR="0004348D" w:rsidRPr="0004348D" w:rsidRDefault="0004348D" w:rsidP="0004348D">
      <w:pPr>
        <w:spacing w:before="360" w:after="240"/>
        <w:rPr>
          <w:rFonts w:ascii="Calibri" w:eastAsia="Calibri" w:hAnsi="Calibri" w:cs="Arial"/>
          <w:u w:val="single"/>
          <w:rtl/>
        </w:rPr>
      </w:pPr>
      <w:r w:rsidRPr="0004348D">
        <w:rPr>
          <w:rFonts w:ascii="Calibri" w:eastAsia="Calibri" w:hAnsi="Calibri" w:cs="Arial"/>
          <w:u w:val="single"/>
          <w:rtl/>
        </w:rPr>
        <w:t>המלוה את חבירו על טבעת שיש בה אבן טובה</w:t>
      </w:r>
      <w:r w:rsidRPr="0004348D">
        <w:rPr>
          <w:rFonts w:ascii="Calibri" w:eastAsia="Calibri" w:hAnsi="Calibri" w:cs="Arial"/>
          <w:sz w:val="16"/>
          <w:szCs w:val="16"/>
          <w:u w:val="single"/>
          <w:rtl/>
        </w:rPr>
        <w:t xml:space="preserve"> (שקשה לדעת מה ערכה וצריך לשומה)</w:t>
      </w:r>
      <w:r w:rsidRPr="0004348D">
        <w:rPr>
          <w:rFonts w:ascii="Calibri" w:eastAsia="Calibri" w:hAnsi="Calibri" w:cs="Arial"/>
          <w:u w:val="single"/>
          <w:rtl/>
        </w:rPr>
        <w:t>:</w:t>
      </w:r>
    </w:p>
    <w:p w14:paraId="5874910F" w14:textId="77777777" w:rsidR="0004348D" w:rsidRPr="0004348D" w:rsidRDefault="0004348D" w:rsidP="0004348D">
      <w:pPr>
        <w:numPr>
          <w:ilvl w:val="0"/>
          <w:numId w:val="356"/>
        </w:numPr>
        <w:spacing w:before="360" w:after="240"/>
        <w:contextualSpacing/>
        <w:rPr>
          <w:rFonts w:ascii="Calibri" w:eastAsia="Calibri" w:hAnsi="Calibri" w:cs="Arial"/>
          <w:rtl/>
        </w:rPr>
      </w:pPr>
      <w:r w:rsidRPr="0004348D">
        <w:rPr>
          <w:rFonts w:ascii="Calibri" w:eastAsia="Calibri" w:hAnsi="Calibri" w:cs="Arial"/>
          <w:rtl/>
        </w:rPr>
        <w:t xml:space="preserve">רשב"א </w:t>
      </w:r>
      <w:r w:rsidRPr="0004348D">
        <w:rPr>
          <w:rFonts w:ascii="Calibri" w:eastAsia="Calibri" w:hAnsi="Calibri" w:cs="Arial"/>
          <w:sz w:val="16"/>
          <w:szCs w:val="16"/>
          <w:rtl/>
        </w:rPr>
        <w:t>(ח"ג סי' פח)</w:t>
      </w:r>
      <w:r w:rsidRPr="0004348D">
        <w:rPr>
          <w:rFonts w:ascii="Calibri" w:eastAsia="Calibri" w:hAnsi="Calibri" w:cs="Arial"/>
          <w:rtl/>
        </w:rPr>
        <w:t>- המלוה את חבירו על טבעת שיש בו אבן, ונאבד. אם הלוה מודה שאותו שביד השולחני שוה לשלו - פשוט שנלך אחר שומת בקיאים, אבל אם הלוה טוען דשלו היתה שוה יותר, והמלוה טוען ברי שלא היתה שוה אלא כזו - הרי זה מודה מקצת ונותן לו מה שהוא מודה ונשבע על השאר, כדתנן המלוה על המשכון וכו'. ואם המלוה אינו יודע כמה שוה והלוה טוען ברי שהיתה שוה יותר - הרי הוא נאמן, לפי שהמלוה מודה מקצת ואינו יודע כמה והוה ליה מחוייב שבועה שאינו יכול לישבע ומשלם כל מה שהלה טוענו. ומכל מקום צריכין ב"ד לחקור היטב ולאיים על הלוה שלא ישקר באמונתו לשום אותה יותר משוויה.</w:t>
      </w:r>
      <w:r w:rsidRPr="0004348D">
        <w:rPr>
          <w:rFonts w:ascii="Calibri" w:eastAsia="Calibri" w:hAnsi="Calibri" w:cs="Arial"/>
          <w:color w:val="E36C0A" w:themeColor="accent6" w:themeShade="BF"/>
          <w:rtl/>
        </w:rPr>
        <w:t xml:space="preserve"> (וכ"פ בשו"ע)</w:t>
      </w:r>
    </w:p>
    <w:p w14:paraId="0AEDD02F" w14:textId="77777777" w:rsidR="0004348D" w:rsidRPr="0004348D" w:rsidRDefault="0004348D" w:rsidP="0004348D">
      <w:pPr>
        <w:spacing w:before="360" w:after="240"/>
        <w:rPr>
          <w:rFonts w:ascii="Arial" w:eastAsia="Calibri" w:hAnsi="Arial" w:cs="Arial"/>
          <w:b/>
          <w:bCs/>
          <w:color w:val="000000"/>
          <w:sz w:val="28"/>
          <w:szCs w:val="28"/>
          <w:u w:val="single"/>
          <w:rtl/>
        </w:rPr>
      </w:pPr>
      <w:r w:rsidRPr="0004348D">
        <w:rPr>
          <w:rFonts w:ascii="Arial" w:eastAsia="Calibri" w:hAnsi="Arial" w:cs="Arial"/>
          <w:b/>
          <w:bCs/>
          <w:color w:val="000000"/>
          <w:sz w:val="28"/>
          <w:szCs w:val="28"/>
          <w:u w:val="single"/>
          <w:rtl/>
        </w:rPr>
        <w:t>שו"ע:</w:t>
      </w:r>
    </w:p>
    <w:p w14:paraId="6058457B" w14:textId="77777777" w:rsidR="0004348D" w:rsidRPr="0004348D" w:rsidRDefault="0004348D" w:rsidP="0004348D">
      <w:pPr>
        <w:spacing w:before="360" w:after="240"/>
        <w:rPr>
          <w:rFonts w:ascii="Calibri" w:eastAsia="Calibri" w:hAnsi="Calibri" w:cs="Arial"/>
          <w:rtl/>
        </w:rPr>
      </w:pPr>
      <w:r w:rsidRPr="0004348D">
        <w:rPr>
          <w:rFonts w:ascii="Calibri" w:eastAsia="Calibri" w:hAnsi="Calibri" w:cs="Arial"/>
          <w:rtl/>
        </w:rPr>
        <w:t>המלוה את חבירו על טבעת שיש בו אבן, ונאבד, אם הלוה מודה שאותו שביד השולחני שוה לשלו, פשוט שנלך אחר שומת הבקיאים. אבל אם טען הלוה דשלו היתה שוה יותר, והמלוה טוען ברי שלא היתה שוה אלא כזו, הרי זה מודה מקצת, ונותן לו מה שהוא מודה ונשבע על השאר. ואם המלוה אינו יודע כמה היתה שוה, והלוה טוען ברי שהיתה שוה יותר, הרי הוא נאמן, ומשום דהוה ליה מלוה מחוייב שבועה שאינו יכול לישבע. ומכל מקום צריכים בית דין לחקור היטב ולאיים על הלוה שלא ישקר לשום אותה יותר משוויה</w:t>
      </w:r>
      <w:r w:rsidRPr="0004348D">
        <w:rPr>
          <w:rFonts w:ascii="Calibri" w:eastAsia="Calibri" w:hAnsi="Calibri" w:cs="Arial"/>
          <w:vertAlign w:val="superscript"/>
          <w:rtl/>
        </w:rPr>
        <w:footnoteReference w:id="5882"/>
      </w:r>
      <w:r w:rsidRPr="0004348D">
        <w:rPr>
          <w:rFonts w:ascii="Calibri" w:eastAsia="Calibri" w:hAnsi="Calibri" w:cs="Arial"/>
          <w:rtl/>
        </w:rPr>
        <w:t xml:space="preserve">. </w:t>
      </w:r>
    </w:p>
    <w:p w14:paraId="356E788B" w14:textId="77777777" w:rsidR="0004348D" w:rsidRPr="0004348D" w:rsidRDefault="0004348D" w:rsidP="0004348D">
      <w:pPr>
        <w:spacing w:before="360" w:after="240"/>
        <w:rPr>
          <w:rFonts w:ascii="Calibri" w:eastAsia="Calibri" w:hAnsi="Calibri" w:cs="Arial"/>
          <w:rtl/>
        </w:rPr>
      </w:pPr>
    </w:p>
    <w:p w14:paraId="6A1345CF" w14:textId="77777777" w:rsidR="0004348D" w:rsidRPr="0004348D" w:rsidRDefault="0004348D" w:rsidP="0004348D">
      <w:pPr>
        <w:keepNext/>
        <w:keepLines/>
        <w:spacing w:before="360" w:after="240"/>
        <w:outlineLvl w:val="1"/>
        <w:rPr>
          <w:rFonts w:ascii="Cambria" w:eastAsia="Times New Roman" w:hAnsi="Cambria" w:cs="Arial"/>
          <w:bCs/>
          <w:color w:val="548DD4" w:themeColor="text2" w:themeTint="99"/>
          <w:sz w:val="26"/>
          <w:szCs w:val="26"/>
          <w:rtl/>
        </w:rPr>
      </w:pPr>
      <w:bookmarkStart w:id="851" w:name="_Toc24884234"/>
      <w:r w:rsidRPr="0004348D">
        <w:rPr>
          <w:rFonts w:ascii="Cambria" w:eastAsia="Times New Roman" w:hAnsi="Cambria" w:cs="Arial"/>
          <w:bCs/>
          <w:color w:val="548DD4" w:themeColor="text2" w:themeTint="99"/>
          <w:sz w:val="26"/>
          <w:szCs w:val="26"/>
          <w:rtl/>
        </w:rPr>
        <w:t>סעיף יז: מלוה המחזיק במשכון באופן שיכול לטעון לקוח הוא</w:t>
      </w:r>
      <w:r w:rsidRPr="0004348D">
        <w:rPr>
          <w:rFonts w:ascii="Cambria" w:eastAsia="Times New Roman" w:hAnsi="Cambria" w:cs="Arial"/>
          <w:bCs/>
          <w:color w:val="548DD4" w:themeColor="text2" w:themeTint="99"/>
          <w:sz w:val="18"/>
          <w:szCs w:val="18"/>
          <w:rtl/>
        </w:rPr>
        <w:t xml:space="preserve"> (וכדו')</w:t>
      </w:r>
      <w:r w:rsidRPr="0004348D">
        <w:rPr>
          <w:rFonts w:ascii="Cambria" w:eastAsia="Times New Roman" w:hAnsi="Cambria" w:cs="Arial"/>
          <w:bCs/>
          <w:color w:val="548DD4" w:themeColor="text2" w:themeTint="99"/>
          <w:sz w:val="26"/>
          <w:szCs w:val="26"/>
          <w:rtl/>
        </w:rPr>
        <w:t xml:space="preserve"> – שחלוק עם הלוה.</w:t>
      </w:r>
      <w:bookmarkEnd w:id="851"/>
    </w:p>
    <w:p w14:paraId="006A03D3" w14:textId="77777777" w:rsidR="0004348D" w:rsidRPr="0004348D" w:rsidRDefault="0004348D" w:rsidP="0004348D">
      <w:pPr>
        <w:spacing w:before="360" w:after="240"/>
        <w:rPr>
          <w:rFonts w:ascii="Calibri" w:eastAsia="Calibri" w:hAnsi="Calibri" w:cs="Arial"/>
          <w:rtl/>
        </w:rPr>
      </w:pPr>
      <w:bookmarkStart w:id="852" w:name="_Hlk17667109"/>
      <w:r w:rsidRPr="0004348D">
        <w:rPr>
          <w:rFonts w:ascii="Calibri" w:eastAsia="Calibri" w:hAnsi="Calibri" w:cs="Arial"/>
          <w:b/>
          <w:bCs/>
          <w:rtl/>
        </w:rPr>
        <w:t xml:space="preserve">בבא מציעא </w:t>
      </w:r>
      <w:r w:rsidRPr="0004348D">
        <w:rPr>
          <w:rFonts w:ascii="Calibri" w:eastAsia="Calibri" w:hAnsi="Calibri" w:cs="Arial"/>
          <w:b/>
          <w:bCs/>
          <w:sz w:val="16"/>
          <w:szCs w:val="16"/>
          <w:rtl/>
        </w:rPr>
        <w:t xml:space="preserve">(ס"פ המקבל) </w:t>
      </w:r>
      <w:r w:rsidRPr="0004348D">
        <w:rPr>
          <w:rFonts w:ascii="Calibri" w:eastAsia="Calibri" w:hAnsi="Calibri" w:cs="Arial"/>
          <w:b/>
          <w:bCs/>
          <w:rtl/>
        </w:rPr>
        <w:t>קטז</w:t>
      </w:r>
      <w:r w:rsidRPr="0004348D">
        <w:rPr>
          <w:rFonts w:ascii="Calibri" w:eastAsia="Calibri" w:hAnsi="Calibri" w:cs="Arial"/>
          <w:b/>
          <w:bCs/>
          <w:vertAlign w:val="superscript"/>
          <w:rtl/>
        </w:rPr>
        <w:footnoteReference w:id="5883"/>
      </w:r>
      <w:r w:rsidRPr="0004348D">
        <w:rPr>
          <w:rFonts w:ascii="Calibri" w:eastAsia="Calibri" w:hAnsi="Calibri" w:cs="Arial"/>
          <w:b/>
          <w:bCs/>
          <w:rtl/>
        </w:rPr>
        <w:t xml:space="preserve"> ע"א:</w:t>
      </w:r>
      <w:r w:rsidRPr="0004348D">
        <w:rPr>
          <w:rFonts w:ascii="Calibri" w:eastAsia="Calibri" w:hAnsi="Calibri" w:cs="Arial"/>
          <w:rtl/>
        </w:rPr>
        <w:t xml:space="preserve"> ההוא גברא דחבל סכינא דאשכבתא</w:t>
      </w:r>
      <w:r w:rsidRPr="0004348D">
        <w:rPr>
          <w:rFonts w:ascii="Calibri" w:eastAsia="Calibri" w:hAnsi="Calibri" w:cs="Arial"/>
          <w:vertAlign w:val="superscript"/>
          <w:rtl/>
        </w:rPr>
        <w:footnoteReference w:id="5884"/>
      </w:r>
      <w:r w:rsidRPr="0004348D">
        <w:rPr>
          <w:rFonts w:ascii="Calibri" w:eastAsia="Calibri" w:hAnsi="Calibri" w:cs="Arial"/>
          <w:rtl/>
        </w:rPr>
        <w:t xml:space="preserve"> מחבריה. אתא לקמיה דאביי, </w:t>
      </w:r>
      <w:r w:rsidRPr="0004348D">
        <w:rPr>
          <w:rFonts w:ascii="Calibri" w:eastAsia="Calibri" w:hAnsi="Calibri" w:cs="Arial"/>
          <w:u w:val="single"/>
          <w:rtl/>
        </w:rPr>
        <w:t>אמר ליה</w:t>
      </w:r>
      <w:r w:rsidRPr="0004348D">
        <w:rPr>
          <w:rFonts w:ascii="Calibri" w:eastAsia="Calibri" w:hAnsi="Calibri" w:cs="Arial"/>
          <w:rtl/>
        </w:rPr>
        <w:t>: זיל אהדריה, דהוי ליה כלי שעושים בו אוכל נפש, ותא קום בדינא</w:t>
      </w:r>
      <w:r w:rsidRPr="0004348D">
        <w:rPr>
          <w:rFonts w:ascii="Calibri" w:eastAsia="Calibri" w:hAnsi="Calibri" w:cs="Arial"/>
          <w:vertAlign w:val="superscript"/>
          <w:rtl/>
        </w:rPr>
        <w:footnoteReference w:id="5885"/>
      </w:r>
      <w:r w:rsidRPr="0004348D">
        <w:rPr>
          <w:rFonts w:ascii="Calibri" w:eastAsia="Calibri" w:hAnsi="Calibri" w:cs="Arial"/>
          <w:rtl/>
        </w:rPr>
        <w:t xml:space="preserve"> עלה. </w:t>
      </w:r>
      <w:r w:rsidRPr="0004348D">
        <w:rPr>
          <w:rFonts w:ascii="Calibri" w:eastAsia="Calibri" w:hAnsi="Calibri" w:cs="Arial"/>
          <w:u w:val="single"/>
          <w:rtl/>
        </w:rPr>
        <w:t>רבא אמר</w:t>
      </w:r>
      <w:r w:rsidRPr="0004348D">
        <w:rPr>
          <w:rFonts w:ascii="Calibri" w:eastAsia="Calibri" w:hAnsi="Calibri" w:cs="Arial"/>
          <w:vertAlign w:val="superscript"/>
          <w:rtl/>
        </w:rPr>
        <w:footnoteReference w:id="5886"/>
      </w:r>
      <w:r w:rsidRPr="0004348D">
        <w:rPr>
          <w:rFonts w:ascii="Calibri" w:eastAsia="Calibri" w:hAnsi="Calibri" w:cs="Arial"/>
          <w:rtl/>
        </w:rPr>
        <w:t>: לא צריך למיקם בדינא עלה, ויכול לטעון עד כדי דמיהן. ואביי לית ליה ההיא סברא? מאי שנא מהנהו עיזי דאכלי חושלא</w:t>
      </w:r>
      <w:r w:rsidRPr="0004348D">
        <w:rPr>
          <w:rFonts w:ascii="Calibri" w:eastAsia="Calibri" w:hAnsi="Calibri" w:cs="Arial"/>
          <w:vertAlign w:val="superscript"/>
          <w:rtl/>
        </w:rPr>
        <w:footnoteReference w:id="5887"/>
      </w:r>
      <w:r w:rsidRPr="0004348D">
        <w:rPr>
          <w:rFonts w:ascii="Calibri" w:eastAsia="Calibri" w:hAnsi="Calibri" w:cs="Arial"/>
          <w:rtl/>
        </w:rPr>
        <w:t xml:space="preserve"> בנהרדעא </w:t>
      </w:r>
      <w:r w:rsidRPr="0004348D">
        <w:rPr>
          <w:rFonts w:ascii="Calibri" w:eastAsia="Calibri" w:hAnsi="Calibri" w:cs="Arial"/>
          <w:sz w:val="16"/>
          <w:szCs w:val="16"/>
          <w:rtl/>
        </w:rPr>
        <w:t>(ב"ב לו.)</w:t>
      </w:r>
      <w:r w:rsidRPr="0004348D">
        <w:rPr>
          <w:rFonts w:ascii="Calibri" w:eastAsia="Calibri" w:hAnsi="Calibri" w:cs="Arial"/>
          <w:rtl/>
        </w:rPr>
        <w:t>, ואתא מרא דחושלא ותפס להו וקא טעין טובא, ואמר אבוה דשמואל: יכול לטעון עד כדי דמיהן. התם לאו מידי דעבדא לאושולי ולאוגורי הוא</w:t>
      </w:r>
      <w:r w:rsidRPr="0004348D">
        <w:rPr>
          <w:rFonts w:ascii="Calibri" w:eastAsia="Calibri" w:hAnsi="Calibri" w:cs="Arial"/>
          <w:vertAlign w:val="superscript"/>
          <w:rtl/>
        </w:rPr>
        <w:footnoteReference w:id="5888"/>
      </w:r>
      <w:r w:rsidRPr="0004348D">
        <w:rPr>
          <w:rFonts w:ascii="Calibri" w:eastAsia="Calibri" w:hAnsi="Calibri" w:cs="Arial"/>
          <w:rtl/>
        </w:rPr>
        <w:t>, הכא - מידי דעביד לאושולי ולאוגורי הוא. דשלח רב הונא בר אבין: דברים העשויין להשאיל ולהשכיר, ואמר לקוחין הן בידי - אינו נאמן. ורבא לית ליה האי סברא? והא רבא אפיק זוגא דסרבלא</w:t>
      </w:r>
      <w:r w:rsidRPr="0004348D">
        <w:rPr>
          <w:rFonts w:ascii="Calibri" w:eastAsia="Calibri" w:hAnsi="Calibri" w:cs="Arial"/>
          <w:vertAlign w:val="superscript"/>
          <w:rtl/>
        </w:rPr>
        <w:footnoteReference w:id="5889"/>
      </w:r>
      <w:r w:rsidRPr="0004348D">
        <w:rPr>
          <w:rFonts w:ascii="Calibri" w:eastAsia="Calibri" w:hAnsi="Calibri" w:cs="Arial"/>
          <w:rtl/>
        </w:rPr>
        <w:t xml:space="preserve"> וספרא דאגדתא מיתמי</w:t>
      </w:r>
      <w:r w:rsidRPr="0004348D">
        <w:rPr>
          <w:rFonts w:ascii="Calibri" w:eastAsia="Calibri" w:hAnsi="Calibri" w:cs="Arial"/>
          <w:vertAlign w:val="superscript"/>
          <w:rtl/>
        </w:rPr>
        <w:footnoteReference w:id="5890"/>
      </w:r>
      <w:r w:rsidRPr="0004348D">
        <w:rPr>
          <w:rFonts w:ascii="Calibri" w:eastAsia="Calibri" w:hAnsi="Calibri" w:cs="Arial"/>
          <w:rtl/>
        </w:rPr>
        <w:t xml:space="preserve"> בדברים העשויין להשאיל ולהשכיר! אמר לך רבא: האי</w:t>
      </w:r>
      <w:r w:rsidRPr="0004348D">
        <w:rPr>
          <w:rFonts w:ascii="Calibri" w:eastAsia="Calibri" w:hAnsi="Calibri" w:cs="Arial"/>
          <w:vertAlign w:val="superscript"/>
          <w:rtl/>
        </w:rPr>
        <w:footnoteReference w:id="5891"/>
      </w:r>
      <w:r w:rsidRPr="0004348D">
        <w:rPr>
          <w:rFonts w:ascii="Calibri" w:eastAsia="Calibri" w:hAnsi="Calibri" w:cs="Arial"/>
          <w:rtl/>
        </w:rPr>
        <w:t xml:space="preserve"> נמי, כיון דמיפגמא - קפדי אינשי ולא מושלי. </w:t>
      </w:r>
    </w:p>
    <w:p w14:paraId="7E215F29" w14:textId="77777777" w:rsidR="0004348D" w:rsidRPr="0004348D" w:rsidRDefault="0004348D" w:rsidP="0004348D">
      <w:pPr>
        <w:spacing w:before="360" w:after="240"/>
        <w:rPr>
          <w:rFonts w:ascii="Calibri" w:eastAsia="Calibri" w:hAnsi="Calibri" w:cs="Arial"/>
          <w:sz w:val="16"/>
          <w:szCs w:val="16"/>
          <w:rtl/>
        </w:rPr>
      </w:pPr>
      <w:r w:rsidRPr="0004348D">
        <w:rPr>
          <w:rFonts w:ascii="Calibri" w:eastAsia="Calibri" w:hAnsi="Calibri" w:cs="Arial"/>
          <w:b/>
          <w:bCs/>
          <w:rtl/>
        </w:rPr>
        <w:t>ירושלמי</w:t>
      </w:r>
      <w:r w:rsidRPr="0004348D">
        <w:rPr>
          <w:rFonts w:ascii="Calibri" w:eastAsia="Calibri" w:hAnsi="Calibri" w:cs="Arial"/>
          <w:b/>
          <w:bCs/>
          <w:sz w:val="16"/>
          <w:szCs w:val="16"/>
          <w:rtl/>
        </w:rPr>
        <w:t xml:space="preserve"> (וילנא)</w:t>
      </w:r>
      <w:r w:rsidRPr="0004348D">
        <w:rPr>
          <w:rFonts w:ascii="Calibri" w:eastAsia="Calibri" w:hAnsi="Calibri" w:cs="Arial"/>
          <w:b/>
          <w:bCs/>
          <w:rtl/>
        </w:rPr>
        <w:t xml:space="preserve"> שבועות פ"ו ה"ח: </w:t>
      </w:r>
      <w:r w:rsidRPr="0004348D">
        <w:rPr>
          <w:rFonts w:ascii="Calibri" w:eastAsia="Calibri" w:hAnsi="Calibri" w:cs="Arial"/>
          <w:u w:val="single"/>
          <w:rtl/>
        </w:rPr>
        <w:t>א"ר יוחנן</w:t>
      </w:r>
      <w:r w:rsidRPr="0004348D">
        <w:rPr>
          <w:rFonts w:ascii="Calibri" w:eastAsia="Calibri" w:hAnsi="Calibri" w:cs="Arial"/>
          <w:rtl/>
        </w:rPr>
        <w:t>: נאמן המלוה לומר עד כדי המשכון הלויתיך... חד בר נש קם עם חבריה בשוקא, א"ל: 'תרין דינרין לי בידך ומושכונך שוי תרין דינרין'. א"ל: 'חד דינר נא בעי למיתן לך ומשכוני טב תרין דינרין'. אתא עובדא קומי דייני נהרדעא, אמרי: כיון דכל עמא מודו דמשכונא טב תרין דינרין אוחרנא ייתי עלוי שהדי. ולא שמע דמר רבי יוחנן נאמן המלוה עד כדי משכונו.</w:t>
      </w:r>
      <w:r w:rsidRPr="0004348D">
        <w:rPr>
          <w:rFonts w:ascii="Calibri" w:eastAsia="Calibri" w:hAnsi="Calibri" w:cs="Arial"/>
          <w:sz w:val="16"/>
          <w:szCs w:val="16"/>
          <w:rtl/>
        </w:rPr>
        <w:t xml:space="preserve"> (וקיי"ל כרבי יוחנן, בעל התרומות [שער מט ח"ב סי' א])</w:t>
      </w:r>
    </w:p>
    <w:p w14:paraId="614C99DC" w14:textId="77777777" w:rsidR="0004348D" w:rsidRPr="0004348D" w:rsidRDefault="0004348D" w:rsidP="0004348D">
      <w:pPr>
        <w:spacing w:before="360" w:after="240"/>
        <w:rPr>
          <w:rFonts w:ascii="Calibri" w:eastAsia="Calibri" w:hAnsi="Calibri" w:cs="Arial"/>
          <w:u w:val="single"/>
          <w:rtl/>
        </w:rPr>
      </w:pPr>
      <w:r w:rsidRPr="0004348D">
        <w:rPr>
          <w:rFonts w:ascii="Calibri" w:eastAsia="Calibri" w:hAnsi="Calibri" w:cs="Arial"/>
          <w:u w:val="single"/>
          <w:rtl/>
        </w:rPr>
        <w:t xml:space="preserve">מלוה המחזיק במשכון באופן שיכול לטעון לקוח הוא בידי </w:t>
      </w:r>
      <w:r w:rsidRPr="0004348D">
        <w:rPr>
          <w:rFonts w:ascii="Calibri" w:eastAsia="Calibri" w:hAnsi="Calibri" w:cs="Arial"/>
          <w:sz w:val="16"/>
          <w:szCs w:val="16"/>
          <w:u w:val="single"/>
          <w:rtl/>
        </w:rPr>
        <w:t>(וכדו')</w:t>
      </w:r>
      <w:r w:rsidRPr="0004348D">
        <w:rPr>
          <w:rFonts w:ascii="Calibri" w:eastAsia="Calibri" w:hAnsi="Calibri" w:cs="Arial"/>
          <w:u w:val="single"/>
          <w:rtl/>
        </w:rPr>
        <w:t xml:space="preserve"> - שחלוק עם הלוה על עיקר ההלואה: </w:t>
      </w:r>
    </w:p>
    <w:p w14:paraId="52B77FC9" w14:textId="77777777" w:rsidR="0004348D" w:rsidRPr="0004348D" w:rsidRDefault="0004348D" w:rsidP="0004348D">
      <w:pPr>
        <w:numPr>
          <w:ilvl w:val="0"/>
          <w:numId w:val="356"/>
        </w:numPr>
        <w:spacing w:before="360" w:after="240"/>
        <w:contextualSpacing/>
        <w:rPr>
          <w:rFonts w:ascii="Calibri" w:eastAsia="Calibri" w:hAnsi="Calibri" w:cs="Arial"/>
        </w:rPr>
      </w:pPr>
      <w:r w:rsidRPr="0004348D">
        <w:rPr>
          <w:rFonts w:ascii="Calibri" w:eastAsia="Calibri" w:hAnsi="Calibri" w:cs="Arial"/>
          <w:rtl/>
        </w:rPr>
        <w:t xml:space="preserve">רמב"ם </w:t>
      </w:r>
      <w:r w:rsidRPr="0004348D">
        <w:rPr>
          <w:rFonts w:ascii="Calibri" w:eastAsia="Calibri" w:hAnsi="Calibri" w:cs="Arial"/>
          <w:sz w:val="16"/>
          <w:szCs w:val="16"/>
          <w:rtl/>
        </w:rPr>
        <w:t>(פי"ג ממלוה ולוה ה"ג)</w:t>
      </w:r>
      <w:r w:rsidRPr="0004348D">
        <w:rPr>
          <w:rFonts w:ascii="Calibri" w:eastAsia="Calibri" w:hAnsi="Calibri" w:cs="Arial"/>
          <w:rtl/>
        </w:rPr>
        <w:t xml:space="preserve"> בעל התרומות </w:t>
      </w:r>
      <w:r w:rsidRPr="0004348D">
        <w:rPr>
          <w:rFonts w:ascii="Calibri" w:eastAsia="Calibri" w:hAnsi="Calibri" w:cs="Arial"/>
          <w:sz w:val="16"/>
          <w:szCs w:val="16"/>
          <w:rtl/>
        </w:rPr>
        <w:t xml:space="preserve">(שער מט ח"ב סי' א) </w:t>
      </w:r>
      <w:r w:rsidRPr="0004348D">
        <w:rPr>
          <w:rFonts w:ascii="Calibri" w:eastAsia="Calibri" w:hAnsi="Calibri" w:cs="Arial"/>
          <w:rtl/>
        </w:rPr>
        <w:t xml:space="preserve">וטור- אם לא נאבד המשכון וחלוקין בעיקר ההלואה, ואומר המלוה שהלוהו סלע, והלוה אמר שלא הלוהו אלא שקל, אם הוא בענין שהיה המלוה יכול להחזיק במשכון ולטעון לקוח הוא בידי או לא היו דברים מעולם או החזרתיו לך - נאמן גם לומר שהלוהו עליו עד כדי דמיו בשבועה </w:t>
      </w:r>
      <w:r w:rsidRPr="0004348D">
        <w:rPr>
          <w:rFonts w:ascii="Calibri" w:eastAsia="Calibri" w:hAnsi="Calibri" w:cs="Arial"/>
          <w:sz w:val="16"/>
          <w:szCs w:val="16"/>
          <w:rtl/>
        </w:rPr>
        <w:t>(ל' הטור)</w:t>
      </w:r>
      <w:r w:rsidRPr="0004348D">
        <w:rPr>
          <w:rFonts w:ascii="Calibri" w:eastAsia="Calibri" w:hAnsi="Calibri" w:cs="Arial"/>
          <w:vertAlign w:val="superscript"/>
          <w:rtl/>
        </w:rPr>
        <w:footnoteReference w:id="5892"/>
      </w:r>
      <w:r w:rsidRPr="0004348D">
        <w:rPr>
          <w:rFonts w:ascii="Calibri" w:eastAsia="Calibri" w:hAnsi="Calibri" w:cs="Arial"/>
          <w:rtl/>
        </w:rPr>
        <w:t>.</w:t>
      </w:r>
      <w:r w:rsidRPr="0004348D">
        <w:rPr>
          <w:rFonts w:ascii="Calibri" w:eastAsia="Calibri" w:hAnsi="Calibri" w:cs="Arial"/>
          <w:color w:val="E36C0A" w:themeColor="accent6" w:themeShade="BF"/>
          <w:rtl/>
        </w:rPr>
        <w:t xml:space="preserve"> (וכ"פ בשו"ע)</w:t>
      </w:r>
    </w:p>
    <w:p w14:paraId="64AE2D51" w14:textId="77777777" w:rsidR="0004348D" w:rsidRPr="0004348D" w:rsidRDefault="0004348D" w:rsidP="0004348D">
      <w:pPr>
        <w:spacing w:before="360" w:after="240"/>
        <w:ind w:left="360"/>
        <w:rPr>
          <w:rFonts w:ascii="Calibri" w:eastAsia="Calibri" w:hAnsi="Calibri" w:cs="Arial"/>
          <w:u w:val="dotted"/>
          <w:rtl/>
        </w:rPr>
      </w:pPr>
      <w:r w:rsidRPr="0004348D">
        <w:rPr>
          <w:rFonts w:ascii="Calibri" w:eastAsia="Calibri" w:hAnsi="Calibri" w:cs="Arial"/>
          <w:u w:val="dotted"/>
          <w:rtl/>
        </w:rPr>
        <w:t>איזו שבועה נשבע המלוה:</w:t>
      </w:r>
    </w:p>
    <w:p w14:paraId="090D5A77" w14:textId="77777777" w:rsidR="0004348D" w:rsidRPr="0004348D" w:rsidRDefault="0004348D" w:rsidP="0004348D">
      <w:pPr>
        <w:numPr>
          <w:ilvl w:val="0"/>
          <w:numId w:val="356"/>
        </w:numPr>
        <w:spacing w:before="360" w:after="240"/>
        <w:contextualSpacing/>
        <w:rPr>
          <w:rFonts w:ascii="Calibri" w:eastAsia="Calibri" w:hAnsi="Calibri" w:cs="Arial"/>
        </w:rPr>
      </w:pPr>
      <w:r w:rsidRPr="0004348D">
        <w:rPr>
          <w:rFonts w:ascii="Calibri" w:eastAsia="Calibri" w:hAnsi="Calibri" w:cs="Arial"/>
          <w:rtl/>
        </w:rPr>
        <w:t>גאונים רי"ף ר"י מיגאש רמב"ם רא"ש טור ר"ן ריב"ש ונמוק"י</w:t>
      </w:r>
      <w:r w:rsidRPr="0004348D">
        <w:rPr>
          <w:rFonts w:ascii="Calibri" w:eastAsia="Calibri" w:hAnsi="Calibri" w:cs="Arial"/>
          <w:vertAlign w:val="superscript"/>
          <w:rtl/>
        </w:rPr>
        <w:footnoteReference w:id="5893"/>
      </w:r>
      <w:r w:rsidRPr="0004348D">
        <w:rPr>
          <w:rFonts w:ascii="Calibri" w:eastAsia="Calibri" w:hAnsi="Calibri" w:cs="Arial"/>
          <w:rtl/>
        </w:rPr>
        <w:t>- אע"פ שאם היה טוען לקוח הוא בידי או להד"ם היה נפטר בשבועת היסת, כשטוען שהלוהו עליו עד כדי דמיו - צריך לישבע בנקיטת חפץ כעין הנשבעין ונוטלין</w:t>
      </w:r>
      <w:r w:rsidRPr="0004348D">
        <w:rPr>
          <w:rFonts w:ascii="Calibri" w:eastAsia="Calibri" w:hAnsi="Calibri" w:cs="Arial"/>
          <w:vertAlign w:val="superscript"/>
          <w:rtl/>
        </w:rPr>
        <w:footnoteReference w:id="5894"/>
      </w:r>
      <w:r w:rsidRPr="0004348D">
        <w:rPr>
          <w:rFonts w:ascii="Calibri" w:eastAsia="Calibri" w:hAnsi="Calibri" w:cs="Arial"/>
          <w:sz w:val="16"/>
          <w:szCs w:val="16"/>
          <w:rtl/>
        </w:rPr>
        <w:t xml:space="preserve"> (ל' הטור בשם הגאונים)</w:t>
      </w:r>
      <w:r w:rsidRPr="0004348D">
        <w:rPr>
          <w:rFonts w:ascii="Calibri" w:eastAsia="Calibri" w:hAnsi="Calibri" w:cs="Arial"/>
          <w:rtl/>
        </w:rPr>
        <w:t xml:space="preserve">. </w:t>
      </w:r>
      <w:r w:rsidRPr="0004348D">
        <w:rPr>
          <w:rFonts w:ascii="Calibri" w:eastAsia="Calibri" w:hAnsi="Calibri" w:cs="Arial"/>
          <w:color w:val="E36C0A" w:themeColor="accent6" w:themeShade="BF"/>
          <w:rtl/>
        </w:rPr>
        <w:t>(וכ"פ בשו"ע)</w:t>
      </w:r>
    </w:p>
    <w:p w14:paraId="60543922" w14:textId="77777777" w:rsidR="0004348D" w:rsidRPr="0004348D" w:rsidRDefault="0004348D" w:rsidP="0004348D">
      <w:pPr>
        <w:numPr>
          <w:ilvl w:val="0"/>
          <w:numId w:val="356"/>
        </w:numPr>
        <w:spacing w:before="360" w:after="240"/>
        <w:contextualSpacing/>
        <w:rPr>
          <w:rFonts w:ascii="Calibri" w:eastAsia="Calibri" w:hAnsi="Calibri" w:cs="Arial"/>
        </w:rPr>
      </w:pPr>
      <w:r w:rsidRPr="0004348D">
        <w:rPr>
          <w:rFonts w:ascii="Calibri" w:eastAsia="Calibri" w:hAnsi="Calibri" w:cs="Arial"/>
          <w:rtl/>
        </w:rPr>
        <w:t>ראב"ד</w:t>
      </w:r>
      <w:r w:rsidRPr="0004348D">
        <w:rPr>
          <w:rFonts w:ascii="Calibri" w:eastAsia="Calibri" w:hAnsi="Calibri" w:cs="Arial"/>
          <w:vertAlign w:val="superscript"/>
          <w:rtl/>
        </w:rPr>
        <w:footnoteReference w:id="5895"/>
      </w:r>
      <w:r w:rsidRPr="0004348D">
        <w:rPr>
          <w:rFonts w:ascii="Calibri" w:eastAsia="Calibri" w:hAnsi="Calibri" w:cs="Arial"/>
          <w:rtl/>
        </w:rPr>
        <w:t xml:space="preserve"> וה"ר אפרים</w:t>
      </w:r>
      <w:r w:rsidRPr="0004348D">
        <w:rPr>
          <w:rFonts w:ascii="Calibri" w:eastAsia="Calibri" w:hAnsi="Calibri" w:cs="Arial"/>
          <w:sz w:val="16"/>
          <w:szCs w:val="16"/>
          <w:rtl/>
        </w:rPr>
        <w:t xml:space="preserve"> (כ"כ הר"ן בשמו [שם])</w:t>
      </w:r>
      <w:r w:rsidRPr="0004348D">
        <w:rPr>
          <w:rFonts w:ascii="Calibri" w:eastAsia="Calibri" w:hAnsi="Calibri" w:cs="Arial"/>
          <w:rtl/>
        </w:rPr>
        <w:t>- גם עתה שנשבע שהלוהו עליו כדי דמיו - אינו נשבע אלא היסת</w:t>
      </w:r>
      <w:r w:rsidRPr="0004348D">
        <w:rPr>
          <w:rFonts w:ascii="Calibri" w:eastAsia="Calibri" w:hAnsi="Calibri" w:cs="Arial"/>
          <w:vertAlign w:val="superscript"/>
          <w:rtl/>
        </w:rPr>
        <w:footnoteReference w:id="5896"/>
      </w:r>
      <w:r w:rsidRPr="0004348D">
        <w:rPr>
          <w:rFonts w:ascii="Calibri" w:eastAsia="Calibri" w:hAnsi="Calibri" w:cs="Arial"/>
          <w:sz w:val="16"/>
          <w:szCs w:val="16"/>
          <w:rtl/>
        </w:rPr>
        <w:t xml:space="preserve"> (ל' הטור בשם הראב"ד)</w:t>
      </w:r>
      <w:r w:rsidRPr="0004348D">
        <w:rPr>
          <w:rFonts w:ascii="Calibri" w:eastAsia="Calibri" w:hAnsi="Calibri" w:cs="Arial"/>
          <w:rtl/>
        </w:rPr>
        <w:t xml:space="preserve">. </w:t>
      </w:r>
    </w:p>
    <w:p w14:paraId="1A20A625" w14:textId="77777777" w:rsidR="0004348D" w:rsidRPr="0004348D" w:rsidRDefault="0004348D" w:rsidP="0004348D">
      <w:pPr>
        <w:spacing w:before="360" w:after="240"/>
        <w:ind w:left="360"/>
        <w:rPr>
          <w:rFonts w:ascii="Calibri" w:eastAsia="Calibri" w:hAnsi="Calibri" w:cs="Arial"/>
          <w:u w:val="dotted"/>
        </w:rPr>
      </w:pPr>
      <w:r w:rsidRPr="0004348D">
        <w:rPr>
          <w:rFonts w:ascii="Calibri" w:eastAsia="Calibri" w:hAnsi="Calibri" w:cs="Arial"/>
          <w:u w:val="dotted"/>
          <w:rtl/>
        </w:rPr>
        <w:t xml:space="preserve">כיון שהמלוה נאמן ויכול לטעון עד כדי דמי המשכון במיגו </w:t>
      </w:r>
      <w:r w:rsidRPr="0004348D">
        <w:rPr>
          <w:rFonts w:ascii="Calibri" w:eastAsia="Calibri" w:hAnsi="Calibri" w:cs="Arial"/>
          <w:sz w:val="16"/>
          <w:szCs w:val="16"/>
          <w:u w:val="dotted"/>
          <w:rtl/>
        </w:rPr>
        <w:t>(כנ"ל)</w:t>
      </w:r>
      <w:r w:rsidRPr="0004348D">
        <w:rPr>
          <w:rFonts w:ascii="Calibri" w:eastAsia="Calibri" w:hAnsi="Calibri" w:cs="Arial"/>
          <w:u w:val="dotted"/>
          <w:rtl/>
        </w:rPr>
        <w:t xml:space="preserve"> – כיצד הדין למעשה </w:t>
      </w:r>
      <w:r w:rsidRPr="0004348D">
        <w:rPr>
          <w:rFonts w:ascii="Calibri" w:eastAsia="Calibri" w:hAnsi="Calibri" w:cs="Arial"/>
          <w:sz w:val="16"/>
          <w:szCs w:val="16"/>
          <w:u w:val="dotted"/>
          <w:rtl/>
        </w:rPr>
        <w:t>(כשחלוקים על עיקר ההלואה כנ"ל)</w:t>
      </w:r>
      <w:r w:rsidRPr="0004348D">
        <w:rPr>
          <w:rFonts w:ascii="Calibri" w:eastAsia="Calibri" w:hAnsi="Calibri" w:cs="Arial"/>
          <w:u w:val="dotted"/>
          <w:rtl/>
        </w:rPr>
        <w:t>:</w:t>
      </w:r>
    </w:p>
    <w:p w14:paraId="71929648" w14:textId="77777777" w:rsidR="0004348D" w:rsidRPr="0004348D" w:rsidRDefault="0004348D" w:rsidP="0004348D">
      <w:pPr>
        <w:numPr>
          <w:ilvl w:val="0"/>
          <w:numId w:val="356"/>
        </w:numPr>
        <w:spacing w:before="360" w:after="240"/>
        <w:contextualSpacing/>
        <w:rPr>
          <w:rFonts w:ascii="Calibri" w:eastAsia="Calibri" w:hAnsi="Calibri" w:cs="Arial"/>
        </w:rPr>
      </w:pPr>
      <w:r w:rsidRPr="0004348D">
        <w:rPr>
          <w:rFonts w:ascii="Calibri" w:eastAsia="Calibri" w:hAnsi="Calibri" w:cs="Arial"/>
          <w:rtl/>
        </w:rPr>
        <w:t>טור- ואומר המלוה שהלוהו סלע, והלוה אמר שלא הלוהו אלא שקל... לפיכך אם המשכון שוה סלע - הרי זה נשבע ונוטל. אין המשכון שוה אלא דינר - הרי המלוה נוטל דינר מדמי המשכון ופורע הלוה עוד דינר שמודה בו ונשבע על השנים שכפר בהם. ואם כפר בכל ואומר 'אין זה משכון אלא פקדון בידו ואין לו אצלי כלום' - הרי המלוה נפרע מדמי המשכון, ואם אינו שוה עד כדי חובו - נוטל ממנו מה ששוה ועל השאר נשבע הלוה היסת ונפטר.</w:t>
      </w:r>
      <w:r w:rsidRPr="0004348D">
        <w:rPr>
          <w:rFonts w:ascii="Calibri" w:eastAsia="Calibri" w:hAnsi="Calibri" w:cs="Arial"/>
          <w:color w:val="E36C0A" w:themeColor="accent6" w:themeShade="BF"/>
          <w:rtl/>
        </w:rPr>
        <w:t xml:space="preserve"> (וכ"פ בשו"ע)</w:t>
      </w:r>
    </w:p>
    <w:bookmarkEnd w:id="852"/>
    <w:p w14:paraId="1F9C34E1" w14:textId="77777777" w:rsidR="0004348D" w:rsidRPr="0004348D" w:rsidRDefault="0004348D" w:rsidP="0004348D">
      <w:pPr>
        <w:spacing w:before="360" w:after="240"/>
        <w:rPr>
          <w:rFonts w:ascii="Calibri" w:eastAsia="Calibri" w:hAnsi="Calibri" w:cs="Arial"/>
          <w:u w:val="single"/>
          <w:rtl/>
        </w:rPr>
      </w:pPr>
      <w:r w:rsidRPr="0004348D">
        <w:rPr>
          <w:rFonts w:ascii="Calibri" w:eastAsia="Calibri" w:hAnsi="Calibri" w:cs="Arial"/>
          <w:u w:val="single"/>
          <w:rtl/>
        </w:rPr>
        <w:t xml:space="preserve">מלוה ולוה שחלוקים בעיקר ההלואה – והמלוה תפס </w:t>
      </w:r>
      <w:r w:rsidRPr="0004348D">
        <w:rPr>
          <w:rFonts w:ascii="Calibri" w:eastAsia="Calibri" w:hAnsi="Calibri" w:cs="Arial"/>
          <w:b/>
          <w:bCs/>
          <w:u w:val="single"/>
          <w:rtl/>
        </w:rPr>
        <w:t>מעותיו</w:t>
      </w:r>
      <w:r w:rsidRPr="0004348D">
        <w:rPr>
          <w:rFonts w:ascii="Calibri" w:eastAsia="Calibri" w:hAnsi="Calibri" w:cs="Arial"/>
          <w:u w:val="single"/>
          <w:rtl/>
        </w:rPr>
        <w:t xml:space="preserve"> של לוה:</w:t>
      </w:r>
    </w:p>
    <w:p w14:paraId="46A564CB" w14:textId="77777777" w:rsidR="0004348D" w:rsidRPr="0004348D" w:rsidRDefault="0004348D" w:rsidP="0004348D">
      <w:pPr>
        <w:numPr>
          <w:ilvl w:val="0"/>
          <w:numId w:val="356"/>
        </w:numPr>
        <w:spacing w:before="360" w:after="240"/>
        <w:contextualSpacing/>
        <w:rPr>
          <w:rFonts w:ascii="Calibri" w:eastAsia="Calibri" w:hAnsi="Calibri" w:cs="Arial"/>
        </w:rPr>
      </w:pPr>
      <w:r w:rsidRPr="0004348D">
        <w:rPr>
          <w:rFonts w:ascii="Calibri" w:eastAsia="Calibri" w:hAnsi="Calibri" w:cs="Arial"/>
          <w:rtl/>
        </w:rPr>
        <w:t xml:space="preserve">בעל התרומות </w:t>
      </w:r>
      <w:r w:rsidRPr="0004348D">
        <w:rPr>
          <w:rFonts w:ascii="Calibri" w:eastAsia="Calibri" w:hAnsi="Calibri" w:cs="Arial"/>
          <w:sz w:val="16"/>
          <w:szCs w:val="16"/>
          <w:rtl/>
        </w:rPr>
        <w:t xml:space="preserve">(שער מט חי"ז סי' ד) </w:t>
      </w:r>
      <w:r w:rsidRPr="0004348D">
        <w:rPr>
          <w:rFonts w:ascii="Calibri" w:eastAsia="Calibri" w:hAnsi="Calibri" w:cs="Arial"/>
          <w:rtl/>
        </w:rPr>
        <w:t xml:space="preserve">וטור- אפילו לדברי הגאונים דוקא כשתפש חפץ - זה שצריך להחזירו לבעליו ויטול מעותיו, אבל אם תפש מעות - נשבע היסת ונפטר, דהוה ליה כמנה לי בידך והלה אומר אין לך בידי כלום. </w:t>
      </w:r>
      <w:r w:rsidRPr="0004348D">
        <w:rPr>
          <w:rFonts w:ascii="Calibri" w:eastAsia="Calibri" w:hAnsi="Calibri" w:cs="Arial"/>
          <w:color w:val="00B0F0"/>
          <w:rtl/>
        </w:rPr>
        <w:t>(וכ"פ הרמ"א)</w:t>
      </w:r>
    </w:p>
    <w:p w14:paraId="52189D68" w14:textId="77777777" w:rsidR="0004348D" w:rsidRPr="0004348D" w:rsidRDefault="0004348D" w:rsidP="0004348D">
      <w:pPr>
        <w:spacing w:before="360" w:after="240"/>
        <w:rPr>
          <w:rFonts w:ascii="Calibri" w:eastAsia="Calibri" w:hAnsi="Calibri" w:cs="Arial"/>
          <w:u w:val="single"/>
        </w:rPr>
      </w:pPr>
      <w:r w:rsidRPr="0004348D">
        <w:rPr>
          <w:rFonts w:ascii="Calibri" w:eastAsia="Calibri" w:hAnsi="Calibri" w:cs="Arial"/>
          <w:u w:val="single"/>
          <w:rtl/>
        </w:rPr>
        <w:t>משכן לחבירו כלים שעושין בהן אוכל נפש או משכן אלמנה</w:t>
      </w:r>
      <w:r w:rsidRPr="0004348D">
        <w:rPr>
          <w:rFonts w:ascii="Calibri" w:eastAsia="Calibri" w:hAnsi="Calibri" w:cs="Arial"/>
          <w:sz w:val="16"/>
          <w:szCs w:val="16"/>
          <w:u w:val="single"/>
          <w:rtl/>
        </w:rPr>
        <w:t xml:space="preserve"> (בלא עדים) </w:t>
      </w:r>
      <w:r w:rsidRPr="0004348D">
        <w:rPr>
          <w:rFonts w:ascii="Calibri" w:eastAsia="Calibri" w:hAnsi="Calibri" w:cs="Arial"/>
          <w:u w:val="single"/>
          <w:rtl/>
        </w:rPr>
        <w:t>– האם עדיין יש לו מיגו ויכול לטעון עד כדי דמיו:</w:t>
      </w:r>
    </w:p>
    <w:p w14:paraId="155B7A92" w14:textId="77777777" w:rsidR="0004348D" w:rsidRPr="0004348D" w:rsidRDefault="0004348D" w:rsidP="0004348D">
      <w:pPr>
        <w:numPr>
          <w:ilvl w:val="0"/>
          <w:numId w:val="356"/>
        </w:numPr>
        <w:spacing w:before="360" w:after="240"/>
        <w:contextualSpacing/>
        <w:rPr>
          <w:rFonts w:ascii="Calibri" w:eastAsia="Calibri" w:hAnsi="Calibri" w:cs="Arial"/>
        </w:rPr>
      </w:pPr>
      <w:r w:rsidRPr="0004348D">
        <w:rPr>
          <w:rFonts w:ascii="Calibri" w:eastAsia="Calibri" w:hAnsi="Calibri" w:cs="Arial"/>
          <w:rtl/>
        </w:rPr>
        <w:t>טור- משכן לחבירו כלים שעושין בהן אוכל נפש או משכן אלמנה, בלא עדים - לא אמרינן כיון שחייב להחזירו אזל ליה מגו ואינו יכול לטעון עליו כדי דמיו, אלא כיון שאין עדים והיה יכול לכפור - יכול לטעון עליו כדי דמיו</w:t>
      </w:r>
      <w:r w:rsidRPr="0004348D">
        <w:rPr>
          <w:rFonts w:ascii="Calibri" w:eastAsia="Calibri" w:hAnsi="Calibri" w:cs="Arial"/>
          <w:vertAlign w:val="superscript"/>
          <w:rtl/>
        </w:rPr>
        <w:footnoteReference w:id="5897"/>
      </w:r>
      <w:r w:rsidRPr="0004348D">
        <w:rPr>
          <w:rFonts w:ascii="Calibri" w:eastAsia="Calibri" w:hAnsi="Calibri" w:cs="Arial"/>
          <w:rtl/>
        </w:rPr>
        <w:t xml:space="preserve">. </w:t>
      </w:r>
      <w:r w:rsidRPr="0004348D">
        <w:rPr>
          <w:rFonts w:ascii="Calibri" w:eastAsia="Calibri" w:hAnsi="Calibri" w:cs="Arial"/>
          <w:color w:val="00B0F0"/>
          <w:rtl/>
        </w:rPr>
        <w:t>(וכ"פ הרמ"א)</w:t>
      </w:r>
    </w:p>
    <w:p w14:paraId="7179FA12" w14:textId="77777777" w:rsidR="0004348D" w:rsidRPr="0004348D" w:rsidRDefault="0004348D" w:rsidP="0004348D">
      <w:pPr>
        <w:numPr>
          <w:ilvl w:val="0"/>
          <w:numId w:val="356"/>
        </w:numPr>
        <w:spacing w:before="360" w:after="240"/>
        <w:contextualSpacing/>
        <w:rPr>
          <w:rFonts w:ascii="Calibri" w:eastAsia="Calibri" w:hAnsi="Calibri" w:cs="Arial"/>
        </w:rPr>
      </w:pPr>
      <w:r w:rsidRPr="0004348D">
        <w:rPr>
          <w:rFonts w:ascii="Calibri" w:eastAsia="Calibri" w:hAnsi="Calibri" w:cs="Arial"/>
          <w:rtl/>
        </w:rPr>
        <w:t xml:space="preserve">בעל התרומות </w:t>
      </w:r>
      <w:r w:rsidRPr="0004348D">
        <w:rPr>
          <w:rFonts w:ascii="Calibri" w:eastAsia="Calibri" w:hAnsi="Calibri" w:cs="Arial"/>
          <w:sz w:val="16"/>
          <w:szCs w:val="16"/>
          <w:rtl/>
        </w:rPr>
        <w:t>(שער מט חי"ד סי' ב)</w:t>
      </w:r>
      <w:r w:rsidRPr="0004348D">
        <w:rPr>
          <w:rFonts w:ascii="Calibri" w:eastAsia="Calibri" w:hAnsi="Calibri" w:cs="Arial"/>
          <w:rtl/>
        </w:rPr>
        <w:t xml:space="preserve">- אם משכן אלמנה שהיא בחזרה מה דינה, כי לדעת רבא משמע שהמלוה ישבע עד כדי דמיו כמו שהוא דן בעסקי אוכל נפש שאע"פ שהן בחזרה ישבע התופס ויטול. אך הר"מ ז"ל </w:t>
      </w:r>
      <w:r w:rsidRPr="0004348D">
        <w:rPr>
          <w:rFonts w:ascii="Calibri" w:eastAsia="Calibri" w:hAnsi="Calibri" w:cs="Arial"/>
          <w:sz w:val="16"/>
          <w:szCs w:val="16"/>
          <w:rtl/>
        </w:rPr>
        <w:t xml:space="preserve">(מלוה פ"ג ה"א) </w:t>
      </w:r>
      <w:r w:rsidRPr="0004348D">
        <w:rPr>
          <w:rFonts w:ascii="Calibri" w:eastAsia="Calibri" w:hAnsi="Calibri" w:cs="Arial"/>
          <w:rtl/>
        </w:rPr>
        <w:t xml:space="preserve">פסק באלמנה שאחר שהוא בחזרה אם תודה תשלם ואם תכפור תשבע היסת והיא נפטרת. ובענין דברים שעושין בהן אוכל נפש פסק </w:t>
      </w:r>
      <w:r w:rsidRPr="0004348D">
        <w:rPr>
          <w:rFonts w:ascii="Calibri" w:eastAsia="Calibri" w:hAnsi="Calibri" w:cs="Arial"/>
          <w:sz w:val="16"/>
          <w:szCs w:val="16"/>
          <w:rtl/>
        </w:rPr>
        <w:t xml:space="preserve">(שם ה"ד) </w:t>
      </w:r>
      <w:r w:rsidRPr="0004348D">
        <w:rPr>
          <w:rFonts w:ascii="Calibri" w:eastAsia="Calibri" w:hAnsi="Calibri" w:cs="Arial"/>
          <w:rtl/>
        </w:rPr>
        <w:t>כרבא. ומילתא צ"ע</w:t>
      </w:r>
      <w:r w:rsidRPr="0004348D">
        <w:rPr>
          <w:rFonts w:ascii="Calibri" w:eastAsia="Calibri" w:hAnsi="Calibri" w:cs="Arial"/>
          <w:vertAlign w:val="superscript"/>
          <w:rtl/>
        </w:rPr>
        <w:footnoteReference w:id="5898"/>
      </w:r>
      <w:r w:rsidRPr="0004348D">
        <w:rPr>
          <w:rFonts w:ascii="Calibri" w:eastAsia="Calibri" w:hAnsi="Calibri" w:cs="Arial"/>
          <w:rtl/>
        </w:rPr>
        <w:t xml:space="preserve">. </w:t>
      </w:r>
    </w:p>
    <w:p w14:paraId="6F7B65DE" w14:textId="77777777" w:rsidR="0004348D" w:rsidRPr="0004348D" w:rsidRDefault="0004348D" w:rsidP="0004348D">
      <w:pPr>
        <w:spacing w:before="360" w:after="240"/>
        <w:rPr>
          <w:rFonts w:ascii="Calibri" w:eastAsia="Calibri" w:hAnsi="Calibri" w:cs="Arial"/>
          <w:sz w:val="16"/>
          <w:szCs w:val="16"/>
          <w:u w:val="single"/>
        </w:rPr>
      </w:pPr>
      <w:r w:rsidRPr="0004348D">
        <w:rPr>
          <w:rFonts w:ascii="Calibri" w:eastAsia="Calibri" w:hAnsi="Calibri" w:cs="Arial"/>
          <w:u w:val="single"/>
          <w:rtl/>
        </w:rPr>
        <w:t xml:space="preserve">התופס/המחזיק ממון חברו וצריך להחזירו מאיזו סיבה – האם מאבד בזה את טענתו </w:t>
      </w:r>
      <w:r w:rsidRPr="0004348D">
        <w:rPr>
          <w:rFonts w:ascii="Calibri" w:eastAsia="Calibri" w:hAnsi="Calibri" w:cs="Arial"/>
          <w:sz w:val="16"/>
          <w:szCs w:val="16"/>
          <w:u w:val="single"/>
          <w:rtl/>
        </w:rPr>
        <w:t>(שהיה יכול לטעון במיגו)</w:t>
      </w:r>
      <w:r w:rsidRPr="0004348D">
        <w:rPr>
          <w:rFonts w:ascii="Calibri" w:eastAsia="Calibri" w:hAnsi="Calibri" w:cs="Arial"/>
          <w:u w:val="single"/>
          <w:rtl/>
        </w:rPr>
        <w:t>:</w:t>
      </w:r>
      <w:r w:rsidRPr="0004348D">
        <w:rPr>
          <w:rFonts w:ascii="Calibri" w:eastAsia="Calibri" w:hAnsi="Calibri" w:cs="Arial"/>
          <w:sz w:val="16"/>
          <w:szCs w:val="16"/>
          <w:rtl/>
        </w:rPr>
        <w:t xml:space="preserve"> (דרכ"מ [אות יד])</w:t>
      </w:r>
    </w:p>
    <w:p w14:paraId="6BFFF40D" w14:textId="77777777" w:rsidR="0004348D" w:rsidRPr="0004348D" w:rsidRDefault="0004348D" w:rsidP="0004348D">
      <w:pPr>
        <w:numPr>
          <w:ilvl w:val="0"/>
          <w:numId w:val="356"/>
        </w:numPr>
        <w:spacing w:before="360" w:after="240"/>
        <w:contextualSpacing/>
        <w:rPr>
          <w:rFonts w:ascii="Calibri" w:eastAsia="Calibri" w:hAnsi="Calibri" w:cs="Arial"/>
        </w:rPr>
      </w:pPr>
      <w:r w:rsidRPr="0004348D">
        <w:rPr>
          <w:rFonts w:ascii="Calibri" w:eastAsia="Calibri" w:hAnsi="Calibri" w:cs="Arial"/>
          <w:rtl/>
        </w:rPr>
        <w:t xml:space="preserve">ריב"ש </w:t>
      </w:r>
      <w:r w:rsidRPr="0004348D">
        <w:rPr>
          <w:rFonts w:ascii="Calibri" w:eastAsia="Calibri" w:hAnsi="Calibri" w:cs="Arial"/>
          <w:sz w:val="16"/>
          <w:szCs w:val="16"/>
          <w:rtl/>
        </w:rPr>
        <w:t>(סי' שצב ד"ה ומה שטוען)</w:t>
      </w:r>
      <w:r w:rsidRPr="0004348D">
        <w:rPr>
          <w:rFonts w:ascii="Calibri" w:eastAsia="Calibri" w:hAnsi="Calibri" w:cs="Arial"/>
          <w:rtl/>
        </w:rPr>
        <w:t>- מי שתפס מטלטלי דיתמי וטוען עליהם במקום שיש לו מגו, אע"פ שצריך להחזירן ולקבל פרעונו מקרקע מטעם דמטלטלי דיתמי לא משתעבדי מכל מקום לא הפסיד מגו שלו ונאמן עד כדי דמיהן</w:t>
      </w:r>
      <w:r w:rsidRPr="0004348D">
        <w:rPr>
          <w:rFonts w:ascii="Calibri" w:eastAsia="Calibri" w:hAnsi="Calibri" w:cs="Arial"/>
          <w:vertAlign w:val="superscript"/>
          <w:rtl/>
        </w:rPr>
        <w:footnoteReference w:id="5899"/>
      </w:r>
      <w:r w:rsidRPr="0004348D">
        <w:rPr>
          <w:rFonts w:ascii="Calibri" w:eastAsia="Calibri" w:hAnsi="Calibri" w:cs="Arial"/>
          <w:rtl/>
        </w:rPr>
        <w:t xml:space="preserve">. </w:t>
      </w:r>
      <w:r w:rsidRPr="0004348D">
        <w:rPr>
          <w:rFonts w:ascii="Calibri" w:eastAsia="Calibri" w:hAnsi="Calibri" w:cs="Arial"/>
          <w:color w:val="00B0F0"/>
          <w:rtl/>
        </w:rPr>
        <w:t>(וכ"פ הרמ"א)</w:t>
      </w:r>
    </w:p>
    <w:p w14:paraId="5542810C" w14:textId="77777777" w:rsidR="0004348D" w:rsidRPr="0004348D" w:rsidRDefault="0004348D" w:rsidP="0004348D">
      <w:pPr>
        <w:spacing w:before="360" w:after="240"/>
        <w:ind w:left="360"/>
        <w:rPr>
          <w:rFonts w:ascii="Calibri" w:eastAsia="Calibri" w:hAnsi="Calibri" w:cs="Arial"/>
          <w:u w:val="dotted"/>
        </w:rPr>
      </w:pPr>
      <w:r w:rsidRPr="0004348D">
        <w:rPr>
          <w:rFonts w:ascii="Calibri" w:eastAsia="Calibri" w:hAnsi="Calibri" w:cs="Arial"/>
          <w:u w:val="dotted"/>
          <w:rtl/>
        </w:rPr>
        <w:t>האם יכול התופס להישבע שאינו חייב לשכנגדו כלום</w:t>
      </w:r>
      <w:r w:rsidRPr="0004348D">
        <w:rPr>
          <w:rFonts w:ascii="Calibri" w:eastAsia="Calibri" w:hAnsi="Calibri" w:cs="Arial"/>
          <w:sz w:val="16"/>
          <w:szCs w:val="16"/>
          <w:u w:val="dotted"/>
          <w:rtl/>
        </w:rPr>
        <w:t xml:space="preserve"> (ולא להתייחס לממון שתפוס אצלו)</w:t>
      </w:r>
      <w:r w:rsidRPr="0004348D">
        <w:rPr>
          <w:rFonts w:ascii="Calibri" w:eastAsia="Calibri" w:hAnsi="Calibri" w:cs="Arial"/>
          <w:u w:val="dotted"/>
          <w:rtl/>
        </w:rPr>
        <w:t>:</w:t>
      </w:r>
      <w:r w:rsidRPr="0004348D">
        <w:rPr>
          <w:rFonts w:ascii="Calibri" w:eastAsia="Calibri" w:hAnsi="Calibri" w:cs="Arial"/>
          <w:sz w:val="16"/>
          <w:szCs w:val="16"/>
          <w:rtl/>
        </w:rPr>
        <w:t xml:space="preserve"> (דרכ"מ [אות יד])</w:t>
      </w:r>
    </w:p>
    <w:p w14:paraId="735D799B" w14:textId="77777777" w:rsidR="0004348D" w:rsidRPr="0004348D" w:rsidRDefault="0004348D" w:rsidP="0004348D">
      <w:pPr>
        <w:numPr>
          <w:ilvl w:val="0"/>
          <w:numId w:val="356"/>
        </w:numPr>
        <w:spacing w:before="360" w:after="240"/>
        <w:contextualSpacing/>
        <w:rPr>
          <w:rFonts w:ascii="Calibri" w:eastAsia="Calibri" w:hAnsi="Calibri" w:cs="Arial"/>
          <w:rtl/>
        </w:rPr>
      </w:pPr>
      <w:r w:rsidRPr="0004348D">
        <w:rPr>
          <w:rFonts w:ascii="Calibri" w:eastAsia="Calibri" w:hAnsi="Calibri" w:cs="Arial"/>
          <w:rtl/>
        </w:rPr>
        <w:t xml:space="preserve">תלמידי הרשב"א </w:t>
      </w:r>
      <w:r w:rsidRPr="0004348D">
        <w:rPr>
          <w:rFonts w:ascii="Calibri" w:eastAsia="Calibri" w:hAnsi="Calibri" w:cs="Arial"/>
          <w:sz w:val="16"/>
          <w:szCs w:val="16"/>
          <w:rtl/>
        </w:rPr>
        <w:t>(המיוחס לריטב"א, פ"ק דב"מ ו. ד"ה ומיהו וד"ה ואם, הביאם הב"י [סי' עה מחו' טז])</w:t>
      </w:r>
      <w:r w:rsidRPr="0004348D">
        <w:rPr>
          <w:rFonts w:ascii="Calibri" w:eastAsia="Calibri" w:hAnsi="Calibri" w:cs="Arial"/>
          <w:rtl/>
        </w:rPr>
        <w:t>- מאחר שיכול לטעון שחייב לו נגד מה שבידו יכול לישבע סתם שאין חייב לו כלום ויכול לחשוב זה כנגד זה ולישבע עליו, ודוקא שהיה לכל אחד עידית ועידית או זבורית וזבורית, אבל אית ליה להאי עידית ולהאי זבורית דהוי דינא דזה גובה וזה גובה - בכי האי גוונא אין יכול לישבע דאינו חייב לו כלום, וכן אם הפקיד דבר והמפקיד חייב לנפקד אינו יכול לחשוב הפקדון נגד החוב ולישבע דאינו חייב לו דדילמא הפקדון נאנס, ודוקא שהנפקד אומר שנאנס אבל אם טוען הנפקד להד"ם הרי מודה דלא נאנס דכל האומר לא הופקד כאומר לא נאנס דמי ויכול זה לישבע שאינו חייב לו כלום</w:t>
      </w:r>
      <w:r w:rsidRPr="0004348D">
        <w:rPr>
          <w:rFonts w:ascii="Calibri" w:eastAsia="Calibri" w:hAnsi="Calibri" w:cs="Arial"/>
          <w:vertAlign w:val="superscript"/>
          <w:rtl/>
        </w:rPr>
        <w:footnoteReference w:id="5900"/>
      </w:r>
      <w:r w:rsidRPr="0004348D">
        <w:rPr>
          <w:rFonts w:ascii="Calibri" w:eastAsia="Calibri" w:hAnsi="Calibri" w:cs="Arial"/>
          <w:rtl/>
        </w:rPr>
        <w:t>.</w:t>
      </w:r>
      <w:r w:rsidRPr="0004348D">
        <w:rPr>
          <w:rFonts w:ascii="Calibri" w:eastAsia="Calibri" w:hAnsi="Calibri" w:cs="Arial"/>
          <w:color w:val="00B0F0"/>
          <w:rtl/>
        </w:rPr>
        <w:t xml:space="preserve"> (וכ"פ הרמ"א)</w:t>
      </w:r>
    </w:p>
    <w:p w14:paraId="640F1DC0" w14:textId="77777777" w:rsidR="0004348D" w:rsidRPr="0004348D" w:rsidRDefault="0004348D" w:rsidP="0004348D">
      <w:pPr>
        <w:numPr>
          <w:ilvl w:val="0"/>
          <w:numId w:val="356"/>
        </w:numPr>
        <w:spacing w:before="360" w:after="240"/>
        <w:contextualSpacing/>
        <w:rPr>
          <w:rFonts w:ascii="Calibri" w:eastAsia="Calibri" w:hAnsi="Calibri" w:cs="Arial"/>
        </w:rPr>
      </w:pPr>
      <w:r w:rsidRPr="0004348D">
        <w:rPr>
          <w:rFonts w:ascii="Calibri" w:eastAsia="Calibri" w:hAnsi="Calibri" w:cs="Arial"/>
          <w:rtl/>
        </w:rPr>
        <w:t xml:space="preserve">ר"ן </w:t>
      </w:r>
      <w:r w:rsidRPr="0004348D">
        <w:rPr>
          <w:rFonts w:ascii="Calibri" w:eastAsia="Calibri" w:hAnsi="Calibri" w:cs="Arial"/>
          <w:sz w:val="16"/>
          <w:szCs w:val="16"/>
          <w:rtl/>
        </w:rPr>
        <w:t>(פרק השולח גיטין יח. ד"ה ומדאמרי')</w:t>
      </w:r>
      <w:r w:rsidRPr="0004348D">
        <w:rPr>
          <w:rFonts w:ascii="Calibri" w:eastAsia="Calibri" w:hAnsi="Calibri" w:cs="Arial"/>
          <w:rtl/>
        </w:rPr>
        <w:t xml:space="preserve">- מי שגזל את חבירו וחבירו חייב לו ממון ומשביעו אם נפרע - אינו יכול לישבע שלא נפרע דהממון שגזל עולה לו לפרעון. </w:t>
      </w:r>
    </w:p>
    <w:p w14:paraId="32F54510" w14:textId="77777777" w:rsidR="0004348D" w:rsidRPr="0004348D" w:rsidRDefault="0004348D" w:rsidP="0004348D">
      <w:pPr>
        <w:spacing w:before="360" w:after="240"/>
        <w:ind w:left="360"/>
        <w:rPr>
          <w:rFonts w:ascii="Calibri" w:eastAsia="Calibri" w:hAnsi="Calibri" w:cs="Arial"/>
          <w:u w:val="dotted"/>
        </w:rPr>
      </w:pPr>
      <w:r w:rsidRPr="0004348D">
        <w:rPr>
          <w:rFonts w:ascii="Calibri" w:eastAsia="Calibri" w:hAnsi="Calibri" w:cs="Arial"/>
          <w:u w:val="dotted"/>
          <w:rtl/>
        </w:rPr>
        <w:t xml:space="preserve">האם יכול התופס לטעון גם כשיש לו עליו תביעות אחרות </w:t>
      </w:r>
      <w:r w:rsidRPr="0004348D">
        <w:rPr>
          <w:rFonts w:ascii="Calibri" w:eastAsia="Calibri" w:hAnsi="Calibri" w:cs="Arial"/>
          <w:sz w:val="16"/>
          <w:szCs w:val="16"/>
          <w:u w:val="dotted"/>
          <w:rtl/>
        </w:rPr>
        <w:t>(ולא בתביעה שחייב לו ממון)</w:t>
      </w:r>
      <w:r w:rsidRPr="0004348D">
        <w:rPr>
          <w:rFonts w:ascii="Calibri" w:eastAsia="Calibri" w:hAnsi="Calibri" w:cs="Arial"/>
          <w:u w:val="dotted"/>
          <w:rtl/>
        </w:rPr>
        <w:t>:</w:t>
      </w:r>
      <w:r w:rsidRPr="0004348D">
        <w:rPr>
          <w:rFonts w:ascii="Calibri" w:eastAsia="Calibri" w:hAnsi="Calibri" w:cs="Arial"/>
          <w:sz w:val="16"/>
          <w:szCs w:val="16"/>
          <w:rtl/>
        </w:rPr>
        <w:t xml:space="preserve"> (דרכ"מ [אות יד])</w:t>
      </w:r>
    </w:p>
    <w:p w14:paraId="06674963" w14:textId="77777777" w:rsidR="0004348D" w:rsidRPr="0004348D" w:rsidRDefault="0004348D" w:rsidP="0004348D">
      <w:pPr>
        <w:numPr>
          <w:ilvl w:val="0"/>
          <w:numId w:val="356"/>
        </w:numPr>
        <w:spacing w:before="360" w:after="240"/>
        <w:contextualSpacing/>
        <w:rPr>
          <w:rFonts w:ascii="Calibri" w:eastAsia="Calibri" w:hAnsi="Calibri" w:cs="Arial"/>
          <w:rtl/>
        </w:rPr>
      </w:pPr>
      <w:r w:rsidRPr="0004348D">
        <w:rPr>
          <w:rFonts w:ascii="Calibri" w:eastAsia="Calibri" w:hAnsi="Calibri" w:cs="Arial"/>
          <w:rtl/>
        </w:rPr>
        <w:t xml:space="preserve">מהרי"ו </w:t>
      </w:r>
      <w:r w:rsidRPr="0004348D">
        <w:rPr>
          <w:rFonts w:ascii="Calibri" w:eastAsia="Calibri" w:hAnsi="Calibri" w:cs="Arial"/>
          <w:sz w:val="16"/>
          <w:szCs w:val="16"/>
          <w:rtl/>
        </w:rPr>
        <w:t>(סי' כא, וסי' לה)</w:t>
      </w:r>
      <w:r w:rsidRPr="0004348D">
        <w:rPr>
          <w:rFonts w:ascii="Calibri" w:eastAsia="Calibri" w:hAnsi="Calibri" w:cs="Arial"/>
          <w:rtl/>
        </w:rPr>
        <w:t>- אע"ג דיכול לטעון על מה שבידו היינו שאומר שחייב לו ממון, אבל לא יכול לטעון תביעה אחרת כגון ליתן לו פטורים וכיוצא בזה מכח מגו דהיה יכול לכפור מה שבידו דאין זה שייך לזה</w:t>
      </w:r>
      <w:r w:rsidRPr="0004348D">
        <w:rPr>
          <w:rFonts w:ascii="Calibri" w:eastAsia="Calibri" w:hAnsi="Calibri" w:cs="Arial"/>
          <w:vertAlign w:val="superscript"/>
          <w:rtl/>
        </w:rPr>
        <w:footnoteReference w:id="5901"/>
      </w:r>
      <w:r w:rsidRPr="0004348D">
        <w:rPr>
          <w:rFonts w:ascii="Calibri" w:eastAsia="Calibri" w:hAnsi="Calibri" w:cs="Arial"/>
          <w:rtl/>
        </w:rPr>
        <w:t>.</w:t>
      </w:r>
      <w:r w:rsidRPr="0004348D">
        <w:rPr>
          <w:rFonts w:ascii="Calibri" w:eastAsia="Calibri" w:hAnsi="Calibri" w:cs="Arial"/>
          <w:color w:val="00B0F0"/>
          <w:rtl/>
        </w:rPr>
        <w:t xml:space="preserve"> (וכ"פ הרמ"א)</w:t>
      </w:r>
    </w:p>
    <w:p w14:paraId="437714E2" w14:textId="77777777" w:rsidR="0004348D" w:rsidRPr="0004348D" w:rsidRDefault="0004348D" w:rsidP="0004348D">
      <w:pPr>
        <w:spacing w:before="360" w:after="240"/>
        <w:ind w:left="360"/>
        <w:rPr>
          <w:rFonts w:ascii="Calibri" w:eastAsia="Calibri" w:hAnsi="Calibri" w:cs="Arial"/>
          <w:u w:val="dotted"/>
        </w:rPr>
      </w:pPr>
      <w:r w:rsidRPr="0004348D">
        <w:rPr>
          <w:rFonts w:ascii="Calibri" w:eastAsia="Calibri" w:hAnsi="Calibri" w:cs="Arial"/>
          <w:u w:val="dotted"/>
          <w:rtl/>
        </w:rPr>
        <w:t>התופס דבר של חברו, ונתייקר – למי שייך הריווח:</w:t>
      </w:r>
      <w:r w:rsidRPr="0004348D">
        <w:rPr>
          <w:rFonts w:ascii="Calibri" w:eastAsia="Calibri" w:hAnsi="Calibri" w:cs="Arial"/>
          <w:sz w:val="16"/>
          <w:szCs w:val="16"/>
          <w:rtl/>
        </w:rPr>
        <w:t xml:space="preserve">  (דרכ"מ [אות יד])</w:t>
      </w:r>
    </w:p>
    <w:p w14:paraId="4A690B9A" w14:textId="77777777" w:rsidR="0004348D" w:rsidRPr="0004348D" w:rsidRDefault="0004348D" w:rsidP="0004348D">
      <w:pPr>
        <w:numPr>
          <w:ilvl w:val="0"/>
          <w:numId w:val="356"/>
        </w:numPr>
        <w:spacing w:before="360" w:after="240"/>
        <w:contextualSpacing/>
        <w:rPr>
          <w:rFonts w:ascii="Calibri" w:eastAsia="Calibri" w:hAnsi="Calibri" w:cs="Arial"/>
          <w:rtl/>
        </w:rPr>
      </w:pPr>
      <w:r w:rsidRPr="0004348D">
        <w:rPr>
          <w:rFonts w:ascii="Calibri" w:eastAsia="Calibri" w:hAnsi="Calibri" w:cs="Arial"/>
          <w:rtl/>
        </w:rPr>
        <w:t xml:space="preserve">ריב"ש </w:t>
      </w:r>
      <w:r w:rsidRPr="0004348D">
        <w:rPr>
          <w:rFonts w:ascii="Calibri" w:eastAsia="Calibri" w:hAnsi="Calibri" w:cs="Arial"/>
          <w:sz w:val="16"/>
          <w:szCs w:val="16"/>
          <w:rtl/>
        </w:rPr>
        <w:t>(סי' שצו)</w:t>
      </w:r>
      <w:r w:rsidRPr="0004348D">
        <w:rPr>
          <w:rFonts w:ascii="Calibri" w:eastAsia="Calibri" w:hAnsi="Calibri" w:cs="Arial"/>
          <w:rtl/>
        </w:rPr>
        <w:t>- מי שנאמן לטעון על דבר שבידו מכח מגו אין לו זכות בו אלא משעת דין ואילך, ואם נתייקר תחלה - ברשות בעליו נתייקר ולא יוכל לומר שלי היה מיד שבא לידי וברשותי נתייקר, ואין נאמן לומר שמכרו בשעת הזול, אלא צריך לשלם כשעת היוקר.</w:t>
      </w:r>
      <w:r w:rsidRPr="0004348D">
        <w:rPr>
          <w:rFonts w:ascii="Calibri" w:eastAsia="Calibri" w:hAnsi="Calibri" w:cs="Arial"/>
          <w:color w:val="00B0F0"/>
          <w:rtl/>
        </w:rPr>
        <w:t xml:space="preserve"> (וכ"פ הרמ"א)</w:t>
      </w:r>
    </w:p>
    <w:p w14:paraId="3AEEE332" w14:textId="77777777" w:rsidR="0004348D" w:rsidRPr="0004348D" w:rsidRDefault="0004348D" w:rsidP="0004348D">
      <w:pPr>
        <w:spacing w:before="360" w:after="240"/>
        <w:ind w:left="360"/>
        <w:rPr>
          <w:rFonts w:ascii="Calibri" w:eastAsia="Calibri" w:hAnsi="Calibri" w:cs="Arial"/>
        </w:rPr>
      </w:pPr>
      <w:r w:rsidRPr="0004348D">
        <w:rPr>
          <w:rFonts w:ascii="Calibri" w:eastAsia="Calibri" w:hAnsi="Calibri" w:cs="Arial"/>
          <w:u w:val="dotted"/>
          <w:rtl/>
        </w:rPr>
        <w:t>האם יכול התופס לטעון על פקדון שבידו:</w:t>
      </w:r>
      <w:r w:rsidRPr="0004348D">
        <w:rPr>
          <w:rFonts w:ascii="Calibri" w:eastAsia="Calibri" w:hAnsi="Calibri" w:cs="Arial"/>
          <w:sz w:val="16"/>
          <w:szCs w:val="16"/>
          <w:rtl/>
        </w:rPr>
        <w:t xml:space="preserve">  (דרכ"מ [אות יד])</w:t>
      </w:r>
    </w:p>
    <w:p w14:paraId="798EBD3E" w14:textId="77777777" w:rsidR="0004348D" w:rsidRPr="0004348D" w:rsidRDefault="0004348D" w:rsidP="0004348D">
      <w:pPr>
        <w:numPr>
          <w:ilvl w:val="0"/>
          <w:numId w:val="356"/>
        </w:numPr>
        <w:spacing w:before="360" w:after="240"/>
        <w:contextualSpacing/>
        <w:rPr>
          <w:rFonts w:ascii="Calibri" w:eastAsia="Calibri" w:hAnsi="Calibri" w:cs="Arial"/>
          <w:rtl/>
        </w:rPr>
      </w:pPr>
      <w:r w:rsidRPr="0004348D">
        <w:rPr>
          <w:rFonts w:ascii="Calibri" w:eastAsia="Calibri" w:hAnsi="Calibri" w:cs="Arial"/>
          <w:rtl/>
        </w:rPr>
        <w:t xml:space="preserve">נמוק"י </w:t>
      </w:r>
      <w:r w:rsidRPr="0004348D">
        <w:rPr>
          <w:rFonts w:ascii="Calibri" w:eastAsia="Calibri" w:hAnsi="Calibri" w:cs="Arial"/>
          <w:sz w:val="16"/>
          <w:szCs w:val="16"/>
          <w:rtl/>
        </w:rPr>
        <w:t>(פ"ק דב"מ ג. דבור ראשון)</w:t>
      </w:r>
      <w:r w:rsidRPr="0004348D">
        <w:rPr>
          <w:rFonts w:ascii="Calibri" w:eastAsia="Calibri" w:hAnsi="Calibri" w:cs="Arial"/>
          <w:rtl/>
        </w:rPr>
        <w:t xml:space="preserve">- יכול לטעון על פקדון שבידו, מיהו דוקא אם אמר שיש לו מלוה ביד המפקיד, אבל אם אומר שיש לו פקדון בידו – לא, דדלמא איתניס, אבל אם אמר המפקיד להד"מ - יכול זה לישבע על מה שבידו אפילו נגד פקדון. </w:t>
      </w:r>
      <w:r w:rsidRPr="0004348D">
        <w:rPr>
          <w:rFonts w:ascii="Calibri" w:eastAsia="Calibri" w:hAnsi="Calibri" w:cs="Arial"/>
          <w:color w:val="00B0F0"/>
          <w:rtl/>
        </w:rPr>
        <w:t>(וכ"פ הרמ"א)</w:t>
      </w:r>
    </w:p>
    <w:p w14:paraId="73FEE9AF" w14:textId="77777777" w:rsidR="0004348D" w:rsidRPr="0004348D" w:rsidRDefault="0004348D" w:rsidP="0004348D">
      <w:pPr>
        <w:spacing w:before="360" w:after="240"/>
        <w:ind w:left="360"/>
        <w:rPr>
          <w:rFonts w:ascii="Calibri" w:eastAsia="Calibri" w:hAnsi="Calibri" w:cs="Arial"/>
        </w:rPr>
      </w:pPr>
      <w:r w:rsidRPr="0004348D">
        <w:rPr>
          <w:rFonts w:ascii="Calibri" w:eastAsia="Calibri" w:hAnsi="Calibri" w:cs="Arial"/>
          <w:u w:val="dotted"/>
          <w:rtl/>
        </w:rPr>
        <w:t>האם יכול התופס לטעון על שחייב לו ממקום אחר:</w:t>
      </w:r>
      <w:r w:rsidRPr="0004348D">
        <w:rPr>
          <w:rFonts w:ascii="Calibri" w:eastAsia="Calibri" w:hAnsi="Calibri" w:cs="Arial"/>
          <w:sz w:val="16"/>
          <w:szCs w:val="16"/>
          <w:rtl/>
        </w:rPr>
        <w:t xml:space="preserve">  (דרכ"מ [אות יד])</w:t>
      </w:r>
    </w:p>
    <w:p w14:paraId="1557C9A6" w14:textId="77777777" w:rsidR="0004348D" w:rsidRPr="0004348D" w:rsidRDefault="0004348D" w:rsidP="0004348D">
      <w:pPr>
        <w:numPr>
          <w:ilvl w:val="0"/>
          <w:numId w:val="356"/>
        </w:numPr>
        <w:spacing w:before="360" w:after="240"/>
        <w:contextualSpacing/>
        <w:rPr>
          <w:rFonts w:ascii="Calibri" w:eastAsia="Calibri" w:hAnsi="Calibri" w:cs="Arial"/>
        </w:rPr>
      </w:pPr>
      <w:r w:rsidRPr="0004348D">
        <w:rPr>
          <w:rFonts w:ascii="Calibri" w:eastAsia="Calibri" w:hAnsi="Calibri" w:cs="Arial"/>
          <w:rtl/>
        </w:rPr>
        <w:t xml:space="preserve">י"א </w:t>
      </w:r>
      <w:r w:rsidRPr="0004348D">
        <w:rPr>
          <w:rFonts w:ascii="Calibri" w:eastAsia="Calibri" w:hAnsi="Calibri" w:cs="Arial"/>
          <w:sz w:val="16"/>
          <w:szCs w:val="16"/>
          <w:rtl/>
        </w:rPr>
        <w:t>(הביאם הגמ"ר [ב"מ פ"ק סי' תיח-תיט])</w:t>
      </w:r>
      <w:r w:rsidRPr="0004348D">
        <w:rPr>
          <w:rFonts w:ascii="Calibri" w:eastAsia="Calibri" w:hAnsi="Calibri" w:cs="Arial"/>
          <w:rtl/>
        </w:rPr>
        <w:t>- אין יכול לטעון אתה חייב לי ממקום אחר אפילו במקום שיש לו מיגו</w:t>
      </w:r>
      <w:r w:rsidRPr="0004348D">
        <w:rPr>
          <w:rFonts w:ascii="Calibri" w:eastAsia="Calibri" w:hAnsi="Calibri" w:cs="Arial"/>
          <w:vertAlign w:val="superscript"/>
          <w:rtl/>
        </w:rPr>
        <w:footnoteReference w:id="5902"/>
      </w:r>
      <w:r w:rsidRPr="0004348D">
        <w:rPr>
          <w:rFonts w:ascii="Calibri" w:eastAsia="Calibri" w:hAnsi="Calibri" w:cs="Arial"/>
          <w:rtl/>
        </w:rPr>
        <w:t xml:space="preserve">. </w:t>
      </w:r>
    </w:p>
    <w:p w14:paraId="63DFAE82" w14:textId="77777777" w:rsidR="0004348D" w:rsidRPr="0004348D" w:rsidRDefault="0004348D" w:rsidP="0004348D">
      <w:pPr>
        <w:spacing w:before="360" w:after="240"/>
        <w:rPr>
          <w:rFonts w:ascii="Arial" w:eastAsia="Calibri" w:hAnsi="Arial" w:cs="Arial"/>
          <w:b/>
          <w:bCs/>
          <w:color w:val="000000"/>
          <w:sz w:val="28"/>
          <w:szCs w:val="28"/>
          <w:u w:val="single"/>
        </w:rPr>
      </w:pPr>
      <w:r w:rsidRPr="0004348D">
        <w:rPr>
          <w:rFonts w:ascii="Arial" w:eastAsia="Calibri" w:hAnsi="Arial" w:cs="Arial"/>
          <w:b/>
          <w:bCs/>
          <w:color w:val="000000"/>
          <w:sz w:val="28"/>
          <w:szCs w:val="28"/>
          <w:u w:val="single"/>
          <w:rtl/>
        </w:rPr>
        <w:t>שו"ע:</w:t>
      </w:r>
    </w:p>
    <w:p w14:paraId="17369CD4" w14:textId="77777777" w:rsidR="0004348D" w:rsidRPr="0004348D" w:rsidRDefault="0004348D" w:rsidP="0004348D">
      <w:pPr>
        <w:spacing w:before="360" w:after="240"/>
        <w:rPr>
          <w:rFonts w:ascii="Calibri" w:eastAsia="Calibri" w:hAnsi="Calibri" w:cs="Arial"/>
          <w:rtl/>
        </w:rPr>
      </w:pPr>
      <w:r w:rsidRPr="0004348D">
        <w:rPr>
          <w:rFonts w:ascii="Calibri" w:eastAsia="Calibri" w:hAnsi="Calibri" w:cs="Arial"/>
          <w:rtl/>
        </w:rPr>
        <w:t>אם לא נאבד המשכון וחלוקים בעיקר הלואה</w:t>
      </w:r>
      <w:r w:rsidRPr="0004348D">
        <w:rPr>
          <w:rFonts w:ascii="Calibri" w:eastAsia="Calibri" w:hAnsi="Calibri" w:cs="Arial"/>
          <w:vertAlign w:val="superscript"/>
          <w:rtl/>
        </w:rPr>
        <w:footnoteReference w:id="5903"/>
      </w:r>
      <w:r w:rsidRPr="0004348D">
        <w:rPr>
          <w:rFonts w:ascii="Calibri" w:eastAsia="Calibri" w:hAnsi="Calibri" w:cs="Arial"/>
          <w:rtl/>
        </w:rPr>
        <w:t xml:space="preserve">, שהמלוה אומר שהלוהו סלע והלוה אומר שלא הלוהו אלא שקל, אם הוא בענין שהיה המלוה יכול להחזיק במשכון ולטעון לקוח הוא בידי או לא היו דברים מעולם או החזרתיו לך, נאמן לומר שהלוהו עליו עד כדי דמיו בשבועה בנקיטת חפץ. </w:t>
      </w:r>
      <w:r w:rsidRPr="0004348D">
        <w:rPr>
          <w:rFonts w:ascii="Calibri" w:eastAsia="Calibri" w:hAnsi="Calibri" w:cs="Arial"/>
          <w:sz w:val="18"/>
          <w:szCs w:val="18"/>
          <w:rtl/>
        </w:rPr>
        <w:t xml:space="preserve">[הגה] ודוקא שתפס חפץ, אבל תפס מעות, נשבע היסת ונפטר </w:t>
      </w:r>
      <w:r w:rsidRPr="0004348D">
        <w:rPr>
          <w:rFonts w:ascii="Calibri" w:eastAsia="Calibri" w:hAnsi="Calibri" w:cs="Arial"/>
          <w:sz w:val="16"/>
          <w:szCs w:val="16"/>
          <w:rtl/>
        </w:rPr>
        <w:t>(טור ובעל התרומות)</w:t>
      </w:r>
      <w:r w:rsidRPr="0004348D">
        <w:rPr>
          <w:rFonts w:ascii="Calibri" w:eastAsia="Calibri" w:hAnsi="Calibri" w:cs="Arial"/>
          <w:sz w:val="18"/>
          <w:szCs w:val="18"/>
          <w:rtl/>
        </w:rPr>
        <w:t>.</w:t>
      </w:r>
      <w:r w:rsidRPr="0004348D">
        <w:rPr>
          <w:rFonts w:ascii="Calibri" w:eastAsia="Calibri" w:hAnsi="Calibri" w:cs="Arial"/>
          <w:rtl/>
        </w:rPr>
        <w:t xml:space="preserve"> ואפילו מת הלוה תחלה</w:t>
      </w:r>
      <w:r w:rsidRPr="0004348D">
        <w:rPr>
          <w:rFonts w:ascii="Calibri" w:eastAsia="Calibri" w:hAnsi="Calibri" w:cs="Arial"/>
          <w:vertAlign w:val="superscript"/>
          <w:rtl/>
        </w:rPr>
        <w:footnoteReference w:id="5904"/>
      </w:r>
      <w:r w:rsidRPr="0004348D">
        <w:rPr>
          <w:rFonts w:ascii="Calibri" w:eastAsia="Calibri" w:hAnsi="Calibri" w:cs="Arial"/>
          <w:rtl/>
        </w:rPr>
        <w:t xml:space="preserve">, ואחר כך מת מלוה, נפרעים </w:t>
      </w:r>
      <w:r w:rsidRPr="0004348D">
        <w:rPr>
          <w:rFonts w:ascii="Calibri" w:eastAsia="Calibri" w:hAnsi="Calibri" w:cs="Arial"/>
          <w:sz w:val="18"/>
          <w:szCs w:val="18"/>
          <w:rtl/>
        </w:rPr>
        <w:t xml:space="preserve">(יתומיו) </w:t>
      </w:r>
      <w:r w:rsidRPr="0004348D">
        <w:rPr>
          <w:rFonts w:ascii="Calibri" w:eastAsia="Calibri" w:hAnsi="Calibri" w:cs="Arial"/>
          <w:rtl/>
        </w:rPr>
        <w:t>ממה שתחת ידם. לפיכך אם המשכון שוה סלע, הרי נשבע ונוטלו. אין המשכון שוה אלא דינר, הרי המלוה נוטל דינר מדמי המשכון, ופורע הלוה עוד דינר שמודה בו ונשבע על השנים שכפר בהם. ואם כפר בכל ואמר 'אין זה משכון אלא פקדון בידי ואין לו אצלי כלום', הרי המלוה נפרע מדמי המשכון. ואם אינו שוה כדי חובו, נוטל ממנו מה ששוה</w:t>
      </w:r>
      <w:r w:rsidRPr="0004348D">
        <w:rPr>
          <w:rFonts w:ascii="Calibri" w:eastAsia="Calibri" w:hAnsi="Calibri" w:cs="Arial"/>
          <w:vertAlign w:val="superscript"/>
          <w:rtl/>
        </w:rPr>
        <w:footnoteReference w:id="5905"/>
      </w:r>
      <w:r w:rsidRPr="0004348D">
        <w:rPr>
          <w:rFonts w:ascii="Calibri" w:eastAsia="Calibri" w:hAnsi="Calibri" w:cs="Arial"/>
          <w:rtl/>
        </w:rPr>
        <w:t xml:space="preserve">, ועל השאר נשבע הלוה היסת, ונפטר. </w:t>
      </w:r>
      <w:r w:rsidRPr="0004348D">
        <w:rPr>
          <w:rFonts w:ascii="Calibri" w:eastAsia="Calibri" w:hAnsi="Calibri" w:cs="Arial"/>
          <w:sz w:val="18"/>
          <w:szCs w:val="18"/>
          <w:rtl/>
        </w:rPr>
        <w:t xml:space="preserve">הגה: ואפילו היה זה הדבר שמחזיק בו דברים שעושין בהן אוכל נפש או בגד אלמנה, לא אמרינן כיון שמחוייב להחזיר אין לו מיגו, אלא כיון שאין עדים והיה יכול לכפור, יכול לטעון עליו כדי דמיו </w:t>
      </w:r>
      <w:r w:rsidRPr="0004348D">
        <w:rPr>
          <w:rFonts w:ascii="Calibri" w:eastAsia="Calibri" w:hAnsi="Calibri" w:cs="Arial"/>
          <w:sz w:val="16"/>
          <w:szCs w:val="16"/>
          <w:rtl/>
        </w:rPr>
        <w:t>(טור)</w:t>
      </w:r>
      <w:r w:rsidRPr="0004348D">
        <w:rPr>
          <w:rFonts w:ascii="Calibri" w:eastAsia="Calibri" w:hAnsi="Calibri" w:cs="Arial"/>
          <w:sz w:val="18"/>
          <w:szCs w:val="18"/>
          <w:rtl/>
        </w:rPr>
        <w:t>. וה"ה במקום שיש תקנה שלא לעכב אחד של חבירו הבא לידו דרך שאלה או פקדון, או מלמד בספרים</w:t>
      </w:r>
      <w:r w:rsidRPr="0004348D">
        <w:rPr>
          <w:rFonts w:ascii="Calibri" w:eastAsia="Calibri" w:hAnsi="Calibri" w:cs="Arial"/>
          <w:sz w:val="18"/>
          <w:szCs w:val="18"/>
          <w:vertAlign w:val="superscript"/>
          <w:rtl/>
        </w:rPr>
        <w:footnoteReference w:id="5906"/>
      </w:r>
      <w:r w:rsidRPr="0004348D">
        <w:rPr>
          <w:rFonts w:ascii="Calibri" w:eastAsia="Calibri" w:hAnsi="Calibri" w:cs="Arial"/>
          <w:sz w:val="18"/>
          <w:szCs w:val="18"/>
          <w:rtl/>
        </w:rPr>
        <w:t xml:space="preserve"> שלומד עם הנערים, אע"פ שמחוייב להחזיר, מ"מ לא אבד מיגו שלו</w:t>
      </w:r>
      <w:r w:rsidRPr="0004348D">
        <w:rPr>
          <w:rFonts w:ascii="Calibri" w:eastAsia="Calibri" w:hAnsi="Calibri" w:cs="Arial"/>
          <w:sz w:val="18"/>
          <w:szCs w:val="18"/>
          <w:vertAlign w:val="superscript"/>
          <w:rtl/>
        </w:rPr>
        <w:footnoteReference w:id="5907"/>
      </w:r>
      <w:r w:rsidRPr="0004348D">
        <w:rPr>
          <w:rFonts w:ascii="Calibri" w:eastAsia="Calibri" w:hAnsi="Calibri" w:cs="Arial"/>
          <w:sz w:val="18"/>
          <w:szCs w:val="18"/>
          <w:rtl/>
        </w:rPr>
        <w:t xml:space="preserve"> ונאמן לטעון עליהם כדי דמיו כל מקום שיש לו מיגו. ואפילו במקום שיש תקנה זו, מ"מ המלמד יוכל לעכב הספר בעד שכירות הלימוד </w:t>
      </w:r>
      <w:r w:rsidRPr="0004348D">
        <w:rPr>
          <w:rFonts w:ascii="Calibri" w:eastAsia="Calibri" w:hAnsi="Calibri" w:cs="Arial"/>
          <w:sz w:val="16"/>
          <w:szCs w:val="16"/>
          <w:rtl/>
        </w:rPr>
        <w:t>(מרדכי ס"פ המקבל)</w:t>
      </w:r>
      <w:r w:rsidRPr="0004348D">
        <w:rPr>
          <w:rFonts w:ascii="Calibri" w:eastAsia="Calibri" w:hAnsi="Calibri" w:cs="Arial"/>
          <w:sz w:val="18"/>
          <w:szCs w:val="18"/>
          <w:rtl/>
        </w:rPr>
        <w:t>. י"א דבכל מקום שיכול לטעון על מה שתחת ידו, יכול לישבע סתם שאינו חייב לו כלום</w:t>
      </w:r>
      <w:r w:rsidRPr="0004348D">
        <w:rPr>
          <w:rFonts w:ascii="Calibri" w:eastAsia="Calibri" w:hAnsi="Calibri" w:cs="Arial"/>
          <w:sz w:val="18"/>
          <w:szCs w:val="18"/>
          <w:vertAlign w:val="superscript"/>
          <w:rtl/>
        </w:rPr>
        <w:footnoteReference w:id="5908"/>
      </w:r>
      <w:r w:rsidRPr="0004348D">
        <w:rPr>
          <w:rFonts w:ascii="Calibri" w:eastAsia="Calibri" w:hAnsi="Calibri" w:cs="Arial"/>
          <w:sz w:val="18"/>
          <w:szCs w:val="18"/>
          <w:rtl/>
        </w:rPr>
        <w:t>, ובלבד שיודע בודאי שזה שכנגדו חייב לו, כגון שיש לו מלוה בידו או פקדון וברור לו שלא נאנס</w:t>
      </w:r>
      <w:r w:rsidRPr="0004348D">
        <w:rPr>
          <w:rFonts w:ascii="Calibri" w:eastAsia="Calibri" w:hAnsi="Calibri" w:cs="Arial"/>
          <w:sz w:val="18"/>
          <w:szCs w:val="18"/>
          <w:vertAlign w:val="superscript"/>
          <w:rtl/>
        </w:rPr>
        <w:footnoteReference w:id="5909"/>
      </w:r>
      <w:r w:rsidRPr="0004348D">
        <w:rPr>
          <w:rFonts w:ascii="Calibri" w:eastAsia="Calibri" w:hAnsi="Calibri" w:cs="Arial"/>
          <w:sz w:val="18"/>
          <w:szCs w:val="18"/>
          <w:rtl/>
        </w:rPr>
        <w:t xml:space="preserve"> משכנגדו ושהוא חייב ליתן לו פקדונו או דמיו וכיוצא בזה </w:t>
      </w:r>
      <w:r w:rsidRPr="0004348D">
        <w:rPr>
          <w:rFonts w:ascii="Calibri" w:eastAsia="Calibri" w:hAnsi="Calibri" w:cs="Arial"/>
          <w:sz w:val="16"/>
          <w:szCs w:val="16"/>
          <w:rtl/>
        </w:rPr>
        <w:t>(נמוק"י פ"ק דמציעא וב"י סי' עה בשם תלמידי רשב"א)</w:t>
      </w:r>
      <w:r w:rsidRPr="0004348D">
        <w:rPr>
          <w:rFonts w:ascii="Calibri" w:eastAsia="Calibri" w:hAnsi="Calibri" w:cs="Arial"/>
          <w:sz w:val="18"/>
          <w:szCs w:val="18"/>
          <w:rtl/>
        </w:rPr>
        <w:t xml:space="preserve">. מיהו לכתחלה אומרים לו לברר דבריו, כמו שיתבאר למטה סעיף כ"ה ולקמן ר"ס ע"ה. והא דיכול לטעון על מה שתחת ידו, היינו שאומר שזה שכנגדו חייב לו ממון, אבל לא יוכל להחזיק במה שתחת ידו עד שחבירו יתן לו פטורים או כיוצא בזה משאר תביעות, כי אין זה שייך לזה </w:t>
      </w:r>
      <w:r w:rsidRPr="0004348D">
        <w:rPr>
          <w:rFonts w:ascii="Calibri" w:eastAsia="Calibri" w:hAnsi="Calibri" w:cs="Arial"/>
          <w:sz w:val="16"/>
          <w:szCs w:val="16"/>
          <w:rtl/>
        </w:rPr>
        <w:t>(מהרי"ו סי' כא וסי' לה)</w:t>
      </w:r>
      <w:r w:rsidRPr="0004348D">
        <w:rPr>
          <w:rFonts w:ascii="Calibri" w:eastAsia="Calibri" w:hAnsi="Calibri" w:cs="Arial"/>
          <w:sz w:val="18"/>
          <w:szCs w:val="18"/>
          <w:rtl/>
        </w:rPr>
        <w:t>. וכל מי שיוכל לטעון על מה שתחת ידו, אין לו זכות בו רק משעת העמדה בדין</w:t>
      </w:r>
      <w:r w:rsidRPr="0004348D">
        <w:rPr>
          <w:rFonts w:ascii="Calibri" w:eastAsia="Calibri" w:hAnsi="Calibri" w:cs="Arial"/>
          <w:sz w:val="18"/>
          <w:szCs w:val="18"/>
          <w:vertAlign w:val="superscript"/>
          <w:rtl/>
        </w:rPr>
        <w:footnoteReference w:id="5910"/>
      </w:r>
      <w:r w:rsidRPr="0004348D">
        <w:rPr>
          <w:rFonts w:ascii="Calibri" w:eastAsia="Calibri" w:hAnsi="Calibri" w:cs="Arial"/>
          <w:sz w:val="18"/>
          <w:szCs w:val="18"/>
          <w:rtl/>
        </w:rPr>
        <w:t xml:space="preserve"> ואילך, ולא משעת תפיסה, ולכן אם נתייקר קודם העמדה בדין, ברשות מרא קמא אייקר </w:t>
      </w:r>
      <w:r w:rsidRPr="0004348D">
        <w:rPr>
          <w:rFonts w:ascii="Calibri" w:eastAsia="Calibri" w:hAnsi="Calibri" w:cs="Arial"/>
          <w:sz w:val="16"/>
          <w:szCs w:val="16"/>
          <w:rtl/>
        </w:rPr>
        <w:t>(ריב"ש סי' שצו)</w:t>
      </w:r>
      <w:r w:rsidRPr="0004348D">
        <w:rPr>
          <w:rFonts w:ascii="Calibri" w:eastAsia="Calibri" w:hAnsi="Calibri" w:cs="Arial"/>
          <w:sz w:val="18"/>
          <w:szCs w:val="18"/>
          <w:rtl/>
        </w:rPr>
        <w:t>.</w:t>
      </w:r>
      <w:r w:rsidRPr="0004348D">
        <w:rPr>
          <w:rFonts w:ascii="Calibri" w:eastAsia="Calibri" w:hAnsi="Calibri" w:cs="Arial"/>
          <w:rtl/>
        </w:rPr>
        <w:t xml:space="preserve"> </w:t>
      </w:r>
    </w:p>
    <w:p w14:paraId="252B1E33" w14:textId="77777777" w:rsidR="0004348D" w:rsidRPr="0004348D" w:rsidRDefault="0004348D" w:rsidP="0004348D">
      <w:pPr>
        <w:spacing w:before="360" w:after="240"/>
        <w:rPr>
          <w:rFonts w:ascii="Calibri" w:eastAsia="Calibri" w:hAnsi="Calibri" w:cs="Arial"/>
          <w:rtl/>
        </w:rPr>
      </w:pPr>
    </w:p>
    <w:p w14:paraId="02325250" w14:textId="77777777" w:rsidR="0004348D" w:rsidRPr="0004348D" w:rsidRDefault="0004348D" w:rsidP="0004348D">
      <w:pPr>
        <w:keepNext/>
        <w:keepLines/>
        <w:spacing w:before="360" w:after="240"/>
        <w:outlineLvl w:val="1"/>
        <w:rPr>
          <w:rFonts w:ascii="Cambria" w:eastAsia="Times New Roman" w:hAnsi="Cambria" w:cs="Arial"/>
          <w:bCs/>
          <w:color w:val="548DD4" w:themeColor="text2" w:themeTint="99"/>
          <w:sz w:val="26"/>
          <w:szCs w:val="26"/>
          <w:rtl/>
        </w:rPr>
      </w:pPr>
      <w:bookmarkStart w:id="853" w:name="_Toc24884235"/>
      <w:r w:rsidRPr="0004348D">
        <w:rPr>
          <w:rFonts w:ascii="Cambria" w:eastAsia="Times New Roman" w:hAnsi="Cambria" w:cs="Arial"/>
          <w:bCs/>
          <w:color w:val="548DD4" w:themeColor="text2" w:themeTint="99"/>
          <w:sz w:val="26"/>
          <w:szCs w:val="26"/>
          <w:rtl/>
        </w:rPr>
        <w:t>סעיף יח: מלוה המחזיק במשכון באופן שאינו יכול לטעון לקוח הוא</w:t>
      </w:r>
      <w:r w:rsidRPr="0004348D">
        <w:rPr>
          <w:rFonts w:ascii="Cambria" w:eastAsia="Times New Roman" w:hAnsi="Cambria" w:cs="Arial"/>
          <w:bCs/>
          <w:color w:val="548DD4" w:themeColor="text2" w:themeTint="99"/>
          <w:sz w:val="18"/>
          <w:szCs w:val="18"/>
          <w:rtl/>
        </w:rPr>
        <w:t xml:space="preserve"> (וכדו')</w:t>
      </w:r>
      <w:r w:rsidRPr="0004348D">
        <w:rPr>
          <w:rFonts w:ascii="Cambria" w:eastAsia="Times New Roman" w:hAnsi="Cambria" w:cs="Arial"/>
          <w:bCs/>
          <w:color w:val="548DD4" w:themeColor="text2" w:themeTint="99"/>
          <w:sz w:val="26"/>
          <w:szCs w:val="26"/>
          <w:rtl/>
        </w:rPr>
        <w:t xml:space="preserve"> – שחלוק עם הלוה.</w:t>
      </w:r>
      <w:bookmarkEnd w:id="853"/>
    </w:p>
    <w:p w14:paraId="5F8C7AFC" w14:textId="77777777" w:rsidR="0004348D" w:rsidRPr="0004348D" w:rsidRDefault="0004348D" w:rsidP="0004348D">
      <w:pPr>
        <w:spacing w:before="360" w:after="240"/>
        <w:rPr>
          <w:rFonts w:ascii="Calibri" w:eastAsia="Calibri" w:hAnsi="Calibri" w:cs="Arial"/>
          <w:rtl/>
        </w:rPr>
      </w:pPr>
      <w:r w:rsidRPr="0004348D">
        <w:rPr>
          <w:rFonts w:ascii="Calibri" w:eastAsia="Calibri" w:hAnsi="Calibri" w:cs="Arial"/>
          <w:b/>
          <w:bCs/>
          <w:rtl/>
        </w:rPr>
        <w:t xml:space="preserve">בבא מציעא </w:t>
      </w:r>
      <w:r w:rsidRPr="0004348D">
        <w:rPr>
          <w:rFonts w:ascii="Calibri" w:eastAsia="Calibri" w:hAnsi="Calibri" w:cs="Arial"/>
          <w:b/>
          <w:bCs/>
          <w:sz w:val="16"/>
          <w:szCs w:val="16"/>
          <w:rtl/>
        </w:rPr>
        <w:t xml:space="preserve">(ס"פ המקבל) </w:t>
      </w:r>
      <w:r w:rsidRPr="0004348D">
        <w:rPr>
          <w:rFonts w:ascii="Calibri" w:eastAsia="Calibri" w:hAnsi="Calibri" w:cs="Arial"/>
          <w:b/>
          <w:bCs/>
          <w:rtl/>
        </w:rPr>
        <w:t>קטז</w:t>
      </w:r>
      <w:r w:rsidRPr="0004348D">
        <w:rPr>
          <w:rFonts w:ascii="Calibri" w:eastAsia="Calibri" w:hAnsi="Calibri" w:cs="Arial"/>
          <w:b/>
          <w:bCs/>
          <w:vertAlign w:val="superscript"/>
          <w:rtl/>
        </w:rPr>
        <w:footnoteReference w:id="5911"/>
      </w:r>
      <w:r w:rsidRPr="0004348D">
        <w:rPr>
          <w:rFonts w:ascii="Calibri" w:eastAsia="Calibri" w:hAnsi="Calibri" w:cs="Arial"/>
          <w:b/>
          <w:bCs/>
          <w:rtl/>
        </w:rPr>
        <w:t xml:space="preserve"> ע"א:</w:t>
      </w:r>
      <w:r w:rsidRPr="0004348D">
        <w:rPr>
          <w:rFonts w:ascii="Calibri" w:eastAsia="Calibri" w:hAnsi="Calibri" w:cs="Arial"/>
          <w:rtl/>
        </w:rPr>
        <w:t xml:space="preserve"> ההוא גברא דחבל סכינא דאשכבתא</w:t>
      </w:r>
      <w:r w:rsidRPr="0004348D">
        <w:rPr>
          <w:rFonts w:ascii="Calibri" w:eastAsia="Calibri" w:hAnsi="Calibri" w:cs="Arial"/>
          <w:vertAlign w:val="superscript"/>
          <w:rtl/>
        </w:rPr>
        <w:footnoteReference w:id="5912"/>
      </w:r>
      <w:r w:rsidRPr="0004348D">
        <w:rPr>
          <w:rFonts w:ascii="Calibri" w:eastAsia="Calibri" w:hAnsi="Calibri" w:cs="Arial"/>
          <w:rtl/>
        </w:rPr>
        <w:t xml:space="preserve"> מחבריה. אתא לקמיה דאביי, </w:t>
      </w:r>
      <w:r w:rsidRPr="0004348D">
        <w:rPr>
          <w:rFonts w:ascii="Calibri" w:eastAsia="Calibri" w:hAnsi="Calibri" w:cs="Arial"/>
          <w:u w:val="single"/>
          <w:rtl/>
        </w:rPr>
        <w:t>אמר ליה</w:t>
      </w:r>
      <w:r w:rsidRPr="0004348D">
        <w:rPr>
          <w:rFonts w:ascii="Calibri" w:eastAsia="Calibri" w:hAnsi="Calibri" w:cs="Arial"/>
          <w:rtl/>
        </w:rPr>
        <w:t>: זיל אהדריה, דהוי ליה כלי שעושים בו אוכל נפש, ותא קום בדינא</w:t>
      </w:r>
      <w:r w:rsidRPr="0004348D">
        <w:rPr>
          <w:rFonts w:ascii="Calibri" w:eastAsia="Calibri" w:hAnsi="Calibri" w:cs="Arial"/>
          <w:vertAlign w:val="superscript"/>
          <w:rtl/>
        </w:rPr>
        <w:footnoteReference w:id="5913"/>
      </w:r>
      <w:r w:rsidRPr="0004348D">
        <w:rPr>
          <w:rFonts w:ascii="Calibri" w:eastAsia="Calibri" w:hAnsi="Calibri" w:cs="Arial"/>
          <w:rtl/>
        </w:rPr>
        <w:t xml:space="preserve"> עלה. </w:t>
      </w:r>
      <w:r w:rsidRPr="0004348D">
        <w:rPr>
          <w:rFonts w:ascii="Calibri" w:eastAsia="Calibri" w:hAnsi="Calibri" w:cs="Arial"/>
          <w:u w:val="single"/>
          <w:rtl/>
        </w:rPr>
        <w:t>רבא אמר</w:t>
      </w:r>
      <w:r w:rsidRPr="0004348D">
        <w:rPr>
          <w:rFonts w:ascii="Calibri" w:eastAsia="Calibri" w:hAnsi="Calibri" w:cs="Arial"/>
          <w:vertAlign w:val="superscript"/>
          <w:rtl/>
        </w:rPr>
        <w:footnoteReference w:id="5914"/>
      </w:r>
      <w:r w:rsidRPr="0004348D">
        <w:rPr>
          <w:rFonts w:ascii="Calibri" w:eastAsia="Calibri" w:hAnsi="Calibri" w:cs="Arial"/>
          <w:rtl/>
        </w:rPr>
        <w:t>: לא צריך למיקם בדינא עלה, ויכול לטעון עד כדי דמיהן. ואביי לית ליה ההיא סברא? מאי שנא מהנהו עיזי דאכלי חושלא</w:t>
      </w:r>
      <w:r w:rsidRPr="0004348D">
        <w:rPr>
          <w:rFonts w:ascii="Calibri" w:eastAsia="Calibri" w:hAnsi="Calibri" w:cs="Arial"/>
          <w:vertAlign w:val="superscript"/>
          <w:rtl/>
        </w:rPr>
        <w:footnoteReference w:id="5915"/>
      </w:r>
      <w:r w:rsidRPr="0004348D">
        <w:rPr>
          <w:rFonts w:ascii="Calibri" w:eastAsia="Calibri" w:hAnsi="Calibri" w:cs="Arial"/>
          <w:rtl/>
        </w:rPr>
        <w:t xml:space="preserve"> בנהרדעא </w:t>
      </w:r>
      <w:r w:rsidRPr="0004348D">
        <w:rPr>
          <w:rFonts w:ascii="Calibri" w:eastAsia="Calibri" w:hAnsi="Calibri" w:cs="Arial"/>
          <w:sz w:val="16"/>
          <w:szCs w:val="16"/>
          <w:rtl/>
        </w:rPr>
        <w:t>(ב"ב לו.)</w:t>
      </w:r>
      <w:r w:rsidRPr="0004348D">
        <w:rPr>
          <w:rFonts w:ascii="Calibri" w:eastAsia="Calibri" w:hAnsi="Calibri" w:cs="Arial"/>
          <w:rtl/>
        </w:rPr>
        <w:t>, ואתא מרא דחושלא ותפס להו וקא טעין טובא, ואמר אבוה דשמואל: יכול לטעון עד כדי דמיהן. התם לאו מידי דעבדא לאושולי ולאוגורי הוא</w:t>
      </w:r>
      <w:r w:rsidRPr="0004348D">
        <w:rPr>
          <w:rFonts w:ascii="Calibri" w:eastAsia="Calibri" w:hAnsi="Calibri" w:cs="Arial"/>
          <w:vertAlign w:val="superscript"/>
          <w:rtl/>
        </w:rPr>
        <w:footnoteReference w:id="5916"/>
      </w:r>
      <w:r w:rsidRPr="0004348D">
        <w:rPr>
          <w:rFonts w:ascii="Calibri" w:eastAsia="Calibri" w:hAnsi="Calibri" w:cs="Arial"/>
          <w:rtl/>
        </w:rPr>
        <w:t>, הכא - מידי דעביד לאושולי ולאוגורי הוא. דשלח רב הונא בר אבין: דברים העשויין להשאיל ולהשכיר, ואמר לקוחין הן בידי - אינו נאמן. ורבא לית ליה האי סברא? והא רבא אפיק זוגא דסרבלא</w:t>
      </w:r>
      <w:r w:rsidRPr="0004348D">
        <w:rPr>
          <w:rFonts w:ascii="Calibri" w:eastAsia="Calibri" w:hAnsi="Calibri" w:cs="Arial"/>
          <w:vertAlign w:val="superscript"/>
          <w:rtl/>
        </w:rPr>
        <w:footnoteReference w:id="5917"/>
      </w:r>
      <w:r w:rsidRPr="0004348D">
        <w:rPr>
          <w:rFonts w:ascii="Calibri" w:eastAsia="Calibri" w:hAnsi="Calibri" w:cs="Arial"/>
          <w:rtl/>
        </w:rPr>
        <w:t xml:space="preserve"> וספרא דאגדתא מיתמי</w:t>
      </w:r>
      <w:r w:rsidRPr="0004348D">
        <w:rPr>
          <w:rFonts w:ascii="Calibri" w:eastAsia="Calibri" w:hAnsi="Calibri" w:cs="Arial"/>
          <w:vertAlign w:val="superscript"/>
          <w:rtl/>
        </w:rPr>
        <w:footnoteReference w:id="5918"/>
      </w:r>
      <w:r w:rsidRPr="0004348D">
        <w:rPr>
          <w:rFonts w:ascii="Calibri" w:eastAsia="Calibri" w:hAnsi="Calibri" w:cs="Arial"/>
          <w:rtl/>
        </w:rPr>
        <w:t xml:space="preserve"> בדברים העשויין להשאיל ולהשכיר! אמר לך רבא: האי</w:t>
      </w:r>
      <w:r w:rsidRPr="0004348D">
        <w:rPr>
          <w:rFonts w:ascii="Calibri" w:eastAsia="Calibri" w:hAnsi="Calibri" w:cs="Arial"/>
          <w:vertAlign w:val="superscript"/>
          <w:rtl/>
        </w:rPr>
        <w:footnoteReference w:id="5919"/>
      </w:r>
      <w:r w:rsidRPr="0004348D">
        <w:rPr>
          <w:rFonts w:ascii="Calibri" w:eastAsia="Calibri" w:hAnsi="Calibri" w:cs="Arial"/>
          <w:rtl/>
        </w:rPr>
        <w:t xml:space="preserve"> נמי, כיון דמיפגמא - קפדי אינשי ולא מושלי. </w:t>
      </w:r>
      <w:r w:rsidRPr="0004348D">
        <w:rPr>
          <w:rFonts w:ascii="Calibri" w:eastAsia="Calibri" w:hAnsi="Calibri" w:cs="Arial"/>
          <w:sz w:val="16"/>
          <w:szCs w:val="16"/>
          <w:rtl/>
        </w:rPr>
        <w:t>(ומכאן למד הרמב"ם מש"כ בפ"ח מטוען ונטען (ה"י)- וכלי שהפסדו מרובה משכרו ובני אדם מקפידים עליו שלא ישאילוהו הרי הוא בחזקת שאינו עשוי להשאיל ולהשכיר כגון סכין של שחיטה עכ"ל, ב"י)</w:t>
      </w:r>
    </w:p>
    <w:p w14:paraId="2B571108" w14:textId="77777777" w:rsidR="0004348D" w:rsidRPr="0004348D" w:rsidRDefault="0004348D" w:rsidP="0004348D">
      <w:pPr>
        <w:spacing w:before="360" w:after="240"/>
        <w:rPr>
          <w:rFonts w:ascii="Calibri" w:eastAsia="Calibri" w:hAnsi="Calibri" w:cs="Arial"/>
          <w:rtl/>
        </w:rPr>
      </w:pPr>
      <w:r w:rsidRPr="0004348D">
        <w:rPr>
          <w:rFonts w:ascii="Calibri" w:eastAsia="Calibri" w:hAnsi="Calibri" w:cs="Arial"/>
          <w:u w:val="single"/>
          <w:rtl/>
        </w:rPr>
        <w:t xml:space="preserve">מלוה המחזיק במשכון באופן </w:t>
      </w:r>
      <w:r w:rsidRPr="0004348D">
        <w:rPr>
          <w:rFonts w:ascii="Calibri" w:eastAsia="Calibri" w:hAnsi="Calibri" w:cs="Arial"/>
          <w:b/>
          <w:bCs/>
          <w:u w:val="single"/>
          <w:rtl/>
        </w:rPr>
        <w:t>שאינו</w:t>
      </w:r>
      <w:r w:rsidRPr="0004348D">
        <w:rPr>
          <w:rFonts w:ascii="Calibri" w:eastAsia="Calibri" w:hAnsi="Calibri" w:cs="Arial"/>
          <w:u w:val="single"/>
          <w:rtl/>
        </w:rPr>
        <w:t xml:space="preserve"> יכול לטעון לקוח הוא בידי </w:t>
      </w:r>
      <w:r w:rsidRPr="0004348D">
        <w:rPr>
          <w:rFonts w:ascii="Calibri" w:eastAsia="Calibri" w:hAnsi="Calibri" w:cs="Arial"/>
          <w:sz w:val="16"/>
          <w:szCs w:val="16"/>
          <w:u w:val="single"/>
          <w:rtl/>
        </w:rPr>
        <w:t>(וכדו')</w:t>
      </w:r>
      <w:r w:rsidRPr="0004348D">
        <w:rPr>
          <w:rFonts w:ascii="Calibri" w:eastAsia="Calibri" w:hAnsi="Calibri" w:cs="Arial"/>
          <w:u w:val="single"/>
          <w:rtl/>
        </w:rPr>
        <w:t xml:space="preserve"> - שחלוק עם הלוה על עיקר ההולאה:</w:t>
      </w:r>
    </w:p>
    <w:p w14:paraId="46353793" w14:textId="77777777" w:rsidR="0004348D" w:rsidRPr="0004348D" w:rsidRDefault="0004348D" w:rsidP="0004348D">
      <w:pPr>
        <w:numPr>
          <w:ilvl w:val="0"/>
          <w:numId w:val="356"/>
        </w:numPr>
        <w:spacing w:before="360" w:after="240"/>
        <w:contextualSpacing/>
        <w:rPr>
          <w:rFonts w:ascii="Calibri" w:eastAsia="Calibri" w:hAnsi="Calibri" w:cs="Arial"/>
        </w:rPr>
      </w:pPr>
      <w:r w:rsidRPr="0004348D">
        <w:rPr>
          <w:rFonts w:ascii="Calibri" w:eastAsia="Calibri" w:hAnsi="Calibri" w:cs="Arial"/>
          <w:rtl/>
        </w:rPr>
        <w:t>טור- ואם הוא בענין שאינו יכול לטעון לקוח הוא בידי או להד"ם או החזרתיו לך - נשבע הלוה שלא הלוהו אלא שקל ופורע לו ונוטל משכונו. כיצד, דברים שאינן עשויים להשאיל ולהשכיר ואין עדים לומר היאך באו לידו</w:t>
      </w:r>
      <w:r w:rsidRPr="0004348D">
        <w:rPr>
          <w:rFonts w:ascii="Calibri" w:eastAsia="Calibri" w:hAnsi="Calibri" w:cs="Arial"/>
          <w:vertAlign w:val="superscript"/>
          <w:rtl/>
        </w:rPr>
        <w:footnoteReference w:id="5920"/>
      </w:r>
      <w:r w:rsidRPr="0004348D">
        <w:rPr>
          <w:rFonts w:ascii="Calibri" w:eastAsia="Calibri" w:hAnsi="Calibri" w:cs="Arial"/>
          <w:rtl/>
        </w:rPr>
        <w:t xml:space="preserve">, </w:t>
      </w:r>
      <w:r w:rsidRPr="0004348D">
        <w:rPr>
          <w:rFonts w:ascii="Calibri" w:eastAsia="Calibri" w:hAnsi="Calibri" w:cs="Arial"/>
          <w:vertAlign w:val="superscript"/>
          <w:rtl/>
        </w:rPr>
        <w:footnoteReference w:id="5921"/>
      </w:r>
      <w:r w:rsidRPr="0004348D">
        <w:rPr>
          <w:rFonts w:ascii="Calibri" w:eastAsia="Calibri" w:hAnsi="Calibri" w:cs="Arial"/>
          <w:rtl/>
        </w:rPr>
        <w:t>אפילו ראו עדים עתה בידו - נאמן לומר לקוח הוא בידו</w:t>
      </w:r>
      <w:r w:rsidRPr="0004348D">
        <w:rPr>
          <w:rFonts w:ascii="Calibri" w:eastAsia="Calibri" w:hAnsi="Calibri" w:cs="Arial"/>
          <w:vertAlign w:val="superscript"/>
          <w:rtl/>
        </w:rPr>
        <w:footnoteReference w:id="5922"/>
      </w:r>
      <w:r w:rsidRPr="0004348D">
        <w:rPr>
          <w:rFonts w:ascii="Calibri" w:eastAsia="Calibri" w:hAnsi="Calibri" w:cs="Arial"/>
          <w:rtl/>
        </w:rPr>
        <w:t>. וכן אפילו דברים העשויין להשאיל ולהשכיר, או שאין עשויין להשאיל ולהשכיר אלא שיש עדים שבאו לידו בתורת שאלה, אם אין עדים שראו עתה בידו - יכול לומר החזרתיו לך, או להד"מ אם אין עדים שמסרם לידו. אבל דברים העשויין להשאיל ולהשכיר ויש עדים שראוהו עתה בידו - אינו יכול לומר לקוח הוא בידי או החזרתיו לך</w:t>
      </w:r>
      <w:r w:rsidRPr="0004348D">
        <w:rPr>
          <w:rFonts w:ascii="Calibri" w:eastAsia="Calibri" w:hAnsi="Calibri" w:cs="Arial"/>
          <w:vertAlign w:val="superscript"/>
          <w:rtl/>
        </w:rPr>
        <w:footnoteReference w:id="5923"/>
      </w:r>
      <w:r w:rsidRPr="0004348D">
        <w:rPr>
          <w:rFonts w:ascii="Calibri" w:eastAsia="Calibri" w:hAnsi="Calibri" w:cs="Arial"/>
          <w:rtl/>
        </w:rPr>
        <w:t xml:space="preserve">. </w:t>
      </w:r>
      <w:r w:rsidRPr="0004348D">
        <w:rPr>
          <w:rFonts w:ascii="Calibri" w:eastAsia="Calibri" w:hAnsi="Calibri" w:cs="Arial"/>
          <w:color w:val="E36C0A" w:themeColor="accent6" w:themeShade="BF"/>
          <w:rtl/>
        </w:rPr>
        <w:t>(וכ"פ בשו"ע)</w:t>
      </w:r>
    </w:p>
    <w:p w14:paraId="02A1C9D0" w14:textId="77777777" w:rsidR="0004348D" w:rsidRPr="0004348D" w:rsidRDefault="0004348D" w:rsidP="0004348D">
      <w:pPr>
        <w:spacing w:before="360" w:after="240"/>
        <w:rPr>
          <w:rFonts w:ascii="Calibri" w:eastAsia="Calibri" w:hAnsi="Calibri" w:cs="Arial"/>
          <w:u w:val="single"/>
          <w:rtl/>
        </w:rPr>
      </w:pPr>
      <w:r w:rsidRPr="0004348D">
        <w:rPr>
          <w:rFonts w:ascii="Calibri" w:eastAsia="Calibri" w:hAnsi="Calibri" w:cs="Arial"/>
          <w:u w:val="single"/>
          <w:rtl/>
        </w:rPr>
        <w:t>לוה שכתב זמן מה לאחר ההלואה בשטר ובקנין משכון למלוה:</w:t>
      </w:r>
    </w:p>
    <w:p w14:paraId="13C7E803" w14:textId="77777777" w:rsidR="0004348D" w:rsidRPr="0004348D" w:rsidRDefault="0004348D" w:rsidP="0004348D">
      <w:pPr>
        <w:numPr>
          <w:ilvl w:val="0"/>
          <w:numId w:val="356"/>
        </w:numPr>
        <w:spacing w:before="360" w:after="240"/>
        <w:contextualSpacing/>
        <w:rPr>
          <w:rFonts w:ascii="Calibri" w:eastAsia="Calibri" w:hAnsi="Calibri" w:cs="Arial"/>
        </w:rPr>
      </w:pPr>
      <w:r w:rsidRPr="0004348D">
        <w:rPr>
          <w:rFonts w:ascii="Calibri" w:eastAsia="Calibri" w:hAnsi="Calibri" w:cs="Arial"/>
          <w:rtl/>
        </w:rPr>
        <w:t xml:space="preserve">בעל התרומות </w:t>
      </w:r>
      <w:r w:rsidRPr="0004348D">
        <w:rPr>
          <w:rFonts w:ascii="Calibri" w:eastAsia="Calibri" w:hAnsi="Calibri" w:cs="Arial"/>
          <w:sz w:val="16"/>
          <w:szCs w:val="16"/>
          <w:rtl/>
        </w:rPr>
        <w:t>(שער סד ח"ג סי' א, הביאו הב"י כאן, והטור בסי' ס [סט"ז])</w:t>
      </w:r>
      <w:r w:rsidRPr="0004348D">
        <w:rPr>
          <w:rFonts w:ascii="Calibri" w:eastAsia="Calibri" w:hAnsi="Calibri" w:cs="Arial"/>
          <w:rtl/>
        </w:rPr>
        <w:t xml:space="preserve">- היכא שלוה ראובן משמעון מנה ולאחר זמן כתב לו בשטר ובקנין 'מחמת שלויתי מפלוני כך ונתחייבתי לו בהן ועכשיו משכנתי לו בהן קרקע פלוני או חפץ פלוני' - מסתברא שאילו לא היה כאן לא שטר ולא קנין באמת היה דינו שכשם שאין קרקע נקנה במלוה כדאיתא בקידושין </w:t>
      </w:r>
      <w:r w:rsidRPr="0004348D">
        <w:rPr>
          <w:rFonts w:ascii="Calibri" w:eastAsia="Calibri" w:hAnsi="Calibri" w:cs="Arial"/>
          <w:sz w:val="16"/>
          <w:szCs w:val="16"/>
          <w:rtl/>
        </w:rPr>
        <w:t xml:space="preserve">(מז.) </w:t>
      </w:r>
      <w:r w:rsidRPr="0004348D">
        <w:rPr>
          <w:rFonts w:ascii="Calibri" w:eastAsia="Calibri" w:hAnsi="Calibri" w:cs="Arial"/>
          <w:rtl/>
        </w:rPr>
        <w:t>כך אין המשכונא נקנית במלוה, דמשכונא שכירות היא ואינה נקנית במלוה, אבל עכשיו בדין זה שהיה בקנין ובשטר יש לנו לומר דל זוזי מהכא ליקני בקנין ובשטר.</w:t>
      </w:r>
    </w:p>
    <w:p w14:paraId="771C7E73" w14:textId="77777777" w:rsidR="0004348D" w:rsidRPr="0004348D" w:rsidRDefault="0004348D" w:rsidP="0004348D">
      <w:pPr>
        <w:spacing w:before="360" w:after="240"/>
        <w:rPr>
          <w:rFonts w:ascii="Calibri" w:eastAsia="Calibri" w:hAnsi="Calibri" w:cs="Arial"/>
          <w:u w:val="single"/>
          <w:rtl/>
        </w:rPr>
      </w:pPr>
      <w:r w:rsidRPr="0004348D">
        <w:rPr>
          <w:rFonts w:ascii="Calibri" w:eastAsia="Calibri" w:hAnsi="Calibri" w:cs="Arial"/>
          <w:u w:val="single"/>
          <w:rtl/>
        </w:rPr>
        <w:t>נתן לחברו את חנותו כמשכון וכתב שאם לא יפרענו לזמן פלוני יהא רשאי למכרו ולהפרע – האם יכול לעכבו מלמכור:</w:t>
      </w:r>
    </w:p>
    <w:p w14:paraId="1B2BFDF0" w14:textId="77777777" w:rsidR="0004348D" w:rsidRPr="0004348D" w:rsidRDefault="0004348D" w:rsidP="0004348D">
      <w:pPr>
        <w:numPr>
          <w:ilvl w:val="0"/>
          <w:numId w:val="356"/>
        </w:numPr>
        <w:spacing w:before="360" w:after="240"/>
        <w:contextualSpacing/>
        <w:rPr>
          <w:rFonts w:ascii="Calibri" w:eastAsia="Calibri" w:hAnsi="Calibri" w:cs="Arial"/>
        </w:rPr>
      </w:pPr>
      <w:r w:rsidRPr="0004348D">
        <w:rPr>
          <w:rFonts w:ascii="Calibri" w:eastAsia="Calibri" w:hAnsi="Calibri" w:cs="Arial"/>
          <w:rtl/>
        </w:rPr>
        <w:t xml:space="preserve">רשב"א </w:t>
      </w:r>
      <w:r w:rsidRPr="0004348D">
        <w:rPr>
          <w:rFonts w:ascii="Calibri" w:eastAsia="Calibri" w:hAnsi="Calibri" w:cs="Arial"/>
          <w:sz w:val="16"/>
          <w:szCs w:val="16"/>
          <w:rtl/>
        </w:rPr>
        <w:t>(ח"ג סי' נג, והובאה בקיצור בסי' אלף י</w:t>
      </w:r>
      <w:r w:rsidRPr="0004348D">
        <w:rPr>
          <w:rFonts w:ascii="Calibri" w:eastAsia="Calibri" w:hAnsi="Calibri" w:cs="Arial"/>
          <w:sz w:val="14"/>
          <w:szCs w:val="14"/>
          <w:rtl/>
        </w:rPr>
        <w:t xml:space="preserve"> [והביא הב"י את התשו' המקוצרת]</w:t>
      </w:r>
      <w:r w:rsidRPr="0004348D">
        <w:rPr>
          <w:rFonts w:ascii="Calibri" w:eastAsia="Calibri" w:hAnsi="Calibri" w:cs="Arial"/>
          <w:sz w:val="16"/>
          <w:szCs w:val="16"/>
          <w:rtl/>
        </w:rPr>
        <w:t>)</w:t>
      </w:r>
      <w:r w:rsidRPr="0004348D">
        <w:rPr>
          <w:rFonts w:ascii="Calibri" w:eastAsia="Calibri" w:hAnsi="Calibri" w:cs="Arial"/>
          <w:rtl/>
        </w:rPr>
        <w:t>- שאלת, ראובן לוה מנה משמעון ומשכן אצלו בו חנות אחד בנכיתא וכתב לו בשטר המשכונה שאם שמא לא יפרע לו הממון הנזכר לזמן פלוני תהא בידו רשות שלימה וכח יפה בקנין גמור מעכשיו למכור החנות הנזכר בפני ב"ד שיברור לו ויפרע מדמי החנות הנזכר משלם ויהא המכר שיעשה בב"ד קיים מעכשיו ולעולם ויזכה בחנות כל מי שיקח אותו ממנו. ועכשיו שמעון רוצה למכור החנות בכח השטר הנזכר כיון שאין ראובן רוצה לפרעו. הודיעני אם יהיה המכר שיעשה שמעון לפני שלשה בני אדם שיברור הוא כפי כח השטר קיים או לא ויצטרך להוציא מעותיו בכח ב"ד הקבוע בעיר. תשובה, לא נתבאר מתוך השאלה עיקר השאלה על איזה דבר הוא אם על ברירת הב"ד או על המכר ובשמיחה ראובן קודם שמכר או על עיקר התנאי שבכתב אם הוא קיים או לא שיהא ממכרו של שמעון קיים אע"פ שלא מיחה ראובן ביד שמעון קודם מכירה, ועל כן איצטריך להשיב על כל פרט ופרט מאלו כאשר יראוני מן השמים. ואומר אני שהתנאי שבשטר קיים שכל תנאי שבממון תנאו קיים. ואע"פ בלשון אם ואמר לו אם לא אפרע מכאן ועד זמן פלוני תהא רשות בידך למכור וקיימא לן כל דאי לא קני משום דכל דאי אסמכתא היא ואסמכתא לא קניא, אפילו הכי אין בנדון שלפנינו אסמכתא כיון שיש בו מעכשיו. וכדתנן בפרק איזהו נשך הלוהו על שדהו ואמר לו אם לא נתת לי מכאן ועד ג' שנים הרי היא שלי והרי היא שלו, ואוקימנא מתניתין כר' יוסי דאמר אסמכתא קניא ואי בעית אימא מתניתין דאמר ליה קני מעכשיו. ולפיכך אם לא פרעו ראובן וקדם שמעון ומכר את החנות הרי הוא מכור. ומכל מקו' צריך הוא למכור בפני ב"ד דאיכא חד מיניהו דגמיר וסביר דאי לא אין זה קרוי ב"ד אלא שלא בב"ד קרי ליה בגמרא. דתניא אלמנה מוכרת שלא בב"ד, ואיתמר עלה אמר רב יוסף בר מניומי אמר רב אינה צריכה בית דין מומחין אבל צריכה ב"ד הדיוטות, כלומר ב"ד שאין ביניהם אפי' חד דגמיר וסביר אלא שהם ב"ד בקיאין בשומא. וזה שאמר לו שימכור בב"ד שיברור, ב"ד מיהא בעי. ואם בירר שמעון לעצמו שלשה אנשים הדיוטות אין אלו ב"ד. ואם עדיין לא מכר שמעון החנות ובא ראובן ומיחה בידו שלא למכור מסתברא ששומעין לו שהרי שמעון לא מכרו לראובן אלא שנתן לו רשות למכור ועשאו שליחו למכור להיות ממכרו מכר אבל עכשיו שהוא מיחה בידו הרי בטל שליחותו והרשות בידו. ואפי' מכרו שמעון לאחר שמיחה ר' בידו מכרו בטל שכבר נתבטל שליחותו.</w:t>
      </w:r>
    </w:p>
    <w:p w14:paraId="01B992EB" w14:textId="77777777" w:rsidR="0004348D" w:rsidRPr="0004348D" w:rsidRDefault="0004348D" w:rsidP="0004348D">
      <w:pPr>
        <w:spacing w:before="360" w:after="240"/>
        <w:rPr>
          <w:rFonts w:ascii="Calibri" w:eastAsia="Calibri" w:hAnsi="Calibri" w:cs="Arial"/>
          <w:u w:val="single"/>
        </w:rPr>
      </w:pPr>
      <w:r w:rsidRPr="0004348D">
        <w:rPr>
          <w:rFonts w:ascii="Calibri" w:eastAsia="Calibri" w:hAnsi="Calibri" w:cs="Arial"/>
          <w:u w:val="single"/>
          <w:rtl/>
        </w:rPr>
        <w:t>הטוען על חבירו שמשכן אצלו שני כלים - והלה אומר לא משכנת אלא אחד:</w:t>
      </w:r>
    </w:p>
    <w:p w14:paraId="4745F3B9" w14:textId="77777777" w:rsidR="0004348D" w:rsidRPr="0004348D" w:rsidRDefault="0004348D" w:rsidP="0004348D">
      <w:pPr>
        <w:numPr>
          <w:ilvl w:val="0"/>
          <w:numId w:val="356"/>
        </w:numPr>
        <w:spacing w:before="360" w:after="240"/>
        <w:contextualSpacing/>
        <w:rPr>
          <w:rFonts w:ascii="Calibri" w:eastAsia="Calibri" w:hAnsi="Calibri" w:cs="Arial"/>
        </w:rPr>
      </w:pPr>
      <w:r w:rsidRPr="0004348D">
        <w:rPr>
          <w:rFonts w:ascii="Calibri" w:eastAsia="Calibri" w:hAnsi="Calibri" w:cs="Arial"/>
          <w:rtl/>
        </w:rPr>
        <w:t xml:space="preserve">רשב"א </w:t>
      </w:r>
      <w:r w:rsidRPr="0004348D">
        <w:rPr>
          <w:rFonts w:ascii="Calibri" w:eastAsia="Calibri" w:hAnsi="Calibri" w:cs="Arial"/>
          <w:sz w:val="16"/>
          <w:szCs w:val="16"/>
          <w:rtl/>
        </w:rPr>
        <w:t>(סי' אלף יז)</w:t>
      </w:r>
      <w:r w:rsidRPr="0004348D">
        <w:rPr>
          <w:rFonts w:ascii="Calibri" w:eastAsia="Calibri" w:hAnsi="Calibri" w:cs="Arial"/>
          <w:rtl/>
        </w:rPr>
        <w:t>- הטוען על חבירו שמשכן אצלו שני כלים והלה אומר לא משכנת אלא אחד - הוי אומר הילך, ופטור משבועת התורה.</w:t>
      </w:r>
    </w:p>
    <w:p w14:paraId="61A3DC72" w14:textId="77777777" w:rsidR="0004348D" w:rsidRPr="0004348D" w:rsidRDefault="0004348D" w:rsidP="0004348D">
      <w:pPr>
        <w:spacing w:before="360" w:after="240"/>
        <w:rPr>
          <w:rFonts w:ascii="Calibri" w:eastAsia="Calibri" w:hAnsi="Calibri" w:cs="Arial"/>
          <w:u w:val="single"/>
        </w:rPr>
      </w:pPr>
      <w:r w:rsidRPr="0004348D">
        <w:rPr>
          <w:rFonts w:ascii="Calibri" w:eastAsia="Calibri" w:hAnsi="Calibri" w:cs="Arial"/>
          <w:u w:val="single"/>
          <w:rtl/>
        </w:rPr>
        <w:t>שמעון הלוה לראובן על משכון, וכשבא ראובן לתבוע המשכון אמר לו שמעון שמשכן את המשכון ביד גוי והגוי מכרו:</w:t>
      </w:r>
    </w:p>
    <w:p w14:paraId="664CE2E5" w14:textId="77777777" w:rsidR="0004348D" w:rsidRPr="0004348D" w:rsidRDefault="0004348D" w:rsidP="0004348D">
      <w:pPr>
        <w:numPr>
          <w:ilvl w:val="0"/>
          <w:numId w:val="356"/>
        </w:numPr>
        <w:spacing w:before="360" w:after="240"/>
        <w:contextualSpacing/>
        <w:rPr>
          <w:rFonts w:ascii="Calibri" w:eastAsia="Calibri" w:hAnsi="Calibri" w:cs="Arial"/>
        </w:rPr>
      </w:pPr>
      <w:r w:rsidRPr="0004348D">
        <w:rPr>
          <w:rFonts w:ascii="Calibri" w:eastAsia="Calibri" w:hAnsi="Calibri" w:cs="Arial"/>
          <w:rtl/>
        </w:rPr>
        <w:t xml:space="preserve">רשב"א </w:t>
      </w:r>
      <w:r w:rsidRPr="0004348D">
        <w:rPr>
          <w:rFonts w:ascii="Calibri" w:eastAsia="Calibri" w:hAnsi="Calibri" w:cs="Arial"/>
          <w:sz w:val="16"/>
          <w:szCs w:val="16"/>
          <w:rtl/>
        </w:rPr>
        <w:t>(ח"ג סי' קלא)</w:t>
      </w:r>
      <w:r w:rsidRPr="0004348D">
        <w:rPr>
          <w:rFonts w:ascii="Calibri" w:eastAsia="Calibri" w:hAnsi="Calibri" w:cs="Arial"/>
          <w:rtl/>
        </w:rPr>
        <w:t xml:space="preserve">- שאלת, ראובן מסר משכון לשמעון שימשכן אותו בסלע, ואחר זמן כשתבע ראובן משכונו משמעון השיב שמשכנו ביד גוי ואותו גוי מכרו שלא ברשות. תשובה, שמעון פטור אפילו משבועת היסת כיון שאין הגוי מכחישו, ואפילו אינו מראה לו הגוי שהוא האמינו. ואילו היה הגוי מכחישו היה צריך שבועה כדין חנוני על פנקסו </w:t>
      </w:r>
      <w:r w:rsidRPr="0004348D">
        <w:rPr>
          <w:rFonts w:ascii="Calibri" w:eastAsia="Calibri" w:hAnsi="Calibri" w:cs="Arial"/>
          <w:sz w:val="16"/>
          <w:szCs w:val="16"/>
          <w:rtl/>
        </w:rPr>
        <w:t>(שבועות מה.)</w:t>
      </w:r>
      <w:r w:rsidRPr="0004348D">
        <w:rPr>
          <w:rFonts w:ascii="Calibri" w:eastAsia="Calibri" w:hAnsi="Calibri" w:cs="Arial"/>
          <w:rtl/>
        </w:rPr>
        <w:t>.</w:t>
      </w:r>
    </w:p>
    <w:p w14:paraId="2EA95118" w14:textId="77777777" w:rsidR="0004348D" w:rsidRPr="0004348D" w:rsidRDefault="0004348D" w:rsidP="0004348D">
      <w:pPr>
        <w:spacing w:before="360" w:after="240"/>
        <w:rPr>
          <w:rFonts w:ascii="Calibri" w:eastAsia="Calibri" w:hAnsi="Calibri" w:cs="Arial"/>
          <w:u w:val="single"/>
        </w:rPr>
      </w:pPr>
      <w:r w:rsidRPr="0004348D">
        <w:rPr>
          <w:rFonts w:ascii="Calibri" w:eastAsia="Calibri" w:hAnsi="Calibri" w:cs="Arial"/>
          <w:u w:val="single"/>
          <w:rtl/>
        </w:rPr>
        <w:t>ראובן תובע משמעון שהפקיד בידו ספרים, ושמעון טוען שמכיון שנכנס ערב עבורו הפקיד בידו את הספרים למשכנם:</w:t>
      </w:r>
    </w:p>
    <w:p w14:paraId="3098E0C2" w14:textId="77777777" w:rsidR="0004348D" w:rsidRPr="0004348D" w:rsidRDefault="0004348D" w:rsidP="0004348D">
      <w:pPr>
        <w:numPr>
          <w:ilvl w:val="0"/>
          <w:numId w:val="356"/>
        </w:numPr>
        <w:spacing w:before="360" w:after="240"/>
        <w:contextualSpacing/>
        <w:rPr>
          <w:rFonts w:ascii="Calibri" w:eastAsia="Calibri" w:hAnsi="Calibri" w:cs="Arial"/>
        </w:rPr>
      </w:pPr>
      <w:r w:rsidRPr="0004348D">
        <w:rPr>
          <w:rFonts w:ascii="Calibri" w:eastAsia="Calibri" w:hAnsi="Calibri" w:cs="Arial"/>
          <w:rtl/>
        </w:rPr>
        <w:t>רשב"א</w:t>
      </w:r>
      <w:r w:rsidRPr="0004348D">
        <w:rPr>
          <w:rFonts w:ascii="Calibri" w:eastAsia="Calibri" w:hAnsi="Calibri" w:cs="Arial"/>
          <w:sz w:val="16"/>
          <w:szCs w:val="16"/>
          <w:rtl/>
        </w:rPr>
        <w:t xml:space="preserve"> (ח"ג סי' עה)</w:t>
      </w:r>
      <w:r w:rsidRPr="0004348D">
        <w:rPr>
          <w:rFonts w:ascii="Calibri" w:eastAsia="Calibri" w:hAnsi="Calibri" w:cs="Arial"/>
          <w:rtl/>
        </w:rPr>
        <w:t xml:space="preserve">- שאלת, ראובן תובע משמעון שהפקיד בידו ספרים שוים אלפים דינרים... והשיב שמעון שלא הפקיד בידו שום ספר אלא שהוא נכנס ערב בעבורו וכשתבעו המלוה והכריחו לפרעו מסר בידו ספרים שימשכנם ויפרע לגוי... ולפיכך משכנם ליהודי פלוני... בשכבר נתן לו ראובן רשות כדי לפרוע אותו חוב שנעשה לו ערב לגוי... וראובן כופר שלא אמר לו למשכן הספרים... תשובה,... ועל הספרים גם כן אפילו תדינו אותם כדברים העשויין להשאיל ולהשכיר, הם אינן עכשיו ביד שמעון ואם כן אין לו תביעה עליו בגופן של ספרים, ומי שהלוה עליהם ושהם בידו עכשיו גם כן אין לו יכולת להוציאם עד שיפרע לו כל מה שהלוה עליהם לשמעון משום תקנת השוק </w:t>
      </w:r>
      <w:r w:rsidRPr="0004348D">
        <w:rPr>
          <w:rFonts w:ascii="Calibri" w:eastAsia="Calibri" w:hAnsi="Calibri" w:cs="Arial"/>
          <w:sz w:val="16"/>
          <w:szCs w:val="16"/>
          <w:rtl/>
        </w:rPr>
        <w:t>(ב"ק קטו.)</w:t>
      </w:r>
      <w:r w:rsidRPr="0004348D">
        <w:rPr>
          <w:rFonts w:ascii="Calibri" w:eastAsia="Calibri" w:hAnsi="Calibri" w:cs="Arial"/>
          <w:rtl/>
        </w:rPr>
        <w:t>, דאפי' בדברים העשויין להשאיל ולהשכיר עשו תקנת השוק ואפילו במשכונה עשו תקנת השוק כדאסיקנא בפרק הגוזל</w:t>
      </w:r>
      <w:r w:rsidRPr="0004348D">
        <w:rPr>
          <w:rFonts w:ascii="Calibri" w:eastAsia="Calibri" w:hAnsi="Calibri" w:cs="Arial"/>
          <w:vertAlign w:val="superscript"/>
          <w:rtl/>
        </w:rPr>
        <w:footnoteReference w:id="5924"/>
      </w:r>
      <w:r w:rsidRPr="0004348D">
        <w:rPr>
          <w:rFonts w:ascii="Calibri" w:eastAsia="Calibri" w:hAnsi="Calibri" w:cs="Arial"/>
          <w:rtl/>
        </w:rPr>
        <w:t xml:space="preserve">. </w:t>
      </w:r>
    </w:p>
    <w:p w14:paraId="73F3408D" w14:textId="77777777" w:rsidR="0004348D" w:rsidRPr="0004348D" w:rsidRDefault="0004348D" w:rsidP="0004348D">
      <w:pPr>
        <w:spacing w:before="360" w:after="240"/>
        <w:rPr>
          <w:rFonts w:ascii="Calibri" w:eastAsia="Calibri" w:hAnsi="Calibri" w:cs="Arial"/>
          <w:u w:val="single"/>
        </w:rPr>
      </w:pPr>
      <w:r w:rsidRPr="0004348D">
        <w:rPr>
          <w:rFonts w:ascii="Calibri" w:eastAsia="Calibri" w:hAnsi="Calibri" w:cs="Arial"/>
          <w:u w:val="single"/>
          <w:rtl/>
        </w:rPr>
        <w:t>אשה שלותה על משכונות שהיו של בעלה:</w:t>
      </w:r>
    </w:p>
    <w:p w14:paraId="56004567" w14:textId="77777777" w:rsidR="0004348D" w:rsidRPr="0004348D" w:rsidRDefault="0004348D" w:rsidP="0004348D">
      <w:pPr>
        <w:numPr>
          <w:ilvl w:val="0"/>
          <w:numId w:val="356"/>
        </w:numPr>
        <w:spacing w:before="360" w:after="240"/>
        <w:contextualSpacing/>
        <w:rPr>
          <w:rFonts w:ascii="Calibri" w:eastAsia="Calibri" w:hAnsi="Calibri" w:cs="Arial"/>
        </w:rPr>
      </w:pPr>
      <w:r w:rsidRPr="0004348D">
        <w:rPr>
          <w:rFonts w:ascii="Calibri" w:eastAsia="Calibri" w:hAnsi="Calibri" w:cs="Arial"/>
          <w:rtl/>
        </w:rPr>
        <w:t>רי"ו</w:t>
      </w:r>
      <w:r w:rsidRPr="0004348D">
        <w:rPr>
          <w:rFonts w:ascii="Calibri" w:eastAsia="Calibri" w:hAnsi="Calibri" w:cs="Arial"/>
          <w:sz w:val="16"/>
          <w:szCs w:val="16"/>
          <w:rtl/>
        </w:rPr>
        <w:t xml:space="preserve"> (מישרים נכ"ג ח"ו נח ע"ד)</w:t>
      </w:r>
      <w:r w:rsidRPr="0004348D">
        <w:rPr>
          <w:rFonts w:ascii="Calibri" w:eastAsia="Calibri" w:hAnsi="Calibri" w:cs="Arial"/>
          <w:rtl/>
        </w:rPr>
        <w:t>- אשה שלותה על משכונות שהיו של בעלה שלא מדעת בעלה - לא קנאם המלוה ומחזיר אותם לבעל בלא דמים, ולא שייך הכא תקנת השוק. ודוקא שלא ידע הבעל שמשכנה אותם, אבל משכנתם בידיעת הבעל - אימור נתרצה, ודוקא בידוע שהם של בעל כגון שהאשה נושאת ונותנת בתוך הבית משום בעל</w:t>
      </w:r>
      <w:r w:rsidRPr="0004348D">
        <w:rPr>
          <w:rFonts w:ascii="Calibri" w:eastAsia="Calibri" w:hAnsi="Calibri" w:cs="Arial"/>
          <w:vertAlign w:val="superscript"/>
          <w:rtl/>
        </w:rPr>
        <w:footnoteReference w:id="5925"/>
      </w:r>
      <w:r w:rsidRPr="0004348D">
        <w:rPr>
          <w:rFonts w:ascii="Calibri" w:eastAsia="Calibri" w:hAnsi="Calibri" w:cs="Arial"/>
          <w:rtl/>
        </w:rPr>
        <w:t>.</w:t>
      </w:r>
    </w:p>
    <w:p w14:paraId="637354B6" w14:textId="77777777" w:rsidR="0004348D" w:rsidRPr="0004348D" w:rsidRDefault="0004348D" w:rsidP="0004348D">
      <w:pPr>
        <w:spacing w:before="360" w:after="240"/>
        <w:rPr>
          <w:rFonts w:ascii="Calibri" w:eastAsia="Calibri" w:hAnsi="Calibri" w:cs="Arial"/>
          <w:u w:val="single"/>
        </w:rPr>
      </w:pPr>
      <w:r w:rsidRPr="0004348D">
        <w:rPr>
          <w:rFonts w:ascii="Calibri" w:eastAsia="Calibri" w:hAnsi="Calibri" w:cs="Arial"/>
          <w:u w:val="single"/>
          <w:rtl/>
        </w:rPr>
        <w:t xml:space="preserve">הממשכן ספר לחבירו – ואח"כ טענו 'נשתמשת בו וטשטשתו' והלה משיב 'קריתי בו אבל לא חסרתיו': </w:t>
      </w:r>
    </w:p>
    <w:p w14:paraId="5A85B138" w14:textId="77777777" w:rsidR="0004348D" w:rsidRPr="0004348D" w:rsidRDefault="0004348D" w:rsidP="0004348D">
      <w:pPr>
        <w:numPr>
          <w:ilvl w:val="0"/>
          <w:numId w:val="356"/>
        </w:numPr>
        <w:spacing w:before="360" w:after="240"/>
        <w:contextualSpacing/>
        <w:rPr>
          <w:rFonts w:ascii="Calibri" w:eastAsia="Calibri" w:hAnsi="Calibri" w:cs="Arial"/>
        </w:rPr>
      </w:pPr>
      <w:r w:rsidRPr="0004348D">
        <w:rPr>
          <w:rFonts w:ascii="Calibri" w:eastAsia="Calibri" w:hAnsi="Calibri" w:cs="Arial"/>
          <w:rtl/>
        </w:rPr>
        <w:t>מרדכי</w:t>
      </w:r>
      <w:r w:rsidRPr="0004348D">
        <w:rPr>
          <w:rFonts w:ascii="Calibri" w:eastAsia="Calibri" w:hAnsi="Calibri" w:cs="Arial"/>
          <w:sz w:val="16"/>
          <w:szCs w:val="16"/>
          <w:rtl/>
        </w:rPr>
        <w:t xml:space="preserve"> (פ"ב דמציעא סי' רסא-רסב)</w:t>
      </w:r>
      <w:r w:rsidRPr="0004348D">
        <w:rPr>
          <w:rFonts w:ascii="Calibri" w:eastAsia="Calibri" w:hAnsi="Calibri" w:cs="Arial"/>
          <w:rtl/>
        </w:rPr>
        <w:t>- ראובן משכן לשמעון ספר וכשבא לפדותו טוען ראובן נשתמשת בספר שלי וטשטשתו, ושמעון השיב קריתי ושניתי בו אבל לא חסרתי מדמיו כלום, וגם העדים מעידים שלמד בו. דין זה פסוק ממתני' וכן המפקיד ספר תורה אצל חבירו גוללו כל שנים עשר חדש ומסקנא אם כשהוא גוללו פותחו וקורא בו מותר ואם בשבילו פותחו וקורא בו אסור. אלמא אסור להשתמש בספר של פקדון והוא הדין בספר של משכון דאיקרי פקדון ומנא תימרא דתנן המלוה על המשכון כו' עד מי נשבע תחלה מי שהפקדון אצלו שמא ישבע זה ויוציא הלה את הפקדון, אלמא משכון אקרי פקדון הלכך דינו כפקדון, וכיון שיש עדים ששלח יד בפקדון נפסל מלישבע וישבע ראובן כמה חסרו שמעון ויטול. ואם טענו עוד ראובן תביעות אחרות המוטלות על שמעון לישבע - ישבע ראובן ויטול. אבל אם אין עדים שלמד בו, מתוך שיכול לומר לא למדתי בו נאמן נמי לומר שלא חסרו, ובשבועה, ואינו נפסל בהודאת פיו ששלח בו יד משבועה, דאין אדם משים עצמו רשע. ואפילו אם התנה שמעון בשעת הלואה שילמוד בו – אסור, דאמר רב יוסף בר מניומי אע"פ שאמרו הדר בחצר חבירו שלא מדעתו א"צ להעלות לו שכר, הלוהו ודר בחצירו צריך להעלות לו שכר דמיחזי כרבית, ה"נ שמושו בספר מיחזי כרבית ואסור. והא דאמרי' פרק השוכר את האומנין הכא במלוה הצריך למשכון קא מיפלגי מר סבר מצוה קא עביד ומר סבר לאו מצוה קעביד ומיירי במלוה המשתמש במשכון היינו בנכייתא, וגם גבי ספר אם התנה להשתמש בו בנכייתא שרי, ולא נראה לר' אבי העזרי לפוסלו משבועה על ככה, ואע"ג דקי"ל השואל שלא מדעת גזלן הוי - ה"מ בשואל דעלמא אבל הכא דנתכוון לזכות דכתיב וצדקתו עומדת לעד לא. ואע"ג דאמרי' פרק שני דב"מ מהו דתימא ניחא ליה לאיניש דמיתעביד מצוה בממוניה קמ"ל דלא ה"מ לכתחלה אין לו להשאילו אבל להחשב גזלן אם עבר והשאילו לא. ונראה לי ראיה לדברי רבינו אבי העזרי מפ' זה בורר הנהו קבוראי דקבור נפשא בי"ט וכו' ומסיק דכשרים לעדות משום דקסברי מצוה קא עבדי.</w:t>
      </w:r>
    </w:p>
    <w:p w14:paraId="55EC88C9" w14:textId="77777777" w:rsidR="0004348D" w:rsidRPr="0004348D" w:rsidRDefault="0004348D" w:rsidP="0004348D">
      <w:pPr>
        <w:spacing w:before="360" w:after="240"/>
        <w:rPr>
          <w:rFonts w:ascii="Arial" w:eastAsia="Calibri" w:hAnsi="Arial" w:cs="Arial"/>
          <w:b/>
          <w:bCs/>
          <w:color w:val="000000"/>
          <w:sz w:val="28"/>
          <w:szCs w:val="28"/>
          <w:u w:val="single"/>
        </w:rPr>
      </w:pPr>
      <w:r w:rsidRPr="0004348D">
        <w:rPr>
          <w:rFonts w:ascii="Arial" w:eastAsia="Calibri" w:hAnsi="Arial" w:cs="Arial"/>
          <w:b/>
          <w:bCs/>
          <w:color w:val="000000"/>
          <w:sz w:val="28"/>
          <w:szCs w:val="28"/>
          <w:u w:val="single"/>
          <w:rtl/>
        </w:rPr>
        <w:t>שו"ע:</w:t>
      </w:r>
    </w:p>
    <w:p w14:paraId="6E485FE2" w14:textId="77777777" w:rsidR="0004348D" w:rsidRPr="0004348D" w:rsidRDefault="0004348D" w:rsidP="0004348D">
      <w:pPr>
        <w:spacing w:before="360" w:after="240"/>
        <w:rPr>
          <w:rFonts w:ascii="Calibri" w:eastAsia="Calibri" w:hAnsi="Calibri" w:cs="Arial"/>
          <w:rtl/>
        </w:rPr>
      </w:pPr>
      <w:r w:rsidRPr="0004348D">
        <w:rPr>
          <w:rFonts w:ascii="Calibri" w:eastAsia="Calibri" w:hAnsi="Calibri" w:cs="Arial"/>
          <w:rtl/>
        </w:rPr>
        <w:t>ואם הוא בענין שאינו יכול לטעון לקוח הוא בידי או לא היו דברים מעולם או החזרתיו לך, נשבע הלוה שלא הלוהו אלא שקל, ופורע לו ונוטל</w:t>
      </w:r>
      <w:r w:rsidRPr="0004348D">
        <w:rPr>
          <w:rFonts w:ascii="Calibri" w:eastAsia="Calibri" w:hAnsi="Calibri" w:cs="Arial"/>
          <w:vertAlign w:val="superscript"/>
          <w:rtl/>
        </w:rPr>
        <w:footnoteReference w:id="5926"/>
      </w:r>
      <w:r w:rsidRPr="0004348D">
        <w:rPr>
          <w:rFonts w:ascii="Calibri" w:eastAsia="Calibri" w:hAnsi="Calibri" w:cs="Arial"/>
          <w:rtl/>
        </w:rPr>
        <w:t xml:space="preserve"> משכונו. כיצד, דברים שאינם עשוים להשאיל ולהשכיר ואין עדים לומר היאך באו לידו</w:t>
      </w:r>
      <w:r w:rsidRPr="0004348D">
        <w:rPr>
          <w:rFonts w:ascii="Calibri" w:eastAsia="Calibri" w:hAnsi="Calibri" w:cs="Arial"/>
          <w:vertAlign w:val="superscript"/>
          <w:rtl/>
        </w:rPr>
        <w:footnoteReference w:id="5927"/>
      </w:r>
      <w:r w:rsidRPr="0004348D">
        <w:rPr>
          <w:rFonts w:ascii="Calibri" w:eastAsia="Calibri" w:hAnsi="Calibri" w:cs="Arial"/>
          <w:rtl/>
        </w:rPr>
        <w:t>, אפילו ראו עדים עתה בידו נאמן לומר לקוח הוא בידו. וכן אפילו דברים העשויים להשאיל ולהשכיר, או שאין עשויים להשאיל ולהשכיר אלא שיש עדים שבאו לידו בתורת שאלה, ואין עדים שראו עתה בידו, יכול לומר החזרתים לך, או לא היו דברים מעולם אם אין עדים שמסרם לידו</w:t>
      </w:r>
      <w:r w:rsidRPr="0004348D">
        <w:rPr>
          <w:rFonts w:ascii="Calibri" w:eastAsia="Calibri" w:hAnsi="Calibri" w:cs="Arial"/>
          <w:vertAlign w:val="superscript"/>
          <w:rtl/>
        </w:rPr>
        <w:footnoteReference w:id="5928"/>
      </w:r>
      <w:r w:rsidRPr="0004348D">
        <w:rPr>
          <w:rFonts w:ascii="Calibri" w:eastAsia="Calibri" w:hAnsi="Calibri" w:cs="Arial"/>
          <w:rtl/>
        </w:rPr>
        <w:t>. אבל דברים העשויים להשאיל ולהשכיר ויש עדים שראוהו עתה בידו</w:t>
      </w:r>
      <w:r w:rsidRPr="0004348D">
        <w:rPr>
          <w:rFonts w:ascii="Calibri" w:eastAsia="Calibri" w:hAnsi="Calibri" w:cs="Arial"/>
          <w:vertAlign w:val="superscript"/>
          <w:rtl/>
        </w:rPr>
        <w:footnoteReference w:id="5929"/>
      </w:r>
      <w:r w:rsidRPr="0004348D">
        <w:rPr>
          <w:rFonts w:ascii="Calibri" w:eastAsia="Calibri" w:hAnsi="Calibri" w:cs="Arial"/>
          <w:rtl/>
        </w:rPr>
        <w:t xml:space="preserve">, אינו יכול לומר לקוח הוא בידי או החזרתים לך. </w:t>
      </w:r>
      <w:r w:rsidRPr="0004348D">
        <w:rPr>
          <w:rFonts w:ascii="Calibri" w:eastAsia="Calibri" w:hAnsi="Calibri" w:cs="Arial"/>
          <w:sz w:val="18"/>
          <w:szCs w:val="18"/>
          <w:rtl/>
        </w:rPr>
        <w:t>הגה: י"א דלא בעינן שראו העדים בשעה שתבעו לב"ד, אלא שראו קודם לכן בידו, וטען אז שהן מכורין</w:t>
      </w:r>
      <w:r w:rsidRPr="0004348D">
        <w:rPr>
          <w:rFonts w:ascii="Calibri" w:eastAsia="Calibri" w:hAnsi="Calibri" w:cs="Arial"/>
          <w:sz w:val="18"/>
          <w:szCs w:val="18"/>
          <w:vertAlign w:val="superscript"/>
          <w:rtl/>
        </w:rPr>
        <w:footnoteReference w:id="5930"/>
      </w:r>
      <w:r w:rsidRPr="0004348D">
        <w:rPr>
          <w:rFonts w:ascii="Calibri" w:eastAsia="Calibri" w:hAnsi="Calibri" w:cs="Arial"/>
          <w:sz w:val="18"/>
          <w:szCs w:val="18"/>
          <w:rtl/>
        </w:rPr>
        <w:t xml:space="preserve"> בידו או טענה אחרת שאינן ראוים להחזיר לפי אותה טענה, דמעתה אין לו מגו שהיה יכול לומר החזרתים, דאנן סהדי שלא החזירם</w:t>
      </w:r>
      <w:r w:rsidRPr="0004348D">
        <w:rPr>
          <w:rFonts w:ascii="Calibri" w:eastAsia="Calibri" w:hAnsi="Calibri" w:cs="Arial"/>
          <w:sz w:val="18"/>
          <w:szCs w:val="18"/>
          <w:vertAlign w:val="superscript"/>
          <w:rtl/>
        </w:rPr>
        <w:footnoteReference w:id="5931"/>
      </w:r>
      <w:r w:rsidRPr="0004348D">
        <w:rPr>
          <w:rFonts w:ascii="Calibri" w:eastAsia="Calibri" w:hAnsi="Calibri" w:cs="Arial"/>
          <w:sz w:val="18"/>
          <w:szCs w:val="18"/>
          <w:rtl/>
        </w:rPr>
        <w:t xml:space="preserve">. וכן אם הוא מפורסם שהוא בידו אע"פ שאין כאן עדים שראו בידו, לא יוכל לומר לקוחים הם בידי, שהרי אין כאן מיגו דיוכל לומר החזרתים, דירא לשנות הידוע </w:t>
      </w:r>
      <w:r w:rsidRPr="0004348D">
        <w:rPr>
          <w:rFonts w:ascii="Calibri" w:eastAsia="Calibri" w:hAnsi="Calibri" w:cs="Arial"/>
          <w:sz w:val="16"/>
          <w:szCs w:val="16"/>
          <w:rtl/>
        </w:rPr>
        <w:t>(הג"א ס"פ המקבל)</w:t>
      </w:r>
      <w:r w:rsidRPr="0004348D">
        <w:rPr>
          <w:rFonts w:ascii="Calibri" w:eastAsia="Calibri" w:hAnsi="Calibri" w:cs="Arial"/>
          <w:sz w:val="18"/>
          <w:szCs w:val="18"/>
          <w:rtl/>
        </w:rPr>
        <w:t xml:space="preserve">. ואפילו אמר בשעה שראו עדים, שחייב לו כך וכך כמו שטוען עכשיו בב"ד, לא מהימן </w:t>
      </w:r>
      <w:r w:rsidRPr="0004348D">
        <w:rPr>
          <w:rFonts w:ascii="Calibri" w:eastAsia="Calibri" w:hAnsi="Calibri" w:cs="Arial"/>
          <w:sz w:val="16"/>
          <w:szCs w:val="16"/>
          <w:rtl/>
        </w:rPr>
        <w:t>(רא"ש כלל קו סי' ב)</w:t>
      </w:r>
      <w:r w:rsidRPr="0004348D">
        <w:rPr>
          <w:rFonts w:ascii="Calibri" w:eastAsia="Calibri" w:hAnsi="Calibri" w:cs="Arial"/>
          <w:sz w:val="18"/>
          <w:szCs w:val="18"/>
          <w:rtl/>
        </w:rPr>
        <w:t>. ודוקא שראוהו עדים קודם שתבעו בב"ד</w:t>
      </w:r>
      <w:r w:rsidRPr="0004348D">
        <w:rPr>
          <w:rFonts w:ascii="Calibri" w:eastAsia="Calibri" w:hAnsi="Calibri" w:cs="Arial"/>
          <w:sz w:val="18"/>
          <w:szCs w:val="18"/>
          <w:vertAlign w:val="superscript"/>
          <w:rtl/>
        </w:rPr>
        <w:footnoteReference w:id="5932"/>
      </w:r>
      <w:r w:rsidRPr="0004348D">
        <w:rPr>
          <w:rFonts w:ascii="Calibri" w:eastAsia="Calibri" w:hAnsi="Calibri" w:cs="Arial"/>
          <w:sz w:val="18"/>
          <w:szCs w:val="18"/>
          <w:rtl/>
        </w:rPr>
        <w:t xml:space="preserve">, אבל אם ראוהו אחר שנפלו הטענות והמחלוקת ביניהם בב"ד, לא אבד המיגו שלו ונאמן במה שטוען לקוחים או החזרתים, דהולכין בזה אחר שעת טענה בב"ד </w:t>
      </w:r>
      <w:r w:rsidRPr="0004348D">
        <w:rPr>
          <w:rFonts w:ascii="Calibri" w:eastAsia="Calibri" w:hAnsi="Calibri" w:cs="Arial"/>
          <w:sz w:val="16"/>
          <w:szCs w:val="16"/>
          <w:rtl/>
        </w:rPr>
        <w:t>(במיוחסות סי' פד)</w:t>
      </w:r>
      <w:r w:rsidRPr="0004348D">
        <w:rPr>
          <w:rFonts w:ascii="Calibri" w:eastAsia="Calibri" w:hAnsi="Calibri" w:cs="Arial"/>
          <w:sz w:val="18"/>
          <w:szCs w:val="18"/>
          <w:rtl/>
        </w:rPr>
        <w:t>. ואם יש עד אחד בזה</w:t>
      </w:r>
      <w:r w:rsidRPr="0004348D">
        <w:rPr>
          <w:rFonts w:ascii="Calibri" w:eastAsia="Calibri" w:hAnsi="Calibri" w:cs="Arial"/>
          <w:sz w:val="18"/>
          <w:szCs w:val="18"/>
          <w:vertAlign w:val="superscript"/>
          <w:rtl/>
        </w:rPr>
        <w:footnoteReference w:id="5933"/>
      </w:r>
      <w:r w:rsidRPr="0004348D">
        <w:rPr>
          <w:rFonts w:ascii="Calibri" w:eastAsia="Calibri" w:hAnsi="Calibri" w:cs="Arial"/>
          <w:sz w:val="18"/>
          <w:szCs w:val="18"/>
          <w:rtl/>
        </w:rPr>
        <w:t xml:space="preserve">, י"א דאין המלוה נאמן, דהוי ליה מחוייב לישבע להכחיש העד, ואינו יכול, שהרי מודה לו רק טוען טענה אחרת ליפטר עצמו, והוה ליה מחוייב שבועה ואינו יכול לישבע, ומשלם </w:t>
      </w:r>
      <w:r w:rsidRPr="0004348D">
        <w:rPr>
          <w:rFonts w:ascii="Calibri" w:eastAsia="Calibri" w:hAnsi="Calibri" w:cs="Arial"/>
          <w:sz w:val="16"/>
          <w:szCs w:val="16"/>
          <w:rtl/>
        </w:rPr>
        <w:t>(במיוחסות שם)</w:t>
      </w:r>
      <w:r w:rsidRPr="0004348D">
        <w:rPr>
          <w:rFonts w:ascii="Calibri" w:eastAsia="Calibri" w:hAnsi="Calibri" w:cs="Arial"/>
          <w:sz w:val="18"/>
          <w:szCs w:val="18"/>
          <w:rtl/>
        </w:rPr>
        <w:t xml:space="preserve">, כדלקמן סי' עה. ויש אומרים דהמלוה נאמן בשבועה </w:t>
      </w:r>
      <w:r w:rsidRPr="0004348D">
        <w:rPr>
          <w:rFonts w:ascii="Calibri" w:eastAsia="Calibri" w:hAnsi="Calibri" w:cs="Arial"/>
          <w:sz w:val="16"/>
          <w:szCs w:val="16"/>
          <w:rtl/>
        </w:rPr>
        <w:t>(רשב"א סי' תתקצח, וסי' אלף מ)</w:t>
      </w:r>
      <w:r w:rsidRPr="0004348D">
        <w:rPr>
          <w:rFonts w:ascii="Calibri" w:eastAsia="Calibri" w:hAnsi="Calibri" w:cs="Arial"/>
          <w:sz w:val="18"/>
          <w:szCs w:val="18"/>
          <w:rtl/>
        </w:rPr>
        <w:t>. והסכמת בעל המחבר כסברא הראשונה, כמו שיתבאר לקמן סי' זה סע' כג</w:t>
      </w:r>
      <w:r w:rsidRPr="0004348D">
        <w:rPr>
          <w:rFonts w:ascii="Calibri" w:eastAsia="Calibri" w:hAnsi="Calibri" w:cs="Arial"/>
          <w:sz w:val="18"/>
          <w:szCs w:val="18"/>
          <w:vertAlign w:val="superscript"/>
          <w:rtl/>
        </w:rPr>
        <w:footnoteReference w:id="5934"/>
      </w:r>
      <w:r w:rsidRPr="0004348D">
        <w:rPr>
          <w:rFonts w:ascii="Calibri" w:eastAsia="Calibri" w:hAnsi="Calibri" w:cs="Arial"/>
          <w:sz w:val="18"/>
          <w:szCs w:val="18"/>
          <w:rtl/>
        </w:rPr>
        <w:t>. ועיין לקמן סי' עה סע' יג. ועיין לעיל סי' נ"ח כתבתי אם אדם יוכל לטעון על מה שתחת ידו מחמת אחר ולא מחמת זה שנתנו בידו. והא דאדם יוכל לטעון לקוח הוא בידי או הלויתי עליו, היינו דוקא שהחפץ תחת ידו, אבל ראובן שהפקיד דבר אצל שמעון, ולוי הביא עדים שהוא שלו</w:t>
      </w:r>
      <w:r w:rsidRPr="0004348D">
        <w:rPr>
          <w:rFonts w:ascii="Calibri" w:eastAsia="Calibri" w:hAnsi="Calibri" w:cs="Arial"/>
          <w:sz w:val="18"/>
          <w:szCs w:val="18"/>
          <w:vertAlign w:val="superscript"/>
          <w:rtl/>
        </w:rPr>
        <w:footnoteReference w:id="5935"/>
      </w:r>
      <w:r w:rsidRPr="0004348D">
        <w:rPr>
          <w:rFonts w:ascii="Calibri" w:eastAsia="Calibri" w:hAnsi="Calibri" w:cs="Arial"/>
          <w:sz w:val="18"/>
          <w:szCs w:val="18"/>
          <w:rtl/>
        </w:rPr>
        <w:t xml:space="preserve">, או ששמעון מודה לו, ושמעון טוען שראובן חייב לו עליו, אין ראובן נאמן לומר שלקחו מלוי. אבל אם שמעון אומר שיודע שראובן לקחו מלוי, נאמן במיגו שהיה אומר שהוא לקחו מלוי ואז היה נאמן הואיל וליכא עדים כיצד בא לידו או שלא ראו בידו </w:t>
      </w:r>
      <w:r w:rsidRPr="0004348D">
        <w:rPr>
          <w:rFonts w:ascii="Calibri" w:eastAsia="Calibri" w:hAnsi="Calibri" w:cs="Arial"/>
          <w:sz w:val="16"/>
          <w:szCs w:val="16"/>
          <w:rtl/>
        </w:rPr>
        <w:t>(רשב"א ח"ג סי' לה)</w:t>
      </w:r>
      <w:r w:rsidRPr="0004348D">
        <w:rPr>
          <w:rFonts w:ascii="Calibri" w:eastAsia="Calibri" w:hAnsi="Calibri" w:cs="Arial"/>
          <w:sz w:val="18"/>
          <w:szCs w:val="18"/>
          <w:rtl/>
        </w:rPr>
        <w:t>. ואם אינו טוען לקוח הוא בידי</w:t>
      </w:r>
      <w:r w:rsidRPr="0004348D">
        <w:rPr>
          <w:rFonts w:ascii="Calibri" w:eastAsia="Calibri" w:hAnsi="Calibri" w:cs="Arial"/>
          <w:sz w:val="18"/>
          <w:szCs w:val="18"/>
          <w:vertAlign w:val="superscript"/>
          <w:rtl/>
        </w:rPr>
        <w:footnoteReference w:id="5936"/>
      </w:r>
      <w:r w:rsidRPr="0004348D">
        <w:rPr>
          <w:rFonts w:ascii="Calibri" w:eastAsia="Calibri" w:hAnsi="Calibri" w:cs="Arial"/>
          <w:sz w:val="18"/>
          <w:szCs w:val="18"/>
          <w:rtl/>
        </w:rPr>
        <w:t xml:space="preserve">, רק שראובן נתן לו של לוי למשכון ע"ל סי' שנ"ו שחייב לפדותו משום תקנת השוק. ועיין עוד מאלו הדינין סי' קל"ג. </w:t>
      </w:r>
    </w:p>
    <w:p w14:paraId="69934B46" w14:textId="77777777" w:rsidR="0004348D" w:rsidRPr="0004348D" w:rsidRDefault="0004348D" w:rsidP="0004348D">
      <w:pPr>
        <w:spacing w:before="360" w:after="240"/>
        <w:rPr>
          <w:rFonts w:ascii="Calibri" w:eastAsia="Calibri" w:hAnsi="Calibri" w:cs="Arial"/>
          <w:rtl/>
        </w:rPr>
      </w:pPr>
    </w:p>
    <w:p w14:paraId="52BBA51B" w14:textId="77777777" w:rsidR="0004348D" w:rsidRPr="0004348D" w:rsidRDefault="0004348D" w:rsidP="0004348D">
      <w:pPr>
        <w:keepNext/>
        <w:keepLines/>
        <w:spacing w:before="360" w:after="240"/>
        <w:outlineLvl w:val="1"/>
        <w:rPr>
          <w:rFonts w:ascii="Cambria" w:eastAsia="Times New Roman" w:hAnsi="Cambria" w:cs="Arial"/>
          <w:bCs/>
          <w:color w:val="548DD4" w:themeColor="text2" w:themeTint="99"/>
          <w:sz w:val="26"/>
          <w:szCs w:val="26"/>
          <w:rtl/>
        </w:rPr>
      </w:pPr>
      <w:bookmarkStart w:id="854" w:name="_Toc24884236"/>
      <w:r w:rsidRPr="0004348D">
        <w:rPr>
          <w:rFonts w:ascii="Cambria" w:eastAsia="Times New Roman" w:hAnsi="Cambria" w:cs="Arial"/>
          <w:bCs/>
          <w:color w:val="548DD4" w:themeColor="text2" w:themeTint="99"/>
          <w:sz w:val="26"/>
          <w:szCs w:val="26"/>
          <w:rtl/>
        </w:rPr>
        <w:t>סעיף יט: דברים העשיים להשאיל ולהשכיר.</w:t>
      </w:r>
      <w:bookmarkEnd w:id="854"/>
    </w:p>
    <w:p w14:paraId="03B9CD23" w14:textId="77777777" w:rsidR="0004348D" w:rsidRPr="0004348D" w:rsidRDefault="0004348D" w:rsidP="0004348D">
      <w:pPr>
        <w:spacing w:before="360" w:after="240"/>
        <w:rPr>
          <w:rFonts w:ascii="Calibri" w:eastAsia="Calibri" w:hAnsi="Calibri" w:cs="Arial"/>
          <w:rtl/>
        </w:rPr>
      </w:pPr>
      <w:r w:rsidRPr="0004348D">
        <w:rPr>
          <w:rFonts w:ascii="Calibri" w:eastAsia="Calibri" w:hAnsi="Calibri" w:cs="Arial"/>
          <w:b/>
          <w:bCs/>
          <w:rtl/>
        </w:rPr>
        <w:t xml:space="preserve">בבא מציעא </w:t>
      </w:r>
      <w:r w:rsidRPr="0004348D">
        <w:rPr>
          <w:rFonts w:ascii="Calibri" w:eastAsia="Calibri" w:hAnsi="Calibri" w:cs="Arial"/>
          <w:b/>
          <w:bCs/>
          <w:sz w:val="16"/>
          <w:szCs w:val="16"/>
          <w:rtl/>
        </w:rPr>
        <w:t xml:space="preserve">(ס"פ המקבל) </w:t>
      </w:r>
      <w:r w:rsidRPr="0004348D">
        <w:rPr>
          <w:rFonts w:ascii="Calibri" w:eastAsia="Calibri" w:hAnsi="Calibri" w:cs="Arial"/>
          <w:b/>
          <w:bCs/>
          <w:rtl/>
        </w:rPr>
        <w:t>קטז</w:t>
      </w:r>
      <w:r w:rsidRPr="0004348D">
        <w:rPr>
          <w:rFonts w:ascii="Calibri" w:eastAsia="Calibri" w:hAnsi="Calibri" w:cs="Arial"/>
          <w:b/>
          <w:bCs/>
          <w:vertAlign w:val="superscript"/>
          <w:rtl/>
        </w:rPr>
        <w:footnoteReference w:id="5937"/>
      </w:r>
      <w:r w:rsidRPr="0004348D">
        <w:rPr>
          <w:rFonts w:ascii="Calibri" w:eastAsia="Calibri" w:hAnsi="Calibri" w:cs="Arial"/>
          <w:b/>
          <w:bCs/>
          <w:rtl/>
        </w:rPr>
        <w:t xml:space="preserve"> ע"א:</w:t>
      </w:r>
      <w:r w:rsidRPr="0004348D">
        <w:rPr>
          <w:rFonts w:ascii="Calibri" w:eastAsia="Calibri" w:hAnsi="Calibri" w:cs="Arial"/>
          <w:rtl/>
        </w:rPr>
        <w:t xml:space="preserve"> ההוא גברא דחבל סכינא דאשכבתא</w:t>
      </w:r>
      <w:r w:rsidRPr="0004348D">
        <w:rPr>
          <w:rFonts w:ascii="Calibri" w:eastAsia="Calibri" w:hAnsi="Calibri" w:cs="Arial"/>
          <w:vertAlign w:val="superscript"/>
          <w:rtl/>
        </w:rPr>
        <w:footnoteReference w:id="5938"/>
      </w:r>
      <w:r w:rsidRPr="0004348D">
        <w:rPr>
          <w:rFonts w:ascii="Calibri" w:eastAsia="Calibri" w:hAnsi="Calibri" w:cs="Arial"/>
          <w:rtl/>
        </w:rPr>
        <w:t xml:space="preserve"> מחבריה. אתא לקמיה דאביי, </w:t>
      </w:r>
      <w:r w:rsidRPr="0004348D">
        <w:rPr>
          <w:rFonts w:ascii="Calibri" w:eastAsia="Calibri" w:hAnsi="Calibri" w:cs="Arial"/>
          <w:u w:val="single"/>
          <w:rtl/>
        </w:rPr>
        <w:t>אמר ליה</w:t>
      </w:r>
      <w:r w:rsidRPr="0004348D">
        <w:rPr>
          <w:rFonts w:ascii="Calibri" w:eastAsia="Calibri" w:hAnsi="Calibri" w:cs="Arial"/>
          <w:rtl/>
        </w:rPr>
        <w:t>: זיל אהדריה, דהוי ליה כלי שעושים בו אוכל נפש, ותא קום בדינא</w:t>
      </w:r>
      <w:r w:rsidRPr="0004348D">
        <w:rPr>
          <w:rFonts w:ascii="Calibri" w:eastAsia="Calibri" w:hAnsi="Calibri" w:cs="Arial"/>
          <w:vertAlign w:val="superscript"/>
          <w:rtl/>
        </w:rPr>
        <w:footnoteReference w:id="5939"/>
      </w:r>
      <w:r w:rsidRPr="0004348D">
        <w:rPr>
          <w:rFonts w:ascii="Calibri" w:eastAsia="Calibri" w:hAnsi="Calibri" w:cs="Arial"/>
          <w:rtl/>
        </w:rPr>
        <w:t xml:space="preserve"> עלה. </w:t>
      </w:r>
      <w:r w:rsidRPr="0004348D">
        <w:rPr>
          <w:rFonts w:ascii="Calibri" w:eastAsia="Calibri" w:hAnsi="Calibri" w:cs="Arial"/>
          <w:u w:val="single"/>
          <w:rtl/>
        </w:rPr>
        <w:t>רבא אמר</w:t>
      </w:r>
      <w:r w:rsidRPr="0004348D">
        <w:rPr>
          <w:rFonts w:ascii="Calibri" w:eastAsia="Calibri" w:hAnsi="Calibri" w:cs="Arial"/>
          <w:vertAlign w:val="superscript"/>
          <w:rtl/>
        </w:rPr>
        <w:footnoteReference w:id="5940"/>
      </w:r>
      <w:r w:rsidRPr="0004348D">
        <w:rPr>
          <w:rFonts w:ascii="Calibri" w:eastAsia="Calibri" w:hAnsi="Calibri" w:cs="Arial"/>
          <w:rtl/>
        </w:rPr>
        <w:t>: לא צריך למיקם בדינא עלה, ויכול לטעון עד כדי דמיהן. ואביי לית ליה ההיא סברא? מאי שנא מהנהו עיזי דאכלי חושלא</w:t>
      </w:r>
      <w:r w:rsidRPr="0004348D">
        <w:rPr>
          <w:rFonts w:ascii="Calibri" w:eastAsia="Calibri" w:hAnsi="Calibri" w:cs="Arial"/>
          <w:vertAlign w:val="superscript"/>
          <w:rtl/>
        </w:rPr>
        <w:footnoteReference w:id="5941"/>
      </w:r>
      <w:r w:rsidRPr="0004348D">
        <w:rPr>
          <w:rFonts w:ascii="Calibri" w:eastAsia="Calibri" w:hAnsi="Calibri" w:cs="Arial"/>
          <w:rtl/>
        </w:rPr>
        <w:t xml:space="preserve"> בנהרדעא </w:t>
      </w:r>
      <w:r w:rsidRPr="0004348D">
        <w:rPr>
          <w:rFonts w:ascii="Calibri" w:eastAsia="Calibri" w:hAnsi="Calibri" w:cs="Arial"/>
          <w:sz w:val="16"/>
          <w:szCs w:val="16"/>
          <w:rtl/>
        </w:rPr>
        <w:t>(ב"ב לו.)</w:t>
      </w:r>
      <w:r w:rsidRPr="0004348D">
        <w:rPr>
          <w:rFonts w:ascii="Calibri" w:eastAsia="Calibri" w:hAnsi="Calibri" w:cs="Arial"/>
          <w:rtl/>
        </w:rPr>
        <w:t>, ואתא מרא דחושלא ותפס להו וקא טעין טובא, ואמר אבוה דשמואל: יכול לטעון עד כדי דמיהן. התם לאו מידי דעבדא לאושולי ולאוגורי הוא</w:t>
      </w:r>
      <w:r w:rsidRPr="0004348D">
        <w:rPr>
          <w:rFonts w:ascii="Calibri" w:eastAsia="Calibri" w:hAnsi="Calibri" w:cs="Arial"/>
          <w:vertAlign w:val="superscript"/>
          <w:rtl/>
        </w:rPr>
        <w:footnoteReference w:id="5942"/>
      </w:r>
      <w:r w:rsidRPr="0004348D">
        <w:rPr>
          <w:rFonts w:ascii="Calibri" w:eastAsia="Calibri" w:hAnsi="Calibri" w:cs="Arial"/>
          <w:rtl/>
        </w:rPr>
        <w:t>, הכא - מידי דעביד לאושולי ולאוגורי הוא. דשלח רב הונא בר אבין: דברים העשויין להשאיל ולהשכיר, ואמר לקוחין הן בידי - אינו נאמן. ורבא לית ליה האי סברא? והא רבא אפיק זוגא דסרבלא</w:t>
      </w:r>
      <w:r w:rsidRPr="0004348D">
        <w:rPr>
          <w:rFonts w:ascii="Calibri" w:eastAsia="Calibri" w:hAnsi="Calibri" w:cs="Arial"/>
          <w:vertAlign w:val="superscript"/>
          <w:rtl/>
        </w:rPr>
        <w:footnoteReference w:id="5943"/>
      </w:r>
      <w:r w:rsidRPr="0004348D">
        <w:rPr>
          <w:rFonts w:ascii="Calibri" w:eastAsia="Calibri" w:hAnsi="Calibri" w:cs="Arial"/>
          <w:rtl/>
        </w:rPr>
        <w:t xml:space="preserve"> וספרא דאגדתא מיתמי</w:t>
      </w:r>
      <w:r w:rsidRPr="0004348D">
        <w:rPr>
          <w:rFonts w:ascii="Calibri" w:eastAsia="Calibri" w:hAnsi="Calibri" w:cs="Arial"/>
          <w:vertAlign w:val="superscript"/>
          <w:rtl/>
        </w:rPr>
        <w:footnoteReference w:id="5944"/>
      </w:r>
      <w:r w:rsidRPr="0004348D">
        <w:rPr>
          <w:rFonts w:ascii="Calibri" w:eastAsia="Calibri" w:hAnsi="Calibri" w:cs="Arial"/>
          <w:rtl/>
        </w:rPr>
        <w:t xml:space="preserve"> בדברים העשויין להשאיל ולהשכיר! אמר לך רבא: האי</w:t>
      </w:r>
      <w:r w:rsidRPr="0004348D">
        <w:rPr>
          <w:rFonts w:ascii="Calibri" w:eastAsia="Calibri" w:hAnsi="Calibri" w:cs="Arial"/>
          <w:vertAlign w:val="superscript"/>
          <w:rtl/>
        </w:rPr>
        <w:footnoteReference w:id="5945"/>
      </w:r>
      <w:r w:rsidRPr="0004348D">
        <w:rPr>
          <w:rFonts w:ascii="Calibri" w:eastAsia="Calibri" w:hAnsi="Calibri" w:cs="Arial"/>
          <w:rtl/>
        </w:rPr>
        <w:t xml:space="preserve"> נמי, כיון דמיפגמא - קפדי אינשי ולא מושלי.</w:t>
      </w:r>
    </w:p>
    <w:p w14:paraId="09FF6068" w14:textId="77777777" w:rsidR="0004348D" w:rsidRPr="0004348D" w:rsidRDefault="0004348D" w:rsidP="0004348D">
      <w:pPr>
        <w:spacing w:before="360" w:after="240"/>
        <w:rPr>
          <w:rFonts w:ascii="Calibri" w:eastAsia="Calibri" w:hAnsi="Calibri" w:cs="Arial"/>
          <w:u w:val="single"/>
          <w:rtl/>
        </w:rPr>
      </w:pPr>
      <w:bookmarkStart w:id="855" w:name="_Hlk17709706"/>
      <w:r w:rsidRPr="0004348D">
        <w:rPr>
          <w:rFonts w:ascii="Calibri" w:eastAsia="Calibri" w:hAnsi="Calibri" w:cs="Arial"/>
          <w:u w:val="single"/>
          <w:rtl/>
        </w:rPr>
        <w:t>מהם דברים העשויים להשאיל ולהשכיר:</w:t>
      </w:r>
    </w:p>
    <w:p w14:paraId="25221B19" w14:textId="77777777" w:rsidR="0004348D" w:rsidRPr="0004348D" w:rsidRDefault="0004348D" w:rsidP="0004348D">
      <w:pPr>
        <w:numPr>
          <w:ilvl w:val="0"/>
          <w:numId w:val="356"/>
        </w:numPr>
        <w:spacing w:before="360" w:after="240"/>
        <w:contextualSpacing/>
        <w:rPr>
          <w:rFonts w:ascii="Calibri" w:eastAsia="Calibri" w:hAnsi="Calibri" w:cs="Arial"/>
          <w:rtl/>
        </w:rPr>
      </w:pPr>
      <w:r w:rsidRPr="0004348D">
        <w:rPr>
          <w:rFonts w:ascii="Calibri" w:eastAsia="Calibri" w:hAnsi="Calibri" w:cs="Arial"/>
          <w:rtl/>
        </w:rPr>
        <w:t xml:space="preserve">רמב"ם </w:t>
      </w:r>
      <w:r w:rsidRPr="0004348D">
        <w:rPr>
          <w:rFonts w:ascii="Calibri" w:eastAsia="Calibri" w:hAnsi="Calibri" w:cs="Arial"/>
          <w:sz w:val="16"/>
          <w:szCs w:val="16"/>
          <w:rtl/>
        </w:rPr>
        <w:t>(פ"ח מטוען ונטען ה"ט-י)</w:t>
      </w:r>
      <w:r w:rsidRPr="0004348D">
        <w:rPr>
          <w:rFonts w:ascii="Calibri" w:eastAsia="Calibri" w:hAnsi="Calibri" w:cs="Arial"/>
          <w:rtl/>
        </w:rPr>
        <w:t xml:space="preserve">- אל תטעה בין דברים </w:t>
      </w:r>
      <w:r w:rsidRPr="0004348D">
        <w:rPr>
          <w:rFonts w:ascii="Calibri" w:eastAsia="Calibri" w:hAnsi="Calibri" w:cs="Arial"/>
          <w:b/>
          <w:bCs/>
          <w:rtl/>
        </w:rPr>
        <w:t>העשויין</w:t>
      </w:r>
      <w:r w:rsidRPr="0004348D">
        <w:rPr>
          <w:rFonts w:ascii="Calibri" w:eastAsia="Calibri" w:hAnsi="Calibri" w:cs="Arial"/>
          <w:rtl/>
        </w:rPr>
        <w:t xml:space="preserve"> להשאיל ולהשכיר לדברים </w:t>
      </w:r>
      <w:r w:rsidRPr="0004348D">
        <w:rPr>
          <w:rFonts w:ascii="Calibri" w:eastAsia="Calibri" w:hAnsi="Calibri" w:cs="Arial"/>
          <w:b/>
          <w:bCs/>
          <w:rtl/>
        </w:rPr>
        <w:t>שדרכן</w:t>
      </w:r>
      <w:r w:rsidRPr="0004348D">
        <w:rPr>
          <w:rFonts w:ascii="Calibri" w:eastAsia="Calibri" w:hAnsi="Calibri" w:cs="Arial"/>
          <w:rtl/>
        </w:rPr>
        <w:t xml:space="preserve"> להשאיל ולהשכיר כמו שטעו רבים וגדולים. שכל הדברים - ראויין להשאיל ודרכן להשאיל, אפילו חלוקו של אדם ומצעו ומטתו ראויין להשאיל. אבל דברים העשויין להשאיל ולהשכיר - הם הכלים שבני אותה מדינה עושין אותן מתחלת עשייתן כדי להשאילן ולהשכירן וליטול שכרן והרי הן לבעליהן, כמו קרקע שאוכל פירותיה והגוף קיים, כך אלו הכלים עיקר עשייתן כדי ליהנות בשכרן. כגון היורות הגדולות של נחשת שמבשלין בהן בבית המשתאות. וכגון כלי נחשת הטוח בזהב ששוכרין אותו לכלה להתקשט בו. שעשיית אלו הכלים אינן למכירת עצמן ולא להשתמש בהן בעל הבית בביתו, אלא להשאילן לאחרים כדי ליהנות כנגדן או להשכירן וליטול שכרן. וכן אם היה לאדם משאר הכלים ויש לו עדים שהוא משכירו תמיד ומשאילו והוחזק לו שהוא להשאיל ולהשכיר - הרי הן ככלים העשויין להשאיל ולהשכיר. וכלי שהפסדו מרובה משכרו ובני אדם מקפידין עליו שלא ישאילוהו - הרי הוא בחזקת שאינו עשוי להשאיל ולהשכיר כגון סכין של שחיטה. </w:t>
      </w:r>
    </w:p>
    <w:p w14:paraId="28765318" w14:textId="77777777" w:rsidR="0004348D" w:rsidRPr="0004348D" w:rsidRDefault="0004348D" w:rsidP="0004348D">
      <w:pPr>
        <w:numPr>
          <w:ilvl w:val="0"/>
          <w:numId w:val="356"/>
        </w:numPr>
        <w:spacing w:before="360" w:after="240"/>
        <w:contextualSpacing/>
        <w:rPr>
          <w:rFonts w:ascii="Calibri" w:eastAsia="Calibri" w:hAnsi="Calibri" w:cs="Arial"/>
        </w:rPr>
      </w:pPr>
      <w:r w:rsidRPr="0004348D">
        <w:rPr>
          <w:rFonts w:ascii="Calibri" w:eastAsia="Calibri" w:hAnsi="Calibri" w:cs="Arial"/>
          <w:rtl/>
        </w:rPr>
        <w:t xml:space="preserve">רי"ף </w:t>
      </w:r>
      <w:r w:rsidRPr="0004348D">
        <w:rPr>
          <w:rFonts w:ascii="Calibri" w:eastAsia="Calibri" w:hAnsi="Calibri" w:cs="Arial"/>
          <w:sz w:val="16"/>
          <w:szCs w:val="16"/>
          <w:rtl/>
        </w:rPr>
        <w:t xml:space="preserve">(סי' עד) </w:t>
      </w:r>
      <w:r w:rsidRPr="0004348D">
        <w:rPr>
          <w:rFonts w:ascii="Calibri" w:eastAsia="Calibri" w:hAnsi="Calibri" w:cs="Arial"/>
          <w:rtl/>
        </w:rPr>
        <w:t>ור"ת</w:t>
      </w:r>
      <w:r w:rsidRPr="0004348D">
        <w:rPr>
          <w:rFonts w:ascii="Calibri" w:eastAsia="Calibri" w:hAnsi="Calibri" w:cs="Arial"/>
          <w:sz w:val="16"/>
          <w:szCs w:val="16"/>
          <w:rtl/>
        </w:rPr>
        <w:t xml:space="preserve"> (בתוס' ב"מ קטז. ד"ה והא)</w:t>
      </w:r>
      <w:r w:rsidRPr="0004348D">
        <w:rPr>
          <w:rFonts w:ascii="Calibri" w:eastAsia="Calibri" w:hAnsi="Calibri" w:cs="Arial"/>
          <w:rtl/>
        </w:rPr>
        <w:t>- א"צ שיהא תחילת עשייתם להשאיל ולהשכיר אלא כל דבר שמקפידין עליו להשאיל מפני חשיבותו או שמתקלקל - הוא דבר שאין דרכו להשאיל ולהשכיר. ושאר כל הדברים - הן דרכן להשאיל ולהשכיר, והוא שיהיה זה שהחפץ בידו רגיל אצל בעל החפץ וגם שיהיה בעל החפץ רגיל להשאיל כליו לאחרים, והכל תלוי באהבת האיש ובשנאתו ולפי מנהגו ומנהג המקום ולפי ראות הדיין. כי יש אדם קשה שאינו משאיל כליו לשום אדם, ויש שמשאיל לכל אדם אע"פ שאינן רגילין אצלו, ויש שמשאיל לרגילים ואינו משאיל לשאינן רגילין אצלו</w:t>
      </w:r>
      <w:r w:rsidRPr="0004348D">
        <w:rPr>
          <w:rFonts w:ascii="Calibri" w:eastAsia="Calibri" w:hAnsi="Calibri" w:cs="Arial"/>
          <w:vertAlign w:val="superscript"/>
          <w:rtl/>
        </w:rPr>
        <w:footnoteReference w:id="5946"/>
      </w:r>
      <w:r w:rsidRPr="0004348D">
        <w:rPr>
          <w:rFonts w:ascii="Calibri" w:eastAsia="Calibri" w:hAnsi="Calibri" w:cs="Arial"/>
          <w:sz w:val="16"/>
          <w:szCs w:val="16"/>
          <w:rtl/>
        </w:rPr>
        <w:t xml:space="preserve"> (ל' הטור בשם הרי"ף ור"ת)</w:t>
      </w:r>
      <w:r w:rsidRPr="0004348D">
        <w:rPr>
          <w:rFonts w:ascii="Calibri" w:eastAsia="Calibri" w:hAnsi="Calibri" w:cs="Arial"/>
          <w:rtl/>
        </w:rPr>
        <w:t xml:space="preserve">. </w:t>
      </w:r>
      <w:r w:rsidRPr="0004348D">
        <w:rPr>
          <w:rFonts w:ascii="Calibri" w:eastAsia="Calibri" w:hAnsi="Calibri" w:cs="Arial"/>
          <w:color w:val="00B0F0"/>
          <w:rtl/>
        </w:rPr>
        <w:t>(וכ"פ הרמ"א)</w:t>
      </w:r>
    </w:p>
    <w:p w14:paraId="5E5E7E5B" w14:textId="77777777" w:rsidR="0004348D" w:rsidRPr="0004348D" w:rsidRDefault="0004348D" w:rsidP="0004348D">
      <w:pPr>
        <w:numPr>
          <w:ilvl w:val="0"/>
          <w:numId w:val="356"/>
        </w:numPr>
        <w:spacing w:before="360" w:after="240"/>
        <w:contextualSpacing/>
        <w:rPr>
          <w:rFonts w:ascii="Calibri" w:eastAsia="Calibri" w:hAnsi="Calibri" w:cs="Arial"/>
        </w:rPr>
      </w:pPr>
      <w:r w:rsidRPr="0004348D">
        <w:rPr>
          <w:rFonts w:ascii="Calibri" w:eastAsia="Calibri" w:hAnsi="Calibri" w:cs="Arial"/>
          <w:rtl/>
        </w:rPr>
        <w:t xml:space="preserve">רשב"א </w:t>
      </w:r>
      <w:r w:rsidRPr="0004348D">
        <w:rPr>
          <w:rFonts w:ascii="Calibri" w:eastAsia="Calibri" w:hAnsi="Calibri" w:cs="Arial"/>
          <w:sz w:val="16"/>
          <w:szCs w:val="16"/>
          <w:rtl/>
        </w:rPr>
        <w:t>(ח"ו סי' קיט)</w:t>
      </w:r>
      <w:r w:rsidRPr="0004348D">
        <w:rPr>
          <w:rFonts w:ascii="Calibri" w:eastAsia="Calibri" w:hAnsi="Calibri" w:cs="Arial"/>
          <w:rtl/>
        </w:rPr>
        <w:t>- כך מסורת בידינו שבדברים אלו הולכין אחר המנהג כל מקום ומקום, כל שנהגו להשאיל כיוצא בהן או להשכירן באותו מקום כספרי הגמרא ופירושיהן בארצנו שנהגו להשאילן תמיד דרך זה לשאול ודרך זה להשאיל, וכן דברים אחרים לפי מה שיראה הדיין שעשוי זה לשאול וזה להשאיל. ותדע דהא ספרא דאגדתא אין מן הדעת לומר שעושין אותן בתחלתן להשאילן ורבא אפקינהו מיתמי משום דברים העשויים להשאיל ולהשכיר, שכן היו עשויים שם להשכירם ולהשאילם.</w:t>
      </w:r>
    </w:p>
    <w:p w14:paraId="6A226390" w14:textId="77777777" w:rsidR="0004348D" w:rsidRPr="0004348D" w:rsidRDefault="0004348D" w:rsidP="0004348D">
      <w:pPr>
        <w:spacing w:before="360" w:after="240"/>
        <w:ind w:left="360"/>
        <w:rPr>
          <w:rFonts w:ascii="Calibri" w:eastAsia="Calibri" w:hAnsi="Calibri" w:cs="Arial"/>
          <w:u w:val="dotted"/>
          <w:rtl/>
        </w:rPr>
      </w:pPr>
      <w:bookmarkStart w:id="856" w:name="_Hlk17709785"/>
      <w:bookmarkEnd w:id="855"/>
      <w:r w:rsidRPr="0004348D">
        <w:rPr>
          <w:rFonts w:ascii="Calibri" w:eastAsia="Calibri" w:hAnsi="Calibri" w:cs="Arial"/>
          <w:u w:val="dotted"/>
          <w:rtl/>
        </w:rPr>
        <w:t>ומה דין ספרים:</w:t>
      </w:r>
    </w:p>
    <w:p w14:paraId="44528AD7" w14:textId="77777777" w:rsidR="0004348D" w:rsidRPr="0004348D" w:rsidRDefault="0004348D" w:rsidP="0004348D">
      <w:pPr>
        <w:numPr>
          <w:ilvl w:val="0"/>
          <w:numId w:val="356"/>
        </w:numPr>
        <w:spacing w:before="360" w:after="240"/>
        <w:contextualSpacing/>
        <w:rPr>
          <w:rFonts w:ascii="Calibri" w:eastAsia="Calibri" w:hAnsi="Calibri" w:cs="Arial"/>
          <w:rtl/>
        </w:rPr>
      </w:pPr>
      <w:r w:rsidRPr="0004348D">
        <w:rPr>
          <w:rFonts w:ascii="Calibri" w:eastAsia="Calibri" w:hAnsi="Calibri" w:cs="Arial"/>
          <w:rtl/>
        </w:rPr>
        <w:t xml:space="preserve">רש"י </w:t>
      </w:r>
      <w:r w:rsidRPr="0004348D">
        <w:rPr>
          <w:rFonts w:ascii="Calibri" w:eastAsia="Calibri" w:hAnsi="Calibri" w:cs="Arial"/>
          <w:sz w:val="16"/>
          <w:szCs w:val="16"/>
          <w:rtl/>
        </w:rPr>
        <w:t xml:space="preserve">(פרק כל הנשבעין מו: ד"ה מיתמי) </w:t>
      </w:r>
      <w:r w:rsidRPr="0004348D">
        <w:rPr>
          <w:rFonts w:ascii="Calibri" w:eastAsia="Calibri" w:hAnsi="Calibri" w:cs="Arial"/>
          <w:rtl/>
        </w:rPr>
        <w:t xml:space="preserve">בשם רבו- דוקא ספרא דאגדתא שאין אדם עשוי ללמוד בו תמיד, אבל שאר ספרים - אינם עשויים להשאיל ולהשכיר. </w:t>
      </w:r>
    </w:p>
    <w:p w14:paraId="2DA539CA" w14:textId="77777777" w:rsidR="0004348D" w:rsidRPr="0004348D" w:rsidRDefault="0004348D" w:rsidP="0004348D">
      <w:pPr>
        <w:numPr>
          <w:ilvl w:val="0"/>
          <w:numId w:val="356"/>
        </w:numPr>
        <w:spacing w:before="360" w:after="240"/>
        <w:contextualSpacing/>
        <w:rPr>
          <w:rFonts w:ascii="Calibri" w:eastAsia="Calibri" w:hAnsi="Calibri" w:cs="Arial"/>
          <w:rtl/>
        </w:rPr>
      </w:pPr>
      <w:r w:rsidRPr="0004348D">
        <w:rPr>
          <w:rFonts w:ascii="Calibri" w:eastAsia="Calibri" w:hAnsi="Calibri" w:cs="Arial"/>
          <w:rtl/>
        </w:rPr>
        <w:t xml:space="preserve">ר"ת </w:t>
      </w:r>
      <w:r w:rsidRPr="0004348D">
        <w:rPr>
          <w:rFonts w:ascii="Calibri" w:eastAsia="Calibri" w:hAnsi="Calibri" w:cs="Arial"/>
          <w:sz w:val="16"/>
          <w:szCs w:val="16"/>
          <w:rtl/>
        </w:rPr>
        <w:t>(שם תוד"ה וספרא)</w:t>
      </w:r>
      <w:r w:rsidRPr="0004348D">
        <w:rPr>
          <w:rFonts w:ascii="Calibri" w:eastAsia="Calibri" w:hAnsi="Calibri" w:cs="Arial"/>
          <w:rtl/>
        </w:rPr>
        <w:t>- אין לחלק בספרים</w:t>
      </w:r>
      <w:r w:rsidRPr="0004348D">
        <w:rPr>
          <w:rFonts w:ascii="Calibri" w:eastAsia="Calibri" w:hAnsi="Calibri" w:cs="Arial"/>
          <w:vertAlign w:val="superscript"/>
          <w:rtl/>
        </w:rPr>
        <w:footnoteReference w:id="5947"/>
      </w:r>
      <w:r w:rsidRPr="0004348D">
        <w:rPr>
          <w:rFonts w:ascii="Calibri" w:eastAsia="Calibri" w:hAnsi="Calibri" w:cs="Arial"/>
          <w:rtl/>
        </w:rPr>
        <w:t xml:space="preserve"> דאמרינן פרק נערה </w:t>
      </w:r>
      <w:r w:rsidRPr="0004348D">
        <w:rPr>
          <w:rFonts w:ascii="Calibri" w:eastAsia="Calibri" w:hAnsi="Calibri" w:cs="Arial"/>
          <w:sz w:val="16"/>
          <w:szCs w:val="16"/>
          <w:rtl/>
        </w:rPr>
        <w:t xml:space="preserve">(כתובות נ.) </w:t>
      </w:r>
      <w:r w:rsidRPr="0004348D">
        <w:rPr>
          <w:rFonts w:ascii="Calibri" w:eastAsia="Calibri" w:hAnsi="Calibri" w:cs="Arial"/>
          <w:rtl/>
        </w:rPr>
        <w:t xml:space="preserve">וצדקתו עומדת לעד </w:t>
      </w:r>
      <w:r w:rsidRPr="0004348D">
        <w:rPr>
          <w:rFonts w:ascii="Calibri" w:eastAsia="Calibri" w:hAnsi="Calibri" w:cs="Arial"/>
          <w:sz w:val="16"/>
          <w:szCs w:val="16"/>
          <w:rtl/>
        </w:rPr>
        <w:t>(תהלים קיב ג)</w:t>
      </w:r>
      <w:r w:rsidRPr="0004348D">
        <w:rPr>
          <w:rFonts w:ascii="Calibri" w:eastAsia="Calibri" w:hAnsi="Calibri" w:cs="Arial"/>
          <w:rtl/>
        </w:rPr>
        <w:t xml:space="preserve"> זה הכותב ספרים ומשאילן לאחרים. </w:t>
      </w:r>
    </w:p>
    <w:bookmarkEnd w:id="856"/>
    <w:p w14:paraId="36A6D280" w14:textId="77777777" w:rsidR="0004348D" w:rsidRPr="0004348D" w:rsidRDefault="0004348D" w:rsidP="0004348D">
      <w:pPr>
        <w:spacing w:before="360" w:after="240"/>
        <w:rPr>
          <w:rFonts w:ascii="Arial" w:eastAsia="Calibri" w:hAnsi="Arial" w:cs="Arial"/>
          <w:b/>
          <w:bCs/>
          <w:color w:val="000000"/>
          <w:sz w:val="28"/>
          <w:szCs w:val="28"/>
          <w:u w:val="single"/>
          <w:rtl/>
        </w:rPr>
      </w:pPr>
      <w:r w:rsidRPr="0004348D">
        <w:rPr>
          <w:rFonts w:ascii="Arial" w:eastAsia="Calibri" w:hAnsi="Arial" w:cs="Arial"/>
          <w:b/>
          <w:bCs/>
          <w:color w:val="000000"/>
          <w:sz w:val="28"/>
          <w:szCs w:val="28"/>
          <w:u w:val="single"/>
          <w:rtl/>
        </w:rPr>
        <w:t>שו"ע:</w:t>
      </w:r>
    </w:p>
    <w:p w14:paraId="38E6435B" w14:textId="77777777" w:rsidR="0004348D" w:rsidRPr="0004348D" w:rsidRDefault="0004348D" w:rsidP="0004348D">
      <w:pPr>
        <w:spacing w:before="360" w:after="240"/>
        <w:rPr>
          <w:rFonts w:ascii="Calibri" w:eastAsia="Calibri" w:hAnsi="Calibri" w:cs="Arial"/>
          <w:rtl/>
        </w:rPr>
      </w:pPr>
      <w:r w:rsidRPr="0004348D">
        <w:rPr>
          <w:rFonts w:ascii="Calibri" w:eastAsia="Calibri" w:hAnsi="Calibri" w:cs="Arial"/>
          <w:rtl/>
        </w:rPr>
        <w:t>דברים העשויים להשאיל ולהשכיר, להרמב"ם, היינו כלים שתחלת עשייתם להשאיל ולהשכיר. להרי"ף ור"ת, כל כלי שמקפידים עליו להשאילו מפני חשיבותו או שמתקלקל הוא דבר שאין דרכו להשאיל ולהשכיר, ושאר כל הכלים</w:t>
      </w:r>
      <w:r w:rsidRPr="0004348D">
        <w:rPr>
          <w:rFonts w:ascii="Calibri" w:eastAsia="Calibri" w:hAnsi="Calibri" w:cs="Arial"/>
          <w:vertAlign w:val="superscript"/>
          <w:rtl/>
        </w:rPr>
        <w:footnoteReference w:id="5948"/>
      </w:r>
      <w:r w:rsidRPr="0004348D">
        <w:rPr>
          <w:rFonts w:ascii="Calibri" w:eastAsia="Calibri" w:hAnsi="Calibri" w:cs="Arial"/>
          <w:rtl/>
        </w:rPr>
        <w:t xml:space="preserve"> דרכן להשאיל ולהשכיר, והוא שיהיה זה שהחפץ בידו רגיל אצל בעל החפץ, וגם שיהיה בעל החפץ רגיל להשאיל כליו לאחרים. </w:t>
      </w:r>
      <w:r w:rsidRPr="0004348D">
        <w:rPr>
          <w:rFonts w:ascii="Calibri" w:eastAsia="Calibri" w:hAnsi="Calibri" w:cs="Arial"/>
          <w:sz w:val="18"/>
          <w:szCs w:val="18"/>
          <w:rtl/>
        </w:rPr>
        <w:t>הגה: וזה הכל תלוי באהבת האיש ושנאתו, ולפי מנהג המקום ולפי ראות עיני הדיין לפי מה שהתובע והנתבע הם בני אדם (טור).</w:t>
      </w:r>
      <w:r w:rsidRPr="0004348D">
        <w:rPr>
          <w:rFonts w:ascii="Calibri" w:eastAsia="Calibri" w:hAnsi="Calibri" w:cs="Arial"/>
          <w:rtl/>
        </w:rPr>
        <w:t xml:space="preserve"> </w:t>
      </w:r>
    </w:p>
    <w:p w14:paraId="74B2BF24" w14:textId="77777777" w:rsidR="0004348D" w:rsidRPr="0004348D" w:rsidRDefault="0004348D" w:rsidP="0004348D">
      <w:pPr>
        <w:spacing w:before="360" w:after="240"/>
        <w:rPr>
          <w:rFonts w:ascii="Calibri" w:eastAsia="Calibri" w:hAnsi="Calibri" w:cs="Arial"/>
          <w:rtl/>
        </w:rPr>
      </w:pPr>
    </w:p>
    <w:p w14:paraId="085BB40E" w14:textId="77777777" w:rsidR="0004348D" w:rsidRPr="0004348D" w:rsidRDefault="0004348D" w:rsidP="0004348D">
      <w:pPr>
        <w:keepNext/>
        <w:keepLines/>
        <w:spacing w:before="360" w:after="240"/>
        <w:outlineLvl w:val="1"/>
        <w:rPr>
          <w:rFonts w:ascii="Cambria" w:eastAsia="Times New Roman" w:hAnsi="Cambria" w:cs="Arial"/>
          <w:bCs/>
          <w:color w:val="548DD4" w:themeColor="text2" w:themeTint="99"/>
          <w:sz w:val="26"/>
          <w:szCs w:val="26"/>
          <w:rtl/>
        </w:rPr>
      </w:pPr>
      <w:bookmarkStart w:id="857" w:name="_Toc24884237"/>
      <w:r w:rsidRPr="0004348D">
        <w:rPr>
          <w:rFonts w:ascii="Cambria" w:eastAsia="Times New Roman" w:hAnsi="Cambria" w:cs="Arial"/>
          <w:bCs/>
          <w:color w:val="548DD4" w:themeColor="text2" w:themeTint="99"/>
          <w:sz w:val="26"/>
          <w:szCs w:val="26"/>
          <w:rtl/>
        </w:rPr>
        <w:t>סעיף כ: מוחזק במשכון שטוען שהמשכון שווה יותר ממה ששמין אותו הבקיאין.</w:t>
      </w:r>
      <w:bookmarkEnd w:id="857"/>
    </w:p>
    <w:p w14:paraId="411726D2" w14:textId="77777777" w:rsidR="0004348D" w:rsidRPr="0004348D" w:rsidRDefault="0004348D" w:rsidP="0004348D">
      <w:pPr>
        <w:spacing w:before="360" w:after="240"/>
        <w:rPr>
          <w:rFonts w:ascii="Calibri" w:eastAsia="Calibri" w:hAnsi="Calibri" w:cs="Arial"/>
          <w:u w:val="single"/>
          <w:rtl/>
        </w:rPr>
      </w:pPr>
      <w:r w:rsidRPr="0004348D">
        <w:rPr>
          <w:rFonts w:ascii="Calibri" w:eastAsia="Calibri" w:hAnsi="Calibri" w:cs="Arial"/>
          <w:u w:val="single"/>
          <w:rtl/>
        </w:rPr>
        <w:t>המוחזק במשכון טוען שהמשכון שווה יותר ממה ששמין אותו הבקיאין – והלוה כופר בכל אך מוכן לשלם כפי הבקיאין:</w:t>
      </w:r>
    </w:p>
    <w:p w14:paraId="303926CC" w14:textId="77777777" w:rsidR="0004348D" w:rsidRPr="0004348D" w:rsidRDefault="0004348D" w:rsidP="00992A87">
      <w:pPr>
        <w:numPr>
          <w:ilvl w:val="0"/>
          <w:numId w:val="370"/>
        </w:numPr>
        <w:spacing w:before="360" w:after="240"/>
        <w:contextualSpacing/>
        <w:rPr>
          <w:rFonts w:ascii="Calibri" w:eastAsia="Calibri" w:hAnsi="Calibri" w:cs="Arial"/>
          <w:rtl/>
        </w:rPr>
      </w:pPr>
      <w:r w:rsidRPr="0004348D">
        <w:rPr>
          <w:rFonts w:ascii="Calibri" w:eastAsia="Calibri" w:hAnsi="Calibri" w:cs="Arial"/>
          <w:rtl/>
        </w:rPr>
        <w:t xml:space="preserve">בעל התרומות </w:t>
      </w:r>
      <w:r w:rsidRPr="0004348D">
        <w:rPr>
          <w:rFonts w:ascii="Calibri" w:eastAsia="Calibri" w:hAnsi="Calibri" w:cs="Arial"/>
          <w:sz w:val="16"/>
          <w:szCs w:val="16"/>
          <w:rtl/>
        </w:rPr>
        <w:t>(שער מט חט"ו)</w:t>
      </w:r>
      <w:r w:rsidRPr="0004348D">
        <w:rPr>
          <w:rFonts w:ascii="Calibri" w:eastAsia="Calibri" w:hAnsi="Calibri" w:cs="Arial"/>
          <w:rtl/>
        </w:rPr>
        <w:t xml:space="preserve">- המוחזק במשכון שלא בעדים </w:t>
      </w:r>
      <w:r w:rsidRPr="0004348D">
        <w:rPr>
          <w:rFonts w:ascii="Calibri" w:eastAsia="Calibri" w:hAnsi="Calibri" w:cs="Arial"/>
          <w:sz w:val="16"/>
          <w:szCs w:val="16"/>
          <w:rtl/>
        </w:rPr>
        <w:t>{שאמרנו שיכול לטעון עליו עד כדי דמיו}</w:t>
      </w:r>
      <w:r w:rsidRPr="0004348D">
        <w:rPr>
          <w:rFonts w:ascii="Calibri" w:eastAsia="Calibri" w:hAnsi="Calibri" w:cs="Arial"/>
          <w:rtl/>
        </w:rPr>
        <w:t>, אם אינו שוה לשומת הבקיאין החצי שהוא טוען עליו, ואומר 'אני אטלנו בחובי לפי שהוא שוה בעיני כדי חובי', והאחר כופר שאינו חייב לו כלום ואומר 'אע"פ שאיני חייב לו אני רוצה לסלקו בדמים שהוא שוה לשאר בני אדם' - הדין עם בעל הכלים, שלא האמינו להמחזיק אלא בשביל תפיסתו, לפיכך אינו נאמן אלא בכדי תפישתו ולא יותר, לפיכך יתן לו כדי שוויין לשאר ב"א ויקחנו אם ירצה</w:t>
      </w:r>
      <w:r w:rsidRPr="0004348D">
        <w:rPr>
          <w:rFonts w:ascii="Calibri" w:eastAsia="Calibri" w:hAnsi="Calibri" w:cs="Arial"/>
          <w:vertAlign w:val="superscript"/>
          <w:rtl/>
        </w:rPr>
        <w:footnoteReference w:id="5949"/>
      </w:r>
      <w:r w:rsidRPr="0004348D">
        <w:rPr>
          <w:rFonts w:ascii="Calibri" w:eastAsia="Calibri" w:hAnsi="Calibri" w:cs="Arial"/>
          <w:rtl/>
        </w:rPr>
        <w:t xml:space="preserve">. </w:t>
      </w:r>
      <w:r w:rsidRPr="0004348D">
        <w:rPr>
          <w:rFonts w:ascii="Calibri" w:eastAsia="Calibri" w:hAnsi="Calibri" w:cs="Arial"/>
          <w:color w:val="E36C0A" w:themeColor="accent6" w:themeShade="BF"/>
          <w:rtl/>
        </w:rPr>
        <w:t>(וכ"פ בשו"ע)</w:t>
      </w:r>
    </w:p>
    <w:p w14:paraId="1B923827" w14:textId="77777777" w:rsidR="0004348D" w:rsidRPr="0004348D" w:rsidRDefault="0004348D" w:rsidP="00992A87">
      <w:pPr>
        <w:numPr>
          <w:ilvl w:val="0"/>
          <w:numId w:val="370"/>
        </w:numPr>
        <w:spacing w:before="360" w:after="240"/>
        <w:contextualSpacing/>
        <w:rPr>
          <w:rFonts w:ascii="Calibri" w:eastAsia="Calibri" w:hAnsi="Calibri" w:cs="Arial"/>
        </w:rPr>
      </w:pPr>
      <w:r w:rsidRPr="0004348D">
        <w:rPr>
          <w:rFonts w:ascii="Calibri" w:eastAsia="Calibri" w:hAnsi="Calibri" w:cs="Arial"/>
          <w:rtl/>
        </w:rPr>
        <w:t xml:space="preserve">י"א </w:t>
      </w:r>
      <w:r w:rsidRPr="0004348D">
        <w:rPr>
          <w:rFonts w:ascii="Calibri" w:eastAsia="Calibri" w:hAnsi="Calibri" w:cs="Arial"/>
          <w:sz w:val="16"/>
          <w:szCs w:val="16"/>
          <w:rtl/>
        </w:rPr>
        <w:t xml:space="preserve">(הביאם בעל התרומות שם) </w:t>
      </w:r>
      <w:r w:rsidRPr="0004348D">
        <w:rPr>
          <w:rFonts w:ascii="Calibri" w:eastAsia="Calibri" w:hAnsi="Calibri" w:cs="Arial"/>
          <w:rtl/>
        </w:rPr>
        <w:t>וטור- הדין עם המחזיק</w:t>
      </w:r>
      <w:r w:rsidRPr="0004348D">
        <w:rPr>
          <w:rFonts w:ascii="Calibri" w:eastAsia="Calibri" w:hAnsi="Calibri" w:cs="Arial"/>
          <w:vertAlign w:val="superscript"/>
          <w:rtl/>
        </w:rPr>
        <w:footnoteReference w:id="5950"/>
      </w:r>
      <w:r w:rsidRPr="0004348D">
        <w:rPr>
          <w:rFonts w:ascii="Calibri" w:eastAsia="Calibri" w:hAnsi="Calibri" w:cs="Arial"/>
          <w:rtl/>
        </w:rPr>
        <w:t xml:space="preserve">. </w:t>
      </w:r>
      <w:r w:rsidRPr="0004348D">
        <w:rPr>
          <w:rFonts w:ascii="Calibri" w:eastAsia="Calibri" w:hAnsi="Calibri" w:cs="Arial"/>
          <w:color w:val="00B0F0"/>
          <w:rtl/>
        </w:rPr>
        <w:t>(וכ"פ הרמ"א)</w:t>
      </w:r>
    </w:p>
    <w:p w14:paraId="5380F40D" w14:textId="77777777" w:rsidR="0004348D" w:rsidRPr="0004348D" w:rsidRDefault="0004348D" w:rsidP="0004348D">
      <w:pPr>
        <w:spacing w:before="360" w:after="240"/>
        <w:rPr>
          <w:rFonts w:ascii="Calibri" w:eastAsia="Calibri" w:hAnsi="Calibri" w:cs="Arial"/>
          <w:u w:val="single"/>
        </w:rPr>
      </w:pPr>
      <w:r w:rsidRPr="0004348D">
        <w:rPr>
          <w:rFonts w:ascii="Calibri" w:eastAsia="Calibri" w:hAnsi="Calibri" w:cs="Arial"/>
          <w:u w:val="single"/>
          <w:rtl/>
        </w:rPr>
        <w:t>ראובן משכן כלי לשמעון בחמשה דינרים - וכשבא לפדותו טען שמעון שהוא מעכבו בעד חמשה דינרים אחרים:</w:t>
      </w:r>
    </w:p>
    <w:p w14:paraId="151F864B" w14:textId="77777777" w:rsidR="0004348D" w:rsidRPr="0004348D" w:rsidRDefault="0004348D" w:rsidP="00992A87">
      <w:pPr>
        <w:numPr>
          <w:ilvl w:val="0"/>
          <w:numId w:val="370"/>
        </w:numPr>
        <w:spacing w:before="360" w:after="240"/>
        <w:contextualSpacing/>
        <w:rPr>
          <w:rFonts w:ascii="Calibri" w:eastAsia="Calibri" w:hAnsi="Calibri" w:cs="Arial"/>
        </w:rPr>
      </w:pPr>
      <w:r w:rsidRPr="0004348D">
        <w:rPr>
          <w:rFonts w:ascii="Calibri" w:eastAsia="Calibri" w:hAnsi="Calibri" w:cs="Arial"/>
          <w:rtl/>
        </w:rPr>
        <w:t xml:space="preserve">רשב"א </w:t>
      </w:r>
      <w:r w:rsidRPr="0004348D">
        <w:rPr>
          <w:rFonts w:ascii="Calibri" w:eastAsia="Calibri" w:hAnsi="Calibri" w:cs="Arial"/>
          <w:sz w:val="16"/>
          <w:szCs w:val="16"/>
          <w:rtl/>
        </w:rPr>
        <w:t>(ח"ג סי' לה)</w:t>
      </w:r>
      <w:r w:rsidRPr="0004348D">
        <w:rPr>
          <w:rFonts w:ascii="Calibri" w:eastAsia="Calibri" w:hAnsi="Calibri" w:cs="Arial"/>
          <w:rtl/>
        </w:rPr>
        <w:t xml:space="preserve">- ראובן משכן כלי לשמעון בחמשה דינרים, וכשבא לפדותו טען שמעון שהוא מעכבו בעד חמשה דינרים אחרים שחייב לו מצד אחר ועמד לוי ואמר שהכלי הוא שלו ושהוא הפקידו ביד ראובן וששמעון חייב להחזירו לו בלא כלום ושמעון מודה שהכלי של לוי. תשובה, הדין עם לוי, וכדי להתלמד במקום אחר הריני כותב לך כל פרטי דין זה, כבר ידעת שכל המטלטלין תפיסתן היא חזקתן, רצוני לומר שאפילו נודע שכלי זה היה של ראובן כל שהוא ביד שמעון אין ראובן נאמן לומר הפקדתיו או השאלתיו לך כל שאינו מן הכלים העשויים להשאיל ולהשכיר, והוא שלא יהא שמעון זה אומן. ואפילו טוען ראובן של לוי הוא והוא הפקידו בידי אינו נאמן לחוב לשמעון וכדאמרינן בפ"ב דכתובות </w:t>
      </w:r>
      <w:r w:rsidRPr="0004348D">
        <w:rPr>
          <w:rFonts w:ascii="Calibri" w:eastAsia="Calibri" w:hAnsi="Calibri" w:cs="Arial"/>
          <w:sz w:val="16"/>
          <w:szCs w:val="16"/>
          <w:rtl/>
        </w:rPr>
        <w:t xml:space="preserve">(יט.) </w:t>
      </w:r>
      <w:r w:rsidRPr="0004348D">
        <w:rPr>
          <w:rFonts w:ascii="Calibri" w:eastAsia="Calibri" w:hAnsi="Calibri" w:cs="Arial"/>
          <w:rtl/>
        </w:rPr>
        <w:t xml:space="preserve">גבי האומר שטר אמנה הוא זה. וכל שכן דאין ראובן נאמן לומר גנבו או גזלו ממני וכדאיתא בפרק כל הנשבעין </w:t>
      </w:r>
      <w:r w:rsidRPr="0004348D">
        <w:rPr>
          <w:rFonts w:ascii="Calibri" w:eastAsia="Calibri" w:hAnsi="Calibri" w:cs="Arial"/>
          <w:sz w:val="16"/>
          <w:szCs w:val="16"/>
          <w:rtl/>
        </w:rPr>
        <w:t>(שבועות מו:)</w:t>
      </w:r>
      <w:r w:rsidRPr="0004348D">
        <w:rPr>
          <w:rFonts w:ascii="Calibri" w:eastAsia="Calibri" w:hAnsi="Calibri" w:cs="Arial"/>
          <w:rtl/>
        </w:rPr>
        <w:t xml:space="preserve">. אבל אם יש עדים שהפקידו לוי ביד ראובן וראוהו עדים עכשיו ביד שמעון חייב שמעון להחזירו ללוי, ואין ראובן נאמן לומר חזרתי ולקחתיו מלוי דהא איכא עדים וראה וכדאיתא בפרק חזקת </w:t>
      </w:r>
      <w:r w:rsidRPr="0004348D">
        <w:rPr>
          <w:rFonts w:ascii="Calibri" w:eastAsia="Calibri" w:hAnsi="Calibri" w:cs="Arial"/>
          <w:sz w:val="16"/>
          <w:szCs w:val="16"/>
          <w:rtl/>
        </w:rPr>
        <w:t>(ב"ב מו.)</w:t>
      </w:r>
      <w:r w:rsidRPr="0004348D">
        <w:rPr>
          <w:rFonts w:ascii="Calibri" w:eastAsia="Calibri" w:hAnsi="Calibri" w:cs="Arial"/>
          <w:rtl/>
        </w:rPr>
        <w:t xml:space="preserve">, ומיהו אע"ג דאיכא עדים וראה אם טען שמעון בפני חזרת ומכרתו לראובן או בפני אמרת לו למכרו או למשכנו - נאמן במגו דאי בעי אמר אתה מכרתו או נתתו לי. ואם שמעון מודה שהכלי של לוי שהפקידו ביד ראובן - אפילו ליכא עדים וראה חייב שמעון להחזירו ללוי, דכל שהוא יודע - הוא עומד במקום עדי פקדון ובמקום עדי ראה, וכאותה שאמרו בפרק חזקת </w:t>
      </w:r>
      <w:r w:rsidRPr="0004348D">
        <w:rPr>
          <w:rFonts w:ascii="Calibri" w:eastAsia="Calibri" w:hAnsi="Calibri" w:cs="Arial"/>
          <w:sz w:val="16"/>
          <w:szCs w:val="16"/>
          <w:rtl/>
        </w:rPr>
        <w:t xml:space="preserve">(שם ל.) </w:t>
      </w:r>
      <w:r w:rsidRPr="0004348D">
        <w:rPr>
          <w:rFonts w:ascii="Calibri" w:eastAsia="Calibri" w:hAnsi="Calibri" w:cs="Arial"/>
          <w:rtl/>
        </w:rPr>
        <w:t xml:space="preserve">ההוא דאמר לחבריה מאי בעית בהאי ביתא, אמר ליה מפלניא זבינתיה דאמר לי דזבנה מינך, אמר ליה ולא מודית דהאי ארעא דידי היא וכו'. ובפרק איזהו נשך </w:t>
      </w:r>
      <w:r w:rsidRPr="0004348D">
        <w:rPr>
          <w:rFonts w:ascii="Calibri" w:eastAsia="Calibri" w:hAnsi="Calibri" w:cs="Arial"/>
          <w:sz w:val="16"/>
          <w:szCs w:val="16"/>
          <w:rtl/>
        </w:rPr>
        <w:t xml:space="preserve">(ב"מ ע.) </w:t>
      </w:r>
      <w:r w:rsidRPr="0004348D">
        <w:rPr>
          <w:rFonts w:ascii="Calibri" w:eastAsia="Calibri" w:hAnsi="Calibri" w:cs="Arial"/>
          <w:rtl/>
        </w:rPr>
        <w:t xml:space="preserve">גבי הני זוזי דיתמי היכי עבדינן להו, אבל מאני לא דלמא בפקדון איתנהו ואתי מרייהו ויהיב סימנא ושקיל להו ואע"ג דכלים טמונים אצל האפוטרופא וליכא רואה עכשיו אפילו הכי כל שיש בו סימן והאפוטרופא רואה אותו סימן הוא עצמו עד ראיה. וראיות אחרות יש בידינו בכתובות. והיכא דגנב ראובן כלי זה ומשכנו אצל שמעון, בכי הא דכבר הלוהו שמעון חמשה דינרים בלא משכון חייב שמעון להחזיר ללוי בלא כלום דאע"ג דעשו תקנת השוק במשכנתא - בכל כה"ג ליכא תקנת השוק כדאיתא בפרק הגוזל ומאכיל </w:t>
      </w:r>
      <w:r w:rsidRPr="0004348D">
        <w:rPr>
          <w:rFonts w:ascii="Calibri" w:eastAsia="Calibri" w:hAnsi="Calibri" w:cs="Arial"/>
          <w:sz w:val="16"/>
          <w:szCs w:val="16"/>
          <w:rtl/>
        </w:rPr>
        <w:t>(ב"ק קטו.)</w:t>
      </w:r>
      <w:r w:rsidRPr="0004348D">
        <w:rPr>
          <w:rFonts w:ascii="Calibri" w:eastAsia="Calibri" w:hAnsi="Calibri" w:cs="Arial"/>
          <w:rtl/>
        </w:rPr>
        <w:t xml:space="preserve"> גבי ההיא דהלכה כרב כהן.</w:t>
      </w:r>
    </w:p>
    <w:p w14:paraId="756FB07A" w14:textId="77777777" w:rsidR="0004348D" w:rsidRPr="0004348D" w:rsidRDefault="0004348D" w:rsidP="0004348D">
      <w:pPr>
        <w:spacing w:before="360" w:after="240"/>
        <w:rPr>
          <w:rFonts w:ascii="Arial" w:eastAsia="Calibri" w:hAnsi="Arial" w:cs="Arial"/>
          <w:b/>
          <w:bCs/>
          <w:color w:val="000000"/>
          <w:sz w:val="28"/>
          <w:szCs w:val="28"/>
          <w:u w:val="single"/>
          <w:rtl/>
        </w:rPr>
      </w:pPr>
      <w:r w:rsidRPr="0004348D">
        <w:rPr>
          <w:rFonts w:ascii="Arial" w:eastAsia="Calibri" w:hAnsi="Arial" w:cs="Arial"/>
          <w:b/>
          <w:bCs/>
          <w:color w:val="000000"/>
          <w:sz w:val="28"/>
          <w:szCs w:val="28"/>
          <w:u w:val="single"/>
          <w:rtl/>
        </w:rPr>
        <w:t>שו"ע:</w:t>
      </w:r>
    </w:p>
    <w:p w14:paraId="58D2323A" w14:textId="77777777" w:rsidR="0004348D" w:rsidRPr="0004348D" w:rsidRDefault="0004348D" w:rsidP="0004348D">
      <w:pPr>
        <w:spacing w:before="360" w:after="240"/>
        <w:rPr>
          <w:rFonts w:ascii="Calibri" w:eastAsia="Calibri" w:hAnsi="Calibri" w:cs="Arial"/>
          <w:rtl/>
        </w:rPr>
      </w:pPr>
      <w:r w:rsidRPr="0004348D">
        <w:rPr>
          <w:rFonts w:ascii="Calibri" w:eastAsia="Calibri" w:hAnsi="Calibri" w:cs="Arial"/>
          <w:rtl/>
        </w:rPr>
        <w:t>המוחזק במשכון שלא בעדים, שאמרנו שיכול לטעון עליו עד כדי דמיו, אם אינו שוה לשומת הבקיאים החצי שהוא טוען עליו, ואומר 'אני אטלנו בחובי לפי שהוא שוה בעיני כדי חובי', והאחד כופר שאינו חייב לו כלום ואומר 'אף על פי שאיני חייב לו אני רוצה לסלקו בדמים שהוא שוה לשאר בני אדם', הדין עם בעל הכלי.</w:t>
      </w:r>
      <w:r w:rsidRPr="0004348D">
        <w:rPr>
          <w:rFonts w:ascii="Calibri" w:eastAsia="Calibri" w:hAnsi="Calibri" w:cs="Arial"/>
          <w:sz w:val="18"/>
          <w:szCs w:val="18"/>
          <w:rtl/>
        </w:rPr>
        <w:t xml:space="preserve"> [הגה] וי"א שהדין עם המחזיק</w:t>
      </w:r>
      <w:r w:rsidRPr="0004348D">
        <w:rPr>
          <w:rFonts w:ascii="Calibri" w:eastAsia="Calibri" w:hAnsi="Calibri" w:cs="Arial"/>
          <w:sz w:val="18"/>
          <w:szCs w:val="18"/>
          <w:vertAlign w:val="superscript"/>
          <w:rtl/>
        </w:rPr>
        <w:footnoteReference w:id="5951"/>
      </w:r>
      <w:r w:rsidRPr="0004348D">
        <w:rPr>
          <w:rFonts w:ascii="Calibri" w:eastAsia="Calibri" w:hAnsi="Calibri" w:cs="Arial"/>
          <w:sz w:val="18"/>
          <w:szCs w:val="18"/>
          <w:rtl/>
        </w:rPr>
        <w:t xml:space="preserve"> (טור), ונראה לי דהמוציא מחבירו עליו הראיה. </w:t>
      </w:r>
    </w:p>
    <w:p w14:paraId="12DDC94B" w14:textId="77777777" w:rsidR="0004348D" w:rsidRPr="0004348D" w:rsidRDefault="0004348D" w:rsidP="0004348D">
      <w:pPr>
        <w:spacing w:before="360" w:after="240"/>
        <w:rPr>
          <w:rFonts w:ascii="Calibri" w:eastAsia="Calibri" w:hAnsi="Calibri" w:cs="Arial"/>
          <w:rtl/>
        </w:rPr>
      </w:pPr>
    </w:p>
    <w:p w14:paraId="617FFD23" w14:textId="77777777" w:rsidR="0004348D" w:rsidRPr="0004348D" w:rsidRDefault="0004348D" w:rsidP="0004348D">
      <w:pPr>
        <w:keepNext/>
        <w:keepLines/>
        <w:spacing w:before="360" w:after="240"/>
        <w:outlineLvl w:val="1"/>
        <w:rPr>
          <w:rFonts w:ascii="Cambria" w:eastAsia="Times New Roman" w:hAnsi="Cambria" w:cs="Arial"/>
          <w:bCs/>
          <w:color w:val="548DD4" w:themeColor="text2" w:themeTint="99"/>
          <w:sz w:val="26"/>
          <w:szCs w:val="26"/>
          <w:rtl/>
        </w:rPr>
      </w:pPr>
      <w:bookmarkStart w:id="858" w:name="_Toc24884238"/>
      <w:r w:rsidRPr="0004348D">
        <w:rPr>
          <w:rFonts w:ascii="Cambria" w:eastAsia="Times New Roman" w:hAnsi="Cambria" w:cs="Arial"/>
          <w:bCs/>
          <w:color w:val="548DD4" w:themeColor="text2" w:themeTint="99"/>
          <w:sz w:val="26"/>
          <w:szCs w:val="26"/>
          <w:rtl/>
        </w:rPr>
        <w:t>סעיף כא: במה המחזיק מקרי מוחזק ובמה לא.</w:t>
      </w:r>
      <w:bookmarkEnd w:id="858"/>
    </w:p>
    <w:p w14:paraId="061F1F14" w14:textId="77777777" w:rsidR="0004348D" w:rsidRPr="0004348D" w:rsidRDefault="0004348D" w:rsidP="0004348D">
      <w:pPr>
        <w:spacing w:before="360" w:after="240"/>
        <w:rPr>
          <w:rFonts w:ascii="Calibri" w:eastAsia="Calibri" w:hAnsi="Calibri" w:cs="Arial"/>
          <w:rtl/>
        </w:rPr>
      </w:pPr>
      <w:r w:rsidRPr="0004348D">
        <w:rPr>
          <w:rFonts w:ascii="Calibri" w:eastAsia="Calibri" w:hAnsi="Calibri" w:cs="Arial"/>
          <w:b/>
          <w:bCs/>
          <w:rtl/>
        </w:rPr>
        <w:t xml:space="preserve">בבא בתרא </w:t>
      </w:r>
      <w:r w:rsidRPr="0004348D">
        <w:rPr>
          <w:rFonts w:ascii="Calibri" w:eastAsia="Calibri" w:hAnsi="Calibri" w:cs="Arial"/>
          <w:b/>
          <w:bCs/>
          <w:sz w:val="16"/>
          <w:szCs w:val="16"/>
          <w:rtl/>
        </w:rPr>
        <w:t xml:space="preserve">(ר"פ חזקת) </w:t>
      </w:r>
      <w:r w:rsidRPr="0004348D">
        <w:rPr>
          <w:rFonts w:ascii="Calibri" w:eastAsia="Calibri" w:hAnsi="Calibri" w:cs="Arial"/>
          <w:b/>
          <w:bCs/>
          <w:rtl/>
        </w:rPr>
        <w:t>כח</w:t>
      </w:r>
      <w:r w:rsidRPr="0004348D">
        <w:rPr>
          <w:rFonts w:ascii="Calibri" w:eastAsia="Calibri" w:hAnsi="Calibri" w:cs="Arial"/>
          <w:b/>
          <w:bCs/>
          <w:vertAlign w:val="superscript"/>
          <w:rtl/>
        </w:rPr>
        <w:footnoteReference w:id="5952"/>
      </w:r>
      <w:r w:rsidRPr="0004348D">
        <w:rPr>
          <w:rFonts w:ascii="Calibri" w:eastAsia="Calibri" w:hAnsi="Calibri" w:cs="Arial"/>
          <w:b/>
          <w:bCs/>
          <w:rtl/>
        </w:rPr>
        <w:t xml:space="preserve"> ע"א:</w:t>
      </w:r>
      <w:r w:rsidRPr="0004348D">
        <w:rPr>
          <w:rFonts w:ascii="Calibri" w:eastAsia="Calibri" w:hAnsi="Calibri" w:cs="Arial"/>
          <w:rtl/>
        </w:rPr>
        <w:t xml:space="preserve"> </w:t>
      </w:r>
      <w:r w:rsidRPr="0004348D">
        <w:rPr>
          <w:rFonts w:ascii="Calibri" w:eastAsia="Calibri" w:hAnsi="Calibri" w:cs="Arial"/>
          <w:u w:val="double"/>
          <w:rtl/>
        </w:rPr>
        <w:t>מתני':</w:t>
      </w:r>
      <w:r w:rsidRPr="0004348D">
        <w:rPr>
          <w:rFonts w:ascii="Calibri" w:eastAsia="Calibri" w:hAnsi="Calibri" w:cs="Arial"/>
          <w:rtl/>
        </w:rPr>
        <w:t xml:space="preserve"> חזקת הבתים, והבורות, והשיחין, והמערות, והשובכות, והמרחצאות, ובית הבדין, ובית השלחין, והעבדים, וכל שהוא עושה פירות תדיר - חזקתן שלש שנים מיום ליום...   </w:t>
      </w:r>
      <w:r w:rsidRPr="0004348D">
        <w:rPr>
          <w:rFonts w:ascii="Calibri" w:eastAsia="Calibri" w:hAnsi="Calibri" w:cs="Arial"/>
          <w:u w:val="double"/>
          <w:rtl/>
        </w:rPr>
        <w:t xml:space="preserve">גמרא </w:t>
      </w:r>
      <w:r w:rsidRPr="0004348D">
        <w:rPr>
          <w:rFonts w:ascii="Calibri" w:eastAsia="Calibri" w:hAnsi="Calibri" w:cs="Arial"/>
          <w:sz w:val="14"/>
          <w:szCs w:val="14"/>
          <w:u w:val="double"/>
          <w:rtl/>
        </w:rPr>
        <w:t>(לו.)</w:t>
      </w:r>
      <w:r w:rsidRPr="0004348D">
        <w:rPr>
          <w:rFonts w:ascii="Calibri" w:eastAsia="Calibri" w:hAnsi="Calibri" w:cs="Arial"/>
          <w:u w:val="double"/>
          <w:rtl/>
        </w:rPr>
        <w:t>:</w:t>
      </w:r>
      <w:r w:rsidRPr="0004348D">
        <w:rPr>
          <w:rFonts w:ascii="Calibri" w:eastAsia="Calibri" w:hAnsi="Calibri" w:cs="Arial"/>
          <w:rtl/>
        </w:rPr>
        <w:t xml:space="preserve"> והעבדים וכו'. עבדים יש להם חזקה? </w:t>
      </w:r>
      <w:r w:rsidRPr="0004348D">
        <w:rPr>
          <w:rFonts w:ascii="Calibri" w:eastAsia="Calibri" w:hAnsi="Calibri" w:cs="Arial"/>
          <w:u w:val="single"/>
          <w:rtl/>
        </w:rPr>
        <w:t>והאמר ר"ל</w:t>
      </w:r>
      <w:r w:rsidRPr="0004348D">
        <w:rPr>
          <w:rFonts w:ascii="Calibri" w:eastAsia="Calibri" w:hAnsi="Calibri" w:cs="Arial"/>
          <w:rtl/>
        </w:rPr>
        <w:t>: הגודרות אין להן חזקה</w:t>
      </w:r>
      <w:r w:rsidRPr="0004348D">
        <w:rPr>
          <w:rFonts w:ascii="Calibri" w:eastAsia="Calibri" w:hAnsi="Calibri" w:cs="Arial"/>
          <w:vertAlign w:val="superscript"/>
          <w:rtl/>
        </w:rPr>
        <w:footnoteReference w:id="5953"/>
      </w:r>
      <w:r w:rsidRPr="0004348D">
        <w:rPr>
          <w:rFonts w:ascii="Calibri" w:eastAsia="Calibri" w:hAnsi="Calibri" w:cs="Arial"/>
          <w:rtl/>
        </w:rPr>
        <w:t xml:space="preserve">! </w:t>
      </w:r>
      <w:r w:rsidRPr="0004348D">
        <w:rPr>
          <w:rFonts w:ascii="Calibri" w:eastAsia="Calibri" w:hAnsi="Calibri" w:cs="Arial"/>
          <w:u w:val="single"/>
          <w:rtl/>
        </w:rPr>
        <w:t>אמר רבא</w:t>
      </w:r>
      <w:r w:rsidRPr="0004348D">
        <w:rPr>
          <w:rFonts w:ascii="Calibri" w:eastAsia="Calibri" w:hAnsi="Calibri" w:cs="Arial"/>
          <w:rtl/>
        </w:rPr>
        <w:t xml:space="preserve">: אין להן חזקה לאלתר, אבל יש להן חזקה לאחר ג' שנים. </w:t>
      </w:r>
      <w:r w:rsidRPr="0004348D">
        <w:rPr>
          <w:rFonts w:ascii="Calibri" w:eastAsia="Calibri" w:hAnsi="Calibri" w:cs="Arial"/>
          <w:u w:val="single"/>
          <w:rtl/>
        </w:rPr>
        <w:t>אמר רבא</w:t>
      </w:r>
      <w:r w:rsidRPr="0004348D">
        <w:rPr>
          <w:rFonts w:ascii="Calibri" w:eastAsia="Calibri" w:hAnsi="Calibri" w:cs="Arial"/>
          <w:u w:val="single"/>
          <w:vertAlign w:val="superscript"/>
          <w:rtl/>
        </w:rPr>
        <w:footnoteReference w:id="5954"/>
      </w:r>
      <w:r w:rsidRPr="0004348D">
        <w:rPr>
          <w:rFonts w:ascii="Calibri" w:eastAsia="Calibri" w:hAnsi="Calibri" w:cs="Arial"/>
          <w:rtl/>
        </w:rPr>
        <w:t>: אם היה קטן מוטל בעריסה - יש לו חזקה לאלתר. פשיטא! לא צריכא דאית ליה אימא, מהו דתימא: ניחוש דלמא אימיה עיילתיה להתם</w:t>
      </w:r>
      <w:r w:rsidRPr="0004348D">
        <w:rPr>
          <w:rFonts w:ascii="Calibri" w:eastAsia="Calibri" w:hAnsi="Calibri" w:cs="Arial"/>
          <w:vertAlign w:val="superscript"/>
          <w:rtl/>
        </w:rPr>
        <w:footnoteReference w:id="5955"/>
      </w:r>
      <w:r w:rsidRPr="0004348D">
        <w:rPr>
          <w:rFonts w:ascii="Calibri" w:eastAsia="Calibri" w:hAnsi="Calibri" w:cs="Arial"/>
          <w:rtl/>
        </w:rPr>
        <w:t xml:space="preserve">, קמ"ל אימא לא מנשיא ברא. הנהו עיזי דאכלו חושלא בנהרדעא, אתא מרי חושלא תפסינהו והוה קא טעין טובא. </w:t>
      </w:r>
      <w:r w:rsidRPr="0004348D">
        <w:rPr>
          <w:rFonts w:ascii="Calibri" w:eastAsia="Calibri" w:hAnsi="Calibri" w:cs="Arial"/>
          <w:u w:val="single"/>
          <w:rtl/>
        </w:rPr>
        <w:t>אמר אבוה דשמואל</w:t>
      </w:r>
      <w:r w:rsidRPr="0004348D">
        <w:rPr>
          <w:rFonts w:ascii="Calibri" w:eastAsia="Calibri" w:hAnsi="Calibri" w:cs="Arial"/>
          <w:rtl/>
        </w:rPr>
        <w:t xml:space="preserve">: יכול לטעון עד כדי דמיהן, דאי בעי אמר לקוחות הן בידי. והאמר ר"ל: הגודרות אין להן חזקה! שאני עיזי, דמסירה לרועה. </w:t>
      </w:r>
    </w:p>
    <w:p w14:paraId="72F8034D" w14:textId="77777777" w:rsidR="0004348D" w:rsidRPr="0004348D" w:rsidRDefault="0004348D" w:rsidP="0004348D">
      <w:pPr>
        <w:spacing w:before="360" w:after="240"/>
        <w:rPr>
          <w:rFonts w:ascii="Calibri" w:eastAsia="Calibri" w:hAnsi="Calibri" w:cs="Arial"/>
          <w:rtl/>
        </w:rPr>
      </w:pPr>
      <w:r w:rsidRPr="0004348D">
        <w:rPr>
          <w:rFonts w:ascii="Calibri" w:eastAsia="Calibri" w:hAnsi="Calibri" w:cs="Arial"/>
          <w:u w:val="single"/>
          <w:rtl/>
        </w:rPr>
        <w:t>במה המחזיק מקרי מוחזק ובמה לא:</w:t>
      </w:r>
    </w:p>
    <w:p w14:paraId="2FA3944A" w14:textId="77777777" w:rsidR="0004348D" w:rsidRPr="0004348D" w:rsidRDefault="0004348D" w:rsidP="00992A87">
      <w:pPr>
        <w:numPr>
          <w:ilvl w:val="0"/>
          <w:numId w:val="370"/>
        </w:numPr>
        <w:spacing w:before="360" w:after="240"/>
        <w:contextualSpacing/>
        <w:rPr>
          <w:rFonts w:ascii="Calibri" w:eastAsia="Calibri" w:hAnsi="Calibri" w:cs="Arial"/>
          <w:rtl/>
        </w:rPr>
      </w:pPr>
      <w:r w:rsidRPr="0004348D">
        <w:rPr>
          <w:rFonts w:ascii="Calibri" w:eastAsia="Calibri" w:hAnsi="Calibri" w:cs="Arial"/>
          <w:rtl/>
        </w:rPr>
        <w:t>טור- אין חזקת המחזיק מועלת לטעון עליו כדי דמיו אלא בדבר שאינו יכול לילך מעצמו והוא עומד תחת יד בעלים. כגון מטלטלין ועבד קטן שאינו הולך על רגליו ובהמה המשתמרת ביד הרועה, דכיון שהוא שמור ביד בעליו וזה מוחזק בו - נאמן לטעון עליו עד כדי דמיו. אבל עבדים גדולים ובהמה שאינה מסורה לרועה אלא מעצמה הולכת ורועה - אינו נאמן לומר לקוח הוא בידי או משכון הוא בידי, אלא כשיביא עדים האחר שהם שלו - יחזיר לו העבד והבהמה והוא ישבע לו שלא מכר ולא משכן לו כלום, לפי שאין תפישתן תפישה שמעצמן הולכים בכל מקום, ובכל מקום ברשות בעלים הם. ואם החזיק בהם שלש שנים ויש לו עדים בכך - הרי זה נאמן וישבע היסת שלקחה ממנו או שמסרו לו בחובו.</w:t>
      </w:r>
      <w:r w:rsidRPr="0004348D">
        <w:rPr>
          <w:rFonts w:ascii="Calibri" w:eastAsia="Calibri" w:hAnsi="Calibri" w:cs="Arial"/>
          <w:color w:val="E36C0A" w:themeColor="accent6" w:themeShade="BF"/>
          <w:rtl/>
        </w:rPr>
        <w:t xml:space="preserve"> (וכ"פ בשו"ע)</w:t>
      </w:r>
    </w:p>
    <w:p w14:paraId="317CA357" w14:textId="77777777" w:rsidR="0004348D" w:rsidRPr="0004348D" w:rsidRDefault="0004348D" w:rsidP="0004348D">
      <w:pPr>
        <w:spacing w:before="360" w:after="240"/>
        <w:rPr>
          <w:rFonts w:ascii="Arial" w:eastAsia="Calibri" w:hAnsi="Arial" w:cs="Arial"/>
          <w:b/>
          <w:bCs/>
          <w:color w:val="000000"/>
          <w:sz w:val="28"/>
          <w:szCs w:val="28"/>
          <w:u w:val="single"/>
          <w:rtl/>
        </w:rPr>
      </w:pPr>
      <w:r w:rsidRPr="0004348D">
        <w:rPr>
          <w:rFonts w:ascii="Arial" w:eastAsia="Calibri" w:hAnsi="Arial" w:cs="Arial"/>
          <w:b/>
          <w:bCs/>
          <w:color w:val="000000"/>
          <w:sz w:val="28"/>
          <w:szCs w:val="28"/>
          <w:u w:val="single"/>
          <w:rtl/>
        </w:rPr>
        <w:t>שו"ע:</w:t>
      </w:r>
    </w:p>
    <w:p w14:paraId="15930CE3" w14:textId="77777777" w:rsidR="0004348D" w:rsidRPr="0004348D" w:rsidRDefault="0004348D" w:rsidP="0004348D">
      <w:pPr>
        <w:spacing w:before="360" w:after="240"/>
        <w:rPr>
          <w:rFonts w:ascii="Calibri" w:eastAsia="Calibri" w:hAnsi="Calibri" w:cs="Arial"/>
          <w:rtl/>
        </w:rPr>
      </w:pPr>
      <w:r w:rsidRPr="0004348D">
        <w:rPr>
          <w:rFonts w:ascii="Calibri" w:eastAsia="Calibri" w:hAnsi="Calibri" w:cs="Arial"/>
          <w:rtl/>
        </w:rPr>
        <w:t>אין חזקת המחזיק מועלת לטעון עליו כדי דמיו אלא בדבר שאינו יכול לילך מעצמו והוא עומד תחת יד הבעלים, כגון מטלטלים או עבד קטן שאינו הולך ברגליו ובהמה המשתמרת ביד הרועה, דכיון שהוא שמור ביד בעליו וזה מוחזק בו, נאמן לטעון עליו עד כדי דמיו. אבל עבדים גדולים ובהמה שאינה מסורה לרועה אלא מעצמה הולכת ורועה, אינו נאמן לומר לקוח הוא בידי או משכון הוא בידי</w:t>
      </w:r>
      <w:r w:rsidRPr="0004348D">
        <w:rPr>
          <w:rFonts w:ascii="Calibri" w:eastAsia="Calibri" w:hAnsi="Calibri" w:cs="Arial"/>
          <w:vertAlign w:val="superscript"/>
          <w:rtl/>
        </w:rPr>
        <w:footnoteReference w:id="5956"/>
      </w:r>
      <w:r w:rsidRPr="0004348D">
        <w:rPr>
          <w:rFonts w:ascii="Calibri" w:eastAsia="Calibri" w:hAnsi="Calibri" w:cs="Arial"/>
          <w:rtl/>
        </w:rPr>
        <w:t>, אלא כשיביא האחד עדים שהם שלו, יחזיר לו העבד ובהמה, והוא ישבע לו שלא מכר ולא משכן לו כלום, לפי שאין תפיסתן תפיסה, שמעצמם הולכים אנה ואנה, ובכל מקום ברשות בעלים הם. ואם החזיק בהם שלש שנים</w:t>
      </w:r>
      <w:r w:rsidRPr="0004348D">
        <w:rPr>
          <w:rFonts w:ascii="Calibri" w:eastAsia="Calibri" w:hAnsi="Calibri" w:cs="Arial"/>
          <w:vertAlign w:val="superscript"/>
          <w:rtl/>
        </w:rPr>
        <w:footnoteReference w:id="5957"/>
      </w:r>
      <w:r w:rsidRPr="0004348D">
        <w:rPr>
          <w:rFonts w:ascii="Calibri" w:eastAsia="Calibri" w:hAnsi="Calibri" w:cs="Arial"/>
          <w:rtl/>
        </w:rPr>
        <w:t xml:space="preserve"> ויש לו עדים בכך, הרי זה נאמן, וישבע היסת שלקחן ממנו או שמסרם לו בחובו</w:t>
      </w:r>
      <w:r w:rsidRPr="0004348D">
        <w:rPr>
          <w:rFonts w:ascii="Calibri" w:eastAsia="Calibri" w:hAnsi="Calibri" w:cs="Arial"/>
          <w:vertAlign w:val="superscript"/>
          <w:rtl/>
        </w:rPr>
        <w:footnoteReference w:id="5958"/>
      </w:r>
      <w:r w:rsidRPr="0004348D">
        <w:rPr>
          <w:rFonts w:ascii="Calibri" w:eastAsia="Calibri" w:hAnsi="Calibri" w:cs="Arial"/>
          <w:rtl/>
        </w:rPr>
        <w:t>.</w:t>
      </w:r>
    </w:p>
    <w:p w14:paraId="4562107E" w14:textId="77777777" w:rsidR="0004348D" w:rsidRPr="0004348D" w:rsidRDefault="0004348D" w:rsidP="0004348D">
      <w:pPr>
        <w:spacing w:before="360" w:after="240"/>
        <w:rPr>
          <w:rFonts w:ascii="Calibri" w:eastAsia="Calibri" w:hAnsi="Calibri" w:cs="Arial"/>
          <w:rtl/>
        </w:rPr>
      </w:pPr>
    </w:p>
    <w:p w14:paraId="5E1F9C2C" w14:textId="77777777" w:rsidR="0004348D" w:rsidRPr="0004348D" w:rsidRDefault="0004348D" w:rsidP="0004348D">
      <w:pPr>
        <w:keepNext/>
        <w:keepLines/>
        <w:spacing w:before="360" w:after="240"/>
        <w:outlineLvl w:val="1"/>
        <w:rPr>
          <w:rFonts w:ascii="Cambria" w:eastAsia="Times New Roman" w:hAnsi="Cambria" w:cs="Arial"/>
          <w:bCs/>
          <w:color w:val="548DD4" w:themeColor="text2" w:themeTint="99"/>
          <w:sz w:val="26"/>
          <w:szCs w:val="26"/>
          <w:rtl/>
        </w:rPr>
      </w:pPr>
      <w:bookmarkStart w:id="859" w:name="_Toc24884239"/>
      <w:r w:rsidRPr="0004348D">
        <w:rPr>
          <w:rFonts w:ascii="Cambria" w:eastAsia="Times New Roman" w:hAnsi="Cambria" w:cs="Arial"/>
          <w:bCs/>
          <w:color w:val="548DD4" w:themeColor="text2" w:themeTint="99"/>
          <w:sz w:val="26"/>
          <w:szCs w:val="26"/>
          <w:rtl/>
        </w:rPr>
        <w:t>סעיף כב: מלוה הכופר במשכון.</w:t>
      </w:r>
      <w:bookmarkEnd w:id="859"/>
    </w:p>
    <w:p w14:paraId="7DB71B1F" w14:textId="77777777" w:rsidR="0004348D" w:rsidRPr="0004348D" w:rsidRDefault="0004348D" w:rsidP="0004348D">
      <w:pPr>
        <w:spacing w:before="360" w:after="240"/>
        <w:rPr>
          <w:rFonts w:ascii="Calibri" w:eastAsia="Calibri" w:hAnsi="Calibri" w:cs="Arial"/>
          <w:u w:val="single"/>
          <w:rtl/>
        </w:rPr>
      </w:pPr>
      <w:r w:rsidRPr="0004348D">
        <w:rPr>
          <w:rFonts w:ascii="Calibri" w:eastAsia="Calibri" w:hAnsi="Calibri" w:cs="Arial"/>
          <w:u w:val="single"/>
          <w:rtl/>
        </w:rPr>
        <w:t>מלוה הכופר במשכון – ושניהם מודים בהלואה:</w:t>
      </w:r>
    </w:p>
    <w:p w14:paraId="74987DFA" w14:textId="77777777" w:rsidR="0004348D" w:rsidRPr="0004348D" w:rsidRDefault="0004348D" w:rsidP="00992A87">
      <w:pPr>
        <w:numPr>
          <w:ilvl w:val="0"/>
          <w:numId w:val="370"/>
        </w:numPr>
        <w:spacing w:before="360" w:after="240"/>
        <w:contextualSpacing/>
        <w:rPr>
          <w:rFonts w:ascii="Calibri" w:eastAsia="Calibri" w:hAnsi="Calibri" w:cs="Arial"/>
          <w:rtl/>
        </w:rPr>
      </w:pPr>
      <w:r w:rsidRPr="0004348D">
        <w:rPr>
          <w:rFonts w:ascii="Calibri" w:eastAsia="Calibri" w:hAnsi="Calibri" w:cs="Arial"/>
          <w:rtl/>
        </w:rPr>
        <w:t xml:space="preserve">בהעי"ט </w:t>
      </w:r>
      <w:r w:rsidRPr="0004348D">
        <w:rPr>
          <w:rFonts w:ascii="Calibri" w:eastAsia="Calibri" w:hAnsi="Calibri" w:cs="Arial"/>
          <w:sz w:val="16"/>
          <w:szCs w:val="16"/>
          <w:rtl/>
        </w:rPr>
        <w:t xml:space="preserve">(הל' מלוה על המשכון כב ע"ב) </w:t>
      </w:r>
      <w:r w:rsidRPr="0004348D">
        <w:rPr>
          <w:rFonts w:ascii="Calibri" w:eastAsia="Calibri" w:hAnsi="Calibri" w:cs="Arial"/>
          <w:rtl/>
        </w:rPr>
        <w:t>וטור- אם המלוה כופר במשכון, ושניהם מודים בהלואה - ישבע המלוה היסת שלא הניח בידו משכון, והלוה ישבע היסת שהוא תופש משלו כנגד חובו אם היה משכונו כנגד חובו או יותר. ואע"פ ששוה יותר כבר נפטר המלוה ממנו שכבר נשבע עליו. ואם היה שוה פחות - נשבע שמשכונו היה שוה כך וכך, וישלם השאר.</w:t>
      </w:r>
      <w:r w:rsidRPr="0004348D">
        <w:rPr>
          <w:rFonts w:ascii="Calibri" w:eastAsia="Calibri" w:hAnsi="Calibri" w:cs="Arial"/>
          <w:color w:val="E36C0A" w:themeColor="accent6" w:themeShade="BF"/>
          <w:rtl/>
        </w:rPr>
        <w:t xml:space="preserve"> (וכ"פ בשו"ע)</w:t>
      </w:r>
    </w:p>
    <w:p w14:paraId="1925DAA1" w14:textId="77777777" w:rsidR="0004348D" w:rsidRPr="0004348D" w:rsidRDefault="0004348D" w:rsidP="0004348D">
      <w:pPr>
        <w:spacing w:before="360" w:after="240"/>
        <w:rPr>
          <w:rFonts w:ascii="Calibri" w:eastAsia="Calibri" w:hAnsi="Calibri" w:cs="Arial"/>
          <w:u w:val="single"/>
        </w:rPr>
      </w:pPr>
      <w:r w:rsidRPr="0004348D">
        <w:rPr>
          <w:rFonts w:ascii="Calibri" w:eastAsia="Calibri" w:hAnsi="Calibri" w:cs="Arial"/>
          <w:u w:val="single"/>
          <w:rtl/>
        </w:rPr>
        <w:t>אבא שמשכן ספר של הקדש ביד זה שמלמד את בנו:</w:t>
      </w:r>
    </w:p>
    <w:p w14:paraId="5C41213D" w14:textId="77777777" w:rsidR="0004348D" w:rsidRPr="0004348D" w:rsidRDefault="0004348D" w:rsidP="00992A87">
      <w:pPr>
        <w:numPr>
          <w:ilvl w:val="0"/>
          <w:numId w:val="370"/>
        </w:numPr>
        <w:spacing w:before="360" w:after="240"/>
        <w:contextualSpacing/>
        <w:rPr>
          <w:rFonts w:ascii="Calibri" w:eastAsia="Calibri" w:hAnsi="Calibri" w:cs="Arial"/>
        </w:rPr>
      </w:pPr>
      <w:r w:rsidRPr="0004348D">
        <w:rPr>
          <w:rFonts w:ascii="Calibri" w:eastAsia="Calibri" w:hAnsi="Calibri" w:cs="Arial"/>
          <w:rtl/>
        </w:rPr>
        <w:t xml:space="preserve">מרדכי </w:t>
      </w:r>
      <w:r w:rsidRPr="0004348D">
        <w:rPr>
          <w:rFonts w:ascii="Calibri" w:eastAsia="Calibri" w:hAnsi="Calibri" w:cs="Arial"/>
          <w:sz w:val="16"/>
          <w:szCs w:val="16"/>
          <w:rtl/>
        </w:rPr>
        <w:t>(פרק כל הנשבעין סי' תשעח)</w:t>
      </w:r>
      <w:r w:rsidRPr="0004348D">
        <w:rPr>
          <w:rFonts w:ascii="Calibri" w:eastAsia="Calibri" w:hAnsi="Calibri" w:cs="Arial"/>
          <w:rtl/>
        </w:rPr>
        <w:t xml:space="preserve">- פסק רבינו מאיר על ראובן שלימד בן שמעון ושמעון נתן ספר אחד של הקדש לראובן - יכול לעכב הספר למשכנו או למכרו עבור שכרו, והקהל יתבע משמעון לפטור הספר מיד ראובן. </w:t>
      </w:r>
    </w:p>
    <w:p w14:paraId="49A4F754" w14:textId="77777777" w:rsidR="0004348D" w:rsidRPr="0004348D" w:rsidRDefault="0004348D" w:rsidP="0004348D">
      <w:pPr>
        <w:spacing w:before="360" w:after="240"/>
        <w:rPr>
          <w:rFonts w:ascii="Arial" w:eastAsia="Calibri" w:hAnsi="Arial" w:cs="Arial"/>
          <w:b/>
          <w:bCs/>
          <w:color w:val="000000"/>
          <w:sz w:val="28"/>
          <w:szCs w:val="28"/>
          <w:u w:val="single"/>
          <w:rtl/>
        </w:rPr>
      </w:pPr>
      <w:r w:rsidRPr="0004348D">
        <w:rPr>
          <w:rFonts w:ascii="Arial" w:eastAsia="Calibri" w:hAnsi="Arial" w:cs="Arial"/>
          <w:b/>
          <w:bCs/>
          <w:color w:val="000000"/>
          <w:sz w:val="28"/>
          <w:szCs w:val="28"/>
          <w:u w:val="single"/>
          <w:rtl/>
        </w:rPr>
        <w:t>שו"ע:</w:t>
      </w:r>
    </w:p>
    <w:p w14:paraId="58B12702" w14:textId="77777777" w:rsidR="0004348D" w:rsidRPr="0004348D" w:rsidRDefault="0004348D" w:rsidP="0004348D">
      <w:pPr>
        <w:spacing w:before="360" w:after="240"/>
        <w:rPr>
          <w:rFonts w:ascii="Calibri" w:eastAsia="Calibri" w:hAnsi="Calibri" w:cs="Arial"/>
          <w:rtl/>
        </w:rPr>
      </w:pPr>
      <w:r w:rsidRPr="0004348D">
        <w:rPr>
          <w:rFonts w:ascii="Calibri" w:eastAsia="Calibri" w:hAnsi="Calibri" w:cs="Arial"/>
          <w:rtl/>
        </w:rPr>
        <w:t>אם המלוה כופר במשכון ושניהם מודים בהלואה, ישבע המלוה היסת שלא הניח בידו משכון, והלוה ישבע היסת שהוא תופס משלו כנגד חובו או יותר. ואף על פי ששוה יותר, נפטר המלוה ממנו, שכבר נשבע עליו. ואם היה שוה פחות, נשבע</w:t>
      </w:r>
      <w:r w:rsidRPr="0004348D">
        <w:rPr>
          <w:rFonts w:ascii="Calibri" w:eastAsia="Calibri" w:hAnsi="Calibri" w:cs="Arial"/>
          <w:vertAlign w:val="superscript"/>
          <w:rtl/>
        </w:rPr>
        <w:footnoteReference w:id="5959"/>
      </w:r>
      <w:r w:rsidRPr="0004348D">
        <w:rPr>
          <w:rFonts w:ascii="Calibri" w:eastAsia="Calibri" w:hAnsi="Calibri" w:cs="Arial"/>
          <w:rtl/>
        </w:rPr>
        <w:t xml:space="preserve"> שמשכונו היה שוה כך וכך, וישלם השאר. </w:t>
      </w:r>
    </w:p>
    <w:p w14:paraId="1F325B3C" w14:textId="77777777" w:rsidR="0004348D" w:rsidRPr="0004348D" w:rsidRDefault="0004348D" w:rsidP="0004348D">
      <w:pPr>
        <w:spacing w:before="360" w:after="240"/>
        <w:rPr>
          <w:rFonts w:ascii="Calibri" w:eastAsia="Calibri" w:hAnsi="Calibri" w:cs="Arial"/>
          <w:rtl/>
        </w:rPr>
      </w:pPr>
    </w:p>
    <w:p w14:paraId="69E2C8AA" w14:textId="77777777" w:rsidR="0004348D" w:rsidRPr="0004348D" w:rsidRDefault="0004348D" w:rsidP="0004348D">
      <w:pPr>
        <w:keepNext/>
        <w:keepLines/>
        <w:spacing w:before="360" w:after="240"/>
        <w:outlineLvl w:val="1"/>
        <w:rPr>
          <w:rFonts w:ascii="Cambria" w:eastAsia="Times New Roman" w:hAnsi="Cambria" w:cs="Arial"/>
          <w:bCs/>
          <w:color w:val="548DD4" w:themeColor="text2" w:themeTint="99"/>
          <w:sz w:val="26"/>
          <w:szCs w:val="26"/>
          <w:rtl/>
        </w:rPr>
      </w:pPr>
      <w:bookmarkStart w:id="860" w:name="_Toc24884240"/>
      <w:r w:rsidRPr="0004348D">
        <w:rPr>
          <w:rFonts w:ascii="Cambria" w:eastAsia="Times New Roman" w:hAnsi="Cambria" w:cs="Arial"/>
          <w:bCs/>
          <w:color w:val="548DD4" w:themeColor="text2" w:themeTint="99"/>
          <w:sz w:val="26"/>
          <w:szCs w:val="26"/>
          <w:rtl/>
        </w:rPr>
        <w:t>סעיף כג: אחד לוה מחברו כסף על המשכון, ונחלקו בסכום, והעד שהיה שם לא זוכר הסכום.</w:t>
      </w:r>
      <w:bookmarkEnd w:id="860"/>
    </w:p>
    <w:p w14:paraId="3C39009E" w14:textId="77777777" w:rsidR="0004348D" w:rsidRPr="0004348D" w:rsidRDefault="0004348D" w:rsidP="0004348D">
      <w:pPr>
        <w:spacing w:before="360" w:after="240"/>
        <w:rPr>
          <w:rFonts w:ascii="Calibri" w:eastAsia="Calibri" w:hAnsi="Calibri" w:cs="Arial"/>
          <w:u w:val="single"/>
          <w:rtl/>
        </w:rPr>
      </w:pPr>
      <w:r w:rsidRPr="0004348D">
        <w:rPr>
          <w:rFonts w:ascii="Calibri" w:eastAsia="Calibri" w:hAnsi="Calibri" w:cs="Arial"/>
          <w:u w:val="single"/>
          <w:rtl/>
        </w:rPr>
        <w:t xml:space="preserve">לוה מחברו י' דינרים על משכון, ויש עד אחד </w:t>
      </w:r>
      <w:r w:rsidRPr="0004348D">
        <w:rPr>
          <w:rFonts w:ascii="Calibri" w:eastAsia="Calibri" w:hAnsi="Calibri" w:cs="Arial"/>
          <w:sz w:val="16"/>
          <w:szCs w:val="16"/>
          <w:u w:val="single"/>
          <w:rtl/>
        </w:rPr>
        <w:t xml:space="preserve">(שידע המשכון והחוב) </w:t>
      </w:r>
      <w:r w:rsidRPr="0004348D">
        <w:rPr>
          <w:rFonts w:ascii="Calibri" w:eastAsia="Calibri" w:hAnsi="Calibri" w:cs="Arial"/>
          <w:u w:val="single"/>
          <w:rtl/>
        </w:rPr>
        <w:t>ואינו יודע כמה היה החוב, וחברו טוען שהלוה כ' דינרים:</w:t>
      </w:r>
    </w:p>
    <w:p w14:paraId="71D98596" w14:textId="77777777" w:rsidR="0004348D" w:rsidRPr="0004348D" w:rsidRDefault="0004348D" w:rsidP="0004348D">
      <w:pPr>
        <w:numPr>
          <w:ilvl w:val="0"/>
          <w:numId w:val="356"/>
        </w:numPr>
        <w:spacing w:before="360" w:after="240"/>
        <w:contextualSpacing/>
        <w:rPr>
          <w:rFonts w:ascii="Calibri" w:eastAsia="Calibri" w:hAnsi="Calibri" w:cs="Arial"/>
          <w:rtl/>
        </w:rPr>
      </w:pPr>
      <w:r w:rsidRPr="0004348D">
        <w:rPr>
          <w:rFonts w:ascii="Calibri" w:eastAsia="Calibri" w:hAnsi="Calibri" w:cs="Arial"/>
          <w:rtl/>
        </w:rPr>
        <w:t xml:space="preserve">רשב"א </w:t>
      </w:r>
      <w:r w:rsidRPr="0004348D">
        <w:rPr>
          <w:rFonts w:ascii="Calibri" w:eastAsia="Calibri" w:hAnsi="Calibri" w:cs="Arial"/>
          <w:sz w:val="16"/>
          <w:szCs w:val="16"/>
          <w:rtl/>
        </w:rPr>
        <w:t>(במיוחסות סי' פד)</w:t>
      </w:r>
      <w:r w:rsidRPr="0004348D">
        <w:rPr>
          <w:rFonts w:ascii="Calibri" w:eastAsia="Calibri" w:hAnsi="Calibri" w:cs="Arial"/>
          <w:rtl/>
        </w:rPr>
        <w:t>- ראובן לוה משמעון עשרה דינרים על משכון, והיה עד אחד בדבר שידע המשכון והחוב אבל לא ידע כמה היה החוב, ושמעון אומר שעשרים דינרים הלוה לו. אם הוציא שמעון המשכון לפני ב"ד או בפני עדים קודם שנפל ההכחשה ביניהם - הדין עם ראובן, וכיון שיש כאן עד אחד מחייבו שבועה, והרי הוא מודה לדברי העד ואינו יכול לישבע, הילכך מחזיר המשכון ויביא ראיה על המעות ויטול, וישבע ראובן היסת על העשרה שהוא כופר בהם. אבל אם קודם שהוציא שמעון המשכון בב"ד נפלה מחלוקת ביניהם - שמעון נאמן, מפני שבשעה שטען עליו בב"ד שיש לו בידו עשרים דינרים מיד נאמן במגו דאי בעי אמר החזרתיו, וכיון שכן אע"פ שהוציאו ולבסוף ראינוהו תחת ידו - לא הפסיד נאמנותו הראשונה ונשבע בנקיטת חפץ ונוטל</w:t>
      </w:r>
      <w:r w:rsidRPr="0004348D">
        <w:rPr>
          <w:rFonts w:ascii="Calibri" w:eastAsia="Calibri" w:hAnsi="Calibri" w:cs="Arial"/>
          <w:vertAlign w:val="superscript"/>
          <w:rtl/>
        </w:rPr>
        <w:footnoteReference w:id="5960"/>
      </w:r>
      <w:r w:rsidRPr="0004348D">
        <w:rPr>
          <w:rFonts w:ascii="Calibri" w:eastAsia="Calibri" w:hAnsi="Calibri" w:cs="Arial"/>
          <w:rtl/>
        </w:rPr>
        <w:t xml:space="preserve">. </w:t>
      </w:r>
      <w:r w:rsidRPr="0004348D">
        <w:rPr>
          <w:rFonts w:ascii="Calibri" w:eastAsia="Calibri" w:hAnsi="Calibri" w:cs="Arial"/>
          <w:color w:val="E36C0A" w:themeColor="accent6" w:themeShade="BF"/>
          <w:rtl/>
        </w:rPr>
        <w:t>(וכ"פ בשו"ע)</w:t>
      </w:r>
    </w:p>
    <w:p w14:paraId="40E6C3AD" w14:textId="77777777" w:rsidR="0004348D" w:rsidRPr="0004348D" w:rsidRDefault="0004348D" w:rsidP="0004348D">
      <w:pPr>
        <w:spacing w:before="360" w:after="240"/>
        <w:rPr>
          <w:rFonts w:ascii="Arial" w:eastAsia="Calibri" w:hAnsi="Arial" w:cs="Arial"/>
          <w:b/>
          <w:bCs/>
          <w:color w:val="000000"/>
          <w:sz w:val="28"/>
          <w:szCs w:val="28"/>
          <w:u w:val="single"/>
          <w:rtl/>
        </w:rPr>
      </w:pPr>
      <w:r w:rsidRPr="0004348D">
        <w:rPr>
          <w:rFonts w:ascii="Arial" w:eastAsia="Calibri" w:hAnsi="Arial" w:cs="Arial"/>
          <w:b/>
          <w:bCs/>
          <w:color w:val="000000"/>
          <w:sz w:val="28"/>
          <w:szCs w:val="28"/>
          <w:u w:val="single"/>
          <w:rtl/>
        </w:rPr>
        <w:t>שו"ע:</w:t>
      </w:r>
    </w:p>
    <w:p w14:paraId="6FEDAB2C" w14:textId="77777777" w:rsidR="0004348D" w:rsidRPr="0004348D" w:rsidRDefault="0004348D" w:rsidP="0004348D">
      <w:pPr>
        <w:spacing w:before="360" w:after="240"/>
        <w:rPr>
          <w:rFonts w:ascii="Calibri" w:eastAsia="Calibri" w:hAnsi="Calibri" w:cs="Arial"/>
          <w:rtl/>
        </w:rPr>
      </w:pPr>
      <w:r w:rsidRPr="0004348D">
        <w:rPr>
          <w:rFonts w:ascii="Calibri" w:eastAsia="Calibri" w:hAnsi="Calibri" w:cs="Arial"/>
          <w:rtl/>
        </w:rPr>
        <w:t>ראובן שלוה משמעון עשרה דינרים על משכון, והיה עד אחד בדבר שידע המשכון והחוב אבל לא ידע כמה היה החוב. ושמעון אומר שעשרים דינרין הלוה לו. אם הוציא שמעון המשכון לפני בית דין או בפני עדים קודם שנפלה הכחשה ביניהם, הדין עם ראובן, וכיון</w:t>
      </w:r>
      <w:r w:rsidRPr="0004348D">
        <w:rPr>
          <w:rFonts w:ascii="Calibri" w:eastAsia="Calibri" w:hAnsi="Calibri" w:cs="Arial"/>
          <w:vertAlign w:val="superscript"/>
          <w:rtl/>
        </w:rPr>
        <w:footnoteReference w:id="5961"/>
      </w:r>
      <w:r w:rsidRPr="0004348D">
        <w:rPr>
          <w:rFonts w:ascii="Calibri" w:eastAsia="Calibri" w:hAnsi="Calibri" w:cs="Arial"/>
          <w:rtl/>
        </w:rPr>
        <w:t xml:space="preserve"> שיש כאן עד אחד, מחייבו שבועה, והרי הוא מודה לדברי העד ואינו יכול לישבע, הילכך מחזיר המשכון, ויביא ראיה על המעות, ויטול</w:t>
      </w:r>
      <w:r w:rsidRPr="0004348D">
        <w:rPr>
          <w:rFonts w:ascii="Calibri" w:eastAsia="Calibri" w:hAnsi="Calibri" w:cs="Arial"/>
          <w:vertAlign w:val="superscript"/>
          <w:rtl/>
        </w:rPr>
        <w:footnoteReference w:id="5962"/>
      </w:r>
      <w:r w:rsidRPr="0004348D">
        <w:rPr>
          <w:rFonts w:ascii="Calibri" w:eastAsia="Calibri" w:hAnsi="Calibri" w:cs="Arial"/>
          <w:rtl/>
        </w:rPr>
        <w:t xml:space="preserve">, וישבע ראובן היסת על העשרה שהוא כופר בהם. אבל אם קודם שהוציא שמעון המשכון בבית דין נפל מחלוקת ביניהם, שמעון נאמן, ונשבע בנקיטת חפץ, ונוטל. </w:t>
      </w:r>
    </w:p>
    <w:p w14:paraId="0BCCA356" w14:textId="77777777" w:rsidR="0004348D" w:rsidRPr="0004348D" w:rsidRDefault="0004348D" w:rsidP="0004348D">
      <w:pPr>
        <w:spacing w:before="360" w:after="240"/>
        <w:rPr>
          <w:rFonts w:ascii="Calibri" w:eastAsia="Calibri" w:hAnsi="Calibri" w:cs="Arial"/>
          <w:rtl/>
        </w:rPr>
      </w:pPr>
    </w:p>
    <w:p w14:paraId="44A2C088" w14:textId="77777777" w:rsidR="0004348D" w:rsidRPr="0004348D" w:rsidRDefault="0004348D" w:rsidP="0004348D">
      <w:pPr>
        <w:keepNext/>
        <w:keepLines/>
        <w:spacing w:before="360" w:after="240"/>
        <w:outlineLvl w:val="1"/>
        <w:rPr>
          <w:rFonts w:ascii="Cambria" w:eastAsia="Times New Roman" w:hAnsi="Cambria" w:cs="Arial"/>
          <w:bCs/>
          <w:color w:val="548DD4" w:themeColor="text2" w:themeTint="99"/>
          <w:sz w:val="26"/>
          <w:szCs w:val="26"/>
          <w:rtl/>
        </w:rPr>
      </w:pPr>
      <w:bookmarkStart w:id="861" w:name="_Toc24884241"/>
      <w:r w:rsidRPr="0004348D">
        <w:rPr>
          <w:rFonts w:ascii="Cambria" w:eastAsia="Times New Roman" w:hAnsi="Cambria" w:cs="Arial"/>
          <w:bCs/>
          <w:color w:val="548DD4" w:themeColor="text2" w:themeTint="99"/>
          <w:sz w:val="26"/>
          <w:szCs w:val="26"/>
          <w:rtl/>
        </w:rPr>
        <w:t>סעיף כד: לוה שלוה על המשכון וטוען שסיים לפרוע – והמלוה טוען בשמא שפרע רק חלק.</w:t>
      </w:r>
      <w:bookmarkEnd w:id="861"/>
      <w:r w:rsidRPr="0004348D">
        <w:rPr>
          <w:rFonts w:ascii="Cambria" w:eastAsia="Times New Roman" w:hAnsi="Cambria" w:cs="Arial"/>
          <w:bCs/>
          <w:color w:val="548DD4" w:themeColor="text2" w:themeTint="99"/>
          <w:sz w:val="26"/>
          <w:szCs w:val="26"/>
          <w:rtl/>
        </w:rPr>
        <w:t xml:space="preserve"> </w:t>
      </w:r>
    </w:p>
    <w:p w14:paraId="32C0F447" w14:textId="77777777" w:rsidR="0004348D" w:rsidRPr="0004348D" w:rsidRDefault="0004348D" w:rsidP="0004348D">
      <w:pPr>
        <w:spacing w:before="360" w:after="240"/>
        <w:rPr>
          <w:rFonts w:ascii="Calibri" w:eastAsia="Calibri" w:hAnsi="Calibri" w:cs="Arial"/>
          <w:u w:val="single"/>
          <w:rtl/>
        </w:rPr>
      </w:pPr>
      <w:r w:rsidRPr="0004348D">
        <w:rPr>
          <w:rFonts w:ascii="Calibri" w:eastAsia="Calibri" w:hAnsi="Calibri" w:cs="Arial"/>
          <w:u w:val="single"/>
          <w:rtl/>
        </w:rPr>
        <w:t>לוה שלוה על המשכון ואח"כ טען למלוה שכבר סיים לפרוע לו – והמלוה טוען בשמא שפרע לו רק חלק מההלואה:</w:t>
      </w:r>
    </w:p>
    <w:p w14:paraId="2F681D96" w14:textId="77777777" w:rsidR="0004348D" w:rsidRPr="0004348D" w:rsidRDefault="0004348D" w:rsidP="0004348D">
      <w:pPr>
        <w:numPr>
          <w:ilvl w:val="0"/>
          <w:numId w:val="356"/>
        </w:numPr>
        <w:spacing w:before="360" w:after="240"/>
        <w:contextualSpacing/>
        <w:rPr>
          <w:rFonts w:ascii="Calibri" w:eastAsia="Calibri" w:hAnsi="Calibri" w:cs="Arial"/>
          <w:rtl/>
        </w:rPr>
      </w:pPr>
      <w:r w:rsidRPr="0004348D">
        <w:rPr>
          <w:rFonts w:ascii="Calibri" w:eastAsia="Calibri" w:hAnsi="Calibri" w:cs="Arial"/>
          <w:rtl/>
        </w:rPr>
        <w:t xml:space="preserve">רשב"א </w:t>
      </w:r>
      <w:r w:rsidRPr="0004348D">
        <w:rPr>
          <w:rFonts w:ascii="Calibri" w:eastAsia="Calibri" w:hAnsi="Calibri" w:cs="Arial"/>
          <w:sz w:val="16"/>
          <w:szCs w:val="16"/>
          <w:rtl/>
        </w:rPr>
        <w:t>(במיוחסות סי' פה, וכן בתשו' הרשב"א סי' אלף מא)</w:t>
      </w:r>
      <w:r w:rsidRPr="0004348D">
        <w:rPr>
          <w:rFonts w:ascii="Calibri" w:eastAsia="Calibri" w:hAnsi="Calibri" w:cs="Arial"/>
          <w:rtl/>
        </w:rPr>
        <w:t xml:space="preserve">- ראובן לוה משמעון שבעה דינרים על משכון, ואח"כ אמר ליה 'פרעתיך פעם אחת שני דינרים ופעם שניה שני דינרים ופעם שלישית דינר', והשיב שמעון 'מכל הפרעון איני זוכר אלא מהדינר של פעם שלישית' - הדין עם ראובן, מפני שגוף המשכון שלו הוא, ונמצא כשהוא תובע משכונו שמעון משיבו איני יודע אם יש לי עליו שום דבר מספק, וכיון שכן אין שמעון יכול לתבוע מספק זכות בנכסי ראובן, וכן במלוה בשטר צריך להחזיר לו את השטר. </w:t>
      </w:r>
      <w:r w:rsidRPr="0004348D">
        <w:rPr>
          <w:rFonts w:ascii="Calibri" w:eastAsia="Calibri" w:hAnsi="Calibri" w:cs="Arial"/>
          <w:color w:val="E36C0A" w:themeColor="accent6" w:themeShade="BF"/>
          <w:rtl/>
        </w:rPr>
        <w:t>(וכ"פ בשו"ע)</w:t>
      </w:r>
      <w:r w:rsidRPr="0004348D">
        <w:rPr>
          <w:rFonts w:ascii="Calibri" w:eastAsia="Calibri" w:hAnsi="Calibri" w:cs="Arial"/>
          <w:color w:val="00B0F0"/>
          <w:rtl/>
        </w:rPr>
        <w:t xml:space="preserve"> (וכ"פ הרמ"א</w:t>
      </w:r>
      <w:r w:rsidRPr="0004348D">
        <w:rPr>
          <w:rFonts w:ascii="Calibri" w:eastAsia="Calibri" w:hAnsi="Calibri" w:cs="Arial"/>
          <w:color w:val="00B0F0"/>
          <w:sz w:val="16"/>
          <w:szCs w:val="16"/>
          <w:rtl/>
        </w:rPr>
        <w:t xml:space="preserve"> </w:t>
      </w:r>
      <w:r w:rsidRPr="0004348D">
        <w:rPr>
          <w:rFonts w:ascii="Calibri" w:eastAsia="Calibri" w:hAnsi="Calibri" w:cs="Arial"/>
          <w:sz w:val="16"/>
          <w:szCs w:val="16"/>
          <w:rtl/>
        </w:rPr>
        <w:t>[בסע' יד]</w:t>
      </w:r>
      <w:r w:rsidRPr="0004348D">
        <w:rPr>
          <w:rFonts w:ascii="Calibri" w:eastAsia="Calibri" w:hAnsi="Calibri" w:cs="Arial"/>
          <w:color w:val="00B0F0"/>
          <w:rtl/>
        </w:rPr>
        <w:t>)</w:t>
      </w:r>
    </w:p>
    <w:p w14:paraId="4843DC82" w14:textId="77777777" w:rsidR="0004348D" w:rsidRPr="0004348D" w:rsidRDefault="0004348D" w:rsidP="0004348D">
      <w:pPr>
        <w:spacing w:before="360" w:after="240"/>
        <w:rPr>
          <w:rFonts w:ascii="Calibri" w:eastAsia="Calibri" w:hAnsi="Calibri" w:cs="Arial"/>
          <w:u w:val="single"/>
        </w:rPr>
      </w:pPr>
      <w:r w:rsidRPr="0004348D">
        <w:rPr>
          <w:rFonts w:ascii="Calibri" w:eastAsia="Calibri" w:hAnsi="Calibri" w:cs="Arial"/>
          <w:u w:val="single"/>
          <w:rtl/>
        </w:rPr>
        <w:t>השואל כלי מחבירו ונאבד הכלי, המשאיל אומר סלע היה שוה, והשואל אומר איני יודע, ועד אחד מעיד ששוה שקל:</w:t>
      </w:r>
    </w:p>
    <w:p w14:paraId="6E6F38F9" w14:textId="77777777" w:rsidR="0004348D" w:rsidRPr="0004348D" w:rsidRDefault="0004348D" w:rsidP="0004348D">
      <w:pPr>
        <w:numPr>
          <w:ilvl w:val="0"/>
          <w:numId w:val="356"/>
        </w:numPr>
        <w:spacing w:before="360" w:after="240"/>
        <w:contextualSpacing/>
        <w:rPr>
          <w:rFonts w:ascii="Calibri" w:eastAsia="Calibri" w:hAnsi="Calibri" w:cs="Arial"/>
        </w:rPr>
      </w:pPr>
      <w:r w:rsidRPr="0004348D">
        <w:rPr>
          <w:rFonts w:ascii="Calibri" w:eastAsia="Calibri" w:hAnsi="Calibri" w:cs="Arial"/>
          <w:rtl/>
        </w:rPr>
        <w:t xml:space="preserve">רשב"א </w:t>
      </w:r>
      <w:r w:rsidRPr="0004348D">
        <w:rPr>
          <w:rFonts w:ascii="Calibri" w:eastAsia="Calibri" w:hAnsi="Calibri" w:cs="Arial"/>
          <w:sz w:val="16"/>
          <w:szCs w:val="16"/>
          <w:rtl/>
        </w:rPr>
        <w:t>(ח"ג סי' כג)</w:t>
      </w:r>
      <w:r w:rsidRPr="0004348D">
        <w:rPr>
          <w:rFonts w:ascii="Calibri" w:eastAsia="Calibri" w:hAnsi="Calibri" w:cs="Arial"/>
          <w:rtl/>
        </w:rPr>
        <w:t>- השואל</w:t>
      </w:r>
      <w:r w:rsidRPr="0004348D">
        <w:rPr>
          <w:rFonts w:ascii="Calibri" w:eastAsia="Calibri" w:hAnsi="Calibri" w:cs="Arial"/>
          <w:vertAlign w:val="superscript"/>
          <w:rtl/>
        </w:rPr>
        <w:footnoteReference w:id="5963"/>
      </w:r>
      <w:r w:rsidRPr="0004348D">
        <w:rPr>
          <w:rFonts w:ascii="Calibri" w:eastAsia="Calibri" w:hAnsi="Calibri" w:cs="Arial"/>
          <w:rtl/>
        </w:rPr>
        <w:t xml:space="preserve"> כלי מחבירו, ונאבד הכלי. המשאיל אומר סלע היה שוה, והשואל אומר איני יודע, ועד אחד מעידו שאינו שוה אלא שקל. אילו לא היה כאן עד אחד - היה המשאיל נוטל בלא שבועה, משום דהוה ליה מחוייב שבועה ואינו יכול לישבע. אבל עכשיו שיש עד אחד המכחיש את המשאיל - אם רצה השואל משביעו שבועת המשנה, כענין עד אחד מעידה שהיא פרועה </w:t>
      </w:r>
      <w:r w:rsidRPr="0004348D">
        <w:rPr>
          <w:rFonts w:ascii="Calibri" w:eastAsia="Calibri" w:hAnsi="Calibri" w:cs="Arial"/>
          <w:sz w:val="16"/>
          <w:szCs w:val="16"/>
          <w:rtl/>
        </w:rPr>
        <w:t>(כתובות פז.)</w:t>
      </w:r>
      <w:r w:rsidRPr="0004348D">
        <w:rPr>
          <w:rFonts w:ascii="Calibri" w:eastAsia="Calibri" w:hAnsi="Calibri" w:cs="Arial"/>
          <w:rtl/>
        </w:rPr>
        <w:t xml:space="preserve">, ואם רצה נותן לו סלע בפני עד זה ואח"כ מביאו לידי שבועה דאורייתא, וכההיא דפרק הכותב </w:t>
      </w:r>
      <w:r w:rsidRPr="0004348D">
        <w:rPr>
          <w:rFonts w:ascii="Calibri" w:eastAsia="Calibri" w:hAnsi="Calibri" w:cs="Arial"/>
          <w:sz w:val="16"/>
          <w:szCs w:val="16"/>
          <w:rtl/>
        </w:rPr>
        <w:t>(שם פח.)</w:t>
      </w:r>
      <w:r w:rsidRPr="0004348D">
        <w:rPr>
          <w:rFonts w:ascii="Calibri" w:eastAsia="Calibri" w:hAnsi="Calibri" w:cs="Arial"/>
          <w:rtl/>
        </w:rPr>
        <w:t>. וזה לדברי הרי"ף שכתב ששבועת עד אחד באה אפילו במקום שאינו תובע ברי אלא על פי העד שאומר לו כן</w:t>
      </w:r>
      <w:r w:rsidRPr="0004348D">
        <w:rPr>
          <w:rFonts w:ascii="Calibri" w:eastAsia="Calibri" w:hAnsi="Calibri" w:cs="Arial"/>
          <w:vertAlign w:val="superscript"/>
          <w:rtl/>
        </w:rPr>
        <w:footnoteReference w:id="5964"/>
      </w:r>
      <w:r w:rsidRPr="0004348D">
        <w:rPr>
          <w:rFonts w:ascii="Calibri" w:eastAsia="Calibri" w:hAnsi="Calibri" w:cs="Arial"/>
          <w:rtl/>
        </w:rPr>
        <w:t xml:space="preserve"> וכמו שכתב בפרק כל הנשבעין </w:t>
      </w:r>
      <w:r w:rsidRPr="0004348D">
        <w:rPr>
          <w:rFonts w:ascii="Calibri" w:eastAsia="Calibri" w:hAnsi="Calibri" w:cs="Arial"/>
          <w:sz w:val="16"/>
          <w:szCs w:val="16"/>
          <w:rtl/>
        </w:rPr>
        <w:t>(כח.)</w:t>
      </w:r>
      <w:r w:rsidRPr="0004348D">
        <w:rPr>
          <w:rFonts w:ascii="Calibri" w:eastAsia="Calibri" w:hAnsi="Calibri" w:cs="Arial"/>
          <w:rtl/>
        </w:rPr>
        <w:t xml:space="preserve">. אבל יש מהגדולים שחלקו עליו. ומ"מ אינו נוטל אלא בשבועת המשנה כענין עד אחד מעידה שהיא פרועה. </w:t>
      </w:r>
      <w:r w:rsidRPr="0004348D">
        <w:rPr>
          <w:rFonts w:ascii="Calibri" w:eastAsia="Calibri" w:hAnsi="Calibri" w:cs="Arial"/>
          <w:color w:val="00B0F0"/>
          <w:rtl/>
        </w:rPr>
        <w:t>(וכ"פ הרמ"א</w:t>
      </w:r>
      <w:r w:rsidRPr="0004348D">
        <w:rPr>
          <w:rFonts w:ascii="Calibri" w:eastAsia="Calibri" w:hAnsi="Calibri" w:cs="Arial"/>
          <w:color w:val="00B0F0"/>
          <w:sz w:val="16"/>
          <w:szCs w:val="16"/>
          <w:rtl/>
        </w:rPr>
        <w:t xml:space="preserve"> </w:t>
      </w:r>
      <w:r w:rsidRPr="0004348D">
        <w:rPr>
          <w:rFonts w:ascii="Calibri" w:eastAsia="Calibri" w:hAnsi="Calibri" w:cs="Arial"/>
          <w:sz w:val="16"/>
          <w:szCs w:val="16"/>
          <w:rtl/>
        </w:rPr>
        <w:t>[בסע' יד]</w:t>
      </w:r>
      <w:r w:rsidRPr="0004348D">
        <w:rPr>
          <w:rFonts w:ascii="Calibri" w:eastAsia="Calibri" w:hAnsi="Calibri" w:cs="Arial"/>
          <w:color w:val="00B0F0"/>
          <w:rtl/>
        </w:rPr>
        <w:t>)</w:t>
      </w:r>
    </w:p>
    <w:p w14:paraId="3BE988D1" w14:textId="77777777" w:rsidR="0004348D" w:rsidRPr="0004348D" w:rsidRDefault="0004348D" w:rsidP="0004348D">
      <w:pPr>
        <w:spacing w:before="360" w:after="240"/>
        <w:rPr>
          <w:rFonts w:ascii="Arial" w:eastAsia="Calibri" w:hAnsi="Arial" w:cs="Arial"/>
          <w:b/>
          <w:bCs/>
          <w:color w:val="000000"/>
          <w:sz w:val="28"/>
          <w:szCs w:val="28"/>
          <w:u w:val="single"/>
          <w:rtl/>
        </w:rPr>
      </w:pPr>
      <w:r w:rsidRPr="0004348D">
        <w:rPr>
          <w:rFonts w:ascii="Arial" w:eastAsia="Calibri" w:hAnsi="Arial" w:cs="Arial"/>
          <w:b/>
          <w:bCs/>
          <w:color w:val="000000"/>
          <w:sz w:val="28"/>
          <w:szCs w:val="28"/>
          <w:u w:val="single"/>
          <w:rtl/>
        </w:rPr>
        <w:t>שו"ע:</w:t>
      </w:r>
    </w:p>
    <w:p w14:paraId="0932842F" w14:textId="77777777" w:rsidR="0004348D" w:rsidRPr="0004348D" w:rsidRDefault="0004348D" w:rsidP="0004348D">
      <w:pPr>
        <w:spacing w:before="360" w:after="240"/>
        <w:rPr>
          <w:rFonts w:ascii="Calibri" w:eastAsia="Calibri" w:hAnsi="Calibri" w:cs="Arial"/>
          <w:rtl/>
        </w:rPr>
      </w:pPr>
      <w:r w:rsidRPr="0004348D">
        <w:rPr>
          <w:rFonts w:ascii="Calibri" w:eastAsia="Calibri" w:hAnsi="Calibri" w:cs="Arial"/>
          <w:rtl/>
        </w:rPr>
        <w:t xml:space="preserve">ראובן שלוה משמעון שבעה דינרים על המשכון, ואחר כך אמר לו 'פרעתיך פעם אחד שני דינרים, ופעם שניה שני דינרים, ופעם שלישית דינר', והשיב שמעון 'איני זוכר אלא מהדינר לבד' - הדין עם ראובן, מפני שגוף המשכון שלו, ונמצא כשהוא תובע משכונו שמעון משיבו אינו יודע אם יש לי עליו שום דבר מספק, וכיון שכן אין שמעון יכול לתבוע מספק בנכסי ראובן. </w:t>
      </w:r>
      <w:r w:rsidRPr="0004348D">
        <w:rPr>
          <w:rFonts w:ascii="Calibri" w:eastAsia="Calibri" w:hAnsi="Calibri" w:cs="Arial"/>
          <w:sz w:val="18"/>
          <w:szCs w:val="18"/>
          <w:rtl/>
        </w:rPr>
        <w:t>(ועיין לעיל סימן זה סעיף י"ד).</w:t>
      </w:r>
      <w:r w:rsidRPr="0004348D">
        <w:rPr>
          <w:rFonts w:ascii="Calibri" w:eastAsia="Calibri" w:hAnsi="Calibri" w:cs="Arial"/>
          <w:rtl/>
        </w:rPr>
        <w:t xml:space="preserve"> </w:t>
      </w:r>
    </w:p>
    <w:p w14:paraId="7205B2C6" w14:textId="77777777" w:rsidR="0004348D" w:rsidRPr="0004348D" w:rsidRDefault="0004348D" w:rsidP="0004348D">
      <w:pPr>
        <w:spacing w:before="360" w:after="240"/>
        <w:rPr>
          <w:rFonts w:ascii="Calibri" w:eastAsia="Calibri" w:hAnsi="Calibri" w:cs="Arial"/>
          <w:rtl/>
        </w:rPr>
      </w:pPr>
    </w:p>
    <w:p w14:paraId="5FA83C81" w14:textId="77777777" w:rsidR="0004348D" w:rsidRPr="0004348D" w:rsidRDefault="0004348D" w:rsidP="0004348D">
      <w:pPr>
        <w:keepNext/>
        <w:keepLines/>
        <w:spacing w:before="360" w:after="240"/>
        <w:outlineLvl w:val="1"/>
        <w:rPr>
          <w:rFonts w:ascii="Cambria" w:eastAsia="Times New Roman" w:hAnsi="Cambria" w:cs="Arial"/>
          <w:bCs/>
          <w:color w:val="548DD4" w:themeColor="text2" w:themeTint="99"/>
          <w:sz w:val="26"/>
          <w:szCs w:val="26"/>
          <w:rtl/>
        </w:rPr>
      </w:pPr>
      <w:bookmarkStart w:id="862" w:name="_Toc24884242"/>
      <w:r w:rsidRPr="0004348D">
        <w:rPr>
          <w:rFonts w:ascii="Cambria" w:eastAsia="Times New Roman" w:hAnsi="Cambria" w:cs="Arial"/>
          <w:bCs/>
          <w:color w:val="548DD4" w:themeColor="text2" w:themeTint="99"/>
          <w:sz w:val="26"/>
          <w:szCs w:val="26"/>
          <w:rtl/>
        </w:rPr>
        <w:t>סעיף כה: תפש חפץ מחבירו וטען שחייב לו מעסק שביניהם.</w:t>
      </w:r>
      <w:bookmarkEnd w:id="862"/>
    </w:p>
    <w:p w14:paraId="54261454" w14:textId="77777777" w:rsidR="0004348D" w:rsidRPr="0004348D" w:rsidRDefault="0004348D" w:rsidP="0004348D">
      <w:pPr>
        <w:spacing w:before="360" w:after="240"/>
        <w:rPr>
          <w:rFonts w:ascii="Calibri" w:eastAsia="Calibri" w:hAnsi="Calibri" w:cs="Arial"/>
          <w:u w:val="single"/>
          <w:rtl/>
        </w:rPr>
      </w:pPr>
      <w:r w:rsidRPr="0004348D">
        <w:rPr>
          <w:rFonts w:ascii="Calibri" w:eastAsia="Calibri" w:hAnsi="Calibri" w:cs="Arial"/>
          <w:u w:val="single"/>
          <w:rtl/>
        </w:rPr>
        <w:t>התופש חפץ מחבירו וטוען שיש לו עליו עד כדי דמיו מעסק משא ומתן שביניהם – האם צריך לברר הדבר:</w:t>
      </w:r>
    </w:p>
    <w:p w14:paraId="53E6B0D5" w14:textId="77777777" w:rsidR="0004348D" w:rsidRPr="0004348D" w:rsidRDefault="0004348D" w:rsidP="0004348D">
      <w:pPr>
        <w:numPr>
          <w:ilvl w:val="0"/>
          <w:numId w:val="356"/>
        </w:numPr>
        <w:spacing w:before="360" w:after="240"/>
        <w:contextualSpacing/>
        <w:rPr>
          <w:rFonts w:ascii="Calibri" w:eastAsia="Calibri" w:hAnsi="Calibri" w:cs="Arial"/>
          <w:rtl/>
        </w:rPr>
      </w:pPr>
      <w:r w:rsidRPr="0004348D">
        <w:rPr>
          <w:rFonts w:ascii="Calibri" w:eastAsia="Calibri" w:hAnsi="Calibri" w:cs="Arial"/>
          <w:rtl/>
        </w:rPr>
        <w:t xml:space="preserve">רא"ש </w:t>
      </w:r>
      <w:r w:rsidRPr="0004348D">
        <w:rPr>
          <w:rFonts w:ascii="Calibri" w:eastAsia="Calibri" w:hAnsi="Calibri" w:cs="Arial"/>
          <w:sz w:val="16"/>
          <w:szCs w:val="16"/>
          <w:rtl/>
        </w:rPr>
        <w:t>(כלל ע סי' ה)</w:t>
      </w:r>
      <w:r w:rsidRPr="0004348D">
        <w:rPr>
          <w:rFonts w:ascii="Calibri" w:eastAsia="Calibri" w:hAnsi="Calibri" w:cs="Arial"/>
          <w:rtl/>
        </w:rPr>
        <w:t xml:space="preserve"> וטור- ששאלת, התופש חפץ מחבירו וטוען שיש לו עליו עד כדי דמיו מעסק משא ומתן שביניהם, אם צריך לברר הדבר. תשובה, נכון הוא לברר הדבר האיך דנתחייב לו, משום דנפישי רמאי, אולי מתוך דבריו יתבאר רמאותו</w:t>
      </w:r>
      <w:r w:rsidRPr="0004348D">
        <w:rPr>
          <w:rFonts w:ascii="Calibri" w:eastAsia="Calibri" w:hAnsi="Calibri" w:cs="Arial"/>
          <w:vertAlign w:val="superscript"/>
          <w:rtl/>
        </w:rPr>
        <w:footnoteReference w:id="5965"/>
      </w:r>
      <w:r w:rsidRPr="0004348D">
        <w:rPr>
          <w:rFonts w:ascii="Calibri" w:eastAsia="Calibri" w:hAnsi="Calibri" w:cs="Arial"/>
          <w:rtl/>
        </w:rPr>
        <w:t>, וכן אני נוהג לפסוק, וכ"כ הגאונים.</w:t>
      </w:r>
      <w:r w:rsidRPr="0004348D">
        <w:rPr>
          <w:rFonts w:ascii="Calibri" w:eastAsia="Calibri" w:hAnsi="Calibri" w:cs="Arial"/>
          <w:color w:val="E36C0A" w:themeColor="accent6" w:themeShade="BF"/>
          <w:rtl/>
        </w:rPr>
        <w:t xml:space="preserve"> (וכ"פ בשו"ע)</w:t>
      </w:r>
    </w:p>
    <w:p w14:paraId="541ABECF" w14:textId="77777777" w:rsidR="0004348D" w:rsidRPr="0004348D" w:rsidRDefault="0004348D" w:rsidP="0004348D">
      <w:pPr>
        <w:spacing w:before="360" w:after="240"/>
        <w:rPr>
          <w:rFonts w:ascii="Arial" w:eastAsia="Calibri" w:hAnsi="Arial" w:cs="Arial"/>
          <w:b/>
          <w:bCs/>
          <w:color w:val="000000"/>
          <w:sz w:val="28"/>
          <w:szCs w:val="28"/>
          <w:u w:val="single"/>
        </w:rPr>
      </w:pPr>
      <w:r w:rsidRPr="0004348D">
        <w:rPr>
          <w:rFonts w:ascii="Arial" w:eastAsia="Calibri" w:hAnsi="Arial" w:cs="Arial"/>
          <w:b/>
          <w:bCs/>
          <w:color w:val="000000"/>
          <w:sz w:val="28"/>
          <w:szCs w:val="28"/>
          <w:u w:val="single"/>
          <w:rtl/>
        </w:rPr>
        <w:t>שו"ע:</w:t>
      </w:r>
    </w:p>
    <w:p w14:paraId="2116E677" w14:textId="77777777" w:rsidR="0004348D" w:rsidRPr="0004348D" w:rsidRDefault="0004348D" w:rsidP="0004348D">
      <w:pPr>
        <w:spacing w:before="360" w:after="240"/>
        <w:rPr>
          <w:rFonts w:ascii="Calibri" w:eastAsia="Calibri" w:hAnsi="Calibri" w:cs="Arial"/>
          <w:rtl/>
        </w:rPr>
      </w:pPr>
      <w:r w:rsidRPr="0004348D">
        <w:rPr>
          <w:rFonts w:ascii="Calibri" w:eastAsia="Calibri" w:hAnsi="Calibri" w:cs="Arial"/>
          <w:rtl/>
        </w:rPr>
        <w:t xml:space="preserve">התופס חפץ מחבירו, וטוען שיש לו עליו עד כדי דמיו מעסק משא ומתן שביניהם, צריך לברר היאך נתחייב לו, משום דנפישי רמאי, ואולי מתוך דבריו יתברר רמאותו. </w:t>
      </w:r>
      <w:r w:rsidRPr="0004348D">
        <w:rPr>
          <w:rFonts w:ascii="Calibri" w:eastAsia="Calibri" w:hAnsi="Calibri" w:cs="Arial"/>
          <w:sz w:val="18"/>
          <w:szCs w:val="18"/>
          <w:rtl/>
        </w:rPr>
        <w:t>(ועיין לעיל סימן זה סעיף י"ז ולקמן סימן ע"ה).</w:t>
      </w:r>
      <w:r w:rsidRPr="0004348D">
        <w:rPr>
          <w:rFonts w:ascii="Calibri" w:eastAsia="Calibri" w:hAnsi="Calibri" w:cs="Arial"/>
          <w:rtl/>
        </w:rPr>
        <w:t xml:space="preserve"> </w:t>
      </w:r>
    </w:p>
    <w:p w14:paraId="06941FDA" w14:textId="77777777" w:rsidR="0004348D" w:rsidRPr="0004348D" w:rsidRDefault="0004348D" w:rsidP="0004348D">
      <w:pPr>
        <w:spacing w:before="360" w:after="240"/>
        <w:rPr>
          <w:rFonts w:ascii="Calibri" w:eastAsia="Calibri" w:hAnsi="Calibri" w:cs="Arial"/>
          <w:rtl/>
        </w:rPr>
      </w:pPr>
    </w:p>
    <w:p w14:paraId="7B969FA5" w14:textId="77777777" w:rsidR="0004348D" w:rsidRPr="0004348D" w:rsidRDefault="0004348D" w:rsidP="0004348D">
      <w:pPr>
        <w:keepNext/>
        <w:keepLines/>
        <w:spacing w:before="360" w:after="240"/>
        <w:outlineLvl w:val="1"/>
        <w:rPr>
          <w:rFonts w:ascii="Cambria" w:eastAsia="Times New Roman" w:hAnsi="Cambria" w:cs="Arial"/>
          <w:bCs/>
          <w:color w:val="548DD4" w:themeColor="text2" w:themeTint="99"/>
          <w:sz w:val="26"/>
          <w:szCs w:val="26"/>
          <w:rtl/>
        </w:rPr>
      </w:pPr>
      <w:bookmarkStart w:id="863" w:name="_Toc24884243"/>
      <w:r w:rsidRPr="0004348D">
        <w:rPr>
          <w:rFonts w:ascii="Cambria" w:eastAsia="Times New Roman" w:hAnsi="Cambria" w:cs="Arial"/>
          <w:bCs/>
          <w:color w:val="548DD4" w:themeColor="text2" w:themeTint="99"/>
          <w:sz w:val="26"/>
          <w:szCs w:val="26"/>
          <w:rtl/>
        </w:rPr>
        <w:t>סעיף כו: מי שיש בידו משכון מחבירו ודוחקו לפדותו, ואמר לו הלה 'יהא המשכון שלך'.</w:t>
      </w:r>
      <w:bookmarkEnd w:id="863"/>
    </w:p>
    <w:p w14:paraId="5C7778A6" w14:textId="77777777" w:rsidR="0004348D" w:rsidRPr="0004348D" w:rsidRDefault="0004348D" w:rsidP="0004348D">
      <w:pPr>
        <w:spacing w:before="360" w:after="240"/>
        <w:rPr>
          <w:rFonts w:ascii="Calibri" w:eastAsia="Calibri" w:hAnsi="Calibri" w:cs="Arial"/>
          <w:u w:val="single"/>
          <w:rtl/>
        </w:rPr>
      </w:pPr>
      <w:r w:rsidRPr="0004348D">
        <w:rPr>
          <w:rFonts w:ascii="Calibri" w:eastAsia="Calibri" w:hAnsi="Calibri" w:cs="Arial"/>
          <w:u w:val="single"/>
          <w:rtl/>
        </w:rPr>
        <w:t>מי שיש בידו משכון מחבירו ודוחקו לפדותו ואמר לו הלה 'יהא המשכון שלך' – האם קנה את המשכון:</w:t>
      </w:r>
    </w:p>
    <w:p w14:paraId="6E5C4DF2" w14:textId="77777777" w:rsidR="0004348D" w:rsidRPr="0004348D" w:rsidRDefault="0004348D" w:rsidP="0004348D">
      <w:pPr>
        <w:numPr>
          <w:ilvl w:val="0"/>
          <w:numId w:val="356"/>
        </w:numPr>
        <w:spacing w:before="360" w:after="240"/>
        <w:contextualSpacing/>
        <w:rPr>
          <w:rFonts w:ascii="Calibri" w:eastAsia="Calibri" w:hAnsi="Calibri" w:cs="Arial"/>
          <w:rtl/>
        </w:rPr>
      </w:pPr>
      <w:r w:rsidRPr="0004348D">
        <w:rPr>
          <w:rFonts w:ascii="Calibri" w:eastAsia="Calibri" w:hAnsi="Calibri" w:cs="Arial"/>
          <w:rtl/>
        </w:rPr>
        <w:t xml:space="preserve">נמוק"י </w:t>
      </w:r>
      <w:r w:rsidRPr="0004348D">
        <w:rPr>
          <w:rFonts w:ascii="Calibri" w:eastAsia="Calibri" w:hAnsi="Calibri" w:cs="Arial"/>
          <w:sz w:val="16"/>
          <w:szCs w:val="16"/>
          <w:rtl/>
        </w:rPr>
        <w:t>(סוף ב"מ עב: ד"ה גמ' מי שהיה)</w:t>
      </w:r>
      <w:r w:rsidRPr="0004348D">
        <w:rPr>
          <w:rFonts w:ascii="Calibri" w:eastAsia="Calibri" w:hAnsi="Calibri" w:cs="Arial"/>
          <w:rtl/>
        </w:rPr>
        <w:t>- מי שיש בידו משכון מחבירו ודוחקו לפדותו ואמר לו הלה יהא המשכון שלך - לא קני ליה. וטעמא משום דדחויי מדחי ליה.</w:t>
      </w:r>
      <w:r w:rsidRPr="0004348D">
        <w:rPr>
          <w:rFonts w:ascii="Calibri" w:eastAsia="Calibri" w:hAnsi="Calibri" w:cs="Arial"/>
          <w:color w:val="E36C0A" w:themeColor="accent6" w:themeShade="BF"/>
          <w:rtl/>
        </w:rPr>
        <w:t xml:space="preserve"> (וכ"פ בשו"ע)</w:t>
      </w:r>
    </w:p>
    <w:p w14:paraId="66272E5A" w14:textId="77777777" w:rsidR="0004348D" w:rsidRPr="0004348D" w:rsidRDefault="0004348D" w:rsidP="0004348D">
      <w:pPr>
        <w:spacing w:before="360" w:after="240"/>
        <w:rPr>
          <w:rFonts w:ascii="Arial" w:eastAsia="Calibri" w:hAnsi="Arial" w:cs="Arial"/>
          <w:b/>
          <w:bCs/>
          <w:color w:val="000000"/>
          <w:sz w:val="28"/>
          <w:szCs w:val="28"/>
          <w:u w:val="single"/>
          <w:rtl/>
        </w:rPr>
      </w:pPr>
      <w:r w:rsidRPr="0004348D">
        <w:rPr>
          <w:rFonts w:ascii="Arial" w:eastAsia="Calibri" w:hAnsi="Arial" w:cs="Arial"/>
          <w:b/>
          <w:bCs/>
          <w:color w:val="000000"/>
          <w:sz w:val="28"/>
          <w:szCs w:val="28"/>
          <w:u w:val="single"/>
          <w:rtl/>
        </w:rPr>
        <w:t>שו"ע:</w:t>
      </w:r>
    </w:p>
    <w:p w14:paraId="082A3333" w14:textId="77777777" w:rsidR="0004348D" w:rsidRPr="0004348D" w:rsidRDefault="0004348D" w:rsidP="0004348D">
      <w:pPr>
        <w:spacing w:before="360" w:after="240"/>
        <w:rPr>
          <w:rFonts w:ascii="Calibri" w:eastAsia="Calibri" w:hAnsi="Calibri" w:cs="Arial"/>
          <w:rtl/>
        </w:rPr>
      </w:pPr>
      <w:r w:rsidRPr="0004348D">
        <w:rPr>
          <w:rFonts w:ascii="Calibri" w:eastAsia="Calibri" w:hAnsi="Calibri" w:cs="Arial"/>
          <w:rtl/>
        </w:rPr>
        <w:t>מי שיש בידו משכון מחבירו, ודוחקו לפדותו, ואמר לו הלה 'יהא המשכון שלך', לא קני, דדחויי מדחי ליה</w:t>
      </w:r>
      <w:r w:rsidRPr="0004348D">
        <w:rPr>
          <w:rFonts w:ascii="Calibri" w:eastAsia="Calibri" w:hAnsi="Calibri" w:cs="Arial"/>
          <w:vertAlign w:val="superscript"/>
          <w:rtl/>
        </w:rPr>
        <w:footnoteReference w:id="5966"/>
      </w:r>
      <w:r w:rsidRPr="0004348D">
        <w:rPr>
          <w:rFonts w:ascii="Calibri" w:eastAsia="Calibri" w:hAnsi="Calibri" w:cs="Arial"/>
          <w:rtl/>
        </w:rPr>
        <w:t xml:space="preserve">. </w:t>
      </w:r>
    </w:p>
    <w:p w14:paraId="55FAF2B5" w14:textId="77777777" w:rsidR="0004348D" w:rsidRPr="0004348D" w:rsidRDefault="0004348D" w:rsidP="0004348D">
      <w:pPr>
        <w:spacing w:before="360" w:after="240"/>
        <w:rPr>
          <w:rFonts w:ascii="Calibri" w:eastAsia="Calibri" w:hAnsi="Calibri" w:cs="Arial"/>
          <w:rtl/>
        </w:rPr>
      </w:pPr>
    </w:p>
    <w:p w14:paraId="173DF906" w14:textId="77777777" w:rsidR="0004348D" w:rsidRPr="0004348D" w:rsidRDefault="0004348D" w:rsidP="0004348D">
      <w:pPr>
        <w:keepNext/>
        <w:keepLines/>
        <w:spacing w:before="360" w:after="240"/>
        <w:outlineLvl w:val="1"/>
        <w:rPr>
          <w:rFonts w:ascii="Cambria" w:eastAsia="Times New Roman" w:hAnsi="Cambria" w:cs="Arial"/>
          <w:bCs/>
          <w:color w:val="548DD4" w:themeColor="text2" w:themeTint="99"/>
          <w:sz w:val="26"/>
          <w:szCs w:val="26"/>
          <w:rtl/>
        </w:rPr>
      </w:pPr>
      <w:bookmarkStart w:id="864" w:name="_Toc24884244"/>
      <w:r w:rsidRPr="0004348D">
        <w:rPr>
          <w:rFonts w:ascii="Cambria" w:eastAsia="Times New Roman" w:hAnsi="Cambria" w:cs="Arial"/>
          <w:bCs/>
          <w:color w:val="548DD4" w:themeColor="text2" w:themeTint="99"/>
          <w:sz w:val="26"/>
          <w:szCs w:val="26"/>
          <w:rtl/>
        </w:rPr>
        <w:t>סעיף כז: משכון שנפחתו דמיו ביד המלוה.</w:t>
      </w:r>
      <w:bookmarkEnd w:id="864"/>
    </w:p>
    <w:p w14:paraId="3F872AE7" w14:textId="77777777" w:rsidR="0004348D" w:rsidRPr="0004348D" w:rsidRDefault="0004348D" w:rsidP="0004348D">
      <w:pPr>
        <w:spacing w:before="360" w:after="240"/>
        <w:rPr>
          <w:rFonts w:ascii="Calibri" w:eastAsia="Calibri" w:hAnsi="Calibri" w:cs="Arial"/>
          <w:u w:val="single"/>
          <w:rtl/>
        </w:rPr>
      </w:pPr>
      <w:r w:rsidRPr="0004348D">
        <w:rPr>
          <w:rFonts w:ascii="Calibri" w:eastAsia="Calibri" w:hAnsi="Calibri" w:cs="Arial"/>
          <w:u w:val="single"/>
          <w:rtl/>
        </w:rPr>
        <w:t>משכון שנפחתו דמיו ביד המלוה:</w:t>
      </w:r>
    </w:p>
    <w:p w14:paraId="3F85C3F3" w14:textId="77777777" w:rsidR="0004348D" w:rsidRPr="0004348D" w:rsidRDefault="0004348D" w:rsidP="0004348D">
      <w:pPr>
        <w:numPr>
          <w:ilvl w:val="0"/>
          <w:numId w:val="356"/>
        </w:numPr>
        <w:spacing w:before="360" w:after="240"/>
        <w:contextualSpacing/>
        <w:rPr>
          <w:rFonts w:ascii="Calibri" w:eastAsia="Calibri" w:hAnsi="Calibri" w:cs="Arial"/>
          <w:rtl/>
        </w:rPr>
      </w:pPr>
      <w:r w:rsidRPr="0004348D">
        <w:rPr>
          <w:rFonts w:ascii="Calibri" w:eastAsia="Calibri" w:hAnsi="Calibri" w:cs="Arial"/>
          <w:rtl/>
        </w:rPr>
        <w:t xml:space="preserve">בעל התרומות </w:t>
      </w:r>
      <w:r w:rsidRPr="0004348D">
        <w:rPr>
          <w:rFonts w:ascii="Calibri" w:eastAsia="Calibri" w:hAnsi="Calibri" w:cs="Arial"/>
          <w:sz w:val="16"/>
          <w:szCs w:val="16"/>
          <w:rtl/>
        </w:rPr>
        <w:t>(שער מט ח"ב סי' ג)</w:t>
      </w:r>
      <w:r w:rsidRPr="0004348D">
        <w:rPr>
          <w:rFonts w:ascii="Calibri" w:eastAsia="Calibri" w:hAnsi="Calibri" w:cs="Arial"/>
          <w:rtl/>
        </w:rPr>
        <w:t xml:space="preserve"> וטור- משכון שנפחתו דמיו ביד המלוה, וטוען הלוה ברי לי שנפחת מחמת שנרקב או אכלוהו עכברים או עש. אם טוען המלוה ששמרו במקום שמשתמר מעכברים וריקבון וניערו כראוי - אם כן אנוס הוא ונשבע היסת שהוא כדבריו ונפטר. ואם מודה שלא שם אותו במקום המשתמר מעכברים או לא ניערו כראוי - חייב לשלם הפחת. ואם יש מחלוקת ביניהם זה אומר נפחת כך וכך וזה אומר לא נפחת כל כך, אם הלוה מודה שמתחילה לא היה שוה אלא כדי החוב, כגון שהלוהו עשרים והיה שוה עשרים ועתה שוה עשרה והמלוה אומר שמתחילה לא היה שוה אלא ט"ו ושואל ממנו ה' - נשבע הלוה היסת ונפטר, ואע"פ שהוא מודה מקצת, שהרי המשכון הילך הוא. אבל מלוה אינו נשבע שהרי גם מתחילה לא היה שוה אלא כדי חובו. ואם מתחילה היה שוה יותר מכדי החוב כגון שטוען הלוה שהיה שוה ל' והלוהו כ' ועתה אינו שוה אלא ט"ו ושואל ממנו י', והמלוה אומר שלא היה שוה אלא כ"ה ואין לו ליתן אלא ה' - נשבע המלוה שלא נפחת אלא עשרה ומנכה לו חמשה מחובו והשאר גובה מהמשכון, שהוא נאמן בשבועה עד כדי דמיו</w:t>
      </w:r>
      <w:r w:rsidRPr="0004348D">
        <w:rPr>
          <w:rFonts w:ascii="Calibri" w:eastAsia="Calibri" w:hAnsi="Calibri" w:cs="Arial"/>
          <w:sz w:val="16"/>
          <w:szCs w:val="16"/>
          <w:rtl/>
        </w:rPr>
        <w:t xml:space="preserve"> (ל' הטור)</w:t>
      </w:r>
      <w:r w:rsidRPr="0004348D">
        <w:rPr>
          <w:rFonts w:ascii="Calibri" w:eastAsia="Calibri" w:hAnsi="Calibri" w:cs="Arial"/>
          <w:rtl/>
        </w:rPr>
        <w:t xml:space="preserve">. </w:t>
      </w:r>
      <w:r w:rsidRPr="0004348D">
        <w:rPr>
          <w:rFonts w:ascii="Calibri" w:eastAsia="Calibri" w:hAnsi="Calibri" w:cs="Arial"/>
          <w:color w:val="E36C0A" w:themeColor="accent6" w:themeShade="BF"/>
          <w:rtl/>
        </w:rPr>
        <w:t>(וכ"פ בשו"ע)</w:t>
      </w:r>
    </w:p>
    <w:p w14:paraId="09BB0790" w14:textId="77777777" w:rsidR="0004348D" w:rsidRPr="0004348D" w:rsidRDefault="0004348D" w:rsidP="0004348D">
      <w:pPr>
        <w:spacing w:before="360" w:after="240"/>
        <w:ind w:left="360"/>
        <w:rPr>
          <w:rFonts w:ascii="Calibri" w:eastAsia="Calibri" w:hAnsi="Calibri" w:cs="Arial"/>
          <w:u w:val="dotted"/>
        </w:rPr>
      </w:pPr>
      <w:r w:rsidRPr="0004348D">
        <w:rPr>
          <w:rFonts w:ascii="Calibri" w:eastAsia="Calibri" w:hAnsi="Calibri" w:cs="Arial"/>
          <w:u w:val="dotted"/>
          <w:rtl/>
        </w:rPr>
        <w:t>ומה הדין אם אף לאחר שנפחת שווה כדי החוב</w:t>
      </w:r>
      <w:r w:rsidRPr="0004348D">
        <w:rPr>
          <w:rFonts w:ascii="Calibri" w:eastAsia="Calibri" w:hAnsi="Calibri" w:cs="Arial"/>
          <w:sz w:val="16"/>
          <w:szCs w:val="16"/>
          <w:u w:val="dotted"/>
          <w:rtl/>
        </w:rPr>
        <w:t xml:space="preserve"> (והם חלוקים בפחת או שהמלוה אומר שאינו יודע כמה נפחת)</w:t>
      </w:r>
      <w:r w:rsidRPr="0004348D">
        <w:rPr>
          <w:rFonts w:ascii="Calibri" w:eastAsia="Calibri" w:hAnsi="Calibri" w:cs="Arial"/>
          <w:u w:val="dotted"/>
          <w:rtl/>
        </w:rPr>
        <w:t>:</w:t>
      </w:r>
    </w:p>
    <w:p w14:paraId="671DE153" w14:textId="77777777" w:rsidR="0004348D" w:rsidRPr="0004348D" w:rsidRDefault="0004348D" w:rsidP="0004348D">
      <w:pPr>
        <w:numPr>
          <w:ilvl w:val="0"/>
          <w:numId w:val="356"/>
        </w:numPr>
        <w:spacing w:before="360" w:after="240"/>
        <w:contextualSpacing/>
        <w:rPr>
          <w:rFonts w:ascii="Calibri" w:eastAsia="Calibri" w:hAnsi="Calibri" w:cs="Arial"/>
          <w:rtl/>
        </w:rPr>
      </w:pPr>
      <w:r w:rsidRPr="0004348D">
        <w:rPr>
          <w:rFonts w:ascii="Calibri" w:eastAsia="Calibri" w:hAnsi="Calibri" w:cs="Arial"/>
          <w:rtl/>
        </w:rPr>
        <w:t xml:space="preserve">בהעי"ט </w:t>
      </w:r>
      <w:r w:rsidRPr="0004348D">
        <w:rPr>
          <w:rFonts w:ascii="Calibri" w:eastAsia="Calibri" w:hAnsi="Calibri" w:cs="Arial"/>
          <w:sz w:val="16"/>
          <w:szCs w:val="16"/>
          <w:rtl/>
        </w:rPr>
        <w:t>(שם כב ע"ב, הביאו בעל התרומות [שם] והטור)</w:t>
      </w:r>
      <w:r w:rsidRPr="0004348D">
        <w:rPr>
          <w:rFonts w:ascii="Calibri" w:eastAsia="Calibri" w:hAnsi="Calibri" w:cs="Arial"/>
          <w:rtl/>
        </w:rPr>
        <w:t xml:space="preserve"> וטור- וכל שכן אם אפילו אחר שנפחת שוה כדי החוב והם חלוקים בפחת או שאמר המלוה איני יודע כמה נפחת - שנשבע המלוה שבועת היסת ונפטר </w:t>
      </w:r>
      <w:r w:rsidRPr="0004348D">
        <w:rPr>
          <w:rFonts w:ascii="Calibri" w:eastAsia="Calibri" w:hAnsi="Calibri" w:cs="Arial"/>
          <w:sz w:val="16"/>
          <w:szCs w:val="16"/>
          <w:rtl/>
        </w:rPr>
        <w:t>(ל' הטור)</w:t>
      </w:r>
      <w:r w:rsidRPr="0004348D">
        <w:rPr>
          <w:rFonts w:ascii="Calibri" w:eastAsia="Calibri" w:hAnsi="Calibri" w:cs="Arial"/>
          <w:rtl/>
        </w:rPr>
        <w:t>.</w:t>
      </w:r>
      <w:r w:rsidRPr="0004348D">
        <w:rPr>
          <w:rFonts w:ascii="Calibri" w:eastAsia="Calibri" w:hAnsi="Calibri" w:cs="Arial"/>
          <w:color w:val="E36C0A" w:themeColor="accent6" w:themeShade="BF"/>
          <w:rtl/>
        </w:rPr>
        <w:t xml:space="preserve"> (וכ"פ בשו"ע)</w:t>
      </w:r>
    </w:p>
    <w:p w14:paraId="005A07F8" w14:textId="77777777" w:rsidR="0004348D" w:rsidRPr="0004348D" w:rsidRDefault="0004348D" w:rsidP="0004348D">
      <w:pPr>
        <w:numPr>
          <w:ilvl w:val="0"/>
          <w:numId w:val="356"/>
        </w:numPr>
        <w:spacing w:before="360" w:after="240"/>
        <w:contextualSpacing/>
        <w:rPr>
          <w:rFonts w:ascii="Calibri" w:eastAsia="Calibri" w:hAnsi="Calibri" w:cs="Arial"/>
        </w:rPr>
      </w:pPr>
      <w:r w:rsidRPr="0004348D">
        <w:rPr>
          <w:rFonts w:ascii="Calibri" w:eastAsia="Calibri" w:hAnsi="Calibri" w:cs="Arial"/>
          <w:rtl/>
        </w:rPr>
        <w:t xml:space="preserve">איכא מאן דאמר </w:t>
      </w:r>
      <w:r w:rsidRPr="0004348D">
        <w:rPr>
          <w:rFonts w:ascii="Calibri" w:eastAsia="Calibri" w:hAnsi="Calibri" w:cs="Arial"/>
          <w:sz w:val="16"/>
          <w:szCs w:val="16"/>
          <w:rtl/>
        </w:rPr>
        <w:t xml:space="preserve">(כ"כ ר"י אלברצלוני בשמו </w:t>
      </w:r>
      <w:r w:rsidRPr="0004348D">
        <w:rPr>
          <w:rFonts w:ascii="Calibri" w:eastAsia="Calibri" w:hAnsi="Calibri" w:cs="Arial"/>
          <w:sz w:val="14"/>
          <w:szCs w:val="14"/>
          <w:rtl/>
        </w:rPr>
        <w:t>[הביאו בעל התרומות שם]</w:t>
      </w:r>
      <w:r w:rsidRPr="0004348D">
        <w:rPr>
          <w:rFonts w:ascii="Calibri" w:eastAsia="Calibri" w:hAnsi="Calibri" w:cs="Arial"/>
          <w:sz w:val="16"/>
          <w:szCs w:val="16"/>
          <w:rtl/>
        </w:rPr>
        <w:t>)</w:t>
      </w:r>
      <w:r w:rsidRPr="0004348D">
        <w:rPr>
          <w:rFonts w:ascii="Calibri" w:eastAsia="Calibri" w:hAnsi="Calibri" w:cs="Arial"/>
          <w:rtl/>
        </w:rPr>
        <w:t>- מלוה נשבע כעין דאו' שלא נשתמש בה וגובה חובו.</w:t>
      </w:r>
    </w:p>
    <w:p w14:paraId="18F06E44" w14:textId="77777777" w:rsidR="0004348D" w:rsidRPr="0004348D" w:rsidRDefault="0004348D" w:rsidP="0004348D">
      <w:pPr>
        <w:spacing w:before="360" w:after="240"/>
        <w:rPr>
          <w:rFonts w:ascii="Arial" w:eastAsia="Calibri" w:hAnsi="Arial" w:cs="Arial"/>
          <w:b/>
          <w:bCs/>
          <w:color w:val="000000"/>
          <w:sz w:val="28"/>
          <w:szCs w:val="28"/>
          <w:u w:val="single"/>
          <w:rtl/>
        </w:rPr>
      </w:pPr>
      <w:r w:rsidRPr="0004348D">
        <w:rPr>
          <w:rFonts w:ascii="Arial" w:eastAsia="Calibri" w:hAnsi="Arial" w:cs="Arial"/>
          <w:b/>
          <w:bCs/>
          <w:color w:val="000000"/>
          <w:sz w:val="28"/>
          <w:szCs w:val="28"/>
          <w:u w:val="single"/>
          <w:rtl/>
        </w:rPr>
        <w:t>שו"ע:</w:t>
      </w:r>
    </w:p>
    <w:p w14:paraId="5AC2F0E2" w14:textId="77777777" w:rsidR="0004348D" w:rsidRPr="0004348D" w:rsidRDefault="0004348D" w:rsidP="0004348D">
      <w:pPr>
        <w:spacing w:before="360" w:after="240"/>
        <w:rPr>
          <w:rFonts w:ascii="Calibri" w:eastAsia="Calibri" w:hAnsi="Calibri" w:cs="Arial"/>
          <w:rtl/>
        </w:rPr>
      </w:pPr>
      <w:r w:rsidRPr="0004348D">
        <w:rPr>
          <w:rFonts w:ascii="Calibri" w:eastAsia="Calibri" w:hAnsi="Calibri" w:cs="Arial"/>
          <w:rtl/>
        </w:rPr>
        <w:t>משכון שנפחתו דמיו ביד המלוה, וטוען הלוה 'ברי לי שנפחת מחמת שנרקב או אכלוהו עכברים או עש', אם טוען המלוה ששמרו במקום שמשתמר מעכברים ורקבון וניערו כראוי, אם כן אנוס הוא ונשבע היסת שהוא כדבריו ונפטר</w:t>
      </w:r>
      <w:r w:rsidRPr="0004348D">
        <w:rPr>
          <w:rFonts w:ascii="Calibri" w:eastAsia="Calibri" w:hAnsi="Calibri" w:cs="Arial"/>
          <w:vertAlign w:val="superscript"/>
          <w:rtl/>
        </w:rPr>
        <w:footnoteReference w:id="5967"/>
      </w:r>
      <w:r w:rsidRPr="0004348D">
        <w:rPr>
          <w:rFonts w:ascii="Calibri" w:eastAsia="Calibri" w:hAnsi="Calibri" w:cs="Arial"/>
          <w:rtl/>
        </w:rPr>
        <w:t>.  ואם מודה שלא שם אותו במקום המשתמר מעכברים או לא ניערו כראוי, חייב לשלם הפחת. ואם יש מחלוקת ביניהם, זה אומר 'נפחת כך וכך', וזה אומר 'לא נפחת כל כך', אם הלוה מודה שמתחלה לא היה שוה אלא כדי החוב, כגון שהלוהו עשרים והיה שוה עשרים ועתה שוה עשרה, והמלוה אומר שמתחלה לא היה שוה אלא ט"ו, ושואל ממנו חמשה, נשבע הלוה היסת ונפטר. ואף על פי שהוא מודה מקצת, שהרי המשכון הילך הוא</w:t>
      </w:r>
      <w:r w:rsidRPr="0004348D">
        <w:rPr>
          <w:rFonts w:ascii="Calibri" w:eastAsia="Calibri" w:hAnsi="Calibri" w:cs="Arial"/>
          <w:vertAlign w:val="superscript"/>
          <w:rtl/>
        </w:rPr>
        <w:footnoteReference w:id="5968"/>
      </w:r>
      <w:r w:rsidRPr="0004348D">
        <w:rPr>
          <w:rFonts w:ascii="Calibri" w:eastAsia="Calibri" w:hAnsi="Calibri" w:cs="Arial"/>
          <w:rtl/>
        </w:rPr>
        <w:t>, אבל המלוה אינו נשבע, שהרי גם מתחלה לא היה שוה אלא כדי חובו. ואם מתחלה היה שוה יותר מכדי החוב, כגון שטוען הלוה שהיה שוה שלשים והלוהו עשרים ועתה אינו שוה אלא ט"ו, ושואל ממנו עשרה</w:t>
      </w:r>
      <w:r w:rsidRPr="0004348D">
        <w:rPr>
          <w:rFonts w:ascii="Calibri" w:eastAsia="Calibri" w:hAnsi="Calibri" w:cs="Arial"/>
          <w:vertAlign w:val="superscript"/>
          <w:rtl/>
        </w:rPr>
        <w:footnoteReference w:id="5969"/>
      </w:r>
      <w:r w:rsidRPr="0004348D">
        <w:rPr>
          <w:rFonts w:ascii="Calibri" w:eastAsia="Calibri" w:hAnsi="Calibri" w:cs="Arial"/>
          <w:rtl/>
        </w:rPr>
        <w:t>, והמלוה אומר שלא היה שוה אלא כ"ה ואין לו ליתן אלא חמשה, נשבע המלוה שלא נפחת אלא עשרה, ומנכה לו חמשה מתוכו</w:t>
      </w:r>
      <w:r w:rsidRPr="0004348D">
        <w:rPr>
          <w:rFonts w:ascii="Calibri" w:eastAsia="Calibri" w:hAnsi="Calibri" w:cs="Arial"/>
          <w:vertAlign w:val="superscript"/>
          <w:rtl/>
        </w:rPr>
        <w:footnoteReference w:id="5970"/>
      </w:r>
      <w:r w:rsidRPr="0004348D">
        <w:rPr>
          <w:rFonts w:ascii="Calibri" w:eastAsia="Calibri" w:hAnsi="Calibri" w:cs="Arial"/>
          <w:rtl/>
        </w:rPr>
        <w:t>, והשאר גובה מהמשכון</w:t>
      </w:r>
      <w:r w:rsidRPr="0004348D">
        <w:rPr>
          <w:rFonts w:ascii="Calibri" w:eastAsia="Calibri" w:hAnsi="Calibri" w:cs="Arial"/>
          <w:vertAlign w:val="superscript"/>
          <w:rtl/>
        </w:rPr>
        <w:footnoteReference w:id="5971"/>
      </w:r>
      <w:r w:rsidRPr="0004348D">
        <w:rPr>
          <w:rFonts w:ascii="Calibri" w:eastAsia="Calibri" w:hAnsi="Calibri" w:cs="Arial"/>
          <w:rtl/>
        </w:rPr>
        <w:t>, שהוא נאמן בשבועה עד כדי דמיו. וכל שכן אם אפילו אחר שנפחת שוה כדי החוב, והם חלוקים בפחת או שאמר המלוה 'איני יודע כמה נפחת</w:t>
      </w:r>
      <w:r w:rsidRPr="0004348D">
        <w:rPr>
          <w:rFonts w:ascii="Calibri" w:eastAsia="Calibri" w:hAnsi="Calibri" w:cs="Arial"/>
          <w:vertAlign w:val="superscript"/>
          <w:rtl/>
        </w:rPr>
        <w:footnoteReference w:id="5972"/>
      </w:r>
      <w:r w:rsidRPr="0004348D">
        <w:rPr>
          <w:rFonts w:ascii="Calibri" w:eastAsia="Calibri" w:hAnsi="Calibri" w:cs="Arial"/>
          <w:rtl/>
        </w:rPr>
        <w:t>', שנשבע המלוה שבועת היסת</w:t>
      </w:r>
      <w:r w:rsidRPr="0004348D">
        <w:rPr>
          <w:rFonts w:ascii="Calibri" w:eastAsia="Calibri" w:hAnsi="Calibri" w:cs="Arial"/>
          <w:vertAlign w:val="superscript"/>
          <w:rtl/>
        </w:rPr>
        <w:footnoteReference w:id="5973"/>
      </w:r>
      <w:r w:rsidRPr="0004348D">
        <w:rPr>
          <w:rFonts w:ascii="Calibri" w:eastAsia="Calibri" w:hAnsi="Calibri" w:cs="Arial"/>
          <w:rtl/>
        </w:rPr>
        <w:t xml:space="preserve"> ונפטר. </w:t>
      </w:r>
    </w:p>
    <w:p w14:paraId="039FEF92" w14:textId="77777777" w:rsidR="0004348D" w:rsidRPr="0004348D" w:rsidRDefault="0004348D" w:rsidP="0004348D">
      <w:pPr>
        <w:spacing w:before="360" w:after="240"/>
        <w:rPr>
          <w:rFonts w:ascii="Calibri" w:eastAsia="Calibri" w:hAnsi="Calibri" w:cs="Arial"/>
          <w:rtl/>
        </w:rPr>
      </w:pPr>
    </w:p>
    <w:p w14:paraId="29B65516" w14:textId="77777777" w:rsidR="0004348D" w:rsidRPr="0004348D" w:rsidRDefault="0004348D" w:rsidP="0004348D">
      <w:pPr>
        <w:keepNext/>
        <w:keepLines/>
        <w:spacing w:before="360" w:after="240"/>
        <w:outlineLvl w:val="1"/>
        <w:rPr>
          <w:rFonts w:ascii="Cambria" w:eastAsia="Times New Roman" w:hAnsi="Cambria" w:cs="Arial"/>
          <w:bCs/>
          <w:color w:val="548DD4" w:themeColor="text2" w:themeTint="99"/>
          <w:sz w:val="26"/>
          <w:szCs w:val="26"/>
          <w:rtl/>
        </w:rPr>
      </w:pPr>
      <w:bookmarkStart w:id="865" w:name="_Toc24884245"/>
      <w:r w:rsidRPr="0004348D">
        <w:rPr>
          <w:rFonts w:ascii="Cambria" w:eastAsia="Times New Roman" w:hAnsi="Cambria" w:cs="Arial"/>
          <w:bCs/>
          <w:color w:val="548DD4" w:themeColor="text2" w:themeTint="99"/>
          <w:sz w:val="26"/>
          <w:szCs w:val="26"/>
          <w:rtl/>
        </w:rPr>
        <w:t>סעיף כח: אחד מחזיק בחפץ וטוען שהוא משכון ששוה פחות מסך ההלואה, והשני כופר.</w:t>
      </w:r>
      <w:bookmarkEnd w:id="865"/>
    </w:p>
    <w:p w14:paraId="52EAE470" w14:textId="77777777" w:rsidR="0004348D" w:rsidRPr="0004348D" w:rsidRDefault="0004348D" w:rsidP="0004348D">
      <w:pPr>
        <w:spacing w:before="360" w:after="240"/>
        <w:rPr>
          <w:rFonts w:ascii="Calibri" w:eastAsia="Calibri" w:hAnsi="Calibri" w:cs="Arial"/>
          <w:u w:val="single"/>
          <w:rtl/>
        </w:rPr>
      </w:pPr>
      <w:r w:rsidRPr="0004348D">
        <w:rPr>
          <w:rFonts w:ascii="Calibri" w:eastAsia="Calibri" w:hAnsi="Calibri" w:cs="Arial"/>
          <w:u w:val="single"/>
          <w:rtl/>
        </w:rPr>
        <w:t xml:space="preserve">אחד מחזיק בחפץ וטוען שהוא משכון ששוה פחות מסך ההלואה, והשני טוען שלא לוה ממנו אלא מכר לו את הדבר: </w:t>
      </w:r>
    </w:p>
    <w:p w14:paraId="184A866A" w14:textId="77777777" w:rsidR="0004348D" w:rsidRPr="0004348D" w:rsidRDefault="0004348D" w:rsidP="00992A87">
      <w:pPr>
        <w:numPr>
          <w:ilvl w:val="0"/>
          <w:numId w:val="371"/>
        </w:numPr>
        <w:spacing w:before="360" w:after="240"/>
        <w:contextualSpacing/>
        <w:rPr>
          <w:rFonts w:ascii="Calibri" w:eastAsia="Calibri" w:hAnsi="Calibri" w:cs="Arial"/>
          <w:rtl/>
        </w:rPr>
      </w:pPr>
      <w:r w:rsidRPr="0004348D">
        <w:rPr>
          <w:rFonts w:ascii="Calibri" w:eastAsia="Calibri" w:hAnsi="Calibri" w:cs="Arial"/>
          <w:rtl/>
        </w:rPr>
        <w:t xml:space="preserve">בהעי"ט </w:t>
      </w:r>
      <w:r w:rsidRPr="0004348D">
        <w:rPr>
          <w:rFonts w:ascii="Calibri" w:eastAsia="Calibri" w:hAnsi="Calibri" w:cs="Arial"/>
          <w:sz w:val="16"/>
          <w:szCs w:val="16"/>
          <w:rtl/>
        </w:rPr>
        <w:t xml:space="preserve">(כ"כ בשמו בעל התרומות [שער מט ח"ב סי' ד-ה] הטור) </w:t>
      </w:r>
      <w:r w:rsidRPr="0004348D">
        <w:rPr>
          <w:rFonts w:ascii="Calibri" w:eastAsia="Calibri" w:hAnsi="Calibri" w:cs="Arial"/>
          <w:rtl/>
        </w:rPr>
        <w:t>וטור- מלוה אומר 'סלע הלויתיך עליו וג' דינרין היה שוה ויש לי אצלך דינר', ולוה אומר 'מכרתיו לך בשלשה דינרין ולא נתת לי המעות' ותובע אותו בהם - שניהם נשבעין שבועת היסת</w:t>
      </w:r>
      <w:r w:rsidRPr="0004348D">
        <w:rPr>
          <w:rFonts w:ascii="Calibri" w:eastAsia="Calibri" w:hAnsi="Calibri" w:cs="Arial"/>
          <w:vertAlign w:val="superscript"/>
          <w:rtl/>
        </w:rPr>
        <w:footnoteReference w:id="5974"/>
      </w:r>
      <w:r w:rsidRPr="0004348D">
        <w:rPr>
          <w:rFonts w:ascii="Calibri" w:eastAsia="Calibri" w:hAnsi="Calibri" w:cs="Arial"/>
          <w:rtl/>
        </w:rPr>
        <w:t>, זה נשבע שמשכונא הוא בידו, וזה נשבע שמכרו לו. ואם רצו להפך שבועתן זה על זה - הופכין. ואם הם חלוקים על ההיפוך זה אומר אני מהפכה וזה אומר אני מהפכה - עומד הדבר עד שיתרצה אחד מהם, ואם לא נתרצו - שניהם נשבעין</w:t>
      </w:r>
      <w:r w:rsidRPr="0004348D">
        <w:rPr>
          <w:rFonts w:ascii="Calibri" w:eastAsia="Calibri" w:hAnsi="Calibri" w:cs="Arial"/>
          <w:sz w:val="16"/>
          <w:szCs w:val="16"/>
          <w:rtl/>
        </w:rPr>
        <w:t xml:space="preserve"> (ל' הטור בשם בהעי"ט)</w:t>
      </w:r>
      <w:r w:rsidRPr="0004348D">
        <w:rPr>
          <w:rFonts w:ascii="Calibri" w:eastAsia="Calibri" w:hAnsi="Calibri" w:cs="Arial"/>
          <w:rtl/>
        </w:rPr>
        <w:t>.</w:t>
      </w:r>
      <w:r w:rsidRPr="0004348D">
        <w:rPr>
          <w:rFonts w:ascii="Calibri" w:eastAsia="Calibri" w:hAnsi="Calibri" w:cs="Arial"/>
          <w:color w:val="E36C0A" w:themeColor="accent6" w:themeShade="BF"/>
          <w:rtl/>
        </w:rPr>
        <w:t xml:space="preserve"> (וכ"פ בשו"ע)</w:t>
      </w:r>
    </w:p>
    <w:p w14:paraId="7E134F4B" w14:textId="77777777" w:rsidR="0004348D" w:rsidRPr="0004348D" w:rsidRDefault="0004348D" w:rsidP="0004348D">
      <w:pPr>
        <w:spacing w:before="360" w:after="240"/>
        <w:rPr>
          <w:rFonts w:ascii="Arial" w:eastAsia="Calibri" w:hAnsi="Arial" w:cs="Arial"/>
          <w:b/>
          <w:bCs/>
          <w:color w:val="000000"/>
          <w:sz w:val="28"/>
          <w:szCs w:val="28"/>
          <w:u w:val="single"/>
        </w:rPr>
      </w:pPr>
      <w:r w:rsidRPr="0004348D">
        <w:rPr>
          <w:rFonts w:ascii="Arial" w:eastAsia="Calibri" w:hAnsi="Arial" w:cs="Arial"/>
          <w:b/>
          <w:bCs/>
          <w:color w:val="000000"/>
          <w:sz w:val="28"/>
          <w:szCs w:val="28"/>
          <w:u w:val="single"/>
          <w:rtl/>
        </w:rPr>
        <w:t>שו"ע:</w:t>
      </w:r>
    </w:p>
    <w:p w14:paraId="45D5F8B1" w14:textId="77777777" w:rsidR="0004348D" w:rsidRPr="0004348D" w:rsidRDefault="0004348D" w:rsidP="0004348D">
      <w:pPr>
        <w:spacing w:before="360" w:after="240"/>
        <w:rPr>
          <w:rFonts w:ascii="Calibri" w:eastAsia="Calibri" w:hAnsi="Calibri" w:cs="Arial"/>
          <w:rtl/>
        </w:rPr>
      </w:pPr>
      <w:r w:rsidRPr="0004348D">
        <w:rPr>
          <w:rFonts w:ascii="Calibri" w:eastAsia="Calibri" w:hAnsi="Calibri" w:cs="Arial"/>
          <w:rtl/>
        </w:rPr>
        <w:t>מלוה אומר 'סלע הלויתיך עליו וג' דינרים היה שוה ויש לי אצלך דינר', ולוה אומר 'מכרתי לך בשלשה דינרים ולא נתת לי המעות', ותובע אותו בהם, שניהם נשבעים שבועת היסת, זה נשבע שמשכון הוא בידו, וזה נשבע שמכרו לו. ואם רצו להפך שבועתם</w:t>
      </w:r>
      <w:r w:rsidRPr="0004348D">
        <w:rPr>
          <w:rFonts w:ascii="Calibri" w:eastAsia="Calibri" w:hAnsi="Calibri" w:cs="Arial"/>
          <w:vertAlign w:val="superscript"/>
          <w:rtl/>
        </w:rPr>
        <w:footnoteReference w:id="5975"/>
      </w:r>
      <w:r w:rsidRPr="0004348D">
        <w:rPr>
          <w:rFonts w:ascii="Calibri" w:eastAsia="Calibri" w:hAnsi="Calibri" w:cs="Arial"/>
          <w:rtl/>
        </w:rPr>
        <w:t xml:space="preserve"> זה על זה, הופכים. ואם הם חולקים על ההפך, זה אומר 'אני מהפכה', וזה אומר 'אני מהפכה', עומד הדבר עד שיתרצו שניהם</w:t>
      </w:r>
      <w:r w:rsidRPr="0004348D">
        <w:rPr>
          <w:rFonts w:ascii="Calibri" w:eastAsia="Calibri" w:hAnsi="Calibri" w:cs="Arial"/>
          <w:vertAlign w:val="superscript"/>
          <w:rtl/>
        </w:rPr>
        <w:footnoteReference w:id="5976"/>
      </w:r>
      <w:r w:rsidRPr="0004348D">
        <w:rPr>
          <w:rFonts w:ascii="Calibri" w:eastAsia="Calibri" w:hAnsi="Calibri" w:cs="Arial"/>
          <w:rtl/>
        </w:rPr>
        <w:t xml:space="preserve">, ואם לא נתרצו, שניהם נשבעים. </w:t>
      </w:r>
    </w:p>
    <w:p w14:paraId="3CB26F4C" w14:textId="77777777" w:rsidR="0004348D" w:rsidRPr="0004348D" w:rsidRDefault="0004348D" w:rsidP="0004348D">
      <w:pPr>
        <w:spacing w:before="360" w:after="240"/>
        <w:rPr>
          <w:rFonts w:ascii="Calibri" w:eastAsia="Calibri" w:hAnsi="Calibri" w:cs="Arial"/>
          <w:rtl/>
        </w:rPr>
      </w:pPr>
    </w:p>
    <w:p w14:paraId="24649E03" w14:textId="77777777" w:rsidR="0004348D" w:rsidRPr="0004348D" w:rsidRDefault="0004348D" w:rsidP="0004348D">
      <w:pPr>
        <w:keepNext/>
        <w:keepLines/>
        <w:spacing w:before="360" w:after="240"/>
        <w:outlineLvl w:val="1"/>
        <w:rPr>
          <w:rFonts w:ascii="Cambria" w:eastAsia="Times New Roman" w:hAnsi="Cambria" w:cs="Arial"/>
          <w:bCs/>
          <w:color w:val="548DD4" w:themeColor="text2" w:themeTint="99"/>
          <w:sz w:val="26"/>
          <w:szCs w:val="26"/>
          <w:rtl/>
        </w:rPr>
      </w:pPr>
      <w:bookmarkStart w:id="866" w:name="_Toc24884246"/>
      <w:r w:rsidRPr="0004348D">
        <w:rPr>
          <w:rFonts w:ascii="Cambria" w:eastAsia="Times New Roman" w:hAnsi="Cambria" w:cs="Arial"/>
          <w:bCs/>
          <w:color w:val="548DD4" w:themeColor="text2" w:themeTint="99"/>
          <w:sz w:val="26"/>
          <w:szCs w:val="26"/>
          <w:rtl/>
        </w:rPr>
        <w:t>סעיף כט: מלוה שטוען שנאבד המשכון באונס, והלוה טוען ברי לי שאתה מכרתו ולקחת דמיו.</w:t>
      </w:r>
      <w:bookmarkEnd w:id="866"/>
    </w:p>
    <w:p w14:paraId="430EA60B" w14:textId="77777777" w:rsidR="0004348D" w:rsidRPr="0004348D" w:rsidRDefault="0004348D" w:rsidP="0004348D">
      <w:pPr>
        <w:spacing w:before="360" w:after="240"/>
        <w:rPr>
          <w:rFonts w:ascii="Calibri" w:eastAsia="Calibri" w:hAnsi="Calibri" w:cs="Arial"/>
          <w:u w:val="single"/>
          <w:rtl/>
        </w:rPr>
      </w:pPr>
      <w:r w:rsidRPr="0004348D">
        <w:rPr>
          <w:rFonts w:ascii="Calibri" w:eastAsia="Calibri" w:hAnsi="Calibri" w:cs="Arial"/>
          <w:u w:val="single"/>
          <w:rtl/>
        </w:rPr>
        <w:t>מלוה שטוען שנאבד המשכון באונס - והלוה טוען 'ברי לי שאתה מכרתו ולקחת דמיו':</w:t>
      </w:r>
    </w:p>
    <w:p w14:paraId="2404BC61" w14:textId="77777777" w:rsidR="0004348D" w:rsidRPr="0004348D" w:rsidRDefault="0004348D" w:rsidP="00992A87">
      <w:pPr>
        <w:numPr>
          <w:ilvl w:val="0"/>
          <w:numId w:val="371"/>
        </w:numPr>
        <w:spacing w:before="360" w:after="240"/>
        <w:contextualSpacing/>
        <w:rPr>
          <w:rFonts w:ascii="Calibri" w:eastAsia="Calibri" w:hAnsi="Calibri" w:cs="Arial"/>
          <w:rtl/>
        </w:rPr>
      </w:pPr>
      <w:r w:rsidRPr="0004348D">
        <w:rPr>
          <w:rFonts w:ascii="Calibri" w:eastAsia="Calibri" w:hAnsi="Calibri" w:cs="Arial"/>
          <w:rtl/>
        </w:rPr>
        <w:t>ה"ר יהודה ברצלוני</w:t>
      </w:r>
      <w:r w:rsidRPr="0004348D">
        <w:rPr>
          <w:rFonts w:ascii="Calibri" w:eastAsia="Calibri" w:hAnsi="Calibri" w:cs="Arial"/>
          <w:sz w:val="16"/>
          <w:szCs w:val="16"/>
          <w:rtl/>
        </w:rPr>
        <w:t xml:space="preserve"> (כ"כ בשמו בעל התרומות [שם] והטור)</w:t>
      </w:r>
      <w:r w:rsidRPr="0004348D">
        <w:rPr>
          <w:rFonts w:ascii="Calibri" w:eastAsia="Calibri" w:hAnsi="Calibri" w:cs="Arial"/>
          <w:rtl/>
        </w:rPr>
        <w:t xml:space="preserve"> וטור- מלוה שטוען שנאבד המשכון באונס, והלוה טוען ברי לי שאתה מכרתו ולקחת דמיו - נשבע הלוה היסת ונפטר במגו שאין לך בידי כלום או פרעתיך</w:t>
      </w:r>
      <w:r w:rsidRPr="0004348D">
        <w:rPr>
          <w:rFonts w:ascii="Calibri" w:eastAsia="Calibri" w:hAnsi="Calibri" w:cs="Arial"/>
          <w:sz w:val="16"/>
          <w:szCs w:val="16"/>
          <w:rtl/>
        </w:rPr>
        <w:t xml:space="preserve"> (ל' הטור בשם ה"ר יהודה אלברצלוני)</w:t>
      </w:r>
      <w:r w:rsidRPr="0004348D">
        <w:rPr>
          <w:rFonts w:ascii="Calibri" w:eastAsia="Calibri" w:hAnsi="Calibri" w:cs="Arial"/>
          <w:rtl/>
        </w:rPr>
        <w:t>.</w:t>
      </w:r>
      <w:r w:rsidRPr="0004348D">
        <w:rPr>
          <w:rFonts w:ascii="Calibri" w:eastAsia="Calibri" w:hAnsi="Calibri" w:cs="Arial"/>
          <w:color w:val="E36C0A" w:themeColor="accent6" w:themeShade="BF"/>
          <w:rtl/>
        </w:rPr>
        <w:t xml:space="preserve"> (וכ"פ בשו"ע)</w:t>
      </w:r>
    </w:p>
    <w:p w14:paraId="64BB9A8C" w14:textId="77777777" w:rsidR="0004348D" w:rsidRPr="0004348D" w:rsidRDefault="0004348D" w:rsidP="0004348D">
      <w:pPr>
        <w:spacing w:before="360" w:after="240"/>
        <w:rPr>
          <w:rFonts w:ascii="Arial" w:eastAsia="Calibri" w:hAnsi="Arial" w:cs="Arial"/>
          <w:b/>
          <w:bCs/>
          <w:color w:val="000000"/>
          <w:sz w:val="28"/>
          <w:szCs w:val="28"/>
          <w:u w:val="single"/>
          <w:rtl/>
        </w:rPr>
      </w:pPr>
      <w:r w:rsidRPr="0004348D">
        <w:rPr>
          <w:rFonts w:ascii="Arial" w:eastAsia="Calibri" w:hAnsi="Arial" w:cs="Arial"/>
          <w:b/>
          <w:bCs/>
          <w:color w:val="000000"/>
          <w:sz w:val="28"/>
          <w:szCs w:val="28"/>
          <w:u w:val="single"/>
          <w:rtl/>
        </w:rPr>
        <w:t>שו"ע:</w:t>
      </w:r>
    </w:p>
    <w:p w14:paraId="0C24C760" w14:textId="77777777" w:rsidR="0004348D" w:rsidRPr="0004348D" w:rsidRDefault="0004348D" w:rsidP="0004348D">
      <w:pPr>
        <w:spacing w:before="360" w:after="240"/>
        <w:rPr>
          <w:rFonts w:ascii="Calibri" w:eastAsia="Calibri" w:hAnsi="Calibri" w:cs="Arial"/>
          <w:rtl/>
        </w:rPr>
      </w:pPr>
      <w:r w:rsidRPr="0004348D">
        <w:rPr>
          <w:rFonts w:ascii="Calibri" w:eastAsia="Calibri" w:hAnsi="Calibri" w:cs="Arial"/>
          <w:rtl/>
        </w:rPr>
        <w:t>מלוה שטוען שנאבד המשכון באונס, והלוה טוען 'ברי לי</w:t>
      </w:r>
      <w:r w:rsidRPr="0004348D">
        <w:rPr>
          <w:rFonts w:ascii="Calibri" w:eastAsia="Calibri" w:hAnsi="Calibri" w:cs="Arial"/>
          <w:vertAlign w:val="superscript"/>
          <w:rtl/>
        </w:rPr>
        <w:footnoteReference w:id="5977"/>
      </w:r>
      <w:r w:rsidRPr="0004348D">
        <w:rPr>
          <w:rFonts w:ascii="Calibri" w:eastAsia="Calibri" w:hAnsi="Calibri" w:cs="Arial"/>
          <w:rtl/>
        </w:rPr>
        <w:t xml:space="preserve"> שאתה מכרתו ולקחת דמיו', נשבע הלוה היסת, ונפטר</w:t>
      </w:r>
      <w:r w:rsidRPr="0004348D">
        <w:rPr>
          <w:rFonts w:ascii="Calibri" w:eastAsia="Calibri" w:hAnsi="Calibri" w:cs="Arial"/>
          <w:vertAlign w:val="superscript"/>
          <w:rtl/>
        </w:rPr>
        <w:footnoteReference w:id="5978"/>
      </w:r>
      <w:r w:rsidRPr="0004348D">
        <w:rPr>
          <w:rFonts w:ascii="Calibri" w:eastAsia="Calibri" w:hAnsi="Calibri" w:cs="Arial"/>
          <w:rtl/>
        </w:rPr>
        <w:t xml:space="preserve">. </w:t>
      </w:r>
    </w:p>
    <w:p w14:paraId="7A017188" w14:textId="77777777" w:rsidR="0004348D" w:rsidRPr="0004348D" w:rsidRDefault="0004348D" w:rsidP="0004348D">
      <w:pPr>
        <w:spacing w:before="360" w:after="240"/>
        <w:rPr>
          <w:rFonts w:ascii="Calibri" w:eastAsia="Calibri" w:hAnsi="Calibri" w:cs="Arial"/>
          <w:rtl/>
        </w:rPr>
      </w:pPr>
    </w:p>
    <w:p w14:paraId="246D6F6F" w14:textId="77777777" w:rsidR="0004348D" w:rsidRPr="0004348D" w:rsidRDefault="0004348D" w:rsidP="0004348D">
      <w:pPr>
        <w:keepNext/>
        <w:keepLines/>
        <w:spacing w:before="360" w:after="240"/>
        <w:outlineLvl w:val="1"/>
        <w:rPr>
          <w:rFonts w:ascii="Cambria" w:eastAsia="Times New Roman" w:hAnsi="Cambria" w:cs="Arial"/>
          <w:bCs/>
          <w:color w:val="548DD4" w:themeColor="text2" w:themeTint="99"/>
          <w:sz w:val="26"/>
          <w:szCs w:val="26"/>
          <w:rtl/>
        </w:rPr>
      </w:pPr>
      <w:bookmarkStart w:id="867" w:name="_Toc24884247"/>
      <w:r w:rsidRPr="0004348D">
        <w:rPr>
          <w:rFonts w:ascii="Cambria" w:eastAsia="Times New Roman" w:hAnsi="Cambria" w:cs="Arial"/>
          <w:bCs/>
          <w:color w:val="548DD4" w:themeColor="text2" w:themeTint="99"/>
          <w:sz w:val="26"/>
          <w:szCs w:val="26"/>
          <w:rtl/>
        </w:rPr>
        <w:t>סעיף ל: הממשכן משכון אצל חברו והלה משכנו ביד אחר ונאבד.</w:t>
      </w:r>
      <w:bookmarkEnd w:id="867"/>
    </w:p>
    <w:p w14:paraId="1558C713" w14:textId="77777777" w:rsidR="0004348D" w:rsidRPr="0004348D" w:rsidRDefault="0004348D" w:rsidP="0004348D">
      <w:pPr>
        <w:spacing w:before="360" w:after="240"/>
        <w:rPr>
          <w:rFonts w:ascii="Calibri" w:eastAsia="Calibri" w:hAnsi="Calibri" w:cs="Arial"/>
          <w:u w:val="single"/>
          <w:rtl/>
        </w:rPr>
      </w:pPr>
      <w:r w:rsidRPr="0004348D">
        <w:rPr>
          <w:rFonts w:ascii="Calibri" w:eastAsia="Calibri" w:hAnsi="Calibri" w:cs="Arial"/>
          <w:u w:val="single"/>
          <w:rtl/>
        </w:rPr>
        <w:t xml:space="preserve">ראובן משכן משכון ביד שמעון, ושמעון הביאו ללוי, ונאבד מיד לוי, וטוען ראובן שסלע היה שוה ולוה עליו ב' דינרים: </w:t>
      </w:r>
    </w:p>
    <w:p w14:paraId="09D9DDE7" w14:textId="77777777" w:rsidR="0004348D" w:rsidRPr="0004348D" w:rsidRDefault="0004348D" w:rsidP="00992A87">
      <w:pPr>
        <w:numPr>
          <w:ilvl w:val="0"/>
          <w:numId w:val="371"/>
        </w:numPr>
        <w:spacing w:before="360" w:after="240"/>
        <w:contextualSpacing/>
        <w:rPr>
          <w:rFonts w:ascii="Calibri" w:eastAsia="Calibri" w:hAnsi="Calibri" w:cs="Arial"/>
          <w:rtl/>
        </w:rPr>
      </w:pPr>
      <w:r w:rsidRPr="0004348D">
        <w:rPr>
          <w:rFonts w:ascii="Calibri" w:eastAsia="Calibri" w:hAnsi="Calibri" w:cs="Arial"/>
          <w:rtl/>
        </w:rPr>
        <w:t xml:space="preserve">גאונים </w:t>
      </w:r>
      <w:r w:rsidRPr="0004348D">
        <w:rPr>
          <w:rFonts w:ascii="Calibri" w:eastAsia="Calibri" w:hAnsi="Calibri" w:cs="Arial"/>
          <w:sz w:val="16"/>
          <w:szCs w:val="16"/>
          <w:rtl/>
        </w:rPr>
        <w:t xml:space="preserve">(בתשובות גאוני מזרח ומערב סי' יד) </w:t>
      </w:r>
      <w:r w:rsidRPr="0004348D">
        <w:rPr>
          <w:rFonts w:ascii="Calibri" w:eastAsia="Calibri" w:hAnsi="Calibri" w:cs="Arial"/>
          <w:rtl/>
        </w:rPr>
        <w:t xml:space="preserve">בעל התרומות </w:t>
      </w:r>
      <w:r w:rsidRPr="0004348D">
        <w:rPr>
          <w:rFonts w:ascii="Calibri" w:eastAsia="Calibri" w:hAnsi="Calibri" w:cs="Arial"/>
          <w:sz w:val="16"/>
          <w:szCs w:val="16"/>
          <w:rtl/>
        </w:rPr>
        <w:t xml:space="preserve">(שער מט ח"ג סי' א) </w:t>
      </w:r>
      <w:r w:rsidRPr="0004348D">
        <w:rPr>
          <w:rFonts w:ascii="Calibri" w:eastAsia="Calibri" w:hAnsi="Calibri" w:cs="Arial"/>
          <w:rtl/>
        </w:rPr>
        <w:t>בשם רבי יצחק וטור- ראובן משכן משכון ביד שמעון, והלך שמעון ומשכנו ללוי או נתנו לו במתנה מה שהיה לו עליו, ונאבד מיד לוי</w:t>
      </w:r>
      <w:r w:rsidRPr="0004348D">
        <w:rPr>
          <w:rFonts w:ascii="Calibri" w:eastAsia="Calibri" w:hAnsi="Calibri" w:cs="Arial"/>
          <w:vertAlign w:val="superscript"/>
          <w:rtl/>
        </w:rPr>
        <w:footnoteReference w:id="5979"/>
      </w:r>
      <w:r w:rsidRPr="0004348D">
        <w:rPr>
          <w:rFonts w:ascii="Calibri" w:eastAsia="Calibri" w:hAnsi="Calibri" w:cs="Arial"/>
          <w:rtl/>
        </w:rPr>
        <w:t>. ותובע ראובן משכונו מיד שמעון ואומר כי סלע היה שוה ולא הלוה עליו אלא ב' דינרין ושואל ממנו ב' דינרין. ושמעון אומר שלא היה שוה אלא ג' דינרין ואינו חייב לו אלא דינר, ונמצא שמעון מודה מקצת - וצריך לישבע שלא היה שוה אלא ג' דינרין ואינו חייב לו אלא דינר, עוד צריך לישבע שבועת השומרים שאינו ברשותו ושלא פשע בו ליפטר מהדינר, וזה א"א לו לישבע כיון שמסרו ליד לוי ולוי אינו יכול לישבע לפטרו כי יאמר לו אתה מהימן לי ולוי לא מהימן לי, לפיכך הו"ל מחויב שבועה ואינו יכול לישבע ומשלם. וכן הדין אם נפחת המשכון ויש מחלוקת ביניהן כמה שיעור פחיתותו, ומודה שמעון שנפחת ואינו יודע אם בפשיעת לוי נפחת או באונס - הו"ל מחויב שבועה ואינו יכול לישבע ומשלם. ואם רצה שמעון להחרים על כל אדם שיודע שמשכונו אינו שוה כמו שטוען הרשות בידו</w:t>
      </w:r>
      <w:r w:rsidRPr="0004348D">
        <w:rPr>
          <w:rFonts w:ascii="Calibri" w:eastAsia="Calibri" w:hAnsi="Calibri" w:cs="Arial"/>
          <w:sz w:val="16"/>
          <w:szCs w:val="16"/>
          <w:rtl/>
        </w:rPr>
        <w:t xml:space="preserve"> (ל' הטור)</w:t>
      </w:r>
      <w:r w:rsidRPr="0004348D">
        <w:rPr>
          <w:rFonts w:ascii="Calibri" w:eastAsia="Calibri" w:hAnsi="Calibri" w:cs="Arial"/>
          <w:rtl/>
        </w:rPr>
        <w:t xml:space="preserve">. </w:t>
      </w:r>
      <w:r w:rsidRPr="0004348D">
        <w:rPr>
          <w:rFonts w:ascii="Calibri" w:eastAsia="Calibri" w:hAnsi="Calibri" w:cs="Arial"/>
          <w:color w:val="E36C0A" w:themeColor="accent6" w:themeShade="BF"/>
          <w:rtl/>
        </w:rPr>
        <w:t>(וכ"פ בשו"ע)</w:t>
      </w:r>
    </w:p>
    <w:p w14:paraId="06228AAA" w14:textId="77777777" w:rsidR="0004348D" w:rsidRPr="0004348D" w:rsidRDefault="0004348D" w:rsidP="0004348D">
      <w:pPr>
        <w:spacing w:before="360" w:after="240"/>
        <w:ind w:left="360"/>
        <w:rPr>
          <w:rFonts w:ascii="Calibri" w:eastAsia="Calibri" w:hAnsi="Calibri" w:cs="Arial"/>
          <w:u w:val="dotted"/>
        </w:rPr>
      </w:pPr>
      <w:r w:rsidRPr="0004348D">
        <w:rPr>
          <w:rFonts w:ascii="Calibri" w:eastAsia="Calibri" w:hAnsi="Calibri" w:cs="Arial"/>
          <w:u w:val="dotted"/>
          <w:rtl/>
        </w:rPr>
        <w:t>ומה הדין אם יש עדים שלוי שמר את המשכון כראוי אלא שנאבד ממנו באונס:</w:t>
      </w:r>
    </w:p>
    <w:p w14:paraId="762E4185" w14:textId="77777777" w:rsidR="0004348D" w:rsidRPr="0004348D" w:rsidRDefault="0004348D" w:rsidP="00992A87">
      <w:pPr>
        <w:numPr>
          <w:ilvl w:val="0"/>
          <w:numId w:val="371"/>
        </w:numPr>
        <w:spacing w:before="360" w:after="240"/>
        <w:contextualSpacing/>
        <w:rPr>
          <w:rFonts w:ascii="Calibri" w:eastAsia="Calibri" w:hAnsi="Calibri" w:cs="Arial"/>
          <w:rtl/>
        </w:rPr>
      </w:pPr>
      <w:r w:rsidRPr="0004348D">
        <w:rPr>
          <w:rFonts w:ascii="Calibri" w:eastAsia="Calibri" w:hAnsi="Calibri" w:cs="Arial"/>
          <w:rtl/>
        </w:rPr>
        <w:t xml:space="preserve">בעל התרומות </w:t>
      </w:r>
      <w:r w:rsidRPr="0004348D">
        <w:rPr>
          <w:rFonts w:ascii="Calibri" w:eastAsia="Calibri" w:hAnsi="Calibri" w:cs="Arial"/>
          <w:sz w:val="16"/>
          <w:szCs w:val="16"/>
          <w:rtl/>
        </w:rPr>
        <w:t xml:space="preserve">(שער מ"ט ח"ג סי' ב-ג) </w:t>
      </w:r>
      <w:r w:rsidRPr="0004348D">
        <w:rPr>
          <w:rFonts w:ascii="Calibri" w:eastAsia="Calibri" w:hAnsi="Calibri" w:cs="Arial"/>
          <w:rtl/>
        </w:rPr>
        <w:t xml:space="preserve">וטור- ואם יש שם עדים ששמרו לוי כראוי ונאבד ממנו באונס - נפטר שמעון, שהרי אין עסק שבועה ביניהם דנימא מתוך שאינו יכול לישבע משלם. ואפי' אין עדים והיה דרך ראובן להפקיד פקדונותיו ביד לוי שנמצא שנאמן הוא בעיניו וטוען לוי שנאבד ממנו באונס - ישבע לוי שבועת השומרין שאינו ברשותו ושלא שלח בו יד ושלא פשע בו ויפטר שמעון. </w:t>
      </w:r>
      <w:r w:rsidRPr="0004348D">
        <w:rPr>
          <w:rFonts w:ascii="Calibri" w:eastAsia="Calibri" w:hAnsi="Calibri" w:cs="Arial"/>
          <w:color w:val="E36C0A" w:themeColor="accent6" w:themeShade="BF"/>
          <w:rtl/>
        </w:rPr>
        <w:t>(וכ"פ בשו"ע)</w:t>
      </w:r>
    </w:p>
    <w:p w14:paraId="67947A22" w14:textId="77777777" w:rsidR="0004348D" w:rsidRPr="0004348D" w:rsidRDefault="0004348D" w:rsidP="0004348D">
      <w:pPr>
        <w:spacing w:before="360" w:after="240"/>
        <w:ind w:left="360"/>
        <w:rPr>
          <w:rFonts w:ascii="Calibri" w:eastAsia="Calibri" w:hAnsi="Calibri" w:cs="Arial"/>
          <w:u w:val="dotted"/>
        </w:rPr>
      </w:pPr>
      <w:r w:rsidRPr="0004348D">
        <w:rPr>
          <w:rFonts w:ascii="Calibri" w:eastAsia="Calibri" w:hAnsi="Calibri" w:cs="Arial"/>
          <w:u w:val="dotted"/>
          <w:rtl/>
        </w:rPr>
        <w:t xml:space="preserve">ומה הדין אם פשע לוי בשמירת המשכון וראובן רגיל להפקיד אצלו </w:t>
      </w:r>
      <w:r w:rsidRPr="0004348D">
        <w:rPr>
          <w:rFonts w:ascii="Calibri" w:eastAsia="Calibri" w:hAnsi="Calibri" w:cs="Arial"/>
          <w:sz w:val="16"/>
          <w:szCs w:val="16"/>
          <w:u w:val="dotted"/>
          <w:rtl/>
        </w:rPr>
        <w:t>(היינו שנאמן לו)</w:t>
      </w:r>
      <w:r w:rsidRPr="0004348D">
        <w:rPr>
          <w:rFonts w:ascii="Calibri" w:eastAsia="Calibri" w:hAnsi="Calibri" w:cs="Arial"/>
          <w:u w:val="dotted"/>
          <w:rtl/>
        </w:rPr>
        <w:t>:</w:t>
      </w:r>
    </w:p>
    <w:p w14:paraId="461E5D11" w14:textId="77777777" w:rsidR="0004348D" w:rsidRPr="0004348D" w:rsidRDefault="0004348D" w:rsidP="00992A87">
      <w:pPr>
        <w:numPr>
          <w:ilvl w:val="0"/>
          <w:numId w:val="371"/>
        </w:numPr>
        <w:spacing w:before="360" w:after="240"/>
        <w:contextualSpacing/>
        <w:rPr>
          <w:rFonts w:ascii="Calibri" w:eastAsia="Calibri" w:hAnsi="Calibri" w:cs="Arial"/>
        </w:rPr>
      </w:pPr>
      <w:r w:rsidRPr="0004348D">
        <w:rPr>
          <w:rFonts w:ascii="Calibri" w:eastAsia="Calibri" w:hAnsi="Calibri" w:cs="Arial"/>
          <w:rtl/>
        </w:rPr>
        <w:t xml:space="preserve">בעל התרומות </w:t>
      </w:r>
      <w:r w:rsidRPr="0004348D">
        <w:rPr>
          <w:rFonts w:ascii="Calibri" w:eastAsia="Calibri" w:hAnsi="Calibri" w:cs="Arial"/>
          <w:sz w:val="16"/>
          <w:szCs w:val="16"/>
          <w:rtl/>
        </w:rPr>
        <w:t xml:space="preserve">(שם) </w:t>
      </w:r>
      <w:r w:rsidRPr="0004348D">
        <w:rPr>
          <w:rFonts w:ascii="Calibri" w:eastAsia="Calibri" w:hAnsi="Calibri" w:cs="Arial"/>
          <w:rtl/>
        </w:rPr>
        <w:t>וטור- ואם פשע לוי בשמירת המשכון ואין לו ממון לשלם, אע"פ שראובן רגיל להפקיד אצל לוי - שמעון חייב לשלם</w:t>
      </w:r>
      <w:r w:rsidRPr="0004348D">
        <w:rPr>
          <w:rFonts w:ascii="Calibri" w:eastAsia="Calibri" w:hAnsi="Calibri" w:cs="Arial"/>
          <w:vertAlign w:val="superscript"/>
          <w:rtl/>
        </w:rPr>
        <w:footnoteReference w:id="5980"/>
      </w:r>
      <w:r w:rsidRPr="0004348D">
        <w:rPr>
          <w:rFonts w:ascii="Calibri" w:eastAsia="Calibri" w:hAnsi="Calibri" w:cs="Arial"/>
          <w:rtl/>
        </w:rPr>
        <w:t xml:space="preserve"> לראובן דינר אחר שישבע לו שלא היה המשכון שוה יותר מג' דינרין, שהרי שמעון הוא בעל דבר של ראובן וישאר לו חוב דינר על לוי הפושע.</w:t>
      </w:r>
      <w:r w:rsidRPr="0004348D">
        <w:rPr>
          <w:rFonts w:ascii="Calibri" w:eastAsia="Calibri" w:hAnsi="Calibri" w:cs="Arial"/>
          <w:color w:val="00B0F0"/>
          <w:rtl/>
        </w:rPr>
        <w:t xml:space="preserve"> (וכ"פ הרמ"א)</w:t>
      </w:r>
    </w:p>
    <w:p w14:paraId="15E5328A" w14:textId="77777777" w:rsidR="0004348D" w:rsidRPr="0004348D" w:rsidRDefault="0004348D" w:rsidP="0004348D">
      <w:pPr>
        <w:spacing w:before="360" w:after="240"/>
        <w:rPr>
          <w:rFonts w:ascii="Arial" w:eastAsia="Calibri" w:hAnsi="Arial" w:cs="Arial"/>
          <w:b/>
          <w:bCs/>
          <w:color w:val="000000"/>
          <w:sz w:val="28"/>
          <w:szCs w:val="28"/>
          <w:u w:val="single"/>
          <w:rtl/>
        </w:rPr>
      </w:pPr>
      <w:r w:rsidRPr="0004348D">
        <w:rPr>
          <w:rFonts w:ascii="Arial" w:eastAsia="Calibri" w:hAnsi="Arial" w:cs="Arial"/>
          <w:b/>
          <w:bCs/>
          <w:color w:val="000000"/>
          <w:sz w:val="28"/>
          <w:szCs w:val="28"/>
          <w:u w:val="single"/>
          <w:rtl/>
        </w:rPr>
        <w:t>שו"ע:</w:t>
      </w:r>
    </w:p>
    <w:p w14:paraId="14D0980D" w14:textId="77777777" w:rsidR="0004348D" w:rsidRPr="0004348D" w:rsidRDefault="0004348D" w:rsidP="0004348D">
      <w:pPr>
        <w:spacing w:before="360" w:after="240"/>
        <w:rPr>
          <w:rFonts w:ascii="Calibri" w:eastAsia="Calibri" w:hAnsi="Calibri" w:cs="Arial"/>
          <w:rtl/>
        </w:rPr>
      </w:pPr>
      <w:r w:rsidRPr="0004348D">
        <w:rPr>
          <w:rFonts w:ascii="Calibri" w:eastAsia="Calibri" w:hAnsi="Calibri" w:cs="Arial"/>
          <w:rtl/>
        </w:rPr>
        <w:t>ראובן משכן משכון ביד שמעון, והלך שמעון ומשכנו ללוי או נתן לו במתנה מה שהיה לו עליו, ונאנס</w:t>
      </w:r>
      <w:r w:rsidRPr="0004348D">
        <w:rPr>
          <w:rFonts w:ascii="Calibri" w:eastAsia="Calibri" w:hAnsi="Calibri" w:cs="Arial"/>
          <w:vertAlign w:val="superscript"/>
          <w:rtl/>
        </w:rPr>
        <w:footnoteReference w:id="5981"/>
      </w:r>
      <w:r w:rsidRPr="0004348D">
        <w:rPr>
          <w:rFonts w:ascii="Calibri" w:eastAsia="Calibri" w:hAnsi="Calibri" w:cs="Arial"/>
          <w:rtl/>
        </w:rPr>
        <w:t xml:space="preserve"> מיד לוי, ותובע ראובן משכונו מיד שמעון ואומר כי סלע היה שוה ולא הלוה לו עליו אלא שני דינרים ושאל ממנו שני דינרים, ושמעון אומר שלא היה שוה אלא שלשה דינרים ואינו חייב לו אלא דינר, נמצא שמעון מודה מקצת וצריך לישבע שלא היה שוה אלא ג' דינרים, גם צריך לישבע שאינו ברשותו ושנאנס, וזה אי איפשר לו לישבע כיון שלא נאנס בידו, ולוי אינו יכול לפטרו בשבועתו שנאנס כי יאמר 'לא מהימן לי לוי', הילכך הוה ליה שמעון מחוייב שבועה ואינו יכול לישבע ומשלם</w:t>
      </w:r>
      <w:r w:rsidRPr="0004348D">
        <w:rPr>
          <w:rFonts w:ascii="Calibri" w:eastAsia="Calibri" w:hAnsi="Calibri" w:cs="Arial"/>
          <w:vertAlign w:val="superscript"/>
          <w:rtl/>
        </w:rPr>
        <w:footnoteReference w:id="5982"/>
      </w:r>
      <w:r w:rsidRPr="0004348D">
        <w:rPr>
          <w:rFonts w:ascii="Calibri" w:eastAsia="Calibri" w:hAnsi="Calibri" w:cs="Arial"/>
          <w:rtl/>
        </w:rPr>
        <w:t>. וכן הדין אם נפחת המשכון ויש מחלוקת ביניהם כמה שיעור פחיתותו, ומודה שמעון שנפחת ואינו יודע אם היה באונס אם לאו, הוה ליה מחוייב שבועה ואינו יכול לישבע ומשלם</w:t>
      </w:r>
      <w:r w:rsidRPr="0004348D">
        <w:rPr>
          <w:rFonts w:ascii="Calibri" w:eastAsia="Calibri" w:hAnsi="Calibri" w:cs="Arial"/>
          <w:vertAlign w:val="superscript"/>
          <w:rtl/>
        </w:rPr>
        <w:footnoteReference w:id="5983"/>
      </w:r>
      <w:r w:rsidRPr="0004348D">
        <w:rPr>
          <w:rFonts w:ascii="Calibri" w:eastAsia="Calibri" w:hAnsi="Calibri" w:cs="Arial"/>
          <w:rtl/>
        </w:rPr>
        <w:t>. ואם רצה להחרים על כל אדם שיודע שמשכונו אינו שוה כמו שטוען, הרשות בידו. ואם יש עדים ששמרו לוי כראוי ונאנס ממנו, נפטר</w:t>
      </w:r>
      <w:r w:rsidRPr="0004348D">
        <w:rPr>
          <w:rFonts w:ascii="Calibri" w:eastAsia="Calibri" w:hAnsi="Calibri" w:cs="Arial"/>
          <w:vertAlign w:val="superscript"/>
          <w:rtl/>
        </w:rPr>
        <w:footnoteReference w:id="5984"/>
      </w:r>
      <w:r w:rsidRPr="0004348D">
        <w:rPr>
          <w:rFonts w:ascii="Calibri" w:eastAsia="Calibri" w:hAnsi="Calibri" w:cs="Arial"/>
          <w:rtl/>
        </w:rPr>
        <w:t xml:space="preserve"> שמעון</w:t>
      </w:r>
      <w:r w:rsidRPr="0004348D">
        <w:rPr>
          <w:rFonts w:ascii="Calibri" w:eastAsia="Calibri" w:hAnsi="Calibri" w:cs="Arial"/>
          <w:vertAlign w:val="superscript"/>
          <w:rtl/>
        </w:rPr>
        <w:footnoteReference w:id="5985"/>
      </w:r>
      <w:r w:rsidRPr="0004348D">
        <w:rPr>
          <w:rFonts w:ascii="Calibri" w:eastAsia="Calibri" w:hAnsi="Calibri" w:cs="Arial"/>
          <w:rtl/>
        </w:rPr>
        <w:t xml:space="preserve">. ואפילו אין עדים, אם דרך ראובן להפקיד פקדונותיו ביד לוי, ישבע לוי שאינו ברשותו ושנאנס ממנו, ונפטר שמעון. </w:t>
      </w:r>
      <w:r w:rsidRPr="0004348D">
        <w:rPr>
          <w:rFonts w:ascii="Calibri" w:eastAsia="Calibri" w:hAnsi="Calibri" w:cs="Arial"/>
          <w:sz w:val="18"/>
          <w:szCs w:val="18"/>
          <w:rtl/>
        </w:rPr>
        <w:t>הגה: ואם פשע לוי ונאבד, ואין לו לשלם, חייב שמעון לשלם</w:t>
      </w:r>
      <w:r w:rsidRPr="0004348D">
        <w:rPr>
          <w:rFonts w:ascii="Calibri" w:eastAsia="Calibri" w:hAnsi="Calibri" w:cs="Arial"/>
          <w:sz w:val="18"/>
          <w:szCs w:val="18"/>
          <w:vertAlign w:val="superscript"/>
          <w:rtl/>
        </w:rPr>
        <w:footnoteReference w:id="5986"/>
      </w:r>
      <w:r w:rsidRPr="0004348D">
        <w:rPr>
          <w:rFonts w:ascii="Calibri" w:eastAsia="Calibri" w:hAnsi="Calibri" w:cs="Arial"/>
          <w:sz w:val="18"/>
          <w:szCs w:val="18"/>
          <w:rtl/>
        </w:rPr>
        <w:t xml:space="preserve"> לראובן שהוא בעל דבר של ראובן, אע"ג שראובן רגיל להפקיד אצל לוי (טור). ועיין לקמן סימן רצ"א.</w:t>
      </w:r>
      <w:r w:rsidRPr="0004348D">
        <w:rPr>
          <w:rFonts w:ascii="Calibri" w:eastAsia="Calibri" w:hAnsi="Calibri" w:cs="Arial"/>
          <w:rtl/>
        </w:rPr>
        <w:t xml:space="preserve"> </w:t>
      </w:r>
    </w:p>
    <w:p w14:paraId="2165DBE1" w14:textId="77777777" w:rsidR="0004348D" w:rsidRPr="0004348D" w:rsidRDefault="0004348D" w:rsidP="0004348D">
      <w:pPr>
        <w:spacing w:before="360" w:after="240"/>
        <w:rPr>
          <w:rFonts w:ascii="Calibri" w:eastAsia="Calibri" w:hAnsi="Calibri" w:cs="Arial"/>
          <w:rtl/>
        </w:rPr>
      </w:pPr>
    </w:p>
    <w:p w14:paraId="5BB10035" w14:textId="77777777" w:rsidR="0004348D" w:rsidRPr="0004348D" w:rsidRDefault="0004348D" w:rsidP="0004348D">
      <w:pPr>
        <w:keepNext/>
        <w:keepLines/>
        <w:spacing w:before="360" w:after="240"/>
        <w:outlineLvl w:val="1"/>
        <w:rPr>
          <w:rFonts w:ascii="Cambria" w:eastAsia="Times New Roman" w:hAnsi="Cambria" w:cs="Arial"/>
          <w:bCs/>
          <w:color w:val="548DD4" w:themeColor="text2" w:themeTint="99"/>
          <w:sz w:val="26"/>
          <w:szCs w:val="26"/>
          <w:rtl/>
        </w:rPr>
      </w:pPr>
      <w:bookmarkStart w:id="868" w:name="_Toc24884248"/>
      <w:r w:rsidRPr="0004348D">
        <w:rPr>
          <w:rFonts w:ascii="Cambria" w:eastAsia="Times New Roman" w:hAnsi="Cambria" w:cs="Arial"/>
          <w:bCs/>
          <w:color w:val="548DD4" w:themeColor="text2" w:themeTint="99"/>
          <w:sz w:val="26"/>
          <w:szCs w:val="26"/>
          <w:rtl/>
        </w:rPr>
        <w:t>סעיף לא: המחזיר משכון ביד בנו של הממשכן.</w:t>
      </w:r>
      <w:bookmarkEnd w:id="868"/>
    </w:p>
    <w:p w14:paraId="3061D74F" w14:textId="77777777" w:rsidR="0004348D" w:rsidRPr="0004348D" w:rsidRDefault="0004348D" w:rsidP="0004348D">
      <w:pPr>
        <w:spacing w:before="360" w:after="240"/>
        <w:rPr>
          <w:rFonts w:ascii="Calibri" w:eastAsia="Calibri" w:hAnsi="Calibri" w:cs="Arial"/>
          <w:u w:val="single"/>
          <w:rtl/>
        </w:rPr>
      </w:pPr>
      <w:r w:rsidRPr="0004348D">
        <w:rPr>
          <w:rFonts w:ascii="Calibri" w:eastAsia="Calibri" w:hAnsi="Calibri" w:cs="Arial"/>
          <w:u w:val="single"/>
          <w:rtl/>
        </w:rPr>
        <w:t>המחזיר משכון ביד בנו של הממשכן:</w:t>
      </w:r>
    </w:p>
    <w:p w14:paraId="348DB450" w14:textId="77777777" w:rsidR="0004348D" w:rsidRPr="0004348D" w:rsidRDefault="0004348D" w:rsidP="00992A87">
      <w:pPr>
        <w:numPr>
          <w:ilvl w:val="0"/>
          <w:numId w:val="371"/>
        </w:numPr>
        <w:spacing w:before="360" w:after="240"/>
        <w:contextualSpacing/>
        <w:rPr>
          <w:rFonts w:ascii="Calibri" w:eastAsia="Calibri" w:hAnsi="Calibri" w:cs="Arial"/>
          <w:rtl/>
        </w:rPr>
      </w:pPr>
      <w:r w:rsidRPr="0004348D">
        <w:rPr>
          <w:rFonts w:ascii="Calibri" w:eastAsia="Calibri" w:hAnsi="Calibri" w:cs="Arial"/>
          <w:rtl/>
        </w:rPr>
        <w:t>רא"ש</w:t>
      </w:r>
      <w:r w:rsidRPr="0004348D">
        <w:rPr>
          <w:rFonts w:ascii="Calibri" w:eastAsia="Calibri" w:hAnsi="Calibri" w:cs="Arial"/>
          <w:sz w:val="16"/>
          <w:szCs w:val="16"/>
          <w:rtl/>
        </w:rPr>
        <w:t xml:space="preserve"> (כ"כ הטור בשמו, עיין חזה התנופה סי' כ ובתשובות מכת"י סי' לט)</w:t>
      </w:r>
      <w:r w:rsidRPr="0004348D">
        <w:rPr>
          <w:rFonts w:ascii="Calibri" w:eastAsia="Calibri" w:hAnsi="Calibri" w:cs="Arial"/>
          <w:rtl/>
        </w:rPr>
        <w:t xml:space="preserve"> וטור- ששאלת ראובן שואל משמעון משכון שמשכן בידו, והשיב שמעון בנך הקטן בא ושאל אותו בשמך ונתתיו לו, וראובן אמר שלא בא לידו. תשובה, שמעון פושע הוא שמסרו ליד בן ראובן אפילו אם היה גדול, אע"ג דאמרינן כל המפקיד על דעת אשתו ובניו הוא מפקיד מ"מ דוקא פקדון לפי שאין דרך בני אדם לשמור ולסגור כל חפציהם בתיבות דאדעתא דהכי הפקיד דיניחנו ביד אשתו ובניו, מ"מ אם פשעו בו אשתו ובניו חייב הנפקד לשלם, אבל הממשכן או המשאיל חפץ ליד חבירו צריך להחזיר ליד הבעלים כדתנן השואל את הפרה ושלח לו ביד בנו וכו', כ"ש הכא ששלחו לו ביד בנו קטן דאבידה מדעת היא</w:t>
      </w:r>
      <w:r w:rsidRPr="0004348D">
        <w:rPr>
          <w:rFonts w:ascii="Calibri" w:eastAsia="Calibri" w:hAnsi="Calibri" w:cs="Arial"/>
          <w:sz w:val="16"/>
          <w:szCs w:val="16"/>
          <w:rtl/>
        </w:rPr>
        <w:t xml:space="preserve"> (ל' הטור בשם הרא"ש)</w:t>
      </w:r>
      <w:r w:rsidRPr="0004348D">
        <w:rPr>
          <w:rFonts w:ascii="Calibri" w:eastAsia="Calibri" w:hAnsi="Calibri" w:cs="Arial"/>
          <w:vertAlign w:val="superscript"/>
          <w:rtl/>
        </w:rPr>
        <w:footnoteReference w:id="5987"/>
      </w:r>
      <w:r w:rsidRPr="0004348D">
        <w:rPr>
          <w:rFonts w:ascii="Calibri" w:eastAsia="Calibri" w:hAnsi="Calibri" w:cs="Arial"/>
          <w:rtl/>
        </w:rPr>
        <w:t xml:space="preserve">. </w:t>
      </w:r>
      <w:r w:rsidRPr="0004348D">
        <w:rPr>
          <w:rFonts w:ascii="Calibri" w:eastAsia="Calibri" w:hAnsi="Calibri" w:cs="Arial"/>
          <w:color w:val="E36C0A" w:themeColor="accent6" w:themeShade="BF"/>
          <w:rtl/>
        </w:rPr>
        <w:t>(וכ"פ בשו"ע)</w:t>
      </w:r>
    </w:p>
    <w:p w14:paraId="3B4B26E5" w14:textId="77777777" w:rsidR="0004348D" w:rsidRPr="0004348D" w:rsidRDefault="0004348D" w:rsidP="0004348D">
      <w:pPr>
        <w:spacing w:before="360" w:after="240"/>
        <w:rPr>
          <w:rFonts w:ascii="Arial" w:eastAsia="Calibri" w:hAnsi="Arial" w:cs="Arial"/>
          <w:b/>
          <w:bCs/>
          <w:color w:val="000000"/>
          <w:sz w:val="28"/>
          <w:szCs w:val="28"/>
          <w:u w:val="single"/>
          <w:rtl/>
        </w:rPr>
      </w:pPr>
      <w:r w:rsidRPr="0004348D">
        <w:rPr>
          <w:rFonts w:ascii="Arial" w:eastAsia="Calibri" w:hAnsi="Arial" w:cs="Arial"/>
          <w:b/>
          <w:bCs/>
          <w:color w:val="000000"/>
          <w:sz w:val="28"/>
          <w:szCs w:val="28"/>
          <w:u w:val="single"/>
          <w:rtl/>
        </w:rPr>
        <w:t>שו"ע:</w:t>
      </w:r>
    </w:p>
    <w:p w14:paraId="4D20041F" w14:textId="77777777" w:rsidR="0004348D" w:rsidRPr="0004348D" w:rsidRDefault="0004348D" w:rsidP="0004348D">
      <w:pPr>
        <w:spacing w:before="360" w:after="240"/>
        <w:rPr>
          <w:rFonts w:ascii="Calibri" w:eastAsia="Calibri" w:hAnsi="Calibri" w:cs="Arial"/>
          <w:rtl/>
        </w:rPr>
      </w:pPr>
      <w:r w:rsidRPr="0004348D">
        <w:rPr>
          <w:rFonts w:ascii="Calibri" w:eastAsia="Calibri" w:hAnsi="Calibri" w:cs="Arial"/>
          <w:rtl/>
        </w:rPr>
        <w:t>ראובן שאל משמעון משכון שמשכן בידו. השיב שמעון 'בנך הקטן בא ושאל אותו בשמך ונתתיו לו'. וראובן אומר שלא בא לידו. שמעון פושע הוא שמסרו ליד בן ראובן</w:t>
      </w:r>
      <w:r w:rsidRPr="0004348D">
        <w:rPr>
          <w:rFonts w:ascii="Calibri" w:eastAsia="Calibri" w:hAnsi="Calibri" w:cs="Arial"/>
          <w:vertAlign w:val="superscript"/>
          <w:rtl/>
        </w:rPr>
        <w:footnoteReference w:id="5988"/>
      </w:r>
      <w:r w:rsidRPr="0004348D">
        <w:rPr>
          <w:rFonts w:ascii="Calibri" w:eastAsia="Calibri" w:hAnsi="Calibri" w:cs="Arial"/>
          <w:rtl/>
        </w:rPr>
        <w:t xml:space="preserve">, אפילו אם היה גדול, שהממשכן או משאיל חפץ לחבירו צריך להחזיר לידו. </w:t>
      </w:r>
    </w:p>
    <w:p w14:paraId="604AE670" w14:textId="77777777" w:rsidR="0004348D" w:rsidRPr="0004348D" w:rsidRDefault="0004348D" w:rsidP="0004348D">
      <w:pPr>
        <w:spacing w:before="360" w:after="240"/>
        <w:rPr>
          <w:rFonts w:ascii="Calibri" w:eastAsia="Calibri" w:hAnsi="Calibri" w:cs="Arial"/>
          <w:rtl/>
        </w:rPr>
      </w:pPr>
    </w:p>
    <w:p w14:paraId="347733F9" w14:textId="77777777" w:rsidR="0004348D" w:rsidRPr="0004348D" w:rsidRDefault="0004348D" w:rsidP="0004348D">
      <w:pPr>
        <w:keepNext/>
        <w:keepLines/>
        <w:spacing w:before="360" w:after="240"/>
        <w:outlineLvl w:val="1"/>
        <w:rPr>
          <w:rFonts w:ascii="Cambria" w:eastAsia="Times New Roman" w:hAnsi="Cambria" w:cs="Arial"/>
          <w:bCs/>
          <w:color w:val="548DD4" w:themeColor="text2" w:themeTint="99"/>
          <w:sz w:val="26"/>
          <w:szCs w:val="26"/>
          <w:rtl/>
        </w:rPr>
      </w:pPr>
      <w:bookmarkStart w:id="869" w:name="_Toc24884249"/>
      <w:r w:rsidRPr="0004348D">
        <w:rPr>
          <w:rFonts w:ascii="Cambria" w:eastAsia="Times New Roman" w:hAnsi="Cambria" w:cs="Arial"/>
          <w:bCs/>
          <w:color w:val="548DD4" w:themeColor="text2" w:themeTint="99"/>
          <w:sz w:val="26"/>
          <w:szCs w:val="26"/>
          <w:rtl/>
        </w:rPr>
        <w:t>סעיף לב: מלוה שציוה ללוה ליתן המעות לפלוני, ופלוני נתן לו משכון עליהם - ונאבד המשכון.</w:t>
      </w:r>
      <w:bookmarkEnd w:id="869"/>
    </w:p>
    <w:p w14:paraId="5C11B6C4" w14:textId="77777777" w:rsidR="0004348D" w:rsidRPr="0004348D" w:rsidRDefault="0004348D" w:rsidP="0004348D">
      <w:pPr>
        <w:spacing w:before="360" w:after="240"/>
        <w:rPr>
          <w:rFonts w:ascii="Calibri" w:eastAsia="Calibri" w:hAnsi="Calibri" w:cs="Arial"/>
          <w:u w:val="single"/>
          <w:rtl/>
        </w:rPr>
      </w:pPr>
      <w:r w:rsidRPr="0004348D">
        <w:rPr>
          <w:rFonts w:ascii="Calibri" w:eastAsia="Calibri" w:hAnsi="Calibri" w:cs="Arial"/>
          <w:u w:val="single"/>
          <w:rtl/>
        </w:rPr>
        <w:t>מלוה שציוה ללוה ליתן המעות לפלוני, ופלוני נתן לו משכון עליהם - ונאבד המשכון:</w:t>
      </w:r>
    </w:p>
    <w:p w14:paraId="2E9D58D8" w14:textId="77777777" w:rsidR="0004348D" w:rsidRPr="0004348D" w:rsidRDefault="0004348D" w:rsidP="00992A87">
      <w:pPr>
        <w:numPr>
          <w:ilvl w:val="0"/>
          <w:numId w:val="371"/>
        </w:numPr>
        <w:spacing w:before="360" w:after="240"/>
        <w:contextualSpacing/>
        <w:rPr>
          <w:rFonts w:ascii="Calibri" w:eastAsia="Calibri" w:hAnsi="Calibri" w:cs="Arial"/>
          <w:rtl/>
        </w:rPr>
      </w:pPr>
      <w:r w:rsidRPr="0004348D">
        <w:rPr>
          <w:rFonts w:ascii="Calibri" w:eastAsia="Calibri" w:hAnsi="Calibri" w:cs="Arial"/>
          <w:rtl/>
        </w:rPr>
        <w:t>רא"ש</w:t>
      </w:r>
      <w:r w:rsidRPr="0004348D">
        <w:rPr>
          <w:rFonts w:ascii="Calibri" w:eastAsia="Calibri" w:hAnsi="Calibri" w:cs="Arial"/>
          <w:sz w:val="16"/>
          <w:szCs w:val="16"/>
          <w:rtl/>
        </w:rPr>
        <w:t xml:space="preserve"> (סוף כלל צ)</w:t>
      </w:r>
      <w:r w:rsidRPr="0004348D">
        <w:rPr>
          <w:rFonts w:ascii="Calibri" w:eastAsia="Calibri" w:hAnsi="Calibri" w:cs="Arial"/>
          <w:rtl/>
        </w:rPr>
        <w:t xml:space="preserve"> וטור- ראובן היה לו מעות ביד שמעון, ובקש ממנו לוי שילוה אותם לו, ונתרצה להלוותן, לו ונתן לו בהן משכון, ושלח ראובן כתב לשמעון שיתן המעות ללוי ונתנן לו, ונאבדו המשכונות ביד ראובן. תשובה, ודאי דין מלוה על המשכון יש לו כיון ששמעון נתן המעות שהיה בידו משל ראובן ללוי בציווי ונתחייב ראובן בשמירת המשכונות, ומיהו לא נתחייב בשמירתם עד שנעשית ההלואה דהיינו אחר שהגיע המעות ליד לוי, ואם נאבדו המשכונות קודם לכן פטור ראובן, ואם ישבע ראובן שנגנבו קודם שבאו המעות ליד לוי יתן לו לוי מעותיו כי עדיין לא נתחייב בשמירתם באותה שעה, ואם הוא מסופק ואינו יכול לישבע אין מוציאין המעות מיד לוי</w:t>
      </w:r>
      <w:r w:rsidRPr="0004348D">
        <w:rPr>
          <w:rFonts w:ascii="Calibri" w:eastAsia="Calibri" w:hAnsi="Calibri" w:cs="Arial"/>
          <w:sz w:val="16"/>
          <w:szCs w:val="16"/>
          <w:rtl/>
        </w:rPr>
        <w:t xml:space="preserve"> (ל' הטור בשם הרא"ש)</w:t>
      </w:r>
      <w:r w:rsidRPr="0004348D">
        <w:rPr>
          <w:rFonts w:ascii="Calibri" w:eastAsia="Calibri" w:hAnsi="Calibri" w:cs="Arial"/>
          <w:rtl/>
        </w:rPr>
        <w:t>.</w:t>
      </w:r>
      <w:r w:rsidRPr="0004348D">
        <w:rPr>
          <w:rFonts w:ascii="Calibri" w:eastAsia="Calibri" w:hAnsi="Calibri" w:cs="Arial"/>
          <w:color w:val="E36C0A" w:themeColor="accent6" w:themeShade="BF"/>
          <w:rtl/>
        </w:rPr>
        <w:t xml:space="preserve"> (וכ"פ בשו"ע)</w:t>
      </w:r>
    </w:p>
    <w:p w14:paraId="65660F90" w14:textId="77777777" w:rsidR="0004348D" w:rsidRPr="0004348D" w:rsidRDefault="0004348D" w:rsidP="0004348D">
      <w:pPr>
        <w:spacing w:before="360" w:after="240"/>
        <w:rPr>
          <w:rFonts w:ascii="Arial" w:eastAsia="Calibri" w:hAnsi="Arial" w:cs="Arial"/>
          <w:b/>
          <w:bCs/>
          <w:color w:val="000000"/>
          <w:sz w:val="28"/>
          <w:szCs w:val="28"/>
          <w:u w:val="single"/>
          <w:rtl/>
        </w:rPr>
      </w:pPr>
      <w:r w:rsidRPr="0004348D">
        <w:rPr>
          <w:rFonts w:ascii="Arial" w:eastAsia="Calibri" w:hAnsi="Arial" w:cs="Arial"/>
          <w:b/>
          <w:bCs/>
          <w:color w:val="000000"/>
          <w:sz w:val="28"/>
          <w:szCs w:val="28"/>
          <w:u w:val="single"/>
          <w:rtl/>
        </w:rPr>
        <w:t>שו"ע:</w:t>
      </w:r>
    </w:p>
    <w:p w14:paraId="176FF0E4" w14:textId="77777777" w:rsidR="0004348D" w:rsidRPr="0004348D" w:rsidRDefault="0004348D" w:rsidP="0004348D">
      <w:pPr>
        <w:spacing w:before="360" w:after="240"/>
        <w:rPr>
          <w:rFonts w:ascii="Calibri" w:eastAsia="Calibri" w:hAnsi="Calibri" w:cs="Arial"/>
          <w:rtl/>
        </w:rPr>
      </w:pPr>
      <w:r w:rsidRPr="0004348D">
        <w:rPr>
          <w:rFonts w:ascii="Calibri" w:eastAsia="Calibri" w:hAnsi="Calibri" w:cs="Arial"/>
          <w:rtl/>
        </w:rPr>
        <w:t>ראובן היה לו מעות ביד שמעון, ובקש ממנו לוי שילוה אותם לו, ונתרצה להלוותם, ונתן לו בהם משכון, ושלח ראובן כתב לשמעון שיתן המעות ללוי, ונתנם לו, ונאבדו המשכונות ביד ראובן, דין מלוה על המשכון יש לו ונתחייב ראובן בשמירת המשכנות. ומיהו לא נתחייב בשמירתם עד שיגיעו המעות ליד לוי, ואם נאבדו המשכונות קודם לכן, פטור</w:t>
      </w:r>
      <w:r w:rsidRPr="0004348D">
        <w:rPr>
          <w:rFonts w:ascii="Calibri" w:eastAsia="Calibri" w:hAnsi="Calibri" w:cs="Arial"/>
          <w:vertAlign w:val="superscript"/>
          <w:rtl/>
        </w:rPr>
        <w:footnoteReference w:id="5989"/>
      </w:r>
      <w:r w:rsidRPr="0004348D">
        <w:rPr>
          <w:rFonts w:ascii="Calibri" w:eastAsia="Calibri" w:hAnsi="Calibri" w:cs="Arial"/>
          <w:rtl/>
        </w:rPr>
        <w:t xml:space="preserve"> ראובן. לפיכך אם ישבע ראובן שנגנבו קודם שבאו המעות ליד לוי, יחזיר לו לוי מעותיו. ואם הוא מסופק, אין מוציאין המעות מיד לוי. </w:t>
      </w:r>
    </w:p>
    <w:p w14:paraId="3C790BAF" w14:textId="77777777" w:rsidR="0004348D" w:rsidRPr="0004348D" w:rsidRDefault="0004348D" w:rsidP="0004348D">
      <w:pPr>
        <w:spacing w:before="360" w:after="240"/>
        <w:rPr>
          <w:rFonts w:ascii="Calibri" w:eastAsia="Calibri" w:hAnsi="Calibri" w:cs="Arial"/>
          <w:rtl/>
        </w:rPr>
      </w:pPr>
    </w:p>
    <w:p w14:paraId="0AC1FC8A" w14:textId="77777777" w:rsidR="0004348D" w:rsidRPr="0004348D" w:rsidRDefault="0004348D" w:rsidP="0004348D">
      <w:pPr>
        <w:keepNext/>
        <w:keepLines/>
        <w:spacing w:before="360" w:after="240"/>
        <w:outlineLvl w:val="1"/>
        <w:rPr>
          <w:rFonts w:ascii="Cambria" w:eastAsia="Times New Roman" w:hAnsi="Cambria" w:cs="Arial"/>
          <w:bCs/>
          <w:color w:val="548DD4" w:themeColor="text2" w:themeTint="99"/>
          <w:sz w:val="26"/>
          <w:szCs w:val="26"/>
          <w:rtl/>
        </w:rPr>
      </w:pPr>
      <w:bookmarkStart w:id="870" w:name="_Toc24884250"/>
      <w:r w:rsidRPr="0004348D">
        <w:rPr>
          <w:rFonts w:ascii="Cambria" w:eastAsia="Times New Roman" w:hAnsi="Cambria" w:cs="Arial"/>
          <w:bCs/>
          <w:color w:val="548DD4" w:themeColor="text2" w:themeTint="99"/>
          <w:sz w:val="26"/>
          <w:szCs w:val="26"/>
          <w:rtl/>
        </w:rPr>
        <w:t>סעיף לג: לוה משכן ספרים אצל המלוה, והמלוה הפקידם אצל אחר – ונפחתו דמי הספרים.</w:t>
      </w:r>
      <w:bookmarkEnd w:id="870"/>
    </w:p>
    <w:p w14:paraId="4F01E3F1" w14:textId="77777777" w:rsidR="0004348D" w:rsidRPr="0004348D" w:rsidRDefault="0004348D" w:rsidP="0004348D">
      <w:pPr>
        <w:spacing w:before="360" w:after="240"/>
        <w:rPr>
          <w:rFonts w:ascii="Calibri" w:eastAsia="Calibri" w:hAnsi="Calibri" w:cs="Arial"/>
          <w:u w:val="single"/>
          <w:rtl/>
        </w:rPr>
      </w:pPr>
      <w:r w:rsidRPr="0004348D">
        <w:rPr>
          <w:rFonts w:ascii="Calibri" w:eastAsia="Calibri" w:hAnsi="Calibri" w:cs="Arial"/>
          <w:u w:val="single"/>
          <w:rtl/>
        </w:rPr>
        <w:t>לוה משכן ספרים אצל המלוה, והמלוה הפקידם אצל אחר והרשה לו ללמוד בהם – ונפחתו דמי הספרים:</w:t>
      </w:r>
    </w:p>
    <w:p w14:paraId="16927C08" w14:textId="77777777" w:rsidR="0004348D" w:rsidRPr="0004348D" w:rsidRDefault="0004348D" w:rsidP="00992A87">
      <w:pPr>
        <w:numPr>
          <w:ilvl w:val="0"/>
          <w:numId w:val="371"/>
        </w:numPr>
        <w:spacing w:before="360" w:after="240"/>
        <w:contextualSpacing/>
        <w:rPr>
          <w:rFonts w:ascii="Calibri" w:eastAsia="Calibri" w:hAnsi="Calibri" w:cs="Arial"/>
          <w:rtl/>
        </w:rPr>
      </w:pPr>
      <w:r w:rsidRPr="0004348D">
        <w:rPr>
          <w:rFonts w:ascii="Calibri" w:eastAsia="Calibri" w:hAnsi="Calibri" w:cs="Arial"/>
          <w:rtl/>
        </w:rPr>
        <w:t>רא"ש</w:t>
      </w:r>
      <w:r w:rsidRPr="0004348D">
        <w:rPr>
          <w:rFonts w:ascii="Calibri" w:eastAsia="Calibri" w:hAnsi="Calibri" w:cs="Arial"/>
          <w:sz w:val="16"/>
          <w:szCs w:val="16"/>
          <w:rtl/>
        </w:rPr>
        <w:t xml:space="preserve"> (כלל צג סי' ב)</w:t>
      </w:r>
      <w:r w:rsidRPr="0004348D">
        <w:rPr>
          <w:rFonts w:ascii="Calibri" w:eastAsia="Calibri" w:hAnsi="Calibri" w:cs="Arial"/>
          <w:rtl/>
        </w:rPr>
        <w:t xml:space="preserve"> וטור- ראובן תבע ללוי ספרים שמשכן לשמעון, ואמר ששמעון המחהו אצל לוי הנזכר לתת אותם לו בשבילו כשהיה נותן לו המעות כמה שהיו ממושכנים. וכשהוציא לוי הספרים לתת אותם לראובן אמר שנפחתו ונפסדו בידו, ותבע ממנו לשלם לו הפחת, ולוי אמר 'לאו בעל דברים דידי את כי ממי שקבלתי הספרים הרשני ללמוד בהם כל זמן שיהיו ברשותי וצוני כשתתן לי המעות שאתנם לך, אם תרצה תן לי המעות אתנם לך ואם לאו ישארו עד שיבא שמעון'. והשיב ראובן 'משעה שהמחני אצלך לא היה לך ליגע בהם וכיון שלמד בנך בהם באופן שנפחתו יש לך לשלם לי הפחת'. תשובה, מה שטען והשיב לוי 'לאו בעל דברים דידי את כי אותו שמסרם בידי הרשני ללמוד בהם כל זמן שיהיו ברשותי', טענה זו היתה מועלת לו אלו היה סבור שהיו הספרים של שמעון אבל הוא היה יודע שהספרים היו של ראובן כי צוהו שמעון ליתנם לראובן כשיתן לו המעות. הילכך אפילו הרשהו שמעון ללמוד בספרים לא היה לו לשמוע לו כי מה כח היה לשמעון להרשות ללוי להשתמש בהם בלא רשות ראובן, והוא לא טען שהרשה ראובן לשמעון ללמוד בהם, הילכך שלח יד שלא ברשות וחייב לשלם כל מה שנפחתו הספרים בתשמיש שנשתמשו בהן. ולא מצי למימר ליה לאו בעל דברים דידי את ולא מסרת לידי כלום אין לך דין כי אם עם שמעון שמסר לידי הספרים והרשני ללמוד בהם, משום דהוה ליה כגוזל ומאכיל לאחר דאמרינן רצה מזה גובה רצה מזה גובה</w:t>
      </w:r>
      <w:r w:rsidRPr="0004348D">
        <w:rPr>
          <w:rFonts w:ascii="Calibri" w:eastAsia="Calibri" w:hAnsi="Calibri" w:cs="Arial"/>
          <w:sz w:val="16"/>
          <w:szCs w:val="16"/>
          <w:rtl/>
        </w:rPr>
        <w:t xml:space="preserve"> (ל' הרא"ש)</w:t>
      </w:r>
      <w:r w:rsidRPr="0004348D">
        <w:rPr>
          <w:rFonts w:ascii="Calibri" w:eastAsia="Calibri" w:hAnsi="Calibri" w:cs="Arial"/>
          <w:rtl/>
        </w:rPr>
        <w:t>.</w:t>
      </w:r>
      <w:r w:rsidRPr="0004348D">
        <w:rPr>
          <w:rFonts w:ascii="Calibri" w:eastAsia="Calibri" w:hAnsi="Calibri" w:cs="Arial"/>
          <w:color w:val="E36C0A" w:themeColor="accent6" w:themeShade="BF"/>
          <w:rtl/>
        </w:rPr>
        <w:t xml:space="preserve"> (וכ"פ בשו"ע)</w:t>
      </w:r>
    </w:p>
    <w:p w14:paraId="0CACEC77" w14:textId="77777777" w:rsidR="0004348D" w:rsidRPr="0004348D" w:rsidRDefault="0004348D" w:rsidP="0004348D">
      <w:pPr>
        <w:spacing w:before="360" w:after="240"/>
        <w:rPr>
          <w:rFonts w:ascii="Arial" w:eastAsia="Calibri" w:hAnsi="Arial" w:cs="Arial"/>
          <w:b/>
          <w:bCs/>
          <w:color w:val="000000"/>
          <w:sz w:val="28"/>
          <w:szCs w:val="28"/>
          <w:u w:val="single"/>
          <w:rtl/>
        </w:rPr>
      </w:pPr>
      <w:r w:rsidRPr="0004348D">
        <w:rPr>
          <w:rFonts w:ascii="Arial" w:eastAsia="Calibri" w:hAnsi="Arial" w:cs="Arial"/>
          <w:b/>
          <w:bCs/>
          <w:color w:val="000000"/>
          <w:sz w:val="28"/>
          <w:szCs w:val="28"/>
          <w:u w:val="single"/>
          <w:rtl/>
        </w:rPr>
        <w:t>שו"ע:</w:t>
      </w:r>
    </w:p>
    <w:p w14:paraId="60F8557D" w14:textId="77777777" w:rsidR="0004348D" w:rsidRPr="0004348D" w:rsidRDefault="0004348D" w:rsidP="0004348D">
      <w:pPr>
        <w:spacing w:before="360" w:after="240"/>
        <w:rPr>
          <w:rFonts w:ascii="Calibri" w:eastAsia="Calibri" w:hAnsi="Calibri" w:cs="Arial"/>
          <w:rtl/>
        </w:rPr>
      </w:pPr>
      <w:r w:rsidRPr="0004348D">
        <w:rPr>
          <w:rFonts w:ascii="Calibri" w:eastAsia="Calibri" w:hAnsi="Calibri" w:cs="Arial"/>
          <w:rtl/>
        </w:rPr>
        <w:t>ראובן תובע ללוי ספרים שמשכן לשמעון, ואמר ששמעון המחהו אצל לוי לתת אותם לו כשיתן לו המעות</w:t>
      </w:r>
      <w:r w:rsidRPr="0004348D">
        <w:rPr>
          <w:rFonts w:ascii="Calibri" w:eastAsia="Calibri" w:hAnsi="Calibri" w:cs="Arial"/>
          <w:vertAlign w:val="superscript"/>
          <w:rtl/>
        </w:rPr>
        <w:footnoteReference w:id="5990"/>
      </w:r>
      <w:r w:rsidRPr="0004348D">
        <w:rPr>
          <w:rFonts w:ascii="Calibri" w:eastAsia="Calibri" w:hAnsi="Calibri" w:cs="Arial"/>
          <w:rtl/>
        </w:rPr>
        <w:t>. וכשהוציא לוי הספרים לתת לראובן, אומר שנפחתו ונפסדו בידו, ותבעו לשלם לו הפחת, ולוי אומר 'ממי שקבלתי הספרים הוא הרשני</w:t>
      </w:r>
      <w:r w:rsidRPr="0004348D">
        <w:rPr>
          <w:rFonts w:ascii="Calibri" w:eastAsia="Calibri" w:hAnsi="Calibri" w:cs="Arial"/>
          <w:vertAlign w:val="superscript"/>
          <w:rtl/>
        </w:rPr>
        <w:footnoteReference w:id="5991"/>
      </w:r>
      <w:r w:rsidRPr="0004348D">
        <w:rPr>
          <w:rFonts w:ascii="Calibri" w:eastAsia="Calibri" w:hAnsi="Calibri" w:cs="Arial"/>
          <w:rtl/>
        </w:rPr>
        <w:t xml:space="preserve"> ללמוד בהם כל זמן שיהיו ברשותי', כיון שלוי היה יודע שהספרים של ראובן, אף אם הרשהו שמעון ללמוד בהם לא היה לו לשמוע לו, ולפיכך חייב לשלם לראובן כל מה שנפחתו הספרים בתשמיש שנשתמש בהם. </w:t>
      </w:r>
    </w:p>
    <w:p w14:paraId="31F48875" w14:textId="77777777" w:rsidR="0004348D" w:rsidRPr="0004348D" w:rsidRDefault="0004348D" w:rsidP="0004348D">
      <w:pPr>
        <w:spacing w:before="360" w:after="240"/>
        <w:rPr>
          <w:rFonts w:ascii="Calibri" w:eastAsia="Calibri" w:hAnsi="Calibri" w:cs="Arial"/>
          <w:rtl/>
        </w:rPr>
      </w:pPr>
    </w:p>
    <w:p w14:paraId="0D23C780" w14:textId="77777777" w:rsidR="0004348D" w:rsidRPr="0004348D" w:rsidRDefault="0004348D" w:rsidP="0004348D">
      <w:pPr>
        <w:keepNext/>
        <w:keepLines/>
        <w:spacing w:before="360" w:after="240"/>
        <w:outlineLvl w:val="1"/>
        <w:rPr>
          <w:rFonts w:ascii="Cambria" w:eastAsia="Times New Roman" w:hAnsi="Cambria" w:cs="Arial"/>
          <w:bCs/>
          <w:color w:val="548DD4" w:themeColor="text2" w:themeTint="99"/>
          <w:sz w:val="26"/>
          <w:szCs w:val="26"/>
          <w:rtl/>
        </w:rPr>
      </w:pPr>
      <w:bookmarkStart w:id="871" w:name="_Toc24884251"/>
      <w:r w:rsidRPr="0004348D">
        <w:rPr>
          <w:rFonts w:ascii="Cambria" w:eastAsia="Times New Roman" w:hAnsi="Cambria" w:cs="Arial"/>
          <w:bCs/>
          <w:color w:val="548DD4" w:themeColor="text2" w:themeTint="99"/>
          <w:sz w:val="26"/>
          <w:szCs w:val="26"/>
          <w:rtl/>
        </w:rPr>
        <w:t>סעיף לד: יורש שהוציא שטר על פלוני, וכתוב בשטר שיש ללוה משכון ביד המוריש.</w:t>
      </w:r>
      <w:bookmarkEnd w:id="871"/>
    </w:p>
    <w:p w14:paraId="30A9288E" w14:textId="77777777" w:rsidR="0004348D" w:rsidRPr="0004348D" w:rsidRDefault="0004348D" w:rsidP="0004348D">
      <w:pPr>
        <w:spacing w:before="360" w:after="240"/>
        <w:rPr>
          <w:rFonts w:ascii="Calibri" w:eastAsia="Calibri" w:hAnsi="Calibri" w:cs="Arial"/>
          <w:u w:val="single"/>
          <w:rtl/>
        </w:rPr>
      </w:pPr>
      <w:r w:rsidRPr="0004348D">
        <w:rPr>
          <w:rFonts w:ascii="Calibri" w:eastAsia="Calibri" w:hAnsi="Calibri" w:cs="Arial"/>
          <w:u w:val="single"/>
          <w:rtl/>
        </w:rPr>
        <w:t>יורש הוציא שטר על פלוני, וכתוב בשטר שיש ללוה משכון ביד המוריש, וטען היורש שהמשכון נאנס מיד מורישו:</w:t>
      </w:r>
    </w:p>
    <w:p w14:paraId="6485AC1F" w14:textId="77777777" w:rsidR="0004348D" w:rsidRPr="0004348D" w:rsidRDefault="0004348D" w:rsidP="00992A87">
      <w:pPr>
        <w:numPr>
          <w:ilvl w:val="0"/>
          <w:numId w:val="371"/>
        </w:numPr>
        <w:spacing w:before="360" w:after="240"/>
        <w:contextualSpacing/>
        <w:rPr>
          <w:rFonts w:ascii="Calibri" w:eastAsia="Calibri" w:hAnsi="Calibri" w:cs="Arial"/>
          <w:rtl/>
        </w:rPr>
      </w:pPr>
      <w:r w:rsidRPr="0004348D">
        <w:rPr>
          <w:rFonts w:ascii="Calibri" w:eastAsia="Calibri" w:hAnsi="Calibri" w:cs="Arial"/>
          <w:rtl/>
        </w:rPr>
        <w:t>רי"ף</w:t>
      </w:r>
      <w:r w:rsidRPr="0004348D">
        <w:rPr>
          <w:rFonts w:ascii="Calibri" w:eastAsia="Calibri" w:hAnsi="Calibri" w:cs="Arial"/>
          <w:sz w:val="16"/>
          <w:szCs w:val="16"/>
          <w:rtl/>
        </w:rPr>
        <w:t xml:space="preserve"> (סי' נט, כ"כ בשמו בעל התרומות [שער מט ח"ג סי' ד])</w:t>
      </w:r>
      <w:r w:rsidRPr="0004348D">
        <w:rPr>
          <w:rFonts w:ascii="Calibri" w:eastAsia="Calibri" w:hAnsi="Calibri" w:cs="Arial"/>
          <w:rtl/>
        </w:rPr>
        <w:t xml:space="preserve"> וטור- יורש שהוציא שטר שיש למורישו כך וכך ממון אצל פלוני ויש לפלוני משכון ביד המוריש בהן, וטוען היורש שהמשכון נאבד מיד מורישו באונס ותובע המעות - נשבע הנתבע היסת ונפטר, ולא אמרי' שישבע היורש שבועת היורשין ויטול, דכל שטרא שמוציא היורש הוא ודאי והפרעון ספק אבל הכא כיון שהגיע ליד המוריש משכון כנגד הלואתו וספק נאבד באונס או בפשיעה - לפיכך השטר בטל, וישבע זה היסת שלא החזיר לו המשכון ושהיה שוה כנגד חובו ויפטר</w:t>
      </w:r>
      <w:r w:rsidRPr="0004348D">
        <w:rPr>
          <w:rFonts w:ascii="Calibri" w:eastAsia="Calibri" w:hAnsi="Calibri" w:cs="Arial"/>
          <w:sz w:val="16"/>
          <w:szCs w:val="16"/>
          <w:rtl/>
        </w:rPr>
        <w:t xml:space="preserve"> (ל' הטור)</w:t>
      </w:r>
      <w:r w:rsidRPr="0004348D">
        <w:rPr>
          <w:rFonts w:ascii="Calibri" w:eastAsia="Calibri" w:hAnsi="Calibri" w:cs="Arial"/>
          <w:rtl/>
        </w:rPr>
        <w:t>.</w:t>
      </w:r>
      <w:r w:rsidRPr="0004348D">
        <w:rPr>
          <w:rFonts w:ascii="Calibri" w:eastAsia="Calibri" w:hAnsi="Calibri" w:cs="Arial"/>
          <w:color w:val="E36C0A" w:themeColor="accent6" w:themeShade="BF"/>
          <w:rtl/>
        </w:rPr>
        <w:t xml:space="preserve"> (וכ"פ בשו"ע)</w:t>
      </w:r>
    </w:p>
    <w:p w14:paraId="7729079C" w14:textId="77777777" w:rsidR="0004348D" w:rsidRPr="0004348D" w:rsidRDefault="0004348D" w:rsidP="0004348D">
      <w:pPr>
        <w:spacing w:before="360" w:after="240"/>
        <w:rPr>
          <w:rFonts w:ascii="Arial" w:eastAsia="Calibri" w:hAnsi="Arial" w:cs="Arial"/>
          <w:b/>
          <w:bCs/>
          <w:color w:val="000000"/>
          <w:sz w:val="28"/>
          <w:szCs w:val="28"/>
          <w:u w:val="single"/>
          <w:rtl/>
        </w:rPr>
      </w:pPr>
      <w:r w:rsidRPr="0004348D">
        <w:rPr>
          <w:rFonts w:ascii="Arial" w:eastAsia="Calibri" w:hAnsi="Arial" w:cs="Arial"/>
          <w:b/>
          <w:bCs/>
          <w:color w:val="000000"/>
          <w:sz w:val="28"/>
          <w:szCs w:val="28"/>
          <w:u w:val="single"/>
          <w:rtl/>
        </w:rPr>
        <w:t>שו"ע:</w:t>
      </w:r>
    </w:p>
    <w:p w14:paraId="7C15F084" w14:textId="77777777" w:rsidR="0004348D" w:rsidRPr="0004348D" w:rsidRDefault="0004348D" w:rsidP="0004348D">
      <w:pPr>
        <w:spacing w:before="360" w:after="240"/>
        <w:rPr>
          <w:rFonts w:ascii="Calibri" w:eastAsia="Calibri" w:hAnsi="Calibri" w:cs="Arial"/>
          <w:rtl/>
        </w:rPr>
      </w:pPr>
      <w:r w:rsidRPr="0004348D">
        <w:rPr>
          <w:rFonts w:ascii="Calibri" w:eastAsia="Calibri" w:hAnsi="Calibri" w:cs="Arial"/>
          <w:rtl/>
        </w:rPr>
        <w:t>יורש שהוציא שטר שיש למורישו כך וכך ממון אצל פלוני, ושיש לאותו פלוני משכון ביד המוריש</w:t>
      </w:r>
      <w:r w:rsidRPr="0004348D">
        <w:rPr>
          <w:rFonts w:ascii="Calibri" w:eastAsia="Calibri" w:hAnsi="Calibri" w:cs="Arial"/>
          <w:vertAlign w:val="superscript"/>
          <w:rtl/>
        </w:rPr>
        <w:footnoteReference w:id="5992"/>
      </w:r>
      <w:r w:rsidRPr="0004348D">
        <w:rPr>
          <w:rFonts w:ascii="Calibri" w:eastAsia="Calibri" w:hAnsi="Calibri" w:cs="Arial"/>
          <w:rtl/>
        </w:rPr>
        <w:t>, וטען היורש שהמשכון נאנס מיד מורישו</w:t>
      </w:r>
      <w:r w:rsidRPr="0004348D">
        <w:rPr>
          <w:rFonts w:ascii="Calibri" w:eastAsia="Calibri" w:hAnsi="Calibri" w:cs="Arial"/>
          <w:vertAlign w:val="superscript"/>
          <w:rtl/>
        </w:rPr>
        <w:footnoteReference w:id="5993"/>
      </w:r>
      <w:r w:rsidRPr="0004348D">
        <w:rPr>
          <w:rFonts w:ascii="Calibri" w:eastAsia="Calibri" w:hAnsi="Calibri" w:cs="Arial"/>
          <w:rtl/>
        </w:rPr>
        <w:t xml:space="preserve">, ותובע המעות, נשבע הנתבע היסת שלא החזיר לו המשכון, ושהיה שוה כנגד חובו, ויפטר. </w:t>
      </w:r>
    </w:p>
    <w:p w14:paraId="70B8FA1A" w14:textId="77777777" w:rsidR="0004348D" w:rsidRPr="0004348D" w:rsidRDefault="0004348D" w:rsidP="0004348D">
      <w:pPr>
        <w:spacing w:before="360" w:after="240"/>
        <w:rPr>
          <w:rFonts w:ascii="Calibri" w:eastAsia="Calibri" w:hAnsi="Calibri" w:cs="Arial"/>
          <w:rtl/>
        </w:rPr>
      </w:pPr>
    </w:p>
    <w:p w14:paraId="035FA4EB" w14:textId="77777777" w:rsidR="0004348D" w:rsidRPr="0004348D" w:rsidRDefault="0004348D" w:rsidP="0004348D">
      <w:pPr>
        <w:keepNext/>
        <w:keepLines/>
        <w:spacing w:before="360" w:after="240"/>
        <w:outlineLvl w:val="1"/>
        <w:rPr>
          <w:rFonts w:ascii="Cambria" w:eastAsia="Times New Roman" w:hAnsi="Cambria" w:cs="Arial"/>
          <w:bCs/>
          <w:color w:val="548DD4" w:themeColor="text2" w:themeTint="99"/>
          <w:sz w:val="26"/>
          <w:szCs w:val="26"/>
          <w:rtl/>
        </w:rPr>
      </w:pPr>
      <w:bookmarkStart w:id="872" w:name="_Toc24884252"/>
      <w:r w:rsidRPr="0004348D">
        <w:rPr>
          <w:rFonts w:ascii="Cambria" w:eastAsia="Times New Roman" w:hAnsi="Cambria" w:cs="Arial"/>
          <w:bCs/>
          <w:color w:val="548DD4" w:themeColor="text2" w:themeTint="99"/>
          <w:sz w:val="26"/>
          <w:szCs w:val="26"/>
          <w:rtl/>
        </w:rPr>
        <w:t>סעיף לה: אדם שהלוה על המשכון ומת, ונחלקו הלוה והיורשים בסכום ההלואה.</w:t>
      </w:r>
      <w:bookmarkEnd w:id="872"/>
    </w:p>
    <w:p w14:paraId="07468D63" w14:textId="77777777" w:rsidR="0004348D" w:rsidRPr="0004348D" w:rsidRDefault="0004348D" w:rsidP="0004348D">
      <w:pPr>
        <w:spacing w:before="360" w:after="240"/>
        <w:rPr>
          <w:rFonts w:ascii="Calibri" w:eastAsia="Calibri" w:hAnsi="Calibri" w:cs="Arial"/>
          <w:u w:val="single"/>
          <w:rtl/>
        </w:rPr>
      </w:pPr>
      <w:r w:rsidRPr="0004348D">
        <w:rPr>
          <w:rFonts w:ascii="Calibri" w:eastAsia="Calibri" w:hAnsi="Calibri" w:cs="Arial"/>
          <w:u w:val="single"/>
          <w:rtl/>
        </w:rPr>
        <w:t>ראובן הניח משכון ביד שמעון, ומת שמעון והניח בנים קטנים – ונחלקו ראובן והיורשים בסכום ההלואה:</w:t>
      </w:r>
    </w:p>
    <w:p w14:paraId="38AAC36A" w14:textId="77777777" w:rsidR="0004348D" w:rsidRPr="0004348D" w:rsidRDefault="0004348D" w:rsidP="00992A87">
      <w:pPr>
        <w:numPr>
          <w:ilvl w:val="0"/>
          <w:numId w:val="371"/>
        </w:numPr>
        <w:spacing w:before="360" w:after="240"/>
        <w:contextualSpacing/>
        <w:rPr>
          <w:rFonts w:ascii="Calibri" w:eastAsia="Calibri" w:hAnsi="Calibri" w:cs="Arial"/>
          <w:rtl/>
        </w:rPr>
      </w:pPr>
      <w:r w:rsidRPr="0004348D">
        <w:rPr>
          <w:rFonts w:ascii="Calibri" w:eastAsia="Calibri" w:hAnsi="Calibri" w:cs="Arial"/>
          <w:rtl/>
        </w:rPr>
        <w:t>רי"ף</w:t>
      </w:r>
      <w:r w:rsidRPr="0004348D">
        <w:rPr>
          <w:rFonts w:ascii="Calibri" w:eastAsia="Calibri" w:hAnsi="Calibri" w:cs="Arial"/>
          <w:sz w:val="16"/>
          <w:szCs w:val="16"/>
          <w:rtl/>
        </w:rPr>
        <w:t xml:space="preserve"> (בילגוריי סי' קנט, כ"כ בשמו בעל התרומות [שער מט ח"ג סי' ה])</w:t>
      </w:r>
      <w:r w:rsidRPr="0004348D">
        <w:rPr>
          <w:rFonts w:ascii="Calibri" w:eastAsia="Calibri" w:hAnsi="Calibri" w:cs="Arial"/>
          <w:rtl/>
        </w:rPr>
        <w:t xml:space="preserve"> וטור- ראובן הניח משכון ביד שמעון, ומת שמעון והניח בנים קטנים, ובא ראובן לשאול משכונו מיד יורשי שמעון ואומר שהוא ממושכן ביד אביהן בחמשים, וטוענין היתומים כי אביהן צוה שהוא ממושכן במאה. הנ' שראובן מודה - יתן מיד ליתומים, והנ' האחרים - יתן ביד שליש עד שיגדלו היתומים וישבעו שבועת יורשין שלא פקדנו אבינו ושלא מצאנו בין שטרותיו שמשכון זה פרוע ונוטלין הנ' מיד השליש. בד"א כשהיה המשכון שוה ק', ואם לאו - אין עליו לתת אלא כדי דמיו ועל השאר ישבע היסת, שאילו היה אביהן קיים לא היה יכול לטעון עליו יותר מכדי דמיו. בד"א שאין המשכון מדברים העשויין להשאיל ולהשכיר, אבל אם הוא מדברים העשויים להשאיל ולהשכיר - אינו משלם אלא הנ' ואפילו אם המשכון שוה יותר, שהוא נאמן במיגו שהוא שאול בידו</w:t>
      </w:r>
      <w:r w:rsidRPr="0004348D">
        <w:rPr>
          <w:rFonts w:ascii="Calibri" w:eastAsia="Calibri" w:hAnsi="Calibri" w:cs="Arial"/>
          <w:vertAlign w:val="superscript"/>
          <w:rtl/>
        </w:rPr>
        <w:footnoteReference w:id="5994"/>
      </w:r>
      <w:r w:rsidRPr="0004348D">
        <w:rPr>
          <w:rFonts w:ascii="Calibri" w:eastAsia="Calibri" w:hAnsi="Calibri" w:cs="Arial"/>
          <w:sz w:val="16"/>
          <w:szCs w:val="16"/>
          <w:rtl/>
        </w:rPr>
        <w:t xml:space="preserve"> (ל' הטור)</w:t>
      </w:r>
      <w:r w:rsidRPr="0004348D">
        <w:rPr>
          <w:rFonts w:ascii="Calibri" w:eastAsia="Calibri" w:hAnsi="Calibri" w:cs="Arial"/>
          <w:rtl/>
        </w:rPr>
        <w:t>.</w:t>
      </w:r>
      <w:r w:rsidRPr="0004348D">
        <w:rPr>
          <w:rFonts w:ascii="Calibri" w:eastAsia="Calibri" w:hAnsi="Calibri" w:cs="Arial"/>
          <w:color w:val="E36C0A" w:themeColor="accent6" w:themeShade="BF"/>
          <w:rtl/>
        </w:rPr>
        <w:t xml:space="preserve"> (וכ"פ בשו"ע)</w:t>
      </w:r>
    </w:p>
    <w:p w14:paraId="0A17990C" w14:textId="77777777" w:rsidR="0004348D" w:rsidRPr="0004348D" w:rsidRDefault="0004348D" w:rsidP="0004348D">
      <w:pPr>
        <w:spacing w:before="360" w:after="240"/>
        <w:rPr>
          <w:rFonts w:ascii="Arial" w:eastAsia="Calibri" w:hAnsi="Arial" w:cs="Arial"/>
          <w:b/>
          <w:bCs/>
          <w:color w:val="000000"/>
          <w:sz w:val="28"/>
          <w:szCs w:val="28"/>
          <w:u w:val="single"/>
          <w:rtl/>
        </w:rPr>
      </w:pPr>
      <w:r w:rsidRPr="0004348D">
        <w:rPr>
          <w:rFonts w:ascii="Arial" w:eastAsia="Calibri" w:hAnsi="Arial" w:cs="Arial"/>
          <w:b/>
          <w:bCs/>
          <w:color w:val="000000"/>
          <w:sz w:val="28"/>
          <w:szCs w:val="28"/>
          <w:u w:val="single"/>
          <w:rtl/>
        </w:rPr>
        <w:t>שו"ע:</w:t>
      </w:r>
    </w:p>
    <w:p w14:paraId="4657052D" w14:textId="77777777" w:rsidR="0004348D" w:rsidRPr="0004348D" w:rsidRDefault="0004348D" w:rsidP="0004348D">
      <w:pPr>
        <w:spacing w:before="360" w:after="240"/>
        <w:rPr>
          <w:rFonts w:ascii="Calibri" w:eastAsia="Calibri" w:hAnsi="Calibri" w:cs="Arial"/>
          <w:rtl/>
        </w:rPr>
      </w:pPr>
      <w:r w:rsidRPr="0004348D">
        <w:rPr>
          <w:rFonts w:ascii="Calibri" w:eastAsia="Calibri" w:hAnsi="Calibri" w:cs="Arial"/>
          <w:rtl/>
        </w:rPr>
        <w:t>ראובן הניח משכון ביד שמעון, ומת שמעון והניח בנים קטנים, ובא ראובן לשאול משכונו מיד יורשי שמעון ואומר שהוא ממושכן ביד אביהם בחמשים, וטוענים היתומים שאביהם צוה</w:t>
      </w:r>
      <w:r w:rsidRPr="0004348D">
        <w:rPr>
          <w:rFonts w:ascii="Calibri" w:eastAsia="Calibri" w:hAnsi="Calibri" w:cs="Arial"/>
          <w:vertAlign w:val="superscript"/>
          <w:rtl/>
        </w:rPr>
        <w:footnoteReference w:id="5995"/>
      </w:r>
      <w:r w:rsidRPr="0004348D">
        <w:rPr>
          <w:rFonts w:ascii="Calibri" w:eastAsia="Calibri" w:hAnsi="Calibri" w:cs="Arial"/>
          <w:rtl/>
        </w:rPr>
        <w:t xml:space="preserve"> שהוא ממושכן במאה, החמשים שראובן מודה יתן מיד ליתומים, והחמשים האחרים יתן ביד השליש עד שיגדלו היתומים וישבעו</w:t>
      </w:r>
      <w:r w:rsidRPr="0004348D">
        <w:rPr>
          <w:rFonts w:ascii="Calibri" w:eastAsia="Calibri" w:hAnsi="Calibri" w:cs="Arial"/>
          <w:vertAlign w:val="superscript"/>
          <w:rtl/>
        </w:rPr>
        <w:footnoteReference w:id="5996"/>
      </w:r>
      <w:r w:rsidRPr="0004348D">
        <w:rPr>
          <w:rFonts w:ascii="Calibri" w:eastAsia="Calibri" w:hAnsi="Calibri" w:cs="Arial"/>
          <w:rtl/>
        </w:rPr>
        <w:t xml:space="preserve"> שבועת היורשים שלא פקדנו אבא וכו', ונוטלים החמשים מיד השליש. במה דברים אמורים, כשהיה המשכון שוה מאה, ואם לאו, אין עליו לתת אלא כדי דמיו, ועל השאר ישבע היסת. במה דברים אמורים, שאין המשכון מדברים העשויים להשאיל ולהשכיר, אבל אם הוא מדברים העשויים להשאיל ולהשכיר</w:t>
      </w:r>
      <w:r w:rsidRPr="0004348D">
        <w:rPr>
          <w:rFonts w:ascii="Calibri" w:eastAsia="Calibri" w:hAnsi="Calibri" w:cs="Arial"/>
          <w:vertAlign w:val="superscript"/>
          <w:rtl/>
        </w:rPr>
        <w:footnoteReference w:id="5997"/>
      </w:r>
      <w:r w:rsidRPr="0004348D">
        <w:rPr>
          <w:rFonts w:ascii="Calibri" w:eastAsia="Calibri" w:hAnsi="Calibri" w:cs="Arial"/>
          <w:rtl/>
        </w:rPr>
        <w:t xml:space="preserve"> אינו משלם אלא החמשים, ואפילו אם המשכון שוה יותר, שהוא נאמן במגו שהוא שאול בידו. </w:t>
      </w:r>
    </w:p>
    <w:p w14:paraId="136E6272" w14:textId="77777777" w:rsidR="0004348D" w:rsidRPr="0004348D" w:rsidRDefault="0004348D" w:rsidP="0004348D">
      <w:pPr>
        <w:spacing w:before="360" w:after="240"/>
        <w:rPr>
          <w:rFonts w:ascii="Calibri" w:eastAsia="Calibri" w:hAnsi="Calibri" w:cs="Arial"/>
          <w:rtl/>
        </w:rPr>
      </w:pPr>
    </w:p>
    <w:p w14:paraId="0CC373C1" w14:textId="77777777" w:rsidR="0004348D" w:rsidRPr="0004348D" w:rsidRDefault="0004348D" w:rsidP="0004348D">
      <w:pPr>
        <w:keepNext/>
        <w:keepLines/>
        <w:spacing w:before="360" w:after="240"/>
        <w:outlineLvl w:val="1"/>
        <w:rPr>
          <w:rFonts w:ascii="Cambria" w:eastAsia="Times New Roman" w:hAnsi="Cambria" w:cs="Arial"/>
          <w:bCs/>
          <w:color w:val="548DD4" w:themeColor="text2" w:themeTint="99"/>
          <w:sz w:val="26"/>
          <w:szCs w:val="26"/>
          <w:rtl/>
        </w:rPr>
      </w:pPr>
      <w:bookmarkStart w:id="873" w:name="_Toc24884253"/>
      <w:r w:rsidRPr="0004348D">
        <w:rPr>
          <w:rFonts w:ascii="Cambria" w:eastAsia="Times New Roman" w:hAnsi="Cambria" w:cs="Arial"/>
          <w:bCs/>
          <w:color w:val="548DD4" w:themeColor="text2" w:themeTint="99"/>
          <w:sz w:val="26"/>
          <w:szCs w:val="26"/>
          <w:rtl/>
        </w:rPr>
        <w:t>סעיף לו: ישראל שלוה מגר על המשכון, ומת הגר – ובא אחר ותפס המשכון.</w:t>
      </w:r>
      <w:bookmarkEnd w:id="873"/>
    </w:p>
    <w:p w14:paraId="413C5967" w14:textId="77777777" w:rsidR="0004348D" w:rsidRPr="0004348D" w:rsidRDefault="0004348D" w:rsidP="0004348D">
      <w:pPr>
        <w:spacing w:before="360" w:after="240"/>
        <w:rPr>
          <w:rFonts w:ascii="Calibri" w:eastAsia="Calibri" w:hAnsi="Calibri" w:cs="Arial"/>
          <w:rtl/>
        </w:rPr>
      </w:pPr>
      <w:bookmarkStart w:id="874" w:name="_Hlk17718019"/>
      <w:r w:rsidRPr="0004348D">
        <w:rPr>
          <w:rFonts w:ascii="Calibri" w:eastAsia="Calibri" w:hAnsi="Calibri" w:cs="Arial"/>
          <w:b/>
          <w:bCs/>
          <w:rtl/>
        </w:rPr>
        <w:t>בבא קמא</w:t>
      </w:r>
      <w:r w:rsidRPr="0004348D">
        <w:rPr>
          <w:rFonts w:ascii="Calibri" w:eastAsia="Calibri" w:hAnsi="Calibri" w:cs="Arial"/>
          <w:b/>
          <w:bCs/>
          <w:sz w:val="16"/>
          <w:szCs w:val="16"/>
          <w:rtl/>
        </w:rPr>
        <w:t xml:space="preserve"> (פרק שור שנגח את הפרה) </w:t>
      </w:r>
      <w:r w:rsidRPr="0004348D">
        <w:rPr>
          <w:rFonts w:ascii="Calibri" w:eastAsia="Calibri" w:hAnsi="Calibri" w:cs="Arial"/>
          <w:b/>
          <w:bCs/>
          <w:rtl/>
        </w:rPr>
        <w:t>מט</w:t>
      </w:r>
      <w:r w:rsidRPr="0004348D">
        <w:rPr>
          <w:rFonts w:ascii="Calibri" w:eastAsia="Calibri" w:hAnsi="Calibri" w:cs="Arial"/>
          <w:b/>
          <w:bCs/>
          <w:vertAlign w:val="superscript"/>
          <w:rtl/>
        </w:rPr>
        <w:footnoteReference w:id="5998"/>
      </w:r>
      <w:r w:rsidRPr="0004348D">
        <w:rPr>
          <w:rFonts w:ascii="Calibri" w:eastAsia="Calibri" w:hAnsi="Calibri" w:cs="Arial"/>
          <w:b/>
          <w:bCs/>
          <w:rtl/>
        </w:rPr>
        <w:t xml:space="preserve"> ע"ב:</w:t>
      </w:r>
      <w:r w:rsidRPr="0004348D">
        <w:rPr>
          <w:rFonts w:ascii="Calibri" w:eastAsia="Calibri" w:hAnsi="Calibri" w:cs="Arial"/>
          <w:rtl/>
        </w:rPr>
        <w:t xml:space="preserve"> </w:t>
      </w:r>
      <w:r w:rsidRPr="0004348D">
        <w:rPr>
          <w:rFonts w:ascii="Calibri" w:eastAsia="Calibri" w:hAnsi="Calibri" w:cs="Arial"/>
          <w:u w:val="single"/>
          <w:rtl/>
        </w:rPr>
        <w:t>אמר רבה</w:t>
      </w:r>
      <w:r w:rsidRPr="0004348D">
        <w:rPr>
          <w:rFonts w:ascii="Calibri" w:eastAsia="Calibri" w:hAnsi="Calibri" w:cs="Arial"/>
          <w:rtl/>
        </w:rPr>
        <w:t>: משכונו של ישראל ביד גר ומת הגר, ובא ישראל אחר והחזיק בו - מוציאין אותו מידו; מ"ט? כיון דמית ליה גר, פקע ליה שעבודיה.</w:t>
      </w:r>
    </w:p>
    <w:p w14:paraId="433E974A" w14:textId="77777777" w:rsidR="0004348D" w:rsidRPr="0004348D" w:rsidRDefault="0004348D" w:rsidP="0004348D">
      <w:pPr>
        <w:spacing w:before="360" w:after="240"/>
        <w:rPr>
          <w:rFonts w:ascii="Calibri" w:eastAsia="Calibri" w:hAnsi="Calibri" w:cs="Arial"/>
          <w:u w:val="single"/>
          <w:rtl/>
        </w:rPr>
      </w:pPr>
      <w:r w:rsidRPr="0004348D">
        <w:rPr>
          <w:rFonts w:ascii="Calibri" w:eastAsia="Calibri" w:hAnsi="Calibri" w:cs="Arial"/>
          <w:u w:val="single"/>
          <w:rtl/>
        </w:rPr>
        <w:t>ישראל שלוה מגר על המשכון, ומת הגר – ובא אחר ותפס המשכון:</w:t>
      </w:r>
    </w:p>
    <w:p w14:paraId="533EC7AD" w14:textId="77777777" w:rsidR="0004348D" w:rsidRPr="0004348D" w:rsidRDefault="0004348D" w:rsidP="00992A87">
      <w:pPr>
        <w:numPr>
          <w:ilvl w:val="0"/>
          <w:numId w:val="371"/>
        </w:numPr>
        <w:spacing w:before="360" w:after="240"/>
        <w:contextualSpacing/>
        <w:rPr>
          <w:rFonts w:ascii="Calibri" w:eastAsia="Calibri" w:hAnsi="Calibri" w:cs="Arial"/>
          <w:rtl/>
        </w:rPr>
      </w:pPr>
      <w:r w:rsidRPr="0004348D">
        <w:rPr>
          <w:rFonts w:ascii="Calibri" w:eastAsia="Calibri" w:hAnsi="Calibri" w:cs="Arial"/>
          <w:rtl/>
        </w:rPr>
        <w:t xml:space="preserve">רי"ף </w:t>
      </w:r>
      <w:r w:rsidRPr="0004348D">
        <w:rPr>
          <w:rFonts w:ascii="Calibri" w:eastAsia="Calibri" w:hAnsi="Calibri" w:cs="Arial"/>
          <w:sz w:val="16"/>
          <w:szCs w:val="16"/>
          <w:rtl/>
        </w:rPr>
        <w:t xml:space="preserve">(פרק חזקת ב"ב ל.) </w:t>
      </w:r>
      <w:r w:rsidRPr="0004348D">
        <w:rPr>
          <w:rFonts w:ascii="Calibri" w:eastAsia="Calibri" w:hAnsi="Calibri" w:cs="Arial"/>
          <w:rtl/>
        </w:rPr>
        <w:t xml:space="preserve">רמב"ם </w:t>
      </w:r>
      <w:r w:rsidRPr="0004348D">
        <w:rPr>
          <w:rFonts w:ascii="Calibri" w:eastAsia="Calibri" w:hAnsi="Calibri" w:cs="Arial"/>
          <w:sz w:val="16"/>
          <w:szCs w:val="16"/>
          <w:rtl/>
        </w:rPr>
        <w:t>(פ"ב מהל' זכיה הי"ד)</w:t>
      </w:r>
      <w:r w:rsidRPr="0004348D">
        <w:rPr>
          <w:rFonts w:ascii="Calibri" w:eastAsia="Calibri" w:hAnsi="Calibri" w:cs="Arial"/>
          <w:rtl/>
        </w:rPr>
        <w:t xml:space="preserve"> וטור- משכונו של ישראל ביד הגר, ומת הגר ואין לו יורשים, ובא ישראל אחר והחזיק בו - מוציאין אותו מידו ומחזירין אותו לבעליו, שכיון שמת הגר פקע שיעבודו</w:t>
      </w:r>
      <w:r w:rsidRPr="0004348D">
        <w:rPr>
          <w:rFonts w:ascii="Calibri" w:eastAsia="Calibri" w:hAnsi="Calibri" w:cs="Arial"/>
          <w:sz w:val="16"/>
          <w:szCs w:val="16"/>
          <w:rtl/>
        </w:rPr>
        <w:t xml:space="preserve"> (ל' הטור)</w:t>
      </w:r>
      <w:r w:rsidRPr="0004348D">
        <w:rPr>
          <w:rFonts w:ascii="Calibri" w:eastAsia="Calibri" w:hAnsi="Calibri" w:cs="Arial"/>
          <w:rtl/>
        </w:rPr>
        <w:t xml:space="preserve">. </w:t>
      </w:r>
      <w:r w:rsidRPr="0004348D">
        <w:rPr>
          <w:rFonts w:ascii="Calibri" w:eastAsia="Calibri" w:hAnsi="Calibri" w:cs="Arial"/>
          <w:color w:val="E36C0A" w:themeColor="accent6" w:themeShade="BF"/>
          <w:rtl/>
        </w:rPr>
        <w:t>(וכ"פ בשו"ע)</w:t>
      </w:r>
    </w:p>
    <w:p w14:paraId="2A7F10DD" w14:textId="77777777" w:rsidR="0004348D" w:rsidRPr="0004348D" w:rsidRDefault="0004348D" w:rsidP="0004348D">
      <w:pPr>
        <w:spacing w:before="360" w:after="240"/>
        <w:ind w:left="360"/>
        <w:rPr>
          <w:rFonts w:ascii="Calibri" w:eastAsia="Calibri" w:hAnsi="Calibri" w:cs="Arial"/>
          <w:u w:val="dotted"/>
        </w:rPr>
      </w:pPr>
      <w:r w:rsidRPr="0004348D">
        <w:rPr>
          <w:rFonts w:ascii="Calibri" w:eastAsia="Calibri" w:hAnsi="Calibri" w:cs="Arial"/>
          <w:u w:val="dotted"/>
          <w:rtl/>
        </w:rPr>
        <w:t>ומה הדין אם נתן לגר שטר משכונא על קרקע שלו:</w:t>
      </w:r>
    </w:p>
    <w:p w14:paraId="67B6C008" w14:textId="77777777" w:rsidR="0004348D" w:rsidRPr="0004348D" w:rsidRDefault="0004348D" w:rsidP="00992A87">
      <w:pPr>
        <w:numPr>
          <w:ilvl w:val="0"/>
          <w:numId w:val="371"/>
        </w:numPr>
        <w:spacing w:before="360" w:after="240"/>
        <w:contextualSpacing/>
        <w:rPr>
          <w:rFonts w:ascii="Calibri" w:eastAsia="Calibri" w:hAnsi="Calibri" w:cs="Arial"/>
        </w:rPr>
      </w:pPr>
      <w:r w:rsidRPr="0004348D">
        <w:rPr>
          <w:rFonts w:ascii="Calibri" w:eastAsia="Calibri" w:hAnsi="Calibri" w:cs="Arial"/>
          <w:rtl/>
        </w:rPr>
        <w:t xml:space="preserve">תרומות </w:t>
      </w:r>
      <w:r w:rsidRPr="0004348D">
        <w:rPr>
          <w:rFonts w:ascii="Calibri" w:eastAsia="Calibri" w:hAnsi="Calibri" w:cs="Arial"/>
          <w:sz w:val="16"/>
          <w:szCs w:val="16"/>
          <w:rtl/>
        </w:rPr>
        <w:t>(שער מט חי"ח סי' ד)</w:t>
      </w:r>
      <w:r w:rsidRPr="0004348D">
        <w:rPr>
          <w:rFonts w:ascii="Calibri" w:eastAsia="Calibri" w:hAnsi="Calibri" w:cs="Arial"/>
          <w:rtl/>
        </w:rPr>
        <w:t xml:space="preserve"> וטור- וכן הדין נמי אם יש לו שטר משכונא על קרקע של ישראל ומוחזקת בידו ומת, ובא ישראל אחר והחזיק בה - לא עשה ולא כלום שמיד כשמת הגר פקע שיעבודו וברשות בעליה עומדת</w:t>
      </w:r>
      <w:r w:rsidRPr="0004348D">
        <w:rPr>
          <w:rFonts w:ascii="Calibri" w:eastAsia="Calibri" w:hAnsi="Calibri" w:cs="Arial"/>
          <w:sz w:val="16"/>
          <w:szCs w:val="16"/>
          <w:rtl/>
        </w:rPr>
        <w:t xml:space="preserve"> (ל' הטור)</w:t>
      </w:r>
      <w:r w:rsidRPr="0004348D">
        <w:rPr>
          <w:rFonts w:ascii="Calibri" w:eastAsia="Calibri" w:hAnsi="Calibri" w:cs="Arial"/>
          <w:rtl/>
        </w:rPr>
        <w:t>.</w:t>
      </w:r>
      <w:r w:rsidRPr="0004348D">
        <w:rPr>
          <w:rFonts w:ascii="Calibri" w:eastAsia="Calibri" w:hAnsi="Calibri" w:cs="Arial"/>
          <w:color w:val="E36C0A" w:themeColor="accent6" w:themeShade="BF"/>
          <w:rtl/>
        </w:rPr>
        <w:t xml:space="preserve"> (וכ"פ בשו"ע</w:t>
      </w:r>
      <w:r w:rsidRPr="0004348D">
        <w:rPr>
          <w:rFonts w:ascii="Calibri" w:eastAsia="Calibri" w:hAnsi="Calibri" w:cs="Arial"/>
          <w:color w:val="000000" w:themeColor="text1"/>
          <w:sz w:val="16"/>
          <w:szCs w:val="16"/>
          <w:rtl/>
        </w:rPr>
        <w:t xml:space="preserve"> [בסע' הבא]</w:t>
      </w:r>
      <w:r w:rsidRPr="0004348D">
        <w:rPr>
          <w:rFonts w:ascii="Calibri" w:eastAsia="Calibri" w:hAnsi="Calibri" w:cs="Arial"/>
          <w:color w:val="E36C0A" w:themeColor="accent6" w:themeShade="BF"/>
          <w:rtl/>
        </w:rPr>
        <w:t>)</w:t>
      </w:r>
    </w:p>
    <w:p w14:paraId="68F1D343" w14:textId="77777777" w:rsidR="0004348D" w:rsidRPr="0004348D" w:rsidRDefault="0004348D" w:rsidP="0004348D">
      <w:pPr>
        <w:spacing w:before="360" w:after="240"/>
        <w:rPr>
          <w:rFonts w:ascii="Arial" w:eastAsia="Calibri" w:hAnsi="Arial" w:cs="Arial"/>
          <w:b/>
          <w:bCs/>
          <w:color w:val="000000"/>
          <w:sz w:val="28"/>
          <w:szCs w:val="28"/>
          <w:u w:val="single"/>
          <w:rtl/>
        </w:rPr>
      </w:pPr>
      <w:r w:rsidRPr="0004348D">
        <w:rPr>
          <w:rFonts w:ascii="Arial" w:eastAsia="Calibri" w:hAnsi="Arial" w:cs="Arial"/>
          <w:b/>
          <w:bCs/>
          <w:color w:val="000000"/>
          <w:sz w:val="28"/>
          <w:szCs w:val="28"/>
          <w:u w:val="single"/>
          <w:rtl/>
        </w:rPr>
        <w:t>שו"ע:</w:t>
      </w:r>
    </w:p>
    <w:p w14:paraId="2042A1CF" w14:textId="77777777" w:rsidR="0004348D" w:rsidRPr="0004348D" w:rsidRDefault="0004348D" w:rsidP="0004348D">
      <w:pPr>
        <w:spacing w:before="360" w:after="240"/>
        <w:rPr>
          <w:rFonts w:ascii="Calibri" w:eastAsia="Calibri" w:hAnsi="Calibri" w:cs="Arial"/>
          <w:rtl/>
        </w:rPr>
      </w:pPr>
      <w:r w:rsidRPr="0004348D">
        <w:rPr>
          <w:rFonts w:ascii="Calibri" w:eastAsia="Calibri" w:hAnsi="Calibri" w:cs="Arial"/>
          <w:rtl/>
        </w:rPr>
        <w:t>משכונו</w:t>
      </w:r>
      <w:r w:rsidRPr="0004348D">
        <w:rPr>
          <w:rFonts w:ascii="Calibri" w:eastAsia="Calibri" w:hAnsi="Calibri" w:cs="Arial"/>
          <w:vertAlign w:val="superscript"/>
          <w:rtl/>
        </w:rPr>
        <w:footnoteReference w:id="5999"/>
      </w:r>
      <w:r w:rsidRPr="0004348D">
        <w:rPr>
          <w:rFonts w:ascii="Calibri" w:eastAsia="Calibri" w:hAnsi="Calibri" w:cs="Arial"/>
          <w:rtl/>
        </w:rPr>
        <w:t xml:space="preserve"> של ישראל ביד הגר, ומת הגר ואין לו יורש</w:t>
      </w:r>
      <w:r w:rsidRPr="0004348D">
        <w:rPr>
          <w:rFonts w:ascii="Calibri" w:eastAsia="Calibri" w:hAnsi="Calibri" w:cs="Arial"/>
          <w:vertAlign w:val="superscript"/>
          <w:rtl/>
        </w:rPr>
        <w:footnoteReference w:id="6000"/>
      </w:r>
      <w:r w:rsidRPr="0004348D">
        <w:rPr>
          <w:rFonts w:ascii="Calibri" w:eastAsia="Calibri" w:hAnsi="Calibri" w:cs="Arial"/>
          <w:rtl/>
        </w:rPr>
        <w:t xml:space="preserve">, ובא אחר והחזיק בו, מוציאים אותו מידו ומחזיר אותו לבעליו, שכיון שמת הגר פקע שעבודו. </w:t>
      </w:r>
    </w:p>
    <w:bookmarkEnd w:id="874"/>
    <w:p w14:paraId="37464E54" w14:textId="77777777" w:rsidR="0004348D" w:rsidRPr="0004348D" w:rsidRDefault="0004348D" w:rsidP="0004348D">
      <w:pPr>
        <w:spacing w:before="360" w:after="240"/>
        <w:rPr>
          <w:rFonts w:ascii="Calibri" w:eastAsia="Calibri" w:hAnsi="Calibri" w:cs="Arial"/>
          <w:rtl/>
        </w:rPr>
      </w:pPr>
    </w:p>
    <w:p w14:paraId="1F37B4F9" w14:textId="77777777" w:rsidR="0004348D" w:rsidRPr="0004348D" w:rsidRDefault="0004348D" w:rsidP="0004348D">
      <w:pPr>
        <w:keepNext/>
        <w:keepLines/>
        <w:spacing w:before="360" w:after="240"/>
        <w:outlineLvl w:val="1"/>
        <w:rPr>
          <w:rFonts w:ascii="Cambria" w:eastAsia="Times New Roman" w:hAnsi="Cambria" w:cs="Arial"/>
          <w:bCs/>
          <w:color w:val="548DD4" w:themeColor="text2" w:themeTint="99"/>
          <w:sz w:val="26"/>
          <w:szCs w:val="26"/>
          <w:rtl/>
        </w:rPr>
      </w:pPr>
      <w:bookmarkStart w:id="875" w:name="_Toc24884254"/>
      <w:r w:rsidRPr="0004348D">
        <w:rPr>
          <w:rFonts w:ascii="Cambria" w:eastAsia="Times New Roman" w:hAnsi="Cambria" w:cs="Arial"/>
          <w:bCs/>
          <w:color w:val="548DD4" w:themeColor="text2" w:themeTint="99"/>
          <w:sz w:val="26"/>
          <w:szCs w:val="26"/>
          <w:rtl/>
        </w:rPr>
        <w:t>סעיף לז: ישראל שלוה מגר על שטר משכונא על קרקע, ומת הגר – ובא אחר והחזיק בקרקע.</w:t>
      </w:r>
      <w:bookmarkEnd w:id="875"/>
    </w:p>
    <w:p w14:paraId="372680BC" w14:textId="77777777" w:rsidR="0004348D" w:rsidRPr="0004348D" w:rsidRDefault="0004348D" w:rsidP="0004348D">
      <w:pPr>
        <w:spacing w:before="360" w:after="240"/>
        <w:rPr>
          <w:rFonts w:ascii="Calibri" w:eastAsia="Calibri" w:hAnsi="Calibri" w:cs="Arial"/>
          <w:rtl/>
        </w:rPr>
      </w:pPr>
      <w:r w:rsidRPr="0004348D">
        <w:rPr>
          <w:rFonts w:ascii="Calibri" w:eastAsia="Calibri" w:hAnsi="Calibri" w:cs="Arial"/>
          <w:rtl/>
        </w:rPr>
        <w:t>עיין במקורות בסעיף הקודם.</w:t>
      </w:r>
    </w:p>
    <w:p w14:paraId="5B2582B0" w14:textId="77777777" w:rsidR="0004348D" w:rsidRPr="0004348D" w:rsidRDefault="0004348D" w:rsidP="0004348D">
      <w:pPr>
        <w:spacing w:before="360" w:after="240"/>
        <w:rPr>
          <w:rFonts w:ascii="Arial" w:eastAsia="Calibri" w:hAnsi="Arial" w:cs="Arial"/>
          <w:b/>
          <w:bCs/>
          <w:color w:val="000000"/>
          <w:sz w:val="28"/>
          <w:szCs w:val="28"/>
          <w:u w:val="single"/>
          <w:rtl/>
        </w:rPr>
      </w:pPr>
      <w:bookmarkStart w:id="876" w:name="_Hlk17718036"/>
      <w:r w:rsidRPr="0004348D">
        <w:rPr>
          <w:rFonts w:ascii="Arial" w:eastAsia="Calibri" w:hAnsi="Arial" w:cs="Arial"/>
          <w:b/>
          <w:bCs/>
          <w:color w:val="000000"/>
          <w:sz w:val="28"/>
          <w:szCs w:val="28"/>
          <w:u w:val="single"/>
          <w:rtl/>
        </w:rPr>
        <w:t>שו"ע:</w:t>
      </w:r>
    </w:p>
    <w:p w14:paraId="49138456" w14:textId="77777777" w:rsidR="0004348D" w:rsidRPr="0004348D" w:rsidRDefault="0004348D" w:rsidP="0004348D">
      <w:pPr>
        <w:spacing w:before="360" w:after="240"/>
        <w:rPr>
          <w:rFonts w:ascii="Calibri" w:eastAsia="Calibri" w:hAnsi="Calibri" w:cs="Arial"/>
          <w:rtl/>
        </w:rPr>
      </w:pPr>
      <w:r w:rsidRPr="0004348D">
        <w:rPr>
          <w:rFonts w:ascii="Calibri" w:eastAsia="Calibri" w:hAnsi="Calibri" w:cs="Arial"/>
          <w:rtl/>
        </w:rPr>
        <w:t>וכן הדין אם יש לו שטר משכונא על קרקע</w:t>
      </w:r>
      <w:r w:rsidRPr="0004348D">
        <w:rPr>
          <w:rFonts w:ascii="Calibri" w:eastAsia="Calibri" w:hAnsi="Calibri" w:cs="Arial"/>
          <w:vertAlign w:val="superscript"/>
          <w:rtl/>
        </w:rPr>
        <w:footnoteReference w:id="6001"/>
      </w:r>
      <w:r w:rsidRPr="0004348D">
        <w:rPr>
          <w:rFonts w:ascii="Calibri" w:eastAsia="Calibri" w:hAnsi="Calibri" w:cs="Arial"/>
          <w:rtl/>
        </w:rPr>
        <w:t xml:space="preserve"> של ישראל ומוחזקת בידו, ומת, ובא ישראל אחר והחזיק בה, לא עשה כלום, שמיד שמת הגר פקע שעבודו וברשות בעליה עומדת. </w:t>
      </w:r>
    </w:p>
    <w:bookmarkEnd w:id="876"/>
    <w:p w14:paraId="0CC8AE63" w14:textId="77777777" w:rsidR="0004348D" w:rsidRPr="0004348D" w:rsidRDefault="0004348D" w:rsidP="0004348D">
      <w:pPr>
        <w:spacing w:before="360" w:after="240"/>
        <w:rPr>
          <w:rFonts w:ascii="Calibri" w:eastAsia="Calibri" w:hAnsi="Calibri" w:cs="Arial"/>
          <w:rtl/>
        </w:rPr>
      </w:pPr>
    </w:p>
    <w:p w14:paraId="09D6C8F6" w14:textId="77777777" w:rsidR="0004348D" w:rsidRPr="0004348D" w:rsidRDefault="0004348D" w:rsidP="0004348D">
      <w:pPr>
        <w:keepNext/>
        <w:keepLines/>
        <w:spacing w:before="360" w:after="240"/>
        <w:outlineLvl w:val="1"/>
        <w:rPr>
          <w:rFonts w:ascii="Cambria" w:eastAsia="Times New Roman" w:hAnsi="Cambria" w:cs="Arial"/>
          <w:bCs/>
          <w:color w:val="548DD4" w:themeColor="text2" w:themeTint="99"/>
          <w:sz w:val="26"/>
          <w:szCs w:val="26"/>
          <w:rtl/>
        </w:rPr>
      </w:pPr>
      <w:bookmarkStart w:id="877" w:name="_Toc24884255"/>
      <w:r w:rsidRPr="0004348D">
        <w:rPr>
          <w:rFonts w:ascii="Cambria" w:eastAsia="Times New Roman" w:hAnsi="Cambria" w:cs="Arial"/>
          <w:bCs/>
          <w:color w:val="548DD4" w:themeColor="text2" w:themeTint="99"/>
          <w:sz w:val="26"/>
          <w:szCs w:val="26"/>
          <w:rtl/>
        </w:rPr>
        <w:t>סעיף לח: גוי שהלוה לישראל על המשכון - ונפל הימנו ומצאו ישראל.</w:t>
      </w:r>
      <w:bookmarkEnd w:id="877"/>
    </w:p>
    <w:p w14:paraId="0FE8334D" w14:textId="77777777" w:rsidR="0004348D" w:rsidRPr="0004348D" w:rsidRDefault="0004348D" w:rsidP="0004348D">
      <w:pPr>
        <w:spacing w:before="360" w:after="240"/>
        <w:rPr>
          <w:rFonts w:ascii="Calibri" w:eastAsia="Calibri" w:hAnsi="Calibri" w:cs="Arial"/>
          <w:u w:val="single"/>
          <w:rtl/>
        </w:rPr>
      </w:pPr>
      <w:r w:rsidRPr="0004348D">
        <w:rPr>
          <w:rFonts w:ascii="Calibri" w:eastAsia="Calibri" w:hAnsi="Calibri" w:cs="Arial"/>
          <w:u w:val="single"/>
          <w:rtl/>
        </w:rPr>
        <w:t>גוי שהלוה לישראל על המשכון - ונפל הימנו ומצאו ישראל:</w:t>
      </w:r>
    </w:p>
    <w:p w14:paraId="5A04D1B6" w14:textId="77777777" w:rsidR="0004348D" w:rsidRPr="0004348D" w:rsidRDefault="0004348D" w:rsidP="00992A87">
      <w:pPr>
        <w:numPr>
          <w:ilvl w:val="0"/>
          <w:numId w:val="371"/>
        </w:numPr>
        <w:spacing w:before="360" w:after="240"/>
        <w:contextualSpacing/>
        <w:rPr>
          <w:rFonts w:ascii="Calibri" w:eastAsia="Calibri" w:hAnsi="Calibri" w:cs="Arial"/>
          <w:rtl/>
        </w:rPr>
      </w:pPr>
      <w:r w:rsidRPr="0004348D">
        <w:rPr>
          <w:rFonts w:ascii="Calibri" w:eastAsia="Calibri" w:hAnsi="Calibri" w:cs="Arial"/>
          <w:rtl/>
        </w:rPr>
        <w:t>מהר"ם</w:t>
      </w:r>
      <w:r w:rsidRPr="0004348D">
        <w:rPr>
          <w:rFonts w:ascii="Calibri" w:eastAsia="Calibri" w:hAnsi="Calibri" w:cs="Arial"/>
          <w:vertAlign w:val="superscript"/>
          <w:rtl/>
        </w:rPr>
        <w:footnoteReference w:id="6002"/>
      </w:r>
      <w:r w:rsidRPr="0004348D">
        <w:rPr>
          <w:rFonts w:ascii="Calibri" w:eastAsia="Calibri" w:hAnsi="Calibri" w:cs="Arial"/>
          <w:rtl/>
        </w:rPr>
        <w:t xml:space="preserve"> </w:t>
      </w:r>
      <w:r w:rsidRPr="0004348D">
        <w:rPr>
          <w:rFonts w:ascii="Calibri" w:eastAsia="Calibri" w:hAnsi="Calibri" w:cs="Arial"/>
          <w:sz w:val="16"/>
          <w:szCs w:val="16"/>
          <w:rtl/>
        </w:rPr>
        <w:t>(ד"פ סי' תתקנא, ד"ק סי' עה)</w:t>
      </w:r>
      <w:r w:rsidRPr="0004348D">
        <w:rPr>
          <w:rFonts w:ascii="Calibri" w:eastAsia="Calibri" w:hAnsi="Calibri" w:cs="Arial"/>
          <w:rtl/>
        </w:rPr>
        <w:t xml:space="preserve"> וטור- גוי שהלוה לישראל על המשכון, ונפל הימנו ומצאו ישראל - חייב להשיבו לבעליו, לפי שגוף המשכון שלו ולא היה לו לגוי עליו אלא שיעבוד, וכיון שנפל ממנו ומצאו ישראל אחר פקע שיעבודו דאין להחזיר אבידה לגוי. ואם בא לומר לשום קדוש השם אחזירנו לגוי - יקדש השם בשלו ולא יקדש השם בשל אחרים בלא דעתם. </w:t>
      </w:r>
      <w:r w:rsidRPr="0004348D">
        <w:rPr>
          <w:rFonts w:ascii="Calibri" w:eastAsia="Calibri" w:hAnsi="Calibri" w:cs="Arial"/>
          <w:color w:val="E36C0A" w:themeColor="accent6" w:themeShade="BF"/>
          <w:rtl/>
        </w:rPr>
        <w:t>(וכ"פ בשו"ע)</w:t>
      </w:r>
    </w:p>
    <w:p w14:paraId="05EE0A90" w14:textId="77777777" w:rsidR="0004348D" w:rsidRPr="0004348D" w:rsidRDefault="0004348D" w:rsidP="0004348D">
      <w:pPr>
        <w:spacing w:before="360" w:after="240"/>
        <w:ind w:left="360"/>
        <w:rPr>
          <w:rFonts w:ascii="Calibri" w:eastAsia="Calibri" w:hAnsi="Calibri" w:cs="Arial"/>
          <w:u w:val="dotted"/>
        </w:rPr>
      </w:pPr>
      <w:r w:rsidRPr="0004348D">
        <w:rPr>
          <w:rFonts w:ascii="Calibri" w:eastAsia="Calibri" w:hAnsi="Calibri" w:cs="Arial"/>
          <w:u w:val="dotted"/>
          <w:rtl/>
        </w:rPr>
        <w:t>ומה הדין אם הלוה ישראל לגוי מעות – ונפלו המעות ומצאן ישראל:</w:t>
      </w:r>
    </w:p>
    <w:p w14:paraId="1817E8D1" w14:textId="77777777" w:rsidR="0004348D" w:rsidRPr="0004348D" w:rsidRDefault="0004348D" w:rsidP="00992A87">
      <w:pPr>
        <w:numPr>
          <w:ilvl w:val="0"/>
          <w:numId w:val="371"/>
        </w:numPr>
        <w:spacing w:before="360" w:after="240"/>
        <w:contextualSpacing/>
        <w:rPr>
          <w:rFonts w:ascii="Calibri" w:eastAsia="Calibri" w:hAnsi="Calibri" w:cs="Arial"/>
        </w:rPr>
      </w:pPr>
      <w:r w:rsidRPr="0004348D">
        <w:rPr>
          <w:rFonts w:ascii="Calibri" w:eastAsia="Calibri" w:hAnsi="Calibri" w:cs="Arial"/>
          <w:rtl/>
        </w:rPr>
        <w:t>רי"ו</w:t>
      </w:r>
      <w:r w:rsidRPr="0004348D">
        <w:rPr>
          <w:rFonts w:ascii="Calibri" w:eastAsia="Calibri" w:hAnsi="Calibri" w:cs="Arial"/>
          <w:sz w:val="16"/>
          <w:szCs w:val="16"/>
          <w:rtl/>
        </w:rPr>
        <w:t xml:space="preserve"> (נ"כ ח"ב)</w:t>
      </w:r>
      <w:r w:rsidRPr="0004348D">
        <w:rPr>
          <w:rFonts w:ascii="Calibri" w:eastAsia="Calibri" w:hAnsi="Calibri" w:cs="Arial"/>
          <w:rtl/>
        </w:rPr>
        <w:t>- הוא הדין למעות שהלוה ישראל לנכרי על משכון ונפלו המעות מהנכרי ומצאם ישראל - יחזיר לישראל</w:t>
      </w:r>
      <w:r w:rsidRPr="0004348D">
        <w:rPr>
          <w:rFonts w:ascii="Calibri" w:eastAsia="Calibri" w:hAnsi="Calibri" w:cs="Arial"/>
          <w:vertAlign w:val="superscript"/>
          <w:rtl/>
        </w:rPr>
        <w:footnoteReference w:id="6003"/>
      </w:r>
      <w:r w:rsidRPr="0004348D">
        <w:rPr>
          <w:rFonts w:ascii="Calibri" w:eastAsia="Calibri" w:hAnsi="Calibri" w:cs="Arial"/>
          <w:rtl/>
        </w:rPr>
        <w:t xml:space="preserve">. </w:t>
      </w:r>
      <w:r w:rsidRPr="0004348D">
        <w:rPr>
          <w:rFonts w:ascii="Calibri" w:eastAsia="Calibri" w:hAnsi="Calibri" w:cs="Arial"/>
          <w:color w:val="E36C0A" w:themeColor="accent6" w:themeShade="BF"/>
          <w:rtl/>
        </w:rPr>
        <w:t>(וכ"ס בשו"ע)</w:t>
      </w:r>
    </w:p>
    <w:p w14:paraId="684B5DBC" w14:textId="77777777" w:rsidR="0004348D" w:rsidRPr="0004348D" w:rsidRDefault="0004348D" w:rsidP="00992A87">
      <w:pPr>
        <w:numPr>
          <w:ilvl w:val="0"/>
          <w:numId w:val="371"/>
        </w:numPr>
        <w:spacing w:before="360" w:after="240"/>
        <w:contextualSpacing/>
        <w:rPr>
          <w:rFonts w:ascii="Calibri" w:eastAsia="Calibri" w:hAnsi="Calibri" w:cs="Arial"/>
        </w:rPr>
      </w:pPr>
      <w:r w:rsidRPr="0004348D">
        <w:rPr>
          <w:rFonts w:ascii="Calibri" w:eastAsia="Calibri" w:hAnsi="Calibri" w:cs="Arial"/>
          <w:rtl/>
        </w:rPr>
        <w:t>דרכ"מ</w:t>
      </w:r>
      <w:r w:rsidRPr="0004348D">
        <w:rPr>
          <w:rFonts w:ascii="Calibri" w:eastAsia="Calibri" w:hAnsi="Calibri" w:cs="Arial"/>
          <w:sz w:val="16"/>
          <w:szCs w:val="16"/>
          <w:rtl/>
        </w:rPr>
        <w:t xml:space="preserve"> (אות יז)</w:t>
      </w:r>
      <w:r w:rsidRPr="0004348D">
        <w:rPr>
          <w:rFonts w:ascii="Calibri" w:eastAsia="Calibri" w:hAnsi="Calibri" w:cs="Arial"/>
          <w:rtl/>
        </w:rPr>
        <w:t xml:space="preserve">- </w:t>
      </w:r>
      <w:r w:rsidRPr="0004348D">
        <w:rPr>
          <w:rFonts w:ascii="Calibri" w:eastAsia="Calibri" w:hAnsi="Calibri" w:cs="Arial"/>
          <w:vertAlign w:val="superscript"/>
          <w:rtl/>
        </w:rPr>
        <w:footnoteReference w:id="6004"/>
      </w:r>
      <w:r w:rsidRPr="0004348D">
        <w:rPr>
          <w:rFonts w:ascii="Calibri" w:eastAsia="Calibri" w:hAnsi="Calibri" w:cs="Arial"/>
          <w:rtl/>
        </w:rPr>
        <w:t xml:space="preserve">שאני משכון דסופו לשוב לבעליו וגם הוא ברשות בעליו לענין אונסין </w:t>
      </w:r>
      <w:r w:rsidRPr="0004348D">
        <w:rPr>
          <w:rFonts w:ascii="Calibri" w:eastAsia="Calibri" w:hAnsi="Calibri" w:cs="Arial"/>
          <w:sz w:val="16"/>
          <w:szCs w:val="16"/>
          <w:rtl/>
        </w:rPr>
        <w:t>(אפילו למאן דאמר המלוה על המשכון הוי עליו שומר שכר מיהו באונסין אינו חייב)</w:t>
      </w:r>
      <w:r w:rsidRPr="0004348D">
        <w:rPr>
          <w:rFonts w:ascii="Calibri" w:eastAsia="Calibri" w:hAnsi="Calibri" w:cs="Arial"/>
          <w:rtl/>
        </w:rPr>
        <w:t xml:space="preserve"> ולכן אין למלוה בו אלא שיעבוד בעלמא, משא"כ במעות הלואה דלגמרי הן ברשות הלוה לענין אונסין והוצאה, ולכן נראה לי דהמוצא זכה בהן ואינו חייב להחזירן. </w:t>
      </w:r>
      <w:r w:rsidRPr="0004348D">
        <w:rPr>
          <w:rFonts w:ascii="Calibri" w:eastAsia="Calibri" w:hAnsi="Calibri" w:cs="Arial"/>
          <w:color w:val="00B0F0"/>
          <w:rtl/>
        </w:rPr>
        <w:t>(וכ"פ בהג"ה)</w:t>
      </w:r>
    </w:p>
    <w:p w14:paraId="2E57DDE6" w14:textId="77777777" w:rsidR="0004348D" w:rsidRPr="0004348D" w:rsidRDefault="0004348D" w:rsidP="0004348D">
      <w:pPr>
        <w:spacing w:before="360" w:after="240"/>
        <w:rPr>
          <w:rFonts w:ascii="Calibri" w:eastAsia="Calibri" w:hAnsi="Calibri" w:cs="Arial"/>
          <w:u w:val="single"/>
        </w:rPr>
      </w:pPr>
      <w:r w:rsidRPr="0004348D">
        <w:rPr>
          <w:rFonts w:ascii="Calibri" w:eastAsia="Calibri" w:hAnsi="Calibri" w:cs="Arial"/>
          <w:u w:val="single"/>
          <w:rtl/>
        </w:rPr>
        <w:t>ישראל שלוה מגוי על המשכון – והמשכון הגיע לידי ישראל:</w:t>
      </w:r>
    </w:p>
    <w:p w14:paraId="7BE889E8" w14:textId="77777777" w:rsidR="0004348D" w:rsidRPr="0004348D" w:rsidRDefault="0004348D" w:rsidP="00992A87">
      <w:pPr>
        <w:numPr>
          <w:ilvl w:val="0"/>
          <w:numId w:val="371"/>
        </w:numPr>
        <w:spacing w:before="360" w:after="240"/>
        <w:contextualSpacing/>
        <w:rPr>
          <w:rFonts w:ascii="Calibri" w:eastAsia="Calibri" w:hAnsi="Calibri" w:cs="Arial"/>
        </w:rPr>
      </w:pPr>
      <w:r w:rsidRPr="0004348D">
        <w:rPr>
          <w:rFonts w:ascii="Calibri" w:eastAsia="Calibri" w:hAnsi="Calibri" w:cs="Arial"/>
          <w:rtl/>
        </w:rPr>
        <w:t xml:space="preserve">מהר"ם </w:t>
      </w:r>
      <w:r w:rsidRPr="0004348D">
        <w:rPr>
          <w:rFonts w:ascii="Calibri" w:eastAsia="Calibri" w:hAnsi="Calibri" w:cs="Arial"/>
          <w:sz w:val="16"/>
          <w:szCs w:val="16"/>
          <w:rtl/>
        </w:rPr>
        <w:t>(ד"פ סי' תט)</w:t>
      </w:r>
      <w:r w:rsidRPr="0004348D">
        <w:rPr>
          <w:rFonts w:ascii="Calibri" w:eastAsia="Calibri" w:hAnsi="Calibri" w:cs="Arial"/>
          <w:rtl/>
        </w:rPr>
        <w:t>- ראובן טוען לשמעון 'משכנתי משכון לגוי והגיע לידך החזירהו לי', ושמעון משיב 'אני זכיתי בו תחלה ואם לא זכיתי בכולו מכל מקום זכיתי בחוב הגוי'. דעתי נוטה שלא זכה שמעון בו דהא לא היה המשכון קנוי לגוי, דאפילו ישראל מישראל לא קנה משכון שמשכנו בשעת ההלואה, וכי יצא המשכון מידו, שאבד - פקע חובו, דהא אפילו ישראל שאבד משכונו פקע הלואתו כדתניא (ב"מ פא:) אבד המשכון אבדו מעותיו, וכיון שאבדו גוי זכה ישראל במשכונו כל היכא דאיתיה. והני מילי שלא זכה שמעון באותו משכון כשהיה המשכון שוה יותר מחובו שלא הוחלט המשכון ביד הגוי, אבל אם הוחלט המשכון לגוי שעלה הקרן והרבית יותר משוויו - זכה בו הגוי וזכה בו שמעון מן הגוי, דכיון דדיניה דגוי דבתר ערבא אזיל ונכסוהי דאינש אינון ערבין ביה וכל שכן במשכון שבידו.</w:t>
      </w:r>
    </w:p>
    <w:p w14:paraId="22FF82D1" w14:textId="77777777" w:rsidR="0004348D" w:rsidRPr="0004348D" w:rsidRDefault="0004348D" w:rsidP="0004348D">
      <w:pPr>
        <w:spacing w:before="360" w:after="240"/>
        <w:rPr>
          <w:rFonts w:ascii="Arial" w:eastAsia="Calibri" w:hAnsi="Arial" w:cs="Arial"/>
          <w:b/>
          <w:bCs/>
          <w:color w:val="000000"/>
          <w:sz w:val="28"/>
          <w:szCs w:val="28"/>
          <w:u w:val="single"/>
          <w:rtl/>
        </w:rPr>
      </w:pPr>
      <w:r w:rsidRPr="0004348D">
        <w:rPr>
          <w:rFonts w:ascii="Arial" w:eastAsia="Calibri" w:hAnsi="Arial" w:cs="Arial"/>
          <w:b/>
          <w:bCs/>
          <w:color w:val="000000"/>
          <w:sz w:val="28"/>
          <w:szCs w:val="28"/>
          <w:u w:val="single"/>
          <w:rtl/>
        </w:rPr>
        <w:t>שו"ע:</w:t>
      </w:r>
    </w:p>
    <w:p w14:paraId="3F4A5761" w14:textId="77777777" w:rsidR="0004348D" w:rsidRPr="0004348D" w:rsidRDefault="0004348D" w:rsidP="0004348D">
      <w:pPr>
        <w:spacing w:before="360" w:after="240"/>
        <w:rPr>
          <w:rFonts w:ascii="Calibri" w:eastAsia="Calibri" w:hAnsi="Calibri" w:cs="Arial"/>
          <w:rtl/>
        </w:rPr>
      </w:pPr>
      <w:r w:rsidRPr="0004348D">
        <w:rPr>
          <w:rFonts w:ascii="Calibri" w:eastAsia="Calibri" w:hAnsi="Calibri" w:cs="Arial"/>
          <w:rtl/>
        </w:rPr>
        <w:t>גוי שהלוה לישראל על המשכון ונפל ממנו, ומצאו ישראל, חייב להשיבו לישראל</w:t>
      </w:r>
      <w:r w:rsidRPr="0004348D">
        <w:rPr>
          <w:rFonts w:ascii="Calibri" w:eastAsia="Calibri" w:hAnsi="Calibri" w:cs="Arial"/>
          <w:vertAlign w:val="superscript"/>
          <w:rtl/>
        </w:rPr>
        <w:footnoteReference w:id="6005"/>
      </w:r>
      <w:r w:rsidRPr="0004348D">
        <w:rPr>
          <w:rFonts w:ascii="Calibri" w:eastAsia="Calibri" w:hAnsi="Calibri" w:cs="Arial"/>
          <w:rtl/>
        </w:rPr>
        <w:t xml:space="preserve">. ויש מי שאומר דהוא הדין למעות שהלוה ישראל לגוי על משכון ונפלו המעות מהגוי ומצאם ישראל, יחזיר לישראל. </w:t>
      </w:r>
      <w:r w:rsidRPr="0004348D">
        <w:rPr>
          <w:rFonts w:ascii="Calibri" w:eastAsia="Calibri" w:hAnsi="Calibri" w:cs="Arial"/>
          <w:sz w:val="18"/>
          <w:szCs w:val="18"/>
          <w:rtl/>
        </w:rPr>
        <w:t>[הגה] ולי נראה דבמעות הם של המוצא</w:t>
      </w:r>
      <w:r w:rsidRPr="0004348D">
        <w:rPr>
          <w:rFonts w:ascii="Calibri" w:eastAsia="Calibri" w:hAnsi="Calibri" w:cs="Arial"/>
          <w:sz w:val="18"/>
          <w:szCs w:val="18"/>
          <w:vertAlign w:val="superscript"/>
          <w:rtl/>
        </w:rPr>
        <w:footnoteReference w:id="6006"/>
      </w:r>
      <w:r w:rsidRPr="0004348D">
        <w:rPr>
          <w:rFonts w:ascii="Calibri" w:eastAsia="Calibri" w:hAnsi="Calibri" w:cs="Arial"/>
          <w:sz w:val="18"/>
          <w:szCs w:val="18"/>
          <w:rtl/>
        </w:rPr>
        <w:t>, דמעות להוצאה נתנו וכבר יצאו לגמרי מרשות הנותן</w:t>
      </w:r>
      <w:r w:rsidRPr="0004348D">
        <w:rPr>
          <w:rFonts w:ascii="Calibri" w:eastAsia="Calibri" w:hAnsi="Calibri" w:cs="Arial"/>
          <w:sz w:val="18"/>
          <w:szCs w:val="18"/>
          <w:vertAlign w:val="superscript"/>
          <w:rtl/>
        </w:rPr>
        <w:footnoteReference w:id="6007"/>
      </w:r>
      <w:r w:rsidRPr="0004348D">
        <w:rPr>
          <w:rFonts w:ascii="Calibri" w:eastAsia="Calibri" w:hAnsi="Calibri" w:cs="Arial"/>
          <w:sz w:val="18"/>
          <w:szCs w:val="18"/>
          <w:rtl/>
        </w:rPr>
        <w:t xml:space="preserve"> (ד"ע).</w:t>
      </w:r>
      <w:r w:rsidRPr="0004348D">
        <w:rPr>
          <w:rFonts w:ascii="Calibri" w:eastAsia="Calibri" w:hAnsi="Calibri" w:cs="Arial"/>
          <w:rtl/>
        </w:rPr>
        <w:t xml:space="preserve"> </w:t>
      </w:r>
    </w:p>
    <w:p w14:paraId="2206FAB5" w14:textId="77777777" w:rsidR="0004348D" w:rsidRPr="0004348D" w:rsidRDefault="0004348D" w:rsidP="0004348D">
      <w:pPr>
        <w:spacing w:before="360" w:after="240"/>
        <w:rPr>
          <w:rFonts w:ascii="Calibri" w:eastAsia="Calibri" w:hAnsi="Calibri" w:cs="Arial"/>
          <w:rtl/>
        </w:rPr>
      </w:pPr>
    </w:p>
    <w:p w14:paraId="00CCBCC3" w14:textId="77777777" w:rsidR="0004348D" w:rsidRPr="0004348D" w:rsidRDefault="0004348D" w:rsidP="0004348D">
      <w:pPr>
        <w:keepNext/>
        <w:keepLines/>
        <w:spacing w:before="360" w:after="240"/>
        <w:outlineLvl w:val="1"/>
        <w:rPr>
          <w:rFonts w:ascii="Cambria" w:eastAsia="Times New Roman" w:hAnsi="Cambria" w:cs="Arial"/>
          <w:bCs/>
          <w:color w:val="548DD4" w:themeColor="text2" w:themeTint="99"/>
          <w:sz w:val="26"/>
          <w:szCs w:val="26"/>
          <w:rtl/>
        </w:rPr>
      </w:pPr>
      <w:bookmarkStart w:id="878" w:name="_Toc24884256"/>
      <w:r w:rsidRPr="0004348D">
        <w:rPr>
          <w:rFonts w:ascii="Cambria" w:eastAsia="Times New Roman" w:hAnsi="Cambria" w:cs="Arial"/>
          <w:bCs/>
          <w:color w:val="548DD4" w:themeColor="text2" w:themeTint="99"/>
          <w:sz w:val="26"/>
          <w:szCs w:val="26"/>
          <w:rtl/>
        </w:rPr>
        <w:t>סעיף לט: גר שלוה מישראל על המשכון, ומת הגר – ובא אחר ותפס המשכון.</w:t>
      </w:r>
      <w:bookmarkEnd w:id="878"/>
    </w:p>
    <w:p w14:paraId="4972317F" w14:textId="77777777" w:rsidR="0004348D" w:rsidRPr="0004348D" w:rsidRDefault="0004348D" w:rsidP="0004348D">
      <w:pPr>
        <w:spacing w:before="360" w:after="240"/>
        <w:rPr>
          <w:rFonts w:ascii="Calibri" w:eastAsia="Calibri" w:hAnsi="Calibri" w:cs="Arial"/>
          <w:rtl/>
        </w:rPr>
      </w:pPr>
      <w:bookmarkStart w:id="879" w:name="_Hlk17721092"/>
      <w:r w:rsidRPr="0004348D">
        <w:rPr>
          <w:rFonts w:ascii="Calibri" w:eastAsia="Calibri" w:hAnsi="Calibri" w:cs="Arial"/>
          <w:b/>
          <w:bCs/>
          <w:rtl/>
        </w:rPr>
        <w:t>בבא קמא</w:t>
      </w:r>
      <w:r w:rsidRPr="0004348D">
        <w:rPr>
          <w:rFonts w:ascii="Calibri" w:eastAsia="Calibri" w:hAnsi="Calibri" w:cs="Arial"/>
          <w:b/>
          <w:bCs/>
          <w:sz w:val="16"/>
          <w:szCs w:val="16"/>
          <w:rtl/>
        </w:rPr>
        <w:t xml:space="preserve"> (פרק שור שנגח את הפרה) </w:t>
      </w:r>
      <w:r w:rsidRPr="0004348D">
        <w:rPr>
          <w:rFonts w:ascii="Calibri" w:eastAsia="Calibri" w:hAnsi="Calibri" w:cs="Arial"/>
          <w:b/>
          <w:bCs/>
          <w:rtl/>
        </w:rPr>
        <w:t>מט</w:t>
      </w:r>
      <w:r w:rsidRPr="0004348D">
        <w:rPr>
          <w:rFonts w:ascii="Calibri" w:eastAsia="Calibri" w:hAnsi="Calibri" w:cs="Arial"/>
          <w:b/>
          <w:bCs/>
          <w:vertAlign w:val="superscript"/>
          <w:rtl/>
        </w:rPr>
        <w:footnoteReference w:id="6008"/>
      </w:r>
      <w:r w:rsidRPr="0004348D">
        <w:rPr>
          <w:rFonts w:ascii="Calibri" w:eastAsia="Calibri" w:hAnsi="Calibri" w:cs="Arial"/>
          <w:b/>
          <w:bCs/>
          <w:rtl/>
        </w:rPr>
        <w:t xml:space="preserve"> ע"ב:</w:t>
      </w:r>
      <w:r w:rsidRPr="0004348D">
        <w:rPr>
          <w:rFonts w:ascii="Calibri" w:eastAsia="Calibri" w:hAnsi="Calibri" w:cs="Arial"/>
          <w:rtl/>
        </w:rPr>
        <w:t xml:space="preserve"> </w:t>
      </w:r>
      <w:r w:rsidRPr="0004348D">
        <w:rPr>
          <w:rFonts w:ascii="Calibri" w:eastAsia="Calibri" w:hAnsi="Calibri" w:cs="Arial"/>
          <w:u w:val="single"/>
          <w:rtl/>
        </w:rPr>
        <w:t>אמר רבה</w:t>
      </w:r>
      <w:r w:rsidRPr="0004348D">
        <w:rPr>
          <w:rFonts w:ascii="Calibri" w:eastAsia="Calibri" w:hAnsi="Calibri" w:cs="Arial"/>
          <w:rtl/>
        </w:rPr>
        <w:t xml:space="preserve">:... משכונו של גר ביד ישראל ומת הגר, ובא ישראל אחר והחזיק בו - זה קנה כנגד מעותיו, וזה קנה את השאר. ואמאי? תקני ליה חצירו, דהאמר רבי יוסי בר חנינא: חצירו של אדם קונה לו שלא מדעתו! אמרי: הכא במאי עסקינן - דליתיה, כל היכא דאיתא לדידיה, דאי בעי מקני מצי קני - קניא ליה נמי חצירו, כל היכא דליתיה לדידיה, דאי בעי הוא למיקני לא מצי קני - חצירו נמי לא קניא. והלכתא - דליתיה בחצירו דלא קנה. </w:t>
      </w:r>
    </w:p>
    <w:p w14:paraId="3CE1B8DE" w14:textId="77777777" w:rsidR="0004348D" w:rsidRPr="0004348D" w:rsidRDefault="0004348D" w:rsidP="0004348D">
      <w:pPr>
        <w:spacing w:before="360" w:after="240"/>
        <w:rPr>
          <w:rFonts w:ascii="Calibri" w:eastAsia="Calibri" w:hAnsi="Calibri" w:cs="Arial"/>
          <w:u w:val="single"/>
          <w:rtl/>
        </w:rPr>
      </w:pPr>
      <w:r w:rsidRPr="0004348D">
        <w:rPr>
          <w:rFonts w:ascii="Calibri" w:eastAsia="Calibri" w:hAnsi="Calibri" w:cs="Arial"/>
          <w:u w:val="single"/>
          <w:rtl/>
        </w:rPr>
        <w:t>גר שלוה מישראל על המשכון, ומת הגר – ובא אחר ותפס המשכון:</w:t>
      </w:r>
    </w:p>
    <w:p w14:paraId="3A7DF8E3" w14:textId="77777777" w:rsidR="0004348D" w:rsidRPr="0004348D" w:rsidRDefault="0004348D" w:rsidP="00992A87">
      <w:pPr>
        <w:numPr>
          <w:ilvl w:val="0"/>
          <w:numId w:val="371"/>
        </w:numPr>
        <w:spacing w:before="360" w:after="240"/>
        <w:contextualSpacing/>
        <w:rPr>
          <w:rFonts w:ascii="Calibri" w:eastAsia="Calibri" w:hAnsi="Calibri" w:cs="Arial"/>
          <w:rtl/>
        </w:rPr>
      </w:pPr>
      <w:r w:rsidRPr="0004348D">
        <w:rPr>
          <w:rFonts w:ascii="Calibri" w:eastAsia="Calibri" w:hAnsi="Calibri" w:cs="Arial"/>
          <w:rtl/>
        </w:rPr>
        <w:t>טור- משכונו של גר ביד ישראל, ומת הגר, ובא אחר והחזיק בו - זה קנה כנגד מעותיו שהיה הגר חייב, וזה קנה השאר</w:t>
      </w:r>
      <w:r w:rsidRPr="0004348D">
        <w:rPr>
          <w:rFonts w:ascii="Calibri" w:eastAsia="Calibri" w:hAnsi="Calibri" w:cs="Arial"/>
          <w:vertAlign w:val="superscript"/>
          <w:rtl/>
        </w:rPr>
        <w:footnoteReference w:id="6009"/>
      </w:r>
      <w:r w:rsidRPr="0004348D">
        <w:rPr>
          <w:rFonts w:ascii="Calibri" w:eastAsia="Calibri" w:hAnsi="Calibri" w:cs="Arial"/>
          <w:rtl/>
        </w:rPr>
        <w:t>. בד"א כשהיה המשכון בחצר שאינה משתמרת ולא היה המלוה בחצרו בשעת מיתת הגר. אבל אם היה המלוה בחצרו</w:t>
      </w:r>
      <w:r w:rsidRPr="0004348D">
        <w:rPr>
          <w:rFonts w:ascii="Calibri" w:eastAsia="Calibri" w:hAnsi="Calibri" w:cs="Arial"/>
          <w:sz w:val="16"/>
          <w:szCs w:val="16"/>
          <w:rtl/>
        </w:rPr>
        <w:t xml:space="preserve"> {בשעת מיתת הגר}</w:t>
      </w:r>
      <w:r w:rsidRPr="0004348D">
        <w:rPr>
          <w:rFonts w:ascii="Calibri" w:eastAsia="Calibri" w:hAnsi="Calibri" w:cs="Arial"/>
          <w:rtl/>
        </w:rPr>
        <w:t>, או אפילו לא היה בחצרו והמשכון בחצר המשתמרת - זכה לו חצרו בכל המשכון.</w:t>
      </w:r>
      <w:r w:rsidRPr="0004348D">
        <w:rPr>
          <w:rFonts w:ascii="Calibri" w:eastAsia="Calibri" w:hAnsi="Calibri" w:cs="Arial"/>
          <w:color w:val="E36C0A" w:themeColor="accent6" w:themeShade="BF"/>
          <w:rtl/>
        </w:rPr>
        <w:t xml:space="preserve"> (וכ"פ בשו"ע)</w:t>
      </w:r>
    </w:p>
    <w:p w14:paraId="0DC1E6F2" w14:textId="77777777" w:rsidR="0004348D" w:rsidRPr="0004348D" w:rsidRDefault="0004348D" w:rsidP="0004348D">
      <w:pPr>
        <w:spacing w:before="360" w:after="240"/>
        <w:ind w:left="360"/>
        <w:rPr>
          <w:rFonts w:ascii="Calibri" w:eastAsia="Calibri" w:hAnsi="Calibri" w:cs="Arial"/>
          <w:u w:val="dotted"/>
        </w:rPr>
      </w:pPr>
      <w:r w:rsidRPr="0004348D">
        <w:rPr>
          <w:rFonts w:ascii="Calibri" w:eastAsia="Calibri" w:hAnsi="Calibri" w:cs="Arial"/>
          <w:u w:val="dotted"/>
          <w:rtl/>
        </w:rPr>
        <w:t>ומה הדין אם לא הלוה הישראל לגר על משכון לבד אלא עשה גם שטר או שהלוה בעדים:</w:t>
      </w:r>
    </w:p>
    <w:p w14:paraId="62C59A85" w14:textId="77777777" w:rsidR="0004348D" w:rsidRPr="0004348D" w:rsidRDefault="0004348D" w:rsidP="00992A87">
      <w:pPr>
        <w:numPr>
          <w:ilvl w:val="0"/>
          <w:numId w:val="371"/>
        </w:numPr>
        <w:spacing w:before="360" w:after="240"/>
        <w:contextualSpacing/>
        <w:rPr>
          <w:rFonts w:ascii="Calibri" w:eastAsia="Calibri" w:hAnsi="Calibri" w:cs="Arial"/>
        </w:rPr>
      </w:pPr>
      <w:r w:rsidRPr="0004348D">
        <w:rPr>
          <w:rFonts w:ascii="Calibri" w:eastAsia="Calibri" w:hAnsi="Calibri" w:cs="Arial"/>
          <w:rtl/>
        </w:rPr>
        <w:t xml:space="preserve">בהעי"ט </w:t>
      </w:r>
      <w:r w:rsidRPr="0004348D">
        <w:rPr>
          <w:rFonts w:ascii="Calibri" w:eastAsia="Calibri" w:hAnsi="Calibri" w:cs="Arial"/>
          <w:sz w:val="16"/>
          <w:szCs w:val="16"/>
          <w:rtl/>
        </w:rPr>
        <w:t>(הל' מלוה על המשכון כד., כ"כ בשמו הה"מ [פ"ב מזכיה הט"ז])</w:t>
      </w:r>
      <w:r w:rsidRPr="0004348D">
        <w:rPr>
          <w:rFonts w:ascii="Calibri" w:eastAsia="Calibri" w:hAnsi="Calibri" w:cs="Arial"/>
          <w:rtl/>
        </w:rPr>
        <w:t xml:space="preserve"> ורשב"א </w:t>
      </w:r>
      <w:r w:rsidRPr="0004348D">
        <w:rPr>
          <w:rFonts w:ascii="Calibri" w:eastAsia="Calibri" w:hAnsi="Calibri" w:cs="Arial"/>
          <w:sz w:val="16"/>
          <w:szCs w:val="16"/>
          <w:rtl/>
        </w:rPr>
        <w:t>(ב"ק מט: ד"ה משכונו, כ"כ בשמו הה"מ [שם])</w:t>
      </w:r>
      <w:r w:rsidRPr="0004348D">
        <w:rPr>
          <w:rFonts w:ascii="Calibri" w:eastAsia="Calibri" w:hAnsi="Calibri" w:cs="Arial"/>
          <w:rtl/>
        </w:rPr>
        <w:t>- אם ישראל יש לו מלוה בשטר על הגר או אפילו בעדים ומת בתוך זמנו - הרי הוא כמשכון של גר ביד ישראל, ואם בא ישראל אחר והחזיק בנכסיו של גר - אינו יכול להחזיק כשיעור החוב.</w:t>
      </w:r>
    </w:p>
    <w:bookmarkEnd w:id="879"/>
    <w:p w14:paraId="51C5BA88" w14:textId="77777777" w:rsidR="0004348D" w:rsidRPr="0004348D" w:rsidRDefault="0004348D" w:rsidP="0004348D">
      <w:pPr>
        <w:spacing w:before="360" w:after="240"/>
        <w:rPr>
          <w:rFonts w:ascii="Calibri" w:eastAsia="Calibri" w:hAnsi="Calibri" w:cs="Arial"/>
          <w:color w:val="000000" w:themeColor="text1"/>
          <w:u w:val="single"/>
        </w:rPr>
      </w:pPr>
      <w:r w:rsidRPr="0004348D">
        <w:rPr>
          <w:rFonts w:ascii="Calibri" w:eastAsia="Calibri" w:hAnsi="Calibri" w:cs="Arial"/>
          <w:color w:val="000000" w:themeColor="text1"/>
          <w:u w:val="single"/>
          <w:rtl/>
        </w:rPr>
        <w:t>המחזיק בנכסי הגר – ובאים בעלי חוב להיפרע מהנכסים:</w:t>
      </w:r>
    </w:p>
    <w:p w14:paraId="2991C18F" w14:textId="77777777" w:rsidR="0004348D" w:rsidRPr="0004348D" w:rsidRDefault="0004348D" w:rsidP="00992A87">
      <w:pPr>
        <w:numPr>
          <w:ilvl w:val="0"/>
          <w:numId w:val="371"/>
        </w:numPr>
        <w:spacing w:before="360" w:after="240"/>
        <w:contextualSpacing/>
        <w:rPr>
          <w:rFonts w:ascii="Calibri" w:eastAsia="Calibri" w:hAnsi="Calibri" w:cs="Arial"/>
        </w:rPr>
      </w:pPr>
      <w:r w:rsidRPr="0004348D">
        <w:rPr>
          <w:rFonts w:ascii="Calibri" w:eastAsia="Calibri" w:hAnsi="Calibri" w:cs="Arial"/>
          <w:rtl/>
        </w:rPr>
        <w:t xml:space="preserve">בהעי"ט </w:t>
      </w:r>
      <w:r w:rsidRPr="0004348D">
        <w:rPr>
          <w:rFonts w:ascii="Calibri" w:eastAsia="Calibri" w:hAnsi="Calibri" w:cs="Arial"/>
          <w:sz w:val="16"/>
          <w:szCs w:val="16"/>
          <w:rtl/>
        </w:rPr>
        <w:t>(הל' מלוה על המשכון כד.)</w:t>
      </w:r>
      <w:r w:rsidRPr="0004348D">
        <w:rPr>
          <w:rFonts w:ascii="Calibri" w:eastAsia="Calibri" w:hAnsi="Calibri" w:cs="Arial"/>
          <w:rtl/>
        </w:rPr>
        <w:t xml:space="preserve">- המחזיק בנכסי הגר - הרי הוא כיורש, והבא ליפרע - צריך שבועה כדין הבא ליפרע מנכסי יתומים </w:t>
      </w:r>
      <w:r w:rsidRPr="0004348D">
        <w:rPr>
          <w:rFonts w:ascii="Calibri" w:eastAsia="Calibri" w:hAnsi="Calibri" w:cs="Arial"/>
          <w:sz w:val="16"/>
          <w:szCs w:val="16"/>
          <w:rtl/>
        </w:rPr>
        <w:t>(כתובות פז.)</w:t>
      </w:r>
      <w:r w:rsidRPr="0004348D">
        <w:rPr>
          <w:rFonts w:ascii="Calibri" w:eastAsia="Calibri" w:hAnsi="Calibri" w:cs="Arial"/>
          <w:rtl/>
        </w:rPr>
        <w:t xml:space="preserve">. </w:t>
      </w:r>
    </w:p>
    <w:p w14:paraId="57BB4FBB" w14:textId="77777777" w:rsidR="0004348D" w:rsidRPr="0004348D" w:rsidRDefault="0004348D" w:rsidP="0004348D">
      <w:pPr>
        <w:spacing w:before="360" w:after="240"/>
        <w:rPr>
          <w:rFonts w:ascii="Calibri" w:eastAsia="Calibri" w:hAnsi="Calibri" w:cs="Arial"/>
          <w:u w:val="single"/>
        </w:rPr>
      </w:pPr>
      <w:r w:rsidRPr="0004348D">
        <w:rPr>
          <w:rFonts w:ascii="Calibri" w:eastAsia="Calibri" w:hAnsi="Calibri" w:cs="Arial"/>
          <w:u w:val="single"/>
          <w:rtl/>
        </w:rPr>
        <w:t xml:space="preserve">המחזיק משכון של פלוני, ומת פלוני, ויורשיו תובעים המשכון – וטוען המחזיק ששותפו אמר לו שפלוני חייב להם: </w:t>
      </w:r>
    </w:p>
    <w:p w14:paraId="47EEAF65" w14:textId="77777777" w:rsidR="0004348D" w:rsidRPr="0004348D" w:rsidRDefault="0004348D" w:rsidP="00992A87">
      <w:pPr>
        <w:numPr>
          <w:ilvl w:val="0"/>
          <w:numId w:val="371"/>
        </w:numPr>
        <w:spacing w:before="360" w:after="240"/>
        <w:contextualSpacing/>
        <w:rPr>
          <w:rFonts w:ascii="Calibri" w:eastAsia="Calibri" w:hAnsi="Calibri" w:cs="Arial"/>
        </w:rPr>
      </w:pPr>
      <w:r w:rsidRPr="0004348D">
        <w:rPr>
          <w:rFonts w:ascii="Calibri" w:eastAsia="Calibri" w:hAnsi="Calibri" w:cs="Arial"/>
          <w:rtl/>
        </w:rPr>
        <w:t xml:space="preserve">רא"ש </w:t>
      </w:r>
      <w:r w:rsidRPr="0004348D">
        <w:rPr>
          <w:rFonts w:ascii="Calibri" w:eastAsia="Calibri" w:hAnsi="Calibri" w:cs="Arial"/>
          <w:sz w:val="16"/>
          <w:szCs w:val="16"/>
          <w:rtl/>
        </w:rPr>
        <w:t xml:space="preserve">(כלל פט סי' ה) </w:t>
      </w:r>
      <w:r w:rsidRPr="0004348D">
        <w:rPr>
          <w:rFonts w:ascii="Calibri" w:eastAsia="Calibri" w:hAnsi="Calibri" w:cs="Arial"/>
          <w:rtl/>
        </w:rPr>
        <w:t>וטור</w:t>
      </w:r>
      <w:r w:rsidRPr="0004348D">
        <w:rPr>
          <w:rFonts w:ascii="Calibri" w:eastAsia="Calibri" w:hAnsi="Calibri" w:cs="Arial"/>
          <w:sz w:val="16"/>
          <w:szCs w:val="16"/>
          <w:rtl/>
        </w:rPr>
        <w:t xml:space="preserve"> (סע' לג)</w:t>
      </w:r>
      <w:r w:rsidRPr="0004348D">
        <w:rPr>
          <w:rFonts w:ascii="Calibri" w:eastAsia="Calibri" w:hAnsi="Calibri" w:cs="Arial"/>
          <w:rtl/>
        </w:rPr>
        <w:t>- ראובן היה לו בידו משכונות של שמעון, ומת שמעון. ובאו יורשיו ותבעו ממנו המשכונות, וטוען ראובן 'אותן המשכונות אני תופש בשביל שאמר לי לוי שותפי ששמעון היה חייב לנו מעות מדמי השותפות ורוצה לישבע על משכונות שבידי כי אומר תפישתי כתפישתו כי ידי כידו בכל עסק השותפות ובשליחותו אני תופש אותם ויכול הוא לישבע על תפישתי כאילו הוא היה תופש בהם'. תשובה, נ"ל שאין לוי יכול לישבע על המשכונות שביד ראובן שותפו כי אם היה ראובן טוען 'שמעון היה חייב לי מעות ואני תופש המשכונות בשביל המעות' היה נאמן במגו דלהד"ם או החזרתיו לך, אבל גבי לוי אין כאן מגו, כי אין מגו אלא במה שבידו לטעון אבל מה שביד אחר לטעון אין כאן מגו כי שמא חבירו לא היה רוצה לשקר ולומר להד"ם או החזרתיו לך.</w:t>
      </w:r>
      <w:r w:rsidRPr="0004348D">
        <w:rPr>
          <w:rFonts w:ascii="Calibri" w:eastAsia="Calibri" w:hAnsi="Calibri" w:cs="Arial"/>
          <w:color w:val="E36C0A" w:themeColor="accent6" w:themeShade="BF"/>
          <w:rtl/>
        </w:rPr>
        <w:t xml:space="preserve"> (וכ"פ בשו"ע)</w:t>
      </w:r>
    </w:p>
    <w:p w14:paraId="2ACB9633" w14:textId="77777777" w:rsidR="0004348D" w:rsidRPr="0004348D" w:rsidRDefault="0004348D" w:rsidP="0004348D">
      <w:pPr>
        <w:spacing w:before="360" w:after="240"/>
        <w:rPr>
          <w:rFonts w:ascii="Arial" w:eastAsia="Calibri" w:hAnsi="Arial" w:cs="Arial"/>
          <w:b/>
          <w:bCs/>
          <w:color w:val="000000"/>
          <w:sz w:val="28"/>
          <w:szCs w:val="28"/>
          <w:u w:val="single"/>
          <w:rtl/>
        </w:rPr>
      </w:pPr>
      <w:r w:rsidRPr="0004348D">
        <w:rPr>
          <w:rFonts w:ascii="Arial" w:eastAsia="Calibri" w:hAnsi="Arial" w:cs="Arial"/>
          <w:b/>
          <w:bCs/>
          <w:color w:val="000000"/>
          <w:sz w:val="28"/>
          <w:szCs w:val="28"/>
          <w:u w:val="single"/>
          <w:rtl/>
        </w:rPr>
        <w:t>שו"ע:</w:t>
      </w:r>
    </w:p>
    <w:p w14:paraId="5F4DFA91" w14:textId="77777777" w:rsidR="0004348D" w:rsidRPr="0004348D" w:rsidRDefault="0004348D" w:rsidP="0004348D">
      <w:pPr>
        <w:spacing w:before="360" w:after="240"/>
        <w:rPr>
          <w:rFonts w:ascii="Calibri" w:eastAsia="Calibri" w:hAnsi="Calibri" w:cs="Arial"/>
          <w:rtl/>
        </w:rPr>
      </w:pPr>
      <w:r w:rsidRPr="0004348D">
        <w:rPr>
          <w:rFonts w:ascii="Calibri" w:eastAsia="Calibri" w:hAnsi="Calibri" w:cs="Arial"/>
          <w:rtl/>
        </w:rPr>
        <w:t>משכונו של גר ביד ישראל, ומת הגר, ובא אחר והחזיק בו, זה קנה כנגד מעותיו שהיה הגר חייב, וזה קנה השאר. במה דברים אמורים, כשהיה המשכון בחצר שאינה משתמרת, ולא היה המלוה בחצירו</w:t>
      </w:r>
      <w:r w:rsidRPr="0004348D">
        <w:rPr>
          <w:rFonts w:ascii="Calibri" w:eastAsia="Calibri" w:hAnsi="Calibri" w:cs="Arial"/>
          <w:vertAlign w:val="superscript"/>
          <w:rtl/>
        </w:rPr>
        <w:footnoteReference w:id="6010"/>
      </w:r>
      <w:r w:rsidRPr="0004348D">
        <w:rPr>
          <w:rFonts w:ascii="Calibri" w:eastAsia="Calibri" w:hAnsi="Calibri" w:cs="Arial"/>
          <w:rtl/>
        </w:rPr>
        <w:t xml:space="preserve"> בשעת מיתת הגר. אבל אם היה המלוה בחצירו, או אפילו לא היה בחצירו, והמשכון בחצירו המשתמרת, זכה לו חצרו בכל המשכון. ראובן היו בידו משכונות של שמעון, ומת שמעון, ויורשיו תובעים המשכונות, וראובן טוען 'אותם המשכונות אני תופס מפני שאמר לי לוי שותפי ששמעון חייב לו מדמי השותפות' ורוצה לישבע לוי על משכונות אלו, אין בדברי לוי כלום מאחר שאינו בידו. </w:t>
      </w:r>
    </w:p>
    <w:p w14:paraId="4D9276EC" w14:textId="77777777" w:rsidR="0004348D" w:rsidRPr="0004348D" w:rsidRDefault="0004348D" w:rsidP="0004348D">
      <w:pPr>
        <w:spacing w:before="360" w:after="240"/>
        <w:rPr>
          <w:rFonts w:ascii="Calibri" w:eastAsia="Calibri" w:hAnsi="Calibri" w:cs="Arial"/>
          <w:rtl/>
        </w:rPr>
      </w:pPr>
    </w:p>
    <w:p w14:paraId="06E92B4E" w14:textId="77777777" w:rsidR="0004348D" w:rsidRPr="0004348D" w:rsidRDefault="0004348D" w:rsidP="0004348D">
      <w:pPr>
        <w:keepNext/>
        <w:keepLines/>
        <w:spacing w:before="360" w:after="240"/>
        <w:outlineLvl w:val="1"/>
        <w:rPr>
          <w:rFonts w:ascii="Cambria" w:eastAsia="Times New Roman" w:hAnsi="Cambria" w:cs="Arial"/>
          <w:bCs/>
          <w:color w:val="548DD4" w:themeColor="text2" w:themeTint="99"/>
          <w:sz w:val="26"/>
          <w:szCs w:val="26"/>
          <w:rtl/>
        </w:rPr>
      </w:pPr>
      <w:bookmarkStart w:id="880" w:name="_Toc24884257"/>
      <w:r w:rsidRPr="0004348D">
        <w:rPr>
          <w:rFonts w:ascii="Cambria" w:eastAsia="Times New Roman" w:hAnsi="Cambria" w:cs="Arial"/>
          <w:bCs/>
          <w:color w:val="548DD4" w:themeColor="text2" w:themeTint="99"/>
          <w:sz w:val="26"/>
          <w:szCs w:val="26"/>
          <w:rtl/>
        </w:rPr>
        <w:t>סעיף מ: משכונו של גוי ביד ישראל, ומשכנו אצל אחר - ומת הגוי.</w:t>
      </w:r>
      <w:bookmarkEnd w:id="880"/>
    </w:p>
    <w:p w14:paraId="3A2F1492" w14:textId="77777777" w:rsidR="0004348D" w:rsidRPr="0004348D" w:rsidRDefault="0004348D" w:rsidP="0004348D">
      <w:pPr>
        <w:spacing w:before="360" w:after="240"/>
        <w:rPr>
          <w:rFonts w:ascii="Calibri" w:eastAsia="Calibri" w:hAnsi="Calibri" w:cs="Arial"/>
          <w:rtl/>
        </w:rPr>
      </w:pPr>
      <w:bookmarkStart w:id="881" w:name="_Hlk17722014"/>
      <w:r w:rsidRPr="0004348D">
        <w:rPr>
          <w:rFonts w:ascii="Calibri" w:eastAsia="Calibri" w:hAnsi="Calibri" w:cs="Arial"/>
          <w:u w:val="single"/>
          <w:rtl/>
        </w:rPr>
        <w:t>משכון של גוי שביד ראובן, וכיון שלא היה לו לפרוע בקש הגוי שימשכנו אצל אחר, ומת הגוי, והמשכון שווה כפליים:</w:t>
      </w:r>
      <w:r w:rsidRPr="0004348D">
        <w:rPr>
          <w:rFonts w:ascii="Calibri" w:eastAsia="Calibri" w:hAnsi="Calibri" w:cs="Arial"/>
          <w:rtl/>
        </w:rPr>
        <w:t xml:space="preserve"> </w:t>
      </w:r>
    </w:p>
    <w:p w14:paraId="3B34F896" w14:textId="77777777" w:rsidR="0004348D" w:rsidRPr="0004348D" w:rsidRDefault="0004348D" w:rsidP="0004348D">
      <w:pPr>
        <w:numPr>
          <w:ilvl w:val="0"/>
          <w:numId w:val="356"/>
        </w:numPr>
        <w:spacing w:before="360" w:after="240"/>
        <w:contextualSpacing/>
        <w:rPr>
          <w:rFonts w:ascii="Calibri" w:eastAsia="Calibri" w:hAnsi="Calibri" w:cs="Arial"/>
          <w:rtl/>
        </w:rPr>
      </w:pPr>
      <w:r w:rsidRPr="0004348D">
        <w:rPr>
          <w:rFonts w:ascii="Calibri" w:eastAsia="Calibri" w:hAnsi="Calibri" w:cs="Arial"/>
          <w:rtl/>
        </w:rPr>
        <w:t xml:space="preserve">מרדכי </w:t>
      </w:r>
      <w:r w:rsidRPr="0004348D">
        <w:rPr>
          <w:rFonts w:ascii="Calibri" w:eastAsia="Calibri" w:hAnsi="Calibri" w:cs="Arial"/>
          <w:sz w:val="16"/>
          <w:szCs w:val="16"/>
          <w:rtl/>
        </w:rPr>
        <w:t>(פרק חזקת ב"ב סי' תקנד)</w:t>
      </w:r>
      <w:r w:rsidRPr="0004348D">
        <w:rPr>
          <w:rFonts w:ascii="Calibri" w:eastAsia="Calibri" w:hAnsi="Calibri" w:cs="Arial"/>
          <w:rtl/>
        </w:rPr>
        <w:t xml:space="preserve">- משכונו של גוי ביד ראובן, ואמר לו ראובן תן לי מעותי, ואמר לו הגוי תמשכן אותו לישראל אחר. והלך ראובן ומשכנו לשמעון ונתן לו המעות שהגוי חייב לו. ומת הגוי והמשכון שוה כפלים מן החוב - זכה שמעון בכל המשכון. </w:t>
      </w:r>
      <w:r w:rsidRPr="0004348D">
        <w:rPr>
          <w:rFonts w:ascii="Calibri" w:eastAsia="Calibri" w:hAnsi="Calibri" w:cs="Arial"/>
          <w:color w:val="E36C0A" w:themeColor="accent6" w:themeShade="BF"/>
          <w:rtl/>
        </w:rPr>
        <w:t>(וכ"פ בשו"ע)</w:t>
      </w:r>
    </w:p>
    <w:p w14:paraId="7A315A45" w14:textId="77777777" w:rsidR="0004348D" w:rsidRPr="0004348D" w:rsidRDefault="0004348D" w:rsidP="0004348D">
      <w:pPr>
        <w:spacing w:before="360" w:after="240"/>
        <w:ind w:left="360"/>
        <w:rPr>
          <w:rFonts w:ascii="Calibri" w:eastAsia="Calibri" w:hAnsi="Calibri" w:cs="Arial"/>
          <w:u w:val="dotted"/>
        </w:rPr>
      </w:pPr>
      <w:r w:rsidRPr="0004348D">
        <w:rPr>
          <w:rFonts w:ascii="Calibri" w:eastAsia="Calibri" w:hAnsi="Calibri" w:cs="Arial"/>
          <w:u w:val="dotted"/>
          <w:rtl/>
        </w:rPr>
        <w:t xml:space="preserve">ומה הדין אם </w:t>
      </w:r>
      <w:r w:rsidRPr="0004348D">
        <w:rPr>
          <w:rFonts w:ascii="Calibri" w:eastAsia="Calibri" w:hAnsi="Calibri" w:cs="Arial"/>
          <w:b/>
          <w:bCs/>
          <w:u w:val="dotted"/>
          <w:rtl/>
        </w:rPr>
        <w:t>הפקידו</w:t>
      </w:r>
      <w:r w:rsidRPr="0004348D">
        <w:rPr>
          <w:rFonts w:ascii="Calibri" w:eastAsia="Calibri" w:hAnsi="Calibri" w:cs="Arial"/>
          <w:u w:val="dotted"/>
          <w:rtl/>
        </w:rPr>
        <w:t xml:space="preserve"> אצל שמעון </w:t>
      </w:r>
      <w:r w:rsidRPr="0004348D">
        <w:rPr>
          <w:rFonts w:ascii="Calibri" w:eastAsia="Calibri" w:hAnsi="Calibri" w:cs="Arial"/>
          <w:sz w:val="16"/>
          <w:szCs w:val="16"/>
          <w:u w:val="dotted"/>
          <w:rtl/>
        </w:rPr>
        <w:t>(ולא משכנו)</w:t>
      </w:r>
      <w:r w:rsidRPr="0004348D">
        <w:rPr>
          <w:rFonts w:ascii="Calibri" w:eastAsia="Calibri" w:hAnsi="Calibri" w:cs="Arial"/>
          <w:u w:val="dotted"/>
          <w:rtl/>
        </w:rPr>
        <w:t>, ומת הגוי – האם זכה שמעון במותר החוב:</w:t>
      </w:r>
    </w:p>
    <w:p w14:paraId="526109B8" w14:textId="77777777" w:rsidR="0004348D" w:rsidRPr="0004348D" w:rsidRDefault="0004348D" w:rsidP="0004348D">
      <w:pPr>
        <w:numPr>
          <w:ilvl w:val="0"/>
          <w:numId w:val="356"/>
        </w:numPr>
        <w:spacing w:before="360" w:after="240"/>
        <w:contextualSpacing/>
        <w:rPr>
          <w:rFonts w:ascii="Calibri" w:eastAsia="Calibri" w:hAnsi="Calibri" w:cs="Arial"/>
        </w:rPr>
      </w:pPr>
      <w:r w:rsidRPr="0004348D">
        <w:rPr>
          <w:rFonts w:ascii="Calibri" w:eastAsia="Calibri" w:hAnsi="Calibri" w:cs="Arial"/>
          <w:rtl/>
        </w:rPr>
        <w:t xml:space="preserve">מרדכי </w:t>
      </w:r>
      <w:r w:rsidRPr="0004348D">
        <w:rPr>
          <w:rFonts w:ascii="Calibri" w:eastAsia="Calibri" w:hAnsi="Calibri" w:cs="Arial"/>
          <w:sz w:val="16"/>
          <w:szCs w:val="16"/>
          <w:rtl/>
        </w:rPr>
        <w:t>(שם)</w:t>
      </w:r>
      <w:r w:rsidRPr="0004348D">
        <w:rPr>
          <w:rFonts w:ascii="Calibri" w:eastAsia="Calibri" w:hAnsi="Calibri" w:cs="Arial"/>
          <w:rtl/>
        </w:rPr>
        <w:t xml:space="preserve">- מיהו בהא מספקא לי אם משכונו של גוי ביד ראובן והפקידו ראובן ביד שמעון ומת הגוי, אם זכה שמעון במה שהמשכון שוה יותר מהחוב או נימא כיון שמכח ראובן תופס אותו לא קנה. </w:t>
      </w:r>
      <w:r w:rsidRPr="0004348D">
        <w:rPr>
          <w:rFonts w:ascii="Calibri" w:eastAsia="Calibri" w:hAnsi="Calibri" w:cs="Arial"/>
          <w:color w:val="E36C0A" w:themeColor="accent6" w:themeShade="BF"/>
          <w:rtl/>
        </w:rPr>
        <w:t>(וכ"כ בשו"ע</w:t>
      </w:r>
      <w:r w:rsidRPr="0004348D">
        <w:rPr>
          <w:rFonts w:ascii="Calibri" w:eastAsia="Calibri" w:hAnsi="Calibri" w:cs="Arial"/>
          <w:color w:val="000000" w:themeColor="text1"/>
          <w:sz w:val="16"/>
          <w:szCs w:val="16"/>
          <w:rtl/>
        </w:rPr>
        <w:t xml:space="preserve"> [בסע' הבא]</w:t>
      </w:r>
      <w:r w:rsidRPr="0004348D">
        <w:rPr>
          <w:rFonts w:ascii="Calibri" w:eastAsia="Calibri" w:hAnsi="Calibri" w:cs="Arial"/>
          <w:color w:val="E36C0A" w:themeColor="accent6" w:themeShade="BF"/>
          <w:rtl/>
        </w:rPr>
        <w:t>)</w:t>
      </w:r>
    </w:p>
    <w:bookmarkEnd w:id="881"/>
    <w:p w14:paraId="6FBEAD09" w14:textId="77777777" w:rsidR="0004348D" w:rsidRPr="0004348D" w:rsidRDefault="0004348D" w:rsidP="0004348D">
      <w:pPr>
        <w:spacing w:before="360" w:after="240"/>
        <w:rPr>
          <w:rFonts w:ascii="Calibri" w:eastAsia="Calibri" w:hAnsi="Calibri" w:cs="Arial"/>
          <w:u w:val="single"/>
        </w:rPr>
      </w:pPr>
      <w:r w:rsidRPr="0004348D">
        <w:rPr>
          <w:rFonts w:ascii="Calibri" w:eastAsia="Calibri" w:hAnsi="Calibri" w:cs="Arial"/>
          <w:u w:val="single"/>
          <w:rtl/>
        </w:rPr>
        <w:t>גוי שמשכן מטלטלין לראובן ואח"כ נתנם הגוי במתנה לשמעון:</w:t>
      </w:r>
    </w:p>
    <w:p w14:paraId="01012045" w14:textId="77777777" w:rsidR="0004348D" w:rsidRPr="0004348D" w:rsidRDefault="0004348D" w:rsidP="0004348D">
      <w:pPr>
        <w:numPr>
          <w:ilvl w:val="0"/>
          <w:numId w:val="356"/>
        </w:numPr>
        <w:spacing w:before="360" w:after="240"/>
        <w:contextualSpacing/>
        <w:rPr>
          <w:rFonts w:ascii="Calibri" w:eastAsia="Calibri" w:hAnsi="Calibri" w:cs="Arial"/>
        </w:rPr>
      </w:pPr>
      <w:r w:rsidRPr="0004348D">
        <w:rPr>
          <w:rFonts w:ascii="Calibri" w:eastAsia="Calibri" w:hAnsi="Calibri" w:cs="Arial"/>
          <w:rtl/>
        </w:rPr>
        <w:t xml:space="preserve">רשב"א </w:t>
      </w:r>
      <w:r w:rsidRPr="0004348D">
        <w:rPr>
          <w:rFonts w:ascii="Calibri" w:eastAsia="Calibri" w:hAnsi="Calibri" w:cs="Arial"/>
          <w:sz w:val="16"/>
          <w:szCs w:val="16"/>
          <w:rtl/>
        </w:rPr>
        <w:t>(ח"א סי' אלף לב)</w:t>
      </w:r>
      <w:r w:rsidRPr="0004348D">
        <w:rPr>
          <w:rFonts w:ascii="Calibri" w:eastAsia="Calibri" w:hAnsi="Calibri" w:cs="Arial"/>
          <w:rtl/>
        </w:rPr>
        <w:t xml:space="preserve">- גוי שמשכן מטלטלין לראובן, ואח"כ נתנם הגוי במתנה לשמעון - הראשון זכה בהם, דגוי מכי מטו זוזי לידיה אסתלק </w:t>
      </w:r>
      <w:r w:rsidRPr="0004348D">
        <w:rPr>
          <w:rFonts w:ascii="Calibri" w:eastAsia="Calibri" w:hAnsi="Calibri" w:cs="Arial"/>
          <w:sz w:val="16"/>
          <w:szCs w:val="16"/>
          <w:rtl/>
        </w:rPr>
        <w:t>(ב"ב נד:)</w:t>
      </w:r>
      <w:r w:rsidRPr="0004348D">
        <w:rPr>
          <w:rFonts w:ascii="Calibri" w:eastAsia="Calibri" w:hAnsi="Calibri" w:cs="Arial"/>
          <w:rtl/>
        </w:rPr>
        <w:t xml:space="preserve">, והמקבל מתנה לא קנה עד דמשיך להו. </w:t>
      </w:r>
      <w:r w:rsidRPr="0004348D">
        <w:rPr>
          <w:rFonts w:ascii="Calibri" w:eastAsia="Calibri" w:hAnsi="Calibri" w:cs="Arial"/>
          <w:color w:val="00B0F0"/>
          <w:rtl/>
        </w:rPr>
        <w:t>(וכ"פ הרמ"א)</w:t>
      </w:r>
    </w:p>
    <w:p w14:paraId="233F9D0F" w14:textId="77777777" w:rsidR="0004348D" w:rsidRPr="0004348D" w:rsidRDefault="0004348D" w:rsidP="0004348D">
      <w:pPr>
        <w:spacing w:before="360" w:after="240"/>
        <w:rPr>
          <w:rFonts w:ascii="Arial" w:eastAsia="Calibri" w:hAnsi="Arial" w:cs="Arial"/>
          <w:b/>
          <w:bCs/>
          <w:color w:val="000000"/>
          <w:sz w:val="28"/>
          <w:szCs w:val="28"/>
          <w:u w:val="single"/>
        </w:rPr>
      </w:pPr>
      <w:r w:rsidRPr="0004348D">
        <w:rPr>
          <w:rFonts w:ascii="Arial" w:eastAsia="Calibri" w:hAnsi="Arial" w:cs="Arial"/>
          <w:b/>
          <w:bCs/>
          <w:color w:val="000000"/>
          <w:sz w:val="28"/>
          <w:szCs w:val="28"/>
          <w:u w:val="single"/>
          <w:rtl/>
        </w:rPr>
        <w:t>שו"ע:</w:t>
      </w:r>
    </w:p>
    <w:p w14:paraId="5A78FF72" w14:textId="77777777" w:rsidR="0004348D" w:rsidRPr="0004348D" w:rsidRDefault="0004348D" w:rsidP="0004348D">
      <w:pPr>
        <w:spacing w:before="360" w:after="240"/>
        <w:rPr>
          <w:rFonts w:ascii="Calibri" w:eastAsia="Calibri" w:hAnsi="Calibri" w:cs="Arial"/>
          <w:rtl/>
        </w:rPr>
      </w:pPr>
      <w:r w:rsidRPr="0004348D">
        <w:rPr>
          <w:rFonts w:ascii="Calibri" w:eastAsia="Calibri" w:hAnsi="Calibri" w:cs="Arial"/>
          <w:rtl/>
        </w:rPr>
        <w:t>משכונו של גוי ביד ראובן, ואמר ליה ראובן 'תן לי מעותי', אמר לו הגוי</w:t>
      </w:r>
      <w:r w:rsidRPr="0004348D">
        <w:rPr>
          <w:rFonts w:ascii="Calibri" w:eastAsia="Calibri" w:hAnsi="Calibri" w:cs="Arial"/>
          <w:vertAlign w:val="superscript"/>
          <w:rtl/>
        </w:rPr>
        <w:footnoteReference w:id="6011"/>
      </w:r>
      <w:r w:rsidRPr="0004348D">
        <w:rPr>
          <w:rFonts w:ascii="Calibri" w:eastAsia="Calibri" w:hAnsi="Calibri" w:cs="Arial"/>
          <w:rtl/>
        </w:rPr>
        <w:t xml:space="preserve"> 'תמשכן אותו לישראל אחר', והלך ראובן ומשכנו לשמעון, ונתן לו המעות שהגוי חייב לו, ומת הגוי, והמשכון שוה כפלים מהחוב, זכה שמעון בכל המשכון</w:t>
      </w:r>
      <w:r w:rsidRPr="0004348D">
        <w:rPr>
          <w:rFonts w:ascii="Calibri" w:eastAsia="Calibri" w:hAnsi="Calibri" w:cs="Arial"/>
          <w:vertAlign w:val="superscript"/>
          <w:rtl/>
        </w:rPr>
        <w:footnoteReference w:id="6012"/>
      </w:r>
      <w:r w:rsidRPr="0004348D">
        <w:rPr>
          <w:rFonts w:ascii="Calibri" w:eastAsia="Calibri" w:hAnsi="Calibri" w:cs="Arial"/>
          <w:rtl/>
        </w:rPr>
        <w:t xml:space="preserve">. </w:t>
      </w:r>
      <w:r w:rsidRPr="0004348D">
        <w:rPr>
          <w:rFonts w:ascii="Calibri" w:eastAsia="Calibri" w:hAnsi="Calibri" w:cs="Arial"/>
          <w:sz w:val="18"/>
          <w:szCs w:val="18"/>
          <w:rtl/>
        </w:rPr>
        <w:t>הגה: משכון של גוי ביד ישראל, ואמר הגוי ליתן המשכון לישראל אחר</w:t>
      </w:r>
      <w:r w:rsidRPr="0004348D">
        <w:rPr>
          <w:rFonts w:ascii="Calibri" w:eastAsia="Calibri" w:hAnsi="Calibri" w:cs="Arial"/>
          <w:sz w:val="18"/>
          <w:szCs w:val="18"/>
          <w:vertAlign w:val="superscript"/>
          <w:rtl/>
        </w:rPr>
        <w:footnoteReference w:id="6013"/>
      </w:r>
      <w:r w:rsidRPr="0004348D">
        <w:rPr>
          <w:rFonts w:ascii="Calibri" w:eastAsia="Calibri" w:hAnsi="Calibri" w:cs="Arial"/>
          <w:sz w:val="18"/>
          <w:szCs w:val="18"/>
          <w:rtl/>
        </w:rPr>
        <w:t>, ומת, זכה זה הראשון במשכון שבידו ואין צריך ליתן לאחר כלום, דהא לא משך (ב"י בשם הרשב"א). ואם היה הגוי חייב לישראל אחר, עי' לקמן ריש סימן פ"ו</w:t>
      </w:r>
      <w:r w:rsidRPr="0004348D">
        <w:rPr>
          <w:rFonts w:ascii="Calibri" w:eastAsia="Calibri" w:hAnsi="Calibri" w:cs="Arial"/>
          <w:sz w:val="18"/>
          <w:szCs w:val="18"/>
          <w:vertAlign w:val="superscript"/>
          <w:rtl/>
        </w:rPr>
        <w:footnoteReference w:id="6014"/>
      </w:r>
      <w:r w:rsidRPr="0004348D">
        <w:rPr>
          <w:rFonts w:ascii="Calibri" w:eastAsia="Calibri" w:hAnsi="Calibri" w:cs="Arial"/>
          <w:sz w:val="18"/>
          <w:szCs w:val="18"/>
          <w:rtl/>
        </w:rPr>
        <w:t>.</w:t>
      </w:r>
    </w:p>
    <w:p w14:paraId="6EECAA31" w14:textId="77777777" w:rsidR="0004348D" w:rsidRPr="0004348D" w:rsidRDefault="0004348D" w:rsidP="0004348D">
      <w:pPr>
        <w:spacing w:before="360" w:after="240"/>
        <w:rPr>
          <w:rFonts w:ascii="Calibri" w:eastAsia="Calibri" w:hAnsi="Calibri" w:cs="Arial"/>
          <w:rtl/>
        </w:rPr>
      </w:pPr>
      <w:r w:rsidRPr="0004348D">
        <w:rPr>
          <w:rFonts w:ascii="Calibri" w:eastAsia="Calibri" w:hAnsi="Calibri" w:cs="Arial"/>
          <w:rtl/>
        </w:rPr>
        <w:t xml:space="preserve"> </w:t>
      </w:r>
    </w:p>
    <w:p w14:paraId="084A0002" w14:textId="77777777" w:rsidR="0004348D" w:rsidRPr="0004348D" w:rsidRDefault="0004348D" w:rsidP="0004348D">
      <w:pPr>
        <w:keepNext/>
        <w:keepLines/>
        <w:spacing w:before="360" w:after="240"/>
        <w:outlineLvl w:val="1"/>
        <w:rPr>
          <w:rFonts w:ascii="Cambria" w:eastAsia="Times New Roman" w:hAnsi="Cambria" w:cs="Arial"/>
          <w:bCs/>
          <w:color w:val="548DD4" w:themeColor="text2" w:themeTint="99"/>
          <w:sz w:val="26"/>
          <w:szCs w:val="26"/>
          <w:rtl/>
        </w:rPr>
      </w:pPr>
      <w:bookmarkStart w:id="882" w:name="_Toc24884258"/>
      <w:r w:rsidRPr="0004348D">
        <w:rPr>
          <w:rFonts w:ascii="Cambria" w:eastAsia="Times New Roman" w:hAnsi="Cambria" w:cs="Arial"/>
          <w:bCs/>
          <w:color w:val="548DD4" w:themeColor="text2" w:themeTint="99"/>
          <w:sz w:val="26"/>
          <w:szCs w:val="26"/>
          <w:rtl/>
        </w:rPr>
        <w:t>סעיף מא: משכונו של גוי ביד ישראל, והפקידו אצל אחר - ומת הגוי.</w:t>
      </w:r>
      <w:bookmarkEnd w:id="882"/>
    </w:p>
    <w:p w14:paraId="19EEF6EA" w14:textId="77777777" w:rsidR="0004348D" w:rsidRPr="0004348D" w:rsidRDefault="0004348D" w:rsidP="0004348D">
      <w:pPr>
        <w:spacing w:before="360" w:after="240"/>
        <w:rPr>
          <w:rFonts w:ascii="Calibri" w:eastAsia="Calibri" w:hAnsi="Calibri" w:cs="Arial"/>
          <w:rtl/>
        </w:rPr>
      </w:pPr>
      <w:r w:rsidRPr="0004348D">
        <w:rPr>
          <w:rFonts w:ascii="Calibri" w:eastAsia="Calibri" w:hAnsi="Calibri" w:cs="Arial"/>
          <w:rtl/>
        </w:rPr>
        <w:t>עיין במקורות בסעיף הקודם.</w:t>
      </w:r>
    </w:p>
    <w:p w14:paraId="7F832C98" w14:textId="77777777" w:rsidR="0004348D" w:rsidRPr="0004348D" w:rsidRDefault="0004348D" w:rsidP="0004348D">
      <w:pPr>
        <w:spacing w:before="360" w:after="240"/>
        <w:rPr>
          <w:rFonts w:ascii="Arial" w:eastAsia="Calibri" w:hAnsi="Arial" w:cs="Arial"/>
          <w:b/>
          <w:bCs/>
          <w:color w:val="000000"/>
          <w:sz w:val="28"/>
          <w:szCs w:val="28"/>
          <w:u w:val="single"/>
          <w:rtl/>
        </w:rPr>
      </w:pPr>
      <w:r w:rsidRPr="0004348D">
        <w:rPr>
          <w:rFonts w:ascii="Arial" w:eastAsia="Calibri" w:hAnsi="Arial" w:cs="Arial"/>
          <w:b/>
          <w:bCs/>
          <w:color w:val="000000"/>
          <w:sz w:val="28"/>
          <w:szCs w:val="28"/>
          <w:u w:val="single"/>
          <w:rtl/>
        </w:rPr>
        <w:t>שו"ע:</w:t>
      </w:r>
    </w:p>
    <w:p w14:paraId="6652CF42" w14:textId="77777777" w:rsidR="0004348D" w:rsidRPr="0004348D" w:rsidRDefault="0004348D" w:rsidP="0004348D">
      <w:pPr>
        <w:spacing w:before="360" w:after="240"/>
        <w:rPr>
          <w:rFonts w:ascii="Calibri" w:eastAsia="Calibri" w:hAnsi="Calibri" w:cs="Arial"/>
          <w:rtl/>
        </w:rPr>
      </w:pPr>
      <w:r w:rsidRPr="0004348D">
        <w:rPr>
          <w:rFonts w:ascii="Calibri" w:eastAsia="Calibri" w:hAnsi="Calibri" w:cs="Arial"/>
          <w:rtl/>
        </w:rPr>
        <w:t>משכונו של גוי ביד ראובן, והפקידו ראובן ביד שמעון, ומת הגוי, יש להסתפק</w:t>
      </w:r>
      <w:r w:rsidRPr="0004348D">
        <w:rPr>
          <w:rFonts w:ascii="Calibri" w:eastAsia="Calibri" w:hAnsi="Calibri" w:cs="Arial"/>
          <w:vertAlign w:val="superscript"/>
          <w:rtl/>
        </w:rPr>
        <w:footnoteReference w:id="6015"/>
      </w:r>
      <w:r w:rsidRPr="0004348D">
        <w:rPr>
          <w:rFonts w:ascii="Calibri" w:eastAsia="Calibri" w:hAnsi="Calibri" w:cs="Arial"/>
          <w:rtl/>
        </w:rPr>
        <w:t xml:space="preserve"> אם זכה שמעון במה שהמשכון יותר מהחוב. </w:t>
      </w:r>
    </w:p>
    <w:p w14:paraId="11E6038D" w14:textId="77777777" w:rsidR="0004348D" w:rsidRPr="0004348D" w:rsidRDefault="0004348D" w:rsidP="0004348D">
      <w:pPr>
        <w:spacing w:before="360" w:after="240"/>
        <w:rPr>
          <w:rFonts w:ascii="Calibri" w:eastAsia="Calibri" w:hAnsi="Calibri" w:cs="Arial"/>
          <w:rtl/>
        </w:rPr>
      </w:pPr>
    </w:p>
    <w:p w14:paraId="4022F344" w14:textId="77777777" w:rsidR="0004348D" w:rsidRPr="0004348D" w:rsidRDefault="0004348D" w:rsidP="0004348D">
      <w:pPr>
        <w:keepNext/>
        <w:keepLines/>
        <w:spacing w:before="360" w:after="240"/>
        <w:outlineLvl w:val="1"/>
        <w:rPr>
          <w:rFonts w:ascii="Cambria" w:eastAsia="Times New Roman" w:hAnsi="Cambria" w:cs="Arial"/>
          <w:bCs/>
          <w:color w:val="548DD4" w:themeColor="text2" w:themeTint="99"/>
          <w:sz w:val="26"/>
          <w:szCs w:val="26"/>
          <w:rtl/>
        </w:rPr>
      </w:pPr>
      <w:bookmarkStart w:id="883" w:name="_Toc24884259"/>
      <w:r w:rsidRPr="0004348D">
        <w:rPr>
          <w:rFonts w:ascii="Cambria" w:eastAsia="Times New Roman" w:hAnsi="Cambria" w:cs="Arial"/>
          <w:bCs/>
          <w:color w:val="548DD4" w:themeColor="text2" w:themeTint="99"/>
          <w:sz w:val="26"/>
          <w:szCs w:val="26"/>
          <w:rtl/>
        </w:rPr>
        <w:t>סעיף מב: המחזיק בקרקע חבירו ואוכל פירותיו וטוען כי במשכונא ירד בו, ואבד לו השטר.</w:t>
      </w:r>
      <w:bookmarkEnd w:id="883"/>
    </w:p>
    <w:p w14:paraId="17DB56A4" w14:textId="77777777" w:rsidR="0004348D" w:rsidRPr="0004348D" w:rsidRDefault="0004348D" w:rsidP="0004348D">
      <w:pPr>
        <w:spacing w:before="360" w:after="240"/>
        <w:rPr>
          <w:rFonts w:ascii="Calibri" w:eastAsia="Calibri" w:hAnsi="Calibri" w:cs="Arial"/>
          <w:rtl/>
        </w:rPr>
      </w:pPr>
      <w:r w:rsidRPr="0004348D">
        <w:rPr>
          <w:rFonts w:ascii="Calibri" w:eastAsia="Calibri" w:hAnsi="Calibri" w:cs="Arial"/>
          <w:u w:val="single"/>
          <w:rtl/>
        </w:rPr>
        <w:t>המחזיק בקרקע חבירו ואוכל פירותיו וטוען כי במשכונא ירד בו, ואבד לו השטר – וחלוקים בסכום ההלואה:</w:t>
      </w:r>
    </w:p>
    <w:p w14:paraId="54978A5F" w14:textId="77777777" w:rsidR="0004348D" w:rsidRPr="0004348D" w:rsidRDefault="0004348D" w:rsidP="0004348D">
      <w:pPr>
        <w:numPr>
          <w:ilvl w:val="0"/>
          <w:numId w:val="356"/>
        </w:numPr>
        <w:spacing w:before="360" w:after="240"/>
        <w:contextualSpacing/>
        <w:rPr>
          <w:rFonts w:ascii="Calibri" w:eastAsia="Calibri" w:hAnsi="Calibri" w:cs="Arial"/>
          <w:rtl/>
        </w:rPr>
      </w:pPr>
      <w:r w:rsidRPr="0004348D">
        <w:rPr>
          <w:rFonts w:ascii="Calibri" w:eastAsia="Calibri" w:hAnsi="Calibri" w:cs="Arial"/>
          <w:rtl/>
        </w:rPr>
        <w:t xml:space="preserve">בעל התרומות </w:t>
      </w:r>
      <w:r w:rsidRPr="0004348D">
        <w:rPr>
          <w:rFonts w:ascii="Calibri" w:eastAsia="Calibri" w:hAnsi="Calibri" w:cs="Arial"/>
          <w:sz w:val="16"/>
          <w:szCs w:val="16"/>
          <w:rtl/>
        </w:rPr>
        <w:t>(שער מט ח"ו סי' ג)</w:t>
      </w:r>
      <w:r w:rsidRPr="0004348D">
        <w:rPr>
          <w:rFonts w:ascii="Calibri" w:eastAsia="Calibri" w:hAnsi="Calibri" w:cs="Arial"/>
          <w:rtl/>
        </w:rPr>
        <w:t xml:space="preserve">- המחזיק בקרקע חבירו ואוכל פירותיו וטוען כי במשכונא ירד בו והיה לו שטר ממאה דינרים שהלוה עליו ונאבד ממנו, והלה טוען שלא היה כי אם מחמשים דינרים. נראה שאם לא החזיק בו המלוה שני חזקה - הלוה נאמן, דקרקע בחזקת בעליה עומדת, ומשתבע לוה כדין שאר מודה מקצת ונוטל קרקעו. אבל אם החזיק בה שלש שנים, אכמ"ד דמהימן בלא שבועה, ולדידן מסתבר דמהימן בשבועת היסת ושקיל מאה דקא תבע מפירי ארעא, דהוה ליה כההיא דרב יהודה בפרק המקבל </w:t>
      </w:r>
      <w:r w:rsidRPr="0004348D">
        <w:rPr>
          <w:rFonts w:ascii="Calibri" w:eastAsia="Calibri" w:hAnsi="Calibri" w:cs="Arial"/>
          <w:sz w:val="16"/>
          <w:szCs w:val="16"/>
          <w:rtl/>
        </w:rPr>
        <w:t xml:space="preserve">(ב"מ קי.) </w:t>
      </w:r>
      <w:r w:rsidRPr="0004348D">
        <w:rPr>
          <w:rFonts w:ascii="Calibri" w:eastAsia="Calibri" w:hAnsi="Calibri" w:cs="Arial"/>
          <w:rtl/>
        </w:rPr>
        <w:t xml:space="preserve">דאמר מלוה נאמן במגו דאי בעי אמר לקוח הוא בידי, ובהעי"ט </w:t>
      </w:r>
      <w:r w:rsidRPr="0004348D">
        <w:rPr>
          <w:rFonts w:ascii="Calibri" w:eastAsia="Calibri" w:hAnsi="Calibri" w:cs="Arial"/>
          <w:sz w:val="16"/>
          <w:szCs w:val="16"/>
          <w:rtl/>
        </w:rPr>
        <w:t xml:space="preserve">(אות פ הל' אפותיקי סו ע"ב) </w:t>
      </w:r>
      <w:r w:rsidRPr="0004348D">
        <w:rPr>
          <w:rFonts w:ascii="Calibri" w:eastAsia="Calibri" w:hAnsi="Calibri" w:cs="Arial"/>
          <w:rtl/>
        </w:rPr>
        <w:t>פסק על דרך אחרת ואנו אין לנו אלא מה שכתבנו.</w:t>
      </w:r>
      <w:r w:rsidRPr="0004348D">
        <w:rPr>
          <w:rFonts w:ascii="Calibri" w:eastAsia="Calibri" w:hAnsi="Calibri" w:cs="Arial"/>
          <w:color w:val="E36C0A" w:themeColor="accent6" w:themeShade="BF"/>
          <w:rtl/>
        </w:rPr>
        <w:t xml:space="preserve"> (וכ"פ בשו"ע)</w:t>
      </w:r>
    </w:p>
    <w:p w14:paraId="54A45293" w14:textId="77777777" w:rsidR="0004348D" w:rsidRPr="0004348D" w:rsidRDefault="0004348D" w:rsidP="0004348D">
      <w:pPr>
        <w:spacing w:before="360" w:after="240"/>
        <w:rPr>
          <w:rFonts w:ascii="Calibri" w:eastAsia="Calibri" w:hAnsi="Calibri" w:cs="Arial"/>
          <w:u w:val="single"/>
        </w:rPr>
      </w:pPr>
      <w:r w:rsidRPr="0004348D">
        <w:rPr>
          <w:rFonts w:ascii="Calibri" w:eastAsia="Calibri" w:hAnsi="Calibri" w:cs="Arial"/>
          <w:u w:val="single"/>
          <w:rtl/>
        </w:rPr>
        <w:t>באו אנשים בבית ראובן ליקח משכון של שמעון - ולקחו משכונו של ראובן בשביל של שמעון:</w:t>
      </w:r>
    </w:p>
    <w:p w14:paraId="3F00B91A" w14:textId="77777777" w:rsidR="0004348D" w:rsidRPr="0004348D" w:rsidRDefault="0004348D" w:rsidP="0004348D">
      <w:pPr>
        <w:numPr>
          <w:ilvl w:val="0"/>
          <w:numId w:val="356"/>
        </w:numPr>
        <w:spacing w:before="360" w:after="240"/>
        <w:contextualSpacing/>
        <w:rPr>
          <w:rFonts w:ascii="Calibri" w:eastAsia="Calibri" w:hAnsi="Calibri" w:cs="Arial"/>
        </w:rPr>
      </w:pPr>
      <w:r w:rsidRPr="0004348D">
        <w:rPr>
          <w:rFonts w:ascii="Calibri" w:eastAsia="Calibri" w:hAnsi="Calibri" w:cs="Arial"/>
          <w:rtl/>
        </w:rPr>
        <w:t xml:space="preserve">הגמ"ר </w:t>
      </w:r>
      <w:r w:rsidRPr="0004348D">
        <w:rPr>
          <w:rFonts w:ascii="Calibri" w:eastAsia="Calibri" w:hAnsi="Calibri" w:cs="Arial"/>
          <w:sz w:val="16"/>
          <w:szCs w:val="16"/>
          <w:rtl/>
        </w:rPr>
        <w:t>(ב"ב סי' תרס)</w:t>
      </w:r>
      <w:r w:rsidRPr="0004348D">
        <w:rPr>
          <w:rFonts w:ascii="Calibri" w:eastAsia="Calibri" w:hAnsi="Calibri" w:cs="Arial"/>
          <w:rtl/>
        </w:rPr>
        <w:t>- באו אנשים בבית ראובן ליקח משכון של שמעון ולקחו משכונו של ראובן בשביל של שמעון - דין הוא שיעכב ראובן משכון שמעון בשביל משכונו</w:t>
      </w:r>
      <w:r w:rsidRPr="0004348D">
        <w:rPr>
          <w:rFonts w:ascii="Calibri" w:eastAsia="Calibri" w:hAnsi="Calibri" w:cs="Arial"/>
          <w:vertAlign w:val="superscript"/>
          <w:rtl/>
        </w:rPr>
        <w:footnoteReference w:id="6016"/>
      </w:r>
      <w:r w:rsidRPr="0004348D">
        <w:rPr>
          <w:rFonts w:ascii="Calibri" w:eastAsia="Calibri" w:hAnsi="Calibri" w:cs="Arial"/>
          <w:rtl/>
        </w:rPr>
        <w:t xml:space="preserve">. </w:t>
      </w:r>
    </w:p>
    <w:p w14:paraId="19CA0346" w14:textId="77777777" w:rsidR="0004348D" w:rsidRPr="0004348D" w:rsidRDefault="0004348D" w:rsidP="0004348D">
      <w:pPr>
        <w:spacing w:before="360" w:after="240"/>
        <w:rPr>
          <w:rFonts w:ascii="Calibri" w:eastAsia="Calibri" w:hAnsi="Calibri" w:cs="Arial"/>
          <w:u w:val="single"/>
        </w:rPr>
      </w:pPr>
      <w:r w:rsidRPr="0004348D">
        <w:rPr>
          <w:rFonts w:ascii="Calibri" w:eastAsia="Calibri" w:hAnsi="Calibri" w:cs="Arial"/>
          <w:u w:val="single"/>
          <w:rtl/>
        </w:rPr>
        <w:t>מלמד שהלוה בבית בעה"ב על משכונות והפסיד מהם ולא פישר עם הגוי והלך לו והניח קצת מעותיו ביד בעה"ב:</w:t>
      </w:r>
    </w:p>
    <w:p w14:paraId="75EC4C53" w14:textId="77777777" w:rsidR="0004348D" w:rsidRPr="0004348D" w:rsidRDefault="0004348D" w:rsidP="0004348D">
      <w:pPr>
        <w:numPr>
          <w:ilvl w:val="0"/>
          <w:numId w:val="356"/>
        </w:numPr>
        <w:spacing w:before="360" w:after="240"/>
        <w:contextualSpacing/>
        <w:rPr>
          <w:rFonts w:ascii="Calibri" w:eastAsia="Calibri" w:hAnsi="Calibri" w:cs="Arial"/>
        </w:rPr>
      </w:pPr>
      <w:r w:rsidRPr="0004348D">
        <w:rPr>
          <w:rFonts w:ascii="Calibri" w:eastAsia="Calibri" w:hAnsi="Calibri" w:cs="Arial"/>
          <w:rtl/>
        </w:rPr>
        <w:t xml:space="preserve">הגמ"ר </w:t>
      </w:r>
      <w:r w:rsidRPr="0004348D">
        <w:rPr>
          <w:rFonts w:ascii="Calibri" w:eastAsia="Calibri" w:hAnsi="Calibri" w:cs="Arial"/>
          <w:sz w:val="16"/>
          <w:szCs w:val="16"/>
          <w:rtl/>
        </w:rPr>
        <w:t>(סוף בתרא סי' תרעד)</w:t>
      </w:r>
      <w:r w:rsidRPr="0004348D">
        <w:rPr>
          <w:rFonts w:ascii="Calibri" w:eastAsia="Calibri" w:hAnsi="Calibri" w:cs="Arial"/>
          <w:rtl/>
        </w:rPr>
        <w:t>- מלמד שהלוה בבית בעה"ב על המשכונות, והפסיד מהם ולא פישר עם הגוי והלך לו והניח קצת מעותיו ביד בעה"ב, וטוען בעה"ב 'אני צריך לפייס הגוי ממעותיך שבידי'. נראה לי דאין בעה"ב יכול לעכב עליו, ואם יש לו עליו ילך ויתבענו, ומפקינן מעותיו מבעה"ב כדאמרי' בפרק גט פשוט ההוא דיינא דאחתיה למלוה בנכסי דלוה מקמי דאיתבע לדינא סלקיה רב ענן כו' קסבר נכסי דאיניש אינון ערבין כו' ותנן לא יפרע מן הערב תחלה. ושלום מאיר בר ברוך.</w:t>
      </w:r>
    </w:p>
    <w:p w14:paraId="0538F954" w14:textId="77777777" w:rsidR="0004348D" w:rsidRPr="0004348D" w:rsidRDefault="0004348D" w:rsidP="0004348D">
      <w:pPr>
        <w:spacing w:before="360" w:after="240"/>
        <w:rPr>
          <w:rFonts w:ascii="Calibri" w:eastAsia="Calibri" w:hAnsi="Calibri" w:cs="Arial"/>
          <w:u w:val="single"/>
        </w:rPr>
      </w:pPr>
      <w:r w:rsidRPr="0004348D">
        <w:rPr>
          <w:rFonts w:ascii="Calibri" w:eastAsia="Calibri" w:hAnsi="Calibri" w:cs="Arial"/>
          <w:u w:val="single"/>
          <w:rtl/>
        </w:rPr>
        <w:t>משכונו של גוי ביד ישראל - ובא ישראל אחר ורוצה ליטול המותר מחמת שחייב לו הגוי:</w:t>
      </w:r>
    </w:p>
    <w:p w14:paraId="75C1B1A7" w14:textId="77777777" w:rsidR="0004348D" w:rsidRPr="0004348D" w:rsidRDefault="0004348D" w:rsidP="0004348D">
      <w:pPr>
        <w:numPr>
          <w:ilvl w:val="0"/>
          <w:numId w:val="356"/>
        </w:numPr>
        <w:spacing w:before="360" w:after="240"/>
        <w:contextualSpacing/>
        <w:rPr>
          <w:rFonts w:ascii="Calibri" w:eastAsia="Calibri" w:hAnsi="Calibri" w:cs="Arial"/>
        </w:rPr>
      </w:pPr>
      <w:r w:rsidRPr="0004348D">
        <w:rPr>
          <w:rFonts w:ascii="Calibri" w:eastAsia="Calibri" w:hAnsi="Calibri" w:cs="Arial"/>
          <w:rtl/>
        </w:rPr>
        <w:t>מהרי"ל</w:t>
      </w:r>
      <w:r w:rsidRPr="0004348D">
        <w:rPr>
          <w:rFonts w:ascii="Calibri" w:eastAsia="Calibri" w:hAnsi="Calibri" w:cs="Arial"/>
          <w:sz w:val="16"/>
          <w:szCs w:val="16"/>
          <w:rtl/>
        </w:rPr>
        <w:t xml:space="preserve"> (סי' קפח)</w:t>
      </w:r>
      <w:r w:rsidRPr="0004348D">
        <w:rPr>
          <w:rFonts w:ascii="Calibri" w:eastAsia="Calibri" w:hAnsi="Calibri" w:cs="Arial"/>
          <w:rtl/>
        </w:rPr>
        <w:t>- משכונו של גוי ביד ישראל ובא ישראל אחר ליטול המותר מחמת שחייב לו הגוי, לא שאלתי הלכה למעשה, ולכאורה נראה לדמויי לההיא דפרק הפרה משכונו של גר ביד ישראל כו' עד זה קנה השאר וזה קנה כנגד מעותיו. אע"ג דמוקי ליה דליתיה בחצירו ואינה משתמרת, היינו משום דהפקר הוא, אבל הא לא הפקר אלא דגוי הוא ובמאי ליקני המותר, אפילו ישראל מישראל לא קנה ולא חשיב שומר שכר אלא כנגד מעותיו, כמו שהשיב מהר"ם פרק הדיינין</w:t>
      </w:r>
      <w:r w:rsidRPr="0004348D">
        <w:rPr>
          <w:rFonts w:ascii="Calibri" w:eastAsia="Calibri" w:hAnsi="Calibri" w:cs="Arial"/>
          <w:sz w:val="16"/>
          <w:szCs w:val="16"/>
          <w:rtl/>
        </w:rPr>
        <w:t xml:space="preserve"> (במרדכי שבועות סי' תשעד)</w:t>
      </w:r>
      <w:r w:rsidRPr="0004348D">
        <w:rPr>
          <w:rFonts w:ascii="Calibri" w:eastAsia="Calibri" w:hAnsi="Calibri" w:cs="Arial"/>
          <w:rtl/>
        </w:rPr>
        <w:t xml:space="preserve">. אלא דבהא מסופקני, וכמה פעמים שאלתי רבותי וחבירי, כיון דהמשכון עומד בריבית ואפשר שיעלה ריבית טובא עליו, אי הכל חשוב כנגד מעותיו. ומכל מקום באותה תשובה משמע דלא קנה אלא כנגד הקרן. ואיכא נמי לדמויי שתופס לבעל חוב במקום שאין חב לאחרים ואיכא פסידא לבעל חוב דקונה הכי נמי כי יהיב להאי קרן וריבית שעלה עד השתא אם כן אין חב לאחרים, וכל שכן דדינא דמלכותא הוא כמו שכתבת, ואפילו בקדשים אמרינן </w:t>
      </w:r>
      <w:r w:rsidRPr="0004348D">
        <w:rPr>
          <w:rFonts w:ascii="Calibri" w:eastAsia="Calibri" w:hAnsi="Calibri" w:cs="Arial"/>
          <w:sz w:val="16"/>
          <w:szCs w:val="16"/>
          <w:rtl/>
        </w:rPr>
        <w:t>(ערכין כג:)</w:t>
      </w:r>
      <w:r w:rsidRPr="0004348D">
        <w:rPr>
          <w:rFonts w:ascii="Calibri" w:eastAsia="Calibri" w:hAnsi="Calibri" w:cs="Arial"/>
          <w:rtl/>
        </w:rPr>
        <w:t xml:space="preserve"> רוצה ומוסיף עוד דינר ופודה הנכסים וגובה מן ההקדש, ואי לאו משום תקנת השוק היו גובין אפילו ממטלטלין משועבדין למאי דקיימא לן שיעבודא דאורייתא, וכי יהיב ליה קרן וריבית לא בטלה תקנת השוק ונכסי דאינש אינון ערבים בי'. ע"כ עניות דעתי נוטה דגובה המותר אך בענין שלא יבא בעל המשכונות לידי הפסד אם יבא הגוי</w:t>
      </w:r>
      <w:r w:rsidRPr="0004348D">
        <w:rPr>
          <w:rFonts w:ascii="Calibri" w:eastAsia="Calibri" w:hAnsi="Calibri" w:cs="Arial"/>
          <w:vertAlign w:val="superscript"/>
          <w:rtl/>
        </w:rPr>
        <w:footnoteReference w:id="6017"/>
      </w:r>
      <w:r w:rsidRPr="0004348D">
        <w:rPr>
          <w:rFonts w:ascii="Calibri" w:eastAsia="Calibri" w:hAnsi="Calibri" w:cs="Arial"/>
          <w:rtl/>
        </w:rPr>
        <w:t xml:space="preserve">. </w:t>
      </w:r>
      <w:r w:rsidRPr="0004348D">
        <w:rPr>
          <w:rFonts w:ascii="Calibri" w:eastAsia="Calibri" w:hAnsi="Calibri" w:cs="Arial"/>
          <w:color w:val="00B0F0"/>
          <w:rtl/>
        </w:rPr>
        <w:t>(וכ"פ הרמ"א</w:t>
      </w:r>
      <w:r w:rsidRPr="0004348D">
        <w:rPr>
          <w:rFonts w:ascii="Calibri" w:eastAsia="Calibri" w:hAnsi="Calibri" w:cs="Arial"/>
          <w:sz w:val="16"/>
          <w:szCs w:val="16"/>
          <w:rtl/>
        </w:rPr>
        <w:t xml:space="preserve"> [סי' פו ס"א]</w:t>
      </w:r>
      <w:r w:rsidRPr="0004348D">
        <w:rPr>
          <w:rFonts w:ascii="Calibri" w:eastAsia="Calibri" w:hAnsi="Calibri" w:cs="Arial"/>
          <w:color w:val="00B0F0"/>
          <w:rtl/>
        </w:rPr>
        <w:t>)</w:t>
      </w:r>
    </w:p>
    <w:p w14:paraId="22C93EF8" w14:textId="77777777" w:rsidR="0004348D" w:rsidRPr="0004348D" w:rsidRDefault="0004348D" w:rsidP="0004348D">
      <w:pPr>
        <w:spacing w:before="360" w:after="240"/>
        <w:rPr>
          <w:rFonts w:ascii="Calibri" w:eastAsia="Calibri" w:hAnsi="Calibri" w:cs="Arial"/>
          <w:u w:val="single"/>
        </w:rPr>
      </w:pPr>
      <w:r w:rsidRPr="0004348D">
        <w:rPr>
          <w:rFonts w:ascii="Calibri" w:eastAsia="Calibri" w:hAnsi="Calibri" w:cs="Arial"/>
          <w:u w:val="single"/>
          <w:rtl/>
        </w:rPr>
        <w:t>משכן לחברו חפץ ששוה ה' סלעים בסלע, ואח"כ בא ליתן לו סלע ותבע את המשכון – וחברו טוען שנמכר לו בהסכם:</w:t>
      </w:r>
    </w:p>
    <w:p w14:paraId="1D8167C5" w14:textId="77777777" w:rsidR="0004348D" w:rsidRPr="0004348D" w:rsidRDefault="0004348D" w:rsidP="0004348D">
      <w:pPr>
        <w:numPr>
          <w:ilvl w:val="0"/>
          <w:numId w:val="356"/>
        </w:numPr>
        <w:spacing w:before="360" w:after="240"/>
        <w:contextualSpacing/>
        <w:rPr>
          <w:rFonts w:ascii="Calibri" w:eastAsia="Calibri" w:hAnsi="Calibri" w:cs="Arial"/>
        </w:rPr>
      </w:pPr>
      <w:r w:rsidRPr="0004348D">
        <w:rPr>
          <w:rFonts w:ascii="Calibri" w:eastAsia="Calibri" w:hAnsi="Calibri" w:cs="Arial"/>
          <w:rtl/>
        </w:rPr>
        <w:t xml:space="preserve">ריטב"א </w:t>
      </w:r>
      <w:r w:rsidRPr="0004348D">
        <w:rPr>
          <w:rFonts w:ascii="Calibri" w:eastAsia="Calibri" w:hAnsi="Calibri" w:cs="Arial"/>
          <w:sz w:val="16"/>
          <w:szCs w:val="16"/>
          <w:rtl/>
        </w:rPr>
        <w:t>(שו"ת סי' יז)</w:t>
      </w:r>
      <w:r w:rsidRPr="0004348D">
        <w:rPr>
          <w:rFonts w:ascii="Calibri" w:eastAsia="Calibri" w:hAnsi="Calibri" w:cs="Arial"/>
          <w:rtl/>
        </w:rPr>
        <w:t xml:space="preserve">- ראובן משכן לשמעון חפץ בסלע והיה שוה חמש סלעים, וראובן תובע משמעון שיתן לו המשכון ויקבל הסלע שיש לו עליו, טען שמעון אמת הוא שמשכן אצלי החפץ אבל על מנת שאם לא יפדה אותו לזמן קצוב יהיה המשכון מכור לו וכבר עבר הזמן. תשובה, נראה לי שיש לשמעון הנתבע לישבע שאינו ברשותו ולשלם לראובן התובע מה שהיה שוה המשכון יותר על ההלואה. ושלשה טעמים בדבר, האחד- שלא פירש שיהיה מכור במעות אלו. השני- שאפילו אם פירש היה כמוכר שוה חמש סלעים בסלע שהוא ביטול מקח ומוכר לעולם חוזר </w:t>
      </w:r>
      <w:r w:rsidRPr="0004348D">
        <w:rPr>
          <w:rFonts w:ascii="Calibri" w:eastAsia="Calibri" w:hAnsi="Calibri" w:cs="Arial"/>
          <w:sz w:val="16"/>
          <w:szCs w:val="16"/>
          <w:rtl/>
        </w:rPr>
        <w:t>(ב"מ נ:)</w:t>
      </w:r>
      <w:r w:rsidRPr="0004348D">
        <w:rPr>
          <w:rFonts w:ascii="Calibri" w:eastAsia="Calibri" w:hAnsi="Calibri" w:cs="Arial"/>
          <w:rtl/>
        </w:rPr>
        <w:t xml:space="preserve">. השלישי- שלא אמר ליה שיקנה בשעת משיכה אלא לאחר זמן, והוא כאומר לחבירו משוך בהמה זו ותקנה לאחר שלשים יום שלא קנה </w:t>
      </w:r>
      <w:r w:rsidRPr="0004348D">
        <w:rPr>
          <w:rFonts w:ascii="Calibri" w:eastAsia="Calibri" w:hAnsi="Calibri" w:cs="Arial"/>
          <w:sz w:val="16"/>
          <w:szCs w:val="16"/>
          <w:rtl/>
        </w:rPr>
        <w:t>(כתובות פב.)</w:t>
      </w:r>
      <w:r w:rsidRPr="0004348D">
        <w:rPr>
          <w:rFonts w:ascii="Calibri" w:eastAsia="Calibri" w:hAnsi="Calibri" w:cs="Arial"/>
          <w:rtl/>
        </w:rPr>
        <w:t>. ומשמעותו שיהיה מכור לו בשוויו</w:t>
      </w:r>
      <w:r w:rsidRPr="0004348D">
        <w:rPr>
          <w:rFonts w:ascii="Calibri" w:eastAsia="Calibri" w:hAnsi="Calibri" w:cs="Arial"/>
          <w:vertAlign w:val="superscript"/>
          <w:rtl/>
        </w:rPr>
        <w:footnoteReference w:id="6018"/>
      </w:r>
      <w:r w:rsidRPr="0004348D">
        <w:rPr>
          <w:rFonts w:ascii="Calibri" w:eastAsia="Calibri" w:hAnsi="Calibri" w:cs="Arial"/>
          <w:rtl/>
        </w:rPr>
        <w:t>.</w:t>
      </w:r>
    </w:p>
    <w:p w14:paraId="0876A279" w14:textId="77777777" w:rsidR="0004348D" w:rsidRPr="0004348D" w:rsidRDefault="0004348D" w:rsidP="0004348D">
      <w:pPr>
        <w:spacing w:before="360" w:after="240"/>
        <w:rPr>
          <w:rFonts w:ascii="Arial" w:eastAsia="Calibri" w:hAnsi="Arial" w:cs="Arial"/>
          <w:b/>
          <w:bCs/>
          <w:color w:val="000000"/>
          <w:sz w:val="28"/>
          <w:szCs w:val="28"/>
          <w:u w:val="single"/>
          <w:rtl/>
        </w:rPr>
      </w:pPr>
      <w:r w:rsidRPr="0004348D">
        <w:rPr>
          <w:rFonts w:ascii="Arial" w:eastAsia="Calibri" w:hAnsi="Arial" w:cs="Arial"/>
          <w:b/>
          <w:bCs/>
          <w:color w:val="000000"/>
          <w:sz w:val="28"/>
          <w:szCs w:val="28"/>
          <w:u w:val="single"/>
          <w:rtl/>
        </w:rPr>
        <w:t>שו"ע:</w:t>
      </w:r>
    </w:p>
    <w:p w14:paraId="4A43AE62" w14:textId="77777777" w:rsidR="0004348D" w:rsidRPr="0004348D" w:rsidRDefault="0004348D" w:rsidP="0004348D">
      <w:pPr>
        <w:spacing w:before="360" w:after="240"/>
        <w:rPr>
          <w:rFonts w:ascii="Calibri" w:eastAsia="Calibri" w:hAnsi="Calibri" w:cs="Arial"/>
          <w:rtl/>
        </w:rPr>
      </w:pPr>
      <w:r w:rsidRPr="0004348D">
        <w:rPr>
          <w:rFonts w:ascii="Calibri" w:eastAsia="Calibri" w:hAnsi="Calibri" w:cs="Arial"/>
          <w:rtl/>
        </w:rPr>
        <w:t>המחזיק בקרקע חבירו ואוכל פירותיו, וטוען כי במשכונא ירד בו והיה לו שטר ממאה דינרים שהלוה עליו ועכשיו נאבד ממנו. והלה טוען שלא היה כי אם מחמשים דינרים, אם לא החזיק בו המלוה שני חזקה, הלוה נאמן, וישבע</w:t>
      </w:r>
      <w:r w:rsidRPr="0004348D">
        <w:rPr>
          <w:rFonts w:ascii="Calibri" w:eastAsia="Calibri" w:hAnsi="Calibri" w:cs="Arial"/>
          <w:vertAlign w:val="superscript"/>
          <w:rtl/>
        </w:rPr>
        <w:footnoteReference w:id="6019"/>
      </w:r>
      <w:r w:rsidRPr="0004348D">
        <w:rPr>
          <w:rFonts w:ascii="Calibri" w:eastAsia="Calibri" w:hAnsi="Calibri" w:cs="Arial"/>
          <w:rtl/>
        </w:rPr>
        <w:t xml:space="preserve"> כדין מודה מקצת, ונוטל קרקעו. אבל אם החזיק בו שלשה שנים, נאמן המלוה בשבועת היסת</w:t>
      </w:r>
      <w:r w:rsidRPr="0004348D">
        <w:rPr>
          <w:rFonts w:ascii="Calibri" w:eastAsia="Calibri" w:hAnsi="Calibri" w:cs="Arial"/>
          <w:vertAlign w:val="superscript"/>
          <w:rtl/>
        </w:rPr>
        <w:footnoteReference w:id="6020"/>
      </w:r>
      <w:r w:rsidRPr="0004348D">
        <w:rPr>
          <w:rFonts w:ascii="Calibri" w:eastAsia="Calibri" w:hAnsi="Calibri" w:cs="Arial"/>
          <w:rtl/>
        </w:rPr>
        <w:t xml:space="preserve">, ושקיל מאה דקא תבע מפירי דארעא. </w:t>
      </w:r>
    </w:p>
    <w:p w14:paraId="2185C8CF" w14:textId="77777777" w:rsidR="0004348D" w:rsidRPr="0004348D" w:rsidRDefault="0004348D" w:rsidP="0004348D">
      <w:pPr>
        <w:spacing w:before="360" w:after="240"/>
        <w:rPr>
          <w:rFonts w:ascii="Calibri" w:eastAsia="Calibri" w:hAnsi="Calibri" w:cs="Arial"/>
          <w:rtl/>
        </w:rPr>
      </w:pPr>
    </w:p>
    <w:p w14:paraId="2475738F" w14:textId="77777777" w:rsidR="0004348D" w:rsidRPr="0004348D" w:rsidRDefault="0004348D" w:rsidP="0004348D">
      <w:pPr>
        <w:keepNext/>
        <w:keepLines/>
        <w:spacing w:before="360" w:after="240"/>
        <w:outlineLvl w:val="1"/>
        <w:rPr>
          <w:rFonts w:ascii="Cambria" w:eastAsia="Times New Roman" w:hAnsi="Cambria" w:cs="Arial"/>
          <w:bCs/>
          <w:color w:val="548DD4" w:themeColor="text2" w:themeTint="99"/>
          <w:sz w:val="26"/>
          <w:szCs w:val="26"/>
          <w:rtl/>
        </w:rPr>
      </w:pPr>
      <w:bookmarkStart w:id="884" w:name="_Toc24884260"/>
      <w:r w:rsidRPr="0004348D">
        <w:rPr>
          <w:rFonts w:ascii="Cambria" w:eastAsia="Times New Roman" w:hAnsi="Cambria" w:cs="Arial"/>
          <w:bCs/>
          <w:color w:val="548DD4" w:themeColor="text2" w:themeTint="99"/>
          <w:sz w:val="26"/>
          <w:szCs w:val="26"/>
          <w:rtl/>
        </w:rPr>
        <w:t>סעיף מג: אחד לוה על המשכון ופרע, ואמר לו המלוה שיתן לו משכונו מחר – ונגנב המשכון.</w:t>
      </w:r>
      <w:bookmarkEnd w:id="884"/>
    </w:p>
    <w:p w14:paraId="48DEFDEE" w14:textId="77777777" w:rsidR="0004348D" w:rsidRPr="0004348D" w:rsidRDefault="0004348D" w:rsidP="0004348D">
      <w:pPr>
        <w:spacing w:before="360" w:after="240"/>
        <w:rPr>
          <w:rFonts w:ascii="Calibri" w:eastAsia="Calibri" w:hAnsi="Calibri" w:cs="Arial"/>
          <w:rtl/>
        </w:rPr>
      </w:pPr>
      <w:r w:rsidRPr="0004348D">
        <w:rPr>
          <w:rFonts w:ascii="Calibri" w:eastAsia="Calibri" w:hAnsi="Calibri" w:cs="Arial"/>
          <w:u w:val="single"/>
          <w:rtl/>
        </w:rPr>
        <w:t>ראובן שכר חבית משמעון על המשכון, ולאחר שהחזיר לו תבע את המשכון, וא"ל שמעון בוא למחר, ונגנבה החבית:</w:t>
      </w:r>
    </w:p>
    <w:p w14:paraId="2DC06A28" w14:textId="77777777" w:rsidR="0004348D" w:rsidRPr="0004348D" w:rsidRDefault="0004348D" w:rsidP="00992A87">
      <w:pPr>
        <w:numPr>
          <w:ilvl w:val="0"/>
          <w:numId w:val="372"/>
        </w:numPr>
        <w:spacing w:before="360" w:after="240"/>
        <w:contextualSpacing/>
        <w:rPr>
          <w:rFonts w:ascii="Calibri" w:eastAsia="Calibri" w:hAnsi="Calibri" w:cs="Arial"/>
          <w:rtl/>
        </w:rPr>
      </w:pPr>
      <w:r w:rsidRPr="0004348D">
        <w:rPr>
          <w:rFonts w:ascii="Calibri" w:eastAsia="Calibri" w:hAnsi="Calibri" w:cs="Arial"/>
          <w:rtl/>
        </w:rPr>
        <w:t xml:space="preserve">רא"ש </w:t>
      </w:r>
      <w:r w:rsidRPr="0004348D">
        <w:rPr>
          <w:rFonts w:ascii="Calibri" w:eastAsia="Calibri" w:hAnsi="Calibri" w:cs="Arial"/>
          <w:sz w:val="16"/>
          <w:szCs w:val="16"/>
          <w:rtl/>
        </w:rPr>
        <w:t xml:space="preserve">(כלל צ סי' ג) </w:t>
      </w:r>
      <w:r w:rsidRPr="0004348D">
        <w:rPr>
          <w:rFonts w:ascii="Calibri" w:eastAsia="Calibri" w:hAnsi="Calibri" w:cs="Arial"/>
          <w:rtl/>
        </w:rPr>
        <w:t>וטור- ראובן שכר חבית משמעון, ונתן משכון בשבילה ובשביל השכר. אח"כ החזיר לו חביתו ונתן לו שכרו וא"ל תן לי משכוני. א"ל לך עתה ובוא למחר ואחזירנו לך, ובינתים נגנב מביתו. ושואל שיפרע משכונו. תשובה, כיון דקי"ל המלוה על המשכון שומר שכר הוא - חייב בגניבה ואבידה אע"ג דפקעה כח ההלואה שכבר פרע לו</w:t>
      </w:r>
      <w:r w:rsidRPr="0004348D">
        <w:rPr>
          <w:rFonts w:ascii="Calibri" w:eastAsia="Calibri" w:hAnsi="Calibri" w:cs="Arial"/>
          <w:vertAlign w:val="superscript"/>
          <w:rtl/>
        </w:rPr>
        <w:footnoteReference w:id="6021"/>
      </w:r>
      <w:r w:rsidRPr="0004348D">
        <w:rPr>
          <w:rFonts w:ascii="Calibri" w:eastAsia="Calibri" w:hAnsi="Calibri" w:cs="Arial"/>
          <w:rtl/>
        </w:rPr>
        <w:t>, דטעמא דמלוה חבירו על המשכון ש"ש - לאו משום שיהא בטוח במעותיו דנימא דכיון דאזיל ליה האי טעמא לא הוי תו שומר שכר, אלא טעמא משום פרוטה דרב יוסף שמא יבוא לו עני בשעה שהוא טרוד לשוטחה שא"צ ליתן לו, הילכך, אם נגנב קודם הזמן שקבע לו לבוא בשבילו נמצא עדיין היה ברשותו וצריך לנערו, ואם נגנב אחר הזמן שקבע לו לבוא בשבילו נמצא שלא היה ברשותו ולא היה צריך לנערו, דהוי כשאר פקדון שאין הנפקד חייב לנערו כיון שברשות המפקיד לבוא וליקח אותו ולנערו. ולא דמי למשכון שאינו ברשות הלוה ליקח אותו ולנערו שאין המלוה מניח אותו ליקחנו, לכך צריך המלוה להשתדל בו. וזה כפקדון דמי ואין לו בו שום שכר ופטור מגניבה ואבידה. ואם יש עדים ללוה שבא בזמן שקבע לו ולא נתן לו - חייב</w:t>
      </w:r>
      <w:r w:rsidRPr="0004348D">
        <w:rPr>
          <w:rFonts w:ascii="Calibri" w:eastAsia="Calibri" w:hAnsi="Calibri" w:cs="Arial"/>
          <w:vertAlign w:val="superscript"/>
          <w:rtl/>
        </w:rPr>
        <w:footnoteReference w:id="6022"/>
      </w:r>
      <w:r w:rsidRPr="0004348D">
        <w:rPr>
          <w:rFonts w:ascii="Calibri" w:eastAsia="Calibri" w:hAnsi="Calibri" w:cs="Arial"/>
          <w:rtl/>
        </w:rPr>
        <w:t>, ואם אין עדים - ישבע המלוה שלא בא בזמן שקבע לו ופטור</w:t>
      </w:r>
      <w:r w:rsidRPr="0004348D">
        <w:rPr>
          <w:rFonts w:ascii="Calibri" w:eastAsia="Calibri" w:hAnsi="Calibri" w:cs="Arial"/>
          <w:sz w:val="16"/>
          <w:szCs w:val="16"/>
          <w:rtl/>
        </w:rPr>
        <w:t xml:space="preserve"> (ל' הטור בשם הרא"ש)</w:t>
      </w:r>
      <w:r w:rsidRPr="0004348D">
        <w:rPr>
          <w:rFonts w:ascii="Calibri" w:eastAsia="Calibri" w:hAnsi="Calibri" w:cs="Arial"/>
          <w:vertAlign w:val="superscript"/>
          <w:rtl/>
        </w:rPr>
        <w:footnoteReference w:id="6023"/>
      </w:r>
      <w:r w:rsidRPr="0004348D">
        <w:rPr>
          <w:rFonts w:ascii="Calibri" w:eastAsia="Calibri" w:hAnsi="Calibri" w:cs="Arial"/>
          <w:rtl/>
        </w:rPr>
        <w:t xml:space="preserve">. </w:t>
      </w:r>
      <w:r w:rsidRPr="0004348D">
        <w:rPr>
          <w:rFonts w:ascii="Calibri" w:eastAsia="Calibri" w:hAnsi="Calibri" w:cs="Arial"/>
          <w:color w:val="E36C0A" w:themeColor="accent6" w:themeShade="BF"/>
          <w:rtl/>
        </w:rPr>
        <w:t>(וכ"פ בשו"ע)</w:t>
      </w:r>
    </w:p>
    <w:p w14:paraId="49B53A13" w14:textId="77777777" w:rsidR="0004348D" w:rsidRPr="0004348D" w:rsidRDefault="0004348D" w:rsidP="0004348D">
      <w:pPr>
        <w:spacing w:before="360" w:after="240"/>
        <w:rPr>
          <w:rFonts w:ascii="Arial" w:eastAsia="Calibri" w:hAnsi="Arial" w:cs="Arial"/>
          <w:b/>
          <w:bCs/>
          <w:color w:val="000000"/>
          <w:sz w:val="28"/>
          <w:szCs w:val="28"/>
          <w:u w:val="single"/>
        </w:rPr>
      </w:pPr>
      <w:r w:rsidRPr="0004348D">
        <w:rPr>
          <w:rFonts w:ascii="Arial" w:eastAsia="Calibri" w:hAnsi="Arial" w:cs="Arial"/>
          <w:b/>
          <w:bCs/>
          <w:color w:val="000000"/>
          <w:sz w:val="28"/>
          <w:szCs w:val="28"/>
          <w:u w:val="single"/>
          <w:rtl/>
        </w:rPr>
        <w:t>שו"ע:</w:t>
      </w:r>
    </w:p>
    <w:p w14:paraId="4881D7EC" w14:textId="77777777" w:rsidR="0004348D" w:rsidRPr="0004348D" w:rsidRDefault="0004348D" w:rsidP="0004348D">
      <w:pPr>
        <w:spacing w:before="360" w:after="240"/>
        <w:rPr>
          <w:rFonts w:ascii="Calibri" w:eastAsia="Calibri" w:hAnsi="Calibri" w:cs="Arial"/>
          <w:rtl/>
        </w:rPr>
      </w:pPr>
      <w:r w:rsidRPr="0004348D">
        <w:rPr>
          <w:rFonts w:ascii="Calibri" w:eastAsia="Calibri" w:hAnsi="Calibri" w:cs="Arial"/>
          <w:rtl/>
        </w:rPr>
        <w:t>המלוה את חבירו על המשכון ופרעו ואמר לו 'תן לי משכוני', אמר לו 'לך עתה ובא למחר ואחזירנו לך', ונגנב המשכון, אם נגנב קודם הזמן שקבע לו לבא בשבילו, חייב המלוה. ואם נגנב אחר הזמן שקבע לו לבא בשבילו, פטור. לפיכך אם יש עדים ללוה שבא בזמן שקבע לו ולא נתנו לו, חייב. ואם אין עדים, ישבע המלוה שלא בא בזמן שקבע לו ופטור</w:t>
      </w:r>
      <w:r w:rsidRPr="0004348D">
        <w:rPr>
          <w:rFonts w:ascii="Calibri" w:eastAsia="Calibri" w:hAnsi="Calibri" w:cs="Arial"/>
          <w:vertAlign w:val="superscript"/>
          <w:rtl/>
        </w:rPr>
        <w:footnoteReference w:id="6024"/>
      </w:r>
      <w:r w:rsidRPr="0004348D">
        <w:rPr>
          <w:rFonts w:ascii="Calibri" w:eastAsia="Calibri" w:hAnsi="Calibri" w:cs="Arial"/>
          <w:rtl/>
        </w:rPr>
        <w:t xml:space="preserve">. </w:t>
      </w:r>
      <w:r w:rsidRPr="0004348D">
        <w:rPr>
          <w:rFonts w:ascii="Calibri" w:eastAsia="Calibri" w:hAnsi="Calibri" w:cs="Arial"/>
          <w:sz w:val="18"/>
          <w:szCs w:val="18"/>
          <w:rtl/>
        </w:rPr>
        <w:t>הגה: ודוקא למאן דאמר מלוה על המשכון הוי שומר שכר, אבל למאן דאמר שומר חנם כמו שנתבאר ריש סימן זה, לא מיחייב אלא בפשיעה</w:t>
      </w:r>
      <w:r w:rsidRPr="0004348D">
        <w:rPr>
          <w:rFonts w:ascii="Calibri" w:eastAsia="Calibri" w:hAnsi="Calibri" w:cs="Arial"/>
          <w:sz w:val="18"/>
          <w:szCs w:val="18"/>
          <w:vertAlign w:val="superscript"/>
          <w:rtl/>
        </w:rPr>
        <w:footnoteReference w:id="6025"/>
      </w:r>
      <w:r w:rsidRPr="0004348D">
        <w:rPr>
          <w:rFonts w:ascii="Calibri" w:eastAsia="Calibri" w:hAnsi="Calibri" w:cs="Arial"/>
          <w:sz w:val="18"/>
          <w:szCs w:val="18"/>
          <w:rtl/>
        </w:rPr>
        <w:t>.</w:t>
      </w:r>
      <w:r w:rsidRPr="0004348D">
        <w:rPr>
          <w:rFonts w:ascii="Calibri" w:eastAsia="Calibri" w:hAnsi="Calibri" w:cs="Arial"/>
          <w:rtl/>
        </w:rPr>
        <w:t xml:space="preserve"> </w:t>
      </w:r>
    </w:p>
    <w:p w14:paraId="38455D97" w14:textId="77777777" w:rsidR="0004348D" w:rsidRPr="0004348D" w:rsidRDefault="0004348D" w:rsidP="0004348D">
      <w:pPr>
        <w:spacing w:before="360" w:after="240"/>
        <w:rPr>
          <w:rFonts w:ascii="Calibri" w:eastAsia="Calibri" w:hAnsi="Calibri" w:cs="Arial"/>
          <w:rtl/>
        </w:rPr>
      </w:pPr>
    </w:p>
    <w:p w14:paraId="58243010" w14:textId="77777777" w:rsidR="0004348D" w:rsidRPr="0004348D" w:rsidRDefault="0004348D" w:rsidP="0004348D">
      <w:pPr>
        <w:keepNext/>
        <w:keepLines/>
        <w:spacing w:before="360" w:after="240"/>
        <w:outlineLvl w:val="1"/>
        <w:rPr>
          <w:rFonts w:ascii="Cambria" w:eastAsia="Times New Roman" w:hAnsi="Cambria" w:cs="Arial"/>
          <w:bCs/>
          <w:color w:val="548DD4" w:themeColor="text2" w:themeTint="99"/>
          <w:sz w:val="26"/>
          <w:szCs w:val="26"/>
          <w:rtl/>
        </w:rPr>
      </w:pPr>
      <w:bookmarkStart w:id="885" w:name="_Toc24884261"/>
      <w:r w:rsidRPr="0004348D">
        <w:rPr>
          <w:rFonts w:ascii="Cambria" w:eastAsia="Times New Roman" w:hAnsi="Cambria" w:cs="Arial"/>
          <w:bCs/>
          <w:color w:val="548DD4" w:themeColor="text2" w:themeTint="99"/>
          <w:sz w:val="26"/>
          <w:szCs w:val="26"/>
          <w:rtl/>
        </w:rPr>
        <w:t>סעיף מד: שנים שלוו על משכון אחד זה אחר זה – ונשרף המשכון ביד המלוה.</w:t>
      </w:r>
      <w:bookmarkEnd w:id="885"/>
    </w:p>
    <w:p w14:paraId="7F54B737" w14:textId="77777777" w:rsidR="0004348D" w:rsidRPr="0004348D" w:rsidRDefault="0004348D" w:rsidP="0004348D">
      <w:pPr>
        <w:spacing w:before="360" w:after="240"/>
        <w:rPr>
          <w:rFonts w:ascii="Calibri" w:eastAsia="Calibri" w:hAnsi="Calibri" w:cs="Arial"/>
          <w:u w:val="single"/>
          <w:rtl/>
        </w:rPr>
      </w:pPr>
      <w:r w:rsidRPr="0004348D">
        <w:rPr>
          <w:rFonts w:ascii="Calibri" w:eastAsia="Calibri" w:hAnsi="Calibri" w:cs="Arial"/>
          <w:u w:val="single"/>
          <w:rtl/>
        </w:rPr>
        <w:t xml:space="preserve">ראובן לוה מפלוני על המשכון, ושמעון רוצה גם ללות ממלוה זה על משכונו של ראובן, והסכים לו – ונשרף המשכון: </w:t>
      </w:r>
    </w:p>
    <w:p w14:paraId="7005BE46" w14:textId="77777777" w:rsidR="0004348D" w:rsidRPr="0004348D" w:rsidRDefault="0004348D" w:rsidP="0004348D">
      <w:pPr>
        <w:numPr>
          <w:ilvl w:val="0"/>
          <w:numId w:val="356"/>
        </w:numPr>
        <w:spacing w:before="360" w:after="240"/>
        <w:contextualSpacing/>
        <w:rPr>
          <w:rFonts w:ascii="Calibri" w:eastAsia="Calibri" w:hAnsi="Calibri" w:cs="Arial"/>
          <w:rtl/>
        </w:rPr>
      </w:pPr>
      <w:r w:rsidRPr="0004348D">
        <w:rPr>
          <w:rFonts w:ascii="Calibri" w:eastAsia="Calibri" w:hAnsi="Calibri" w:cs="Arial"/>
          <w:rtl/>
        </w:rPr>
        <w:t xml:space="preserve">מהר"ם </w:t>
      </w:r>
      <w:r w:rsidRPr="0004348D">
        <w:rPr>
          <w:rFonts w:ascii="Calibri" w:eastAsia="Calibri" w:hAnsi="Calibri" w:cs="Arial"/>
          <w:sz w:val="16"/>
          <w:szCs w:val="16"/>
          <w:rtl/>
        </w:rPr>
        <w:t>(ד"ב סי' קכד. וכן בספר סיני וליקוטים סי' שנט. הביאו המרדכי [ר"פ השואל סי' שעא])</w:t>
      </w:r>
      <w:r w:rsidRPr="0004348D">
        <w:rPr>
          <w:rFonts w:ascii="Calibri" w:eastAsia="Calibri" w:hAnsi="Calibri" w:cs="Arial"/>
          <w:rtl/>
        </w:rPr>
        <w:t xml:space="preserve">- ששאלת על ראובן שהיה לו משכון ביד גוים המלוים ברבית, ושמעון הוצרך ללות מהם, ובקש מראובן שירשהו ללות על אותו משכון אשר בידם, ועשה כן, ובלאו הם היה ממושכן עדיין קצת בשביל ראובן, ונשרף בית הגוי ואבד המשכון. נראה לי דשמעון פטור מלשלם לראובן דמי משכנתו, דבמאי לחייב באונסי המשכון הא לא משך, ותקנו משיכה בשומרים כדאמרינן במרובה </w:t>
      </w:r>
      <w:r w:rsidRPr="0004348D">
        <w:rPr>
          <w:rFonts w:ascii="Calibri" w:eastAsia="Calibri" w:hAnsi="Calibri" w:cs="Arial"/>
          <w:sz w:val="16"/>
          <w:szCs w:val="16"/>
          <w:rtl/>
        </w:rPr>
        <w:t xml:space="preserve">(ב"ק עט.) </w:t>
      </w:r>
      <w:r w:rsidRPr="0004348D">
        <w:rPr>
          <w:rFonts w:ascii="Calibri" w:eastAsia="Calibri" w:hAnsi="Calibri" w:cs="Arial"/>
          <w:rtl/>
        </w:rPr>
        <w:t xml:space="preserve">ובפ' השואל </w:t>
      </w:r>
      <w:r w:rsidRPr="0004348D">
        <w:rPr>
          <w:rFonts w:ascii="Calibri" w:eastAsia="Calibri" w:hAnsi="Calibri" w:cs="Arial"/>
          <w:sz w:val="16"/>
          <w:szCs w:val="16"/>
          <w:rtl/>
        </w:rPr>
        <w:t xml:space="preserve">(ב"מ צט.) </w:t>
      </w:r>
      <w:r w:rsidRPr="0004348D">
        <w:rPr>
          <w:rFonts w:ascii="Calibri" w:eastAsia="Calibri" w:hAnsi="Calibri" w:cs="Arial"/>
          <w:rtl/>
        </w:rPr>
        <w:t xml:space="preserve">פרה במשיכה ובעלים במסירה, ובפרק אותו ואת בנו </w:t>
      </w:r>
      <w:r w:rsidRPr="0004348D">
        <w:rPr>
          <w:rFonts w:ascii="Calibri" w:eastAsia="Calibri" w:hAnsi="Calibri" w:cs="Arial"/>
          <w:sz w:val="16"/>
          <w:szCs w:val="16"/>
          <w:rtl/>
        </w:rPr>
        <w:t>(חולין פג.)</w:t>
      </w:r>
      <w:r w:rsidRPr="0004348D">
        <w:rPr>
          <w:rFonts w:ascii="Calibri" w:eastAsia="Calibri" w:hAnsi="Calibri" w:cs="Arial"/>
          <w:rtl/>
        </w:rPr>
        <w:t xml:space="preserve"> לפיכך אם מת מת ללוקח, ופריך בגמרא והא לא משך. ועוד טעם אחר לפטרו דהא בלאו הכי היה המשכון ממושכן ביד הגוי בשביל ראובן והיה נשרף. ואין ראובן יכול לומר לשמעון הא קא משתרשת שנפטרת מחובתך ע"י משכון זה תן לי. כי למה יתן לו זה, אם כשנשרף המשכון פקע ליה שעבודיה דגוי בדיניהם, מאי אית ליה לראובן על שמעון אי משמיא רחימי עליה דשמעון</w:t>
      </w:r>
      <w:r w:rsidRPr="0004348D">
        <w:rPr>
          <w:rFonts w:ascii="Calibri" w:eastAsia="Calibri" w:hAnsi="Calibri" w:cs="Arial"/>
          <w:vertAlign w:val="superscript"/>
          <w:rtl/>
        </w:rPr>
        <w:footnoteReference w:id="6026"/>
      </w:r>
      <w:r w:rsidRPr="0004348D">
        <w:rPr>
          <w:rFonts w:ascii="Calibri" w:eastAsia="Calibri" w:hAnsi="Calibri" w:cs="Arial"/>
          <w:rtl/>
        </w:rPr>
        <w:t xml:space="preserve">. </w:t>
      </w:r>
      <w:r w:rsidRPr="0004348D">
        <w:rPr>
          <w:rFonts w:ascii="Calibri" w:eastAsia="Calibri" w:hAnsi="Calibri" w:cs="Arial"/>
          <w:color w:val="E36C0A" w:themeColor="accent6" w:themeShade="BF"/>
          <w:rtl/>
        </w:rPr>
        <w:t>(וכ"פ בשו"ע)</w:t>
      </w:r>
    </w:p>
    <w:p w14:paraId="27618907" w14:textId="77777777" w:rsidR="0004348D" w:rsidRPr="0004348D" w:rsidRDefault="0004348D" w:rsidP="0004348D">
      <w:pPr>
        <w:spacing w:before="360" w:after="240"/>
        <w:rPr>
          <w:rFonts w:ascii="Calibri" w:eastAsia="Calibri" w:hAnsi="Calibri" w:cs="Arial"/>
          <w:u w:val="single"/>
        </w:rPr>
      </w:pPr>
      <w:r w:rsidRPr="0004348D">
        <w:rPr>
          <w:rFonts w:ascii="Calibri" w:eastAsia="Calibri" w:hAnsi="Calibri" w:cs="Arial"/>
          <w:u w:val="single"/>
          <w:rtl/>
        </w:rPr>
        <w:t>כיצד משכונת קרקע נקנית:</w:t>
      </w:r>
    </w:p>
    <w:p w14:paraId="63D2A649" w14:textId="77777777" w:rsidR="0004348D" w:rsidRPr="0004348D" w:rsidRDefault="0004348D" w:rsidP="0004348D">
      <w:pPr>
        <w:numPr>
          <w:ilvl w:val="0"/>
          <w:numId w:val="356"/>
        </w:numPr>
        <w:spacing w:before="360" w:after="240"/>
        <w:contextualSpacing/>
        <w:rPr>
          <w:rFonts w:ascii="Calibri" w:eastAsia="Calibri" w:hAnsi="Calibri" w:cs="Arial"/>
        </w:rPr>
      </w:pPr>
      <w:r w:rsidRPr="0004348D">
        <w:rPr>
          <w:rFonts w:ascii="Calibri" w:eastAsia="Calibri" w:hAnsi="Calibri" w:cs="Arial"/>
          <w:rtl/>
        </w:rPr>
        <w:t>בעל התרומות</w:t>
      </w:r>
      <w:r w:rsidRPr="0004348D">
        <w:rPr>
          <w:rFonts w:ascii="Calibri" w:eastAsia="Calibri" w:hAnsi="Calibri" w:cs="Arial"/>
          <w:sz w:val="16"/>
          <w:szCs w:val="16"/>
          <w:rtl/>
        </w:rPr>
        <w:t xml:space="preserve"> (שער סד ח"ג)</w:t>
      </w:r>
      <w:r w:rsidRPr="0004348D">
        <w:rPr>
          <w:rFonts w:ascii="Calibri" w:eastAsia="Calibri" w:hAnsi="Calibri" w:cs="Arial"/>
          <w:rtl/>
        </w:rPr>
        <w:t>- משכונת קרקע נקנית בדרכים שנקנה קרקע לשכירות.</w:t>
      </w:r>
    </w:p>
    <w:p w14:paraId="23422912" w14:textId="77777777" w:rsidR="0004348D" w:rsidRPr="0004348D" w:rsidRDefault="0004348D" w:rsidP="0004348D">
      <w:pPr>
        <w:spacing w:before="360" w:after="240"/>
        <w:rPr>
          <w:rFonts w:ascii="Calibri" w:eastAsia="Calibri" w:hAnsi="Calibri" w:cs="Arial"/>
          <w:u w:val="single"/>
        </w:rPr>
      </w:pPr>
      <w:r w:rsidRPr="0004348D">
        <w:rPr>
          <w:rFonts w:ascii="Calibri" w:eastAsia="Calibri" w:hAnsi="Calibri" w:cs="Arial"/>
          <w:u w:val="single"/>
          <w:rtl/>
        </w:rPr>
        <w:t>לוה שנתן את עלייתו כמשכון בנכייתא, והתנו שלאחר הזמן ישכירנה למי שירצה, ולאחר הזמן מגבילו הלוה בתנאים:</w:t>
      </w:r>
    </w:p>
    <w:p w14:paraId="3C2E5641" w14:textId="77777777" w:rsidR="0004348D" w:rsidRPr="0004348D" w:rsidRDefault="0004348D" w:rsidP="0004348D">
      <w:pPr>
        <w:numPr>
          <w:ilvl w:val="0"/>
          <w:numId w:val="356"/>
        </w:numPr>
        <w:spacing w:before="360" w:after="240"/>
        <w:contextualSpacing/>
        <w:rPr>
          <w:rFonts w:ascii="Calibri" w:eastAsia="Calibri" w:hAnsi="Calibri" w:cs="Arial"/>
        </w:rPr>
      </w:pPr>
      <w:r w:rsidRPr="0004348D">
        <w:rPr>
          <w:rFonts w:ascii="Calibri" w:eastAsia="Calibri" w:hAnsi="Calibri" w:cs="Arial"/>
          <w:rtl/>
        </w:rPr>
        <w:t>רשב"א</w:t>
      </w:r>
      <w:r w:rsidRPr="0004348D">
        <w:rPr>
          <w:rFonts w:ascii="Calibri" w:eastAsia="Calibri" w:hAnsi="Calibri" w:cs="Arial"/>
          <w:sz w:val="16"/>
          <w:szCs w:val="16"/>
          <w:rtl/>
        </w:rPr>
        <w:t xml:space="preserve"> (ח"ג סי' לו)</w:t>
      </w:r>
      <w:r w:rsidRPr="0004348D">
        <w:rPr>
          <w:rFonts w:ascii="Calibri" w:eastAsia="Calibri" w:hAnsi="Calibri" w:cs="Arial"/>
          <w:rtl/>
        </w:rPr>
        <w:t xml:space="preserve">- ראובן משכן עלייתו לשמעון בנכייתא, והתנה שלאחר הזמן יהא רשות בידו לתבוע חובו או לדור הוא וסיעתו או למשכנה או להשכירה למי שירצה, ואחר זמן המשכונא בא למשכנה או להשכירה לאחרים והלה טוען שאין לו רשות לא למשכן ולא להשכיר אלא לבעל הבית אחד ושלא יהיה לו סיעה גדולה יותר ממה שהיה לשמעון בשעת המשכונא. תשובה, הדין עם שמעון לפי ששורת הדין אפילו בלא תנאי יכול היה למשכנה או להשכירה לאחרים, שלא אמרו </w:t>
      </w:r>
      <w:r w:rsidRPr="0004348D">
        <w:rPr>
          <w:rFonts w:ascii="Calibri" w:eastAsia="Calibri" w:hAnsi="Calibri" w:cs="Arial"/>
          <w:sz w:val="16"/>
          <w:szCs w:val="16"/>
          <w:rtl/>
        </w:rPr>
        <w:t xml:space="preserve">(גיטין כט.) </w:t>
      </w:r>
      <w:r w:rsidRPr="0004348D">
        <w:rPr>
          <w:rFonts w:ascii="Calibri" w:eastAsia="Calibri" w:hAnsi="Calibri" w:cs="Arial"/>
          <w:rtl/>
        </w:rPr>
        <w:t xml:space="preserve">אין השוכר רשאי להשכיר אלא במטלטלין אבל בקרקעות או במטלטלין גדולים כספינה רשאי כדמוכח בפרק האומנים </w:t>
      </w:r>
      <w:r w:rsidRPr="0004348D">
        <w:rPr>
          <w:rFonts w:ascii="Calibri" w:eastAsia="Calibri" w:hAnsi="Calibri" w:cs="Arial"/>
          <w:sz w:val="16"/>
          <w:szCs w:val="16"/>
          <w:rtl/>
        </w:rPr>
        <w:t xml:space="preserve">(ב"מ עט:) </w:t>
      </w:r>
      <w:r w:rsidRPr="0004348D">
        <w:rPr>
          <w:rFonts w:ascii="Calibri" w:eastAsia="Calibri" w:hAnsi="Calibri" w:cs="Arial"/>
          <w:rtl/>
        </w:rPr>
        <w:t xml:space="preserve">גבי השוכר את הספינה. ואפילו ליותר מסיעתו היה רשאי כל שיראה לבית דין שאין הפסד מתרבה בכך, ומיהו אם יראה לבית דין שההפסד מתרבה אינו רשאי. אבל עכשיו שנתן לו רשות התנאי מוסיף להשכירה לכל מי שירצה אפילו לסיעה גדולה. ואל תאמר שלא נכתב התנאי לתוספת ענין אלא לשופרא דשטרא וכדאמרינן בפרק המוכר את הבית </w:t>
      </w:r>
      <w:r w:rsidRPr="0004348D">
        <w:rPr>
          <w:rFonts w:ascii="Calibri" w:eastAsia="Calibri" w:hAnsi="Calibri" w:cs="Arial"/>
          <w:sz w:val="16"/>
          <w:szCs w:val="16"/>
          <w:rtl/>
        </w:rPr>
        <w:t>(ב"ב סט:)</w:t>
      </w:r>
      <w:r w:rsidRPr="0004348D">
        <w:rPr>
          <w:rFonts w:ascii="Calibri" w:eastAsia="Calibri" w:hAnsi="Calibri" w:cs="Arial"/>
          <w:rtl/>
        </w:rPr>
        <w:t xml:space="preserve">, לא היא, דכל היכא דאיכא למילף מן התנאי ילפינן. ועוד דהכא הא קאמר ליה לכל מי שירצה ואינו בא להרשותו להשכירו לראובן או לשמעון דמה איכפת ליה כל שאינו דר עמהם וליכא משום שינוי דעתא וכל שכן שהרי נתן לו רשות לדור בו לאחר הזמן הוא וסיעתו ומי לא עסקינן שתהא לו סיעה גדולה. </w:t>
      </w:r>
    </w:p>
    <w:p w14:paraId="58AFD6BA" w14:textId="77777777" w:rsidR="0004348D" w:rsidRPr="0004348D" w:rsidRDefault="0004348D" w:rsidP="0004348D">
      <w:pPr>
        <w:spacing w:before="360" w:after="240"/>
        <w:rPr>
          <w:rFonts w:ascii="Calibri" w:eastAsia="Calibri" w:hAnsi="Calibri" w:cs="Arial"/>
          <w:u w:val="single"/>
        </w:rPr>
      </w:pPr>
      <w:r w:rsidRPr="0004348D">
        <w:rPr>
          <w:rFonts w:ascii="Calibri" w:eastAsia="Calibri" w:hAnsi="Calibri" w:cs="Arial"/>
          <w:u w:val="single"/>
          <w:rtl/>
        </w:rPr>
        <w:t>שותף התופס מעסק השותפות בטענה שחבירו חייב לו כך וכך - וחברו כופר:</w:t>
      </w:r>
    </w:p>
    <w:p w14:paraId="6CCD729D" w14:textId="77777777" w:rsidR="0004348D" w:rsidRPr="0004348D" w:rsidRDefault="0004348D" w:rsidP="0004348D">
      <w:pPr>
        <w:numPr>
          <w:ilvl w:val="0"/>
          <w:numId w:val="356"/>
        </w:numPr>
        <w:spacing w:before="360" w:after="240"/>
        <w:contextualSpacing/>
        <w:rPr>
          <w:rFonts w:ascii="Calibri" w:eastAsia="Calibri" w:hAnsi="Calibri" w:cs="Arial"/>
        </w:rPr>
      </w:pPr>
      <w:r w:rsidRPr="0004348D">
        <w:rPr>
          <w:rFonts w:ascii="Calibri" w:eastAsia="Calibri" w:hAnsi="Calibri" w:cs="Arial"/>
          <w:rtl/>
        </w:rPr>
        <w:t xml:space="preserve">ספר התרומות </w:t>
      </w:r>
      <w:r w:rsidRPr="0004348D">
        <w:rPr>
          <w:rFonts w:ascii="Calibri" w:eastAsia="Calibri" w:hAnsi="Calibri" w:cs="Arial"/>
          <w:sz w:val="16"/>
          <w:szCs w:val="16"/>
          <w:rtl/>
        </w:rPr>
        <w:t>(שער מט חט"ז סי' א)</w:t>
      </w:r>
      <w:r w:rsidRPr="0004348D">
        <w:rPr>
          <w:rFonts w:ascii="Calibri" w:eastAsia="Calibri" w:hAnsi="Calibri" w:cs="Arial"/>
          <w:rtl/>
        </w:rPr>
        <w:t xml:space="preserve">- שותף התופס מעסק השותפות בטענה שחבירו חייב לו כך וכך, והלה אומר אין לך בידי כלום, אי ידיע בסהדי ההוא מדעם דאיתיה בשיתוף לתרווייהו ואיכא ראיה - לא מפיק מחזקתיה דאידך אלא נשבע האחר היסת שאין לו בידו כלום ומוציא חלקו מיד המחזיק, וכמש"כ הרי"ף בפרק השותפין </w:t>
      </w:r>
      <w:r w:rsidRPr="0004348D">
        <w:rPr>
          <w:rFonts w:ascii="Calibri" w:eastAsia="Calibri" w:hAnsi="Calibri" w:cs="Arial"/>
          <w:sz w:val="16"/>
          <w:szCs w:val="16"/>
          <w:rtl/>
        </w:rPr>
        <w:t>(ב"ב ב.)</w:t>
      </w:r>
      <w:r w:rsidRPr="0004348D">
        <w:rPr>
          <w:rFonts w:ascii="Calibri" w:eastAsia="Calibri" w:hAnsi="Calibri" w:cs="Arial"/>
          <w:rtl/>
        </w:rPr>
        <w:t xml:space="preserve"> מהא שמעינן כל מלתא דידיעא לתרי שותפי וכו', אבל אי ליכא סהדי דההוא מדעם ידיע משיתוף - מגו דאי בעי אמר להד"מ נאמן.</w:t>
      </w:r>
    </w:p>
    <w:p w14:paraId="20B2D118" w14:textId="77777777" w:rsidR="0004348D" w:rsidRPr="0004348D" w:rsidRDefault="0004348D" w:rsidP="0004348D">
      <w:pPr>
        <w:spacing w:before="360" w:after="240"/>
        <w:rPr>
          <w:rFonts w:ascii="Calibri" w:eastAsia="Calibri" w:hAnsi="Calibri" w:cs="Arial"/>
          <w:u w:val="single"/>
        </w:rPr>
      </w:pPr>
      <w:r w:rsidRPr="0004348D">
        <w:rPr>
          <w:rFonts w:ascii="Calibri" w:eastAsia="Calibri" w:hAnsi="Calibri" w:cs="Arial"/>
          <w:u w:val="single"/>
          <w:rtl/>
        </w:rPr>
        <w:t>מי שיש בידו משכון ובא למכרו:</w:t>
      </w:r>
    </w:p>
    <w:p w14:paraId="070C5A77" w14:textId="77777777" w:rsidR="0004348D" w:rsidRPr="0004348D" w:rsidRDefault="0004348D" w:rsidP="0004348D">
      <w:pPr>
        <w:numPr>
          <w:ilvl w:val="0"/>
          <w:numId w:val="356"/>
        </w:numPr>
        <w:spacing w:before="360" w:after="240"/>
        <w:contextualSpacing/>
        <w:rPr>
          <w:rFonts w:ascii="Calibri" w:eastAsia="Calibri" w:hAnsi="Calibri" w:cs="Arial"/>
        </w:rPr>
      </w:pPr>
      <w:r w:rsidRPr="0004348D">
        <w:rPr>
          <w:rFonts w:ascii="Calibri" w:eastAsia="Calibri" w:hAnsi="Calibri" w:cs="Arial"/>
          <w:rtl/>
        </w:rPr>
        <w:t xml:space="preserve">הה"מ </w:t>
      </w:r>
      <w:r w:rsidRPr="0004348D">
        <w:rPr>
          <w:rFonts w:ascii="Calibri" w:eastAsia="Calibri" w:hAnsi="Calibri" w:cs="Arial"/>
          <w:sz w:val="16"/>
          <w:szCs w:val="16"/>
          <w:rtl/>
        </w:rPr>
        <w:t xml:space="preserve">(פי"ג ממלוה ה"ג) </w:t>
      </w:r>
      <w:r w:rsidRPr="0004348D">
        <w:rPr>
          <w:rFonts w:ascii="Calibri" w:eastAsia="Calibri" w:hAnsi="Calibri" w:cs="Arial"/>
          <w:rtl/>
        </w:rPr>
        <w:t xml:space="preserve">ור"ן </w:t>
      </w:r>
      <w:r w:rsidRPr="0004348D">
        <w:rPr>
          <w:rFonts w:ascii="Calibri" w:eastAsia="Calibri" w:hAnsi="Calibri" w:cs="Arial"/>
          <w:sz w:val="16"/>
          <w:szCs w:val="16"/>
          <w:rtl/>
        </w:rPr>
        <w:t>(פרק אלמנה ניזונת כתובות נז. סוד"ה גמ')</w:t>
      </w:r>
      <w:r w:rsidRPr="0004348D">
        <w:rPr>
          <w:rFonts w:ascii="Calibri" w:eastAsia="Calibri" w:hAnsi="Calibri" w:cs="Arial"/>
          <w:rtl/>
        </w:rPr>
        <w:t>- מי שיש בידו משכון ובא למכרו על פי בית דין או בפני עדים שלא בפני הלוה אינו רשאי ללקחו לעצמו</w:t>
      </w:r>
      <w:r w:rsidRPr="0004348D">
        <w:rPr>
          <w:rFonts w:ascii="Calibri" w:eastAsia="Calibri" w:hAnsi="Calibri" w:cs="Arial"/>
          <w:vertAlign w:val="superscript"/>
          <w:rtl/>
        </w:rPr>
        <w:footnoteReference w:id="6027"/>
      </w:r>
      <w:r w:rsidRPr="0004348D">
        <w:rPr>
          <w:rFonts w:ascii="Calibri" w:eastAsia="Calibri" w:hAnsi="Calibri" w:cs="Arial"/>
          <w:rtl/>
        </w:rPr>
        <w:t xml:space="preserve">. </w:t>
      </w:r>
    </w:p>
    <w:p w14:paraId="7FF74B69" w14:textId="77777777" w:rsidR="0004348D" w:rsidRPr="0004348D" w:rsidRDefault="0004348D" w:rsidP="0004348D">
      <w:pPr>
        <w:spacing w:before="360" w:after="240"/>
        <w:rPr>
          <w:rFonts w:ascii="Calibri" w:eastAsia="Calibri" w:hAnsi="Calibri" w:cs="Arial"/>
          <w:u w:val="single"/>
        </w:rPr>
      </w:pPr>
      <w:r w:rsidRPr="0004348D">
        <w:rPr>
          <w:rFonts w:ascii="Calibri" w:eastAsia="Calibri" w:hAnsi="Calibri" w:cs="Arial"/>
          <w:u w:val="single"/>
          <w:rtl/>
        </w:rPr>
        <w:t>ישראל המלוה לישראל חבירו על המשכון – עד מתי צריך המלוה לשמרו:</w:t>
      </w:r>
    </w:p>
    <w:p w14:paraId="4D150696" w14:textId="77777777" w:rsidR="0004348D" w:rsidRPr="0004348D" w:rsidRDefault="0004348D" w:rsidP="0004348D">
      <w:pPr>
        <w:numPr>
          <w:ilvl w:val="0"/>
          <w:numId w:val="356"/>
        </w:numPr>
        <w:spacing w:before="360" w:after="240"/>
        <w:contextualSpacing/>
        <w:rPr>
          <w:rFonts w:ascii="Calibri" w:eastAsia="Calibri" w:hAnsi="Calibri" w:cs="Arial"/>
        </w:rPr>
      </w:pPr>
      <w:r w:rsidRPr="0004348D">
        <w:rPr>
          <w:rFonts w:ascii="Calibri" w:eastAsia="Calibri" w:hAnsi="Calibri" w:cs="Arial"/>
          <w:rtl/>
        </w:rPr>
        <w:t xml:space="preserve">מרדכי </w:t>
      </w:r>
      <w:r w:rsidRPr="0004348D">
        <w:rPr>
          <w:rFonts w:ascii="Calibri" w:eastAsia="Calibri" w:hAnsi="Calibri" w:cs="Arial"/>
          <w:sz w:val="16"/>
          <w:szCs w:val="16"/>
          <w:rtl/>
        </w:rPr>
        <w:t>(פרק הגוזל בתרא ב"ק סי' קנד)</w:t>
      </w:r>
      <w:r w:rsidRPr="0004348D">
        <w:rPr>
          <w:rFonts w:ascii="Calibri" w:eastAsia="Calibri" w:hAnsi="Calibri" w:cs="Arial"/>
          <w:rtl/>
        </w:rPr>
        <w:t>- ישראל המלוה לישראל חבירו על המשכון אין זקוק המלוה לשמרו יותר משנה מלמכרו ולגבות הלואתו כדינא דמלכותא גבי מלוים לגוים ברבית</w:t>
      </w:r>
      <w:r w:rsidRPr="0004348D">
        <w:rPr>
          <w:rFonts w:ascii="Calibri" w:eastAsia="Calibri" w:hAnsi="Calibri" w:cs="Arial"/>
          <w:vertAlign w:val="superscript"/>
          <w:rtl/>
        </w:rPr>
        <w:footnoteReference w:id="6028"/>
      </w:r>
      <w:r w:rsidRPr="0004348D">
        <w:rPr>
          <w:rFonts w:ascii="Calibri" w:eastAsia="Calibri" w:hAnsi="Calibri" w:cs="Arial"/>
          <w:rtl/>
        </w:rPr>
        <w:t xml:space="preserve">. </w:t>
      </w:r>
    </w:p>
    <w:p w14:paraId="3AAA83AE" w14:textId="77777777" w:rsidR="0004348D" w:rsidRPr="0004348D" w:rsidRDefault="0004348D" w:rsidP="0004348D">
      <w:pPr>
        <w:spacing w:before="360" w:after="240"/>
        <w:rPr>
          <w:rFonts w:ascii="Arial" w:eastAsia="Calibri" w:hAnsi="Arial" w:cs="Arial"/>
          <w:b/>
          <w:bCs/>
          <w:color w:val="000000"/>
          <w:sz w:val="28"/>
          <w:szCs w:val="28"/>
          <w:u w:val="single"/>
        </w:rPr>
      </w:pPr>
      <w:r w:rsidRPr="0004348D">
        <w:rPr>
          <w:rFonts w:ascii="Arial" w:eastAsia="Calibri" w:hAnsi="Arial" w:cs="Arial"/>
          <w:b/>
          <w:bCs/>
          <w:color w:val="000000"/>
          <w:sz w:val="28"/>
          <w:szCs w:val="28"/>
          <w:u w:val="single"/>
          <w:rtl/>
        </w:rPr>
        <w:t>שו"ע:</w:t>
      </w:r>
    </w:p>
    <w:p w14:paraId="3A8A8639" w14:textId="77777777" w:rsidR="0004348D" w:rsidRPr="0004348D" w:rsidRDefault="0004348D" w:rsidP="0004348D">
      <w:pPr>
        <w:spacing w:before="360" w:after="240"/>
        <w:rPr>
          <w:rFonts w:ascii="Calibri" w:eastAsia="Calibri" w:hAnsi="Calibri" w:cs="Arial"/>
          <w:rtl/>
        </w:rPr>
      </w:pPr>
      <w:r w:rsidRPr="0004348D">
        <w:rPr>
          <w:rFonts w:ascii="Calibri" w:eastAsia="Calibri" w:hAnsi="Calibri" w:cs="Arial"/>
          <w:rtl/>
        </w:rPr>
        <w:t xml:space="preserve">ראובן שהיה לו משכון ביד גוי המלוה ברבית, ושמעון הוצרך למעות, ובקש מראובן שירשהו ללות ממנו על אותו משכון, ועשה כן, ונשרף המשכון ביד הגוי, פטור שמעון מלשלם לראובן דמי המשכון. </w:t>
      </w:r>
    </w:p>
    <w:p w14:paraId="6F4C14A4" w14:textId="77777777" w:rsidR="0004348D" w:rsidRPr="0004348D" w:rsidRDefault="0004348D" w:rsidP="0004348D">
      <w:pPr>
        <w:spacing w:before="360" w:after="240"/>
        <w:rPr>
          <w:rFonts w:ascii="Calibri" w:eastAsia="Calibri" w:hAnsi="Calibri" w:cs="Arial"/>
          <w:rtl/>
        </w:rPr>
      </w:pPr>
    </w:p>
    <w:p w14:paraId="54C0D2E9" w14:textId="77777777" w:rsidR="0004348D" w:rsidRPr="0004348D" w:rsidRDefault="0004348D" w:rsidP="0004348D">
      <w:pPr>
        <w:keepNext/>
        <w:keepLines/>
        <w:spacing w:before="360" w:after="240"/>
        <w:outlineLvl w:val="1"/>
        <w:rPr>
          <w:rFonts w:ascii="Cambria" w:eastAsia="Times New Roman" w:hAnsi="Cambria" w:cs="Arial"/>
          <w:bCs/>
          <w:color w:val="548DD4" w:themeColor="text2" w:themeTint="99"/>
          <w:sz w:val="26"/>
          <w:szCs w:val="26"/>
          <w:rtl/>
        </w:rPr>
      </w:pPr>
      <w:bookmarkStart w:id="886" w:name="_Toc24884262"/>
      <w:r w:rsidRPr="0004348D">
        <w:rPr>
          <w:rFonts w:ascii="Cambria" w:eastAsia="Times New Roman" w:hAnsi="Cambria" w:cs="Arial"/>
          <w:bCs/>
          <w:color w:val="548DD4" w:themeColor="text2" w:themeTint="99"/>
          <w:sz w:val="26"/>
          <w:szCs w:val="26"/>
          <w:rtl/>
        </w:rPr>
        <w:t>סעיף מה: האם מלוה יכול לכוף את הלוה למכור את המשכון כשאינו שוה לשיעור מעותיו.</w:t>
      </w:r>
      <w:bookmarkEnd w:id="886"/>
    </w:p>
    <w:p w14:paraId="04680DE3" w14:textId="77777777" w:rsidR="0004348D" w:rsidRPr="0004348D" w:rsidRDefault="0004348D" w:rsidP="0004348D">
      <w:pPr>
        <w:spacing w:before="360" w:after="240"/>
        <w:rPr>
          <w:rFonts w:ascii="Calibri" w:eastAsia="Calibri" w:hAnsi="Calibri" w:cs="Arial"/>
          <w:u w:val="single"/>
          <w:rtl/>
        </w:rPr>
      </w:pPr>
      <w:r w:rsidRPr="0004348D">
        <w:rPr>
          <w:rFonts w:ascii="Calibri" w:eastAsia="Calibri" w:hAnsi="Calibri" w:cs="Arial"/>
          <w:u w:val="single"/>
          <w:rtl/>
        </w:rPr>
        <w:t>האם מלוה יכול לכוף את הלוה למכור את המשכון כשאינו שוה לשיעור מעותיו:</w:t>
      </w:r>
    </w:p>
    <w:p w14:paraId="26E97DC1" w14:textId="77777777" w:rsidR="0004348D" w:rsidRPr="0004348D" w:rsidRDefault="0004348D" w:rsidP="0004348D">
      <w:pPr>
        <w:numPr>
          <w:ilvl w:val="0"/>
          <w:numId w:val="356"/>
        </w:numPr>
        <w:spacing w:before="360" w:after="240"/>
        <w:contextualSpacing/>
        <w:rPr>
          <w:rFonts w:ascii="Calibri" w:eastAsia="Calibri" w:hAnsi="Calibri" w:cs="Arial"/>
          <w:rtl/>
        </w:rPr>
      </w:pPr>
      <w:r w:rsidRPr="0004348D">
        <w:rPr>
          <w:rFonts w:ascii="Calibri" w:eastAsia="Calibri" w:hAnsi="Calibri" w:cs="Arial"/>
          <w:rtl/>
        </w:rPr>
        <w:t xml:space="preserve">הה"מ </w:t>
      </w:r>
      <w:r w:rsidRPr="0004348D">
        <w:rPr>
          <w:rFonts w:ascii="Calibri" w:eastAsia="Calibri" w:hAnsi="Calibri" w:cs="Arial"/>
          <w:sz w:val="16"/>
          <w:szCs w:val="16"/>
          <w:rtl/>
        </w:rPr>
        <w:t>(פי"ג ממלוה ה"ד)</w:t>
      </w:r>
      <w:r w:rsidRPr="0004348D">
        <w:rPr>
          <w:rFonts w:ascii="Calibri" w:eastAsia="Calibri" w:hAnsi="Calibri" w:cs="Arial"/>
          <w:rtl/>
        </w:rPr>
        <w:t xml:space="preserve"> בשם המפרשים- אם המשכון הוא בעין ואינו שוה שיעור מעותיו - יכול המלוה לכופו לפרוע מעותיו.</w:t>
      </w:r>
      <w:r w:rsidRPr="0004348D">
        <w:rPr>
          <w:rFonts w:ascii="Calibri" w:eastAsia="Calibri" w:hAnsi="Calibri" w:cs="Arial"/>
          <w:color w:val="E36C0A" w:themeColor="accent6" w:themeShade="BF"/>
          <w:rtl/>
        </w:rPr>
        <w:t xml:space="preserve"> (וכ"פ בשו"ע)</w:t>
      </w:r>
    </w:p>
    <w:p w14:paraId="668A291B" w14:textId="77777777" w:rsidR="0004348D" w:rsidRPr="0004348D" w:rsidRDefault="0004348D" w:rsidP="0004348D">
      <w:pPr>
        <w:spacing w:before="360" w:after="240"/>
        <w:rPr>
          <w:rFonts w:ascii="Arial" w:eastAsia="Calibri" w:hAnsi="Arial" w:cs="Arial"/>
          <w:b/>
          <w:bCs/>
          <w:color w:val="000000"/>
          <w:sz w:val="28"/>
          <w:szCs w:val="28"/>
          <w:u w:val="single"/>
          <w:rtl/>
        </w:rPr>
      </w:pPr>
      <w:r w:rsidRPr="0004348D">
        <w:rPr>
          <w:rFonts w:ascii="Arial" w:eastAsia="Calibri" w:hAnsi="Arial" w:cs="Arial"/>
          <w:b/>
          <w:bCs/>
          <w:color w:val="000000"/>
          <w:sz w:val="28"/>
          <w:szCs w:val="28"/>
          <w:u w:val="single"/>
          <w:rtl/>
        </w:rPr>
        <w:t>שו"ע:</w:t>
      </w:r>
    </w:p>
    <w:p w14:paraId="5D57E266" w14:textId="77777777" w:rsidR="0004348D" w:rsidRPr="0004348D" w:rsidRDefault="0004348D" w:rsidP="0004348D">
      <w:pPr>
        <w:spacing w:before="360" w:after="240"/>
        <w:rPr>
          <w:rFonts w:ascii="Calibri" w:eastAsia="Calibri" w:hAnsi="Calibri" w:cs="Arial"/>
          <w:rtl/>
        </w:rPr>
      </w:pPr>
      <w:r w:rsidRPr="0004348D">
        <w:rPr>
          <w:rFonts w:ascii="Calibri" w:eastAsia="Calibri" w:hAnsi="Calibri" w:cs="Arial"/>
          <w:rtl/>
        </w:rPr>
        <w:t>אם המשכון הוא בעין ואינו שוה שיעור מעותיו</w:t>
      </w:r>
      <w:r w:rsidRPr="0004348D">
        <w:rPr>
          <w:rFonts w:ascii="Calibri" w:eastAsia="Calibri" w:hAnsi="Calibri" w:cs="Arial"/>
          <w:vertAlign w:val="superscript"/>
          <w:rtl/>
        </w:rPr>
        <w:footnoteReference w:id="6029"/>
      </w:r>
      <w:r w:rsidRPr="0004348D">
        <w:rPr>
          <w:rFonts w:ascii="Calibri" w:eastAsia="Calibri" w:hAnsi="Calibri" w:cs="Arial"/>
          <w:rtl/>
        </w:rPr>
        <w:t>, יכול המלוה לכופו לפרוע מעותיו</w:t>
      </w:r>
      <w:r w:rsidRPr="0004348D">
        <w:rPr>
          <w:rFonts w:ascii="Calibri" w:eastAsia="Calibri" w:hAnsi="Calibri" w:cs="Arial"/>
          <w:vertAlign w:val="superscript"/>
          <w:rtl/>
        </w:rPr>
        <w:footnoteReference w:id="6030"/>
      </w:r>
      <w:r w:rsidRPr="0004348D">
        <w:rPr>
          <w:rFonts w:ascii="Calibri" w:eastAsia="Calibri" w:hAnsi="Calibri" w:cs="Arial"/>
          <w:rtl/>
        </w:rPr>
        <w:t>.</w:t>
      </w:r>
    </w:p>
    <w:p w14:paraId="0F954AFC" w14:textId="77777777" w:rsidR="0004348D" w:rsidRPr="0004348D" w:rsidRDefault="0004348D" w:rsidP="0004348D">
      <w:pPr>
        <w:spacing w:before="360" w:after="240"/>
        <w:rPr>
          <w:rFonts w:ascii="Calibri" w:eastAsia="Calibri" w:hAnsi="Calibri" w:cs="Arial"/>
          <w:rtl/>
        </w:rPr>
      </w:pPr>
    </w:p>
    <w:p w14:paraId="6D6A568C" w14:textId="77777777" w:rsidR="0004348D" w:rsidRPr="0004348D" w:rsidRDefault="0004348D" w:rsidP="0004348D">
      <w:pPr>
        <w:bidi w:val="0"/>
        <w:spacing w:before="360" w:after="240"/>
        <w:rPr>
          <w:rFonts w:ascii="Cambria" w:eastAsia="Times New Roman" w:hAnsi="Cambria" w:cs="Arial"/>
          <w:b/>
          <w:bCs/>
          <w:color w:val="365F91" w:themeColor="accent1" w:themeShade="BF"/>
          <w:sz w:val="28"/>
          <w:szCs w:val="28"/>
          <w:rtl/>
        </w:rPr>
        <w:sectPr w:rsidR="0004348D" w:rsidRPr="0004348D">
          <w:headerReference w:type="default" r:id="rId81"/>
          <w:footnotePr>
            <w:numRestart w:val="eachPage"/>
          </w:footnotePr>
          <w:pgSz w:w="11906" w:h="16838"/>
          <w:pgMar w:top="720" w:right="1134" w:bottom="720" w:left="1134" w:header="0" w:footer="0" w:gutter="0"/>
          <w:cols w:space="720"/>
          <w:bidi/>
          <w:rtlGutter/>
        </w:sectPr>
      </w:pPr>
    </w:p>
    <w:p w14:paraId="2387311F" w14:textId="77777777" w:rsidR="0004348D" w:rsidRPr="0004348D" w:rsidRDefault="0004348D" w:rsidP="0004348D">
      <w:pPr>
        <w:keepNext/>
        <w:keepLines/>
        <w:spacing w:before="360" w:after="240"/>
        <w:outlineLvl w:val="0"/>
        <w:rPr>
          <w:rFonts w:ascii="Cambria" w:eastAsia="Times New Roman" w:hAnsi="Cambria" w:cs="Arial"/>
          <w:b/>
          <w:bCs/>
          <w:color w:val="365F91" w:themeColor="accent1" w:themeShade="BF"/>
          <w:sz w:val="28"/>
          <w:szCs w:val="28"/>
          <w:rtl/>
        </w:rPr>
      </w:pPr>
      <w:bookmarkStart w:id="887" w:name="_Toc24884263"/>
      <w:r w:rsidRPr="0004348D">
        <w:rPr>
          <w:rFonts w:ascii="Cambria" w:eastAsia="Times New Roman" w:hAnsi="Cambria" w:cs="Arial"/>
          <w:b/>
          <w:bCs/>
          <w:color w:val="365F91" w:themeColor="accent1" w:themeShade="BF"/>
          <w:sz w:val="28"/>
          <w:szCs w:val="28"/>
          <w:rtl/>
        </w:rPr>
        <w:t>סימן עג: כמה זמן סתם הלואה, וכמה פרטי דיני הלואה, ובו כ' סעיפים.</w:t>
      </w:r>
      <w:bookmarkEnd w:id="887"/>
      <w:r w:rsidRPr="0004348D">
        <w:rPr>
          <w:rFonts w:ascii="Cambria" w:eastAsia="Times New Roman" w:hAnsi="Cambria" w:cs="Arial"/>
          <w:b/>
          <w:bCs/>
          <w:color w:val="365F91" w:themeColor="accent1" w:themeShade="BF"/>
          <w:sz w:val="28"/>
          <w:szCs w:val="28"/>
          <w:rtl/>
        </w:rPr>
        <w:t xml:space="preserve"> </w:t>
      </w:r>
    </w:p>
    <w:p w14:paraId="14743A45" w14:textId="77777777" w:rsidR="0004348D" w:rsidRPr="0004348D" w:rsidRDefault="0004348D" w:rsidP="0004348D">
      <w:pPr>
        <w:keepNext/>
        <w:keepLines/>
        <w:spacing w:before="360" w:after="240"/>
        <w:outlineLvl w:val="1"/>
        <w:rPr>
          <w:rFonts w:ascii="Cambria" w:eastAsia="Times New Roman" w:hAnsi="Cambria" w:cs="Arial"/>
          <w:bCs/>
          <w:color w:val="548DD4" w:themeColor="text2" w:themeTint="99"/>
          <w:sz w:val="26"/>
          <w:szCs w:val="26"/>
          <w:rtl/>
        </w:rPr>
      </w:pPr>
      <w:bookmarkStart w:id="888" w:name="_Toc24884264"/>
      <w:r w:rsidRPr="0004348D">
        <w:rPr>
          <w:rFonts w:ascii="Cambria" w:eastAsia="Times New Roman" w:hAnsi="Cambria" w:cs="Arial"/>
          <w:bCs/>
          <w:color w:val="548DD4" w:themeColor="text2" w:themeTint="99"/>
          <w:sz w:val="26"/>
          <w:szCs w:val="26"/>
          <w:rtl/>
        </w:rPr>
        <w:t>סעיף א: המלוה/המשאיל בסתם ולא קבע לו זמן.</w:t>
      </w:r>
      <w:bookmarkEnd w:id="888"/>
    </w:p>
    <w:p w14:paraId="49EC31E5" w14:textId="77777777" w:rsidR="0004348D" w:rsidRPr="0004348D" w:rsidRDefault="0004348D" w:rsidP="0004348D">
      <w:pPr>
        <w:spacing w:before="360" w:after="240"/>
        <w:rPr>
          <w:rFonts w:ascii="Calibri" w:eastAsia="Calibri" w:hAnsi="Calibri" w:cs="Arial"/>
          <w:rtl/>
        </w:rPr>
      </w:pPr>
      <w:bookmarkStart w:id="889" w:name="_Hlk17793574"/>
      <w:r w:rsidRPr="0004348D">
        <w:rPr>
          <w:rFonts w:ascii="Calibri" w:eastAsia="Calibri" w:hAnsi="Calibri" w:cs="Arial"/>
          <w:b/>
          <w:bCs/>
          <w:rtl/>
        </w:rPr>
        <w:t xml:space="preserve">מכות </w:t>
      </w:r>
      <w:r w:rsidRPr="0004348D">
        <w:rPr>
          <w:rFonts w:ascii="Calibri" w:eastAsia="Calibri" w:hAnsi="Calibri" w:cs="Arial"/>
          <w:b/>
          <w:bCs/>
          <w:sz w:val="16"/>
          <w:szCs w:val="16"/>
          <w:rtl/>
        </w:rPr>
        <w:t xml:space="preserve">(פ"ק) </w:t>
      </w:r>
      <w:r w:rsidRPr="0004348D">
        <w:rPr>
          <w:rFonts w:ascii="Calibri" w:eastAsia="Calibri" w:hAnsi="Calibri" w:cs="Arial"/>
          <w:b/>
          <w:bCs/>
          <w:rtl/>
        </w:rPr>
        <w:t>ג</w:t>
      </w:r>
      <w:r w:rsidRPr="0004348D">
        <w:rPr>
          <w:rFonts w:ascii="Calibri" w:eastAsia="Calibri" w:hAnsi="Calibri" w:cs="Arial"/>
          <w:b/>
          <w:bCs/>
          <w:vertAlign w:val="superscript"/>
          <w:rtl/>
        </w:rPr>
        <w:footnoteReference w:id="6031"/>
      </w:r>
      <w:r w:rsidRPr="0004348D">
        <w:rPr>
          <w:rFonts w:ascii="Calibri" w:eastAsia="Calibri" w:hAnsi="Calibri" w:cs="Arial"/>
          <w:b/>
          <w:bCs/>
          <w:rtl/>
        </w:rPr>
        <w:t xml:space="preserve"> ע"ב: </w:t>
      </w:r>
      <w:r w:rsidRPr="0004348D">
        <w:rPr>
          <w:rFonts w:ascii="Calibri" w:eastAsia="Calibri" w:hAnsi="Calibri" w:cs="Arial"/>
          <w:rtl/>
        </w:rPr>
        <w:t xml:space="preserve">תנא: המלוה את חבירו סתם - אינו רשאי לתובעו פחות מל' יום. </w:t>
      </w:r>
      <w:r w:rsidRPr="0004348D">
        <w:rPr>
          <w:rFonts w:ascii="Calibri" w:eastAsia="Calibri" w:hAnsi="Calibri" w:cs="Arial"/>
          <w:u w:val="single"/>
          <w:rtl/>
        </w:rPr>
        <w:t>סבר רבה בר בר חנה קמיה דרב למימר</w:t>
      </w:r>
      <w:r w:rsidRPr="0004348D">
        <w:rPr>
          <w:rFonts w:ascii="Calibri" w:eastAsia="Calibri" w:hAnsi="Calibri" w:cs="Arial"/>
          <w:rtl/>
        </w:rPr>
        <w:t xml:space="preserve">: ה"מ במלוה בשטר, דלא עבד איניש דטרח דכתב שטר בציר מתלתין יומין, אבל מלוה על פה לא. </w:t>
      </w:r>
      <w:r w:rsidRPr="0004348D">
        <w:rPr>
          <w:rFonts w:ascii="Calibri" w:eastAsia="Calibri" w:hAnsi="Calibri" w:cs="Arial"/>
          <w:u w:val="single"/>
          <w:rtl/>
        </w:rPr>
        <w:t>אמר ליה רב, הכי אמר חביבי</w:t>
      </w:r>
      <w:r w:rsidRPr="0004348D">
        <w:rPr>
          <w:rFonts w:ascii="Calibri" w:eastAsia="Calibri" w:hAnsi="Calibri" w:cs="Arial"/>
          <w:rtl/>
        </w:rPr>
        <w:t xml:space="preserve">: אחד המלוה בשטר ואחד המלוה על פה. תניא נמי הכי: המלוה את חבירו סתם - אינו רשאי לתובעו פחות משלשים יום, אחד המלוה בשטר ואחד המלוה על פה. </w:t>
      </w:r>
      <w:r w:rsidRPr="0004348D">
        <w:rPr>
          <w:rFonts w:ascii="Calibri" w:eastAsia="Calibri" w:hAnsi="Calibri" w:cs="Arial"/>
          <w:u w:val="single"/>
          <w:rtl/>
        </w:rPr>
        <w:t>אמר ליה שמואל לרב מתנה</w:t>
      </w:r>
      <w:r w:rsidRPr="0004348D">
        <w:rPr>
          <w:rFonts w:ascii="Calibri" w:eastAsia="Calibri" w:hAnsi="Calibri" w:cs="Arial"/>
          <w:rtl/>
        </w:rPr>
        <w:t xml:space="preserve">: לא תיתיב אכרעיך עד דמפרשת לה להא שמעתא, מנא הא מילתא דאמור רבנן: המלוה את חבירו סתם - אינו רשאי לתובעו פחות מל' יום, אחד המלוה בשטר ואחד המלוה על פה. </w:t>
      </w:r>
      <w:r w:rsidRPr="0004348D">
        <w:rPr>
          <w:rFonts w:ascii="Calibri" w:eastAsia="Calibri" w:hAnsi="Calibri" w:cs="Arial"/>
          <w:u w:val="single"/>
          <w:rtl/>
        </w:rPr>
        <w:t>א"ל</w:t>
      </w:r>
      <w:r w:rsidRPr="0004348D">
        <w:rPr>
          <w:rFonts w:ascii="Calibri" w:eastAsia="Calibri" w:hAnsi="Calibri" w:cs="Arial"/>
          <w:rtl/>
        </w:rPr>
        <w:t>: דכתיב: קרבה שנת השבע שנת השמטה, ממשמע שנאמר קרבה שנת השבע, איני יודע שהיא שנת שמטה? אלא מה תלמוד לומר שנת השמטה, לומר לך: יש שמטה אחרת שהיא כזו, ואיזו זו? המלוה את חבירו סתם, שאינו רשאי לתובעו בפחות משלשים יום, דאמר מר: שלשים יום בשנה חשוב שנה.</w:t>
      </w:r>
    </w:p>
    <w:p w14:paraId="05430D50" w14:textId="77777777" w:rsidR="0004348D" w:rsidRPr="0004348D" w:rsidRDefault="0004348D" w:rsidP="0004348D">
      <w:pPr>
        <w:spacing w:before="360" w:after="240"/>
        <w:rPr>
          <w:rFonts w:ascii="Calibri" w:eastAsia="Calibri" w:hAnsi="Calibri" w:cs="Arial"/>
          <w:u w:val="single"/>
          <w:rtl/>
        </w:rPr>
      </w:pPr>
      <w:r w:rsidRPr="0004348D">
        <w:rPr>
          <w:rFonts w:ascii="Calibri" w:eastAsia="Calibri" w:hAnsi="Calibri" w:cs="Arial"/>
          <w:b/>
          <w:bCs/>
          <w:u w:val="single"/>
          <w:rtl/>
        </w:rPr>
        <w:t>המלוה</w:t>
      </w:r>
      <w:r w:rsidRPr="0004348D">
        <w:rPr>
          <w:rFonts w:ascii="Calibri" w:eastAsia="Calibri" w:hAnsi="Calibri" w:cs="Arial"/>
          <w:u w:val="single"/>
          <w:rtl/>
        </w:rPr>
        <w:t xml:space="preserve"> לחברו סתם – מתי יכול לתובעו:</w:t>
      </w:r>
    </w:p>
    <w:p w14:paraId="786277D9" w14:textId="77777777" w:rsidR="0004348D" w:rsidRPr="0004348D" w:rsidRDefault="0004348D" w:rsidP="0004348D">
      <w:pPr>
        <w:numPr>
          <w:ilvl w:val="0"/>
          <w:numId w:val="356"/>
        </w:numPr>
        <w:spacing w:before="360" w:after="240"/>
        <w:contextualSpacing/>
        <w:rPr>
          <w:rFonts w:ascii="Calibri" w:eastAsia="Calibri" w:hAnsi="Calibri" w:cs="Arial"/>
          <w:rtl/>
        </w:rPr>
      </w:pPr>
      <w:r w:rsidRPr="0004348D">
        <w:rPr>
          <w:rFonts w:ascii="Calibri" w:eastAsia="Calibri" w:hAnsi="Calibri" w:cs="Arial"/>
          <w:rtl/>
        </w:rPr>
        <w:t xml:space="preserve">רמב"ם </w:t>
      </w:r>
      <w:r w:rsidRPr="0004348D">
        <w:rPr>
          <w:rFonts w:ascii="Calibri" w:eastAsia="Calibri" w:hAnsi="Calibri" w:cs="Arial"/>
          <w:sz w:val="16"/>
          <w:szCs w:val="16"/>
          <w:rtl/>
        </w:rPr>
        <w:t>(פי"ג ממלוה ולוה ה"ה)</w:t>
      </w:r>
      <w:r w:rsidRPr="0004348D">
        <w:rPr>
          <w:rFonts w:ascii="Calibri" w:eastAsia="Calibri" w:hAnsi="Calibri" w:cs="Arial"/>
          <w:rtl/>
        </w:rPr>
        <w:t xml:space="preserve"> וטור- המלוה לחבירו סתם ולא קבע לו זמן - יש לו זמן ל' יום שאינו יכול לתבעו קודם, בין במלוה בשטר בין במלוה על פה, בין במשכון</w:t>
      </w:r>
      <w:r w:rsidRPr="0004348D">
        <w:rPr>
          <w:rFonts w:ascii="Calibri" w:eastAsia="Calibri" w:hAnsi="Calibri" w:cs="Arial"/>
          <w:vertAlign w:val="superscript"/>
          <w:rtl/>
        </w:rPr>
        <w:footnoteReference w:id="6032"/>
      </w:r>
      <w:r w:rsidRPr="0004348D">
        <w:rPr>
          <w:rFonts w:ascii="Calibri" w:eastAsia="Calibri" w:hAnsi="Calibri" w:cs="Arial"/>
          <w:rtl/>
        </w:rPr>
        <w:t xml:space="preserve"> בין בלא משכון.</w:t>
      </w:r>
      <w:r w:rsidRPr="0004348D">
        <w:rPr>
          <w:rFonts w:ascii="Calibri" w:eastAsia="Calibri" w:hAnsi="Calibri" w:cs="Arial"/>
          <w:color w:val="E36C0A" w:themeColor="accent6" w:themeShade="BF"/>
          <w:rtl/>
        </w:rPr>
        <w:t xml:space="preserve"> (וכ"פ בשו"ע)</w:t>
      </w:r>
    </w:p>
    <w:p w14:paraId="749CAC1A" w14:textId="77777777" w:rsidR="0004348D" w:rsidRPr="0004348D" w:rsidRDefault="0004348D" w:rsidP="0004348D">
      <w:pPr>
        <w:spacing w:before="360" w:after="240"/>
        <w:ind w:left="360"/>
        <w:rPr>
          <w:rFonts w:ascii="Calibri" w:eastAsia="Calibri" w:hAnsi="Calibri" w:cs="Arial"/>
          <w:u w:val="dotted"/>
        </w:rPr>
      </w:pPr>
      <w:r w:rsidRPr="0004348D">
        <w:rPr>
          <w:rFonts w:ascii="Calibri" w:eastAsia="Calibri" w:hAnsi="Calibri" w:cs="Arial"/>
          <w:u w:val="dotted"/>
          <w:rtl/>
        </w:rPr>
        <w:t>ומה הדין אם נהגו אחרת במקומם:</w:t>
      </w:r>
    </w:p>
    <w:p w14:paraId="39834D6B" w14:textId="77777777" w:rsidR="0004348D" w:rsidRPr="0004348D" w:rsidRDefault="0004348D" w:rsidP="00992A87">
      <w:pPr>
        <w:numPr>
          <w:ilvl w:val="0"/>
          <w:numId w:val="373"/>
        </w:numPr>
        <w:spacing w:before="360" w:after="240"/>
        <w:contextualSpacing/>
        <w:rPr>
          <w:rFonts w:ascii="Calibri" w:eastAsia="Calibri" w:hAnsi="Calibri" w:cs="Arial"/>
          <w:rtl/>
        </w:rPr>
      </w:pPr>
      <w:r w:rsidRPr="0004348D">
        <w:rPr>
          <w:rFonts w:ascii="Calibri" w:eastAsia="Calibri" w:hAnsi="Calibri" w:cs="Arial"/>
          <w:rtl/>
        </w:rPr>
        <w:t xml:space="preserve">הה"מ </w:t>
      </w:r>
      <w:r w:rsidRPr="0004348D">
        <w:rPr>
          <w:rFonts w:ascii="Calibri" w:eastAsia="Calibri" w:hAnsi="Calibri" w:cs="Arial"/>
          <w:sz w:val="16"/>
          <w:szCs w:val="16"/>
          <w:rtl/>
        </w:rPr>
        <w:t>(פי"ג ממלוה ולוה ה"ה)</w:t>
      </w:r>
      <w:r w:rsidRPr="0004348D">
        <w:rPr>
          <w:rFonts w:ascii="Calibri" w:eastAsia="Calibri" w:hAnsi="Calibri" w:cs="Arial"/>
          <w:rtl/>
        </w:rPr>
        <w:t xml:space="preserve">- אע"ג דסתם הלואה שלשים יום אמרינן בתוספתא דמציעא </w:t>
      </w:r>
      <w:r w:rsidRPr="0004348D">
        <w:rPr>
          <w:rFonts w:ascii="Calibri" w:eastAsia="Calibri" w:hAnsi="Calibri" w:cs="Arial"/>
          <w:sz w:val="16"/>
          <w:szCs w:val="16"/>
          <w:rtl/>
        </w:rPr>
        <w:t xml:space="preserve">(פ"י ה"א) </w:t>
      </w:r>
      <w:r w:rsidRPr="0004348D">
        <w:rPr>
          <w:rFonts w:ascii="Calibri" w:eastAsia="Calibri" w:hAnsi="Calibri" w:cs="Arial"/>
          <w:rtl/>
        </w:rPr>
        <w:t>במדינה שנהגו פחות מכן או יותר מכן - אין משנין ממנהג המדינה.</w:t>
      </w:r>
      <w:r w:rsidRPr="0004348D">
        <w:rPr>
          <w:rFonts w:ascii="Calibri" w:eastAsia="Calibri" w:hAnsi="Calibri" w:cs="Arial"/>
          <w:color w:val="E36C0A" w:themeColor="accent6" w:themeShade="BF"/>
          <w:rtl/>
        </w:rPr>
        <w:t xml:space="preserve"> (וכ"פ בשו"ע)</w:t>
      </w:r>
    </w:p>
    <w:p w14:paraId="7D3DD1F7" w14:textId="77777777" w:rsidR="0004348D" w:rsidRPr="0004348D" w:rsidRDefault="0004348D" w:rsidP="0004348D">
      <w:pPr>
        <w:spacing w:before="360" w:after="240"/>
        <w:ind w:left="360"/>
        <w:rPr>
          <w:rFonts w:ascii="Calibri" w:eastAsia="Calibri" w:hAnsi="Calibri" w:cs="Arial"/>
          <w:u w:val="dotted"/>
        </w:rPr>
      </w:pPr>
      <w:r w:rsidRPr="0004348D">
        <w:rPr>
          <w:rFonts w:ascii="Calibri" w:eastAsia="Calibri" w:hAnsi="Calibri" w:cs="Arial"/>
          <w:u w:val="dotted"/>
          <w:rtl/>
        </w:rPr>
        <w:t>ומה הדין אם בשעת ההלואה התנה עמו שיתבענו בכל זמן שירצה:</w:t>
      </w:r>
    </w:p>
    <w:p w14:paraId="47ACF79A" w14:textId="77777777" w:rsidR="0004348D" w:rsidRPr="0004348D" w:rsidRDefault="0004348D" w:rsidP="00992A87">
      <w:pPr>
        <w:numPr>
          <w:ilvl w:val="0"/>
          <w:numId w:val="373"/>
        </w:numPr>
        <w:spacing w:before="360" w:after="240"/>
        <w:contextualSpacing/>
        <w:rPr>
          <w:rFonts w:ascii="Calibri" w:eastAsia="Calibri" w:hAnsi="Calibri" w:cs="Arial"/>
        </w:rPr>
      </w:pPr>
      <w:r w:rsidRPr="0004348D">
        <w:rPr>
          <w:rFonts w:ascii="Calibri" w:eastAsia="Calibri" w:hAnsi="Calibri" w:cs="Arial"/>
          <w:rtl/>
        </w:rPr>
        <w:t xml:space="preserve">רמב"ם </w:t>
      </w:r>
      <w:r w:rsidRPr="0004348D">
        <w:rPr>
          <w:rFonts w:ascii="Calibri" w:eastAsia="Calibri" w:hAnsi="Calibri" w:cs="Arial"/>
          <w:sz w:val="16"/>
          <w:szCs w:val="16"/>
          <w:rtl/>
        </w:rPr>
        <w:t>(שם)</w:t>
      </w:r>
      <w:r w:rsidRPr="0004348D">
        <w:rPr>
          <w:rFonts w:ascii="Calibri" w:eastAsia="Calibri" w:hAnsi="Calibri" w:cs="Arial"/>
          <w:rtl/>
        </w:rPr>
        <w:t xml:space="preserve">- אם התנה שיתבע בכל זמן שירצה - יש לו לתבעו ביומו, שתנאי ממון הוא. </w:t>
      </w:r>
      <w:r w:rsidRPr="0004348D">
        <w:rPr>
          <w:rFonts w:ascii="Calibri" w:eastAsia="Calibri" w:hAnsi="Calibri" w:cs="Arial"/>
          <w:color w:val="E36C0A" w:themeColor="accent6" w:themeShade="BF"/>
          <w:rtl/>
        </w:rPr>
        <w:t>(וכ"פ בשו"ע)</w:t>
      </w:r>
    </w:p>
    <w:p w14:paraId="51A3A6FC" w14:textId="77777777" w:rsidR="0004348D" w:rsidRPr="0004348D" w:rsidRDefault="0004348D" w:rsidP="0004348D">
      <w:pPr>
        <w:spacing w:before="360" w:after="240"/>
        <w:rPr>
          <w:rFonts w:ascii="Calibri" w:eastAsia="Calibri" w:hAnsi="Calibri" w:cs="Arial"/>
          <w:u w:val="single"/>
        </w:rPr>
      </w:pPr>
      <w:r w:rsidRPr="0004348D">
        <w:rPr>
          <w:rFonts w:ascii="Calibri" w:eastAsia="Calibri" w:hAnsi="Calibri" w:cs="Arial"/>
          <w:u w:val="single"/>
          <w:rtl/>
        </w:rPr>
        <w:t>האם נאמן לומר 'פרעתי' תוך שלושים יום:</w:t>
      </w:r>
    </w:p>
    <w:p w14:paraId="0E49FBCC" w14:textId="77777777" w:rsidR="0004348D" w:rsidRPr="0004348D" w:rsidRDefault="0004348D" w:rsidP="0004348D">
      <w:pPr>
        <w:numPr>
          <w:ilvl w:val="0"/>
          <w:numId w:val="356"/>
        </w:numPr>
        <w:spacing w:before="360" w:after="240"/>
        <w:contextualSpacing/>
        <w:rPr>
          <w:rFonts w:ascii="Calibri" w:eastAsia="Calibri" w:hAnsi="Calibri" w:cs="Arial"/>
        </w:rPr>
      </w:pPr>
      <w:r w:rsidRPr="0004348D">
        <w:rPr>
          <w:rFonts w:ascii="Calibri" w:eastAsia="Calibri" w:hAnsi="Calibri" w:cs="Arial"/>
          <w:rtl/>
        </w:rPr>
        <w:t xml:space="preserve">רא"ש </w:t>
      </w:r>
      <w:r w:rsidRPr="0004348D">
        <w:rPr>
          <w:rFonts w:ascii="Calibri" w:eastAsia="Calibri" w:hAnsi="Calibri" w:cs="Arial"/>
          <w:sz w:val="16"/>
          <w:szCs w:val="16"/>
          <w:rtl/>
        </w:rPr>
        <w:t xml:space="preserve">(פ"ק דבתרא סי' ט) </w:t>
      </w:r>
      <w:r w:rsidRPr="0004348D">
        <w:rPr>
          <w:rFonts w:ascii="Calibri" w:eastAsia="Calibri" w:hAnsi="Calibri" w:cs="Arial"/>
          <w:rtl/>
        </w:rPr>
        <w:t xml:space="preserve">טור </w:t>
      </w:r>
      <w:r w:rsidRPr="0004348D">
        <w:rPr>
          <w:rFonts w:ascii="Calibri" w:eastAsia="Calibri" w:hAnsi="Calibri" w:cs="Arial"/>
          <w:sz w:val="16"/>
          <w:szCs w:val="16"/>
          <w:rtl/>
        </w:rPr>
        <w:t>(סי' עח ס"ה)</w:t>
      </w:r>
      <w:r w:rsidRPr="0004348D">
        <w:rPr>
          <w:rFonts w:ascii="Calibri" w:eastAsia="Calibri" w:hAnsi="Calibri" w:cs="Arial"/>
          <w:rtl/>
        </w:rPr>
        <w:t xml:space="preserve"> ונמוק"י </w:t>
      </w:r>
      <w:r w:rsidRPr="0004348D">
        <w:rPr>
          <w:rFonts w:ascii="Calibri" w:eastAsia="Calibri" w:hAnsi="Calibri" w:cs="Arial"/>
          <w:sz w:val="16"/>
          <w:szCs w:val="16"/>
          <w:rtl/>
        </w:rPr>
        <w:t>(א: ד"ה גמ' אינו)</w:t>
      </w:r>
      <w:r w:rsidRPr="0004348D">
        <w:rPr>
          <w:rFonts w:ascii="Calibri" w:eastAsia="Calibri" w:hAnsi="Calibri" w:cs="Arial"/>
          <w:rtl/>
        </w:rPr>
        <w:t xml:space="preserve">- מיהו נאמן לומר תוך שלשים יום פרעתי, שאין זה ממש כקובע זמן לחבירו שאינו נאמן לומר פרעתי תוך זמנו </w:t>
      </w:r>
      <w:r w:rsidRPr="0004348D">
        <w:rPr>
          <w:rFonts w:ascii="Calibri" w:eastAsia="Calibri" w:hAnsi="Calibri" w:cs="Arial"/>
          <w:sz w:val="16"/>
          <w:szCs w:val="16"/>
          <w:rtl/>
        </w:rPr>
        <w:t>(ל' הנמוק"י)</w:t>
      </w:r>
      <w:r w:rsidRPr="0004348D">
        <w:rPr>
          <w:rFonts w:ascii="Calibri" w:eastAsia="Calibri" w:hAnsi="Calibri" w:cs="Arial"/>
          <w:rtl/>
        </w:rPr>
        <w:t>.</w:t>
      </w:r>
      <w:r w:rsidRPr="0004348D">
        <w:rPr>
          <w:rFonts w:ascii="Calibri" w:eastAsia="Calibri" w:hAnsi="Calibri" w:cs="Arial"/>
          <w:color w:val="E36C0A" w:themeColor="accent6" w:themeShade="BF"/>
          <w:rtl/>
        </w:rPr>
        <w:t xml:space="preserve"> (וכ"פ בשו"ע</w:t>
      </w:r>
      <w:r w:rsidRPr="0004348D">
        <w:rPr>
          <w:rFonts w:ascii="Calibri" w:eastAsia="Calibri" w:hAnsi="Calibri" w:cs="Arial"/>
          <w:color w:val="E36C0A" w:themeColor="accent6" w:themeShade="BF"/>
          <w:sz w:val="16"/>
          <w:szCs w:val="16"/>
          <w:rtl/>
        </w:rPr>
        <w:t xml:space="preserve"> </w:t>
      </w:r>
      <w:r w:rsidRPr="0004348D">
        <w:rPr>
          <w:rFonts w:ascii="Calibri" w:eastAsia="Calibri" w:hAnsi="Calibri" w:cs="Arial"/>
          <w:color w:val="000000" w:themeColor="text1"/>
          <w:sz w:val="16"/>
          <w:szCs w:val="16"/>
          <w:rtl/>
        </w:rPr>
        <w:t>[בסי' עח ס"ח]</w:t>
      </w:r>
      <w:r w:rsidRPr="0004348D">
        <w:rPr>
          <w:rFonts w:ascii="Calibri" w:eastAsia="Calibri" w:hAnsi="Calibri" w:cs="Arial"/>
          <w:color w:val="E36C0A" w:themeColor="accent6" w:themeShade="BF"/>
          <w:rtl/>
        </w:rPr>
        <w:t>)</w:t>
      </w:r>
    </w:p>
    <w:p w14:paraId="474D8A50" w14:textId="77777777" w:rsidR="0004348D" w:rsidRPr="0004348D" w:rsidRDefault="0004348D" w:rsidP="0004348D">
      <w:pPr>
        <w:spacing w:before="360" w:after="240"/>
        <w:rPr>
          <w:rFonts w:ascii="Calibri" w:eastAsia="Calibri" w:hAnsi="Calibri" w:cs="Arial"/>
          <w:u w:val="single"/>
          <w:rtl/>
        </w:rPr>
      </w:pPr>
      <w:r w:rsidRPr="0004348D">
        <w:rPr>
          <w:rFonts w:ascii="Calibri" w:eastAsia="Calibri" w:hAnsi="Calibri" w:cs="Arial"/>
          <w:b/>
          <w:bCs/>
          <w:u w:val="single"/>
          <w:rtl/>
        </w:rPr>
        <w:t>המשאיל</w:t>
      </w:r>
      <w:r w:rsidRPr="0004348D">
        <w:rPr>
          <w:rFonts w:ascii="Calibri" w:eastAsia="Calibri" w:hAnsi="Calibri" w:cs="Arial"/>
          <w:u w:val="single"/>
          <w:rtl/>
        </w:rPr>
        <w:t xml:space="preserve"> לחברו סתם – מתי יכול לתובעו:</w:t>
      </w:r>
    </w:p>
    <w:p w14:paraId="04C00AAA" w14:textId="77777777" w:rsidR="0004348D" w:rsidRPr="0004348D" w:rsidRDefault="0004348D" w:rsidP="0004348D">
      <w:pPr>
        <w:numPr>
          <w:ilvl w:val="0"/>
          <w:numId w:val="356"/>
        </w:numPr>
        <w:spacing w:before="360" w:after="240"/>
        <w:contextualSpacing/>
        <w:rPr>
          <w:rFonts w:ascii="Calibri" w:eastAsia="Calibri" w:hAnsi="Calibri" w:cs="Arial"/>
        </w:rPr>
      </w:pPr>
      <w:r w:rsidRPr="0004348D">
        <w:rPr>
          <w:rFonts w:ascii="Calibri" w:eastAsia="Calibri" w:hAnsi="Calibri" w:cs="Arial"/>
          <w:rtl/>
        </w:rPr>
        <w:t xml:space="preserve">רמב"ם </w:t>
      </w:r>
      <w:r w:rsidRPr="0004348D">
        <w:rPr>
          <w:rFonts w:ascii="Calibri" w:eastAsia="Calibri" w:hAnsi="Calibri" w:cs="Arial"/>
          <w:sz w:val="16"/>
          <w:szCs w:val="16"/>
          <w:rtl/>
        </w:rPr>
        <w:t xml:space="preserve">(פ"א מהל' שאלה ה"ה) </w:t>
      </w:r>
      <w:r w:rsidRPr="0004348D">
        <w:rPr>
          <w:rFonts w:ascii="Calibri" w:eastAsia="Calibri" w:hAnsi="Calibri" w:cs="Arial"/>
          <w:rtl/>
        </w:rPr>
        <w:t xml:space="preserve">רא"ש </w:t>
      </w:r>
      <w:r w:rsidRPr="0004348D">
        <w:rPr>
          <w:rFonts w:ascii="Calibri" w:eastAsia="Calibri" w:hAnsi="Calibri" w:cs="Arial"/>
          <w:sz w:val="16"/>
          <w:szCs w:val="16"/>
          <w:rtl/>
        </w:rPr>
        <w:t xml:space="preserve">(מכות פ"א סי' ד) </w:t>
      </w:r>
      <w:r w:rsidRPr="0004348D">
        <w:rPr>
          <w:rFonts w:ascii="Calibri" w:eastAsia="Calibri" w:hAnsi="Calibri" w:cs="Arial"/>
          <w:rtl/>
        </w:rPr>
        <w:t xml:space="preserve">טור ונמוק"י </w:t>
      </w:r>
      <w:r w:rsidRPr="0004348D">
        <w:rPr>
          <w:rFonts w:ascii="Calibri" w:eastAsia="Calibri" w:hAnsi="Calibri" w:cs="Arial"/>
          <w:sz w:val="16"/>
          <w:szCs w:val="16"/>
          <w:rtl/>
        </w:rPr>
        <w:t>(שם)</w:t>
      </w:r>
      <w:r w:rsidRPr="0004348D">
        <w:rPr>
          <w:rFonts w:ascii="Calibri" w:eastAsia="Calibri" w:hAnsi="Calibri" w:cs="Arial"/>
          <w:rtl/>
        </w:rPr>
        <w:t>- שאלה סתם זמנה לאלתר, ויכול לתבעו מיד.</w:t>
      </w:r>
      <w:r w:rsidRPr="0004348D">
        <w:rPr>
          <w:rFonts w:ascii="Calibri" w:eastAsia="Calibri" w:hAnsi="Calibri" w:cs="Arial"/>
          <w:color w:val="E36C0A" w:themeColor="accent6" w:themeShade="BF"/>
          <w:rtl/>
        </w:rPr>
        <w:t xml:space="preserve"> (וכ"פ בשו"ע)</w:t>
      </w:r>
    </w:p>
    <w:p w14:paraId="5665C8F0" w14:textId="77777777" w:rsidR="0004348D" w:rsidRPr="0004348D" w:rsidRDefault="0004348D" w:rsidP="0004348D">
      <w:pPr>
        <w:numPr>
          <w:ilvl w:val="0"/>
          <w:numId w:val="356"/>
        </w:numPr>
        <w:spacing w:before="360" w:after="240"/>
        <w:contextualSpacing/>
        <w:rPr>
          <w:rFonts w:ascii="Calibri" w:eastAsia="Calibri" w:hAnsi="Calibri" w:cs="Arial"/>
        </w:rPr>
      </w:pPr>
      <w:r w:rsidRPr="0004348D">
        <w:rPr>
          <w:rFonts w:ascii="Calibri" w:eastAsia="Calibri" w:hAnsi="Calibri" w:cs="Arial"/>
          <w:rtl/>
        </w:rPr>
        <w:t xml:space="preserve">ר"ת </w:t>
      </w:r>
      <w:r w:rsidRPr="0004348D">
        <w:rPr>
          <w:rFonts w:ascii="Calibri" w:eastAsia="Calibri" w:hAnsi="Calibri" w:cs="Arial"/>
          <w:sz w:val="16"/>
          <w:szCs w:val="16"/>
          <w:rtl/>
        </w:rPr>
        <w:t>(חולין קי: תוד"ה טלית)</w:t>
      </w:r>
      <w:r w:rsidRPr="0004348D">
        <w:rPr>
          <w:rFonts w:ascii="Calibri" w:eastAsia="Calibri" w:hAnsi="Calibri" w:cs="Arial"/>
          <w:rtl/>
        </w:rPr>
        <w:t>- סתם שאלה נמי שלשים יום</w:t>
      </w:r>
      <w:r w:rsidRPr="0004348D">
        <w:rPr>
          <w:rFonts w:ascii="Calibri" w:eastAsia="Calibri" w:hAnsi="Calibri" w:cs="Arial"/>
          <w:vertAlign w:val="superscript"/>
          <w:rtl/>
        </w:rPr>
        <w:footnoteReference w:id="6033"/>
      </w:r>
      <w:r w:rsidRPr="0004348D">
        <w:rPr>
          <w:rFonts w:ascii="Calibri" w:eastAsia="Calibri" w:hAnsi="Calibri" w:cs="Arial"/>
          <w:rtl/>
        </w:rPr>
        <w:t xml:space="preserve">. </w:t>
      </w:r>
    </w:p>
    <w:bookmarkEnd w:id="889"/>
    <w:p w14:paraId="19DA8D56" w14:textId="77777777" w:rsidR="0004348D" w:rsidRPr="0004348D" w:rsidRDefault="0004348D" w:rsidP="0004348D">
      <w:pPr>
        <w:spacing w:before="360" w:after="240"/>
        <w:rPr>
          <w:rFonts w:ascii="Calibri" w:eastAsia="Calibri" w:hAnsi="Calibri" w:cs="Arial"/>
          <w:u w:val="single"/>
        </w:rPr>
      </w:pPr>
      <w:r w:rsidRPr="0004348D">
        <w:rPr>
          <w:rFonts w:ascii="Calibri" w:eastAsia="Calibri" w:hAnsi="Calibri" w:cs="Arial"/>
          <w:u w:val="single"/>
          <w:rtl/>
        </w:rPr>
        <w:t>ראובן הלוה לשמעון מנה לפרעו לזמן פלוני על דעת שיעשה לו שטר - ושמעון מיחה בסופר ובעדים שלא יעשו שטר:</w:t>
      </w:r>
    </w:p>
    <w:p w14:paraId="706CD02A" w14:textId="77777777" w:rsidR="0004348D" w:rsidRPr="0004348D" w:rsidRDefault="0004348D" w:rsidP="0004348D">
      <w:pPr>
        <w:numPr>
          <w:ilvl w:val="0"/>
          <w:numId w:val="356"/>
        </w:numPr>
        <w:spacing w:before="360" w:after="240"/>
        <w:contextualSpacing/>
        <w:rPr>
          <w:rFonts w:ascii="Calibri" w:eastAsia="Calibri" w:hAnsi="Calibri" w:cs="Arial"/>
        </w:rPr>
      </w:pPr>
      <w:r w:rsidRPr="0004348D">
        <w:rPr>
          <w:rFonts w:ascii="Calibri" w:eastAsia="Calibri" w:hAnsi="Calibri" w:cs="Arial"/>
          <w:rtl/>
        </w:rPr>
        <w:t xml:space="preserve">רא"ש </w:t>
      </w:r>
      <w:r w:rsidRPr="0004348D">
        <w:rPr>
          <w:rFonts w:ascii="Calibri" w:eastAsia="Calibri" w:hAnsi="Calibri" w:cs="Arial"/>
          <w:sz w:val="16"/>
          <w:szCs w:val="16"/>
          <w:rtl/>
        </w:rPr>
        <w:t>(כלל ס"ו סי' ב)</w:t>
      </w:r>
      <w:r w:rsidRPr="0004348D">
        <w:rPr>
          <w:rFonts w:ascii="Calibri" w:eastAsia="Calibri" w:hAnsi="Calibri" w:cs="Arial"/>
          <w:rtl/>
        </w:rPr>
        <w:t xml:space="preserve"> וטור- ששאלת, ראובן הלוה לשמעון מנה לפרעו לזמן פלוני. ושמעון הקנה לראובן בקנין ושיעבד לו נכסיו, ואח"כ מיחה בסופר ובעדים שלא יעשו שטר על ההלואה. אם יכול לתבוע ראובן מעותיו מיד. תשובה, פשיטא שצריך לפרעו מיד כי נתן לו זמן על דעת שיעשה לו שטר וכיון שאינו רוצה לעשות לו שטר למה יפסיד זה מעותיו אם זה ימכור נכסיו וזה לא ימצא ממה לגבות</w:t>
      </w:r>
      <w:r w:rsidRPr="0004348D">
        <w:rPr>
          <w:rFonts w:ascii="Calibri" w:eastAsia="Calibri" w:hAnsi="Calibri" w:cs="Arial"/>
          <w:sz w:val="16"/>
          <w:szCs w:val="16"/>
          <w:rtl/>
        </w:rPr>
        <w:t xml:space="preserve"> (ל' הטור בשם הרא"ש)</w:t>
      </w:r>
      <w:r w:rsidRPr="0004348D">
        <w:rPr>
          <w:rFonts w:ascii="Calibri" w:eastAsia="Calibri" w:hAnsi="Calibri" w:cs="Arial"/>
          <w:rtl/>
        </w:rPr>
        <w:t xml:space="preserve">. </w:t>
      </w:r>
      <w:r w:rsidRPr="0004348D">
        <w:rPr>
          <w:rFonts w:ascii="Calibri" w:eastAsia="Calibri" w:hAnsi="Calibri" w:cs="Arial"/>
          <w:color w:val="00B0F0"/>
          <w:rtl/>
        </w:rPr>
        <w:t>(וכ"פ הרמ"א)</w:t>
      </w:r>
    </w:p>
    <w:p w14:paraId="197AD6BE" w14:textId="77777777" w:rsidR="0004348D" w:rsidRPr="0004348D" w:rsidRDefault="0004348D" w:rsidP="0004348D">
      <w:pPr>
        <w:spacing w:before="360" w:after="240"/>
        <w:rPr>
          <w:rFonts w:ascii="Arial" w:eastAsia="Calibri" w:hAnsi="Arial" w:cs="Arial"/>
          <w:b/>
          <w:bCs/>
          <w:color w:val="000000"/>
          <w:sz w:val="28"/>
          <w:szCs w:val="28"/>
          <w:u w:val="single"/>
          <w:rtl/>
        </w:rPr>
      </w:pPr>
      <w:r w:rsidRPr="0004348D">
        <w:rPr>
          <w:rFonts w:ascii="Arial" w:eastAsia="Calibri" w:hAnsi="Arial" w:cs="Arial"/>
          <w:b/>
          <w:bCs/>
          <w:color w:val="000000"/>
          <w:sz w:val="28"/>
          <w:szCs w:val="28"/>
          <w:u w:val="single"/>
          <w:rtl/>
        </w:rPr>
        <w:t>שו"ע:</w:t>
      </w:r>
    </w:p>
    <w:p w14:paraId="188CF7B0" w14:textId="77777777" w:rsidR="0004348D" w:rsidRPr="0004348D" w:rsidRDefault="0004348D" w:rsidP="0004348D">
      <w:pPr>
        <w:spacing w:before="360" w:after="240"/>
        <w:rPr>
          <w:rFonts w:ascii="Calibri" w:eastAsia="Calibri" w:hAnsi="Calibri" w:cs="Arial"/>
          <w:rtl/>
        </w:rPr>
      </w:pPr>
      <w:r w:rsidRPr="0004348D">
        <w:rPr>
          <w:rFonts w:ascii="Calibri" w:eastAsia="Calibri" w:hAnsi="Calibri" w:cs="Arial"/>
          <w:rtl/>
        </w:rPr>
        <w:t>המלוה את חבירו סתם ולא קבע לו זמן, במקום שאין להם מנהג</w:t>
      </w:r>
      <w:r w:rsidRPr="0004348D">
        <w:rPr>
          <w:rFonts w:ascii="Calibri" w:eastAsia="Calibri" w:hAnsi="Calibri" w:cs="Arial"/>
          <w:vertAlign w:val="superscript"/>
          <w:rtl/>
        </w:rPr>
        <w:footnoteReference w:id="6034"/>
      </w:r>
      <w:r w:rsidRPr="0004348D">
        <w:rPr>
          <w:rFonts w:ascii="Calibri" w:eastAsia="Calibri" w:hAnsi="Calibri" w:cs="Arial"/>
          <w:rtl/>
        </w:rPr>
        <w:t>, יש לו זמן שלשים יום, שאינו יכול לתבעו קודם, בין במלוה בשטר בין במלוה על פה, בין במשכון בין בלא משכון. ואם התנה שיתבע כל זמן שירצה, יש לו לתובעו אפילו ביומו. אבל שאלה סתם, זמנה לאלתר</w:t>
      </w:r>
      <w:r w:rsidRPr="0004348D">
        <w:rPr>
          <w:rFonts w:ascii="Calibri" w:eastAsia="Calibri" w:hAnsi="Calibri" w:cs="Arial"/>
          <w:vertAlign w:val="superscript"/>
          <w:rtl/>
        </w:rPr>
        <w:footnoteReference w:id="6035"/>
      </w:r>
      <w:r w:rsidRPr="0004348D">
        <w:rPr>
          <w:rFonts w:ascii="Calibri" w:eastAsia="Calibri" w:hAnsi="Calibri" w:cs="Arial"/>
          <w:rtl/>
        </w:rPr>
        <w:t>, ויכול לתובעו מיד</w:t>
      </w:r>
      <w:r w:rsidRPr="0004348D">
        <w:rPr>
          <w:rFonts w:ascii="Calibri" w:eastAsia="Calibri" w:hAnsi="Calibri" w:cs="Arial"/>
          <w:sz w:val="18"/>
          <w:szCs w:val="18"/>
          <w:rtl/>
        </w:rPr>
        <w:t>. הגה: מיהו אם הלוה מוחה שלא ליתן שטר למלוה</w:t>
      </w:r>
      <w:r w:rsidRPr="0004348D">
        <w:rPr>
          <w:rFonts w:ascii="Calibri" w:eastAsia="Calibri" w:hAnsi="Calibri" w:cs="Arial"/>
          <w:sz w:val="18"/>
          <w:szCs w:val="18"/>
          <w:vertAlign w:val="superscript"/>
          <w:rtl/>
        </w:rPr>
        <w:footnoteReference w:id="6036"/>
      </w:r>
      <w:r w:rsidRPr="0004348D">
        <w:rPr>
          <w:rFonts w:ascii="Calibri" w:eastAsia="Calibri" w:hAnsi="Calibri" w:cs="Arial"/>
          <w:sz w:val="18"/>
          <w:szCs w:val="18"/>
          <w:rtl/>
        </w:rPr>
        <w:t>, והוא מבקש ממנו שטר, צריך להחזיר לו מעותיו מיד, כי מסתמא לא הלוה לו אלא שיכתוב לו שטר, ומאחר שאינו רוצה, יחזיר לו מעותיו. (טור בשם הרא"ש).</w:t>
      </w:r>
      <w:r w:rsidRPr="0004348D">
        <w:rPr>
          <w:rFonts w:ascii="Calibri" w:eastAsia="Calibri" w:hAnsi="Calibri" w:cs="Arial"/>
          <w:rtl/>
        </w:rPr>
        <w:t xml:space="preserve"> </w:t>
      </w:r>
    </w:p>
    <w:p w14:paraId="7306EB68" w14:textId="77777777" w:rsidR="0004348D" w:rsidRPr="0004348D" w:rsidRDefault="0004348D" w:rsidP="0004348D">
      <w:pPr>
        <w:spacing w:before="360" w:after="240"/>
        <w:rPr>
          <w:rFonts w:ascii="Calibri" w:eastAsia="Calibri" w:hAnsi="Calibri" w:cs="Arial"/>
          <w:rtl/>
        </w:rPr>
      </w:pPr>
    </w:p>
    <w:p w14:paraId="6B81F821" w14:textId="77777777" w:rsidR="0004348D" w:rsidRPr="0004348D" w:rsidRDefault="0004348D" w:rsidP="0004348D">
      <w:pPr>
        <w:keepNext/>
        <w:keepLines/>
        <w:spacing w:before="360" w:after="240"/>
        <w:outlineLvl w:val="1"/>
        <w:rPr>
          <w:rFonts w:ascii="Cambria" w:eastAsia="Times New Roman" w:hAnsi="Cambria" w:cs="Arial"/>
          <w:bCs/>
          <w:color w:val="548DD4" w:themeColor="text2" w:themeTint="99"/>
          <w:sz w:val="26"/>
          <w:szCs w:val="26"/>
          <w:rtl/>
        </w:rPr>
      </w:pPr>
      <w:bookmarkStart w:id="890" w:name="_Toc24884265"/>
      <w:r w:rsidRPr="0004348D">
        <w:rPr>
          <w:rFonts w:ascii="Cambria" w:eastAsia="Times New Roman" w:hAnsi="Cambria" w:cs="Arial"/>
          <w:bCs/>
          <w:color w:val="548DD4" w:themeColor="text2" w:themeTint="99"/>
          <w:sz w:val="26"/>
          <w:szCs w:val="26"/>
          <w:rtl/>
        </w:rPr>
        <w:t>סעיף ב: המלוה לחברו וקבע לו זמן לפרעו.</w:t>
      </w:r>
      <w:bookmarkEnd w:id="890"/>
    </w:p>
    <w:p w14:paraId="7418F3DC" w14:textId="77777777" w:rsidR="0004348D" w:rsidRPr="0004348D" w:rsidRDefault="0004348D" w:rsidP="0004348D">
      <w:pPr>
        <w:spacing w:before="360" w:after="240"/>
        <w:rPr>
          <w:rFonts w:ascii="Calibri" w:eastAsia="Calibri" w:hAnsi="Calibri" w:cs="Arial"/>
          <w:u w:val="single"/>
          <w:rtl/>
        </w:rPr>
      </w:pPr>
      <w:r w:rsidRPr="0004348D">
        <w:rPr>
          <w:rFonts w:ascii="Calibri" w:eastAsia="Calibri" w:hAnsi="Calibri" w:cs="Arial"/>
          <w:u w:val="single"/>
          <w:rtl/>
        </w:rPr>
        <w:t>המלוה לחברו וקבע לו זמן לפרעו:</w:t>
      </w:r>
    </w:p>
    <w:p w14:paraId="7C503215" w14:textId="77777777" w:rsidR="0004348D" w:rsidRPr="0004348D" w:rsidRDefault="0004348D" w:rsidP="0004348D">
      <w:pPr>
        <w:numPr>
          <w:ilvl w:val="0"/>
          <w:numId w:val="356"/>
        </w:numPr>
        <w:spacing w:before="360" w:after="240"/>
        <w:contextualSpacing/>
        <w:rPr>
          <w:rFonts w:ascii="Calibri" w:eastAsia="Calibri" w:hAnsi="Calibri" w:cs="Arial"/>
          <w:rtl/>
        </w:rPr>
      </w:pPr>
      <w:r w:rsidRPr="0004348D">
        <w:rPr>
          <w:rFonts w:ascii="Calibri" w:eastAsia="Calibri" w:hAnsi="Calibri" w:cs="Arial"/>
          <w:rtl/>
        </w:rPr>
        <w:t xml:space="preserve">רמב"ם </w:t>
      </w:r>
      <w:r w:rsidRPr="0004348D">
        <w:rPr>
          <w:rFonts w:ascii="Calibri" w:eastAsia="Calibri" w:hAnsi="Calibri" w:cs="Arial"/>
          <w:sz w:val="16"/>
          <w:szCs w:val="16"/>
          <w:rtl/>
        </w:rPr>
        <w:t>(פי"ג ממלוה ה"ה-ו)</w:t>
      </w:r>
      <w:r w:rsidRPr="0004348D">
        <w:rPr>
          <w:rFonts w:ascii="Calibri" w:eastAsia="Calibri" w:hAnsi="Calibri" w:cs="Arial"/>
          <w:rtl/>
        </w:rPr>
        <w:t xml:space="preserve"> וטור- המלוה לחברו וקבע לו זמן לפרעו, אע"פ שלא קנו מידו - אינו יכול לתבעו קודם הזמן, בין במלוה ע"פ בין בשטר בין במלוה על המשכון, בין שמת לוה בין שמת מלוה. וסתם מלוה שזמנה ל' יום אם התנה שיתבע כל זמן שירצה - יש לו לתבעו אפילו ביומו, שכל תנאי שבממון קיים </w:t>
      </w:r>
      <w:r w:rsidRPr="0004348D">
        <w:rPr>
          <w:rFonts w:ascii="Calibri" w:eastAsia="Calibri" w:hAnsi="Calibri" w:cs="Arial"/>
          <w:sz w:val="16"/>
          <w:szCs w:val="16"/>
          <w:rtl/>
        </w:rPr>
        <w:t>(ל' הטור בשם הרמב"ם)</w:t>
      </w:r>
      <w:r w:rsidRPr="0004348D">
        <w:rPr>
          <w:rFonts w:ascii="Calibri" w:eastAsia="Calibri" w:hAnsi="Calibri" w:cs="Arial"/>
          <w:rtl/>
        </w:rPr>
        <w:t xml:space="preserve">. </w:t>
      </w:r>
      <w:r w:rsidRPr="0004348D">
        <w:rPr>
          <w:rFonts w:ascii="Calibri" w:eastAsia="Calibri" w:hAnsi="Calibri" w:cs="Arial"/>
          <w:color w:val="E36C0A" w:themeColor="accent6" w:themeShade="BF"/>
          <w:rtl/>
        </w:rPr>
        <w:t>(וכ"פ בשו"ע)</w:t>
      </w:r>
    </w:p>
    <w:p w14:paraId="2B9E56E0" w14:textId="77777777" w:rsidR="0004348D" w:rsidRPr="0004348D" w:rsidRDefault="0004348D" w:rsidP="0004348D">
      <w:pPr>
        <w:spacing w:before="360" w:after="240"/>
        <w:ind w:left="360"/>
        <w:rPr>
          <w:rFonts w:ascii="Calibri" w:eastAsia="Calibri" w:hAnsi="Calibri" w:cs="Arial"/>
          <w:u w:val="dotted"/>
        </w:rPr>
      </w:pPr>
      <w:r w:rsidRPr="0004348D">
        <w:rPr>
          <w:rFonts w:ascii="Calibri" w:eastAsia="Calibri" w:hAnsi="Calibri" w:cs="Arial"/>
          <w:u w:val="dotted"/>
          <w:rtl/>
        </w:rPr>
        <w:t xml:space="preserve">ומה הדין אם הם חלוקים מתי סוף זמן ההלואה שקבעו בניהם: </w:t>
      </w:r>
    </w:p>
    <w:p w14:paraId="7477A3F7" w14:textId="77777777" w:rsidR="0004348D" w:rsidRPr="0004348D" w:rsidRDefault="0004348D" w:rsidP="0004348D">
      <w:pPr>
        <w:numPr>
          <w:ilvl w:val="0"/>
          <w:numId w:val="356"/>
        </w:numPr>
        <w:spacing w:before="360" w:after="240"/>
        <w:contextualSpacing/>
        <w:rPr>
          <w:rFonts w:ascii="Calibri" w:eastAsia="Calibri" w:hAnsi="Calibri" w:cs="Arial"/>
        </w:rPr>
      </w:pPr>
      <w:r w:rsidRPr="0004348D">
        <w:rPr>
          <w:rFonts w:ascii="Calibri" w:eastAsia="Calibri" w:hAnsi="Calibri" w:cs="Arial"/>
          <w:rtl/>
        </w:rPr>
        <w:t xml:space="preserve">רמב"ם </w:t>
      </w:r>
      <w:r w:rsidRPr="0004348D">
        <w:rPr>
          <w:rFonts w:ascii="Calibri" w:eastAsia="Calibri" w:hAnsi="Calibri" w:cs="Arial"/>
          <w:sz w:val="16"/>
          <w:szCs w:val="16"/>
          <w:rtl/>
        </w:rPr>
        <w:t>(פי"ג ממלוה ה"ה-ו)</w:t>
      </w:r>
      <w:r w:rsidRPr="0004348D">
        <w:rPr>
          <w:rFonts w:ascii="Calibri" w:eastAsia="Calibri" w:hAnsi="Calibri" w:cs="Arial"/>
          <w:rtl/>
        </w:rPr>
        <w:t xml:space="preserve"> וטור- טען המלוה ואמר היום סוף הזמן שקבעתי לך, ולוה אמר עד י' ימים קבעת לי - נשבע הלוה שבועת היסת. ואם היה שם עד אחד שהיום סוף זמנו - נשבע שבועת התורה כשאר טענות</w:t>
      </w:r>
      <w:r w:rsidRPr="0004348D">
        <w:rPr>
          <w:rFonts w:ascii="Calibri" w:eastAsia="Calibri" w:hAnsi="Calibri" w:cs="Arial"/>
          <w:sz w:val="16"/>
          <w:szCs w:val="16"/>
          <w:rtl/>
        </w:rPr>
        <w:t xml:space="preserve"> (ל' הטור בשם הרמב"ם)</w:t>
      </w:r>
      <w:r w:rsidRPr="0004348D">
        <w:rPr>
          <w:rFonts w:ascii="Calibri" w:eastAsia="Calibri" w:hAnsi="Calibri" w:cs="Arial"/>
          <w:vertAlign w:val="superscript"/>
          <w:rtl/>
        </w:rPr>
        <w:footnoteReference w:id="6037"/>
      </w:r>
      <w:r w:rsidRPr="0004348D">
        <w:rPr>
          <w:rFonts w:ascii="Calibri" w:eastAsia="Calibri" w:hAnsi="Calibri" w:cs="Arial"/>
          <w:rtl/>
        </w:rPr>
        <w:t xml:space="preserve">. </w:t>
      </w:r>
      <w:r w:rsidRPr="0004348D">
        <w:rPr>
          <w:rFonts w:ascii="Calibri" w:eastAsia="Calibri" w:hAnsi="Calibri" w:cs="Arial"/>
          <w:color w:val="E36C0A" w:themeColor="accent6" w:themeShade="BF"/>
          <w:rtl/>
        </w:rPr>
        <w:t>(וכ"פ בשו"ע)</w:t>
      </w:r>
    </w:p>
    <w:p w14:paraId="2CDA3DB5" w14:textId="77777777" w:rsidR="0004348D" w:rsidRPr="0004348D" w:rsidRDefault="0004348D" w:rsidP="0004348D">
      <w:pPr>
        <w:spacing w:before="360" w:after="240"/>
        <w:rPr>
          <w:rFonts w:ascii="Arial" w:eastAsia="Calibri" w:hAnsi="Arial" w:cs="Arial"/>
          <w:b/>
          <w:bCs/>
          <w:color w:val="000000"/>
          <w:sz w:val="28"/>
          <w:szCs w:val="28"/>
          <w:u w:val="single"/>
          <w:rtl/>
        </w:rPr>
      </w:pPr>
      <w:r w:rsidRPr="0004348D">
        <w:rPr>
          <w:rFonts w:ascii="Arial" w:eastAsia="Calibri" w:hAnsi="Arial" w:cs="Arial"/>
          <w:b/>
          <w:bCs/>
          <w:color w:val="000000"/>
          <w:sz w:val="28"/>
          <w:szCs w:val="28"/>
          <w:u w:val="single"/>
          <w:rtl/>
        </w:rPr>
        <w:t>שו"ע:</w:t>
      </w:r>
    </w:p>
    <w:p w14:paraId="4B7E0FB6" w14:textId="77777777" w:rsidR="0004348D" w:rsidRPr="0004348D" w:rsidRDefault="0004348D" w:rsidP="0004348D">
      <w:pPr>
        <w:spacing w:before="360" w:after="240"/>
        <w:rPr>
          <w:rFonts w:ascii="Calibri" w:eastAsia="Calibri" w:hAnsi="Calibri" w:cs="Arial"/>
          <w:rtl/>
        </w:rPr>
      </w:pPr>
      <w:r w:rsidRPr="0004348D">
        <w:rPr>
          <w:rFonts w:ascii="Calibri" w:eastAsia="Calibri" w:hAnsi="Calibri" w:cs="Arial"/>
          <w:rtl/>
        </w:rPr>
        <w:t>המלוה את חבירו וקבע לו זמן לפורעו</w:t>
      </w:r>
      <w:r w:rsidRPr="0004348D">
        <w:rPr>
          <w:rFonts w:ascii="Calibri" w:eastAsia="Calibri" w:hAnsi="Calibri" w:cs="Arial"/>
          <w:vertAlign w:val="superscript"/>
          <w:rtl/>
        </w:rPr>
        <w:footnoteReference w:id="6038"/>
      </w:r>
      <w:r w:rsidRPr="0004348D">
        <w:rPr>
          <w:rFonts w:ascii="Calibri" w:eastAsia="Calibri" w:hAnsi="Calibri" w:cs="Arial"/>
          <w:rtl/>
        </w:rPr>
        <w:t>, אף על פי שלא קנו מידו, אינו יכול לתבעו קודם הזמן, בין במלוה על פה בין במלוה בשטר, בין במשכון בין שלא במשכון, בין שמת מלוה בין שמת לוה, אם יורשיו אמודים בנכסים כמוהו</w:t>
      </w:r>
      <w:r w:rsidRPr="0004348D">
        <w:rPr>
          <w:rFonts w:ascii="Calibri" w:eastAsia="Calibri" w:hAnsi="Calibri" w:cs="Arial"/>
          <w:vertAlign w:val="superscript"/>
          <w:rtl/>
        </w:rPr>
        <w:footnoteReference w:id="6039"/>
      </w:r>
      <w:r w:rsidRPr="0004348D">
        <w:rPr>
          <w:rFonts w:ascii="Calibri" w:eastAsia="Calibri" w:hAnsi="Calibri" w:cs="Arial"/>
          <w:rtl/>
        </w:rPr>
        <w:t>. טען המלוה ואמר 'היום סוף הזמן שקבעתי', והלוה אומר 'עד עשרה ימים קבעת', הלוה נשבע היסת</w:t>
      </w:r>
      <w:r w:rsidRPr="0004348D">
        <w:rPr>
          <w:rFonts w:ascii="Calibri" w:eastAsia="Calibri" w:hAnsi="Calibri" w:cs="Arial"/>
          <w:vertAlign w:val="superscript"/>
          <w:rtl/>
        </w:rPr>
        <w:footnoteReference w:id="6040"/>
      </w:r>
      <w:r w:rsidRPr="0004348D">
        <w:rPr>
          <w:rFonts w:ascii="Calibri" w:eastAsia="Calibri" w:hAnsi="Calibri" w:cs="Arial"/>
          <w:rtl/>
        </w:rPr>
        <w:t>. ואם היה שם עד אחד שהיום סוף זמנו, הרי זה נשבע שבועת התורה.</w:t>
      </w:r>
    </w:p>
    <w:p w14:paraId="3E2D937B" w14:textId="77777777" w:rsidR="0004348D" w:rsidRPr="0004348D" w:rsidRDefault="0004348D" w:rsidP="0004348D">
      <w:pPr>
        <w:spacing w:before="360" w:after="240"/>
        <w:rPr>
          <w:rFonts w:ascii="Calibri" w:eastAsia="Calibri" w:hAnsi="Calibri" w:cs="Arial"/>
          <w:rtl/>
        </w:rPr>
      </w:pPr>
    </w:p>
    <w:p w14:paraId="757FB1C4" w14:textId="77777777" w:rsidR="0004348D" w:rsidRPr="0004348D" w:rsidRDefault="0004348D" w:rsidP="0004348D">
      <w:pPr>
        <w:keepNext/>
        <w:keepLines/>
        <w:spacing w:before="360" w:after="240"/>
        <w:outlineLvl w:val="1"/>
        <w:rPr>
          <w:rFonts w:ascii="Cambria" w:eastAsia="Times New Roman" w:hAnsi="Cambria" w:cs="Arial"/>
          <w:bCs/>
          <w:color w:val="548DD4" w:themeColor="text2" w:themeTint="99"/>
          <w:sz w:val="26"/>
          <w:szCs w:val="26"/>
          <w:rtl/>
        </w:rPr>
      </w:pPr>
      <w:bookmarkStart w:id="891" w:name="_Toc24884266"/>
      <w:r w:rsidRPr="0004348D">
        <w:rPr>
          <w:rFonts w:ascii="Cambria" w:eastAsia="Times New Roman" w:hAnsi="Cambria" w:cs="Arial"/>
          <w:bCs/>
          <w:color w:val="548DD4" w:themeColor="text2" w:themeTint="99"/>
          <w:sz w:val="26"/>
          <w:szCs w:val="26"/>
          <w:rtl/>
        </w:rPr>
        <w:t>סעיף ג: זה אומר 'חמשה ימים נשאר מהזמן', וזה אומר 'עשרה'.</w:t>
      </w:r>
      <w:bookmarkEnd w:id="891"/>
    </w:p>
    <w:p w14:paraId="3ED3B579" w14:textId="77777777" w:rsidR="0004348D" w:rsidRPr="0004348D" w:rsidRDefault="0004348D" w:rsidP="0004348D">
      <w:pPr>
        <w:spacing w:before="360" w:after="240"/>
        <w:rPr>
          <w:rFonts w:ascii="Calibri" w:eastAsia="Calibri" w:hAnsi="Calibri" w:cs="Arial"/>
          <w:u w:val="single"/>
          <w:rtl/>
        </w:rPr>
      </w:pPr>
      <w:r w:rsidRPr="0004348D">
        <w:rPr>
          <w:rFonts w:ascii="Calibri" w:eastAsia="Calibri" w:hAnsi="Calibri" w:cs="Arial"/>
          <w:u w:val="single"/>
          <w:rtl/>
        </w:rPr>
        <w:t>זה אומר 'חמשה ימים נשאר מהזמן', וזה אומר 'עשרה':</w:t>
      </w:r>
    </w:p>
    <w:p w14:paraId="5AE5B3CE" w14:textId="77777777" w:rsidR="0004348D" w:rsidRPr="0004348D" w:rsidRDefault="0004348D" w:rsidP="0004348D">
      <w:pPr>
        <w:numPr>
          <w:ilvl w:val="0"/>
          <w:numId w:val="356"/>
        </w:numPr>
        <w:spacing w:before="360" w:after="240"/>
        <w:contextualSpacing/>
        <w:rPr>
          <w:rFonts w:ascii="Calibri" w:eastAsia="Calibri" w:hAnsi="Calibri" w:cs="Arial"/>
          <w:rtl/>
        </w:rPr>
      </w:pPr>
      <w:r w:rsidRPr="0004348D">
        <w:rPr>
          <w:rFonts w:ascii="Calibri" w:eastAsia="Calibri" w:hAnsi="Calibri" w:cs="Arial"/>
          <w:rtl/>
        </w:rPr>
        <w:t xml:space="preserve">רמב"ם </w:t>
      </w:r>
      <w:r w:rsidRPr="0004348D">
        <w:rPr>
          <w:rFonts w:ascii="Calibri" w:eastAsia="Calibri" w:hAnsi="Calibri" w:cs="Arial"/>
          <w:sz w:val="16"/>
          <w:szCs w:val="16"/>
          <w:rtl/>
        </w:rPr>
        <w:t>(פי"ג ממלוה ה"ו)</w:t>
      </w:r>
      <w:r w:rsidRPr="0004348D">
        <w:rPr>
          <w:rFonts w:ascii="Calibri" w:eastAsia="Calibri" w:hAnsi="Calibri" w:cs="Arial"/>
          <w:rtl/>
        </w:rPr>
        <w:t xml:space="preserve"> וטור- זה אומר ה' ימים נשאר מהזמן וזה אומר י' ימים - אומרים למלוה שימתין עד סוף ה', וישבע </w:t>
      </w:r>
      <w:r w:rsidRPr="0004348D">
        <w:rPr>
          <w:rFonts w:ascii="Calibri" w:eastAsia="Calibri" w:hAnsi="Calibri" w:cs="Arial"/>
          <w:sz w:val="16"/>
          <w:szCs w:val="16"/>
          <w:rtl/>
        </w:rPr>
        <w:t xml:space="preserve">{הלוה} </w:t>
      </w:r>
      <w:r w:rsidRPr="0004348D">
        <w:rPr>
          <w:rFonts w:ascii="Calibri" w:eastAsia="Calibri" w:hAnsi="Calibri" w:cs="Arial"/>
          <w:rtl/>
        </w:rPr>
        <w:t>היסת שנשארו עוד ה'</w:t>
      </w:r>
      <w:r w:rsidRPr="0004348D">
        <w:rPr>
          <w:rFonts w:ascii="Calibri" w:eastAsia="Calibri" w:hAnsi="Calibri" w:cs="Arial"/>
          <w:vertAlign w:val="superscript"/>
          <w:rtl/>
        </w:rPr>
        <w:footnoteReference w:id="6041"/>
      </w:r>
      <w:r w:rsidRPr="0004348D">
        <w:rPr>
          <w:rFonts w:ascii="Calibri" w:eastAsia="Calibri" w:hAnsi="Calibri" w:cs="Arial"/>
          <w:sz w:val="16"/>
          <w:szCs w:val="16"/>
          <w:rtl/>
        </w:rPr>
        <w:t>(ל' הטור בשם הרמב"ם)</w:t>
      </w:r>
      <w:r w:rsidRPr="0004348D">
        <w:rPr>
          <w:rFonts w:ascii="Calibri" w:eastAsia="Calibri" w:hAnsi="Calibri" w:cs="Arial"/>
          <w:rtl/>
        </w:rPr>
        <w:t xml:space="preserve">. </w:t>
      </w:r>
      <w:r w:rsidRPr="0004348D">
        <w:rPr>
          <w:rFonts w:ascii="Calibri" w:eastAsia="Calibri" w:hAnsi="Calibri" w:cs="Arial"/>
          <w:color w:val="E36C0A" w:themeColor="accent6" w:themeShade="BF"/>
          <w:rtl/>
        </w:rPr>
        <w:t>(וכ"פ בשו"ע)</w:t>
      </w:r>
    </w:p>
    <w:p w14:paraId="392FBF4D" w14:textId="77777777" w:rsidR="0004348D" w:rsidRPr="0004348D" w:rsidRDefault="0004348D" w:rsidP="0004348D">
      <w:pPr>
        <w:spacing w:before="360" w:after="240"/>
        <w:rPr>
          <w:rFonts w:ascii="Arial" w:eastAsia="Calibri" w:hAnsi="Arial" w:cs="Arial"/>
          <w:b/>
          <w:bCs/>
          <w:color w:val="000000"/>
          <w:sz w:val="28"/>
          <w:szCs w:val="28"/>
          <w:u w:val="single"/>
          <w:rtl/>
        </w:rPr>
      </w:pPr>
      <w:r w:rsidRPr="0004348D">
        <w:rPr>
          <w:rFonts w:ascii="Arial" w:eastAsia="Calibri" w:hAnsi="Arial" w:cs="Arial"/>
          <w:b/>
          <w:bCs/>
          <w:color w:val="000000"/>
          <w:sz w:val="28"/>
          <w:szCs w:val="28"/>
          <w:u w:val="single"/>
          <w:rtl/>
        </w:rPr>
        <w:t>שו"ע:</w:t>
      </w:r>
    </w:p>
    <w:p w14:paraId="77CAC22A" w14:textId="77777777" w:rsidR="0004348D" w:rsidRPr="0004348D" w:rsidRDefault="0004348D" w:rsidP="0004348D">
      <w:pPr>
        <w:spacing w:before="360" w:after="240"/>
        <w:rPr>
          <w:rFonts w:ascii="Calibri" w:eastAsia="Calibri" w:hAnsi="Calibri" w:cs="Arial"/>
          <w:rtl/>
        </w:rPr>
      </w:pPr>
      <w:r w:rsidRPr="0004348D">
        <w:rPr>
          <w:rFonts w:ascii="Calibri" w:eastAsia="Calibri" w:hAnsi="Calibri" w:cs="Arial"/>
          <w:rtl/>
        </w:rPr>
        <w:t xml:space="preserve">זה אומר 'חמשה ימים נשאר מהזמן', וזה אומר 'עשרה', אומרים למלוה המתן עוד עד סוף החמשה, ואז ישבע היסת שנשאר עוד חמשה ימים. </w:t>
      </w:r>
    </w:p>
    <w:p w14:paraId="3887B341" w14:textId="77777777" w:rsidR="0004348D" w:rsidRPr="0004348D" w:rsidRDefault="0004348D" w:rsidP="0004348D">
      <w:pPr>
        <w:spacing w:before="360" w:after="240"/>
        <w:rPr>
          <w:rFonts w:ascii="Calibri" w:eastAsia="Calibri" w:hAnsi="Calibri" w:cs="Arial"/>
          <w:rtl/>
        </w:rPr>
      </w:pPr>
    </w:p>
    <w:p w14:paraId="48F490F7" w14:textId="77777777" w:rsidR="0004348D" w:rsidRPr="0004348D" w:rsidRDefault="0004348D" w:rsidP="0004348D">
      <w:pPr>
        <w:keepNext/>
        <w:keepLines/>
        <w:spacing w:before="360" w:after="240"/>
        <w:outlineLvl w:val="1"/>
        <w:rPr>
          <w:rFonts w:ascii="Cambria" w:eastAsia="Times New Roman" w:hAnsi="Cambria" w:cs="Arial"/>
          <w:bCs/>
          <w:color w:val="548DD4" w:themeColor="text2" w:themeTint="99"/>
          <w:sz w:val="26"/>
          <w:szCs w:val="26"/>
          <w:rtl/>
        </w:rPr>
      </w:pPr>
      <w:bookmarkStart w:id="892" w:name="_Toc24884267"/>
      <w:r w:rsidRPr="0004348D">
        <w:rPr>
          <w:rFonts w:ascii="Cambria" w:eastAsia="Times New Roman" w:hAnsi="Cambria" w:cs="Arial"/>
          <w:bCs/>
          <w:color w:val="548DD4" w:themeColor="text2" w:themeTint="99"/>
          <w:sz w:val="26"/>
          <w:szCs w:val="26"/>
          <w:rtl/>
        </w:rPr>
        <w:t>סעיף ד: המלוה לחבירו בשטר או על המשכון – מתי יכול לתובעו.</w:t>
      </w:r>
      <w:bookmarkEnd w:id="892"/>
      <w:r w:rsidRPr="0004348D">
        <w:rPr>
          <w:rFonts w:ascii="Cambria" w:eastAsia="Times New Roman" w:hAnsi="Cambria" w:cs="Arial"/>
          <w:bCs/>
          <w:color w:val="548DD4" w:themeColor="text2" w:themeTint="99"/>
          <w:sz w:val="26"/>
          <w:szCs w:val="26"/>
          <w:rtl/>
        </w:rPr>
        <w:t xml:space="preserve"> </w:t>
      </w:r>
    </w:p>
    <w:p w14:paraId="696A3117" w14:textId="77777777" w:rsidR="0004348D" w:rsidRPr="0004348D" w:rsidRDefault="0004348D" w:rsidP="0004348D">
      <w:pPr>
        <w:spacing w:before="360" w:after="240"/>
        <w:rPr>
          <w:rFonts w:ascii="Calibri" w:eastAsia="Calibri" w:hAnsi="Calibri" w:cs="Arial"/>
          <w:u w:val="single"/>
          <w:rtl/>
        </w:rPr>
      </w:pPr>
      <w:r w:rsidRPr="0004348D">
        <w:rPr>
          <w:rFonts w:ascii="Calibri" w:eastAsia="Calibri" w:hAnsi="Calibri" w:cs="Arial"/>
          <w:u w:val="single"/>
          <w:rtl/>
        </w:rPr>
        <w:t>המלוה לחבירו בשטר או על המשכון – מתי יכול לתובעו:</w:t>
      </w:r>
    </w:p>
    <w:p w14:paraId="29EA25A2" w14:textId="77777777" w:rsidR="0004348D" w:rsidRPr="0004348D" w:rsidRDefault="0004348D" w:rsidP="0004348D">
      <w:pPr>
        <w:numPr>
          <w:ilvl w:val="0"/>
          <w:numId w:val="356"/>
        </w:numPr>
        <w:spacing w:before="360" w:after="240"/>
        <w:contextualSpacing/>
        <w:rPr>
          <w:rFonts w:ascii="Calibri" w:eastAsia="Calibri" w:hAnsi="Calibri" w:cs="Arial"/>
          <w:rtl/>
        </w:rPr>
      </w:pPr>
      <w:r w:rsidRPr="0004348D">
        <w:rPr>
          <w:rFonts w:ascii="Calibri" w:eastAsia="Calibri" w:hAnsi="Calibri" w:cs="Arial"/>
          <w:rtl/>
        </w:rPr>
        <w:t xml:space="preserve">רמב"ם </w:t>
      </w:r>
      <w:r w:rsidRPr="0004348D">
        <w:rPr>
          <w:rFonts w:ascii="Calibri" w:eastAsia="Calibri" w:hAnsi="Calibri" w:cs="Arial"/>
          <w:sz w:val="16"/>
          <w:szCs w:val="16"/>
          <w:rtl/>
        </w:rPr>
        <w:t>(פי"ג ממלוה ה"ז)</w:t>
      </w:r>
      <w:r w:rsidRPr="0004348D">
        <w:rPr>
          <w:rFonts w:ascii="Calibri" w:eastAsia="Calibri" w:hAnsi="Calibri" w:cs="Arial"/>
          <w:rtl/>
        </w:rPr>
        <w:t xml:space="preserve"> וטור- היתה המלוה בשטר או על המשכון</w:t>
      </w:r>
      <w:r w:rsidRPr="0004348D">
        <w:rPr>
          <w:rFonts w:ascii="Calibri" w:eastAsia="Calibri" w:hAnsi="Calibri" w:cs="Arial"/>
          <w:vertAlign w:val="superscript"/>
          <w:rtl/>
        </w:rPr>
        <w:footnoteReference w:id="6042"/>
      </w:r>
      <w:r w:rsidRPr="0004348D">
        <w:rPr>
          <w:rFonts w:ascii="Calibri" w:eastAsia="Calibri" w:hAnsi="Calibri" w:cs="Arial"/>
          <w:rtl/>
        </w:rPr>
        <w:t>, וטוען הלוה זמן קבעת לי - ישבע</w:t>
      </w:r>
      <w:r w:rsidRPr="0004348D">
        <w:rPr>
          <w:rFonts w:ascii="Calibri" w:eastAsia="Calibri" w:hAnsi="Calibri" w:cs="Arial"/>
          <w:vertAlign w:val="superscript"/>
          <w:rtl/>
        </w:rPr>
        <w:footnoteReference w:id="6043"/>
      </w:r>
      <w:r w:rsidRPr="0004348D">
        <w:rPr>
          <w:rFonts w:ascii="Calibri" w:eastAsia="Calibri" w:hAnsi="Calibri" w:cs="Arial"/>
          <w:rtl/>
        </w:rPr>
        <w:t xml:space="preserve"> בעל החוב שלא קבע לו זמן, ויטול המלוה מיד</w:t>
      </w:r>
      <w:r w:rsidRPr="0004348D">
        <w:rPr>
          <w:rFonts w:ascii="Calibri" w:eastAsia="Calibri" w:hAnsi="Calibri" w:cs="Arial"/>
          <w:sz w:val="16"/>
          <w:szCs w:val="16"/>
          <w:rtl/>
        </w:rPr>
        <w:t xml:space="preserve"> (ל' הטור בשם הרמב"ם)</w:t>
      </w:r>
      <w:r w:rsidRPr="0004348D">
        <w:rPr>
          <w:rFonts w:ascii="Calibri" w:eastAsia="Calibri" w:hAnsi="Calibri" w:cs="Arial"/>
          <w:rtl/>
        </w:rPr>
        <w:t>.</w:t>
      </w:r>
    </w:p>
    <w:p w14:paraId="16B28F5F" w14:textId="77777777" w:rsidR="0004348D" w:rsidRPr="0004348D" w:rsidRDefault="0004348D" w:rsidP="0004348D">
      <w:pPr>
        <w:spacing w:before="360" w:after="240"/>
        <w:rPr>
          <w:rFonts w:ascii="Arial" w:eastAsia="Calibri" w:hAnsi="Arial" w:cs="Arial"/>
          <w:b/>
          <w:bCs/>
          <w:color w:val="000000"/>
          <w:sz w:val="28"/>
          <w:szCs w:val="28"/>
          <w:u w:val="single"/>
          <w:rtl/>
        </w:rPr>
      </w:pPr>
      <w:r w:rsidRPr="0004348D">
        <w:rPr>
          <w:rFonts w:ascii="Arial" w:eastAsia="Calibri" w:hAnsi="Arial" w:cs="Arial"/>
          <w:b/>
          <w:bCs/>
          <w:color w:val="000000"/>
          <w:sz w:val="28"/>
          <w:szCs w:val="28"/>
          <w:u w:val="single"/>
          <w:rtl/>
        </w:rPr>
        <w:t>שו"ע:</w:t>
      </w:r>
    </w:p>
    <w:p w14:paraId="5B32E8FB" w14:textId="77777777" w:rsidR="0004348D" w:rsidRPr="0004348D" w:rsidRDefault="0004348D" w:rsidP="0004348D">
      <w:pPr>
        <w:spacing w:before="360" w:after="240"/>
        <w:rPr>
          <w:rFonts w:ascii="Calibri" w:eastAsia="Calibri" w:hAnsi="Calibri" w:cs="Arial"/>
          <w:rtl/>
        </w:rPr>
      </w:pPr>
      <w:r w:rsidRPr="0004348D">
        <w:rPr>
          <w:rFonts w:ascii="Calibri" w:eastAsia="Calibri" w:hAnsi="Calibri" w:cs="Arial"/>
          <w:rtl/>
        </w:rPr>
        <w:t>במה דברים אמורים, במלוה על פה בלא משכון. אבל אם היתה מלוה בשטר, או על המשכון, וטען המלוה שלא קבע לו זמן או שהיום סוף זמן שקבע לו, ישבע המלוה היסת</w:t>
      </w:r>
      <w:r w:rsidRPr="0004348D">
        <w:rPr>
          <w:rFonts w:ascii="Calibri" w:eastAsia="Calibri" w:hAnsi="Calibri" w:cs="Arial"/>
          <w:vertAlign w:val="superscript"/>
          <w:rtl/>
        </w:rPr>
        <w:footnoteReference w:id="6044"/>
      </w:r>
      <w:r w:rsidRPr="0004348D">
        <w:rPr>
          <w:rFonts w:ascii="Calibri" w:eastAsia="Calibri" w:hAnsi="Calibri" w:cs="Arial"/>
          <w:rtl/>
        </w:rPr>
        <w:t xml:space="preserve"> ויגבה חובו מיד. </w:t>
      </w:r>
    </w:p>
    <w:p w14:paraId="4B20CB3C" w14:textId="77777777" w:rsidR="0004348D" w:rsidRPr="0004348D" w:rsidRDefault="0004348D" w:rsidP="0004348D">
      <w:pPr>
        <w:spacing w:before="360" w:after="240"/>
        <w:rPr>
          <w:rFonts w:ascii="Calibri" w:eastAsia="Calibri" w:hAnsi="Calibri" w:cs="Arial"/>
          <w:rtl/>
        </w:rPr>
      </w:pPr>
    </w:p>
    <w:p w14:paraId="4421A5C5" w14:textId="77777777" w:rsidR="0004348D" w:rsidRPr="0004348D" w:rsidRDefault="0004348D" w:rsidP="0004348D">
      <w:pPr>
        <w:keepNext/>
        <w:keepLines/>
        <w:spacing w:before="360" w:after="240"/>
        <w:outlineLvl w:val="1"/>
        <w:rPr>
          <w:rFonts w:ascii="Cambria" w:eastAsia="Times New Roman" w:hAnsi="Cambria" w:cs="Arial"/>
          <w:bCs/>
          <w:color w:val="548DD4" w:themeColor="text2" w:themeTint="99"/>
          <w:sz w:val="26"/>
          <w:szCs w:val="26"/>
          <w:rtl/>
        </w:rPr>
      </w:pPr>
      <w:bookmarkStart w:id="893" w:name="_Toc24884268"/>
      <w:r w:rsidRPr="0004348D">
        <w:rPr>
          <w:rFonts w:ascii="Cambria" w:eastAsia="Times New Roman" w:hAnsi="Cambria" w:cs="Arial"/>
          <w:bCs/>
          <w:color w:val="548DD4" w:themeColor="text2" w:themeTint="99"/>
          <w:sz w:val="26"/>
          <w:szCs w:val="26"/>
          <w:rtl/>
        </w:rPr>
        <w:t>סעיף ה: לוה שנשבע למלוה שני שבועות המכחישות זו את זו.</w:t>
      </w:r>
      <w:bookmarkEnd w:id="893"/>
    </w:p>
    <w:p w14:paraId="59E162C3" w14:textId="77777777" w:rsidR="0004348D" w:rsidRPr="0004348D" w:rsidRDefault="0004348D" w:rsidP="0004348D">
      <w:pPr>
        <w:spacing w:before="360" w:after="240"/>
        <w:rPr>
          <w:rFonts w:ascii="Calibri" w:eastAsia="Calibri" w:hAnsi="Calibri" w:cs="Arial"/>
          <w:rtl/>
        </w:rPr>
      </w:pPr>
      <w:r w:rsidRPr="0004348D">
        <w:rPr>
          <w:rFonts w:ascii="Calibri" w:eastAsia="Calibri" w:hAnsi="Calibri" w:cs="Arial"/>
          <w:u w:val="single"/>
          <w:rtl/>
        </w:rPr>
        <w:t>לוה שנשבע למלוה שני שבועות המכחישות זו את זו:</w:t>
      </w:r>
    </w:p>
    <w:p w14:paraId="3696B7C5" w14:textId="77777777" w:rsidR="0004348D" w:rsidRPr="0004348D" w:rsidRDefault="0004348D" w:rsidP="0004348D">
      <w:pPr>
        <w:numPr>
          <w:ilvl w:val="0"/>
          <w:numId w:val="356"/>
        </w:numPr>
        <w:spacing w:before="360" w:after="240"/>
        <w:contextualSpacing/>
        <w:rPr>
          <w:rFonts w:ascii="Calibri" w:eastAsia="Calibri" w:hAnsi="Calibri" w:cs="Arial"/>
          <w:rtl/>
        </w:rPr>
      </w:pPr>
      <w:r w:rsidRPr="0004348D">
        <w:rPr>
          <w:rFonts w:ascii="Calibri" w:eastAsia="Calibri" w:hAnsi="Calibri" w:cs="Arial"/>
          <w:rtl/>
        </w:rPr>
        <w:t xml:space="preserve">רא"ש </w:t>
      </w:r>
      <w:r w:rsidRPr="0004348D">
        <w:rPr>
          <w:rFonts w:ascii="Calibri" w:eastAsia="Calibri" w:hAnsi="Calibri" w:cs="Arial"/>
          <w:sz w:val="16"/>
          <w:szCs w:val="16"/>
          <w:rtl/>
        </w:rPr>
        <w:t>(כלל ח סי' ב)</w:t>
      </w:r>
      <w:r w:rsidRPr="0004348D">
        <w:rPr>
          <w:rFonts w:ascii="Calibri" w:eastAsia="Calibri" w:hAnsi="Calibri" w:cs="Arial"/>
          <w:rtl/>
        </w:rPr>
        <w:t xml:space="preserve"> וטור- ראובן נשבע שלא למכור משלו כדי לפרוע לשמעון מה שהוא חייב לו, ושוב נשבע לו לפרעו לזמן פלוני, וכשהגיע הזמן טוען 'אין לי מעות וכבר נשבעתי שלא למכור כלום משלי כדי לפרוע לך'. תשובה, ב' שבועות הללו מכחישין זו את זו, שהרי כשנשבע שנית שיפרע לזמן פלוני היה בכלל שאם לא יהיה לו מעות לזמן שימכור משלו כדי לפרוע לו, והוא נשבע כבר שלא למכור, לפיכך אם לא ימכור כדי לקיים שבועה ראשונה נמצא השניה שבועת שוא, ומכין עליה מכת מרדות, ואם יתחרט מתוך המלקות וימצא פתח לשבועה הראשונה יתירו לו וימכור ויקיים שבועה שניה. בד"א, שקדמה שבועה ראשונה לחוב שמעון כגון שנשבע סתם שלא למכור משלו בשביל שום חוב שיתחייב, אבל אם קדם חוב שמעון לשבועת ראובן לא חלה השבועה כלל, דהו"ל נשבע לבטל המצוה דמושבע ועומד הוא מהר סיני לפרוע חוב שלו ומכין אותו עד שתצא נפשו אם אינו רוצה לפרוע</w:t>
      </w:r>
      <w:r w:rsidRPr="0004348D">
        <w:rPr>
          <w:rFonts w:ascii="Calibri" w:eastAsia="Calibri" w:hAnsi="Calibri" w:cs="Arial"/>
          <w:sz w:val="16"/>
          <w:szCs w:val="16"/>
          <w:rtl/>
        </w:rPr>
        <w:t xml:space="preserve"> (ל' הטור בשם הרא"ש)</w:t>
      </w:r>
      <w:r w:rsidRPr="0004348D">
        <w:rPr>
          <w:rFonts w:ascii="Calibri" w:eastAsia="Calibri" w:hAnsi="Calibri" w:cs="Arial"/>
          <w:rtl/>
        </w:rPr>
        <w:t>.</w:t>
      </w:r>
      <w:r w:rsidRPr="0004348D">
        <w:rPr>
          <w:rFonts w:ascii="Calibri" w:eastAsia="Calibri" w:hAnsi="Calibri" w:cs="Arial"/>
          <w:color w:val="E36C0A" w:themeColor="accent6" w:themeShade="BF"/>
          <w:rtl/>
        </w:rPr>
        <w:t xml:space="preserve"> (וכ"פ בשו"ע)</w:t>
      </w:r>
      <w:r w:rsidRPr="0004348D">
        <w:rPr>
          <w:rFonts w:ascii="Calibri" w:eastAsia="Calibri" w:hAnsi="Calibri" w:cs="Arial"/>
          <w:rtl/>
        </w:rPr>
        <w:t xml:space="preserve"> </w:t>
      </w:r>
    </w:p>
    <w:p w14:paraId="4F14CDBE" w14:textId="77777777" w:rsidR="0004348D" w:rsidRPr="0004348D" w:rsidRDefault="0004348D" w:rsidP="0004348D">
      <w:pPr>
        <w:spacing w:before="360" w:after="240"/>
        <w:rPr>
          <w:rFonts w:ascii="Arial" w:eastAsia="Calibri" w:hAnsi="Arial" w:cs="Arial"/>
          <w:b/>
          <w:bCs/>
          <w:color w:val="000000"/>
          <w:sz w:val="28"/>
          <w:szCs w:val="28"/>
          <w:u w:val="single"/>
          <w:rtl/>
        </w:rPr>
      </w:pPr>
      <w:r w:rsidRPr="0004348D">
        <w:rPr>
          <w:rFonts w:ascii="Arial" w:eastAsia="Calibri" w:hAnsi="Arial" w:cs="Arial"/>
          <w:b/>
          <w:bCs/>
          <w:color w:val="000000"/>
          <w:sz w:val="28"/>
          <w:szCs w:val="28"/>
          <w:u w:val="single"/>
          <w:rtl/>
        </w:rPr>
        <w:t>שו"ע:</w:t>
      </w:r>
    </w:p>
    <w:p w14:paraId="6C25CF4F" w14:textId="77777777" w:rsidR="0004348D" w:rsidRPr="0004348D" w:rsidRDefault="0004348D" w:rsidP="0004348D">
      <w:pPr>
        <w:spacing w:before="360" w:after="240"/>
        <w:rPr>
          <w:rFonts w:ascii="Calibri" w:eastAsia="Calibri" w:hAnsi="Calibri" w:cs="Arial"/>
          <w:rtl/>
        </w:rPr>
      </w:pPr>
      <w:r w:rsidRPr="0004348D">
        <w:rPr>
          <w:rFonts w:ascii="Calibri" w:eastAsia="Calibri" w:hAnsi="Calibri" w:cs="Arial"/>
          <w:rtl/>
        </w:rPr>
        <w:t>ראובן נשבע שלא למכור משלו לפרוע שום חוב. ואחר כך נשבע לפרוע לשמעון לזמן פלוני. וכשהגיע הזמן טוען אין לי מעות, וכבר נשבעתי שלא למכור משלי לפרוע שום חוב. אם חוב שמעון קדם לשבועה שלא למכור משלו, לא חלה השבועה</w:t>
      </w:r>
      <w:r w:rsidRPr="0004348D">
        <w:rPr>
          <w:rFonts w:ascii="Calibri" w:eastAsia="Calibri" w:hAnsi="Calibri" w:cs="Arial"/>
          <w:vertAlign w:val="superscript"/>
          <w:rtl/>
        </w:rPr>
        <w:footnoteReference w:id="6045"/>
      </w:r>
      <w:r w:rsidRPr="0004348D">
        <w:rPr>
          <w:rFonts w:ascii="Calibri" w:eastAsia="Calibri" w:hAnsi="Calibri" w:cs="Arial"/>
          <w:rtl/>
        </w:rPr>
        <w:t>, ומכין אותו עד שתצא נפשו אם אינו רוצה לפרוע</w:t>
      </w:r>
      <w:r w:rsidRPr="0004348D">
        <w:rPr>
          <w:rFonts w:ascii="Calibri" w:eastAsia="Calibri" w:hAnsi="Calibri" w:cs="Arial"/>
          <w:vertAlign w:val="superscript"/>
          <w:rtl/>
        </w:rPr>
        <w:footnoteReference w:id="6046"/>
      </w:r>
      <w:r w:rsidRPr="0004348D">
        <w:rPr>
          <w:rFonts w:ascii="Calibri" w:eastAsia="Calibri" w:hAnsi="Calibri" w:cs="Arial"/>
          <w:rtl/>
        </w:rPr>
        <w:t>. ואם השבועה קדמה לחוב שמעון, נמצאת השניה שבועת שוא</w:t>
      </w:r>
      <w:r w:rsidRPr="0004348D">
        <w:rPr>
          <w:rFonts w:ascii="Calibri" w:eastAsia="Calibri" w:hAnsi="Calibri" w:cs="Arial"/>
          <w:vertAlign w:val="superscript"/>
          <w:rtl/>
        </w:rPr>
        <w:footnoteReference w:id="6047"/>
      </w:r>
      <w:r w:rsidRPr="0004348D">
        <w:rPr>
          <w:rFonts w:ascii="Calibri" w:eastAsia="Calibri" w:hAnsi="Calibri" w:cs="Arial"/>
          <w:rtl/>
        </w:rPr>
        <w:t>, ומכין עליה מכת מרדות</w:t>
      </w:r>
      <w:r w:rsidRPr="0004348D">
        <w:rPr>
          <w:rFonts w:ascii="Calibri" w:eastAsia="Calibri" w:hAnsi="Calibri" w:cs="Arial"/>
          <w:vertAlign w:val="superscript"/>
          <w:rtl/>
        </w:rPr>
        <w:footnoteReference w:id="6048"/>
      </w:r>
      <w:r w:rsidRPr="0004348D">
        <w:rPr>
          <w:rFonts w:ascii="Calibri" w:eastAsia="Calibri" w:hAnsi="Calibri" w:cs="Arial"/>
          <w:rtl/>
        </w:rPr>
        <w:t>. ואם מתוך אימת המלקות יתחרט וימצא פתח לשבועה ראשונה, יתירוה לו, וימכור</w:t>
      </w:r>
      <w:r w:rsidRPr="0004348D">
        <w:rPr>
          <w:rFonts w:ascii="Calibri" w:eastAsia="Calibri" w:hAnsi="Calibri" w:cs="Arial"/>
          <w:vertAlign w:val="superscript"/>
          <w:rtl/>
        </w:rPr>
        <w:footnoteReference w:id="6049"/>
      </w:r>
      <w:r w:rsidRPr="0004348D">
        <w:rPr>
          <w:rFonts w:ascii="Calibri" w:eastAsia="Calibri" w:hAnsi="Calibri" w:cs="Arial"/>
          <w:rtl/>
        </w:rPr>
        <w:t xml:space="preserve">, ויקיים שבועה שניה. </w:t>
      </w:r>
    </w:p>
    <w:p w14:paraId="018EE903" w14:textId="77777777" w:rsidR="0004348D" w:rsidRPr="0004348D" w:rsidRDefault="0004348D" w:rsidP="0004348D">
      <w:pPr>
        <w:spacing w:before="360" w:after="240"/>
        <w:rPr>
          <w:rFonts w:ascii="Calibri" w:eastAsia="Calibri" w:hAnsi="Calibri" w:cs="Arial"/>
          <w:rtl/>
        </w:rPr>
      </w:pPr>
    </w:p>
    <w:p w14:paraId="628DCD5D" w14:textId="77777777" w:rsidR="0004348D" w:rsidRPr="0004348D" w:rsidRDefault="0004348D" w:rsidP="0004348D">
      <w:pPr>
        <w:keepNext/>
        <w:keepLines/>
        <w:spacing w:before="360" w:after="240"/>
        <w:outlineLvl w:val="1"/>
        <w:rPr>
          <w:rFonts w:ascii="Cambria" w:eastAsia="Times New Roman" w:hAnsi="Cambria" w:cs="Arial"/>
          <w:bCs/>
          <w:color w:val="548DD4" w:themeColor="text2" w:themeTint="99"/>
          <w:sz w:val="26"/>
          <w:szCs w:val="26"/>
          <w:rtl/>
        </w:rPr>
      </w:pPr>
      <w:bookmarkStart w:id="894" w:name="_Toc24884269"/>
      <w:r w:rsidRPr="0004348D">
        <w:rPr>
          <w:rFonts w:ascii="Cambria" w:eastAsia="Times New Roman" w:hAnsi="Cambria" w:cs="Arial"/>
          <w:bCs/>
          <w:color w:val="548DD4" w:themeColor="text2" w:themeTint="99"/>
          <w:sz w:val="26"/>
          <w:szCs w:val="26"/>
          <w:rtl/>
        </w:rPr>
        <w:t>סעיף ו: הנשבע לחבירו לפרעו קודם שיעבור זמן פלוני – ועבר הזמן ולא פרעו.</w:t>
      </w:r>
      <w:bookmarkEnd w:id="894"/>
    </w:p>
    <w:p w14:paraId="750C483E" w14:textId="77777777" w:rsidR="0004348D" w:rsidRPr="0004348D" w:rsidRDefault="0004348D" w:rsidP="0004348D">
      <w:pPr>
        <w:spacing w:before="360" w:after="240"/>
        <w:rPr>
          <w:rFonts w:ascii="Calibri" w:eastAsia="Calibri" w:hAnsi="Calibri" w:cs="Arial"/>
          <w:rtl/>
        </w:rPr>
      </w:pPr>
      <w:r w:rsidRPr="0004348D">
        <w:rPr>
          <w:rFonts w:ascii="Calibri" w:eastAsia="Calibri" w:hAnsi="Calibri" w:cs="Arial"/>
          <w:u w:val="single"/>
          <w:rtl/>
        </w:rPr>
        <w:t>הנשבע לחבירו לפרעו קודם שיעבור זמן פלוני, ועבר הזמן ולא פרעו – האם השבועה עדיין חלה על הפרעון:</w:t>
      </w:r>
    </w:p>
    <w:p w14:paraId="733C678F" w14:textId="77777777" w:rsidR="0004348D" w:rsidRPr="0004348D" w:rsidRDefault="0004348D" w:rsidP="0004348D">
      <w:pPr>
        <w:numPr>
          <w:ilvl w:val="0"/>
          <w:numId w:val="356"/>
        </w:numPr>
        <w:spacing w:before="360" w:after="240"/>
        <w:contextualSpacing/>
        <w:rPr>
          <w:rFonts w:ascii="Calibri" w:eastAsia="Calibri" w:hAnsi="Calibri" w:cs="Arial"/>
          <w:rtl/>
        </w:rPr>
      </w:pPr>
      <w:r w:rsidRPr="0004348D">
        <w:rPr>
          <w:rFonts w:ascii="Calibri" w:eastAsia="Calibri" w:hAnsi="Calibri" w:cs="Arial"/>
          <w:rtl/>
        </w:rPr>
        <w:t xml:space="preserve">רא"ש </w:t>
      </w:r>
      <w:r w:rsidRPr="0004348D">
        <w:rPr>
          <w:rFonts w:ascii="Calibri" w:eastAsia="Calibri" w:hAnsi="Calibri" w:cs="Arial"/>
          <w:sz w:val="16"/>
          <w:szCs w:val="16"/>
          <w:rtl/>
        </w:rPr>
        <w:t>(כלל ח סי' ו)</w:t>
      </w:r>
      <w:r w:rsidRPr="0004348D">
        <w:rPr>
          <w:rFonts w:ascii="Calibri" w:eastAsia="Calibri" w:hAnsi="Calibri" w:cs="Arial"/>
          <w:rtl/>
        </w:rPr>
        <w:t xml:space="preserve"> וטור- ראובן נתחייב לשמעון מנה לזמן פלוני, ונשבע לפרוע לו קודם שיעבור הזמן שקצב לו, ולא תבעו בתוך הזמן עד שעבר. ואמר ראובן אמת שאני חייב לך אבל לא מכח השבועה כי כבר בטלה כיון שלא תבעת אותי בזמנו. תשובה, יראה אע"פ שלא תבעו בתוך הזמן - עדיין השבועה במקומה עומדת, כי הזמן הוא נעשה לזרזו שימהר לפרעו, ועיקר השבועה על הפרעון, ונהי שלא עבר על השבועה כיון שלא תבעו שום אדם מ"מ עדיין מוזהר ועומד בשבועתו</w:t>
      </w:r>
      <w:r w:rsidRPr="0004348D">
        <w:rPr>
          <w:rFonts w:ascii="Calibri" w:eastAsia="Calibri" w:hAnsi="Calibri" w:cs="Arial"/>
          <w:vertAlign w:val="superscript"/>
          <w:rtl/>
        </w:rPr>
        <w:footnoteReference w:id="6050"/>
      </w:r>
      <w:r w:rsidRPr="0004348D">
        <w:rPr>
          <w:rFonts w:ascii="Calibri" w:eastAsia="Calibri" w:hAnsi="Calibri" w:cs="Arial"/>
          <w:rtl/>
        </w:rPr>
        <w:t xml:space="preserve"> לפרוע כשיתבע לו, מידי דהוה אמלוה לזמן אם לא פרע לו באותו הזמן חייב לפרעו אחר הזמן דלא נפטר בהעברת הזמן</w:t>
      </w:r>
      <w:r w:rsidRPr="0004348D">
        <w:rPr>
          <w:rFonts w:ascii="Calibri" w:eastAsia="Calibri" w:hAnsi="Calibri" w:cs="Arial"/>
          <w:vertAlign w:val="superscript"/>
          <w:rtl/>
        </w:rPr>
        <w:footnoteReference w:id="6051"/>
      </w:r>
      <w:r w:rsidRPr="0004348D">
        <w:rPr>
          <w:rFonts w:ascii="Calibri" w:eastAsia="Calibri" w:hAnsi="Calibri" w:cs="Arial"/>
          <w:rtl/>
        </w:rPr>
        <w:t xml:space="preserve"> </w:t>
      </w:r>
      <w:r w:rsidRPr="0004348D">
        <w:rPr>
          <w:rFonts w:ascii="Calibri" w:eastAsia="Calibri" w:hAnsi="Calibri" w:cs="Arial"/>
          <w:sz w:val="16"/>
          <w:szCs w:val="16"/>
          <w:rtl/>
        </w:rPr>
        <w:t>(ל' הטור בשם הרא"ש)</w:t>
      </w:r>
      <w:r w:rsidRPr="0004348D">
        <w:rPr>
          <w:rFonts w:ascii="Calibri" w:eastAsia="Calibri" w:hAnsi="Calibri" w:cs="Arial"/>
          <w:vertAlign w:val="superscript"/>
          <w:rtl/>
        </w:rPr>
        <w:footnoteReference w:id="6052"/>
      </w:r>
      <w:r w:rsidRPr="0004348D">
        <w:rPr>
          <w:rFonts w:ascii="Calibri" w:eastAsia="Calibri" w:hAnsi="Calibri" w:cs="Arial"/>
          <w:rtl/>
        </w:rPr>
        <w:t>.</w:t>
      </w:r>
      <w:r w:rsidRPr="0004348D">
        <w:rPr>
          <w:rFonts w:ascii="Calibri" w:eastAsia="Calibri" w:hAnsi="Calibri" w:cs="Arial"/>
          <w:color w:val="E36C0A" w:themeColor="accent6" w:themeShade="BF"/>
          <w:rtl/>
        </w:rPr>
        <w:t xml:space="preserve"> (וכ"פ בשו"ע)</w:t>
      </w:r>
    </w:p>
    <w:p w14:paraId="6F5DCEA9" w14:textId="77777777" w:rsidR="0004348D" w:rsidRPr="0004348D" w:rsidRDefault="0004348D" w:rsidP="0004348D">
      <w:pPr>
        <w:spacing w:before="360" w:after="240"/>
        <w:rPr>
          <w:rFonts w:ascii="Arial" w:eastAsia="Calibri" w:hAnsi="Arial" w:cs="Arial"/>
          <w:b/>
          <w:bCs/>
          <w:color w:val="000000"/>
          <w:sz w:val="28"/>
          <w:szCs w:val="28"/>
          <w:u w:val="single"/>
          <w:rtl/>
        </w:rPr>
      </w:pPr>
      <w:r w:rsidRPr="0004348D">
        <w:rPr>
          <w:rFonts w:ascii="Arial" w:eastAsia="Calibri" w:hAnsi="Arial" w:cs="Arial"/>
          <w:b/>
          <w:bCs/>
          <w:color w:val="000000"/>
          <w:sz w:val="28"/>
          <w:szCs w:val="28"/>
          <w:u w:val="single"/>
          <w:rtl/>
        </w:rPr>
        <w:t>שו"ע:</w:t>
      </w:r>
    </w:p>
    <w:p w14:paraId="7CCE1104" w14:textId="77777777" w:rsidR="0004348D" w:rsidRPr="0004348D" w:rsidRDefault="0004348D" w:rsidP="0004348D">
      <w:pPr>
        <w:spacing w:before="360" w:after="240"/>
        <w:rPr>
          <w:rFonts w:ascii="Calibri" w:eastAsia="Calibri" w:hAnsi="Calibri" w:cs="Arial"/>
          <w:rtl/>
        </w:rPr>
      </w:pPr>
      <w:r w:rsidRPr="0004348D">
        <w:rPr>
          <w:rFonts w:ascii="Calibri" w:eastAsia="Calibri" w:hAnsi="Calibri" w:cs="Arial"/>
          <w:rtl/>
        </w:rPr>
        <w:t xml:space="preserve">הנשבע לחבירו לפרעו קודם שיעבור זמן פלוני, אף על פי שלא תבעו בתוך הזמן, עדיין השבועה במקומה עומדת. </w:t>
      </w:r>
      <w:r w:rsidRPr="0004348D">
        <w:rPr>
          <w:rFonts w:ascii="Calibri" w:eastAsia="Calibri" w:hAnsi="Calibri" w:cs="Arial"/>
          <w:sz w:val="18"/>
          <w:szCs w:val="18"/>
          <w:rtl/>
        </w:rPr>
        <w:t>[הגה] ועיין ביו"ד סימן רכ"ח סעיף מ"ב מדינים אלו, וסימן רל"ב סעיף י"ב.</w:t>
      </w:r>
      <w:r w:rsidRPr="0004348D">
        <w:rPr>
          <w:rFonts w:ascii="Calibri" w:eastAsia="Calibri" w:hAnsi="Calibri" w:cs="Arial"/>
          <w:rtl/>
        </w:rPr>
        <w:t xml:space="preserve"> </w:t>
      </w:r>
    </w:p>
    <w:p w14:paraId="086FCEC0" w14:textId="77777777" w:rsidR="0004348D" w:rsidRPr="0004348D" w:rsidRDefault="0004348D" w:rsidP="0004348D">
      <w:pPr>
        <w:spacing w:before="360" w:after="240"/>
        <w:rPr>
          <w:rFonts w:ascii="Calibri" w:eastAsia="Calibri" w:hAnsi="Calibri" w:cs="Arial"/>
          <w:rtl/>
        </w:rPr>
      </w:pPr>
    </w:p>
    <w:p w14:paraId="445B5ED0" w14:textId="77777777" w:rsidR="0004348D" w:rsidRPr="0004348D" w:rsidRDefault="0004348D" w:rsidP="0004348D">
      <w:pPr>
        <w:keepNext/>
        <w:keepLines/>
        <w:spacing w:before="360" w:after="240"/>
        <w:outlineLvl w:val="1"/>
        <w:rPr>
          <w:rFonts w:ascii="Cambria" w:eastAsia="Times New Roman" w:hAnsi="Cambria" w:cs="Arial"/>
          <w:bCs/>
          <w:color w:val="548DD4" w:themeColor="text2" w:themeTint="99"/>
          <w:sz w:val="26"/>
          <w:szCs w:val="26"/>
          <w:rtl/>
        </w:rPr>
      </w:pPr>
      <w:bookmarkStart w:id="895" w:name="_Toc24884270"/>
      <w:r w:rsidRPr="0004348D">
        <w:rPr>
          <w:rFonts w:ascii="Cambria" w:eastAsia="Times New Roman" w:hAnsi="Cambria" w:cs="Arial"/>
          <w:bCs/>
          <w:color w:val="548DD4" w:themeColor="text2" w:themeTint="99"/>
          <w:sz w:val="26"/>
          <w:szCs w:val="26"/>
          <w:rtl/>
        </w:rPr>
        <w:t>סעיף ז:</w:t>
      </w:r>
      <w:r w:rsidRPr="0004348D">
        <w:rPr>
          <w:rFonts w:ascii="Cambria" w:eastAsia="Times New Roman" w:hAnsi="Cambria" w:cs="Times New Roman" w:hint="cs"/>
          <w:bCs/>
          <w:color w:val="548DD4" w:themeColor="text2" w:themeTint="99"/>
          <w:sz w:val="26"/>
          <w:szCs w:val="26"/>
        </w:rPr>
        <w:t xml:space="preserve"> </w:t>
      </w:r>
      <w:r w:rsidRPr="0004348D">
        <w:rPr>
          <w:rFonts w:ascii="Cambria" w:eastAsia="Times New Roman" w:hAnsi="Cambria" w:cs="Arial"/>
          <w:bCs/>
          <w:color w:val="548DD4" w:themeColor="text2" w:themeTint="99"/>
          <w:sz w:val="26"/>
          <w:szCs w:val="26"/>
          <w:rtl/>
        </w:rPr>
        <w:t>הנשבע ליתן לחברו מנה ביום פלוני – ובאותה שנה יום פלוני הוא בשבת.</w:t>
      </w:r>
      <w:bookmarkEnd w:id="895"/>
    </w:p>
    <w:p w14:paraId="00511AD9" w14:textId="77777777" w:rsidR="0004348D" w:rsidRPr="0004348D" w:rsidRDefault="0004348D" w:rsidP="0004348D">
      <w:pPr>
        <w:spacing w:before="360" w:after="240"/>
        <w:rPr>
          <w:rFonts w:ascii="Calibri" w:eastAsia="Calibri" w:hAnsi="Calibri" w:cs="Arial"/>
          <w:u w:val="single"/>
          <w:rtl/>
        </w:rPr>
      </w:pPr>
      <w:r w:rsidRPr="0004348D">
        <w:rPr>
          <w:rFonts w:ascii="Calibri" w:eastAsia="Calibri" w:hAnsi="Calibri" w:cs="Arial"/>
          <w:u w:val="single"/>
          <w:rtl/>
        </w:rPr>
        <w:t>הנשבע ליתן לחברו מנה ביום פלוני – ובאותה שנה יום פלוני הוא בשבת:</w:t>
      </w:r>
    </w:p>
    <w:p w14:paraId="427F9CAC" w14:textId="77777777" w:rsidR="0004348D" w:rsidRPr="0004348D" w:rsidRDefault="0004348D" w:rsidP="0004348D">
      <w:pPr>
        <w:numPr>
          <w:ilvl w:val="0"/>
          <w:numId w:val="356"/>
        </w:numPr>
        <w:spacing w:before="360" w:after="240"/>
        <w:contextualSpacing/>
        <w:rPr>
          <w:rFonts w:ascii="Calibri" w:eastAsia="Calibri" w:hAnsi="Calibri" w:cs="Arial"/>
          <w:rtl/>
        </w:rPr>
      </w:pPr>
      <w:r w:rsidRPr="0004348D">
        <w:rPr>
          <w:rFonts w:ascii="Calibri" w:eastAsia="Calibri" w:hAnsi="Calibri" w:cs="Arial"/>
          <w:rtl/>
        </w:rPr>
        <w:t xml:space="preserve">רא"ש </w:t>
      </w:r>
      <w:r w:rsidRPr="0004348D">
        <w:rPr>
          <w:rFonts w:ascii="Calibri" w:eastAsia="Calibri" w:hAnsi="Calibri" w:cs="Arial"/>
          <w:sz w:val="16"/>
          <w:szCs w:val="16"/>
          <w:rtl/>
        </w:rPr>
        <w:t>(כלל מג סי' יג, וכעין זה בכלל ח סי' יג)</w:t>
      </w:r>
      <w:r w:rsidRPr="0004348D">
        <w:rPr>
          <w:rFonts w:ascii="Calibri" w:eastAsia="Calibri" w:hAnsi="Calibri" w:cs="Arial"/>
          <w:rtl/>
        </w:rPr>
        <w:t xml:space="preserve"> ריב"ש </w:t>
      </w:r>
      <w:r w:rsidRPr="0004348D">
        <w:rPr>
          <w:rFonts w:ascii="Calibri" w:eastAsia="Calibri" w:hAnsi="Calibri" w:cs="Arial"/>
          <w:sz w:val="16"/>
          <w:szCs w:val="16"/>
          <w:rtl/>
        </w:rPr>
        <w:t xml:space="preserve">(סי' תנח) </w:t>
      </w:r>
      <w:r w:rsidRPr="0004348D">
        <w:rPr>
          <w:rFonts w:ascii="Calibri" w:eastAsia="Calibri" w:hAnsi="Calibri" w:cs="Arial"/>
          <w:rtl/>
        </w:rPr>
        <w:t xml:space="preserve">וטור- שאלה ילמדנו רבינו ראובן נשבע לשמעון ליתן לו מנה בשבעה בסיון, ואירע שבעה בסיון באותה שנה בשבת, ואמר ראובן כיון שנשבע ליתן ביום ידוע ואירע אותו יום בשבת שהוא פטור מהשבועה. וטוען שמעון אין הכונה לפרוע באותו זמן אלא שלא יאחר מאותו זמן אבל יפרע קודם הזמן ויפטר משבועתו. תשובה, רואה אני את דברי שמעון, כי כונת שניהם היה שיהיה שמעון פרוע בשבעה בסיון ולא שיפרענו דוקא באותו יום </w:t>
      </w:r>
      <w:r w:rsidRPr="0004348D">
        <w:rPr>
          <w:rFonts w:ascii="Calibri" w:eastAsia="Calibri" w:hAnsi="Calibri" w:cs="Arial"/>
          <w:sz w:val="16"/>
          <w:szCs w:val="16"/>
          <w:rtl/>
        </w:rPr>
        <w:t>(ל' הרא"ש)</w:t>
      </w:r>
      <w:r w:rsidRPr="0004348D">
        <w:rPr>
          <w:rFonts w:ascii="Calibri" w:eastAsia="Calibri" w:hAnsi="Calibri" w:cs="Arial"/>
          <w:rtl/>
        </w:rPr>
        <w:t>.</w:t>
      </w:r>
      <w:r w:rsidRPr="0004348D">
        <w:rPr>
          <w:rFonts w:ascii="Calibri" w:eastAsia="Calibri" w:hAnsi="Calibri" w:cs="Arial"/>
          <w:color w:val="E36C0A" w:themeColor="accent6" w:themeShade="BF"/>
          <w:rtl/>
        </w:rPr>
        <w:t xml:space="preserve"> (וכ"פ בשו"ע)</w:t>
      </w:r>
    </w:p>
    <w:p w14:paraId="34AA41E9" w14:textId="77777777" w:rsidR="0004348D" w:rsidRPr="0004348D" w:rsidRDefault="0004348D" w:rsidP="0004348D">
      <w:pPr>
        <w:spacing w:before="360" w:after="240"/>
        <w:ind w:left="360"/>
        <w:rPr>
          <w:rFonts w:ascii="Calibri" w:eastAsia="Calibri" w:hAnsi="Calibri" w:cs="Arial"/>
          <w:u w:val="dotted"/>
        </w:rPr>
      </w:pPr>
      <w:r w:rsidRPr="0004348D">
        <w:rPr>
          <w:rFonts w:ascii="Calibri" w:eastAsia="Calibri" w:hAnsi="Calibri" w:cs="Arial"/>
          <w:u w:val="dotted"/>
          <w:rtl/>
        </w:rPr>
        <w:t>ומה הדין אם שכח ולא נתן לפני שבת:</w:t>
      </w:r>
    </w:p>
    <w:p w14:paraId="02AF5E31" w14:textId="77777777" w:rsidR="0004348D" w:rsidRPr="0004348D" w:rsidRDefault="0004348D" w:rsidP="0004348D">
      <w:pPr>
        <w:numPr>
          <w:ilvl w:val="0"/>
          <w:numId w:val="356"/>
        </w:numPr>
        <w:spacing w:before="360" w:after="240"/>
        <w:contextualSpacing/>
        <w:rPr>
          <w:rFonts w:ascii="Calibri" w:eastAsia="Calibri" w:hAnsi="Calibri" w:cs="Arial"/>
        </w:rPr>
      </w:pPr>
      <w:r w:rsidRPr="0004348D">
        <w:rPr>
          <w:rFonts w:ascii="Calibri" w:eastAsia="Calibri" w:hAnsi="Calibri" w:cs="Arial"/>
          <w:rtl/>
        </w:rPr>
        <w:t xml:space="preserve">רא"ש </w:t>
      </w:r>
      <w:r w:rsidRPr="0004348D">
        <w:rPr>
          <w:rFonts w:ascii="Calibri" w:eastAsia="Calibri" w:hAnsi="Calibri" w:cs="Arial"/>
          <w:sz w:val="16"/>
          <w:szCs w:val="16"/>
          <w:rtl/>
        </w:rPr>
        <w:t xml:space="preserve">(שם) </w:t>
      </w:r>
      <w:r w:rsidRPr="0004348D">
        <w:rPr>
          <w:rFonts w:ascii="Calibri" w:eastAsia="Calibri" w:hAnsi="Calibri" w:cs="Arial"/>
          <w:rtl/>
        </w:rPr>
        <w:t xml:space="preserve">וטור- ועוד אני אומר אם לא פרע ראובן קודם שבעה בסיון - צריך ראובן ליתן לשמעון ביום השבת משכון שוה מנה לקיים שבועתו, דשוה כסף ככסף, דחפצי שמים הוא שיקיים שבועתו. ולא גרע ממשדכין וללמד אומנות לתינוק כל שכן שמותר לפרוע בשבת לקיים שבועתו </w:t>
      </w:r>
      <w:r w:rsidRPr="0004348D">
        <w:rPr>
          <w:rFonts w:ascii="Calibri" w:eastAsia="Calibri" w:hAnsi="Calibri" w:cs="Arial"/>
          <w:sz w:val="16"/>
          <w:szCs w:val="16"/>
          <w:rtl/>
        </w:rPr>
        <w:t>(ל' הרא"ש)</w:t>
      </w:r>
      <w:r w:rsidRPr="0004348D">
        <w:rPr>
          <w:rFonts w:ascii="Calibri" w:eastAsia="Calibri" w:hAnsi="Calibri" w:cs="Arial"/>
          <w:rtl/>
        </w:rPr>
        <w:t>.</w:t>
      </w:r>
      <w:r w:rsidRPr="0004348D">
        <w:rPr>
          <w:rFonts w:ascii="Calibri" w:eastAsia="Calibri" w:hAnsi="Calibri" w:cs="Arial"/>
          <w:color w:val="E36C0A" w:themeColor="accent6" w:themeShade="BF"/>
          <w:rtl/>
        </w:rPr>
        <w:t xml:space="preserve"> (וכ"פ בשו"ע)</w:t>
      </w:r>
    </w:p>
    <w:p w14:paraId="1CBD2969" w14:textId="77777777" w:rsidR="0004348D" w:rsidRPr="0004348D" w:rsidRDefault="0004348D" w:rsidP="0004348D">
      <w:pPr>
        <w:numPr>
          <w:ilvl w:val="0"/>
          <w:numId w:val="356"/>
        </w:numPr>
        <w:spacing w:before="360" w:after="240"/>
        <w:contextualSpacing/>
        <w:rPr>
          <w:rFonts w:ascii="Calibri" w:eastAsia="Calibri" w:hAnsi="Calibri" w:cs="Arial"/>
        </w:rPr>
      </w:pPr>
      <w:r w:rsidRPr="0004348D">
        <w:rPr>
          <w:rFonts w:ascii="Calibri" w:eastAsia="Calibri" w:hAnsi="Calibri" w:cs="Arial"/>
          <w:rtl/>
        </w:rPr>
        <w:t>רשב"א</w:t>
      </w:r>
      <w:r w:rsidRPr="0004348D">
        <w:rPr>
          <w:rFonts w:ascii="Calibri" w:eastAsia="Calibri" w:hAnsi="Calibri" w:cs="Arial"/>
          <w:sz w:val="16"/>
          <w:szCs w:val="16"/>
          <w:rtl/>
        </w:rPr>
        <w:t xml:space="preserve"> (סי' תשמא, הביאו הדרכ"מ [אות ד])</w:t>
      </w:r>
      <w:r w:rsidRPr="0004348D">
        <w:rPr>
          <w:rFonts w:ascii="Calibri" w:eastAsia="Calibri" w:hAnsi="Calibri" w:cs="Arial"/>
          <w:rtl/>
        </w:rPr>
        <w:t>- השיב עוד במי שנשבע לפרוע לחבירו ובא הזמן בשבת, שאפשר לומר שאם שכח בערב שבת ולא פרעו - שחייב לפרעו בשבת. לפי שהפרעון אינו אלא מדרבנן משום דמחזי כעובדי דחול, ושבועה דאורייתא וראיה משבועות. אלא שאפשר לחוש לזה לעשות הלכה למעשה. וכן כתב שאם נתן משכון בשבת כדי ליפטר משבועתו אינו נפטר בכך. שאין המשכון אלא הבטחה כענין שאמרו ביום טוב אם אמר איני מאמינו מניח טליתו אצלו.</w:t>
      </w:r>
    </w:p>
    <w:p w14:paraId="1FEA700C" w14:textId="77777777" w:rsidR="0004348D" w:rsidRPr="0004348D" w:rsidRDefault="0004348D" w:rsidP="0004348D">
      <w:pPr>
        <w:spacing w:before="360" w:after="240"/>
        <w:ind w:left="360"/>
        <w:rPr>
          <w:rFonts w:ascii="Calibri" w:eastAsia="Calibri" w:hAnsi="Calibri" w:cs="Arial"/>
          <w:u w:val="dotted"/>
        </w:rPr>
      </w:pPr>
      <w:r w:rsidRPr="0004348D">
        <w:rPr>
          <w:rFonts w:ascii="Calibri" w:eastAsia="Calibri" w:hAnsi="Calibri" w:cs="Arial"/>
          <w:u w:val="dotted"/>
          <w:rtl/>
        </w:rPr>
        <w:t>לדעת הרא"ש - מה הדין אם נשבע ליתן דוקא מעות</w:t>
      </w:r>
      <w:r w:rsidRPr="0004348D">
        <w:rPr>
          <w:rFonts w:ascii="Calibri" w:eastAsia="Calibri" w:hAnsi="Calibri" w:cs="Arial"/>
          <w:sz w:val="16"/>
          <w:szCs w:val="16"/>
          <w:u w:val="dotted"/>
          <w:rtl/>
        </w:rPr>
        <w:t xml:space="preserve"> (ולא משכון)</w:t>
      </w:r>
      <w:r w:rsidRPr="0004348D">
        <w:rPr>
          <w:rFonts w:ascii="Calibri" w:eastAsia="Calibri" w:hAnsi="Calibri" w:cs="Arial"/>
          <w:u w:val="dotted"/>
          <w:rtl/>
        </w:rPr>
        <w:t xml:space="preserve"> – האם מתבטלת שבועתו בזה:</w:t>
      </w:r>
    </w:p>
    <w:p w14:paraId="7FD9511A" w14:textId="77777777" w:rsidR="0004348D" w:rsidRPr="0004348D" w:rsidRDefault="0004348D" w:rsidP="0004348D">
      <w:pPr>
        <w:numPr>
          <w:ilvl w:val="0"/>
          <w:numId w:val="356"/>
        </w:numPr>
        <w:spacing w:before="360" w:after="240"/>
        <w:contextualSpacing/>
        <w:rPr>
          <w:rFonts w:ascii="Calibri" w:eastAsia="Calibri" w:hAnsi="Calibri" w:cs="Arial"/>
        </w:rPr>
      </w:pPr>
      <w:r w:rsidRPr="0004348D">
        <w:rPr>
          <w:rFonts w:ascii="Calibri" w:eastAsia="Calibri" w:hAnsi="Calibri" w:cs="Arial"/>
          <w:rtl/>
        </w:rPr>
        <w:t xml:space="preserve">רא"ש </w:t>
      </w:r>
      <w:r w:rsidRPr="0004348D">
        <w:rPr>
          <w:rFonts w:ascii="Calibri" w:eastAsia="Calibri" w:hAnsi="Calibri" w:cs="Arial"/>
          <w:sz w:val="16"/>
          <w:szCs w:val="16"/>
          <w:rtl/>
        </w:rPr>
        <w:t xml:space="preserve">(שם) </w:t>
      </w:r>
      <w:r w:rsidRPr="0004348D">
        <w:rPr>
          <w:rFonts w:ascii="Calibri" w:eastAsia="Calibri" w:hAnsi="Calibri" w:cs="Arial"/>
          <w:rtl/>
        </w:rPr>
        <w:t>וטור- שוב אמרו שנשבע לפרוע בשבעה בסיון מעות ולא משכון, אמרתי שאעפ"כ לא נפטר מן השבועה. כיון שבשעה שנשבע לא ידע דשבעה בסיון יהיה בשבת אין זה כנשבע לבטל המצוה והשבועה קיימת. ודמיא להא דאמרינן בירושלמי אם נשבע שלא יאכל מצה בליל פסח לוקה ואוכל מצה, דכיון שהזכיר ליל פסח אינה שבועה דאין נשבעין לבטל את המצוה ושבועת שוא היתה ולוקה ואוכל. שבועה שלא אוכל מצה אוכל, דכיון שלא הזכיר ליל פסח אין זה נשבע לבטל את המצוה ושבועותו קיימת. וכן בנדון זה שבועתו קיימת כיון דלא ידע דשבעה בסיון יהיה בשבת וצריך לפרוע קודם ז' בסיון כדי שלא יעבור על שבועתו.</w:t>
      </w:r>
    </w:p>
    <w:p w14:paraId="4F093CFE" w14:textId="77777777" w:rsidR="0004348D" w:rsidRPr="0004348D" w:rsidRDefault="0004348D" w:rsidP="0004348D">
      <w:pPr>
        <w:spacing w:before="360" w:after="240"/>
        <w:ind w:left="360"/>
        <w:rPr>
          <w:rFonts w:ascii="Calibri" w:eastAsia="Calibri" w:hAnsi="Calibri" w:cs="Arial"/>
          <w:u w:val="dotted"/>
        </w:rPr>
      </w:pPr>
      <w:r w:rsidRPr="0004348D">
        <w:rPr>
          <w:rFonts w:ascii="Calibri" w:eastAsia="Calibri" w:hAnsi="Calibri" w:cs="Arial"/>
          <w:u w:val="dotted"/>
          <w:rtl/>
        </w:rPr>
        <w:t>האם מספיק שיתן לו את המשכון כדי שלא יעבור על שבועתו או שצריך גם לשום את המשכון:</w:t>
      </w:r>
    </w:p>
    <w:p w14:paraId="3075C181" w14:textId="77777777" w:rsidR="0004348D" w:rsidRPr="0004348D" w:rsidRDefault="0004348D" w:rsidP="0004348D">
      <w:pPr>
        <w:numPr>
          <w:ilvl w:val="0"/>
          <w:numId w:val="356"/>
        </w:numPr>
        <w:spacing w:before="360" w:after="240"/>
        <w:contextualSpacing/>
        <w:rPr>
          <w:rFonts w:ascii="Calibri" w:eastAsia="Calibri" w:hAnsi="Calibri" w:cs="Arial"/>
        </w:rPr>
      </w:pPr>
      <w:r w:rsidRPr="0004348D">
        <w:rPr>
          <w:rFonts w:ascii="Calibri" w:eastAsia="Calibri" w:hAnsi="Calibri" w:cs="Arial"/>
          <w:rtl/>
        </w:rPr>
        <w:t>רא"ש</w:t>
      </w:r>
      <w:r w:rsidRPr="0004348D">
        <w:rPr>
          <w:rFonts w:ascii="Calibri" w:eastAsia="Calibri" w:hAnsi="Calibri" w:cs="Arial"/>
          <w:sz w:val="16"/>
          <w:szCs w:val="16"/>
          <w:rtl/>
        </w:rPr>
        <w:t xml:space="preserve"> (שם, להב' הב"י)</w:t>
      </w:r>
      <w:r w:rsidRPr="0004348D">
        <w:rPr>
          <w:rFonts w:ascii="Calibri" w:eastAsia="Calibri" w:hAnsi="Calibri" w:cs="Arial"/>
          <w:rtl/>
        </w:rPr>
        <w:t xml:space="preserve"> ורשב"א </w:t>
      </w:r>
      <w:r w:rsidRPr="0004348D">
        <w:rPr>
          <w:rFonts w:ascii="Calibri" w:eastAsia="Calibri" w:hAnsi="Calibri" w:cs="Arial"/>
          <w:sz w:val="16"/>
          <w:szCs w:val="16"/>
          <w:rtl/>
        </w:rPr>
        <w:t>(במיוחסות סי' רמג)</w:t>
      </w:r>
      <w:r w:rsidRPr="0004348D">
        <w:rPr>
          <w:rFonts w:ascii="Calibri" w:eastAsia="Calibri" w:hAnsi="Calibri" w:cs="Arial"/>
          <w:rtl/>
        </w:rPr>
        <w:t>- לפרעון הוא צריך שומא ושיתננו בתורת שומא</w:t>
      </w:r>
      <w:r w:rsidRPr="0004348D">
        <w:rPr>
          <w:rFonts w:ascii="Calibri" w:eastAsia="Calibri" w:hAnsi="Calibri" w:cs="Arial"/>
          <w:vertAlign w:val="superscript"/>
          <w:rtl/>
        </w:rPr>
        <w:footnoteReference w:id="6053"/>
      </w:r>
      <w:r w:rsidRPr="0004348D">
        <w:rPr>
          <w:rFonts w:ascii="Calibri" w:eastAsia="Calibri" w:hAnsi="Calibri" w:cs="Arial"/>
          <w:rtl/>
        </w:rPr>
        <w:t xml:space="preserve">. </w:t>
      </w:r>
      <w:r w:rsidRPr="0004348D">
        <w:rPr>
          <w:rFonts w:ascii="Calibri" w:eastAsia="Calibri" w:hAnsi="Calibri" w:cs="Arial"/>
          <w:color w:val="E36C0A" w:themeColor="accent6" w:themeShade="BF"/>
          <w:rtl/>
        </w:rPr>
        <w:t>(וכ"פ בשו"ע)</w:t>
      </w:r>
    </w:p>
    <w:p w14:paraId="308D348D" w14:textId="77777777" w:rsidR="0004348D" w:rsidRPr="0004348D" w:rsidRDefault="0004348D" w:rsidP="0004348D">
      <w:pPr>
        <w:numPr>
          <w:ilvl w:val="0"/>
          <w:numId w:val="356"/>
        </w:numPr>
        <w:spacing w:before="360" w:after="240"/>
        <w:contextualSpacing/>
        <w:rPr>
          <w:rFonts w:ascii="Calibri" w:eastAsia="Calibri" w:hAnsi="Calibri" w:cs="Arial"/>
        </w:rPr>
      </w:pPr>
      <w:r w:rsidRPr="0004348D">
        <w:rPr>
          <w:rFonts w:ascii="Calibri" w:eastAsia="Calibri" w:hAnsi="Calibri" w:cs="Arial"/>
          <w:rtl/>
        </w:rPr>
        <w:t xml:space="preserve">רי"ו </w:t>
      </w:r>
      <w:r w:rsidRPr="0004348D">
        <w:rPr>
          <w:rFonts w:ascii="Calibri" w:eastAsia="Calibri" w:hAnsi="Calibri" w:cs="Arial"/>
          <w:sz w:val="16"/>
          <w:szCs w:val="16"/>
          <w:rtl/>
        </w:rPr>
        <w:t>(מישרים נ"ו ח"א כב ע"ג)</w:t>
      </w:r>
      <w:r w:rsidRPr="0004348D">
        <w:rPr>
          <w:rFonts w:ascii="Calibri" w:eastAsia="Calibri" w:hAnsi="Calibri" w:cs="Arial"/>
          <w:rtl/>
        </w:rPr>
        <w:t>- אפילו נשבע לפרעו במעות ולא במשכון יתן לו משכון של כסף ולא יעבור על שבועתו דשוה כסף ככסף</w:t>
      </w:r>
      <w:r w:rsidRPr="0004348D">
        <w:rPr>
          <w:rFonts w:ascii="Calibri" w:eastAsia="Calibri" w:hAnsi="Calibri" w:cs="Arial"/>
          <w:vertAlign w:val="superscript"/>
          <w:rtl/>
        </w:rPr>
        <w:footnoteReference w:id="6054"/>
      </w:r>
      <w:r w:rsidRPr="0004348D">
        <w:rPr>
          <w:rFonts w:ascii="Calibri" w:eastAsia="Calibri" w:hAnsi="Calibri" w:cs="Arial"/>
          <w:rtl/>
        </w:rPr>
        <w:t>. (וכ"פ הב"ח</w:t>
      </w:r>
      <w:r w:rsidRPr="0004348D">
        <w:rPr>
          <w:rFonts w:ascii="Calibri" w:eastAsia="Calibri" w:hAnsi="Calibri" w:cs="Arial"/>
          <w:vertAlign w:val="superscript"/>
          <w:rtl/>
        </w:rPr>
        <w:footnoteReference w:id="6055"/>
      </w:r>
      <w:r w:rsidRPr="0004348D">
        <w:rPr>
          <w:rFonts w:ascii="Calibri" w:eastAsia="Calibri" w:hAnsi="Calibri" w:cs="Arial"/>
          <w:sz w:val="16"/>
          <w:szCs w:val="16"/>
          <w:rtl/>
        </w:rPr>
        <w:t xml:space="preserve"> [סע' יב-יג]</w:t>
      </w:r>
      <w:r w:rsidRPr="0004348D">
        <w:rPr>
          <w:rFonts w:ascii="Calibri" w:eastAsia="Calibri" w:hAnsi="Calibri" w:cs="Arial"/>
          <w:rtl/>
        </w:rPr>
        <w:t xml:space="preserve"> והש"ך</w:t>
      </w:r>
      <w:r w:rsidRPr="0004348D">
        <w:rPr>
          <w:rFonts w:ascii="Calibri" w:eastAsia="Calibri" w:hAnsi="Calibri" w:cs="Arial"/>
          <w:sz w:val="16"/>
          <w:szCs w:val="16"/>
          <w:rtl/>
        </w:rPr>
        <w:t xml:space="preserve"> [סקכ"א]</w:t>
      </w:r>
      <w:r w:rsidRPr="0004348D">
        <w:rPr>
          <w:rFonts w:ascii="Calibri" w:eastAsia="Calibri" w:hAnsi="Calibri" w:cs="Arial"/>
          <w:rtl/>
        </w:rPr>
        <w:t>)</w:t>
      </w:r>
    </w:p>
    <w:p w14:paraId="3425D206" w14:textId="77777777" w:rsidR="0004348D" w:rsidRPr="0004348D" w:rsidRDefault="0004348D" w:rsidP="0004348D">
      <w:pPr>
        <w:spacing w:before="360" w:after="240"/>
        <w:rPr>
          <w:rFonts w:ascii="Calibri" w:eastAsia="Calibri" w:hAnsi="Calibri" w:cs="Arial"/>
          <w:u w:val="single"/>
        </w:rPr>
      </w:pPr>
      <w:r w:rsidRPr="0004348D">
        <w:rPr>
          <w:rFonts w:ascii="Calibri" w:eastAsia="Calibri" w:hAnsi="Calibri" w:cs="Arial"/>
          <w:u w:val="single"/>
          <w:rtl/>
        </w:rPr>
        <w:t>שטר שכתוב בו שאם לא יפרענו לזמן פלוני שיפרע כך וכך ממון לקנס - האם הוא נגבה בבית דין:</w:t>
      </w:r>
    </w:p>
    <w:p w14:paraId="29F710FD" w14:textId="77777777" w:rsidR="0004348D" w:rsidRPr="0004348D" w:rsidRDefault="0004348D" w:rsidP="0004348D">
      <w:pPr>
        <w:numPr>
          <w:ilvl w:val="0"/>
          <w:numId w:val="356"/>
        </w:numPr>
        <w:spacing w:before="360" w:after="240"/>
        <w:contextualSpacing/>
        <w:rPr>
          <w:rFonts w:ascii="Calibri" w:eastAsia="Calibri" w:hAnsi="Calibri" w:cs="Arial"/>
        </w:rPr>
      </w:pPr>
      <w:r w:rsidRPr="0004348D">
        <w:rPr>
          <w:rFonts w:ascii="Calibri" w:eastAsia="Calibri" w:hAnsi="Calibri" w:cs="Arial"/>
          <w:rtl/>
        </w:rPr>
        <w:t xml:space="preserve">רא"ש </w:t>
      </w:r>
      <w:r w:rsidRPr="0004348D">
        <w:rPr>
          <w:rFonts w:ascii="Calibri" w:eastAsia="Calibri" w:hAnsi="Calibri" w:cs="Arial"/>
          <w:sz w:val="16"/>
          <w:szCs w:val="16"/>
          <w:rtl/>
        </w:rPr>
        <w:t>(סוף כלל עב סי' ז)</w:t>
      </w:r>
      <w:r w:rsidRPr="0004348D">
        <w:rPr>
          <w:rFonts w:ascii="Calibri" w:eastAsia="Calibri" w:hAnsi="Calibri" w:cs="Arial"/>
          <w:rtl/>
        </w:rPr>
        <w:t xml:space="preserve"> וטור- שטר שכתוב בו 'אם לא יפרענו לזמן פלוני שיפרע כך וכך ממון לקנס', וכתוב בו 'דלא כאסמכתא'. אם הוא נגבה בבית דין. תשובה, דע כי אסמכתא הוא, ואינו נגבה אלא בקנין ומעכשיו ובבית דין חשוב</w:t>
      </w:r>
      <w:r w:rsidRPr="0004348D">
        <w:rPr>
          <w:rFonts w:ascii="Calibri" w:eastAsia="Calibri" w:hAnsi="Calibri" w:cs="Arial"/>
          <w:vertAlign w:val="superscript"/>
          <w:rtl/>
        </w:rPr>
        <w:footnoteReference w:id="6056"/>
      </w:r>
      <w:r w:rsidRPr="0004348D">
        <w:rPr>
          <w:rFonts w:ascii="Calibri" w:eastAsia="Calibri" w:hAnsi="Calibri" w:cs="Arial"/>
          <w:rtl/>
        </w:rPr>
        <w:t xml:space="preserve"> </w:t>
      </w:r>
      <w:r w:rsidRPr="0004348D">
        <w:rPr>
          <w:rFonts w:ascii="Calibri" w:eastAsia="Calibri" w:hAnsi="Calibri" w:cs="Arial"/>
          <w:sz w:val="16"/>
          <w:szCs w:val="16"/>
          <w:rtl/>
        </w:rPr>
        <w:t>(ל' הטור בשם הרא"ש)</w:t>
      </w:r>
      <w:r w:rsidRPr="0004348D">
        <w:rPr>
          <w:rFonts w:ascii="Calibri" w:eastAsia="Calibri" w:hAnsi="Calibri" w:cs="Arial"/>
          <w:rtl/>
        </w:rPr>
        <w:t>.</w:t>
      </w:r>
    </w:p>
    <w:p w14:paraId="06538777" w14:textId="77777777" w:rsidR="0004348D" w:rsidRPr="0004348D" w:rsidRDefault="0004348D" w:rsidP="0004348D">
      <w:pPr>
        <w:spacing w:before="360" w:after="240"/>
        <w:rPr>
          <w:rFonts w:ascii="Arial" w:eastAsia="Calibri" w:hAnsi="Arial" w:cs="Arial"/>
          <w:b/>
          <w:bCs/>
          <w:color w:val="000000"/>
          <w:sz w:val="28"/>
          <w:szCs w:val="28"/>
          <w:u w:val="single"/>
          <w:rtl/>
        </w:rPr>
      </w:pPr>
      <w:r w:rsidRPr="0004348D">
        <w:rPr>
          <w:rFonts w:ascii="Arial" w:eastAsia="Calibri" w:hAnsi="Arial" w:cs="Arial"/>
          <w:b/>
          <w:bCs/>
          <w:color w:val="000000"/>
          <w:sz w:val="28"/>
          <w:szCs w:val="28"/>
          <w:u w:val="single"/>
          <w:rtl/>
        </w:rPr>
        <w:t>שו"ע:</w:t>
      </w:r>
    </w:p>
    <w:p w14:paraId="4D8093A1" w14:textId="77777777" w:rsidR="0004348D" w:rsidRPr="0004348D" w:rsidRDefault="0004348D" w:rsidP="0004348D">
      <w:pPr>
        <w:spacing w:before="360" w:after="240"/>
        <w:rPr>
          <w:rFonts w:ascii="Calibri" w:eastAsia="Calibri" w:hAnsi="Calibri" w:cs="Arial"/>
          <w:rtl/>
        </w:rPr>
      </w:pPr>
      <w:r w:rsidRPr="0004348D">
        <w:rPr>
          <w:rFonts w:ascii="Calibri" w:eastAsia="Calibri" w:hAnsi="Calibri" w:cs="Arial"/>
          <w:rtl/>
        </w:rPr>
        <w:t>הנשבע לפרוע לחבירו ביום פלוני, ואירע אותו יום בשבת, חייב לפרעו קודם אותו יום. ואם לא פרעו קודם, צריך ליתן באותו יום משכון, וישומו</w:t>
      </w:r>
      <w:r w:rsidRPr="0004348D">
        <w:rPr>
          <w:rFonts w:ascii="Calibri" w:eastAsia="Calibri" w:hAnsi="Calibri" w:cs="Arial"/>
          <w:vertAlign w:val="superscript"/>
          <w:rtl/>
        </w:rPr>
        <w:footnoteReference w:id="6057"/>
      </w:r>
      <w:r w:rsidRPr="0004348D">
        <w:rPr>
          <w:rFonts w:ascii="Calibri" w:eastAsia="Calibri" w:hAnsi="Calibri" w:cs="Arial"/>
          <w:rtl/>
        </w:rPr>
        <w:t xml:space="preserve"> אותו, ויתננו לו בתורת פרעון. </w:t>
      </w:r>
      <w:r w:rsidRPr="0004348D">
        <w:rPr>
          <w:rFonts w:ascii="Calibri" w:eastAsia="Calibri" w:hAnsi="Calibri" w:cs="Arial"/>
          <w:sz w:val="18"/>
          <w:szCs w:val="18"/>
          <w:rtl/>
        </w:rPr>
        <w:t>הגה: מי שנשבע לחבירו לפרוע לו לזמן, והגיע השמיטה בנתיים או שמחל לו, פטור משבועתו, דכל שפטור מדין הפרעון אינו חייב לשלם מכח השבועה</w:t>
      </w:r>
      <w:r w:rsidRPr="0004348D">
        <w:rPr>
          <w:rFonts w:ascii="Calibri" w:eastAsia="Calibri" w:hAnsi="Calibri" w:cs="Arial"/>
          <w:sz w:val="18"/>
          <w:szCs w:val="18"/>
          <w:vertAlign w:val="superscript"/>
          <w:rtl/>
        </w:rPr>
        <w:footnoteReference w:id="6058"/>
      </w:r>
      <w:r w:rsidRPr="0004348D">
        <w:rPr>
          <w:rFonts w:ascii="Calibri" w:eastAsia="Calibri" w:hAnsi="Calibri" w:cs="Arial"/>
          <w:sz w:val="16"/>
          <w:szCs w:val="16"/>
          <w:rtl/>
        </w:rPr>
        <w:t xml:space="preserve"> (רשב"א במיוחסות סי' רנו, ומהרי"ק שורש פ"א ענף ג בשם תשו' רשב"א, וב"י סי' סז מחו' ב, דרכ"מ שם סע' יג)</w:t>
      </w:r>
      <w:r w:rsidRPr="0004348D">
        <w:rPr>
          <w:rFonts w:ascii="Calibri" w:eastAsia="Calibri" w:hAnsi="Calibri" w:cs="Arial"/>
          <w:sz w:val="18"/>
          <w:szCs w:val="18"/>
          <w:rtl/>
        </w:rPr>
        <w:t>.</w:t>
      </w:r>
      <w:r w:rsidRPr="0004348D">
        <w:rPr>
          <w:rFonts w:ascii="Calibri" w:eastAsia="Calibri" w:hAnsi="Calibri" w:cs="Arial"/>
          <w:rtl/>
        </w:rPr>
        <w:t xml:space="preserve"> </w:t>
      </w:r>
    </w:p>
    <w:p w14:paraId="58AC788E" w14:textId="77777777" w:rsidR="0004348D" w:rsidRPr="0004348D" w:rsidRDefault="0004348D" w:rsidP="0004348D">
      <w:pPr>
        <w:spacing w:before="360" w:after="240"/>
        <w:rPr>
          <w:rFonts w:ascii="Calibri" w:eastAsia="Calibri" w:hAnsi="Calibri" w:cs="Arial"/>
          <w:rtl/>
        </w:rPr>
      </w:pPr>
    </w:p>
    <w:p w14:paraId="6B99BD18" w14:textId="77777777" w:rsidR="0004348D" w:rsidRPr="0004348D" w:rsidRDefault="0004348D" w:rsidP="0004348D">
      <w:pPr>
        <w:keepNext/>
        <w:keepLines/>
        <w:spacing w:before="360" w:after="240"/>
        <w:outlineLvl w:val="1"/>
        <w:rPr>
          <w:rFonts w:ascii="Cambria" w:eastAsia="Times New Roman" w:hAnsi="Cambria" w:cs="Arial"/>
          <w:bCs/>
          <w:color w:val="548DD4" w:themeColor="text2" w:themeTint="99"/>
          <w:sz w:val="26"/>
          <w:szCs w:val="26"/>
          <w:rtl/>
        </w:rPr>
      </w:pPr>
      <w:bookmarkStart w:id="896" w:name="_Toc24884271"/>
      <w:r w:rsidRPr="0004348D">
        <w:rPr>
          <w:rFonts w:ascii="Cambria" w:eastAsia="Times New Roman" w:hAnsi="Cambria" w:cs="Arial"/>
          <w:bCs/>
          <w:color w:val="548DD4" w:themeColor="text2" w:themeTint="99"/>
          <w:sz w:val="26"/>
          <w:szCs w:val="26"/>
          <w:rtl/>
        </w:rPr>
        <w:t>סעיף ח: הנשבע לפרוע לחבירו ליום נועד - והגיע הזמן והמלוה אינו בעיר.</w:t>
      </w:r>
      <w:bookmarkEnd w:id="896"/>
    </w:p>
    <w:p w14:paraId="03F835F0" w14:textId="77777777" w:rsidR="0004348D" w:rsidRPr="0004348D" w:rsidRDefault="0004348D" w:rsidP="0004348D">
      <w:pPr>
        <w:spacing w:before="360" w:after="240"/>
        <w:rPr>
          <w:rFonts w:ascii="Calibri" w:eastAsia="Calibri" w:hAnsi="Calibri" w:cs="Arial"/>
          <w:u w:val="single"/>
          <w:rtl/>
        </w:rPr>
      </w:pPr>
      <w:r w:rsidRPr="0004348D">
        <w:rPr>
          <w:rFonts w:ascii="Calibri" w:eastAsia="Calibri" w:hAnsi="Calibri" w:cs="Arial"/>
          <w:u w:val="single"/>
          <w:rtl/>
        </w:rPr>
        <w:t>הנשבע לפרוע לחבירו ליום נועד - והגיע הזמן והמלוה אינו בעיר:</w:t>
      </w:r>
    </w:p>
    <w:p w14:paraId="6439E12C" w14:textId="77777777" w:rsidR="0004348D" w:rsidRPr="0004348D" w:rsidRDefault="0004348D" w:rsidP="0004348D">
      <w:pPr>
        <w:numPr>
          <w:ilvl w:val="0"/>
          <w:numId w:val="356"/>
        </w:numPr>
        <w:spacing w:before="360" w:after="240"/>
        <w:contextualSpacing/>
        <w:rPr>
          <w:rFonts w:ascii="Calibri" w:eastAsia="Calibri" w:hAnsi="Calibri" w:cs="Arial"/>
          <w:rtl/>
        </w:rPr>
      </w:pPr>
      <w:r w:rsidRPr="0004348D">
        <w:rPr>
          <w:rFonts w:ascii="Calibri" w:eastAsia="Calibri" w:hAnsi="Calibri" w:cs="Arial"/>
          <w:rtl/>
        </w:rPr>
        <w:t xml:space="preserve">רשב"א </w:t>
      </w:r>
      <w:r w:rsidRPr="0004348D">
        <w:rPr>
          <w:rFonts w:ascii="Calibri" w:eastAsia="Calibri" w:hAnsi="Calibri" w:cs="Arial"/>
          <w:sz w:val="16"/>
          <w:szCs w:val="16"/>
          <w:rtl/>
        </w:rPr>
        <w:t>(ח"א סי' תשצג)</w:t>
      </w:r>
      <w:r w:rsidRPr="0004348D">
        <w:rPr>
          <w:rFonts w:ascii="Calibri" w:eastAsia="Calibri" w:hAnsi="Calibri" w:cs="Arial"/>
          <w:rtl/>
        </w:rPr>
        <w:t>- הנשבע לפרוע לחבירו ליום נועד, והגיע הזמן והמלוה אינו בעיר - הדבר ברור שהוא פטור לגמרי עד שיבא מלוה ויטול את שלו</w:t>
      </w:r>
      <w:r w:rsidRPr="0004348D">
        <w:rPr>
          <w:rFonts w:ascii="Calibri" w:eastAsia="Calibri" w:hAnsi="Calibri" w:cs="Arial"/>
          <w:vertAlign w:val="superscript"/>
          <w:rtl/>
        </w:rPr>
        <w:footnoteReference w:id="6059"/>
      </w:r>
      <w:r w:rsidRPr="0004348D">
        <w:rPr>
          <w:rFonts w:ascii="Calibri" w:eastAsia="Calibri" w:hAnsi="Calibri" w:cs="Arial"/>
          <w:rtl/>
        </w:rPr>
        <w:t>. וליתן אותם ביד אשתו ובניו - אינו צריך, שהרי אפילו נתנם בידם אינו נפטר בכך ואין זה פרעון גמור</w:t>
      </w:r>
      <w:r w:rsidRPr="0004348D">
        <w:rPr>
          <w:rFonts w:ascii="Calibri" w:eastAsia="Calibri" w:hAnsi="Calibri" w:cs="Arial"/>
          <w:vertAlign w:val="superscript"/>
          <w:rtl/>
        </w:rPr>
        <w:footnoteReference w:id="6060"/>
      </w:r>
      <w:r w:rsidRPr="0004348D">
        <w:rPr>
          <w:rFonts w:ascii="Calibri" w:eastAsia="Calibri" w:hAnsi="Calibri" w:cs="Arial"/>
          <w:rtl/>
        </w:rPr>
        <w:t xml:space="preserve">, ואע"פ שאם נתנו בידן אינו יכול לחזור בו מ"מ פרעון גמור לא הוי שהרי הוא חייב באחריותן כדתניא בספ"ק דגיטין </w:t>
      </w:r>
      <w:r w:rsidRPr="0004348D">
        <w:rPr>
          <w:rFonts w:ascii="Calibri" w:eastAsia="Calibri" w:hAnsi="Calibri" w:cs="Arial"/>
          <w:sz w:val="16"/>
          <w:szCs w:val="16"/>
          <w:rtl/>
        </w:rPr>
        <w:t xml:space="preserve">(יד.) </w:t>
      </w:r>
      <w:r w:rsidRPr="0004348D">
        <w:rPr>
          <w:rFonts w:ascii="Calibri" w:eastAsia="Calibri" w:hAnsi="Calibri" w:cs="Arial"/>
          <w:rtl/>
        </w:rPr>
        <w:t xml:space="preserve">הולך מנה לפלוני וכו' ולא שנא אחר ולא שנא אשתו ובניו, סתמא קתני. ולהוליך אחריו למדי - אינו חייב, שלא אמרו אלא דוקא בגזל ונשבע לו, אבל לא נשבע – לא, דהוי גביה בתורת פקדון עד דאתי מאריה ושקיל ליה כדאיתא בהגוזל קמא </w:t>
      </w:r>
      <w:r w:rsidRPr="0004348D">
        <w:rPr>
          <w:rFonts w:ascii="Calibri" w:eastAsia="Calibri" w:hAnsi="Calibri" w:cs="Arial"/>
          <w:sz w:val="16"/>
          <w:szCs w:val="16"/>
          <w:rtl/>
        </w:rPr>
        <w:t>(ב"ק קג.-קד.)</w:t>
      </w:r>
      <w:r w:rsidRPr="0004348D">
        <w:rPr>
          <w:rFonts w:ascii="Calibri" w:eastAsia="Calibri" w:hAnsi="Calibri" w:cs="Arial"/>
          <w:rtl/>
        </w:rPr>
        <w:t>, ומלוה נמי כיון דליתיה הכא ולא תבע ליה מיניה הוה ליה כמאן דאמר ליה 'ליהוי בידך עד דאתינא'. ולעשות בית דין ולמסור בידם – ג"כ אינו צריך, ואם עשה לא עשה ולא כלום</w:t>
      </w:r>
      <w:r w:rsidRPr="0004348D">
        <w:rPr>
          <w:rFonts w:ascii="Calibri" w:eastAsia="Calibri" w:hAnsi="Calibri" w:cs="Arial"/>
          <w:vertAlign w:val="superscript"/>
          <w:rtl/>
        </w:rPr>
        <w:footnoteReference w:id="6061"/>
      </w:r>
      <w:r w:rsidRPr="0004348D">
        <w:rPr>
          <w:rFonts w:ascii="Calibri" w:eastAsia="Calibri" w:hAnsi="Calibri" w:cs="Arial"/>
          <w:rtl/>
        </w:rPr>
        <w:t xml:space="preserve">. </w:t>
      </w:r>
      <w:r w:rsidRPr="0004348D">
        <w:rPr>
          <w:rFonts w:ascii="Calibri" w:eastAsia="Calibri" w:hAnsi="Calibri" w:cs="Arial"/>
          <w:color w:val="E36C0A" w:themeColor="accent6" w:themeShade="BF"/>
          <w:rtl/>
        </w:rPr>
        <w:t>(וכ"פ בשו"ע)</w:t>
      </w:r>
    </w:p>
    <w:p w14:paraId="1B803C8A" w14:textId="77777777" w:rsidR="0004348D" w:rsidRPr="0004348D" w:rsidRDefault="0004348D" w:rsidP="0004348D">
      <w:pPr>
        <w:spacing w:before="360" w:after="240"/>
        <w:ind w:left="360"/>
        <w:rPr>
          <w:rFonts w:ascii="Calibri" w:eastAsia="Calibri" w:hAnsi="Calibri" w:cs="Arial"/>
          <w:u w:val="dotted"/>
        </w:rPr>
      </w:pPr>
      <w:r w:rsidRPr="0004348D">
        <w:rPr>
          <w:rFonts w:ascii="Calibri" w:eastAsia="Calibri" w:hAnsi="Calibri" w:cs="Arial"/>
          <w:u w:val="dotted"/>
          <w:rtl/>
        </w:rPr>
        <w:t xml:space="preserve">האם מכל מקום צריך שיהיו מעותיו בידו באותו יום </w:t>
      </w:r>
      <w:r w:rsidRPr="0004348D">
        <w:rPr>
          <w:rFonts w:ascii="Calibri" w:eastAsia="Calibri" w:hAnsi="Calibri" w:cs="Arial"/>
          <w:sz w:val="16"/>
          <w:szCs w:val="16"/>
          <w:u w:val="dotted"/>
          <w:rtl/>
        </w:rPr>
        <w:t>(דילמא השתא אתי הוא או שלוחיה)</w:t>
      </w:r>
      <w:r w:rsidRPr="0004348D">
        <w:rPr>
          <w:rFonts w:ascii="Calibri" w:eastAsia="Calibri" w:hAnsi="Calibri" w:cs="Arial"/>
          <w:u w:val="dotted"/>
          <w:rtl/>
        </w:rPr>
        <w:t>:</w:t>
      </w:r>
    </w:p>
    <w:p w14:paraId="219F2EA9" w14:textId="77777777" w:rsidR="0004348D" w:rsidRPr="0004348D" w:rsidRDefault="0004348D" w:rsidP="0004348D">
      <w:pPr>
        <w:numPr>
          <w:ilvl w:val="0"/>
          <w:numId w:val="356"/>
        </w:numPr>
        <w:spacing w:before="360" w:after="240"/>
        <w:contextualSpacing/>
        <w:rPr>
          <w:rFonts w:ascii="Calibri" w:eastAsia="Calibri" w:hAnsi="Calibri" w:cs="Arial"/>
        </w:rPr>
      </w:pPr>
      <w:r w:rsidRPr="0004348D">
        <w:rPr>
          <w:rFonts w:ascii="Calibri" w:eastAsia="Calibri" w:hAnsi="Calibri" w:cs="Arial"/>
          <w:rtl/>
        </w:rPr>
        <w:t xml:space="preserve">רשב"א </w:t>
      </w:r>
      <w:r w:rsidRPr="0004348D">
        <w:rPr>
          <w:rFonts w:ascii="Calibri" w:eastAsia="Calibri" w:hAnsi="Calibri" w:cs="Arial"/>
          <w:sz w:val="16"/>
          <w:szCs w:val="16"/>
          <w:rtl/>
        </w:rPr>
        <w:t>(במיוחסות סי' רמז)</w:t>
      </w:r>
      <w:r w:rsidRPr="0004348D">
        <w:rPr>
          <w:rFonts w:ascii="Calibri" w:eastAsia="Calibri" w:hAnsi="Calibri" w:cs="Arial"/>
          <w:rtl/>
        </w:rPr>
        <w:t xml:space="preserve">- הנשבע לחבירו לפרעו לזמן ידוע ואין המלוה בעיר באותו זמן - מסתבר שצריך שיהיו מעותיו בידו באותו יום דילמא השתא אתי הוא או שלוחיה. ומסתבר נמי דכיון דיחדן לו לפרעו - אינו רשאי להוציאן, כדי שיהיו מעותיו בידו מצויין לכשיבא לפרוע לו. </w:t>
      </w:r>
      <w:r w:rsidRPr="0004348D">
        <w:rPr>
          <w:rFonts w:ascii="Calibri" w:eastAsia="Calibri" w:hAnsi="Calibri" w:cs="Arial"/>
          <w:color w:val="E36C0A" w:themeColor="accent6" w:themeShade="BF"/>
          <w:rtl/>
        </w:rPr>
        <w:t>(וכ"פ בשו"ע)</w:t>
      </w:r>
    </w:p>
    <w:p w14:paraId="72CDC988" w14:textId="77777777" w:rsidR="0004348D" w:rsidRPr="0004348D" w:rsidRDefault="0004348D" w:rsidP="0004348D">
      <w:pPr>
        <w:spacing w:before="360" w:after="240"/>
        <w:ind w:left="360"/>
        <w:rPr>
          <w:rFonts w:ascii="Calibri" w:eastAsia="Calibri" w:hAnsi="Calibri" w:cs="Arial"/>
          <w:u w:val="dotted"/>
        </w:rPr>
      </w:pPr>
      <w:r w:rsidRPr="0004348D">
        <w:rPr>
          <w:rFonts w:ascii="Calibri" w:eastAsia="Calibri" w:hAnsi="Calibri" w:cs="Arial"/>
          <w:u w:val="dotted"/>
          <w:rtl/>
        </w:rPr>
        <w:t xml:space="preserve">ומה הדין אם המלוה הניח מורשה לתבוע החוב: </w:t>
      </w:r>
    </w:p>
    <w:p w14:paraId="5BB952D3" w14:textId="77777777" w:rsidR="0004348D" w:rsidRPr="0004348D" w:rsidRDefault="0004348D" w:rsidP="0004348D">
      <w:pPr>
        <w:numPr>
          <w:ilvl w:val="0"/>
          <w:numId w:val="356"/>
        </w:numPr>
        <w:spacing w:before="360" w:after="240"/>
        <w:contextualSpacing/>
        <w:rPr>
          <w:rFonts w:ascii="Calibri" w:eastAsia="Calibri" w:hAnsi="Calibri" w:cs="Arial"/>
        </w:rPr>
      </w:pPr>
      <w:r w:rsidRPr="0004348D">
        <w:rPr>
          <w:rFonts w:ascii="Calibri" w:eastAsia="Calibri" w:hAnsi="Calibri" w:cs="Arial"/>
          <w:rtl/>
        </w:rPr>
        <w:t>רשב"א</w:t>
      </w:r>
      <w:r w:rsidRPr="0004348D">
        <w:rPr>
          <w:rFonts w:ascii="Calibri" w:eastAsia="Calibri" w:hAnsi="Calibri" w:cs="Arial"/>
          <w:sz w:val="16"/>
          <w:szCs w:val="16"/>
          <w:rtl/>
        </w:rPr>
        <w:t xml:space="preserve"> (ח"א סי' אלף סז)</w:t>
      </w:r>
      <w:r w:rsidRPr="0004348D">
        <w:rPr>
          <w:rFonts w:ascii="Calibri" w:eastAsia="Calibri" w:hAnsi="Calibri" w:cs="Arial"/>
          <w:rtl/>
        </w:rPr>
        <w:t>- אם הניח המלוה מורשה לתבוע החוב ולהתרות בו - שלוחו של אדם כמותו.</w:t>
      </w:r>
    </w:p>
    <w:p w14:paraId="6FAB628F" w14:textId="77777777" w:rsidR="0004348D" w:rsidRPr="0004348D" w:rsidRDefault="0004348D" w:rsidP="0004348D">
      <w:pPr>
        <w:spacing w:before="360" w:after="240"/>
        <w:rPr>
          <w:rFonts w:ascii="Calibri" w:eastAsia="Calibri" w:hAnsi="Calibri" w:cs="Arial"/>
          <w:u w:val="single"/>
        </w:rPr>
      </w:pPr>
      <w:r w:rsidRPr="0004348D">
        <w:rPr>
          <w:rFonts w:ascii="Calibri" w:eastAsia="Calibri" w:hAnsi="Calibri" w:cs="Arial"/>
          <w:u w:val="single"/>
          <w:rtl/>
        </w:rPr>
        <w:t xml:space="preserve">מי שנשבע לפרוע למלוה בעירו שדר שם המלוה בשעת ההלואה וקודם הפרעון קרה אונס למלוה והוצרך לילך מעירו: </w:t>
      </w:r>
    </w:p>
    <w:p w14:paraId="1CF0F619" w14:textId="77777777" w:rsidR="0004348D" w:rsidRPr="0004348D" w:rsidRDefault="0004348D" w:rsidP="0004348D">
      <w:pPr>
        <w:numPr>
          <w:ilvl w:val="0"/>
          <w:numId w:val="356"/>
        </w:numPr>
        <w:spacing w:before="360" w:after="240"/>
        <w:contextualSpacing/>
        <w:rPr>
          <w:rFonts w:ascii="Calibri" w:eastAsia="Calibri" w:hAnsi="Calibri" w:cs="Arial"/>
        </w:rPr>
      </w:pPr>
      <w:r w:rsidRPr="0004348D">
        <w:rPr>
          <w:rFonts w:ascii="Calibri" w:eastAsia="Calibri" w:hAnsi="Calibri" w:cs="Arial"/>
          <w:rtl/>
        </w:rPr>
        <w:t xml:space="preserve">מהרי"ק </w:t>
      </w:r>
      <w:r w:rsidRPr="0004348D">
        <w:rPr>
          <w:rFonts w:ascii="Calibri" w:eastAsia="Calibri" w:hAnsi="Calibri" w:cs="Arial"/>
          <w:sz w:val="16"/>
          <w:szCs w:val="16"/>
          <w:rtl/>
        </w:rPr>
        <w:t>(שורש קיב)</w:t>
      </w:r>
      <w:r w:rsidRPr="0004348D">
        <w:rPr>
          <w:rFonts w:ascii="Calibri" w:eastAsia="Calibri" w:hAnsi="Calibri" w:cs="Arial"/>
          <w:rtl/>
        </w:rPr>
        <w:t>- מי שנשבע לפרוע למלוה בעירו שדר שם המלוה בשעת ההלואה וקודם הפרעון קרה אונס למלוה שהוצרך לילך מעירו לעיר אחרת - אם אותה עיר שעומד בה עתה המלוה אינה רחוקה ממקום עמידת הלוה יותר מהעיר שהיה בה המלוה בראשונה חייב הלוה להוליך שם מעותיו ולפרעו שם.</w:t>
      </w:r>
      <w:r w:rsidRPr="0004348D">
        <w:rPr>
          <w:rFonts w:ascii="Calibri" w:eastAsia="Calibri" w:hAnsi="Calibri" w:cs="Arial"/>
          <w:color w:val="00B0F0"/>
          <w:rtl/>
        </w:rPr>
        <w:t xml:space="preserve"> (וכ"ס הרמ"א)</w:t>
      </w:r>
    </w:p>
    <w:p w14:paraId="631DD128" w14:textId="77777777" w:rsidR="0004348D" w:rsidRPr="0004348D" w:rsidRDefault="0004348D" w:rsidP="0004348D">
      <w:pPr>
        <w:spacing w:before="360" w:after="240"/>
        <w:rPr>
          <w:rFonts w:ascii="Calibri" w:eastAsia="Calibri" w:hAnsi="Calibri" w:cs="Arial"/>
          <w:u w:val="single"/>
        </w:rPr>
      </w:pPr>
      <w:r w:rsidRPr="0004348D">
        <w:rPr>
          <w:rFonts w:ascii="Calibri" w:eastAsia="Calibri" w:hAnsi="Calibri" w:cs="Arial"/>
          <w:u w:val="single"/>
          <w:rtl/>
        </w:rPr>
        <w:t xml:space="preserve">לוה שנשבע לפרוע למלוה במעות – ורוצה עתה לפורעו בזהובים והמלוה רוצה במטבעות כסף: </w:t>
      </w:r>
    </w:p>
    <w:p w14:paraId="09EDCE97" w14:textId="77777777" w:rsidR="0004348D" w:rsidRPr="0004348D" w:rsidRDefault="0004348D" w:rsidP="0004348D">
      <w:pPr>
        <w:numPr>
          <w:ilvl w:val="0"/>
          <w:numId w:val="356"/>
        </w:numPr>
        <w:spacing w:before="360" w:after="240"/>
        <w:contextualSpacing/>
        <w:rPr>
          <w:rFonts w:ascii="Calibri" w:eastAsia="Calibri" w:hAnsi="Calibri" w:cs="Arial"/>
          <w:rtl/>
        </w:rPr>
      </w:pPr>
      <w:r w:rsidRPr="0004348D">
        <w:rPr>
          <w:rFonts w:ascii="Calibri" w:eastAsia="Calibri" w:hAnsi="Calibri" w:cs="Arial"/>
          <w:rtl/>
        </w:rPr>
        <w:t xml:space="preserve">מהרי"ק </w:t>
      </w:r>
      <w:r w:rsidRPr="0004348D">
        <w:rPr>
          <w:rFonts w:ascii="Calibri" w:eastAsia="Calibri" w:hAnsi="Calibri" w:cs="Arial"/>
          <w:sz w:val="16"/>
          <w:szCs w:val="16"/>
          <w:rtl/>
        </w:rPr>
        <w:t>(שורש צה)</w:t>
      </w:r>
      <w:r w:rsidRPr="0004348D">
        <w:rPr>
          <w:rFonts w:ascii="Calibri" w:eastAsia="Calibri" w:hAnsi="Calibri" w:cs="Arial"/>
          <w:rtl/>
        </w:rPr>
        <w:t>- אם נשבע לפרעו במעות מנויות</w:t>
      </w:r>
      <w:r w:rsidRPr="0004348D">
        <w:rPr>
          <w:rFonts w:ascii="Calibri" w:eastAsia="Calibri" w:hAnsi="Calibri" w:cs="Arial"/>
          <w:sz w:val="16"/>
          <w:szCs w:val="16"/>
          <w:rtl/>
        </w:rPr>
        <w:t xml:space="preserve"> {לאפוקי טס כסף וכדו'}</w:t>
      </w:r>
      <w:r w:rsidRPr="0004348D">
        <w:rPr>
          <w:rFonts w:ascii="Calibri" w:eastAsia="Calibri" w:hAnsi="Calibri" w:cs="Arial"/>
          <w:rtl/>
        </w:rPr>
        <w:t xml:space="preserve">, ורוצה לפרוע בזהובים והלה רוצה מטבע של כסף - הדין עם הלוה, דשם מעות כולל בין של זהב בין של כסף בין של נחשת. </w:t>
      </w:r>
    </w:p>
    <w:p w14:paraId="031B2F48" w14:textId="77777777" w:rsidR="0004348D" w:rsidRPr="0004348D" w:rsidRDefault="0004348D" w:rsidP="0004348D">
      <w:pPr>
        <w:spacing w:before="360" w:after="240"/>
        <w:rPr>
          <w:rFonts w:ascii="Calibri" w:eastAsia="Calibri" w:hAnsi="Calibri" w:cs="Arial"/>
          <w:u w:val="single"/>
        </w:rPr>
      </w:pPr>
      <w:r w:rsidRPr="0004348D">
        <w:rPr>
          <w:rFonts w:ascii="Calibri" w:eastAsia="Calibri" w:hAnsi="Calibri" w:cs="Arial"/>
          <w:u w:val="single"/>
          <w:rtl/>
        </w:rPr>
        <w:t>נשבע לפרוע לזמן פלוני – ואנסוהו שלא יפרע או שיאריך הזמן:</w:t>
      </w:r>
    </w:p>
    <w:p w14:paraId="44F18804" w14:textId="77777777" w:rsidR="0004348D" w:rsidRPr="0004348D" w:rsidRDefault="0004348D" w:rsidP="0004348D">
      <w:pPr>
        <w:numPr>
          <w:ilvl w:val="0"/>
          <w:numId w:val="356"/>
        </w:numPr>
        <w:spacing w:before="360" w:after="240"/>
        <w:contextualSpacing/>
        <w:rPr>
          <w:rFonts w:ascii="Calibri" w:eastAsia="Calibri" w:hAnsi="Calibri" w:cs="Arial"/>
        </w:rPr>
      </w:pPr>
      <w:r w:rsidRPr="0004348D">
        <w:rPr>
          <w:rFonts w:ascii="Calibri" w:eastAsia="Calibri" w:hAnsi="Calibri" w:cs="Arial"/>
          <w:rtl/>
        </w:rPr>
        <w:t xml:space="preserve">ריב"ש </w:t>
      </w:r>
      <w:r w:rsidRPr="0004348D">
        <w:rPr>
          <w:rFonts w:ascii="Calibri" w:eastAsia="Calibri" w:hAnsi="Calibri" w:cs="Arial"/>
          <w:sz w:val="16"/>
          <w:szCs w:val="16"/>
          <w:rtl/>
        </w:rPr>
        <w:t>(סי' תס)</w:t>
      </w:r>
      <w:r w:rsidRPr="0004348D">
        <w:rPr>
          <w:rFonts w:ascii="Calibri" w:eastAsia="Calibri" w:hAnsi="Calibri" w:cs="Arial"/>
          <w:rtl/>
        </w:rPr>
        <w:t xml:space="preserve"> בשם הרשב"א </w:t>
      </w:r>
      <w:r w:rsidRPr="0004348D">
        <w:rPr>
          <w:rFonts w:ascii="Calibri" w:eastAsia="Calibri" w:hAnsi="Calibri" w:cs="Arial"/>
          <w:sz w:val="16"/>
          <w:szCs w:val="16"/>
          <w:rtl/>
        </w:rPr>
        <w:t>(ח"ז סי' רסח)</w:t>
      </w:r>
      <w:r w:rsidRPr="0004348D">
        <w:rPr>
          <w:rFonts w:ascii="Calibri" w:eastAsia="Calibri" w:hAnsi="Calibri" w:cs="Arial"/>
          <w:rtl/>
        </w:rPr>
        <w:t>- מי שהיה חייב לפרוע לחבירו בשבועה לזמן פלוני, והמלוה היה חייב לאחר מנה, ואדוני הארץ התפיס ביד אותו לוה מנה זה עד שיפרע המלוה לזה שחייב לו - אנוס הוא שאינו רשאי לעבור על צוואת האדון.</w:t>
      </w:r>
    </w:p>
    <w:p w14:paraId="00FBD767" w14:textId="77777777" w:rsidR="0004348D" w:rsidRPr="0004348D" w:rsidRDefault="0004348D" w:rsidP="0004348D">
      <w:pPr>
        <w:numPr>
          <w:ilvl w:val="0"/>
          <w:numId w:val="356"/>
        </w:numPr>
        <w:spacing w:before="360" w:after="240"/>
        <w:contextualSpacing/>
        <w:rPr>
          <w:rFonts w:ascii="Calibri" w:eastAsia="Calibri" w:hAnsi="Calibri" w:cs="Arial"/>
        </w:rPr>
      </w:pPr>
      <w:r w:rsidRPr="0004348D">
        <w:rPr>
          <w:rFonts w:ascii="Calibri" w:eastAsia="Calibri" w:hAnsi="Calibri" w:cs="Arial"/>
          <w:rtl/>
        </w:rPr>
        <w:t xml:space="preserve">רשב"א </w:t>
      </w:r>
      <w:r w:rsidRPr="0004348D">
        <w:rPr>
          <w:rFonts w:ascii="Calibri" w:eastAsia="Calibri" w:hAnsi="Calibri" w:cs="Arial"/>
          <w:sz w:val="16"/>
          <w:szCs w:val="16"/>
          <w:rtl/>
        </w:rPr>
        <w:t>(במיוחסות סי' רמו)</w:t>
      </w:r>
      <w:r w:rsidRPr="0004348D">
        <w:rPr>
          <w:rFonts w:ascii="Calibri" w:eastAsia="Calibri" w:hAnsi="Calibri" w:cs="Arial"/>
          <w:rtl/>
        </w:rPr>
        <w:t xml:space="preserve">- הנשבע לפרוע לחבירו לזמן פלוני וכשהגיע הזמן הכריח האדון למלוה שיאריך הזמן ללוה ומסר המלוה מודעא שהוא מאריך באונס. תשובה, כל שבאונס לאו כלום הוא דמאי שנא מתליוהו ויהיב </w:t>
      </w:r>
      <w:r w:rsidRPr="0004348D">
        <w:rPr>
          <w:rFonts w:ascii="Calibri" w:eastAsia="Calibri" w:hAnsi="Calibri" w:cs="Arial"/>
          <w:sz w:val="16"/>
          <w:szCs w:val="16"/>
          <w:rtl/>
        </w:rPr>
        <w:t>(ב"ב מח. ורשב"ם ד"ה מודה)</w:t>
      </w:r>
      <w:r w:rsidRPr="0004348D">
        <w:rPr>
          <w:rFonts w:ascii="Calibri" w:eastAsia="Calibri" w:hAnsi="Calibri" w:cs="Arial"/>
          <w:rtl/>
        </w:rPr>
        <w:t>.</w:t>
      </w:r>
    </w:p>
    <w:p w14:paraId="58833BA5" w14:textId="77777777" w:rsidR="0004348D" w:rsidRPr="0004348D" w:rsidRDefault="0004348D" w:rsidP="0004348D">
      <w:pPr>
        <w:spacing w:before="360" w:after="240"/>
        <w:rPr>
          <w:rFonts w:ascii="Calibri" w:eastAsia="Calibri" w:hAnsi="Calibri" w:cs="Arial"/>
          <w:u w:val="single"/>
        </w:rPr>
      </w:pPr>
      <w:r w:rsidRPr="0004348D">
        <w:rPr>
          <w:rFonts w:ascii="Calibri" w:eastAsia="Calibri" w:hAnsi="Calibri" w:cs="Arial"/>
          <w:u w:val="single"/>
          <w:rtl/>
        </w:rPr>
        <w:t>הקובע זמן לחבירו לפרעו עד חדש פלוני או עד יום פלוני – האם אותו זמן בכלל:</w:t>
      </w:r>
    </w:p>
    <w:p w14:paraId="3D940FBF" w14:textId="77777777" w:rsidR="0004348D" w:rsidRPr="0004348D" w:rsidRDefault="0004348D" w:rsidP="0004348D">
      <w:pPr>
        <w:numPr>
          <w:ilvl w:val="0"/>
          <w:numId w:val="356"/>
        </w:numPr>
        <w:spacing w:before="360" w:after="240"/>
        <w:contextualSpacing/>
        <w:rPr>
          <w:rFonts w:ascii="Calibri" w:eastAsia="Calibri" w:hAnsi="Calibri" w:cs="Arial"/>
        </w:rPr>
      </w:pPr>
      <w:r w:rsidRPr="0004348D">
        <w:rPr>
          <w:rFonts w:ascii="Calibri" w:eastAsia="Calibri" w:hAnsi="Calibri" w:cs="Arial"/>
          <w:rtl/>
        </w:rPr>
        <w:t xml:space="preserve">רשב"א </w:t>
      </w:r>
      <w:r w:rsidRPr="0004348D">
        <w:rPr>
          <w:rFonts w:ascii="Calibri" w:eastAsia="Calibri" w:hAnsi="Calibri" w:cs="Arial"/>
          <w:sz w:val="16"/>
          <w:szCs w:val="16"/>
          <w:rtl/>
        </w:rPr>
        <w:t>(ח"ד סי' קסא)</w:t>
      </w:r>
      <w:r w:rsidRPr="0004348D">
        <w:rPr>
          <w:rFonts w:ascii="Calibri" w:eastAsia="Calibri" w:hAnsi="Calibri" w:cs="Arial"/>
          <w:rtl/>
        </w:rPr>
        <w:t>- הקובע זמן לחבירו לפרעו עד חדש פלוני או עד יום פלוני - הוי עד ולא עד בכלל, כמו בנדרים</w:t>
      </w:r>
      <w:r w:rsidRPr="0004348D">
        <w:rPr>
          <w:rFonts w:ascii="Calibri" w:eastAsia="Calibri" w:hAnsi="Calibri" w:cs="Arial"/>
          <w:sz w:val="16"/>
          <w:szCs w:val="16"/>
          <w:rtl/>
        </w:rPr>
        <w:t xml:space="preserve"> (נדרים סא:)</w:t>
      </w:r>
      <w:r w:rsidRPr="0004348D">
        <w:rPr>
          <w:rFonts w:ascii="Calibri" w:eastAsia="Calibri" w:hAnsi="Calibri" w:cs="Arial"/>
          <w:rtl/>
        </w:rPr>
        <w:t xml:space="preserve">. </w:t>
      </w:r>
    </w:p>
    <w:p w14:paraId="742CD96A" w14:textId="77777777" w:rsidR="0004348D" w:rsidRPr="0004348D" w:rsidRDefault="0004348D" w:rsidP="0004348D">
      <w:pPr>
        <w:spacing w:before="360" w:after="240"/>
        <w:rPr>
          <w:rFonts w:ascii="Calibri" w:eastAsia="Calibri" w:hAnsi="Calibri" w:cs="Arial"/>
          <w:sz w:val="16"/>
          <w:szCs w:val="16"/>
          <w:u w:val="single"/>
        </w:rPr>
      </w:pPr>
      <w:r w:rsidRPr="0004348D">
        <w:rPr>
          <w:rFonts w:ascii="Calibri" w:eastAsia="Calibri" w:hAnsi="Calibri" w:cs="Arial"/>
          <w:u w:val="single"/>
          <w:rtl/>
        </w:rPr>
        <w:t>הנשבע לשלם לחברו – ונתברר לו שמן הדין אינו חייב לשלם לו:</w:t>
      </w:r>
      <w:r w:rsidRPr="0004348D">
        <w:rPr>
          <w:rFonts w:ascii="Calibri" w:eastAsia="Calibri" w:hAnsi="Calibri" w:cs="Arial"/>
          <w:sz w:val="16"/>
          <w:szCs w:val="16"/>
          <w:rtl/>
        </w:rPr>
        <w:t xml:space="preserve">  (דרכ"מ אות א)</w:t>
      </w:r>
    </w:p>
    <w:p w14:paraId="779DBF33" w14:textId="77777777" w:rsidR="0004348D" w:rsidRPr="0004348D" w:rsidRDefault="0004348D" w:rsidP="0004348D">
      <w:pPr>
        <w:numPr>
          <w:ilvl w:val="0"/>
          <w:numId w:val="356"/>
        </w:numPr>
        <w:spacing w:before="360" w:after="240"/>
        <w:contextualSpacing/>
        <w:rPr>
          <w:rFonts w:ascii="Calibri" w:eastAsia="Calibri" w:hAnsi="Calibri" w:cs="Arial"/>
        </w:rPr>
      </w:pPr>
      <w:r w:rsidRPr="0004348D">
        <w:rPr>
          <w:rFonts w:ascii="Calibri" w:eastAsia="Calibri" w:hAnsi="Calibri" w:cs="Arial"/>
          <w:rtl/>
        </w:rPr>
        <w:t xml:space="preserve">רא"ש </w:t>
      </w:r>
      <w:r w:rsidRPr="0004348D">
        <w:rPr>
          <w:rFonts w:ascii="Calibri" w:eastAsia="Calibri" w:hAnsi="Calibri" w:cs="Arial"/>
          <w:sz w:val="16"/>
          <w:szCs w:val="16"/>
          <w:rtl/>
        </w:rPr>
        <w:t>(כלל סח סי' יא)</w:t>
      </w:r>
      <w:r w:rsidRPr="0004348D">
        <w:rPr>
          <w:rFonts w:ascii="Calibri" w:eastAsia="Calibri" w:hAnsi="Calibri" w:cs="Arial"/>
          <w:rtl/>
        </w:rPr>
        <w:t xml:space="preserve"> וריב"ש </w:t>
      </w:r>
      <w:r w:rsidRPr="0004348D">
        <w:rPr>
          <w:rFonts w:ascii="Calibri" w:eastAsia="Calibri" w:hAnsi="Calibri" w:cs="Arial"/>
          <w:sz w:val="16"/>
          <w:szCs w:val="16"/>
          <w:rtl/>
        </w:rPr>
        <w:t>(סי' שדמ)</w:t>
      </w:r>
      <w:r w:rsidRPr="0004348D">
        <w:rPr>
          <w:rFonts w:ascii="Calibri" w:eastAsia="Calibri" w:hAnsi="Calibri" w:cs="Arial"/>
          <w:rtl/>
        </w:rPr>
        <w:t>- מי שנשבע לשלם לחבירו אע"פ שאין הדין נותן שחייב לשלם לו - מכל מקום מחוייב לקיים שבועתו.</w:t>
      </w:r>
      <w:r w:rsidRPr="0004348D">
        <w:rPr>
          <w:rFonts w:ascii="Calibri" w:eastAsia="Calibri" w:hAnsi="Calibri" w:cs="Arial"/>
          <w:color w:val="00B0F0"/>
          <w:rtl/>
        </w:rPr>
        <w:t xml:space="preserve"> (וכ"פ הרמ"א)</w:t>
      </w:r>
    </w:p>
    <w:p w14:paraId="79BD05EE" w14:textId="77777777" w:rsidR="0004348D" w:rsidRPr="0004348D" w:rsidRDefault="0004348D" w:rsidP="0004348D">
      <w:pPr>
        <w:spacing w:before="360" w:after="240"/>
        <w:rPr>
          <w:rFonts w:ascii="Calibri" w:eastAsia="Calibri" w:hAnsi="Calibri" w:cs="Arial"/>
          <w:u w:val="single"/>
        </w:rPr>
      </w:pPr>
      <w:r w:rsidRPr="0004348D">
        <w:rPr>
          <w:rFonts w:ascii="Calibri" w:eastAsia="Calibri" w:hAnsi="Calibri" w:cs="Arial"/>
          <w:u w:val="single"/>
          <w:rtl/>
        </w:rPr>
        <w:t>נשבע ליתן לחברו מאתיים, וחברו כתב לו 'התקבלתי מנה ממך' אע"פ שלא קיבל באמת – האם צריך לקיים שבועתו:</w:t>
      </w:r>
    </w:p>
    <w:p w14:paraId="639965C8" w14:textId="77777777" w:rsidR="0004348D" w:rsidRPr="0004348D" w:rsidRDefault="0004348D" w:rsidP="0004348D">
      <w:pPr>
        <w:numPr>
          <w:ilvl w:val="0"/>
          <w:numId w:val="356"/>
        </w:numPr>
        <w:spacing w:before="360" w:after="240"/>
        <w:contextualSpacing/>
        <w:rPr>
          <w:rFonts w:ascii="Calibri" w:eastAsia="Calibri" w:hAnsi="Calibri" w:cs="Arial"/>
        </w:rPr>
      </w:pPr>
      <w:r w:rsidRPr="0004348D">
        <w:rPr>
          <w:rFonts w:ascii="Calibri" w:eastAsia="Calibri" w:hAnsi="Calibri" w:cs="Arial"/>
          <w:rtl/>
        </w:rPr>
        <w:t xml:space="preserve">ריטב"א </w:t>
      </w:r>
      <w:r w:rsidRPr="0004348D">
        <w:rPr>
          <w:rFonts w:ascii="Calibri" w:eastAsia="Calibri" w:hAnsi="Calibri" w:cs="Arial"/>
          <w:sz w:val="16"/>
          <w:szCs w:val="16"/>
          <w:rtl/>
        </w:rPr>
        <w:t>(ר"פ אף על פי כתובות נו. ד"ה רבי)</w:t>
      </w:r>
      <w:r w:rsidRPr="0004348D">
        <w:rPr>
          <w:rFonts w:ascii="Calibri" w:eastAsia="Calibri" w:hAnsi="Calibri" w:cs="Arial"/>
          <w:rtl/>
        </w:rPr>
        <w:t>- 'רבי יהודה אומר אם רצה כותב לבתולה שטר של מאתים והיא כותבת לו התקבלתי ממך מנה' אע"ג דידעינן ודאי שלא נתקבלה – הודאתה זו שוברתה כאילו נתקבלה, ואינה צריכה לומר הריני כאילו התקבלתי. וכן הדין בכל חוב אפילו שיש לו שבועה.</w:t>
      </w:r>
      <w:r w:rsidRPr="0004348D">
        <w:rPr>
          <w:rFonts w:ascii="Calibri" w:eastAsia="Calibri" w:hAnsi="Calibri" w:cs="Arial"/>
          <w:color w:val="00B0F0"/>
          <w:rtl/>
        </w:rPr>
        <w:t xml:space="preserve"> (וכ"פ הרמ"א</w:t>
      </w:r>
      <w:r w:rsidRPr="0004348D">
        <w:rPr>
          <w:rFonts w:ascii="Calibri" w:eastAsia="Calibri" w:hAnsi="Calibri" w:cs="Arial"/>
          <w:color w:val="00B0F0"/>
          <w:sz w:val="16"/>
          <w:szCs w:val="16"/>
          <w:rtl/>
        </w:rPr>
        <w:t xml:space="preserve"> </w:t>
      </w:r>
      <w:r w:rsidRPr="0004348D">
        <w:rPr>
          <w:rFonts w:ascii="Calibri" w:eastAsia="Calibri" w:hAnsi="Calibri" w:cs="Arial"/>
          <w:color w:val="000000" w:themeColor="text1"/>
          <w:sz w:val="16"/>
          <w:szCs w:val="16"/>
          <w:rtl/>
        </w:rPr>
        <w:t>[סי' מ ס"א]</w:t>
      </w:r>
      <w:r w:rsidRPr="0004348D">
        <w:rPr>
          <w:rFonts w:ascii="Calibri" w:eastAsia="Calibri" w:hAnsi="Calibri" w:cs="Arial"/>
          <w:color w:val="00B0F0"/>
          <w:rtl/>
        </w:rPr>
        <w:t>)</w:t>
      </w:r>
    </w:p>
    <w:p w14:paraId="0EE2A045" w14:textId="77777777" w:rsidR="0004348D" w:rsidRPr="0004348D" w:rsidRDefault="0004348D" w:rsidP="0004348D">
      <w:pPr>
        <w:spacing w:before="360" w:after="240"/>
        <w:rPr>
          <w:rFonts w:ascii="Arial" w:eastAsia="Calibri" w:hAnsi="Arial" w:cs="Arial"/>
          <w:b/>
          <w:bCs/>
          <w:color w:val="000000"/>
          <w:sz w:val="28"/>
          <w:szCs w:val="28"/>
          <w:u w:val="single"/>
          <w:rtl/>
        </w:rPr>
      </w:pPr>
      <w:r w:rsidRPr="0004348D">
        <w:rPr>
          <w:rFonts w:ascii="Arial" w:eastAsia="Calibri" w:hAnsi="Arial" w:cs="Arial"/>
          <w:b/>
          <w:bCs/>
          <w:color w:val="000000"/>
          <w:sz w:val="28"/>
          <w:szCs w:val="28"/>
          <w:u w:val="single"/>
          <w:rtl/>
        </w:rPr>
        <w:t>שו"ע:</w:t>
      </w:r>
    </w:p>
    <w:p w14:paraId="272B3F26" w14:textId="77777777" w:rsidR="0004348D" w:rsidRPr="0004348D" w:rsidRDefault="0004348D" w:rsidP="0004348D">
      <w:pPr>
        <w:spacing w:before="360" w:after="240"/>
        <w:rPr>
          <w:rFonts w:ascii="Calibri" w:eastAsia="Calibri" w:hAnsi="Calibri" w:cs="Arial"/>
          <w:rtl/>
        </w:rPr>
      </w:pPr>
      <w:r w:rsidRPr="0004348D">
        <w:rPr>
          <w:rFonts w:ascii="Calibri" w:eastAsia="Calibri" w:hAnsi="Calibri" w:cs="Arial"/>
          <w:rtl/>
        </w:rPr>
        <w:t>הנשבע לחבירו לפרעו ביום פלוני, והגיע הזמן והמלוה איננו בעיר, הוא פטור עד שיבא המלוה או שלוחו. אבל צריך שיהיו המעות בידו באותו יום, ואינו רשאי להוציאם</w:t>
      </w:r>
      <w:r w:rsidRPr="0004348D">
        <w:rPr>
          <w:rFonts w:ascii="Calibri" w:eastAsia="Calibri" w:hAnsi="Calibri" w:cs="Arial"/>
          <w:vertAlign w:val="superscript"/>
          <w:rtl/>
        </w:rPr>
        <w:footnoteReference w:id="6062"/>
      </w:r>
      <w:r w:rsidRPr="0004348D">
        <w:rPr>
          <w:rFonts w:ascii="Calibri" w:eastAsia="Calibri" w:hAnsi="Calibri" w:cs="Arial"/>
          <w:rtl/>
        </w:rPr>
        <w:t xml:space="preserve">. </w:t>
      </w:r>
      <w:r w:rsidRPr="0004348D">
        <w:rPr>
          <w:rFonts w:ascii="Calibri" w:eastAsia="Calibri" w:hAnsi="Calibri" w:cs="Arial"/>
          <w:sz w:val="18"/>
          <w:szCs w:val="18"/>
          <w:rtl/>
        </w:rPr>
        <w:t>הגה: והני מילי שנפטר כשאין המלוה בעיר, היינו דוקא כשלא היה המלוה דר במקום שהיה דר תחלה כשנשבע הלוה, או יצא משם</w:t>
      </w:r>
      <w:r w:rsidRPr="0004348D">
        <w:rPr>
          <w:rFonts w:ascii="Calibri" w:eastAsia="Calibri" w:hAnsi="Calibri" w:cs="Arial"/>
          <w:sz w:val="18"/>
          <w:szCs w:val="18"/>
          <w:vertAlign w:val="superscript"/>
          <w:rtl/>
        </w:rPr>
        <w:footnoteReference w:id="6063"/>
      </w:r>
      <w:r w:rsidRPr="0004348D">
        <w:rPr>
          <w:rFonts w:ascii="Calibri" w:eastAsia="Calibri" w:hAnsi="Calibri" w:cs="Arial"/>
          <w:sz w:val="18"/>
          <w:szCs w:val="18"/>
          <w:rtl/>
        </w:rPr>
        <w:t xml:space="preserve">, אבל אם הוא בעיר שהיה תחלה כשנשבע הלוה, צריך להוליכו אחריו, כי אדעתא דהכי נשבע תחלה </w:t>
      </w:r>
      <w:r w:rsidRPr="0004348D">
        <w:rPr>
          <w:rFonts w:ascii="Calibri" w:eastAsia="Calibri" w:hAnsi="Calibri" w:cs="Arial"/>
          <w:sz w:val="16"/>
          <w:szCs w:val="16"/>
          <w:rtl/>
        </w:rPr>
        <w:t>(מהרי"ק שורש יז)</w:t>
      </w:r>
      <w:r w:rsidRPr="0004348D">
        <w:rPr>
          <w:rFonts w:ascii="Calibri" w:eastAsia="Calibri" w:hAnsi="Calibri" w:cs="Arial"/>
          <w:sz w:val="18"/>
          <w:szCs w:val="18"/>
          <w:rtl/>
        </w:rPr>
        <w:t>. וי"א דאפילו אם עקר דירתו ממקום למקום, אם אינו רחוק מן הלוה יותר מתחלה, צריך להוליכו אחריו</w:t>
      </w:r>
      <w:r w:rsidRPr="0004348D">
        <w:rPr>
          <w:rFonts w:ascii="Calibri" w:eastAsia="Calibri" w:hAnsi="Calibri" w:cs="Arial"/>
          <w:sz w:val="18"/>
          <w:szCs w:val="18"/>
          <w:vertAlign w:val="superscript"/>
          <w:rtl/>
        </w:rPr>
        <w:footnoteReference w:id="6064"/>
      </w:r>
      <w:r w:rsidRPr="0004348D">
        <w:rPr>
          <w:rFonts w:ascii="Calibri" w:eastAsia="Calibri" w:hAnsi="Calibri" w:cs="Arial"/>
          <w:sz w:val="18"/>
          <w:szCs w:val="18"/>
          <w:rtl/>
        </w:rPr>
        <w:t xml:space="preserve"> </w:t>
      </w:r>
      <w:r w:rsidRPr="0004348D">
        <w:rPr>
          <w:rFonts w:ascii="Calibri" w:eastAsia="Calibri" w:hAnsi="Calibri" w:cs="Arial"/>
          <w:sz w:val="16"/>
          <w:szCs w:val="16"/>
          <w:rtl/>
        </w:rPr>
        <w:t>(מהרי"ק שורש קיב)</w:t>
      </w:r>
      <w:r w:rsidRPr="0004348D">
        <w:rPr>
          <w:rFonts w:ascii="Calibri" w:eastAsia="Calibri" w:hAnsi="Calibri" w:cs="Arial"/>
          <w:sz w:val="18"/>
          <w:szCs w:val="18"/>
          <w:rtl/>
        </w:rPr>
        <w:t>. מי שנשבע ליתן נדוניא לחתנו, ובתוך זה הרגיל קטטה עם בתו, ויש לחוש שירגיל יותר אם יתן לו, אין צריך ליתן לו</w:t>
      </w:r>
      <w:r w:rsidRPr="0004348D">
        <w:rPr>
          <w:rFonts w:ascii="Calibri" w:eastAsia="Calibri" w:hAnsi="Calibri" w:cs="Arial"/>
          <w:sz w:val="18"/>
          <w:szCs w:val="18"/>
          <w:vertAlign w:val="superscript"/>
          <w:rtl/>
        </w:rPr>
        <w:footnoteReference w:id="6065"/>
      </w:r>
      <w:r w:rsidRPr="0004348D">
        <w:rPr>
          <w:rFonts w:ascii="Calibri" w:eastAsia="Calibri" w:hAnsi="Calibri" w:cs="Arial"/>
          <w:sz w:val="18"/>
          <w:szCs w:val="18"/>
          <w:rtl/>
        </w:rPr>
        <w:t xml:space="preserve"> </w:t>
      </w:r>
      <w:r w:rsidRPr="0004348D">
        <w:rPr>
          <w:rFonts w:ascii="Calibri" w:eastAsia="Calibri" w:hAnsi="Calibri" w:cs="Arial"/>
          <w:sz w:val="16"/>
          <w:szCs w:val="16"/>
          <w:rtl/>
        </w:rPr>
        <w:t>(אהע"ז סי' נב)</w:t>
      </w:r>
      <w:r w:rsidRPr="0004348D">
        <w:rPr>
          <w:rFonts w:ascii="Calibri" w:eastAsia="Calibri" w:hAnsi="Calibri" w:cs="Arial"/>
          <w:sz w:val="18"/>
          <w:szCs w:val="18"/>
          <w:rtl/>
        </w:rPr>
        <w:t>. מי שנשבע לשלם לחבירו אע"פ שלא היה חייב לשלם לו, מכל מקום חייב לשלם מכח שבועתו</w:t>
      </w:r>
      <w:r w:rsidRPr="0004348D">
        <w:rPr>
          <w:rFonts w:ascii="Calibri" w:eastAsia="Calibri" w:hAnsi="Calibri" w:cs="Arial"/>
          <w:sz w:val="18"/>
          <w:szCs w:val="18"/>
          <w:vertAlign w:val="superscript"/>
          <w:rtl/>
        </w:rPr>
        <w:footnoteReference w:id="6066"/>
      </w:r>
      <w:r w:rsidRPr="0004348D">
        <w:rPr>
          <w:rFonts w:ascii="Calibri" w:eastAsia="Calibri" w:hAnsi="Calibri" w:cs="Arial"/>
          <w:sz w:val="18"/>
          <w:szCs w:val="18"/>
          <w:rtl/>
        </w:rPr>
        <w:t xml:space="preserve"> </w:t>
      </w:r>
      <w:r w:rsidRPr="0004348D">
        <w:rPr>
          <w:rFonts w:ascii="Calibri" w:eastAsia="Calibri" w:hAnsi="Calibri" w:cs="Arial"/>
          <w:sz w:val="16"/>
          <w:szCs w:val="16"/>
          <w:rtl/>
        </w:rPr>
        <w:t>(רא"ש כלל סח סי' יא וריב"ש סי' שדמ)</w:t>
      </w:r>
      <w:r w:rsidRPr="0004348D">
        <w:rPr>
          <w:rFonts w:ascii="Calibri" w:eastAsia="Calibri" w:hAnsi="Calibri" w:cs="Arial"/>
          <w:sz w:val="18"/>
          <w:szCs w:val="18"/>
          <w:rtl/>
        </w:rPr>
        <w:t>. ועיין לקמן סימן צ"ז סעיף ט"ו וסעיף ל' ולקמן סימן ר"ט סעיף ד'.</w:t>
      </w:r>
      <w:r w:rsidRPr="0004348D">
        <w:rPr>
          <w:rFonts w:ascii="Calibri" w:eastAsia="Calibri" w:hAnsi="Calibri" w:cs="Arial"/>
          <w:rtl/>
        </w:rPr>
        <w:t xml:space="preserve"> </w:t>
      </w:r>
    </w:p>
    <w:p w14:paraId="4122649B" w14:textId="77777777" w:rsidR="0004348D" w:rsidRPr="0004348D" w:rsidRDefault="0004348D" w:rsidP="0004348D">
      <w:pPr>
        <w:spacing w:before="360" w:after="240"/>
        <w:rPr>
          <w:rFonts w:ascii="Calibri" w:eastAsia="Calibri" w:hAnsi="Calibri" w:cs="Arial"/>
          <w:rtl/>
        </w:rPr>
      </w:pPr>
    </w:p>
    <w:p w14:paraId="5F7A52F1" w14:textId="77777777" w:rsidR="0004348D" w:rsidRPr="0004348D" w:rsidRDefault="0004348D" w:rsidP="0004348D">
      <w:pPr>
        <w:keepNext/>
        <w:keepLines/>
        <w:spacing w:before="360" w:after="240"/>
        <w:outlineLvl w:val="1"/>
        <w:rPr>
          <w:rFonts w:ascii="Cambria" w:eastAsia="Times New Roman" w:hAnsi="Cambria" w:cs="Arial"/>
          <w:bCs/>
          <w:color w:val="548DD4" w:themeColor="text2" w:themeTint="99"/>
          <w:sz w:val="26"/>
          <w:szCs w:val="26"/>
          <w:rtl/>
        </w:rPr>
      </w:pPr>
      <w:bookmarkStart w:id="897" w:name="_Toc24884272"/>
      <w:r w:rsidRPr="0004348D">
        <w:rPr>
          <w:rFonts w:ascii="Cambria" w:eastAsia="Times New Roman" w:hAnsi="Cambria" w:cs="Arial"/>
          <w:bCs/>
          <w:color w:val="548DD4" w:themeColor="text2" w:themeTint="99"/>
          <w:sz w:val="26"/>
          <w:szCs w:val="26"/>
          <w:rtl/>
        </w:rPr>
        <w:t>סעיף ט: הנשבע לפרוע בראש חודש אדר.</w:t>
      </w:r>
      <w:bookmarkEnd w:id="897"/>
    </w:p>
    <w:p w14:paraId="72CCD013" w14:textId="77777777" w:rsidR="0004348D" w:rsidRPr="0004348D" w:rsidRDefault="0004348D" w:rsidP="0004348D">
      <w:pPr>
        <w:spacing w:before="360" w:after="240"/>
        <w:rPr>
          <w:rFonts w:ascii="Calibri" w:eastAsia="Calibri" w:hAnsi="Calibri" w:cs="Arial"/>
          <w:u w:val="single"/>
          <w:rtl/>
        </w:rPr>
      </w:pPr>
      <w:r w:rsidRPr="0004348D">
        <w:rPr>
          <w:rFonts w:ascii="Calibri" w:eastAsia="Calibri" w:hAnsi="Calibri" w:cs="Arial"/>
          <w:u w:val="single"/>
          <w:rtl/>
        </w:rPr>
        <w:t>הנשבע לפרוע בראש חודש אדר – יפרע ביום הראשון של ר"ח או ביום השני:</w:t>
      </w:r>
    </w:p>
    <w:p w14:paraId="365751A7" w14:textId="77777777" w:rsidR="0004348D" w:rsidRPr="0004348D" w:rsidRDefault="0004348D" w:rsidP="0004348D">
      <w:pPr>
        <w:numPr>
          <w:ilvl w:val="0"/>
          <w:numId w:val="356"/>
        </w:numPr>
        <w:spacing w:before="360" w:after="240"/>
        <w:contextualSpacing/>
        <w:rPr>
          <w:rFonts w:ascii="Calibri" w:eastAsia="Calibri" w:hAnsi="Calibri" w:cs="Arial"/>
          <w:rtl/>
        </w:rPr>
      </w:pPr>
      <w:r w:rsidRPr="0004348D">
        <w:rPr>
          <w:rFonts w:ascii="Calibri" w:eastAsia="Calibri" w:hAnsi="Calibri" w:cs="Arial"/>
          <w:rtl/>
        </w:rPr>
        <w:t xml:space="preserve">רשב"א </w:t>
      </w:r>
      <w:r w:rsidRPr="0004348D">
        <w:rPr>
          <w:rFonts w:ascii="Calibri" w:eastAsia="Calibri" w:hAnsi="Calibri" w:cs="Arial"/>
          <w:sz w:val="16"/>
          <w:szCs w:val="16"/>
          <w:rtl/>
        </w:rPr>
        <w:t>(ח"ג סי' שז)</w:t>
      </w:r>
      <w:r w:rsidRPr="0004348D">
        <w:rPr>
          <w:rFonts w:ascii="Calibri" w:eastAsia="Calibri" w:hAnsi="Calibri" w:cs="Arial"/>
          <w:rtl/>
        </w:rPr>
        <w:t xml:space="preserve">- הנשבע לפרוע לחבירו לראש חדש אדר - מסתברא שהוא חייב לפרוע ביום החדש הראשון. ואינו דומה לנשבע לפרוע בראש חדש ניסן שהוא מלא שאי אתה מחייבו לפרעו בתחלת היום, דשאני הכא שהימים מוחלקים ושני ימים הם ואנו תופסים את היום הראשון בראש חדש בפני עצמו, וכיון שכן יש לחוש ולהחמיר בספיקא דאורייתא. </w:t>
      </w:r>
      <w:r w:rsidRPr="0004348D">
        <w:rPr>
          <w:rFonts w:ascii="Calibri" w:eastAsia="Calibri" w:hAnsi="Calibri" w:cs="Arial"/>
          <w:color w:val="E36C0A" w:themeColor="accent6" w:themeShade="BF"/>
          <w:rtl/>
        </w:rPr>
        <w:t>(וכ"פ בשו"ע)</w:t>
      </w:r>
    </w:p>
    <w:p w14:paraId="4EE44B1C" w14:textId="77777777" w:rsidR="0004348D" w:rsidRPr="0004348D" w:rsidRDefault="0004348D" w:rsidP="0004348D">
      <w:pPr>
        <w:spacing w:before="360" w:after="240"/>
        <w:rPr>
          <w:rFonts w:ascii="Calibri" w:eastAsia="Calibri" w:hAnsi="Calibri" w:cs="Arial"/>
          <w:u w:val="single"/>
        </w:rPr>
      </w:pPr>
      <w:r w:rsidRPr="0004348D">
        <w:rPr>
          <w:rFonts w:ascii="Calibri" w:eastAsia="Calibri" w:hAnsi="Calibri" w:cs="Arial"/>
          <w:u w:val="single"/>
          <w:rtl/>
        </w:rPr>
        <w:t>נשבע לחבירו שיתן לו מעות ביום פלוני, ונזכר בו ביום אך אמר בלבו עוד היום גדול, ולבסוף שכח – האם מקרי אונס:</w:t>
      </w:r>
    </w:p>
    <w:p w14:paraId="27224A0A" w14:textId="77777777" w:rsidR="0004348D" w:rsidRPr="0004348D" w:rsidRDefault="0004348D" w:rsidP="0004348D">
      <w:pPr>
        <w:numPr>
          <w:ilvl w:val="0"/>
          <w:numId w:val="356"/>
        </w:numPr>
        <w:spacing w:before="360" w:after="240"/>
        <w:contextualSpacing/>
        <w:rPr>
          <w:rFonts w:ascii="Calibri" w:eastAsia="Calibri" w:hAnsi="Calibri" w:cs="Arial"/>
          <w:rtl/>
        </w:rPr>
      </w:pPr>
      <w:r w:rsidRPr="0004348D">
        <w:rPr>
          <w:rFonts w:ascii="Calibri" w:eastAsia="Calibri" w:hAnsi="Calibri" w:cs="Arial"/>
          <w:rtl/>
        </w:rPr>
        <w:t xml:space="preserve">נמוק"י </w:t>
      </w:r>
      <w:r w:rsidRPr="0004348D">
        <w:rPr>
          <w:rFonts w:ascii="Calibri" w:eastAsia="Calibri" w:hAnsi="Calibri" w:cs="Arial"/>
          <w:sz w:val="16"/>
          <w:szCs w:val="16"/>
          <w:rtl/>
        </w:rPr>
        <w:t>(פ"ב דבב"ק י: דבור ראשון)</w:t>
      </w:r>
      <w:r w:rsidRPr="0004348D">
        <w:rPr>
          <w:rFonts w:ascii="Calibri" w:eastAsia="Calibri" w:hAnsi="Calibri" w:cs="Arial"/>
          <w:rtl/>
        </w:rPr>
        <w:t>- מי שנתחייב לחבירו בשבועה שיתן לו מעות יום פלוני ונזכר עוד היום גדול ואמר בלבו עדיין יש לי פנאי והלך לעסקיו ושכח עד שעבר היום - הרי זה כאנוס.</w:t>
      </w:r>
    </w:p>
    <w:p w14:paraId="697F2571" w14:textId="77777777" w:rsidR="0004348D" w:rsidRPr="0004348D" w:rsidRDefault="0004348D" w:rsidP="0004348D">
      <w:pPr>
        <w:spacing w:before="360" w:after="240"/>
        <w:rPr>
          <w:rFonts w:ascii="Arial" w:eastAsia="Calibri" w:hAnsi="Arial" w:cs="Arial"/>
          <w:b/>
          <w:bCs/>
          <w:color w:val="000000"/>
          <w:sz w:val="28"/>
          <w:szCs w:val="28"/>
          <w:u w:val="single"/>
          <w:rtl/>
        </w:rPr>
      </w:pPr>
      <w:r w:rsidRPr="0004348D">
        <w:rPr>
          <w:rFonts w:ascii="Arial" w:eastAsia="Calibri" w:hAnsi="Arial" w:cs="Arial"/>
          <w:b/>
          <w:bCs/>
          <w:color w:val="000000"/>
          <w:sz w:val="28"/>
          <w:szCs w:val="28"/>
          <w:u w:val="single"/>
          <w:rtl/>
        </w:rPr>
        <w:t>שו"ע:</w:t>
      </w:r>
    </w:p>
    <w:p w14:paraId="4DCC48A6" w14:textId="77777777" w:rsidR="0004348D" w:rsidRPr="0004348D" w:rsidRDefault="0004348D" w:rsidP="0004348D">
      <w:pPr>
        <w:spacing w:before="360" w:after="240"/>
        <w:rPr>
          <w:rFonts w:ascii="Calibri" w:eastAsia="Calibri" w:hAnsi="Calibri" w:cs="Arial"/>
          <w:rtl/>
        </w:rPr>
      </w:pPr>
      <w:r w:rsidRPr="0004348D">
        <w:rPr>
          <w:rFonts w:ascii="Calibri" w:eastAsia="Calibri" w:hAnsi="Calibri" w:cs="Arial"/>
          <w:rtl/>
        </w:rPr>
        <w:t xml:space="preserve">הנשבע לפרוע בראש חודש אדר, חייב לפרוע ביום החודש הראשון. </w:t>
      </w:r>
    </w:p>
    <w:p w14:paraId="310BF806" w14:textId="77777777" w:rsidR="0004348D" w:rsidRPr="0004348D" w:rsidRDefault="0004348D" w:rsidP="0004348D">
      <w:pPr>
        <w:spacing w:before="360" w:after="240"/>
        <w:rPr>
          <w:rFonts w:ascii="Calibri" w:eastAsia="Calibri" w:hAnsi="Calibri" w:cs="Arial"/>
          <w:u w:val="single"/>
          <w:rtl/>
        </w:rPr>
      </w:pPr>
      <w:r w:rsidRPr="0004348D">
        <w:rPr>
          <w:rFonts w:ascii="Calibri" w:eastAsia="Calibri" w:hAnsi="Calibri" w:cs="Arial"/>
          <w:u w:val="single"/>
          <w:rtl/>
        </w:rPr>
        <w:t>מי שקבע זמן פרעון בחנוכה ונשבע על זה – האם יש לכופו שישלם ביום הראשון של חנוכה</w:t>
      </w:r>
      <w:r w:rsidRPr="0004348D">
        <w:rPr>
          <w:rFonts w:ascii="Calibri" w:eastAsia="Calibri" w:hAnsi="Calibri" w:cs="Arial"/>
          <w:sz w:val="16"/>
          <w:szCs w:val="16"/>
          <w:u w:val="single"/>
          <w:rtl/>
        </w:rPr>
        <w:t xml:space="preserve"> (כמו שפסק בשו"ע כאן)</w:t>
      </w:r>
      <w:r w:rsidRPr="0004348D">
        <w:rPr>
          <w:rFonts w:ascii="Calibri" w:eastAsia="Calibri" w:hAnsi="Calibri" w:cs="Arial"/>
          <w:u w:val="single"/>
          <w:rtl/>
        </w:rPr>
        <w:t>:</w:t>
      </w:r>
    </w:p>
    <w:p w14:paraId="3336D15A" w14:textId="77777777" w:rsidR="0004348D" w:rsidRPr="0004348D" w:rsidRDefault="0004348D" w:rsidP="0004348D">
      <w:pPr>
        <w:numPr>
          <w:ilvl w:val="0"/>
          <w:numId w:val="356"/>
        </w:numPr>
        <w:spacing w:before="360" w:after="240"/>
        <w:contextualSpacing/>
        <w:rPr>
          <w:rFonts w:ascii="Calibri" w:eastAsia="Calibri" w:hAnsi="Calibri" w:cs="Arial"/>
          <w:rtl/>
        </w:rPr>
      </w:pPr>
      <w:r w:rsidRPr="0004348D">
        <w:rPr>
          <w:rFonts w:ascii="Calibri" w:eastAsia="Calibri" w:hAnsi="Calibri" w:cs="Arial"/>
          <w:rtl/>
        </w:rPr>
        <w:t xml:space="preserve">ט"ז </w:t>
      </w:r>
      <w:r w:rsidRPr="0004348D">
        <w:rPr>
          <w:rFonts w:ascii="Calibri" w:eastAsia="Calibri" w:hAnsi="Calibri" w:cs="Arial"/>
          <w:sz w:val="16"/>
          <w:szCs w:val="16"/>
          <w:rtl/>
        </w:rPr>
        <w:t>(ד"ה עוד נשאלתי)</w:t>
      </w:r>
      <w:r w:rsidRPr="0004348D">
        <w:rPr>
          <w:rFonts w:ascii="Calibri" w:eastAsia="Calibri" w:hAnsi="Calibri" w:cs="Arial"/>
          <w:rtl/>
        </w:rPr>
        <w:t>- נלע"ד דלא דמי זה לזה... דשאני ראש חודש ניסן שעיקר החילוק בו ביום עצמו בתחילתו או בסופו, בודאי כל היום כשעה חדא היא, משא"כ בראש חודש אדר שהוא ב' ימים, ואלו ב' ימים אין ענין א', כי ראש חודש הראשון שייך לתשלום החודש שעבר וראש חודש השני הוא התחלת החודש הבא, נמצא הדבר כאילו היה מסופק באחד אם היה נשבע לשלם בחודש אדר או בניסן, דודאי מכח החומרא צריך לשלם באדר, הכי נמי באלו ב' ימים ראש חודש, משא"כ בימי חנוכה דכולהו חד ענינא הוי כמו יום ראש חודש לענין תשלומין בתחילתו או בסופו, נמצא שאין עובר על שבועתו אפילו אם משלם ביום האחרון, וכל שכן אם לא נשבע וכתב סתם זמן פרעון לחנוכה, שאין לכופו עד יום האחרון.</w:t>
      </w:r>
    </w:p>
    <w:p w14:paraId="590A34FF" w14:textId="77777777" w:rsidR="0004348D" w:rsidRPr="0004348D" w:rsidRDefault="0004348D" w:rsidP="0004348D">
      <w:pPr>
        <w:spacing w:before="360" w:after="240"/>
        <w:rPr>
          <w:rFonts w:ascii="Calibri" w:eastAsia="Calibri" w:hAnsi="Calibri" w:cs="Arial"/>
          <w:rtl/>
        </w:rPr>
      </w:pPr>
    </w:p>
    <w:p w14:paraId="77A00987" w14:textId="77777777" w:rsidR="0004348D" w:rsidRPr="0004348D" w:rsidRDefault="0004348D" w:rsidP="0004348D">
      <w:pPr>
        <w:keepNext/>
        <w:keepLines/>
        <w:spacing w:before="360" w:after="240"/>
        <w:outlineLvl w:val="1"/>
        <w:rPr>
          <w:rFonts w:ascii="Cambria" w:eastAsia="Times New Roman" w:hAnsi="Cambria" w:cs="Arial"/>
          <w:bCs/>
          <w:color w:val="548DD4" w:themeColor="text2" w:themeTint="99"/>
          <w:sz w:val="26"/>
          <w:szCs w:val="26"/>
          <w:rtl/>
        </w:rPr>
      </w:pPr>
      <w:bookmarkStart w:id="898" w:name="_Toc24884273"/>
      <w:r w:rsidRPr="0004348D">
        <w:rPr>
          <w:rFonts w:ascii="Cambria" w:eastAsia="Times New Roman" w:hAnsi="Cambria" w:cs="Arial"/>
          <w:bCs/>
          <w:color w:val="548DD4" w:themeColor="text2" w:themeTint="99"/>
          <w:sz w:val="26"/>
          <w:szCs w:val="26"/>
          <w:rtl/>
        </w:rPr>
        <w:t>סעיף י: מלוה שרואה שבזמן הפרעון לא יהיה ללוה מהיכן לפרוע.</w:t>
      </w:r>
      <w:bookmarkEnd w:id="898"/>
    </w:p>
    <w:p w14:paraId="519A79A7" w14:textId="77777777" w:rsidR="0004348D" w:rsidRPr="0004348D" w:rsidRDefault="0004348D" w:rsidP="0004348D">
      <w:pPr>
        <w:spacing w:before="360" w:after="240"/>
        <w:rPr>
          <w:rFonts w:ascii="Calibri" w:eastAsia="Calibri" w:hAnsi="Calibri" w:cs="Arial"/>
          <w:u w:val="single"/>
          <w:rtl/>
        </w:rPr>
      </w:pPr>
      <w:bookmarkStart w:id="899" w:name="_Hlk17801099"/>
      <w:r w:rsidRPr="0004348D">
        <w:rPr>
          <w:rFonts w:ascii="Calibri" w:eastAsia="Calibri" w:hAnsi="Calibri" w:cs="Arial"/>
          <w:u w:val="single"/>
          <w:rtl/>
        </w:rPr>
        <w:t xml:space="preserve">מלוה שרואה שבזמן הפרעון </w:t>
      </w:r>
      <w:r w:rsidRPr="0004348D">
        <w:rPr>
          <w:rFonts w:ascii="Calibri" w:eastAsia="Calibri" w:hAnsi="Calibri" w:cs="Arial"/>
          <w:sz w:val="16"/>
          <w:szCs w:val="16"/>
          <w:u w:val="single"/>
          <w:rtl/>
        </w:rPr>
        <w:t>(שעתיד להיות)</w:t>
      </w:r>
      <w:r w:rsidRPr="0004348D">
        <w:rPr>
          <w:rFonts w:ascii="Calibri" w:eastAsia="Calibri" w:hAnsi="Calibri" w:cs="Arial"/>
          <w:u w:val="single"/>
          <w:rtl/>
        </w:rPr>
        <w:t xml:space="preserve"> לא יהיה ללוה מהיכן לפרוע </w:t>
      </w:r>
      <w:r w:rsidRPr="0004348D">
        <w:rPr>
          <w:rFonts w:ascii="Calibri" w:eastAsia="Calibri" w:hAnsi="Calibri" w:cs="Arial"/>
          <w:sz w:val="16"/>
          <w:szCs w:val="16"/>
          <w:u w:val="single"/>
          <w:rtl/>
        </w:rPr>
        <w:t>(מסיבה כל שהיא)</w:t>
      </w:r>
      <w:r w:rsidRPr="0004348D">
        <w:rPr>
          <w:rFonts w:ascii="Calibri" w:eastAsia="Calibri" w:hAnsi="Calibri" w:cs="Arial"/>
          <w:u w:val="single"/>
          <w:rtl/>
        </w:rPr>
        <w:t xml:space="preserve">: </w:t>
      </w:r>
    </w:p>
    <w:p w14:paraId="2E39CE04" w14:textId="77777777" w:rsidR="0004348D" w:rsidRPr="0004348D" w:rsidRDefault="0004348D" w:rsidP="0004348D">
      <w:pPr>
        <w:numPr>
          <w:ilvl w:val="0"/>
          <w:numId w:val="356"/>
        </w:numPr>
        <w:spacing w:before="360" w:after="240"/>
        <w:contextualSpacing/>
        <w:rPr>
          <w:rFonts w:ascii="Calibri" w:eastAsia="Calibri" w:hAnsi="Calibri" w:cs="Arial"/>
        </w:rPr>
      </w:pPr>
      <w:r w:rsidRPr="0004348D">
        <w:rPr>
          <w:rFonts w:ascii="Calibri" w:eastAsia="Calibri" w:hAnsi="Calibri" w:cs="Arial"/>
          <w:rtl/>
        </w:rPr>
        <w:t>רבי יהודאי גאון</w:t>
      </w:r>
      <w:r w:rsidRPr="0004348D">
        <w:rPr>
          <w:rFonts w:ascii="Calibri" w:eastAsia="Calibri" w:hAnsi="Calibri" w:cs="Arial"/>
          <w:vertAlign w:val="superscript"/>
          <w:rtl/>
        </w:rPr>
        <w:footnoteReference w:id="6067"/>
      </w:r>
      <w:r w:rsidRPr="0004348D">
        <w:rPr>
          <w:rFonts w:ascii="Calibri" w:eastAsia="Calibri" w:hAnsi="Calibri" w:cs="Arial"/>
          <w:rtl/>
        </w:rPr>
        <w:t xml:space="preserve"> ורמב"ן </w:t>
      </w:r>
      <w:r w:rsidRPr="0004348D">
        <w:rPr>
          <w:rFonts w:ascii="Calibri" w:eastAsia="Calibri" w:hAnsi="Calibri" w:cs="Arial"/>
          <w:sz w:val="16"/>
          <w:szCs w:val="16"/>
          <w:rtl/>
        </w:rPr>
        <w:t>(שו"ת סי' כה)</w:t>
      </w:r>
      <w:r w:rsidRPr="0004348D">
        <w:rPr>
          <w:rFonts w:ascii="Calibri" w:eastAsia="Calibri" w:hAnsi="Calibri" w:cs="Arial"/>
          <w:rtl/>
        </w:rPr>
        <w:t>- לוה לזמן, ובתוך הזמן רואה מלוה שהלוה מבזבז נכסיו ואין לו קרקע, ותובע ממנו שיחזיר לו את המעות שלו - אין ב"ד נזקקים לו עד שיגיע זמנו</w:t>
      </w:r>
      <w:r w:rsidRPr="0004348D">
        <w:rPr>
          <w:rFonts w:ascii="Calibri" w:eastAsia="Calibri" w:hAnsi="Calibri" w:cs="Arial"/>
          <w:vertAlign w:val="superscript"/>
          <w:rtl/>
        </w:rPr>
        <w:footnoteReference w:id="6068"/>
      </w:r>
      <w:r w:rsidRPr="0004348D">
        <w:rPr>
          <w:rFonts w:ascii="Calibri" w:eastAsia="Calibri" w:hAnsi="Calibri" w:cs="Arial"/>
          <w:rtl/>
        </w:rPr>
        <w:t>.</w:t>
      </w:r>
    </w:p>
    <w:p w14:paraId="7AA13AD4" w14:textId="77777777" w:rsidR="0004348D" w:rsidRPr="0004348D" w:rsidRDefault="0004348D" w:rsidP="0004348D">
      <w:pPr>
        <w:numPr>
          <w:ilvl w:val="0"/>
          <w:numId w:val="356"/>
        </w:numPr>
        <w:spacing w:before="360" w:after="240"/>
        <w:contextualSpacing/>
        <w:rPr>
          <w:rFonts w:ascii="Calibri" w:eastAsia="Calibri" w:hAnsi="Calibri" w:cs="Arial"/>
          <w:rtl/>
        </w:rPr>
      </w:pPr>
      <w:r w:rsidRPr="0004348D">
        <w:rPr>
          <w:rFonts w:ascii="Calibri" w:eastAsia="Calibri" w:hAnsi="Calibri" w:cs="Arial"/>
          <w:rtl/>
        </w:rPr>
        <w:t xml:space="preserve">גאונים </w:t>
      </w:r>
      <w:r w:rsidRPr="0004348D">
        <w:rPr>
          <w:rFonts w:ascii="Calibri" w:eastAsia="Calibri" w:hAnsi="Calibri" w:cs="Arial"/>
          <w:sz w:val="16"/>
          <w:szCs w:val="16"/>
          <w:rtl/>
        </w:rPr>
        <w:t xml:space="preserve">(כ"כ הרא"ש בשמם) </w:t>
      </w:r>
      <w:r w:rsidRPr="0004348D">
        <w:rPr>
          <w:rFonts w:ascii="Calibri" w:eastAsia="Calibri" w:hAnsi="Calibri" w:cs="Arial"/>
          <w:rtl/>
        </w:rPr>
        <w:t xml:space="preserve">רי"ף </w:t>
      </w:r>
      <w:r w:rsidRPr="0004348D">
        <w:rPr>
          <w:rFonts w:ascii="Calibri" w:eastAsia="Calibri" w:hAnsi="Calibri" w:cs="Arial"/>
          <w:sz w:val="16"/>
          <w:szCs w:val="16"/>
          <w:rtl/>
        </w:rPr>
        <w:t>(בתשו', כ"כ בשמו רא"ש טור ונמוק"י)</w:t>
      </w:r>
      <w:r w:rsidRPr="0004348D">
        <w:rPr>
          <w:rFonts w:ascii="Calibri" w:eastAsia="Calibri" w:hAnsi="Calibri" w:cs="Arial"/>
          <w:rtl/>
        </w:rPr>
        <w:t xml:space="preserve"> רא"ש</w:t>
      </w:r>
      <w:r w:rsidRPr="0004348D">
        <w:rPr>
          <w:rFonts w:ascii="Calibri" w:eastAsia="Calibri" w:hAnsi="Calibri" w:cs="Arial"/>
          <w:sz w:val="16"/>
          <w:szCs w:val="16"/>
          <w:rtl/>
        </w:rPr>
        <w:t xml:space="preserve"> (פ"ק דב"ב סי' ה, ובתשו' כלל צז סי' ד)</w:t>
      </w:r>
      <w:r w:rsidRPr="0004348D">
        <w:rPr>
          <w:rFonts w:ascii="Calibri" w:eastAsia="Calibri" w:hAnsi="Calibri" w:cs="Arial"/>
          <w:rtl/>
        </w:rPr>
        <w:t>- מי שיש לו שטר על חבירו ולא הגיע זמנו ובא בתוך הזמן לב"ד ואמר 'מצאתי מנכסי פלוני ואני ירא שמא יבואו לידו ויבריחם ממני ולא אמצא מקום לגבות חובי', ומבקש מב"ד שיעכבו הנכסים עד שיגיע זמן השטר. אם רואה הדיין שום אמתלא לדבריו או שלא יוכל לגבות חובו כשיגיע הזמן - מצווה הדיין לעכב הממון עד שיגיע זמן השטר</w:t>
      </w:r>
      <w:r w:rsidRPr="0004348D">
        <w:rPr>
          <w:rFonts w:ascii="Calibri" w:eastAsia="Calibri" w:hAnsi="Calibri" w:cs="Arial"/>
          <w:sz w:val="16"/>
          <w:szCs w:val="16"/>
          <w:rtl/>
        </w:rPr>
        <w:t xml:space="preserve"> (ל' הרא"ש)</w:t>
      </w:r>
      <w:r w:rsidRPr="0004348D">
        <w:rPr>
          <w:rFonts w:ascii="Calibri" w:eastAsia="Calibri" w:hAnsi="Calibri" w:cs="Arial"/>
          <w:rtl/>
        </w:rPr>
        <w:t>. וכן לוה שמבזבז נכסיו או רוצה ללכת - יכול המלוה לעכב עליו שיניח נכסים כדי פרעון, כדי שלא יהא כל אחד לוה מחבירו ומבזבז נכסיו או הולך למדינת הים ונמצא נועל דלת בפני לווין</w:t>
      </w:r>
      <w:r w:rsidRPr="0004348D">
        <w:rPr>
          <w:rFonts w:ascii="Calibri" w:eastAsia="Calibri" w:hAnsi="Calibri" w:cs="Arial"/>
          <w:vertAlign w:val="superscript"/>
          <w:rtl/>
        </w:rPr>
        <w:footnoteReference w:id="6069"/>
      </w:r>
      <w:r w:rsidRPr="0004348D">
        <w:rPr>
          <w:rFonts w:ascii="Calibri" w:eastAsia="Calibri" w:hAnsi="Calibri" w:cs="Arial"/>
          <w:sz w:val="16"/>
          <w:szCs w:val="16"/>
          <w:rtl/>
        </w:rPr>
        <w:t xml:space="preserve"> (ל' הרי"ף</w:t>
      </w:r>
      <w:r w:rsidRPr="0004348D">
        <w:rPr>
          <w:rFonts w:ascii="Calibri" w:eastAsia="Calibri" w:hAnsi="Calibri" w:cs="Arial"/>
          <w:sz w:val="16"/>
          <w:szCs w:val="16"/>
          <w:vertAlign w:val="superscript"/>
          <w:rtl/>
        </w:rPr>
        <w:footnoteReference w:id="6070"/>
      </w:r>
      <w:r w:rsidRPr="0004348D">
        <w:rPr>
          <w:rFonts w:ascii="Calibri" w:eastAsia="Calibri" w:hAnsi="Calibri" w:cs="Arial"/>
          <w:sz w:val="16"/>
          <w:szCs w:val="16"/>
          <w:rtl/>
        </w:rPr>
        <w:t>)</w:t>
      </w:r>
      <w:r w:rsidRPr="0004348D">
        <w:rPr>
          <w:rFonts w:ascii="Calibri" w:eastAsia="Calibri" w:hAnsi="Calibri" w:cs="Arial"/>
          <w:rtl/>
        </w:rPr>
        <w:t xml:space="preserve">. </w:t>
      </w:r>
      <w:r w:rsidRPr="0004348D">
        <w:rPr>
          <w:rFonts w:ascii="Calibri" w:eastAsia="Calibri" w:hAnsi="Calibri" w:cs="Arial"/>
          <w:color w:val="E36C0A" w:themeColor="accent6" w:themeShade="BF"/>
          <w:rtl/>
        </w:rPr>
        <w:t>(וכ"פ בשו"ע)</w:t>
      </w:r>
    </w:p>
    <w:bookmarkEnd w:id="899"/>
    <w:p w14:paraId="165ACCE1" w14:textId="77777777" w:rsidR="0004348D" w:rsidRPr="0004348D" w:rsidRDefault="0004348D" w:rsidP="0004348D">
      <w:pPr>
        <w:numPr>
          <w:ilvl w:val="1"/>
          <w:numId w:val="356"/>
        </w:numPr>
        <w:spacing w:before="360" w:after="240"/>
        <w:contextualSpacing/>
        <w:rPr>
          <w:rFonts w:ascii="Calibri" w:eastAsia="Calibri" w:hAnsi="Calibri" w:cs="Arial"/>
        </w:rPr>
      </w:pPr>
      <w:r w:rsidRPr="0004348D">
        <w:rPr>
          <w:rFonts w:ascii="Calibri" w:eastAsia="Calibri" w:hAnsi="Calibri" w:cs="Arial"/>
          <w:rtl/>
        </w:rPr>
        <w:t>ב"י- ולענין הלכה כיון דהרי"ף והרא"ש מסכימים לדעת אחת ומסתבר טעמייהו הכי נקטינן, וכבר פסקתי כן בתשובה</w:t>
      </w:r>
      <w:r w:rsidRPr="0004348D">
        <w:rPr>
          <w:rFonts w:ascii="Calibri" w:eastAsia="Calibri" w:hAnsi="Calibri" w:cs="Arial"/>
          <w:sz w:val="16"/>
          <w:szCs w:val="16"/>
          <w:rtl/>
        </w:rPr>
        <w:t xml:space="preserve"> (אבקת רוכל סי' קסב) </w:t>
      </w:r>
      <w:r w:rsidRPr="0004348D">
        <w:rPr>
          <w:rFonts w:ascii="Calibri" w:eastAsia="Calibri" w:hAnsi="Calibri" w:cs="Arial"/>
          <w:rtl/>
        </w:rPr>
        <w:t>הלכה למעשה, והסכימו עמי חבירי.</w:t>
      </w:r>
    </w:p>
    <w:p w14:paraId="3472A2F0" w14:textId="77777777" w:rsidR="0004348D" w:rsidRPr="0004348D" w:rsidRDefault="0004348D" w:rsidP="0004348D">
      <w:pPr>
        <w:spacing w:before="360" w:after="240"/>
        <w:ind w:left="360"/>
        <w:rPr>
          <w:rFonts w:ascii="Calibri" w:eastAsia="Calibri" w:hAnsi="Calibri" w:cs="Arial"/>
          <w:u w:val="dotted"/>
        </w:rPr>
      </w:pPr>
      <w:r w:rsidRPr="0004348D">
        <w:rPr>
          <w:rFonts w:ascii="Calibri" w:eastAsia="Calibri" w:hAnsi="Calibri" w:cs="Arial"/>
          <w:u w:val="dotted"/>
          <w:rtl/>
        </w:rPr>
        <w:t>ומה הדין אם לא מדובר במלוה אלא בלוקח שרואה שעתידים להוציא ממנו את הקרקע שקנה מהמוכר:</w:t>
      </w:r>
    </w:p>
    <w:p w14:paraId="2CE1AACE" w14:textId="77777777" w:rsidR="0004348D" w:rsidRPr="0004348D" w:rsidRDefault="0004348D" w:rsidP="0004348D">
      <w:pPr>
        <w:numPr>
          <w:ilvl w:val="0"/>
          <w:numId w:val="356"/>
        </w:numPr>
        <w:spacing w:before="360" w:after="240"/>
        <w:contextualSpacing/>
        <w:rPr>
          <w:rFonts w:ascii="Calibri" w:eastAsia="Calibri" w:hAnsi="Calibri" w:cs="Arial"/>
        </w:rPr>
      </w:pPr>
      <w:r w:rsidRPr="0004348D">
        <w:rPr>
          <w:rFonts w:ascii="Calibri" w:eastAsia="Calibri" w:hAnsi="Calibri" w:cs="Arial"/>
          <w:rtl/>
        </w:rPr>
        <w:t xml:space="preserve">רי"ף </w:t>
      </w:r>
      <w:r w:rsidRPr="0004348D">
        <w:rPr>
          <w:rFonts w:ascii="Calibri" w:eastAsia="Calibri" w:hAnsi="Calibri" w:cs="Arial"/>
          <w:sz w:val="16"/>
          <w:szCs w:val="16"/>
          <w:rtl/>
        </w:rPr>
        <w:t>(בתשו' סי' קיג, כ"כ הטור בשמו)</w:t>
      </w:r>
      <w:r w:rsidRPr="0004348D">
        <w:rPr>
          <w:rFonts w:ascii="Calibri" w:eastAsia="Calibri" w:hAnsi="Calibri" w:cs="Arial"/>
          <w:rtl/>
        </w:rPr>
        <w:t>- ראובן שקנה שדה משמעון, ויצאו עליה עסיקין, ובא לב"ד וטוען 'אני חושש שמא תצא השדה מידי ואני חושש שתאבד ממונך ולא אמצא לך כלום, קנה באותו ממון קרקע כדי שאטרוף אותו' - שומעין לו</w:t>
      </w:r>
      <w:r w:rsidRPr="0004348D">
        <w:rPr>
          <w:rFonts w:ascii="Calibri" w:eastAsia="Calibri" w:hAnsi="Calibri" w:cs="Arial"/>
          <w:vertAlign w:val="superscript"/>
          <w:rtl/>
        </w:rPr>
        <w:footnoteReference w:id="6071"/>
      </w:r>
      <w:r w:rsidRPr="0004348D">
        <w:rPr>
          <w:rFonts w:ascii="Calibri" w:eastAsia="Calibri" w:hAnsi="Calibri" w:cs="Arial"/>
          <w:rtl/>
        </w:rPr>
        <w:t xml:space="preserve">. </w:t>
      </w:r>
      <w:r w:rsidRPr="0004348D">
        <w:rPr>
          <w:rFonts w:ascii="Calibri" w:eastAsia="Calibri" w:hAnsi="Calibri" w:cs="Arial"/>
          <w:color w:val="E36C0A" w:themeColor="accent6" w:themeShade="BF"/>
          <w:rtl/>
        </w:rPr>
        <w:t>(וכ"פ בשו"ע</w:t>
      </w:r>
      <w:r w:rsidRPr="0004348D">
        <w:rPr>
          <w:rFonts w:ascii="Calibri" w:eastAsia="Calibri" w:hAnsi="Calibri" w:cs="Arial"/>
          <w:color w:val="E36C0A" w:themeColor="accent6" w:themeShade="BF"/>
          <w:sz w:val="16"/>
          <w:szCs w:val="16"/>
          <w:rtl/>
        </w:rPr>
        <w:t xml:space="preserve"> </w:t>
      </w:r>
      <w:r w:rsidRPr="0004348D">
        <w:rPr>
          <w:rFonts w:ascii="Calibri" w:eastAsia="Calibri" w:hAnsi="Calibri" w:cs="Arial"/>
          <w:color w:val="000000" w:themeColor="text1"/>
          <w:sz w:val="16"/>
          <w:szCs w:val="16"/>
          <w:rtl/>
        </w:rPr>
        <w:t>[בסע' הבא]</w:t>
      </w:r>
      <w:r w:rsidRPr="0004348D">
        <w:rPr>
          <w:rFonts w:ascii="Calibri" w:eastAsia="Calibri" w:hAnsi="Calibri" w:cs="Arial"/>
          <w:color w:val="E36C0A" w:themeColor="accent6" w:themeShade="BF"/>
          <w:rtl/>
        </w:rPr>
        <w:t>)</w:t>
      </w:r>
    </w:p>
    <w:p w14:paraId="68625D9A" w14:textId="77777777" w:rsidR="0004348D" w:rsidRPr="0004348D" w:rsidRDefault="0004348D" w:rsidP="0004348D">
      <w:pPr>
        <w:spacing w:before="360" w:after="240"/>
        <w:rPr>
          <w:rFonts w:ascii="Calibri" w:eastAsia="Calibri" w:hAnsi="Calibri" w:cs="Arial"/>
          <w:u w:val="single"/>
        </w:rPr>
      </w:pPr>
      <w:r w:rsidRPr="0004348D">
        <w:rPr>
          <w:rFonts w:ascii="Calibri" w:eastAsia="Calibri" w:hAnsi="Calibri" w:cs="Arial"/>
          <w:u w:val="single"/>
          <w:rtl/>
        </w:rPr>
        <w:t>לוה שנשבע לפרוע ממון לזמן ידוע, וירא בעל הממון שיעבור החייב על שבועתו ולא יפרע לו בזמנו, ויש רגלים לדבר:</w:t>
      </w:r>
    </w:p>
    <w:p w14:paraId="20ADC2B3" w14:textId="77777777" w:rsidR="0004348D" w:rsidRPr="0004348D" w:rsidRDefault="0004348D" w:rsidP="0004348D">
      <w:pPr>
        <w:numPr>
          <w:ilvl w:val="0"/>
          <w:numId w:val="356"/>
        </w:numPr>
        <w:spacing w:before="360" w:after="240"/>
        <w:contextualSpacing/>
        <w:rPr>
          <w:rFonts w:ascii="Calibri" w:eastAsia="Calibri" w:hAnsi="Calibri" w:cs="Arial"/>
          <w:rtl/>
        </w:rPr>
      </w:pPr>
      <w:r w:rsidRPr="0004348D">
        <w:rPr>
          <w:rFonts w:ascii="Calibri" w:eastAsia="Calibri" w:hAnsi="Calibri" w:cs="Arial"/>
          <w:rtl/>
        </w:rPr>
        <w:t xml:space="preserve">רא"ש </w:t>
      </w:r>
      <w:r w:rsidRPr="0004348D">
        <w:rPr>
          <w:rFonts w:ascii="Calibri" w:eastAsia="Calibri" w:hAnsi="Calibri" w:cs="Arial"/>
          <w:sz w:val="16"/>
          <w:szCs w:val="16"/>
          <w:rtl/>
        </w:rPr>
        <w:t>(ספר חזה התנופה סי' ז)</w:t>
      </w:r>
      <w:r w:rsidRPr="0004348D">
        <w:rPr>
          <w:rFonts w:ascii="Calibri" w:eastAsia="Calibri" w:hAnsi="Calibri" w:cs="Arial"/>
          <w:rtl/>
        </w:rPr>
        <w:t xml:space="preserve"> וטור- מי שנשבע לפרוע ממון לזמן ידוע. וירא בעל הממון שיעבור החייב על שבועתו ולא יפרע לו בזמנו, ורגלים בדבר שראוי הוא שיירא - מן הדין יש להטיל קנס עליו ולאיימו שיפרע בזמן ולא יעבור על שבועתו</w:t>
      </w:r>
      <w:r w:rsidRPr="0004348D">
        <w:rPr>
          <w:rFonts w:ascii="Calibri" w:eastAsia="Calibri" w:hAnsi="Calibri" w:cs="Arial"/>
          <w:sz w:val="16"/>
          <w:szCs w:val="16"/>
          <w:rtl/>
        </w:rPr>
        <w:t xml:space="preserve"> (ל' הטור בשם הרא"ש)</w:t>
      </w:r>
      <w:r w:rsidRPr="0004348D">
        <w:rPr>
          <w:rFonts w:ascii="Calibri" w:eastAsia="Calibri" w:hAnsi="Calibri" w:cs="Arial"/>
          <w:rtl/>
        </w:rPr>
        <w:t>.</w:t>
      </w:r>
    </w:p>
    <w:p w14:paraId="45131A21" w14:textId="77777777" w:rsidR="0004348D" w:rsidRPr="0004348D" w:rsidRDefault="0004348D" w:rsidP="0004348D">
      <w:pPr>
        <w:spacing w:before="360" w:after="240"/>
        <w:rPr>
          <w:rFonts w:ascii="Arial" w:eastAsia="Calibri" w:hAnsi="Arial" w:cs="Arial"/>
          <w:b/>
          <w:bCs/>
          <w:color w:val="000000"/>
          <w:sz w:val="28"/>
          <w:szCs w:val="28"/>
          <w:u w:val="single"/>
          <w:rtl/>
        </w:rPr>
      </w:pPr>
      <w:r w:rsidRPr="0004348D">
        <w:rPr>
          <w:rFonts w:ascii="Arial" w:eastAsia="Calibri" w:hAnsi="Arial" w:cs="Arial"/>
          <w:b/>
          <w:bCs/>
          <w:color w:val="000000"/>
          <w:sz w:val="28"/>
          <w:szCs w:val="28"/>
          <w:u w:val="single"/>
          <w:rtl/>
        </w:rPr>
        <w:t>שו"ע:</w:t>
      </w:r>
    </w:p>
    <w:p w14:paraId="08DE3A4F" w14:textId="77777777" w:rsidR="0004348D" w:rsidRPr="0004348D" w:rsidRDefault="0004348D" w:rsidP="0004348D">
      <w:pPr>
        <w:spacing w:before="360" w:after="240"/>
        <w:rPr>
          <w:rFonts w:ascii="Calibri" w:eastAsia="Calibri" w:hAnsi="Calibri" w:cs="Arial"/>
          <w:rtl/>
        </w:rPr>
      </w:pPr>
      <w:r w:rsidRPr="0004348D">
        <w:rPr>
          <w:rFonts w:ascii="Calibri" w:eastAsia="Calibri" w:hAnsi="Calibri" w:cs="Arial"/>
          <w:rtl/>
        </w:rPr>
        <w:t>מי שיש לו שטר</w:t>
      </w:r>
      <w:r w:rsidRPr="0004348D">
        <w:rPr>
          <w:rFonts w:ascii="Calibri" w:eastAsia="Calibri" w:hAnsi="Calibri" w:cs="Arial"/>
          <w:vertAlign w:val="superscript"/>
          <w:rtl/>
        </w:rPr>
        <w:footnoteReference w:id="6072"/>
      </w:r>
      <w:r w:rsidRPr="0004348D">
        <w:rPr>
          <w:rFonts w:ascii="Calibri" w:eastAsia="Calibri" w:hAnsi="Calibri" w:cs="Arial"/>
          <w:rtl/>
        </w:rPr>
        <w:t xml:space="preserve"> על חבירו לזמן, ובא בתוך הזמן לבית דין ואמר 'מצאתי מנכסי פלוני ואני ירא שאם יבואו לידו יבריחם ממני ולא אמצא מקום לגבות חובי', אם רואה הדיין שום אמתלא לדבריו שלא יוכל לגבות חובו כשיגיע הזמן, מצוה על הדיין לעכב הממון עד שיגיע זמן השטר. וכן הדין בלוה לזמן ובתוך הזמן רואה המלוה שהלוה מבזבז</w:t>
      </w:r>
      <w:r w:rsidRPr="0004348D">
        <w:rPr>
          <w:rFonts w:ascii="Calibri" w:eastAsia="Calibri" w:hAnsi="Calibri" w:cs="Arial"/>
          <w:vertAlign w:val="superscript"/>
          <w:rtl/>
        </w:rPr>
        <w:footnoteReference w:id="6073"/>
      </w:r>
      <w:r w:rsidRPr="0004348D">
        <w:rPr>
          <w:rFonts w:ascii="Calibri" w:eastAsia="Calibri" w:hAnsi="Calibri" w:cs="Arial"/>
          <w:rtl/>
        </w:rPr>
        <w:t xml:space="preserve"> נכסיו ואין לו קרקע, או שהלוה רוצה לילך למדינת הים, ותובע המלוה את שלו או שיתן לו ערב, שומעין לו. </w:t>
      </w:r>
      <w:r w:rsidRPr="0004348D">
        <w:rPr>
          <w:rFonts w:ascii="Calibri" w:eastAsia="Calibri" w:hAnsi="Calibri" w:cs="Arial"/>
          <w:sz w:val="18"/>
          <w:szCs w:val="18"/>
          <w:rtl/>
        </w:rPr>
        <w:t>הגה: והוא הדין בכל מקום שנראה לב"ד לעכב מעות הנתבע (פסקי מהרא"י סי' סד). ומזה נשתרבב המנהג לעקל המעות אע"פ שאין בו צורך כולי האי (תרוה"ד סי' שה). ואם הנתבע מעיר אחרת, ונראה לבית דין שמן הראוי לעקל מעותיו של הנתבע, אם הם בעיר התובע צריך הנתבע לילך ולדון בעיר התובע להוציא מעותיו (ועיין לעיל סי' יד). אבל אם נראה לבית דין שהנתבע ציית לו דינו בעירו, ולא גברא אלמא הוא, לא יעכבו לו מעותיו, אע"פ שהם בעיר התובע, אלא ילך התובע אחר הנתבע (מהרי"ו סי' לד, וסי' קנה). וכשנראה לבית דין לעכב המעות, צריכין להודיע לנתבע כדלקמן סימן ק"ו. מי שהיה דר בעיר עם המלוה, ויצא משם והניח ממונו בעיר שיצא משם, יכולים התובעים לכופו לדון עמהם בעירם, שלא יהא כל אחד ואחד לוה והולך למדינת הים. ובית דין מודיעין לו תחלה (רשב"א אלף קמט) כדלקמן סי' ק"ו.</w:t>
      </w:r>
      <w:r w:rsidRPr="0004348D">
        <w:rPr>
          <w:rFonts w:ascii="Calibri" w:eastAsia="Calibri" w:hAnsi="Calibri" w:cs="Arial"/>
          <w:rtl/>
        </w:rPr>
        <w:t xml:space="preserve"> </w:t>
      </w:r>
    </w:p>
    <w:p w14:paraId="506FA5C4" w14:textId="77777777" w:rsidR="0004348D" w:rsidRPr="0004348D" w:rsidRDefault="0004348D" w:rsidP="0004348D">
      <w:pPr>
        <w:spacing w:before="360" w:after="240"/>
        <w:rPr>
          <w:rFonts w:ascii="Calibri" w:eastAsia="Calibri" w:hAnsi="Calibri" w:cs="Arial"/>
          <w:rtl/>
        </w:rPr>
      </w:pPr>
    </w:p>
    <w:p w14:paraId="66372B77" w14:textId="77777777" w:rsidR="0004348D" w:rsidRPr="0004348D" w:rsidRDefault="0004348D" w:rsidP="0004348D">
      <w:pPr>
        <w:keepNext/>
        <w:keepLines/>
        <w:spacing w:before="360" w:after="240"/>
        <w:outlineLvl w:val="1"/>
        <w:rPr>
          <w:rFonts w:ascii="Cambria" w:eastAsia="Times New Roman" w:hAnsi="Cambria" w:cs="Arial"/>
          <w:bCs/>
          <w:color w:val="548DD4" w:themeColor="text2" w:themeTint="99"/>
          <w:sz w:val="26"/>
          <w:szCs w:val="26"/>
          <w:rtl/>
        </w:rPr>
      </w:pPr>
      <w:bookmarkStart w:id="900" w:name="_Toc24884274"/>
      <w:r w:rsidRPr="0004348D">
        <w:rPr>
          <w:rFonts w:ascii="Cambria" w:eastAsia="Times New Roman" w:hAnsi="Cambria" w:cs="Arial"/>
          <w:bCs/>
          <w:color w:val="548DD4" w:themeColor="text2" w:themeTint="99"/>
          <w:sz w:val="26"/>
          <w:szCs w:val="26"/>
          <w:rtl/>
        </w:rPr>
        <w:t>סעיף יא: לוקח שרואה שעתידים להוציא ממנו את הקרקע שקנה מהמוכר.</w:t>
      </w:r>
      <w:bookmarkEnd w:id="900"/>
    </w:p>
    <w:p w14:paraId="6D8B5735" w14:textId="77777777" w:rsidR="0004348D" w:rsidRPr="0004348D" w:rsidRDefault="0004348D" w:rsidP="0004348D">
      <w:pPr>
        <w:spacing w:before="360" w:after="240"/>
        <w:rPr>
          <w:rFonts w:ascii="Calibri" w:eastAsia="Calibri" w:hAnsi="Calibri" w:cs="Arial"/>
          <w:rtl/>
        </w:rPr>
      </w:pPr>
      <w:r w:rsidRPr="0004348D">
        <w:rPr>
          <w:rFonts w:ascii="Calibri" w:eastAsia="Calibri" w:hAnsi="Calibri" w:cs="Arial"/>
          <w:rtl/>
        </w:rPr>
        <w:t>עיין במקורות בסעיף הקודם.</w:t>
      </w:r>
    </w:p>
    <w:p w14:paraId="159D8A70" w14:textId="77777777" w:rsidR="0004348D" w:rsidRPr="0004348D" w:rsidRDefault="0004348D" w:rsidP="0004348D">
      <w:pPr>
        <w:spacing w:before="360" w:after="240"/>
        <w:rPr>
          <w:rFonts w:ascii="Arial" w:eastAsia="Calibri" w:hAnsi="Arial" w:cs="Arial"/>
          <w:b/>
          <w:bCs/>
          <w:color w:val="000000"/>
          <w:sz w:val="28"/>
          <w:szCs w:val="28"/>
          <w:u w:val="single"/>
          <w:rtl/>
        </w:rPr>
      </w:pPr>
      <w:r w:rsidRPr="0004348D">
        <w:rPr>
          <w:rFonts w:ascii="Arial" w:eastAsia="Calibri" w:hAnsi="Arial" w:cs="Arial"/>
          <w:b/>
          <w:bCs/>
          <w:color w:val="000000"/>
          <w:sz w:val="28"/>
          <w:szCs w:val="28"/>
          <w:u w:val="single"/>
          <w:rtl/>
        </w:rPr>
        <w:t>שו"ע:</w:t>
      </w:r>
    </w:p>
    <w:p w14:paraId="57D499AB" w14:textId="77777777" w:rsidR="0004348D" w:rsidRPr="0004348D" w:rsidRDefault="0004348D" w:rsidP="0004348D">
      <w:pPr>
        <w:spacing w:before="360" w:after="240"/>
        <w:rPr>
          <w:rFonts w:ascii="Calibri" w:eastAsia="Calibri" w:hAnsi="Calibri" w:cs="Arial"/>
          <w:rtl/>
        </w:rPr>
      </w:pPr>
      <w:r w:rsidRPr="0004348D">
        <w:rPr>
          <w:rFonts w:ascii="Calibri" w:eastAsia="Calibri" w:hAnsi="Calibri" w:cs="Arial"/>
          <w:rtl/>
        </w:rPr>
        <w:t>הקונה שדה מחבירו ויצאו עליה עסיקין</w:t>
      </w:r>
      <w:r w:rsidRPr="0004348D">
        <w:rPr>
          <w:rFonts w:ascii="Calibri" w:eastAsia="Calibri" w:hAnsi="Calibri" w:cs="Arial"/>
          <w:vertAlign w:val="superscript"/>
          <w:rtl/>
        </w:rPr>
        <w:footnoteReference w:id="6074"/>
      </w:r>
      <w:r w:rsidRPr="0004348D">
        <w:rPr>
          <w:rFonts w:ascii="Calibri" w:eastAsia="Calibri" w:hAnsi="Calibri" w:cs="Arial"/>
          <w:rtl/>
        </w:rPr>
        <w:t xml:space="preserve">, ובא לבית דין וטוען 'חושש אני שמא תצא השדה מידי ותאבד ממונך ולא אמצא לך כלום, קנה באותו ממון קרקע כדי שאטרוף אותו', שומעין לו. </w:t>
      </w:r>
    </w:p>
    <w:p w14:paraId="12180AB1" w14:textId="77777777" w:rsidR="0004348D" w:rsidRPr="0004348D" w:rsidRDefault="0004348D" w:rsidP="0004348D">
      <w:pPr>
        <w:spacing w:before="360" w:after="240"/>
        <w:rPr>
          <w:rFonts w:ascii="Calibri" w:eastAsia="Calibri" w:hAnsi="Calibri" w:cs="Arial"/>
          <w:rtl/>
        </w:rPr>
      </w:pPr>
    </w:p>
    <w:p w14:paraId="3F5EEC69" w14:textId="77777777" w:rsidR="0004348D" w:rsidRPr="0004348D" w:rsidRDefault="0004348D" w:rsidP="0004348D">
      <w:pPr>
        <w:keepNext/>
        <w:keepLines/>
        <w:spacing w:before="360" w:after="240"/>
        <w:outlineLvl w:val="1"/>
        <w:rPr>
          <w:rFonts w:ascii="Cambria" w:eastAsia="Times New Roman" w:hAnsi="Cambria" w:cs="Arial"/>
          <w:bCs/>
          <w:color w:val="548DD4" w:themeColor="text2" w:themeTint="99"/>
          <w:sz w:val="26"/>
          <w:szCs w:val="26"/>
          <w:rtl/>
        </w:rPr>
      </w:pPr>
      <w:bookmarkStart w:id="901" w:name="_Toc24884275"/>
      <w:r w:rsidRPr="0004348D">
        <w:rPr>
          <w:rFonts w:ascii="Cambria" w:eastAsia="Times New Roman" w:hAnsi="Cambria" w:cs="Arial"/>
          <w:bCs/>
          <w:color w:val="548DD4" w:themeColor="text2" w:themeTint="99"/>
          <w:sz w:val="26"/>
          <w:szCs w:val="26"/>
          <w:rtl/>
        </w:rPr>
        <w:t>סעיף יב: עבר זמן הפרעון ולא פרע – כיצד גובה חובו מהמשכון.</w:t>
      </w:r>
      <w:bookmarkEnd w:id="901"/>
    </w:p>
    <w:p w14:paraId="37A05641" w14:textId="77777777" w:rsidR="0004348D" w:rsidRPr="0004348D" w:rsidRDefault="0004348D" w:rsidP="0004348D">
      <w:pPr>
        <w:spacing w:before="360" w:after="240"/>
        <w:rPr>
          <w:rFonts w:ascii="Calibri" w:eastAsia="Calibri" w:hAnsi="Calibri" w:cs="Arial"/>
          <w:rtl/>
        </w:rPr>
      </w:pPr>
      <w:r w:rsidRPr="0004348D">
        <w:rPr>
          <w:rFonts w:ascii="Calibri" w:eastAsia="Calibri" w:hAnsi="Calibri" w:cs="Arial"/>
          <w:b/>
          <w:bCs/>
          <w:rtl/>
        </w:rPr>
        <w:t xml:space="preserve">בבא מציעא </w:t>
      </w:r>
      <w:r w:rsidRPr="0004348D">
        <w:rPr>
          <w:rFonts w:ascii="Calibri" w:eastAsia="Calibri" w:hAnsi="Calibri" w:cs="Arial"/>
          <w:b/>
          <w:bCs/>
          <w:sz w:val="16"/>
          <w:szCs w:val="16"/>
          <w:rtl/>
        </w:rPr>
        <w:t xml:space="preserve">(פ' המקבל) </w:t>
      </w:r>
      <w:r w:rsidRPr="0004348D">
        <w:rPr>
          <w:rFonts w:ascii="Calibri" w:eastAsia="Calibri" w:hAnsi="Calibri" w:cs="Arial"/>
          <w:b/>
          <w:bCs/>
          <w:rtl/>
        </w:rPr>
        <w:t>קיג</w:t>
      </w:r>
      <w:r w:rsidRPr="0004348D">
        <w:rPr>
          <w:rFonts w:ascii="Calibri" w:eastAsia="Calibri" w:hAnsi="Calibri" w:cs="Arial"/>
          <w:b/>
          <w:bCs/>
          <w:vertAlign w:val="superscript"/>
          <w:rtl/>
        </w:rPr>
        <w:footnoteReference w:id="6075"/>
      </w:r>
      <w:r w:rsidRPr="0004348D">
        <w:rPr>
          <w:rFonts w:ascii="Calibri" w:eastAsia="Calibri" w:hAnsi="Calibri" w:cs="Arial"/>
          <w:b/>
          <w:bCs/>
          <w:rtl/>
        </w:rPr>
        <w:t xml:space="preserve"> ע"א:</w:t>
      </w:r>
      <w:r w:rsidRPr="0004348D">
        <w:rPr>
          <w:rFonts w:ascii="Calibri" w:eastAsia="Calibri" w:hAnsi="Calibri" w:cs="Arial"/>
          <w:rtl/>
        </w:rPr>
        <w:t xml:space="preserve"> </w:t>
      </w:r>
      <w:r w:rsidRPr="0004348D">
        <w:rPr>
          <w:rFonts w:ascii="Calibri" w:eastAsia="Calibri" w:hAnsi="Calibri" w:cs="Arial"/>
          <w:u w:val="double"/>
          <w:rtl/>
        </w:rPr>
        <w:t>משנה</w:t>
      </w:r>
      <w:r w:rsidRPr="0004348D">
        <w:rPr>
          <w:rFonts w:ascii="Calibri" w:eastAsia="Calibri" w:hAnsi="Calibri" w:cs="Arial"/>
          <w:rtl/>
        </w:rPr>
        <w:t xml:space="preserve">: המלוה את חבירו - לא ימשכננו אלא בבית דין. ולא יכנס לביתו ליטול משכונו, שנאמר בחוץ תעמד. היו לו שני כלים - נוטל אחד ומניח אחד. ומחזיר את הכר בלילה ואת המחרישה ביום. ואם מת - אינו מחזיר ליורשיו. </w:t>
      </w:r>
      <w:r w:rsidRPr="0004348D">
        <w:rPr>
          <w:rFonts w:ascii="Calibri" w:eastAsia="Calibri" w:hAnsi="Calibri" w:cs="Arial"/>
          <w:u w:val="single"/>
          <w:rtl/>
        </w:rPr>
        <w:t>רבן שמעון בן גמליאל אומר</w:t>
      </w:r>
      <w:r w:rsidRPr="0004348D">
        <w:rPr>
          <w:rFonts w:ascii="Calibri" w:eastAsia="Calibri" w:hAnsi="Calibri" w:cs="Arial"/>
          <w:rtl/>
        </w:rPr>
        <w:t>: אף לעצמו אינו מחזיר אלא עד שלשים יום, ומשלשים יום ולהלן מוכרן בבית דין.</w:t>
      </w:r>
      <w:r w:rsidRPr="0004348D">
        <w:rPr>
          <w:rFonts w:ascii="Calibri" w:eastAsia="Calibri" w:hAnsi="Calibri" w:cs="Arial"/>
          <w:sz w:val="16"/>
          <w:szCs w:val="16"/>
          <w:rtl/>
        </w:rPr>
        <w:t xml:space="preserve"> (ואע"ג דלית הלכתא כותיה, ה"מ בדברים שהן צריכין ללוה שהוא מצוה להחזירן לו עד לעולם, דצדקה הוא דרמא רחמנא עלויה, אבל אם משכנו דברים שאין צריכין לו ללוה, בכה"ג הלכה כרשב"ג דמל' יום ואילך מוכרן בב"ד, ולאחרים, בעל התרומות [שער מט ח"ה סי' א])</w:t>
      </w:r>
    </w:p>
    <w:p w14:paraId="1D19DAD9" w14:textId="77777777" w:rsidR="0004348D" w:rsidRPr="0004348D" w:rsidRDefault="0004348D" w:rsidP="0004348D">
      <w:pPr>
        <w:spacing w:before="360" w:after="240"/>
        <w:rPr>
          <w:rFonts w:ascii="Calibri" w:eastAsia="Calibri" w:hAnsi="Calibri" w:cs="Arial"/>
          <w:u w:val="single"/>
          <w:rtl/>
        </w:rPr>
      </w:pPr>
      <w:r w:rsidRPr="0004348D">
        <w:rPr>
          <w:rFonts w:ascii="Calibri" w:eastAsia="Calibri" w:hAnsi="Calibri" w:cs="Arial"/>
          <w:u w:val="single"/>
          <w:rtl/>
        </w:rPr>
        <w:t>אימתי יכול המלוה למכור את המשכון כשהלוה לא פרעו:</w:t>
      </w:r>
    </w:p>
    <w:p w14:paraId="03ED8B81" w14:textId="77777777" w:rsidR="0004348D" w:rsidRPr="0004348D" w:rsidRDefault="0004348D" w:rsidP="0004348D">
      <w:pPr>
        <w:numPr>
          <w:ilvl w:val="0"/>
          <w:numId w:val="356"/>
        </w:numPr>
        <w:spacing w:before="360" w:after="240"/>
        <w:contextualSpacing/>
        <w:rPr>
          <w:rFonts w:ascii="Calibri" w:eastAsia="Calibri" w:hAnsi="Calibri" w:cs="Arial"/>
          <w:rtl/>
        </w:rPr>
      </w:pPr>
      <w:r w:rsidRPr="0004348D">
        <w:rPr>
          <w:rFonts w:ascii="Calibri" w:eastAsia="Calibri" w:hAnsi="Calibri" w:cs="Arial"/>
          <w:rtl/>
        </w:rPr>
        <w:t>טור- לאחר שעבר הזמן שקבע לו או ל' יום במלוה סתם אם הלוהו על משכון סתם יכול למכרו ע"פ ב"ד</w:t>
      </w:r>
      <w:r w:rsidRPr="0004348D">
        <w:rPr>
          <w:rFonts w:ascii="Calibri" w:eastAsia="Calibri" w:hAnsi="Calibri" w:cs="Arial"/>
          <w:vertAlign w:val="superscript"/>
          <w:rtl/>
        </w:rPr>
        <w:footnoteReference w:id="6076"/>
      </w:r>
      <w:r w:rsidRPr="0004348D">
        <w:rPr>
          <w:rFonts w:ascii="Calibri" w:eastAsia="Calibri" w:hAnsi="Calibri" w:cs="Arial"/>
          <w:rtl/>
        </w:rPr>
        <w:t>.</w:t>
      </w:r>
      <w:r w:rsidRPr="0004348D">
        <w:rPr>
          <w:rFonts w:ascii="Calibri" w:eastAsia="Calibri" w:hAnsi="Calibri" w:cs="Arial"/>
          <w:color w:val="E36C0A" w:themeColor="accent6" w:themeShade="BF"/>
          <w:rtl/>
        </w:rPr>
        <w:t xml:space="preserve"> (וכ"פ בשו"ע)</w:t>
      </w:r>
    </w:p>
    <w:p w14:paraId="4B0D9114" w14:textId="77777777" w:rsidR="0004348D" w:rsidRPr="0004348D" w:rsidRDefault="0004348D" w:rsidP="0004348D">
      <w:pPr>
        <w:numPr>
          <w:ilvl w:val="0"/>
          <w:numId w:val="356"/>
        </w:numPr>
        <w:spacing w:before="360" w:after="240"/>
        <w:contextualSpacing/>
        <w:rPr>
          <w:rFonts w:ascii="Calibri" w:eastAsia="Calibri" w:hAnsi="Calibri" w:cs="Arial"/>
        </w:rPr>
      </w:pPr>
      <w:r w:rsidRPr="0004348D">
        <w:rPr>
          <w:rFonts w:ascii="Calibri" w:eastAsia="Calibri" w:hAnsi="Calibri" w:cs="Arial"/>
          <w:rtl/>
        </w:rPr>
        <w:t xml:space="preserve">מרדכי </w:t>
      </w:r>
      <w:r w:rsidRPr="0004348D">
        <w:rPr>
          <w:rFonts w:ascii="Calibri" w:eastAsia="Calibri" w:hAnsi="Calibri" w:cs="Arial"/>
          <w:sz w:val="16"/>
          <w:szCs w:val="16"/>
          <w:rtl/>
        </w:rPr>
        <w:t>(סוף המקבל סי' תא-תב, הב"י שלח לעיין בו והדרכ"מ [שם] הביאו)</w:t>
      </w:r>
      <w:r w:rsidRPr="0004348D">
        <w:rPr>
          <w:rFonts w:ascii="Calibri" w:eastAsia="Calibri" w:hAnsi="Calibri" w:cs="Arial"/>
          <w:rtl/>
        </w:rPr>
        <w:t>- צריך להמתין עד שיפדה הלוה המשכון</w:t>
      </w:r>
      <w:r w:rsidRPr="0004348D">
        <w:rPr>
          <w:rFonts w:ascii="Calibri" w:eastAsia="Calibri" w:hAnsi="Calibri" w:cs="Arial"/>
          <w:vertAlign w:val="superscript"/>
          <w:rtl/>
        </w:rPr>
        <w:footnoteReference w:id="6077"/>
      </w:r>
      <w:r w:rsidRPr="0004348D">
        <w:rPr>
          <w:rFonts w:ascii="Calibri" w:eastAsia="Calibri" w:hAnsi="Calibri" w:cs="Arial"/>
          <w:rtl/>
        </w:rPr>
        <w:t>.</w:t>
      </w:r>
    </w:p>
    <w:p w14:paraId="62839577" w14:textId="77777777" w:rsidR="0004348D" w:rsidRPr="0004348D" w:rsidRDefault="0004348D" w:rsidP="0004348D">
      <w:pPr>
        <w:spacing w:before="360" w:after="240"/>
        <w:ind w:left="360"/>
        <w:rPr>
          <w:rFonts w:ascii="Calibri" w:eastAsia="Calibri" w:hAnsi="Calibri" w:cs="Arial"/>
          <w:u w:val="dotted"/>
        </w:rPr>
      </w:pPr>
      <w:r w:rsidRPr="0004348D">
        <w:rPr>
          <w:rFonts w:ascii="Calibri" w:eastAsia="Calibri" w:hAnsi="Calibri" w:cs="Arial"/>
          <w:u w:val="dotted"/>
          <w:rtl/>
        </w:rPr>
        <w:t>לטור וסיעתו – האם הב"ד צריכים להודיע ללוה:</w:t>
      </w:r>
    </w:p>
    <w:p w14:paraId="6D09D0F7" w14:textId="77777777" w:rsidR="0004348D" w:rsidRPr="0004348D" w:rsidRDefault="0004348D" w:rsidP="0004348D">
      <w:pPr>
        <w:numPr>
          <w:ilvl w:val="0"/>
          <w:numId w:val="356"/>
        </w:numPr>
        <w:spacing w:before="360" w:after="240"/>
        <w:contextualSpacing/>
        <w:rPr>
          <w:rFonts w:ascii="Calibri" w:eastAsia="Calibri" w:hAnsi="Calibri" w:cs="Arial"/>
        </w:rPr>
      </w:pPr>
      <w:r w:rsidRPr="0004348D">
        <w:rPr>
          <w:rFonts w:ascii="Calibri" w:eastAsia="Calibri" w:hAnsi="Calibri" w:cs="Arial"/>
          <w:rtl/>
        </w:rPr>
        <w:t xml:space="preserve">בעל התרומות </w:t>
      </w:r>
      <w:r w:rsidRPr="0004348D">
        <w:rPr>
          <w:rFonts w:ascii="Calibri" w:eastAsia="Calibri" w:hAnsi="Calibri" w:cs="Arial"/>
          <w:sz w:val="16"/>
          <w:szCs w:val="16"/>
          <w:rtl/>
        </w:rPr>
        <w:t>(שער מט ח"ה סי' א)</w:t>
      </w:r>
      <w:r w:rsidRPr="0004348D">
        <w:rPr>
          <w:rFonts w:ascii="Calibri" w:eastAsia="Calibri" w:hAnsi="Calibri" w:cs="Arial"/>
          <w:rtl/>
        </w:rPr>
        <w:t xml:space="preserve"> ויש אומרים</w:t>
      </w:r>
      <w:r w:rsidRPr="0004348D">
        <w:rPr>
          <w:rFonts w:ascii="Calibri" w:eastAsia="Calibri" w:hAnsi="Calibri" w:cs="Arial"/>
          <w:sz w:val="16"/>
          <w:szCs w:val="16"/>
          <w:rtl/>
        </w:rPr>
        <w:t xml:space="preserve"> (הביאם הטור)</w:t>
      </w:r>
      <w:r w:rsidRPr="0004348D">
        <w:rPr>
          <w:rFonts w:ascii="Calibri" w:eastAsia="Calibri" w:hAnsi="Calibri" w:cs="Arial"/>
          <w:rtl/>
        </w:rPr>
        <w:t xml:space="preserve">- בית דין יודיעו ללוה תחלה. </w:t>
      </w:r>
    </w:p>
    <w:p w14:paraId="2CA292A9" w14:textId="77777777" w:rsidR="0004348D" w:rsidRPr="0004348D" w:rsidRDefault="0004348D" w:rsidP="0004348D">
      <w:pPr>
        <w:numPr>
          <w:ilvl w:val="0"/>
          <w:numId w:val="356"/>
        </w:numPr>
        <w:spacing w:before="360" w:after="240"/>
        <w:contextualSpacing/>
        <w:rPr>
          <w:rFonts w:ascii="Calibri" w:eastAsia="Calibri" w:hAnsi="Calibri" w:cs="Arial"/>
        </w:rPr>
      </w:pPr>
      <w:r w:rsidRPr="0004348D">
        <w:rPr>
          <w:rFonts w:ascii="Calibri" w:eastAsia="Calibri" w:hAnsi="Calibri" w:cs="Arial"/>
          <w:rtl/>
        </w:rPr>
        <w:t xml:space="preserve">רמב"ם </w:t>
      </w:r>
      <w:r w:rsidRPr="0004348D">
        <w:rPr>
          <w:rFonts w:ascii="Calibri" w:eastAsia="Calibri" w:hAnsi="Calibri" w:cs="Arial"/>
          <w:sz w:val="16"/>
          <w:szCs w:val="16"/>
          <w:rtl/>
        </w:rPr>
        <w:t>(פי"ג ממלוה ה"ג)</w:t>
      </w:r>
      <w:r w:rsidRPr="0004348D">
        <w:rPr>
          <w:rFonts w:ascii="Calibri" w:eastAsia="Calibri" w:hAnsi="Calibri" w:cs="Arial"/>
          <w:rtl/>
        </w:rPr>
        <w:t xml:space="preserve">- </w:t>
      </w:r>
      <w:r w:rsidRPr="0004348D">
        <w:rPr>
          <w:rFonts w:ascii="Calibri" w:eastAsia="Calibri" w:hAnsi="Calibri" w:cs="Arial"/>
          <w:vertAlign w:val="superscript"/>
          <w:rtl/>
        </w:rPr>
        <w:footnoteReference w:id="6078"/>
      </w:r>
      <w:r w:rsidRPr="0004348D">
        <w:rPr>
          <w:rFonts w:ascii="Calibri" w:eastAsia="Calibri" w:hAnsi="Calibri" w:cs="Arial"/>
          <w:rtl/>
        </w:rPr>
        <w:t>מלוה שבא לב"ד והביא משכונות ואמר 'זה משכונו של פלוני ואני רוצה למכרו וליפרע מחובי' - אין ב"ד נזקקין לומר לו המתן עד שיבא הלוה ויטעון, שהרי אם ירצה לשקר יכול לומר לקוח הוא בידי, אלא משיאין לו עצה למכרו בעדים כדי שידע הלוה בכמה נמכר</w:t>
      </w:r>
      <w:r w:rsidRPr="0004348D">
        <w:rPr>
          <w:rFonts w:ascii="Calibri" w:eastAsia="Calibri" w:hAnsi="Calibri" w:cs="Arial"/>
          <w:vertAlign w:val="superscript"/>
          <w:rtl/>
        </w:rPr>
        <w:footnoteReference w:id="6079"/>
      </w:r>
      <w:r w:rsidRPr="0004348D">
        <w:rPr>
          <w:rFonts w:ascii="Calibri" w:eastAsia="Calibri" w:hAnsi="Calibri" w:cs="Arial"/>
          <w:rtl/>
        </w:rPr>
        <w:t>.</w:t>
      </w:r>
    </w:p>
    <w:p w14:paraId="73E12BD7" w14:textId="77777777" w:rsidR="0004348D" w:rsidRPr="0004348D" w:rsidRDefault="0004348D" w:rsidP="0004348D">
      <w:pPr>
        <w:spacing w:before="360" w:after="240"/>
        <w:ind w:left="360"/>
        <w:rPr>
          <w:rFonts w:ascii="Calibri" w:eastAsia="Calibri" w:hAnsi="Calibri" w:cs="Arial"/>
          <w:sz w:val="16"/>
          <w:szCs w:val="16"/>
          <w:u w:val="dotted"/>
        </w:rPr>
      </w:pPr>
      <w:r w:rsidRPr="0004348D">
        <w:rPr>
          <w:rFonts w:ascii="Calibri" w:eastAsia="Calibri" w:hAnsi="Calibri" w:cs="Arial"/>
          <w:u w:val="dotted"/>
          <w:rtl/>
        </w:rPr>
        <w:t>לטור וסיעתו – האם סגי למוכרו בב"ד של ג' הדיוטות או דבעינן שיהא בהם אחד דגמיר וסביר:</w:t>
      </w:r>
      <w:r w:rsidRPr="0004348D">
        <w:rPr>
          <w:rFonts w:ascii="Calibri" w:eastAsia="Calibri" w:hAnsi="Calibri" w:cs="Arial"/>
          <w:sz w:val="16"/>
          <w:szCs w:val="16"/>
          <w:rtl/>
        </w:rPr>
        <w:t xml:space="preserve"> (דרכ"מ [אות ט])</w:t>
      </w:r>
    </w:p>
    <w:p w14:paraId="205BDE21" w14:textId="77777777" w:rsidR="0004348D" w:rsidRPr="0004348D" w:rsidRDefault="0004348D" w:rsidP="0004348D">
      <w:pPr>
        <w:numPr>
          <w:ilvl w:val="0"/>
          <w:numId w:val="356"/>
        </w:numPr>
        <w:spacing w:before="360" w:after="240"/>
        <w:contextualSpacing/>
        <w:rPr>
          <w:rFonts w:ascii="Calibri" w:eastAsia="Calibri" w:hAnsi="Calibri" w:cs="Arial"/>
        </w:rPr>
      </w:pPr>
      <w:r w:rsidRPr="0004348D">
        <w:rPr>
          <w:rFonts w:ascii="Calibri" w:eastAsia="Calibri" w:hAnsi="Calibri" w:cs="Arial"/>
          <w:rtl/>
        </w:rPr>
        <w:t xml:space="preserve">רשב"א </w:t>
      </w:r>
      <w:r w:rsidRPr="0004348D">
        <w:rPr>
          <w:rFonts w:ascii="Calibri" w:eastAsia="Calibri" w:hAnsi="Calibri" w:cs="Arial"/>
          <w:sz w:val="16"/>
          <w:szCs w:val="16"/>
          <w:rtl/>
        </w:rPr>
        <w:t>(סי' אלף י)</w:t>
      </w:r>
      <w:r w:rsidRPr="0004348D">
        <w:rPr>
          <w:rFonts w:ascii="Calibri" w:eastAsia="Calibri" w:hAnsi="Calibri" w:cs="Arial"/>
          <w:rtl/>
        </w:rPr>
        <w:t>- צריך שיהא אחד מן הב"ד גמיר וסביר דבלאו הכי אין קרוי בית דין אלא ב"ד של הדיוטות. (וכ"פ הש"ך</w:t>
      </w:r>
      <w:r w:rsidRPr="0004348D">
        <w:rPr>
          <w:rFonts w:ascii="Calibri" w:eastAsia="Calibri" w:hAnsi="Calibri" w:cs="Arial"/>
          <w:vertAlign w:val="superscript"/>
          <w:rtl/>
        </w:rPr>
        <w:footnoteReference w:id="6080"/>
      </w:r>
      <w:r w:rsidRPr="0004348D">
        <w:rPr>
          <w:rFonts w:ascii="Calibri" w:eastAsia="Calibri" w:hAnsi="Calibri" w:cs="Arial"/>
          <w:sz w:val="16"/>
          <w:szCs w:val="16"/>
          <w:rtl/>
        </w:rPr>
        <w:t xml:space="preserve"> [סק"מ]</w:t>
      </w:r>
      <w:r w:rsidRPr="0004348D">
        <w:rPr>
          <w:rFonts w:ascii="Calibri" w:eastAsia="Calibri" w:hAnsi="Calibri" w:cs="Arial"/>
          <w:rtl/>
        </w:rPr>
        <w:t xml:space="preserve">) </w:t>
      </w:r>
    </w:p>
    <w:p w14:paraId="7F6557C0" w14:textId="77777777" w:rsidR="0004348D" w:rsidRPr="0004348D" w:rsidRDefault="0004348D" w:rsidP="0004348D">
      <w:pPr>
        <w:numPr>
          <w:ilvl w:val="0"/>
          <w:numId w:val="356"/>
        </w:numPr>
        <w:spacing w:before="360" w:after="240"/>
        <w:contextualSpacing/>
        <w:rPr>
          <w:rFonts w:ascii="Calibri" w:eastAsia="Calibri" w:hAnsi="Calibri" w:cs="Arial"/>
        </w:rPr>
      </w:pPr>
      <w:r w:rsidRPr="0004348D">
        <w:rPr>
          <w:rFonts w:ascii="Calibri" w:eastAsia="Calibri" w:hAnsi="Calibri" w:cs="Arial"/>
          <w:rtl/>
        </w:rPr>
        <w:t xml:space="preserve">רא"ש </w:t>
      </w:r>
      <w:r w:rsidRPr="0004348D">
        <w:rPr>
          <w:rFonts w:ascii="Calibri" w:eastAsia="Calibri" w:hAnsi="Calibri" w:cs="Arial"/>
          <w:sz w:val="16"/>
          <w:szCs w:val="16"/>
          <w:rtl/>
        </w:rPr>
        <w:t>(כלל צ סי' ד)</w:t>
      </w:r>
      <w:r w:rsidRPr="0004348D">
        <w:rPr>
          <w:rFonts w:ascii="Calibri" w:eastAsia="Calibri" w:hAnsi="Calibri" w:cs="Arial"/>
          <w:rtl/>
        </w:rPr>
        <w:t xml:space="preserve"> וריב"ש </w:t>
      </w:r>
      <w:r w:rsidRPr="0004348D">
        <w:rPr>
          <w:rFonts w:ascii="Calibri" w:eastAsia="Calibri" w:hAnsi="Calibri" w:cs="Arial"/>
          <w:sz w:val="16"/>
          <w:szCs w:val="16"/>
          <w:rtl/>
        </w:rPr>
        <w:t>(סי' שצו)</w:t>
      </w:r>
      <w:r w:rsidRPr="0004348D">
        <w:rPr>
          <w:rFonts w:ascii="Calibri" w:eastAsia="Calibri" w:hAnsi="Calibri" w:cs="Arial"/>
          <w:rtl/>
        </w:rPr>
        <w:t xml:space="preserve">- סגי בבית דין הדיוטות. </w:t>
      </w:r>
      <w:r w:rsidRPr="0004348D">
        <w:rPr>
          <w:rFonts w:ascii="Calibri" w:eastAsia="Calibri" w:hAnsi="Calibri" w:cs="Arial"/>
          <w:color w:val="E36C0A" w:themeColor="accent6" w:themeShade="BF"/>
          <w:rtl/>
        </w:rPr>
        <w:t xml:space="preserve">(וכ"פ בשו"ע </w:t>
      </w:r>
      <w:r w:rsidRPr="0004348D">
        <w:rPr>
          <w:rFonts w:ascii="Calibri" w:eastAsia="Calibri" w:hAnsi="Calibri" w:cs="Arial"/>
          <w:sz w:val="16"/>
          <w:szCs w:val="16"/>
          <w:rtl/>
        </w:rPr>
        <w:t>[בסע' טו]</w:t>
      </w:r>
      <w:r w:rsidRPr="0004348D">
        <w:rPr>
          <w:rFonts w:ascii="Calibri" w:eastAsia="Calibri" w:hAnsi="Calibri" w:cs="Arial"/>
          <w:color w:val="E36C0A" w:themeColor="accent6" w:themeShade="BF"/>
          <w:rtl/>
        </w:rPr>
        <w:t>)</w:t>
      </w:r>
      <w:r w:rsidRPr="0004348D">
        <w:rPr>
          <w:rFonts w:ascii="Calibri" w:eastAsia="Calibri" w:hAnsi="Calibri" w:cs="Arial"/>
          <w:rtl/>
        </w:rPr>
        <w:t xml:space="preserve"> (וכ"פ הסמ"ע</w:t>
      </w:r>
      <w:r w:rsidRPr="0004348D">
        <w:rPr>
          <w:rFonts w:ascii="Calibri" w:eastAsia="Calibri" w:hAnsi="Calibri" w:cs="Arial"/>
          <w:sz w:val="16"/>
          <w:szCs w:val="16"/>
          <w:rtl/>
        </w:rPr>
        <w:t xml:space="preserve"> [סקל"ה]</w:t>
      </w:r>
      <w:r w:rsidRPr="0004348D">
        <w:rPr>
          <w:rFonts w:ascii="Calibri" w:eastAsia="Calibri" w:hAnsi="Calibri" w:cs="Arial"/>
          <w:rtl/>
        </w:rPr>
        <w:t>)</w:t>
      </w:r>
    </w:p>
    <w:p w14:paraId="6DE450B1" w14:textId="77777777" w:rsidR="0004348D" w:rsidRPr="0004348D" w:rsidRDefault="0004348D" w:rsidP="0004348D">
      <w:pPr>
        <w:spacing w:before="360" w:after="240"/>
        <w:ind w:left="360"/>
        <w:rPr>
          <w:rFonts w:ascii="Calibri" w:eastAsia="Calibri" w:hAnsi="Calibri" w:cs="Arial"/>
          <w:u w:val="dotted"/>
        </w:rPr>
      </w:pPr>
      <w:r w:rsidRPr="0004348D">
        <w:rPr>
          <w:rFonts w:ascii="Calibri" w:eastAsia="Calibri" w:hAnsi="Calibri" w:cs="Arial"/>
          <w:u w:val="dotted"/>
          <w:rtl/>
        </w:rPr>
        <w:t xml:space="preserve">האם דין משכון של מטלטלין ומשכון של קרקע שווים בזה </w:t>
      </w:r>
      <w:r w:rsidRPr="0004348D">
        <w:rPr>
          <w:rFonts w:ascii="Calibri" w:eastAsia="Calibri" w:hAnsi="Calibri" w:cs="Arial"/>
          <w:sz w:val="16"/>
          <w:szCs w:val="16"/>
          <w:u w:val="dotted"/>
          <w:rtl/>
        </w:rPr>
        <w:t>(שיכול למכור לאחר ל' יום)</w:t>
      </w:r>
      <w:r w:rsidRPr="0004348D">
        <w:rPr>
          <w:rFonts w:ascii="Calibri" w:eastAsia="Calibri" w:hAnsi="Calibri" w:cs="Arial"/>
          <w:u w:val="dotted"/>
          <w:rtl/>
        </w:rPr>
        <w:t>:</w:t>
      </w:r>
    </w:p>
    <w:p w14:paraId="6AF87E86" w14:textId="77777777" w:rsidR="0004348D" w:rsidRPr="0004348D" w:rsidRDefault="0004348D" w:rsidP="0004348D">
      <w:pPr>
        <w:numPr>
          <w:ilvl w:val="0"/>
          <w:numId w:val="356"/>
        </w:numPr>
        <w:spacing w:before="360" w:after="240"/>
        <w:contextualSpacing/>
        <w:rPr>
          <w:rFonts w:ascii="Calibri" w:eastAsia="Calibri" w:hAnsi="Calibri" w:cs="Arial"/>
        </w:rPr>
      </w:pPr>
      <w:r w:rsidRPr="0004348D">
        <w:rPr>
          <w:rFonts w:ascii="Calibri" w:eastAsia="Calibri" w:hAnsi="Calibri" w:cs="Arial"/>
          <w:rtl/>
        </w:rPr>
        <w:t xml:space="preserve">(בעל התרומות </w:t>
      </w:r>
      <w:r w:rsidRPr="0004348D">
        <w:rPr>
          <w:rFonts w:ascii="Calibri" w:eastAsia="Calibri" w:hAnsi="Calibri" w:cs="Arial"/>
          <w:sz w:val="16"/>
          <w:szCs w:val="16"/>
          <w:rtl/>
        </w:rPr>
        <w:t xml:space="preserve">(שער מט ח"ה סי' ג) </w:t>
      </w:r>
      <w:r w:rsidRPr="0004348D">
        <w:rPr>
          <w:rFonts w:ascii="Calibri" w:eastAsia="Calibri" w:hAnsi="Calibri" w:cs="Arial"/>
          <w:rtl/>
        </w:rPr>
        <w:t>בשם הרמב"ן</w:t>
      </w:r>
      <w:r w:rsidRPr="0004348D">
        <w:rPr>
          <w:rFonts w:ascii="Calibri" w:eastAsia="Calibri" w:hAnsi="Calibri" w:cs="Arial"/>
          <w:sz w:val="16"/>
          <w:szCs w:val="16"/>
          <w:rtl/>
        </w:rPr>
        <w:t xml:space="preserve"> להב' הב"י</w:t>
      </w:r>
      <w:r w:rsidRPr="0004348D">
        <w:rPr>
          <w:rFonts w:ascii="Calibri" w:eastAsia="Calibri" w:hAnsi="Calibri" w:cs="Arial"/>
          <w:rtl/>
        </w:rPr>
        <w:t>)- משכונת קרקע שלא קבע לה זמן, אע"פ שהוא אוכל פירות בנכייתא או בשומא - הדעת מכרעת שדינה כמשכון דמטלטלין והמלוה כופהו למכור הקרקע לאחר שלשים יום או לאחר זמן שקבעו ביניהם אם היתה מלוה לזמן ולפרעו</w:t>
      </w:r>
      <w:r w:rsidRPr="0004348D">
        <w:rPr>
          <w:rFonts w:ascii="Calibri" w:eastAsia="Calibri" w:hAnsi="Calibri" w:cs="Arial"/>
          <w:vertAlign w:val="superscript"/>
          <w:rtl/>
        </w:rPr>
        <w:footnoteReference w:id="6081"/>
      </w:r>
      <w:r w:rsidRPr="0004348D">
        <w:rPr>
          <w:rFonts w:ascii="Calibri" w:eastAsia="Calibri" w:hAnsi="Calibri" w:cs="Arial"/>
          <w:sz w:val="16"/>
          <w:szCs w:val="16"/>
          <w:rtl/>
        </w:rPr>
        <w:t xml:space="preserve"> (ל' הב"י בשם בעל התרומות)</w:t>
      </w:r>
    </w:p>
    <w:p w14:paraId="5A1ACDFE" w14:textId="77777777" w:rsidR="0004348D" w:rsidRPr="0004348D" w:rsidRDefault="0004348D" w:rsidP="0004348D">
      <w:pPr>
        <w:numPr>
          <w:ilvl w:val="0"/>
          <w:numId w:val="356"/>
        </w:numPr>
        <w:spacing w:before="360" w:after="240"/>
        <w:contextualSpacing/>
        <w:rPr>
          <w:rFonts w:ascii="Calibri" w:eastAsia="Calibri" w:hAnsi="Calibri" w:cs="Arial"/>
        </w:rPr>
      </w:pPr>
      <w:r w:rsidRPr="0004348D">
        <w:rPr>
          <w:rFonts w:ascii="Calibri" w:eastAsia="Calibri" w:hAnsi="Calibri" w:cs="Arial"/>
          <w:rtl/>
        </w:rPr>
        <w:t xml:space="preserve">(בעל התרומות </w:t>
      </w:r>
      <w:r w:rsidRPr="0004348D">
        <w:rPr>
          <w:rFonts w:ascii="Calibri" w:eastAsia="Calibri" w:hAnsi="Calibri" w:cs="Arial"/>
          <w:sz w:val="16"/>
          <w:szCs w:val="16"/>
          <w:rtl/>
        </w:rPr>
        <w:t xml:space="preserve">(שם) </w:t>
      </w:r>
      <w:r w:rsidRPr="0004348D">
        <w:rPr>
          <w:rFonts w:ascii="Calibri" w:eastAsia="Calibri" w:hAnsi="Calibri" w:cs="Arial"/>
          <w:rtl/>
        </w:rPr>
        <w:t>בשם הרמב"ן</w:t>
      </w:r>
      <w:r w:rsidRPr="0004348D">
        <w:rPr>
          <w:rFonts w:ascii="Calibri" w:eastAsia="Calibri" w:hAnsi="Calibri" w:cs="Arial"/>
          <w:sz w:val="16"/>
          <w:szCs w:val="16"/>
          <w:rtl/>
        </w:rPr>
        <w:t xml:space="preserve"> להב' הש"ך</w:t>
      </w:r>
      <w:r w:rsidRPr="0004348D">
        <w:rPr>
          <w:rFonts w:ascii="Calibri" w:eastAsia="Calibri" w:hAnsi="Calibri" w:cs="Arial"/>
          <w:rtl/>
        </w:rPr>
        <w:t xml:space="preserve">)- </w:t>
      </w:r>
      <w:r w:rsidRPr="0004348D">
        <w:rPr>
          <w:rFonts w:ascii="Calibri" w:eastAsia="Calibri" w:hAnsi="Calibri" w:cs="Arial"/>
          <w:vertAlign w:val="superscript"/>
          <w:rtl/>
        </w:rPr>
        <w:footnoteReference w:id="6082"/>
      </w:r>
      <w:r w:rsidRPr="0004348D">
        <w:rPr>
          <w:rFonts w:ascii="Calibri" w:eastAsia="Calibri" w:hAnsi="Calibri" w:cs="Arial"/>
          <w:rtl/>
        </w:rPr>
        <w:t xml:space="preserve">במשכונת מטלטלין כופהו מיד לאחר ל' יום, מ"מ במשכונת קרקע י"ל דאינו יכול לכופו בפחות משנה, וכדאמרינן באיזהו נשך </w:t>
      </w:r>
      <w:r w:rsidRPr="0004348D">
        <w:rPr>
          <w:rFonts w:ascii="Calibri" w:eastAsia="Calibri" w:hAnsi="Calibri" w:cs="Arial"/>
          <w:sz w:val="16"/>
          <w:szCs w:val="16"/>
          <w:rtl/>
        </w:rPr>
        <w:t xml:space="preserve">(ב"מ סח.) </w:t>
      </w:r>
      <w:r w:rsidRPr="0004348D">
        <w:rPr>
          <w:rFonts w:ascii="Calibri" w:eastAsia="Calibri" w:hAnsi="Calibri" w:cs="Arial"/>
          <w:rtl/>
        </w:rPr>
        <w:t>גבי משכנו קרקע, סתם משכנתא שתא</w:t>
      </w:r>
      <w:r w:rsidRPr="0004348D">
        <w:rPr>
          <w:rFonts w:ascii="Calibri" w:eastAsia="Calibri" w:hAnsi="Calibri" w:cs="Arial"/>
          <w:sz w:val="16"/>
          <w:szCs w:val="16"/>
          <w:rtl/>
        </w:rPr>
        <w:t xml:space="preserve"> (ע"פ ל' הש"ך)</w:t>
      </w:r>
      <w:r w:rsidRPr="0004348D">
        <w:rPr>
          <w:rFonts w:ascii="Calibri" w:eastAsia="Calibri" w:hAnsi="Calibri" w:cs="Arial"/>
          <w:rtl/>
        </w:rPr>
        <w:t>.</w:t>
      </w:r>
    </w:p>
    <w:p w14:paraId="515D7817" w14:textId="77777777" w:rsidR="0004348D" w:rsidRPr="0004348D" w:rsidRDefault="0004348D" w:rsidP="0004348D">
      <w:pPr>
        <w:spacing w:before="360" w:after="240"/>
        <w:rPr>
          <w:rFonts w:ascii="Arial" w:eastAsia="Calibri" w:hAnsi="Arial" w:cs="Arial"/>
          <w:b/>
          <w:bCs/>
          <w:color w:val="000000"/>
          <w:sz w:val="28"/>
          <w:szCs w:val="28"/>
          <w:u w:val="single"/>
          <w:rtl/>
        </w:rPr>
      </w:pPr>
      <w:r w:rsidRPr="0004348D">
        <w:rPr>
          <w:rFonts w:ascii="Arial" w:eastAsia="Calibri" w:hAnsi="Arial" w:cs="Arial"/>
          <w:b/>
          <w:bCs/>
          <w:color w:val="000000"/>
          <w:sz w:val="28"/>
          <w:szCs w:val="28"/>
          <w:u w:val="single"/>
          <w:rtl/>
        </w:rPr>
        <w:t>שו"ע:</w:t>
      </w:r>
    </w:p>
    <w:p w14:paraId="09D4FD00" w14:textId="77777777" w:rsidR="0004348D" w:rsidRPr="0004348D" w:rsidRDefault="0004348D" w:rsidP="0004348D">
      <w:pPr>
        <w:spacing w:before="360" w:after="240"/>
        <w:rPr>
          <w:rFonts w:ascii="Calibri" w:eastAsia="Calibri" w:hAnsi="Calibri" w:cs="Arial"/>
          <w:rtl/>
        </w:rPr>
      </w:pPr>
      <w:r w:rsidRPr="0004348D">
        <w:rPr>
          <w:rFonts w:ascii="Calibri" w:eastAsia="Calibri" w:hAnsi="Calibri" w:cs="Arial"/>
          <w:rtl/>
        </w:rPr>
        <w:t>לאחר שעבר הזמן שקבע לו, או שלשים יום במלוה סתם, אם הלוהו על משכון סתם יכול למוכרו על פי בית דין. ואם הלוה בעיר, יודיעוהו בית דין שאם לא יפרע יתנו לו רשות למכור המשכון. ואם אינו בעיר, אין בית דין נזקקין לומר לו המתן עד שיבא הלוה ויטעון</w:t>
      </w:r>
      <w:r w:rsidRPr="0004348D">
        <w:rPr>
          <w:rFonts w:ascii="Calibri" w:eastAsia="Calibri" w:hAnsi="Calibri" w:cs="Arial"/>
          <w:vertAlign w:val="superscript"/>
          <w:rtl/>
        </w:rPr>
        <w:footnoteReference w:id="6083"/>
      </w:r>
      <w:r w:rsidRPr="0004348D">
        <w:rPr>
          <w:rFonts w:ascii="Calibri" w:eastAsia="Calibri" w:hAnsi="Calibri" w:cs="Arial"/>
          <w:rtl/>
        </w:rPr>
        <w:t xml:space="preserve">. </w:t>
      </w:r>
    </w:p>
    <w:p w14:paraId="4AFA9907" w14:textId="77777777" w:rsidR="0004348D" w:rsidRPr="0004348D" w:rsidRDefault="0004348D" w:rsidP="0004348D">
      <w:pPr>
        <w:spacing w:before="360" w:after="240"/>
        <w:rPr>
          <w:rFonts w:ascii="Calibri" w:eastAsia="Calibri" w:hAnsi="Calibri" w:cs="Arial"/>
          <w:rtl/>
        </w:rPr>
      </w:pPr>
    </w:p>
    <w:p w14:paraId="0ACD8BF2" w14:textId="77777777" w:rsidR="0004348D" w:rsidRPr="0004348D" w:rsidRDefault="0004348D" w:rsidP="0004348D">
      <w:pPr>
        <w:keepNext/>
        <w:keepLines/>
        <w:spacing w:before="360" w:after="240"/>
        <w:outlineLvl w:val="1"/>
        <w:rPr>
          <w:rFonts w:ascii="Cambria" w:eastAsia="Times New Roman" w:hAnsi="Cambria" w:cs="Arial"/>
          <w:bCs/>
          <w:color w:val="548DD4" w:themeColor="text2" w:themeTint="99"/>
          <w:sz w:val="26"/>
          <w:szCs w:val="26"/>
          <w:rtl/>
        </w:rPr>
      </w:pPr>
      <w:bookmarkStart w:id="902" w:name="_Toc24884276"/>
      <w:r w:rsidRPr="0004348D">
        <w:rPr>
          <w:rFonts w:ascii="Cambria" w:eastAsia="Times New Roman" w:hAnsi="Cambria" w:cs="Arial"/>
          <w:bCs/>
          <w:color w:val="548DD4" w:themeColor="text2" w:themeTint="99"/>
          <w:sz w:val="26"/>
          <w:szCs w:val="26"/>
          <w:rtl/>
        </w:rPr>
        <w:t>סעיף יג: משכון שכלה והולך.</w:t>
      </w:r>
      <w:bookmarkEnd w:id="902"/>
    </w:p>
    <w:p w14:paraId="0A7E73B2" w14:textId="77777777" w:rsidR="0004348D" w:rsidRPr="0004348D" w:rsidRDefault="0004348D" w:rsidP="0004348D">
      <w:pPr>
        <w:spacing w:before="360" w:after="240"/>
        <w:rPr>
          <w:rFonts w:ascii="Calibri" w:eastAsia="Calibri" w:hAnsi="Calibri" w:cs="Arial"/>
          <w:u w:val="single"/>
          <w:rtl/>
        </w:rPr>
      </w:pPr>
      <w:r w:rsidRPr="0004348D">
        <w:rPr>
          <w:rFonts w:ascii="Calibri" w:eastAsia="Calibri" w:hAnsi="Calibri" w:cs="Arial"/>
          <w:u w:val="single"/>
          <w:rtl/>
        </w:rPr>
        <w:t>משכון שכלה והולך – האם יכול למוכרו תוך ל' יום:</w:t>
      </w:r>
    </w:p>
    <w:p w14:paraId="302930A8" w14:textId="77777777" w:rsidR="0004348D" w:rsidRPr="0004348D" w:rsidRDefault="0004348D" w:rsidP="0004348D">
      <w:pPr>
        <w:numPr>
          <w:ilvl w:val="0"/>
          <w:numId w:val="356"/>
        </w:numPr>
        <w:spacing w:before="360" w:after="240"/>
        <w:contextualSpacing/>
        <w:rPr>
          <w:rFonts w:ascii="Calibri" w:eastAsia="Calibri" w:hAnsi="Calibri" w:cs="Arial"/>
          <w:rtl/>
        </w:rPr>
      </w:pPr>
      <w:r w:rsidRPr="0004348D">
        <w:rPr>
          <w:rFonts w:ascii="Calibri" w:eastAsia="Calibri" w:hAnsi="Calibri" w:cs="Arial"/>
          <w:rtl/>
        </w:rPr>
        <w:t>רב האי גאון</w:t>
      </w:r>
      <w:r w:rsidRPr="0004348D">
        <w:rPr>
          <w:rFonts w:ascii="Calibri" w:eastAsia="Calibri" w:hAnsi="Calibri" w:cs="Arial"/>
          <w:sz w:val="16"/>
          <w:szCs w:val="16"/>
          <w:rtl/>
        </w:rPr>
        <w:t xml:space="preserve"> (ספר המקח שער ו, כ"כ בשמו בעל התרומות [שער מט ח"ה סי' ב])</w:t>
      </w:r>
      <w:r w:rsidRPr="0004348D">
        <w:rPr>
          <w:rFonts w:ascii="Calibri" w:eastAsia="Calibri" w:hAnsi="Calibri" w:cs="Arial"/>
          <w:rtl/>
        </w:rPr>
        <w:t xml:space="preserve"> וטור- אם המשכון כלה והולך - יכול למכרו בב"ד אפילו תוך ל' יום בין שהיו שם בעליו בין שלא היו שם בעליו. </w:t>
      </w:r>
      <w:r w:rsidRPr="0004348D">
        <w:rPr>
          <w:rFonts w:ascii="Calibri" w:eastAsia="Calibri" w:hAnsi="Calibri" w:cs="Arial"/>
          <w:color w:val="E36C0A" w:themeColor="accent6" w:themeShade="BF"/>
          <w:rtl/>
        </w:rPr>
        <w:t>(וכ"פ בשו"ע)</w:t>
      </w:r>
    </w:p>
    <w:p w14:paraId="373C7154" w14:textId="77777777" w:rsidR="0004348D" w:rsidRPr="0004348D" w:rsidRDefault="0004348D" w:rsidP="0004348D">
      <w:pPr>
        <w:spacing w:before="360" w:after="240"/>
        <w:rPr>
          <w:rFonts w:ascii="Arial" w:eastAsia="Calibri" w:hAnsi="Arial" w:cs="Arial"/>
          <w:b/>
          <w:bCs/>
          <w:color w:val="000000"/>
          <w:sz w:val="28"/>
          <w:szCs w:val="28"/>
          <w:u w:val="single"/>
          <w:rtl/>
        </w:rPr>
      </w:pPr>
      <w:r w:rsidRPr="0004348D">
        <w:rPr>
          <w:rFonts w:ascii="Arial" w:eastAsia="Calibri" w:hAnsi="Arial" w:cs="Arial"/>
          <w:b/>
          <w:bCs/>
          <w:color w:val="000000"/>
          <w:sz w:val="28"/>
          <w:szCs w:val="28"/>
          <w:u w:val="single"/>
          <w:rtl/>
        </w:rPr>
        <w:t>שו"ע:</w:t>
      </w:r>
    </w:p>
    <w:p w14:paraId="24D46441" w14:textId="77777777" w:rsidR="0004348D" w:rsidRPr="0004348D" w:rsidRDefault="0004348D" w:rsidP="0004348D">
      <w:pPr>
        <w:spacing w:before="360" w:after="240"/>
        <w:rPr>
          <w:rFonts w:ascii="Calibri" w:eastAsia="Calibri" w:hAnsi="Calibri" w:cs="Arial"/>
          <w:rtl/>
        </w:rPr>
      </w:pPr>
      <w:r w:rsidRPr="0004348D">
        <w:rPr>
          <w:rFonts w:ascii="Calibri" w:eastAsia="Calibri" w:hAnsi="Calibri" w:cs="Arial"/>
          <w:rtl/>
        </w:rPr>
        <w:t xml:space="preserve">ואם המשכון כלה והולך, יכול למוכרו בבית דין אפילו תוך שלשים יום, בין שהיו בעליו שם בין שלא היו שם. </w:t>
      </w:r>
    </w:p>
    <w:p w14:paraId="0316E90F" w14:textId="77777777" w:rsidR="0004348D" w:rsidRPr="0004348D" w:rsidRDefault="0004348D" w:rsidP="0004348D">
      <w:pPr>
        <w:spacing w:before="360" w:after="240"/>
        <w:rPr>
          <w:rFonts w:ascii="Calibri" w:eastAsia="Calibri" w:hAnsi="Calibri" w:cs="Arial"/>
          <w:rtl/>
        </w:rPr>
      </w:pPr>
    </w:p>
    <w:p w14:paraId="20F796F4" w14:textId="77777777" w:rsidR="0004348D" w:rsidRPr="0004348D" w:rsidRDefault="0004348D" w:rsidP="0004348D">
      <w:pPr>
        <w:keepNext/>
        <w:keepLines/>
        <w:spacing w:before="360" w:after="240"/>
        <w:outlineLvl w:val="1"/>
        <w:rPr>
          <w:rFonts w:ascii="Cambria" w:eastAsia="Times New Roman" w:hAnsi="Cambria" w:cs="Arial"/>
          <w:bCs/>
          <w:color w:val="548DD4" w:themeColor="text2" w:themeTint="99"/>
          <w:sz w:val="26"/>
          <w:szCs w:val="26"/>
          <w:rtl/>
        </w:rPr>
      </w:pPr>
      <w:bookmarkStart w:id="903" w:name="_Toc24884277"/>
      <w:r w:rsidRPr="0004348D">
        <w:rPr>
          <w:rFonts w:ascii="Cambria" w:eastAsia="Times New Roman" w:hAnsi="Cambria" w:cs="Arial"/>
          <w:bCs/>
          <w:color w:val="548DD4" w:themeColor="text2" w:themeTint="99"/>
          <w:sz w:val="26"/>
          <w:szCs w:val="26"/>
          <w:rtl/>
        </w:rPr>
        <w:t>סעיף יד: המתנת ל' יום לפני מכירת המשכון.</w:t>
      </w:r>
      <w:bookmarkEnd w:id="903"/>
    </w:p>
    <w:p w14:paraId="5566D274" w14:textId="77777777" w:rsidR="0004348D" w:rsidRPr="0004348D" w:rsidRDefault="0004348D" w:rsidP="0004348D">
      <w:pPr>
        <w:spacing w:before="360" w:after="240"/>
        <w:rPr>
          <w:rFonts w:ascii="Calibri" w:eastAsia="Calibri" w:hAnsi="Calibri" w:cs="Arial"/>
          <w:u w:val="single"/>
          <w:rtl/>
        </w:rPr>
      </w:pPr>
      <w:r w:rsidRPr="0004348D">
        <w:rPr>
          <w:rFonts w:ascii="Calibri" w:eastAsia="Calibri" w:hAnsi="Calibri" w:cs="Arial"/>
          <w:u w:val="single"/>
          <w:rtl/>
        </w:rPr>
        <w:t>האם צריך להמתין ל' יום מיום שתבעו לפרוע:</w:t>
      </w:r>
    </w:p>
    <w:p w14:paraId="64A48561" w14:textId="77777777" w:rsidR="0004348D" w:rsidRPr="0004348D" w:rsidRDefault="0004348D" w:rsidP="0004348D">
      <w:pPr>
        <w:numPr>
          <w:ilvl w:val="0"/>
          <w:numId w:val="356"/>
        </w:numPr>
        <w:spacing w:before="360" w:after="240"/>
        <w:contextualSpacing/>
        <w:rPr>
          <w:rFonts w:ascii="Calibri" w:eastAsia="Calibri" w:hAnsi="Calibri" w:cs="Arial"/>
          <w:rtl/>
        </w:rPr>
      </w:pPr>
      <w:r w:rsidRPr="0004348D">
        <w:rPr>
          <w:rFonts w:ascii="Calibri" w:eastAsia="Calibri" w:hAnsi="Calibri" w:cs="Arial"/>
          <w:rtl/>
        </w:rPr>
        <w:t xml:space="preserve">רא"ש </w:t>
      </w:r>
      <w:r w:rsidRPr="0004348D">
        <w:rPr>
          <w:rFonts w:ascii="Calibri" w:eastAsia="Calibri" w:hAnsi="Calibri" w:cs="Arial"/>
          <w:sz w:val="16"/>
          <w:szCs w:val="16"/>
          <w:rtl/>
        </w:rPr>
        <w:t>(כלל צ סי' ד)</w:t>
      </w:r>
      <w:r w:rsidRPr="0004348D">
        <w:rPr>
          <w:rFonts w:ascii="Calibri" w:eastAsia="Calibri" w:hAnsi="Calibri" w:cs="Arial"/>
          <w:rtl/>
        </w:rPr>
        <w:t xml:space="preserve"> וטור- עוד ילמדנו, המלוה לעני על משכונו בסתם והוא דוחהו מיום אל יום או אם אינו בעיר מה דינו אם נאמר בזה שימכרנו משלשים יום ואילך כדקאמר רשב"ג</w:t>
      </w:r>
      <w:r w:rsidRPr="0004348D">
        <w:rPr>
          <w:rFonts w:ascii="Calibri" w:eastAsia="Calibri" w:hAnsi="Calibri" w:cs="Arial"/>
          <w:sz w:val="16"/>
          <w:szCs w:val="16"/>
          <w:rtl/>
        </w:rPr>
        <w:t xml:space="preserve"> (ב"מ קיג.)</w:t>
      </w:r>
      <w:r w:rsidRPr="0004348D">
        <w:rPr>
          <w:rFonts w:ascii="Calibri" w:eastAsia="Calibri" w:hAnsi="Calibri" w:cs="Arial"/>
          <w:rtl/>
        </w:rPr>
        <w:t xml:space="preserve"> לענין חזרת העבוט, וכ"ש בהא דעדיף טפי ממשכנו שלא בשעת הלואתו שאינו חייב בחזרה ואינו עובר. תשובה, המלוה לחברו על משכון יתבענו בפני עדים שיפדנו, ואח"כ יעכבנו שלשים יום כאלו היה תובעו לדין והיו נותנים לו שלשים יום זמן פריעה, ואח"כ ימכרנו בשומת בית דין</w:t>
      </w:r>
      <w:r w:rsidRPr="0004348D">
        <w:rPr>
          <w:rFonts w:ascii="Calibri" w:eastAsia="Calibri" w:hAnsi="Calibri" w:cs="Arial"/>
          <w:vertAlign w:val="superscript"/>
          <w:rtl/>
        </w:rPr>
        <w:footnoteReference w:id="6084"/>
      </w:r>
      <w:r w:rsidRPr="0004348D">
        <w:rPr>
          <w:rFonts w:ascii="Calibri" w:eastAsia="Calibri" w:hAnsi="Calibri" w:cs="Arial"/>
          <w:sz w:val="16"/>
          <w:szCs w:val="16"/>
          <w:rtl/>
        </w:rPr>
        <w:t xml:space="preserve"> (ל' הרא"ש)</w:t>
      </w:r>
      <w:r w:rsidRPr="0004348D">
        <w:rPr>
          <w:rFonts w:ascii="Calibri" w:eastAsia="Calibri" w:hAnsi="Calibri" w:cs="Arial"/>
          <w:vertAlign w:val="superscript"/>
          <w:rtl/>
        </w:rPr>
        <w:footnoteReference w:id="6085"/>
      </w:r>
      <w:r w:rsidRPr="0004348D">
        <w:rPr>
          <w:rFonts w:ascii="Calibri" w:eastAsia="Calibri" w:hAnsi="Calibri" w:cs="Arial"/>
          <w:rtl/>
        </w:rPr>
        <w:t>.</w:t>
      </w:r>
      <w:r w:rsidRPr="0004348D">
        <w:rPr>
          <w:rFonts w:ascii="Calibri" w:eastAsia="Calibri" w:hAnsi="Calibri" w:cs="Arial"/>
          <w:color w:val="E36C0A" w:themeColor="accent6" w:themeShade="BF"/>
          <w:rtl/>
        </w:rPr>
        <w:t xml:space="preserve"> (וכ"ס בשו"ע</w:t>
      </w:r>
      <w:r w:rsidRPr="0004348D">
        <w:rPr>
          <w:rFonts w:ascii="Calibri" w:eastAsia="Calibri" w:hAnsi="Calibri" w:cs="Arial"/>
          <w:color w:val="E36C0A" w:themeColor="accent6" w:themeShade="BF"/>
          <w:sz w:val="16"/>
          <w:szCs w:val="16"/>
          <w:rtl/>
        </w:rPr>
        <w:t xml:space="preserve"> </w:t>
      </w:r>
      <w:r w:rsidRPr="0004348D">
        <w:rPr>
          <w:rFonts w:ascii="Calibri" w:eastAsia="Calibri" w:hAnsi="Calibri" w:cs="Arial"/>
          <w:color w:val="000000" w:themeColor="text1"/>
          <w:sz w:val="16"/>
          <w:szCs w:val="16"/>
          <w:rtl/>
        </w:rPr>
        <w:t>[כאן ובסי' ק ס"ב]</w:t>
      </w:r>
      <w:r w:rsidRPr="0004348D">
        <w:rPr>
          <w:rFonts w:ascii="Calibri" w:eastAsia="Calibri" w:hAnsi="Calibri" w:cs="Arial"/>
          <w:color w:val="E36C0A" w:themeColor="accent6" w:themeShade="BF"/>
          <w:rtl/>
        </w:rPr>
        <w:t>)</w:t>
      </w:r>
    </w:p>
    <w:p w14:paraId="169DC0E5" w14:textId="77777777" w:rsidR="0004348D" w:rsidRPr="0004348D" w:rsidRDefault="0004348D" w:rsidP="0004348D">
      <w:pPr>
        <w:spacing w:before="360" w:after="240"/>
        <w:rPr>
          <w:rFonts w:ascii="Calibri" w:eastAsia="Calibri" w:hAnsi="Calibri" w:cs="Arial"/>
          <w:sz w:val="16"/>
          <w:szCs w:val="16"/>
        </w:rPr>
      </w:pPr>
      <w:r w:rsidRPr="0004348D">
        <w:rPr>
          <w:rFonts w:ascii="Calibri" w:eastAsia="Calibri" w:hAnsi="Calibri" w:cs="Arial"/>
          <w:u w:val="single"/>
          <w:rtl/>
        </w:rPr>
        <w:t>אחד שנתן משכונות לצדקה – האם יכול הגזבר למוכרן כדין הדיוט:</w:t>
      </w:r>
      <w:r w:rsidRPr="0004348D">
        <w:rPr>
          <w:rFonts w:ascii="Calibri" w:eastAsia="Calibri" w:hAnsi="Calibri" w:cs="Arial"/>
          <w:sz w:val="16"/>
          <w:szCs w:val="16"/>
          <w:rtl/>
        </w:rPr>
        <w:t xml:space="preserve">  (דרכ"מ [אות ו])</w:t>
      </w:r>
    </w:p>
    <w:p w14:paraId="3CFDBED3" w14:textId="77777777" w:rsidR="0004348D" w:rsidRPr="0004348D" w:rsidRDefault="0004348D" w:rsidP="0004348D">
      <w:pPr>
        <w:numPr>
          <w:ilvl w:val="0"/>
          <w:numId w:val="356"/>
        </w:numPr>
        <w:spacing w:before="360" w:after="240"/>
        <w:contextualSpacing/>
        <w:rPr>
          <w:rFonts w:ascii="Calibri" w:eastAsia="Calibri" w:hAnsi="Calibri" w:cs="Arial"/>
        </w:rPr>
      </w:pPr>
      <w:r w:rsidRPr="0004348D">
        <w:rPr>
          <w:rFonts w:ascii="Calibri" w:eastAsia="Calibri" w:hAnsi="Calibri" w:cs="Arial"/>
          <w:rtl/>
        </w:rPr>
        <w:t xml:space="preserve">מהרי"ק </w:t>
      </w:r>
      <w:r w:rsidRPr="0004348D">
        <w:rPr>
          <w:rFonts w:ascii="Calibri" w:eastAsia="Calibri" w:hAnsi="Calibri" w:cs="Arial"/>
          <w:sz w:val="16"/>
          <w:szCs w:val="16"/>
          <w:rtl/>
        </w:rPr>
        <w:t>(שורש קצג)</w:t>
      </w:r>
      <w:r w:rsidRPr="0004348D">
        <w:rPr>
          <w:rFonts w:ascii="Calibri" w:eastAsia="Calibri" w:hAnsi="Calibri" w:cs="Arial"/>
          <w:rtl/>
        </w:rPr>
        <w:t>- מי שנותן משכונות לצדקה - יכול גזבר למכרן כדין הדיוט, שלא יהא כח הדיוט עדיף מכח עניים</w:t>
      </w:r>
      <w:r w:rsidRPr="0004348D">
        <w:rPr>
          <w:rFonts w:ascii="Calibri" w:eastAsia="Calibri" w:hAnsi="Calibri" w:cs="Arial"/>
          <w:vertAlign w:val="superscript"/>
          <w:rtl/>
        </w:rPr>
        <w:footnoteReference w:id="6086"/>
      </w:r>
      <w:r w:rsidRPr="0004348D">
        <w:rPr>
          <w:rFonts w:ascii="Calibri" w:eastAsia="Calibri" w:hAnsi="Calibri" w:cs="Arial"/>
          <w:rtl/>
        </w:rPr>
        <w:t xml:space="preserve">. </w:t>
      </w:r>
      <w:r w:rsidRPr="0004348D">
        <w:rPr>
          <w:rFonts w:ascii="Calibri" w:eastAsia="Calibri" w:hAnsi="Calibri" w:cs="Arial"/>
          <w:color w:val="00B0F0"/>
          <w:rtl/>
        </w:rPr>
        <w:t>(וכ"פ הרמ"א)</w:t>
      </w:r>
    </w:p>
    <w:p w14:paraId="6D8E6FE1" w14:textId="77777777" w:rsidR="0004348D" w:rsidRPr="0004348D" w:rsidRDefault="0004348D" w:rsidP="0004348D">
      <w:pPr>
        <w:spacing w:before="360" w:after="240"/>
        <w:rPr>
          <w:rFonts w:ascii="Arial" w:eastAsia="Calibri" w:hAnsi="Arial" w:cs="Arial"/>
          <w:b/>
          <w:bCs/>
          <w:color w:val="000000"/>
          <w:sz w:val="28"/>
          <w:szCs w:val="28"/>
          <w:u w:val="single"/>
          <w:rtl/>
        </w:rPr>
      </w:pPr>
      <w:r w:rsidRPr="0004348D">
        <w:rPr>
          <w:rFonts w:ascii="Arial" w:eastAsia="Calibri" w:hAnsi="Arial" w:cs="Arial"/>
          <w:b/>
          <w:bCs/>
          <w:color w:val="000000"/>
          <w:sz w:val="28"/>
          <w:szCs w:val="28"/>
          <w:u w:val="single"/>
          <w:rtl/>
        </w:rPr>
        <w:t>שו"ע:</w:t>
      </w:r>
    </w:p>
    <w:p w14:paraId="0C66F2AB" w14:textId="77777777" w:rsidR="0004348D" w:rsidRPr="0004348D" w:rsidRDefault="0004348D" w:rsidP="0004348D">
      <w:pPr>
        <w:spacing w:before="360" w:after="240"/>
        <w:rPr>
          <w:rFonts w:ascii="Calibri" w:eastAsia="Calibri" w:hAnsi="Calibri" w:cs="Arial"/>
          <w:rtl/>
        </w:rPr>
      </w:pPr>
      <w:r w:rsidRPr="0004348D">
        <w:rPr>
          <w:rFonts w:ascii="Calibri" w:eastAsia="Calibri" w:hAnsi="Calibri" w:cs="Arial"/>
          <w:rtl/>
        </w:rPr>
        <w:t>יש מי שאומר שאף על פי שעבר זמן הלואה, צריך להמתין מלמכור המשכון שלשים יום אחר תביעה</w:t>
      </w:r>
      <w:r w:rsidRPr="0004348D">
        <w:rPr>
          <w:rFonts w:ascii="Calibri" w:eastAsia="Calibri" w:hAnsi="Calibri" w:cs="Arial"/>
          <w:vertAlign w:val="superscript"/>
          <w:rtl/>
        </w:rPr>
        <w:footnoteReference w:id="6087"/>
      </w:r>
      <w:r w:rsidRPr="0004348D">
        <w:rPr>
          <w:rFonts w:ascii="Calibri" w:eastAsia="Calibri" w:hAnsi="Calibri" w:cs="Arial"/>
          <w:rtl/>
        </w:rPr>
        <w:t xml:space="preserve">. </w:t>
      </w:r>
      <w:r w:rsidRPr="0004348D">
        <w:rPr>
          <w:rFonts w:ascii="Calibri" w:eastAsia="Calibri" w:hAnsi="Calibri" w:cs="Arial"/>
          <w:sz w:val="18"/>
          <w:szCs w:val="18"/>
          <w:rtl/>
        </w:rPr>
        <w:t xml:space="preserve">הגה: ואין צריך לתובעו בב"ד, רק יתבענו בפני עדים שיפרענו, ואח"כ יעכבנו ל' יום וימכרנו </w:t>
      </w:r>
      <w:r w:rsidRPr="0004348D">
        <w:rPr>
          <w:rFonts w:ascii="Calibri" w:eastAsia="Calibri" w:hAnsi="Calibri" w:cs="Arial"/>
          <w:sz w:val="16"/>
          <w:szCs w:val="16"/>
          <w:rtl/>
        </w:rPr>
        <w:t>(תשו' הרא"ש)</w:t>
      </w:r>
      <w:r w:rsidRPr="0004348D">
        <w:rPr>
          <w:rFonts w:ascii="Calibri" w:eastAsia="Calibri" w:hAnsi="Calibri" w:cs="Arial"/>
          <w:sz w:val="18"/>
          <w:szCs w:val="18"/>
          <w:rtl/>
        </w:rPr>
        <w:t xml:space="preserve">. ואפילו אם תבעו רק בינו לבינו, מהני, אם הלוה מודה בכך </w:t>
      </w:r>
      <w:r w:rsidRPr="0004348D">
        <w:rPr>
          <w:rFonts w:ascii="Calibri" w:eastAsia="Calibri" w:hAnsi="Calibri" w:cs="Arial"/>
          <w:sz w:val="16"/>
          <w:szCs w:val="16"/>
          <w:rtl/>
        </w:rPr>
        <w:t>(ד"ע לישב תשובות הרא"ש דסתרי אהדדי)</w:t>
      </w:r>
      <w:r w:rsidRPr="0004348D">
        <w:rPr>
          <w:rFonts w:ascii="Calibri" w:eastAsia="Calibri" w:hAnsi="Calibri" w:cs="Arial"/>
          <w:sz w:val="18"/>
          <w:szCs w:val="18"/>
          <w:rtl/>
        </w:rPr>
        <w:t>. וי"א דבמקום שהמנהג שהמלוה לגוי לא יוכל למוכרו בפחות משנה, דנין גם כן בישראל שהלוה לחבירו על המשכון, דאזלינן בזה אחר המנהג</w:t>
      </w:r>
      <w:r w:rsidRPr="0004348D">
        <w:rPr>
          <w:rFonts w:ascii="Calibri" w:eastAsia="Calibri" w:hAnsi="Calibri" w:cs="Arial"/>
          <w:sz w:val="18"/>
          <w:szCs w:val="18"/>
          <w:vertAlign w:val="superscript"/>
          <w:rtl/>
        </w:rPr>
        <w:footnoteReference w:id="6088"/>
      </w:r>
      <w:r w:rsidRPr="0004348D">
        <w:rPr>
          <w:rFonts w:ascii="Calibri" w:eastAsia="Calibri" w:hAnsi="Calibri" w:cs="Arial"/>
          <w:sz w:val="18"/>
          <w:szCs w:val="18"/>
          <w:rtl/>
        </w:rPr>
        <w:t xml:space="preserve"> </w:t>
      </w:r>
      <w:r w:rsidRPr="0004348D">
        <w:rPr>
          <w:rFonts w:ascii="Calibri" w:eastAsia="Calibri" w:hAnsi="Calibri" w:cs="Arial"/>
          <w:sz w:val="16"/>
          <w:szCs w:val="16"/>
          <w:rtl/>
        </w:rPr>
        <w:t>(מרדכי פ' הגוזל בתרא)</w:t>
      </w:r>
      <w:r w:rsidRPr="0004348D">
        <w:rPr>
          <w:rFonts w:ascii="Calibri" w:eastAsia="Calibri" w:hAnsi="Calibri" w:cs="Arial"/>
          <w:sz w:val="18"/>
          <w:szCs w:val="18"/>
          <w:rtl/>
        </w:rPr>
        <w:t xml:space="preserve">. מי שנתן משכון לצדקה בעד מה שחייב, הגבאי יכול למכרו, כדין ההדיוט שמלוה על המשכון </w:t>
      </w:r>
      <w:r w:rsidRPr="0004348D">
        <w:rPr>
          <w:rFonts w:ascii="Calibri" w:eastAsia="Calibri" w:hAnsi="Calibri" w:cs="Arial"/>
          <w:sz w:val="16"/>
          <w:szCs w:val="16"/>
          <w:rtl/>
        </w:rPr>
        <w:t>(מהרי"ק שורש קצג)</w:t>
      </w:r>
      <w:r w:rsidRPr="0004348D">
        <w:rPr>
          <w:rFonts w:ascii="Calibri" w:eastAsia="Calibri" w:hAnsi="Calibri" w:cs="Arial"/>
          <w:sz w:val="18"/>
          <w:szCs w:val="18"/>
          <w:rtl/>
        </w:rPr>
        <w:t>.</w:t>
      </w:r>
      <w:r w:rsidRPr="0004348D">
        <w:rPr>
          <w:rFonts w:ascii="Calibri" w:eastAsia="Calibri" w:hAnsi="Calibri" w:cs="Arial"/>
          <w:rtl/>
        </w:rPr>
        <w:t xml:space="preserve"> </w:t>
      </w:r>
    </w:p>
    <w:p w14:paraId="64783B32" w14:textId="77777777" w:rsidR="0004348D" w:rsidRPr="0004348D" w:rsidRDefault="0004348D" w:rsidP="0004348D">
      <w:pPr>
        <w:spacing w:before="360" w:after="240"/>
        <w:rPr>
          <w:rFonts w:ascii="Calibri" w:eastAsia="Calibri" w:hAnsi="Calibri" w:cs="Arial"/>
          <w:rtl/>
        </w:rPr>
      </w:pPr>
      <w:r w:rsidRPr="0004348D">
        <w:rPr>
          <w:rFonts w:ascii="Calibri" w:eastAsia="Calibri" w:hAnsi="Calibri" w:cs="Arial"/>
          <w:rtl/>
        </w:rPr>
        <w:tab/>
      </w:r>
    </w:p>
    <w:p w14:paraId="7383EC64" w14:textId="77777777" w:rsidR="0004348D" w:rsidRPr="0004348D" w:rsidRDefault="0004348D" w:rsidP="0004348D">
      <w:pPr>
        <w:keepNext/>
        <w:keepLines/>
        <w:spacing w:before="360" w:after="240"/>
        <w:outlineLvl w:val="1"/>
        <w:rPr>
          <w:rFonts w:ascii="Cambria" w:eastAsia="Times New Roman" w:hAnsi="Cambria" w:cs="Arial"/>
          <w:bCs/>
          <w:color w:val="548DD4" w:themeColor="text2" w:themeTint="99"/>
          <w:sz w:val="26"/>
          <w:szCs w:val="26"/>
          <w:rtl/>
        </w:rPr>
      </w:pPr>
      <w:bookmarkStart w:id="904" w:name="_Toc24884278"/>
      <w:r w:rsidRPr="0004348D">
        <w:rPr>
          <w:rFonts w:ascii="Cambria" w:eastAsia="Times New Roman" w:hAnsi="Cambria" w:cs="Arial"/>
          <w:bCs/>
          <w:color w:val="548DD4" w:themeColor="text2" w:themeTint="99"/>
          <w:sz w:val="26"/>
          <w:szCs w:val="26"/>
          <w:rtl/>
        </w:rPr>
        <w:t>סעיף טו: מכירת משכון על פי בית דין.</w:t>
      </w:r>
      <w:bookmarkEnd w:id="904"/>
    </w:p>
    <w:p w14:paraId="2710A281" w14:textId="77777777" w:rsidR="0004348D" w:rsidRPr="0004348D" w:rsidRDefault="0004348D" w:rsidP="0004348D">
      <w:pPr>
        <w:spacing w:before="360" w:after="240"/>
        <w:rPr>
          <w:rFonts w:ascii="Calibri" w:eastAsia="Calibri" w:hAnsi="Calibri" w:cs="Arial"/>
          <w:u w:val="single"/>
          <w:rtl/>
        </w:rPr>
      </w:pPr>
      <w:r w:rsidRPr="0004348D">
        <w:rPr>
          <w:rFonts w:ascii="Calibri" w:eastAsia="Calibri" w:hAnsi="Calibri" w:cs="Arial"/>
          <w:u w:val="single"/>
          <w:rtl/>
        </w:rPr>
        <w:t>אדם שרוצה למכור את משכון חברו - האם חובה עליו למכור את המשכון על פי בית דין:</w:t>
      </w:r>
    </w:p>
    <w:p w14:paraId="4436F12D" w14:textId="77777777" w:rsidR="0004348D" w:rsidRPr="0004348D" w:rsidRDefault="0004348D" w:rsidP="0004348D">
      <w:pPr>
        <w:numPr>
          <w:ilvl w:val="0"/>
          <w:numId w:val="356"/>
        </w:numPr>
        <w:spacing w:before="360" w:after="240"/>
        <w:contextualSpacing/>
        <w:rPr>
          <w:rFonts w:ascii="Calibri" w:eastAsia="Calibri" w:hAnsi="Calibri" w:cs="Arial"/>
        </w:rPr>
      </w:pPr>
      <w:r w:rsidRPr="0004348D">
        <w:rPr>
          <w:rFonts w:ascii="Calibri" w:eastAsia="Calibri" w:hAnsi="Calibri" w:cs="Arial"/>
          <w:rtl/>
        </w:rPr>
        <w:t xml:space="preserve">ריב"ש </w:t>
      </w:r>
      <w:r w:rsidRPr="0004348D">
        <w:rPr>
          <w:rFonts w:ascii="Calibri" w:eastAsia="Calibri" w:hAnsi="Calibri" w:cs="Arial"/>
          <w:sz w:val="16"/>
          <w:szCs w:val="16"/>
          <w:rtl/>
        </w:rPr>
        <w:t>(סי' שצו)</w:t>
      </w:r>
      <w:r w:rsidRPr="0004348D">
        <w:rPr>
          <w:rFonts w:ascii="Calibri" w:eastAsia="Calibri" w:hAnsi="Calibri" w:cs="Arial"/>
          <w:rtl/>
        </w:rPr>
        <w:t xml:space="preserve">- כתוב בספר המקח </w:t>
      </w:r>
      <w:r w:rsidRPr="0004348D">
        <w:rPr>
          <w:rFonts w:ascii="Calibri" w:eastAsia="Calibri" w:hAnsi="Calibri" w:cs="Arial"/>
          <w:sz w:val="16"/>
          <w:szCs w:val="16"/>
          <w:rtl/>
        </w:rPr>
        <w:t xml:space="preserve">(שער ו) </w:t>
      </w:r>
      <w:r w:rsidRPr="0004348D">
        <w:rPr>
          <w:rFonts w:ascii="Calibri" w:eastAsia="Calibri" w:hAnsi="Calibri" w:cs="Arial"/>
          <w:rtl/>
        </w:rPr>
        <w:t xml:space="preserve">שמי שיש בידו משכון של חבירו לא ימכרנו אלא בבית דין כדתנן ומשלשים יום ולהלן מוכרו בבית דין... ועפ"ז יש לבאר דברי הרמב"ם שכתב </w:t>
      </w:r>
      <w:r w:rsidRPr="0004348D">
        <w:rPr>
          <w:rFonts w:ascii="Calibri" w:eastAsia="Calibri" w:hAnsi="Calibri" w:cs="Arial"/>
          <w:sz w:val="16"/>
          <w:szCs w:val="16"/>
          <w:rtl/>
        </w:rPr>
        <w:t>(פי"ג ממלוה)</w:t>
      </w:r>
      <w:r w:rsidRPr="0004348D">
        <w:rPr>
          <w:rFonts w:ascii="Calibri" w:eastAsia="Calibri" w:hAnsi="Calibri" w:cs="Arial"/>
          <w:rtl/>
        </w:rPr>
        <w:t xml:space="preserve">- 'מלוה שבא לב"ד והביא משכון בידו ואמר זה משכונו של פלוני הוא ואני רוצה למכרו וכו' ומשיאין לו עצה למכרו בפני עדים', ולא הוצרך הרמב"ם להזכיר דין המכירה בבית דין שכבר הזכיר בפ"ג </w:t>
      </w:r>
      <w:r w:rsidRPr="0004348D">
        <w:rPr>
          <w:rFonts w:ascii="Calibri" w:eastAsia="Calibri" w:hAnsi="Calibri" w:cs="Arial"/>
          <w:sz w:val="16"/>
          <w:szCs w:val="16"/>
          <w:rtl/>
        </w:rPr>
        <w:t xml:space="preserve">(ה"ו) </w:t>
      </w:r>
      <w:r w:rsidRPr="0004348D">
        <w:rPr>
          <w:rFonts w:ascii="Calibri" w:eastAsia="Calibri" w:hAnsi="Calibri" w:cs="Arial"/>
          <w:rtl/>
        </w:rPr>
        <w:t xml:space="preserve">דין 'משלשים יום ואילך מוכרו בבית דין'. וגם זה בבית דין מוכרו רוצה לומר - בית דין הדיוטות שהם בקיאים בשומא. ואמנם אפשר לדעת הרמב"ם שאף אם הלוה בעיר אין צריך להזמינו לדין ולא להודיעו, או אפשר שדבריו כשאין הלוה בעיר, וזה נראה יותר... ובחו"מ </w:t>
      </w:r>
      <w:r w:rsidRPr="0004348D">
        <w:rPr>
          <w:rFonts w:ascii="Calibri" w:eastAsia="Calibri" w:hAnsi="Calibri" w:cs="Arial"/>
          <w:sz w:val="16"/>
          <w:szCs w:val="16"/>
          <w:rtl/>
        </w:rPr>
        <w:t xml:space="preserve">(כאן סי"ט-כ) </w:t>
      </w:r>
      <w:r w:rsidRPr="0004348D">
        <w:rPr>
          <w:rFonts w:ascii="Calibri" w:eastAsia="Calibri" w:hAnsi="Calibri" w:cs="Arial"/>
          <w:rtl/>
        </w:rPr>
        <w:t xml:space="preserve">כתב-... 'אבל הרמב"ם'... ונראה שהבין מדברי הרמב"ם שאין צריך לב"ד להודיע ללוה אף אם הוא בעיר, אבל במכירה בלא בית דין ליכא מאן דפליג... וכן דעת הרא"ש </w:t>
      </w:r>
      <w:r w:rsidRPr="0004348D">
        <w:rPr>
          <w:rFonts w:ascii="Calibri" w:eastAsia="Calibri" w:hAnsi="Calibri" w:cs="Arial"/>
          <w:sz w:val="16"/>
          <w:szCs w:val="16"/>
          <w:rtl/>
        </w:rPr>
        <w:t xml:space="preserve">(כלל צ סי' ד וסי' ז) </w:t>
      </w:r>
      <w:r w:rsidRPr="0004348D">
        <w:rPr>
          <w:rFonts w:ascii="Calibri" w:eastAsia="Calibri" w:hAnsi="Calibri" w:cs="Arial"/>
          <w:rtl/>
        </w:rPr>
        <w:t xml:space="preserve">שצריך בית דין... וכ"כ בחידושי מציעא לחכם הגדול דון אשטרוק קרישקאש דמשכון צריך שומת בית דין. הנה כל הנביאים פה אחד שאין משכון נמכר אלא בשומת בית דין, וכיון שכן אם מכרו - לא עשה כלום והמכר מתבטל אע"פ שלא טעה, כדאמרינן בב"ד שמכרו שלא בהכרזה </w:t>
      </w:r>
      <w:r w:rsidRPr="0004348D">
        <w:rPr>
          <w:rFonts w:ascii="Calibri" w:eastAsia="Calibri" w:hAnsi="Calibri" w:cs="Arial"/>
          <w:sz w:val="16"/>
          <w:szCs w:val="16"/>
          <w:rtl/>
        </w:rPr>
        <w:t xml:space="preserve">(כתובות ק:) </w:t>
      </w:r>
      <w:r w:rsidRPr="0004348D">
        <w:rPr>
          <w:rFonts w:ascii="Calibri" w:eastAsia="Calibri" w:hAnsi="Calibri" w:cs="Arial"/>
          <w:rtl/>
        </w:rPr>
        <w:t xml:space="preserve">וכן באלמנה שלא מכרה בב"ד הדיוטות או ששמה לעצמה </w:t>
      </w:r>
      <w:r w:rsidRPr="0004348D">
        <w:rPr>
          <w:rFonts w:ascii="Calibri" w:eastAsia="Calibri" w:hAnsi="Calibri" w:cs="Arial"/>
          <w:sz w:val="16"/>
          <w:szCs w:val="16"/>
          <w:rtl/>
        </w:rPr>
        <w:t>(שם צח.)</w:t>
      </w:r>
      <w:r w:rsidRPr="0004348D">
        <w:rPr>
          <w:rFonts w:ascii="Calibri" w:eastAsia="Calibri" w:hAnsi="Calibri" w:cs="Arial"/>
          <w:rtl/>
        </w:rPr>
        <w:t>.</w:t>
      </w:r>
      <w:r w:rsidRPr="0004348D">
        <w:rPr>
          <w:rFonts w:ascii="Calibri" w:eastAsia="Calibri" w:hAnsi="Calibri" w:cs="Arial"/>
          <w:color w:val="E36C0A" w:themeColor="accent6" w:themeShade="BF"/>
          <w:rtl/>
        </w:rPr>
        <w:t xml:space="preserve"> (וכ"פ בשו"ע)</w:t>
      </w:r>
    </w:p>
    <w:p w14:paraId="0ACF1BAD" w14:textId="77777777" w:rsidR="0004348D" w:rsidRPr="0004348D" w:rsidRDefault="0004348D" w:rsidP="0004348D">
      <w:pPr>
        <w:spacing w:before="360" w:after="240"/>
        <w:ind w:left="360"/>
        <w:rPr>
          <w:rFonts w:ascii="Calibri" w:eastAsia="Calibri" w:hAnsi="Calibri" w:cs="Arial"/>
          <w:u w:val="dotted"/>
        </w:rPr>
      </w:pPr>
      <w:bookmarkStart w:id="905" w:name="_Hlk17908826"/>
      <w:r w:rsidRPr="0004348D">
        <w:rPr>
          <w:rFonts w:ascii="Calibri" w:eastAsia="Calibri" w:hAnsi="Calibri" w:cs="Arial"/>
          <w:u w:val="dotted"/>
          <w:rtl/>
        </w:rPr>
        <w:t>כיצד מכירת המשכון ע"פ בית דין:</w:t>
      </w:r>
    </w:p>
    <w:p w14:paraId="46656489" w14:textId="77777777" w:rsidR="0004348D" w:rsidRPr="0004348D" w:rsidRDefault="0004348D" w:rsidP="0004348D">
      <w:pPr>
        <w:numPr>
          <w:ilvl w:val="0"/>
          <w:numId w:val="356"/>
        </w:numPr>
        <w:spacing w:before="360" w:after="240"/>
        <w:contextualSpacing/>
        <w:rPr>
          <w:rFonts w:ascii="Calibri" w:eastAsia="Calibri" w:hAnsi="Calibri" w:cs="Arial"/>
          <w:rtl/>
        </w:rPr>
      </w:pPr>
      <w:r w:rsidRPr="0004348D">
        <w:rPr>
          <w:rFonts w:ascii="Calibri" w:eastAsia="Calibri" w:hAnsi="Calibri" w:cs="Arial"/>
          <w:rtl/>
        </w:rPr>
        <w:t xml:space="preserve">רא"ש </w:t>
      </w:r>
      <w:r w:rsidRPr="0004348D">
        <w:rPr>
          <w:rFonts w:ascii="Calibri" w:eastAsia="Calibri" w:hAnsi="Calibri" w:cs="Arial"/>
          <w:sz w:val="16"/>
          <w:szCs w:val="16"/>
          <w:rtl/>
        </w:rPr>
        <w:t>(כלל צ סי' ז)</w:t>
      </w:r>
      <w:r w:rsidRPr="0004348D">
        <w:rPr>
          <w:rFonts w:ascii="Calibri" w:eastAsia="Calibri" w:hAnsi="Calibri" w:cs="Arial"/>
          <w:rtl/>
        </w:rPr>
        <w:t xml:space="preserve"> וטור- מי שיש בידו משכון א"צ להביא בעל המשכון לפני הדיינין ולהזהירו שיפדה משכונו, אלא, לאחר שיזהירנו בינו לבינו</w:t>
      </w:r>
      <w:r w:rsidRPr="0004348D">
        <w:rPr>
          <w:rFonts w:ascii="Calibri" w:eastAsia="Calibri" w:hAnsi="Calibri" w:cs="Arial"/>
          <w:vertAlign w:val="superscript"/>
          <w:rtl/>
        </w:rPr>
        <w:footnoteReference w:id="6089"/>
      </w:r>
      <w:r w:rsidRPr="0004348D">
        <w:rPr>
          <w:rFonts w:ascii="Calibri" w:eastAsia="Calibri" w:hAnsi="Calibri" w:cs="Arial"/>
          <w:rtl/>
        </w:rPr>
        <w:t xml:space="preserve"> שיפדה משכונו ואם לאו שימכרנו, יקח ג' שמאים</w:t>
      </w:r>
      <w:r w:rsidRPr="0004348D">
        <w:rPr>
          <w:rFonts w:ascii="Calibri" w:eastAsia="Calibri" w:hAnsi="Calibri" w:cs="Arial"/>
          <w:vertAlign w:val="superscript"/>
          <w:rtl/>
        </w:rPr>
        <w:footnoteReference w:id="6090"/>
      </w:r>
      <w:r w:rsidRPr="0004348D">
        <w:rPr>
          <w:rFonts w:ascii="Calibri" w:eastAsia="Calibri" w:hAnsi="Calibri" w:cs="Arial"/>
          <w:rtl/>
        </w:rPr>
        <w:t xml:space="preserve"> וישומו המשכון כמה הוא </w:t>
      </w:r>
      <w:bookmarkEnd w:id="905"/>
      <w:r w:rsidRPr="0004348D">
        <w:rPr>
          <w:rFonts w:ascii="Calibri" w:eastAsia="Calibri" w:hAnsi="Calibri" w:cs="Arial"/>
          <w:rtl/>
        </w:rPr>
        <w:t>שוה לימכר בשוק, וימכרנו באותה שומא. ואם לא שם אותו אלא נתנו בפני עדים לסרסור גוי הממונה ע"פ השופט, אם יודעים כמה הוא שוה - יעידו העדים ועל פיהם יפרע לו המותר</w:t>
      </w:r>
      <w:r w:rsidRPr="0004348D">
        <w:rPr>
          <w:rFonts w:ascii="Calibri" w:eastAsia="Calibri" w:hAnsi="Calibri" w:cs="Arial"/>
          <w:vertAlign w:val="superscript"/>
          <w:rtl/>
        </w:rPr>
        <w:footnoteReference w:id="6091"/>
      </w:r>
      <w:r w:rsidRPr="0004348D">
        <w:rPr>
          <w:rFonts w:ascii="Calibri" w:eastAsia="Calibri" w:hAnsi="Calibri" w:cs="Arial"/>
          <w:rtl/>
        </w:rPr>
        <w:t>. ואם אין עדים יודעים כמה היה שוה והמלוה אומר היה שוה כך וכך - ישבע</w:t>
      </w:r>
      <w:r w:rsidRPr="0004348D">
        <w:rPr>
          <w:rFonts w:ascii="Calibri" w:eastAsia="Calibri" w:hAnsi="Calibri" w:cs="Arial"/>
          <w:vertAlign w:val="superscript"/>
          <w:rtl/>
        </w:rPr>
        <w:footnoteReference w:id="6092"/>
      </w:r>
      <w:r w:rsidRPr="0004348D">
        <w:rPr>
          <w:rFonts w:ascii="Calibri" w:eastAsia="Calibri" w:hAnsi="Calibri" w:cs="Arial"/>
          <w:rtl/>
        </w:rPr>
        <w:t xml:space="preserve"> שהוא כדבריו ויפרע לו המותר ע"פ שבועתו. ואם אינו יודע כמה היה שוה או אינו רוצה לישבע - ישבע הלוה כמה היה שוה, ויפרע לו המלוה מה ששוה יותר על חובו</w:t>
      </w:r>
      <w:r w:rsidRPr="0004348D">
        <w:rPr>
          <w:rFonts w:ascii="Calibri" w:eastAsia="Calibri" w:hAnsi="Calibri" w:cs="Arial"/>
          <w:sz w:val="16"/>
          <w:szCs w:val="16"/>
          <w:rtl/>
        </w:rPr>
        <w:t xml:space="preserve"> (ל' הטור בשם הרא"ש)</w:t>
      </w:r>
      <w:r w:rsidRPr="0004348D">
        <w:rPr>
          <w:rFonts w:ascii="Calibri" w:eastAsia="Calibri" w:hAnsi="Calibri" w:cs="Arial"/>
          <w:rtl/>
        </w:rPr>
        <w:t xml:space="preserve">. </w:t>
      </w:r>
      <w:r w:rsidRPr="0004348D">
        <w:rPr>
          <w:rFonts w:ascii="Calibri" w:eastAsia="Calibri" w:hAnsi="Calibri" w:cs="Arial"/>
          <w:color w:val="E36C0A" w:themeColor="accent6" w:themeShade="BF"/>
          <w:rtl/>
        </w:rPr>
        <w:t>(וכ"פ בשו"ע)</w:t>
      </w:r>
    </w:p>
    <w:p w14:paraId="3ACEA773" w14:textId="77777777" w:rsidR="0004348D" w:rsidRPr="0004348D" w:rsidRDefault="0004348D" w:rsidP="0004348D">
      <w:pPr>
        <w:spacing w:before="360" w:after="240"/>
        <w:rPr>
          <w:rFonts w:ascii="Calibri" w:eastAsia="Calibri" w:hAnsi="Calibri" w:cs="Arial"/>
          <w:u w:val="single"/>
        </w:rPr>
      </w:pPr>
      <w:r w:rsidRPr="0004348D">
        <w:rPr>
          <w:rFonts w:ascii="Calibri" w:eastAsia="Calibri" w:hAnsi="Calibri" w:cs="Arial"/>
          <w:u w:val="single"/>
          <w:rtl/>
        </w:rPr>
        <w:t>המלוה לחבירו על המשכון ומת הלוה והמלוה:</w:t>
      </w:r>
    </w:p>
    <w:p w14:paraId="24FAABCA" w14:textId="77777777" w:rsidR="0004348D" w:rsidRPr="0004348D" w:rsidRDefault="0004348D" w:rsidP="0004348D">
      <w:pPr>
        <w:numPr>
          <w:ilvl w:val="0"/>
          <w:numId w:val="356"/>
        </w:numPr>
        <w:spacing w:before="360" w:after="240"/>
        <w:contextualSpacing/>
        <w:rPr>
          <w:rFonts w:ascii="Calibri" w:eastAsia="Calibri" w:hAnsi="Calibri" w:cs="Arial"/>
          <w:rtl/>
        </w:rPr>
      </w:pPr>
      <w:r w:rsidRPr="0004348D">
        <w:rPr>
          <w:rFonts w:ascii="Calibri" w:eastAsia="Calibri" w:hAnsi="Calibri" w:cs="Arial"/>
          <w:rtl/>
        </w:rPr>
        <w:t xml:space="preserve">רמב"ם </w:t>
      </w:r>
      <w:r w:rsidRPr="0004348D">
        <w:rPr>
          <w:rFonts w:ascii="Calibri" w:eastAsia="Calibri" w:hAnsi="Calibri" w:cs="Arial"/>
          <w:sz w:val="16"/>
          <w:szCs w:val="16"/>
          <w:rtl/>
        </w:rPr>
        <w:t>(פי"ג ממלוה ה"ג)</w:t>
      </w:r>
      <w:r w:rsidRPr="0004348D">
        <w:rPr>
          <w:rFonts w:ascii="Calibri" w:eastAsia="Calibri" w:hAnsi="Calibri" w:cs="Arial"/>
          <w:rtl/>
        </w:rPr>
        <w:t xml:space="preserve"> וטור- המלוה את חבירו על המשכון ומת הלוה והמלוה, בין שמת הלוה תחלה בין שמת מלוה תחלה, הואיל והוא נפרע ממה שתחת ידו ואילו רצה לומר לקוח הוא בידי אומר - ה"ז נשבע בנקיטת חפץ ונוטל, כדרך כל הנשבעין ונוטלין</w:t>
      </w:r>
      <w:r w:rsidRPr="0004348D">
        <w:rPr>
          <w:rFonts w:ascii="Calibri" w:eastAsia="Calibri" w:hAnsi="Calibri" w:cs="Arial"/>
          <w:sz w:val="16"/>
          <w:szCs w:val="16"/>
          <w:rtl/>
        </w:rPr>
        <w:t xml:space="preserve"> (ל' הרמב"ם)</w:t>
      </w:r>
      <w:r w:rsidRPr="0004348D">
        <w:rPr>
          <w:rFonts w:ascii="Calibri" w:eastAsia="Calibri" w:hAnsi="Calibri" w:cs="Arial"/>
          <w:vertAlign w:val="superscript"/>
          <w:rtl/>
        </w:rPr>
        <w:footnoteReference w:id="6093"/>
      </w:r>
      <w:r w:rsidRPr="0004348D">
        <w:rPr>
          <w:rFonts w:ascii="Calibri" w:eastAsia="Calibri" w:hAnsi="Calibri" w:cs="Arial"/>
          <w:rtl/>
        </w:rPr>
        <w:t xml:space="preserve">. </w:t>
      </w:r>
    </w:p>
    <w:p w14:paraId="3F9D2306" w14:textId="77777777" w:rsidR="0004348D" w:rsidRPr="0004348D" w:rsidRDefault="0004348D" w:rsidP="0004348D">
      <w:pPr>
        <w:spacing w:before="360" w:after="240"/>
        <w:rPr>
          <w:rFonts w:ascii="Arial" w:eastAsia="Calibri" w:hAnsi="Arial" w:cs="Arial"/>
          <w:b/>
          <w:bCs/>
          <w:color w:val="000000"/>
          <w:sz w:val="28"/>
          <w:szCs w:val="28"/>
          <w:u w:val="single"/>
          <w:rtl/>
        </w:rPr>
      </w:pPr>
      <w:r w:rsidRPr="0004348D">
        <w:rPr>
          <w:rFonts w:ascii="Arial" w:eastAsia="Calibri" w:hAnsi="Arial" w:cs="Arial"/>
          <w:b/>
          <w:bCs/>
          <w:color w:val="000000"/>
          <w:sz w:val="28"/>
          <w:szCs w:val="28"/>
          <w:u w:val="single"/>
          <w:rtl/>
        </w:rPr>
        <w:t>שו"ע:</w:t>
      </w:r>
    </w:p>
    <w:p w14:paraId="0A557154" w14:textId="77777777" w:rsidR="0004348D" w:rsidRPr="0004348D" w:rsidRDefault="0004348D" w:rsidP="0004348D">
      <w:pPr>
        <w:spacing w:before="360" w:after="240"/>
        <w:rPr>
          <w:rFonts w:ascii="Calibri" w:eastAsia="Calibri" w:hAnsi="Calibri" w:cs="Arial"/>
          <w:rtl/>
        </w:rPr>
      </w:pPr>
      <w:r w:rsidRPr="0004348D">
        <w:rPr>
          <w:rFonts w:ascii="Calibri" w:eastAsia="Calibri" w:hAnsi="Calibri" w:cs="Arial"/>
          <w:rtl/>
        </w:rPr>
        <w:t>מי שיש בידו משכון של חבירו, לא ימכרנו אלא בבית דין, רוצה לומר בית דין של שלשה הדיוטות. וישומו אותו כמה הוא שוה כמוכר בשוק, וימכרנו באותה שומא שיתנו לו רשות למכור הבקיאים בשומא. ומשיאין לו עצה למכרו בעדים, כדי שלא יאמר הלוה שנמכר ביותר מהשומא. ואם מכרו שלא בשומא של שלשה שמאין, לא עשה כלום והמכר בטל אף על פי שלא טעה</w:t>
      </w:r>
      <w:r w:rsidRPr="0004348D">
        <w:rPr>
          <w:rFonts w:ascii="Calibri" w:eastAsia="Calibri" w:hAnsi="Calibri" w:cs="Arial"/>
          <w:vertAlign w:val="superscript"/>
          <w:rtl/>
        </w:rPr>
        <w:footnoteReference w:id="6094"/>
      </w:r>
      <w:r w:rsidRPr="0004348D">
        <w:rPr>
          <w:rFonts w:ascii="Calibri" w:eastAsia="Calibri" w:hAnsi="Calibri" w:cs="Arial"/>
          <w:rtl/>
        </w:rPr>
        <w:t>. ואם הוא בענין שאי אפשר להחזיר המכר, כיון שמכרו שלא בשומת ג' בקיאין אף על פי שהודיע ללוה, חייב לפרוע כמו שהיה שוה בשעת המכירה אם יש עדים שיודעים כמה היה שוה באותה שעה. ואם יאמרו שהיה שוה יותר מחובו, יפרע לו המותר. ואם אין עדים והמלוה אומר שהיה שוה כך יותר מחובו, ישבע שהוא כדבריו ויפרע לו. ואם אינו יודע כמה היה שוה</w:t>
      </w:r>
      <w:r w:rsidRPr="0004348D">
        <w:rPr>
          <w:rFonts w:ascii="Calibri" w:eastAsia="Calibri" w:hAnsi="Calibri" w:cs="Arial"/>
          <w:vertAlign w:val="superscript"/>
          <w:rtl/>
        </w:rPr>
        <w:footnoteReference w:id="6095"/>
      </w:r>
      <w:r w:rsidRPr="0004348D">
        <w:rPr>
          <w:rFonts w:ascii="Calibri" w:eastAsia="Calibri" w:hAnsi="Calibri" w:cs="Arial"/>
          <w:rtl/>
        </w:rPr>
        <w:t xml:space="preserve"> או אינו רוצה לישבע, ישבע הלוה כמה היה שוה, ויפרע לו המלוה מה שהיה שוה יותר על חובו.</w:t>
      </w:r>
      <w:r w:rsidRPr="0004348D">
        <w:rPr>
          <w:rFonts w:ascii="Calibri" w:eastAsia="Calibri" w:hAnsi="Calibri" w:cs="Arial"/>
          <w:sz w:val="18"/>
          <w:szCs w:val="18"/>
          <w:rtl/>
        </w:rPr>
        <w:t xml:space="preserve"> [הגה] וה"ה אם המלוה אומר שצוהו למכרו, והלוה כופר, המלוה נשבע (מהרי"ק שורש קצד).</w:t>
      </w:r>
    </w:p>
    <w:p w14:paraId="0AE95652" w14:textId="77777777" w:rsidR="0004348D" w:rsidRPr="0004348D" w:rsidRDefault="0004348D" w:rsidP="0004348D">
      <w:pPr>
        <w:spacing w:before="360" w:after="240"/>
        <w:rPr>
          <w:rFonts w:ascii="Calibri" w:eastAsia="Calibri" w:hAnsi="Calibri" w:cs="Arial"/>
          <w:rtl/>
        </w:rPr>
      </w:pPr>
    </w:p>
    <w:p w14:paraId="34A1411C" w14:textId="77777777" w:rsidR="0004348D" w:rsidRPr="0004348D" w:rsidRDefault="0004348D" w:rsidP="0004348D">
      <w:pPr>
        <w:keepNext/>
        <w:keepLines/>
        <w:spacing w:before="360" w:after="240"/>
        <w:outlineLvl w:val="1"/>
        <w:rPr>
          <w:rFonts w:ascii="Cambria" w:eastAsia="Times New Roman" w:hAnsi="Cambria" w:cs="Arial"/>
          <w:bCs/>
          <w:color w:val="548DD4" w:themeColor="text2" w:themeTint="99"/>
          <w:sz w:val="26"/>
          <w:szCs w:val="26"/>
          <w:rtl/>
        </w:rPr>
      </w:pPr>
      <w:bookmarkStart w:id="906" w:name="_Toc24884279"/>
      <w:r w:rsidRPr="0004348D">
        <w:rPr>
          <w:rFonts w:ascii="Cambria" w:eastAsia="Times New Roman" w:hAnsi="Cambria" w:cs="Arial"/>
          <w:bCs/>
          <w:color w:val="548DD4" w:themeColor="text2" w:themeTint="99"/>
          <w:sz w:val="26"/>
          <w:szCs w:val="26"/>
          <w:rtl/>
        </w:rPr>
        <w:t xml:space="preserve">סעיף טז: מלוה שרוצה לקחת את המשכון לעצמו </w:t>
      </w:r>
      <w:r w:rsidRPr="0004348D">
        <w:rPr>
          <w:rFonts w:ascii="Cambria" w:eastAsia="Times New Roman" w:hAnsi="Cambria" w:cs="Arial"/>
          <w:bCs/>
          <w:color w:val="548DD4" w:themeColor="text2" w:themeTint="99"/>
          <w:sz w:val="18"/>
          <w:szCs w:val="18"/>
          <w:rtl/>
        </w:rPr>
        <w:t>(במקום למוכרו)</w:t>
      </w:r>
      <w:r w:rsidRPr="0004348D">
        <w:rPr>
          <w:rFonts w:ascii="Cambria" w:eastAsia="Times New Roman" w:hAnsi="Cambria" w:cs="Arial"/>
          <w:bCs/>
          <w:color w:val="548DD4" w:themeColor="text2" w:themeTint="99"/>
          <w:sz w:val="26"/>
          <w:szCs w:val="26"/>
          <w:rtl/>
        </w:rPr>
        <w:t>.</w:t>
      </w:r>
      <w:bookmarkEnd w:id="906"/>
    </w:p>
    <w:p w14:paraId="294BA74A" w14:textId="77777777" w:rsidR="0004348D" w:rsidRPr="0004348D" w:rsidRDefault="0004348D" w:rsidP="0004348D">
      <w:pPr>
        <w:spacing w:before="360" w:after="240"/>
        <w:rPr>
          <w:rFonts w:ascii="Calibri" w:eastAsia="Calibri" w:hAnsi="Calibri" w:cs="Arial"/>
          <w:rtl/>
        </w:rPr>
      </w:pPr>
      <w:r w:rsidRPr="0004348D">
        <w:rPr>
          <w:rFonts w:ascii="Calibri" w:eastAsia="Calibri" w:hAnsi="Calibri" w:cs="Arial"/>
          <w:rtl/>
        </w:rPr>
        <w:t xml:space="preserve">עיין במקור בסעיף הקודם </w:t>
      </w:r>
      <w:r w:rsidRPr="0004348D">
        <w:rPr>
          <w:rFonts w:ascii="Calibri" w:eastAsia="Calibri" w:hAnsi="Calibri" w:cs="Arial"/>
          <w:sz w:val="16"/>
          <w:szCs w:val="16"/>
          <w:rtl/>
        </w:rPr>
        <w:t>(בהערה על דברי הרא"ש</w:t>
      </w:r>
      <w:r w:rsidRPr="0004348D">
        <w:rPr>
          <w:rFonts w:ascii="Calibri" w:eastAsia="Calibri" w:hAnsi="Calibri" w:cs="Arial"/>
          <w:sz w:val="14"/>
          <w:szCs w:val="14"/>
          <w:rtl/>
        </w:rPr>
        <w:t xml:space="preserve"> [כלל צ סי' ז, על מה שכתב 'יקח ג' שמאים']</w:t>
      </w:r>
      <w:r w:rsidRPr="0004348D">
        <w:rPr>
          <w:rFonts w:ascii="Calibri" w:eastAsia="Calibri" w:hAnsi="Calibri" w:cs="Arial"/>
          <w:sz w:val="16"/>
          <w:szCs w:val="16"/>
          <w:rtl/>
        </w:rPr>
        <w:t>)</w:t>
      </w:r>
      <w:r w:rsidRPr="0004348D">
        <w:rPr>
          <w:rFonts w:ascii="Calibri" w:eastAsia="Calibri" w:hAnsi="Calibri" w:cs="Arial"/>
          <w:rtl/>
        </w:rPr>
        <w:t>.</w:t>
      </w:r>
    </w:p>
    <w:p w14:paraId="565D8CBC" w14:textId="77777777" w:rsidR="0004348D" w:rsidRPr="0004348D" w:rsidRDefault="0004348D" w:rsidP="0004348D">
      <w:pPr>
        <w:spacing w:before="360" w:after="240"/>
        <w:rPr>
          <w:rFonts w:ascii="Arial" w:eastAsia="Calibri" w:hAnsi="Arial" w:cs="Arial"/>
          <w:b/>
          <w:bCs/>
          <w:color w:val="000000"/>
          <w:sz w:val="28"/>
          <w:szCs w:val="28"/>
          <w:u w:val="single"/>
          <w:rtl/>
        </w:rPr>
      </w:pPr>
      <w:r w:rsidRPr="0004348D">
        <w:rPr>
          <w:rFonts w:ascii="Arial" w:eastAsia="Calibri" w:hAnsi="Arial" w:cs="Arial"/>
          <w:b/>
          <w:bCs/>
          <w:color w:val="000000"/>
          <w:sz w:val="28"/>
          <w:szCs w:val="28"/>
          <w:u w:val="single"/>
          <w:rtl/>
        </w:rPr>
        <w:t>שו"ע:</w:t>
      </w:r>
    </w:p>
    <w:p w14:paraId="5DECF3BE" w14:textId="77777777" w:rsidR="0004348D" w:rsidRPr="0004348D" w:rsidRDefault="0004348D" w:rsidP="0004348D">
      <w:pPr>
        <w:spacing w:before="360" w:after="240"/>
        <w:rPr>
          <w:rFonts w:ascii="Calibri" w:eastAsia="Calibri" w:hAnsi="Calibri" w:cs="Arial"/>
          <w:rtl/>
        </w:rPr>
      </w:pPr>
      <w:r w:rsidRPr="0004348D">
        <w:rPr>
          <w:rFonts w:ascii="Calibri" w:eastAsia="Calibri" w:hAnsi="Calibri" w:cs="Arial"/>
          <w:rtl/>
        </w:rPr>
        <w:t>המוכר משכון שבידו על פי שלשה הדיוטות בקיאין בשומא, אינו רשאי ללקחו לעצמו. ואם מוכרו על פי בית דין מומחים</w:t>
      </w:r>
      <w:r w:rsidRPr="0004348D">
        <w:rPr>
          <w:rFonts w:ascii="Calibri" w:eastAsia="Calibri" w:hAnsi="Calibri" w:cs="Arial"/>
          <w:vertAlign w:val="superscript"/>
          <w:rtl/>
        </w:rPr>
        <w:footnoteReference w:id="6096"/>
      </w:r>
      <w:r w:rsidRPr="0004348D">
        <w:rPr>
          <w:rFonts w:ascii="Calibri" w:eastAsia="Calibri" w:hAnsi="Calibri" w:cs="Arial"/>
          <w:rtl/>
        </w:rPr>
        <w:t>, יש מי שאומר שרשאי ללקחו לעצמו</w:t>
      </w:r>
      <w:r w:rsidRPr="0004348D">
        <w:rPr>
          <w:rFonts w:ascii="Calibri" w:eastAsia="Calibri" w:hAnsi="Calibri" w:cs="Arial"/>
          <w:vertAlign w:val="superscript"/>
          <w:rtl/>
        </w:rPr>
        <w:footnoteReference w:id="6097"/>
      </w:r>
      <w:r w:rsidRPr="0004348D">
        <w:rPr>
          <w:rFonts w:ascii="Calibri" w:eastAsia="Calibri" w:hAnsi="Calibri" w:cs="Arial"/>
          <w:rtl/>
        </w:rPr>
        <w:t xml:space="preserve">. </w:t>
      </w:r>
    </w:p>
    <w:p w14:paraId="664FABFE" w14:textId="77777777" w:rsidR="0004348D" w:rsidRPr="0004348D" w:rsidRDefault="0004348D" w:rsidP="0004348D">
      <w:pPr>
        <w:spacing w:before="360" w:after="240"/>
        <w:rPr>
          <w:rFonts w:ascii="Calibri" w:eastAsia="Calibri" w:hAnsi="Calibri" w:cs="Arial"/>
          <w:rtl/>
        </w:rPr>
      </w:pPr>
    </w:p>
    <w:p w14:paraId="198625AA" w14:textId="77777777" w:rsidR="0004348D" w:rsidRPr="0004348D" w:rsidRDefault="0004348D" w:rsidP="0004348D">
      <w:pPr>
        <w:keepNext/>
        <w:keepLines/>
        <w:spacing w:before="360" w:after="240"/>
        <w:outlineLvl w:val="1"/>
        <w:rPr>
          <w:rFonts w:ascii="Cambria" w:eastAsia="Times New Roman" w:hAnsi="Cambria" w:cs="Arial"/>
          <w:bCs/>
          <w:color w:val="548DD4" w:themeColor="text2" w:themeTint="99"/>
          <w:sz w:val="26"/>
          <w:szCs w:val="26"/>
          <w:rtl/>
        </w:rPr>
      </w:pPr>
      <w:bookmarkStart w:id="908" w:name="_Toc24884280"/>
      <w:r w:rsidRPr="0004348D">
        <w:rPr>
          <w:rFonts w:ascii="Cambria" w:eastAsia="Times New Roman" w:hAnsi="Cambria" w:cs="Arial"/>
          <w:bCs/>
          <w:color w:val="548DD4" w:themeColor="text2" w:themeTint="99"/>
          <w:sz w:val="26"/>
          <w:szCs w:val="26"/>
          <w:rtl/>
        </w:rPr>
        <w:t>סעיף יז: אסמכתא במשכון.</w:t>
      </w:r>
      <w:bookmarkEnd w:id="908"/>
    </w:p>
    <w:p w14:paraId="4A5F9DEF" w14:textId="77777777" w:rsidR="0004348D" w:rsidRPr="0004348D" w:rsidRDefault="0004348D" w:rsidP="0004348D">
      <w:pPr>
        <w:spacing w:before="360" w:after="240"/>
        <w:rPr>
          <w:rFonts w:ascii="Calibri" w:eastAsia="Calibri" w:hAnsi="Calibri" w:cs="Arial"/>
          <w:u w:val="single"/>
          <w:rtl/>
        </w:rPr>
      </w:pPr>
      <w:r w:rsidRPr="0004348D">
        <w:rPr>
          <w:rFonts w:ascii="Calibri" w:eastAsia="Calibri" w:hAnsi="Calibri" w:cs="Arial"/>
          <w:u w:val="single"/>
          <w:rtl/>
        </w:rPr>
        <w:t>האם יש אסמכתא במשכון:</w:t>
      </w:r>
    </w:p>
    <w:p w14:paraId="513AB5FC" w14:textId="77777777" w:rsidR="0004348D" w:rsidRPr="0004348D" w:rsidRDefault="0004348D" w:rsidP="0004348D">
      <w:pPr>
        <w:numPr>
          <w:ilvl w:val="0"/>
          <w:numId w:val="356"/>
        </w:numPr>
        <w:spacing w:before="360" w:after="240"/>
        <w:contextualSpacing/>
        <w:rPr>
          <w:rFonts w:ascii="Calibri" w:eastAsia="Calibri" w:hAnsi="Calibri" w:cs="Arial"/>
          <w:rtl/>
        </w:rPr>
      </w:pPr>
      <w:r w:rsidRPr="0004348D">
        <w:rPr>
          <w:rFonts w:ascii="Calibri" w:eastAsia="Calibri" w:hAnsi="Calibri" w:cs="Arial"/>
          <w:rtl/>
        </w:rPr>
        <w:t xml:space="preserve">רא"ש </w:t>
      </w:r>
      <w:r w:rsidRPr="0004348D">
        <w:rPr>
          <w:rFonts w:ascii="Calibri" w:eastAsia="Calibri" w:hAnsi="Calibri" w:cs="Arial"/>
          <w:sz w:val="16"/>
          <w:szCs w:val="16"/>
          <w:rtl/>
        </w:rPr>
        <w:t xml:space="preserve">(כלל קח סי' כז, כ"כ הטור בשמו) </w:t>
      </w:r>
      <w:r w:rsidRPr="0004348D">
        <w:rPr>
          <w:rFonts w:ascii="Calibri" w:eastAsia="Calibri" w:hAnsi="Calibri" w:cs="Arial"/>
          <w:rtl/>
        </w:rPr>
        <w:t>וטור- ששאלת, המלוה לחבירו על המשכון על מנת להחליטו אם לא יפדנו לזמן פלוני אי הוי אסמכתא. תשובה, ודאי אסמכתא הוא ויכול לפדותו מתי שירצה</w:t>
      </w:r>
      <w:r w:rsidRPr="0004348D">
        <w:rPr>
          <w:rFonts w:ascii="Calibri" w:eastAsia="Calibri" w:hAnsi="Calibri" w:cs="Arial"/>
          <w:vertAlign w:val="superscript"/>
          <w:rtl/>
        </w:rPr>
        <w:footnoteReference w:id="6098"/>
      </w:r>
      <w:r w:rsidRPr="0004348D">
        <w:rPr>
          <w:rFonts w:ascii="Calibri" w:eastAsia="Calibri" w:hAnsi="Calibri" w:cs="Arial"/>
          <w:rtl/>
        </w:rPr>
        <w:t xml:space="preserve">. וששאלת אי שייך אסמכתא במשכון אם התנה עמו אם לא יפדנו לזמן פלוני שיגבה כדי חובו מהמשכון והמותר יהיה מתנה מעכשיו, אם מועיל תנאי שלא יהא אסמכתא או לא. תשובה, פשיטא דהוי טפי אסמכתא כיון שהזכיר 'מותר', כמו </w:t>
      </w:r>
      <w:r w:rsidRPr="0004348D">
        <w:rPr>
          <w:rFonts w:ascii="Calibri" w:eastAsia="Calibri" w:hAnsi="Calibri" w:cs="Arial"/>
          <w:sz w:val="16"/>
          <w:szCs w:val="16"/>
          <w:rtl/>
        </w:rPr>
        <w:t>(ב"מ קד:)</w:t>
      </w:r>
      <w:r w:rsidRPr="0004348D">
        <w:rPr>
          <w:rFonts w:ascii="Calibri" w:eastAsia="Calibri" w:hAnsi="Calibri" w:cs="Arial"/>
          <w:rtl/>
        </w:rPr>
        <w:t xml:space="preserve"> אם אוביר ולא אעביד אשלם אלפא זוז</w:t>
      </w:r>
      <w:r w:rsidRPr="0004348D">
        <w:rPr>
          <w:rFonts w:ascii="Calibri" w:eastAsia="Calibri" w:hAnsi="Calibri" w:cs="Arial"/>
          <w:sz w:val="16"/>
          <w:szCs w:val="16"/>
          <w:rtl/>
        </w:rPr>
        <w:t xml:space="preserve"> (ל' הטור בשם הרא"ש)</w:t>
      </w:r>
      <w:r w:rsidRPr="0004348D">
        <w:rPr>
          <w:rFonts w:ascii="Calibri" w:eastAsia="Calibri" w:hAnsi="Calibri" w:cs="Arial"/>
          <w:rtl/>
        </w:rPr>
        <w:t xml:space="preserve">. </w:t>
      </w:r>
      <w:r w:rsidRPr="0004348D">
        <w:rPr>
          <w:rFonts w:ascii="Calibri" w:eastAsia="Calibri" w:hAnsi="Calibri" w:cs="Arial"/>
          <w:color w:val="E36C0A" w:themeColor="accent6" w:themeShade="BF"/>
          <w:rtl/>
        </w:rPr>
        <w:t>(וכ"פ בשו"ע)</w:t>
      </w:r>
    </w:p>
    <w:p w14:paraId="54646E6B" w14:textId="77777777" w:rsidR="0004348D" w:rsidRPr="0004348D" w:rsidRDefault="0004348D" w:rsidP="0004348D">
      <w:pPr>
        <w:spacing w:before="360" w:after="240"/>
        <w:ind w:left="360"/>
        <w:rPr>
          <w:rFonts w:ascii="Calibri" w:eastAsia="Calibri" w:hAnsi="Calibri" w:cs="Arial"/>
          <w:u w:val="dotted"/>
        </w:rPr>
      </w:pPr>
      <w:r w:rsidRPr="0004348D">
        <w:rPr>
          <w:rFonts w:ascii="Calibri" w:eastAsia="Calibri" w:hAnsi="Calibri" w:cs="Arial"/>
          <w:u w:val="dotted"/>
          <w:rtl/>
        </w:rPr>
        <w:t>ומה הדין אם אמר לו 'קנה מעכשיו אם לא אפדנו עד זמן פלוני':</w:t>
      </w:r>
    </w:p>
    <w:p w14:paraId="2BECF1F6" w14:textId="77777777" w:rsidR="0004348D" w:rsidRPr="0004348D" w:rsidRDefault="0004348D" w:rsidP="0004348D">
      <w:pPr>
        <w:numPr>
          <w:ilvl w:val="0"/>
          <w:numId w:val="356"/>
        </w:numPr>
        <w:spacing w:before="360" w:after="240"/>
        <w:contextualSpacing/>
        <w:rPr>
          <w:rFonts w:ascii="Calibri" w:eastAsia="Calibri" w:hAnsi="Calibri" w:cs="Arial"/>
        </w:rPr>
      </w:pPr>
      <w:r w:rsidRPr="0004348D">
        <w:rPr>
          <w:rFonts w:ascii="Calibri" w:eastAsia="Calibri" w:hAnsi="Calibri" w:cs="Arial"/>
          <w:rtl/>
        </w:rPr>
        <w:t xml:space="preserve">מהר"ם </w:t>
      </w:r>
      <w:r w:rsidRPr="0004348D">
        <w:rPr>
          <w:rFonts w:ascii="Calibri" w:eastAsia="Calibri" w:hAnsi="Calibri" w:cs="Arial"/>
          <w:sz w:val="16"/>
          <w:szCs w:val="16"/>
          <w:rtl/>
        </w:rPr>
        <w:t>(ד"פ סי' צא, הביאו רי"ו [מישרים נ"ל ח"ה פז ע"ב])</w:t>
      </w:r>
      <w:r w:rsidRPr="0004348D">
        <w:rPr>
          <w:rFonts w:ascii="Calibri" w:eastAsia="Calibri" w:hAnsi="Calibri" w:cs="Arial"/>
          <w:rtl/>
        </w:rPr>
        <w:t xml:space="preserve">- ראובן טוען לשמעון 'הלויתני על המשכון הנה לך מעות ותן לי משכוני', ושמעון טוען 'משכנת אותו לי עד זמן קצוב ונחלט ואמרת קנה מעכשיו אם לא אפדנו עד זמן פלוני', והלה טוען 'לא יצא מפי מעולם קנה מעכשיו'. תשובה, אע"ג דבעלמא הוי אסמכתא ולא קני - הכא קני, דכיון שהוא תופס, וגם עשה עמו טובה שהלוהו, וישבע שמעון שאמר ליה קני - ויהיה המשכון שלו. וראיה מאיזהו נשך </w:t>
      </w:r>
      <w:r w:rsidRPr="0004348D">
        <w:rPr>
          <w:rFonts w:ascii="Calibri" w:eastAsia="Calibri" w:hAnsi="Calibri" w:cs="Arial"/>
          <w:sz w:val="16"/>
          <w:szCs w:val="16"/>
          <w:rtl/>
        </w:rPr>
        <w:t>(ב"מ סו.)</w:t>
      </w:r>
      <w:r w:rsidRPr="0004348D">
        <w:rPr>
          <w:rFonts w:ascii="Calibri" w:eastAsia="Calibri" w:hAnsi="Calibri" w:cs="Arial"/>
          <w:rtl/>
        </w:rPr>
        <w:t xml:space="preserve"> מהלוהו על שדהו וכו' רב נחמן אמר אפילו לאחר מתן מעות קנה הכל, ומסיק דאמר קני מעכשיו</w:t>
      </w:r>
      <w:r w:rsidRPr="0004348D">
        <w:rPr>
          <w:rFonts w:ascii="Calibri" w:eastAsia="Calibri" w:hAnsi="Calibri" w:cs="Arial"/>
          <w:vertAlign w:val="superscript"/>
          <w:rtl/>
        </w:rPr>
        <w:footnoteReference w:id="6099"/>
      </w:r>
      <w:r w:rsidRPr="0004348D">
        <w:rPr>
          <w:rFonts w:ascii="Calibri" w:eastAsia="Calibri" w:hAnsi="Calibri" w:cs="Arial"/>
          <w:rtl/>
        </w:rPr>
        <w:t xml:space="preserve">. </w:t>
      </w:r>
      <w:r w:rsidRPr="0004348D">
        <w:rPr>
          <w:rFonts w:ascii="Calibri" w:eastAsia="Calibri" w:hAnsi="Calibri" w:cs="Arial"/>
          <w:color w:val="E36C0A" w:themeColor="accent6" w:themeShade="BF"/>
          <w:rtl/>
        </w:rPr>
        <w:t>(וכ"ס בשו"ע)</w:t>
      </w:r>
    </w:p>
    <w:p w14:paraId="3C0B4435" w14:textId="77777777" w:rsidR="0004348D" w:rsidRPr="0004348D" w:rsidRDefault="0004348D" w:rsidP="0004348D">
      <w:pPr>
        <w:spacing w:before="360" w:after="240"/>
        <w:rPr>
          <w:rFonts w:ascii="Calibri" w:eastAsia="Calibri" w:hAnsi="Calibri" w:cs="Arial"/>
          <w:u w:val="single"/>
        </w:rPr>
      </w:pPr>
      <w:r w:rsidRPr="0004348D">
        <w:rPr>
          <w:rFonts w:ascii="Calibri" w:eastAsia="Calibri" w:hAnsi="Calibri" w:cs="Arial"/>
          <w:u w:val="single"/>
          <w:rtl/>
        </w:rPr>
        <w:t>לוה שאמר למלוה 'תמכור את המשכון', והמלוה מכרו, ואח"כ הלוה חזר בו:</w:t>
      </w:r>
    </w:p>
    <w:p w14:paraId="174476EE" w14:textId="77777777" w:rsidR="0004348D" w:rsidRPr="0004348D" w:rsidRDefault="0004348D" w:rsidP="0004348D">
      <w:pPr>
        <w:numPr>
          <w:ilvl w:val="0"/>
          <w:numId w:val="356"/>
        </w:numPr>
        <w:spacing w:before="360" w:after="240"/>
        <w:contextualSpacing/>
        <w:rPr>
          <w:rFonts w:ascii="Calibri" w:eastAsia="Calibri" w:hAnsi="Calibri" w:cs="Arial"/>
          <w:rtl/>
        </w:rPr>
      </w:pPr>
      <w:r w:rsidRPr="0004348D">
        <w:rPr>
          <w:rFonts w:ascii="Calibri" w:eastAsia="Calibri" w:hAnsi="Calibri" w:cs="Arial"/>
          <w:rtl/>
        </w:rPr>
        <w:t xml:space="preserve">רא"ש </w:t>
      </w:r>
      <w:r w:rsidRPr="0004348D">
        <w:rPr>
          <w:rFonts w:ascii="Calibri" w:eastAsia="Calibri" w:hAnsi="Calibri" w:cs="Arial"/>
          <w:sz w:val="16"/>
          <w:szCs w:val="16"/>
          <w:rtl/>
        </w:rPr>
        <w:t>(כלל צ סי' ה)</w:t>
      </w:r>
      <w:r w:rsidRPr="0004348D">
        <w:rPr>
          <w:rFonts w:ascii="Calibri" w:eastAsia="Calibri" w:hAnsi="Calibri" w:cs="Arial"/>
          <w:rtl/>
        </w:rPr>
        <w:t xml:space="preserve"> וטור- וששאלת מי שיש לו משכון מחבירו מהלואה או מכר, וכשהגיע הזמן אמר לו 'צא ומכרו'. הלך ומכרו. אם יכול בעל המשכון לחזור לתבעו וליתן דמיו ולומר 'לא כוונתי אלא לדחותך כל זמן שלא הקניתי לך', או אין צריך קנין. תשובה, דבר פשוט הוא אם אמר אדם לחבירו מכור חפץ זה וטול הדמים, ומכרו, שאין צריך קנין לדבר זה. שלא הוזכר קנין אלא לקיים מכר או מתנה או שכירות, אבל כשאדם מצוה לחבירו לעשות דבר ועושה צוויו - אין צריך קנין</w:t>
      </w:r>
      <w:r w:rsidRPr="0004348D">
        <w:rPr>
          <w:rFonts w:ascii="Calibri" w:eastAsia="Calibri" w:hAnsi="Calibri" w:cs="Arial"/>
          <w:vertAlign w:val="superscript"/>
          <w:rtl/>
        </w:rPr>
        <w:footnoteReference w:id="6100"/>
      </w:r>
      <w:r w:rsidRPr="0004348D">
        <w:rPr>
          <w:rFonts w:ascii="Calibri" w:eastAsia="Calibri" w:hAnsi="Calibri" w:cs="Arial"/>
          <w:rtl/>
        </w:rPr>
        <w:t xml:space="preserve"> </w:t>
      </w:r>
      <w:r w:rsidRPr="0004348D">
        <w:rPr>
          <w:rFonts w:ascii="Calibri" w:eastAsia="Calibri" w:hAnsi="Calibri" w:cs="Arial"/>
          <w:sz w:val="16"/>
          <w:szCs w:val="16"/>
          <w:rtl/>
        </w:rPr>
        <w:t>(ל' הטור בשם הרא"ש)</w:t>
      </w:r>
      <w:r w:rsidRPr="0004348D">
        <w:rPr>
          <w:rFonts w:ascii="Calibri" w:eastAsia="Calibri" w:hAnsi="Calibri" w:cs="Arial"/>
          <w:rtl/>
        </w:rPr>
        <w:t xml:space="preserve">. </w:t>
      </w:r>
      <w:r w:rsidRPr="0004348D">
        <w:rPr>
          <w:rFonts w:ascii="Calibri" w:eastAsia="Calibri" w:hAnsi="Calibri" w:cs="Arial"/>
          <w:color w:val="E36C0A" w:themeColor="accent6" w:themeShade="BF"/>
          <w:rtl/>
        </w:rPr>
        <w:t>(וכ"פ בשו"ע)</w:t>
      </w:r>
    </w:p>
    <w:p w14:paraId="38933B7D" w14:textId="77777777" w:rsidR="0004348D" w:rsidRPr="0004348D" w:rsidRDefault="0004348D" w:rsidP="0004348D">
      <w:pPr>
        <w:spacing w:before="360" w:after="240"/>
        <w:rPr>
          <w:rFonts w:ascii="Calibri" w:eastAsia="Calibri" w:hAnsi="Calibri" w:cs="Arial"/>
          <w:rtl/>
        </w:rPr>
      </w:pPr>
      <w:r w:rsidRPr="0004348D">
        <w:rPr>
          <w:rFonts w:ascii="Calibri" w:eastAsia="Calibri" w:hAnsi="Calibri" w:cs="Arial"/>
          <w:u w:val="dotted"/>
          <w:rtl/>
        </w:rPr>
        <w:t>ומה הדין אם חזר בו הלוה קודם שמכר הלוה:</w:t>
      </w:r>
    </w:p>
    <w:p w14:paraId="035DF8A4" w14:textId="77777777" w:rsidR="0004348D" w:rsidRPr="0004348D" w:rsidRDefault="0004348D" w:rsidP="0004348D">
      <w:pPr>
        <w:numPr>
          <w:ilvl w:val="0"/>
          <w:numId w:val="356"/>
        </w:numPr>
        <w:spacing w:before="360" w:after="240"/>
        <w:contextualSpacing/>
        <w:rPr>
          <w:rFonts w:ascii="Calibri" w:eastAsia="Calibri" w:hAnsi="Calibri" w:cs="Arial"/>
        </w:rPr>
      </w:pPr>
      <w:r w:rsidRPr="0004348D">
        <w:rPr>
          <w:rFonts w:ascii="Calibri" w:eastAsia="Calibri" w:hAnsi="Calibri" w:cs="Arial"/>
          <w:rtl/>
        </w:rPr>
        <w:t xml:space="preserve">רשב"א </w:t>
      </w:r>
      <w:r w:rsidRPr="0004348D">
        <w:rPr>
          <w:rFonts w:ascii="Calibri" w:eastAsia="Calibri" w:hAnsi="Calibri" w:cs="Arial"/>
          <w:sz w:val="16"/>
          <w:szCs w:val="16"/>
          <w:rtl/>
        </w:rPr>
        <w:t>(ח"ג סי' נג, והובאה בקיצור בסי' אלף י</w:t>
      </w:r>
      <w:r w:rsidRPr="0004348D">
        <w:rPr>
          <w:rFonts w:ascii="Calibri" w:eastAsia="Calibri" w:hAnsi="Calibri" w:cs="Arial"/>
          <w:sz w:val="14"/>
          <w:szCs w:val="14"/>
          <w:rtl/>
        </w:rPr>
        <w:t xml:space="preserve"> [הביא הדרכ"מ {כאן אות יב} את התשו' הקצרה, וכן הב"י {סי' עב מחו' טז}]</w:t>
      </w:r>
      <w:r w:rsidRPr="0004348D">
        <w:rPr>
          <w:rFonts w:ascii="Calibri" w:eastAsia="Calibri" w:hAnsi="Calibri" w:cs="Arial"/>
          <w:sz w:val="16"/>
          <w:szCs w:val="16"/>
          <w:rtl/>
        </w:rPr>
        <w:t>)</w:t>
      </w:r>
      <w:r w:rsidRPr="0004348D">
        <w:rPr>
          <w:rFonts w:ascii="Calibri" w:eastAsia="Calibri" w:hAnsi="Calibri" w:cs="Arial"/>
          <w:rtl/>
        </w:rPr>
        <w:t>- שאלת, ראובן לוה מנה משמעון ומשכן אצלו בו חנות אחד בנכיתא וכתב לו בשטר המשכונה שאם שמא לא יפרע לו הממון הנזכר לזמן פלוני תהא בידו רשות שלימה וכח יפה בקנין גמור מעכשיו למכור החנות הנזכר בפני ב"ד שיברור לו ויפרע מדמי החנות הנזכר משלם ויהא המכר שיעשה בב"ד קיים מעכשיו ולעולם ויזכה בחנות כל מי שיקח אותו ממנו... תשובה,... אם עדיין לא מכר שמעון החנות ובא ראובן ומיחה בידו שלא למכור - מסתברא ששומעין לו, שהרי ראובן לא מכרו לשמעון אלא שנתן לו רשות למכור ועשאו שליחו למכור להיות ממכרו מכר, אבל עכשיו שהוא מיחה בידו הרי בטל שליחותו והרשות בידו. ואפי' מכרו שמעון לאחר שמיחה ראובן בידו מכרו בטל שכבר נתבטל שליחותו</w:t>
      </w:r>
      <w:r w:rsidRPr="0004348D">
        <w:rPr>
          <w:rFonts w:ascii="Calibri" w:eastAsia="Calibri" w:hAnsi="Calibri" w:cs="Arial"/>
          <w:vertAlign w:val="superscript"/>
          <w:rtl/>
        </w:rPr>
        <w:footnoteReference w:id="6101"/>
      </w:r>
      <w:r w:rsidRPr="0004348D">
        <w:rPr>
          <w:rFonts w:ascii="Calibri" w:eastAsia="Calibri" w:hAnsi="Calibri" w:cs="Arial"/>
          <w:rtl/>
        </w:rPr>
        <w:t xml:space="preserve">. </w:t>
      </w:r>
      <w:r w:rsidRPr="0004348D">
        <w:rPr>
          <w:rFonts w:ascii="Calibri" w:eastAsia="Calibri" w:hAnsi="Calibri" w:cs="Arial"/>
          <w:color w:val="00B0F0"/>
          <w:rtl/>
        </w:rPr>
        <w:t>(וכ"פ הרמ"א)</w:t>
      </w:r>
    </w:p>
    <w:p w14:paraId="471850F8" w14:textId="77777777" w:rsidR="0004348D" w:rsidRPr="0004348D" w:rsidRDefault="0004348D" w:rsidP="0004348D">
      <w:pPr>
        <w:spacing w:before="360" w:after="240"/>
        <w:rPr>
          <w:rFonts w:ascii="Arial" w:eastAsia="Calibri" w:hAnsi="Arial" w:cs="Arial"/>
          <w:b/>
          <w:bCs/>
          <w:color w:val="000000"/>
          <w:sz w:val="28"/>
          <w:szCs w:val="28"/>
          <w:u w:val="single"/>
          <w:rtl/>
        </w:rPr>
      </w:pPr>
      <w:r w:rsidRPr="0004348D">
        <w:rPr>
          <w:rFonts w:ascii="Arial" w:eastAsia="Calibri" w:hAnsi="Arial" w:cs="Arial"/>
          <w:b/>
          <w:bCs/>
          <w:color w:val="000000"/>
          <w:sz w:val="28"/>
          <w:szCs w:val="28"/>
          <w:u w:val="single"/>
          <w:rtl/>
        </w:rPr>
        <w:t>שו"ע:</w:t>
      </w:r>
    </w:p>
    <w:p w14:paraId="0AE70613" w14:textId="77777777" w:rsidR="0004348D" w:rsidRPr="0004348D" w:rsidRDefault="0004348D" w:rsidP="0004348D">
      <w:pPr>
        <w:spacing w:before="360" w:after="240"/>
        <w:rPr>
          <w:rFonts w:ascii="Calibri" w:eastAsia="Calibri" w:hAnsi="Calibri" w:cs="Arial"/>
          <w:rtl/>
        </w:rPr>
      </w:pPr>
      <w:r w:rsidRPr="0004348D">
        <w:rPr>
          <w:rFonts w:ascii="Calibri" w:eastAsia="Calibri" w:hAnsi="Calibri" w:cs="Arial"/>
          <w:rtl/>
        </w:rPr>
        <w:t>המלוה את חבירו על המשכון, על מנת שאם לא יפדנו לזמן פלוני שיגבה כדי חובו מהמשכון והמותר יהיה מתנה מעכשיו, הוי אסמכתא. ואם התנה עמו שאם לא יפדנו לזמן פלוני יהיה מוחלט, הוי נמי אסמכתא</w:t>
      </w:r>
      <w:r w:rsidRPr="0004348D">
        <w:rPr>
          <w:rFonts w:ascii="Calibri" w:eastAsia="Calibri" w:hAnsi="Calibri" w:cs="Arial"/>
          <w:vertAlign w:val="superscript"/>
          <w:rtl/>
        </w:rPr>
        <w:footnoteReference w:id="6102"/>
      </w:r>
      <w:r w:rsidRPr="0004348D">
        <w:rPr>
          <w:rFonts w:ascii="Calibri" w:eastAsia="Calibri" w:hAnsi="Calibri" w:cs="Arial"/>
          <w:rtl/>
        </w:rPr>
        <w:t>. ואם אמר לו 'קנה מעכשיו אם לא אפדנו עד זמן פלוני', יש מי שאומר</w:t>
      </w:r>
      <w:r w:rsidRPr="0004348D">
        <w:rPr>
          <w:rFonts w:ascii="Calibri" w:eastAsia="Calibri" w:hAnsi="Calibri" w:cs="Arial"/>
          <w:vertAlign w:val="superscript"/>
          <w:rtl/>
        </w:rPr>
        <w:footnoteReference w:id="6103"/>
      </w:r>
      <w:r w:rsidRPr="0004348D">
        <w:rPr>
          <w:rFonts w:ascii="Calibri" w:eastAsia="Calibri" w:hAnsi="Calibri" w:cs="Arial"/>
          <w:rtl/>
        </w:rPr>
        <w:t xml:space="preserve"> דלא הוי אסמכתא</w:t>
      </w:r>
      <w:r w:rsidRPr="0004348D">
        <w:rPr>
          <w:rFonts w:ascii="Calibri" w:eastAsia="Calibri" w:hAnsi="Calibri" w:cs="Arial"/>
          <w:vertAlign w:val="superscript"/>
          <w:rtl/>
        </w:rPr>
        <w:footnoteReference w:id="6104"/>
      </w:r>
      <w:r w:rsidRPr="0004348D">
        <w:rPr>
          <w:rFonts w:ascii="Calibri" w:eastAsia="Calibri" w:hAnsi="Calibri" w:cs="Arial"/>
          <w:rtl/>
        </w:rPr>
        <w:t xml:space="preserve">, ושאם הלוה טוען 'לא יצא מפי קנה מעכשיו', נאמן המלוה בשבועה </w:t>
      </w:r>
      <w:r w:rsidRPr="0004348D">
        <w:rPr>
          <w:rFonts w:ascii="Calibri" w:eastAsia="Calibri" w:hAnsi="Calibri" w:cs="Arial"/>
          <w:sz w:val="18"/>
          <w:szCs w:val="18"/>
          <w:rtl/>
        </w:rPr>
        <w:t>(וע"ל סי' ר"ז בדיני אסמכתא)</w:t>
      </w:r>
      <w:r w:rsidRPr="0004348D">
        <w:rPr>
          <w:rFonts w:ascii="Calibri" w:eastAsia="Calibri" w:hAnsi="Calibri" w:cs="Arial"/>
          <w:rtl/>
        </w:rPr>
        <w:t xml:space="preserve">. מי שיש בידו משכון מחבירו, וכשהגיע הזמן אמר ליה 'צא ומכרו', והלך ומכרו, ואחר כך בא הלוה לבטל המכר ואמר שלא כוון אלא לדחותו, אין בדבריו כלום, והמכר קיים. </w:t>
      </w:r>
      <w:r w:rsidRPr="0004348D">
        <w:rPr>
          <w:rFonts w:ascii="Calibri" w:eastAsia="Calibri" w:hAnsi="Calibri" w:cs="Arial"/>
          <w:sz w:val="18"/>
          <w:szCs w:val="18"/>
          <w:rtl/>
        </w:rPr>
        <w:t>הגה: אבל כל זמן שלא מכרו יכול לחזור בו ולומר שלא ימכרנו</w:t>
      </w:r>
      <w:r w:rsidRPr="0004348D">
        <w:rPr>
          <w:rFonts w:ascii="Calibri" w:eastAsia="Calibri" w:hAnsi="Calibri" w:cs="Arial"/>
          <w:sz w:val="18"/>
          <w:szCs w:val="18"/>
          <w:vertAlign w:val="superscript"/>
          <w:rtl/>
        </w:rPr>
        <w:footnoteReference w:id="6105"/>
      </w:r>
      <w:r w:rsidRPr="0004348D">
        <w:rPr>
          <w:rFonts w:ascii="Calibri" w:eastAsia="Calibri" w:hAnsi="Calibri" w:cs="Arial"/>
          <w:sz w:val="18"/>
          <w:szCs w:val="18"/>
          <w:rtl/>
        </w:rPr>
        <w:t xml:space="preserve"> </w:t>
      </w:r>
      <w:r w:rsidRPr="0004348D">
        <w:rPr>
          <w:rFonts w:ascii="Calibri" w:eastAsia="Calibri" w:hAnsi="Calibri" w:cs="Arial"/>
          <w:sz w:val="16"/>
          <w:szCs w:val="16"/>
          <w:rtl/>
        </w:rPr>
        <w:t xml:space="preserve">(רשב"א סי' אלף י) </w:t>
      </w:r>
      <w:r w:rsidRPr="0004348D">
        <w:rPr>
          <w:rFonts w:ascii="Calibri" w:eastAsia="Calibri" w:hAnsi="Calibri" w:cs="Arial"/>
          <w:sz w:val="18"/>
          <w:szCs w:val="18"/>
          <w:rtl/>
        </w:rPr>
        <w:t xml:space="preserve">וכן אם דחקו המלוה לפרוע, ואמר ליה הלוה 'המשכון יהא שלך', יכול לחזור בו </w:t>
      </w:r>
      <w:r w:rsidRPr="0004348D">
        <w:rPr>
          <w:rFonts w:ascii="Calibri" w:eastAsia="Calibri" w:hAnsi="Calibri" w:cs="Arial"/>
          <w:sz w:val="16"/>
          <w:szCs w:val="16"/>
          <w:rtl/>
        </w:rPr>
        <w:t>(נמוק"י)</w:t>
      </w:r>
      <w:r w:rsidRPr="0004348D">
        <w:rPr>
          <w:rFonts w:ascii="Calibri" w:eastAsia="Calibri" w:hAnsi="Calibri" w:cs="Arial"/>
          <w:sz w:val="18"/>
          <w:szCs w:val="18"/>
          <w:rtl/>
        </w:rPr>
        <w:t xml:space="preserve">. </w:t>
      </w:r>
    </w:p>
    <w:p w14:paraId="5BE0C16C" w14:textId="77777777" w:rsidR="0004348D" w:rsidRPr="0004348D" w:rsidRDefault="0004348D" w:rsidP="0004348D">
      <w:pPr>
        <w:spacing w:before="360" w:after="240"/>
        <w:rPr>
          <w:rFonts w:ascii="Calibri" w:eastAsia="Calibri" w:hAnsi="Calibri" w:cs="Arial"/>
          <w:rtl/>
        </w:rPr>
      </w:pPr>
    </w:p>
    <w:p w14:paraId="586920C1" w14:textId="77777777" w:rsidR="0004348D" w:rsidRPr="0004348D" w:rsidRDefault="0004348D" w:rsidP="0004348D">
      <w:pPr>
        <w:keepNext/>
        <w:keepLines/>
        <w:spacing w:before="360" w:after="240"/>
        <w:outlineLvl w:val="1"/>
        <w:rPr>
          <w:rFonts w:ascii="Cambria" w:eastAsia="Times New Roman" w:hAnsi="Cambria" w:cs="Arial"/>
          <w:bCs/>
          <w:color w:val="548DD4" w:themeColor="text2" w:themeTint="99"/>
          <w:sz w:val="26"/>
          <w:szCs w:val="26"/>
          <w:rtl/>
        </w:rPr>
      </w:pPr>
      <w:bookmarkStart w:id="909" w:name="_Toc24884281"/>
      <w:r w:rsidRPr="0004348D">
        <w:rPr>
          <w:rFonts w:ascii="Cambria" w:eastAsia="Times New Roman" w:hAnsi="Cambria" w:cs="Arial"/>
          <w:bCs/>
          <w:color w:val="548DD4" w:themeColor="text2" w:themeTint="99"/>
          <w:sz w:val="26"/>
          <w:szCs w:val="26"/>
          <w:rtl/>
        </w:rPr>
        <w:t>סעיף יח: מלוה שנתן את המשכון ללוה למוכרו במקום היוקר.</w:t>
      </w:r>
      <w:bookmarkEnd w:id="909"/>
    </w:p>
    <w:p w14:paraId="541A61C1" w14:textId="77777777" w:rsidR="0004348D" w:rsidRPr="0004348D" w:rsidRDefault="0004348D" w:rsidP="0004348D">
      <w:pPr>
        <w:spacing w:before="360" w:after="240"/>
        <w:rPr>
          <w:rFonts w:ascii="Calibri" w:eastAsia="Calibri" w:hAnsi="Calibri" w:cs="Arial"/>
          <w:u w:val="single"/>
          <w:rtl/>
        </w:rPr>
      </w:pPr>
      <w:r w:rsidRPr="0004348D">
        <w:rPr>
          <w:rFonts w:ascii="Calibri" w:eastAsia="Calibri" w:hAnsi="Calibri" w:cs="Arial"/>
          <w:u w:val="single"/>
          <w:rtl/>
        </w:rPr>
        <w:t>מלוה שנתן את המשכון ללוה למוכרו במקום היוקר – למי הריווח ועל מי ההוצאות:</w:t>
      </w:r>
    </w:p>
    <w:p w14:paraId="13251A8F" w14:textId="77777777" w:rsidR="0004348D" w:rsidRPr="0004348D" w:rsidRDefault="0004348D" w:rsidP="0004348D">
      <w:pPr>
        <w:numPr>
          <w:ilvl w:val="0"/>
          <w:numId w:val="356"/>
        </w:numPr>
        <w:spacing w:before="360" w:after="240"/>
        <w:contextualSpacing/>
        <w:rPr>
          <w:rFonts w:ascii="Calibri" w:eastAsia="Calibri" w:hAnsi="Calibri" w:cs="Arial"/>
          <w:rtl/>
        </w:rPr>
      </w:pPr>
      <w:r w:rsidRPr="0004348D">
        <w:rPr>
          <w:rFonts w:ascii="Calibri" w:eastAsia="Calibri" w:hAnsi="Calibri" w:cs="Arial"/>
          <w:rtl/>
        </w:rPr>
        <w:t xml:space="preserve">רא"ש </w:t>
      </w:r>
      <w:r w:rsidRPr="0004348D">
        <w:rPr>
          <w:rFonts w:ascii="Calibri" w:eastAsia="Calibri" w:hAnsi="Calibri" w:cs="Arial"/>
          <w:sz w:val="16"/>
          <w:szCs w:val="16"/>
          <w:rtl/>
        </w:rPr>
        <w:t>(כלל צ סי' ו)</w:t>
      </w:r>
      <w:r w:rsidRPr="0004348D">
        <w:rPr>
          <w:rFonts w:ascii="Calibri" w:eastAsia="Calibri" w:hAnsi="Calibri" w:cs="Arial"/>
          <w:rtl/>
        </w:rPr>
        <w:t xml:space="preserve"> וטור- וששאלת אם אמר לו המלוה 'אין נותנין בו אלא כ' זהובים', ואמר ליה הלוה 'תנהו' ונזדמן לו דרך למדי והוליכו עמו ומכרו שם בשלשים זהובים - אם התוספת לבעליו, ואם יש חילוק בין מכרו כאן או מכרו במדי, ואם יש לו לנכות שכר טרחו הואיל והלך בלא זה. תשובה, מילתא דפשיטא היא כל זמן שלא נמכר הוא ברשות הלוה כי לא מכרו למלוה אלא אמר ליה תנהו כך הלכך דמי המקח כולם של לוה הם ואין חילוק בין מכרו כאן או מכרו במדי, אבל אם הוציא יציאות לשכור חמור והוליכו למקום היוקר יפרע הלוה, אבל שכר טרחו אינו משלם לו כיון דבלאו הכי אית ליה אורחא להתם</w:t>
      </w:r>
      <w:r w:rsidRPr="0004348D">
        <w:rPr>
          <w:rFonts w:ascii="Calibri" w:eastAsia="Calibri" w:hAnsi="Calibri" w:cs="Arial"/>
          <w:sz w:val="16"/>
          <w:szCs w:val="16"/>
          <w:rtl/>
        </w:rPr>
        <w:t xml:space="preserve"> (ל' הטור בשם הרא"ש)</w:t>
      </w:r>
      <w:r w:rsidRPr="0004348D">
        <w:rPr>
          <w:rFonts w:ascii="Calibri" w:eastAsia="Calibri" w:hAnsi="Calibri" w:cs="Arial"/>
          <w:rtl/>
        </w:rPr>
        <w:t xml:space="preserve">. </w:t>
      </w:r>
      <w:r w:rsidRPr="0004348D">
        <w:rPr>
          <w:rFonts w:ascii="Calibri" w:eastAsia="Calibri" w:hAnsi="Calibri" w:cs="Arial"/>
          <w:color w:val="E36C0A" w:themeColor="accent6" w:themeShade="BF"/>
          <w:rtl/>
        </w:rPr>
        <w:t>(וכ"פ בשו"ע)</w:t>
      </w:r>
    </w:p>
    <w:p w14:paraId="11789394" w14:textId="77777777" w:rsidR="0004348D" w:rsidRPr="0004348D" w:rsidRDefault="0004348D" w:rsidP="0004348D">
      <w:pPr>
        <w:spacing w:before="360" w:after="240"/>
        <w:rPr>
          <w:rFonts w:ascii="Arial" w:eastAsia="Calibri" w:hAnsi="Arial" w:cs="Arial"/>
          <w:b/>
          <w:bCs/>
          <w:color w:val="000000"/>
          <w:sz w:val="28"/>
          <w:szCs w:val="28"/>
          <w:u w:val="single"/>
          <w:rtl/>
        </w:rPr>
      </w:pPr>
      <w:r w:rsidRPr="0004348D">
        <w:rPr>
          <w:rFonts w:ascii="Arial" w:eastAsia="Calibri" w:hAnsi="Arial" w:cs="Arial"/>
          <w:b/>
          <w:bCs/>
          <w:color w:val="000000"/>
          <w:sz w:val="28"/>
          <w:szCs w:val="28"/>
          <w:u w:val="single"/>
          <w:rtl/>
        </w:rPr>
        <w:t>שו"ע:</w:t>
      </w:r>
    </w:p>
    <w:p w14:paraId="59C24E02" w14:textId="77777777" w:rsidR="0004348D" w:rsidRPr="0004348D" w:rsidRDefault="0004348D" w:rsidP="0004348D">
      <w:pPr>
        <w:spacing w:before="360" w:after="240"/>
        <w:rPr>
          <w:rFonts w:ascii="Calibri" w:eastAsia="Calibri" w:hAnsi="Calibri" w:cs="Arial"/>
          <w:rtl/>
        </w:rPr>
      </w:pPr>
      <w:r w:rsidRPr="0004348D">
        <w:rPr>
          <w:rFonts w:ascii="Calibri" w:eastAsia="Calibri" w:hAnsi="Calibri" w:cs="Arial"/>
          <w:rtl/>
        </w:rPr>
        <w:t>אמר המלוה ללוה 'אין נותנין במשכון אלא עשרים זהובים' ואמר ליה 'תנהו', ונזדמן לו דרך למדי והוליכו עמו ומכרו שם בשלשים, הכל ללוה</w:t>
      </w:r>
      <w:r w:rsidRPr="0004348D">
        <w:rPr>
          <w:rFonts w:ascii="Calibri" w:eastAsia="Calibri" w:hAnsi="Calibri" w:cs="Arial"/>
          <w:vertAlign w:val="superscript"/>
          <w:rtl/>
        </w:rPr>
        <w:footnoteReference w:id="6106"/>
      </w:r>
      <w:r w:rsidRPr="0004348D">
        <w:rPr>
          <w:rFonts w:ascii="Calibri" w:eastAsia="Calibri" w:hAnsi="Calibri" w:cs="Arial"/>
          <w:rtl/>
        </w:rPr>
        <w:t xml:space="preserve">. וההוצאות שהוציא להוליכו על הלוה, אבל שכר טרחו לא ישלם לו כיון דבלאו הכי אית ליה אורחא להתם. </w:t>
      </w:r>
    </w:p>
    <w:p w14:paraId="0E379A3E" w14:textId="77777777" w:rsidR="0004348D" w:rsidRPr="0004348D" w:rsidRDefault="0004348D" w:rsidP="0004348D">
      <w:pPr>
        <w:spacing w:before="360" w:after="240"/>
        <w:rPr>
          <w:rFonts w:ascii="Calibri" w:eastAsia="Calibri" w:hAnsi="Calibri" w:cs="Arial"/>
          <w:rtl/>
        </w:rPr>
      </w:pPr>
    </w:p>
    <w:p w14:paraId="0624E523" w14:textId="77777777" w:rsidR="0004348D" w:rsidRPr="0004348D" w:rsidRDefault="0004348D" w:rsidP="0004348D">
      <w:pPr>
        <w:keepNext/>
        <w:keepLines/>
        <w:spacing w:before="360" w:after="240"/>
        <w:outlineLvl w:val="1"/>
        <w:rPr>
          <w:rFonts w:ascii="Cambria" w:eastAsia="Times New Roman" w:hAnsi="Cambria" w:cs="Arial"/>
          <w:bCs/>
          <w:color w:val="548DD4" w:themeColor="text2" w:themeTint="99"/>
          <w:sz w:val="26"/>
          <w:szCs w:val="26"/>
          <w:rtl/>
        </w:rPr>
      </w:pPr>
      <w:bookmarkStart w:id="910" w:name="_Toc24884282"/>
      <w:r w:rsidRPr="0004348D">
        <w:rPr>
          <w:rFonts w:ascii="Cambria" w:eastAsia="Times New Roman" w:hAnsi="Cambria" w:cs="Arial"/>
          <w:bCs/>
          <w:color w:val="548DD4" w:themeColor="text2" w:themeTint="99"/>
          <w:sz w:val="26"/>
          <w:szCs w:val="26"/>
          <w:rtl/>
        </w:rPr>
        <w:t>סעיף יט: הבא לפדות משכונו שביד שמעון, ואמר לו 'כבר מחלת לי'.</w:t>
      </w:r>
      <w:bookmarkEnd w:id="910"/>
    </w:p>
    <w:p w14:paraId="5077346C" w14:textId="77777777" w:rsidR="0004348D" w:rsidRPr="0004348D" w:rsidRDefault="0004348D" w:rsidP="0004348D">
      <w:pPr>
        <w:spacing w:before="360" w:after="240"/>
        <w:rPr>
          <w:rFonts w:ascii="Calibri" w:eastAsia="Calibri" w:hAnsi="Calibri" w:cs="Arial"/>
          <w:u w:val="single"/>
          <w:rtl/>
        </w:rPr>
      </w:pPr>
      <w:r w:rsidRPr="0004348D">
        <w:rPr>
          <w:rFonts w:ascii="Calibri" w:eastAsia="Calibri" w:hAnsi="Calibri" w:cs="Arial"/>
          <w:u w:val="single"/>
          <w:rtl/>
        </w:rPr>
        <w:t>הבא לפדות משכונו שביד שמעון, ואמר לו 'כבר מחלת לי':</w:t>
      </w:r>
    </w:p>
    <w:p w14:paraId="082302BB" w14:textId="77777777" w:rsidR="0004348D" w:rsidRPr="0004348D" w:rsidRDefault="0004348D" w:rsidP="0004348D">
      <w:pPr>
        <w:numPr>
          <w:ilvl w:val="0"/>
          <w:numId w:val="356"/>
        </w:numPr>
        <w:spacing w:before="360" w:after="240"/>
        <w:contextualSpacing/>
        <w:rPr>
          <w:rFonts w:ascii="Calibri" w:eastAsia="Calibri" w:hAnsi="Calibri" w:cs="Arial"/>
          <w:rtl/>
        </w:rPr>
      </w:pPr>
      <w:r w:rsidRPr="0004348D">
        <w:rPr>
          <w:rFonts w:ascii="Calibri" w:eastAsia="Calibri" w:hAnsi="Calibri" w:cs="Arial"/>
          <w:rtl/>
        </w:rPr>
        <w:t xml:space="preserve">רא"ש </w:t>
      </w:r>
      <w:r w:rsidRPr="0004348D">
        <w:rPr>
          <w:rFonts w:ascii="Calibri" w:eastAsia="Calibri" w:hAnsi="Calibri" w:cs="Arial"/>
          <w:sz w:val="16"/>
          <w:szCs w:val="16"/>
          <w:rtl/>
        </w:rPr>
        <w:t>(כלל צ סי' י)</w:t>
      </w:r>
      <w:r w:rsidRPr="0004348D">
        <w:rPr>
          <w:rFonts w:ascii="Calibri" w:eastAsia="Calibri" w:hAnsi="Calibri" w:cs="Arial"/>
          <w:rtl/>
        </w:rPr>
        <w:t xml:space="preserve"> וטור- וששאלת ראובן שרוצה לפדות משכונו שביד שמעון, ואמר ליה שמעון 'כבר מחלת לי', וטוען ראובן שאינו מחילה לפי שלא היה בקנין. תשובה, מחילה לא בעי קנין, מיהו מחילה לא שייך במשכון, בשלמא כשאדם חייב לחבירו מנה ומוחל עליו הוי מחילה במקום פרעון. אבל כשיש לאדם חפץ ביד חבירו ואומר לו אני מוחל לך החפץ - לאו כלום הוא אא"כ שיאמר לו אני נותנו לך </w:t>
      </w:r>
      <w:r w:rsidRPr="0004348D">
        <w:rPr>
          <w:rFonts w:ascii="Calibri" w:eastAsia="Calibri" w:hAnsi="Calibri" w:cs="Arial"/>
          <w:sz w:val="16"/>
          <w:szCs w:val="16"/>
          <w:rtl/>
        </w:rPr>
        <w:t>(ל' הטור בשם הרא"ש)</w:t>
      </w:r>
      <w:r w:rsidRPr="0004348D">
        <w:rPr>
          <w:rFonts w:ascii="Calibri" w:eastAsia="Calibri" w:hAnsi="Calibri" w:cs="Arial"/>
          <w:rtl/>
        </w:rPr>
        <w:t xml:space="preserve">. </w:t>
      </w:r>
      <w:r w:rsidRPr="0004348D">
        <w:rPr>
          <w:rFonts w:ascii="Calibri" w:eastAsia="Calibri" w:hAnsi="Calibri" w:cs="Arial"/>
          <w:color w:val="E36C0A" w:themeColor="accent6" w:themeShade="BF"/>
          <w:rtl/>
        </w:rPr>
        <w:t>(וכ"פ בשו"ע)</w:t>
      </w:r>
      <w:r w:rsidRPr="0004348D">
        <w:rPr>
          <w:rFonts w:ascii="Calibri" w:eastAsia="Calibri" w:hAnsi="Calibri" w:cs="Arial"/>
          <w:rtl/>
        </w:rPr>
        <w:t xml:space="preserve"> </w:t>
      </w:r>
    </w:p>
    <w:p w14:paraId="422C7E33" w14:textId="77777777" w:rsidR="0004348D" w:rsidRPr="0004348D" w:rsidRDefault="0004348D" w:rsidP="0004348D">
      <w:pPr>
        <w:spacing w:before="360" w:after="240"/>
        <w:rPr>
          <w:rFonts w:ascii="Arial" w:eastAsia="Calibri" w:hAnsi="Arial" w:cs="Arial"/>
          <w:b/>
          <w:bCs/>
          <w:color w:val="000000"/>
          <w:sz w:val="28"/>
          <w:szCs w:val="28"/>
          <w:u w:val="single"/>
          <w:rtl/>
        </w:rPr>
      </w:pPr>
      <w:r w:rsidRPr="0004348D">
        <w:rPr>
          <w:rFonts w:ascii="Arial" w:eastAsia="Calibri" w:hAnsi="Arial" w:cs="Arial"/>
          <w:b/>
          <w:bCs/>
          <w:color w:val="000000"/>
          <w:sz w:val="28"/>
          <w:szCs w:val="28"/>
          <w:u w:val="single"/>
          <w:rtl/>
        </w:rPr>
        <w:t>שו"ע:</w:t>
      </w:r>
    </w:p>
    <w:p w14:paraId="3FF24232" w14:textId="77777777" w:rsidR="0004348D" w:rsidRPr="0004348D" w:rsidRDefault="0004348D" w:rsidP="0004348D">
      <w:pPr>
        <w:spacing w:before="360" w:after="240"/>
        <w:rPr>
          <w:rFonts w:ascii="Calibri" w:eastAsia="Calibri" w:hAnsi="Calibri" w:cs="Arial"/>
          <w:rtl/>
        </w:rPr>
      </w:pPr>
      <w:r w:rsidRPr="0004348D">
        <w:rPr>
          <w:rFonts w:ascii="Calibri" w:eastAsia="Calibri" w:hAnsi="Calibri" w:cs="Arial"/>
          <w:rtl/>
        </w:rPr>
        <w:t>הבא לפדות משכונו שביד שמעון, ואמר לו 'כבר מחלת לי', אין בדבריו כלום, משום דבאדם שחייב לחבירו מעות שייך לשון מחילה, אבל כשיש לו ביד חבירו חפץ</w:t>
      </w:r>
      <w:r w:rsidRPr="0004348D">
        <w:rPr>
          <w:rFonts w:ascii="Calibri" w:eastAsia="Calibri" w:hAnsi="Calibri" w:cs="Arial"/>
          <w:vertAlign w:val="superscript"/>
          <w:rtl/>
        </w:rPr>
        <w:footnoteReference w:id="6107"/>
      </w:r>
      <w:r w:rsidRPr="0004348D">
        <w:rPr>
          <w:rFonts w:ascii="Calibri" w:eastAsia="Calibri" w:hAnsi="Calibri" w:cs="Arial"/>
          <w:rtl/>
        </w:rPr>
        <w:t xml:space="preserve">, לא שייך לשון מחילה אלא לשון מתנה. </w:t>
      </w:r>
    </w:p>
    <w:p w14:paraId="4BE23F92" w14:textId="77777777" w:rsidR="0004348D" w:rsidRPr="0004348D" w:rsidRDefault="0004348D" w:rsidP="0004348D">
      <w:pPr>
        <w:spacing w:before="360" w:after="240"/>
        <w:rPr>
          <w:rFonts w:ascii="Calibri" w:eastAsia="Calibri" w:hAnsi="Calibri" w:cs="Arial"/>
          <w:rtl/>
        </w:rPr>
      </w:pPr>
    </w:p>
    <w:p w14:paraId="41ADA1D9" w14:textId="77777777" w:rsidR="0004348D" w:rsidRPr="0004348D" w:rsidRDefault="0004348D" w:rsidP="0004348D">
      <w:pPr>
        <w:keepNext/>
        <w:keepLines/>
        <w:spacing w:before="360" w:after="240"/>
        <w:outlineLvl w:val="1"/>
        <w:rPr>
          <w:rFonts w:ascii="Cambria" w:eastAsia="Times New Roman" w:hAnsi="Cambria" w:cs="Arial"/>
          <w:bCs/>
          <w:color w:val="548DD4" w:themeColor="text2" w:themeTint="99"/>
          <w:sz w:val="26"/>
          <w:szCs w:val="26"/>
          <w:rtl/>
        </w:rPr>
      </w:pPr>
      <w:bookmarkStart w:id="911" w:name="_Toc24884283"/>
      <w:r w:rsidRPr="0004348D">
        <w:rPr>
          <w:rFonts w:ascii="Cambria" w:eastAsia="Times New Roman" w:hAnsi="Cambria" w:cs="Arial"/>
          <w:bCs/>
          <w:color w:val="548DD4" w:themeColor="text2" w:themeTint="99"/>
          <w:sz w:val="26"/>
          <w:szCs w:val="26"/>
          <w:rtl/>
        </w:rPr>
        <w:t>סעיף כ: לוה שאמר למלוה למשכן את משכונו ביד אחר, והמלוה הבין שאמר למשכנו ברבית.</w:t>
      </w:r>
      <w:bookmarkEnd w:id="911"/>
    </w:p>
    <w:p w14:paraId="3D26EB8E" w14:textId="77777777" w:rsidR="0004348D" w:rsidRPr="0004348D" w:rsidRDefault="0004348D" w:rsidP="0004348D">
      <w:pPr>
        <w:spacing w:before="360" w:after="240"/>
        <w:rPr>
          <w:rFonts w:ascii="Calibri" w:eastAsia="Calibri" w:hAnsi="Calibri" w:cs="Arial"/>
          <w:u w:val="single"/>
          <w:rtl/>
        </w:rPr>
      </w:pPr>
      <w:r w:rsidRPr="0004348D">
        <w:rPr>
          <w:rFonts w:ascii="Calibri" w:eastAsia="Calibri" w:hAnsi="Calibri" w:cs="Arial"/>
          <w:u w:val="single"/>
          <w:rtl/>
        </w:rPr>
        <w:t>לוה שאמר למלוה למשכן את משכונו ביד אחר, והמלוה הבין שאמר למשכנו ברבית – ועתה רוצה הלוה לפדותו:</w:t>
      </w:r>
    </w:p>
    <w:p w14:paraId="19278BBE" w14:textId="77777777" w:rsidR="0004348D" w:rsidRPr="0004348D" w:rsidRDefault="0004348D" w:rsidP="0004348D">
      <w:pPr>
        <w:numPr>
          <w:ilvl w:val="0"/>
          <w:numId w:val="356"/>
        </w:numPr>
        <w:spacing w:before="360" w:after="240"/>
        <w:contextualSpacing/>
        <w:rPr>
          <w:rFonts w:ascii="Calibri" w:eastAsia="Calibri" w:hAnsi="Calibri" w:cs="Arial"/>
          <w:rtl/>
        </w:rPr>
      </w:pPr>
      <w:r w:rsidRPr="0004348D">
        <w:rPr>
          <w:rFonts w:ascii="Calibri" w:eastAsia="Calibri" w:hAnsi="Calibri" w:cs="Arial"/>
          <w:rtl/>
        </w:rPr>
        <w:t xml:space="preserve">רא"ש </w:t>
      </w:r>
      <w:r w:rsidRPr="0004348D">
        <w:rPr>
          <w:rFonts w:ascii="Calibri" w:eastAsia="Calibri" w:hAnsi="Calibri" w:cs="Arial"/>
          <w:sz w:val="16"/>
          <w:szCs w:val="16"/>
          <w:rtl/>
        </w:rPr>
        <w:t>(כלל צ סי' ט)</w:t>
      </w:r>
      <w:r w:rsidRPr="0004348D">
        <w:rPr>
          <w:rFonts w:ascii="Calibri" w:eastAsia="Calibri" w:hAnsi="Calibri" w:cs="Arial"/>
          <w:rtl/>
        </w:rPr>
        <w:t xml:space="preserve"> וטור- ששאלת ראובן תבע משכונו משמעון, ושמעון משיב 'הלויתיך לזמן פלוני וכשהגיע הזמן הזהרתיך לפדותו ואמרת לי לך ומשכנו ומשכנתיו על פיך ברבית תן הקרן והרבית ויחזרו לך משכונך', שאל הדיין לשמעון 'וכי אמר לך למשכנו ברבית', והשיב 'באמת לא אמר לי אלא לך ומשכנו והבנתי מדבריו שאמשכן אותו ברבית', וראובן טוען שמעולם לא אמר לו למשכנו וכל שכן ברבית. תשובה, כיון ששמעון מודה שראובן לא א"ל למשכנו ברבית אלא למשכנו סתם אין בלשון הזה במשמע שימשכנו ברבית ושיפרע הוא הרבית אלא שיבקש מי שילוה המעות בחנם על המשכון, ומה שהוא אמר שהבין מדבריו שימשכנו ברבית דברים שבלב אינן דברים ולא היה לו לסמוך על מחשבתו עד שיפרש לו שיפרע הרבית, וכיון שלא פירש אינו מחויב לו רק הקרן ויחזיר לו משכונו </w:t>
      </w:r>
      <w:r w:rsidRPr="0004348D">
        <w:rPr>
          <w:rFonts w:ascii="Calibri" w:eastAsia="Calibri" w:hAnsi="Calibri" w:cs="Arial"/>
          <w:sz w:val="16"/>
          <w:szCs w:val="16"/>
          <w:rtl/>
        </w:rPr>
        <w:t>(ל' הטור בשם הרא"ש)</w:t>
      </w:r>
      <w:r w:rsidRPr="0004348D">
        <w:rPr>
          <w:rFonts w:ascii="Calibri" w:eastAsia="Calibri" w:hAnsi="Calibri" w:cs="Arial"/>
          <w:rtl/>
        </w:rPr>
        <w:t xml:space="preserve">. </w:t>
      </w:r>
      <w:r w:rsidRPr="0004348D">
        <w:rPr>
          <w:rFonts w:ascii="Calibri" w:eastAsia="Calibri" w:hAnsi="Calibri" w:cs="Arial"/>
          <w:color w:val="E36C0A" w:themeColor="accent6" w:themeShade="BF"/>
          <w:rtl/>
        </w:rPr>
        <w:t>(וכ"פ בשו"ע)</w:t>
      </w:r>
    </w:p>
    <w:p w14:paraId="1D28B3BE" w14:textId="77777777" w:rsidR="0004348D" w:rsidRPr="0004348D" w:rsidRDefault="0004348D" w:rsidP="0004348D">
      <w:pPr>
        <w:spacing w:before="360" w:after="240"/>
        <w:rPr>
          <w:rFonts w:ascii="Arial" w:eastAsia="Calibri" w:hAnsi="Arial" w:cs="Arial"/>
          <w:b/>
          <w:bCs/>
          <w:color w:val="000000"/>
          <w:sz w:val="28"/>
          <w:szCs w:val="28"/>
          <w:u w:val="single"/>
          <w:rtl/>
        </w:rPr>
      </w:pPr>
      <w:r w:rsidRPr="0004348D">
        <w:rPr>
          <w:rFonts w:ascii="Arial" w:eastAsia="Calibri" w:hAnsi="Arial" w:cs="Arial"/>
          <w:b/>
          <w:bCs/>
          <w:color w:val="000000"/>
          <w:sz w:val="28"/>
          <w:szCs w:val="28"/>
          <w:u w:val="single"/>
          <w:rtl/>
        </w:rPr>
        <w:t>שו"ע:</w:t>
      </w:r>
    </w:p>
    <w:p w14:paraId="3D8450F2" w14:textId="77777777" w:rsidR="0004348D" w:rsidRPr="0004348D" w:rsidRDefault="0004348D" w:rsidP="0004348D">
      <w:pPr>
        <w:spacing w:before="360" w:after="240"/>
        <w:rPr>
          <w:rFonts w:ascii="Calibri" w:eastAsia="Calibri" w:hAnsi="Calibri" w:cs="Arial"/>
          <w:rtl/>
        </w:rPr>
      </w:pPr>
      <w:r w:rsidRPr="0004348D">
        <w:rPr>
          <w:rFonts w:ascii="Calibri" w:eastAsia="Calibri" w:hAnsi="Calibri" w:cs="Arial"/>
          <w:rtl/>
        </w:rPr>
        <w:t>הבא לפדות משכונו משמעון, ואמר לו הזהרתיך לפדותו כשהגיע הזמן, ואמרת לי לך ומשכנו, והבנתי שדעתך לומר שאמשכננו ברבית וכן עשיתי תפרע הקרן והרבית, אין במשמעות לשון זה שימשכננו ברבית, ולכן לא יפרע לו אלא הקרן.</w:t>
      </w:r>
    </w:p>
    <w:p w14:paraId="18223459" w14:textId="77777777" w:rsidR="0004348D" w:rsidRPr="0004348D" w:rsidRDefault="0004348D" w:rsidP="0004348D">
      <w:pPr>
        <w:spacing w:before="360" w:after="240"/>
        <w:rPr>
          <w:rFonts w:ascii="Calibri" w:eastAsia="Calibri" w:hAnsi="Calibri" w:cs="Arial"/>
          <w:rtl/>
        </w:rPr>
      </w:pPr>
    </w:p>
    <w:p w14:paraId="733F0B67" w14:textId="77777777" w:rsidR="0004348D" w:rsidRPr="0004348D" w:rsidRDefault="0004348D" w:rsidP="0004348D">
      <w:pPr>
        <w:bidi w:val="0"/>
        <w:spacing w:before="360" w:after="240"/>
        <w:rPr>
          <w:rFonts w:ascii="Cambria" w:eastAsia="Times New Roman" w:hAnsi="Cambria" w:cs="Arial"/>
          <w:b/>
          <w:bCs/>
          <w:color w:val="365F91" w:themeColor="accent1" w:themeShade="BF"/>
          <w:sz w:val="28"/>
          <w:szCs w:val="28"/>
          <w:rtl/>
        </w:rPr>
        <w:sectPr w:rsidR="0004348D" w:rsidRPr="0004348D">
          <w:headerReference w:type="default" r:id="rId82"/>
          <w:footnotePr>
            <w:numRestart w:val="eachPage"/>
          </w:footnotePr>
          <w:pgSz w:w="11906" w:h="16838"/>
          <w:pgMar w:top="720" w:right="1134" w:bottom="720" w:left="1134" w:header="0" w:footer="0" w:gutter="0"/>
          <w:cols w:space="720"/>
          <w:bidi/>
          <w:rtlGutter/>
        </w:sectPr>
      </w:pPr>
    </w:p>
    <w:p w14:paraId="54A55CC9" w14:textId="77777777" w:rsidR="0004348D" w:rsidRPr="0004348D" w:rsidRDefault="0004348D" w:rsidP="0004348D">
      <w:pPr>
        <w:keepNext/>
        <w:keepLines/>
        <w:spacing w:before="360" w:after="240"/>
        <w:outlineLvl w:val="0"/>
        <w:rPr>
          <w:rFonts w:ascii="Cambria" w:eastAsia="Times New Roman" w:hAnsi="Cambria" w:cs="Arial"/>
          <w:b/>
          <w:bCs/>
          <w:color w:val="365F91" w:themeColor="accent1" w:themeShade="BF"/>
          <w:sz w:val="28"/>
          <w:szCs w:val="28"/>
          <w:rtl/>
        </w:rPr>
      </w:pPr>
      <w:bookmarkStart w:id="912" w:name="_Toc24884284"/>
      <w:r w:rsidRPr="0004348D">
        <w:rPr>
          <w:rFonts w:ascii="Cambria" w:eastAsia="Times New Roman" w:hAnsi="Cambria" w:cs="Arial"/>
          <w:b/>
          <w:bCs/>
          <w:color w:val="365F91" w:themeColor="accent1" w:themeShade="BF"/>
          <w:sz w:val="28"/>
          <w:szCs w:val="28"/>
          <w:rtl/>
        </w:rPr>
        <w:t>סימן עד: באיזה מקום ניתנה מלוה לפרוע, וסדר הפרעון, ובו ז' סעיפים.</w:t>
      </w:r>
      <w:bookmarkEnd w:id="912"/>
      <w:r w:rsidRPr="0004348D">
        <w:rPr>
          <w:rFonts w:ascii="Cambria" w:eastAsia="Times New Roman" w:hAnsi="Cambria" w:cs="Arial"/>
          <w:b/>
          <w:bCs/>
          <w:color w:val="365F91" w:themeColor="accent1" w:themeShade="BF"/>
          <w:sz w:val="28"/>
          <w:szCs w:val="28"/>
          <w:rtl/>
        </w:rPr>
        <w:t xml:space="preserve"> </w:t>
      </w:r>
    </w:p>
    <w:p w14:paraId="66E57A49" w14:textId="77777777" w:rsidR="0004348D" w:rsidRPr="0004348D" w:rsidRDefault="0004348D" w:rsidP="0004348D">
      <w:pPr>
        <w:keepNext/>
        <w:keepLines/>
        <w:spacing w:before="360" w:after="240"/>
        <w:outlineLvl w:val="1"/>
        <w:rPr>
          <w:rFonts w:ascii="Cambria" w:eastAsia="Times New Roman" w:hAnsi="Cambria" w:cs="Arial"/>
          <w:b/>
          <w:color w:val="548DD4" w:themeColor="text2" w:themeTint="99"/>
          <w:sz w:val="26"/>
          <w:szCs w:val="26"/>
          <w:rtl/>
        </w:rPr>
      </w:pPr>
      <w:bookmarkStart w:id="913" w:name="_Toc24884285"/>
      <w:r w:rsidRPr="0004348D">
        <w:rPr>
          <w:rFonts w:ascii="Cambria" w:eastAsia="Times New Roman" w:hAnsi="Cambria" w:cs="Arial"/>
          <w:bCs/>
          <w:color w:val="548DD4" w:themeColor="text2" w:themeTint="99"/>
          <w:sz w:val="26"/>
          <w:szCs w:val="26"/>
          <w:rtl/>
        </w:rPr>
        <w:t>סעיף א: באיזה מקום ניתנה מלוה לפרוע</w:t>
      </w:r>
      <w:r w:rsidRPr="0004348D">
        <w:rPr>
          <w:rFonts w:ascii="Cambria" w:eastAsia="Times New Roman" w:hAnsi="Cambria" w:cs="Arial"/>
          <w:b/>
          <w:color w:val="548DD4" w:themeColor="text2" w:themeTint="99"/>
          <w:sz w:val="26"/>
          <w:szCs w:val="26"/>
          <w:rtl/>
        </w:rPr>
        <w:t>.</w:t>
      </w:r>
      <w:bookmarkEnd w:id="913"/>
    </w:p>
    <w:p w14:paraId="0C91389C" w14:textId="77777777" w:rsidR="0004348D" w:rsidRPr="0004348D" w:rsidRDefault="0004348D" w:rsidP="0004348D">
      <w:pPr>
        <w:spacing w:before="360" w:after="240"/>
        <w:rPr>
          <w:rFonts w:ascii="Calibri" w:eastAsia="Calibri" w:hAnsi="Calibri" w:cs="Arial"/>
          <w:rtl/>
        </w:rPr>
      </w:pPr>
      <w:r w:rsidRPr="0004348D">
        <w:rPr>
          <w:rFonts w:ascii="Calibri" w:eastAsia="Calibri" w:hAnsi="Calibri" w:cs="Arial"/>
          <w:b/>
          <w:bCs/>
          <w:rtl/>
        </w:rPr>
        <w:t xml:space="preserve">בבא קמא </w:t>
      </w:r>
      <w:r w:rsidRPr="0004348D">
        <w:rPr>
          <w:rFonts w:ascii="Calibri" w:eastAsia="Calibri" w:hAnsi="Calibri" w:cs="Arial"/>
          <w:b/>
          <w:bCs/>
          <w:sz w:val="16"/>
          <w:szCs w:val="16"/>
          <w:rtl/>
        </w:rPr>
        <w:t xml:space="preserve">(פרק הגוזל ומאכיל) </w:t>
      </w:r>
      <w:r w:rsidRPr="0004348D">
        <w:rPr>
          <w:rFonts w:ascii="Calibri" w:eastAsia="Calibri" w:hAnsi="Calibri" w:cs="Arial"/>
          <w:b/>
          <w:bCs/>
          <w:rtl/>
        </w:rPr>
        <w:t>קיח</w:t>
      </w:r>
      <w:r w:rsidRPr="0004348D">
        <w:rPr>
          <w:rFonts w:ascii="Calibri" w:eastAsia="Calibri" w:hAnsi="Calibri" w:cs="Arial"/>
          <w:b/>
          <w:bCs/>
          <w:vertAlign w:val="superscript"/>
          <w:rtl/>
        </w:rPr>
        <w:footnoteReference w:id="6108"/>
      </w:r>
      <w:r w:rsidRPr="0004348D">
        <w:rPr>
          <w:rFonts w:ascii="Calibri" w:eastAsia="Calibri" w:hAnsi="Calibri" w:cs="Arial"/>
          <w:b/>
          <w:bCs/>
          <w:rtl/>
        </w:rPr>
        <w:t xml:space="preserve"> ע"א:</w:t>
      </w:r>
      <w:r w:rsidRPr="0004348D">
        <w:rPr>
          <w:rFonts w:ascii="Calibri" w:eastAsia="Calibri" w:hAnsi="Calibri" w:cs="Arial"/>
          <w:rtl/>
        </w:rPr>
        <w:t xml:space="preserve"> </w:t>
      </w:r>
      <w:r w:rsidRPr="0004348D">
        <w:rPr>
          <w:rFonts w:ascii="Calibri" w:eastAsia="Calibri" w:hAnsi="Calibri" w:cs="Arial"/>
          <w:u w:val="double"/>
          <w:rtl/>
        </w:rPr>
        <w:t>מתני'</w:t>
      </w:r>
      <w:r w:rsidRPr="0004348D">
        <w:rPr>
          <w:rFonts w:ascii="Calibri" w:eastAsia="Calibri" w:hAnsi="Calibri" w:cs="Arial"/>
          <w:rtl/>
        </w:rPr>
        <w:t xml:space="preserve">: הגוזל את חבירו, או שהלוה הימנו, או שהפקיד לו בישוב - לא יחזיר לו במדבר. על מנת לצאת במדבר - יחזיר לו במדבר.     </w:t>
      </w:r>
      <w:r w:rsidRPr="0004348D">
        <w:rPr>
          <w:rFonts w:ascii="Calibri" w:eastAsia="Calibri" w:hAnsi="Calibri" w:cs="Arial"/>
          <w:u w:val="double"/>
          <w:rtl/>
        </w:rPr>
        <w:t>גמ'</w:t>
      </w:r>
      <w:r w:rsidRPr="0004348D">
        <w:rPr>
          <w:rFonts w:ascii="Calibri" w:eastAsia="Calibri" w:hAnsi="Calibri" w:cs="Arial"/>
          <w:rtl/>
        </w:rPr>
        <w:t xml:space="preserve">: ורמינהו: מלוה משתלמת בכל מקום, אבידה ופקדון אין משתלמין אלא במקומן! </w:t>
      </w:r>
      <w:r w:rsidRPr="0004348D">
        <w:rPr>
          <w:rFonts w:ascii="Calibri" w:eastAsia="Calibri" w:hAnsi="Calibri" w:cs="Arial"/>
          <w:u w:val="single"/>
          <w:rtl/>
        </w:rPr>
        <w:t>אמר אביי</w:t>
      </w:r>
      <w:r w:rsidRPr="0004348D">
        <w:rPr>
          <w:rFonts w:ascii="Calibri" w:eastAsia="Calibri" w:hAnsi="Calibri" w:cs="Arial"/>
          <w:rtl/>
        </w:rPr>
        <w:t xml:space="preserve">: ה"ק - מלוה ניתנה ליתבע בכל מקום, אבידה ופקדון לא ניתנו ליתבע אלא במקומן. </w:t>
      </w:r>
      <w:r w:rsidRPr="0004348D">
        <w:rPr>
          <w:rFonts w:ascii="Calibri" w:eastAsia="Calibri" w:hAnsi="Calibri" w:cs="Arial"/>
          <w:sz w:val="16"/>
          <w:szCs w:val="16"/>
          <w:rtl/>
        </w:rPr>
        <w:t xml:space="preserve">(וכתב הרי"ף </w:t>
      </w:r>
      <w:r w:rsidRPr="0004348D">
        <w:rPr>
          <w:rFonts w:ascii="Calibri" w:eastAsia="Calibri" w:hAnsi="Calibri" w:cs="Arial"/>
          <w:sz w:val="14"/>
          <w:szCs w:val="14"/>
          <w:rtl/>
        </w:rPr>
        <w:t xml:space="preserve">(מד:, הביאו הב"י) </w:t>
      </w:r>
      <w:r w:rsidRPr="0004348D">
        <w:rPr>
          <w:rFonts w:ascii="Calibri" w:eastAsia="Calibri" w:hAnsi="Calibri" w:cs="Arial"/>
          <w:sz w:val="16"/>
          <w:szCs w:val="16"/>
          <w:rtl/>
        </w:rPr>
        <w:t>שמעינן ממתניתין ומברייתא דהמלוה את חבירו בישוב אית ליה רשותא למיגבא מיניה בדברא אפילו בעל כרחיה דלוה, אבל אי לא בעי מלוה לאיפרועי בדברא לית ליה רשותא ללוה למימר למלוה הא לך זוזי דאית לך גבאי, אלא קיימי ברשותיה עד דפרע ליה בישוב כדאוזפיה בישוב)</w:t>
      </w:r>
    </w:p>
    <w:p w14:paraId="3A357657" w14:textId="77777777" w:rsidR="0004348D" w:rsidRPr="0004348D" w:rsidRDefault="0004348D" w:rsidP="0004348D">
      <w:pPr>
        <w:spacing w:before="360" w:after="240"/>
        <w:rPr>
          <w:rFonts w:ascii="Calibri" w:eastAsia="Calibri" w:hAnsi="Calibri" w:cs="Arial"/>
          <w:u w:val="single"/>
          <w:rtl/>
        </w:rPr>
      </w:pPr>
      <w:r w:rsidRPr="0004348D">
        <w:rPr>
          <w:rFonts w:ascii="Calibri" w:eastAsia="Calibri" w:hAnsi="Calibri" w:cs="Arial"/>
          <w:u w:val="single"/>
          <w:rtl/>
        </w:rPr>
        <w:t>הלוהו ביישוב – ותובעו במדבר:</w:t>
      </w:r>
    </w:p>
    <w:p w14:paraId="3009ADE4" w14:textId="77777777" w:rsidR="0004348D" w:rsidRPr="0004348D" w:rsidRDefault="0004348D" w:rsidP="0004348D">
      <w:pPr>
        <w:numPr>
          <w:ilvl w:val="0"/>
          <w:numId w:val="356"/>
        </w:numPr>
        <w:spacing w:before="360" w:after="240"/>
        <w:contextualSpacing/>
        <w:rPr>
          <w:rFonts w:ascii="Calibri" w:eastAsia="Calibri" w:hAnsi="Calibri" w:cs="Arial"/>
          <w:rtl/>
        </w:rPr>
      </w:pPr>
      <w:r w:rsidRPr="0004348D">
        <w:rPr>
          <w:rFonts w:ascii="Calibri" w:eastAsia="Calibri" w:hAnsi="Calibri" w:cs="Arial"/>
          <w:rtl/>
        </w:rPr>
        <w:t xml:space="preserve">טור- המלוה ניתנה ליתבע בכל מקום, שאפילו הלוהו בישוב - יכול לתבעו במדבר, ולא יועיל לומר לא אפרע לך עד שאגיע לישוב. </w:t>
      </w:r>
      <w:r w:rsidRPr="0004348D">
        <w:rPr>
          <w:rFonts w:ascii="Calibri" w:eastAsia="Calibri" w:hAnsi="Calibri" w:cs="Arial"/>
          <w:color w:val="E36C0A" w:themeColor="accent6" w:themeShade="BF"/>
          <w:rtl/>
        </w:rPr>
        <w:t>(וכ"פ בשו"ע)</w:t>
      </w:r>
    </w:p>
    <w:p w14:paraId="7E60C5D6" w14:textId="77777777" w:rsidR="0004348D" w:rsidRPr="0004348D" w:rsidRDefault="0004348D" w:rsidP="0004348D">
      <w:pPr>
        <w:spacing w:before="360" w:after="240"/>
        <w:ind w:left="360"/>
        <w:rPr>
          <w:rFonts w:ascii="Calibri" w:eastAsia="Calibri" w:hAnsi="Calibri" w:cs="Arial"/>
          <w:u w:val="dotted"/>
        </w:rPr>
      </w:pPr>
      <w:r w:rsidRPr="0004348D">
        <w:rPr>
          <w:rFonts w:ascii="Calibri" w:eastAsia="Calibri" w:hAnsi="Calibri" w:cs="Arial"/>
          <w:u w:val="dotted"/>
          <w:rtl/>
        </w:rPr>
        <w:t xml:space="preserve">באיזו מציאות מדובר שיכול לתובעו במדבר </w:t>
      </w:r>
      <w:r w:rsidRPr="0004348D">
        <w:rPr>
          <w:rFonts w:ascii="Calibri" w:eastAsia="Calibri" w:hAnsi="Calibri" w:cs="Arial"/>
          <w:sz w:val="16"/>
          <w:szCs w:val="16"/>
          <w:u w:val="dotted"/>
          <w:rtl/>
        </w:rPr>
        <w:t>(דהרי אפשר שאין לו שם די סיפוקו)</w:t>
      </w:r>
      <w:r w:rsidRPr="0004348D">
        <w:rPr>
          <w:rFonts w:ascii="Calibri" w:eastAsia="Calibri" w:hAnsi="Calibri" w:cs="Arial"/>
          <w:u w:val="dotted"/>
          <w:rtl/>
        </w:rPr>
        <w:t>:</w:t>
      </w:r>
    </w:p>
    <w:p w14:paraId="6192A3EB" w14:textId="77777777" w:rsidR="0004348D" w:rsidRPr="0004348D" w:rsidRDefault="0004348D" w:rsidP="0004348D">
      <w:pPr>
        <w:numPr>
          <w:ilvl w:val="0"/>
          <w:numId w:val="356"/>
        </w:numPr>
        <w:spacing w:before="360" w:after="240"/>
        <w:contextualSpacing/>
        <w:rPr>
          <w:rFonts w:ascii="Calibri" w:eastAsia="Calibri" w:hAnsi="Calibri" w:cs="Arial"/>
        </w:rPr>
      </w:pPr>
      <w:r w:rsidRPr="0004348D">
        <w:rPr>
          <w:rFonts w:ascii="Calibri" w:eastAsia="Calibri" w:hAnsi="Calibri" w:cs="Arial"/>
          <w:rtl/>
        </w:rPr>
        <w:t>רמב"ן</w:t>
      </w:r>
      <w:r w:rsidRPr="0004348D">
        <w:rPr>
          <w:rFonts w:ascii="Calibri" w:eastAsia="Calibri" w:hAnsi="Calibri" w:cs="Arial"/>
          <w:vertAlign w:val="superscript"/>
          <w:rtl/>
        </w:rPr>
        <w:footnoteReference w:id="6109"/>
      </w:r>
      <w:r w:rsidRPr="0004348D">
        <w:rPr>
          <w:rFonts w:ascii="Calibri" w:eastAsia="Calibri" w:hAnsi="Calibri" w:cs="Arial"/>
          <w:rtl/>
        </w:rPr>
        <w:t xml:space="preserve"> ובעל התרומות</w:t>
      </w:r>
      <w:r w:rsidRPr="0004348D">
        <w:rPr>
          <w:rFonts w:ascii="Calibri" w:eastAsia="Calibri" w:hAnsi="Calibri" w:cs="Arial"/>
          <w:sz w:val="16"/>
          <w:szCs w:val="16"/>
          <w:rtl/>
        </w:rPr>
        <w:t xml:space="preserve"> (שער ל ח"א סי' ב)</w:t>
      </w:r>
      <w:r w:rsidRPr="0004348D">
        <w:rPr>
          <w:rFonts w:ascii="Calibri" w:eastAsia="Calibri" w:hAnsi="Calibri" w:cs="Arial"/>
          <w:rtl/>
        </w:rPr>
        <w:t>- ודאי אם הלוהו בישוב ומצאו במדבר אין יכול לכופו שיפרענו שם, כי מי ימציא לו מעות שם. ואפילו שמודה שיש לו שם מעות אך אין לו אלא כדי ספוקו עד שיגיע לישוב - אינו חייב ליתנם לו, שאף בישוב מסדרין לו ונותנין לו מזון הראוי לו</w:t>
      </w:r>
      <w:r w:rsidRPr="0004348D">
        <w:rPr>
          <w:rFonts w:ascii="Calibri" w:eastAsia="Calibri" w:hAnsi="Calibri" w:cs="Arial"/>
          <w:sz w:val="16"/>
          <w:szCs w:val="16"/>
          <w:rtl/>
        </w:rPr>
        <w:t xml:space="preserve"> (ב"מ קיג:)</w:t>
      </w:r>
      <w:r w:rsidRPr="0004348D">
        <w:rPr>
          <w:rFonts w:ascii="Calibri" w:eastAsia="Calibri" w:hAnsi="Calibri" w:cs="Arial"/>
          <w:rtl/>
        </w:rPr>
        <w:t>. אלא מיירי שהמלוה א"ל 'פרע לי כאן כי יודע אני שיש לך דבר המספיק לפרעון שלי ולמחייתך', והלוה אמר 'אין לי כאן מה שיספיק לחובך כי אם למחייתי עד שאגיע לישוב' - הרי זה נשבע היסת שאין בידו ספוק לפרעון חובו</w:t>
      </w:r>
      <w:r w:rsidRPr="0004348D">
        <w:rPr>
          <w:rFonts w:ascii="Calibri" w:eastAsia="Calibri" w:hAnsi="Calibri" w:cs="Arial"/>
          <w:vertAlign w:val="superscript"/>
          <w:rtl/>
        </w:rPr>
        <w:footnoteReference w:id="6110"/>
      </w:r>
      <w:r w:rsidRPr="0004348D">
        <w:rPr>
          <w:rFonts w:ascii="Calibri" w:eastAsia="Calibri" w:hAnsi="Calibri" w:cs="Arial"/>
          <w:sz w:val="16"/>
          <w:szCs w:val="16"/>
          <w:rtl/>
        </w:rPr>
        <w:t xml:space="preserve"> (ל' הטור בשם הרמב"ן)</w:t>
      </w:r>
      <w:r w:rsidRPr="0004348D">
        <w:rPr>
          <w:rFonts w:ascii="Calibri" w:eastAsia="Calibri" w:hAnsi="Calibri" w:cs="Arial"/>
          <w:rtl/>
        </w:rPr>
        <w:t>.</w:t>
      </w:r>
      <w:r w:rsidRPr="0004348D">
        <w:rPr>
          <w:rFonts w:ascii="Calibri" w:eastAsia="Calibri" w:hAnsi="Calibri" w:cs="Arial"/>
          <w:color w:val="E36C0A" w:themeColor="accent6" w:themeShade="BF"/>
          <w:rtl/>
        </w:rPr>
        <w:t xml:space="preserve"> (וכ"פ בשו"ע)</w:t>
      </w:r>
    </w:p>
    <w:p w14:paraId="51A74DE7" w14:textId="77777777" w:rsidR="0004348D" w:rsidRPr="0004348D" w:rsidRDefault="0004348D" w:rsidP="0004348D">
      <w:pPr>
        <w:spacing w:before="360" w:after="240"/>
        <w:rPr>
          <w:rFonts w:ascii="Calibri" w:eastAsia="Calibri" w:hAnsi="Calibri" w:cs="Arial"/>
          <w:rtl/>
        </w:rPr>
      </w:pPr>
      <w:r w:rsidRPr="0004348D">
        <w:rPr>
          <w:rFonts w:ascii="Calibri" w:eastAsia="Calibri" w:hAnsi="Calibri" w:cs="Arial"/>
          <w:u w:val="single"/>
          <w:rtl/>
        </w:rPr>
        <w:t xml:space="preserve">הלוהו ביישוב – ורוצה </w:t>
      </w:r>
      <w:r w:rsidRPr="0004348D">
        <w:rPr>
          <w:rFonts w:ascii="Calibri" w:eastAsia="Calibri" w:hAnsi="Calibri" w:cs="Arial"/>
          <w:b/>
          <w:bCs/>
          <w:u w:val="single"/>
          <w:rtl/>
        </w:rPr>
        <w:t>הלוה</w:t>
      </w:r>
      <w:r w:rsidRPr="0004348D">
        <w:rPr>
          <w:rFonts w:ascii="Calibri" w:eastAsia="Calibri" w:hAnsi="Calibri" w:cs="Arial"/>
          <w:u w:val="single"/>
          <w:rtl/>
        </w:rPr>
        <w:t xml:space="preserve"> לפורעו במדבר:</w:t>
      </w:r>
    </w:p>
    <w:p w14:paraId="1A648776" w14:textId="77777777" w:rsidR="0004348D" w:rsidRPr="0004348D" w:rsidRDefault="0004348D" w:rsidP="0004348D">
      <w:pPr>
        <w:numPr>
          <w:ilvl w:val="0"/>
          <w:numId w:val="356"/>
        </w:numPr>
        <w:spacing w:before="360" w:after="240"/>
        <w:contextualSpacing/>
        <w:rPr>
          <w:rFonts w:ascii="Calibri" w:eastAsia="Calibri" w:hAnsi="Calibri" w:cs="Arial"/>
          <w:rtl/>
        </w:rPr>
      </w:pPr>
      <w:r w:rsidRPr="0004348D">
        <w:rPr>
          <w:rFonts w:ascii="Calibri" w:eastAsia="Calibri" w:hAnsi="Calibri" w:cs="Arial"/>
          <w:rtl/>
        </w:rPr>
        <w:t xml:space="preserve">טור- בא הלוה לפורעו במדבר - אם ירצה המלוה לא יקבל ממנו, לפי שיכול לומר לו 'לא אקבל ממך אלא בישוב כדרך שנתתי לך בישוב'. </w:t>
      </w:r>
      <w:r w:rsidRPr="0004348D">
        <w:rPr>
          <w:rFonts w:ascii="Calibri" w:eastAsia="Calibri" w:hAnsi="Calibri" w:cs="Arial"/>
          <w:color w:val="E36C0A" w:themeColor="accent6" w:themeShade="BF"/>
          <w:rtl/>
        </w:rPr>
        <w:t>(וכ"פ בשו"ע)</w:t>
      </w:r>
    </w:p>
    <w:p w14:paraId="1DAD8CF7" w14:textId="77777777" w:rsidR="0004348D" w:rsidRPr="0004348D" w:rsidRDefault="0004348D" w:rsidP="0004348D">
      <w:pPr>
        <w:spacing w:before="360" w:after="240"/>
        <w:rPr>
          <w:rFonts w:ascii="Calibri" w:eastAsia="Calibri" w:hAnsi="Calibri" w:cs="Arial"/>
        </w:rPr>
      </w:pPr>
      <w:r w:rsidRPr="0004348D">
        <w:rPr>
          <w:rFonts w:ascii="Calibri" w:eastAsia="Calibri" w:hAnsi="Calibri" w:cs="Arial"/>
          <w:u w:val="single"/>
          <w:rtl/>
        </w:rPr>
        <w:t>הלוהו ביישוב – ורוצה הלוה לפורעו ביישוב אחר:</w:t>
      </w:r>
    </w:p>
    <w:p w14:paraId="2605A411" w14:textId="77777777" w:rsidR="0004348D" w:rsidRPr="0004348D" w:rsidRDefault="0004348D" w:rsidP="0004348D">
      <w:pPr>
        <w:numPr>
          <w:ilvl w:val="0"/>
          <w:numId w:val="356"/>
        </w:numPr>
        <w:spacing w:before="360" w:after="240"/>
        <w:contextualSpacing/>
        <w:rPr>
          <w:rFonts w:ascii="Calibri" w:eastAsia="Calibri" w:hAnsi="Calibri" w:cs="Arial"/>
          <w:rtl/>
        </w:rPr>
      </w:pPr>
      <w:r w:rsidRPr="0004348D">
        <w:rPr>
          <w:rFonts w:ascii="Calibri" w:eastAsia="Calibri" w:hAnsi="Calibri" w:cs="Arial"/>
          <w:rtl/>
        </w:rPr>
        <w:t xml:space="preserve">רמב"ן </w:t>
      </w:r>
      <w:r w:rsidRPr="0004348D">
        <w:rPr>
          <w:rFonts w:ascii="Calibri" w:eastAsia="Calibri" w:hAnsi="Calibri" w:cs="Arial"/>
          <w:sz w:val="16"/>
          <w:szCs w:val="16"/>
          <w:rtl/>
        </w:rPr>
        <w:t>(שו"ת סי' לד)</w:t>
      </w:r>
      <w:r w:rsidRPr="0004348D">
        <w:rPr>
          <w:rFonts w:ascii="Calibri" w:eastAsia="Calibri" w:hAnsi="Calibri" w:cs="Arial"/>
          <w:rtl/>
        </w:rPr>
        <w:t xml:space="preserve"> בעל התרומות</w:t>
      </w:r>
      <w:r w:rsidRPr="0004348D">
        <w:rPr>
          <w:rFonts w:ascii="Calibri" w:eastAsia="Calibri" w:hAnsi="Calibri" w:cs="Arial"/>
          <w:sz w:val="16"/>
          <w:szCs w:val="16"/>
          <w:rtl/>
        </w:rPr>
        <w:t xml:space="preserve"> (שער ל ח"א סי' ב) </w:t>
      </w:r>
      <w:r w:rsidRPr="0004348D">
        <w:rPr>
          <w:rFonts w:ascii="Calibri" w:eastAsia="Calibri" w:hAnsi="Calibri" w:cs="Arial"/>
          <w:rtl/>
        </w:rPr>
        <w:t>וטור- ומיהו בכל מקום ישוב יכול לכופו לקבל, אפילו אינו מקום המלוה ולא מקום הלוה ולא במקום שהלוהו - יכול לכופו לקבל, אפילו אם יש כמה מדברות קודם שיגיע למקומו</w:t>
      </w:r>
      <w:r w:rsidRPr="0004348D">
        <w:rPr>
          <w:rFonts w:ascii="Calibri" w:eastAsia="Calibri" w:hAnsi="Calibri" w:cs="Arial"/>
          <w:vertAlign w:val="superscript"/>
          <w:rtl/>
        </w:rPr>
        <w:footnoteReference w:id="6111"/>
      </w:r>
      <w:r w:rsidRPr="0004348D">
        <w:rPr>
          <w:rFonts w:ascii="Calibri" w:eastAsia="Calibri" w:hAnsi="Calibri" w:cs="Arial"/>
          <w:sz w:val="16"/>
          <w:szCs w:val="16"/>
          <w:rtl/>
        </w:rPr>
        <w:t xml:space="preserve"> (ל' הטור)</w:t>
      </w:r>
      <w:r w:rsidRPr="0004348D">
        <w:rPr>
          <w:rFonts w:ascii="Calibri" w:eastAsia="Calibri" w:hAnsi="Calibri" w:cs="Arial"/>
          <w:rtl/>
        </w:rPr>
        <w:t>.</w:t>
      </w:r>
      <w:r w:rsidRPr="0004348D">
        <w:rPr>
          <w:rFonts w:ascii="Calibri" w:eastAsia="Calibri" w:hAnsi="Calibri" w:cs="Arial"/>
          <w:color w:val="E36C0A" w:themeColor="accent6" w:themeShade="BF"/>
          <w:rtl/>
        </w:rPr>
        <w:t xml:space="preserve"> (וכ"פ בשו"ע)</w:t>
      </w:r>
    </w:p>
    <w:p w14:paraId="4173ECD4" w14:textId="77777777" w:rsidR="0004348D" w:rsidRPr="0004348D" w:rsidRDefault="0004348D" w:rsidP="0004348D">
      <w:pPr>
        <w:spacing w:before="360" w:after="240"/>
        <w:rPr>
          <w:rFonts w:ascii="Calibri" w:eastAsia="Calibri" w:hAnsi="Calibri" w:cs="Arial"/>
        </w:rPr>
      </w:pPr>
      <w:r w:rsidRPr="0004348D">
        <w:rPr>
          <w:rFonts w:ascii="Calibri" w:eastAsia="Calibri" w:hAnsi="Calibri" w:cs="Arial"/>
          <w:u w:val="single"/>
          <w:rtl/>
        </w:rPr>
        <w:t>הלוהו ביישוב – ורוצה הלוה לפורעו בשיירא:</w:t>
      </w:r>
    </w:p>
    <w:p w14:paraId="175153E4" w14:textId="77777777" w:rsidR="0004348D" w:rsidRPr="0004348D" w:rsidRDefault="0004348D" w:rsidP="0004348D">
      <w:pPr>
        <w:numPr>
          <w:ilvl w:val="0"/>
          <w:numId w:val="356"/>
        </w:numPr>
        <w:spacing w:before="360" w:after="240"/>
        <w:contextualSpacing/>
        <w:rPr>
          <w:rFonts w:ascii="Calibri" w:eastAsia="Calibri" w:hAnsi="Calibri" w:cs="Arial"/>
        </w:rPr>
      </w:pPr>
      <w:r w:rsidRPr="0004348D">
        <w:rPr>
          <w:rFonts w:ascii="Calibri" w:eastAsia="Calibri" w:hAnsi="Calibri" w:cs="Arial"/>
          <w:rtl/>
        </w:rPr>
        <w:t>בעל התרומות</w:t>
      </w:r>
      <w:r w:rsidRPr="0004348D">
        <w:rPr>
          <w:rFonts w:ascii="Calibri" w:eastAsia="Calibri" w:hAnsi="Calibri" w:cs="Arial"/>
          <w:sz w:val="16"/>
          <w:szCs w:val="16"/>
          <w:rtl/>
        </w:rPr>
        <w:t xml:space="preserve"> (שער ל ח"א סי' ב)</w:t>
      </w:r>
      <w:r w:rsidRPr="0004348D">
        <w:rPr>
          <w:rFonts w:ascii="Calibri" w:eastAsia="Calibri" w:hAnsi="Calibri" w:cs="Arial"/>
          <w:rtl/>
        </w:rPr>
        <w:t xml:space="preserve">- שנו בתוספתא </w:t>
      </w:r>
      <w:r w:rsidRPr="0004348D">
        <w:rPr>
          <w:rFonts w:ascii="Calibri" w:eastAsia="Calibri" w:hAnsi="Calibri" w:cs="Arial"/>
          <w:sz w:val="16"/>
          <w:szCs w:val="16"/>
          <w:rtl/>
        </w:rPr>
        <w:t xml:space="preserve">(ב"ק פ"י הי"ד) </w:t>
      </w:r>
      <w:r w:rsidRPr="0004348D">
        <w:rPr>
          <w:rFonts w:ascii="Calibri" w:eastAsia="Calibri" w:hAnsi="Calibri" w:cs="Arial"/>
          <w:rtl/>
        </w:rPr>
        <w:t xml:space="preserve">הגוזל את חבירו או שלוה ממנו או שהפקידו בישוב - לא יחזיר לו במדבר אבל מחזיר לו בשיירא עכ"ל, אלמא דשיירא מיקרי ישוב. </w:t>
      </w:r>
      <w:r w:rsidRPr="0004348D">
        <w:rPr>
          <w:rFonts w:ascii="Calibri" w:eastAsia="Calibri" w:hAnsi="Calibri" w:cs="Arial"/>
          <w:color w:val="E36C0A" w:themeColor="accent6" w:themeShade="BF"/>
          <w:rtl/>
        </w:rPr>
        <w:t>(וכ"פ בשו"ע)</w:t>
      </w:r>
    </w:p>
    <w:p w14:paraId="260C0142" w14:textId="77777777" w:rsidR="0004348D" w:rsidRPr="0004348D" w:rsidRDefault="0004348D" w:rsidP="0004348D">
      <w:pPr>
        <w:spacing w:before="360" w:after="240"/>
        <w:rPr>
          <w:rFonts w:ascii="Calibri" w:eastAsia="Calibri" w:hAnsi="Calibri" w:cs="Arial"/>
        </w:rPr>
      </w:pPr>
      <w:r w:rsidRPr="0004348D">
        <w:rPr>
          <w:rFonts w:ascii="Calibri" w:eastAsia="Calibri" w:hAnsi="Calibri" w:cs="Arial"/>
          <w:b/>
          <w:bCs/>
          <w:rtl/>
        </w:rPr>
        <w:t xml:space="preserve">בבא קמא </w:t>
      </w:r>
      <w:r w:rsidRPr="0004348D">
        <w:rPr>
          <w:rFonts w:ascii="Calibri" w:eastAsia="Calibri" w:hAnsi="Calibri" w:cs="Arial"/>
          <w:b/>
          <w:bCs/>
          <w:sz w:val="16"/>
          <w:szCs w:val="16"/>
          <w:rtl/>
        </w:rPr>
        <w:t xml:space="preserve">(פרק הגוזל ומאכיל) </w:t>
      </w:r>
      <w:r w:rsidRPr="0004348D">
        <w:rPr>
          <w:rFonts w:ascii="Calibri" w:eastAsia="Calibri" w:hAnsi="Calibri" w:cs="Arial"/>
          <w:b/>
          <w:bCs/>
          <w:rtl/>
        </w:rPr>
        <w:t>קיח ע"א:</w:t>
      </w:r>
      <w:r w:rsidRPr="0004348D">
        <w:rPr>
          <w:rFonts w:ascii="Calibri" w:eastAsia="Calibri" w:hAnsi="Calibri" w:cs="Arial"/>
          <w:rtl/>
        </w:rPr>
        <w:t xml:space="preserve"> </w:t>
      </w:r>
      <w:r w:rsidRPr="0004348D">
        <w:rPr>
          <w:rFonts w:ascii="Calibri" w:eastAsia="Calibri" w:hAnsi="Calibri" w:cs="Arial"/>
          <w:u w:val="double"/>
          <w:rtl/>
        </w:rPr>
        <w:t>מתני'</w:t>
      </w:r>
      <w:r w:rsidRPr="0004348D">
        <w:rPr>
          <w:rFonts w:ascii="Calibri" w:eastAsia="Calibri" w:hAnsi="Calibri" w:cs="Arial"/>
          <w:rtl/>
        </w:rPr>
        <w:t xml:space="preserve">: הגוזל את חבירו, או שהלוה הימנו, או שהפקיד לו בישוב - לא יחזיר לו במדבר. על מנת לצאת במדבר - יחזיר לו במדבר.     </w:t>
      </w:r>
      <w:r w:rsidRPr="0004348D">
        <w:rPr>
          <w:rFonts w:ascii="Calibri" w:eastAsia="Calibri" w:hAnsi="Calibri" w:cs="Arial"/>
          <w:u w:val="double"/>
          <w:rtl/>
        </w:rPr>
        <w:t>גמ'</w:t>
      </w:r>
      <w:r w:rsidRPr="0004348D">
        <w:rPr>
          <w:rFonts w:ascii="Calibri" w:eastAsia="Calibri" w:hAnsi="Calibri" w:cs="Arial"/>
          <w:rtl/>
        </w:rPr>
        <w:t xml:space="preserve">:... על מנת לצאת במדבר. פשיטא! לא צריכא, דא"ל: ליהוי האי פקדון גבך דאנא למדבר נפיקנא, וא"ל איהו: אנא למדבר נמי בעינא למיפק, אי בעינא לאהדרינהו לך התם מהדרנא לך. </w:t>
      </w:r>
      <w:r w:rsidRPr="0004348D">
        <w:rPr>
          <w:rFonts w:ascii="Calibri" w:eastAsia="Calibri" w:hAnsi="Calibri" w:cs="Arial"/>
          <w:sz w:val="16"/>
          <w:szCs w:val="16"/>
          <w:rtl/>
        </w:rPr>
        <w:t>(ופירש רש"י ואשמעינן תנא דאע"ג דלאו תנאי גמור הוא דהא 'אי בעית' קאמר אפילו הכי כיון דידע דאיהו נמי למדבר נפיק על כרחו יקבלנו עכ"ל. והרא"ש (פ"י סי' לא) לא כתב אי בעית לאהדורינהו ניהלך וכו' נראה שלא היה גורס אותו. או שהיה גורס אותו אלא שהוא מפרש דכיון דאי בעית לאהדורינהו וכו' אינו תנאי ואפילו הכי יכול להחזיר לו במדבר הוא הדין נמי כי לא אמר אי בעית לאהדורינהו וכו' כיון שהודיעו שיוצא למדבר שיחזיר לו במדבר. אי נמי שהוא מפרש דהכי קאמר ואמר ליה איהו אנא נמי למדבר בעינא למיפק הוי כאילו אמר ליה אי בעית לאהדורינהו ניהלך התם מהדרנא לך. ולא ידעתי למה השמיט הרי"ף (שם) דין זה דאמר ליה למדבר נפיקנא, וכן נמי הרמב"ם פי"ג ממלוה ולוה (ה"ח) לא הזכירו. ואפשר שהם מפרשים דבעינן דלימא ליה אי בעית לאהדורינהו ניהלך התם מהדרנא לך, וא"כ דבר פשוט הוא ולא הוצרכו להזכירו</w:t>
      </w:r>
      <w:r w:rsidRPr="0004348D">
        <w:rPr>
          <w:rFonts w:ascii="Calibri" w:eastAsia="Calibri" w:hAnsi="Calibri" w:cs="Arial"/>
          <w:sz w:val="14"/>
          <w:szCs w:val="14"/>
          <w:rtl/>
        </w:rPr>
        <w:t xml:space="preserve"> [ואפשר שלא היה כתוב בגירסתם האי פשיטא לא צריכא דאמר ליה וכו', בדה"ב]</w:t>
      </w:r>
      <w:r w:rsidRPr="0004348D">
        <w:rPr>
          <w:rFonts w:ascii="Calibri" w:eastAsia="Calibri" w:hAnsi="Calibri" w:cs="Arial"/>
          <w:sz w:val="16"/>
          <w:szCs w:val="16"/>
          <w:rtl/>
        </w:rPr>
        <w:t>, ב"י)</w:t>
      </w:r>
    </w:p>
    <w:p w14:paraId="359919FE" w14:textId="77777777" w:rsidR="0004348D" w:rsidRPr="0004348D" w:rsidRDefault="0004348D" w:rsidP="0004348D">
      <w:pPr>
        <w:spacing w:before="360" w:after="240"/>
        <w:rPr>
          <w:rFonts w:ascii="Calibri" w:eastAsia="Calibri" w:hAnsi="Calibri" w:cs="Arial"/>
          <w:u w:val="single"/>
          <w:rtl/>
        </w:rPr>
      </w:pPr>
      <w:r w:rsidRPr="0004348D">
        <w:rPr>
          <w:rFonts w:ascii="Calibri" w:eastAsia="Calibri" w:hAnsi="Calibri" w:cs="Arial"/>
          <w:u w:val="single"/>
          <w:rtl/>
        </w:rPr>
        <w:t>הלוהו ביישוב על מנת לצאת למדבר:</w:t>
      </w:r>
    </w:p>
    <w:p w14:paraId="4D86F705" w14:textId="77777777" w:rsidR="0004348D" w:rsidRPr="0004348D" w:rsidRDefault="0004348D" w:rsidP="0004348D">
      <w:pPr>
        <w:numPr>
          <w:ilvl w:val="0"/>
          <w:numId w:val="356"/>
        </w:numPr>
        <w:spacing w:before="360" w:after="240"/>
        <w:contextualSpacing/>
        <w:rPr>
          <w:rFonts w:ascii="Calibri" w:eastAsia="Calibri" w:hAnsi="Calibri" w:cs="Arial"/>
        </w:rPr>
      </w:pPr>
      <w:r w:rsidRPr="0004348D">
        <w:rPr>
          <w:rFonts w:ascii="Calibri" w:eastAsia="Calibri" w:hAnsi="Calibri" w:cs="Arial"/>
          <w:rtl/>
        </w:rPr>
        <w:t xml:space="preserve">טור- הלוהו במדבר - יכול לכופו לקבל במדבר, ואפילו הלוהו בישוב ואומר לו הלוה 'אני רוצה לצאת למדבר', ואמר לו המלוה 'גם אני רוצה לצאת למדבר' - הוי כאילו הלוהו במדבר וצריך לקבל במדבר. </w:t>
      </w:r>
      <w:r w:rsidRPr="0004348D">
        <w:rPr>
          <w:rFonts w:ascii="Calibri" w:eastAsia="Calibri" w:hAnsi="Calibri" w:cs="Arial"/>
          <w:color w:val="00B0F0"/>
          <w:rtl/>
        </w:rPr>
        <w:t>(וכ"פ הרמ"א)</w:t>
      </w:r>
    </w:p>
    <w:p w14:paraId="4DBF5B2C" w14:textId="77777777" w:rsidR="0004348D" w:rsidRPr="0004348D" w:rsidRDefault="0004348D" w:rsidP="0004348D">
      <w:pPr>
        <w:spacing w:before="360" w:after="240"/>
        <w:rPr>
          <w:rFonts w:ascii="Calibri" w:eastAsia="Calibri" w:hAnsi="Calibri" w:cs="Arial"/>
          <w:u w:val="single"/>
          <w:rtl/>
        </w:rPr>
      </w:pPr>
      <w:r w:rsidRPr="0004348D">
        <w:rPr>
          <w:rFonts w:ascii="Calibri" w:eastAsia="Calibri" w:hAnsi="Calibri" w:cs="Arial"/>
          <w:u w:val="single"/>
          <w:rtl/>
        </w:rPr>
        <w:t>אדם שמצא אבידה וכן בעל פיקדון שרוצים להחזיר את הדבר לבעליו במדבר:</w:t>
      </w:r>
    </w:p>
    <w:p w14:paraId="41199774" w14:textId="77777777" w:rsidR="0004348D" w:rsidRPr="0004348D" w:rsidRDefault="0004348D" w:rsidP="0004348D">
      <w:pPr>
        <w:numPr>
          <w:ilvl w:val="0"/>
          <w:numId w:val="356"/>
        </w:numPr>
        <w:spacing w:before="360" w:after="240"/>
        <w:contextualSpacing/>
        <w:rPr>
          <w:rFonts w:ascii="Calibri" w:eastAsia="Calibri" w:hAnsi="Calibri" w:cs="Arial"/>
        </w:rPr>
      </w:pPr>
      <w:r w:rsidRPr="0004348D">
        <w:rPr>
          <w:rFonts w:ascii="Calibri" w:eastAsia="Calibri" w:hAnsi="Calibri" w:cs="Arial"/>
          <w:rtl/>
        </w:rPr>
        <w:t xml:space="preserve">רי"ף </w:t>
      </w:r>
      <w:r w:rsidRPr="0004348D">
        <w:rPr>
          <w:rFonts w:ascii="Calibri" w:eastAsia="Calibri" w:hAnsi="Calibri" w:cs="Arial"/>
          <w:sz w:val="16"/>
          <w:szCs w:val="16"/>
          <w:rtl/>
        </w:rPr>
        <w:t>(ב"ק מד:)</w:t>
      </w:r>
      <w:r w:rsidRPr="0004348D">
        <w:rPr>
          <w:rFonts w:ascii="Calibri" w:eastAsia="Calibri" w:hAnsi="Calibri" w:cs="Arial"/>
          <w:rtl/>
        </w:rPr>
        <w:t xml:space="preserve"> ורי"ו </w:t>
      </w:r>
      <w:r w:rsidRPr="0004348D">
        <w:rPr>
          <w:rFonts w:ascii="Calibri" w:eastAsia="Calibri" w:hAnsi="Calibri" w:cs="Arial"/>
          <w:sz w:val="16"/>
          <w:szCs w:val="16"/>
          <w:rtl/>
        </w:rPr>
        <w:t>(נ"ג ח"א טו ע"א)</w:t>
      </w:r>
      <w:r w:rsidRPr="0004348D">
        <w:rPr>
          <w:rFonts w:ascii="Calibri" w:eastAsia="Calibri" w:hAnsi="Calibri" w:cs="Arial"/>
          <w:rtl/>
        </w:rPr>
        <w:t>- מלוה ניתנה ליתבע בכל מקום אפילו במדבר וכן גזילה</w:t>
      </w:r>
      <w:r w:rsidRPr="0004348D">
        <w:rPr>
          <w:rFonts w:ascii="Calibri" w:eastAsia="Calibri" w:hAnsi="Calibri" w:cs="Arial"/>
          <w:vertAlign w:val="superscript"/>
          <w:rtl/>
        </w:rPr>
        <w:footnoteReference w:id="6112"/>
      </w:r>
      <w:r w:rsidRPr="0004348D">
        <w:rPr>
          <w:rFonts w:ascii="Calibri" w:eastAsia="Calibri" w:hAnsi="Calibri" w:cs="Arial"/>
          <w:rtl/>
        </w:rPr>
        <w:t>, אבל אבידה ופקדון לא ניתן ליתבע אלא במקומן. ואם אמר לו במדבר 'הנה לך הפקדון שהפקדת אצלי בישוב' יאמר המפקיד 'לא ניתן להחזיר אלא בישוב', ואחריות על הנפקד עד שיחזירנו בישוב</w:t>
      </w:r>
      <w:r w:rsidRPr="0004348D">
        <w:rPr>
          <w:rFonts w:ascii="Calibri" w:eastAsia="Calibri" w:hAnsi="Calibri" w:cs="Arial"/>
          <w:sz w:val="16"/>
          <w:szCs w:val="16"/>
          <w:rtl/>
        </w:rPr>
        <w:t xml:space="preserve"> (ל' רי"ו</w:t>
      </w:r>
      <w:r w:rsidRPr="0004348D">
        <w:rPr>
          <w:rFonts w:ascii="Calibri" w:eastAsia="Calibri" w:hAnsi="Calibri" w:cs="Arial"/>
          <w:sz w:val="16"/>
          <w:szCs w:val="16"/>
          <w:vertAlign w:val="superscript"/>
          <w:rtl/>
        </w:rPr>
        <w:footnoteReference w:id="6113"/>
      </w:r>
      <w:r w:rsidRPr="0004348D">
        <w:rPr>
          <w:rFonts w:ascii="Calibri" w:eastAsia="Calibri" w:hAnsi="Calibri" w:cs="Arial"/>
          <w:sz w:val="16"/>
          <w:szCs w:val="16"/>
          <w:rtl/>
        </w:rPr>
        <w:t>)</w:t>
      </w:r>
      <w:r w:rsidRPr="0004348D">
        <w:rPr>
          <w:rFonts w:ascii="Calibri" w:eastAsia="Calibri" w:hAnsi="Calibri" w:cs="Arial"/>
          <w:rtl/>
        </w:rPr>
        <w:t xml:space="preserve">. </w:t>
      </w:r>
    </w:p>
    <w:p w14:paraId="0DD40945" w14:textId="77777777" w:rsidR="0004348D" w:rsidRPr="0004348D" w:rsidRDefault="0004348D" w:rsidP="0004348D">
      <w:pPr>
        <w:numPr>
          <w:ilvl w:val="0"/>
          <w:numId w:val="356"/>
        </w:numPr>
        <w:spacing w:before="360" w:after="240"/>
        <w:contextualSpacing/>
        <w:rPr>
          <w:rFonts w:ascii="Calibri" w:eastAsia="Calibri" w:hAnsi="Calibri" w:cs="Arial"/>
          <w:rtl/>
        </w:rPr>
      </w:pPr>
      <w:r w:rsidRPr="0004348D">
        <w:rPr>
          <w:rFonts w:ascii="Calibri" w:eastAsia="Calibri" w:hAnsi="Calibri" w:cs="Arial"/>
          <w:rtl/>
        </w:rPr>
        <w:t xml:space="preserve">מרדכי </w:t>
      </w:r>
      <w:r w:rsidRPr="0004348D">
        <w:rPr>
          <w:rFonts w:ascii="Calibri" w:eastAsia="Calibri" w:hAnsi="Calibri" w:cs="Arial"/>
          <w:sz w:val="16"/>
          <w:szCs w:val="16"/>
          <w:rtl/>
        </w:rPr>
        <w:t>(ב"ק סי' קצז)</w:t>
      </w:r>
      <w:r w:rsidRPr="0004348D">
        <w:rPr>
          <w:rFonts w:ascii="Calibri" w:eastAsia="Calibri" w:hAnsi="Calibri" w:cs="Arial"/>
          <w:rtl/>
        </w:rPr>
        <w:t>- כתב האלפסי דאם ישיב לו במדבר ואין בעל האבידה או המפקיד רוצה לקבלם במדבר האחריות על הנפקד והמוצא עד שיתנם לו ביישוב. וכתב ראבי"ה רפיא בידי, שודאי אם היה יכול להניחם ביישוב אפשר להיות כדבריו, אבל אם מפני הסכנה הוציאם או שלא רצה להניחם שם משום שומר שמסר לשומר חייב. ונאנסו ודאי נראה לי דפטור הנפקד והמוצא.</w:t>
      </w:r>
    </w:p>
    <w:p w14:paraId="1A746486" w14:textId="77777777" w:rsidR="0004348D" w:rsidRPr="0004348D" w:rsidRDefault="0004348D" w:rsidP="0004348D">
      <w:pPr>
        <w:spacing w:before="360" w:after="240"/>
        <w:rPr>
          <w:rFonts w:ascii="Arial" w:eastAsia="Calibri" w:hAnsi="Arial" w:cs="Arial"/>
          <w:b/>
          <w:bCs/>
          <w:color w:val="000000"/>
          <w:sz w:val="28"/>
          <w:szCs w:val="28"/>
          <w:u w:val="single"/>
        </w:rPr>
      </w:pPr>
      <w:r w:rsidRPr="0004348D">
        <w:rPr>
          <w:rFonts w:ascii="Arial" w:eastAsia="Calibri" w:hAnsi="Arial" w:cs="Arial"/>
          <w:b/>
          <w:bCs/>
          <w:color w:val="000000"/>
          <w:sz w:val="28"/>
          <w:szCs w:val="28"/>
          <w:u w:val="single"/>
          <w:rtl/>
        </w:rPr>
        <w:t>שו"ע:</w:t>
      </w:r>
    </w:p>
    <w:p w14:paraId="7E4134F4" w14:textId="77777777" w:rsidR="0004348D" w:rsidRPr="0004348D" w:rsidRDefault="0004348D" w:rsidP="0004348D">
      <w:pPr>
        <w:spacing w:before="360" w:after="240"/>
        <w:rPr>
          <w:rFonts w:ascii="Calibri" w:eastAsia="Calibri" w:hAnsi="Calibri" w:cs="Arial"/>
          <w:rtl/>
        </w:rPr>
      </w:pPr>
      <w:r w:rsidRPr="0004348D">
        <w:rPr>
          <w:rFonts w:ascii="Calibri" w:eastAsia="Calibri" w:hAnsi="Calibri" w:cs="Arial"/>
          <w:sz w:val="18"/>
          <w:szCs w:val="18"/>
          <w:rtl/>
        </w:rPr>
        <w:t>[הגה] המלוה ניתן לתבוע בכל מקום (טור),</w:t>
      </w:r>
      <w:r w:rsidRPr="0004348D">
        <w:rPr>
          <w:rFonts w:ascii="Calibri" w:eastAsia="Calibri" w:hAnsi="Calibri" w:cs="Arial"/>
          <w:rtl/>
        </w:rPr>
        <w:t xml:space="preserve"> אפילו הלוהו בישוב, יכול לתבעו במדבר ולכופו שיפרענו שם אם יש לו כדי סיפוקו עד שיגיע לישוב וכדי לפרעו. ואם המלוה טוען 'ברי לי שיש לו כדי סיפוקו וכדי לפורעו', והלוה טוען שאין לו אלא כדי סיפוקו, ישבע היסת</w:t>
      </w:r>
      <w:r w:rsidRPr="0004348D">
        <w:rPr>
          <w:rFonts w:ascii="Calibri" w:eastAsia="Calibri" w:hAnsi="Calibri" w:cs="Arial"/>
          <w:vertAlign w:val="superscript"/>
          <w:rtl/>
        </w:rPr>
        <w:footnoteReference w:id="6114"/>
      </w:r>
      <w:r w:rsidRPr="0004348D">
        <w:rPr>
          <w:rFonts w:ascii="Calibri" w:eastAsia="Calibri" w:hAnsi="Calibri" w:cs="Arial"/>
          <w:rtl/>
        </w:rPr>
        <w:t>. אבל אם הלוה רוצה לפורעו במדבר, אם ירצה המלוה לא יקבל ממנו עד שיגיע לישוב, מאחר שהלוהו בישוב. ומיהו בכל מקום ישוב יכול לכופו לקבל, אפילו אינו מקום המלוה ולא מקום הלוה ולא מקום שהלוהו, אפילו יש כמה מדברות</w:t>
      </w:r>
      <w:r w:rsidRPr="0004348D">
        <w:rPr>
          <w:rFonts w:ascii="Calibri" w:eastAsia="Calibri" w:hAnsi="Calibri" w:cs="Arial"/>
          <w:vertAlign w:val="superscript"/>
          <w:rtl/>
        </w:rPr>
        <w:footnoteReference w:id="6115"/>
      </w:r>
      <w:r w:rsidRPr="0004348D">
        <w:rPr>
          <w:rFonts w:ascii="Calibri" w:eastAsia="Calibri" w:hAnsi="Calibri" w:cs="Arial"/>
          <w:rtl/>
        </w:rPr>
        <w:t xml:space="preserve"> קודם שיגיעו למקומו. ושיירא חשובה מקום ישוב</w:t>
      </w:r>
      <w:r w:rsidRPr="0004348D">
        <w:rPr>
          <w:rFonts w:ascii="Calibri" w:eastAsia="Calibri" w:hAnsi="Calibri" w:cs="Arial"/>
          <w:vertAlign w:val="superscript"/>
          <w:rtl/>
        </w:rPr>
        <w:footnoteReference w:id="6116"/>
      </w:r>
      <w:r w:rsidRPr="0004348D">
        <w:rPr>
          <w:rFonts w:ascii="Calibri" w:eastAsia="Calibri" w:hAnsi="Calibri" w:cs="Arial"/>
          <w:rtl/>
        </w:rPr>
        <w:t xml:space="preserve">. </w:t>
      </w:r>
      <w:r w:rsidRPr="0004348D">
        <w:rPr>
          <w:rFonts w:ascii="Calibri" w:eastAsia="Calibri" w:hAnsi="Calibri" w:cs="Arial"/>
          <w:sz w:val="18"/>
          <w:szCs w:val="18"/>
          <w:rtl/>
        </w:rPr>
        <w:t>הגה: הלוהו במדבר, יכול לכופו לקבל פרעונו במדבר</w:t>
      </w:r>
      <w:r w:rsidRPr="0004348D">
        <w:rPr>
          <w:rFonts w:ascii="Calibri" w:eastAsia="Calibri" w:hAnsi="Calibri" w:cs="Arial"/>
          <w:sz w:val="18"/>
          <w:szCs w:val="18"/>
          <w:vertAlign w:val="superscript"/>
          <w:rtl/>
        </w:rPr>
        <w:footnoteReference w:id="6117"/>
      </w:r>
      <w:r w:rsidRPr="0004348D">
        <w:rPr>
          <w:rFonts w:ascii="Calibri" w:eastAsia="Calibri" w:hAnsi="Calibri" w:cs="Arial"/>
          <w:sz w:val="18"/>
          <w:szCs w:val="18"/>
          <w:rtl/>
        </w:rPr>
        <w:t>. ואפילו הלוהו בישוב, ואמר ליה הלוה 'אני רוצה לצאת למדבר', ואמר ליה המלוה 'גם אני רוצה לצאת למדבר'</w:t>
      </w:r>
      <w:r w:rsidRPr="0004348D">
        <w:rPr>
          <w:rFonts w:ascii="Calibri" w:eastAsia="Calibri" w:hAnsi="Calibri" w:cs="Arial"/>
          <w:sz w:val="18"/>
          <w:szCs w:val="18"/>
          <w:vertAlign w:val="superscript"/>
          <w:rtl/>
        </w:rPr>
        <w:footnoteReference w:id="6118"/>
      </w:r>
      <w:r w:rsidRPr="0004348D">
        <w:rPr>
          <w:rFonts w:ascii="Calibri" w:eastAsia="Calibri" w:hAnsi="Calibri" w:cs="Arial"/>
          <w:sz w:val="18"/>
          <w:szCs w:val="18"/>
          <w:rtl/>
        </w:rPr>
        <w:t>, הוי כאלו הלוהו במדבר וצריך לקבל במדבר (טור).</w:t>
      </w:r>
      <w:r w:rsidRPr="0004348D">
        <w:rPr>
          <w:rFonts w:ascii="Calibri" w:eastAsia="Calibri" w:hAnsi="Calibri" w:cs="Arial"/>
          <w:rtl/>
        </w:rPr>
        <w:t xml:space="preserve"> </w:t>
      </w:r>
    </w:p>
    <w:p w14:paraId="26997166" w14:textId="77777777" w:rsidR="0004348D" w:rsidRPr="0004348D" w:rsidRDefault="0004348D" w:rsidP="0004348D">
      <w:pPr>
        <w:spacing w:before="360" w:after="240"/>
        <w:rPr>
          <w:rFonts w:ascii="Calibri" w:eastAsia="Calibri" w:hAnsi="Calibri" w:cs="Arial"/>
          <w:u w:val="single"/>
          <w:rtl/>
        </w:rPr>
      </w:pPr>
      <w:r w:rsidRPr="0004348D">
        <w:rPr>
          <w:rFonts w:ascii="Calibri" w:eastAsia="Calibri" w:hAnsi="Calibri" w:cs="Arial"/>
          <w:u w:val="single"/>
          <w:rtl/>
        </w:rPr>
        <w:t>מלוה שתובע ללוה הלואתו במקום שאינו מקום הלואה ואין מעות בידו שם – האם צריך להביאם לשם:</w:t>
      </w:r>
    </w:p>
    <w:p w14:paraId="67A01A2A" w14:textId="77777777" w:rsidR="0004348D" w:rsidRPr="0004348D" w:rsidRDefault="0004348D" w:rsidP="0004348D">
      <w:pPr>
        <w:numPr>
          <w:ilvl w:val="0"/>
          <w:numId w:val="356"/>
        </w:numPr>
        <w:spacing w:before="360" w:after="240"/>
        <w:contextualSpacing/>
        <w:rPr>
          <w:rFonts w:ascii="Calibri" w:eastAsia="Calibri" w:hAnsi="Calibri" w:cs="Arial"/>
          <w:rtl/>
        </w:rPr>
      </w:pPr>
      <w:r w:rsidRPr="0004348D">
        <w:rPr>
          <w:rFonts w:ascii="Calibri" w:eastAsia="Calibri" w:hAnsi="Calibri" w:cs="Arial"/>
          <w:rtl/>
        </w:rPr>
        <w:t xml:space="preserve">ש"ך </w:t>
      </w:r>
      <w:r w:rsidRPr="0004348D">
        <w:rPr>
          <w:rFonts w:ascii="Calibri" w:eastAsia="Calibri" w:hAnsi="Calibri" w:cs="Arial"/>
          <w:sz w:val="16"/>
          <w:szCs w:val="16"/>
          <w:rtl/>
        </w:rPr>
        <w:t>(סק"א)</w:t>
      </w:r>
      <w:r w:rsidRPr="0004348D">
        <w:rPr>
          <w:rFonts w:ascii="Calibri" w:eastAsia="Calibri" w:hAnsi="Calibri" w:cs="Arial"/>
          <w:rtl/>
        </w:rPr>
        <w:t xml:space="preserve">- בשלט"ג </w:t>
      </w:r>
      <w:r w:rsidRPr="0004348D">
        <w:rPr>
          <w:rFonts w:ascii="Calibri" w:eastAsia="Calibri" w:hAnsi="Calibri" w:cs="Arial"/>
          <w:sz w:val="16"/>
          <w:szCs w:val="16"/>
          <w:rtl/>
        </w:rPr>
        <w:t>(פ"ק דמכות א. מדפה"ר אות ב)</w:t>
      </w:r>
      <w:r w:rsidRPr="0004348D">
        <w:rPr>
          <w:rFonts w:ascii="Calibri" w:eastAsia="Calibri" w:hAnsi="Calibri" w:cs="Arial"/>
          <w:rtl/>
        </w:rPr>
        <w:t xml:space="preserve"> נסתפק היכא שהמלוה תובע ללוה הלואתו במקום שאינו מקום הלואה ואין מעות בידו שם, אם מחויב הלוה להביאם שם במקום שתבע כו'. ולפע"ד נראה פשוט דאינו מחויב להביאם שם. </w:t>
      </w:r>
    </w:p>
    <w:p w14:paraId="04189B5F" w14:textId="77777777" w:rsidR="0004348D" w:rsidRPr="0004348D" w:rsidRDefault="0004348D" w:rsidP="0004348D">
      <w:pPr>
        <w:spacing w:before="360" w:after="240"/>
        <w:rPr>
          <w:rFonts w:ascii="Calibri" w:eastAsia="Calibri" w:hAnsi="Calibri" w:cs="Arial"/>
          <w:u w:val="single"/>
        </w:rPr>
      </w:pPr>
      <w:r w:rsidRPr="0004348D">
        <w:rPr>
          <w:rFonts w:ascii="Calibri" w:eastAsia="Calibri" w:hAnsi="Calibri" w:cs="Arial"/>
          <w:u w:val="single"/>
          <w:rtl/>
        </w:rPr>
        <w:t>החייב לחבירו מעות בשביל שכירות או בשביל איזה דבר שקנה ממנו - האם הוי כמו הלואה או פקדון:</w:t>
      </w:r>
    </w:p>
    <w:p w14:paraId="3F0D4462" w14:textId="77777777" w:rsidR="0004348D" w:rsidRPr="0004348D" w:rsidRDefault="0004348D" w:rsidP="0004348D">
      <w:pPr>
        <w:numPr>
          <w:ilvl w:val="0"/>
          <w:numId w:val="356"/>
        </w:numPr>
        <w:spacing w:before="360" w:after="240"/>
        <w:contextualSpacing/>
        <w:rPr>
          <w:rFonts w:ascii="Calibri" w:eastAsia="Calibri" w:hAnsi="Calibri" w:cs="Arial"/>
        </w:rPr>
      </w:pPr>
      <w:r w:rsidRPr="0004348D">
        <w:rPr>
          <w:rFonts w:ascii="Calibri" w:eastAsia="Calibri" w:hAnsi="Calibri" w:cs="Arial"/>
          <w:rtl/>
        </w:rPr>
        <w:t xml:space="preserve">ש"ך </w:t>
      </w:r>
      <w:r w:rsidRPr="0004348D">
        <w:rPr>
          <w:rFonts w:ascii="Calibri" w:eastAsia="Calibri" w:hAnsi="Calibri" w:cs="Arial"/>
          <w:sz w:val="16"/>
          <w:szCs w:val="16"/>
          <w:rtl/>
        </w:rPr>
        <w:t>(סק"ג)</w:t>
      </w:r>
      <w:r w:rsidRPr="0004348D">
        <w:rPr>
          <w:rFonts w:ascii="Calibri" w:eastAsia="Calibri" w:hAnsi="Calibri" w:cs="Arial"/>
          <w:rtl/>
        </w:rPr>
        <w:t xml:space="preserve">- בשלט"ג </w:t>
      </w:r>
      <w:r w:rsidRPr="0004348D">
        <w:rPr>
          <w:rFonts w:ascii="Calibri" w:eastAsia="Calibri" w:hAnsi="Calibri" w:cs="Arial"/>
          <w:sz w:val="16"/>
          <w:szCs w:val="16"/>
          <w:rtl/>
        </w:rPr>
        <w:t>(פ"ק דמכות א. מדפה"ר אות ב)</w:t>
      </w:r>
      <w:r w:rsidRPr="0004348D">
        <w:rPr>
          <w:rFonts w:ascii="Calibri" w:eastAsia="Calibri" w:hAnsi="Calibri" w:cs="Arial"/>
          <w:rtl/>
        </w:rPr>
        <w:t xml:space="preserve"> נסתפק במי שחייב לחבירו מעות בשביל שכירות או בשביל איזה דבר שקנה ממנו, אי הוי כמו הלואה או פקדון כו'. וגם בזה נ"ל פשוט דיש לו דין הלואה, דהא כי דייקינן טעמא דמאי שנא הלואה מפקדון, ע"כ הוא משום דהלואה להוצאה ניתנה, משא"כ פקדון שאינו יכול להשתמש בו ובמקום שהפקידו שם יהא, וא"כ פשוט הוא דשכירות ומכר דינו כהלואה.</w:t>
      </w:r>
    </w:p>
    <w:p w14:paraId="7B053844" w14:textId="77777777" w:rsidR="0004348D" w:rsidRPr="0004348D" w:rsidRDefault="0004348D" w:rsidP="0004348D">
      <w:pPr>
        <w:spacing w:before="360" w:after="240"/>
        <w:rPr>
          <w:rFonts w:ascii="Calibri" w:eastAsia="Calibri" w:hAnsi="Calibri" w:cs="Arial"/>
          <w:u w:val="single"/>
        </w:rPr>
      </w:pPr>
      <w:r w:rsidRPr="0004348D">
        <w:rPr>
          <w:rFonts w:ascii="Calibri" w:eastAsia="Calibri" w:hAnsi="Calibri" w:cs="Arial"/>
          <w:u w:val="single"/>
          <w:rtl/>
        </w:rPr>
        <w:t xml:space="preserve">לוה שרוצה מצא לפרוע למלוה מחוץ לעירו במקום ישוב מעות שיוצאות רק שם </w:t>
      </w:r>
      <w:r w:rsidRPr="0004348D">
        <w:rPr>
          <w:rFonts w:ascii="Calibri" w:eastAsia="Calibri" w:hAnsi="Calibri" w:cs="Arial"/>
          <w:sz w:val="16"/>
          <w:szCs w:val="16"/>
          <w:u w:val="single"/>
          <w:rtl/>
        </w:rPr>
        <w:t>(במקום שרוצה לפרעו)</w:t>
      </w:r>
      <w:r w:rsidRPr="0004348D">
        <w:rPr>
          <w:rFonts w:ascii="Calibri" w:eastAsia="Calibri" w:hAnsi="Calibri" w:cs="Arial"/>
          <w:u w:val="single"/>
          <w:rtl/>
        </w:rPr>
        <w:t>:</w:t>
      </w:r>
    </w:p>
    <w:p w14:paraId="124C92A6" w14:textId="77777777" w:rsidR="0004348D" w:rsidRPr="0004348D" w:rsidRDefault="0004348D" w:rsidP="0004348D">
      <w:pPr>
        <w:numPr>
          <w:ilvl w:val="0"/>
          <w:numId w:val="356"/>
        </w:numPr>
        <w:spacing w:before="360" w:after="240"/>
        <w:contextualSpacing/>
        <w:rPr>
          <w:rFonts w:ascii="Calibri" w:eastAsia="Calibri" w:hAnsi="Calibri" w:cs="Arial"/>
        </w:rPr>
      </w:pPr>
      <w:r w:rsidRPr="0004348D">
        <w:rPr>
          <w:rFonts w:ascii="Calibri" w:eastAsia="Calibri" w:hAnsi="Calibri" w:cs="Arial"/>
          <w:rtl/>
        </w:rPr>
        <w:t xml:space="preserve">ש"ך </w:t>
      </w:r>
      <w:r w:rsidRPr="0004348D">
        <w:rPr>
          <w:rFonts w:ascii="Calibri" w:eastAsia="Calibri" w:hAnsi="Calibri" w:cs="Arial"/>
          <w:sz w:val="16"/>
          <w:szCs w:val="16"/>
          <w:rtl/>
        </w:rPr>
        <w:t>(סק"ה)</w:t>
      </w:r>
      <w:r w:rsidRPr="0004348D">
        <w:rPr>
          <w:rFonts w:ascii="Calibri" w:eastAsia="Calibri" w:hAnsi="Calibri" w:cs="Arial"/>
          <w:rtl/>
        </w:rPr>
        <w:t xml:space="preserve">- בשלט"ג </w:t>
      </w:r>
      <w:r w:rsidRPr="0004348D">
        <w:rPr>
          <w:rFonts w:ascii="Calibri" w:eastAsia="Calibri" w:hAnsi="Calibri" w:cs="Arial"/>
          <w:sz w:val="16"/>
          <w:szCs w:val="16"/>
          <w:rtl/>
        </w:rPr>
        <w:t>(פ"ק דמכות א. מדפה"ר אות ב)</w:t>
      </w:r>
      <w:r w:rsidRPr="0004348D">
        <w:rPr>
          <w:rFonts w:ascii="Calibri" w:eastAsia="Calibri" w:hAnsi="Calibri" w:cs="Arial"/>
          <w:rtl/>
        </w:rPr>
        <w:t xml:space="preserve"> אם הלוה מצא למלוה חוץ לעירו במקום ישוב, ורוצה לפרוע למלוה מעות שאינן ניתנים להוצאה בעירו רק שם במקום שרוצה לפרעו, והלוהו מטבע סתם בלי שום תנאי רק שיתחייב לשלם לו מטבע, נראה דודאי צריך לקבלם כיון דבאותו מקום דמצי לפורעו המטבע ההוא ניתן להוצאה, וכן כל כיוצא בזה.</w:t>
      </w:r>
    </w:p>
    <w:p w14:paraId="1EA2AD38" w14:textId="77777777" w:rsidR="0004348D" w:rsidRPr="0004348D" w:rsidRDefault="0004348D" w:rsidP="0004348D">
      <w:pPr>
        <w:spacing w:before="360" w:after="240"/>
        <w:rPr>
          <w:rFonts w:ascii="Calibri" w:eastAsia="Calibri" w:hAnsi="Calibri" w:cs="Arial"/>
          <w:rtl/>
        </w:rPr>
      </w:pPr>
    </w:p>
    <w:p w14:paraId="61DBF8AF" w14:textId="77777777" w:rsidR="0004348D" w:rsidRPr="0004348D" w:rsidRDefault="0004348D" w:rsidP="0004348D">
      <w:pPr>
        <w:keepNext/>
        <w:keepLines/>
        <w:spacing w:before="360" w:after="240"/>
        <w:outlineLvl w:val="1"/>
        <w:rPr>
          <w:rFonts w:ascii="Cambria" w:eastAsia="Times New Roman" w:hAnsi="Cambria" w:cs="Arial"/>
          <w:bCs/>
          <w:color w:val="548DD4" w:themeColor="text2" w:themeTint="99"/>
          <w:sz w:val="26"/>
          <w:szCs w:val="26"/>
          <w:rtl/>
        </w:rPr>
      </w:pPr>
      <w:bookmarkStart w:id="914" w:name="_Toc24884286"/>
      <w:r w:rsidRPr="0004348D">
        <w:rPr>
          <w:rFonts w:ascii="Cambria" w:eastAsia="Times New Roman" w:hAnsi="Cambria" w:cs="Arial"/>
          <w:bCs/>
          <w:color w:val="548DD4" w:themeColor="text2" w:themeTint="99"/>
          <w:sz w:val="26"/>
          <w:szCs w:val="26"/>
          <w:rtl/>
        </w:rPr>
        <w:t>סעיף ב: לוה שרוצה לפרוע קודם הזמן.</w:t>
      </w:r>
      <w:bookmarkEnd w:id="914"/>
    </w:p>
    <w:p w14:paraId="4EE04C62" w14:textId="77777777" w:rsidR="0004348D" w:rsidRPr="0004348D" w:rsidRDefault="0004348D" w:rsidP="0004348D">
      <w:pPr>
        <w:spacing w:before="360" w:after="240"/>
        <w:rPr>
          <w:rFonts w:ascii="Calibri" w:eastAsia="Calibri" w:hAnsi="Calibri" w:cs="Arial"/>
          <w:u w:val="single"/>
          <w:rtl/>
        </w:rPr>
      </w:pPr>
      <w:r w:rsidRPr="0004348D">
        <w:rPr>
          <w:rFonts w:ascii="Calibri" w:eastAsia="Calibri" w:hAnsi="Calibri" w:cs="Arial"/>
          <w:u w:val="single"/>
          <w:rtl/>
        </w:rPr>
        <w:t>לוה שרוצה לפרוע קודם הזמן:</w:t>
      </w:r>
    </w:p>
    <w:p w14:paraId="0DDF1A48" w14:textId="77777777" w:rsidR="0004348D" w:rsidRPr="0004348D" w:rsidRDefault="0004348D" w:rsidP="0004348D">
      <w:pPr>
        <w:numPr>
          <w:ilvl w:val="0"/>
          <w:numId w:val="356"/>
        </w:numPr>
        <w:spacing w:before="360" w:after="240"/>
        <w:contextualSpacing/>
        <w:rPr>
          <w:rFonts w:ascii="Calibri" w:eastAsia="Calibri" w:hAnsi="Calibri" w:cs="Arial"/>
          <w:rtl/>
        </w:rPr>
      </w:pPr>
      <w:r w:rsidRPr="0004348D">
        <w:rPr>
          <w:rFonts w:ascii="Calibri" w:eastAsia="Calibri" w:hAnsi="Calibri" w:cs="Arial"/>
          <w:rtl/>
        </w:rPr>
        <w:t>רמב"ן בעל התרומות טור ור"ן</w:t>
      </w:r>
      <w:r w:rsidRPr="0004348D">
        <w:rPr>
          <w:rFonts w:ascii="Calibri" w:eastAsia="Calibri" w:hAnsi="Calibri" w:cs="Arial"/>
          <w:vertAlign w:val="superscript"/>
          <w:rtl/>
        </w:rPr>
        <w:footnoteReference w:id="6119"/>
      </w:r>
      <w:r w:rsidRPr="0004348D">
        <w:rPr>
          <w:rFonts w:ascii="Calibri" w:eastAsia="Calibri" w:hAnsi="Calibri" w:cs="Arial"/>
          <w:rtl/>
        </w:rPr>
        <w:t>- אם קבע המלוה ללוה זמן, ורוצה הלוה לפרעו תוך הזמן כדי שלא יעמוד הממון באחריותו עד הזמן, והמלוה אינו רוצה לקבלו לפי שכמה קלקלות ואונסים מצויין במעות... ודאי אם הגיע הזמן אע"פ שהלוה ממהר לפרוע חובו כדי להציל עצמו מן האונסים העתידים לבא כמו חילוף המטבע וגזירת המסים והתשחורת - הדין עמו, שאין עתה נראית הקלקלה אע"ג שעתיד לבא למחר או ביום לאחר הפרעון אין לו להשגיח על תקלת חבירו, לפי שאין דומה לפריעת מדבר ששם הסכנה מצויה וגלויה. אבל אם לא הגיע הזמן, אם מצוי וניכר לעינים חילוף המטבע מיד וגזירת המסים והתשחורת ומפני זה רוצה הלוה לפרוע מיד כדי להציל עצמו מן הסכנה ולהכניס בה חבירו ועדיין לא הגיע זמן הפרעון - הרי זה כפריעת מדבר ואין ראוי לפרעו קודם זמנו לקלקלתו ולהפסדו של מלוה. אבל אם אין שם אחד מכל החששות האלו אע"פ שטען המלוה כי אין רצונו לקבל מעותיו כדי שלא יהו באחריותו - הלוה יכול לכופו לקבלם תוך הזמן, שקביעות הזמן הוא לתקנת הלוה בכל מקום</w:t>
      </w:r>
      <w:r w:rsidRPr="0004348D">
        <w:rPr>
          <w:rFonts w:ascii="Calibri" w:eastAsia="Calibri" w:hAnsi="Calibri" w:cs="Arial"/>
          <w:sz w:val="16"/>
          <w:szCs w:val="16"/>
          <w:rtl/>
        </w:rPr>
        <w:t xml:space="preserve"> (ל' הטור בשם בעל התרומות)</w:t>
      </w:r>
      <w:r w:rsidRPr="0004348D">
        <w:rPr>
          <w:rFonts w:ascii="Calibri" w:eastAsia="Calibri" w:hAnsi="Calibri" w:cs="Arial"/>
          <w:rtl/>
        </w:rPr>
        <w:t>.</w:t>
      </w:r>
      <w:r w:rsidRPr="0004348D">
        <w:rPr>
          <w:rFonts w:ascii="Calibri" w:eastAsia="Calibri" w:hAnsi="Calibri" w:cs="Arial"/>
          <w:color w:val="E36C0A" w:themeColor="accent6" w:themeShade="BF"/>
          <w:rtl/>
        </w:rPr>
        <w:t xml:space="preserve"> (וכ"פ בשו"ע)</w:t>
      </w:r>
    </w:p>
    <w:p w14:paraId="42FFE4FE" w14:textId="77777777" w:rsidR="0004348D" w:rsidRPr="0004348D" w:rsidRDefault="0004348D" w:rsidP="0004348D">
      <w:pPr>
        <w:spacing w:before="360" w:after="240"/>
        <w:rPr>
          <w:rFonts w:ascii="Arial" w:eastAsia="Calibri" w:hAnsi="Arial" w:cs="Arial"/>
          <w:b/>
          <w:bCs/>
          <w:color w:val="000000"/>
          <w:sz w:val="28"/>
          <w:szCs w:val="28"/>
          <w:u w:val="single"/>
          <w:rtl/>
        </w:rPr>
      </w:pPr>
      <w:r w:rsidRPr="0004348D">
        <w:rPr>
          <w:rFonts w:ascii="Arial" w:eastAsia="Calibri" w:hAnsi="Arial" w:cs="Arial"/>
          <w:b/>
          <w:bCs/>
          <w:color w:val="000000"/>
          <w:sz w:val="28"/>
          <w:szCs w:val="28"/>
          <w:u w:val="single"/>
          <w:rtl/>
        </w:rPr>
        <w:t>שו"ע:</w:t>
      </w:r>
    </w:p>
    <w:p w14:paraId="6E00BDE3" w14:textId="77777777" w:rsidR="0004348D" w:rsidRPr="0004348D" w:rsidRDefault="0004348D" w:rsidP="0004348D">
      <w:pPr>
        <w:spacing w:before="360" w:after="240"/>
        <w:rPr>
          <w:rFonts w:ascii="Calibri" w:eastAsia="Calibri" w:hAnsi="Calibri" w:cs="Arial"/>
          <w:rtl/>
        </w:rPr>
      </w:pPr>
      <w:r w:rsidRPr="0004348D">
        <w:rPr>
          <w:rFonts w:ascii="Calibri" w:eastAsia="Calibri" w:hAnsi="Calibri" w:cs="Arial"/>
          <w:rtl/>
        </w:rPr>
        <w:t>קבע המלוה ללוה זמן, ורוצה הלוה לפורעו כדי שלא יעמוד הממון באחריותו עד הזמן, והמלוה אינו רוצה לקבלו, אם הגיע הזמן אף על פי שהלוה ממהר לפרוע חובו כדי להציל עצמו מהאונסים העתידים לבא, כמו חלוף המטבע וגזירת המסים והתשחורת</w:t>
      </w:r>
      <w:r w:rsidRPr="0004348D">
        <w:rPr>
          <w:rFonts w:ascii="Calibri" w:eastAsia="Calibri" w:hAnsi="Calibri" w:cs="Arial"/>
          <w:vertAlign w:val="superscript"/>
          <w:rtl/>
        </w:rPr>
        <w:footnoteReference w:id="6120"/>
      </w:r>
      <w:r w:rsidRPr="0004348D">
        <w:rPr>
          <w:rFonts w:ascii="Calibri" w:eastAsia="Calibri" w:hAnsi="Calibri" w:cs="Arial"/>
          <w:rtl/>
        </w:rPr>
        <w:t>, הדין עמו</w:t>
      </w:r>
      <w:r w:rsidRPr="0004348D">
        <w:rPr>
          <w:rFonts w:ascii="Calibri" w:eastAsia="Calibri" w:hAnsi="Calibri" w:cs="Arial"/>
          <w:vertAlign w:val="superscript"/>
          <w:rtl/>
        </w:rPr>
        <w:footnoteReference w:id="6121"/>
      </w:r>
      <w:r w:rsidRPr="0004348D">
        <w:rPr>
          <w:rFonts w:ascii="Calibri" w:eastAsia="Calibri" w:hAnsi="Calibri" w:cs="Arial"/>
          <w:rtl/>
        </w:rPr>
        <w:t>, שאין עתה הקלקלה נראית</w:t>
      </w:r>
      <w:r w:rsidRPr="0004348D">
        <w:rPr>
          <w:rFonts w:ascii="Calibri" w:eastAsia="Calibri" w:hAnsi="Calibri" w:cs="Arial"/>
          <w:vertAlign w:val="superscript"/>
          <w:rtl/>
        </w:rPr>
        <w:footnoteReference w:id="6122"/>
      </w:r>
      <w:r w:rsidRPr="0004348D">
        <w:rPr>
          <w:rFonts w:ascii="Calibri" w:eastAsia="Calibri" w:hAnsi="Calibri" w:cs="Arial"/>
          <w:rtl/>
        </w:rPr>
        <w:t xml:space="preserve"> אף על פי שעתידה לבא למחר או בו ביום לאחר הפרעון, ואין לו להשגיח על תקלת חבירו. אבל אם לא הגיע הזמן, אם מצוי וניכר לעינים חילוף המטבע מיד</w:t>
      </w:r>
      <w:r w:rsidRPr="0004348D">
        <w:rPr>
          <w:rFonts w:ascii="Calibri" w:eastAsia="Calibri" w:hAnsi="Calibri" w:cs="Arial"/>
          <w:vertAlign w:val="superscript"/>
          <w:rtl/>
        </w:rPr>
        <w:footnoteReference w:id="6123"/>
      </w:r>
      <w:r w:rsidRPr="0004348D">
        <w:rPr>
          <w:rFonts w:ascii="Calibri" w:eastAsia="Calibri" w:hAnsi="Calibri" w:cs="Arial"/>
          <w:rtl/>
        </w:rPr>
        <w:t xml:space="preserve"> וגזירת המסים והתשחורת, אינו יכול לכופו לקבל חובו קודם זמנו. אבל אם אין שם אחת מכל החששות האלה וכיוצא בו, אף על פי שאין המלוה רוצה לקבל חובו קודם הזמן כדי שלא יהיו באחריותו</w:t>
      </w:r>
      <w:r w:rsidRPr="0004348D">
        <w:rPr>
          <w:rFonts w:ascii="Calibri" w:eastAsia="Calibri" w:hAnsi="Calibri" w:cs="Arial"/>
          <w:vertAlign w:val="superscript"/>
          <w:rtl/>
        </w:rPr>
        <w:footnoteReference w:id="6124"/>
      </w:r>
      <w:r w:rsidRPr="0004348D">
        <w:rPr>
          <w:rFonts w:ascii="Calibri" w:eastAsia="Calibri" w:hAnsi="Calibri" w:cs="Arial"/>
          <w:rtl/>
        </w:rPr>
        <w:t xml:space="preserve"> עד שיגיע הזמן, אין שומעין לו, מפני שקביעות הזמן לתקנת הלוה היא</w:t>
      </w:r>
      <w:r w:rsidRPr="0004348D">
        <w:rPr>
          <w:rFonts w:ascii="Calibri" w:eastAsia="Calibri" w:hAnsi="Calibri" w:cs="Arial"/>
          <w:vertAlign w:val="superscript"/>
          <w:rtl/>
        </w:rPr>
        <w:footnoteReference w:id="6125"/>
      </w:r>
      <w:r w:rsidRPr="0004348D">
        <w:rPr>
          <w:rFonts w:ascii="Calibri" w:eastAsia="Calibri" w:hAnsi="Calibri" w:cs="Arial"/>
          <w:rtl/>
        </w:rPr>
        <w:t xml:space="preserve">. </w:t>
      </w:r>
    </w:p>
    <w:p w14:paraId="2D819099" w14:textId="77777777" w:rsidR="0004348D" w:rsidRPr="0004348D" w:rsidRDefault="0004348D" w:rsidP="0004348D">
      <w:pPr>
        <w:spacing w:before="360" w:after="240"/>
        <w:rPr>
          <w:rFonts w:ascii="Calibri" w:eastAsia="Calibri" w:hAnsi="Calibri" w:cs="Arial"/>
          <w:rtl/>
        </w:rPr>
      </w:pPr>
    </w:p>
    <w:p w14:paraId="5E94FD0B" w14:textId="77777777" w:rsidR="0004348D" w:rsidRPr="0004348D" w:rsidRDefault="0004348D" w:rsidP="0004348D">
      <w:pPr>
        <w:keepNext/>
        <w:keepLines/>
        <w:spacing w:before="360" w:after="240"/>
        <w:outlineLvl w:val="1"/>
        <w:rPr>
          <w:rFonts w:ascii="Cambria" w:eastAsia="Times New Roman" w:hAnsi="Cambria" w:cs="Arial"/>
          <w:bCs/>
          <w:color w:val="548DD4" w:themeColor="text2" w:themeTint="99"/>
          <w:sz w:val="26"/>
          <w:szCs w:val="26"/>
          <w:rtl/>
        </w:rPr>
      </w:pPr>
      <w:bookmarkStart w:id="915" w:name="_Toc24884287"/>
      <w:r w:rsidRPr="0004348D">
        <w:rPr>
          <w:rFonts w:ascii="Cambria" w:eastAsia="Times New Roman" w:hAnsi="Cambria" w:cs="Arial"/>
          <w:bCs/>
          <w:color w:val="548DD4" w:themeColor="text2" w:themeTint="99"/>
          <w:sz w:val="26"/>
          <w:szCs w:val="26"/>
          <w:rtl/>
        </w:rPr>
        <w:t>סעיף ג: פריעה קודם הזמן – בהלואה על משכון שהמלוה אוכל ממנו פירות.</w:t>
      </w:r>
      <w:bookmarkEnd w:id="915"/>
    </w:p>
    <w:p w14:paraId="14BC896F" w14:textId="77777777" w:rsidR="0004348D" w:rsidRPr="0004348D" w:rsidRDefault="0004348D" w:rsidP="0004348D">
      <w:pPr>
        <w:spacing w:before="360" w:after="240"/>
        <w:rPr>
          <w:rFonts w:ascii="Calibri" w:eastAsia="Calibri" w:hAnsi="Calibri" w:cs="Arial"/>
          <w:u w:val="single"/>
          <w:rtl/>
        </w:rPr>
      </w:pPr>
      <w:r w:rsidRPr="0004348D">
        <w:rPr>
          <w:rFonts w:ascii="Calibri" w:eastAsia="Calibri" w:hAnsi="Calibri" w:cs="Arial"/>
          <w:u w:val="single"/>
          <w:rtl/>
        </w:rPr>
        <w:t>לוה שרוצה לפרוע למלוה קודם הזמן – בהלואה על משכון שהמלוה אוכל ממנו פירות:</w:t>
      </w:r>
    </w:p>
    <w:p w14:paraId="1FF11329" w14:textId="77777777" w:rsidR="0004348D" w:rsidRPr="0004348D" w:rsidRDefault="0004348D" w:rsidP="0004348D">
      <w:pPr>
        <w:numPr>
          <w:ilvl w:val="0"/>
          <w:numId w:val="356"/>
        </w:numPr>
        <w:spacing w:before="360" w:after="240"/>
        <w:contextualSpacing/>
        <w:rPr>
          <w:rFonts w:ascii="Calibri" w:eastAsia="Calibri" w:hAnsi="Calibri" w:cs="Arial"/>
          <w:rtl/>
        </w:rPr>
      </w:pPr>
      <w:r w:rsidRPr="0004348D">
        <w:rPr>
          <w:rFonts w:ascii="Calibri" w:eastAsia="Calibri" w:hAnsi="Calibri" w:cs="Arial"/>
          <w:rtl/>
        </w:rPr>
        <w:t xml:space="preserve">בעל התרומות </w:t>
      </w:r>
      <w:r w:rsidRPr="0004348D">
        <w:rPr>
          <w:rFonts w:ascii="Calibri" w:eastAsia="Calibri" w:hAnsi="Calibri" w:cs="Arial"/>
          <w:sz w:val="16"/>
          <w:szCs w:val="16"/>
          <w:rtl/>
        </w:rPr>
        <w:t>(שער ל ח"ב סי' ב)</w:t>
      </w:r>
      <w:r w:rsidRPr="0004348D">
        <w:rPr>
          <w:rFonts w:ascii="Calibri" w:eastAsia="Calibri" w:hAnsi="Calibri" w:cs="Arial"/>
          <w:rtl/>
        </w:rPr>
        <w:t>- מסתברא דוקא חוב דמלוה פורע קודם זמנו, אבל חוב דמשכונה דקא אכיל מינה פירי, כמי שלקח הפירות עד הזמן דמי, ואינו מקבל ממנו אא"כ מניח לו הפירות לאכול. וכ"כ והסכים עמי הרב ר' משה בר' נחמן ז"ל</w:t>
      </w:r>
      <w:r w:rsidRPr="0004348D">
        <w:rPr>
          <w:rFonts w:ascii="Calibri" w:eastAsia="Calibri" w:hAnsi="Calibri" w:cs="Arial"/>
          <w:vertAlign w:val="superscript"/>
          <w:rtl/>
        </w:rPr>
        <w:footnoteReference w:id="6126"/>
      </w:r>
      <w:r w:rsidRPr="0004348D">
        <w:rPr>
          <w:rFonts w:ascii="Calibri" w:eastAsia="Calibri" w:hAnsi="Calibri" w:cs="Arial"/>
          <w:rtl/>
        </w:rPr>
        <w:t xml:space="preserve">. </w:t>
      </w:r>
      <w:r w:rsidRPr="0004348D">
        <w:rPr>
          <w:rFonts w:ascii="Calibri" w:eastAsia="Calibri" w:hAnsi="Calibri" w:cs="Arial"/>
          <w:color w:val="E36C0A" w:themeColor="accent6" w:themeShade="BF"/>
          <w:rtl/>
        </w:rPr>
        <w:t>(וכ"פ בשו"ע)</w:t>
      </w:r>
    </w:p>
    <w:p w14:paraId="7E78C955" w14:textId="77777777" w:rsidR="0004348D" w:rsidRPr="0004348D" w:rsidRDefault="0004348D" w:rsidP="0004348D">
      <w:pPr>
        <w:spacing w:before="360" w:after="240"/>
        <w:rPr>
          <w:rFonts w:ascii="Calibri" w:eastAsia="Calibri" w:hAnsi="Calibri" w:cs="Arial"/>
          <w:u w:val="single"/>
        </w:rPr>
      </w:pPr>
      <w:r w:rsidRPr="0004348D">
        <w:rPr>
          <w:rFonts w:ascii="Calibri" w:eastAsia="Calibri" w:hAnsi="Calibri" w:cs="Arial"/>
          <w:u w:val="single"/>
          <w:rtl/>
        </w:rPr>
        <w:t>לוה שאמר למלוה 'טול מעותיך' והמלוה סרב לקבלם – ונגנבו מהלוה:</w:t>
      </w:r>
    </w:p>
    <w:p w14:paraId="7AD0BFFB" w14:textId="77777777" w:rsidR="0004348D" w:rsidRPr="0004348D" w:rsidRDefault="0004348D" w:rsidP="0004348D">
      <w:pPr>
        <w:numPr>
          <w:ilvl w:val="0"/>
          <w:numId w:val="356"/>
        </w:numPr>
        <w:spacing w:before="360" w:after="240"/>
        <w:contextualSpacing/>
        <w:rPr>
          <w:rFonts w:ascii="Calibri" w:eastAsia="Calibri" w:hAnsi="Calibri" w:cs="Arial"/>
          <w:rtl/>
        </w:rPr>
      </w:pPr>
      <w:r w:rsidRPr="0004348D">
        <w:rPr>
          <w:rFonts w:ascii="Calibri" w:eastAsia="Calibri" w:hAnsi="Calibri" w:cs="Arial"/>
          <w:rtl/>
        </w:rPr>
        <w:t xml:space="preserve">מהר"ם </w:t>
      </w:r>
      <w:r w:rsidRPr="0004348D">
        <w:rPr>
          <w:rFonts w:ascii="Calibri" w:eastAsia="Calibri" w:hAnsi="Calibri" w:cs="Arial"/>
          <w:sz w:val="16"/>
          <w:szCs w:val="16"/>
          <w:rtl/>
        </w:rPr>
        <w:t>(ד"פ סי' תשכז, הביאו הב"י בשם מצאתי כתוב)</w:t>
      </w:r>
      <w:r w:rsidRPr="0004348D">
        <w:rPr>
          <w:rFonts w:ascii="Calibri" w:eastAsia="Calibri" w:hAnsi="Calibri" w:cs="Arial"/>
          <w:rtl/>
        </w:rPr>
        <w:t xml:space="preserve">- אמר ליה הלוה 'טול מעותיך', ואמר 'איני חפץ בהם והרי הם צרורים ומונחים', ונגנבו או נאנסו - נראה לי שחייב הלוה, דאילו מתרמי ליה עיסקא מי לא זבין בהו, הילכך חייב באחריותן. אבל פקדון מכי אמר לו 'טול את שלך' - כלתה שמירתו, וכעין זה מצאתי בראב"ן </w:t>
      </w:r>
      <w:r w:rsidRPr="0004348D">
        <w:rPr>
          <w:rFonts w:ascii="Calibri" w:eastAsia="Calibri" w:hAnsi="Calibri" w:cs="Arial"/>
          <w:sz w:val="16"/>
          <w:szCs w:val="16"/>
          <w:rtl/>
        </w:rPr>
        <w:t>(ב"מ פרק השוכר את האומנין רה ע"א)</w:t>
      </w:r>
      <w:r w:rsidRPr="0004348D">
        <w:rPr>
          <w:rFonts w:ascii="Calibri" w:eastAsia="Calibri" w:hAnsi="Calibri" w:cs="Arial"/>
          <w:rtl/>
        </w:rPr>
        <w:t>. ואני אומר אם המעות פקדון ומותרים שאינם צרורים בקשר משונה אמאי לא יתחייב באחריותן כיון דיכול להשתמש בהן</w:t>
      </w:r>
      <w:r w:rsidRPr="0004348D">
        <w:rPr>
          <w:rFonts w:ascii="Calibri" w:eastAsia="Calibri" w:hAnsi="Calibri" w:cs="Arial"/>
          <w:vertAlign w:val="superscript"/>
          <w:rtl/>
        </w:rPr>
        <w:footnoteReference w:id="6127"/>
      </w:r>
      <w:r w:rsidRPr="0004348D">
        <w:rPr>
          <w:rFonts w:ascii="Calibri" w:eastAsia="Calibri" w:hAnsi="Calibri" w:cs="Arial"/>
          <w:rtl/>
        </w:rPr>
        <w:t xml:space="preserve">. </w:t>
      </w:r>
      <w:r w:rsidRPr="0004348D">
        <w:rPr>
          <w:rFonts w:ascii="Calibri" w:eastAsia="Calibri" w:hAnsi="Calibri" w:cs="Arial"/>
          <w:color w:val="00B0F0"/>
          <w:rtl/>
        </w:rPr>
        <w:t>(וכ"פ הרמ"א)</w:t>
      </w:r>
    </w:p>
    <w:p w14:paraId="3561F4FF" w14:textId="77777777" w:rsidR="0004348D" w:rsidRPr="0004348D" w:rsidRDefault="0004348D" w:rsidP="0004348D">
      <w:pPr>
        <w:spacing w:before="360" w:after="240"/>
        <w:rPr>
          <w:rFonts w:ascii="Arial" w:eastAsia="Calibri" w:hAnsi="Arial" w:cs="Arial"/>
          <w:b/>
          <w:bCs/>
          <w:color w:val="000000"/>
          <w:sz w:val="28"/>
          <w:szCs w:val="28"/>
          <w:u w:val="single"/>
        </w:rPr>
      </w:pPr>
      <w:r w:rsidRPr="0004348D">
        <w:rPr>
          <w:rFonts w:ascii="Arial" w:eastAsia="Calibri" w:hAnsi="Arial" w:cs="Arial"/>
          <w:b/>
          <w:bCs/>
          <w:color w:val="000000"/>
          <w:sz w:val="28"/>
          <w:szCs w:val="28"/>
          <w:u w:val="single"/>
          <w:rtl/>
        </w:rPr>
        <w:t>שו"ע:</w:t>
      </w:r>
    </w:p>
    <w:p w14:paraId="0A00BB5F" w14:textId="77777777" w:rsidR="0004348D" w:rsidRPr="0004348D" w:rsidRDefault="0004348D" w:rsidP="0004348D">
      <w:pPr>
        <w:spacing w:before="360" w:after="240"/>
        <w:rPr>
          <w:rFonts w:ascii="Calibri" w:eastAsia="Calibri" w:hAnsi="Calibri" w:cs="Arial"/>
          <w:rtl/>
        </w:rPr>
      </w:pPr>
      <w:r w:rsidRPr="0004348D">
        <w:rPr>
          <w:rFonts w:ascii="Calibri" w:eastAsia="Calibri" w:hAnsi="Calibri" w:cs="Arial"/>
          <w:rtl/>
        </w:rPr>
        <w:t>חוב דמשכונא, דקא אכיל מיניה פירות באתרא דלא מסלקי</w:t>
      </w:r>
      <w:r w:rsidRPr="0004348D">
        <w:rPr>
          <w:rFonts w:ascii="Calibri" w:eastAsia="Calibri" w:hAnsi="Calibri" w:cs="Arial"/>
          <w:vertAlign w:val="superscript"/>
          <w:rtl/>
        </w:rPr>
        <w:footnoteReference w:id="6128"/>
      </w:r>
      <w:r w:rsidRPr="0004348D">
        <w:rPr>
          <w:rFonts w:ascii="Calibri" w:eastAsia="Calibri" w:hAnsi="Calibri" w:cs="Arial"/>
          <w:rtl/>
        </w:rPr>
        <w:t xml:space="preserve"> עד שיגיע הזמן, כמי שלוקח פירות עד זמן דמי, ואם רצה, אינו מקבל המעות קודם הזמן</w:t>
      </w:r>
      <w:r w:rsidRPr="0004348D">
        <w:rPr>
          <w:rFonts w:ascii="Calibri" w:eastAsia="Calibri" w:hAnsi="Calibri" w:cs="Arial"/>
          <w:vertAlign w:val="superscript"/>
          <w:rtl/>
        </w:rPr>
        <w:footnoteReference w:id="6129"/>
      </w:r>
      <w:r w:rsidRPr="0004348D">
        <w:rPr>
          <w:rFonts w:ascii="Calibri" w:eastAsia="Calibri" w:hAnsi="Calibri" w:cs="Arial"/>
          <w:rtl/>
        </w:rPr>
        <w:t xml:space="preserve">, אלא אם כן מניח לו הפירות לאכול. </w:t>
      </w:r>
      <w:r w:rsidRPr="0004348D">
        <w:rPr>
          <w:rFonts w:ascii="Calibri" w:eastAsia="Calibri" w:hAnsi="Calibri" w:cs="Arial"/>
          <w:sz w:val="18"/>
          <w:szCs w:val="18"/>
          <w:rtl/>
        </w:rPr>
        <w:t>הגה: לוה שאמר למלוה 'טול מעותיך', והוא בזמן</w:t>
      </w:r>
      <w:r w:rsidRPr="0004348D">
        <w:rPr>
          <w:rFonts w:ascii="Calibri" w:eastAsia="Calibri" w:hAnsi="Calibri" w:cs="Arial"/>
          <w:sz w:val="18"/>
          <w:szCs w:val="18"/>
          <w:vertAlign w:val="superscript"/>
          <w:rtl/>
        </w:rPr>
        <w:footnoteReference w:id="6130"/>
      </w:r>
      <w:r w:rsidRPr="0004348D">
        <w:rPr>
          <w:rFonts w:ascii="Calibri" w:eastAsia="Calibri" w:hAnsi="Calibri" w:cs="Arial"/>
          <w:sz w:val="18"/>
          <w:szCs w:val="18"/>
          <w:rtl/>
        </w:rPr>
        <w:t>, והמלוה אינו רוצה לקבלם והם צרורים ומונחים ביד לוה ונגנבו או נאנסו, הלוה חייב לשלם. אבל בפקדון בכה"ג, פטור</w:t>
      </w:r>
      <w:r w:rsidRPr="0004348D">
        <w:rPr>
          <w:rFonts w:ascii="Calibri" w:eastAsia="Calibri" w:hAnsi="Calibri" w:cs="Arial"/>
          <w:sz w:val="18"/>
          <w:szCs w:val="18"/>
          <w:vertAlign w:val="superscript"/>
          <w:rtl/>
        </w:rPr>
        <w:footnoteReference w:id="6131"/>
      </w:r>
      <w:r w:rsidRPr="0004348D">
        <w:rPr>
          <w:rFonts w:ascii="Calibri" w:eastAsia="Calibri" w:hAnsi="Calibri" w:cs="Arial"/>
          <w:sz w:val="18"/>
          <w:szCs w:val="18"/>
          <w:rtl/>
        </w:rPr>
        <w:t xml:space="preserve"> (ב"י בשם מ"כ).</w:t>
      </w:r>
    </w:p>
    <w:p w14:paraId="5920F218" w14:textId="77777777" w:rsidR="0004348D" w:rsidRPr="0004348D" w:rsidRDefault="0004348D" w:rsidP="0004348D">
      <w:pPr>
        <w:spacing w:before="360" w:after="240"/>
        <w:rPr>
          <w:rFonts w:ascii="Calibri" w:eastAsia="Calibri" w:hAnsi="Calibri" w:cs="Arial"/>
          <w:rtl/>
        </w:rPr>
      </w:pPr>
    </w:p>
    <w:p w14:paraId="5FF4609A" w14:textId="77777777" w:rsidR="0004348D" w:rsidRPr="0004348D" w:rsidRDefault="0004348D" w:rsidP="0004348D">
      <w:pPr>
        <w:keepNext/>
        <w:keepLines/>
        <w:spacing w:before="360" w:after="240"/>
        <w:outlineLvl w:val="1"/>
        <w:rPr>
          <w:rFonts w:ascii="Cambria" w:eastAsia="Times New Roman" w:hAnsi="Cambria" w:cs="Arial"/>
          <w:bCs/>
          <w:color w:val="548DD4" w:themeColor="text2" w:themeTint="99"/>
          <w:sz w:val="26"/>
          <w:szCs w:val="26"/>
          <w:rtl/>
        </w:rPr>
      </w:pPr>
      <w:bookmarkStart w:id="916" w:name="_Toc24884288"/>
      <w:r w:rsidRPr="0004348D">
        <w:rPr>
          <w:rFonts w:ascii="Cambria" w:eastAsia="Times New Roman" w:hAnsi="Cambria" w:cs="Arial"/>
          <w:bCs/>
          <w:color w:val="548DD4" w:themeColor="text2" w:themeTint="99"/>
          <w:sz w:val="26"/>
          <w:szCs w:val="26"/>
          <w:rtl/>
        </w:rPr>
        <w:t>סעיף ד: לוה שפורע תוך הזמן מעט מעט.</w:t>
      </w:r>
      <w:bookmarkEnd w:id="916"/>
    </w:p>
    <w:p w14:paraId="3D2AE4A3" w14:textId="77777777" w:rsidR="0004348D" w:rsidRPr="0004348D" w:rsidRDefault="0004348D" w:rsidP="0004348D">
      <w:pPr>
        <w:spacing w:before="360" w:after="240"/>
        <w:rPr>
          <w:rFonts w:ascii="Calibri" w:eastAsia="Calibri" w:hAnsi="Calibri" w:cs="Arial"/>
          <w:rtl/>
        </w:rPr>
      </w:pPr>
      <w:r w:rsidRPr="0004348D">
        <w:rPr>
          <w:rFonts w:ascii="Calibri" w:eastAsia="Calibri" w:hAnsi="Calibri" w:cs="Arial"/>
          <w:b/>
          <w:bCs/>
          <w:rtl/>
        </w:rPr>
        <w:t xml:space="preserve">בבא מציעא </w:t>
      </w:r>
      <w:r w:rsidRPr="0004348D">
        <w:rPr>
          <w:rFonts w:ascii="Calibri" w:eastAsia="Calibri" w:hAnsi="Calibri" w:cs="Arial"/>
          <w:b/>
          <w:bCs/>
          <w:sz w:val="16"/>
          <w:szCs w:val="16"/>
          <w:rtl/>
        </w:rPr>
        <w:t xml:space="preserve">(פרק האומנין) </w:t>
      </w:r>
      <w:r w:rsidRPr="0004348D">
        <w:rPr>
          <w:rFonts w:ascii="Calibri" w:eastAsia="Calibri" w:hAnsi="Calibri" w:cs="Arial"/>
          <w:b/>
          <w:bCs/>
          <w:rtl/>
        </w:rPr>
        <w:t>עז</w:t>
      </w:r>
      <w:r w:rsidRPr="0004348D">
        <w:rPr>
          <w:rFonts w:ascii="Calibri" w:eastAsia="Calibri" w:hAnsi="Calibri" w:cs="Arial"/>
          <w:b/>
          <w:bCs/>
          <w:vertAlign w:val="superscript"/>
          <w:rtl/>
        </w:rPr>
        <w:footnoteReference w:id="6132"/>
      </w:r>
      <w:r w:rsidRPr="0004348D">
        <w:rPr>
          <w:rFonts w:ascii="Calibri" w:eastAsia="Calibri" w:hAnsi="Calibri" w:cs="Arial"/>
          <w:b/>
          <w:bCs/>
          <w:rtl/>
        </w:rPr>
        <w:t xml:space="preserve"> ע"ב:</w:t>
      </w:r>
      <w:r w:rsidRPr="0004348D">
        <w:rPr>
          <w:rFonts w:ascii="Calibri" w:eastAsia="Calibri" w:hAnsi="Calibri" w:cs="Arial"/>
          <w:rtl/>
        </w:rPr>
        <w:t xml:space="preserve"> </w:t>
      </w:r>
      <w:r w:rsidRPr="0004348D">
        <w:rPr>
          <w:rFonts w:ascii="Calibri" w:eastAsia="Calibri" w:hAnsi="Calibri" w:cs="Arial"/>
          <w:u w:val="single"/>
          <w:rtl/>
        </w:rPr>
        <w:t>ואמר רבא</w:t>
      </w:r>
      <w:r w:rsidRPr="0004348D">
        <w:rPr>
          <w:rFonts w:ascii="Calibri" w:eastAsia="Calibri" w:hAnsi="Calibri" w:cs="Arial"/>
          <w:rtl/>
        </w:rPr>
        <w:t xml:space="preserve">: האי מאן דאוזפיה מאה זוזי לחבריה ופרעיה זוזא זוזא - פרעון הוי, אלא דאית ליה תרעומת גביה. דאמר ליה: אפסדתינהו מינאי. </w:t>
      </w:r>
      <w:r w:rsidRPr="0004348D">
        <w:rPr>
          <w:rFonts w:ascii="Calibri" w:eastAsia="Calibri" w:hAnsi="Calibri" w:cs="Arial"/>
          <w:sz w:val="16"/>
          <w:szCs w:val="16"/>
          <w:rtl/>
        </w:rPr>
        <w:t>(והרי"ף לא כתבה בהלכותיו</w:t>
      </w:r>
      <w:r w:rsidRPr="0004348D">
        <w:rPr>
          <w:rFonts w:ascii="Calibri" w:eastAsia="Calibri" w:hAnsi="Calibri" w:cs="Arial"/>
          <w:sz w:val="16"/>
          <w:szCs w:val="16"/>
          <w:vertAlign w:val="superscript"/>
          <w:rtl/>
        </w:rPr>
        <w:footnoteReference w:id="6133"/>
      </w:r>
      <w:r w:rsidRPr="0004348D">
        <w:rPr>
          <w:rFonts w:ascii="Calibri" w:eastAsia="Calibri" w:hAnsi="Calibri" w:cs="Arial"/>
          <w:sz w:val="16"/>
          <w:szCs w:val="16"/>
          <w:rtl/>
        </w:rPr>
        <w:t xml:space="preserve"> </w:t>
      </w:r>
      <w:r w:rsidRPr="0004348D">
        <w:rPr>
          <w:rFonts w:ascii="Calibri" w:eastAsia="Calibri" w:hAnsi="Calibri" w:cs="Arial"/>
          <w:sz w:val="14"/>
          <w:szCs w:val="14"/>
          <w:rtl/>
        </w:rPr>
        <w:t>[ואפשר שהוא מפרש דהיינו לומר שאם אירע שפרעיה זוזא זוזא והלה קבלו, אבל אם לא רצה לקבל אלא כל חובו כאחד הרשות בידו, ב"י (בבדה"ב)]</w:t>
      </w:r>
      <w:r w:rsidRPr="0004348D">
        <w:rPr>
          <w:rFonts w:ascii="Calibri" w:eastAsia="Calibri" w:hAnsi="Calibri" w:cs="Arial"/>
          <w:sz w:val="16"/>
          <w:szCs w:val="16"/>
          <w:rtl/>
        </w:rPr>
        <w:t xml:space="preserve"> אך הרא"ש (פ"ו סי' ח) כתבה, וכתב עוד- וקמ"ל שאין המלוה יכול לומר איני רוצה ליקח מעותי אלא בבת אחת, ב"י)</w:t>
      </w:r>
    </w:p>
    <w:p w14:paraId="31922240" w14:textId="77777777" w:rsidR="0004348D" w:rsidRPr="0004348D" w:rsidRDefault="0004348D" w:rsidP="0004348D">
      <w:pPr>
        <w:spacing w:before="360" w:after="240"/>
        <w:rPr>
          <w:rFonts w:ascii="Calibri" w:eastAsia="Calibri" w:hAnsi="Calibri" w:cs="Arial"/>
          <w:u w:val="single"/>
          <w:rtl/>
        </w:rPr>
      </w:pPr>
      <w:r w:rsidRPr="0004348D">
        <w:rPr>
          <w:rFonts w:ascii="Calibri" w:eastAsia="Calibri" w:hAnsi="Calibri" w:cs="Arial"/>
          <w:u w:val="single"/>
          <w:rtl/>
        </w:rPr>
        <w:t xml:space="preserve">לוה שפורע </w:t>
      </w:r>
      <w:r w:rsidRPr="0004348D">
        <w:rPr>
          <w:rFonts w:ascii="Calibri" w:eastAsia="Calibri" w:hAnsi="Calibri" w:cs="Arial"/>
          <w:b/>
          <w:bCs/>
          <w:u w:val="single"/>
          <w:rtl/>
        </w:rPr>
        <w:t>תוך</w:t>
      </w:r>
      <w:r w:rsidRPr="0004348D">
        <w:rPr>
          <w:rFonts w:ascii="Calibri" w:eastAsia="Calibri" w:hAnsi="Calibri" w:cs="Arial"/>
          <w:u w:val="single"/>
          <w:rtl/>
        </w:rPr>
        <w:t xml:space="preserve"> הזמן מעט מעט – האם המלוה חייב לקבל ממנו:</w:t>
      </w:r>
    </w:p>
    <w:p w14:paraId="4E38AD58" w14:textId="77777777" w:rsidR="0004348D" w:rsidRPr="0004348D" w:rsidRDefault="0004348D" w:rsidP="0004348D">
      <w:pPr>
        <w:numPr>
          <w:ilvl w:val="0"/>
          <w:numId w:val="356"/>
        </w:numPr>
        <w:spacing w:before="360" w:after="240"/>
        <w:contextualSpacing/>
        <w:rPr>
          <w:rFonts w:ascii="Calibri" w:eastAsia="Calibri" w:hAnsi="Calibri" w:cs="Arial"/>
          <w:rtl/>
        </w:rPr>
      </w:pPr>
      <w:r w:rsidRPr="0004348D">
        <w:rPr>
          <w:rFonts w:ascii="Calibri" w:eastAsia="Calibri" w:hAnsi="Calibri" w:cs="Arial"/>
          <w:rtl/>
        </w:rPr>
        <w:t>בהעי"ט רמב"ן בעל התרומות רא"ש וטור</w:t>
      </w:r>
      <w:r w:rsidRPr="0004348D">
        <w:rPr>
          <w:rFonts w:ascii="Calibri" w:eastAsia="Calibri" w:hAnsi="Calibri" w:cs="Arial"/>
          <w:vertAlign w:val="superscript"/>
          <w:rtl/>
        </w:rPr>
        <w:footnoteReference w:id="6134"/>
      </w:r>
      <w:r w:rsidRPr="0004348D">
        <w:rPr>
          <w:rFonts w:ascii="Calibri" w:eastAsia="Calibri" w:hAnsi="Calibri" w:cs="Arial"/>
          <w:rtl/>
        </w:rPr>
        <w:t>- אם בא לפרוע תוך הזמן בפרוטרוט דינר דינר - אין המלוה יכול לעכב ולומר תן לי כל חובי בפעם אחת, דאף פרעון של דינר דינר נקרא פרעון. אלא שיש למלוה תרעומת עליו</w:t>
      </w:r>
      <w:r w:rsidRPr="0004348D">
        <w:rPr>
          <w:rFonts w:ascii="Calibri" w:eastAsia="Calibri" w:hAnsi="Calibri" w:cs="Arial"/>
          <w:vertAlign w:val="superscript"/>
          <w:rtl/>
        </w:rPr>
        <w:footnoteReference w:id="6135"/>
      </w:r>
      <w:r w:rsidRPr="0004348D">
        <w:rPr>
          <w:rFonts w:ascii="Calibri" w:eastAsia="Calibri" w:hAnsi="Calibri" w:cs="Arial"/>
          <w:sz w:val="16"/>
          <w:szCs w:val="16"/>
          <w:rtl/>
        </w:rPr>
        <w:t xml:space="preserve"> (ל' הטור)</w:t>
      </w:r>
      <w:r w:rsidRPr="0004348D">
        <w:rPr>
          <w:rFonts w:ascii="Calibri" w:eastAsia="Calibri" w:hAnsi="Calibri" w:cs="Arial"/>
          <w:rtl/>
        </w:rPr>
        <w:t>.</w:t>
      </w:r>
      <w:r w:rsidRPr="0004348D">
        <w:rPr>
          <w:rFonts w:ascii="Calibri" w:eastAsia="Calibri" w:hAnsi="Calibri" w:cs="Arial"/>
          <w:color w:val="E36C0A" w:themeColor="accent6" w:themeShade="BF"/>
          <w:rtl/>
        </w:rPr>
        <w:t xml:space="preserve"> (וכ"פ בשו"ע)</w:t>
      </w:r>
    </w:p>
    <w:p w14:paraId="6F5ED65E" w14:textId="77777777" w:rsidR="0004348D" w:rsidRPr="0004348D" w:rsidRDefault="0004348D" w:rsidP="0004348D">
      <w:pPr>
        <w:spacing w:before="360" w:after="240"/>
        <w:ind w:left="360"/>
        <w:rPr>
          <w:rFonts w:ascii="Calibri" w:eastAsia="Calibri" w:hAnsi="Calibri" w:cs="Arial"/>
          <w:u w:val="dotted"/>
        </w:rPr>
      </w:pPr>
      <w:r w:rsidRPr="0004348D">
        <w:rPr>
          <w:rFonts w:ascii="Calibri" w:eastAsia="Calibri" w:hAnsi="Calibri" w:cs="Arial"/>
          <w:u w:val="dotted"/>
          <w:rtl/>
        </w:rPr>
        <w:t xml:space="preserve">האם הדין כן אף אם בא לפרוע לו מעט מעט </w:t>
      </w:r>
      <w:r w:rsidRPr="0004348D">
        <w:rPr>
          <w:rFonts w:ascii="Calibri" w:eastAsia="Calibri" w:hAnsi="Calibri" w:cs="Arial"/>
          <w:b/>
          <w:bCs/>
          <w:u w:val="dotted"/>
          <w:rtl/>
        </w:rPr>
        <w:t>אחר</w:t>
      </w:r>
      <w:r w:rsidRPr="0004348D">
        <w:rPr>
          <w:rFonts w:ascii="Calibri" w:eastAsia="Calibri" w:hAnsi="Calibri" w:cs="Arial"/>
          <w:u w:val="dotted"/>
          <w:rtl/>
        </w:rPr>
        <w:t xml:space="preserve"> הזמן:</w:t>
      </w:r>
      <w:r w:rsidRPr="0004348D">
        <w:rPr>
          <w:rFonts w:ascii="Calibri" w:eastAsia="Calibri" w:hAnsi="Calibri" w:cs="Arial"/>
          <w:sz w:val="16"/>
          <w:szCs w:val="16"/>
          <w:rtl/>
        </w:rPr>
        <w:t xml:space="preserve"> </w:t>
      </w:r>
    </w:p>
    <w:p w14:paraId="2452C657" w14:textId="77777777" w:rsidR="0004348D" w:rsidRPr="0004348D" w:rsidRDefault="0004348D" w:rsidP="0004348D">
      <w:pPr>
        <w:numPr>
          <w:ilvl w:val="0"/>
          <w:numId w:val="356"/>
        </w:numPr>
        <w:spacing w:before="360" w:after="240"/>
        <w:contextualSpacing/>
        <w:rPr>
          <w:rFonts w:ascii="Calibri" w:eastAsia="Calibri" w:hAnsi="Calibri" w:cs="Arial"/>
        </w:rPr>
      </w:pPr>
      <w:r w:rsidRPr="0004348D">
        <w:rPr>
          <w:rFonts w:ascii="Calibri" w:eastAsia="Calibri" w:hAnsi="Calibri" w:cs="Arial"/>
          <w:rtl/>
        </w:rPr>
        <w:t xml:space="preserve">מרדכי </w:t>
      </w:r>
      <w:r w:rsidRPr="0004348D">
        <w:rPr>
          <w:rFonts w:ascii="Calibri" w:eastAsia="Calibri" w:hAnsi="Calibri" w:cs="Arial"/>
          <w:sz w:val="16"/>
          <w:szCs w:val="16"/>
          <w:rtl/>
        </w:rPr>
        <w:t>(פרק האומנים ב"מ סי' שנב, כ"כ הדרכ"מ בשמו [אות ג])</w:t>
      </w:r>
      <w:r w:rsidRPr="0004348D">
        <w:rPr>
          <w:rFonts w:ascii="Calibri" w:eastAsia="Calibri" w:hAnsi="Calibri" w:cs="Arial"/>
          <w:rtl/>
        </w:rPr>
        <w:t>- דוקא תוך הזמן אבל אחר הזמן אין צריך לקבל בפרוטרוט.</w:t>
      </w:r>
      <w:r w:rsidRPr="0004348D">
        <w:rPr>
          <w:rFonts w:ascii="Calibri" w:eastAsia="Calibri" w:hAnsi="Calibri" w:cs="Arial"/>
          <w:color w:val="00B0F0"/>
          <w:rtl/>
        </w:rPr>
        <w:t xml:space="preserve"> (וכ"פ הרמ"א)</w:t>
      </w:r>
    </w:p>
    <w:p w14:paraId="168FCA8E" w14:textId="77777777" w:rsidR="0004348D" w:rsidRPr="0004348D" w:rsidRDefault="0004348D" w:rsidP="0004348D">
      <w:pPr>
        <w:spacing w:before="360" w:after="240"/>
        <w:rPr>
          <w:rFonts w:ascii="Calibri" w:eastAsia="Calibri" w:hAnsi="Calibri" w:cs="Arial"/>
        </w:rPr>
      </w:pPr>
      <w:r w:rsidRPr="0004348D">
        <w:rPr>
          <w:rFonts w:ascii="Calibri" w:eastAsia="Calibri" w:hAnsi="Calibri" w:cs="Arial"/>
          <w:u w:val="single"/>
          <w:rtl/>
        </w:rPr>
        <w:t xml:space="preserve">לוה שהלוה על שדהו כמשכון ובא לפרוע </w:t>
      </w:r>
      <w:r w:rsidRPr="0004348D">
        <w:rPr>
          <w:rFonts w:ascii="Calibri" w:eastAsia="Calibri" w:hAnsi="Calibri" w:cs="Arial"/>
          <w:b/>
          <w:bCs/>
          <w:u w:val="single"/>
          <w:rtl/>
        </w:rPr>
        <w:t>תוך</w:t>
      </w:r>
      <w:r w:rsidRPr="0004348D">
        <w:rPr>
          <w:rFonts w:ascii="Calibri" w:eastAsia="Calibri" w:hAnsi="Calibri" w:cs="Arial"/>
          <w:u w:val="single"/>
          <w:rtl/>
        </w:rPr>
        <w:t xml:space="preserve"> הזמן מעט מעט – האם המלוה חייב לקבל ממנו:</w:t>
      </w:r>
    </w:p>
    <w:p w14:paraId="255A5FFC" w14:textId="77777777" w:rsidR="0004348D" w:rsidRPr="0004348D" w:rsidRDefault="0004348D" w:rsidP="0004348D">
      <w:pPr>
        <w:numPr>
          <w:ilvl w:val="0"/>
          <w:numId w:val="356"/>
        </w:numPr>
        <w:spacing w:before="360" w:after="240"/>
        <w:contextualSpacing/>
        <w:rPr>
          <w:rFonts w:ascii="Calibri" w:eastAsia="Calibri" w:hAnsi="Calibri" w:cs="Arial"/>
        </w:rPr>
      </w:pPr>
      <w:r w:rsidRPr="0004348D">
        <w:rPr>
          <w:rFonts w:ascii="Calibri" w:eastAsia="Calibri" w:hAnsi="Calibri" w:cs="Arial"/>
          <w:rtl/>
        </w:rPr>
        <w:t>רשב"ם רמב"ן רשב"א טור רי"ו</w:t>
      </w:r>
      <w:r w:rsidRPr="0004348D">
        <w:rPr>
          <w:rFonts w:ascii="Calibri" w:eastAsia="Calibri" w:hAnsi="Calibri" w:cs="Arial"/>
          <w:vertAlign w:val="superscript"/>
          <w:rtl/>
        </w:rPr>
        <w:footnoteReference w:id="6136"/>
      </w:r>
      <w:r w:rsidRPr="0004348D">
        <w:rPr>
          <w:rFonts w:ascii="Calibri" w:eastAsia="Calibri" w:hAnsi="Calibri" w:cs="Arial"/>
          <w:rtl/>
        </w:rPr>
        <w:t xml:space="preserve"> ור"ן</w:t>
      </w:r>
      <w:r w:rsidRPr="0004348D">
        <w:rPr>
          <w:rFonts w:ascii="Calibri" w:eastAsia="Calibri" w:hAnsi="Calibri" w:cs="Arial"/>
          <w:vertAlign w:val="superscript"/>
          <w:rtl/>
        </w:rPr>
        <w:footnoteReference w:id="6137"/>
      </w:r>
      <w:r w:rsidRPr="0004348D">
        <w:rPr>
          <w:rFonts w:ascii="Calibri" w:eastAsia="Calibri" w:hAnsi="Calibri" w:cs="Arial"/>
          <w:rtl/>
        </w:rPr>
        <w:t>- אחד הממשכן שדה לחברו ואחד שתי שדות בהלואה אחת - אין הלוה יכול לכופו למלוה להחזיר לו חצי משכונה בחצי המעות, דאמ' ליה אכולה שדה יהבית ולא אפלגא</w:t>
      </w:r>
      <w:r w:rsidRPr="0004348D">
        <w:rPr>
          <w:rFonts w:ascii="Calibri" w:eastAsia="Calibri" w:hAnsi="Calibri" w:cs="Arial"/>
          <w:vertAlign w:val="superscript"/>
          <w:rtl/>
        </w:rPr>
        <w:footnoteReference w:id="6138"/>
      </w:r>
      <w:r w:rsidRPr="0004348D">
        <w:rPr>
          <w:rFonts w:ascii="Calibri" w:eastAsia="Calibri" w:hAnsi="Calibri" w:cs="Arial"/>
          <w:rtl/>
        </w:rPr>
        <w:t xml:space="preserve">. ודבר זה הדעת נותנתו והשכל מקבלתו. ויש לנו עוד תוספת ראיה עליו מפרק בית כור </w:t>
      </w:r>
      <w:r w:rsidRPr="0004348D">
        <w:rPr>
          <w:rFonts w:ascii="Calibri" w:eastAsia="Calibri" w:hAnsi="Calibri" w:cs="Arial"/>
          <w:sz w:val="16"/>
          <w:szCs w:val="16"/>
          <w:rtl/>
        </w:rPr>
        <w:t xml:space="preserve">(ב"ב קז.) </w:t>
      </w:r>
      <w:r w:rsidRPr="0004348D">
        <w:rPr>
          <w:rFonts w:ascii="Calibri" w:eastAsia="Calibri" w:hAnsi="Calibri" w:cs="Arial"/>
          <w:rtl/>
        </w:rPr>
        <w:t xml:space="preserve">בשמעתא דבטלה מחלוקת </w:t>
      </w:r>
      <w:r w:rsidRPr="0004348D">
        <w:rPr>
          <w:rFonts w:ascii="Calibri" w:eastAsia="Calibri" w:hAnsi="Calibri" w:cs="Arial"/>
          <w:sz w:val="16"/>
          <w:szCs w:val="16"/>
          <w:rtl/>
        </w:rPr>
        <w:t>(קידושין כ:)</w:t>
      </w:r>
      <w:r w:rsidRPr="0004348D">
        <w:rPr>
          <w:rFonts w:ascii="Calibri" w:eastAsia="Calibri" w:hAnsi="Calibri" w:cs="Arial"/>
          <w:rtl/>
        </w:rPr>
        <w:t xml:space="preserve"> ומה שאמרו לוה וגואל וגואל לחצאין לומ' שפורע מחצה אלא שהלוקח אוכל</w:t>
      </w:r>
      <w:r w:rsidRPr="0004348D">
        <w:rPr>
          <w:rFonts w:ascii="Calibri" w:eastAsia="Calibri" w:hAnsi="Calibri" w:cs="Arial"/>
          <w:vertAlign w:val="superscript"/>
          <w:rtl/>
        </w:rPr>
        <w:footnoteReference w:id="6139"/>
      </w:r>
      <w:r w:rsidRPr="0004348D">
        <w:rPr>
          <w:rFonts w:ascii="Calibri" w:eastAsia="Calibri" w:hAnsi="Calibri" w:cs="Arial"/>
          <w:rtl/>
        </w:rPr>
        <w:t xml:space="preserve"> שדה כולה. אי נמי פורע חצי מעות לחצי שנים עד היובל אבל להחזיר לו חצי שדה לא</w:t>
      </w:r>
      <w:r w:rsidRPr="0004348D">
        <w:rPr>
          <w:rFonts w:ascii="Calibri" w:eastAsia="Calibri" w:hAnsi="Calibri" w:cs="Arial"/>
          <w:sz w:val="16"/>
          <w:szCs w:val="16"/>
          <w:rtl/>
        </w:rPr>
        <w:t xml:space="preserve"> (ל' הרמב"ן)</w:t>
      </w:r>
      <w:r w:rsidRPr="0004348D">
        <w:rPr>
          <w:rFonts w:ascii="Calibri" w:eastAsia="Calibri" w:hAnsi="Calibri" w:cs="Arial"/>
          <w:vertAlign w:val="superscript"/>
          <w:rtl/>
        </w:rPr>
        <w:footnoteReference w:id="6140"/>
      </w:r>
      <w:r w:rsidRPr="0004348D">
        <w:rPr>
          <w:rFonts w:ascii="Calibri" w:eastAsia="Calibri" w:hAnsi="Calibri" w:cs="Arial"/>
          <w:rtl/>
        </w:rPr>
        <w:t>.</w:t>
      </w:r>
      <w:r w:rsidRPr="0004348D">
        <w:rPr>
          <w:rFonts w:ascii="Calibri" w:eastAsia="Calibri" w:hAnsi="Calibri" w:cs="Arial"/>
          <w:color w:val="E36C0A" w:themeColor="accent6" w:themeShade="BF"/>
          <w:rtl/>
        </w:rPr>
        <w:t xml:space="preserve"> (וכ"פ בשו"ע)</w:t>
      </w:r>
    </w:p>
    <w:p w14:paraId="17211B72" w14:textId="77777777" w:rsidR="0004348D" w:rsidRPr="0004348D" w:rsidRDefault="0004348D" w:rsidP="0004348D">
      <w:pPr>
        <w:spacing w:before="360" w:after="240"/>
        <w:rPr>
          <w:rFonts w:ascii="Calibri" w:eastAsia="Calibri" w:hAnsi="Calibri" w:cs="Arial"/>
          <w:u w:val="single"/>
        </w:rPr>
      </w:pPr>
      <w:r w:rsidRPr="0004348D">
        <w:rPr>
          <w:rFonts w:ascii="Calibri" w:eastAsia="Calibri" w:hAnsi="Calibri" w:cs="Arial"/>
          <w:u w:val="single"/>
          <w:rtl/>
        </w:rPr>
        <w:t>לוה שפרע במעות אחרות ממה שלוה – ולאחר שפרע רובם תובע המלוה שיחשבו מה שפרע לפי שווים היום:</w:t>
      </w:r>
    </w:p>
    <w:p w14:paraId="6C26902B" w14:textId="77777777" w:rsidR="0004348D" w:rsidRPr="0004348D" w:rsidRDefault="0004348D" w:rsidP="0004348D">
      <w:pPr>
        <w:numPr>
          <w:ilvl w:val="0"/>
          <w:numId w:val="356"/>
        </w:numPr>
        <w:spacing w:before="360" w:after="240"/>
        <w:contextualSpacing/>
        <w:rPr>
          <w:rFonts w:ascii="Calibri" w:eastAsia="Calibri" w:hAnsi="Calibri" w:cs="Arial"/>
        </w:rPr>
      </w:pPr>
      <w:r w:rsidRPr="0004348D">
        <w:rPr>
          <w:rFonts w:ascii="Calibri" w:eastAsia="Calibri" w:hAnsi="Calibri" w:cs="Arial"/>
          <w:rtl/>
        </w:rPr>
        <w:t xml:space="preserve">רשב"א </w:t>
      </w:r>
      <w:r w:rsidRPr="0004348D">
        <w:rPr>
          <w:rFonts w:ascii="Calibri" w:eastAsia="Calibri" w:hAnsi="Calibri" w:cs="Arial"/>
          <w:sz w:val="16"/>
          <w:szCs w:val="16"/>
          <w:rtl/>
        </w:rPr>
        <w:t>(ח"ג סי' לז)</w:t>
      </w:r>
      <w:r w:rsidRPr="0004348D">
        <w:rPr>
          <w:rFonts w:ascii="Calibri" w:eastAsia="Calibri" w:hAnsi="Calibri" w:cs="Arial"/>
          <w:rtl/>
        </w:rPr>
        <w:t>- שאלת, ראובן חייב לשמעון מאה זהובים אדפונשיא"ה, ופרע לו רובם במעות יאקישי"ש סתם, עכשיו תובע שמעון שיחשבו מה שפרע כפי מה ששוים הזהובים היום, וראובן אומר 'אפרע מה שנשאר כפי מה ששוים היום אבל מה שפרעתי נחשוב כפי מה שהיו הזהובים שוים בשעת הפרעון'. תשובה, הדין עם ראובן דמה שפרע - פרעון הוי ולא פקדון. (וכ"כ הסמ"ע</w:t>
      </w:r>
      <w:r w:rsidRPr="0004348D">
        <w:rPr>
          <w:rFonts w:ascii="Calibri" w:eastAsia="Calibri" w:hAnsi="Calibri" w:cs="Arial"/>
          <w:sz w:val="16"/>
          <w:szCs w:val="16"/>
          <w:rtl/>
        </w:rPr>
        <w:t xml:space="preserve"> [סקי"ח]</w:t>
      </w:r>
      <w:r w:rsidRPr="0004348D">
        <w:rPr>
          <w:rFonts w:ascii="Calibri" w:eastAsia="Calibri" w:hAnsi="Calibri" w:cs="Arial"/>
          <w:rtl/>
        </w:rPr>
        <w:t>)</w:t>
      </w:r>
    </w:p>
    <w:p w14:paraId="1E75C4D3" w14:textId="77777777" w:rsidR="0004348D" w:rsidRPr="0004348D" w:rsidRDefault="0004348D" w:rsidP="0004348D">
      <w:pPr>
        <w:spacing w:before="360" w:after="240"/>
        <w:rPr>
          <w:rFonts w:ascii="Arial" w:eastAsia="Calibri" w:hAnsi="Arial" w:cs="Arial"/>
          <w:b/>
          <w:bCs/>
          <w:color w:val="000000"/>
          <w:sz w:val="28"/>
          <w:szCs w:val="28"/>
          <w:u w:val="single"/>
          <w:rtl/>
        </w:rPr>
      </w:pPr>
      <w:r w:rsidRPr="0004348D">
        <w:rPr>
          <w:rFonts w:ascii="Arial" w:eastAsia="Calibri" w:hAnsi="Arial" w:cs="Arial"/>
          <w:b/>
          <w:bCs/>
          <w:color w:val="000000"/>
          <w:sz w:val="28"/>
          <w:szCs w:val="28"/>
          <w:u w:val="single"/>
          <w:rtl/>
        </w:rPr>
        <w:t>שו"ע:</w:t>
      </w:r>
    </w:p>
    <w:p w14:paraId="270C883A" w14:textId="77777777" w:rsidR="0004348D" w:rsidRPr="0004348D" w:rsidRDefault="0004348D" w:rsidP="0004348D">
      <w:pPr>
        <w:spacing w:before="360" w:after="240"/>
        <w:rPr>
          <w:rFonts w:ascii="Calibri" w:eastAsia="Calibri" w:hAnsi="Calibri" w:cs="Arial"/>
          <w:rtl/>
        </w:rPr>
      </w:pPr>
      <w:r w:rsidRPr="0004348D">
        <w:rPr>
          <w:rFonts w:ascii="Calibri" w:eastAsia="Calibri" w:hAnsi="Calibri" w:cs="Arial"/>
          <w:rtl/>
        </w:rPr>
        <w:t>המלוה את חבירו לזמן, ובא הלוה לפרעו תוך הזמן בפרוטרוט, דינר דינר, יש אומרים שאין המלוה יכול לעכב ולומר 'תן לי כל חובי בפעם אחת', דאף פרעון של דינר דינר נקרא פרעון</w:t>
      </w:r>
      <w:r w:rsidRPr="0004348D">
        <w:rPr>
          <w:rFonts w:ascii="Calibri" w:eastAsia="Calibri" w:hAnsi="Calibri" w:cs="Arial"/>
          <w:vertAlign w:val="superscript"/>
          <w:rtl/>
        </w:rPr>
        <w:footnoteReference w:id="6141"/>
      </w:r>
      <w:r w:rsidRPr="0004348D">
        <w:rPr>
          <w:rFonts w:ascii="Calibri" w:eastAsia="Calibri" w:hAnsi="Calibri" w:cs="Arial"/>
          <w:rtl/>
        </w:rPr>
        <w:t>, אלא שיש למלוה תרעומת עליו</w:t>
      </w:r>
      <w:r w:rsidRPr="0004348D">
        <w:rPr>
          <w:rFonts w:ascii="Calibri" w:eastAsia="Calibri" w:hAnsi="Calibri" w:cs="Arial"/>
          <w:vertAlign w:val="superscript"/>
          <w:rtl/>
        </w:rPr>
        <w:footnoteReference w:id="6142"/>
      </w:r>
      <w:r w:rsidRPr="0004348D">
        <w:rPr>
          <w:rFonts w:ascii="Calibri" w:eastAsia="Calibri" w:hAnsi="Calibri" w:cs="Arial"/>
          <w:rtl/>
        </w:rPr>
        <w:t>. ומיהו אם משכן לו שדהו, או אפילו שתי שדות, אינו יכול לכופו שיחזיר לו חצי</w:t>
      </w:r>
      <w:r w:rsidRPr="0004348D">
        <w:rPr>
          <w:rFonts w:ascii="Calibri" w:eastAsia="Calibri" w:hAnsi="Calibri" w:cs="Arial"/>
          <w:vertAlign w:val="superscript"/>
          <w:rtl/>
        </w:rPr>
        <w:footnoteReference w:id="6143"/>
      </w:r>
      <w:r w:rsidRPr="0004348D">
        <w:rPr>
          <w:rFonts w:ascii="Calibri" w:eastAsia="Calibri" w:hAnsi="Calibri" w:cs="Arial"/>
          <w:rtl/>
        </w:rPr>
        <w:t xml:space="preserve"> המשכונא בחצי המעות. </w:t>
      </w:r>
      <w:r w:rsidRPr="0004348D">
        <w:rPr>
          <w:rFonts w:ascii="Calibri" w:eastAsia="Calibri" w:hAnsi="Calibri" w:cs="Arial"/>
          <w:sz w:val="18"/>
          <w:szCs w:val="18"/>
          <w:rtl/>
        </w:rPr>
        <w:t>[הגה] והוא הדין</w:t>
      </w:r>
      <w:r w:rsidRPr="0004348D">
        <w:rPr>
          <w:rFonts w:ascii="Calibri" w:eastAsia="Calibri" w:hAnsi="Calibri" w:cs="Arial"/>
          <w:sz w:val="18"/>
          <w:szCs w:val="18"/>
          <w:vertAlign w:val="superscript"/>
          <w:rtl/>
        </w:rPr>
        <w:footnoteReference w:id="6144"/>
      </w:r>
      <w:r w:rsidRPr="0004348D">
        <w:rPr>
          <w:rFonts w:ascii="Calibri" w:eastAsia="Calibri" w:hAnsi="Calibri" w:cs="Arial"/>
          <w:sz w:val="18"/>
          <w:szCs w:val="18"/>
          <w:rtl/>
        </w:rPr>
        <w:t xml:space="preserve"> אם הגיע הזמן, א"צ לקבל פרעון בפרוטרוט (מרדכי פרק האומנים).</w:t>
      </w:r>
      <w:r w:rsidRPr="0004348D">
        <w:rPr>
          <w:rFonts w:ascii="Calibri" w:eastAsia="Calibri" w:hAnsi="Calibri" w:cs="Arial"/>
          <w:rtl/>
        </w:rPr>
        <w:t xml:space="preserve"> </w:t>
      </w:r>
    </w:p>
    <w:p w14:paraId="26D2EE0A" w14:textId="77777777" w:rsidR="0004348D" w:rsidRPr="0004348D" w:rsidRDefault="0004348D" w:rsidP="0004348D">
      <w:pPr>
        <w:spacing w:before="360" w:after="240"/>
        <w:rPr>
          <w:rFonts w:ascii="Calibri" w:eastAsia="Calibri" w:hAnsi="Calibri" w:cs="Arial"/>
          <w:rtl/>
        </w:rPr>
      </w:pPr>
    </w:p>
    <w:p w14:paraId="0502CEBA" w14:textId="77777777" w:rsidR="0004348D" w:rsidRPr="0004348D" w:rsidRDefault="0004348D" w:rsidP="0004348D">
      <w:pPr>
        <w:keepNext/>
        <w:keepLines/>
        <w:spacing w:before="360" w:after="240"/>
        <w:outlineLvl w:val="1"/>
        <w:rPr>
          <w:rFonts w:ascii="Cambria" w:eastAsia="Times New Roman" w:hAnsi="Cambria" w:cs="Arial"/>
          <w:bCs/>
          <w:color w:val="548DD4" w:themeColor="text2" w:themeTint="99"/>
          <w:sz w:val="26"/>
          <w:szCs w:val="26"/>
          <w:rtl/>
        </w:rPr>
      </w:pPr>
      <w:bookmarkStart w:id="917" w:name="_Toc24884289"/>
      <w:r w:rsidRPr="0004348D">
        <w:rPr>
          <w:rFonts w:ascii="Cambria" w:eastAsia="Times New Roman" w:hAnsi="Cambria" w:cs="Arial"/>
          <w:bCs/>
          <w:color w:val="548DD4" w:themeColor="text2" w:themeTint="99"/>
          <w:sz w:val="26"/>
          <w:szCs w:val="26"/>
          <w:rtl/>
        </w:rPr>
        <w:t>סעיף ה: המלוה את חבירו על משכון ששוה יותר מחובו - ורוצה הלוה ליקח חלק מהמשכון.</w:t>
      </w:r>
      <w:bookmarkEnd w:id="917"/>
    </w:p>
    <w:p w14:paraId="57C167EC" w14:textId="77777777" w:rsidR="0004348D" w:rsidRPr="0004348D" w:rsidRDefault="0004348D" w:rsidP="0004348D">
      <w:pPr>
        <w:spacing w:before="360" w:after="240"/>
        <w:rPr>
          <w:rFonts w:ascii="Calibri" w:eastAsia="Calibri" w:hAnsi="Calibri" w:cs="Arial"/>
          <w:u w:val="single"/>
          <w:rtl/>
        </w:rPr>
      </w:pPr>
      <w:r w:rsidRPr="0004348D">
        <w:rPr>
          <w:rFonts w:ascii="Calibri" w:eastAsia="Calibri" w:hAnsi="Calibri" w:cs="Arial"/>
          <w:u w:val="single"/>
          <w:rtl/>
        </w:rPr>
        <w:t>המלוה את חבירו על משכון ששוה יותר מחובו - ובא הלוה ורוצה ליקח מהמשכון כדי חובו ולהחזיר המותר:</w:t>
      </w:r>
    </w:p>
    <w:p w14:paraId="31BCA4F9" w14:textId="77777777" w:rsidR="0004348D" w:rsidRPr="0004348D" w:rsidRDefault="0004348D" w:rsidP="0004348D">
      <w:pPr>
        <w:numPr>
          <w:ilvl w:val="0"/>
          <w:numId w:val="356"/>
        </w:numPr>
        <w:spacing w:before="360" w:after="240"/>
        <w:contextualSpacing/>
        <w:rPr>
          <w:rFonts w:ascii="Calibri" w:eastAsia="Calibri" w:hAnsi="Calibri" w:cs="Arial"/>
          <w:rtl/>
        </w:rPr>
      </w:pPr>
      <w:r w:rsidRPr="0004348D">
        <w:rPr>
          <w:rFonts w:ascii="Calibri" w:eastAsia="Calibri" w:hAnsi="Calibri" w:cs="Arial"/>
          <w:rtl/>
        </w:rPr>
        <w:t xml:space="preserve">רא"ש </w:t>
      </w:r>
      <w:r w:rsidRPr="0004348D">
        <w:rPr>
          <w:rFonts w:ascii="Calibri" w:eastAsia="Calibri" w:hAnsi="Calibri" w:cs="Arial"/>
          <w:sz w:val="16"/>
          <w:szCs w:val="16"/>
          <w:rtl/>
        </w:rPr>
        <w:t>(חזה התנופה סי' מט, כ"כ הטור בשמו)</w:t>
      </w:r>
      <w:r w:rsidRPr="0004348D">
        <w:rPr>
          <w:rFonts w:ascii="Calibri" w:eastAsia="Calibri" w:hAnsi="Calibri" w:cs="Arial"/>
          <w:rtl/>
        </w:rPr>
        <w:t>- ששאלת, ראובן משכן בית לשמעון ודר בו בנכייתא, ואמר ראובן לשמעון שיקח קצת מהבית בחובו בשומת ב"ד, ואומר שמעון כי על הבית כולו הלוהו ואינו רוצה לקבל קצתו. תשובה, הדין עם שמעון כי דבר פשוט הוא אם הלוה ראובן לשמעון כ' זהובים על משכונות ששוים ל', אינו יכול לכופו שיקח מהמשכונות כנגד חובו ויחזיר המותר, כי יאמר לו אין לי מעות לקנות חפצים שלך ואיני רוצה לטרוח ולמכור חפציך, וכ"ש בנדון זה שהלוהו על בית בנכייתא כדי לדור בו ושיעבד לו הבית לדירתו עד שיפרע לו מעותיו שאינו יכול לבטל שיעבודו עד שיפרע לו מעותיו. ועוד אני אומר אפילו אין כל הבית שוה יותר מן החוב אינו יכול לכופו שיקח הבית בחובו ויחזיר לו שטרו, כי יאמר אין לי מעות לקנות בהם קרקע אני הלויתיך על ביתך לדור בו וכשאצטרך מעותי שתפרעני, איני רוצה לקנות קרקע וגם אני נוגשך שתפרעני, ואם תרצה שאחזיר לך שטרך מכור ביתך ותפרעני</w:t>
      </w:r>
      <w:r w:rsidRPr="0004348D">
        <w:rPr>
          <w:rFonts w:ascii="Calibri" w:eastAsia="Calibri" w:hAnsi="Calibri" w:cs="Arial"/>
          <w:sz w:val="16"/>
          <w:szCs w:val="16"/>
          <w:rtl/>
        </w:rPr>
        <w:t xml:space="preserve"> (ל' הטור בשם הרא"ש)</w:t>
      </w:r>
      <w:r w:rsidRPr="0004348D">
        <w:rPr>
          <w:rFonts w:ascii="Calibri" w:eastAsia="Calibri" w:hAnsi="Calibri" w:cs="Arial"/>
          <w:rtl/>
        </w:rPr>
        <w:t>.</w:t>
      </w:r>
      <w:r w:rsidRPr="0004348D">
        <w:rPr>
          <w:rFonts w:ascii="Calibri" w:eastAsia="Calibri" w:hAnsi="Calibri" w:cs="Arial"/>
          <w:color w:val="E36C0A" w:themeColor="accent6" w:themeShade="BF"/>
          <w:rtl/>
        </w:rPr>
        <w:t xml:space="preserve"> (וכ"פ בשו"ע)</w:t>
      </w:r>
    </w:p>
    <w:p w14:paraId="2D11AEF0" w14:textId="77777777" w:rsidR="0004348D" w:rsidRPr="0004348D" w:rsidRDefault="0004348D" w:rsidP="0004348D">
      <w:pPr>
        <w:spacing w:before="360" w:after="240"/>
        <w:rPr>
          <w:rFonts w:ascii="Arial" w:eastAsia="Calibri" w:hAnsi="Arial" w:cs="Arial"/>
          <w:b/>
          <w:bCs/>
          <w:color w:val="000000"/>
          <w:sz w:val="28"/>
          <w:szCs w:val="28"/>
          <w:u w:val="single"/>
          <w:rtl/>
        </w:rPr>
      </w:pPr>
      <w:r w:rsidRPr="0004348D">
        <w:rPr>
          <w:rFonts w:ascii="Arial" w:eastAsia="Calibri" w:hAnsi="Arial" w:cs="Arial"/>
          <w:b/>
          <w:bCs/>
          <w:color w:val="000000"/>
          <w:sz w:val="28"/>
          <w:szCs w:val="28"/>
          <w:u w:val="single"/>
          <w:rtl/>
        </w:rPr>
        <w:t>שו"ע:</w:t>
      </w:r>
    </w:p>
    <w:p w14:paraId="1A70F5CC" w14:textId="77777777" w:rsidR="0004348D" w:rsidRPr="0004348D" w:rsidRDefault="0004348D" w:rsidP="0004348D">
      <w:pPr>
        <w:spacing w:before="360" w:after="240"/>
        <w:rPr>
          <w:rFonts w:ascii="Calibri" w:eastAsia="Calibri" w:hAnsi="Calibri" w:cs="Arial"/>
          <w:rtl/>
        </w:rPr>
      </w:pPr>
      <w:r w:rsidRPr="0004348D">
        <w:rPr>
          <w:rFonts w:ascii="Calibri" w:eastAsia="Calibri" w:hAnsi="Calibri" w:cs="Arial"/>
          <w:rtl/>
        </w:rPr>
        <w:t>המלוה את חבירו על משכון מטלטלין או קרקע ששוים יותר מחובו, ובא הלוה ואמר שיקח מהמשכונות כדי חובו ויחזיר לו את המותר, אין בדבריו כלום. והוא הדין אם אין המשכונות שוים יותר מהחוב, אינו יכול לכופו שיטלם בחובו ויחזיר לו שטרו</w:t>
      </w:r>
      <w:r w:rsidRPr="0004348D">
        <w:rPr>
          <w:rFonts w:ascii="Calibri" w:eastAsia="Calibri" w:hAnsi="Calibri" w:cs="Arial"/>
          <w:vertAlign w:val="superscript"/>
          <w:rtl/>
        </w:rPr>
        <w:footnoteReference w:id="6145"/>
      </w:r>
      <w:r w:rsidRPr="0004348D">
        <w:rPr>
          <w:rFonts w:ascii="Calibri" w:eastAsia="Calibri" w:hAnsi="Calibri" w:cs="Arial"/>
          <w:rtl/>
        </w:rPr>
        <w:t xml:space="preserve">. </w:t>
      </w:r>
    </w:p>
    <w:p w14:paraId="7A9246F5" w14:textId="77777777" w:rsidR="0004348D" w:rsidRPr="0004348D" w:rsidRDefault="0004348D" w:rsidP="0004348D">
      <w:pPr>
        <w:spacing w:before="360" w:after="240"/>
        <w:rPr>
          <w:rFonts w:ascii="Calibri" w:eastAsia="Calibri" w:hAnsi="Calibri" w:cs="Arial"/>
          <w:rtl/>
        </w:rPr>
      </w:pPr>
    </w:p>
    <w:p w14:paraId="58B91984" w14:textId="77777777" w:rsidR="0004348D" w:rsidRPr="0004348D" w:rsidRDefault="0004348D" w:rsidP="0004348D">
      <w:pPr>
        <w:keepNext/>
        <w:keepLines/>
        <w:spacing w:before="360" w:after="240"/>
        <w:outlineLvl w:val="1"/>
        <w:rPr>
          <w:rFonts w:ascii="Cambria" w:eastAsia="Times New Roman" w:hAnsi="Cambria" w:cs="Arial"/>
          <w:bCs/>
          <w:color w:val="548DD4" w:themeColor="text2" w:themeTint="99"/>
          <w:sz w:val="26"/>
          <w:szCs w:val="26"/>
          <w:rtl/>
        </w:rPr>
      </w:pPr>
      <w:bookmarkStart w:id="918" w:name="_Toc24884290"/>
      <w:r w:rsidRPr="0004348D">
        <w:rPr>
          <w:rFonts w:ascii="Cambria" w:eastAsia="Times New Roman" w:hAnsi="Cambria" w:cs="Arial"/>
          <w:bCs/>
          <w:color w:val="548DD4" w:themeColor="text2" w:themeTint="99"/>
          <w:sz w:val="26"/>
          <w:szCs w:val="26"/>
          <w:rtl/>
        </w:rPr>
        <w:t>סעיף ו: לוה שאומר למלוה לקחת קרקע בחובו כי אין לו מעות – והמלוה רוצה להמתין למעות.</w:t>
      </w:r>
      <w:bookmarkEnd w:id="918"/>
    </w:p>
    <w:p w14:paraId="5014C82D" w14:textId="77777777" w:rsidR="0004348D" w:rsidRPr="0004348D" w:rsidRDefault="0004348D" w:rsidP="0004348D">
      <w:pPr>
        <w:spacing w:before="360" w:after="240"/>
        <w:rPr>
          <w:rFonts w:ascii="Calibri" w:eastAsia="Calibri" w:hAnsi="Calibri" w:cs="Arial"/>
          <w:u w:val="single"/>
          <w:rtl/>
        </w:rPr>
      </w:pPr>
      <w:r w:rsidRPr="0004348D">
        <w:rPr>
          <w:rFonts w:ascii="Calibri" w:eastAsia="Calibri" w:hAnsi="Calibri" w:cs="Arial"/>
          <w:u w:val="single"/>
          <w:rtl/>
        </w:rPr>
        <w:t xml:space="preserve">הגיע זמן הפרעון והלוה אומר 'אין לי מעות או מטלטלין, כך קרקע בחובך' – והמלוה רוצה להמתין עד שיהא לו מעות: </w:t>
      </w:r>
    </w:p>
    <w:p w14:paraId="48503D6A" w14:textId="77777777" w:rsidR="0004348D" w:rsidRPr="0004348D" w:rsidRDefault="0004348D" w:rsidP="0004348D">
      <w:pPr>
        <w:numPr>
          <w:ilvl w:val="0"/>
          <w:numId w:val="356"/>
        </w:numPr>
        <w:spacing w:before="360" w:after="240"/>
        <w:contextualSpacing/>
        <w:rPr>
          <w:rFonts w:ascii="Calibri" w:eastAsia="Calibri" w:hAnsi="Calibri" w:cs="Arial"/>
          <w:rtl/>
        </w:rPr>
      </w:pPr>
      <w:r w:rsidRPr="0004348D">
        <w:rPr>
          <w:rFonts w:ascii="Calibri" w:eastAsia="Calibri" w:hAnsi="Calibri" w:cs="Arial"/>
          <w:rtl/>
        </w:rPr>
        <w:t xml:space="preserve">רא"ש </w:t>
      </w:r>
      <w:r w:rsidRPr="0004348D">
        <w:rPr>
          <w:rFonts w:ascii="Calibri" w:eastAsia="Calibri" w:hAnsi="Calibri" w:cs="Arial"/>
          <w:sz w:val="16"/>
          <w:szCs w:val="16"/>
          <w:rtl/>
        </w:rPr>
        <w:t>(כלל פ סי' ט)</w:t>
      </w:r>
      <w:r w:rsidRPr="0004348D">
        <w:rPr>
          <w:rFonts w:ascii="Calibri" w:eastAsia="Calibri" w:hAnsi="Calibri" w:cs="Arial"/>
          <w:rtl/>
        </w:rPr>
        <w:t xml:space="preserve"> וטור- ששאלת, ראובן חייב מעות לשמעון והגיע זמן הפרעון, ואמר ראובן 'אין לי מעות ולא מטלטלין אלא קרקע טול אותו בחובך', ושמעון אמר 'איני חפץ בקרקע שלך ואני רוצה להמתין לך עד שיהו מעות בידך, ואם תרצה לפרוע לי מיד מכור הקרקע ותן לי המעות, ודאי אם הייתי תובע אותך לפרוע הייתי צריך ליקח קרקע כיון שאין לך מעות, אבל כיון שאיני תובע אותך אינך יכול לכופני ליקח ממך בפרעון דבר שאיני חפץ בו'. תשובה, הדין עם שמעון, דכל זמן שאינו תובע חובו אינו חייב ליקח דבר שאינו חפץ בו, וישמור שטרו עד שיהו לו מעות כמו שהלוהו. ואם הלוהו על המשכון ישמרנו עד שיתן לו מעות כמו שהלוהו, דמצי אמר ליה אילו הוה לי זוזי לא שקילנא קרקע כי איני צריך לו, בשביל שמעותי אצלך תכופני ליקח בהן קרקע</w:t>
      </w:r>
      <w:r w:rsidRPr="0004348D">
        <w:rPr>
          <w:rFonts w:ascii="Calibri" w:eastAsia="Calibri" w:hAnsi="Calibri" w:cs="Arial"/>
          <w:sz w:val="16"/>
          <w:szCs w:val="16"/>
          <w:rtl/>
        </w:rPr>
        <w:t xml:space="preserve"> (ל' הטור בשם הרא"ש)</w:t>
      </w:r>
      <w:r w:rsidRPr="0004348D">
        <w:rPr>
          <w:rFonts w:ascii="Calibri" w:eastAsia="Calibri" w:hAnsi="Calibri" w:cs="Arial"/>
          <w:rtl/>
        </w:rPr>
        <w:t>.</w:t>
      </w:r>
      <w:r w:rsidRPr="0004348D">
        <w:rPr>
          <w:rFonts w:ascii="Calibri" w:eastAsia="Calibri" w:hAnsi="Calibri" w:cs="Arial"/>
          <w:color w:val="E36C0A" w:themeColor="accent6" w:themeShade="BF"/>
          <w:rtl/>
        </w:rPr>
        <w:t xml:space="preserve"> (וכ"פ בשו"ע)</w:t>
      </w:r>
      <w:r w:rsidRPr="0004348D">
        <w:rPr>
          <w:rFonts w:ascii="Calibri" w:eastAsia="Calibri" w:hAnsi="Calibri" w:cs="Arial"/>
          <w:rtl/>
        </w:rPr>
        <w:t xml:space="preserve"> </w:t>
      </w:r>
    </w:p>
    <w:p w14:paraId="4950E7E5" w14:textId="77777777" w:rsidR="0004348D" w:rsidRPr="0004348D" w:rsidRDefault="0004348D" w:rsidP="0004348D">
      <w:pPr>
        <w:spacing w:before="360" w:after="240"/>
        <w:rPr>
          <w:rFonts w:ascii="Arial" w:eastAsia="Calibri" w:hAnsi="Arial" w:cs="Arial"/>
          <w:b/>
          <w:bCs/>
          <w:color w:val="000000"/>
          <w:sz w:val="28"/>
          <w:szCs w:val="28"/>
          <w:u w:val="single"/>
          <w:rtl/>
        </w:rPr>
      </w:pPr>
      <w:r w:rsidRPr="0004348D">
        <w:rPr>
          <w:rFonts w:ascii="Arial" w:eastAsia="Calibri" w:hAnsi="Arial" w:cs="Arial"/>
          <w:b/>
          <w:bCs/>
          <w:color w:val="000000"/>
          <w:sz w:val="28"/>
          <w:szCs w:val="28"/>
          <w:u w:val="single"/>
          <w:rtl/>
        </w:rPr>
        <w:t>שו"ע:</w:t>
      </w:r>
    </w:p>
    <w:p w14:paraId="3FDD149B" w14:textId="77777777" w:rsidR="0004348D" w:rsidRPr="0004348D" w:rsidRDefault="0004348D" w:rsidP="0004348D">
      <w:pPr>
        <w:spacing w:before="360" w:after="240"/>
        <w:rPr>
          <w:rFonts w:ascii="Calibri" w:eastAsia="Calibri" w:hAnsi="Calibri" w:cs="Arial"/>
          <w:rtl/>
        </w:rPr>
      </w:pPr>
      <w:r w:rsidRPr="0004348D">
        <w:rPr>
          <w:rFonts w:ascii="Calibri" w:eastAsia="Calibri" w:hAnsi="Calibri" w:cs="Arial"/>
          <w:rtl/>
        </w:rPr>
        <w:t>לוה שאמר כשהגיע זמן הפרעון 'אין לי מעות ולא מטלטלים אלא קרקע טול אותו בחובך</w:t>
      </w:r>
      <w:r w:rsidRPr="0004348D">
        <w:rPr>
          <w:rFonts w:ascii="Calibri" w:eastAsia="Calibri" w:hAnsi="Calibri" w:cs="Arial"/>
          <w:vertAlign w:val="superscript"/>
          <w:rtl/>
        </w:rPr>
        <w:footnoteReference w:id="6146"/>
      </w:r>
      <w:r w:rsidRPr="0004348D">
        <w:rPr>
          <w:rFonts w:ascii="Calibri" w:eastAsia="Calibri" w:hAnsi="Calibri" w:cs="Arial"/>
          <w:rtl/>
        </w:rPr>
        <w:t xml:space="preserve">', ומלוה אומר 'איני חפץ בקרקע ואני רוצה להמתין עד שיהיו לך מעות ואינך יכול לכופני שאקח קרקע כיון שאיני תובע חובי עכשיו', הדין עם המלוה. </w:t>
      </w:r>
    </w:p>
    <w:p w14:paraId="1F6C650A" w14:textId="77777777" w:rsidR="0004348D" w:rsidRPr="0004348D" w:rsidRDefault="0004348D" w:rsidP="0004348D">
      <w:pPr>
        <w:spacing w:before="360" w:after="240"/>
        <w:rPr>
          <w:rFonts w:ascii="Calibri" w:eastAsia="Calibri" w:hAnsi="Calibri" w:cs="Arial"/>
          <w:rtl/>
        </w:rPr>
      </w:pPr>
    </w:p>
    <w:p w14:paraId="1C6CE53C" w14:textId="77777777" w:rsidR="0004348D" w:rsidRPr="0004348D" w:rsidRDefault="0004348D" w:rsidP="0004348D">
      <w:pPr>
        <w:keepNext/>
        <w:keepLines/>
        <w:spacing w:before="360" w:after="240"/>
        <w:outlineLvl w:val="1"/>
        <w:rPr>
          <w:rFonts w:ascii="Cambria" w:eastAsia="Times New Roman" w:hAnsi="Cambria" w:cs="Arial"/>
          <w:bCs/>
          <w:color w:val="548DD4" w:themeColor="text2" w:themeTint="99"/>
          <w:sz w:val="26"/>
          <w:szCs w:val="26"/>
          <w:rtl/>
        </w:rPr>
      </w:pPr>
      <w:bookmarkStart w:id="919" w:name="_Toc24884291"/>
      <w:r w:rsidRPr="0004348D">
        <w:rPr>
          <w:rFonts w:ascii="Cambria" w:eastAsia="Times New Roman" w:hAnsi="Cambria" w:cs="Arial"/>
          <w:bCs/>
          <w:color w:val="548DD4" w:themeColor="text2" w:themeTint="99"/>
          <w:sz w:val="26"/>
          <w:szCs w:val="26"/>
          <w:rtl/>
        </w:rPr>
        <w:t>סעיף ז: המלוה את חברו על המטבע – ונפסלה המטבע.</w:t>
      </w:r>
      <w:bookmarkEnd w:id="919"/>
    </w:p>
    <w:p w14:paraId="18A2F5E8" w14:textId="77777777" w:rsidR="0004348D" w:rsidRPr="0004348D" w:rsidRDefault="0004348D" w:rsidP="0004348D">
      <w:pPr>
        <w:spacing w:before="360" w:after="240"/>
        <w:rPr>
          <w:rFonts w:ascii="Calibri" w:eastAsia="Calibri" w:hAnsi="Calibri" w:cs="Arial"/>
          <w:rtl/>
        </w:rPr>
      </w:pPr>
      <w:r w:rsidRPr="0004348D">
        <w:rPr>
          <w:rFonts w:ascii="Calibri" w:eastAsia="Calibri" w:hAnsi="Calibri" w:cs="Arial"/>
          <w:b/>
          <w:bCs/>
          <w:rtl/>
        </w:rPr>
        <w:t xml:space="preserve">בבא קמא </w:t>
      </w:r>
      <w:r w:rsidRPr="0004348D">
        <w:rPr>
          <w:rFonts w:ascii="Calibri" w:eastAsia="Calibri" w:hAnsi="Calibri" w:cs="Arial"/>
          <w:b/>
          <w:bCs/>
          <w:sz w:val="16"/>
          <w:szCs w:val="16"/>
          <w:rtl/>
        </w:rPr>
        <w:t xml:space="preserve">(פרק הגוזל עצים) </w:t>
      </w:r>
      <w:r w:rsidRPr="0004348D">
        <w:rPr>
          <w:rFonts w:ascii="Calibri" w:eastAsia="Calibri" w:hAnsi="Calibri" w:cs="Arial"/>
          <w:b/>
          <w:bCs/>
          <w:rtl/>
        </w:rPr>
        <w:t>צז</w:t>
      </w:r>
      <w:r w:rsidRPr="0004348D">
        <w:rPr>
          <w:rFonts w:ascii="Calibri" w:eastAsia="Calibri" w:hAnsi="Calibri" w:cs="Arial"/>
          <w:b/>
          <w:bCs/>
          <w:vertAlign w:val="superscript"/>
          <w:rtl/>
        </w:rPr>
        <w:footnoteReference w:id="6147"/>
      </w:r>
      <w:r w:rsidRPr="0004348D">
        <w:rPr>
          <w:rFonts w:ascii="Calibri" w:eastAsia="Calibri" w:hAnsi="Calibri" w:cs="Arial"/>
          <w:b/>
          <w:bCs/>
          <w:rtl/>
        </w:rPr>
        <w:t xml:space="preserve"> ע"א:</w:t>
      </w:r>
      <w:r w:rsidRPr="0004348D">
        <w:rPr>
          <w:rFonts w:ascii="Calibri" w:eastAsia="Calibri" w:hAnsi="Calibri" w:cs="Arial"/>
          <w:rtl/>
        </w:rPr>
        <w:t xml:space="preserve"> איתמר: המלוה את חבירו על המטבע ונפסלה המטבע, </w:t>
      </w:r>
      <w:r w:rsidRPr="0004348D">
        <w:rPr>
          <w:rFonts w:ascii="Calibri" w:eastAsia="Calibri" w:hAnsi="Calibri" w:cs="Arial"/>
          <w:u w:val="single"/>
          <w:rtl/>
        </w:rPr>
        <w:t>רב אמר</w:t>
      </w:r>
      <w:r w:rsidRPr="0004348D">
        <w:rPr>
          <w:rFonts w:ascii="Calibri" w:eastAsia="Calibri" w:hAnsi="Calibri" w:cs="Arial"/>
          <w:rtl/>
        </w:rPr>
        <w:t>:</w:t>
      </w:r>
      <w:r w:rsidRPr="0004348D">
        <w:rPr>
          <w:rFonts w:ascii="Calibri" w:eastAsia="Calibri" w:hAnsi="Calibri" w:cs="Arial"/>
          <w:sz w:val="14"/>
          <w:szCs w:val="14"/>
          <w:rtl/>
        </w:rPr>
        <w:t xml:space="preserve"> (צז:)</w:t>
      </w:r>
      <w:r w:rsidRPr="0004348D">
        <w:rPr>
          <w:rFonts w:ascii="Calibri" w:eastAsia="Calibri" w:hAnsi="Calibri" w:cs="Arial"/>
          <w:rtl/>
        </w:rPr>
        <w:t xml:space="preserve"> נותן לו מטבע היוצא באותה שעה, </w:t>
      </w:r>
      <w:r w:rsidRPr="0004348D">
        <w:rPr>
          <w:rFonts w:ascii="Calibri" w:eastAsia="Calibri" w:hAnsi="Calibri" w:cs="Arial"/>
          <w:u w:val="single"/>
          <w:rtl/>
        </w:rPr>
        <w:t>ושמואל אמר</w:t>
      </w:r>
      <w:r w:rsidRPr="0004348D">
        <w:rPr>
          <w:rFonts w:ascii="Calibri" w:eastAsia="Calibri" w:hAnsi="Calibri" w:cs="Arial"/>
          <w:rtl/>
        </w:rPr>
        <w:t xml:space="preserve">: יכול לומר לו לך הוציאו במישן. </w:t>
      </w:r>
      <w:r w:rsidRPr="0004348D">
        <w:rPr>
          <w:rFonts w:ascii="Calibri" w:eastAsia="Calibri" w:hAnsi="Calibri" w:cs="Arial"/>
          <w:u w:val="single"/>
          <w:rtl/>
        </w:rPr>
        <w:t>אמר רב נחמן</w:t>
      </w:r>
      <w:r w:rsidRPr="0004348D">
        <w:rPr>
          <w:rFonts w:ascii="Calibri" w:eastAsia="Calibri" w:hAnsi="Calibri" w:cs="Arial"/>
          <w:rtl/>
        </w:rPr>
        <w:t xml:space="preserve">: מסתברא מילתיה דשמואל - דאית ליה אורחא למיזל למישן, אבל לית ליה אורחא - לא. </w:t>
      </w:r>
      <w:r w:rsidRPr="0004348D">
        <w:rPr>
          <w:rFonts w:ascii="Calibri" w:eastAsia="Calibri" w:hAnsi="Calibri" w:cs="Arial"/>
          <w:u w:val="single"/>
          <w:rtl/>
        </w:rPr>
        <w:t>איתיביה רבא לרב נחמן</w:t>
      </w:r>
      <w:r w:rsidRPr="0004348D">
        <w:rPr>
          <w:rFonts w:ascii="Calibri" w:eastAsia="Calibri" w:hAnsi="Calibri" w:cs="Arial"/>
          <w:rtl/>
        </w:rPr>
        <w:t>: אין מחללין על המעות שאינם יוצאות, כיצד? היו לו מעות כוזביות ירושלמיות</w:t>
      </w:r>
      <w:r w:rsidRPr="0004348D">
        <w:rPr>
          <w:rFonts w:ascii="Calibri" w:eastAsia="Calibri" w:hAnsi="Calibri" w:cs="Arial"/>
          <w:vertAlign w:val="superscript"/>
          <w:rtl/>
        </w:rPr>
        <w:footnoteReference w:id="6148"/>
      </w:r>
      <w:r w:rsidRPr="0004348D">
        <w:rPr>
          <w:rFonts w:ascii="Calibri" w:eastAsia="Calibri" w:hAnsi="Calibri" w:cs="Arial"/>
          <w:rtl/>
        </w:rPr>
        <w:t xml:space="preserve"> או של מלכים הראשונים - אין מחללין. הא של אחרונים</w:t>
      </w:r>
      <w:r w:rsidRPr="0004348D">
        <w:rPr>
          <w:rFonts w:ascii="Calibri" w:eastAsia="Calibri" w:hAnsi="Calibri" w:cs="Arial"/>
          <w:vertAlign w:val="superscript"/>
          <w:rtl/>
        </w:rPr>
        <w:footnoteReference w:id="6149"/>
      </w:r>
      <w:r w:rsidRPr="0004348D">
        <w:rPr>
          <w:rFonts w:ascii="Calibri" w:eastAsia="Calibri" w:hAnsi="Calibri" w:cs="Arial"/>
          <w:rtl/>
        </w:rPr>
        <w:t xml:space="preserve"> דומיא דראשונים - מחללין</w:t>
      </w:r>
      <w:r w:rsidRPr="0004348D">
        <w:rPr>
          <w:rFonts w:ascii="Calibri" w:eastAsia="Calibri" w:hAnsi="Calibri" w:cs="Arial"/>
          <w:vertAlign w:val="superscript"/>
          <w:rtl/>
        </w:rPr>
        <w:footnoteReference w:id="6150"/>
      </w:r>
      <w:r w:rsidRPr="0004348D">
        <w:rPr>
          <w:rFonts w:ascii="Calibri" w:eastAsia="Calibri" w:hAnsi="Calibri" w:cs="Arial"/>
          <w:rtl/>
        </w:rPr>
        <w:t xml:space="preserve">! </w:t>
      </w:r>
      <w:r w:rsidRPr="0004348D">
        <w:rPr>
          <w:rFonts w:ascii="Calibri" w:eastAsia="Calibri" w:hAnsi="Calibri" w:cs="Arial"/>
          <w:u w:val="single"/>
          <w:rtl/>
        </w:rPr>
        <w:t>א"ל</w:t>
      </w:r>
      <w:r w:rsidRPr="0004348D">
        <w:rPr>
          <w:rFonts w:ascii="Calibri" w:eastAsia="Calibri" w:hAnsi="Calibri" w:cs="Arial"/>
          <w:rtl/>
        </w:rPr>
        <w:t>: הכא במאי עסקינן - כשאין מלכיות מקפידות זו על זו. אלא כי אמר</w:t>
      </w:r>
      <w:r w:rsidRPr="0004348D">
        <w:rPr>
          <w:rFonts w:ascii="Calibri" w:eastAsia="Calibri" w:hAnsi="Calibri" w:cs="Arial"/>
          <w:vertAlign w:val="superscript"/>
          <w:rtl/>
        </w:rPr>
        <w:footnoteReference w:id="6151"/>
      </w:r>
      <w:r w:rsidRPr="0004348D">
        <w:rPr>
          <w:rFonts w:ascii="Calibri" w:eastAsia="Calibri" w:hAnsi="Calibri" w:cs="Arial"/>
          <w:rtl/>
        </w:rPr>
        <w:t xml:space="preserve"> שמואל - כשמלכיות מקפידות זו על זו</w:t>
      </w:r>
      <w:r w:rsidRPr="0004348D">
        <w:rPr>
          <w:rFonts w:ascii="Calibri" w:eastAsia="Calibri" w:hAnsi="Calibri" w:cs="Arial"/>
          <w:vertAlign w:val="superscript"/>
          <w:rtl/>
        </w:rPr>
        <w:footnoteReference w:id="6152"/>
      </w:r>
      <w:r w:rsidRPr="0004348D">
        <w:rPr>
          <w:rFonts w:ascii="Calibri" w:eastAsia="Calibri" w:hAnsi="Calibri" w:cs="Arial"/>
          <w:rtl/>
        </w:rPr>
        <w:t>? היכי מצי ממטי להו? דממטי לה ע"י הדחק, דלא בחשי</w:t>
      </w:r>
      <w:r w:rsidRPr="0004348D">
        <w:rPr>
          <w:rFonts w:ascii="Calibri" w:eastAsia="Calibri" w:hAnsi="Calibri" w:cs="Arial"/>
          <w:vertAlign w:val="superscript"/>
          <w:rtl/>
        </w:rPr>
        <w:footnoteReference w:id="6153"/>
      </w:r>
      <w:r w:rsidRPr="0004348D">
        <w:rPr>
          <w:rFonts w:ascii="Calibri" w:eastAsia="Calibri" w:hAnsi="Calibri" w:cs="Arial"/>
          <w:rtl/>
        </w:rPr>
        <w:t>, ואי משכחי קפדי.</w:t>
      </w:r>
      <w:r w:rsidRPr="0004348D">
        <w:rPr>
          <w:rFonts w:ascii="Calibri" w:eastAsia="Calibri" w:hAnsi="Calibri" w:cs="Arial"/>
          <w:sz w:val="16"/>
          <w:szCs w:val="16"/>
          <w:rtl/>
        </w:rPr>
        <w:t xml:space="preserve"> (וידוע דהלכה כשמואל ורב נחמן בדיני, הילכך הלכתא כשמואל וכאוקימתא דרב נחמן, וכן פסקו כל הפוסקים שראיתי חוץ מרש"י (שו"ת סי' רכב) שכתוב בהג"א (ב"ק פ"ט סי' יא) בשמו שפסק כרב, ב"י)</w:t>
      </w:r>
      <w:r w:rsidRPr="0004348D">
        <w:rPr>
          <w:rFonts w:ascii="Calibri" w:eastAsia="Calibri" w:hAnsi="Calibri" w:cs="Arial"/>
          <w:rtl/>
        </w:rPr>
        <w:t xml:space="preserve"> </w:t>
      </w:r>
    </w:p>
    <w:p w14:paraId="3EC08738" w14:textId="77777777" w:rsidR="0004348D" w:rsidRPr="0004348D" w:rsidRDefault="0004348D" w:rsidP="0004348D">
      <w:pPr>
        <w:spacing w:before="360" w:after="240"/>
        <w:rPr>
          <w:rFonts w:ascii="Calibri" w:eastAsia="Calibri" w:hAnsi="Calibri" w:cs="Arial"/>
          <w:rtl/>
        </w:rPr>
      </w:pPr>
      <w:r w:rsidRPr="0004348D">
        <w:rPr>
          <w:rFonts w:ascii="Calibri" w:eastAsia="Calibri" w:hAnsi="Calibri" w:cs="Arial"/>
          <w:u w:val="single"/>
          <w:rtl/>
        </w:rPr>
        <w:t>'המלוה את חבירו על המטבע' – כיצד פירושו:</w:t>
      </w:r>
    </w:p>
    <w:p w14:paraId="7B10432F" w14:textId="77777777" w:rsidR="0004348D" w:rsidRPr="0004348D" w:rsidRDefault="0004348D" w:rsidP="0004348D">
      <w:pPr>
        <w:numPr>
          <w:ilvl w:val="0"/>
          <w:numId w:val="356"/>
        </w:numPr>
        <w:spacing w:before="360" w:after="240"/>
        <w:contextualSpacing/>
        <w:rPr>
          <w:rFonts w:ascii="Calibri" w:eastAsia="Calibri" w:hAnsi="Calibri" w:cs="Arial"/>
          <w:rtl/>
        </w:rPr>
      </w:pPr>
      <w:r w:rsidRPr="0004348D">
        <w:rPr>
          <w:rFonts w:ascii="Calibri" w:eastAsia="Calibri" w:hAnsi="Calibri" w:cs="Arial"/>
          <w:rtl/>
        </w:rPr>
        <w:t>רש"י</w:t>
      </w:r>
      <w:r w:rsidRPr="0004348D">
        <w:rPr>
          <w:rFonts w:ascii="Calibri" w:eastAsia="Calibri" w:hAnsi="Calibri" w:cs="Arial"/>
          <w:sz w:val="16"/>
          <w:szCs w:val="16"/>
          <w:rtl/>
        </w:rPr>
        <w:t xml:space="preserve"> (בגמ')</w:t>
      </w:r>
      <w:r w:rsidRPr="0004348D">
        <w:rPr>
          <w:rFonts w:ascii="Calibri" w:eastAsia="Calibri" w:hAnsi="Calibri" w:cs="Arial"/>
          <w:rtl/>
        </w:rPr>
        <w:t>- 'המלוה את חבירו' - שום פרקמטיא, 'על מטבע' - שקצץ לו מעות, 'נותן לו מטבע היוצא' - בשעת פרעון, דהא קיבל לתת לו מעות והאי לאו מטבע. ודוקא הלוהו פרקמטיא אבל הלוהו מעות - את שהלוהו משלם לו</w:t>
      </w:r>
      <w:r w:rsidRPr="0004348D">
        <w:rPr>
          <w:rFonts w:ascii="Calibri" w:eastAsia="Calibri" w:hAnsi="Calibri" w:cs="Arial"/>
          <w:vertAlign w:val="superscript"/>
          <w:rtl/>
        </w:rPr>
        <w:footnoteReference w:id="6154"/>
      </w:r>
      <w:r w:rsidRPr="0004348D">
        <w:rPr>
          <w:rFonts w:ascii="Calibri" w:eastAsia="Calibri" w:hAnsi="Calibri" w:cs="Arial"/>
          <w:rtl/>
        </w:rPr>
        <w:t xml:space="preserve">. </w:t>
      </w:r>
    </w:p>
    <w:p w14:paraId="39EE6C18" w14:textId="77777777" w:rsidR="0004348D" w:rsidRPr="0004348D" w:rsidRDefault="0004348D" w:rsidP="0004348D">
      <w:pPr>
        <w:numPr>
          <w:ilvl w:val="0"/>
          <w:numId w:val="356"/>
        </w:numPr>
        <w:spacing w:before="360" w:after="240"/>
        <w:contextualSpacing/>
        <w:rPr>
          <w:rFonts w:ascii="Calibri" w:eastAsia="Calibri" w:hAnsi="Calibri" w:cs="Arial"/>
        </w:rPr>
      </w:pPr>
      <w:r w:rsidRPr="0004348D">
        <w:rPr>
          <w:rFonts w:ascii="Calibri" w:eastAsia="Calibri" w:hAnsi="Calibri" w:cs="Arial"/>
          <w:rtl/>
        </w:rPr>
        <w:t>רש"י</w:t>
      </w:r>
      <w:r w:rsidRPr="0004348D">
        <w:rPr>
          <w:rFonts w:ascii="Calibri" w:eastAsia="Calibri" w:hAnsi="Calibri" w:cs="Arial"/>
          <w:vertAlign w:val="superscript"/>
          <w:rtl/>
        </w:rPr>
        <w:footnoteReference w:id="6155"/>
      </w:r>
      <w:r w:rsidRPr="0004348D">
        <w:rPr>
          <w:rFonts w:ascii="Calibri" w:eastAsia="Calibri" w:hAnsi="Calibri" w:cs="Arial"/>
          <w:rtl/>
        </w:rPr>
        <w:t xml:space="preserve"> </w:t>
      </w:r>
      <w:r w:rsidRPr="0004348D">
        <w:rPr>
          <w:rFonts w:ascii="Calibri" w:eastAsia="Calibri" w:hAnsi="Calibri" w:cs="Arial"/>
          <w:sz w:val="16"/>
          <w:szCs w:val="16"/>
          <w:rtl/>
        </w:rPr>
        <w:t>(בתשובה)</w:t>
      </w:r>
      <w:r w:rsidRPr="0004348D">
        <w:rPr>
          <w:rFonts w:ascii="Calibri" w:eastAsia="Calibri" w:hAnsi="Calibri" w:cs="Arial"/>
          <w:rtl/>
        </w:rPr>
        <w:t xml:space="preserve"> תוס' רא"ש טור </w:t>
      </w:r>
      <w:r w:rsidRPr="0004348D">
        <w:rPr>
          <w:rFonts w:ascii="Calibri" w:eastAsia="Calibri" w:hAnsi="Calibri" w:cs="Arial"/>
          <w:vertAlign w:val="superscript"/>
          <w:rtl/>
        </w:rPr>
        <w:footnoteReference w:id="6156"/>
      </w:r>
      <w:r w:rsidRPr="0004348D">
        <w:rPr>
          <w:rFonts w:ascii="Calibri" w:eastAsia="Calibri" w:hAnsi="Calibri" w:cs="Arial"/>
          <w:rtl/>
        </w:rPr>
        <w:t>והה"מ</w:t>
      </w:r>
      <w:r w:rsidRPr="0004348D">
        <w:rPr>
          <w:rFonts w:ascii="Calibri" w:eastAsia="Calibri" w:hAnsi="Calibri" w:cs="Arial"/>
          <w:vertAlign w:val="superscript"/>
          <w:rtl/>
        </w:rPr>
        <w:footnoteReference w:id="6157"/>
      </w:r>
      <w:r w:rsidRPr="0004348D">
        <w:rPr>
          <w:rFonts w:ascii="Calibri" w:eastAsia="Calibri" w:hAnsi="Calibri" w:cs="Arial"/>
          <w:rtl/>
        </w:rPr>
        <w:t>- נראה לפרש דאין חילוק בין מכר לו פרקמטיא בין הלוהו מעות, ומיירי בשהתנה עמו על מנת שישלם לו מעות</w:t>
      </w:r>
      <w:r w:rsidRPr="0004348D">
        <w:rPr>
          <w:rFonts w:ascii="Calibri" w:eastAsia="Calibri" w:hAnsi="Calibri" w:cs="Arial"/>
          <w:vertAlign w:val="superscript"/>
          <w:rtl/>
        </w:rPr>
        <w:footnoteReference w:id="6158"/>
      </w:r>
      <w:r w:rsidRPr="0004348D">
        <w:rPr>
          <w:rFonts w:ascii="Calibri" w:eastAsia="Calibri" w:hAnsi="Calibri" w:cs="Arial"/>
          <w:rtl/>
        </w:rPr>
        <w:t xml:space="preserve"> </w:t>
      </w:r>
      <w:r w:rsidRPr="0004348D">
        <w:rPr>
          <w:rFonts w:ascii="Calibri" w:eastAsia="Calibri" w:hAnsi="Calibri" w:cs="Arial"/>
          <w:sz w:val="16"/>
          <w:szCs w:val="16"/>
          <w:rtl/>
        </w:rPr>
        <w:t>(ל' התוס')</w:t>
      </w:r>
      <w:r w:rsidRPr="0004348D">
        <w:rPr>
          <w:rFonts w:ascii="Calibri" w:eastAsia="Calibri" w:hAnsi="Calibri" w:cs="Arial"/>
          <w:rtl/>
        </w:rPr>
        <w:t>.</w:t>
      </w:r>
      <w:r w:rsidRPr="0004348D">
        <w:rPr>
          <w:rFonts w:ascii="Calibri" w:eastAsia="Calibri" w:hAnsi="Calibri" w:cs="Arial"/>
          <w:color w:val="FF0000"/>
          <w:rtl/>
        </w:rPr>
        <w:t xml:space="preserve"> </w:t>
      </w:r>
    </w:p>
    <w:p w14:paraId="0AB59EAD" w14:textId="77777777" w:rsidR="0004348D" w:rsidRPr="0004348D" w:rsidRDefault="0004348D" w:rsidP="0004348D">
      <w:pPr>
        <w:numPr>
          <w:ilvl w:val="0"/>
          <w:numId w:val="356"/>
        </w:numPr>
        <w:spacing w:before="360" w:after="240"/>
        <w:contextualSpacing/>
        <w:rPr>
          <w:rFonts w:ascii="Calibri" w:eastAsia="Calibri" w:hAnsi="Calibri" w:cs="Arial"/>
        </w:rPr>
      </w:pPr>
      <w:r w:rsidRPr="0004348D">
        <w:rPr>
          <w:rFonts w:ascii="Calibri" w:eastAsia="Calibri" w:hAnsi="Calibri" w:cs="Arial"/>
          <w:rtl/>
        </w:rPr>
        <w:t xml:space="preserve">ר"י </w:t>
      </w:r>
      <w:r w:rsidRPr="0004348D">
        <w:rPr>
          <w:rFonts w:ascii="Calibri" w:eastAsia="Calibri" w:hAnsi="Calibri" w:cs="Arial"/>
          <w:sz w:val="16"/>
          <w:szCs w:val="16"/>
          <w:rtl/>
        </w:rPr>
        <w:t>(בתוס' שם)</w:t>
      </w:r>
      <w:r w:rsidRPr="0004348D">
        <w:rPr>
          <w:rFonts w:ascii="Calibri" w:eastAsia="Calibri" w:hAnsi="Calibri" w:cs="Arial"/>
          <w:rtl/>
        </w:rPr>
        <w:t>- יש לפרש כגון שהלוהו סאה חטים ואמר לו 'או תחזיר לי סאה או כך וכך מעות'</w:t>
      </w:r>
      <w:r w:rsidRPr="0004348D">
        <w:rPr>
          <w:rFonts w:ascii="Calibri" w:eastAsia="Calibri" w:hAnsi="Calibri" w:cs="Arial"/>
          <w:vertAlign w:val="superscript"/>
          <w:rtl/>
        </w:rPr>
        <w:footnoteReference w:id="6159"/>
      </w:r>
      <w:r w:rsidRPr="0004348D">
        <w:rPr>
          <w:rFonts w:ascii="Calibri" w:eastAsia="Calibri" w:hAnsi="Calibri" w:cs="Arial"/>
          <w:rtl/>
        </w:rPr>
        <w:t>.</w:t>
      </w:r>
    </w:p>
    <w:p w14:paraId="74951109" w14:textId="77777777" w:rsidR="0004348D" w:rsidRPr="0004348D" w:rsidRDefault="0004348D" w:rsidP="0004348D">
      <w:pPr>
        <w:spacing w:before="360" w:after="240"/>
        <w:ind w:left="360"/>
        <w:rPr>
          <w:rFonts w:ascii="Calibri" w:eastAsia="Calibri" w:hAnsi="Calibri" w:cs="Arial"/>
          <w:u w:val="dotted"/>
        </w:rPr>
      </w:pPr>
      <w:r w:rsidRPr="0004348D">
        <w:rPr>
          <w:rFonts w:ascii="Calibri" w:eastAsia="Calibri" w:hAnsi="Calibri" w:cs="Arial"/>
          <w:u w:val="dotted"/>
          <w:rtl/>
        </w:rPr>
        <w:t>למסקנה, המלוה את חבירו על המטבע ונפסל – איזו מטבע יתן לו:</w:t>
      </w:r>
    </w:p>
    <w:p w14:paraId="15BB7D55" w14:textId="77777777" w:rsidR="0004348D" w:rsidRPr="0004348D" w:rsidRDefault="0004348D" w:rsidP="0004348D">
      <w:pPr>
        <w:numPr>
          <w:ilvl w:val="0"/>
          <w:numId w:val="356"/>
        </w:numPr>
        <w:spacing w:before="360" w:after="240"/>
        <w:contextualSpacing/>
        <w:rPr>
          <w:rFonts w:ascii="Calibri" w:eastAsia="Calibri" w:hAnsi="Calibri" w:cs="Arial"/>
        </w:rPr>
      </w:pPr>
      <w:r w:rsidRPr="0004348D">
        <w:rPr>
          <w:rFonts w:ascii="Calibri" w:eastAsia="Calibri" w:hAnsi="Calibri" w:cs="Arial"/>
          <w:rtl/>
        </w:rPr>
        <w:t xml:space="preserve">רמב"ם </w:t>
      </w:r>
      <w:r w:rsidRPr="0004348D">
        <w:rPr>
          <w:rFonts w:ascii="Calibri" w:eastAsia="Calibri" w:hAnsi="Calibri" w:cs="Arial"/>
          <w:sz w:val="16"/>
          <w:szCs w:val="16"/>
          <w:rtl/>
        </w:rPr>
        <w:t>(פ"ד ממלוה הי"ב)</w:t>
      </w:r>
      <w:r w:rsidRPr="0004348D">
        <w:rPr>
          <w:rFonts w:ascii="Calibri" w:eastAsia="Calibri" w:hAnsi="Calibri" w:cs="Arial"/>
          <w:rtl/>
        </w:rPr>
        <w:t>- המלוה את חבירו על המטבע ונפסל, אם יכול להוציאו במדינה אחרת ויש לו דרך לאותה מדינה - נותן לו ממטבע שהלוהו ואומר לו לך והוציאו במקום פלוני, ואם אין לו דרך לשם - נותן לו ממטבע היוצא באותה שעה. וכן בכתובה</w:t>
      </w:r>
      <w:r w:rsidRPr="0004348D">
        <w:rPr>
          <w:rFonts w:ascii="Calibri" w:eastAsia="Calibri" w:hAnsi="Calibri" w:cs="Arial"/>
          <w:vertAlign w:val="superscript"/>
          <w:rtl/>
        </w:rPr>
        <w:footnoteReference w:id="6160"/>
      </w:r>
      <w:r w:rsidRPr="0004348D">
        <w:rPr>
          <w:rFonts w:ascii="Calibri" w:eastAsia="Calibri" w:hAnsi="Calibri" w:cs="Arial"/>
          <w:rtl/>
        </w:rPr>
        <w:t xml:space="preserve">. </w:t>
      </w:r>
      <w:r w:rsidRPr="0004348D">
        <w:rPr>
          <w:rFonts w:ascii="Calibri" w:eastAsia="Calibri" w:hAnsi="Calibri" w:cs="Arial"/>
          <w:color w:val="E36C0A" w:themeColor="accent6" w:themeShade="BF"/>
          <w:rtl/>
        </w:rPr>
        <w:t>(וכ"פ בשו"ע)</w:t>
      </w:r>
    </w:p>
    <w:p w14:paraId="54C3F17B" w14:textId="77777777" w:rsidR="0004348D" w:rsidRPr="0004348D" w:rsidRDefault="0004348D" w:rsidP="0004348D">
      <w:pPr>
        <w:numPr>
          <w:ilvl w:val="0"/>
          <w:numId w:val="356"/>
        </w:numPr>
        <w:spacing w:before="360" w:after="240"/>
        <w:contextualSpacing/>
        <w:rPr>
          <w:rFonts w:ascii="Calibri" w:eastAsia="Calibri" w:hAnsi="Calibri" w:cs="Arial"/>
        </w:rPr>
      </w:pPr>
      <w:r w:rsidRPr="0004348D">
        <w:rPr>
          <w:rFonts w:ascii="Calibri" w:eastAsia="Calibri" w:hAnsi="Calibri" w:cs="Arial"/>
          <w:rtl/>
        </w:rPr>
        <w:t>טור- המלוה לחבירו על המטבע, פירוש, שמכר לו סחורה או הלוהו מעות והתנה עמו שיתן לו מטבע לזמן פלוני, ובינתים נפסל המטבע. אם אינו יוצא בשום מקום - צריך ליתן לו מטבע החדשה. אבל אם נפסל כאן ויוצא במלכות אחרת, אם יש למלוה דרך במקום שיוצא המטבע - צריך לקבל המטבע הנפסל, מאחר שיש לו דרך שם יוליכנו עמו. אבל אם אין לו דרך שם, או אפילו אם יש לו דרך שם וקפדי המלכיות ומחפשים על כל מי שיש לו מטבע הנפסל - צריך ליתן לו מטבע החדשה. ואם אין המלכיות מקפידות כלל שאפילו במקומו יכול להוציאו - צריך לקבל מטבע הנפסל אפי' אם אין לו דרך שם. וכל זה לא איירי אלא כשהתנה ליתן לו מעות, אבל בסתם שלא התנה כלל - נותן לו מטבע הנפסל אפי' אם אינו יוצא בשום מקום</w:t>
      </w:r>
      <w:r w:rsidRPr="0004348D">
        <w:rPr>
          <w:rFonts w:ascii="Calibri" w:eastAsia="Calibri" w:hAnsi="Calibri" w:cs="Arial"/>
          <w:vertAlign w:val="superscript"/>
          <w:rtl/>
        </w:rPr>
        <w:footnoteReference w:id="6161"/>
      </w:r>
      <w:r w:rsidRPr="0004348D">
        <w:rPr>
          <w:rFonts w:ascii="Calibri" w:eastAsia="Calibri" w:hAnsi="Calibri" w:cs="Arial"/>
          <w:rtl/>
        </w:rPr>
        <w:t xml:space="preserve">. ואם הוסיפו על המטבע כתבתי בהלכות רבית בספר יורה דעה </w:t>
      </w:r>
      <w:r w:rsidRPr="0004348D">
        <w:rPr>
          <w:rFonts w:ascii="Calibri" w:eastAsia="Calibri" w:hAnsi="Calibri" w:cs="Arial"/>
          <w:sz w:val="16"/>
          <w:szCs w:val="16"/>
          <w:rtl/>
        </w:rPr>
        <w:t>(סי' קסה)</w:t>
      </w:r>
      <w:r w:rsidRPr="0004348D">
        <w:rPr>
          <w:rFonts w:ascii="Calibri" w:eastAsia="Calibri" w:hAnsi="Calibri" w:cs="Arial"/>
          <w:rtl/>
        </w:rPr>
        <w:t xml:space="preserve">. </w:t>
      </w:r>
      <w:r w:rsidRPr="0004348D">
        <w:rPr>
          <w:rFonts w:ascii="Calibri" w:eastAsia="Calibri" w:hAnsi="Calibri" w:cs="Arial"/>
          <w:color w:val="00B0F0"/>
          <w:rtl/>
        </w:rPr>
        <w:t>(וכ"פ הרמ"א)</w:t>
      </w:r>
    </w:p>
    <w:p w14:paraId="7C13E016" w14:textId="77777777" w:rsidR="0004348D" w:rsidRPr="0004348D" w:rsidRDefault="0004348D" w:rsidP="0004348D">
      <w:pPr>
        <w:spacing w:before="360" w:after="240"/>
        <w:ind w:left="360"/>
        <w:rPr>
          <w:rFonts w:ascii="Calibri" w:eastAsia="Calibri" w:hAnsi="Calibri" w:cs="Arial"/>
          <w:u w:val="dotted"/>
        </w:rPr>
      </w:pPr>
      <w:r w:rsidRPr="0004348D">
        <w:rPr>
          <w:rFonts w:ascii="Calibri" w:eastAsia="Calibri" w:hAnsi="Calibri" w:cs="Arial"/>
          <w:u w:val="dotted"/>
          <w:rtl/>
        </w:rPr>
        <w:t>במקרה שצריך ליתן לו מהמטבע היוצא - מה הדין אם המעות שהלוה לו עדיין אצלו בעין:</w:t>
      </w:r>
      <w:r w:rsidRPr="0004348D">
        <w:rPr>
          <w:rFonts w:ascii="Calibri" w:eastAsia="Calibri" w:hAnsi="Calibri" w:cs="Arial"/>
          <w:sz w:val="16"/>
          <w:szCs w:val="16"/>
          <w:rtl/>
        </w:rPr>
        <w:t xml:space="preserve">   (דרכ"מ [אות ו])</w:t>
      </w:r>
    </w:p>
    <w:p w14:paraId="2188951E" w14:textId="77777777" w:rsidR="0004348D" w:rsidRPr="0004348D" w:rsidRDefault="0004348D" w:rsidP="0004348D">
      <w:pPr>
        <w:numPr>
          <w:ilvl w:val="0"/>
          <w:numId w:val="356"/>
        </w:numPr>
        <w:spacing w:before="360" w:after="240"/>
        <w:contextualSpacing/>
        <w:rPr>
          <w:rFonts w:ascii="Calibri" w:eastAsia="Calibri" w:hAnsi="Calibri" w:cs="Arial"/>
        </w:rPr>
      </w:pPr>
      <w:r w:rsidRPr="0004348D">
        <w:rPr>
          <w:rFonts w:ascii="Calibri" w:eastAsia="Calibri" w:hAnsi="Calibri" w:cs="Arial"/>
          <w:rtl/>
        </w:rPr>
        <w:t>הגה"מ</w:t>
      </w:r>
      <w:r w:rsidRPr="0004348D">
        <w:rPr>
          <w:rFonts w:ascii="Calibri" w:eastAsia="Calibri" w:hAnsi="Calibri" w:cs="Arial"/>
          <w:sz w:val="16"/>
          <w:szCs w:val="16"/>
          <w:rtl/>
        </w:rPr>
        <w:t xml:space="preserve"> (פ"ד מהל' מלוה ולוה אות מ)</w:t>
      </w:r>
      <w:r w:rsidRPr="0004348D">
        <w:rPr>
          <w:rFonts w:ascii="Calibri" w:eastAsia="Calibri" w:hAnsi="Calibri" w:cs="Arial"/>
          <w:rtl/>
        </w:rPr>
        <w:t>- אפילו המעות שהלוה לו הן בעין אפילו הכי צריך לשלם לו מעות היוצא. (וכ"פ הש"ך</w:t>
      </w:r>
      <w:r w:rsidRPr="0004348D">
        <w:rPr>
          <w:rFonts w:ascii="Calibri" w:eastAsia="Calibri" w:hAnsi="Calibri" w:cs="Arial"/>
          <w:vertAlign w:val="superscript"/>
          <w:rtl/>
        </w:rPr>
        <w:footnoteReference w:id="6162"/>
      </w:r>
      <w:r w:rsidRPr="0004348D">
        <w:rPr>
          <w:rFonts w:ascii="Calibri" w:eastAsia="Calibri" w:hAnsi="Calibri" w:cs="Arial"/>
          <w:sz w:val="16"/>
          <w:szCs w:val="16"/>
          <w:rtl/>
        </w:rPr>
        <w:t xml:space="preserve"> [סקכ"ד]</w:t>
      </w:r>
      <w:r w:rsidRPr="0004348D">
        <w:rPr>
          <w:rFonts w:ascii="Calibri" w:eastAsia="Calibri" w:hAnsi="Calibri" w:cs="Arial"/>
          <w:rtl/>
        </w:rPr>
        <w:t>)</w:t>
      </w:r>
    </w:p>
    <w:p w14:paraId="0FCD73BF" w14:textId="77777777" w:rsidR="0004348D" w:rsidRPr="0004348D" w:rsidRDefault="0004348D" w:rsidP="0004348D">
      <w:pPr>
        <w:numPr>
          <w:ilvl w:val="0"/>
          <w:numId w:val="356"/>
        </w:numPr>
        <w:spacing w:before="360" w:after="240"/>
        <w:contextualSpacing/>
        <w:rPr>
          <w:rFonts w:ascii="Calibri" w:eastAsia="Calibri" w:hAnsi="Calibri" w:cs="Arial"/>
        </w:rPr>
      </w:pPr>
      <w:r w:rsidRPr="0004348D">
        <w:rPr>
          <w:rFonts w:ascii="Calibri" w:eastAsia="Calibri" w:hAnsi="Calibri" w:cs="Arial"/>
          <w:rtl/>
        </w:rPr>
        <w:t xml:space="preserve">מרדכי </w:t>
      </w:r>
      <w:r w:rsidRPr="0004348D">
        <w:rPr>
          <w:rFonts w:ascii="Calibri" w:eastAsia="Calibri" w:hAnsi="Calibri" w:cs="Arial"/>
          <w:sz w:val="16"/>
          <w:szCs w:val="16"/>
          <w:rtl/>
        </w:rPr>
        <w:t>(פרק הגוזל ב"ק סי' קי)</w:t>
      </w:r>
      <w:r w:rsidRPr="0004348D">
        <w:rPr>
          <w:rFonts w:ascii="Calibri" w:eastAsia="Calibri" w:hAnsi="Calibri" w:cs="Arial"/>
          <w:rtl/>
        </w:rPr>
        <w:t>- אם המעות בעין אומר לו הרי שלך לפניך.</w:t>
      </w:r>
    </w:p>
    <w:p w14:paraId="57DE23AD" w14:textId="77777777" w:rsidR="0004348D" w:rsidRPr="0004348D" w:rsidRDefault="0004348D" w:rsidP="0004348D">
      <w:pPr>
        <w:spacing w:before="360" w:after="240"/>
        <w:rPr>
          <w:rFonts w:ascii="Calibri" w:eastAsia="Calibri" w:hAnsi="Calibri" w:cs="Arial"/>
          <w:u w:val="dotted"/>
        </w:rPr>
      </w:pPr>
      <w:r w:rsidRPr="0004348D">
        <w:rPr>
          <w:rFonts w:ascii="Calibri" w:eastAsia="Calibri" w:hAnsi="Calibri" w:cs="Arial"/>
          <w:u w:val="single"/>
          <w:rtl/>
        </w:rPr>
        <w:t>ומה הדין אם כתב לו הלוה לפרוע לו במעות היוצאים בהוצאה:</w:t>
      </w:r>
      <w:r w:rsidRPr="0004348D">
        <w:rPr>
          <w:rFonts w:ascii="Calibri" w:eastAsia="Calibri" w:hAnsi="Calibri" w:cs="Arial"/>
          <w:sz w:val="16"/>
          <w:szCs w:val="16"/>
          <w:rtl/>
        </w:rPr>
        <w:t xml:space="preserve">   (דרכ"מ [אות ה])</w:t>
      </w:r>
    </w:p>
    <w:p w14:paraId="000B9405" w14:textId="77777777" w:rsidR="0004348D" w:rsidRPr="0004348D" w:rsidRDefault="0004348D" w:rsidP="0004348D">
      <w:pPr>
        <w:numPr>
          <w:ilvl w:val="0"/>
          <w:numId w:val="356"/>
        </w:numPr>
        <w:spacing w:before="360" w:after="240"/>
        <w:contextualSpacing/>
        <w:rPr>
          <w:rFonts w:ascii="Calibri" w:eastAsia="Calibri" w:hAnsi="Calibri" w:cs="Arial"/>
        </w:rPr>
      </w:pPr>
      <w:r w:rsidRPr="0004348D">
        <w:rPr>
          <w:rFonts w:ascii="Calibri" w:eastAsia="Calibri" w:hAnsi="Calibri" w:cs="Arial"/>
          <w:rtl/>
        </w:rPr>
        <w:t xml:space="preserve">מרדכי </w:t>
      </w:r>
      <w:r w:rsidRPr="0004348D">
        <w:rPr>
          <w:rFonts w:ascii="Calibri" w:eastAsia="Calibri" w:hAnsi="Calibri" w:cs="Arial"/>
          <w:sz w:val="16"/>
          <w:szCs w:val="16"/>
          <w:rtl/>
        </w:rPr>
        <w:t>(פרק הגוזל קמא ב"ק סי' קיב)</w:t>
      </w:r>
      <w:r w:rsidRPr="0004348D">
        <w:rPr>
          <w:rFonts w:ascii="Calibri" w:eastAsia="Calibri" w:hAnsi="Calibri" w:cs="Arial"/>
          <w:rtl/>
        </w:rPr>
        <w:t>- אם כתב לשלם לו מעות היוצאים בהוצאה - צריך ליתן לו מטבע היוצאת אם לא הוסיפו עליה יותר מן השיעור האמור בתלמוד</w:t>
      </w:r>
      <w:r w:rsidRPr="0004348D">
        <w:rPr>
          <w:rFonts w:ascii="Calibri" w:eastAsia="Calibri" w:hAnsi="Calibri" w:cs="Arial"/>
          <w:vertAlign w:val="superscript"/>
          <w:rtl/>
        </w:rPr>
        <w:footnoteReference w:id="6163"/>
      </w:r>
      <w:r w:rsidRPr="0004348D">
        <w:rPr>
          <w:rFonts w:ascii="Calibri" w:eastAsia="Calibri" w:hAnsi="Calibri" w:cs="Arial"/>
          <w:rtl/>
        </w:rPr>
        <w:t xml:space="preserve"> </w:t>
      </w:r>
      <w:r w:rsidRPr="0004348D">
        <w:rPr>
          <w:rFonts w:ascii="Calibri" w:eastAsia="Calibri" w:hAnsi="Calibri" w:cs="Arial"/>
          <w:sz w:val="16"/>
          <w:szCs w:val="16"/>
          <w:rtl/>
        </w:rPr>
        <w:t>(ב"ק צח.)</w:t>
      </w:r>
      <w:r w:rsidRPr="0004348D">
        <w:rPr>
          <w:rFonts w:ascii="Calibri" w:eastAsia="Calibri" w:hAnsi="Calibri" w:cs="Arial"/>
          <w:rtl/>
        </w:rPr>
        <w:t>.</w:t>
      </w:r>
      <w:r w:rsidRPr="0004348D">
        <w:rPr>
          <w:rFonts w:ascii="Calibri" w:eastAsia="Calibri" w:hAnsi="Calibri" w:cs="Arial"/>
          <w:color w:val="00B0F0"/>
          <w:rtl/>
        </w:rPr>
        <w:t xml:space="preserve"> (וכ"פ הרמ"א)</w:t>
      </w:r>
    </w:p>
    <w:p w14:paraId="573A3412" w14:textId="77777777" w:rsidR="0004348D" w:rsidRPr="0004348D" w:rsidRDefault="0004348D" w:rsidP="0004348D">
      <w:pPr>
        <w:spacing w:before="360" w:after="240"/>
        <w:rPr>
          <w:rFonts w:ascii="Calibri" w:eastAsia="Calibri" w:hAnsi="Calibri" w:cs="Arial"/>
          <w:u w:val="single"/>
        </w:rPr>
      </w:pPr>
      <w:r w:rsidRPr="0004348D">
        <w:rPr>
          <w:rFonts w:ascii="Calibri" w:eastAsia="Calibri" w:hAnsi="Calibri" w:cs="Arial"/>
          <w:u w:val="single"/>
          <w:rtl/>
        </w:rPr>
        <w:t xml:space="preserve">נדר לתת לאשתו ר' זקוקין כסף עד חנוכה מכסף הניתן אז </w:t>
      </w:r>
      <w:r w:rsidRPr="0004348D">
        <w:rPr>
          <w:rFonts w:ascii="Calibri" w:eastAsia="Calibri" w:hAnsi="Calibri" w:cs="Arial"/>
          <w:sz w:val="16"/>
          <w:szCs w:val="16"/>
          <w:u w:val="single"/>
          <w:rtl/>
        </w:rPr>
        <w:t>(ע"מ שתקבל גט ממנו)</w:t>
      </w:r>
      <w:r w:rsidRPr="0004348D">
        <w:rPr>
          <w:rFonts w:ascii="Calibri" w:eastAsia="Calibri" w:hAnsi="Calibri" w:cs="Arial"/>
          <w:u w:val="single"/>
          <w:rtl/>
        </w:rPr>
        <w:t xml:space="preserve"> - וביום ראשון של חנוכה נפסל המטבע:</w:t>
      </w:r>
    </w:p>
    <w:p w14:paraId="6EEC6F7A" w14:textId="77777777" w:rsidR="0004348D" w:rsidRPr="0004348D" w:rsidRDefault="0004348D" w:rsidP="0004348D">
      <w:pPr>
        <w:numPr>
          <w:ilvl w:val="0"/>
          <w:numId w:val="356"/>
        </w:numPr>
        <w:spacing w:before="360" w:after="240"/>
        <w:contextualSpacing/>
        <w:rPr>
          <w:rFonts w:ascii="Calibri" w:eastAsia="Calibri" w:hAnsi="Calibri" w:cs="Arial"/>
        </w:rPr>
      </w:pPr>
      <w:r w:rsidRPr="0004348D">
        <w:rPr>
          <w:rFonts w:ascii="Calibri" w:eastAsia="Calibri" w:hAnsi="Calibri" w:cs="Arial"/>
          <w:rtl/>
        </w:rPr>
        <w:t xml:space="preserve">מרדכי </w:t>
      </w:r>
      <w:r w:rsidRPr="0004348D">
        <w:rPr>
          <w:rFonts w:ascii="Calibri" w:eastAsia="Calibri" w:hAnsi="Calibri" w:cs="Arial"/>
          <w:sz w:val="16"/>
          <w:szCs w:val="16"/>
          <w:rtl/>
        </w:rPr>
        <w:t>(ב"ק סי' קיג)</w:t>
      </w:r>
      <w:r w:rsidRPr="0004348D">
        <w:rPr>
          <w:rFonts w:ascii="Calibri" w:eastAsia="Calibri" w:hAnsi="Calibri" w:cs="Arial"/>
          <w:rtl/>
        </w:rPr>
        <w:t xml:space="preserve">- ראובן נדר לתת לאשתו ר' זקוקין כסף עד חנוכה מכסף הניתן אז על מנת שתקבל גט ממנו, וביום ראשון של חנוכה נפסל המטבע, השיב רבינו מאיר </w:t>
      </w:r>
      <w:r w:rsidRPr="0004348D">
        <w:rPr>
          <w:rFonts w:ascii="Calibri" w:eastAsia="Calibri" w:hAnsi="Calibri" w:cs="Arial"/>
          <w:sz w:val="16"/>
          <w:szCs w:val="16"/>
          <w:rtl/>
        </w:rPr>
        <w:t xml:space="preserve">(ד"פ סי' תתר) </w:t>
      </w:r>
      <w:r w:rsidRPr="0004348D">
        <w:rPr>
          <w:rFonts w:ascii="Calibri" w:eastAsia="Calibri" w:hAnsi="Calibri" w:cs="Arial"/>
          <w:rtl/>
        </w:rPr>
        <w:t xml:space="preserve">יתן לה כסף ראשון אם הוא נותן ערב חנוכה, דכיון דאמר עד חנוכה הוי זמנו עד שיגיע כדתנן בפרק קונם </w:t>
      </w:r>
      <w:r w:rsidRPr="0004348D">
        <w:rPr>
          <w:rFonts w:ascii="Calibri" w:eastAsia="Calibri" w:hAnsi="Calibri" w:cs="Arial"/>
          <w:sz w:val="16"/>
          <w:szCs w:val="16"/>
          <w:rtl/>
        </w:rPr>
        <w:t>(נדרים ס.)</w:t>
      </w:r>
      <w:r w:rsidRPr="0004348D">
        <w:rPr>
          <w:rFonts w:ascii="Calibri" w:eastAsia="Calibri" w:hAnsi="Calibri" w:cs="Arial"/>
          <w:rtl/>
        </w:rPr>
        <w:t>.</w:t>
      </w:r>
    </w:p>
    <w:p w14:paraId="7F7D9A18" w14:textId="77777777" w:rsidR="0004348D" w:rsidRPr="0004348D" w:rsidRDefault="0004348D" w:rsidP="0004348D">
      <w:pPr>
        <w:spacing w:before="360" w:after="240"/>
        <w:rPr>
          <w:rFonts w:ascii="Calibri" w:eastAsia="Calibri" w:hAnsi="Calibri" w:cs="Arial"/>
          <w:u w:val="single"/>
        </w:rPr>
      </w:pPr>
      <w:r w:rsidRPr="0004348D">
        <w:rPr>
          <w:rFonts w:ascii="Calibri" w:eastAsia="Calibri" w:hAnsi="Calibri" w:cs="Arial"/>
          <w:u w:val="single"/>
          <w:rtl/>
        </w:rPr>
        <w:t>הלוה לחבירו בשעה שהיו עשרה קורדנוס בזהוב - ובשעת הפרעון ו' בזהוב:</w:t>
      </w:r>
    </w:p>
    <w:p w14:paraId="108D97D0" w14:textId="77777777" w:rsidR="0004348D" w:rsidRPr="0004348D" w:rsidRDefault="0004348D" w:rsidP="0004348D">
      <w:pPr>
        <w:numPr>
          <w:ilvl w:val="0"/>
          <w:numId w:val="356"/>
        </w:numPr>
        <w:spacing w:before="360" w:after="240"/>
        <w:contextualSpacing/>
        <w:rPr>
          <w:rFonts w:ascii="Calibri" w:eastAsia="Calibri" w:hAnsi="Calibri" w:cs="Arial"/>
          <w:rtl/>
        </w:rPr>
      </w:pPr>
      <w:r w:rsidRPr="0004348D">
        <w:rPr>
          <w:rFonts w:ascii="Calibri" w:eastAsia="Calibri" w:hAnsi="Calibri" w:cs="Arial"/>
          <w:rtl/>
        </w:rPr>
        <w:t xml:space="preserve">רא"ש </w:t>
      </w:r>
      <w:r w:rsidRPr="0004348D">
        <w:rPr>
          <w:rFonts w:ascii="Calibri" w:eastAsia="Calibri" w:hAnsi="Calibri" w:cs="Arial"/>
          <w:sz w:val="16"/>
          <w:szCs w:val="16"/>
          <w:rtl/>
        </w:rPr>
        <w:t>כלל עא סי' ח, וכלל צא סי' ב)</w:t>
      </w:r>
      <w:r w:rsidRPr="0004348D">
        <w:rPr>
          <w:rFonts w:ascii="Calibri" w:eastAsia="Calibri" w:hAnsi="Calibri" w:cs="Arial"/>
          <w:rtl/>
        </w:rPr>
        <w:t xml:space="preserve"> וטור- מי שהלוה לחבירו בשעה שהיו עשרה קורדנוס בזהוב ובשעת הפרעון ו' בזהוב - צריך ליתן י' בזהוב, דהשתא המלוה סתם בלא תנאי נותן לו המטבע שהלוהו אע"פ שנפסל ואינו יוצא בשום מקום כ"ש בארץ הזאת שלא נפסל שום מטבע וכולם יוצאים אלא שזה שוה יותר מזה שצריך לפרוע לו מטבע שהלוהו</w:t>
      </w:r>
      <w:r w:rsidRPr="0004348D">
        <w:rPr>
          <w:rFonts w:ascii="Calibri" w:eastAsia="Calibri" w:hAnsi="Calibri" w:cs="Arial"/>
          <w:vertAlign w:val="superscript"/>
          <w:rtl/>
        </w:rPr>
        <w:footnoteReference w:id="6164"/>
      </w:r>
      <w:r w:rsidRPr="0004348D">
        <w:rPr>
          <w:rFonts w:ascii="Calibri" w:eastAsia="Calibri" w:hAnsi="Calibri" w:cs="Arial"/>
          <w:sz w:val="16"/>
          <w:szCs w:val="16"/>
          <w:rtl/>
        </w:rPr>
        <w:t xml:space="preserve"> (ל' הטור בשם הרא"ש)</w:t>
      </w:r>
      <w:r w:rsidRPr="0004348D">
        <w:rPr>
          <w:rFonts w:ascii="Calibri" w:eastAsia="Calibri" w:hAnsi="Calibri" w:cs="Arial"/>
          <w:rtl/>
        </w:rPr>
        <w:t>.</w:t>
      </w:r>
    </w:p>
    <w:p w14:paraId="2305BB3D" w14:textId="77777777" w:rsidR="0004348D" w:rsidRPr="0004348D" w:rsidRDefault="0004348D" w:rsidP="0004348D">
      <w:pPr>
        <w:spacing w:before="360" w:after="240"/>
        <w:rPr>
          <w:rFonts w:ascii="Calibri" w:eastAsia="Calibri" w:hAnsi="Calibri" w:cs="Arial"/>
          <w:u w:val="single"/>
          <w:rtl/>
        </w:rPr>
      </w:pPr>
      <w:r w:rsidRPr="0004348D">
        <w:rPr>
          <w:rFonts w:ascii="Calibri" w:eastAsia="Calibri" w:hAnsi="Calibri" w:cs="Arial"/>
          <w:u w:val="single"/>
          <w:rtl/>
        </w:rPr>
        <w:t>כשהמלכות פסלה מטבע – האם אמרינן בזה דינא דמלכותא דינא:</w:t>
      </w:r>
      <w:r w:rsidRPr="0004348D">
        <w:rPr>
          <w:rFonts w:ascii="Calibri" w:eastAsia="Calibri" w:hAnsi="Calibri" w:cs="Arial"/>
          <w:sz w:val="16"/>
          <w:szCs w:val="16"/>
          <w:rtl/>
        </w:rPr>
        <w:t xml:space="preserve">  (דרכ"מ [אות ו])</w:t>
      </w:r>
    </w:p>
    <w:p w14:paraId="2DECE13D" w14:textId="77777777" w:rsidR="0004348D" w:rsidRPr="0004348D" w:rsidRDefault="0004348D" w:rsidP="0004348D">
      <w:pPr>
        <w:numPr>
          <w:ilvl w:val="0"/>
          <w:numId w:val="356"/>
        </w:numPr>
        <w:spacing w:before="360" w:after="240"/>
        <w:contextualSpacing/>
        <w:rPr>
          <w:rFonts w:ascii="Calibri" w:eastAsia="Calibri" w:hAnsi="Calibri" w:cs="Arial"/>
        </w:rPr>
      </w:pPr>
      <w:r w:rsidRPr="0004348D">
        <w:rPr>
          <w:rFonts w:ascii="Calibri" w:eastAsia="Calibri" w:hAnsi="Calibri" w:cs="Arial"/>
          <w:rtl/>
        </w:rPr>
        <w:t xml:space="preserve">מרדכי </w:t>
      </w:r>
      <w:r w:rsidRPr="0004348D">
        <w:rPr>
          <w:rFonts w:ascii="Calibri" w:eastAsia="Calibri" w:hAnsi="Calibri" w:cs="Arial"/>
          <w:sz w:val="16"/>
          <w:szCs w:val="16"/>
          <w:rtl/>
        </w:rPr>
        <w:t>(פרק הגוזל ב"ק סי' קיב)</w:t>
      </w:r>
      <w:r w:rsidRPr="0004348D">
        <w:rPr>
          <w:rFonts w:ascii="Calibri" w:eastAsia="Calibri" w:hAnsi="Calibri" w:cs="Arial"/>
          <w:rtl/>
        </w:rPr>
        <w:t>- ר"י פסק דכשנפסל המטבע - דינא דמלכותא דינא, וכמו שתקן השלטון שהפורע לאלתר יטול רביע והפורע לאחר שנה יפרע הכל</w:t>
      </w:r>
      <w:r w:rsidRPr="0004348D">
        <w:rPr>
          <w:rFonts w:ascii="Calibri" w:eastAsia="Calibri" w:hAnsi="Calibri" w:cs="Arial"/>
          <w:vertAlign w:val="superscript"/>
          <w:rtl/>
        </w:rPr>
        <w:footnoteReference w:id="6165"/>
      </w:r>
      <w:r w:rsidRPr="0004348D">
        <w:rPr>
          <w:rFonts w:ascii="Calibri" w:eastAsia="Calibri" w:hAnsi="Calibri" w:cs="Arial"/>
          <w:rtl/>
        </w:rPr>
        <w:t>, וכך היו עושין היהודים על פי ר"ת ורשב"ם</w:t>
      </w:r>
      <w:r w:rsidRPr="0004348D">
        <w:rPr>
          <w:rFonts w:ascii="Calibri" w:eastAsia="Calibri" w:hAnsi="Calibri" w:cs="Arial"/>
          <w:vertAlign w:val="superscript"/>
          <w:rtl/>
        </w:rPr>
        <w:footnoteReference w:id="6166"/>
      </w:r>
      <w:r w:rsidRPr="0004348D">
        <w:rPr>
          <w:rFonts w:ascii="Calibri" w:eastAsia="Calibri" w:hAnsi="Calibri" w:cs="Arial"/>
          <w:rtl/>
        </w:rPr>
        <w:t>.</w:t>
      </w:r>
    </w:p>
    <w:p w14:paraId="73899EF9" w14:textId="77777777" w:rsidR="0004348D" w:rsidRPr="0004348D" w:rsidRDefault="0004348D" w:rsidP="0004348D">
      <w:pPr>
        <w:spacing w:before="360" w:after="240"/>
        <w:rPr>
          <w:rFonts w:ascii="Arial" w:eastAsia="Calibri" w:hAnsi="Arial" w:cs="Arial"/>
          <w:b/>
          <w:bCs/>
          <w:color w:val="000000"/>
          <w:sz w:val="28"/>
          <w:szCs w:val="28"/>
          <w:u w:val="single"/>
        </w:rPr>
      </w:pPr>
      <w:r w:rsidRPr="0004348D">
        <w:rPr>
          <w:rFonts w:ascii="Arial" w:eastAsia="Calibri" w:hAnsi="Arial" w:cs="Arial"/>
          <w:b/>
          <w:bCs/>
          <w:color w:val="000000"/>
          <w:sz w:val="28"/>
          <w:szCs w:val="28"/>
          <w:u w:val="single"/>
          <w:rtl/>
        </w:rPr>
        <w:t>שו"ע:</w:t>
      </w:r>
    </w:p>
    <w:p w14:paraId="01A4B10B" w14:textId="77777777" w:rsidR="0004348D" w:rsidRPr="0004348D" w:rsidRDefault="0004348D" w:rsidP="0004348D">
      <w:pPr>
        <w:spacing w:before="360" w:after="240"/>
        <w:rPr>
          <w:rFonts w:ascii="Calibri" w:eastAsia="Calibri" w:hAnsi="Calibri" w:cs="Arial"/>
          <w:rtl/>
        </w:rPr>
      </w:pPr>
      <w:r w:rsidRPr="0004348D">
        <w:rPr>
          <w:rFonts w:ascii="Calibri" w:eastAsia="Calibri" w:hAnsi="Calibri" w:cs="Arial"/>
          <w:rtl/>
        </w:rPr>
        <w:t>המלוה את חבירו על המטבע, ונפסל, אם יכול להוציאו במדינה אחרת ויש לו דרך</w:t>
      </w:r>
      <w:r w:rsidRPr="0004348D">
        <w:rPr>
          <w:rFonts w:ascii="Calibri" w:eastAsia="Calibri" w:hAnsi="Calibri" w:cs="Arial"/>
          <w:vertAlign w:val="superscript"/>
          <w:rtl/>
        </w:rPr>
        <w:footnoteReference w:id="6167"/>
      </w:r>
      <w:r w:rsidRPr="0004348D">
        <w:rPr>
          <w:rFonts w:ascii="Calibri" w:eastAsia="Calibri" w:hAnsi="Calibri" w:cs="Arial"/>
          <w:rtl/>
        </w:rPr>
        <w:t xml:space="preserve"> לאותה מדינה, נותן לו ממטבע שהלוהו ואומר לו 'לך והוציאו במקום פלוני'</w:t>
      </w:r>
      <w:r w:rsidRPr="0004348D">
        <w:rPr>
          <w:rFonts w:ascii="Calibri" w:eastAsia="Calibri" w:hAnsi="Calibri" w:cs="Arial"/>
          <w:vertAlign w:val="superscript"/>
          <w:rtl/>
        </w:rPr>
        <w:footnoteReference w:id="6168"/>
      </w:r>
      <w:r w:rsidRPr="0004348D">
        <w:rPr>
          <w:rFonts w:ascii="Calibri" w:eastAsia="Calibri" w:hAnsi="Calibri" w:cs="Arial"/>
          <w:rtl/>
        </w:rPr>
        <w:t xml:space="preserve">. ואם אין לו דרך לשם </w:t>
      </w:r>
      <w:r w:rsidRPr="0004348D">
        <w:rPr>
          <w:rFonts w:ascii="Calibri" w:eastAsia="Calibri" w:hAnsi="Calibri" w:cs="Arial"/>
          <w:sz w:val="18"/>
          <w:szCs w:val="18"/>
          <w:rtl/>
        </w:rPr>
        <w:t>[הגה] או שיש לו דרך לשם והמלכיות מקפידות</w:t>
      </w:r>
      <w:r w:rsidRPr="0004348D">
        <w:rPr>
          <w:rFonts w:ascii="Calibri" w:eastAsia="Calibri" w:hAnsi="Calibri" w:cs="Arial"/>
          <w:sz w:val="18"/>
          <w:szCs w:val="18"/>
          <w:vertAlign w:val="superscript"/>
          <w:rtl/>
        </w:rPr>
        <w:footnoteReference w:id="6169"/>
      </w:r>
      <w:r w:rsidRPr="0004348D">
        <w:rPr>
          <w:rFonts w:ascii="Calibri" w:eastAsia="Calibri" w:hAnsi="Calibri" w:cs="Arial"/>
          <w:sz w:val="18"/>
          <w:szCs w:val="18"/>
          <w:rtl/>
        </w:rPr>
        <w:t xml:space="preserve"> שמחפשין על מי שמוליך מטבע הנפסל (טור),</w:t>
      </w:r>
      <w:r w:rsidRPr="0004348D">
        <w:rPr>
          <w:rFonts w:ascii="Calibri" w:eastAsia="Calibri" w:hAnsi="Calibri" w:cs="Arial"/>
          <w:rtl/>
        </w:rPr>
        <w:t xml:space="preserve"> נותן לו ממטבע היוצא באותה שעה</w:t>
      </w:r>
      <w:r w:rsidRPr="0004348D">
        <w:rPr>
          <w:rFonts w:ascii="Calibri" w:eastAsia="Calibri" w:hAnsi="Calibri" w:cs="Arial"/>
          <w:vertAlign w:val="superscript"/>
          <w:rtl/>
        </w:rPr>
        <w:footnoteReference w:id="6170"/>
      </w:r>
      <w:r w:rsidRPr="0004348D">
        <w:rPr>
          <w:rFonts w:ascii="Calibri" w:eastAsia="Calibri" w:hAnsi="Calibri" w:cs="Arial"/>
          <w:rtl/>
        </w:rPr>
        <w:t xml:space="preserve">. וכן בכתובה. </w:t>
      </w:r>
      <w:r w:rsidRPr="0004348D">
        <w:rPr>
          <w:rFonts w:ascii="Calibri" w:eastAsia="Calibri" w:hAnsi="Calibri" w:cs="Arial"/>
          <w:sz w:val="18"/>
          <w:szCs w:val="18"/>
          <w:rtl/>
        </w:rPr>
        <w:t>הגה: וכל זה שהתנה ליתן לו מעות</w:t>
      </w:r>
      <w:r w:rsidRPr="0004348D">
        <w:rPr>
          <w:rFonts w:ascii="Calibri" w:eastAsia="Calibri" w:hAnsi="Calibri" w:cs="Arial"/>
          <w:sz w:val="18"/>
          <w:szCs w:val="18"/>
          <w:vertAlign w:val="superscript"/>
          <w:rtl/>
        </w:rPr>
        <w:footnoteReference w:id="6171"/>
      </w:r>
      <w:r w:rsidRPr="0004348D">
        <w:rPr>
          <w:rFonts w:ascii="Calibri" w:eastAsia="Calibri" w:hAnsi="Calibri" w:cs="Arial"/>
          <w:sz w:val="18"/>
          <w:szCs w:val="18"/>
          <w:rtl/>
        </w:rPr>
        <w:t>, אבל אם לא התנה כלום, נותן לו מטבע שהלוהו בכל ענין (טור). ואם התנה ליתן לו מעות היוצאין בהוצאה, חייב ליתן לו מעות היוצא בכל ענין (מרדכי פ' הגוזל קמא). ואם תקן המלך כיצד ישלמו החייבים, דינא דמלכותא דינא, וכפי מה שתיקן ישלם (מרדכי שם בשם ר"י). ויש חולקין</w:t>
      </w:r>
      <w:r w:rsidRPr="0004348D">
        <w:rPr>
          <w:rFonts w:ascii="Calibri" w:eastAsia="Calibri" w:hAnsi="Calibri" w:cs="Arial"/>
          <w:sz w:val="18"/>
          <w:szCs w:val="18"/>
          <w:vertAlign w:val="superscript"/>
          <w:rtl/>
        </w:rPr>
        <w:footnoteReference w:id="6172"/>
      </w:r>
      <w:r w:rsidRPr="0004348D">
        <w:rPr>
          <w:rFonts w:ascii="Calibri" w:eastAsia="Calibri" w:hAnsi="Calibri" w:cs="Arial"/>
          <w:sz w:val="18"/>
          <w:szCs w:val="18"/>
          <w:rtl/>
        </w:rPr>
        <w:t xml:space="preserve"> (רא"ש כלל קג סי' א-ב). עיין לקמן סי' שס"ט בדין דינא דמלכותא, ועיין ביו"ד סי' קס"ה מדינים אלו.</w:t>
      </w:r>
    </w:p>
    <w:p w14:paraId="2628ACC5" w14:textId="77777777" w:rsidR="00F9369D" w:rsidRPr="001D49D4" w:rsidRDefault="00F9369D" w:rsidP="001D49D4">
      <w:pPr>
        <w:rPr>
          <w:rFonts w:ascii="Calibri" w:eastAsia="Calibri" w:hAnsi="Calibri" w:cs="Arial"/>
          <w:rtl/>
        </w:rPr>
      </w:pPr>
    </w:p>
    <w:p w14:paraId="0178B6C5" w14:textId="5D68FABF" w:rsidR="006F4FF5" w:rsidRPr="00576D5C" w:rsidRDefault="006F4FF5" w:rsidP="003850F1">
      <w:pPr>
        <w:rPr>
          <w:rFonts w:asciiTheme="minorBidi" w:hAnsiTheme="minorBidi"/>
        </w:rPr>
      </w:pPr>
    </w:p>
    <w:sectPr w:rsidR="006F4FF5" w:rsidRPr="00576D5C" w:rsidSect="00815FD1">
      <w:headerReference w:type="default" r:id="rId83"/>
      <w:footnotePr>
        <w:numRestart w:val="eachPage"/>
      </w:footnotePr>
      <w:pgSz w:w="11906" w:h="16838"/>
      <w:pgMar w:top="720" w:right="1134" w:bottom="720" w:left="1134" w:header="0" w:footer="0" w:gutter="0"/>
      <w:cols w:space="72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CA2475" w14:textId="77777777" w:rsidR="00847D62" w:rsidRDefault="00847D62" w:rsidP="00E137BC">
      <w:pPr>
        <w:spacing w:after="0" w:line="240" w:lineRule="auto"/>
      </w:pPr>
      <w:r>
        <w:separator/>
      </w:r>
    </w:p>
  </w:endnote>
  <w:endnote w:type="continuationSeparator" w:id="0">
    <w:p w14:paraId="03482A31" w14:textId="77777777" w:rsidR="00847D62" w:rsidRDefault="00847D62" w:rsidP="00E137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David">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1402414813"/>
      <w:docPartObj>
        <w:docPartGallery w:val="Page Numbers (Bottom of Page)"/>
        <w:docPartUnique/>
      </w:docPartObj>
    </w:sdtPr>
    <w:sdtEndPr/>
    <w:sdtContent>
      <w:p w14:paraId="3E144E77" w14:textId="77777777" w:rsidR="0013116F" w:rsidRDefault="0013116F">
        <w:pPr>
          <w:pStyle w:val="a7"/>
          <w:jc w:val="center"/>
        </w:pPr>
        <w:r>
          <w:fldChar w:fldCharType="begin"/>
        </w:r>
        <w:r>
          <w:instrText>PAGE   \* MERGEFORMAT</w:instrText>
        </w:r>
        <w:r>
          <w:fldChar w:fldCharType="separate"/>
        </w:r>
        <w:r>
          <w:rPr>
            <w:rtl/>
            <w:lang w:val="he-IL"/>
          </w:rPr>
          <w:t>2</w:t>
        </w:r>
        <w:r>
          <w:fldChar w:fldCharType="end"/>
        </w:r>
      </w:p>
    </w:sdtContent>
  </w:sdt>
  <w:p w14:paraId="2C130C57" w14:textId="77777777" w:rsidR="0013116F" w:rsidRDefault="0013116F">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272A98" w14:textId="77777777" w:rsidR="00847D62" w:rsidRDefault="00847D62" w:rsidP="00E137BC">
      <w:pPr>
        <w:spacing w:after="0" w:line="240" w:lineRule="auto"/>
      </w:pPr>
      <w:r>
        <w:separator/>
      </w:r>
    </w:p>
  </w:footnote>
  <w:footnote w:type="continuationSeparator" w:id="0">
    <w:p w14:paraId="6BF5F931" w14:textId="77777777" w:rsidR="00847D62" w:rsidRDefault="00847D62" w:rsidP="00E137BC">
      <w:pPr>
        <w:spacing w:after="0" w:line="240" w:lineRule="auto"/>
      </w:pPr>
      <w:r>
        <w:continuationSeparator/>
      </w:r>
    </w:p>
  </w:footnote>
  <w:footnote w:id="1">
    <w:p w14:paraId="746E5D04" w14:textId="77777777" w:rsidR="00DF2D66" w:rsidRDefault="00DF2D66" w:rsidP="00DF2D66">
      <w:pPr>
        <w:pStyle w:val="a9"/>
        <w:rPr>
          <w:rtl/>
        </w:rPr>
      </w:pPr>
      <w:r>
        <w:rPr>
          <w:rStyle w:val="ab"/>
        </w:rPr>
        <w:footnoteRef/>
      </w:r>
      <w:r>
        <w:rPr>
          <w:rtl/>
        </w:rPr>
        <w:t xml:space="preserve"> </w:t>
      </w:r>
      <w:r>
        <w:rPr>
          <w:rFonts w:hint="cs"/>
          <w:rtl/>
        </w:rPr>
        <w:t>אך קצרה, כיון שהכל כבר מלוקט ומסודר לפנינו.</w:t>
      </w:r>
    </w:p>
  </w:footnote>
  <w:footnote w:id="2">
    <w:p w14:paraId="48F353D2" w14:textId="77777777" w:rsidR="00DF2D66" w:rsidRDefault="00DF2D66" w:rsidP="00DF2D66">
      <w:pPr>
        <w:pStyle w:val="a9"/>
      </w:pPr>
      <w:r>
        <w:rPr>
          <w:rStyle w:val="ab"/>
        </w:rPr>
        <w:footnoteRef/>
      </w:r>
      <w:r>
        <w:rPr>
          <w:rtl/>
        </w:rPr>
        <w:t xml:space="preserve"> </w:t>
      </w:r>
      <w:r>
        <w:rPr>
          <w:rFonts w:hint="cs"/>
          <w:rtl/>
        </w:rPr>
        <w:t>בין להכנת שיעור, ובין כדי לענות על שאלה.</w:t>
      </w:r>
    </w:p>
  </w:footnote>
  <w:footnote w:id="3">
    <w:p w14:paraId="39E37263" w14:textId="77777777" w:rsidR="00DF2D66" w:rsidRDefault="00DF2D66" w:rsidP="00DF2D66">
      <w:pPr>
        <w:pStyle w:val="a9"/>
        <w:rPr>
          <w:rtl/>
        </w:rPr>
      </w:pPr>
      <w:r>
        <w:rPr>
          <w:rStyle w:val="ab"/>
        </w:rPr>
        <w:footnoteRef/>
      </w:r>
      <w:r>
        <w:rPr>
          <w:rtl/>
        </w:rPr>
        <w:t xml:space="preserve"> </w:t>
      </w:r>
      <w:r>
        <w:rPr>
          <w:rFonts w:hint="cs"/>
          <w:rtl/>
        </w:rPr>
        <w:t xml:space="preserve">וזאת ע"י לימוד החלק העליון של הספר, ללא ההערות המובאות בתחתית העמוד. </w:t>
      </w:r>
    </w:p>
  </w:footnote>
  <w:footnote w:id="4">
    <w:p w14:paraId="65A8044C" w14:textId="77777777" w:rsidR="00DF2D66" w:rsidRDefault="00DF2D66" w:rsidP="00DF2D66">
      <w:pPr>
        <w:pStyle w:val="a9"/>
      </w:pPr>
      <w:r>
        <w:rPr>
          <w:rStyle w:val="ab"/>
        </w:rPr>
        <w:footnoteRef/>
      </w:r>
      <w:r>
        <w:rPr>
          <w:rtl/>
        </w:rPr>
        <w:t xml:space="preserve"> </w:t>
      </w:r>
      <w:r>
        <w:rPr>
          <w:rFonts w:hint="cs"/>
          <w:rtl/>
        </w:rPr>
        <w:t>למשל, כשהטור העתיק את לשון הרמב"ם - הבאתי את לשון הרמב"ם וציינתי שזו לשון הרמב"ם. וכמובן שאם יש הבדל מהותי בין הגירסאות - ציינתיו.</w:t>
      </w:r>
    </w:p>
  </w:footnote>
  <w:footnote w:id="5">
    <w:p w14:paraId="79B9CA9F" w14:textId="77777777" w:rsidR="00DF2D66" w:rsidRDefault="00DF2D66" w:rsidP="00DF2D66">
      <w:pPr>
        <w:pStyle w:val="a9"/>
      </w:pPr>
      <w:r>
        <w:rPr>
          <w:rStyle w:val="ab"/>
        </w:rPr>
        <w:footnoteRef/>
      </w:r>
      <w:r>
        <w:rPr>
          <w:rtl/>
        </w:rPr>
        <w:t xml:space="preserve"> </w:t>
      </w:r>
      <w:r>
        <w:rPr>
          <w:rFonts w:hint="cs"/>
          <w:rtl/>
        </w:rPr>
        <w:t>תחת הכותרת העיקרית מובאת הדעה העיקרית, ובהערות מובאות שאר הלשונות.</w:t>
      </w:r>
    </w:p>
  </w:footnote>
  <w:footnote w:id="6">
    <w:p w14:paraId="67844DE6" w14:textId="77777777" w:rsidR="0013116F" w:rsidRDefault="0013116F">
      <w:pPr>
        <w:pStyle w:val="a9"/>
      </w:pPr>
      <w:r>
        <w:rPr>
          <w:rStyle w:val="ab"/>
        </w:rPr>
        <w:footnoteRef/>
      </w:r>
      <w:r>
        <w:rPr>
          <w:rtl/>
        </w:rPr>
        <w:t xml:space="preserve"> </w:t>
      </w:r>
      <w:r>
        <w:rPr>
          <w:rFonts w:hint="cs"/>
          <w:rtl/>
        </w:rPr>
        <w:t xml:space="preserve">סימן </w:t>
      </w:r>
      <w:r>
        <w:rPr>
          <w:rtl/>
        </w:rPr>
        <w:t>–</w:t>
      </w:r>
      <w:r>
        <w:rPr>
          <w:rFonts w:hint="cs"/>
          <w:rtl/>
        </w:rPr>
        <w:t xml:space="preserve"> </w:t>
      </w:r>
      <w:r>
        <w:rPr>
          <w:rFonts w:hint="cs"/>
          <w:sz w:val="16"/>
          <w:szCs w:val="16"/>
          <w:rtl/>
        </w:rPr>
        <w:t>(</w:t>
      </w:r>
      <w:r w:rsidRPr="00C83002">
        <w:rPr>
          <w:rFonts w:hint="cs"/>
          <w:sz w:val="16"/>
          <w:szCs w:val="16"/>
          <w:rtl/>
        </w:rPr>
        <w:t>כלי)</w:t>
      </w:r>
      <w:r>
        <w:rPr>
          <w:rFonts w:hint="cs"/>
          <w:rtl/>
        </w:rPr>
        <w:t xml:space="preserve"> זיינם של זהירים.</w:t>
      </w:r>
    </w:p>
  </w:footnote>
  <w:footnote w:id="7">
    <w:p w14:paraId="59AD5BC7" w14:textId="77777777" w:rsidR="0013116F" w:rsidRDefault="0013116F" w:rsidP="004A326E">
      <w:pPr>
        <w:pStyle w:val="a9"/>
        <w:rPr>
          <w:rtl/>
        </w:rPr>
      </w:pPr>
      <w:r>
        <w:rPr>
          <w:rStyle w:val="ab"/>
        </w:rPr>
        <w:footnoteRef/>
      </w:r>
      <w:r>
        <w:rPr>
          <w:rtl/>
        </w:rPr>
        <w:t xml:space="preserve"> </w:t>
      </w:r>
      <w:r w:rsidRPr="00FB7FB1">
        <w:rPr>
          <w:rFonts w:cs="Arial"/>
          <w:rtl/>
        </w:rPr>
        <w:t>דשייכא בהו שימה, דבר המטלטל</w:t>
      </w:r>
      <w:r>
        <w:rPr>
          <w:rFonts w:cs="Arial" w:hint="cs"/>
          <w:rtl/>
        </w:rPr>
        <w:t>, רש"י</w:t>
      </w:r>
      <w:r w:rsidRPr="00FB7FB1">
        <w:rPr>
          <w:rFonts w:cs="Arial"/>
          <w:rtl/>
        </w:rPr>
        <w:t>.</w:t>
      </w:r>
    </w:p>
  </w:footnote>
  <w:footnote w:id="8">
    <w:p w14:paraId="6AA6CF5C" w14:textId="77777777" w:rsidR="0013116F" w:rsidRDefault="0013116F" w:rsidP="004A326E">
      <w:pPr>
        <w:pStyle w:val="a9"/>
        <w:rPr>
          <w:rtl/>
        </w:rPr>
      </w:pPr>
      <w:r>
        <w:rPr>
          <w:rStyle w:val="ab"/>
        </w:rPr>
        <w:footnoteRef/>
      </w:r>
      <w:r>
        <w:rPr>
          <w:rtl/>
        </w:rPr>
        <w:t xml:space="preserve"> </w:t>
      </w:r>
      <w:r w:rsidRPr="00FB7FB1">
        <w:rPr>
          <w:rFonts w:cs="Arial"/>
          <w:rtl/>
        </w:rPr>
        <w:t>למכת מרדות עד שיחזור בו</w:t>
      </w:r>
      <w:r>
        <w:rPr>
          <w:rFonts w:cs="Arial" w:hint="cs"/>
          <w:rtl/>
        </w:rPr>
        <w:t>, רש"י</w:t>
      </w:r>
      <w:r w:rsidRPr="00FB7FB1">
        <w:rPr>
          <w:rFonts w:cs="Arial"/>
          <w:rtl/>
        </w:rPr>
        <w:t>.</w:t>
      </w:r>
    </w:p>
  </w:footnote>
  <w:footnote w:id="9">
    <w:p w14:paraId="1C6DF61C" w14:textId="77777777" w:rsidR="0013116F" w:rsidRDefault="0013116F" w:rsidP="004A326E">
      <w:pPr>
        <w:pStyle w:val="a9"/>
      </w:pPr>
      <w:r>
        <w:rPr>
          <w:rStyle w:val="ab"/>
        </w:rPr>
        <w:footnoteRef/>
      </w:r>
      <w:r>
        <w:rPr>
          <w:rtl/>
        </w:rPr>
        <w:t xml:space="preserve"> </w:t>
      </w:r>
      <w:r w:rsidRPr="00FB7FB1">
        <w:rPr>
          <w:rFonts w:cs="Arial"/>
          <w:rtl/>
        </w:rPr>
        <w:t>למלקות</w:t>
      </w:r>
      <w:r>
        <w:rPr>
          <w:rFonts w:cs="Arial" w:hint="cs"/>
          <w:rtl/>
        </w:rPr>
        <w:t>, רש"י</w:t>
      </w:r>
      <w:r w:rsidRPr="00FB7FB1">
        <w:rPr>
          <w:rFonts w:cs="Arial"/>
          <w:rtl/>
        </w:rPr>
        <w:t>.</w:t>
      </w:r>
    </w:p>
  </w:footnote>
  <w:footnote w:id="10">
    <w:p w14:paraId="4187430C" w14:textId="77777777" w:rsidR="0013116F" w:rsidRDefault="0013116F" w:rsidP="004A326E">
      <w:pPr>
        <w:pStyle w:val="a9"/>
      </w:pPr>
      <w:r>
        <w:rPr>
          <w:rStyle w:val="ab"/>
        </w:rPr>
        <w:footnoteRef/>
      </w:r>
      <w:r>
        <w:rPr>
          <w:rtl/>
        </w:rPr>
        <w:t xml:space="preserve"> </w:t>
      </w:r>
      <w:r w:rsidRPr="00FB7FB1">
        <w:rPr>
          <w:rFonts w:cs="Arial"/>
          <w:rtl/>
        </w:rPr>
        <w:t>לשמתא ונידוי</w:t>
      </w:r>
      <w:r>
        <w:rPr>
          <w:rFonts w:cs="Arial" w:hint="cs"/>
          <w:rtl/>
        </w:rPr>
        <w:t>, רש"י</w:t>
      </w:r>
      <w:r w:rsidRPr="00FB7FB1">
        <w:rPr>
          <w:rFonts w:cs="Arial"/>
          <w:rtl/>
        </w:rPr>
        <w:t>.</w:t>
      </w:r>
      <w:r>
        <w:rPr>
          <w:rFonts w:hint="cs"/>
          <w:rtl/>
        </w:rPr>
        <w:t xml:space="preserve"> </w:t>
      </w:r>
    </w:p>
  </w:footnote>
  <w:footnote w:id="11">
    <w:p w14:paraId="7D240A02" w14:textId="77777777" w:rsidR="0013116F" w:rsidRDefault="0013116F" w:rsidP="004A326E">
      <w:pPr>
        <w:pStyle w:val="a9"/>
      </w:pPr>
      <w:r>
        <w:rPr>
          <w:rStyle w:val="ab"/>
        </w:rPr>
        <w:footnoteRef/>
      </w:r>
      <w:r>
        <w:rPr>
          <w:rtl/>
        </w:rPr>
        <w:t xml:space="preserve"> </w:t>
      </w:r>
      <w:r w:rsidRPr="00FB7FB1">
        <w:rPr>
          <w:rFonts w:cs="Arial"/>
          <w:rtl/>
        </w:rPr>
        <w:t>לחליצה</w:t>
      </w:r>
      <w:r>
        <w:rPr>
          <w:rFonts w:cs="Arial" w:hint="cs"/>
          <w:rtl/>
        </w:rPr>
        <w:t>, רש"י</w:t>
      </w:r>
      <w:r w:rsidRPr="00FB7FB1">
        <w:rPr>
          <w:rFonts w:cs="Arial"/>
          <w:rtl/>
        </w:rPr>
        <w:t>.</w:t>
      </w:r>
      <w:r w:rsidRPr="009701FA">
        <w:rPr>
          <w:rtl/>
        </w:rPr>
        <w:t xml:space="preserve"> </w:t>
      </w:r>
      <w:r w:rsidRPr="009701FA">
        <w:rPr>
          <w:rFonts w:cs="Arial"/>
          <w:rtl/>
        </w:rPr>
        <w:t>ונ"ל הטעם שחליצה צריכה להיות בדיינים כמו שנתבאר באבן עזר סימן קס"ט (עמ' שעב) ועל כן צריך להיות לדיינים מוכן סנדל כמו שאר כלים הצריכים להם</w:t>
      </w:r>
      <w:r>
        <w:rPr>
          <w:rFonts w:hint="cs"/>
          <w:rtl/>
        </w:rPr>
        <w:t>, דרכ"מ (אות א).</w:t>
      </w:r>
    </w:p>
  </w:footnote>
  <w:footnote w:id="12">
    <w:p w14:paraId="6AA0E915" w14:textId="77777777" w:rsidR="0013116F" w:rsidRDefault="0013116F" w:rsidP="004A326E">
      <w:pPr>
        <w:pStyle w:val="a9"/>
        <w:rPr>
          <w:rtl/>
        </w:rPr>
      </w:pPr>
      <w:r>
        <w:rPr>
          <w:rStyle w:val="ab"/>
        </w:rPr>
        <w:footnoteRef/>
      </w:r>
      <w:r>
        <w:rPr>
          <w:rtl/>
        </w:rPr>
        <w:t xml:space="preserve"> </w:t>
      </w:r>
      <w:r w:rsidRPr="00185CE3">
        <w:rPr>
          <w:rFonts w:cs="Arial"/>
          <w:rtl/>
        </w:rPr>
        <w:t>ומהתימה על המחבר ועל מור"ם ז"ל שהשמיטו זה, וגם לא ראיתי לרבנן קשישאי נזהרין בזה שיהא לפניהם אלו הכלים הנ"ל. ואפשר דס"ל דלא הוצרכו לזה אלא לדיינים סמוכים, דתשים לפניהם כתיב, אבל סתימת לשון רב האי הנ"ל והטור שהביאו לא משמע הכי, וצ"ע</w:t>
      </w:r>
      <w:r>
        <w:rPr>
          <w:rFonts w:hint="cs"/>
          <w:rtl/>
        </w:rPr>
        <w:t>, סמ"ע (סק"א).</w:t>
      </w:r>
    </w:p>
  </w:footnote>
  <w:footnote w:id="13">
    <w:p w14:paraId="3A1ABC4C" w14:textId="77777777" w:rsidR="0013116F" w:rsidRDefault="0013116F">
      <w:pPr>
        <w:pStyle w:val="a9"/>
      </w:pPr>
      <w:r>
        <w:rPr>
          <w:rStyle w:val="ab"/>
        </w:rPr>
        <w:footnoteRef/>
      </w:r>
      <w:r>
        <w:rPr>
          <w:rtl/>
        </w:rPr>
        <w:t xml:space="preserve"> </w:t>
      </w:r>
      <w:r>
        <w:rPr>
          <w:rFonts w:hint="cs"/>
          <w:rtl/>
        </w:rPr>
        <w:t xml:space="preserve">סימן </w:t>
      </w:r>
      <w:r>
        <w:rPr>
          <w:rtl/>
        </w:rPr>
        <w:t>–</w:t>
      </w:r>
      <w:r>
        <w:rPr>
          <w:rFonts w:hint="cs"/>
          <w:rtl/>
        </w:rPr>
        <w:t xml:space="preserve"> פחת </w:t>
      </w:r>
      <w:r>
        <w:rPr>
          <w:rFonts w:hint="cs"/>
          <w:sz w:val="16"/>
          <w:szCs w:val="16"/>
          <w:rtl/>
        </w:rPr>
        <w:t xml:space="preserve">(חסרון כיס) </w:t>
      </w:r>
      <w:r>
        <w:rPr>
          <w:rFonts w:hint="cs"/>
          <w:rtl/>
        </w:rPr>
        <w:t>דש</w:t>
      </w:r>
      <w:r>
        <w:rPr>
          <w:rFonts w:hint="cs"/>
          <w:sz w:val="16"/>
          <w:szCs w:val="16"/>
          <w:rtl/>
        </w:rPr>
        <w:t xml:space="preserve"> (שכיח)</w:t>
      </w:r>
      <w:r>
        <w:rPr>
          <w:rFonts w:hint="cs"/>
          <w:rtl/>
        </w:rPr>
        <w:t>.</w:t>
      </w:r>
    </w:p>
  </w:footnote>
  <w:footnote w:id="14">
    <w:p w14:paraId="2EB67824" w14:textId="77777777" w:rsidR="0013116F" w:rsidRDefault="0013116F" w:rsidP="0057204B">
      <w:pPr>
        <w:pStyle w:val="a9"/>
      </w:pPr>
      <w:r>
        <w:rPr>
          <w:rStyle w:val="ab"/>
        </w:rPr>
        <w:footnoteRef/>
      </w:r>
      <w:r>
        <w:rPr>
          <w:rtl/>
        </w:rPr>
        <w:t xml:space="preserve"> </w:t>
      </w:r>
      <w:r>
        <w:rPr>
          <w:rFonts w:hint="cs"/>
          <w:rtl/>
        </w:rPr>
        <w:t>וכן בפרק המניח (כז:).</w:t>
      </w:r>
    </w:p>
  </w:footnote>
  <w:footnote w:id="15">
    <w:p w14:paraId="292BD053" w14:textId="77777777" w:rsidR="0013116F" w:rsidRDefault="0013116F" w:rsidP="00910C16">
      <w:pPr>
        <w:pStyle w:val="a9"/>
      </w:pPr>
      <w:r>
        <w:rPr>
          <w:rStyle w:val="ab"/>
        </w:rPr>
        <w:footnoteRef/>
      </w:r>
      <w:r>
        <w:rPr>
          <w:rtl/>
        </w:rPr>
        <w:t xml:space="preserve"> </w:t>
      </w:r>
      <w:r>
        <w:rPr>
          <w:rFonts w:hint="cs"/>
          <w:rtl/>
        </w:rPr>
        <w:t xml:space="preserve">סימן </w:t>
      </w:r>
      <w:r>
        <w:rPr>
          <w:rtl/>
        </w:rPr>
        <w:t>–</w:t>
      </w:r>
      <w:r>
        <w:rPr>
          <w:rFonts w:hint="cs"/>
          <w:rtl/>
        </w:rPr>
        <w:t xml:space="preserve"> טו וטו</w:t>
      </w:r>
      <w:r>
        <w:rPr>
          <w:rFonts w:hint="cs"/>
          <w:sz w:val="16"/>
          <w:szCs w:val="16"/>
          <w:rtl/>
        </w:rPr>
        <w:t xml:space="preserve"> (כשחוצים לשניים </w:t>
      </w:r>
      <w:r>
        <w:rPr>
          <w:sz w:val="16"/>
          <w:szCs w:val="16"/>
          <w:rtl/>
        </w:rPr>
        <w:t>–</w:t>
      </w:r>
      <w:r>
        <w:rPr>
          <w:rFonts w:hint="cs"/>
          <w:sz w:val="16"/>
          <w:szCs w:val="16"/>
          <w:rtl/>
        </w:rPr>
        <w:t xml:space="preserve"> קנס)</w:t>
      </w:r>
      <w:r>
        <w:rPr>
          <w:rFonts w:hint="cs"/>
          <w:rtl/>
        </w:rPr>
        <w:t>. וכן איתא בכתובות מא (ע"א - ע"ב)</w:t>
      </w:r>
      <w:r>
        <w:rPr>
          <w:rFonts w:hint="cs"/>
          <w:sz w:val="16"/>
          <w:szCs w:val="16"/>
          <w:rtl/>
        </w:rPr>
        <w:t xml:space="preserve"> </w:t>
      </w:r>
      <w:r>
        <w:rPr>
          <w:rtl/>
        </w:rPr>
        <w:t>–</w:t>
      </w:r>
      <w:r>
        <w:rPr>
          <w:rFonts w:hint="cs"/>
          <w:rtl/>
        </w:rPr>
        <w:t xml:space="preserve"> </w:t>
      </w:r>
      <w:r w:rsidRPr="00910C16">
        <w:rPr>
          <w:rtl/>
        </w:rPr>
        <w:t>מחצה אבוד</w:t>
      </w:r>
      <w:r>
        <w:rPr>
          <w:rFonts w:hint="cs"/>
          <w:rtl/>
        </w:rPr>
        <w:t xml:space="preserve">. וכן </w:t>
      </w:r>
      <w:r>
        <w:rPr>
          <w:rtl/>
        </w:rPr>
        <w:t>–</w:t>
      </w:r>
      <w:r w:rsidRPr="00910C16">
        <w:rPr>
          <w:rtl/>
        </w:rPr>
        <w:t xml:space="preserve"> מחצה אגרה/אילוץ/אכיפה</w:t>
      </w:r>
      <w:r>
        <w:rPr>
          <w:rFonts w:hint="cs"/>
          <w:rtl/>
        </w:rPr>
        <w:t>.</w:t>
      </w:r>
    </w:p>
  </w:footnote>
  <w:footnote w:id="16">
    <w:p w14:paraId="10E3D26D" w14:textId="77777777" w:rsidR="0013116F" w:rsidRDefault="0013116F" w:rsidP="004A326E">
      <w:pPr>
        <w:pStyle w:val="a9"/>
        <w:rPr>
          <w:rtl/>
        </w:rPr>
      </w:pPr>
      <w:r>
        <w:rPr>
          <w:rStyle w:val="ab"/>
        </w:rPr>
        <w:footnoteRef/>
      </w:r>
      <w:r>
        <w:rPr>
          <w:rtl/>
        </w:rPr>
        <w:t xml:space="preserve"> </w:t>
      </w:r>
      <w:r>
        <w:rPr>
          <w:rFonts w:cs="Arial"/>
          <w:rtl/>
        </w:rPr>
        <w:t>דהלכתא גמירי ליה דממונא הוא וכיון דממונא הוא פשיטא דדנין אותו בבבל</w:t>
      </w:r>
      <w:r>
        <w:rPr>
          <w:rFonts w:cs="Arial" w:hint="cs"/>
          <w:rtl/>
        </w:rPr>
        <w:t>, ב"י</w:t>
      </w:r>
      <w:r>
        <w:rPr>
          <w:rFonts w:hint="cs"/>
          <w:rtl/>
        </w:rPr>
        <w:t>.</w:t>
      </w:r>
    </w:p>
  </w:footnote>
  <w:footnote w:id="17">
    <w:p w14:paraId="0F0C6403" w14:textId="77777777" w:rsidR="0013116F" w:rsidRDefault="0013116F">
      <w:pPr>
        <w:pStyle w:val="a9"/>
      </w:pPr>
      <w:r>
        <w:rPr>
          <w:rStyle w:val="ab"/>
        </w:rPr>
        <w:footnoteRef/>
      </w:r>
      <w:r>
        <w:rPr>
          <w:rtl/>
        </w:rPr>
        <w:t xml:space="preserve"> </w:t>
      </w:r>
      <w:r>
        <w:rPr>
          <w:rFonts w:hint="cs"/>
          <w:rtl/>
        </w:rPr>
        <w:t xml:space="preserve">סימן </w:t>
      </w:r>
      <w:r>
        <w:rPr>
          <w:rtl/>
        </w:rPr>
        <w:t>–</w:t>
      </w:r>
      <w:r>
        <w:rPr>
          <w:rFonts w:hint="cs"/>
          <w:rtl/>
        </w:rPr>
        <w:t xml:space="preserve"> משלם אודיתא.</w:t>
      </w:r>
    </w:p>
  </w:footnote>
  <w:footnote w:id="18">
    <w:p w14:paraId="69657458" w14:textId="77777777" w:rsidR="0013116F" w:rsidRDefault="0013116F" w:rsidP="004A326E">
      <w:pPr>
        <w:pStyle w:val="a9"/>
        <w:rPr>
          <w:rtl/>
        </w:rPr>
      </w:pPr>
      <w:r>
        <w:rPr>
          <w:rStyle w:val="ab"/>
        </w:rPr>
        <w:footnoteRef/>
      </w:r>
      <w:r>
        <w:rPr>
          <w:rtl/>
        </w:rPr>
        <w:t xml:space="preserve"> </w:t>
      </w:r>
      <w:r>
        <w:rPr>
          <w:rFonts w:cs="Arial"/>
          <w:rtl/>
        </w:rPr>
        <w:t>ו</w:t>
      </w:r>
      <w:r>
        <w:rPr>
          <w:rFonts w:cs="Arial" w:hint="cs"/>
          <w:rtl/>
        </w:rPr>
        <w:t>כן ב</w:t>
      </w:r>
      <w:r>
        <w:rPr>
          <w:rFonts w:cs="Arial"/>
          <w:rtl/>
        </w:rPr>
        <w:t>פרק שבועת הפקדון (שבועות לו:)</w:t>
      </w:r>
      <w:r>
        <w:rPr>
          <w:rFonts w:cs="Arial" w:hint="cs"/>
          <w:rtl/>
        </w:rPr>
        <w:t>,</w:t>
      </w:r>
      <w:r>
        <w:rPr>
          <w:rFonts w:cs="Arial"/>
          <w:rtl/>
        </w:rPr>
        <w:t xml:space="preserve"> ומייתי לה בפרק נערה שנתפתתה (כתובות מב.)</w:t>
      </w:r>
      <w:r>
        <w:rPr>
          <w:rFonts w:cs="Arial" w:hint="cs"/>
          <w:rtl/>
        </w:rPr>
        <w:t>, ב"י</w:t>
      </w:r>
      <w:r>
        <w:rPr>
          <w:rFonts w:cs="Arial"/>
          <w:rtl/>
        </w:rPr>
        <w:t>.</w:t>
      </w:r>
    </w:p>
  </w:footnote>
  <w:footnote w:id="19">
    <w:p w14:paraId="742D4914" w14:textId="77777777" w:rsidR="0013116F" w:rsidRDefault="0013116F" w:rsidP="004A326E">
      <w:pPr>
        <w:pStyle w:val="a9"/>
        <w:rPr>
          <w:rtl/>
        </w:rPr>
      </w:pPr>
      <w:r>
        <w:rPr>
          <w:rStyle w:val="ab"/>
        </w:rPr>
        <w:footnoteRef/>
      </w:r>
      <w:r>
        <w:rPr>
          <w:rtl/>
        </w:rPr>
        <w:t xml:space="preserve"> </w:t>
      </w:r>
      <w:r>
        <w:rPr>
          <w:rFonts w:cs="Arial"/>
          <w:rtl/>
        </w:rPr>
        <w:t>והוצרך הרמב"ם ז"ל לכתוב זה משום דכיון דלישנא דגמרא בפ</w:t>
      </w:r>
      <w:r>
        <w:rPr>
          <w:rFonts w:cs="Arial" w:hint="cs"/>
          <w:rtl/>
        </w:rPr>
        <w:t>"</w:t>
      </w:r>
      <w:r>
        <w:rPr>
          <w:rFonts w:cs="Arial"/>
          <w:rtl/>
        </w:rPr>
        <w:t>ק דסנהדרין (ג.) גבי מומחין תלי ליה בדיני קנסות</w:t>
      </w:r>
      <w:r>
        <w:rPr>
          <w:rFonts w:cs="Arial" w:hint="cs"/>
          <w:rtl/>
        </w:rPr>
        <w:t>,</w:t>
      </w:r>
      <w:r>
        <w:rPr>
          <w:rFonts w:cs="Arial"/>
          <w:rtl/>
        </w:rPr>
        <w:t xml:space="preserve"> וקיי</w:t>
      </w:r>
      <w:r>
        <w:rPr>
          <w:rFonts w:cs="Arial" w:hint="cs"/>
          <w:rtl/>
        </w:rPr>
        <w:t>"</w:t>
      </w:r>
      <w:r>
        <w:rPr>
          <w:rFonts w:cs="Arial"/>
          <w:rtl/>
        </w:rPr>
        <w:t>ל דאין אדם משלם קנס ע</w:t>
      </w:r>
      <w:r>
        <w:rPr>
          <w:rFonts w:cs="Arial" w:hint="cs"/>
          <w:rtl/>
        </w:rPr>
        <w:t>"</w:t>
      </w:r>
      <w:r>
        <w:rPr>
          <w:rFonts w:cs="Arial"/>
          <w:rtl/>
        </w:rPr>
        <w:t>פ עצמו</w:t>
      </w:r>
      <w:r>
        <w:rPr>
          <w:rFonts w:cs="Arial" w:hint="cs"/>
          <w:rtl/>
        </w:rPr>
        <w:t>,</w:t>
      </w:r>
      <w:r>
        <w:rPr>
          <w:rFonts w:cs="Arial"/>
          <w:rtl/>
        </w:rPr>
        <w:t xml:space="preserve"> סלקא דעתך אמינא דבהכי תליא מלתא וכל מידי דאדם משלם על פי עצמו לא ניבעי מומחין </w:t>
      </w:r>
      <w:r>
        <w:rPr>
          <w:rFonts w:cs="Arial" w:hint="cs"/>
          <w:rtl/>
        </w:rPr>
        <w:t xml:space="preserve">- </w:t>
      </w:r>
      <w:r>
        <w:rPr>
          <w:rFonts w:cs="Arial"/>
          <w:rtl/>
        </w:rPr>
        <w:t>קמ"ל דלא</w:t>
      </w:r>
      <w:r>
        <w:rPr>
          <w:rFonts w:cs="Arial" w:hint="cs"/>
          <w:rtl/>
        </w:rPr>
        <w:t>,</w:t>
      </w:r>
      <w:r>
        <w:rPr>
          <w:rFonts w:cs="Arial"/>
          <w:rtl/>
        </w:rPr>
        <w:t xml:space="preserve"> שהרי בשת ופגם וכופר אדם משלם על פי עצמו ואין גובין אותו בדייני חוצה לארץ</w:t>
      </w:r>
      <w:r>
        <w:rPr>
          <w:rFonts w:hint="cs"/>
          <w:rtl/>
        </w:rPr>
        <w:t>, ב"י.</w:t>
      </w:r>
    </w:p>
  </w:footnote>
  <w:footnote w:id="20">
    <w:p w14:paraId="085980CD" w14:textId="77777777" w:rsidR="0013116F" w:rsidRDefault="0013116F" w:rsidP="004A326E">
      <w:pPr>
        <w:pStyle w:val="a9"/>
      </w:pPr>
      <w:r>
        <w:rPr>
          <w:rStyle w:val="ab"/>
        </w:rPr>
        <w:footnoteRef/>
      </w:r>
      <w:r>
        <w:rPr>
          <w:rtl/>
        </w:rPr>
        <w:t xml:space="preserve"> </w:t>
      </w:r>
      <w:r w:rsidRPr="00185CE3">
        <w:rPr>
          <w:rFonts w:cs="Arial"/>
          <w:rtl/>
        </w:rPr>
        <w:t>פירוש שתובע אותו בעדי הודאה שהודה לו בפניהן או שהלוה אותו בפניהן, ע"כ. וה"ה אם תבעו בהלואה בלא עדים ולענין שבועת היסת, ועיין בפרישה</w:t>
      </w:r>
      <w:r>
        <w:rPr>
          <w:rFonts w:cs="Arial" w:hint="cs"/>
          <w:rtl/>
        </w:rPr>
        <w:t>, סמ"ע (סק"ב).</w:t>
      </w:r>
    </w:p>
  </w:footnote>
  <w:footnote w:id="21">
    <w:p w14:paraId="6CAEE7C0" w14:textId="77777777" w:rsidR="0013116F" w:rsidRDefault="0013116F" w:rsidP="004A326E">
      <w:pPr>
        <w:pStyle w:val="a9"/>
      </w:pPr>
      <w:r>
        <w:rPr>
          <w:rStyle w:val="ab"/>
        </w:rPr>
        <w:footnoteRef/>
      </w:r>
      <w:r>
        <w:rPr>
          <w:rtl/>
        </w:rPr>
        <w:t xml:space="preserve"> </w:t>
      </w:r>
      <w:r w:rsidRPr="00185CE3">
        <w:rPr>
          <w:rFonts w:cs="Arial"/>
          <w:rtl/>
        </w:rPr>
        <w:t>גם בירושות ומתנות לפי דברי התובע יש בהן חסרון כיס, והטעם בכולן כדי שלא יונעל דלת בפני הלווין, וכדי שיונעל דלת בפני עושי עולה אמרו רבנן למיעבד שליחותייהו דקמאי</w:t>
      </w:r>
      <w:r>
        <w:rPr>
          <w:rFonts w:cs="Arial" w:hint="cs"/>
          <w:rtl/>
        </w:rPr>
        <w:t>.</w:t>
      </w:r>
      <w:r w:rsidRPr="00185CE3">
        <w:rPr>
          <w:rFonts w:cs="Arial"/>
          <w:rtl/>
        </w:rPr>
        <w:t xml:space="preserve"> ונ"ל דהוא הדין לשאר ענינים גדולים, שהרי מצינו </w:t>
      </w:r>
      <w:r>
        <w:rPr>
          <w:rFonts w:cs="Arial" w:hint="cs"/>
          <w:rtl/>
        </w:rPr>
        <w:t>(</w:t>
      </w:r>
      <w:r w:rsidRPr="00185CE3">
        <w:rPr>
          <w:rFonts w:cs="Arial"/>
          <w:rtl/>
        </w:rPr>
        <w:t>יבמות מ</w:t>
      </w:r>
      <w:r>
        <w:rPr>
          <w:rFonts w:cs="Arial" w:hint="cs"/>
          <w:rtl/>
        </w:rPr>
        <w:t>ה:)</w:t>
      </w:r>
      <w:r w:rsidRPr="00185CE3">
        <w:rPr>
          <w:rFonts w:cs="Arial"/>
          <w:rtl/>
        </w:rPr>
        <w:t xml:space="preserve"> שאמרו לקבל גרים בזמן הזה א</w:t>
      </w:r>
      <w:r>
        <w:rPr>
          <w:rFonts w:cs="Arial" w:hint="cs"/>
          <w:rtl/>
        </w:rPr>
        <w:t>ע"ג</w:t>
      </w:r>
      <w:r w:rsidRPr="00185CE3">
        <w:rPr>
          <w:rFonts w:cs="Arial"/>
          <w:rtl/>
        </w:rPr>
        <w:t xml:space="preserve"> דלא שכיח, וגם מצינו </w:t>
      </w:r>
      <w:r>
        <w:rPr>
          <w:rFonts w:cs="Arial" w:hint="cs"/>
          <w:rtl/>
        </w:rPr>
        <w:t>(</w:t>
      </w:r>
      <w:r w:rsidRPr="00185CE3">
        <w:rPr>
          <w:rFonts w:cs="Arial"/>
          <w:rtl/>
        </w:rPr>
        <w:t>גיטין פ</w:t>
      </w:r>
      <w:r>
        <w:rPr>
          <w:rFonts w:cs="Arial" w:hint="cs"/>
          <w:rtl/>
        </w:rPr>
        <w:t>ח:)</w:t>
      </w:r>
      <w:r w:rsidRPr="00185CE3">
        <w:rPr>
          <w:rFonts w:cs="Arial"/>
          <w:rtl/>
        </w:rPr>
        <w:t xml:space="preserve"> דהוו מעשין אגיטין בבבל אע</w:t>
      </w:r>
      <w:r>
        <w:rPr>
          <w:rFonts w:cs="Arial" w:hint="cs"/>
          <w:rtl/>
        </w:rPr>
        <w:t>"</w:t>
      </w:r>
      <w:r w:rsidRPr="00185CE3">
        <w:rPr>
          <w:rFonts w:cs="Arial"/>
          <w:rtl/>
        </w:rPr>
        <w:t xml:space="preserve">ג דלית בהו חסרון כיס, וכמ"ש ר"ן </w:t>
      </w:r>
      <w:r>
        <w:rPr>
          <w:rFonts w:cs="Arial" w:hint="cs"/>
          <w:rtl/>
        </w:rPr>
        <w:t>(</w:t>
      </w:r>
      <w:r w:rsidRPr="00185CE3">
        <w:rPr>
          <w:rFonts w:cs="Arial"/>
          <w:rtl/>
        </w:rPr>
        <w:t>גיטין מ</w:t>
      </w:r>
      <w:r>
        <w:rPr>
          <w:rFonts w:cs="Arial" w:hint="cs"/>
          <w:rtl/>
        </w:rPr>
        <w:t>ט:</w:t>
      </w:r>
      <w:r w:rsidRPr="00185CE3">
        <w:rPr>
          <w:rFonts w:cs="Arial"/>
          <w:rtl/>
        </w:rPr>
        <w:t xml:space="preserve"> מדפי הרי"ף</w:t>
      </w:r>
      <w:r>
        <w:rPr>
          <w:rFonts w:cs="Arial" w:hint="cs"/>
          <w:rtl/>
        </w:rPr>
        <w:t>)</w:t>
      </w:r>
      <w:r w:rsidRPr="00185CE3">
        <w:rPr>
          <w:rFonts w:cs="Arial"/>
          <w:rtl/>
        </w:rPr>
        <w:t xml:space="preserve"> וב"י ע"ש ובדרכ</w:t>
      </w:r>
      <w:r>
        <w:rPr>
          <w:rFonts w:cs="Arial" w:hint="cs"/>
          <w:rtl/>
        </w:rPr>
        <w:t>"</w:t>
      </w:r>
      <w:r w:rsidRPr="00185CE3">
        <w:rPr>
          <w:rFonts w:cs="Arial"/>
          <w:rtl/>
        </w:rPr>
        <w:t xml:space="preserve">מ ובהגהותיו </w:t>
      </w:r>
      <w:r>
        <w:rPr>
          <w:rFonts w:cs="Arial" w:hint="cs"/>
          <w:rtl/>
        </w:rPr>
        <w:t>(</w:t>
      </w:r>
      <w:r w:rsidRPr="00185CE3">
        <w:rPr>
          <w:rFonts w:cs="Arial"/>
          <w:rtl/>
        </w:rPr>
        <w:t>הגהות דו"פ אות ב'</w:t>
      </w:r>
      <w:r>
        <w:rPr>
          <w:rFonts w:cs="Arial" w:hint="cs"/>
          <w:rtl/>
        </w:rPr>
        <w:t>)</w:t>
      </w:r>
      <w:r w:rsidRPr="00185CE3">
        <w:rPr>
          <w:rFonts w:cs="Arial"/>
          <w:rtl/>
        </w:rPr>
        <w:t xml:space="preserve"> סעיף ד'</w:t>
      </w:r>
      <w:r>
        <w:rPr>
          <w:rFonts w:cs="Arial" w:hint="cs"/>
          <w:rtl/>
        </w:rPr>
        <w:t>, סמ"ע (סק"ג).</w:t>
      </w:r>
    </w:p>
  </w:footnote>
  <w:footnote w:id="22">
    <w:p w14:paraId="0CFDA232" w14:textId="77777777" w:rsidR="0013116F" w:rsidRDefault="0013116F" w:rsidP="004A326E">
      <w:pPr>
        <w:pStyle w:val="a9"/>
        <w:rPr>
          <w:rtl/>
        </w:rPr>
      </w:pPr>
      <w:r>
        <w:rPr>
          <w:rStyle w:val="ab"/>
        </w:rPr>
        <w:footnoteRef/>
      </w:r>
      <w:r>
        <w:rPr>
          <w:rtl/>
        </w:rPr>
        <w:t xml:space="preserve"> </w:t>
      </w:r>
      <w:r w:rsidRPr="00185CE3">
        <w:rPr>
          <w:rFonts w:cs="Arial"/>
          <w:rtl/>
        </w:rPr>
        <w:t xml:space="preserve">המחבר תפס כאן לשון הרמב"ם (ריש) פ"ה דסנהדרין </w:t>
      </w:r>
      <w:r>
        <w:rPr>
          <w:rFonts w:cs="Arial" w:hint="cs"/>
          <w:rtl/>
        </w:rPr>
        <w:t>(</w:t>
      </w:r>
      <w:r w:rsidRPr="00185CE3">
        <w:rPr>
          <w:rFonts w:cs="Arial"/>
          <w:rtl/>
        </w:rPr>
        <w:t>ה"ט</w:t>
      </w:r>
      <w:r>
        <w:rPr>
          <w:rFonts w:cs="Arial" w:hint="cs"/>
          <w:rtl/>
        </w:rPr>
        <w:t>)</w:t>
      </w:r>
      <w:r w:rsidRPr="00185CE3">
        <w:rPr>
          <w:rFonts w:cs="Arial"/>
          <w:rtl/>
        </w:rPr>
        <w:t xml:space="preserve">, והוא קרא לתולדה דקרן דלאו אורחא הוא ולאו דרך הנאתה חבלה, ומשו"ה סתם כאן וכתב אין דנין אותה. ולאו דוקא שחבלה בחברתה, אלא ה"ה כל מה שהזיקה במידי דלאו אורחא, וכמ"ש הטור </w:t>
      </w:r>
      <w:r>
        <w:rPr>
          <w:rFonts w:cs="Arial" w:hint="cs"/>
          <w:rtl/>
        </w:rPr>
        <w:t>(</w:t>
      </w:r>
      <w:r w:rsidRPr="00185CE3">
        <w:rPr>
          <w:rFonts w:cs="Arial"/>
          <w:rtl/>
        </w:rPr>
        <w:t>סעיף ד'</w:t>
      </w:r>
      <w:r>
        <w:rPr>
          <w:rFonts w:cs="Arial" w:hint="cs"/>
          <w:rtl/>
        </w:rPr>
        <w:t>)</w:t>
      </w:r>
      <w:r w:rsidRPr="00185CE3">
        <w:rPr>
          <w:rFonts w:cs="Arial"/>
          <w:rtl/>
        </w:rPr>
        <w:t xml:space="preserve">. ומה שהוא אורחא או דרך הנאתה לא מיקרי חבלה אלא היזק, וז"ש בסמוך בסעיף ג' וכן בהמה שהזיקה בשן ורגל כו', עד ומגבין אותן דייני חו"ל, וכן הוא ברמב"ם שם </w:t>
      </w:r>
      <w:r>
        <w:rPr>
          <w:rFonts w:cs="Arial" w:hint="cs"/>
          <w:rtl/>
        </w:rPr>
        <w:t>(</w:t>
      </w:r>
      <w:r w:rsidRPr="00185CE3">
        <w:rPr>
          <w:rFonts w:cs="Arial"/>
          <w:rtl/>
        </w:rPr>
        <w:t>הי"א</w:t>
      </w:r>
      <w:r>
        <w:rPr>
          <w:rFonts w:cs="Arial" w:hint="cs"/>
          <w:rtl/>
        </w:rPr>
        <w:t>)</w:t>
      </w:r>
      <w:r w:rsidRPr="00185CE3">
        <w:rPr>
          <w:rFonts w:cs="Arial"/>
          <w:rtl/>
        </w:rPr>
        <w:t xml:space="preserve">, ומיירי אפילו בחבלה בחברתה, דהא בהדיא אמרינן בגמ' </w:t>
      </w:r>
      <w:r>
        <w:rPr>
          <w:rFonts w:cs="Arial" w:hint="cs"/>
          <w:rtl/>
        </w:rPr>
        <w:t>(</w:t>
      </w:r>
      <w:r w:rsidRPr="00185CE3">
        <w:rPr>
          <w:rFonts w:cs="Arial"/>
          <w:rtl/>
        </w:rPr>
        <w:t>ב"ק פד</w:t>
      </w:r>
      <w:r>
        <w:rPr>
          <w:rFonts w:cs="Arial" w:hint="cs"/>
          <w:rtl/>
        </w:rPr>
        <w:t>:)</w:t>
      </w:r>
      <w:r w:rsidRPr="00185CE3">
        <w:rPr>
          <w:rFonts w:cs="Arial"/>
          <w:rtl/>
        </w:rPr>
        <w:t xml:space="preserve"> דבשור בשור דנין במידי דהוא אורחא</w:t>
      </w:r>
      <w:r>
        <w:rPr>
          <w:rFonts w:cs="Arial" w:hint="cs"/>
          <w:rtl/>
        </w:rPr>
        <w:t>, סמ"ע (סק"ד).</w:t>
      </w:r>
    </w:p>
  </w:footnote>
  <w:footnote w:id="23">
    <w:p w14:paraId="79440BF0" w14:textId="77777777" w:rsidR="0013116F" w:rsidRDefault="0013116F" w:rsidP="004A326E">
      <w:pPr>
        <w:pStyle w:val="a9"/>
      </w:pPr>
      <w:r>
        <w:rPr>
          <w:rStyle w:val="ab"/>
        </w:rPr>
        <w:footnoteRef/>
      </w:r>
      <w:r>
        <w:rPr>
          <w:rtl/>
        </w:rPr>
        <w:t xml:space="preserve"> </w:t>
      </w:r>
      <w:r w:rsidRPr="00185CE3">
        <w:rPr>
          <w:rFonts w:cs="Arial"/>
          <w:rtl/>
        </w:rPr>
        <w:t xml:space="preserve">המחבר נמשך אחר לשון הרמב"ם שכ"כ בפ"ה דסנהדרין </w:t>
      </w:r>
      <w:r>
        <w:rPr>
          <w:rFonts w:cs="Arial" w:hint="cs"/>
          <w:rtl/>
        </w:rPr>
        <w:t>(</w:t>
      </w:r>
      <w:r w:rsidRPr="00185CE3">
        <w:rPr>
          <w:rFonts w:cs="Arial"/>
          <w:rtl/>
        </w:rPr>
        <w:t>ה"ט</w:t>
      </w:r>
      <w:r>
        <w:rPr>
          <w:rFonts w:cs="Arial" w:hint="cs"/>
          <w:rtl/>
        </w:rPr>
        <w:t>),</w:t>
      </w:r>
      <w:r w:rsidRPr="00185CE3">
        <w:rPr>
          <w:rFonts w:cs="Arial"/>
          <w:rtl/>
        </w:rPr>
        <w:t xml:space="preserve"> וצ"ע הא כפל בלא</w:t>
      </w:r>
      <w:r>
        <w:rPr>
          <w:rFonts w:cs="Arial" w:hint="cs"/>
          <w:rtl/>
        </w:rPr>
        <w:t>"</w:t>
      </w:r>
      <w:r w:rsidRPr="00185CE3">
        <w:rPr>
          <w:rFonts w:cs="Arial"/>
          <w:rtl/>
        </w:rPr>
        <w:t xml:space="preserve">ה </w:t>
      </w:r>
      <w:r>
        <w:rPr>
          <w:rFonts w:cs="Arial" w:hint="cs"/>
          <w:rtl/>
        </w:rPr>
        <w:t xml:space="preserve">אין </w:t>
      </w:r>
      <w:r w:rsidRPr="00185CE3">
        <w:rPr>
          <w:rFonts w:cs="Arial"/>
          <w:rtl/>
        </w:rPr>
        <w:t xml:space="preserve">גובין בבבל משום דהוא קנס </w:t>
      </w:r>
      <w:r w:rsidRPr="00185CE3">
        <w:rPr>
          <w:rFonts w:cs="Arial" w:hint="cs"/>
          <w:sz w:val="16"/>
          <w:szCs w:val="16"/>
          <w:rtl/>
        </w:rPr>
        <w:t>(</w:t>
      </w:r>
      <w:r w:rsidRPr="00185CE3">
        <w:rPr>
          <w:rFonts w:cs="Arial"/>
          <w:sz w:val="16"/>
          <w:szCs w:val="16"/>
          <w:rtl/>
        </w:rPr>
        <w:t>וכמ"ש הרמב"ם שם [ה"ח] שאין גובין אותו אלא סמוכים, וכמ"ש המחבר ג"כ אחר זה</w:t>
      </w:r>
      <w:r>
        <w:rPr>
          <w:rFonts w:cs="Arial" w:hint="cs"/>
          <w:sz w:val="16"/>
          <w:szCs w:val="16"/>
          <w:rtl/>
        </w:rPr>
        <w:t>)</w:t>
      </w:r>
      <w:r>
        <w:rPr>
          <w:rFonts w:cs="Arial" w:hint="cs"/>
          <w:rtl/>
        </w:rPr>
        <w:t>,</w:t>
      </w:r>
      <w:r w:rsidRPr="00185CE3">
        <w:rPr>
          <w:rFonts w:cs="Arial"/>
          <w:rtl/>
        </w:rPr>
        <w:t xml:space="preserve"> והטור </w:t>
      </w:r>
      <w:r>
        <w:rPr>
          <w:rFonts w:cs="Arial" w:hint="cs"/>
          <w:rtl/>
        </w:rPr>
        <w:t>(</w:t>
      </w:r>
      <w:r w:rsidRPr="00185CE3">
        <w:rPr>
          <w:rFonts w:cs="Arial"/>
          <w:rtl/>
        </w:rPr>
        <w:t>סעיף ד'</w:t>
      </w:r>
      <w:r>
        <w:rPr>
          <w:rFonts w:cs="Arial" w:hint="cs"/>
          <w:rtl/>
        </w:rPr>
        <w:t>)</w:t>
      </w:r>
      <w:r w:rsidRPr="00185CE3">
        <w:rPr>
          <w:rFonts w:cs="Arial"/>
          <w:rtl/>
        </w:rPr>
        <w:t xml:space="preserve"> לא כתב כפל כ</w:t>
      </w:r>
      <w:r>
        <w:rPr>
          <w:rFonts w:cs="Arial" w:hint="cs"/>
          <w:rtl/>
        </w:rPr>
        <w:t xml:space="preserve">י </w:t>
      </w:r>
      <w:r w:rsidRPr="00185CE3">
        <w:rPr>
          <w:rFonts w:cs="Arial"/>
          <w:rtl/>
        </w:rPr>
        <w:t>א</w:t>
      </w:r>
      <w:r>
        <w:rPr>
          <w:rFonts w:cs="Arial" w:hint="cs"/>
          <w:rtl/>
        </w:rPr>
        <w:t>ם</w:t>
      </w:r>
      <w:r w:rsidRPr="00185CE3">
        <w:rPr>
          <w:rFonts w:cs="Arial"/>
          <w:rtl/>
        </w:rPr>
        <w:t xml:space="preserve"> בושת </w:t>
      </w:r>
      <w:r w:rsidRPr="00185CE3">
        <w:rPr>
          <w:rFonts w:cs="Arial" w:hint="cs"/>
          <w:sz w:val="16"/>
          <w:szCs w:val="16"/>
          <w:rtl/>
        </w:rPr>
        <w:t>(</w:t>
      </w:r>
      <w:r w:rsidRPr="00185CE3">
        <w:rPr>
          <w:rFonts w:cs="Arial"/>
          <w:sz w:val="16"/>
          <w:szCs w:val="16"/>
          <w:rtl/>
        </w:rPr>
        <w:t xml:space="preserve">וגם ברישא בדברים שאינם מצויים ויש בהם חסרון כיס לא כתב ז"ש הרמב"ם והמחבר כגון בהמה שחבלה בחברתה, שהוא תולדה דקרן כנ"ל ומיקרי קנס, אלא כתב כגון שחבל אדם באדם, וכן הוא בגמ' בשניהם בפרק החובל </w:t>
      </w:r>
      <w:r>
        <w:rPr>
          <w:rFonts w:cs="Arial" w:hint="cs"/>
          <w:sz w:val="16"/>
          <w:szCs w:val="16"/>
          <w:rtl/>
        </w:rPr>
        <w:t>(</w:t>
      </w:r>
      <w:r w:rsidRPr="00185CE3">
        <w:rPr>
          <w:rFonts w:cs="Arial"/>
          <w:sz w:val="16"/>
          <w:szCs w:val="16"/>
          <w:rtl/>
        </w:rPr>
        <w:t>ב"ק פ</w:t>
      </w:r>
      <w:r>
        <w:rPr>
          <w:rFonts w:cs="Arial" w:hint="cs"/>
          <w:sz w:val="16"/>
          <w:szCs w:val="16"/>
          <w:rtl/>
        </w:rPr>
        <w:t>ד:)</w:t>
      </w:r>
      <w:r w:rsidRPr="00185CE3">
        <w:rPr>
          <w:rFonts w:cs="Arial"/>
          <w:rtl/>
        </w:rPr>
        <w:t xml:space="preserve"> וי"ל כיון דגם מה שאין גובין בושת ונזקי אדם באדם הוא משום דנתנו לו דין קנס לדבר שאינו שכיח או שאין בהם חסרון כיס</w:t>
      </w:r>
      <w:r>
        <w:rPr>
          <w:rFonts w:cs="Arial" w:hint="cs"/>
          <w:sz w:val="16"/>
          <w:szCs w:val="16"/>
          <w:rtl/>
        </w:rPr>
        <w:t xml:space="preserve"> (</w:t>
      </w:r>
      <w:r w:rsidRPr="00185CE3">
        <w:rPr>
          <w:rFonts w:cs="Arial"/>
          <w:sz w:val="16"/>
          <w:szCs w:val="16"/>
          <w:rtl/>
        </w:rPr>
        <w:t>וכמ"ש בגמ' וכתבתיהו בדרישה [שם] ע"ש</w:t>
      </w:r>
      <w:r w:rsidRPr="00185CE3">
        <w:rPr>
          <w:rFonts w:cs="Arial" w:hint="cs"/>
          <w:sz w:val="16"/>
          <w:szCs w:val="16"/>
          <w:rtl/>
        </w:rPr>
        <w:t>)</w:t>
      </w:r>
      <w:r w:rsidRPr="00185CE3">
        <w:rPr>
          <w:rFonts w:cs="Arial"/>
          <w:rtl/>
        </w:rPr>
        <w:t>, משו"ה נקט הרמב"ם בלשונו דברים שהם קנס עצמו לדבר פשיטות, וה"ה לכל מה שתמצא שנתנו לו חז"ל דין קנס</w:t>
      </w:r>
      <w:r>
        <w:rPr>
          <w:rFonts w:cs="Arial" w:hint="cs"/>
          <w:rtl/>
        </w:rPr>
        <w:t>, סמ"ע (סק"ה).</w:t>
      </w:r>
    </w:p>
  </w:footnote>
  <w:footnote w:id="24">
    <w:p w14:paraId="428AE3BC" w14:textId="77777777" w:rsidR="0013116F" w:rsidRDefault="0013116F" w:rsidP="004A326E">
      <w:pPr>
        <w:pStyle w:val="a9"/>
      </w:pPr>
      <w:r>
        <w:rPr>
          <w:rStyle w:val="ab"/>
        </w:rPr>
        <w:footnoteRef/>
      </w:r>
      <w:r>
        <w:rPr>
          <w:rtl/>
        </w:rPr>
        <w:t xml:space="preserve"> </w:t>
      </w:r>
      <w:r w:rsidRPr="00185CE3">
        <w:rPr>
          <w:rFonts w:cs="Arial"/>
          <w:rtl/>
        </w:rPr>
        <w:t>כגון גנב דמשלם כפל, טבח ומכר ד' וה', ואם גזל ונשבע משלם קרן וחומש. שור תם חצי נזק</w:t>
      </w:r>
      <w:r>
        <w:rPr>
          <w:rFonts w:cs="Arial" w:hint="cs"/>
          <w:rtl/>
        </w:rPr>
        <w:t>, סמ"ע (סק"ו).</w:t>
      </w:r>
    </w:p>
  </w:footnote>
  <w:footnote w:id="25">
    <w:p w14:paraId="654F6C5A" w14:textId="77777777" w:rsidR="0013116F" w:rsidRDefault="0013116F" w:rsidP="004A326E">
      <w:pPr>
        <w:pStyle w:val="a9"/>
      </w:pPr>
      <w:r>
        <w:rPr>
          <w:rStyle w:val="ab"/>
        </w:rPr>
        <w:footnoteRef/>
      </w:r>
      <w:r>
        <w:rPr>
          <w:rtl/>
        </w:rPr>
        <w:t xml:space="preserve"> </w:t>
      </w:r>
      <w:r w:rsidRPr="00C40FC4">
        <w:rPr>
          <w:rFonts w:cs="Arial"/>
          <w:rtl/>
        </w:rPr>
        <w:t>פירוש, איש מנוסה ובקי בדינים, וכמו שכתבתי בסימן ג' סעיף ב' [סק"ה]</w:t>
      </w:r>
      <w:r>
        <w:rPr>
          <w:rFonts w:cs="Arial" w:hint="cs"/>
          <w:rtl/>
        </w:rPr>
        <w:t>, סמ"ע (סק"ז).</w:t>
      </w:r>
    </w:p>
  </w:footnote>
  <w:footnote w:id="26">
    <w:p w14:paraId="32FC965B" w14:textId="77777777" w:rsidR="0013116F" w:rsidRDefault="0013116F" w:rsidP="004A326E">
      <w:pPr>
        <w:pStyle w:val="a9"/>
        <w:rPr>
          <w:rtl/>
        </w:rPr>
      </w:pPr>
      <w:r>
        <w:rPr>
          <w:rStyle w:val="ab"/>
        </w:rPr>
        <w:footnoteRef/>
      </w:r>
      <w:r>
        <w:rPr>
          <w:rtl/>
        </w:rPr>
        <w:t xml:space="preserve"> </w:t>
      </w:r>
      <w:r w:rsidRPr="00C40FC4">
        <w:rPr>
          <w:rFonts w:cs="Arial"/>
          <w:rtl/>
        </w:rPr>
        <w:t xml:space="preserve">ברמב"ם ריש פ"ד דסנהדרין מבואר דלשון סמיכה נתפשט ממ"ש בתורה במשה עם יהושע </w:t>
      </w:r>
      <w:r>
        <w:rPr>
          <w:rFonts w:cs="Arial" w:hint="cs"/>
          <w:rtl/>
        </w:rPr>
        <w:t>(</w:t>
      </w:r>
      <w:r w:rsidRPr="00C40FC4">
        <w:rPr>
          <w:rFonts w:cs="Arial"/>
          <w:rtl/>
        </w:rPr>
        <w:t>במדבר כז כג</w:t>
      </w:r>
      <w:r>
        <w:rPr>
          <w:rFonts w:cs="Arial" w:hint="cs"/>
          <w:rtl/>
        </w:rPr>
        <w:t>)</w:t>
      </w:r>
      <w:r w:rsidRPr="00C40FC4">
        <w:rPr>
          <w:rFonts w:cs="Arial"/>
          <w:rtl/>
        </w:rPr>
        <w:t xml:space="preserve"> ויסמוך את ידיו עליו ויצוהו, וכן עשה לזקנים, ועי"ז שרתה שכינה עליהן. והסמיכה לדורות לא היתה ע</w:t>
      </w:r>
      <w:r>
        <w:rPr>
          <w:rFonts w:cs="Arial" w:hint="cs"/>
          <w:rtl/>
        </w:rPr>
        <w:t>"</w:t>
      </w:r>
      <w:r w:rsidRPr="00C40FC4">
        <w:rPr>
          <w:rFonts w:cs="Arial"/>
          <w:rtl/>
        </w:rPr>
        <w:t xml:space="preserve">י סמיכת יד, אלא שקורין לו רבי ואומרים לו הרי את סמוך ויש לך רשות לדון אפילו דיני קנסות, ומפני שכל הנסמכין היו צריכין להיות סמוכין דוקא מאחד הנסמכים איש מפי איש עד יהושע שנסמך ביד, כמ"ש הרמב"ם שם [הל' א' - ב'] אם לא בהתאסף כל חכמי ארץ ישראל יחד </w:t>
      </w:r>
      <w:r>
        <w:rPr>
          <w:rFonts w:cs="Arial" w:hint="cs"/>
          <w:rtl/>
        </w:rPr>
        <w:t>[</w:t>
      </w:r>
      <w:r w:rsidRPr="00C40FC4">
        <w:rPr>
          <w:rFonts w:cs="Arial"/>
          <w:rtl/>
        </w:rPr>
        <w:t>וכמ"ש שם הי"א], ומשו"ה נקראת סמיכה. ועיין בריב"ש ס</w:t>
      </w:r>
      <w:r>
        <w:rPr>
          <w:rFonts w:cs="Arial" w:hint="cs"/>
          <w:rtl/>
        </w:rPr>
        <w:t>"ס</w:t>
      </w:r>
      <w:r w:rsidRPr="00C40FC4">
        <w:rPr>
          <w:rFonts w:cs="Arial"/>
          <w:rtl/>
        </w:rPr>
        <w:t xml:space="preserve"> רעא שכתב שם ענין הסמיכה שנוהגין האשכנזים, והביאו רמ"א ביו"ד סימן רמב בס</w:t>
      </w:r>
      <w:r>
        <w:rPr>
          <w:rFonts w:cs="Arial" w:hint="cs"/>
          <w:rtl/>
        </w:rPr>
        <w:t>ע'</w:t>
      </w:r>
      <w:r w:rsidRPr="00C40FC4">
        <w:rPr>
          <w:rFonts w:cs="Arial"/>
          <w:rtl/>
        </w:rPr>
        <w:t xml:space="preserve"> יד, ע"ש. ומה שמדקדק המחבר וכתב מומחין הסמוכין בא"י, וכן דקדק אחר זה בסעיף ב', וכן בריש סימן ב', הוא ממ"ש הרמב"ם בפ"ד דסנהדרין [ה</w:t>
      </w:r>
      <w:r>
        <w:rPr>
          <w:rFonts w:cs="Arial" w:hint="cs"/>
          <w:rtl/>
        </w:rPr>
        <w:t>"</w:t>
      </w:r>
      <w:r w:rsidRPr="00C40FC4">
        <w:rPr>
          <w:rFonts w:cs="Arial"/>
          <w:rtl/>
        </w:rPr>
        <w:t>ד</w:t>
      </w:r>
      <w:r>
        <w:rPr>
          <w:rFonts w:cs="Arial" w:hint="cs"/>
          <w:rtl/>
        </w:rPr>
        <w:t>,</w:t>
      </w:r>
      <w:r w:rsidRPr="00C40FC4">
        <w:rPr>
          <w:rFonts w:cs="Arial"/>
          <w:rtl/>
        </w:rPr>
        <w:t xml:space="preserve"> ו</w:t>
      </w:r>
      <w:r>
        <w:rPr>
          <w:rFonts w:cs="Arial" w:hint="cs"/>
          <w:rtl/>
        </w:rPr>
        <w:t>,</w:t>
      </w:r>
      <w:r w:rsidRPr="00C40FC4">
        <w:rPr>
          <w:rFonts w:cs="Arial"/>
          <w:rtl/>
        </w:rPr>
        <w:t xml:space="preserve"> יב] שכתב שם ז"ל, אין קרוי אלהים אלא ב"ד שנסמך בארץ ישראל בלבד והם האנשים החכמים והראויין לדון שבדקו אותן ב"ד של א"י ומינו אותן וסמכו אותן כו'</w:t>
      </w:r>
      <w:r>
        <w:rPr>
          <w:rFonts w:cs="Arial" w:hint="cs"/>
          <w:rtl/>
        </w:rPr>
        <w:t>,</w:t>
      </w:r>
      <w:r w:rsidRPr="00C40FC4">
        <w:rPr>
          <w:rFonts w:cs="Arial"/>
          <w:rtl/>
        </w:rPr>
        <w:t xml:space="preserve"> עד אין סומכין זקנים בחו"ל, אפילו היה</w:t>
      </w:r>
      <w:r>
        <w:rPr>
          <w:rFonts w:cs="Arial" w:hint="cs"/>
          <w:rtl/>
        </w:rPr>
        <w:t xml:space="preserve"> </w:t>
      </w:r>
      <w:r w:rsidRPr="00C40FC4">
        <w:rPr>
          <w:rFonts w:cs="Arial"/>
          <w:rtl/>
        </w:rPr>
        <w:t>הסומך בא"י והנסמך בחו"ל וכ"ש איפכא כו', עד ב"ד שנסמכו בא"י ויצאו לחו"ל הרי הם דנין דיני קנסות בחו"ל כו', ע"ש</w:t>
      </w:r>
      <w:r>
        <w:rPr>
          <w:rFonts w:cs="Arial" w:hint="cs"/>
          <w:rtl/>
        </w:rPr>
        <w:t>, סמ"ע (סק"ט).</w:t>
      </w:r>
    </w:p>
  </w:footnote>
  <w:footnote w:id="27">
    <w:p w14:paraId="1F20FCD9" w14:textId="77777777" w:rsidR="0013116F" w:rsidRDefault="0013116F" w:rsidP="004A326E">
      <w:pPr>
        <w:pStyle w:val="a9"/>
      </w:pPr>
      <w:r>
        <w:rPr>
          <w:rStyle w:val="ab"/>
        </w:rPr>
        <w:footnoteRef/>
      </w:r>
      <w:r>
        <w:rPr>
          <w:rtl/>
        </w:rPr>
        <w:t xml:space="preserve"> </w:t>
      </w:r>
      <w:r w:rsidRPr="00C40FC4">
        <w:rPr>
          <w:rFonts w:cs="Arial"/>
          <w:rtl/>
        </w:rPr>
        <w:t>פירוש, בהמה שהלכה בר</w:t>
      </w:r>
      <w:r>
        <w:rPr>
          <w:rFonts w:cs="Arial" w:hint="cs"/>
          <w:rtl/>
        </w:rPr>
        <w:t>שוץ הרבים</w:t>
      </w:r>
      <w:r w:rsidRPr="00C40FC4">
        <w:rPr>
          <w:rFonts w:cs="Arial"/>
          <w:rtl/>
        </w:rPr>
        <w:t xml:space="preserve"> והתיזה ברגליה ושברה עי"ז כלים, דהיינו נזק הבא ע"י צרורות, ואורחא הוא</w:t>
      </w:r>
      <w:r>
        <w:rPr>
          <w:rFonts w:cs="Arial" w:hint="cs"/>
          <w:rtl/>
        </w:rPr>
        <w:t>,</w:t>
      </w:r>
      <w:r w:rsidRPr="00C40FC4">
        <w:rPr>
          <w:rFonts w:cs="Arial"/>
          <w:rtl/>
        </w:rPr>
        <w:t xml:space="preserve"> והוא תולדה דרגל, ומן הדין היה להם לבעלים לשלם נזק שלם, אלא שהלכה למשה מסיני שאינה משלמת אלא ח</w:t>
      </w:r>
      <w:r>
        <w:rPr>
          <w:rFonts w:cs="Arial" w:hint="cs"/>
          <w:rtl/>
        </w:rPr>
        <w:t xml:space="preserve">צי </w:t>
      </w:r>
      <w:r w:rsidRPr="00C40FC4">
        <w:rPr>
          <w:rFonts w:cs="Arial"/>
          <w:rtl/>
        </w:rPr>
        <w:t>נ</w:t>
      </w:r>
      <w:r>
        <w:rPr>
          <w:rFonts w:cs="Arial" w:hint="cs"/>
          <w:rtl/>
        </w:rPr>
        <w:t>זק</w:t>
      </w:r>
      <w:r w:rsidRPr="00C40FC4">
        <w:rPr>
          <w:rFonts w:cs="Arial"/>
          <w:rtl/>
        </w:rPr>
        <w:t>, וכמ"ש הטור והמחבר לקמן בסימן ש"צ [טור סעיף ב' ומחבר סעיף ג'], ע"ש</w:t>
      </w:r>
      <w:r>
        <w:rPr>
          <w:rFonts w:cs="Arial" w:hint="cs"/>
          <w:rtl/>
        </w:rPr>
        <w:t>, סמ"ע (סק"ו).</w:t>
      </w:r>
    </w:p>
  </w:footnote>
  <w:footnote w:id="28">
    <w:p w14:paraId="4F90D7DD" w14:textId="77777777" w:rsidR="0013116F" w:rsidRDefault="0013116F">
      <w:pPr>
        <w:pStyle w:val="a9"/>
      </w:pPr>
      <w:r>
        <w:rPr>
          <w:rStyle w:val="ab"/>
        </w:rPr>
        <w:footnoteRef/>
      </w:r>
      <w:r>
        <w:rPr>
          <w:rtl/>
        </w:rPr>
        <w:t xml:space="preserve"> </w:t>
      </w:r>
      <w:r>
        <w:rPr>
          <w:rFonts w:hint="cs"/>
          <w:rtl/>
        </w:rPr>
        <w:t xml:space="preserve">סימן </w:t>
      </w:r>
      <w:r>
        <w:rPr>
          <w:rtl/>
        </w:rPr>
        <w:t>–</w:t>
      </w:r>
      <w:r>
        <w:rPr>
          <w:rFonts w:hint="cs"/>
          <w:rtl/>
        </w:rPr>
        <w:t xml:space="preserve"> פסקי חבלות. וכן </w:t>
      </w:r>
      <w:r>
        <w:rPr>
          <w:rtl/>
        </w:rPr>
        <w:t>–</w:t>
      </w:r>
      <w:r>
        <w:rPr>
          <w:rFonts w:hint="cs"/>
          <w:rtl/>
        </w:rPr>
        <w:t xml:space="preserve"> פצע וחבלה.</w:t>
      </w:r>
    </w:p>
  </w:footnote>
  <w:footnote w:id="29">
    <w:p w14:paraId="02B61A9F" w14:textId="77777777" w:rsidR="0013116F" w:rsidRDefault="0013116F" w:rsidP="004A326E">
      <w:pPr>
        <w:pStyle w:val="a9"/>
        <w:rPr>
          <w:rtl/>
        </w:rPr>
      </w:pPr>
      <w:r>
        <w:rPr>
          <w:rStyle w:val="ab"/>
        </w:rPr>
        <w:footnoteRef/>
      </w:r>
      <w:r>
        <w:rPr>
          <w:rtl/>
        </w:rPr>
        <w:t xml:space="preserve"> </w:t>
      </w:r>
      <w:r>
        <w:rPr>
          <w:rFonts w:cs="Arial"/>
          <w:rtl/>
        </w:rPr>
        <w:t>דבני ארץ ישראל</w:t>
      </w:r>
      <w:r>
        <w:rPr>
          <w:rFonts w:cs="Arial" w:hint="cs"/>
          <w:rtl/>
        </w:rPr>
        <w:t>, רש"י.</w:t>
      </w:r>
    </w:p>
  </w:footnote>
  <w:footnote w:id="30">
    <w:p w14:paraId="1F27F75E" w14:textId="77777777" w:rsidR="0013116F" w:rsidRDefault="0013116F" w:rsidP="004A326E">
      <w:pPr>
        <w:pStyle w:val="a9"/>
      </w:pPr>
      <w:r>
        <w:rPr>
          <w:rStyle w:val="ab"/>
        </w:rPr>
        <w:footnoteRef/>
      </w:r>
      <w:r>
        <w:rPr>
          <w:rtl/>
        </w:rPr>
        <w:t xml:space="preserve"> </w:t>
      </w:r>
      <w:r>
        <w:rPr>
          <w:rFonts w:cs="Arial"/>
          <w:rtl/>
        </w:rPr>
        <w:t>הם נתנו לנו רשות</w:t>
      </w:r>
      <w:r>
        <w:rPr>
          <w:rFonts w:cs="Arial" w:hint="cs"/>
          <w:rtl/>
        </w:rPr>
        <w:t>, רש"י.</w:t>
      </w:r>
    </w:p>
  </w:footnote>
  <w:footnote w:id="31">
    <w:p w14:paraId="5B498E11" w14:textId="77777777" w:rsidR="0013116F" w:rsidRDefault="0013116F" w:rsidP="004A326E">
      <w:pPr>
        <w:pStyle w:val="a9"/>
      </w:pPr>
      <w:r>
        <w:rPr>
          <w:rStyle w:val="ab"/>
        </w:rPr>
        <w:footnoteRef/>
      </w:r>
      <w:r>
        <w:rPr>
          <w:rtl/>
        </w:rPr>
        <w:t xml:space="preserve"> </w:t>
      </w:r>
      <w:r>
        <w:rPr>
          <w:rFonts w:cs="Arial"/>
          <w:rtl/>
        </w:rPr>
        <w:t>אדיני ממונות דהלואות דעבדינן שליחותייהו כדאמרינן בפרק קמא דסנהדרין (ב:)</w:t>
      </w:r>
      <w:r>
        <w:rPr>
          <w:rFonts w:cs="Arial" w:hint="cs"/>
          <w:rtl/>
        </w:rPr>
        <w:t>, רש"י.</w:t>
      </w:r>
    </w:p>
  </w:footnote>
  <w:footnote w:id="32">
    <w:p w14:paraId="2FDC0682" w14:textId="77777777" w:rsidR="0013116F" w:rsidRDefault="0013116F" w:rsidP="005A7CE3">
      <w:pPr>
        <w:pStyle w:val="a9"/>
      </w:pPr>
      <w:r>
        <w:rPr>
          <w:rStyle w:val="ab"/>
        </w:rPr>
        <w:footnoteRef/>
      </w:r>
      <w:r>
        <w:rPr>
          <w:rtl/>
        </w:rPr>
        <w:t xml:space="preserve"> </w:t>
      </w:r>
      <w:r>
        <w:rPr>
          <w:rFonts w:hint="cs"/>
          <w:rtl/>
        </w:rPr>
        <w:t xml:space="preserve">סימן </w:t>
      </w:r>
      <w:r>
        <w:rPr>
          <w:rtl/>
        </w:rPr>
        <w:t>–</w:t>
      </w:r>
      <w:r>
        <w:rPr>
          <w:rFonts w:hint="cs"/>
          <w:rtl/>
        </w:rPr>
        <w:t xml:space="preserve"> פחת </w:t>
      </w:r>
      <w:r>
        <w:rPr>
          <w:rFonts w:hint="cs"/>
          <w:sz w:val="16"/>
          <w:szCs w:val="16"/>
          <w:rtl/>
        </w:rPr>
        <w:t xml:space="preserve">(חסרון כיס) </w:t>
      </w:r>
      <w:r>
        <w:rPr>
          <w:rFonts w:hint="cs"/>
          <w:rtl/>
        </w:rPr>
        <w:t>דש</w:t>
      </w:r>
      <w:r>
        <w:rPr>
          <w:rFonts w:hint="cs"/>
          <w:sz w:val="16"/>
          <w:szCs w:val="16"/>
          <w:rtl/>
        </w:rPr>
        <w:t xml:space="preserve"> (שכיח)</w:t>
      </w:r>
      <w:r>
        <w:rPr>
          <w:rFonts w:hint="cs"/>
          <w:rtl/>
        </w:rPr>
        <w:t>.</w:t>
      </w:r>
    </w:p>
  </w:footnote>
  <w:footnote w:id="33">
    <w:p w14:paraId="26F26505" w14:textId="77777777" w:rsidR="0013116F" w:rsidRDefault="0013116F" w:rsidP="004A326E">
      <w:pPr>
        <w:pStyle w:val="a9"/>
        <w:rPr>
          <w:rtl/>
        </w:rPr>
      </w:pPr>
      <w:r>
        <w:rPr>
          <w:rStyle w:val="ab"/>
        </w:rPr>
        <w:footnoteRef/>
      </w:r>
      <w:r>
        <w:rPr>
          <w:rtl/>
        </w:rPr>
        <w:t xml:space="preserve"> </w:t>
      </w:r>
      <w:r w:rsidRPr="00B30AD4">
        <w:rPr>
          <w:rFonts w:cs="Arial"/>
          <w:rtl/>
        </w:rPr>
        <w:t>הודאה והלואה</w:t>
      </w:r>
      <w:r>
        <w:rPr>
          <w:rFonts w:cs="Arial" w:hint="cs"/>
          <w:rtl/>
        </w:rPr>
        <w:t>, רש"י</w:t>
      </w:r>
      <w:r w:rsidRPr="00B30AD4">
        <w:rPr>
          <w:rFonts w:cs="Arial"/>
          <w:rtl/>
        </w:rPr>
        <w:t xml:space="preserve">. </w:t>
      </w:r>
      <w:r>
        <w:rPr>
          <w:rFonts w:cs="Arial"/>
          <w:rtl/>
        </w:rPr>
        <w:t>פי' שתובע אותו בעדי הודאה שהודה לו בפניהם או שהלוה לו בפניהם</w:t>
      </w:r>
      <w:r>
        <w:rPr>
          <w:rFonts w:hint="cs"/>
          <w:rtl/>
        </w:rPr>
        <w:t>, טור.</w:t>
      </w:r>
    </w:p>
  </w:footnote>
  <w:footnote w:id="34">
    <w:p w14:paraId="3C1A48B5" w14:textId="77777777" w:rsidR="0013116F" w:rsidRDefault="0013116F" w:rsidP="004A326E">
      <w:pPr>
        <w:pStyle w:val="a9"/>
        <w:rPr>
          <w:rtl/>
        </w:rPr>
      </w:pPr>
      <w:r>
        <w:rPr>
          <w:rStyle w:val="ab"/>
        </w:rPr>
        <w:footnoteRef/>
      </w:r>
      <w:r>
        <w:rPr>
          <w:rtl/>
        </w:rPr>
        <w:t xml:space="preserve"> </w:t>
      </w:r>
      <w:r>
        <w:rPr>
          <w:rFonts w:cs="Arial"/>
          <w:rtl/>
        </w:rPr>
        <w:t>דהא דאמרינן דאדם באדם אע</w:t>
      </w:r>
      <w:r>
        <w:rPr>
          <w:rFonts w:cs="Arial" w:hint="cs"/>
          <w:rtl/>
        </w:rPr>
        <w:t>"</w:t>
      </w:r>
      <w:r>
        <w:rPr>
          <w:rFonts w:cs="Arial"/>
          <w:rtl/>
        </w:rPr>
        <w:t>ג דאית ביה חסרון כיס לא עבדינן שליחותייהו לא אמרו אלא לענין נזק דאית ביה חסרון כיס ואפ</w:t>
      </w:r>
      <w:r>
        <w:rPr>
          <w:rFonts w:cs="Arial" w:hint="cs"/>
          <w:rtl/>
        </w:rPr>
        <w:t>"</w:t>
      </w:r>
      <w:r>
        <w:rPr>
          <w:rFonts w:cs="Arial"/>
          <w:rtl/>
        </w:rPr>
        <w:t>ה לא דיינינן ליה בבבל וכל שכן לצער ובשת דלית בהו חסרון כיס אבל רפוי ושבת כיון דאית בהו חסרון כיס דיינינן להו בבבל</w:t>
      </w:r>
      <w:r>
        <w:rPr>
          <w:rFonts w:cs="Arial" w:hint="cs"/>
          <w:rtl/>
        </w:rPr>
        <w:t xml:space="preserve"> </w:t>
      </w:r>
      <w:r w:rsidRPr="009B01E6">
        <w:rPr>
          <w:rFonts w:cs="Arial" w:hint="cs"/>
          <w:sz w:val="16"/>
          <w:szCs w:val="16"/>
          <w:rtl/>
        </w:rPr>
        <w:t>(</w:t>
      </w:r>
      <w:r w:rsidRPr="009B01E6">
        <w:rPr>
          <w:rFonts w:cs="Arial"/>
          <w:sz w:val="16"/>
          <w:szCs w:val="16"/>
          <w:rtl/>
        </w:rPr>
        <w:t>וטעמא משום דאמר רבא (ב"ק פד.) כל הנישום כעבד אין גובין אותו בבבל ואין לך נישום כעבד אלא נזק בלבד</w:t>
      </w:r>
      <w:r>
        <w:rPr>
          <w:rFonts w:cs="Arial" w:hint="cs"/>
          <w:sz w:val="16"/>
          <w:szCs w:val="16"/>
          <w:rtl/>
        </w:rPr>
        <w:t>,</w:t>
      </w:r>
      <w:r w:rsidRPr="009B01E6">
        <w:rPr>
          <w:rFonts w:cs="Arial"/>
          <w:sz w:val="16"/>
          <w:szCs w:val="16"/>
          <w:rtl/>
        </w:rPr>
        <w:t xml:space="preserve"> וכדתנן בר</w:t>
      </w:r>
      <w:r>
        <w:rPr>
          <w:rFonts w:cs="Arial" w:hint="cs"/>
          <w:sz w:val="16"/>
          <w:szCs w:val="16"/>
          <w:rtl/>
        </w:rPr>
        <w:t>"</w:t>
      </w:r>
      <w:r w:rsidRPr="009B01E6">
        <w:rPr>
          <w:rFonts w:cs="Arial"/>
          <w:sz w:val="16"/>
          <w:szCs w:val="16"/>
          <w:rtl/>
        </w:rPr>
        <w:t>פ החובל (ב"ק פג:)</w:t>
      </w:r>
      <w:r>
        <w:rPr>
          <w:rFonts w:cs="Arial" w:hint="cs"/>
          <w:sz w:val="16"/>
          <w:szCs w:val="16"/>
          <w:rtl/>
        </w:rPr>
        <w:t>,</w:t>
      </w:r>
      <w:r w:rsidRPr="009B01E6">
        <w:rPr>
          <w:rFonts w:cs="Arial"/>
          <w:sz w:val="16"/>
          <w:szCs w:val="16"/>
          <w:rtl/>
        </w:rPr>
        <w:t xml:space="preserve"> משמע הא שאר דברים שאינן נישומים כעבד נגבין בבבל</w:t>
      </w:r>
      <w:r w:rsidRPr="009B01E6">
        <w:rPr>
          <w:rFonts w:cs="Arial" w:hint="cs"/>
          <w:sz w:val="16"/>
          <w:szCs w:val="16"/>
          <w:rtl/>
        </w:rPr>
        <w:t>,</w:t>
      </w:r>
      <w:r w:rsidRPr="009B01E6">
        <w:rPr>
          <w:rFonts w:cs="Arial"/>
          <w:sz w:val="16"/>
          <w:szCs w:val="16"/>
          <w:rtl/>
        </w:rPr>
        <w:t xml:space="preserve"> דאל</w:t>
      </w:r>
      <w:r w:rsidRPr="009B01E6">
        <w:rPr>
          <w:rFonts w:cs="Arial" w:hint="cs"/>
          <w:sz w:val="16"/>
          <w:szCs w:val="16"/>
          <w:rtl/>
        </w:rPr>
        <w:t>"</w:t>
      </w:r>
      <w:r w:rsidRPr="009B01E6">
        <w:rPr>
          <w:rFonts w:cs="Arial"/>
          <w:sz w:val="16"/>
          <w:szCs w:val="16"/>
          <w:rtl/>
        </w:rPr>
        <w:t>כ הוה ליה למסתם סתומי ולמימר אדם שחבל באדם אין גובין אותו בבבל</w:t>
      </w:r>
      <w:r>
        <w:rPr>
          <w:rFonts w:cs="Arial" w:hint="cs"/>
          <w:sz w:val="16"/>
          <w:szCs w:val="16"/>
          <w:rtl/>
        </w:rPr>
        <w:t>,</w:t>
      </w:r>
      <w:r w:rsidRPr="009B01E6">
        <w:rPr>
          <w:rFonts w:cs="Arial"/>
          <w:sz w:val="16"/>
          <w:szCs w:val="16"/>
          <w:rtl/>
        </w:rPr>
        <w:t xml:space="preserve"> ומ</w:t>
      </w:r>
      <w:r w:rsidRPr="009B01E6">
        <w:rPr>
          <w:rFonts w:cs="Arial" w:hint="cs"/>
          <w:sz w:val="16"/>
          <w:szCs w:val="16"/>
          <w:rtl/>
        </w:rPr>
        <w:t>"</w:t>
      </w:r>
      <w:r w:rsidRPr="009B01E6">
        <w:rPr>
          <w:rFonts w:cs="Arial"/>
          <w:sz w:val="16"/>
          <w:szCs w:val="16"/>
          <w:rtl/>
        </w:rPr>
        <w:t>מ צער ובשת אינם נגבין בבבל משום דלית בהו חסרון כיס</w:t>
      </w:r>
      <w:r>
        <w:rPr>
          <w:rFonts w:cs="Arial" w:hint="cs"/>
          <w:sz w:val="16"/>
          <w:szCs w:val="16"/>
          <w:rtl/>
        </w:rPr>
        <w:t>,</w:t>
      </w:r>
      <w:r w:rsidRPr="009B01E6">
        <w:rPr>
          <w:rFonts w:cs="Arial"/>
          <w:sz w:val="16"/>
          <w:szCs w:val="16"/>
          <w:rtl/>
        </w:rPr>
        <w:t xml:space="preserve"> ומפני כך כשכתב דברים שאינם מצויין אע</w:t>
      </w:r>
      <w:r w:rsidRPr="009B01E6">
        <w:rPr>
          <w:rFonts w:cs="Arial" w:hint="cs"/>
          <w:sz w:val="16"/>
          <w:szCs w:val="16"/>
          <w:rtl/>
        </w:rPr>
        <w:t>"</w:t>
      </w:r>
      <w:r w:rsidRPr="009B01E6">
        <w:rPr>
          <w:rFonts w:cs="Arial"/>
          <w:sz w:val="16"/>
          <w:szCs w:val="16"/>
          <w:rtl/>
        </w:rPr>
        <w:t>פ שיש בהם חסרון כיס אין דנין דייני חוצה לארץ לא רצה לכתוב כגון אדם שחבל באדם דא</w:t>
      </w:r>
      <w:r w:rsidRPr="009B01E6">
        <w:rPr>
          <w:rFonts w:cs="Arial" w:hint="cs"/>
          <w:sz w:val="16"/>
          <w:szCs w:val="16"/>
          <w:rtl/>
        </w:rPr>
        <w:t>"</w:t>
      </w:r>
      <w:r w:rsidRPr="009B01E6">
        <w:rPr>
          <w:rFonts w:cs="Arial"/>
          <w:sz w:val="16"/>
          <w:szCs w:val="16"/>
          <w:rtl/>
        </w:rPr>
        <w:t xml:space="preserve">כ הוה משמע דאף שבת ורפוי אינן נגבין בבבל וכתב </w:t>
      </w:r>
      <w:r>
        <w:rPr>
          <w:rFonts w:cs="Arial" w:hint="cs"/>
          <w:sz w:val="16"/>
          <w:szCs w:val="16"/>
          <w:rtl/>
        </w:rPr>
        <w:t>'</w:t>
      </w:r>
      <w:r w:rsidRPr="009B01E6">
        <w:rPr>
          <w:rFonts w:cs="Arial"/>
          <w:sz w:val="16"/>
          <w:szCs w:val="16"/>
          <w:rtl/>
        </w:rPr>
        <w:t>כגון בהמה שחבלה בחברתה</w:t>
      </w:r>
      <w:r>
        <w:rPr>
          <w:rFonts w:cs="Arial" w:hint="cs"/>
          <w:sz w:val="16"/>
          <w:szCs w:val="16"/>
          <w:rtl/>
        </w:rPr>
        <w:t>'</w:t>
      </w:r>
      <w:r w:rsidRPr="009B01E6">
        <w:rPr>
          <w:rFonts w:cs="Arial"/>
          <w:sz w:val="16"/>
          <w:szCs w:val="16"/>
          <w:rtl/>
        </w:rPr>
        <w:t xml:space="preserve"> ואח"כ כתב משפט אדם שחבל באדם וחילק בין נזק וצער ובשת לשבת ורפוי</w:t>
      </w:r>
      <w:r>
        <w:rPr>
          <w:rFonts w:cs="Arial" w:hint="cs"/>
          <w:sz w:val="16"/>
          <w:szCs w:val="16"/>
          <w:rtl/>
        </w:rPr>
        <w:t>)</w:t>
      </w:r>
      <w:r>
        <w:rPr>
          <w:rFonts w:hint="cs"/>
          <w:rtl/>
        </w:rPr>
        <w:t>, ב"י.</w:t>
      </w:r>
    </w:p>
  </w:footnote>
  <w:footnote w:id="35">
    <w:p w14:paraId="57642411" w14:textId="77777777" w:rsidR="0013116F" w:rsidRDefault="0013116F" w:rsidP="004A326E">
      <w:pPr>
        <w:pStyle w:val="a9"/>
      </w:pPr>
      <w:r>
        <w:rPr>
          <w:rStyle w:val="ab"/>
        </w:rPr>
        <w:footnoteRef/>
      </w:r>
      <w:r>
        <w:rPr>
          <w:rtl/>
        </w:rPr>
        <w:t xml:space="preserve"> </w:t>
      </w:r>
      <w:r>
        <w:rPr>
          <w:rFonts w:cs="Arial"/>
          <w:rtl/>
        </w:rPr>
        <w:t>כן משמע מדסתם וכתב (שם סי' ב) אדם באדם אע</w:t>
      </w:r>
      <w:r>
        <w:rPr>
          <w:rFonts w:cs="Arial" w:hint="cs"/>
          <w:rtl/>
        </w:rPr>
        <w:t>"</w:t>
      </w:r>
      <w:r>
        <w:rPr>
          <w:rFonts w:cs="Arial"/>
          <w:rtl/>
        </w:rPr>
        <w:t>ג דאית ביה חסרון כיס לא עבדינן שליחותייהו</w:t>
      </w:r>
      <w:r>
        <w:rPr>
          <w:rFonts w:cs="Arial" w:hint="cs"/>
          <w:rtl/>
        </w:rPr>
        <w:t>,</w:t>
      </w:r>
      <w:r>
        <w:rPr>
          <w:rFonts w:cs="Arial"/>
          <w:rtl/>
        </w:rPr>
        <w:t xml:space="preserve"> דאל</w:t>
      </w:r>
      <w:r>
        <w:rPr>
          <w:rFonts w:cs="Arial" w:hint="cs"/>
          <w:rtl/>
        </w:rPr>
        <w:t>"</w:t>
      </w:r>
      <w:r>
        <w:rPr>
          <w:rFonts w:cs="Arial"/>
          <w:rtl/>
        </w:rPr>
        <w:t>כ לא שתיק מלפרושי</w:t>
      </w:r>
      <w:r>
        <w:rPr>
          <w:rFonts w:cs="Arial" w:hint="cs"/>
          <w:rtl/>
        </w:rPr>
        <w:t>,</w:t>
      </w:r>
      <w:r>
        <w:rPr>
          <w:rFonts w:cs="Arial"/>
          <w:rtl/>
        </w:rPr>
        <w:t xml:space="preserve"> וכן נראה שהוא דעת הרי"ף (ל:)</w:t>
      </w:r>
      <w:r>
        <w:rPr>
          <w:rFonts w:cs="Arial" w:hint="cs"/>
          <w:rtl/>
        </w:rPr>
        <w:t>,</w:t>
      </w:r>
      <w:r>
        <w:rPr>
          <w:rFonts w:cs="Arial"/>
          <w:rtl/>
        </w:rPr>
        <w:t xml:space="preserve"> וההיא דכל הנישום כעבד אין מגבין אותו בבבל יפרשו דהיינו לומר דכל שצריך שומא אין מגבין בבבל וכדפירש רש"י</w:t>
      </w:r>
      <w:r>
        <w:rPr>
          <w:rFonts w:cs="Arial" w:hint="cs"/>
          <w:rtl/>
        </w:rPr>
        <w:t>,</w:t>
      </w:r>
      <w:r>
        <w:rPr>
          <w:rFonts w:cs="Arial"/>
          <w:rtl/>
        </w:rPr>
        <w:t xml:space="preserve"> ואם כן אף שבת ורפוי בכלל</w:t>
      </w:r>
      <w:r>
        <w:rPr>
          <w:rFonts w:cs="Arial" w:hint="cs"/>
          <w:rtl/>
        </w:rPr>
        <w:t>, ב"י</w:t>
      </w:r>
      <w:r>
        <w:rPr>
          <w:rFonts w:cs="Arial"/>
          <w:rtl/>
        </w:rPr>
        <w:t>.</w:t>
      </w:r>
    </w:p>
  </w:footnote>
  <w:footnote w:id="36">
    <w:p w14:paraId="37C871A0" w14:textId="77777777" w:rsidR="0013116F" w:rsidRDefault="0013116F" w:rsidP="004A326E">
      <w:pPr>
        <w:pStyle w:val="a9"/>
        <w:rPr>
          <w:rtl/>
        </w:rPr>
      </w:pPr>
      <w:r>
        <w:rPr>
          <w:rStyle w:val="ab"/>
        </w:rPr>
        <w:footnoteRef/>
      </w:r>
      <w:r>
        <w:rPr>
          <w:rtl/>
        </w:rPr>
        <w:t xml:space="preserve"> </w:t>
      </w:r>
      <w:r w:rsidRPr="008E1C13">
        <w:rPr>
          <w:rFonts w:cs="Arial"/>
          <w:rtl/>
        </w:rPr>
        <w:t>וכ</w:t>
      </w:r>
      <w:r>
        <w:rPr>
          <w:rFonts w:cs="Arial" w:hint="cs"/>
          <w:rtl/>
        </w:rPr>
        <w:t>"פ</w:t>
      </w:r>
      <w:r w:rsidRPr="008E1C13">
        <w:rPr>
          <w:rFonts w:cs="Arial"/>
          <w:rtl/>
        </w:rPr>
        <w:t xml:space="preserve"> מהרא"י </w:t>
      </w:r>
      <w:r w:rsidRPr="00F36FDA">
        <w:rPr>
          <w:rFonts w:cs="Arial"/>
          <w:sz w:val="16"/>
          <w:szCs w:val="16"/>
          <w:rtl/>
        </w:rPr>
        <w:t>(תרוה</w:t>
      </w:r>
      <w:r w:rsidRPr="00F36FDA">
        <w:rPr>
          <w:rFonts w:cs="Arial" w:hint="cs"/>
          <w:sz w:val="16"/>
          <w:szCs w:val="16"/>
          <w:rtl/>
        </w:rPr>
        <w:t>"</w:t>
      </w:r>
      <w:r w:rsidRPr="00F36FDA">
        <w:rPr>
          <w:rFonts w:cs="Arial"/>
          <w:sz w:val="16"/>
          <w:szCs w:val="16"/>
          <w:rtl/>
        </w:rPr>
        <w:t>ד ח"ב</w:t>
      </w:r>
      <w:r>
        <w:rPr>
          <w:rFonts w:cs="Arial" w:hint="cs"/>
          <w:sz w:val="16"/>
          <w:szCs w:val="16"/>
          <w:rtl/>
        </w:rPr>
        <w:t xml:space="preserve"> סי' רח</w:t>
      </w:r>
      <w:r w:rsidRPr="00F36FDA">
        <w:rPr>
          <w:rFonts w:cs="Arial"/>
          <w:sz w:val="16"/>
          <w:szCs w:val="16"/>
          <w:rtl/>
        </w:rPr>
        <w:t>)</w:t>
      </w:r>
      <w:r w:rsidRPr="008E1C13">
        <w:rPr>
          <w:rFonts w:cs="Arial"/>
          <w:rtl/>
        </w:rPr>
        <w:t xml:space="preserve"> דגובין ריפוי ושבת וקונסין אותו וכו'. ולא ראיתי מימי לגבות שבת רק מחייבים אותו לרפאותו וקונסין החובל כפי ראות עיני הדיינים. ועי</w:t>
      </w:r>
      <w:r>
        <w:rPr>
          <w:rFonts w:cs="Arial" w:hint="cs"/>
          <w:rtl/>
        </w:rPr>
        <w:t>'</w:t>
      </w:r>
      <w:r w:rsidRPr="008E1C13">
        <w:rPr>
          <w:rFonts w:cs="Arial"/>
          <w:rtl/>
        </w:rPr>
        <w:t xml:space="preserve"> לקמן ס</w:t>
      </w:r>
      <w:r>
        <w:rPr>
          <w:rFonts w:cs="Arial" w:hint="cs"/>
          <w:rtl/>
        </w:rPr>
        <w:t>"</w:t>
      </w:r>
      <w:r w:rsidRPr="008E1C13">
        <w:rPr>
          <w:rFonts w:cs="Arial"/>
          <w:rtl/>
        </w:rPr>
        <w:t xml:space="preserve">ס צ </w:t>
      </w:r>
      <w:r w:rsidRPr="00F36FDA">
        <w:rPr>
          <w:rFonts w:cs="Arial"/>
          <w:sz w:val="16"/>
          <w:szCs w:val="16"/>
          <w:rtl/>
        </w:rPr>
        <w:t xml:space="preserve">(סכ"ה) </w:t>
      </w:r>
      <w:r w:rsidRPr="008E1C13">
        <w:rPr>
          <w:rFonts w:cs="Arial"/>
          <w:rtl/>
        </w:rPr>
        <w:t>אם חמשה דברים של חובל הם ממון או קנס</w:t>
      </w:r>
      <w:r>
        <w:rPr>
          <w:rFonts w:cs="Arial" w:hint="cs"/>
          <w:rtl/>
        </w:rPr>
        <w:t>, דרכ"מ</w:t>
      </w:r>
      <w:r w:rsidRPr="00F36FDA">
        <w:rPr>
          <w:rFonts w:cs="Arial" w:hint="cs"/>
          <w:sz w:val="16"/>
          <w:szCs w:val="16"/>
          <w:rtl/>
        </w:rPr>
        <w:t xml:space="preserve"> (אות ב)</w:t>
      </w:r>
      <w:r>
        <w:rPr>
          <w:rFonts w:cs="Arial" w:hint="cs"/>
          <w:rtl/>
        </w:rPr>
        <w:t>.</w:t>
      </w:r>
    </w:p>
  </w:footnote>
  <w:footnote w:id="37">
    <w:p w14:paraId="1FBBCB9D" w14:textId="77777777" w:rsidR="0013116F" w:rsidRDefault="0013116F" w:rsidP="004A326E">
      <w:pPr>
        <w:pStyle w:val="a9"/>
      </w:pPr>
      <w:r>
        <w:rPr>
          <w:rStyle w:val="ab"/>
        </w:rPr>
        <w:footnoteRef/>
      </w:r>
      <w:r>
        <w:rPr>
          <w:rtl/>
        </w:rPr>
        <w:t xml:space="preserve"> </w:t>
      </w:r>
      <w:r w:rsidRPr="00A662EC">
        <w:rPr>
          <w:rFonts w:cs="Arial"/>
          <w:rtl/>
        </w:rPr>
        <w:t xml:space="preserve">הרמב"ם </w:t>
      </w:r>
      <w:r w:rsidRPr="00E00D0D">
        <w:rPr>
          <w:rFonts w:cs="Arial"/>
          <w:sz w:val="16"/>
          <w:szCs w:val="16"/>
          <w:rtl/>
        </w:rPr>
        <w:t xml:space="preserve">[פ"ה מסנהדרין ה"י] </w:t>
      </w:r>
      <w:r w:rsidRPr="00A662EC">
        <w:rPr>
          <w:rFonts w:cs="Arial"/>
          <w:rtl/>
        </w:rPr>
        <w:t>והטור</w:t>
      </w:r>
      <w:r w:rsidRPr="00E00D0D">
        <w:rPr>
          <w:rFonts w:cs="Arial"/>
          <w:sz w:val="16"/>
          <w:szCs w:val="16"/>
          <w:rtl/>
        </w:rPr>
        <w:t xml:space="preserve"> [סע</w:t>
      </w:r>
      <w:r w:rsidRPr="00E00D0D">
        <w:rPr>
          <w:rFonts w:cs="Arial" w:hint="cs"/>
          <w:sz w:val="16"/>
          <w:szCs w:val="16"/>
          <w:rtl/>
        </w:rPr>
        <w:t>'</w:t>
      </w:r>
      <w:r w:rsidRPr="00E00D0D">
        <w:rPr>
          <w:rFonts w:cs="Arial"/>
          <w:sz w:val="16"/>
          <w:szCs w:val="16"/>
          <w:rtl/>
        </w:rPr>
        <w:t xml:space="preserve"> ד] </w:t>
      </w:r>
      <w:r w:rsidRPr="00A662EC">
        <w:rPr>
          <w:rFonts w:cs="Arial"/>
          <w:rtl/>
        </w:rPr>
        <w:t>לא כללום בהאי כללא, כי כופר לא שייך בסתם חבלה, כי אם נזק צער ובושת, ופגם לא נזכר בגמ' ובפוסקים בחבלה כי אם במקום שלא נזכר נזק. וכאן דכבר כתב המחבר נזק, צריכין לפרש דמה שכתב ופגם דקאי אאונס ומפתה, והוא במקום נזק שלה, וכמ"ש רש"י בר</w:t>
      </w:r>
      <w:r>
        <w:rPr>
          <w:rFonts w:cs="Arial" w:hint="cs"/>
          <w:rtl/>
        </w:rPr>
        <w:t>"</w:t>
      </w:r>
      <w:r w:rsidRPr="00A662EC">
        <w:rPr>
          <w:rFonts w:cs="Arial"/>
          <w:rtl/>
        </w:rPr>
        <w:t>פ החובל</w:t>
      </w:r>
      <w:r w:rsidRPr="00E00D0D">
        <w:rPr>
          <w:rFonts w:cs="Arial"/>
          <w:sz w:val="16"/>
          <w:szCs w:val="16"/>
          <w:rtl/>
        </w:rPr>
        <w:t xml:space="preserve"> </w:t>
      </w:r>
      <w:r w:rsidRPr="00E00D0D">
        <w:rPr>
          <w:rFonts w:cs="Arial" w:hint="cs"/>
          <w:sz w:val="16"/>
          <w:szCs w:val="16"/>
          <w:rtl/>
        </w:rPr>
        <w:t>(</w:t>
      </w:r>
      <w:r w:rsidRPr="00E00D0D">
        <w:rPr>
          <w:rFonts w:cs="Arial"/>
          <w:sz w:val="16"/>
          <w:szCs w:val="16"/>
          <w:rtl/>
        </w:rPr>
        <w:t>פד</w:t>
      </w:r>
      <w:r w:rsidRPr="00E00D0D">
        <w:rPr>
          <w:rFonts w:cs="Arial" w:hint="cs"/>
          <w:sz w:val="16"/>
          <w:szCs w:val="16"/>
          <w:rtl/>
        </w:rPr>
        <w:t>:</w:t>
      </w:r>
      <w:r w:rsidRPr="00E00D0D">
        <w:rPr>
          <w:rFonts w:cs="Arial"/>
          <w:sz w:val="16"/>
          <w:szCs w:val="16"/>
          <w:rtl/>
        </w:rPr>
        <w:t xml:space="preserve"> ד"ה ופגם</w:t>
      </w:r>
      <w:r w:rsidRPr="00E00D0D">
        <w:rPr>
          <w:rFonts w:cs="Arial" w:hint="cs"/>
          <w:sz w:val="16"/>
          <w:szCs w:val="16"/>
          <w:rtl/>
        </w:rPr>
        <w:t>)</w:t>
      </w:r>
      <w:r w:rsidRPr="00A662EC">
        <w:rPr>
          <w:rFonts w:cs="Arial"/>
          <w:rtl/>
        </w:rPr>
        <w:t>, וכופר שייך בשור שהמית אדם, והמחבר קיצר וכללינהו יחד.</w:t>
      </w:r>
      <w:r>
        <w:rPr>
          <w:rFonts w:cs="Arial" w:hint="cs"/>
          <w:rtl/>
        </w:rPr>
        <w:t>..</w:t>
      </w:r>
      <w:r w:rsidRPr="00A662EC">
        <w:rPr>
          <w:rFonts w:cs="Arial"/>
          <w:rtl/>
        </w:rPr>
        <w:t xml:space="preserve"> והא דאין גובין פגם אע</w:t>
      </w:r>
      <w:r>
        <w:rPr>
          <w:rFonts w:cs="Arial" w:hint="cs"/>
          <w:rtl/>
        </w:rPr>
        <w:t>"</w:t>
      </w:r>
      <w:r w:rsidRPr="00A662EC">
        <w:rPr>
          <w:rFonts w:cs="Arial"/>
          <w:rtl/>
        </w:rPr>
        <w:t>ג דבר</w:t>
      </w:r>
      <w:r>
        <w:rPr>
          <w:rFonts w:cs="Arial" w:hint="cs"/>
          <w:rtl/>
        </w:rPr>
        <w:t>"</w:t>
      </w:r>
      <w:r w:rsidRPr="00A662EC">
        <w:rPr>
          <w:rFonts w:cs="Arial"/>
          <w:rtl/>
        </w:rPr>
        <w:t xml:space="preserve">פ החובל [שם] אמרינן עליה דשכיח הוא וגם יש בו חסרון כיס, ה"ט, דהגמרא לא קאמר דשכיח הוא אלא השומא מה יש בין בתולה לבעולה, דהכל בקיאין בדבר נשואין, ואינו בכלל אמרם </w:t>
      </w:r>
      <w:r>
        <w:rPr>
          <w:rFonts w:cs="Arial" w:hint="cs"/>
          <w:rtl/>
        </w:rPr>
        <w:t>(פד.)</w:t>
      </w:r>
      <w:r w:rsidRPr="00A662EC">
        <w:rPr>
          <w:rFonts w:cs="Arial"/>
          <w:rtl/>
        </w:rPr>
        <w:t xml:space="preserve"> כל הנישום כעבד כו', אבל המעשה מצד עצמו לאנס או לפתות הבתולות, זהו לא שכיח, לא עבדינן שליחותייהו</w:t>
      </w:r>
      <w:r>
        <w:rPr>
          <w:rFonts w:cs="Arial" w:hint="cs"/>
          <w:rtl/>
        </w:rPr>
        <w:t>, סמ"ע (סק"י).</w:t>
      </w:r>
    </w:p>
  </w:footnote>
  <w:footnote w:id="38">
    <w:p w14:paraId="027EFA44" w14:textId="77777777" w:rsidR="0013116F" w:rsidRDefault="0013116F" w:rsidP="004A326E">
      <w:pPr>
        <w:pStyle w:val="a9"/>
        <w:rPr>
          <w:rtl/>
        </w:rPr>
      </w:pPr>
      <w:r>
        <w:rPr>
          <w:rStyle w:val="ab"/>
        </w:rPr>
        <w:footnoteRef/>
      </w:r>
      <w:r>
        <w:rPr>
          <w:rtl/>
        </w:rPr>
        <w:t xml:space="preserve"> </w:t>
      </w:r>
      <w:r w:rsidRPr="00A662EC">
        <w:rPr>
          <w:rFonts w:cs="Arial"/>
          <w:rtl/>
        </w:rPr>
        <w:t>פירוש, מכל חבלה מגבין אותן, אפילו מקטיעת ידו דאינו שכיח, מ"מ כיון דשבת וריפוי הן שייכים ג"כ בשאר מכות ופצעים השכיחים, ס"ל להרמב"ם [שם] דאין לחלק בין מכה למכה וגובין מכולן</w:t>
      </w:r>
      <w:r>
        <w:rPr>
          <w:rFonts w:cs="Arial" w:hint="cs"/>
          <w:rtl/>
        </w:rPr>
        <w:t>..</w:t>
      </w:r>
      <w:r w:rsidRPr="00A662EC">
        <w:rPr>
          <w:rFonts w:cs="Arial"/>
          <w:rtl/>
        </w:rPr>
        <w:t>.</w:t>
      </w:r>
      <w:r>
        <w:rPr>
          <w:rFonts w:cs="Arial" w:hint="cs"/>
          <w:rtl/>
        </w:rPr>
        <w:t>, סמ"ע (סקי"א).</w:t>
      </w:r>
    </w:p>
  </w:footnote>
  <w:footnote w:id="39">
    <w:p w14:paraId="5C53A6F8" w14:textId="77777777" w:rsidR="0013116F" w:rsidRDefault="0013116F" w:rsidP="004A326E">
      <w:pPr>
        <w:pStyle w:val="a9"/>
      </w:pPr>
      <w:r>
        <w:rPr>
          <w:rStyle w:val="ab"/>
        </w:rPr>
        <w:footnoteRef/>
      </w:r>
      <w:r>
        <w:rPr>
          <w:rtl/>
        </w:rPr>
        <w:t xml:space="preserve"> </w:t>
      </w:r>
      <w:r w:rsidRPr="00A662EC">
        <w:rPr>
          <w:rFonts w:cs="Arial"/>
          <w:rtl/>
        </w:rPr>
        <w:t>בד"מ סעיף ד' כתב כן אפסקי מהרא"י שהביא שם, שכתב בסי' ר"ח שגובין ריפוי ושבת וקונסין אותו וכו', ומשמעות לשונו היא שם דאפילו בזמן הזה עבדינן הכי, ועל זה כתב מור"ם שם ז"ל</w:t>
      </w:r>
      <w:r>
        <w:rPr>
          <w:rFonts w:cs="Arial" w:hint="cs"/>
          <w:rtl/>
        </w:rPr>
        <w:t>-</w:t>
      </w:r>
      <w:r w:rsidRPr="00A662EC">
        <w:rPr>
          <w:rFonts w:cs="Arial"/>
          <w:rtl/>
        </w:rPr>
        <w:t xml:space="preserve"> לא ראיתי נוהגין לגבות שבת רק מחייבין אותו לרפאותו ולקנוס החובל כפי הנראה לדיינים, ע"ש. וכאן בהג"ה לא הזכיר שמחייבין לרפאותו וכלל דמי הרפואה בדמי הפיוס. ומ"ש ולא ראיתי נוהגין כן, נראה דקאי אמ"ש המחבר לגבות שבת וריפוי, על זה כתב די"א כו', ושגם הוא לא ראה לדקדק לכופו לשלם שבת וריפוי על פי השומא רק לכופו לפייסו</w:t>
      </w:r>
      <w:r>
        <w:rPr>
          <w:rFonts w:cs="Arial" w:hint="cs"/>
          <w:rtl/>
        </w:rPr>
        <w:t>, סמ"ע (סקי"ב).</w:t>
      </w:r>
    </w:p>
  </w:footnote>
  <w:footnote w:id="40">
    <w:p w14:paraId="10394EA4" w14:textId="77777777" w:rsidR="0013116F" w:rsidRDefault="0013116F" w:rsidP="000009A7">
      <w:pPr>
        <w:pStyle w:val="a9"/>
      </w:pPr>
      <w:r>
        <w:rPr>
          <w:rStyle w:val="ab"/>
        </w:rPr>
        <w:footnoteRef/>
      </w:r>
      <w:r>
        <w:rPr>
          <w:rtl/>
        </w:rPr>
        <w:t xml:space="preserve"> </w:t>
      </w:r>
      <w:r>
        <w:rPr>
          <w:rFonts w:hint="cs"/>
          <w:rtl/>
        </w:rPr>
        <w:t xml:space="preserve">סימן </w:t>
      </w:r>
      <w:r>
        <w:rPr>
          <w:rtl/>
        </w:rPr>
        <w:t>–</w:t>
      </w:r>
      <w:r>
        <w:rPr>
          <w:rFonts w:hint="cs"/>
          <w:rtl/>
        </w:rPr>
        <w:t xml:space="preserve"> פחת </w:t>
      </w:r>
      <w:r>
        <w:rPr>
          <w:rFonts w:hint="cs"/>
          <w:sz w:val="16"/>
          <w:szCs w:val="16"/>
          <w:rtl/>
        </w:rPr>
        <w:t xml:space="preserve">(חסרון כיס) </w:t>
      </w:r>
      <w:r>
        <w:rPr>
          <w:rFonts w:hint="cs"/>
          <w:rtl/>
        </w:rPr>
        <w:t>דש</w:t>
      </w:r>
      <w:r>
        <w:rPr>
          <w:rFonts w:hint="cs"/>
          <w:sz w:val="16"/>
          <w:szCs w:val="16"/>
          <w:rtl/>
        </w:rPr>
        <w:t xml:space="preserve"> (שכיח)</w:t>
      </w:r>
      <w:r>
        <w:rPr>
          <w:rFonts w:hint="cs"/>
          <w:rtl/>
        </w:rPr>
        <w:t>.</w:t>
      </w:r>
    </w:p>
  </w:footnote>
  <w:footnote w:id="41">
    <w:p w14:paraId="018AAC32" w14:textId="77777777" w:rsidR="0013116F" w:rsidRDefault="0013116F" w:rsidP="004A326E">
      <w:pPr>
        <w:pStyle w:val="a9"/>
        <w:rPr>
          <w:rtl/>
        </w:rPr>
      </w:pPr>
      <w:r>
        <w:rPr>
          <w:rStyle w:val="ab"/>
        </w:rPr>
        <w:footnoteRef/>
      </w:r>
      <w:r>
        <w:rPr>
          <w:rtl/>
        </w:rPr>
        <w:t xml:space="preserve"> </w:t>
      </w:r>
      <w:r>
        <w:rPr>
          <w:rFonts w:cs="Arial"/>
          <w:rtl/>
        </w:rPr>
        <w:t>נזקי שור שבאו לו על ידי השור</w:t>
      </w:r>
      <w:r>
        <w:rPr>
          <w:rFonts w:hint="cs"/>
          <w:rtl/>
        </w:rPr>
        <w:t>, רש"י.</w:t>
      </w:r>
    </w:p>
  </w:footnote>
  <w:footnote w:id="42">
    <w:p w14:paraId="3FFC99A2" w14:textId="77777777" w:rsidR="0013116F" w:rsidRDefault="0013116F" w:rsidP="004A326E">
      <w:pPr>
        <w:pStyle w:val="a9"/>
      </w:pPr>
      <w:r>
        <w:rPr>
          <w:rStyle w:val="ab"/>
        </w:rPr>
        <w:footnoteRef/>
      </w:r>
      <w:r>
        <w:rPr>
          <w:rtl/>
        </w:rPr>
        <w:t xml:space="preserve"> </w:t>
      </w:r>
      <w:r>
        <w:rPr>
          <w:rFonts w:cs="Arial"/>
          <w:rtl/>
        </w:rPr>
        <w:t>נזקים שבאו לשור על ידי אדם</w:t>
      </w:r>
      <w:r>
        <w:rPr>
          <w:rFonts w:hint="cs"/>
          <w:rtl/>
        </w:rPr>
        <w:t>, רש"י.</w:t>
      </w:r>
    </w:p>
  </w:footnote>
  <w:footnote w:id="43">
    <w:p w14:paraId="589EC0C8" w14:textId="77777777" w:rsidR="0013116F" w:rsidRDefault="0013116F" w:rsidP="004A326E">
      <w:pPr>
        <w:pStyle w:val="a9"/>
      </w:pPr>
      <w:r>
        <w:rPr>
          <w:rStyle w:val="ab"/>
        </w:rPr>
        <w:footnoteRef/>
      </w:r>
      <w:r>
        <w:rPr>
          <w:rtl/>
        </w:rPr>
        <w:t xml:space="preserve"> </w:t>
      </w:r>
      <w:r>
        <w:rPr>
          <w:rFonts w:cs="Arial"/>
          <w:rtl/>
        </w:rPr>
        <w:t>אדם שהוזק על ידי שור דבעי למשיימיה כעבדא</w:t>
      </w:r>
      <w:r>
        <w:rPr>
          <w:rFonts w:hint="cs"/>
          <w:rtl/>
        </w:rPr>
        <w:t>, רש"י.</w:t>
      </w:r>
    </w:p>
  </w:footnote>
  <w:footnote w:id="44">
    <w:p w14:paraId="5D56914C" w14:textId="77777777" w:rsidR="0013116F" w:rsidRDefault="0013116F" w:rsidP="004A326E">
      <w:pPr>
        <w:pStyle w:val="a9"/>
        <w:rPr>
          <w:rtl/>
        </w:rPr>
      </w:pPr>
      <w:r>
        <w:rPr>
          <w:rStyle w:val="ab"/>
        </w:rPr>
        <w:footnoteRef/>
      </w:r>
      <w:r>
        <w:rPr>
          <w:rtl/>
        </w:rPr>
        <w:t xml:space="preserve"> </w:t>
      </w:r>
      <w:r>
        <w:rPr>
          <w:rFonts w:cs="Arial"/>
          <w:rtl/>
        </w:rPr>
        <w:t>אין גובין דקיימא לן (ב"ק טו:) פלגא נזקא קנסא</w:t>
      </w:r>
      <w:r>
        <w:rPr>
          <w:rFonts w:hint="cs"/>
          <w:rtl/>
        </w:rPr>
        <w:t>, רש"י.</w:t>
      </w:r>
    </w:p>
  </w:footnote>
  <w:footnote w:id="45">
    <w:p w14:paraId="5D10E5E0" w14:textId="77777777" w:rsidR="0013116F" w:rsidRDefault="0013116F" w:rsidP="004A326E">
      <w:pPr>
        <w:pStyle w:val="a9"/>
      </w:pPr>
      <w:r>
        <w:rPr>
          <w:rStyle w:val="ab"/>
        </w:rPr>
        <w:footnoteRef/>
      </w:r>
      <w:r>
        <w:rPr>
          <w:rtl/>
        </w:rPr>
        <w:t xml:space="preserve"> </w:t>
      </w:r>
      <w:r>
        <w:rPr>
          <w:rFonts w:cs="Arial"/>
          <w:rtl/>
        </w:rPr>
        <w:t>דכיון דמנגיחות דתמות לא מייתינן ליה לבי דינא היכי מייעד ליה</w:t>
      </w:r>
      <w:r>
        <w:rPr>
          <w:rFonts w:hint="cs"/>
          <w:rtl/>
        </w:rPr>
        <w:t>, רש"י.</w:t>
      </w:r>
    </w:p>
  </w:footnote>
  <w:footnote w:id="46">
    <w:p w14:paraId="6C4FB756" w14:textId="77777777" w:rsidR="0013116F" w:rsidRDefault="0013116F" w:rsidP="004A326E">
      <w:pPr>
        <w:pStyle w:val="a9"/>
      </w:pPr>
      <w:r>
        <w:rPr>
          <w:rStyle w:val="ab"/>
        </w:rPr>
        <w:footnoteRef/>
      </w:r>
      <w:r>
        <w:rPr>
          <w:rtl/>
        </w:rPr>
        <w:t xml:space="preserve"> </w:t>
      </w:r>
      <w:r>
        <w:rPr>
          <w:rFonts w:cs="Arial"/>
          <w:rtl/>
        </w:rPr>
        <w:t>לבא שור מועד מארץ ישראל לבבל</w:t>
      </w:r>
      <w:r>
        <w:rPr>
          <w:rFonts w:hint="cs"/>
          <w:rtl/>
        </w:rPr>
        <w:t>, רש"י.</w:t>
      </w:r>
    </w:p>
  </w:footnote>
  <w:footnote w:id="47">
    <w:p w14:paraId="49394CD6" w14:textId="77777777" w:rsidR="0013116F" w:rsidRDefault="0013116F" w:rsidP="004A326E">
      <w:pPr>
        <w:pStyle w:val="a9"/>
      </w:pPr>
      <w:r>
        <w:rPr>
          <w:rStyle w:val="ab"/>
        </w:rPr>
        <w:footnoteRef/>
      </w:r>
      <w:r>
        <w:rPr>
          <w:rtl/>
        </w:rPr>
        <w:t xml:space="preserve"> </w:t>
      </w:r>
      <w:r>
        <w:rPr>
          <w:rFonts w:cs="Arial"/>
          <w:rtl/>
        </w:rPr>
        <w:t>דשור בשור גובין בבבל</w:t>
      </w:r>
      <w:r>
        <w:rPr>
          <w:rFonts w:hint="cs"/>
          <w:rtl/>
        </w:rPr>
        <w:t>, רש"י.</w:t>
      </w:r>
    </w:p>
  </w:footnote>
  <w:footnote w:id="48">
    <w:p w14:paraId="36458B7A" w14:textId="77777777" w:rsidR="0013116F" w:rsidRDefault="0013116F" w:rsidP="004A326E">
      <w:pPr>
        <w:pStyle w:val="a9"/>
      </w:pPr>
      <w:r>
        <w:rPr>
          <w:rStyle w:val="ab"/>
        </w:rPr>
        <w:footnoteRef/>
      </w:r>
      <w:r>
        <w:rPr>
          <w:rtl/>
        </w:rPr>
        <w:t xml:space="preserve"> </w:t>
      </w:r>
      <w:r>
        <w:rPr>
          <w:rFonts w:hint="cs"/>
          <w:rtl/>
        </w:rPr>
        <w:t>קאמר,</w:t>
      </w:r>
      <w:r w:rsidRPr="007C231F">
        <w:rPr>
          <w:rFonts w:cs="Arial"/>
          <w:rtl/>
        </w:rPr>
        <w:t xml:space="preserve"> </w:t>
      </w:r>
      <w:r>
        <w:rPr>
          <w:rFonts w:cs="Arial"/>
          <w:rtl/>
        </w:rPr>
        <w:t>כגון שנתחכך בחבירו להנאתו והפילו על שור אחר דהיינו תולדה דשן או שהזיק את שור חבירו בגופו דרך הילוכו שדחפו ולא כוון דהוי תולדה דרגל</w:t>
      </w:r>
      <w:r>
        <w:rPr>
          <w:rFonts w:hint="cs"/>
          <w:rtl/>
        </w:rPr>
        <w:t>, רש"י.</w:t>
      </w:r>
    </w:p>
  </w:footnote>
  <w:footnote w:id="49">
    <w:p w14:paraId="2504AA14" w14:textId="77777777" w:rsidR="0013116F" w:rsidRDefault="0013116F" w:rsidP="004A326E">
      <w:pPr>
        <w:pStyle w:val="a9"/>
      </w:pPr>
      <w:r>
        <w:rPr>
          <w:rStyle w:val="ab"/>
        </w:rPr>
        <w:footnoteRef/>
      </w:r>
      <w:r>
        <w:rPr>
          <w:rtl/>
        </w:rPr>
        <w:t xml:space="preserve"> </w:t>
      </w:r>
      <w:r>
        <w:rPr>
          <w:rFonts w:cs="Arial" w:hint="cs"/>
          <w:rtl/>
        </w:rPr>
        <w:t xml:space="preserve">תוס' </w:t>
      </w:r>
      <w:r w:rsidRPr="00D341BB">
        <w:rPr>
          <w:rFonts w:cs="Arial" w:hint="cs"/>
          <w:sz w:val="16"/>
          <w:szCs w:val="16"/>
          <w:rtl/>
        </w:rPr>
        <w:t xml:space="preserve">(ר"פ החובל </w:t>
      </w:r>
      <w:r w:rsidRPr="00D341BB">
        <w:rPr>
          <w:rFonts w:cs="Arial"/>
          <w:sz w:val="16"/>
          <w:szCs w:val="16"/>
          <w:rtl/>
        </w:rPr>
        <w:t>פד: ד"ה א"נ)</w:t>
      </w:r>
      <w:r w:rsidRPr="00D341BB">
        <w:rPr>
          <w:rFonts w:cs="Arial" w:hint="cs"/>
          <w:sz w:val="16"/>
          <w:szCs w:val="16"/>
          <w:rtl/>
        </w:rPr>
        <w:t xml:space="preserve"> </w:t>
      </w:r>
      <w:r>
        <w:rPr>
          <w:rFonts w:cs="Arial" w:hint="cs"/>
          <w:rtl/>
        </w:rPr>
        <w:t xml:space="preserve">רמב"ם </w:t>
      </w:r>
      <w:r>
        <w:rPr>
          <w:rFonts w:cs="Arial" w:hint="cs"/>
          <w:sz w:val="16"/>
          <w:szCs w:val="16"/>
          <w:rtl/>
        </w:rPr>
        <w:t xml:space="preserve">(הל' סנהדרין פ"ה הי"ג) </w:t>
      </w:r>
      <w:r>
        <w:rPr>
          <w:rFonts w:cs="Arial" w:hint="cs"/>
          <w:rtl/>
        </w:rPr>
        <w:t xml:space="preserve">רא"ש </w:t>
      </w:r>
      <w:r w:rsidRPr="00D341BB">
        <w:rPr>
          <w:rFonts w:cs="Arial" w:hint="cs"/>
          <w:sz w:val="16"/>
          <w:szCs w:val="16"/>
          <w:rtl/>
        </w:rPr>
        <w:t xml:space="preserve">(ב"ק </w:t>
      </w:r>
      <w:r w:rsidRPr="00D341BB">
        <w:rPr>
          <w:rFonts w:cs="Arial"/>
          <w:sz w:val="16"/>
          <w:szCs w:val="16"/>
          <w:rtl/>
        </w:rPr>
        <w:t>פרק החובל סי' ב</w:t>
      </w:r>
      <w:r>
        <w:rPr>
          <w:rFonts w:cs="Arial" w:hint="cs"/>
          <w:sz w:val="16"/>
          <w:szCs w:val="16"/>
          <w:rtl/>
        </w:rPr>
        <w:t>, ובפ"ק דסנהדרין</w:t>
      </w:r>
      <w:r w:rsidRPr="00D341BB">
        <w:rPr>
          <w:rFonts w:cs="Arial"/>
          <w:sz w:val="16"/>
          <w:szCs w:val="16"/>
          <w:rtl/>
        </w:rPr>
        <w:t>)</w:t>
      </w:r>
      <w:r>
        <w:rPr>
          <w:rFonts w:cs="Arial" w:hint="cs"/>
          <w:rtl/>
        </w:rPr>
        <w:t xml:space="preserve"> וטור.</w:t>
      </w:r>
    </w:p>
  </w:footnote>
  <w:footnote w:id="50">
    <w:p w14:paraId="3EFD842D" w14:textId="77777777" w:rsidR="0013116F" w:rsidRDefault="0013116F" w:rsidP="004A326E">
      <w:pPr>
        <w:pStyle w:val="a9"/>
      </w:pPr>
      <w:r>
        <w:rPr>
          <w:rStyle w:val="ab"/>
        </w:rPr>
        <w:footnoteRef/>
      </w:r>
      <w:r>
        <w:rPr>
          <w:rtl/>
        </w:rPr>
        <w:t xml:space="preserve"> </w:t>
      </w:r>
      <w:r>
        <w:rPr>
          <w:rFonts w:cs="Arial"/>
          <w:rtl/>
        </w:rPr>
        <w:t>כגון גנב שמתחייב תשלומי כפל או ארבעה וחמשה דקנסא נינהו ודאי לא ובהדיא אמרינן בריש פרק החובל (פד:) דבתשלומי כפל ותשלומי ארבעה וחמשה לא עבדינן שליחותייהו</w:t>
      </w:r>
      <w:r>
        <w:rPr>
          <w:rFonts w:cs="Arial" w:hint="cs"/>
          <w:rtl/>
        </w:rPr>
        <w:t>, ב"י.</w:t>
      </w:r>
    </w:p>
  </w:footnote>
  <w:footnote w:id="51">
    <w:p w14:paraId="1EC4940E" w14:textId="77777777" w:rsidR="0013116F" w:rsidRDefault="0013116F">
      <w:pPr>
        <w:pStyle w:val="a9"/>
      </w:pPr>
      <w:r>
        <w:rPr>
          <w:rStyle w:val="ab"/>
        </w:rPr>
        <w:footnoteRef/>
      </w:r>
      <w:r>
        <w:rPr>
          <w:rtl/>
        </w:rPr>
        <w:t xml:space="preserve"> </w:t>
      </w:r>
      <w:r>
        <w:rPr>
          <w:rFonts w:cs="Arial" w:hint="cs"/>
          <w:rtl/>
        </w:rPr>
        <w:t xml:space="preserve">ואף בטוען טענת גנב בפקדון, דווקא </w:t>
      </w:r>
      <w:r w:rsidRPr="00DA24B5">
        <w:rPr>
          <w:rFonts w:cs="Arial"/>
          <w:rtl/>
        </w:rPr>
        <w:t xml:space="preserve">הקרן דנין </w:t>
      </w:r>
      <w:r>
        <w:rPr>
          <w:rFonts w:cs="Arial" w:hint="cs"/>
          <w:rtl/>
        </w:rPr>
        <w:t>ג'</w:t>
      </w:r>
      <w:r w:rsidRPr="00DA24B5">
        <w:rPr>
          <w:rFonts w:cs="Arial"/>
          <w:rtl/>
        </w:rPr>
        <w:t xml:space="preserve"> הדיוטות או יחיד מומחה</w:t>
      </w:r>
      <w:r>
        <w:rPr>
          <w:rFonts w:cs="Arial" w:hint="cs"/>
          <w:rtl/>
        </w:rPr>
        <w:t>,</w:t>
      </w:r>
      <w:r w:rsidRPr="00DA24B5">
        <w:rPr>
          <w:rFonts w:cs="Arial"/>
          <w:rtl/>
        </w:rPr>
        <w:t xml:space="preserve"> אבל הכפל שהוא קנס אין דנין בו אלא מומחין</w:t>
      </w:r>
      <w:r>
        <w:rPr>
          <w:rFonts w:cs="Arial" w:hint="cs"/>
          <w:rtl/>
        </w:rPr>
        <w:t xml:space="preserve">, נמוק"י </w:t>
      </w:r>
      <w:r w:rsidRPr="00DA24B5">
        <w:rPr>
          <w:rFonts w:cs="Arial" w:hint="cs"/>
          <w:sz w:val="16"/>
          <w:szCs w:val="16"/>
          <w:rtl/>
        </w:rPr>
        <w:t>(</w:t>
      </w:r>
      <w:r w:rsidRPr="00DA24B5">
        <w:rPr>
          <w:rFonts w:cs="Arial"/>
          <w:sz w:val="16"/>
          <w:szCs w:val="16"/>
          <w:rtl/>
        </w:rPr>
        <w:t>ריש סנהדרין ב</w:t>
      </w:r>
      <w:r w:rsidRPr="00DA24B5">
        <w:rPr>
          <w:rFonts w:cs="Arial" w:hint="cs"/>
          <w:sz w:val="16"/>
          <w:szCs w:val="16"/>
          <w:rtl/>
        </w:rPr>
        <w:t>:</w:t>
      </w:r>
      <w:r>
        <w:rPr>
          <w:rFonts w:cs="Arial" w:hint="cs"/>
          <w:sz w:val="16"/>
          <w:szCs w:val="16"/>
          <w:rtl/>
        </w:rPr>
        <w:t>,</w:t>
      </w:r>
      <w:r w:rsidRPr="00ED3D1F">
        <w:rPr>
          <w:rFonts w:cs="Arial" w:hint="cs"/>
          <w:sz w:val="16"/>
          <w:szCs w:val="16"/>
          <w:rtl/>
        </w:rPr>
        <w:t xml:space="preserve"> </w:t>
      </w:r>
      <w:r>
        <w:rPr>
          <w:rFonts w:cs="Arial" w:hint="cs"/>
          <w:sz w:val="16"/>
          <w:szCs w:val="16"/>
          <w:rtl/>
        </w:rPr>
        <w:t>הביאוהו הב"י [סע' ה] וה</w:t>
      </w:r>
      <w:r w:rsidRPr="00DA24B5">
        <w:rPr>
          <w:rFonts w:cs="Arial" w:hint="cs"/>
          <w:sz w:val="16"/>
          <w:szCs w:val="16"/>
          <w:rtl/>
        </w:rPr>
        <w:t xml:space="preserve">דרכ"מ אות </w:t>
      </w:r>
      <w:r w:rsidRPr="00DA24B5">
        <w:rPr>
          <w:rFonts w:cs="Arial"/>
          <w:sz w:val="16"/>
          <w:szCs w:val="16"/>
          <w:rtl/>
        </w:rPr>
        <w:t>ד)</w:t>
      </w:r>
      <w:r>
        <w:rPr>
          <w:rFonts w:cs="Arial" w:hint="cs"/>
          <w:rtl/>
        </w:rPr>
        <w:t>.</w:t>
      </w:r>
    </w:p>
  </w:footnote>
  <w:footnote w:id="52">
    <w:p w14:paraId="7670B187" w14:textId="77777777" w:rsidR="0013116F" w:rsidRDefault="0013116F" w:rsidP="004A326E">
      <w:pPr>
        <w:pStyle w:val="a9"/>
        <w:rPr>
          <w:rtl/>
        </w:rPr>
      </w:pPr>
      <w:r>
        <w:rPr>
          <w:rStyle w:val="ab"/>
        </w:rPr>
        <w:footnoteRef/>
      </w:r>
      <w:r>
        <w:rPr>
          <w:rtl/>
        </w:rPr>
        <w:t xml:space="preserve"> </w:t>
      </w:r>
      <w:r w:rsidRPr="00A82C82">
        <w:rPr>
          <w:rFonts w:cs="Arial"/>
          <w:rtl/>
        </w:rPr>
        <w:t xml:space="preserve">בב"ק </w:t>
      </w:r>
      <w:r w:rsidRPr="00A82C82">
        <w:rPr>
          <w:rFonts w:cs="Arial" w:hint="cs"/>
          <w:sz w:val="16"/>
          <w:szCs w:val="16"/>
          <w:rtl/>
        </w:rPr>
        <w:t>(רפ"ק, ב:)</w:t>
      </w:r>
      <w:r w:rsidRPr="00A82C82">
        <w:rPr>
          <w:rFonts w:cs="Arial"/>
          <w:sz w:val="16"/>
          <w:szCs w:val="16"/>
          <w:rtl/>
        </w:rPr>
        <w:t xml:space="preserve"> </w:t>
      </w:r>
      <w:r w:rsidRPr="00A82C82">
        <w:rPr>
          <w:rFonts w:cs="Arial"/>
          <w:rtl/>
        </w:rPr>
        <w:t xml:space="preserve">מפרש הטעם משום דאדם יש לו מזל, ופירש רש"י </w:t>
      </w:r>
      <w:r w:rsidRPr="00A82C82">
        <w:rPr>
          <w:rFonts w:cs="Arial" w:hint="cs"/>
          <w:sz w:val="16"/>
          <w:szCs w:val="16"/>
          <w:rtl/>
        </w:rPr>
        <w:t>(</w:t>
      </w:r>
      <w:r w:rsidRPr="00A82C82">
        <w:rPr>
          <w:rFonts w:cs="Arial"/>
          <w:sz w:val="16"/>
          <w:szCs w:val="16"/>
          <w:rtl/>
        </w:rPr>
        <w:t>ד"ה אדם</w:t>
      </w:r>
      <w:r w:rsidRPr="00A82C82">
        <w:rPr>
          <w:rFonts w:cs="Arial" w:hint="cs"/>
          <w:sz w:val="16"/>
          <w:szCs w:val="16"/>
          <w:rtl/>
        </w:rPr>
        <w:t>)</w:t>
      </w:r>
      <w:r w:rsidRPr="00A82C82">
        <w:rPr>
          <w:rFonts w:cs="Arial"/>
          <w:sz w:val="16"/>
          <w:szCs w:val="16"/>
          <w:rtl/>
        </w:rPr>
        <w:t xml:space="preserve"> </w:t>
      </w:r>
      <w:r w:rsidRPr="00A82C82">
        <w:rPr>
          <w:rFonts w:cs="Arial"/>
          <w:rtl/>
        </w:rPr>
        <w:t>אדם שהוא בר שכל</w:t>
      </w:r>
      <w:r>
        <w:rPr>
          <w:rFonts w:cs="Arial" w:hint="cs"/>
          <w:rtl/>
        </w:rPr>
        <w:t xml:space="preserve"> -</w:t>
      </w:r>
      <w:r w:rsidRPr="00A82C82">
        <w:rPr>
          <w:rFonts w:cs="Arial"/>
          <w:rtl/>
        </w:rPr>
        <w:t xml:space="preserve"> משמר נפשו</w:t>
      </w:r>
      <w:r>
        <w:rPr>
          <w:rFonts w:cs="Arial" w:hint="cs"/>
          <w:rtl/>
        </w:rPr>
        <w:t>, סמ"ע</w:t>
      </w:r>
      <w:r w:rsidRPr="00A82C82">
        <w:rPr>
          <w:rFonts w:cs="Arial" w:hint="cs"/>
          <w:sz w:val="16"/>
          <w:szCs w:val="16"/>
          <w:rtl/>
        </w:rPr>
        <w:t xml:space="preserve"> (סקי"ג)</w:t>
      </w:r>
      <w:r>
        <w:rPr>
          <w:rFonts w:cs="Arial" w:hint="cs"/>
          <w:rtl/>
        </w:rPr>
        <w:t>.</w:t>
      </w:r>
    </w:p>
  </w:footnote>
  <w:footnote w:id="53">
    <w:p w14:paraId="5C577D14" w14:textId="77777777" w:rsidR="0013116F" w:rsidRDefault="0013116F" w:rsidP="004A326E">
      <w:pPr>
        <w:pStyle w:val="a9"/>
        <w:rPr>
          <w:rtl/>
        </w:rPr>
      </w:pPr>
      <w:r>
        <w:rPr>
          <w:rStyle w:val="ab"/>
        </w:rPr>
        <w:footnoteRef/>
      </w:r>
      <w:r>
        <w:rPr>
          <w:rtl/>
        </w:rPr>
        <w:t xml:space="preserve"> </w:t>
      </w:r>
      <w:r>
        <w:rPr>
          <w:rFonts w:hint="cs"/>
          <w:rtl/>
        </w:rPr>
        <w:t>תוספת הסמ"ע.</w:t>
      </w:r>
    </w:p>
  </w:footnote>
  <w:footnote w:id="54">
    <w:p w14:paraId="23665DFB" w14:textId="77777777" w:rsidR="0013116F" w:rsidRDefault="0013116F" w:rsidP="004A326E">
      <w:pPr>
        <w:pStyle w:val="a9"/>
        <w:rPr>
          <w:rtl/>
        </w:rPr>
      </w:pPr>
      <w:r>
        <w:rPr>
          <w:rStyle w:val="ab"/>
        </w:rPr>
        <w:footnoteRef/>
      </w:r>
      <w:r>
        <w:rPr>
          <w:rtl/>
        </w:rPr>
        <w:t xml:space="preserve"> </w:t>
      </w:r>
      <w:r w:rsidRPr="00A82C82">
        <w:rPr>
          <w:rFonts w:cs="Arial"/>
          <w:rtl/>
        </w:rPr>
        <w:t>עיין בנ</w:t>
      </w:r>
      <w:r>
        <w:rPr>
          <w:rFonts w:cs="Arial" w:hint="cs"/>
          <w:rtl/>
        </w:rPr>
        <w:t>מוק</w:t>
      </w:r>
      <w:r w:rsidRPr="00A82C82">
        <w:rPr>
          <w:rFonts w:cs="Arial"/>
          <w:rtl/>
        </w:rPr>
        <w:t>"י דכ"כ לתרץ הגמרות אהדדי, אבל התוס</w:t>
      </w:r>
      <w:r>
        <w:rPr>
          <w:rFonts w:cs="Arial" w:hint="cs"/>
          <w:rtl/>
        </w:rPr>
        <w:t>'</w:t>
      </w:r>
      <w:r w:rsidRPr="00A82C82">
        <w:rPr>
          <w:rFonts w:cs="Arial"/>
          <w:rtl/>
        </w:rPr>
        <w:t xml:space="preserve"> </w:t>
      </w:r>
      <w:r w:rsidRPr="00A82C82">
        <w:rPr>
          <w:rFonts w:cs="Arial" w:hint="cs"/>
          <w:sz w:val="16"/>
          <w:szCs w:val="16"/>
          <w:rtl/>
        </w:rPr>
        <w:t>(</w:t>
      </w:r>
      <w:r w:rsidRPr="00A82C82">
        <w:rPr>
          <w:rFonts w:cs="Arial"/>
          <w:sz w:val="16"/>
          <w:szCs w:val="16"/>
          <w:rtl/>
        </w:rPr>
        <w:t xml:space="preserve">שם </w:t>
      </w:r>
      <w:r w:rsidRPr="00A82C82">
        <w:rPr>
          <w:rFonts w:cs="Arial" w:hint="cs"/>
          <w:sz w:val="16"/>
          <w:szCs w:val="16"/>
          <w:rtl/>
        </w:rPr>
        <w:t>(פד:</w:t>
      </w:r>
      <w:r w:rsidRPr="00A82C82">
        <w:rPr>
          <w:rFonts w:cs="Arial"/>
          <w:sz w:val="16"/>
          <w:szCs w:val="16"/>
          <w:rtl/>
        </w:rPr>
        <w:t xml:space="preserve"> ד"ה אי</w:t>
      </w:r>
      <w:r w:rsidRPr="00A82C82">
        <w:rPr>
          <w:rFonts w:cs="Arial" w:hint="cs"/>
          <w:sz w:val="16"/>
          <w:szCs w:val="16"/>
          <w:rtl/>
        </w:rPr>
        <w:t>)</w:t>
      </w:r>
      <w:r w:rsidRPr="00A82C82">
        <w:rPr>
          <w:rFonts w:cs="Arial"/>
          <w:sz w:val="16"/>
          <w:szCs w:val="16"/>
          <w:rtl/>
        </w:rPr>
        <w:t xml:space="preserve"> ובפרק בתרא דגיטין</w:t>
      </w:r>
      <w:r w:rsidRPr="00A82C82">
        <w:rPr>
          <w:rFonts w:cs="Arial" w:hint="cs"/>
          <w:sz w:val="16"/>
          <w:szCs w:val="16"/>
          <w:rtl/>
        </w:rPr>
        <w:t xml:space="preserve"> (</w:t>
      </w:r>
      <w:r w:rsidRPr="00A82C82">
        <w:rPr>
          <w:rFonts w:cs="Arial"/>
          <w:sz w:val="16"/>
          <w:szCs w:val="16"/>
          <w:rtl/>
        </w:rPr>
        <w:t>פח</w:t>
      </w:r>
      <w:r w:rsidRPr="00A82C82">
        <w:rPr>
          <w:rFonts w:cs="Arial" w:hint="cs"/>
          <w:sz w:val="16"/>
          <w:szCs w:val="16"/>
          <w:rtl/>
        </w:rPr>
        <w:t>:</w:t>
      </w:r>
      <w:r w:rsidRPr="00A82C82">
        <w:rPr>
          <w:rFonts w:cs="Arial"/>
          <w:sz w:val="16"/>
          <w:szCs w:val="16"/>
          <w:rtl/>
        </w:rPr>
        <w:t xml:space="preserve"> ד"ה אי</w:t>
      </w:r>
      <w:r w:rsidRPr="00A82C82">
        <w:rPr>
          <w:rFonts w:cs="Arial" w:hint="cs"/>
          <w:sz w:val="16"/>
          <w:szCs w:val="16"/>
          <w:rtl/>
        </w:rPr>
        <w:t>)</w:t>
      </w:r>
      <w:r w:rsidRPr="00A82C82">
        <w:rPr>
          <w:rFonts w:cs="Arial"/>
          <w:sz w:val="16"/>
          <w:szCs w:val="16"/>
          <w:rtl/>
        </w:rPr>
        <w:t xml:space="preserve"> ובפ"ק דסנהדר</w:t>
      </w:r>
      <w:r w:rsidRPr="00A82C82">
        <w:rPr>
          <w:rFonts w:cs="Arial" w:hint="cs"/>
          <w:sz w:val="16"/>
          <w:szCs w:val="16"/>
          <w:rtl/>
        </w:rPr>
        <w:t>ין (</w:t>
      </w:r>
      <w:r w:rsidRPr="00A82C82">
        <w:rPr>
          <w:rFonts w:cs="Arial"/>
          <w:sz w:val="16"/>
          <w:szCs w:val="16"/>
          <w:rtl/>
        </w:rPr>
        <w:t>ג</w:t>
      </w:r>
      <w:r w:rsidRPr="00A82C82">
        <w:rPr>
          <w:rFonts w:cs="Arial" w:hint="cs"/>
          <w:sz w:val="16"/>
          <w:szCs w:val="16"/>
          <w:rtl/>
        </w:rPr>
        <w:t>.</w:t>
      </w:r>
      <w:r w:rsidRPr="00A82C82">
        <w:rPr>
          <w:rFonts w:cs="Arial"/>
          <w:sz w:val="16"/>
          <w:szCs w:val="16"/>
          <w:rtl/>
        </w:rPr>
        <w:t xml:space="preserve"> ד"ה שלא</w:t>
      </w:r>
      <w:r w:rsidRPr="00A82C82">
        <w:rPr>
          <w:rFonts w:cs="Arial" w:hint="cs"/>
          <w:sz w:val="16"/>
          <w:szCs w:val="16"/>
          <w:rtl/>
        </w:rPr>
        <w:t>)</w:t>
      </w:r>
      <w:r>
        <w:rPr>
          <w:rFonts w:cs="Arial" w:hint="cs"/>
          <w:sz w:val="16"/>
          <w:szCs w:val="16"/>
          <w:rtl/>
        </w:rPr>
        <w:t>)</w:t>
      </w:r>
      <w:r w:rsidRPr="00A82C82">
        <w:rPr>
          <w:rFonts w:cs="Arial"/>
          <w:sz w:val="16"/>
          <w:szCs w:val="16"/>
          <w:rtl/>
        </w:rPr>
        <w:t xml:space="preserve"> </w:t>
      </w:r>
      <w:r w:rsidRPr="00A82C82">
        <w:rPr>
          <w:rFonts w:cs="Arial"/>
          <w:rtl/>
        </w:rPr>
        <w:t>חילקו בענין אחר, וכתבו דוקא גזילות הבאות ע</w:t>
      </w:r>
      <w:r>
        <w:rPr>
          <w:rFonts w:cs="Arial" w:hint="cs"/>
          <w:rtl/>
        </w:rPr>
        <w:t>"</w:t>
      </w:r>
      <w:r w:rsidRPr="00A82C82">
        <w:rPr>
          <w:rFonts w:cs="Arial"/>
          <w:rtl/>
        </w:rPr>
        <w:t>י חבלות הוא דלא דנין, וזהו דעת המחבר שכתב סתם דדנין גזילה,</w:t>
      </w:r>
      <w:r>
        <w:rPr>
          <w:rFonts w:hint="cs"/>
          <w:rtl/>
        </w:rPr>
        <w:t xml:space="preserve"> סמ"ע </w:t>
      </w:r>
      <w:r w:rsidRPr="00245115">
        <w:rPr>
          <w:rFonts w:hint="cs"/>
          <w:sz w:val="16"/>
          <w:szCs w:val="16"/>
          <w:rtl/>
        </w:rPr>
        <w:t>(סקי"ד)</w:t>
      </w:r>
      <w:r>
        <w:rPr>
          <w:rFonts w:hint="cs"/>
          <w:rtl/>
        </w:rPr>
        <w:t xml:space="preserve">. אך הש"ך </w:t>
      </w:r>
      <w:r w:rsidRPr="00245115">
        <w:rPr>
          <w:rFonts w:hint="cs"/>
          <w:sz w:val="16"/>
          <w:szCs w:val="16"/>
          <w:rtl/>
        </w:rPr>
        <w:t xml:space="preserve">(סק"ט) </w:t>
      </w:r>
      <w:r>
        <w:rPr>
          <w:rFonts w:hint="cs"/>
          <w:rtl/>
        </w:rPr>
        <w:t xml:space="preserve">כתב </w:t>
      </w:r>
      <w:r>
        <w:rPr>
          <w:rFonts w:cs="Arial" w:hint="cs"/>
          <w:rtl/>
        </w:rPr>
        <w:t xml:space="preserve">- </w:t>
      </w:r>
      <w:r w:rsidRPr="008628DE">
        <w:rPr>
          <w:rFonts w:cs="Arial"/>
          <w:rtl/>
        </w:rPr>
        <w:t xml:space="preserve">וקשה לי דא"כ ה"ל להמחבר לכתוב דגזילות ע"י חבלות אין דנין. ועוד קשה, שהרי לא הביא בב"י </w:t>
      </w:r>
      <w:r w:rsidRPr="00245115">
        <w:rPr>
          <w:rFonts w:cs="Arial"/>
          <w:sz w:val="16"/>
          <w:szCs w:val="16"/>
          <w:rtl/>
        </w:rPr>
        <w:t>[סע</w:t>
      </w:r>
      <w:r w:rsidRPr="00245115">
        <w:rPr>
          <w:rFonts w:cs="Arial" w:hint="cs"/>
          <w:sz w:val="16"/>
          <w:szCs w:val="16"/>
          <w:rtl/>
        </w:rPr>
        <w:t>'</w:t>
      </w:r>
      <w:r w:rsidRPr="00245115">
        <w:rPr>
          <w:rFonts w:cs="Arial"/>
          <w:sz w:val="16"/>
          <w:szCs w:val="16"/>
          <w:rtl/>
        </w:rPr>
        <w:t xml:space="preserve"> ד ד"ה ומ"ש וכן בגזילות] </w:t>
      </w:r>
      <w:r w:rsidRPr="008628DE">
        <w:rPr>
          <w:rFonts w:cs="Arial"/>
          <w:rtl/>
        </w:rPr>
        <w:t>דברי התוס</w:t>
      </w:r>
      <w:r>
        <w:rPr>
          <w:rFonts w:cs="Arial" w:hint="cs"/>
          <w:rtl/>
        </w:rPr>
        <w:t>'</w:t>
      </w:r>
      <w:r w:rsidRPr="008628DE">
        <w:rPr>
          <w:rFonts w:cs="Arial"/>
          <w:rtl/>
        </w:rPr>
        <w:t xml:space="preserve"> בזה. ולכך נ"ל דס"ל להמחבר כדעת הרמב"ם </w:t>
      </w:r>
      <w:r w:rsidRPr="00245115">
        <w:rPr>
          <w:rFonts w:cs="Arial"/>
          <w:sz w:val="16"/>
          <w:szCs w:val="16"/>
          <w:rtl/>
        </w:rPr>
        <w:t>[פ"ה מסנהדרין הי"ג]</w:t>
      </w:r>
      <w:r w:rsidRPr="008628DE">
        <w:rPr>
          <w:rFonts w:cs="Arial"/>
          <w:rtl/>
        </w:rPr>
        <w:t>, שכתב בסתם כל גזילות דנין, והא דאמרינן בגיטין פ</w:t>
      </w:r>
      <w:r>
        <w:rPr>
          <w:rFonts w:cs="Arial" w:hint="cs"/>
          <w:rtl/>
        </w:rPr>
        <w:t>'</w:t>
      </w:r>
      <w:r w:rsidRPr="008628DE">
        <w:rPr>
          <w:rFonts w:cs="Arial"/>
          <w:rtl/>
        </w:rPr>
        <w:t xml:space="preserve"> המגרש </w:t>
      </w:r>
      <w:r w:rsidRPr="00245115">
        <w:rPr>
          <w:rFonts w:cs="Arial" w:hint="cs"/>
          <w:sz w:val="16"/>
          <w:szCs w:val="16"/>
          <w:rtl/>
        </w:rPr>
        <w:t>(</w:t>
      </w:r>
      <w:r w:rsidRPr="00245115">
        <w:rPr>
          <w:rFonts w:cs="Arial"/>
          <w:sz w:val="16"/>
          <w:szCs w:val="16"/>
          <w:rtl/>
        </w:rPr>
        <w:t>פח</w:t>
      </w:r>
      <w:r w:rsidRPr="00245115">
        <w:rPr>
          <w:rFonts w:cs="Arial" w:hint="cs"/>
          <w:sz w:val="16"/>
          <w:szCs w:val="16"/>
          <w:rtl/>
        </w:rPr>
        <w:t>:)</w:t>
      </w:r>
      <w:r w:rsidRPr="00245115">
        <w:rPr>
          <w:rFonts w:cs="Arial"/>
          <w:sz w:val="16"/>
          <w:szCs w:val="16"/>
          <w:rtl/>
        </w:rPr>
        <w:t xml:space="preserve"> </w:t>
      </w:r>
      <w:r w:rsidRPr="008628DE">
        <w:rPr>
          <w:rFonts w:cs="Arial"/>
          <w:rtl/>
        </w:rPr>
        <w:t xml:space="preserve">דגזילות וחבלות אין דנין דלא שכיחי, היינו הקנס מגזילות, כגון תשלומי כפל וד' וה' וכה"ג דה"ל לא שכיח. ואין הכי נמי דהוה מצי למימר בפרק המגרש דלית ביה חסרון כיס, אלא משום חבלות קאמר הכי </w:t>
      </w:r>
      <w:r w:rsidRPr="00F80B51">
        <w:rPr>
          <w:rFonts w:cs="Arial" w:hint="cs"/>
          <w:sz w:val="16"/>
          <w:szCs w:val="16"/>
          <w:rtl/>
        </w:rPr>
        <w:t>(</w:t>
      </w:r>
      <w:r w:rsidRPr="00F80B51">
        <w:rPr>
          <w:rFonts w:cs="Arial"/>
          <w:sz w:val="16"/>
          <w:szCs w:val="16"/>
          <w:rtl/>
        </w:rPr>
        <w:t>וכן מדוקדק בלשון הרמב"ם פ"ה מהל</w:t>
      </w:r>
      <w:r w:rsidRPr="00F80B51">
        <w:rPr>
          <w:rFonts w:cs="Arial" w:hint="cs"/>
          <w:sz w:val="16"/>
          <w:szCs w:val="16"/>
          <w:rtl/>
        </w:rPr>
        <w:t>'</w:t>
      </w:r>
      <w:r w:rsidRPr="00F80B51">
        <w:rPr>
          <w:rFonts w:cs="Arial"/>
          <w:sz w:val="16"/>
          <w:szCs w:val="16"/>
          <w:rtl/>
        </w:rPr>
        <w:t xml:space="preserve"> סנהדרין [ה"ח] שכתב וז"ל</w:t>
      </w:r>
      <w:r w:rsidRPr="00F80B51">
        <w:rPr>
          <w:rFonts w:cs="Arial" w:hint="cs"/>
          <w:sz w:val="16"/>
          <w:szCs w:val="16"/>
          <w:rtl/>
        </w:rPr>
        <w:t>-</w:t>
      </w:r>
      <w:r w:rsidRPr="00F80B51">
        <w:rPr>
          <w:rFonts w:cs="Arial"/>
          <w:sz w:val="16"/>
          <w:szCs w:val="16"/>
          <w:rtl/>
        </w:rPr>
        <w:t xml:space="preserve"> דיני קנסות כגון גזילות וחבלות ותשלומי כפל כו' אין דנין כו', ובה</w:t>
      </w:r>
      <w:r w:rsidRPr="00F80B51">
        <w:rPr>
          <w:rFonts w:cs="Arial" w:hint="cs"/>
          <w:sz w:val="16"/>
          <w:szCs w:val="16"/>
          <w:rtl/>
        </w:rPr>
        <w:t xml:space="preserve">ל' </w:t>
      </w:r>
      <w:r w:rsidRPr="00F80B51">
        <w:rPr>
          <w:rFonts w:cs="Arial"/>
          <w:sz w:val="16"/>
          <w:szCs w:val="16"/>
          <w:rtl/>
        </w:rPr>
        <w:t>י"ג כתב</w:t>
      </w:r>
      <w:r w:rsidRPr="00F80B51">
        <w:rPr>
          <w:rFonts w:cs="Arial" w:hint="cs"/>
          <w:sz w:val="16"/>
          <w:szCs w:val="16"/>
          <w:rtl/>
        </w:rPr>
        <w:t>-</w:t>
      </w:r>
      <w:r w:rsidRPr="00F80B51">
        <w:rPr>
          <w:rFonts w:cs="Arial"/>
          <w:sz w:val="16"/>
          <w:szCs w:val="16"/>
          <w:rtl/>
        </w:rPr>
        <w:t xml:space="preserve"> מי שגנב או גזל גובין ממנו הקרן דייני חו"ל אבל אין גובין את הכפל כו'</w:t>
      </w:r>
      <w:r>
        <w:rPr>
          <w:rFonts w:cs="Arial" w:hint="cs"/>
          <w:sz w:val="16"/>
          <w:szCs w:val="16"/>
          <w:rtl/>
        </w:rPr>
        <w:t>)</w:t>
      </w:r>
      <w:r>
        <w:rPr>
          <w:rFonts w:cs="Arial" w:hint="cs"/>
          <w:rtl/>
        </w:rPr>
        <w:t>...</w:t>
      </w:r>
      <w:r w:rsidRPr="008628DE">
        <w:rPr>
          <w:rFonts w:cs="Arial"/>
          <w:rtl/>
        </w:rPr>
        <w:t xml:space="preserve"> וכן נראה לפע"ד דעת הרא"ש </w:t>
      </w:r>
      <w:r>
        <w:rPr>
          <w:rFonts w:cs="Arial" w:hint="cs"/>
          <w:sz w:val="16"/>
          <w:szCs w:val="16"/>
          <w:rtl/>
        </w:rPr>
        <w:t>[</w:t>
      </w:r>
      <w:r w:rsidRPr="00F80B51">
        <w:rPr>
          <w:rFonts w:cs="Arial"/>
          <w:sz w:val="16"/>
          <w:szCs w:val="16"/>
          <w:rtl/>
        </w:rPr>
        <w:t xml:space="preserve">רפ"ק דסנהדרין </w:t>
      </w:r>
      <w:r w:rsidRPr="00245115">
        <w:rPr>
          <w:rFonts w:cs="Arial"/>
          <w:sz w:val="16"/>
          <w:szCs w:val="16"/>
          <w:rtl/>
        </w:rPr>
        <w:t xml:space="preserve">סי' א] </w:t>
      </w:r>
      <w:r w:rsidRPr="008628DE">
        <w:rPr>
          <w:rFonts w:cs="Arial"/>
          <w:rtl/>
        </w:rPr>
        <w:t xml:space="preserve">והטור </w:t>
      </w:r>
      <w:r w:rsidRPr="00F80B51">
        <w:rPr>
          <w:rFonts w:cs="Arial"/>
          <w:sz w:val="16"/>
          <w:szCs w:val="16"/>
          <w:rtl/>
        </w:rPr>
        <w:t>[סע</w:t>
      </w:r>
      <w:r w:rsidRPr="00F80B51">
        <w:rPr>
          <w:rFonts w:cs="Arial" w:hint="cs"/>
          <w:sz w:val="16"/>
          <w:szCs w:val="16"/>
          <w:rtl/>
        </w:rPr>
        <w:t>'</w:t>
      </w:r>
      <w:r w:rsidRPr="00F80B51">
        <w:rPr>
          <w:rFonts w:cs="Arial"/>
          <w:sz w:val="16"/>
          <w:szCs w:val="16"/>
          <w:rtl/>
        </w:rPr>
        <w:t xml:space="preserve"> ד]</w:t>
      </w:r>
      <w:r w:rsidRPr="008628DE">
        <w:rPr>
          <w:rFonts w:cs="Arial"/>
          <w:rtl/>
        </w:rPr>
        <w:t xml:space="preserve"> שכתבו סתמא דכל גזילות שכיחי ודנין אותם, וכן נראה לפע"ד דעת רב האי שהביא הטור לקמן ס</w:t>
      </w:r>
      <w:r>
        <w:rPr>
          <w:rFonts w:cs="Arial" w:hint="cs"/>
          <w:rtl/>
        </w:rPr>
        <w:t>"</w:t>
      </w:r>
      <w:r w:rsidRPr="008628DE">
        <w:rPr>
          <w:rFonts w:cs="Arial"/>
          <w:rtl/>
        </w:rPr>
        <w:t>ס ת</w:t>
      </w:r>
      <w:r>
        <w:rPr>
          <w:rFonts w:cs="Arial" w:hint="cs"/>
          <w:rtl/>
        </w:rPr>
        <w:t>"כ</w:t>
      </w:r>
      <w:r w:rsidRPr="008628DE">
        <w:rPr>
          <w:rFonts w:cs="Arial"/>
          <w:rtl/>
        </w:rPr>
        <w:t xml:space="preserve"> </w:t>
      </w:r>
      <w:r w:rsidRPr="00245115">
        <w:rPr>
          <w:rFonts w:cs="Arial"/>
          <w:sz w:val="16"/>
          <w:szCs w:val="16"/>
          <w:rtl/>
        </w:rPr>
        <w:t>[סע</w:t>
      </w:r>
      <w:r w:rsidRPr="00245115">
        <w:rPr>
          <w:rFonts w:cs="Arial" w:hint="cs"/>
          <w:sz w:val="16"/>
          <w:szCs w:val="16"/>
          <w:rtl/>
        </w:rPr>
        <w:t>'</w:t>
      </w:r>
      <w:r w:rsidRPr="00245115">
        <w:rPr>
          <w:rFonts w:cs="Arial"/>
          <w:sz w:val="16"/>
          <w:szCs w:val="16"/>
          <w:rtl/>
        </w:rPr>
        <w:t xml:space="preserve"> לד]</w:t>
      </w:r>
      <w:r w:rsidRPr="008628DE">
        <w:rPr>
          <w:rFonts w:cs="Arial"/>
          <w:rtl/>
        </w:rPr>
        <w:t>. ודלא כמהרש"ל שם שכתב דלדעתם דגזילות ע</w:t>
      </w:r>
      <w:r>
        <w:rPr>
          <w:rFonts w:cs="Arial" w:hint="cs"/>
          <w:rtl/>
        </w:rPr>
        <w:t>"</w:t>
      </w:r>
      <w:r w:rsidRPr="008628DE">
        <w:rPr>
          <w:rFonts w:cs="Arial"/>
          <w:rtl/>
        </w:rPr>
        <w:t>י חבלות אין דנין. ולכך כתב כאן המחבר בסתם מי שגנב או גזל גובין ממנו הקרן, והיינו ע"פ מה שהביא בספרו ב"י דברי הרמב"ם, ומשמע מדבריו בב"י שגם דעת הרא"ש והטור כן, ועיין בטור וב"י לקמן ר</w:t>
      </w:r>
      <w:r>
        <w:rPr>
          <w:rFonts w:cs="Arial" w:hint="cs"/>
          <w:rtl/>
        </w:rPr>
        <w:t>"</w:t>
      </w:r>
      <w:r w:rsidRPr="008628DE">
        <w:rPr>
          <w:rFonts w:cs="Arial"/>
          <w:rtl/>
        </w:rPr>
        <w:t>ס ל</w:t>
      </w:r>
      <w:r>
        <w:rPr>
          <w:rFonts w:cs="Arial" w:hint="cs"/>
          <w:rtl/>
        </w:rPr>
        <w:t>'</w:t>
      </w:r>
      <w:r w:rsidRPr="008628DE">
        <w:rPr>
          <w:rFonts w:cs="Arial"/>
          <w:rtl/>
        </w:rPr>
        <w:t>, וכן נראה עיקר לדינא.</w:t>
      </w:r>
    </w:p>
  </w:footnote>
  <w:footnote w:id="55">
    <w:p w14:paraId="2930275F" w14:textId="77777777" w:rsidR="0013116F" w:rsidRDefault="0013116F">
      <w:pPr>
        <w:pStyle w:val="a9"/>
        <w:rPr>
          <w:rtl/>
        </w:rPr>
      </w:pPr>
      <w:r>
        <w:rPr>
          <w:rStyle w:val="ab"/>
        </w:rPr>
        <w:footnoteRef/>
      </w:r>
      <w:r>
        <w:rPr>
          <w:rtl/>
        </w:rPr>
        <w:t xml:space="preserve"> </w:t>
      </w:r>
      <w:r>
        <w:rPr>
          <w:rFonts w:hint="cs"/>
          <w:rtl/>
        </w:rPr>
        <w:t xml:space="preserve">סימן </w:t>
      </w:r>
      <w:r>
        <w:rPr>
          <w:rtl/>
        </w:rPr>
        <w:t>–</w:t>
      </w:r>
      <w:r>
        <w:rPr>
          <w:rFonts w:hint="cs"/>
          <w:rtl/>
        </w:rPr>
        <w:t xml:space="preserve"> צלה חובו</w:t>
      </w:r>
      <w:r>
        <w:rPr>
          <w:rFonts w:hint="cs"/>
          <w:sz w:val="16"/>
          <w:szCs w:val="16"/>
          <w:rtl/>
        </w:rPr>
        <w:t xml:space="preserve"> (היינו השורף שטרו של חברו)</w:t>
      </w:r>
      <w:r>
        <w:rPr>
          <w:rFonts w:hint="cs"/>
          <w:rtl/>
        </w:rPr>
        <w:t>.</w:t>
      </w:r>
    </w:p>
  </w:footnote>
  <w:footnote w:id="56">
    <w:p w14:paraId="37634267" w14:textId="77777777" w:rsidR="0013116F" w:rsidRDefault="0013116F">
      <w:pPr>
        <w:pStyle w:val="a9"/>
        <w:rPr>
          <w:rtl/>
        </w:rPr>
      </w:pPr>
      <w:r>
        <w:rPr>
          <w:rStyle w:val="ab"/>
        </w:rPr>
        <w:footnoteRef/>
      </w:r>
      <w:r>
        <w:rPr>
          <w:rtl/>
        </w:rPr>
        <w:t xml:space="preserve"> </w:t>
      </w:r>
      <w:r w:rsidRPr="00005161">
        <w:rPr>
          <w:rFonts w:cs="Arial"/>
          <w:rtl/>
        </w:rPr>
        <w:t>מאי הוי כתיב ביה ומאי בעי למיתבי ולא אצטריך ליה למימר דפטור</w:t>
      </w:r>
      <w:r>
        <w:rPr>
          <w:rFonts w:hint="cs"/>
          <w:rtl/>
        </w:rPr>
        <w:t>, רש"י.</w:t>
      </w:r>
    </w:p>
  </w:footnote>
  <w:footnote w:id="57">
    <w:p w14:paraId="75F7298E" w14:textId="77777777" w:rsidR="0013116F" w:rsidRDefault="0013116F" w:rsidP="004A326E">
      <w:pPr>
        <w:pStyle w:val="a9"/>
        <w:rPr>
          <w:rtl/>
        </w:rPr>
      </w:pPr>
      <w:r>
        <w:rPr>
          <w:rStyle w:val="ab"/>
        </w:rPr>
        <w:footnoteRef/>
      </w:r>
      <w:r>
        <w:rPr>
          <w:rtl/>
        </w:rPr>
        <w:t xml:space="preserve"> </w:t>
      </w:r>
      <w:r w:rsidRPr="00583C35">
        <w:rPr>
          <w:rFonts w:cs="Arial"/>
          <w:rtl/>
        </w:rPr>
        <w:t>ששרף שטר חבירו בילדותו</w:t>
      </w:r>
      <w:r>
        <w:rPr>
          <w:rFonts w:cs="Arial" w:hint="cs"/>
          <w:rtl/>
        </w:rPr>
        <w:t>, רש"י</w:t>
      </w:r>
      <w:r w:rsidRPr="00583C35">
        <w:rPr>
          <w:rFonts w:cs="Arial"/>
          <w:rtl/>
        </w:rPr>
        <w:t>.</w:t>
      </w:r>
    </w:p>
  </w:footnote>
  <w:footnote w:id="58">
    <w:p w14:paraId="26021902" w14:textId="77777777" w:rsidR="0013116F" w:rsidRDefault="0013116F" w:rsidP="004A326E">
      <w:pPr>
        <w:pStyle w:val="a9"/>
        <w:rPr>
          <w:rtl/>
        </w:rPr>
      </w:pPr>
      <w:r>
        <w:rPr>
          <w:rStyle w:val="ab"/>
        </w:rPr>
        <w:footnoteRef/>
      </w:r>
      <w:r>
        <w:rPr>
          <w:rtl/>
        </w:rPr>
        <w:t xml:space="preserve"> </w:t>
      </w:r>
      <w:r w:rsidRPr="00583C35">
        <w:rPr>
          <w:rFonts w:cs="Arial"/>
          <w:rtl/>
        </w:rPr>
        <w:t>גוביינא מעליא כל מה שכתוב בשטר</w:t>
      </w:r>
      <w:r>
        <w:rPr>
          <w:rFonts w:cs="Arial" w:hint="cs"/>
          <w:rtl/>
        </w:rPr>
        <w:t>, רש"י</w:t>
      </w:r>
      <w:r w:rsidRPr="00583C35">
        <w:rPr>
          <w:rFonts w:cs="Arial"/>
          <w:rtl/>
        </w:rPr>
        <w:t>.</w:t>
      </w:r>
    </w:p>
  </w:footnote>
  <w:footnote w:id="59">
    <w:p w14:paraId="39863546" w14:textId="77777777" w:rsidR="0013116F" w:rsidRDefault="0013116F" w:rsidP="004A326E">
      <w:pPr>
        <w:pStyle w:val="a9"/>
      </w:pPr>
      <w:r>
        <w:rPr>
          <w:rStyle w:val="ab"/>
        </w:rPr>
        <w:footnoteRef/>
      </w:r>
      <w:r>
        <w:rPr>
          <w:rtl/>
        </w:rPr>
        <w:t xml:space="preserve"> </w:t>
      </w:r>
      <w:r w:rsidRPr="00583C35">
        <w:rPr>
          <w:rFonts w:cs="Arial"/>
          <w:rtl/>
        </w:rPr>
        <w:t>פרעון גמור מן העידית כקורה זו הנבחרת משאר קורות לתקן בה צורה ודיוקנאות</w:t>
      </w:r>
      <w:r>
        <w:rPr>
          <w:rFonts w:cs="Arial" w:hint="cs"/>
          <w:rtl/>
        </w:rPr>
        <w:t>, רש"י</w:t>
      </w:r>
      <w:r w:rsidRPr="00583C35">
        <w:rPr>
          <w:rFonts w:cs="Arial"/>
          <w:rtl/>
        </w:rPr>
        <w:t>.</w:t>
      </w:r>
    </w:p>
  </w:footnote>
  <w:footnote w:id="60">
    <w:p w14:paraId="6CB68635" w14:textId="77777777" w:rsidR="0013116F" w:rsidRDefault="0013116F">
      <w:pPr>
        <w:pStyle w:val="a9"/>
      </w:pPr>
      <w:r>
        <w:rPr>
          <w:rStyle w:val="ab"/>
        </w:rPr>
        <w:footnoteRef/>
      </w:r>
      <w:r>
        <w:rPr>
          <w:rtl/>
        </w:rPr>
        <w:t xml:space="preserve"> </w:t>
      </w:r>
      <w:r>
        <w:rPr>
          <w:rFonts w:hint="cs"/>
          <w:rtl/>
        </w:rPr>
        <w:t xml:space="preserve">סימן </w:t>
      </w:r>
      <w:r>
        <w:rPr>
          <w:rtl/>
        </w:rPr>
        <w:t>–</w:t>
      </w:r>
      <w:r>
        <w:rPr>
          <w:rFonts w:hint="cs"/>
          <w:rtl/>
        </w:rPr>
        <w:t xml:space="preserve"> קח טרוף זה.</w:t>
      </w:r>
      <w:r w:rsidRPr="003F252C">
        <w:rPr>
          <w:rFonts w:hint="cs"/>
          <w:rtl/>
        </w:rPr>
        <w:t xml:space="preserve"> </w:t>
      </w:r>
      <w:r>
        <w:rPr>
          <w:rFonts w:hint="cs"/>
          <w:rtl/>
        </w:rPr>
        <w:t xml:space="preserve">וכן </w:t>
      </w:r>
      <w:r>
        <w:rPr>
          <w:rtl/>
        </w:rPr>
        <w:t>–</w:t>
      </w:r>
      <w:r>
        <w:rPr>
          <w:rFonts w:hint="cs"/>
          <w:rtl/>
        </w:rPr>
        <w:t xml:space="preserve"> קח ישראל זה.</w:t>
      </w:r>
    </w:p>
  </w:footnote>
  <w:footnote w:id="61">
    <w:p w14:paraId="31479FE8" w14:textId="77777777" w:rsidR="0013116F" w:rsidRDefault="0013116F" w:rsidP="004A326E">
      <w:pPr>
        <w:pStyle w:val="a9"/>
        <w:rPr>
          <w:rtl/>
        </w:rPr>
      </w:pPr>
      <w:r>
        <w:rPr>
          <w:rStyle w:val="ab"/>
        </w:rPr>
        <w:footnoteRef/>
      </w:r>
      <w:r>
        <w:rPr>
          <w:rtl/>
        </w:rPr>
        <w:t xml:space="preserve"> </w:t>
      </w:r>
      <w:r w:rsidRPr="006038B1">
        <w:rPr>
          <w:rFonts w:cs="Arial"/>
          <w:rtl/>
        </w:rPr>
        <w:t>אנסין גזלוה מן הגזלן</w:t>
      </w:r>
      <w:r>
        <w:rPr>
          <w:rFonts w:cs="Arial" w:hint="cs"/>
          <w:rtl/>
        </w:rPr>
        <w:t>, רש"י</w:t>
      </w:r>
      <w:r w:rsidRPr="006038B1">
        <w:rPr>
          <w:rFonts w:cs="Arial"/>
          <w:rtl/>
        </w:rPr>
        <w:t>.</w:t>
      </w:r>
    </w:p>
  </w:footnote>
  <w:footnote w:id="62">
    <w:p w14:paraId="23CE5C7A" w14:textId="77777777" w:rsidR="0013116F" w:rsidRDefault="0013116F" w:rsidP="004A326E">
      <w:pPr>
        <w:pStyle w:val="a9"/>
      </w:pPr>
      <w:r>
        <w:rPr>
          <w:rStyle w:val="ab"/>
        </w:rPr>
        <w:footnoteRef/>
      </w:r>
      <w:r>
        <w:rPr>
          <w:rtl/>
        </w:rPr>
        <w:t xml:space="preserve"> </w:t>
      </w:r>
      <w:r w:rsidRPr="006038B1">
        <w:rPr>
          <w:rFonts w:cs="Arial"/>
          <w:rtl/>
        </w:rPr>
        <w:t>שלא גזלה הוא עצמו אלא שמע מבית המלך שמבקשין לגזול שדות והראה להם טלו קרקע זו של פלוני</w:t>
      </w:r>
      <w:r>
        <w:rPr>
          <w:rFonts w:cs="Arial" w:hint="cs"/>
          <w:rtl/>
        </w:rPr>
        <w:t>, רש"י</w:t>
      </w:r>
      <w:r w:rsidRPr="006038B1">
        <w:rPr>
          <w:rFonts w:cs="Arial"/>
          <w:rtl/>
        </w:rPr>
        <w:t>.</w:t>
      </w:r>
    </w:p>
  </w:footnote>
  <w:footnote w:id="63">
    <w:p w14:paraId="3EBE7BF4" w14:textId="77777777" w:rsidR="0013116F" w:rsidRDefault="0013116F" w:rsidP="004A326E">
      <w:pPr>
        <w:pStyle w:val="a9"/>
        <w:rPr>
          <w:rtl/>
        </w:rPr>
      </w:pPr>
      <w:r>
        <w:rPr>
          <w:rStyle w:val="ab"/>
        </w:rPr>
        <w:footnoteRef/>
      </w:r>
      <w:r>
        <w:rPr>
          <w:rtl/>
        </w:rPr>
        <w:t xml:space="preserve"> </w:t>
      </w:r>
      <w:r w:rsidRPr="006038B1">
        <w:rPr>
          <w:rFonts w:cs="Arial"/>
          <w:rtl/>
        </w:rPr>
        <w:t>מקום</w:t>
      </w:r>
      <w:r>
        <w:rPr>
          <w:rFonts w:cs="Arial" w:hint="cs"/>
          <w:rtl/>
        </w:rPr>
        <w:t>, רש"י</w:t>
      </w:r>
      <w:r w:rsidRPr="006038B1">
        <w:rPr>
          <w:rFonts w:cs="Arial"/>
          <w:rtl/>
        </w:rPr>
        <w:t>.</w:t>
      </w:r>
    </w:p>
  </w:footnote>
  <w:footnote w:id="64">
    <w:p w14:paraId="2CA60BFE" w14:textId="77777777" w:rsidR="0013116F" w:rsidRDefault="0013116F" w:rsidP="004A326E">
      <w:pPr>
        <w:pStyle w:val="a9"/>
      </w:pPr>
      <w:r>
        <w:rPr>
          <w:rStyle w:val="ab"/>
        </w:rPr>
        <w:footnoteRef/>
      </w:r>
      <w:r>
        <w:rPr>
          <w:rtl/>
        </w:rPr>
        <w:t xml:space="preserve"> </w:t>
      </w:r>
      <w:r w:rsidRPr="00DE3A23">
        <w:rPr>
          <w:rFonts w:cs="Arial"/>
          <w:rtl/>
        </w:rPr>
        <w:t>דהציל עצמו בממון חברו</w:t>
      </w:r>
      <w:r>
        <w:rPr>
          <w:rFonts w:cs="Arial" w:hint="cs"/>
          <w:rtl/>
        </w:rPr>
        <w:t>, רש"י</w:t>
      </w:r>
      <w:r w:rsidRPr="00DE3A23">
        <w:rPr>
          <w:rFonts w:cs="Arial"/>
          <w:rtl/>
        </w:rPr>
        <w:t>.</w:t>
      </w:r>
    </w:p>
  </w:footnote>
  <w:footnote w:id="65">
    <w:p w14:paraId="7926ECA2" w14:textId="77777777" w:rsidR="0013116F" w:rsidRDefault="0013116F" w:rsidP="004A326E">
      <w:pPr>
        <w:pStyle w:val="a9"/>
        <w:rPr>
          <w:rtl/>
        </w:rPr>
      </w:pPr>
      <w:r>
        <w:rPr>
          <w:rStyle w:val="ab"/>
        </w:rPr>
        <w:footnoteRef/>
      </w:r>
      <w:r>
        <w:rPr>
          <w:rtl/>
        </w:rPr>
        <w:t xml:space="preserve"> </w:t>
      </w:r>
      <w:r w:rsidRPr="00DE3A23">
        <w:rPr>
          <w:rFonts w:cs="Arial"/>
          <w:rtl/>
        </w:rPr>
        <w:t>בלא אונס</w:t>
      </w:r>
      <w:r>
        <w:rPr>
          <w:rFonts w:cs="Arial" w:hint="cs"/>
          <w:rtl/>
        </w:rPr>
        <w:t>, רש"י</w:t>
      </w:r>
      <w:r w:rsidRPr="00DE3A23">
        <w:rPr>
          <w:rFonts w:cs="Arial"/>
          <w:rtl/>
        </w:rPr>
        <w:t>.</w:t>
      </w:r>
    </w:p>
  </w:footnote>
  <w:footnote w:id="66">
    <w:p w14:paraId="6550E920" w14:textId="77777777" w:rsidR="0013116F" w:rsidRDefault="0013116F" w:rsidP="004A326E">
      <w:pPr>
        <w:pStyle w:val="a9"/>
        <w:rPr>
          <w:rtl/>
        </w:rPr>
      </w:pPr>
      <w:r>
        <w:rPr>
          <w:rStyle w:val="ab"/>
        </w:rPr>
        <w:footnoteRef/>
      </w:r>
      <w:r>
        <w:rPr>
          <w:rtl/>
        </w:rPr>
        <w:t xml:space="preserve"> </w:t>
      </w:r>
      <w:r w:rsidRPr="00DE3A23">
        <w:rPr>
          <w:rFonts w:cs="Arial"/>
          <w:rtl/>
        </w:rPr>
        <w:t>ש</w:t>
      </w:r>
      <w:r>
        <w:rPr>
          <w:rFonts w:cs="Arial" w:hint="cs"/>
          <w:rtl/>
        </w:rPr>
        <w:t>א</w:t>
      </w:r>
      <w:r w:rsidRPr="00DE3A23">
        <w:rPr>
          <w:rFonts w:cs="Arial"/>
          <w:rtl/>
        </w:rPr>
        <w:t xml:space="preserve"> והולך עמנו לבית המלך</w:t>
      </w:r>
      <w:r>
        <w:rPr>
          <w:rFonts w:cs="Arial" w:hint="cs"/>
          <w:rtl/>
        </w:rPr>
        <w:t>, רש"י</w:t>
      </w:r>
      <w:r w:rsidRPr="00DE3A23">
        <w:rPr>
          <w:rFonts w:cs="Arial"/>
          <w:rtl/>
        </w:rPr>
        <w:t>.</w:t>
      </w:r>
    </w:p>
  </w:footnote>
  <w:footnote w:id="67">
    <w:p w14:paraId="6C0C6E94" w14:textId="77777777" w:rsidR="0013116F" w:rsidRDefault="0013116F" w:rsidP="004A326E">
      <w:pPr>
        <w:pStyle w:val="a9"/>
      </w:pPr>
      <w:r>
        <w:rPr>
          <w:rStyle w:val="ab"/>
        </w:rPr>
        <w:footnoteRef/>
      </w:r>
      <w:r>
        <w:rPr>
          <w:rtl/>
        </w:rPr>
        <w:t xml:space="preserve"> </w:t>
      </w:r>
      <w:r>
        <w:rPr>
          <w:rFonts w:cs="Arial" w:hint="cs"/>
          <w:rtl/>
        </w:rPr>
        <w:t>הגוים</w:t>
      </w:r>
      <w:r w:rsidRPr="00DE3A23">
        <w:rPr>
          <w:rFonts w:cs="Arial"/>
          <w:rtl/>
        </w:rPr>
        <w:t xml:space="preserve"> על הממון מעיקרא ע"י האונס אלא הלך ונטל ונתנו להם</w:t>
      </w:r>
      <w:r>
        <w:rPr>
          <w:rFonts w:cs="Arial" w:hint="cs"/>
          <w:rtl/>
        </w:rPr>
        <w:t>,</w:t>
      </w:r>
      <w:r w:rsidRPr="00DE3A23">
        <w:rPr>
          <w:rFonts w:cs="Arial"/>
          <w:rtl/>
        </w:rPr>
        <w:t xml:space="preserve"> אבל הכא דאוקמינהו על היין </w:t>
      </w:r>
      <w:r>
        <w:rPr>
          <w:rFonts w:cs="Arial"/>
          <w:rtl/>
        </w:rPr>
        <w:t>–</w:t>
      </w:r>
      <w:r>
        <w:rPr>
          <w:rFonts w:cs="Arial" w:hint="cs"/>
          <w:rtl/>
        </w:rPr>
        <w:t xml:space="preserve"> </w:t>
      </w:r>
      <w:r w:rsidRPr="00DE3A23">
        <w:rPr>
          <w:rFonts w:cs="Arial"/>
          <w:rtl/>
        </w:rPr>
        <w:t>קלייה</w:t>
      </w:r>
      <w:r>
        <w:rPr>
          <w:rFonts w:cs="Arial" w:hint="cs"/>
          <w:sz w:val="16"/>
          <w:szCs w:val="16"/>
          <w:rtl/>
        </w:rPr>
        <w:t xml:space="preserve"> {כאילו נשרף היין}</w:t>
      </w:r>
      <w:r>
        <w:rPr>
          <w:rFonts w:cs="Arial" w:hint="cs"/>
          <w:rtl/>
        </w:rPr>
        <w:t xml:space="preserve">, </w:t>
      </w:r>
      <w:r w:rsidRPr="00DE3A23">
        <w:rPr>
          <w:rFonts w:cs="Arial"/>
          <w:rtl/>
        </w:rPr>
        <w:t>ואההיא שעתא פטור</w:t>
      </w:r>
      <w:r>
        <w:rPr>
          <w:rFonts w:cs="Arial" w:hint="cs"/>
          <w:rtl/>
        </w:rPr>
        <w:t>,</w:t>
      </w:r>
      <w:r w:rsidRPr="00DE3A23">
        <w:rPr>
          <w:rFonts w:cs="Arial"/>
          <w:rtl/>
        </w:rPr>
        <w:t xml:space="preserve"> כי אמטי תו </w:t>
      </w:r>
      <w:r>
        <w:rPr>
          <w:rFonts w:cs="Arial" w:hint="cs"/>
          <w:rtl/>
        </w:rPr>
        <w:t xml:space="preserve">- </w:t>
      </w:r>
      <w:r w:rsidRPr="00DE3A23">
        <w:rPr>
          <w:rFonts w:cs="Arial"/>
          <w:rtl/>
        </w:rPr>
        <w:t xml:space="preserve">דידהו </w:t>
      </w:r>
      <w:r>
        <w:rPr>
          <w:rFonts w:cs="Arial" w:hint="cs"/>
          <w:sz w:val="16"/>
          <w:szCs w:val="16"/>
          <w:rtl/>
        </w:rPr>
        <w:t xml:space="preserve">{של האנסים} </w:t>
      </w:r>
      <w:r w:rsidRPr="00DE3A23">
        <w:rPr>
          <w:rFonts w:cs="Arial"/>
          <w:rtl/>
        </w:rPr>
        <w:t>אמטי</w:t>
      </w:r>
      <w:r>
        <w:rPr>
          <w:rFonts w:cs="Arial" w:hint="cs"/>
          <w:rtl/>
        </w:rPr>
        <w:t>, רש"י.</w:t>
      </w:r>
    </w:p>
  </w:footnote>
  <w:footnote w:id="68">
    <w:p w14:paraId="33FB0A91" w14:textId="77777777" w:rsidR="0013116F" w:rsidRDefault="0013116F" w:rsidP="004A326E">
      <w:pPr>
        <w:pStyle w:val="a9"/>
        <w:rPr>
          <w:rtl/>
        </w:rPr>
      </w:pPr>
      <w:r>
        <w:rPr>
          <w:rStyle w:val="ab"/>
        </w:rPr>
        <w:footnoteRef/>
      </w:r>
      <w:r>
        <w:rPr>
          <w:rtl/>
        </w:rPr>
        <w:t xml:space="preserve"> </w:t>
      </w:r>
      <w:r>
        <w:rPr>
          <w:rFonts w:cs="Arial" w:hint="cs"/>
          <w:rtl/>
        </w:rPr>
        <w:t>גוי</w:t>
      </w:r>
      <w:r w:rsidRPr="00C73D8D">
        <w:rPr>
          <w:rFonts w:cs="Arial"/>
          <w:rtl/>
        </w:rPr>
        <w:t xml:space="preserve"> מצד זה והעמיר מצד זה דאי לא יהביה נהליה לא מצי אנס למשקליה</w:t>
      </w:r>
      <w:r>
        <w:rPr>
          <w:rFonts w:cs="Arial" w:hint="cs"/>
          <w:rtl/>
        </w:rPr>
        <w:t>, רש"י</w:t>
      </w:r>
      <w:r w:rsidRPr="00C73D8D">
        <w:rPr>
          <w:rFonts w:cs="Arial"/>
          <w:rtl/>
        </w:rPr>
        <w:t>.</w:t>
      </w:r>
    </w:p>
  </w:footnote>
  <w:footnote w:id="69">
    <w:p w14:paraId="40D13E9B" w14:textId="77777777" w:rsidR="0013116F" w:rsidRDefault="0013116F" w:rsidP="004A326E">
      <w:pPr>
        <w:pStyle w:val="a9"/>
        <w:rPr>
          <w:rtl/>
        </w:rPr>
      </w:pPr>
      <w:r>
        <w:rPr>
          <w:rStyle w:val="ab"/>
        </w:rPr>
        <w:footnoteRef/>
      </w:r>
      <w:r>
        <w:rPr>
          <w:rtl/>
        </w:rPr>
        <w:t xml:space="preserve"> </w:t>
      </w:r>
      <w:r w:rsidRPr="00C73D8D">
        <w:rPr>
          <w:rFonts w:cs="Arial"/>
          <w:rtl/>
        </w:rPr>
        <w:t>ושפיר עבדת דקטלתיה</w:t>
      </w:r>
      <w:r>
        <w:rPr>
          <w:rFonts w:cs="Arial" w:hint="cs"/>
          <w:rtl/>
        </w:rPr>
        <w:t>, רש"י</w:t>
      </w:r>
      <w:r w:rsidRPr="00C73D8D">
        <w:rPr>
          <w:rFonts w:cs="Arial"/>
          <w:rtl/>
        </w:rPr>
        <w:t>.</w:t>
      </w:r>
    </w:p>
  </w:footnote>
  <w:footnote w:id="70">
    <w:p w14:paraId="365BA9A9" w14:textId="77777777" w:rsidR="0013116F" w:rsidRDefault="0013116F" w:rsidP="004A326E">
      <w:pPr>
        <w:pStyle w:val="a9"/>
      </w:pPr>
      <w:r>
        <w:rPr>
          <w:rStyle w:val="ab"/>
        </w:rPr>
        <w:footnoteRef/>
      </w:r>
      <w:r>
        <w:rPr>
          <w:rtl/>
        </w:rPr>
        <w:t xml:space="preserve"> </w:t>
      </w:r>
      <w:r>
        <w:rPr>
          <w:rFonts w:cs="Arial"/>
          <w:rtl/>
        </w:rPr>
        <w:t xml:space="preserve">מ"ש </w:t>
      </w:r>
      <w:r>
        <w:rPr>
          <w:rFonts w:cs="Arial" w:hint="cs"/>
          <w:rtl/>
        </w:rPr>
        <w:t>'</w:t>
      </w:r>
      <w:r>
        <w:rPr>
          <w:rFonts w:cs="Arial"/>
          <w:rtl/>
        </w:rPr>
        <w:t>א</w:t>
      </w:r>
      <w:r>
        <w:rPr>
          <w:rFonts w:cs="Arial" w:hint="cs"/>
          <w:rtl/>
        </w:rPr>
        <w:t>ע"פ</w:t>
      </w:r>
      <w:r>
        <w:rPr>
          <w:rFonts w:cs="Arial"/>
          <w:rtl/>
        </w:rPr>
        <w:t xml:space="preserve"> שלא היה עושה מעשה</w:t>
      </w:r>
      <w:r>
        <w:rPr>
          <w:rFonts w:cs="Arial" w:hint="cs"/>
          <w:rtl/>
        </w:rPr>
        <w:t>'</w:t>
      </w:r>
      <w:r>
        <w:rPr>
          <w:rFonts w:cs="Arial"/>
          <w:rtl/>
        </w:rPr>
        <w:t xml:space="preserve"> </w:t>
      </w:r>
      <w:r>
        <w:rPr>
          <w:rFonts w:cs="Arial" w:hint="cs"/>
          <w:rtl/>
        </w:rPr>
        <w:t xml:space="preserve">- </w:t>
      </w:r>
      <w:r>
        <w:rPr>
          <w:rFonts w:cs="Arial"/>
          <w:rtl/>
        </w:rPr>
        <w:t>היינו לומר שאע</w:t>
      </w:r>
      <w:r>
        <w:rPr>
          <w:rFonts w:cs="Arial" w:hint="cs"/>
          <w:rtl/>
        </w:rPr>
        <w:t>"</w:t>
      </w:r>
      <w:r>
        <w:rPr>
          <w:rFonts w:cs="Arial"/>
          <w:rtl/>
        </w:rPr>
        <w:t>פ שלא נשא ונתן ביד ממון חבירו לגוים אלא שהלשין בפיו</w:t>
      </w:r>
      <w:r>
        <w:rPr>
          <w:rFonts w:cs="Arial" w:hint="cs"/>
          <w:rtl/>
        </w:rPr>
        <w:t>,</w:t>
      </w:r>
      <w:r>
        <w:rPr>
          <w:rFonts w:cs="Arial"/>
          <w:rtl/>
        </w:rPr>
        <w:t xml:space="preserve"> וכההוא דאחוי כריא דתיבנא דחבריה</w:t>
      </w:r>
      <w:r>
        <w:rPr>
          <w:rFonts w:cs="Arial" w:hint="cs"/>
          <w:rtl/>
        </w:rPr>
        <w:t xml:space="preserve">. </w:t>
      </w:r>
      <w:r>
        <w:rPr>
          <w:rFonts w:cs="Arial"/>
          <w:rtl/>
        </w:rPr>
        <w:t>וסלקא דעתך אמינא דכיון שמחייבים אותו אע</w:t>
      </w:r>
      <w:r>
        <w:rPr>
          <w:rFonts w:cs="Arial" w:hint="cs"/>
          <w:rtl/>
        </w:rPr>
        <w:t>"</w:t>
      </w:r>
      <w:r>
        <w:rPr>
          <w:rFonts w:cs="Arial"/>
          <w:rtl/>
        </w:rPr>
        <w:t>פ שלא עשה מעשה ביד דמי לקנס ולא יגבוהו בחוצה לארץ קמ"ל דמגבין אותו בחוצה לארץ וכהנהו עובדי דפרק בתרא דבבא קמא</w:t>
      </w:r>
      <w:r>
        <w:rPr>
          <w:rFonts w:cs="Arial" w:hint="cs"/>
          <w:rtl/>
        </w:rPr>
        <w:t>, ב"י.</w:t>
      </w:r>
    </w:p>
  </w:footnote>
  <w:footnote w:id="71">
    <w:p w14:paraId="75887AB4" w14:textId="77777777" w:rsidR="0013116F" w:rsidRDefault="0013116F" w:rsidP="004A326E">
      <w:pPr>
        <w:pStyle w:val="a9"/>
        <w:rPr>
          <w:rtl/>
        </w:rPr>
      </w:pPr>
      <w:r>
        <w:rPr>
          <w:rStyle w:val="ab"/>
        </w:rPr>
        <w:footnoteRef/>
      </w:r>
      <w:r>
        <w:rPr>
          <w:rtl/>
        </w:rPr>
        <w:t xml:space="preserve"> </w:t>
      </w:r>
      <w:r w:rsidRPr="002832D8">
        <w:rPr>
          <w:rFonts w:cs="Arial"/>
          <w:rtl/>
        </w:rPr>
        <w:t xml:space="preserve">דוקא כשהוציאו על ידן הוא דנתחייבו, ולא מכאשר זמם כשעדיין לא הוציאו, דקנס הוא. והא דכתב והוזמו ולא כתב והוכחשו, משום דבהכחשה דשנים אמרו </w:t>
      </w:r>
      <w:r>
        <w:rPr>
          <w:rFonts w:cs="Arial" w:hint="cs"/>
          <w:rtl/>
        </w:rPr>
        <w:t>'</w:t>
      </w:r>
      <w:r w:rsidRPr="002832D8">
        <w:rPr>
          <w:rFonts w:cs="Arial"/>
          <w:rtl/>
        </w:rPr>
        <w:t>לוה</w:t>
      </w:r>
      <w:r>
        <w:rPr>
          <w:rFonts w:cs="Arial" w:hint="cs"/>
          <w:rtl/>
        </w:rPr>
        <w:t>'</w:t>
      </w:r>
      <w:r w:rsidRPr="002832D8">
        <w:rPr>
          <w:rFonts w:cs="Arial"/>
          <w:rtl/>
        </w:rPr>
        <w:t xml:space="preserve"> והוציאו ממון על פיהם, ולאחר זמן באו שנים ואמרו </w:t>
      </w:r>
      <w:r>
        <w:rPr>
          <w:rFonts w:cs="Arial" w:hint="cs"/>
          <w:rtl/>
        </w:rPr>
        <w:t>'</w:t>
      </w:r>
      <w:r w:rsidRPr="002832D8">
        <w:rPr>
          <w:rFonts w:cs="Arial"/>
          <w:rtl/>
        </w:rPr>
        <w:t>לא לוה</w:t>
      </w:r>
      <w:r>
        <w:rPr>
          <w:rFonts w:cs="Arial" w:hint="cs"/>
          <w:rtl/>
        </w:rPr>
        <w:t>'</w:t>
      </w:r>
      <w:r w:rsidRPr="002832D8">
        <w:rPr>
          <w:rFonts w:cs="Arial"/>
          <w:rtl/>
        </w:rPr>
        <w:t>, בכה"ג אם הוציאו ממון על פיהם אין מחייבין אותן, דמה ראית להאמין לאחרונים יותר מלהראשונים, משא"כ אם הוזמו, וכמ"ש הטור והמחבר לקמן בר</w:t>
      </w:r>
      <w:r>
        <w:rPr>
          <w:rFonts w:cs="Arial" w:hint="cs"/>
          <w:rtl/>
        </w:rPr>
        <w:t>"</w:t>
      </w:r>
      <w:r w:rsidRPr="002832D8">
        <w:rPr>
          <w:rFonts w:cs="Arial"/>
          <w:rtl/>
        </w:rPr>
        <w:t>ס ל"א וסי</w:t>
      </w:r>
      <w:r>
        <w:rPr>
          <w:rFonts w:cs="Arial" w:hint="cs"/>
          <w:rtl/>
        </w:rPr>
        <w:t>'</w:t>
      </w:r>
      <w:r w:rsidRPr="002832D8">
        <w:rPr>
          <w:rFonts w:cs="Arial"/>
          <w:rtl/>
        </w:rPr>
        <w:t xml:space="preserve"> ל"ח וסי</w:t>
      </w:r>
      <w:r>
        <w:rPr>
          <w:rFonts w:cs="Arial" w:hint="cs"/>
          <w:rtl/>
        </w:rPr>
        <w:t>'</w:t>
      </w:r>
      <w:r w:rsidRPr="002832D8">
        <w:rPr>
          <w:rFonts w:cs="Arial"/>
          <w:rtl/>
        </w:rPr>
        <w:t xml:space="preserve"> מ"ו [טור סעיף ל"ג ומחבר] בסעיף ל"ז</w:t>
      </w:r>
      <w:r>
        <w:rPr>
          <w:rFonts w:hint="cs"/>
          <w:rtl/>
        </w:rPr>
        <w:t>, סמ"ע (סקט"ז).</w:t>
      </w:r>
    </w:p>
  </w:footnote>
  <w:footnote w:id="72">
    <w:p w14:paraId="0FD84215" w14:textId="77777777" w:rsidR="0013116F" w:rsidRPr="00760975" w:rsidRDefault="0013116F" w:rsidP="004A326E">
      <w:pPr>
        <w:pStyle w:val="a9"/>
        <w:rPr>
          <w:rtl/>
        </w:rPr>
      </w:pPr>
      <w:r w:rsidRPr="00760975">
        <w:rPr>
          <w:rStyle w:val="ab"/>
        </w:rPr>
        <w:footnoteRef/>
      </w:r>
      <w:r w:rsidRPr="00760975">
        <w:rPr>
          <w:rtl/>
        </w:rPr>
        <w:t xml:space="preserve"> </w:t>
      </w:r>
      <w:r w:rsidRPr="00760975">
        <w:rPr>
          <w:rFonts w:cs="Arial"/>
          <w:rtl/>
        </w:rPr>
        <w:t>ועיין לקמן סימן כט סעיף ב</w:t>
      </w:r>
      <w:r w:rsidRPr="00760975">
        <w:rPr>
          <w:rFonts w:hint="cs"/>
          <w:rtl/>
        </w:rPr>
        <w:t>, סמ"ע.</w:t>
      </w:r>
    </w:p>
  </w:footnote>
  <w:footnote w:id="73">
    <w:p w14:paraId="766BC850" w14:textId="77777777" w:rsidR="0013116F" w:rsidRDefault="0013116F">
      <w:pPr>
        <w:pStyle w:val="a9"/>
      </w:pPr>
      <w:r>
        <w:rPr>
          <w:rStyle w:val="ab"/>
        </w:rPr>
        <w:footnoteRef/>
      </w:r>
      <w:r>
        <w:rPr>
          <w:rtl/>
        </w:rPr>
        <w:t xml:space="preserve"> </w:t>
      </w:r>
      <w:r>
        <w:rPr>
          <w:rFonts w:hint="cs"/>
          <w:rtl/>
        </w:rPr>
        <w:t xml:space="preserve">סימן </w:t>
      </w:r>
      <w:r>
        <w:rPr>
          <w:rtl/>
        </w:rPr>
        <w:t>–</w:t>
      </w:r>
      <w:r>
        <w:rPr>
          <w:rFonts w:hint="cs"/>
          <w:rtl/>
        </w:rPr>
        <w:t xml:space="preserve"> טו וטו</w:t>
      </w:r>
      <w:r>
        <w:rPr>
          <w:rFonts w:hint="cs"/>
          <w:sz w:val="16"/>
          <w:szCs w:val="16"/>
          <w:rtl/>
        </w:rPr>
        <w:t xml:space="preserve"> (כשחוצים לשניים </w:t>
      </w:r>
      <w:r>
        <w:rPr>
          <w:sz w:val="16"/>
          <w:szCs w:val="16"/>
          <w:rtl/>
        </w:rPr>
        <w:t>–</w:t>
      </w:r>
      <w:r>
        <w:rPr>
          <w:rFonts w:hint="cs"/>
          <w:sz w:val="16"/>
          <w:szCs w:val="16"/>
          <w:rtl/>
        </w:rPr>
        <w:t xml:space="preserve"> קנס)</w:t>
      </w:r>
      <w:r>
        <w:rPr>
          <w:rFonts w:hint="cs"/>
          <w:rtl/>
        </w:rPr>
        <w:t xml:space="preserve">. וכן איתא בכתובות מא ע"ב וסימנו </w:t>
      </w:r>
      <w:r>
        <w:rPr>
          <w:rtl/>
        </w:rPr>
        <w:t>–</w:t>
      </w:r>
      <w:r>
        <w:rPr>
          <w:rFonts w:hint="cs"/>
          <w:rtl/>
        </w:rPr>
        <w:t xml:space="preserve"> אכילה מוזרה.</w:t>
      </w:r>
    </w:p>
  </w:footnote>
  <w:footnote w:id="74">
    <w:p w14:paraId="1FF0971B" w14:textId="77777777" w:rsidR="0013116F" w:rsidRDefault="0013116F">
      <w:pPr>
        <w:pStyle w:val="a9"/>
        <w:rPr>
          <w:rtl/>
        </w:rPr>
      </w:pPr>
      <w:r>
        <w:rPr>
          <w:rStyle w:val="ab"/>
        </w:rPr>
        <w:footnoteRef/>
      </w:r>
      <w:r>
        <w:rPr>
          <w:rtl/>
        </w:rPr>
        <w:t xml:space="preserve"> </w:t>
      </w:r>
      <w:r>
        <w:rPr>
          <w:rFonts w:hint="cs"/>
          <w:rtl/>
        </w:rPr>
        <w:t>כבשים, רש"י.</w:t>
      </w:r>
    </w:p>
  </w:footnote>
  <w:footnote w:id="75">
    <w:p w14:paraId="6BE1ABF7" w14:textId="77777777" w:rsidR="0013116F" w:rsidRDefault="0013116F" w:rsidP="004A326E">
      <w:pPr>
        <w:pStyle w:val="a9"/>
      </w:pPr>
      <w:r>
        <w:rPr>
          <w:rStyle w:val="ab"/>
        </w:rPr>
        <w:footnoteRef/>
      </w:r>
      <w:r>
        <w:rPr>
          <w:rtl/>
        </w:rPr>
        <w:t xml:space="preserve"> </w:t>
      </w:r>
      <w:r>
        <w:rPr>
          <w:rFonts w:cs="Arial"/>
          <w:rtl/>
        </w:rPr>
        <w:t>היינו לומר דדוקא כשתפסו מיד לאחר שהזיק קודם שיבא ליד בעלים אבל לאחר שבא ליד בעלים לא</w:t>
      </w:r>
      <w:r>
        <w:rPr>
          <w:rFonts w:cs="Arial" w:hint="cs"/>
          <w:rtl/>
        </w:rPr>
        <w:t>,</w:t>
      </w:r>
      <w:r>
        <w:rPr>
          <w:rFonts w:cs="Arial"/>
          <w:rtl/>
        </w:rPr>
        <w:t xml:space="preserve"> וראיה מפ</w:t>
      </w:r>
      <w:r>
        <w:rPr>
          <w:rFonts w:cs="Arial" w:hint="cs"/>
          <w:rtl/>
        </w:rPr>
        <w:t>'</w:t>
      </w:r>
      <w:r>
        <w:rPr>
          <w:rFonts w:cs="Arial"/>
          <w:rtl/>
        </w:rPr>
        <w:t xml:space="preserve"> הכותב </w:t>
      </w:r>
      <w:r w:rsidRPr="00C12516">
        <w:rPr>
          <w:rFonts w:cs="Arial"/>
          <w:sz w:val="16"/>
          <w:szCs w:val="16"/>
          <w:rtl/>
        </w:rPr>
        <w:t xml:space="preserve">(כתובות פד:) </w:t>
      </w:r>
      <w:r>
        <w:rPr>
          <w:rFonts w:cs="Arial"/>
          <w:rtl/>
        </w:rPr>
        <w:t>דלרבי טרפון מהניא תפיסה דלאחר מיתה ומפרש לה רב ושמואל בצבורים ומונחים ברשות הרבים</w:t>
      </w:r>
      <w:r>
        <w:rPr>
          <w:rFonts w:cs="Arial" w:hint="cs"/>
          <w:rtl/>
        </w:rPr>
        <w:t>,</w:t>
      </w:r>
      <w:r w:rsidRPr="003C5241">
        <w:rPr>
          <w:rFonts w:cs="Arial"/>
          <w:rtl/>
        </w:rPr>
        <w:t xml:space="preserve"> </w:t>
      </w:r>
      <w:r>
        <w:rPr>
          <w:rFonts w:cs="Arial"/>
          <w:rtl/>
        </w:rPr>
        <w:t>הגה</w:t>
      </w:r>
      <w:r>
        <w:rPr>
          <w:rFonts w:cs="Arial" w:hint="cs"/>
          <w:rtl/>
        </w:rPr>
        <w:t>"</w:t>
      </w:r>
      <w:r>
        <w:rPr>
          <w:rFonts w:cs="Arial"/>
          <w:rtl/>
        </w:rPr>
        <w:t xml:space="preserve">מ </w:t>
      </w:r>
      <w:r w:rsidRPr="00C12516">
        <w:rPr>
          <w:rFonts w:cs="Arial" w:hint="cs"/>
          <w:sz w:val="16"/>
          <w:szCs w:val="16"/>
          <w:rtl/>
        </w:rPr>
        <w:t>(</w:t>
      </w:r>
      <w:r w:rsidRPr="00C12516">
        <w:rPr>
          <w:rFonts w:cs="Arial"/>
          <w:sz w:val="16"/>
          <w:szCs w:val="16"/>
          <w:rtl/>
        </w:rPr>
        <w:t>סנהדרין פ"ה אות ח)</w:t>
      </w:r>
      <w:r>
        <w:rPr>
          <w:rFonts w:cs="Arial" w:hint="cs"/>
          <w:rtl/>
        </w:rPr>
        <w:t>.</w:t>
      </w:r>
    </w:p>
  </w:footnote>
  <w:footnote w:id="76">
    <w:p w14:paraId="4B8F15AC" w14:textId="77777777" w:rsidR="0013116F" w:rsidRDefault="0013116F" w:rsidP="004A326E">
      <w:pPr>
        <w:pStyle w:val="a9"/>
        <w:rPr>
          <w:rtl/>
        </w:rPr>
      </w:pPr>
      <w:r>
        <w:rPr>
          <w:rStyle w:val="ab"/>
        </w:rPr>
        <w:footnoteRef/>
      </w:r>
      <w:r>
        <w:rPr>
          <w:rtl/>
        </w:rPr>
        <w:t xml:space="preserve"> </w:t>
      </w:r>
      <w:r>
        <w:rPr>
          <w:rFonts w:hint="cs"/>
          <w:rtl/>
        </w:rPr>
        <w:t>הרא"ש כתב על דברי ר"ת-</w:t>
      </w:r>
      <w:r>
        <w:rPr>
          <w:rFonts w:cs="Arial" w:hint="cs"/>
          <w:rtl/>
        </w:rPr>
        <w:t xml:space="preserve"> </w:t>
      </w:r>
      <w:r w:rsidRPr="00A122D6">
        <w:rPr>
          <w:rFonts w:cs="Arial"/>
          <w:rtl/>
        </w:rPr>
        <w:t>ולא יכולתי לעמוד על דבריו דאם לקח יותר מכדי נזקיו יכולין ב"ד לדון כדי שיחזיר לו המותר ולא מיקרי דיני קנסות בבבל שהרי כבר נפרע מנזקו בתקנת חכמים שאמרו לא מפקינן מיניה ואין אנו דנין אלא להחזיר את המותר</w:t>
      </w:r>
      <w:r>
        <w:rPr>
          <w:rFonts w:cs="Arial" w:hint="cs"/>
          <w:rtl/>
        </w:rPr>
        <w:t>,</w:t>
      </w:r>
      <w:r w:rsidRPr="00A122D6">
        <w:rPr>
          <w:rFonts w:cs="Arial"/>
          <w:rtl/>
        </w:rPr>
        <w:t xml:space="preserve"> הלכך נראה ד</w:t>
      </w:r>
      <w:r>
        <w:rPr>
          <w:rFonts w:cs="Arial" w:hint="cs"/>
          <w:rtl/>
        </w:rPr>
        <w:t>-...</w:t>
      </w:r>
      <w:r>
        <w:rPr>
          <w:rFonts w:hint="cs"/>
          <w:rtl/>
        </w:rPr>
        <w:t xml:space="preserve"> </w:t>
      </w:r>
    </w:p>
  </w:footnote>
  <w:footnote w:id="77">
    <w:p w14:paraId="4B3F3389" w14:textId="77777777" w:rsidR="0013116F" w:rsidRDefault="0013116F" w:rsidP="004A326E">
      <w:pPr>
        <w:pStyle w:val="a9"/>
      </w:pPr>
      <w:r>
        <w:rPr>
          <w:rStyle w:val="ab"/>
        </w:rPr>
        <w:footnoteRef/>
      </w:r>
      <w:r>
        <w:rPr>
          <w:rtl/>
        </w:rPr>
        <w:t xml:space="preserve"> </w:t>
      </w:r>
      <w:r>
        <w:rPr>
          <w:rFonts w:cs="Arial" w:hint="cs"/>
          <w:rtl/>
        </w:rPr>
        <w:t xml:space="preserve">מהרי"ו </w:t>
      </w:r>
      <w:r w:rsidRPr="00FC4A4E">
        <w:rPr>
          <w:rFonts w:cs="Arial"/>
          <w:rtl/>
        </w:rPr>
        <w:t xml:space="preserve">הביא </w:t>
      </w:r>
      <w:r>
        <w:rPr>
          <w:rFonts w:cs="Arial" w:hint="cs"/>
          <w:rtl/>
        </w:rPr>
        <w:t xml:space="preserve">את </w:t>
      </w:r>
      <w:r w:rsidRPr="00FC4A4E">
        <w:rPr>
          <w:rFonts w:cs="Arial"/>
          <w:rtl/>
        </w:rPr>
        <w:t>תשוב</w:t>
      </w:r>
      <w:r>
        <w:rPr>
          <w:rFonts w:cs="Arial" w:hint="cs"/>
          <w:rtl/>
        </w:rPr>
        <w:t xml:space="preserve">ת רבינו ברוך </w:t>
      </w:r>
      <w:r w:rsidRPr="00FC4A4E">
        <w:rPr>
          <w:rFonts w:cs="Arial"/>
          <w:rtl/>
        </w:rPr>
        <w:t>וכתב</w:t>
      </w:r>
      <w:r>
        <w:rPr>
          <w:rFonts w:cs="Arial" w:hint="cs"/>
          <w:rtl/>
        </w:rPr>
        <w:t xml:space="preserve"> ד-...</w:t>
      </w:r>
    </w:p>
  </w:footnote>
  <w:footnote w:id="78">
    <w:p w14:paraId="52A8F69F" w14:textId="77777777" w:rsidR="0013116F" w:rsidRDefault="0013116F" w:rsidP="004A326E">
      <w:pPr>
        <w:pStyle w:val="a9"/>
        <w:rPr>
          <w:rtl/>
        </w:rPr>
      </w:pPr>
      <w:r>
        <w:rPr>
          <w:rStyle w:val="ab"/>
        </w:rPr>
        <w:footnoteRef/>
      </w:r>
      <w:r>
        <w:rPr>
          <w:rtl/>
        </w:rPr>
        <w:t xml:space="preserve"> </w:t>
      </w:r>
      <w:r>
        <w:rPr>
          <w:rFonts w:hint="cs"/>
          <w:rtl/>
        </w:rPr>
        <w:t xml:space="preserve">הביאו הדרכ"מ (אות ה) וכתב על דבריו- </w:t>
      </w:r>
      <w:r w:rsidRPr="00FC4A4E">
        <w:rPr>
          <w:rFonts w:cs="Arial"/>
          <w:rtl/>
        </w:rPr>
        <w:t>ולא נהירא אלא עבדינן כדברי הרא"ש לשום ולהחזיר לו המותר</w:t>
      </w:r>
      <w:r>
        <w:rPr>
          <w:rFonts w:cs="Arial" w:hint="cs"/>
          <w:rtl/>
        </w:rPr>
        <w:t>.</w:t>
      </w:r>
      <w:r>
        <w:rPr>
          <w:rFonts w:hint="cs"/>
          <w:rtl/>
        </w:rPr>
        <w:t xml:space="preserve"> </w:t>
      </w:r>
    </w:p>
  </w:footnote>
  <w:footnote w:id="79">
    <w:p w14:paraId="370A0229" w14:textId="77777777" w:rsidR="0013116F" w:rsidRDefault="0013116F" w:rsidP="00335685">
      <w:pPr>
        <w:pStyle w:val="a9"/>
        <w:rPr>
          <w:rtl/>
        </w:rPr>
      </w:pPr>
      <w:r>
        <w:rPr>
          <w:rStyle w:val="ab"/>
        </w:rPr>
        <w:footnoteRef/>
      </w:r>
      <w:r>
        <w:rPr>
          <w:rtl/>
        </w:rPr>
        <w:t xml:space="preserve"> </w:t>
      </w:r>
      <w:r w:rsidRPr="00594D99">
        <w:rPr>
          <w:rFonts w:cs="Arial"/>
          <w:rtl/>
        </w:rPr>
        <w:t>ולא נהירא לא"א הרא"ש ז"ל וכתב דלאו תקנתא היא אלא דינא הוא דאדאורייתא מיחייב אלא שאין לנו דיין בבבל שיכופנו ליתן וכל כה"ג עביד אינש דינא לנפשיה ולא מפקינן מיניה עד דיהיב ליה כל מאי דמיחייב ליה מדאורייתא</w:t>
      </w:r>
      <w:r>
        <w:rPr>
          <w:rFonts w:hint="cs"/>
          <w:rtl/>
        </w:rPr>
        <w:t>, טור (סי' שמט שם).</w:t>
      </w:r>
    </w:p>
  </w:footnote>
  <w:footnote w:id="80">
    <w:p w14:paraId="1601B4EA" w14:textId="77777777" w:rsidR="0013116F" w:rsidRDefault="0013116F">
      <w:pPr>
        <w:pStyle w:val="a9"/>
      </w:pPr>
      <w:r>
        <w:rPr>
          <w:rStyle w:val="ab"/>
        </w:rPr>
        <w:footnoteRef/>
      </w:r>
      <w:r>
        <w:rPr>
          <w:rtl/>
        </w:rPr>
        <w:t xml:space="preserve"> </w:t>
      </w:r>
      <w:r>
        <w:rPr>
          <w:rFonts w:hint="cs"/>
          <w:rtl/>
        </w:rPr>
        <w:t xml:space="preserve">סימן </w:t>
      </w:r>
      <w:r>
        <w:rPr>
          <w:rtl/>
        </w:rPr>
        <w:t>–</w:t>
      </w:r>
      <w:r>
        <w:rPr>
          <w:rFonts w:hint="cs"/>
          <w:rtl/>
        </w:rPr>
        <w:t xml:space="preserve"> פר דאלס.</w:t>
      </w:r>
    </w:p>
  </w:footnote>
  <w:footnote w:id="81">
    <w:p w14:paraId="5A863C90" w14:textId="77777777" w:rsidR="0013116F" w:rsidRDefault="0013116F">
      <w:pPr>
        <w:pStyle w:val="a9"/>
        <w:rPr>
          <w:rtl/>
        </w:rPr>
      </w:pPr>
      <w:r>
        <w:rPr>
          <w:rStyle w:val="ab"/>
        </w:rPr>
        <w:footnoteRef/>
      </w:r>
      <w:r>
        <w:rPr>
          <w:rtl/>
        </w:rPr>
        <w:t xml:space="preserve"> </w:t>
      </w:r>
      <w:r w:rsidRPr="008D6CC7">
        <w:rPr>
          <w:rFonts w:cs="Arial"/>
          <w:rtl/>
        </w:rPr>
        <w:t xml:space="preserve">רמב"ן </w:t>
      </w:r>
      <w:r w:rsidRPr="008D6CC7">
        <w:rPr>
          <w:rFonts w:cs="Arial"/>
          <w:sz w:val="16"/>
          <w:szCs w:val="16"/>
          <w:rtl/>
        </w:rPr>
        <w:t>(ספר הזכות שם טו.</w:t>
      </w:r>
      <w:r>
        <w:rPr>
          <w:rFonts w:cs="Arial" w:hint="cs"/>
          <w:sz w:val="16"/>
          <w:szCs w:val="16"/>
          <w:rtl/>
        </w:rPr>
        <w:t>,</w:t>
      </w:r>
      <w:r w:rsidRPr="008D6CC7">
        <w:rPr>
          <w:rFonts w:cs="Arial" w:hint="cs"/>
          <w:sz w:val="16"/>
          <w:szCs w:val="16"/>
          <w:rtl/>
        </w:rPr>
        <w:t xml:space="preserve"> הביאו דבריו הרא"ש [</w:t>
      </w:r>
      <w:r>
        <w:rPr>
          <w:rFonts w:cs="Arial" w:hint="cs"/>
          <w:sz w:val="16"/>
          <w:szCs w:val="16"/>
          <w:rtl/>
        </w:rPr>
        <w:t>שם</w:t>
      </w:r>
      <w:r w:rsidRPr="008D6CC7">
        <w:rPr>
          <w:rFonts w:cs="Arial" w:hint="cs"/>
          <w:sz w:val="16"/>
          <w:szCs w:val="16"/>
          <w:rtl/>
        </w:rPr>
        <w:t>] והטור</w:t>
      </w:r>
      <w:r w:rsidRPr="008D6CC7">
        <w:rPr>
          <w:rFonts w:cs="Arial"/>
          <w:sz w:val="16"/>
          <w:szCs w:val="16"/>
          <w:rtl/>
        </w:rPr>
        <w:t>)</w:t>
      </w:r>
      <w:r w:rsidRPr="007B1B89">
        <w:rPr>
          <w:rFonts w:cs="Arial" w:hint="cs"/>
          <w:rtl/>
        </w:rPr>
        <w:t xml:space="preserve"> </w:t>
      </w:r>
      <w:r>
        <w:rPr>
          <w:rFonts w:cs="Arial" w:hint="cs"/>
          <w:rtl/>
        </w:rPr>
        <w:t xml:space="preserve">רא"ש </w:t>
      </w:r>
      <w:r>
        <w:rPr>
          <w:rFonts w:cs="Arial" w:hint="cs"/>
          <w:sz w:val="16"/>
          <w:szCs w:val="16"/>
          <w:rtl/>
        </w:rPr>
        <w:t xml:space="preserve">(ב"ק פ"ק סי' ב) </w:t>
      </w:r>
      <w:r>
        <w:rPr>
          <w:rFonts w:cs="Arial" w:hint="cs"/>
          <w:rtl/>
        </w:rPr>
        <w:t xml:space="preserve">טור </w:t>
      </w:r>
      <w:r>
        <w:rPr>
          <w:rFonts w:cs="Arial" w:hint="cs"/>
          <w:sz w:val="16"/>
          <w:szCs w:val="16"/>
          <w:rtl/>
        </w:rPr>
        <w:t xml:space="preserve">(סי' שמח ס"ז-ח) </w:t>
      </w:r>
      <w:r>
        <w:rPr>
          <w:rFonts w:cs="Arial" w:hint="cs"/>
          <w:rtl/>
        </w:rPr>
        <w:t xml:space="preserve">ונמוק"י </w:t>
      </w:r>
      <w:r w:rsidRPr="007B1B89">
        <w:rPr>
          <w:rFonts w:cs="Arial" w:hint="cs"/>
          <w:sz w:val="16"/>
          <w:szCs w:val="16"/>
          <w:rtl/>
        </w:rPr>
        <w:t>(</w:t>
      </w:r>
      <w:r w:rsidRPr="007B1B89">
        <w:rPr>
          <w:rFonts w:cs="Arial"/>
          <w:sz w:val="16"/>
          <w:szCs w:val="16"/>
          <w:rtl/>
        </w:rPr>
        <w:t>פ</w:t>
      </w:r>
      <w:r w:rsidRPr="007B1B89">
        <w:rPr>
          <w:rFonts w:cs="Arial" w:hint="cs"/>
          <w:sz w:val="16"/>
          <w:szCs w:val="16"/>
          <w:rtl/>
        </w:rPr>
        <w:t>'</w:t>
      </w:r>
      <w:r w:rsidRPr="007B1B89">
        <w:rPr>
          <w:rFonts w:cs="Arial"/>
          <w:sz w:val="16"/>
          <w:szCs w:val="16"/>
          <w:rtl/>
        </w:rPr>
        <w:t xml:space="preserve"> מרובה כט</w:t>
      </w:r>
      <w:r w:rsidRPr="007B1B89">
        <w:rPr>
          <w:rFonts w:cs="Arial" w:hint="cs"/>
          <w:sz w:val="16"/>
          <w:szCs w:val="16"/>
          <w:rtl/>
        </w:rPr>
        <w:t>., כ"כ הדרכ"מ [אות ו] בשמו</w:t>
      </w:r>
      <w:r w:rsidRPr="007B1B89">
        <w:rPr>
          <w:rFonts w:cs="Arial"/>
          <w:sz w:val="16"/>
          <w:szCs w:val="16"/>
          <w:rtl/>
        </w:rPr>
        <w:t>)</w:t>
      </w:r>
      <w:r>
        <w:rPr>
          <w:rFonts w:hint="cs"/>
          <w:rtl/>
        </w:rPr>
        <w:t>.</w:t>
      </w:r>
    </w:p>
  </w:footnote>
  <w:footnote w:id="82">
    <w:p w14:paraId="6ACE4C0F" w14:textId="77777777" w:rsidR="0013116F" w:rsidRDefault="0013116F" w:rsidP="004A326E">
      <w:pPr>
        <w:pStyle w:val="a9"/>
        <w:rPr>
          <w:rtl/>
        </w:rPr>
      </w:pPr>
      <w:r>
        <w:rPr>
          <w:rStyle w:val="ab"/>
        </w:rPr>
        <w:footnoteRef/>
      </w:r>
      <w:r>
        <w:rPr>
          <w:rtl/>
        </w:rPr>
        <w:t xml:space="preserve"> </w:t>
      </w:r>
      <w:r>
        <w:rPr>
          <w:rFonts w:hint="cs"/>
          <w:rtl/>
        </w:rPr>
        <w:t xml:space="preserve">הרמב"ן </w:t>
      </w:r>
      <w:r>
        <w:rPr>
          <w:rFonts w:cs="Arial"/>
          <w:rtl/>
        </w:rPr>
        <w:t>הקשה לדברי</w:t>
      </w:r>
      <w:r>
        <w:rPr>
          <w:rFonts w:cs="Arial" w:hint="cs"/>
          <w:rtl/>
        </w:rPr>
        <w:t xml:space="preserve"> הראב"ד</w:t>
      </w:r>
      <w:r>
        <w:rPr>
          <w:rFonts w:cs="Arial"/>
          <w:rtl/>
        </w:rPr>
        <w:t xml:space="preserve"> דלא הויא הודאה אלא בב"ד והאידנא ליכא ב"ד מומחין והו"ל כמודה חוץ לב"ד שאין נפטר מן הקנס כדאמרינן שאין העדאה בבבל משום דבעינן העדאה בב"ד וליכא</w:t>
      </w:r>
      <w:r>
        <w:rPr>
          <w:rFonts w:cs="Arial" w:hint="cs"/>
          <w:rtl/>
        </w:rPr>
        <w:t>,</w:t>
      </w:r>
      <w:r>
        <w:rPr>
          <w:rFonts w:cs="Arial"/>
          <w:rtl/>
        </w:rPr>
        <w:t xml:space="preserve"> הילכך</w:t>
      </w:r>
      <w:r>
        <w:rPr>
          <w:rFonts w:cs="Arial" w:hint="cs"/>
          <w:rtl/>
        </w:rPr>
        <w:t>-...</w:t>
      </w:r>
    </w:p>
  </w:footnote>
  <w:footnote w:id="83">
    <w:p w14:paraId="0748BCEF" w14:textId="77777777" w:rsidR="0013116F" w:rsidRDefault="0013116F">
      <w:pPr>
        <w:pStyle w:val="a9"/>
      </w:pPr>
      <w:r>
        <w:rPr>
          <w:rStyle w:val="ab"/>
        </w:rPr>
        <w:footnoteRef/>
      </w:r>
      <w:r>
        <w:rPr>
          <w:rtl/>
        </w:rPr>
        <w:t xml:space="preserve"> </w:t>
      </w:r>
      <w:r>
        <w:rPr>
          <w:rFonts w:hint="cs"/>
          <w:rtl/>
        </w:rPr>
        <w:t>וכתב עוד הסמ"ע שם דלכן סתם השו"ע כיון דקיי"ל כהרמב"ן בזה.</w:t>
      </w:r>
    </w:p>
  </w:footnote>
  <w:footnote w:id="84">
    <w:p w14:paraId="0C84DC71" w14:textId="77777777" w:rsidR="0013116F" w:rsidRDefault="0013116F">
      <w:pPr>
        <w:pStyle w:val="a9"/>
        <w:rPr>
          <w:rtl/>
        </w:rPr>
      </w:pPr>
      <w:r>
        <w:rPr>
          <w:rStyle w:val="ab"/>
        </w:rPr>
        <w:footnoteRef/>
      </w:r>
      <w:r>
        <w:rPr>
          <w:rtl/>
        </w:rPr>
        <w:t xml:space="preserve"> </w:t>
      </w:r>
      <w:r w:rsidRPr="00B14269">
        <w:rPr>
          <w:rFonts w:cs="Arial"/>
          <w:rtl/>
        </w:rPr>
        <w:t xml:space="preserve">אבל ביור"ד סי' רס"ז (סקנ"ב) השיג ע"ז והסכים לדעת הב"י דדוקא בבאו עדים אח"כ הוא דלא מהני הודאתו, אבל אם לא באו עדים אח"כ בממ"נ </w:t>
      </w:r>
      <w:r>
        <w:rPr>
          <w:rFonts w:cs="Arial" w:hint="cs"/>
          <w:rtl/>
        </w:rPr>
        <w:t xml:space="preserve">- </w:t>
      </w:r>
      <w:r w:rsidRPr="00B14269">
        <w:rPr>
          <w:rFonts w:cs="Arial"/>
          <w:rtl/>
        </w:rPr>
        <w:t>או דהודאתו כלא נחשב ואין בידו לתפוס או דהוי הודאה א"כ הוי מודה בקנס, וע"ש שהאריך בראיה ברורה מגמ', וכ"כ השארית יוסף, וכן מבואר ממש להדיא בנימוק"י פרק מרובה (כט א), ע"ש, וכן הנכון</w:t>
      </w:r>
      <w:r>
        <w:rPr>
          <w:rFonts w:hint="cs"/>
          <w:rtl/>
        </w:rPr>
        <w:t xml:space="preserve">, אורים (סקי"ב). </w:t>
      </w:r>
      <w:r w:rsidRPr="00B14269">
        <w:rPr>
          <w:rFonts w:hint="cs"/>
          <w:color w:val="FF0000"/>
          <w:rtl/>
        </w:rPr>
        <w:t>צל"ע</w:t>
      </w:r>
    </w:p>
  </w:footnote>
  <w:footnote w:id="85">
    <w:p w14:paraId="600996B1" w14:textId="77777777" w:rsidR="0013116F" w:rsidRDefault="0013116F" w:rsidP="004A326E">
      <w:pPr>
        <w:pStyle w:val="a9"/>
      </w:pPr>
      <w:r>
        <w:rPr>
          <w:rStyle w:val="ab"/>
        </w:rPr>
        <w:footnoteRef/>
      </w:r>
      <w:r>
        <w:rPr>
          <w:rtl/>
        </w:rPr>
        <w:t xml:space="preserve"> </w:t>
      </w:r>
      <w:r>
        <w:rPr>
          <w:rFonts w:cs="Arial"/>
          <w:rtl/>
        </w:rPr>
        <w:t xml:space="preserve">והוסיף </w:t>
      </w:r>
      <w:r>
        <w:rPr>
          <w:rFonts w:cs="Arial" w:hint="cs"/>
          <w:rtl/>
        </w:rPr>
        <w:t xml:space="preserve">הראב"ד (כ"כ הטור בשמו) </w:t>
      </w:r>
      <w:r>
        <w:rPr>
          <w:rFonts w:cs="Arial"/>
          <w:rtl/>
        </w:rPr>
        <w:t>לומר שאם יש לקנס קצבה כגון נ' של אונס ומפתה מנדינן ליה עד שיתן אותה קצבה</w:t>
      </w:r>
      <w:r>
        <w:rPr>
          <w:rFonts w:cs="Arial" w:hint="cs"/>
          <w:rtl/>
        </w:rPr>
        <w:t>,</w:t>
      </w:r>
      <w:r>
        <w:rPr>
          <w:rFonts w:cs="Arial"/>
          <w:rtl/>
        </w:rPr>
        <w:t xml:space="preserve"> וכן כתבו קצת מהגאונים</w:t>
      </w:r>
      <w:r>
        <w:rPr>
          <w:rFonts w:cs="Arial" w:hint="cs"/>
          <w:rtl/>
        </w:rPr>
        <w:t>.</w:t>
      </w:r>
    </w:p>
  </w:footnote>
  <w:footnote w:id="86">
    <w:p w14:paraId="6AE6F49E" w14:textId="77777777" w:rsidR="0013116F" w:rsidRDefault="0013116F">
      <w:pPr>
        <w:pStyle w:val="a9"/>
      </w:pPr>
      <w:r>
        <w:rPr>
          <w:rStyle w:val="ab"/>
        </w:rPr>
        <w:footnoteRef/>
      </w:r>
      <w:r>
        <w:rPr>
          <w:rtl/>
        </w:rPr>
        <w:t xml:space="preserve"> </w:t>
      </w:r>
      <w:r>
        <w:rPr>
          <w:rFonts w:hint="cs"/>
          <w:rtl/>
        </w:rPr>
        <w:t>וז"ל-</w:t>
      </w:r>
      <w:r w:rsidRPr="007F1E5D">
        <w:rPr>
          <w:rFonts w:cs="Arial"/>
          <w:rtl/>
        </w:rPr>
        <w:t xml:space="preserve"> </w:t>
      </w:r>
      <w:r w:rsidRPr="009F6F53">
        <w:rPr>
          <w:rFonts w:cs="Arial"/>
          <w:rtl/>
        </w:rPr>
        <w:t>גם האשר"י (ב"ק פ"ח סי' ב) כתב דאפשר דתקנות הגאונים הוא לנדותו עד שיפייסנו אבל אינו מדינא והביא גם כן (שם סי' ג) דברי רב שרירא ולכן נראה דמאחר דאין חולק בדבר הכי נקטינן</w:t>
      </w:r>
      <w:r>
        <w:rPr>
          <w:rFonts w:cs="Arial" w:hint="cs"/>
          <w:rtl/>
        </w:rPr>
        <w:t>,</w:t>
      </w:r>
      <w:r w:rsidRPr="009F6F53">
        <w:rPr>
          <w:rFonts w:cs="Arial"/>
          <w:rtl/>
        </w:rPr>
        <w:t xml:space="preserve"> וכ</w:t>
      </w:r>
      <w:r>
        <w:rPr>
          <w:rFonts w:cs="Arial" w:hint="cs"/>
          <w:rtl/>
        </w:rPr>
        <w:t>"</w:t>
      </w:r>
      <w:r w:rsidRPr="009F6F53">
        <w:rPr>
          <w:rFonts w:cs="Arial"/>
          <w:rtl/>
        </w:rPr>
        <w:t>כ הרמב"ם פ"ה מהלכות סנהדרין (הי"ז)</w:t>
      </w:r>
      <w:r>
        <w:rPr>
          <w:rFonts w:cs="Arial" w:hint="cs"/>
          <w:rtl/>
        </w:rPr>
        <w:t>.</w:t>
      </w:r>
    </w:p>
  </w:footnote>
  <w:footnote w:id="87">
    <w:p w14:paraId="394335F4" w14:textId="77777777" w:rsidR="0013116F" w:rsidRDefault="0013116F" w:rsidP="004A326E">
      <w:pPr>
        <w:pStyle w:val="a9"/>
      </w:pPr>
      <w:r>
        <w:rPr>
          <w:rStyle w:val="ab"/>
        </w:rPr>
        <w:footnoteRef/>
      </w:r>
      <w:r>
        <w:rPr>
          <w:rtl/>
        </w:rPr>
        <w:t xml:space="preserve"> </w:t>
      </w:r>
      <w:r>
        <w:rPr>
          <w:rFonts w:cs="Arial"/>
          <w:rtl/>
        </w:rPr>
        <w:t>מה שכ</w:t>
      </w:r>
      <w:r>
        <w:rPr>
          <w:rFonts w:cs="Arial" w:hint="cs"/>
          <w:rtl/>
        </w:rPr>
        <w:t>תב</w:t>
      </w:r>
      <w:r>
        <w:rPr>
          <w:rFonts w:cs="Arial"/>
          <w:rtl/>
        </w:rPr>
        <w:t xml:space="preserve"> שאין לך גוביינא גדולה מזו וכו' לא למה שהוסיף הראב"ד בלבד קאי אלא גם למה שכתב רב אלפס שהרי בר</w:t>
      </w:r>
      <w:r>
        <w:rPr>
          <w:rFonts w:cs="Arial" w:hint="cs"/>
          <w:rtl/>
        </w:rPr>
        <w:t>"</w:t>
      </w:r>
      <w:r>
        <w:rPr>
          <w:rFonts w:cs="Arial"/>
          <w:rtl/>
        </w:rPr>
        <w:t xml:space="preserve">פ החובל </w:t>
      </w:r>
      <w:r w:rsidRPr="00F370C0">
        <w:rPr>
          <w:rFonts w:cs="Arial"/>
          <w:sz w:val="16"/>
          <w:szCs w:val="16"/>
          <w:rtl/>
        </w:rPr>
        <w:t xml:space="preserve">(סי' ב) </w:t>
      </w:r>
      <w:r>
        <w:rPr>
          <w:rFonts w:cs="Arial"/>
          <w:rtl/>
        </w:rPr>
        <w:t>כ</w:t>
      </w:r>
      <w:r>
        <w:rPr>
          <w:rFonts w:cs="Arial" w:hint="cs"/>
          <w:rtl/>
        </w:rPr>
        <w:t>'</w:t>
      </w:r>
      <w:r>
        <w:rPr>
          <w:rFonts w:cs="Arial"/>
          <w:rtl/>
        </w:rPr>
        <w:t xml:space="preserve"> על דברי רב אלפס ואיפשר שתקנת הגאונים היא אבל מדינא דתלמודא לא משמע הכי דא</w:t>
      </w:r>
      <w:r>
        <w:rPr>
          <w:rFonts w:cs="Arial" w:hint="cs"/>
          <w:rtl/>
        </w:rPr>
        <w:t>"</w:t>
      </w:r>
      <w:r>
        <w:rPr>
          <w:rFonts w:cs="Arial"/>
          <w:rtl/>
        </w:rPr>
        <w:t>כ אין לך גוביינא גדולה מזו וכו'</w:t>
      </w:r>
      <w:r>
        <w:rPr>
          <w:rFonts w:cs="Arial" w:hint="cs"/>
          <w:rtl/>
        </w:rPr>
        <w:t>, ב"י.</w:t>
      </w:r>
    </w:p>
  </w:footnote>
  <w:footnote w:id="88">
    <w:p w14:paraId="6279A27D" w14:textId="77777777" w:rsidR="0013116F" w:rsidRDefault="0013116F" w:rsidP="004A326E">
      <w:pPr>
        <w:pStyle w:val="a9"/>
        <w:rPr>
          <w:rtl/>
        </w:rPr>
      </w:pPr>
      <w:r>
        <w:rPr>
          <w:rStyle w:val="ab"/>
        </w:rPr>
        <w:footnoteRef/>
      </w:r>
      <w:r>
        <w:rPr>
          <w:rFonts w:hint="cs"/>
          <w:rtl/>
        </w:rPr>
        <w:t xml:space="preserve"> ו</w:t>
      </w:r>
      <w:r>
        <w:rPr>
          <w:rFonts w:cs="Arial"/>
          <w:rtl/>
        </w:rPr>
        <w:t>עיין במה שכתבתי בסימן כ"ו (מחו' ה) בשם בעל התרומות</w:t>
      </w:r>
      <w:r w:rsidRPr="009F6F53">
        <w:rPr>
          <w:rFonts w:cs="Arial"/>
          <w:sz w:val="16"/>
          <w:szCs w:val="16"/>
          <w:rtl/>
        </w:rPr>
        <w:t xml:space="preserve"> (שער סב סי' ה-ו)</w:t>
      </w:r>
      <w:r>
        <w:rPr>
          <w:rFonts w:cs="Arial"/>
          <w:rtl/>
        </w:rPr>
        <w:t xml:space="preserve"> ובדברי המרדכי סוף פרק המניח</w:t>
      </w:r>
      <w:r w:rsidRPr="009F6F53">
        <w:rPr>
          <w:rFonts w:cs="Arial"/>
          <w:sz w:val="16"/>
          <w:szCs w:val="16"/>
          <w:rtl/>
        </w:rPr>
        <w:t xml:space="preserve"> (סי' מ-מב)</w:t>
      </w:r>
      <w:r>
        <w:rPr>
          <w:rFonts w:hint="cs"/>
          <w:rtl/>
        </w:rPr>
        <w:t>,</w:t>
      </w:r>
      <w:r w:rsidRPr="007F1E5D">
        <w:rPr>
          <w:rFonts w:hint="cs"/>
          <w:rtl/>
        </w:rPr>
        <w:t xml:space="preserve"> </w:t>
      </w:r>
      <w:r>
        <w:rPr>
          <w:rFonts w:hint="cs"/>
          <w:rtl/>
        </w:rPr>
        <w:t>ב"י.</w:t>
      </w:r>
    </w:p>
  </w:footnote>
  <w:footnote w:id="89">
    <w:p w14:paraId="6F5B6EDF" w14:textId="77777777" w:rsidR="0013116F" w:rsidRDefault="0013116F" w:rsidP="004A326E">
      <w:pPr>
        <w:pStyle w:val="a9"/>
      </w:pPr>
      <w:r>
        <w:rPr>
          <w:rStyle w:val="ab"/>
        </w:rPr>
        <w:footnoteRef/>
      </w:r>
      <w:r>
        <w:rPr>
          <w:rtl/>
        </w:rPr>
        <w:t xml:space="preserve"> </w:t>
      </w:r>
      <w:r w:rsidRPr="009F6F53">
        <w:rPr>
          <w:rFonts w:cs="Arial"/>
          <w:rtl/>
        </w:rPr>
        <w:t>ועיין לקמן סימן כ"ו מדין זה גם בסימן שאחר סימן זה (ס"א)</w:t>
      </w:r>
      <w:r>
        <w:rPr>
          <w:rFonts w:cs="Arial" w:hint="cs"/>
          <w:rtl/>
        </w:rPr>
        <w:t>, דרכ"מ (אות ז).</w:t>
      </w:r>
      <w:r w:rsidRPr="000E30B1">
        <w:rPr>
          <w:rFonts w:hint="cs"/>
          <w:color w:val="FF0000"/>
          <w:rtl/>
        </w:rPr>
        <w:t xml:space="preserve"> </w:t>
      </w:r>
      <w:r w:rsidRPr="009F6F53">
        <w:rPr>
          <w:rFonts w:hint="cs"/>
          <w:color w:val="FF0000"/>
          <w:rtl/>
        </w:rPr>
        <w:t xml:space="preserve">(צריך לבדוק </w:t>
      </w:r>
      <w:r>
        <w:rPr>
          <w:rFonts w:hint="cs"/>
          <w:color w:val="FF0000"/>
          <w:rtl/>
        </w:rPr>
        <w:t>ל</w:t>
      </w:r>
      <w:r w:rsidRPr="009F6F53">
        <w:rPr>
          <w:rFonts w:hint="cs"/>
          <w:color w:val="FF0000"/>
          <w:rtl/>
        </w:rPr>
        <w:t>מה כוונתו)</w:t>
      </w:r>
    </w:p>
  </w:footnote>
  <w:footnote w:id="90">
    <w:p w14:paraId="21B95C92" w14:textId="77777777" w:rsidR="0013116F" w:rsidRDefault="0013116F" w:rsidP="004A326E">
      <w:pPr>
        <w:pStyle w:val="a9"/>
      </w:pPr>
      <w:r>
        <w:rPr>
          <w:rStyle w:val="ab"/>
        </w:rPr>
        <w:footnoteRef/>
      </w:r>
      <w:r>
        <w:rPr>
          <w:rtl/>
        </w:rPr>
        <w:t xml:space="preserve"> </w:t>
      </w:r>
      <w:r w:rsidRPr="002832D8">
        <w:rPr>
          <w:rFonts w:cs="Arial"/>
          <w:rtl/>
        </w:rPr>
        <w:t>והיינו דוקא גבי חובל וכיוצא בו מנדין שאין בו שום ממון יותר, משום דאל"כ כל אחד יחבול ויזיק לחבירו, אבל לא משום כפל ד' וה', וכ</w:t>
      </w:r>
      <w:r>
        <w:rPr>
          <w:rFonts w:cs="Arial" w:hint="cs"/>
          <w:rtl/>
        </w:rPr>
        <w:t>"</w:t>
      </w:r>
      <w:r w:rsidRPr="002832D8">
        <w:rPr>
          <w:rFonts w:cs="Arial"/>
          <w:rtl/>
        </w:rPr>
        <w:t>פ הסמ"ע סקי"ח, וכ"פ מהרש"ל [שם ביש"ש] סי' ו' ע"ש</w:t>
      </w:r>
      <w:r>
        <w:rPr>
          <w:rFonts w:cs="Arial" w:hint="cs"/>
          <w:rtl/>
        </w:rPr>
        <w:t>, ש"ך (סקי"ד).</w:t>
      </w:r>
    </w:p>
  </w:footnote>
  <w:footnote w:id="91">
    <w:p w14:paraId="5F2114BE" w14:textId="77777777" w:rsidR="0013116F" w:rsidRPr="00B403F4" w:rsidRDefault="0013116F" w:rsidP="004A326E">
      <w:pPr>
        <w:pStyle w:val="a9"/>
      </w:pPr>
      <w:r w:rsidRPr="00B403F4">
        <w:rPr>
          <w:rStyle w:val="ab"/>
        </w:rPr>
        <w:footnoteRef/>
      </w:r>
      <w:r w:rsidRPr="00B403F4">
        <w:rPr>
          <w:rtl/>
        </w:rPr>
        <w:t xml:space="preserve"> </w:t>
      </w:r>
      <w:r>
        <w:rPr>
          <w:rFonts w:cs="Arial" w:hint="cs"/>
          <w:rtl/>
        </w:rPr>
        <w:t>ו</w:t>
      </w:r>
      <w:r w:rsidRPr="002832D8">
        <w:rPr>
          <w:rFonts w:cs="Arial"/>
          <w:rtl/>
        </w:rPr>
        <w:t>מתירין לו בין נתפייס בעל דינו בין לא נתפייס</w:t>
      </w:r>
      <w:r>
        <w:rPr>
          <w:rFonts w:cs="Arial" w:hint="cs"/>
          <w:rtl/>
        </w:rPr>
        <w:t>, סמ"ע ע"פ הרמב"ם (שם). וכתב שכן צריך להגיה בדברי המחבר.</w:t>
      </w:r>
      <w:r w:rsidRPr="002832D8">
        <w:rPr>
          <w:rFonts w:cs="Arial"/>
          <w:rtl/>
        </w:rPr>
        <w:t xml:space="preserve"> </w:t>
      </w:r>
    </w:p>
  </w:footnote>
  <w:footnote w:id="92">
    <w:p w14:paraId="1325B6B6" w14:textId="77777777" w:rsidR="0013116F" w:rsidRDefault="0013116F" w:rsidP="004A326E">
      <w:pPr>
        <w:pStyle w:val="a9"/>
        <w:rPr>
          <w:rtl/>
        </w:rPr>
      </w:pPr>
      <w:r>
        <w:rPr>
          <w:rStyle w:val="ab"/>
        </w:rPr>
        <w:footnoteRef/>
      </w:r>
      <w:r>
        <w:rPr>
          <w:rtl/>
        </w:rPr>
        <w:t xml:space="preserve"> </w:t>
      </w:r>
      <w:r w:rsidRPr="002832D8">
        <w:rPr>
          <w:rFonts w:cs="Arial"/>
          <w:rtl/>
        </w:rPr>
        <w:t>בדיני ישראל אבל לא בדיני גוים</w:t>
      </w:r>
      <w:r>
        <w:rPr>
          <w:rFonts w:cs="Arial" w:hint="cs"/>
          <w:rtl/>
        </w:rPr>
        <w:t>,</w:t>
      </w:r>
      <w:r w:rsidRPr="002832D8">
        <w:rPr>
          <w:rFonts w:cs="Arial"/>
          <w:rtl/>
        </w:rPr>
        <w:t xml:space="preserve"> מהרש"ל </w:t>
      </w:r>
      <w:r>
        <w:rPr>
          <w:rFonts w:cs="Arial" w:hint="cs"/>
          <w:rtl/>
        </w:rPr>
        <w:t>(</w:t>
      </w:r>
      <w:r w:rsidRPr="002832D8">
        <w:rPr>
          <w:rFonts w:cs="Arial"/>
          <w:rtl/>
        </w:rPr>
        <w:t>ביש"ש [שם] פ"ק סי' מג</w:t>
      </w:r>
      <w:r>
        <w:rPr>
          <w:rFonts w:cs="Arial" w:hint="cs"/>
          <w:rtl/>
        </w:rPr>
        <w:t>)</w:t>
      </w:r>
      <w:r>
        <w:rPr>
          <w:rFonts w:hint="cs"/>
          <w:rtl/>
        </w:rPr>
        <w:t>, ש"ך (סקט"ו).</w:t>
      </w:r>
    </w:p>
  </w:footnote>
  <w:footnote w:id="93">
    <w:p w14:paraId="28DF16FF" w14:textId="77777777" w:rsidR="0013116F" w:rsidRDefault="0013116F" w:rsidP="004A326E">
      <w:pPr>
        <w:pStyle w:val="a9"/>
        <w:rPr>
          <w:rtl/>
        </w:rPr>
      </w:pPr>
      <w:r>
        <w:rPr>
          <w:rStyle w:val="ab"/>
        </w:rPr>
        <w:footnoteRef/>
      </w:r>
      <w:r>
        <w:rPr>
          <w:rtl/>
        </w:rPr>
        <w:t xml:space="preserve"> </w:t>
      </w:r>
      <w:r>
        <w:rPr>
          <w:rFonts w:cs="Arial" w:hint="cs"/>
          <w:rtl/>
        </w:rPr>
        <w:t>נראה</w:t>
      </w:r>
      <w:r w:rsidRPr="002832D8">
        <w:rPr>
          <w:rFonts w:cs="Arial"/>
          <w:rtl/>
        </w:rPr>
        <w:t xml:space="preserve"> דאי</w:t>
      </w:r>
      <w:r>
        <w:rPr>
          <w:rFonts w:cs="Arial" w:hint="cs"/>
          <w:rtl/>
        </w:rPr>
        <w:t>ן</w:t>
      </w:r>
      <w:r w:rsidRPr="002832D8">
        <w:rPr>
          <w:rFonts w:cs="Arial"/>
          <w:rtl/>
        </w:rPr>
        <w:t xml:space="preserve"> ר"ל כל דמי נזקו דוקא, אלא קרוב לאותו שיעור</w:t>
      </w:r>
      <w:r>
        <w:rPr>
          <w:rFonts w:cs="Arial" w:hint="cs"/>
          <w:rtl/>
        </w:rPr>
        <w:t xml:space="preserve"> </w:t>
      </w:r>
      <w:r w:rsidRPr="007D3D65">
        <w:rPr>
          <w:rFonts w:cs="Arial" w:hint="cs"/>
          <w:sz w:val="16"/>
          <w:szCs w:val="16"/>
          <w:rtl/>
        </w:rPr>
        <w:t>(</w:t>
      </w:r>
      <w:r w:rsidRPr="007D3D65">
        <w:rPr>
          <w:rFonts w:cs="Arial"/>
          <w:sz w:val="16"/>
          <w:szCs w:val="16"/>
          <w:rtl/>
        </w:rPr>
        <w:t>טור בשם רב שרירא והרא"ש</w:t>
      </w:r>
      <w:r w:rsidRPr="007D3D65">
        <w:rPr>
          <w:rFonts w:cs="Arial" w:hint="cs"/>
          <w:sz w:val="16"/>
          <w:szCs w:val="16"/>
          <w:rtl/>
        </w:rPr>
        <w:t>)</w:t>
      </w:r>
      <w:r w:rsidRPr="007D3D65">
        <w:rPr>
          <w:rFonts w:cs="Arial"/>
          <w:sz w:val="16"/>
          <w:szCs w:val="16"/>
          <w:rtl/>
        </w:rPr>
        <w:t xml:space="preserve"> </w:t>
      </w:r>
      <w:r w:rsidRPr="002832D8">
        <w:rPr>
          <w:rFonts w:cs="Arial"/>
          <w:rtl/>
        </w:rPr>
        <w:t>דבקרוב לשיעור נזקו סגי</w:t>
      </w:r>
      <w:r>
        <w:rPr>
          <w:rFonts w:cs="Arial" w:hint="cs"/>
          <w:rtl/>
        </w:rPr>
        <w:t xml:space="preserve">, ע"פ </w:t>
      </w:r>
      <w:r w:rsidRPr="00B403F4">
        <w:rPr>
          <w:rFonts w:cs="Arial" w:hint="cs"/>
          <w:rtl/>
        </w:rPr>
        <w:t>סמ"ע</w:t>
      </w:r>
      <w:r w:rsidRPr="007D3D65">
        <w:rPr>
          <w:rFonts w:cs="Arial" w:hint="cs"/>
          <w:sz w:val="16"/>
          <w:szCs w:val="16"/>
          <w:rtl/>
        </w:rPr>
        <w:t xml:space="preserve"> (סקי"ז)</w:t>
      </w:r>
      <w:r w:rsidRPr="00B403F4">
        <w:rPr>
          <w:rFonts w:cs="Arial" w:hint="cs"/>
          <w:rtl/>
        </w:rPr>
        <w:t>.</w:t>
      </w:r>
    </w:p>
  </w:footnote>
  <w:footnote w:id="94">
    <w:p w14:paraId="1181F4EE" w14:textId="77777777" w:rsidR="0013116F" w:rsidRDefault="0013116F" w:rsidP="004A326E">
      <w:pPr>
        <w:pStyle w:val="a9"/>
        <w:rPr>
          <w:rtl/>
        </w:rPr>
      </w:pPr>
      <w:r>
        <w:rPr>
          <w:rStyle w:val="ab"/>
        </w:rPr>
        <w:footnoteRef/>
      </w:r>
      <w:r>
        <w:rPr>
          <w:rtl/>
        </w:rPr>
        <w:t xml:space="preserve"> </w:t>
      </w:r>
      <w:r w:rsidRPr="007D3D65">
        <w:rPr>
          <w:rFonts w:cs="Arial"/>
          <w:rtl/>
        </w:rPr>
        <w:t xml:space="preserve">ואפילו הודה קודם שתפס מהני תפיסה, משום דבזמן הזה לא מיפטר בהודאתו ואפילו לא באו עדים </w:t>
      </w:r>
      <w:r>
        <w:rPr>
          <w:rFonts w:cs="Arial" w:hint="cs"/>
          <w:rtl/>
        </w:rPr>
        <w:t>(</w:t>
      </w:r>
      <w:r w:rsidRPr="007D3D65">
        <w:rPr>
          <w:rFonts w:cs="Arial"/>
          <w:rtl/>
        </w:rPr>
        <w:t>טור בשם הרמב"ן</w:t>
      </w:r>
      <w:r>
        <w:rPr>
          <w:rFonts w:cs="Arial" w:hint="cs"/>
          <w:rtl/>
        </w:rPr>
        <w:t>,</w:t>
      </w:r>
      <w:r w:rsidRPr="007D3D65">
        <w:rPr>
          <w:rFonts w:cs="Arial"/>
          <w:rtl/>
        </w:rPr>
        <w:t xml:space="preserve"> וכדבריו סתם לקמן סי</w:t>
      </w:r>
      <w:r>
        <w:rPr>
          <w:rFonts w:cs="Arial" w:hint="cs"/>
          <w:rtl/>
        </w:rPr>
        <w:t>'</w:t>
      </w:r>
      <w:r w:rsidRPr="007D3D65">
        <w:rPr>
          <w:rFonts w:cs="Arial"/>
          <w:rtl/>
        </w:rPr>
        <w:t xml:space="preserve"> שמח</w:t>
      </w:r>
      <w:r>
        <w:rPr>
          <w:rFonts w:cs="Arial" w:hint="cs"/>
          <w:rtl/>
        </w:rPr>
        <w:t xml:space="preserve">), </w:t>
      </w:r>
      <w:r w:rsidRPr="007D3D65">
        <w:rPr>
          <w:rFonts w:cs="Arial"/>
          <w:rtl/>
        </w:rPr>
        <w:t xml:space="preserve">סמ"ע </w:t>
      </w:r>
      <w:r>
        <w:rPr>
          <w:rFonts w:cs="Arial" w:hint="cs"/>
          <w:rtl/>
        </w:rPr>
        <w:t>(</w:t>
      </w:r>
      <w:r w:rsidRPr="007D3D65">
        <w:rPr>
          <w:rFonts w:cs="Arial"/>
          <w:rtl/>
        </w:rPr>
        <w:t>סקי"ח</w:t>
      </w:r>
      <w:r>
        <w:rPr>
          <w:rFonts w:cs="Arial" w:hint="cs"/>
          <w:rtl/>
        </w:rPr>
        <w:t>) וש"ך (סקט"ז).</w:t>
      </w:r>
      <w:r w:rsidRPr="007D3D65">
        <w:rPr>
          <w:rFonts w:cs="Arial"/>
          <w:rtl/>
        </w:rPr>
        <w:t xml:space="preserve"> </w:t>
      </w:r>
    </w:p>
  </w:footnote>
  <w:footnote w:id="95">
    <w:p w14:paraId="419DFC18" w14:textId="77777777" w:rsidR="0013116F" w:rsidRDefault="0013116F" w:rsidP="004A326E">
      <w:pPr>
        <w:pStyle w:val="a9"/>
        <w:rPr>
          <w:rtl/>
        </w:rPr>
      </w:pPr>
      <w:r>
        <w:rPr>
          <w:rStyle w:val="ab"/>
        </w:rPr>
        <w:footnoteRef/>
      </w:r>
      <w:r>
        <w:rPr>
          <w:rtl/>
        </w:rPr>
        <w:t xml:space="preserve"> </w:t>
      </w:r>
      <w:r w:rsidRPr="00847ACE">
        <w:rPr>
          <w:rFonts w:cs="Arial"/>
          <w:rtl/>
        </w:rPr>
        <w:t xml:space="preserve">ומהרש"ל פסק כהרי"ף </w:t>
      </w:r>
      <w:r>
        <w:rPr>
          <w:rFonts w:cs="Arial" w:hint="cs"/>
          <w:rtl/>
        </w:rPr>
        <w:t>(</w:t>
      </w:r>
      <w:r w:rsidRPr="00847ACE">
        <w:rPr>
          <w:rFonts w:cs="Arial"/>
          <w:rtl/>
        </w:rPr>
        <w:t>ב"ק ל</w:t>
      </w:r>
      <w:r>
        <w:rPr>
          <w:rFonts w:cs="Arial" w:hint="cs"/>
          <w:rtl/>
        </w:rPr>
        <w:t>.)</w:t>
      </w:r>
      <w:r w:rsidRPr="00847ACE">
        <w:rPr>
          <w:rFonts w:cs="Arial"/>
          <w:rtl/>
        </w:rPr>
        <w:t xml:space="preserve"> דבכל דבר שהוא ממון ואינו קנס אלא דלא שכיח שומעים לו</w:t>
      </w:r>
      <w:r>
        <w:rPr>
          <w:rFonts w:cs="Arial" w:hint="cs"/>
          <w:rtl/>
        </w:rPr>
        <w:t xml:space="preserve"> </w:t>
      </w:r>
      <w:r w:rsidRPr="00847ACE">
        <w:rPr>
          <w:rFonts w:cs="Arial" w:hint="cs"/>
          <w:sz w:val="16"/>
          <w:szCs w:val="16"/>
          <w:rtl/>
        </w:rPr>
        <w:t>{ושמין לו, מכ"י}</w:t>
      </w:r>
      <w:r w:rsidRPr="00847ACE">
        <w:rPr>
          <w:rFonts w:cs="Arial"/>
          <w:rtl/>
        </w:rPr>
        <w:t>, דתפיסה הוא דבר קל, ע"ש פ"ח סי</w:t>
      </w:r>
      <w:r>
        <w:rPr>
          <w:rFonts w:cs="Arial" w:hint="cs"/>
          <w:rtl/>
        </w:rPr>
        <w:t xml:space="preserve">' </w:t>
      </w:r>
      <w:r w:rsidRPr="00847ACE">
        <w:rPr>
          <w:rFonts w:cs="Arial"/>
          <w:rtl/>
        </w:rPr>
        <w:t>ב</w:t>
      </w:r>
      <w:r>
        <w:rPr>
          <w:rFonts w:hint="cs"/>
          <w:rtl/>
        </w:rPr>
        <w:t>, ש"ך (סקי"ז).</w:t>
      </w:r>
    </w:p>
  </w:footnote>
  <w:footnote w:id="96">
    <w:p w14:paraId="64DCEFF2" w14:textId="77777777" w:rsidR="0013116F" w:rsidRDefault="0013116F" w:rsidP="004A326E">
      <w:pPr>
        <w:pStyle w:val="a9"/>
      </w:pPr>
      <w:r>
        <w:rPr>
          <w:rStyle w:val="ab"/>
        </w:rPr>
        <w:footnoteRef/>
      </w:r>
      <w:r>
        <w:rPr>
          <w:rtl/>
        </w:rPr>
        <w:t xml:space="preserve"> </w:t>
      </w:r>
      <w:r w:rsidRPr="00D82EAA">
        <w:rPr>
          <w:rFonts w:cs="Arial"/>
          <w:rtl/>
        </w:rPr>
        <w:t>וסיימו הרא"ש והטור בזה</w:t>
      </w:r>
      <w:r>
        <w:rPr>
          <w:rFonts w:cs="Arial" w:hint="cs"/>
          <w:rtl/>
        </w:rPr>
        <w:t xml:space="preserve">- </w:t>
      </w:r>
      <w:r w:rsidRPr="00D82EAA">
        <w:rPr>
          <w:rFonts w:cs="Arial"/>
          <w:rtl/>
        </w:rPr>
        <w:t xml:space="preserve">ואם לא הביא התופס עדים שראוי לזכות בהן אומרים לו להחזיר מה שתפס, עכ"ל. וכתב ע"ז מור"ש </w:t>
      </w:r>
      <w:r w:rsidRPr="00D82EAA">
        <w:rPr>
          <w:rFonts w:cs="Arial" w:hint="cs"/>
          <w:sz w:val="16"/>
          <w:szCs w:val="16"/>
          <w:rtl/>
        </w:rPr>
        <w:t>(</w:t>
      </w:r>
      <w:r w:rsidRPr="00D82EAA">
        <w:rPr>
          <w:rFonts w:cs="Arial"/>
          <w:sz w:val="16"/>
          <w:szCs w:val="16"/>
          <w:rtl/>
        </w:rPr>
        <w:t>בחידושי מהרש"ל לטור</w:t>
      </w:r>
      <w:r w:rsidRPr="00D82EAA">
        <w:rPr>
          <w:rFonts w:cs="Arial" w:hint="cs"/>
          <w:sz w:val="16"/>
          <w:szCs w:val="16"/>
          <w:rtl/>
        </w:rPr>
        <w:t>)</w:t>
      </w:r>
      <w:r w:rsidRPr="00D82EAA">
        <w:rPr>
          <w:rFonts w:cs="Arial"/>
          <w:sz w:val="16"/>
          <w:szCs w:val="16"/>
          <w:rtl/>
        </w:rPr>
        <w:t xml:space="preserve"> </w:t>
      </w:r>
      <w:r w:rsidRPr="00D82EAA">
        <w:rPr>
          <w:rFonts w:cs="Arial"/>
          <w:rtl/>
        </w:rPr>
        <w:t xml:space="preserve">ז"ל, דהיינו דוקא אם תפס בעדים, אבל אי תפס בלא עדים נאמן במיגו דלא תפסתי, עכ"ל </w:t>
      </w:r>
      <w:r w:rsidRPr="00D82EAA">
        <w:rPr>
          <w:rFonts w:cs="Arial" w:hint="cs"/>
          <w:sz w:val="16"/>
          <w:szCs w:val="16"/>
          <w:rtl/>
        </w:rPr>
        <w:t>(</w:t>
      </w:r>
      <w:r w:rsidRPr="00D82EAA">
        <w:rPr>
          <w:rFonts w:cs="Arial"/>
          <w:sz w:val="16"/>
          <w:szCs w:val="16"/>
          <w:rtl/>
        </w:rPr>
        <w:t>ור"ל על דרך שיתבאר לקמן ס</w:t>
      </w:r>
      <w:r w:rsidRPr="00D82EAA">
        <w:rPr>
          <w:rFonts w:cs="Arial" w:hint="cs"/>
          <w:sz w:val="16"/>
          <w:szCs w:val="16"/>
          <w:rtl/>
        </w:rPr>
        <w:t>"ס</w:t>
      </w:r>
      <w:r w:rsidRPr="00D82EAA">
        <w:rPr>
          <w:rFonts w:cs="Arial"/>
          <w:sz w:val="16"/>
          <w:szCs w:val="16"/>
          <w:rtl/>
        </w:rPr>
        <w:t xml:space="preserve"> פז סע</w:t>
      </w:r>
      <w:r w:rsidRPr="00D82EAA">
        <w:rPr>
          <w:rFonts w:cs="Arial" w:hint="cs"/>
          <w:sz w:val="16"/>
          <w:szCs w:val="16"/>
          <w:rtl/>
        </w:rPr>
        <w:t>'</w:t>
      </w:r>
      <w:r w:rsidRPr="00D82EAA">
        <w:rPr>
          <w:rFonts w:cs="Arial"/>
          <w:sz w:val="16"/>
          <w:szCs w:val="16"/>
          <w:rtl/>
        </w:rPr>
        <w:t xml:space="preserve"> ל ע"ש לענין תביעת ממון</w:t>
      </w:r>
      <w:r>
        <w:rPr>
          <w:rFonts w:cs="Arial" w:hint="cs"/>
          <w:sz w:val="16"/>
          <w:szCs w:val="16"/>
          <w:rtl/>
        </w:rPr>
        <w:t>)</w:t>
      </w:r>
      <w:r w:rsidRPr="00D82EAA">
        <w:rPr>
          <w:rFonts w:cs="Arial"/>
          <w:rtl/>
        </w:rPr>
        <w:t>. וגם לענין תביעת קנס מהני מיגו</w:t>
      </w:r>
      <w:r>
        <w:rPr>
          <w:rFonts w:cs="Arial" w:hint="cs"/>
          <w:rtl/>
        </w:rPr>
        <w:t xml:space="preserve">, סמ"ע </w:t>
      </w:r>
      <w:r w:rsidRPr="00D82EAA">
        <w:rPr>
          <w:rFonts w:cs="Arial" w:hint="cs"/>
          <w:sz w:val="16"/>
          <w:szCs w:val="16"/>
          <w:rtl/>
        </w:rPr>
        <w:t>(סקי"ט)</w:t>
      </w:r>
      <w:r>
        <w:rPr>
          <w:rFonts w:cs="Arial" w:hint="cs"/>
          <w:rtl/>
        </w:rPr>
        <w:t xml:space="preserve">. אך הש"ך </w:t>
      </w:r>
      <w:r w:rsidRPr="00D82EAA">
        <w:rPr>
          <w:rFonts w:cs="Arial" w:hint="cs"/>
          <w:sz w:val="16"/>
          <w:szCs w:val="16"/>
          <w:rtl/>
        </w:rPr>
        <w:t xml:space="preserve">(סקי"ח) </w:t>
      </w:r>
      <w:r>
        <w:rPr>
          <w:rFonts w:cs="Arial" w:hint="cs"/>
          <w:rtl/>
        </w:rPr>
        <w:t xml:space="preserve">חולק לגבי הקנס וכתב </w:t>
      </w:r>
      <w:r w:rsidRPr="00D82EAA">
        <w:rPr>
          <w:rFonts w:cs="Arial"/>
          <w:rtl/>
        </w:rPr>
        <w:t>דבקנס לא מהני מיגו</w:t>
      </w:r>
      <w:r>
        <w:rPr>
          <w:rFonts w:cs="Arial" w:hint="cs"/>
          <w:rtl/>
        </w:rPr>
        <w:t>.</w:t>
      </w:r>
    </w:p>
  </w:footnote>
  <w:footnote w:id="97">
    <w:p w14:paraId="0AEDFED8" w14:textId="77777777" w:rsidR="0013116F" w:rsidRDefault="0013116F" w:rsidP="004A326E">
      <w:pPr>
        <w:pStyle w:val="a9"/>
        <w:rPr>
          <w:rtl/>
        </w:rPr>
      </w:pPr>
      <w:r>
        <w:rPr>
          <w:rStyle w:val="ab"/>
        </w:rPr>
        <w:footnoteRef/>
      </w:r>
      <w:r>
        <w:rPr>
          <w:rtl/>
        </w:rPr>
        <w:t xml:space="preserve"> </w:t>
      </w:r>
      <w:r w:rsidRPr="00D82EAA">
        <w:rPr>
          <w:rFonts w:cs="Arial"/>
          <w:rtl/>
        </w:rPr>
        <w:t xml:space="preserve">בפסקי מהרא"י </w:t>
      </w:r>
      <w:r>
        <w:rPr>
          <w:rFonts w:cs="Arial" w:hint="cs"/>
          <w:rtl/>
        </w:rPr>
        <w:t>(לבעל תרוה"ד)</w:t>
      </w:r>
      <w:r w:rsidRPr="00D82EAA">
        <w:rPr>
          <w:rFonts w:cs="Arial"/>
          <w:rtl/>
        </w:rPr>
        <w:t xml:space="preserve"> סי' סד משמע דיכול לקנוס למי שאינו רוצה להיות ציית דין שיתן קנס למלך, וד"מ הביאו בסוף סימן ג'. ועיין לקמן סימן שפ"ח סעיף ה' בסמ"ע [סקט"ז] מה שכתבתי שם</w:t>
      </w:r>
      <w:r>
        <w:rPr>
          <w:rFonts w:cs="Arial" w:hint="cs"/>
          <w:rtl/>
        </w:rPr>
        <w:t>, סמ"ע (סקכ"א).</w:t>
      </w:r>
    </w:p>
  </w:footnote>
  <w:footnote w:id="98">
    <w:p w14:paraId="67565578" w14:textId="77777777" w:rsidR="0013116F" w:rsidRDefault="0013116F">
      <w:pPr>
        <w:pStyle w:val="a9"/>
        <w:rPr>
          <w:rtl/>
        </w:rPr>
      </w:pPr>
      <w:r>
        <w:rPr>
          <w:rStyle w:val="ab"/>
        </w:rPr>
        <w:footnoteRef/>
      </w:r>
      <w:r>
        <w:rPr>
          <w:rtl/>
        </w:rPr>
        <w:t xml:space="preserve"> </w:t>
      </w:r>
      <w:r>
        <w:rPr>
          <w:rFonts w:hint="cs"/>
          <w:rtl/>
        </w:rPr>
        <w:t xml:space="preserve">סימן </w:t>
      </w:r>
      <w:r>
        <w:rPr>
          <w:rtl/>
        </w:rPr>
        <w:t>–</w:t>
      </w:r>
      <w:r>
        <w:rPr>
          <w:rFonts w:hint="cs"/>
          <w:rtl/>
        </w:rPr>
        <w:t xml:space="preserve"> צער אמירה. וכן </w:t>
      </w:r>
      <w:r>
        <w:rPr>
          <w:rtl/>
        </w:rPr>
        <w:t>–</w:t>
      </w:r>
      <w:r w:rsidRPr="00D62231">
        <w:rPr>
          <w:rFonts w:hint="cs"/>
          <w:rtl/>
        </w:rPr>
        <w:t xml:space="preserve"> </w:t>
      </w:r>
      <w:r>
        <w:rPr>
          <w:rFonts w:hint="cs"/>
          <w:rtl/>
        </w:rPr>
        <w:t>ציערו באמרים.</w:t>
      </w:r>
    </w:p>
  </w:footnote>
  <w:footnote w:id="99">
    <w:p w14:paraId="7619D4DA" w14:textId="77777777" w:rsidR="0013116F" w:rsidRDefault="0013116F" w:rsidP="00D62231">
      <w:pPr>
        <w:pStyle w:val="a9"/>
      </w:pPr>
      <w:r>
        <w:rPr>
          <w:rStyle w:val="ab"/>
        </w:rPr>
        <w:footnoteRef/>
      </w:r>
      <w:r>
        <w:rPr>
          <w:rtl/>
        </w:rPr>
        <w:t xml:space="preserve"> </w:t>
      </w:r>
      <w:r>
        <w:rPr>
          <w:rFonts w:hint="cs"/>
          <w:rtl/>
        </w:rPr>
        <w:t xml:space="preserve">כתב הרא"ש על הגמרא הנ"ל </w:t>
      </w:r>
      <w:r w:rsidRPr="00B3262B">
        <w:rPr>
          <w:rFonts w:hint="cs"/>
          <w:rtl/>
        </w:rPr>
        <w:t>וז"ל-</w:t>
      </w:r>
      <w:r w:rsidRPr="00B3262B">
        <w:rPr>
          <w:rtl/>
        </w:rPr>
        <w:t xml:space="preserve"> ונראה לי טעמא משום דכתיב והחזיקה במבושיו דמשמע ד</w:t>
      </w:r>
      <w:r>
        <w:rPr>
          <w:rFonts w:hint="cs"/>
          <w:rtl/>
        </w:rPr>
        <w:t>-...</w:t>
      </w:r>
    </w:p>
  </w:footnote>
  <w:footnote w:id="100">
    <w:p w14:paraId="58079D7D" w14:textId="77777777" w:rsidR="0013116F" w:rsidRDefault="0013116F" w:rsidP="00B3262B">
      <w:pPr>
        <w:pStyle w:val="a9"/>
        <w:rPr>
          <w:rtl/>
        </w:rPr>
      </w:pPr>
      <w:r>
        <w:rPr>
          <w:rStyle w:val="ab"/>
        </w:rPr>
        <w:footnoteRef/>
      </w:r>
      <w:r>
        <w:rPr>
          <w:rtl/>
        </w:rPr>
        <w:t xml:space="preserve"> </w:t>
      </w:r>
      <w:r>
        <w:rPr>
          <w:rFonts w:cs="Arial"/>
          <w:rtl/>
        </w:rPr>
        <w:t xml:space="preserve">ותמהני עליו דהא קיימא לן (שבועות כא.) כל לאו שאין בו מעשה אין לוקין עליו חוץ מנשבע ומימר </w:t>
      </w:r>
      <w:r>
        <w:rPr>
          <w:rFonts w:cs="Arial" w:hint="cs"/>
          <w:sz w:val="16"/>
          <w:szCs w:val="16"/>
          <w:rtl/>
        </w:rPr>
        <w:t>{</w:t>
      </w:r>
      <w:r w:rsidRPr="00B3262B">
        <w:rPr>
          <w:rFonts w:cs="Arial"/>
          <w:sz w:val="16"/>
          <w:szCs w:val="16"/>
          <w:rtl/>
        </w:rPr>
        <w:t>שהמיר קרבן בבהמת חולין, ועבר בכך על לאו של "לא ימירנו"</w:t>
      </w:r>
      <w:r>
        <w:rPr>
          <w:rFonts w:cs="Arial" w:hint="cs"/>
          <w:sz w:val="16"/>
          <w:szCs w:val="16"/>
          <w:rtl/>
        </w:rPr>
        <w:t xml:space="preserve">} </w:t>
      </w:r>
      <w:r>
        <w:rPr>
          <w:rFonts w:cs="Arial"/>
          <w:rtl/>
        </w:rPr>
        <w:t>ומקלל את חבירו בשם</w:t>
      </w:r>
      <w:r>
        <w:rPr>
          <w:rFonts w:cs="Arial" w:hint="cs"/>
          <w:rtl/>
        </w:rPr>
        <w:t>,</w:t>
      </w:r>
      <w:r>
        <w:rPr>
          <w:rFonts w:cs="Arial"/>
          <w:rtl/>
        </w:rPr>
        <w:t xml:space="preserve"> ואיפשר דמכת מרדות מדרבנן קאמר</w:t>
      </w:r>
      <w:r>
        <w:rPr>
          <w:rFonts w:cs="Arial" w:hint="cs"/>
          <w:rtl/>
        </w:rPr>
        <w:t>, ב"י.</w:t>
      </w:r>
    </w:p>
  </w:footnote>
  <w:footnote w:id="101">
    <w:p w14:paraId="3731ACA3" w14:textId="77777777" w:rsidR="0013116F" w:rsidRDefault="0013116F" w:rsidP="004A326E">
      <w:pPr>
        <w:pStyle w:val="a9"/>
        <w:rPr>
          <w:rtl/>
        </w:rPr>
      </w:pPr>
      <w:r>
        <w:rPr>
          <w:rStyle w:val="ab"/>
        </w:rPr>
        <w:footnoteRef/>
      </w:r>
      <w:r>
        <w:rPr>
          <w:rtl/>
        </w:rPr>
        <w:t xml:space="preserve"> </w:t>
      </w:r>
      <w:r w:rsidRPr="00FD2B82">
        <w:rPr>
          <w:rFonts w:cs="Arial"/>
          <w:rtl/>
        </w:rPr>
        <w:t xml:space="preserve">והוא מתקנת הגאונים, אבל מדינא פטור בבושת דברים, ואפילו בדיינים סמוכים אין גובין ממנו בושת מן הדין כדאיתא בפרק החובל </w:t>
      </w:r>
      <w:r>
        <w:rPr>
          <w:rFonts w:cs="Arial" w:hint="cs"/>
          <w:rtl/>
        </w:rPr>
        <w:t>(</w:t>
      </w:r>
      <w:r w:rsidRPr="00FD2B82">
        <w:rPr>
          <w:rFonts w:cs="Arial"/>
          <w:rtl/>
        </w:rPr>
        <w:t>צא</w:t>
      </w:r>
      <w:r>
        <w:rPr>
          <w:rFonts w:cs="Arial" w:hint="cs"/>
          <w:rtl/>
        </w:rPr>
        <w:t>.)</w:t>
      </w:r>
      <w:r>
        <w:rPr>
          <w:rFonts w:hint="cs"/>
          <w:rtl/>
        </w:rPr>
        <w:t>,</w:t>
      </w:r>
      <w:r w:rsidRPr="00FD2B82">
        <w:rPr>
          <w:rtl/>
        </w:rPr>
        <w:t xml:space="preserve"> </w:t>
      </w:r>
      <w:r w:rsidRPr="00FD2B82">
        <w:rPr>
          <w:rFonts w:cs="Arial"/>
          <w:rtl/>
        </w:rPr>
        <w:t>ולא כמ"ש בעיר שושן</w:t>
      </w:r>
      <w:r>
        <w:rPr>
          <w:rFonts w:cs="Arial" w:hint="cs"/>
          <w:rtl/>
        </w:rPr>
        <w:t>, סמ"ע (סקכ"ב).</w:t>
      </w:r>
    </w:p>
  </w:footnote>
  <w:footnote w:id="102">
    <w:p w14:paraId="07B8B618" w14:textId="77777777" w:rsidR="0013116F" w:rsidRDefault="0013116F" w:rsidP="004A326E">
      <w:pPr>
        <w:pStyle w:val="a9"/>
      </w:pPr>
      <w:r>
        <w:rPr>
          <w:rStyle w:val="ab"/>
        </w:rPr>
        <w:footnoteRef/>
      </w:r>
      <w:r>
        <w:rPr>
          <w:rtl/>
        </w:rPr>
        <w:t xml:space="preserve"> </w:t>
      </w:r>
      <w:r w:rsidRPr="00FD2B82">
        <w:rPr>
          <w:rFonts w:cs="Arial"/>
          <w:rtl/>
        </w:rPr>
        <w:t>בירושלמי</w:t>
      </w:r>
      <w:r>
        <w:rPr>
          <w:rFonts w:cs="Arial" w:hint="cs"/>
          <w:rtl/>
        </w:rPr>
        <w:t>,</w:t>
      </w:r>
      <w:r w:rsidRPr="00FD2B82">
        <w:rPr>
          <w:rFonts w:cs="Arial"/>
          <w:rtl/>
        </w:rPr>
        <w:t xml:space="preserve"> הביאו הטור</w:t>
      </w:r>
      <w:r>
        <w:rPr>
          <w:rFonts w:cs="Arial" w:hint="cs"/>
          <w:rtl/>
        </w:rPr>
        <w:t>,</w:t>
      </w:r>
      <w:r w:rsidRPr="00FD2B82">
        <w:rPr>
          <w:rFonts w:cs="Arial"/>
          <w:rtl/>
        </w:rPr>
        <w:t xml:space="preserve"> דהמבייש הזקן נותן לו ליטרא דדהבא</w:t>
      </w:r>
      <w:r>
        <w:rPr>
          <w:rFonts w:cs="Arial" w:hint="cs"/>
          <w:rtl/>
        </w:rPr>
        <w:t>,</w:t>
      </w:r>
      <w:r w:rsidRPr="00FD2B82">
        <w:rPr>
          <w:rFonts w:cs="Arial"/>
          <w:rtl/>
        </w:rPr>
        <w:t xml:space="preserve"> והוא משקל ל"ה דינרי זהב</w:t>
      </w:r>
      <w:r w:rsidRPr="00FD2B82">
        <w:rPr>
          <w:rFonts w:cs="Arial" w:hint="cs"/>
          <w:sz w:val="16"/>
          <w:szCs w:val="16"/>
          <w:rtl/>
        </w:rPr>
        <w:t xml:space="preserve"> (</w:t>
      </w:r>
      <w:r w:rsidRPr="00FD2B82">
        <w:rPr>
          <w:rFonts w:cs="Arial"/>
          <w:sz w:val="16"/>
          <w:szCs w:val="16"/>
          <w:rtl/>
        </w:rPr>
        <w:t xml:space="preserve">רמב"ם [פ"ג מחובל ומזיק ה"ה] והביאו הטור </w:t>
      </w:r>
      <w:r w:rsidRPr="00FD2B82">
        <w:rPr>
          <w:rFonts w:cs="Arial" w:hint="cs"/>
          <w:sz w:val="16"/>
          <w:szCs w:val="16"/>
          <w:rtl/>
        </w:rPr>
        <w:t>[</w:t>
      </w:r>
      <w:r w:rsidRPr="00FD2B82">
        <w:rPr>
          <w:rFonts w:cs="Arial"/>
          <w:sz w:val="16"/>
          <w:szCs w:val="16"/>
          <w:rtl/>
        </w:rPr>
        <w:t>סי</w:t>
      </w:r>
      <w:r w:rsidRPr="00FD2B82">
        <w:rPr>
          <w:rFonts w:cs="Arial" w:hint="cs"/>
          <w:sz w:val="16"/>
          <w:szCs w:val="16"/>
          <w:rtl/>
        </w:rPr>
        <w:t>'</w:t>
      </w:r>
      <w:r w:rsidRPr="00FD2B82">
        <w:rPr>
          <w:rFonts w:cs="Arial"/>
          <w:sz w:val="16"/>
          <w:szCs w:val="16"/>
          <w:rtl/>
        </w:rPr>
        <w:t xml:space="preserve"> ת"</w:t>
      </w:r>
      <w:r w:rsidRPr="00FD2B82">
        <w:rPr>
          <w:rFonts w:cs="Arial" w:hint="cs"/>
          <w:sz w:val="16"/>
          <w:szCs w:val="16"/>
          <w:rtl/>
        </w:rPr>
        <w:t>כ</w:t>
      </w:r>
      <w:r w:rsidRPr="00FD2B82">
        <w:rPr>
          <w:rFonts w:cs="Arial"/>
          <w:sz w:val="16"/>
          <w:szCs w:val="16"/>
          <w:rtl/>
        </w:rPr>
        <w:t xml:space="preserve"> סע</w:t>
      </w:r>
      <w:r w:rsidRPr="00FD2B82">
        <w:rPr>
          <w:rFonts w:cs="Arial" w:hint="cs"/>
          <w:sz w:val="16"/>
          <w:szCs w:val="16"/>
          <w:rtl/>
        </w:rPr>
        <w:t>'</w:t>
      </w:r>
      <w:r w:rsidRPr="00FD2B82">
        <w:rPr>
          <w:rFonts w:cs="Arial"/>
          <w:sz w:val="16"/>
          <w:szCs w:val="16"/>
          <w:rtl/>
        </w:rPr>
        <w:t xml:space="preserve"> ל</w:t>
      </w:r>
      <w:r w:rsidRPr="00FD2B82">
        <w:rPr>
          <w:rFonts w:cs="Arial" w:hint="cs"/>
          <w:sz w:val="16"/>
          <w:szCs w:val="16"/>
          <w:rtl/>
        </w:rPr>
        <w:t>])</w:t>
      </w:r>
      <w:r>
        <w:rPr>
          <w:rFonts w:cs="Arial" w:hint="cs"/>
          <w:rtl/>
        </w:rPr>
        <w:t>,</w:t>
      </w:r>
      <w:r w:rsidRPr="00FD2B82">
        <w:rPr>
          <w:rFonts w:cs="Arial"/>
          <w:rtl/>
        </w:rPr>
        <w:t xml:space="preserve"> וי"מ שהוא ל"ו זהובים</w:t>
      </w:r>
      <w:r>
        <w:rPr>
          <w:rFonts w:cs="Arial" w:hint="cs"/>
          <w:rtl/>
        </w:rPr>
        <w:t xml:space="preserve"> </w:t>
      </w:r>
      <w:r w:rsidRPr="00FD2B82">
        <w:rPr>
          <w:rFonts w:cs="Arial" w:hint="cs"/>
          <w:sz w:val="16"/>
          <w:szCs w:val="16"/>
          <w:rtl/>
        </w:rPr>
        <w:t>(</w:t>
      </w:r>
      <w:r w:rsidRPr="00FD2B82">
        <w:rPr>
          <w:rFonts w:cs="Arial"/>
          <w:sz w:val="16"/>
          <w:szCs w:val="16"/>
          <w:rtl/>
        </w:rPr>
        <w:t>מהר"ם מ"ץ</w:t>
      </w:r>
      <w:r>
        <w:rPr>
          <w:rFonts w:cs="Arial" w:hint="cs"/>
          <w:sz w:val="16"/>
          <w:szCs w:val="16"/>
          <w:rtl/>
        </w:rPr>
        <w:t xml:space="preserve"> [עי' פרישה יו"ד סי' שלד סק"ע</w:t>
      </w:r>
      <w:r w:rsidRPr="00FD2B82">
        <w:rPr>
          <w:rFonts w:cs="Arial" w:hint="cs"/>
          <w:sz w:val="16"/>
          <w:szCs w:val="16"/>
          <w:rtl/>
        </w:rPr>
        <w:t>)</w:t>
      </w:r>
      <w:r>
        <w:rPr>
          <w:rFonts w:cs="Arial" w:hint="cs"/>
          <w:rtl/>
        </w:rPr>
        <w:t>, סמ"ע (סקכ"ג).</w:t>
      </w:r>
      <w:r w:rsidRPr="00FD2B82">
        <w:rPr>
          <w:rFonts w:cs="Arial"/>
          <w:rtl/>
        </w:rPr>
        <w:t xml:space="preserve"> ו</w:t>
      </w:r>
      <w:r>
        <w:rPr>
          <w:rFonts w:cs="Arial" w:hint="cs"/>
          <w:rtl/>
        </w:rPr>
        <w:t>כ'</w:t>
      </w:r>
      <w:r w:rsidRPr="00D5532A">
        <w:rPr>
          <w:rFonts w:cs="Arial" w:hint="cs"/>
          <w:rtl/>
        </w:rPr>
        <w:t xml:space="preserve"> </w:t>
      </w:r>
      <w:r>
        <w:rPr>
          <w:rFonts w:cs="Arial" w:hint="cs"/>
          <w:rtl/>
        </w:rPr>
        <w:t xml:space="preserve">הש"ך </w:t>
      </w:r>
      <w:r w:rsidRPr="00FD2B82">
        <w:rPr>
          <w:rFonts w:cs="Arial" w:hint="cs"/>
          <w:sz w:val="16"/>
          <w:szCs w:val="16"/>
          <w:rtl/>
        </w:rPr>
        <w:t>(סקי"ט)</w:t>
      </w:r>
      <w:r>
        <w:rPr>
          <w:rFonts w:cs="Arial" w:hint="cs"/>
          <w:rtl/>
        </w:rPr>
        <w:t xml:space="preserve"> ד</w:t>
      </w:r>
      <w:r w:rsidRPr="00FD2B82">
        <w:rPr>
          <w:rFonts w:cs="Arial"/>
          <w:rtl/>
        </w:rPr>
        <w:t xml:space="preserve">פסק מור"ם </w:t>
      </w:r>
      <w:r>
        <w:rPr>
          <w:rFonts w:cs="Arial" w:hint="cs"/>
          <w:sz w:val="16"/>
          <w:szCs w:val="16"/>
          <w:rtl/>
        </w:rPr>
        <w:t>(</w:t>
      </w:r>
      <w:r w:rsidRPr="00D5532A">
        <w:rPr>
          <w:rFonts w:cs="Arial"/>
          <w:sz w:val="16"/>
          <w:szCs w:val="16"/>
          <w:rtl/>
        </w:rPr>
        <w:t>יו"ד סי</w:t>
      </w:r>
      <w:r w:rsidRPr="00D5532A">
        <w:rPr>
          <w:rFonts w:cs="Arial" w:hint="cs"/>
          <w:sz w:val="16"/>
          <w:szCs w:val="16"/>
          <w:rtl/>
        </w:rPr>
        <w:t>'</w:t>
      </w:r>
      <w:r w:rsidRPr="00D5532A">
        <w:rPr>
          <w:rFonts w:cs="Arial"/>
          <w:sz w:val="16"/>
          <w:szCs w:val="16"/>
          <w:rtl/>
        </w:rPr>
        <w:t xml:space="preserve"> רמג ס</w:t>
      </w:r>
      <w:r w:rsidRPr="00D5532A">
        <w:rPr>
          <w:rFonts w:cs="Arial" w:hint="cs"/>
          <w:sz w:val="16"/>
          <w:szCs w:val="16"/>
          <w:rtl/>
        </w:rPr>
        <w:t>ע'</w:t>
      </w:r>
      <w:r w:rsidRPr="00D5532A">
        <w:rPr>
          <w:rFonts w:cs="Arial"/>
          <w:sz w:val="16"/>
          <w:szCs w:val="16"/>
          <w:rtl/>
        </w:rPr>
        <w:t xml:space="preserve"> ב בהגה</w:t>
      </w:r>
      <w:r w:rsidRPr="00D5532A">
        <w:rPr>
          <w:rFonts w:cs="Arial" w:hint="cs"/>
          <w:sz w:val="16"/>
          <w:szCs w:val="16"/>
          <w:rtl/>
        </w:rPr>
        <w:t>)</w:t>
      </w:r>
      <w:r w:rsidRPr="00D5532A">
        <w:rPr>
          <w:rFonts w:cs="Arial"/>
          <w:sz w:val="16"/>
          <w:szCs w:val="16"/>
          <w:rtl/>
        </w:rPr>
        <w:t xml:space="preserve"> </w:t>
      </w:r>
      <w:r w:rsidRPr="00FD2B82">
        <w:rPr>
          <w:rFonts w:cs="Arial"/>
          <w:rtl/>
        </w:rPr>
        <w:t>שאין לת"ח בזמן הזה דין ת"ח לענין ליטרא דדהבא, והוא מתרו</w:t>
      </w:r>
      <w:r>
        <w:rPr>
          <w:rFonts w:cs="Arial" w:hint="cs"/>
          <w:rtl/>
        </w:rPr>
        <w:t>ה"ד</w:t>
      </w:r>
      <w:r w:rsidRPr="00FD2B82">
        <w:rPr>
          <w:rFonts w:cs="Arial"/>
          <w:rtl/>
        </w:rPr>
        <w:t xml:space="preserve"> </w:t>
      </w:r>
      <w:r w:rsidRPr="00FD2B82">
        <w:rPr>
          <w:rFonts w:cs="Arial"/>
          <w:sz w:val="16"/>
          <w:szCs w:val="16"/>
          <w:rtl/>
        </w:rPr>
        <w:t>[ס</w:t>
      </w:r>
      <w:r w:rsidRPr="00FD2B82">
        <w:rPr>
          <w:rFonts w:cs="Arial" w:hint="cs"/>
          <w:sz w:val="16"/>
          <w:szCs w:val="16"/>
          <w:rtl/>
        </w:rPr>
        <w:t>"ס</w:t>
      </w:r>
      <w:r w:rsidRPr="00FD2B82">
        <w:rPr>
          <w:rFonts w:cs="Arial"/>
          <w:sz w:val="16"/>
          <w:szCs w:val="16"/>
          <w:rtl/>
        </w:rPr>
        <w:t xml:space="preserve"> שמא]</w:t>
      </w:r>
      <w:r w:rsidRPr="00FD2B82">
        <w:rPr>
          <w:rFonts w:cs="Arial"/>
          <w:rtl/>
        </w:rPr>
        <w:t xml:space="preserve">, וכ"כ מהרי"ק </w:t>
      </w:r>
      <w:r w:rsidRPr="00D5532A">
        <w:rPr>
          <w:rFonts w:cs="Arial" w:hint="cs"/>
          <w:sz w:val="16"/>
          <w:szCs w:val="16"/>
          <w:rtl/>
        </w:rPr>
        <w:t>(</w:t>
      </w:r>
      <w:r w:rsidRPr="00D5532A">
        <w:rPr>
          <w:rFonts w:cs="Arial"/>
          <w:sz w:val="16"/>
          <w:szCs w:val="16"/>
          <w:rtl/>
        </w:rPr>
        <w:t>שורש קסג</w:t>
      </w:r>
      <w:r w:rsidRPr="00D5532A">
        <w:rPr>
          <w:rFonts w:cs="Arial" w:hint="cs"/>
          <w:sz w:val="16"/>
          <w:szCs w:val="16"/>
          <w:rtl/>
        </w:rPr>
        <w:t>)</w:t>
      </w:r>
      <w:r w:rsidRPr="00FD2B82">
        <w:rPr>
          <w:rFonts w:cs="Arial"/>
          <w:rtl/>
        </w:rPr>
        <w:t>. ובתשו</w:t>
      </w:r>
      <w:r>
        <w:rPr>
          <w:rFonts w:cs="Arial" w:hint="cs"/>
          <w:rtl/>
        </w:rPr>
        <w:t>'</w:t>
      </w:r>
      <w:r w:rsidRPr="00FD2B82">
        <w:rPr>
          <w:rFonts w:cs="Arial"/>
          <w:rtl/>
        </w:rPr>
        <w:t xml:space="preserve"> ר"י מטראני החדשים </w:t>
      </w:r>
      <w:r w:rsidRPr="00FD2B82">
        <w:rPr>
          <w:rFonts w:cs="Arial" w:hint="cs"/>
          <w:sz w:val="16"/>
          <w:szCs w:val="16"/>
          <w:rtl/>
        </w:rPr>
        <w:t>(</w:t>
      </w:r>
      <w:r w:rsidRPr="00FD2B82">
        <w:rPr>
          <w:rFonts w:cs="Arial"/>
          <w:sz w:val="16"/>
          <w:szCs w:val="16"/>
          <w:rtl/>
        </w:rPr>
        <w:t>ח"ב חו"מ ס</w:t>
      </w:r>
      <w:r w:rsidRPr="00FD2B82">
        <w:rPr>
          <w:rFonts w:cs="Arial" w:hint="cs"/>
          <w:sz w:val="16"/>
          <w:szCs w:val="16"/>
          <w:rtl/>
        </w:rPr>
        <w:t>"ס</w:t>
      </w:r>
      <w:r w:rsidRPr="00FD2B82">
        <w:rPr>
          <w:rFonts w:cs="Arial"/>
          <w:sz w:val="16"/>
          <w:szCs w:val="16"/>
          <w:rtl/>
        </w:rPr>
        <w:t xml:space="preserve"> מז</w:t>
      </w:r>
      <w:r w:rsidRPr="00FD2B82">
        <w:rPr>
          <w:rFonts w:cs="Arial" w:hint="cs"/>
          <w:sz w:val="16"/>
          <w:szCs w:val="16"/>
          <w:rtl/>
        </w:rPr>
        <w:t>)</w:t>
      </w:r>
      <w:r w:rsidRPr="00FD2B82">
        <w:rPr>
          <w:rFonts w:cs="Arial"/>
          <w:sz w:val="16"/>
          <w:szCs w:val="16"/>
          <w:rtl/>
        </w:rPr>
        <w:t xml:space="preserve"> </w:t>
      </w:r>
      <w:r w:rsidRPr="00FD2B82">
        <w:rPr>
          <w:rFonts w:cs="Arial"/>
          <w:rtl/>
        </w:rPr>
        <w:t xml:space="preserve">חולק ע"ז ודחה בשתי ידים, וס"ל שיש לו דין ת"ח לענין ליטרא דדהבא </w:t>
      </w:r>
      <w:r>
        <w:rPr>
          <w:rFonts w:cs="Arial" w:hint="cs"/>
          <w:sz w:val="16"/>
          <w:szCs w:val="16"/>
          <w:rtl/>
        </w:rPr>
        <w:t>(</w:t>
      </w:r>
      <w:r w:rsidRPr="00FD2B82">
        <w:rPr>
          <w:rFonts w:cs="Arial"/>
          <w:sz w:val="16"/>
          <w:szCs w:val="16"/>
          <w:rtl/>
        </w:rPr>
        <w:t>ועי</w:t>
      </w:r>
      <w:r w:rsidRPr="00FD2B82">
        <w:rPr>
          <w:rFonts w:cs="Arial" w:hint="cs"/>
          <w:sz w:val="16"/>
          <w:szCs w:val="16"/>
          <w:rtl/>
        </w:rPr>
        <w:t>' קש"כ)</w:t>
      </w:r>
      <w:r>
        <w:rPr>
          <w:rFonts w:cs="Arial" w:hint="cs"/>
          <w:rtl/>
        </w:rPr>
        <w:t>.</w:t>
      </w:r>
    </w:p>
  </w:footnote>
  <w:footnote w:id="103">
    <w:p w14:paraId="542E7821" w14:textId="77777777" w:rsidR="0013116F" w:rsidRDefault="0013116F">
      <w:pPr>
        <w:pStyle w:val="a9"/>
      </w:pPr>
      <w:r>
        <w:rPr>
          <w:rStyle w:val="ab"/>
        </w:rPr>
        <w:footnoteRef/>
      </w:r>
      <w:r>
        <w:rPr>
          <w:rtl/>
        </w:rPr>
        <w:t xml:space="preserve"> </w:t>
      </w:r>
      <w:r>
        <w:rPr>
          <w:rFonts w:hint="cs"/>
          <w:rtl/>
        </w:rPr>
        <w:t xml:space="preserve">סימן </w:t>
      </w:r>
      <w:r>
        <w:rPr>
          <w:rtl/>
        </w:rPr>
        <w:t>–</w:t>
      </w:r>
      <w:r>
        <w:rPr>
          <w:rFonts w:hint="cs"/>
          <w:rtl/>
        </w:rPr>
        <w:t xml:space="preserve"> מכין ועונשין.</w:t>
      </w:r>
    </w:p>
  </w:footnote>
  <w:footnote w:id="104">
    <w:p w14:paraId="15C379C9" w14:textId="77777777" w:rsidR="0013116F" w:rsidRDefault="0013116F" w:rsidP="004A326E">
      <w:pPr>
        <w:pStyle w:val="a9"/>
        <w:rPr>
          <w:rtl/>
        </w:rPr>
      </w:pPr>
      <w:r>
        <w:rPr>
          <w:rStyle w:val="ab"/>
        </w:rPr>
        <w:footnoteRef/>
      </w:r>
      <w:r>
        <w:rPr>
          <w:rtl/>
        </w:rPr>
        <w:t xml:space="preserve"> </w:t>
      </w:r>
      <w:r w:rsidRPr="00D95272">
        <w:rPr>
          <w:rFonts w:cs="Arial"/>
          <w:rtl/>
        </w:rPr>
        <w:t>מרבותי</w:t>
      </w:r>
      <w:r>
        <w:rPr>
          <w:rFonts w:cs="Arial" w:hint="cs"/>
          <w:rtl/>
        </w:rPr>
        <w:t>, רש"י</w:t>
      </w:r>
      <w:r w:rsidRPr="00D95272">
        <w:rPr>
          <w:rFonts w:cs="Arial"/>
          <w:rtl/>
        </w:rPr>
        <w:t>.</w:t>
      </w:r>
    </w:p>
  </w:footnote>
  <w:footnote w:id="105">
    <w:p w14:paraId="0723C7CC" w14:textId="77777777" w:rsidR="0013116F" w:rsidRDefault="0013116F" w:rsidP="004A326E">
      <w:pPr>
        <w:pStyle w:val="a9"/>
      </w:pPr>
      <w:r>
        <w:rPr>
          <w:rStyle w:val="ab"/>
        </w:rPr>
        <w:footnoteRef/>
      </w:r>
      <w:r>
        <w:rPr>
          <w:rtl/>
        </w:rPr>
        <w:t xml:space="preserve"> </w:t>
      </w:r>
      <w:r w:rsidRPr="00D95272">
        <w:rPr>
          <w:rFonts w:cs="Arial"/>
          <w:rtl/>
        </w:rPr>
        <w:t>מותרין להיות מכין מלקות ועונשין עונש של מיתה שלא מן התורה</w:t>
      </w:r>
      <w:r>
        <w:rPr>
          <w:rFonts w:cs="Arial" w:hint="cs"/>
          <w:rtl/>
        </w:rPr>
        <w:t>, רש"י</w:t>
      </w:r>
      <w:r w:rsidRPr="00D95272">
        <w:rPr>
          <w:rFonts w:cs="Arial"/>
          <w:rtl/>
        </w:rPr>
        <w:t>.</w:t>
      </w:r>
    </w:p>
  </w:footnote>
  <w:footnote w:id="106">
    <w:p w14:paraId="02B4A44C" w14:textId="77777777" w:rsidR="0013116F" w:rsidRDefault="0013116F" w:rsidP="004A326E">
      <w:pPr>
        <w:pStyle w:val="a9"/>
        <w:rPr>
          <w:rtl/>
        </w:rPr>
      </w:pPr>
      <w:r>
        <w:rPr>
          <w:rStyle w:val="ab"/>
        </w:rPr>
        <w:footnoteRef/>
      </w:r>
      <w:r>
        <w:rPr>
          <w:rtl/>
        </w:rPr>
        <w:t xml:space="preserve"> </w:t>
      </w:r>
      <w:r w:rsidRPr="00D95272">
        <w:rPr>
          <w:rFonts w:cs="Arial"/>
          <w:rtl/>
        </w:rPr>
        <w:t>שיתכוונו לעבור על דברי תורה לבוד מלבם חיוב מיתה לשאינו חייב, אלא מפני צורך השעה</w:t>
      </w:r>
      <w:r>
        <w:rPr>
          <w:rFonts w:cs="Arial" w:hint="cs"/>
          <w:rtl/>
        </w:rPr>
        <w:t>, רש"י</w:t>
      </w:r>
      <w:r w:rsidRPr="00D95272">
        <w:rPr>
          <w:rFonts w:cs="Arial"/>
          <w:rtl/>
        </w:rPr>
        <w:t>.</w:t>
      </w:r>
    </w:p>
  </w:footnote>
  <w:footnote w:id="107">
    <w:p w14:paraId="670F9A26" w14:textId="77777777" w:rsidR="0013116F" w:rsidRDefault="0013116F" w:rsidP="004A326E">
      <w:pPr>
        <w:pStyle w:val="a9"/>
        <w:rPr>
          <w:rtl/>
        </w:rPr>
      </w:pPr>
      <w:r>
        <w:rPr>
          <w:rStyle w:val="ab"/>
        </w:rPr>
        <w:footnoteRef/>
      </w:r>
      <w:r>
        <w:rPr>
          <w:rtl/>
        </w:rPr>
        <w:t xml:space="preserve"> </w:t>
      </w:r>
      <w:r>
        <w:rPr>
          <w:rFonts w:hint="cs"/>
          <w:rtl/>
        </w:rPr>
        <w:t>גדר</w:t>
      </w:r>
      <w:r>
        <w:rPr>
          <w:rFonts w:cs="Arial" w:hint="cs"/>
          <w:rtl/>
        </w:rPr>
        <w:t>, רש"י</w:t>
      </w:r>
      <w:r>
        <w:rPr>
          <w:rFonts w:hint="cs"/>
          <w:rtl/>
        </w:rPr>
        <w:t>.</w:t>
      </w:r>
    </w:p>
  </w:footnote>
  <w:footnote w:id="108">
    <w:p w14:paraId="5C9999E5" w14:textId="77777777" w:rsidR="0013116F" w:rsidRDefault="0013116F" w:rsidP="004A326E">
      <w:pPr>
        <w:pStyle w:val="a9"/>
        <w:rPr>
          <w:rtl/>
        </w:rPr>
      </w:pPr>
      <w:r>
        <w:rPr>
          <w:rStyle w:val="ab"/>
        </w:rPr>
        <w:footnoteRef/>
      </w:r>
      <w:r>
        <w:rPr>
          <w:rtl/>
        </w:rPr>
        <w:t xml:space="preserve"> </w:t>
      </w:r>
      <w:r w:rsidRPr="00D95272">
        <w:rPr>
          <w:rFonts w:cs="Arial"/>
          <w:rtl/>
        </w:rPr>
        <w:t>דשבות בעלמא הוא מדרבנן</w:t>
      </w:r>
      <w:r>
        <w:rPr>
          <w:rFonts w:cs="Arial" w:hint="cs"/>
          <w:rtl/>
        </w:rPr>
        <w:t>, רש"י</w:t>
      </w:r>
      <w:r w:rsidRPr="00D95272">
        <w:rPr>
          <w:rFonts w:cs="Arial"/>
          <w:rtl/>
        </w:rPr>
        <w:t>.</w:t>
      </w:r>
    </w:p>
  </w:footnote>
  <w:footnote w:id="109">
    <w:p w14:paraId="0BB1BADD" w14:textId="77777777" w:rsidR="0013116F" w:rsidRDefault="0013116F" w:rsidP="004A326E">
      <w:pPr>
        <w:pStyle w:val="a9"/>
      </w:pPr>
      <w:r>
        <w:rPr>
          <w:rStyle w:val="ab"/>
        </w:rPr>
        <w:footnoteRef/>
      </w:r>
      <w:r>
        <w:rPr>
          <w:rtl/>
        </w:rPr>
        <w:t xml:space="preserve"> </w:t>
      </w:r>
      <w:r w:rsidRPr="00D95272">
        <w:rPr>
          <w:rFonts w:cs="Arial"/>
          <w:rtl/>
        </w:rPr>
        <w:t>מפני שהיו פרוצים בעבירות, שהיו רואין לוחצן של ישראל, שהיונים הם גוזרים עליהם גזירות והיו מצות בזויות בעיניהם</w:t>
      </w:r>
      <w:r>
        <w:rPr>
          <w:rFonts w:cs="Arial" w:hint="cs"/>
          <w:rtl/>
        </w:rPr>
        <w:t>, רש"י</w:t>
      </w:r>
      <w:r w:rsidRPr="00D95272">
        <w:rPr>
          <w:rFonts w:cs="Arial"/>
          <w:rtl/>
        </w:rPr>
        <w:t>.</w:t>
      </w:r>
    </w:p>
  </w:footnote>
  <w:footnote w:id="110">
    <w:p w14:paraId="3C5A6D81" w14:textId="77777777" w:rsidR="0013116F" w:rsidRDefault="0013116F" w:rsidP="004A326E">
      <w:pPr>
        <w:pStyle w:val="a9"/>
      </w:pPr>
      <w:r>
        <w:rPr>
          <w:rStyle w:val="ab"/>
        </w:rPr>
        <w:footnoteRef/>
      </w:r>
      <w:r>
        <w:rPr>
          <w:rtl/>
        </w:rPr>
        <w:t xml:space="preserve"> </w:t>
      </w:r>
      <w:r w:rsidRPr="00D95272">
        <w:rPr>
          <w:rFonts w:cs="Arial"/>
          <w:rtl/>
        </w:rPr>
        <w:t>בא עליה</w:t>
      </w:r>
      <w:r>
        <w:rPr>
          <w:rFonts w:cs="Arial" w:hint="cs"/>
          <w:rtl/>
        </w:rPr>
        <w:t>, רש"י</w:t>
      </w:r>
      <w:r w:rsidRPr="00D95272">
        <w:rPr>
          <w:rFonts w:cs="Arial"/>
          <w:rtl/>
        </w:rPr>
        <w:t>.</w:t>
      </w:r>
    </w:p>
  </w:footnote>
  <w:footnote w:id="111">
    <w:p w14:paraId="7427B0B2" w14:textId="77777777" w:rsidR="0013116F" w:rsidRDefault="0013116F" w:rsidP="004A326E">
      <w:pPr>
        <w:pStyle w:val="a9"/>
      </w:pPr>
      <w:r>
        <w:rPr>
          <w:rStyle w:val="ab"/>
        </w:rPr>
        <w:footnoteRef/>
      </w:r>
      <w:r>
        <w:rPr>
          <w:rtl/>
        </w:rPr>
        <w:t xml:space="preserve"> </w:t>
      </w:r>
      <w:r w:rsidRPr="00D95272">
        <w:rPr>
          <w:rFonts w:cs="Arial"/>
          <w:rtl/>
        </w:rPr>
        <w:t>מקום גלוי</w:t>
      </w:r>
      <w:r>
        <w:rPr>
          <w:rFonts w:cs="Arial" w:hint="cs"/>
          <w:rtl/>
        </w:rPr>
        <w:t>, רש"י</w:t>
      </w:r>
      <w:r w:rsidRPr="00D95272">
        <w:rPr>
          <w:rFonts w:cs="Arial"/>
          <w:rtl/>
        </w:rPr>
        <w:t>.</w:t>
      </w:r>
    </w:p>
  </w:footnote>
  <w:footnote w:id="112">
    <w:p w14:paraId="31B29DC4" w14:textId="77777777" w:rsidR="0013116F" w:rsidRDefault="0013116F" w:rsidP="00EA33E5">
      <w:pPr>
        <w:pStyle w:val="a9"/>
      </w:pPr>
      <w:r>
        <w:rPr>
          <w:rStyle w:val="ab"/>
        </w:rPr>
        <w:footnoteRef/>
      </w:r>
      <w:r>
        <w:rPr>
          <w:rtl/>
        </w:rPr>
        <w:t xml:space="preserve"> </w:t>
      </w:r>
      <w:r w:rsidRPr="00B3516F">
        <w:rPr>
          <w:rFonts w:cs="Arial"/>
          <w:rtl/>
        </w:rPr>
        <w:t>מי שיוצא קול עליו שהוא עובר עבירות מלקין אותו דלא טובה השמועה</w:t>
      </w:r>
      <w:r>
        <w:rPr>
          <w:rFonts w:cs="Arial" w:hint="cs"/>
          <w:rtl/>
        </w:rPr>
        <w:t xml:space="preserve"> -</w:t>
      </w:r>
      <w:r w:rsidRPr="00B3516F">
        <w:rPr>
          <w:rFonts w:cs="Arial"/>
          <w:rtl/>
        </w:rPr>
        <w:t xml:space="preserve"> לאו הוא</w:t>
      </w:r>
      <w:r>
        <w:rPr>
          <w:rFonts w:cs="Arial" w:hint="cs"/>
          <w:rtl/>
        </w:rPr>
        <w:t>,</w:t>
      </w:r>
      <w:r w:rsidRPr="00B3516F">
        <w:rPr>
          <w:rFonts w:cs="Arial"/>
          <w:rtl/>
        </w:rPr>
        <w:t xml:space="preserve"> דכתיב בבני עלי </w:t>
      </w:r>
      <w:r>
        <w:rPr>
          <w:rFonts w:cs="Arial" w:hint="cs"/>
          <w:rtl/>
        </w:rPr>
        <w:t>'</w:t>
      </w:r>
      <w:r w:rsidRPr="00B3516F">
        <w:rPr>
          <w:rFonts w:cs="Arial"/>
          <w:rtl/>
        </w:rPr>
        <w:t>אל בני</w:t>
      </w:r>
      <w:r>
        <w:rPr>
          <w:rFonts w:cs="Arial" w:hint="cs"/>
          <w:rtl/>
        </w:rPr>
        <w:t>',</w:t>
      </w:r>
      <w:r w:rsidRPr="00B3516F">
        <w:rPr>
          <w:rFonts w:cs="Arial"/>
          <w:rtl/>
        </w:rPr>
        <w:t xml:space="preserve"> לאו יש כאן על לא טובה השמועה</w:t>
      </w:r>
      <w:r>
        <w:rPr>
          <w:rFonts w:cs="Arial" w:hint="cs"/>
          <w:rtl/>
        </w:rPr>
        <w:t>, רש"י</w:t>
      </w:r>
    </w:p>
  </w:footnote>
  <w:footnote w:id="113">
    <w:p w14:paraId="2C5B40D8" w14:textId="77777777" w:rsidR="0013116F" w:rsidRDefault="0013116F" w:rsidP="00EA33E5">
      <w:pPr>
        <w:pStyle w:val="a9"/>
      </w:pPr>
      <w:r>
        <w:rPr>
          <w:rStyle w:val="ab"/>
        </w:rPr>
        <w:footnoteRef/>
      </w:r>
      <w:r>
        <w:rPr>
          <w:rtl/>
        </w:rPr>
        <w:t xml:space="preserve"> </w:t>
      </w:r>
      <w:r>
        <w:rPr>
          <w:rFonts w:cs="Arial"/>
          <w:rtl/>
        </w:rPr>
        <w:t>פירוש בן גויה בן שפחה</w:t>
      </w:r>
      <w:r>
        <w:rPr>
          <w:rFonts w:cs="Arial" w:hint="cs"/>
          <w:rtl/>
        </w:rPr>
        <w:t>,</w:t>
      </w:r>
      <w:r>
        <w:rPr>
          <w:rFonts w:cs="Arial"/>
          <w:rtl/>
        </w:rPr>
        <w:t xml:space="preserve"> וכתב הר"ן ז"ל (טז:) דהני מילי באינש דעלמא אבל צורבא מרבנן לא אלא כסהו לילה</w:t>
      </w:r>
      <w:r>
        <w:rPr>
          <w:rFonts w:cs="Arial" w:hint="cs"/>
          <w:rtl/>
        </w:rPr>
        <w:t>, ב"י.</w:t>
      </w:r>
      <w:r>
        <w:rPr>
          <w:rFonts w:hint="cs"/>
          <w:rtl/>
        </w:rPr>
        <w:t xml:space="preserve"> וגם הדרכ"מ (אות ה) הביא את דברי הר"ן הללו.</w:t>
      </w:r>
    </w:p>
  </w:footnote>
  <w:footnote w:id="114">
    <w:p w14:paraId="43D373BD" w14:textId="77777777" w:rsidR="0013116F" w:rsidRDefault="0013116F">
      <w:pPr>
        <w:pStyle w:val="a9"/>
        <w:rPr>
          <w:rtl/>
        </w:rPr>
      </w:pPr>
      <w:r>
        <w:rPr>
          <w:rStyle w:val="ab"/>
        </w:rPr>
        <w:footnoteRef/>
      </w:r>
      <w:r>
        <w:rPr>
          <w:rtl/>
        </w:rPr>
        <w:t xml:space="preserve"> </w:t>
      </w:r>
      <w:r>
        <w:rPr>
          <w:rFonts w:hint="cs"/>
          <w:rtl/>
        </w:rPr>
        <w:t xml:space="preserve">סימן </w:t>
      </w:r>
      <w:r>
        <w:rPr>
          <w:rtl/>
        </w:rPr>
        <w:t>–</w:t>
      </w:r>
      <w:r>
        <w:rPr>
          <w:rFonts w:hint="cs"/>
          <w:rtl/>
        </w:rPr>
        <w:t xml:space="preserve"> כרוז המשכי. וכן </w:t>
      </w:r>
      <w:r>
        <w:rPr>
          <w:rtl/>
        </w:rPr>
        <w:t>–</w:t>
      </w:r>
      <w:r>
        <w:rPr>
          <w:rFonts w:hint="cs"/>
          <w:rtl/>
        </w:rPr>
        <w:t xml:space="preserve"> כמה הולך.</w:t>
      </w:r>
    </w:p>
  </w:footnote>
  <w:footnote w:id="115">
    <w:p w14:paraId="220BE843" w14:textId="77777777" w:rsidR="0013116F" w:rsidRDefault="0013116F" w:rsidP="00EA33E5">
      <w:pPr>
        <w:pStyle w:val="a9"/>
      </w:pPr>
      <w:r>
        <w:rPr>
          <w:rStyle w:val="ab"/>
        </w:rPr>
        <w:footnoteRef/>
      </w:r>
      <w:r>
        <w:rPr>
          <w:rtl/>
        </w:rPr>
        <w:t xml:space="preserve"> </w:t>
      </w:r>
      <w:r w:rsidRPr="00535D7D">
        <w:rPr>
          <w:rFonts w:cs="Arial"/>
          <w:rtl/>
        </w:rPr>
        <w:t>חשודי העיר</w:t>
      </w:r>
      <w:r>
        <w:rPr>
          <w:rFonts w:cs="Arial" w:hint="cs"/>
          <w:rtl/>
        </w:rPr>
        <w:t>,</w:t>
      </w:r>
      <w:r w:rsidRPr="00535D7D">
        <w:rPr>
          <w:rFonts w:cs="Arial"/>
          <w:rtl/>
        </w:rPr>
        <w:t xml:space="preserve"> ל"א</w:t>
      </w:r>
      <w:r>
        <w:rPr>
          <w:rFonts w:cs="Arial" w:hint="cs"/>
          <w:rtl/>
        </w:rPr>
        <w:t xml:space="preserve"> </w:t>
      </w:r>
      <w:r w:rsidRPr="00535D7D">
        <w:rPr>
          <w:rFonts w:cs="Arial"/>
          <w:rtl/>
        </w:rPr>
        <w:t>דומי דלא ידעי ודאי אלא אמרי בדדמי לשון מורי</w:t>
      </w:r>
      <w:r>
        <w:rPr>
          <w:rFonts w:cs="Arial" w:hint="cs"/>
          <w:rtl/>
        </w:rPr>
        <w:t>, רש"י</w:t>
      </w:r>
      <w:r w:rsidRPr="00535D7D">
        <w:rPr>
          <w:rFonts w:cs="Arial"/>
          <w:rtl/>
        </w:rPr>
        <w:t>.</w:t>
      </w:r>
    </w:p>
  </w:footnote>
  <w:footnote w:id="116">
    <w:p w14:paraId="3DDA1A92" w14:textId="77777777" w:rsidR="0013116F" w:rsidRDefault="0013116F">
      <w:pPr>
        <w:pStyle w:val="a9"/>
      </w:pPr>
      <w:r>
        <w:rPr>
          <w:rStyle w:val="ab"/>
        </w:rPr>
        <w:footnoteRef/>
      </w:r>
      <w:r>
        <w:rPr>
          <w:rtl/>
        </w:rPr>
        <w:t xml:space="preserve"> </w:t>
      </w:r>
      <w:r>
        <w:rPr>
          <w:rFonts w:hint="cs"/>
          <w:rtl/>
        </w:rPr>
        <w:t xml:space="preserve">סימן </w:t>
      </w:r>
      <w:r>
        <w:rPr>
          <w:rtl/>
        </w:rPr>
        <w:t>–</w:t>
      </w:r>
      <w:r>
        <w:rPr>
          <w:rFonts w:hint="cs"/>
          <w:rtl/>
        </w:rPr>
        <w:t xml:space="preserve"> תולש זקנו.</w:t>
      </w:r>
    </w:p>
  </w:footnote>
  <w:footnote w:id="117">
    <w:p w14:paraId="733A30C6" w14:textId="77777777" w:rsidR="0013116F" w:rsidRDefault="0013116F" w:rsidP="00EA33E5">
      <w:pPr>
        <w:pStyle w:val="a9"/>
        <w:rPr>
          <w:rtl/>
        </w:rPr>
      </w:pPr>
      <w:r>
        <w:rPr>
          <w:rStyle w:val="ab"/>
        </w:rPr>
        <w:footnoteRef/>
      </w:r>
      <w:r>
        <w:rPr>
          <w:rtl/>
        </w:rPr>
        <w:t xml:space="preserve"> </w:t>
      </w:r>
      <w:r>
        <w:rPr>
          <w:rFonts w:cs="Arial"/>
          <w:rtl/>
        </w:rPr>
        <w:t xml:space="preserve">גירסת הגאונים </w:t>
      </w:r>
      <w:r>
        <w:rPr>
          <w:rFonts w:cs="Arial" w:hint="cs"/>
          <w:rtl/>
        </w:rPr>
        <w:t>'</w:t>
      </w:r>
      <w:r>
        <w:rPr>
          <w:rFonts w:cs="Arial"/>
          <w:rtl/>
        </w:rPr>
        <w:t>מאי הרדפה אמר רב פפא נצבי דקני</w:t>
      </w:r>
      <w:r>
        <w:rPr>
          <w:rFonts w:cs="Arial" w:hint="cs"/>
          <w:rtl/>
        </w:rPr>
        <w:t>',</w:t>
      </w:r>
      <w:r>
        <w:rPr>
          <w:rFonts w:cs="Arial"/>
          <w:rtl/>
        </w:rPr>
        <w:t xml:space="preserve"> פירש גאון שקושרים קנים זו לזו וחובשים אותו ביניהם כדי שלא יעמוד בבית האסורים בריוח ולא ילך לכאן ולכאן וגם לא יוכל לחכך</w:t>
      </w:r>
      <w:r>
        <w:rPr>
          <w:rFonts w:cs="Arial" w:hint="cs"/>
          <w:rtl/>
        </w:rPr>
        <w:t>,</w:t>
      </w:r>
      <w:r>
        <w:rPr>
          <w:rFonts w:cs="Arial"/>
          <w:rtl/>
        </w:rPr>
        <w:t xml:space="preserve"> כעין קסדא שעושין לחבושים</w:t>
      </w:r>
      <w:r>
        <w:rPr>
          <w:rFonts w:cs="Arial" w:hint="cs"/>
          <w:rtl/>
        </w:rPr>
        <w:t>,</w:t>
      </w:r>
      <w:r>
        <w:rPr>
          <w:rFonts w:cs="Arial"/>
          <w:rtl/>
        </w:rPr>
        <w:t xml:space="preserve"> רא"ש (סי' ה)</w:t>
      </w:r>
      <w:r>
        <w:rPr>
          <w:rFonts w:cs="Arial" w:hint="cs"/>
          <w:rtl/>
        </w:rPr>
        <w:t>.</w:t>
      </w:r>
    </w:p>
  </w:footnote>
  <w:footnote w:id="118">
    <w:p w14:paraId="1A6DFEB0" w14:textId="77777777" w:rsidR="0013116F" w:rsidRDefault="0013116F" w:rsidP="004A326E">
      <w:pPr>
        <w:pStyle w:val="a9"/>
        <w:rPr>
          <w:rtl/>
        </w:rPr>
      </w:pPr>
      <w:r>
        <w:rPr>
          <w:rStyle w:val="ab"/>
        </w:rPr>
        <w:footnoteRef/>
      </w:r>
      <w:r>
        <w:rPr>
          <w:rtl/>
        </w:rPr>
        <w:t xml:space="preserve"> </w:t>
      </w:r>
      <w:r>
        <w:rPr>
          <w:rFonts w:cs="Arial" w:hint="cs"/>
          <w:rtl/>
        </w:rPr>
        <w:t>בשאלה הביאו מעשה ב</w:t>
      </w:r>
      <w:r>
        <w:rPr>
          <w:rFonts w:cs="Arial"/>
          <w:rtl/>
        </w:rPr>
        <w:t xml:space="preserve">אלמנה שנתעברה מגוי </w:t>
      </w:r>
      <w:r>
        <w:rPr>
          <w:rFonts w:cs="Arial" w:hint="cs"/>
          <w:rtl/>
        </w:rPr>
        <w:t>ו</w:t>
      </w:r>
      <w:r>
        <w:rPr>
          <w:rFonts w:cs="Arial"/>
          <w:rtl/>
        </w:rPr>
        <w:t>מפני שהענין היה מפורסם היה בדעת השואל לחתוך חוטמה כדי לשחת תואר פניה שקשטה בפני הבועל ושתפרע לאדוני העיר קצת ממון</w:t>
      </w:r>
      <w:r>
        <w:rPr>
          <w:rFonts w:cs="Arial" w:hint="cs"/>
          <w:rtl/>
        </w:rPr>
        <w:t>,</w:t>
      </w:r>
      <w:r>
        <w:rPr>
          <w:rFonts w:cs="Arial"/>
          <w:rtl/>
        </w:rPr>
        <w:t xml:space="preserve"> ושאלו את פיו אם היה מסכים בזה והשיב</w:t>
      </w:r>
      <w:r>
        <w:rPr>
          <w:rFonts w:hint="cs"/>
          <w:rtl/>
        </w:rPr>
        <w:t>-...</w:t>
      </w:r>
    </w:p>
  </w:footnote>
  <w:footnote w:id="119">
    <w:p w14:paraId="08D06901" w14:textId="77777777" w:rsidR="0013116F" w:rsidRDefault="0013116F" w:rsidP="00EA33E5">
      <w:pPr>
        <w:pStyle w:val="a9"/>
      </w:pPr>
      <w:r>
        <w:rPr>
          <w:rStyle w:val="ab"/>
        </w:rPr>
        <w:footnoteRef/>
      </w:r>
      <w:r>
        <w:rPr>
          <w:rtl/>
        </w:rPr>
        <w:t xml:space="preserve"> </w:t>
      </w:r>
      <w:r w:rsidRPr="001771C6">
        <w:rPr>
          <w:rFonts w:cs="Arial"/>
          <w:rtl/>
        </w:rPr>
        <w:t>וכתב נמוק</w:t>
      </w:r>
      <w:r>
        <w:rPr>
          <w:rFonts w:cs="Arial" w:hint="cs"/>
          <w:rtl/>
        </w:rPr>
        <w:t>"י</w:t>
      </w:r>
      <w:r w:rsidRPr="001771C6">
        <w:rPr>
          <w:rFonts w:cs="Arial"/>
          <w:rtl/>
        </w:rPr>
        <w:t xml:space="preserve"> </w:t>
      </w:r>
      <w:r>
        <w:rPr>
          <w:rFonts w:cs="Arial" w:hint="cs"/>
          <w:rtl/>
        </w:rPr>
        <w:t>(</w:t>
      </w:r>
      <w:r w:rsidRPr="001771C6">
        <w:rPr>
          <w:rFonts w:cs="Arial"/>
          <w:rtl/>
        </w:rPr>
        <w:t>פ</w:t>
      </w:r>
      <w:r>
        <w:rPr>
          <w:rFonts w:cs="Arial" w:hint="cs"/>
          <w:rtl/>
        </w:rPr>
        <w:t>'</w:t>
      </w:r>
      <w:r w:rsidRPr="001771C6">
        <w:rPr>
          <w:rFonts w:cs="Arial"/>
          <w:rtl/>
        </w:rPr>
        <w:t xml:space="preserve"> האשה שהלך יבמות כח: ד"ה תניא) אבל הפקר ממון אפילו לעולם דהפקר בית דין הפקר כו'</w:t>
      </w:r>
      <w:r>
        <w:rPr>
          <w:rFonts w:cs="Arial" w:hint="cs"/>
          <w:rtl/>
        </w:rPr>
        <w:t>,</w:t>
      </w:r>
      <w:r w:rsidRPr="001771C6">
        <w:rPr>
          <w:rFonts w:cs="Arial"/>
          <w:rtl/>
        </w:rPr>
        <w:t xml:space="preserve"> ועוד האריך באיזה דבר יכול בית דין לעקור דבר מן התורה</w:t>
      </w:r>
      <w:r>
        <w:rPr>
          <w:rFonts w:cs="Arial" w:hint="cs"/>
          <w:rtl/>
        </w:rPr>
        <w:t>, דרכ"מ (אות ג).</w:t>
      </w:r>
    </w:p>
  </w:footnote>
  <w:footnote w:id="120">
    <w:p w14:paraId="3E58EE48" w14:textId="77777777" w:rsidR="0013116F" w:rsidRDefault="0013116F">
      <w:pPr>
        <w:pStyle w:val="a9"/>
      </w:pPr>
      <w:r>
        <w:rPr>
          <w:rStyle w:val="ab"/>
        </w:rPr>
        <w:footnoteRef/>
      </w:r>
      <w:r>
        <w:rPr>
          <w:rtl/>
        </w:rPr>
        <w:t xml:space="preserve"> </w:t>
      </w:r>
      <w:r>
        <w:rPr>
          <w:rFonts w:hint="cs"/>
          <w:rtl/>
        </w:rPr>
        <w:t>סימן - חיוב חכמים בחלום. וכן - חיוב חולמים.</w:t>
      </w:r>
    </w:p>
  </w:footnote>
  <w:footnote w:id="121">
    <w:p w14:paraId="74BA0C5B" w14:textId="77777777" w:rsidR="0013116F" w:rsidRDefault="0013116F" w:rsidP="004A326E">
      <w:pPr>
        <w:pStyle w:val="a9"/>
      </w:pPr>
      <w:r>
        <w:rPr>
          <w:rStyle w:val="ab"/>
        </w:rPr>
        <w:footnoteRef/>
      </w:r>
      <w:r>
        <w:rPr>
          <w:rtl/>
        </w:rPr>
        <w:t xml:space="preserve"> </w:t>
      </w:r>
      <w:r w:rsidRPr="003E3B20">
        <w:rPr>
          <w:rFonts w:cs="Arial"/>
          <w:rtl/>
        </w:rPr>
        <w:t>לקנוס את העובר על קיצת דבריהם להסיעם מדת דין תורה</w:t>
      </w:r>
      <w:r>
        <w:rPr>
          <w:rFonts w:cs="Arial" w:hint="cs"/>
          <w:rtl/>
        </w:rPr>
        <w:t>, רש"י</w:t>
      </w:r>
      <w:r w:rsidRPr="003E3B20">
        <w:rPr>
          <w:rFonts w:cs="Arial"/>
          <w:rtl/>
        </w:rPr>
        <w:t>.</w:t>
      </w:r>
    </w:p>
  </w:footnote>
  <w:footnote w:id="122">
    <w:p w14:paraId="2078F4D9" w14:textId="77777777" w:rsidR="0013116F" w:rsidRDefault="0013116F">
      <w:pPr>
        <w:pStyle w:val="a9"/>
      </w:pPr>
      <w:r>
        <w:rPr>
          <w:rStyle w:val="ab"/>
        </w:rPr>
        <w:footnoteRef/>
      </w:r>
      <w:r>
        <w:rPr>
          <w:rtl/>
        </w:rPr>
        <w:t xml:space="preserve"> </w:t>
      </w:r>
      <w:r>
        <w:rPr>
          <w:rFonts w:hint="cs"/>
          <w:rtl/>
        </w:rPr>
        <w:t xml:space="preserve">סימן </w:t>
      </w:r>
      <w:r>
        <w:rPr>
          <w:rtl/>
        </w:rPr>
        <w:t>–</w:t>
      </w:r>
      <w:r>
        <w:rPr>
          <w:rFonts w:hint="cs"/>
          <w:rtl/>
        </w:rPr>
        <w:t xml:space="preserve"> פולני חובט.</w:t>
      </w:r>
    </w:p>
  </w:footnote>
  <w:footnote w:id="123">
    <w:p w14:paraId="5B55F0FD" w14:textId="77777777" w:rsidR="0013116F" w:rsidRDefault="0013116F" w:rsidP="00F85A79">
      <w:pPr>
        <w:pStyle w:val="a9"/>
        <w:rPr>
          <w:rtl/>
        </w:rPr>
      </w:pPr>
      <w:r>
        <w:rPr>
          <w:rStyle w:val="ab"/>
        </w:rPr>
        <w:footnoteRef/>
      </w:r>
      <w:r>
        <w:rPr>
          <w:rtl/>
        </w:rPr>
        <w:t xml:space="preserve"> </w:t>
      </w:r>
      <w:r>
        <w:rPr>
          <w:rFonts w:cs="Arial"/>
          <w:rtl/>
        </w:rPr>
        <w:t>ובתשובה אחרת (ח"ב סי' שס) כתב על אחד שהיה חייב לחבירו מנה והקנה נכסיו לקטן כדי להבריחם מב"ח ראוי לצבור לגדור בפני בעל פרצים כדי שלא ילמדו לעשות כן ורשאין דהפקר בית דין הפקר (גיטין לו:) ואפילו בערוה החמורה עשו כן כדאיתא בהרבה מקומות בתלמוד (כתובות ג. יבמות קי.)</w:t>
      </w:r>
      <w:r>
        <w:rPr>
          <w:rFonts w:cs="Arial" w:hint="cs"/>
          <w:rtl/>
        </w:rPr>
        <w:t>.</w:t>
      </w:r>
      <w:r>
        <w:rPr>
          <w:rFonts w:cs="Arial"/>
          <w:rtl/>
        </w:rPr>
        <w:t xml:space="preserve"> </w:t>
      </w:r>
      <w:r>
        <w:rPr>
          <w:rFonts w:cs="Arial" w:hint="cs"/>
          <w:rtl/>
        </w:rPr>
        <w:t xml:space="preserve">עכ"ל. </w:t>
      </w:r>
      <w:r>
        <w:rPr>
          <w:rFonts w:cs="Arial"/>
          <w:rtl/>
        </w:rPr>
        <w:t>וכת</w:t>
      </w:r>
      <w:r>
        <w:rPr>
          <w:rFonts w:cs="Arial" w:hint="cs"/>
          <w:rtl/>
        </w:rPr>
        <w:t>ב עוד</w:t>
      </w:r>
      <w:r>
        <w:rPr>
          <w:rFonts w:cs="Arial"/>
          <w:rtl/>
        </w:rPr>
        <w:t xml:space="preserve"> (</w:t>
      </w:r>
      <w:r>
        <w:rPr>
          <w:rFonts w:cs="Arial" w:hint="cs"/>
          <w:rtl/>
        </w:rPr>
        <w:t>ב</w:t>
      </w:r>
      <w:r>
        <w:rPr>
          <w:rFonts w:cs="Arial"/>
          <w:rtl/>
        </w:rPr>
        <w:t>מיוחסות סי</w:t>
      </w:r>
      <w:r>
        <w:rPr>
          <w:rFonts w:cs="Arial" w:hint="cs"/>
          <w:rtl/>
        </w:rPr>
        <w:t>'</w:t>
      </w:r>
      <w:r>
        <w:rPr>
          <w:rFonts w:cs="Arial"/>
          <w:rtl/>
        </w:rPr>
        <w:t xml:space="preserve"> נט</w:t>
      </w:r>
      <w:r>
        <w:rPr>
          <w:rFonts w:cs="Arial" w:hint="cs"/>
          <w:rtl/>
        </w:rPr>
        <w:t>)</w:t>
      </w:r>
      <w:r>
        <w:rPr>
          <w:rFonts w:cs="Arial"/>
          <w:rtl/>
        </w:rPr>
        <w:t xml:space="preserve"> על צבור שתקנו שכל מי שלא יביא זכיותיו תוך ימי ההכרזה שיאבד זכותו שורת הדין שכל מי שיאמר שלא היה בעיר ולא שמע בהכרזה אינו בדין שיפסיד. אבל בהסכמת הקהל אם הסכימו בפירוש שכל מי שלא יבא תוך זמן בין שמע בין לא שמע בין יורש בין אחר ותקנו כן לפי שראו שיש בזה תיקון המדינה להרחיק תרעומת מבעלי ערמות כל מה שתקנו והסכימו והנהיגו בהנהגות כולם מה שעשו עשו ותקנו בין בדין בין שלא בדין רשאים הם והפקרם הפקר וכההיא דפרק קמא דבתרא (ח:) רשאים בני העיר לעשות קופה תמחוי ולהסיע על קצתן ויותר מזה בתוספתא פרק בתרא דמציעא (פי"א הי"ב) עכ"ל. ועוד האריך בזה </w:t>
      </w:r>
      <w:r>
        <w:rPr>
          <w:rFonts w:cs="Arial" w:hint="cs"/>
          <w:rtl/>
        </w:rPr>
        <w:t xml:space="preserve">(במיוחסות) </w:t>
      </w:r>
      <w:r>
        <w:rPr>
          <w:rFonts w:cs="Arial"/>
          <w:rtl/>
        </w:rPr>
        <w:t>בסי</w:t>
      </w:r>
      <w:r>
        <w:rPr>
          <w:rFonts w:cs="Arial" w:hint="cs"/>
          <w:rtl/>
        </w:rPr>
        <w:t>'</w:t>
      </w:r>
      <w:r>
        <w:rPr>
          <w:rFonts w:cs="Arial"/>
          <w:rtl/>
        </w:rPr>
        <w:t xml:space="preserve"> סה</w:t>
      </w:r>
      <w:r>
        <w:rPr>
          <w:rFonts w:cs="Arial" w:hint="cs"/>
          <w:rtl/>
        </w:rPr>
        <w:t>,</w:t>
      </w:r>
      <w:r>
        <w:rPr>
          <w:rFonts w:cs="Arial"/>
          <w:rtl/>
        </w:rPr>
        <w:t xml:space="preserve"> עיין עליו</w:t>
      </w:r>
      <w:r>
        <w:rPr>
          <w:rFonts w:cs="Arial" w:hint="cs"/>
          <w:rtl/>
        </w:rPr>
        <w:t>.</w:t>
      </w:r>
    </w:p>
  </w:footnote>
  <w:footnote w:id="124">
    <w:p w14:paraId="0B0AF0AE" w14:textId="77777777" w:rsidR="0013116F" w:rsidRDefault="0013116F">
      <w:pPr>
        <w:pStyle w:val="a9"/>
      </w:pPr>
      <w:r>
        <w:rPr>
          <w:rStyle w:val="ab"/>
        </w:rPr>
        <w:footnoteRef/>
      </w:r>
      <w:r>
        <w:rPr>
          <w:rtl/>
        </w:rPr>
        <w:t xml:space="preserve"> </w:t>
      </w:r>
      <w:r>
        <w:rPr>
          <w:rFonts w:hint="cs"/>
          <w:rtl/>
        </w:rPr>
        <w:t xml:space="preserve">סימן </w:t>
      </w:r>
      <w:r>
        <w:rPr>
          <w:rtl/>
        </w:rPr>
        <w:t>–</w:t>
      </w:r>
      <w:r>
        <w:rPr>
          <w:rFonts w:hint="cs"/>
          <w:rtl/>
        </w:rPr>
        <w:t xml:space="preserve"> צייד ותיק.</w:t>
      </w:r>
    </w:p>
  </w:footnote>
  <w:footnote w:id="125">
    <w:p w14:paraId="3DC003BA" w14:textId="77777777" w:rsidR="0013116F" w:rsidRDefault="0013116F">
      <w:pPr>
        <w:pStyle w:val="a9"/>
      </w:pPr>
      <w:r>
        <w:rPr>
          <w:rStyle w:val="ab"/>
        </w:rPr>
        <w:footnoteRef/>
      </w:r>
      <w:r>
        <w:rPr>
          <w:rtl/>
        </w:rPr>
        <w:t xml:space="preserve"> </w:t>
      </w:r>
      <w:r>
        <w:rPr>
          <w:rFonts w:hint="cs"/>
          <w:rtl/>
        </w:rPr>
        <w:t xml:space="preserve">סימן </w:t>
      </w:r>
      <w:r>
        <w:rPr>
          <w:rtl/>
        </w:rPr>
        <w:t>–</w:t>
      </w:r>
      <w:r>
        <w:rPr>
          <w:rFonts w:hint="cs"/>
          <w:rtl/>
        </w:rPr>
        <w:t xml:space="preserve"> נשרפה בת</w:t>
      </w:r>
      <w:r w:rsidRPr="00EC197C">
        <w:rPr>
          <w:rFonts w:hint="cs"/>
          <w:sz w:val="16"/>
          <w:szCs w:val="16"/>
          <w:rtl/>
        </w:rPr>
        <w:t xml:space="preserve"> (כהן/טלי)</w:t>
      </w:r>
      <w:r>
        <w:rPr>
          <w:rFonts w:hint="cs"/>
          <w:rtl/>
        </w:rPr>
        <w:t>.</w:t>
      </w:r>
    </w:p>
  </w:footnote>
  <w:footnote w:id="126">
    <w:p w14:paraId="0A5BB91C" w14:textId="77777777" w:rsidR="0013116F" w:rsidRDefault="0013116F" w:rsidP="004A326E">
      <w:pPr>
        <w:pStyle w:val="a9"/>
      </w:pPr>
      <w:r>
        <w:rPr>
          <w:rStyle w:val="ab"/>
        </w:rPr>
        <w:footnoteRef/>
      </w:r>
      <w:r>
        <w:rPr>
          <w:rtl/>
        </w:rPr>
        <w:t xml:space="preserve"> </w:t>
      </w:r>
      <w:r w:rsidRPr="005D09C2">
        <w:rPr>
          <w:rFonts w:cs="Arial"/>
          <w:rtl/>
        </w:rPr>
        <w:t>דאמר לעיל: שריפת בית דין - פתילה של אבר היא</w:t>
      </w:r>
      <w:r>
        <w:rPr>
          <w:rFonts w:cs="Arial" w:hint="cs"/>
          <w:rtl/>
        </w:rPr>
        <w:t>, רש"י</w:t>
      </w:r>
      <w:r w:rsidRPr="005D09C2">
        <w:rPr>
          <w:rFonts w:cs="Arial"/>
          <w:rtl/>
        </w:rPr>
        <w:t>.</w:t>
      </w:r>
    </w:p>
  </w:footnote>
  <w:footnote w:id="127">
    <w:p w14:paraId="7BD92609" w14:textId="77777777" w:rsidR="0013116F" w:rsidRDefault="0013116F" w:rsidP="004A326E">
      <w:pPr>
        <w:pStyle w:val="a9"/>
        <w:rPr>
          <w:rtl/>
        </w:rPr>
      </w:pPr>
      <w:r>
        <w:rPr>
          <w:rStyle w:val="ab"/>
        </w:rPr>
        <w:footnoteRef/>
      </w:r>
      <w:r>
        <w:rPr>
          <w:rtl/>
        </w:rPr>
        <w:t xml:space="preserve"> </w:t>
      </w:r>
      <w:r w:rsidRPr="005D09C2">
        <w:rPr>
          <w:rFonts w:cs="Arial"/>
          <w:rtl/>
        </w:rPr>
        <w:t>שאין בית דין ממיתין אלא בזמן לשכת הגזית, בעוד סנהדרין נוהגת בלשכת הגזית נוהגת אף בחוץ לארץ, כדאמרינן במסכת מכות (ז</w:t>
      </w:r>
      <w:r>
        <w:rPr>
          <w:rFonts w:cs="Arial" w:hint="cs"/>
          <w:rtl/>
        </w:rPr>
        <w:t>.</w:t>
      </w:r>
      <w:r w:rsidRPr="005D09C2">
        <w:rPr>
          <w:rFonts w:cs="Arial"/>
          <w:rtl/>
        </w:rPr>
        <w:t xml:space="preserve"> עיין שם)</w:t>
      </w:r>
      <w:r>
        <w:rPr>
          <w:rFonts w:cs="Arial" w:hint="cs"/>
          <w:rtl/>
        </w:rPr>
        <w:t>, רש"י</w:t>
      </w:r>
      <w:r w:rsidRPr="005D09C2">
        <w:rPr>
          <w:rFonts w:cs="Arial"/>
          <w:rtl/>
        </w:rPr>
        <w:t>.</w:t>
      </w:r>
    </w:p>
  </w:footnote>
  <w:footnote w:id="128">
    <w:p w14:paraId="54951051" w14:textId="77777777" w:rsidR="0013116F" w:rsidRDefault="0013116F" w:rsidP="004A326E">
      <w:pPr>
        <w:pStyle w:val="a9"/>
      </w:pPr>
      <w:r>
        <w:rPr>
          <w:rStyle w:val="ab"/>
        </w:rPr>
        <w:footnoteRef/>
      </w:r>
      <w:r>
        <w:rPr>
          <w:rtl/>
        </w:rPr>
        <w:t xml:space="preserve"> </w:t>
      </w:r>
      <w:r>
        <w:rPr>
          <w:rFonts w:hint="cs"/>
          <w:rtl/>
        </w:rPr>
        <w:t xml:space="preserve">כן משמע מדברי מהרי"ק שם, וכן הבין הב"י מדבריו, וכ' הב"י </w:t>
      </w:r>
      <w:r>
        <w:rPr>
          <w:rFonts w:cs="Arial" w:hint="cs"/>
          <w:rtl/>
        </w:rPr>
        <w:t xml:space="preserve">לעיין </w:t>
      </w:r>
      <w:r w:rsidRPr="00623B98">
        <w:rPr>
          <w:rFonts w:cs="Arial"/>
          <w:rtl/>
        </w:rPr>
        <w:t>במרדכי פרק שני דמציעא (סי' רנז)</w:t>
      </w:r>
      <w:r>
        <w:rPr>
          <w:rFonts w:cs="Arial" w:hint="cs"/>
          <w:rtl/>
        </w:rPr>
        <w:t>.</w:t>
      </w:r>
    </w:p>
  </w:footnote>
  <w:footnote w:id="129">
    <w:p w14:paraId="759FE6BD" w14:textId="77777777" w:rsidR="0013116F" w:rsidRDefault="0013116F" w:rsidP="004A326E">
      <w:pPr>
        <w:pStyle w:val="a9"/>
        <w:rPr>
          <w:rtl/>
        </w:rPr>
      </w:pPr>
      <w:r>
        <w:rPr>
          <w:rStyle w:val="ab"/>
        </w:rPr>
        <w:footnoteRef/>
      </w:r>
      <w:r>
        <w:rPr>
          <w:rtl/>
        </w:rPr>
        <w:t xml:space="preserve"> </w:t>
      </w:r>
      <w:r>
        <w:rPr>
          <w:rFonts w:cs="Arial" w:hint="cs"/>
          <w:rtl/>
        </w:rPr>
        <w:t>ו</w:t>
      </w:r>
      <w:r w:rsidRPr="0034597B">
        <w:rPr>
          <w:rFonts w:cs="Arial"/>
          <w:rtl/>
        </w:rPr>
        <w:t>אף דאין כל העם פרוצים אלא יחיד מהם, יכולים לענוש אותו היחיד ולקונסו שלא מן הדין כפי ראות עיניהם, אלא כשהעם פרוצים יכולים לתקן ולגדור כלל העם ולענוש את כל אחד שיעבור על תקנתם, אף שלא ראו אותו האיש שהיה פרוץ במעשיו, אלא כדי לגדור העם, ע"ש וק"ל</w:t>
      </w:r>
      <w:r>
        <w:rPr>
          <w:rFonts w:hint="cs"/>
          <w:rtl/>
        </w:rPr>
        <w:t>, סמ"ע (סק"ג). וכ"כ הש"ך (סק"ב).</w:t>
      </w:r>
    </w:p>
  </w:footnote>
  <w:footnote w:id="130">
    <w:p w14:paraId="1263CF68" w14:textId="77777777" w:rsidR="0013116F" w:rsidRDefault="0013116F" w:rsidP="004A326E">
      <w:pPr>
        <w:pStyle w:val="a9"/>
      </w:pPr>
      <w:r>
        <w:rPr>
          <w:rStyle w:val="ab"/>
        </w:rPr>
        <w:footnoteRef/>
      </w:r>
      <w:r>
        <w:rPr>
          <w:rtl/>
        </w:rPr>
        <w:t xml:space="preserve"> </w:t>
      </w:r>
      <w:r w:rsidRPr="0034597B">
        <w:rPr>
          <w:rFonts w:cs="Arial"/>
          <w:rtl/>
        </w:rPr>
        <w:t>וכתב ב"י [מחודש ב'] בשם רשב"א [בתשובה ח"ב סי' רצ] ז"ל</w:t>
      </w:r>
      <w:r>
        <w:rPr>
          <w:rFonts w:cs="Arial" w:hint="cs"/>
          <w:rtl/>
        </w:rPr>
        <w:t>-</w:t>
      </w:r>
      <w:r w:rsidRPr="0034597B">
        <w:rPr>
          <w:rFonts w:cs="Arial"/>
          <w:rtl/>
        </w:rPr>
        <w:t xml:space="preserve"> ולדיני נפשות צריך שיהיו מוזהרין לעשות בהסכמת זקני העיר כדי שיעשו אחר צורך גדול ובמתון, עכ"ל</w:t>
      </w:r>
      <w:r>
        <w:rPr>
          <w:rFonts w:cs="Arial" w:hint="cs"/>
          <w:rtl/>
        </w:rPr>
        <w:t>, סמ"ע (סק"ו). וכ"כ הש"ך (סק"ד).</w:t>
      </w:r>
    </w:p>
  </w:footnote>
  <w:footnote w:id="131">
    <w:p w14:paraId="1A188E3E" w14:textId="77777777" w:rsidR="0013116F" w:rsidRDefault="0013116F" w:rsidP="004A326E">
      <w:pPr>
        <w:pStyle w:val="a9"/>
      </w:pPr>
      <w:r>
        <w:rPr>
          <w:rStyle w:val="ab"/>
        </w:rPr>
        <w:footnoteRef/>
      </w:r>
      <w:r>
        <w:rPr>
          <w:rtl/>
        </w:rPr>
        <w:t xml:space="preserve"> </w:t>
      </w:r>
      <w:r w:rsidRPr="0034597B">
        <w:rPr>
          <w:rFonts w:cs="Arial"/>
          <w:rtl/>
        </w:rPr>
        <w:t>גם אפילו בלא התראה, שא"צ עדים והתראה אלא לדון בדין תורה, אבל למי שעובר על תיקוני המדינה יכולים לעשות כפי צורך שעה, כ"כ בתשובות [הרשב"א המיוחסות ל]רמב"ן סי</w:t>
      </w:r>
      <w:r>
        <w:rPr>
          <w:rFonts w:cs="Arial" w:hint="cs"/>
          <w:rtl/>
        </w:rPr>
        <w:t>'</w:t>
      </w:r>
      <w:r w:rsidRPr="0034597B">
        <w:rPr>
          <w:rFonts w:cs="Arial"/>
          <w:rtl/>
        </w:rPr>
        <w:t xml:space="preserve"> רעט</w:t>
      </w:r>
      <w:r>
        <w:rPr>
          <w:rFonts w:cs="Arial" w:hint="cs"/>
          <w:rtl/>
        </w:rPr>
        <w:t>, סמ"ע (סק"ה). וכ"כ הש"ך (סק"ג).</w:t>
      </w:r>
    </w:p>
  </w:footnote>
  <w:footnote w:id="132">
    <w:p w14:paraId="3B15A29C" w14:textId="77777777" w:rsidR="0013116F" w:rsidRDefault="0013116F" w:rsidP="004A326E">
      <w:pPr>
        <w:pStyle w:val="a9"/>
      </w:pPr>
      <w:r>
        <w:rPr>
          <w:rStyle w:val="ab"/>
        </w:rPr>
        <w:footnoteRef/>
      </w:r>
      <w:r>
        <w:rPr>
          <w:rtl/>
        </w:rPr>
        <w:t xml:space="preserve"> </w:t>
      </w:r>
      <w:r w:rsidRPr="006C704B">
        <w:rPr>
          <w:rFonts w:cs="Arial"/>
          <w:rtl/>
        </w:rPr>
        <w:t>מדלא סיים לכתוב ואומרים לו עשה מה שישראל אומרים לך כמ"ש הטור [סעיף א'], משמע דס"ל דאפילו גמר דין יוכלו לעשות ע"י גוים, כיון שהוא אלם, ובפרט כשבאים לקונסו דלאו דין הוא. ועיין פרישה [ודרישה שם] מ"ש מזה</w:t>
      </w:r>
      <w:r>
        <w:rPr>
          <w:rFonts w:cs="Arial" w:hint="cs"/>
          <w:rtl/>
        </w:rPr>
        <w:t>, סמ"ע (סק"ז).</w:t>
      </w:r>
    </w:p>
  </w:footnote>
  <w:footnote w:id="133">
    <w:p w14:paraId="480C1C74" w14:textId="77777777" w:rsidR="0013116F" w:rsidRDefault="0013116F" w:rsidP="004A326E">
      <w:pPr>
        <w:pStyle w:val="a9"/>
        <w:rPr>
          <w:rtl/>
        </w:rPr>
      </w:pPr>
      <w:r>
        <w:rPr>
          <w:rStyle w:val="ab"/>
        </w:rPr>
        <w:footnoteRef/>
      </w:r>
      <w:r>
        <w:rPr>
          <w:rtl/>
        </w:rPr>
        <w:t xml:space="preserve"> </w:t>
      </w:r>
      <w:r w:rsidRPr="006C704B">
        <w:rPr>
          <w:rFonts w:cs="Arial"/>
          <w:rtl/>
        </w:rPr>
        <w:t xml:space="preserve">לשון הטור </w:t>
      </w:r>
      <w:r>
        <w:rPr>
          <w:rFonts w:cs="Arial" w:hint="cs"/>
          <w:sz w:val="16"/>
          <w:szCs w:val="16"/>
          <w:rtl/>
        </w:rPr>
        <w:t>(</w:t>
      </w:r>
      <w:r w:rsidRPr="006C704B">
        <w:rPr>
          <w:rFonts w:cs="Arial"/>
          <w:sz w:val="16"/>
          <w:szCs w:val="16"/>
          <w:rtl/>
        </w:rPr>
        <w:t>סע</w:t>
      </w:r>
      <w:r w:rsidRPr="006C704B">
        <w:rPr>
          <w:rFonts w:cs="Arial" w:hint="cs"/>
          <w:sz w:val="16"/>
          <w:szCs w:val="16"/>
          <w:rtl/>
        </w:rPr>
        <w:t>'</w:t>
      </w:r>
      <w:r w:rsidRPr="006C704B">
        <w:rPr>
          <w:rFonts w:cs="Arial"/>
          <w:sz w:val="16"/>
          <w:szCs w:val="16"/>
          <w:rtl/>
        </w:rPr>
        <w:t xml:space="preserve"> א</w:t>
      </w:r>
      <w:r w:rsidRPr="006C704B">
        <w:rPr>
          <w:rFonts w:cs="Arial" w:hint="cs"/>
          <w:sz w:val="16"/>
          <w:szCs w:val="16"/>
          <w:rtl/>
        </w:rPr>
        <w:t>)</w:t>
      </w:r>
      <w:r w:rsidRPr="006C704B">
        <w:rPr>
          <w:rFonts w:cs="Arial"/>
          <w:rtl/>
        </w:rPr>
        <w:t xml:space="preserve"> </w:t>
      </w:r>
      <w:r>
        <w:rPr>
          <w:rFonts w:cs="Arial" w:hint="cs"/>
          <w:rtl/>
        </w:rPr>
        <w:t>'</w:t>
      </w:r>
      <w:r w:rsidRPr="006C704B">
        <w:rPr>
          <w:rFonts w:cs="Arial"/>
          <w:rtl/>
        </w:rPr>
        <w:t>שהמחום רבים עליהם</w:t>
      </w:r>
      <w:r>
        <w:rPr>
          <w:rFonts w:cs="Arial" w:hint="cs"/>
          <w:rtl/>
        </w:rPr>
        <w:t>'</w:t>
      </w:r>
      <w:r w:rsidRPr="006C704B">
        <w:rPr>
          <w:rFonts w:cs="Arial"/>
          <w:rtl/>
        </w:rPr>
        <w:t xml:space="preserve">, ולפמ"ש המחבר </w:t>
      </w:r>
      <w:r>
        <w:rPr>
          <w:rFonts w:cs="Arial" w:hint="cs"/>
          <w:rtl/>
        </w:rPr>
        <w:t>'</w:t>
      </w:r>
      <w:r w:rsidRPr="006C704B">
        <w:rPr>
          <w:rFonts w:cs="Arial"/>
          <w:rtl/>
        </w:rPr>
        <w:t>בית דין</w:t>
      </w:r>
      <w:r>
        <w:rPr>
          <w:rFonts w:cs="Arial" w:hint="cs"/>
          <w:rtl/>
        </w:rPr>
        <w:t>'</w:t>
      </w:r>
      <w:r w:rsidRPr="006C704B">
        <w:rPr>
          <w:rFonts w:cs="Arial"/>
          <w:rtl/>
        </w:rPr>
        <w:t>, נראה דר"ל שהמחום הציבור לב"ד עליהם</w:t>
      </w:r>
      <w:r>
        <w:rPr>
          <w:rFonts w:hint="cs"/>
          <w:rtl/>
        </w:rPr>
        <w:t>, סמ"ע (סק"ט).</w:t>
      </w:r>
    </w:p>
  </w:footnote>
  <w:footnote w:id="134">
    <w:p w14:paraId="13AC698E" w14:textId="77777777" w:rsidR="0013116F" w:rsidRDefault="0013116F" w:rsidP="004A326E">
      <w:pPr>
        <w:pStyle w:val="a9"/>
      </w:pPr>
      <w:r>
        <w:rPr>
          <w:rStyle w:val="ab"/>
        </w:rPr>
        <w:footnoteRef/>
      </w:r>
      <w:r>
        <w:rPr>
          <w:rtl/>
        </w:rPr>
        <w:t xml:space="preserve"> </w:t>
      </w:r>
      <w:r w:rsidRPr="006C704B">
        <w:rPr>
          <w:rFonts w:cs="Arial"/>
          <w:rtl/>
        </w:rPr>
        <w:t>פירוש, דאז בדיבור בעלמא נתקיים אף בדבר שלא היה מנהג מקדם</w:t>
      </w:r>
      <w:r>
        <w:rPr>
          <w:rFonts w:cs="Arial" w:hint="cs"/>
          <w:rtl/>
        </w:rPr>
        <w:t>,</w:t>
      </w:r>
      <w:r w:rsidRPr="006C704B">
        <w:rPr>
          <w:rFonts w:cs="Arial"/>
          <w:rtl/>
        </w:rPr>
        <w:t xml:space="preserve"> שם [בד"מ המובא בציונים אות ד']</w:t>
      </w:r>
      <w:r>
        <w:rPr>
          <w:rFonts w:cs="Arial" w:hint="cs"/>
          <w:rtl/>
        </w:rPr>
        <w:t>, סמ"ע (סקי"ב).</w:t>
      </w:r>
    </w:p>
  </w:footnote>
  <w:footnote w:id="135">
    <w:p w14:paraId="585A3723" w14:textId="77777777" w:rsidR="0013116F" w:rsidRDefault="0013116F" w:rsidP="004A326E">
      <w:pPr>
        <w:pStyle w:val="a9"/>
        <w:rPr>
          <w:rtl/>
        </w:rPr>
      </w:pPr>
      <w:r>
        <w:rPr>
          <w:rStyle w:val="ab"/>
        </w:rPr>
        <w:footnoteRef/>
      </w:r>
      <w:r>
        <w:rPr>
          <w:rtl/>
        </w:rPr>
        <w:t xml:space="preserve"> </w:t>
      </w:r>
      <w:r w:rsidRPr="00454DB0">
        <w:rPr>
          <w:rFonts w:cs="Arial"/>
          <w:rtl/>
        </w:rPr>
        <w:t xml:space="preserve">בד"מ [שם] כתוב, המרדכי [פ"ק דב"ב סי' תפ"א ובהגה שם] סיים וכתב בזה, ולאו למיגדר מילתא הוא אין שומעין להן, עכ"ל. ומשמע מזה דלמיגדר מילתא כו"ע מודים דיש כח לטובי העיר, ולפ"ז צ"ל דמור"ם לא כתב דיש חולקין אלא אמ"ש שכן נוהגין, ור"ל דנוהגין כן אפילו בלי צורך שעה דמיגדר מילתא, וא"כ קיצר במקום שהיה לו להאריך ולפרש </w:t>
      </w:r>
      <w:r w:rsidRPr="008179E1">
        <w:rPr>
          <w:rFonts w:cs="Arial" w:hint="cs"/>
          <w:sz w:val="16"/>
          <w:szCs w:val="16"/>
          <w:rtl/>
        </w:rPr>
        <w:t>(</w:t>
      </w:r>
      <w:r w:rsidRPr="008179E1">
        <w:rPr>
          <w:rFonts w:cs="Arial"/>
          <w:sz w:val="16"/>
          <w:szCs w:val="16"/>
          <w:rtl/>
        </w:rPr>
        <w:t>ודע שראיתי שכתב במרדכי לאו מיגדר מילתא, ולא "ולאו" בוי"ו, ולא "למיגדר" בלמ"ד, ולפ"ז נראה דר"ל כל כה"ג אינו בכלל היתר מיגדר מילתא ואין שומעים להן, ואפשר דלזה נתכוין מור"ם ז"ל ומשום הכי לא הזכירו כאן כלל, אבל הוא דוחק לפרש כן, וצ"ע</w:t>
      </w:r>
      <w:r>
        <w:rPr>
          <w:rFonts w:cs="Arial" w:hint="cs"/>
          <w:sz w:val="16"/>
          <w:szCs w:val="16"/>
          <w:rtl/>
        </w:rPr>
        <w:t>)</w:t>
      </w:r>
      <w:r>
        <w:rPr>
          <w:rFonts w:hint="cs"/>
          <w:rtl/>
        </w:rPr>
        <w:t>, סמ"ע (סקי"ג).</w:t>
      </w:r>
    </w:p>
  </w:footnote>
  <w:footnote w:id="136">
    <w:p w14:paraId="18022FA8" w14:textId="77777777" w:rsidR="0013116F" w:rsidRDefault="0013116F" w:rsidP="004A326E">
      <w:pPr>
        <w:pStyle w:val="a9"/>
        <w:rPr>
          <w:rtl/>
        </w:rPr>
      </w:pPr>
      <w:r>
        <w:rPr>
          <w:rStyle w:val="ab"/>
        </w:rPr>
        <w:footnoteRef/>
      </w:r>
      <w:r>
        <w:rPr>
          <w:rtl/>
        </w:rPr>
        <w:t xml:space="preserve"> </w:t>
      </w:r>
      <w:r w:rsidRPr="006C704B">
        <w:rPr>
          <w:rFonts w:cs="Arial"/>
          <w:rtl/>
        </w:rPr>
        <w:t xml:space="preserve">וכ"כ מהרי"ק בשורש א', ובשורש י"ד כתב דאפילו למ"ד טובי העיר יכולים לתקן מה שירצו, היינו דוקא מה שהוא צרכי הקהל, אבל להפקיע ממון מאחד לחבירו שאינו צורך הקהל, פשיטא דלא. וכן משמע בפסקי מהרא"י </w:t>
      </w:r>
      <w:r>
        <w:rPr>
          <w:rFonts w:cs="Arial" w:hint="cs"/>
          <w:rtl/>
        </w:rPr>
        <w:t>(</w:t>
      </w:r>
      <w:r w:rsidRPr="006C704B">
        <w:rPr>
          <w:rFonts w:cs="Arial"/>
          <w:rtl/>
        </w:rPr>
        <w:t>תרו</w:t>
      </w:r>
      <w:r>
        <w:rPr>
          <w:rFonts w:cs="Arial" w:hint="cs"/>
          <w:rtl/>
        </w:rPr>
        <w:t>ה"</w:t>
      </w:r>
      <w:r w:rsidRPr="006C704B">
        <w:rPr>
          <w:rFonts w:cs="Arial"/>
          <w:rtl/>
        </w:rPr>
        <w:t>ד ח"ב סי' רנג</w:t>
      </w:r>
      <w:r>
        <w:rPr>
          <w:rFonts w:cs="Arial" w:hint="cs"/>
          <w:rtl/>
        </w:rPr>
        <w:t>)</w:t>
      </w:r>
      <w:r w:rsidRPr="006C704B">
        <w:rPr>
          <w:rFonts w:cs="Arial"/>
          <w:rtl/>
        </w:rPr>
        <w:t>, ודלא אמרינן הפקר ב"ד הפקר אלא בגדול שאין בדור כמוהו</w:t>
      </w:r>
      <w:r>
        <w:rPr>
          <w:rFonts w:hint="cs"/>
          <w:rtl/>
        </w:rPr>
        <w:t>, סמ"ע (סקי"א).</w:t>
      </w:r>
    </w:p>
  </w:footnote>
  <w:footnote w:id="137">
    <w:p w14:paraId="26EAEFC3" w14:textId="77777777" w:rsidR="0013116F" w:rsidRPr="00454DB0" w:rsidRDefault="0013116F" w:rsidP="004A326E">
      <w:pPr>
        <w:spacing w:after="0" w:line="240" w:lineRule="auto"/>
        <w:rPr>
          <w:rFonts w:asciiTheme="minorBidi" w:hAnsiTheme="minorBidi"/>
          <w:sz w:val="20"/>
          <w:szCs w:val="20"/>
          <w:rtl/>
        </w:rPr>
      </w:pPr>
      <w:r w:rsidRPr="00454DB0">
        <w:rPr>
          <w:rStyle w:val="ab"/>
          <w:rFonts w:asciiTheme="minorBidi" w:hAnsiTheme="minorBidi"/>
          <w:sz w:val="20"/>
          <w:szCs w:val="20"/>
        </w:rPr>
        <w:footnoteRef/>
      </w:r>
      <w:r w:rsidRPr="00454DB0">
        <w:rPr>
          <w:rFonts w:asciiTheme="minorBidi" w:hAnsiTheme="minorBidi"/>
          <w:sz w:val="20"/>
          <w:szCs w:val="20"/>
          <w:rtl/>
        </w:rPr>
        <w:t xml:space="preserve"> וכתב המרדכי </w:t>
      </w:r>
      <w:r>
        <w:rPr>
          <w:rFonts w:asciiTheme="minorBidi" w:hAnsiTheme="minorBidi" w:hint="cs"/>
          <w:sz w:val="20"/>
          <w:szCs w:val="20"/>
          <w:rtl/>
        </w:rPr>
        <w:t>(</w:t>
      </w:r>
      <w:r w:rsidRPr="00454DB0">
        <w:rPr>
          <w:rFonts w:asciiTheme="minorBidi" w:hAnsiTheme="minorBidi"/>
          <w:sz w:val="20"/>
          <w:szCs w:val="20"/>
          <w:rtl/>
        </w:rPr>
        <w:t>בב"ב סי' תפג-תפד</w:t>
      </w:r>
      <w:r>
        <w:rPr>
          <w:rFonts w:asciiTheme="minorBidi" w:hAnsiTheme="minorBidi" w:hint="cs"/>
          <w:sz w:val="20"/>
          <w:szCs w:val="20"/>
          <w:rtl/>
        </w:rPr>
        <w:t>)</w:t>
      </w:r>
      <w:r>
        <w:rPr>
          <w:rFonts w:asciiTheme="minorBidi" w:hAnsiTheme="minorBidi" w:hint="cs"/>
          <w:sz w:val="20"/>
          <w:szCs w:val="20"/>
        </w:rPr>
        <w:t xml:space="preserve"> </w:t>
      </w:r>
      <w:r w:rsidRPr="00454DB0">
        <w:rPr>
          <w:rFonts w:asciiTheme="minorBidi" w:hAnsiTheme="minorBidi"/>
          <w:sz w:val="20"/>
          <w:szCs w:val="20"/>
          <w:rtl/>
        </w:rPr>
        <w:t>דאין רשאין בני העיר לקיים שום דבר היכא שיש דיין מומחה או אדם חשוב בעיר, וכ"כ רבינו [הטור] והמחבר לקמן בס</w:t>
      </w:r>
      <w:r>
        <w:rPr>
          <w:rFonts w:asciiTheme="minorBidi" w:hAnsiTheme="minorBidi" w:hint="cs"/>
          <w:sz w:val="20"/>
          <w:szCs w:val="20"/>
          <w:rtl/>
        </w:rPr>
        <w:t>"</w:t>
      </w:r>
      <w:r w:rsidRPr="00454DB0">
        <w:rPr>
          <w:rFonts w:asciiTheme="minorBidi" w:hAnsiTheme="minorBidi"/>
          <w:sz w:val="20"/>
          <w:szCs w:val="20"/>
          <w:rtl/>
        </w:rPr>
        <w:t>ס רלא, וי"א דוקא בדבר שהוא קנס, וכ"ז הביא ד"מ [סעיף א'] ע"ש</w:t>
      </w:r>
      <w:r>
        <w:rPr>
          <w:rFonts w:asciiTheme="minorBidi" w:hAnsiTheme="minorBidi" w:hint="cs"/>
          <w:sz w:val="20"/>
          <w:szCs w:val="20"/>
          <w:rtl/>
        </w:rPr>
        <w:t>, סמ"ע (סקי"ד).</w:t>
      </w:r>
    </w:p>
  </w:footnote>
  <w:footnote w:id="138">
    <w:p w14:paraId="1DFCDA5E" w14:textId="77777777" w:rsidR="0013116F" w:rsidRDefault="0013116F" w:rsidP="004A326E">
      <w:pPr>
        <w:pStyle w:val="a9"/>
      </w:pPr>
      <w:r>
        <w:rPr>
          <w:rStyle w:val="ab"/>
        </w:rPr>
        <w:footnoteRef/>
      </w:r>
      <w:r>
        <w:rPr>
          <w:rtl/>
        </w:rPr>
        <w:t xml:space="preserve"> </w:t>
      </w:r>
      <w:r w:rsidRPr="00454DB0">
        <w:rPr>
          <w:rFonts w:cs="Arial"/>
          <w:rtl/>
        </w:rPr>
        <w:t>ומהר"ם מירזבורק [בנימוקיו הנדפסים בסוף שו"ת מהר"י ווייל] כתב, מאן דאתקנס מנה בדינא סופג ארבעים, במאתים, שמונים, על כל מנה ארבעים, עכ"ל. והביאו בד"מ [סעיף ב'] על דברי מהרי"ו הנ"ל [עיין ציונים אות ו'] דאמר דמ' זהובים הוא במקום מלקות בלשון פלוגתא, וגם בשו"ע לא כתב אלא דברי מהרי"ו</w:t>
      </w:r>
      <w:r>
        <w:rPr>
          <w:rFonts w:cs="Arial" w:hint="cs"/>
          <w:rtl/>
        </w:rPr>
        <w:t>, סמ"ע (סקט"ו).</w:t>
      </w:r>
    </w:p>
  </w:footnote>
  <w:footnote w:id="139">
    <w:p w14:paraId="0852096A" w14:textId="77777777" w:rsidR="0013116F" w:rsidRDefault="0013116F" w:rsidP="004A326E">
      <w:pPr>
        <w:pStyle w:val="a9"/>
      </w:pPr>
      <w:r>
        <w:rPr>
          <w:rStyle w:val="ab"/>
        </w:rPr>
        <w:footnoteRef/>
      </w:r>
      <w:r>
        <w:rPr>
          <w:rtl/>
        </w:rPr>
        <w:t xml:space="preserve"> </w:t>
      </w:r>
      <w:r w:rsidRPr="00454DB0">
        <w:rPr>
          <w:rFonts w:cs="Arial"/>
          <w:rtl/>
        </w:rPr>
        <w:t>כתב בהגהות מיימוניות פי"ז דסנהדרין [אות א'], מעשה באחד שישב לארץ להלקותו ולא בא הממונה להלקותו, ופטרו, והביא ראיה לדבר. ע"ש [ברמב"ם פי"ז מסנהדרין] מ"ש עוד מדיני מלקות</w:t>
      </w:r>
      <w:r>
        <w:rPr>
          <w:rFonts w:cs="Arial" w:hint="cs"/>
          <w:rtl/>
        </w:rPr>
        <w:t>, סמ"ע (סקט"ז).</w:t>
      </w:r>
    </w:p>
  </w:footnote>
  <w:footnote w:id="140">
    <w:p w14:paraId="4E3FE300" w14:textId="77777777" w:rsidR="0013116F" w:rsidRPr="00454DB0" w:rsidRDefault="0013116F" w:rsidP="004A326E">
      <w:pPr>
        <w:spacing w:after="0" w:line="240" w:lineRule="auto"/>
        <w:rPr>
          <w:rFonts w:asciiTheme="minorBidi" w:hAnsiTheme="minorBidi"/>
          <w:sz w:val="20"/>
          <w:szCs w:val="20"/>
        </w:rPr>
      </w:pPr>
      <w:r w:rsidRPr="00454DB0">
        <w:rPr>
          <w:rStyle w:val="ab"/>
          <w:rFonts w:asciiTheme="minorBidi" w:hAnsiTheme="minorBidi"/>
          <w:sz w:val="20"/>
          <w:szCs w:val="20"/>
        </w:rPr>
        <w:footnoteRef/>
      </w:r>
      <w:r w:rsidRPr="00454DB0">
        <w:rPr>
          <w:rFonts w:asciiTheme="minorBidi" w:hAnsiTheme="minorBidi"/>
          <w:sz w:val="20"/>
          <w:szCs w:val="20"/>
          <w:rtl/>
        </w:rPr>
        <w:t xml:space="preserve"> ריש הסימן בהג"ה (תוספת הסמ"ע).</w:t>
      </w:r>
    </w:p>
  </w:footnote>
  <w:footnote w:id="141">
    <w:p w14:paraId="03F45963" w14:textId="77777777" w:rsidR="0013116F" w:rsidRDefault="0013116F" w:rsidP="004A326E">
      <w:pPr>
        <w:pStyle w:val="a9"/>
        <w:rPr>
          <w:rtl/>
        </w:rPr>
      </w:pPr>
      <w:r>
        <w:rPr>
          <w:rStyle w:val="ab"/>
        </w:rPr>
        <w:footnoteRef/>
      </w:r>
      <w:r>
        <w:rPr>
          <w:rtl/>
        </w:rPr>
        <w:t xml:space="preserve"> </w:t>
      </w:r>
      <w:r w:rsidRPr="00AA5FD5">
        <w:rPr>
          <w:rFonts w:cs="Arial"/>
          <w:rtl/>
        </w:rPr>
        <w:t>הלכתא שיירינהו תנא לדיני מלוה, למעוטינהו מאי</w:t>
      </w:r>
      <w:r>
        <w:rPr>
          <w:rFonts w:cs="Arial" w:hint="cs"/>
          <w:rtl/>
        </w:rPr>
        <w:t>?, רש"י.</w:t>
      </w:r>
    </w:p>
  </w:footnote>
  <w:footnote w:id="142">
    <w:p w14:paraId="5015CB09" w14:textId="77777777" w:rsidR="0013116F" w:rsidRDefault="0013116F">
      <w:pPr>
        <w:pStyle w:val="a9"/>
      </w:pPr>
      <w:r>
        <w:rPr>
          <w:rStyle w:val="ab"/>
        </w:rPr>
        <w:footnoteRef/>
      </w:r>
      <w:r>
        <w:rPr>
          <w:rtl/>
        </w:rPr>
        <w:t xml:space="preserve"> </w:t>
      </w:r>
      <w:r w:rsidRPr="005C02AD">
        <w:rPr>
          <w:rFonts w:cs="Arial"/>
          <w:rtl/>
        </w:rPr>
        <w:t>שלא היו בקיאין בדין תורה, הלכך אפילו לוה מצי מעכב</w:t>
      </w:r>
      <w:r>
        <w:rPr>
          <w:rFonts w:cs="Arial" w:hint="cs"/>
          <w:rtl/>
        </w:rPr>
        <w:t>, רש"י.</w:t>
      </w:r>
    </w:p>
  </w:footnote>
  <w:footnote w:id="143">
    <w:p w14:paraId="6F1AE837" w14:textId="77777777" w:rsidR="0013116F" w:rsidRDefault="0013116F">
      <w:pPr>
        <w:pStyle w:val="a9"/>
        <w:rPr>
          <w:rtl/>
        </w:rPr>
      </w:pPr>
      <w:r>
        <w:rPr>
          <w:rStyle w:val="ab"/>
        </w:rPr>
        <w:footnoteRef/>
      </w:r>
      <w:r>
        <w:rPr>
          <w:rtl/>
        </w:rPr>
        <w:t xml:space="preserve"> </w:t>
      </w:r>
      <w:r w:rsidRPr="00323081">
        <w:rPr>
          <w:rFonts w:cs="Arial"/>
          <w:rtl/>
        </w:rPr>
        <w:t>ויראה מדבריו דבעי שלשתם גמירי</w:t>
      </w:r>
      <w:r>
        <w:rPr>
          <w:rFonts w:hint="cs"/>
          <w:rtl/>
        </w:rPr>
        <w:t>, טור.</w:t>
      </w:r>
    </w:p>
  </w:footnote>
  <w:footnote w:id="144">
    <w:p w14:paraId="764B7EE9" w14:textId="77777777" w:rsidR="0013116F" w:rsidRDefault="0013116F" w:rsidP="004A326E">
      <w:pPr>
        <w:pStyle w:val="a9"/>
        <w:rPr>
          <w:rtl/>
        </w:rPr>
      </w:pPr>
      <w:r>
        <w:rPr>
          <w:rStyle w:val="ab"/>
        </w:rPr>
        <w:footnoteRef/>
      </w:r>
      <w:r>
        <w:rPr>
          <w:rtl/>
        </w:rPr>
        <w:t xml:space="preserve"> </w:t>
      </w:r>
      <w:r w:rsidRPr="00372EFB">
        <w:rPr>
          <w:rFonts w:cs="Arial"/>
          <w:rtl/>
        </w:rPr>
        <w:t>ואין זה גמיר וסביר הנזכר בגמרא ופוסקים, דההוא מומחה מיקרי ויכול לדון יחידי, ועיין פרישה</w:t>
      </w:r>
      <w:r>
        <w:rPr>
          <w:rFonts w:cs="Arial" w:hint="cs"/>
          <w:rtl/>
        </w:rPr>
        <w:t>, סמ"ע (סק"ב).</w:t>
      </w:r>
    </w:p>
  </w:footnote>
  <w:footnote w:id="145">
    <w:p w14:paraId="4950B771" w14:textId="77777777" w:rsidR="0013116F" w:rsidRPr="005C02AD" w:rsidRDefault="0013116F" w:rsidP="00FE4C31">
      <w:pPr>
        <w:pStyle w:val="a9"/>
        <w:rPr>
          <w:rFonts w:cs="Arial"/>
          <w:rtl/>
        </w:rPr>
      </w:pPr>
      <w:r>
        <w:rPr>
          <w:rStyle w:val="ab"/>
        </w:rPr>
        <w:footnoteRef/>
      </w:r>
      <w:r>
        <w:rPr>
          <w:rtl/>
        </w:rPr>
        <w:t xml:space="preserve"> </w:t>
      </w:r>
      <w:r w:rsidRPr="008F0F41">
        <w:rPr>
          <w:rFonts w:cs="Arial"/>
          <w:rtl/>
        </w:rPr>
        <w:t>והביא ראיה מדתנן בפרק זה בורר</w:t>
      </w:r>
      <w:r w:rsidRPr="005C02AD">
        <w:rPr>
          <w:rFonts w:cs="Arial"/>
          <w:sz w:val="16"/>
          <w:szCs w:val="16"/>
          <w:rtl/>
        </w:rPr>
        <w:t xml:space="preserve"> (שם כג.) </w:t>
      </w:r>
      <w:r w:rsidRPr="008F0F41">
        <w:rPr>
          <w:rFonts w:cs="Arial"/>
          <w:rtl/>
        </w:rPr>
        <w:t xml:space="preserve">זה פוסל דינו ופריך בגמרא כל כמיניה ומשני בערכאות שבסוריא. ופירש רש"י שהיו יושבי קרנות </w:t>
      </w:r>
      <w:r w:rsidRPr="005C02AD">
        <w:rPr>
          <w:rFonts w:cs="Arial" w:hint="cs"/>
          <w:sz w:val="16"/>
          <w:szCs w:val="16"/>
          <w:rtl/>
        </w:rPr>
        <w:t>(</w:t>
      </w:r>
      <w:r w:rsidRPr="005C02AD">
        <w:rPr>
          <w:rFonts w:cs="Arial"/>
          <w:sz w:val="16"/>
          <w:szCs w:val="16"/>
          <w:rtl/>
        </w:rPr>
        <w:t>ואע</w:t>
      </w:r>
      <w:r w:rsidRPr="005C02AD">
        <w:rPr>
          <w:rFonts w:cs="Arial" w:hint="cs"/>
          <w:sz w:val="16"/>
          <w:szCs w:val="16"/>
          <w:rtl/>
        </w:rPr>
        <w:t>"</w:t>
      </w:r>
      <w:r w:rsidRPr="005C02AD">
        <w:rPr>
          <w:rFonts w:cs="Arial"/>
          <w:sz w:val="16"/>
          <w:szCs w:val="16"/>
          <w:rtl/>
        </w:rPr>
        <w:t xml:space="preserve">ג דפליגי רבנן עליה ואמרי </w:t>
      </w:r>
      <w:r>
        <w:rPr>
          <w:rFonts w:cs="Arial" w:hint="cs"/>
          <w:sz w:val="16"/>
          <w:szCs w:val="16"/>
          <w:rtl/>
        </w:rPr>
        <w:t>'</w:t>
      </w:r>
      <w:r w:rsidRPr="005C02AD">
        <w:rPr>
          <w:rFonts w:cs="Arial"/>
          <w:sz w:val="16"/>
          <w:szCs w:val="16"/>
          <w:rtl/>
        </w:rPr>
        <w:t>אימתי בזמן שמביא ראיה שהן פסולים הל</w:t>
      </w:r>
      <w:r>
        <w:rPr>
          <w:rFonts w:cs="Arial" w:hint="cs"/>
          <w:sz w:val="16"/>
          <w:szCs w:val="16"/>
          <w:rtl/>
        </w:rPr>
        <w:t>א"</w:t>
      </w:r>
      <w:r w:rsidRPr="005C02AD">
        <w:rPr>
          <w:rFonts w:cs="Arial"/>
          <w:sz w:val="16"/>
          <w:szCs w:val="16"/>
          <w:rtl/>
        </w:rPr>
        <w:t>ה לא</w:t>
      </w:r>
      <w:r>
        <w:rPr>
          <w:rFonts w:cs="Arial" w:hint="cs"/>
          <w:sz w:val="16"/>
          <w:szCs w:val="16"/>
          <w:rtl/>
        </w:rPr>
        <w:t>'</w:t>
      </w:r>
      <w:r w:rsidRPr="005C02AD">
        <w:rPr>
          <w:rFonts w:cs="Arial"/>
          <w:sz w:val="16"/>
          <w:szCs w:val="16"/>
          <w:rtl/>
        </w:rPr>
        <w:t xml:space="preserve"> </w:t>
      </w:r>
      <w:r>
        <w:rPr>
          <w:rFonts w:cs="Arial" w:hint="cs"/>
          <w:sz w:val="16"/>
          <w:szCs w:val="16"/>
          <w:rtl/>
        </w:rPr>
        <w:t xml:space="preserve">- </w:t>
      </w:r>
      <w:r w:rsidRPr="005C02AD">
        <w:rPr>
          <w:rFonts w:cs="Arial"/>
          <w:sz w:val="16"/>
          <w:szCs w:val="16"/>
          <w:rtl/>
        </w:rPr>
        <w:t>היינו דוקא גבי ערכאות שנתמנו להיות דיינים</w:t>
      </w:r>
      <w:r>
        <w:rPr>
          <w:rFonts w:cs="Arial" w:hint="cs"/>
          <w:sz w:val="14"/>
          <w:szCs w:val="14"/>
          <w:rtl/>
        </w:rPr>
        <w:t xml:space="preserve"> {אבל אם לא מינו אותם לדון אז אפילו הם כשרים מודים חכמים שכל אחד מבעלי הדין יכול לומר 'איני רוצה לדון בפניהם'}</w:t>
      </w:r>
      <w:r>
        <w:rPr>
          <w:rFonts w:cs="Arial" w:hint="cs"/>
          <w:sz w:val="16"/>
          <w:szCs w:val="16"/>
          <w:rtl/>
        </w:rPr>
        <w:t>)</w:t>
      </w:r>
      <w:r>
        <w:rPr>
          <w:rFonts w:cs="Arial" w:hint="cs"/>
          <w:rtl/>
        </w:rPr>
        <w:t>,</w:t>
      </w:r>
      <w:r w:rsidRPr="008F0F41">
        <w:rPr>
          <w:rFonts w:cs="Arial"/>
          <w:rtl/>
        </w:rPr>
        <w:t xml:space="preserve"> עכ"ל </w:t>
      </w:r>
      <w:r>
        <w:rPr>
          <w:rFonts w:cs="Arial" w:hint="cs"/>
          <w:sz w:val="16"/>
          <w:szCs w:val="16"/>
          <w:rtl/>
        </w:rPr>
        <w:t>{הרא"ש}</w:t>
      </w:r>
      <w:r>
        <w:rPr>
          <w:rFonts w:cs="Arial" w:hint="cs"/>
          <w:rtl/>
        </w:rPr>
        <w:t>, ב"י.</w:t>
      </w:r>
    </w:p>
    <w:p w14:paraId="389A3B33" w14:textId="77777777" w:rsidR="0013116F" w:rsidRDefault="0013116F" w:rsidP="00FE4C31">
      <w:pPr>
        <w:pStyle w:val="a9"/>
        <w:rPr>
          <w:rtl/>
        </w:rPr>
      </w:pPr>
      <w:r>
        <w:rPr>
          <w:rFonts w:cs="Arial"/>
          <w:rtl/>
        </w:rPr>
        <w:t>ופירש רש"י שהיו יושבי קרנות</w:t>
      </w:r>
      <w:r>
        <w:rPr>
          <w:rFonts w:cs="Arial" w:hint="cs"/>
          <w:rtl/>
        </w:rPr>
        <w:t>.</w:t>
      </w:r>
      <w:r>
        <w:rPr>
          <w:rFonts w:cs="Arial"/>
          <w:rtl/>
        </w:rPr>
        <w:t xml:space="preserve"> ואע</w:t>
      </w:r>
      <w:r>
        <w:rPr>
          <w:rFonts w:cs="Arial" w:hint="cs"/>
          <w:rtl/>
        </w:rPr>
        <w:t>"</w:t>
      </w:r>
      <w:r>
        <w:rPr>
          <w:rFonts w:cs="Arial"/>
          <w:rtl/>
        </w:rPr>
        <w:t xml:space="preserve">ג דפליגי רבנן עליה </w:t>
      </w:r>
      <w:r>
        <w:rPr>
          <w:rFonts w:cs="Arial" w:hint="cs"/>
          <w:sz w:val="16"/>
          <w:szCs w:val="16"/>
          <w:rtl/>
        </w:rPr>
        <w:t xml:space="preserve">{דרבי מאיר} </w:t>
      </w:r>
      <w:r>
        <w:rPr>
          <w:rFonts w:cs="Arial"/>
          <w:rtl/>
        </w:rPr>
        <w:t xml:space="preserve">ואמרי </w:t>
      </w:r>
      <w:r>
        <w:rPr>
          <w:rFonts w:cs="Arial" w:hint="cs"/>
          <w:rtl/>
        </w:rPr>
        <w:t>'</w:t>
      </w:r>
      <w:r>
        <w:rPr>
          <w:rFonts w:cs="Arial"/>
          <w:rtl/>
        </w:rPr>
        <w:t>אימתי בזמן שמביא ראיה שהן פסולים הלא</w:t>
      </w:r>
      <w:r>
        <w:rPr>
          <w:rFonts w:cs="Arial" w:hint="cs"/>
          <w:rtl/>
        </w:rPr>
        <w:t>"</w:t>
      </w:r>
      <w:r>
        <w:rPr>
          <w:rFonts w:cs="Arial"/>
          <w:rtl/>
        </w:rPr>
        <w:t>ה לא</w:t>
      </w:r>
      <w:r>
        <w:rPr>
          <w:rFonts w:cs="Arial" w:hint="cs"/>
          <w:rtl/>
        </w:rPr>
        <w:t>',</w:t>
      </w:r>
      <w:r>
        <w:rPr>
          <w:rFonts w:cs="Arial"/>
          <w:rtl/>
        </w:rPr>
        <w:t xml:space="preserve"> היינו דוקא גבי ערכאות שנתמנו להיות דיינים עכ"ל</w:t>
      </w:r>
      <w:r>
        <w:rPr>
          <w:rFonts w:cs="Arial" w:hint="cs"/>
          <w:rtl/>
        </w:rPr>
        <w:t xml:space="preserve"> </w:t>
      </w:r>
      <w:r>
        <w:rPr>
          <w:rFonts w:cs="Arial" w:hint="cs"/>
          <w:sz w:val="16"/>
          <w:szCs w:val="16"/>
          <w:rtl/>
        </w:rPr>
        <w:t>{</w:t>
      </w:r>
      <w:r w:rsidRPr="00531F2A">
        <w:rPr>
          <w:rFonts w:cs="Arial" w:hint="cs"/>
          <w:sz w:val="16"/>
          <w:szCs w:val="16"/>
          <w:rtl/>
        </w:rPr>
        <w:t>הרא"ש}</w:t>
      </w:r>
      <w:r>
        <w:rPr>
          <w:rFonts w:cs="Arial" w:hint="cs"/>
          <w:rtl/>
        </w:rPr>
        <w:t>, ב"י.</w:t>
      </w:r>
    </w:p>
  </w:footnote>
  <w:footnote w:id="146">
    <w:p w14:paraId="0FDDE281" w14:textId="77777777" w:rsidR="0013116F" w:rsidRDefault="0013116F">
      <w:pPr>
        <w:pStyle w:val="a9"/>
      </w:pPr>
      <w:r>
        <w:rPr>
          <w:rStyle w:val="ab"/>
        </w:rPr>
        <w:footnoteRef/>
      </w:r>
      <w:r>
        <w:rPr>
          <w:rtl/>
        </w:rPr>
        <w:t xml:space="preserve"> </w:t>
      </w:r>
      <w:r>
        <w:rPr>
          <w:rFonts w:hint="cs"/>
          <w:rtl/>
        </w:rPr>
        <w:t xml:space="preserve">סימן </w:t>
      </w:r>
      <w:r>
        <w:rPr>
          <w:rtl/>
        </w:rPr>
        <w:t>–</w:t>
      </w:r>
      <w:r>
        <w:rPr>
          <w:rFonts w:hint="cs"/>
          <w:rtl/>
        </w:rPr>
        <w:t xml:space="preserve"> המומחה.</w:t>
      </w:r>
    </w:p>
  </w:footnote>
  <w:footnote w:id="147">
    <w:p w14:paraId="4E473392" w14:textId="77777777" w:rsidR="0013116F" w:rsidRDefault="0013116F" w:rsidP="004A326E">
      <w:pPr>
        <w:pStyle w:val="a9"/>
        <w:rPr>
          <w:rtl/>
        </w:rPr>
      </w:pPr>
      <w:r>
        <w:rPr>
          <w:rStyle w:val="ab"/>
        </w:rPr>
        <w:footnoteRef/>
      </w:r>
      <w:r>
        <w:rPr>
          <w:rtl/>
        </w:rPr>
        <w:t xml:space="preserve"> </w:t>
      </w:r>
      <w:r>
        <w:rPr>
          <w:rFonts w:hint="cs"/>
          <w:rtl/>
        </w:rPr>
        <w:t xml:space="preserve">וז"ל- </w:t>
      </w:r>
      <w:r w:rsidRPr="003324D1">
        <w:rPr>
          <w:rFonts w:cs="Arial"/>
          <w:rtl/>
        </w:rPr>
        <w:t>בתוספות הצרפתים אם האחד סרבן ואינו רוצה לעמוד בדין יכול יחיד מומחה או שלשה הדיוטות לכופו עד שיתרצה לדון עם חבירו בבית דין ואם לא יתרצה יכפוהו בשוטים או בחרם סתם או בשמתא לדון עמהם בפניהם אם אין בעיר אלא הם ואם יש בעיר אחרים יכפוהו לדון ולברור מי שירצה מהם</w:t>
      </w:r>
      <w:r>
        <w:rPr>
          <w:rFonts w:cs="Arial" w:hint="cs"/>
          <w:rtl/>
        </w:rPr>
        <w:t>.</w:t>
      </w:r>
    </w:p>
  </w:footnote>
  <w:footnote w:id="148">
    <w:p w14:paraId="1C925789" w14:textId="77777777" w:rsidR="0013116F" w:rsidRDefault="0013116F" w:rsidP="004A326E">
      <w:pPr>
        <w:pStyle w:val="a9"/>
        <w:rPr>
          <w:rtl/>
        </w:rPr>
      </w:pPr>
      <w:r>
        <w:rPr>
          <w:rStyle w:val="ab"/>
        </w:rPr>
        <w:footnoteRef/>
      </w:r>
      <w:r>
        <w:rPr>
          <w:rtl/>
        </w:rPr>
        <w:t xml:space="preserve"> </w:t>
      </w:r>
      <w:r>
        <w:rPr>
          <w:rFonts w:hint="cs"/>
          <w:rtl/>
        </w:rPr>
        <w:t xml:space="preserve">מדרבנן, סמ"ע (סק"א) וב"ח. אך העיר שושן והש"ך (סק"א) חולקים וס"ל </w:t>
      </w:r>
      <w:r>
        <w:rPr>
          <w:rFonts w:cs="Arial" w:hint="cs"/>
          <w:rtl/>
        </w:rPr>
        <w:t>ד</w:t>
      </w:r>
      <w:r w:rsidRPr="00372EFB">
        <w:rPr>
          <w:rFonts w:cs="Arial"/>
          <w:rtl/>
        </w:rPr>
        <w:t>קי"ל כרבא דמדאורייתא בעינן ג' מומחים מדכתיב ג' אלהים, אלא שחז"ל תיקנו דסגי בג' הדיוטות משום שלא תנעול דלת בפני לווין.</w:t>
      </w:r>
    </w:p>
  </w:footnote>
  <w:footnote w:id="149">
    <w:p w14:paraId="3534E109" w14:textId="77777777" w:rsidR="0013116F" w:rsidRDefault="0013116F" w:rsidP="004A326E">
      <w:pPr>
        <w:pStyle w:val="a9"/>
      </w:pPr>
      <w:r>
        <w:rPr>
          <w:rStyle w:val="ab"/>
        </w:rPr>
        <w:footnoteRef/>
      </w:r>
      <w:r>
        <w:rPr>
          <w:rtl/>
        </w:rPr>
        <w:t xml:space="preserve"> </w:t>
      </w:r>
      <w:r w:rsidRPr="00FD7E5E">
        <w:rPr>
          <w:rFonts w:cs="Arial"/>
          <w:rtl/>
        </w:rPr>
        <w:t xml:space="preserve">מיהו י"ל דגמיר מיהא בעינן, והכי משמע פשטא לישנא דש"ס חד דגמיר כו', וכ"כ מהר"מ פדאווה </w:t>
      </w:r>
      <w:r w:rsidRPr="00FD7E5E">
        <w:rPr>
          <w:rFonts w:cs="Arial" w:hint="cs"/>
          <w:sz w:val="16"/>
          <w:szCs w:val="16"/>
          <w:rtl/>
        </w:rPr>
        <w:t>(</w:t>
      </w:r>
      <w:r w:rsidRPr="00FD7E5E">
        <w:rPr>
          <w:rFonts w:cs="Arial"/>
          <w:sz w:val="16"/>
          <w:szCs w:val="16"/>
          <w:rtl/>
        </w:rPr>
        <w:t>סי</w:t>
      </w:r>
      <w:r w:rsidRPr="00FD7E5E">
        <w:rPr>
          <w:rFonts w:cs="Arial" w:hint="cs"/>
          <w:sz w:val="16"/>
          <w:szCs w:val="16"/>
          <w:rtl/>
        </w:rPr>
        <w:t>'</w:t>
      </w:r>
      <w:r w:rsidRPr="00FD7E5E">
        <w:rPr>
          <w:rFonts w:cs="Arial"/>
          <w:sz w:val="16"/>
          <w:szCs w:val="16"/>
          <w:rtl/>
        </w:rPr>
        <w:t xml:space="preserve"> מג</w:t>
      </w:r>
      <w:r w:rsidRPr="00FD7E5E">
        <w:rPr>
          <w:rFonts w:cs="Arial" w:hint="cs"/>
          <w:sz w:val="16"/>
          <w:szCs w:val="16"/>
          <w:rtl/>
        </w:rPr>
        <w:t>)</w:t>
      </w:r>
      <w:r w:rsidRPr="00FD7E5E">
        <w:rPr>
          <w:rFonts w:cs="Arial"/>
          <w:rtl/>
        </w:rPr>
        <w:t xml:space="preserve">, והב"ח </w:t>
      </w:r>
      <w:r w:rsidRPr="00FD7E5E">
        <w:rPr>
          <w:rFonts w:cs="Arial" w:hint="cs"/>
          <w:sz w:val="16"/>
          <w:szCs w:val="16"/>
          <w:rtl/>
        </w:rPr>
        <w:t>(</w:t>
      </w:r>
      <w:r w:rsidRPr="00FD7E5E">
        <w:rPr>
          <w:rFonts w:cs="Arial"/>
          <w:sz w:val="16"/>
          <w:szCs w:val="16"/>
          <w:rtl/>
        </w:rPr>
        <w:t>ד"ה וכתב הרמ"ה בסופו</w:t>
      </w:r>
      <w:r w:rsidRPr="00FD7E5E">
        <w:rPr>
          <w:rFonts w:cs="Arial" w:hint="cs"/>
          <w:sz w:val="16"/>
          <w:szCs w:val="16"/>
          <w:rtl/>
        </w:rPr>
        <w:t>)</w:t>
      </w:r>
      <w:r w:rsidRPr="00FD7E5E">
        <w:rPr>
          <w:rFonts w:cs="Arial"/>
          <w:sz w:val="16"/>
          <w:szCs w:val="16"/>
          <w:rtl/>
        </w:rPr>
        <w:t xml:space="preserve"> </w:t>
      </w:r>
      <w:r w:rsidRPr="00FD7E5E">
        <w:rPr>
          <w:rFonts w:cs="Arial"/>
          <w:rtl/>
        </w:rPr>
        <w:t>השיג עליו דלא בעינן גמיר ממש אלא גמיר קצת ומתוך כך יודע סברות קצת בדינין כו', ואין דבריו מוכרחים</w:t>
      </w:r>
      <w:r>
        <w:rPr>
          <w:rFonts w:hint="cs"/>
          <w:rtl/>
        </w:rPr>
        <w:t>, ש"ך (סק"ב).</w:t>
      </w:r>
    </w:p>
  </w:footnote>
  <w:footnote w:id="150">
    <w:p w14:paraId="48A9EDEF" w14:textId="77777777" w:rsidR="0013116F" w:rsidRDefault="0013116F" w:rsidP="004A326E">
      <w:pPr>
        <w:pStyle w:val="a9"/>
      </w:pPr>
      <w:r>
        <w:rPr>
          <w:rStyle w:val="ab"/>
        </w:rPr>
        <w:footnoteRef/>
      </w:r>
      <w:r>
        <w:rPr>
          <w:rtl/>
        </w:rPr>
        <w:t xml:space="preserve"> </w:t>
      </w:r>
      <w:r w:rsidRPr="00FD7E5E">
        <w:rPr>
          <w:rFonts w:cs="Arial"/>
          <w:rtl/>
        </w:rPr>
        <w:t>מיהו אם המחום רבים עליהם, אפילו ג' יושבי קרנות כשרים, כדלקמן ריש סימן ח' וסימן כ"ב סוף סעיף א'</w:t>
      </w:r>
      <w:r>
        <w:rPr>
          <w:rFonts w:cs="Arial" w:hint="cs"/>
          <w:rtl/>
        </w:rPr>
        <w:t>, ש"ך (סק"ג).</w:t>
      </w:r>
    </w:p>
  </w:footnote>
  <w:footnote w:id="151">
    <w:p w14:paraId="3A19D798" w14:textId="77777777" w:rsidR="0013116F" w:rsidRPr="00546B2C" w:rsidRDefault="0013116F">
      <w:pPr>
        <w:pStyle w:val="a9"/>
      </w:pPr>
      <w:r>
        <w:rPr>
          <w:rStyle w:val="ab"/>
        </w:rPr>
        <w:footnoteRef/>
      </w:r>
      <w:r>
        <w:rPr>
          <w:rtl/>
        </w:rPr>
        <w:t xml:space="preserve"> </w:t>
      </w:r>
      <w:r>
        <w:rPr>
          <w:rFonts w:hint="cs"/>
          <w:rtl/>
        </w:rPr>
        <w:t xml:space="preserve">סימן </w:t>
      </w:r>
      <w:r>
        <w:rPr>
          <w:rtl/>
        </w:rPr>
        <w:t>–</w:t>
      </w:r>
      <w:r>
        <w:rPr>
          <w:rFonts w:hint="cs"/>
          <w:rtl/>
        </w:rPr>
        <w:t xml:space="preserve"> ב' הם ג'? </w:t>
      </w:r>
      <w:r>
        <w:rPr>
          <w:rFonts w:hint="cs"/>
          <w:sz w:val="16"/>
          <w:szCs w:val="16"/>
          <w:rtl/>
        </w:rPr>
        <w:t xml:space="preserve">(הסימן לכל הדפים שמתפרסת הסוגיא </w:t>
      </w:r>
      <w:r>
        <w:rPr>
          <w:sz w:val="16"/>
          <w:szCs w:val="16"/>
          <w:rtl/>
        </w:rPr>
        <w:t>–</w:t>
      </w:r>
      <w:r>
        <w:rPr>
          <w:rFonts w:hint="cs"/>
          <w:sz w:val="16"/>
          <w:szCs w:val="16"/>
          <w:rtl/>
        </w:rPr>
        <w:t xml:space="preserve"> ב, ג, ה)</w:t>
      </w:r>
      <w:r>
        <w:rPr>
          <w:rFonts w:hint="cs"/>
          <w:rtl/>
        </w:rPr>
        <w:t>.</w:t>
      </w:r>
    </w:p>
  </w:footnote>
  <w:footnote w:id="152">
    <w:p w14:paraId="0C70C008" w14:textId="77777777" w:rsidR="0013116F" w:rsidRDefault="0013116F" w:rsidP="004A326E">
      <w:pPr>
        <w:pStyle w:val="a9"/>
      </w:pPr>
      <w:r>
        <w:rPr>
          <w:rStyle w:val="ab"/>
        </w:rPr>
        <w:footnoteRef/>
      </w:r>
      <w:r>
        <w:rPr>
          <w:rtl/>
        </w:rPr>
        <w:t xml:space="preserve"> </w:t>
      </w:r>
      <w:r>
        <w:rPr>
          <w:rFonts w:cs="Arial"/>
          <w:rtl/>
        </w:rPr>
        <w:t>ולאו דוקא שנים אלא אפילו אחד נמי</w:t>
      </w:r>
      <w:r>
        <w:rPr>
          <w:rFonts w:cs="Arial" w:hint="cs"/>
          <w:rtl/>
        </w:rPr>
        <w:t>,</w:t>
      </w:r>
      <w:r>
        <w:rPr>
          <w:rFonts w:cs="Arial"/>
          <w:rtl/>
        </w:rPr>
        <w:t xml:space="preserve"> תדע דלקמן (ו.) פריך ממתניתין (בכורות כח:) דדן את הדין לרבי אבהו דאמר שנים שדנו אין דיניהם דין</w:t>
      </w:r>
      <w:r>
        <w:rPr>
          <w:rFonts w:cs="Arial" w:hint="cs"/>
          <w:rtl/>
        </w:rPr>
        <w:t>,</w:t>
      </w:r>
      <w:r>
        <w:rPr>
          <w:rFonts w:cs="Arial"/>
          <w:rtl/>
        </w:rPr>
        <w:t xml:space="preserve"> אבל לשמואל ניחא</w:t>
      </w:r>
      <w:r>
        <w:rPr>
          <w:rFonts w:cs="Arial" w:hint="cs"/>
          <w:rtl/>
        </w:rPr>
        <w:t>,</w:t>
      </w:r>
      <w:r>
        <w:rPr>
          <w:rFonts w:cs="Arial"/>
          <w:rtl/>
        </w:rPr>
        <w:t xml:space="preserve"> והא דנקט שנים משום דאפילו שנים מקרו בית דין חצוף</w:t>
      </w:r>
      <w:r>
        <w:rPr>
          <w:rFonts w:cs="Arial" w:hint="cs"/>
          <w:rtl/>
        </w:rPr>
        <w:t>.</w:t>
      </w:r>
      <w:r>
        <w:rPr>
          <w:rFonts w:cs="Arial"/>
          <w:rtl/>
        </w:rPr>
        <w:t xml:space="preserve"> והיכי מיירי</w:t>
      </w:r>
      <w:r>
        <w:rPr>
          <w:rFonts w:cs="Arial" w:hint="cs"/>
          <w:rtl/>
        </w:rPr>
        <w:t>,</w:t>
      </w:r>
      <w:r>
        <w:rPr>
          <w:rFonts w:cs="Arial"/>
          <w:rtl/>
        </w:rPr>
        <w:t xml:space="preserve"> אי קבלוהו עלייהו אמאי מקרי בית דין חצוף</w:t>
      </w:r>
      <w:r>
        <w:rPr>
          <w:rFonts w:cs="Arial" w:hint="cs"/>
          <w:rtl/>
        </w:rPr>
        <w:t>,</w:t>
      </w:r>
      <w:r>
        <w:rPr>
          <w:rFonts w:cs="Arial"/>
          <w:rtl/>
        </w:rPr>
        <w:t xml:space="preserve"> ואי בדלא קבלוהו עלייהו אלא דנין אותם בעל כרחו אמאי דיניהם דין</w:t>
      </w:r>
      <w:r>
        <w:rPr>
          <w:rFonts w:cs="Arial" w:hint="cs"/>
          <w:rtl/>
        </w:rPr>
        <w:t>,</w:t>
      </w:r>
      <w:r>
        <w:rPr>
          <w:rFonts w:cs="Arial"/>
          <w:rtl/>
        </w:rPr>
        <w:t xml:space="preserve"> הא אפילו שמואל מודה דבעינן שלשה או יחיד מומחה כדפרישית לעיל (סי' ב)</w:t>
      </w:r>
      <w:r>
        <w:rPr>
          <w:rFonts w:cs="Arial" w:hint="cs"/>
          <w:rtl/>
        </w:rPr>
        <w:t>,</w:t>
      </w:r>
      <w:r>
        <w:rPr>
          <w:rFonts w:cs="Arial"/>
          <w:rtl/>
        </w:rPr>
        <w:t xml:space="preserve"> וי"ל דמיירי כגון שאמרו דונו לנו כמו שנקראים דיינים מן התורה ואשמועינן שמואל דדיניהם דין אלא שנקראו בית דין חצוף ורבי אבהו אמר אין דיניהם דין</w:t>
      </w:r>
      <w:r>
        <w:rPr>
          <w:rFonts w:cs="Arial" w:hint="cs"/>
          <w:rtl/>
        </w:rPr>
        <w:t>, רא"ש (סי' ג)</w:t>
      </w:r>
      <w:r>
        <w:rPr>
          <w:rFonts w:cs="Arial"/>
          <w:rtl/>
        </w:rPr>
        <w:t>.</w:t>
      </w:r>
    </w:p>
  </w:footnote>
  <w:footnote w:id="153">
    <w:p w14:paraId="5C83B644" w14:textId="77777777" w:rsidR="0013116F" w:rsidRDefault="0013116F" w:rsidP="009F09F8">
      <w:pPr>
        <w:pStyle w:val="a9"/>
        <w:rPr>
          <w:rtl/>
        </w:rPr>
      </w:pPr>
      <w:r>
        <w:rPr>
          <w:rStyle w:val="ab"/>
        </w:rPr>
        <w:footnoteRef/>
      </w:r>
      <w:r>
        <w:rPr>
          <w:rtl/>
        </w:rPr>
        <w:t xml:space="preserve"> </w:t>
      </w:r>
      <w:r w:rsidRPr="009F09F8">
        <w:rPr>
          <w:rFonts w:cs="Arial"/>
          <w:rtl/>
        </w:rPr>
        <w:t>הרי שרבי שמעון בן גמליאל סובר ששנים שדנו אין דיניהם דין</w:t>
      </w:r>
      <w:r>
        <w:rPr>
          <w:rFonts w:cs="Arial" w:hint="cs"/>
          <w:sz w:val="14"/>
          <w:szCs w:val="14"/>
          <w:rtl/>
        </w:rPr>
        <w:t xml:space="preserve"> (חברותא)</w:t>
      </w:r>
      <w:r>
        <w:rPr>
          <w:rFonts w:hint="cs"/>
          <w:rtl/>
        </w:rPr>
        <w:t>.</w:t>
      </w:r>
    </w:p>
  </w:footnote>
  <w:footnote w:id="154">
    <w:p w14:paraId="43F433DB" w14:textId="77777777" w:rsidR="0013116F" w:rsidRDefault="0013116F">
      <w:pPr>
        <w:pStyle w:val="a9"/>
        <w:rPr>
          <w:rtl/>
        </w:rPr>
      </w:pPr>
      <w:r>
        <w:rPr>
          <w:rStyle w:val="ab"/>
        </w:rPr>
        <w:footnoteRef/>
      </w:r>
      <w:r>
        <w:rPr>
          <w:rtl/>
        </w:rPr>
        <w:t xml:space="preserve"> </w:t>
      </w:r>
      <w:r w:rsidRPr="009F09F8">
        <w:rPr>
          <w:rFonts w:cs="Arial"/>
          <w:rtl/>
        </w:rPr>
        <w:t>ר' אבהו אדשמואל, שמואל סבר: פליגי רבנן עליה דרבן שמעון בן גמליאל</w:t>
      </w:r>
      <w:r>
        <w:rPr>
          <w:rFonts w:hint="cs"/>
          <w:rtl/>
        </w:rPr>
        <w:t>, רש"י.</w:t>
      </w:r>
    </w:p>
  </w:footnote>
  <w:footnote w:id="155">
    <w:p w14:paraId="0A763AA5" w14:textId="77777777" w:rsidR="0013116F" w:rsidRDefault="0013116F">
      <w:pPr>
        <w:pStyle w:val="a9"/>
      </w:pPr>
      <w:r>
        <w:rPr>
          <w:rStyle w:val="ab"/>
        </w:rPr>
        <w:footnoteRef/>
      </w:r>
      <w:r>
        <w:rPr>
          <w:rtl/>
        </w:rPr>
        <w:t xml:space="preserve"> </w:t>
      </w:r>
      <w:r>
        <w:rPr>
          <w:rFonts w:hint="cs"/>
          <w:rtl/>
        </w:rPr>
        <w:t>סימן לפני ב'.</w:t>
      </w:r>
    </w:p>
  </w:footnote>
  <w:footnote w:id="156">
    <w:p w14:paraId="74B4767F" w14:textId="77777777" w:rsidR="0013116F" w:rsidRDefault="0013116F">
      <w:pPr>
        <w:pStyle w:val="a9"/>
      </w:pPr>
      <w:r>
        <w:rPr>
          <w:rStyle w:val="ab"/>
        </w:rPr>
        <w:footnoteRef/>
      </w:r>
      <w:r>
        <w:rPr>
          <w:rtl/>
        </w:rPr>
        <w:t xml:space="preserve"> </w:t>
      </w:r>
      <w:r w:rsidRPr="00B067C8">
        <w:rPr>
          <w:rFonts w:cs="Arial"/>
          <w:rtl/>
        </w:rPr>
        <w:t>גבי פרוזבול תנן לה במסכת שביעית (פ"י מ"ד)</w:t>
      </w:r>
      <w:r>
        <w:rPr>
          <w:rFonts w:cs="Arial" w:hint="cs"/>
          <w:rtl/>
        </w:rPr>
        <w:t>, רש"י.</w:t>
      </w:r>
    </w:p>
  </w:footnote>
  <w:footnote w:id="157">
    <w:p w14:paraId="4A32ECEF" w14:textId="77777777" w:rsidR="0013116F" w:rsidRDefault="0013116F" w:rsidP="00505311">
      <w:pPr>
        <w:pStyle w:val="a9"/>
        <w:rPr>
          <w:rtl/>
        </w:rPr>
      </w:pPr>
      <w:r>
        <w:rPr>
          <w:rStyle w:val="ab"/>
        </w:rPr>
        <w:footnoteRef/>
      </w:r>
      <w:r>
        <w:rPr>
          <w:rtl/>
        </w:rPr>
        <w:t xml:space="preserve"> </w:t>
      </w:r>
      <w:r>
        <w:rPr>
          <w:rFonts w:cs="Arial" w:hint="cs"/>
          <w:rtl/>
        </w:rPr>
        <w:t xml:space="preserve">וכ"כ </w:t>
      </w:r>
      <w:r w:rsidRPr="0033058F">
        <w:rPr>
          <w:rFonts w:cs="Arial"/>
          <w:rtl/>
        </w:rPr>
        <w:t xml:space="preserve">המרדכי </w:t>
      </w:r>
      <w:r w:rsidRPr="00C0023F">
        <w:rPr>
          <w:rFonts w:cs="Arial" w:hint="cs"/>
          <w:sz w:val="16"/>
          <w:szCs w:val="16"/>
          <w:rtl/>
        </w:rPr>
        <w:t>(</w:t>
      </w:r>
      <w:r w:rsidRPr="00C0023F">
        <w:rPr>
          <w:rFonts w:cs="Arial"/>
          <w:sz w:val="16"/>
          <w:szCs w:val="16"/>
          <w:rtl/>
        </w:rPr>
        <w:t>ר</w:t>
      </w:r>
      <w:r w:rsidRPr="00C0023F">
        <w:rPr>
          <w:rFonts w:cs="Arial" w:hint="cs"/>
          <w:sz w:val="16"/>
          <w:szCs w:val="16"/>
          <w:rtl/>
        </w:rPr>
        <w:t>פ"ק</w:t>
      </w:r>
      <w:r w:rsidRPr="00C0023F">
        <w:rPr>
          <w:rFonts w:cs="Arial"/>
          <w:sz w:val="16"/>
          <w:szCs w:val="16"/>
          <w:rtl/>
        </w:rPr>
        <w:t xml:space="preserve"> דסנהדרין סי' תרעח) </w:t>
      </w:r>
      <w:r>
        <w:rPr>
          <w:rFonts w:cs="Arial" w:hint="cs"/>
          <w:rtl/>
        </w:rPr>
        <w:t>בשם ר"ת, עיי"ש.</w:t>
      </w:r>
    </w:p>
  </w:footnote>
  <w:footnote w:id="158">
    <w:p w14:paraId="1EB85DF9" w14:textId="77777777" w:rsidR="0013116F" w:rsidRDefault="0013116F" w:rsidP="004A326E">
      <w:pPr>
        <w:pStyle w:val="a9"/>
        <w:rPr>
          <w:rtl/>
        </w:rPr>
      </w:pPr>
      <w:r>
        <w:rPr>
          <w:rStyle w:val="ab"/>
        </w:rPr>
        <w:footnoteRef/>
      </w:r>
      <w:r>
        <w:rPr>
          <w:rtl/>
        </w:rPr>
        <w:t xml:space="preserve"> </w:t>
      </w:r>
      <w:r w:rsidRPr="002622A5">
        <w:rPr>
          <w:rFonts w:cs="Arial"/>
          <w:rtl/>
        </w:rPr>
        <w:t>וכן מסתבר דסוגיא דשמעתין כוותיה דקאמר דכולי עלמא דין בשלשה</w:t>
      </w:r>
      <w:r w:rsidRPr="002622A5">
        <w:rPr>
          <w:rFonts w:cs="Arial" w:hint="cs"/>
          <w:rtl/>
        </w:rPr>
        <w:t>,</w:t>
      </w:r>
      <w:r w:rsidRPr="002622A5">
        <w:rPr>
          <w:rFonts w:cs="Arial"/>
          <w:rtl/>
        </w:rPr>
        <w:t xml:space="preserve"> ועוד דקיי</w:t>
      </w:r>
      <w:r w:rsidRPr="002622A5">
        <w:rPr>
          <w:rFonts w:cs="Arial" w:hint="cs"/>
          <w:rtl/>
        </w:rPr>
        <w:t>"</w:t>
      </w:r>
      <w:r w:rsidRPr="002622A5">
        <w:rPr>
          <w:rFonts w:cs="Arial"/>
          <w:rtl/>
        </w:rPr>
        <w:t>ל דמאביי ורבא ואילך הלכתא כאמוראי בתראי</w:t>
      </w:r>
      <w:r w:rsidRPr="002622A5">
        <w:rPr>
          <w:rFonts w:cs="Arial" w:hint="cs"/>
          <w:rtl/>
        </w:rPr>
        <w:t>,</w:t>
      </w:r>
      <w:r w:rsidRPr="002622A5">
        <w:rPr>
          <w:rFonts w:cs="Arial"/>
          <w:rtl/>
        </w:rPr>
        <w:t xml:space="preserve"> ואמרינן בגמרא </w:t>
      </w:r>
      <w:r w:rsidRPr="002622A5">
        <w:rPr>
          <w:rFonts w:cs="Arial"/>
          <w:sz w:val="16"/>
          <w:szCs w:val="16"/>
          <w:rtl/>
        </w:rPr>
        <w:t xml:space="preserve">(ג.) </w:t>
      </w:r>
      <w:r w:rsidRPr="002622A5">
        <w:rPr>
          <w:rFonts w:cs="Arial"/>
          <w:rtl/>
        </w:rPr>
        <w:t>דרבה לית ליה דשמואל</w:t>
      </w:r>
      <w:r>
        <w:rPr>
          <w:rFonts w:hint="cs"/>
          <w:rtl/>
        </w:rPr>
        <w:t>, רא"ש.</w:t>
      </w:r>
    </w:p>
  </w:footnote>
  <w:footnote w:id="159">
    <w:p w14:paraId="21F9E86F" w14:textId="77777777" w:rsidR="0013116F" w:rsidRDefault="0013116F" w:rsidP="004A326E">
      <w:pPr>
        <w:pStyle w:val="a9"/>
      </w:pPr>
      <w:r>
        <w:rPr>
          <w:rStyle w:val="ab"/>
        </w:rPr>
        <w:footnoteRef/>
      </w:r>
      <w:r>
        <w:rPr>
          <w:rtl/>
        </w:rPr>
        <w:t xml:space="preserve"> </w:t>
      </w:r>
      <w:r w:rsidRPr="007B2C48">
        <w:rPr>
          <w:rFonts w:cs="Arial"/>
          <w:rtl/>
        </w:rPr>
        <w:t>למאן דלית ליה עירוב פרשיות כתוב כאן אפילו יחיד שאין מומחה דן מן התורה</w:t>
      </w:r>
      <w:r>
        <w:rPr>
          <w:rFonts w:cs="Arial" w:hint="cs"/>
          <w:rtl/>
        </w:rPr>
        <w:t>,</w:t>
      </w:r>
      <w:r w:rsidRPr="007B2C48">
        <w:rPr>
          <w:rFonts w:cs="Arial"/>
          <w:rtl/>
        </w:rPr>
        <w:t xml:space="preserve"> אלא שחכמים תקנו שלא ידונו בפחות מג' הדיוטות</w:t>
      </w:r>
      <w:r>
        <w:rPr>
          <w:rFonts w:cs="Arial" w:hint="cs"/>
          <w:rtl/>
        </w:rPr>
        <w:t>,</w:t>
      </w:r>
      <w:r w:rsidRPr="007B2C48">
        <w:rPr>
          <w:rFonts w:cs="Arial"/>
          <w:rtl/>
        </w:rPr>
        <w:t xml:space="preserve"> ויחיד מומחה אוקמוה רבנן אדיניה ודן לכתחלה</w:t>
      </w:r>
      <w:r>
        <w:rPr>
          <w:rFonts w:cs="Arial" w:hint="cs"/>
          <w:rtl/>
        </w:rPr>
        <w:t>,</w:t>
      </w:r>
      <w:r w:rsidRPr="007B2C48">
        <w:rPr>
          <w:rFonts w:cs="Arial"/>
          <w:rtl/>
        </w:rPr>
        <w:t xml:space="preserve"> ויחיד שאין מומחה לכתחלה לא אבל בדיעבד דיניה דינא</w:t>
      </w:r>
      <w:r>
        <w:rPr>
          <w:rFonts w:cs="Arial" w:hint="cs"/>
          <w:rtl/>
        </w:rPr>
        <w:t>.</w:t>
      </w:r>
      <w:r w:rsidRPr="007B2C48">
        <w:rPr>
          <w:rFonts w:cs="Arial"/>
          <w:rtl/>
        </w:rPr>
        <w:t xml:space="preserve"> ומאן דאית ליה עירוב פרשיות</w:t>
      </w:r>
      <w:r>
        <w:rPr>
          <w:rFonts w:cs="Arial" w:hint="cs"/>
          <w:rtl/>
        </w:rPr>
        <w:t>-</w:t>
      </w:r>
      <w:r w:rsidRPr="007B2C48">
        <w:rPr>
          <w:rFonts w:cs="Arial"/>
          <w:rtl/>
        </w:rPr>
        <w:t xml:space="preserve"> מדאורייתא בעינן שלשה מומחין וחכמים תקנו דסגי בג' הדיוטות או ביחיד מומחה</w:t>
      </w:r>
      <w:r>
        <w:rPr>
          <w:rFonts w:cs="Arial" w:hint="cs"/>
          <w:rtl/>
        </w:rPr>
        <w:t>,</w:t>
      </w:r>
      <w:r w:rsidRPr="007B2C48">
        <w:rPr>
          <w:rFonts w:cs="Arial"/>
          <w:rtl/>
        </w:rPr>
        <w:t xml:space="preserve"> ויחיד שאין מומחה או אפי' שנים שאין מומחין אפי' בדיעבד דינייהו לאו דינא</w:t>
      </w:r>
      <w:r>
        <w:rPr>
          <w:rFonts w:cs="Arial" w:hint="cs"/>
          <w:rtl/>
        </w:rPr>
        <w:t>, רא"ש (סי' ב).</w:t>
      </w:r>
    </w:p>
  </w:footnote>
  <w:footnote w:id="160">
    <w:p w14:paraId="0B56AF09" w14:textId="77777777" w:rsidR="0013116F" w:rsidRDefault="0013116F">
      <w:pPr>
        <w:pStyle w:val="a9"/>
        <w:rPr>
          <w:rtl/>
        </w:rPr>
      </w:pPr>
      <w:r>
        <w:rPr>
          <w:rStyle w:val="ab"/>
        </w:rPr>
        <w:footnoteRef/>
      </w:r>
      <w:r>
        <w:rPr>
          <w:rtl/>
        </w:rPr>
        <w:t xml:space="preserve"> </w:t>
      </w:r>
      <w:r>
        <w:rPr>
          <w:rFonts w:hint="cs"/>
          <w:rtl/>
        </w:rPr>
        <w:t>ביחידי, רש"י.</w:t>
      </w:r>
    </w:p>
  </w:footnote>
  <w:footnote w:id="161">
    <w:p w14:paraId="1785B567" w14:textId="77777777" w:rsidR="0013116F" w:rsidRDefault="0013116F">
      <w:pPr>
        <w:pStyle w:val="a9"/>
      </w:pPr>
      <w:r>
        <w:rPr>
          <w:rStyle w:val="ab"/>
        </w:rPr>
        <w:footnoteRef/>
      </w:r>
      <w:r>
        <w:rPr>
          <w:rtl/>
        </w:rPr>
        <w:t xml:space="preserve"> </w:t>
      </w:r>
      <w:r w:rsidRPr="00A20AB8">
        <w:rPr>
          <w:rFonts w:cs="Arial"/>
          <w:rtl/>
        </w:rPr>
        <w:t>לגמרי, לילך אחריך אם לדין אם לטעות, ולא יתבעוך - לא תשלם</w:t>
      </w:r>
      <w:r>
        <w:rPr>
          <w:rFonts w:cs="Arial" w:hint="cs"/>
          <w:rtl/>
        </w:rPr>
        <w:t>, רש"י.</w:t>
      </w:r>
    </w:p>
  </w:footnote>
  <w:footnote w:id="162">
    <w:p w14:paraId="7F8CEEAE" w14:textId="77777777" w:rsidR="0013116F" w:rsidRDefault="0013116F">
      <w:pPr>
        <w:pStyle w:val="a9"/>
      </w:pPr>
      <w:r>
        <w:rPr>
          <w:rStyle w:val="ab"/>
        </w:rPr>
        <w:footnoteRef/>
      </w:r>
      <w:r>
        <w:rPr>
          <w:rtl/>
        </w:rPr>
        <w:t xml:space="preserve"> </w:t>
      </w:r>
      <w:r w:rsidRPr="00A20AB8">
        <w:rPr>
          <w:rFonts w:cs="Arial"/>
          <w:rtl/>
        </w:rPr>
        <w:t>זיל שלים - ואי לא קבלו טעותך עליהם, דאמרו לך: דיינת לן דין תורה - זיל שלים, ומיהו מיהדר דינא - לא, אלמא גמיר וסביר, וכי לא נקיט רשותא דיניה דינא ולא מהדר</w:t>
      </w:r>
      <w:r>
        <w:rPr>
          <w:rFonts w:cs="Arial" w:hint="cs"/>
          <w:rtl/>
        </w:rPr>
        <w:t>, רש"י.</w:t>
      </w:r>
    </w:p>
  </w:footnote>
  <w:footnote w:id="163">
    <w:p w14:paraId="5CAD873D" w14:textId="77777777" w:rsidR="0013116F" w:rsidRPr="00E62F57" w:rsidRDefault="0013116F" w:rsidP="0032386E">
      <w:pPr>
        <w:pStyle w:val="a9"/>
        <w:rPr>
          <w:rFonts w:cs="Arial"/>
          <w:rtl/>
        </w:rPr>
      </w:pPr>
      <w:r>
        <w:rPr>
          <w:rStyle w:val="ab"/>
        </w:rPr>
        <w:footnoteRef/>
      </w:r>
      <w:r>
        <w:rPr>
          <w:rtl/>
        </w:rPr>
        <w:t xml:space="preserve"> </w:t>
      </w:r>
      <w:r>
        <w:rPr>
          <w:rFonts w:cs="Arial" w:hint="cs"/>
          <w:rtl/>
        </w:rPr>
        <w:t>ה</w:t>
      </w:r>
      <w:r w:rsidRPr="001B21E1">
        <w:rPr>
          <w:rFonts w:cs="Arial" w:hint="cs"/>
          <w:rtl/>
        </w:rPr>
        <w:t>רמב</w:t>
      </w:r>
      <w:r w:rsidRPr="00D24E5D">
        <w:rPr>
          <w:rFonts w:cs="Arial" w:hint="cs"/>
          <w:rtl/>
        </w:rPr>
        <w:t>"ם ב</w:t>
      </w:r>
      <w:r w:rsidRPr="00D24E5D">
        <w:rPr>
          <w:rFonts w:cs="Arial"/>
          <w:rtl/>
        </w:rPr>
        <w:t>פ</w:t>
      </w:r>
      <w:r w:rsidRPr="00D24E5D">
        <w:rPr>
          <w:rFonts w:cs="Arial" w:hint="cs"/>
          <w:rtl/>
        </w:rPr>
        <w:t>"</w:t>
      </w:r>
      <w:r w:rsidRPr="00D24E5D">
        <w:rPr>
          <w:rFonts w:cs="Arial"/>
          <w:rtl/>
        </w:rPr>
        <w:t>ז מהל</w:t>
      </w:r>
      <w:r w:rsidRPr="00D24E5D">
        <w:rPr>
          <w:rFonts w:cs="Arial" w:hint="cs"/>
          <w:rtl/>
        </w:rPr>
        <w:t>'</w:t>
      </w:r>
      <w:r w:rsidRPr="00D24E5D">
        <w:rPr>
          <w:rFonts w:cs="Arial"/>
          <w:rtl/>
        </w:rPr>
        <w:t xml:space="preserve"> סנהדרין</w:t>
      </w:r>
      <w:r w:rsidRPr="001B21E1">
        <w:rPr>
          <w:rFonts w:cs="Arial"/>
          <w:sz w:val="16"/>
          <w:szCs w:val="16"/>
          <w:rtl/>
        </w:rPr>
        <w:t xml:space="preserve"> </w:t>
      </w:r>
      <w:r>
        <w:rPr>
          <w:rFonts w:cs="Arial" w:hint="cs"/>
          <w:sz w:val="16"/>
          <w:szCs w:val="16"/>
          <w:rtl/>
        </w:rPr>
        <w:t>(</w:t>
      </w:r>
      <w:r w:rsidRPr="001B21E1">
        <w:rPr>
          <w:rFonts w:cs="Arial"/>
          <w:sz w:val="16"/>
          <w:szCs w:val="16"/>
          <w:rtl/>
        </w:rPr>
        <w:t>ה"א)</w:t>
      </w:r>
      <w:r>
        <w:rPr>
          <w:rFonts w:cs="Arial" w:hint="cs"/>
          <w:rtl/>
        </w:rPr>
        <w:t xml:space="preserve"> כתב וז"ל</w:t>
      </w:r>
      <w:r w:rsidRPr="001B21E1">
        <w:rPr>
          <w:rFonts w:cs="Arial" w:hint="cs"/>
          <w:rtl/>
        </w:rPr>
        <w:t>-</w:t>
      </w:r>
      <w:r w:rsidRPr="002C6F11">
        <w:rPr>
          <w:rtl/>
        </w:rPr>
        <w:t xml:space="preserve"> </w:t>
      </w:r>
      <w:r w:rsidRPr="001B21E1">
        <w:rPr>
          <w:rFonts w:cs="Arial"/>
          <w:rtl/>
        </w:rPr>
        <w:t>אפילו היה האחד שביררו בעלי הדין חכם גדול וסמוך אינו יכול לכוף את בעל דינו שידון אצל זה אלא גם הוא בורר מי שירצה</w:t>
      </w:r>
      <w:r>
        <w:rPr>
          <w:rFonts w:hint="cs"/>
          <w:rtl/>
        </w:rPr>
        <w:t xml:space="preserve">. עכ"ל. והביא הטור </w:t>
      </w:r>
      <w:r w:rsidRPr="0032386E">
        <w:rPr>
          <w:rFonts w:hint="cs"/>
          <w:sz w:val="16"/>
          <w:szCs w:val="16"/>
          <w:rtl/>
        </w:rPr>
        <w:t xml:space="preserve">(בסי' יג) </w:t>
      </w:r>
      <w:r>
        <w:rPr>
          <w:rFonts w:hint="cs"/>
          <w:rtl/>
        </w:rPr>
        <w:t xml:space="preserve">את דבריו וכתב עליהם - </w:t>
      </w:r>
      <w:r w:rsidRPr="00AE48C5">
        <w:rPr>
          <w:rFonts w:cs="Arial"/>
          <w:rtl/>
        </w:rPr>
        <w:t>ואני כתבתי למעלה שהמומחה דן את האדם בע"כ</w:t>
      </w:r>
      <w:r>
        <w:rPr>
          <w:rFonts w:cs="Arial" w:hint="cs"/>
          <w:rtl/>
        </w:rPr>
        <w:t>,</w:t>
      </w:r>
      <w:r w:rsidRPr="00AE48C5">
        <w:rPr>
          <w:rFonts w:cs="Arial"/>
          <w:rtl/>
        </w:rPr>
        <w:t xml:space="preserve"> ואיפשר לומר שדעת הרמב"ם ז"ל אינו אלא דוקא כשבירר כבר אחד דאז אינו יכול לכוף חבירו דאל"כ לא היה הדין שוה דכמו שבירר האחד כן יש לו לחבירו לברור אחד אם ירצה</w:t>
      </w:r>
      <w:r>
        <w:rPr>
          <w:rFonts w:cs="Arial" w:hint="cs"/>
          <w:rtl/>
        </w:rPr>
        <w:t>,</w:t>
      </w:r>
      <w:r w:rsidRPr="00AE48C5">
        <w:rPr>
          <w:rFonts w:cs="Arial"/>
          <w:rtl/>
        </w:rPr>
        <w:t xml:space="preserve"> אבל כל זמן שלא נברר המומחה יכול לכוף שניהם לדון לפניו</w:t>
      </w:r>
      <w:r>
        <w:rPr>
          <w:rFonts w:cs="Arial" w:hint="cs"/>
          <w:rtl/>
        </w:rPr>
        <w:t>. עכ"ל הטור. וכתב הב"י ש</w:t>
      </w:r>
      <w:r>
        <w:rPr>
          <w:rFonts w:cs="Arial"/>
          <w:rtl/>
        </w:rPr>
        <w:t>דברים נכונים הם</w:t>
      </w:r>
      <w:r>
        <w:rPr>
          <w:rFonts w:cs="Arial" w:hint="cs"/>
          <w:rtl/>
        </w:rPr>
        <w:t>. ונראה שהב"י סובר שגם דעת הרמב"ם היא דיחיד מומחה יכול לכפות. ובשו"ע כאן כתב- '</w:t>
      </w:r>
      <w:r>
        <w:rPr>
          <w:rFonts w:cs="Arial"/>
          <w:rtl/>
        </w:rPr>
        <w:t>פחות משלשה אין דיניהם דין אפילו לא טעו, אא</w:t>
      </w:r>
      <w:r>
        <w:rPr>
          <w:rFonts w:cs="Arial" w:hint="cs"/>
          <w:rtl/>
        </w:rPr>
        <w:t>"</w:t>
      </w:r>
      <w:r>
        <w:rPr>
          <w:rFonts w:cs="Arial"/>
          <w:rtl/>
        </w:rPr>
        <w:t>כ קבלום בעלי דינים או שהוא מומחה לרבים</w:t>
      </w:r>
      <w:r>
        <w:rPr>
          <w:rFonts w:cs="Arial" w:hint="cs"/>
          <w:rtl/>
        </w:rPr>
        <w:t xml:space="preserve">', משמע דאם הוא מומחה לרבים אז אפילו לא קיבלוהו אין דינהם דין, היינו דיכול לכפות. וגם הסמ"ע </w:t>
      </w:r>
      <w:r w:rsidRPr="0032386E">
        <w:rPr>
          <w:rFonts w:cs="Arial" w:hint="cs"/>
          <w:sz w:val="16"/>
          <w:szCs w:val="16"/>
          <w:rtl/>
        </w:rPr>
        <w:t>(סי' יג סק"א)</w:t>
      </w:r>
      <w:r>
        <w:rPr>
          <w:rFonts w:cs="Arial" w:hint="cs"/>
          <w:rtl/>
        </w:rPr>
        <w:t xml:space="preserve"> כ' שדעת השו"ע כן, וכתב </w:t>
      </w:r>
      <w:r w:rsidRPr="0032386E">
        <w:rPr>
          <w:rFonts w:cs="Arial" w:hint="cs"/>
          <w:sz w:val="16"/>
          <w:szCs w:val="16"/>
          <w:rtl/>
        </w:rPr>
        <w:t xml:space="preserve">(סק"ה) </w:t>
      </w:r>
      <w:r>
        <w:rPr>
          <w:rFonts w:cs="Arial" w:hint="cs"/>
          <w:rtl/>
        </w:rPr>
        <w:t>גם כדברי הטור. וה</w:t>
      </w:r>
      <w:r w:rsidRPr="00B605C2">
        <w:rPr>
          <w:rFonts w:cs="Arial" w:hint="cs"/>
          <w:rtl/>
        </w:rPr>
        <w:t xml:space="preserve">רי"ף </w:t>
      </w:r>
      <w:r w:rsidRPr="00B605C2">
        <w:rPr>
          <w:rFonts w:cs="Arial" w:hint="cs"/>
          <w:sz w:val="16"/>
          <w:szCs w:val="16"/>
          <w:rtl/>
        </w:rPr>
        <w:t>(ר</w:t>
      </w:r>
      <w:r w:rsidRPr="00B605C2">
        <w:rPr>
          <w:rFonts w:cs="Arial"/>
          <w:sz w:val="16"/>
          <w:szCs w:val="16"/>
          <w:rtl/>
        </w:rPr>
        <w:t>יש סנהדרין א:)</w:t>
      </w:r>
      <w:r>
        <w:rPr>
          <w:rFonts w:cs="Arial" w:hint="cs"/>
          <w:rtl/>
        </w:rPr>
        <w:t xml:space="preserve"> סתם דבריו ולא כתב אם יכול לכפות או לא. ונראה לפרש דבריו שיכול לכפות. וכ"כ הנמוק"י שם.</w:t>
      </w:r>
    </w:p>
  </w:footnote>
  <w:footnote w:id="164">
    <w:p w14:paraId="082A1D15" w14:textId="77777777" w:rsidR="0013116F" w:rsidRDefault="0013116F" w:rsidP="0032386E">
      <w:pPr>
        <w:pStyle w:val="a9"/>
      </w:pPr>
      <w:r>
        <w:rPr>
          <w:rStyle w:val="ab"/>
        </w:rPr>
        <w:footnoteRef/>
      </w:r>
      <w:r>
        <w:rPr>
          <w:rtl/>
        </w:rPr>
        <w:t xml:space="preserve"> </w:t>
      </w:r>
      <w:r>
        <w:rPr>
          <w:rFonts w:hint="cs"/>
          <w:rtl/>
        </w:rPr>
        <w:t xml:space="preserve">אמנם </w:t>
      </w:r>
      <w:r w:rsidRPr="00412587">
        <w:rPr>
          <w:rFonts w:cs="Arial"/>
          <w:rtl/>
        </w:rPr>
        <w:t xml:space="preserve">מהרש"ל </w:t>
      </w:r>
      <w:r w:rsidRPr="00412587">
        <w:rPr>
          <w:rFonts w:cs="Arial" w:hint="cs"/>
          <w:sz w:val="16"/>
          <w:szCs w:val="16"/>
          <w:rtl/>
        </w:rPr>
        <w:t xml:space="preserve">(בתשו' </w:t>
      </w:r>
      <w:r w:rsidRPr="00412587">
        <w:rPr>
          <w:rFonts w:cs="Arial"/>
          <w:sz w:val="16"/>
          <w:szCs w:val="16"/>
          <w:rtl/>
        </w:rPr>
        <w:t>סי</w:t>
      </w:r>
      <w:r w:rsidRPr="00412587">
        <w:rPr>
          <w:rFonts w:cs="Arial" w:hint="cs"/>
          <w:sz w:val="16"/>
          <w:szCs w:val="16"/>
          <w:rtl/>
        </w:rPr>
        <w:t>'</w:t>
      </w:r>
      <w:r w:rsidRPr="00412587">
        <w:rPr>
          <w:rFonts w:cs="Arial"/>
          <w:sz w:val="16"/>
          <w:szCs w:val="16"/>
          <w:rtl/>
        </w:rPr>
        <w:t xml:space="preserve"> לה</w:t>
      </w:r>
      <w:r w:rsidRPr="00412587">
        <w:rPr>
          <w:rFonts w:cs="Arial" w:hint="cs"/>
          <w:sz w:val="16"/>
          <w:szCs w:val="16"/>
          <w:rtl/>
        </w:rPr>
        <w:t>)</w:t>
      </w:r>
      <w:r>
        <w:rPr>
          <w:rFonts w:cs="Arial" w:hint="cs"/>
          <w:rtl/>
        </w:rPr>
        <w:t xml:space="preserve"> כתב</w:t>
      </w:r>
      <w:r w:rsidRPr="00412587">
        <w:rPr>
          <w:rFonts w:cs="Arial"/>
          <w:rtl/>
        </w:rPr>
        <w:t xml:space="preserve"> </w:t>
      </w:r>
      <w:r>
        <w:rPr>
          <w:rFonts w:cs="Arial" w:hint="cs"/>
          <w:rtl/>
        </w:rPr>
        <w:t>ד</w:t>
      </w:r>
      <w:r w:rsidRPr="00412587">
        <w:rPr>
          <w:rFonts w:cs="Arial"/>
          <w:rtl/>
        </w:rPr>
        <w:t xml:space="preserve">אפילו בקיבלוהו והוא מומחה </w:t>
      </w:r>
      <w:r>
        <w:rPr>
          <w:rFonts w:cs="Arial" w:hint="cs"/>
          <w:rtl/>
        </w:rPr>
        <w:t xml:space="preserve">- </w:t>
      </w:r>
      <w:r w:rsidRPr="00412587">
        <w:rPr>
          <w:rFonts w:cs="Arial"/>
          <w:rtl/>
        </w:rPr>
        <w:t>אסור לו לדון יחידי</w:t>
      </w:r>
      <w:r>
        <w:rPr>
          <w:rFonts w:cs="Arial" w:hint="cs"/>
          <w:rtl/>
        </w:rPr>
        <w:t>. אך</w:t>
      </w:r>
      <w:r w:rsidRPr="00412587">
        <w:rPr>
          <w:rFonts w:cs="Arial"/>
          <w:rtl/>
        </w:rPr>
        <w:t xml:space="preserve"> בתשובת שארית יוסף </w:t>
      </w:r>
      <w:r>
        <w:rPr>
          <w:rFonts w:cs="Arial" w:hint="cs"/>
          <w:rtl/>
        </w:rPr>
        <w:t>(</w:t>
      </w:r>
      <w:r w:rsidRPr="00412587">
        <w:rPr>
          <w:rFonts w:cs="Arial"/>
          <w:rtl/>
        </w:rPr>
        <w:t>סי' יז</w:t>
      </w:r>
      <w:r>
        <w:rPr>
          <w:rFonts w:cs="Arial" w:hint="cs"/>
          <w:rtl/>
        </w:rPr>
        <w:t>)</w:t>
      </w:r>
      <w:r w:rsidRPr="00412587">
        <w:rPr>
          <w:rFonts w:cs="Arial"/>
          <w:rtl/>
        </w:rPr>
        <w:t xml:space="preserve"> חלק עליו ודחה ראיותיו</w:t>
      </w:r>
      <w:r>
        <w:rPr>
          <w:rFonts w:cs="Arial" w:hint="cs"/>
          <w:rtl/>
        </w:rPr>
        <w:t>. וגם הש"ך (סק"י) חלק על דברי מהרש"ל.</w:t>
      </w:r>
    </w:p>
  </w:footnote>
  <w:footnote w:id="165">
    <w:p w14:paraId="52AA7403" w14:textId="77777777" w:rsidR="0013116F" w:rsidRDefault="0013116F" w:rsidP="004A326E">
      <w:pPr>
        <w:pStyle w:val="a9"/>
        <w:rPr>
          <w:rtl/>
        </w:rPr>
      </w:pPr>
      <w:r>
        <w:rPr>
          <w:rStyle w:val="ab"/>
        </w:rPr>
        <w:footnoteRef/>
      </w:r>
      <w:r>
        <w:rPr>
          <w:rtl/>
        </w:rPr>
        <w:t xml:space="preserve"> </w:t>
      </w:r>
      <w:r w:rsidRPr="004C0B27">
        <w:rPr>
          <w:rFonts w:cs="Arial"/>
          <w:rtl/>
        </w:rPr>
        <w:t>כמו בקיע</w:t>
      </w:r>
      <w:r>
        <w:rPr>
          <w:rFonts w:cs="Arial" w:hint="cs"/>
          <w:rtl/>
        </w:rPr>
        <w:t xml:space="preserve"> </w:t>
      </w:r>
      <w:r>
        <w:rPr>
          <w:rFonts w:cs="Arial" w:hint="cs"/>
          <w:sz w:val="16"/>
          <w:szCs w:val="16"/>
          <w:rtl/>
        </w:rPr>
        <w:t>{בקי}</w:t>
      </w:r>
      <w:r>
        <w:rPr>
          <w:rFonts w:cs="Arial" w:hint="cs"/>
          <w:rtl/>
        </w:rPr>
        <w:t>,</w:t>
      </w:r>
      <w:r w:rsidRPr="004C0B27">
        <w:rPr>
          <w:rFonts w:cs="Arial"/>
          <w:rtl/>
        </w:rPr>
        <w:t xml:space="preserve"> דאותיות בומ"ף מתחלפין וה"נ תנן בפ"ו דפאה </w:t>
      </w:r>
      <w:r>
        <w:rPr>
          <w:rFonts w:cs="Arial" w:hint="cs"/>
          <w:rtl/>
        </w:rPr>
        <w:t>'</w:t>
      </w:r>
      <w:r w:rsidRPr="004C0B27">
        <w:rPr>
          <w:rFonts w:cs="Arial"/>
          <w:rtl/>
        </w:rPr>
        <w:t>הבקר</w:t>
      </w:r>
      <w:r>
        <w:rPr>
          <w:rFonts w:cs="Arial" w:hint="cs"/>
          <w:rtl/>
        </w:rPr>
        <w:t>'</w:t>
      </w:r>
      <w:r w:rsidRPr="004C0B27">
        <w:rPr>
          <w:rFonts w:cs="Arial"/>
          <w:rtl/>
        </w:rPr>
        <w:t xml:space="preserve"> במקום </w:t>
      </w:r>
      <w:r>
        <w:rPr>
          <w:rFonts w:cs="Arial" w:hint="cs"/>
          <w:rtl/>
        </w:rPr>
        <w:t>'</w:t>
      </w:r>
      <w:r w:rsidRPr="004C0B27">
        <w:rPr>
          <w:rFonts w:cs="Arial"/>
          <w:rtl/>
        </w:rPr>
        <w:t>הפקר</w:t>
      </w:r>
      <w:r>
        <w:rPr>
          <w:rFonts w:cs="Arial" w:hint="cs"/>
          <w:rtl/>
        </w:rPr>
        <w:t>',</w:t>
      </w:r>
      <w:r w:rsidRPr="004C0B27">
        <w:rPr>
          <w:rtl/>
        </w:rPr>
        <w:t xml:space="preserve"> </w:t>
      </w:r>
      <w:r w:rsidRPr="004C0B27">
        <w:rPr>
          <w:rFonts w:cs="Arial"/>
          <w:rtl/>
        </w:rPr>
        <w:t>פלפולא חריפתא</w:t>
      </w:r>
      <w:r w:rsidRPr="00EC1138">
        <w:rPr>
          <w:rFonts w:cs="Arial"/>
          <w:sz w:val="16"/>
          <w:szCs w:val="16"/>
          <w:rtl/>
        </w:rPr>
        <w:t xml:space="preserve"> </w:t>
      </w:r>
      <w:r w:rsidRPr="00EC1138">
        <w:rPr>
          <w:rFonts w:cs="Arial" w:hint="cs"/>
          <w:sz w:val="16"/>
          <w:szCs w:val="16"/>
          <w:rtl/>
        </w:rPr>
        <w:t>(</w:t>
      </w:r>
      <w:r w:rsidRPr="00EC1138">
        <w:rPr>
          <w:rFonts w:cs="Arial"/>
          <w:sz w:val="16"/>
          <w:szCs w:val="16"/>
          <w:rtl/>
        </w:rPr>
        <w:t>סנהדרין פ</w:t>
      </w:r>
      <w:r w:rsidRPr="00EC1138">
        <w:rPr>
          <w:rFonts w:cs="Arial" w:hint="cs"/>
          <w:sz w:val="16"/>
          <w:szCs w:val="16"/>
          <w:rtl/>
        </w:rPr>
        <w:t>"</w:t>
      </w:r>
      <w:r w:rsidRPr="00EC1138">
        <w:rPr>
          <w:rFonts w:cs="Arial"/>
          <w:sz w:val="16"/>
          <w:szCs w:val="16"/>
          <w:rtl/>
        </w:rPr>
        <w:t>א סי</w:t>
      </w:r>
      <w:r w:rsidRPr="00EC1138">
        <w:rPr>
          <w:rFonts w:cs="Arial" w:hint="cs"/>
          <w:sz w:val="16"/>
          <w:szCs w:val="16"/>
          <w:rtl/>
        </w:rPr>
        <w:t>'</w:t>
      </w:r>
      <w:r w:rsidRPr="00EC1138">
        <w:rPr>
          <w:rFonts w:cs="Arial"/>
          <w:sz w:val="16"/>
          <w:szCs w:val="16"/>
          <w:rtl/>
        </w:rPr>
        <w:t xml:space="preserve"> ב אות ו</w:t>
      </w:r>
      <w:r w:rsidRPr="00EC1138">
        <w:rPr>
          <w:rFonts w:hint="cs"/>
          <w:sz w:val="16"/>
          <w:szCs w:val="16"/>
          <w:rtl/>
        </w:rPr>
        <w:t>)</w:t>
      </w:r>
      <w:r>
        <w:rPr>
          <w:rFonts w:hint="cs"/>
          <w:rtl/>
        </w:rPr>
        <w:t>.</w:t>
      </w:r>
    </w:p>
  </w:footnote>
  <w:footnote w:id="166">
    <w:p w14:paraId="70317892" w14:textId="77777777" w:rsidR="0013116F" w:rsidRDefault="0013116F">
      <w:pPr>
        <w:pStyle w:val="a9"/>
      </w:pPr>
      <w:r>
        <w:rPr>
          <w:rStyle w:val="ab"/>
        </w:rPr>
        <w:footnoteRef/>
      </w:r>
      <w:r>
        <w:rPr>
          <w:rtl/>
        </w:rPr>
        <w:t xml:space="preserve"> </w:t>
      </w:r>
      <w:r>
        <w:rPr>
          <w:rFonts w:hint="cs"/>
          <w:rtl/>
        </w:rPr>
        <w:t>וכ"כ בפ"ב</w:t>
      </w:r>
      <w:r w:rsidRPr="00CE71AC">
        <w:rPr>
          <w:rFonts w:cs="Arial" w:hint="cs"/>
          <w:rtl/>
        </w:rPr>
        <w:t xml:space="preserve"> </w:t>
      </w:r>
      <w:r w:rsidRPr="00CE71AC">
        <w:rPr>
          <w:rFonts w:cs="Arial" w:hint="cs"/>
          <w:sz w:val="16"/>
          <w:szCs w:val="16"/>
          <w:rtl/>
        </w:rPr>
        <w:t>(הי"א)</w:t>
      </w:r>
      <w:r>
        <w:rPr>
          <w:rFonts w:cs="Arial" w:hint="cs"/>
          <w:rtl/>
        </w:rPr>
        <w:t xml:space="preserve"> וז"ל</w:t>
      </w:r>
      <w:r w:rsidRPr="00CE71AC">
        <w:rPr>
          <w:rFonts w:cs="Arial" w:hint="cs"/>
          <w:rtl/>
        </w:rPr>
        <w:t xml:space="preserve">- </w:t>
      </w:r>
      <w:r w:rsidRPr="00CE71AC">
        <w:rPr>
          <w:rFonts w:cs="Arial"/>
          <w:rtl/>
        </w:rPr>
        <w:t>אחד שהיה מומחה לרבים או שנטל רשות מב</w:t>
      </w:r>
      <w:r>
        <w:rPr>
          <w:rFonts w:cs="Arial" w:hint="cs"/>
          <w:rtl/>
        </w:rPr>
        <w:t xml:space="preserve">ית </w:t>
      </w:r>
      <w:r w:rsidRPr="00CE71AC">
        <w:rPr>
          <w:rFonts w:cs="Arial"/>
          <w:rtl/>
        </w:rPr>
        <w:t>ד</w:t>
      </w:r>
      <w:r>
        <w:rPr>
          <w:rFonts w:cs="Arial" w:hint="cs"/>
          <w:rtl/>
        </w:rPr>
        <w:t>ין</w:t>
      </w:r>
      <w:r w:rsidRPr="00CE71AC">
        <w:rPr>
          <w:rFonts w:cs="Arial"/>
          <w:rtl/>
        </w:rPr>
        <w:t xml:space="preserve"> הרי זה מותר לו לדון יחידי אבל אינו חשוב בית דין</w:t>
      </w:r>
      <w:r>
        <w:rPr>
          <w:rFonts w:cs="Arial" w:hint="cs"/>
          <w:rtl/>
        </w:rPr>
        <w:t>.</w:t>
      </w:r>
    </w:p>
  </w:footnote>
  <w:footnote w:id="167">
    <w:p w14:paraId="34EB5EF1" w14:textId="77777777" w:rsidR="0013116F" w:rsidRDefault="0013116F" w:rsidP="00776BA3">
      <w:pPr>
        <w:pStyle w:val="a9"/>
        <w:rPr>
          <w:rtl/>
        </w:rPr>
      </w:pPr>
      <w:r>
        <w:rPr>
          <w:rStyle w:val="ab"/>
        </w:rPr>
        <w:footnoteRef/>
      </w:r>
      <w:r>
        <w:rPr>
          <w:rtl/>
        </w:rPr>
        <w:t xml:space="preserve"> </w:t>
      </w:r>
      <w:r>
        <w:rPr>
          <w:rFonts w:hint="cs"/>
          <w:rtl/>
        </w:rPr>
        <w:t xml:space="preserve">וכתב </w:t>
      </w:r>
      <w:r>
        <w:rPr>
          <w:rFonts w:cs="Arial" w:hint="cs"/>
          <w:rtl/>
        </w:rPr>
        <w:t xml:space="preserve">דגם הרא"ש </w:t>
      </w:r>
      <w:r w:rsidRPr="00371292">
        <w:rPr>
          <w:rFonts w:cs="Arial"/>
          <w:rtl/>
        </w:rPr>
        <w:t xml:space="preserve">לא השוה יחיד מומחה לג' הדיוטות רק לענין דין, ולא לענין הודאה. </w:t>
      </w:r>
      <w:r>
        <w:rPr>
          <w:rFonts w:cs="Arial" w:hint="cs"/>
          <w:rtl/>
        </w:rPr>
        <w:t xml:space="preserve">וכתב שכדברי הרמב"ם כן כתבו </w:t>
      </w:r>
      <w:r w:rsidRPr="00371292">
        <w:rPr>
          <w:rFonts w:cs="Arial"/>
          <w:rtl/>
        </w:rPr>
        <w:t xml:space="preserve">בעל התרומות </w:t>
      </w:r>
      <w:r>
        <w:rPr>
          <w:rFonts w:cs="Arial" w:hint="cs"/>
          <w:rtl/>
        </w:rPr>
        <w:t>(</w:t>
      </w:r>
      <w:r w:rsidRPr="00371292">
        <w:rPr>
          <w:rFonts w:cs="Arial"/>
          <w:rtl/>
        </w:rPr>
        <w:t>ש</w:t>
      </w:r>
      <w:r>
        <w:rPr>
          <w:rFonts w:cs="Arial" w:hint="cs"/>
          <w:rtl/>
        </w:rPr>
        <w:t xml:space="preserve">ער </w:t>
      </w:r>
      <w:r w:rsidRPr="00371292">
        <w:rPr>
          <w:rFonts w:cs="Arial"/>
          <w:rtl/>
        </w:rPr>
        <w:t>מב ח</w:t>
      </w:r>
      <w:r>
        <w:rPr>
          <w:rFonts w:cs="Arial" w:hint="cs"/>
          <w:rtl/>
        </w:rPr>
        <w:t>"</w:t>
      </w:r>
      <w:r w:rsidRPr="00371292">
        <w:rPr>
          <w:rFonts w:cs="Arial"/>
          <w:rtl/>
        </w:rPr>
        <w:t>א אות ו</w:t>
      </w:r>
      <w:r>
        <w:rPr>
          <w:rFonts w:cs="Arial" w:hint="cs"/>
          <w:rtl/>
        </w:rPr>
        <w:t>)</w:t>
      </w:r>
      <w:r w:rsidRPr="00371292">
        <w:rPr>
          <w:rFonts w:cs="Arial"/>
          <w:rtl/>
        </w:rPr>
        <w:t xml:space="preserve"> בשם תשובה לקמאי, וכן נראה דעת העיר שושן</w:t>
      </w:r>
      <w:r>
        <w:rPr>
          <w:rFonts w:cs="Arial" w:hint="cs"/>
          <w:rtl/>
        </w:rPr>
        <w:t>,</w:t>
      </w:r>
      <w:r w:rsidRPr="00371292">
        <w:rPr>
          <w:rFonts w:cs="Arial"/>
          <w:rtl/>
        </w:rPr>
        <w:t xml:space="preserve"> וכ"כ </w:t>
      </w:r>
      <w:r>
        <w:rPr>
          <w:rFonts w:cs="Arial" w:hint="cs"/>
          <w:rtl/>
        </w:rPr>
        <w:t>בהעי"ט</w:t>
      </w:r>
      <w:r w:rsidRPr="00371292">
        <w:rPr>
          <w:rFonts w:cs="Arial"/>
          <w:rtl/>
        </w:rPr>
        <w:t xml:space="preserve"> </w:t>
      </w:r>
      <w:r>
        <w:rPr>
          <w:rFonts w:cs="Arial" w:hint="cs"/>
          <w:rtl/>
        </w:rPr>
        <w:t>(</w:t>
      </w:r>
      <w:r w:rsidRPr="00371292">
        <w:rPr>
          <w:rFonts w:cs="Arial"/>
          <w:rtl/>
        </w:rPr>
        <w:t>באות הודאה קה</w:t>
      </w:r>
      <w:r>
        <w:rPr>
          <w:rFonts w:cs="Arial" w:hint="cs"/>
          <w:rtl/>
        </w:rPr>
        <w:t>.)</w:t>
      </w:r>
      <w:r w:rsidRPr="00371292">
        <w:rPr>
          <w:rFonts w:cs="Arial"/>
          <w:rtl/>
        </w:rPr>
        <w:t>, וכ</w:t>
      </w:r>
      <w:r>
        <w:rPr>
          <w:rFonts w:cs="Arial" w:hint="cs"/>
          <w:rtl/>
        </w:rPr>
        <w:t>"כ רי"ו (</w:t>
      </w:r>
      <w:r w:rsidRPr="00371292">
        <w:rPr>
          <w:rFonts w:cs="Arial"/>
          <w:rtl/>
        </w:rPr>
        <w:t>מישרים</w:t>
      </w:r>
      <w:r>
        <w:rPr>
          <w:rFonts w:cs="Arial" w:hint="cs"/>
          <w:rtl/>
        </w:rPr>
        <w:t xml:space="preserve"> נ"א</w:t>
      </w:r>
      <w:r w:rsidRPr="00371292">
        <w:rPr>
          <w:rFonts w:cs="Arial"/>
          <w:rtl/>
        </w:rPr>
        <w:t xml:space="preserve"> ס"ז</w:t>
      </w:r>
      <w:r>
        <w:rPr>
          <w:rFonts w:cs="Arial" w:hint="cs"/>
          <w:rtl/>
        </w:rPr>
        <w:t>)</w:t>
      </w:r>
      <w:r w:rsidRPr="00371292">
        <w:rPr>
          <w:rFonts w:cs="Arial"/>
          <w:rtl/>
        </w:rPr>
        <w:t xml:space="preserve"> גבי הודאה ע"ש, דאע"ג דרב אשי מומחה הוי, לא מהני רק בג'. וכ"כ הריטב"א </w:t>
      </w:r>
      <w:r>
        <w:rPr>
          <w:rFonts w:cs="Arial" w:hint="cs"/>
          <w:rtl/>
        </w:rPr>
        <w:t>(</w:t>
      </w:r>
      <w:r w:rsidRPr="00371292">
        <w:rPr>
          <w:rFonts w:cs="Arial"/>
          <w:rtl/>
        </w:rPr>
        <w:t>פ"ב דכתובות כא</w:t>
      </w:r>
      <w:r>
        <w:rPr>
          <w:rFonts w:cs="Arial" w:hint="cs"/>
          <w:rtl/>
        </w:rPr>
        <w:t>:</w:t>
      </w:r>
      <w:r w:rsidRPr="00371292">
        <w:rPr>
          <w:rFonts w:cs="Arial"/>
          <w:rtl/>
        </w:rPr>
        <w:t xml:space="preserve"> ד"ה אמר רב הונא</w:t>
      </w:r>
      <w:r>
        <w:rPr>
          <w:rFonts w:cs="Arial" w:hint="cs"/>
          <w:rtl/>
        </w:rPr>
        <w:t>)</w:t>
      </w:r>
      <w:r w:rsidRPr="00371292">
        <w:rPr>
          <w:rFonts w:cs="Arial"/>
          <w:rtl/>
        </w:rPr>
        <w:t xml:space="preserve"> בשם מורו והסכים עמו, וכ"כ מהרש"ל להדיא [ביש"ש ב"ק פ</w:t>
      </w:r>
      <w:r>
        <w:rPr>
          <w:rFonts w:cs="Arial" w:hint="cs"/>
          <w:rtl/>
        </w:rPr>
        <w:t>'</w:t>
      </w:r>
      <w:r w:rsidRPr="00371292">
        <w:rPr>
          <w:rFonts w:cs="Arial"/>
          <w:rtl/>
        </w:rPr>
        <w:t xml:space="preserve"> הגוזל בתרא סי' יא</w:t>
      </w:r>
      <w:r>
        <w:rPr>
          <w:rFonts w:cs="Arial" w:hint="cs"/>
          <w:rtl/>
        </w:rPr>
        <w:t>)</w:t>
      </w:r>
      <w:r w:rsidRPr="00371292">
        <w:rPr>
          <w:rFonts w:cs="Arial"/>
          <w:rtl/>
        </w:rPr>
        <w:t xml:space="preserve"> דדוקא לענין דין והתרת נדרים וכה"ג, אבל לענין קיום ואודיתא</w:t>
      </w:r>
      <w:r>
        <w:rPr>
          <w:rFonts w:cs="Arial" w:hint="cs"/>
          <w:rtl/>
        </w:rPr>
        <w:t>,</w:t>
      </w:r>
      <w:r w:rsidRPr="00371292">
        <w:rPr>
          <w:rFonts w:cs="Arial"/>
          <w:rtl/>
        </w:rPr>
        <w:t xml:space="preserve"> בכל מקום שצריך ב"ד אין חילוק אפילו ראש גולה ויחיד בדורו, וע"ש</w:t>
      </w:r>
      <w:r>
        <w:rPr>
          <w:rFonts w:cs="Arial" w:hint="cs"/>
          <w:rtl/>
        </w:rPr>
        <w:t>.</w:t>
      </w:r>
    </w:p>
  </w:footnote>
  <w:footnote w:id="168">
    <w:p w14:paraId="44A61E97" w14:textId="77777777" w:rsidR="0013116F" w:rsidRPr="00BE5AAA" w:rsidRDefault="0013116F" w:rsidP="004A326E">
      <w:pPr>
        <w:pStyle w:val="a9"/>
        <w:rPr>
          <w:rFonts w:cs="Arial"/>
          <w:rtl/>
        </w:rPr>
      </w:pPr>
      <w:r>
        <w:rPr>
          <w:rStyle w:val="ab"/>
        </w:rPr>
        <w:footnoteRef/>
      </w:r>
      <w:r>
        <w:rPr>
          <w:rtl/>
        </w:rPr>
        <w:t xml:space="preserve"> </w:t>
      </w:r>
      <w:r w:rsidRPr="00134A8F">
        <w:rPr>
          <w:rFonts w:cs="Arial"/>
          <w:rtl/>
        </w:rPr>
        <w:t>כתב הב"ח (סעיף א</w:t>
      </w:r>
      <w:r>
        <w:rPr>
          <w:rFonts w:cs="Arial" w:hint="cs"/>
          <w:rtl/>
        </w:rPr>
        <w:t xml:space="preserve"> ד"ה אין</w:t>
      </w:r>
      <w:r w:rsidRPr="00134A8F">
        <w:rPr>
          <w:rFonts w:cs="Arial"/>
          <w:rtl/>
        </w:rPr>
        <w:t xml:space="preserve">) </w:t>
      </w:r>
      <w:r>
        <w:rPr>
          <w:rFonts w:cs="Arial" w:hint="cs"/>
          <w:rtl/>
        </w:rPr>
        <w:t>ד</w:t>
      </w:r>
      <w:r w:rsidRPr="00134A8F">
        <w:rPr>
          <w:rFonts w:cs="Arial"/>
          <w:rtl/>
        </w:rPr>
        <w:t xml:space="preserve">לענין קידושין יש להחמיר ולחוש לדעת הפוסקים כשמואל, פירוש אם שנים דנו והוציאו ממון מזה ונתנו לזה, והוא קידש אשה באותו ממון, ואמרינן בסנהדרין </w:t>
      </w:r>
      <w:r>
        <w:rPr>
          <w:rFonts w:cs="Arial" w:hint="cs"/>
          <w:rtl/>
        </w:rPr>
        <w:t>(</w:t>
      </w:r>
      <w:r w:rsidRPr="00134A8F">
        <w:rPr>
          <w:rFonts w:cs="Arial"/>
          <w:rtl/>
        </w:rPr>
        <w:t>פז</w:t>
      </w:r>
      <w:r>
        <w:rPr>
          <w:rFonts w:cs="Arial" w:hint="cs"/>
          <w:rtl/>
        </w:rPr>
        <w:t>:)</w:t>
      </w:r>
      <w:r w:rsidRPr="00134A8F">
        <w:rPr>
          <w:rFonts w:cs="Arial"/>
          <w:rtl/>
        </w:rPr>
        <w:t xml:space="preserve"> דלרבי אבהו אין קדושין דהוה מקדשבמה שאינו שלו עדיין כלל, ולשמואל הוי קדושין דהא דיניהם דין, ויש להחמיר בכה"ג להצריך גט, והש"ך (סק"ה) השיג עליו</w:t>
      </w:r>
      <w:r>
        <w:rPr>
          <w:rFonts w:cs="Arial" w:hint="cs"/>
          <w:rtl/>
        </w:rPr>
        <w:t xml:space="preserve"> וכתב שעיקר כשמואל. וכתב האו"ת (</w:t>
      </w:r>
      <w:r w:rsidRPr="00134A8F">
        <w:rPr>
          <w:rFonts w:cs="Arial"/>
          <w:rtl/>
        </w:rPr>
        <w:t>תומים סק"ג</w:t>
      </w:r>
      <w:r>
        <w:rPr>
          <w:rFonts w:cs="Arial" w:hint="cs"/>
          <w:rtl/>
        </w:rPr>
        <w:t>, אורים סק"ה</w:t>
      </w:r>
      <w:r w:rsidRPr="00134A8F">
        <w:rPr>
          <w:rFonts w:cs="Arial"/>
          <w:rtl/>
        </w:rPr>
        <w:t>) שיש להחמיר כדברי הב"ח.</w:t>
      </w:r>
    </w:p>
  </w:footnote>
  <w:footnote w:id="169">
    <w:p w14:paraId="33F054EF" w14:textId="77777777" w:rsidR="0013116F" w:rsidRDefault="0013116F" w:rsidP="004A326E">
      <w:pPr>
        <w:pStyle w:val="a9"/>
        <w:rPr>
          <w:rtl/>
        </w:rPr>
      </w:pPr>
      <w:r>
        <w:rPr>
          <w:rStyle w:val="ab"/>
        </w:rPr>
        <w:footnoteRef/>
      </w:r>
      <w:r>
        <w:rPr>
          <w:rtl/>
        </w:rPr>
        <w:t xml:space="preserve"> </w:t>
      </w:r>
      <w:r w:rsidRPr="004C0B27">
        <w:rPr>
          <w:rFonts w:cs="Arial"/>
          <w:rtl/>
        </w:rPr>
        <w:t>וכן פסק הטור ביו"ד ר</w:t>
      </w:r>
      <w:r>
        <w:rPr>
          <w:rFonts w:cs="Arial" w:hint="cs"/>
          <w:rtl/>
        </w:rPr>
        <w:t>"ס</w:t>
      </w:r>
      <w:r w:rsidRPr="004C0B27">
        <w:rPr>
          <w:rFonts w:cs="Arial"/>
          <w:rtl/>
        </w:rPr>
        <w:t xml:space="preserve"> רכח לענין היתר נדרים ביחיד מומחה, ובסי</w:t>
      </w:r>
      <w:r>
        <w:rPr>
          <w:rFonts w:cs="Arial" w:hint="cs"/>
          <w:rtl/>
        </w:rPr>
        <w:t>'</w:t>
      </w:r>
      <w:r w:rsidRPr="004C0B27">
        <w:rPr>
          <w:rFonts w:cs="Arial"/>
          <w:rtl/>
        </w:rPr>
        <w:t xml:space="preserve"> שלד לענין נתינת ליטרא דדהבא למי שמבייש את הת"ח [ע"ש בב"י ד"מ וב"ח]</w:t>
      </w:r>
      <w:r>
        <w:rPr>
          <w:rFonts w:cs="Arial" w:hint="cs"/>
          <w:rtl/>
        </w:rPr>
        <w:t>, סמ"ע (סק"ו).</w:t>
      </w:r>
      <w:r>
        <w:rPr>
          <w:rFonts w:hint="cs"/>
          <w:rtl/>
        </w:rPr>
        <w:t xml:space="preserve"> וכתב הש"ך דהא דאין בזמה"ז מומחה שידון יחידי בע"כ של אדם - היינו</w:t>
      </w:r>
      <w:r w:rsidRPr="004C0B27">
        <w:rPr>
          <w:rtl/>
        </w:rPr>
        <w:t xml:space="preserve"> </w:t>
      </w:r>
      <w:r w:rsidRPr="004C0B27">
        <w:rPr>
          <w:rFonts w:cs="Arial"/>
          <w:rtl/>
        </w:rPr>
        <w:t>לכתחילה, אבל לענין פטור מתשלומין אם טעה או אם דן בדיעבד יש מומחה, וכמ"ש לקמן סי</w:t>
      </w:r>
      <w:r>
        <w:rPr>
          <w:rFonts w:cs="Arial" w:hint="cs"/>
          <w:rtl/>
        </w:rPr>
        <w:t xml:space="preserve">' </w:t>
      </w:r>
      <w:r w:rsidRPr="004C0B27">
        <w:rPr>
          <w:rFonts w:cs="Arial"/>
          <w:rtl/>
        </w:rPr>
        <w:t>כה סקי"ג אות ד'</w:t>
      </w:r>
      <w:r>
        <w:rPr>
          <w:rFonts w:cs="Arial" w:hint="cs"/>
          <w:rtl/>
        </w:rPr>
        <w:t>.</w:t>
      </w:r>
    </w:p>
  </w:footnote>
  <w:footnote w:id="170">
    <w:p w14:paraId="25F712A4" w14:textId="77777777" w:rsidR="0013116F" w:rsidRDefault="0013116F" w:rsidP="004A326E">
      <w:pPr>
        <w:pStyle w:val="a9"/>
      </w:pPr>
      <w:r>
        <w:rPr>
          <w:rStyle w:val="ab"/>
        </w:rPr>
        <w:footnoteRef/>
      </w:r>
      <w:r>
        <w:rPr>
          <w:rtl/>
        </w:rPr>
        <w:t xml:space="preserve"> </w:t>
      </w:r>
      <w:r w:rsidRPr="00371292">
        <w:rPr>
          <w:rFonts w:cs="Arial"/>
          <w:rtl/>
        </w:rPr>
        <w:t>משמע הא אם הם מומחים אפילו אם הם פחות מג', הודאה שהיתה לפניהם הוה הודאה, וכן כתב הטור [סעיף ח'] בשם הרא"ש [סנהדרין פ"א סי' ב']. אבל הרמב"ם [פ"ה מסנהדרין הי"ח] ס"ל דלא הוה הודאתו הודאה אפילו הם מומחים וסמוכין אם לא שהם ג', ואז אפילו בהדיוטות סגי. וזהו שמסיק המחבר וכתב אפילו הן סמוכין, וכל שהן סמוכים מסתמא הן מומחין</w:t>
      </w:r>
      <w:r>
        <w:rPr>
          <w:rFonts w:cs="Arial" w:hint="cs"/>
          <w:rtl/>
        </w:rPr>
        <w:t xml:space="preserve">... </w:t>
      </w:r>
      <w:r w:rsidRPr="00371292">
        <w:rPr>
          <w:rFonts w:cs="Arial"/>
          <w:rtl/>
        </w:rPr>
        <w:t>ומהתימה על מור"ם שעירב שתי הדעות יחד ולא כתבן בלשון פלוגתא כמו שכתבן הטור דפליגי אהדדי</w:t>
      </w:r>
      <w:r>
        <w:rPr>
          <w:rFonts w:cs="Arial" w:hint="cs"/>
          <w:rtl/>
        </w:rPr>
        <w:t xml:space="preserve">... </w:t>
      </w:r>
      <w:r w:rsidRPr="00371292">
        <w:rPr>
          <w:rFonts w:cs="Arial"/>
          <w:rtl/>
        </w:rPr>
        <w:t>ויש לישב בדוחק דמ"ש מור"ם מומחה לרבים, ר"ל שהמחום רבים עליהם דכה"ג מהני</w:t>
      </w:r>
      <w:r>
        <w:rPr>
          <w:rFonts w:cs="Arial" w:hint="cs"/>
          <w:rtl/>
        </w:rPr>
        <w:t xml:space="preserve">, סמ"ע (סק"ז). אך הש"ך </w:t>
      </w:r>
      <w:r w:rsidRPr="00371292">
        <w:rPr>
          <w:rFonts w:cs="Arial"/>
          <w:rtl/>
        </w:rPr>
        <w:t>(</w:t>
      </w:r>
      <w:r>
        <w:rPr>
          <w:rFonts w:cs="Arial" w:hint="cs"/>
          <w:rtl/>
        </w:rPr>
        <w:t>סק"</w:t>
      </w:r>
      <w:r w:rsidRPr="00371292">
        <w:rPr>
          <w:rFonts w:cs="Arial"/>
          <w:rtl/>
        </w:rPr>
        <w:t xml:space="preserve">ח) </w:t>
      </w:r>
      <w:r>
        <w:rPr>
          <w:rFonts w:cs="Arial" w:hint="cs"/>
          <w:rtl/>
        </w:rPr>
        <w:t xml:space="preserve">חלק על יישובו של הסמ"ע וז"ל- </w:t>
      </w:r>
      <w:r w:rsidRPr="00371292">
        <w:rPr>
          <w:rFonts w:cs="Arial"/>
          <w:rtl/>
        </w:rPr>
        <w:t>ולא נהירא, דמה בכך שהמחום רבים עליהם מ"מ לא ה"ל ב"ד, וגם הלשון לא משמע כן, ועוד מהיכן הוציא דין זה. אלא ודאי כונת הרב כפשוטו, והא דלא כתבן בלשון פלוגתא, היינו משום דכיון דבלשון המחבר עצמו אין הכרח כל כך, די"ל סמוכים שאינם מומחים</w:t>
      </w:r>
      <w:r>
        <w:rPr>
          <w:rFonts w:cs="Arial" w:hint="cs"/>
          <w:rtl/>
        </w:rPr>
        <w:t>...</w:t>
      </w:r>
      <w:r w:rsidRPr="00371292">
        <w:rPr>
          <w:rFonts w:cs="Arial"/>
          <w:rtl/>
        </w:rPr>
        <w:t xml:space="preserve"> משא"כ בלשון הרמב"ם עצמו שמביא הטור מבואר להדיא אפילו מומחה ע"ש, לכך כתב הטור בלשון פלוגתא, וכן דרכו של הר"ב בהרבה מקומות, וזה ברור.</w:t>
      </w:r>
      <w:r>
        <w:rPr>
          <w:rFonts w:cs="Arial" w:hint="cs"/>
          <w:rtl/>
        </w:rPr>
        <w:t>...</w:t>
      </w:r>
    </w:p>
  </w:footnote>
  <w:footnote w:id="171">
    <w:p w14:paraId="1292F1CD" w14:textId="77777777" w:rsidR="0013116F" w:rsidRDefault="0013116F" w:rsidP="004A326E">
      <w:pPr>
        <w:pStyle w:val="a9"/>
      </w:pPr>
      <w:r>
        <w:rPr>
          <w:rStyle w:val="ab"/>
        </w:rPr>
        <w:footnoteRef/>
      </w:r>
      <w:r>
        <w:rPr>
          <w:rtl/>
        </w:rPr>
        <w:t xml:space="preserve"> </w:t>
      </w:r>
      <w:r>
        <w:rPr>
          <w:rFonts w:hint="cs"/>
          <w:rtl/>
        </w:rPr>
        <w:t xml:space="preserve">הסמ"ע (סק"ח) כתב דהיינו כל זמן </w:t>
      </w:r>
      <w:r w:rsidRPr="003C67D1">
        <w:rPr>
          <w:rFonts w:cs="Arial"/>
          <w:rtl/>
        </w:rPr>
        <w:t>שלא אמר לפניהם אתם עדי</w:t>
      </w:r>
      <w:r w:rsidRPr="003C67D1">
        <w:rPr>
          <w:rFonts w:cs="Arial"/>
          <w:sz w:val="16"/>
          <w:szCs w:val="16"/>
          <w:rtl/>
        </w:rPr>
        <w:t xml:space="preserve"> </w:t>
      </w:r>
      <w:r w:rsidRPr="003C67D1">
        <w:rPr>
          <w:rFonts w:cs="Arial" w:hint="cs"/>
          <w:sz w:val="16"/>
          <w:szCs w:val="16"/>
          <w:rtl/>
        </w:rPr>
        <w:t>(</w:t>
      </w:r>
      <w:r w:rsidRPr="003C67D1">
        <w:rPr>
          <w:rFonts w:cs="Arial"/>
          <w:sz w:val="16"/>
          <w:szCs w:val="16"/>
          <w:rtl/>
        </w:rPr>
        <w:t>דזה מהני לכו"ע בכל עדים, כמ"ש הט</w:t>
      </w:r>
      <w:r w:rsidRPr="003C67D1">
        <w:rPr>
          <w:rFonts w:cs="Arial" w:hint="cs"/>
          <w:sz w:val="16"/>
          <w:szCs w:val="16"/>
          <w:rtl/>
        </w:rPr>
        <w:t>"</w:t>
      </w:r>
      <w:r w:rsidRPr="003C67D1">
        <w:rPr>
          <w:rFonts w:cs="Arial"/>
          <w:sz w:val="16"/>
          <w:szCs w:val="16"/>
          <w:rtl/>
        </w:rPr>
        <w:t>ו</w:t>
      </w:r>
      <w:r w:rsidRPr="003C67D1">
        <w:rPr>
          <w:rFonts w:cs="Arial" w:hint="cs"/>
          <w:sz w:val="16"/>
          <w:szCs w:val="16"/>
          <w:rtl/>
        </w:rPr>
        <w:t xml:space="preserve"> </w:t>
      </w:r>
      <w:r w:rsidRPr="003C67D1">
        <w:rPr>
          <w:rFonts w:cs="Arial"/>
          <w:sz w:val="16"/>
          <w:szCs w:val="16"/>
          <w:rtl/>
        </w:rPr>
        <w:t>בסי</w:t>
      </w:r>
      <w:r w:rsidRPr="003C67D1">
        <w:rPr>
          <w:rFonts w:cs="Arial" w:hint="cs"/>
          <w:sz w:val="16"/>
          <w:szCs w:val="16"/>
          <w:rtl/>
        </w:rPr>
        <w:t>'</w:t>
      </w:r>
      <w:r w:rsidRPr="003C67D1">
        <w:rPr>
          <w:rFonts w:cs="Arial"/>
          <w:sz w:val="16"/>
          <w:szCs w:val="16"/>
          <w:rtl/>
        </w:rPr>
        <w:t xml:space="preserve"> לב [טור סע</w:t>
      </w:r>
      <w:r>
        <w:rPr>
          <w:rFonts w:cs="Arial" w:hint="cs"/>
          <w:sz w:val="16"/>
          <w:szCs w:val="16"/>
          <w:rtl/>
        </w:rPr>
        <w:t>'</w:t>
      </w:r>
      <w:r w:rsidRPr="003C67D1">
        <w:rPr>
          <w:rFonts w:cs="Arial"/>
          <w:sz w:val="16"/>
          <w:szCs w:val="16"/>
          <w:rtl/>
        </w:rPr>
        <w:t xml:space="preserve"> יד] ופ"א [סע</w:t>
      </w:r>
      <w:r>
        <w:rPr>
          <w:rFonts w:cs="Arial" w:hint="cs"/>
          <w:sz w:val="16"/>
          <w:szCs w:val="16"/>
          <w:rtl/>
        </w:rPr>
        <w:t>'</w:t>
      </w:r>
      <w:r w:rsidRPr="003C67D1">
        <w:rPr>
          <w:rFonts w:cs="Arial"/>
          <w:sz w:val="16"/>
          <w:szCs w:val="16"/>
          <w:rtl/>
        </w:rPr>
        <w:t xml:space="preserve"> ו] לענין הודאה, ובסי</w:t>
      </w:r>
      <w:r>
        <w:rPr>
          <w:rFonts w:cs="Arial" w:hint="cs"/>
          <w:sz w:val="16"/>
          <w:szCs w:val="16"/>
          <w:rtl/>
        </w:rPr>
        <w:t>'</w:t>
      </w:r>
      <w:r w:rsidRPr="003C67D1">
        <w:rPr>
          <w:rFonts w:cs="Arial"/>
          <w:sz w:val="16"/>
          <w:szCs w:val="16"/>
          <w:rtl/>
        </w:rPr>
        <w:t xml:space="preserve"> עט [טור סע</w:t>
      </w:r>
      <w:r>
        <w:rPr>
          <w:rFonts w:cs="Arial" w:hint="cs"/>
          <w:sz w:val="16"/>
          <w:szCs w:val="16"/>
          <w:rtl/>
        </w:rPr>
        <w:t>'</w:t>
      </w:r>
      <w:r w:rsidRPr="003C67D1">
        <w:rPr>
          <w:rFonts w:cs="Arial"/>
          <w:sz w:val="16"/>
          <w:szCs w:val="16"/>
          <w:rtl/>
        </w:rPr>
        <w:t xml:space="preserve"> ח ומחבר סע</w:t>
      </w:r>
      <w:r>
        <w:rPr>
          <w:rFonts w:cs="Arial" w:hint="cs"/>
          <w:sz w:val="16"/>
          <w:szCs w:val="16"/>
          <w:rtl/>
        </w:rPr>
        <w:t>'</w:t>
      </w:r>
      <w:r w:rsidRPr="003C67D1">
        <w:rPr>
          <w:rFonts w:cs="Arial"/>
          <w:sz w:val="16"/>
          <w:szCs w:val="16"/>
          <w:rtl/>
        </w:rPr>
        <w:t xml:space="preserve"> ט] לענין הוחזק כפרן</w:t>
      </w:r>
      <w:r w:rsidRPr="003C67D1">
        <w:rPr>
          <w:rFonts w:cs="Arial" w:hint="cs"/>
          <w:sz w:val="16"/>
          <w:szCs w:val="16"/>
          <w:rtl/>
        </w:rPr>
        <w:t>)</w:t>
      </w:r>
      <w:r>
        <w:rPr>
          <w:rFonts w:cs="Arial" w:hint="cs"/>
          <w:rtl/>
        </w:rPr>
        <w:t xml:space="preserve">, </w:t>
      </w:r>
      <w:r w:rsidRPr="003C67D1">
        <w:rPr>
          <w:rFonts w:cs="Arial"/>
          <w:rtl/>
        </w:rPr>
        <w:t xml:space="preserve">וגם בלא אתם עדי כל שאמר בפניהם בלשון הודאה גמורה ס"ל להרמב"ם </w:t>
      </w:r>
      <w:r w:rsidRPr="003C67D1">
        <w:rPr>
          <w:rFonts w:cs="Arial" w:hint="cs"/>
          <w:sz w:val="16"/>
          <w:szCs w:val="16"/>
          <w:rtl/>
        </w:rPr>
        <w:t>(</w:t>
      </w:r>
      <w:r w:rsidRPr="003C67D1">
        <w:rPr>
          <w:rFonts w:cs="Arial"/>
          <w:sz w:val="16"/>
          <w:szCs w:val="16"/>
          <w:rtl/>
        </w:rPr>
        <w:t>פ"ז מטוען ה"א</w:t>
      </w:r>
      <w:r>
        <w:rPr>
          <w:rFonts w:cs="Arial" w:hint="cs"/>
          <w:sz w:val="16"/>
          <w:szCs w:val="16"/>
          <w:rtl/>
        </w:rPr>
        <w:t>)</w:t>
      </w:r>
      <w:r w:rsidRPr="003C67D1">
        <w:rPr>
          <w:rFonts w:cs="Arial"/>
          <w:rtl/>
        </w:rPr>
        <w:t xml:space="preserve"> בעל סברא זו דמהני, והכא איירי בדלא אמר בפניהן בלשון הודאה גמורה, ע"ש</w:t>
      </w:r>
      <w:r>
        <w:rPr>
          <w:rFonts w:cs="Arial" w:hint="cs"/>
          <w:rtl/>
        </w:rPr>
        <w:t xml:space="preserve">. אך הש"ך (סק"ט) חלק עליו וכתב </w:t>
      </w:r>
      <w:r w:rsidRPr="003C67D1">
        <w:rPr>
          <w:rFonts w:cs="Arial"/>
          <w:rtl/>
        </w:rPr>
        <w:t>ד</w:t>
      </w:r>
      <w:r>
        <w:rPr>
          <w:rFonts w:cs="Arial" w:hint="cs"/>
          <w:rtl/>
        </w:rPr>
        <w:t>נראה ד</w:t>
      </w:r>
      <w:r w:rsidRPr="003C67D1">
        <w:rPr>
          <w:rFonts w:cs="Arial"/>
          <w:rtl/>
        </w:rPr>
        <w:t>מיירי אע</w:t>
      </w:r>
      <w:r>
        <w:rPr>
          <w:rFonts w:cs="Arial" w:hint="cs"/>
          <w:rtl/>
        </w:rPr>
        <w:t>"</w:t>
      </w:r>
      <w:r w:rsidRPr="003C67D1">
        <w:rPr>
          <w:rFonts w:cs="Arial"/>
          <w:rtl/>
        </w:rPr>
        <w:t>פ שאמר לפניהם אתם עדי, אלא דקמ"ל דאין להם דין ב"ד רק דין עדים, לענין דלא הוחזק כפרן להבא לומר אח"כ פרעתיך, כדלקמן סי</w:t>
      </w:r>
      <w:r>
        <w:rPr>
          <w:rFonts w:cs="Arial" w:hint="cs"/>
          <w:rtl/>
        </w:rPr>
        <w:t>'</w:t>
      </w:r>
      <w:r w:rsidRPr="003C67D1">
        <w:rPr>
          <w:rFonts w:cs="Arial"/>
          <w:rtl/>
        </w:rPr>
        <w:t xml:space="preserve"> עט סע</w:t>
      </w:r>
      <w:r>
        <w:rPr>
          <w:rFonts w:cs="Arial" w:hint="cs"/>
          <w:rtl/>
        </w:rPr>
        <w:t>'</w:t>
      </w:r>
      <w:r w:rsidRPr="003C67D1">
        <w:rPr>
          <w:rFonts w:cs="Arial"/>
          <w:rtl/>
        </w:rPr>
        <w:t xml:space="preserve"> ט', ע"ש וזה ברו</w:t>
      </w:r>
      <w:r>
        <w:rPr>
          <w:rFonts w:cs="Arial" w:hint="cs"/>
          <w:rtl/>
        </w:rPr>
        <w:t>ר.</w:t>
      </w:r>
    </w:p>
  </w:footnote>
  <w:footnote w:id="172">
    <w:p w14:paraId="2A52FF3E" w14:textId="77777777" w:rsidR="0013116F" w:rsidRDefault="0013116F" w:rsidP="004A326E">
      <w:pPr>
        <w:pStyle w:val="a9"/>
      </w:pPr>
      <w:r>
        <w:rPr>
          <w:rStyle w:val="ab"/>
        </w:rPr>
        <w:footnoteRef/>
      </w:r>
      <w:r>
        <w:rPr>
          <w:rtl/>
        </w:rPr>
        <w:t xml:space="preserve"> </w:t>
      </w:r>
      <w:r w:rsidRPr="00134A8F">
        <w:rPr>
          <w:rFonts w:cs="Arial"/>
          <w:rtl/>
        </w:rPr>
        <w:t xml:space="preserve">פירוש אם שנים דנו והוציאו ממון מזה ונתנו לזה, והוא קידש אשה באותו ממון, ואמרינן בסנהדרין </w:t>
      </w:r>
      <w:r>
        <w:rPr>
          <w:rFonts w:cs="Arial" w:hint="cs"/>
          <w:rtl/>
        </w:rPr>
        <w:t>(</w:t>
      </w:r>
      <w:r w:rsidRPr="00134A8F">
        <w:rPr>
          <w:rFonts w:cs="Arial"/>
          <w:rtl/>
        </w:rPr>
        <w:t>פז</w:t>
      </w:r>
      <w:r>
        <w:rPr>
          <w:rFonts w:cs="Arial" w:hint="cs"/>
          <w:rtl/>
        </w:rPr>
        <w:t>:)</w:t>
      </w:r>
      <w:r w:rsidRPr="00134A8F">
        <w:rPr>
          <w:rFonts w:cs="Arial"/>
          <w:rtl/>
        </w:rPr>
        <w:t xml:space="preserve"> דלרבי אבהו אין קדושין דהוה מקדש</w:t>
      </w:r>
      <w:r>
        <w:rPr>
          <w:rFonts w:cs="Arial" w:hint="cs"/>
          <w:rtl/>
        </w:rPr>
        <w:t xml:space="preserve"> </w:t>
      </w:r>
      <w:r w:rsidRPr="00134A8F">
        <w:rPr>
          <w:rFonts w:cs="Arial"/>
          <w:rtl/>
        </w:rPr>
        <w:t>במה שאינו שלו עדיין כלל, ולשמואל הוי קדושין דהא דיניהם דין</w:t>
      </w:r>
      <w:r>
        <w:rPr>
          <w:rFonts w:cs="Arial" w:hint="cs"/>
          <w:rtl/>
        </w:rPr>
        <w:t>, אורים (סק"ה).</w:t>
      </w:r>
    </w:p>
  </w:footnote>
  <w:footnote w:id="173">
    <w:p w14:paraId="4D16C916" w14:textId="77777777" w:rsidR="0013116F" w:rsidRDefault="0013116F" w:rsidP="004A326E">
      <w:pPr>
        <w:pStyle w:val="a9"/>
        <w:rPr>
          <w:rtl/>
        </w:rPr>
      </w:pPr>
      <w:r>
        <w:rPr>
          <w:rStyle w:val="ab"/>
        </w:rPr>
        <w:footnoteRef/>
      </w:r>
      <w:r>
        <w:rPr>
          <w:rtl/>
        </w:rPr>
        <w:t xml:space="preserve"> </w:t>
      </w:r>
      <w:r>
        <w:rPr>
          <w:rFonts w:cs="Arial" w:hint="cs"/>
          <w:rtl/>
        </w:rPr>
        <w:t xml:space="preserve">הלכך </w:t>
      </w:r>
      <w:r w:rsidRPr="00BE5AAA">
        <w:rPr>
          <w:rFonts w:cs="Arial"/>
          <w:rtl/>
        </w:rPr>
        <w:t xml:space="preserve">יש להחמיר בכה"ג </w:t>
      </w:r>
      <w:r w:rsidRPr="00BE5AAA">
        <w:rPr>
          <w:rFonts w:cs="Arial" w:hint="cs"/>
          <w:sz w:val="16"/>
          <w:szCs w:val="16"/>
          <w:rtl/>
        </w:rPr>
        <w:t xml:space="preserve">(בהא דלעיל דשנים הוציאו ממון וקידש המקבל בממון זה אשה) </w:t>
      </w:r>
      <w:r w:rsidRPr="00BE5AAA">
        <w:rPr>
          <w:rFonts w:cs="Arial"/>
          <w:rtl/>
        </w:rPr>
        <w:t>להצריך גט</w:t>
      </w:r>
      <w:r>
        <w:rPr>
          <w:rFonts w:cs="Arial" w:hint="cs"/>
          <w:rtl/>
        </w:rPr>
        <w:t>,</w:t>
      </w:r>
      <w:r w:rsidRPr="00BE5AAA">
        <w:rPr>
          <w:rFonts w:cs="Arial" w:hint="cs"/>
          <w:rtl/>
        </w:rPr>
        <w:t xml:space="preserve"> וכתב האו"ת </w:t>
      </w:r>
      <w:r w:rsidRPr="00BE5AAA">
        <w:rPr>
          <w:rFonts w:cs="Arial" w:hint="cs"/>
          <w:sz w:val="16"/>
          <w:szCs w:val="16"/>
          <w:rtl/>
        </w:rPr>
        <w:t>(</w:t>
      </w:r>
      <w:r w:rsidRPr="00BE5AAA">
        <w:rPr>
          <w:rFonts w:cs="Arial"/>
          <w:sz w:val="16"/>
          <w:szCs w:val="16"/>
          <w:rtl/>
        </w:rPr>
        <w:t>תומים סק"ג</w:t>
      </w:r>
      <w:r w:rsidRPr="00BE5AAA">
        <w:rPr>
          <w:rFonts w:cs="Arial" w:hint="cs"/>
          <w:sz w:val="16"/>
          <w:szCs w:val="16"/>
          <w:rtl/>
        </w:rPr>
        <w:t>, אורים סק"ה</w:t>
      </w:r>
      <w:r w:rsidRPr="00BE5AAA">
        <w:rPr>
          <w:rFonts w:cs="Arial"/>
          <w:sz w:val="16"/>
          <w:szCs w:val="16"/>
          <w:rtl/>
        </w:rPr>
        <w:t xml:space="preserve">) </w:t>
      </w:r>
      <w:r w:rsidRPr="00BE5AAA">
        <w:rPr>
          <w:rFonts w:cs="Arial"/>
          <w:rtl/>
        </w:rPr>
        <w:t>שיש להחמיר כדברי הב"ח</w:t>
      </w:r>
      <w:r w:rsidRPr="00BE5AAA">
        <w:rPr>
          <w:rFonts w:cs="Arial" w:hint="cs"/>
          <w:rtl/>
        </w:rPr>
        <w:t>.</w:t>
      </w:r>
    </w:p>
  </w:footnote>
  <w:footnote w:id="174">
    <w:p w14:paraId="7E2D297B" w14:textId="77777777" w:rsidR="0013116F" w:rsidRPr="003B7E18" w:rsidRDefault="0013116F" w:rsidP="004A326E">
      <w:pPr>
        <w:pStyle w:val="a9"/>
        <w:rPr>
          <w:rtl/>
        </w:rPr>
      </w:pPr>
      <w:r w:rsidRPr="003B7E18">
        <w:rPr>
          <w:rStyle w:val="ab"/>
        </w:rPr>
        <w:footnoteRef/>
      </w:r>
      <w:r w:rsidRPr="003B7E18">
        <w:rPr>
          <w:rtl/>
        </w:rPr>
        <w:t xml:space="preserve"> </w:t>
      </w:r>
      <w:r w:rsidRPr="003B7E18">
        <w:rPr>
          <w:rFonts w:cs="Arial" w:hint="cs"/>
          <w:rtl/>
        </w:rPr>
        <w:t xml:space="preserve">הב"י לא הביא כאן את דברי הירושלמי אך </w:t>
      </w:r>
      <w:r w:rsidRPr="003B7E18">
        <w:rPr>
          <w:rFonts w:hint="cs"/>
          <w:rtl/>
        </w:rPr>
        <w:t>הבאתי את</w:t>
      </w:r>
      <w:r>
        <w:rPr>
          <w:rFonts w:hint="cs"/>
          <w:rtl/>
        </w:rPr>
        <w:t xml:space="preserve"> הדברים</w:t>
      </w:r>
      <w:r w:rsidRPr="003B7E18">
        <w:rPr>
          <w:rFonts w:hint="cs"/>
          <w:rtl/>
        </w:rPr>
        <w:t xml:space="preserve"> בגלל דברי הש"ך </w:t>
      </w:r>
      <w:r>
        <w:rPr>
          <w:rFonts w:hint="cs"/>
          <w:rtl/>
        </w:rPr>
        <w:t>(</w:t>
      </w:r>
      <w:r w:rsidRPr="003B7E18">
        <w:rPr>
          <w:rFonts w:hint="cs"/>
          <w:rtl/>
        </w:rPr>
        <w:t>סק"י</w:t>
      </w:r>
      <w:r>
        <w:rPr>
          <w:rFonts w:hint="cs"/>
          <w:rtl/>
        </w:rPr>
        <w:t>)</w:t>
      </w:r>
      <w:r w:rsidRPr="003B7E18">
        <w:rPr>
          <w:rFonts w:hint="cs"/>
          <w:rtl/>
        </w:rPr>
        <w:t xml:space="preserve"> לקמן.</w:t>
      </w:r>
    </w:p>
  </w:footnote>
  <w:footnote w:id="175">
    <w:p w14:paraId="259D4161" w14:textId="77777777" w:rsidR="0013116F" w:rsidRDefault="0013116F" w:rsidP="004A326E">
      <w:pPr>
        <w:pStyle w:val="a9"/>
      </w:pPr>
      <w:r>
        <w:rPr>
          <w:rStyle w:val="ab"/>
        </w:rPr>
        <w:footnoteRef/>
      </w:r>
      <w:r>
        <w:rPr>
          <w:rtl/>
        </w:rPr>
        <w:t xml:space="preserve"> </w:t>
      </w:r>
      <w:r>
        <w:rPr>
          <w:rFonts w:cs="Arial" w:hint="cs"/>
          <w:rtl/>
        </w:rPr>
        <w:t xml:space="preserve">וכתב הש"ך (סק"י)- </w:t>
      </w:r>
      <w:r w:rsidRPr="00412587">
        <w:rPr>
          <w:rFonts w:cs="Arial"/>
          <w:rtl/>
        </w:rPr>
        <w:t>מיהו לענין דינא האידנא בזמן הזה דליכא מומחה צ"ע, די"ל דשאני ר' אבהו דמומחה הוי, ובמומחה דוקא מהני קבלה, והכי מוכח בירושלמי שם</w:t>
      </w:r>
      <w:r>
        <w:rPr>
          <w:rFonts w:cs="Arial" w:hint="cs"/>
          <w:rtl/>
        </w:rPr>
        <w:t>...</w:t>
      </w:r>
      <w:r w:rsidRPr="00412587">
        <w:rPr>
          <w:rFonts w:cs="Arial"/>
          <w:rtl/>
        </w:rPr>
        <w:t xml:space="preserve"> וכן משמע להדיא בהרא"ש </w:t>
      </w:r>
      <w:r w:rsidRPr="00B4579D">
        <w:rPr>
          <w:rFonts w:cs="Arial" w:hint="cs"/>
          <w:sz w:val="16"/>
          <w:szCs w:val="16"/>
          <w:rtl/>
        </w:rPr>
        <w:t>(</w:t>
      </w:r>
      <w:r w:rsidRPr="00B4579D">
        <w:rPr>
          <w:rFonts w:cs="Arial"/>
          <w:sz w:val="16"/>
          <w:szCs w:val="16"/>
          <w:rtl/>
        </w:rPr>
        <w:t>סנהדרין פ</w:t>
      </w:r>
      <w:r w:rsidRPr="00B4579D">
        <w:rPr>
          <w:rFonts w:cs="Arial" w:hint="cs"/>
          <w:sz w:val="16"/>
          <w:szCs w:val="16"/>
          <w:rtl/>
        </w:rPr>
        <w:t>'</w:t>
      </w:r>
      <w:r w:rsidRPr="00B4579D">
        <w:rPr>
          <w:rFonts w:cs="Arial"/>
          <w:sz w:val="16"/>
          <w:szCs w:val="16"/>
          <w:rtl/>
        </w:rPr>
        <w:t xml:space="preserve"> אחד דיני ממונות סי' ה</w:t>
      </w:r>
      <w:r w:rsidRPr="00B4579D">
        <w:rPr>
          <w:rFonts w:cs="Arial" w:hint="cs"/>
          <w:sz w:val="16"/>
          <w:szCs w:val="16"/>
          <w:rtl/>
        </w:rPr>
        <w:t>)</w:t>
      </w:r>
      <w:r>
        <w:rPr>
          <w:rFonts w:cs="Arial" w:hint="cs"/>
          <w:rtl/>
        </w:rPr>
        <w:t>...</w:t>
      </w:r>
      <w:r w:rsidRPr="00412587">
        <w:rPr>
          <w:rFonts w:cs="Arial"/>
          <w:rtl/>
        </w:rPr>
        <w:t xml:space="preserve"> ולפ"ז אותן שנוהגים לדון ביחידי היכא דבאים מעצמם לדון או אפילו בקיבלוהו, לאו שפיר עבדי כיון דהאידנא ליכא מומחה.</w:t>
      </w:r>
      <w:r>
        <w:rPr>
          <w:rFonts w:cs="Arial" w:hint="cs"/>
          <w:rtl/>
        </w:rPr>
        <w:t>.</w:t>
      </w:r>
      <w:r w:rsidRPr="00412587">
        <w:rPr>
          <w:rFonts w:cs="Arial"/>
          <w:rtl/>
        </w:rPr>
        <w:t>. ועל כן יש ליזהר שלא לדון ביחידי אף שקיבלוהו, אם לא שמפרש בהדיא איני יודע לדון אתכם דין תורה, או שהוא דין פשוט ומומחה ורגיל הוא בכך, דבכה"ג איכא מומחה אף האידנא</w:t>
      </w:r>
      <w:r>
        <w:rPr>
          <w:rFonts w:cs="Arial" w:hint="cs"/>
          <w:rtl/>
        </w:rPr>
        <w:t>.</w:t>
      </w:r>
    </w:p>
  </w:footnote>
  <w:footnote w:id="176">
    <w:p w14:paraId="1CE1FD15" w14:textId="77777777" w:rsidR="0013116F" w:rsidRDefault="0013116F">
      <w:pPr>
        <w:pStyle w:val="a9"/>
        <w:rPr>
          <w:rtl/>
        </w:rPr>
      </w:pPr>
      <w:r>
        <w:rPr>
          <w:rStyle w:val="ab"/>
        </w:rPr>
        <w:footnoteRef/>
      </w:r>
      <w:r>
        <w:rPr>
          <w:rtl/>
        </w:rPr>
        <w:t xml:space="preserve"> </w:t>
      </w:r>
      <w:r>
        <w:rPr>
          <w:rFonts w:hint="cs"/>
          <w:rtl/>
        </w:rPr>
        <w:t xml:space="preserve">סימן </w:t>
      </w:r>
      <w:r>
        <w:rPr>
          <w:rtl/>
        </w:rPr>
        <w:t>–</w:t>
      </w:r>
      <w:r>
        <w:rPr>
          <w:rFonts w:hint="cs"/>
          <w:rtl/>
        </w:rPr>
        <w:t xml:space="preserve"> זהירים זימנו זהירים.</w:t>
      </w:r>
      <w:r w:rsidRPr="00126BC5">
        <w:rPr>
          <w:rFonts w:hint="cs"/>
          <w:rtl/>
        </w:rPr>
        <w:t xml:space="preserve"> </w:t>
      </w:r>
      <w:r>
        <w:rPr>
          <w:rFonts w:hint="cs"/>
          <w:rtl/>
        </w:rPr>
        <w:t>וכן איתא בהוריות (ג:)</w:t>
      </w:r>
    </w:p>
  </w:footnote>
  <w:footnote w:id="177">
    <w:p w14:paraId="24B6D61D" w14:textId="77777777" w:rsidR="0013116F" w:rsidRPr="000610CB" w:rsidRDefault="0013116F" w:rsidP="000610CB">
      <w:pPr>
        <w:pStyle w:val="a9"/>
        <w:rPr>
          <w:rFonts w:cs="Arial"/>
        </w:rPr>
      </w:pPr>
      <w:r>
        <w:rPr>
          <w:rStyle w:val="ab"/>
        </w:rPr>
        <w:footnoteRef/>
      </w:r>
      <w:r>
        <w:rPr>
          <w:rtl/>
        </w:rPr>
        <w:t xml:space="preserve"> </w:t>
      </w:r>
      <w:r>
        <w:rPr>
          <w:rFonts w:cs="Arial"/>
          <w:rtl/>
        </w:rPr>
        <w:t>שי</w:t>
      </w:r>
      <w:r>
        <w:rPr>
          <w:rFonts w:cs="Arial" w:hint="cs"/>
          <w:rtl/>
        </w:rPr>
        <w:t>ַ</w:t>
      </w:r>
      <w:r>
        <w:rPr>
          <w:rFonts w:cs="Arial"/>
          <w:rtl/>
        </w:rPr>
        <w:t>ג</w:t>
      </w:r>
      <w:r>
        <w:rPr>
          <w:rFonts w:cs="Arial" w:hint="cs"/>
          <w:rtl/>
        </w:rPr>
        <w:t>ִ</w:t>
      </w:r>
      <w:r>
        <w:rPr>
          <w:rFonts w:cs="Arial"/>
          <w:rtl/>
        </w:rPr>
        <w:t>יע</w:t>
      </w:r>
      <w:r>
        <w:rPr>
          <w:rFonts w:cs="Arial" w:hint="cs"/>
          <w:rtl/>
        </w:rPr>
        <w:t>נ</w:t>
      </w:r>
      <w:r>
        <w:rPr>
          <w:rFonts w:cs="Arial"/>
          <w:rtl/>
        </w:rPr>
        <w:t>ו</w:t>
      </w:r>
      <w:r>
        <w:rPr>
          <w:rFonts w:cs="Arial"/>
          <w:rtl/>
        </w:rPr>
        <w:softHyphen/>
      </w:r>
      <w:r>
        <w:rPr>
          <w:rFonts w:cs="Arial" w:hint="cs"/>
          <w:rtl/>
        </w:rPr>
        <w:t>ֹ</w:t>
      </w:r>
      <w:r w:rsidRPr="000610CB">
        <w:rPr>
          <w:rFonts w:cs="Arial"/>
          <w:rtl/>
        </w:rPr>
        <w:t xml:space="preserve"> נסורת קטנה מן הקורה, כלומר, שאם נטעה - ישתלש העונש בין כולנו ויקלו מעלי</w:t>
      </w:r>
      <w:r>
        <w:rPr>
          <w:rFonts w:cs="Arial" w:hint="cs"/>
          <w:rtl/>
        </w:rPr>
        <w:t>, רש"י. וכן פירש הב"י</w:t>
      </w:r>
      <w:r>
        <w:rPr>
          <w:rFonts w:cs="Arial" w:hint="cs"/>
          <w:sz w:val="16"/>
          <w:szCs w:val="16"/>
          <w:rtl/>
        </w:rPr>
        <w:t xml:space="preserve"> (רק שבמקום מה שכתב רש"י 'ישלתלש' כתב הב"י 'ישתלם')</w:t>
      </w:r>
      <w:r>
        <w:rPr>
          <w:rFonts w:cs="Arial" w:hint="cs"/>
          <w:rtl/>
        </w:rPr>
        <w:t>.</w:t>
      </w:r>
      <w:r w:rsidRPr="000610CB">
        <w:rPr>
          <w:rFonts w:cs="Arial"/>
          <w:rtl/>
        </w:rPr>
        <w:t xml:space="preserve"> </w:t>
      </w:r>
      <w:r>
        <w:rPr>
          <w:rFonts w:cs="Arial" w:hint="cs"/>
          <w:rtl/>
        </w:rPr>
        <w:t>אך היד רמ"ה פירש את דברי הגמ' דהיינו</w:t>
      </w:r>
      <w:r w:rsidRPr="000610CB">
        <w:rPr>
          <w:rFonts w:cs="Arial"/>
          <w:rtl/>
        </w:rPr>
        <w:t xml:space="preserve"> כדי שיגיע לכל אחד ואחד חתיכה קטנה מן הקורה כלומר מעונש ההטייה</w:t>
      </w:r>
      <w:r>
        <w:rPr>
          <w:rFonts w:cs="Arial" w:hint="cs"/>
          <w:rtl/>
        </w:rPr>
        <w:t xml:space="preserve">. עכ"ל. והמאירי </w:t>
      </w:r>
      <w:r w:rsidRPr="000610CB">
        <w:rPr>
          <w:rFonts w:cs="Arial" w:hint="cs"/>
          <w:sz w:val="16"/>
          <w:szCs w:val="16"/>
          <w:rtl/>
        </w:rPr>
        <w:t>(אבות פ"א סד"ה המאמר הב')</w:t>
      </w:r>
      <w:r>
        <w:rPr>
          <w:rFonts w:cs="Arial" w:hint="cs"/>
          <w:rtl/>
        </w:rPr>
        <w:t xml:space="preserve"> פירש ש</w:t>
      </w:r>
      <w:r w:rsidRPr="000610CB">
        <w:rPr>
          <w:rFonts w:cs="Arial"/>
          <w:rtl/>
        </w:rPr>
        <w:t>בכל הוראה שיעמידו בה תלמידים הרבה לישא וליתן בדבר כדי שיתברר הענין מבין כולם</w:t>
      </w:r>
      <w:r>
        <w:rPr>
          <w:rFonts w:cs="Arial" w:hint="cs"/>
          <w:rtl/>
        </w:rPr>
        <w:t>. עכ"ל. וכך פירש השאילתות</w:t>
      </w:r>
      <w:r w:rsidRPr="000610CB">
        <w:rPr>
          <w:rFonts w:cs="Arial"/>
          <w:rtl/>
        </w:rPr>
        <w:t>.</w:t>
      </w:r>
    </w:p>
  </w:footnote>
  <w:footnote w:id="178">
    <w:p w14:paraId="1540D4F4" w14:textId="77777777" w:rsidR="0013116F" w:rsidRDefault="0013116F">
      <w:pPr>
        <w:pStyle w:val="a9"/>
      </w:pPr>
      <w:r>
        <w:rPr>
          <w:rStyle w:val="ab"/>
        </w:rPr>
        <w:footnoteRef/>
      </w:r>
      <w:r>
        <w:rPr>
          <w:rtl/>
        </w:rPr>
        <w:t xml:space="preserve"> </w:t>
      </w:r>
      <w:r>
        <w:rPr>
          <w:rFonts w:hint="cs"/>
          <w:rtl/>
        </w:rPr>
        <w:t xml:space="preserve">סימן </w:t>
      </w:r>
      <w:r>
        <w:rPr>
          <w:rtl/>
        </w:rPr>
        <w:t>–</w:t>
      </w:r>
      <w:r>
        <w:rPr>
          <w:rFonts w:hint="cs"/>
          <w:rtl/>
        </w:rPr>
        <w:t xml:space="preserve"> לא להושיב לפניו.</w:t>
      </w:r>
    </w:p>
  </w:footnote>
  <w:footnote w:id="179">
    <w:p w14:paraId="733653E1" w14:textId="77777777" w:rsidR="0013116F" w:rsidRDefault="0013116F" w:rsidP="004A326E">
      <w:pPr>
        <w:pStyle w:val="a9"/>
        <w:rPr>
          <w:rtl/>
        </w:rPr>
      </w:pPr>
      <w:r>
        <w:rPr>
          <w:rStyle w:val="ab"/>
        </w:rPr>
        <w:footnoteRef/>
      </w:r>
      <w:r>
        <w:rPr>
          <w:rtl/>
        </w:rPr>
        <w:t xml:space="preserve"> </w:t>
      </w:r>
      <w:r>
        <w:rPr>
          <w:rFonts w:cs="Arial"/>
          <w:rtl/>
        </w:rPr>
        <w:t>פירוש לישא וליתן עמו שלא יטעהו</w:t>
      </w:r>
      <w:r>
        <w:rPr>
          <w:rFonts w:hint="cs"/>
          <w:rtl/>
        </w:rPr>
        <w:t>, ב"י.</w:t>
      </w:r>
    </w:p>
  </w:footnote>
  <w:footnote w:id="180">
    <w:p w14:paraId="063CC445" w14:textId="77777777" w:rsidR="0013116F" w:rsidRDefault="0013116F">
      <w:pPr>
        <w:pStyle w:val="a9"/>
        <w:rPr>
          <w:rtl/>
        </w:rPr>
      </w:pPr>
      <w:r>
        <w:rPr>
          <w:rStyle w:val="ab"/>
        </w:rPr>
        <w:footnoteRef/>
      </w:r>
      <w:r>
        <w:rPr>
          <w:rtl/>
        </w:rPr>
        <w:t xml:space="preserve"> </w:t>
      </w:r>
      <w:r>
        <w:rPr>
          <w:rFonts w:hint="cs"/>
          <w:rtl/>
        </w:rPr>
        <w:t xml:space="preserve">סימן </w:t>
      </w:r>
      <w:r>
        <w:rPr>
          <w:rtl/>
        </w:rPr>
        <w:t>–</w:t>
      </w:r>
      <w:r>
        <w:rPr>
          <w:rFonts w:hint="cs"/>
          <w:rtl/>
        </w:rPr>
        <w:t xml:space="preserve"> כמוני גם. וכן </w:t>
      </w:r>
      <w:r>
        <w:rPr>
          <w:rtl/>
        </w:rPr>
        <w:t>–</w:t>
      </w:r>
      <w:r>
        <w:rPr>
          <w:rFonts w:hint="cs"/>
          <w:rtl/>
        </w:rPr>
        <w:t xml:space="preserve"> גברים כשרים.</w:t>
      </w:r>
    </w:p>
  </w:footnote>
  <w:footnote w:id="181">
    <w:p w14:paraId="64424356" w14:textId="77777777" w:rsidR="0013116F" w:rsidRDefault="0013116F" w:rsidP="00126BC5">
      <w:pPr>
        <w:pStyle w:val="a9"/>
      </w:pPr>
      <w:r>
        <w:rPr>
          <w:rStyle w:val="ab"/>
        </w:rPr>
        <w:footnoteRef/>
      </w:r>
      <w:r>
        <w:rPr>
          <w:rtl/>
        </w:rPr>
        <w:t xml:space="preserve"> </w:t>
      </w:r>
      <w:r>
        <w:rPr>
          <w:rFonts w:hint="cs"/>
          <w:rtl/>
        </w:rPr>
        <w:t xml:space="preserve">סימן </w:t>
      </w:r>
      <w:r>
        <w:rPr>
          <w:rtl/>
        </w:rPr>
        <w:t>–</w:t>
      </w:r>
      <w:r>
        <w:rPr>
          <w:rFonts w:hint="cs"/>
          <w:rtl/>
        </w:rPr>
        <w:t xml:space="preserve"> הורמנא. וכן - הורמנת השליט/המלך.</w:t>
      </w:r>
    </w:p>
  </w:footnote>
  <w:footnote w:id="182">
    <w:p w14:paraId="5D1E23E4" w14:textId="77777777" w:rsidR="0013116F" w:rsidRDefault="0013116F" w:rsidP="004A326E">
      <w:pPr>
        <w:pStyle w:val="a9"/>
      </w:pPr>
      <w:r>
        <w:rPr>
          <w:rStyle w:val="ab"/>
        </w:rPr>
        <w:footnoteRef/>
      </w:r>
      <w:r>
        <w:rPr>
          <w:rtl/>
        </w:rPr>
        <w:t xml:space="preserve"> </w:t>
      </w:r>
      <w:r w:rsidRPr="00FD3199">
        <w:rPr>
          <w:rFonts w:cs="Arial"/>
          <w:rtl/>
        </w:rPr>
        <w:t>דכיון דברשות נחת - לא משלם</w:t>
      </w:r>
      <w:r>
        <w:rPr>
          <w:rFonts w:cs="Arial" w:hint="cs"/>
          <w:rtl/>
        </w:rPr>
        <w:t>, רש"י</w:t>
      </w:r>
      <w:r w:rsidRPr="00FD3199">
        <w:rPr>
          <w:rFonts w:cs="Arial"/>
          <w:rtl/>
        </w:rPr>
        <w:t>.</w:t>
      </w:r>
      <w:r>
        <w:rPr>
          <w:rFonts w:hint="cs"/>
          <w:rtl/>
        </w:rPr>
        <w:t xml:space="preserve"> </w:t>
      </w:r>
    </w:p>
  </w:footnote>
  <w:footnote w:id="183">
    <w:p w14:paraId="6853C003" w14:textId="77777777" w:rsidR="0013116F" w:rsidRDefault="0013116F" w:rsidP="004A326E">
      <w:pPr>
        <w:pStyle w:val="a9"/>
        <w:rPr>
          <w:rtl/>
        </w:rPr>
      </w:pPr>
      <w:r>
        <w:rPr>
          <w:rStyle w:val="ab"/>
        </w:rPr>
        <w:footnoteRef/>
      </w:r>
      <w:r>
        <w:rPr>
          <w:rtl/>
        </w:rPr>
        <w:t xml:space="preserve"> </w:t>
      </w:r>
      <w:r w:rsidRPr="00FD3199">
        <w:rPr>
          <w:rFonts w:cs="Arial"/>
          <w:rtl/>
        </w:rPr>
        <w:t>מריש גלותא לבבל, למידן דינא בבבל</w:t>
      </w:r>
      <w:r>
        <w:rPr>
          <w:rFonts w:cs="Arial" w:hint="cs"/>
          <w:rtl/>
        </w:rPr>
        <w:t>, רש"י</w:t>
      </w:r>
      <w:r w:rsidRPr="00FD3199">
        <w:rPr>
          <w:rFonts w:cs="Arial"/>
          <w:rtl/>
        </w:rPr>
        <w:t>.</w:t>
      </w:r>
    </w:p>
  </w:footnote>
  <w:footnote w:id="184">
    <w:p w14:paraId="6FFA194A" w14:textId="77777777" w:rsidR="0013116F" w:rsidRDefault="0013116F" w:rsidP="004A326E">
      <w:pPr>
        <w:pStyle w:val="a9"/>
        <w:rPr>
          <w:rtl/>
        </w:rPr>
      </w:pPr>
      <w:r>
        <w:rPr>
          <w:rStyle w:val="ab"/>
        </w:rPr>
        <w:footnoteRef/>
      </w:r>
      <w:r>
        <w:rPr>
          <w:rtl/>
        </w:rPr>
        <w:t xml:space="preserve"> </w:t>
      </w:r>
      <w:r w:rsidRPr="00FD3199">
        <w:rPr>
          <w:rFonts w:cs="Arial"/>
          <w:rtl/>
        </w:rPr>
        <w:t>מנשיא דארץ ישראל, לדון בארץ ישראל</w:t>
      </w:r>
      <w:r>
        <w:rPr>
          <w:rFonts w:cs="Arial" w:hint="cs"/>
          <w:rtl/>
        </w:rPr>
        <w:t>, רש"י</w:t>
      </w:r>
      <w:r w:rsidRPr="00FD3199">
        <w:rPr>
          <w:rFonts w:cs="Arial"/>
          <w:rtl/>
        </w:rPr>
        <w:t>.</w:t>
      </w:r>
    </w:p>
  </w:footnote>
  <w:footnote w:id="185">
    <w:p w14:paraId="68A922CB" w14:textId="77777777" w:rsidR="0013116F" w:rsidRDefault="0013116F" w:rsidP="004A326E">
      <w:pPr>
        <w:pStyle w:val="a9"/>
      </w:pPr>
      <w:r>
        <w:rPr>
          <w:rStyle w:val="ab"/>
        </w:rPr>
        <w:footnoteRef/>
      </w:r>
      <w:r>
        <w:rPr>
          <w:rtl/>
        </w:rPr>
        <w:t xml:space="preserve"> </w:t>
      </w:r>
      <w:r w:rsidRPr="00FD3199">
        <w:rPr>
          <w:rFonts w:cs="Arial"/>
          <w:rtl/>
        </w:rPr>
        <w:t>לשון שררה, ויש להן רשות להפקיר, דהפקר ב</w:t>
      </w:r>
      <w:r>
        <w:rPr>
          <w:rFonts w:cs="Arial" w:hint="cs"/>
          <w:rtl/>
        </w:rPr>
        <w:t>"</w:t>
      </w:r>
      <w:r w:rsidRPr="00FD3199">
        <w:rPr>
          <w:rFonts w:cs="Arial"/>
          <w:rtl/>
        </w:rPr>
        <w:t>ד הפקר דכתיב</w:t>
      </w:r>
      <w:r w:rsidRPr="00CB1F24">
        <w:rPr>
          <w:rFonts w:cs="Arial"/>
          <w:sz w:val="16"/>
          <w:szCs w:val="16"/>
          <w:rtl/>
        </w:rPr>
        <w:t xml:space="preserve"> (עזרא י) </w:t>
      </w:r>
      <w:r w:rsidRPr="00FD3199">
        <w:rPr>
          <w:rFonts w:cs="Arial"/>
          <w:rtl/>
        </w:rPr>
        <w:t xml:space="preserve">וכל אשר לא יבא וגו' ביבמות בהאשה רבה </w:t>
      </w:r>
      <w:r w:rsidRPr="00CB1F24">
        <w:rPr>
          <w:rFonts w:cs="Arial"/>
          <w:sz w:val="16"/>
          <w:szCs w:val="16"/>
          <w:rtl/>
        </w:rPr>
        <w:t>(פט</w:t>
      </w:r>
      <w:r w:rsidRPr="00CB1F24">
        <w:rPr>
          <w:rFonts w:cs="Arial" w:hint="cs"/>
          <w:sz w:val="16"/>
          <w:szCs w:val="16"/>
          <w:rtl/>
        </w:rPr>
        <w:t>:</w:t>
      </w:r>
      <w:r w:rsidRPr="00CB1F24">
        <w:rPr>
          <w:rFonts w:cs="Arial"/>
          <w:sz w:val="16"/>
          <w:szCs w:val="16"/>
          <w:rtl/>
        </w:rPr>
        <w:t>)</w:t>
      </w:r>
      <w:r>
        <w:rPr>
          <w:rFonts w:cs="Arial" w:hint="cs"/>
          <w:rtl/>
        </w:rPr>
        <w:t>, רש"י</w:t>
      </w:r>
      <w:r w:rsidRPr="00FD3199">
        <w:rPr>
          <w:rFonts w:cs="Arial"/>
          <w:rtl/>
        </w:rPr>
        <w:t>.</w:t>
      </w:r>
    </w:p>
  </w:footnote>
  <w:footnote w:id="186">
    <w:p w14:paraId="3BA8A9C7" w14:textId="77777777" w:rsidR="0013116F" w:rsidRDefault="0013116F" w:rsidP="004A326E">
      <w:pPr>
        <w:pStyle w:val="a9"/>
        <w:rPr>
          <w:rtl/>
        </w:rPr>
      </w:pPr>
      <w:r>
        <w:rPr>
          <w:rStyle w:val="ab"/>
        </w:rPr>
        <w:footnoteRef/>
      </w:r>
      <w:r>
        <w:rPr>
          <w:rtl/>
        </w:rPr>
        <w:t xml:space="preserve"> </w:t>
      </w:r>
      <w:r w:rsidRPr="00FD3199">
        <w:rPr>
          <w:rFonts w:cs="Arial"/>
          <w:rtl/>
        </w:rPr>
        <w:t>שררה מועטת</w:t>
      </w:r>
      <w:r>
        <w:rPr>
          <w:rFonts w:cs="Arial" w:hint="cs"/>
          <w:rtl/>
        </w:rPr>
        <w:t>, רש"י</w:t>
      </w:r>
      <w:r w:rsidRPr="00FD3199">
        <w:rPr>
          <w:rFonts w:cs="Arial"/>
          <w:rtl/>
        </w:rPr>
        <w:t>.</w:t>
      </w:r>
    </w:p>
  </w:footnote>
  <w:footnote w:id="187">
    <w:p w14:paraId="5085FD93" w14:textId="77777777" w:rsidR="0013116F" w:rsidRDefault="0013116F" w:rsidP="004A326E">
      <w:pPr>
        <w:pStyle w:val="a9"/>
        <w:rPr>
          <w:rtl/>
        </w:rPr>
      </w:pPr>
      <w:r>
        <w:rPr>
          <w:rStyle w:val="ab"/>
        </w:rPr>
        <w:footnoteRef/>
      </w:r>
      <w:r>
        <w:rPr>
          <w:rtl/>
        </w:rPr>
        <w:t xml:space="preserve"> </w:t>
      </w:r>
      <w:r w:rsidRPr="00FD3199">
        <w:rPr>
          <w:rFonts w:cs="Arial"/>
          <w:rtl/>
        </w:rPr>
        <w:t>שיש להם כח ורשות מאת מלכי פרס</w:t>
      </w:r>
      <w:r>
        <w:rPr>
          <w:rFonts w:cs="Arial" w:hint="cs"/>
          <w:rtl/>
        </w:rPr>
        <w:t>, רש"י</w:t>
      </w:r>
      <w:r w:rsidRPr="00FD3199">
        <w:rPr>
          <w:rFonts w:cs="Arial"/>
          <w:rtl/>
        </w:rPr>
        <w:t>.</w:t>
      </w:r>
    </w:p>
  </w:footnote>
  <w:footnote w:id="188">
    <w:p w14:paraId="3F5DD8C7" w14:textId="77777777" w:rsidR="0013116F" w:rsidRDefault="0013116F">
      <w:pPr>
        <w:pStyle w:val="a9"/>
        <w:rPr>
          <w:rtl/>
        </w:rPr>
      </w:pPr>
      <w:r>
        <w:rPr>
          <w:rStyle w:val="ab"/>
        </w:rPr>
        <w:footnoteRef/>
      </w:r>
      <w:r>
        <w:rPr>
          <w:rtl/>
        </w:rPr>
        <w:t xml:space="preserve"> </w:t>
      </w:r>
      <w:r w:rsidRPr="00AD739D">
        <w:rPr>
          <w:rFonts w:cs="Arial"/>
          <w:rtl/>
        </w:rPr>
        <w:t>הלל נשיא היה, כדאמר בפסחים באלו דברים (סו</w:t>
      </w:r>
      <w:r>
        <w:rPr>
          <w:rFonts w:cs="Arial" w:hint="cs"/>
          <w:rtl/>
        </w:rPr>
        <w:t>.</w:t>
      </w:r>
      <w:r w:rsidRPr="00AD739D">
        <w:rPr>
          <w:rFonts w:cs="Arial"/>
          <w:rtl/>
        </w:rPr>
        <w:t>): הושיבוהו בראש ומינוהו נשיא עליהם</w:t>
      </w:r>
      <w:r>
        <w:rPr>
          <w:rFonts w:cs="Arial" w:hint="cs"/>
          <w:rtl/>
        </w:rPr>
        <w:t>, רש"י</w:t>
      </w:r>
      <w:r w:rsidRPr="00AD739D">
        <w:rPr>
          <w:rFonts w:cs="Arial"/>
          <w:rtl/>
        </w:rPr>
        <w:t>.</w:t>
      </w:r>
    </w:p>
  </w:footnote>
  <w:footnote w:id="189">
    <w:p w14:paraId="0E52251C" w14:textId="77777777" w:rsidR="0013116F" w:rsidRDefault="0013116F">
      <w:pPr>
        <w:pStyle w:val="a9"/>
        <w:rPr>
          <w:rtl/>
        </w:rPr>
      </w:pPr>
      <w:r>
        <w:rPr>
          <w:rStyle w:val="ab"/>
        </w:rPr>
        <w:footnoteRef/>
      </w:r>
      <w:r>
        <w:rPr>
          <w:rtl/>
        </w:rPr>
        <w:t xml:space="preserve"> </w:t>
      </w:r>
      <w:r>
        <w:rPr>
          <w:rFonts w:cs="Arial" w:hint="cs"/>
          <w:rtl/>
        </w:rPr>
        <w:t>ו</w:t>
      </w:r>
      <w:r w:rsidRPr="00D9235C">
        <w:rPr>
          <w:rFonts w:cs="Arial"/>
          <w:rtl/>
        </w:rPr>
        <w:t>יכול לכוף האדם לדון לפניו</w:t>
      </w:r>
      <w:r>
        <w:rPr>
          <w:rFonts w:hint="cs"/>
          <w:rtl/>
        </w:rPr>
        <w:t>, טור.</w:t>
      </w:r>
    </w:p>
  </w:footnote>
  <w:footnote w:id="190">
    <w:p w14:paraId="00665C59" w14:textId="77777777" w:rsidR="0013116F" w:rsidRDefault="0013116F" w:rsidP="008B3CE8">
      <w:pPr>
        <w:pStyle w:val="a9"/>
      </w:pPr>
      <w:r>
        <w:rPr>
          <w:rStyle w:val="ab"/>
        </w:rPr>
        <w:footnoteRef/>
      </w:r>
      <w:r>
        <w:rPr>
          <w:rtl/>
        </w:rPr>
        <w:t xml:space="preserve"> </w:t>
      </w:r>
      <w:r w:rsidRPr="00EC1138">
        <w:rPr>
          <w:rFonts w:cs="Arial"/>
          <w:rtl/>
        </w:rPr>
        <w:t xml:space="preserve">כדאמרינן פרק זה בורר </w:t>
      </w:r>
      <w:r w:rsidRPr="00EC1138">
        <w:rPr>
          <w:rFonts w:cs="Arial"/>
          <w:sz w:val="16"/>
          <w:szCs w:val="16"/>
          <w:rtl/>
        </w:rPr>
        <w:t>(כה</w:t>
      </w:r>
      <w:r>
        <w:rPr>
          <w:rFonts w:cs="Arial" w:hint="cs"/>
          <w:sz w:val="16"/>
          <w:szCs w:val="16"/>
          <w:rtl/>
        </w:rPr>
        <w:t>:</w:t>
      </w:r>
      <w:r w:rsidRPr="00EC1138">
        <w:rPr>
          <w:rFonts w:cs="Arial"/>
          <w:sz w:val="16"/>
          <w:szCs w:val="16"/>
          <w:rtl/>
        </w:rPr>
        <w:t xml:space="preserve">) </w:t>
      </w:r>
      <w:r w:rsidRPr="00EC1138">
        <w:rPr>
          <w:rFonts w:cs="Arial"/>
          <w:rtl/>
        </w:rPr>
        <w:t>מאי איריא שלשה רועי בקר אפילו כל בי תלתא דלא גמירי דינא נמי פסילי</w:t>
      </w:r>
      <w:r>
        <w:rPr>
          <w:rFonts w:cs="Arial" w:hint="cs"/>
          <w:rtl/>
        </w:rPr>
        <w:t>,</w:t>
      </w:r>
      <w:r w:rsidRPr="00EC1138">
        <w:rPr>
          <w:rFonts w:cs="Arial"/>
          <w:rtl/>
        </w:rPr>
        <w:t xml:space="preserve"> וכיון דאיפסיל לא מהני ליה רשותא דריש גלותא דלאו כל כמינייהו לאכשורי פסולין</w:t>
      </w:r>
      <w:r>
        <w:rPr>
          <w:rFonts w:cs="Arial" w:hint="cs"/>
          <w:rtl/>
        </w:rPr>
        <w:t>.</w:t>
      </w:r>
      <w:r w:rsidRPr="00EC1138">
        <w:rPr>
          <w:rFonts w:cs="Arial"/>
          <w:rtl/>
        </w:rPr>
        <w:t xml:space="preserve"> והכי אמרינן בפ"ק </w:t>
      </w:r>
      <w:r w:rsidRPr="00EC1138">
        <w:rPr>
          <w:rFonts w:cs="Arial"/>
          <w:sz w:val="16"/>
          <w:szCs w:val="16"/>
          <w:rtl/>
        </w:rPr>
        <w:t>(</w:t>
      </w:r>
      <w:r>
        <w:rPr>
          <w:rFonts w:cs="Arial" w:hint="cs"/>
          <w:sz w:val="16"/>
          <w:szCs w:val="16"/>
          <w:rtl/>
        </w:rPr>
        <w:t>ז:</w:t>
      </w:r>
      <w:r w:rsidRPr="00EC1138">
        <w:rPr>
          <w:rFonts w:cs="Arial"/>
          <w:sz w:val="16"/>
          <w:szCs w:val="16"/>
          <w:rtl/>
        </w:rPr>
        <w:t xml:space="preserve">) </w:t>
      </w:r>
      <w:r w:rsidRPr="00EC1138">
        <w:rPr>
          <w:rFonts w:cs="Arial"/>
          <w:rtl/>
        </w:rPr>
        <w:t>דבי נשיאה אוקמו דיינא דלא גמיר ומסיק דעתיד הק</w:t>
      </w:r>
      <w:r>
        <w:rPr>
          <w:rFonts w:cs="Arial" w:hint="cs"/>
          <w:rtl/>
        </w:rPr>
        <w:t>ב"ה</w:t>
      </w:r>
      <w:r w:rsidRPr="00EC1138">
        <w:rPr>
          <w:rFonts w:cs="Arial"/>
          <w:rtl/>
        </w:rPr>
        <w:t xml:space="preserve"> ליפרע ממעמידו</w:t>
      </w:r>
      <w:r>
        <w:rPr>
          <w:rFonts w:cs="Arial" w:hint="cs"/>
          <w:rtl/>
        </w:rPr>
        <w:t>, רא"ש.</w:t>
      </w:r>
    </w:p>
  </w:footnote>
  <w:footnote w:id="191">
    <w:p w14:paraId="71F16625" w14:textId="77777777" w:rsidR="0013116F" w:rsidRDefault="0013116F" w:rsidP="00863467">
      <w:pPr>
        <w:pStyle w:val="a9"/>
        <w:rPr>
          <w:rtl/>
        </w:rPr>
      </w:pPr>
      <w:r>
        <w:rPr>
          <w:rStyle w:val="ab"/>
        </w:rPr>
        <w:footnoteRef/>
      </w:r>
      <w:r>
        <w:rPr>
          <w:rtl/>
        </w:rPr>
        <w:t xml:space="preserve"> </w:t>
      </w:r>
      <w:r>
        <w:rPr>
          <w:rFonts w:cs="Arial" w:hint="cs"/>
          <w:rtl/>
        </w:rPr>
        <w:t xml:space="preserve">וכ' הב"י- </w:t>
      </w:r>
      <w:r>
        <w:rPr>
          <w:rFonts w:cs="Arial"/>
          <w:rtl/>
        </w:rPr>
        <w:t>מפשט דברי רבינו לכאורה נראה דבארץ ישראל ובבל תליא מלתא</w:t>
      </w:r>
      <w:r>
        <w:rPr>
          <w:rFonts w:cs="Arial" w:hint="cs"/>
          <w:rtl/>
        </w:rPr>
        <w:t>,</w:t>
      </w:r>
      <w:r>
        <w:rPr>
          <w:rFonts w:cs="Arial"/>
          <w:rtl/>
        </w:rPr>
        <w:t xml:space="preserve"> והא ודאי ליתא</w:t>
      </w:r>
      <w:r>
        <w:rPr>
          <w:rFonts w:cs="Arial" w:hint="cs"/>
          <w:rtl/>
        </w:rPr>
        <w:t>,</w:t>
      </w:r>
      <w:r>
        <w:rPr>
          <w:rFonts w:cs="Arial"/>
          <w:rtl/>
        </w:rPr>
        <w:t xml:space="preserve"> דהא קרא לא תלה מלתא בבבל יותר משאר חוצה לארץ אלא בזרע יהודה תליא מלתא וכדכתיב לא יסור שבט מיהודה</w:t>
      </w:r>
      <w:r>
        <w:rPr>
          <w:rFonts w:cs="Arial" w:hint="cs"/>
          <w:rtl/>
        </w:rPr>
        <w:t>,</w:t>
      </w:r>
      <w:r>
        <w:rPr>
          <w:rFonts w:cs="Arial"/>
          <w:rtl/>
        </w:rPr>
        <w:t xml:space="preserve"> ונשיא שבארץ ישראל וריש גלותא שבבבל מזרע בית דוד היו</w:t>
      </w:r>
      <w:r>
        <w:rPr>
          <w:rFonts w:cs="Arial" w:hint="cs"/>
          <w:rtl/>
        </w:rPr>
        <w:t>,</w:t>
      </w:r>
      <w:r>
        <w:rPr>
          <w:rFonts w:cs="Arial"/>
          <w:rtl/>
        </w:rPr>
        <w:t xml:space="preserve"> נשיאים שבארץ ישראל מהנקבות</w:t>
      </w:r>
      <w:r>
        <w:rPr>
          <w:rFonts w:cs="Arial" w:hint="cs"/>
          <w:rtl/>
        </w:rPr>
        <w:t>,</w:t>
      </w:r>
      <w:r>
        <w:rPr>
          <w:rFonts w:cs="Arial"/>
          <w:rtl/>
        </w:rPr>
        <w:t xml:space="preserve"> וריש גלותא שבבבל מהזכרים</w:t>
      </w:r>
      <w:r>
        <w:rPr>
          <w:rFonts w:cs="Arial" w:hint="cs"/>
          <w:rtl/>
        </w:rPr>
        <w:t>,</w:t>
      </w:r>
      <w:r>
        <w:rPr>
          <w:rFonts w:cs="Arial"/>
          <w:rtl/>
        </w:rPr>
        <w:t xml:space="preserve"> ומשום הכי מהתם להכא לא מהני</w:t>
      </w:r>
      <w:r>
        <w:rPr>
          <w:rFonts w:cs="Arial" w:hint="cs"/>
          <w:rtl/>
        </w:rPr>
        <w:t>,</w:t>
      </w:r>
      <w:r>
        <w:rPr>
          <w:rFonts w:cs="Arial"/>
          <w:rtl/>
        </w:rPr>
        <w:t xml:space="preserve"> וכמו שכתבו התוספות (ד"ה דהכא) בשם הירושלמי (כלאים פ"ט ה"ג)</w:t>
      </w:r>
      <w:r>
        <w:rPr>
          <w:rFonts w:cs="Arial" w:hint="cs"/>
          <w:rtl/>
        </w:rPr>
        <w:t>,</w:t>
      </w:r>
      <w:r>
        <w:rPr>
          <w:rFonts w:cs="Arial"/>
          <w:rtl/>
        </w:rPr>
        <w:t xml:space="preserve"> ושניהם המלך היה נותן להם רשות לדון ואלמלא כן לא היו רשאים לדון מפני המלך שהיו משועבדים תחת ידו</w:t>
      </w:r>
      <w:r>
        <w:rPr>
          <w:rFonts w:cs="Arial" w:hint="cs"/>
          <w:rtl/>
        </w:rPr>
        <w:t>.</w:t>
      </w:r>
      <w:r>
        <w:rPr>
          <w:rFonts w:cs="Arial"/>
          <w:rtl/>
        </w:rPr>
        <w:t xml:space="preserve"> ואפשר דרבינו נמי הכי קאמר </w:t>
      </w:r>
      <w:r>
        <w:rPr>
          <w:rFonts w:cs="Arial" w:hint="cs"/>
          <w:rtl/>
        </w:rPr>
        <w:t>'</w:t>
      </w:r>
      <w:r>
        <w:rPr>
          <w:rFonts w:cs="Arial"/>
          <w:rtl/>
        </w:rPr>
        <w:t>ואין לנו לא זה ולא זה</w:t>
      </w:r>
      <w:r>
        <w:rPr>
          <w:rFonts w:cs="Arial" w:hint="cs"/>
          <w:rtl/>
        </w:rPr>
        <w:t xml:space="preserve">', </w:t>
      </w:r>
      <w:r>
        <w:rPr>
          <w:rFonts w:cs="Arial"/>
          <w:rtl/>
        </w:rPr>
        <w:t>כלומר אין לנו שום אדם מזרע בית דוד שיהא לו שום שררה</w:t>
      </w:r>
      <w:r>
        <w:rPr>
          <w:rFonts w:cs="Arial" w:hint="cs"/>
          <w:rtl/>
        </w:rPr>
        <w:t xml:space="preserve"> -</w:t>
      </w:r>
      <w:r>
        <w:rPr>
          <w:rFonts w:cs="Arial"/>
          <w:rtl/>
        </w:rPr>
        <w:t xml:space="preserve"> רשות שנותן המלך למי שאינו משבט יהודה אינו כלום</w:t>
      </w:r>
      <w:r>
        <w:rPr>
          <w:rFonts w:cs="Arial" w:hint="cs"/>
          <w:rtl/>
        </w:rPr>
        <w:t>,</w:t>
      </w:r>
      <w:r>
        <w:rPr>
          <w:rFonts w:cs="Arial"/>
          <w:rtl/>
        </w:rPr>
        <w:t xml:space="preserve"> דהא דמהני נטילת רשות ילפינן מקרא דלא יסור שבט מיהודה וכו'</w:t>
      </w:r>
      <w:r>
        <w:rPr>
          <w:rFonts w:cs="Arial" w:hint="cs"/>
          <w:rtl/>
        </w:rPr>
        <w:t>,</w:t>
      </w:r>
      <w:r>
        <w:rPr>
          <w:rFonts w:cs="Arial"/>
          <w:rtl/>
        </w:rPr>
        <w:t xml:space="preserve"> אלמא בזרע שבט יהודה תליא</w:t>
      </w:r>
      <w:r>
        <w:rPr>
          <w:rFonts w:cs="Arial" w:hint="cs"/>
          <w:rtl/>
        </w:rPr>
        <w:t>,</w:t>
      </w:r>
      <w:r>
        <w:rPr>
          <w:rFonts w:cs="Arial"/>
          <w:rtl/>
        </w:rPr>
        <w:t xml:space="preserve"> אבל רשות שנותן המלך למי שאינו מאותו השבט אינו כלום</w:t>
      </w:r>
      <w:r>
        <w:rPr>
          <w:rFonts w:cs="Arial" w:hint="cs"/>
          <w:rtl/>
        </w:rPr>
        <w:t>.</w:t>
      </w:r>
    </w:p>
  </w:footnote>
  <w:footnote w:id="192">
    <w:p w14:paraId="54E892E7" w14:textId="77777777" w:rsidR="0013116F" w:rsidRPr="00EE5A40" w:rsidRDefault="0013116F" w:rsidP="005339AC">
      <w:pPr>
        <w:pStyle w:val="a9"/>
        <w:rPr>
          <w:rtl/>
        </w:rPr>
      </w:pPr>
      <w:r w:rsidRPr="00EE5A40">
        <w:rPr>
          <w:rStyle w:val="ab"/>
        </w:rPr>
        <w:footnoteRef/>
      </w:r>
      <w:r w:rsidRPr="00EE5A40">
        <w:rPr>
          <w:rtl/>
        </w:rPr>
        <w:t xml:space="preserve"> </w:t>
      </w:r>
      <w:r w:rsidRPr="00EE5A40">
        <w:rPr>
          <w:rFonts w:cs="Arial" w:hint="cs"/>
          <w:rtl/>
        </w:rPr>
        <w:t>ו</w:t>
      </w:r>
      <w:r w:rsidRPr="00EE5A40">
        <w:rPr>
          <w:rFonts w:cs="Arial"/>
          <w:rtl/>
        </w:rPr>
        <w:t>אין לו דין ריש גלותא אע</w:t>
      </w:r>
      <w:r w:rsidRPr="00EE5A40">
        <w:rPr>
          <w:rFonts w:cs="Arial" w:hint="cs"/>
          <w:rtl/>
        </w:rPr>
        <w:t>"</w:t>
      </w:r>
      <w:r w:rsidRPr="00EE5A40">
        <w:rPr>
          <w:rFonts w:cs="Arial"/>
          <w:rtl/>
        </w:rPr>
        <w:t>פ שהוא מזרע דוד</w:t>
      </w:r>
      <w:r w:rsidRPr="00EE5A40">
        <w:rPr>
          <w:rFonts w:hint="cs"/>
          <w:rtl/>
        </w:rPr>
        <w:t>, ב"י בשם הטור</w:t>
      </w:r>
      <w:r>
        <w:rPr>
          <w:rFonts w:hint="cs"/>
          <w:rtl/>
        </w:rPr>
        <w:t>.</w:t>
      </w:r>
    </w:p>
  </w:footnote>
  <w:footnote w:id="193">
    <w:p w14:paraId="79587AB6" w14:textId="77777777" w:rsidR="0013116F" w:rsidRDefault="0013116F" w:rsidP="004A326E">
      <w:pPr>
        <w:pStyle w:val="a9"/>
      </w:pPr>
      <w:r>
        <w:rPr>
          <w:rStyle w:val="ab"/>
        </w:rPr>
        <w:footnoteRef/>
      </w:r>
      <w:r w:rsidRPr="00EE5A40">
        <w:rPr>
          <w:rFonts w:cs="Arial"/>
          <w:rtl/>
        </w:rPr>
        <w:t xml:space="preserve"> </w:t>
      </w:r>
      <w:r>
        <w:rPr>
          <w:rFonts w:cs="Arial"/>
          <w:rtl/>
        </w:rPr>
        <w:t>דכיון דקבלום עליהם היינו ערכאות שבסוריא שהן כשרים לדון כדאיתא בפ</w:t>
      </w:r>
      <w:r>
        <w:rPr>
          <w:rFonts w:cs="Arial" w:hint="cs"/>
          <w:rtl/>
        </w:rPr>
        <w:t>'</w:t>
      </w:r>
      <w:r>
        <w:rPr>
          <w:rFonts w:cs="Arial"/>
          <w:rtl/>
        </w:rPr>
        <w:t xml:space="preserve"> זה בורר</w:t>
      </w:r>
      <w:r w:rsidRPr="00CF0FD4">
        <w:rPr>
          <w:rFonts w:cs="Arial"/>
          <w:sz w:val="16"/>
          <w:szCs w:val="16"/>
          <w:rtl/>
        </w:rPr>
        <w:t xml:space="preserve"> (כג.) </w:t>
      </w:r>
      <w:r>
        <w:rPr>
          <w:rFonts w:cs="Arial"/>
          <w:rtl/>
        </w:rPr>
        <w:t>ונתבאר בתחלת סי</w:t>
      </w:r>
      <w:r>
        <w:rPr>
          <w:rFonts w:cs="Arial" w:hint="cs"/>
          <w:rtl/>
        </w:rPr>
        <w:t>'</w:t>
      </w:r>
      <w:r>
        <w:rPr>
          <w:rFonts w:cs="Arial"/>
          <w:rtl/>
        </w:rPr>
        <w:t xml:space="preserve"> זה </w:t>
      </w:r>
      <w:r w:rsidRPr="00CF0FD4">
        <w:rPr>
          <w:rFonts w:cs="Arial"/>
          <w:sz w:val="16"/>
          <w:szCs w:val="16"/>
          <w:rtl/>
        </w:rPr>
        <w:t>(ס"א)</w:t>
      </w:r>
      <w:r>
        <w:rPr>
          <w:rFonts w:hint="cs"/>
          <w:rtl/>
        </w:rPr>
        <w:t>, ב"י.</w:t>
      </w:r>
    </w:p>
  </w:footnote>
  <w:footnote w:id="194">
    <w:p w14:paraId="52688D4E" w14:textId="77777777" w:rsidR="0013116F" w:rsidRDefault="0013116F" w:rsidP="00360DE7">
      <w:pPr>
        <w:pStyle w:val="a9"/>
        <w:rPr>
          <w:rtl/>
        </w:rPr>
      </w:pPr>
      <w:r>
        <w:rPr>
          <w:rStyle w:val="ab"/>
        </w:rPr>
        <w:footnoteRef/>
      </w:r>
      <w:r>
        <w:rPr>
          <w:rtl/>
        </w:rPr>
        <w:t xml:space="preserve"> </w:t>
      </w:r>
      <w:r w:rsidRPr="00EE584E">
        <w:rPr>
          <w:rFonts w:cs="Arial"/>
          <w:rtl/>
        </w:rPr>
        <w:t>בענין הסמיכה שנוהגים האשכנזים כתב שם וז"ל</w:t>
      </w:r>
      <w:r>
        <w:rPr>
          <w:rFonts w:cs="Arial" w:hint="cs"/>
          <w:rtl/>
        </w:rPr>
        <w:t>-...</w:t>
      </w:r>
    </w:p>
  </w:footnote>
  <w:footnote w:id="195">
    <w:p w14:paraId="1001C67A" w14:textId="77777777" w:rsidR="0013116F" w:rsidRDefault="0013116F" w:rsidP="00360DE7">
      <w:pPr>
        <w:pStyle w:val="a9"/>
      </w:pPr>
      <w:r>
        <w:rPr>
          <w:rStyle w:val="ab"/>
        </w:rPr>
        <w:footnoteRef/>
      </w:r>
      <w:r w:rsidRPr="00607E27">
        <w:rPr>
          <w:rFonts w:cs="Arial"/>
          <w:rtl/>
        </w:rPr>
        <w:t xml:space="preserve"> דזהו בכלל דינא דמלכותא</w:t>
      </w:r>
      <w:r>
        <w:rPr>
          <w:rFonts w:cs="Arial" w:hint="cs"/>
          <w:rtl/>
        </w:rPr>
        <w:t>,</w:t>
      </w:r>
      <w:r w:rsidRPr="00607E27">
        <w:rPr>
          <w:rFonts w:cs="Arial"/>
          <w:rtl/>
        </w:rPr>
        <w:t xml:space="preserve"> והרשב"א כתב </w:t>
      </w:r>
      <w:r>
        <w:rPr>
          <w:rFonts w:cs="Arial" w:hint="cs"/>
          <w:rtl/>
        </w:rPr>
        <w:t>(</w:t>
      </w:r>
      <w:r w:rsidRPr="00607E27">
        <w:rPr>
          <w:rFonts w:cs="Arial"/>
          <w:rtl/>
        </w:rPr>
        <w:t>בתשובה סי</w:t>
      </w:r>
      <w:r>
        <w:rPr>
          <w:rFonts w:cs="Arial" w:hint="cs"/>
          <w:rtl/>
        </w:rPr>
        <w:t>'</w:t>
      </w:r>
      <w:r w:rsidRPr="00607E27">
        <w:rPr>
          <w:rFonts w:cs="Arial"/>
          <w:rtl/>
        </w:rPr>
        <w:t xml:space="preserve"> תרלז</w:t>
      </w:r>
      <w:r>
        <w:rPr>
          <w:rFonts w:cs="Arial" w:hint="cs"/>
          <w:rtl/>
        </w:rPr>
        <w:t>)</w:t>
      </w:r>
      <w:r w:rsidRPr="00607E27">
        <w:rPr>
          <w:rFonts w:cs="Arial"/>
          <w:rtl/>
        </w:rPr>
        <w:t xml:space="preserve"> דכל שלטון הממונה בעירו מיקרי דינא דמלכותא כל מה שעושה מחוקי מקומו [עכ"ל הרשב"א], ובודאי מחוקי המלוכה הוא למנות הדיינים ושופטין בעירו</w:t>
      </w:r>
      <w:r>
        <w:rPr>
          <w:rFonts w:cs="Arial" w:hint="cs"/>
          <w:rtl/>
        </w:rPr>
        <w:t>, דרכ"מ (אות ד).</w:t>
      </w:r>
      <w:r w:rsidRPr="00CF0FD4">
        <w:rPr>
          <w:rFonts w:cs="Arial" w:hint="cs"/>
          <w:color w:val="00B0F0"/>
          <w:rtl/>
        </w:rPr>
        <w:t xml:space="preserve"> (וכ"</w:t>
      </w:r>
      <w:r>
        <w:rPr>
          <w:rFonts w:cs="Arial" w:hint="cs"/>
          <w:color w:val="00B0F0"/>
          <w:rtl/>
        </w:rPr>
        <w:t>כ</w:t>
      </w:r>
      <w:r w:rsidRPr="00CF0FD4">
        <w:rPr>
          <w:rFonts w:cs="Arial" w:hint="cs"/>
          <w:color w:val="00B0F0"/>
          <w:rtl/>
        </w:rPr>
        <w:t xml:space="preserve"> </w:t>
      </w:r>
      <w:r>
        <w:rPr>
          <w:rFonts w:cs="Arial" w:hint="cs"/>
          <w:color w:val="00B0F0"/>
          <w:rtl/>
        </w:rPr>
        <w:t>ב</w:t>
      </w:r>
      <w:r w:rsidRPr="00CF0FD4">
        <w:rPr>
          <w:rFonts w:cs="Arial" w:hint="cs"/>
          <w:color w:val="00B0F0"/>
          <w:rtl/>
        </w:rPr>
        <w:t>ה</w:t>
      </w:r>
      <w:r>
        <w:rPr>
          <w:rFonts w:cs="Arial" w:hint="cs"/>
          <w:color w:val="00B0F0"/>
          <w:rtl/>
        </w:rPr>
        <w:t>גה</w:t>
      </w:r>
      <w:r w:rsidRPr="00CF0FD4">
        <w:rPr>
          <w:rFonts w:cs="Arial" w:hint="cs"/>
          <w:color w:val="00B0F0"/>
          <w:rtl/>
        </w:rPr>
        <w:t>)</w:t>
      </w:r>
    </w:p>
  </w:footnote>
  <w:footnote w:id="196">
    <w:p w14:paraId="2F27E155" w14:textId="77777777" w:rsidR="0013116F" w:rsidRDefault="0013116F" w:rsidP="004A326E">
      <w:pPr>
        <w:pStyle w:val="a9"/>
      </w:pPr>
      <w:r>
        <w:rPr>
          <w:rStyle w:val="ab"/>
        </w:rPr>
        <w:footnoteRef/>
      </w:r>
      <w:r>
        <w:rPr>
          <w:rtl/>
        </w:rPr>
        <w:t xml:space="preserve"> </w:t>
      </w:r>
      <w:r w:rsidRPr="006F3A4F">
        <w:rPr>
          <w:rFonts w:cs="Arial"/>
          <w:rtl/>
        </w:rPr>
        <w:t>דכשהן מרובים מדקדקין כולן ויצא הדין לאמיתו יותר. ומ"ש בעשרה לאו דוקא, דהוא ב"ד שקול. ועיין פרישה [סעיף י'], שם כתבתי למה נקיט שיעור עשרה וי"א</w:t>
      </w:r>
      <w:r>
        <w:rPr>
          <w:rFonts w:cs="Arial" w:hint="cs"/>
          <w:rtl/>
        </w:rPr>
        <w:t>, סמ"ע (סקי"א).</w:t>
      </w:r>
    </w:p>
  </w:footnote>
  <w:footnote w:id="197">
    <w:p w14:paraId="27FC3766" w14:textId="77777777" w:rsidR="0013116F" w:rsidRDefault="0013116F" w:rsidP="004A326E">
      <w:pPr>
        <w:pStyle w:val="a9"/>
        <w:rPr>
          <w:rtl/>
        </w:rPr>
      </w:pPr>
      <w:r>
        <w:rPr>
          <w:rStyle w:val="ab"/>
        </w:rPr>
        <w:footnoteRef/>
      </w:r>
      <w:r>
        <w:rPr>
          <w:rtl/>
        </w:rPr>
        <w:t xml:space="preserve"> </w:t>
      </w:r>
      <w:r w:rsidRPr="006F3A4F">
        <w:rPr>
          <w:rFonts w:cs="Arial"/>
          <w:rtl/>
        </w:rPr>
        <w:t>ר"ל כל העשרה הנ"ל שיושבים בב"ד, אבל לא קאי אתלמיד היושב לפני רבו וכמשמעות ב"י [שם], דשם אין צריך שיהא ת"ח אלא שלא יהא בור</w:t>
      </w:r>
      <w:r>
        <w:rPr>
          <w:rFonts w:hint="cs"/>
          <w:rtl/>
        </w:rPr>
        <w:t>, סמ"ע (סקי"ב).</w:t>
      </w:r>
    </w:p>
  </w:footnote>
  <w:footnote w:id="198">
    <w:p w14:paraId="11E5FC67" w14:textId="77777777" w:rsidR="0013116F" w:rsidRDefault="0013116F" w:rsidP="004A326E">
      <w:pPr>
        <w:pStyle w:val="a9"/>
      </w:pPr>
      <w:r>
        <w:rPr>
          <w:rStyle w:val="ab"/>
        </w:rPr>
        <w:footnoteRef/>
      </w:r>
      <w:r>
        <w:rPr>
          <w:rtl/>
        </w:rPr>
        <w:t xml:space="preserve"> </w:t>
      </w:r>
      <w:r w:rsidRPr="006F3A4F">
        <w:rPr>
          <w:rFonts w:cs="Arial"/>
          <w:rtl/>
        </w:rPr>
        <w:t>בתשובת מהרי"ו סימן קמ"ו כתב למהר"ש ז"ל, ואם תשמע לעצתי לא תשב אצל הקהל בשום דין, דידעת שפסקי הבעלי בתים ופסקי הלומדים הם שני הפכים, ואמרו בפרק זה בורר [סנהדרין כ</w:t>
      </w:r>
      <w:r>
        <w:rPr>
          <w:rFonts w:cs="Arial" w:hint="cs"/>
          <w:rtl/>
        </w:rPr>
        <w:t>ג.</w:t>
      </w:r>
      <w:r w:rsidRPr="006F3A4F">
        <w:rPr>
          <w:rFonts w:cs="Arial"/>
          <w:rtl/>
        </w:rPr>
        <w:t>] כך היו נקיי הדעת שבירושלים עושים, לא היו יושבין בדין אא"כ היו יודעין מי ישב עמהם כו', ע"ש</w:t>
      </w:r>
      <w:r>
        <w:rPr>
          <w:rFonts w:cs="Arial" w:hint="cs"/>
          <w:rtl/>
        </w:rPr>
        <w:t>, סמ"ע (סקי"ג).</w:t>
      </w:r>
    </w:p>
  </w:footnote>
  <w:footnote w:id="199">
    <w:p w14:paraId="3F10C5AC" w14:textId="77777777" w:rsidR="0013116F" w:rsidRDefault="0013116F" w:rsidP="004A326E">
      <w:pPr>
        <w:pStyle w:val="a9"/>
      </w:pPr>
      <w:r>
        <w:rPr>
          <w:rStyle w:val="ab"/>
        </w:rPr>
        <w:footnoteRef/>
      </w:r>
      <w:r>
        <w:rPr>
          <w:rtl/>
        </w:rPr>
        <w:t xml:space="preserve"> </w:t>
      </w:r>
      <w:r>
        <w:rPr>
          <w:rFonts w:hint="cs"/>
          <w:rtl/>
        </w:rPr>
        <w:t>היינו שאינו גמיר וסביר, דסתם מומחה בלשון הרמב"ם הוא דגמיר וסביר,</w:t>
      </w:r>
      <w:r w:rsidRPr="0061588B">
        <w:rPr>
          <w:rFonts w:hint="cs"/>
          <w:rtl/>
        </w:rPr>
        <w:t xml:space="preserve"> </w:t>
      </w:r>
      <w:r>
        <w:rPr>
          <w:rFonts w:hint="cs"/>
          <w:rtl/>
        </w:rPr>
        <w:t>ע"פ ש"ך (סי' כה סקכ"ב וסקל"ט). וכן מוכח שהבין הטור בדברי הרמב"ם</w:t>
      </w:r>
      <w:r w:rsidRPr="0061588B">
        <w:rPr>
          <w:rFonts w:cs="Arial"/>
          <w:rtl/>
        </w:rPr>
        <w:t xml:space="preserve"> </w:t>
      </w:r>
      <w:r w:rsidRPr="0061588B">
        <w:rPr>
          <w:rFonts w:cs="Arial" w:hint="cs"/>
          <w:sz w:val="16"/>
          <w:szCs w:val="16"/>
          <w:rtl/>
        </w:rPr>
        <w:t>(</w:t>
      </w:r>
      <w:r>
        <w:rPr>
          <w:rFonts w:cs="Arial" w:hint="cs"/>
          <w:sz w:val="16"/>
          <w:szCs w:val="16"/>
          <w:rtl/>
        </w:rPr>
        <w:t xml:space="preserve">שהרי בהתחלה (ס"ז) כתב את דברי הרא"ש דאינו מומחה היינו דגמיר ולא סביר, ולבסוף (סי"ג) הביא את דברי הרמב"ם שמומחה היינו גמיר וסביר [שהרי הטור כתב וגדולה מזו וכו', ע"ש, דאם לא נפרש כן מאי 'וגדולה מזו' שכתב הטור]. </w:t>
      </w:r>
      <w:r w:rsidRPr="0061588B">
        <w:rPr>
          <w:rFonts w:cs="Arial" w:hint="cs"/>
          <w:sz w:val="16"/>
          <w:szCs w:val="16"/>
          <w:rtl/>
        </w:rPr>
        <w:t>ו</w:t>
      </w:r>
      <w:r>
        <w:rPr>
          <w:rFonts w:cs="Arial" w:hint="cs"/>
          <w:sz w:val="16"/>
          <w:szCs w:val="16"/>
          <w:rtl/>
        </w:rPr>
        <w:t>עיין עוד שם ב</w:t>
      </w:r>
      <w:r w:rsidRPr="0061588B">
        <w:rPr>
          <w:rFonts w:cs="Arial" w:hint="cs"/>
          <w:sz w:val="16"/>
          <w:szCs w:val="16"/>
          <w:rtl/>
        </w:rPr>
        <w:t>ש"ך</w:t>
      </w:r>
      <w:r>
        <w:rPr>
          <w:rFonts w:cs="Arial" w:hint="cs"/>
          <w:sz w:val="16"/>
          <w:szCs w:val="16"/>
          <w:rtl/>
        </w:rPr>
        <w:t xml:space="preserve"> שחלק </w:t>
      </w:r>
      <w:r w:rsidRPr="0061588B">
        <w:rPr>
          <w:rFonts w:cs="Arial" w:hint="cs"/>
          <w:sz w:val="16"/>
          <w:szCs w:val="16"/>
          <w:rtl/>
        </w:rPr>
        <w:t xml:space="preserve">על דברי הסמ"ע </w:t>
      </w:r>
      <w:r>
        <w:rPr>
          <w:rFonts w:cs="Arial" w:hint="cs"/>
          <w:sz w:val="16"/>
          <w:szCs w:val="16"/>
          <w:rtl/>
        </w:rPr>
        <w:t>(סקי"ד,</w:t>
      </w:r>
      <w:r w:rsidRPr="004B47C0">
        <w:rPr>
          <w:rFonts w:cs="Arial" w:hint="cs"/>
          <w:sz w:val="16"/>
          <w:szCs w:val="16"/>
          <w:rtl/>
        </w:rPr>
        <w:t xml:space="preserve"> </w:t>
      </w:r>
      <w:r>
        <w:rPr>
          <w:rFonts w:cs="Arial" w:hint="cs"/>
          <w:sz w:val="16"/>
          <w:szCs w:val="16"/>
          <w:rtl/>
        </w:rPr>
        <w:t>וב</w:t>
      </w:r>
      <w:r w:rsidRPr="0061588B">
        <w:rPr>
          <w:rFonts w:cs="Arial"/>
          <w:sz w:val="16"/>
          <w:szCs w:val="16"/>
          <w:rtl/>
        </w:rPr>
        <w:t>פרישה סע</w:t>
      </w:r>
      <w:r>
        <w:rPr>
          <w:rFonts w:cs="Arial" w:hint="cs"/>
          <w:sz w:val="16"/>
          <w:szCs w:val="16"/>
          <w:rtl/>
        </w:rPr>
        <w:t>'</w:t>
      </w:r>
      <w:r w:rsidRPr="0061588B">
        <w:rPr>
          <w:rFonts w:cs="Arial"/>
          <w:sz w:val="16"/>
          <w:szCs w:val="16"/>
          <w:rtl/>
        </w:rPr>
        <w:t xml:space="preserve"> יג</w:t>
      </w:r>
      <w:r>
        <w:rPr>
          <w:rFonts w:cs="Arial" w:hint="cs"/>
          <w:sz w:val="16"/>
          <w:szCs w:val="16"/>
          <w:rtl/>
        </w:rPr>
        <w:t xml:space="preserve">) </w:t>
      </w:r>
      <w:r w:rsidRPr="0061588B">
        <w:rPr>
          <w:rFonts w:cs="Arial" w:hint="cs"/>
          <w:sz w:val="16"/>
          <w:szCs w:val="16"/>
          <w:rtl/>
        </w:rPr>
        <w:t xml:space="preserve">שכתב </w:t>
      </w:r>
      <w:r>
        <w:rPr>
          <w:rFonts w:cs="Arial" w:hint="cs"/>
          <w:sz w:val="16"/>
          <w:szCs w:val="16"/>
          <w:rtl/>
        </w:rPr>
        <w:t>שכוונת השו"ע באומרו 'שאינו מומחה'-</w:t>
      </w:r>
      <w:r w:rsidRPr="0061588B">
        <w:rPr>
          <w:rFonts w:cs="Arial"/>
          <w:sz w:val="16"/>
          <w:szCs w:val="16"/>
          <w:rtl/>
        </w:rPr>
        <w:t xml:space="preserve"> שאינו לא גמיר ולא סביר, כי הגמיר ולא סביר נקרא מומחה סתם בלשון הרמב"ם ומהני ליה נטילת רשות, והגמיר וסביר נקרא מומחה לרבים בלשון הרמב"ם</w:t>
      </w:r>
      <w:r w:rsidRPr="0061588B">
        <w:rPr>
          <w:rFonts w:cs="Arial" w:hint="cs"/>
          <w:sz w:val="16"/>
          <w:szCs w:val="16"/>
          <w:rtl/>
        </w:rPr>
        <w:t>)</w:t>
      </w:r>
    </w:p>
  </w:footnote>
  <w:footnote w:id="200">
    <w:p w14:paraId="017C318D" w14:textId="77777777" w:rsidR="0013116F" w:rsidRDefault="0013116F" w:rsidP="004A326E">
      <w:pPr>
        <w:pStyle w:val="a9"/>
      </w:pPr>
      <w:r>
        <w:rPr>
          <w:rStyle w:val="ab"/>
        </w:rPr>
        <w:footnoteRef/>
      </w:r>
      <w:r>
        <w:rPr>
          <w:rtl/>
        </w:rPr>
        <w:t xml:space="preserve"> </w:t>
      </w:r>
      <w:r w:rsidRPr="003D1189">
        <w:rPr>
          <w:rFonts w:cs="Arial"/>
          <w:rtl/>
        </w:rPr>
        <w:t>ואע</w:t>
      </w:r>
      <w:r>
        <w:rPr>
          <w:rFonts w:cs="Arial" w:hint="cs"/>
          <w:rtl/>
        </w:rPr>
        <w:t>"</w:t>
      </w:r>
      <w:r w:rsidRPr="003D1189">
        <w:rPr>
          <w:rFonts w:cs="Arial"/>
          <w:rtl/>
        </w:rPr>
        <w:t>ג דכתב הר"ב לעיל סעיף ב' דלכתחילה אין מומחה בזמן הזה, מ"מ אם גמיר וסביר מהני ליה רשות המלך אף בזמן הזה לענין שיכול לדון. ומ"מ נראה דלענין שידון ביחידי לא מהני</w:t>
      </w:r>
      <w:r>
        <w:rPr>
          <w:rFonts w:cs="Arial" w:hint="cs"/>
          <w:rtl/>
        </w:rPr>
        <w:t>, ש"ך (סקי"ד).</w:t>
      </w:r>
    </w:p>
  </w:footnote>
  <w:footnote w:id="201">
    <w:p w14:paraId="1485AE70" w14:textId="77777777" w:rsidR="0013116F" w:rsidRDefault="0013116F" w:rsidP="004A326E">
      <w:pPr>
        <w:pStyle w:val="a9"/>
      </w:pPr>
      <w:r>
        <w:rPr>
          <w:rStyle w:val="ab"/>
        </w:rPr>
        <w:footnoteRef/>
      </w:r>
      <w:r>
        <w:rPr>
          <w:rtl/>
        </w:rPr>
        <w:t xml:space="preserve"> </w:t>
      </w:r>
      <w:r w:rsidRPr="000E4E2A">
        <w:rPr>
          <w:rFonts w:cs="Arial"/>
          <w:rtl/>
        </w:rPr>
        <w:t>אף לפוטרו אם טעה, כמו רשותא דריש גלותא דלקמן סי</w:t>
      </w:r>
      <w:r>
        <w:rPr>
          <w:rFonts w:cs="Arial" w:hint="cs"/>
          <w:rtl/>
        </w:rPr>
        <w:t>'</w:t>
      </w:r>
      <w:r w:rsidRPr="000E4E2A">
        <w:rPr>
          <w:rFonts w:cs="Arial"/>
          <w:rtl/>
        </w:rPr>
        <w:t xml:space="preserve"> כה סע</w:t>
      </w:r>
      <w:r>
        <w:rPr>
          <w:rFonts w:cs="Arial" w:hint="cs"/>
          <w:rtl/>
        </w:rPr>
        <w:t>'</w:t>
      </w:r>
      <w:r w:rsidRPr="000E4E2A">
        <w:rPr>
          <w:rFonts w:cs="Arial"/>
          <w:rtl/>
        </w:rPr>
        <w:t xml:space="preserve"> ב, וכ"כ הריב"ש [סוף סי' רע"א].</w:t>
      </w:r>
      <w:r>
        <w:rPr>
          <w:rFonts w:cs="Arial" w:hint="cs"/>
          <w:rtl/>
        </w:rPr>
        <w:t>..</w:t>
      </w:r>
      <w:r w:rsidRPr="000E4E2A">
        <w:rPr>
          <w:rFonts w:cs="Arial"/>
          <w:rtl/>
        </w:rPr>
        <w:t xml:space="preserve"> </w:t>
      </w:r>
      <w:r>
        <w:rPr>
          <w:rFonts w:cs="Arial" w:hint="cs"/>
          <w:rtl/>
        </w:rPr>
        <w:t>ו</w:t>
      </w:r>
      <w:r w:rsidRPr="000E4E2A">
        <w:rPr>
          <w:rFonts w:cs="Arial"/>
          <w:rtl/>
        </w:rPr>
        <w:t>סברת הריב"ש נכונה בזה, כיון דרשותא דריש גלותא שהועמד מן המלך מהני בזה, כל שכן מלך או שר עצמו דדינא דמלכותא דינא, שמחוקי המלך והשרים להעמיד שופטים ודיינים בארץ, ואם כן לא גרע מהריש גלותא דאתי מחמתיה</w:t>
      </w:r>
      <w:r>
        <w:rPr>
          <w:rFonts w:cs="Arial" w:hint="cs"/>
          <w:rtl/>
        </w:rPr>
        <w:t>..., ש"ך (סקט"ו).</w:t>
      </w:r>
    </w:p>
  </w:footnote>
  <w:footnote w:id="202">
    <w:p w14:paraId="6781CBB6" w14:textId="77777777" w:rsidR="0013116F" w:rsidRDefault="0013116F" w:rsidP="004A326E">
      <w:pPr>
        <w:pStyle w:val="a9"/>
      </w:pPr>
      <w:r>
        <w:rPr>
          <w:rStyle w:val="ab"/>
        </w:rPr>
        <w:footnoteRef/>
      </w:r>
      <w:r>
        <w:rPr>
          <w:rtl/>
        </w:rPr>
        <w:t xml:space="preserve"> </w:t>
      </w:r>
      <w:r w:rsidRPr="006F3A4F">
        <w:rPr>
          <w:rFonts w:cs="Arial"/>
          <w:rtl/>
        </w:rPr>
        <w:t>מיהו צריך שיהא גמיר וסביר וכמ"ש לפני זה</w:t>
      </w:r>
      <w:r>
        <w:rPr>
          <w:rFonts w:cs="Arial" w:hint="cs"/>
          <w:rtl/>
        </w:rPr>
        <w:t>, סמ"ע (סקי"ז).</w:t>
      </w:r>
    </w:p>
  </w:footnote>
  <w:footnote w:id="203">
    <w:p w14:paraId="79710654" w14:textId="77777777" w:rsidR="0013116F" w:rsidRDefault="0013116F">
      <w:pPr>
        <w:pStyle w:val="a9"/>
      </w:pPr>
      <w:r>
        <w:rPr>
          <w:rStyle w:val="ab"/>
        </w:rPr>
        <w:footnoteRef/>
      </w:r>
      <w:r>
        <w:rPr>
          <w:rtl/>
        </w:rPr>
        <w:t xml:space="preserve"> </w:t>
      </w:r>
      <w:r>
        <w:rPr>
          <w:rFonts w:hint="cs"/>
          <w:rtl/>
        </w:rPr>
        <w:t xml:space="preserve">סימן </w:t>
      </w:r>
      <w:r>
        <w:rPr>
          <w:rtl/>
        </w:rPr>
        <w:t>–</w:t>
      </w:r>
      <w:r>
        <w:rPr>
          <w:rFonts w:hint="cs"/>
          <w:rtl/>
        </w:rPr>
        <w:t xml:space="preserve"> כח זרוע.</w:t>
      </w:r>
    </w:p>
  </w:footnote>
  <w:footnote w:id="204">
    <w:p w14:paraId="000CBAC2" w14:textId="77777777" w:rsidR="0013116F" w:rsidRDefault="0013116F" w:rsidP="004A326E">
      <w:pPr>
        <w:pStyle w:val="a9"/>
      </w:pPr>
      <w:r>
        <w:rPr>
          <w:rStyle w:val="ab"/>
        </w:rPr>
        <w:footnoteRef/>
      </w:r>
      <w:r>
        <w:rPr>
          <w:rtl/>
        </w:rPr>
        <w:t xml:space="preserve"> </w:t>
      </w:r>
      <w:r w:rsidRPr="006A3DD5">
        <w:rPr>
          <w:rFonts w:cs="Arial"/>
          <w:rtl/>
        </w:rPr>
        <w:t>אי אזיל לבי דינא</w:t>
      </w:r>
      <w:r>
        <w:rPr>
          <w:rFonts w:cs="Arial" w:hint="cs"/>
          <w:rtl/>
        </w:rPr>
        <w:t>,</w:t>
      </w:r>
      <w:r w:rsidRPr="006A3DD5">
        <w:rPr>
          <w:rFonts w:cs="Arial"/>
          <w:rtl/>
        </w:rPr>
        <w:t xml:space="preserve"> דאדאזיל לבי דינא ואתי</w:t>
      </w:r>
      <w:r>
        <w:rPr>
          <w:rFonts w:cs="Arial" w:hint="cs"/>
          <w:rtl/>
        </w:rPr>
        <w:t xml:space="preserve"> -</w:t>
      </w:r>
      <w:r w:rsidRPr="006A3DD5">
        <w:rPr>
          <w:rFonts w:cs="Arial"/>
          <w:rtl/>
        </w:rPr>
        <w:t xml:space="preserve"> קא דלי האי ולא ידע מאי דלי</w:t>
      </w:r>
      <w:r>
        <w:rPr>
          <w:rFonts w:cs="Arial" w:hint="cs"/>
          <w:rtl/>
        </w:rPr>
        <w:t>,</w:t>
      </w:r>
      <w:r w:rsidRPr="006A3DD5">
        <w:rPr>
          <w:rFonts w:cs="Arial"/>
          <w:rtl/>
        </w:rPr>
        <w:t xml:space="preserve"> או שמא יכלו המים מן הבור ואין לו פרעון לזה דקא מפסיד כי האי גוונא עביד איניש דינא לנפשיה</w:t>
      </w:r>
      <w:r>
        <w:rPr>
          <w:rFonts w:cs="Arial" w:hint="cs"/>
          <w:rtl/>
        </w:rPr>
        <w:t>, ב"י</w:t>
      </w:r>
      <w:r w:rsidRPr="006A3DD5">
        <w:rPr>
          <w:rFonts w:cs="Arial"/>
          <w:rtl/>
        </w:rPr>
        <w:t>.</w:t>
      </w:r>
    </w:p>
  </w:footnote>
  <w:footnote w:id="205">
    <w:p w14:paraId="036549DF" w14:textId="77777777" w:rsidR="0013116F" w:rsidRDefault="0013116F" w:rsidP="004A326E">
      <w:pPr>
        <w:pStyle w:val="a9"/>
        <w:rPr>
          <w:rtl/>
        </w:rPr>
      </w:pPr>
      <w:r>
        <w:rPr>
          <w:rStyle w:val="ab"/>
        </w:rPr>
        <w:footnoteRef/>
      </w:r>
      <w:r>
        <w:rPr>
          <w:rtl/>
        </w:rPr>
        <w:t xml:space="preserve"> </w:t>
      </w:r>
      <w:r w:rsidRPr="00315F01">
        <w:rPr>
          <w:rFonts w:cs="Arial"/>
          <w:rtl/>
        </w:rPr>
        <w:t>ואם בעל דינו מתרעם עליו והביאו לב"ד ומצאו שעשה כהלכה אין סותרין דינו</w:t>
      </w:r>
      <w:r>
        <w:rPr>
          <w:rFonts w:cs="Arial" w:hint="cs"/>
          <w:rtl/>
        </w:rPr>
        <w:t>, טור</w:t>
      </w:r>
      <w:r w:rsidRPr="00315F01">
        <w:rPr>
          <w:rFonts w:cs="Arial" w:hint="cs"/>
          <w:rtl/>
        </w:rPr>
        <w:t>.</w:t>
      </w:r>
      <w:r>
        <w:rPr>
          <w:rFonts w:hint="cs"/>
          <w:rtl/>
        </w:rPr>
        <w:t xml:space="preserve"> </w:t>
      </w:r>
      <w:r w:rsidRPr="000249DC">
        <w:rPr>
          <w:rFonts w:cs="Arial"/>
          <w:rtl/>
        </w:rPr>
        <w:t>ופירש</w:t>
      </w:r>
      <w:r>
        <w:rPr>
          <w:rFonts w:cs="Arial" w:hint="cs"/>
          <w:rtl/>
        </w:rPr>
        <w:t xml:space="preserve"> הש"ך דברי הטור דרצונו לומר</w:t>
      </w:r>
      <w:r w:rsidRPr="000249DC">
        <w:rPr>
          <w:rFonts w:cs="Arial"/>
          <w:rtl/>
        </w:rPr>
        <w:t xml:space="preserve"> שהבעל דין אומר אני עומד בדין יחזיר לי את שלי ואני אציית בפניכם לדין מיד ואסלקנו בדברים אחרים, או נ"מ לדברים אחרים, קמ"ל דאין סותרים דינו. ובב"ח [שם ד"ה ומ"ש ואם] פירש בענין אחר</w:t>
      </w:r>
      <w:r>
        <w:rPr>
          <w:rFonts w:cs="Arial" w:hint="cs"/>
          <w:rtl/>
        </w:rPr>
        <w:t>.</w:t>
      </w:r>
    </w:p>
  </w:footnote>
  <w:footnote w:id="206">
    <w:p w14:paraId="5FCF95A0" w14:textId="77777777" w:rsidR="0013116F" w:rsidRDefault="0013116F" w:rsidP="004A326E">
      <w:pPr>
        <w:pStyle w:val="a9"/>
        <w:rPr>
          <w:rtl/>
        </w:rPr>
      </w:pPr>
      <w:r>
        <w:rPr>
          <w:rStyle w:val="ab"/>
        </w:rPr>
        <w:footnoteRef/>
      </w:r>
      <w:r>
        <w:rPr>
          <w:rtl/>
        </w:rPr>
        <w:t xml:space="preserve"> </w:t>
      </w:r>
      <w:r w:rsidRPr="00CD0E97">
        <w:rPr>
          <w:rFonts w:cs="Arial"/>
          <w:rtl/>
        </w:rPr>
        <w:t>והיינו דוקא לענין להכותו או להזיקו</w:t>
      </w:r>
      <w:r>
        <w:rPr>
          <w:rFonts w:cs="Arial" w:hint="cs"/>
          <w:rtl/>
        </w:rPr>
        <w:t>,</w:t>
      </w:r>
      <w:r w:rsidRPr="00CD0E97">
        <w:rPr>
          <w:rFonts w:cs="Arial"/>
          <w:rtl/>
        </w:rPr>
        <w:t xml:space="preserve"> אבל לתפוס ממנו הדבר שגזל ממנו יכול לעשות במקום דמהני תפיסתו</w:t>
      </w:r>
      <w:r>
        <w:rPr>
          <w:rFonts w:cs="Arial" w:hint="cs"/>
          <w:rtl/>
        </w:rPr>
        <w:t>,</w:t>
      </w:r>
      <w:r w:rsidRPr="00CD0E97">
        <w:rPr>
          <w:rFonts w:cs="Arial"/>
          <w:rtl/>
        </w:rPr>
        <w:t xml:space="preserve"> מהרי"ק </w:t>
      </w:r>
      <w:r w:rsidRPr="00810E9D">
        <w:rPr>
          <w:rFonts w:cs="Arial" w:hint="cs"/>
          <w:sz w:val="16"/>
          <w:szCs w:val="16"/>
          <w:rtl/>
        </w:rPr>
        <w:t>(</w:t>
      </w:r>
      <w:r w:rsidRPr="00810E9D">
        <w:rPr>
          <w:rFonts w:cs="Arial"/>
          <w:sz w:val="16"/>
          <w:szCs w:val="16"/>
          <w:rtl/>
        </w:rPr>
        <w:t>שורש קסא</w:t>
      </w:r>
      <w:r w:rsidRPr="00810E9D">
        <w:rPr>
          <w:rFonts w:cs="Arial" w:hint="cs"/>
          <w:sz w:val="16"/>
          <w:szCs w:val="16"/>
          <w:rtl/>
        </w:rPr>
        <w:t>, הביאו הדרכ"מ אות ב)</w:t>
      </w:r>
      <w:r>
        <w:rPr>
          <w:rFonts w:cs="Arial" w:hint="cs"/>
          <w:rtl/>
        </w:rPr>
        <w:t>.</w:t>
      </w:r>
      <w:r>
        <w:rPr>
          <w:rFonts w:hint="cs"/>
          <w:rtl/>
        </w:rPr>
        <w:t xml:space="preserve"> </w:t>
      </w:r>
      <w:r w:rsidRPr="00690762">
        <w:rPr>
          <w:rFonts w:hint="cs"/>
          <w:color w:val="FF0000"/>
          <w:rtl/>
        </w:rPr>
        <w:t>צריך לעיין במהרי"ק דמש</w:t>
      </w:r>
      <w:r>
        <w:rPr>
          <w:rFonts w:hint="cs"/>
          <w:color w:val="FF0000"/>
          <w:rtl/>
        </w:rPr>
        <w:t>מ</w:t>
      </w:r>
      <w:r w:rsidRPr="00690762">
        <w:rPr>
          <w:rFonts w:hint="cs"/>
          <w:color w:val="FF0000"/>
          <w:rtl/>
        </w:rPr>
        <w:t>ע שם קצת שחולק על הרא"ש הטור</w:t>
      </w:r>
      <w:r w:rsidRPr="00690762">
        <w:rPr>
          <w:rFonts w:hint="cs"/>
          <w:color w:val="FF0000"/>
          <w:sz w:val="16"/>
          <w:szCs w:val="16"/>
          <w:rtl/>
        </w:rPr>
        <w:t xml:space="preserve"> (בלי קשר לדברים שהביא הדרכ"מ בשמו).</w:t>
      </w:r>
    </w:p>
  </w:footnote>
  <w:footnote w:id="207">
    <w:p w14:paraId="39AC09AA" w14:textId="77777777" w:rsidR="0013116F" w:rsidRDefault="0013116F">
      <w:pPr>
        <w:pStyle w:val="a9"/>
        <w:rPr>
          <w:rtl/>
        </w:rPr>
      </w:pPr>
      <w:r>
        <w:rPr>
          <w:rStyle w:val="ab"/>
        </w:rPr>
        <w:footnoteRef/>
      </w:r>
      <w:r>
        <w:rPr>
          <w:rtl/>
        </w:rPr>
        <w:t xml:space="preserve"> </w:t>
      </w:r>
      <w:r>
        <w:rPr>
          <w:rFonts w:cs="Arial" w:hint="cs"/>
          <w:rtl/>
        </w:rPr>
        <w:t>וכתב ה</w:t>
      </w:r>
      <w:r w:rsidRPr="00315F01">
        <w:rPr>
          <w:rFonts w:cs="Arial"/>
          <w:rtl/>
        </w:rPr>
        <w:t>ריב</w:t>
      </w:r>
      <w:r>
        <w:rPr>
          <w:rFonts w:cs="Arial" w:hint="cs"/>
          <w:rtl/>
        </w:rPr>
        <w:t>"</w:t>
      </w:r>
      <w:r w:rsidRPr="00315F01">
        <w:rPr>
          <w:rFonts w:cs="Arial"/>
          <w:rtl/>
        </w:rPr>
        <w:t xml:space="preserve">ש </w:t>
      </w:r>
      <w:r w:rsidRPr="006B1720">
        <w:rPr>
          <w:rFonts w:cs="Arial" w:hint="cs"/>
          <w:sz w:val="16"/>
          <w:szCs w:val="16"/>
          <w:rtl/>
        </w:rPr>
        <w:t>(</w:t>
      </w:r>
      <w:r w:rsidRPr="006B1720">
        <w:rPr>
          <w:rFonts w:cs="Arial"/>
          <w:sz w:val="16"/>
          <w:szCs w:val="16"/>
          <w:rtl/>
        </w:rPr>
        <w:t>סי</w:t>
      </w:r>
      <w:r w:rsidRPr="006B1720">
        <w:rPr>
          <w:rFonts w:cs="Arial" w:hint="cs"/>
          <w:sz w:val="16"/>
          <w:szCs w:val="16"/>
          <w:rtl/>
        </w:rPr>
        <w:t>'</w:t>
      </w:r>
      <w:r w:rsidRPr="006B1720">
        <w:rPr>
          <w:rFonts w:cs="Arial"/>
          <w:sz w:val="16"/>
          <w:szCs w:val="16"/>
          <w:rtl/>
        </w:rPr>
        <w:t xml:space="preserve"> שצו</w:t>
      </w:r>
      <w:r>
        <w:rPr>
          <w:rFonts w:cs="Arial" w:hint="cs"/>
          <w:sz w:val="16"/>
          <w:szCs w:val="16"/>
          <w:rtl/>
        </w:rPr>
        <w:t>, הביאו הדרכ"מ [אות ג]</w:t>
      </w:r>
      <w:r w:rsidRPr="006B1720">
        <w:rPr>
          <w:rFonts w:cs="Arial" w:hint="cs"/>
          <w:sz w:val="16"/>
          <w:szCs w:val="16"/>
          <w:rtl/>
        </w:rPr>
        <w:t>)</w:t>
      </w:r>
      <w:r>
        <w:rPr>
          <w:rFonts w:cs="Arial" w:hint="cs"/>
          <w:rtl/>
        </w:rPr>
        <w:t>-</w:t>
      </w:r>
      <w:r w:rsidRPr="00315F01">
        <w:rPr>
          <w:rFonts w:cs="Arial"/>
          <w:rtl/>
        </w:rPr>
        <w:t xml:space="preserve"> דוקא בשביל חוב ממש אסור לתפסו אבל אם חייב לו בלא הלואה</w:t>
      </w:r>
      <w:r>
        <w:rPr>
          <w:rFonts w:cs="Arial" w:hint="cs"/>
          <w:rtl/>
        </w:rPr>
        <w:t>,</w:t>
      </w:r>
      <w:r w:rsidRPr="00315F01">
        <w:rPr>
          <w:rFonts w:cs="Arial"/>
          <w:rtl/>
        </w:rPr>
        <w:t xml:space="preserve"> או </w:t>
      </w:r>
      <w:r w:rsidRPr="00AF3843">
        <w:rPr>
          <w:rFonts w:cs="Arial"/>
          <w:rtl/>
        </w:rPr>
        <w:t>ש</w:t>
      </w:r>
      <w:r w:rsidRPr="00AF3843">
        <w:rPr>
          <w:rFonts w:cs="Arial" w:hint="cs"/>
          <w:sz w:val="14"/>
          <w:szCs w:val="14"/>
          <w:rtl/>
        </w:rPr>
        <w:t>{כן חייב לו בעבור הלואה אבל-}</w:t>
      </w:r>
      <w:r w:rsidRPr="00AF3843">
        <w:rPr>
          <w:rFonts w:cs="Arial"/>
          <w:rtl/>
        </w:rPr>
        <w:t>אין</w:t>
      </w:r>
      <w:r>
        <w:rPr>
          <w:rFonts w:cs="Arial" w:hint="cs"/>
          <w:rtl/>
        </w:rPr>
        <w:t xml:space="preserve"> </w:t>
      </w:r>
      <w:r w:rsidRPr="00315F01">
        <w:rPr>
          <w:rFonts w:cs="Arial"/>
          <w:rtl/>
        </w:rPr>
        <w:t>צריך ליקח מידו רק שהוא אצלו בפקדון או מצאו ביד אחרים יכול למיעבד דינא לנפשיה ולתפסו.</w:t>
      </w:r>
      <w:r w:rsidRPr="00AF3843">
        <w:rPr>
          <w:rFonts w:cs="Arial" w:hint="cs"/>
          <w:color w:val="00B0F0"/>
          <w:rtl/>
        </w:rPr>
        <w:t xml:space="preserve"> </w:t>
      </w:r>
      <w:r w:rsidRPr="00640E92">
        <w:rPr>
          <w:rFonts w:cs="Arial" w:hint="cs"/>
          <w:color w:val="00B0F0"/>
          <w:rtl/>
        </w:rPr>
        <w:t>(וכ"</w:t>
      </w:r>
      <w:r>
        <w:rPr>
          <w:rFonts w:cs="Arial" w:hint="cs"/>
          <w:color w:val="00B0F0"/>
          <w:rtl/>
        </w:rPr>
        <w:t>כ</w:t>
      </w:r>
      <w:r w:rsidRPr="00640E92">
        <w:rPr>
          <w:rFonts w:cs="Arial" w:hint="cs"/>
          <w:color w:val="00B0F0"/>
          <w:rtl/>
        </w:rPr>
        <w:t xml:space="preserve"> הרמ"א)</w:t>
      </w:r>
    </w:p>
  </w:footnote>
  <w:footnote w:id="208">
    <w:p w14:paraId="17FB8DA9" w14:textId="77777777" w:rsidR="0013116F" w:rsidRDefault="0013116F" w:rsidP="004A326E">
      <w:pPr>
        <w:pStyle w:val="a9"/>
      </w:pPr>
      <w:r>
        <w:rPr>
          <w:rStyle w:val="ab"/>
        </w:rPr>
        <w:footnoteRef/>
      </w:r>
      <w:r>
        <w:rPr>
          <w:rtl/>
        </w:rPr>
        <w:t xml:space="preserve"> </w:t>
      </w:r>
      <w:r w:rsidRPr="00463F28">
        <w:rPr>
          <w:rFonts w:cs="Arial"/>
          <w:rtl/>
        </w:rPr>
        <w:t>וכ</w:t>
      </w:r>
      <w:r>
        <w:rPr>
          <w:rFonts w:cs="Arial" w:hint="cs"/>
          <w:rtl/>
        </w:rPr>
        <w:t>"</w:t>
      </w:r>
      <w:r w:rsidRPr="00463F28">
        <w:rPr>
          <w:rFonts w:cs="Arial"/>
          <w:rtl/>
        </w:rPr>
        <w:t>כ נמוק</w:t>
      </w:r>
      <w:r w:rsidRPr="00463F28">
        <w:rPr>
          <w:rFonts w:cs="Arial" w:hint="cs"/>
          <w:rtl/>
        </w:rPr>
        <w:t>"י</w:t>
      </w:r>
      <w:r w:rsidRPr="00463F28">
        <w:rPr>
          <w:rFonts w:cs="Arial"/>
          <w:rtl/>
        </w:rPr>
        <w:t xml:space="preserve"> שם </w:t>
      </w:r>
      <w:r w:rsidRPr="00BA7157">
        <w:rPr>
          <w:rFonts w:cs="Arial"/>
          <w:sz w:val="16"/>
          <w:szCs w:val="16"/>
          <w:rtl/>
        </w:rPr>
        <w:t xml:space="preserve">(יב: ד"ה והא) </w:t>
      </w:r>
      <w:r w:rsidRPr="00463F28">
        <w:rPr>
          <w:rFonts w:cs="Arial"/>
          <w:rtl/>
        </w:rPr>
        <w:t>וכ</w:t>
      </w:r>
      <w:r>
        <w:rPr>
          <w:rFonts w:cs="Arial" w:hint="cs"/>
          <w:rtl/>
        </w:rPr>
        <w:t>"</w:t>
      </w:r>
      <w:r w:rsidRPr="00463F28">
        <w:rPr>
          <w:rFonts w:cs="Arial"/>
          <w:rtl/>
        </w:rPr>
        <w:t xml:space="preserve">מ מדברי רא"ש </w:t>
      </w:r>
      <w:r w:rsidRPr="00BA7157">
        <w:rPr>
          <w:rFonts w:cs="Arial" w:hint="cs"/>
          <w:sz w:val="16"/>
          <w:szCs w:val="16"/>
          <w:rtl/>
        </w:rPr>
        <w:t>(</w:t>
      </w:r>
      <w:r w:rsidRPr="00BA7157">
        <w:rPr>
          <w:rFonts w:cs="Arial"/>
          <w:sz w:val="16"/>
          <w:szCs w:val="16"/>
          <w:rtl/>
        </w:rPr>
        <w:t>סי' ג)</w:t>
      </w:r>
      <w:r>
        <w:rPr>
          <w:rFonts w:cs="Arial" w:hint="cs"/>
          <w:rtl/>
        </w:rPr>
        <w:t>,</w:t>
      </w:r>
      <w:r w:rsidRPr="00463F28">
        <w:rPr>
          <w:rFonts w:cs="Arial"/>
          <w:rtl/>
        </w:rPr>
        <w:t xml:space="preserve"> אבל לא משמע כן מתשו</w:t>
      </w:r>
      <w:r>
        <w:rPr>
          <w:rFonts w:cs="Arial" w:hint="cs"/>
          <w:rtl/>
        </w:rPr>
        <w:t>'</w:t>
      </w:r>
      <w:r w:rsidRPr="00463F28">
        <w:rPr>
          <w:rFonts w:cs="Arial"/>
          <w:rtl/>
        </w:rPr>
        <w:t xml:space="preserve"> הריב"ש שכתב</w:t>
      </w:r>
      <w:r>
        <w:rPr>
          <w:rFonts w:cs="Arial" w:hint="cs"/>
          <w:rtl/>
        </w:rPr>
        <w:t>תי</w:t>
      </w:r>
      <w:r w:rsidRPr="00463F28">
        <w:rPr>
          <w:rFonts w:cs="Arial"/>
          <w:rtl/>
        </w:rPr>
        <w:t xml:space="preserve"> בסמוך </w:t>
      </w:r>
      <w:r w:rsidRPr="00BA7157">
        <w:rPr>
          <w:rFonts w:cs="Arial"/>
          <w:sz w:val="16"/>
          <w:szCs w:val="16"/>
          <w:rtl/>
        </w:rPr>
        <w:t>(אות ג)</w:t>
      </w:r>
      <w:r>
        <w:rPr>
          <w:rFonts w:cs="Arial" w:hint="cs"/>
          <w:rtl/>
        </w:rPr>
        <w:t>, דרכ"מ</w:t>
      </w:r>
      <w:r w:rsidRPr="00BA7157">
        <w:rPr>
          <w:rFonts w:cs="Arial" w:hint="cs"/>
          <w:sz w:val="16"/>
          <w:szCs w:val="16"/>
          <w:rtl/>
        </w:rPr>
        <w:t xml:space="preserve"> (אות א)</w:t>
      </w:r>
      <w:r w:rsidRPr="00463F28">
        <w:rPr>
          <w:rFonts w:cs="Arial" w:hint="cs"/>
          <w:rtl/>
        </w:rPr>
        <w:t>.</w:t>
      </w:r>
    </w:p>
  </w:footnote>
  <w:footnote w:id="209">
    <w:p w14:paraId="28764A23" w14:textId="77777777" w:rsidR="0013116F" w:rsidRDefault="0013116F" w:rsidP="004A326E">
      <w:pPr>
        <w:pStyle w:val="a9"/>
        <w:rPr>
          <w:rtl/>
        </w:rPr>
      </w:pPr>
      <w:r>
        <w:rPr>
          <w:rStyle w:val="ab"/>
        </w:rPr>
        <w:footnoteRef/>
      </w:r>
      <w:r>
        <w:rPr>
          <w:rtl/>
        </w:rPr>
        <w:t xml:space="preserve"> </w:t>
      </w:r>
      <w:r w:rsidRPr="00E73F6B">
        <w:rPr>
          <w:rFonts w:cs="Arial"/>
          <w:rtl/>
        </w:rPr>
        <w:t>וכן מצאתי בספר יראים דר"נ אמר למילתיה בגזלן שדבר שלו בעין ורוצים לגזול אותו ממנו אם הוציאה גזלן ולא נזקף דמי גזלתו במלוה</w:t>
      </w:r>
      <w:r>
        <w:rPr>
          <w:rFonts w:cs="Arial" w:hint="cs"/>
          <w:rtl/>
        </w:rPr>
        <w:t>,</w:t>
      </w:r>
      <w:r w:rsidRPr="00E73F6B">
        <w:rPr>
          <w:rFonts w:cs="Arial"/>
          <w:rtl/>
        </w:rPr>
        <w:t xml:space="preserve"> וקרא דלא תבא אל ביתו לעבוט במלוה או בנזקף למלוה</w:t>
      </w:r>
      <w:r>
        <w:rPr>
          <w:rFonts w:cs="Arial" w:hint="cs"/>
          <w:rtl/>
        </w:rPr>
        <w:t xml:space="preserve">, </w:t>
      </w:r>
      <w:r>
        <w:rPr>
          <w:rFonts w:hint="cs"/>
          <w:rtl/>
        </w:rPr>
        <w:t>מרדכי.</w:t>
      </w:r>
    </w:p>
  </w:footnote>
  <w:footnote w:id="210">
    <w:p w14:paraId="5D06EDF7" w14:textId="77777777" w:rsidR="0013116F" w:rsidRDefault="0013116F" w:rsidP="004A326E">
      <w:pPr>
        <w:pStyle w:val="a9"/>
        <w:rPr>
          <w:rtl/>
        </w:rPr>
      </w:pPr>
      <w:r>
        <w:rPr>
          <w:rStyle w:val="ab"/>
        </w:rPr>
        <w:footnoteRef/>
      </w:r>
      <w:r>
        <w:rPr>
          <w:rtl/>
        </w:rPr>
        <w:t xml:space="preserve"> </w:t>
      </w:r>
      <w:r w:rsidRPr="00E73F6B">
        <w:rPr>
          <w:rFonts w:cs="Arial"/>
          <w:rtl/>
        </w:rPr>
        <w:t>והקשה ה"ר קלונימוס הלא מן הדין לקח דקיי"ל עביד איניש דינא לנפשיה וי"ל דהיינו דוקא אותו דבר עצמו שנלקח לו לאדם מותר לו ליקחנה בכל מקום שיכול להשיגו דומיא דמילתיה דבן בג בג</w:t>
      </w:r>
      <w:r>
        <w:rPr>
          <w:rFonts w:cs="Arial" w:hint="cs"/>
          <w:rtl/>
        </w:rPr>
        <w:t xml:space="preserve"> (ב"ק כז:)</w:t>
      </w:r>
      <w:r w:rsidRPr="00E73F6B">
        <w:rPr>
          <w:rFonts w:cs="Arial"/>
          <w:rtl/>
        </w:rPr>
        <w:t xml:space="preserve"> דאמר שלו הוא נוטל אבל הכא לקח זמורות אחרים שלא גנב לו הארוס ומכאן הביא ראיה רבינו מאיר לדבריו דהא הכא ידע רב הונא בודאי שגנב לו דחלילה לו לרב הונא לעכב מספק</w:t>
      </w:r>
      <w:r>
        <w:rPr>
          <w:rFonts w:cs="Arial" w:hint="cs"/>
          <w:rtl/>
        </w:rPr>
        <w:t>,</w:t>
      </w:r>
      <w:r w:rsidRPr="00E73F6B">
        <w:rPr>
          <w:rFonts w:cs="Arial"/>
          <w:rtl/>
        </w:rPr>
        <w:t xml:space="preserve"> וכן משמע הלשון מי קא שביק לי מינייהו והא קא גנב כוליה פי' הוא גונב יותר מכדי חלקו עיין פרק הגוזל בתרא גבי ההוא שותא כו'</w:t>
      </w:r>
      <w:r>
        <w:rPr>
          <w:rFonts w:hint="cs"/>
          <w:rtl/>
        </w:rPr>
        <w:t>, מרדכי.</w:t>
      </w:r>
    </w:p>
  </w:footnote>
  <w:footnote w:id="211">
    <w:p w14:paraId="6DE400FB" w14:textId="77777777" w:rsidR="0013116F" w:rsidRDefault="0013116F" w:rsidP="004A326E">
      <w:pPr>
        <w:pStyle w:val="a9"/>
        <w:rPr>
          <w:rtl/>
        </w:rPr>
      </w:pPr>
      <w:r>
        <w:rPr>
          <w:rStyle w:val="ab"/>
        </w:rPr>
        <w:footnoteRef/>
      </w:r>
      <w:r>
        <w:rPr>
          <w:rtl/>
        </w:rPr>
        <w:t xml:space="preserve"> </w:t>
      </w:r>
      <w:r>
        <w:rPr>
          <w:rFonts w:hint="cs"/>
          <w:rtl/>
        </w:rPr>
        <w:t>ומ"מ אי עביד ע"י גוי לא מקרי מסור בשביל זה</w:t>
      </w:r>
      <w:r w:rsidRPr="00463F28">
        <w:rPr>
          <w:rFonts w:cs="Arial"/>
          <w:rtl/>
        </w:rPr>
        <w:t xml:space="preserve"> </w:t>
      </w:r>
      <w:r>
        <w:rPr>
          <w:rFonts w:cs="Arial" w:hint="cs"/>
          <w:rtl/>
        </w:rPr>
        <w:t>כיון שבא להוציא את שלו, משא"כ אם כוונתו הייתה רק להזיק לחברו דאז מקרי מסור,</w:t>
      </w:r>
      <w:r w:rsidRPr="006D729D">
        <w:rPr>
          <w:rFonts w:cs="Arial"/>
          <w:rtl/>
        </w:rPr>
        <w:t xml:space="preserve"> </w:t>
      </w:r>
      <w:r w:rsidRPr="00463F28">
        <w:rPr>
          <w:rFonts w:cs="Arial"/>
          <w:rtl/>
        </w:rPr>
        <w:t xml:space="preserve">מרדכי </w:t>
      </w:r>
      <w:r w:rsidRPr="006D729D">
        <w:rPr>
          <w:rFonts w:cs="Arial" w:hint="cs"/>
          <w:sz w:val="16"/>
          <w:szCs w:val="16"/>
          <w:rtl/>
        </w:rPr>
        <w:t>(</w:t>
      </w:r>
      <w:r w:rsidRPr="006D729D">
        <w:rPr>
          <w:rFonts w:cs="Arial"/>
          <w:sz w:val="16"/>
          <w:szCs w:val="16"/>
          <w:rtl/>
        </w:rPr>
        <w:t>ס</w:t>
      </w:r>
      <w:r w:rsidRPr="006D729D">
        <w:rPr>
          <w:rFonts w:cs="Arial" w:hint="cs"/>
          <w:sz w:val="16"/>
          <w:szCs w:val="16"/>
          <w:rtl/>
        </w:rPr>
        <w:t>"</w:t>
      </w:r>
      <w:r w:rsidRPr="006D729D">
        <w:rPr>
          <w:rFonts w:cs="Arial"/>
          <w:sz w:val="16"/>
          <w:szCs w:val="16"/>
          <w:rtl/>
        </w:rPr>
        <w:t>פ הגוזל בתרא סי' קצג)</w:t>
      </w:r>
      <w:r>
        <w:rPr>
          <w:rFonts w:cs="Arial" w:hint="cs"/>
          <w:rtl/>
        </w:rPr>
        <w:t>.</w:t>
      </w:r>
      <w:r w:rsidRPr="00463F28">
        <w:rPr>
          <w:rFonts w:cs="Arial"/>
          <w:rtl/>
        </w:rPr>
        <w:t xml:space="preserve"> </w:t>
      </w:r>
      <w:r>
        <w:rPr>
          <w:rFonts w:cs="Arial" w:hint="cs"/>
          <w:rtl/>
        </w:rPr>
        <w:t xml:space="preserve">וכן אם הלך לערכאות של גוים ועי"ז הפסידו ביותר ממה שלקח לו </w:t>
      </w:r>
      <w:r>
        <w:rPr>
          <w:rFonts w:cs="Arial"/>
          <w:rtl/>
        </w:rPr>
        <w:t>–</w:t>
      </w:r>
      <w:r>
        <w:rPr>
          <w:rFonts w:cs="Arial" w:hint="cs"/>
          <w:rtl/>
        </w:rPr>
        <w:t xml:space="preserve"> פטור אם לא היה יכול להציל ממונו בעניין אחר, </w:t>
      </w:r>
      <w:r w:rsidRPr="006D729D">
        <w:rPr>
          <w:rFonts w:cs="Arial" w:hint="cs"/>
          <w:rtl/>
        </w:rPr>
        <w:t>הג"א</w:t>
      </w:r>
      <w:r w:rsidRPr="006D729D">
        <w:rPr>
          <w:rFonts w:cs="Arial"/>
          <w:rtl/>
        </w:rPr>
        <w:t xml:space="preserve"> </w:t>
      </w:r>
      <w:r w:rsidRPr="006D729D">
        <w:rPr>
          <w:rFonts w:cs="Arial" w:hint="cs"/>
          <w:sz w:val="16"/>
          <w:szCs w:val="16"/>
          <w:rtl/>
        </w:rPr>
        <w:t>(</w:t>
      </w:r>
      <w:r w:rsidRPr="006D729D">
        <w:rPr>
          <w:rFonts w:cs="Arial"/>
          <w:sz w:val="16"/>
          <w:szCs w:val="16"/>
          <w:rtl/>
        </w:rPr>
        <w:t>פ</w:t>
      </w:r>
      <w:r w:rsidRPr="006D729D">
        <w:rPr>
          <w:rFonts w:cs="Arial" w:hint="cs"/>
          <w:sz w:val="16"/>
          <w:szCs w:val="16"/>
          <w:rtl/>
        </w:rPr>
        <w:t>'</w:t>
      </w:r>
      <w:r w:rsidRPr="006D729D">
        <w:rPr>
          <w:rFonts w:cs="Arial"/>
          <w:sz w:val="16"/>
          <w:szCs w:val="16"/>
          <w:rtl/>
        </w:rPr>
        <w:t xml:space="preserve"> המניח </w:t>
      </w:r>
      <w:r w:rsidRPr="006D729D">
        <w:rPr>
          <w:rFonts w:cs="Arial" w:hint="cs"/>
          <w:sz w:val="16"/>
          <w:szCs w:val="16"/>
          <w:rtl/>
        </w:rPr>
        <w:t xml:space="preserve">פ"ג </w:t>
      </w:r>
      <w:r w:rsidRPr="006D729D">
        <w:rPr>
          <w:rFonts w:cs="Arial"/>
          <w:sz w:val="16"/>
          <w:szCs w:val="16"/>
          <w:rtl/>
        </w:rPr>
        <w:t>סי' ג</w:t>
      </w:r>
      <w:r w:rsidRPr="006D729D">
        <w:rPr>
          <w:rFonts w:cs="Arial" w:hint="cs"/>
          <w:sz w:val="16"/>
          <w:szCs w:val="16"/>
          <w:rtl/>
        </w:rPr>
        <w:t xml:space="preserve">, </w:t>
      </w:r>
      <w:r>
        <w:rPr>
          <w:rFonts w:cs="Arial" w:hint="cs"/>
          <w:sz w:val="16"/>
          <w:szCs w:val="16"/>
          <w:rtl/>
        </w:rPr>
        <w:t>ו</w:t>
      </w:r>
      <w:r w:rsidRPr="006D729D">
        <w:rPr>
          <w:rFonts w:cs="Arial"/>
          <w:sz w:val="16"/>
          <w:szCs w:val="16"/>
          <w:rtl/>
        </w:rPr>
        <w:t>העת</w:t>
      </w:r>
      <w:r w:rsidRPr="006D729D">
        <w:rPr>
          <w:rFonts w:cs="Arial" w:hint="cs"/>
          <w:sz w:val="16"/>
          <w:szCs w:val="16"/>
          <w:rtl/>
        </w:rPr>
        <w:t>י</w:t>
      </w:r>
      <w:r w:rsidRPr="006D729D">
        <w:rPr>
          <w:rFonts w:cs="Arial"/>
          <w:sz w:val="16"/>
          <w:szCs w:val="16"/>
          <w:rtl/>
        </w:rPr>
        <w:t xml:space="preserve">ק </w:t>
      </w:r>
      <w:r>
        <w:rPr>
          <w:rFonts w:cs="Arial" w:hint="cs"/>
          <w:sz w:val="16"/>
          <w:szCs w:val="16"/>
          <w:rtl/>
        </w:rPr>
        <w:t xml:space="preserve">כן </w:t>
      </w:r>
      <w:r w:rsidRPr="006D729D">
        <w:rPr>
          <w:rFonts w:cs="Arial"/>
          <w:sz w:val="16"/>
          <w:szCs w:val="16"/>
          <w:rtl/>
        </w:rPr>
        <w:t>מתשובת מהרי"ח</w:t>
      </w:r>
      <w:r w:rsidRPr="006D729D">
        <w:rPr>
          <w:rFonts w:cs="Arial" w:hint="cs"/>
          <w:sz w:val="16"/>
          <w:szCs w:val="16"/>
          <w:rtl/>
        </w:rPr>
        <w:t xml:space="preserve">, וז"ל- מעשה שהיה </w:t>
      </w:r>
      <w:r w:rsidRPr="006D729D">
        <w:rPr>
          <w:rFonts w:cs="Arial"/>
          <w:sz w:val="16"/>
          <w:szCs w:val="16"/>
          <w:rtl/>
        </w:rPr>
        <w:t>במצרים באחד שהפקיד אצל אחד פקדון ואחר ימים כפר לו והלך המפקיד בערכאות של נכרים ושבר הדלת ולקח פקדונו ועל הנפקד העלילו הנכרים והפסיד הרבה ותבע את המפקיד לדין שעל ידו הפסיד. ופסקו הדין אם לא היה יכול להציל ממונו בע"א אז הוא היה פטור דדוקא אם היה יכול לשומטו ולא שמטו חייב הא לאו הכי פטור</w:t>
      </w:r>
      <w:r w:rsidRPr="006D729D">
        <w:rPr>
          <w:rFonts w:cs="Arial" w:hint="cs"/>
          <w:sz w:val="16"/>
          <w:szCs w:val="16"/>
          <w:rtl/>
        </w:rPr>
        <w:t xml:space="preserve"> וכו')</w:t>
      </w:r>
      <w:r>
        <w:rPr>
          <w:rFonts w:cs="Arial" w:hint="cs"/>
          <w:rtl/>
        </w:rPr>
        <w:t>.</w:t>
      </w:r>
      <w:r>
        <w:rPr>
          <w:rFonts w:hint="cs"/>
          <w:rtl/>
        </w:rPr>
        <w:t xml:space="preserve"> </w:t>
      </w:r>
      <w:r w:rsidRPr="00463F28">
        <w:rPr>
          <w:rFonts w:cs="Arial"/>
          <w:rtl/>
        </w:rPr>
        <w:t>ועיין בדינים אלו במהרי"ק שורש קסא</w:t>
      </w:r>
      <w:r>
        <w:rPr>
          <w:rFonts w:cs="Arial" w:hint="cs"/>
          <w:rtl/>
        </w:rPr>
        <w:t xml:space="preserve"> </w:t>
      </w:r>
      <w:r w:rsidRPr="00E861BF">
        <w:rPr>
          <w:rFonts w:cs="Arial" w:hint="cs"/>
          <w:sz w:val="16"/>
          <w:szCs w:val="16"/>
          <w:rtl/>
        </w:rPr>
        <w:t>(הביא הדרכ"מ [אות א] חלק מהדברים הנ"ל)</w:t>
      </w:r>
      <w:r>
        <w:rPr>
          <w:rFonts w:cs="Arial" w:hint="cs"/>
          <w:rtl/>
        </w:rPr>
        <w:t>.</w:t>
      </w:r>
    </w:p>
  </w:footnote>
  <w:footnote w:id="212">
    <w:p w14:paraId="5F069EBC" w14:textId="77777777" w:rsidR="0013116F" w:rsidRDefault="0013116F">
      <w:pPr>
        <w:pStyle w:val="a9"/>
      </w:pPr>
      <w:r>
        <w:rPr>
          <w:rStyle w:val="ab"/>
        </w:rPr>
        <w:footnoteRef/>
      </w:r>
      <w:r>
        <w:rPr>
          <w:rtl/>
        </w:rPr>
        <w:t xml:space="preserve"> </w:t>
      </w:r>
      <w:r>
        <w:rPr>
          <w:rFonts w:hint="cs"/>
          <w:rtl/>
        </w:rPr>
        <w:t>צל"ע דבמהרי"ק שם משמע דאפילו לאחר שנולד הספק מהני תפיסה בלא ראיה ברורה, ואדרבה, לפני שנולד הספק מהני תפיסה אף ללא ראיה כלל.</w:t>
      </w:r>
    </w:p>
  </w:footnote>
  <w:footnote w:id="213">
    <w:p w14:paraId="1C046E63" w14:textId="77777777" w:rsidR="0013116F" w:rsidRDefault="0013116F">
      <w:pPr>
        <w:pStyle w:val="a9"/>
        <w:rPr>
          <w:rtl/>
        </w:rPr>
      </w:pPr>
      <w:r>
        <w:rPr>
          <w:rStyle w:val="ab"/>
        </w:rPr>
        <w:footnoteRef/>
      </w:r>
      <w:r>
        <w:rPr>
          <w:rtl/>
        </w:rPr>
        <w:t xml:space="preserve"> </w:t>
      </w:r>
      <w:r w:rsidRPr="005B2E28">
        <w:rPr>
          <w:rFonts w:cs="Arial"/>
          <w:rtl/>
        </w:rPr>
        <w:t>ד</w:t>
      </w:r>
      <w:r>
        <w:rPr>
          <w:rFonts w:cs="Arial" w:hint="cs"/>
          <w:rtl/>
        </w:rPr>
        <w:t xml:space="preserve">לגבי </w:t>
      </w:r>
      <w:r w:rsidRPr="005B2E28">
        <w:rPr>
          <w:rFonts w:cs="Arial"/>
          <w:rtl/>
        </w:rPr>
        <w:t>פ"ב דכתובות (כ</w:t>
      </w:r>
      <w:r>
        <w:rPr>
          <w:rFonts w:cs="Arial" w:hint="cs"/>
          <w:rtl/>
        </w:rPr>
        <w:t>.</w:t>
      </w:r>
      <w:r w:rsidRPr="005B2E28">
        <w:rPr>
          <w:rFonts w:cs="Arial"/>
          <w:rtl/>
        </w:rPr>
        <w:t xml:space="preserve">) </w:t>
      </w:r>
      <w:r>
        <w:rPr>
          <w:rFonts w:cs="Arial" w:hint="cs"/>
          <w:rtl/>
        </w:rPr>
        <w:t xml:space="preserve">אהא </w:t>
      </w:r>
      <w:r w:rsidRPr="005B2E28">
        <w:rPr>
          <w:rFonts w:cs="Arial"/>
          <w:rtl/>
        </w:rPr>
        <w:t>דקאמר אוקי תרי לבהדי תרי ואוקי ממונ</w:t>
      </w:r>
      <w:r>
        <w:rPr>
          <w:rFonts w:cs="Arial" w:hint="cs"/>
          <w:rtl/>
        </w:rPr>
        <w:t>א</w:t>
      </w:r>
      <w:r w:rsidRPr="005B2E28">
        <w:rPr>
          <w:rFonts w:cs="Arial"/>
          <w:rtl/>
        </w:rPr>
        <w:t xml:space="preserve"> כו' פרש"י דאם תפס לא מפקינן מיניה</w:t>
      </w:r>
      <w:r>
        <w:rPr>
          <w:rFonts w:cs="Arial" w:hint="cs"/>
          <w:rtl/>
        </w:rPr>
        <w:t>.</w:t>
      </w:r>
    </w:p>
  </w:footnote>
  <w:footnote w:id="214">
    <w:p w14:paraId="710B8881" w14:textId="77777777" w:rsidR="0013116F" w:rsidRDefault="0013116F" w:rsidP="004A326E">
      <w:pPr>
        <w:pStyle w:val="a9"/>
        <w:rPr>
          <w:rtl/>
        </w:rPr>
      </w:pPr>
      <w:r>
        <w:rPr>
          <w:rStyle w:val="ab"/>
        </w:rPr>
        <w:footnoteRef/>
      </w:r>
      <w:r>
        <w:rPr>
          <w:rtl/>
        </w:rPr>
        <w:t xml:space="preserve"> </w:t>
      </w:r>
      <w:r>
        <w:rPr>
          <w:rFonts w:hint="cs"/>
          <w:rtl/>
        </w:rPr>
        <w:t xml:space="preserve">וכ"כ </w:t>
      </w:r>
      <w:r w:rsidRPr="00315F01">
        <w:rPr>
          <w:rFonts w:cs="Arial"/>
          <w:rtl/>
        </w:rPr>
        <w:t xml:space="preserve">מהרי"ק </w:t>
      </w:r>
      <w:r>
        <w:rPr>
          <w:rFonts w:cs="Arial" w:hint="cs"/>
          <w:sz w:val="16"/>
          <w:szCs w:val="16"/>
          <w:rtl/>
        </w:rPr>
        <w:t>(</w:t>
      </w:r>
      <w:r w:rsidRPr="0072080E">
        <w:rPr>
          <w:rFonts w:cs="Arial"/>
          <w:sz w:val="16"/>
          <w:szCs w:val="16"/>
          <w:rtl/>
        </w:rPr>
        <w:t>שורש א</w:t>
      </w:r>
      <w:r>
        <w:rPr>
          <w:rFonts w:cs="Arial" w:hint="cs"/>
          <w:sz w:val="16"/>
          <w:szCs w:val="16"/>
          <w:rtl/>
        </w:rPr>
        <w:t>)</w:t>
      </w:r>
      <w:r>
        <w:rPr>
          <w:rFonts w:cs="Arial" w:hint="cs"/>
          <w:rtl/>
        </w:rPr>
        <w:t xml:space="preserve">. </w:t>
      </w:r>
      <w:r w:rsidRPr="00315F01">
        <w:rPr>
          <w:rFonts w:cs="Arial"/>
          <w:rtl/>
        </w:rPr>
        <w:t xml:space="preserve">וכתב עוד שם הא דנוהגין לכוף המסרב לתת הטלת מס שלו על ידי גוים היינו דוקא ביחיד שהם מוחזקים נגדו </w:t>
      </w:r>
      <w:r>
        <w:rPr>
          <w:rFonts w:cs="Arial" w:hint="cs"/>
          <w:sz w:val="16"/>
          <w:szCs w:val="16"/>
          <w:rtl/>
        </w:rPr>
        <w:t xml:space="preserve">{היינו שהוא מבני עירם} </w:t>
      </w:r>
      <w:r w:rsidRPr="00315F01">
        <w:rPr>
          <w:rFonts w:cs="Arial"/>
          <w:rtl/>
        </w:rPr>
        <w:t>אבל לא בענין אחר. ובשורש ב' כתב שם בהפוך זה דאפילו נגד יחיד שאינו מבני עירם מקרי מוחזקים</w:t>
      </w:r>
      <w:r>
        <w:rPr>
          <w:rFonts w:hint="cs"/>
          <w:rtl/>
        </w:rPr>
        <w:t>, דרכ"מ (אות ג).</w:t>
      </w:r>
    </w:p>
  </w:footnote>
  <w:footnote w:id="215">
    <w:p w14:paraId="6280B413" w14:textId="77777777" w:rsidR="0013116F" w:rsidRDefault="0013116F">
      <w:pPr>
        <w:pStyle w:val="a9"/>
      </w:pPr>
      <w:r>
        <w:rPr>
          <w:rStyle w:val="ab"/>
        </w:rPr>
        <w:footnoteRef/>
      </w:r>
      <w:r>
        <w:rPr>
          <w:rtl/>
        </w:rPr>
        <w:t xml:space="preserve"> </w:t>
      </w:r>
      <w:r>
        <w:rPr>
          <w:rFonts w:hint="cs"/>
          <w:rtl/>
        </w:rPr>
        <w:t>צל"ע מדוע לא ראיתי אף אחד שהביא את סוף דברי תרוה"ד הללו.</w:t>
      </w:r>
    </w:p>
  </w:footnote>
  <w:footnote w:id="216">
    <w:p w14:paraId="7E891670" w14:textId="77777777" w:rsidR="0013116F" w:rsidRDefault="0013116F" w:rsidP="004A326E">
      <w:pPr>
        <w:pStyle w:val="a9"/>
        <w:rPr>
          <w:rtl/>
        </w:rPr>
      </w:pPr>
      <w:r>
        <w:rPr>
          <w:rStyle w:val="ab"/>
        </w:rPr>
        <w:footnoteRef/>
      </w:r>
      <w:r>
        <w:rPr>
          <w:rtl/>
        </w:rPr>
        <w:t xml:space="preserve"> </w:t>
      </w:r>
      <w:r w:rsidRPr="00315F01">
        <w:rPr>
          <w:rFonts w:cs="Arial"/>
          <w:rtl/>
        </w:rPr>
        <w:t>ו</w:t>
      </w:r>
      <w:r>
        <w:rPr>
          <w:rFonts w:cs="Arial" w:hint="cs"/>
          <w:rtl/>
        </w:rPr>
        <w:t>כתב עוד שם ד</w:t>
      </w:r>
      <w:r w:rsidRPr="00315F01">
        <w:rPr>
          <w:rFonts w:cs="Arial"/>
          <w:rtl/>
        </w:rPr>
        <w:t>אם היחיד אומר שכך המנהג של קהל ורבים חולקין עליו דין היחיד כדין רבים כיון שגם היחיד בא מכח המנהג</w:t>
      </w:r>
      <w:r>
        <w:rPr>
          <w:rFonts w:cs="Arial" w:hint="cs"/>
          <w:rtl/>
        </w:rPr>
        <w:t>. ע"כ.</w:t>
      </w:r>
      <w:r w:rsidRPr="00315F01">
        <w:rPr>
          <w:rFonts w:cs="Arial"/>
          <w:rtl/>
        </w:rPr>
        <w:t xml:space="preserve"> ו</w:t>
      </w:r>
      <w:r>
        <w:rPr>
          <w:rFonts w:cs="Arial" w:hint="cs"/>
          <w:rtl/>
        </w:rPr>
        <w:t>כתב הדרכ"מ (אות ג) ד</w:t>
      </w:r>
      <w:r w:rsidRPr="00315F01">
        <w:rPr>
          <w:rFonts w:cs="Arial"/>
          <w:rtl/>
        </w:rPr>
        <w:t>אין דבריו נראין בזה דלעולם אין היחיד כרבים.</w:t>
      </w:r>
    </w:p>
  </w:footnote>
  <w:footnote w:id="217">
    <w:p w14:paraId="6C2EC936" w14:textId="77777777" w:rsidR="0013116F" w:rsidRDefault="0013116F" w:rsidP="004A326E">
      <w:pPr>
        <w:pStyle w:val="a9"/>
        <w:rPr>
          <w:rtl/>
        </w:rPr>
      </w:pPr>
      <w:r>
        <w:rPr>
          <w:rStyle w:val="ab"/>
        </w:rPr>
        <w:footnoteRef/>
      </w:r>
      <w:r>
        <w:rPr>
          <w:rtl/>
        </w:rPr>
        <w:t xml:space="preserve"> </w:t>
      </w:r>
      <w:r w:rsidRPr="00315F01">
        <w:rPr>
          <w:rFonts w:cs="Arial"/>
          <w:rtl/>
        </w:rPr>
        <w:t>וכ"כ הטור לקמן סי</w:t>
      </w:r>
      <w:r>
        <w:rPr>
          <w:rFonts w:cs="Arial" w:hint="cs"/>
          <w:rtl/>
        </w:rPr>
        <w:t>'</w:t>
      </w:r>
      <w:r w:rsidRPr="00315F01">
        <w:rPr>
          <w:rFonts w:cs="Arial"/>
          <w:rtl/>
        </w:rPr>
        <w:t xml:space="preserve"> צז (סכ"ז) דיש לכוף בצרכי מסים וצדקה ע</w:t>
      </w:r>
      <w:r>
        <w:rPr>
          <w:rFonts w:cs="Arial" w:hint="cs"/>
          <w:rtl/>
        </w:rPr>
        <w:t>"</w:t>
      </w:r>
      <w:r w:rsidRPr="00315F01">
        <w:rPr>
          <w:rFonts w:cs="Arial"/>
          <w:rtl/>
        </w:rPr>
        <w:t>י גוים</w:t>
      </w:r>
      <w:r>
        <w:rPr>
          <w:rFonts w:cs="Arial" w:hint="cs"/>
          <w:rtl/>
        </w:rPr>
        <w:t>,</w:t>
      </w:r>
      <w:r w:rsidRPr="00315F01">
        <w:rPr>
          <w:rFonts w:cs="Arial"/>
          <w:rtl/>
        </w:rPr>
        <w:t xml:space="preserve"> וכ</w:t>
      </w:r>
      <w:r>
        <w:rPr>
          <w:rFonts w:cs="Arial" w:hint="cs"/>
          <w:rtl/>
        </w:rPr>
        <w:t>"כ</w:t>
      </w:r>
      <w:r w:rsidRPr="00315F01">
        <w:rPr>
          <w:rFonts w:cs="Arial"/>
          <w:rtl/>
        </w:rPr>
        <w:t xml:space="preserve"> שם שורש כ"ז</w:t>
      </w:r>
      <w:r>
        <w:rPr>
          <w:rFonts w:hint="cs"/>
          <w:rtl/>
        </w:rPr>
        <w:t>, דרכ"מ (אות ג).</w:t>
      </w:r>
    </w:p>
  </w:footnote>
  <w:footnote w:id="218">
    <w:p w14:paraId="59EA06A4" w14:textId="77777777" w:rsidR="0013116F" w:rsidRDefault="0013116F" w:rsidP="004A326E">
      <w:pPr>
        <w:pStyle w:val="a9"/>
        <w:rPr>
          <w:rtl/>
        </w:rPr>
      </w:pPr>
      <w:r>
        <w:rPr>
          <w:rStyle w:val="ab"/>
        </w:rPr>
        <w:footnoteRef/>
      </w:r>
      <w:r>
        <w:rPr>
          <w:rtl/>
        </w:rPr>
        <w:t xml:space="preserve"> </w:t>
      </w:r>
      <w:r w:rsidRPr="000249DC">
        <w:rPr>
          <w:rFonts w:cs="Arial"/>
          <w:rtl/>
        </w:rPr>
        <w:t>פירוש, דאם אינו יכול לברר שהוא שלו, לא מיבעיא דאסור להכותו ולהוציאו מידו, אלא אפילו בלא הכאה נמי אינו רשאי להוציאו מידו, וכן מוכח מלשון הטור וכמ"ש בפרישה. מיהו זה דוקא כשבא להוציא בעדים, דבלא עדים יכול לתופסו, דיהיה נאמן לפני ב"ד במיגו אטענתו</w:t>
      </w:r>
      <w:r>
        <w:rPr>
          <w:rFonts w:cs="Arial" w:hint="cs"/>
          <w:rtl/>
        </w:rPr>
        <w:t xml:space="preserve"> (וכ"כ הרא"ש כלל סד סי' א, וכ"כ הש"ך סק"ג)</w:t>
      </w:r>
      <w:r w:rsidRPr="000249DC">
        <w:rPr>
          <w:rFonts w:cs="Arial"/>
          <w:rtl/>
        </w:rPr>
        <w:t>. והא דכתב מור"ם בסמוך דיכול לתופסו למשכון בכל ענין, פירשתי שם בסק</w:t>
      </w:r>
      <w:r>
        <w:rPr>
          <w:rFonts w:cs="Arial" w:hint="cs"/>
          <w:rtl/>
        </w:rPr>
        <w:t>"</w:t>
      </w:r>
      <w:r w:rsidRPr="000249DC">
        <w:rPr>
          <w:rFonts w:cs="Arial"/>
          <w:rtl/>
        </w:rPr>
        <w:t>ד ע"ש</w:t>
      </w:r>
      <w:r>
        <w:rPr>
          <w:rFonts w:hint="cs"/>
          <w:rtl/>
        </w:rPr>
        <w:t>, סמ"ע (סק"ב).</w:t>
      </w:r>
    </w:p>
  </w:footnote>
  <w:footnote w:id="219">
    <w:p w14:paraId="020D9C52" w14:textId="77777777" w:rsidR="0013116F" w:rsidRDefault="0013116F" w:rsidP="004A326E">
      <w:pPr>
        <w:pStyle w:val="a9"/>
        <w:rPr>
          <w:rtl/>
        </w:rPr>
      </w:pPr>
      <w:r>
        <w:rPr>
          <w:rStyle w:val="ab"/>
        </w:rPr>
        <w:footnoteRef/>
      </w:r>
      <w:r>
        <w:rPr>
          <w:rtl/>
        </w:rPr>
        <w:t xml:space="preserve"> </w:t>
      </w:r>
      <w:r w:rsidRPr="000249DC">
        <w:rPr>
          <w:rFonts w:cs="Arial"/>
          <w:rtl/>
        </w:rPr>
        <w:t>ושם [סע</w:t>
      </w:r>
      <w:r>
        <w:rPr>
          <w:rFonts w:cs="Arial" w:hint="cs"/>
          <w:rtl/>
        </w:rPr>
        <w:t>'</w:t>
      </w:r>
      <w:r w:rsidRPr="000249DC">
        <w:rPr>
          <w:rFonts w:cs="Arial"/>
          <w:rtl/>
        </w:rPr>
        <w:t xml:space="preserve"> יד] מבואר דיכול למשכן לערב גם להשוכר בעד שכירותו, וכך הוא מבואר בברייתא פרק המקבל [ב"מ קטו</w:t>
      </w:r>
      <w:r>
        <w:rPr>
          <w:rFonts w:cs="Arial" w:hint="cs"/>
          <w:rtl/>
        </w:rPr>
        <w:t>.</w:t>
      </w:r>
      <w:r w:rsidRPr="000249DC">
        <w:rPr>
          <w:rFonts w:cs="Arial"/>
          <w:rtl/>
        </w:rPr>
        <w:t>] וכמ"ש שם [סקכ"ו], וא"כ לא היה צריך מור"ם להסיק ולכתוב זה כאן בשם י"א דאם חייב לו בלא הלואה דיכול למשכנו. לכן נראה להגיה מותר למעבד דינא לנפשיה, ור"ל אפילו בהכאה, וה"ה אם רוצה להוציא בחזקה הפקדון מידו יכול להכותו עד שיניחנו בידו, וכ"כ בד"מ [המובא בציונים אות ב'] בשמו, והשתא אתי שפיר דקמ"ל דמותר למעבד דינא לנפשיה בהכאה. והשתא נמי א"ש מה שמסיק מור"ם וכתב די"א כו', עד אם כבר נתחייב לו ממקום אחר לא, ור"ל דאסור להכותו ולתופסו, והברייתא הנ"ל דמתרת איירי בתפיסה בלא הכאה, וק"ל. אלא שצ"ע מה שמסיק וכתב ז"ל, י"א דלא מיקרי עביד דינא כו' כגון שמכהו כו', משמע דלפני זה אפילו מתפיסה בעלמא איירי. וי"ל דאותו י"א אמ"ש המחבר בריש הסימן קאי, דכתב דדוקא כשיוכל לברר עביד דינא לנפשיה, דמשמע כשאינו יכול לברר אפילו תפיסה בעלמא אסור, אזה כתב די"א דהתפיסה גרידא מותרת בכל ענין כו'</w:t>
      </w:r>
      <w:r>
        <w:rPr>
          <w:rFonts w:hint="cs"/>
          <w:rtl/>
        </w:rPr>
        <w:t>, סמ"ע (סק"ג).</w:t>
      </w:r>
    </w:p>
  </w:footnote>
  <w:footnote w:id="220">
    <w:p w14:paraId="5F32A7FD" w14:textId="77777777" w:rsidR="0013116F" w:rsidRDefault="0013116F" w:rsidP="004A326E">
      <w:pPr>
        <w:pStyle w:val="a9"/>
        <w:rPr>
          <w:rtl/>
        </w:rPr>
      </w:pPr>
      <w:r>
        <w:rPr>
          <w:rStyle w:val="ab"/>
        </w:rPr>
        <w:footnoteRef/>
      </w:r>
      <w:r>
        <w:rPr>
          <w:rtl/>
        </w:rPr>
        <w:t xml:space="preserve"> </w:t>
      </w:r>
      <w:r w:rsidRPr="000249DC">
        <w:rPr>
          <w:rFonts w:cs="Arial"/>
          <w:rtl/>
        </w:rPr>
        <w:t>ואם היה יכול להציל והלך לפני ערכאות של גויים ולקח את שלו והעליל עליו, צריך לשלם הזיקו כדין מוסר. מהרש"ל [ביש"ש ב"ק] פ"ג סי' ו'].</w:t>
      </w:r>
      <w:r>
        <w:rPr>
          <w:rFonts w:hint="cs"/>
          <w:rtl/>
        </w:rPr>
        <w:t xml:space="preserve"> הובאו דבריו בהגה בש"ך (סק"ו).</w:t>
      </w:r>
    </w:p>
  </w:footnote>
  <w:footnote w:id="221">
    <w:p w14:paraId="35638994" w14:textId="77777777" w:rsidR="0013116F" w:rsidRDefault="0013116F" w:rsidP="004A326E">
      <w:pPr>
        <w:pStyle w:val="a9"/>
        <w:rPr>
          <w:rtl/>
        </w:rPr>
      </w:pPr>
      <w:r>
        <w:rPr>
          <w:rStyle w:val="ab"/>
        </w:rPr>
        <w:footnoteRef/>
      </w:r>
      <w:r>
        <w:rPr>
          <w:rtl/>
        </w:rPr>
        <w:t xml:space="preserve"> </w:t>
      </w:r>
      <w:r>
        <w:rPr>
          <w:rFonts w:cs="Arial" w:hint="cs"/>
          <w:rtl/>
        </w:rPr>
        <w:t xml:space="preserve">יש חילוק אם </w:t>
      </w:r>
      <w:r w:rsidRPr="00BF2710">
        <w:rPr>
          <w:rFonts w:cs="Arial"/>
          <w:rtl/>
        </w:rPr>
        <w:t>שבא לתפ</w:t>
      </w:r>
      <w:r>
        <w:rPr>
          <w:rFonts w:cs="Arial" w:hint="cs"/>
          <w:rtl/>
        </w:rPr>
        <w:t>ו</w:t>
      </w:r>
      <w:r w:rsidRPr="00BF2710">
        <w:rPr>
          <w:rFonts w:cs="Arial"/>
          <w:rtl/>
        </w:rPr>
        <w:t xml:space="preserve">ס הדבר שאומר שגזלו ממנו, </w:t>
      </w:r>
      <w:r>
        <w:rPr>
          <w:rFonts w:cs="Arial" w:hint="cs"/>
          <w:rtl/>
        </w:rPr>
        <w:t xml:space="preserve">שאז </w:t>
      </w:r>
      <w:r w:rsidRPr="00BF2710">
        <w:rPr>
          <w:rFonts w:cs="Arial"/>
          <w:rtl/>
        </w:rPr>
        <w:t xml:space="preserve">בודאי הוא </w:t>
      </w:r>
      <w:r>
        <w:rPr>
          <w:rFonts w:cs="Arial" w:hint="cs"/>
          <w:rtl/>
        </w:rPr>
        <w:t>י</w:t>
      </w:r>
      <w:r w:rsidRPr="00BF2710">
        <w:rPr>
          <w:rFonts w:cs="Arial"/>
          <w:rtl/>
        </w:rPr>
        <w:t>כפ</w:t>
      </w:r>
      <w:r>
        <w:rPr>
          <w:rFonts w:cs="Arial" w:hint="cs"/>
          <w:rtl/>
        </w:rPr>
        <w:t>ו</w:t>
      </w:r>
      <w:r w:rsidRPr="00BF2710">
        <w:rPr>
          <w:rFonts w:cs="Arial"/>
          <w:rtl/>
        </w:rPr>
        <w:t xml:space="preserve">ר, </w:t>
      </w:r>
      <w:r>
        <w:rPr>
          <w:rFonts w:cs="Arial" w:hint="cs"/>
          <w:rtl/>
        </w:rPr>
        <w:t xml:space="preserve">לכן </w:t>
      </w:r>
      <w:r w:rsidRPr="00BF2710">
        <w:rPr>
          <w:rFonts w:cs="Arial"/>
          <w:rtl/>
        </w:rPr>
        <w:t>אינו יכול לתופסו אלא בלא עדים דאז דוקא מהני, משא"כ כשבא לתופסו במשכון שטוען עליו שחייב לו מענין אחר כך וכך וירא שמא ילך מכאן ולא יפרענו או יטעון אין לו, בזה יכול למשכנו אף בעדים, דהא אינו ודאי שהנתפס יכפור החוב, ונמצא זה התופס זריז ונשכ</w:t>
      </w:r>
      <w:r>
        <w:rPr>
          <w:rFonts w:cs="Arial" w:hint="cs"/>
          <w:rtl/>
        </w:rPr>
        <w:t>ר</w:t>
      </w:r>
      <w:r>
        <w:rPr>
          <w:rFonts w:hint="cs"/>
          <w:rtl/>
        </w:rPr>
        <w:t>, סמ"ע (סק"ד). ובאה"ט (סק"ד).</w:t>
      </w:r>
    </w:p>
  </w:footnote>
  <w:footnote w:id="222">
    <w:p w14:paraId="46A1B620" w14:textId="77777777" w:rsidR="0013116F" w:rsidRPr="00BF2710" w:rsidRDefault="0013116F" w:rsidP="004A326E">
      <w:pPr>
        <w:pStyle w:val="a9"/>
        <w:rPr>
          <w:rFonts w:cs="Arial"/>
        </w:rPr>
      </w:pPr>
      <w:r>
        <w:rPr>
          <w:rStyle w:val="ab"/>
        </w:rPr>
        <w:footnoteRef/>
      </w:r>
      <w:r>
        <w:rPr>
          <w:rtl/>
        </w:rPr>
        <w:t xml:space="preserve"> </w:t>
      </w:r>
      <w:r w:rsidRPr="00BF2710">
        <w:rPr>
          <w:rFonts w:cs="Arial"/>
          <w:rtl/>
        </w:rPr>
        <w:t>נראה דכתב כן משום דמהרי"ק שורש א' כתב דאין רבים נקראים מוחזקים נגד היחיד רק כשהיחיד הוא מבני עירן</w:t>
      </w:r>
      <w:r>
        <w:rPr>
          <w:rFonts w:cs="Arial" w:hint="cs"/>
          <w:rtl/>
        </w:rPr>
        <w:t>,</w:t>
      </w:r>
      <w:r w:rsidRPr="00BF2710">
        <w:rPr>
          <w:rFonts w:cs="Arial"/>
          <w:rtl/>
        </w:rPr>
        <w:t xml:space="preserve"> ובני עירן לאו דוקא אלא תחת מושל אחד שנותנין לו מס, ע"ש, ועיין ד"מ שהביאו, אבל מסיק וכתב שם ע"ז ז"ל, ובשורש ב' כתב בהיפך זה, דאפילו נגד יחיד שאינו מבני עירן נקראים מוחזקים</w:t>
      </w:r>
      <w:r>
        <w:rPr>
          <w:rFonts w:cs="Arial" w:hint="cs"/>
          <w:rtl/>
        </w:rPr>
        <w:t>, ע"ש</w:t>
      </w:r>
      <w:r w:rsidRPr="00BF2710">
        <w:rPr>
          <w:rFonts w:cs="Arial"/>
          <w:rtl/>
        </w:rPr>
        <w:t>.</w:t>
      </w:r>
      <w:r>
        <w:rPr>
          <w:rFonts w:cs="Arial" w:hint="cs"/>
          <w:rtl/>
        </w:rPr>
        <w:t>..</w:t>
      </w:r>
      <w:r w:rsidRPr="00BF2710">
        <w:rPr>
          <w:rFonts w:cs="Arial"/>
          <w:rtl/>
        </w:rPr>
        <w:t xml:space="preserve"> ונראה דמשום הכי לא כתב מור"ם בהגהת שו"ע כאן דאם אינו מבני עירן דלא מחשב מוחזקים נגדו, משום דמסתפק בזה</w:t>
      </w:r>
      <w:r>
        <w:rPr>
          <w:rFonts w:cs="Arial" w:hint="cs"/>
          <w:rtl/>
        </w:rPr>
        <w:t xml:space="preserve">, סמ"ע (סק"ה). אך הש"ך (סק"ט) כתב- </w:t>
      </w:r>
      <w:r w:rsidRPr="000249DC">
        <w:rPr>
          <w:rFonts w:cs="Arial"/>
          <w:rtl/>
        </w:rPr>
        <w:t>עיינתי במהרי"ק שם ומשמע דדוקא לענין עבדי דינא לנפשייהו פסק בשורש א' דדוקא מבני העיר, ולענין שהקהל נקראים מוחזקים פסק בשורש ב' אפילו שלא כנגד בני עירן, ונראה שזהו דעת הר"ב בהג"ה ודלא כסמ"ע</w:t>
      </w:r>
      <w:r>
        <w:rPr>
          <w:rFonts w:cs="Arial" w:hint="cs"/>
          <w:rtl/>
        </w:rPr>
        <w:t>.</w:t>
      </w:r>
    </w:p>
  </w:footnote>
  <w:footnote w:id="223">
    <w:p w14:paraId="44D4CEC7" w14:textId="77777777" w:rsidR="0013116F" w:rsidRDefault="0013116F" w:rsidP="004A326E">
      <w:pPr>
        <w:pStyle w:val="a9"/>
        <w:rPr>
          <w:rtl/>
        </w:rPr>
      </w:pPr>
      <w:r>
        <w:rPr>
          <w:rStyle w:val="ab"/>
        </w:rPr>
        <w:footnoteRef/>
      </w:r>
      <w:r>
        <w:rPr>
          <w:rtl/>
        </w:rPr>
        <w:t xml:space="preserve"> </w:t>
      </w:r>
      <w:r w:rsidRPr="00BB09BE">
        <w:rPr>
          <w:rFonts w:cs="Arial"/>
          <w:rtl/>
        </w:rPr>
        <w:t>פירוש, ואמרינן להיחיד ברר ראיותיך כי המוציא מחבירו עליו הראיה, ואם אין לו ראיה ישבעו קצת מהן ופטורים מטענתו, ואם ירצו נותנין השבועה להיחיד, והברירה בידם כדין המוחזק, וגם לענין זה דיכולין לומר קים לנו כהאי מ"ד במקום שיש פלוגתא</w:t>
      </w:r>
      <w:r>
        <w:rPr>
          <w:rFonts w:cs="Arial" w:hint="cs"/>
          <w:sz w:val="16"/>
          <w:szCs w:val="16"/>
          <w:rtl/>
        </w:rPr>
        <w:t xml:space="preserve"> (</w:t>
      </w:r>
      <w:r w:rsidRPr="00BB09BE">
        <w:rPr>
          <w:rFonts w:cs="Arial"/>
          <w:sz w:val="16"/>
          <w:szCs w:val="16"/>
          <w:rtl/>
        </w:rPr>
        <w:t>היינו דוקא בעניני מסים אבל בשאר מילי לא חשיב מוחזקים לענין קים לי, וכן הוא בת</w:t>
      </w:r>
      <w:r w:rsidRPr="00BB09BE">
        <w:rPr>
          <w:rFonts w:cs="Arial" w:hint="cs"/>
          <w:sz w:val="16"/>
          <w:szCs w:val="16"/>
          <w:rtl/>
        </w:rPr>
        <w:t>"</w:t>
      </w:r>
      <w:r w:rsidRPr="00BB09BE">
        <w:rPr>
          <w:rFonts w:cs="Arial"/>
          <w:sz w:val="16"/>
          <w:szCs w:val="16"/>
          <w:rtl/>
        </w:rPr>
        <w:t>ה שם סימן שמ"א וז"ל, וסבר מהר"מ דלא מכשרינן להו להעיד לרבים משום דפלוגתא דרבוותא היא, אלמא לא חשיבי רבים מוחזקים ממש לכל דברים אלא לעניני מסים, עכ</w:t>
      </w:r>
      <w:r w:rsidRPr="00BB09BE">
        <w:rPr>
          <w:rFonts w:cs="Arial" w:hint="cs"/>
          <w:sz w:val="16"/>
          <w:szCs w:val="16"/>
          <w:rtl/>
        </w:rPr>
        <w:t>"</w:t>
      </w:r>
      <w:r w:rsidRPr="00BB09BE">
        <w:rPr>
          <w:rFonts w:cs="Arial"/>
          <w:sz w:val="16"/>
          <w:szCs w:val="16"/>
          <w:rtl/>
        </w:rPr>
        <w:t>ל ודוק</w:t>
      </w:r>
      <w:r w:rsidRPr="00BB09BE">
        <w:rPr>
          <w:rFonts w:hint="cs"/>
          <w:sz w:val="16"/>
          <w:szCs w:val="16"/>
          <w:rtl/>
        </w:rPr>
        <w:t xml:space="preserve">, ש"ך </w:t>
      </w:r>
      <w:r>
        <w:rPr>
          <w:rFonts w:hint="cs"/>
          <w:sz w:val="16"/>
          <w:szCs w:val="16"/>
          <w:rtl/>
        </w:rPr>
        <w:t>[</w:t>
      </w:r>
      <w:r w:rsidRPr="00BB09BE">
        <w:rPr>
          <w:rFonts w:hint="cs"/>
          <w:sz w:val="16"/>
          <w:szCs w:val="16"/>
          <w:rtl/>
        </w:rPr>
        <w:t>סק"י</w:t>
      </w:r>
      <w:r>
        <w:rPr>
          <w:rFonts w:hint="cs"/>
          <w:sz w:val="16"/>
          <w:szCs w:val="16"/>
          <w:rtl/>
        </w:rPr>
        <w:t>]</w:t>
      </w:r>
      <w:r w:rsidRPr="00BB09BE">
        <w:rPr>
          <w:rFonts w:hint="cs"/>
          <w:sz w:val="16"/>
          <w:szCs w:val="16"/>
          <w:rtl/>
        </w:rPr>
        <w:t>)</w:t>
      </w:r>
      <w:r w:rsidRPr="00BB09BE">
        <w:rPr>
          <w:rFonts w:cs="Arial"/>
          <w:rtl/>
        </w:rPr>
        <w:t>, כ"כ בתרו</w:t>
      </w:r>
      <w:r>
        <w:rPr>
          <w:rFonts w:cs="Arial" w:hint="cs"/>
          <w:rtl/>
        </w:rPr>
        <w:t>ה"ד (</w:t>
      </w:r>
      <w:r w:rsidRPr="00BB09BE">
        <w:rPr>
          <w:rFonts w:cs="Arial"/>
          <w:rtl/>
        </w:rPr>
        <w:t>המובא בציונים אות י'</w:t>
      </w:r>
      <w:r>
        <w:rPr>
          <w:rFonts w:cs="Arial" w:hint="cs"/>
          <w:rtl/>
        </w:rPr>
        <w:t>)</w:t>
      </w:r>
      <w:r w:rsidRPr="00BB09BE">
        <w:rPr>
          <w:rFonts w:cs="Arial"/>
          <w:rtl/>
        </w:rPr>
        <w:t xml:space="preserve">. ע"ש עוד שכלל כל דיני מס ועניני יחיד ורבים יחד, וגם עדיפא כוחייהו דהקהל דצריך היחיד לפרוע להן המס מיד או ליתן להם משכון, ואם יברר היחיד ראיתו יחזירו לו מעותיו או המשכון. ומ"ש מור"ם וצריך ליתן להם משכון, ר"ל </w:t>
      </w:r>
      <w:r w:rsidRPr="005B2E28">
        <w:rPr>
          <w:rFonts w:cs="Arial"/>
          <w:b/>
          <w:bCs/>
          <w:rtl/>
        </w:rPr>
        <w:t>וגם</w:t>
      </w:r>
      <w:r w:rsidRPr="00BB09BE">
        <w:rPr>
          <w:rFonts w:cs="Arial"/>
          <w:rtl/>
        </w:rPr>
        <w:t xml:space="preserve"> צריך ליתן להם משכון, וכך כתב בהדיא במרדכי שם שני הדינים יחד, ובד"מ הביאו. עוד כתב, דכל ספק וטענה שאינה ברורה ליחיד לפטור מהמס, חשוב המלך כמוחזק עד שיברר שהוא פטור.</w:t>
      </w:r>
      <w:r>
        <w:rPr>
          <w:rFonts w:cs="Arial" w:hint="cs"/>
          <w:rtl/>
        </w:rPr>
        <w:t>.., סמ"ע (סק"ו).</w:t>
      </w:r>
    </w:p>
  </w:footnote>
  <w:footnote w:id="224">
    <w:p w14:paraId="330D8A60" w14:textId="77777777" w:rsidR="0013116F" w:rsidRDefault="0013116F" w:rsidP="004A326E">
      <w:pPr>
        <w:pStyle w:val="a9"/>
        <w:rPr>
          <w:rtl/>
        </w:rPr>
      </w:pPr>
      <w:r>
        <w:rPr>
          <w:rStyle w:val="ab"/>
        </w:rPr>
        <w:footnoteRef/>
      </w:r>
      <w:r>
        <w:rPr>
          <w:rtl/>
        </w:rPr>
        <w:t xml:space="preserve"> </w:t>
      </w:r>
      <w:r w:rsidRPr="00BB09BE">
        <w:rPr>
          <w:rFonts w:cs="Arial"/>
          <w:rtl/>
        </w:rPr>
        <w:t>הטעם, כדי שיהא הוא התובע לדין, שאם לא יתן משכון אזי יבוא הדין לידי המשכה דמי מהקהל ירד עמו לדין, כדאמרינן [ב"ב כ"ד ע"ב] קדירא דבי שותפי לא חמימא ולא קרירא, וק"ל</w:t>
      </w:r>
      <w:r>
        <w:rPr>
          <w:rFonts w:hint="cs"/>
          <w:rtl/>
        </w:rPr>
        <w:t>, סמ"ע (סק"ז).</w:t>
      </w:r>
    </w:p>
  </w:footnote>
  <w:footnote w:id="225">
    <w:p w14:paraId="298255CD" w14:textId="77777777" w:rsidR="0013116F" w:rsidRDefault="0013116F">
      <w:pPr>
        <w:pStyle w:val="a9"/>
      </w:pPr>
      <w:r>
        <w:rPr>
          <w:rStyle w:val="ab"/>
        </w:rPr>
        <w:footnoteRef/>
      </w:r>
      <w:r>
        <w:rPr>
          <w:rtl/>
        </w:rPr>
        <w:t xml:space="preserve"> </w:t>
      </w:r>
      <w:r>
        <w:rPr>
          <w:rFonts w:hint="cs"/>
          <w:rtl/>
        </w:rPr>
        <w:t xml:space="preserve">סימן </w:t>
      </w:r>
      <w:r>
        <w:rPr>
          <w:rtl/>
        </w:rPr>
        <w:t>–</w:t>
      </w:r>
      <w:r>
        <w:rPr>
          <w:rFonts w:hint="cs"/>
          <w:rtl/>
        </w:rPr>
        <w:t xml:space="preserve"> פורסא </w:t>
      </w:r>
      <w:r>
        <w:rPr>
          <w:rFonts w:hint="cs"/>
          <w:sz w:val="16"/>
          <w:szCs w:val="16"/>
          <w:rtl/>
        </w:rPr>
        <w:t xml:space="preserve">{תקנת} </w:t>
      </w:r>
      <w:r>
        <w:rPr>
          <w:rFonts w:hint="cs"/>
          <w:rtl/>
        </w:rPr>
        <w:t>ב"ד, ב' פעמים.</w:t>
      </w:r>
    </w:p>
  </w:footnote>
  <w:footnote w:id="226">
    <w:p w14:paraId="0822538C" w14:textId="77777777" w:rsidR="0013116F" w:rsidRDefault="0013116F" w:rsidP="004A326E">
      <w:pPr>
        <w:pStyle w:val="a9"/>
      </w:pPr>
      <w:r>
        <w:rPr>
          <w:rStyle w:val="ab"/>
        </w:rPr>
        <w:footnoteRef/>
      </w:r>
      <w:r>
        <w:rPr>
          <w:rtl/>
        </w:rPr>
        <w:t xml:space="preserve"> </w:t>
      </w:r>
      <w:r w:rsidRPr="00A364B1">
        <w:rPr>
          <w:rFonts w:cs="Arial"/>
          <w:rtl/>
        </w:rPr>
        <w:t>כלומר שקביעות כל הימים שוה</w:t>
      </w:r>
      <w:r>
        <w:rPr>
          <w:rFonts w:cs="Arial" w:hint="cs"/>
          <w:rtl/>
        </w:rPr>
        <w:t>, רש"י.</w:t>
      </w:r>
    </w:p>
  </w:footnote>
  <w:footnote w:id="227">
    <w:p w14:paraId="27EBCC92" w14:textId="77777777" w:rsidR="0013116F" w:rsidRDefault="0013116F" w:rsidP="004A326E">
      <w:pPr>
        <w:pStyle w:val="a9"/>
      </w:pPr>
      <w:r>
        <w:rPr>
          <w:rStyle w:val="ab"/>
        </w:rPr>
        <w:footnoteRef/>
      </w:r>
      <w:r>
        <w:rPr>
          <w:rtl/>
        </w:rPr>
        <w:t xml:space="preserve"> </w:t>
      </w:r>
      <w:r>
        <w:rPr>
          <w:rFonts w:hint="cs"/>
          <w:rtl/>
        </w:rPr>
        <w:t>וכתב הב"י (על דברי ר"י אלברצלוני) דדבר פשוט הוא.</w:t>
      </w:r>
    </w:p>
  </w:footnote>
  <w:footnote w:id="228">
    <w:p w14:paraId="1C13C50C" w14:textId="77777777" w:rsidR="0013116F" w:rsidRPr="00C06469" w:rsidRDefault="0013116F">
      <w:pPr>
        <w:pStyle w:val="a9"/>
        <w:rPr>
          <w:rtl/>
        </w:rPr>
      </w:pPr>
      <w:r>
        <w:rPr>
          <w:rStyle w:val="ab"/>
        </w:rPr>
        <w:footnoteRef/>
      </w:r>
      <w:r>
        <w:rPr>
          <w:rtl/>
        </w:rPr>
        <w:t xml:space="preserve"> </w:t>
      </w:r>
      <w:r>
        <w:rPr>
          <w:rFonts w:hint="cs"/>
          <w:rtl/>
        </w:rPr>
        <w:t xml:space="preserve">סימן </w:t>
      </w:r>
      <w:r>
        <w:rPr>
          <w:rtl/>
        </w:rPr>
        <w:t>–</w:t>
      </w:r>
      <w:r>
        <w:rPr>
          <w:rFonts w:hint="cs"/>
          <w:rtl/>
        </w:rPr>
        <w:t xml:space="preserve"> ואלו ואלו ואלו</w:t>
      </w:r>
      <w:r>
        <w:rPr>
          <w:rFonts w:hint="cs"/>
          <w:sz w:val="16"/>
          <w:szCs w:val="16"/>
          <w:rtl/>
        </w:rPr>
        <w:t xml:space="preserve"> (ואלו משום רשות, ואלו משום שבות, ואלו משום מצוה)</w:t>
      </w:r>
      <w:r>
        <w:rPr>
          <w:rFonts w:hint="cs"/>
          <w:rtl/>
        </w:rPr>
        <w:t xml:space="preserve">. וכן </w:t>
      </w:r>
      <w:r>
        <w:rPr>
          <w:rtl/>
        </w:rPr>
        <w:t>–</w:t>
      </w:r>
      <w:r>
        <w:rPr>
          <w:rFonts w:hint="cs"/>
          <w:rtl/>
        </w:rPr>
        <w:t xml:space="preserve"> ואין לדון.</w:t>
      </w:r>
    </w:p>
  </w:footnote>
  <w:footnote w:id="229">
    <w:p w14:paraId="3D7B2631" w14:textId="77777777" w:rsidR="0013116F" w:rsidRDefault="0013116F" w:rsidP="00E635FC">
      <w:pPr>
        <w:pStyle w:val="a9"/>
      </w:pPr>
      <w:r>
        <w:rPr>
          <w:rStyle w:val="ab"/>
        </w:rPr>
        <w:footnoteRef/>
      </w:r>
      <w:r>
        <w:rPr>
          <w:rtl/>
        </w:rPr>
        <w:t xml:space="preserve"> </w:t>
      </w:r>
      <w:r>
        <w:rPr>
          <w:rFonts w:cs="Arial" w:hint="cs"/>
          <w:rtl/>
        </w:rPr>
        <w:t>ובגמ' נשאל מדוע קרי לדין רשות שהרי עושה בזה מצוה, וענתה הגמ' דהיינו כשיש מישהו שעדיף ממנו.</w:t>
      </w:r>
    </w:p>
  </w:footnote>
  <w:footnote w:id="230">
    <w:p w14:paraId="3874EE8F" w14:textId="77777777" w:rsidR="0013116F" w:rsidRDefault="0013116F">
      <w:pPr>
        <w:pStyle w:val="a9"/>
        <w:rPr>
          <w:rtl/>
        </w:rPr>
      </w:pPr>
      <w:r>
        <w:rPr>
          <w:rStyle w:val="ab"/>
        </w:rPr>
        <w:footnoteRef/>
      </w:r>
      <w:r>
        <w:rPr>
          <w:rtl/>
        </w:rPr>
        <w:t xml:space="preserve"> </w:t>
      </w:r>
      <w:r>
        <w:rPr>
          <w:rFonts w:hint="cs"/>
          <w:rtl/>
        </w:rPr>
        <w:t xml:space="preserve">סימן </w:t>
      </w:r>
      <w:r>
        <w:rPr>
          <w:rtl/>
        </w:rPr>
        <w:t>–</w:t>
      </w:r>
      <w:r>
        <w:rPr>
          <w:rFonts w:hint="cs"/>
          <w:rtl/>
        </w:rPr>
        <w:t xml:space="preserve"> לא בשבת. לא ביו"ט.</w:t>
      </w:r>
    </w:p>
  </w:footnote>
  <w:footnote w:id="231">
    <w:p w14:paraId="78F0A5BC" w14:textId="77777777" w:rsidR="0013116F" w:rsidRDefault="0013116F">
      <w:pPr>
        <w:pStyle w:val="a9"/>
      </w:pPr>
      <w:r>
        <w:rPr>
          <w:rStyle w:val="ab"/>
        </w:rPr>
        <w:footnoteRef/>
      </w:r>
      <w:r>
        <w:rPr>
          <w:rtl/>
        </w:rPr>
        <w:t xml:space="preserve"> </w:t>
      </w:r>
      <w:r w:rsidRPr="00717989">
        <w:rPr>
          <w:rFonts w:cs="Arial"/>
          <w:rtl/>
        </w:rPr>
        <w:t>שאין יכולין לגומרו למחר אם יתחייב, שאין מיתת בית דין דוחה שבת, ולשהותו אי אפשר מפני עינוי הדין, משנגמר הדין</w:t>
      </w:r>
      <w:r>
        <w:rPr>
          <w:rFonts w:cs="Arial" w:hint="cs"/>
          <w:rtl/>
        </w:rPr>
        <w:t>, רש"י.</w:t>
      </w:r>
    </w:p>
  </w:footnote>
  <w:footnote w:id="232">
    <w:p w14:paraId="43130992" w14:textId="77777777" w:rsidR="0013116F" w:rsidRPr="00C34587" w:rsidRDefault="0013116F" w:rsidP="004A326E">
      <w:pPr>
        <w:pStyle w:val="a9"/>
      </w:pPr>
      <w:r w:rsidRPr="00C34587">
        <w:rPr>
          <w:rStyle w:val="ab"/>
        </w:rPr>
        <w:footnoteRef/>
      </w:r>
      <w:r w:rsidRPr="00C34587">
        <w:rPr>
          <w:rtl/>
        </w:rPr>
        <w:t xml:space="preserve"> </w:t>
      </w:r>
      <w:r w:rsidRPr="00C34587">
        <w:rPr>
          <w:rFonts w:hint="cs"/>
          <w:rtl/>
        </w:rPr>
        <w:t>וכן ב</w:t>
      </w:r>
      <w:r w:rsidRPr="00C34587">
        <w:rPr>
          <w:rFonts w:cs="Arial" w:hint="cs"/>
          <w:rtl/>
        </w:rPr>
        <w:t xml:space="preserve">ביצה </w:t>
      </w:r>
      <w:r>
        <w:rPr>
          <w:rFonts w:cs="Arial" w:hint="cs"/>
          <w:rtl/>
        </w:rPr>
        <w:t>(</w:t>
      </w:r>
      <w:r w:rsidRPr="00C34587">
        <w:rPr>
          <w:rFonts w:cs="Arial" w:hint="cs"/>
          <w:rtl/>
        </w:rPr>
        <w:t>פ"ה ה"ב</w:t>
      </w:r>
      <w:r>
        <w:rPr>
          <w:rFonts w:cs="Arial" w:hint="cs"/>
          <w:rtl/>
        </w:rPr>
        <w:t>)</w:t>
      </w:r>
      <w:r w:rsidRPr="00C34587">
        <w:rPr>
          <w:rFonts w:cs="Arial" w:hint="cs"/>
          <w:rtl/>
        </w:rPr>
        <w:t>.</w:t>
      </w:r>
    </w:p>
  </w:footnote>
  <w:footnote w:id="233">
    <w:p w14:paraId="4C62EBA6" w14:textId="77777777" w:rsidR="0013116F" w:rsidRDefault="0013116F" w:rsidP="008211AE">
      <w:pPr>
        <w:pStyle w:val="a9"/>
        <w:rPr>
          <w:rtl/>
        </w:rPr>
      </w:pPr>
      <w:r>
        <w:rPr>
          <w:rStyle w:val="ab"/>
        </w:rPr>
        <w:footnoteRef/>
      </w:r>
      <w:r>
        <w:rPr>
          <w:rtl/>
        </w:rPr>
        <w:t xml:space="preserve"> </w:t>
      </w:r>
      <w:r>
        <w:rPr>
          <w:rFonts w:hint="cs"/>
          <w:rtl/>
        </w:rPr>
        <w:t>ומה יענה ר' אבהו על דברי המשנה ועל הא דתני ר' חייה? אלא נענה לך בשמו ד-...</w:t>
      </w:r>
    </w:p>
  </w:footnote>
  <w:footnote w:id="234">
    <w:p w14:paraId="09F70F55" w14:textId="77777777" w:rsidR="0013116F" w:rsidRDefault="0013116F">
      <w:pPr>
        <w:pStyle w:val="a9"/>
        <w:rPr>
          <w:rtl/>
        </w:rPr>
      </w:pPr>
      <w:r>
        <w:rPr>
          <w:rStyle w:val="ab"/>
        </w:rPr>
        <w:footnoteRef/>
      </w:r>
      <w:r>
        <w:rPr>
          <w:rtl/>
        </w:rPr>
        <w:t xml:space="preserve"> </w:t>
      </w:r>
      <w:r w:rsidRPr="00102078">
        <w:rPr>
          <w:rFonts w:cs="Arial"/>
          <w:rtl/>
        </w:rPr>
        <w:t>הכא דא</w:t>
      </w:r>
      <w:r>
        <w:rPr>
          <w:rFonts w:cs="Arial" w:hint="cs"/>
          <w:rtl/>
        </w:rPr>
        <w:t xml:space="preserve">מר ר' </w:t>
      </w:r>
      <w:r w:rsidRPr="00102078">
        <w:rPr>
          <w:rFonts w:cs="Arial"/>
          <w:rtl/>
        </w:rPr>
        <w:t>ח</w:t>
      </w:r>
      <w:r>
        <w:rPr>
          <w:rFonts w:cs="Arial" w:hint="cs"/>
          <w:rtl/>
        </w:rPr>
        <w:t>ייה</w:t>
      </w:r>
      <w:r w:rsidRPr="00102078">
        <w:rPr>
          <w:rFonts w:cs="Arial"/>
          <w:rtl/>
        </w:rPr>
        <w:t xml:space="preserve"> דנין היינו להלכה אם דנו דיניהם דין</w:t>
      </w:r>
      <w:r>
        <w:rPr>
          <w:rFonts w:hint="cs"/>
          <w:rtl/>
        </w:rPr>
        <w:t>, קרבן העדה.</w:t>
      </w:r>
    </w:p>
  </w:footnote>
  <w:footnote w:id="235">
    <w:p w14:paraId="6613E30E" w14:textId="77777777" w:rsidR="0013116F" w:rsidRDefault="0013116F" w:rsidP="004A326E">
      <w:pPr>
        <w:pStyle w:val="a9"/>
        <w:rPr>
          <w:rtl/>
        </w:rPr>
      </w:pPr>
      <w:r>
        <w:rPr>
          <w:rStyle w:val="ab"/>
        </w:rPr>
        <w:footnoteRef/>
      </w:r>
      <w:r>
        <w:rPr>
          <w:rtl/>
        </w:rPr>
        <w:t xml:space="preserve"> </w:t>
      </w:r>
      <w:r w:rsidRPr="00F42D18">
        <w:rPr>
          <w:rFonts w:cs="Arial"/>
          <w:rtl/>
        </w:rPr>
        <w:t>הא דא"ר אבהו אין דנין היינו שאין מורין כן לכתחלה לפי שהדין צריך מתון ועיון ואתי לאימנועי מצורכי שבת ויו"ט או מפני שטרוד בהם אין לבו פנוי כל כך לעמוד על אמתתו</w:t>
      </w:r>
      <w:r>
        <w:rPr>
          <w:rFonts w:cs="Arial" w:hint="cs"/>
          <w:rtl/>
        </w:rPr>
        <w:t>, קרבן העדה.</w:t>
      </w:r>
      <w:r w:rsidRPr="00F42D18">
        <w:rPr>
          <w:rFonts w:cs="Arial"/>
          <w:rtl/>
        </w:rPr>
        <w:t xml:space="preserve"> </w:t>
      </w:r>
      <w:r w:rsidRPr="00F42D18">
        <w:rPr>
          <w:rFonts w:hint="cs"/>
          <w:sz w:val="16"/>
          <w:szCs w:val="16"/>
          <w:rtl/>
        </w:rPr>
        <w:t xml:space="preserve">(בירושלמי בביצה </w:t>
      </w:r>
      <w:r>
        <w:rPr>
          <w:rFonts w:hint="cs"/>
          <w:sz w:val="16"/>
          <w:szCs w:val="16"/>
          <w:rtl/>
        </w:rPr>
        <w:t xml:space="preserve">(פ"ה ה"ב) </w:t>
      </w:r>
      <w:r w:rsidRPr="00F42D18">
        <w:rPr>
          <w:rFonts w:hint="cs"/>
          <w:sz w:val="16"/>
          <w:szCs w:val="16"/>
          <w:rtl/>
        </w:rPr>
        <w:t>כתוב 'לדבר תורה' במקום תיבת 'למעשה', וכן כתבו הב"י והרא"ש, ומ"מ הכוונה אחת, להלכה- היינו דין תורה. לדבר תורה- היינו למעשה</w:t>
      </w:r>
      <w:r>
        <w:rPr>
          <w:rFonts w:hint="cs"/>
          <w:sz w:val="16"/>
          <w:szCs w:val="16"/>
          <w:rtl/>
        </w:rPr>
        <w:t>)</w:t>
      </w:r>
      <w:r>
        <w:rPr>
          <w:rFonts w:hint="cs"/>
          <w:rtl/>
        </w:rPr>
        <w:t xml:space="preserve"> </w:t>
      </w:r>
    </w:p>
  </w:footnote>
  <w:footnote w:id="236">
    <w:p w14:paraId="23FA6C40" w14:textId="77777777" w:rsidR="0013116F" w:rsidRDefault="0013116F">
      <w:pPr>
        <w:pStyle w:val="a9"/>
      </w:pPr>
      <w:r>
        <w:rPr>
          <w:rStyle w:val="ab"/>
        </w:rPr>
        <w:footnoteRef/>
      </w:r>
      <w:r>
        <w:rPr>
          <w:rtl/>
        </w:rPr>
        <w:t xml:space="preserve"> </w:t>
      </w:r>
      <w:r>
        <w:rPr>
          <w:rFonts w:hint="cs"/>
          <w:rtl/>
        </w:rPr>
        <w:t xml:space="preserve">סימן </w:t>
      </w:r>
      <w:r>
        <w:rPr>
          <w:rtl/>
        </w:rPr>
        <w:t>–</w:t>
      </w:r>
      <w:r>
        <w:rPr>
          <w:rFonts w:hint="cs"/>
          <w:rtl/>
        </w:rPr>
        <w:t xml:space="preserve"> קביעת יום גרידא.</w:t>
      </w:r>
    </w:p>
  </w:footnote>
  <w:footnote w:id="237">
    <w:p w14:paraId="591796C2" w14:textId="77777777" w:rsidR="0013116F" w:rsidRDefault="0013116F">
      <w:pPr>
        <w:pStyle w:val="a9"/>
      </w:pPr>
      <w:r>
        <w:rPr>
          <w:rStyle w:val="ab"/>
        </w:rPr>
        <w:footnoteRef/>
      </w:r>
      <w:r>
        <w:rPr>
          <w:rtl/>
        </w:rPr>
        <w:t xml:space="preserve"> </w:t>
      </w:r>
      <w:r w:rsidRPr="00173A46">
        <w:rPr>
          <w:rFonts w:cs="Arial"/>
          <w:rtl/>
        </w:rPr>
        <w:t>אין מזמנין אדם לדין בניסן ובתשרי שהן זמן קציר ובציר</w:t>
      </w:r>
      <w:r>
        <w:rPr>
          <w:rFonts w:cs="Arial" w:hint="cs"/>
          <w:rtl/>
        </w:rPr>
        <w:t>, רש"י</w:t>
      </w:r>
      <w:r w:rsidRPr="00173A46">
        <w:rPr>
          <w:rFonts w:cs="Arial"/>
          <w:rtl/>
        </w:rPr>
        <w:t>.</w:t>
      </w:r>
    </w:p>
  </w:footnote>
  <w:footnote w:id="238">
    <w:p w14:paraId="78FF8390" w14:textId="77777777" w:rsidR="0013116F" w:rsidRDefault="0013116F" w:rsidP="00173A46">
      <w:pPr>
        <w:pStyle w:val="a9"/>
      </w:pPr>
      <w:r>
        <w:rPr>
          <w:rStyle w:val="ab"/>
        </w:rPr>
        <w:footnoteRef/>
      </w:r>
      <w:r>
        <w:rPr>
          <w:rtl/>
        </w:rPr>
        <w:t xml:space="preserve"> </w:t>
      </w:r>
      <w:r w:rsidRPr="007007AD">
        <w:rPr>
          <w:rFonts w:cs="Arial"/>
          <w:rtl/>
        </w:rPr>
        <w:t>שולחים שיבא ביום פלוני באייר</w:t>
      </w:r>
      <w:r>
        <w:rPr>
          <w:rFonts w:cs="Arial" w:hint="cs"/>
          <w:rtl/>
        </w:rPr>
        <w:t>, רש"י</w:t>
      </w:r>
      <w:r w:rsidRPr="007007AD">
        <w:rPr>
          <w:rFonts w:cs="Arial"/>
          <w:rtl/>
        </w:rPr>
        <w:t>.</w:t>
      </w:r>
    </w:p>
  </w:footnote>
  <w:footnote w:id="239">
    <w:p w14:paraId="7D672B83" w14:textId="77777777" w:rsidR="0013116F" w:rsidRDefault="0013116F" w:rsidP="004A326E">
      <w:pPr>
        <w:pStyle w:val="a9"/>
        <w:rPr>
          <w:rtl/>
        </w:rPr>
      </w:pPr>
      <w:r>
        <w:rPr>
          <w:rStyle w:val="ab"/>
        </w:rPr>
        <w:footnoteRef/>
      </w:r>
      <w:r>
        <w:rPr>
          <w:rtl/>
        </w:rPr>
        <w:t xml:space="preserve"> </w:t>
      </w:r>
      <w:r w:rsidRPr="00127CD0">
        <w:rPr>
          <w:rFonts w:cs="Arial"/>
          <w:rtl/>
        </w:rPr>
        <w:t>וישכח שהזמינוהו</w:t>
      </w:r>
      <w:r>
        <w:rPr>
          <w:rFonts w:cs="Arial" w:hint="cs"/>
          <w:rtl/>
        </w:rPr>
        <w:t>,</w:t>
      </w:r>
      <w:r w:rsidRPr="007007AD">
        <w:rPr>
          <w:rFonts w:cs="Arial"/>
          <w:rtl/>
        </w:rPr>
        <w:t xml:space="preserve"> </w:t>
      </w:r>
      <w:r w:rsidRPr="00127CD0">
        <w:rPr>
          <w:rFonts w:cs="Arial"/>
          <w:rtl/>
        </w:rPr>
        <w:t>רא"ש (ב"ק פ"י סי' ח)</w:t>
      </w:r>
      <w:r>
        <w:rPr>
          <w:rFonts w:cs="Arial" w:hint="cs"/>
          <w:rtl/>
        </w:rPr>
        <w:t>.</w:t>
      </w:r>
    </w:p>
  </w:footnote>
  <w:footnote w:id="240">
    <w:p w14:paraId="79FD38B2" w14:textId="77777777" w:rsidR="0013116F" w:rsidRDefault="0013116F" w:rsidP="004A326E">
      <w:pPr>
        <w:pStyle w:val="a9"/>
      </w:pPr>
      <w:r>
        <w:rPr>
          <w:rStyle w:val="ab"/>
        </w:rPr>
        <w:footnoteRef/>
      </w:r>
      <w:r>
        <w:rPr>
          <w:rtl/>
        </w:rPr>
        <w:t xml:space="preserve"> </w:t>
      </w:r>
      <w:r>
        <w:rPr>
          <w:rFonts w:cs="Arial" w:hint="cs"/>
          <w:rtl/>
        </w:rPr>
        <w:t>הביא תרוה"ד</w:t>
      </w:r>
      <w:r w:rsidRPr="00C1768C">
        <w:rPr>
          <w:rFonts w:cs="Arial"/>
          <w:rtl/>
        </w:rPr>
        <w:t xml:space="preserve"> </w:t>
      </w:r>
      <w:r w:rsidRPr="00C1768C">
        <w:rPr>
          <w:rFonts w:cs="Arial" w:hint="cs"/>
          <w:sz w:val="16"/>
          <w:szCs w:val="16"/>
          <w:rtl/>
        </w:rPr>
        <w:t>(</w:t>
      </w:r>
      <w:r w:rsidRPr="00C1768C">
        <w:rPr>
          <w:rFonts w:cs="Arial"/>
          <w:sz w:val="16"/>
          <w:szCs w:val="16"/>
          <w:rtl/>
        </w:rPr>
        <w:t>סי</w:t>
      </w:r>
      <w:r w:rsidRPr="00C1768C">
        <w:rPr>
          <w:rFonts w:cs="Arial" w:hint="cs"/>
          <w:sz w:val="16"/>
          <w:szCs w:val="16"/>
          <w:rtl/>
        </w:rPr>
        <w:t>'</w:t>
      </w:r>
      <w:r w:rsidRPr="00C1768C">
        <w:rPr>
          <w:rFonts w:cs="Arial"/>
          <w:sz w:val="16"/>
          <w:szCs w:val="16"/>
          <w:rtl/>
        </w:rPr>
        <w:t xml:space="preserve"> רכז</w:t>
      </w:r>
      <w:r w:rsidRPr="00C1768C">
        <w:rPr>
          <w:rFonts w:cs="Arial" w:hint="cs"/>
          <w:sz w:val="16"/>
          <w:szCs w:val="16"/>
          <w:rtl/>
        </w:rPr>
        <w:t>, הביאו הדרכ"מ אות א)</w:t>
      </w:r>
      <w:r>
        <w:rPr>
          <w:rFonts w:cs="Arial" w:hint="cs"/>
          <w:rtl/>
        </w:rPr>
        <w:t xml:space="preserve"> את דבריו וכתב-</w:t>
      </w:r>
      <w:r w:rsidRPr="00C1768C">
        <w:rPr>
          <w:rFonts w:cs="Arial"/>
          <w:rtl/>
        </w:rPr>
        <w:t xml:space="preserve"> ואפשר דדוקא לענין ממון יש להקל משום דהפקר בית דין הפקר</w:t>
      </w:r>
      <w:r>
        <w:rPr>
          <w:rFonts w:cs="Arial" w:hint="cs"/>
          <w:rtl/>
        </w:rPr>
        <w:t>,</w:t>
      </w:r>
      <w:r w:rsidRPr="00C1768C">
        <w:rPr>
          <w:rFonts w:cs="Arial"/>
          <w:rtl/>
        </w:rPr>
        <w:t xml:space="preserve"> אבל בדבר איסור לא משום דטרידי בצרכי שבת ואינן יכולין להיות מתון בדין</w:t>
      </w:r>
      <w:r>
        <w:rPr>
          <w:rFonts w:cs="Arial" w:hint="cs"/>
          <w:rtl/>
        </w:rPr>
        <w:t xml:space="preserve">. </w:t>
      </w:r>
      <w:r w:rsidRPr="00C1768C">
        <w:rPr>
          <w:rFonts w:cs="Arial" w:hint="cs"/>
          <w:color w:val="00B0F0"/>
          <w:rtl/>
        </w:rPr>
        <w:t>(וכ"</w:t>
      </w:r>
      <w:r>
        <w:rPr>
          <w:rFonts w:cs="Arial" w:hint="cs"/>
          <w:color w:val="00B0F0"/>
          <w:rtl/>
        </w:rPr>
        <w:t>כ</w:t>
      </w:r>
      <w:r w:rsidRPr="00C1768C">
        <w:rPr>
          <w:rFonts w:cs="Arial" w:hint="cs"/>
          <w:color w:val="00B0F0"/>
          <w:rtl/>
        </w:rPr>
        <w:t xml:space="preserve"> הרמ"א)</w:t>
      </w:r>
    </w:p>
  </w:footnote>
  <w:footnote w:id="241">
    <w:p w14:paraId="02750B77" w14:textId="77777777" w:rsidR="0013116F" w:rsidRDefault="0013116F">
      <w:pPr>
        <w:pStyle w:val="a9"/>
        <w:rPr>
          <w:rtl/>
        </w:rPr>
      </w:pPr>
      <w:r>
        <w:rPr>
          <w:rStyle w:val="ab"/>
        </w:rPr>
        <w:footnoteRef/>
      </w:r>
      <w:r>
        <w:rPr>
          <w:rtl/>
        </w:rPr>
        <w:t xml:space="preserve"> </w:t>
      </w:r>
      <w:r>
        <w:rPr>
          <w:rFonts w:hint="cs"/>
          <w:rtl/>
        </w:rPr>
        <w:t>נקיט '</w:t>
      </w:r>
      <w:r w:rsidRPr="00EE1B1B">
        <w:rPr>
          <w:rFonts w:cs="Arial"/>
          <w:rtl/>
        </w:rPr>
        <w:t>אי אתו מנפשייהו</w:t>
      </w:r>
      <w:r>
        <w:rPr>
          <w:rFonts w:cs="Arial" w:hint="cs"/>
          <w:rtl/>
        </w:rPr>
        <w:t>' כיון שאינו יכול לכפותם כיון דאין דנין ואין מזמנין בער"ש ובעיו"ט.</w:t>
      </w:r>
    </w:p>
  </w:footnote>
  <w:footnote w:id="242">
    <w:p w14:paraId="5F457F03" w14:textId="77777777" w:rsidR="0013116F" w:rsidRDefault="0013116F" w:rsidP="00173A46">
      <w:pPr>
        <w:pStyle w:val="a9"/>
      </w:pPr>
      <w:r>
        <w:rPr>
          <w:rStyle w:val="ab"/>
        </w:rPr>
        <w:footnoteRef/>
      </w:r>
      <w:r>
        <w:rPr>
          <w:rtl/>
        </w:rPr>
        <w:t xml:space="preserve"> </w:t>
      </w:r>
      <w:r w:rsidRPr="007007AD">
        <w:rPr>
          <w:rFonts w:cs="Arial"/>
          <w:rtl/>
        </w:rPr>
        <w:t>אין מזמנין אדם לדין בניסן ובתשרי שהן זמן קציר ובציר</w:t>
      </w:r>
      <w:r>
        <w:rPr>
          <w:rFonts w:cs="Arial" w:hint="cs"/>
          <w:rtl/>
        </w:rPr>
        <w:t>, רש"י</w:t>
      </w:r>
      <w:r w:rsidRPr="007007AD">
        <w:rPr>
          <w:rFonts w:cs="Arial"/>
          <w:rtl/>
        </w:rPr>
        <w:t xml:space="preserve">. </w:t>
      </w:r>
      <w:r w:rsidRPr="00127CD0">
        <w:rPr>
          <w:rFonts w:cs="Arial"/>
          <w:rtl/>
        </w:rPr>
        <w:t>ו</w:t>
      </w:r>
      <w:r>
        <w:rPr>
          <w:rFonts w:cs="Arial" w:hint="cs"/>
          <w:rtl/>
        </w:rPr>
        <w:t>כ' הב"י- ו</w:t>
      </w:r>
      <w:r w:rsidRPr="00127CD0">
        <w:rPr>
          <w:rFonts w:cs="Arial"/>
          <w:rtl/>
        </w:rPr>
        <w:t>הרמב"ם ז"ל כתב בפכ"ה מהל</w:t>
      </w:r>
      <w:r>
        <w:rPr>
          <w:rFonts w:cs="Arial" w:hint="cs"/>
          <w:rtl/>
        </w:rPr>
        <w:t>'</w:t>
      </w:r>
      <w:r w:rsidRPr="00127CD0">
        <w:rPr>
          <w:rFonts w:cs="Arial"/>
          <w:rtl/>
        </w:rPr>
        <w:t xml:space="preserve"> סנהדרין (ה"ט) שהטעם שאין קובעין זמן לא ביומי ניסן ולא בתשרי הוא מפני שהעם טרודים במועדות. ובנוסחת הרי"ף (מ.) שבידינו כתוב לא קבעינן זמן לא ביומי ניסן ותשרי ולא ביומי סיון</w:t>
      </w:r>
      <w:r>
        <w:rPr>
          <w:rFonts w:cs="Arial" w:hint="cs"/>
          <w:rtl/>
        </w:rPr>
        <w:t>,</w:t>
      </w:r>
      <w:r w:rsidRPr="00127CD0">
        <w:rPr>
          <w:rFonts w:cs="Arial"/>
          <w:rtl/>
        </w:rPr>
        <w:t xml:space="preserve"> וזה כפי טעמו של הרמב"ם ז"ל שהוא מפני טרדת המועדות</w:t>
      </w:r>
      <w:r>
        <w:rPr>
          <w:rFonts w:cs="Arial" w:hint="cs"/>
          <w:rtl/>
        </w:rPr>
        <w:t>,</w:t>
      </w:r>
      <w:r w:rsidRPr="00127CD0">
        <w:rPr>
          <w:rFonts w:cs="Arial"/>
          <w:rtl/>
        </w:rPr>
        <w:t xml:space="preserve"> דאילו לטעמו של רש"י אינו ענין לסיון</w:t>
      </w:r>
      <w:r>
        <w:rPr>
          <w:rFonts w:cs="Arial" w:hint="cs"/>
          <w:rtl/>
        </w:rPr>
        <w:t>,</w:t>
      </w:r>
      <w:r w:rsidRPr="00127CD0">
        <w:rPr>
          <w:rFonts w:cs="Arial"/>
          <w:rtl/>
        </w:rPr>
        <w:t xml:space="preserve"> והרמב"ם דלא גריס ליה היינו משום דחג השבועות שאינו אלא יום או שני ימים אין טרודים בשבילו.</w:t>
      </w:r>
    </w:p>
  </w:footnote>
  <w:footnote w:id="243">
    <w:p w14:paraId="08268B6F" w14:textId="77777777" w:rsidR="0013116F" w:rsidRDefault="0013116F" w:rsidP="004A326E">
      <w:pPr>
        <w:pStyle w:val="a9"/>
      </w:pPr>
      <w:r>
        <w:rPr>
          <w:rStyle w:val="ab"/>
        </w:rPr>
        <w:footnoteRef/>
      </w:r>
      <w:r>
        <w:rPr>
          <w:rtl/>
        </w:rPr>
        <w:t xml:space="preserve"> </w:t>
      </w:r>
      <w:r w:rsidRPr="007007AD">
        <w:rPr>
          <w:rFonts w:cs="Arial"/>
          <w:rtl/>
        </w:rPr>
        <w:t>שולחים שיבא ביום פלוני באייר</w:t>
      </w:r>
      <w:r>
        <w:rPr>
          <w:rFonts w:cs="Arial" w:hint="cs"/>
          <w:rtl/>
        </w:rPr>
        <w:t>, רש"י</w:t>
      </w:r>
      <w:r w:rsidRPr="007007AD">
        <w:rPr>
          <w:rFonts w:cs="Arial"/>
          <w:rtl/>
        </w:rPr>
        <w:t>.</w:t>
      </w:r>
    </w:p>
  </w:footnote>
  <w:footnote w:id="244">
    <w:p w14:paraId="49BFD6AC" w14:textId="77777777" w:rsidR="0013116F" w:rsidRDefault="0013116F" w:rsidP="004A326E">
      <w:pPr>
        <w:pStyle w:val="a9"/>
      </w:pPr>
      <w:r>
        <w:rPr>
          <w:rStyle w:val="ab"/>
        </w:rPr>
        <w:footnoteRef/>
      </w:r>
      <w:r>
        <w:rPr>
          <w:rtl/>
        </w:rPr>
        <w:t xml:space="preserve"> </w:t>
      </w:r>
      <w:r w:rsidRPr="007007AD">
        <w:rPr>
          <w:rFonts w:cs="Arial"/>
          <w:rtl/>
        </w:rPr>
        <w:t>באין לשמוע הדרשה בכל שבת אין אומרים לו בא ביום שני לדין דממנע ולא אתי לכלה</w:t>
      </w:r>
      <w:r>
        <w:rPr>
          <w:rFonts w:cs="Arial" w:hint="cs"/>
          <w:rtl/>
        </w:rPr>
        <w:t>, רש"י</w:t>
      </w:r>
      <w:r w:rsidRPr="007007AD">
        <w:rPr>
          <w:rFonts w:cs="Arial"/>
          <w:rtl/>
        </w:rPr>
        <w:t>.</w:t>
      </w:r>
    </w:p>
  </w:footnote>
  <w:footnote w:id="245">
    <w:p w14:paraId="5F9B6AE9" w14:textId="77777777" w:rsidR="0013116F" w:rsidRDefault="0013116F" w:rsidP="004A326E">
      <w:pPr>
        <w:pStyle w:val="a9"/>
        <w:rPr>
          <w:rtl/>
        </w:rPr>
      </w:pPr>
      <w:r>
        <w:rPr>
          <w:rStyle w:val="ab"/>
        </w:rPr>
        <w:footnoteRef/>
      </w:r>
      <w:r>
        <w:rPr>
          <w:rtl/>
        </w:rPr>
        <w:t xml:space="preserve"> </w:t>
      </w:r>
      <w:r w:rsidRPr="007007AD">
        <w:rPr>
          <w:rFonts w:cs="Arial"/>
          <w:rtl/>
        </w:rPr>
        <w:t>באין לשמוע הלכות הרגל קודם הרגל ל' יום</w:t>
      </w:r>
      <w:r>
        <w:rPr>
          <w:rFonts w:cs="Arial" w:hint="cs"/>
          <w:rtl/>
        </w:rPr>
        <w:t>, רש"י</w:t>
      </w:r>
      <w:r w:rsidRPr="007007AD">
        <w:rPr>
          <w:rFonts w:cs="Arial"/>
          <w:rtl/>
        </w:rPr>
        <w:t>.</w:t>
      </w:r>
    </w:p>
  </w:footnote>
  <w:footnote w:id="246">
    <w:p w14:paraId="68615218" w14:textId="77777777" w:rsidR="0013116F" w:rsidRDefault="0013116F" w:rsidP="004A326E">
      <w:pPr>
        <w:pStyle w:val="a9"/>
      </w:pPr>
      <w:r>
        <w:rPr>
          <w:rStyle w:val="ab"/>
        </w:rPr>
        <w:footnoteRef/>
      </w:r>
      <w:r>
        <w:rPr>
          <w:rtl/>
        </w:rPr>
        <w:t xml:space="preserve"> </w:t>
      </w:r>
      <w:r w:rsidRPr="007007AD">
        <w:rPr>
          <w:rFonts w:cs="Arial"/>
          <w:rtl/>
        </w:rPr>
        <w:t>תובעין לקמיה דרב נחמן ביום כלה להזמין בעלי דינין לדין</w:t>
      </w:r>
      <w:r>
        <w:rPr>
          <w:rFonts w:cs="Arial" w:hint="cs"/>
          <w:rtl/>
        </w:rPr>
        <w:t>, רש"י</w:t>
      </w:r>
      <w:r w:rsidRPr="007007AD">
        <w:rPr>
          <w:rFonts w:cs="Arial"/>
          <w:rtl/>
        </w:rPr>
        <w:t>.</w:t>
      </w:r>
    </w:p>
  </w:footnote>
  <w:footnote w:id="247">
    <w:p w14:paraId="789760AC" w14:textId="77777777" w:rsidR="0013116F" w:rsidRDefault="0013116F" w:rsidP="004A326E">
      <w:pPr>
        <w:pStyle w:val="a9"/>
      </w:pPr>
      <w:r>
        <w:rPr>
          <w:rStyle w:val="ab"/>
        </w:rPr>
        <w:footnoteRef/>
      </w:r>
      <w:r>
        <w:rPr>
          <w:rtl/>
        </w:rPr>
        <w:t xml:space="preserve"> </w:t>
      </w:r>
      <w:r w:rsidRPr="007007AD">
        <w:rPr>
          <w:rFonts w:cs="Arial"/>
          <w:rtl/>
        </w:rPr>
        <w:t>לצורך דינכם הקהלתי אתכם</w:t>
      </w:r>
      <w:r>
        <w:rPr>
          <w:rFonts w:cs="Arial" w:hint="cs"/>
          <w:rtl/>
        </w:rPr>
        <w:t>, רש"י</w:t>
      </w:r>
      <w:r w:rsidRPr="007007AD">
        <w:rPr>
          <w:rFonts w:cs="Arial"/>
          <w:rtl/>
        </w:rPr>
        <w:t>.</w:t>
      </w:r>
    </w:p>
  </w:footnote>
  <w:footnote w:id="248">
    <w:p w14:paraId="62648D49" w14:textId="77777777" w:rsidR="0013116F" w:rsidRDefault="0013116F" w:rsidP="00A20C1B">
      <w:pPr>
        <w:pStyle w:val="a9"/>
      </w:pPr>
      <w:r>
        <w:rPr>
          <w:rStyle w:val="ab"/>
        </w:rPr>
        <w:footnoteRef/>
      </w:r>
      <w:r>
        <w:rPr>
          <w:rtl/>
        </w:rPr>
        <w:t xml:space="preserve"> </w:t>
      </w:r>
      <w:r>
        <w:rPr>
          <w:rFonts w:hint="cs"/>
          <w:rtl/>
        </w:rPr>
        <w:t xml:space="preserve">את סיום דברי הגמרא הללו לא העתיקו הרי"ף הרמב"ם והרא"ש, אבל בה"ג </w:t>
      </w:r>
      <w:r w:rsidRPr="00A20C1B">
        <w:rPr>
          <w:rFonts w:hint="cs"/>
          <w:sz w:val="16"/>
          <w:szCs w:val="16"/>
          <w:rtl/>
        </w:rPr>
        <w:t xml:space="preserve">(סי' מג, הל' ב"ק עמ' תנח בסוף הדיבור הראשון) </w:t>
      </w:r>
      <w:r>
        <w:rPr>
          <w:rFonts w:hint="cs"/>
          <w:rtl/>
        </w:rPr>
        <w:t>העתיק את דברי הגמרא. ועיין לקמן בדברי הרמ"ה והמאירי שהביא בשטמ"ק.</w:t>
      </w:r>
    </w:p>
    <w:p w14:paraId="468D0B73" w14:textId="77777777" w:rsidR="0013116F" w:rsidRDefault="0013116F" w:rsidP="00A20C1B">
      <w:pPr>
        <w:pStyle w:val="a9"/>
        <w:rPr>
          <w:rtl/>
        </w:rPr>
      </w:pPr>
    </w:p>
  </w:footnote>
  <w:footnote w:id="249">
    <w:p w14:paraId="2BFD2421" w14:textId="77777777" w:rsidR="0013116F" w:rsidRDefault="0013116F" w:rsidP="004A326E">
      <w:pPr>
        <w:pStyle w:val="a9"/>
      </w:pPr>
      <w:r>
        <w:rPr>
          <w:rStyle w:val="ab"/>
        </w:rPr>
        <w:footnoteRef/>
      </w:r>
      <w:r>
        <w:rPr>
          <w:rtl/>
        </w:rPr>
        <w:t xml:space="preserve"> </w:t>
      </w:r>
      <w:r w:rsidRPr="00495806">
        <w:rPr>
          <w:rFonts w:cs="Arial"/>
          <w:rtl/>
        </w:rPr>
        <w:t>ונראה דעל כרחך צריך לומר כן</w:t>
      </w:r>
      <w:r>
        <w:rPr>
          <w:rFonts w:cs="Arial" w:hint="cs"/>
          <w:rtl/>
        </w:rPr>
        <w:t>,</w:t>
      </w:r>
      <w:r w:rsidRPr="00495806">
        <w:rPr>
          <w:rFonts w:cs="Arial"/>
          <w:rtl/>
        </w:rPr>
        <w:t xml:space="preserve"> מדתניא בפרק אלו מגלחין (מו"ק יד:) דנין דיני נפשות ודיני ממונות ודיני מכות בחול המועד ופסקוה הפוסקים</w:t>
      </w:r>
      <w:r w:rsidRPr="00495806">
        <w:rPr>
          <w:rFonts w:cs="Arial" w:hint="cs"/>
          <w:rtl/>
        </w:rPr>
        <w:t>, ב"י</w:t>
      </w:r>
      <w:r>
        <w:rPr>
          <w:rFonts w:cs="Arial" w:hint="cs"/>
          <w:rtl/>
        </w:rPr>
        <w:t>.</w:t>
      </w:r>
    </w:p>
  </w:footnote>
  <w:footnote w:id="250">
    <w:p w14:paraId="295FC84D" w14:textId="77777777" w:rsidR="0013116F" w:rsidRDefault="0013116F">
      <w:pPr>
        <w:pStyle w:val="a9"/>
      </w:pPr>
      <w:r>
        <w:rPr>
          <w:rStyle w:val="ab"/>
        </w:rPr>
        <w:footnoteRef/>
      </w:r>
      <w:r>
        <w:rPr>
          <w:rtl/>
        </w:rPr>
        <w:t xml:space="preserve"> </w:t>
      </w:r>
      <w:r>
        <w:rPr>
          <w:rFonts w:cs="Arial" w:hint="cs"/>
          <w:rtl/>
        </w:rPr>
        <w:t>וז"ל-</w:t>
      </w:r>
      <w:r>
        <w:rPr>
          <w:rFonts w:cs="Arial"/>
          <w:rtl/>
        </w:rPr>
        <w:t xml:space="preserve"> בני אדם הבאין בעיר בערבי שבתות וקובעין שבתן לשם כדי לשמוע דרשא של שבת או הלכות הרגלים</w:t>
      </w:r>
      <w:r>
        <w:rPr>
          <w:rFonts w:cs="Arial" w:hint="cs"/>
          <w:rtl/>
        </w:rPr>
        <w:t>,</w:t>
      </w:r>
      <w:r>
        <w:rPr>
          <w:rFonts w:cs="Arial"/>
          <w:rtl/>
        </w:rPr>
        <w:t xml:space="preserve"> ובא אחר וקבל על אחד מהם אין מזמינין אותו לדין באותו מקום</w:t>
      </w:r>
      <w:r>
        <w:rPr>
          <w:rFonts w:cs="Arial" w:hint="cs"/>
          <w:rtl/>
        </w:rPr>
        <w:t>,</w:t>
      </w:r>
      <w:r>
        <w:rPr>
          <w:rFonts w:cs="Arial"/>
          <w:rtl/>
        </w:rPr>
        <w:t xml:space="preserve"> שלוחי מצוה אין נזוקין. ואם נראה לבית דין שזהו זיוף ומיחסין ביאתן לכך כדי להשמט מבעלי חובותיהן חוששין לכך ועושין כפי מה שיראה להם.</w:t>
      </w:r>
    </w:p>
  </w:footnote>
  <w:footnote w:id="251">
    <w:p w14:paraId="5A94024B" w14:textId="77777777" w:rsidR="0013116F" w:rsidRDefault="0013116F">
      <w:pPr>
        <w:pStyle w:val="a9"/>
      </w:pPr>
      <w:r>
        <w:rPr>
          <w:rStyle w:val="ab"/>
        </w:rPr>
        <w:footnoteRef/>
      </w:r>
      <w:r>
        <w:rPr>
          <w:rtl/>
        </w:rPr>
        <w:t xml:space="preserve"> </w:t>
      </w:r>
      <w:r>
        <w:rPr>
          <w:rFonts w:hint="cs"/>
          <w:rtl/>
        </w:rPr>
        <w:t xml:space="preserve">סימן </w:t>
      </w:r>
      <w:r>
        <w:rPr>
          <w:rtl/>
        </w:rPr>
        <w:t>–</w:t>
      </w:r>
      <w:r>
        <w:rPr>
          <w:rFonts w:hint="cs"/>
          <w:rtl/>
        </w:rPr>
        <w:t xml:space="preserve"> לא בלילה.</w:t>
      </w:r>
    </w:p>
  </w:footnote>
  <w:footnote w:id="252">
    <w:p w14:paraId="7B28ECA8" w14:textId="77777777" w:rsidR="0013116F" w:rsidRDefault="0013116F" w:rsidP="004A326E">
      <w:pPr>
        <w:pStyle w:val="a9"/>
        <w:rPr>
          <w:rtl/>
        </w:rPr>
      </w:pPr>
      <w:r>
        <w:rPr>
          <w:rStyle w:val="ab"/>
        </w:rPr>
        <w:footnoteRef/>
      </w:r>
      <w:r>
        <w:rPr>
          <w:rtl/>
        </w:rPr>
        <w:t xml:space="preserve"> </w:t>
      </w:r>
      <w:r w:rsidRPr="002A5D6D">
        <w:rPr>
          <w:rFonts w:cs="Arial"/>
          <w:rtl/>
        </w:rPr>
        <w:t>משפט נחלות, דהיינו דיני ממונות ביום</w:t>
      </w:r>
      <w:r>
        <w:rPr>
          <w:rFonts w:cs="Arial" w:hint="cs"/>
          <w:rtl/>
        </w:rPr>
        <w:t>, רש"י</w:t>
      </w:r>
      <w:r w:rsidRPr="002A5D6D">
        <w:rPr>
          <w:rFonts w:cs="Arial"/>
          <w:rtl/>
        </w:rPr>
        <w:t>.</w:t>
      </w:r>
    </w:p>
  </w:footnote>
  <w:footnote w:id="253">
    <w:p w14:paraId="6C0BDB12" w14:textId="77777777" w:rsidR="0013116F" w:rsidRDefault="0013116F" w:rsidP="004A326E">
      <w:pPr>
        <w:pStyle w:val="a9"/>
        <w:rPr>
          <w:rtl/>
        </w:rPr>
      </w:pPr>
      <w:r>
        <w:rPr>
          <w:rStyle w:val="ab"/>
        </w:rPr>
        <w:footnoteRef/>
      </w:r>
      <w:r>
        <w:rPr>
          <w:rtl/>
        </w:rPr>
        <w:t xml:space="preserve"> </w:t>
      </w:r>
      <w:r w:rsidRPr="002A5D6D">
        <w:rPr>
          <w:rFonts w:cs="Arial"/>
          <w:rtl/>
        </w:rPr>
        <w:t>דכתיב ושפטו, ועיקר משפט היינו גמר דין</w:t>
      </w:r>
      <w:r>
        <w:rPr>
          <w:rFonts w:cs="Arial" w:hint="cs"/>
          <w:rtl/>
        </w:rPr>
        <w:t>, רש"י</w:t>
      </w:r>
      <w:r w:rsidRPr="002A5D6D">
        <w:rPr>
          <w:rFonts w:cs="Arial"/>
          <w:rtl/>
        </w:rPr>
        <w:t>.</w:t>
      </w:r>
    </w:p>
  </w:footnote>
  <w:footnote w:id="254">
    <w:p w14:paraId="1DE02D10" w14:textId="77777777" w:rsidR="0013116F" w:rsidRDefault="0013116F" w:rsidP="004A326E">
      <w:pPr>
        <w:pStyle w:val="a9"/>
        <w:rPr>
          <w:rtl/>
        </w:rPr>
      </w:pPr>
      <w:r>
        <w:rPr>
          <w:rStyle w:val="ab"/>
        </w:rPr>
        <w:footnoteRef/>
      </w:r>
      <w:r>
        <w:rPr>
          <w:rtl/>
        </w:rPr>
        <w:t xml:space="preserve"> </w:t>
      </w:r>
      <w:r w:rsidRPr="00127CD0">
        <w:rPr>
          <w:rFonts w:cs="Arial"/>
          <w:rtl/>
        </w:rPr>
        <w:t>מתוך שאין דיני נפשות נוהגים בזמן הזה סתם רבינו דבריו וכתב אבל אם התחילו ביום גומרין בלילה</w:t>
      </w:r>
      <w:r>
        <w:rPr>
          <w:rFonts w:hint="cs"/>
          <w:rtl/>
        </w:rPr>
        <w:t>, ב"י.</w:t>
      </w:r>
    </w:p>
  </w:footnote>
  <w:footnote w:id="255">
    <w:p w14:paraId="3C2D8B77" w14:textId="77777777" w:rsidR="0013116F" w:rsidRDefault="0013116F" w:rsidP="004A326E">
      <w:pPr>
        <w:pStyle w:val="a9"/>
        <w:rPr>
          <w:rtl/>
        </w:rPr>
      </w:pPr>
      <w:r>
        <w:rPr>
          <w:rStyle w:val="ab"/>
        </w:rPr>
        <w:footnoteRef/>
      </w:r>
      <w:r>
        <w:rPr>
          <w:rtl/>
        </w:rPr>
        <w:t xml:space="preserve"> </w:t>
      </w:r>
      <w:r w:rsidRPr="008B24FB">
        <w:rPr>
          <w:rFonts w:cs="Arial"/>
          <w:rtl/>
        </w:rPr>
        <w:t>וכ</w:t>
      </w:r>
      <w:r>
        <w:rPr>
          <w:rFonts w:cs="Arial" w:hint="cs"/>
          <w:rtl/>
        </w:rPr>
        <w:t>"כ הרמ"א</w:t>
      </w:r>
      <w:r w:rsidRPr="008B24FB">
        <w:rPr>
          <w:rFonts w:cs="Arial"/>
          <w:rtl/>
        </w:rPr>
        <w:t xml:space="preserve"> לקמן סי</w:t>
      </w:r>
      <w:r>
        <w:rPr>
          <w:rFonts w:cs="Arial" w:hint="cs"/>
          <w:rtl/>
        </w:rPr>
        <w:t>'</w:t>
      </w:r>
      <w:r w:rsidRPr="008B24FB">
        <w:rPr>
          <w:rFonts w:cs="Arial"/>
          <w:rtl/>
        </w:rPr>
        <w:t xml:space="preserve"> כח סע</w:t>
      </w:r>
      <w:r>
        <w:rPr>
          <w:rFonts w:cs="Arial" w:hint="cs"/>
          <w:rtl/>
        </w:rPr>
        <w:t>'</w:t>
      </w:r>
      <w:r w:rsidRPr="008B24FB">
        <w:rPr>
          <w:rFonts w:cs="Arial"/>
          <w:rtl/>
        </w:rPr>
        <w:t xml:space="preserve"> כד לענין קבלת עדות בלילה, והוא מדברי רשב"א </w:t>
      </w:r>
      <w:r>
        <w:rPr>
          <w:rFonts w:cs="Arial" w:hint="cs"/>
          <w:sz w:val="16"/>
          <w:szCs w:val="16"/>
          <w:rtl/>
        </w:rPr>
        <w:t>(</w:t>
      </w:r>
      <w:r w:rsidRPr="008B24FB">
        <w:rPr>
          <w:rFonts w:cs="Arial"/>
          <w:sz w:val="16"/>
          <w:szCs w:val="16"/>
          <w:rtl/>
        </w:rPr>
        <w:t>ח"ו סי' ר</w:t>
      </w:r>
      <w:r w:rsidRPr="008B24FB">
        <w:rPr>
          <w:rFonts w:cs="Arial" w:hint="cs"/>
          <w:sz w:val="16"/>
          <w:szCs w:val="16"/>
          <w:rtl/>
        </w:rPr>
        <w:t>,</w:t>
      </w:r>
      <w:r w:rsidRPr="008B24FB">
        <w:rPr>
          <w:rFonts w:cs="Arial"/>
          <w:sz w:val="16"/>
          <w:szCs w:val="16"/>
          <w:rtl/>
        </w:rPr>
        <w:t xml:space="preserve"> ח"ז סי' תסז</w:t>
      </w:r>
      <w:r w:rsidRPr="008B24FB">
        <w:rPr>
          <w:rFonts w:cs="Arial" w:hint="cs"/>
          <w:sz w:val="16"/>
          <w:szCs w:val="16"/>
          <w:rtl/>
        </w:rPr>
        <w:t>)</w:t>
      </w:r>
      <w:r>
        <w:rPr>
          <w:rFonts w:hint="cs"/>
          <w:rtl/>
        </w:rPr>
        <w:t>, סמ"ע (סק"ז).</w:t>
      </w:r>
    </w:p>
  </w:footnote>
  <w:footnote w:id="256">
    <w:p w14:paraId="3A4C271A" w14:textId="77777777" w:rsidR="0013116F" w:rsidRDefault="0013116F">
      <w:pPr>
        <w:pStyle w:val="a9"/>
        <w:rPr>
          <w:rtl/>
        </w:rPr>
      </w:pPr>
      <w:r>
        <w:rPr>
          <w:rStyle w:val="ab"/>
        </w:rPr>
        <w:footnoteRef/>
      </w:r>
      <w:r>
        <w:rPr>
          <w:rtl/>
        </w:rPr>
        <w:t xml:space="preserve"> </w:t>
      </w:r>
      <w:r w:rsidRPr="0044087C">
        <w:rPr>
          <w:rFonts w:cs="Arial"/>
          <w:rtl/>
        </w:rPr>
        <w:t>מניין לך לקרא את הפסוק רק על גמר דין, אולי גם על לשעבר, היינו תחילת דין, מתחילים בלילה</w:t>
      </w:r>
      <w:r>
        <w:rPr>
          <w:rFonts w:hint="cs"/>
          <w:rtl/>
        </w:rPr>
        <w:t>, ידיד נפש.</w:t>
      </w:r>
    </w:p>
  </w:footnote>
  <w:footnote w:id="257">
    <w:p w14:paraId="1684E63E" w14:textId="77777777" w:rsidR="0013116F" w:rsidRDefault="0013116F" w:rsidP="004A326E">
      <w:pPr>
        <w:pStyle w:val="a9"/>
      </w:pPr>
      <w:r>
        <w:rPr>
          <w:rStyle w:val="ab"/>
        </w:rPr>
        <w:footnoteRef/>
      </w:r>
      <w:r>
        <w:rPr>
          <w:rtl/>
        </w:rPr>
        <w:t xml:space="preserve"> </w:t>
      </w:r>
      <w:r>
        <w:rPr>
          <w:rFonts w:hint="cs"/>
          <w:rtl/>
        </w:rPr>
        <w:t>כך צריך ללמוד, ידיד נפש.</w:t>
      </w:r>
    </w:p>
  </w:footnote>
  <w:footnote w:id="258">
    <w:p w14:paraId="03818B2E" w14:textId="77777777" w:rsidR="0013116F" w:rsidRDefault="0013116F" w:rsidP="004A326E">
      <w:pPr>
        <w:pStyle w:val="a9"/>
        <w:rPr>
          <w:rtl/>
        </w:rPr>
      </w:pPr>
      <w:r>
        <w:rPr>
          <w:rStyle w:val="ab"/>
        </w:rPr>
        <w:footnoteRef/>
      </w:r>
      <w:r>
        <w:rPr>
          <w:rtl/>
        </w:rPr>
        <w:t xml:space="preserve"> </w:t>
      </w:r>
      <w:r w:rsidRPr="00E67EFF">
        <w:rPr>
          <w:rFonts w:cs="Arial"/>
          <w:rtl/>
        </w:rPr>
        <w:t>כלומר, דרשה זו אמיתית היא</w:t>
      </w:r>
      <w:r>
        <w:rPr>
          <w:rFonts w:hint="cs"/>
          <w:rtl/>
        </w:rPr>
        <w:t>, ידיד נפש.</w:t>
      </w:r>
    </w:p>
  </w:footnote>
  <w:footnote w:id="259">
    <w:p w14:paraId="1BC50F19" w14:textId="77777777" w:rsidR="0013116F" w:rsidRDefault="0013116F" w:rsidP="004A326E">
      <w:pPr>
        <w:pStyle w:val="a9"/>
        <w:rPr>
          <w:rtl/>
        </w:rPr>
      </w:pPr>
      <w:r>
        <w:rPr>
          <w:rStyle w:val="ab"/>
        </w:rPr>
        <w:footnoteRef/>
      </w:r>
      <w:r>
        <w:rPr>
          <w:rtl/>
        </w:rPr>
        <w:t xml:space="preserve"> </w:t>
      </w:r>
      <w:r>
        <w:rPr>
          <w:rFonts w:hint="cs"/>
          <w:rtl/>
        </w:rPr>
        <w:t>ד</w:t>
      </w:r>
      <w:r w:rsidRPr="004619D3">
        <w:rPr>
          <w:rFonts w:cs="Arial"/>
          <w:rtl/>
        </w:rPr>
        <w:t>גמרא דידן פליגא</w:t>
      </w:r>
      <w:r>
        <w:rPr>
          <w:rFonts w:cs="Arial" w:hint="cs"/>
          <w:rtl/>
        </w:rPr>
        <w:t>,</w:t>
      </w:r>
      <w:r w:rsidRPr="004619D3">
        <w:rPr>
          <w:rFonts w:cs="Arial"/>
          <w:rtl/>
        </w:rPr>
        <w:t xml:space="preserve"> מדאמרינן בפ</w:t>
      </w:r>
      <w:r>
        <w:rPr>
          <w:rFonts w:cs="Arial" w:hint="cs"/>
          <w:rtl/>
        </w:rPr>
        <w:t>"</w:t>
      </w:r>
      <w:r w:rsidRPr="004619D3">
        <w:rPr>
          <w:rFonts w:cs="Arial"/>
          <w:rtl/>
        </w:rPr>
        <w:t>ק דסנהדרין (יא:) אין מקדשין את החדש אלא ביום ואם קדשוהו בלילה אינו מקודש ויליף לה ממשפט מה משפט ביום אף קדוש החדש ביום</w:t>
      </w:r>
      <w:r>
        <w:rPr>
          <w:rFonts w:cs="Arial" w:hint="cs"/>
          <w:rtl/>
        </w:rPr>
        <w:t>,</w:t>
      </w:r>
      <w:r w:rsidRPr="004619D3">
        <w:rPr>
          <w:rFonts w:cs="Arial"/>
          <w:rtl/>
        </w:rPr>
        <w:t xml:space="preserve"> שמע מינה שאם עשו תחלת דין בלילה אינו כלום</w:t>
      </w:r>
      <w:r>
        <w:rPr>
          <w:rFonts w:cs="Arial" w:hint="cs"/>
          <w:rtl/>
        </w:rPr>
        <w:t>.</w:t>
      </w:r>
      <w:r w:rsidRPr="00E67EFF">
        <w:rPr>
          <w:rFonts w:cs="Arial"/>
          <w:rtl/>
        </w:rPr>
        <w:t xml:space="preserve"> והוא הדין קבלת עדות</w:t>
      </w:r>
      <w:r>
        <w:rPr>
          <w:rFonts w:cs="Arial" w:hint="cs"/>
          <w:rtl/>
        </w:rPr>
        <w:t>,</w:t>
      </w:r>
      <w:r w:rsidRPr="00E67EFF">
        <w:rPr>
          <w:rFonts w:cs="Arial"/>
          <w:rtl/>
        </w:rPr>
        <w:t xml:space="preserve"> דאמרינן בפרק ראוהו בית דין (ר"ה כה:) דקבלת עדות בתחלת דין</w:t>
      </w:r>
      <w:r>
        <w:rPr>
          <w:rFonts w:cs="Arial" w:hint="cs"/>
          <w:rtl/>
        </w:rPr>
        <w:t>,</w:t>
      </w:r>
      <w:r w:rsidRPr="00E67EFF">
        <w:rPr>
          <w:rFonts w:cs="Arial"/>
          <w:rtl/>
        </w:rPr>
        <w:t xml:space="preserve"> ועוד אמרינן ביבמות (קד.) חלצה בלילה חליצתה כשרה ורבי אליעזר פוסל ומפרשינן עלה בגמרא מר סבר חליצה בתחלת דין ומר סבר חליצה בגמר דין</w:t>
      </w:r>
      <w:r>
        <w:rPr>
          <w:rFonts w:cs="Arial" w:hint="cs"/>
          <w:rtl/>
        </w:rPr>
        <w:t>, רמב"ן (שם). והרא"ש (ב"ב</w:t>
      </w:r>
      <w:r w:rsidRPr="00C60289">
        <w:rPr>
          <w:rFonts w:cs="Arial"/>
          <w:rtl/>
        </w:rPr>
        <w:t xml:space="preserve"> פ"ח סי' ג</w:t>
      </w:r>
      <w:r>
        <w:rPr>
          <w:rFonts w:cs="Arial" w:hint="cs"/>
          <w:rtl/>
        </w:rPr>
        <w:t xml:space="preserve">) הביא בתחילת דבריו את דברי הרשב"ם ואחר כך הביא את דברי הרמב"ן. </w:t>
      </w:r>
      <w:r>
        <w:rPr>
          <w:rFonts w:hint="cs"/>
          <w:rtl/>
        </w:rPr>
        <w:t xml:space="preserve">וכ' הש"ך (סק"ה) </w:t>
      </w:r>
      <w:r>
        <w:rPr>
          <w:rFonts w:cs="Arial" w:hint="cs"/>
          <w:rtl/>
        </w:rPr>
        <w:t xml:space="preserve">שדעת </w:t>
      </w:r>
      <w:r w:rsidRPr="00C60289">
        <w:rPr>
          <w:rFonts w:cs="Arial"/>
          <w:rtl/>
        </w:rPr>
        <w:t xml:space="preserve">הרא"ש </w:t>
      </w:r>
      <w:r>
        <w:rPr>
          <w:rFonts w:cs="Arial" w:hint="cs"/>
          <w:rtl/>
        </w:rPr>
        <w:t xml:space="preserve">כדעת הרמב"ן. </w:t>
      </w:r>
      <w:r w:rsidRPr="00C60289">
        <w:rPr>
          <w:rFonts w:cs="Arial"/>
          <w:rtl/>
        </w:rPr>
        <w:t>ו</w:t>
      </w:r>
      <w:r>
        <w:rPr>
          <w:rFonts w:cs="Arial" w:hint="cs"/>
          <w:rtl/>
        </w:rPr>
        <w:t>כתב עוד שגם דעת ה</w:t>
      </w:r>
      <w:r w:rsidRPr="00C60289">
        <w:rPr>
          <w:rFonts w:cs="Arial"/>
          <w:rtl/>
        </w:rPr>
        <w:t>כס</w:t>
      </w:r>
      <w:r>
        <w:rPr>
          <w:rFonts w:cs="Arial" w:hint="cs"/>
          <w:rtl/>
        </w:rPr>
        <w:t>"מ (</w:t>
      </w:r>
      <w:r w:rsidRPr="00C60289">
        <w:rPr>
          <w:rFonts w:cs="Arial"/>
          <w:rtl/>
        </w:rPr>
        <w:t>פ"ג מסנהדרין ה"ד</w:t>
      </w:r>
      <w:r>
        <w:rPr>
          <w:rFonts w:cs="Arial" w:hint="cs"/>
          <w:rtl/>
        </w:rPr>
        <w:t>) כדעת הרמב"ן.</w:t>
      </w:r>
    </w:p>
  </w:footnote>
  <w:footnote w:id="260">
    <w:p w14:paraId="71E0EC13" w14:textId="77777777" w:rsidR="0013116F" w:rsidRDefault="0013116F" w:rsidP="00DA06AC">
      <w:pPr>
        <w:pStyle w:val="a9"/>
      </w:pPr>
      <w:r>
        <w:rPr>
          <w:rStyle w:val="ab"/>
        </w:rPr>
        <w:footnoteRef/>
      </w:r>
      <w:r>
        <w:rPr>
          <w:rtl/>
        </w:rPr>
        <w:t xml:space="preserve"> </w:t>
      </w:r>
      <w:r w:rsidRPr="006D0982">
        <w:rPr>
          <w:rFonts w:cs="Arial"/>
          <w:rtl/>
        </w:rPr>
        <w:t xml:space="preserve">דוקא לדון אסור, אבל לקבל טענותיהן ולפסוק הדין אחר השבת ויו"ט מותר מצד הדיינים, כ"כ ר"ן ריש כתובות </w:t>
      </w:r>
      <w:r w:rsidRPr="00134C16">
        <w:rPr>
          <w:rFonts w:cs="Arial"/>
          <w:sz w:val="16"/>
          <w:szCs w:val="16"/>
          <w:rtl/>
        </w:rPr>
        <w:t>[א</w:t>
      </w:r>
      <w:r w:rsidRPr="00134C16">
        <w:rPr>
          <w:rFonts w:cs="Arial" w:hint="cs"/>
          <w:sz w:val="16"/>
          <w:szCs w:val="16"/>
          <w:rtl/>
        </w:rPr>
        <w:t>.</w:t>
      </w:r>
      <w:r w:rsidRPr="00134C16">
        <w:rPr>
          <w:rFonts w:cs="Arial"/>
          <w:sz w:val="16"/>
          <w:szCs w:val="16"/>
          <w:rtl/>
        </w:rPr>
        <w:t xml:space="preserve"> מדפ</w:t>
      </w:r>
      <w:r w:rsidRPr="00134C16">
        <w:rPr>
          <w:rFonts w:cs="Arial" w:hint="cs"/>
          <w:sz w:val="16"/>
          <w:szCs w:val="16"/>
          <w:rtl/>
        </w:rPr>
        <w:t>ה"ר</w:t>
      </w:r>
      <w:r w:rsidRPr="00134C16">
        <w:rPr>
          <w:rFonts w:cs="Arial"/>
          <w:sz w:val="16"/>
          <w:szCs w:val="16"/>
          <w:rtl/>
        </w:rPr>
        <w:t>]</w:t>
      </w:r>
      <w:r w:rsidRPr="006D0982">
        <w:rPr>
          <w:rFonts w:cs="Arial"/>
          <w:rtl/>
        </w:rPr>
        <w:t>, אלא שאינו יכול לכפות הבעל דין שיבוא</w:t>
      </w:r>
      <w:r>
        <w:rPr>
          <w:rFonts w:cs="Arial" w:hint="cs"/>
          <w:rtl/>
        </w:rPr>
        <w:t>,</w:t>
      </w:r>
      <w:r w:rsidRPr="006D0982">
        <w:rPr>
          <w:rFonts w:cs="Arial"/>
          <w:rtl/>
        </w:rPr>
        <w:t xml:space="preserve"> סמ"ע סק</w:t>
      </w:r>
      <w:r>
        <w:rPr>
          <w:rFonts w:cs="Arial" w:hint="cs"/>
          <w:rtl/>
        </w:rPr>
        <w:t>"</w:t>
      </w:r>
      <w:r w:rsidRPr="006D0982">
        <w:rPr>
          <w:rFonts w:cs="Arial"/>
          <w:rtl/>
        </w:rPr>
        <w:t>ג</w:t>
      </w:r>
      <w:r>
        <w:rPr>
          <w:rFonts w:cs="Arial" w:hint="cs"/>
          <w:rtl/>
        </w:rPr>
        <w:t xml:space="preserve">, ש"ך </w:t>
      </w:r>
      <w:r w:rsidRPr="00134C16">
        <w:rPr>
          <w:rFonts w:cs="Arial" w:hint="cs"/>
          <w:sz w:val="16"/>
          <w:szCs w:val="16"/>
          <w:rtl/>
        </w:rPr>
        <w:t>(סק"א)</w:t>
      </w:r>
      <w:r>
        <w:rPr>
          <w:rFonts w:cs="Arial" w:hint="cs"/>
          <w:rtl/>
        </w:rPr>
        <w:t>.</w:t>
      </w:r>
      <w:r w:rsidRPr="00134C16">
        <w:rPr>
          <w:rtl/>
        </w:rPr>
        <w:t xml:space="preserve"> </w:t>
      </w:r>
    </w:p>
  </w:footnote>
  <w:footnote w:id="261">
    <w:p w14:paraId="5CCD855E" w14:textId="77777777" w:rsidR="0013116F" w:rsidRDefault="0013116F" w:rsidP="004A326E">
      <w:pPr>
        <w:pStyle w:val="a9"/>
      </w:pPr>
      <w:r>
        <w:rPr>
          <w:rStyle w:val="ab"/>
        </w:rPr>
        <w:footnoteRef/>
      </w:r>
      <w:r>
        <w:rPr>
          <w:rtl/>
        </w:rPr>
        <w:t xml:space="preserve"> </w:t>
      </w:r>
      <w:r w:rsidRPr="00134C16">
        <w:rPr>
          <w:rFonts w:cs="Arial"/>
          <w:rtl/>
        </w:rPr>
        <w:t xml:space="preserve">כתב הסמ"ע </w:t>
      </w:r>
      <w:r w:rsidRPr="00134C16">
        <w:rPr>
          <w:rFonts w:cs="Arial"/>
          <w:sz w:val="16"/>
          <w:szCs w:val="16"/>
          <w:rtl/>
        </w:rPr>
        <w:t>(</w:t>
      </w:r>
      <w:r w:rsidRPr="00134C16">
        <w:rPr>
          <w:rFonts w:cs="Arial" w:hint="cs"/>
          <w:sz w:val="16"/>
          <w:szCs w:val="16"/>
          <w:rtl/>
        </w:rPr>
        <w:t>סק"ג</w:t>
      </w:r>
      <w:r w:rsidRPr="00134C16">
        <w:rPr>
          <w:rFonts w:cs="Arial"/>
          <w:sz w:val="16"/>
          <w:szCs w:val="16"/>
          <w:rtl/>
        </w:rPr>
        <w:t xml:space="preserve">) </w:t>
      </w:r>
      <w:r w:rsidRPr="00134C16">
        <w:rPr>
          <w:rFonts w:cs="Arial"/>
          <w:rtl/>
        </w:rPr>
        <w:t>הטעם דאין דנין בער"ש ועיו</w:t>
      </w:r>
      <w:r>
        <w:rPr>
          <w:rFonts w:cs="Arial" w:hint="cs"/>
          <w:rtl/>
        </w:rPr>
        <w:t>"</w:t>
      </w:r>
      <w:r w:rsidRPr="00134C16">
        <w:rPr>
          <w:rFonts w:cs="Arial"/>
          <w:rtl/>
        </w:rPr>
        <w:t xml:space="preserve">ט דמשום טרדת הכנה לשבת ויו"ט ימהרו הדיינים לפסוק ואולי יטעו, וכבר אמרו </w:t>
      </w:r>
      <w:r w:rsidRPr="00134C16">
        <w:rPr>
          <w:rFonts w:cs="Arial"/>
          <w:sz w:val="16"/>
          <w:szCs w:val="16"/>
          <w:rtl/>
        </w:rPr>
        <w:t xml:space="preserve">(אבות פ"א מ"א) </w:t>
      </w:r>
      <w:r w:rsidRPr="00134C16">
        <w:rPr>
          <w:rFonts w:cs="Arial"/>
          <w:rtl/>
        </w:rPr>
        <w:t>הוו מתונים בדין, ולכך אף דבעלי דינים מרוצים לטעון לא ידון הדיין מטעם הנ"ל. וכוונתו אם קבלוהו לדון דין תורה, אבל אם קבלוהו לדון הן לדין הן לטעות פשיטא דיכולים לדון דאף אם יטעה הרי קבלוהו עליהם. וכ"כ הסמ"ע בסק</w:t>
      </w:r>
      <w:r>
        <w:rPr>
          <w:rFonts w:cs="Arial" w:hint="cs"/>
          <w:rtl/>
        </w:rPr>
        <w:t>"</w:t>
      </w:r>
      <w:r w:rsidRPr="00134C16">
        <w:rPr>
          <w:rFonts w:cs="Arial"/>
          <w:rtl/>
        </w:rPr>
        <w:t>ז גבי לדון בלילה ע"ש. ונראה דאם התחילו לדון בחמישי ועשו הלנת דין דמותר לגמור בער"ש דתו לא שייך הוו מתונים בדין, דכיון דכבר עשו הלנה מאתמול להיום והרי הם מתונים</w:t>
      </w:r>
      <w:r>
        <w:rPr>
          <w:rFonts w:hint="cs"/>
          <w:rtl/>
        </w:rPr>
        <w:t>, אורים</w:t>
      </w:r>
      <w:r w:rsidRPr="00134C16">
        <w:rPr>
          <w:rFonts w:hint="cs"/>
          <w:sz w:val="16"/>
          <w:szCs w:val="16"/>
          <w:rtl/>
        </w:rPr>
        <w:t xml:space="preserve"> (סק"ב)</w:t>
      </w:r>
      <w:r>
        <w:rPr>
          <w:rFonts w:hint="cs"/>
          <w:rtl/>
        </w:rPr>
        <w:t>.</w:t>
      </w:r>
    </w:p>
  </w:footnote>
  <w:footnote w:id="262">
    <w:p w14:paraId="538259B7" w14:textId="77777777" w:rsidR="0013116F" w:rsidRDefault="0013116F" w:rsidP="004A326E">
      <w:pPr>
        <w:pStyle w:val="a9"/>
        <w:rPr>
          <w:rtl/>
        </w:rPr>
      </w:pPr>
      <w:r>
        <w:rPr>
          <w:rStyle w:val="ab"/>
        </w:rPr>
        <w:footnoteRef/>
      </w:r>
      <w:r>
        <w:rPr>
          <w:rtl/>
        </w:rPr>
        <w:t xml:space="preserve"> </w:t>
      </w:r>
      <w:r w:rsidRPr="006D0982">
        <w:rPr>
          <w:rFonts w:cs="Arial"/>
          <w:rtl/>
        </w:rPr>
        <w:t>שיוכל להתנצל ולומר מפני טרדות שבת שכחתי שהזמינו אותי, עכ"ל סמ"ע [סק"ד]</w:t>
      </w:r>
      <w:r>
        <w:rPr>
          <w:rFonts w:hint="cs"/>
          <w:rtl/>
        </w:rPr>
        <w:t>, ש"ך (סק"ב).</w:t>
      </w:r>
    </w:p>
  </w:footnote>
  <w:footnote w:id="263">
    <w:p w14:paraId="4AB890E7" w14:textId="77777777" w:rsidR="0013116F" w:rsidRDefault="0013116F" w:rsidP="004A326E">
      <w:pPr>
        <w:pStyle w:val="a9"/>
      </w:pPr>
      <w:r>
        <w:rPr>
          <w:rStyle w:val="ab"/>
        </w:rPr>
        <w:footnoteRef/>
      </w:r>
      <w:r>
        <w:rPr>
          <w:rtl/>
        </w:rPr>
        <w:t xml:space="preserve"> </w:t>
      </w:r>
      <w:r w:rsidRPr="00134C16">
        <w:rPr>
          <w:rFonts w:cs="Arial"/>
          <w:rtl/>
        </w:rPr>
        <w:t>כלומר בניסן ותשרי עד אחר הרגל מפני טרדות המועדות, אבל אח"כ קובעין. וכן משמע ממ"ש הגה</w:t>
      </w:r>
      <w:r>
        <w:rPr>
          <w:rFonts w:cs="Arial" w:hint="cs"/>
          <w:rtl/>
        </w:rPr>
        <w:t>"</w:t>
      </w:r>
      <w:r w:rsidRPr="00134C16">
        <w:rPr>
          <w:rFonts w:cs="Arial"/>
          <w:rtl/>
        </w:rPr>
        <w:t>מ ומרדכי והר"ב בסמוך קבעינן להו זימנא אחר הרגל כו'. וכתב סמ"ע [סק"ה], ודוקא בניסן ותשרי, אבל בסיון קובעין מפני שאין בו יום טוב אלא יום אחד בא"י ובחו"ל ב' ימים, ובערב שבועות פשיטא דאין קובעין דהוא עיו"ט, עכ"ל סמ"ע. וכ"כ בעיר שושן [סעיף ב']</w:t>
      </w:r>
      <w:r>
        <w:rPr>
          <w:rFonts w:cs="Arial" w:hint="cs"/>
          <w:rtl/>
        </w:rPr>
        <w:t>, ש"ך (סק"ג).</w:t>
      </w:r>
    </w:p>
  </w:footnote>
  <w:footnote w:id="264">
    <w:p w14:paraId="259BDC70" w14:textId="77777777" w:rsidR="0013116F" w:rsidRDefault="0013116F" w:rsidP="004A326E">
      <w:pPr>
        <w:pStyle w:val="a9"/>
      </w:pPr>
      <w:r>
        <w:rPr>
          <w:rStyle w:val="ab"/>
        </w:rPr>
        <w:footnoteRef/>
      </w:r>
      <w:r>
        <w:rPr>
          <w:rtl/>
        </w:rPr>
        <w:t xml:space="preserve"> </w:t>
      </w:r>
      <w:r w:rsidRPr="00134C16">
        <w:rPr>
          <w:rFonts w:cs="Arial"/>
          <w:rtl/>
        </w:rPr>
        <w:t>דקדק וכתב למי שאינו בעיר דאינו מחויב לבוא מעיר לעיר, הא אם הוא בעיר דנין אותו, וכ</w:t>
      </w:r>
      <w:r>
        <w:rPr>
          <w:rFonts w:cs="Arial" w:hint="cs"/>
          <w:rtl/>
        </w:rPr>
        <w:t>"</w:t>
      </w:r>
      <w:r w:rsidRPr="00134C16">
        <w:rPr>
          <w:rFonts w:cs="Arial"/>
          <w:rtl/>
        </w:rPr>
        <w:t>כ הטור בשם הרמ"ה, ומינה דאם רצו הבעלי דינים לבוא מעיר לעיר ולדון, שדנין אותן בכל החודש זולתי בעיו</w:t>
      </w:r>
      <w:r>
        <w:rPr>
          <w:rFonts w:cs="Arial" w:hint="cs"/>
          <w:rtl/>
        </w:rPr>
        <w:t>"</w:t>
      </w:r>
      <w:r w:rsidRPr="00134C16">
        <w:rPr>
          <w:rFonts w:cs="Arial"/>
          <w:rtl/>
        </w:rPr>
        <w:t>ט, דבשאר ימים אין איסור מצד הדיינים</w:t>
      </w:r>
      <w:r>
        <w:rPr>
          <w:rFonts w:cs="Arial" w:hint="cs"/>
          <w:rtl/>
        </w:rPr>
        <w:t>, סמ"ע</w:t>
      </w:r>
      <w:r w:rsidRPr="00134C16">
        <w:rPr>
          <w:rFonts w:cs="Arial" w:hint="cs"/>
          <w:sz w:val="16"/>
          <w:szCs w:val="16"/>
          <w:rtl/>
        </w:rPr>
        <w:t xml:space="preserve"> (סק"ו)</w:t>
      </w:r>
      <w:r>
        <w:rPr>
          <w:rFonts w:cs="Arial" w:hint="cs"/>
          <w:rtl/>
        </w:rPr>
        <w:t>.</w:t>
      </w:r>
    </w:p>
  </w:footnote>
  <w:footnote w:id="265">
    <w:p w14:paraId="67648B74" w14:textId="77777777" w:rsidR="0013116F" w:rsidRDefault="0013116F" w:rsidP="004A326E">
      <w:pPr>
        <w:pStyle w:val="a9"/>
        <w:rPr>
          <w:rtl/>
        </w:rPr>
      </w:pPr>
      <w:r>
        <w:rPr>
          <w:rStyle w:val="ab"/>
        </w:rPr>
        <w:footnoteRef/>
      </w:r>
      <w:r>
        <w:rPr>
          <w:rtl/>
        </w:rPr>
        <w:t xml:space="preserve"> </w:t>
      </w:r>
      <w:r w:rsidRPr="00134C16">
        <w:rPr>
          <w:rFonts w:cs="Arial"/>
          <w:rtl/>
        </w:rPr>
        <w:t>עיין בטור או"ח ובשו"ע בסוף סימן תקמ"ה שסתם המחבר וכתב דמותר לקבול בשביל חובותיו בחוה"מ, והוא ג"כ מהמרדכי [מו"ק סי' תתנ"ה], ולא כתב עליו מור"ם מידי. וצ"ל דהתם מיירי בענין דמותר לקבול בניסן כגון שהיה הבעל דין מבני העיר, או שראו הב"ד דחיה ורמאות, ובא ללמדנו שם דאין למנוע מלקבול משום איסור מועד</w:t>
      </w:r>
      <w:r>
        <w:rPr>
          <w:rFonts w:hint="cs"/>
          <w:rtl/>
        </w:rPr>
        <w:t>, סמ"ע (סק"ו*).</w:t>
      </w:r>
    </w:p>
  </w:footnote>
  <w:footnote w:id="266">
    <w:p w14:paraId="1746C805" w14:textId="77777777" w:rsidR="0013116F" w:rsidRDefault="0013116F">
      <w:pPr>
        <w:pStyle w:val="a9"/>
      </w:pPr>
      <w:r>
        <w:rPr>
          <w:rStyle w:val="ab"/>
        </w:rPr>
        <w:footnoteRef/>
      </w:r>
      <w:r>
        <w:rPr>
          <w:rtl/>
        </w:rPr>
        <w:t xml:space="preserve"> </w:t>
      </w:r>
      <w:r>
        <w:rPr>
          <w:rFonts w:hint="cs"/>
          <w:rtl/>
        </w:rPr>
        <w:t>ומלבד הש"ך שחלק על הסמ"ע,</w:t>
      </w:r>
      <w:r w:rsidRPr="00E80101">
        <w:rPr>
          <w:rtl/>
        </w:rPr>
        <w:t xml:space="preserve"> </w:t>
      </w:r>
      <w:r>
        <w:rPr>
          <w:rFonts w:hint="cs"/>
          <w:rtl/>
        </w:rPr>
        <w:t xml:space="preserve">גם </w:t>
      </w:r>
      <w:r w:rsidRPr="00E80101">
        <w:rPr>
          <w:rFonts w:cs="Arial"/>
          <w:rtl/>
        </w:rPr>
        <w:t>בתומים (שם, ס"ק ג אורים ס"ק ז) כתב שאין לדין הסמ"ע שורש בגמרא וכן השיגו על הסמ"ע כל האחרונים - עיין פנים מאירות (ח"ג סי' לט) ושבות יעקב (ח"א סימן קלא) נודע ביהודא מהד"ק (אהע"ז סימן נח).</w:t>
      </w:r>
    </w:p>
  </w:footnote>
  <w:footnote w:id="267">
    <w:p w14:paraId="11742A5B" w14:textId="77777777" w:rsidR="0013116F" w:rsidRDefault="0013116F">
      <w:pPr>
        <w:pStyle w:val="a9"/>
        <w:rPr>
          <w:rtl/>
        </w:rPr>
      </w:pPr>
      <w:r>
        <w:rPr>
          <w:rStyle w:val="ab"/>
        </w:rPr>
        <w:footnoteRef/>
      </w:r>
      <w:r>
        <w:rPr>
          <w:rtl/>
        </w:rPr>
        <w:t xml:space="preserve"> </w:t>
      </w:r>
      <w:r>
        <w:rPr>
          <w:rFonts w:hint="cs"/>
          <w:rtl/>
        </w:rPr>
        <w:t xml:space="preserve">סימן </w:t>
      </w:r>
      <w:r>
        <w:rPr>
          <w:rtl/>
        </w:rPr>
        <w:t>–</w:t>
      </w:r>
      <w:r>
        <w:rPr>
          <w:rFonts w:hint="cs"/>
          <w:rtl/>
        </w:rPr>
        <w:t xml:space="preserve"> יפקון ישיבה.</w:t>
      </w:r>
    </w:p>
  </w:footnote>
  <w:footnote w:id="268">
    <w:p w14:paraId="3089A3ED" w14:textId="77777777" w:rsidR="0013116F" w:rsidRDefault="0013116F" w:rsidP="004A326E">
      <w:pPr>
        <w:pStyle w:val="a9"/>
      </w:pPr>
      <w:r>
        <w:rPr>
          <w:rStyle w:val="ab"/>
        </w:rPr>
        <w:footnoteRef/>
      </w:r>
      <w:r>
        <w:rPr>
          <w:rtl/>
        </w:rPr>
        <w:t xml:space="preserve"> </w:t>
      </w:r>
      <w:r>
        <w:rPr>
          <w:rFonts w:hint="cs"/>
          <w:rtl/>
        </w:rPr>
        <w:t>ותמה עליו הב"י. והסמ"ע (סק"י) כתב ליישב את דברי הרמב"ם</w:t>
      </w:r>
      <w:r w:rsidRPr="008125FC">
        <w:rPr>
          <w:rtl/>
        </w:rPr>
        <w:t xml:space="preserve"> </w:t>
      </w:r>
      <w:r w:rsidRPr="008125FC">
        <w:rPr>
          <w:rFonts w:cs="Arial"/>
          <w:rtl/>
        </w:rPr>
        <w:t>והטור, שהרי דקדקו וכתבו עד חצי היום או עד סוף שעה ששית, ורצה לומר עד ולא עד בכלל, והיינו שישבו עד קרוב לסוף שעה ששית באופן שיוכלו להתחיל בסעודתן בסוף השעה</w:t>
      </w:r>
      <w:r>
        <w:rPr>
          <w:rFonts w:cs="Arial" w:hint="cs"/>
          <w:rtl/>
        </w:rPr>
        <w:t>,</w:t>
      </w:r>
      <w:r w:rsidRPr="008125FC">
        <w:rPr>
          <w:rFonts w:cs="Arial"/>
          <w:rtl/>
        </w:rPr>
        <w:t xml:space="preserve"> ועיקר הסעודה יאכלו בשעה השביעית, ואותה ההתחלה שיתחילו לאכול בסוף שעה ששית לא גרע מטעימה שאמרו [שם] ואי טעים מידי לית לן בה</w:t>
      </w:r>
      <w:r>
        <w:rPr>
          <w:rFonts w:cs="Arial" w:hint="cs"/>
          <w:rtl/>
        </w:rPr>
        <w:t>.</w:t>
      </w:r>
    </w:p>
  </w:footnote>
  <w:footnote w:id="269">
    <w:p w14:paraId="2B627DC9" w14:textId="77777777" w:rsidR="0013116F" w:rsidRDefault="0013116F" w:rsidP="004A326E">
      <w:pPr>
        <w:pStyle w:val="a9"/>
        <w:rPr>
          <w:rtl/>
        </w:rPr>
      </w:pPr>
      <w:r>
        <w:rPr>
          <w:rStyle w:val="ab"/>
        </w:rPr>
        <w:footnoteRef/>
      </w:r>
      <w:r>
        <w:rPr>
          <w:rtl/>
        </w:rPr>
        <w:t xml:space="preserve"> </w:t>
      </w:r>
      <w:r w:rsidRPr="00127CD0">
        <w:rPr>
          <w:rFonts w:cs="Arial"/>
          <w:rtl/>
        </w:rPr>
        <w:t>ויש לתמוה על רבינו למה כתב עד חצי היום דמשמע עד סוף שעה ששית ולא הוה ליה לכתוב אלא עד תחלת שעה ששית כדי שיסעדו בששית</w:t>
      </w:r>
      <w:r>
        <w:rPr>
          <w:rFonts w:cs="Arial" w:hint="cs"/>
          <w:rtl/>
        </w:rPr>
        <w:t>, ב"י</w:t>
      </w:r>
      <w:r w:rsidRPr="00127CD0">
        <w:rPr>
          <w:rFonts w:cs="Arial"/>
          <w:rtl/>
        </w:rPr>
        <w:t>.</w:t>
      </w:r>
    </w:p>
  </w:footnote>
  <w:footnote w:id="270">
    <w:p w14:paraId="7C8054D1" w14:textId="77777777" w:rsidR="0013116F" w:rsidRDefault="0013116F" w:rsidP="004A326E">
      <w:pPr>
        <w:pStyle w:val="a9"/>
        <w:rPr>
          <w:rtl/>
        </w:rPr>
      </w:pPr>
      <w:r>
        <w:rPr>
          <w:rStyle w:val="ab"/>
        </w:rPr>
        <w:footnoteRef/>
      </w:r>
      <w:r>
        <w:rPr>
          <w:rtl/>
        </w:rPr>
        <w:t xml:space="preserve"> </w:t>
      </w:r>
      <w:r w:rsidRPr="00B31884">
        <w:rPr>
          <w:rFonts w:cs="Arial"/>
          <w:rtl/>
        </w:rPr>
        <w:t>והסמ"ע [סק"י] כתב עד קרוב לסוף שעה שישית, וכ"כ הב"ח [סעיף ז' ד"ה זמן]</w:t>
      </w:r>
      <w:r>
        <w:rPr>
          <w:rFonts w:hint="cs"/>
          <w:rtl/>
        </w:rPr>
        <w:t>, ש"ך (סק"ו).</w:t>
      </w:r>
    </w:p>
  </w:footnote>
  <w:footnote w:id="271">
    <w:p w14:paraId="6242DD18" w14:textId="77777777" w:rsidR="0013116F" w:rsidRDefault="0013116F">
      <w:pPr>
        <w:pStyle w:val="a9"/>
      </w:pPr>
      <w:r>
        <w:rPr>
          <w:rStyle w:val="ab"/>
        </w:rPr>
        <w:footnoteRef/>
      </w:r>
      <w:r>
        <w:rPr>
          <w:rtl/>
        </w:rPr>
        <w:t xml:space="preserve"> </w:t>
      </w:r>
      <w:r>
        <w:rPr>
          <w:rFonts w:hint="cs"/>
          <w:rtl/>
        </w:rPr>
        <w:t xml:space="preserve">סימן </w:t>
      </w:r>
      <w:r>
        <w:rPr>
          <w:rtl/>
        </w:rPr>
        <w:t>–</w:t>
      </w:r>
      <w:r>
        <w:rPr>
          <w:rFonts w:hint="cs"/>
          <w:rtl/>
        </w:rPr>
        <w:t xml:space="preserve"> טיים טענות.</w:t>
      </w:r>
    </w:p>
  </w:footnote>
  <w:footnote w:id="272">
    <w:p w14:paraId="3A28D5A2" w14:textId="77777777" w:rsidR="0013116F" w:rsidRDefault="0013116F" w:rsidP="004A326E">
      <w:pPr>
        <w:pStyle w:val="a9"/>
      </w:pPr>
      <w:r>
        <w:rPr>
          <w:rStyle w:val="ab"/>
        </w:rPr>
        <w:footnoteRef/>
      </w:r>
      <w:r>
        <w:rPr>
          <w:rtl/>
        </w:rPr>
        <w:t xml:space="preserve"> </w:t>
      </w:r>
      <w:r w:rsidRPr="000957C8">
        <w:rPr>
          <w:rFonts w:cs="Arial"/>
          <w:rtl/>
        </w:rPr>
        <w:t>וטעמא דכולהו משום שמא ימשך עד שיעבור זמן תפלה</w:t>
      </w:r>
      <w:r>
        <w:rPr>
          <w:rFonts w:cs="Arial" w:hint="cs"/>
          <w:rtl/>
        </w:rPr>
        <w:t>, רש"י.</w:t>
      </w:r>
    </w:p>
  </w:footnote>
  <w:footnote w:id="273">
    <w:p w14:paraId="4B98819E" w14:textId="77777777" w:rsidR="0013116F" w:rsidRDefault="0013116F" w:rsidP="004A326E">
      <w:pPr>
        <w:pStyle w:val="a9"/>
      </w:pPr>
      <w:r>
        <w:rPr>
          <w:rStyle w:val="ab"/>
        </w:rPr>
        <w:footnoteRef/>
      </w:r>
      <w:r>
        <w:rPr>
          <w:rtl/>
        </w:rPr>
        <w:t xml:space="preserve"> </w:t>
      </w:r>
      <w:r w:rsidRPr="00BA0BE4">
        <w:rPr>
          <w:rFonts w:cs="Arial"/>
          <w:rtl/>
        </w:rPr>
        <w:t>חתנו של רבי היה, ופזר מעות ללמוד תספורת של כהן גדול</w:t>
      </w:r>
      <w:r w:rsidRPr="00BA0BE4">
        <w:rPr>
          <w:rFonts w:cs="Arial"/>
          <w:sz w:val="16"/>
          <w:szCs w:val="16"/>
          <w:rtl/>
        </w:rPr>
        <w:t xml:space="preserve"> (נדרים נא</w:t>
      </w:r>
      <w:r w:rsidRPr="00BA0BE4">
        <w:rPr>
          <w:rFonts w:cs="Arial" w:hint="cs"/>
          <w:sz w:val="16"/>
          <w:szCs w:val="16"/>
          <w:rtl/>
        </w:rPr>
        <w:t>.</w:t>
      </w:r>
      <w:r w:rsidRPr="00BA0BE4">
        <w:rPr>
          <w:rFonts w:cs="Arial"/>
          <w:sz w:val="16"/>
          <w:szCs w:val="16"/>
          <w:rtl/>
        </w:rPr>
        <w:t>)</w:t>
      </w:r>
      <w:r w:rsidRPr="00BA0BE4">
        <w:rPr>
          <w:rFonts w:cs="Arial"/>
          <w:rtl/>
        </w:rPr>
        <w:t>, שהיה מספר כל ראשו, ולא לגמרי אלא מניח כל השערות קצת, כדי שיהא ראשו של זה בצד עיקרו של זה, והיינו כסום יכסמו את ראשיהם (יחזקאל מד), ומימשיך טובא</w:t>
      </w:r>
      <w:r>
        <w:rPr>
          <w:rFonts w:cs="Arial" w:hint="cs"/>
          <w:rtl/>
        </w:rPr>
        <w:t>, רש"י</w:t>
      </w:r>
      <w:r w:rsidRPr="00BA0BE4">
        <w:rPr>
          <w:rFonts w:cs="Arial"/>
          <w:rtl/>
        </w:rPr>
        <w:t>.</w:t>
      </w:r>
    </w:p>
  </w:footnote>
  <w:footnote w:id="274">
    <w:p w14:paraId="34B1551A" w14:textId="77777777" w:rsidR="0013116F" w:rsidRDefault="0013116F" w:rsidP="004A326E">
      <w:pPr>
        <w:pStyle w:val="a9"/>
      </w:pPr>
      <w:r>
        <w:rPr>
          <w:rStyle w:val="ab"/>
        </w:rPr>
        <w:footnoteRef/>
      </w:r>
      <w:r>
        <w:rPr>
          <w:rtl/>
        </w:rPr>
        <w:t xml:space="preserve"> </w:t>
      </w:r>
      <w:r w:rsidRPr="00BA0BE4">
        <w:rPr>
          <w:rFonts w:cs="Arial"/>
          <w:rtl/>
        </w:rPr>
        <w:t>לחוף ראשו, ולהשתטף בחמין ובצונן, ולהזיע</w:t>
      </w:r>
      <w:r>
        <w:rPr>
          <w:rFonts w:cs="Arial" w:hint="cs"/>
          <w:rtl/>
        </w:rPr>
        <w:t>, רש"י</w:t>
      </w:r>
      <w:r w:rsidRPr="00BA0BE4">
        <w:rPr>
          <w:rFonts w:cs="Arial"/>
          <w:rtl/>
        </w:rPr>
        <w:t>.</w:t>
      </w:r>
    </w:p>
  </w:footnote>
  <w:footnote w:id="275">
    <w:p w14:paraId="121AA3F5" w14:textId="77777777" w:rsidR="0013116F" w:rsidRDefault="0013116F" w:rsidP="004A326E">
      <w:pPr>
        <w:pStyle w:val="a9"/>
      </w:pPr>
      <w:r>
        <w:rPr>
          <w:rStyle w:val="ab"/>
        </w:rPr>
        <w:footnoteRef/>
      </w:r>
      <w:r>
        <w:rPr>
          <w:rtl/>
        </w:rPr>
        <w:t xml:space="preserve"> </w:t>
      </w:r>
      <w:r w:rsidRPr="00BA0BE4">
        <w:rPr>
          <w:rFonts w:cs="Arial"/>
          <w:rtl/>
        </w:rPr>
        <w:t>עורות הרבה, ובתחלת תקונן</w:t>
      </w:r>
      <w:r>
        <w:rPr>
          <w:rFonts w:cs="Arial" w:hint="cs"/>
          <w:rtl/>
        </w:rPr>
        <w:t>, רש"י</w:t>
      </w:r>
      <w:r w:rsidRPr="00BA0BE4">
        <w:rPr>
          <w:rFonts w:cs="Arial"/>
          <w:rtl/>
        </w:rPr>
        <w:t>.</w:t>
      </w:r>
    </w:p>
  </w:footnote>
  <w:footnote w:id="276">
    <w:p w14:paraId="2310BBDB" w14:textId="77777777" w:rsidR="0013116F" w:rsidRDefault="0013116F" w:rsidP="004A326E">
      <w:pPr>
        <w:pStyle w:val="a9"/>
      </w:pPr>
      <w:r>
        <w:rPr>
          <w:rStyle w:val="ab"/>
        </w:rPr>
        <w:footnoteRef/>
      </w:r>
      <w:r>
        <w:rPr>
          <w:rtl/>
        </w:rPr>
        <w:t xml:space="preserve"> </w:t>
      </w:r>
      <w:r w:rsidRPr="00BA0BE4">
        <w:rPr>
          <w:rFonts w:cs="Arial"/>
          <w:rtl/>
        </w:rPr>
        <w:t>של מספרים, ויהא צריך לחזר אחר זוג אחר</w:t>
      </w:r>
      <w:r>
        <w:rPr>
          <w:rFonts w:cs="Arial" w:hint="cs"/>
          <w:rtl/>
        </w:rPr>
        <w:t>, רש"י</w:t>
      </w:r>
      <w:r w:rsidRPr="00BA0BE4">
        <w:rPr>
          <w:rFonts w:cs="Arial"/>
          <w:rtl/>
        </w:rPr>
        <w:t>.</w:t>
      </w:r>
    </w:p>
  </w:footnote>
  <w:footnote w:id="277">
    <w:p w14:paraId="54038FD5" w14:textId="77777777" w:rsidR="0013116F" w:rsidRDefault="0013116F" w:rsidP="004A326E">
      <w:pPr>
        <w:pStyle w:val="a9"/>
      </w:pPr>
      <w:r>
        <w:rPr>
          <w:rStyle w:val="ab"/>
        </w:rPr>
        <w:footnoteRef/>
      </w:r>
      <w:r>
        <w:rPr>
          <w:rtl/>
        </w:rPr>
        <w:t xml:space="preserve"> </w:t>
      </w:r>
      <w:r w:rsidRPr="00BA0BE4">
        <w:rPr>
          <w:rFonts w:cs="Arial"/>
          <w:rtl/>
        </w:rPr>
        <w:t>שאין זה תחלת עשייתה, ואפילו הכי: לכתחלה לא יכנס לה סמוך למנחה גדולה</w:t>
      </w:r>
      <w:r>
        <w:rPr>
          <w:rFonts w:cs="Arial" w:hint="cs"/>
          <w:rtl/>
        </w:rPr>
        <w:t>, רש"י</w:t>
      </w:r>
      <w:r w:rsidRPr="00BA0BE4">
        <w:rPr>
          <w:rFonts w:cs="Arial"/>
          <w:rtl/>
        </w:rPr>
        <w:t>.</w:t>
      </w:r>
    </w:p>
  </w:footnote>
  <w:footnote w:id="278">
    <w:p w14:paraId="27B1BEF7" w14:textId="77777777" w:rsidR="0013116F" w:rsidRDefault="0013116F" w:rsidP="004A326E">
      <w:pPr>
        <w:pStyle w:val="a9"/>
      </w:pPr>
      <w:r>
        <w:rPr>
          <w:rStyle w:val="ab"/>
        </w:rPr>
        <w:footnoteRef/>
      </w:r>
      <w:r>
        <w:rPr>
          <w:rtl/>
        </w:rPr>
        <w:t xml:space="preserve"> </w:t>
      </w:r>
      <w:r w:rsidRPr="00BA0BE4">
        <w:rPr>
          <w:rFonts w:cs="Arial"/>
          <w:rtl/>
        </w:rPr>
        <w:t>יסתרו מה שפסקו, ויחזרו בהן, וחוזר להיות תחלת הדין</w:t>
      </w:r>
      <w:r>
        <w:rPr>
          <w:rFonts w:cs="Arial" w:hint="cs"/>
          <w:rtl/>
        </w:rPr>
        <w:t>, רש"י</w:t>
      </w:r>
      <w:r w:rsidRPr="00BA0BE4">
        <w:rPr>
          <w:rFonts w:cs="Arial"/>
          <w:rtl/>
        </w:rPr>
        <w:t>.</w:t>
      </w:r>
    </w:p>
  </w:footnote>
  <w:footnote w:id="279">
    <w:p w14:paraId="68F7C260" w14:textId="77777777" w:rsidR="0013116F" w:rsidRDefault="0013116F" w:rsidP="0044256C">
      <w:pPr>
        <w:pStyle w:val="a9"/>
      </w:pPr>
      <w:r>
        <w:rPr>
          <w:rStyle w:val="ab"/>
        </w:rPr>
        <w:footnoteRef/>
      </w:r>
      <w:r>
        <w:rPr>
          <w:rtl/>
        </w:rPr>
        <w:t xml:space="preserve"> </w:t>
      </w:r>
      <w:r>
        <w:rPr>
          <w:rFonts w:cs="Arial" w:hint="cs"/>
          <w:rtl/>
        </w:rPr>
        <w:t>ו</w:t>
      </w:r>
      <w:r w:rsidRPr="000739D7">
        <w:rPr>
          <w:rFonts w:cs="Arial"/>
          <w:rtl/>
        </w:rPr>
        <w:t>מוכח בגמרא</w:t>
      </w:r>
      <w:r w:rsidRPr="000739D7">
        <w:rPr>
          <w:rFonts w:cs="Arial"/>
          <w:sz w:val="16"/>
          <w:szCs w:val="16"/>
          <w:rtl/>
        </w:rPr>
        <w:t xml:space="preserve"> </w:t>
      </w:r>
      <w:r w:rsidRPr="000739D7">
        <w:rPr>
          <w:rFonts w:cs="Arial" w:hint="cs"/>
          <w:sz w:val="16"/>
          <w:szCs w:val="16"/>
          <w:rtl/>
        </w:rPr>
        <w:t xml:space="preserve">(שבת </w:t>
      </w:r>
      <w:r w:rsidRPr="000739D7">
        <w:rPr>
          <w:rFonts w:cs="Arial"/>
          <w:sz w:val="16"/>
          <w:szCs w:val="16"/>
          <w:rtl/>
        </w:rPr>
        <w:t>שם</w:t>
      </w:r>
      <w:r w:rsidRPr="000739D7">
        <w:rPr>
          <w:rFonts w:cs="Arial" w:hint="cs"/>
          <w:sz w:val="16"/>
          <w:szCs w:val="16"/>
          <w:rtl/>
        </w:rPr>
        <w:t>)</w:t>
      </w:r>
      <w:r w:rsidRPr="000739D7">
        <w:rPr>
          <w:rFonts w:cs="Arial"/>
          <w:rtl/>
        </w:rPr>
        <w:t xml:space="preserve"> ובפרק לולב הגזול </w:t>
      </w:r>
      <w:r w:rsidRPr="000739D7">
        <w:rPr>
          <w:rFonts w:cs="Arial"/>
          <w:sz w:val="16"/>
          <w:szCs w:val="16"/>
          <w:rtl/>
        </w:rPr>
        <w:t xml:space="preserve">(סוכה לח.) </w:t>
      </w:r>
      <w:r w:rsidRPr="000739D7">
        <w:rPr>
          <w:rFonts w:cs="Arial"/>
          <w:rtl/>
        </w:rPr>
        <w:t>דאפילו דהתחילו באיסור נמי אין מפסיקי</w:t>
      </w:r>
      <w:r w:rsidRPr="000739D7">
        <w:rPr>
          <w:rFonts w:cs="Arial" w:hint="cs"/>
          <w:rtl/>
        </w:rPr>
        <w:t xml:space="preserve">ן, </w:t>
      </w:r>
      <w:r w:rsidRPr="000739D7">
        <w:rPr>
          <w:rFonts w:cs="Arial"/>
          <w:rtl/>
        </w:rPr>
        <w:t>ובלבד שיהיה להם שהות להתפלל אחר שיגמרו הדין</w:t>
      </w:r>
      <w:r>
        <w:rPr>
          <w:rFonts w:cs="Arial" w:hint="cs"/>
          <w:rtl/>
        </w:rPr>
        <w:t>,</w:t>
      </w:r>
      <w:r w:rsidRPr="000739D7">
        <w:rPr>
          <w:rFonts w:cs="Arial"/>
          <w:rtl/>
        </w:rPr>
        <w:t xml:space="preserve"> </w:t>
      </w:r>
      <w:r w:rsidRPr="00EF4948">
        <w:rPr>
          <w:rFonts w:cs="Arial"/>
          <w:rtl/>
        </w:rPr>
        <w:t>תוס</w:t>
      </w:r>
      <w:r w:rsidRPr="00EF4948">
        <w:rPr>
          <w:rFonts w:cs="Arial" w:hint="cs"/>
          <w:rtl/>
        </w:rPr>
        <w:t>'</w:t>
      </w:r>
      <w:r w:rsidRPr="00EF4948">
        <w:rPr>
          <w:rFonts w:cs="Arial"/>
          <w:rtl/>
        </w:rPr>
        <w:t xml:space="preserve"> </w:t>
      </w:r>
      <w:r w:rsidRPr="00EF4948">
        <w:rPr>
          <w:rFonts w:cs="Arial"/>
          <w:sz w:val="16"/>
          <w:szCs w:val="16"/>
          <w:rtl/>
        </w:rPr>
        <w:t xml:space="preserve">(ד"ה ואם) </w:t>
      </w:r>
      <w:r w:rsidRPr="00EF4948">
        <w:rPr>
          <w:rFonts w:cs="Arial"/>
          <w:rtl/>
        </w:rPr>
        <w:t xml:space="preserve">מרדכי </w:t>
      </w:r>
      <w:r w:rsidRPr="00EF4948">
        <w:rPr>
          <w:rFonts w:cs="Arial"/>
          <w:sz w:val="16"/>
          <w:szCs w:val="16"/>
          <w:rtl/>
        </w:rPr>
        <w:t>(סי' רכג)</w:t>
      </w:r>
      <w:r w:rsidRPr="00EF4948">
        <w:rPr>
          <w:rFonts w:cs="Arial" w:hint="cs"/>
          <w:sz w:val="16"/>
          <w:szCs w:val="16"/>
          <w:rtl/>
        </w:rPr>
        <w:t xml:space="preserve"> </w:t>
      </w:r>
      <w:r w:rsidRPr="00EF4948">
        <w:rPr>
          <w:rFonts w:cs="Arial"/>
          <w:rtl/>
        </w:rPr>
        <w:t xml:space="preserve">רא"ש </w:t>
      </w:r>
      <w:r w:rsidRPr="00EF4948">
        <w:rPr>
          <w:rFonts w:cs="Arial"/>
          <w:sz w:val="16"/>
          <w:szCs w:val="16"/>
          <w:rtl/>
        </w:rPr>
        <w:t xml:space="preserve">(שם) </w:t>
      </w:r>
      <w:r w:rsidRPr="00EF4948">
        <w:rPr>
          <w:rFonts w:cs="Arial"/>
          <w:rtl/>
        </w:rPr>
        <w:t xml:space="preserve">ור"ן </w:t>
      </w:r>
      <w:r w:rsidRPr="00EF4948">
        <w:rPr>
          <w:rFonts w:cs="Arial"/>
          <w:sz w:val="16"/>
          <w:szCs w:val="16"/>
          <w:rtl/>
        </w:rPr>
        <w:t>(ג: ד"ה והא)</w:t>
      </w:r>
      <w:r w:rsidRPr="000739D7">
        <w:rPr>
          <w:rFonts w:cs="Arial" w:hint="cs"/>
          <w:rtl/>
        </w:rPr>
        <w:t>.</w:t>
      </w:r>
      <w:r>
        <w:rPr>
          <w:rFonts w:hint="cs"/>
          <w:rtl/>
        </w:rPr>
        <w:t xml:space="preserve"> </w:t>
      </w:r>
    </w:p>
  </w:footnote>
  <w:footnote w:id="280">
    <w:p w14:paraId="03E8C302" w14:textId="77777777" w:rsidR="0013116F" w:rsidRDefault="0013116F">
      <w:pPr>
        <w:pStyle w:val="a9"/>
      </w:pPr>
      <w:r>
        <w:rPr>
          <w:rStyle w:val="ab"/>
        </w:rPr>
        <w:footnoteRef/>
      </w:r>
      <w:r>
        <w:rPr>
          <w:rtl/>
        </w:rPr>
        <w:t xml:space="preserve"> </w:t>
      </w:r>
      <w:r>
        <w:rPr>
          <w:rFonts w:hint="cs"/>
          <w:rtl/>
        </w:rPr>
        <w:t>וכתב הב"י ד</w:t>
      </w:r>
      <w:r w:rsidRPr="00EF4948">
        <w:rPr>
          <w:rFonts w:cs="Arial"/>
          <w:rtl/>
        </w:rPr>
        <w:t>בפרק לולב הגזול מוקי בהדיא מתניתין בדאיכא שהות</w:t>
      </w:r>
      <w:r>
        <w:rPr>
          <w:rFonts w:cs="Arial" w:hint="cs"/>
          <w:rtl/>
        </w:rPr>
        <w:t>,</w:t>
      </w:r>
      <w:r w:rsidRPr="00EF4948">
        <w:rPr>
          <w:rFonts w:cs="Arial"/>
          <w:rtl/>
        </w:rPr>
        <w:t xml:space="preserve"> וכן משמע מדברי הרמב"ם ז"ל בפ"ו מהלכות תפלה (שם)</w:t>
      </w:r>
      <w:r>
        <w:rPr>
          <w:rFonts w:hint="cs"/>
          <w:rtl/>
        </w:rPr>
        <w:t>.</w:t>
      </w:r>
    </w:p>
  </w:footnote>
  <w:footnote w:id="281">
    <w:p w14:paraId="138DC6F2" w14:textId="77777777" w:rsidR="0013116F" w:rsidRDefault="0013116F" w:rsidP="0044256C">
      <w:pPr>
        <w:pStyle w:val="a9"/>
        <w:rPr>
          <w:rtl/>
        </w:rPr>
      </w:pPr>
      <w:r>
        <w:rPr>
          <w:rStyle w:val="ab"/>
        </w:rPr>
        <w:footnoteRef/>
      </w:r>
      <w:r>
        <w:rPr>
          <w:rtl/>
        </w:rPr>
        <w:t xml:space="preserve"> </w:t>
      </w:r>
      <w:r>
        <w:rPr>
          <w:rFonts w:cs="Arial"/>
          <w:rtl/>
        </w:rPr>
        <w:t>כ</w:t>
      </w:r>
      <w:r>
        <w:rPr>
          <w:rFonts w:cs="Arial" w:hint="cs"/>
          <w:rtl/>
        </w:rPr>
        <w:t>"</w:t>
      </w:r>
      <w:r>
        <w:rPr>
          <w:rFonts w:cs="Arial"/>
          <w:rtl/>
        </w:rPr>
        <w:t>כ שם הרא"ש</w:t>
      </w:r>
      <w:r>
        <w:rPr>
          <w:rFonts w:cs="Arial" w:hint="cs"/>
          <w:rtl/>
        </w:rPr>
        <w:t>,</w:t>
      </w:r>
      <w:r>
        <w:rPr>
          <w:rFonts w:cs="Arial"/>
          <w:rtl/>
        </w:rPr>
        <w:t xml:space="preserve"> דלר</w:t>
      </w:r>
      <w:r>
        <w:rPr>
          <w:rFonts w:cs="Arial" w:hint="cs"/>
          <w:rtl/>
        </w:rPr>
        <w:t>"ת</w:t>
      </w:r>
      <w:r>
        <w:rPr>
          <w:rFonts w:cs="Arial"/>
          <w:rtl/>
        </w:rPr>
        <w:t xml:space="preserve"> ור"י אם התחיל לאכול סמוך למנחה קטנה מפסיק כשיגיע זמן תפלת המנחה</w:t>
      </w:r>
      <w:r>
        <w:rPr>
          <w:rFonts w:cs="Arial" w:hint="cs"/>
          <w:rtl/>
        </w:rPr>
        <w:t>,</w:t>
      </w:r>
      <w:r>
        <w:rPr>
          <w:rFonts w:cs="Arial"/>
          <w:rtl/>
        </w:rPr>
        <w:t xml:space="preserve"> ומשמע דה</w:t>
      </w:r>
      <w:r>
        <w:rPr>
          <w:rFonts w:cs="Arial" w:hint="cs"/>
          <w:rtl/>
        </w:rPr>
        <w:t>"</w:t>
      </w:r>
      <w:r>
        <w:rPr>
          <w:rFonts w:cs="Arial"/>
          <w:rtl/>
        </w:rPr>
        <w:t>ה להתחילו בדין</w:t>
      </w:r>
      <w:r>
        <w:rPr>
          <w:rFonts w:cs="Arial" w:hint="cs"/>
          <w:rtl/>
        </w:rPr>
        <w:t>.</w:t>
      </w:r>
      <w:r>
        <w:rPr>
          <w:rFonts w:cs="Arial"/>
          <w:rtl/>
        </w:rPr>
        <w:t xml:space="preserve"> ומשמע לי דאפילו בגמר דין אם התחיל לגמור הדין סמוך למנחה קטנה מפסיקין </w:t>
      </w:r>
      <w:r>
        <w:rPr>
          <w:rFonts w:cs="Arial" w:hint="cs"/>
          <w:sz w:val="16"/>
          <w:szCs w:val="16"/>
          <w:rtl/>
        </w:rPr>
        <w:t>(</w:t>
      </w:r>
      <w:r w:rsidRPr="002439DB">
        <w:rPr>
          <w:rFonts w:cs="Arial"/>
          <w:sz w:val="16"/>
          <w:szCs w:val="16"/>
          <w:rtl/>
        </w:rPr>
        <w:t>דהא אפילו התחיל לאכול סעודה קטנה סמוך למנחה קטנה מפסיקין</w:t>
      </w:r>
      <w:r w:rsidRPr="002439DB">
        <w:rPr>
          <w:rFonts w:cs="Arial" w:hint="cs"/>
          <w:sz w:val="16"/>
          <w:szCs w:val="16"/>
          <w:rtl/>
        </w:rPr>
        <w:t>,</w:t>
      </w:r>
      <w:r w:rsidRPr="002439DB">
        <w:rPr>
          <w:rFonts w:cs="Arial"/>
          <w:sz w:val="16"/>
          <w:szCs w:val="16"/>
          <w:rtl/>
        </w:rPr>
        <w:t xml:space="preserve"> כמבואר שם בדברי הרא"ש וגם בדברי רבינו בטור או</w:t>
      </w:r>
      <w:r w:rsidRPr="002439DB">
        <w:rPr>
          <w:rFonts w:cs="Arial" w:hint="cs"/>
          <w:sz w:val="16"/>
          <w:szCs w:val="16"/>
          <w:rtl/>
        </w:rPr>
        <w:t>"</w:t>
      </w:r>
      <w:r w:rsidRPr="002439DB">
        <w:rPr>
          <w:rFonts w:cs="Arial"/>
          <w:sz w:val="16"/>
          <w:szCs w:val="16"/>
          <w:rtl/>
        </w:rPr>
        <w:t>ח סי</w:t>
      </w:r>
      <w:r w:rsidRPr="002439DB">
        <w:rPr>
          <w:rFonts w:cs="Arial" w:hint="cs"/>
          <w:sz w:val="16"/>
          <w:szCs w:val="16"/>
          <w:rtl/>
        </w:rPr>
        <w:t>'</w:t>
      </w:r>
      <w:r w:rsidRPr="002439DB">
        <w:rPr>
          <w:rFonts w:cs="Arial"/>
          <w:sz w:val="16"/>
          <w:szCs w:val="16"/>
          <w:rtl/>
        </w:rPr>
        <w:t xml:space="preserve"> רלב</w:t>
      </w:r>
      <w:r w:rsidRPr="002439DB">
        <w:rPr>
          <w:rFonts w:cs="Arial" w:hint="cs"/>
          <w:sz w:val="16"/>
          <w:szCs w:val="16"/>
          <w:rtl/>
        </w:rPr>
        <w:t>,</w:t>
      </w:r>
      <w:r w:rsidRPr="002439DB">
        <w:rPr>
          <w:rFonts w:cs="Arial"/>
          <w:sz w:val="16"/>
          <w:szCs w:val="16"/>
          <w:rtl/>
        </w:rPr>
        <w:t xml:space="preserve"> ודין גמר דין שוה לדין סעודה קטנה</w:t>
      </w:r>
      <w:r w:rsidRPr="002439DB">
        <w:rPr>
          <w:rFonts w:cs="Arial" w:hint="cs"/>
          <w:sz w:val="16"/>
          <w:szCs w:val="16"/>
          <w:rtl/>
        </w:rPr>
        <w:t>)</w:t>
      </w:r>
      <w:r>
        <w:rPr>
          <w:rFonts w:cs="Arial" w:hint="cs"/>
          <w:rtl/>
        </w:rPr>
        <w:t>, ב"י.</w:t>
      </w:r>
      <w:r>
        <w:rPr>
          <w:rFonts w:hint="cs"/>
          <w:rtl/>
        </w:rPr>
        <w:t xml:space="preserve"> (וכ"כ הסמ"ע [סקי"ד])</w:t>
      </w:r>
    </w:p>
  </w:footnote>
  <w:footnote w:id="282">
    <w:p w14:paraId="4115F3A0" w14:textId="77777777" w:rsidR="0013116F" w:rsidRDefault="0013116F" w:rsidP="004A326E">
      <w:pPr>
        <w:pStyle w:val="a9"/>
      </w:pPr>
      <w:r>
        <w:rPr>
          <w:rStyle w:val="ab"/>
        </w:rPr>
        <w:footnoteRef/>
      </w:r>
      <w:r>
        <w:rPr>
          <w:rtl/>
        </w:rPr>
        <w:t xml:space="preserve"> </w:t>
      </w:r>
      <w:r>
        <w:rPr>
          <w:rFonts w:hint="cs"/>
          <w:rtl/>
        </w:rPr>
        <w:t xml:space="preserve">כ"כ הטור בשמו, וכ' הב"י </w:t>
      </w:r>
      <w:r>
        <w:rPr>
          <w:rFonts w:cs="Arial" w:hint="cs"/>
          <w:rtl/>
        </w:rPr>
        <w:t>ד</w:t>
      </w:r>
      <w:r>
        <w:rPr>
          <w:rFonts w:cs="Arial"/>
          <w:rtl/>
        </w:rPr>
        <w:t>הוא ממה שכתב דעת ר</w:t>
      </w:r>
      <w:r>
        <w:rPr>
          <w:rFonts w:cs="Arial" w:hint="cs"/>
          <w:rtl/>
        </w:rPr>
        <w:t>"</w:t>
      </w:r>
      <w:r>
        <w:rPr>
          <w:rFonts w:cs="Arial"/>
          <w:rtl/>
        </w:rPr>
        <w:t>ת ור"י תחלה ואח"כ כתב דעת רב אלפס ושכן נראה לה"ר יונה ז"ל ומאחר שהביא דעת רב אלפס לבסוף משמע ליה שכך היא מסקנתו</w:t>
      </w:r>
      <w:r>
        <w:rPr>
          <w:rFonts w:hint="cs"/>
          <w:rtl/>
        </w:rPr>
        <w:t>.</w:t>
      </w:r>
    </w:p>
  </w:footnote>
  <w:footnote w:id="283">
    <w:p w14:paraId="0230266F" w14:textId="77777777" w:rsidR="0013116F" w:rsidRDefault="0013116F" w:rsidP="004A326E">
      <w:pPr>
        <w:pStyle w:val="a9"/>
        <w:rPr>
          <w:rtl/>
        </w:rPr>
      </w:pPr>
      <w:r>
        <w:rPr>
          <w:rStyle w:val="ab"/>
        </w:rPr>
        <w:footnoteRef/>
      </w:r>
      <w:r>
        <w:rPr>
          <w:rtl/>
        </w:rPr>
        <w:t xml:space="preserve"> </w:t>
      </w:r>
      <w:r w:rsidRPr="005B22D5">
        <w:rPr>
          <w:rFonts w:cs="Arial"/>
          <w:rtl/>
        </w:rPr>
        <w:t>הטעם, דאז זמן המנחה מן הדין, וכמ"ש באו"ח סימן רל"ב, אלא שחכמים אמרו שימתין עוד חצי שעה עד שינטה השמש ויהיה ניכר, שמא יטעה בין תחילת שביעית לסוף ששית</w:t>
      </w:r>
      <w:r>
        <w:rPr>
          <w:rFonts w:hint="cs"/>
          <w:rtl/>
        </w:rPr>
        <w:t>, סמ"ע (סקי"א).</w:t>
      </w:r>
    </w:p>
  </w:footnote>
  <w:footnote w:id="284">
    <w:p w14:paraId="0C3F139E" w14:textId="77777777" w:rsidR="0013116F" w:rsidRDefault="0013116F" w:rsidP="004A326E">
      <w:pPr>
        <w:pStyle w:val="a9"/>
      </w:pPr>
      <w:r>
        <w:rPr>
          <w:rStyle w:val="ab"/>
        </w:rPr>
        <w:footnoteRef/>
      </w:r>
      <w:r>
        <w:rPr>
          <w:rtl/>
        </w:rPr>
        <w:t xml:space="preserve"> </w:t>
      </w:r>
      <w:r w:rsidRPr="005B22D5">
        <w:rPr>
          <w:rFonts w:cs="Arial"/>
          <w:rtl/>
        </w:rPr>
        <w:t>אבל לכתחילה אסור אפילו בכה"ג, שמא ימשך וישכחו מלהתפלל</w:t>
      </w:r>
      <w:r>
        <w:rPr>
          <w:rFonts w:cs="Arial" w:hint="cs"/>
          <w:rtl/>
        </w:rPr>
        <w:t>, סמ"ע (סקי"ב).</w:t>
      </w:r>
    </w:p>
  </w:footnote>
  <w:footnote w:id="285">
    <w:p w14:paraId="6AE05D14" w14:textId="77777777" w:rsidR="0013116F" w:rsidRDefault="0013116F" w:rsidP="004A326E">
      <w:pPr>
        <w:pStyle w:val="a9"/>
        <w:rPr>
          <w:rtl/>
        </w:rPr>
      </w:pPr>
      <w:r>
        <w:rPr>
          <w:rStyle w:val="ab"/>
        </w:rPr>
        <w:footnoteRef/>
      </w:r>
      <w:r>
        <w:rPr>
          <w:rtl/>
        </w:rPr>
        <w:t xml:space="preserve"> </w:t>
      </w:r>
      <w:r w:rsidRPr="005B22D5">
        <w:rPr>
          <w:rFonts w:cs="Arial"/>
          <w:rtl/>
        </w:rPr>
        <w:t>בב"י [סע</w:t>
      </w:r>
      <w:r>
        <w:rPr>
          <w:rFonts w:cs="Arial" w:hint="cs"/>
          <w:rtl/>
        </w:rPr>
        <w:t>'</w:t>
      </w:r>
      <w:r w:rsidRPr="005B22D5">
        <w:rPr>
          <w:rFonts w:cs="Arial"/>
          <w:rtl/>
        </w:rPr>
        <w:t xml:space="preserve"> ח] וד</w:t>
      </w:r>
      <w:r>
        <w:rPr>
          <w:rFonts w:cs="Arial" w:hint="cs"/>
          <w:rtl/>
        </w:rPr>
        <w:t>רכ</w:t>
      </w:r>
      <w:r w:rsidRPr="005B22D5">
        <w:rPr>
          <w:rFonts w:cs="Arial"/>
          <w:rtl/>
        </w:rPr>
        <w:t>"מ כתבו דאפילו התחילו בגמר דין מפסיקין</w:t>
      </w:r>
      <w:r>
        <w:rPr>
          <w:rFonts w:hint="cs"/>
          <w:rtl/>
        </w:rPr>
        <w:t>, סמ"ע (סקי"ג).</w:t>
      </w:r>
    </w:p>
  </w:footnote>
  <w:footnote w:id="286">
    <w:p w14:paraId="3C5FC071" w14:textId="77777777" w:rsidR="0013116F" w:rsidRDefault="0013116F" w:rsidP="004A326E">
      <w:pPr>
        <w:pStyle w:val="a9"/>
        <w:rPr>
          <w:rtl/>
        </w:rPr>
      </w:pPr>
      <w:r>
        <w:rPr>
          <w:rStyle w:val="ab"/>
        </w:rPr>
        <w:footnoteRef/>
      </w:r>
      <w:r>
        <w:rPr>
          <w:rtl/>
        </w:rPr>
        <w:t xml:space="preserve"> </w:t>
      </w:r>
      <w:r w:rsidRPr="005B22D5">
        <w:rPr>
          <w:rFonts w:cs="Arial"/>
          <w:rtl/>
        </w:rPr>
        <w:t>כשפותחין בדין, מאימת שכינה, ושלא יפנו ראשן לכאן ולכאן ותהא דעתן מיושבת עליהם</w:t>
      </w:r>
      <w:r>
        <w:rPr>
          <w:rFonts w:cs="Arial" w:hint="cs"/>
          <w:rtl/>
        </w:rPr>
        <w:t>, רש"י</w:t>
      </w:r>
      <w:r w:rsidRPr="005B22D5">
        <w:rPr>
          <w:rFonts w:cs="Arial"/>
          <w:rtl/>
        </w:rPr>
        <w:t>.</w:t>
      </w:r>
    </w:p>
  </w:footnote>
  <w:footnote w:id="287">
    <w:p w14:paraId="4066873E" w14:textId="77777777" w:rsidR="0013116F" w:rsidRDefault="0013116F" w:rsidP="004A326E">
      <w:pPr>
        <w:pStyle w:val="a9"/>
        <w:rPr>
          <w:rtl/>
        </w:rPr>
      </w:pPr>
      <w:r>
        <w:rPr>
          <w:rStyle w:val="ab"/>
        </w:rPr>
        <w:footnoteRef/>
      </w:r>
      <w:r>
        <w:rPr>
          <w:rtl/>
        </w:rPr>
        <w:t xml:space="preserve"> </w:t>
      </w:r>
      <w:r w:rsidRPr="005B22D5">
        <w:rPr>
          <w:rFonts w:cs="Arial"/>
          <w:rtl/>
        </w:rPr>
        <w:t>בדין אחר, וכבר מעוטפים הן, וכשנגמר אותו דין בא לפניהם דין אחר סמוך למנחה, הויא התחלתן משיפתחו בעלי הדין בטענות, דהכא ליכא למימר משיתעטפו</w:t>
      </w:r>
      <w:r>
        <w:rPr>
          <w:rFonts w:cs="Arial" w:hint="cs"/>
          <w:rtl/>
        </w:rPr>
        <w:t>, רש"י</w:t>
      </w:r>
      <w:r w:rsidRPr="005B22D5">
        <w:rPr>
          <w:rFonts w:cs="Arial"/>
          <w:rtl/>
        </w:rPr>
        <w:t>.</w:t>
      </w:r>
    </w:p>
  </w:footnote>
  <w:footnote w:id="288">
    <w:p w14:paraId="385F2759" w14:textId="77777777" w:rsidR="0013116F" w:rsidRDefault="0013116F" w:rsidP="004A326E">
      <w:pPr>
        <w:pStyle w:val="a9"/>
        <w:rPr>
          <w:rtl/>
        </w:rPr>
      </w:pPr>
      <w:r>
        <w:rPr>
          <w:rStyle w:val="ab"/>
        </w:rPr>
        <w:footnoteRef/>
      </w:r>
      <w:r>
        <w:rPr>
          <w:rtl/>
        </w:rPr>
        <w:t xml:space="preserve"> </w:t>
      </w:r>
      <w:r w:rsidRPr="009733E4">
        <w:rPr>
          <w:rFonts w:cs="Arial"/>
          <w:rtl/>
        </w:rPr>
        <w:t>פירוש, אם עתה הוא תחילת ישיבת הדיינין, אז התחלת הדין היא משיתעטפו הדיינים, ואם התחילו לדון קודם התחלת שעה שביעית בדין אחר, נמצא שאין בעטיפתן היכר שהרי היו כבר מעוטפין מתחילת ישיבתן לדון, אז התחלת דין זה הוא משיתחילו הבעלי דינים לטעון</w:t>
      </w:r>
      <w:r>
        <w:rPr>
          <w:rFonts w:hint="cs"/>
          <w:rtl/>
        </w:rPr>
        <w:t>, סמ"ע (סקט"ו).</w:t>
      </w:r>
    </w:p>
  </w:footnote>
  <w:footnote w:id="289">
    <w:p w14:paraId="3575424C" w14:textId="77777777" w:rsidR="0013116F" w:rsidRDefault="0013116F">
      <w:pPr>
        <w:pStyle w:val="a9"/>
        <w:rPr>
          <w:rtl/>
        </w:rPr>
      </w:pPr>
      <w:r>
        <w:rPr>
          <w:rStyle w:val="ab"/>
        </w:rPr>
        <w:footnoteRef/>
      </w:r>
      <w:r>
        <w:rPr>
          <w:rtl/>
        </w:rPr>
        <w:t xml:space="preserve"> </w:t>
      </w:r>
      <w:r>
        <w:rPr>
          <w:rFonts w:hint="cs"/>
          <w:rtl/>
        </w:rPr>
        <w:t xml:space="preserve">סימן </w:t>
      </w:r>
      <w:r>
        <w:rPr>
          <w:rtl/>
        </w:rPr>
        <w:t>–</w:t>
      </w:r>
      <w:r>
        <w:rPr>
          <w:rFonts w:hint="cs"/>
          <w:rtl/>
        </w:rPr>
        <w:t xml:space="preserve"> הנשב?. וכן </w:t>
      </w:r>
      <w:r>
        <w:rPr>
          <w:rtl/>
        </w:rPr>
        <w:t>–</w:t>
      </w:r>
      <w:r>
        <w:rPr>
          <w:rFonts w:hint="cs"/>
          <w:rtl/>
        </w:rPr>
        <w:t xml:space="preserve"> הוא נו (</w:t>
      </w:r>
      <w:r>
        <w:t>no</w:t>
      </w:r>
      <w:r>
        <w:rPr>
          <w:rFonts w:hint="cs"/>
          <w:rtl/>
        </w:rPr>
        <w:t xml:space="preserve">) נחשב. וכן </w:t>
      </w:r>
      <w:r>
        <w:rPr>
          <w:rtl/>
        </w:rPr>
        <w:t>–</w:t>
      </w:r>
      <w:r>
        <w:rPr>
          <w:rFonts w:hint="cs"/>
          <w:rtl/>
        </w:rPr>
        <w:t xml:space="preserve"> נחשב הוא. וכן </w:t>
      </w:r>
      <w:r>
        <w:rPr>
          <w:rtl/>
        </w:rPr>
        <w:t>–</w:t>
      </w:r>
      <w:r>
        <w:rPr>
          <w:rFonts w:hint="cs"/>
          <w:rtl/>
        </w:rPr>
        <w:t xml:space="preserve"> ה' נחושת</w:t>
      </w:r>
      <w:r>
        <w:rPr>
          <w:rFonts w:hint="cs"/>
          <w:sz w:val="16"/>
          <w:szCs w:val="16"/>
          <w:rtl/>
        </w:rPr>
        <w:t xml:space="preserve"> {פרוטה עשוייה מנחושת}</w:t>
      </w:r>
      <w:r>
        <w:rPr>
          <w:rFonts w:hint="cs"/>
          <w:rtl/>
        </w:rPr>
        <w:t xml:space="preserve"> הן.</w:t>
      </w:r>
    </w:p>
  </w:footnote>
  <w:footnote w:id="290">
    <w:p w14:paraId="6E7D2397" w14:textId="77777777" w:rsidR="0013116F" w:rsidRDefault="0013116F" w:rsidP="004A326E">
      <w:pPr>
        <w:pStyle w:val="a9"/>
        <w:rPr>
          <w:rtl/>
        </w:rPr>
      </w:pPr>
      <w:r>
        <w:rPr>
          <w:rStyle w:val="ab"/>
        </w:rPr>
        <w:footnoteRef/>
      </w:r>
      <w:r>
        <w:rPr>
          <w:rtl/>
        </w:rPr>
        <w:t xml:space="preserve"> </w:t>
      </w:r>
      <w:r>
        <w:rPr>
          <w:rFonts w:hint="cs"/>
          <w:rtl/>
        </w:rPr>
        <w:t xml:space="preserve">היינו, כיון דשנה גזל לא היה צריך לשנות ישיבת הדיינים, ומדשנה ישיבת הדיינים </w:t>
      </w:r>
      <w:r w:rsidRPr="00C876D1">
        <w:rPr>
          <w:rFonts w:hint="cs"/>
          <w:sz w:val="16"/>
          <w:szCs w:val="16"/>
          <w:rtl/>
        </w:rPr>
        <w:t>(אע"ג דלא צריך)</w:t>
      </w:r>
      <w:r>
        <w:rPr>
          <w:rFonts w:hint="cs"/>
          <w:rtl/>
        </w:rPr>
        <w:t xml:space="preserve"> לישני נמי אבידה. </w:t>
      </w:r>
    </w:p>
  </w:footnote>
  <w:footnote w:id="291">
    <w:p w14:paraId="51CB4AB8" w14:textId="77777777" w:rsidR="0013116F" w:rsidRDefault="0013116F" w:rsidP="004A326E">
      <w:pPr>
        <w:pStyle w:val="a9"/>
      </w:pPr>
      <w:r>
        <w:rPr>
          <w:rStyle w:val="ab"/>
        </w:rPr>
        <w:footnoteRef/>
      </w:r>
      <w:r>
        <w:rPr>
          <w:rtl/>
        </w:rPr>
        <w:t xml:space="preserve"> </w:t>
      </w:r>
      <w:r w:rsidRPr="00257F86">
        <w:rPr>
          <w:rFonts w:cs="Arial"/>
          <w:rtl/>
        </w:rPr>
        <w:t>בין תובע לנתבע</w:t>
      </w:r>
      <w:r>
        <w:rPr>
          <w:rFonts w:cs="Arial" w:hint="cs"/>
          <w:rtl/>
        </w:rPr>
        <w:t>, רש"י</w:t>
      </w:r>
      <w:r>
        <w:rPr>
          <w:rFonts w:hint="cs"/>
          <w:rtl/>
        </w:rPr>
        <w:t>.</w:t>
      </w:r>
    </w:p>
  </w:footnote>
  <w:footnote w:id="292">
    <w:p w14:paraId="7EFE6036" w14:textId="77777777" w:rsidR="0013116F" w:rsidRDefault="0013116F" w:rsidP="004A326E">
      <w:pPr>
        <w:pStyle w:val="a9"/>
      </w:pPr>
      <w:r>
        <w:rPr>
          <w:rStyle w:val="ab"/>
        </w:rPr>
        <w:footnoteRef/>
      </w:r>
      <w:r>
        <w:rPr>
          <w:rtl/>
        </w:rPr>
        <w:t xml:space="preserve"> </w:t>
      </w:r>
      <w:r w:rsidRPr="00257F86">
        <w:rPr>
          <w:rFonts w:cs="Arial"/>
          <w:rtl/>
        </w:rPr>
        <w:t>אם חזר השני ותבעו פחות משוה פרוטה קודם שעמדו בית דין משם נזקקין לו</w:t>
      </w:r>
      <w:r>
        <w:rPr>
          <w:rFonts w:cs="Arial" w:hint="cs"/>
          <w:rtl/>
        </w:rPr>
        <w:t>, רש"י</w:t>
      </w:r>
      <w:r w:rsidRPr="00257F86">
        <w:rPr>
          <w:rFonts w:cs="Arial"/>
          <w:rtl/>
        </w:rPr>
        <w:t>.</w:t>
      </w:r>
    </w:p>
  </w:footnote>
  <w:footnote w:id="293">
    <w:p w14:paraId="7FBE02FB" w14:textId="77777777" w:rsidR="0013116F" w:rsidRDefault="0013116F" w:rsidP="004A326E">
      <w:pPr>
        <w:pStyle w:val="a9"/>
        <w:rPr>
          <w:rtl/>
        </w:rPr>
      </w:pPr>
      <w:r>
        <w:rPr>
          <w:rStyle w:val="ab"/>
        </w:rPr>
        <w:footnoteRef/>
      </w:r>
      <w:r>
        <w:rPr>
          <w:rtl/>
        </w:rPr>
        <w:t xml:space="preserve"> </w:t>
      </w:r>
      <w:r w:rsidRPr="00556372">
        <w:rPr>
          <w:rFonts w:cs="Arial"/>
          <w:rtl/>
        </w:rPr>
        <w:t xml:space="preserve">וכ"כ רבינו ירוחם </w:t>
      </w:r>
      <w:r>
        <w:rPr>
          <w:rFonts w:cs="Arial" w:hint="cs"/>
          <w:rtl/>
        </w:rPr>
        <w:t>(</w:t>
      </w:r>
      <w:r w:rsidRPr="00556372">
        <w:rPr>
          <w:rFonts w:cs="Arial"/>
          <w:rtl/>
        </w:rPr>
        <w:t>נ"ג ח"</w:t>
      </w:r>
      <w:r>
        <w:rPr>
          <w:rFonts w:cs="Arial" w:hint="cs"/>
          <w:rtl/>
        </w:rPr>
        <w:t>ב, הביאו הש"ך סק"ג).</w:t>
      </w:r>
    </w:p>
  </w:footnote>
  <w:footnote w:id="294">
    <w:p w14:paraId="378551B1" w14:textId="77777777" w:rsidR="0013116F" w:rsidRDefault="0013116F" w:rsidP="004A326E">
      <w:pPr>
        <w:pStyle w:val="a9"/>
      </w:pPr>
      <w:r>
        <w:rPr>
          <w:rStyle w:val="ab"/>
        </w:rPr>
        <w:footnoteRef/>
      </w:r>
      <w:r>
        <w:rPr>
          <w:rtl/>
        </w:rPr>
        <w:t xml:space="preserve"> </w:t>
      </w:r>
      <w:r w:rsidRPr="00257F86">
        <w:rPr>
          <w:rFonts w:cs="Arial"/>
          <w:rtl/>
        </w:rPr>
        <w:t>ישיבת הדיינים איצטריכא ליה לאפוקי מדרב קטינא דאמר בית דין נזקקין לפחות משוה פרוטה</w:t>
      </w:r>
      <w:r>
        <w:rPr>
          <w:rFonts w:cs="Arial" w:hint="cs"/>
          <w:rtl/>
        </w:rPr>
        <w:t>,</w:t>
      </w:r>
      <w:r w:rsidRPr="00257F86">
        <w:rPr>
          <w:rFonts w:cs="Arial"/>
          <w:rtl/>
        </w:rPr>
        <w:t xml:space="preserve"> ואסיקנא דרב קטינא איירי כשנזקקין בית דין לשוה פרוטה אח"כ גומרים לשוה פרוטה</w:t>
      </w:r>
      <w:r>
        <w:rPr>
          <w:rFonts w:cs="Arial" w:hint="cs"/>
          <w:rtl/>
        </w:rPr>
        <w:t>,</w:t>
      </w:r>
      <w:r w:rsidRPr="00257F86">
        <w:rPr>
          <w:rFonts w:cs="Arial"/>
          <w:rtl/>
        </w:rPr>
        <w:t xml:space="preserve"> ולית הלכתא כרב קטינא דהא לוי תנא ישיבת הדיינים לאפוקי מדרב קטינא</w:t>
      </w:r>
      <w:r>
        <w:rPr>
          <w:rFonts w:cs="Arial" w:hint="cs"/>
          <w:rtl/>
        </w:rPr>
        <w:t>,</w:t>
      </w:r>
      <w:r w:rsidRPr="00257F86">
        <w:rPr>
          <w:rFonts w:cs="Arial"/>
          <w:rtl/>
        </w:rPr>
        <w:t xml:space="preserve"> ומתניתין דלא קתני ישיבת הדיינים אמרינן משום דאיתיה בכלל גזל</w:t>
      </w:r>
      <w:r>
        <w:rPr>
          <w:rFonts w:cs="Arial" w:hint="cs"/>
          <w:rtl/>
        </w:rPr>
        <w:t>,</w:t>
      </w:r>
      <w:r w:rsidRPr="00257F86">
        <w:rPr>
          <w:rFonts w:cs="Arial"/>
          <w:rtl/>
        </w:rPr>
        <w:t xml:space="preserve"> וכי היכי דגזל ליתיה כלל בפחות משוה פרוטה הוא הדין נמי ישיבת הדיינים אפילו בגמר התביעה</w:t>
      </w:r>
      <w:r>
        <w:rPr>
          <w:rFonts w:cs="Arial" w:hint="cs"/>
          <w:rtl/>
        </w:rPr>
        <w:t>, רא"ש.</w:t>
      </w:r>
    </w:p>
  </w:footnote>
  <w:footnote w:id="295">
    <w:p w14:paraId="109BCC8B" w14:textId="77777777" w:rsidR="0013116F" w:rsidRDefault="0013116F" w:rsidP="004A326E">
      <w:pPr>
        <w:pStyle w:val="a9"/>
        <w:rPr>
          <w:rtl/>
        </w:rPr>
      </w:pPr>
      <w:r>
        <w:rPr>
          <w:rStyle w:val="ab"/>
        </w:rPr>
        <w:footnoteRef/>
      </w:r>
      <w:r>
        <w:rPr>
          <w:rtl/>
        </w:rPr>
        <w:t xml:space="preserve"> </w:t>
      </w:r>
      <w:r w:rsidRPr="00556372">
        <w:rPr>
          <w:rFonts w:cs="Arial"/>
          <w:rtl/>
        </w:rPr>
        <w:t xml:space="preserve">וכ"פ הסמ"ג </w:t>
      </w:r>
      <w:r>
        <w:rPr>
          <w:rFonts w:cs="Arial" w:hint="cs"/>
          <w:rtl/>
        </w:rPr>
        <w:t>(</w:t>
      </w:r>
      <w:r w:rsidRPr="00556372">
        <w:rPr>
          <w:rFonts w:cs="Arial"/>
          <w:rtl/>
        </w:rPr>
        <w:t>עשין ק"ו</w:t>
      </w:r>
      <w:r>
        <w:rPr>
          <w:rFonts w:cs="Arial" w:hint="cs"/>
          <w:rtl/>
        </w:rPr>
        <w:t>, הביאו הש"ך סק"ג)</w:t>
      </w:r>
      <w:r>
        <w:rPr>
          <w:rFonts w:hint="cs"/>
          <w:rtl/>
        </w:rPr>
        <w:t>.</w:t>
      </w:r>
    </w:p>
  </w:footnote>
  <w:footnote w:id="296">
    <w:p w14:paraId="4402B0C9" w14:textId="77777777" w:rsidR="0013116F" w:rsidRDefault="0013116F" w:rsidP="004A326E">
      <w:pPr>
        <w:pStyle w:val="a9"/>
      </w:pPr>
      <w:r>
        <w:rPr>
          <w:rStyle w:val="ab"/>
        </w:rPr>
        <w:footnoteRef/>
      </w:r>
      <w:r>
        <w:rPr>
          <w:rtl/>
        </w:rPr>
        <w:t xml:space="preserve"> </w:t>
      </w:r>
      <w:r>
        <w:rPr>
          <w:rFonts w:cs="Arial" w:hint="cs"/>
          <w:rtl/>
        </w:rPr>
        <w:t xml:space="preserve">וכ' הב"י- </w:t>
      </w:r>
      <w:r w:rsidRPr="00257F86">
        <w:rPr>
          <w:rFonts w:cs="Arial"/>
          <w:rtl/>
        </w:rPr>
        <w:t>נראה דטעמו משום דאם כדברי הרא"ש הוה ליה לתלמודא למימר ישיבת הדיינים אצטריכא ליה לאפוקי מדרב קטינא דאמר אם הוזקקו בית דין לשוה פרוטה גומרים אפילו לפחות משוה פרוטה</w:t>
      </w:r>
      <w:r>
        <w:rPr>
          <w:rFonts w:cs="Arial" w:hint="cs"/>
          <w:rtl/>
        </w:rPr>
        <w:t>,</w:t>
      </w:r>
      <w:r w:rsidRPr="00257F86">
        <w:rPr>
          <w:rFonts w:cs="Arial"/>
          <w:rtl/>
        </w:rPr>
        <w:t xml:space="preserve"> ומדלא אמר אלא לאפוקי מדרב קטינא דאמר בית דין נזקקין לפחות משוה פרוטה משמע דהכי קאמר לאפוקי ממאי דהוה סלקא דעתך דהוה אמר רב קטינא דבית דין נזקקין אפילו לפחות משוה פרוטה ואפילו בתחלת דין, ולמאי דאסיקנא דרב קטינא נמי לא אמר אלא בגמר דין </w:t>
      </w:r>
      <w:r>
        <w:rPr>
          <w:rFonts w:cs="Arial" w:hint="cs"/>
          <w:rtl/>
        </w:rPr>
        <w:t xml:space="preserve">- </w:t>
      </w:r>
      <w:r w:rsidRPr="00257F86">
        <w:rPr>
          <w:rFonts w:cs="Arial"/>
          <w:rtl/>
        </w:rPr>
        <w:t>לוי ורב קטינא לא פליגי</w:t>
      </w:r>
      <w:r>
        <w:rPr>
          <w:rFonts w:cs="Arial" w:hint="cs"/>
          <w:rtl/>
        </w:rPr>
        <w:t>,</w:t>
      </w:r>
      <w:r w:rsidRPr="00257F86">
        <w:rPr>
          <w:rFonts w:cs="Arial"/>
          <w:rtl/>
        </w:rPr>
        <w:t xml:space="preserve"> אלא מר איירי בתחלת דין ומר איירי בגמר דין</w:t>
      </w:r>
      <w:r>
        <w:rPr>
          <w:rFonts w:cs="Arial" w:hint="cs"/>
          <w:rtl/>
        </w:rPr>
        <w:t>,</w:t>
      </w:r>
      <w:r w:rsidRPr="00257F86">
        <w:rPr>
          <w:rFonts w:cs="Arial"/>
          <w:rtl/>
        </w:rPr>
        <w:t xml:space="preserve"> ולישנא דברייתא הכי דייקא דלא איירי אלא בתחלת דין דקתני ישיבת הדיינים בפרוטה דמשמע בשעה שיושבים הדיינים דהיינו תחלת דין הוא דבעינן פרוטה הא בתר הכי לא בעינן פרוטה</w:t>
      </w:r>
      <w:r>
        <w:rPr>
          <w:rFonts w:cs="Arial" w:hint="cs"/>
          <w:rtl/>
        </w:rPr>
        <w:t>,</w:t>
      </w:r>
      <w:r w:rsidRPr="00257F86">
        <w:rPr>
          <w:rFonts w:cs="Arial"/>
          <w:rtl/>
        </w:rPr>
        <w:t xml:space="preserve"> וזה ברור</w:t>
      </w:r>
      <w:r>
        <w:rPr>
          <w:rFonts w:cs="Arial" w:hint="cs"/>
          <w:rtl/>
        </w:rPr>
        <w:t>.</w:t>
      </w:r>
    </w:p>
  </w:footnote>
  <w:footnote w:id="297">
    <w:p w14:paraId="3644E304" w14:textId="77777777" w:rsidR="0013116F" w:rsidRDefault="0013116F" w:rsidP="004A326E">
      <w:pPr>
        <w:pStyle w:val="a9"/>
        <w:rPr>
          <w:rtl/>
        </w:rPr>
      </w:pPr>
      <w:r>
        <w:rPr>
          <w:rStyle w:val="ab"/>
        </w:rPr>
        <w:footnoteRef/>
      </w:r>
      <w:r>
        <w:rPr>
          <w:rtl/>
        </w:rPr>
        <w:t xml:space="preserve"> </w:t>
      </w:r>
      <w:r w:rsidRPr="00556372">
        <w:rPr>
          <w:rFonts w:cs="Arial"/>
          <w:rtl/>
        </w:rPr>
        <w:t>ובכלים נזקקים לפחות משוה פרוטה כדלקמן סי</w:t>
      </w:r>
      <w:r>
        <w:rPr>
          <w:rFonts w:cs="Arial" w:hint="cs"/>
          <w:rtl/>
        </w:rPr>
        <w:t>'</w:t>
      </w:r>
      <w:r w:rsidRPr="00556372">
        <w:rPr>
          <w:rFonts w:cs="Arial"/>
          <w:rtl/>
        </w:rPr>
        <w:t xml:space="preserve"> פח סע</w:t>
      </w:r>
      <w:r>
        <w:rPr>
          <w:rFonts w:cs="Arial" w:hint="cs"/>
          <w:rtl/>
        </w:rPr>
        <w:t>'</w:t>
      </w:r>
      <w:r w:rsidRPr="00556372">
        <w:rPr>
          <w:rFonts w:cs="Arial"/>
          <w:rtl/>
        </w:rPr>
        <w:t xml:space="preserve"> ג </w:t>
      </w:r>
      <w:r w:rsidRPr="00215570">
        <w:rPr>
          <w:rFonts w:cs="Arial" w:hint="cs"/>
          <w:sz w:val="16"/>
          <w:szCs w:val="16"/>
          <w:rtl/>
        </w:rPr>
        <w:t>(</w:t>
      </w:r>
      <w:r w:rsidRPr="00215570">
        <w:rPr>
          <w:rFonts w:cs="Arial"/>
          <w:sz w:val="16"/>
          <w:szCs w:val="16"/>
          <w:rtl/>
        </w:rPr>
        <w:t>כ"כ הר"ן פ</w:t>
      </w:r>
      <w:r w:rsidRPr="00215570">
        <w:rPr>
          <w:rFonts w:cs="Arial" w:hint="cs"/>
          <w:sz w:val="16"/>
          <w:szCs w:val="16"/>
          <w:rtl/>
        </w:rPr>
        <w:t>'</w:t>
      </w:r>
      <w:r w:rsidRPr="00215570">
        <w:rPr>
          <w:rFonts w:cs="Arial"/>
          <w:sz w:val="16"/>
          <w:szCs w:val="16"/>
          <w:rtl/>
        </w:rPr>
        <w:t xml:space="preserve"> שבועות הדיינים [יט</w:t>
      </w:r>
      <w:r w:rsidRPr="00215570">
        <w:rPr>
          <w:rFonts w:cs="Arial" w:hint="cs"/>
          <w:sz w:val="16"/>
          <w:szCs w:val="16"/>
          <w:rtl/>
        </w:rPr>
        <w:t>:</w:t>
      </w:r>
      <w:r w:rsidRPr="00215570">
        <w:rPr>
          <w:rFonts w:cs="Arial"/>
          <w:sz w:val="16"/>
          <w:szCs w:val="16"/>
          <w:rtl/>
        </w:rPr>
        <w:t xml:space="preserve"> מד</w:t>
      </w:r>
      <w:r w:rsidRPr="00215570">
        <w:rPr>
          <w:rFonts w:cs="Arial" w:hint="cs"/>
          <w:sz w:val="16"/>
          <w:szCs w:val="16"/>
          <w:rtl/>
        </w:rPr>
        <w:t>פ</w:t>
      </w:r>
      <w:r w:rsidRPr="00215570">
        <w:rPr>
          <w:rFonts w:cs="Arial"/>
          <w:sz w:val="16"/>
          <w:szCs w:val="16"/>
          <w:rtl/>
        </w:rPr>
        <w:t>ה</w:t>
      </w:r>
      <w:r w:rsidRPr="00215570">
        <w:rPr>
          <w:rFonts w:cs="Arial" w:hint="cs"/>
          <w:sz w:val="16"/>
          <w:szCs w:val="16"/>
          <w:rtl/>
        </w:rPr>
        <w:t>"</w:t>
      </w:r>
      <w:r w:rsidRPr="00215570">
        <w:rPr>
          <w:rFonts w:cs="Arial"/>
          <w:sz w:val="16"/>
          <w:szCs w:val="16"/>
          <w:rtl/>
        </w:rPr>
        <w:t>ר ד"ה טענו] ומביאו ב"י ר</w:t>
      </w:r>
      <w:r w:rsidRPr="00215570">
        <w:rPr>
          <w:rFonts w:cs="Arial" w:hint="cs"/>
          <w:sz w:val="16"/>
          <w:szCs w:val="16"/>
          <w:rtl/>
        </w:rPr>
        <w:t>"</w:t>
      </w:r>
      <w:r w:rsidRPr="00215570">
        <w:rPr>
          <w:rFonts w:cs="Arial"/>
          <w:sz w:val="16"/>
          <w:szCs w:val="16"/>
          <w:rtl/>
        </w:rPr>
        <w:t>ס פח, וכ</w:t>
      </w:r>
      <w:r w:rsidRPr="00215570">
        <w:rPr>
          <w:rFonts w:cs="Arial" w:hint="cs"/>
          <w:sz w:val="16"/>
          <w:szCs w:val="16"/>
          <w:rtl/>
        </w:rPr>
        <w:t>"מ</w:t>
      </w:r>
      <w:r w:rsidRPr="00215570">
        <w:rPr>
          <w:rFonts w:cs="Arial"/>
          <w:sz w:val="16"/>
          <w:szCs w:val="16"/>
          <w:rtl/>
        </w:rPr>
        <w:t xml:space="preserve"> </w:t>
      </w:r>
      <w:r w:rsidRPr="00215570">
        <w:rPr>
          <w:rFonts w:cs="Arial" w:hint="cs"/>
          <w:sz w:val="16"/>
          <w:szCs w:val="16"/>
          <w:rtl/>
        </w:rPr>
        <w:t>ברי"ו</w:t>
      </w:r>
      <w:r w:rsidRPr="00215570">
        <w:rPr>
          <w:rFonts w:cs="Arial"/>
          <w:sz w:val="16"/>
          <w:szCs w:val="16"/>
          <w:rtl/>
        </w:rPr>
        <w:t xml:space="preserve"> </w:t>
      </w:r>
      <w:r w:rsidRPr="00215570">
        <w:rPr>
          <w:rFonts w:cs="Arial" w:hint="cs"/>
          <w:sz w:val="16"/>
          <w:szCs w:val="16"/>
          <w:rtl/>
        </w:rPr>
        <w:t>(</w:t>
      </w:r>
      <w:r w:rsidRPr="00215570">
        <w:rPr>
          <w:rFonts w:cs="Arial"/>
          <w:sz w:val="16"/>
          <w:szCs w:val="16"/>
          <w:rtl/>
        </w:rPr>
        <w:t>נ"ג ח"ב</w:t>
      </w:r>
      <w:r w:rsidRPr="00215570">
        <w:rPr>
          <w:rFonts w:cs="Arial" w:hint="cs"/>
          <w:sz w:val="16"/>
          <w:szCs w:val="16"/>
          <w:rtl/>
        </w:rPr>
        <w:t>)</w:t>
      </w:r>
      <w:r w:rsidRPr="00215570">
        <w:rPr>
          <w:rFonts w:cs="Arial"/>
          <w:sz w:val="16"/>
          <w:szCs w:val="16"/>
          <w:rtl/>
        </w:rPr>
        <w:t xml:space="preserve"> וברמב"ם </w:t>
      </w:r>
      <w:r w:rsidRPr="00215570">
        <w:rPr>
          <w:rFonts w:cs="Arial" w:hint="cs"/>
          <w:sz w:val="16"/>
          <w:szCs w:val="16"/>
          <w:rtl/>
        </w:rPr>
        <w:t>(</w:t>
      </w:r>
      <w:r w:rsidRPr="00215570">
        <w:rPr>
          <w:rFonts w:cs="Arial"/>
          <w:sz w:val="16"/>
          <w:szCs w:val="16"/>
          <w:rtl/>
        </w:rPr>
        <w:t>פ"ג מטוען ה"ה</w:t>
      </w:r>
      <w:r w:rsidRPr="00215570">
        <w:rPr>
          <w:rFonts w:cs="Arial" w:hint="cs"/>
          <w:sz w:val="16"/>
          <w:szCs w:val="16"/>
          <w:rtl/>
        </w:rPr>
        <w:t>)</w:t>
      </w:r>
      <w:r w:rsidRPr="00215570">
        <w:rPr>
          <w:rFonts w:cs="Arial"/>
          <w:sz w:val="16"/>
          <w:szCs w:val="16"/>
          <w:rtl/>
        </w:rPr>
        <w:t>, ומביא המחבר לשונו סי</w:t>
      </w:r>
      <w:r w:rsidRPr="00215570">
        <w:rPr>
          <w:rFonts w:cs="Arial" w:hint="cs"/>
          <w:sz w:val="16"/>
          <w:szCs w:val="16"/>
          <w:rtl/>
        </w:rPr>
        <w:t>'</w:t>
      </w:r>
      <w:r w:rsidRPr="00215570">
        <w:rPr>
          <w:rFonts w:cs="Arial"/>
          <w:sz w:val="16"/>
          <w:szCs w:val="16"/>
          <w:rtl/>
        </w:rPr>
        <w:t xml:space="preserve"> פח סע</w:t>
      </w:r>
      <w:r w:rsidRPr="00215570">
        <w:rPr>
          <w:rFonts w:cs="Arial" w:hint="cs"/>
          <w:sz w:val="16"/>
          <w:szCs w:val="16"/>
          <w:rtl/>
        </w:rPr>
        <w:t>'</w:t>
      </w:r>
      <w:r w:rsidRPr="00215570">
        <w:rPr>
          <w:rFonts w:cs="Arial"/>
          <w:sz w:val="16"/>
          <w:szCs w:val="16"/>
          <w:rtl/>
        </w:rPr>
        <w:t xml:space="preserve"> ג' וה'</w:t>
      </w:r>
      <w:r>
        <w:rPr>
          <w:rFonts w:cs="Arial" w:hint="cs"/>
          <w:sz w:val="16"/>
          <w:szCs w:val="16"/>
          <w:rtl/>
        </w:rPr>
        <w:t>)</w:t>
      </w:r>
      <w:r w:rsidRPr="00556372">
        <w:rPr>
          <w:rFonts w:cs="Arial"/>
          <w:rtl/>
        </w:rPr>
        <w:t>. מיהו לחולקים שם</w:t>
      </w:r>
      <w:r>
        <w:rPr>
          <w:rFonts w:cs="Arial" w:hint="cs"/>
          <w:rtl/>
        </w:rPr>
        <w:t>,</w:t>
      </w:r>
      <w:r w:rsidRPr="00556372">
        <w:rPr>
          <w:rFonts w:cs="Arial"/>
          <w:rtl/>
        </w:rPr>
        <w:t xml:space="preserve"> הביאם שם בסמ"ע סק</w:t>
      </w:r>
      <w:r>
        <w:rPr>
          <w:rFonts w:cs="Arial" w:hint="cs"/>
          <w:rtl/>
        </w:rPr>
        <w:t>"</w:t>
      </w:r>
      <w:r w:rsidRPr="00556372">
        <w:rPr>
          <w:rFonts w:cs="Arial"/>
          <w:rtl/>
        </w:rPr>
        <w:t>ה</w:t>
      </w:r>
      <w:r>
        <w:rPr>
          <w:rFonts w:cs="Arial" w:hint="cs"/>
          <w:rtl/>
        </w:rPr>
        <w:t>,</w:t>
      </w:r>
      <w:r w:rsidRPr="00556372">
        <w:rPr>
          <w:rFonts w:cs="Arial"/>
          <w:rtl/>
        </w:rPr>
        <w:t xml:space="preserve"> דבפחות מש"פ לא מחשב ממון אף בכלים</w:t>
      </w:r>
      <w:r>
        <w:rPr>
          <w:rFonts w:cs="Arial" w:hint="cs"/>
          <w:sz w:val="16"/>
          <w:szCs w:val="16"/>
          <w:rtl/>
        </w:rPr>
        <w:t xml:space="preserve"> {לענין מודה במקצת}</w:t>
      </w:r>
      <w:r w:rsidRPr="00556372">
        <w:rPr>
          <w:rFonts w:cs="Arial"/>
          <w:rtl/>
        </w:rPr>
        <w:t>, נראה דה"ה הכא</w:t>
      </w:r>
      <w:r>
        <w:rPr>
          <w:rFonts w:hint="cs"/>
          <w:rtl/>
        </w:rPr>
        <w:t>, ש"ך (סק"א).</w:t>
      </w:r>
    </w:p>
  </w:footnote>
  <w:footnote w:id="298">
    <w:p w14:paraId="0BC5DBAF" w14:textId="77777777" w:rsidR="0013116F" w:rsidRDefault="0013116F" w:rsidP="004A326E">
      <w:pPr>
        <w:pStyle w:val="a9"/>
      </w:pPr>
      <w:r>
        <w:rPr>
          <w:rStyle w:val="ab"/>
        </w:rPr>
        <w:footnoteRef/>
      </w:r>
      <w:r>
        <w:rPr>
          <w:rtl/>
        </w:rPr>
        <w:t xml:space="preserve"> </w:t>
      </w:r>
      <w:r w:rsidRPr="00556372">
        <w:rPr>
          <w:rFonts w:cs="Arial"/>
          <w:rtl/>
        </w:rPr>
        <w:t xml:space="preserve">פירוש, אפילו כשהנתבע אחר גמר דינו תובע להתובע טענה שהיא פחותה משוה פרוטה. והטעם דחד דין מיקרי, דהא אם יזכה הנתבע בתביעתו ינכה אותו להתובע במה שתבעו ממנו </w:t>
      </w:r>
      <w:r w:rsidRPr="00215570">
        <w:rPr>
          <w:rFonts w:cs="Arial" w:hint="cs"/>
          <w:sz w:val="16"/>
          <w:szCs w:val="16"/>
          <w:rtl/>
        </w:rPr>
        <w:t>(</w:t>
      </w:r>
      <w:r w:rsidRPr="00215570">
        <w:rPr>
          <w:rFonts w:cs="Arial"/>
          <w:sz w:val="16"/>
          <w:szCs w:val="16"/>
          <w:rtl/>
        </w:rPr>
        <w:t>וכ"פ רש"י [ב"מ נ</w:t>
      </w:r>
      <w:r w:rsidRPr="00215570">
        <w:rPr>
          <w:rFonts w:cs="Arial" w:hint="cs"/>
          <w:sz w:val="16"/>
          <w:szCs w:val="16"/>
          <w:rtl/>
        </w:rPr>
        <w:t>ה:</w:t>
      </w:r>
      <w:r w:rsidRPr="00215570">
        <w:rPr>
          <w:rFonts w:cs="Arial"/>
          <w:sz w:val="16"/>
          <w:szCs w:val="16"/>
          <w:rtl/>
        </w:rPr>
        <w:t xml:space="preserve"> ד"ה גומרין] והכס</w:t>
      </w:r>
      <w:r w:rsidRPr="00215570">
        <w:rPr>
          <w:rFonts w:cs="Arial" w:hint="cs"/>
          <w:sz w:val="16"/>
          <w:szCs w:val="16"/>
          <w:rtl/>
        </w:rPr>
        <w:t>"</w:t>
      </w:r>
      <w:r w:rsidRPr="00215570">
        <w:rPr>
          <w:rFonts w:cs="Arial"/>
          <w:sz w:val="16"/>
          <w:szCs w:val="16"/>
          <w:rtl/>
        </w:rPr>
        <w:t>מ [פ"כ מסנהדרין הי"א]</w:t>
      </w:r>
      <w:r>
        <w:rPr>
          <w:rFonts w:cs="Arial" w:hint="cs"/>
          <w:sz w:val="16"/>
          <w:szCs w:val="16"/>
          <w:rtl/>
        </w:rPr>
        <w:t>)</w:t>
      </w:r>
      <w:r>
        <w:rPr>
          <w:rFonts w:cs="Arial" w:hint="cs"/>
          <w:rtl/>
        </w:rPr>
        <w:t>, סמ"ע (סק"ב).</w:t>
      </w:r>
    </w:p>
  </w:footnote>
  <w:footnote w:id="299">
    <w:p w14:paraId="40898A23" w14:textId="77777777" w:rsidR="0013116F" w:rsidRDefault="0013116F">
      <w:pPr>
        <w:pStyle w:val="a9"/>
        <w:rPr>
          <w:rtl/>
        </w:rPr>
      </w:pPr>
      <w:r>
        <w:rPr>
          <w:rStyle w:val="ab"/>
        </w:rPr>
        <w:footnoteRef/>
      </w:r>
      <w:r>
        <w:rPr>
          <w:rtl/>
        </w:rPr>
        <w:t xml:space="preserve"> </w:t>
      </w:r>
      <w:r>
        <w:rPr>
          <w:rFonts w:hint="cs"/>
          <w:rtl/>
        </w:rPr>
        <w:t xml:space="preserve">סימן </w:t>
      </w:r>
      <w:r>
        <w:rPr>
          <w:rtl/>
        </w:rPr>
        <w:t>–</w:t>
      </w:r>
      <w:r>
        <w:rPr>
          <w:rFonts w:hint="cs"/>
          <w:rtl/>
        </w:rPr>
        <w:t xml:space="preserve"> קרב אחיך.</w:t>
      </w:r>
    </w:p>
  </w:footnote>
  <w:footnote w:id="300">
    <w:p w14:paraId="77853814" w14:textId="77777777" w:rsidR="0013116F" w:rsidRDefault="0013116F" w:rsidP="00790E00">
      <w:pPr>
        <w:pStyle w:val="a9"/>
        <w:rPr>
          <w:rtl/>
        </w:rPr>
      </w:pPr>
      <w:r>
        <w:rPr>
          <w:rStyle w:val="ab"/>
        </w:rPr>
        <w:footnoteRef/>
      </w:r>
      <w:r w:rsidRPr="00790E00">
        <w:rPr>
          <w:rFonts w:cs="Arial"/>
          <w:rtl/>
        </w:rPr>
        <w:t xml:space="preserve"> דיני נפשות</w:t>
      </w:r>
      <w:r>
        <w:rPr>
          <w:rFonts w:cs="Arial" w:hint="cs"/>
          <w:rtl/>
        </w:rPr>
        <w:t>,</w:t>
      </w:r>
      <w:r w:rsidRPr="00790E00">
        <w:rPr>
          <w:rFonts w:cs="Arial"/>
          <w:rtl/>
        </w:rPr>
        <w:t xml:space="preserve"> דאילו דיני ממונות אפילו לכל ישראל דתנן </w:t>
      </w:r>
      <w:r w:rsidRPr="00790E00">
        <w:rPr>
          <w:rFonts w:cs="Arial"/>
          <w:sz w:val="16"/>
          <w:szCs w:val="16"/>
          <w:rtl/>
        </w:rPr>
        <w:t>(סנהדרין לב</w:t>
      </w:r>
      <w:r w:rsidRPr="00790E00">
        <w:rPr>
          <w:rFonts w:cs="Arial" w:hint="cs"/>
          <w:sz w:val="16"/>
          <w:szCs w:val="16"/>
          <w:rtl/>
        </w:rPr>
        <w:t>.</w:t>
      </w:r>
      <w:r w:rsidRPr="00790E00">
        <w:rPr>
          <w:rFonts w:cs="Arial"/>
          <w:sz w:val="16"/>
          <w:szCs w:val="16"/>
          <w:rtl/>
        </w:rPr>
        <w:t>)</w:t>
      </w:r>
      <w:r w:rsidRPr="00790E00">
        <w:rPr>
          <w:rFonts w:cs="Arial"/>
          <w:rtl/>
        </w:rPr>
        <w:t xml:space="preserve"> הכל כשרים לדון דיני ממונות ואמרי' הכל לאתויי מאי לאתויי גר</w:t>
      </w:r>
      <w:r>
        <w:rPr>
          <w:rFonts w:cs="Arial" w:hint="cs"/>
          <w:rtl/>
        </w:rPr>
        <w:t>, רש"י. וחלקו עליו ה</w:t>
      </w:r>
      <w:r w:rsidRPr="005A1056">
        <w:rPr>
          <w:rFonts w:cs="Arial"/>
          <w:rtl/>
        </w:rPr>
        <w:t>תוס</w:t>
      </w:r>
      <w:r w:rsidRPr="005A1056">
        <w:rPr>
          <w:rFonts w:cs="Arial" w:hint="cs"/>
          <w:rtl/>
        </w:rPr>
        <w:t>'</w:t>
      </w:r>
      <w:r w:rsidRPr="005A1056">
        <w:rPr>
          <w:rFonts w:cs="Arial"/>
          <w:rtl/>
        </w:rPr>
        <w:t xml:space="preserve"> </w:t>
      </w:r>
      <w:r w:rsidRPr="005A1056">
        <w:rPr>
          <w:rFonts w:cs="Arial" w:hint="cs"/>
          <w:sz w:val="16"/>
          <w:szCs w:val="16"/>
          <w:rtl/>
        </w:rPr>
        <w:t>(</w:t>
      </w:r>
      <w:r>
        <w:rPr>
          <w:rFonts w:cs="Arial" w:hint="cs"/>
          <w:sz w:val="16"/>
          <w:szCs w:val="16"/>
          <w:rtl/>
        </w:rPr>
        <w:t>סנהדרין לו: ד"ה חדא לאתויי גר</w:t>
      </w:r>
      <w:r w:rsidRPr="005A1056">
        <w:rPr>
          <w:rFonts w:cs="Arial"/>
          <w:sz w:val="16"/>
          <w:szCs w:val="16"/>
          <w:rtl/>
        </w:rPr>
        <w:t>)</w:t>
      </w:r>
      <w:r>
        <w:rPr>
          <w:rFonts w:cs="Arial" w:hint="cs"/>
          <w:rtl/>
        </w:rPr>
        <w:t xml:space="preserve"> וכתבו </w:t>
      </w:r>
      <w:r w:rsidRPr="00790E00">
        <w:rPr>
          <w:rFonts w:cs="Arial" w:hint="cs"/>
          <w:sz w:val="16"/>
          <w:szCs w:val="16"/>
          <w:rtl/>
        </w:rPr>
        <w:t xml:space="preserve">(דבאמת מהסוגיא בסנהדרין </w:t>
      </w:r>
      <w:r w:rsidRPr="00790E00">
        <w:rPr>
          <w:rFonts w:cs="Arial" w:hint="cs"/>
          <w:sz w:val="12"/>
          <w:szCs w:val="12"/>
          <w:rtl/>
        </w:rPr>
        <w:t>(לו:)</w:t>
      </w:r>
      <w:r w:rsidRPr="00790E00">
        <w:rPr>
          <w:rFonts w:cs="Arial"/>
          <w:sz w:val="12"/>
          <w:szCs w:val="12"/>
          <w:rtl/>
        </w:rPr>
        <w:t xml:space="preserve"> </w:t>
      </w:r>
      <w:r w:rsidRPr="00790E00">
        <w:rPr>
          <w:rFonts w:cs="Arial"/>
          <w:sz w:val="16"/>
          <w:szCs w:val="16"/>
          <w:rtl/>
        </w:rPr>
        <w:t>משמע דסתם גר כשר לדיני ממונות</w:t>
      </w:r>
      <w:r w:rsidRPr="00790E00">
        <w:rPr>
          <w:rFonts w:cs="Arial" w:hint="cs"/>
          <w:sz w:val="16"/>
          <w:szCs w:val="16"/>
          <w:rtl/>
        </w:rPr>
        <w:t>,</w:t>
      </w:r>
      <w:r w:rsidRPr="00790E00">
        <w:rPr>
          <w:rFonts w:cs="Arial"/>
          <w:sz w:val="16"/>
          <w:szCs w:val="16"/>
          <w:rtl/>
        </w:rPr>
        <w:t xml:space="preserve"> </w:t>
      </w:r>
      <w:r>
        <w:rPr>
          <w:rFonts w:cs="Arial" w:hint="cs"/>
          <w:sz w:val="16"/>
          <w:szCs w:val="16"/>
          <w:rtl/>
        </w:rPr>
        <w:t xml:space="preserve">אבל </w:t>
      </w:r>
      <w:r w:rsidRPr="00790E00">
        <w:rPr>
          <w:rFonts w:cs="Arial"/>
          <w:sz w:val="16"/>
          <w:szCs w:val="16"/>
          <w:rtl/>
        </w:rPr>
        <w:t>ק</w:t>
      </w:r>
      <w:r w:rsidRPr="00790E00">
        <w:rPr>
          <w:rFonts w:cs="Arial" w:hint="cs"/>
          <w:sz w:val="16"/>
          <w:szCs w:val="16"/>
          <w:rtl/>
        </w:rPr>
        <w:t>שה</w:t>
      </w:r>
      <w:r>
        <w:rPr>
          <w:rFonts w:cs="Arial" w:hint="cs"/>
          <w:sz w:val="16"/>
          <w:szCs w:val="16"/>
          <w:rtl/>
        </w:rPr>
        <w:t>,</w:t>
      </w:r>
      <w:r w:rsidRPr="00790E00">
        <w:rPr>
          <w:rFonts w:cs="Arial"/>
          <w:sz w:val="16"/>
          <w:szCs w:val="16"/>
          <w:rtl/>
        </w:rPr>
        <w:t xml:space="preserve"> דבפרק החולץ </w:t>
      </w:r>
      <w:r w:rsidRPr="00790E00">
        <w:rPr>
          <w:rFonts w:cs="Arial"/>
          <w:sz w:val="12"/>
          <w:szCs w:val="12"/>
          <w:rtl/>
        </w:rPr>
        <w:t xml:space="preserve">(יבמות מה: ושם) </w:t>
      </w:r>
      <w:r w:rsidRPr="00790E00">
        <w:rPr>
          <w:rFonts w:cs="Arial"/>
          <w:sz w:val="16"/>
          <w:szCs w:val="16"/>
          <w:rtl/>
        </w:rPr>
        <w:t>אכשריה רבא לרב מרי בר רחל ומני' אפורסי דבבל דכיון דאמו מישראל מקרב אחיך קרינא ביה</w:t>
      </w:r>
      <w:r w:rsidRPr="00790E00">
        <w:rPr>
          <w:rFonts w:cs="Arial" w:hint="cs"/>
          <w:sz w:val="16"/>
          <w:szCs w:val="16"/>
          <w:rtl/>
        </w:rPr>
        <w:t>.</w:t>
      </w:r>
      <w:r w:rsidRPr="00790E00">
        <w:rPr>
          <w:rFonts w:cs="Arial"/>
          <w:sz w:val="16"/>
          <w:szCs w:val="16"/>
          <w:rtl/>
        </w:rPr>
        <w:t xml:space="preserve"> אלמא בעיא אמו מישראל</w:t>
      </w:r>
      <w:r w:rsidRPr="00790E00">
        <w:rPr>
          <w:rFonts w:cs="Arial" w:hint="cs"/>
          <w:sz w:val="16"/>
          <w:szCs w:val="16"/>
          <w:rtl/>
        </w:rPr>
        <w:t>.</w:t>
      </w:r>
      <w:r w:rsidRPr="00790E00">
        <w:rPr>
          <w:rFonts w:cs="Arial"/>
          <w:sz w:val="16"/>
          <w:szCs w:val="16"/>
          <w:rtl/>
        </w:rPr>
        <w:t xml:space="preserve"> וי"ל</w:t>
      </w:r>
      <w:r>
        <w:rPr>
          <w:rFonts w:cs="Arial" w:hint="cs"/>
          <w:sz w:val="16"/>
          <w:szCs w:val="16"/>
          <w:rtl/>
        </w:rPr>
        <w:t>-)</w:t>
      </w:r>
      <w:r w:rsidRPr="00790E00">
        <w:rPr>
          <w:rFonts w:cs="Arial"/>
          <w:sz w:val="16"/>
          <w:szCs w:val="16"/>
          <w:rtl/>
        </w:rPr>
        <w:t xml:space="preserve"> </w:t>
      </w:r>
      <w:r w:rsidRPr="00F84EAC">
        <w:rPr>
          <w:rFonts w:cs="Arial"/>
          <w:rtl/>
        </w:rPr>
        <w:t>ד</w:t>
      </w:r>
      <w:r>
        <w:rPr>
          <w:rFonts w:cs="Arial" w:hint="cs"/>
          <w:rtl/>
        </w:rPr>
        <w:t>בסנהדרין</w:t>
      </w:r>
      <w:r w:rsidRPr="00F84EAC">
        <w:rPr>
          <w:rFonts w:cs="Arial"/>
          <w:rtl/>
        </w:rPr>
        <w:t xml:space="preserve"> </w:t>
      </w:r>
      <w:r w:rsidRPr="00790E00">
        <w:rPr>
          <w:rFonts w:cs="Arial" w:hint="cs"/>
          <w:sz w:val="16"/>
          <w:szCs w:val="16"/>
          <w:rtl/>
        </w:rPr>
        <w:t xml:space="preserve">(לו:) </w:t>
      </w:r>
      <w:r w:rsidRPr="00F84EAC">
        <w:rPr>
          <w:rFonts w:cs="Arial"/>
          <w:rtl/>
        </w:rPr>
        <w:t xml:space="preserve">מיירי לדון גר חבירו </w:t>
      </w:r>
      <w:r w:rsidRPr="00F00944">
        <w:rPr>
          <w:rFonts w:cs="Arial" w:hint="cs"/>
          <w:sz w:val="16"/>
          <w:szCs w:val="16"/>
          <w:rtl/>
        </w:rPr>
        <w:t>(</w:t>
      </w:r>
      <w:r w:rsidRPr="00F00944">
        <w:rPr>
          <w:rFonts w:cs="Arial"/>
          <w:sz w:val="16"/>
          <w:szCs w:val="16"/>
          <w:rtl/>
        </w:rPr>
        <w:t xml:space="preserve">כדאמרי' בפ' מצות חליצה </w:t>
      </w:r>
      <w:r w:rsidRPr="00F00944">
        <w:rPr>
          <w:rFonts w:cs="Arial"/>
          <w:sz w:val="12"/>
          <w:szCs w:val="12"/>
          <w:rtl/>
        </w:rPr>
        <w:t>(שם</w:t>
      </w:r>
      <w:r w:rsidRPr="00F00944">
        <w:rPr>
          <w:rFonts w:cs="Arial" w:hint="cs"/>
          <w:sz w:val="12"/>
          <w:szCs w:val="12"/>
          <w:rtl/>
        </w:rPr>
        <w:t xml:space="preserve"> </w:t>
      </w:r>
      <w:r w:rsidRPr="00F00944">
        <w:rPr>
          <w:rFonts w:cs="Arial"/>
          <w:sz w:val="12"/>
          <w:szCs w:val="12"/>
          <w:rtl/>
        </w:rPr>
        <w:t xml:space="preserve">קב. ושם) </w:t>
      </w:r>
      <w:r w:rsidRPr="00F00944">
        <w:rPr>
          <w:rFonts w:cs="Arial"/>
          <w:sz w:val="16"/>
          <w:szCs w:val="16"/>
          <w:rtl/>
        </w:rPr>
        <w:t>גר דן חבירו דבר תורה ואם היתה אמו מישראל דן אפילו ישראל ולא כמו שפ</w:t>
      </w:r>
      <w:r w:rsidRPr="00F00944">
        <w:rPr>
          <w:rFonts w:cs="Arial" w:hint="cs"/>
          <w:sz w:val="16"/>
          <w:szCs w:val="16"/>
          <w:rtl/>
        </w:rPr>
        <w:t xml:space="preserve">ירש </w:t>
      </w:r>
      <w:r w:rsidRPr="00F00944">
        <w:rPr>
          <w:rFonts w:cs="Arial"/>
          <w:sz w:val="16"/>
          <w:szCs w:val="16"/>
          <w:rtl/>
        </w:rPr>
        <w:t>ה</w:t>
      </w:r>
      <w:r w:rsidRPr="00F00944">
        <w:rPr>
          <w:rFonts w:cs="Arial" w:hint="cs"/>
          <w:sz w:val="16"/>
          <w:szCs w:val="16"/>
          <w:rtl/>
        </w:rPr>
        <w:t>קונטרס</w:t>
      </w:r>
      <w:r w:rsidRPr="00F00944">
        <w:rPr>
          <w:rFonts w:cs="Arial"/>
          <w:sz w:val="16"/>
          <w:szCs w:val="16"/>
          <w:rtl/>
        </w:rPr>
        <w:t xml:space="preserve"> דלענין דיני נפשות איירי דדן חבירו ולא ישראל אבל לדיני ממונות כשר</w:t>
      </w:r>
      <w:r w:rsidRPr="00F00944">
        <w:rPr>
          <w:rFonts w:cs="Arial" w:hint="cs"/>
          <w:sz w:val="16"/>
          <w:szCs w:val="16"/>
          <w:rtl/>
        </w:rPr>
        <w:t>,</w:t>
      </w:r>
      <w:r w:rsidRPr="00F00944">
        <w:rPr>
          <w:rFonts w:cs="Arial"/>
          <w:sz w:val="16"/>
          <w:szCs w:val="16"/>
          <w:rtl/>
        </w:rPr>
        <w:t xml:space="preserve"> ועוד דהתם מייתי קרא דמקרב אחיך ואילו דיני נפשות מימעטי בסמוך מונשאו אתך</w:t>
      </w:r>
      <w:r>
        <w:rPr>
          <w:rFonts w:cs="Arial" w:hint="cs"/>
          <w:sz w:val="16"/>
          <w:szCs w:val="16"/>
          <w:rtl/>
        </w:rPr>
        <w:t>)</w:t>
      </w:r>
      <w:r>
        <w:rPr>
          <w:rFonts w:cs="Arial" w:hint="cs"/>
          <w:rtl/>
        </w:rPr>
        <w:t>.</w:t>
      </w:r>
    </w:p>
  </w:footnote>
  <w:footnote w:id="301">
    <w:p w14:paraId="4CC54F86" w14:textId="77777777" w:rsidR="0013116F" w:rsidRDefault="0013116F">
      <w:pPr>
        <w:pStyle w:val="a9"/>
      </w:pPr>
      <w:r>
        <w:rPr>
          <w:rStyle w:val="ab"/>
        </w:rPr>
        <w:footnoteRef/>
      </w:r>
      <w:r>
        <w:rPr>
          <w:rtl/>
        </w:rPr>
        <w:t xml:space="preserve"> </w:t>
      </w:r>
      <w:r>
        <w:rPr>
          <w:rFonts w:hint="cs"/>
          <w:rtl/>
        </w:rPr>
        <w:t xml:space="preserve">סימן </w:t>
      </w:r>
      <w:r>
        <w:rPr>
          <w:rtl/>
        </w:rPr>
        <w:t>–</w:t>
      </w:r>
      <w:r>
        <w:rPr>
          <w:rFonts w:hint="cs"/>
          <w:rtl/>
        </w:rPr>
        <w:t xml:space="preserve"> משימות הכשרים. וכן </w:t>
      </w:r>
      <w:r>
        <w:rPr>
          <w:rtl/>
        </w:rPr>
        <w:t>–</w:t>
      </w:r>
      <w:r>
        <w:rPr>
          <w:rFonts w:hint="cs"/>
          <w:rtl/>
        </w:rPr>
        <w:t xml:space="preserve"> המלך מלך. וכן </w:t>
      </w:r>
      <w:r>
        <w:rPr>
          <w:rtl/>
        </w:rPr>
        <w:t>–</w:t>
      </w:r>
      <w:r>
        <w:rPr>
          <w:rFonts w:hint="cs"/>
          <w:rtl/>
        </w:rPr>
        <w:t xml:space="preserve"> מרי הוכשר.</w:t>
      </w:r>
    </w:p>
  </w:footnote>
  <w:footnote w:id="302">
    <w:p w14:paraId="4888B60D" w14:textId="77777777" w:rsidR="0013116F" w:rsidRDefault="0013116F" w:rsidP="002F64EB">
      <w:pPr>
        <w:pStyle w:val="a9"/>
      </w:pPr>
      <w:r>
        <w:rPr>
          <w:rStyle w:val="ab"/>
        </w:rPr>
        <w:footnoteRef/>
      </w:r>
      <w:r>
        <w:rPr>
          <w:rtl/>
        </w:rPr>
        <w:t xml:space="preserve"> </w:t>
      </w:r>
      <w:r w:rsidRPr="005F1C06">
        <w:rPr>
          <w:rFonts w:cs="Arial"/>
          <w:rtl/>
        </w:rPr>
        <w:t>מעובד כוכבים הבא על ישראלית הוה</w:t>
      </w:r>
      <w:r>
        <w:rPr>
          <w:rFonts w:cs="Arial" w:hint="cs"/>
          <w:rtl/>
        </w:rPr>
        <w:t>, רש"י</w:t>
      </w:r>
      <w:r w:rsidRPr="005F1C06">
        <w:rPr>
          <w:rFonts w:cs="Arial"/>
          <w:rtl/>
        </w:rPr>
        <w:t>.</w:t>
      </w:r>
    </w:p>
  </w:footnote>
  <w:footnote w:id="303">
    <w:p w14:paraId="3FBCD98E" w14:textId="77777777" w:rsidR="0013116F" w:rsidRDefault="0013116F" w:rsidP="002F64EB">
      <w:pPr>
        <w:pStyle w:val="a9"/>
      </w:pPr>
      <w:r>
        <w:rPr>
          <w:rStyle w:val="ab"/>
        </w:rPr>
        <w:footnoteRef/>
      </w:r>
      <w:r>
        <w:rPr>
          <w:rtl/>
        </w:rPr>
        <w:t xml:space="preserve"> </w:t>
      </w:r>
      <w:r w:rsidRPr="005F1C06">
        <w:rPr>
          <w:rFonts w:cs="Arial"/>
          <w:rtl/>
        </w:rPr>
        <w:t>גבאים ממונים על ישראל ואע</w:t>
      </w:r>
      <w:r>
        <w:rPr>
          <w:rFonts w:cs="Arial" w:hint="cs"/>
          <w:rtl/>
        </w:rPr>
        <w:t>"</w:t>
      </w:r>
      <w:r w:rsidRPr="005F1C06">
        <w:rPr>
          <w:rFonts w:cs="Arial"/>
          <w:rtl/>
        </w:rPr>
        <w:t>ג דגר בעלמא אסור למנותו פרנס על ישראל דאמר מר כו' האי כיון דאמו מישראל מקרב אחיך קרינן ביה</w:t>
      </w:r>
      <w:r>
        <w:rPr>
          <w:rFonts w:cs="Arial" w:hint="cs"/>
          <w:rtl/>
        </w:rPr>
        <w:t>, רש"י</w:t>
      </w:r>
      <w:r w:rsidRPr="005F1C06">
        <w:rPr>
          <w:rFonts w:cs="Arial"/>
          <w:rtl/>
        </w:rPr>
        <w:t>.</w:t>
      </w:r>
    </w:p>
  </w:footnote>
  <w:footnote w:id="304">
    <w:p w14:paraId="4AF2E557" w14:textId="77777777" w:rsidR="0013116F" w:rsidRDefault="0013116F">
      <w:pPr>
        <w:pStyle w:val="a9"/>
        <w:rPr>
          <w:rtl/>
        </w:rPr>
      </w:pPr>
      <w:r>
        <w:rPr>
          <w:rStyle w:val="ab"/>
        </w:rPr>
        <w:footnoteRef/>
      </w:r>
      <w:r>
        <w:rPr>
          <w:rtl/>
        </w:rPr>
        <w:t xml:space="preserve"> </w:t>
      </w:r>
      <w:r>
        <w:rPr>
          <w:rFonts w:hint="cs"/>
          <w:rtl/>
        </w:rPr>
        <w:t xml:space="preserve">סימן </w:t>
      </w:r>
      <w:r>
        <w:rPr>
          <w:rtl/>
        </w:rPr>
        <w:t>–</w:t>
      </w:r>
      <w:r>
        <w:rPr>
          <w:rFonts w:hint="cs"/>
          <w:rtl/>
        </w:rPr>
        <w:t xml:space="preserve"> לוט</w:t>
      </w:r>
      <w:r w:rsidRPr="00021D1A">
        <w:rPr>
          <w:sz w:val="16"/>
          <w:szCs w:val="16"/>
          <w:rtl/>
        </w:rPr>
        <w:t xml:space="preserve"> </w:t>
      </w:r>
      <w:r>
        <w:rPr>
          <w:sz w:val="16"/>
          <w:szCs w:val="16"/>
          <w:rtl/>
        </w:rPr>
        <w:t>(שהיה שופט, ומעין גר, ונכדיו ממזרים)</w:t>
      </w:r>
      <w:r>
        <w:rPr>
          <w:rFonts w:hint="cs"/>
          <w:rtl/>
        </w:rPr>
        <w:t>.</w:t>
      </w:r>
    </w:p>
  </w:footnote>
  <w:footnote w:id="305">
    <w:p w14:paraId="635522C1" w14:textId="77777777" w:rsidR="0013116F" w:rsidRDefault="0013116F" w:rsidP="00F00944">
      <w:pPr>
        <w:pStyle w:val="a9"/>
      </w:pPr>
      <w:r>
        <w:rPr>
          <w:rStyle w:val="ab"/>
        </w:rPr>
        <w:footnoteRef/>
      </w:r>
      <w:r>
        <w:rPr>
          <w:rtl/>
        </w:rPr>
        <w:t xml:space="preserve"> </w:t>
      </w:r>
      <w:r>
        <w:rPr>
          <w:rFonts w:hint="cs"/>
          <w:rtl/>
        </w:rPr>
        <w:t>בביצה (פ' בא סימן) מט ע"ב.</w:t>
      </w:r>
    </w:p>
  </w:footnote>
  <w:footnote w:id="306">
    <w:p w14:paraId="54233262" w14:textId="77777777" w:rsidR="0013116F" w:rsidRPr="00EF5D9C" w:rsidRDefault="0013116F" w:rsidP="009F70C3">
      <w:pPr>
        <w:pStyle w:val="a9"/>
        <w:rPr>
          <w:rFonts w:cs="Arial"/>
          <w:rtl/>
        </w:rPr>
      </w:pPr>
      <w:r>
        <w:rPr>
          <w:rStyle w:val="ab"/>
        </w:rPr>
        <w:footnoteRef/>
      </w:r>
      <w:r>
        <w:rPr>
          <w:rtl/>
        </w:rPr>
        <w:t xml:space="preserve"> </w:t>
      </w:r>
      <w:r w:rsidRPr="00077F9A">
        <w:rPr>
          <w:rFonts w:cs="Arial"/>
          <w:rtl/>
        </w:rPr>
        <w:t xml:space="preserve">ובמרדכי </w:t>
      </w:r>
      <w:r>
        <w:rPr>
          <w:rFonts w:cs="Arial" w:hint="cs"/>
          <w:rtl/>
        </w:rPr>
        <w:t>(</w:t>
      </w:r>
      <w:r w:rsidRPr="00077F9A">
        <w:rPr>
          <w:rFonts w:cs="Arial"/>
          <w:rtl/>
        </w:rPr>
        <w:t>פ</w:t>
      </w:r>
      <w:r>
        <w:rPr>
          <w:rFonts w:cs="Arial" w:hint="cs"/>
          <w:rtl/>
        </w:rPr>
        <w:t>'</w:t>
      </w:r>
      <w:r w:rsidRPr="00077F9A">
        <w:rPr>
          <w:rFonts w:cs="Arial"/>
          <w:rtl/>
        </w:rPr>
        <w:t xml:space="preserve"> מצות חליצה</w:t>
      </w:r>
      <w:r>
        <w:rPr>
          <w:rFonts w:cs="Arial" w:hint="cs"/>
          <w:rtl/>
        </w:rPr>
        <w:t>,</w:t>
      </w:r>
      <w:r w:rsidRPr="00077F9A">
        <w:rPr>
          <w:rFonts w:cs="Arial"/>
          <w:rtl/>
        </w:rPr>
        <w:t xml:space="preserve"> הגהות סי' קיט) משמע דדוקא בלא כפיה וכו'</w:t>
      </w:r>
      <w:r>
        <w:rPr>
          <w:rFonts w:cs="Arial" w:hint="cs"/>
          <w:rtl/>
        </w:rPr>
        <w:t xml:space="preserve">, דרכ"מ (אות א). והביא הסמ"ע (סק"ד) את דבריו וכתב- </w:t>
      </w:r>
      <w:r w:rsidRPr="00A41917">
        <w:rPr>
          <w:rFonts w:cs="Arial"/>
          <w:rtl/>
        </w:rPr>
        <w:t>ומשמעות זה לא מצאתי שם במרדכי, והרא"ש [שם פי"ב סי' ב'] וגם ביו"ד ס</w:t>
      </w:r>
      <w:r>
        <w:rPr>
          <w:rFonts w:cs="Arial" w:hint="cs"/>
          <w:rtl/>
        </w:rPr>
        <w:t>"</w:t>
      </w:r>
      <w:r w:rsidRPr="00A41917">
        <w:rPr>
          <w:rFonts w:cs="Arial"/>
          <w:rtl/>
        </w:rPr>
        <w:t>ס רסט [בטור] פסקו שם בהדיא דאפילו בכפיה מותר לדון גר חבירו. ובלא כפיה מותר לדון אפילו לישראל</w:t>
      </w:r>
      <w:r>
        <w:rPr>
          <w:rFonts w:cs="Arial" w:hint="cs"/>
          <w:rtl/>
        </w:rPr>
        <w:t>. וכ"פ הב"ח (סע' א) והש"ך (סק"א).</w:t>
      </w:r>
    </w:p>
  </w:footnote>
  <w:footnote w:id="307">
    <w:p w14:paraId="6550C57F" w14:textId="77777777" w:rsidR="0013116F" w:rsidRDefault="0013116F" w:rsidP="005A3385">
      <w:pPr>
        <w:pStyle w:val="a9"/>
        <w:rPr>
          <w:rtl/>
        </w:rPr>
      </w:pPr>
      <w:r>
        <w:rPr>
          <w:rStyle w:val="ab"/>
        </w:rPr>
        <w:footnoteRef/>
      </w:r>
      <w:r>
        <w:rPr>
          <w:rtl/>
        </w:rPr>
        <w:t xml:space="preserve"> </w:t>
      </w:r>
      <w:r w:rsidRPr="000D04D4">
        <w:rPr>
          <w:rFonts w:cs="Arial"/>
          <w:rtl/>
        </w:rPr>
        <w:t>ו</w:t>
      </w:r>
      <w:r w:rsidRPr="000D04D4">
        <w:rPr>
          <w:rFonts w:cs="Arial" w:hint="cs"/>
          <w:rtl/>
        </w:rPr>
        <w:t>כ' הב"י ד</w:t>
      </w:r>
      <w:r w:rsidRPr="000D04D4">
        <w:rPr>
          <w:rFonts w:cs="Arial"/>
          <w:rtl/>
        </w:rPr>
        <w:t>משמע דהוא הדין לשלשתן גרים שאמם מישראל כשרים לדון</w:t>
      </w:r>
      <w:r w:rsidRPr="000D04D4">
        <w:rPr>
          <w:rFonts w:cs="Arial" w:hint="cs"/>
          <w:rtl/>
        </w:rPr>
        <w:t>.</w:t>
      </w:r>
    </w:p>
  </w:footnote>
  <w:footnote w:id="308">
    <w:p w14:paraId="66B5888E" w14:textId="77777777" w:rsidR="0013116F" w:rsidRDefault="0013116F" w:rsidP="004A326E">
      <w:pPr>
        <w:pStyle w:val="a9"/>
      </w:pPr>
      <w:r>
        <w:rPr>
          <w:rStyle w:val="ab"/>
        </w:rPr>
        <w:footnoteRef/>
      </w:r>
      <w:r>
        <w:rPr>
          <w:rtl/>
        </w:rPr>
        <w:t xml:space="preserve"> </w:t>
      </w:r>
      <w:r w:rsidRPr="00077F9A">
        <w:rPr>
          <w:rFonts w:cs="Arial"/>
          <w:rtl/>
        </w:rPr>
        <w:t>ומשמע מדבריהם דהא דאמרינן כיון דאמו מישראל מקרב אחיך קרינא ביה לרבותא נקט אמו מישראל וכל שכן לאביו מישראל ואע</w:t>
      </w:r>
      <w:r>
        <w:rPr>
          <w:rFonts w:cs="Arial" w:hint="cs"/>
          <w:rtl/>
        </w:rPr>
        <w:t>"</w:t>
      </w:r>
      <w:r w:rsidRPr="00077F9A">
        <w:rPr>
          <w:rFonts w:cs="Arial"/>
          <w:rtl/>
        </w:rPr>
        <w:t>ג דאין אמו מישראל</w:t>
      </w:r>
      <w:r>
        <w:rPr>
          <w:rFonts w:cs="Arial" w:hint="cs"/>
          <w:rtl/>
        </w:rPr>
        <w:t>, ב"י.</w:t>
      </w:r>
    </w:p>
  </w:footnote>
  <w:footnote w:id="309">
    <w:p w14:paraId="5D448D3F" w14:textId="77777777" w:rsidR="0013116F" w:rsidRDefault="0013116F" w:rsidP="004A326E">
      <w:pPr>
        <w:pStyle w:val="a9"/>
        <w:rPr>
          <w:rtl/>
        </w:rPr>
      </w:pPr>
      <w:r>
        <w:rPr>
          <w:rStyle w:val="ab"/>
        </w:rPr>
        <w:footnoteRef/>
      </w:r>
      <w:r>
        <w:rPr>
          <w:rtl/>
        </w:rPr>
        <w:t xml:space="preserve"> </w:t>
      </w:r>
      <w:r w:rsidRPr="00A41917">
        <w:rPr>
          <w:rFonts w:cs="Arial"/>
          <w:rtl/>
        </w:rPr>
        <w:t>ואפילו זרע זרען דגרים אסור בכל שימות, וכ</w:t>
      </w:r>
      <w:r>
        <w:rPr>
          <w:rFonts w:cs="Arial" w:hint="cs"/>
          <w:rtl/>
        </w:rPr>
        <w:t>"</w:t>
      </w:r>
      <w:r w:rsidRPr="00A41917">
        <w:rPr>
          <w:rFonts w:cs="Arial"/>
          <w:rtl/>
        </w:rPr>
        <w:t>כ הרמב"ם בפ"ק דהל</w:t>
      </w:r>
      <w:r>
        <w:rPr>
          <w:rFonts w:cs="Arial" w:hint="cs"/>
          <w:rtl/>
        </w:rPr>
        <w:t>'</w:t>
      </w:r>
      <w:r w:rsidRPr="00A41917">
        <w:rPr>
          <w:rFonts w:cs="Arial"/>
          <w:rtl/>
        </w:rPr>
        <w:t xml:space="preserve"> מלכים [ה"ד] ע"ש, והיינו דוקא עליך, אבל גר אגר חבירו לא מיעטו קרא</w:t>
      </w:r>
      <w:r>
        <w:rPr>
          <w:rFonts w:hint="cs"/>
          <w:rtl/>
        </w:rPr>
        <w:t>, סמ"ע (סק"א).</w:t>
      </w:r>
    </w:p>
  </w:footnote>
  <w:footnote w:id="310">
    <w:p w14:paraId="29EB85AD" w14:textId="77777777" w:rsidR="0013116F" w:rsidRDefault="0013116F">
      <w:pPr>
        <w:pStyle w:val="a9"/>
      </w:pPr>
      <w:r>
        <w:rPr>
          <w:rStyle w:val="ab"/>
        </w:rPr>
        <w:footnoteRef/>
      </w:r>
      <w:r>
        <w:rPr>
          <w:rtl/>
        </w:rPr>
        <w:t xml:space="preserve"> </w:t>
      </w:r>
      <w:r w:rsidRPr="00425710">
        <w:rPr>
          <w:rFonts w:cs="Arial"/>
          <w:rtl/>
        </w:rPr>
        <w:t>היינו גר ממש</w:t>
      </w:r>
      <w:r>
        <w:rPr>
          <w:rFonts w:cs="Arial" w:hint="cs"/>
          <w:rtl/>
        </w:rPr>
        <w:t>,</w:t>
      </w:r>
      <w:r w:rsidRPr="00425710">
        <w:rPr>
          <w:rFonts w:cs="Arial"/>
          <w:rtl/>
        </w:rPr>
        <w:t xml:space="preserve"> אבל הורתו ולידתו בקדושה ישראל מעלי</w:t>
      </w:r>
      <w:r>
        <w:rPr>
          <w:rFonts w:cs="Arial" w:hint="cs"/>
          <w:rtl/>
        </w:rPr>
        <w:t>ה</w:t>
      </w:r>
      <w:r w:rsidRPr="00425710">
        <w:rPr>
          <w:rFonts w:cs="Arial"/>
          <w:rtl/>
        </w:rPr>
        <w:t xml:space="preserve"> הוי</w:t>
      </w:r>
      <w:r>
        <w:rPr>
          <w:rFonts w:cs="Arial" w:hint="cs"/>
          <w:rtl/>
        </w:rPr>
        <w:t>,</w:t>
      </w:r>
      <w:r w:rsidRPr="00425710">
        <w:rPr>
          <w:rFonts w:cs="Arial"/>
          <w:rtl/>
        </w:rPr>
        <w:t xml:space="preserve"> וצריך הדיין להיות אמו מישראל</w:t>
      </w:r>
      <w:r w:rsidRPr="0071046D">
        <w:rPr>
          <w:rFonts w:cs="Arial" w:hint="cs"/>
          <w:sz w:val="16"/>
          <w:szCs w:val="16"/>
          <w:rtl/>
        </w:rPr>
        <w:t xml:space="preserve"> </w:t>
      </w:r>
      <w:r>
        <w:rPr>
          <w:rFonts w:cs="Arial" w:hint="cs"/>
          <w:sz w:val="16"/>
          <w:szCs w:val="16"/>
          <w:rtl/>
        </w:rPr>
        <w:t>{</w:t>
      </w:r>
      <w:r w:rsidRPr="00425710">
        <w:rPr>
          <w:rFonts w:cs="Arial" w:hint="cs"/>
          <w:sz w:val="16"/>
          <w:szCs w:val="16"/>
          <w:rtl/>
        </w:rPr>
        <w:t>ש</w:t>
      </w:r>
      <w:r w:rsidRPr="00425710">
        <w:rPr>
          <w:rFonts w:cs="Arial"/>
          <w:sz w:val="16"/>
          <w:szCs w:val="16"/>
          <w:rtl/>
        </w:rPr>
        <w:t>בדיין לא סגי הורתו ולידתו בקדושה</w:t>
      </w:r>
      <w:r>
        <w:rPr>
          <w:rFonts w:cs="Arial" w:hint="cs"/>
          <w:sz w:val="16"/>
          <w:szCs w:val="16"/>
          <w:rtl/>
        </w:rPr>
        <w:t>}</w:t>
      </w:r>
      <w:r>
        <w:rPr>
          <w:rFonts w:cs="Arial" w:hint="cs"/>
          <w:rtl/>
        </w:rPr>
        <w:t xml:space="preserve">, </w:t>
      </w:r>
      <w:r w:rsidRPr="00425710">
        <w:rPr>
          <w:rFonts w:cs="Arial"/>
          <w:rtl/>
        </w:rPr>
        <w:t>כ"כ תוס' יבמות דף צ"ח ע"א ודף ק"ב ע"א</w:t>
      </w:r>
      <w:r>
        <w:rPr>
          <w:rFonts w:cs="Arial" w:hint="cs"/>
          <w:rtl/>
        </w:rPr>
        <w:t>, רעק"א.</w:t>
      </w:r>
      <w:r>
        <w:rPr>
          <w:rFonts w:hint="cs"/>
          <w:rtl/>
        </w:rPr>
        <w:t xml:space="preserve"> </w:t>
      </w:r>
      <w:r w:rsidRPr="0071046D">
        <w:rPr>
          <w:rFonts w:hint="cs"/>
          <w:color w:val="FF0000"/>
          <w:rtl/>
        </w:rPr>
        <w:t>והביא דבריו הפת"ש (סק"א) וצריך שוב לעיין בפת"ש ובברכ"י.</w:t>
      </w:r>
    </w:p>
  </w:footnote>
  <w:footnote w:id="311">
    <w:p w14:paraId="4B7404E1" w14:textId="77777777" w:rsidR="0013116F" w:rsidRDefault="0013116F" w:rsidP="00021D1A">
      <w:pPr>
        <w:pStyle w:val="a9"/>
        <w:rPr>
          <w:rtl/>
        </w:rPr>
      </w:pPr>
      <w:r>
        <w:rPr>
          <w:rStyle w:val="ab"/>
        </w:rPr>
        <w:footnoteRef/>
      </w:r>
      <w:r>
        <w:rPr>
          <w:rtl/>
        </w:rPr>
        <w:t xml:space="preserve"> </w:t>
      </w:r>
      <w:r>
        <w:rPr>
          <w:rFonts w:hint="cs"/>
          <w:rtl/>
        </w:rPr>
        <w:t xml:space="preserve">סימן </w:t>
      </w:r>
      <w:r>
        <w:rPr>
          <w:rtl/>
        </w:rPr>
        <w:t>–</w:t>
      </w:r>
      <w:r>
        <w:rPr>
          <w:rFonts w:hint="cs"/>
          <w:rtl/>
        </w:rPr>
        <w:t xml:space="preserve"> לוט</w:t>
      </w:r>
      <w:r w:rsidRPr="00021D1A">
        <w:rPr>
          <w:sz w:val="16"/>
          <w:szCs w:val="16"/>
          <w:rtl/>
        </w:rPr>
        <w:t xml:space="preserve"> </w:t>
      </w:r>
      <w:r>
        <w:rPr>
          <w:sz w:val="16"/>
          <w:szCs w:val="16"/>
          <w:rtl/>
        </w:rPr>
        <w:t>(שהיה שופט, ומעין גר, ונכדיו ממזרים)</w:t>
      </w:r>
      <w:r>
        <w:rPr>
          <w:rFonts w:hint="cs"/>
          <w:rtl/>
        </w:rPr>
        <w:t>.</w:t>
      </w:r>
    </w:p>
  </w:footnote>
  <w:footnote w:id="312">
    <w:p w14:paraId="3CEC0D12" w14:textId="77777777" w:rsidR="0013116F" w:rsidRDefault="0013116F" w:rsidP="000D04D4">
      <w:pPr>
        <w:pStyle w:val="a9"/>
      </w:pPr>
      <w:r>
        <w:rPr>
          <w:rStyle w:val="ab"/>
        </w:rPr>
        <w:footnoteRef/>
      </w:r>
      <w:r>
        <w:rPr>
          <w:rtl/>
        </w:rPr>
        <w:t xml:space="preserve"> </w:t>
      </w:r>
      <w:r>
        <w:rPr>
          <w:rFonts w:hint="cs"/>
          <w:rtl/>
        </w:rPr>
        <w:t>בביצה (פ' בא סימן) מט ע"ב.</w:t>
      </w:r>
    </w:p>
  </w:footnote>
  <w:footnote w:id="313">
    <w:p w14:paraId="46BE4381" w14:textId="77777777" w:rsidR="0013116F" w:rsidRDefault="0013116F" w:rsidP="00084BA9">
      <w:pPr>
        <w:pStyle w:val="a9"/>
        <w:rPr>
          <w:rtl/>
        </w:rPr>
      </w:pPr>
      <w:r>
        <w:rPr>
          <w:rStyle w:val="ab"/>
        </w:rPr>
        <w:footnoteRef/>
      </w:r>
      <w:r>
        <w:rPr>
          <w:rtl/>
        </w:rPr>
        <w:t xml:space="preserve"> </w:t>
      </w:r>
      <w:r>
        <w:rPr>
          <w:rFonts w:hint="cs"/>
          <w:rtl/>
        </w:rPr>
        <w:t xml:space="preserve">סימן </w:t>
      </w:r>
      <w:r>
        <w:rPr>
          <w:rtl/>
        </w:rPr>
        <w:t>–</w:t>
      </w:r>
      <w:r>
        <w:rPr>
          <w:rFonts w:hint="cs"/>
          <w:rtl/>
        </w:rPr>
        <w:t xml:space="preserve"> לא דן ללא דימוי.</w:t>
      </w:r>
    </w:p>
  </w:footnote>
  <w:footnote w:id="314">
    <w:p w14:paraId="0C308F26" w14:textId="77777777" w:rsidR="0013116F" w:rsidRDefault="0013116F" w:rsidP="00A62302">
      <w:pPr>
        <w:pStyle w:val="a9"/>
        <w:rPr>
          <w:rtl/>
        </w:rPr>
      </w:pPr>
      <w:r>
        <w:rPr>
          <w:rStyle w:val="ab"/>
        </w:rPr>
        <w:footnoteRef/>
      </w:r>
      <w:r>
        <w:rPr>
          <w:rtl/>
        </w:rPr>
        <w:t xml:space="preserve"> </w:t>
      </w:r>
      <w:r w:rsidRPr="003850CA">
        <w:rPr>
          <w:rFonts w:cs="Arial"/>
          <w:rtl/>
        </w:rPr>
        <w:t>דכשר להעיד ואינו כשר לדון אבל בשתי עיניו אפילו לעדות פסול דכתיב (ויקרא ה) או ראה</w:t>
      </w:r>
      <w:r>
        <w:rPr>
          <w:rFonts w:cs="Arial" w:hint="cs"/>
          <w:rtl/>
        </w:rPr>
        <w:t>, רש"י (נדה דף מט סוע"ב)</w:t>
      </w:r>
      <w:r w:rsidRPr="003850CA">
        <w:rPr>
          <w:rFonts w:cs="Arial"/>
          <w:rtl/>
        </w:rPr>
        <w:t>.</w:t>
      </w:r>
    </w:p>
  </w:footnote>
  <w:footnote w:id="315">
    <w:p w14:paraId="3DF04BC5" w14:textId="77777777" w:rsidR="0013116F" w:rsidRDefault="0013116F" w:rsidP="00A62302">
      <w:pPr>
        <w:pStyle w:val="a9"/>
      </w:pPr>
      <w:r>
        <w:rPr>
          <w:rStyle w:val="ab"/>
        </w:rPr>
        <w:footnoteRef/>
      </w:r>
      <w:r>
        <w:rPr>
          <w:rtl/>
        </w:rPr>
        <w:t xml:space="preserve"> </w:t>
      </w:r>
      <w:r w:rsidRPr="004052EA">
        <w:rPr>
          <w:rFonts w:cs="Arial"/>
          <w:rtl/>
        </w:rPr>
        <w:t>דמכשר סומין</w:t>
      </w:r>
      <w:r>
        <w:rPr>
          <w:rFonts w:cs="Arial" w:hint="cs"/>
          <w:rtl/>
        </w:rPr>
        <w:t>, רש"י</w:t>
      </w:r>
      <w:r w:rsidRPr="004052EA">
        <w:rPr>
          <w:rFonts w:cs="Arial"/>
          <w:rtl/>
        </w:rPr>
        <w:t>.</w:t>
      </w:r>
    </w:p>
  </w:footnote>
  <w:footnote w:id="316">
    <w:p w14:paraId="4697896D" w14:textId="77777777" w:rsidR="0013116F" w:rsidRDefault="0013116F" w:rsidP="00A62302">
      <w:pPr>
        <w:pStyle w:val="a9"/>
        <w:rPr>
          <w:rtl/>
        </w:rPr>
      </w:pPr>
      <w:r>
        <w:rPr>
          <w:rStyle w:val="ab"/>
        </w:rPr>
        <w:footnoteRef/>
      </w:r>
      <w:r>
        <w:rPr>
          <w:rtl/>
        </w:rPr>
        <w:t xml:space="preserve"> </w:t>
      </w:r>
      <w:r>
        <w:rPr>
          <w:rFonts w:cs="Arial" w:hint="cs"/>
          <w:rtl/>
        </w:rPr>
        <w:t xml:space="preserve">דומיא דסומא, רש"י. (ובנדה [נ.] פירש רש"י - </w:t>
      </w:r>
      <w:r w:rsidRPr="003850CA">
        <w:rPr>
          <w:rFonts w:cs="Arial"/>
          <w:rtl/>
        </w:rPr>
        <w:t>אלמא לא מקשינן ריבים לנגעים דכתיב וביום הראות בו בשר וכי היכי דלענין לילה לא מקיש</w:t>
      </w:r>
      <w:r>
        <w:rPr>
          <w:rFonts w:cs="Arial" w:hint="cs"/>
          <w:rtl/>
        </w:rPr>
        <w:t>,</w:t>
      </w:r>
      <w:r w:rsidRPr="003850CA">
        <w:rPr>
          <w:rFonts w:cs="Arial"/>
          <w:rtl/>
        </w:rPr>
        <w:t xml:space="preserve"> לענין סומא נמי לא מקיש</w:t>
      </w:r>
      <w:r>
        <w:rPr>
          <w:rFonts w:cs="Arial" w:hint="cs"/>
          <w:rtl/>
        </w:rPr>
        <w:t>)</w:t>
      </w:r>
    </w:p>
  </w:footnote>
  <w:footnote w:id="317">
    <w:p w14:paraId="3E7FF1AA" w14:textId="77777777" w:rsidR="0013116F" w:rsidRDefault="0013116F" w:rsidP="00A62302">
      <w:pPr>
        <w:pStyle w:val="a9"/>
      </w:pPr>
      <w:r>
        <w:rPr>
          <w:rStyle w:val="ab"/>
        </w:rPr>
        <w:footnoteRef/>
      </w:r>
      <w:r>
        <w:rPr>
          <w:rtl/>
        </w:rPr>
        <w:t xml:space="preserve"> </w:t>
      </w:r>
      <w:r w:rsidRPr="004052EA">
        <w:rPr>
          <w:rFonts w:cs="Arial"/>
          <w:rtl/>
        </w:rPr>
        <w:t>דההיא ר' מאיר היא, וכיון דבדוכתא אחריתי הדר רבי וסתם כרבנן - עבדינא כוותיה</w:t>
      </w:r>
      <w:r>
        <w:rPr>
          <w:rFonts w:cs="Arial" w:hint="cs"/>
          <w:rtl/>
        </w:rPr>
        <w:t>, רש"י.</w:t>
      </w:r>
    </w:p>
  </w:footnote>
  <w:footnote w:id="318">
    <w:p w14:paraId="4D66E325" w14:textId="77777777" w:rsidR="0013116F" w:rsidRPr="003850CA" w:rsidRDefault="0013116F" w:rsidP="004A326E">
      <w:pPr>
        <w:pStyle w:val="a9"/>
        <w:rPr>
          <w:rFonts w:cs="Arial"/>
          <w:rtl/>
        </w:rPr>
      </w:pPr>
      <w:r>
        <w:rPr>
          <w:rStyle w:val="ab"/>
        </w:rPr>
        <w:footnoteRef/>
      </w:r>
      <w:r>
        <w:rPr>
          <w:rtl/>
        </w:rPr>
        <w:t xml:space="preserve"> </w:t>
      </w:r>
      <w:r w:rsidRPr="004052EA">
        <w:rPr>
          <w:rFonts w:cs="Arial"/>
          <w:rtl/>
        </w:rPr>
        <w:t>להא דדנין בלילה גבי הלכתא דדינא הכא בסנהדרין (לב</w:t>
      </w:r>
      <w:r>
        <w:rPr>
          <w:rFonts w:cs="Arial" w:hint="cs"/>
          <w:rtl/>
        </w:rPr>
        <w:t>.</w:t>
      </w:r>
      <w:r w:rsidRPr="004052EA">
        <w:rPr>
          <w:rFonts w:cs="Arial"/>
          <w:rtl/>
        </w:rPr>
        <w:t>) תניא רבי גבי דיני ממונות שמע מינה עיקר היא למילף מינה, דאילו ההיא דכל הכשר במסכת נדה (מט</w:t>
      </w:r>
      <w:r>
        <w:rPr>
          <w:rFonts w:cs="Arial" w:hint="cs"/>
          <w:rtl/>
        </w:rPr>
        <w:t>:</w:t>
      </w:r>
      <w:r w:rsidRPr="004052EA">
        <w:rPr>
          <w:rFonts w:cs="Arial"/>
          <w:rtl/>
        </w:rPr>
        <w:t>) תניא רבי אגב גררא, דתניא התם כי הני מילי טובא בפרק בא סימן, הלכך לאו אליבא דהלכתא סתם אלא משום דמצריך, ותני הנך דדמו אהדדי כגון כל שחייב בראשית הגז - חייב במתנות, ויש שחייב במתנות ואין חייב בראשית הגז ודכוותיה טובא</w:t>
      </w:r>
      <w:r>
        <w:rPr>
          <w:rFonts w:cs="Arial" w:hint="cs"/>
          <w:rtl/>
        </w:rPr>
        <w:t>, רש"י.</w:t>
      </w:r>
    </w:p>
  </w:footnote>
  <w:footnote w:id="319">
    <w:p w14:paraId="7F24DADA" w14:textId="77777777" w:rsidR="0013116F" w:rsidRDefault="0013116F" w:rsidP="004A326E">
      <w:pPr>
        <w:pStyle w:val="a9"/>
      </w:pPr>
      <w:r>
        <w:rPr>
          <w:rStyle w:val="ab"/>
        </w:rPr>
        <w:footnoteRef/>
      </w:r>
      <w:r>
        <w:rPr>
          <w:rtl/>
        </w:rPr>
        <w:t xml:space="preserve"> </w:t>
      </w:r>
      <w:r w:rsidRPr="00A41917">
        <w:rPr>
          <w:rFonts w:cs="Arial"/>
          <w:rtl/>
        </w:rPr>
        <w:t>בב</w:t>
      </w:r>
      <w:r>
        <w:rPr>
          <w:rFonts w:cs="Arial" w:hint="cs"/>
          <w:rtl/>
        </w:rPr>
        <w:t>"י</w:t>
      </w:r>
      <w:r w:rsidRPr="00A41917">
        <w:rPr>
          <w:rFonts w:cs="Arial"/>
          <w:rtl/>
        </w:rPr>
        <w:t xml:space="preserve"> [סע</w:t>
      </w:r>
      <w:r>
        <w:rPr>
          <w:rFonts w:cs="Arial" w:hint="cs"/>
          <w:rtl/>
        </w:rPr>
        <w:t>'</w:t>
      </w:r>
      <w:r w:rsidRPr="00A41917">
        <w:rPr>
          <w:rFonts w:cs="Arial"/>
          <w:rtl/>
        </w:rPr>
        <w:t xml:space="preserve"> ב ד"ה וכתבו] ובדרכ</w:t>
      </w:r>
      <w:r>
        <w:rPr>
          <w:rFonts w:cs="Arial" w:hint="cs"/>
          <w:rtl/>
        </w:rPr>
        <w:t>"מ</w:t>
      </w:r>
      <w:r w:rsidRPr="00A41917">
        <w:rPr>
          <w:rFonts w:cs="Arial"/>
          <w:rtl/>
        </w:rPr>
        <w:t xml:space="preserve"> כתבו דה</w:t>
      </w:r>
      <w:r>
        <w:rPr>
          <w:rFonts w:cs="Arial" w:hint="cs"/>
          <w:rtl/>
        </w:rPr>
        <w:t>"</w:t>
      </w:r>
      <w:r w:rsidRPr="00A41917">
        <w:rPr>
          <w:rFonts w:cs="Arial"/>
          <w:rtl/>
        </w:rPr>
        <w:t>ה בשלשה גרים שאמן מישראל דכשרים לדון ישראלים</w:t>
      </w:r>
      <w:r>
        <w:rPr>
          <w:rFonts w:cs="Arial" w:hint="cs"/>
          <w:rtl/>
        </w:rPr>
        <w:t>, סמ"ע (סק"ה).</w:t>
      </w:r>
    </w:p>
  </w:footnote>
  <w:footnote w:id="320">
    <w:p w14:paraId="43ECEA49" w14:textId="77777777" w:rsidR="0013116F" w:rsidRDefault="0013116F" w:rsidP="004A326E">
      <w:pPr>
        <w:pStyle w:val="a9"/>
      </w:pPr>
      <w:r>
        <w:rPr>
          <w:rStyle w:val="ab"/>
        </w:rPr>
        <w:footnoteRef/>
      </w:r>
      <w:r>
        <w:rPr>
          <w:rtl/>
        </w:rPr>
        <w:t xml:space="preserve"> </w:t>
      </w:r>
      <w:r w:rsidRPr="00E978F6">
        <w:rPr>
          <w:rFonts w:cs="Arial"/>
          <w:rtl/>
        </w:rPr>
        <w:t>פירוש אפילו בתחילת דין. ובפרישה [סעיף ד'] כתבתי הטעם בשם הרא"ש דכיון דכל העולם גומרים בלילה, וסומא באחת מעיניו חזא טפי ביום, משום הכי דן אפילו בתחילת דין</w:t>
      </w:r>
      <w:r>
        <w:rPr>
          <w:rFonts w:cs="Arial" w:hint="cs"/>
          <w:rtl/>
        </w:rPr>
        <w:t>, סמ"ע (סק"ו).</w:t>
      </w:r>
    </w:p>
  </w:footnote>
  <w:footnote w:id="321">
    <w:p w14:paraId="72E4CD8E" w14:textId="77777777" w:rsidR="0013116F" w:rsidRDefault="0013116F" w:rsidP="004A326E">
      <w:pPr>
        <w:pStyle w:val="a9"/>
        <w:rPr>
          <w:rtl/>
        </w:rPr>
      </w:pPr>
      <w:r>
        <w:rPr>
          <w:rStyle w:val="ab"/>
        </w:rPr>
        <w:footnoteRef/>
      </w:r>
      <w:r>
        <w:rPr>
          <w:rtl/>
        </w:rPr>
        <w:t xml:space="preserve"> </w:t>
      </w:r>
      <w:r w:rsidRPr="00E978F6">
        <w:rPr>
          <w:rFonts w:cs="Arial"/>
          <w:rtl/>
        </w:rPr>
        <w:t>דכיון דלכו</w:t>
      </w:r>
      <w:r>
        <w:rPr>
          <w:rFonts w:cs="Arial" w:hint="cs"/>
          <w:rtl/>
        </w:rPr>
        <w:t>"ע</w:t>
      </w:r>
      <w:r w:rsidRPr="00E978F6">
        <w:rPr>
          <w:rFonts w:cs="Arial"/>
          <w:rtl/>
        </w:rPr>
        <w:t xml:space="preserve"> בלילה אסור לדון, ולזה ביממא לילה הוא</w:t>
      </w:r>
      <w:r>
        <w:rPr>
          <w:rFonts w:hint="cs"/>
          <w:rtl/>
        </w:rPr>
        <w:t xml:space="preserve">, סמ"ע </w:t>
      </w:r>
      <w:r w:rsidRPr="00E978F6">
        <w:rPr>
          <w:rFonts w:hint="cs"/>
          <w:sz w:val="16"/>
          <w:szCs w:val="16"/>
          <w:rtl/>
        </w:rPr>
        <w:t>(סק"ז)</w:t>
      </w:r>
      <w:r>
        <w:rPr>
          <w:rFonts w:hint="cs"/>
          <w:rtl/>
        </w:rPr>
        <w:t xml:space="preserve">. וכתב </w:t>
      </w:r>
      <w:r w:rsidRPr="00E978F6">
        <w:rPr>
          <w:rFonts w:cs="Arial"/>
          <w:rtl/>
        </w:rPr>
        <w:t xml:space="preserve">הב"ח </w:t>
      </w:r>
      <w:r w:rsidRPr="00E978F6">
        <w:rPr>
          <w:rFonts w:cs="Arial" w:hint="cs"/>
          <w:sz w:val="16"/>
          <w:szCs w:val="16"/>
          <w:rtl/>
        </w:rPr>
        <w:t>(</w:t>
      </w:r>
      <w:r w:rsidRPr="00E978F6">
        <w:rPr>
          <w:rFonts w:cs="Arial"/>
          <w:sz w:val="16"/>
          <w:szCs w:val="16"/>
          <w:rtl/>
        </w:rPr>
        <w:t>סע</w:t>
      </w:r>
      <w:r w:rsidRPr="00E978F6">
        <w:rPr>
          <w:rFonts w:cs="Arial" w:hint="cs"/>
          <w:sz w:val="16"/>
          <w:szCs w:val="16"/>
          <w:rtl/>
        </w:rPr>
        <w:t>'</w:t>
      </w:r>
      <w:r w:rsidRPr="00E978F6">
        <w:rPr>
          <w:rFonts w:cs="Arial"/>
          <w:sz w:val="16"/>
          <w:szCs w:val="16"/>
          <w:rtl/>
        </w:rPr>
        <w:t xml:space="preserve"> ד ד"ה סומא</w:t>
      </w:r>
      <w:r w:rsidRPr="00E978F6">
        <w:rPr>
          <w:rFonts w:cs="Arial" w:hint="cs"/>
          <w:sz w:val="16"/>
          <w:szCs w:val="16"/>
          <w:rtl/>
        </w:rPr>
        <w:t>, הביאו הש"ך סק"ב)</w:t>
      </w:r>
      <w:r w:rsidRPr="00E978F6">
        <w:rPr>
          <w:rFonts w:cs="Arial"/>
          <w:sz w:val="14"/>
          <w:szCs w:val="14"/>
          <w:rtl/>
        </w:rPr>
        <w:t xml:space="preserve"> </w:t>
      </w:r>
      <w:r w:rsidRPr="00E978F6">
        <w:rPr>
          <w:rFonts w:cs="Arial"/>
          <w:rtl/>
        </w:rPr>
        <w:t>דבדיעבד כשר</w:t>
      </w:r>
      <w:r>
        <w:rPr>
          <w:rFonts w:cs="Arial" w:hint="cs"/>
          <w:rtl/>
        </w:rPr>
        <w:t>.</w:t>
      </w:r>
    </w:p>
  </w:footnote>
  <w:footnote w:id="322">
    <w:p w14:paraId="4EAEB506" w14:textId="77777777" w:rsidR="0013116F" w:rsidRDefault="0013116F" w:rsidP="00A41B7A">
      <w:pPr>
        <w:pStyle w:val="a9"/>
        <w:rPr>
          <w:rtl/>
        </w:rPr>
      </w:pPr>
      <w:r>
        <w:rPr>
          <w:rStyle w:val="ab"/>
        </w:rPr>
        <w:footnoteRef/>
      </w:r>
      <w:r>
        <w:rPr>
          <w:rtl/>
        </w:rPr>
        <w:t xml:space="preserve"> </w:t>
      </w:r>
      <w:r>
        <w:rPr>
          <w:rFonts w:hint="cs"/>
          <w:rtl/>
        </w:rPr>
        <w:t xml:space="preserve">סימן - מעיד? תדון!. וכן - </w:t>
      </w:r>
      <w:r w:rsidRPr="00A41B7A">
        <w:rPr>
          <w:rtl/>
        </w:rPr>
        <w:t>מעיד טוב – מידן טוב</w:t>
      </w:r>
      <w:r>
        <w:rPr>
          <w:rFonts w:hint="cs"/>
          <w:rtl/>
        </w:rPr>
        <w:t>.</w:t>
      </w:r>
    </w:p>
  </w:footnote>
  <w:footnote w:id="323">
    <w:p w14:paraId="1F638B83" w14:textId="77777777" w:rsidR="0013116F" w:rsidRDefault="0013116F">
      <w:pPr>
        <w:pStyle w:val="a9"/>
        <w:rPr>
          <w:rtl/>
        </w:rPr>
      </w:pPr>
      <w:r>
        <w:rPr>
          <w:rStyle w:val="ab"/>
        </w:rPr>
        <w:footnoteRef/>
      </w:r>
      <w:r>
        <w:rPr>
          <w:rtl/>
        </w:rPr>
        <w:t xml:space="preserve"> </w:t>
      </w:r>
      <w:r>
        <w:rPr>
          <w:rFonts w:hint="cs"/>
          <w:rtl/>
        </w:rPr>
        <w:t xml:space="preserve">סימן </w:t>
      </w:r>
      <w:r>
        <w:rPr>
          <w:rtl/>
        </w:rPr>
        <w:t>–</w:t>
      </w:r>
      <w:r>
        <w:rPr>
          <w:rFonts w:hint="cs"/>
          <w:rtl/>
        </w:rPr>
        <w:t xml:space="preserve"> ננס ודן.</w:t>
      </w:r>
    </w:p>
  </w:footnote>
  <w:footnote w:id="324">
    <w:p w14:paraId="48EBDC62" w14:textId="77777777" w:rsidR="0013116F" w:rsidRDefault="0013116F" w:rsidP="004A326E">
      <w:pPr>
        <w:pStyle w:val="a9"/>
        <w:rPr>
          <w:rtl/>
        </w:rPr>
      </w:pPr>
      <w:r>
        <w:rPr>
          <w:rStyle w:val="ab"/>
        </w:rPr>
        <w:footnoteRef/>
      </w:r>
      <w:r>
        <w:rPr>
          <w:rtl/>
        </w:rPr>
        <w:t xml:space="preserve"> </w:t>
      </w:r>
      <w:r w:rsidRPr="002F51B7">
        <w:rPr>
          <w:rFonts w:cs="Arial"/>
          <w:rtl/>
        </w:rPr>
        <w:t>משום דסתמן אינם רחמנים שלא היו להן צער גידול בנים</w:t>
      </w:r>
      <w:r>
        <w:rPr>
          <w:rFonts w:hint="cs"/>
          <w:rtl/>
        </w:rPr>
        <w:t>, פני משה.</w:t>
      </w:r>
    </w:p>
  </w:footnote>
  <w:footnote w:id="325">
    <w:p w14:paraId="1B72737F" w14:textId="77777777" w:rsidR="0013116F" w:rsidRDefault="0013116F" w:rsidP="004A326E">
      <w:pPr>
        <w:pStyle w:val="a9"/>
        <w:rPr>
          <w:rtl/>
        </w:rPr>
      </w:pPr>
      <w:r>
        <w:rPr>
          <w:rStyle w:val="ab"/>
        </w:rPr>
        <w:footnoteRef/>
      </w:r>
      <w:r>
        <w:rPr>
          <w:rtl/>
        </w:rPr>
        <w:t xml:space="preserve"> </w:t>
      </w:r>
      <w:r w:rsidRPr="002F51B7">
        <w:rPr>
          <w:rFonts w:cs="Arial"/>
          <w:rtl/>
        </w:rPr>
        <w:t>הנסקל</w:t>
      </w:r>
      <w:r>
        <w:rPr>
          <w:rFonts w:cs="Arial" w:hint="cs"/>
          <w:rtl/>
        </w:rPr>
        <w:t>,</w:t>
      </w:r>
      <w:r w:rsidRPr="002F51B7">
        <w:rPr>
          <w:rFonts w:cs="Arial"/>
          <w:rtl/>
        </w:rPr>
        <w:t xml:space="preserve"> כי בשור הנסקל אין חומרתו כחומרת דיני נפשות, אלא שהתורה אמרה שמספר הדיינים צריך להיות כ"ג</w:t>
      </w:r>
      <w:r>
        <w:rPr>
          <w:rFonts w:cs="Arial" w:hint="cs"/>
          <w:rtl/>
        </w:rPr>
        <w:t>, ידיד נפש.</w:t>
      </w:r>
    </w:p>
  </w:footnote>
  <w:footnote w:id="326">
    <w:p w14:paraId="10C58517" w14:textId="77777777" w:rsidR="0013116F" w:rsidRDefault="0013116F" w:rsidP="004A326E">
      <w:pPr>
        <w:pStyle w:val="a9"/>
        <w:rPr>
          <w:rtl/>
        </w:rPr>
      </w:pPr>
      <w:r>
        <w:rPr>
          <w:rStyle w:val="ab"/>
        </w:rPr>
        <w:footnoteRef/>
      </w:r>
      <w:r>
        <w:rPr>
          <w:rtl/>
        </w:rPr>
        <w:t xml:space="preserve"> </w:t>
      </w:r>
      <w:r w:rsidRPr="00D13100">
        <w:rPr>
          <w:rFonts w:cs="Arial"/>
          <w:rtl/>
        </w:rPr>
        <w:t>מקור דין זה נלמד מהכלל (נדה מ</w:t>
      </w:r>
      <w:r>
        <w:rPr>
          <w:rFonts w:cs="Arial" w:hint="cs"/>
          <w:rtl/>
        </w:rPr>
        <w:t>ט:</w:t>
      </w:r>
      <w:r w:rsidRPr="00D13100">
        <w:rPr>
          <w:rFonts w:cs="Arial"/>
          <w:rtl/>
        </w:rPr>
        <w:t>) דכל הפסול להעיד פסול לדון כמ"ש בסמוך סי"ב</w:t>
      </w:r>
      <w:r>
        <w:rPr>
          <w:rFonts w:cs="Arial" w:hint="cs"/>
          <w:rtl/>
        </w:rPr>
        <w:t>,</w:t>
      </w:r>
      <w:r w:rsidRPr="00D13100">
        <w:rPr>
          <w:rFonts w:cs="Arial"/>
          <w:rtl/>
        </w:rPr>
        <w:t xml:space="preserve"> וקטן פסול להעיד דממעטינן ליה מדכתיב (דברים יט יז) ועמדו שני האנשים כמ"ש לקמן בסימן כ"ח ול"ה (ס"א)</w:t>
      </w:r>
      <w:r>
        <w:rPr>
          <w:rFonts w:cs="Arial" w:hint="cs"/>
          <w:rtl/>
        </w:rPr>
        <w:t>..</w:t>
      </w:r>
      <w:r w:rsidRPr="00D13100">
        <w:rPr>
          <w:rFonts w:cs="Arial"/>
          <w:rtl/>
        </w:rPr>
        <w:t>. וטעם</w:t>
      </w:r>
      <w:r>
        <w:rPr>
          <w:rFonts w:cs="Arial" w:hint="cs"/>
          <w:rtl/>
        </w:rPr>
        <w:t xml:space="preserve"> </w:t>
      </w:r>
      <w:r w:rsidRPr="00D13100">
        <w:rPr>
          <w:rFonts w:cs="Arial" w:hint="cs"/>
          <w:sz w:val="16"/>
          <w:szCs w:val="16"/>
          <w:rtl/>
        </w:rPr>
        <w:t>{הפו</w:t>
      </w:r>
      <w:r>
        <w:rPr>
          <w:rFonts w:cs="Arial" w:hint="cs"/>
          <w:sz w:val="16"/>
          <w:szCs w:val="16"/>
          <w:rtl/>
        </w:rPr>
        <w:t>ס</w:t>
      </w:r>
      <w:r w:rsidRPr="00D13100">
        <w:rPr>
          <w:rFonts w:cs="Arial" w:hint="cs"/>
          <w:sz w:val="16"/>
          <w:szCs w:val="16"/>
          <w:rtl/>
        </w:rPr>
        <w:t>לים ק</w:t>
      </w:r>
      <w:r>
        <w:rPr>
          <w:rFonts w:cs="Arial" w:hint="cs"/>
          <w:sz w:val="16"/>
          <w:szCs w:val="16"/>
          <w:rtl/>
        </w:rPr>
        <w:t>ט</w:t>
      </w:r>
      <w:r w:rsidRPr="00D13100">
        <w:rPr>
          <w:rFonts w:cs="Arial" w:hint="cs"/>
          <w:sz w:val="16"/>
          <w:szCs w:val="16"/>
          <w:rtl/>
        </w:rPr>
        <w:t>ן לדון}</w:t>
      </w:r>
      <w:r w:rsidRPr="00D13100">
        <w:rPr>
          <w:rFonts w:cs="Arial"/>
          <w:rtl/>
        </w:rPr>
        <w:t xml:space="preserve"> עד י"ח אף דלענין עדות בן שלש עשרה שנה והביא שתי שערות כשר </w:t>
      </w:r>
      <w:r>
        <w:rPr>
          <w:rFonts w:cs="Arial" w:hint="cs"/>
          <w:rtl/>
        </w:rPr>
        <w:t xml:space="preserve">- </w:t>
      </w:r>
      <w:r w:rsidRPr="00D13100">
        <w:rPr>
          <w:rFonts w:cs="Arial"/>
          <w:rtl/>
        </w:rPr>
        <w:t>שאני עדות דאשר ראה מגיד מ</w:t>
      </w:r>
      <w:r>
        <w:rPr>
          <w:rFonts w:cs="Arial" w:hint="cs"/>
          <w:rtl/>
        </w:rPr>
        <w:t>ש</w:t>
      </w:r>
      <w:r w:rsidRPr="00D13100">
        <w:rPr>
          <w:rFonts w:cs="Arial"/>
          <w:rtl/>
        </w:rPr>
        <w:t>א</w:t>
      </w:r>
      <w:r>
        <w:rPr>
          <w:rFonts w:cs="Arial" w:hint="cs"/>
          <w:rtl/>
        </w:rPr>
        <w:t>"</w:t>
      </w:r>
      <w:r w:rsidRPr="00D13100">
        <w:rPr>
          <w:rFonts w:cs="Arial"/>
          <w:rtl/>
        </w:rPr>
        <w:t>כ בדין דצריך בינה והשכל ושיהא לו לב אמיץ להציל עשוק מיד עושקו וכשהוא בן שמנה עשרה כבר עומד על פרקו להיות גבר בגוברין</w:t>
      </w:r>
      <w:r>
        <w:rPr>
          <w:rFonts w:cs="Arial" w:hint="cs"/>
          <w:rtl/>
        </w:rPr>
        <w:t>...,</w:t>
      </w:r>
      <w:r w:rsidRPr="00D13100">
        <w:rPr>
          <w:rFonts w:cs="Arial" w:hint="cs"/>
          <w:rtl/>
        </w:rPr>
        <w:t xml:space="preserve"> </w:t>
      </w:r>
      <w:r>
        <w:rPr>
          <w:rFonts w:cs="Arial" w:hint="cs"/>
          <w:rtl/>
        </w:rPr>
        <w:t>פרישה (אות ג).</w:t>
      </w:r>
    </w:p>
  </w:footnote>
  <w:footnote w:id="327">
    <w:p w14:paraId="048F6E71" w14:textId="77777777" w:rsidR="0013116F" w:rsidRPr="00D13100" w:rsidRDefault="0013116F" w:rsidP="004A326E">
      <w:pPr>
        <w:pStyle w:val="a9"/>
        <w:rPr>
          <w:rFonts w:cs="Arial"/>
        </w:rPr>
      </w:pPr>
      <w:r>
        <w:rPr>
          <w:rStyle w:val="ab"/>
        </w:rPr>
        <w:footnoteRef/>
      </w:r>
      <w:r>
        <w:rPr>
          <w:rtl/>
        </w:rPr>
        <w:t xml:space="preserve"> </w:t>
      </w:r>
      <w:r w:rsidRPr="00D13100">
        <w:rPr>
          <w:rFonts w:cs="Arial"/>
          <w:rtl/>
        </w:rPr>
        <w:t>לא נזכר שם בירושלמי דבשלש עשרה שנים סגי ודבעינן שיהא מפולפל ובקי</w:t>
      </w:r>
      <w:r>
        <w:rPr>
          <w:rFonts w:cs="Arial" w:hint="cs"/>
          <w:rtl/>
        </w:rPr>
        <w:t>,</w:t>
      </w:r>
      <w:r w:rsidRPr="00D13100">
        <w:rPr>
          <w:rFonts w:cs="Arial"/>
          <w:rtl/>
        </w:rPr>
        <w:t xml:space="preserve"> אלא שרבינו מן הסברא כתב כן</w:t>
      </w:r>
      <w:r>
        <w:rPr>
          <w:rFonts w:cs="Arial" w:hint="cs"/>
          <w:rtl/>
        </w:rPr>
        <w:t>,</w:t>
      </w:r>
      <w:r w:rsidRPr="00D13100">
        <w:rPr>
          <w:rFonts w:cs="Arial"/>
          <w:rtl/>
        </w:rPr>
        <w:t xml:space="preserve"> דכיון דאמרו דלא בעינן שיהא בן עשרים ולא שתי שערות ולא נתנו שום קצבה לשנים מסתמא אמרינן דבפחות מבן שלש עשרה שנה על כל פנים פסול בדין כעדות</w:t>
      </w:r>
      <w:r>
        <w:rPr>
          <w:rFonts w:cs="Arial" w:hint="cs"/>
          <w:rtl/>
        </w:rPr>
        <w:t>,</w:t>
      </w:r>
      <w:r w:rsidRPr="00D13100">
        <w:rPr>
          <w:rFonts w:cs="Arial"/>
          <w:rtl/>
        </w:rPr>
        <w:t xml:space="preserve"> אבל כשהוא בן שלש עשרה אז בא לשם גדלות אלא דלענין עדות קפיד רחמנא אשם איש דהיינו שיהא לו גם כן שתי שערות אבל לא בדיינות אלא כיון שהוא בקי ומפולפל ויודע לדון כשר.</w:t>
      </w:r>
      <w:r>
        <w:rPr>
          <w:rFonts w:cs="Arial" w:hint="cs"/>
          <w:rtl/>
        </w:rPr>
        <w:t>.., פרישה (אות ג).</w:t>
      </w:r>
      <w:r w:rsidRPr="00D13100">
        <w:rPr>
          <w:rFonts w:cs="Arial"/>
          <w:rtl/>
        </w:rPr>
        <w:t xml:space="preserve"> </w:t>
      </w:r>
    </w:p>
  </w:footnote>
  <w:footnote w:id="328">
    <w:p w14:paraId="0D8CA98A" w14:textId="77777777" w:rsidR="0013116F" w:rsidRPr="009B750F" w:rsidRDefault="0013116F" w:rsidP="009B750F">
      <w:pPr>
        <w:pStyle w:val="a9"/>
        <w:rPr>
          <w:rFonts w:cs="Arial"/>
        </w:rPr>
      </w:pPr>
      <w:r>
        <w:rPr>
          <w:rStyle w:val="ab"/>
        </w:rPr>
        <w:footnoteRef/>
      </w:r>
      <w:r>
        <w:rPr>
          <w:rtl/>
        </w:rPr>
        <w:t xml:space="preserve"> </w:t>
      </w:r>
      <w:r w:rsidRPr="00EF5783">
        <w:rPr>
          <w:rFonts w:cs="Arial"/>
          <w:rtl/>
        </w:rPr>
        <w:t>היינו טעמא, דאע</w:t>
      </w:r>
      <w:r>
        <w:rPr>
          <w:rFonts w:cs="Arial" w:hint="cs"/>
          <w:rtl/>
        </w:rPr>
        <w:t>"</w:t>
      </w:r>
      <w:r w:rsidRPr="00EF5783">
        <w:rPr>
          <w:rFonts w:cs="Arial"/>
          <w:rtl/>
        </w:rPr>
        <w:t>ג דלענין עדים בעינן ב' שערות, שאני התם דקפיד קרא להיות נקרא איש, כמו שנאמר</w:t>
      </w:r>
      <w:r w:rsidRPr="009B750F">
        <w:rPr>
          <w:rFonts w:cs="Arial"/>
          <w:sz w:val="16"/>
          <w:szCs w:val="16"/>
          <w:rtl/>
        </w:rPr>
        <w:t xml:space="preserve"> [דברים יט יז] </w:t>
      </w:r>
      <w:r w:rsidRPr="00EF5783">
        <w:rPr>
          <w:rFonts w:cs="Arial"/>
          <w:rtl/>
        </w:rPr>
        <w:t xml:space="preserve">ועמדו שני האנשים, משא"כ בדיין שאינו תלוי אלא בחריפותו ובקיאותו, ומשו"ה כתב הטור </w:t>
      </w:r>
      <w:r w:rsidRPr="009B750F">
        <w:rPr>
          <w:rFonts w:cs="Arial"/>
          <w:sz w:val="16"/>
          <w:szCs w:val="16"/>
          <w:rtl/>
        </w:rPr>
        <w:t>[סע</w:t>
      </w:r>
      <w:r w:rsidRPr="009B750F">
        <w:rPr>
          <w:rFonts w:cs="Arial" w:hint="cs"/>
          <w:sz w:val="16"/>
          <w:szCs w:val="16"/>
          <w:rtl/>
        </w:rPr>
        <w:t>'</w:t>
      </w:r>
      <w:r w:rsidRPr="009B750F">
        <w:rPr>
          <w:rFonts w:cs="Arial"/>
          <w:sz w:val="16"/>
          <w:szCs w:val="16"/>
          <w:rtl/>
        </w:rPr>
        <w:t xml:space="preserve"> ג] </w:t>
      </w:r>
      <w:r w:rsidRPr="00EF5783">
        <w:rPr>
          <w:rFonts w:cs="Arial"/>
          <w:rtl/>
        </w:rPr>
        <w:t>בדעת י"א זה ז"ל</w:t>
      </w:r>
      <w:r>
        <w:rPr>
          <w:rFonts w:cs="Arial" w:hint="cs"/>
          <w:rtl/>
        </w:rPr>
        <w:t>-</w:t>
      </w:r>
      <w:r w:rsidRPr="00EF5783">
        <w:rPr>
          <w:rFonts w:cs="Arial"/>
          <w:rtl/>
        </w:rPr>
        <w:t xml:space="preserve"> אם הוא מפולפל ובקי בחדרי התורה. ומ"מ פחות מבן י"ג דאין לו שם גדלות כלל פסול, דלא מצינו שום מצוה וציווי בקטנים מן התורה </w:t>
      </w:r>
      <w:r>
        <w:rPr>
          <w:rFonts w:cs="Arial" w:hint="cs"/>
          <w:sz w:val="16"/>
          <w:szCs w:val="16"/>
          <w:rtl/>
        </w:rPr>
        <w:t>(ו</w:t>
      </w:r>
      <w:r w:rsidRPr="009B750F">
        <w:rPr>
          <w:rFonts w:cs="Arial"/>
          <w:sz w:val="16"/>
          <w:szCs w:val="16"/>
          <w:rtl/>
        </w:rPr>
        <w:t xml:space="preserve">לשני הי"א לא תקשה הא אמרינן </w:t>
      </w:r>
      <w:r w:rsidRPr="009B750F">
        <w:rPr>
          <w:rFonts w:cs="Arial" w:hint="cs"/>
          <w:sz w:val="14"/>
          <w:szCs w:val="14"/>
          <w:rtl/>
        </w:rPr>
        <w:t>[</w:t>
      </w:r>
      <w:r w:rsidRPr="009B750F">
        <w:rPr>
          <w:rFonts w:cs="Arial"/>
          <w:sz w:val="14"/>
          <w:szCs w:val="14"/>
          <w:rtl/>
        </w:rPr>
        <w:t>ר</w:t>
      </w:r>
      <w:r w:rsidRPr="009B750F">
        <w:rPr>
          <w:rFonts w:cs="Arial" w:hint="cs"/>
          <w:sz w:val="14"/>
          <w:szCs w:val="14"/>
          <w:rtl/>
        </w:rPr>
        <w:t>"</w:t>
      </w:r>
      <w:r w:rsidRPr="009B750F">
        <w:rPr>
          <w:rFonts w:cs="Arial"/>
          <w:sz w:val="14"/>
          <w:szCs w:val="14"/>
          <w:rtl/>
        </w:rPr>
        <w:t>ס לג]</w:t>
      </w:r>
      <w:r w:rsidRPr="009B750F">
        <w:rPr>
          <w:rFonts w:cs="Arial"/>
          <w:sz w:val="16"/>
          <w:szCs w:val="16"/>
          <w:rtl/>
        </w:rPr>
        <w:t xml:space="preserve"> כל הפסול להעיד פסול לדון והפסול לדון פסול להעיד חוץ מאוהב ושונא, דמ"מ בשניהם יש פסול קטנות כל חד לפי ענינו</w:t>
      </w:r>
      <w:r>
        <w:rPr>
          <w:rFonts w:cs="Arial" w:hint="cs"/>
          <w:sz w:val="16"/>
          <w:szCs w:val="16"/>
          <w:rtl/>
        </w:rPr>
        <w:t>)</w:t>
      </w:r>
      <w:r>
        <w:rPr>
          <w:rFonts w:cs="Arial" w:hint="cs"/>
          <w:rtl/>
        </w:rPr>
        <w:t>, סמ"ע</w:t>
      </w:r>
      <w:r w:rsidRPr="009B750F">
        <w:rPr>
          <w:rFonts w:cs="Arial" w:hint="cs"/>
          <w:sz w:val="16"/>
          <w:szCs w:val="16"/>
          <w:rtl/>
        </w:rPr>
        <w:t xml:space="preserve"> (סק"ט)</w:t>
      </w:r>
      <w:r>
        <w:rPr>
          <w:rFonts w:cs="Arial" w:hint="cs"/>
          <w:rtl/>
        </w:rPr>
        <w:t>.</w:t>
      </w:r>
    </w:p>
  </w:footnote>
  <w:footnote w:id="329">
    <w:p w14:paraId="6850C75B" w14:textId="77777777" w:rsidR="0013116F" w:rsidRDefault="0013116F" w:rsidP="00A41B7A">
      <w:pPr>
        <w:pStyle w:val="a9"/>
        <w:rPr>
          <w:rtl/>
        </w:rPr>
      </w:pPr>
      <w:r>
        <w:rPr>
          <w:rStyle w:val="ab"/>
        </w:rPr>
        <w:footnoteRef/>
      </w:r>
      <w:r>
        <w:rPr>
          <w:rtl/>
        </w:rPr>
        <w:t xml:space="preserve"> </w:t>
      </w:r>
      <w:r>
        <w:rPr>
          <w:rFonts w:hint="cs"/>
          <w:rtl/>
        </w:rPr>
        <w:t xml:space="preserve">סימן - מעיד? תדון!. וכן - </w:t>
      </w:r>
      <w:r w:rsidRPr="00A41B7A">
        <w:rPr>
          <w:rtl/>
        </w:rPr>
        <w:t>מעיד טוב – מידן טוב</w:t>
      </w:r>
      <w:r>
        <w:rPr>
          <w:rFonts w:hint="cs"/>
          <w:rtl/>
        </w:rPr>
        <w:t>.</w:t>
      </w:r>
      <w:r w:rsidRPr="00A41B7A">
        <w:rPr>
          <w:rFonts w:cs="Arial" w:hint="cs"/>
          <w:rtl/>
        </w:rPr>
        <w:t xml:space="preserve"> </w:t>
      </w:r>
      <w:r w:rsidRPr="003850CA">
        <w:rPr>
          <w:rFonts w:cs="Arial" w:hint="cs"/>
          <w:rtl/>
        </w:rPr>
        <w:t>ו</w:t>
      </w:r>
      <w:r>
        <w:rPr>
          <w:rFonts w:cs="Arial" w:hint="cs"/>
          <w:rtl/>
        </w:rPr>
        <w:t xml:space="preserve">הביאה הגמ' משנה זו </w:t>
      </w:r>
      <w:r w:rsidRPr="003850CA">
        <w:rPr>
          <w:rFonts w:cs="Arial" w:hint="cs"/>
          <w:rtl/>
        </w:rPr>
        <w:t xml:space="preserve">בסנהדרין </w:t>
      </w:r>
      <w:r w:rsidRPr="003850CA">
        <w:rPr>
          <w:rFonts w:cs="Arial" w:hint="cs"/>
          <w:sz w:val="16"/>
          <w:szCs w:val="16"/>
          <w:rtl/>
        </w:rPr>
        <w:t xml:space="preserve">(פ' אחד דיני ממונות) </w:t>
      </w:r>
      <w:r w:rsidRPr="003850CA">
        <w:rPr>
          <w:rFonts w:cs="Arial" w:hint="cs"/>
          <w:rtl/>
        </w:rPr>
        <w:t>לד ע"ב.</w:t>
      </w:r>
    </w:p>
  </w:footnote>
  <w:footnote w:id="330">
    <w:p w14:paraId="7DFCDF0C" w14:textId="77777777" w:rsidR="0013116F" w:rsidRDefault="0013116F">
      <w:pPr>
        <w:pStyle w:val="a9"/>
      </w:pPr>
      <w:r>
        <w:rPr>
          <w:rStyle w:val="ab"/>
        </w:rPr>
        <w:footnoteRef/>
      </w:r>
      <w:r>
        <w:rPr>
          <w:rtl/>
        </w:rPr>
        <w:t xml:space="preserve"> </w:t>
      </w:r>
      <w:r>
        <w:rPr>
          <w:rFonts w:hint="cs"/>
          <w:rtl/>
        </w:rPr>
        <w:t xml:space="preserve">סימן </w:t>
      </w:r>
      <w:r>
        <w:rPr>
          <w:rtl/>
        </w:rPr>
        <w:t>–</w:t>
      </w:r>
      <w:r>
        <w:rPr>
          <w:rFonts w:hint="cs"/>
          <w:rtl/>
        </w:rPr>
        <w:t xml:space="preserve"> משתה בב"ד.</w:t>
      </w:r>
    </w:p>
  </w:footnote>
  <w:footnote w:id="331">
    <w:p w14:paraId="6905CC43" w14:textId="77777777" w:rsidR="0013116F" w:rsidRDefault="0013116F">
      <w:pPr>
        <w:pStyle w:val="a9"/>
        <w:rPr>
          <w:rtl/>
        </w:rPr>
      </w:pPr>
      <w:r>
        <w:rPr>
          <w:rStyle w:val="ab"/>
        </w:rPr>
        <w:footnoteRef/>
      </w:r>
      <w:r>
        <w:rPr>
          <w:rtl/>
        </w:rPr>
        <w:t xml:space="preserve"> </w:t>
      </w:r>
      <w:r>
        <w:rPr>
          <w:rFonts w:hint="cs"/>
          <w:rtl/>
        </w:rPr>
        <w:t xml:space="preserve">סימן </w:t>
      </w:r>
      <w:r>
        <w:rPr>
          <w:rtl/>
        </w:rPr>
        <w:t>–</w:t>
      </w:r>
      <w:r>
        <w:rPr>
          <w:rFonts w:hint="cs"/>
          <w:rtl/>
        </w:rPr>
        <w:t xml:space="preserve"> סובניון דולה דעת דיין.</w:t>
      </w:r>
    </w:p>
  </w:footnote>
  <w:footnote w:id="332">
    <w:p w14:paraId="1E7A1EC1" w14:textId="77777777" w:rsidR="0013116F" w:rsidRDefault="0013116F" w:rsidP="004A326E">
      <w:pPr>
        <w:pStyle w:val="a9"/>
      </w:pPr>
      <w:r>
        <w:rPr>
          <w:rStyle w:val="ab"/>
        </w:rPr>
        <w:footnoteRef/>
      </w:r>
      <w:r>
        <w:rPr>
          <w:rtl/>
        </w:rPr>
        <w:t xml:space="preserve"> </w:t>
      </w:r>
      <w:r>
        <w:rPr>
          <w:rFonts w:cs="Arial" w:hint="cs"/>
          <w:rtl/>
        </w:rPr>
        <w:t xml:space="preserve">משלי לא: [ד] </w:t>
      </w:r>
      <w:r w:rsidRPr="0050017D">
        <w:rPr>
          <w:rFonts w:cs="Arial"/>
          <w:rtl/>
        </w:rPr>
        <w:t xml:space="preserve">אַל לַמְלָכִים לְמוֹאֵל אַל לַמְלָכִים שְׁתוֹ יָיִן וּלְרוֹזְנִים </w:t>
      </w:r>
      <w:r w:rsidRPr="0050017D">
        <w:rPr>
          <w:rFonts w:cs="Arial" w:hint="cs"/>
          <w:sz w:val="16"/>
          <w:szCs w:val="16"/>
          <w:rtl/>
        </w:rPr>
        <w:t>(</w:t>
      </w:r>
      <w:r w:rsidRPr="0050017D">
        <w:rPr>
          <w:rFonts w:cs="Arial"/>
          <w:sz w:val="16"/>
          <w:szCs w:val="16"/>
          <w:rtl/>
        </w:rPr>
        <w:t>או</w:t>
      </w:r>
      <w:r w:rsidRPr="0050017D">
        <w:rPr>
          <w:rFonts w:cs="Arial" w:hint="cs"/>
          <w:sz w:val="16"/>
          <w:szCs w:val="16"/>
          <w:rtl/>
        </w:rPr>
        <w:t>)</w:t>
      </w:r>
      <w:r>
        <w:rPr>
          <w:rFonts w:cs="Arial" w:hint="cs"/>
          <w:rtl/>
        </w:rPr>
        <w:t xml:space="preserve"> </w:t>
      </w:r>
      <w:r w:rsidRPr="0050017D">
        <w:rPr>
          <w:rFonts w:cs="Arial"/>
          <w:rtl/>
        </w:rPr>
        <w:t>אֵי שֵׁכָר</w:t>
      </w:r>
      <w:r>
        <w:rPr>
          <w:rFonts w:cs="Arial" w:hint="cs"/>
          <w:rtl/>
        </w:rPr>
        <w:t>. [ה]</w:t>
      </w:r>
      <w:r w:rsidRPr="00681079">
        <w:rPr>
          <w:rFonts w:cs="Arial"/>
          <w:rtl/>
        </w:rPr>
        <w:t xml:space="preserve"> </w:t>
      </w:r>
      <w:r w:rsidRPr="0050017D">
        <w:rPr>
          <w:rFonts w:cs="Arial"/>
          <w:rtl/>
        </w:rPr>
        <w:t>פֶּן יִשְׁתֶּה וְיִשְׁכַּח מְחֻקָּק וִישַׁנֶּה דִּין כָּל בְּנֵי עֹנִי</w:t>
      </w:r>
      <w:r>
        <w:rPr>
          <w:rFonts w:cs="Arial" w:hint="cs"/>
          <w:rtl/>
        </w:rPr>
        <w:t>.</w:t>
      </w:r>
      <w:r w:rsidRPr="00681079">
        <w:rPr>
          <w:rFonts w:cs="Arial"/>
          <w:rtl/>
        </w:rPr>
        <w:t xml:space="preserve">  </w:t>
      </w:r>
    </w:p>
  </w:footnote>
  <w:footnote w:id="333">
    <w:p w14:paraId="4DFA819E" w14:textId="77777777" w:rsidR="0013116F" w:rsidRDefault="0013116F" w:rsidP="004A326E">
      <w:pPr>
        <w:pStyle w:val="a9"/>
        <w:rPr>
          <w:rtl/>
        </w:rPr>
      </w:pPr>
      <w:r>
        <w:rPr>
          <w:rStyle w:val="ab"/>
        </w:rPr>
        <w:footnoteRef/>
      </w:r>
      <w:r>
        <w:rPr>
          <w:rtl/>
        </w:rPr>
        <w:t xml:space="preserve"> </w:t>
      </w:r>
      <w:r w:rsidRPr="00C16758">
        <w:rPr>
          <w:rFonts w:cs="Arial"/>
          <w:rtl/>
        </w:rPr>
        <w:t>ודלא כדברי התוס'</w:t>
      </w:r>
      <w:r>
        <w:rPr>
          <w:rFonts w:cs="Arial" w:hint="cs"/>
          <w:rtl/>
        </w:rPr>
        <w:t>,</w:t>
      </w:r>
      <w:r w:rsidRPr="00C16758">
        <w:rPr>
          <w:rFonts w:cs="Arial"/>
          <w:rtl/>
        </w:rPr>
        <w:t xml:space="preserve"> ואולי אם היו התו</w:t>
      </w:r>
      <w:r>
        <w:rPr>
          <w:rFonts w:cs="Arial" w:hint="cs"/>
          <w:rtl/>
        </w:rPr>
        <w:t>ס</w:t>
      </w:r>
      <w:r w:rsidRPr="00C16758">
        <w:rPr>
          <w:rFonts w:cs="Arial"/>
          <w:rtl/>
        </w:rPr>
        <w:t>' משימין על לבם ההיא דבמדבר רבה לא היו כותבין היתר אד</w:t>
      </w:r>
      <w:r>
        <w:rPr>
          <w:rFonts w:cs="Arial" w:hint="cs"/>
          <w:rtl/>
        </w:rPr>
        <w:t xml:space="preserve">יני </w:t>
      </w:r>
      <w:r w:rsidRPr="00C16758">
        <w:rPr>
          <w:rFonts w:cs="Arial"/>
          <w:rtl/>
        </w:rPr>
        <w:t>מ</w:t>
      </w:r>
      <w:r>
        <w:rPr>
          <w:rFonts w:cs="Arial" w:hint="cs"/>
          <w:rtl/>
        </w:rPr>
        <w:t>ממונות.</w:t>
      </w:r>
      <w:r w:rsidRPr="00C16758">
        <w:rPr>
          <w:rFonts w:cs="Arial"/>
          <w:rtl/>
        </w:rPr>
        <w:t xml:space="preserve"> הנראה לפע"ד כתבתי וחתמתי את שמי אנכי הקטן יואל. שוב ראיתי כך להדיא בספר היראה להר"ר יונה וז"ל אסור לעשות שום הוראה בין בדין ובין באיסור ובין בהיתר אחר שאכל ושתה כו'</w:t>
      </w:r>
      <w:r>
        <w:rPr>
          <w:rFonts w:cs="Arial" w:hint="cs"/>
          <w:rtl/>
        </w:rPr>
        <w:t>, ב"ח.</w:t>
      </w:r>
      <w:r>
        <w:rPr>
          <w:rFonts w:hint="cs"/>
          <w:rtl/>
        </w:rPr>
        <w:t xml:space="preserve"> </w:t>
      </w:r>
      <w:r w:rsidRPr="00FC0D2C">
        <w:rPr>
          <w:rFonts w:hint="cs"/>
          <w:color w:val="FF0000"/>
          <w:rtl/>
        </w:rPr>
        <w:t>(</w:t>
      </w:r>
      <w:r>
        <w:rPr>
          <w:rFonts w:hint="cs"/>
          <w:color w:val="FF0000"/>
          <w:rtl/>
        </w:rPr>
        <w:t xml:space="preserve">צל"ע, כי </w:t>
      </w:r>
      <w:r w:rsidRPr="00FC0D2C">
        <w:rPr>
          <w:rFonts w:hint="cs"/>
          <w:color w:val="FF0000"/>
          <w:rtl/>
        </w:rPr>
        <w:t xml:space="preserve">לא מצאתי </w:t>
      </w:r>
      <w:r>
        <w:rPr>
          <w:rFonts w:hint="cs"/>
          <w:color w:val="FF0000"/>
          <w:rtl/>
        </w:rPr>
        <w:t xml:space="preserve">כן </w:t>
      </w:r>
      <w:r w:rsidRPr="00FC0D2C">
        <w:rPr>
          <w:rFonts w:hint="cs"/>
          <w:color w:val="FF0000"/>
          <w:rtl/>
        </w:rPr>
        <w:t>בספר היראה)</w:t>
      </w:r>
    </w:p>
  </w:footnote>
  <w:footnote w:id="334">
    <w:p w14:paraId="1E4B6A62" w14:textId="77777777" w:rsidR="0013116F" w:rsidRDefault="0013116F">
      <w:pPr>
        <w:pStyle w:val="a9"/>
      </w:pPr>
      <w:r>
        <w:rPr>
          <w:rStyle w:val="ab"/>
        </w:rPr>
        <w:footnoteRef/>
      </w:r>
      <w:r>
        <w:rPr>
          <w:rtl/>
        </w:rPr>
        <w:t xml:space="preserve"> </w:t>
      </w:r>
      <w:r>
        <w:rPr>
          <w:rFonts w:hint="cs"/>
          <w:rtl/>
        </w:rPr>
        <w:t xml:space="preserve">דוקא לדון, משום שלהורות באיסור והיתר גם התוס' מודים דאם שתה רביעית יין אסור להורות. והב"י כאן כתב וז"ל- </w:t>
      </w:r>
      <w:r w:rsidRPr="007804C8">
        <w:rPr>
          <w:rFonts w:cs="Arial"/>
          <w:rtl/>
        </w:rPr>
        <w:t>אם יש חילוק בין יינות שלהם ליינות שלנו עיין בתרומת הדשן סימן מ"ב</w:t>
      </w:r>
      <w:r>
        <w:rPr>
          <w:rFonts w:cs="Arial" w:hint="cs"/>
          <w:rtl/>
        </w:rPr>
        <w:t>. עכ"ל. והעתקתי לקמן חלק מדבריו. ונראה שכוונת הב"י בזה היא שיש עוד סיבה להקל לדון לאחר שתיית יין כיון שהיינות שלנו חלשים יותר, ולכן הביא את דברי תרוה"ד שכתב שיש מקום כל שהוא להקל אפילו בהוראת איסור והיתר לאחר שתיית יין, עיין לקמן.</w:t>
      </w:r>
    </w:p>
  </w:footnote>
  <w:footnote w:id="335">
    <w:p w14:paraId="4E3CFF3A" w14:textId="77777777" w:rsidR="0013116F" w:rsidRPr="00D214EA" w:rsidRDefault="0013116F">
      <w:pPr>
        <w:pStyle w:val="a9"/>
        <w:rPr>
          <w:color w:val="FF0000"/>
          <w:rtl/>
        </w:rPr>
      </w:pPr>
      <w:r w:rsidRPr="00D214EA">
        <w:rPr>
          <w:rStyle w:val="ab"/>
          <w:color w:val="FF0000"/>
        </w:rPr>
        <w:footnoteRef/>
      </w:r>
      <w:r w:rsidRPr="00D214EA">
        <w:rPr>
          <w:color w:val="FF0000"/>
          <w:rtl/>
        </w:rPr>
        <w:t xml:space="preserve"> </w:t>
      </w:r>
      <w:r w:rsidRPr="00D214EA">
        <w:rPr>
          <w:rFonts w:hint="cs"/>
          <w:color w:val="FF0000"/>
          <w:rtl/>
        </w:rPr>
        <w:t>צל"ע בדפוסים של תרוה"ד, משום שהדרכ"מ (יו"ד סי' רמב אות ו) העתיק את דברי תרוה"ד הללו וכתב שם שתרוה"ד כתב על התוס' 'צריך עיון', ובגירסא שלפני בתרוה"ד ליתא.</w:t>
      </w:r>
    </w:p>
  </w:footnote>
  <w:footnote w:id="336">
    <w:p w14:paraId="151834CE" w14:textId="77777777" w:rsidR="0013116F" w:rsidRDefault="0013116F" w:rsidP="004A326E">
      <w:pPr>
        <w:pStyle w:val="a9"/>
        <w:rPr>
          <w:rtl/>
        </w:rPr>
      </w:pPr>
      <w:r>
        <w:rPr>
          <w:rStyle w:val="ab"/>
        </w:rPr>
        <w:footnoteRef/>
      </w:r>
      <w:r>
        <w:rPr>
          <w:rtl/>
        </w:rPr>
        <w:t xml:space="preserve"> </w:t>
      </w:r>
      <w:r>
        <w:rPr>
          <w:rFonts w:hint="cs"/>
          <w:rtl/>
        </w:rPr>
        <w:t xml:space="preserve">עד כאן לשון הרשב"א שם בתשובה, והב"י לא הביא את הלשון הנ"ל אלא קיצר וכתב כך- </w:t>
      </w:r>
      <w:r w:rsidRPr="006F68E7">
        <w:rPr>
          <w:rFonts w:cs="Arial"/>
          <w:rtl/>
        </w:rPr>
        <w:t>כתב הרשב"א בתשובה (ח"א) סימן רמ"ז שאם שתה רביעית אסור להורות כל היום</w:t>
      </w:r>
      <w:r>
        <w:rPr>
          <w:rFonts w:cs="Arial" w:hint="cs"/>
          <w:rtl/>
        </w:rPr>
        <w:t>.</w:t>
      </w:r>
      <w:r w:rsidRPr="006F68E7">
        <w:rPr>
          <w:rFonts w:cs="Arial"/>
          <w:rtl/>
        </w:rPr>
        <w:t xml:space="preserve"> ואינו נ"ל</w:t>
      </w:r>
      <w:r>
        <w:rPr>
          <w:rFonts w:cs="Arial" w:hint="cs"/>
          <w:rtl/>
        </w:rPr>
        <w:t>,</w:t>
      </w:r>
      <w:r w:rsidRPr="006F68E7">
        <w:rPr>
          <w:rFonts w:cs="Arial"/>
          <w:rtl/>
        </w:rPr>
        <w:t xml:space="preserve"> אלא כשירגיש שסר יינו מעליו מותר</w:t>
      </w:r>
      <w:r>
        <w:rPr>
          <w:rFonts w:cs="Arial" w:hint="cs"/>
          <w:rtl/>
        </w:rPr>
        <w:t xml:space="preserve">. עכ"ל הב"י. ולא הצלחתי להבין כן מלשון הרשב"א </w:t>
      </w:r>
      <w:r>
        <w:rPr>
          <w:rFonts w:cs="Arial" w:hint="cs"/>
          <w:sz w:val="16"/>
          <w:szCs w:val="16"/>
          <w:rtl/>
        </w:rPr>
        <w:t>(</w:t>
      </w:r>
      <w:r w:rsidRPr="0079576E">
        <w:rPr>
          <w:rFonts w:cs="Arial" w:hint="cs"/>
          <w:sz w:val="16"/>
          <w:szCs w:val="16"/>
          <w:rtl/>
        </w:rPr>
        <w:t xml:space="preserve">דהרי הרשב"א יישב את המשתמע מלשון הגמרא כך שנראה שמסקנת הרשב"א </w:t>
      </w:r>
      <w:r>
        <w:rPr>
          <w:rFonts w:cs="Arial" w:hint="cs"/>
          <w:sz w:val="16"/>
          <w:szCs w:val="16"/>
          <w:rtl/>
        </w:rPr>
        <w:t xml:space="preserve">היא </w:t>
      </w:r>
      <w:r w:rsidRPr="0079576E">
        <w:rPr>
          <w:rFonts w:cs="Arial" w:hint="cs"/>
          <w:sz w:val="16"/>
          <w:szCs w:val="16"/>
          <w:rtl/>
        </w:rPr>
        <w:t>שלא צריך לחכות יום שלם)</w:t>
      </w:r>
      <w:r>
        <w:rPr>
          <w:rFonts w:cs="Arial" w:hint="cs"/>
          <w:rtl/>
        </w:rPr>
        <w:t>, וכן תמה על דבריו בהגהות פרישה ודרישה (אות ב). וצל"ע.</w:t>
      </w:r>
    </w:p>
  </w:footnote>
  <w:footnote w:id="337">
    <w:p w14:paraId="5CAE896B" w14:textId="77777777" w:rsidR="0013116F" w:rsidRDefault="0013116F" w:rsidP="00A55851">
      <w:pPr>
        <w:pStyle w:val="a9"/>
      </w:pPr>
      <w:r>
        <w:rPr>
          <w:rStyle w:val="ab"/>
        </w:rPr>
        <w:footnoteRef/>
      </w:r>
      <w:r>
        <w:rPr>
          <w:rtl/>
        </w:rPr>
        <w:t xml:space="preserve"> </w:t>
      </w:r>
      <w:r>
        <w:rPr>
          <w:rFonts w:hint="cs"/>
          <w:rtl/>
        </w:rPr>
        <w:t xml:space="preserve">סימן </w:t>
      </w:r>
      <w:r>
        <w:rPr>
          <w:rtl/>
        </w:rPr>
        <w:t>–</w:t>
      </w:r>
      <w:r>
        <w:rPr>
          <w:rFonts w:hint="cs"/>
          <w:rtl/>
        </w:rPr>
        <w:t xml:space="preserve"> כת אלהים. וכן - </w:t>
      </w:r>
      <w:r w:rsidRPr="00A55851">
        <w:rPr>
          <w:rtl/>
        </w:rPr>
        <w:t>כת אינה אלהים</w:t>
      </w:r>
      <w:r>
        <w:rPr>
          <w:rFonts w:hint="cs"/>
          <w:rtl/>
        </w:rPr>
        <w:t>.</w:t>
      </w:r>
      <w:r w:rsidRPr="00A55851">
        <w:rPr>
          <w:rFonts w:hint="cs"/>
          <w:rtl/>
        </w:rPr>
        <w:t xml:space="preserve"> </w:t>
      </w:r>
      <w:r>
        <w:rPr>
          <w:rFonts w:hint="cs"/>
          <w:rtl/>
        </w:rPr>
        <w:t xml:space="preserve">וכן איתא בב"ק דף צ ע"ב והסימן שם הוא </w:t>
      </w:r>
      <w:r>
        <w:rPr>
          <w:rtl/>
        </w:rPr>
        <w:t>–</w:t>
      </w:r>
      <w:r>
        <w:rPr>
          <w:rFonts w:hint="cs"/>
          <w:rtl/>
        </w:rPr>
        <w:t xml:space="preserve"> צל"ש (צופה לא שופט).</w:t>
      </w:r>
    </w:p>
  </w:footnote>
  <w:footnote w:id="338">
    <w:p w14:paraId="2EDAABC2" w14:textId="77777777" w:rsidR="0013116F" w:rsidRDefault="0013116F" w:rsidP="004A326E">
      <w:pPr>
        <w:pStyle w:val="a9"/>
      </w:pPr>
      <w:r>
        <w:rPr>
          <w:rStyle w:val="ab"/>
        </w:rPr>
        <w:footnoteRef/>
      </w:r>
      <w:r>
        <w:rPr>
          <w:rtl/>
        </w:rPr>
        <w:t xml:space="preserve"> </w:t>
      </w:r>
      <w:r>
        <w:rPr>
          <w:rFonts w:cs="Arial"/>
          <w:rtl/>
        </w:rPr>
        <w:t>להיות עדים</w:t>
      </w:r>
      <w:r>
        <w:rPr>
          <w:rFonts w:cs="Arial" w:hint="cs"/>
          <w:rtl/>
        </w:rPr>
        <w:t>,</w:t>
      </w:r>
      <w:r>
        <w:rPr>
          <w:rFonts w:cs="Arial"/>
          <w:rtl/>
        </w:rPr>
        <w:t xml:space="preserve"> והתם פרכינן לא תהא שמיעה גדולה מראיה ומוקמינן לה כשראוהו בלילה לפיכך אם לא יעידו בבקר על מה יאמרו מקודש</w:t>
      </w:r>
      <w:r>
        <w:rPr>
          <w:rFonts w:cs="Arial" w:hint="cs"/>
          <w:rtl/>
        </w:rPr>
        <w:t>, רש"י.</w:t>
      </w:r>
    </w:p>
  </w:footnote>
  <w:footnote w:id="339">
    <w:p w14:paraId="15FBFBCF" w14:textId="77777777" w:rsidR="0013116F" w:rsidRDefault="0013116F" w:rsidP="00B276F7">
      <w:pPr>
        <w:pStyle w:val="a9"/>
        <w:rPr>
          <w:rtl/>
        </w:rPr>
      </w:pPr>
      <w:r>
        <w:rPr>
          <w:rStyle w:val="ab"/>
        </w:rPr>
        <w:footnoteRef/>
      </w:r>
      <w:r>
        <w:rPr>
          <w:rtl/>
        </w:rPr>
        <w:t xml:space="preserve"> </w:t>
      </w:r>
      <w:r>
        <w:rPr>
          <w:rFonts w:hint="cs"/>
          <w:rtl/>
        </w:rPr>
        <w:t xml:space="preserve">וז"ל כאן- </w:t>
      </w:r>
      <w:r w:rsidRPr="00C20979">
        <w:rPr>
          <w:rFonts w:cs="Arial"/>
          <w:rtl/>
        </w:rPr>
        <w:t>אין עד נעשה דיין</w:t>
      </w:r>
      <w:r>
        <w:rPr>
          <w:rFonts w:cs="Arial" w:hint="cs"/>
          <w:rtl/>
        </w:rPr>
        <w:t>,</w:t>
      </w:r>
      <w:r w:rsidRPr="00C20979">
        <w:rPr>
          <w:rFonts w:cs="Arial"/>
          <w:rtl/>
        </w:rPr>
        <w:t xml:space="preserve"> ודוקא עד שמעיד</w:t>
      </w:r>
      <w:r>
        <w:rPr>
          <w:rFonts w:cs="Arial" w:hint="cs"/>
          <w:rtl/>
        </w:rPr>
        <w:t>,</w:t>
      </w:r>
      <w:r w:rsidRPr="00C20979">
        <w:rPr>
          <w:rFonts w:cs="Arial"/>
          <w:rtl/>
        </w:rPr>
        <w:t xml:space="preserve"> כגון אם העיד אחד מן הדיינין בפני חביריו על מעשה שראה אינו יכול להצטרף עמהם לדון על אותו מעשה</w:t>
      </w:r>
      <w:r>
        <w:rPr>
          <w:rFonts w:cs="Arial" w:hint="cs"/>
          <w:rtl/>
        </w:rPr>
        <w:t>,</w:t>
      </w:r>
      <w:r w:rsidRPr="00C20979">
        <w:rPr>
          <w:rFonts w:cs="Arial"/>
          <w:rtl/>
        </w:rPr>
        <w:t xml:space="preserve"> אבל אם אינו מעיד</w:t>
      </w:r>
      <w:r>
        <w:rPr>
          <w:rFonts w:cs="Arial" w:hint="cs"/>
          <w:rtl/>
        </w:rPr>
        <w:t>,</w:t>
      </w:r>
      <w:r w:rsidRPr="00C20979">
        <w:rPr>
          <w:rFonts w:cs="Arial"/>
          <w:rtl/>
        </w:rPr>
        <w:t xml:space="preserve"> כגון ששלשתן הדיינין ראו המעשה אפילו אם כיונו לראותו בתורת עדות אם ראוהו בשעה שראוים לדון נעשים דיינים ודנין על המעשה ההוא אבל אם לא ראוהו בשעה שראוים לדון אין דנין עליו</w:t>
      </w:r>
      <w:r>
        <w:rPr>
          <w:rFonts w:cs="Arial" w:hint="cs"/>
          <w:rtl/>
        </w:rPr>
        <w:t xml:space="preserve">. עכ"ל. וז"ל בסי' מו (סי"ב)- </w:t>
      </w:r>
      <w:r w:rsidRPr="00B276F7">
        <w:rPr>
          <w:rFonts w:cs="Arial"/>
          <w:rtl/>
        </w:rPr>
        <w:t>ואם אין כאן לא העדים ולא מי שמכיר חתימתן אלא עד</w:t>
      </w:r>
      <w:r>
        <w:rPr>
          <w:rFonts w:cs="Arial" w:hint="cs"/>
          <w:rtl/>
        </w:rPr>
        <w:t>י</w:t>
      </w:r>
      <w:r w:rsidRPr="00B276F7">
        <w:rPr>
          <w:rFonts w:cs="Arial"/>
          <w:rtl/>
        </w:rPr>
        <w:t xml:space="preserve"> דייני הקיום בעצמם מכירין אותם או שחתמו בפניהם מקיימין אותו שעד הרואה נעשה דיין לקיים שטרות לפי שהוא דרבנן</w:t>
      </w:r>
      <w:r>
        <w:rPr>
          <w:rFonts w:hint="cs"/>
          <w:rtl/>
        </w:rPr>
        <w:t>.</w:t>
      </w:r>
    </w:p>
  </w:footnote>
  <w:footnote w:id="340">
    <w:p w14:paraId="7EF7EEDD" w14:textId="77777777" w:rsidR="0013116F" w:rsidRDefault="0013116F">
      <w:pPr>
        <w:pStyle w:val="a9"/>
        <w:rPr>
          <w:rtl/>
        </w:rPr>
      </w:pPr>
      <w:r>
        <w:rPr>
          <w:rStyle w:val="ab"/>
        </w:rPr>
        <w:footnoteRef/>
      </w:r>
      <w:r>
        <w:rPr>
          <w:rtl/>
        </w:rPr>
        <w:t xml:space="preserve"> </w:t>
      </w:r>
      <w:r w:rsidRPr="00FC5FE1">
        <w:rPr>
          <w:rFonts w:cs="Arial" w:hint="cs"/>
          <w:rtl/>
        </w:rPr>
        <w:t>תוס'</w:t>
      </w:r>
      <w:r>
        <w:rPr>
          <w:rFonts w:cs="Arial" w:hint="cs"/>
          <w:rtl/>
        </w:rPr>
        <w:t xml:space="preserve"> </w:t>
      </w:r>
      <w:r>
        <w:rPr>
          <w:rFonts w:cs="Arial" w:hint="cs"/>
          <w:sz w:val="16"/>
          <w:szCs w:val="16"/>
          <w:rtl/>
        </w:rPr>
        <w:t>(שם [כתובות כא:] ד"ה הנח)</w:t>
      </w:r>
      <w:r>
        <w:rPr>
          <w:rFonts w:cs="Arial" w:hint="cs"/>
          <w:rtl/>
        </w:rPr>
        <w:t xml:space="preserve"> רא"ש </w:t>
      </w:r>
      <w:r>
        <w:rPr>
          <w:rFonts w:cs="Arial" w:hint="cs"/>
          <w:sz w:val="16"/>
          <w:szCs w:val="16"/>
          <w:rtl/>
        </w:rPr>
        <w:t xml:space="preserve">(פ"ב דכתובות סי' יט, ובב"ב פרק יש נוחלין סי' ד) </w:t>
      </w:r>
      <w:r>
        <w:rPr>
          <w:rFonts w:cs="Arial" w:hint="cs"/>
          <w:rtl/>
        </w:rPr>
        <w:t xml:space="preserve">טור </w:t>
      </w:r>
      <w:r>
        <w:rPr>
          <w:rFonts w:cs="Arial" w:hint="cs"/>
          <w:sz w:val="16"/>
          <w:szCs w:val="16"/>
          <w:rtl/>
        </w:rPr>
        <w:t xml:space="preserve">(כאן ובסי' מו סי"ב) </w:t>
      </w:r>
      <w:r>
        <w:rPr>
          <w:rFonts w:cs="Arial" w:hint="cs"/>
          <w:rtl/>
        </w:rPr>
        <w:t xml:space="preserve">ר"ן </w:t>
      </w:r>
      <w:r w:rsidRPr="00B276F7">
        <w:rPr>
          <w:rFonts w:cs="Arial" w:hint="cs"/>
          <w:sz w:val="16"/>
          <w:szCs w:val="16"/>
          <w:rtl/>
        </w:rPr>
        <w:t>(</w:t>
      </w:r>
      <w:r w:rsidRPr="00B276F7">
        <w:rPr>
          <w:rFonts w:cs="Arial"/>
          <w:sz w:val="16"/>
          <w:szCs w:val="16"/>
          <w:rtl/>
        </w:rPr>
        <w:t xml:space="preserve">כתובות </w:t>
      </w:r>
      <w:r w:rsidRPr="00B276F7">
        <w:rPr>
          <w:rFonts w:cs="Arial" w:hint="cs"/>
          <w:sz w:val="16"/>
          <w:szCs w:val="16"/>
          <w:rtl/>
        </w:rPr>
        <w:t>[פ"ב]</w:t>
      </w:r>
      <w:r w:rsidRPr="00B276F7">
        <w:rPr>
          <w:rFonts w:cs="Arial"/>
          <w:sz w:val="16"/>
          <w:szCs w:val="16"/>
          <w:rtl/>
        </w:rPr>
        <w:t xml:space="preserve"> ח: ד"ה הלכך)</w:t>
      </w:r>
      <w:r>
        <w:rPr>
          <w:rFonts w:cs="Arial" w:hint="cs"/>
          <w:sz w:val="16"/>
          <w:szCs w:val="16"/>
          <w:rtl/>
        </w:rPr>
        <w:t xml:space="preserve"> </w:t>
      </w:r>
      <w:r>
        <w:rPr>
          <w:rFonts w:cs="Arial" w:hint="cs"/>
          <w:rtl/>
        </w:rPr>
        <w:t>ונמוק"י</w:t>
      </w:r>
      <w:r>
        <w:rPr>
          <w:rFonts w:cs="Arial" w:hint="cs"/>
          <w:sz w:val="16"/>
          <w:szCs w:val="16"/>
          <w:rtl/>
        </w:rPr>
        <w:t xml:space="preserve"> </w:t>
      </w:r>
      <w:r w:rsidRPr="00157CA7">
        <w:rPr>
          <w:rFonts w:cs="Arial" w:hint="cs"/>
          <w:sz w:val="16"/>
          <w:szCs w:val="16"/>
          <w:rtl/>
        </w:rPr>
        <w:t>(סנהדרין [</w:t>
      </w:r>
      <w:r w:rsidRPr="00157CA7">
        <w:rPr>
          <w:rFonts w:cs="Arial"/>
          <w:sz w:val="16"/>
          <w:szCs w:val="16"/>
          <w:rtl/>
        </w:rPr>
        <w:t>פ</w:t>
      </w:r>
      <w:r w:rsidRPr="00157CA7">
        <w:rPr>
          <w:rFonts w:cs="Arial" w:hint="cs"/>
          <w:sz w:val="16"/>
          <w:szCs w:val="16"/>
          <w:rtl/>
        </w:rPr>
        <w:t>'</w:t>
      </w:r>
      <w:r w:rsidRPr="00157CA7">
        <w:rPr>
          <w:rFonts w:cs="Arial"/>
          <w:sz w:val="16"/>
          <w:szCs w:val="16"/>
          <w:rtl/>
        </w:rPr>
        <w:t xml:space="preserve"> אחד דיני ממונות</w:t>
      </w:r>
      <w:r w:rsidRPr="00157CA7">
        <w:rPr>
          <w:rFonts w:cs="Arial" w:hint="cs"/>
          <w:sz w:val="16"/>
          <w:szCs w:val="16"/>
          <w:rtl/>
        </w:rPr>
        <w:t>]</w:t>
      </w:r>
      <w:r w:rsidRPr="00157CA7">
        <w:rPr>
          <w:rFonts w:cs="Arial"/>
          <w:sz w:val="16"/>
          <w:szCs w:val="16"/>
          <w:rtl/>
        </w:rPr>
        <w:t xml:space="preserve"> יג. ד"ה ג' שנכנסו</w:t>
      </w:r>
      <w:r w:rsidRPr="00157CA7">
        <w:rPr>
          <w:rFonts w:cs="Arial" w:hint="cs"/>
          <w:sz w:val="16"/>
          <w:szCs w:val="16"/>
          <w:rtl/>
        </w:rPr>
        <w:t>, כ"כ בשמו הדרכ"מ [אות ב])</w:t>
      </w:r>
    </w:p>
  </w:footnote>
  <w:footnote w:id="341">
    <w:p w14:paraId="08939D1C" w14:textId="77777777" w:rsidR="0013116F" w:rsidRPr="00157CA7" w:rsidRDefault="0013116F">
      <w:pPr>
        <w:pStyle w:val="a9"/>
        <w:rPr>
          <w:rtl/>
        </w:rPr>
      </w:pPr>
      <w:r w:rsidRPr="00157CA7">
        <w:rPr>
          <w:rStyle w:val="ab"/>
        </w:rPr>
        <w:footnoteRef/>
      </w:r>
      <w:r w:rsidRPr="00157CA7">
        <w:rPr>
          <w:rtl/>
        </w:rPr>
        <w:t xml:space="preserve"> </w:t>
      </w:r>
      <w:r w:rsidRPr="00157CA7">
        <w:rPr>
          <w:rFonts w:cs="Arial"/>
          <w:rtl/>
        </w:rPr>
        <w:t>וטעמא דאין עד נעשה דיין משום דבעינן שיעידו לפני הדיינים</w:t>
      </w:r>
      <w:r w:rsidRPr="00157CA7">
        <w:rPr>
          <w:rFonts w:cs="Arial" w:hint="cs"/>
          <w:rtl/>
        </w:rPr>
        <w:t>,</w:t>
      </w:r>
      <w:r w:rsidRPr="00157CA7">
        <w:rPr>
          <w:rFonts w:cs="Arial"/>
          <w:rtl/>
        </w:rPr>
        <w:t xml:space="preserve"> כמו שמפרש רשב"ם </w:t>
      </w:r>
      <w:r w:rsidRPr="00157CA7">
        <w:rPr>
          <w:rFonts w:cs="Arial"/>
          <w:sz w:val="16"/>
          <w:szCs w:val="16"/>
          <w:rtl/>
        </w:rPr>
        <w:t>(ב"ב קיד. ד"ה ואין)</w:t>
      </w:r>
      <w:r w:rsidRPr="00157CA7">
        <w:rPr>
          <w:rFonts w:cs="Arial" w:hint="cs"/>
          <w:rtl/>
        </w:rPr>
        <w:t xml:space="preserve">, </w:t>
      </w:r>
      <w:r w:rsidRPr="00157CA7">
        <w:rPr>
          <w:rFonts w:cs="Arial"/>
          <w:rtl/>
        </w:rPr>
        <w:t xml:space="preserve">דכתיב </w:t>
      </w:r>
      <w:r w:rsidRPr="00157CA7">
        <w:rPr>
          <w:rFonts w:cs="Arial"/>
          <w:sz w:val="16"/>
          <w:szCs w:val="16"/>
          <w:rtl/>
        </w:rPr>
        <w:t xml:space="preserve">(דברים יט יז) </w:t>
      </w:r>
      <w:r w:rsidRPr="00157CA7">
        <w:rPr>
          <w:rFonts w:cs="Arial"/>
          <w:rtl/>
        </w:rPr>
        <w:t>ועמדו שני האנשים</w:t>
      </w:r>
      <w:r w:rsidRPr="00157CA7">
        <w:rPr>
          <w:rFonts w:cs="Arial" w:hint="cs"/>
          <w:rtl/>
        </w:rPr>
        <w:t xml:space="preserve"> - </w:t>
      </w:r>
      <w:r w:rsidRPr="00157CA7">
        <w:rPr>
          <w:rFonts w:cs="Arial"/>
          <w:rtl/>
        </w:rPr>
        <w:t>אלו העדים</w:t>
      </w:r>
      <w:r w:rsidRPr="00157CA7">
        <w:rPr>
          <w:rFonts w:cs="Arial" w:hint="cs"/>
          <w:rtl/>
        </w:rPr>
        <w:t>,</w:t>
      </w:r>
      <w:r w:rsidRPr="00157CA7">
        <w:rPr>
          <w:rFonts w:cs="Arial"/>
          <w:rtl/>
        </w:rPr>
        <w:t xml:space="preserve"> לפני השם</w:t>
      </w:r>
      <w:r w:rsidRPr="00157CA7">
        <w:rPr>
          <w:rFonts w:cs="Arial" w:hint="cs"/>
          <w:rtl/>
        </w:rPr>
        <w:t xml:space="preserve"> -</w:t>
      </w:r>
      <w:r w:rsidRPr="00157CA7">
        <w:rPr>
          <w:rFonts w:cs="Arial"/>
          <w:rtl/>
        </w:rPr>
        <w:t xml:space="preserve"> אלו הדיינים. ויש מפרשים משום דבעינן עדות שאתה יכול להזימה ואם העדים נעשו דיינים </w:t>
      </w:r>
      <w:r w:rsidRPr="00157CA7">
        <w:rPr>
          <w:rFonts w:cs="Arial" w:hint="cs"/>
          <w:rtl/>
        </w:rPr>
        <w:t xml:space="preserve">- </w:t>
      </w:r>
      <w:r w:rsidRPr="00157CA7">
        <w:rPr>
          <w:rFonts w:cs="Arial"/>
          <w:rtl/>
        </w:rPr>
        <w:t>עדות שאי אתה יכול להזימה הוא</w:t>
      </w:r>
      <w:r w:rsidRPr="00157CA7">
        <w:rPr>
          <w:rFonts w:cs="Arial" w:hint="cs"/>
          <w:rtl/>
        </w:rPr>
        <w:t>,</w:t>
      </w:r>
      <w:r w:rsidRPr="00157CA7">
        <w:rPr>
          <w:rFonts w:cs="Arial"/>
          <w:rtl/>
        </w:rPr>
        <w:t xml:space="preserve"> שלא יקבלו הזמה על עצמן</w:t>
      </w:r>
      <w:r w:rsidRPr="00157CA7">
        <w:rPr>
          <w:rFonts w:cs="Arial" w:hint="cs"/>
          <w:rtl/>
        </w:rPr>
        <w:t>, תוס'.</w:t>
      </w:r>
    </w:p>
  </w:footnote>
  <w:footnote w:id="342">
    <w:p w14:paraId="21FEE25D" w14:textId="77777777" w:rsidR="0013116F" w:rsidRPr="00157CA7" w:rsidRDefault="0013116F">
      <w:pPr>
        <w:pStyle w:val="a9"/>
        <w:rPr>
          <w:rtl/>
        </w:rPr>
      </w:pPr>
      <w:r w:rsidRPr="00157CA7">
        <w:rPr>
          <w:rStyle w:val="ab"/>
        </w:rPr>
        <w:footnoteRef/>
      </w:r>
      <w:r w:rsidRPr="00157CA7">
        <w:rPr>
          <w:rtl/>
        </w:rPr>
        <w:t xml:space="preserve"> </w:t>
      </w:r>
      <w:r w:rsidRPr="00157CA7">
        <w:rPr>
          <w:rFonts w:cs="Arial"/>
          <w:rtl/>
        </w:rPr>
        <w:t>דשייכי הני טעמי</w:t>
      </w:r>
      <w:r w:rsidRPr="00157CA7">
        <w:rPr>
          <w:rFonts w:hint="cs"/>
          <w:rtl/>
        </w:rPr>
        <w:t>, תוס'.</w:t>
      </w:r>
    </w:p>
  </w:footnote>
  <w:footnote w:id="343">
    <w:p w14:paraId="4A3EBD30" w14:textId="77777777" w:rsidR="0013116F" w:rsidRDefault="0013116F">
      <w:pPr>
        <w:pStyle w:val="a9"/>
      </w:pPr>
      <w:r>
        <w:rPr>
          <w:rStyle w:val="ab"/>
        </w:rPr>
        <w:footnoteRef/>
      </w:r>
      <w:r>
        <w:rPr>
          <w:rtl/>
        </w:rPr>
        <w:t xml:space="preserve"> </w:t>
      </w:r>
      <w:r w:rsidRPr="00B276F7">
        <w:rPr>
          <w:rFonts w:cs="Arial" w:hint="cs"/>
          <w:rtl/>
        </w:rPr>
        <w:t xml:space="preserve">וכתב הר"ן </w:t>
      </w:r>
      <w:r w:rsidRPr="00B276F7">
        <w:rPr>
          <w:rFonts w:cs="Arial" w:hint="cs"/>
          <w:sz w:val="16"/>
          <w:szCs w:val="16"/>
          <w:rtl/>
        </w:rPr>
        <w:t>(</w:t>
      </w:r>
      <w:r w:rsidRPr="00B276F7">
        <w:rPr>
          <w:rFonts w:cs="Arial"/>
          <w:sz w:val="16"/>
          <w:szCs w:val="16"/>
          <w:rtl/>
        </w:rPr>
        <w:t>ח: ד"ה הלכך</w:t>
      </w:r>
      <w:r w:rsidRPr="00B276F7">
        <w:rPr>
          <w:rFonts w:cs="Arial" w:hint="cs"/>
          <w:sz w:val="16"/>
          <w:szCs w:val="16"/>
          <w:rtl/>
        </w:rPr>
        <w:t>)</w:t>
      </w:r>
      <w:r w:rsidRPr="00B276F7">
        <w:rPr>
          <w:rFonts w:cs="Arial"/>
          <w:rtl/>
        </w:rPr>
        <w:t xml:space="preserve"> </w:t>
      </w:r>
      <w:r w:rsidRPr="00B276F7">
        <w:rPr>
          <w:rFonts w:cs="Arial" w:hint="cs"/>
          <w:rtl/>
        </w:rPr>
        <w:t>ד</w:t>
      </w:r>
      <w:r w:rsidRPr="00B276F7">
        <w:rPr>
          <w:rFonts w:cs="Arial"/>
          <w:rtl/>
        </w:rPr>
        <w:t>י</w:t>
      </w:r>
      <w:r w:rsidRPr="00B276F7">
        <w:rPr>
          <w:rFonts w:cs="Arial" w:hint="cs"/>
          <w:rtl/>
        </w:rPr>
        <w:t xml:space="preserve">ש </w:t>
      </w:r>
      <w:r w:rsidRPr="00B276F7">
        <w:rPr>
          <w:rFonts w:cs="Arial"/>
          <w:rtl/>
        </w:rPr>
        <w:t>א</w:t>
      </w:r>
      <w:r w:rsidRPr="00B276F7">
        <w:rPr>
          <w:rFonts w:cs="Arial" w:hint="cs"/>
          <w:rtl/>
        </w:rPr>
        <w:t>ומרים</w:t>
      </w:r>
      <w:r w:rsidRPr="00B276F7">
        <w:rPr>
          <w:rFonts w:cs="Arial"/>
          <w:rtl/>
        </w:rPr>
        <w:t xml:space="preserve"> </w:t>
      </w:r>
      <w:r w:rsidRPr="00B276F7">
        <w:rPr>
          <w:rFonts w:cs="Arial" w:hint="cs"/>
          <w:rtl/>
        </w:rPr>
        <w:t>ד</w:t>
      </w:r>
      <w:r w:rsidRPr="00B276F7">
        <w:rPr>
          <w:rFonts w:cs="Arial"/>
          <w:rtl/>
        </w:rPr>
        <w:t>דוקא בקידוש החדש הוא דמקשינן התם לא תהא שמיעה גדולה מראיה משום דגבי עדות החדש לא כתיבא הגדה אבל בדיני ממונות דכתיבא הגדת עדות בעדים</w:t>
      </w:r>
      <w:r w:rsidRPr="00B276F7">
        <w:rPr>
          <w:rFonts w:cs="Arial" w:hint="cs"/>
          <w:rtl/>
        </w:rPr>
        <w:t xml:space="preserve"> -</w:t>
      </w:r>
      <w:r w:rsidRPr="00B276F7">
        <w:rPr>
          <w:rFonts w:cs="Arial"/>
          <w:rtl/>
        </w:rPr>
        <w:t xml:space="preserve"> לא</w:t>
      </w:r>
      <w:r w:rsidRPr="00B276F7">
        <w:rPr>
          <w:rFonts w:cs="Arial" w:hint="cs"/>
          <w:rtl/>
        </w:rPr>
        <w:t>. ודחה הר"ן ז"ל דבריהם</w:t>
      </w:r>
      <w:r>
        <w:rPr>
          <w:rFonts w:cs="Arial" w:hint="cs"/>
          <w:rtl/>
        </w:rPr>
        <w:t>.</w:t>
      </w:r>
    </w:p>
  </w:footnote>
  <w:footnote w:id="344">
    <w:p w14:paraId="63ECA524" w14:textId="77777777" w:rsidR="0013116F" w:rsidRDefault="0013116F">
      <w:pPr>
        <w:pStyle w:val="a9"/>
      </w:pPr>
      <w:r>
        <w:rPr>
          <w:rStyle w:val="ab"/>
        </w:rPr>
        <w:footnoteRef/>
      </w:r>
      <w:r>
        <w:rPr>
          <w:rtl/>
        </w:rPr>
        <w:t xml:space="preserve"> </w:t>
      </w:r>
      <w:r>
        <w:rPr>
          <w:rFonts w:hint="cs"/>
          <w:rtl/>
        </w:rPr>
        <w:t xml:space="preserve">סימן </w:t>
      </w:r>
      <w:r>
        <w:rPr>
          <w:rtl/>
        </w:rPr>
        <w:t>–</w:t>
      </w:r>
      <w:r>
        <w:rPr>
          <w:rFonts w:hint="cs"/>
          <w:rtl/>
        </w:rPr>
        <w:t xml:space="preserve"> ג' יבקרו/ידונו קצירא</w:t>
      </w:r>
      <w:r>
        <w:rPr>
          <w:rFonts w:hint="cs"/>
          <w:sz w:val="16"/>
          <w:szCs w:val="16"/>
          <w:rtl/>
        </w:rPr>
        <w:t xml:space="preserve"> {חולה}</w:t>
      </w:r>
      <w:r>
        <w:rPr>
          <w:rFonts w:hint="cs"/>
          <w:rtl/>
        </w:rPr>
        <w:t>.</w:t>
      </w:r>
    </w:p>
  </w:footnote>
  <w:footnote w:id="345">
    <w:p w14:paraId="08883398" w14:textId="77777777" w:rsidR="0013116F" w:rsidRDefault="0013116F" w:rsidP="004A326E">
      <w:pPr>
        <w:pStyle w:val="a9"/>
        <w:rPr>
          <w:rtl/>
        </w:rPr>
      </w:pPr>
      <w:r w:rsidRPr="00157CA7">
        <w:rPr>
          <w:rStyle w:val="ab"/>
        </w:rPr>
        <w:footnoteRef/>
      </w:r>
      <w:r w:rsidRPr="00157CA7">
        <w:rPr>
          <w:rtl/>
        </w:rPr>
        <w:t xml:space="preserve"> </w:t>
      </w:r>
      <w:r w:rsidRPr="00157CA7">
        <w:rPr>
          <w:rFonts w:cs="Arial"/>
          <w:rtl/>
        </w:rPr>
        <w:t>שבאותה שעה לא היו ראויים להיות דיינים</w:t>
      </w:r>
      <w:r>
        <w:rPr>
          <w:rFonts w:cs="Arial" w:hint="cs"/>
          <w:rtl/>
        </w:rPr>
        <w:t>,</w:t>
      </w:r>
      <w:r w:rsidRPr="00157CA7">
        <w:rPr>
          <w:rFonts w:cs="Arial"/>
          <w:rtl/>
        </w:rPr>
        <w:t xml:space="preserve"> ועדות שהועד בפניהם מפי החולה בלילה לא בפני בית דין הוא</w:t>
      </w:r>
      <w:r w:rsidRPr="00157CA7">
        <w:rPr>
          <w:rFonts w:cs="Arial" w:hint="cs"/>
          <w:rtl/>
        </w:rPr>
        <w:t>,</w:t>
      </w:r>
      <w:r w:rsidRPr="00157CA7">
        <w:rPr>
          <w:rFonts w:cs="Arial"/>
          <w:rtl/>
        </w:rPr>
        <w:t xml:space="preserve"> דבההיא שעתא אינם</w:t>
      </w:r>
      <w:r>
        <w:rPr>
          <w:rFonts w:cs="Arial"/>
          <w:rtl/>
        </w:rPr>
        <w:t xml:space="preserve"> יכולים להיות דיינים</w:t>
      </w:r>
      <w:r>
        <w:rPr>
          <w:rFonts w:cs="Arial" w:hint="cs"/>
          <w:rtl/>
        </w:rPr>
        <w:t>,</w:t>
      </w:r>
      <w:r>
        <w:rPr>
          <w:rFonts w:cs="Arial"/>
          <w:rtl/>
        </w:rPr>
        <w:t xml:space="preserve"> וההיא ראיה דידהו אינה כשמיעת בית דין ששומעין עדות מפי עדים אלא הן עצמן הם עדים במה ששומעים מפי החולה</w:t>
      </w:r>
      <w:r>
        <w:rPr>
          <w:rFonts w:hint="cs"/>
          <w:rtl/>
        </w:rPr>
        <w:t>, רשב"ם.</w:t>
      </w:r>
    </w:p>
  </w:footnote>
  <w:footnote w:id="346">
    <w:p w14:paraId="6C2FF5B4" w14:textId="77777777" w:rsidR="0013116F" w:rsidRDefault="0013116F" w:rsidP="004A326E">
      <w:pPr>
        <w:pStyle w:val="a9"/>
        <w:rPr>
          <w:rtl/>
        </w:rPr>
      </w:pPr>
      <w:r>
        <w:rPr>
          <w:rStyle w:val="ab"/>
        </w:rPr>
        <w:footnoteRef/>
      </w:r>
      <w:r>
        <w:rPr>
          <w:rtl/>
        </w:rPr>
        <w:t xml:space="preserve"> </w:t>
      </w:r>
      <w:r>
        <w:rPr>
          <w:rFonts w:cs="Arial"/>
          <w:rtl/>
        </w:rPr>
        <w:t>למחר</w:t>
      </w:r>
      <w:r>
        <w:rPr>
          <w:rFonts w:cs="Arial" w:hint="cs"/>
          <w:rtl/>
        </w:rPr>
        <w:t>,</w:t>
      </w:r>
      <w:r>
        <w:rPr>
          <w:rFonts w:cs="Arial"/>
          <w:rtl/>
        </w:rPr>
        <w:t xml:space="preserve"> אפילו לא כתבו</w:t>
      </w:r>
      <w:r>
        <w:rPr>
          <w:rFonts w:cs="Arial" w:hint="cs"/>
          <w:rtl/>
        </w:rPr>
        <w:t>,</w:t>
      </w:r>
      <w:r>
        <w:rPr>
          <w:rFonts w:cs="Arial"/>
          <w:rtl/>
        </w:rPr>
        <w:t xml:space="preserve"> </w:t>
      </w:r>
      <w:r>
        <w:rPr>
          <w:rFonts w:cs="Arial" w:hint="cs"/>
          <w:rtl/>
        </w:rPr>
        <w:t>א</w:t>
      </w:r>
      <w:r>
        <w:rPr>
          <w:rFonts w:cs="Arial"/>
          <w:rtl/>
        </w:rPr>
        <w:t>א</w:t>
      </w:r>
      <w:r>
        <w:rPr>
          <w:rFonts w:cs="Arial" w:hint="cs"/>
          <w:rtl/>
        </w:rPr>
        <w:t>"</w:t>
      </w:r>
      <w:r>
        <w:rPr>
          <w:rFonts w:cs="Arial"/>
          <w:rtl/>
        </w:rPr>
        <w:t xml:space="preserve">כ יבואו אחרים ויעידו בפניהם </w:t>
      </w:r>
      <w:r>
        <w:rPr>
          <w:rFonts w:cs="Arial" w:hint="cs"/>
          <w:sz w:val="16"/>
          <w:szCs w:val="16"/>
          <w:rtl/>
        </w:rPr>
        <w:t>(</w:t>
      </w:r>
      <w:r w:rsidRPr="00452324">
        <w:rPr>
          <w:rFonts w:cs="Arial"/>
          <w:sz w:val="16"/>
          <w:szCs w:val="16"/>
          <w:rtl/>
        </w:rPr>
        <w:t>כדאמרינן בראש השנה ראוהו שלשה והם בית דין יושיבו מחביריהם אצל היחיד אחד מהשלשה ויעידו השנים בפניהם ויאמרו השלשה מקודש</w:t>
      </w:r>
      <w:r w:rsidRPr="00452324">
        <w:rPr>
          <w:rFonts w:cs="Arial" w:hint="cs"/>
          <w:sz w:val="16"/>
          <w:szCs w:val="16"/>
          <w:rtl/>
        </w:rPr>
        <w:t>,</w:t>
      </w:r>
      <w:r w:rsidRPr="00452324">
        <w:rPr>
          <w:rFonts w:cs="Arial"/>
          <w:sz w:val="16"/>
          <w:szCs w:val="16"/>
          <w:rtl/>
        </w:rPr>
        <w:t xml:space="preserve"> ופרכינן התם וליתבו בדוכתייהו וליקדשו ומוקמינן כשראוהו בלילה</w:t>
      </w:r>
      <w:r w:rsidRPr="00452324">
        <w:rPr>
          <w:rFonts w:cs="Arial" w:hint="cs"/>
          <w:sz w:val="16"/>
          <w:szCs w:val="16"/>
          <w:rtl/>
        </w:rPr>
        <w:t>,</w:t>
      </w:r>
      <w:r w:rsidRPr="00452324">
        <w:rPr>
          <w:rFonts w:cs="Arial"/>
          <w:sz w:val="16"/>
          <w:szCs w:val="16"/>
          <w:rtl/>
        </w:rPr>
        <w:t xml:space="preserve"> הילכך הן עצמן אינם יכולים לקדש למחר</w:t>
      </w:r>
      <w:r w:rsidRPr="00452324">
        <w:rPr>
          <w:rFonts w:cs="Arial" w:hint="cs"/>
          <w:sz w:val="16"/>
          <w:szCs w:val="16"/>
          <w:rtl/>
        </w:rPr>
        <w:t>)</w:t>
      </w:r>
      <w:r>
        <w:rPr>
          <w:rFonts w:cs="Arial" w:hint="cs"/>
          <w:rtl/>
        </w:rPr>
        <w:t>,</w:t>
      </w:r>
      <w:r>
        <w:rPr>
          <w:rFonts w:cs="Arial"/>
          <w:rtl/>
        </w:rPr>
        <w:t xml:space="preserve"> שהרי בלילה עדים היו ולא דיינים</w:t>
      </w:r>
      <w:r>
        <w:rPr>
          <w:rFonts w:cs="Arial" w:hint="cs"/>
          <w:rtl/>
        </w:rPr>
        <w:t>,</w:t>
      </w:r>
      <w:r>
        <w:rPr>
          <w:rFonts w:cs="Arial"/>
          <w:rtl/>
        </w:rPr>
        <w:t xml:space="preserve"> ולמחר אין עד הרואה בדבר נעשה דיין על פי עדות עצמו אא</w:t>
      </w:r>
      <w:r>
        <w:rPr>
          <w:rFonts w:cs="Arial" w:hint="cs"/>
          <w:rtl/>
        </w:rPr>
        <w:t>"</w:t>
      </w:r>
      <w:r>
        <w:rPr>
          <w:rFonts w:cs="Arial"/>
          <w:rtl/>
        </w:rPr>
        <w:t>כ יעיד אחר בפניו</w:t>
      </w:r>
      <w:r>
        <w:rPr>
          <w:rFonts w:cs="Arial" w:hint="cs"/>
          <w:rtl/>
        </w:rPr>
        <w:t>,</w:t>
      </w:r>
      <w:r>
        <w:rPr>
          <w:rFonts w:cs="Arial"/>
          <w:rtl/>
        </w:rPr>
        <w:t xml:space="preserve"> דהשתא אינו עושה הדין על פי עדות עצמו </w:t>
      </w:r>
      <w:r w:rsidRPr="00452324">
        <w:rPr>
          <w:rFonts w:cs="Arial" w:hint="cs"/>
          <w:sz w:val="16"/>
          <w:szCs w:val="16"/>
          <w:rtl/>
        </w:rPr>
        <w:t>(</w:t>
      </w:r>
      <w:r w:rsidRPr="00452324">
        <w:rPr>
          <w:rFonts w:cs="Arial"/>
          <w:sz w:val="16"/>
          <w:szCs w:val="16"/>
          <w:rtl/>
        </w:rPr>
        <w:t>והילכך אחד מהשלשה שראו החדש כשמושיבין שנים אצלו להיות דיינים ושנים הרואים מעידים בפניהם יכול הוא להיות דיין אע</w:t>
      </w:r>
      <w:r w:rsidRPr="00452324">
        <w:rPr>
          <w:rFonts w:cs="Arial" w:hint="cs"/>
          <w:sz w:val="16"/>
          <w:szCs w:val="16"/>
          <w:rtl/>
        </w:rPr>
        <w:t>"</w:t>
      </w:r>
      <w:r w:rsidRPr="00452324">
        <w:rPr>
          <w:rFonts w:cs="Arial"/>
          <w:sz w:val="16"/>
          <w:szCs w:val="16"/>
          <w:rtl/>
        </w:rPr>
        <w:t>פ שראוהו בלילה עמהם שהרי על פי עדות אחרים שמעידין לפניו הוא דן את הדין ולא על פי ראיית עצמו</w:t>
      </w:r>
      <w:r w:rsidRPr="00452324">
        <w:rPr>
          <w:rFonts w:cs="Arial" w:hint="cs"/>
          <w:sz w:val="16"/>
          <w:szCs w:val="16"/>
          <w:rtl/>
        </w:rPr>
        <w:t>,</w:t>
      </w:r>
      <w:r w:rsidRPr="00452324">
        <w:rPr>
          <w:rFonts w:cs="Arial"/>
          <w:sz w:val="16"/>
          <w:szCs w:val="16"/>
          <w:rtl/>
        </w:rPr>
        <w:t xml:space="preserve"> דאין לנו לפסול דיינים בשביל שראו בדבר כל זמן שלא העידו בפניהם אלא שהוא עצמו לא ידון את הדין על פי ראיית עצמו דאין עד נעשה דיין</w:t>
      </w:r>
      <w:r>
        <w:rPr>
          <w:rFonts w:cs="Arial" w:hint="cs"/>
          <w:sz w:val="16"/>
          <w:szCs w:val="16"/>
          <w:rtl/>
        </w:rPr>
        <w:t>)</w:t>
      </w:r>
      <w:r>
        <w:rPr>
          <w:rFonts w:cs="Arial" w:hint="cs"/>
          <w:rtl/>
        </w:rPr>
        <w:t>,</w:t>
      </w:r>
      <w:r>
        <w:rPr>
          <w:rFonts w:cs="Arial"/>
          <w:rtl/>
        </w:rPr>
        <w:t xml:space="preserve"> וכגון שראה בשעה דאינו יכול להיות דיין</w:t>
      </w:r>
      <w:r>
        <w:rPr>
          <w:rFonts w:cs="Arial" w:hint="cs"/>
          <w:rtl/>
        </w:rPr>
        <w:t>,</w:t>
      </w:r>
      <w:r>
        <w:rPr>
          <w:rFonts w:cs="Arial"/>
          <w:rtl/>
        </w:rPr>
        <w:t xml:space="preserve"> אבל אם ביום ראה </w:t>
      </w:r>
      <w:r w:rsidRPr="00452324">
        <w:rPr>
          <w:rFonts w:cs="Arial" w:hint="cs"/>
          <w:sz w:val="16"/>
          <w:szCs w:val="16"/>
          <w:rtl/>
        </w:rPr>
        <w:t>(</w:t>
      </w:r>
      <w:r w:rsidRPr="00452324">
        <w:rPr>
          <w:rFonts w:cs="Arial"/>
          <w:sz w:val="16"/>
          <w:szCs w:val="16"/>
          <w:rtl/>
        </w:rPr>
        <w:t>דבההיא שעתא מצי לדון את הדין דלא תהא שמיעה גדולה מראיה</w:t>
      </w:r>
      <w:r>
        <w:rPr>
          <w:rFonts w:cs="Arial" w:hint="cs"/>
          <w:sz w:val="16"/>
          <w:szCs w:val="16"/>
          <w:rtl/>
        </w:rPr>
        <w:t>)</w:t>
      </w:r>
      <w:r>
        <w:rPr>
          <w:rFonts w:cs="Arial" w:hint="cs"/>
          <w:rtl/>
        </w:rPr>
        <w:t>,</w:t>
      </w:r>
      <w:r>
        <w:rPr>
          <w:rFonts w:cs="Arial"/>
          <w:rtl/>
        </w:rPr>
        <w:t xml:space="preserve"> מה לי אם ידון עכשיו מה לי אם ידון למחר</w:t>
      </w:r>
      <w:r>
        <w:rPr>
          <w:rFonts w:cs="Arial" w:hint="cs"/>
          <w:rtl/>
        </w:rPr>
        <w:t>,</w:t>
      </w:r>
      <w:r>
        <w:rPr>
          <w:rFonts w:cs="Arial"/>
          <w:rtl/>
        </w:rPr>
        <w:t xml:space="preserve"> והכא נמי מהאי טעמא משום דהוו להו עדים בראיית הלילה דלא מצי למימר דלא תהא שמיעה גדולה מראיה </w:t>
      </w:r>
      <w:r w:rsidRPr="00452324">
        <w:rPr>
          <w:rFonts w:cs="Arial" w:hint="cs"/>
          <w:sz w:val="16"/>
          <w:szCs w:val="16"/>
          <w:rtl/>
        </w:rPr>
        <w:t>(</w:t>
      </w:r>
      <w:r w:rsidRPr="00452324">
        <w:rPr>
          <w:rFonts w:cs="Arial"/>
          <w:sz w:val="16"/>
          <w:szCs w:val="16"/>
          <w:rtl/>
        </w:rPr>
        <w:t>דההיא ראיה לא חשבינן ליה כעדות שהועד בפניהם אלא היכא דראו בשעה שיכולים לעשות הדין אבל היכא דראו בשעה דאין יכולין להיות דיינים כגון בלילה ההיא ראיה ראיית עדים היא שרואים בדבר ולא ראיית דיינים היא</w:t>
      </w:r>
      <w:r>
        <w:rPr>
          <w:rFonts w:cs="Arial" w:hint="cs"/>
          <w:sz w:val="16"/>
          <w:szCs w:val="16"/>
          <w:rtl/>
        </w:rPr>
        <w:t>)</w:t>
      </w:r>
      <w:r>
        <w:rPr>
          <w:rFonts w:cs="Arial" w:hint="cs"/>
          <w:rtl/>
        </w:rPr>
        <w:t>,</w:t>
      </w:r>
      <w:r>
        <w:rPr>
          <w:rFonts w:cs="Arial"/>
          <w:rtl/>
        </w:rPr>
        <w:t xml:space="preserve"> הילכך על פי ראייתן </w:t>
      </w:r>
      <w:r w:rsidRPr="00477E82">
        <w:rPr>
          <w:rFonts w:cs="Arial" w:hint="cs"/>
          <w:sz w:val="16"/>
          <w:szCs w:val="16"/>
          <w:rtl/>
        </w:rPr>
        <w:t>(</w:t>
      </w:r>
      <w:r w:rsidRPr="00477E82">
        <w:rPr>
          <w:rFonts w:cs="Arial"/>
          <w:sz w:val="16"/>
          <w:szCs w:val="16"/>
          <w:rtl/>
        </w:rPr>
        <w:t>דהיינו כאלו הם עדים</w:t>
      </w:r>
      <w:r>
        <w:rPr>
          <w:rFonts w:cs="Arial" w:hint="cs"/>
          <w:sz w:val="16"/>
          <w:szCs w:val="16"/>
          <w:rtl/>
        </w:rPr>
        <w:t>)</w:t>
      </w:r>
      <w:r>
        <w:rPr>
          <w:rFonts w:cs="Arial"/>
          <w:rtl/>
        </w:rPr>
        <w:t xml:space="preserve"> אין יכולים הם עצמם להיות דיינים על פי ראיית עצמן</w:t>
      </w:r>
      <w:r>
        <w:rPr>
          <w:rFonts w:cs="Arial" w:hint="cs"/>
          <w:rtl/>
        </w:rPr>
        <w:t>,</w:t>
      </w:r>
      <w:r>
        <w:rPr>
          <w:rFonts w:cs="Arial"/>
          <w:rtl/>
        </w:rPr>
        <w:t xml:space="preserve"> דאין עד נעשה דיין</w:t>
      </w:r>
      <w:r>
        <w:rPr>
          <w:rFonts w:cs="Arial" w:hint="cs"/>
          <w:rtl/>
        </w:rPr>
        <w:t>,</w:t>
      </w:r>
      <w:r>
        <w:rPr>
          <w:rFonts w:cs="Arial"/>
          <w:rtl/>
        </w:rPr>
        <w:t xml:space="preserve"> ומיהו בית דין שהעידו לפניהם עדות גמורה עדות היא ויכולים לדון למחר ביום</w:t>
      </w:r>
      <w:r>
        <w:rPr>
          <w:rFonts w:cs="Arial" w:hint="cs"/>
          <w:rtl/>
        </w:rPr>
        <w:t>,</w:t>
      </w:r>
      <w:r>
        <w:rPr>
          <w:rFonts w:cs="Arial"/>
          <w:rtl/>
        </w:rPr>
        <w:t xml:space="preserve"> אבל ראיה דידהו שרואים בלילה לא חשבינן כאלו הועד לפניהם בלילה דכיון דלא חזו בההיא שעתא לדינא </w:t>
      </w:r>
      <w:r>
        <w:rPr>
          <w:rFonts w:cs="Arial" w:hint="cs"/>
          <w:rtl/>
        </w:rPr>
        <w:t xml:space="preserve">- </w:t>
      </w:r>
      <w:r>
        <w:rPr>
          <w:rFonts w:cs="Arial"/>
          <w:rtl/>
        </w:rPr>
        <w:t>ראיה דידהו אינה כשמיעה ממש ששמעו מפי עדים בלילה</w:t>
      </w:r>
      <w:r>
        <w:rPr>
          <w:rFonts w:cs="Arial" w:hint="cs"/>
          <w:rtl/>
        </w:rPr>
        <w:t>,</w:t>
      </w:r>
      <w:r>
        <w:rPr>
          <w:rFonts w:cs="Arial"/>
          <w:rtl/>
        </w:rPr>
        <w:t xml:space="preserve"> אלא הן עצמן נעשו עדים ושוב לא יהו דיינים בעדות עצמן אא</w:t>
      </w:r>
      <w:r>
        <w:rPr>
          <w:rFonts w:cs="Arial" w:hint="cs"/>
          <w:rtl/>
        </w:rPr>
        <w:t>"</w:t>
      </w:r>
      <w:r>
        <w:rPr>
          <w:rFonts w:cs="Arial"/>
          <w:rtl/>
        </w:rPr>
        <w:t>כ יעידו אחרים בפניהם</w:t>
      </w:r>
      <w:r>
        <w:rPr>
          <w:rFonts w:cs="Arial" w:hint="cs"/>
          <w:rtl/>
        </w:rPr>
        <w:t>,</w:t>
      </w:r>
      <w:r>
        <w:rPr>
          <w:rFonts w:cs="Arial"/>
          <w:rtl/>
        </w:rPr>
        <w:t xml:space="preserve"> והכי הלכתא וכי הא סוגיא אשכחן בפרק החובל </w:t>
      </w:r>
      <w:r w:rsidRPr="00452324">
        <w:rPr>
          <w:rFonts w:cs="Arial"/>
          <w:sz w:val="16"/>
          <w:szCs w:val="16"/>
          <w:rtl/>
        </w:rPr>
        <w:t xml:space="preserve">(ב"ק צ:) </w:t>
      </w:r>
      <w:r>
        <w:rPr>
          <w:rFonts w:cs="Arial"/>
          <w:rtl/>
        </w:rPr>
        <w:t>גבי התוקע לחבירו</w:t>
      </w:r>
      <w:r>
        <w:rPr>
          <w:rFonts w:cs="Arial" w:hint="cs"/>
          <w:rtl/>
        </w:rPr>
        <w:t>, רשב"ם.</w:t>
      </w:r>
    </w:p>
  </w:footnote>
  <w:footnote w:id="347">
    <w:p w14:paraId="06F1F008" w14:textId="77777777" w:rsidR="0013116F" w:rsidRPr="00573B7B" w:rsidRDefault="0013116F" w:rsidP="004A326E">
      <w:pPr>
        <w:pStyle w:val="a9"/>
        <w:rPr>
          <w:rtl/>
        </w:rPr>
      </w:pPr>
      <w:r w:rsidRPr="00573B7B">
        <w:rPr>
          <w:rStyle w:val="ab"/>
        </w:rPr>
        <w:footnoteRef/>
      </w:r>
      <w:r w:rsidRPr="00573B7B">
        <w:rPr>
          <w:rtl/>
        </w:rPr>
        <w:t xml:space="preserve"> </w:t>
      </w:r>
      <w:r w:rsidRPr="00573B7B">
        <w:rPr>
          <w:rFonts w:cs="Arial"/>
          <w:rtl/>
        </w:rPr>
        <w:t>ודוקא עד המעיד</w:t>
      </w:r>
      <w:r w:rsidRPr="00573B7B">
        <w:rPr>
          <w:rFonts w:cs="Arial" w:hint="cs"/>
          <w:rtl/>
        </w:rPr>
        <w:t>,</w:t>
      </w:r>
      <w:r w:rsidRPr="00573B7B">
        <w:rPr>
          <w:rFonts w:cs="Arial"/>
          <w:rtl/>
        </w:rPr>
        <w:t xml:space="preserve"> אבל עד הרואה נעשה דיין כדמוכח בפ</w:t>
      </w:r>
      <w:r w:rsidRPr="00573B7B">
        <w:rPr>
          <w:rFonts w:cs="Arial" w:hint="cs"/>
          <w:rtl/>
        </w:rPr>
        <w:t>"</w:t>
      </w:r>
      <w:r w:rsidRPr="00573B7B">
        <w:rPr>
          <w:rFonts w:cs="Arial"/>
          <w:rtl/>
        </w:rPr>
        <w:t>ק דגיטין (ה:) ובפ</w:t>
      </w:r>
      <w:r w:rsidRPr="00573B7B">
        <w:rPr>
          <w:rFonts w:cs="Arial" w:hint="cs"/>
          <w:rtl/>
        </w:rPr>
        <w:t>"ב</w:t>
      </w:r>
      <w:r w:rsidRPr="00573B7B">
        <w:rPr>
          <w:rFonts w:cs="Arial"/>
          <w:rtl/>
        </w:rPr>
        <w:t xml:space="preserve"> דכתובות (כא:) גבי קיום שטרות</w:t>
      </w:r>
      <w:r w:rsidRPr="00573B7B">
        <w:rPr>
          <w:rFonts w:cs="Arial" w:hint="cs"/>
          <w:rtl/>
        </w:rPr>
        <w:t xml:space="preserve">, </w:t>
      </w:r>
      <w:r w:rsidRPr="00573B7B">
        <w:rPr>
          <w:rFonts w:cs="Arial"/>
          <w:rtl/>
        </w:rPr>
        <w:t>רא"ש (סי' ד)</w:t>
      </w:r>
      <w:r w:rsidRPr="00573B7B">
        <w:rPr>
          <w:rFonts w:hint="cs"/>
          <w:rtl/>
        </w:rPr>
        <w:t>.</w:t>
      </w:r>
    </w:p>
  </w:footnote>
  <w:footnote w:id="348">
    <w:p w14:paraId="0A921D47" w14:textId="77777777" w:rsidR="0013116F" w:rsidRDefault="0013116F" w:rsidP="004A326E">
      <w:pPr>
        <w:pStyle w:val="a9"/>
        <w:rPr>
          <w:rtl/>
        </w:rPr>
      </w:pPr>
      <w:r>
        <w:rPr>
          <w:rStyle w:val="ab"/>
        </w:rPr>
        <w:footnoteRef/>
      </w:r>
      <w:r>
        <w:rPr>
          <w:rtl/>
        </w:rPr>
        <w:t xml:space="preserve"> </w:t>
      </w:r>
      <w:r w:rsidRPr="00A1760F">
        <w:rPr>
          <w:rFonts w:cs="Arial"/>
          <w:rtl/>
        </w:rPr>
        <w:t>זו היא שיטת הרב ז"ל</w:t>
      </w:r>
      <w:r>
        <w:rPr>
          <w:rFonts w:cs="Arial" w:hint="cs"/>
          <w:rtl/>
        </w:rPr>
        <w:t>,</w:t>
      </w:r>
      <w:r w:rsidRPr="00A1760F">
        <w:rPr>
          <w:rFonts w:cs="Arial"/>
          <w:rtl/>
        </w:rPr>
        <w:t xml:space="preserve"> אבל אינה מחוורת שאין הדעת נותנת שמשעה שנתכוון להעיד יהא נעשה עד</w:t>
      </w:r>
      <w:r>
        <w:rPr>
          <w:rFonts w:cs="Arial" w:hint="cs"/>
          <w:rtl/>
        </w:rPr>
        <w:t>,</w:t>
      </w:r>
      <w:r w:rsidRPr="00A1760F">
        <w:rPr>
          <w:rFonts w:cs="Arial"/>
          <w:rtl/>
        </w:rPr>
        <w:t xml:space="preserve"> ואם אתה אומר כן פסלתינהו לכולהו כתובות וקידושין</w:t>
      </w:r>
      <w:r>
        <w:rPr>
          <w:rFonts w:cs="Arial" w:hint="cs"/>
          <w:rtl/>
        </w:rPr>
        <w:t>,</w:t>
      </w:r>
      <w:r w:rsidRPr="00A1760F">
        <w:rPr>
          <w:rFonts w:cs="Arial"/>
          <w:rtl/>
        </w:rPr>
        <w:t xml:space="preserve"> שמעשים בכל יום שמקדשים בפני קרובים ורחוקים ואינם חוששים שמא הקרובים נתכוונו להעיד ותהא אף העדות הרחוקים בטלה</w:t>
      </w:r>
      <w:r w:rsidRPr="00A1760F">
        <w:rPr>
          <w:rFonts w:cs="Arial" w:hint="cs"/>
          <w:rtl/>
        </w:rPr>
        <w:t>,</w:t>
      </w:r>
      <w:r w:rsidRPr="00A1760F">
        <w:rPr>
          <w:rFonts w:cs="Arial"/>
          <w:rtl/>
        </w:rPr>
        <w:t xml:space="preserve"> וההיא נמי דפ</w:t>
      </w:r>
      <w:r>
        <w:rPr>
          <w:rFonts w:cs="Arial" w:hint="cs"/>
          <w:rtl/>
        </w:rPr>
        <w:t>"</w:t>
      </w:r>
      <w:r w:rsidRPr="00A1760F">
        <w:rPr>
          <w:rFonts w:cs="Arial"/>
          <w:rtl/>
        </w:rPr>
        <w:t>ק דמכות לא מוכחא הכי</w:t>
      </w:r>
      <w:r>
        <w:rPr>
          <w:rFonts w:cs="Arial" w:hint="cs"/>
          <w:rtl/>
        </w:rPr>
        <w:t>,</w:t>
      </w:r>
      <w:r w:rsidRPr="00A1760F">
        <w:rPr>
          <w:rFonts w:cs="Arial"/>
          <w:rtl/>
        </w:rPr>
        <w:t xml:space="preserve"> דלישנא דלמיחזי אתיתון או לאסהודי מוכח שלא על דעת המעשה אנו שואלין אותם</w:t>
      </w:r>
      <w:r>
        <w:rPr>
          <w:rFonts w:cs="Arial" w:hint="cs"/>
          <w:rtl/>
        </w:rPr>
        <w:t>,</w:t>
      </w:r>
      <w:r w:rsidRPr="00A1760F">
        <w:rPr>
          <w:rFonts w:cs="Arial"/>
          <w:rtl/>
        </w:rPr>
        <w:t xml:space="preserve"> דא</w:t>
      </w:r>
      <w:r>
        <w:rPr>
          <w:rFonts w:cs="Arial" w:hint="cs"/>
          <w:rtl/>
        </w:rPr>
        <w:t>"</w:t>
      </w:r>
      <w:r w:rsidRPr="00A1760F">
        <w:rPr>
          <w:rFonts w:cs="Arial"/>
          <w:rtl/>
        </w:rPr>
        <w:t>כ מאי אתיתון</w:t>
      </w:r>
      <w:r>
        <w:rPr>
          <w:rFonts w:cs="Arial" w:hint="cs"/>
          <w:rtl/>
        </w:rPr>
        <w:t>,</w:t>
      </w:r>
      <w:r w:rsidRPr="00A1760F">
        <w:rPr>
          <w:rFonts w:cs="Arial"/>
          <w:rtl/>
        </w:rPr>
        <w:t xml:space="preserve"> שמא היו שם מתחלה</w:t>
      </w:r>
      <w:r>
        <w:rPr>
          <w:rFonts w:cs="Arial" w:hint="cs"/>
          <w:rtl/>
        </w:rPr>
        <w:t>,</w:t>
      </w:r>
      <w:r w:rsidRPr="00A1760F">
        <w:rPr>
          <w:rFonts w:cs="Arial"/>
          <w:rtl/>
        </w:rPr>
        <w:t xml:space="preserve"> אלא ודאי כשבאו לפני בית דין קאמר</w:t>
      </w:r>
      <w:r>
        <w:rPr>
          <w:rFonts w:cs="Arial" w:hint="cs"/>
          <w:rtl/>
        </w:rPr>
        <w:t>,</w:t>
      </w:r>
      <w:r w:rsidRPr="00A1760F">
        <w:rPr>
          <w:rFonts w:cs="Arial"/>
          <w:rtl/>
        </w:rPr>
        <w:t xml:space="preserve"> ששואלין אותן אם באו לשם כדי להעיד</w:t>
      </w:r>
      <w:r>
        <w:rPr>
          <w:rFonts w:cs="Arial" w:hint="cs"/>
          <w:rtl/>
        </w:rPr>
        <w:t>,</w:t>
      </w:r>
      <w:r w:rsidRPr="00A1760F">
        <w:rPr>
          <w:rFonts w:cs="Arial"/>
          <w:rtl/>
        </w:rPr>
        <w:t xml:space="preserve"> שאם לכך באו מצטרפין עם הכשרים ופוסלים אותם</w:t>
      </w:r>
      <w:r>
        <w:rPr>
          <w:rFonts w:cs="Arial" w:hint="cs"/>
          <w:rtl/>
        </w:rPr>
        <w:t>,</w:t>
      </w:r>
      <w:r w:rsidRPr="00A1760F">
        <w:rPr>
          <w:rFonts w:cs="Arial"/>
          <w:rtl/>
        </w:rPr>
        <w:t xml:space="preserve"> ואם אמרו שלא באו אלא לראות אין מצטרפין ואין פוסלין את הכשרים, ויש מי שמוסיף עוד ואומר שלאחר שהעידו הוא ששואלין אותם שכל שאמרו שמתחלה לא נתכוונו להעיד אע</w:t>
      </w:r>
      <w:r>
        <w:rPr>
          <w:rFonts w:cs="Arial" w:hint="cs"/>
          <w:rtl/>
        </w:rPr>
        <w:t>"</w:t>
      </w:r>
      <w:r w:rsidRPr="00A1760F">
        <w:rPr>
          <w:rFonts w:cs="Arial"/>
          <w:rtl/>
        </w:rPr>
        <w:t>פ שהעידו אינן פוסלין</w:t>
      </w:r>
      <w:r>
        <w:rPr>
          <w:rFonts w:cs="Arial" w:hint="cs"/>
          <w:rtl/>
        </w:rPr>
        <w:t>,</w:t>
      </w:r>
      <w:r w:rsidRPr="00A1760F">
        <w:rPr>
          <w:rFonts w:cs="Arial"/>
          <w:rtl/>
        </w:rPr>
        <w:t xml:space="preserve"> וכ"כ הרמב"ן </w:t>
      </w:r>
      <w:r w:rsidRPr="00FD5100">
        <w:rPr>
          <w:rFonts w:cs="Arial"/>
          <w:sz w:val="16"/>
          <w:szCs w:val="16"/>
          <w:rtl/>
        </w:rPr>
        <w:t xml:space="preserve">(ב"ב קיג: ד"ה שלשה) </w:t>
      </w:r>
      <w:r w:rsidRPr="00A1760F">
        <w:rPr>
          <w:rFonts w:cs="Arial"/>
          <w:rtl/>
        </w:rPr>
        <w:t xml:space="preserve">והרשב"א </w:t>
      </w:r>
      <w:r w:rsidRPr="00FD5100">
        <w:rPr>
          <w:rFonts w:cs="Arial"/>
          <w:sz w:val="16"/>
          <w:szCs w:val="16"/>
          <w:rtl/>
        </w:rPr>
        <w:t xml:space="preserve">(שם ד"ה ויש) </w:t>
      </w:r>
      <w:r w:rsidRPr="00A1760F">
        <w:rPr>
          <w:rFonts w:cs="Arial"/>
          <w:rtl/>
        </w:rPr>
        <w:t>ז"ל</w:t>
      </w:r>
      <w:r>
        <w:rPr>
          <w:rFonts w:cs="Arial" w:hint="cs"/>
          <w:rtl/>
        </w:rPr>
        <w:t>,</w:t>
      </w:r>
      <w:r w:rsidRPr="00A1760F">
        <w:rPr>
          <w:rFonts w:cs="Arial"/>
          <w:rtl/>
        </w:rPr>
        <w:t xml:space="preserve"> אבל מ</w:t>
      </w:r>
      <w:r>
        <w:rPr>
          <w:rFonts w:cs="Arial" w:hint="cs"/>
          <w:rtl/>
        </w:rPr>
        <w:t>"</w:t>
      </w:r>
      <w:r w:rsidRPr="00A1760F">
        <w:rPr>
          <w:rFonts w:cs="Arial"/>
          <w:rtl/>
        </w:rPr>
        <w:t>מ מחשבה בלבד אינו עושה אותם עדים</w:t>
      </w:r>
      <w:r>
        <w:rPr>
          <w:rFonts w:cs="Arial" w:hint="cs"/>
          <w:rtl/>
        </w:rPr>
        <w:t>, ר"ן</w:t>
      </w:r>
      <w:r w:rsidRPr="00A1760F">
        <w:rPr>
          <w:rFonts w:cs="Arial"/>
          <w:rtl/>
        </w:rPr>
        <w:t>.</w:t>
      </w:r>
    </w:p>
  </w:footnote>
  <w:footnote w:id="349">
    <w:p w14:paraId="2279F361" w14:textId="77777777" w:rsidR="0013116F" w:rsidRDefault="0013116F" w:rsidP="004A326E">
      <w:pPr>
        <w:pStyle w:val="a9"/>
      </w:pPr>
      <w:r>
        <w:rPr>
          <w:rStyle w:val="ab"/>
        </w:rPr>
        <w:footnoteRef/>
      </w:r>
      <w:r>
        <w:rPr>
          <w:rtl/>
        </w:rPr>
        <w:t xml:space="preserve"> </w:t>
      </w:r>
      <w:r>
        <w:rPr>
          <w:rFonts w:cs="Arial" w:hint="cs"/>
          <w:rtl/>
        </w:rPr>
        <w:t xml:space="preserve">כתב הר"ן- </w:t>
      </w:r>
      <w:r w:rsidRPr="00A1760F">
        <w:rPr>
          <w:rFonts w:cs="Arial"/>
          <w:rtl/>
        </w:rPr>
        <w:t>כל שזימנום להעיד הדברים מראים דהוה ליה עד</w:t>
      </w:r>
      <w:r>
        <w:rPr>
          <w:rFonts w:cs="Arial" w:hint="cs"/>
          <w:rtl/>
        </w:rPr>
        <w:t>,</w:t>
      </w:r>
      <w:r w:rsidRPr="00A1760F">
        <w:rPr>
          <w:rFonts w:cs="Arial"/>
          <w:rtl/>
        </w:rPr>
        <w:t xml:space="preserve"> ואם פסול הוא פוסל את האחרים</w:t>
      </w:r>
      <w:r>
        <w:rPr>
          <w:rFonts w:cs="Arial" w:hint="cs"/>
          <w:rtl/>
        </w:rPr>
        <w:t>,</w:t>
      </w:r>
      <w:r w:rsidRPr="00A1760F">
        <w:rPr>
          <w:rFonts w:cs="Arial"/>
          <w:rtl/>
        </w:rPr>
        <w:t xml:space="preserve"> ואם הוא כשר אינו נעשה דיין</w:t>
      </w:r>
      <w:r>
        <w:rPr>
          <w:rFonts w:cs="Arial" w:hint="cs"/>
          <w:rtl/>
        </w:rPr>
        <w:t>.</w:t>
      </w:r>
      <w:r w:rsidRPr="00A1760F">
        <w:rPr>
          <w:rFonts w:cs="Arial"/>
          <w:rtl/>
        </w:rPr>
        <w:t xml:space="preserve"> ואף בשהזמינו להעיד יש שתי דעות</w:t>
      </w:r>
      <w:r>
        <w:rPr>
          <w:rFonts w:cs="Arial" w:hint="cs"/>
          <w:rtl/>
        </w:rPr>
        <w:t>,</w:t>
      </w:r>
      <w:r w:rsidRPr="00A1760F">
        <w:rPr>
          <w:rFonts w:cs="Arial"/>
          <w:rtl/>
        </w:rPr>
        <w:t xml:space="preserve"> שיש מי שאומר </w:t>
      </w:r>
      <w:r>
        <w:rPr>
          <w:rFonts w:cs="Arial" w:hint="cs"/>
          <w:rtl/>
        </w:rPr>
        <w:t xml:space="preserve">- </w:t>
      </w:r>
      <w:r w:rsidRPr="00A1760F">
        <w:rPr>
          <w:rFonts w:cs="Arial"/>
          <w:rtl/>
        </w:rPr>
        <w:t>הוזמנו להעיד וראוהו בלילה דינן שוה שבשניהם אין דנין על פי עצמן אבל בעדות אחרים דנין</w:t>
      </w:r>
      <w:r>
        <w:rPr>
          <w:rFonts w:cs="Arial" w:hint="cs"/>
          <w:rtl/>
        </w:rPr>
        <w:t>.</w:t>
      </w:r>
      <w:r w:rsidRPr="00A1760F">
        <w:rPr>
          <w:rFonts w:cs="Arial"/>
          <w:rtl/>
        </w:rPr>
        <w:t xml:space="preserve"> ואחרים אומרים </w:t>
      </w:r>
      <w:r>
        <w:rPr>
          <w:rFonts w:cs="Arial" w:hint="cs"/>
          <w:rtl/>
        </w:rPr>
        <w:t xml:space="preserve">- </w:t>
      </w:r>
      <w:r w:rsidRPr="00A1760F">
        <w:rPr>
          <w:rFonts w:cs="Arial"/>
          <w:rtl/>
        </w:rPr>
        <w:t>דדוקא ראוהו בלילה הוא שדנין בעדות אחרים</w:t>
      </w:r>
      <w:r>
        <w:rPr>
          <w:rFonts w:cs="Arial" w:hint="cs"/>
          <w:rtl/>
        </w:rPr>
        <w:t>,</w:t>
      </w:r>
      <w:r w:rsidRPr="00A1760F">
        <w:rPr>
          <w:rFonts w:cs="Arial"/>
          <w:rtl/>
        </w:rPr>
        <w:t xml:space="preserve"> לפי שכל שאינו צריך לעדות עצמו לא נעשה עד מעולם וכמו שנתפרש למעלה</w:t>
      </w:r>
      <w:r>
        <w:rPr>
          <w:rFonts w:cs="Arial" w:hint="cs"/>
          <w:rtl/>
        </w:rPr>
        <w:t>,</w:t>
      </w:r>
      <w:r w:rsidRPr="00A1760F">
        <w:rPr>
          <w:rFonts w:cs="Arial"/>
          <w:rtl/>
        </w:rPr>
        <w:t xml:space="preserve"> אבל כל שהוזמן להעיד מיד נעשה עד ושוב אינו נעשה דיין לעולם על פי עדות אחרים</w:t>
      </w:r>
      <w:r>
        <w:rPr>
          <w:rFonts w:cs="Arial" w:hint="cs"/>
          <w:rtl/>
        </w:rPr>
        <w:t>.</w:t>
      </w:r>
      <w:r w:rsidRPr="00A1760F">
        <w:rPr>
          <w:rFonts w:cs="Arial"/>
          <w:rtl/>
        </w:rPr>
        <w:t xml:space="preserve"> וכן דעת הרמב"ן (שם)</w:t>
      </w:r>
      <w:r>
        <w:rPr>
          <w:rFonts w:cs="Arial" w:hint="cs"/>
          <w:rtl/>
        </w:rPr>
        <w:t>,</w:t>
      </w:r>
      <w:r w:rsidRPr="00A1760F">
        <w:rPr>
          <w:rFonts w:cs="Arial"/>
          <w:rtl/>
        </w:rPr>
        <w:t xml:space="preserve"> וכן ראוי להורות הלכה למעשה</w:t>
      </w:r>
      <w:r>
        <w:rPr>
          <w:rFonts w:cs="Arial" w:hint="cs"/>
          <w:rtl/>
        </w:rPr>
        <w:t>.</w:t>
      </w:r>
      <w:r w:rsidRPr="00A1760F">
        <w:rPr>
          <w:rFonts w:cs="Arial"/>
          <w:rtl/>
        </w:rPr>
        <w:t xml:space="preserve"> אע</w:t>
      </w:r>
      <w:r>
        <w:rPr>
          <w:rFonts w:cs="Arial" w:hint="cs"/>
          <w:rtl/>
        </w:rPr>
        <w:t>"</w:t>
      </w:r>
      <w:r w:rsidRPr="00A1760F">
        <w:rPr>
          <w:rFonts w:cs="Arial"/>
          <w:rtl/>
        </w:rPr>
        <w:t>פ שהרשב"א ז"ל (ד"ה שלשה) לא כתב כן. ונמצאו כללי השמועה ש</w:t>
      </w:r>
      <w:r>
        <w:rPr>
          <w:rFonts w:cs="Arial" w:hint="cs"/>
          <w:rtl/>
        </w:rPr>
        <w:t>-...</w:t>
      </w:r>
    </w:p>
  </w:footnote>
  <w:footnote w:id="350">
    <w:p w14:paraId="3B7A87C3" w14:textId="77777777" w:rsidR="0013116F" w:rsidRPr="00477E82" w:rsidRDefault="0013116F" w:rsidP="00CD1276">
      <w:pPr>
        <w:pStyle w:val="a9"/>
        <w:rPr>
          <w:b/>
          <w:bCs/>
        </w:rPr>
      </w:pPr>
      <w:r>
        <w:rPr>
          <w:rStyle w:val="ab"/>
        </w:rPr>
        <w:footnoteRef/>
      </w:r>
      <w:r>
        <w:rPr>
          <w:rtl/>
        </w:rPr>
        <w:t xml:space="preserve"> </w:t>
      </w:r>
      <w:r>
        <w:rPr>
          <w:rFonts w:hint="cs"/>
          <w:rtl/>
        </w:rPr>
        <w:t xml:space="preserve">וז"ל- </w:t>
      </w:r>
      <w:r w:rsidRPr="00477E82">
        <w:rPr>
          <w:rFonts w:cs="Arial"/>
          <w:rtl/>
        </w:rPr>
        <w:t>נראה לר"י דדוקא בעד המעיד אין עד נעשה דיין אבל במתכוין להעיד לא</w:t>
      </w:r>
      <w:r w:rsidRPr="00477E82">
        <w:rPr>
          <w:rFonts w:cs="Arial" w:hint="cs"/>
          <w:rtl/>
        </w:rPr>
        <w:t>,</w:t>
      </w:r>
      <w:r w:rsidRPr="00477E82">
        <w:rPr>
          <w:rFonts w:cs="Arial"/>
          <w:rtl/>
        </w:rPr>
        <w:t xml:space="preserve"> דהא דטעמא דאין עד נעשה דיין או משום דבעינן עדות שאתה יכול להזימה או משום דכתיב ועמדו שני האנשים וכו' דבעינן שיעידו העדים לפני הדיינים ולא שיהיו בעצמן דיינים</w:t>
      </w:r>
      <w:r w:rsidRPr="00477E82">
        <w:rPr>
          <w:rFonts w:cs="Arial" w:hint="cs"/>
          <w:rtl/>
        </w:rPr>
        <w:t>,</w:t>
      </w:r>
      <w:r w:rsidRPr="00477E82">
        <w:rPr>
          <w:rFonts w:cs="Arial"/>
          <w:rtl/>
        </w:rPr>
        <w:t xml:space="preserve"> והנך טעמי לא שייכי אלא בעד המעיד בפיו ולא במתכוין להעיד</w:t>
      </w:r>
      <w:r>
        <w:rPr>
          <w:rFonts w:cs="Arial" w:hint="cs"/>
          <w:rtl/>
        </w:rPr>
        <w:t xml:space="preserve">. </w:t>
      </w:r>
      <w:r w:rsidRPr="00477E82">
        <w:rPr>
          <w:rFonts w:cs="Arial"/>
          <w:rtl/>
        </w:rPr>
        <w:t>ולא כפירוש רשב"ם (ב"ב קיג: ד"ה ג' שנכנסו) שפירש שנתכוין להעיד אמרינן נמצא אחד מהם קרוב או פסול עדותן בטלה וכן לענין שאינו נעשה דיין</w:t>
      </w:r>
      <w:r w:rsidRPr="00477E82">
        <w:rPr>
          <w:rFonts w:cs="Arial" w:hint="cs"/>
          <w:rtl/>
        </w:rPr>
        <w:t>,</w:t>
      </w:r>
      <w:r w:rsidRPr="00477E82">
        <w:rPr>
          <w:rFonts w:cs="Arial"/>
          <w:rtl/>
        </w:rPr>
        <w:t xml:space="preserve"> ודקדק מדאמר בפרק אחד דיני ממונות (לד:) שלשה שנכנסו לבקר את החולה וכו' משמע דוקא שנכנסו לבקר ולא נתכוונו להעיד אמרינן רצו עושין דין אבל נתכוונו להעיד אין עושין דין</w:t>
      </w:r>
      <w:r>
        <w:rPr>
          <w:rFonts w:cs="Arial" w:hint="cs"/>
          <w:rtl/>
        </w:rPr>
        <w:t>, תוס'.</w:t>
      </w:r>
      <w:r w:rsidRPr="00477E82">
        <w:rPr>
          <w:rFonts w:cs="Arial"/>
          <w:rtl/>
        </w:rPr>
        <w:t xml:space="preserve"> </w:t>
      </w:r>
      <w:r>
        <w:rPr>
          <w:rFonts w:cs="Arial" w:hint="cs"/>
          <w:rtl/>
        </w:rPr>
        <w:t>וכתב הב"י ש</w:t>
      </w:r>
      <w:r w:rsidRPr="00477E82">
        <w:rPr>
          <w:rFonts w:cs="Arial"/>
          <w:rtl/>
        </w:rPr>
        <w:t>גם בפרק יש נוחלין</w:t>
      </w:r>
      <w:r>
        <w:rPr>
          <w:rFonts w:cs="Arial" w:hint="cs"/>
          <w:rtl/>
        </w:rPr>
        <w:t xml:space="preserve"> </w:t>
      </w:r>
      <w:r w:rsidRPr="00477E82">
        <w:rPr>
          <w:rFonts w:cs="Arial"/>
          <w:rtl/>
        </w:rPr>
        <w:t xml:space="preserve">דחו </w:t>
      </w:r>
      <w:r>
        <w:rPr>
          <w:rFonts w:cs="Arial" w:hint="cs"/>
          <w:rtl/>
        </w:rPr>
        <w:t>התוס'</w:t>
      </w:r>
      <w:r w:rsidRPr="00477E82">
        <w:rPr>
          <w:rFonts w:cs="Arial"/>
          <w:rtl/>
        </w:rPr>
        <w:t xml:space="preserve"> (קיד. ד"ה אבל) דברי רשב"ם</w:t>
      </w:r>
      <w:r>
        <w:rPr>
          <w:rFonts w:cs="Arial" w:hint="cs"/>
          <w:rtl/>
        </w:rPr>
        <w:t>,</w:t>
      </w:r>
      <w:r w:rsidRPr="00477E82">
        <w:rPr>
          <w:rFonts w:cs="Arial"/>
          <w:rtl/>
        </w:rPr>
        <w:t xml:space="preserve"> והרא"ש (סי' ב) ז"ל גם כן דחה שם דברי רשב"ם והסכים לדברי התוספות</w:t>
      </w:r>
      <w:r>
        <w:rPr>
          <w:rFonts w:cs="Arial" w:hint="cs"/>
          <w:rtl/>
        </w:rPr>
        <w:t>,</w:t>
      </w:r>
      <w:r w:rsidRPr="00477E82">
        <w:rPr>
          <w:rFonts w:cs="Arial"/>
          <w:rtl/>
        </w:rPr>
        <w:t xml:space="preserve"> וכך הם דברי רבינו</w:t>
      </w:r>
      <w:r>
        <w:rPr>
          <w:rFonts w:cs="Arial" w:hint="cs"/>
          <w:rtl/>
        </w:rPr>
        <w:t>.</w:t>
      </w:r>
    </w:p>
  </w:footnote>
  <w:footnote w:id="351">
    <w:p w14:paraId="66B70E2B" w14:textId="77777777" w:rsidR="0013116F" w:rsidRDefault="0013116F" w:rsidP="00CD1276">
      <w:pPr>
        <w:pStyle w:val="a9"/>
      </w:pPr>
      <w:r>
        <w:rPr>
          <w:rStyle w:val="ab"/>
        </w:rPr>
        <w:footnoteRef/>
      </w:r>
      <w:r>
        <w:rPr>
          <w:rtl/>
        </w:rPr>
        <w:t xml:space="preserve"> </w:t>
      </w:r>
      <w:r>
        <w:rPr>
          <w:rFonts w:cs="Arial" w:hint="cs"/>
          <w:rtl/>
        </w:rPr>
        <w:t xml:space="preserve">ר"י </w:t>
      </w:r>
      <w:r>
        <w:rPr>
          <w:rFonts w:cs="Arial" w:hint="cs"/>
          <w:sz w:val="16"/>
          <w:szCs w:val="16"/>
          <w:rtl/>
        </w:rPr>
        <w:t xml:space="preserve">(כ"כ התוס' בשמו) </w:t>
      </w:r>
      <w:r w:rsidRPr="00477E82">
        <w:rPr>
          <w:rFonts w:cs="Arial"/>
          <w:rtl/>
        </w:rPr>
        <w:t>תוס</w:t>
      </w:r>
      <w:r>
        <w:rPr>
          <w:rFonts w:cs="Arial" w:hint="cs"/>
          <w:rtl/>
        </w:rPr>
        <w:t>'</w:t>
      </w:r>
      <w:r w:rsidRPr="00477E82">
        <w:rPr>
          <w:rFonts w:cs="Arial"/>
          <w:rtl/>
        </w:rPr>
        <w:t xml:space="preserve"> </w:t>
      </w:r>
      <w:r w:rsidRPr="00477E82">
        <w:rPr>
          <w:rFonts w:cs="Arial" w:hint="cs"/>
          <w:sz w:val="16"/>
          <w:szCs w:val="16"/>
          <w:rtl/>
        </w:rPr>
        <w:t>(</w:t>
      </w:r>
      <w:r w:rsidRPr="00477E82">
        <w:rPr>
          <w:rFonts w:cs="Arial"/>
          <w:sz w:val="16"/>
          <w:szCs w:val="16"/>
          <w:rtl/>
        </w:rPr>
        <w:t>פ</w:t>
      </w:r>
      <w:r w:rsidRPr="00477E82">
        <w:rPr>
          <w:rFonts w:cs="Arial" w:hint="cs"/>
          <w:sz w:val="16"/>
          <w:szCs w:val="16"/>
          <w:rtl/>
        </w:rPr>
        <w:t>"</w:t>
      </w:r>
      <w:r w:rsidRPr="00477E82">
        <w:rPr>
          <w:rFonts w:cs="Arial"/>
          <w:sz w:val="16"/>
          <w:szCs w:val="16"/>
          <w:rtl/>
        </w:rPr>
        <w:t>ק דסנהדרין ט. ד"ה בזמן</w:t>
      </w:r>
      <w:r>
        <w:rPr>
          <w:rFonts w:cs="Arial" w:hint="cs"/>
          <w:sz w:val="16"/>
          <w:szCs w:val="16"/>
          <w:rtl/>
        </w:rPr>
        <w:t>,</w:t>
      </w:r>
      <w:r w:rsidRPr="00477E82">
        <w:rPr>
          <w:rFonts w:cs="Arial"/>
          <w:rtl/>
        </w:rPr>
        <w:t xml:space="preserve"> </w:t>
      </w:r>
      <w:r w:rsidRPr="00477E82">
        <w:rPr>
          <w:rFonts w:cs="Arial"/>
          <w:sz w:val="16"/>
          <w:szCs w:val="16"/>
          <w:rtl/>
        </w:rPr>
        <w:t>ו</w:t>
      </w:r>
      <w:r w:rsidRPr="00477E82">
        <w:rPr>
          <w:rFonts w:cs="Arial" w:hint="cs"/>
          <w:sz w:val="16"/>
          <w:szCs w:val="16"/>
          <w:rtl/>
        </w:rPr>
        <w:t xml:space="preserve">כן </w:t>
      </w:r>
      <w:r>
        <w:rPr>
          <w:rFonts w:cs="Arial" w:hint="cs"/>
          <w:sz w:val="16"/>
          <w:szCs w:val="16"/>
          <w:rtl/>
        </w:rPr>
        <w:t>בב"ב [</w:t>
      </w:r>
      <w:r w:rsidRPr="00477E82">
        <w:rPr>
          <w:rFonts w:cs="Arial"/>
          <w:sz w:val="16"/>
          <w:szCs w:val="16"/>
          <w:rtl/>
        </w:rPr>
        <w:t>פ</w:t>
      </w:r>
      <w:r w:rsidRPr="00477E82">
        <w:rPr>
          <w:rFonts w:cs="Arial" w:hint="cs"/>
          <w:sz w:val="16"/>
          <w:szCs w:val="16"/>
          <w:rtl/>
        </w:rPr>
        <w:t>'</w:t>
      </w:r>
      <w:r w:rsidRPr="00477E82">
        <w:rPr>
          <w:rFonts w:cs="Arial"/>
          <w:sz w:val="16"/>
          <w:szCs w:val="16"/>
          <w:rtl/>
        </w:rPr>
        <w:t xml:space="preserve"> יש נוחלין</w:t>
      </w:r>
      <w:r>
        <w:rPr>
          <w:rFonts w:cs="Arial" w:hint="cs"/>
          <w:sz w:val="16"/>
          <w:szCs w:val="16"/>
          <w:rtl/>
        </w:rPr>
        <w:t>]</w:t>
      </w:r>
      <w:r w:rsidRPr="00477E82">
        <w:rPr>
          <w:rFonts w:cs="Arial"/>
          <w:sz w:val="16"/>
          <w:szCs w:val="16"/>
          <w:rtl/>
        </w:rPr>
        <w:t xml:space="preserve"> קיד. ד"ה אבל)</w:t>
      </w:r>
      <w:r w:rsidRPr="00477E82">
        <w:rPr>
          <w:rFonts w:cs="Arial"/>
          <w:rtl/>
        </w:rPr>
        <w:t xml:space="preserve"> </w:t>
      </w:r>
      <w:r w:rsidRPr="00A1760F">
        <w:rPr>
          <w:rFonts w:cs="Arial"/>
          <w:rtl/>
        </w:rPr>
        <w:t xml:space="preserve">רמב"ם </w:t>
      </w:r>
      <w:r w:rsidRPr="00EF1008">
        <w:rPr>
          <w:rFonts w:cs="Arial" w:hint="cs"/>
          <w:sz w:val="16"/>
          <w:szCs w:val="16"/>
          <w:rtl/>
        </w:rPr>
        <w:t>(</w:t>
      </w:r>
      <w:r w:rsidRPr="00EF1008">
        <w:rPr>
          <w:rFonts w:cs="Arial"/>
          <w:sz w:val="16"/>
          <w:szCs w:val="16"/>
          <w:rtl/>
        </w:rPr>
        <w:t>פ"ה מהל</w:t>
      </w:r>
      <w:r w:rsidRPr="00EF1008">
        <w:rPr>
          <w:rFonts w:cs="Arial" w:hint="cs"/>
          <w:sz w:val="16"/>
          <w:szCs w:val="16"/>
          <w:rtl/>
        </w:rPr>
        <w:t>'</w:t>
      </w:r>
      <w:r w:rsidRPr="00EF1008">
        <w:rPr>
          <w:rFonts w:cs="Arial"/>
          <w:sz w:val="16"/>
          <w:szCs w:val="16"/>
          <w:rtl/>
        </w:rPr>
        <w:t xml:space="preserve"> עדות ה"ח</w:t>
      </w:r>
      <w:r w:rsidRPr="00EF1008">
        <w:rPr>
          <w:rFonts w:cs="Arial" w:hint="cs"/>
          <w:sz w:val="16"/>
          <w:szCs w:val="16"/>
          <w:rtl/>
        </w:rPr>
        <w:t>, כ"כ הב"י דנראה מדבריו</w:t>
      </w:r>
      <w:r w:rsidRPr="00EF1008">
        <w:rPr>
          <w:rFonts w:cs="Arial"/>
          <w:sz w:val="16"/>
          <w:szCs w:val="16"/>
          <w:rtl/>
        </w:rPr>
        <w:t>)</w:t>
      </w:r>
      <w:r>
        <w:rPr>
          <w:rFonts w:cs="Arial" w:hint="cs"/>
          <w:rtl/>
        </w:rPr>
        <w:t xml:space="preserve"> </w:t>
      </w:r>
      <w:r w:rsidRPr="00477E82">
        <w:rPr>
          <w:rFonts w:cs="Arial"/>
          <w:rtl/>
        </w:rPr>
        <w:t xml:space="preserve">רא"ש </w:t>
      </w:r>
      <w:r w:rsidRPr="00477E82">
        <w:rPr>
          <w:rFonts w:cs="Arial"/>
          <w:sz w:val="16"/>
          <w:szCs w:val="16"/>
          <w:rtl/>
        </w:rPr>
        <w:t>(סי' ב)</w:t>
      </w:r>
      <w:r>
        <w:rPr>
          <w:rFonts w:cs="Arial" w:hint="cs"/>
          <w:rtl/>
        </w:rPr>
        <w:t xml:space="preserve"> וטור</w:t>
      </w:r>
      <w:r>
        <w:rPr>
          <w:rFonts w:hint="cs"/>
          <w:rtl/>
        </w:rPr>
        <w:t>.</w:t>
      </w:r>
    </w:p>
  </w:footnote>
  <w:footnote w:id="352">
    <w:p w14:paraId="17A768A8" w14:textId="77777777" w:rsidR="0013116F" w:rsidRDefault="0013116F" w:rsidP="004A326E">
      <w:pPr>
        <w:pStyle w:val="a9"/>
        <w:rPr>
          <w:rtl/>
        </w:rPr>
      </w:pPr>
      <w:r>
        <w:rPr>
          <w:rStyle w:val="ab"/>
        </w:rPr>
        <w:footnoteRef/>
      </w:r>
      <w:r>
        <w:rPr>
          <w:rtl/>
        </w:rPr>
        <w:t xml:space="preserve"> </w:t>
      </w:r>
      <w:r>
        <w:rPr>
          <w:rFonts w:hint="cs"/>
          <w:rtl/>
        </w:rPr>
        <w:t>אך הש"ך</w:t>
      </w:r>
      <w:r w:rsidRPr="007D0AFD">
        <w:rPr>
          <w:rFonts w:hint="cs"/>
          <w:sz w:val="16"/>
          <w:szCs w:val="16"/>
          <w:rtl/>
        </w:rPr>
        <w:t xml:space="preserve"> (סק"ט) </w:t>
      </w:r>
      <w:r>
        <w:rPr>
          <w:rFonts w:cs="Arial" w:hint="cs"/>
          <w:rtl/>
        </w:rPr>
        <w:t>כתב ד</w:t>
      </w:r>
      <w:r w:rsidRPr="007D0AFD">
        <w:rPr>
          <w:rFonts w:cs="Arial"/>
          <w:rtl/>
        </w:rPr>
        <w:t>ליכא מאן דפליג על</w:t>
      </w:r>
      <w:r>
        <w:rPr>
          <w:rFonts w:cs="Arial" w:hint="cs"/>
          <w:rtl/>
        </w:rPr>
        <w:t xml:space="preserve"> רי"ו</w:t>
      </w:r>
      <w:r w:rsidRPr="007D0AFD">
        <w:rPr>
          <w:rFonts w:cs="Arial"/>
          <w:rtl/>
        </w:rPr>
        <w:t xml:space="preserve">, ודלא כנראה מב"י </w:t>
      </w:r>
      <w:r w:rsidRPr="007D0AFD">
        <w:rPr>
          <w:rFonts w:cs="Arial" w:hint="cs"/>
          <w:sz w:val="14"/>
          <w:szCs w:val="14"/>
          <w:rtl/>
        </w:rPr>
        <w:t>(</w:t>
      </w:r>
      <w:r w:rsidRPr="007D0AFD">
        <w:rPr>
          <w:rFonts w:cs="Arial"/>
          <w:sz w:val="14"/>
          <w:szCs w:val="14"/>
          <w:rtl/>
        </w:rPr>
        <w:t>מחודש ו' סד"ה ומ"ש רבינו</w:t>
      </w:r>
      <w:r w:rsidRPr="007D0AFD">
        <w:rPr>
          <w:rFonts w:cs="Arial" w:hint="cs"/>
          <w:sz w:val="14"/>
          <w:szCs w:val="14"/>
          <w:rtl/>
        </w:rPr>
        <w:t>)</w:t>
      </w:r>
      <w:r w:rsidRPr="007D0AFD">
        <w:rPr>
          <w:rFonts w:cs="Arial"/>
          <w:rtl/>
        </w:rPr>
        <w:t>, ועיין מ"ש לקמן סי</w:t>
      </w:r>
      <w:r>
        <w:rPr>
          <w:rFonts w:cs="Arial" w:hint="cs"/>
          <w:rtl/>
        </w:rPr>
        <w:t xml:space="preserve">' </w:t>
      </w:r>
      <w:r w:rsidRPr="007D0AFD">
        <w:rPr>
          <w:rFonts w:cs="Arial"/>
          <w:rtl/>
        </w:rPr>
        <w:t>מו סע</w:t>
      </w:r>
      <w:r>
        <w:rPr>
          <w:rFonts w:cs="Arial" w:hint="cs"/>
          <w:rtl/>
        </w:rPr>
        <w:t>'</w:t>
      </w:r>
      <w:r w:rsidRPr="007D0AFD">
        <w:rPr>
          <w:rFonts w:cs="Arial"/>
          <w:rtl/>
        </w:rPr>
        <w:t xml:space="preserve"> כד סקנ"ז</w:t>
      </w:r>
      <w:r>
        <w:rPr>
          <w:rFonts w:cs="Arial" w:hint="cs"/>
          <w:rtl/>
        </w:rPr>
        <w:t>.</w:t>
      </w:r>
    </w:p>
  </w:footnote>
  <w:footnote w:id="353">
    <w:p w14:paraId="0C66B121" w14:textId="77777777" w:rsidR="0013116F" w:rsidRDefault="0013116F" w:rsidP="004A326E">
      <w:pPr>
        <w:pStyle w:val="a9"/>
      </w:pPr>
      <w:r>
        <w:rPr>
          <w:rStyle w:val="ab"/>
        </w:rPr>
        <w:footnoteRef/>
      </w:r>
      <w:r>
        <w:rPr>
          <w:rtl/>
        </w:rPr>
        <w:t xml:space="preserve"> </w:t>
      </w:r>
      <w:r>
        <w:rPr>
          <w:rFonts w:hint="cs"/>
          <w:rtl/>
        </w:rPr>
        <w:t>פירוש עם עוד אחד מן השוק, סמ"ע (סקי"ג).</w:t>
      </w:r>
    </w:p>
  </w:footnote>
  <w:footnote w:id="354">
    <w:p w14:paraId="5AA5E606" w14:textId="77777777" w:rsidR="0013116F" w:rsidRDefault="0013116F" w:rsidP="004A326E">
      <w:pPr>
        <w:pStyle w:val="a9"/>
        <w:rPr>
          <w:rtl/>
        </w:rPr>
      </w:pPr>
      <w:r>
        <w:rPr>
          <w:rStyle w:val="ab"/>
        </w:rPr>
        <w:footnoteRef/>
      </w:r>
      <w:r>
        <w:rPr>
          <w:rtl/>
        </w:rPr>
        <w:t xml:space="preserve"> </w:t>
      </w:r>
      <w:r w:rsidRPr="009D148B">
        <w:rPr>
          <w:rFonts w:cs="Arial"/>
          <w:rtl/>
        </w:rPr>
        <w:t>וכ"כ הטור בסי</w:t>
      </w:r>
      <w:r>
        <w:rPr>
          <w:rFonts w:cs="Arial" w:hint="cs"/>
          <w:rtl/>
        </w:rPr>
        <w:t xml:space="preserve">' </w:t>
      </w:r>
      <w:r w:rsidRPr="009D148B">
        <w:rPr>
          <w:rFonts w:cs="Arial"/>
          <w:rtl/>
        </w:rPr>
        <w:t>מ"ו סע</w:t>
      </w:r>
      <w:r>
        <w:rPr>
          <w:rFonts w:cs="Arial" w:hint="cs"/>
          <w:rtl/>
        </w:rPr>
        <w:t>'</w:t>
      </w:r>
      <w:r w:rsidRPr="009D148B">
        <w:rPr>
          <w:rFonts w:cs="Arial"/>
          <w:rtl/>
        </w:rPr>
        <w:t xml:space="preserve"> יב והמחבר שם [סע</w:t>
      </w:r>
      <w:r>
        <w:rPr>
          <w:rFonts w:cs="Arial" w:hint="cs"/>
          <w:rtl/>
        </w:rPr>
        <w:t>'</w:t>
      </w:r>
      <w:r w:rsidRPr="009D148B">
        <w:rPr>
          <w:rFonts w:cs="Arial"/>
          <w:rtl/>
        </w:rPr>
        <w:t xml:space="preserve"> ז], שעד הרואה [פירוש בלילה] נעשה דיין בקיום שטרות שהן דרבנן, ועיין לקמן סימן מ"ו כמה פרטי דינים עוד מזה</w:t>
      </w:r>
      <w:r>
        <w:rPr>
          <w:rFonts w:hint="cs"/>
          <w:rtl/>
        </w:rPr>
        <w:t>, סמ"ע (סקט"ז).</w:t>
      </w:r>
    </w:p>
  </w:footnote>
  <w:footnote w:id="355">
    <w:p w14:paraId="2976665F" w14:textId="77777777" w:rsidR="0013116F" w:rsidRDefault="0013116F" w:rsidP="004A326E">
      <w:pPr>
        <w:pStyle w:val="a9"/>
        <w:rPr>
          <w:rtl/>
        </w:rPr>
      </w:pPr>
      <w:r>
        <w:rPr>
          <w:rStyle w:val="ab"/>
        </w:rPr>
        <w:footnoteRef/>
      </w:r>
      <w:r>
        <w:rPr>
          <w:rtl/>
        </w:rPr>
        <w:t xml:space="preserve"> </w:t>
      </w:r>
      <w:r>
        <w:rPr>
          <w:rFonts w:hint="cs"/>
          <w:rtl/>
        </w:rPr>
        <w:t xml:space="preserve">ותמה הט"ז </w:t>
      </w:r>
      <w:r w:rsidRPr="002E5F05">
        <w:rPr>
          <w:rFonts w:hint="cs"/>
          <w:sz w:val="16"/>
          <w:szCs w:val="16"/>
          <w:rtl/>
        </w:rPr>
        <w:t xml:space="preserve">(ד"ה אם ראוהו ביום) </w:t>
      </w:r>
      <w:r>
        <w:rPr>
          <w:rFonts w:hint="cs"/>
          <w:rtl/>
        </w:rPr>
        <w:t xml:space="preserve">על דבריו, וגם הש"ך </w:t>
      </w:r>
      <w:r w:rsidRPr="002E5F05">
        <w:rPr>
          <w:rFonts w:hint="cs"/>
          <w:sz w:val="16"/>
          <w:szCs w:val="16"/>
          <w:rtl/>
        </w:rPr>
        <w:t xml:space="preserve">(סק"ה) </w:t>
      </w:r>
      <w:r>
        <w:rPr>
          <w:rFonts w:hint="cs"/>
          <w:rtl/>
        </w:rPr>
        <w:t xml:space="preserve">השאיר דברי הב"ח בצ"ע, אך קצוה"ח </w:t>
      </w:r>
      <w:r w:rsidRPr="002E5F05">
        <w:rPr>
          <w:rFonts w:hint="cs"/>
          <w:sz w:val="16"/>
          <w:szCs w:val="16"/>
          <w:rtl/>
        </w:rPr>
        <w:t xml:space="preserve">(סק"ו) </w:t>
      </w:r>
      <w:r>
        <w:rPr>
          <w:rFonts w:hint="cs"/>
          <w:rtl/>
        </w:rPr>
        <w:t>הסכים לדברי הב"ח.</w:t>
      </w:r>
    </w:p>
  </w:footnote>
  <w:footnote w:id="356">
    <w:p w14:paraId="3E421D75" w14:textId="77777777" w:rsidR="0013116F" w:rsidRDefault="0013116F">
      <w:pPr>
        <w:pStyle w:val="a9"/>
      </w:pPr>
      <w:r>
        <w:rPr>
          <w:rStyle w:val="ab"/>
        </w:rPr>
        <w:footnoteRef/>
      </w:r>
      <w:r>
        <w:rPr>
          <w:rtl/>
        </w:rPr>
        <w:t xml:space="preserve"> </w:t>
      </w:r>
      <w:r w:rsidRPr="00287EF3">
        <w:rPr>
          <w:rFonts w:cs="Arial"/>
          <w:rtl/>
        </w:rPr>
        <w:t>עיין בספר ברכ</w:t>
      </w:r>
      <w:r>
        <w:rPr>
          <w:rFonts w:cs="Arial" w:hint="cs"/>
          <w:rtl/>
        </w:rPr>
        <w:t>"</w:t>
      </w:r>
      <w:r w:rsidRPr="00287EF3">
        <w:rPr>
          <w:rFonts w:cs="Arial"/>
          <w:rtl/>
        </w:rPr>
        <w:t xml:space="preserve">י </w:t>
      </w:r>
      <w:r>
        <w:rPr>
          <w:rFonts w:cs="Arial" w:hint="cs"/>
          <w:rtl/>
        </w:rPr>
        <w:t>(</w:t>
      </w:r>
      <w:r w:rsidRPr="00287EF3">
        <w:rPr>
          <w:rFonts w:cs="Arial"/>
          <w:rtl/>
        </w:rPr>
        <w:t>אות טו</w:t>
      </w:r>
      <w:r>
        <w:rPr>
          <w:rFonts w:cs="Arial" w:hint="cs"/>
          <w:rtl/>
        </w:rPr>
        <w:t>)</w:t>
      </w:r>
      <w:r w:rsidRPr="00287EF3">
        <w:rPr>
          <w:rFonts w:cs="Arial"/>
          <w:rtl/>
        </w:rPr>
        <w:t xml:space="preserve"> שדקדק מלשון זה דס"ל להגאון דאם הנתבע רוצה לילך לדון קמי דיינא דזוטר מיניה מצי אזיל, ואין זה זלזול אלא חסרון כבוד, וחכם שמחל על כבודו כו'</w:t>
      </w:r>
      <w:r>
        <w:rPr>
          <w:rFonts w:hint="cs"/>
          <w:rtl/>
        </w:rPr>
        <w:t>, פת"ש (סק"ח).</w:t>
      </w:r>
    </w:p>
  </w:footnote>
  <w:footnote w:id="357">
    <w:p w14:paraId="0970EE45" w14:textId="77777777" w:rsidR="0013116F" w:rsidRDefault="0013116F" w:rsidP="004A326E">
      <w:pPr>
        <w:pStyle w:val="a9"/>
      </w:pPr>
      <w:r>
        <w:rPr>
          <w:rStyle w:val="ab"/>
        </w:rPr>
        <w:footnoteRef/>
      </w:r>
      <w:r>
        <w:rPr>
          <w:rtl/>
        </w:rPr>
        <w:t xml:space="preserve"> </w:t>
      </w:r>
      <w:r w:rsidRPr="00406F7F">
        <w:rPr>
          <w:rFonts w:cs="Arial"/>
          <w:rtl/>
        </w:rPr>
        <w:t>פירוש, דנין ביניהן. והכי קאמר, כשדייני העיר הם שפלים בעיני החכם לדון לפניהן, מכנפין חכמי העיר הגדולים שבהן ובפניהן הוא דן</w:t>
      </w:r>
      <w:r>
        <w:rPr>
          <w:rFonts w:cs="Arial" w:hint="cs"/>
          <w:rtl/>
        </w:rPr>
        <w:t>.</w:t>
      </w:r>
      <w:r w:rsidRPr="00406F7F">
        <w:rPr>
          <w:rFonts w:cs="Arial"/>
          <w:rtl/>
        </w:rPr>
        <w:t xml:space="preserve"> אלא דלשון "מעיינין בינייהו" לא משמע דין אלא פשרה, דרואים אם יכולים לפשרם, אם לא שתאמר שלשון הגאון דכ"כ הטור [סעיף ז'] בשמו הוא כך, שכתב "מעיינין ביניהם" במקום דנין אותן.</w:t>
      </w:r>
      <w:r>
        <w:rPr>
          <w:rFonts w:cs="Arial" w:hint="cs"/>
          <w:rtl/>
        </w:rPr>
        <w:t xml:space="preserve">.., סמ"ע (סקי"ז). </w:t>
      </w:r>
      <w:r w:rsidRPr="00470492">
        <w:rPr>
          <w:rFonts w:cs="Arial"/>
          <w:rtl/>
        </w:rPr>
        <w:t xml:space="preserve">ועיין באו"ת [אורים סקט"ז] שכתב </w:t>
      </w:r>
      <w:r>
        <w:rPr>
          <w:rFonts w:cs="Arial" w:hint="cs"/>
          <w:rtl/>
        </w:rPr>
        <w:t>ד</w:t>
      </w:r>
      <w:r w:rsidRPr="00470492">
        <w:rPr>
          <w:rFonts w:cs="Arial"/>
          <w:rtl/>
        </w:rPr>
        <w:t xml:space="preserve">הנכון כפירוש </w:t>
      </w:r>
      <w:r>
        <w:rPr>
          <w:rFonts w:cs="Arial" w:hint="cs"/>
          <w:rtl/>
        </w:rPr>
        <w:t xml:space="preserve">הראשון </w:t>
      </w:r>
      <w:r w:rsidRPr="00470492">
        <w:rPr>
          <w:rFonts w:cs="Arial" w:hint="cs"/>
          <w:sz w:val="16"/>
          <w:szCs w:val="16"/>
          <w:rtl/>
        </w:rPr>
        <w:t>{היינו שדנין בניהן</w:t>
      </w:r>
      <w:r>
        <w:rPr>
          <w:rFonts w:cs="Arial" w:hint="cs"/>
          <w:sz w:val="16"/>
          <w:szCs w:val="16"/>
          <w:rtl/>
        </w:rPr>
        <w:t>}</w:t>
      </w:r>
      <w:r w:rsidRPr="00470492">
        <w:rPr>
          <w:rFonts w:cs="Arial"/>
          <w:rtl/>
        </w:rPr>
        <w:t>, דכיון דיש כאן אוסף כל החכמים לית ליה זילותא עוד כו', ע"ש, והביאו ג"כ בנה"מ [משה"כ סק"ט]</w:t>
      </w:r>
      <w:r>
        <w:rPr>
          <w:rFonts w:cs="Arial" w:hint="cs"/>
          <w:rtl/>
        </w:rPr>
        <w:t>, פת"ש (סק"י).</w:t>
      </w:r>
      <w:r w:rsidRPr="00470492">
        <w:rPr>
          <w:rFonts w:cs="Arial"/>
          <w:rtl/>
        </w:rPr>
        <w:t xml:space="preserve"> </w:t>
      </w:r>
      <w:r w:rsidRPr="00406F7F">
        <w:rPr>
          <w:rFonts w:cs="Arial"/>
          <w:rtl/>
        </w:rPr>
        <w:t xml:space="preserve">והב"ח </w:t>
      </w:r>
      <w:r>
        <w:rPr>
          <w:rFonts w:cs="Arial" w:hint="cs"/>
          <w:rtl/>
        </w:rPr>
        <w:t>(</w:t>
      </w:r>
      <w:r w:rsidRPr="00406F7F">
        <w:rPr>
          <w:rFonts w:cs="Arial"/>
          <w:rtl/>
        </w:rPr>
        <w:t>סע</w:t>
      </w:r>
      <w:r>
        <w:rPr>
          <w:rFonts w:cs="Arial" w:hint="cs"/>
          <w:rtl/>
        </w:rPr>
        <w:t>'</w:t>
      </w:r>
      <w:r w:rsidRPr="00406F7F">
        <w:rPr>
          <w:rFonts w:cs="Arial"/>
          <w:rtl/>
        </w:rPr>
        <w:t xml:space="preserve"> ז</w:t>
      </w:r>
      <w:r>
        <w:rPr>
          <w:rFonts w:cs="Arial" w:hint="cs"/>
          <w:rtl/>
        </w:rPr>
        <w:t>)</w:t>
      </w:r>
      <w:r w:rsidRPr="00406F7F">
        <w:rPr>
          <w:rFonts w:cs="Arial"/>
          <w:rtl/>
        </w:rPr>
        <w:t xml:space="preserve"> פירש דר"ל דמעיינין אם מן הראוי הוא שילך או לא</w:t>
      </w:r>
      <w:r>
        <w:rPr>
          <w:rFonts w:cs="Arial" w:hint="cs"/>
          <w:rtl/>
        </w:rPr>
        <w:t>.</w:t>
      </w:r>
    </w:p>
  </w:footnote>
  <w:footnote w:id="358">
    <w:p w14:paraId="4C717B99" w14:textId="77777777" w:rsidR="0013116F" w:rsidRDefault="0013116F">
      <w:pPr>
        <w:pStyle w:val="a9"/>
      </w:pPr>
      <w:r>
        <w:rPr>
          <w:rStyle w:val="ab"/>
        </w:rPr>
        <w:footnoteRef/>
      </w:r>
      <w:r>
        <w:rPr>
          <w:rtl/>
        </w:rPr>
        <w:t xml:space="preserve"> </w:t>
      </w:r>
      <w:r>
        <w:rPr>
          <w:rFonts w:hint="cs"/>
          <w:rtl/>
        </w:rPr>
        <w:t>סימן - קשרי הדיין.</w:t>
      </w:r>
    </w:p>
  </w:footnote>
  <w:footnote w:id="359">
    <w:p w14:paraId="389F6EB4" w14:textId="77777777" w:rsidR="0013116F" w:rsidRDefault="0013116F" w:rsidP="006048DE">
      <w:pPr>
        <w:pStyle w:val="a9"/>
        <w:rPr>
          <w:rtl/>
        </w:rPr>
      </w:pPr>
      <w:r>
        <w:rPr>
          <w:rStyle w:val="ab"/>
        </w:rPr>
        <w:footnoteRef/>
      </w:r>
      <w:r>
        <w:rPr>
          <w:rtl/>
        </w:rPr>
        <w:t xml:space="preserve"> </w:t>
      </w:r>
      <w:r>
        <w:rPr>
          <w:rFonts w:hint="cs"/>
          <w:rtl/>
        </w:rPr>
        <w:t xml:space="preserve">סימן </w:t>
      </w:r>
      <w:r>
        <w:rPr>
          <w:rtl/>
        </w:rPr>
        <w:t>–</w:t>
      </w:r>
      <w:r>
        <w:rPr>
          <w:rFonts w:hint="cs"/>
          <w:rtl/>
        </w:rPr>
        <w:t xml:space="preserve"> כוונתו זכה. כוונתו זרה/זדונית. וסימן לדף כט </w:t>
      </w:r>
      <w:r>
        <w:rPr>
          <w:rtl/>
        </w:rPr>
        <w:t>–</w:t>
      </w:r>
      <w:r>
        <w:rPr>
          <w:rFonts w:hint="cs"/>
          <w:rtl/>
        </w:rPr>
        <w:t xml:space="preserve"> כוונתו טובה. כוונתו טפלה. וכן </w:t>
      </w:r>
      <w:r>
        <w:rPr>
          <w:rtl/>
        </w:rPr>
        <w:t>–</w:t>
      </w:r>
      <w:r>
        <w:rPr>
          <w:rFonts w:hint="cs"/>
          <w:rtl/>
        </w:rPr>
        <w:t xml:space="preserve"> כרתי טב. </w:t>
      </w:r>
    </w:p>
  </w:footnote>
  <w:footnote w:id="360">
    <w:p w14:paraId="5766CC3A" w14:textId="77777777" w:rsidR="0013116F" w:rsidRDefault="0013116F">
      <w:pPr>
        <w:pStyle w:val="a9"/>
      </w:pPr>
      <w:r>
        <w:rPr>
          <w:rStyle w:val="ab"/>
        </w:rPr>
        <w:footnoteRef/>
      </w:r>
      <w:r>
        <w:rPr>
          <w:rtl/>
        </w:rPr>
        <w:t xml:space="preserve"> </w:t>
      </w:r>
      <w:r w:rsidRPr="002C5FCA">
        <w:rPr>
          <w:rFonts w:cs="Arial"/>
          <w:rtl/>
        </w:rPr>
        <w:t>להעיד שקר משום איבה ואהבה, ודווקא בעדות פליגי, אבל בדין מודו רבנן דפסול לו לדון, דכיון דסני ליה ולא מצי להפוכי בזכותיה</w:t>
      </w:r>
      <w:r>
        <w:rPr>
          <w:rFonts w:cs="Arial" w:hint="cs"/>
          <w:rtl/>
        </w:rPr>
        <w:t>, רש"י</w:t>
      </w:r>
      <w:r w:rsidRPr="002C5FCA">
        <w:rPr>
          <w:rFonts w:cs="Arial"/>
          <w:rtl/>
        </w:rPr>
        <w:t>.</w:t>
      </w:r>
    </w:p>
  </w:footnote>
  <w:footnote w:id="361">
    <w:p w14:paraId="1DB5A8EF" w14:textId="77777777" w:rsidR="0013116F" w:rsidRDefault="0013116F" w:rsidP="004A326E">
      <w:pPr>
        <w:pStyle w:val="a9"/>
        <w:rPr>
          <w:rtl/>
        </w:rPr>
      </w:pPr>
      <w:r>
        <w:rPr>
          <w:rStyle w:val="ab"/>
        </w:rPr>
        <w:footnoteRef/>
      </w:r>
      <w:r>
        <w:rPr>
          <w:rtl/>
        </w:rPr>
        <w:t xml:space="preserve"> </w:t>
      </w:r>
      <w:r w:rsidRPr="009817A0">
        <w:rPr>
          <w:rFonts w:cs="Arial"/>
          <w:rtl/>
        </w:rPr>
        <w:t>בטלה שושבינות וכשר להעיד</w:t>
      </w:r>
      <w:r>
        <w:rPr>
          <w:rFonts w:cs="Arial" w:hint="cs"/>
          <w:rtl/>
        </w:rPr>
        <w:t>, רש"י</w:t>
      </w:r>
      <w:r w:rsidRPr="009817A0">
        <w:rPr>
          <w:rFonts w:cs="Arial"/>
          <w:rtl/>
        </w:rPr>
        <w:t>.</w:t>
      </w:r>
    </w:p>
  </w:footnote>
  <w:footnote w:id="362">
    <w:p w14:paraId="5D1EA6D3" w14:textId="77777777" w:rsidR="0013116F" w:rsidRDefault="0013116F" w:rsidP="004A326E">
      <w:pPr>
        <w:pStyle w:val="a9"/>
        <w:rPr>
          <w:rtl/>
        </w:rPr>
      </w:pPr>
      <w:r>
        <w:rPr>
          <w:rStyle w:val="ab"/>
        </w:rPr>
        <w:footnoteRef/>
      </w:r>
      <w:r>
        <w:rPr>
          <w:rtl/>
        </w:rPr>
        <w:t xml:space="preserve"> </w:t>
      </w:r>
      <w:r w:rsidRPr="00535F28">
        <w:rPr>
          <w:rFonts w:cs="Arial"/>
          <w:rtl/>
        </w:rPr>
        <w:t>יעידנו - דהאי והוא אעד קאי, דמעיד שהוא חייב גלות והעד לא אויב לו לרוצח, דאי ברוצח הא כתיב (דברים ד) והוא לא שונא לו וקראי אחריני טובא</w:t>
      </w:r>
      <w:r>
        <w:rPr>
          <w:rFonts w:cs="Arial" w:hint="cs"/>
          <w:rtl/>
        </w:rPr>
        <w:t>, רש"י</w:t>
      </w:r>
      <w:r w:rsidRPr="00535F28">
        <w:rPr>
          <w:rFonts w:cs="Arial"/>
          <w:rtl/>
        </w:rPr>
        <w:t>.</w:t>
      </w:r>
    </w:p>
  </w:footnote>
  <w:footnote w:id="363">
    <w:p w14:paraId="7BF2C9DC" w14:textId="77777777" w:rsidR="0013116F" w:rsidRDefault="0013116F" w:rsidP="004A326E">
      <w:pPr>
        <w:pStyle w:val="a9"/>
        <w:rPr>
          <w:rtl/>
        </w:rPr>
      </w:pPr>
      <w:r>
        <w:rPr>
          <w:rStyle w:val="ab"/>
        </w:rPr>
        <w:footnoteRef/>
      </w:r>
      <w:r>
        <w:rPr>
          <w:rtl/>
        </w:rPr>
        <w:t xml:space="preserve"> </w:t>
      </w:r>
      <w:r w:rsidRPr="00535F28">
        <w:rPr>
          <w:rFonts w:cs="Arial"/>
          <w:rtl/>
        </w:rPr>
        <w:t xml:space="preserve">ידיננו - דסמיך ליה ושפטו העדה, וקאמר ר' יהודה דהאי לא מבקש רעתו אשופטים קאי, ולשון זה מצאתי בברייתא דסיפרי ולא בספרי שלנו, והוא לא אויב לו - העד ולא מבקש רעתו </w:t>
      </w:r>
      <w:r>
        <w:rPr>
          <w:rFonts w:cs="Arial"/>
          <w:rtl/>
        </w:rPr>
        <w:t>–</w:t>
      </w:r>
      <w:r w:rsidRPr="00535F28">
        <w:rPr>
          <w:rFonts w:cs="Arial"/>
          <w:rtl/>
        </w:rPr>
        <w:t xml:space="preserve"> השופט</w:t>
      </w:r>
      <w:r>
        <w:rPr>
          <w:rFonts w:cs="Arial" w:hint="cs"/>
          <w:rtl/>
        </w:rPr>
        <w:t>, רש"י</w:t>
      </w:r>
      <w:r w:rsidRPr="00535F28">
        <w:rPr>
          <w:rFonts w:cs="Arial"/>
          <w:rtl/>
        </w:rPr>
        <w:t>.</w:t>
      </w:r>
    </w:p>
  </w:footnote>
  <w:footnote w:id="364">
    <w:p w14:paraId="2C36FBA1" w14:textId="77777777" w:rsidR="0013116F" w:rsidRDefault="0013116F">
      <w:pPr>
        <w:pStyle w:val="a9"/>
        <w:rPr>
          <w:rtl/>
        </w:rPr>
      </w:pPr>
      <w:r>
        <w:rPr>
          <w:rStyle w:val="ab"/>
        </w:rPr>
        <w:footnoteRef/>
      </w:r>
      <w:r>
        <w:rPr>
          <w:rtl/>
        </w:rPr>
        <w:t xml:space="preserve"> </w:t>
      </w:r>
      <w:r w:rsidRPr="002C5FCA">
        <w:rPr>
          <w:rFonts w:cs="Arial"/>
          <w:rtl/>
        </w:rPr>
        <w:t>דבדיין מודו רבנן דשונא לא ידון, דלא מצי חזי ליה זכותא</w:t>
      </w:r>
      <w:r>
        <w:rPr>
          <w:rFonts w:hint="cs"/>
          <w:rtl/>
        </w:rPr>
        <w:t>, רש"י.</w:t>
      </w:r>
    </w:p>
  </w:footnote>
  <w:footnote w:id="365">
    <w:p w14:paraId="546008F5" w14:textId="77777777" w:rsidR="0013116F" w:rsidRDefault="0013116F">
      <w:pPr>
        <w:pStyle w:val="a9"/>
      </w:pPr>
      <w:r>
        <w:rPr>
          <w:rStyle w:val="ab"/>
        </w:rPr>
        <w:footnoteRef/>
      </w:r>
      <w:r>
        <w:rPr>
          <w:rtl/>
        </w:rPr>
        <w:t xml:space="preserve"> </w:t>
      </w:r>
      <w:r w:rsidRPr="002C5FCA">
        <w:rPr>
          <w:rFonts w:cs="Arial"/>
          <w:rtl/>
        </w:rPr>
        <w:t>לפסול בדין אחד שני דיינין ששונאין זה את זה</w:t>
      </w:r>
      <w:r>
        <w:rPr>
          <w:rFonts w:cs="Arial" w:hint="cs"/>
          <w:rtl/>
        </w:rPr>
        <w:t>, רש"י.</w:t>
      </w:r>
    </w:p>
  </w:footnote>
  <w:footnote w:id="366">
    <w:p w14:paraId="0344850F" w14:textId="77777777" w:rsidR="0013116F" w:rsidRDefault="0013116F" w:rsidP="004A326E">
      <w:pPr>
        <w:pStyle w:val="a9"/>
        <w:rPr>
          <w:rtl/>
        </w:rPr>
      </w:pPr>
      <w:r>
        <w:rPr>
          <w:rStyle w:val="ab"/>
        </w:rPr>
        <w:footnoteRef/>
      </w:r>
      <w:r>
        <w:rPr>
          <w:rtl/>
        </w:rPr>
        <w:t xml:space="preserve"> </w:t>
      </w:r>
      <w:r w:rsidRPr="00DD2C57">
        <w:rPr>
          <w:rFonts w:cs="Arial"/>
          <w:rtl/>
        </w:rPr>
        <w:t>ובאלו</w:t>
      </w:r>
      <w:r>
        <w:rPr>
          <w:rFonts w:cs="Arial" w:hint="cs"/>
          <w:sz w:val="16"/>
          <w:szCs w:val="16"/>
          <w:rtl/>
        </w:rPr>
        <w:t xml:space="preserve"> </w:t>
      </w:r>
      <w:r w:rsidRPr="00DD2C57">
        <w:rPr>
          <w:rFonts w:cs="Arial"/>
          <w:rtl/>
        </w:rPr>
        <w:t>אין דיניהן דין כמו שאר הפסולין</w:t>
      </w:r>
      <w:r>
        <w:rPr>
          <w:rFonts w:cs="Arial" w:hint="cs"/>
          <w:rtl/>
        </w:rPr>
        <w:t>,</w:t>
      </w:r>
      <w:r w:rsidRPr="00DD2C57">
        <w:rPr>
          <w:rFonts w:cs="Arial"/>
          <w:rtl/>
        </w:rPr>
        <w:t xml:space="preserve"> </w:t>
      </w:r>
      <w:r>
        <w:rPr>
          <w:rFonts w:hint="cs"/>
          <w:rtl/>
        </w:rPr>
        <w:t>טור. ונ"ל פשוט דכן דעת הרא"ש.</w:t>
      </w:r>
    </w:p>
  </w:footnote>
  <w:footnote w:id="367">
    <w:p w14:paraId="76B1530F" w14:textId="77777777" w:rsidR="0013116F" w:rsidRDefault="0013116F" w:rsidP="004A326E">
      <w:pPr>
        <w:pStyle w:val="a9"/>
      </w:pPr>
      <w:r>
        <w:rPr>
          <w:rStyle w:val="ab"/>
        </w:rPr>
        <w:footnoteRef/>
      </w:r>
      <w:r>
        <w:rPr>
          <w:rtl/>
        </w:rPr>
        <w:t xml:space="preserve"> </w:t>
      </w:r>
      <w:r w:rsidRPr="00C20979">
        <w:rPr>
          <w:rFonts w:cs="Arial"/>
          <w:rtl/>
        </w:rPr>
        <w:t>ולא כתוס</w:t>
      </w:r>
      <w:r>
        <w:rPr>
          <w:rFonts w:cs="Arial" w:hint="cs"/>
          <w:rtl/>
        </w:rPr>
        <w:t>'</w:t>
      </w:r>
      <w:r w:rsidRPr="00C20979">
        <w:rPr>
          <w:rFonts w:cs="Arial"/>
          <w:rtl/>
        </w:rPr>
        <w:t xml:space="preserve"> (ח. ד"ה פסילנא) ומרדכי (סי' תרפג) סוף פרק קמא דסנהדרין דכתבו דאינו אלא חומרא בעלמא ומידת חסידות ועיין לקמן סימן ט' (דמה"א ס"ו, קצר אות א)</w:t>
      </w:r>
      <w:r>
        <w:rPr>
          <w:rFonts w:cs="Arial" w:hint="cs"/>
          <w:rtl/>
        </w:rPr>
        <w:t>, דרכ"מ (אות ג*).</w:t>
      </w:r>
    </w:p>
  </w:footnote>
  <w:footnote w:id="368">
    <w:p w14:paraId="0BCC52A7" w14:textId="77777777" w:rsidR="0013116F" w:rsidRDefault="0013116F" w:rsidP="004A326E">
      <w:pPr>
        <w:pStyle w:val="a9"/>
        <w:rPr>
          <w:rtl/>
        </w:rPr>
      </w:pPr>
      <w:r>
        <w:rPr>
          <w:rStyle w:val="ab"/>
        </w:rPr>
        <w:footnoteRef/>
      </w:r>
      <w:r>
        <w:rPr>
          <w:rtl/>
        </w:rPr>
        <w:t xml:space="preserve"> </w:t>
      </w:r>
      <w:r>
        <w:rPr>
          <w:rFonts w:cs="Arial" w:hint="cs"/>
          <w:rtl/>
        </w:rPr>
        <w:t>ו</w:t>
      </w:r>
      <w:r w:rsidRPr="00C20979">
        <w:rPr>
          <w:rFonts w:cs="Arial"/>
          <w:rtl/>
        </w:rPr>
        <w:t>כל המעשים הנזכרים בפ</w:t>
      </w:r>
      <w:r>
        <w:rPr>
          <w:rFonts w:cs="Arial" w:hint="cs"/>
          <w:rtl/>
        </w:rPr>
        <w:t>"ב</w:t>
      </w:r>
      <w:r w:rsidRPr="00C20979">
        <w:rPr>
          <w:rFonts w:cs="Arial"/>
          <w:rtl/>
        </w:rPr>
        <w:t xml:space="preserve"> דייני גזירות </w:t>
      </w:r>
      <w:r w:rsidRPr="000D5818">
        <w:rPr>
          <w:rFonts w:cs="Arial"/>
          <w:sz w:val="16"/>
          <w:szCs w:val="16"/>
          <w:rtl/>
        </w:rPr>
        <w:t xml:space="preserve">(כתובות קה:) </w:t>
      </w:r>
      <w:r w:rsidRPr="00C20979">
        <w:rPr>
          <w:rFonts w:cs="Arial"/>
          <w:rtl/>
        </w:rPr>
        <w:t>דפסילי לדון כגון אוהב ושונא ושאר דברים הנזכרים שם אינם אלא מדת חסידות שהחמירו על עצמן אבל במקום שהחומרא גורם שום הפסד לתובע או לנתבע חלילה שיחמיר עליו שלא לדונם</w:t>
      </w:r>
      <w:r>
        <w:rPr>
          <w:rFonts w:cs="Arial" w:hint="cs"/>
          <w:rtl/>
        </w:rPr>
        <w:t>, מהרי"ק.</w:t>
      </w:r>
    </w:p>
  </w:footnote>
  <w:footnote w:id="369">
    <w:p w14:paraId="388B7FF3" w14:textId="77777777" w:rsidR="0013116F" w:rsidRDefault="0013116F" w:rsidP="004A326E">
      <w:pPr>
        <w:pStyle w:val="a9"/>
        <w:rPr>
          <w:rtl/>
        </w:rPr>
      </w:pPr>
      <w:r>
        <w:rPr>
          <w:rStyle w:val="ab"/>
        </w:rPr>
        <w:footnoteRef/>
      </w:r>
      <w:r>
        <w:rPr>
          <w:rtl/>
        </w:rPr>
        <w:t xml:space="preserve"> </w:t>
      </w:r>
      <w:r>
        <w:rPr>
          <w:rFonts w:cs="Arial" w:hint="cs"/>
          <w:rtl/>
        </w:rPr>
        <w:t xml:space="preserve">וכ' הב"י- </w:t>
      </w:r>
      <w:r>
        <w:rPr>
          <w:rFonts w:cs="Arial"/>
          <w:rtl/>
        </w:rPr>
        <w:t>ראה שהוא ז"ל סובר דכיון דאמרינן בפרק זה בורר שאינו יכול לדון לאוהבו ולשונאו ואשכחן בפרק בתרא דכתובות דאמר סתם לא לידון איניש לא למאן דרחים ליה ולא למאן דסני ליה ולא חילקו בדבר אית לן למימר דכי פסלי רבנן אוהב ושונא לדון לאו בגווני דרבי יהודה בלחוד הוא דפסלי אלא בכל גוונא דרחים או סני ליה מיפסל. ומשמע לי מדבריו ז"ל דהיינו דוקא לכתחלה אבל בדיעבד אם דנו אפילו לשונא שלא דבר עמו שלשה ימים באיבה ולשושבינו דיניהם דין ולאפוקי ממה שכתב רבינו ובאלו אין דיניהם דין שהרי לא כתב אלא שאסור לדון לאוהבו ולשונאו ולא כתב שאם דנו אין דיניהם דין וכבר נתבאר דאיהו ז"ל אינו מחלק בין אוהב לאוהב ובין שונא לשונא ולישנא דלא לידון איניש וכו' הכי דייק לכתחלה הוא דאסור מדלא קאמר פסיל איניש למידן לא למאן דסני ליה ולא למאן דרחים ליה וכן כתוב בהג</w:t>
      </w:r>
      <w:r>
        <w:rPr>
          <w:rFonts w:cs="Arial" w:hint="cs"/>
          <w:rtl/>
        </w:rPr>
        <w:t>"</w:t>
      </w:r>
      <w:r>
        <w:rPr>
          <w:rFonts w:cs="Arial"/>
          <w:rtl/>
        </w:rPr>
        <w:t>א בריש סנהדרין (סי' ו) בשם או</w:t>
      </w:r>
      <w:r>
        <w:rPr>
          <w:rFonts w:cs="Arial" w:hint="cs"/>
          <w:rtl/>
        </w:rPr>
        <w:t>"</w:t>
      </w:r>
      <w:r>
        <w:rPr>
          <w:rFonts w:cs="Arial"/>
          <w:rtl/>
        </w:rPr>
        <w:t xml:space="preserve">ז (סנהדרין סי' ה סוד"ה ראיתי) </w:t>
      </w:r>
      <w:r>
        <w:rPr>
          <w:rFonts w:cs="Arial" w:hint="cs"/>
          <w:rtl/>
        </w:rPr>
        <w:t>'</w:t>
      </w:r>
      <w:r>
        <w:rPr>
          <w:rFonts w:cs="Arial"/>
          <w:rtl/>
        </w:rPr>
        <w:t>אוהב ושונא מיפסלי לכתחלה אבל לא בדיעבד</w:t>
      </w:r>
      <w:r>
        <w:rPr>
          <w:rFonts w:cs="Arial" w:hint="cs"/>
          <w:rtl/>
        </w:rPr>
        <w:t>'</w:t>
      </w:r>
      <w:r>
        <w:rPr>
          <w:rFonts w:cs="Arial"/>
          <w:rtl/>
        </w:rPr>
        <w:t>. ויש לתמוה על רבינו שכתב בסמוך לקמן (סי"א) לשון הרמב"ם כאילו אינו חולק עליו וכבר נתבאר דבתרתי פליג עליה ולפחות באחת</w:t>
      </w:r>
      <w:r>
        <w:rPr>
          <w:rFonts w:hint="cs"/>
          <w:rtl/>
        </w:rPr>
        <w:t>.</w:t>
      </w:r>
    </w:p>
  </w:footnote>
  <w:footnote w:id="370">
    <w:p w14:paraId="5AB8585B" w14:textId="77777777" w:rsidR="0013116F" w:rsidRDefault="0013116F" w:rsidP="004A326E">
      <w:pPr>
        <w:pStyle w:val="a9"/>
      </w:pPr>
      <w:r>
        <w:rPr>
          <w:rStyle w:val="ab"/>
        </w:rPr>
        <w:footnoteRef/>
      </w:r>
      <w:r>
        <w:rPr>
          <w:rtl/>
        </w:rPr>
        <w:t xml:space="preserve"> </w:t>
      </w:r>
      <w:r w:rsidRPr="00C20979">
        <w:rPr>
          <w:rFonts w:cs="Arial"/>
          <w:rtl/>
        </w:rPr>
        <w:t>והביא ראיה מפרק בא סימן (נדה מ</w:t>
      </w:r>
      <w:r>
        <w:rPr>
          <w:rFonts w:cs="Arial" w:hint="cs"/>
          <w:rtl/>
        </w:rPr>
        <w:t>ט:</w:t>
      </w:r>
      <w:r w:rsidRPr="00C20979">
        <w:rPr>
          <w:rFonts w:cs="Arial"/>
          <w:rtl/>
        </w:rPr>
        <w:t>) דאמרינן התם יש שכשר להעיד ופסול לדון לאתויי מאי כו'</w:t>
      </w:r>
      <w:r>
        <w:rPr>
          <w:rFonts w:cs="Arial" w:hint="cs"/>
          <w:rtl/>
        </w:rPr>
        <w:t>,</w:t>
      </w:r>
      <w:r w:rsidRPr="00C20979">
        <w:rPr>
          <w:rFonts w:cs="Arial"/>
          <w:rtl/>
        </w:rPr>
        <w:t xml:space="preserve"> ומדלא קאמר לאתויי כה</w:t>
      </w:r>
      <w:r>
        <w:rPr>
          <w:rFonts w:cs="Arial" w:hint="cs"/>
          <w:rtl/>
        </w:rPr>
        <w:t>"</w:t>
      </w:r>
      <w:r w:rsidRPr="00C20979">
        <w:rPr>
          <w:rFonts w:cs="Arial"/>
          <w:rtl/>
        </w:rPr>
        <w:t>ג ש</w:t>
      </w:r>
      <w:r>
        <w:rPr>
          <w:rFonts w:cs="Arial" w:hint="cs"/>
          <w:rtl/>
        </w:rPr>
        <w:t>"</w:t>
      </w:r>
      <w:r w:rsidRPr="00C20979">
        <w:rPr>
          <w:rFonts w:cs="Arial"/>
          <w:rtl/>
        </w:rPr>
        <w:t>מ דאין חילוק בזה בין דין לעדות. ולי נראה דאף בהעי</w:t>
      </w:r>
      <w:r>
        <w:rPr>
          <w:rFonts w:cs="Arial" w:hint="cs"/>
          <w:rtl/>
        </w:rPr>
        <w:t>"</w:t>
      </w:r>
      <w:r w:rsidRPr="00C20979">
        <w:rPr>
          <w:rFonts w:cs="Arial"/>
          <w:rtl/>
        </w:rPr>
        <w:t>ט לא קאמר אלא דיש לפסלו לכתחלה דלא גרע מאוהב ושונא דפסול דוקא לכתחילה לדעת או</w:t>
      </w:r>
      <w:r>
        <w:rPr>
          <w:rFonts w:cs="Arial" w:hint="cs"/>
          <w:rtl/>
        </w:rPr>
        <w:t>"</w:t>
      </w:r>
      <w:r w:rsidRPr="00C20979">
        <w:rPr>
          <w:rFonts w:cs="Arial"/>
          <w:rtl/>
        </w:rPr>
        <w:t>ז וכמשמעות המיימוני שהבאתי לעיל</w:t>
      </w:r>
      <w:r w:rsidRPr="005A3960">
        <w:rPr>
          <w:rFonts w:cs="Arial"/>
          <w:sz w:val="16"/>
          <w:szCs w:val="16"/>
          <w:rtl/>
        </w:rPr>
        <w:t xml:space="preserve"> (דמה"א ס"ט)</w:t>
      </w:r>
      <w:r>
        <w:rPr>
          <w:rFonts w:cs="Arial" w:hint="cs"/>
          <w:rtl/>
        </w:rPr>
        <w:t>,</w:t>
      </w:r>
      <w:r w:rsidRPr="00C20979">
        <w:rPr>
          <w:rFonts w:cs="Arial"/>
          <w:rtl/>
        </w:rPr>
        <w:t xml:space="preserve"> אבל בדיעבד כשר</w:t>
      </w:r>
      <w:r>
        <w:rPr>
          <w:rFonts w:cs="Arial" w:hint="cs"/>
          <w:rtl/>
        </w:rPr>
        <w:t>,</w:t>
      </w:r>
      <w:r w:rsidRPr="00C20979">
        <w:rPr>
          <w:rFonts w:cs="Arial"/>
          <w:rtl/>
        </w:rPr>
        <w:t xml:space="preserve"> וכדברי מהרי"ק </w:t>
      </w:r>
      <w:r w:rsidRPr="00F17BD5">
        <w:rPr>
          <w:rFonts w:cs="Arial" w:hint="cs"/>
          <w:sz w:val="16"/>
          <w:szCs w:val="16"/>
          <w:rtl/>
        </w:rPr>
        <w:t>(</w:t>
      </w:r>
      <w:r w:rsidRPr="00F17BD5">
        <w:rPr>
          <w:rFonts w:cs="Arial"/>
          <w:sz w:val="16"/>
          <w:szCs w:val="16"/>
          <w:rtl/>
        </w:rPr>
        <w:t>ועיין לקמן ס</w:t>
      </w:r>
      <w:r w:rsidRPr="00F17BD5">
        <w:rPr>
          <w:rFonts w:cs="Arial" w:hint="cs"/>
          <w:sz w:val="16"/>
          <w:szCs w:val="16"/>
          <w:rtl/>
        </w:rPr>
        <w:t>"</w:t>
      </w:r>
      <w:r w:rsidRPr="00F17BD5">
        <w:rPr>
          <w:rFonts w:cs="Arial"/>
          <w:sz w:val="16"/>
          <w:szCs w:val="16"/>
          <w:rtl/>
        </w:rPr>
        <w:t>ס לג (ב"י מחו' א, דמה"א ס"א) מדין דיינים שקבלו עליהם בני העיר אם יכולין לדון אע</w:t>
      </w:r>
      <w:r w:rsidRPr="00F17BD5">
        <w:rPr>
          <w:rFonts w:cs="Arial" w:hint="cs"/>
          <w:sz w:val="16"/>
          <w:szCs w:val="16"/>
          <w:rtl/>
        </w:rPr>
        <w:t>"</w:t>
      </w:r>
      <w:r w:rsidRPr="00F17BD5">
        <w:rPr>
          <w:rFonts w:cs="Arial"/>
          <w:sz w:val="16"/>
          <w:szCs w:val="16"/>
          <w:rtl/>
        </w:rPr>
        <w:t>פ שהן פסולים</w:t>
      </w:r>
      <w:r>
        <w:rPr>
          <w:rFonts w:cs="Arial" w:hint="cs"/>
          <w:sz w:val="16"/>
          <w:szCs w:val="16"/>
          <w:rtl/>
        </w:rPr>
        <w:t>)</w:t>
      </w:r>
      <w:r>
        <w:rPr>
          <w:rFonts w:cs="Arial" w:hint="cs"/>
          <w:rtl/>
        </w:rPr>
        <w:t xml:space="preserve">, דרכ"מ </w:t>
      </w:r>
      <w:r w:rsidRPr="00C20979">
        <w:rPr>
          <w:rFonts w:cs="Arial"/>
          <w:rtl/>
        </w:rPr>
        <w:t>(</w:t>
      </w:r>
      <w:r>
        <w:rPr>
          <w:rFonts w:cs="Arial" w:hint="cs"/>
          <w:rtl/>
        </w:rPr>
        <w:t xml:space="preserve">אות </w:t>
      </w:r>
      <w:r w:rsidRPr="00C20979">
        <w:rPr>
          <w:rFonts w:cs="Arial"/>
          <w:rtl/>
        </w:rPr>
        <w:t>ד).</w:t>
      </w:r>
    </w:p>
  </w:footnote>
  <w:footnote w:id="371">
    <w:p w14:paraId="6D22750C" w14:textId="77777777" w:rsidR="0013116F" w:rsidRDefault="0013116F" w:rsidP="004A326E">
      <w:pPr>
        <w:pStyle w:val="a9"/>
        <w:rPr>
          <w:rtl/>
        </w:rPr>
      </w:pPr>
      <w:r>
        <w:rPr>
          <w:rStyle w:val="ab"/>
        </w:rPr>
        <w:footnoteRef/>
      </w:r>
      <w:r>
        <w:rPr>
          <w:rtl/>
        </w:rPr>
        <w:t xml:space="preserve"> </w:t>
      </w:r>
      <w:r w:rsidRPr="00C20979">
        <w:rPr>
          <w:rFonts w:cs="Arial"/>
          <w:rtl/>
        </w:rPr>
        <w:t>ואפילו נראהו לאוהבו מכל מקום אינו אלא חומרא בעלמא לדעת קצת הפוסקים</w:t>
      </w:r>
      <w:r>
        <w:rPr>
          <w:rFonts w:cs="Arial" w:hint="cs"/>
          <w:rtl/>
        </w:rPr>
        <w:t xml:space="preserve">, דרכ"מ </w:t>
      </w:r>
      <w:r w:rsidRPr="00C20979">
        <w:rPr>
          <w:rFonts w:cs="Arial"/>
          <w:rtl/>
        </w:rPr>
        <w:t>(</w:t>
      </w:r>
      <w:r>
        <w:rPr>
          <w:rFonts w:cs="Arial" w:hint="cs"/>
          <w:rtl/>
        </w:rPr>
        <w:t xml:space="preserve">אות </w:t>
      </w:r>
      <w:r w:rsidRPr="00C20979">
        <w:rPr>
          <w:rFonts w:cs="Arial"/>
          <w:rtl/>
        </w:rPr>
        <w:t>ה*)</w:t>
      </w:r>
      <w:r>
        <w:rPr>
          <w:rFonts w:cs="Arial" w:hint="cs"/>
          <w:rtl/>
        </w:rPr>
        <w:t>.</w:t>
      </w:r>
    </w:p>
  </w:footnote>
  <w:footnote w:id="372">
    <w:p w14:paraId="5DF12CF7" w14:textId="77777777" w:rsidR="0013116F" w:rsidRDefault="0013116F" w:rsidP="004A326E">
      <w:pPr>
        <w:pStyle w:val="a9"/>
        <w:rPr>
          <w:rtl/>
        </w:rPr>
      </w:pPr>
      <w:r>
        <w:rPr>
          <w:rStyle w:val="ab"/>
        </w:rPr>
        <w:footnoteRef/>
      </w:r>
      <w:r>
        <w:rPr>
          <w:rtl/>
        </w:rPr>
        <w:t xml:space="preserve"> </w:t>
      </w:r>
      <w:r w:rsidRPr="007D0AFD">
        <w:rPr>
          <w:rFonts w:cs="Arial"/>
          <w:rtl/>
        </w:rPr>
        <w:t xml:space="preserve">בז' ימי חופתו נקראים המטפלים עמו שושבינו, ואז דוקא הוא דאסור לדונו, וכן פירש רש"י </w:t>
      </w:r>
      <w:r w:rsidRPr="007D0AFD">
        <w:rPr>
          <w:rFonts w:cs="Arial"/>
          <w:sz w:val="16"/>
          <w:szCs w:val="16"/>
          <w:rtl/>
        </w:rPr>
        <w:t>[סנהדרין כז</w:t>
      </w:r>
      <w:r w:rsidRPr="007D0AFD">
        <w:rPr>
          <w:rFonts w:cs="Arial" w:hint="cs"/>
          <w:sz w:val="16"/>
          <w:szCs w:val="16"/>
          <w:rtl/>
        </w:rPr>
        <w:t>:</w:t>
      </w:r>
      <w:r w:rsidRPr="007D0AFD">
        <w:rPr>
          <w:rFonts w:cs="Arial"/>
          <w:sz w:val="16"/>
          <w:szCs w:val="16"/>
          <w:rtl/>
        </w:rPr>
        <w:t xml:space="preserve"> ד"ה שושבינו]</w:t>
      </w:r>
      <w:r>
        <w:rPr>
          <w:rFonts w:hint="cs"/>
          <w:rtl/>
        </w:rPr>
        <w:t xml:space="preserve">, סמ"ע </w:t>
      </w:r>
      <w:r w:rsidRPr="007D0AFD">
        <w:rPr>
          <w:rFonts w:hint="cs"/>
          <w:sz w:val="16"/>
          <w:szCs w:val="16"/>
          <w:rtl/>
        </w:rPr>
        <w:t>(סקי"ח)</w:t>
      </w:r>
      <w:r>
        <w:rPr>
          <w:rFonts w:hint="cs"/>
          <w:rtl/>
        </w:rPr>
        <w:t>.</w:t>
      </w:r>
    </w:p>
  </w:footnote>
  <w:footnote w:id="373">
    <w:p w14:paraId="0856F73F" w14:textId="77777777" w:rsidR="0013116F" w:rsidRDefault="0013116F" w:rsidP="004A326E">
      <w:pPr>
        <w:pStyle w:val="a9"/>
      </w:pPr>
      <w:r>
        <w:rPr>
          <w:rStyle w:val="ab"/>
        </w:rPr>
        <w:footnoteRef/>
      </w:r>
      <w:r>
        <w:rPr>
          <w:rtl/>
        </w:rPr>
        <w:t xml:space="preserve"> </w:t>
      </w:r>
      <w:r w:rsidRPr="002C6823">
        <w:rPr>
          <w:rFonts w:cs="Arial"/>
          <w:rtl/>
        </w:rPr>
        <w:t>פירוש, סברא הראשונה קאמרי אסור לדון לאוהבו אף על פי שאינו אוהבו או שונאו ממש, ולשון אף על פי כו' משמע דגם באוהבו ושונאו ממש ס"ל דאין בו אלא איסור, על זה קאמר די"א שבהן אין דיניהם דין, ואח"כ אמר דיש חולקין אמ"ש לעיל דאף שאינו אוהבו ממש אסור, וסבירא ליה דאין בו איסור אלא חסידות בעלמא וק"ל, ועיין דרישה [סעיף י"א]</w:t>
      </w:r>
      <w:r>
        <w:rPr>
          <w:rFonts w:cs="Arial" w:hint="cs"/>
          <w:rtl/>
        </w:rPr>
        <w:t>, סמ"ע (סקי"ט).</w:t>
      </w:r>
    </w:p>
  </w:footnote>
  <w:footnote w:id="374">
    <w:p w14:paraId="0B57D480" w14:textId="77777777" w:rsidR="0013116F" w:rsidRDefault="0013116F" w:rsidP="004A326E">
      <w:pPr>
        <w:pStyle w:val="a9"/>
        <w:rPr>
          <w:rtl/>
        </w:rPr>
      </w:pPr>
      <w:r>
        <w:rPr>
          <w:rStyle w:val="ab"/>
        </w:rPr>
        <w:footnoteRef/>
      </w:r>
      <w:r>
        <w:rPr>
          <w:rtl/>
        </w:rPr>
        <w:t xml:space="preserve"> </w:t>
      </w:r>
      <w:r w:rsidRPr="002C6823">
        <w:rPr>
          <w:rFonts w:cs="Arial"/>
          <w:rtl/>
        </w:rPr>
        <w:t>פירוש, דין זה בורר לו אחד הוא, שכל אחד יברר לו מי שהוא יבין דבריו לאשורו, ואם יש לו שום צד זכות יציע אותו לפני חבירו, וכן יעשה חבירו, והשלישי שומע ומכריע ביניהן, כמ"ש הרא"ש [סנהדרין פ"ג סי' א'] והביאו הטור סימן י"ג [סעיף ח'], ומשום הכי אף שהוא אוהבו לא גרע, כיון שכל בורר מצדד אחר זכותו למי שבירר אותו, ומותר לעשות כן כיון שגם בורר השני יעשה כן, והכל תלוי בשלישי, וכ</w:t>
      </w:r>
      <w:r>
        <w:rPr>
          <w:rFonts w:cs="Arial" w:hint="cs"/>
          <w:rtl/>
        </w:rPr>
        <w:t>"</w:t>
      </w:r>
      <w:r w:rsidRPr="002C6823">
        <w:rPr>
          <w:rFonts w:cs="Arial"/>
          <w:rtl/>
        </w:rPr>
        <w:t>כ שם מהרי"ק [המובא בציונים אות י"ד] בהדיא.</w:t>
      </w:r>
      <w:r>
        <w:rPr>
          <w:rFonts w:cs="Arial" w:hint="cs"/>
          <w:rtl/>
        </w:rPr>
        <w:t>.</w:t>
      </w:r>
      <w:r w:rsidRPr="002C6823">
        <w:rPr>
          <w:rFonts w:cs="Arial"/>
          <w:rtl/>
        </w:rPr>
        <w:t>. אבל קרוב או פסול מן התורה פסול גם בזה בורר, כן איתא שם במהרי"ק והוא מהמשנה [סנהדרין כג</w:t>
      </w:r>
      <w:r>
        <w:rPr>
          <w:rFonts w:cs="Arial" w:hint="cs"/>
          <w:rtl/>
        </w:rPr>
        <w:t>.</w:t>
      </w:r>
      <w:r w:rsidRPr="002C6823">
        <w:rPr>
          <w:rFonts w:cs="Arial"/>
          <w:rtl/>
        </w:rPr>
        <w:t>], ומשום הכי כתב מור"ם לכן מותר כו', ורוצה לומר ולכן כיון שאינו אלא מכח חסידות, לאפוקי אם היה פסול מן התורה היה פסול גם בזה בורר כמו קרוב. ומה שסיים מור"ם וכתב, וכל שכן שהרב כו', אדלעיל קאי, אמ"ש שהאוהב אינו אלא ממדת חסידות וכו', וק"ל</w:t>
      </w:r>
      <w:r>
        <w:rPr>
          <w:rFonts w:hint="cs"/>
          <w:rtl/>
        </w:rPr>
        <w:t>, סמ"ע (סק"כ).</w:t>
      </w:r>
    </w:p>
  </w:footnote>
  <w:footnote w:id="375">
    <w:p w14:paraId="437FF736" w14:textId="77777777" w:rsidR="0013116F" w:rsidRDefault="0013116F" w:rsidP="004A326E">
      <w:pPr>
        <w:pStyle w:val="a9"/>
      </w:pPr>
      <w:r>
        <w:rPr>
          <w:rStyle w:val="ab"/>
        </w:rPr>
        <w:footnoteRef/>
      </w:r>
      <w:r>
        <w:rPr>
          <w:rtl/>
        </w:rPr>
        <w:t xml:space="preserve"> </w:t>
      </w:r>
      <w:r w:rsidRPr="002C6823">
        <w:rPr>
          <w:rFonts w:cs="Arial"/>
          <w:rtl/>
        </w:rPr>
        <w:t>אף שכתב מור"ם בד</w:t>
      </w:r>
      <w:r>
        <w:rPr>
          <w:rFonts w:cs="Arial" w:hint="cs"/>
          <w:rtl/>
        </w:rPr>
        <w:t>רכ</w:t>
      </w:r>
      <w:r w:rsidRPr="002C6823">
        <w:rPr>
          <w:rFonts w:cs="Arial"/>
          <w:rtl/>
        </w:rPr>
        <w:t xml:space="preserve">"מ </w:t>
      </w:r>
      <w:r>
        <w:rPr>
          <w:rFonts w:cs="Arial" w:hint="cs"/>
          <w:rtl/>
        </w:rPr>
        <w:t>(אות</w:t>
      </w:r>
      <w:r w:rsidRPr="002C6823">
        <w:rPr>
          <w:rFonts w:cs="Arial"/>
          <w:rtl/>
        </w:rPr>
        <w:t xml:space="preserve"> </w:t>
      </w:r>
      <w:r>
        <w:rPr>
          <w:rFonts w:cs="Arial" w:hint="cs"/>
          <w:rtl/>
        </w:rPr>
        <w:t>ה)</w:t>
      </w:r>
      <w:r w:rsidRPr="002C6823">
        <w:rPr>
          <w:rFonts w:cs="Arial"/>
          <w:rtl/>
        </w:rPr>
        <w:t xml:space="preserve"> את דברי מהרא"י שאפילו בית דין </w:t>
      </w:r>
      <w:r w:rsidRPr="002C6823">
        <w:rPr>
          <w:rFonts w:cs="Arial"/>
          <w:b/>
          <w:bCs/>
          <w:rtl/>
        </w:rPr>
        <w:t>הפסול</w:t>
      </w:r>
      <w:r w:rsidRPr="002C6823">
        <w:rPr>
          <w:rFonts w:cs="Arial"/>
          <w:rtl/>
        </w:rPr>
        <w:t xml:space="preserve"> בוררין, מ</w:t>
      </w:r>
      <w:r>
        <w:rPr>
          <w:rFonts w:cs="Arial" w:hint="cs"/>
          <w:rtl/>
        </w:rPr>
        <w:t>"</w:t>
      </w:r>
      <w:r w:rsidRPr="002C6823">
        <w:rPr>
          <w:rFonts w:cs="Arial"/>
          <w:rtl/>
        </w:rPr>
        <w:t>מ לא כתבו כאן ב</w:t>
      </w:r>
      <w:r>
        <w:rPr>
          <w:rFonts w:cs="Arial" w:hint="cs"/>
          <w:rtl/>
        </w:rPr>
        <w:t>הגהת ה</w:t>
      </w:r>
      <w:r w:rsidRPr="002C6823">
        <w:rPr>
          <w:rFonts w:cs="Arial"/>
          <w:rtl/>
        </w:rPr>
        <w:t>ש</w:t>
      </w:r>
      <w:r>
        <w:rPr>
          <w:rFonts w:cs="Arial" w:hint="cs"/>
          <w:rtl/>
        </w:rPr>
        <w:t>ו"ע,</w:t>
      </w:r>
      <w:r w:rsidRPr="002C6823">
        <w:rPr>
          <w:rFonts w:cs="Arial"/>
          <w:rtl/>
        </w:rPr>
        <w:t xml:space="preserve"> אלא </w:t>
      </w:r>
      <w:r>
        <w:rPr>
          <w:rFonts w:cs="Arial" w:hint="cs"/>
          <w:rtl/>
        </w:rPr>
        <w:t xml:space="preserve">כתב - </w:t>
      </w:r>
      <w:r w:rsidRPr="002C6823">
        <w:rPr>
          <w:rFonts w:cs="Arial"/>
          <w:rtl/>
        </w:rPr>
        <w:t>הפסול לדין משום אהבה ושנאה, ולא כתב סתם הפסול לדון, משום דמהרא"י בעצמו פקפק על המנהג אלא שלא רצה לשנות, וק"ל</w:t>
      </w:r>
      <w:r>
        <w:rPr>
          <w:rFonts w:cs="Arial" w:hint="cs"/>
          <w:rtl/>
        </w:rPr>
        <w:t>, ע"פ סמ"ע (סקכ"א).</w:t>
      </w:r>
    </w:p>
  </w:footnote>
  <w:footnote w:id="376">
    <w:p w14:paraId="1F3B9BC0" w14:textId="77777777" w:rsidR="0013116F" w:rsidRDefault="0013116F" w:rsidP="004A326E">
      <w:pPr>
        <w:pStyle w:val="a9"/>
        <w:rPr>
          <w:rtl/>
        </w:rPr>
      </w:pPr>
      <w:r>
        <w:rPr>
          <w:rStyle w:val="ab"/>
        </w:rPr>
        <w:footnoteRef/>
      </w:r>
      <w:r>
        <w:rPr>
          <w:rtl/>
        </w:rPr>
        <w:t xml:space="preserve"> </w:t>
      </w:r>
      <w:r w:rsidRPr="002C6823">
        <w:rPr>
          <w:rFonts w:cs="Arial"/>
          <w:rtl/>
        </w:rPr>
        <w:t>עיין בד</w:t>
      </w:r>
      <w:r>
        <w:rPr>
          <w:rFonts w:cs="Arial" w:hint="cs"/>
          <w:rtl/>
        </w:rPr>
        <w:t>רכ</w:t>
      </w:r>
      <w:r w:rsidRPr="002C6823">
        <w:rPr>
          <w:rFonts w:cs="Arial"/>
          <w:rtl/>
        </w:rPr>
        <w:t>"מ [</w:t>
      </w:r>
      <w:r>
        <w:rPr>
          <w:rFonts w:cs="Arial" w:hint="cs"/>
          <w:rtl/>
        </w:rPr>
        <w:t>אות ו</w:t>
      </w:r>
      <w:r w:rsidRPr="002C6823">
        <w:rPr>
          <w:rFonts w:cs="Arial"/>
          <w:rtl/>
        </w:rPr>
        <w:t>] שמור"ם כתב דין זה מעצמו, ולמד דין זה מעובדא דגמ' פרק עשרה יוחסין [קדושין ע</w:t>
      </w:r>
      <w:r>
        <w:rPr>
          <w:rFonts w:cs="Arial" w:hint="cs"/>
          <w:rtl/>
        </w:rPr>
        <w:t>.</w:t>
      </w:r>
      <w:r w:rsidRPr="002C6823">
        <w:rPr>
          <w:rFonts w:cs="Arial"/>
          <w:rtl/>
        </w:rPr>
        <w:t>], והניחו בצ</w:t>
      </w:r>
      <w:r>
        <w:rPr>
          <w:rFonts w:cs="Arial" w:hint="cs"/>
          <w:rtl/>
        </w:rPr>
        <w:t>"</w:t>
      </w:r>
      <w:r w:rsidRPr="002C6823">
        <w:rPr>
          <w:rFonts w:cs="Arial"/>
          <w:rtl/>
        </w:rPr>
        <w:t>ע. ושם בהג"ה [הגדו"פ אות ח'] כתבתי דאפשר לומר דהיינו דוקא כשכבר פטרו מהנידוי אז הוא כאיש אחר עמו, ולא כשעדיין הוא בנידוי, עיין שם</w:t>
      </w:r>
      <w:r>
        <w:rPr>
          <w:rFonts w:hint="cs"/>
          <w:rtl/>
        </w:rPr>
        <w:t>, סמ"ע (סקכ"ב).</w:t>
      </w:r>
    </w:p>
  </w:footnote>
  <w:footnote w:id="377">
    <w:p w14:paraId="4CD2D304" w14:textId="77777777" w:rsidR="0013116F" w:rsidRDefault="0013116F" w:rsidP="000E0AF0">
      <w:pPr>
        <w:pStyle w:val="a9"/>
        <w:rPr>
          <w:rtl/>
        </w:rPr>
      </w:pPr>
      <w:r>
        <w:rPr>
          <w:rStyle w:val="ab"/>
        </w:rPr>
        <w:footnoteRef/>
      </w:r>
      <w:r>
        <w:rPr>
          <w:rtl/>
        </w:rPr>
        <w:t xml:space="preserve"> </w:t>
      </w:r>
      <w:r>
        <w:rPr>
          <w:rFonts w:hint="cs"/>
          <w:rtl/>
        </w:rPr>
        <w:t xml:space="preserve">סימן </w:t>
      </w:r>
      <w:r>
        <w:rPr>
          <w:rtl/>
        </w:rPr>
        <w:t>–</w:t>
      </w:r>
      <w:r>
        <w:rPr>
          <w:rFonts w:hint="cs"/>
          <w:rtl/>
        </w:rPr>
        <w:t xml:space="preserve"> כוונתו טפלה.  </w:t>
      </w:r>
    </w:p>
  </w:footnote>
  <w:footnote w:id="378">
    <w:p w14:paraId="4EF6181E" w14:textId="77777777" w:rsidR="0013116F" w:rsidRPr="00741DE3" w:rsidRDefault="0013116F">
      <w:pPr>
        <w:pStyle w:val="a9"/>
        <w:rPr>
          <w:rtl/>
        </w:rPr>
      </w:pPr>
      <w:r>
        <w:rPr>
          <w:rStyle w:val="ab"/>
        </w:rPr>
        <w:footnoteRef/>
      </w:r>
      <w:r>
        <w:rPr>
          <w:rtl/>
        </w:rPr>
        <w:t xml:space="preserve"> </w:t>
      </w:r>
      <w:r>
        <w:rPr>
          <w:rFonts w:hint="cs"/>
          <w:rtl/>
        </w:rPr>
        <w:t xml:space="preserve">סימן </w:t>
      </w:r>
      <w:r>
        <w:rPr>
          <w:rtl/>
        </w:rPr>
        <w:t>–</w:t>
      </w:r>
      <w:r>
        <w:rPr>
          <w:rFonts w:hint="cs"/>
          <w:rtl/>
        </w:rPr>
        <w:t xml:space="preserve"> </w:t>
      </w:r>
      <w:r>
        <w:rPr>
          <w:rFonts w:hint="cs"/>
          <w:b/>
          <w:bCs/>
          <w:rtl/>
        </w:rPr>
        <w:t>מ</w:t>
      </w:r>
      <w:r>
        <w:rPr>
          <w:rFonts w:hint="cs"/>
          <w:rtl/>
        </w:rPr>
        <w:t>י ש</w:t>
      </w:r>
      <w:r>
        <w:rPr>
          <w:rFonts w:hint="cs"/>
          <w:b/>
          <w:bCs/>
          <w:rtl/>
        </w:rPr>
        <w:t>ט</w:t>
      </w:r>
      <w:r>
        <w:rPr>
          <w:rFonts w:hint="cs"/>
          <w:rtl/>
        </w:rPr>
        <w:t>וב טוב.</w:t>
      </w:r>
      <w:r w:rsidRPr="000E0AF0">
        <w:rPr>
          <w:rFonts w:cs="Arial" w:hint="cs"/>
          <w:rtl/>
        </w:rPr>
        <w:t xml:space="preserve"> </w:t>
      </w:r>
      <w:r w:rsidRPr="003850CA">
        <w:rPr>
          <w:rFonts w:cs="Arial" w:hint="cs"/>
          <w:rtl/>
        </w:rPr>
        <w:t xml:space="preserve">וכן </w:t>
      </w:r>
      <w:r>
        <w:rPr>
          <w:rFonts w:cs="Arial" w:hint="cs"/>
          <w:rtl/>
        </w:rPr>
        <w:t xml:space="preserve">איתא </w:t>
      </w:r>
      <w:r w:rsidRPr="003850CA">
        <w:rPr>
          <w:rFonts w:cs="Arial" w:hint="cs"/>
          <w:rtl/>
        </w:rPr>
        <w:t xml:space="preserve">בסנהדרין </w:t>
      </w:r>
      <w:r w:rsidRPr="003850CA">
        <w:rPr>
          <w:rFonts w:cs="Arial" w:hint="cs"/>
          <w:sz w:val="16"/>
          <w:szCs w:val="16"/>
          <w:rtl/>
        </w:rPr>
        <w:t xml:space="preserve">(פ' אחד דיני ממונות) </w:t>
      </w:r>
      <w:r w:rsidRPr="003850CA">
        <w:rPr>
          <w:rFonts w:cs="Arial" w:hint="cs"/>
          <w:rtl/>
        </w:rPr>
        <w:t>לד ע"ב.</w:t>
      </w:r>
    </w:p>
  </w:footnote>
  <w:footnote w:id="379">
    <w:p w14:paraId="520824AB" w14:textId="77777777" w:rsidR="0013116F" w:rsidRPr="00845316" w:rsidRDefault="0013116F" w:rsidP="00741DE3">
      <w:pPr>
        <w:pStyle w:val="a9"/>
        <w:spacing w:after="60"/>
        <w:rPr>
          <w:rFonts w:asciiTheme="minorBidi" w:hAnsiTheme="minorBidi"/>
        </w:rPr>
      </w:pPr>
      <w:r w:rsidRPr="00845316">
        <w:rPr>
          <w:rStyle w:val="ab"/>
          <w:rFonts w:asciiTheme="minorBidi" w:hAnsiTheme="minorBidi"/>
        </w:rPr>
        <w:footnoteRef/>
      </w:r>
      <w:r w:rsidRPr="00845316">
        <w:rPr>
          <w:rFonts w:asciiTheme="minorBidi" w:hAnsiTheme="minorBidi"/>
          <w:rtl/>
        </w:rPr>
        <w:t xml:space="preserve"> וכן בשבועות פ"ד ה"א.</w:t>
      </w:r>
    </w:p>
  </w:footnote>
  <w:footnote w:id="380">
    <w:p w14:paraId="1D7391EF" w14:textId="77777777" w:rsidR="0013116F" w:rsidRDefault="0013116F" w:rsidP="00741DE3">
      <w:pPr>
        <w:pStyle w:val="a9"/>
      </w:pPr>
      <w:r>
        <w:rPr>
          <w:rStyle w:val="ab"/>
        </w:rPr>
        <w:footnoteRef/>
      </w:r>
      <w:r>
        <w:rPr>
          <w:rtl/>
        </w:rPr>
        <w:t xml:space="preserve"> </w:t>
      </w:r>
      <w:r>
        <w:rPr>
          <w:rFonts w:hint="cs"/>
          <w:rtl/>
        </w:rPr>
        <w:t>וכדאיתא בירושלמי (שם) בהדיא, וכ"פ בשו"ע בסימן לג סע' יז.</w:t>
      </w:r>
    </w:p>
  </w:footnote>
  <w:footnote w:id="381">
    <w:p w14:paraId="75B2412F" w14:textId="77777777" w:rsidR="0013116F" w:rsidRDefault="0013116F" w:rsidP="004A326E">
      <w:pPr>
        <w:pStyle w:val="a9"/>
      </w:pPr>
      <w:r>
        <w:rPr>
          <w:rStyle w:val="ab"/>
        </w:rPr>
        <w:footnoteRef/>
      </w:r>
      <w:r>
        <w:rPr>
          <w:rtl/>
        </w:rPr>
        <w:t xml:space="preserve"> </w:t>
      </w:r>
      <w:r>
        <w:rPr>
          <w:rFonts w:hint="cs"/>
          <w:rtl/>
        </w:rPr>
        <w:t>ממהדורת הסמ"ע.</w:t>
      </w:r>
    </w:p>
  </w:footnote>
  <w:footnote w:id="382">
    <w:p w14:paraId="527B8D3A" w14:textId="77777777" w:rsidR="0013116F" w:rsidRDefault="0013116F" w:rsidP="004A326E">
      <w:pPr>
        <w:pStyle w:val="a9"/>
      </w:pPr>
      <w:r>
        <w:rPr>
          <w:rStyle w:val="ab"/>
        </w:rPr>
        <w:footnoteRef/>
      </w:r>
      <w:r>
        <w:rPr>
          <w:rtl/>
        </w:rPr>
        <w:t xml:space="preserve"> </w:t>
      </w:r>
      <w:r w:rsidRPr="00B87E77">
        <w:rPr>
          <w:rFonts w:cs="Arial"/>
          <w:rtl/>
        </w:rPr>
        <w:t>כתב מהרש"ל [ביש"ש] פ"י דב"ק סימן ל"ד, רב שהוא מומחה ובא אחד לפניו לדון על קרובו, יכול הרב לדונו, מאחר שהוא תובעו לפניו הרי הוא מכשירו, כעובדא דרבינא דדן חמוה. ואף שהדבר פשוט, רק שמקצת רבנים מונעים עצמם משום חסידות ובסיבה זו נלקה הדין, ע"כ כתבתי כו'</w:t>
      </w:r>
      <w:r>
        <w:rPr>
          <w:rFonts w:cs="Arial" w:hint="cs"/>
          <w:rtl/>
        </w:rPr>
        <w:t>, ש"ך (סקט"ו).</w:t>
      </w:r>
    </w:p>
  </w:footnote>
  <w:footnote w:id="383">
    <w:p w14:paraId="68E5CC4D" w14:textId="77777777" w:rsidR="0013116F" w:rsidRDefault="0013116F" w:rsidP="004A326E">
      <w:pPr>
        <w:pStyle w:val="a9"/>
      </w:pPr>
      <w:r>
        <w:rPr>
          <w:rStyle w:val="ab"/>
        </w:rPr>
        <w:footnoteRef/>
      </w:r>
      <w:r>
        <w:rPr>
          <w:rtl/>
        </w:rPr>
        <w:t xml:space="preserve"> </w:t>
      </w:r>
      <w:r>
        <w:rPr>
          <w:rFonts w:hint="cs"/>
          <w:rtl/>
        </w:rPr>
        <w:t>ממהדורת הסמ"ע.</w:t>
      </w:r>
    </w:p>
  </w:footnote>
  <w:footnote w:id="384">
    <w:p w14:paraId="52DB84D5" w14:textId="77777777" w:rsidR="0013116F" w:rsidRDefault="0013116F" w:rsidP="004A326E">
      <w:pPr>
        <w:pStyle w:val="a9"/>
        <w:rPr>
          <w:rtl/>
        </w:rPr>
      </w:pPr>
      <w:r>
        <w:rPr>
          <w:rStyle w:val="ab"/>
        </w:rPr>
        <w:footnoteRef/>
      </w:r>
      <w:r>
        <w:rPr>
          <w:rtl/>
        </w:rPr>
        <w:t xml:space="preserve"> </w:t>
      </w:r>
      <w:r>
        <w:rPr>
          <w:rFonts w:hint="cs"/>
          <w:rtl/>
        </w:rPr>
        <w:t>עיין בסמ"ע (סקכ"ה) שמוחק את התיבות שבסוגריים המרובעות, כיון דכבר נכללו במה שכתב המחבר כל הפסולין להעיד וכו' פסולין לדון.</w:t>
      </w:r>
    </w:p>
  </w:footnote>
  <w:footnote w:id="385">
    <w:p w14:paraId="4A83B792" w14:textId="77777777" w:rsidR="0013116F" w:rsidRPr="00B87E77" w:rsidRDefault="0013116F" w:rsidP="004A326E">
      <w:pPr>
        <w:pStyle w:val="a9"/>
        <w:rPr>
          <w:rtl/>
        </w:rPr>
      </w:pPr>
      <w:r w:rsidRPr="00B87E77">
        <w:rPr>
          <w:rStyle w:val="ab"/>
        </w:rPr>
        <w:footnoteRef/>
      </w:r>
      <w:r w:rsidRPr="00B87E77">
        <w:rPr>
          <w:rtl/>
        </w:rPr>
        <w:t xml:space="preserve"> </w:t>
      </w:r>
      <w:r w:rsidRPr="00B87E77">
        <w:rPr>
          <w:rFonts w:cs="Arial"/>
          <w:rtl/>
        </w:rPr>
        <w:t>עי"ל סימן לג סעיף יז</w:t>
      </w:r>
      <w:r w:rsidRPr="00B87E77">
        <w:rPr>
          <w:rFonts w:hint="cs"/>
          <w:rtl/>
        </w:rPr>
        <w:t>, ממהדורת באה"ג.</w:t>
      </w:r>
    </w:p>
  </w:footnote>
  <w:footnote w:id="386">
    <w:p w14:paraId="3A262DDD" w14:textId="77777777" w:rsidR="0013116F" w:rsidRDefault="0013116F">
      <w:pPr>
        <w:pStyle w:val="a9"/>
      </w:pPr>
      <w:r>
        <w:rPr>
          <w:rStyle w:val="ab"/>
        </w:rPr>
        <w:footnoteRef/>
      </w:r>
      <w:r>
        <w:rPr>
          <w:rtl/>
        </w:rPr>
        <w:t xml:space="preserve"> </w:t>
      </w:r>
      <w:r>
        <w:rPr>
          <w:rFonts w:hint="cs"/>
          <w:rtl/>
        </w:rPr>
        <w:t xml:space="preserve">סימן </w:t>
      </w:r>
      <w:r>
        <w:rPr>
          <w:rtl/>
        </w:rPr>
        <w:t>–</w:t>
      </w:r>
      <w:r>
        <w:rPr>
          <w:rFonts w:hint="cs"/>
          <w:rtl/>
        </w:rPr>
        <w:t xml:space="preserve"> </w:t>
      </w:r>
      <w:r w:rsidRPr="00923ED3">
        <w:rPr>
          <w:rFonts w:hint="cs"/>
          <w:b/>
          <w:bCs/>
          <w:rtl/>
        </w:rPr>
        <w:t>ל</w:t>
      </w:r>
      <w:r>
        <w:rPr>
          <w:rFonts w:hint="cs"/>
          <w:rtl/>
        </w:rPr>
        <w:t xml:space="preserve">ומר </w:t>
      </w:r>
      <w:r w:rsidRPr="00923ED3">
        <w:rPr>
          <w:rFonts w:hint="cs"/>
          <w:b/>
          <w:bCs/>
          <w:rtl/>
        </w:rPr>
        <w:t>ל</w:t>
      </w:r>
      <w:r>
        <w:rPr>
          <w:rFonts w:hint="cs"/>
          <w:rtl/>
        </w:rPr>
        <w:t xml:space="preserve">דיין </w:t>
      </w:r>
      <w:r w:rsidRPr="00923ED3">
        <w:rPr>
          <w:rFonts w:hint="cs"/>
          <w:b/>
          <w:bCs/>
          <w:rtl/>
        </w:rPr>
        <w:t>ל</w:t>
      </w:r>
      <w:r>
        <w:rPr>
          <w:rFonts w:hint="cs"/>
          <w:rtl/>
        </w:rPr>
        <w:t xml:space="preserve">א </w:t>
      </w:r>
      <w:r w:rsidRPr="00923ED3">
        <w:rPr>
          <w:rFonts w:hint="cs"/>
          <w:b/>
          <w:bCs/>
          <w:rtl/>
        </w:rPr>
        <w:t>ל</w:t>
      </w:r>
      <w:r>
        <w:rPr>
          <w:rFonts w:hint="cs"/>
          <w:rtl/>
        </w:rPr>
        <w:t>הצטרף.</w:t>
      </w:r>
    </w:p>
  </w:footnote>
  <w:footnote w:id="387">
    <w:p w14:paraId="65BA383F" w14:textId="77777777" w:rsidR="0013116F" w:rsidRDefault="0013116F">
      <w:pPr>
        <w:pStyle w:val="a9"/>
        <w:rPr>
          <w:rtl/>
        </w:rPr>
      </w:pPr>
      <w:r>
        <w:rPr>
          <w:rStyle w:val="ab"/>
        </w:rPr>
        <w:footnoteRef/>
      </w:r>
      <w:r>
        <w:rPr>
          <w:rtl/>
        </w:rPr>
        <w:t xml:space="preserve"> </w:t>
      </w:r>
      <w:r>
        <w:rPr>
          <w:rFonts w:hint="cs"/>
          <w:rtl/>
        </w:rPr>
        <w:t xml:space="preserve">סימן </w:t>
      </w:r>
      <w:r>
        <w:rPr>
          <w:rtl/>
        </w:rPr>
        <w:t>–</w:t>
      </w:r>
      <w:r>
        <w:rPr>
          <w:rFonts w:hint="cs"/>
          <w:rtl/>
        </w:rPr>
        <w:t xml:space="preserve"> כמוני גם.</w:t>
      </w:r>
    </w:p>
  </w:footnote>
  <w:footnote w:id="388">
    <w:p w14:paraId="340CB53C" w14:textId="77777777" w:rsidR="0013116F" w:rsidRDefault="0013116F" w:rsidP="004A326E">
      <w:pPr>
        <w:pStyle w:val="a9"/>
        <w:rPr>
          <w:rtl/>
        </w:rPr>
      </w:pPr>
      <w:r>
        <w:rPr>
          <w:rStyle w:val="ab"/>
        </w:rPr>
        <w:footnoteRef/>
      </w:r>
      <w:r>
        <w:rPr>
          <w:rtl/>
        </w:rPr>
        <w:t xml:space="preserve"> </w:t>
      </w:r>
      <w:r w:rsidRPr="00B33A53">
        <w:rPr>
          <w:rFonts w:cs="Arial"/>
          <w:rtl/>
        </w:rPr>
        <w:t>ואע</w:t>
      </w:r>
      <w:r>
        <w:rPr>
          <w:rFonts w:cs="Arial" w:hint="cs"/>
          <w:rtl/>
        </w:rPr>
        <w:t>"</w:t>
      </w:r>
      <w:r w:rsidRPr="00B33A53">
        <w:rPr>
          <w:rFonts w:cs="Arial"/>
          <w:rtl/>
        </w:rPr>
        <w:t>פ שידון דין אמת, משום שנאמר [שמות כ"ג ז'] מדבר שקר תרחק</w:t>
      </w:r>
      <w:r>
        <w:rPr>
          <w:rFonts w:hint="cs"/>
          <w:rtl/>
        </w:rPr>
        <w:t>, סמ"ע (סקכ"ו).</w:t>
      </w:r>
    </w:p>
  </w:footnote>
  <w:footnote w:id="389">
    <w:p w14:paraId="66918B4C" w14:textId="77777777" w:rsidR="0013116F" w:rsidRDefault="0013116F">
      <w:pPr>
        <w:pStyle w:val="a9"/>
        <w:rPr>
          <w:rtl/>
        </w:rPr>
      </w:pPr>
      <w:r>
        <w:rPr>
          <w:rStyle w:val="ab"/>
        </w:rPr>
        <w:footnoteRef/>
      </w:r>
      <w:r>
        <w:rPr>
          <w:rtl/>
        </w:rPr>
        <w:t xml:space="preserve"> </w:t>
      </w:r>
      <w:r>
        <w:rPr>
          <w:rFonts w:hint="cs"/>
          <w:rtl/>
        </w:rPr>
        <w:t xml:space="preserve">סימן </w:t>
      </w:r>
      <w:r>
        <w:rPr>
          <w:rtl/>
        </w:rPr>
        <w:t>–</w:t>
      </w:r>
      <w:r>
        <w:rPr>
          <w:rFonts w:hint="cs"/>
          <w:rtl/>
        </w:rPr>
        <w:t xml:space="preserve"> </w:t>
      </w:r>
      <w:r w:rsidRPr="006E66E7">
        <w:rPr>
          <w:rFonts w:hint="cs"/>
          <w:b/>
          <w:bCs/>
          <w:rtl/>
        </w:rPr>
        <w:t>מ</w:t>
      </w:r>
      <w:r>
        <w:rPr>
          <w:rFonts w:hint="cs"/>
          <w:rtl/>
        </w:rPr>
        <w:t xml:space="preserve">הנאה </w:t>
      </w:r>
      <w:r w:rsidRPr="006E66E7">
        <w:rPr>
          <w:rFonts w:hint="cs"/>
          <w:b/>
          <w:bCs/>
          <w:rtl/>
        </w:rPr>
        <w:t>ג</w:t>
      </w:r>
      <w:r>
        <w:rPr>
          <w:rFonts w:hint="cs"/>
          <w:rtl/>
        </w:rPr>
        <w:t xml:space="preserve">דור </w:t>
      </w:r>
      <w:r w:rsidRPr="006E66E7">
        <w:rPr>
          <w:rFonts w:hint="cs"/>
          <w:rtl/>
        </w:rPr>
        <w:t>(</w:t>
      </w:r>
      <w:r w:rsidRPr="006E66E7">
        <w:rPr>
          <w:rFonts w:hint="cs"/>
          <w:b/>
          <w:bCs/>
          <w:rtl/>
        </w:rPr>
        <w:t>מ</w:t>
      </w:r>
      <w:r w:rsidRPr="006E66E7">
        <w:rPr>
          <w:rFonts w:hint="cs"/>
          <w:rtl/>
        </w:rPr>
        <w:t>עיד/</w:t>
      </w:r>
      <w:r w:rsidRPr="006E66E7">
        <w:rPr>
          <w:rFonts w:hint="cs"/>
          <w:b/>
          <w:bCs/>
          <w:rtl/>
        </w:rPr>
        <w:t>מ</w:t>
      </w:r>
      <w:r w:rsidRPr="006E66E7">
        <w:rPr>
          <w:rFonts w:hint="cs"/>
          <w:rtl/>
        </w:rPr>
        <w:t xml:space="preserve">תדיין </w:t>
      </w:r>
      <w:r w:rsidRPr="006E66E7">
        <w:rPr>
          <w:rFonts w:hint="cs"/>
          <w:b/>
          <w:bCs/>
          <w:rtl/>
        </w:rPr>
        <w:t>ג</w:t>
      </w:r>
      <w:r w:rsidRPr="006E66E7">
        <w:rPr>
          <w:rFonts w:hint="cs"/>
          <w:rtl/>
        </w:rPr>
        <w:t>ם)</w:t>
      </w:r>
      <w:r>
        <w:rPr>
          <w:rFonts w:hint="cs"/>
          <w:rtl/>
        </w:rPr>
        <w:t xml:space="preserve">. וכן </w:t>
      </w:r>
      <w:r>
        <w:rPr>
          <w:rtl/>
        </w:rPr>
        <w:t>–</w:t>
      </w:r>
      <w:r>
        <w:rPr>
          <w:rFonts w:hint="cs"/>
          <w:rtl/>
        </w:rPr>
        <w:t xml:space="preserve"> מסלק גרמיה.</w:t>
      </w:r>
    </w:p>
  </w:footnote>
  <w:footnote w:id="390">
    <w:p w14:paraId="7899CDE7" w14:textId="77777777" w:rsidR="0013116F" w:rsidRDefault="0013116F" w:rsidP="004A326E">
      <w:pPr>
        <w:pStyle w:val="a9"/>
      </w:pPr>
      <w:r>
        <w:rPr>
          <w:rStyle w:val="ab"/>
        </w:rPr>
        <w:footnoteRef/>
      </w:r>
      <w:r>
        <w:rPr>
          <w:rtl/>
        </w:rPr>
        <w:t xml:space="preserve"> </w:t>
      </w:r>
      <w:r w:rsidRPr="00ED57EC">
        <w:rPr>
          <w:rFonts w:cs="Arial"/>
          <w:rtl/>
        </w:rPr>
        <w:t>הגנב והוא טוען לקחתיו בדמים או שום טענה</w:t>
      </w:r>
      <w:r>
        <w:rPr>
          <w:rFonts w:cs="Arial" w:hint="cs"/>
          <w:rtl/>
        </w:rPr>
        <w:t>, רשב"ם</w:t>
      </w:r>
      <w:r w:rsidRPr="00ED57EC">
        <w:rPr>
          <w:rFonts w:cs="Arial"/>
          <w:rtl/>
        </w:rPr>
        <w:t>.</w:t>
      </w:r>
    </w:p>
  </w:footnote>
  <w:footnote w:id="391">
    <w:p w14:paraId="3F7D1B51" w14:textId="77777777" w:rsidR="0013116F" w:rsidRDefault="0013116F" w:rsidP="004A326E">
      <w:pPr>
        <w:pStyle w:val="a9"/>
      </w:pPr>
      <w:r>
        <w:rPr>
          <w:rStyle w:val="ab"/>
        </w:rPr>
        <w:footnoteRef/>
      </w:r>
      <w:r>
        <w:rPr>
          <w:rtl/>
        </w:rPr>
        <w:t xml:space="preserve"> </w:t>
      </w:r>
      <w:r w:rsidRPr="00ED57EC">
        <w:rPr>
          <w:rFonts w:cs="Arial"/>
          <w:rtl/>
        </w:rPr>
        <w:t>עדים שראוהו שגנבו או שמעידין שזהו ס"ת של אותה העיר דכולן שותפין ונוגעין בעדותן</w:t>
      </w:r>
      <w:r>
        <w:rPr>
          <w:rFonts w:cs="Arial" w:hint="cs"/>
          <w:rtl/>
        </w:rPr>
        <w:t>, רשב"ם</w:t>
      </w:r>
      <w:r w:rsidRPr="00ED57EC">
        <w:rPr>
          <w:rFonts w:cs="Arial"/>
          <w:rtl/>
        </w:rPr>
        <w:t>.</w:t>
      </w:r>
    </w:p>
  </w:footnote>
  <w:footnote w:id="392">
    <w:p w14:paraId="3D8DCAC4" w14:textId="77777777" w:rsidR="0013116F" w:rsidRDefault="0013116F" w:rsidP="004A326E">
      <w:pPr>
        <w:pStyle w:val="a9"/>
        <w:rPr>
          <w:rtl/>
        </w:rPr>
      </w:pPr>
      <w:r>
        <w:rPr>
          <w:rStyle w:val="ab"/>
        </w:rPr>
        <w:footnoteRef/>
      </w:r>
      <w:r>
        <w:rPr>
          <w:rtl/>
        </w:rPr>
        <w:t xml:space="preserve"> </w:t>
      </w:r>
      <w:r w:rsidRPr="00ED57EC">
        <w:rPr>
          <w:rFonts w:cs="Arial"/>
          <w:rtl/>
        </w:rPr>
        <w:t>יכתבו דין ודברים אין לי על ספר תורה זה ויקנו מידם</w:t>
      </w:r>
      <w:r>
        <w:rPr>
          <w:rFonts w:cs="Arial" w:hint="cs"/>
          <w:rtl/>
        </w:rPr>
        <w:t>, רשב"ם</w:t>
      </w:r>
      <w:r w:rsidRPr="00ED57EC">
        <w:rPr>
          <w:rFonts w:cs="Arial"/>
          <w:rtl/>
        </w:rPr>
        <w:t>.</w:t>
      </w:r>
    </w:p>
  </w:footnote>
  <w:footnote w:id="393">
    <w:p w14:paraId="03A8A0F7" w14:textId="77777777" w:rsidR="0013116F" w:rsidRDefault="0013116F" w:rsidP="004A326E">
      <w:pPr>
        <w:pStyle w:val="a9"/>
        <w:rPr>
          <w:rtl/>
        </w:rPr>
      </w:pPr>
      <w:r>
        <w:rPr>
          <w:rStyle w:val="ab"/>
        </w:rPr>
        <w:footnoteRef/>
      </w:r>
      <w:r>
        <w:rPr>
          <w:rtl/>
        </w:rPr>
        <w:t xml:space="preserve"> </w:t>
      </w:r>
      <w:r w:rsidRPr="00ED57EC">
        <w:rPr>
          <w:rFonts w:cs="Arial"/>
          <w:rtl/>
        </w:rPr>
        <w:t>ואין יכול לסלק עצמו שלא יהא נוגע בעדות שהרי נהנה בו ויוצא בשמיעתו אא</w:t>
      </w:r>
      <w:r>
        <w:rPr>
          <w:rFonts w:cs="Arial" w:hint="cs"/>
          <w:rtl/>
        </w:rPr>
        <w:t>"</w:t>
      </w:r>
      <w:r w:rsidRPr="00ED57EC">
        <w:rPr>
          <w:rFonts w:cs="Arial"/>
          <w:rtl/>
        </w:rPr>
        <w:t>כ ילך לו לדור בעיר אחרת שלא יהנה בקריאתו</w:t>
      </w:r>
      <w:r>
        <w:rPr>
          <w:rFonts w:cs="Arial" w:hint="cs"/>
          <w:rtl/>
        </w:rPr>
        <w:t>, רשב"ם</w:t>
      </w:r>
      <w:r w:rsidRPr="00ED57EC">
        <w:rPr>
          <w:rFonts w:cs="Arial"/>
          <w:rtl/>
        </w:rPr>
        <w:t>.</w:t>
      </w:r>
    </w:p>
  </w:footnote>
  <w:footnote w:id="394">
    <w:p w14:paraId="7733DC73" w14:textId="77777777" w:rsidR="0013116F" w:rsidRDefault="0013116F" w:rsidP="004A326E">
      <w:pPr>
        <w:pStyle w:val="a9"/>
      </w:pPr>
      <w:r>
        <w:rPr>
          <w:rStyle w:val="ab"/>
        </w:rPr>
        <w:footnoteRef/>
      </w:r>
      <w:r>
        <w:rPr>
          <w:rtl/>
        </w:rPr>
        <w:t xml:space="preserve"> </w:t>
      </w:r>
      <w:r w:rsidRPr="00ED57EC">
        <w:rPr>
          <w:rFonts w:cs="Arial"/>
          <w:rtl/>
        </w:rPr>
        <w:t xml:space="preserve"> לצרכי בני העיר לחומות העיר ולכל צרכי רבים</w:t>
      </w:r>
      <w:r>
        <w:rPr>
          <w:rFonts w:cs="Arial" w:hint="cs"/>
          <w:rtl/>
        </w:rPr>
        <w:t>, רשב"ם</w:t>
      </w:r>
      <w:r w:rsidRPr="00ED57EC">
        <w:rPr>
          <w:rFonts w:cs="Arial"/>
          <w:rtl/>
        </w:rPr>
        <w:t>.</w:t>
      </w:r>
    </w:p>
  </w:footnote>
  <w:footnote w:id="395">
    <w:p w14:paraId="1B9D14E0" w14:textId="77777777" w:rsidR="0013116F" w:rsidRDefault="0013116F" w:rsidP="004A326E">
      <w:pPr>
        <w:pStyle w:val="a9"/>
      </w:pPr>
      <w:r>
        <w:rPr>
          <w:rStyle w:val="ab"/>
        </w:rPr>
        <w:footnoteRef/>
      </w:r>
      <w:r>
        <w:rPr>
          <w:rtl/>
        </w:rPr>
        <w:t xml:space="preserve"> </w:t>
      </w:r>
      <w:r w:rsidRPr="00ED57EC">
        <w:rPr>
          <w:rFonts w:cs="Arial"/>
          <w:rtl/>
        </w:rPr>
        <w:t xml:space="preserve"> שלא יהנו בו כלל ויתנו מכיסם כנגד המנה של צבור</w:t>
      </w:r>
      <w:r>
        <w:rPr>
          <w:rFonts w:cs="Arial" w:hint="cs"/>
          <w:rtl/>
        </w:rPr>
        <w:t>, רשב"ם</w:t>
      </w:r>
      <w:r w:rsidRPr="00ED57EC">
        <w:rPr>
          <w:rFonts w:cs="Arial"/>
          <w:rtl/>
        </w:rPr>
        <w:t>.</w:t>
      </w:r>
    </w:p>
  </w:footnote>
  <w:footnote w:id="396">
    <w:p w14:paraId="74369AD5" w14:textId="77777777" w:rsidR="0013116F" w:rsidRDefault="0013116F" w:rsidP="004A326E">
      <w:pPr>
        <w:pStyle w:val="a9"/>
      </w:pPr>
      <w:r>
        <w:rPr>
          <w:rStyle w:val="ab"/>
        </w:rPr>
        <w:footnoteRef/>
      </w:r>
      <w:r>
        <w:rPr>
          <w:rtl/>
        </w:rPr>
        <w:t xml:space="preserve"> </w:t>
      </w:r>
      <w:r w:rsidRPr="00ED57EC">
        <w:rPr>
          <w:rFonts w:cs="Arial"/>
          <w:rtl/>
        </w:rPr>
        <w:t>שפירש תנו מנה לבני עירי לקנות בו ס"ת</w:t>
      </w:r>
      <w:r>
        <w:rPr>
          <w:rFonts w:cs="Arial" w:hint="cs"/>
          <w:rtl/>
        </w:rPr>
        <w:t>, רשב"ם</w:t>
      </w:r>
      <w:r w:rsidRPr="00ED57EC">
        <w:rPr>
          <w:rFonts w:cs="Arial"/>
          <w:rtl/>
        </w:rPr>
        <w:t>.</w:t>
      </w:r>
    </w:p>
  </w:footnote>
  <w:footnote w:id="397">
    <w:p w14:paraId="6DDEC5D4" w14:textId="77777777" w:rsidR="0013116F" w:rsidRDefault="0013116F" w:rsidP="004A326E">
      <w:pPr>
        <w:pStyle w:val="a9"/>
        <w:rPr>
          <w:rtl/>
        </w:rPr>
      </w:pPr>
      <w:r>
        <w:rPr>
          <w:rStyle w:val="ab"/>
        </w:rPr>
        <w:footnoteRef/>
      </w:r>
      <w:r>
        <w:rPr>
          <w:rtl/>
        </w:rPr>
        <w:t xml:space="preserve"> </w:t>
      </w:r>
      <w:r w:rsidRPr="00A7794F">
        <w:rPr>
          <w:rFonts w:cs="Arial"/>
          <w:rtl/>
        </w:rPr>
        <w:t>גמרא קא פריך עלה ומתרץ לה והדר מקשי מינה ושיטת הגמרא היא זו ועדיין לא סיים קושיא שלו למיפרך מינה עד לבסוף כלומר ותסברא דהכי קאמר דוקא שהדיינין יפסלו בשביל העניים והלא אין נוגעין בעדותן כלל</w:t>
      </w:r>
      <w:r>
        <w:rPr>
          <w:rFonts w:cs="Arial" w:hint="cs"/>
          <w:rtl/>
        </w:rPr>
        <w:t>, רשב"ם</w:t>
      </w:r>
      <w:r w:rsidRPr="00A7794F">
        <w:rPr>
          <w:rFonts w:cs="Arial"/>
          <w:rtl/>
        </w:rPr>
        <w:t>.</w:t>
      </w:r>
    </w:p>
  </w:footnote>
  <w:footnote w:id="398">
    <w:p w14:paraId="165837F3" w14:textId="77777777" w:rsidR="0013116F" w:rsidRDefault="0013116F" w:rsidP="004A326E">
      <w:pPr>
        <w:pStyle w:val="a9"/>
      </w:pPr>
      <w:r>
        <w:rPr>
          <w:rStyle w:val="ab"/>
        </w:rPr>
        <w:footnoteRef/>
      </w:r>
      <w:r>
        <w:rPr>
          <w:rtl/>
        </w:rPr>
        <w:t xml:space="preserve"> </w:t>
      </w:r>
      <w:r w:rsidRPr="00A7794F">
        <w:rPr>
          <w:rFonts w:cs="Arial"/>
          <w:rtl/>
        </w:rPr>
        <w:t>שכולן צריכים לו ודרך בני אדם לקרוא בני עירו עניים כשאין להם ס"ת דעניות גדול הוא זה</w:t>
      </w:r>
      <w:r>
        <w:rPr>
          <w:rFonts w:cs="Arial" w:hint="cs"/>
          <w:rtl/>
        </w:rPr>
        <w:t>, רשב"ם</w:t>
      </w:r>
      <w:r w:rsidRPr="00A7794F">
        <w:rPr>
          <w:rFonts w:cs="Arial"/>
          <w:rtl/>
        </w:rPr>
        <w:t>.</w:t>
      </w:r>
    </w:p>
  </w:footnote>
  <w:footnote w:id="399">
    <w:p w14:paraId="51672856" w14:textId="77777777" w:rsidR="0013116F" w:rsidRDefault="0013116F" w:rsidP="004A326E">
      <w:pPr>
        <w:pStyle w:val="a9"/>
      </w:pPr>
      <w:r>
        <w:rPr>
          <w:rStyle w:val="ab"/>
        </w:rPr>
        <w:footnoteRef/>
      </w:r>
      <w:r>
        <w:rPr>
          <w:rtl/>
        </w:rPr>
        <w:t xml:space="preserve"> </w:t>
      </w:r>
      <w:r w:rsidRPr="00A7794F">
        <w:rPr>
          <w:rFonts w:cs="Arial"/>
          <w:rtl/>
        </w:rPr>
        <w:t>כל הברייתא כדקתני דבעניים ממש מיירי ובדייני העיר שאינן עניים קאמר דמפסלי ודקא קשיא לך דיינין אמאי מפסלי הרי אין נוגעין בעדות</w:t>
      </w:r>
      <w:r>
        <w:rPr>
          <w:rFonts w:cs="Arial" w:hint="cs"/>
          <w:rtl/>
        </w:rPr>
        <w:t>, רשב"ם</w:t>
      </w:r>
      <w:r w:rsidRPr="00A7794F">
        <w:rPr>
          <w:rFonts w:cs="Arial"/>
          <w:rtl/>
        </w:rPr>
        <w:t>.</w:t>
      </w:r>
    </w:p>
  </w:footnote>
  <w:footnote w:id="400">
    <w:p w14:paraId="7D835AE2" w14:textId="77777777" w:rsidR="0013116F" w:rsidRDefault="0013116F" w:rsidP="004A326E">
      <w:pPr>
        <w:pStyle w:val="a9"/>
        <w:rPr>
          <w:rtl/>
        </w:rPr>
      </w:pPr>
      <w:r>
        <w:rPr>
          <w:rStyle w:val="ab"/>
        </w:rPr>
        <w:footnoteRef/>
      </w:r>
      <w:r>
        <w:rPr>
          <w:rtl/>
        </w:rPr>
        <w:t xml:space="preserve"> </w:t>
      </w:r>
      <w:r w:rsidRPr="00A7794F">
        <w:rPr>
          <w:rFonts w:cs="Arial"/>
          <w:rtl/>
        </w:rPr>
        <w:t>על דייני העיר פירוש עשירי העיר וכדמפרש ואזיל דהשתא נוגעין בעדות הן</w:t>
      </w:r>
      <w:r>
        <w:rPr>
          <w:rFonts w:cs="Arial" w:hint="cs"/>
          <w:rtl/>
        </w:rPr>
        <w:t>, רשב"ם</w:t>
      </w:r>
      <w:r w:rsidRPr="00A7794F">
        <w:rPr>
          <w:rFonts w:cs="Arial"/>
          <w:rtl/>
        </w:rPr>
        <w:t>.</w:t>
      </w:r>
    </w:p>
  </w:footnote>
  <w:footnote w:id="401">
    <w:p w14:paraId="334282AB" w14:textId="77777777" w:rsidR="0013116F" w:rsidRDefault="0013116F" w:rsidP="004A326E">
      <w:pPr>
        <w:pStyle w:val="a9"/>
        <w:rPr>
          <w:rtl/>
        </w:rPr>
      </w:pPr>
      <w:r>
        <w:rPr>
          <w:rStyle w:val="ab"/>
        </w:rPr>
        <w:footnoteRef/>
      </w:r>
      <w:r>
        <w:rPr>
          <w:rtl/>
        </w:rPr>
        <w:t xml:space="preserve"> </w:t>
      </w:r>
      <w:r w:rsidRPr="00A7794F">
        <w:rPr>
          <w:rFonts w:cs="Arial"/>
          <w:rtl/>
        </w:rPr>
        <w:t>דבר קצוב לבני העיר לכל אחד כמה יתן לעניי העיר משלו בכל שנה ושנה</w:t>
      </w:r>
      <w:r>
        <w:rPr>
          <w:rFonts w:cs="Arial" w:hint="cs"/>
          <w:rtl/>
        </w:rPr>
        <w:t>, רשב"ם</w:t>
      </w:r>
      <w:r w:rsidRPr="00A7794F">
        <w:rPr>
          <w:rFonts w:cs="Arial"/>
          <w:rtl/>
        </w:rPr>
        <w:t>.</w:t>
      </w:r>
    </w:p>
  </w:footnote>
  <w:footnote w:id="402">
    <w:p w14:paraId="199BA99F" w14:textId="77777777" w:rsidR="0013116F" w:rsidRDefault="0013116F" w:rsidP="004A326E">
      <w:pPr>
        <w:pStyle w:val="a9"/>
        <w:rPr>
          <w:rtl/>
        </w:rPr>
      </w:pPr>
      <w:r>
        <w:rPr>
          <w:rStyle w:val="ab"/>
        </w:rPr>
        <w:footnoteRef/>
      </w:r>
      <w:r>
        <w:rPr>
          <w:rtl/>
        </w:rPr>
        <w:t xml:space="preserve"> </w:t>
      </w:r>
      <w:r w:rsidRPr="00A7794F">
        <w:rPr>
          <w:rFonts w:cs="Arial"/>
          <w:rtl/>
        </w:rPr>
        <w:t>אלא הכל לפי הצורך ולפי מחסורן של עניים נותנין דכל זמן שיש מן המנה בעין לא יתנו הדיינין כלום</w:t>
      </w:r>
      <w:r>
        <w:rPr>
          <w:rFonts w:cs="Arial" w:hint="cs"/>
          <w:rtl/>
        </w:rPr>
        <w:t>, רשב"ם</w:t>
      </w:r>
      <w:r w:rsidRPr="00A7794F">
        <w:rPr>
          <w:rFonts w:cs="Arial"/>
          <w:rtl/>
        </w:rPr>
        <w:t>.</w:t>
      </w:r>
    </w:p>
  </w:footnote>
  <w:footnote w:id="403">
    <w:p w14:paraId="03C707E4" w14:textId="77777777" w:rsidR="0013116F" w:rsidRDefault="0013116F" w:rsidP="004A326E">
      <w:pPr>
        <w:pStyle w:val="a9"/>
        <w:rPr>
          <w:rtl/>
        </w:rPr>
      </w:pPr>
      <w:r>
        <w:rPr>
          <w:rStyle w:val="ab"/>
        </w:rPr>
        <w:footnoteRef/>
      </w:r>
      <w:r>
        <w:rPr>
          <w:rtl/>
        </w:rPr>
        <w:t xml:space="preserve"> </w:t>
      </w:r>
      <w:r w:rsidRPr="00A7794F">
        <w:rPr>
          <w:rFonts w:cs="Arial"/>
          <w:rtl/>
        </w:rPr>
        <w:t>ואפ"ה ניחא להו לדיינין שינתן המנה לעניים</w:t>
      </w:r>
      <w:r>
        <w:rPr>
          <w:rFonts w:cs="Arial" w:hint="cs"/>
          <w:rtl/>
        </w:rPr>
        <w:t>, רשב"ם</w:t>
      </w:r>
      <w:r w:rsidRPr="00A7794F">
        <w:rPr>
          <w:rFonts w:cs="Arial"/>
          <w:rtl/>
        </w:rPr>
        <w:t xml:space="preserve">. </w:t>
      </w:r>
    </w:p>
  </w:footnote>
  <w:footnote w:id="404">
    <w:p w14:paraId="0586621D" w14:textId="77777777" w:rsidR="0013116F" w:rsidRDefault="0013116F" w:rsidP="004A326E">
      <w:pPr>
        <w:pStyle w:val="a9"/>
        <w:rPr>
          <w:rtl/>
        </w:rPr>
      </w:pPr>
      <w:r>
        <w:rPr>
          <w:rStyle w:val="ab"/>
        </w:rPr>
        <w:footnoteRef/>
      </w:r>
      <w:r>
        <w:rPr>
          <w:rtl/>
        </w:rPr>
        <w:t xml:space="preserve"> </w:t>
      </w:r>
      <w:r w:rsidRPr="00A7794F">
        <w:rPr>
          <w:rFonts w:cs="Arial"/>
          <w:rtl/>
        </w:rPr>
        <w:t>שיש להם מעות רווח כלומר הרי יש להם מעות ולמה יתנו כלום כל זמן שאין צריכין</w:t>
      </w:r>
      <w:r>
        <w:rPr>
          <w:rFonts w:cs="Arial" w:hint="cs"/>
          <w:rtl/>
        </w:rPr>
        <w:t>, רשב"ם</w:t>
      </w:r>
      <w:r w:rsidRPr="00A7794F">
        <w:rPr>
          <w:rFonts w:cs="Arial"/>
          <w:rtl/>
        </w:rPr>
        <w:t>.</w:t>
      </w:r>
      <w:r w:rsidRPr="00DD29AC">
        <w:rPr>
          <w:rFonts w:cs="Arial"/>
          <w:rtl/>
        </w:rPr>
        <w:t xml:space="preserve"> </w:t>
      </w:r>
      <w:r>
        <w:rPr>
          <w:rFonts w:cs="Arial"/>
          <w:rtl/>
        </w:rPr>
        <w:t>אב</w:t>
      </w:r>
      <w:r>
        <w:rPr>
          <w:rFonts w:cs="Arial" w:hint="cs"/>
          <w:rtl/>
        </w:rPr>
        <w:t>ל ה</w:t>
      </w:r>
      <w:r>
        <w:rPr>
          <w:rFonts w:cs="Arial"/>
          <w:rtl/>
        </w:rPr>
        <w:t xml:space="preserve">רמב"ם </w:t>
      </w:r>
      <w:r>
        <w:rPr>
          <w:rFonts w:cs="Arial" w:hint="cs"/>
          <w:rtl/>
        </w:rPr>
        <w:t>(</w:t>
      </w:r>
      <w:r>
        <w:rPr>
          <w:rFonts w:cs="Arial"/>
          <w:rtl/>
        </w:rPr>
        <w:t>פט"ו מהל</w:t>
      </w:r>
      <w:r>
        <w:rPr>
          <w:rFonts w:cs="Arial" w:hint="cs"/>
          <w:rtl/>
        </w:rPr>
        <w:t>'</w:t>
      </w:r>
      <w:r>
        <w:rPr>
          <w:rFonts w:cs="Arial"/>
          <w:rtl/>
        </w:rPr>
        <w:t xml:space="preserve"> עדות ה"ג)</w:t>
      </w:r>
      <w:r>
        <w:rPr>
          <w:rFonts w:cs="Arial" w:hint="cs"/>
          <w:rtl/>
        </w:rPr>
        <w:t xml:space="preserve"> כתב-</w:t>
      </w:r>
      <w:r>
        <w:rPr>
          <w:rFonts w:cs="Arial"/>
          <w:rtl/>
        </w:rPr>
        <w:t xml:space="preserve"> האומר תנו מנה לעניי עירי אין דנין בדייני אותה העיר ואין מביאין ראיה מאנשי אותה העיר במה דברים אמורים כשהיו העניים סמוכים עליהם ופוסקים עליהם צדקה אפילו אמרו שנים מאותה העיר אנו ניתן דבר הקצוב עלינו ונעיד אין שומעין להם שהנאה הוא להם שיתעשרו עניים אלו הואיל והן סמוכין עליהם. </w:t>
      </w:r>
      <w:r>
        <w:rPr>
          <w:rFonts w:cs="Arial" w:hint="cs"/>
          <w:rtl/>
        </w:rPr>
        <w:t xml:space="preserve">עכ"ל. </w:t>
      </w:r>
      <w:r>
        <w:rPr>
          <w:rFonts w:cs="Arial"/>
          <w:rtl/>
        </w:rPr>
        <w:t>ורבינו כתב בפירוש כיון דרווח רווח כדברי הרמב"ם ובפירוש ליתבו בי תרי מינייהו ולידיינו פירש בענין אחר</w:t>
      </w:r>
      <w:r>
        <w:rPr>
          <w:rFonts w:cs="Arial" w:hint="cs"/>
          <w:rtl/>
        </w:rPr>
        <w:t>, ב"י.</w:t>
      </w:r>
    </w:p>
  </w:footnote>
  <w:footnote w:id="405">
    <w:p w14:paraId="0F6EB36D" w14:textId="77777777" w:rsidR="0013116F" w:rsidRDefault="0013116F" w:rsidP="004A326E">
      <w:pPr>
        <w:pStyle w:val="a9"/>
        <w:rPr>
          <w:rtl/>
        </w:rPr>
      </w:pPr>
      <w:r>
        <w:rPr>
          <w:rStyle w:val="ab"/>
        </w:rPr>
        <w:footnoteRef/>
      </w:r>
      <w:r>
        <w:rPr>
          <w:rtl/>
        </w:rPr>
        <w:t xml:space="preserve"> </w:t>
      </w:r>
      <w:r>
        <w:rPr>
          <w:rFonts w:cs="Arial"/>
          <w:rtl/>
        </w:rPr>
        <w:t>דבר פשוט הוא</w:t>
      </w:r>
      <w:r>
        <w:rPr>
          <w:rFonts w:hint="cs"/>
          <w:rtl/>
        </w:rPr>
        <w:t>, ו</w:t>
      </w:r>
      <w:r w:rsidRPr="00985F33">
        <w:rPr>
          <w:rFonts w:cs="Arial"/>
          <w:rtl/>
        </w:rPr>
        <w:t>כתב ר</w:t>
      </w:r>
      <w:r>
        <w:rPr>
          <w:rFonts w:cs="Arial" w:hint="cs"/>
          <w:rtl/>
        </w:rPr>
        <w:t>י"ו</w:t>
      </w:r>
      <w:r w:rsidRPr="00985F33">
        <w:rPr>
          <w:rFonts w:cs="Arial"/>
          <w:rtl/>
        </w:rPr>
        <w:t xml:space="preserve"> (נ"א ח"ב ח:) היכא דמהני סילוק צריך קנין</w:t>
      </w:r>
      <w:r>
        <w:rPr>
          <w:rFonts w:cs="Arial" w:hint="cs"/>
          <w:rtl/>
        </w:rPr>
        <w:t>,</w:t>
      </w:r>
      <w:r w:rsidRPr="00985F33">
        <w:rPr>
          <w:rFonts w:cs="Arial"/>
          <w:rtl/>
        </w:rPr>
        <w:t xml:space="preserve"> וכן מבואר שם בגמרא</w:t>
      </w:r>
      <w:r>
        <w:rPr>
          <w:rFonts w:cs="Arial" w:hint="cs"/>
          <w:rtl/>
        </w:rPr>
        <w:t xml:space="preserve">, ב"י. וכ' </w:t>
      </w:r>
    </w:p>
  </w:footnote>
  <w:footnote w:id="406">
    <w:p w14:paraId="24E61B9D" w14:textId="77777777" w:rsidR="0013116F" w:rsidRDefault="0013116F" w:rsidP="004A326E">
      <w:pPr>
        <w:pStyle w:val="a9"/>
        <w:rPr>
          <w:rtl/>
        </w:rPr>
      </w:pPr>
      <w:r>
        <w:rPr>
          <w:rStyle w:val="ab"/>
        </w:rPr>
        <w:footnoteRef/>
      </w:r>
      <w:r>
        <w:rPr>
          <w:rtl/>
        </w:rPr>
        <w:t xml:space="preserve"> </w:t>
      </w:r>
      <w:r>
        <w:rPr>
          <w:rFonts w:cs="Arial"/>
          <w:rtl/>
        </w:rPr>
        <w:t>כ</w:t>
      </w:r>
      <w:r>
        <w:rPr>
          <w:rFonts w:cs="Arial" w:hint="cs"/>
          <w:rtl/>
        </w:rPr>
        <w:t>"</w:t>
      </w:r>
      <w:r>
        <w:rPr>
          <w:rFonts w:cs="Arial"/>
          <w:rtl/>
        </w:rPr>
        <w:t xml:space="preserve">כ הרא"ש </w:t>
      </w:r>
      <w:r>
        <w:rPr>
          <w:rFonts w:cs="Arial" w:hint="cs"/>
          <w:rtl/>
        </w:rPr>
        <w:t>(</w:t>
      </w:r>
      <w:r>
        <w:rPr>
          <w:rFonts w:cs="Arial"/>
          <w:rtl/>
        </w:rPr>
        <w:t>בתשובה כלל ג סי</w:t>
      </w:r>
      <w:r>
        <w:rPr>
          <w:rFonts w:cs="Arial" w:hint="cs"/>
          <w:rtl/>
        </w:rPr>
        <w:t>'</w:t>
      </w:r>
      <w:r>
        <w:rPr>
          <w:rFonts w:cs="Arial"/>
          <w:rtl/>
        </w:rPr>
        <w:t xml:space="preserve"> יג</w:t>
      </w:r>
      <w:r>
        <w:rPr>
          <w:rFonts w:cs="Arial" w:hint="cs"/>
          <w:rtl/>
        </w:rPr>
        <w:t>) וז"ל-</w:t>
      </w:r>
      <w:r>
        <w:rPr>
          <w:rFonts w:cs="Arial"/>
          <w:rtl/>
        </w:rPr>
        <w:t xml:space="preserve"> בפרק חזקת הבתים מיירי שאין ספר תורה בעיר אלא זה בלבד אבל אם יש ספר תורה אחר בעיר אפשר להם להסתלק שלא יקראו באותו ספר תורה בעודו בבית הכנסת ואפילו אם יקראו בו בעודו בבית הכנסת לא מיקרי הנאה כיון שאפשר שיקראו בספר אחר. ור</w:t>
      </w:r>
      <w:r>
        <w:rPr>
          <w:rFonts w:cs="Arial" w:hint="cs"/>
          <w:rtl/>
        </w:rPr>
        <w:t>י"ו</w:t>
      </w:r>
      <w:r>
        <w:rPr>
          <w:rFonts w:cs="Arial"/>
          <w:rtl/>
        </w:rPr>
        <w:t xml:space="preserve"> (שם) כתב בשם הרא"ש ודוקא שיש ספר תורה אחר באותו בית הכנסת שהם רגילים להתפלל בו</w:t>
      </w:r>
      <w:r>
        <w:rPr>
          <w:rFonts w:hint="cs"/>
          <w:rtl/>
        </w:rPr>
        <w:t>, ב"י.</w:t>
      </w:r>
    </w:p>
  </w:footnote>
  <w:footnote w:id="407">
    <w:p w14:paraId="2ABE26A9" w14:textId="77777777" w:rsidR="0013116F" w:rsidRDefault="0013116F" w:rsidP="004A326E">
      <w:pPr>
        <w:pStyle w:val="a9"/>
        <w:rPr>
          <w:rtl/>
        </w:rPr>
      </w:pPr>
      <w:r>
        <w:rPr>
          <w:rStyle w:val="ab"/>
        </w:rPr>
        <w:footnoteRef/>
      </w:r>
      <w:r>
        <w:rPr>
          <w:rtl/>
        </w:rPr>
        <w:t xml:space="preserve"> </w:t>
      </w:r>
      <w:r>
        <w:rPr>
          <w:rFonts w:hint="cs"/>
          <w:rtl/>
        </w:rPr>
        <w:t xml:space="preserve">וכתב הב"י דהרא"ש </w:t>
      </w:r>
      <w:r>
        <w:rPr>
          <w:rFonts w:cs="Arial" w:hint="cs"/>
          <w:rtl/>
        </w:rPr>
        <w:t>כתב כן ב</w:t>
      </w:r>
      <w:r>
        <w:rPr>
          <w:rFonts w:cs="Arial"/>
          <w:rtl/>
        </w:rPr>
        <w:t>כלל</w:t>
      </w:r>
      <w:r>
        <w:rPr>
          <w:rFonts w:cs="Arial" w:hint="cs"/>
          <w:rtl/>
        </w:rPr>
        <w:t xml:space="preserve"> ששי</w:t>
      </w:r>
      <w:r>
        <w:rPr>
          <w:rFonts w:cs="Arial"/>
          <w:rtl/>
        </w:rPr>
        <w:t xml:space="preserve"> סי</w:t>
      </w:r>
      <w:r>
        <w:rPr>
          <w:rFonts w:cs="Arial" w:hint="cs"/>
          <w:rtl/>
        </w:rPr>
        <w:t xml:space="preserve">' </w:t>
      </w:r>
      <w:r>
        <w:rPr>
          <w:rFonts w:cs="Arial"/>
          <w:rtl/>
        </w:rPr>
        <w:t xml:space="preserve">טו </w:t>
      </w:r>
      <w:r>
        <w:rPr>
          <w:rFonts w:cs="Arial" w:hint="cs"/>
          <w:rtl/>
        </w:rPr>
        <w:t>(</w:t>
      </w:r>
      <w:r>
        <w:rPr>
          <w:rFonts w:cs="Arial"/>
          <w:rtl/>
        </w:rPr>
        <w:t>ד"ה ומה שטען)</w:t>
      </w:r>
      <w:r>
        <w:rPr>
          <w:rFonts w:cs="Arial" w:hint="cs"/>
          <w:rtl/>
        </w:rPr>
        <w:t>.</w:t>
      </w:r>
      <w:r>
        <w:rPr>
          <w:rFonts w:cs="Arial"/>
          <w:rtl/>
        </w:rPr>
        <w:t xml:space="preserve"> ו</w:t>
      </w:r>
      <w:r>
        <w:rPr>
          <w:rFonts w:cs="Arial" w:hint="cs"/>
          <w:rtl/>
        </w:rPr>
        <w:t>כתב עוד הב"י ד</w:t>
      </w:r>
      <w:r>
        <w:rPr>
          <w:rFonts w:cs="Arial"/>
          <w:rtl/>
        </w:rPr>
        <w:t>אע</w:t>
      </w:r>
      <w:r>
        <w:rPr>
          <w:rFonts w:cs="Arial" w:hint="cs"/>
          <w:rtl/>
        </w:rPr>
        <w:t>"</w:t>
      </w:r>
      <w:r>
        <w:rPr>
          <w:rFonts w:cs="Arial"/>
          <w:rtl/>
        </w:rPr>
        <w:t>פ שבכלל נ</w:t>
      </w:r>
      <w:r>
        <w:rPr>
          <w:rFonts w:cs="Arial" w:hint="cs"/>
          <w:rtl/>
        </w:rPr>
        <w:t>"</w:t>
      </w:r>
      <w:r>
        <w:rPr>
          <w:rFonts w:cs="Arial"/>
          <w:rtl/>
        </w:rPr>
        <w:t>ח</w:t>
      </w:r>
      <w:r>
        <w:rPr>
          <w:rFonts w:cs="Arial" w:hint="cs"/>
          <w:rtl/>
        </w:rPr>
        <w:t xml:space="preserve"> (</w:t>
      </w:r>
      <w:r>
        <w:rPr>
          <w:rFonts w:cs="Arial"/>
          <w:rtl/>
        </w:rPr>
        <w:t>סי' ג) כתב</w:t>
      </w:r>
      <w:r>
        <w:rPr>
          <w:rFonts w:cs="Arial" w:hint="cs"/>
          <w:rtl/>
        </w:rPr>
        <w:t xml:space="preserve"> הרא"ש</w:t>
      </w:r>
      <w:r>
        <w:rPr>
          <w:rFonts w:cs="Arial"/>
          <w:rtl/>
        </w:rPr>
        <w:t xml:space="preserve"> שבני העיר יכולים להעיד במס שלהם אחר שסלקו עצמם והסילוק הוא שיתן ממון לקהל בלי ערמה כפי החלק המגיע לו באותו ממון</w:t>
      </w:r>
      <w:r>
        <w:rPr>
          <w:rFonts w:cs="Arial" w:hint="cs"/>
          <w:rtl/>
        </w:rPr>
        <w:t>,</w:t>
      </w:r>
      <w:r>
        <w:rPr>
          <w:rFonts w:cs="Arial"/>
          <w:rtl/>
        </w:rPr>
        <w:t xml:space="preserve"> י"ל שבכלל נ</w:t>
      </w:r>
      <w:r>
        <w:rPr>
          <w:rFonts w:cs="Arial" w:hint="cs"/>
          <w:rtl/>
        </w:rPr>
        <w:t>"</w:t>
      </w:r>
      <w:r>
        <w:rPr>
          <w:rFonts w:cs="Arial"/>
          <w:rtl/>
        </w:rPr>
        <w:t>ח מיירי במס פרטי של אותה שנה</w:t>
      </w:r>
      <w:r>
        <w:rPr>
          <w:rFonts w:cs="Arial" w:hint="cs"/>
          <w:rtl/>
        </w:rPr>
        <w:t>,</w:t>
      </w:r>
      <w:r>
        <w:rPr>
          <w:rFonts w:cs="Arial"/>
          <w:rtl/>
        </w:rPr>
        <w:t xml:space="preserve"> ובכלל ששי מיירי להעיד על אדם אם הוא מפורעי המס במקום ההוא</w:t>
      </w:r>
      <w:r>
        <w:rPr>
          <w:rFonts w:cs="Arial" w:hint="cs"/>
          <w:rtl/>
        </w:rPr>
        <w:t>,</w:t>
      </w:r>
      <w:r>
        <w:rPr>
          <w:rFonts w:cs="Arial"/>
          <w:rtl/>
        </w:rPr>
        <w:t xml:space="preserve"> שהוא דבר שאין לו קצבה שמי יודע כמה שנים יחיה אותו פורע מס וכמה מס יהיה בכל שנה כדי שהעדים והדיינים יתנו לקהל הנוגע לחלקם ממסי האיש ההוא</w:t>
      </w:r>
      <w:r>
        <w:rPr>
          <w:rFonts w:cs="Arial" w:hint="cs"/>
          <w:rtl/>
        </w:rPr>
        <w:t>,</w:t>
      </w:r>
      <w:r>
        <w:rPr>
          <w:rFonts w:cs="Arial"/>
          <w:rtl/>
        </w:rPr>
        <w:t xml:space="preserve"> הילכך אי אפשר להסתלק</w:t>
      </w:r>
      <w:r>
        <w:rPr>
          <w:rFonts w:cs="Arial" w:hint="cs"/>
          <w:rtl/>
        </w:rPr>
        <w:t>.</w:t>
      </w:r>
      <w:r>
        <w:rPr>
          <w:rFonts w:cs="Arial"/>
          <w:rtl/>
        </w:rPr>
        <w:t xml:space="preserve"> ורבינו סתם הדברים וקיצר במקום שהיה לו להאריך</w:t>
      </w:r>
      <w:r>
        <w:rPr>
          <w:rFonts w:hint="cs"/>
          <w:rtl/>
        </w:rPr>
        <w:t>.</w:t>
      </w:r>
    </w:p>
  </w:footnote>
  <w:footnote w:id="408">
    <w:p w14:paraId="5BDDE5F4" w14:textId="77777777" w:rsidR="0013116F" w:rsidRDefault="0013116F" w:rsidP="004A326E">
      <w:pPr>
        <w:pStyle w:val="a9"/>
        <w:rPr>
          <w:rtl/>
        </w:rPr>
      </w:pPr>
      <w:r>
        <w:rPr>
          <w:rStyle w:val="ab"/>
        </w:rPr>
        <w:footnoteRef/>
      </w:r>
      <w:r>
        <w:rPr>
          <w:rtl/>
        </w:rPr>
        <w:t xml:space="preserve"> </w:t>
      </w:r>
      <w:r>
        <w:rPr>
          <w:rFonts w:hint="cs"/>
          <w:rtl/>
        </w:rPr>
        <w:t xml:space="preserve">ופשוט הוא, </w:t>
      </w:r>
      <w:r w:rsidRPr="00985F33">
        <w:rPr>
          <w:rFonts w:cs="Arial"/>
          <w:rtl/>
        </w:rPr>
        <w:t xml:space="preserve">ונראה דדוקא שיש להם חלוקים וטענות עמו אבל אם ברור להם הדבר שאחד מחזיק בשלהם עבדי דינא לנפשייהו </w:t>
      </w:r>
      <w:r w:rsidRPr="00985F33">
        <w:rPr>
          <w:rFonts w:cs="Arial" w:hint="cs"/>
          <w:sz w:val="16"/>
          <w:szCs w:val="16"/>
          <w:rtl/>
        </w:rPr>
        <w:t>(</w:t>
      </w:r>
      <w:r w:rsidRPr="00985F33">
        <w:rPr>
          <w:rFonts w:cs="Arial"/>
          <w:sz w:val="16"/>
          <w:szCs w:val="16"/>
          <w:rtl/>
        </w:rPr>
        <w:t>כמו שנתבאר לעיל סי</w:t>
      </w:r>
      <w:r>
        <w:rPr>
          <w:rFonts w:cs="Arial" w:hint="cs"/>
          <w:sz w:val="16"/>
          <w:szCs w:val="16"/>
          <w:rtl/>
        </w:rPr>
        <w:t>'</w:t>
      </w:r>
      <w:r w:rsidRPr="00985F33">
        <w:rPr>
          <w:rFonts w:cs="Arial"/>
          <w:sz w:val="16"/>
          <w:szCs w:val="16"/>
          <w:rtl/>
        </w:rPr>
        <w:t xml:space="preserve"> ד אות ג</w:t>
      </w:r>
      <w:r>
        <w:rPr>
          <w:rFonts w:cs="Arial" w:hint="cs"/>
          <w:sz w:val="16"/>
          <w:szCs w:val="16"/>
          <w:rtl/>
        </w:rPr>
        <w:t xml:space="preserve"> בדרכ"מ</w:t>
      </w:r>
      <w:r w:rsidRPr="00985F33">
        <w:rPr>
          <w:rFonts w:cs="Arial"/>
          <w:sz w:val="16"/>
          <w:szCs w:val="16"/>
          <w:rtl/>
        </w:rPr>
        <w:t>)</w:t>
      </w:r>
      <w:r>
        <w:rPr>
          <w:rFonts w:cs="Arial" w:hint="cs"/>
          <w:rtl/>
        </w:rPr>
        <w:t>, דרכ"מ.</w:t>
      </w:r>
    </w:p>
  </w:footnote>
  <w:footnote w:id="409">
    <w:p w14:paraId="6ACBA332" w14:textId="77777777" w:rsidR="0013116F" w:rsidRPr="00367DA1" w:rsidRDefault="0013116F" w:rsidP="004A326E">
      <w:pPr>
        <w:pStyle w:val="a9"/>
        <w:rPr>
          <w:color w:val="000000" w:themeColor="text1"/>
        </w:rPr>
      </w:pPr>
      <w:r w:rsidRPr="00367DA1">
        <w:rPr>
          <w:rStyle w:val="ab"/>
          <w:color w:val="000000" w:themeColor="text1"/>
        </w:rPr>
        <w:footnoteRef/>
      </w:r>
      <w:r w:rsidRPr="00367DA1">
        <w:rPr>
          <w:color w:val="000000" w:themeColor="text1"/>
          <w:rtl/>
        </w:rPr>
        <w:t xml:space="preserve"> </w:t>
      </w:r>
      <w:r>
        <w:rPr>
          <w:rFonts w:hint="cs"/>
          <w:color w:val="000000" w:themeColor="text1"/>
          <w:rtl/>
        </w:rPr>
        <w:t>הב"י שלח לעיין בסוף סימן לז</w:t>
      </w:r>
      <w:r>
        <w:rPr>
          <w:rFonts w:cs="Arial" w:hint="cs"/>
          <w:color w:val="000000" w:themeColor="text1"/>
          <w:rtl/>
        </w:rPr>
        <w:t xml:space="preserve"> (סע' יב). ושם השו"ע הביא דברי הרא"ש והרשב"א לגבי </w:t>
      </w:r>
      <w:r w:rsidRPr="00367DA1">
        <w:rPr>
          <w:rFonts w:cs="Arial" w:hint="cs"/>
          <w:b/>
          <w:bCs/>
          <w:color w:val="000000" w:themeColor="text1"/>
          <w:rtl/>
        </w:rPr>
        <w:t>עדות</w:t>
      </w:r>
      <w:r>
        <w:rPr>
          <w:rFonts w:cs="Arial" w:hint="cs"/>
          <w:color w:val="000000" w:themeColor="text1"/>
          <w:rtl/>
        </w:rPr>
        <w:t xml:space="preserve"> של אנשי אותה העיר</w:t>
      </w:r>
      <w:r w:rsidRPr="00367DA1">
        <w:rPr>
          <w:rFonts w:cs="Arial" w:hint="cs"/>
          <w:color w:val="000000" w:themeColor="text1"/>
          <w:rtl/>
        </w:rPr>
        <w:t>.</w:t>
      </w:r>
    </w:p>
  </w:footnote>
  <w:footnote w:id="410">
    <w:p w14:paraId="2140A209" w14:textId="77777777" w:rsidR="0013116F" w:rsidRDefault="0013116F" w:rsidP="004A326E">
      <w:pPr>
        <w:pStyle w:val="a9"/>
      </w:pPr>
      <w:r>
        <w:rPr>
          <w:rStyle w:val="ab"/>
        </w:rPr>
        <w:footnoteRef/>
      </w:r>
      <w:r>
        <w:rPr>
          <w:rtl/>
        </w:rPr>
        <w:t xml:space="preserve"> </w:t>
      </w:r>
      <w:r w:rsidRPr="00276078">
        <w:rPr>
          <w:rFonts w:cs="Arial"/>
          <w:rtl/>
        </w:rPr>
        <w:t>פירוש, ואז אפילו לדיינים בעצמם מותר לקרות מאותו ס"ת שדנין עליה, דלא מחשב להן הנאה כיון דאם רצו היו קורין מהאחר, והיינו דוקא כשהס"ת האחרת היא באותה בית הכנסת שהדיינין מתפללין וקורין בה, הא אם היא בבית הכנסת אחרת, צריכין סילוק שלא יקראו מהס"ת כלל כ"א מהאחרת. וכן הדין כשדנין על בית הכנסת ויש בית הכנסת אחרת בעיר, אין דנין עליה אלא כשמסלקים נפשם מללכת בזו שהן דנין עליה, וכ"כ רבינו ירוחם [מישרים נ"א ח"ב], ועיין בדרישה [סעיף י"ז] ובד"מ שהביאו, ולא כמו שכתב בעיר שושן [סעיף י"ב] שמדמה שני בתי כנסיות בעיר לשני ספרי תורה בבית הכנסת אחד, ע"ש</w:t>
      </w:r>
      <w:r>
        <w:rPr>
          <w:rFonts w:cs="Arial" w:hint="cs"/>
          <w:rtl/>
        </w:rPr>
        <w:t>, סמ"ע (סקכ"ח).</w:t>
      </w:r>
    </w:p>
  </w:footnote>
  <w:footnote w:id="411">
    <w:p w14:paraId="47950A43" w14:textId="77777777" w:rsidR="0013116F" w:rsidRDefault="0013116F">
      <w:pPr>
        <w:pStyle w:val="a9"/>
      </w:pPr>
      <w:r>
        <w:rPr>
          <w:rStyle w:val="ab"/>
        </w:rPr>
        <w:footnoteRef/>
      </w:r>
      <w:r>
        <w:rPr>
          <w:rtl/>
        </w:rPr>
        <w:t xml:space="preserve"> </w:t>
      </w:r>
      <w:r>
        <w:rPr>
          <w:rFonts w:hint="cs"/>
          <w:rtl/>
        </w:rPr>
        <w:t xml:space="preserve">סימן </w:t>
      </w:r>
      <w:r>
        <w:rPr>
          <w:rtl/>
        </w:rPr>
        <w:t>–</w:t>
      </w:r>
      <w:r>
        <w:rPr>
          <w:rFonts w:hint="cs"/>
          <w:rtl/>
        </w:rPr>
        <w:t xml:space="preserve"> זקן זוועה </w:t>
      </w:r>
      <w:r w:rsidRPr="00851097">
        <w:rPr>
          <w:rFonts w:hint="cs"/>
          <w:sz w:val="16"/>
          <w:szCs w:val="16"/>
          <w:rtl/>
        </w:rPr>
        <w:t>(זבל/זונה/זול/זפתן/זעוף</w:t>
      </w:r>
      <w:r>
        <w:rPr>
          <w:rFonts w:hint="cs"/>
          <w:sz w:val="16"/>
          <w:szCs w:val="16"/>
          <w:rtl/>
        </w:rPr>
        <w:t>)</w:t>
      </w:r>
      <w:r>
        <w:rPr>
          <w:rFonts w:hint="cs"/>
          <w:rtl/>
        </w:rPr>
        <w:t>.</w:t>
      </w:r>
      <w:r w:rsidRPr="00090DAC">
        <w:rPr>
          <w:rFonts w:hint="cs"/>
          <w:rtl/>
        </w:rPr>
        <w:t xml:space="preserve"> </w:t>
      </w:r>
      <w:r>
        <w:rPr>
          <w:rFonts w:hint="cs"/>
          <w:rtl/>
        </w:rPr>
        <w:t xml:space="preserve">וכן </w:t>
      </w:r>
      <w:r>
        <w:rPr>
          <w:rFonts w:asciiTheme="minorBidi" w:hAnsiTheme="minorBidi" w:cs="Arial" w:hint="cs"/>
          <w:color w:val="000000"/>
          <w:rtl/>
        </w:rPr>
        <w:t xml:space="preserve">איתא </w:t>
      </w:r>
      <w:r w:rsidRPr="0067033B">
        <w:rPr>
          <w:rFonts w:asciiTheme="minorBidi" w:hAnsiTheme="minorBidi" w:cs="Arial"/>
          <w:color w:val="000000"/>
          <w:rtl/>
        </w:rPr>
        <w:t>ב</w:t>
      </w:r>
      <w:r>
        <w:rPr>
          <w:rFonts w:asciiTheme="minorBidi" w:hAnsiTheme="minorBidi" w:cs="Arial" w:hint="cs"/>
          <w:color w:val="000000"/>
          <w:rtl/>
        </w:rPr>
        <w:t xml:space="preserve">מסכת </w:t>
      </w:r>
      <w:r w:rsidRPr="0067033B">
        <w:rPr>
          <w:rFonts w:asciiTheme="minorBidi" w:hAnsiTheme="minorBidi" w:cs="Arial"/>
          <w:color w:val="000000"/>
          <w:rtl/>
        </w:rPr>
        <w:t>ע</w:t>
      </w:r>
      <w:r>
        <w:rPr>
          <w:rFonts w:asciiTheme="minorBidi" w:hAnsiTheme="minorBidi" w:cs="Arial" w:hint="cs"/>
          <w:color w:val="000000"/>
          <w:rtl/>
        </w:rPr>
        <w:t>"ז</w:t>
      </w:r>
      <w:r w:rsidRPr="0067033B">
        <w:rPr>
          <w:rFonts w:asciiTheme="minorBidi" w:hAnsiTheme="minorBidi" w:cs="Arial"/>
          <w:color w:val="000000"/>
          <w:rtl/>
        </w:rPr>
        <w:t xml:space="preserve"> פרק רבי ישמעאל (נב.</w:t>
      </w:r>
      <w:r>
        <w:rPr>
          <w:rFonts w:asciiTheme="minorBidi" w:hAnsiTheme="minorBidi" w:cs="Arial" w:hint="cs"/>
          <w:color w:val="000000"/>
          <w:rtl/>
        </w:rPr>
        <w:t xml:space="preserve">) וסימן לשם </w:t>
      </w:r>
      <w:r>
        <w:rPr>
          <w:rFonts w:asciiTheme="minorBidi" w:hAnsiTheme="minorBidi" w:cs="Arial"/>
          <w:color w:val="000000"/>
          <w:rtl/>
        </w:rPr>
        <w:t>–</w:t>
      </w:r>
      <w:r>
        <w:rPr>
          <w:rFonts w:asciiTheme="minorBidi" w:hAnsiTheme="minorBidi" w:cs="Arial" w:hint="cs"/>
          <w:color w:val="000000"/>
          <w:rtl/>
        </w:rPr>
        <w:t xml:space="preserve"> נביא בזוי.</w:t>
      </w:r>
    </w:p>
  </w:footnote>
  <w:footnote w:id="412">
    <w:p w14:paraId="3BB781C2" w14:textId="77777777" w:rsidR="0013116F" w:rsidRDefault="0013116F" w:rsidP="00FD2060">
      <w:pPr>
        <w:pStyle w:val="a9"/>
        <w:rPr>
          <w:rtl/>
        </w:rPr>
      </w:pPr>
      <w:r>
        <w:rPr>
          <w:rStyle w:val="ab"/>
        </w:rPr>
        <w:footnoteRef/>
      </w:r>
      <w:r>
        <w:rPr>
          <w:rtl/>
        </w:rPr>
        <w:t xml:space="preserve"> </w:t>
      </w:r>
      <w:r>
        <w:rPr>
          <w:rFonts w:asciiTheme="minorBidi" w:hAnsiTheme="minorBidi" w:cs="Arial" w:hint="cs"/>
          <w:color w:val="000000"/>
          <w:rtl/>
        </w:rPr>
        <w:t xml:space="preserve">וכ' הב"י- </w:t>
      </w:r>
      <w:r w:rsidRPr="0067033B">
        <w:rPr>
          <w:rFonts w:asciiTheme="minorBidi" w:hAnsiTheme="minorBidi" w:cs="Arial"/>
          <w:color w:val="000000"/>
          <w:rtl/>
        </w:rPr>
        <w:t>ויש לתמוה על הרמב"ם אמאי כתב כאלו הקים מצבה שנאמר ולא תקים לך מצבה ותלמודא לא מייתי אלא מלא תטע לך אשרה. ומהר"י קולון בסי</w:t>
      </w:r>
      <w:r>
        <w:rPr>
          <w:rFonts w:asciiTheme="minorBidi" w:hAnsiTheme="minorBidi" w:cs="Arial" w:hint="cs"/>
          <w:color w:val="000000"/>
          <w:rtl/>
        </w:rPr>
        <w:t>'</w:t>
      </w:r>
      <w:r w:rsidRPr="0067033B">
        <w:rPr>
          <w:rFonts w:asciiTheme="minorBidi" w:hAnsiTheme="minorBidi" w:cs="Arial"/>
          <w:color w:val="000000"/>
          <w:rtl/>
        </w:rPr>
        <w:t xml:space="preserve"> ק</w:t>
      </w:r>
      <w:r>
        <w:rPr>
          <w:rFonts w:asciiTheme="minorBidi" w:hAnsiTheme="minorBidi" w:cs="Arial" w:hint="cs"/>
          <w:color w:val="000000"/>
          <w:rtl/>
        </w:rPr>
        <w:t>י</w:t>
      </w:r>
      <w:r w:rsidRPr="0067033B">
        <w:rPr>
          <w:rFonts w:asciiTheme="minorBidi" w:hAnsiTheme="minorBidi" w:cs="Arial"/>
          <w:color w:val="000000"/>
          <w:rtl/>
        </w:rPr>
        <w:t>ז (ענף א) נתן טעם לדבר ואין דבריו נוחין לי</w:t>
      </w:r>
      <w:r>
        <w:rPr>
          <w:rFonts w:asciiTheme="minorBidi" w:hAnsiTheme="minorBidi" w:cs="Arial" w:hint="cs"/>
          <w:color w:val="000000"/>
          <w:rtl/>
        </w:rPr>
        <w:t>. עכ"ל.</w:t>
      </w:r>
      <w:r w:rsidRPr="0023341E">
        <w:rPr>
          <w:rFonts w:cs="Arial"/>
          <w:rtl/>
        </w:rPr>
        <w:t xml:space="preserve"> </w:t>
      </w:r>
      <w:r>
        <w:rPr>
          <w:rFonts w:cs="Arial" w:hint="cs"/>
          <w:rtl/>
        </w:rPr>
        <w:t xml:space="preserve">וכ' הדרכ"מ </w:t>
      </w:r>
      <w:r w:rsidRPr="0023341E">
        <w:rPr>
          <w:rFonts w:cs="Arial"/>
          <w:rtl/>
        </w:rPr>
        <w:t>(</w:t>
      </w:r>
      <w:r>
        <w:rPr>
          <w:rFonts w:cs="Arial" w:hint="cs"/>
          <w:rtl/>
        </w:rPr>
        <w:t xml:space="preserve">אות </w:t>
      </w:r>
      <w:r w:rsidRPr="0023341E">
        <w:rPr>
          <w:rFonts w:cs="Arial"/>
          <w:rtl/>
        </w:rPr>
        <w:t>ב)</w:t>
      </w:r>
      <w:r>
        <w:rPr>
          <w:rFonts w:cs="Arial" w:hint="cs"/>
          <w:rtl/>
        </w:rPr>
        <w:t>-</w:t>
      </w:r>
      <w:r w:rsidRPr="0023341E">
        <w:rPr>
          <w:rFonts w:cs="Arial"/>
          <w:rtl/>
        </w:rPr>
        <w:t xml:space="preserve"> ולי נראה בודאי שגרסת הרמב"ם היתה בספרים כמו שכת</w:t>
      </w:r>
      <w:r>
        <w:rPr>
          <w:rFonts w:cs="Arial" w:hint="cs"/>
          <w:rtl/>
        </w:rPr>
        <w:t>ב.</w:t>
      </w:r>
    </w:p>
  </w:footnote>
  <w:footnote w:id="413">
    <w:p w14:paraId="09F9CC04" w14:textId="77777777" w:rsidR="0013116F" w:rsidRDefault="0013116F">
      <w:pPr>
        <w:pStyle w:val="a9"/>
        <w:rPr>
          <w:rtl/>
        </w:rPr>
      </w:pPr>
      <w:r>
        <w:rPr>
          <w:rStyle w:val="ab"/>
        </w:rPr>
        <w:footnoteRef/>
      </w:r>
      <w:r>
        <w:rPr>
          <w:rtl/>
        </w:rPr>
        <w:t xml:space="preserve"> </w:t>
      </w:r>
      <w:r>
        <w:rPr>
          <w:rFonts w:hint="cs"/>
          <w:rtl/>
        </w:rPr>
        <w:t xml:space="preserve">וכ"כ </w:t>
      </w:r>
      <w:r w:rsidRPr="0067033B">
        <w:rPr>
          <w:rFonts w:asciiTheme="minorBidi" w:hAnsiTheme="minorBidi" w:cs="Arial"/>
          <w:color w:val="000000"/>
          <w:rtl/>
        </w:rPr>
        <w:t>בתשו</w:t>
      </w:r>
      <w:r>
        <w:rPr>
          <w:rFonts w:asciiTheme="minorBidi" w:hAnsiTheme="minorBidi" w:cs="Arial" w:hint="cs"/>
          <w:color w:val="000000"/>
          <w:rtl/>
        </w:rPr>
        <w:t>'</w:t>
      </w:r>
      <w:r w:rsidRPr="0067033B">
        <w:rPr>
          <w:rFonts w:asciiTheme="minorBidi" w:hAnsiTheme="minorBidi" w:cs="Arial"/>
          <w:color w:val="000000"/>
          <w:rtl/>
        </w:rPr>
        <w:t xml:space="preserve"> אחרת</w:t>
      </w:r>
      <w:r w:rsidRPr="00882FFE">
        <w:rPr>
          <w:rFonts w:asciiTheme="minorBidi" w:hAnsiTheme="minorBidi" w:cs="Arial"/>
          <w:color w:val="000000"/>
          <w:sz w:val="16"/>
          <w:szCs w:val="16"/>
          <w:rtl/>
        </w:rPr>
        <w:t xml:space="preserve"> (ח"א סי' תשכט, ח"ג סי' תלח)</w:t>
      </w:r>
      <w:r w:rsidRPr="0067033B">
        <w:rPr>
          <w:rFonts w:asciiTheme="minorBidi" w:hAnsiTheme="minorBidi" w:cs="Arial"/>
          <w:color w:val="000000"/>
          <w:rtl/>
        </w:rPr>
        <w:t xml:space="preserve"> </w:t>
      </w:r>
      <w:r>
        <w:rPr>
          <w:rFonts w:asciiTheme="minorBidi" w:hAnsiTheme="minorBidi" w:cs="Arial" w:hint="cs"/>
          <w:color w:val="000000"/>
          <w:rtl/>
        </w:rPr>
        <w:t>ש</w:t>
      </w:r>
      <w:r w:rsidRPr="0067033B">
        <w:rPr>
          <w:rFonts w:asciiTheme="minorBidi" w:hAnsiTheme="minorBidi" w:cs="Arial"/>
          <w:color w:val="000000"/>
          <w:rtl/>
        </w:rPr>
        <w:t>הצבור יכולים למנות עליהם ב</w:t>
      </w:r>
      <w:r>
        <w:rPr>
          <w:rFonts w:asciiTheme="minorBidi" w:hAnsiTheme="minorBidi" w:cs="Arial" w:hint="cs"/>
          <w:color w:val="000000"/>
          <w:rtl/>
        </w:rPr>
        <w:t>"</w:t>
      </w:r>
      <w:r w:rsidRPr="0067033B">
        <w:rPr>
          <w:rFonts w:asciiTheme="minorBidi" w:hAnsiTheme="minorBidi" w:cs="Arial"/>
          <w:color w:val="000000"/>
          <w:rtl/>
        </w:rPr>
        <w:t>ד אע</w:t>
      </w:r>
      <w:r>
        <w:rPr>
          <w:rFonts w:asciiTheme="minorBidi" w:hAnsiTheme="minorBidi" w:cs="Arial" w:hint="cs"/>
          <w:color w:val="000000"/>
          <w:rtl/>
        </w:rPr>
        <w:t>"</w:t>
      </w:r>
      <w:r w:rsidRPr="0067033B">
        <w:rPr>
          <w:rFonts w:asciiTheme="minorBidi" w:hAnsiTheme="minorBidi" w:cs="Arial"/>
          <w:color w:val="000000"/>
          <w:rtl/>
        </w:rPr>
        <w:t>פ שאינו ראוי מדין תורה כערכאות שבסוריא</w:t>
      </w:r>
      <w:r>
        <w:rPr>
          <w:rFonts w:hint="cs"/>
          <w:rtl/>
        </w:rPr>
        <w:t>.</w:t>
      </w:r>
    </w:p>
  </w:footnote>
  <w:footnote w:id="414">
    <w:p w14:paraId="4F147571" w14:textId="77777777" w:rsidR="0013116F" w:rsidRDefault="0013116F">
      <w:pPr>
        <w:pStyle w:val="a9"/>
        <w:rPr>
          <w:rtl/>
        </w:rPr>
      </w:pPr>
      <w:r>
        <w:rPr>
          <w:rStyle w:val="ab"/>
        </w:rPr>
        <w:footnoteRef/>
      </w:r>
      <w:r>
        <w:rPr>
          <w:rtl/>
        </w:rPr>
        <w:t xml:space="preserve"> </w:t>
      </w:r>
      <w:r>
        <w:rPr>
          <w:rFonts w:hint="cs"/>
          <w:rtl/>
        </w:rPr>
        <w:t xml:space="preserve">סימן </w:t>
      </w:r>
      <w:r>
        <w:rPr>
          <w:rtl/>
        </w:rPr>
        <w:t>–</w:t>
      </w:r>
      <w:r>
        <w:rPr>
          <w:rFonts w:hint="cs"/>
          <w:rtl/>
        </w:rPr>
        <w:t xml:space="preserve"> קדוש לימד טמא/טיפש. </w:t>
      </w:r>
    </w:p>
  </w:footnote>
  <w:footnote w:id="415">
    <w:p w14:paraId="5EEA4E89" w14:textId="77777777" w:rsidR="0013116F" w:rsidRDefault="0013116F">
      <w:pPr>
        <w:pStyle w:val="a9"/>
        <w:rPr>
          <w:rtl/>
        </w:rPr>
      </w:pPr>
      <w:r>
        <w:rPr>
          <w:rStyle w:val="ab"/>
        </w:rPr>
        <w:footnoteRef/>
      </w:r>
      <w:r>
        <w:rPr>
          <w:rtl/>
        </w:rPr>
        <w:t xml:space="preserve"> </w:t>
      </w:r>
      <w:r w:rsidRPr="00D96C6E">
        <w:rPr>
          <w:rFonts w:cs="Arial"/>
          <w:rtl/>
        </w:rPr>
        <w:t>עיין פרישה [סע</w:t>
      </w:r>
      <w:r>
        <w:rPr>
          <w:rFonts w:cs="Arial" w:hint="cs"/>
          <w:rtl/>
        </w:rPr>
        <w:t>'</w:t>
      </w:r>
      <w:r w:rsidRPr="00D96C6E">
        <w:rPr>
          <w:rFonts w:cs="Arial"/>
          <w:rtl/>
        </w:rPr>
        <w:t xml:space="preserve"> א] שכתבתי דנראה מוכח שהאי וי"ו "ואינו" חכם היא וי"ו החולקת, ותרתי קאמר הן שמעמיד דיין שאינו הגון במעשים אף שהוא ת"ח, או שאינו ת"ח אף שהוא הגון במעשים, וכמו שמסיק וכתב אפילו כולו מחמדים, ע"ש</w:t>
      </w:r>
      <w:r>
        <w:rPr>
          <w:rFonts w:hint="cs"/>
          <w:rtl/>
        </w:rPr>
        <w:t>, סמ"ע (סק"א).</w:t>
      </w:r>
    </w:p>
  </w:footnote>
  <w:footnote w:id="416">
    <w:p w14:paraId="5DD3B97B" w14:textId="77777777" w:rsidR="0013116F" w:rsidRDefault="0013116F">
      <w:pPr>
        <w:pStyle w:val="a9"/>
      </w:pPr>
      <w:r>
        <w:rPr>
          <w:rStyle w:val="ab"/>
        </w:rPr>
        <w:footnoteRef/>
      </w:r>
      <w:r>
        <w:rPr>
          <w:rtl/>
        </w:rPr>
        <w:t xml:space="preserve"> </w:t>
      </w:r>
      <w:r>
        <w:rPr>
          <w:rFonts w:hint="cs"/>
          <w:rtl/>
        </w:rPr>
        <w:t>ממהדורת הסמ"ע, וכ' הסמ"ע (סק"ד) שכן צריך לגרוס, וזה שכתב הרמ"א - "וכיון שקיבלום".</w:t>
      </w:r>
    </w:p>
  </w:footnote>
  <w:footnote w:id="417">
    <w:p w14:paraId="1E7F8A1D" w14:textId="77777777" w:rsidR="0013116F" w:rsidRDefault="0013116F">
      <w:pPr>
        <w:pStyle w:val="a9"/>
      </w:pPr>
      <w:r>
        <w:rPr>
          <w:rStyle w:val="ab"/>
        </w:rPr>
        <w:footnoteRef/>
      </w:r>
      <w:r>
        <w:rPr>
          <w:rtl/>
        </w:rPr>
        <w:t xml:space="preserve"> </w:t>
      </w:r>
      <w:r w:rsidRPr="004F2BF6">
        <w:rPr>
          <w:rFonts w:cs="Arial"/>
          <w:rtl/>
        </w:rPr>
        <w:t>שהכתוב קראן אלהי כסף ואלהי זהב, כמ"ש [שמות כ כ] אלהי כסף ואלהי זהב לא תעשו לכם, ודרשינן [סנהדרין ז</w:t>
      </w:r>
      <w:r>
        <w:rPr>
          <w:rFonts w:cs="Arial" w:hint="cs"/>
          <w:rtl/>
        </w:rPr>
        <w:t>:</w:t>
      </w:r>
      <w:r w:rsidRPr="004F2BF6">
        <w:rPr>
          <w:rFonts w:cs="Arial"/>
          <w:rtl/>
        </w:rPr>
        <w:t>] אלהים הנעשה בשביל כסף, ודומיא דע"ז דמצוה לזלזל בהו [ירושלמי ביכורים פ"ג ה"ג]</w:t>
      </w:r>
      <w:r>
        <w:rPr>
          <w:rFonts w:cs="Arial" w:hint="cs"/>
          <w:rtl/>
        </w:rPr>
        <w:t>, סמ"ע (סק"ה).</w:t>
      </w:r>
    </w:p>
  </w:footnote>
  <w:footnote w:id="418">
    <w:p w14:paraId="1DE239A1" w14:textId="77777777" w:rsidR="0013116F" w:rsidRPr="007025DF" w:rsidRDefault="0013116F" w:rsidP="007025DF">
      <w:pPr>
        <w:pStyle w:val="a9"/>
        <w:rPr>
          <w:sz w:val="14"/>
          <w:szCs w:val="14"/>
          <w:rtl/>
        </w:rPr>
      </w:pPr>
      <w:r>
        <w:rPr>
          <w:rStyle w:val="ab"/>
        </w:rPr>
        <w:footnoteRef/>
      </w:r>
      <w:r>
        <w:rPr>
          <w:rtl/>
        </w:rPr>
        <w:t xml:space="preserve"> </w:t>
      </w:r>
      <w:r>
        <w:rPr>
          <w:rFonts w:hint="cs"/>
          <w:rtl/>
        </w:rPr>
        <w:t xml:space="preserve">סימן </w:t>
      </w:r>
      <w:r w:rsidRPr="007025DF">
        <w:rPr>
          <w:rFonts w:hint="cs"/>
          <w:sz w:val="16"/>
          <w:szCs w:val="16"/>
          <w:rtl/>
        </w:rPr>
        <w:t>(לכל העניי</w:t>
      </w:r>
      <w:r>
        <w:rPr>
          <w:rFonts w:hint="cs"/>
          <w:sz w:val="16"/>
          <w:szCs w:val="16"/>
          <w:rtl/>
        </w:rPr>
        <w:t>ן</w:t>
      </w:r>
      <w:r w:rsidRPr="007025DF">
        <w:rPr>
          <w:rFonts w:hint="cs"/>
          <w:sz w:val="16"/>
          <w:szCs w:val="16"/>
          <w:rtl/>
        </w:rPr>
        <w:t>, דפים ו-ז)</w:t>
      </w:r>
      <w:r>
        <w:rPr>
          <w:rFonts w:hint="cs"/>
          <w:rtl/>
        </w:rPr>
        <w:t xml:space="preserve"> </w:t>
      </w:r>
      <w:r>
        <w:rPr>
          <w:rtl/>
        </w:rPr>
        <w:t>–</w:t>
      </w:r>
      <w:r>
        <w:rPr>
          <w:rFonts w:hint="cs"/>
          <w:rtl/>
        </w:rPr>
        <w:t xml:space="preserve"> ועד זהיר.</w:t>
      </w:r>
    </w:p>
  </w:footnote>
  <w:footnote w:id="419">
    <w:p w14:paraId="0AC986B8" w14:textId="77777777" w:rsidR="0013116F" w:rsidRDefault="0013116F">
      <w:pPr>
        <w:pStyle w:val="a9"/>
      </w:pPr>
      <w:r>
        <w:rPr>
          <w:rStyle w:val="ab"/>
        </w:rPr>
        <w:footnoteRef/>
      </w:r>
      <w:r>
        <w:rPr>
          <w:rtl/>
        </w:rPr>
        <w:t xml:space="preserve"> </w:t>
      </w:r>
      <w:r w:rsidRPr="0067033B">
        <w:rPr>
          <w:rFonts w:asciiTheme="minorBidi" w:hAnsiTheme="minorBidi" w:cs="Arial"/>
          <w:color w:val="000000"/>
          <w:rtl/>
        </w:rPr>
        <w:t>שאם אטעה אענש</w:t>
      </w:r>
      <w:r>
        <w:rPr>
          <w:rFonts w:asciiTheme="minorBidi" w:hAnsiTheme="minorBidi" w:cs="Arial" w:hint="cs"/>
          <w:color w:val="000000"/>
          <w:rtl/>
        </w:rPr>
        <w:t>, רש"י.</w:t>
      </w:r>
    </w:p>
  </w:footnote>
  <w:footnote w:id="420">
    <w:p w14:paraId="70420148" w14:textId="77777777" w:rsidR="0013116F" w:rsidRDefault="0013116F">
      <w:pPr>
        <w:pStyle w:val="a9"/>
      </w:pPr>
      <w:r>
        <w:rPr>
          <w:rStyle w:val="ab"/>
        </w:rPr>
        <w:footnoteRef/>
      </w:r>
      <w:r>
        <w:rPr>
          <w:rtl/>
        </w:rPr>
        <w:t xml:space="preserve"> </w:t>
      </w:r>
      <w:r w:rsidRPr="0067033B">
        <w:rPr>
          <w:rFonts w:asciiTheme="minorBidi" w:hAnsiTheme="minorBidi" w:cs="Arial"/>
          <w:color w:val="000000"/>
          <w:rtl/>
        </w:rPr>
        <w:t>ביהושפט ועמכם בדבר המשפט לפי מה שעם לבבכם</w:t>
      </w:r>
      <w:r>
        <w:rPr>
          <w:rFonts w:asciiTheme="minorBidi" w:hAnsiTheme="minorBidi" w:cs="Arial" w:hint="cs"/>
          <w:color w:val="000000"/>
          <w:rtl/>
        </w:rPr>
        <w:t>,</w:t>
      </w:r>
      <w:r w:rsidRPr="0067033B">
        <w:rPr>
          <w:rFonts w:asciiTheme="minorBidi" w:hAnsiTheme="minorBidi" w:cs="Arial"/>
          <w:color w:val="000000"/>
          <w:rtl/>
        </w:rPr>
        <w:t xml:space="preserve"> שלבבכם נוטה בדבר</w:t>
      </w:r>
      <w:r>
        <w:rPr>
          <w:rFonts w:asciiTheme="minorBidi" w:hAnsiTheme="minorBidi" w:cs="Arial" w:hint="cs"/>
          <w:color w:val="000000"/>
          <w:rtl/>
        </w:rPr>
        <w:t>,</w:t>
      </w:r>
      <w:r w:rsidRPr="0067033B">
        <w:rPr>
          <w:rFonts w:asciiTheme="minorBidi" w:hAnsiTheme="minorBidi" w:cs="Arial"/>
          <w:color w:val="000000"/>
          <w:rtl/>
        </w:rPr>
        <w:t xml:space="preserve"> כלומר בטענותיהם עמכם במשפט לפי אותן דברים תשפטו ולא תענשו</w:t>
      </w:r>
      <w:r>
        <w:rPr>
          <w:rFonts w:hint="cs"/>
          <w:rtl/>
        </w:rPr>
        <w:t>, רש"י.</w:t>
      </w:r>
    </w:p>
  </w:footnote>
  <w:footnote w:id="421">
    <w:p w14:paraId="2F380917" w14:textId="77777777" w:rsidR="0013116F" w:rsidRDefault="0013116F">
      <w:pPr>
        <w:pStyle w:val="a9"/>
      </w:pPr>
      <w:r>
        <w:rPr>
          <w:rStyle w:val="ab"/>
        </w:rPr>
        <w:footnoteRef/>
      </w:r>
      <w:r>
        <w:rPr>
          <w:rtl/>
        </w:rPr>
        <w:t xml:space="preserve"> </w:t>
      </w:r>
      <w:r w:rsidRPr="0067033B">
        <w:rPr>
          <w:rFonts w:asciiTheme="minorBidi" w:hAnsiTheme="minorBidi" w:cs="Arial"/>
          <w:color w:val="000000"/>
          <w:rtl/>
        </w:rPr>
        <w:t>לירא ולמנוע עצמו מן הדין</w:t>
      </w:r>
      <w:r>
        <w:rPr>
          <w:rFonts w:asciiTheme="minorBidi" w:hAnsiTheme="minorBidi" w:cs="Arial" w:hint="cs"/>
          <w:color w:val="000000"/>
          <w:rtl/>
        </w:rPr>
        <w:t>, רש"י.</w:t>
      </w:r>
    </w:p>
  </w:footnote>
  <w:footnote w:id="422">
    <w:p w14:paraId="13C17A6B" w14:textId="77777777" w:rsidR="0013116F" w:rsidRDefault="0013116F">
      <w:pPr>
        <w:pStyle w:val="a9"/>
      </w:pPr>
      <w:r>
        <w:rPr>
          <w:rStyle w:val="ab"/>
        </w:rPr>
        <w:footnoteRef/>
      </w:r>
      <w:r>
        <w:rPr>
          <w:rtl/>
        </w:rPr>
        <w:t xml:space="preserve"> </w:t>
      </w:r>
      <w:r w:rsidRPr="0067033B">
        <w:rPr>
          <w:rFonts w:asciiTheme="minorBidi" w:hAnsiTheme="minorBidi" w:cs="Arial"/>
          <w:color w:val="000000"/>
          <w:rtl/>
        </w:rPr>
        <w:t>ידון ויתכוין עצמו להוציאו לצדקו ולאמתו ושוב לא יענש</w:t>
      </w:r>
      <w:r>
        <w:rPr>
          <w:rFonts w:asciiTheme="minorBidi" w:hAnsiTheme="minorBidi" w:cs="Arial" w:hint="cs"/>
          <w:color w:val="000000"/>
          <w:rtl/>
        </w:rPr>
        <w:t>, רש"י.</w:t>
      </w:r>
    </w:p>
  </w:footnote>
  <w:footnote w:id="423">
    <w:p w14:paraId="00822428" w14:textId="77777777" w:rsidR="0013116F" w:rsidRDefault="0013116F">
      <w:pPr>
        <w:pStyle w:val="a9"/>
      </w:pPr>
      <w:r>
        <w:rPr>
          <w:rStyle w:val="ab"/>
        </w:rPr>
        <w:footnoteRef/>
      </w:r>
      <w:r>
        <w:rPr>
          <w:rtl/>
        </w:rPr>
        <w:t xml:space="preserve"> </w:t>
      </w:r>
      <w:r>
        <w:rPr>
          <w:rFonts w:asciiTheme="minorBidi" w:hAnsiTheme="minorBidi" w:cs="Arial" w:hint="cs"/>
          <w:color w:val="000000"/>
          <w:rtl/>
        </w:rPr>
        <w:t xml:space="preserve">וכן </w:t>
      </w:r>
      <w:r w:rsidRPr="0067033B">
        <w:rPr>
          <w:rFonts w:asciiTheme="minorBidi" w:hAnsiTheme="minorBidi" w:cs="Arial"/>
          <w:color w:val="000000"/>
          <w:rtl/>
        </w:rPr>
        <w:t>ביבמות פרק בית שמאי (קט:)</w:t>
      </w:r>
      <w:r>
        <w:rPr>
          <w:rFonts w:asciiTheme="minorBidi" w:hAnsiTheme="minorBidi" w:cs="Arial" w:hint="cs"/>
          <w:color w:val="000000"/>
          <w:rtl/>
        </w:rPr>
        <w:t xml:space="preserve">. </w:t>
      </w:r>
      <w:r w:rsidRPr="0067033B">
        <w:rPr>
          <w:rFonts w:asciiTheme="minorBidi" w:hAnsiTheme="minorBidi" w:cs="Arial"/>
          <w:color w:val="000000"/>
          <w:rtl/>
        </w:rPr>
        <w:t>ורבינו כתב על צוארו וכך היא גירסת הרמב"ם בפכ"ג מהלכות סנהדרין (ה"ח)</w:t>
      </w:r>
      <w:r>
        <w:rPr>
          <w:rFonts w:asciiTheme="minorBidi" w:hAnsiTheme="minorBidi" w:cs="Arial" w:hint="cs"/>
          <w:color w:val="000000"/>
          <w:rtl/>
        </w:rPr>
        <w:t>, ב"י.</w:t>
      </w:r>
    </w:p>
  </w:footnote>
  <w:footnote w:id="424">
    <w:p w14:paraId="1BB1B85F" w14:textId="77777777" w:rsidR="0013116F" w:rsidRDefault="0013116F" w:rsidP="00173BB9">
      <w:pPr>
        <w:pStyle w:val="a9"/>
      </w:pPr>
      <w:r>
        <w:rPr>
          <w:rStyle w:val="ab"/>
        </w:rPr>
        <w:footnoteRef/>
      </w:r>
      <w:r>
        <w:rPr>
          <w:rtl/>
        </w:rPr>
        <w:t xml:space="preserve"> </w:t>
      </w:r>
      <w:r>
        <w:rPr>
          <w:rFonts w:hint="cs"/>
          <w:rtl/>
        </w:rPr>
        <w:t xml:space="preserve">סימן </w:t>
      </w:r>
      <w:r>
        <w:rPr>
          <w:rtl/>
        </w:rPr>
        <w:t>–</w:t>
      </w:r>
      <w:r>
        <w:rPr>
          <w:rFonts w:hint="cs"/>
          <w:rtl/>
        </w:rPr>
        <w:t xml:space="preserve"> </w:t>
      </w:r>
      <w:r w:rsidRPr="00173BB9">
        <w:rPr>
          <w:rtl/>
        </w:rPr>
        <w:t>יכנסו יקירין לישיבה</w:t>
      </w:r>
      <w:r>
        <w:rPr>
          <w:rFonts w:hint="cs"/>
          <w:rtl/>
        </w:rPr>
        <w:t>.</w:t>
      </w:r>
    </w:p>
  </w:footnote>
  <w:footnote w:id="425">
    <w:p w14:paraId="0BFAE3F1" w14:textId="77777777" w:rsidR="0013116F" w:rsidRDefault="0013116F" w:rsidP="00B26450">
      <w:pPr>
        <w:pStyle w:val="a9"/>
        <w:rPr>
          <w:rtl/>
        </w:rPr>
      </w:pPr>
      <w:r>
        <w:rPr>
          <w:rStyle w:val="ab"/>
        </w:rPr>
        <w:footnoteRef/>
      </w:r>
      <w:r>
        <w:rPr>
          <w:rtl/>
        </w:rPr>
        <w:t xml:space="preserve"> </w:t>
      </w:r>
      <w:r w:rsidRPr="005B22D5">
        <w:rPr>
          <w:rFonts w:cs="Arial"/>
          <w:rtl/>
        </w:rPr>
        <w:t>כשפותחין בדין, מאימת שכינה, ושלא יפנו ראשן לכאן ולכאן ותהא דעתן מיושבת עליהם</w:t>
      </w:r>
      <w:r>
        <w:rPr>
          <w:rFonts w:cs="Arial" w:hint="cs"/>
          <w:rtl/>
        </w:rPr>
        <w:t>, רש"י</w:t>
      </w:r>
      <w:r w:rsidRPr="005B22D5">
        <w:rPr>
          <w:rFonts w:cs="Arial"/>
          <w:rtl/>
        </w:rPr>
        <w:t>.</w:t>
      </w:r>
    </w:p>
  </w:footnote>
  <w:footnote w:id="426">
    <w:p w14:paraId="330741D9" w14:textId="77777777" w:rsidR="0013116F" w:rsidRDefault="0013116F" w:rsidP="00B26450">
      <w:pPr>
        <w:pStyle w:val="a9"/>
        <w:rPr>
          <w:rtl/>
        </w:rPr>
      </w:pPr>
      <w:r>
        <w:rPr>
          <w:rStyle w:val="ab"/>
        </w:rPr>
        <w:footnoteRef/>
      </w:r>
      <w:r>
        <w:rPr>
          <w:rtl/>
        </w:rPr>
        <w:t xml:space="preserve"> </w:t>
      </w:r>
      <w:r w:rsidRPr="005B22D5">
        <w:rPr>
          <w:rFonts w:cs="Arial"/>
          <w:rtl/>
        </w:rPr>
        <w:t>בדין אחר, וכבר מעוטפים הן, וכשנגמר אותו דין בא לפניהם דין אחר סמוך למנחה, הויא התחלתן משיפתחו בעלי הדין בטענות, דהכא ליכא למימר משיתעטפו</w:t>
      </w:r>
      <w:r>
        <w:rPr>
          <w:rFonts w:cs="Arial" w:hint="cs"/>
          <w:rtl/>
        </w:rPr>
        <w:t>, רש"י</w:t>
      </w:r>
      <w:r w:rsidRPr="005B22D5">
        <w:rPr>
          <w:rFonts w:cs="Arial"/>
          <w:rtl/>
        </w:rPr>
        <w:t>.</w:t>
      </w:r>
    </w:p>
  </w:footnote>
  <w:footnote w:id="427">
    <w:p w14:paraId="3875E0E3" w14:textId="77777777" w:rsidR="0013116F" w:rsidRDefault="0013116F">
      <w:pPr>
        <w:pStyle w:val="a9"/>
        <w:rPr>
          <w:rtl/>
        </w:rPr>
      </w:pPr>
      <w:r>
        <w:rPr>
          <w:rStyle w:val="ab"/>
        </w:rPr>
        <w:footnoteRef/>
      </w:r>
      <w:r>
        <w:rPr>
          <w:rtl/>
        </w:rPr>
        <w:t xml:space="preserve"> </w:t>
      </w:r>
      <w:r w:rsidRPr="009958C3">
        <w:rPr>
          <w:rFonts w:cs="Arial"/>
          <w:rtl/>
        </w:rPr>
        <w:t>יהא דומה לו כאילו דן להקב"ה כמ"ש [בד</w:t>
      </w:r>
      <w:r>
        <w:rPr>
          <w:rFonts w:cs="Arial" w:hint="cs"/>
          <w:rtl/>
        </w:rPr>
        <w:t>ב</w:t>
      </w:r>
      <w:r w:rsidRPr="009958C3">
        <w:rPr>
          <w:rFonts w:cs="Arial"/>
          <w:rtl/>
        </w:rPr>
        <w:t>ה</w:t>
      </w:r>
      <w:r>
        <w:rPr>
          <w:rFonts w:cs="Arial" w:hint="cs"/>
          <w:rtl/>
        </w:rPr>
        <w:t>"י</w:t>
      </w:r>
      <w:r w:rsidRPr="009958C3">
        <w:rPr>
          <w:rFonts w:cs="Arial"/>
          <w:rtl/>
        </w:rPr>
        <w:t xml:space="preserve"> ב יט ו] ראו מה אתם עושים כי לא לאדם תשפטו כי לאלקים</w:t>
      </w:r>
      <w:r>
        <w:rPr>
          <w:rFonts w:hint="cs"/>
          <w:rtl/>
        </w:rPr>
        <w:t>, סמ"ע (סק"ט).</w:t>
      </w:r>
    </w:p>
  </w:footnote>
  <w:footnote w:id="428">
    <w:p w14:paraId="1D412565" w14:textId="77777777" w:rsidR="0013116F" w:rsidRDefault="0013116F">
      <w:pPr>
        <w:pStyle w:val="a9"/>
      </w:pPr>
      <w:r>
        <w:rPr>
          <w:rStyle w:val="ab"/>
        </w:rPr>
        <w:footnoteRef/>
      </w:r>
      <w:r>
        <w:rPr>
          <w:rtl/>
        </w:rPr>
        <w:t xml:space="preserve"> </w:t>
      </w:r>
      <w:r w:rsidRPr="009958C3">
        <w:rPr>
          <w:rFonts w:cs="Arial"/>
          <w:rtl/>
        </w:rPr>
        <w:t>היינו שהשם יתברך אתם במשפט כמה שכתוב אלקים נצב בעדת אל</w:t>
      </w:r>
      <w:r>
        <w:rPr>
          <w:rFonts w:cs="Arial" w:hint="cs"/>
          <w:rtl/>
        </w:rPr>
        <w:t>, סמ"ע (סק"י).</w:t>
      </w:r>
    </w:p>
  </w:footnote>
  <w:footnote w:id="429">
    <w:p w14:paraId="6744430B" w14:textId="77777777" w:rsidR="0013116F" w:rsidRDefault="0013116F">
      <w:pPr>
        <w:pStyle w:val="a9"/>
      </w:pPr>
      <w:r>
        <w:rPr>
          <w:rStyle w:val="ab"/>
        </w:rPr>
        <w:footnoteRef/>
      </w:r>
      <w:r>
        <w:rPr>
          <w:rtl/>
        </w:rPr>
        <w:t xml:space="preserve"> </w:t>
      </w:r>
      <w:r w:rsidRPr="009958C3">
        <w:rPr>
          <w:rFonts w:cs="Arial"/>
          <w:rtl/>
        </w:rPr>
        <w:t>כמ"ש [תהלים שם] בקרב אלהים ישפוט, כלומר אלקים הנזכר ברישא דקרא אלהים נצב כו', ישפוט בקרב אלהים, הם הדיינים, להפרע מהן</w:t>
      </w:r>
      <w:r>
        <w:rPr>
          <w:rFonts w:cs="Arial" w:hint="cs"/>
          <w:rtl/>
        </w:rPr>
        <w:t>, סמ"ע (סקי"א).</w:t>
      </w:r>
    </w:p>
  </w:footnote>
  <w:footnote w:id="430">
    <w:p w14:paraId="40CCF568" w14:textId="77777777" w:rsidR="0013116F" w:rsidRDefault="0013116F">
      <w:pPr>
        <w:pStyle w:val="a9"/>
        <w:rPr>
          <w:rtl/>
        </w:rPr>
      </w:pPr>
      <w:r>
        <w:rPr>
          <w:rStyle w:val="ab"/>
        </w:rPr>
        <w:footnoteRef/>
      </w:r>
      <w:r>
        <w:rPr>
          <w:rtl/>
        </w:rPr>
        <w:t xml:space="preserve"> </w:t>
      </w:r>
      <w:r w:rsidRPr="009958C3">
        <w:rPr>
          <w:rFonts w:cs="Arial"/>
          <w:rtl/>
        </w:rPr>
        <w:t>פירוש שדן האמת לפי שעתו, פעמים בדין תורה פעמים לפי השעה למיגדר מילתא</w:t>
      </w:r>
      <w:r>
        <w:rPr>
          <w:rFonts w:cs="Arial" w:hint="cs"/>
          <w:rtl/>
        </w:rPr>
        <w:t>..</w:t>
      </w:r>
      <w:r w:rsidRPr="009958C3">
        <w:rPr>
          <w:rFonts w:cs="Arial"/>
          <w:rtl/>
        </w:rPr>
        <w:t>.</w:t>
      </w:r>
      <w:r>
        <w:rPr>
          <w:rFonts w:hint="cs"/>
          <w:rtl/>
        </w:rPr>
        <w:t>, סמ"ע (סקי"ד).</w:t>
      </w:r>
    </w:p>
  </w:footnote>
  <w:footnote w:id="431">
    <w:p w14:paraId="11EF6CA7" w14:textId="77777777" w:rsidR="0013116F" w:rsidRDefault="0013116F">
      <w:pPr>
        <w:pStyle w:val="a9"/>
      </w:pPr>
      <w:r>
        <w:rPr>
          <w:rStyle w:val="ab"/>
        </w:rPr>
        <w:footnoteRef/>
      </w:r>
      <w:r>
        <w:rPr>
          <w:rtl/>
        </w:rPr>
        <w:t xml:space="preserve"> </w:t>
      </w:r>
      <w:r>
        <w:rPr>
          <w:rFonts w:hint="cs"/>
          <w:rtl/>
        </w:rPr>
        <w:t>סימן - יברח מדין.</w:t>
      </w:r>
      <w:r w:rsidRPr="00173BB9">
        <w:rPr>
          <w:rFonts w:asciiTheme="minorBidi" w:hAnsiTheme="minorBidi" w:cs="Arial"/>
          <w:color w:val="000000"/>
          <w:rtl/>
        </w:rPr>
        <w:t xml:space="preserve"> </w:t>
      </w:r>
      <w:r w:rsidRPr="0023341E">
        <w:rPr>
          <w:rFonts w:asciiTheme="minorBidi" w:hAnsiTheme="minorBidi" w:cs="Arial"/>
          <w:color w:val="000000"/>
          <w:rtl/>
        </w:rPr>
        <w:t>ו</w:t>
      </w:r>
      <w:r>
        <w:rPr>
          <w:rFonts w:asciiTheme="minorBidi" w:hAnsiTheme="minorBidi" w:cs="Arial" w:hint="cs"/>
          <w:color w:val="000000"/>
          <w:rtl/>
        </w:rPr>
        <w:t xml:space="preserve">כן איתא </w:t>
      </w:r>
      <w:r w:rsidRPr="0023341E">
        <w:rPr>
          <w:rFonts w:asciiTheme="minorBidi" w:hAnsiTheme="minorBidi" w:cs="Arial"/>
          <w:color w:val="000000"/>
          <w:rtl/>
        </w:rPr>
        <w:t>בירושלמי סוף בכורים (פ"ג ה"ג)</w:t>
      </w:r>
      <w:r>
        <w:rPr>
          <w:rFonts w:asciiTheme="minorBidi" w:hAnsiTheme="minorBidi" w:cs="Arial" w:hint="cs"/>
          <w:color w:val="000000"/>
          <w:rtl/>
        </w:rPr>
        <w:t>.</w:t>
      </w:r>
    </w:p>
  </w:footnote>
  <w:footnote w:id="432">
    <w:p w14:paraId="2927FC4A" w14:textId="77777777" w:rsidR="0013116F" w:rsidRPr="00086EF5" w:rsidRDefault="0013116F">
      <w:pPr>
        <w:pStyle w:val="a9"/>
      </w:pPr>
      <w:r>
        <w:rPr>
          <w:rStyle w:val="ab"/>
        </w:rPr>
        <w:footnoteRef/>
      </w:r>
      <w:r>
        <w:rPr>
          <w:rtl/>
        </w:rPr>
        <w:t xml:space="preserve"> </w:t>
      </w:r>
      <w:r w:rsidRPr="00086EF5">
        <w:rPr>
          <w:rFonts w:cs="Arial"/>
          <w:rtl/>
        </w:rPr>
        <w:t>היה מחביא את עצמו</w:t>
      </w:r>
      <w:r>
        <w:rPr>
          <w:rFonts w:cs="Arial" w:hint="cs"/>
          <w:rtl/>
        </w:rPr>
        <w:t xml:space="preserve"> </w:t>
      </w:r>
      <w:r>
        <w:rPr>
          <w:rFonts w:cs="Arial" w:hint="cs"/>
          <w:sz w:val="14"/>
          <w:szCs w:val="14"/>
          <w:rtl/>
        </w:rPr>
        <w:t>(חברותא)</w:t>
      </w:r>
      <w:r>
        <w:rPr>
          <w:rFonts w:cs="Arial" w:hint="cs"/>
          <w:rtl/>
        </w:rPr>
        <w:t>.</w:t>
      </w:r>
    </w:p>
  </w:footnote>
  <w:footnote w:id="433">
    <w:p w14:paraId="7E067081" w14:textId="77777777" w:rsidR="0013116F" w:rsidRDefault="0013116F">
      <w:pPr>
        <w:pStyle w:val="a9"/>
      </w:pPr>
      <w:r>
        <w:rPr>
          <w:rStyle w:val="ab"/>
        </w:rPr>
        <w:footnoteRef/>
      </w:r>
      <w:r>
        <w:rPr>
          <w:rtl/>
        </w:rPr>
        <w:t xml:space="preserve"> </w:t>
      </w:r>
      <w:r w:rsidRPr="000D63D2">
        <w:rPr>
          <w:rFonts w:cs="Arial"/>
          <w:rtl/>
        </w:rPr>
        <w:t>אפל</w:t>
      </w:r>
      <w:r>
        <w:rPr>
          <w:rFonts w:cs="Arial" w:hint="cs"/>
          <w:rtl/>
        </w:rPr>
        <w:t>, רש"י</w:t>
      </w:r>
      <w:r w:rsidRPr="000D63D2">
        <w:rPr>
          <w:rFonts w:cs="Arial"/>
          <w:rtl/>
        </w:rPr>
        <w:t>.</w:t>
      </w:r>
      <w:r>
        <w:rPr>
          <w:rFonts w:hint="cs"/>
          <w:rtl/>
        </w:rPr>
        <w:t xml:space="preserve"> </w:t>
      </w:r>
      <w:r w:rsidRPr="00173BB9">
        <w:rPr>
          <w:rFonts w:asciiTheme="minorBidi" w:hAnsiTheme="minorBidi" w:cs="Arial"/>
          <w:color w:val="000000"/>
          <w:rtl/>
        </w:rPr>
        <w:t>כלומר הוי שפל והולך חשכים ותתקיים כלומר הרחק מן הרבנות שמקברת את בעליה וקבל לשון אפלה הוא כדמתרגמינן לילה קבלא</w:t>
      </w:r>
      <w:r>
        <w:rPr>
          <w:rFonts w:hint="cs"/>
          <w:rtl/>
        </w:rPr>
        <w:t>, יד רמ"ה.</w:t>
      </w:r>
    </w:p>
  </w:footnote>
  <w:footnote w:id="434">
    <w:p w14:paraId="58170BF5" w14:textId="77777777" w:rsidR="0013116F" w:rsidRDefault="0013116F">
      <w:pPr>
        <w:pStyle w:val="a9"/>
      </w:pPr>
      <w:r>
        <w:rPr>
          <w:rStyle w:val="ab"/>
        </w:rPr>
        <w:footnoteRef/>
      </w:r>
      <w:r>
        <w:rPr>
          <w:rtl/>
        </w:rPr>
        <w:t xml:space="preserve"> </w:t>
      </w:r>
      <w:r w:rsidRPr="000D63D2">
        <w:rPr>
          <w:rFonts w:cs="Arial"/>
          <w:rtl/>
        </w:rPr>
        <w:t>ותחיה, כלומר הרחק מן הרבנות שמקברת את בעליה, אפילה מתרגם קבלה (שמות י)</w:t>
      </w:r>
      <w:r>
        <w:rPr>
          <w:rFonts w:cs="Arial" w:hint="cs"/>
          <w:rtl/>
        </w:rPr>
        <w:t>, רש"י</w:t>
      </w:r>
      <w:r w:rsidRPr="000D63D2">
        <w:rPr>
          <w:rFonts w:cs="Arial"/>
          <w:rtl/>
        </w:rPr>
        <w:t>.</w:t>
      </w:r>
    </w:p>
  </w:footnote>
  <w:footnote w:id="435">
    <w:p w14:paraId="0732A307" w14:textId="77777777" w:rsidR="0013116F" w:rsidRDefault="0013116F">
      <w:pPr>
        <w:pStyle w:val="a9"/>
      </w:pPr>
      <w:r>
        <w:rPr>
          <w:rStyle w:val="ab"/>
        </w:rPr>
        <w:footnoteRef/>
      </w:r>
      <w:r>
        <w:rPr>
          <w:rtl/>
        </w:rPr>
        <w:t xml:space="preserve"> </w:t>
      </w:r>
      <w:r w:rsidRPr="00366F47">
        <w:rPr>
          <w:rFonts w:cs="Arial"/>
          <w:rtl/>
        </w:rPr>
        <w:t>ומ"ש הטור והמחבר בסימן י' סעיף ג' על ועצומים כל הרוגיה [משלי ז' כ"ו], זה תלמיד שהגיע להוראה ואינו מורה, היינו אחר שהיו מפצירים בם ומכבידים עליהם ואינם שומעים. אי נמי התם מיירי שאין אחר כמותו בדור, וכמ"ש הטור והמחבר שם "והדור" צריך לו, משא"כ כאן שלא כתב אלא שאין "שם" כמותו, דמשמע הא במקום אחר יש הגונים כמותו</w:t>
      </w:r>
      <w:r>
        <w:rPr>
          <w:rFonts w:cs="Arial" w:hint="cs"/>
          <w:rtl/>
        </w:rPr>
        <w:t>, סמ"ע (סקי"ז).</w:t>
      </w:r>
    </w:p>
  </w:footnote>
  <w:footnote w:id="436">
    <w:p w14:paraId="3CA50209" w14:textId="77777777" w:rsidR="0013116F" w:rsidRDefault="0013116F">
      <w:pPr>
        <w:pStyle w:val="a9"/>
      </w:pPr>
      <w:r>
        <w:rPr>
          <w:rStyle w:val="ab"/>
        </w:rPr>
        <w:footnoteRef/>
      </w:r>
      <w:r>
        <w:rPr>
          <w:rtl/>
        </w:rPr>
        <w:t xml:space="preserve"> </w:t>
      </w:r>
      <w:r>
        <w:rPr>
          <w:rFonts w:hint="cs"/>
          <w:rtl/>
        </w:rPr>
        <w:t xml:space="preserve">סימן </w:t>
      </w:r>
      <w:r>
        <w:rPr>
          <w:rtl/>
        </w:rPr>
        <w:t>–</w:t>
      </w:r>
      <w:r>
        <w:rPr>
          <w:rFonts w:hint="cs"/>
          <w:rtl/>
        </w:rPr>
        <w:t xml:space="preserve"> יטיל יראה זרעו זולל.</w:t>
      </w:r>
    </w:p>
  </w:footnote>
  <w:footnote w:id="437">
    <w:p w14:paraId="214BD97B" w14:textId="77777777" w:rsidR="0013116F" w:rsidRDefault="0013116F">
      <w:pPr>
        <w:pStyle w:val="a9"/>
      </w:pPr>
      <w:r>
        <w:rPr>
          <w:rStyle w:val="ab"/>
        </w:rPr>
        <w:footnoteRef/>
      </w:r>
      <w:r>
        <w:rPr>
          <w:rtl/>
        </w:rPr>
        <w:t xml:space="preserve"> </w:t>
      </w:r>
      <w:r>
        <w:rPr>
          <w:rFonts w:hint="cs"/>
          <w:rtl/>
        </w:rPr>
        <w:t>סימן</w:t>
      </w:r>
      <w:r>
        <w:rPr>
          <w:rFonts w:hint="cs"/>
          <w:sz w:val="14"/>
          <w:szCs w:val="14"/>
          <w:rtl/>
        </w:rPr>
        <w:t xml:space="preserve"> </w:t>
      </w:r>
      <w:r w:rsidRPr="00C14159">
        <w:rPr>
          <w:rFonts w:hint="cs"/>
          <w:sz w:val="16"/>
          <w:szCs w:val="16"/>
          <w:rtl/>
        </w:rPr>
        <w:t>(לכל העניין דפים ז-ח</w:t>
      </w:r>
      <w:r>
        <w:rPr>
          <w:rFonts w:hint="cs"/>
          <w:sz w:val="16"/>
          <w:szCs w:val="16"/>
          <w:rtl/>
        </w:rPr>
        <w:t>)</w:t>
      </w:r>
      <w:r>
        <w:rPr>
          <w:rFonts w:hint="cs"/>
          <w:rtl/>
        </w:rPr>
        <w:t xml:space="preserve"> </w:t>
      </w:r>
      <w:r>
        <w:rPr>
          <w:rtl/>
        </w:rPr>
        <w:t>–</w:t>
      </w:r>
      <w:r>
        <w:rPr>
          <w:rFonts w:hint="cs"/>
          <w:rtl/>
        </w:rPr>
        <w:t xml:space="preserve"> זהירות חובה.</w:t>
      </w:r>
    </w:p>
  </w:footnote>
  <w:footnote w:id="438">
    <w:p w14:paraId="75E2FEB9" w14:textId="77777777" w:rsidR="0013116F" w:rsidRDefault="0013116F" w:rsidP="00DB4474">
      <w:pPr>
        <w:pStyle w:val="a9"/>
      </w:pPr>
      <w:r>
        <w:rPr>
          <w:rStyle w:val="ab"/>
        </w:rPr>
        <w:footnoteRef/>
      </w:r>
      <w:r>
        <w:rPr>
          <w:rtl/>
        </w:rPr>
        <w:t xml:space="preserve"> </w:t>
      </w:r>
      <w:r w:rsidRPr="0023341E">
        <w:rPr>
          <w:rFonts w:asciiTheme="minorBidi" w:hAnsiTheme="minorBidi" w:cs="Arial"/>
          <w:color w:val="000000"/>
          <w:rtl/>
        </w:rPr>
        <w:t>כשהיה המתורגמן דורש היו הצבור יושבים לארץ והמפסיע לילך ולישב במקומו נראה כמפסיע על ראשן</w:t>
      </w:r>
      <w:r>
        <w:rPr>
          <w:rFonts w:asciiTheme="minorBidi" w:hAnsiTheme="minorBidi" w:cs="Arial" w:hint="cs"/>
          <w:color w:val="000000"/>
          <w:rtl/>
        </w:rPr>
        <w:t>, רש"י.</w:t>
      </w:r>
    </w:p>
  </w:footnote>
  <w:footnote w:id="439">
    <w:p w14:paraId="20530482" w14:textId="77777777" w:rsidR="0013116F" w:rsidRDefault="0013116F">
      <w:pPr>
        <w:pStyle w:val="a9"/>
        <w:rPr>
          <w:rtl/>
        </w:rPr>
      </w:pPr>
      <w:r>
        <w:rPr>
          <w:rStyle w:val="ab"/>
        </w:rPr>
        <w:footnoteRef/>
      </w:r>
      <w:r>
        <w:rPr>
          <w:rtl/>
        </w:rPr>
        <w:t xml:space="preserve"> </w:t>
      </w:r>
      <w:r>
        <w:rPr>
          <w:rFonts w:hint="cs"/>
          <w:rtl/>
        </w:rPr>
        <w:t xml:space="preserve">סימן </w:t>
      </w:r>
      <w:r>
        <w:rPr>
          <w:rtl/>
        </w:rPr>
        <w:t>–</w:t>
      </w:r>
      <w:r>
        <w:rPr>
          <w:rFonts w:hint="cs"/>
          <w:rtl/>
        </w:rPr>
        <w:t xml:space="preserve"> עשיית עבודה לעיני עם.</w:t>
      </w:r>
    </w:p>
  </w:footnote>
  <w:footnote w:id="440">
    <w:p w14:paraId="2BE0A819" w14:textId="77777777" w:rsidR="0013116F" w:rsidRDefault="0013116F" w:rsidP="00C14159">
      <w:pPr>
        <w:pStyle w:val="a9"/>
        <w:rPr>
          <w:rtl/>
        </w:rPr>
      </w:pPr>
      <w:r>
        <w:rPr>
          <w:rStyle w:val="ab"/>
        </w:rPr>
        <w:footnoteRef/>
      </w:r>
      <w:r>
        <w:rPr>
          <w:rtl/>
        </w:rPr>
        <w:t xml:space="preserve"> </w:t>
      </w:r>
      <w:r w:rsidRPr="00C30BF1">
        <w:rPr>
          <w:rFonts w:cs="Arial"/>
          <w:rtl/>
        </w:rPr>
        <w:t>ההוא גברא מנהרדעא</w:t>
      </w:r>
      <w:r>
        <w:rPr>
          <w:rFonts w:hint="cs"/>
          <w:rtl/>
        </w:rPr>
        <w:t>, ואזמין לרב יהודה בר יחזקאל לדין לקמיה רב נחמן...</w:t>
      </w:r>
    </w:p>
  </w:footnote>
  <w:footnote w:id="441">
    <w:p w14:paraId="649D9BC0" w14:textId="77777777" w:rsidR="0013116F" w:rsidRDefault="0013116F" w:rsidP="00C14159">
      <w:pPr>
        <w:pStyle w:val="a9"/>
        <w:rPr>
          <w:rtl/>
        </w:rPr>
      </w:pPr>
      <w:r>
        <w:rPr>
          <w:rStyle w:val="ab"/>
        </w:rPr>
        <w:footnoteRef/>
      </w:r>
      <w:r>
        <w:rPr>
          <w:rtl/>
        </w:rPr>
        <w:t xml:space="preserve"> </w:t>
      </w:r>
      <w:r>
        <w:rPr>
          <w:rFonts w:hint="cs"/>
          <w:rtl/>
        </w:rPr>
        <w:t>רב יהודה ואשכחיה לרב נחמן דקעביד...</w:t>
      </w:r>
    </w:p>
  </w:footnote>
  <w:footnote w:id="442">
    <w:p w14:paraId="0D6CF855" w14:textId="77777777" w:rsidR="0013116F" w:rsidRDefault="0013116F">
      <w:pPr>
        <w:pStyle w:val="a9"/>
        <w:rPr>
          <w:rtl/>
        </w:rPr>
      </w:pPr>
      <w:r>
        <w:rPr>
          <w:rStyle w:val="ab"/>
        </w:rPr>
        <w:footnoteRef/>
      </w:r>
      <w:r>
        <w:rPr>
          <w:rtl/>
        </w:rPr>
        <w:t xml:space="preserve"> </w:t>
      </w:r>
      <w:r>
        <w:rPr>
          <w:rFonts w:hint="cs"/>
          <w:rtl/>
        </w:rPr>
        <w:t>מעקה.</w:t>
      </w:r>
    </w:p>
  </w:footnote>
  <w:footnote w:id="443">
    <w:p w14:paraId="287F97B7" w14:textId="77777777" w:rsidR="0013116F" w:rsidRDefault="0013116F">
      <w:pPr>
        <w:pStyle w:val="a9"/>
      </w:pPr>
      <w:r>
        <w:rPr>
          <w:rStyle w:val="ab"/>
        </w:rPr>
        <w:footnoteRef/>
      </w:r>
      <w:r>
        <w:rPr>
          <w:rtl/>
        </w:rPr>
        <w:t xml:space="preserve"> </w:t>
      </w:r>
      <w:r>
        <w:rPr>
          <w:rFonts w:hint="cs"/>
          <w:rtl/>
        </w:rPr>
        <w:t xml:space="preserve">סימן </w:t>
      </w:r>
      <w:r>
        <w:rPr>
          <w:rtl/>
        </w:rPr>
        <w:t>–</w:t>
      </w:r>
      <w:r>
        <w:rPr>
          <w:rFonts w:hint="cs"/>
          <w:rtl/>
        </w:rPr>
        <w:t xml:space="preserve"> מרבה לטעום. וכן </w:t>
      </w:r>
      <w:r>
        <w:rPr>
          <w:rtl/>
        </w:rPr>
        <w:t>–</w:t>
      </w:r>
      <w:r>
        <w:rPr>
          <w:rFonts w:hint="cs"/>
          <w:rtl/>
        </w:rPr>
        <w:t xml:space="preserve"> מאכל טהורים. </w:t>
      </w:r>
    </w:p>
  </w:footnote>
  <w:footnote w:id="444">
    <w:p w14:paraId="41EC2238" w14:textId="77777777" w:rsidR="0013116F" w:rsidRDefault="0013116F">
      <w:pPr>
        <w:pStyle w:val="a9"/>
      </w:pPr>
      <w:r>
        <w:rPr>
          <w:rStyle w:val="ab"/>
        </w:rPr>
        <w:footnoteRef/>
      </w:r>
      <w:r>
        <w:rPr>
          <w:rtl/>
        </w:rPr>
        <w:t xml:space="preserve"> </w:t>
      </w:r>
      <w:r w:rsidRPr="005E36F0">
        <w:rPr>
          <w:rFonts w:cs="Arial"/>
          <w:rtl/>
        </w:rPr>
        <w:t>נראה דה"ה בזמן הזה כשיושבין על ספסל ארוך זה בצד זה והשולחן לפניהם לא יפסיע על הספסל לילך מאחוריהן</w:t>
      </w:r>
      <w:r>
        <w:rPr>
          <w:rFonts w:cs="Arial" w:hint="cs"/>
          <w:rtl/>
        </w:rPr>
        <w:t>, סמ"ע</w:t>
      </w:r>
      <w:r w:rsidRPr="005E36F0">
        <w:rPr>
          <w:rFonts w:cs="Arial" w:hint="cs"/>
          <w:sz w:val="16"/>
          <w:szCs w:val="16"/>
          <w:rtl/>
        </w:rPr>
        <w:t xml:space="preserve"> (סקי"ט)</w:t>
      </w:r>
      <w:r>
        <w:rPr>
          <w:rFonts w:cs="Arial" w:hint="cs"/>
          <w:rtl/>
        </w:rPr>
        <w:t>.</w:t>
      </w:r>
    </w:p>
  </w:footnote>
  <w:footnote w:id="445">
    <w:p w14:paraId="1AE996E9" w14:textId="77777777" w:rsidR="0013116F" w:rsidRDefault="0013116F">
      <w:pPr>
        <w:pStyle w:val="a9"/>
      </w:pPr>
      <w:r>
        <w:rPr>
          <w:rStyle w:val="ab"/>
        </w:rPr>
        <w:footnoteRef/>
      </w:r>
      <w:r>
        <w:rPr>
          <w:rtl/>
        </w:rPr>
        <w:t xml:space="preserve"> </w:t>
      </w:r>
      <w:r w:rsidRPr="005E36F0">
        <w:rPr>
          <w:rFonts w:cs="Arial"/>
          <w:rtl/>
        </w:rPr>
        <w:t>בטור [סעיף ט"ו], וברמב"ם [פכ"ה מסנהדרין ה"ד] סיים וכתב ז"ל, ובכניסת ע"ה ובסעודות מריעים. ונראה דהאי וי"ו של "ובכניסת ע"ה" היא כמו או בכניסת כו', ור"ל דאפילו בסעודות מצוה אסור להשתכר, ובכניסת ע"ה ובסעודת מריעים אסור לאכול ולשתות אפילו בלא שכרות. א"נ אהקל וחומר קאי, וה"ק ק"ו שאסור לו לאכול כו', ובן בנו של ק"ו הוא שאסור לאכול בכניסת ע"ה ובסעודות מריעים, ולפ"ז א"ש דכיון שפשוט הוא כל כך משום הכי השמיטוהו המחבר ומור"ם ז"ל, וק"ל</w:t>
      </w:r>
      <w:r>
        <w:rPr>
          <w:rFonts w:cs="Arial" w:hint="cs"/>
          <w:rtl/>
        </w:rPr>
        <w:t>, סמ"ע (סקכ"ב).</w:t>
      </w:r>
    </w:p>
  </w:footnote>
  <w:footnote w:id="446">
    <w:p w14:paraId="0E4F36F3" w14:textId="77777777" w:rsidR="0013116F" w:rsidRDefault="0013116F">
      <w:pPr>
        <w:pStyle w:val="a9"/>
      </w:pPr>
      <w:r>
        <w:rPr>
          <w:rStyle w:val="ab"/>
        </w:rPr>
        <w:footnoteRef/>
      </w:r>
      <w:r>
        <w:rPr>
          <w:rtl/>
        </w:rPr>
        <w:t xml:space="preserve"> </w:t>
      </w:r>
      <w:r>
        <w:rPr>
          <w:rFonts w:hint="cs"/>
          <w:rtl/>
        </w:rPr>
        <w:t xml:space="preserve">סימן </w:t>
      </w:r>
      <w:r>
        <w:rPr>
          <w:rtl/>
        </w:rPr>
        <w:t>–</w:t>
      </w:r>
      <w:r>
        <w:rPr>
          <w:rFonts w:hint="cs"/>
          <w:rtl/>
        </w:rPr>
        <w:t xml:space="preserve"> ביזוי יבואן/יצואן. </w:t>
      </w:r>
      <w:r w:rsidRPr="0023341E">
        <w:rPr>
          <w:rFonts w:asciiTheme="minorBidi" w:hAnsiTheme="minorBidi" w:cs="Arial"/>
          <w:color w:val="000000"/>
          <w:rtl/>
        </w:rPr>
        <w:t>ו</w:t>
      </w:r>
      <w:r>
        <w:rPr>
          <w:rFonts w:asciiTheme="minorBidi" w:hAnsiTheme="minorBidi" w:cs="Arial" w:hint="cs"/>
          <w:color w:val="000000"/>
          <w:rtl/>
        </w:rPr>
        <w:t>כן איתא ב</w:t>
      </w:r>
      <w:r w:rsidRPr="0023341E">
        <w:rPr>
          <w:rFonts w:asciiTheme="minorBidi" w:hAnsiTheme="minorBidi" w:cs="Arial"/>
          <w:color w:val="000000"/>
          <w:rtl/>
        </w:rPr>
        <w:t>יבמות נב</w:t>
      </w:r>
      <w:r>
        <w:rPr>
          <w:rFonts w:asciiTheme="minorBidi" w:hAnsiTheme="minorBidi" w:cs="Arial" w:hint="cs"/>
          <w:color w:val="000000"/>
          <w:rtl/>
        </w:rPr>
        <w:t xml:space="preserve"> ע"א (</w:t>
      </w:r>
      <w:r w:rsidRPr="0023341E">
        <w:rPr>
          <w:rFonts w:asciiTheme="minorBidi" w:hAnsiTheme="minorBidi" w:cs="Arial"/>
          <w:color w:val="000000"/>
          <w:rtl/>
        </w:rPr>
        <w:t>פרק רבן גמליאל</w:t>
      </w:r>
      <w:r>
        <w:rPr>
          <w:rFonts w:asciiTheme="minorBidi" w:hAnsiTheme="minorBidi" w:cs="Arial" w:hint="cs"/>
          <w:color w:val="000000"/>
          <w:rtl/>
        </w:rPr>
        <w:t xml:space="preserve">) סימן </w:t>
      </w:r>
      <w:r>
        <w:rPr>
          <w:rFonts w:asciiTheme="minorBidi" w:hAnsiTheme="minorBidi" w:cs="Arial"/>
          <w:color w:val="000000"/>
          <w:rtl/>
        </w:rPr>
        <w:t>–</w:t>
      </w:r>
      <w:r>
        <w:rPr>
          <w:rFonts w:asciiTheme="minorBidi" w:hAnsiTheme="minorBidi" w:cs="Arial" w:hint="cs"/>
          <w:color w:val="000000"/>
          <w:rtl/>
        </w:rPr>
        <w:t xml:space="preserve"> ביזוי נאמן</w:t>
      </w:r>
      <w:r>
        <w:rPr>
          <w:rFonts w:hint="cs"/>
          <w:rtl/>
        </w:rPr>
        <w:t>.</w:t>
      </w:r>
    </w:p>
  </w:footnote>
  <w:footnote w:id="447">
    <w:p w14:paraId="0FFBB4A3" w14:textId="77777777" w:rsidR="0013116F" w:rsidRDefault="0013116F">
      <w:pPr>
        <w:pStyle w:val="a9"/>
      </w:pPr>
      <w:r>
        <w:rPr>
          <w:rStyle w:val="ab"/>
        </w:rPr>
        <w:footnoteRef/>
      </w:r>
      <w:r>
        <w:rPr>
          <w:rtl/>
        </w:rPr>
        <w:t xml:space="preserve"> </w:t>
      </w:r>
      <w:r>
        <w:rPr>
          <w:rFonts w:hint="cs"/>
          <w:rtl/>
        </w:rPr>
        <w:t xml:space="preserve">סימן </w:t>
      </w:r>
      <w:r>
        <w:rPr>
          <w:rtl/>
        </w:rPr>
        <w:t>–</w:t>
      </w:r>
      <w:r>
        <w:rPr>
          <w:rFonts w:hint="cs"/>
          <w:rtl/>
        </w:rPr>
        <w:t xml:space="preserve"> קולו יחשב ב'.</w:t>
      </w:r>
    </w:p>
  </w:footnote>
  <w:footnote w:id="448">
    <w:p w14:paraId="464D9912" w14:textId="77777777" w:rsidR="0013116F" w:rsidRDefault="0013116F">
      <w:pPr>
        <w:pStyle w:val="a9"/>
        <w:rPr>
          <w:rtl/>
        </w:rPr>
      </w:pPr>
      <w:r>
        <w:rPr>
          <w:rStyle w:val="ab"/>
        </w:rPr>
        <w:footnoteRef/>
      </w:r>
      <w:r>
        <w:rPr>
          <w:rtl/>
        </w:rPr>
        <w:t xml:space="preserve"> </w:t>
      </w:r>
      <w:r w:rsidRPr="005E36F0">
        <w:rPr>
          <w:rFonts w:cs="Arial"/>
          <w:rtl/>
        </w:rPr>
        <w:t>דלא משקר בבי דינא</w:t>
      </w:r>
      <w:r>
        <w:rPr>
          <w:rFonts w:cs="Arial" w:hint="cs"/>
          <w:rtl/>
        </w:rPr>
        <w:t>, רש"י</w:t>
      </w:r>
      <w:r w:rsidRPr="005E36F0">
        <w:rPr>
          <w:rFonts w:cs="Arial"/>
          <w:rtl/>
        </w:rPr>
        <w:t>.</w:t>
      </w:r>
    </w:p>
  </w:footnote>
  <w:footnote w:id="449">
    <w:p w14:paraId="29F628CC" w14:textId="77777777" w:rsidR="0013116F" w:rsidRDefault="0013116F">
      <w:pPr>
        <w:pStyle w:val="a9"/>
        <w:rPr>
          <w:rtl/>
        </w:rPr>
      </w:pPr>
      <w:r>
        <w:rPr>
          <w:rStyle w:val="ab"/>
        </w:rPr>
        <w:footnoteRef/>
      </w:r>
      <w:r>
        <w:rPr>
          <w:rtl/>
        </w:rPr>
        <w:t xml:space="preserve"> </w:t>
      </w:r>
      <w:r w:rsidRPr="005E36F0">
        <w:rPr>
          <w:rFonts w:cs="Arial"/>
          <w:rtl/>
        </w:rPr>
        <w:t>שטר שמתא</w:t>
      </w:r>
      <w:r>
        <w:rPr>
          <w:rFonts w:cs="Arial" w:hint="cs"/>
          <w:rtl/>
        </w:rPr>
        <w:t>,</w:t>
      </w:r>
      <w:r w:rsidRPr="005E36F0">
        <w:rPr>
          <w:rFonts w:cs="Arial"/>
          <w:rtl/>
        </w:rPr>
        <w:t xml:space="preserve"> וכי שרו ליה שמתא לא שרו ליה עד דיהיב זוזא דפתיחא לספרא</w:t>
      </w:r>
      <w:r>
        <w:rPr>
          <w:rFonts w:cs="Arial" w:hint="cs"/>
          <w:rtl/>
        </w:rPr>
        <w:t>, רש"י</w:t>
      </w:r>
      <w:r w:rsidRPr="005E36F0">
        <w:rPr>
          <w:rFonts w:cs="Arial"/>
          <w:rtl/>
        </w:rPr>
        <w:t>.</w:t>
      </w:r>
    </w:p>
  </w:footnote>
  <w:footnote w:id="450">
    <w:p w14:paraId="6387EB1B" w14:textId="77777777" w:rsidR="0013116F" w:rsidRDefault="0013116F">
      <w:pPr>
        <w:pStyle w:val="a9"/>
        <w:rPr>
          <w:rtl/>
        </w:rPr>
      </w:pPr>
      <w:r>
        <w:rPr>
          <w:rStyle w:val="ab"/>
        </w:rPr>
        <w:footnoteRef/>
      </w:r>
      <w:r>
        <w:rPr>
          <w:rtl/>
        </w:rPr>
        <w:t xml:space="preserve"> </w:t>
      </w:r>
      <w:r w:rsidRPr="0023341E">
        <w:rPr>
          <w:rFonts w:asciiTheme="minorBidi" w:hAnsiTheme="minorBidi" w:cs="Arial"/>
          <w:color w:val="000000"/>
          <w:rtl/>
        </w:rPr>
        <w:t>ו</w:t>
      </w:r>
      <w:r>
        <w:rPr>
          <w:rFonts w:asciiTheme="minorBidi" w:hAnsiTheme="minorBidi" w:cs="Arial" w:hint="cs"/>
          <w:color w:val="000000"/>
          <w:rtl/>
        </w:rPr>
        <w:t>כ' הב"י די</w:t>
      </w:r>
      <w:r w:rsidRPr="0023341E">
        <w:rPr>
          <w:rFonts w:asciiTheme="minorBidi" w:hAnsiTheme="minorBidi" w:cs="Arial"/>
          <w:color w:val="000000"/>
          <w:rtl/>
        </w:rPr>
        <w:t xml:space="preserve">ש לתמוה דכיון דאומר </w:t>
      </w:r>
      <w:r>
        <w:rPr>
          <w:rFonts w:asciiTheme="minorBidi" w:hAnsiTheme="minorBidi" w:cs="Arial" w:hint="cs"/>
          <w:color w:val="000000"/>
          <w:rtl/>
        </w:rPr>
        <w:t>'</w:t>
      </w:r>
      <w:r w:rsidRPr="0023341E">
        <w:rPr>
          <w:rFonts w:asciiTheme="minorBidi" w:hAnsiTheme="minorBidi" w:cs="Arial"/>
          <w:color w:val="000000"/>
          <w:rtl/>
        </w:rPr>
        <w:t>פלוני הקלני</w:t>
      </w:r>
      <w:r>
        <w:rPr>
          <w:rFonts w:asciiTheme="minorBidi" w:hAnsiTheme="minorBidi" w:cs="Arial" w:hint="cs"/>
          <w:color w:val="000000"/>
          <w:rtl/>
        </w:rPr>
        <w:t>'</w:t>
      </w:r>
      <w:r w:rsidRPr="0023341E">
        <w:rPr>
          <w:rFonts w:asciiTheme="minorBidi" w:hAnsiTheme="minorBidi" w:cs="Arial"/>
          <w:color w:val="000000"/>
          <w:rtl/>
        </w:rPr>
        <w:t xml:space="preserve"> משמתין אותו על פיו מאי רבותיה דרב דמנגיד מאן דמצער שליחא דבי דינא הא שמתא דחמירא מניגודא (פסחים נב.) מחייב. ושמא י"ל דמלבד השמתא הוה מנגיד ליה</w:t>
      </w:r>
      <w:r>
        <w:rPr>
          <w:rFonts w:asciiTheme="minorBidi" w:hAnsiTheme="minorBidi" w:cs="Arial" w:hint="cs"/>
          <w:color w:val="000000"/>
          <w:rtl/>
        </w:rPr>
        <w:t>,</w:t>
      </w:r>
      <w:r w:rsidRPr="0023341E">
        <w:rPr>
          <w:rFonts w:asciiTheme="minorBidi" w:hAnsiTheme="minorBidi" w:cs="Arial"/>
          <w:color w:val="000000"/>
          <w:rtl/>
        </w:rPr>
        <w:t xml:space="preserve"> ואפשר לדייק כן מלשון הרמב"ם ז"ל שאחר שכתב ש</w:t>
      </w:r>
      <w:r>
        <w:rPr>
          <w:rFonts w:asciiTheme="minorBidi" w:hAnsiTheme="minorBidi" w:cs="Arial" w:hint="cs"/>
          <w:color w:val="000000"/>
          <w:rtl/>
        </w:rPr>
        <w:t>-'</w:t>
      </w:r>
      <w:r w:rsidRPr="0023341E">
        <w:rPr>
          <w:rFonts w:asciiTheme="minorBidi" w:hAnsiTheme="minorBidi" w:cs="Arial"/>
          <w:color w:val="000000"/>
          <w:rtl/>
        </w:rPr>
        <w:t>אם אמר פלוני הקלני או הקלה הדיין וכו' משמתין אותו על פיו</w:t>
      </w:r>
      <w:r>
        <w:rPr>
          <w:rFonts w:asciiTheme="minorBidi" w:hAnsiTheme="minorBidi" w:cs="Arial" w:hint="cs"/>
          <w:color w:val="000000"/>
          <w:rtl/>
        </w:rPr>
        <w:t>'</w:t>
      </w:r>
      <w:r w:rsidRPr="0023341E">
        <w:rPr>
          <w:rFonts w:asciiTheme="minorBidi" w:hAnsiTheme="minorBidi" w:cs="Arial"/>
          <w:color w:val="000000"/>
          <w:rtl/>
        </w:rPr>
        <w:t xml:space="preserve"> כתב (ה"ו) </w:t>
      </w:r>
      <w:r>
        <w:rPr>
          <w:rFonts w:asciiTheme="minorBidi" w:hAnsiTheme="minorBidi" w:cs="Arial" w:hint="cs"/>
          <w:color w:val="000000"/>
          <w:rtl/>
        </w:rPr>
        <w:t>'</w:t>
      </w:r>
      <w:r w:rsidRPr="0023341E">
        <w:rPr>
          <w:rFonts w:asciiTheme="minorBidi" w:hAnsiTheme="minorBidi" w:cs="Arial"/>
          <w:color w:val="000000"/>
          <w:rtl/>
        </w:rPr>
        <w:t>וכל המצער שליח בית דין מכין אותו מכת מרדות</w:t>
      </w:r>
      <w:r>
        <w:rPr>
          <w:rFonts w:asciiTheme="minorBidi" w:hAnsiTheme="minorBidi" w:cs="Arial" w:hint="cs"/>
          <w:color w:val="000000"/>
          <w:rtl/>
        </w:rPr>
        <w:t>',</w:t>
      </w:r>
      <w:r w:rsidRPr="0023341E">
        <w:rPr>
          <w:rFonts w:asciiTheme="minorBidi" w:hAnsiTheme="minorBidi" w:cs="Arial"/>
          <w:color w:val="000000"/>
          <w:rtl/>
        </w:rPr>
        <w:t xml:space="preserve"> משמע דהכי קאמר</w:t>
      </w:r>
      <w:r>
        <w:rPr>
          <w:rFonts w:asciiTheme="minorBidi" w:hAnsiTheme="minorBidi" w:cs="Arial" w:hint="cs"/>
          <w:color w:val="000000"/>
          <w:rtl/>
        </w:rPr>
        <w:t>-</w:t>
      </w:r>
      <w:r w:rsidRPr="0023341E">
        <w:rPr>
          <w:rFonts w:asciiTheme="minorBidi" w:hAnsiTheme="minorBidi" w:cs="Arial"/>
          <w:color w:val="000000"/>
          <w:rtl/>
        </w:rPr>
        <w:t xml:space="preserve"> אם אמר פלוני הקלני וכו'</w:t>
      </w:r>
      <w:r>
        <w:rPr>
          <w:rFonts w:asciiTheme="minorBidi" w:hAnsiTheme="minorBidi" w:cs="Arial" w:hint="cs"/>
          <w:color w:val="000000"/>
          <w:rtl/>
        </w:rPr>
        <w:t>,</w:t>
      </w:r>
      <w:r w:rsidRPr="0023341E">
        <w:rPr>
          <w:rFonts w:asciiTheme="minorBidi" w:hAnsiTheme="minorBidi" w:cs="Arial"/>
          <w:color w:val="000000"/>
          <w:rtl/>
        </w:rPr>
        <w:t xml:space="preserve"> דינו שמשמתין אותו</w:t>
      </w:r>
      <w:r>
        <w:rPr>
          <w:rFonts w:asciiTheme="minorBidi" w:hAnsiTheme="minorBidi" w:cs="Arial" w:hint="cs"/>
          <w:color w:val="000000"/>
          <w:rtl/>
        </w:rPr>
        <w:t>,</w:t>
      </w:r>
      <w:r w:rsidRPr="0023341E">
        <w:rPr>
          <w:rFonts w:asciiTheme="minorBidi" w:hAnsiTheme="minorBidi" w:cs="Arial"/>
          <w:color w:val="000000"/>
          <w:rtl/>
        </w:rPr>
        <w:t xml:space="preserve"> ואם רצו בית דין להחמיר עליו ולהכותו מכת מרדות מלבד השמתא הרשות בידן. ועוד י"ל שפלוני הקלני לא נקט ליה בהדי הנך לענין השמתא אלא לענין שהוא נאמן כשנים</w:t>
      </w:r>
      <w:r>
        <w:rPr>
          <w:rFonts w:asciiTheme="minorBidi" w:hAnsiTheme="minorBidi" w:cs="Arial" w:hint="cs"/>
          <w:color w:val="000000"/>
          <w:rtl/>
        </w:rPr>
        <w:t>.</w:t>
      </w:r>
    </w:p>
  </w:footnote>
  <w:footnote w:id="451">
    <w:p w14:paraId="70535235" w14:textId="77777777" w:rsidR="0013116F" w:rsidRDefault="0013116F">
      <w:pPr>
        <w:pStyle w:val="a9"/>
        <w:rPr>
          <w:rtl/>
        </w:rPr>
      </w:pPr>
      <w:r>
        <w:rPr>
          <w:rStyle w:val="ab"/>
        </w:rPr>
        <w:footnoteRef/>
      </w:r>
      <w:r>
        <w:rPr>
          <w:rtl/>
        </w:rPr>
        <w:t xml:space="preserve"> </w:t>
      </w:r>
      <w:r>
        <w:rPr>
          <w:rFonts w:hint="cs"/>
          <w:rtl/>
        </w:rPr>
        <w:t xml:space="preserve">סימן </w:t>
      </w:r>
      <w:r>
        <w:rPr>
          <w:rtl/>
        </w:rPr>
        <w:t>–</w:t>
      </w:r>
      <w:r>
        <w:rPr>
          <w:rFonts w:hint="cs"/>
          <w:rtl/>
        </w:rPr>
        <w:t xml:space="preserve"> תאמר זדונו.</w:t>
      </w:r>
    </w:p>
  </w:footnote>
  <w:footnote w:id="452">
    <w:p w14:paraId="4785AE92" w14:textId="77777777" w:rsidR="0013116F" w:rsidRDefault="0013116F">
      <w:pPr>
        <w:pStyle w:val="a9"/>
        <w:rPr>
          <w:rtl/>
        </w:rPr>
      </w:pPr>
      <w:r>
        <w:rPr>
          <w:rStyle w:val="ab"/>
        </w:rPr>
        <w:footnoteRef/>
      </w:r>
      <w:r>
        <w:rPr>
          <w:rtl/>
        </w:rPr>
        <w:t xml:space="preserve"> </w:t>
      </w:r>
      <w:r w:rsidRPr="007D46E2">
        <w:rPr>
          <w:rFonts w:asciiTheme="minorBidi" w:hAnsiTheme="minorBidi" w:cs="Arial"/>
          <w:color w:val="000000"/>
          <w:rtl/>
        </w:rPr>
        <w:t>ואי לא דשליחא אמר ליה למשה לא הוה ידע</w:t>
      </w:r>
      <w:r>
        <w:rPr>
          <w:rFonts w:hint="cs"/>
          <w:rtl/>
        </w:rPr>
        <w:t>, רש"י.</w:t>
      </w:r>
      <w:r w:rsidRPr="00C323DF">
        <w:rPr>
          <w:rtl/>
        </w:rPr>
        <w:t xml:space="preserve"> </w:t>
      </w:r>
      <w:r w:rsidRPr="00C323DF">
        <w:rPr>
          <w:rFonts w:cs="Arial"/>
          <w:rtl/>
        </w:rPr>
        <w:t>ואי הוה ביה משום לשון הרע לא הוה מרע"ה כותבו בתורה</w:t>
      </w:r>
      <w:r>
        <w:rPr>
          <w:rFonts w:hint="cs"/>
          <w:rtl/>
        </w:rPr>
        <w:t xml:space="preserve">, סמ"ע </w:t>
      </w:r>
      <w:r w:rsidRPr="00214330">
        <w:rPr>
          <w:rFonts w:hint="cs"/>
          <w:sz w:val="16"/>
          <w:szCs w:val="16"/>
          <w:rtl/>
        </w:rPr>
        <w:t>(סקכ"ד)</w:t>
      </w:r>
      <w:r>
        <w:rPr>
          <w:rFonts w:hint="cs"/>
          <w:rtl/>
        </w:rPr>
        <w:t>.</w:t>
      </w:r>
    </w:p>
  </w:footnote>
  <w:footnote w:id="453">
    <w:p w14:paraId="6E86DF7E" w14:textId="77777777" w:rsidR="0013116F" w:rsidRDefault="0013116F" w:rsidP="000D7A15">
      <w:pPr>
        <w:pStyle w:val="a9"/>
        <w:rPr>
          <w:rtl/>
        </w:rPr>
      </w:pPr>
      <w:r>
        <w:rPr>
          <w:rStyle w:val="ab"/>
        </w:rPr>
        <w:footnoteRef/>
      </w:r>
      <w:r>
        <w:rPr>
          <w:rtl/>
        </w:rPr>
        <w:t xml:space="preserve"> </w:t>
      </w:r>
      <w:r>
        <w:rPr>
          <w:rFonts w:hint="cs"/>
          <w:rtl/>
        </w:rPr>
        <w:t xml:space="preserve">סימן </w:t>
      </w:r>
      <w:r>
        <w:rPr>
          <w:rtl/>
        </w:rPr>
        <w:t>–</w:t>
      </w:r>
      <w:r>
        <w:rPr>
          <w:rFonts w:hint="cs"/>
          <w:rtl/>
        </w:rPr>
        <w:t xml:space="preserve"> כח זרוע. </w:t>
      </w:r>
    </w:p>
  </w:footnote>
  <w:footnote w:id="454">
    <w:p w14:paraId="4738D76A" w14:textId="77777777" w:rsidR="0013116F" w:rsidRDefault="0013116F">
      <w:pPr>
        <w:pStyle w:val="a9"/>
        <w:rPr>
          <w:rtl/>
        </w:rPr>
      </w:pPr>
      <w:r>
        <w:rPr>
          <w:rStyle w:val="ab"/>
        </w:rPr>
        <w:footnoteRef/>
      </w:r>
      <w:r>
        <w:rPr>
          <w:rtl/>
        </w:rPr>
        <w:t xml:space="preserve"> </w:t>
      </w:r>
      <w:r w:rsidRPr="00CB6724">
        <w:rPr>
          <w:rFonts w:cs="Arial"/>
          <w:rtl/>
        </w:rPr>
        <w:t>מנהג הדיינין לגבות מן הבועט את חבירו בארכובתו של בועט ג' סלעים לבשת לפי שגדולה בשת מכת הארכובה מדחיפת היד</w:t>
      </w:r>
      <w:r>
        <w:rPr>
          <w:rFonts w:hint="cs"/>
          <w:rtl/>
        </w:rPr>
        <w:t>, רש"י</w:t>
      </w:r>
      <w:r w:rsidRPr="00CB6724">
        <w:rPr>
          <w:rFonts w:cs="Arial"/>
          <w:rtl/>
        </w:rPr>
        <w:t>.</w:t>
      </w:r>
    </w:p>
  </w:footnote>
  <w:footnote w:id="455">
    <w:p w14:paraId="6AACD40C" w14:textId="77777777" w:rsidR="0013116F" w:rsidRDefault="0013116F">
      <w:pPr>
        <w:pStyle w:val="a9"/>
      </w:pPr>
      <w:r>
        <w:rPr>
          <w:rStyle w:val="ab"/>
        </w:rPr>
        <w:footnoteRef/>
      </w:r>
      <w:r>
        <w:rPr>
          <w:rtl/>
        </w:rPr>
        <w:t xml:space="preserve"> </w:t>
      </w:r>
      <w:r w:rsidRPr="00E137E0">
        <w:rPr>
          <w:rFonts w:cs="Arial"/>
          <w:rtl/>
        </w:rPr>
        <w:t>דפנדא וקופינא</w:t>
      </w:r>
      <w:r>
        <w:rPr>
          <w:rFonts w:hint="cs"/>
          <w:rtl/>
        </w:rPr>
        <w:t>, רש"י</w:t>
      </w:r>
      <w:r w:rsidRPr="00E137E0">
        <w:rPr>
          <w:rFonts w:cs="Arial"/>
          <w:rtl/>
        </w:rPr>
        <w:t>.</w:t>
      </w:r>
    </w:p>
  </w:footnote>
  <w:footnote w:id="456">
    <w:p w14:paraId="034FC8B3" w14:textId="77777777" w:rsidR="0013116F" w:rsidRDefault="0013116F">
      <w:pPr>
        <w:pStyle w:val="a9"/>
      </w:pPr>
      <w:r>
        <w:rPr>
          <w:rStyle w:val="ab"/>
        </w:rPr>
        <w:footnoteRef/>
      </w:r>
      <w:r>
        <w:rPr>
          <w:rtl/>
        </w:rPr>
        <w:t xml:space="preserve"> </w:t>
      </w:r>
      <w:r w:rsidRPr="00E137E0">
        <w:rPr>
          <w:rFonts w:cs="Arial"/>
          <w:rtl/>
        </w:rPr>
        <w:t>בור מים מכונסין להשקות שדות</w:t>
      </w:r>
      <w:r>
        <w:rPr>
          <w:rFonts w:hint="cs"/>
          <w:rtl/>
        </w:rPr>
        <w:t>, רש"י</w:t>
      </w:r>
      <w:r w:rsidRPr="00E137E0">
        <w:rPr>
          <w:rFonts w:cs="Arial"/>
          <w:rtl/>
        </w:rPr>
        <w:t>.</w:t>
      </w:r>
      <w:r>
        <w:rPr>
          <w:rFonts w:hint="cs"/>
          <w:rtl/>
        </w:rPr>
        <w:t xml:space="preserve"> </w:t>
      </w:r>
    </w:p>
  </w:footnote>
  <w:footnote w:id="457">
    <w:p w14:paraId="26D32391" w14:textId="77777777" w:rsidR="0013116F" w:rsidRDefault="0013116F">
      <w:pPr>
        <w:pStyle w:val="a9"/>
        <w:rPr>
          <w:rtl/>
        </w:rPr>
      </w:pPr>
      <w:r>
        <w:rPr>
          <w:rStyle w:val="ab"/>
        </w:rPr>
        <w:footnoteRef/>
      </w:r>
      <w:r>
        <w:rPr>
          <w:rtl/>
        </w:rPr>
        <w:t xml:space="preserve"> </w:t>
      </w:r>
      <w:r w:rsidRPr="00E137E0">
        <w:rPr>
          <w:rFonts w:cs="Arial"/>
          <w:rtl/>
        </w:rPr>
        <w:t>ק' הכאות היה לו להכותו שהרי גזלו מימיו</w:t>
      </w:r>
      <w:r>
        <w:rPr>
          <w:rFonts w:hint="cs"/>
          <w:rtl/>
        </w:rPr>
        <w:t>, רש"י</w:t>
      </w:r>
      <w:r w:rsidRPr="00E137E0">
        <w:rPr>
          <w:rFonts w:cs="Arial"/>
          <w:rtl/>
        </w:rPr>
        <w:t>.</w:t>
      </w:r>
    </w:p>
  </w:footnote>
  <w:footnote w:id="458">
    <w:p w14:paraId="0D082F6C" w14:textId="77777777" w:rsidR="0013116F" w:rsidRDefault="0013116F">
      <w:pPr>
        <w:pStyle w:val="a9"/>
      </w:pPr>
      <w:r>
        <w:rPr>
          <w:rStyle w:val="ab"/>
        </w:rPr>
        <w:footnoteRef/>
      </w:r>
      <w:r>
        <w:rPr>
          <w:rtl/>
        </w:rPr>
        <w:t xml:space="preserve"> </w:t>
      </w:r>
      <w:r w:rsidRPr="000D7A15">
        <w:rPr>
          <w:rFonts w:cs="Arial"/>
          <w:rtl/>
        </w:rPr>
        <w:t>פירוש, כשיש שנים</w:t>
      </w:r>
      <w:r>
        <w:rPr>
          <w:rFonts w:cs="Arial" w:hint="cs"/>
          <w:rtl/>
        </w:rPr>
        <w:t xml:space="preserve"> -</w:t>
      </w:r>
      <w:r w:rsidRPr="000D7A15">
        <w:rPr>
          <w:rFonts w:cs="Arial"/>
          <w:rtl/>
        </w:rPr>
        <w:t xml:space="preserve"> מנגדין אותו, אבל כשאין עדים רק השליח בית דין לבד</w:t>
      </w:r>
      <w:r>
        <w:rPr>
          <w:rFonts w:cs="Arial" w:hint="cs"/>
          <w:rtl/>
        </w:rPr>
        <w:t xml:space="preserve"> -</w:t>
      </w:r>
      <w:r w:rsidRPr="000D7A15">
        <w:rPr>
          <w:rFonts w:cs="Arial"/>
          <w:rtl/>
        </w:rPr>
        <w:t xml:space="preserve"> אינו נאמן לנ</w:t>
      </w:r>
      <w:r>
        <w:rPr>
          <w:rFonts w:cs="Arial" w:hint="cs"/>
          <w:rtl/>
        </w:rPr>
        <w:t>ָ</w:t>
      </w:r>
      <w:r w:rsidRPr="000D7A15">
        <w:rPr>
          <w:rFonts w:cs="Arial"/>
          <w:rtl/>
        </w:rPr>
        <w:t>גדו רק לנדותו</w:t>
      </w:r>
      <w:r>
        <w:rPr>
          <w:rFonts w:cs="Arial" w:hint="cs"/>
          <w:rtl/>
        </w:rPr>
        <w:t>.</w:t>
      </w:r>
      <w:r w:rsidRPr="000D7A15">
        <w:rPr>
          <w:rFonts w:cs="Arial"/>
          <w:rtl/>
        </w:rPr>
        <w:t xml:space="preserve"> ואין שום חילוק בין ציערו לביזהו דהמבזהו היינו המצערו</w:t>
      </w:r>
      <w:r>
        <w:rPr>
          <w:rFonts w:cs="Arial" w:hint="cs"/>
          <w:rtl/>
        </w:rPr>
        <w:t>,</w:t>
      </w:r>
      <w:r w:rsidRPr="000D7A15">
        <w:rPr>
          <w:rFonts w:cs="Arial"/>
          <w:rtl/>
        </w:rPr>
        <w:t xml:space="preserve"> סמ"ע [סקכ"ג]</w:t>
      </w:r>
      <w:r>
        <w:rPr>
          <w:rFonts w:cs="Arial" w:hint="cs"/>
          <w:rtl/>
        </w:rPr>
        <w:t>, נתיבות (חידושים סק"ח). הטעם שאינו נאמן כדי לנָגדו</w:t>
      </w:r>
      <w:r w:rsidRPr="000D7A15">
        <w:rPr>
          <w:rFonts w:cs="Arial"/>
          <w:rtl/>
        </w:rPr>
        <w:t xml:space="preserve"> כתב הסמ"ע (סקכ"ג) כי ניגוד שולחין יד בגוף הבע"ד, ולשלוט בחבירו צריך שנים עדים, וזהו דוחק. ויותר מסתבר טעמו של הרב בעל כנה"ג (הגה"ט אות ח) דבשלמא בנידוי יש לשליח ב"ד מגו דאילו רצה אמר שסירב לבוא לב"ד והיה חייב נידוי, אף בזה נאמן, אבל על ניגוד לית ליה מגו כלל, ולכך אינו נאמן, ומסתברים דבריו</w:t>
      </w:r>
      <w:r>
        <w:rPr>
          <w:rFonts w:cs="Arial" w:hint="cs"/>
          <w:rtl/>
        </w:rPr>
        <w:t>, אורים (סק"י).</w:t>
      </w:r>
    </w:p>
  </w:footnote>
  <w:footnote w:id="459">
    <w:p w14:paraId="0E100021" w14:textId="77777777" w:rsidR="0013116F" w:rsidRDefault="0013116F">
      <w:pPr>
        <w:pStyle w:val="a9"/>
        <w:rPr>
          <w:rtl/>
        </w:rPr>
      </w:pPr>
      <w:r>
        <w:rPr>
          <w:rStyle w:val="ab"/>
        </w:rPr>
        <w:footnoteRef/>
      </w:r>
      <w:r>
        <w:rPr>
          <w:rtl/>
        </w:rPr>
        <w:t xml:space="preserve"> </w:t>
      </w:r>
      <w:r>
        <w:rPr>
          <w:rFonts w:hint="cs"/>
          <w:rtl/>
        </w:rPr>
        <w:t xml:space="preserve">תוספת הסמ"ע (סקכ"ה), וז"ל הסמ"ע- </w:t>
      </w:r>
      <w:r w:rsidRPr="00C323DF">
        <w:rPr>
          <w:rFonts w:cs="Arial"/>
          <w:rtl/>
        </w:rPr>
        <w:t>וכן אם הזיקו בממונו פטור, כצ"ל. וכן הוא שם [בר</w:t>
      </w:r>
      <w:r>
        <w:rPr>
          <w:rFonts w:cs="Arial" w:hint="cs"/>
          <w:rtl/>
        </w:rPr>
        <w:t>י"ו</w:t>
      </w:r>
      <w:r w:rsidRPr="00C323DF">
        <w:rPr>
          <w:rFonts w:cs="Arial"/>
          <w:rtl/>
        </w:rPr>
        <w:t>], וסיים שם וכתב דאפילו יכול להצילו בדבר אחר, עכ"ל</w:t>
      </w:r>
      <w:r>
        <w:rPr>
          <w:rFonts w:hint="cs"/>
          <w:rtl/>
        </w:rPr>
        <w:t>.</w:t>
      </w:r>
    </w:p>
  </w:footnote>
  <w:footnote w:id="460">
    <w:p w14:paraId="16E1A6D1" w14:textId="77777777" w:rsidR="0013116F" w:rsidRDefault="0013116F">
      <w:pPr>
        <w:pStyle w:val="a9"/>
        <w:rPr>
          <w:rtl/>
        </w:rPr>
      </w:pPr>
      <w:r>
        <w:rPr>
          <w:rStyle w:val="ab"/>
        </w:rPr>
        <w:footnoteRef/>
      </w:r>
      <w:r>
        <w:rPr>
          <w:rtl/>
        </w:rPr>
        <w:t xml:space="preserve"> </w:t>
      </w:r>
      <w:r>
        <w:rPr>
          <w:rFonts w:hint="cs"/>
          <w:rtl/>
        </w:rPr>
        <w:t xml:space="preserve">סימן </w:t>
      </w:r>
      <w:r>
        <w:rPr>
          <w:rtl/>
        </w:rPr>
        <w:t>–</w:t>
      </w:r>
      <w:r>
        <w:rPr>
          <w:rFonts w:hint="cs"/>
          <w:rtl/>
        </w:rPr>
        <w:t xml:space="preserve"> קשרי הדיין.</w:t>
      </w:r>
    </w:p>
  </w:footnote>
  <w:footnote w:id="461">
    <w:p w14:paraId="69C95592" w14:textId="77777777" w:rsidR="0013116F" w:rsidRDefault="0013116F">
      <w:pPr>
        <w:pStyle w:val="a9"/>
        <w:rPr>
          <w:rtl/>
        </w:rPr>
      </w:pPr>
      <w:r>
        <w:rPr>
          <w:rStyle w:val="ab"/>
        </w:rPr>
        <w:footnoteRef/>
      </w:r>
      <w:r>
        <w:rPr>
          <w:rtl/>
        </w:rPr>
        <w:t xml:space="preserve"> </w:t>
      </w:r>
      <w:r>
        <w:rPr>
          <w:rFonts w:hint="cs"/>
          <w:rtl/>
        </w:rPr>
        <w:t>או</w:t>
      </w:r>
      <w:r>
        <w:rPr>
          <w:rFonts w:cs="Arial" w:hint="cs"/>
          <w:rtl/>
        </w:rPr>
        <w:t xml:space="preserve"> </w:t>
      </w:r>
      <w:r w:rsidRPr="002515FE">
        <w:rPr>
          <w:rFonts w:cs="Arial"/>
          <w:rtl/>
        </w:rPr>
        <w:t>לחייב את החייב</w:t>
      </w:r>
      <w:r>
        <w:rPr>
          <w:rFonts w:cs="Arial" w:hint="cs"/>
          <w:rtl/>
        </w:rPr>
        <w:t>,</w:t>
      </w:r>
      <w:r w:rsidRPr="002515FE">
        <w:rPr>
          <w:rFonts w:cs="Arial"/>
          <w:rtl/>
        </w:rPr>
        <w:t xml:space="preserve"> ועובר בלא תעשה, והרי הוא בכלל ארור לוקח שוחד</w:t>
      </w:r>
      <w:r>
        <w:rPr>
          <w:rFonts w:cs="Arial" w:hint="cs"/>
          <w:rtl/>
        </w:rPr>
        <w:t>, ע"פ הרמב"ם.</w:t>
      </w:r>
    </w:p>
  </w:footnote>
  <w:footnote w:id="462">
    <w:p w14:paraId="6BE4C456" w14:textId="77777777" w:rsidR="0013116F" w:rsidRDefault="0013116F">
      <w:pPr>
        <w:pStyle w:val="a9"/>
      </w:pPr>
      <w:r>
        <w:rPr>
          <w:rStyle w:val="ab"/>
        </w:rPr>
        <w:footnoteRef/>
      </w:r>
      <w:r>
        <w:rPr>
          <w:rtl/>
        </w:rPr>
        <w:t xml:space="preserve"> </w:t>
      </w:r>
      <w:r w:rsidRPr="00A84C42">
        <w:rPr>
          <w:rFonts w:cs="Arial" w:hint="cs"/>
          <w:rtl/>
        </w:rPr>
        <w:t xml:space="preserve">וכ' הדרכ"מ (אות א) </w:t>
      </w:r>
      <w:r>
        <w:rPr>
          <w:rFonts w:cs="Arial" w:hint="cs"/>
          <w:rtl/>
        </w:rPr>
        <w:t>ד</w:t>
      </w:r>
      <w:r w:rsidRPr="00E21CFA">
        <w:rPr>
          <w:rFonts w:cs="Arial"/>
          <w:rtl/>
        </w:rPr>
        <w:t>במעשה דבר חמא דקטיל נפשא ורצה</w:t>
      </w:r>
      <w:r w:rsidRPr="00E21CFA">
        <w:rPr>
          <w:rFonts w:cs="Arial" w:hint="cs"/>
          <w:rtl/>
        </w:rPr>
        <w:t xml:space="preserve"> </w:t>
      </w:r>
      <w:r w:rsidRPr="00E21CFA">
        <w:rPr>
          <w:rFonts w:cs="Arial"/>
          <w:rtl/>
        </w:rPr>
        <w:t>לאכהויי לעיניה ורב פפא היפך בזכותו וקם בר חמא ונשקיה לכרעיה וקבל עליו כרגא דכוליה שני משמע דבכה</w:t>
      </w:r>
      <w:r>
        <w:rPr>
          <w:rFonts w:cs="Arial" w:hint="cs"/>
          <w:rtl/>
        </w:rPr>
        <w:t>"</w:t>
      </w:r>
      <w:r w:rsidRPr="00E21CFA">
        <w:rPr>
          <w:rFonts w:cs="Arial"/>
          <w:rtl/>
        </w:rPr>
        <w:t>ג שרי</w:t>
      </w:r>
      <w:r>
        <w:rPr>
          <w:rFonts w:cs="Arial" w:hint="cs"/>
          <w:rtl/>
        </w:rPr>
        <w:t>,</w:t>
      </w:r>
      <w:r w:rsidRPr="00E21CFA">
        <w:rPr>
          <w:rFonts w:cs="Arial"/>
          <w:rtl/>
        </w:rPr>
        <w:t xml:space="preserve"> וע</w:t>
      </w:r>
      <w:r>
        <w:rPr>
          <w:rFonts w:cs="Arial" w:hint="cs"/>
          <w:rtl/>
        </w:rPr>
        <w:t>"</w:t>
      </w:r>
      <w:r w:rsidRPr="00E21CFA">
        <w:rPr>
          <w:rFonts w:cs="Arial"/>
          <w:rtl/>
        </w:rPr>
        <w:t>ש באשר"י (סי' יז) דמשמע דוקא פטירת מס שרי אבל לא דבר אחר</w:t>
      </w:r>
      <w:r>
        <w:rPr>
          <w:rFonts w:hint="cs"/>
          <w:rtl/>
        </w:rPr>
        <w:t>.</w:t>
      </w:r>
    </w:p>
  </w:footnote>
  <w:footnote w:id="463">
    <w:p w14:paraId="424D1293" w14:textId="77777777" w:rsidR="0013116F" w:rsidRDefault="0013116F">
      <w:pPr>
        <w:pStyle w:val="a9"/>
        <w:rPr>
          <w:rtl/>
        </w:rPr>
      </w:pPr>
      <w:r>
        <w:rPr>
          <w:rStyle w:val="ab"/>
        </w:rPr>
        <w:footnoteRef/>
      </w:r>
      <w:r>
        <w:rPr>
          <w:rtl/>
        </w:rPr>
        <w:t xml:space="preserve"> </w:t>
      </w:r>
      <w:r w:rsidRPr="00DD4433">
        <w:rPr>
          <w:rFonts w:cs="Arial"/>
          <w:rtl/>
        </w:rPr>
        <w:t>וכן נראה מתשובת דברי הגאון שכתב רבינו בסמוך (ס"ו)</w:t>
      </w:r>
      <w:r>
        <w:rPr>
          <w:rFonts w:cs="Arial" w:hint="cs"/>
          <w:rtl/>
        </w:rPr>
        <w:t>, ב"י</w:t>
      </w:r>
      <w:r w:rsidRPr="00DD4433">
        <w:rPr>
          <w:rFonts w:cs="Arial"/>
          <w:rtl/>
        </w:rPr>
        <w:t>.</w:t>
      </w:r>
      <w:r>
        <w:rPr>
          <w:rFonts w:hint="cs"/>
          <w:rtl/>
        </w:rPr>
        <w:t xml:space="preserve"> </w:t>
      </w:r>
      <w:r>
        <w:rPr>
          <w:rFonts w:cs="Arial" w:hint="cs"/>
          <w:rtl/>
        </w:rPr>
        <w:t xml:space="preserve">וכ' </w:t>
      </w:r>
      <w:r w:rsidRPr="00C64D48">
        <w:rPr>
          <w:rFonts w:cs="Arial"/>
          <w:rtl/>
        </w:rPr>
        <w:t>ר</w:t>
      </w:r>
      <w:r>
        <w:rPr>
          <w:rFonts w:cs="Arial" w:hint="cs"/>
          <w:rtl/>
        </w:rPr>
        <w:t>'</w:t>
      </w:r>
      <w:r w:rsidRPr="00C64D48">
        <w:rPr>
          <w:rFonts w:cs="Arial"/>
          <w:rtl/>
        </w:rPr>
        <w:t xml:space="preserve"> דוד כהן </w:t>
      </w:r>
      <w:r w:rsidRPr="00DD4433">
        <w:rPr>
          <w:rFonts w:cs="Arial"/>
          <w:sz w:val="16"/>
          <w:szCs w:val="16"/>
          <w:rtl/>
        </w:rPr>
        <w:t>(סי</w:t>
      </w:r>
      <w:r w:rsidRPr="00DD4433">
        <w:rPr>
          <w:rFonts w:cs="Arial" w:hint="cs"/>
          <w:sz w:val="16"/>
          <w:szCs w:val="16"/>
          <w:rtl/>
        </w:rPr>
        <w:t>'</w:t>
      </w:r>
      <w:r w:rsidRPr="00DD4433">
        <w:rPr>
          <w:rFonts w:cs="Arial"/>
          <w:sz w:val="16"/>
          <w:szCs w:val="16"/>
          <w:rtl/>
        </w:rPr>
        <w:t xml:space="preserve"> כו</w:t>
      </w:r>
      <w:r w:rsidRPr="00DD4433">
        <w:rPr>
          <w:rFonts w:cs="Arial" w:hint="cs"/>
          <w:sz w:val="16"/>
          <w:szCs w:val="16"/>
          <w:rtl/>
        </w:rPr>
        <w:t xml:space="preserve"> </w:t>
      </w:r>
      <w:r w:rsidRPr="00DD4433">
        <w:rPr>
          <w:rFonts w:cs="Arial"/>
          <w:sz w:val="16"/>
          <w:szCs w:val="16"/>
          <w:rtl/>
        </w:rPr>
        <w:t>בית כב חדר א</w:t>
      </w:r>
      <w:r>
        <w:rPr>
          <w:rFonts w:cs="Arial" w:hint="cs"/>
          <w:sz w:val="16"/>
          <w:szCs w:val="16"/>
          <w:rtl/>
        </w:rPr>
        <w:t>, הביאו הדרכ"מ אות א</w:t>
      </w:r>
      <w:r w:rsidRPr="00DD4433">
        <w:rPr>
          <w:rFonts w:cs="Arial"/>
          <w:sz w:val="16"/>
          <w:szCs w:val="16"/>
          <w:rtl/>
        </w:rPr>
        <w:t>)</w:t>
      </w:r>
      <w:r>
        <w:rPr>
          <w:rFonts w:cs="Arial" w:hint="cs"/>
          <w:rtl/>
        </w:rPr>
        <w:t>-</w:t>
      </w:r>
      <w:r w:rsidRPr="00C64D48">
        <w:rPr>
          <w:rFonts w:cs="Arial"/>
          <w:rtl/>
        </w:rPr>
        <w:t xml:space="preserve"> הא דאינו אלא מדת חסידות היינו אם עשה לו כן שלא בפני בעל דין חבירו אבל בפניו ודאי אסור דבודאי נסתתמו טענות של חבירו עי</w:t>
      </w:r>
      <w:r>
        <w:rPr>
          <w:rFonts w:cs="Arial" w:hint="cs"/>
          <w:rtl/>
        </w:rPr>
        <w:t>"ז</w:t>
      </w:r>
      <w:r w:rsidRPr="00C64D48">
        <w:rPr>
          <w:rFonts w:cs="Arial"/>
          <w:rtl/>
        </w:rPr>
        <w:t>.</w:t>
      </w:r>
    </w:p>
  </w:footnote>
  <w:footnote w:id="464">
    <w:p w14:paraId="21CE6AA5" w14:textId="77777777" w:rsidR="0013116F" w:rsidRDefault="0013116F">
      <w:pPr>
        <w:pStyle w:val="a9"/>
        <w:rPr>
          <w:rtl/>
        </w:rPr>
      </w:pPr>
      <w:r>
        <w:rPr>
          <w:rStyle w:val="ab"/>
        </w:rPr>
        <w:footnoteRef/>
      </w:r>
      <w:r>
        <w:rPr>
          <w:rtl/>
        </w:rPr>
        <w:t xml:space="preserve"> </w:t>
      </w:r>
      <w:r>
        <w:rPr>
          <w:rFonts w:hint="cs"/>
          <w:rtl/>
        </w:rPr>
        <w:t xml:space="preserve">ויש להקשות, דהרי השו"ע פסק בסי' ז סע' ז לגבי אוהב ושונא כהרמב"ם </w:t>
      </w:r>
      <w:r w:rsidRPr="00BE57D2">
        <w:rPr>
          <w:rFonts w:hint="cs"/>
          <w:sz w:val="16"/>
          <w:szCs w:val="16"/>
          <w:rtl/>
        </w:rPr>
        <w:t>(ש</w:t>
      </w:r>
      <w:r w:rsidRPr="00BE57D2">
        <w:rPr>
          <w:rFonts w:cs="Arial"/>
          <w:sz w:val="16"/>
          <w:szCs w:val="16"/>
          <w:rtl/>
        </w:rPr>
        <w:t>אסור לדיין לדון למי שהוא אוהבו אע</w:t>
      </w:r>
      <w:r>
        <w:rPr>
          <w:rFonts w:cs="Arial" w:hint="cs"/>
          <w:sz w:val="16"/>
          <w:szCs w:val="16"/>
          <w:rtl/>
        </w:rPr>
        <w:t>"</w:t>
      </w:r>
      <w:r w:rsidRPr="00BE57D2">
        <w:rPr>
          <w:rFonts w:cs="Arial"/>
          <w:sz w:val="16"/>
          <w:szCs w:val="16"/>
          <w:rtl/>
        </w:rPr>
        <w:t>פ שאינו שושבינו ולא ריעו אשר כנפשו ולא למי ששונאו אע</w:t>
      </w:r>
      <w:r>
        <w:rPr>
          <w:rFonts w:cs="Arial" w:hint="cs"/>
          <w:sz w:val="16"/>
          <w:szCs w:val="16"/>
          <w:rtl/>
        </w:rPr>
        <w:t>"</w:t>
      </w:r>
      <w:r w:rsidRPr="00BE57D2">
        <w:rPr>
          <w:rFonts w:cs="Arial"/>
          <w:sz w:val="16"/>
          <w:szCs w:val="16"/>
          <w:rtl/>
        </w:rPr>
        <w:t>פ שאינו אויב לו ולא מבקש רעתו</w:t>
      </w:r>
      <w:r>
        <w:rPr>
          <w:rFonts w:cs="Arial" w:hint="cs"/>
          <w:sz w:val="16"/>
          <w:szCs w:val="16"/>
          <w:rtl/>
        </w:rPr>
        <w:t>)</w:t>
      </w:r>
      <w:r>
        <w:rPr>
          <w:rFonts w:hint="cs"/>
          <w:rtl/>
        </w:rPr>
        <w:t xml:space="preserve"> א"כ כן כיצד פסק בסע' ב' כהתוס' וכהגאון </w:t>
      </w:r>
      <w:r w:rsidRPr="00A94D60">
        <w:rPr>
          <w:rFonts w:hint="cs"/>
          <w:sz w:val="16"/>
          <w:szCs w:val="16"/>
          <w:rtl/>
        </w:rPr>
        <w:t>(שיביא הטור לקמן בסע' ב)</w:t>
      </w:r>
      <w:r>
        <w:rPr>
          <w:rFonts w:hint="cs"/>
          <w:rtl/>
        </w:rPr>
        <w:t xml:space="preserve">. אלא צריך לחלק שבסי' ז פסק השו"ע כהרמב"ם לגבי גדר מהו שונא ומהו אוהב שאסור לדיין לדונו </w:t>
      </w:r>
      <w:r w:rsidRPr="00A94D60">
        <w:rPr>
          <w:rFonts w:hint="cs"/>
          <w:sz w:val="16"/>
          <w:szCs w:val="16"/>
          <w:rtl/>
        </w:rPr>
        <w:t>(ואם דן דינו דין)</w:t>
      </w:r>
      <w:r>
        <w:rPr>
          <w:rFonts w:hint="cs"/>
          <w:rtl/>
        </w:rPr>
        <w:t>, אבל בסי' הזה סע' ב'</w:t>
      </w:r>
      <w:r w:rsidRPr="00A94D60">
        <w:rPr>
          <w:rFonts w:hint="cs"/>
          <w:rtl/>
        </w:rPr>
        <w:t xml:space="preserve"> </w:t>
      </w:r>
      <w:r>
        <w:rPr>
          <w:rFonts w:hint="cs"/>
          <w:rtl/>
        </w:rPr>
        <w:t xml:space="preserve">לא פסק כהרמב"ם משום דלא מיירי הכא מאוהב ושונא אלא מיירי הכא </w:t>
      </w:r>
      <w:r w:rsidRPr="00A94D60">
        <w:rPr>
          <w:rFonts w:hint="cs"/>
          <w:rtl/>
        </w:rPr>
        <w:t>לגבי שוחד דברים (סע' א) או שהקדים הבעל דין ונתן לדיין מתנה (סע' ב)</w:t>
      </w:r>
      <w:r>
        <w:rPr>
          <w:rFonts w:hint="cs"/>
          <w:rtl/>
        </w:rPr>
        <w:t xml:space="preserve"> שהם בסה"כ רק דברים שיכולים להביאו להיות בגדר 'אוהב'</w:t>
      </w:r>
      <w:r w:rsidRPr="00A94D60">
        <w:rPr>
          <w:rFonts w:hint="cs"/>
          <w:sz w:val="16"/>
          <w:szCs w:val="16"/>
          <w:rtl/>
        </w:rPr>
        <w:t xml:space="preserve"> </w:t>
      </w:r>
      <w:r>
        <w:rPr>
          <w:rFonts w:hint="cs"/>
          <w:sz w:val="16"/>
          <w:szCs w:val="16"/>
          <w:rtl/>
        </w:rPr>
        <w:t>(</w:t>
      </w:r>
      <w:r w:rsidRPr="00A94D60">
        <w:rPr>
          <w:rFonts w:hint="cs"/>
          <w:sz w:val="16"/>
          <w:szCs w:val="16"/>
          <w:rtl/>
        </w:rPr>
        <w:t>שדובר עליו כבר בסי' ז)</w:t>
      </w:r>
      <w:r>
        <w:rPr>
          <w:rFonts w:hint="cs"/>
          <w:rtl/>
        </w:rPr>
        <w:t xml:space="preserve">, ולכן אינו נפסל מדינא אלא צריך לבדוק את עצמו אם נתקרבה דעתו לבעל דין בעקבות כך אם לאו </w:t>
      </w:r>
      <w:r>
        <w:rPr>
          <w:rFonts w:hint="cs"/>
          <w:sz w:val="16"/>
          <w:szCs w:val="16"/>
          <w:rtl/>
        </w:rPr>
        <w:t>(ולכן גם לא העתיק כאן [סע' א] את לשון הרמב"ם אלא כתב רק 'ולא שוחד ממון בלבד אלא אפילו שוחד דברים',</w:t>
      </w:r>
      <w:r>
        <w:rPr>
          <w:rFonts w:hint="cs"/>
          <w:rtl/>
        </w:rPr>
        <w:t xml:space="preserve"> </w:t>
      </w:r>
      <w:r w:rsidRPr="00A94D60">
        <w:rPr>
          <w:rFonts w:hint="cs"/>
          <w:sz w:val="16"/>
          <w:szCs w:val="16"/>
          <w:rtl/>
        </w:rPr>
        <w:t>משום שהרמב"ם לא מחלק אלא מכיון שעזר לו לעלות מהספינה וכדו' הרי נכנס בכלל אוהב גם אם לא מרגיש כך</w:t>
      </w:r>
      <w:r>
        <w:rPr>
          <w:rFonts w:hint="cs"/>
          <w:sz w:val="16"/>
          <w:szCs w:val="16"/>
          <w:rtl/>
        </w:rPr>
        <w:t xml:space="preserve">. </w:t>
      </w:r>
      <w:r w:rsidRPr="00A94D60">
        <w:rPr>
          <w:rFonts w:hint="cs"/>
          <w:sz w:val="16"/>
          <w:szCs w:val="16"/>
          <w:rtl/>
        </w:rPr>
        <w:t>יוצא שהשו"ע עשה כאן ממוצע בין דעת הרמב"ם לתוס'</w:t>
      </w:r>
      <w:r>
        <w:rPr>
          <w:rFonts w:hint="cs"/>
          <w:sz w:val="16"/>
          <w:szCs w:val="16"/>
          <w:rtl/>
        </w:rPr>
        <w:t>, שהרי הב"י כתב בפירוש שנראה לו שדעת הגאון היא כהתוס', א"כ גלוי היה לו שפוסק [בסע' ב] לכאורה להפך מה שפסק בסי' ז, ומכיון שאעפ"כ פסק כאן כהתוס' והגאון משמע דסבר דלא סתרי דבריו אהדדי, וכדלעיל)</w:t>
      </w:r>
      <w:r>
        <w:rPr>
          <w:rFonts w:hint="cs"/>
          <w:rtl/>
        </w:rPr>
        <w:t>. וממידת חסידות יכול לפרוש מדין זה גם אם אינו מרגיש קורבה, וכמו שעשו כל הני אמוראי.</w:t>
      </w:r>
    </w:p>
  </w:footnote>
  <w:footnote w:id="465">
    <w:p w14:paraId="06DDFC3C" w14:textId="77777777" w:rsidR="0013116F" w:rsidRDefault="0013116F">
      <w:pPr>
        <w:pStyle w:val="a9"/>
      </w:pPr>
      <w:r>
        <w:rPr>
          <w:rStyle w:val="ab"/>
        </w:rPr>
        <w:footnoteRef/>
      </w:r>
      <w:r>
        <w:rPr>
          <w:rtl/>
        </w:rPr>
        <w:t xml:space="preserve"> </w:t>
      </w:r>
      <w:r w:rsidRPr="00282B40">
        <w:rPr>
          <w:rFonts w:cs="Arial"/>
          <w:rtl/>
        </w:rPr>
        <w:t>דרגיל לישאל מבני עירו בהמות וכלים</w:t>
      </w:r>
      <w:r>
        <w:rPr>
          <w:rFonts w:cs="Arial" w:hint="cs"/>
          <w:rtl/>
        </w:rPr>
        <w:t>, רש"י</w:t>
      </w:r>
      <w:r w:rsidRPr="00282B40">
        <w:rPr>
          <w:rFonts w:cs="Arial"/>
          <w:rtl/>
        </w:rPr>
        <w:t>.</w:t>
      </w:r>
    </w:p>
  </w:footnote>
  <w:footnote w:id="466">
    <w:p w14:paraId="0D22376E" w14:textId="77777777" w:rsidR="0013116F" w:rsidRDefault="0013116F">
      <w:pPr>
        <w:pStyle w:val="a9"/>
      </w:pPr>
      <w:r>
        <w:rPr>
          <w:rStyle w:val="ab"/>
        </w:rPr>
        <w:footnoteRef/>
      </w:r>
      <w:r>
        <w:rPr>
          <w:rtl/>
        </w:rPr>
        <w:t xml:space="preserve"> </w:t>
      </w:r>
      <w:r w:rsidRPr="00282B40">
        <w:rPr>
          <w:rFonts w:cs="Arial"/>
          <w:rtl/>
        </w:rPr>
        <w:t>שרצה רבא להחשיבם ולכן שאל מהם אע</w:t>
      </w:r>
      <w:r>
        <w:rPr>
          <w:rFonts w:cs="Arial" w:hint="cs"/>
          <w:rtl/>
        </w:rPr>
        <w:t>"</w:t>
      </w:r>
      <w:r w:rsidRPr="00282B40">
        <w:rPr>
          <w:rFonts w:cs="Arial"/>
          <w:rtl/>
        </w:rPr>
        <w:t>פ שהם לא שאלו ממנו, אך יכול היה רבא עצמו להשאילם</w:t>
      </w:r>
      <w:r>
        <w:rPr>
          <w:rFonts w:cs="Arial" w:hint="cs"/>
          <w:rtl/>
        </w:rPr>
        <w:t xml:space="preserve"> </w:t>
      </w:r>
      <w:r w:rsidRPr="00212A06">
        <w:rPr>
          <w:rFonts w:cs="Arial" w:hint="cs"/>
          <w:sz w:val="16"/>
          <w:szCs w:val="16"/>
          <w:rtl/>
        </w:rPr>
        <w:t>(חברותא</w:t>
      </w:r>
      <w:r>
        <w:rPr>
          <w:rFonts w:cs="Arial" w:hint="cs"/>
          <w:sz w:val="16"/>
          <w:szCs w:val="16"/>
          <w:rtl/>
        </w:rPr>
        <w:t>)</w:t>
      </w:r>
      <w:r w:rsidRPr="00282B40">
        <w:rPr>
          <w:rFonts w:cs="Arial"/>
          <w:rtl/>
        </w:rPr>
        <w:t>.</w:t>
      </w:r>
    </w:p>
  </w:footnote>
  <w:footnote w:id="467">
    <w:p w14:paraId="74B54230" w14:textId="77777777" w:rsidR="0013116F" w:rsidRDefault="0013116F">
      <w:pPr>
        <w:pStyle w:val="a9"/>
        <w:rPr>
          <w:rtl/>
        </w:rPr>
      </w:pPr>
      <w:r>
        <w:rPr>
          <w:rStyle w:val="ab"/>
        </w:rPr>
        <w:footnoteRef/>
      </w:r>
      <w:r>
        <w:rPr>
          <w:rtl/>
        </w:rPr>
        <w:t xml:space="preserve"> </w:t>
      </w:r>
      <w:r>
        <w:rPr>
          <w:rFonts w:hint="cs"/>
          <w:rtl/>
        </w:rPr>
        <w:t>צל"ע מדוע הב"י לא התייחס לשוני בין דברי הטור לרמב"ם. אמנם הפרישה</w:t>
      </w:r>
      <w:r w:rsidRPr="00541E33">
        <w:rPr>
          <w:rFonts w:hint="cs"/>
          <w:sz w:val="16"/>
          <w:szCs w:val="16"/>
          <w:rtl/>
        </w:rPr>
        <w:t xml:space="preserve"> (סע' ה) </w:t>
      </w:r>
      <w:r>
        <w:rPr>
          <w:rFonts w:hint="cs"/>
          <w:rtl/>
        </w:rPr>
        <w:t>כן התייחס לזה וכ' דמוכרחים אנו לפרש את דברי הטור כדברי הרמב"ם.</w:t>
      </w:r>
    </w:p>
  </w:footnote>
  <w:footnote w:id="468">
    <w:p w14:paraId="68B9135C" w14:textId="77777777" w:rsidR="0013116F" w:rsidRPr="009801CE" w:rsidRDefault="0013116F" w:rsidP="004B6FE7">
      <w:pPr>
        <w:pStyle w:val="a9"/>
      </w:pPr>
      <w:r w:rsidRPr="009801CE">
        <w:rPr>
          <w:rStyle w:val="ab"/>
        </w:rPr>
        <w:footnoteRef/>
      </w:r>
      <w:r w:rsidRPr="009801CE">
        <w:rPr>
          <w:rtl/>
        </w:rPr>
        <w:t xml:space="preserve"> </w:t>
      </w:r>
      <w:r w:rsidRPr="009801CE">
        <w:rPr>
          <w:rFonts w:asciiTheme="minorBidi" w:hAnsiTheme="minorBidi" w:hint="cs"/>
          <w:rtl/>
        </w:rPr>
        <w:t>בהגהותיו על הסמ"ק מצוה רכט, הגה רפז</w:t>
      </w:r>
      <w:r w:rsidRPr="009801CE">
        <w:rPr>
          <w:rFonts w:asciiTheme="minorBidi" w:hAnsiTheme="minorBidi" w:hint="cs"/>
          <w:sz w:val="16"/>
          <w:szCs w:val="16"/>
          <w:rtl/>
        </w:rPr>
        <w:t xml:space="preserve"> (העתיק המהרי"ק [</w:t>
      </w:r>
      <w:r w:rsidRPr="009801CE">
        <w:rPr>
          <w:rFonts w:asciiTheme="minorBidi" w:hAnsiTheme="minorBidi"/>
          <w:sz w:val="16"/>
          <w:szCs w:val="16"/>
          <w:rtl/>
        </w:rPr>
        <w:t>שורש טז ענף ב</w:t>
      </w:r>
      <w:r w:rsidRPr="009801CE">
        <w:rPr>
          <w:rFonts w:asciiTheme="minorBidi" w:hAnsiTheme="minorBidi" w:hint="cs"/>
          <w:sz w:val="16"/>
          <w:szCs w:val="16"/>
          <w:rtl/>
        </w:rPr>
        <w:t>] דבריו</w:t>
      </w:r>
      <w:r w:rsidRPr="009801CE">
        <w:rPr>
          <w:rFonts w:asciiTheme="minorBidi" w:hAnsiTheme="minorBidi"/>
          <w:sz w:val="16"/>
          <w:szCs w:val="16"/>
          <w:rtl/>
        </w:rPr>
        <w:t xml:space="preserve">, </w:t>
      </w:r>
      <w:r>
        <w:rPr>
          <w:rFonts w:asciiTheme="minorBidi" w:hAnsiTheme="minorBidi" w:hint="cs"/>
          <w:sz w:val="16"/>
          <w:szCs w:val="16"/>
          <w:rtl/>
        </w:rPr>
        <w:t xml:space="preserve">ושלח הב"י עיין בדברי מהרי"ק הללו, </w:t>
      </w:r>
      <w:r w:rsidRPr="009801CE">
        <w:rPr>
          <w:rFonts w:asciiTheme="minorBidi" w:hAnsiTheme="minorBidi" w:hint="cs"/>
          <w:sz w:val="16"/>
          <w:szCs w:val="16"/>
          <w:rtl/>
        </w:rPr>
        <w:t>ו</w:t>
      </w:r>
      <w:r w:rsidRPr="009801CE">
        <w:rPr>
          <w:rFonts w:asciiTheme="minorBidi" w:hAnsiTheme="minorBidi"/>
          <w:sz w:val="16"/>
          <w:szCs w:val="16"/>
          <w:rtl/>
        </w:rPr>
        <w:t xml:space="preserve">הביא הדרכ"מ </w:t>
      </w:r>
      <w:r w:rsidRPr="009801CE">
        <w:rPr>
          <w:rFonts w:asciiTheme="minorBidi" w:hAnsiTheme="minorBidi" w:hint="cs"/>
          <w:sz w:val="16"/>
          <w:szCs w:val="16"/>
          <w:rtl/>
        </w:rPr>
        <w:t>[</w:t>
      </w:r>
      <w:r w:rsidRPr="009801CE">
        <w:rPr>
          <w:rFonts w:asciiTheme="minorBidi" w:hAnsiTheme="minorBidi"/>
          <w:sz w:val="16"/>
          <w:szCs w:val="16"/>
          <w:rtl/>
        </w:rPr>
        <w:t>אות א</w:t>
      </w:r>
      <w:r w:rsidRPr="009801CE">
        <w:rPr>
          <w:rFonts w:asciiTheme="minorBidi" w:hAnsiTheme="minorBidi" w:hint="cs"/>
          <w:sz w:val="16"/>
          <w:szCs w:val="16"/>
          <w:rtl/>
        </w:rPr>
        <w:t>] חלק מ</w:t>
      </w:r>
      <w:r>
        <w:rPr>
          <w:rFonts w:asciiTheme="minorBidi" w:hAnsiTheme="minorBidi" w:hint="cs"/>
          <w:sz w:val="16"/>
          <w:szCs w:val="16"/>
          <w:rtl/>
        </w:rPr>
        <w:t>מה שהעתיק מהרי"ק מהסמ"ק מצוריך</w:t>
      </w:r>
      <w:r w:rsidRPr="009801CE">
        <w:rPr>
          <w:rFonts w:asciiTheme="minorBidi" w:hAnsiTheme="minorBidi" w:hint="cs"/>
          <w:sz w:val="16"/>
          <w:szCs w:val="16"/>
          <w:rtl/>
        </w:rPr>
        <w:t>)</w:t>
      </w:r>
      <w:r w:rsidRPr="009801CE">
        <w:rPr>
          <w:rFonts w:asciiTheme="minorBidi" w:hAnsiTheme="minorBidi" w:hint="cs"/>
          <w:rtl/>
        </w:rPr>
        <w:t>.</w:t>
      </w:r>
      <w:r>
        <w:rPr>
          <w:rFonts w:asciiTheme="minorBidi" w:hAnsiTheme="minorBidi" w:hint="cs"/>
          <w:rtl/>
        </w:rPr>
        <w:t xml:space="preserve"> הסמ"ק מצוריך הינו אחד מהראשונים ושמו ר' משה מצוריך. ר' משה חי בעיר ציריך שבשויצריה, יש אומרים שנולד בשנת פטרית הרשב"א (שנת ה' ע', [1310 למניינם])</w:t>
      </w:r>
      <w:r w:rsidRPr="004B6FE7">
        <w:rPr>
          <w:rFonts w:asciiTheme="minorBidi" w:hAnsiTheme="minorBidi" w:hint="cs"/>
          <w:rtl/>
        </w:rPr>
        <w:t xml:space="preserve"> </w:t>
      </w:r>
      <w:r>
        <w:rPr>
          <w:rFonts w:asciiTheme="minorBidi" w:hAnsiTheme="minorBidi" w:hint="cs"/>
          <w:rtl/>
        </w:rPr>
        <w:t xml:space="preserve">ויש אומרים שהיה בן דורו של הרשב"א. ר' משה כתב הרבה הגהות והלכות על דברי הסמ"ק, דבריו יצאו כספר הנקרא 'הסמ"ק מצוריך' שבו מובאים דברי הסמ"ק למעלה ודברי הסמ"ק מצוריך למטה. </w:t>
      </w:r>
    </w:p>
  </w:footnote>
  <w:footnote w:id="469">
    <w:p w14:paraId="1F28AE3B" w14:textId="77777777" w:rsidR="0013116F" w:rsidRDefault="0013116F">
      <w:pPr>
        <w:pStyle w:val="a9"/>
        <w:rPr>
          <w:rtl/>
        </w:rPr>
      </w:pPr>
      <w:r>
        <w:rPr>
          <w:rStyle w:val="ab"/>
        </w:rPr>
        <w:footnoteRef/>
      </w:r>
      <w:r>
        <w:rPr>
          <w:rtl/>
        </w:rPr>
        <w:t xml:space="preserve"> </w:t>
      </w:r>
      <w:r>
        <w:rPr>
          <w:rFonts w:hint="cs"/>
          <w:rtl/>
        </w:rPr>
        <w:t xml:space="preserve">וכ"כ רש"י שם (ד"ה דשאיל שאילתא) וז"ל- </w:t>
      </w:r>
      <w:r w:rsidRPr="001F0540">
        <w:rPr>
          <w:rFonts w:hint="cs"/>
          <w:b/>
          <w:bCs/>
          <w:rtl/>
        </w:rPr>
        <w:t>דרגיל</w:t>
      </w:r>
      <w:r>
        <w:rPr>
          <w:rFonts w:hint="cs"/>
          <w:rtl/>
        </w:rPr>
        <w:t xml:space="preserve"> לישאל מבני עירו בהמות וכלים.</w:t>
      </w:r>
    </w:p>
  </w:footnote>
  <w:footnote w:id="470">
    <w:p w14:paraId="76B0BFEF" w14:textId="77777777" w:rsidR="0013116F" w:rsidRDefault="0013116F">
      <w:pPr>
        <w:pStyle w:val="a9"/>
      </w:pPr>
      <w:r>
        <w:rPr>
          <w:rStyle w:val="ab"/>
        </w:rPr>
        <w:footnoteRef/>
      </w:r>
      <w:r>
        <w:rPr>
          <w:rtl/>
        </w:rPr>
        <w:t xml:space="preserve"> </w:t>
      </w:r>
      <w:r w:rsidRPr="00F179BB">
        <w:rPr>
          <w:rFonts w:cs="Arial"/>
          <w:rtl/>
        </w:rPr>
        <w:t>אבל בלא תביעה א"צ להחזירו כיון דלא קיבלו אלא מרצון הנותן וכדי לזכות את הזכאי</w:t>
      </w:r>
      <w:r>
        <w:rPr>
          <w:rFonts w:cs="Arial" w:hint="cs"/>
          <w:rtl/>
        </w:rPr>
        <w:t xml:space="preserve">, סמ"ע (סק"ג). </w:t>
      </w:r>
    </w:p>
  </w:footnote>
  <w:footnote w:id="471">
    <w:p w14:paraId="75C01DFF" w14:textId="77777777" w:rsidR="0013116F" w:rsidRDefault="0013116F">
      <w:pPr>
        <w:pStyle w:val="a9"/>
      </w:pPr>
      <w:r>
        <w:rPr>
          <w:rStyle w:val="ab"/>
        </w:rPr>
        <w:footnoteRef/>
      </w:r>
      <w:r>
        <w:rPr>
          <w:rtl/>
        </w:rPr>
        <w:t xml:space="preserve"> </w:t>
      </w:r>
      <w:r w:rsidRPr="00541E33">
        <w:rPr>
          <w:rFonts w:cs="Arial"/>
          <w:rtl/>
        </w:rPr>
        <w:t>בפרישה [סעיף ד'] כתבתי דר"ל שוחד ענינים כמו ההוא דנטל גדפא מהדיין או כיסה רוק שלפניו, וכן משמע בגמ' [כתובות שם]. מיהו אפילו שוחד דברים ממש ג"כ אסור, כמו להקדים לו שלום ולא היה דרכו להקדים לו שלום, וכל כיוצא בזה, וכמו שאסרו דברים כאלו באיסור ריבית, כמ"ש הטור והמחבר ביו"ד סימן ק"ס [סעיף י"א], עיין שם</w:t>
      </w:r>
      <w:r>
        <w:rPr>
          <w:rFonts w:cs="Arial" w:hint="cs"/>
          <w:rtl/>
        </w:rPr>
        <w:t>, סמ"ע (סק"ד).</w:t>
      </w:r>
    </w:p>
  </w:footnote>
  <w:footnote w:id="472">
    <w:p w14:paraId="664BA84F" w14:textId="77777777" w:rsidR="0013116F" w:rsidRDefault="0013116F">
      <w:pPr>
        <w:pStyle w:val="a9"/>
        <w:rPr>
          <w:rtl/>
        </w:rPr>
      </w:pPr>
      <w:r>
        <w:rPr>
          <w:rStyle w:val="ab"/>
        </w:rPr>
        <w:footnoteRef/>
      </w:r>
      <w:r>
        <w:rPr>
          <w:rtl/>
        </w:rPr>
        <w:t xml:space="preserve"> </w:t>
      </w:r>
      <w:r w:rsidRPr="008469B4">
        <w:rPr>
          <w:rFonts w:cs="Arial"/>
          <w:rtl/>
        </w:rPr>
        <w:t>אפילו אם בשעה ששלח לו היתה תביעתו מפורסמת שיתבענו באותה תביעה. טור [סעיף ו']</w:t>
      </w:r>
      <w:r>
        <w:rPr>
          <w:rFonts w:hint="cs"/>
          <w:rtl/>
        </w:rPr>
        <w:t>, סמ"ע (סק"ו).</w:t>
      </w:r>
    </w:p>
  </w:footnote>
  <w:footnote w:id="473">
    <w:p w14:paraId="7F84D575" w14:textId="77777777" w:rsidR="0013116F" w:rsidRDefault="0013116F">
      <w:pPr>
        <w:pStyle w:val="a9"/>
        <w:rPr>
          <w:rtl/>
        </w:rPr>
      </w:pPr>
      <w:r>
        <w:rPr>
          <w:rStyle w:val="ab"/>
        </w:rPr>
        <w:footnoteRef/>
      </w:r>
      <w:r>
        <w:rPr>
          <w:rtl/>
        </w:rPr>
        <w:t xml:space="preserve"> </w:t>
      </w:r>
      <w:r w:rsidRPr="00541E33">
        <w:rPr>
          <w:rFonts w:cs="Arial"/>
          <w:rtl/>
        </w:rPr>
        <w:t>וכתב מהרד"ך (</w:t>
      </w:r>
      <w:r>
        <w:rPr>
          <w:rFonts w:cs="Arial" w:hint="cs"/>
          <w:rtl/>
        </w:rPr>
        <w:t xml:space="preserve">בית </w:t>
      </w:r>
      <w:r w:rsidRPr="00541E33">
        <w:rPr>
          <w:rFonts w:cs="Arial"/>
          <w:rtl/>
        </w:rPr>
        <w:t>כ"ב חדר א</w:t>
      </w:r>
      <w:r>
        <w:rPr>
          <w:rFonts w:cs="Arial" w:hint="cs"/>
          <w:rtl/>
        </w:rPr>
        <w:t>)</w:t>
      </w:r>
      <w:r w:rsidRPr="00541E33">
        <w:rPr>
          <w:rFonts w:cs="Arial"/>
          <w:rtl/>
        </w:rPr>
        <w:t>, הא דאינו אלא מדת חסידות, היינו כשעשה כן להדיין שלא בפני בע"ד חבירו, אבל בפניו ודאי אסור דודאי יסתתמו טענותיו, וק"ל, ועיין ד"מ ו' הביאו</w:t>
      </w:r>
      <w:r>
        <w:rPr>
          <w:rFonts w:hint="cs"/>
          <w:rtl/>
        </w:rPr>
        <w:t>, סמ"ע (סק"ז). וכ"כ הש"ך (סק"ד).</w:t>
      </w:r>
    </w:p>
  </w:footnote>
  <w:footnote w:id="474">
    <w:p w14:paraId="25FDE5E3" w14:textId="77777777" w:rsidR="0013116F" w:rsidRDefault="0013116F">
      <w:pPr>
        <w:pStyle w:val="a9"/>
      </w:pPr>
      <w:r>
        <w:rPr>
          <w:rStyle w:val="ab"/>
        </w:rPr>
        <w:footnoteRef/>
      </w:r>
      <w:r>
        <w:rPr>
          <w:rtl/>
        </w:rPr>
        <w:t xml:space="preserve"> </w:t>
      </w:r>
      <w:r>
        <w:rPr>
          <w:rFonts w:hint="cs"/>
          <w:rtl/>
        </w:rPr>
        <w:t xml:space="preserve">סימן </w:t>
      </w:r>
      <w:r>
        <w:rPr>
          <w:rtl/>
        </w:rPr>
        <w:t>–</w:t>
      </w:r>
      <w:r>
        <w:rPr>
          <w:rFonts w:hint="cs"/>
          <w:rtl/>
        </w:rPr>
        <w:t xml:space="preserve"> קופת הדיינים.</w:t>
      </w:r>
    </w:p>
  </w:footnote>
  <w:footnote w:id="475">
    <w:p w14:paraId="1868FD06" w14:textId="77777777" w:rsidR="0013116F" w:rsidRDefault="0013116F">
      <w:pPr>
        <w:pStyle w:val="a9"/>
      </w:pPr>
      <w:r>
        <w:rPr>
          <w:rStyle w:val="ab"/>
        </w:rPr>
        <w:footnoteRef/>
      </w:r>
      <w:r>
        <w:rPr>
          <w:rtl/>
        </w:rPr>
        <w:t xml:space="preserve"> </w:t>
      </w:r>
      <w:r w:rsidRPr="00C64D48">
        <w:rPr>
          <w:rFonts w:cs="Arial"/>
          <w:rtl/>
        </w:rPr>
        <w:t>נראה דהכי קאמר נהגו ברוב מקומות וכו' ומגבין אותו בתחלת השנה או בסופה והשתא קאמר דטפי עדיף להגבותם בתחלת השנה מבסופה משום דאם אין מגבין להם אלא בסופה אפשר שיתעצלו הקהל מלהגבותם ויצטרכו הדיינים לטרוח בכך לבקש מהם שיגבום ונמצאו שצריכים להחזיק טובה למשתדלים בדבר</w:t>
      </w:r>
      <w:r>
        <w:rPr>
          <w:rFonts w:cs="Arial" w:hint="cs"/>
          <w:rtl/>
        </w:rPr>
        <w:t>, ב"י.</w:t>
      </w:r>
      <w:r>
        <w:rPr>
          <w:rFonts w:hint="cs"/>
          <w:rtl/>
        </w:rPr>
        <w:t xml:space="preserve"> </w:t>
      </w:r>
      <w:r w:rsidRPr="008469B4">
        <w:rPr>
          <w:rFonts w:hint="cs"/>
          <w:color w:val="00B0F0"/>
          <w:rtl/>
        </w:rPr>
        <w:t>(וכ"פ הרמ"א)</w:t>
      </w:r>
    </w:p>
  </w:footnote>
  <w:footnote w:id="476">
    <w:p w14:paraId="0EBF9491" w14:textId="77777777" w:rsidR="0013116F" w:rsidRDefault="0013116F">
      <w:pPr>
        <w:pStyle w:val="a9"/>
        <w:rPr>
          <w:rtl/>
        </w:rPr>
      </w:pPr>
      <w:r>
        <w:rPr>
          <w:rStyle w:val="ab"/>
        </w:rPr>
        <w:footnoteRef/>
      </w:r>
      <w:r>
        <w:rPr>
          <w:rtl/>
        </w:rPr>
        <w:t xml:space="preserve"> </w:t>
      </w:r>
      <w:r w:rsidRPr="005E0089">
        <w:rPr>
          <w:rFonts w:cs="Arial"/>
          <w:rtl/>
        </w:rPr>
        <w:t>ילפינן לה [יומא יח</w:t>
      </w:r>
      <w:r>
        <w:rPr>
          <w:rFonts w:cs="Arial" w:hint="cs"/>
          <w:rtl/>
        </w:rPr>
        <w:t>.</w:t>
      </w:r>
      <w:r w:rsidRPr="005E0089">
        <w:rPr>
          <w:rFonts w:cs="Arial"/>
          <w:rtl/>
        </w:rPr>
        <w:t>] מדכתיב [ויקרא כא י] והכהן הגדול מאחיו, גדלהו משל אחיו</w:t>
      </w:r>
      <w:r>
        <w:rPr>
          <w:rFonts w:hint="cs"/>
          <w:rtl/>
        </w:rPr>
        <w:t>, סמ"ע (סק"ח).</w:t>
      </w:r>
    </w:p>
  </w:footnote>
  <w:footnote w:id="477">
    <w:p w14:paraId="66B339CB" w14:textId="77777777" w:rsidR="0013116F" w:rsidRDefault="0013116F">
      <w:pPr>
        <w:pStyle w:val="a9"/>
      </w:pPr>
      <w:r>
        <w:rPr>
          <w:rStyle w:val="ab"/>
        </w:rPr>
        <w:footnoteRef/>
      </w:r>
      <w:r>
        <w:rPr>
          <w:rtl/>
        </w:rPr>
        <w:t xml:space="preserve"> </w:t>
      </w:r>
      <w:r w:rsidRPr="005E0089">
        <w:rPr>
          <w:rFonts w:cs="Arial"/>
          <w:rtl/>
        </w:rPr>
        <w:t>פירוש, לאפוקי אם הקדישו לשום דבר מיוחד דאז אסור לשנותו לדבר אחר, וכמ"ש באו"ח סי</w:t>
      </w:r>
      <w:r>
        <w:rPr>
          <w:rFonts w:cs="Arial" w:hint="cs"/>
          <w:rtl/>
        </w:rPr>
        <w:t>'</w:t>
      </w:r>
      <w:r w:rsidRPr="005E0089">
        <w:rPr>
          <w:rFonts w:cs="Arial"/>
          <w:rtl/>
        </w:rPr>
        <w:t xml:space="preserve"> קנג [סע</w:t>
      </w:r>
      <w:r>
        <w:rPr>
          <w:rFonts w:cs="Arial" w:hint="cs"/>
          <w:rtl/>
        </w:rPr>
        <w:t>'</w:t>
      </w:r>
      <w:r w:rsidRPr="005E0089">
        <w:rPr>
          <w:rFonts w:cs="Arial"/>
          <w:rtl/>
        </w:rPr>
        <w:t xml:space="preserve"> ד] וביו"ד סי</w:t>
      </w:r>
      <w:r>
        <w:rPr>
          <w:rFonts w:cs="Arial" w:hint="cs"/>
          <w:rtl/>
        </w:rPr>
        <w:t>'</w:t>
      </w:r>
      <w:r w:rsidRPr="005E0089">
        <w:rPr>
          <w:rFonts w:cs="Arial"/>
          <w:rtl/>
        </w:rPr>
        <w:t xml:space="preserve"> רנו [סע</w:t>
      </w:r>
      <w:r>
        <w:rPr>
          <w:rFonts w:cs="Arial" w:hint="cs"/>
          <w:rtl/>
        </w:rPr>
        <w:t>'</w:t>
      </w:r>
      <w:r w:rsidRPr="005E0089">
        <w:rPr>
          <w:rFonts w:cs="Arial"/>
          <w:rtl/>
        </w:rPr>
        <w:t xml:space="preserve"> ד], ועיין פרישה [סעיף ז']</w:t>
      </w:r>
      <w:r>
        <w:rPr>
          <w:rFonts w:cs="Arial" w:hint="cs"/>
          <w:rtl/>
        </w:rPr>
        <w:t>, סמ"ע (סק"ט).</w:t>
      </w:r>
    </w:p>
  </w:footnote>
  <w:footnote w:id="478">
    <w:p w14:paraId="04BD06A7" w14:textId="77777777" w:rsidR="0013116F" w:rsidRDefault="0013116F">
      <w:pPr>
        <w:pStyle w:val="a9"/>
        <w:rPr>
          <w:rtl/>
        </w:rPr>
      </w:pPr>
      <w:r>
        <w:rPr>
          <w:rStyle w:val="ab"/>
        </w:rPr>
        <w:footnoteRef/>
      </w:r>
      <w:r>
        <w:rPr>
          <w:rtl/>
        </w:rPr>
        <w:t xml:space="preserve"> </w:t>
      </w:r>
      <w:r>
        <w:rPr>
          <w:rFonts w:hint="cs"/>
          <w:rtl/>
        </w:rPr>
        <w:t xml:space="preserve">סימן </w:t>
      </w:r>
      <w:r>
        <w:rPr>
          <w:rtl/>
        </w:rPr>
        <w:t>–</w:t>
      </w:r>
      <w:r>
        <w:rPr>
          <w:rFonts w:hint="cs"/>
          <w:rtl/>
        </w:rPr>
        <w:t xml:space="preserve"> נטלו הרבה.</w:t>
      </w:r>
    </w:p>
  </w:footnote>
  <w:footnote w:id="479">
    <w:p w14:paraId="62B4E957" w14:textId="77777777" w:rsidR="0013116F" w:rsidRDefault="0013116F">
      <w:pPr>
        <w:pStyle w:val="a9"/>
        <w:rPr>
          <w:rtl/>
        </w:rPr>
      </w:pPr>
      <w:r>
        <w:rPr>
          <w:rStyle w:val="ab"/>
        </w:rPr>
        <w:footnoteRef/>
      </w:r>
      <w:r>
        <w:rPr>
          <w:rtl/>
        </w:rPr>
        <w:t xml:space="preserve"> </w:t>
      </w:r>
      <w:r w:rsidRPr="005E0089">
        <w:rPr>
          <w:rFonts w:cs="Arial"/>
          <w:rtl/>
        </w:rPr>
        <w:t>שמשיהם, ששוכרין אותן לילך ולהזמין את הנקראים לדין</w:t>
      </w:r>
      <w:r>
        <w:rPr>
          <w:rFonts w:cs="Arial" w:hint="cs"/>
          <w:rtl/>
        </w:rPr>
        <w:t>, רש"י</w:t>
      </w:r>
      <w:r w:rsidRPr="005E0089">
        <w:rPr>
          <w:rFonts w:cs="Arial"/>
          <w:rtl/>
        </w:rPr>
        <w:t>.</w:t>
      </w:r>
    </w:p>
  </w:footnote>
  <w:footnote w:id="480">
    <w:p w14:paraId="5168A30B" w14:textId="77777777" w:rsidR="0013116F" w:rsidRDefault="0013116F">
      <w:pPr>
        <w:pStyle w:val="a9"/>
        <w:rPr>
          <w:rtl/>
        </w:rPr>
      </w:pPr>
      <w:r>
        <w:rPr>
          <w:rStyle w:val="ab"/>
        </w:rPr>
        <w:footnoteRef/>
      </w:r>
      <w:r>
        <w:rPr>
          <w:rtl/>
        </w:rPr>
        <w:t xml:space="preserve"> </w:t>
      </w:r>
      <w:r w:rsidRPr="005E0089">
        <w:rPr>
          <w:rFonts w:cs="Arial"/>
          <w:rtl/>
        </w:rPr>
        <w:t>לשטרי בירורין ולאגרות שום</w:t>
      </w:r>
      <w:r>
        <w:rPr>
          <w:rFonts w:cs="Arial" w:hint="cs"/>
          <w:rtl/>
        </w:rPr>
        <w:t>, רש"י</w:t>
      </w:r>
      <w:r w:rsidRPr="005E0089">
        <w:rPr>
          <w:rFonts w:cs="Arial"/>
          <w:rtl/>
        </w:rPr>
        <w:t>.</w:t>
      </w:r>
    </w:p>
  </w:footnote>
  <w:footnote w:id="481">
    <w:p w14:paraId="3643C12D" w14:textId="77777777" w:rsidR="0013116F" w:rsidRDefault="0013116F">
      <w:pPr>
        <w:pStyle w:val="a9"/>
      </w:pPr>
      <w:r>
        <w:rPr>
          <w:rStyle w:val="ab"/>
        </w:rPr>
        <w:footnoteRef/>
      </w:r>
      <w:r>
        <w:rPr>
          <w:rtl/>
        </w:rPr>
        <w:t xml:space="preserve"> </w:t>
      </w:r>
      <w:r>
        <w:rPr>
          <w:rFonts w:hint="cs"/>
          <w:rtl/>
        </w:rPr>
        <w:t>היינו שאינו צריך לשמשים כלל אלא בכוונה יושב במקומו כדי להגדיל שכר, וכמו שכתוב בגמ'</w:t>
      </w:r>
      <w:r>
        <w:rPr>
          <w:rFonts w:asciiTheme="minorBidi" w:hAnsiTheme="minorBidi" w:hint="cs"/>
          <w:rtl/>
        </w:rPr>
        <w:t>- '</w:t>
      </w:r>
      <w:r w:rsidRPr="00576D5C">
        <w:rPr>
          <w:rFonts w:asciiTheme="minorBidi" w:hAnsiTheme="minorBidi"/>
          <w:rtl/>
        </w:rPr>
        <w:t xml:space="preserve">ישבו בעריהם </w:t>
      </w:r>
      <w:r w:rsidRPr="006102D9">
        <w:rPr>
          <w:rFonts w:asciiTheme="minorBidi" w:hAnsiTheme="minorBidi"/>
          <w:b/>
          <w:bCs/>
          <w:u w:val="single"/>
          <w:rtl/>
        </w:rPr>
        <w:t>כדי</w:t>
      </w:r>
      <w:r w:rsidRPr="00576D5C">
        <w:rPr>
          <w:rFonts w:asciiTheme="minorBidi" w:hAnsiTheme="minorBidi"/>
          <w:rtl/>
        </w:rPr>
        <w:t xml:space="preserve"> להרבות שכר לחזניהן ולסופריהן</w:t>
      </w:r>
      <w:r>
        <w:rPr>
          <w:rFonts w:asciiTheme="minorBidi" w:hAnsiTheme="minorBidi" w:hint="cs"/>
          <w:rtl/>
        </w:rPr>
        <w:t>'</w:t>
      </w:r>
      <w:r>
        <w:rPr>
          <w:rFonts w:hint="cs"/>
          <w:rtl/>
        </w:rPr>
        <w:t>, אבל אם הדיין צריך שמשים וכדו' מחמת ריבוי דינים וכדו' בזה ודאי לא נאמר.</w:t>
      </w:r>
    </w:p>
  </w:footnote>
  <w:footnote w:id="482">
    <w:p w14:paraId="6056AF91" w14:textId="77777777" w:rsidR="0013116F" w:rsidRDefault="0013116F">
      <w:pPr>
        <w:pStyle w:val="a9"/>
        <w:rPr>
          <w:rtl/>
        </w:rPr>
      </w:pPr>
      <w:r>
        <w:rPr>
          <w:rStyle w:val="ab"/>
        </w:rPr>
        <w:footnoteRef/>
      </w:r>
      <w:r>
        <w:rPr>
          <w:rtl/>
        </w:rPr>
        <w:t xml:space="preserve"> </w:t>
      </w:r>
      <w:r>
        <w:rPr>
          <w:rFonts w:hint="cs"/>
          <w:rtl/>
        </w:rPr>
        <w:t xml:space="preserve">סימן </w:t>
      </w:r>
      <w:r>
        <w:rPr>
          <w:rtl/>
        </w:rPr>
        <w:t>–</w:t>
      </w:r>
      <w:r>
        <w:rPr>
          <w:rFonts w:hint="cs"/>
          <w:rtl/>
        </w:rPr>
        <w:t xml:space="preserve"> </w:t>
      </w:r>
      <w:r w:rsidRPr="00044C33">
        <w:rPr>
          <w:rFonts w:hint="cs"/>
          <w:b/>
          <w:bCs/>
          <w:rtl/>
        </w:rPr>
        <w:t>כ</w:t>
      </w:r>
      <w:r>
        <w:rPr>
          <w:rFonts w:hint="cs"/>
          <w:rtl/>
        </w:rPr>
        <w:t xml:space="preserve">פועל </w:t>
      </w:r>
      <w:r w:rsidRPr="00044C33">
        <w:rPr>
          <w:rFonts w:hint="cs"/>
          <w:b/>
          <w:bCs/>
          <w:rtl/>
        </w:rPr>
        <w:t>ט</w:t>
      </w:r>
      <w:r>
        <w:rPr>
          <w:rFonts w:hint="cs"/>
          <w:rtl/>
        </w:rPr>
        <w:t xml:space="preserve">יילן. וכן </w:t>
      </w:r>
      <w:r>
        <w:rPr>
          <w:rtl/>
        </w:rPr>
        <w:t>–</w:t>
      </w:r>
      <w:r>
        <w:rPr>
          <w:rFonts w:hint="cs"/>
          <w:rtl/>
        </w:rPr>
        <w:t xml:space="preserve"> כסף טרחה.</w:t>
      </w:r>
    </w:p>
  </w:footnote>
  <w:footnote w:id="483">
    <w:p w14:paraId="789A2DCE" w14:textId="77777777" w:rsidR="0013116F" w:rsidRDefault="0013116F" w:rsidP="00B951E6">
      <w:pPr>
        <w:pStyle w:val="a9"/>
        <w:rPr>
          <w:rtl/>
        </w:rPr>
      </w:pPr>
      <w:r>
        <w:rPr>
          <w:rStyle w:val="ab"/>
        </w:rPr>
        <w:footnoteRef/>
      </w:r>
      <w:r>
        <w:rPr>
          <w:rtl/>
        </w:rPr>
        <w:t xml:space="preserve"> </w:t>
      </w:r>
      <w:r>
        <w:rPr>
          <w:rFonts w:cs="Arial" w:hint="cs"/>
          <w:rtl/>
        </w:rPr>
        <w:t>היינו</w:t>
      </w:r>
      <w:r>
        <w:rPr>
          <w:rFonts w:cs="Arial"/>
          <w:rtl/>
        </w:rPr>
        <w:t xml:space="preserve"> אם אותו רואה בכורות</w:t>
      </w:r>
      <w:r w:rsidRPr="00B951E6">
        <w:rPr>
          <w:rFonts w:cs="Arial"/>
          <w:sz w:val="16"/>
          <w:szCs w:val="16"/>
          <w:rtl/>
        </w:rPr>
        <w:t xml:space="preserve"> </w:t>
      </w:r>
      <w:r>
        <w:rPr>
          <w:rFonts w:cs="Arial" w:hint="cs"/>
          <w:sz w:val="16"/>
          <w:szCs w:val="16"/>
          <w:rtl/>
        </w:rPr>
        <w:t>(</w:t>
      </w:r>
      <w:r w:rsidRPr="00B951E6">
        <w:rPr>
          <w:rFonts w:cs="Arial"/>
          <w:sz w:val="16"/>
          <w:szCs w:val="16"/>
          <w:rtl/>
        </w:rPr>
        <w:t>או הדיין או העד או המזה והמקדש</w:t>
      </w:r>
      <w:r w:rsidRPr="00B951E6">
        <w:rPr>
          <w:rFonts w:cs="Arial" w:hint="cs"/>
          <w:sz w:val="16"/>
          <w:szCs w:val="16"/>
          <w:rtl/>
        </w:rPr>
        <w:t>)</w:t>
      </w:r>
      <w:r>
        <w:rPr>
          <w:rFonts w:cs="Arial" w:hint="cs"/>
          <w:rtl/>
        </w:rPr>
        <w:t xml:space="preserve"> </w:t>
      </w:r>
      <w:r>
        <w:rPr>
          <w:rFonts w:cs="Arial"/>
          <w:rtl/>
        </w:rPr>
        <w:t>כהן</w:t>
      </w:r>
      <w:r>
        <w:rPr>
          <w:rFonts w:cs="Arial" w:hint="cs"/>
          <w:rtl/>
        </w:rPr>
        <w:t>,</w:t>
      </w:r>
      <w:r>
        <w:rPr>
          <w:rFonts w:cs="Arial"/>
          <w:rtl/>
        </w:rPr>
        <w:t xml:space="preserve"> וזה המוליכו עמו מעבירו במקום טומאה שאין דרך אחר</w:t>
      </w:r>
      <w:r>
        <w:rPr>
          <w:rFonts w:cs="Arial" w:hint="cs"/>
          <w:rtl/>
        </w:rPr>
        <w:t>, ובכך</w:t>
      </w:r>
      <w:r>
        <w:rPr>
          <w:rFonts w:hint="cs"/>
          <w:rtl/>
        </w:rPr>
        <w:t xml:space="preserve"> </w:t>
      </w:r>
      <w:r>
        <w:rPr>
          <w:rFonts w:cs="Arial"/>
          <w:rtl/>
        </w:rPr>
        <w:t xml:space="preserve">מטמאהו מתרומתו ומפסידו </w:t>
      </w:r>
      <w:r>
        <w:rPr>
          <w:rFonts w:cs="Arial" w:hint="cs"/>
          <w:rtl/>
        </w:rPr>
        <w:t>משום שמ</w:t>
      </w:r>
      <w:r>
        <w:rPr>
          <w:rFonts w:cs="Arial"/>
          <w:rtl/>
        </w:rPr>
        <w:t>צרי</w:t>
      </w:r>
      <w:r>
        <w:rPr>
          <w:rFonts w:cs="Arial" w:hint="cs"/>
          <w:rtl/>
        </w:rPr>
        <w:t>כו</w:t>
      </w:r>
      <w:r>
        <w:rPr>
          <w:rFonts w:cs="Arial"/>
          <w:rtl/>
        </w:rPr>
        <w:t xml:space="preserve"> לקנות חולין ולאכול</w:t>
      </w:r>
      <w:r>
        <w:rPr>
          <w:rFonts w:cs="Arial" w:hint="cs"/>
          <w:rtl/>
        </w:rPr>
        <w:t>,</w:t>
      </w:r>
      <w:r>
        <w:rPr>
          <w:rFonts w:cs="Arial"/>
          <w:rtl/>
        </w:rPr>
        <w:t xml:space="preserve"> ודמי חולין יקרים מדמי תרומה</w:t>
      </w:r>
      <w:r>
        <w:rPr>
          <w:rFonts w:cs="Arial" w:hint="cs"/>
          <w:rtl/>
        </w:rPr>
        <w:t>,</w:t>
      </w:r>
      <w:r>
        <w:rPr>
          <w:rFonts w:cs="Arial"/>
          <w:rtl/>
        </w:rPr>
        <w:t xml:space="preserve"> שהחולין ראוין לכל ותרומה אינה ראויה אלא לכהנים.</w:t>
      </w:r>
    </w:p>
  </w:footnote>
  <w:footnote w:id="484">
    <w:p w14:paraId="4DDC39C3" w14:textId="77777777" w:rsidR="0013116F" w:rsidRDefault="0013116F">
      <w:pPr>
        <w:pStyle w:val="a9"/>
        <w:rPr>
          <w:rtl/>
        </w:rPr>
      </w:pPr>
      <w:r>
        <w:rPr>
          <w:rStyle w:val="ab"/>
        </w:rPr>
        <w:footnoteRef/>
      </w:r>
      <w:r>
        <w:rPr>
          <w:rtl/>
        </w:rPr>
        <w:t xml:space="preserve"> </w:t>
      </w:r>
      <w:r w:rsidRPr="00B951E6">
        <w:rPr>
          <w:rFonts w:cs="Arial"/>
          <w:rtl/>
        </w:rPr>
        <w:t>דבטל הימנה דאם היה נוקב מרגליות שעבודתה נוחה לעשות ושכרו מרובה אם אומר לו טול כך וכך ותבטל היום ממלאכה אינו פוחת משכרו אלא דבר מועט שהרי נוחה ואין בה טורח ואי מלאכה קשה היא כמו נגר אם אומר לו אתה נוטל עכשיו שלשה זוזים טול זוז והבטל היום מאותה מלאכה ועשה מלאכה קלה זו נוח לו להבטל וליטול זוז והכא נמי כי ההוא אגרא יהיב ליה שהרי מבטלו ממלאכתו וכוליה אגרא לא יהיב ליה שהרי אינו עסוק במלאכה קשה אצלו</w:t>
      </w:r>
      <w:r>
        <w:rPr>
          <w:rFonts w:hint="cs"/>
          <w:rtl/>
        </w:rPr>
        <w:t>, רש"י.</w:t>
      </w:r>
    </w:p>
  </w:footnote>
  <w:footnote w:id="485">
    <w:p w14:paraId="14A0C67C" w14:textId="77777777" w:rsidR="0013116F" w:rsidRDefault="0013116F" w:rsidP="00D028FC">
      <w:pPr>
        <w:pStyle w:val="a9"/>
        <w:rPr>
          <w:rtl/>
        </w:rPr>
      </w:pPr>
      <w:r>
        <w:rPr>
          <w:rStyle w:val="ab"/>
        </w:rPr>
        <w:footnoteRef/>
      </w:r>
      <w:r>
        <w:rPr>
          <w:rtl/>
        </w:rPr>
        <w:t xml:space="preserve"> </w:t>
      </w:r>
      <w:r w:rsidRPr="00576D5C">
        <w:rPr>
          <w:rFonts w:asciiTheme="minorBidi" w:hAnsiTheme="minorBidi"/>
          <w:rtl/>
        </w:rPr>
        <w:t xml:space="preserve">קרנא הוה </w:t>
      </w:r>
      <w:r w:rsidRPr="00044C33">
        <w:rPr>
          <w:rFonts w:asciiTheme="minorBidi" w:hAnsiTheme="minorBidi" w:hint="cs"/>
          <w:sz w:val="16"/>
          <w:szCs w:val="16"/>
          <w:rtl/>
        </w:rPr>
        <w:t>(</w:t>
      </w:r>
      <w:r w:rsidRPr="00044C33">
        <w:rPr>
          <w:rFonts w:asciiTheme="minorBidi" w:hAnsiTheme="minorBidi"/>
          <w:sz w:val="16"/>
          <w:szCs w:val="16"/>
          <w:rtl/>
        </w:rPr>
        <w:t>שקיל</w:t>
      </w:r>
      <w:r>
        <w:rPr>
          <w:rFonts w:asciiTheme="minorBidi" w:hAnsiTheme="minorBidi" w:hint="cs"/>
          <w:sz w:val="16"/>
          <w:szCs w:val="16"/>
          <w:rtl/>
        </w:rPr>
        <w:t xml:space="preserve"> אגר בטלא)</w:t>
      </w:r>
      <w:r>
        <w:rPr>
          <w:rFonts w:hint="cs"/>
          <w:rtl/>
        </w:rPr>
        <w:t>.</w:t>
      </w:r>
    </w:p>
  </w:footnote>
  <w:footnote w:id="486">
    <w:p w14:paraId="76EB31F3" w14:textId="77777777" w:rsidR="0013116F" w:rsidRDefault="0013116F" w:rsidP="00D028FC">
      <w:pPr>
        <w:pStyle w:val="a9"/>
      </w:pPr>
      <w:r>
        <w:rPr>
          <w:rStyle w:val="ab"/>
        </w:rPr>
        <w:footnoteRef/>
      </w:r>
      <w:r>
        <w:rPr>
          <w:rtl/>
        </w:rPr>
        <w:t xml:space="preserve"> </w:t>
      </w:r>
      <w:r w:rsidRPr="00035BBC">
        <w:rPr>
          <w:rFonts w:cs="Arial"/>
          <w:rtl/>
        </w:rPr>
        <w:t>מריח באוצרות יין אי זה ראוי להתקיים והקרוב להתקלקל ימכרוהו מיד ושכר זה היה מצוי לו בכל יום</w:t>
      </w:r>
      <w:r>
        <w:rPr>
          <w:rFonts w:cs="Arial" w:hint="cs"/>
          <w:rtl/>
        </w:rPr>
        <w:t>, רש"י</w:t>
      </w:r>
      <w:r w:rsidRPr="00035BBC">
        <w:rPr>
          <w:rFonts w:cs="Arial"/>
          <w:rtl/>
        </w:rPr>
        <w:t>.</w:t>
      </w:r>
    </w:p>
  </w:footnote>
  <w:footnote w:id="487">
    <w:p w14:paraId="37E82C3E" w14:textId="77777777" w:rsidR="0013116F" w:rsidRDefault="0013116F" w:rsidP="00D028FC">
      <w:pPr>
        <w:pStyle w:val="a9"/>
        <w:rPr>
          <w:rtl/>
        </w:rPr>
      </w:pPr>
      <w:r>
        <w:rPr>
          <w:rStyle w:val="ab"/>
        </w:rPr>
        <w:footnoteRef/>
      </w:r>
      <w:r>
        <w:rPr>
          <w:rtl/>
        </w:rPr>
        <w:t xml:space="preserve"> </w:t>
      </w:r>
      <w:r w:rsidRPr="00035BBC">
        <w:rPr>
          <w:rFonts w:cs="Arial"/>
          <w:rtl/>
        </w:rPr>
        <w:t>מיא משקה שדותי</w:t>
      </w:r>
      <w:r>
        <w:rPr>
          <w:rFonts w:cs="Arial" w:hint="cs"/>
          <w:rtl/>
        </w:rPr>
        <w:t>, רש"י</w:t>
      </w:r>
      <w:r w:rsidRPr="00035BBC">
        <w:rPr>
          <w:rFonts w:cs="Arial"/>
          <w:rtl/>
        </w:rPr>
        <w:t>.</w:t>
      </w:r>
    </w:p>
  </w:footnote>
  <w:footnote w:id="488">
    <w:p w14:paraId="60F60ED4" w14:textId="77777777" w:rsidR="0013116F" w:rsidRDefault="0013116F" w:rsidP="00D028FC">
      <w:pPr>
        <w:pStyle w:val="a9"/>
        <w:rPr>
          <w:rtl/>
        </w:rPr>
      </w:pPr>
      <w:r>
        <w:rPr>
          <w:rStyle w:val="ab"/>
        </w:rPr>
        <w:footnoteRef/>
      </w:r>
      <w:r>
        <w:rPr>
          <w:rtl/>
        </w:rPr>
        <w:t xml:space="preserve"> </w:t>
      </w:r>
      <w:r w:rsidRPr="00035BBC">
        <w:rPr>
          <w:rFonts w:cs="Arial"/>
          <w:rtl/>
        </w:rPr>
        <w:t>במקומי חריקאי אומר אני שהוא לשון פגום כמו קרנים חרוקות דשחיטת חולין (נט:) כלו' שאני מסתלק ונפגם מקומי</w:t>
      </w:r>
      <w:r>
        <w:rPr>
          <w:rFonts w:cs="Arial" w:hint="cs"/>
          <w:rtl/>
        </w:rPr>
        <w:t>, רש"י</w:t>
      </w:r>
      <w:r w:rsidRPr="00035BBC">
        <w:rPr>
          <w:rFonts w:cs="Arial"/>
          <w:rtl/>
        </w:rPr>
        <w:t>.</w:t>
      </w:r>
    </w:p>
  </w:footnote>
  <w:footnote w:id="489">
    <w:p w14:paraId="5AA3BFB8" w14:textId="77777777" w:rsidR="0013116F" w:rsidRDefault="0013116F">
      <w:pPr>
        <w:pStyle w:val="a9"/>
      </w:pPr>
      <w:r>
        <w:rPr>
          <w:rStyle w:val="ab"/>
        </w:rPr>
        <w:footnoteRef/>
      </w:r>
      <w:r>
        <w:rPr>
          <w:rtl/>
        </w:rPr>
        <w:t xml:space="preserve"> </w:t>
      </w:r>
      <w:r w:rsidRPr="00946E5A">
        <w:rPr>
          <w:rFonts w:cs="Arial"/>
          <w:rtl/>
        </w:rPr>
        <w:t>פירוש, ואז אותו דין הוה דין אע</w:t>
      </w:r>
      <w:r>
        <w:rPr>
          <w:rFonts w:cs="Arial" w:hint="cs"/>
          <w:rtl/>
        </w:rPr>
        <w:t>"</w:t>
      </w:r>
      <w:r w:rsidRPr="00946E5A">
        <w:rPr>
          <w:rFonts w:cs="Arial"/>
          <w:rtl/>
        </w:rPr>
        <w:t>פ</w:t>
      </w:r>
      <w:r>
        <w:rPr>
          <w:rFonts w:cs="Arial" w:hint="cs"/>
          <w:rtl/>
        </w:rPr>
        <w:t xml:space="preserve"> </w:t>
      </w:r>
      <w:r w:rsidRPr="00946E5A">
        <w:rPr>
          <w:rFonts w:cs="Arial"/>
          <w:rtl/>
        </w:rPr>
        <w:t>שנטל שכר על דינים אחרים שדן לפני זה ולאחריו, ולא דמי לעובר עבירה אחת שכל דיניו ועדותיו בטלים עד שעושה תשובה, דשאני הכא דלא עבר על לאו אלא משום קנס הוא</w:t>
      </w:r>
      <w:r>
        <w:rPr>
          <w:rFonts w:cs="Arial" w:hint="cs"/>
          <w:rtl/>
        </w:rPr>
        <w:t>,</w:t>
      </w:r>
      <w:r w:rsidRPr="00946E5A">
        <w:rPr>
          <w:rFonts w:cs="Arial"/>
          <w:rtl/>
        </w:rPr>
        <w:t xml:space="preserve"> וכמ"ש הרמב"ן </w:t>
      </w:r>
      <w:r>
        <w:rPr>
          <w:rFonts w:cs="Arial" w:hint="cs"/>
          <w:rtl/>
        </w:rPr>
        <w:t>(</w:t>
      </w:r>
      <w:r w:rsidRPr="00946E5A">
        <w:rPr>
          <w:rFonts w:cs="Arial"/>
          <w:rtl/>
        </w:rPr>
        <w:t>קדושין נח</w:t>
      </w:r>
      <w:r>
        <w:rPr>
          <w:rFonts w:cs="Arial" w:hint="cs"/>
          <w:rtl/>
        </w:rPr>
        <w:t>:</w:t>
      </w:r>
      <w:r w:rsidRPr="00946E5A">
        <w:rPr>
          <w:rFonts w:cs="Arial"/>
          <w:rtl/>
        </w:rPr>
        <w:t xml:space="preserve"> ד"ה הא דתנן</w:t>
      </w:r>
      <w:r>
        <w:rPr>
          <w:rFonts w:cs="Arial" w:hint="cs"/>
          <w:rtl/>
        </w:rPr>
        <w:t>)</w:t>
      </w:r>
      <w:r w:rsidRPr="00946E5A">
        <w:rPr>
          <w:rFonts w:cs="Arial"/>
          <w:rtl/>
        </w:rPr>
        <w:t>, ובד"מ [סעיף ט'] הביאו, ועמ"ש בד"מ ובהגהותיו [הגהות דו"פ סעיף ד'] עוד מזה</w:t>
      </w:r>
      <w:r>
        <w:rPr>
          <w:rFonts w:cs="Arial" w:hint="cs"/>
          <w:rtl/>
        </w:rPr>
        <w:t>, סמ"ע (סקי"ג).</w:t>
      </w:r>
    </w:p>
  </w:footnote>
  <w:footnote w:id="490">
    <w:p w14:paraId="56FED47A" w14:textId="77777777" w:rsidR="0013116F" w:rsidRPr="000A6D27" w:rsidRDefault="0013116F" w:rsidP="000A6D27">
      <w:pPr>
        <w:pStyle w:val="a9"/>
        <w:rPr>
          <w:rFonts w:cs="Arial"/>
        </w:rPr>
      </w:pPr>
      <w:r>
        <w:rPr>
          <w:rStyle w:val="ab"/>
        </w:rPr>
        <w:footnoteRef/>
      </w:r>
      <w:r>
        <w:rPr>
          <w:rtl/>
        </w:rPr>
        <w:t xml:space="preserve"> </w:t>
      </w:r>
      <w:r w:rsidRPr="000A6D27">
        <w:rPr>
          <w:rFonts w:cs="Arial"/>
          <w:rtl/>
        </w:rPr>
        <w:t>ודוקא כשהתנה עמהן כך מתחילה, דינא הכי שנוטל מהן כל שכר פעולתו שבטל ממנה</w:t>
      </w:r>
      <w:r>
        <w:rPr>
          <w:rFonts w:cs="Arial" w:hint="cs"/>
          <w:rtl/>
        </w:rPr>
        <w:t>...</w:t>
      </w:r>
      <w:r w:rsidRPr="000A6D27">
        <w:rPr>
          <w:rFonts w:cs="Arial"/>
          <w:rtl/>
        </w:rPr>
        <w:t xml:space="preserve"> אבל אם לא התנה ודן ואח"כ בא ליטול מהן שכר בטלה דמוכח, א"צ ליתן</w:t>
      </w:r>
      <w:r>
        <w:rPr>
          <w:rFonts w:cs="Arial" w:hint="cs"/>
          <w:rtl/>
        </w:rPr>
        <w:t xml:space="preserve"> </w:t>
      </w:r>
      <w:r w:rsidRPr="000A6D27">
        <w:rPr>
          <w:rFonts w:cs="Arial"/>
          <w:rtl/>
        </w:rPr>
        <w:t>לו אלא כשיעור שרוצה אדם ליקח ולישב בטל מאותה מלאכה שנתבטל ממנה</w:t>
      </w:r>
      <w:r>
        <w:rPr>
          <w:rFonts w:cs="Arial" w:hint="cs"/>
          <w:rtl/>
        </w:rPr>
        <w:t>..</w:t>
      </w:r>
      <w:r w:rsidRPr="000A6D27">
        <w:rPr>
          <w:rFonts w:cs="Arial"/>
          <w:rtl/>
        </w:rPr>
        <w:t>.</w:t>
      </w:r>
      <w:r>
        <w:rPr>
          <w:rFonts w:cs="Arial" w:hint="cs"/>
          <w:rtl/>
        </w:rPr>
        <w:t xml:space="preserve">, סמ"ע (סקי"ד). אך הט"ז </w:t>
      </w:r>
      <w:r w:rsidRPr="000A6D27">
        <w:rPr>
          <w:rFonts w:cs="Arial"/>
          <w:rtl/>
        </w:rPr>
        <w:t>(</w:t>
      </w:r>
      <w:r>
        <w:rPr>
          <w:rFonts w:cs="Arial" w:hint="cs"/>
          <w:rtl/>
        </w:rPr>
        <w:t>סע' ה</w:t>
      </w:r>
      <w:r w:rsidRPr="000A6D27">
        <w:rPr>
          <w:rFonts w:cs="Arial"/>
          <w:rtl/>
        </w:rPr>
        <w:t>) חולק בזה והעלה דאם לא התנה אין צריך ליתן לו כלל</w:t>
      </w:r>
      <w:r>
        <w:rPr>
          <w:rFonts w:cs="Arial" w:hint="cs"/>
          <w:rtl/>
        </w:rPr>
        <w:t>. וקצוה"ח (סק"ב) כתב</w:t>
      </w:r>
      <w:r w:rsidRPr="000A6D27">
        <w:rPr>
          <w:rFonts w:cs="Arial"/>
          <w:rtl/>
        </w:rPr>
        <w:t xml:space="preserve"> </w:t>
      </w:r>
      <w:r>
        <w:rPr>
          <w:rFonts w:cs="Arial" w:hint="cs"/>
          <w:rtl/>
        </w:rPr>
        <w:t>ש</w:t>
      </w:r>
      <w:r w:rsidRPr="000A6D27">
        <w:rPr>
          <w:rFonts w:cs="Arial"/>
          <w:rtl/>
        </w:rPr>
        <w:t>דברי הסמ"ע ברורים דצריך לשלם שכרו</w:t>
      </w:r>
      <w:r>
        <w:rPr>
          <w:rFonts w:cs="Arial" w:hint="cs"/>
          <w:rtl/>
        </w:rPr>
        <w:t>,</w:t>
      </w:r>
      <w:r w:rsidRPr="000A6D27">
        <w:rPr>
          <w:rFonts w:cs="Arial"/>
          <w:rtl/>
        </w:rPr>
        <w:t xml:space="preserve"> מיהו</w:t>
      </w:r>
      <w:r>
        <w:rPr>
          <w:rFonts w:cs="Arial" w:hint="cs"/>
          <w:rtl/>
        </w:rPr>
        <w:t xml:space="preserve"> כתב</w:t>
      </w:r>
      <w:r w:rsidRPr="000A6D27">
        <w:rPr>
          <w:rFonts w:cs="Arial"/>
          <w:rtl/>
        </w:rPr>
        <w:t xml:space="preserve"> </w:t>
      </w:r>
      <w:r>
        <w:rPr>
          <w:rFonts w:cs="Arial" w:hint="cs"/>
          <w:rtl/>
        </w:rPr>
        <w:t>ד</w:t>
      </w:r>
      <w:r w:rsidRPr="000A6D27">
        <w:rPr>
          <w:rFonts w:cs="Arial"/>
          <w:rtl/>
        </w:rPr>
        <w:t xml:space="preserve">א"צ לשלם אלא כפועל בטל לגמרי </w:t>
      </w:r>
      <w:r w:rsidRPr="000A6D27">
        <w:rPr>
          <w:rFonts w:cs="Arial" w:hint="cs"/>
          <w:sz w:val="16"/>
          <w:szCs w:val="16"/>
          <w:rtl/>
        </w:rPr>
        <w:t>(</w:t>
      </w:r>
      <w:r w:rsidRPr="000A6D27">
        <w:rPr>
          <w:rFonts w:cs="Arial"/>
          <w:sz w:val="16"/>
          <w:szCs w:val="16"/>
          <w:rtl/>
        </w:rPr>
        <w:t>וכמ"ש ביו"ד סי</w:t>
      </w:r>
      <w:r w:rsidRPr="000A6D27">
        <w:rPr>
          <w:rFonts w:cs="Arial" w:hint="cs"/>
          <w:sz w:val="16"/>
          <w:szCs w:val="16"/>
          <w:rtl/>
        </w:rPr>
        <w:t>'</w:t>
      </w:r>
      <w:r w:rsidRPr="000A6D27">
        <w:rPr>
          <w:rFonts w:cs="Arial"/>
          <w:sz w:val="16"/>
          <w:szCs w:val="16"/>
          <w:rtl/>
        </w:rPr>
        <w:t xml:space="preserve"> שיב</w:t>
      </w:r>
      <w:r>
        <w:rPr>
          <w:rFonts w:cs="Arial" w:hint="cs"/>
          <w:sz w:val="16"/>
          <w:szCs w:val="16"/>
          <w:rtl/>
        </w:rPr>
        <w:t>)</w:t>
      </w:r>
      <w:r>
        <w:rPr>
          <w:rFonts w:cs="Arial" w:hint="cs"/>
          <w:rtl/>
        </w:rPr>
        <w:t>.</w:t>
      </w:r>
    </w:p>
  </w:footnote>
  <w:footnote w:id="491">
    <w:p w14:paraId="092A35F9" w14:textId="77777777" w:rsidR="0013116F" w:rsidRDefault="0013116F">
      <w:pPr>
        <w:pStyle w:val="a9"/>
        <w:rPr>
          <w:rtl/>
        </w:rPr>
      </w:pPr>
      <w:r>
        <w:rPr>
          <w:rStyle w:val="ab"/>
        </w:rPr>
        <w:footnoteRef/>
      </w:r>
      <w:r>
        <w:rPr>
          <w:rtl/>
        </w:rPr>
        <w:t xml:space="preserve"> </w:t>
      </w:r>
      <w:r w:rsidRPr="00176055">
        <w:rPr>
          <w:rFonts w:cs="Arial"/>
          <w:rtl/>
        </w:rPr>
        <w:t>והרמב"ם [פכ"ג מסנהדרין ה"ה] מסיים, ומזה בפני זה, והרב המגיד נתן טעם לדבר, ע"ש</w:t>
      </w:r>
      <w:r>
        <w:rPr>
          <w:rFonts w:hint="cs"/>
          <w:rtl/>
        </w:rPr>
        <w:t>, ש"ך (סק"ו).</w:t>
      </w:r>
    </w:p>
  </w:footnote>
  <w:footnote w:id="492">
    <w:p w14:paraId="33654948" w14:textId="77777777" w:rsidR="0013116F" w:rsidRDefault="0013116F">
      <w:pPr>
        <w:pStyle w:val="a9"/>
        <w:rPr>
          <w:rtl/>
        </w:rPr>
      </w:pPr>
      <w:r>
        <w:rPr>
          <w:rStyle w:val="ab"/>
        </w:rPr>
        <w:footnoteRef/>
      </w:r>
      <w:r>
        <w:rPr>
          <w:rtl/>
        </w:rPr>
        <w:t xml:space="preserve"> </w:t>
      </w:r>
      <w:r>
        <w:rPr>
          <w:rFonts w:hint="cs"/>
          <w:rtl/>
        </w:rPr>
        <w:t>ממהדורת הסמ"ע.</w:t>
      </w:r>
    </w:p>
  </w:footnote>
  <w:footnote w:id="493">
    <w:p w14:paraId="4FB90EFF" w14:textId="77777777" w:rsidR="0013116F" w:rsidRDefault="0013116F">
      <w:pPr>
        <w:pStyle w:val="a9"/>
      </w:pPr>
      <w:r>
        <w:rPr>
          <w:rStyle w:val="ab"/>
        </w:rPr>
        <w:footnoteRef/>
      </w:r>
      <w:r>
        <w:rPr>
          <w:rtl/>
        </w:rPr>
        <w:t xml:space="preserve"> </w:t>
      </w:r>
      <w:r w:rsidRPr="00B51B14">
        <w:rPr>
          <w:rFonts w:cs="Arial"/>
          <w:rtl/>
        </w:rPr>
        <w:t>עיין דרישה [סע</w:t>
      </w:r>
      <w:r>
        <w:rPr>
          <w:rFonts w:cs="Arial" w:hint="cs"/>
          <w:rtl/>
        </w:rPr>
        <w:t>'</w:t>
      </w:r>
      <w:r w:rsidRPr="00B51B14">
        <w:rPr>
          <w:rFonts w:cs="Arial"/>
          <w:rtl/>
        </w:rPr>
        <w:t xml:space="preserve"> י] שכתבתי שמתשובת הרא"ש [כלל נו סי</w:t>
      </w:r>
      <w:r>
        <w:rPr>
          <w:rFonts w:cs="Arial" w:hint="cs"/>
          <w:rtl/>
        </w:rPr>
        <w:t>'</w:t>
      </w:r>
      <w:r w:rsidRPr="00B51B14">
        <w:rPr>
          <w:rFonts w:cs="Arial"/>
          <w:rtl/>
        </w:rPr>
        <w:t xml:space="preserve"> ה] משמע [אבל אינו מוכח כ"כ] שגם בכה"ג דיניו בטלין, ודוקא בכה"ג שאמר שמא יזדמן לי שכר בקניית סחורה שהוא דבר שאינו תלוי בו ואינו מצוי כ"כ, אבל אם בעל מלאכה הוא, אף שאינו מתעסק במלאכתו בשעה שבא לדון לפניו, מ"מ כיון שהדבר תלוי בו, אף שמכוער הדבר ליטול איזה שכר לכתחילה, מ"מ דינו דין בדיעבד. ועיין דרישה מ"ש עוד מזה</w:t>
      </w:r>
      <w:r>
        <w:rPr>
          <w:rFonts w:cs="Arial" w:hint="cs"/>
          <w:rtl/>
        </w:rPr>
        <w:t>, סמ"ע (סקט"ז).</w:t>
      </w:r>
    </w:p>
  </w:footnote>
  <w:footnote w:id="494">
    <w:p w14:paraId="09811D30" w14:textId="77777777" w:rsidR="0013116F" w:rsidRDefault="0013116F">
      <w:pPr>
        <w:pStyle w:val="a9"/>
        <w:rPr>
          <w:rtl/>
        </w:rPr>
      </w:pPr>
      <w:r>
        <w:rPr>
          <w:rStyle w:val="ab"/>
        </w:rPr>
        <w:footnoteRef/>
      </w:r>
      <w:r>
        <w:rPr>
          <w:rtl/>
        </w:rPr>
        <w:t xml:space="preserve"> </w:t>
      </w:r>
      <w:r w:rsidRPr="00176055">
        <w:rPr>
          <w:rFonts w:cs="Arial"/>
          <w:rtl/>
        </w:rPr>
        <w:t>ושכר פשרה כתב בב"ח [סוף סעיף י'] דשרי ליטול, ע"ש</w:t>
      </w:r>
      <w:r>
        <w:rPr>
          <w:rFonts w:hint="cs"/>
          <w:rtl/>
        </w:rPr>
        <w:t>, ש"ך (סק"ז).</w:t>
      </w:r>
    </w:p>
  </w:footnote>
  <w:footnote w:id="495">
    <w:p w14:paraId="39497807" w14:textId="77777777" w:rsidR="0013116F" w:rsidRDefault="0013116F">
      <w:pPr>
        <w:pStyle w:val="a9"/>
      </w:pPr>
      <w:r>
        <w:rPr>
          <w:rStyle w:val="ab"/>
        </w:rPr>
        <w:footnoteRef/>
      </w:r>
      <w:r>
        <w:rPr>
          <w:rtl/>
        </w:rPr>
        <w:t xml:space="preserve"> </w:t>
      </w:r>
      <w:r>
        <w:rPr>
          <w:rFonts w:hint="cs"/>
          <w:rtl/>
        </w:rPr>
        <w:t>סימן - לומר לדיין לא להושיב לפניו.</w:t>
      </w:r>
    </w:p>
  </w:footnote>
  <w:footnote w:id="496">
    <w:p w14:paraId="528E8A38" w14:textId="77777777" w:rsidR="0013116F" w:rsidRPr="00D83589" w:rsidRDefault="0013116F">
      <w:pPr>
        <w:pStyle w:val="a9"/>
        <w:rPr>
          <w:rtl/>
        </w:rPr>
      </w:pPr>
      <w:r>
        <w:rPr>
          <w:rStyle w:val="ab"/>
        </w:rPr>
        <w:footnoteRef/>
      </w:r>
      <w:r>
        <w:rPr>
          <w:rtl/>
        </w:rPr>
        <w:t xml:space="preserve"> </w:t>
      </w:r>
      <w:r>
        <w:rPr>
          <w:rFonts w:hint="cs"/>
          <w:rtl/>
        </w:rPr>
        <w:t xml:space="preserve">סימן </w:t>
      </w:r>
      <w:r>
        <w:rPr>
          <w:rtl/>
        </w:rPr>
        <w:t>–</w:t>
      </w:r>
      <w:r>
        <w:rPr>
          <w:rFonts w:hint="cs"/>
          <w:rtl/>
        </w:rPr>
        <w:t xml:space="preserve"> לומר לתלמיד אל </w:t>
      </w:r>
      <w:r>
        <w:rPr>
          <w:rFonts w:hint="cs"/>
          <w:sz w:val="16"/>
          <w:szCs w:val="16"/>
          <w:rtl/>
        </w:rPr>
        <w:t>(תשתוק)</w:t>
      </w:r>
      <w:r>
        <w:rPr>
          <w:rFonts w:hint="cs"/>
          <w:rtl/>
        </w:rPr>
        <w:t>.</w:t>
      </w:r>
    </w:p>
  </w:footnote>
  <w:footnote w:id="497">
    <w:p w14:paraId="415972D7" w14:textId="77777777" w:rsidR="0013116F" w:rsidRDefault="0013116F">
      <w:pPr>
        <w:pStyle w:val="a9"/>
        <w:rPr>
          <w:rtl/>
        </w:rPr>
      </w:pPr>
      <w:r>
        <w:rPr>
          <w:rStyle w:val="ab"/>
        </w:rPr>
        <w:footnoteRef/>
      </w:r>
      <w:r>
        <w:rPr>
          <w:rtl/>
        </w:rPr>
        <w:t xml:space="preserve"> </w:t>
      </w:r>
      <w:r w:rsidRPr="00B51B14">
        <w:rPr>
          <w:rFonts w:cs="Arial"/>
          <w:rtl/>
        </w:rPr>
        <w:t>ה"ה כששניהם עניים או עשירים. וכתב מור"ש ז"ל [בחידושי מהרש"ל לטור] דלרבותא נקט זכות לעני כו', דאע"ג דאיכא עליו כבוד רבו וכבוד העשיר אפילו הכי לא ישתוק</w:t>
      </w:r>
      <w:r>
        <w:rPr>
          <w:rFonts w:hint="cs"/>
          <w:rtl/>
        </w:rPr>
        <w:t>, סמ"ע (סקי"ח).</w:t>
      </w:r>
    </w:p>
  </w:footnote>
  <w:footnote w:id="498">
    <w:p w14:paraId="1F977C8C" w14:textId="77777777" w:rsidR="0013116F" w:rsidRPr="00D83589" w:rsidRDefault="0013116F" w:rsidP="00D83589">
      <w:pPr>
        <w:pStyle w:val="a9"/>
        <w:rPr>
          <w:rtl/>
        </w:rPr>
      </w:pPr>
      <w:r>
        <w:rPr>
          <w:rStyle w:val="ab"/>
        </w:rPr>
        <w:footnoteRef/>
      </w:r>
      <w:r>
        <w:rPr>
          <w:rtl/>
        </w:rPr>
        <w:t xml:space="preserve"> </w:t>
      </w:r>
      <w:r>
        <w:rPr>
          <w:rFonts w:hint="cs"/>
          <w:rtl/>
        </w:rPr>
        <w:t xml:space="preserve">סימן </w:t>
      </w:r>
      <w:r>
        <w:rPr>
          <w:rtl/>
        </w:rPr>
        <w:t>–</w:t>
      </w:r>
      <w:r>
        <w:rPr>
          <w:rFonts w:hint="cs"/>
          <w:rtl/>
        </w:rPr>
        <w:t xml:space="preserve"> לומר לתלמיד אל </w:t>
      </w:r>
      <w:r>
        <w:rPr>
          <w:rFonts w:hint="cs"/>
          <w:sz w:val="16"/>
          <w:szCs w:val="16"/>
          <w:rtl/>
        </w:rPr>
        <w:t>(תחכה)</w:t>
      </w:r>
      <w:r>
        <w:rPr>
          <w:rFonts w:hint="cs"/>
          <w:rtl/>
        </w:rPr>
        <w:t>.</w:t>
      </w:r>
    </w:p>
  </w:footnote>
  <w:footnote w:id="499">
    <w:p w14:paraId="1191C38E" w14:textId="77777777" w:rsidR="0013116F" w:rsidRDefault="0013116F">
      <w:pPr>
        <w:pStyle w:val="a9"/>
        <w:rPr>
          <w:rtl/>
        </w:rPr>
      </w:pPr>
      <w:r>
        <w:rPr>
          <w:rStyle w:val="ab"/>
        </w:rPr>
        <w:footnoteRef/>
      </w:r>
      <w:r>
        <w:rPr>
          <w:rtl/>
        </w:rPr>
        <w:t xml:space="preserve"> </w:t>
      </w:r>
      <w:r>
        <w:rPr>
          <w:rFonts w:hint="cs"/>
          <w:rtl/>
        </w:rPr>
        <w:t xml:space="preserve">סימן </w:t>
      </w:r>
      <w:r>
        <w:rPr>
          <w:rtl/>
        </w:rPr>
        <w:t>–</w:t>
      </w:r>
      <w:r>
        <w:rPr>
          <w:rFonts w:hint="cs"/>
          <w:rtl/>
        </w:rPr>
        <w:t xml:space="preserve"> להחמיץ.</w:t>
      </w:r>
    </w:p>
  </w:footnote>
  <w:footnote w:id="500">
    <w:p w14:paraId="2007D702" w14:textId="77777777" w:rsidR="0013116F" w:rsidRDefault="0013116F">
      <w:pPr>
        <w:pStyle w:val="a9"/>
        <w:rPr>
          <w:rtl/>
        </w:rPr>
      </w:pPr>
      <w:r>
        <w:rPr>
          <w:rStyle w:val="ab"/>
        </w:rPr>
        <w:footnoteRef/>
      </w:r>
      <w:r>
        <w:rPr>
          <w:rtl/>
        </w:rPr>
        <w:t xml:space="preserve"> </w:t>
      </w:r>
      <w:r w:rsidRPr="00FA78B4">
        <w:rPr>
          <w:rFonts w:cs="Arial"/>
          <w:rtl/>
        </w:rPr>
        <w:t>שמשהא אותו ומלינו כדי להוציאו לאמיתו</w:t>
      </w:r>
      <w:r>
        <w:rPr>
          <w:rFonts w:cs="Arial" w:hint="cs"/>
          <w:rtl/>
        </w:rPr>
        <w:t>, רש"י</w:t>
      </w:r>
      <w:r w:rsidRPr="00FA78B4">
        <w:rPr>
          <w:rFonts w:cs="Arial"/>
          <w:rtl/>
        </w:rPr>
        <w:t>.</w:t>
      </w:r>
    </w:p>
  </w:footnote>
  <w:footnote w:id="501">
    <w:p w14:paraId="67D038F2" w14:textId="77777777" w:rsidR="0013116F" w:rsidRDefault="0013116F">
      <w:pPr>
        <w:pStyle w:val="a9"/>
      </w:pPr>
      <w:r>
        <w:rPr>
          <w:rStyle w:val="ab"/>
        </w:rPr>
        <w:footnoteRef/>
      </w:r>
      <w:r>
        <w:rPr>
          <w:rtl/>
        </w:rPr>
        <w:t xml:space="preserve"> </w:t>
      </w:r>
      <w:r>
        <w:rPr>
          <w:rFonts w:hint="cs"/>
          <w:rtl/>
        </w:rPr>
        <w:t xml:space="preserve">סימן </w:t>
      </w:r>
      <w:r>
        <w:rPr>
          <w:rtl/>
        </w:rPr>
        <w:t>–</w:t>
      </w:r>
      <w:r>
        <w:rPr>
          <w:rFonts w:hint="cs"/>
          <w:rtl/>
        </w:rPr>
        <w:t xml:space="preserve"> זקנים זהירים כזיהוי זריחה.</w:t>
      </w:r>
    </w:p>
  </w:footnote>
  <w:footnote w:id="502">
    <w:p w14:paraId="3A259839" w14:textId="77777777" w:rsidR="0013116F" w:rsidRDefault="0013116F">
      <w:pPr>
        <w:pStyle w:val="a9"/>
      </w:pPr>
      <w:r>
        <w:rPr>
          <w:rStyle w:val="ab"/>
        </w:rPr>
        <w:footnoteRef/>
      </w:r>
      <w:r>
        <w:rPr>
          <w:rtl/>
        </w:rPr>
        <w:t xml:space="preserve"> </w:t>
      </w:r>
      <w:r>
        <w:rPr>
          <w:rFonts w:cs="Arial" w:hint="cs"/>
          <w:rtl/>
        </w:rPr>
        <w:t xml:space="preserve">פסוק זה מספר </w:t>
      </w:r>
      <w:r>
        <w:rPr>
          <w:rFonts w:cs="Arial"/>
          <w:rtl/>
        </w:rPr>
        <w:t>תה</w:t>
      </w:r>
      <w:r>
        <w:rPr>
          <w:rFonts w:cs="Arial" w:hint="cs"/>
          <w:rtl/>
        </w:rPr>
        <w:t>י</w:t>
      </w:r>
      <w:r>
        <w:rPr>
          <w:rFonts w:cs="Arial"/>
          <w:rtl/>
        </w:rPr>
        <w:t xml:space="preserve">לים </w:t>
      </w:r>
      <w:r>
        <w:rPr>
          <w:rFonts w:cs="Arial" w:hint="cs"/>
          <w:rtl/>
        </w:rPr>
        <w:t>(</w:t>
      </w:r>
      <w:r>
        <w:rPr>
          <w:rFonts w:cs="Arial"/>
          <w:rtl/>
        </w:rPr>
        <w:t>עג כא)</w:t>
      </w:r>
      <w:r>
        <w:rPr>
          <w:rFonts w:cs="Arial" w:hint="cs"/>
          <w:rtl/>
        </w:rPr>
        <w:t>, וכתב שם ראב"ע</w:t>
      </w:r>
      <w:r w:rsidRPr="00984FC8">
        <w:rPr>
          <w:rtl/>
        </w:rPr>
        <w:t xml:space="preserve"> </w:t>
      </w:r>
      <w:r>
        <w:rPr>
          <w:rFonts w:hint="cs"/>
          <w:rtl/>
        </w:rPr>
        <w:t>ש</w:t>
      </w:r>
      <w:r w:rsidRPr="00984FC8">
        <w:rPr>
          <w:rFonts w:cs="Arial"/>
          <w:rtl/>
        </w:rPr>
        <w:t>ר' משה פירש בו בלשון חכמינו ז"ל חמץ את הדין</w:t>
      </w:r>
      <w:r>
        <w:rPr>
          <w:rFonts w:hint="cs"/>
          <w:rtl/>
        </w:rPr>
        <w:t>.</w:t>
      </w:r>
    </w:p>
  </w:footnote>
  <w:footnote w:id="503">
    <w:p w14:paraId="4F4D834B" w14:textId="77777777" w:rsidR="0013116F" w:rsidRDefault="0013116F">
      <w:pPr>
        <w:pStyle w:val="a9"/>
      </w:pPr>
      <w:r>
        <w:rPr>
          <w:rStyle w:val="ab"/>
        </w:rPr>
        <w:footnoteRef/>
      </w:r>
      <w:r>
        <w:rPr>
          <w:rtl/>
        </w:rPr>
        <w:t xml:space="preserve"> </w:t>
      </w:r>
      <w:r w:rsidRPr="00984FC8">
        <w:rPr>
          <w:rFonts w:cs="Arial"/>
          <w:rtl/>
        </w:rPr>
        <w:t xml:space="preserve">שוטה </w:t>
      </w:r>
      <w:r>
        <w:rPr>
          <w:rFonts w:cs="Arial" w:hint="cs"/>
          <w:rtl/>
        </w:rPr>
        <w:t xml:space="preserve">- </w:t>
      </w:r>
      <w:r w:rsidRPr="00984FC8">
        <w:rPr>
          <w:rFonts w:cs="Arial"/>
          <w:rtl/>
        </w:rPr>
        <w:t>שהוא סובר שהוא חכם בדין ויודע אותו</w:t>
      </w:r>
      <w:r>
        <w:rPr>
          <w:rFonts w:cs="Arial" w:hint="cs"/>
          <w:rtl/>
        </w:rPr>
        <w:t>,</w:t>
      </w:r>
      <w:r w:rsidRPr="00984FC8">
        <w:rPr>
          <w:rFonts w:cs="Arial"/>
          <w:rtl/>
        </w:rPr>
        <w:t xml:space="preserve"> ואינו, ונשאר בשטותו. ורשע </w:t>
      </w:r>
      <w:r>
        <w:rPr>
          <w:rFonts w:cs="Arial" w:hint="cs"/>
          <w:rtl/>
        </w:rPr>
        <w:t xml:space="preserve">- </w:t>
      </w:r>
      <w:r w:rsidRPr="00984FC8">
        <w:rPr>
          <w:rFonts w:cs="Arial"/>
          <w:rtl/>
        </w:rPr>
        <w:t xml:space="preserve">על שמעוות הדין. וגס רוח </w:t>
      </w:r>
      <w:r>
        <w:rPr>
          <w:rFonts w:cs="Arial" w:hint="cs"/>
          <w:rtl/>
        </w:rPr>
        <w:t xml:space="preserve">- </w:t>
      </w:r>
      <w:r w:rsidRPr="00984FC8">
        <w:rPr>
          <w:rFonts w:cs="Arial"/>
          <w:rtl/>
        </w:rPr>
        <w:t>שסובר שא"צ לאיש כמוהו להיות מתון בדין</w:t>
      </w:r>
      <w:r>
        <w:rPr>
          <w:rFonts w:cs="Arial" w:hint="cs"/>
          <w:rtl/>
        </w:rPr>
        <w:t>, סמ"ע (סק"ג).</w:t>
      </w:r>
    </w:p>
  </w:footnote>
  <w:footnote w:id="504">
    <w:p w14:paraId="6BB2C41D" w14:textId="77777777" w:rsidR="0013116F" w:rsidRDefault="0013116F">
      <w:pPr>
        <w:pStyle w:val="a9"/>
      </w:pPr>
      <w:r>
        <w:rPr>
          <w:rStyle w:val="ab"/>
        </w:rPr>
        <w:footnoteRef/>
      </w:r>
      <w:r>
        <w:rPr>
          <w:rtl/>
        </w:rPr>
        <w:t xml:space="preserve"> </w:t>
      </w:r>
      <w:r>
        <w:rPr>
          <w:rFonts w:hint="cs"/>
          <w:rtl/>
        </w:rPr>
        <w:t xml:space="preserve">סימן </w:t>
      </w:r>
      <w:r>
        <w:rPr>
          <w:rtl/>
        </w:rPr>
        <w:t>–</w:t>
      </w:r>
      <w:r>
        <w:rPr>
          <w:rFonts w:hint="cs"/>
          <w:rtl/>
        </w:rPr>
        <w:t xml:space="preserve"> קירוב טפשי. וכן </w:t>
      </w:r>
      <w:r>
        <w:rPr>
          <w:rtl/>
        </w:rPr>
        <w:t>–</w:t>
      </w:r>
      <w:r>
        <w:rPr>
          <w:rFonts w:hint="cs"/>
          <w:rtl/>
        </w:rPr>
        <w:t xml:space="preserve"> תקע.</w:t>
      </w:r>
    </w:p>
  </w:footnote>
  <w:footnote w:id="505">
    <w:p w14:paraId="441A6DA4" w14:textId="77777777" w:rsidR="0013116F" w:rsidRDefault="0013116F">
      <w:pPr>
        <w:pStyle w:val="a9"/>
      </w:pPr>
      <w:r>
        <w:rPr>
          <w:rStyle w:val="ab"/>
        </w:rPr>
        <w:footnoteRef/>
      </w:r>
      <w:r>
        <w:rPr>
          <w:rtl/>
        </w:rPr>
        <w:t xml:space="preserve"> </w:t>
      </w:r>
      <w:r w:rsidRPr="00532D93">
        <w:rPr>
          <w:rFonts w:cs="Arial"/>
          <w:rtl/>
        </w:rPr>
        <w:t>רַע יֵרוֹעַ כִּי עָרַב זָר וְשֹׂנֵא תֹקְעִים בּוֹטֵחַ</w:t>
      </w:r>
      <w:r>
        <w:rPr>
          <w:rFonts w:cs="Arial" w:hint="cs"/>
          <w:rtl/>
        </w:rPr>
        <w:t xml:space="preserve"> (משלי יא טו).</w:t>
      </w:r>
    </w:p>
  </w:footnote>
  <w:footnote w:id="506">
    <w:p w14:paraId="44ED1601" w14:textId="77777777" w:rsidR="0013116F" w:rsidRDefault="0013116F">
      <w:pPr>
        <w:pStyle w:val="a9"/>
      </w:pPr>
      <w:r>
        <w:rPr>
          <w:rStyle w:val="ab"/>
        </w:rPr>
        <w:footnoteRef/>
      </w:r>
      <w:r>
        <w:rPr>
          <w:rtl/>
        </w:rPr>
        <w:t xml:space="preserve"> </w:t>
      </w:r>
      <w:r w:rsidRPr="00984FC8">
        <w:rPr>
          <w:rFonts w:cs="Arial"/>
          <w:rtl/>
        </w:rPr>
        <w:t>יודע הלכה שאין דומה לדין הבא לפניו כל כך</w:t>
      </w:r>
      <w:r>
        <w:rPr>
          <w:rFonts w:cs="Arial" w:hint="cs"/>
          <w:rtl/>
        </w:rPr>
        <w:t>,</w:t>
      </w:r>
      <w:r w:rsidRPr="00984FC8">
        <w:rPr>
          <w:rFonts w:cs="Arial"/>
          <w:rtl/>
        </w:rPr>
        <w:t xml:space="preserve"> ומדמי מילתא למילתא ולא משאיל לרביה</w:t>
      </w:r>
      <w:r>
        <w:rPr>
          <w:rFonts w:cs="Arial" w:hint="cs"/>
          <w:rtl/>
        </w:rPr>
        <w:t>,</w:t>
      </w:r>
      <w:r w:rsidRPr="00984FC8">
        <w:rPr>
          <w:rFonts w:cs="Arial"/>
          <w:rtl/>
        </w:rPr>
        <w:t xml:space="preserve"> והיינו תוקע</w:t>
      </w:r>
      <w:r>
        <w:rPr>
          <w:rFonts w:cs="Arial" w:hint="cs"/>
          <w:rtl/>
        </w:rPr>
        <w:t>,</w:t>
      </w:r>
      <w:r w:rsidRPr="00984FC8">
        <w:rPr>
          <w:rFonts w:cs="Arial"/>
          <w:rtl/>
        </w:rPr>
        <w:t xml:space="preserve"> שסומך ונשען על ההלכה שהוא יודע</w:t>
      </w:r>
      <w:r>
        <w:rPr>
          <w:rFonts w:cs="Arial" w:hint="cs"/>
          <w:rtl/>
        </w:rPr>
        <w:t>, רש"י</w:t>
      </w:r>
      <w:r w:rsidRPr="00984FC8">
        <w:rPr>
          <w:rFonts w:cs="Arial"/>
          <w:rtl/>
        </w:rPr>
        <w:t>.</w:t>
      </w:r>
    </w:p>
  </w:footnote>
  <w:footnote w:id="507">
    <w:p w14:paraId="5671EDA4" w14:textId="77777777" w:rsidR="0013116F" w:rsidRDefault="0013116F">
      <w:pPr>
        <w:pStyle w:val="a9"/>
        <w:rPr>
          <w:rtl/>
        </w:rPr>
      </w:pPr>
      <w:r>
        <w:rPr>
          <w:rStyle w:val="ab"/>
        </w:rPr>
        <w:footnoteRef/>
      </w:r>
      <w:r>
        <w:rPr>
          <w:rtl/>
        </w:rPr>
        <w:t xml:space="preserve"> </w:t>
      </w:r>
      <w:r w:rsidRPr="00B907F9">
        <w:rPr>
          <w:rFonts w:cs="Arial"/>
          <w:rtl/>
        </w:rPr>
        <w:t xml:space="preserve">האי רבה לאו רבו ממש דוקא אלא כל שגדול ממנו בחכמה, </w:t>
      </w:r>
      <w:r>
        <w:rPr>
          <w:rFonts w:cs="Arial" w:hint="cs"/>
          <w:rtl/>
        </w:rPr>
        <w:t xml:space="preserve">ב"י בשם </w:t>
      </w:r>
      <w:r w:rsidRPr="00B907F9">
        <w:rPr>
          <w:rFonts w:cs="Arial"/>
          <w:rtl/>
        </w:rPr>
        <w:t>טור ורמב"ם.</w:t>
      </w:r>
    </w:p>
  </w:footnote>
  <w:footnote w:id="508">
    <w:p w14:paraId="6BB69F24" w14:textId="77777777" w:rsidR="0013116F" w:rsidRDefault="0013116F">
      <w:pPr>
        <w:pStyle w:val="a9"/>
        <w:rPr>
          <w:rtl/>
        </w:rPr>
      </w:pPr>
      <w:r>
        <w:rPr>
          <w:rStyle w:val="ab"/>
        </w:rPr>
        <w:footnoteRef/>
      </w:r>
      <w:r>
        <w:rPr>
          <w:rtl/>
        </w:rPr>
        <w:t xml:space="preserve"> </w:t>
      </w:r>
      <w:r w:rsidRPr="00984FC8">
        <w:rPr>
          <w:rFonts w:cs="Arial"/>
          <w:rtl/>
        </w:rPr>
        <w:t>אע</w:t>
      </w:r>
      <w:r>
        <w:rPr>
          <w:rFonts w:cs="Arial" w:hint="cs"/>
          <w:rtl/>
        </w:rPr>
        <w:t>"</w:t>
      </w:r>
      <w:r w:rsidRPr="00984FC8">
        <w:rPr>
          <w:rFonts w:cs="Arial"/>
          <w:rtl/>
        </w:rPr>
        <w:t>פ שאותו דין כבר שאל את פי החכם</w:t>
      </w:r>
      <w:r>
        <w:rPr>
          <w:rFonts w:hint="cs"/>
          <w:rtl/>
        </w:rPr>
        <w:t>, סמ"ע (סק"ד).</w:t>
      </w:r>
    </w:p>
  </w:footnote>
  <w:footnote w:id="509">
    <w:p w14:paraId="58041DDD" w14:textId="77777777" w:rsidR="0013116F" w:rsidRDefault="0013116F">
      <w:pPr>
        <w:pStyle w:val="a9"/>
      </w:pPr>
      <w:r>
        <w:rPr>
          <w:rStyle w:val="ab"/>
        </w:rPr>
        <w:footnoteRef/>
      </w:r>
      <w:r>
        <w:rPr>
          <w:rtl/>
        </w:rPr>
        <w:t xml:space="preserve"> </w:t>
      </w:r>
      <w:r w:rsidRPr="00984FC8">
        <w:rPr>
          <w:rFonts w:cs="Arial"/>
          <w:rtl/>
        </w:rPr>
        <w:t>שיכול להיות שדין הזה אינו דומה להראשון</w:t>
      </w:r>
      <w:r>
        <w:rPr>
          <w:rFonts w:cs="Arial" w:hint="cs"/>
          <w:rtl/>
        </w:rPr>
        <w:t>, סמ"ע (סק"ה).</w:t>
      </w:r>
    </w:p>
  </w:footnote>
  <w:footnote w:id="510">
    <w:p w14:paraId="30FA95CE" w14:textId="77777777" w:rsidR="0013116F" w:rsidRDefault="0013116F">
      <w:pPr>
        <w:pStyle w:val="a9"/>
      </w:pPr>
      <w:r>
        <w:rPr>
          <w:rStyle w:val="ab"/>
        </w:rPr>
        <w:footnoteRef/>
      </w:r>
      <w:r>
        <w:rPr>
          <w:rtl/>
        </w:rPr>
        <w:t xml:space="preserve"> </w:t>
      </w:r>
      <w:r>
        <w:rPr>
          <w:rFonts w:hint="cs"/>
          <w:rtl/>
        </w:rPr>
        <w:t xml:space="preserve">סימן </w:t>
      </w:r>
      <w:r>
        <w:rPr>
          <w:rtl/>
        </w:rPr>
        <w:t>–</w:t>
      </w:r>
      <w:r>
        <w:rPr>
          <w:rFonts w:hint="cs"/>
          <w:rtl/>
        </w:rPr>
        <w:t xml:space="preserve"> ילמד טרם</w:t>
      </w:r>
      <w:r>
        <w:rPr>
          <w:rFonts w:hint="cs"/>
          <w:sz w:val="16"/>
          <w:szCs w:val="16"/>
          <w:rtl/>
        </w:rPr>
        <w:t xml:space="preserve"> (היינו שלא הגיע להוראה ומורה)</w:t>
      </w:r>
      <w:r>
        <w:rPr>
          <w:rFonts w:hint="cs"/>
          <w:rtl/>
        </w:rPr>
        <w:t xml:space="preserve">, טרם ילמד </w:t>
      </w:r>
      <w:r>
        <w:rPr>
          <w:rFonts w:hint="cs"/>
          <w:sz w:val="16"/>
          <w:szCs w:val="16"/>
          <w:rtl/>
        </w:rPr>
        <w:t>(היינו שהגיע ולא מורה)</w:t>
      </w:r>
      <w:r>
        <w:rPr>
          <w:rFonts w:hint="cs"/>
          <w:rtl/>
        </w:rPr>
        <w:t>.</w:t>
      </w:r>
    </w:p>
  </w:footnote>
  <w:footnote w:id="511">
    <w:p w14:paraId="1851D69B" w14:textId="77777777" w:rsidR="0013116F" w:rsidRDefault="0013116F">
      <w:pPr>
        <w:pStyle w:val="a9"/>
        <w:rPr>
          <w:rtl/>
        </w:rPr>
      </w:pPr>
      <w:r>
        <w:rPr>
          <w:rStyle w:val="ab"/>
        </w:rPr>
        <w:footnoteRef/>
      </w:r>
      <w:r>
        <w:rPr>
          <w:rtl/>
        </w:rPr>
        <w:t xml:space="preserve"> </w:t>
      </w:r>
      <w:r w:rsidRPr="00984FC8">
        <w:rPr>
          <w:rFonts w:cs="Arial"/>
          <w:rtl/>
        </w:rPr>
        <w:t>לשון נפל שלא מלאו ימיו כלומר תלמיד שלא מלאו ימיו רבים חלליו</w:t>
      </w:r>
      <w:r>
        <w:rPr>
          <w:rFonts w:cs="Arial" w:hint="cs"/>
          <w:rtl/>
        </w:rPr>
        <w:t>, רש"י</w:t>
      </w:r>
      <w:r w:rsidRPr="00984FC8">
        <w:rPr>
          <w:rFonts w:cs="Arial"/>
          <w:rtl/>
        </w:rPr>
        <w:t>.</w:t>
      </w:r>
    </w:p>
  </w:footnote>
  <w:footnote w:id="512">
    <w:p w14:paraId="16A2B8D3" w14:textId="77777777" w:rsidR="0013116F" w:rsidRDefault="0013116F">
      <w:pPr>
        <w:pStyle w:val="a9"/>
      </w:pPr>
      <w:r>
        <w:rPr>
          <w:rStyle w:val="ab"/>
        </w:rPr>
        <w:footnoteRef/>
      </w:r>
      <w:r>
        <w:rPr>
          <w:rtl/>
        </w:rPr>
        <w:t xml:space="preserve"> </w:t>
      </w:r>
      <w:r w:rsidRPr="00984FC8">
        <w:rPr>
          <w:rFonts w:cs="Arial"/>
          <w:rtl/>
        </w:rPr>
        <w:t>המתעצמים והמחרישים ומתאפקים מלהורות הורגין את דורן ועצומים לשון ועוצם עיניו (ישעיהו לג)</w:t>
      </w:r>
      <w:r>
        <w:rPr>
          <w:rFonts w:cs="Arial" w:hint="cs"/>
          <w:rtl/>
        </w:rPr>
        <w:t>, רש"י</w:t>
      </w:r>
      <w:r w:rsidRPr="00984FC8">
        <w:rPr>
          <w:rFonts w:cs="Arial"/>
          <w:rtl/>
        </w:rPr>
        <w:t>.</w:t>
      </w:r>
    </w:p>
  </w:footnote>
  <w:footnote w:id="513">
    <w:p w14:paraId="7B99392F" w14:textId="77777777" w:rsidR="0013116F" w:rsidRDefault="0013116F">
      <w:pPr>
        <w:pStyle w:val="a9"/>
        <w:rPr>
          <w:rtl/>
        </w:rPr>
      </w:pPr>
      <w:r>
        <w:rPr>
          <w:rStyle w:val="ab"/>
        </w:rPr>
        <w:footnoteRef/>
      </w:r>
      <w:r>
        <w:rPr>
          <w:rtl/>
        </w:rPr>
        <w:t xml:space="preserve"> </w:t>
      </w:r>
      <w:r w:rsidRPr="00984FC8">
        <w:rPr>
          <w:rFonts w:cs="Arial"/>
          <w:rtl/>
        </w:rPr>
        <w:t>הוי ראוי להוראה</w:t>
      </w:r>
      <w:r>
        <w:rPr>
          <w:rFonts w:cs="Arial" w:hint="cs"/>
          <w:rtl/>
        </w:rPr>
        <w:t>, רש"י</w:t>
      </w:r>
      <w:r w:rsidRPr="00984FC8">
        <w:rPr>
          <w:rFonts w:cs="Arial"/>
          <w:rtl/>
        </w:rPr>
        <w:t>.</w:t>
      </w:r>
    </w:p>
  </w:footnote>
  <w:footnote w:id="514">
    <w:p w14:paraId="4033CBAA" w14:textId="77777777" w:rsidR="0013116F" w:rsidRDefault="0013116F">
      <w:pPr>
        <w:pStyle w:val="a9"/>
        <w:rPr>
          <w:rtl/>
        </w:rPr>
      </w:pPr>
      <w:r>
        <w:rPr>
          <w:rStyle w:val="ab"/>
        </w:rPr>
        <w:footnoteRef/>
      </w:r>
      <w:r>
        <w:rPr>
          <w:rtl/>
        </w:rPr>
        <w:t xml:space="preserve"> </w:t>
      </w:r>
      <w:r w:rsidRPr="00984FC8">
        <w:rPr>
          <w:rFonts w:cs="Arial"/>
          <w:rtl/>
        </w:rPr>
        <w:t>משנולד</w:t>
      </w:r>
      <w:r>
        <w:rPr>
          <w:rFonts w:cs="Arial" w:hint="cs"/>
          <w:rtl/>
        </w:rPr>
        <w:t>, רש"י</w:t>
      </w:r>
      <w:r w:rsidRPr="00984FC8">
        <w:rPr>
          <w:rFonts w:cs="Arial"/>
          <w:rtl/>
        </w:rPr>
        <w:t>.</w:t>
      </w:r>
    </w:p>
  </w:footnote>
  <w:footnote w:id="515">
    <w:p w14:paraId="1E1921E2" w14:textId="77777777" w:rsidR="0013116F" w:rsidRDefault="0013116F">
      <w:pPr>
        <w:pStyle w:val="a9"/>
      </w:pPr>
      <w:r>
        <w:rPr>
          <w:rStyle w:val="ab"/>
        </w:rPr>
        <w:footnoteRef/>
      </w:r>
      <w:r>
        <w:rPr>
          <w:rtl/>
        </w:rPr>
        <w:t xml:space="preserve"> </w:t>
      </w:r>
      <w:r w:rsidRPr="00984FC8">
        <w:rPr>
          <w:rFonts w:cs="Arial"/>
          <w:rtl/>
        </w:rPr>
        <w:t>וכל ימיו לא היו אלא ארבעים שנה</w:t>
      </w:r>
      <w:r>
        <w:rPr>
          <w:rFonts w:cs="Arial" w:hint="cs"/>
          <w:rtl/>
        </w:rPr>
        <w:t>,</w:t>
      </w:r>
      <w:r w:rsidRPr="00984FC8">
        <w:rPr>
          <w:rFonts w:cs="Arial"/>
          <w:rtl/>
        </w:rPr>
        <w:t xml:space="preserve"> בפ"ק דראש השנה (דף יח)</w:t>
      </w:r>
      <w:r w:rsidRPr="00984FC8">
        <w:rPr>
          <w:rFonts w:cs="Arial" w:hint="cs"/>
          <w:rtl/>
        </w:rPr>
        <w:t xml:space="preserve"> </w:t>
      </w:r>
      <w:r>
        <w:rPr>
          <w:rFonts w:cs="Arial" w:hint="cs"/>
          <w:rtl/>
        </w:rPr>
        <w:t>, רש"י</w:t>
      </w:r>
      <w:r w:rsidRPr="00984FC8">
        <w:rPr>
          <w:rFonts w:cs="Arial"/>
          <w:rtl/>
        </w:rPr>
        <w:t>.</w:t>
      </w:r>
    </w:p>
  </w:footnote>
  <w:footnote w:id="516">
    <w:p w14:paraId="4535AEDF" w14:textId="77777777" w:rsidR="0013116F" w:rsidRDefault="0013116F">
      <w:pPr>
        <w:pStyle w:val="a9"/>
        <w:rPr>
          <w:rtl/>
        </w:rPr>
      </w:pPr>
      <w:r>
        <w:rPr>
          <w:rStyle w:val="ab"/>
        </w:rPr>
        <w:footnoteRef/>
      </w:r>
      <w:r>
        <w:rPr>
          <w:rtl/>
        </w:rPr>
        <w:t xml:space="preserve"> </w:t>
      </w:r>
      <w:r w:rsidRPr="00984FC8">
        <w:rPr>
          <w:rFonts w:cs="Arial"/>
          <w:rtl/>
        </w:rPr>
        <w:t>בשאין בעירו גדול ממנו</w:t>
      </w:r>
      <w:r>
        <w:rPr>
          <w:rFonts w:cs="Arial" w:hint="cs"/>
          <w:rtl/>
        </w:rPr>
        <w:t>, רש"י</w:t>
      </w:r>
      <w:r w:rsidRPr="00984FC8">
        <w:rPr>
          <w:rFonts w:cs="Arial"/>
          <w:rtl/>
        </w:rPr>
        <w:t>.</w:t>
      </w:r>
    </w:p>
  </w:footnote>
  <w:footnote w:id="517">
    <w:p w14:paraId="37827DB3" w14:textId="77777777" w:rsidR="0013116F" w:rsidRDefault="0013116F">
      <w:pPr>
        <w:pStyle w:val="a9"/>
        <w:rPr>
          <w:rtl/>
        </w:rPr>
      </w:pPr>
      <w:r>
        <w:rPr>
          <w:rStyle w:val="ab"/>
        </w:rPr>
        <w:footnoteRef/>
      </w:r>
      <w:r>
        <w:rPr>
          <w:rtl/>
        </w:rPr>
        <w:t xml:space="preserve"> </w:t>
      </w:r>
      <w:r>
        <w:rPr>
          <w:rFonts w:cs="Arial"/>
          <w:rtl/>
        </w:rPr>
        <w:t>כן כתב הרמב"ם ז"ל בפ</w:t>
      </w:r>
      <w:r>
        <w:rPr>
          <w:rFonts w:cs="Arial" w:hint="cs"/>
          <w:rtl/>
        </w:rPr>
        <w:t>"</w:t>
      </w:r>
      <w:r>
        <w:rPr>
          <w:rFonts w:cs="Arial"/>
          <w:rtl/>
        </w:rPr>
        <w:t>כ (שם)</w:t>
      </w:r>
      <w:r>
        <w:rPr>
          <w:rFonts w:cs="Arial" w:hint="cs"/>
          <w:rtl/>
        </w:rPr>
        <w:t>,</w:t>
      </w:r>
      <w:r>
        <w:rPr>
          <w:rFonts w:cs="Arial"/>
          <w:rtl/>
        </w:rPr>
        <w:t xml:space="preserve"> ונראה שטעמו מדתנן (אבות פ"ד מ"ז) רבי ישמעאל אומר החושך עצמו מן הדין פורק ממנו איבה וגזל ושבועת שוא</w:t>
      </w:r>
      <w:r>
        <w:rPr>
          <w:rFonts w:cs="Arial" w:hint="cs"/>
          <w:rtl/>
        </w:rPr>
        <w:t>,</w:t>
      </w:r>
      <w:r>
        <w:rPr>
          <w:rFonts w:cs="Arial"/>
          <w:rtl/>
        </w:rPr>
        <w:t xml:space="preserve"> ועל כרחך לאו בשאינו ראוי להוראה מיירי</w:t>
      </w:r>
      <w:r>
        <w:rPr>
          <w:rFonts w:cs="Arial" w:hint="cs"/>
          <w:rtl/>
        </w:rPr>
        <w:t>,</w:t>
      </w:r>
      <w:r>
        <w:rPr>
          <w:rFonts w:cs="Arial"/>
          <w:rtl/>
        </w:rPr>
        <w:t xml:space="preserve"> דא</w:t>
      </w:r>
      <w:r>
        <w:rPr>
          <w:rFonts w:cs="Arial" w:hint="cs"/>
          <w:rtl/>
        </w:rPr>
        <w:t>"</w:t>
      </w:r>
      <w:r>
        <w:rPr>
          <w:rFonts w:cs="Arial"/>
          <w:rtl/>
        </w:rPr>
        <w:t>כ מאי פורק ממנו דקאמר דמשמע שאם היה מורה לא הוה ריעותא אחריתא במילתא</w:t>
      </w:r>
      <w:r>
        <w:rPr>
          <w:rFonts w:cs="Arial" w:hint="cs"/>
          <w:rtl/>
        </w:rPr>
        <w:t>,</w:t>
      </w:r>
      <w:r>
        <w:rPr>
          <w:rFonts w:cs="Arial"/>
          <w:rtl/>
        </w:rPr>
        <w:t xml:space="preserve"> והא אסור להורות הוא</w:t>
      </w:r>
      <w:r>
        <w:rPr>
          <w:rFonts w:cs="Arial" w:hint="cs"/>
          <w:rtl/>
        </w:rPr>
        <w:t>,</w:t>
      </w:r>
      <w:r>
        <w:rPr>
          <w:rFonts w:cs="Arial"/>
          <w:rtl/>
        </w:rPr>
        <w:t xml:space="preserve"> אלא בראוי להוראה מיירי</w:t>
      </w:r>
      <w:r>
        <w:rPr>
          <w:rFonts w:cs="Arial" w:hint="cs"/>
          <w:rtl/>
        </w:rPr>
        <w:t>.</w:t>
      </w:r>
      <w:r>
        <w:rPr>
          <w:rFonts w:cs="Arial"/>
          <w:rtl/>
        </w:rPr>
        <w:t xml:space="preserve"> ואי בשאין שם אחר ראוי להוראה</w:t>
      </w:r>
      <w:r>
        <w:rPr>
          <w:rFonts w:cs="Arial" w:hint="cs"/>
          <w:rtl/>
        </w:rPr>
        <w:t>,</w:t>
      </w:r>
      <w:r>
        <w:rPr>
          <w:rFonts w:cs="Arial"/>
          <w:rtl/>
        </w:rPr>
        <w:t xml:space="preserve"> הרי אסור לו לחשוך עצמו מן הדין</w:t>
      </w:r>
      <w:r>
        <w:rPr>
          <w:rFonts w:cs="Arial" w:hint="cs"/>
          <w:rtl/>
        </w:rPr>
        <w:t>,</w:t>
      </w:r>
      <w:r>
        <w:rPr>
          <w:rFonts w:cs="Arial"/>
          <w:rtl/>
        </w:rPr>
        <w:t xml:space="preserve"> שהרי אמרו ועצומים כל הרוגיה</w:t>
      </w:r>
      <w:r>
        <w:rPr>
          <w:rFonts w:cs="Arial" w:hint="cs"/>
          <w:rtl/>
        </w:rPr>
        <w:t>,</w:t>
      </w:r>
      <w:r>
        <w:rPr>
          <w:rFonts w:cs="Arial"/>
          <w:rtl/>
        </w:rPr>
        <w:t xml:space="preserve"> אלא ודאי בשיש שם אחר ראוי להוראה</w:t>
      </w:r>
      <w:r>
        <w:rPr>
          <w:rFonts w:cs="Arial" w:hint="cs"/>
          <w:rtl/>
        </w:rPr>
        <w:t>, ב"י.</w:t>
      </w:r>
    </w:p>
  </w:footnote>
  <w:footnote w:id="518">
    <w:p w14:paraId="241D09F4" w14:textId="77777777" w:rsidR="0013116F" w:rsidRDefault="0013116F">
      <w:pPr>
        <w:pStyle w:val="a9"/>
      </w:pPr>
      <w:r>
        <w:rPr>
          <w:rStyle w:val="ab"/>
        </w:rPr>
        <w:footnoteRef/>
      </w:r>
      <w:r>
        <w:rPr>
          <w:rtl/>
        </w:rPr>
        <w:t xml:space="preserve"> </w:t>
      </w:r>
      <w:r w:rsidRPr="00F00F06">
        <w:rPr>
          <w:rFonts w:cs="Arial"/>
          <w:rtl/>
        </w:rPr>
        <w:t>כתב "וכל", ר"ל אפילו אם הדור צריך לו, יראה שימנע עצמו מן הדין ויפשר הבע"ד בהדדי אם הוא אפשר לו</w:t>
      </w:r>
      <w:r>
        <w:rPr>
          <w:rFonts w:cs="Arial" w:hint="cs"/>
          <w:rtl/>
        </w:rPr>
        <w:t>, סמ"ע (סק"ט).</w:t>
      </w:r>
    </w:p>
  </w:footnote>
  <w:footnote w:id="519">
    <w:p w14:paraId="0913ABE3" w14:textId="77777777" w:rsidR="0013116F" w:rsidRDefault="0013116F">
      <w:pPr>
        <w:pStyle w:val="a9"/>
      </w:pPr>
      <w:r>
        <w:rPr>
          <w:rStyle w:val="ab"/>
        </w:rPr>
        <w:footnoteRef/>
      </w:r>
      <w:r>
        <w:rPr>
          <w:rtl/>
        </w:rPr>
        <w:t xml:space="preserve"> </w:t>
      </w:r>
      <w:r>
        <w:rPr>
          <w:rFonts w:hint="cs"/>
          <w:rtl/>
        </w:rPr>
        <w:t xml:space="preserve">סימן </w:t>
      </w:r>
      <w:r>
        <w:rPr>
          <w:rtl/>
        </w:rPr>
        <w:t>–</w:t>
      </w:r>
      <w:r>
        <w:rPr>
          <w:rFonts w:hint="cs"/>
          <w:rtl/>
        </w:rPr>
        <w:t xml:space="preserve"> </w:t>
      </w:r>
      <w:bookmarkStart w:id="73" w:name="_Hlk18483241"/>
      <w:r>
        <w:rPr>
          <w:rFonts w:hint="cs"/>
          <w:rtl/>
        </w:rPr>
        <w:t>חבב חצי כחשוּב</w:t>
      </w:r>
      <w:bookmarkEnd w:id="73"/>
      <w:r>
        <w:rPr>
          <w:rFonts w:hint="cs"/>
          <w:rtl/>
        </w:rPr>
        <w:t>.</w:t>
      </w:r>
    </w:p>
  </w:footnote>
  <w:footnote w:id="520">
    <w:p w14:paraId="52B5D990" w14:textId="77777777" w:rsidR="0013116F" w:rsidRDefault="0013116F">
      <w:pPr>
        <w:pStyle w:val="a9"/>
        <w:rPr>
          <w:rtl/>
        </w:rPr>
      </w:pPr>
      <w:r>
        <w:rPr>
          <w:rStyle w:val="ab"/>
        </w:rPr>
        <w:footnoteRef/>
      </w:r>
      <w:r>
        <w:rPr>
          <w:rtl/>
        </w:rPr>
        <w:t xml:space="preserve"> </w:t>
      </w:r>
      <w:r>
        <w:rPr>
          <w:rFonts w:hint="cs"/>
          <w:rtl/>
        </w:rPr>
        <w:t>וז"ל-</w:t>
      </w:r>
      <w:r>
        <w:rPr>
          <w:rFonts w:cs="Arial" w:hint="cs"/>
          <w:rtl/>
        </w:rPr>
        <w:t xml:space="preserve"> </w:t>
      </w:r>
      <w:r w:rsidRPr="00E77C9E">
        <w:rPr>
          <w:rFonts w:cs="Arial"/>
          <w:rtl/>
        </w:rPr>
        <w:t>אל תאמר שכל אלו הדברים בדין שיש בו הוצאת ממון הרבה מזה ונתינתו לזה, לעולם יהי דין אלף מנה ודין פרוטה אחת שוין בעיניך לכל דבר</w:t>
      </w:r>
      <w:r>
        <w:rPr>
          <w:rFonts w:cs="Arial" w:hint="cs"/>
          <w:rtl/>
        </w:rPr>
        <w:t>.</w:t>
      </w:r>
    </w:p>
  </w:footnote>
  <w:footnote w:id="521">
    <w:p w14:paraId="256848B3" w14:textId="77777777" w:rsidR="0013116F" w:rsidRDefault="0013116F">
      <w:pPr>
        <w:pStyle w:val="a9"/>
        <w:rPr>
          <w:rtl/>
        </w:rPr>
      </w:pPr>
      <w:r>
        <w:rPr>
          <w:rStyle w:val="ab"/>
        </w:rPr>
        <w:footnoteRef/>
      </w:r>
      <w:r>
        <w:rPr>
          <w:rtl/>
        </w:rPr>
        <w:t xml:space="preserve"> </w:t>
      </w:r>
      <w:r>
        <w:rPr>
          <w:rFonts w:hint="cs"/>
          <w:rtl/>
        </w:rPr>
        <w:t xml:space="preserve">סימן </w:t>
      </w:r>
      <w:r>
        <w:rPr>
          <w:rtl/>
        </w:rPr>
        <w:t>–</w:t>
      </w:r>
      <w:r>
        <w:rPr>
          <w:rFonts w:hint="cs"/>
          <w:rtl/>
        </w:rPr>
        <w:t xml:space="preserve"> קובעים ימים ג'.</w:t>
      </w:r>
    </w:p>
  </w:footnote>
  <w:footnote w:id="522">
    <w:p w14:paraId="2CB9B745" w14:textId="77777777" w:rsidR="0013116F" w:rsidRDefault="0013116F">
      <w:pPr>
        <w:pStyle w:val="a9"/>
        <w:rPr>
          <w:rtl/>
        </w:rPr>
      </w:pPr>
      <w:r>
        <w:rPr>
          <w:rStyle w:val="ab"/>
        </w:rPr>
        <w:footnoteRef/>
      </w:r>
      <w:r>
        <w:rPr>
          <w:rtl/>
        </w:rPr>
        <w:t xml:space="preserve"> </w:t>
      </w:r>
      <w:r w:rsidRPr="00E47991">
        <w:rPr>
          <w:rFonts w:cs="Arial"/>
          <w:rtl/>
        </w:rPr>
        <w:t>ליום שני בשבת</w:t>
      </w:r>
      <w:r>
        <w:rPr>
          <w:rFonts w:cs="Arial" w:hint="cs"/>
          <w:rtl/>
        </w:rPr>
        <w:t>,</w:t>
      </w:r>
      <w:r w:rsidRPr="00E47991">
        <w:rPr>
          <w:rFonts w:cs="Arial"/>
          <w:rtl/>
        </w:rPr>
        <w:t xml:space="preserve"> ואם לא יבא מזמנין אותו ליום חמישי</w:t>
      </w:r>
      <w:r>
        <w:rPr>
          <w:rFonts w:cs="Arial" w:hint="cs"/>
          <w:rtl/>
        </w:rPr>
        <w:t>,</w:t>
      </w:r>
      <w:r w:rsidRPr="00E47991">
        <w:rPr>
          <w:rFonts w:cs="Arial"/>
          <w:rtl/>
        </w:rPr>
        <w:t xml:space="preserve"> ואם לא יבא מזמנין אותו ליום שני</w:t>
      </w:r>
      <w:r>
        <w:rPr>
          <w:rFonts w:cs="Arial" w:hint="cs"/>
          <w:rtl/>
        </w:rPr>
        <w:t>,</w:t>
      </w:r>
      <w:r w:rsidRPr="00E47991">
        <w:rPr>
          <w:rFonts w:cs="Arial"/>
          <w:rtl/>
        </w:rPr>
        <w:t xml:space="preserve"> ועד למחר לא כתבינן פתיחא</w:t>
      </w:r>
      <w:r>
        <w:rPr>
          <w:rFonts w:cs="Arial" w:hint="cs"/>
          <w:rtl/>
        </w:rPr>
        <w:t>,</w:t>
      </w:r>
      <w:r w:rsidRPr="00E47991">
        <w:rPr>
          <w:rFonts w:cs="Arial"/>
          <w:rtl/>
        </w:rPr>
        <w:t xml:space="preserve"> שכל היום ממתינין שמא יבא</w:t>
      </w:r>
      <w:r>
        <w:rPr>
          <w:rFonts w:cs="Arial" w:hint="cs"/>
          <w:rtl/>
        </w:rPr>
        <w:t>, רש"י</w:t>
      </w:r>
      <w:r w:rsidRPr="00E47991">
        <w:rPr>
          <w:rFonts w:cs="Arial"/>
          <w:rtl/>
        </w:rPr>
        <w:t>.</w:t>
      </w:r>
    </w:p>
  </w:footnote>
  <w:footnote w:id="523">
    <w:p w14:paraId="6BB8AD67" w14:textId="77777777" w:rsidR="0013116F" w:rsidRDefault="0013116F" w:rsidP="0029392A">
      <w:pPr>
        <w:pStyle w:val="a9"/>
      </w:pPr>
      <w:r>
        <w:rPr>
          <w:rStyle w:val="ab"/>
        </w:rPr>
        <w:footnoteRef/>
      </w:r>
      <w:r>
        <w:rPr>
          <w:rtl/>
        </w:rPr>
        <w:t xml:space="preserve"> </w:t>
      </w:r>
      <w:r>
        <w:rPr>
          <w:rFonts w:cs="Arial"/>
          <w:rtl/>
        </w:rPr>
        <w:t>כלומר</w:t>
      </w:r>
      <w:r>
        <w:rPr>
          <w:rFonts w:cs="Arial" w:hint="cs"/>
          <w:rtl/>
        </w:rPr>
        <w:t>,</w:t>
      </w:r>
      <w:r>
        <w:rPr>
          <w:rFonts w:cs="Arial"/>
          <w:rtl/>
        </w:rPr>
        <w:t xml:space="preserve"> אין קובעים לו שלשה זמנים בבת אחת, אלא בתחילה קובעים לו ליום שני בשבוע. ואם לא הגיע, קובעים לו ליום חמישי. ואם לא הגיע קובעים לו ליום שני.</w:t>
      </w:r>
      <w:r>
        <w:rPr>
          <w:rFonts w:hint="cs"/>
          <w:rtl/>
        </w:rPr>
        <w:t xml:space="preserve"> </w:t>
      </w:r>
      <w:r>
        <w:rPr>
          <w:rFonts w:cs="Arial"/>
          <w:rtl/>
        </w:rPr>
        <w:t>וממתינים לו ביום שני האחרון כל היום</w:t>
      </w:r>
      <w:r>
        <w:rPr>
          <w:rFonts w:cs="Arial" w:hint="cs"/>
          <w:rtl/>
        </w:rPr>
        <w:t>, ולמחר</w:t>
      </w:r>
      <w:r w:rsidRPr="00966FBE">
        <w:rPr>
          <w:rtl/>
        </w:rPr>
        <w:t xml:space="preserve"> </w:t>
      </w:r>
      <w:r w:rsidRPr="00966FBE">
        <w:rPr>
          <w:rFonts w:cs="Arial"/>
          <w:rtl/>
        </w:rPr>
        <w:t>אם לא הגיע כ</w:t>
      </w:r>
      <w:r>
        <w:rPr>
          <w:rFonts w:cs="Arial" w:hint="cs"/>
          <w:rtl/>
        </w:rPr>
        <w:t>ותבים</w:t>
      </w:r>
      <w:r w:rsidRPr="00966FBE">
        <w:rPr>
          <w:rFonts w:cs="Arial"/>
          <w:rtl/>
        </w:rPr>
        <w:t xml:space="preserve"> עליו שטר נידוי</w:t>
      </w:r>
      <w:r>
        <w:rPr>
          <w:rFonts w:cs="Arial" w:hint="cs"/>
          <w:sz w:val="14"/>
          <w:szCs w:val="14"/>
          <w:rtl/>
        </w:rPr>
        <w:t xml:space="preserve"> </w:t>
      </w:r>
      <w:r>
        <w:rPr>
          <w:rFonts w:cs="Arial" w:hint="cs"/>
          <w:sz w:val="16"/>
          <w:szCs w:val="16"/>
          <w:rtl/>
        </w:rPr>
        <w:t>(חברותא)</w:t>
      </w:r>
      <w:r>
        <w:rPr>
          <w:rFonts w:cs="Arial" w:hint="cs"/>
          <w:rtl/>
        </w:rPr>
        <w:t>.</w:t>
      </w:r>
    </w:p>
  </w:footnote>
  <w:footnote w:id="524">
    <w:p w14:paraId="26E1325E" w14:textId="77777777" w:rsidR="0013116F" w:rsidRDefault="0013116F">
      <w:pPr>
        <w:pStyle w:val="a9"/>
      </w:pPr>
      <w:r>
        <w:rPr>
          <w:rStyle w:val="ab"/>
        </w:rPr>
        <w:footnoteRef/>
      </w:r>
      <w:r>
        <w:rPr>
          <w:rtl/>
        </w:rPr>
        <w:t xml:space="preserve"> </w:t>
      </w:r>
      <w:r>
        <w:rPr>
          <w:rFonts w:asciiTheme="minorBidi" w:hAnsiTheme="minorBidi" w:hint="cs"/>
          <w:rtl/>
        </w:rPr>
        <w:t xml:space="preserve">היינו - </w:t>
      </w:r>
      <w:r w:rsidRPr="00104621">
        <w:rPr>
          <w:rFonts w:asciiTheme="minorBidi" w:hAnsiTheme="minorBidi"/>
          <w:rtl/>
        </w:rPr>
        <w:t>שולחין לו בית דין שלוחם שיבא ליום המזומן לדין</w:t>
      </w:r>
      <w:r>
        <w:rPr>
          <w:rFonts w:asciiTheme="minorBidi" w:hAnsiTheme="minorBidi" w:hint="cs"/>
          <w:rtl/>
        </w:rPr>
        <w:t>,</w:t>
      </w:r>
      <w:r w:rsidRPr="00104621">
        <w:rPr>
          <w:rFonts w:asciiTheme="minorBidi" w:hAnsiTheme="minorBidi"/>
          <w:rtl/>
        </w:rPr>
        <w:t xml:space="preserve"> לא בא</w:t>
      </w:r>
      <w:r>
        <w:rPr>
          <w:rFonts w:asciiTheme="minorBidi" w:hAnsiTheme="minorBidi" w:hint="cs"/>
          <w:rtl/>
        </w:rPr>
        <w:t xml:space="preserve"> -</w:t>
      </w:r>
      <w:r w:rsidRPr="00104621">
        <w:rPr>
          <w:rFonts w:asciiTheme="minorBidi" w:hAnsiTheme="minorBidi"/>
          <w:rtl/>
        </w:rPr>
        <w:t xml:space="preserve"> מזמינין אותו פעם שנית</w:t>
      </w:r>
      <w:r>
        <w:rPr>
          <w:rFonts w:asciiTheme="minorBidi" w:hAnsiTheme="minorBidi" w:hint="cs"/>
          <w:rtl/>
        </w:rPr>
        <w:t>,</w:t>
      </w:r>
      <w:r w:rsidRPr="00104621">
        <w:rPr>
          <w:rFonts w:asciiTheme="minorBidi" w:hAnsiTheme="minorBidi"/>
          <w:rtl/>
        </w:rPr>
        <w:t xml:space="preserve"> לא בא</w:t>
      </w:r>
      <w:r>
        <w:rPr>
          <w:rFonts w:asciiTheme="minorBidi" w:hAnsiTheme="minorBidi" w:hint="cs"/>
          <w:rtl/>
        </w:rPr>
        <w:t xml:space="preserve"> -</w:t>
      </w:r>
      <w:r w:rsidRPr="00104621">
        <w:rPr>
          <w:rFonts w:asciiTheme="minorBidi" w:hAnsiTheme="minorBidi"/>
          <w:rtl/>
        </w:rPr>
        <w:t xml:space="preserve"> מזמינין אותו פעם שלישית</w:t>
      </w:r>
      <w:r>
        <w:rPr>
          <w:rFonts w:asciiTheme="minorBidi" w:hAnsiTheme="minorBidi" w:hint="cs"/>
          <w:rtl/>
        </w:rPr>
        <w:t>,</w:t>
      </w:r>
      <w:r w:rsidRPr="00104621">
        <w:rPr>
          <w:rFonts w:asciiTheme="minorBidi" w:hAnsiTheme="minorBidi"/>
          <w:rtl/>
        </w:rPr>
        <w:t xml:space="preserve"> לא בא בפעם שלישית</w:t>
      </w:r>
      <w:r>
        <w:rPr>
          <w:rFonts w:asciiTheme="minorBidi" w:hAnsiTheme="minorBidi" w:hint="cs"/>
          <w:rtl/>
        </w:rPr>
        <w:t xml:space="preserve"> -</w:t>
      </w:r>
      <w:r w:rsidRPr="00104621">
        <w:rPr>
          <w:rFonts w:asciiTheme="minorBidi" w:hAnsiTheme="minorBidi"/>
          <w:rtl/>
        </w:rPr>
        <w:t xml:space="preserve"> ממתינין לו כל היום</w:t>
      </w:r>
      <w:r>
        <w:rPr>
          <w:rFonts w:asciiTheme="minorBidi" w:hAnsiTheme="minorBidi" w:hint="cs"/>
          <w:rtl/>
        </w:rPr>
        <w:t>,</w:t>
      </w:r>
      <w:r w:rsidRPr="00104621">
        <w:rPr>
          <w:rFonts w:asciiTheme="minorBidi" w:hAnsiTheme="minorBidi"/>
          <w:rtl/>
        </w:rPr>
        <w:t xml:space="preserve"> לא בא</w:t>
      </w:r>
      <w:r>
        <w:rPr>
          <w:rFonts w:asciiTheme="minorBidi" w:hAnsiTheme="minorBidi" w:hint="cs"/>
          <w:rtl/>
        </w:rPr>
        <w:t xml:space="preserve"> -</w:t>
      </w:r>
      <w:r w:rsidRPr="00104621">
        <w:rPr>
          <w:rFonts w:asciiTheme="minorBidi" w:hAnsiTheme="minorBidi"/>
          <w:rtl/>
        </w:rPr>
        <w:t xml:space="preserve"> מנדין אותו למחרתו</w:t>
      </w:r>
      <w:r>
        <w:rPr>
          <w:rFonts w:asciiTheme="minorBidi" w:hAnsiTheme="minorBidi" w:hint="cs"/>
          <w:rtl/>
        </w:rPr>
        <w:t>, טור.</w:t>
      </w:r>
    </w:p>
  </w:footnote>
  <w:footnote w:id="525">
    <w:p w14:paraId="285613FF" w14:textId="77777777" w:rsidR="0013116F" w:rsidRDefault="0013116F" w:rsidP="00104621">
      <w:pPr>
        <w:pStyle w:val="a9"/>
        <w:rPr>
          <w:rtl/>
        </w:rPr>
      </w:pPr>
      <w:r>
        <w:rPr>
          <w:rStyle w:val="ab"/>
        </w:rPr>
        <w:footnoteRef/>
      </w:r>
      <w:r>
        <w:rPr>
          <w:rtl/>
        </w:rPr>
        <w:t xml:space="preserve"> </w:t>
      </w:r>
      <w:r>
        <w:rPr>
          <w:rFonts w:cs="Arial" w:hint="cs"/>
          <w:rtl/>
        </w:rPr>
        <w:t xml:space="preserve">הרמב"ם </w:t>
      </w:r>
      <w:r>
        <w:rPr>
          <w:rFonts w:cs="Arial"/>
          <w:rtl/>
        </w:rPr>
        <w:t>למד כן ממה שכתבתי בסמוך אמר ליה הני מילי גברא דאנוס וליתיה במתא וכו'</w:t>
      </w:r>
      <w:r>
        <w:rPr>
          <w:rFonts w:cs="Arial" w:hint="cs"/>
          <w:rtl/>
        </w:rPr>
        <w:t>,</w:t>
      </w:r>
      <w:r>
        <w:rPr>
          <w:rFonts w:cs="Arial"/>
          <w:rtl/>
        </w:rPr>
        <w:t xml:space="preserve"> ומשמע ליה דכיון דתלי טעמא בליתיה במתא ואיתיה במתא</w:t>
      </w:r>
      <w:r>
        <w:rPr>
          <w:rFonts w:cs="Arial" w:hint="cs"/>
          <w:rtl/>
        </w:rPr>
        <w:t xml:space="preserve"> -</w:t>
      </w:r>
      <w:r>
        <w:rPr>
          <w:rFonts w:cs="Arial"/>
          <w:rtl/>
        </w:rPr>
        <w:t xml:space="preserve"> לא שאני לן בין איש לאשה</w:t>
      </w:r>
      <w:r>
        <w:rPr>
          <w:rFonts w:cs="Arial" w:hint="cs"/>
          <w:rtl/>
        </w:rPr>
        <w:t>,</w:t>
      </w:r>
      <w:r>
        <w:rPr>
          <w:rFonts w:cs="Arial"/>
          <w:rtl/>
        </w:rPr>
        <w:t xml:space="preserve"> דאי איתיה במתא </w:t>
      </w:r>
      <w:r>
        <w:rPr>
          <w:rFonts w:cs="Arial" w:hint="cs"/>
          <w:rtl/>
        </w:rPr>
        <w:t xml:space="preserve">- </w:t>
      </w:r>
      <w:r>
        <w:rPr>
          <w:rFonts w:cs="Arial"/>
          <w:rtl/>
        </w:rPr>
        <w:t>לאיש נמי מנדין אותו בפעם הראשון</w:t>
      </w:r>
      <w:r>
        <w:rPr>
          <w:rFonts w:cs="Arial" w:hint="cs"/>
          <w:rtl/>
        </w:rPr>
        <w:t>,</w:t>
      </w:r>
      <w:r>
        <w:rPr>
          <w:rFonts w:cs="Arial"/>
          <w:rtl/>
        </w:rPr>
        <w:t xml:space="preserve"> ואי ליתיה במתא </w:t>
      </w:r>
      <w:r>
        <w:rPr>
          <w:rFonts w:cs="Arial" w:hint="cs"/>
          <w:rtl/>
        </w:rPr>
        <w:t xml:space="preserve">- </w:t>
      </w:r>
      <w:r>
        <w:rPr>
          <w:rFonts w:cs="Arial"/>
          <w:rtl/>
        </w:rPr>
        <w:t>אפילו לאשה נמי קבעינן זימנא שלש פעמים</w:t>
      </w:r>
      <w:r>
        <w:rPr>
          <w:rFonts w:cs="Arial" w:hint="cs"/>
          <w:rtl/>
        </w:rPr>
        <w:t>,</w:t>
      </w:r>
      <w:r>
        <w:rPr>
          <w:rFonts w:cs="Arial"/>
          <w:rtl/>
        </w:rPr>
        <w:t xml:space="preserve"> והא דקאמר הני מילי גברא וכו' אורחא דמילתא נקט</w:t>
      </w:r>
      <w:r>
        <w:rPr>
          <w:rFonts w:cs="Arial" w:hint="cs"/>
          <w:rtl/>
        </w:rPr>
        <w:t>,</w:t>
      </w:r>
      <w:r>
        <w:rPr>
          <w:rFonts w:cs="Arial"/>
          <w:rtl/>
        </w:rPr>
        <w:t xml:space="preserve"> דאורחיה דגברא דליתיה במתא</w:t>
      </w:r>
      <w:r>
        <w:rPr>
          <w:rFonts w:cs="Arial" w:hint="cs"/>
          <w:rtl/>
        </w:rPr>
        <w:t>.</w:t>
      </w:r>
      <w:r>
        <w:rPr>
          <w:rFonts w:cs="Arial"/>
          <w:rtl/>
        </w:rPr>
        <w:t xml:space="preserve"> ואיפשר דמשום הכי סיים ואמר אבל הכא כיון דאיתיה במתא וכו' ולא אמר אבל איתתא כיון דאיתיה במתא</w:t>
      </w:r>
      <w:r>
        <w:rPr>
          <w:rFonts w:cs="Arial" w:hint="cs"/>
          <w:rtl/>
        </w:rPr>
        <w:t>, ב"י</w:t>
      </w:r>
      <w:r>
        <w:rPr>
          <w:rFonts w:cs="Arial"/>
          <w:rtl/>
        </w:rPr>
        <w:t>.</w:t>
      </w:r>
    </w:p>
  </w:footnote>
  <w:footnote w:id="526">
    <w:p w14:paraId="0949DAEF" w14:textId="77777777" w:rsidR="0013116F" w:rsidRDefault="0013116F" w:rsidP="006F0BD2">
      <w:pPr>
        <w:pStyle w:val="a9"/>
        <w:rPr>
          <w:rtl/>
        </w:rPr>
      </w:pPr>
      <w:r>
        <w:rPr>
          <w:rStyle w:val="ab"/>
        </w:rPr>
        <w:footnoteRef/>
      </w:r>
      <w:r>
        <w:rPr>
          <w:rtl/>
        </w:rPr>
        <w:t xml:space="preserve"> </w:t>
      </w:r>
      <w:r>
        <w:rPr>
          <w:rFonts w:hint="cs"/>
          <w:rtl/>
        </w:rPr>
        <w:t xml:space="preserve">סימן </w:t>
      </w:r>
      <w:r>
        <w:rPr>
          <w:rtl/>
        </w:rPr>
        <w:t>–</w:t>
      </w:r>
      <w:r>
        <w:rPr>
          <w:rFonts w:hint="cs"/>
          <w:rtl/>
        </w:rPr>
        <w:t xml:space="preserve"> ללכת אחרי.</w:t>
      </w:r>
    </w:p>
  </w:footnote>
  <w:footnote w:id="527">
    <w:p w14:paraId="7160A643" w14:textId="77777777" w:rsidR="0013116F" w:rsidRDefault="0013116F" w:rsidP="006F0BD2">
      <w:pPr>
        <w:pStyle w:val="a9"/>
      </w:pPr>
      <w:r>
        <w:rPr>
          <w:rStyle w:val="ab"/>
        </w:rPr>
        <w:footnoteRef/>
      </w:r>
      <w:r>
        <w:rPr>
          <w:rtl/>
        </w:rPr>
        <w:t xml:space="preserve"> </w:t>
      </w:r>
      <w:r w:rsidRPr="00E47991">
        <w:rPr>
          <w:rFonts w:cs="Arial"/>
          <w:rtl/>
        </w:rPr>
        <w:t>שטר שמתא</w:t>
      </w:r>
      <w:r>
        <w:rPr>
          <w:rFonts w:cs="Arial" w:hint="cs"/>
          <w:rtl/>
        </w:rPr>
        <w:t>, רש"י</w:t>
      </w:r>
      <w:r w:rsidRPr="00E47991">
        <w:rPr>
          <w:rFonts w:cs="Arial"/>
          <w:rtl/>
        </w:rPr>
        <w:t>.</w:t>
      </w:r>
    </w:p>
  </w:footnote>
  <w:footnote w:id="528">
    <w:p w14:paraId="23D75553" w14:textId="77777777" w:rsidR="0013116F" w:rsidRDefault="0013116F" w:rsidP="006F0BD2">
      <w:pPr>
        <w:pStyle w:val="a9"/>
      </w:pPr>
      <w:r>
        <w:rPr>
          <w:rStyle w:val="ab"/>
        </w:rPr>
        <w:footnoteRef/>
      </w:r>
      <w:r>
        <w:rPr>
          <w:rtl/>
        </w:rPr>
        <w:t xml:space="preserve"> </w:t>
      </w:r>
      <w:r w:rsidRPr="00E47991">
        <w:rPr>
          <w:rFonts w:cs="Arial"/>
          <w:rtl/>
        </w:rPr>
        <w:t>אם אתה מטריחן</w:t>
      </w:r>
      <w:r>
        <w:rPr>
          <w:rFonts w:cs="Arial" w:hint="cs"/>
          <w:rtl/>
        </w:rPr>
        <w:t>, רש"י</w:t>
      </w:r>
      <w:r w:rsidRPr="00E47991">
        <w:rPr>
          <w:rFonts w:cs="Arial"/>
          <w:rtl/>
        </w:rPr>
        <w:t>.</w:t>
      </w:r>
    </w:p>
  </w:footnote>
  <w:footnote w:id="529">
    <w:p w14:paraId="16F103BB" w14:textId="77777777" w:rsidR="0013116F" w:rsidRDefault="0013116F" w:rsidP="00C17E1D">
      <w:pPr>
        <w:pStyle w:val="a9"/>
      </w:pPr>
      <w:r>
        <w:rPr>
          <w:rStyle w:val="ab"/>
        </w:rPr>
        <w:footnoteRef/>
      </w:r>
      <w:r>
        <w:rPr>
          <w:rtl/>
        </w:rPr>
        <w:t xml:space="preserve"> </w:t>
      </w:r>
      <w:r>
        <w:rPr>
          <w:rFonts w:hint="cs"/>
          <w:rtl/>
        </w:rPr>
        <w:t xml:space="preserve">סימן </w:t>
      </w:r>
      <w:r>
        <w:rPr>
          <w:rtl/>
        </w:rPr>
        <w:t>–</w:t>
      </w:r>
      <w:r>
        <w:rPr>
          <w:rFonts w:hint="cs"/>
          <w:rtl/>
        </w:rPr>
        <w:t xml:space="preserve"> קולו יחשב ב'.</w:t>
      </w:r>
    </w:p>
  </w:footnote>
  <w:footnote w:id="530">
    <w:p w14:paraId="3728E7B7" w14:textId="77777777" w:rsidR="0013116F" w:rsidRDefault="0013116F" w:rsidP="00C17E1D">
      <w:pPr>
        <w:pStyle w:val="a9"/>
        <w:rPr>
          <w:rtl/>
        </w:rPr>
      </w:pPr>
      <w:r>
        <w:rPr>
          <w:rStyle w:val="ab"/>
        </w:rPr>
        <w:footnoteRef/>
      </w:r>
      <w:r>
        <w:rPr>
          <w:rtl/>
        </w:rPr>
        <w:t xml:space="preserve"> </w:t>
      </w:r>
      <w:r w:rsidRPr="005E36F0">
        <w:rPr>
          <w:rFonts w:cs="Arial"/>
          <w:rtl/>
        </w:rPr>
        <w:t>דלא משקר בבי דינא</w:t>
      </w:r>
      <w:r>
        <w:rPr>
          <w:rFonts w:cs="Arial" w:hint="cs"/>
          <w:rtl/>
        </w:rPr>
        <w:t>, רש"י</w:t>
      </w:r>
      <w:r w:rsidRPr="005E36F0">
        <w:rPr>
          <w:rFonts w:cs="Arial"/>
          <w:rtl/>
        </w:rPr>
        <w:t>.</w:t>
      </w:r>
    </w:p>
  </w:footnote>
  <w:footnote w:id="531">
    <w:p w14:paraId="374E1599" w14:textId="77777777" w:rsidR="0013116F" w:rsidRDefault="0013116F" w:rsidP="00C17E1D">
      <w:pPr>
        <w:pStyle w:val="a9"/>
        <w:rPr>
          <w:rtl/>
        </w:rPr>
      </w:pPr>
      <w:r>
        <w:rPr>
          <w:rStyle w:val="ab"/>
        </w:rPr>
        <w:footnoteRef/>
      </w:r>
      <w:r>
        <w:rPr>
          <w:rtl/>
        </w:rPr>
        <w:t xml:space="preserve"> </w:t>
      </w:r>
      <w:r w:rsidRPr="005E36F0">
        <w:rPr>
          <w:rFonts w:cs="Arial"/>
          <w:rtl/>
        </w:rPr>
        <w:t>שטר שמתא</w:t>
      </w:r>
      <w:r>
        <w:rPr>
          <w:rFonts w:cs="Arial" w:hint="cs"/>
          <w:rtl/>
        </w:rPr>
        <w:t>,</w:t>
      </w:r>
      <w:r w:rsidRPr="005E36F0">
        <w:rPr>
          <w:rFonts w:cs="Arial"/>
          <w:rtl/>
        </w:rPr>
        <w:t xml:space="preserve"> וכי שרו ליה שמתא לא שרו ליה עד דיהיב זוזא דפתיחא לספרא</w:t>
      </w:r>
      <w:r>
        <w:rPr>
          <w:rFonts w:cs="Arial" w:hint="cs"/>
          <w:rtl/>
        </w:rPr>
        <w:t>, רש"י</w:t>
      </w:r>
      <w:r w:rsidRPr="005E36F0">
        <w:rPr>
          <w:rFonts w:cs="Arial"/>
          <w:rtl/>
        </w:rPr>
        <w:t>.</w:t>
      </w:r>
    </w:p>
  </w:footnote>
  <w:footnote w:id="532">
    <w:p w14:paraId="499F5850" w14:textId="77777777" w:rsidR="0013116F" w:rsidRDefault="0013116F" w:rsidP="0058236C">
      <w:pPr>
        <w:pStyle w:val="a9"/>
        <w:rPr>
          <w:rtl/>
        </w:rPr>
      </w:pPr>
      <w:r>
        <w:rPr>
          <w:rStyle w:val="ab"/>
        </w:rPr>
        <w:footnoteRef/>
      </w:r>
      <w:r>
        <w:rPr>
          <w:rtl/>
        </w:rPr>
        <w:t xml:space="preserve"> </w:t>
      </w:r>
      <w:r w:rsidRPr="0023341E">
        <w:rPr>
          <w:rFonts w:asciiTheme="minorBidi" w:hAnsiTheme="minorBidi" w:cs="Arial"/>
          <w:color w:val="000000"/>
          <w:rtl/>
        </w:rPr>
        <w:t>ו</w:t>
      </w:r>
      <w:r>
        <w:rPr>
          <w:rFonts w:asciiTheme="minorBidi" w:hAnsiTheme="minorBidi" w:cs="Arial" w:hint="cs"/>
          <w:color w:val="000000"/>
          <w:rtl/>
        </w:rPr>
        <w:t>כ' הב"י די</w:t>
      </w:r>
      <w:r w:rsidRPr="0023341E">
        <w:rPr>
          <w:rFonts w:asciiTheme="minorBidi" w:hAnsiTheme="minorBidi" w:cs="Arial"/>
          <w:color w:val="000000"/>
          <w:rtl/>
        </w:rPr>
        <w:t xml:space="preserve">ש לתמוה דכיון דאומר </w:t>
      </w:r>
      <w:r>
        <w:rPr>
          <w:rFonts w:asciiTheme="minorBidi" w:hAnsiTheme="minorBidi" w:cs="Arial" w:hint="cs"/>
          <w:color w:val="000000"/>
          <w:rtl/>
        </w:rPr>
        <w:t>'</w:t>
      </w:r>
      <w:r w:rsidRPr="0023341E">
        <w:rPr>
          <w:rFonts w:asciiTheme="minorBidi" w:hAnsiTheme="minorBidi" w:cs="Arial"/>
          <w:color w:val="000000"/>
          <w:rtl/>
        </w:rPr>
        <w:t>פלוני הקלני</w:t>
      </w:r>
      <w:r>
        <w:rPr>
          <w:rFonts w:asciiTheme="minorBidi" w:hAnsiTheme="minorBidi" w:cs="Arial" w:hint="cs"/>
          <w:color w:val="000000"/>
          <w:rtl/>
        </w:rPr>
        <w:t>'</w:t>
      </w:r>
      <w:r w:rsidRPr="0023341E">
        <w:rPr>
          <w:rFonts w:asciiTheme="minorBidi" w:hAnsiTheme="minorBidi" w:cs="Arial"/>
          <w:color w:val="000000"/>
          <w:rtl/>
        </w:rPr>
        <w:t xml:space="preserve"> משמתין אותו על פיו מאי רבותיה דרב דמנגיד מאן דמצער שליחא דבי דינא הא שמתא דחמירא מניגודא (פסחים נב.) מחייב. ושמא י"ל דמלבד השמתא הוה מנגיד ליה</w:t>
      </w:r>
      <w:r>
        <w:rPr>
          <w:rFonts w:asciiTheme="minorBidi" w:hAnsiTheme="minorBidi" w:cs="Arial" w:hint="cs"/>
          <w:color w:val="000000"/>
          <w:rtl/>
        </w:rPr>
        <w:t>,</w:t>
      </w:r>
      <w:r w:rsidRPr="0023341E">
        <w:rPr>
          <w:rFonts w:asciiTheme="minorBidi" w:hAnsiTheme="minorBidi" w:cs="Arial"/>
          <w:color w:val="000000"/>
          <w:rtl/>
        </w:rPr>
        <w:t xml:space="preserve"> ואפשר לדייק כן מלשון הרמב"ם ז"ל שאחר שכתב ש</w:t>
      </w:r>
      <w:r>
        <w:rPr>
          <w:rFonts w:asciiTheme="minorBidi" w:hAnsiTheme="minorBidi" w:cs="Arial" w:hint="cs"/>
          <w:color w:val="000000"/>
          <w:rtl/>
        </w:rPr>
        <w:t>-'</w:t>
      </w:r>
      <w:r w:rsidRPr="0023341E">
        <w:rPr>
          <w:rFonts w:asciiTheme="minorBidi" w:hAnsiTheme="minorBidi" w:cs="Arial"/>
          <w:color w:val="000000"/>
          <w:rtl/>
        </w:rPr>
        <w:t>אם אמר פלוני הקלני או הקלה הדיין וכו' משמתין אותו על פיו</w:t>
      </w:r>
      <w:r>
        <w:rPr>
          <w:rFonts w:asciiTheme="minorBidi" w:hAnsiTheme="minorBidi" w:cs="Arial" w:hint="cs"/>
          <w:color w:val="000000"/>
          <w:rtl/>
        </w:rPr>
        <w:t>'</w:t>
      </w:r>
      <w:r w:rsidRPr="0023341E">
        <w:rPr>
          <w:rFonts w:asciiTheme="minorBidi" w:hAnsiTheme="minorBidi" w:cs="Arial"/>
          <w:color w:val="000000"/>
          <w:rtl/>
        </w:rPr>
        <w:t xml:space="preserve"> כתב (ה"ו) </w:t>
      </w:r>
      <w:r>
        <w:rPr>
          <w:rFonts w:asciiTheme="minorBidi" w:hAnsiTheme="minorBidi" w:cs="Arial" w:hint="cs"/>
          <w:color w:val="000000"/>
          <w:rtl/>
        </w:rPr>
        <w:t>'</w:t>
      </w:r>
      <w:r w:rsidRPr="0023341E">
        <w:rPr>
          <w:rFonts w:asciiTheme="minorBidi" w:hAnsiTheme="minorBidi" w:cs="Arial"/>
          <w:color w:val="000000"/>
          <w:rtl/>
        </w:rPr>
        <w:t>וכל המצער שליח בית דין מכין אותו מכת מרדות</w:t>
      </w:r>
      <w:r>
        <w:rPr>
          <w:rFonts w:asciiTheme="minorBidi" w:hAnsiTheme="minorBidi" w:cs="Arial" w:hint="cs"/>
          <w:color w:val="000000"/>
          <w:rtl/>
        </w:rPr>
        <w:t>',</w:t>
      </w:r>
      <w:r w:rsidRPr="0023341E">
        <w:rPr>
          <w:rFonts w:asciiTheme="minorBidi" w:hAnsiTheme="minorBidi" w:cs="Arial"/>
          <w:color w:val="000000"/>
          <w:rtl/>
        </w:rPr>
        <w:t xml:space="preserve"> משמע דהכי קאמר</w:t>
      </w:r>
      <w:r>
        <w:rPr>
          <w:rFonts w:asciiTheme="minorBidi" w:hAnsiTheme="minorBidi" w:cs="Arial" w:hint="cs"/>
          <w:color w:val="000000"/>
          <w:rtl/>
        </w:rPr>
        <w:t>-</w:t>
      </w:r>
      <w:r w:rsidRPr="0023341E">
        <w:rPr>
          <w:rFonts w:asciiTheme="minorBidi" w:hAnsiTheme="minorBidi" w:cs="Arial"/>
          <w:color w:val="000000"/>
          <w:rtl/>
        </w:rPr>
        <w:t xml:space="preserve"> אם אמר פלוני הקלני וכו'</w:t>
      </w:r>
      <w:r>
        <w:rPr>
          <w:rFonts w:asciiTheme="minorBidi" w:hAnsiTheme="minorBidi" w:cs="Arial" w:hint="cs"/>
          <w:color w:val="000000"/>
          <w:rtl/>
        </w:rPr>
        <w:t>,</w:t>
      </w:r>
      <w:r w:rsidRPr="0023341E">
        <w:rPr>
          <w:rFonts w:asciiTheme="minorBidi" w:hAnsiTheme="minorBidi" w:cs="Arial"/>
          <w:color w:val="000000"/>
          <w:rtl/>
        </w:rPr>
        <w:t xml:space="preserve"> דינו שמשמתין אותו</w:t>
      </w:r>
      <w:r>
        <w:rPr>
          <w:rFonts w:asciiTheme="minorBidi" w:hAnsiTheme="minorBidi" w:cs="Arial" w:hint="cs"/>
          <w:color w:val="000000"/>
          <w:rtl/>
        </w:rPr>
        <w:t>,</w:t>
      </w:r>
      <w:r w:rsidRPr="0023341E">
        <w:rPr>
          <w:rFonts w:asciiTheme="minorBidi" w:hAnsiTheme="minorBidi" w:cs="Arial"/>
          <w:color w:val="000000"/>
          <w:rtl/>
        </w:rPr>
        <w:t xml:space="preserve"> ואם רצו בית דין להחמיר עליו ולהכותו מכת מרדות מלבד השמתא הרשות בידן. ועוד י"ל שפלוני הקלני לא נקט ליה בהדי הנך לענין השמתא אלא לענין שהוא נאמן כשנים</w:t>
      </w:r>
      <w:r>
        <w:rPr>
          <w:rFonts w:asciiTheme="minorBidi" w:hAnsiTheme="minorBidi" w:cs="Arial" w:hint="cs"/>
          <w:color w:val="000000"/>
          <w:rtl/>
        </w:rPr>
        <w:t>.</w:t>
      </w:r>
    </w:p>
  </w:footnote>
  <w:footnote w:id="533">
    <w:p w14:paraId="010BC4B7" w14:textId="77777777" w:rsidR="0013116F" w:rsidRDefault="0013116F" w:rsidP="0058236C">
      <w:pPr>
        <w:pStyle w:val="a9"/>
        <w:rPr>
          <w:rtl/>
        </w:rPr>
      </w:pPr>
      <w:r>
        <w:rPr>
          <w:rStyle w:val="ab"/>
        </w:rPr>
        <w:footnoteRef/>
      </w:r>
      <w:r>
        <w:rPr>
          <w:rtl/>
        </w:rPr>
        <w:t xml:space="preserve"> </w:t>
      </w:r>
      <w:r>
        <w:rPr>
          <w:rFonts w:hint="cs"/>
          <w:rtl/>
        </w:rPr>
        <w:t xml:space="preserve">סימן </w:t>
      </w:r>
      <w:r>
        <w:rPr>
          <w:rtl/>
        </w:rPr>
        <w:t>–</w:t>
      </w:r>
      <w:r>
        <w:rPr>
          <w:rFonts w:hint="cs"/>
          <w:rtl/>
        </w:rPr>
        <w:t xml:space="preserve"> תאמר זדונו.</w:t>
      </w:r>
    </w:p>
  </w:footnote>
  <w:footnote w:id="534">
    <w:p w14:paraId="3B86572E" w14:textId="77777777" w:rsidR="0013116F" w:rsidRDefault="0013116F" w:rsidP="0058236C">
      <w:pPr>
        <w:pStyle w:val="a9"/>
        <w:rPr>
          <w:rtl/>
        </w:rPr>
      </w:pPr>
      <w:r>
        <w:rPr>
          <w:rStyle w:val="ab"/>
        </w:rPr>
        <w:footnoteRef/>
      </w:r>
      <w:r>
        <w:rPr>
          <w:rtl/>
        </w:rPr>
        <w:t xml:space="preserve"> </w:t>
      </w:r>
      <w:r w:rsidRPr="007D46E2">
        <w:rPr>
          <w:rFonts w:asciiTheme="minorBidi" w:hAnsiTheme="minorBidi" w:cs="Arial"/>
          <w:color w:val="000000"/>
          <w:rtl/>
        </w:rPr>
        <w:t>ואי לא דשליחא אמר ליה למשה לא הוה ידע</w:t>
      </w:r>
      <w:r>
        <w:rPr>
          <w:rFonts w:hint="cs"/>
          <w:rtl/>
        </w:rPr>
        <w:t>, רש"י.</w:t>
      </w:r>
      <w:r w:rsidRPr="00C323DF">
        <w:rPr>
          <w:rtl/>
        </w:rPr>
        <w:t xml:space="preserve"> </w:t>
      </w:r>
      <w:r w:rsidRPr="00C323DF">
        <w:rPr>
          <w:rFonts w:cs="Arial"/>
          <w:rtl/>
        </w:rPr>
        <w:t>ואי הוה ביה משום לשון הרע לא הוה משה רבינו ע"ה כותבו בתורה</w:t>
      </w:r>
      <w:r>
        <w:rPr>
          <w:rFonts w:hint="cs"/>
          <w:rtl/>
        </w:rPr>
        <w:t>, סמ"ע (סקכ"ד).</w:t>
      </w:r>
    </w:p>
  </w:footnote>
  <w:footnote w:id="535">
    <w:p w14:paraId="2BCB4A1E" w14:textId="77777777" w:rsidR="0013116F" w:rsidRDefault="0013116F">
      <w:pPr>
        <w:pStyle w:val="a9"/>
      </w:pPr>
      <w:r>
        <w:rPr>
          <w:rStyle w:val="ab"/>
        </w:rPr>
        <w:footnoteRef/>
      </w:r>
      <w:r>
        <w:rPr>
          <w:rtl/>
        </w:rPr>
        <w:t xml:space="preserve"> </w:t>
      </w:r>
      <w:r w:rsidRPr="00ED5003">
        <w:rPr>
          <w:rFonts w:cs="Arial"/>
          <w:rtl/>
        </w:rPr>
        <w:t>ושכר הזמנה משלם המלוה ולא הלוה. ועי</w:t>
      </w:r>
      <w:r>
        <w:rPr>
          <w:rFonts w:cs="Arial" w:hint="cs"/>
          <w:rtl/>
        </w:rPr>
        <w:t>' ב</w:t>
      </w:r>
      <w:r w:rsidRPr="00ED5003">
        <w:rPr>
          <w:rFonts w:cs="Arial"/>
          <w:rtl/>
        </w:rPr>
        <w:t>מהרש"ל מ"ש [בחידושיו לטור, הובא בסי</w:t>
      </w:r>
      <w:r>
        <w:rPr>
          <w:rFonts w:cs="Arial" w:hint="cs"/>
          <w:rtl/>
        </w:rPr>
        <w:t>'</w:t>
      </w:r>
      <w:r w:rsidRPr="00ED5003">
        <w:rPr>
          <w:rFonts w:cs="Arial"/>
          <w:rtl/>
        </w:rPr>
        <w:t xml:space="preserve"> קו ס"א בש"ך סק"ב]</w:t>
      </w:r>
      <w:r>
        <w:rPr>
          <w:rFonts w:cs="Arial" w:hint="cs"/>
          <w:rtl/>
        </w:rPr>
        <w:t>, ש"ך (סק"ב).</w:t>
      </w:r>
    </w:p>
  </w:footnote>
  <w:footnote w:id="536">
    <w:p w14:paraId="30E72E00" w14:textId="77777777" w:rsidR="0013116F" w:rsidRDefault="0013116F">
      <w:pPr>
        <w:pStyle w:val="a9"/>
        <w:rPr>
          <w:rtl/>
        </w:rPr>
      </w:pPr>
      <w:r>
        <w:rPr>
          <w:rStyle w:val="ab"/>
        </w:rPr>
        <w:footnoteRef/>
      </w:r>
      <w:r>
        <w:rPr>
          <w:rtl/>
        </w:rPr>
        <w:t xml:space="preserve"> </w:t>
      </w:r>
      <w:r w:rsidRPr="00ED5003">
        <w:rPr>
          <w:rFonts w:cs="Arial"/>
          <w:rtl/>
        </w:rPr>
        <w:t>פירוש, לעולם אין כח ביד התובע להזמינו לדין אם לא ליום הקבוע לישיבת הדיינים לפי מנהג העיר [אם לא שמנהגם הוא כן שאין להם עת קבוע אלא בכל עת שיצטרכו לדון יושבים הדיינים], והשליחות ששולחין לנתבע אין לו עת קבוע, אלא אימת שירצה התובע משתדל שהדיינין שולחין להנתבע שיכין עצמו לדון עם פלוני התובע ביום פלוני המזומן לישיבתם</w:t>
      </w:r>
      <w:r>
        <w:rPr>
          <w:rFonts w:hint="cs"/>
          <w:rtl/>
        </w:rPr>
        <w:t>, סמ"א (סק"א).</w:t>
      </w:r>
    </w:p>
  </w:footnote>
  <w:footnote w:id="537">
    <w:p w14:paraId="2FDC8C52" w14:textId="77777777" w:rsidR="0013116F" w:rsidRDefault="0013116F">
      <w:pPr>
        <w:pStyle w:val="a9"/>
        <w:rPr>
          <w:rtl/>
        </w:rPr>
      </w:pPr>
      <w:r>
        <w:rPr>
          <w:rStyle w:val="ab"/>
        </w:rPr>
        <w:footnoteRef/>
      </w:r>
      <w:r>
        <w:rPr>
          <w:rtl/>
        </w:rPr>
        <w:t xml:space="preserve"> </w:t>
      </w:r>
      <w:r w:rsidRPr="00ED5003">
        <w:rPr>
          <w:rFonts w:cs="Arial"/>
          <w:rtl/>
        </w:rPr>
        <w:t>פירוש, כשלא בא בכל אותו יום שקבעו לו, מזמינים אותו בימים של אחריו שנית, שיעמוד לדין עמו ביום הקבוע לישיבת הדיינים הסמוך לו, וכן בפעם שלישית, וכן הוא בהדיא בגמרא [ב"ק קי"ג ע"א], דגם בפעם שניה ושלישית צריך להזמינו ליום הקבוע לישיבת הדיינים שאחריו, ועיין פרישה [סעיף א']</w:t>
      </w:r>
      <w:r>
        <w:rPr>
          <w:rFonts w:hint="cs"/>
          <w:rtl/>
        </w:rPr>
        <w:t>, סמ"ע (סק"ב).</w:t>
      </w:r>
    </w:p>
  </w:footnote>
  <w:footnote w:id="538">
    <w:p w14:paraId="3AFFE2DB" w14:textId="77777777" w:rsidR="0013116F" w:rsidRDefault="0013116F">
      <w:pPr>
        <w:pStyle w:val="a9"/>
        <w:rPr>
          <w:rtl/>
        </w:rPr>
      </w:pPr>
      <w:r>
        <w:rPr>
          <w:rStyle w:val="ab"/>
        </w:rPr>
        <w:footnoteRef/>
      </w:r>
      <w:r>
        <w:rPr>
          <w:rtl/>
        </w:rPr>
        <w:t xml:space="preserve"> </w:t>
      </w:r>
      <w:r w:rsidRPr="00631347">
        <w:rPr>
          <w:rFonts w:cs="Arial"/>
          <w:rtl/>
        </w:rPr>
        <w:t>דאיכא למימר אף שיוצא ונכנס שמא היה לו איזה אונס שלא היה יכול לבוא על שתי הזמנות הראשונות. ובאינו נכנס כלל אלא שהוא שבוע א' או ב' חוץ לביתו בכפרים, נראה דאינו בכלל דין זה, אלא קובעין לו זמן לבוא לדון עמו לפי ענין טירדתו שיוכל לבוא, ואם לא בא לאותו זמן מנדין אותו למחרתו, כי דוקא ביוצא ונכנס דמחשב קצת כבן עיר משו"ה מזמינין אותו ליום הקבוע הסמוך, אלא שיש לו התנצלות שיוצא ונכנס, משום הכי ממתינין לו עד זמן הג', וק"ל</w:t>
      </w:r>
      <w:r>
        <w:rPr>
          <w:rFonts w:hint="cs"/>
          <w:rtl/>
        </w:rPr>
        <w:t>, סמ"ע (סק"ג).</w:t>
      </w:r>
    </w:p>
  </w:footnote>
  <w:footnote w:id="539">
    <w:p w14:paraId="05AEC6D3" w14:textId="77777777" w:rsidR="0013116F" w:rsidRDefault="0013116F">
      <w:pPr>
        <w:pStyle w:val="a9"/>
      </w:pPr>
      <w:r>
        <w:rPr>
          <w:rStyle w:val="ab"/>
        </w:rPr>
        <w:footnoteRef/>
      </w:r>
      <w:r>
        <w:rPr>
          <w:rtl/>
        </w:rPr>
        <w:t xml:space="preserve"> </w:t>
      </w:r>
      <w:r w:rsidRPr="00631347">
        <w:rPr>
          <w:rFonts w:cs="Arial"/>
          <w:rtl/>
        </w:rPr>
        <w:t>הטעם משום דהמנודה צריך לשלם שכר הסופר, ואין מוציאין ממון ע"פ ע"א, ועמ"ש בפרישה ובסמ"ע לעיל ס</w:t>
      </w:r>
      <w:r>
        <w:rPr>
          <w:rFonts w:cs="Arial" w:hint="cs"/>
          <w:rtl/>
        </w:rPr>
        <w:t>"</w:t>
      </w:r>
      <w:r w:rsidRPr="00631347">
        <w:rPr>
          <w:rFonts w:cs="Arial"/>
          <w:rtl/>
        </w:rPr>
        <w:t>ס ח</w:t>
      </w:r>
      <w:r w:rsidRPr="004B402E">
        <w:rPr>
          <w:rFonts w:cs="Arial"/>
          <w:sz w:val="16"/>
          <w:szCs w:val="16"/>
          <w:rtl/>
        </w:rPr>
        <w:t xml:space="preserve"> [פרישה סע</w:t>
      </w:r>
      <w:r w:rsidRPr="004B402E">
        <w:rPr>
          <w:rFonts w:cs="Arial" w:hint="cs"/>
          <w:sz w:val="16"/>
          <w:szCs w:val="16"/>
          <w:rtl/>
        </w:rPr>
        <w:t>'</w:t>
      </w:r>
      <w:r w:rsidRPr="004B402E">
        <w:rPr>
          <w:rFonts w:cs="Arial"/>
          <w:sz w:val="16"/>
          <w:szCs w:val="16"/>
          <w:rtl/>
        </w:rPr>
        <w:t xml:space="preserve"> ט"ז וסמ"ע סקכ"ג]</w:t>
      </w:r>
      <w:r w:rsidRPr="00631347">
        <w:rPr>
          <w:rFonts w:cs="Arial"/>
          <w:rtl/>
        </w:rPr>
        <w:t>, וע"פ אותן הדברים מבואר דה"ה דאין השליח נאמן לומר הכה אותי כדי לחזור ולהכותו על פיו, ע"ש</w:t>
      </w:r>
      <w:r>
        <w:rPr>
          <w:rFonts w:cs="Arial" w:hint="cs"/>
          <w:rtl/>
        </w:rPr>
        <w:t>, סמ"ע (סק"ה).</w:t>
      </w:r>
    </w:p>
  </w:footnote>
  <w:footnote w:id="540">
    <w:p w14:paraId="1D0E4946" w14:textId="77777777" w:rsidR="0013116F" w:rsidRDefault="0013116F">
      <w:pPr>
        <w:pStyle w:val="a9"/>
        <w:rPr>
          <w:rtl/>
        </w:rPr>
      </w:pPr>
      <w:r>
        <w:rPr>
          <w:rStyle w:val="ab"/>
        </w:rPr>
        <w:footnoteRef/>
      </w:r>
      <w:r>
        <w:rPr>
          <w:rtl/>
        </w:rPr>
        <w:t xml:space="preserve"> </w:t>
      </w:r>
      <w:r>
        <w:rPr>
          <w:rFonts w:hint="cs"/>
          <w:rtl/>
        </w:rPr>
        <w:t xml:space="preserve">ממהדורת הסמ"ע. וכתב הסמ"ע (סק"ז) </w:t>
      </w:r>
      <w:r>
        <w:rPr>
          <w:rFonts w:cs="Arial" w:hint="cs"/>
          <w:rtl/>
        </w:rPr>
        <w:t>ד</w:t>
      </w:r>
      <w:r w:rsidRPr="004B402E">
        <w:rPr>
          <w:rFonts w:cs="Arial"/>
          <w:rtl/>
        </w:rPr>
        <w:t>כן הוא</w:t>
      </w:r>
      <w:r>
        <w:rPr>
          <w:rFonts w:cs="Arial" w:hint="cs"/>
          <w:rtl/>
        </w:rPr>
        <w:t xml:space="preserve"> שם (</w:t>
      </w:r>
      <w:r w:rsidRPr="004B402E">
        <w:rPr>
          <w:rFonts w:cs="Arial"/>
          <w:rtl/>
        </w:rPr>
        <w:t>בתשו</w:t>
      </w:r>
      <w:r>
        <w:rPr>
          <w:rFonts w:cs="Arial" w:hint="cs"/>
          <w:rtl/>
        </w:rPr>
        <w:t xml:space="preserve">' </w:t>
      </w:r>
      <w:r w:rsidRPr="004B402E">
        <w:rPr>
          <w:rFonts w:cs="Arial"/>
          <w:rtl/>
        </w:rPr>
        <w:t>הרשב"א</w:t>
      </w:r>
      <w:r>
        <w:rPr>
          <w:rFonts w:cs="Arial" w:hint="cs"/>
          <w:rtl/>
        </w:rPr>
        <w:t>),</w:t>
      </w:r>
      <w:r w:rsidRPr="004B402E">
        <w:rPr>
          <w:rFonts w:cs="Arial"/>
          <w:rtl/>
        </w:rPr>
        <w:t xml:space="preserve"> דאל"כ יכול לחזור בו, כמ"ש לקמן סי</w:t>
      </w:r>
      <w:r>
        <w:rPr>
          <w:rFonts w:cs="Arial" w:hint="cs"/>
          <w:rtl/>
        </w:rPr>
        <w:t>'</w:t>
      </w:r>
      <w:r w:rsidRPr="004B402E">
        <w:rPr>
          <w:rFonts w:cs="Arial"/>
          <w:rtl/>
        </w:rPr>
        <w:t xml:space="preserve"> יב [סע</w:t>
      </w:r>
      <w:r>
        <w:rPr>
          <w:rFonts w:cs="Arial" w:hint="cs"/>
          <w:rtl/>
        </w:rPr>
        <w:t>'</w:t>
      </w:r>
      <w:r w:rsidRPr="004B402E">
        <w:rPr>
          <w:rFonts w:cs="Arial"/>
          <w:rtl/>
        </w:rPr>
        <w:t xml:space="preserve"> ז]</w:t>
      </w:r>
      <w:r>
        <w:rPr>
          <w:rFonts w:cs="Arial" w:hint="cs"/>
          <w:rtl/>
        </w:rPr>
        <w:t>.</w:t>
      </w:r>
    </w:p>
  </w:footnote>
  <w:footnote w:id="541">
    <w:p w14:paraId="481DB3E2" w14:textId="77777777" w:rsidR="0013116F" w:rsidRDefault="0013116F">
      <w:pPr>
        <w:pStyle w:val="a9"/>
        <w:rPr>
          <w:rtl/>
        </w:rPr>
      </w:pPr>
      <w:r>
        <w:rPr>
          <w:rStyle w:val="ab"/>
        </w:rPr>
        <w:footnoteRef/>
      </w:r>
      <w:r>
        <w:rPr>
          <w:rtl/>
        </w:rPr>
        <w:t xml:space="preserve"> </w:t>
      </w:r>
      <w:r>
        <w:rPr>
          <w:rFonts w:cs="Arial" w:hint="cs"/>
          <w:rtl/>
        </w:rPr>
        <w:t>'</w:t>
      </w:r>
      <w:r w:rsidRPr="004B402E">
        <w:rPr>
          <w:rFonts w:cs="Arial"/>
          <w:rtl/>
        </w:rPr>
        <w:t>כב"ד</w:t>
      </w:r>
      <w:r>
        <w:rPr>
          <w:rFonts w:cs="Arial" w:hint="cs"/>
          <w:rtl/>
        </w:rPr>
        <w:t>'</w:t>
      </w:r>
      <w:r w:rsidRPr="004B402E">
        <w:rPr>
          <w:rFonts w:cs="Arial"/>
          <w:rtl/>
        </w:rPr>
        <w:t xml:space="preserve"> גרסינן</w:t>
      </w:r>
      <w:r>
        <w:rPr>
          <w:rFonts w:cs="Arial" w:hint="cs"/>
          <w:rtl/>
        </w:rPr>
        <w:t>,</w:t>
      </w:r>
      <w:r w:rsidRPr="004B402E">
        <w:rPr>
          <w:rFonts w:cs="Arial"/>
          <w:rtl/>
        </w:rPr>
        <w:t xml:space="preserve"> בכ"ף, והכי פירושו, מנדין אותו השנים אשר סירב נגדן, כאילו סירב נגד ב"ד של שלשה, וכן איתא בהדיא בתשובת רשב"א [שם] והביאו הב"י [מחודש ה] והד"מ וז"ל, יש להם לנדותו ולהחרימו כדין ב"ד גמור, וק"ל</w:t>
      </w:r>
      <w:r>
        <w:rPr>
          <w:rFonts w:hint="cs"/>
          <w:rtl/>
        </w:rPr>
        <w:t>, סמ"ע (סק"ח).</w:t>
      </w:r>
    </w:p>
  </w:footnote>
  <w:footnote w:id="542">
    <w:p w14:paraId="368ABA72" w14:textId="77777777" w:rsidR="0013116F" w:rsidRDefault="0013116F">
      <w:pPr>
        <w:pStyle w:val="a9"/>
      </w:pPr>
      <w:r>
        <w:rPr>
          <w:rStyle w:val="ab"/>
        </w:rPr>
        <w:footnoteRef/>
      </w:r>
      <w:r>
        <w:rPr>
          <w:rtl/>
        </w:rPr>
        <w:t xml:space="preserve"> </w:t>
      </w:r>
      <w:r>
        <w:rPr>
          <w:rFonts w:hint="cs"/>
          <w:rtl/>
        </w:rPr>
        <w:t xml:space="preserve">הש"ך הביא את דברי ספר באר שבע וכתב עליו- </w:t>
      </w:r>
      <w:r w:rsidRPr="009D1DA9">
        <w:rPr>
          <w:rFonts w:asciiTheme="minorBidi" w:hAnsiTheme="minorBidi" w:cs="Arial"/>
          <w:color w:val="000000"/>
          <w:rtl/>
        </w:rPr>
        <w:t xml:space="preserve">אין דבריו נכונים בעיני, דלא דמי לפרק חזקת הבתים </w:t>
      </w:r>
      <w:r>
        <w:rPr>
          <w:rFonts w:asciiTheme="minorBidi" w:hAnsiTheme="minorBidi" w:cs="Arial" w:hint="cs"/>
          <w:color w:val="000000"/>
          <w:rtl/>
        </w:rPr>
        <w:t>(</w:t>
      </w:r>
      <w:r w:rsidRPr="009D1DA9">
        <w:rPr>
          <w:rFonts w:asciiTheme="minorBidi" w:hAnsiTheme="minorBidi" w:cs="Arial"/>
          <w:color w:val="000000"/>
          <w:rtl/>
        </w:rPr>
        <w:t>לא</w:t>
      </w:r>
      <w:r>
        <w:rPr>
          <w:rFonts w:asciiTheme="minorBidi" w:hAnsiTheme="minorBidi" w:cs="Arial" w:hint="cs"/>
          <w:color w:val="000000"/>
          <w:rtl/>
        </w:rPr>
        <w:t>.)</w:t>
      </w:r>
      <w:r w:rsidRPr="009D1DA9">
        <w:rPr>
          <w:rFonts w:asciiTheme="minorBidi" w:hAnsiTheme="minorBidi" w:cs="Arial"/>
          <w:color w:val="000000"/>
          <w:rtl/>
        </w:rPr>
        <w:t>, דהתם אמרינן היכא דאישתעי מילי אבראי ולא טען ואתי לב"ד וטען, דחוזר וטוען, מ"ט עביד אינש דלא מגלי טענתיה אלא לבי דינא, כלומר ומצי הנתבע לומר לא רציתי לגלות טענתי בפניך עד לדין. וכן הא דכתב הרא"ש פרק שבועות הדיינים, היינו משום שכיון שטוען שפרעו וכה"ג אין צריך לברר היאך פרעו ובמה פרעו, אבל הכא ודאי מצי הנתבע לומר הגד לי מתחילה מה תרצה לדון עמי, כי אולי אחרי שאדע תביעותיך אעשה כרצונך ולא אבוא עמך להתדיין כלל,</w:t>
      </w:r>
      <w:r w:rsidRPr="009D1DA9">
        <w:rPr>
          <w:rFonts w:asciiTheme="minorBidi" w:hAnsiTheme="minorBidi" w:cs="Arial" w:hint="cs"/>
          <w:color w:val="000000"/>
          <w:rtl/>
        </w:rPr>
        <w:t xml:space="preserve"> ו-...</w:t>
      </w:r>
    </w:p>
  </w:footnote>
  <w:footnote w:id="543">
    <w:p w14:paraId="031F7CFC" w14:textId="77777777" w:rsidR="0013116F" w:rsidRDefault="0013116F">
      <w:pPr>
        <w:pStyle w:val="a9"/>
      </w:pPr>
      <w:r>
        <w:rPr>
          <w:rStyle w:val="ab"/>
        </w:rPr>
        <w:footnoteRef/>
      </w:r>
      <w:r>
        <w:rPr>
          <w:rtl/>
        </w:rPr>
        <w:t xml:space="preserve"> </w:t>
      </w:r>
      <w:r>
        <w:rPr>
          <w:rFonts w:hint="cs"/>
          <w:rtl/>
        </w:rPr>
        <w:t xml:space="preserve">סימן </w:t>
      </w:r>
      <w:r>
        <w:rPr>
          <w:rtl/>
        </w:rPr>
        <w:t>–</w:t>
      </w:r>
      <w:r>
        <w:rPr>
          <w:rFonts w:hint="cs"/>
          <w:rtl/>
        </w:rPr>
        <w:t xml:space="preserve"> חלוקת חד חשיבא חינם.</w:t>
      </w:r>
    </w:p>
  </w:footnote>
  <w:footnote w:id="544">
    <w:p w14:paraId="6A0A93A8" w14:textId="77777777" w:rsidR="0013116F" w:rsidRDefault="0013116F">
      <w:pPr>
        <w:pStyle w:val="a9"/>
        <w:rPr>
          <w:rtl/>
        </w:rPr>
      </w:pPr>
      <w:r>
        <w:rPr>
          <w:rStyle w:val="ab"/>
        </w:rPr>
        <w:footnoteRef/>
      </w:r>
      <w:r>
        <w:rPr>
          <w:rtl/>
        </w:rPr>
        <w:t xml:space="preserve"> </w:t>
      </w:r>
      <w:r w:rsidRPr="00576D5C">
        <w:rPr>
          <w:rFonts w:asciiTheme="minorBidi" w:hAnsiTheme="minorBidi"/>
          <w:rtl/>
        </w:rPr>
        <w:t>לשון רבינו</w:t>
      </w:r>
      <w:r w:rsidRPr="00083FA8">
        <w:rPr>
          <w:rFonts w:asciiTheme="minorBidi" w:hAnsiTheme="minorBidi" w:hint="cs"/>
          <w:sz w:val="16"/>
          <w:szCs w:val="16"/>
          <w:rtl/>
        </w:rPr>
        <w:t xml:space="preserve"> {הטור}</w:t>
      </w:r>
      <w:r w:rsidRPr="00576D5C">
        <w:rPr>
          <w:rFonts w:asciiTheme="minorBidi" w:hAnsiTheme="minorBidi"/>
          <w:rtl/>
        </w:rPr>
        <w:t xml:space="preserve"> שכתב ליום הידוע לישיבת הדיינים אינו מכוון יפה שבשביל שהזמינוהו ליום הקבוע אינו הוכחה שהיו כלם מזומנים כשצוו להזמינו והנכון כדברי הרמב"ם (שם ה"ז) שכתב</w:t>
      </w:r>
      <w:r>
        <w:rPr>
          <w:rFonts w:hint="cs"/>
          <w:rtl/>
        </w:rPr>
        <w:t>-...</w:t>
      </w:r>
    </w:p>
  </w:footnote>
  <w:footnote w:id="545">
    <w:p w14:paraId="32CF7225" w14:textId="77777777" w:rsidR="0013116F" w:rsidRDefault="0013116F">
      <w:pPr>
        <w:pStyle w:val="a9"/>
      </w:pPr>
      <w:r>
        <w:rPr>
          <w:rStyle w:val="ab"/>
        </w:rPr>
        <w:footnoteRef/>
      </w:r>
      <w:r>
        <w:rPr>
          <w:rtl/>
        </w:rPr>
        <w:t xml:space="preserve"> </w:t>
      </w:r>
      <w:r w:rsidRPr="008C6DB0">
        <w:rPr>
          <w:rFonts w:cs="Arial"/>
          <w:rtl/>
        </w:rPr>
        <w:t>לאו דוקא כותבין אלא הוא הדין בלא כתיבה אין מנדין אותו, דזיל בתר טעמא</w:t>
      </w:r>
      <w:r>
        <w:rPr>
          <w:rFonts w:cs="Arial" w:hint="cs"/>
          <w:rtl/>
        </w:rPr>
        <w:t>.</w:t>
      </w:r>
      <w:r w:rsidRPr="008C6DB0">
        <w:rPr>
          <w:rFonts w:cs="Arial"/>
          <w:rtl/>
        </w:rPr>
        <w:t xml:space="preserve"> </w:t>
      </w:r>
      <w:r>
        <w:rPr>
          <w:rFonts w:cs="Arial" w:hint="cs"/>
          <w:rtl/>
        </w:rPr>
        <w:t>ו</w:t>
      </w:r>
      <w:r w:rsidRPr="008C6DB0">
        <w:rPr>
          <w:rFonts w:cs="Arial"/>
          <w:rtl/>
        </w:rPr>
        <w:t>אם שליח אומר שהזמינו על שם שלשתן והלה כופר</w:t>
      </w:r>
      <w:r>
        <w:rPr>
          <w:rFonts w:cs="Arial" w:hint="cs"/>
          <w:rtl/>
        </w:rPr>
        <w:t xml:space="preserve"> -</w:t>
      </w:r>
      <w:r w:rsidRPr="008C6DB0">
        <w:rPr>
          <w:rFonts w:cs="Arial"/>
          <w:rtl/>
        </w:rPr>
        <w:t xml:space="preserve"> מנדין אותו, </w:t>
      </w:r>
      <w:r>
        <w:rPr>
          <w:rFonts w:cs="Arial" w:hint="cs"/>
          <w:rtl/>
        </w:rPr>
        <w:t xml:space="preserve">אבל </w:t>
      </w:r>
      <w:r w:rsidRPr="008C6DB0">
        <w:rPr>
          <w:rFonts w:cs="Arial"/>
          <w:rtl/>
        </w:rPr>
        <w:t>אין כותבין הנידוי</w:t>
      </w:r>
      <w:r>
        <w:rPr>
          <w:rFonts w:cs="Arial" w:hint="cs"/>
          <w:rtl/>
        </w:rPr>
        <w:t>,</w:t>
      </w:r>
      <w:r w:rsidRPr="008C6DB0">
        <w:rPr>
          <w:rFonts w:cs="Arial"/>
          <w:rtl/>
        </w:rPr>
        <w:t xml:space="preserve"> כיון דיש בו אפוקי ממונא, וכנ"ל</w:t>
      </w:r>
      <w:r>
        <w:rPr>
          <w:rFonts w:cs="Arial" w:hint="cs"/>
          <w:rtl/>
        </w:rPr>
        <w:t>, ע"פ סמ"ע (סק"י).</w:t>
      </w:r>
    </w:p>
  </w:footnote>
  <w:footnote w:id="546">
    <w:p w14:paraId="5B5AC550" w14:textId="77777777" w:rsidR="0013116F" w:rsidRDefault="0013116F">
      <w:pPr>
        <w:pStyle w:val="a9"/>
      </w:pPr>
      <w:r>
        <w:rPr>
          <w:rStyle w:val="ab"/>
        </w:rPr>
        <w:footnoteRef/>
      </w:r>
      <w:r>
        <w:rPr>
          <w:rtl/>
        </w:rPr>
        <w:t xml:space="preserve"> </w:t>
      </w:r>
      <w:r w:rsidRPr="008C6DB0">
        <w:rPr>
          <w:rFonts w:cs="Arial"/>
          <w:rtl/>
        </w:rPr>
        <w:t>שם בנ</w:t>
      </w:r>
      <w:r>
        <w:rPr>
          <w:rFonts w:cs="Arial" w:hint="cs"/>
          <w:rtl/>
        </w:rPr>
        <w:t>מוק</w:t>
      </w:r>
      <w:r w:rsidRPr="008C6DB0">
        <w:rPr>
          <w:rFonts w:cs="Arial"/>
          <w:rtl/>
        </w:rPr>
        <w:t>"י כ"כ בשם הראב"ד, ולמדו ממ"ש במחלוקת קרח דהיה שם משה עם השכינה בב"ד, ושלח משה שלוחו לקרח, ואמר לו היו לפני ה' אתה והם ואהרן, ומדקאמר לפני ה' ולא קאמר לפנינו, ש"מ דמזכירין לו שם המומחה וחולקין לו כבוד, עכ"ל. ואינו מוכח שם דאם שלחו להזמינו בשאר ימים והזמינו בשם המומחה לבד דסגי בהכי, אבל מסידור לשון מור"ם בדברי המחבר משמע דחדא באידך תליא ואין צריך להזמין על שם שלשתן, דהו"ל להמזומן לחשוב בודאי כל שלשתן ציווהו להזמינו אלא שחולקין כבוד להמומחה, דאל"כ הל"ל דין זה אחר בד"א כו', וק"ל. וצ"ע דאינו מוכרח כ"כ</w:t>
      </w:r>
      <w:r>
        <w:rPr>
          <w:rFonts w:cs="Arial" w:hint="cs"/>
          <w:rtl/>
        </w:rPr>
        <w:t>, סמ"ע (סקי"א).</w:t>
      </w:r>
    </w:p>
  </w:footnote>
  <w:footnote w:id="547">
    <w:p w14:paraId="44508007" w14:textId="77777777" w:rsidR="0013116F" w:rsidRDefault="0013116F">
      <w:pPr>
        <w:pStyle w:val="a9"/>
        <w:rPr>
          <w:rtl/>
        </w:rPr>
      </w:pPr>
      <w:r>
        <w:rPr>
          <w:rStyle w:val="ab"/>
        </w:rPr>
        <w:footnoteRef/>
      </w:r>
      <w:r>
        <w:rPr>
          <w:rtl/>
        </w:rPr>
        <w:t xml:space="preserve"> </w:t>
      </w:r>
      <w:r w:rsidRPr="008C6DB0">
        <w:rPr>
          <w:rFonts w:cs="Arial"/>
          <w:rtl/>
        </w:rPr>
        <w:t>ודוקא שיהא שוה לב' הנשארים, אבל לא פחות שבכולם, כ"כ ביש"ש (פ"י דב"ק סי</w:t>
      </w:r>
      <w:r>
        <w:rPr>
          <w:rFonts w:cs="Arial" w:hint="cs"/>
          <w:rtl/>
        </w:rPr>
        <w:t>'</w:t>
      </w:r>
      <w:r w:rsidRPr="008C6DB0">
        <w:rPr>
          <w:rFonts w:cs="Arial"/>
          <w:rtl/>
        </w:rPr>
        <w:t xml:space="preserve"> טו</w:t>
      </w:r>
      <w:r>
        <w:rPr>
          <w:rFonts w:cs="Arial" w:hint="cs"/>
          <w:rtl/>
        </w:rPr>
        <w:t>)</w:t>
      </w:r>
      <w:r>
        <w:rPr>
          <w:rFonts w:hint="cs"/>
          <w:rtl/>
        </w:rPr>
        <w:t>, ש"ך (סק"ג).</w:t>
      </w:r>
    </w:p>
  </w:footnote>
  <w:footnote w:id="548">
    <w:p w14:paraId="5F4C70F2" w14:textId="77777777" w:rsidR="0013116F" w:rsidRDefault="0013116F">
      <w:pPr>
        <w:pStyle w:val="a9"/>
      </w:pPr>
      <w:r>
        <w:rPr>
          <w:rStyle w:val="ab"/>
        </w:rPr>
        <w:footnoteRef/>
      </w:r>
      <w:r>
        <w:rPr>
          <w:rtl/>
        </w:rPr>
        <w:t xml:space="preserve"> </w:t>
      </w:r>
      <w:r>
        <w:rPr>
          <w:rFonts w:hint="cs"/>
          <w:rtl/>
        </w:rPr>
        <w:t xml:space="preserve">סימן </w:t>
      </w:r>
      <w:r>
        <w:rPr>
          <w:rtl/>
        </w:rPr>
        <w:t>–</w:t>
      </w:r>
      <w:r>
        <w:rPr>
          <w:rFonts w:hint="cs"/>
          <w:rtl/>
        </w:rPr>
        <w:t xml:space="preserve"> קיראוהו לישיבה בבקשה.</w:t>
      </w:r>
    </w:p>
  </w:footnote>
  <w:footnote w:id="549">
    <w:p w14:paraId="1295DD0B" w14:textId="77777777" w:rsidR="0013116F" w:rsidRDefault="0013116F">
      <w:pPr>
        <w:pStyle w:val="a9"/>
      </w:pPr>
      <w:r>
        <w:rPr>
          <w:rStyle w:val="ab"/>
        </w:rPr>
        <w:footnoteRef/>
      </w:r>
      <w:r>
        <w:rPr>
          <w:rtl/>
        </w:rPr>
        <w:t xml:space="preserve"> </w:t>
      </w:r>
      <w:r w:rsidRPr="0056499E">
        <w:rPr>
          <w:rFonts w:cs="Arial"/>
          <w:rtl/>
        </w:rPr>
        <w:t>מזמנין בעל דין ליום פלוני לדין</w:t>
      </w:r>
      <w:r>
        <w:rPr>
          <w:rFonts w:cs="Arial" w:hint="cs"/>
          <w:rtl/>
        </w:rPr>
        <w:t>, רש"י</w:t>
      </w:r>
      <w:r w:rsidRPr="0056499E">
        <w:rPr>
          <w:rFonts w:cs="Arial"/>
          <w:rtl/>
        </w:rPr>
        <w:t>.</w:t>
      </w:r>
    </w:p>
  </w:footnote>
  <w:footnote w:id="550">
    <w:p w14:paraId="1A4D9C68" w14:textId="77777777" w:rsidR="0013116F" w:rsidRDefault="0013116F">
      <w:pPr>
        <w:pStyle w:val="a9"/>
      </w:pPr>
      <w:r>
        <w:rPr>
          <w:rStyle w:val="ab"/>
        </w:rPr>
        <w:footnoteRef/>
      </w:r>
      <w:r>
        <w:rPr>
          <w:rtl/>
        </w:rPr>
        <w:t xml:space="preserve"> </w:t>
      </w:r>
      <w:r w:rsidRPr="0056499E">
        <w:rPr>
          <w:rFonts w:cs="Arial"/>
          <w:rtl/>
        </w:rPr>
        <w:t>ההולכת אצלו לפי דרכה או ע"פ שכיניו וסמכינן עלייהו דעבדין שליחותייהו</w:t>
      </w:r>
      <w:r>
        <w:rPr>
          <w:rFonts w:cs="Arial" w:hint="cs"/>
          <w:rtl/>
        </w:rPr>
        <w:t>,</w:t>
      </w:r>
      <w:r w:rsidRPr="0056499E">
        <w:rPr>
          <w:rFonts w:cs="Arial"/>
          <w:rtl/>
        </w:rPr>
        <w:t xml:space="preserve"> אי לא אתי מחזקינן באפקרותא ומשמתינן ליה</w:t>
      </w:r>
      <w:r>
        <w:rPr>
          <w:rFonts w:cs="Arial" w:hint="cs"/>
          <w:rtl/>
        </w:rPr>
        <w:t>, רש"י</w:t>
      </w:r>
      <w:r w:rsidRPr="0056499E">
        <w:rPr>
          <w:rFonts w:cs="Arial"/>
          <w:rtl/>
        </w:rPr>
        <w:t>.</w:t>
      </w:r>
    </w:p>
  </w:footnote>
  <w:footnote w:id="551">
    <w:p w14:paraId="2E75F81B" w14:textId="77777777" w:rsidR="0013116F" w:rsidRDefault="0013116F">
      <w:pPr>
        <w:pStyle w:val="a9"/>
      </w:pPr>
      <w:r>
        <w:rPr>
          <w:rStyle w:val="ab"/>
        </w:rPr>
        <w:footnoteRef/>
      </w:r>
      <w:r>
        <w:rPr>
          <w:rtl/>
        </w:rPr>
        <w:t xml:space="preserve"> </w:t>
      </w:r>
      <w:r w:rsidRPr="0056499E">
        <w:rPr>
          <w:rFonts w:cs="Arial"/>
          <w:rtl/>
        </w:rPr>
        <w:t>שאין אותו פלוני עכשיו בעיר שב"ד בה ואמר לשכניו כשישוב פלוני אמרו לו לבא</w:t>
      </w:r>
      <w:r>
        <w:rPr>
          <w:rFonts w:cs="Arial" w:hint="cs"/>
          <w:rtl/>
        </w:rPr>
        <w:t>, רש"י</w:t>
      </w:r>
      <w:r w:rsidRPr="0056499E">
        <w:rPr>
          <w:rFonts w:cs="Arial"/>
          <w:rtl/>
        </w:rPr>
        <w:t>.</w:t>
      </w:r>
    </w:p>
  </w:footnote>
  <w:footnote w:id="552">
    <w:p w14:paraId="7EBBF1BB" w14:textId="77777777" w:rsidR="0013116F" w:rsidRDefault="0013116F">
      <w:pPr>
        <w:pStyle w:val="a9"/>
      </w:pPr>
      <w:r>
        <w:rPr>
          <w:rStyle w:val="ab"/>
        </w:rPr>
        <w:footnoteRef/>
      </w:r>
      <w:r>
        <w:rPr>
          <w:rtl/>
        </w:rPr>
        <w:t xml:space="preserve"> </w:t>
      </w:r>
      <w:r w:rsidRPr="0056499E">
        <w:rPr>
          <w:rFonts w:cs="Arial"/>
          <w:rtl/>
        </w:rPr>
        <w:t>משמתינן ליה דהנהו איתתא ושיבבי לא עבדי שליחותם</w:t>
      </w:r>
      <w:r>
        <w:rPr>
          <w:rFonts w:cs="Arial" w:hint="cs"/>
          <w:rtl/>
        </w:rPr>
        <w:t>, רש"י</w:t>
      </w:r>
      <w:r w:rsidRPr="0056499E">
        <w:rPr>
          <w:rFonts w:cs="Arial"/>
          <w:rtl/>
        </w:rPr>
        <w:t>.</w:t>
      </w:r>
    </w:p>
  </w:footnote>
  <w:footnote w:id="553">
    <w:p w14:paraId="0B358F8B" w14:textId="77777777" w:rsidR="0013116F" w:rsidRDefault="0013116F">
      <w:pPr>
        <w:pStyle w:val="a9"/>
        <w:rPr>
          <w:rtl/>
        </w:rPr>
      </w:pPr>
      <w:r>
        <w:rPr>
          <w:rStyle w:val="ab"/>
        </w:rPr>
        <w:footnoteRef/>
      </w:r>
      <w:r>
        <w:rPr>
          <w:rtl/>
        </w:rPr>
        <w:t xml:space="preserve"> </w:t>
      </w:r>
      <w:r w:rsidRPr="0056499E">
        <w:rPr>
          <w:rFonts w:cs="Arial"/>
          <w:rtl/>
        </w:rPr>
        <w:t>אלא משדרינן ליה עוד שליחות אחרינא בתריה</w:t>
      </w:r>
      <w:r>
        <w:rPr>
          <w:rFonts w:cs="Arial" w:hint="cs"/>
          <w:rtl/>
        </w:rPr>
        <w:t>, רש"י</w:t>
      </w:r>
      <w:r w:rsidRPr="0056499E">
        <w:rPr>
          <w:rFonts w:cs="Arial"/>
          <w:rtl/>
        </w:rPr>
        <w:t>.</w:t>
      </w:r>
    </w:p>
  </w:footnote>
  <w:footnote w:id="554">
    <w:p w14:paraId="20D07DAC" w14:textId="77777777" w:rsidR="0013116F" w:rsidRDefault="0013116F">
      <w:pPr>
        <w:pStyle w:val="a9"/>
      </w:pPr>
      <w:r>
        <w:rPr>
          <w:rStyle w:val="ab"/>
        </w:rPr>
        <w:footnoteRef/>
      </w:r>
      <w:r>
        <w:rPr>
          <w:rtl/>
        </w:rPr>
        <w:t xml:space="preserve"> </w:t>
      </w:r>
      <w:r w:rsidRPr="0056499E">
        <w:rPr>
          <w:rFonts w:cs="Arial"/>
          <w:rtl/>
        </w:rPr>
        <w:t>כי אתי ההוא פלוני לביתיה לית ליה אורחא לבבא דבי דינא</w:t>
      </w:r>
      <w:r>
        <w:rPr>
          <w:rFonts w:cs="Arial" w:hint="cs"/>
          <w:rtl/>
        </w:rPr>
        <w:t>,</w:t>
      </w:r>
      <w:r w:rsidRPr="0056499E">
        <w:rPr>
          <w:rFonts w:cs="Arial"/>
          <w:rtl/>
        </w:rPr>
        <w:t xml:space="preserve"> אבל חליף אבבא דבי דינא </w:t>
      </w:r>
      <w:r>
        <w:rPr>
          <w:rFonts w:cs="Arial" w:hint="cs"/>
          <w:rtl/>
        </w:rPr>
        <w:t xml:space="preserve">- </w:t>
      </w:r>
      <w:r w:rsidRPr="0056499E">
        <w:rPr>
          <w:rFonts w:cs="Arial"/>
          <w:rtl/>
        </w:rPr>
        <w:t>לא סמכינן אשיבבי דאמרי בי דינא אמרי ליה</w:t>
      </w:r>
      <w:r>
        <w:rPr>
          <w:rFonts w:cs="Arial" w:hint="cs"/>
          <w:rtl/>
        </w:rPr>
        <w:t>, רש"י</w:t>
      </w:r>
      <w:r w:rsidRPr="0056499E">
        <w:rPr>
          <w:rFonts w:cs="Arial"/>
          <w:rtl/>
        </w:rPr>
        <w:t>.</w:t>
      </w:r>
    </w:p>
  </w:footnote>
  <w:footnote w:id="555">
    <w:p w14:paraId="7971EF78" w14:textId="77777777" w:rsidR="0013116F" w:rsidRDefault="0013116F">
      <w:pPr>
        <w:pStyle w:val="a9"/>
        <w:rPr>
          <w:rtl/>
        </w:rPr>
      </w:pPr>
      <w:r>
        <w:rPr>
          <w:rStyle w:val="ab"/>
        </w:rPr>
        <w:footnoteRef/>
      </w:r>
      <w:r>
        <w:rPr>
          <w:rtl/>
        </w:rPr>
        <w:t xml:space="preserve"> </w:t>
      </w:r>
      <w:r w:rsidRPr="0056499E">
        <w:rPr>
          <w:rFonts w:cs="Arial"/>
          <w:rtl/>
        </w:rPr>
        <w:t>שכחו שליחותם קודם ששב אותו פלוני לביתו</w:t>
      </w:r>
      <w:r>
        <w:rPr>
          <w:rFonts w:cs="Arial" w:hint="cs"/>
          <w:rtl/>
        </w:rPr>
        <w:t>, רש"י</w:t>
      </w:r>
      <w:r w:rsidRPr="0056499E">
        <w:rPr>
          <w:rFonts w:cs="Arial"/>
          <w:rtl/>
        </w:rPr>
        <w:t>.</w:t>
      </w:r>
    </w:p>
  </w:footnote>
  <w:footnote w:id="556">
    <w:p w14:paraId="22FCD372" w14:textId="77777777" w:rsidR="0013116F" w:rsidRDefault="0013116F">
      <w:pPr>
        <w:pStyle w:val="a9"/>
        <w:rPr>
          <w:rtl/>
        </w:rPr>
      </w:pPr>
      <w:r>
        <w:rPr>
          <w:rStyle w:val="ab"/>
        </w:rPr>
        <w:footnoteRef/>
      </w:r>
      <w:r>
        <w:rPr>
          <w:rtl/>
        </w:rPr>
        <w:t xml:space="preserve"> </w:t>
      </w:r>
      <w:r w:rsidRPr="000C548A">
        <w:rPr>
          <w:rFonts w:cs="Arial"/>
          <w:rtl/>
        </w:rPr>
        <w:t>אף על פי שכ"ש הוא, כתבו רבינו הטור [סעיף ד'] ומור"ם כדי שלא תיקשי כיון דשליח בית דין הוא היה לו לחזור ולומר עשיתי שליחותי, ומדלא חזר ודאי לא מצאו ולא הזמינהו, קמ"ל, ועיין פרישה מ"ש עוד מזה</w:t>
      </w:r>
      <w:r>
        <w:rPr>
          <w:rFonts w:hint="cs"/>
          <w:rtl/>
        </w:rPr>
        <w:t>, סמ"ע (סקי"ד).</w:t>
      </w:r>
    </w:p>
  </w:footnote>
  <w:footnote w:id="557">
    <w:p w14:paraId="584871D6" w14:textId="77777777" w:rsidR="0013116F" w:rsidRDefault="0013116F">
      <w:pPr>
        <w:pStyle w:val="a9"/>
        <w:rPr>
          <w:rtl/>
        </w:rPr>
      </w:pPr>
      <w:r>
        <w:rPr>
          <w:rStyle w:val="ab"/>
        </w:rPr>
        <w:footnoteRef/>
      </w:r>
      <w:r>
        <w:rPr>
          <w:rtl/>
        </w:rPr>
        <w:t xml:space="preserve"> </w:t>
      </w:r>
      <w:r>
        <w:rPr>
          <w:rFonts w:hint="cs"/>
          <w:rtl/>
        </w:rPr>
        <w:t>במהדורות מסויימות כתוב 'להם', ובאה"ג (אות ל) תיקן וכתב שצ"ל 'אליהם', וכן הוא ברמב"ם.</w:t>
      </w:r>
    </w:p>
  </w:footnote>
  <w:footnote w:id="558">
    <w:p w14:paraId="6E440C23" w14:textId="77777777" w:rsidR="0013116F" w:rsidRDefault="0013116F">
      <w:pPr>
        <w:pStyle w:val="a9"/>
      </w:pPr>
      <w:r>
        <w:rPr>
          <w:rStyle w:val="ab"/>
        </w:rPr>
        <w:footnoteRef/>
      </w:r>
      <w:r>
        <w:rPr>
          <w:rtl/>
        </w:rPr>
        <w:t xml:space="preserve"> </w:t>
      </w:r>
      <w:r w:rsidRPr="000C548A">
        <w:rPr>
          <w:rFonts w:cs="Arial"/>
          <w:rtl/>
        </w:rPr>
        <w:t>פירוש, אין אומרים שהשכנים הזמינוהו על יום הקבוע לישיבת הדיינים בו ביום, או ביום שיהיה, ואם לא יבוא לאותו יום ינדוהו למחרתו של אותו יום</w:t>
      </w:r>
      <w:r>
        <w:rPr>
          <w:rFonts w:cs="Arial" w:hint="cs"/>
          <w:rtl/>
        </w:rPr>
        <w:t>, סמ"ע (סקט"ז).</w:t>
      </w:r>
    </w:p>
  </w:footnote>
  <w:footnote w:id="559">
    <w:p w14:paraId="43927C0C" w14:textId="77777777" w:rsidR="0013116F" w:rsidRDefault="0013116F">
      <w:pPr>
        <w:pStyle w:val="a9"/>
      </w:pPr>
      <w:r>
        <w:rPr>
          <w:rStyle w:val="ab"/>
        </w:rPr>
        <w:footnoteRef/>
      </w:r>
      <w:r>
        <w:rPr>
          <w:rtl/>
        </w:rPr>
        <w:t xml:space="preserve"> </w:t>
      </w:r>
      <w:r w:rsidRPr="000C548A">
        <w:rPr>
          <w:rFonts w:cs="Arial"/>
          <w:rtl/>
        </w:rPr>
        <w:t>צ"ל דלא בא מור"ם שם לחדש דבר בדין זה [דהא כבר כתבו המחבר], ולא כתבו אלא משום הטעם, וקאי אמ"ש המחבר שם ואם דרכו עליהן אין מנדין אותו מפני שסוברים שהב"ד עצמו אמרו לו, ע"ז כתב מור"ם "וכן אם" היה בעיר, ור"ל שמהאי טעמא נמי אמרו דאם הוא בעיר דאין סומכין על השכנים, משום דשמא לא אמרו לו כו', כן נ"ל לדחוק ולישב דעת מור"ם במה שחזר וכתבו, שהוא תמוה לפי הנראה</w:t>
      </w:r>
      <w:r>
        <w:rPr>
          <w:rFonts w:cs="Arial" w:hint="cs"/>
          <w:rtl/>
        </w:rPr>
        <w:t>, סמ"ע (סקי"ב).</w:t>
      </w:r>
    </w:p>
  </w:footnote>
  <w:footnote w:id="560">
    <w:p w14:paraId="65ADB066" w14:textId="77777777" w:rsidR="0013116F" w:rsidRDefault="0013116F" w:rsidP="0079223B">
      <w:pPr>
        <w:pStyle w:val="a9"/>
      </w:pPr>
      <w:r>
        <w:rPr>
          <w:rStyle w:val="ab"/>
        </w:rPr>
        <w:footnoteRef/>
      </w:r>
      <w:r>
        <w:rPr>
          <w:rtl/>
        </w:rPr>
        <w:t xml:space="preserve"> </w:t>
      </w:r>
      <w:r>
        <w:rPr>
          <w:rFonts w:hint="cs"/>
          <w:rtl/>
        </w:rPr>
        <w:t xml:space="preserve">סימן </w:t>
      </w:r>
      <w:r>
        <w:rPr>
          <w:rtl/>
        </w:rPr>
        <w:t>–</w:t>
      </w:r>
      <w:r>
        <w:rPr>
          <w:rFonts w:hint="cs"/>
          <w:rtl/>
        </w:rPr>
        <w:t xml:space="preserve"> קולו יחשב ב'.</w:t>
      </w:r>
    </w:p>
  </w:footnote>
  <w:footnote w:id="561">
    <w:p w14:paraId="5355234D" w14:textId="77777777" w:rsidR="0013116F" w:rsidRDefault="0013116F" w:rsidP="0079223B">
      <w:pPr>
        <w:pStyle w:val="a9"/>
        <w:rPr>
          <w:rtl/>
        </w:rPr>
      </w:pPr>
      <w:r>
        <w:rPr>
          <w:rStyle w:val="ab"/>
        </w:rPr>
        <w:footnoteRef/>
      </w:r>
      <w:r>
        <w:rPr>
          <w:rtl/>
        </w:rPr>
        <w:t xml:space="preserve"> </w:t>
      </w:r>
      <w:r w:rsidRPr="005E36F0">
        <w:rPr>
          <w:rFonts w:cs="Arial"/>
          <w:rtl/>
        </w:rPr>
        <w:t>דלא משקר בבי דינא</w:t>
      </w:r>
      <w:r>
        <w:rPr>
          <w:rFonts w:cs="Arial" w:hint="cs"/>
          <w:rtl/>
        </w:rPr>
        <w:t>, רש"י</w:t>
      </w:r>
      <w:r w:rsidRPr="005E36F0">
        <w:rPr>
          <w:rFonts w:cs="Arial"/>
          <w:rtl/>
        </w:rPr>
        <w:t>.</w:t>
      </w:r>
    </w:p>
  </w:footnote>
  <w:footnote w:id="562">
    <w:p w14:paraId="0438308B" w14:textId="77777777" w:rsidR="0013116F" w:rsidRDefault="0013116F" w:rsidP="0079223B">
      <w:pPr>
        <w:pStyle w:val="a9"/>
        <w:rPr>
          <w:rtl/>
        </w:rPr>
      </w:pPr>
      <w:r>
        <w:rPr>
          <w:rStyle w:val="ab"/>
        </w:rPr>
        <w:footnoteRef/>
      </w:r>
      <w:r>
        <w:rPr>
          <w:rtl/>
        </w:rPr>
        <w:t xml:space="preserve"> </w:t>
      </w:r>
      <w:r w:rsidRPr="005E36F0">
        <w:rPr>
          <w:rFonts w:cs="Arial"/>
          <w:rtl/>
        </w:rPr>
        <w:t>שטר שמתא</w:t>
      </w:r>
      <w:r>
        <w:rPr>
          <w:rFonts w:cs="Arial" w:hint="cs"/>
          <w:rtl/>
        </w:rPr>
        <w:t>,</w:t>
      </w:r>
      <w:r w:rsidRPr="005E36F0">
        <w:rPr>
          <w:rFonts w:cs="Arial"/>
          <w:rtl/>
        </w:rPr>
        <w:t xml:space="preserve"> וכי שרו ליה שמתא לא שרו ליה עד דיהיב זוזא דפתיחא לספרא</w:t>
      </w:r>
      <w:r>
        <w:rPr>
          <w:rFonts w:cs="Arial" w:hint="cs"/>
          <w:rtl/>
        </w:rPr>
        <w:t>, רש"י</w:t>
      </w:r>
      <w:r w:rsidRPr="005E36F0">
        <w:rPr>
          <w:rFonts w:cs="Arial"/>
          <w:rtl/>
        </w:rPr>
        <w:t>.</w:t>
      </w:r>
    </w:p>
  </w:footnote>
  <w:footnote w:id="563">
    <w:p w14:paraId="7AAB09BA" w14:textId="77777777" w:rsidR="0013116F" w:rsidRDefault="0013116F">
      <w:pPr>
        <w:pStyle w:val="a9"/>
        <w:rPr>
          <w:rtl/>
        </w:rPr>
      </w:pPr>
      <w:r>
        <w:rPr>
          <w:rStyle w:val="ab"/>
        </w:rPr>
        <w:footnoteRef/>
      </w:r>
      <w:r>
        <w:rPr>
          <w:rtl/>
        </w:rPr>
        <w:t xml:space="preserve"> </w:t>
      </w:r>
      <w:r>
        <w:rPr>
          <w:rFonts w:hint="cs"/>
          <w:rtl/>
        </w:rPr>
        <w:t xml:space="preserve">סימן </w:t>
      </w:r>
      <w:r>
        <w:rPr>
          <w:rtl/>
        </w:rPr>
        <w:t>–</w:t>
      </w:r>
      <w:r>
        <w:rPr>
          <w:rFonts w:hint="cs"/>
          <w:rtl/>
        </w:rPr>
        <w:t xml:space="preserve"> </w:t>
      </w:r>
      <w:r w:rsidRPr="00E77C9E">
        <w:rPr>
          <w:rFonts w:hint="cs"/>
          <w:b/>
          <w:bCs/>
          <w:rtl/>
        </w:rPr>
        <w:t>ק</w:t>
      </w:r>
      <w:r>
        <w:rPr>
          <w:rFonts w:hint="cs"/>
          <w:rtl/>
        </w:rPr>
        <w:t xml:space="preserve">ורעים </w:t>
      </w:r>
      <w:r w:rsidRPr="00E77C9E">
        <w:rPr>
          <w:rFonts w:hint="cs"/>
          <w:b/>
          <w:bCs/>
          <w:rtl/>
        </w:rPr>
        <w:t>יג</w:t>
      </w:r>
      <w:r>
        <w:rPr>
          <w:rFonts w:hint="cs"/>
          <w:rtl/>
        </w:rPr>
        <w:t>יע.</w:t>
      </w:r>
    </w:p>
  </w:footnote>
  <w:footnote w:id="564">
    <w:p w14:paraId="0EA11E7B" w14:textId="77777777" w:rsidR="0013116F" w:rsidRDefault="0013116F">
      <w:pPr>
        <w:pStyle w:val="a9"/>
      </w:pPr>
      <w:r>
        <w:rPr>
          <w:rStyle w:val="ab"/>
        </w:rPr>
        <w:footnoteRef/>
      </w:r>
      <w:r>
        <w:rPr>
          <w:rtl/>
        </w:rPr>
        <w:t xml:space="preserve"> </w:t>
      </w:r>
      <w:r w:rsidRPr="001A036C">
        <w:rPr>
          <w:rFonts w:cs="Arial"/>
          <w:rtl/>
        </w:rPr>
        <w:t>ואף על גב דאמר אתינא אתינא</w:t>
      </w:r>
      <w:r>
        <w:rPr>
          <w:rFonts w:cs="Arial" w:hint="cs"/>
          <w:rtl/>
        </w:rPr>
        <w:t>, רש"י</w:t>
      </w:r>
      <w:r w:rsidRPr="001A036C">
        <w:rPr>
          <w:rFonts w:cs="Arial"/>
          <w:rtl/>
        </w:rPr>
        <w:t>.</w:t>
      </w:r>
    </w:p>
  </w:footnote>
  <w:footnote w:id="565">
    <w:p w14:paraId="561B1C8A" w14:textId="77777777" w:rsidR="0013116F" w:rsidRDefault="0013116F">
      <w:pPr>
        <w:pStyle w:val="a9"/>
      </w:pPr>
      <w:r>
        <w:rPr>
          <w:rStyle w:val="ab"/>
        </w:rPr>
        <w:footnoteRef/>
      </w:r>
      <w:r>
        <w:rPr>
          <w:rtl/>
        </w:rPr>
        <w:t xml:space="preserve"> </w:t>
      </w:r>
      <w:r w:rsidRPr="001A036C">
        <w:rPr>
          <w:rFonts w:cs="Arial"/>
          <w:rtl/>
        </w:rPr>
        <w:t>שאמרו לו צא תן לו ולא קיים</w:t>
      </w:r>
      <w:r>
        <w:rPr>
          <w:rFonts w:cs="Arial" w:hint="cs"/>
          <w:rtl/>
        </w:rPr>
        <w:t>, רש"י</w:t>
      </w:r>
      <w:r w:rsidRPr="001A036C">
        <w:rPr>
          <w:rFonts w:cs="Arial"/>
          <w:rtl/>
        </w:rPr>
        <w:t>.</w:t>
      </w:r>
    </w:p>
  </w:footnote>
  <w:footnote w:id="566">
    <w:p w14:paraId="6922BB63" w14:textId="77777777" w:rsidR="0013116F" w:rsidRDefault="0013116F">
      <w:pPr>
        <w:pStyle w:val="a9"/>
      </w:pPr>
      <w:r>
        <w:rPr>
          <w:rStyle w:val="ab"/>
        </w:rPr>
        <w:footnoteRef/>
      </w:r>
      <w:r>
        <w:rPr>
          <w:rtl/>
        </w:rPr>
        <w:t xml:space="preserve"> </w:t>
      </w:r>
      <w:r w:rsidRPr="001A036C">
        <w:rPr>
          <w:rFonts w:cs="Arial"/>
          <w:rtl/>
        </w:rPr>
        <w:t>ויפרע לו</w:t>
      </w:r>
      <w:r>
        <w:rPr>
          <w:rFonts w:cs="Arial" w:hint="cs"/>
          <w:rtl/>
        </w:rPr>
        <w:t>, רש"י</w:t>
      </w:r>
      <w:r w:rsidRPr="001A036C">
        <w:rPr>
          <w:rFonts w:cs="Arial"/>
          <w:rtl/>
        </w:rPr>
        <w:t>.</w:t>
      </w:r>
    </w:p>
  </w:footnote>
  <w:footnote w:id="567">
    <w:p w14:paraId="747BBC53" w14:textId="77777777" w:rsidR="0013116F" w:rsidRDefault="0013116F">
      <w:pPr>
        <w:pStyle w:val="a9"/>
        <w:rPr>
          <w:rtl/>
        </w:rPr>
      </w:pPr>
      <w:r>
        <w:rPr>
          <w:rStyle w:val="ab"/>
        </w:rPr>
        <w:footnoteRef/>
      </w:r>
      <w:r>
        <w:rPr>
          <w:rtl/>
        </w:rPr>
        <w:t xml:space="preserve"> </w:t>
      </w:r>
      <w:r w:rsidRPr="001A036C">
        <w:rPr>
          <w:rFonts w:cs="Arial"/>
          <w:rtl/>
        </w:rPr>
        <w:t>ואף על גב דאמר פרענא</w:t>
      </w:r>
      <w:r>
        <w:rPr>
          <w:rFonts w:cs="Arial" w:hint="cs"/>
          <w:rtl/>
        </w:rPr>
        <w:t>, רש"י</w:t>
      </w:r>
      <w:r w:rsidRPr="001A036C">
        <w:rPr>
          <w:rFonts w:cs="Arial"/>
          <w:rtl/>
        </w:rPr>
        <w:t>.</w:t>
      </w:r>
    </w:p>
  </w:footnote>
  <w:footnote w:id="568">
    <w:p w14:paraId="49F4A38E" w14:textId="77777777" w:rsidR="0013116F" w:rsidRDefault="0013116F">
      <w:pPr>
        <w:pStyle w:val="a9"/>
        <w:rPr>
          <w:rtl/>
        </w:rPr>
      </w:pPr>
      <w:r>
        <w:rPr>
          <w:rStyle w:val="ab"/>
        </w:rPr>
        <w:footnoteRef/>
      </w:r>
      <w:r>
        <w:rPr>
          <w:rtl/>
        </w:rPr>
        <w:t xml:space="preserve"> </w:t>
      </w:r>
      <w:r w:rsidRPr="001A036C">
        <w:rPr>
          <w:rFonts w:cs="Arial"/>
          <w:rtl/>
        </w:rPr>
        <w:t>לאלתר דדלמא לית ליה זוזי השתא וטרח אבל באתא לדינא כל כמה דלא אתי אפקרותא הוא</w:t>
      </w:r>
      <w:r>
        <w:rPr>
          <w:rFonts w:cs="Arial" w:hint="cs"/>
          <w:rtl/>
        </w:rPr>
        <w:t>, רש"י</w:t>
      </w:r>
      <w:r w:rsidRPr="001A036C">
        <w:rPr>
          <w:rFonts w:cs="Arial"/>
          <w:rtl/>
        </w:rPr>
        <w:t>.</w:t>
      </w:r>
    </w:p>
  </w:footnote>
  <w:footnote w:id="569">
    <w:p w14:paraId="49334B89" w14:textId="77777777" w:rsidR="0013116F" w:rsidRDefault="0013116F">
      <w:pPr>
        <w:pStyle w:val="a9"/>
        <w:rPr>
          <w:rtl/>
        </w:rPr>
      </w:pPr>
      <w:r>
        <w:rPr>
          <w:rStyle w:val="ab"/>
        </w:rPr>
        <w:footnoteRef/>
      </w:r>
      <w:r>
        <w:rPr>
          <w:rtl/>
        </w:rPr>
        <w:t xml:space="preserve"> </w:t>
      </w:r>
      <w:r w:rsidRPr="007C720E">
        <w:rPr>
          <w:rFonts w:cs="Arial"/>
          <w:rtl/>
        </w:rPr>
        <w:t>דאף שאומרים לו לפרוע לפלוני ואינו פורעו, אמרינן שטרח אחר זוזי, ועיין פרישה [סוף סימן זה] מ"ש בזה</w:t>
      </w:r>
      <w:r>
        <w:rPr>
          <w:rFonts w:hint="cs"/>
          <w:rtl/>
        </w:rPr>
        <w:t>, סמ"ע (סקי"ח).</w:t>
      </w:r>
    </w:p>
  </w:footnote>
  <w:footnote w:id="570">
    <w:p w14:paraId="4FE5B583" w14:textId="77777777" w:rsidR="0013116F" w:rsidRDefault="0013116F">
      <w:pPr>
        <w:pStyle w:val="a9"/>
      </w:pPr>
      <w:r>
        <w:rPr>
          <w:rStyle w:val="ab"/>
        </w:rPr>
        <w:footnoteRef/>
      </w:r>
      <w:r>
        <w:rPr>
          <w:rtl/>
        </w:rPr>
        <w:t xml:space="preserve"> </w:t>
      </w:r>
      <w:r>
        <w:rPr>
          <w:rFonts w:hint="cs"/>
          <w:rtl/>
        </w:rPr>
        <w:t xml:space="preserve">סימן </w:t>
      </w:r>
      <w:r>
        <w:rPr>
          <w:rtl/>
        </w:rPr>
        <w:t>–</w:t>
      </w:r>
      <w:r>
        <w:rPr>
          <w:rFonts w:hint="cs"/>
          <w:rtl/>
        </w:rPr>
        <w:t xml:space="preserve"> לא לזמן ל-...</w:t>
      </w:r>
    </w:p>
  </w:footnote>
  <w:footnote w:id="571">
    <w:p w14:paraId="3A714E43" w14:textId="77777777" w:rsidR="0013116F" w:rsidRDefault="0013116F">
      <w:pPr>
        <w:pStyle w:val="a9"/>
      </w:pPr>
      <w:r>
        <w:rPr>
          <w:rStyle w:val="ab"/>
        </w:rPr>
        <w:footnoteRef/>
      </w:r>
      <w:r>
        <w:rPr>
          <w:rtl/>
        </w:rPr>
        <w:t xml:space="preserve"> </w:t>
      </w:r>
      <w:r w:rsidRPr="00EE6C3B">
        <w:rPr>
          <w:rFonts w:cs="Arial"/>
          <w:b/>
          <w:bCs/>
          <w:rtl/>
        </w:rPr>
        <w:t xml:space="preserve">דברים </w:t>
      </w:r>
      <w:r w:rsidRPr="00EE6C3B">
        <w:rPr>
          <w:rFonts w:cs="Arial" w:hint="cs"/>
          <w:b/>
          <w:bCs/>
          <w:rtl/>
        </w:rPr>
        <w:t>פ</w:t>
      </w:r>
      <w:r w:rsidRPr="00EE6C3B">
        <w:rPr>
          <w:rFonts w:cs="Arial"/>
          <w:b/>
          <w:bCs/>
          <w:rtl/>
        </w:rPr>
        <w:t>י</w:t>
      </w:r>
      <w:r w:rsidRPr="00EE6C3B">
        <w:rPr>
          <w:rFonts w:cs="Arial" w:hint="cs"/>
          <w:b/>
          <w:bCs/>
          <w:rtl/>
        </w:rPr>
        <w:t>"</w:t>
      </w:r>
      <w:r w:rsidRPr="00EE6C3B">
        <w:rPr>
          <w:rFonts w:cs="Arial"/>
          <w:b/>
          <w:bCs/>
          <w:rtl/>
        </w:rPr>
        <w:t xml:space="preserve">ט </w:t>
      </w:r>
      <w:r>
        <w:rPr>
          <w:rFonts w:cs="Arial" w:hint="cs"/>
          <w:b/>
          <w:bCs/>
          <w:rtl/>
        </w:rPr>
        <w:t>פי</w:t>
      </w:r>
      <w:r w:rsidRPr="00EE6C3B">
        <w:rPr>
          <w:rFonts w:cs="Arial" w:hint="cs"/>
          <w:b/>
          <w:bCs/>
          <w:rtl/>
        </w:rPr>
        <w:t>"</w:t>
      </w:r>
      <w:r>
        <w:rPr>
          <w:rFonts w:cs="Arial" w:hint="cs"/>
          <w:b/>
          <w:bCs/>
          <w:rtl/>
        </w:rPr>
        <w:t>ז</w:t>
      </w:r>
      <w:r w:rsidRPr="00EE6C3B">
        <w:rPr>
          <w:rFonts w:cs="Arial" w:hint="cs"/>
          <w:b/>
          <w:bCs/>
          <w:rtl/>
        </w:rPr>
        <w:t>:</w:t>
      </w:r>
      <w:r w:rsidRPr="00EE6C3B">
        <w:rPr>
          <w:rtl/>
        </w:rPr>
        <w:t xml:space="preserve"> </w:t>
      </w:r>
      <w:r w:rsidRPr="00EE6C3B">
        <w:rPr>
          <w:rFonts w:cs="Arial"/>
          <w:rtl/>
        </w:rPr>
        <w:t>וְעָמְדוּ שְׁנֵי הָאֲנָשִׁים אֲשֶׁר לָהֶם הָרִיב לִפְנֵי יְקֹוָק לִפְנֵי הַכֹּהֲנִים וְהַשֹּׁפְטִים אֲשֶׁר יִהְיוּ בַּיָּמִים הָהֵם:</w:t>
      </w:r>
    </w:p>
  </w:footnote>
  <w:footnote w:id="572">
    <w:p w14:paraId="27D43ADB" w14:textId="77777777" w:rsidR="0013116F" w:rsidRDefault="0013116F">
      <w:pPr>
        <w:pStyle w:val="a9"/>
      </w:pPr>
      <w:r>
        <w:rPr>
          <w:rStyle w:val="ab"/>
        </w:rPr>
        <w:footnoteRef/>
      </w:r>
      <w:r>
        <w:rPr>
          <w:rtl/>
        </w:rPr>
        <w:t xml:space="preserve"> </w:t>
      </w:r>
      <w:r w:rsidRPr="00EE6C3B">
        <w:rPr>
          <w:rFonts w:cs="Arial"/>
          <w:b/>
          <w:bCs/>
          <w:rtl/>
        </w:rPr>
        <w:t xml:space="preserve">דברים </w:t>
      </w:r>
      <w:r w:rsidRPr="00EE6C3B">
        <w:rPr>
          <w:rFonts w:cs="Arial" w:hint="cs"/>
          <w:b/>
          <w:bCs/>
          <w:rtl/>
        </w:rPr>
        <w:t>פ</w:t>
      </w:r>
      <w:r w:rsidRPr="00EE6C3B">
        <w:rPr>
          <w:rFonts w:cs="Arial"/>
          <w:b/>
          <w:bCs/>
          <w:rtl/>
        </w:rPr>
        <w:t>י</w:t>
      </w:r>
      <w:r w:rsidRPr="00EE6C3B">
        <w:rPr>
          <w:rFonts w:cs="Arial" w:hint="cs"/>
          <w:b/>
          <w:bCs/>
          <w:rtl/>
        </w:rPr>
        <w:t>"</w:t>
      </w:r>
      <w:r w:rsidRPr="00EE6C3B">
        <w:rPr>
          <w:rFonts w:cs="Arial"/>
          <w:b/>
          <w:bCs/>
          <w:rtl/>
        </w:rPr>
        <w:t xml:space="preserve">ט </w:t>
      </w:r>
      <w:r w:rsidRPr="00EE6C3B">
        <w:rPr>
          <w:rFonts w:cs="Arial" w:hint="cs"/>
          <w:b/>
          <w:bCs/>
          <w:rtl/>
        </w:rPr>
        <w:t>פ</w:t>
      </w:r>
      <w:r w:rsidRPr="00EE6C3B">
        <w:rPr>
          <w:rFonts w:cs="Arial"/>
          <w:b/>
          <w:bCs/>
          <w:rtl/>
        </w:rPr>
        <w:t>ט</w:t>
      </w:r>
      <w:r w:rsidRPr="00EE6C3B">
        <w:rPr>
          <w:rFonts w:cs="Arial" w:hint="cs"/>
          <w:b/>
          <w:bCs/>
          <w:rtl/>
        </w:rPr>
        <w:t>"</w:t>
      </w:r>
      <w:r w:rsidRPr="00EE6C3B">
        <w:rPr>
          <w:rFonts w:cs="Arial"/>
          <w:b/>
          <w:bCs/>
          <w:rtl/>
        </w:rPr>
        <w:t>ו</w:t>
      </w:r>
      <w:r w:rsidRPr="00EE6C3B">
        <w:rPr>
          <w:rFonts w:cs="Arial" w:hint="cs"/>
          <w:b/>
          <w:bCs/>
          <w:rtl/>
        </w:rPr>
        <w:t>:</w:t>
      </w:r>
      <w:r w:rsidRPr="00EE6C3B">
        <w:rPr>
          <w:rtl/>
        </w:rPr>
        <w:t xml:space="preserve"> </w:t>
      </w:r>
      <w:r w:rsidRPr="00EE6C3B">
        <w:rPr>
          <w:rFonts w:cs="Arial"/>
          <w:rtl/>
        </w:rPr>
        <w:t>לֹא יָקוּם עֵד אֶחָד בְּאִישׁ לְכָל עָוֹן וּלְכָל חַטָּאת בְּכָל חֵטְא אֲשֶׁר יֶחֱטָא עַל פִּי שְׁנֵי עֵדִים אוֹ עַל פִּי שְׁלֹשָׁה עֵדִים יָקוּם דָּבָר:</w:t>
      </w:r>
    </w:p>
  </w:footnote>
  <w:footnote w:id="573">
    <w:p w14:paraId="13E2A739" w14:textId="77777777" w:rsidR="0013116F" w:rsidRDefault="0013116F">
      <w:pPr>
        <w:pStyle w:val="a9"/>
        <w:rPr>
          <w:rtl/>
        </w:rPr>
      </w:pPr>
      <w:r>
        <w:rPr>
          <w:rStyle w:val="ab"/>
        </w:rPr>
        <w:footnoteRef/>
      </w:r>
      <w:r>
        <w:rPr>
          <w:rtl/>
        </w:rPr>
        <w:t xml:space="preserve"> </w:t>
      </w:r>
      <w:r>
        <w:rPr>
          <w:rFonts w:asciiTheme="minorBidi" w:hAnsiTheme="minorBidi" w:hint="cs"/>
          <w:rtl/>
        </w:rPr>
        <w:t>ר"י מיגאש</w:t>
      </w:r>
      <w:r w:rsidRPr="007C720E">
        <w:rPr>
          <w:rFonts w:asciiTheme="minorBidi" w:hAnsiTheme="minorBidi"/>
          <w:rtl/>
        </w:rPr>
        <w:t xml:space="preserve"> </w:t>
      </w:r>
      <w:r w:rsidRPr="007C720E">
        <w:rPr>
          <w:rFonts w:asciiTheme="minorBidi" w:hAnsiTheme="minorBidi"/>
          <w:sz w:val="16"/>
          <w:szCs w:val="16"/>
          <w:rtl/>
        </w:rPr>
        <w:t>(שבועות ל. ד"ה מתני')</w:t>
      </w:r>
      <w:r w:rsidRPr="00E71932">
        <w:rPr>
          <w:rFonts w:asciiTheme="minorBidi" w:hAnsiTheme="minorBidi"/>
          <w:rtl/>
        </w:rPr>
        <w:t xml:space="preserve"> </w:t>
      </w:r>
      <w:r>
        <w:rPr>
          <w:rFonts w:asciiTheme="minorBidi" w:hAnsiTheme="minorBidi" w:hint="cs"/>
          <w:rtl/>
        </w:rPr>
        <w:t xml:space="preserve">רמב"ן </w:t>
      </w:r>
      <w:r>
        <w:rPr>
          <w:rFonts w:asciiTheme="minorBidi" w:hAnsiTheme="minorBidi" w:cs="Arial" w:hint="cs"/>
          <w:sz w:val="16"/>
          <w:szCs w:val="16"/>
          <w:rtl/>
        </w:rPr>
        <w:t>(שבועות ל. ד"ה גמ')</w:t>
      </w:r>
      <w:r w:rsidRPr="007C720E">
        <w:rPr>
          <w:rFonts w:asciiTheme="minorBidi" w:hAnsiTheme="minorBidi"/>
          <w:rtl/>
        </w:rPr>
        <w:t xml:space="preserve"> רא"ש </w:t>
      </w:r>
      <w:r w:rsidRPr="007C720E">
        <w:rPr>
          <w:rFonts w:asciiTheme="minorBidi" w:hAnsiTheme="minorBidi" w:hint="cs"/>
          <w:sz w:val="16"/>
          <w:szCs w:val="16"/>
          <w:rtl/>
        </w:rPr>
        <w:t>(</w:t>
      </w:r>
      <w:r w:rsidRPr="007C720E">
        <w:rPr>
          <w:rFonts w:asciiTheme="minorBidi" w:hAnsiTheme="minorBidi"/>
          <w:sz w:val="16"/>
          <w:szCs w:val="16"/>
          <w:rtl/>
        </w:rPr>
        <w:t>פ</w:t>
      </w:r>
      <w:r w:rsidRPr="007C720E">
        <w:rPr>
          <w:rFonts w:asciiTheme="minorBidi" w:hAnsiTheme="minorBidi" w:hint="cs"/>
          <w:sz w:val="16"/>
          <w:szCs w:val="16"/>
          <w:rtl/>
        </w:rPr>
        <w:t>'</w:t>
      </w:r>
      <w:r w:rsidRPr="007C720E">
        <w:rPr>
          <w:rFonts w:asciiTheme="minorBidi" w:hAnsiTheme="minorBidi"/>
          <w:sz w:val="16"/>
          <w:szCs w:val="16"/>
          <w:rtl/>
        </w:rPr>
        <w:t xml:space="preserve"> שבועת העדות סי' ב</w:t>
      </w:r>
      <w:r>
        <w:rPr>
          <w:rFonts w:asciiTheme="minorBidi" w:hAnsiTheme="minorBidi" w:hint="cs"/>
          <w:sz w:val="16"/>
          <w:szCs w:val="16"/>
          <w:rtl/>
        </w:rPr>
        <w:t>, הרא"ש העתיק את כל דברי הרמב"ן</w:t>
      </w:r>
      <w:r w:rsidRPr="007C720E">
        <w:rPr>
          <w:rFonts w:asciiTheme="minorBidi" w:hAnsiTheme="minorBidi"/>
          <w:sz w:val="16"/>
          <w:szCs w:val="16"/>
          <w:rtl/>
        </w:rPr>
        <w:t>)</w:t>
      </w:r>
      <w:r>
        <w:rPr>
          <w:rFonts w:asciiTheme="minorBidi" w:hAnsiTheme="minorBidi" w:hint="cs"/>
          <w:rtl/>
        </w:rPr>
        <w:t xml:space="preserve"> ור"ן </w:t>
      </w:r>
      <w:r w:rsidRPr="004F5DDE">
        <w:rPr>
          <w:rFonts w:asciiTheme="minorBidi" w:hAnsiTheme="minorBidi" w:cs="Arial"/>
          <w:sz w:val="16"/>
          <w:szCs w:val="16"/>
          <w:rtl/>
        </w:rPr>
        <w:t>(</w:t>
      </w:r>
      <w:r>
        <w:rPr>
          <w:rFonts w:asciiTheme="minorBidi" w:hAnsiTheme="minorBidi" w:cs="Arial" w:hint="cs"/>
          <w:sz w:val="16"/>
          <w:szCs w:val="16"/>
          <w:rtl/>
        </w:rPr>
        <w:t xml:space="preserve">שבועות </w:t>
      </w:r>
      <w:r w:rsidRPr="004F5DDE">
        <w:rPr>
          <w:rFonts w:asciiTheme="minorBidi" w:hAnsiTheme="minorBidi" w:cs="Arial"/>
          <w:sz w:val="16"/>
          <w:szCs w:val="16"/>
          <w:rtl/>
        </w:rPr>
        <w:t>יג: ד"ה גמ')</w:t>
      </w:r>
      <w:r>
        <w:rPr>
          <w:rFonts w:hint="cs"/>
          <w:rtl/>
        </w:rPr>
        <w:t>.</w:t>
      </w:r>
    </w:p>
  </w:footnote>
  <w:footnote w:id="574">
    <w:p w14:paraId="7935EA01" w14:textId="77777777" w:rsidR="0013116F" w:rsidRDefault="0013116F" w:rsidP="00B66FF4">
      <w:pPr>
        <w:pStyle w:val="a9"/>
      </w:pPr>
      <w:r>
        <w:rPr>
          <w:rStyle w:val="ab"/>
        </w:rPr>
        <w:footnoteRef/>
      </w:r>
      <w:r>
        <w:rPr>
          <w:rtl/>
        </w:rPr>
        <w:t xml:space="preserve"> </w:t>
      </w:r>
      <w:r>
        <w:rPr>
          <w:rFonts w:hint="cs"/>
          <w:rtl/>
        </w:rPr>
        <w:t xml:space="preserve">הרמב"ן כתב על דברי הר"י מיגאש הללו וז"ל- </w:t>
      </w:r>
      <w:r w:rsidRPr="00E71932">
        <w:rPr>
          <w:rFonts w:cs="Arial"/>
          <w:rtl/>
        </w:rPr>
        <w:t>ואין זו ראיה לדין זה מפני שיש לומר דלא קיימא אמסקנא, ועוד דדילמא הכי קאמר אין דרך הנשים לבא לב"ד משום דלאו כבודן הוא כדכתיב כל כבודה בת מלך פנימה, אלא שכבר הורה הרב וקבלה מרבו לפי מה שהעיד הרב ז"ל.</w:t>
      </w:r>
    </w:p>
  </w:footnote>
  <w:footnote w:id="575">
    <w:p w14:paraId="245F2053" w14:textId="77777777" w:rsidR="0013116F" w:rsidRDefault="0013116F">
      <w:pPr>
        <w:pStyle w:val="a9"/>
      </w:pPr>
      <w:r>
        <w:rPr>
          <w:rStyle w:val="ab"/>
        </w:rPr>
        <w:footnoteRef/>
      </w:r>
      <w:r>
        <w:rPr>
          <w:rtl/>
        </w:rPr>
        <w:t xml:space="preserve"> </w:t>
      </w:r>
      <w:r w:rsidRPr="00E71932">
        <w:rPr>
          <w:rFonts w:asciiTheme="minorBidi" w:hAnsiTheme="minorBidi" w:cs="Arial"/>
          <w:color w:val="000000"/>
          <w:rtl/>
        </w:rPr>
        <w:t xml:space="preserve">ודביתהו דרב הונא </w:t>
      </w:r>
      <w:r>
        <w:rPr>
          <w:rFonts w:asciiTheme="minorBidi" w:hAnsiTheme="minorBidi" w:cs="Arial" w:hint="cs"/>
          <w:color w:val="000000"/>
          <w:sz w:val="16"/>
          <w:szCs w:val="16"/>
          <w:rtl/>
        </w:rPr>
        <w:t xml:space="preserve">(שבועות ל:) </w:t>
      </w:r>
      <w:r w:rsidRPr="00E71932">
        <w:rPr>
          <w:rFonts w:asciiTheme="minorBidi" w:hAnsiTheme="minorBidi" w:cs="Arial"/>
          <w:color w:val="000000"/>
          <w:rtl/>
        </w:rPr>
        <w:t>לא רצתה שימנו לה שליח ואילו רצתה הרשות בידה</w:t>
      </w:r>
      <w:r w:rsidRPr="00E71932">
        <w:rPr>
          <w:rFonts w:asciiTheme="minorBidi" w:hAnsiTheme="minorBidi" w:cs="Arial" w:hint="cs"/>
          <w:color w:val="000000"/>
          <w:rtl/>
        </w:rPr>
        <w:t>, רמב"ן.</w:t>
      </w:r>
    </w:p>
  </w:footnote>
  <w:footnote w:id="576">
    <w:p w14:paraId="7067E2A5" w14:textId="77777777" w:rsidR="0013116F" w:rsidRDefault="0013116F">
      <w:pPr>
        <w:pStyle w:val="a9"/>
        <w:rPr>
          <w:rtl/>
        </w:rPr>
      </w:pPr>
      <w:r>
        <w:rPr>
          <w:rStyle w:val="ab"/>
        </w:rPr>
        <w:footnoteRef/>
      </w:r>
      <w:r>
        <w:rPr>
          <w:rtl/>
        </w:rPr>
        <w:t xml:space="preserve"> </w:t>
      </w:r>
      <w:r w:rsidRPr="00DB3DFD">
        <w:rPr>
          <w:rFonts w:asciiTheme="minorBidi" w:hAnsiTheme="minorBidi" w:cs="Arial"/>
          <w:color w:val="000000"/>
          <w:rtl/>
        </w:rPr>
        <w:t>ו</w:t>
      </w:r>
      <w:r>
        <w:rPr>
          <w:rFonts w:asciiTheme="minorBidi" w:hAnsiTheme="minorBidi" w:cs="Arial" w:hint="cs"/>
          <w:color w:val="000000"/>
          <w:rtl/>
        </w:rPr>
        <w:t>ראיה מהירושלמי הנ"ל דאילולי השבועה</w:t>
      </w:r>
      <w:r w:rsidRPr="00DB3DFD">
        <w:rPr>
          <w:rFonts w:asciiTheme="minorBidi" w:hAnsiTheme="minorBidi" w:cs="Arial"/>
          <w:color w:val="000000"/>
          <w:rtl/>
        </w:rPr>
        <w:t xml:space="preserve"> מצי לשוויי שליח</w:t>
      </w:r>
      <w:r>
        <w:rPr>
          <w:rFonts w:hint="cs"/>
          <w:rtl/>
        </w:rPr>
        <w:t>.</w:t>
      </w:r>
    </w:p>
  </w:footnote>
  <w:footnote w:id="577">
    <w:p w14:paraId="5C6ED39E" w14:textId="77777777" w:rsidR="0013116F" w:rsidRDefault="0013116F">
      <w:pPr>
        <w:pStyle w:val="a9"/>
        <w:rPr>
          <w:rtl/>
        </w:rPr>
      </w:pPr>
      <w:r>
        <w:rPr>
          <w:rStyle w:val="ab"/>
        </w:rPr>
        <w:footnoteRef/>
      </w:r>
      <w:r>
        <w:rPr>
          <w:rtl/>
        </w:rPr>
        <w:t xml:space="preserve"> </w:t>
      </w:r>
      <w:r w:rsidRPr="00B66FF4">
        <w:rPr>
          <w:rFonts w:asciiTheme="minorBidi" w:hAnsiTheme="minorBidi" w:cs="Arial"/>
          <w:color w:val="000000"/>
          <w:rtl/>
        </w:rPr>
        <w:t>רב סעדיה גאון</w:t>
      </w:r>
      <w:r w:rsidRPr="00B66FF4">
        <w:rPr>
          <w:rFonts w:asciiTheme="minorBidi" w:hAnsiTheme="minorBidi" w:cs="Arial" w:hint="cs"/>
          <w:color w:val="000000"/>
          <w:rtl/>
        </w:rPr>
        <w:t xml:space="preserve"> </w:t>
      </w:r>
      <w:r w:rsidRPr="00D476E1">
        <w:rPr>
          <w:rFonts w:asciiTheme="minorBidi" w:hAnsiTheme="minorBidi" w:cs="Arial" w:hint="cs"/>
          <w:color w:val="000000"/>
          <w:sz w:val="16"/>
          <w:szCs w:val="16"/>
          <w:rtl/>
        </w:rPr>
        <w:t>(בתשובה, כ"כ הרמב"ן בשמו)</w:t>
      </w:r>
      <w:r w:rsidRPr="00D476E1">
        <w:rPr>
          <w:rFonts w:asciiTheme="minorBidi" w:hAnsiTheme="minorBidi" w:cs="Arial" w:hint="cs"/>
          <w:color w:val="000000"/>
          <w:rtl/>
        </w:rPr>
        <w:t xml:space="preserve"> רי"ף </w:t>
      </w:r>
      <w:r>
        <w:rPr>
          <w:rFonts w:asciiTheme="minorBidi" w:hAnsiTheme="minorBidi" w:cs="Arial" w:hint="cs"/>
          <w:sz w:val="16"/>
          <w:szCs w:val="16"/>
          <w:rtl/>
        </w:rPr>
        <w:t>(בתשו'</w:t>
      </w:r>
      <w:r w:rsidRPr="00DB3DFD">
        <w:rPr>
          <w:rFonts w:asciiTheme="minorBidi" w:hAnsiTheme="minorBidi"/>
          <w:sz w:val="16"/>
          <w:szCs w:val="16"/>
          <w:rtl/>
        </w:rPr>
        <w:t xml:space="preserve"> </w:t>
      </w:r>
      <w:r w:rsidRPr="008A63C7">
        <w:rPr>
          <w:rFonts w:asciiTheme="minorBidi" w:hAnsiTheme="minorBidi"/>
          <w:sz w:val="16"/>
          <w:szCs w:val="16"/>
          <w:rtl/>
        </w:rPr>
        <w:t>מהד' לייטר סי' רמט</w:t>
      </w:r>
      <w:r>
        <w:rPr>
          <w:rFonts w:asciiTheme="minorBidi" w:hAnsiTheme="minorBidi" w:cs="Arial" w:hint="cs"/>
          <w:sz w:val="16"/>
          <w:szCs w:val="16"/>
          <w:rtl/>
        </w:rPr>
        <w:t>, וכ"כ הרמב"ן בשמו)</w:t>
      </w:r>
      <w:r>
        <w:rPr>
          <w:rFonts w:asciiTheme="minorBidi" w:hAnsiTheme="minorBidi" w:cs="Arial" w:hint="cs"/>
          <w:rtl/>
        </w:rPr>
        <w:t xml:space="preserve"> רמב"ם </w:t>
      </w:r>
      <w:r>
        <w:rPr>
          <w:rFonts w:asciiTheme="minorBidi" w:hAnsiTheme="minorBidi" w:cs="Arial" w:hint="cs"/>
          <w:sz w:val="16"/>
          <w:szCs w:val="16"/>
          <w:rtl/>
        </w:rPr>
        <w:t xml:space="preserve">(פכ"א מסנהדרין ה"ח, כן הבין הב"י מדבריו) </w:t>
      </w:r>
      <w:r>
        <w:rPr>
          <w:rFonts w:asciiTheme="minorBidi" w:hAnsiTheme="minorBidi" w:cs="Arial" w:hint="cs"/>
          <w:rtl/>
        </w:rPr>
        <w:t xml:space="preserve">רמ"ה </w:t>
      </w:r>
      <w:r>
        <w:rPr>
          <w:rFonts w:asciiTheme="minorBidi" w:hAnsiTheme="minorBidi" w:cs="Arial" w:hint="cs"/>
          <w:sz w:val="16"/>
          <w:szCs w:val="16"/>
          <w:rtl/>
        </w:rPr>
        <w:t xml:space="preserve">(כ"כ הטור [שם] בשמו) </w:t>
      </w:r>
      <w:r>
        <w:rPr>
          <w:rFonts w:asciiTheme="minorBidi" w:hAnsiTheme="minorBidi" w:cs="Arial" w:hint="cs"/>
          <w:rtl/>
        </w:rPr>
        <w:t xml:space="preserve">רמב"ן </w:t>
      </w:r>
      <w:r>
        <w:rPr>
          <w:rFonts w:asciiTheme="minorBidi" w:hAnsiTheme="minorBidi" w:cs="Arial" w:hint="cs"/>
          <w:sz w:val="16"/>
          <w:szCs w:val="16"/>
          <w:rtl/>
        </w:rPr>
        <w:t>(שבועות ל. ד"ה וחזינא)</w:t>
      </w:r>
      <w:r>
        <w:rPr>
          <w:rFonts w:asciiTheme="minorBidi" w:hAnsiTheme="minorBidi" w:cs="Arial" w:hint="cs"/>
          <w:rtl/>
        </w:rPr>
        <w:t xml:space="preserve"> רא"ש</w:t>
      </w:r>
      <w:r>
        <w:rPr>
          <w:rFonts w:asciiTheme="minorBidi" w:hAnsiTheme="minorBidi" w:cs="Arial" w:hint="cs"/>
          <w:sz w:val="16"/>
          <w:szCs w:val="16"/>
          <w:rtl/>
        </w:rPr>
        <w:t xml:space="preserve"> (שם)</w:t>
      </w:r>
      <w:r>
        <w:rPr>
          <w:rFonts w:asciiTheme="minorBidi" w:hAnsiTheme="minorBidi" w:cs="Arial" w:hint="cs"/>
          <w:rtl/>
        </w:rPr>
        <w:t xml:space="preserve"> וטור</w:t>
      </w:r>
      <w:r>
        <w:rPr>
          <w:rFonts w:asciiTheme="minorBidi" w:hAnsiTheme="minorBidi" w:cs="Arial" w:hint="cs"/>
          <w:sz w:val="16"/>
          <w:szCs w:val="16"/>
          <w:rtl/>
        </w:rPr>
        <w:t xml:space="preserve"> (סי' קכד)</w:t>
      </w:r>
      <w:r>
        <w:rPr>
          <w:rFonts w:hint="cs"/>
          <w:rtl/>
        </w:rPr>
        <w:t>.</w:t>
      </w:r>
    </w:p>
  </w:footnote>
  <w:footnote w:id="578">
    <w:p w14:paraId="22B94205" w14:textId="77777777" w:rsidR="0013116F" w:rsidRDefault="0013116F">
      <w:pPr>
        <w:pStyle w:val="a9"/>
      </w:pPr>
      <w:r>
        <w:rPr>
          <w:rStyle w:val="ab"/>
        </w:rPr>
        <w:footnoteRef/>
      </w:r>
      <w:r>
        <w:rPr>
          <w:rtl/>
        </w:rPr>
        <w:t xml:space="preserve"> </w:t>
      </w:r>
      <w:r>
        <w:rPr>
          <w:rFonts w:hint="cs"/>
          <w:rtl/>
        </w:rPr>
        <w:t xml:space="preserve">ועוד טעם כתב הרשב"א </w:t>
      </w:r>
      <w:r w:rsidRPr="00B66FF4">
        <w:rPr>
          <w:rFonts w:cs="Arial"/>
          <w:rtl/>
        </w:rPr>
        <w:t xml:space="preserve">(ח"ו </w:t>
      </w:r>
      <w:r>
        <w:rPr>
          <w:rFonts w:cs="Arial" w:hint="cs"/>
          <w:rtl/>
        </w:rPr>
        <w:t xml:space="preserve">סי' רי </w:t>
      </w:r>
      <w:r w:rsidRPr="00B66FF4">
        <w:rPr>
          <w:rFonts w:cs="Arial"/>
          <w:rtl/>
        </w:rPr>
        <w:t>ד"ה ולענין התובע)</w:t>
      </w:r>
      <w:r>
        <w:rPr>
          <w:rFonts w:hint="cs"/>
          <w:rtl/>
        </w:rPr>
        <w:t xml:space="preserve"> וז"ל-</w:t>
      </w:r>
      <w:r w:rsidRPr="00B66FF4">
        <w:rPr>
          <w:rFonts w:cs="Arial"/>
          <w:rtl/>
        </w:rPr>
        <w:t xml:space="preserve"> דאם הנתבע ימנה מורשה פעמים שילמדו לשקר שהמורשה יטעון טענת שקרים לפי שאינו בוש מן התובע ונמצא מדת אין אדם מעיז פניו בפני בעל חובו (ב"מ ג.) לוקה</w:t>
      </w:r>
      <w:r>
        <w:rPr>
          <w:rFonts w:cs="Arial" w:hint="cs"/>
          <w:rtl/>
        </w:rPr>
        <w:t>.</w:t>
      </w:r>
      <w:r>
        <w:rPr>
          <w:rFonts w:hint="cs"/>
          <w:rtl/>
        </w:rPr>
        <w:t xml:space="preserve"> עכ"ל. וכתב עוד שם שכך המנהג אצלם </w:t>
      </w:r>
      <w:r w:rsidRPr="00B66FF4">
        <w:rPr>
          <w:rFonts w:cs="Arial"/>
          <w:rtl/>
        </w:rPr>
        <w:t>שאין ממנין אנטלר</w:t>
      </w:r>
      <w:r>
        <w:rPr>
          <w:rFonts w:cs="Arial" w:hint="cs"/>
          <w:rtl/>
        </w:rPr>
        <w:t>.</w:t>
      </w:r>
    </w:p>
  </w:footnote>
  <w:footnote w:id="579">
    <w:p w14:paraId="382689B1" w14:textId="77777777" w:rsidR="0013116F" w:rsidRPr="00B909B8" w:rsidRDefault="0013116F">
      <w:pPr>
        <w:pStyle w:val="a9"/>
        <w:rPr>
          <w:rtl/>
        </w:rPr>
      </w:pPr>
      <w:r w:rsidRPr="00B909B8">
        <w:rPr>
          <w:rStyle w:val="ab"/>
        </w:rPr>
        <w:footnoteRef/>
      </w:r>
      <w:r w:rsidRPr="00B909B8">
        <w:rPr>
          <w:rtl/>
        </w:rPr>
        <w:t xml:space="preserve"> </w:t>
      </w:r>
      <w:r w:rsidRPr="00B909B8">
        <w:rPr>
          <w:rFonts w:asciiTheme="minorBidi" w:hAnsiTheme="minorBidi" w:cs="Arial" w:hint="cs"/>
          <w:color w:val="000000"/>
          <w:rtl/>
        </w:rPr>
        <w:t>הב"י הביא בסוף הסימן דברים אלו (בלי קשר לסעיף זה) ולא כתב שהם מדברי רי"ו</w:t>
      </w:r>
      <w:r w:rsidRPr="00B909B8">
        <w:rPr>
          <w:rFonts w:hint="cs"/>
          <w:rtl/>
        </w:rPr>
        <w:t>.</w:t>
      </w:r>
    </w:p>
  </w:footnote>
  <w:footnote w:id="580">
    <w:p w14:paraId="397D16E7" w14:textId="77777777" w:rsidR="0013116F" w:rsidRDefault="0013116F">
      <w:pPr>
        <w:pStyle w:val="a9"/>
        <w:rPr>
          <w:rtl/>
        </w:rPr>
      </w:pPr>
      <w:r>
        <w:rPr>
          <w:rStyle w:val="ab"/>
        </w:rPr>
        <w:footnoteRef/>
      </w:r>
      <w:r>
        <w:rPr>
          <w:rtl/>
        </w:rPr>
        <w:t xml:space="preserve"> </w:t>
      </w:r>
      <w:r>
        <w:rPr>
          <w:rFonts w:hint="cs"/>
          <w:rtl/>
        </w:rPr>
        <w:t xml:space="preserve">סימן </w:t>
      </w:r>
      <w:r>
        <w:rPr>
          <w:rtl/>
        </w:rPr>
        <w:t>–</w:t>
      </w:r>
      <w:r>
        <w:rPr>
          <w:rFonts w:hint="cs"/>
          <w:rtl/>
        </w:rPr>
        <w:t xml:space="preserve"> פלומבה בזווית הזימון.</w:t>
      </w:r>
    </w:p>
  </w:footnote>
  <w:footnote w:id="581">
    <w:p w14:paraId="0EE48053" w14:textId="77777777" w:rsidR="0013116F" w:rsidRDefault="0013116F" w:rsidP="00D476E1">
      <w:pPr>
        <w:pStyle w:val="a9"/>
        <w:rPr>
          <w:rtl/>
        </w:rPr>
      </w:pPr>
      <w:r>
        <w:rPr>
          <w:rStyle w:val="ab"/>
        </w:rPr>
        <w:footnoteRef/>
      </w:r>
      <w:r>
        <w:rPr>
          <w:rtl/>
        </w:rPr>
        <w:t xml:space="preserve"> </w:t>
      </w:r>
      <w:r w:rsidRPr="001B37F7">
        <w:rPr>
          <w:rFonts w:cs="Arial"/>
          <w:rtl/>
        </w:rPr>
        <w:t>כי חתים מן הצד לא בגיטין ולא בשטרות אלא בדיסקי כשהיה מזמין אנשים לדין לפניו והסופר כותב להם איגרת הזמנה בשמו והוא חותם פעמים מן הצד ואין הקפדה בכך</w:t>
      </w:r>
      <w:r>
        <w:rPr>
          <w:rFonts w:cs="Arial" w:hint="cs"/>
          <w:rtl/>
        </w:rPr>
        <w:t>, רש"י</w:t>
      </w:r>
      <w:r w:rsidRPr="001B37F7">
        <w:rPr>
          <w:rFonts w:cs="Arial"/>
          <w:rtl/>
        </w:rPr>
        <w:t>.</w:t>
      </w:r>
    </w:p>
  </w:footnote>
  <w:footnote w:id="582">
    <w:p w14:paraId="6F1BB2E9" w14:textId="77777777" w:rsidR="0013116F" w:rsidRDefault="0013116F">
      <w:pPr>
        <w:pStyle w:val="a9"/>
        <w:rPr>
          <w:rtl/>
        </w:rPr>
      </w:pPr>
      <w:r>
        <w:rPr>
          <w:rStyle w:val="ab"/>
        </w:rPr>
        <w:footnoteRef/>
      </w:r>
      <w:r>
        <w:rPr>
          <w:rtl/>
        </w:rPr>
        <w:t xml:space="preserve"> </w:t>
      </w:r>
      <w:r>
        <w:rPr>
          <w:rFonts w:hint="cs"/>
          <w:rtl/>
        </w:rPr>
        <w:t xml:space="preserve">סימן </w:t>
      </w:r>
      <w:r>
        <w:rPr>
          <w:rtl/>
        </w:rPr>
        <w:t>–</w:t>
      </w:r>
      <w:r>
        <w:rPr>
          <w:rFonts w:hint="cs"/>
          <w:rtl/>
        </w:rPr>
        <w:t xml:space="preserve"> </w:t>
      </w:r>
      <w:bookmarkStart w:id="87" w:name="_Hlk18492381"/>
      <w:r>
        <w:rPr>
          <w:rFonts w:hint="cs"/>
          <w:rtl/>
        </w:rPr>
        <w:t>ותרן ווכחן</w:t>
      </w:r>
      <w:bookmarkEnd w:id="87"/>
      <w:r>
        <w:rPr>
          <w:rFonts w:hint="cs"/>
          <w:rtl/>
        </w:rPr>
        <w:t>.</w:t>
      </w:r>
    </w:p>
  </w:footnote>
  <w:footnote w:id="583">
    <w:p w14:paraId="14AB8EC8" w14:textId="77777777" w:rsidR="0013116F" w:rsidRDefault="0013116F">
      <w:pPr>
        <w:pStyle w:val="a9"/>
        <w:rPr>
          <w:rtl/>
        </w:rPr>
      </w:pPr>
      <w:r>
        <w:rPr>
          <w:rStyle w:val="ab"/>
        </w:rPr>
        <w:footnoteRef/>
      </w:r>
      <w:r>
        <w:rPr>
          <w:rtl/>
        </w:rPr>
        <w:t xml:space="preserve"> </w:t>
      </w:r>
      <w:r w:rsidRPr="003C4A20">
        <w:rPr>
          <w:rFonts w:cs="Arial"/>
          <w:rtl/>
        </w:rPr>
        <w:t>בעל מריבה מטריח דיינים</w:t>
      </w:r>
      <w:r>
        <w:rPr>
          <w:rFonts w:hint="cs"/>
          <w:rtl/>
        </w:rPr>
        <w:t>, רש"י.</w:t>
      </w:r>
    </w:p>
  </w:footnote>
  <w:footnote w:id="584">
    <w:p w14:paraId="14914522" w14:textId="77777777" w:rsidR="0013116F" w:rsidRDefault="0013116F">
      <w:pPr>
        <w:pStyle w:val="a9"/>
      </w:pPr>
      <w:r>
        <w:rPr>
          <w:rStyle w:val="ab"/>
        </w:rPr>
        <w:footnoteRef/>
      </w:r>
      <w:r>
        <w:rPr>
          <w:rtl/>
        </w:rPr>
        <w:t xml:space="preserve"> </w:t>
      </w:r>
      <w:r w:rsidRPr="003C4A20">
        <w:rPr>
          <w:rFonts w:cs="Arial"/>
          <w:rtl/>
        </w:rPr>
        <w:t>רודף את הדיין להפך הדין</w:t>
      </w:r>
      <w:r>
        <w:rPr>
          <w:rFonts w:hint="cs"/>
          <w:rtl/>
        </w:rPr>
        <w:t>, רש"י.</w:t>
      </w:r>
      <w:r w:rsidRPr="006E732B">
        <w:rPr>
          <w:rFonts w:cs="Arial"/>
          <w:rtl/>
        </w:rPr>
        <w:t xml:space="preserve"> </w:t>
      </w:r>
      <w:r w:rsidRPr="003C4A20">
        <w:rPr>
          <w:rFonts w:cs="Arial"/>
          <w:rtl/>
        </w:rPr>
        <w:t>ו</w:t>
      </w:r>
      <w:r>
        <w:rPr>
          <w:rFonts w:cs="Arial" w:hint="cs"/>
          <w:rtl/>
        </w:rPr>
        <w:t>ה</w:t>
      </w:r>
      <w:r w:rsidRPr="003C4A20">
        <w:rPr>
          <w:rFonts w:cs="Arial"/>
          <w:rtl/>
        </w:rPr>
        <w:t>תוס</w:t>
      </w:r>
      <w:r>
        <w:rPr>
          <w:rFonts w:cs="Arial" w:hint="cs"/>
          <w:rtl/>
        </w:rPr>
        <w:t>'</w:t>
      </w:r>
      <w:r w:rsidRPr="003C4A20">
        <w:rPr>
          <w:rFonts w:cs="Arial"/>
          <w:rtl/>
        </w:rPr>
        <w:t xml:space="preserve"> </w:t>
      </w:r>
      <w:r w:rsidRPr="006E732B">
        <w:rPr>
          <w:rFonts w:cs="Arial"/>
          <w:sz w:val="16"/>
          <w:szCs w:val="16"/>
          <w:rtl/>
        </w:rPr>
        <w:t xml:space="preserve">(ד"ה ונמצא) </w:t>
      </w:r>
      <w:r w:rsidRPr="003C4A20">
        <w:rPr>
          <w:rFonts w:cs="Arial"/>
          <w:rtl/>
        </w:rPr>
        <w:t xml:space="preserve">כתבו ונמצא חזק רודפו פירוש </w:t>
      </w:r>
      <w:r>
        <w:rPr>
          <w:rFonts w:cs="Arial" w:hint="cs"/>
          <w:rtl/>
        </w:rPr>
        <w:t xml:space="preserve">- </w:t>
      </w:r>
      <w:r w:rsidRPr="003C4A20">
        <w:rPr>
          <w:rFonts w:cs="Arial"/>
          <w:rtl/>
        </w:rPr>
        <w:t>לדיין</w:t>
      </w:r>
      <w:r>
        <w:rPr>
          <w:rFonts w:cs="Arial" w:hint="cs"/>
          <w:rtl/>
        </w:rPr>
        <w:t>,</w:t>
      </w:r>
      <w:r w:rsidRPr="003C4A20">
        <w:rPr>
          <w:rFonts w:cs="Arial"/>
          <w:rtl/>
        </w:rPr>
        <w:t xml:space="preserve"> והא דנקט אחד רך שאם היו שניהם חזקים השני היה מסייעו.</w:t>
      </w:r>
    </w:p>
  </w:footnote>
  <w:footnote w:id="585">
    <w:p w14:paraId="2415DEDA" w14:textId="77777777" w:rsidR="0013116F" w:rsidRDefault="0013116F" w:rsidP="00B45B34">
      <w:pPr>
        <w:pStyle w:val="a9"/>
        <w:rPr>
          <w:rtl/>
        </w:rPr>
      </w:pPr>
      <w:r>
        <w:rPr>
          <w:rStyle w:val="ab"/>
        </w:rPr>
        <w:footnoteRef/>
      </w:r>
      <w:r w:rsidRPr="003C4A20">
        <w:rPr>
          <w:rFonts w:cs="Arial"/>
          <w:rtl/>
        </w:rPr>
        <w:t xml:space="preserve"> </w:t>
      </w:r>
      <w:r>
        <w:rPr>
          <w:rFonts w:cs="Arial" w:hint="cs"/>
          <w:rtl/>
        </w:rPr>
        <w:t>וכתב הב"י</w:t>
      </w:r>
      <w:r w:rsidRPr="00DD46C0">
        <w:rPr>
          <w:rFonts w:cs="Arial"/>
          <w:rtl/>
        </w:rPr>
        <w:t xml:space="preserve"> </w:t>
      </w:r>
      <w:r>
        <w:rPr>
          <w:rFonts w:cs="Arial" w:hint="cs"/>
          <w:rtl/>
        </w:rPr>
        <w:t>שמדבריו אלו נראה ד</w:t>
      </w:r>
      <w:r w:rsidRPr="00B45B34">
        <w:rPr>
          <w:rFonts w:cs="Arial"/>
          <w:rtl/>
        </w:rPr>
        <w:t>שלשה שישבו לדין ואחד מהם רוצה להסתלק אינו רשאי אלא קודם שידע להיכן הדין נוטה</w:t>
      </w:r>
      <w:r>
        <w:rPr>
          <w:rFonts w:cs="Arial" w:hint="cs"/>
          <w:rtl/>
        </w:rPr>
        <w:t xml:space="preserve">. עכ"ל. וכתב הדרכ"מ (אות ב) וז"ל- </w:t>
      </w:r>
      <w:r w:rsidRPr="003C4A20">
        <w:rPr>
          <w:rFonts w:cs="Arial"/>
          <w:rtl/>
        </w:rPr>
        <w:t>ולא מצאתי שם כי הג</w:t>
      </w:r>
      <w:r>
        <w:rPr>
          <w:rFonts w:cs="Arial" w:hint="cs"/>
          <w:rtl/>
        </w:rPr>
        <w:t>"</w:t>
      </w:r>
      <w:r w:rsidRPr="003C4A20">
        <w:rPr>
          <w:rFonts w:cs="Arial"/>
          <w:rtl/>
        </w:rPr>
        <w:t>א כ</w:t>
      </w:r>
      <w:r>
        <w:rPr>
          <w:rFonts w:cs="Arial" w:hint="cs"/>
          <w:rtl/>
        </w:rPr>
        <w:t>'</w:t>
      </w:r>
      <w:r w:rsidRPr="003C4A20">
        <w:rPr>
          <w:rFonts w:cs="Arial"/>
          <w:rtl/>
        </w:rPr>
        <w:t xml:space="preserve"> שם שאם סילק עצמו קודם לכן אין השנים יכולין לגמור הדין הואיל והתחילו לדון בשלשה</w:t>
      </w:r>
      <w:r>
        <w:rPr>
          <w:rFonts w:cs="Arial" w:hint="cs"/>
          <w:rtl/>
        </w:rPr>
        <w:t>,</w:t>
      </w:r>
      <w:r w:rsidRPr="003C4A20">
        <w:rPr>
          <w:rFonts w:cs="Arial"/>
          <w:rtl/>
        </w:rPr>
        <w:t xml:space="preserve"> וזה דוקא קאמר </w:t>
      </w:r>
      <w:r>
        <w:rPr>
          <w:rFonts w:cs="Arial" w:hint="cs"/>
          <w:rtl/>
        </w:rPr>
        <w:t>'</w:t>
      </w:r>
      <w:r w:rsidRPr="003C4A20">
        <w:rPr>
          <w:rFonts w:cs="Arial"/>
          <w:rtl/>
        </w:rPr>
        <w:t>קודם שידע להיכן הדין נוטה</w:t>
      </w:r>
      <w:r>
        <w:rPr>
          <w:rFonts w:cs="Arial" w:hint="cs"/>
          <w:rtl/>
        </w:rPr>
        <w:t>',</w:t>
      </w:r>
      <w:r w:rsidRPr="003C4A20">
        <w:rPr>
          <w:rFonts w:cs="Arial"/>
          <w:rtl/>
        </w:rPr>
        <w:t xml:space="preserve"> דאם ידעו תחילה להיכן הדין נוטה אפשר דמותר לגמור אח</w:t>
      </w:r>
      <w:r>
        <w:rPr>
          <w:rFonts w:cs="Arial" w:hint="cs"/>
          <w:rtl/>
        </w:rPr>
        <w:t>"</w:t>
      </w:r>
      <w:r w:rsidRPr="003C4A20">
        <w:rPr>
          <w:rFonts w:cs="Arial"/>
          <w:rtl/>
        </w:rPr>
        <w:t>כ בשנים</w:t>
      </w:r>
      <w:r>
        <w:rPr>
          <w:rFonts w:cs="Arial" w:hint="cs"/>
          <w:rtl/>
        </w:rPr>
        <w:t>,</w:t>
      </w:r>
      <w:r w:rsidRPr="003C4A20">
        <w:rPr>
          <w:rFonts w:cs="Arial"/>
          <w:rtl/>
        </w:rPr>
        <w:t xml:space="preserve"> אבל לענין סילוק אימא לעולם דאף אח</w:t>
      </w:r>
      <w:r>
        <w:rPr>
          <w:rFonts w:cs="Arial" w:hint="cs"/>
          <w:rtl/>
        </w:rPr>
        <w:t>"</w:t>
      </w:r>
      <w:r w:rsidRPr="003C4A20">
        <w:rPr>
          <w:rFonts w:cs="Arial"/>
          <w:rtl/>
        </w:rPr>
        <w:t>כ יכול לסלק את עצמו</w:t>
      </w:r>
      <w:r>
        <w:rPr>
          <w:rFonts w:cs="Arial" w:hint="cs"/>
          <w:rtl/>
        </w:rPr>
        <w:t>.</w:t>
      </w:r>
    </w:p>
  </w:footnote>
  <w:footnote w:id="586">
    <w:p w14:paraId="76131F31" w14:textId="77777777" w:rsidR="0013116F" w:rsidRDefault="0013116F">
      <w:pPr>
        <w:pStyle w:val="a9"/>
      </w:pPr>
      <w:r>
        <w:rPr>
          <w:rStyle w:val="ab"/>
        </w:rPr>
        <w:footnoteRef/>
      </w:r>
      <w:r>
        <w:rPr>
          <w:rtl/>
        </w:rPr>
        <w:t xml:space="preserve"> </w:t>
      </w:r>
      <w:r w:rsidRPr="003C4A20">
        <w:rPr>
          <w:rFonts w:cs="Arial"/>
          <w:rtl/>
        </w:rPr>
        <w:t>ו</w:t>
      </w:r>
      <w:r>
        <w:rPr>
          <w:rFonts w:cs="Arial" w:hint="cs"/>
          <w:rtl/>
        </w:rPr>
        <w:t>כ' הב"י ד</w:t>
      </w:r>
      <w:r w:rsidRPr="003C4A20">
        <w:rPr>
          <w:rFonts w:cs="Arial"/>
          <w:rtl/>
        </w:rPr>
        <w:t>כן נראה מדברי התוספות (</w:t>
      </w:r>
      <w:r>
        <w:rPr>
          <w:rFonts w:cs="Arial" w:hint="cs"/>
          <w:rtl/>
        </w:rPr>
        <w:t>שם ד"ה ונמצא</w:t>
      </w:r>
      <w:r w:rsidRPr="003C4A20">
        <w:rPr>
          <w:rFonts w:cs="Arial"/>
          <w:rtl/>
        </w:rPr>
        <w:t>)</w:t>
      </w:r>
      <w:r>
        <w:rPr>
          <w:rFonts w:cs="Arial" w:hint="cs"/>
          <w:rtl/>
        </w:rPr>
        <w:t>.</w:t>
      </w:r>
    </w:p>
  </w:footnote>
  <w:footnote w:id="587">
    <w:p w14:paraId="56A09E60" w14:textId="77777777" w:rsidR="0013116F" w:rsidRDefault="0013116F">
      <w:pPr>
        <w:pStyle w:val="a9"/>
        <w:rPr>
          <w:rtl/>
        </w:rPr>
      </w:pPr>
      <w:r>
        <w:rPr>
          <w:rStyle w:val="ab"/>
        </w:rPr>
        <w:footnoteRef/>
      </w:r>
      <w:r>
        <w:rPr>
          <w:rtl/>
        </w:rPr>
        <w:t xml:space="preserve"> </w:t>
      </w:r>
      <w:r w:rsidRPr="003C4A20">
        <w:rPr>
          <w:rFonts w:cs="Arial"/>
          <w:rtl/>
        </w:rPr>
        <w:t>ו</w:t>
      </w:r>
      <w:r>
        <w:rPr>
          <w:rFonts w:cs="Arial" w:hint="cs"/>
          <w:rtl/>
        </w:rPr>
        <w:t>כ' הב"י ד</w:t>
      </w:r>
      <w:r w:rsidRPr="003C4A20">
        <w:rPr>
          <w:rFonts w:cs="Arial"/>
          <w:rtl/>
        </w:rPr>
        <w:t>נראה שטעמו מפני שהיו בית דין ממונה לרבים</w:t>
      </w:r>
      <w:r>
        <w:rPr>
          <w:rFonts w:cs="Arial" w:hint="cs"/>
          <w:rtl/>
        </w:rPr>
        <w:t>,</w:t>
      </w:r>
      <w:r w:rsidRPr="003C4A20">
        <w:rPr>
          <w:rFonts w:cs="Arial"/>
          <w:rtl/>
        </w:rPr>
        <w:t xml:space="preserve"> וכל שהוא כן חייב להזקק אפילו לבעל דין קשה</w:t>
      </w:r>
      <w:r>
        <w:rPr>
          <w:rFonts w:cs="Arial" w:hint="cs"/>
          <w:rtl/>
        </w:rPr>
        <w:t>,</w:t>
      </w:r>
      <w:r w:rsidRPr="003C4A20">
        <w:rPr>
          <w:rFonts w:cs="Arial"/>
          <w:rtl/>
        </w:rPr>
        <w:t xml:space="preserve"> וכדברי הרמב"ם ז"ל</w:t>
      </w:r>
      <w:r>
        <w:rPr>
          <w:rFonts w:hint="cs"/>
          <w:rtl/>
        </w:rPr>
        <w:t>.</w:t>
      </w:r>
    </w:p>
  </w:footnote>
  <w:footnote w:id="588">
    <w:p w14:paraId="6AE8A137" w14:textId="77777777" w:rsidR="0013116F" w:rsidRDefault="0013116F">
      <w:pPr>
        <w:pStyle w:val="a9"/>
      </w:pPr>
      <w:r>
        <w:rPr>
          <w:rStyle w:val="ab"/>
        </w:rPr>
        <w:footnoteRef/>
      </w:r>
      <w:r>
        <w:rPr>
          <w:rtl/>
        </w:rPr>
        <w:t xml:space="preserve"> </w:t>
      </w:r>
      <w:r w:rsidRPr="00494C12">
        <w:rPr>
          <w:rFonts w:cs="Arial"/>
          <w:rtl/>
        </w:rPr>
        <w:t xml:space="preserve">דאם ירדפנו אחד, השני יעמוד בעזרו, כ"כ התוספות, עכ"ל סמ"ע [סק"ד]. </w:t>
      </w:r>
      <w:r w:rsidRPr="0024604B">
        <w:rPr>
          <w:rFonts w:cs="Arial"/>
          <w:sz w:val="16"/>
          <w:szCs w:val="16"/>
          <w:rtl/>
        </w:rPr>
        <w:t>[הגה, היינו דלא כפרש"י [סנהדרין ו</w:t>
      </w:r>
      <w:r>
        <w:rPr>
          <w:rFonts w:cs="Arial" w:hint="cs"/>
          <w:sz w:val="16"/>
          <w:szCs w:val="16"/>
          <w:rtl/>
        </w:rPr>
        <w:t>:</w:t>
      </w:r>
      <w:r w:rsidRPr="0024604B">
        <w:rPr>
          <w:rFonts w:cs="Arial"/>
          <w:sz w:val="16"/>
          <w:szCs w:val="16"/>
          <w:rtl/>
        </w:rPr>
        <w:t xml:space="preserve"> ד"ה ה"ג שמא] שירדפו להפך הדין, ופירוש קשה, היינו בעל מריבה ומטריח הדיינים]</w:t>
      </w:r>
      <w:r w:rsidRPr="00494C12">
        <w:rPr>
          <w:rFonts w:cs="Arial"/>
          <w:rtl/>
        </w:rPr>
        <w:t>. ועיין ב"ח [סע</w:t>
      </w:r>
      <w:r>
        <w:rPr>
          <w:rFonts w:cs="Arial" w:hint="cs"/>
          <w:rtl/>
        </w:rPr>
        <w:t>'</w:t>
      </w:r>
      <w:r w:rsidRPr="00494C12">
        <w:rPr>
          <w:rFonts w:cs="Arial"/>
          <w:rtl/>
        </w:rPr>
        <w:t xml:space="preserve"> א], </w:t>
      </w:r>
      <w:r w:rsidRPr="0024604B">
        <w:rPr>
          <w:rFonts w:cs="Arial"/>
          <w:sz w:val="16"/>
          <w:szCs w:val="16"/>
          <w:rtl/>
        </w:rPr>
        <w:t>[הגה, שהשיג על מור"ם וכתב דהג</w:t>
      </w:r>
      <w:r>
        <w:rPr>
          <w:rFonts w:cs="Arial" w:hint="cs"/>
          <w:sz w:val="16"/>
          <w:szCs w:val="16"/>
          <w:rtl/>
        </w:rPr>
        <w:t>"</w:t>
      </w:r>
      <w:r w:rsidRPr="0024604B">
        <w:rPr>
          <w:rFonts w:cs="Arial"/>
          <w:sz w:val="16"/>
          <w:szCs w:val="16"/>
          <w:rtl/>
        </w:rPr>
        <w:t>א [שם פ"א סי' ה] כתב כן לפי פירוש רש"י, אבל לפירוש התוס' אפילו שניהם חזקים אינו צריך ליזקק להם משום סכנת הדיין</w:t>
      </w:r>
      <w:r>
        <w:rPr>
          <w:rFonts w:cs="Arial" w:hint="cs"/>
          <w:sz w:val="16"/>
          <w:szCs w:val="16"/>
          <w:rtl/>
        </w:rPr>
        <w:t>...</w:t>
      </w:r>
      <w:r w:rsidRPr="0024604B">
        <w:rPr>
          <w:rFonts w:cs="Arial"/>
          <w:sz w:val="16"/>
          <w:szCs w:val="16"/>
          <w:rtl/>
        </w:rPr>
        <w:t>]</w:t>
      </w:r>
      <w:r>
        <w:rPr>
          <w:rFonts w:cs="Arial" w:hint="cs"/>
          <w:rtl/>
        </w:rPr>
        <w:t>, ש"ך (סק"ב).</w:t>
      </w:r>
    </w:p>
  </w:footnote>
  <w:footnote w:id="589">
    <w:p w14:paraId="797D9ABC" w14:textId="77777777" w:rsidR="0013116F" w:rsidRDefault="0013116F">
      <w:pPr>
        <w:pStyle w:val="a9"/>
      </w:pPr>
      <w:r>
        <w:rPr>
          <w:rStyle w:val="ab"/>
        </w:rPr>
        <w:footnoteRef/>
      </w:r>
      <w:r>
        <w:rPr>
          <w:rtl/>
        </w:rPr>
        <w:t xml:space="preserve"> </w:t>
      </w:r>
      <w:r w:rsidRPr="00494C12">
        <w:rPr>
          <w:rFonts w:cs="Arial"/>
          <w:rtl/>
        </w:rPr>
        <w:t>פירוש, מ"מ אפילו שניהם הם חזקים, נוהגין עכשיו כו', דהחשד שמא ימסרנו למלכות לא ימלט על הרוב מהוצאות ממון או סכנות אף שהשני חזק, וכן נ"ל מסידור דברי מור"ם בהגהות הללו, אבל בד</w:t>
      </w:r>
      <w:r>
        <w:rPr>
          <w:rFonts w:cs="Arial" w:hint="cs"/>
          <w:rtl/>
        </w:rPr>
        <w:t>רכ</w:t>
      </w:r>
      <w:r w:rsidRPr="00494C12">
        <w:rPr>
          <w:rFonts w:cs="Arial"/>
          <w:rtl/>
        </w:rPr>
        <w:t>"מ [סע</w:t>
      </w:r>
      <w:r>
        <w:rPr>
          <w:rFonts w:cs="Arial" w:hint="cs"/>
          <w:rtl/>
        </w:rPr>
        <w:t>'</w:t>
      </w:r>
      <w:r w:rsidRPr="00494C12">
        <w:rPr>
          <w:rFonts w:cs="Arial"/>
          <w:rtl/>
        </w:rPr>
        <w:t xml:space="preserve"> א] כתב תחילה שלא למחות בעוברי עבירה, ואח"כ כתב דאם שניהם חזקים</w:t>
      </w:r>
      <w:r>
        <w:rPr>
          <w:rFonts w:cs="Arial" w:hint="cs"/>
          <w:rtl/>
        </w:rPr>
        <w:t>, סמ"ע (סק"ה).</w:t>
      </w:r>
    </w:p>
  </w:footnote>
  <w:footnote w:id="590">
    <w:p w14:paraId="62A623E4" w14:textId="77777777" w:rsidR="0013116F" w:rsidRDefault="0013116F">
      <w:pPr>
        <w:pStyle w:val="a9"/>
      </w:pPr>
      <w:r>
        <w:rPr>
          <w:rStyle w:val="ab"/>
        </w:rPr>
        <w:footnoteRef/>
      </w:r>
      <w:r>
        <w:rPr>
          <w:rtl/>
        </w:rPr>
        <w:t xml:space="preserve"> </w:t>
      </w:r>
      <w:r>
        <w:rPr>
          <w:rFonts w:hint="cs"/>
          <w:rtl/>
        </w:rPr>
        <w:t xml:space="preserve">סימן </w:t>
      </w:r>
      <w:r>
        <w:rPr>
          <w:rtl/>
        </w:rPr>
        <w:t>–</w:t>
      </w:r>
      <w:r>
        <w:rPr>
          <w:rFonts w:hint="cs"/>
          <w:rtl/>
        </w:rPr>
        <w:t xml:space="preserve"> ויתור.</w:t>
      </w:r>
    </w:p>
  </w:footnote>
  <w:footnote w:id="591">
    <w:p w14:paraId="1ABBDCF0" w14:textId="77777777" w:rsidR="0013116F" w:rsidRDefault="0013116F">
      <w:pPr>
        <w:pStyle w:val="a9"/>
      </w:pPr>
      <w:r>
        <w:rPr>
          <w:rStyle w:val="ab"/>
        </w:rPr>
        <w:footnoteRef/>
      </w:r>
      <w:r>
        <w:rPr>
          <w:rtl/>
        </w:rPr>
        <w:t xml:space="preserve"> </w:t>
      </w:r>
      <w:r>
        <w:rPr>
          <w:rFonts w:cs="Arial" w:hint="cs"/>
          <w:rtl/>
        </w:rPr>
        <w:t>כתבו ה</w:t>
      </w:r>
      <w:r w:rsidRPr="00F83D1C">
        <w:rPr>
          <w:rFonts w:cs="Arial"/>
          <w:rtl/>
        </w:rPr>
        <w:t>תוס</w:t>
      </w:r>
      <w:r w:rsidRPr="00F83D1C">
        <w:rPr>
          <w:rFonts w:cs="Arial" w:hint="cs"/>
          <w:rtl/>
        </w:rPr>
        <w:t>'</w:t>
      </w:r>
      <w:r w:rsidRPr="00F83D1C">
        <w:rPr>
          <w:rFonts w:cs="Arial"/>
          <w:rtl/>
        </w:rPr>
        <w:t xml:space="preserve"> </w:t>
      </w:r>
      <w:r w:rsidRPr="00F83D1C">
        <w:rPr>
          <w:rFonts w:cs="Arial"/>
          <w:sz w:val="16"/>
          <w:szCs w:val="16"/>
          <w:rtl/>
        </w:rPr>
        <w:t>(ד"ה נגמר)</w:t>
      </w:r>
      <w:r w:rsidRPr="00F83D1C">
        <w:rPr>
          <w:rFonts w:cs="Arial" w:hint="cs"/>
          <w:rtl/>
        </w:rPr>
        <w:t>-</w:t>
      </w:r>
      <w:r w:rsidRPr="00F83D1C">
        <w:rPr>
          <w:rFonts w:cs="Arial"/>
          <w:rtl/>
        </w:rPr>
        <w:t xml:space="preserve"> כגון שכבר דקדקו בדין היטיב וכמו גמרו את הדין דלא מחסר אלא איש פלוני אתה חייב דכיון דנתברר כל כך אין להטעותו לעשות פשרה שאלמלא היה יודע שנתברר דינו לזכות לא היה מתרצה בפשרה בשום ענין. ופירש בקונטרס שכבר אמרו איש פלוני אתה חייב איש פלוני אתה זכאי</w:t>
      </w:r>
      <w:r>
        <w:rPr>
          <w:rFonts w:cs="Arial" w:hint="cs"/>
          <w:rtl/>
        </w:rPr>
        <w:t>.</w:t>
      </w:r>
      <w:r w:rsidRPr="00F83D1C">
        <w:rPr>
          <w:rFonts w:cs="Arial"/>
          <w:rtl/>
        </w:rPr>
        <w:t xml:space="preserve"> ולשון התלמוד מוכח כן בודאי</w:t>
      </w:r>
      <w:r>
        <w:rPr>
          <w:rFonts w:cs="Arial" w:hint="cs"/>
          <w:rtl/>
        </w:rPr>
        <w:t>,</w:t>
      </w:r>
      <w:r w:rsidRPr="00F83D1C">
        <w:rPr>
          <w:rFonts w:cs="Arial"/>
          <w:rtl/>
        </w:rPr>
        <w:t xml:space="preserve"> אבל קשה מאי ביצוע שייך השתא אחר שנפסק הדין לגמרי. וי"ל בדוחק שלא יטעו אותו לומר לו יראים אנו שמא טעינו בדין.</w:t>
      </w:r>
      <w:r>
        <w:rPr>
          <w:rFonts w:hint="cs"/>
          <w:rtl/>
        </w:rPr>
        <w:t xml:space="preserve"> עכ"ל התוס'</w:t>
      </w:r>
      <w:r w:rsidRPr="00506DC9">
        <w:rPr>
          <w:rFonts w:hint="cs"/>
          <w:sz w:val="16"/>
          <w:szCs w:val="16"/>
          <w:rtl/>
        </w:rPr>
        <w:t xml:space="preserve"> (והב"ח כתב דנכון להחמיר לעניין ביצוע כדברי התוס'. וגם הברכ"י (אות ו) כתב-</w:t>
      </w:r>
      <w:r w:rsidRPr="00506DC9">
        <w:rPr>
          <w:sz w:val="16"/>
          <w:szCs w:val="16"/>
          <w:rtl/>
        </w:rPr>
        <w:t xml:space="preserve"> </w:t>
      </w:r>
      <w:r w:rsidRPr="00506DC9">
        <w:rPr>
          <w:rFonts w:cs="Arial"/>
          <w:sz w:val="16"/>
          <w:szCs w:val="16"/>
          <w:rtl/>
        </w:rPr>
        <w:t>ואנן בעניותין מסתברא לן כהרב בית חדש, שהרי ר"י ורשב"א ואור זרוע והאגודה ורבינו יונה והר"ן והגהות מיימוניות, שבעה רועים, כלהו סברי דכל שהדין ברור להם כי אין מחסור אלא לומר איש פלוני וכו' אסור לבצוע, ונכון להחמיר כמ"ש הרב ב"ח</w:t>
      </w:r>
      <w:r>
        <w:rPr>
          <w:rFonts w:cs="Arial" w:hint="cs"/>
          <w:sz w:val="16"/>
          <w:szCs w:val="16"/>
          <w:rtl/>
        </w:rPr>
        <w:t>)</w:t>
      </w:r>
      <w:r>
        <w:rPr>
          <w:rFonts w:hint="cs"/>
          <w:rtl/>
        </w:rPr>
        <w:t xml:space="preserve">. וכ' הב"י </w:t>
      </w:r>
      <w:r>
        <w:rPr>
          <w:rFonts w:cs="Arial" w:hint="cs"/>
          <w:rtl/>
        </w:rPr>
        <w:t>דמדברי הרמב"ם</w:t>
      </w:r>
      <w:r>
        <w:rPr>
          <w:rFonts w:cs="Arial"/>
          <w:rtl/>
        </w:rPr>
        <w:t xml:space="preserve"> מבואר כדברי רש"י וכך הם דברי רבינו</w:t>
      </w:r>
      <w:r>
        <w:rPr>
          <w:rFonts w:cs="Arial" w:hint="cs"/>
          <w:rtl/>
        </w:rPr>
        <w:t xml:space="preserve"> </w:t>
      </w:r>
      <w:r>
        <w:rPr>
          <w:rFonts w:cs="Arial" w:hint="cs"/>
          <w:sz w:val="16"/>
          <w:szCs w:val="16"/>
          <w:rtl/>
        </w:rPr>
        <w:t>{הטור}</w:t>
      </w:r>
      <w:r>
        <w:rPr>
          <w:rFonts w:cs="Arial"/>
          <w:rtl/>
        </w:rPr>
        <w:t xml:space="preserve"> ועיקר</w:t>
      </w:r>
      <w:r>
        <w:rPr>
          <w:rFonts w:hint="cs"/>
          <w:rtl/>
        </w:rPr>
        <w:t>.</w:t>
      </w:r>
      <w:r w:rsidRPr="00607AD1">
        <w:rPr>
          <w:rFonts w:cs="Arial" w:hint="cs"/>
          <w:color w:val="E36C0A" w:themeColor="accent6" w:themeShade="BF"/>
          <w:rtl/>
        </w:rPr>
        <w:t xml:space="preserve"> </w:t>
      </w:r>
      <w:r w:rsidRPr="00304F63">
        <w:rPr>
          <w:rFonts w:cs="Arial" w:hint="cs"/>
          <w:color w:val="E36C0A" w:themeColor="accent6" w:themeShade="BF"/>
          <w:rtl/>
        </w:rPr>
        <w:t>(וכ"פ בשו"ע)</w:t>
      </w:r>
      <w:r w:rsidRPr="00506DC9">
        <w:rPr>
          <w:rFonts w:cs="Arial"/>
          <w:rtl/>
        </w:rPr>
        <w:t>.</w:t>
      </w:r>
      <w:r>
        <w:rPr>
          <w:rFonts w:hint="cs"/>
          <w:rtl/>
        </w:rPr>
        <w:t xml:space="preserve"> </w:t>
      </w:r>
      <w:r w:rsidRPr="00386E77">
        <w:rPr>
          <w:rFonts w:hint="cs"/>
          <w:sz w:val="16"/>
          <w:szCs w:val="16"/>
          <w:rtl/>
        </w:rPr>
        <w:t>(</w:t>
      </w:r>
      <w:r>
        <w:rPr>
          <w:rFonts w:hint="cs"/>
          <w:sz w:val="16"/>
          <w:szCs w:val="16"/>
          <w:rtl/>
        </w:rPr>
        <w:t>ויש להוסיף ד</w:t>
      </w:r>
      <w:r w:rsidRPr="00386E77">
        <w:rPr>
          <w:rFonts w:hint="cs"/>
          <w:sz w:val="16"/>
          <w:szCs w:val="16"/>
          <w:rtl/>
        </w:rPr>
        <w:t xml:space="preserve">הש"ך [סק"ה] </w:t>
      </w:r>
      <w:r>
        <w:rPr>
          <w:rFonts w:hint="cs"/>
          <w:sz w:val="16"/>
          <w:szCs w:val="16"/>
          <w:rtl/>
        </w:rPr>
        <w:t>הבין ב</w:t>
      </w:r>
      <w:r w:rsidRPr="00386E77">
        <w:rPr>
          <w:rFonts w:hint="cs"/>
          <w:sz w:val="16"/>
          <w:szCs w:val="16"/>
          <w:rtl/>
        </w:rPr>
        <w:t xml:space="preserve">דעת הסמ"ג שלא מיקרי גמר דין אלא אם אמרו צא תן לו, אבל קודם לכן לא, אפילו אמרו איש פלוני חייב ואיש פלוני זכאי. אך התומים </w:t>
      </w:r>
      <w:r>
        <w:rPr>
          <w:rFonts w:hint="cs"/>
          <w:sz w:val="16"/>
          <w:szCs w:val="16"/>
          <w:rtl/>
        </w:rPr>
        <w:t>[</w:t>
      </w:r>
      <w:r w:rsidRPr="00386E77">
        <w:rPr>
          <w:rFonts w:hint="cs"/>
          <w:sz w:val="16"/>
          <w:szCs w:val="16"/>
          <w:rtl/>
        </w:rPr>
        <w:t>סק"ג</w:t>
      </w:r>
      <w:r>
        <w:rPr>
          <w:rFonts w:hint="cs"/>
          <w:sz w:val="16"/>
          <w:szCs w:val="16"/>
          <w:rtl/>
        </w:rPr>
        <w:t>]</w:t>
      </w:r>
      <w:r w:rsidRPr="00386E77">
        <w:rPr>
          <w:rFonts w:hint="cs"/>
          <w:sz w:val="16"/>
          <w:szCs w:val="16"/>
          <w:rtl/>
        </w:rPr>
        <w:t xml:space="preserve"> חלק על הש"ך וכתב שאין להבין כן מדבריו, ע"ש)</w:t>
      </w:r>
    </w:p>
  </w:footnote>
  <w:footnote w:id="592">
    <w:p w14:paraId="3417A760" w14:textId="77777777" w:rsidR="0013116F" w:rsidRDefault="0013116F">
      <w:pPr>
        <w:pStyle w:val="a9"/>
        <w:rPr>
          <w:rtl/>
        </w:rPr>
      </w:pPr>
      <w:r>
        <w:rPr>
          <w:rStyle w:val="ab"/>
        </w:rPr>
        <w:footnoteRef/>
      </w:r>
      <w:r>
        <w:rPr>
          <w:rtl/>
        </w:rPr>
        <w:t xml:space="preserve"> </w:t>
      </w:r>
      <w:r w:rsidRPr="0024604B">
        <w:rPr>
          <w:rFonts w:cs="Arial"/>
          <w:rtl/>
        </w:rPr>
        <w:t>ברישא: אי דינא בעיתו אי פשרה בעיתו, דפתחינן להו בפשרה</w:t>
      </w:r>
      <w:r>
        <w:rPr>
          <w:rFonts w:cs="Arial" w:hint="cs"/>
          <w:rtl/>
        </w:rPr>
        <w:t>, רש"י</w:t>
      </w:r>
      <w:r w:rsidRPr="0024604B">
        <w:rPr>
          <w:rFonts w:cs="Arial"/>
          <w:rtl/>
        </w:rPr>
        <w:t>.</w:t>
      </w:r>
    </w:p>
  </w:footnote>
  <w:footnote w:id="593">
    <w:p w14:paraId="0A7CCC98" w14:textId="77777777" w:rsidR="0013116F" w:rsidRDefault="0013116F">
      <w:pPr>
        <w:pStyle w:val="a9"/>
        <w:rPr>
          <w:rtl/>
        </w:rPr>
      </w:pPr>
      <w:r>
        <w:rPr>
          <w:rStyle w:val="ab"/>
        </w:rPr>
        <w:footnoteRef/>
      </w:r>
      <w:r>
        <w:rPr>
          <w:rtl/>
        </w:rPr>
        <w:t xml:space="preserve"> </w:t>
      </w:r>
      <w:r w:rsidRPr="00CC7DFA">
        <w:rPr>
          <w:rFonts w:cs="Arial"/>
          <w:rtl/>
        </w:rPr>
        <w:t>דאמר: נגמר הדין - אי אתה רשאי לבצוע, הא מקודם גמר דין - רשאי לבצוע, והכי נמי רשות הוא</w:t>
      </w:r>
      <w:r>
        <w:rPr>
          <w:rFonts w:cs="Arial" w:hint="cs"/>
          <w:rtl/>
        </w:rPr>
        <w:t>, רש"י</w:t>
      </w:r>
      <w:r w:rsidRPr="00CC7DFA">
        <w:rPr>
          <w:rFonts w:cs="Arial"/>
          <w:rtl/>
        </w:rPr>
        <w:t>.</w:t>
      </w:r>
    </w:p>
  </w:footnote>
  <w:footnote w:id="594">
    <w:p w14:paraId="70C197F7" w14:textId="77777777" w:rsidR="0013116F" w:rsidRDefault="0013116F">
      <w:pPr>
        <w:pStyle w:val="a9"/>
        <w:rPr>
          <w:rtl/>
        </w:rPr>
      </w:pPr>
      <w:r>
        <w:rPr>
          <w:rStyle w:val="ab"/>
        </w:rPr>
        <w:footnoteRef/>
      </w:r>
      <w:r>
        <w:rPr>
          <w:rtl/>
        </w:rPr>
        <w:t xml:space="preserve"> </w:t>
      </w:r>
      <w:r w:rsidRPr="00CC7DFA">
        <w:rPr>
          <w:rFonts w:cs="Arial"/>
          <w:rtl/>
        </w:rPr>
        <w:t>להזכיר פשרה, לתנא קמא - ליכא מצוה</w:t>
      </w:r>
      <w:r>
        <w:rPr>
          <w:rFonts w:cs="Arial" w:hint="cs"/>
          <w:rtl/>
        </w:rPr>
        <w:t>, רש"י</w:t>
      </w:r>
      <w:r w:rsidRPr="00CC7DFA">
        <w:rPr>
          <w:rFonts w:cs="Arial"/>
          <w:rtl/>
        </w:rPr>
        <w:t>.</w:t>
      </w:r>
    </w:p>
  </w:footnote>
  <w:footnote w:id="595">
    <w:p w14:paraId="4DEFDA23" w14:textId="77777777" w:rsidR="0013116F" w:rsidRDefault="0013116F">
      <w:pPr>
        <w:pStyle w:val="a9"/>
      </w:pPr>
      <w:r>
        <w:rPr>
          <w:rStyle w:val="ab"/>
        </w:rPr>
        <w:footnoteRef/>
      </w:r>
      <w:r>
        <w:rPr>
          <w:rtl/>
        </w:rPr>
        <w:t xml:space="preserve"> </w:t>
      </w:r>
      <w:r w:rsidRPr="00CC7DFA">
        <w:rPr>
          <w:rFonts w:cs="Arial"/>
          <w:rtl/>
        </w:rPr>
        <w:t>לתנא קמא אפילו שמע דבריהם - רשאי לבצוע עד שיגמר הדין ויאמר: זה זכאי וזה חייב, לר' שמעון בן מנסיא משתשמע את דבריהם וידעת להיכן נוטה, אף על גב דלא נגמר - אין רשאי לבצוע</w:t>
      </w:r>
      <w:r>
        <w:rPr>
          <w:rFonts w:cs="Arial" w:hint="cs"/>
          <w:rtl/>
        </w:rPr>
        <w:t>, רש"י.</w:t>
      </w:r>
    </w:p>
  </w:footnote>
  <w:footnote w:id="596">
    <w:p w14:paraId="059050DA" w14:textId="77777777" w:rsidR="0013116F" w:rsidRDefault="0013116F" w:rsidP="00B6499C">
      <w:pPr>
        <w:pStyle w:val="a9"/>
        <w:rPr>
          <w:rtl/>
        </w:rPr>
      </w:pPr>
      <w:r>
        <w:rPr>
          <w:rStyle w:val="ab"/>
        </w:rPr>
        <w:footnoteRef/>
      </w:r>
      <w:r>
        <w:rPr>
          <w:rtl/>
        </w:rPr>
        <w:t xml:space="preserve"> </w:t>
      </w:r>
      <w:r>
        <w:rPr>
          <w:rFonts w:hint="cs"/>
          <w:rtl/>
        </w:rPr>
        <w:t xml:space="preserve">וכ"כ רש"י </w:t>
      </w:r>
      <w:r w:rsidRPr="00B6499C">
        <w:rPr>
          <w:rFonts w:hint="cs"/>
          <w:sz w:val="16"/>
          <w:szCs w:val="16"/>
          <w:rtl/>
        </w:rPr>
        <w:t>(שמזכירים תחילה דין ולאחמ"כ פשרה)</w:t>
      </w:r>
      <w:r>
        <w:rPr>
          <w:rFonts w:hint="cs"/>
          <w:rtl/>
        </w:rPr>
        <w:t>, וכתב רש"י דהכי מקרי לפתוח בפשרה. ו</w:t>
      </w:r>
      <w:r w:rsidRPr="00B6499C">
        <w:rPr>
          <w:rFonts w:hint="cs"/>
          <w:rtl/>
        </w:rPr>
        <w:t>כתב הב"י ד</w:t>
      </w:r>
      <w:r w:rsidRPr="00B6499C">
        <w:rPr>
          <w:rtl/>
        </w:rPr>
        <w:t>משמע שאע</w:t>
      </w:r>
      <w:r w:rsidRPr="00B6499C">
        <w:rPr>
          <w:rFonts w:hint="cs"/>
          <w:rtl/>
        </w:rPr>
        <w:t>"</w:t>
      </w:r>
      <w:r w:rsidRPr="00B6499C">
        <w:rPr>
          <w:rtl/>
        </w:rPr>
        <w:t>פ שמזכיר הדין בתחלה שאומר אי דינא בעיתו כיון שתכף אומר אי פשרה בעיתו מתחיל בפשרה מיקרי וכן נראה מדברי הרמב"ם ז"ל</w:t>
      </w:r>
      <w:r>
        <w:rPr>
          <w:rFonts w:hint="cs"/>
          <w:rtl/>
        </w:rPr>
        <w:t>..</w:t>
      </w:r>
      <w:r w:rsidRPr="00B6499C">
        <w:rPr>
          <w:rFonts w:hint="cs"/>
          <w:rtl/>
        </w:rPr>
        <w:t xml:space="preserve">. </w:t>
      </w:r>
      <w:r w:rsidRPr="00B6499C">
        <w:rPr>
          <w:rtl/>
        </w:rPr>
        <w:t>אבל מדברי רבינו נראה שצריך להזכיר פשרה תחלה ולומר להם במה אתם רוצים יותר בפשרה או בדין</w:t>
      </w:r>
      <w:r w:rsidRPr="00B6499C">
        <w:rPr>
          <w:rFonts w:hint="cs"/>
          <w:rtl/>
        </w:rPr>
        <w:t>,</w:t>
      </w:r>
      <w:r w:rsidRPr="00B6499C">
        <w:rPr>
          <w:rtl/>
        </w:rPr>
        <w:t xml:space="preserve"> וקשה</w:t>
      </w:r>
      <w:r w:rsidRPr="00B6499C">
        <w:rPr>
          <w:rFonts w:hint="cs"/>
          <w:rtl/>
        </w:rPr>
        <w:t>,</w:t>
      </w:r>
      <w:r w:rsidRPr="00B6499C">
        <w:rPr>
          <w:rtl/>
        </w:rPr>
        <w:t xml:space="preserve"> דא</w:t>
      </w:r>
      <w:r w:rsidRPr="00B6499C">
        <w:rPr>
          <w:rFonts w:hint="cs"/>
          <w:rtl/>
        </w:rPr>
        <w:t>"</w:t>
      </w:r>
      <w:r w:rsidRPr="00B6499C">
        <w:rPr>
          <w:rtl/>
        </w:rPr>
        <w:t>כ למה בגמ</w:t>
      </w:r>
      <w:r w:rsidRPr="00B6499C">
        <w:rPr>
          <w:rFonts w:hint="cs"/>
          <w:rtl/>
        </w:rPr>
        <w:t>'</w:t>
      </w:r>
      <w:r w:rsidRPr="00B6499C">
        <w:rPr>
          <w:rtl/>
        </w:rPr>
        <w:t xml:space="preserve"> הזכירו דין תחלה שאמרו אי דינא בעיתו אי פשרה בעיתו</w:t>
      </w:r>
      <w:r w:rsidRPr="00B6499C">
        <w:rPr>
          <w:rFonts w:hint="cs"/>
          <w:rtl/>
        </w:rPr>
        <w:t>,</w:t>
      </w:r>
      <w:r w:rsidRPr="00B6499C">
        <w:rPr>
          <w:rtl/>
        </w:rPr>
        <w:t xml:space="preserve"> וצ"ל שהוא ז"ל סובר שלכך נתכוין רש"י שכתב דפתחינן להו בפשרה לומר דאע</w:t>
      </w:r>
      <w:r w:rsidRPr="00B6499C">
        <w:rPr>
          <w:rFonts w:hint="cs"/>
          <w:rtl/>
        </w:rPr>
        <w:t>"</w:t>
      </w:r>
      <w:r w:rsidRPr="00B6499C">
        <w:rPr>
          <w:rtl/>
        </w:rPr>
        <w:t>ג דתלמודא נקט ברישא אי דינא בעיתו לאו דוקא אלא ברישא צ"ל אי פשרה בעיתו</w:t>
      </w:r>
      <w:r w:rsidRPr="00B6499C">
        <w:rPr>
          <w:rFonts w:hint="cs"/>
          <w:rtl/>
        </w:rPr>
        <w:t>,</w:t>
      </w:r>
      <w:r w:rsidRPr="00B6499C">
        <w:rPr>
          <w:rtl/>
        </w:rPr>
        <w:t xml:space="preserve"> וטעמו דכיון דמצוה למימר להו אי בעו לבצוע מסתמא בפשרה בעי למפתח ולמימר להו ברישא אי פשרה בעיתו</w:t>
      </w:r>
      <w:r w:rsidRPr="00B6499C">
        <w:rPr>
          <w:rFonts w:hint="cs"/>
          <w:rtl/>
        </w:rPr>
        <w:t>,</w:t>
      </w:r>
      <w:r w:rsidRPr="00B6499C">
        <w:rPr>
          <w:rtl/>
        </w:rPr>
        <w:t xml:space="preserve"> ואפשר דגם רבינו סובר דאי דינא בעיתו אי פשרה בעיתו מיקרי שפיר מתחיל בפשרה והא דנקט ברישא בפשרה לאו למימרא דבהכי תליא מילתא</w:t>
      </w:r>
      <w:r>
        <w:rPr>
          <w:rFonts w:hint="cs"/>
          <w:rtl/>
        </w:rPr>
        <w:t>.</w:t>
      </w:r>
    </w:p>
  </w:footnote>
  <w:footnote w:id="597">
    <w:p w14:paraId="0C7A7066" w14:textId="77777777" w:rsidR="0013116F" w:rsidRDefault="0013116F">
      <w:pPr>
        <w:pStyle w:val="a9"/>
      </w:pPr>
      <w:r>
        <w:rPr>
          <w:rStyle w:val="ab"/>
        </w:rPr>
        <w:footnoteRef/>
      </w:r>
      <w:r>
        <w:rPr>
          <w:rtl/>
        </w:rPr>
        <w:t xml:space="preserve"> </w:t>
      </w:r>
      <w:r>
        <w:rPr>
          <w:rFonts w:hint="cs"/>
          <w:rtl/>
        </w:rPr>
        <w:t xml:space="preserve">לכאורה יש להקשות על דברי השלט"ג מפשט הגמ', שהרי מבואר שלכפות על בעלי הדין פשרה </w:t>
      </w:r>
      <w:r>
        <w:rPr>
          <w:rtl/>
        </w:rPr>
        <w:t>–</w:t>
      </w:r>
      <w:r>
        <w:rPr>
          <w:rFonts w:hint="cs"/>
          <w:rtl/>
        </w:rPr>
        <w:t xml:space="preserve"> אפילו לפני גמר דין אי אפשר, אלא צריך שיסכימו לפשרה, ואעפ"כ כתוב בברייתא </w:t>
      </w:r>
      <w:r>
        <w:rPr>
          <w:rtl/>
        </w:rPr>
        <w:t>–</w:t>
      </w:r>
      <w:r>
        <w:rPr>
          <w:rFonts w:hint="cs"/>
          <w:rtl/>
        </w:rPr>
        <w:t xml:space="preserve"> </w:t>
      </w:r>
      <w:r>
        <w:rPr>
          <w:rFonts w:cs="Arial" w:hint="cs"/>
          <w:rtl/>
        </w:rPr>
        <w:t>'</w:t>
      </w:r>
      <w:r w:rsidRPr="00CC7DFA">
        <w:rPr>
          <w:rFonts w:cs="Arial"/>
          <w:rtl/>
        </w:rPr>
        <w:t>נגמר הדין אי אתה רשאי לבצוע</w:t>
      </w:r>
      <w:r>
        <w:rPr>
          <w:rFonts w:hint="cs"/>
          <w:rtl/>
        </w:rPr>
        <w:t xml:space="preserve">', היינו אפילו בהסכמת הצדדים (כי לכפות עליהם פשרה אין הו"א). ואם כן כיצד חלק השלט"ג על הגמ' וכתב שבהסכמה מצוה על הדיינים לבצוע. אלא יש לומר שכוונת השלט"ג היא שהדיינים רק ידברו על ליבם לעשות פשרה אבל לא שיפשרו בניהם, אלא הבעלי דין יחליטו בניהם מה הם רוצים לעשות וכמה הם רוצים לתת כדי להתפשר, וזה מה שאמרה הגמ'- 'אי אתה רשאי לבצוע', אבל להציע לבעלי הדין לבצוע </w:t>
      </w:r>
      <w:r>
        <w:rPr>
          <w:rtl/>
        </w:rPr>
        <w:t>–</w:t>
      </w:r>
      <w:r>
        <w:rPr>
          <w:rFonts w:hint="cs"/>
          <w:rtl/>
        </w:rPr>
        <w:t xml:space="preserve"> מצוה איכא. וכן הסביר הנתיבות </w:t>
      </w:r>
      <w:r w:rsidRPr="00506DC9">
        <w:rPr>
          <w:rFonts w:hint="cs"/>
          <w:sz w:val="16"/>
          <w:szCs w:val="16"/>
          <w:rtl/>
        </w:rPr>
        <w:t xml:space="preserve">(חידושים סק"ד) </w:t>
      </w:r>
      <w:r>
        <w:rPr>
          <w:rFonts w:hint="cs"/>
          <w:rtl/>
        </w:rPr>
        <w:t xml:space="preserve">את דברי השלט"ג. אמנם הב"ח </w:t>
      </w:r>
      <w:r w:rsidRPr="00506DC9">
        <w:rPr>
          <w:rFonts w:hint="cs"/>
          <w:sz w:val="16"/>
          <w:szCs w:val="16"/>
          <w:rtl/>
        </w:rPr>
        <w:t>(סע' ד סד"ה וכל דיין)</w:t>
      </w:r>
      <w:r>
        <w:rPr>
          <w:rFonts w:hint="cs"/>
          <w:rtl/>
        </w:rPr>
        <w:t xml:space="preserve"> דחה את דברי השלט"ג, והסכים עמו החיד"א </w:t>
      </w:r>
      <w:r w:rsidRPr="00506DC9">
        <w:rPr>
          <w:rFonts w:hint="cs"/>
          <w:sz w:val="16"/>
          <w:szCs w:val="16"/>
          <w:rtl/>
        </w:rPr>
        <w:t>(בברכ"י אות ט)</w:t>
      </w:r>
      <w:r>
        <w:rPr>
          <w:rFonts w:hint="cs"/>
          <w:rtl/>
        </w:rPr>
        <w:t>, אבל צלע"ג, שלכאורה נראה שהב"ח והחיד"א הבינו שדעת השלט"ג היא שהדיינים יעשו את הפשרה, וזה באמת ליתא, וכפשט הגמ' הרמב"ם והשו"ע, אבל לפי מה שביארנו שאין זו דעת השלט"ג אולי גם הם יודו לשלט"ג.</w:t>
      </w:r>
    </w:p>
  </w:footnote>
  <w:footnote w:id="598">
    <w:p w14:paraId="5036AB2E" w14:textId="77777777" w:rsidR="0013116F" w:rsidRPr="00CC7DFA" w:rsidRDefault="0013116F" w:rsidP="00304F63">
      <w:pPr>
        <w:pStyle w:val="a9"/>
        <w:rPr>
          <w:rtl/>
        </w:rPr>
      </w:pPr>
      <w:r>
        <w:rPr>
          <w:rStyle w:val="ab"/>
        </w:rPr>
        <w:footnoteRef/>
      </w:r>
      <w:r>
        <w:rPr>
          <w:rtl/>
        </w:rPr>
        <w:t xml:space="preserve"> </w:t>
      </w:r>
      <w:r>
        <w:rPr>
          <w:rFonts w:hint="cs"/>
          <w:rtl/>
        </w:rPr>
        <w:t>וכ' הב"י</w:t>
      </w:r>
      <w:r>
        <w:rPr>
          <w:rFonts w:cs="Arial" w:hint="cs"/>
          <w:rtl/>
        </w:rPr>
        <w:t>- ו</w:t>
      </w:r>
      <w:r w:rsidRPr="00CC7DFA">
        <w:rPr>
          <w:rFonts w:cs="Arial"/>
          <w:rtl/>
        </w:rPr>
        <w:t>פשוט הוא בעיני</w:t>
      </w:r>
      <w:r>
        <w:rPr>
          <w:rFonts w:cs="Arial" w:hint="cs"/>
          <w:rtl/>
        </w:rPr>
        <w:t xml:space="preserve">, </w:t>
      </w:r>
      <w:r w:rsidRPr="00CC7DFA">
        <w:rPr>
          <w:rFonts w:cs="Arial"/>
          <w:rtl/>
        </w:rPr>
        <w:t>ותמהני על מה שכתב המרדכי</w:t>
      </w:r>
      <w:r>
        <w:rPr>
          <w:rFonts w:cs="Arial" w:hint="cs"/>
          <w:rtl/>
        </w:rPr>
        <w:t>... ו</w:t>
      </w:r>
      <w:r w:rsidRPr="00CC7DFA">
        <w:rPr>
          <w:rFonts w:cs="Arial"/>
          <w:rtl/>
        </w:rPr>
        <w:t xml:space="preserve">מהנך עובדי </w:t>
      </w:r>
      <w:r w:rsidRPr="00CC7DFA">
        <w:rPr>
          <w:rFonts w:cs="Arial"/>
          <w:sz w:val="16"/>
          <w:szCs w:val="16"/>
          <w:rtl/>
        </w:rPr>
        <w:t xml:space="preserve">(ב"ק קיח., ב"מ כד: פג.) </w:t>
      </w:r>
      <w:r w:rsidRPr="00CC7DFA">
        <w:rPr>
          <w:rFonts w:cs="Arial"/>
          <w:rtl/>
        </w:rPr>
        <w:t>דמייתי</w:t>
      </w:r>
      <w:r>
        <w:rPr>
          <w:rFonts w:cs="Arial" w:hint="cs"/>
          <w:sz w:val="16"/>
          <w:szCs w:val="16"/>
          <w:rtl/>
        </w:rPr>
        <w:t xml:space="preserve"> {המרדכי}</w:t>
      </w:r>
      <w:r w:rsidRPr="00CC7DFA">
        <w:rPr>
          <w:rFonts w:cs="Arial"/>
          <w:rtl/>
        </w:rPr>
        <w:t xml:space="preserve"> ראיה מינייהו לא נזכר בהם כפיה</w:t>
      </w:r>
      <w:r>
        <w:rPr>
          <w:rFonts w:cs="Arial" w:hint="cs"/>
          <w:rtl/>
        </w:rPr>
        <w:t>,</w:t>
      </w:r>
      <w:r w:rsidRPr="00CC7DFA">
        <w:rPr>
          <w:rFonts w:cs="Arial"/>
          <w:rtl/>
        </w:rPr>
        <w:t xml:space="preserve"> עי</w:t>
      </w:r>
      <w:r>
        <w:rPr>
          <w:rFonts w:cs="Arial" w:hint="cs"/>
          <w:rtl/>
        </w:rPr>
        <w:t xml:space="preserve">ין </w:t>
      </w:r>
      <w:r w:rsidRPr="00CC7DFA">
        <w:rPr>
          <w:rFonts w:cs="Arial"/>
          <w:rtl/>
        </w:rPr>
        <w:t xml:space="preserve">במהרי"ק שורש ט' </w:t>
      </w:r>
      <w:r w:rsidRPr="00CC7DFA">
        <w:rPr>
          <w:rFonts w:cs="Arial"/>
          <w:sz w:val="16"/>
          <w:szCs w:val="16"/>
          <w:rtl/>
        </w:rPr>
        <w:t>(ענף ג)</w:t>
      </w:r>
      <w:r>
        <w:rPr>
          <w:rFonts w:cs="Arial" w:hint="cs"/>
          <w:rtl/>
        </w:rPr>
        <w:t>.</w:t>
      </w:r>
    </w:p>
  </w:footnote>
  <w:footnote w:id="599">
    <w:p w14:paraId="5C51F168" w14:textId="77777777" w:rsidR="0013116F" w:rsidRDefault="0013116F">
      <w:pPr>
        <w:pStyle w:val="a9"/>
      </w:pPr>
      <w:r>
        <w:rPr>
          <w:rStyle w:val="ab"/>
        </w:rPr>
        <w:footnoteRef/>
      </w:r>
      <w:r>
        <w:rPr>
          <w:rtl/>
        </w:rPr>
        <w:t xml:space="preserve"> </w:t>
      </w:r>
      <w:r>
        <w:rPr>
          <w:rFonts w:hint="cs"/>
          <w:rtl/>
        </w:rPr>
        <w:t xml:space="preserve">סימן </w:t>
      </w:r>
      <w:r>
        <w:rPr>
          <w:rtl/>
        </w:rPr>
        <w:t>–</w:t>
      </w:r>
      <w:r>
        <w:rPr>
          <w:rFonts w:hint="cs"/>
          <w:rtl/>
        </w:rPr>
        <w:t xml:space="preserve"> ביצוע לאשורו.</w:t>
      </w:r>
    </w:p>
  </w:footnote>
  <w:footnote w:id="600">
    <w:p w14:paraId="4EA6F99F" w14:textId="77777777" w:rsidR="0013116F" w:rsidRDefault="0013116F">
      <w:pPr>
        <w:pStyle w:val="a9"/>
      </w:pPr>
      <w:r>
        <w:rPr>
          <w:rStyle w:val="ab"/>
        </w:rPr>
        <w:footnoteRef/>
      </w:r>
      <w:r>
        <w:rPr>
          <w:rtl/>
        </w:rPr>
        <w:t xml:space="preserve"> </w:t>
      </w:r>
      <w:r w:rsidRPr="009F1330">
        <w:rPr>
          <w:rFonts w:cs="Arial"/>
          <w:rtl/>
        </w:rPr>
        <w:t xml:space="preserve">ולא כתיב </w:t>
      </w:r>
      <w:r>
        <w:rPr>
          <w:rFonts w:cs="Arial" w:hint="cs"/>
          <w:rtl/>
        </w:rPr>
        <w:t>'</w:t>
      </w:r>
      <w:r w:rsidRPr="009F1330">
        <w:rPr>
          <w:rFonts w:cs="Arial"/>
          <w:rtl/>
        </w:rPr>
        <w:t>בצדק צדק</w:t>
      </w:r>
      <w:r>
        <w:rPr>
          <w:rFonts w:cs="Arial" w:hint="cs"/>
          <w:rtl/>
        </w:rPr>
        <w:t>' -</w:t>
      </w:r>
      <w:r w:rsidRPr="009F1330">
        <w:rPr>
          <w:rFonts w:cs="Arial"/>
          <w:rtl/>
        </w:rPr>
        <w:t xml:space="preserve"> להזהיר בית דין לדקדק בו כל כך לדרוש ולחקור</w:t>
      </w:r>
      <w:r>
        <w:rPr>
          <w:rFonts w:cs="Arial" w:hint="cs"/>
          <w:rtl/>
        </w:rPr>
        <w:t>, רש"י</w:t>
      </w:r>
      <w:r w:rsidRPr="009F1330">
        <w:rPr>
          <w:rFonts w:cs="Arial"/>
          <w:rtl/>
        </w:rPr>
        <w:t>.</w:t>
      </w:r>
    </w:p>
  </w:footnote>
  <w:footnote w:id="601">
    <w:p w14:paraId="76C3369B" w14:textId="77777777" w:rsidR="0013116F" w:rsidRDefault="0013116F">
      <w:pPr>
        <w:pStyle w:val="a9"/>
      </w:pPr>
      <w:r>
        <w:rPr>
          <w:rStyle w:val="ab"/>
        </w:rPr>
        <w:footnoteRef/>
      </w:r>
      <w:r>
        <w:rPr>
          <w:rtl/>
        </w:rPr>
        <w:t xml:space="preserve"> </w:t>
      </w:r>
      <w:r w:rsidRPr="009F1330">
        <w:rPr>
          <w:rFonts w:cs="Arial"/>
          <w:rtl/>
        </w:rPr>
        <w:t>דרמי להו ריש לקיש לא קשו, דצדק צדק לאו לדרישה ולחקירה אתי, אלא צדק דין שלך וצדק פשרה שלך, לפי ראות עיניך, ולא תרדוף, את האחד יותר מחבירו</w:t>
      </w:r>
      <w:r>
        <w:rPr>
          <w:rFonts w:cs="Arial" w:hint="cs"/>
          <w:rtl/>
        </w:rPr>
        <w:t>, רש"י</w:t>
      </w:r>
      <w:r w:rsidRPr="009F1330">
        <w:rPr>
          <w:rFonts w:cs="Arial"/>
          <w:rtl/>
        </w:rPr>
        <w:t>.</w:t>
      </w:r>
    </w:p>
  </w:footnote>
  <w:footnote w:id="602">
    <w:p w14:paraId="3A12BD16" w14:textId="77777777" w:rsidR="0013116F" w:rsidRDefault="0013116F">
      <w:pPr>
        <w:pStyle w:val="a9"/>
      </w:pPr>
      <w:r>
        <w:rPr>
          <w:rStyle w:val="ab"/>
        </w:rPr>
        <w:footnoteRef/>
      </w:r>
      <w:r>
        <w:rPr>
          <w:rtl/>
        </w:rPr>
        <w:t xml:space="preserve"> </w:t>
      </w:r>
      <w:r w:rsidRPr="009F1330">
        <w:rPr>
          <w:rFonts w:cs="Arial"/>
          <w:rtl/>
        </w:rPr>
        <w:t>לאחת ותידחה</w:t>
      </w:r>
      <w:r>
        <w:rPr>
          <w:rFonts w:cs="Arial" w:hint="cs"/>
          <w:rtl/>
        </w:rPr>
        <w:t>, רש"י</w:t>
      </w:r>
      <w:r w:rsidRPr="009F1330">
        <w:rPr>
          <w:rFonts w:cs="Arial"/>
          <w:rtl/>
        </w:rPr>
        <w:t>.</w:t>
      </w:r>
    </w:p>
  </w:footnote>
  <w:footnote w:id="603">
    <w:p w14:paraId="7BECDAAB" w14:textId="77777777" w:rsidR="0013116F" w:rsidRDefault="0013116F">
      <w:pPr>
        <w:pStyle w:val="a9"/>
        <w:rPr>
          <w:rtl/>
        </w:rPr>
      </w:pPr>
      <w:r>
        <w:rPr>
          <w:rStyle w:val="ab"/>
        </w:rPr>
        <w:footnoteRef/>
      </w:r>
      <w:r>
        <w:rPr>
          <w:rtl/>
        </w:rPr>
        <w:t xml:space="preserve"> </w:t>
      </w:r>
      <w:r>
        <w:rPr>
          <w:rFonts w:hint="cs"/>
          <w:rtl/>
        </w:rPr>
        <w:t xml:space="preserve">הסמ"ע (סק"ו) כתב </w:t>
      </w:r>
      <w:r>
        <w:rPr>
          <w:rFonts w:cs="Arial" w:hint="cs"/>
          <w:rtl/>
        </w:rPr>
        <w:t>ד</w:t>
      </w:r>
      <w:r w:rsidRPr="002D298D">
        <w:rPr>
          <w:rFonts w:cs="Arial"/>
          <w:rtl/>
        </w:rPr>
        <w:t xml:space="preserve">צריך הדיין להסביר לבעלי דינים שבפשרה נוח להם ולדבר על לבם אולי יסכימו על הפשרה </w:t>
      </w:r>
      <w:r w:rsidRPr="002D298D">
        <w:rPr>
          <w:rFonts w:cs="Arial" w:hint="cs"/>
          <w:sz w:val="16"/>
          <w:szCs w:val="16"/>
          <w:rtl/>
        </w:rPr>
        <w:t>(</w:t>
      </w:r>
      <w:r w:rsidRPr="002D298D">
        <w:rPr>
          <w:rFonts w:cs="Arial"/>
          <w:sz w:val="16"/>
          <w:szCs w:val="16"/>
          <w:rtl/>
        </w:rPr>
        <w:t>ו</w:t>
      </w:r>
      <w:r w:rsidRPr="002D298D">
        <w:rPr>
          <w:rFonts w:cs="Arial" w:hint="cs"/>
          <w:sz w:val="16"/>
          <w:szCs w:val="16"/>
          <w:rtl/>
        </w:rPr>
        <w:t>כתב ש</w:t>
      </w:r>
      <w:r w:rsidRPr="002D298D">
        <w:rPr>
          <w:rFonts w:cs="Arial"/>
          <w:sz w:val="16"/>
          <w:szCs w:val="16"/>
          <w:rtl/>
        </w:rPr>
        <w:t>כן היא ג"כ כונת המחבר במ"ש שאומר להם הדין אתם רוצים, ר"ל במה שבאתם לפנינו לדון, אם כונתכם דוקא אדין או הפשרה, כי כן הוא נכון לעשות פשרה</w:t>
      </w:r>
      <w:r>
        <w:rPr>
          <w:rFonts w:cs="Arial" w:hint="cs"/>
          <w:sz w:val="16"/>
          <w:szCs w:val="16"/>
          <w:rtl/>
        </w:rPr>
        <w:t>)</w:t>
      </w:r>
      <w:r>
        <w:rPr>
          <w:rFonts w:hint="cs"/>
          <w:rtl/>
        </w:rPr>
        <w:t xml:space="preserve">. וכ"כ השלט"ג (א: אות א). וכ"כ הש"ך (סק"ו). אך הט"ז (ד"ה הדין אתם) כתב בשם המהר"ל מפראג </w:t>
      </w:r>
      <w:r>
        <w:rPr>
          <w:rFonts w:cs="Arial" w:hint="cs"/>
          <w:rtl/>
        </w:rPr>
        <w:t>ד</w:t>
      </w:r>
      <w:r w:rsidRPr="002D298D">
        <w:rPr>
          <w:rFonts w:cs="Arial"/>
          <w:rtl/>
        </w:rPr>
        <w:t>נראה שאין לרדוף כל כך אחר הפשרה, רק דאמרי להו אי דינא בעיתו</w:t>
      </w:r>
      <w:r>
        <w:rPr>
          <w:rFonts w:hint="cs"/>
          <w:rtl/>
        </w:rPr>
        <w:t xml:space="preserve"> וכו'.</w:t>
      </w:r>
    </w:p>
  </w:footnote>
  <w:footnote w:id="604">
    <w:p w14:paraId="488DBE9E" w14:textId="77777777" w:rsidR="0013116F" w:rsidRDefault="0013116F">
      <w:pPr>
        <w:pStyle w:val="a9"/>
      </w:pPr>
      <w:r>
        <w:rPr>
          <w:rStyle w:val="ab"/>
        </w:rPr>
        <w:footnoteRef/>
      </w:r>
      <w:r>
        <w:rPr>
          <w:rtl/>
        </w:rPr>
        <w:t xml:space="preserve"> </w:t>
      </w:r>
      <w:r w:rsidRPr="002D298D">
        <w:rPr>
          <w:rFonts w:cs="Arial"/>
          <w:rtl/>
        </w:rPr>
        <w:t>ואין בזה משום מטעה לחבירו, כי נוח לחבירו שיוותר מה לבעל דינו כדי שיתווך השלום ביניהם</w:t>
      </w:r>
      <w:r>
        <w:rPr>
          <w:rFonts w:cs="Arial" w:hint="cs"/>
          <w:rtl/>
        </w:rPr>
        <w:t>, סמ"ע (סק"ט).</w:t>
      </w:r>
    </w:p>
  </w:footnote>
  <w:footnote w:id="605">
    <w:p w14:paraId="00D68DD7" w14:textId="77777777" w:rsidR="0013116F" w:rsidRDefault="0013116F">
      <w:pPr>
        <w:pStyle w:val="a9"/>
        <w:rPr>
          <w:rtl/>
        </w:rPr>
      </w:pPr>
      <w:r>
        <w:rPr>
          <w:rStyle w:val="ab"/>
        </w:rPr>
        <w:footnoteRef/>
      </w:r>
      <w:r>
        <w:rPr>
          <w:rtl/>
        </w:rPr>
        <w:t xml:space="preserve"> </w:t>
      </w:r>
      <w:r w:rsidRPr="002D298D">
        <w:rPr>
          <w:rFonts w:cs="Arial"/>
          <w:rtl/>
        </w:rPr>
        <w:t>פירוש, שוב אסור לומר לזכאי עשה פשרה עמו כי ירא אני שמא טעיתי ודיינים אחרים יהפכו את דיני</w:t>
      </w:r>
      <w:r>
        <w:rPr>
          <w:rFonts w:hint="cs"/>
          <w:rtl/>
        </w:rPr>
        <w:t>, סמ"ע (סק"י).</w:t>
      </w:r>
      <w:r w:rsidRPr="00386E77">
        <w:rPr>
          <w:rtl/>
        </w:rPr>
        <w:t xml:space="preserve"> </w:t>
      </w:r>
      <w:r w:rsidRPr="00386E77">
        <w:rPr>
          <w:rFonts w:cs="Arial"/>
          <w:rtl/>
        </w:rPr>
        <w:t>והב"ח [סוף סע</w:t>
      </w:r>
      <w:r>
        <w:rPr>
          <w:rFonts w:cs="Arial" w:hint="cs"/>
          <w:rtl/>
        </w:rPr>
        <w:t>'</w:t>
      </w:r>
      <w:r w:rsidRPr="00386E77">
        <w:rPr>
          <w:rFonts w:cs="Arial"/>
          <w:rtl/>
        </w:rPr>
        <w:t xml:space="preserve"> ג] כ</w:t>
      </w:r>
      <w:r>
        <w:rPr>
          <w:rFonts w:cs="Arial" w:hint="cs"/>
          <w:rtl/>
        </w:rPr>
        <w:t>'</w:t>
      </w:r>
      <w:r w:rsidRPr="00386E77">
        <w:rPr>
          <w:rFonts w:cs="Arial"/>
          <w:rtl/>
        </w:rPr>
        <w:t xml:space="preserve"> דיש להחמיר כהת</w:t>
      </w:r>
      <w:r>
        <w:rPr>
          <w:rFonts w:cs="Arial" w:hint="cs"/>
          <w:rtl/>
        </w:rPr>
        <w:t>וס'</w:t>
      </w:r>
      <w:r w:rsidRPr="00386E77">
        <w:rPr>
          <w:rFonts w:cs="Arial"/>
          <w:rtl/>
        </w:rPr>
        <w:t xml:space="preserve"> [סנהדרין ו</w:t>
      </w:r>
      <w:r>
        <w:rPr>
          <w:rFonts w:cs="Arial" w:hint="cs"/>
          <w:rtl/>
        </w:rPr>
        <w:t>:</w:t>
      </w:r>
      <w:r w:rsidRPr="00386E77">
        <w:rPr>
          <w:rFonts w:cs="Arial"/>
          <w:rtl/>
        </w:rPr>
        <w:t xml:space="preserve"> ד"ה נגמר]. ולא נהירא דהא מצוה לבצוע, וכן נראה עיקר כרוב הפוסקים</w:t>
      </w:r>
      <w:r>
        <w:rPr>
          <w:rFonts w:hint="cs"/>
          <w:rtl/>
        </w:rPr>
        <w:t>, ש"ך (סק"ד).</w:t>
      </w:r>
    </w:p>
  </w:footnote>
  <w:footnote w:id="606">
    <w:p w14:paraId="420C2DCC" w14:textId="77777777" w:rsidR="0013116F" w:rsidRDefault="0013116F">
      <w:pPr>
        <w:pStyle w:val="a9"/>
      </w:pPr>
      <w:r>
        <w:rPr>
          <w:rStyle w:val="ab"/>
        </w:rPr>
        <w:footnoteRef/>
      </w:r>
      <w:r>
        <w:rPr>
          <w:rtl/>
        </w:rPr>
        <w:t xml:space="preserve"> </w:t>
      </w:r>
      <w:r w:rsidRPr="004A69E3">
        <w:rPr>
          <w:rFonts w:cs="Arial"/>
          <w:rtl/>
        </w:rPr>
        <w:t>כי מה שנעשה לפני הדיין הוה כאילו הוא עשאו בדעת הדיין ובהסכמתו</w:t>
      </w:r>
      <w:r>
        <w:rPr>
          <w:rFonts w:cs="Arial" w:hint="cs"/>
          <w:rtl/>
        </w:rPr>
        <w:t>, סמ"ע (סקי"א).</w:t>
      </w:r>
    </w:p>
  </w:footnote>
  <w:footnote w:id="607">
    <w:p w14:paraId="6845C9E5" w14:textId="77777777" w:rsidR="0013116F" w:rsidRDefault="0013116F">
      <w:pPr>
        <w:pStyle w:val="a9"/>
      </w:pPr>
      <w:r>
        <w:rPr>
          <w:rStyle w:val="ab"/>
        </w:rPr>
        <w:footnoteRef/>
      </w:r>
      <w:r>
        <w:rPr>
          <w:rtl/>
        </w:rPr>
        <w:t xml:space="preserve"> </w:t>
      </w:r>
      <w:r w:rsidRPr="004A69E3">
        <w:rPr>
          <w:rFonts w:cs="Arial"/>
          <w:rtl/>
        </w:rPr>
        <w:t>גם בכאן כתב הב"ח [סעיף ג'] דלהתוספות אין רשאי לעשות פשרה, ויש להחמיר כדבריהם, עכ"ד. ואין דבריו נכונים ע"ש</w:t>
      </w:r>
      <w:r>
        <w:rPr>
          <w:rFonts w:cs="Arial" w:hint="cs"/>
          <w:sz w:val="16"/>
          <w:szCs w:val="16"/>
          <w:rtl/>
        </w:rPr>
        <w:t xml:space="preserve"> {דמוכח מדברי התוס' [ו: סד"ה נגמר הדין] דגם הם מודים דשרי הכא לעשות פשרה}</w:t>
      </w:r>
      <w:r w:rsidRPr="004A69E3">
        <w:rPr>
          <w:rFonts w:cs="Arial"/>
          <w:rtl/>
        </w:rPr>
        <w:t>, גם חומרא זו קולא היא, והעיקר כמו שכתב הטור</w:t>
      </w:r>
      <w:r>
        <w:rPr>
          <w:rFonts w:cs="Arial" w:hint="cs"/>
          <w:rtl/>
        </w:rPr>
        <w:t>, ש"ך (סק"ז).</w:t>
      </w:r>
    </w:p>
  </w:footnote>
  <w:footnote w:id="608">
    <w:p w14:paraId="585F32E0" w14:textId="77777777" w:rsidR="0013116F" w:rsidRDefault="0013116F">
      <w:pPr>
        <w:pStyle w:val="a9"/>
      </w:pPr>
      <w:r>
        <w:rPr>
          <w:rStyle w:val="ab"/>
        </w:rPr>
        <w:footnoteRef/>
      </w:r>
      <w:r>
        <w:rPr>
          <w:rtl/>
        </w:rPr>
        <w:t xml:space="preserve"> </w:t>
      </w:r>
      <w:r>
        <w:rPr>
          <w:rFonts w:hint="cs"/>
          <w:rtl/>
        </w:rPr>
        <w:t xml:space="preserve">סימן </w:t>
      </w:r>
      <w:r>
        <w:rPr>
          <w:rtl/>
        </w:rPr>
        <w:t>–</w:t>
      </w:r>
      <w:r>
        <w:rPr>
          <w:rFonts w:hint="cs"/>
          <w:rtl/>
        </w:rPr>
        <w:t xml:space="preserve"> כיסוי אשפה באפדנא.</w:t>
      </w:r>
    </w:p>
  </w:footnote>
  <w:footnote w:id="609">
    <w:p w14:paraId="572FAFAA" w14:textId="77777777" w:rsidR="0013116F" w:rsidRDefault="0013116F">
      <w:pPr>
        <w:pStyle w:val="a9"/>
        <w:rPr>
          <w:rtl/>
        </w:rPr>
      </w:pPr>
      <w:r>
        <w:rPr>
          <w:rStyle w:val="ab"/>
        </w:rPr>
        <w:footnoteRef/>
      </w:r>
      <w:r>
        <w:rPr>
          <w:rtl/>
        </w:rPr>
        <w:t xml:space="preserve"> </w:t>
      </w:r>
      <w:r w:rsidRPr="00C46297">
        <w:rPr>
          <w:rFonts w:cs="Arial"/>
          <w:rtl/>
        </w:rPr>
        <w:t>אשפה דמתרגמינן אקילקלתא מאשפות ירים אביון (תהלים קיג)</w:t>
      </w:r>
      <w:r>
        <w:rPr>
          <w:rFonts w:cs="Arial" w:hint="cs"/>
          <w:rtl/>
        </w:rPr>
        <w:t>, רש"י</w:t>
      </w:r>
      <w:r w:rsidRPr="00C46297">
        <w:rPr>
          <w:rFonts w:cs="Arial"/>
          <w:rtl/>
        </w:rPr>
        <w:t>.</w:t>
      </w:r>
    </w:p>
  </w:footnote>
  <w:footnote w:id="610">
    <w:p w14:paraId="5B72E300" w14:textId="77777777" w:rsidR="0013116F" w:rsidRDefault="0013116F">
      <w:pPr>
        <w:pStyle w:val="a9"/>
        <w:rPr>
          <w:rtl/>
        </w:rPr>
      </w:pPr>
      <w:r>
        <w:rPr>
          <w:rStyle w:val="ab"/>
        </w:rPr>
        <w:footnoteRef/>
      </w:r>
      <w:r>
        <w:rPr>
          <w:rtl/>
        </w:rPr>
        <w:t xml:space="preserve"> </w:t>
      </w:r>
      <w:r w:rsidRPr="004A69E3">
        <w:rPr>
          <w:rFonts w:cs="Arial"/>
          <w:rtl/>
        </w:rPr>
        <w:t>כי לא היה שם דירה ממש אלא אהלים לסחורה היו נוטים שם</w:t>
      </w:r>
      <w:r>
        <w:rPr>
          <w:rFonts w:cs="Arial" w:hint="cs"/>
          <w:rtl/>
        </w:rPr>
        <w:t>,</w:t>
      </w:r>
      <w:r w:rsidRPr="004A69E3">
        <w:rPr>
          <w:rFonts w:cs="Arial"/>
          <w:rtl/>
        </w:rPr>
        <w:t xml:space="preserve"> והלך זה ובנה בית על חורבות היתומים ולא היה להם כדי לפרוע דמי בנינו</w:t>
      </w:r>
      <w:r>
        <w:rPr>
          <w:rFonts w:cs="Arial" w:hint="cs"/>
          <w:rtl/>
        </w:rPr>
        <w:t>,</w:t>
      </w:r>
      <w:r w:rsidRPr="004A69E3">
        <w:rPr>
          <w:rFonts w:cs="Arial"/>
          <w:rtl/>
        </w:rPr>
        <w:t xml:space="preserve"> וא"ל רב נחמן שיפייס היתומים במידי דאפייסו</w:t>
      </w:r>
      <w:r>
        <w:rPr>
          <w:rFonts w:cs="Arial" w:hint="cs"/>
          <w:rtl/>
        </w:rPr>
        <w:t>,</w:t>
      </w:r>
      <w:r w:rsidRPr="004A69E3">
        <w:rPr>
          <w:rFonts w:cs="Arial"/>
          <w:rtl/>
        </w:rPr>
        <w:t xml:space="preserve"> ולא חש לדבריו</w:t>
      </w:r>
      <w:r>
        <w:rPr>
          <w:rFonts w:cs="Arial" w:hint="cs"/>
          <w:rtl/>
        </w:rPr>
        <w:t>,</w:t>
      </w:r>
      <w:r w:rsidRPr="004A69E3">
        <w:rPr>
          <w:rFonts w:cs="Arial"/>
          <w:rtl/>
        </w:rPr>
        <w:t xml:space="preserve"> ואגביה לאפדניה עד שנתן ליתומים שכר הראוי ליתן מחורבה אחת לבנות עליו בית</w:t>
      </w:r>
      <w:r>
        <w:rPr>
          <w:rFonts w:cs="Arial" w:hint="cs"/>
          <w:rtl/>
        </w:rPr>
        <w:t>,</w:t>
      </w:r>
      <w:r w:rsidRPr="004A69E3">
        <w:rPr>
          <w:rFonts w:cs="Arial"/>
          <w:rtl/>
        </w:rPr>
        <w:t xml:space="preserve"> והוא יותר ממה שהיו נותנים להן קדמנאי</w:t>
      </w:r>
      <w:r>
        <w:rPr>
          <w:rFonts w:cs="Arial" w:hint="cs"/>
          <w:rtl/>
        </w:rPr>
        <w:t>,</w:t>
      </w:r>
      <w:r w:rsidRPr="004A69E3">
        <w:rPr>
          <w:rFonts w:cs="Arial"/>
          <w:rtl/>
        </w:rPr>
        <w:t xml:space="preserve"> כיון שהיו חסרים בו דבר מועט צריך הנהנה לפרוע כל הנאתו</w:t>
      </w:r>
      <w:r>
        <w:rPr>
          <w:rFonts w:hint="cs"/>
          <w:rtl/>
        </w:rPr>
        <w:t>, רא"ש (סי' ו).</w:t>
      </w:r>
    </w:p>
  </w:footnote>
  <w:footnote w:id="611">
    <w:p w14:paraId="617B5376" w14:textId="77777777" w:rsidR="0013116F" w:rsidRDefault="0013116F">
      <w:pPr>
        <w:pStyle w:val="a9"/>
      </w:pPr>
      <w:r>
        <w:rPr>
          <w:rStyle w:val="ab"/>
        </w:rPr>
        <w:footnoteRef/>
      </w:r>
      <w:r>
        <w:rPr>
          <w:rtl/>
        </w:rPr>
        <w:t xml:space="preserve"> </w:t>
      </w:r>
      <w:r>
        <w:rPr>
          <w:rFonts w:hint="cs"/>
          <w:rtl/>
        </w:rPr>
        <w:t>היינו לתת להם פחות ממה שמגיע להם.</w:t>
      </w:r>
    </w:p>
  </w:footnote>
  <w:footnote w:id="612">
    <w:p w14:paraId="533DB540" w14:textId="77777777" w:rsidR="0013116F" w:rsidRDefault="0013116F">
      <w:pPr>
        <w:pStyle w:val="a9"/>
      </w:pPr>
      <w:r>
        <w:rPr>
          <w:rStyle w:val="ab"/>
        </w:rPr>
        <w:footnoteRef/>
      </w:r>
      <w:r>
        <w:rPr>
          <w:rtl/>
        </w:rPr>
        <w:t xml:space="preserve"> </w:t>
      </w:r>
      <w:r>
        <w:rPr>
          <w:rFonts w:hint="cs"/>
          <w:rtl/>
        </w:rPr>
        <w:t xml:space="preserve">סימן </w:t>
      </w:r>
      <w:r>
        <w:rPr>
          <w:rtl/>
        </w:rPr>
        <w:t>–</w:t>
      </w:r>
      <w:r>
        <w:rPr>
          <w:rFonts w:hint="cs"/>
          <w:rtl/>
        </w:rPr>
        <w:t xml:space="preserve"> גדול לא דוחה דין </w:t>
      </w:r>
      <w:r w:rsidRPr="004D47D8">
        <w:rPr>
          <w:rFonts w:hint="cs"/>
          <w:sz w:val="16"/>
          <w:szCs w:val="16"/>
          <w:rtl/>
        </w:rPr>
        <w:t>(הסימן הוא ל</w:t>
      </w:r>
      <w:r>
        <w:rPr>
          <w:rFonts w:hint="cs"/>
          <w:sz w:val="16"/>
          <w:szCs w:val="16"/>
          <w:rtl/>
        </w:rPr>
        <w:t>שני הדפים</w:t>
      </w:r>
      <w:r w:rsidRPr="004D47D8">
        <w:rPr>
          <w:rFonts w:hint="cs"/>
          <w:sz w:val="16"/>
          <w:szCs w:val="16"/>
          <w:rtl/>
        </w:rPr>
        <w:t xml:space="preserve"> </w:t>
      </w:r>
      <w:r>
        <w:rPr>
          <w:rFonts w:hint="cs"/>
          <w:sz w:val="16"/>
          <w:szCs w:val="16"/>
          <w:rtl/>
        </w:rPr>
        <w:t xml:space="preserve">לג </w:t>
      </w:r>
      <w:r>
        <w:rPr>
          <w:sz w:val="16"/>
          <w:szCs w:val="16"/>
          <w:rtl/>
        </w:rPr>
        <w:t>–</w:t>
      </w:r>
      <w:r>
        <w:rPr>
          <w:rFonts w:hint="cs"/>
          <w:sz w:val="16"/>
          <w:szCs w:val="16"/>
          <w:rtl/>
        </w:rPr>
        <w:t xml:space="preserve"> </w:t>
      </w:r>
      <w:r w:rsidRPr="004D47D8">
        <w:rPr>
          <w:rFonts w:hint="cs"/>
          <w:sz w:val="16"/>
          <w:szCs w:val="16"/>
          <w:rtl/>
        </w:rPr>
        <w:t>לד</w:t>
      </w:r>
      <w:r>
        <w:rPr>
          <w:rFonts w:hint="cs"/>
          <w:sz w:val="16"/>
          <w:szCs w:val="16"/>
          <w:rtl/>
        </w:rPr>
        <w:t>)</w:t>
      </w:r>
      <w:r>
        <w:rPr>
          <w:rFonts w:hint="cs"/>
          <w:rtl/>
        </w:rPr>
        <w:t>.</w:t>
      </w:r>
    </w:p>
  </w:footnote>
  <w:footnote w:id="613">
    <w:p w14:paraId="015F3ADC" w14:textId="77777777" w:rsidR="0013116F" w:rsidRDefault="0013116F">
      <w:pPr>
        <w:pStyle w:val="a9"/>
        <w:rPr>
          <w:rtl/>
        </w:rPr>
      </w:pPr>
      <w:r>
        <w:rPr>
          <w:rStyle w:val="ab"/>
        </w:rPr>
        <w:footnoteRef/>
      </w:r>
      <w:r>
        <w:rPr>
          <w:rtl/>
        </w:rPr>
        <w:t xml:space="preserve"> </w:t>
      </w:r>
      <w:r>
        <w:rPr>
          <w:rFonts w:hint="cs"/>
          <w:rtl/>
        </w:rPr>
        <w:t>היינו, רב נחמן לא מסכים להא דאמר בשם שמואל, אלא רב נחמן עצמו אמר-...</w:t>
      </w:r>
    </w:p>
  </w:footnote>
  <w:footnote w:id="614">
    <w:p w14:paraId="3D61BEE6" w14:textId="77777777" w:rsidR="0013116F" w:rsidRDefault="0013116F">
      <w:pPr>
        <w:pStyle w:val="a9"/>
        <w:rPr>
          <w:rtl/>
        </w:rPr>
      </w:pPr>
      <w:r>
        <w:rPr>
          <w:rStyle w:val="ab"/>
        </w:rPr>
        <w:footnoteRef/>
      </w:r>
      <w:r>
        <w:rPr>
          <w:rtl/>
        </w:rPr>
        <w:t xml:space="preserve"> </w:t>
      </w:r>
      <w:r w:rsidRPr="00A876F6">
        <w:rPr>
          <w:rFonts w:cs="Arial"/>
          <w:rtl/>
        </w:rPr>
        <w:t>שמינו להם האפוטרופוס</w:t>
      </w:r>
      <w:r>
        <w:rPr>
          <w:rFonts w:cs="Arial" w:hint="cs"/>
          <w:rtl/>
        </w:rPr>
        <w:t>, רש"י</w:t>
      </w:r>
      <w:r w:rsidRPr="00A876F6">
        <w:rPr>
          <w:rFonts w:cs="Arial"/>
          <w:rtl/>
        </w:rPr>
        <w:t>.</w:t>
      </w:r>
    </w:p>
  </w:footnote>
  <w:footnote w:id="615">
    <w:p w14:paraId="69E54124" w14:textId="77777777" w:rsidR="0013116F" w:rsidRDefault="0013116F">
      <w:pPr>
        <w:pStyle w:val="a9"/>
        <w:rPr>
          <w:rtl/>
        </w:rPr>
      </w:pPr>
      <w:r>
        <w:rPr>
          <w:rStyle w:val="ab"/>
        </w:rPr>
        <w:footnoteRef/>
      </w:r>
      <w:r>
        <w:rPr>
          <w:rtl/>
        </w:rPr>
        <w:t xml:space="preserve"> </w:t>
      </w:r>
      <w:r w:rsidRPr="003C4A20">
        <w:rPr>
          <w:rFonts w:cs="Arial"/>
          <w:rtl/>
        </w:rPr>
        <w:t>ועיין בתשובת הר"ן (סי' לא) שכתבתי בסימן ק"ח (מחו' א) ועיין בתשובת הרשב"א (ח"א סי' תתצא) שכתבתי בסוף הסימן הנזכר (סל"ט)</w:t>
      </w:r>
      <w:r>
        <w:rPr>
          <w:rFonts w:hint="cs"/>
          <w:rtl/>
        </w:rPr>
        <w:t>, ב"י.</w:t>
      </w:r>
    </w:p>
  </w:footnote>
  <w:footnote w:id="616">
    <w:p w14:paraId="1B00E13D" w14:textId="77777777" w:rsidR="0013116F" w:rsidRDefault="0013116F">
      <w:pPr>
        <w:pStyle w:val="a9"/>
        <w:rPr>
          <w:rtl/>
        </w:rPr>
      </w:pPr>
      <w:r>
        <w:rPr>
          <w:rStyle w:val="ab"/>
        </w:rPr>
        <w:footnoteRef/>
      </w:r>
      <w:r>
        <w:rPr>
          <w:rtl/>
        </w:rPr>
        <w:t xml:space="preserve"> </w:t>
      </w:r>
      <w:r>
        <w:rPr>
          <w:rFonts w:hint="cs"/>
          <w:rtl/>
        </w:rPr>
        <w:t xml:space="preserve">סימן </w:t>
      </w:r>
      <w:r>
        <w:rPr>
          <w:rtl/>
        </w:rPr>
        <w:t>–</w:t>
      </w:r>
      <w:r>
        <w:rPr>
          <w:rFonts w:hint="cs"/>
          <w:rtl/>
        </w:rPr>
        <w:t xml:space="preserve"> מכריע ברח מפשר ב"ד. וכן - משלם בשר בזול.</w:t>
      </w:r>
    </w:p>
  </w:footnote>
  <w:footnote w:id="617">
    <w:p w14:paraId="0BCDAEDD" w14:textId="77777777" w:rsidR="0013116F" w:rsidRDefault="0013116F">
      <w:pPr>
        <w:pStyle w:val="a9"/>
        <w:rPr>
          <w:rtl/>
        </w:rPr>
      </w:pPr>
      <w:r>
        <w:rPr>
          <w:rStyle w:val="ab"/>
        </w:rPr>
        <w:footnoteRef/>
      </w:r>
      <w:r>
        <w:rPr>
          <w:rtl/>
        </w:rPr>
        <w:t xml:space="preserve"> </w:t>
      </w:r>
      <w:r w:rsidRPr="00711848">
        <w:rPr>
          <w:rFonts w:cs="Arial"/>
          <w:rtl/>
        </w:rPr>
        <w:t>היה לו להודיעני שאינו אוכל</w:t>
      </w:r>
      <w:r>
        <w:rPr>
          <w:rFonts w:cs="Arial" w:hint="cs"/>
          <w:rtl/>
        </w:rPr>
        <w:t>, רש"י</w:t>
      </w:r>
      <w:r w:rsidRPr="00711848">
        <w:rPr>
          <w:rFonts w:cs="Arial"/>
          <w:rtl/>
        </w:rPr>
        <w:t>.</w:t>
      </w:r>
    </w:p>
  </w:footnote>
  <w:footnote w:id="618">
    <w:p w14:paraId="6CBA159F" w14:textId="77777777" w:rsidR="0013116F" w:rsidRDefault="0013116F">
      <w:pPr>
        <w:pStyle w:val="a9"/>
        <w:rPr>
          <w:rtl/>
        </w:rPr>
      </w:pPr>
      <w:r>
        <w:rPr>
          <w:rStyle w:val="ab"/>
        </w:rPr>
        <w:footnoteRef/>
      </w:r>
      <w:r>
        <w:rPr>
          <w:rtl/>
        </w:rPr>
        <w:t xml:space="preserve"> </w:t>
      </w:r>
      <w:r w:rsidRPr="00711848">
        <w:rPr>
          <w:rFonts w:cs="Arial"/>
          <w:rtl/>
        </w:rPr>
        <w:t>אם אוכל אם לאו</w:t>
      </w:r>
      <w:r>
        <w:rPr>
          <w:rFonts w:cs="Arial" w:hint="cs"/>
          <w:rtl/>
        </w:rPr>
        <w:t>, רש"י</w:t>
      </w:r>
      <w:r w:rsidRPr="00711848">
        <w:rPr>
          <w:rFonts w:cs="Arial"/>
          <w:rtl/>
        </w:rPr>
        <w:t>.</w:t>
      </w:r>
    </w:p>
  </w:footnote>
  <w:footnote w:id="619">
    <w:p w14:paraId="39DC5D96" w14:textId="77777777" w:rsidR="0013116F" w:rsidRDefault="0013116F">
      <w:pPr>
        <w:pStyle w:val="a9"/>
      </w:pPr>
      <w:r>
        <w:rPr>
          <w:rStyle w:val="ab"/>
        </w:rPr>
        <w:footnoteRef/>
      </w:r>
      <w:r>
        <w:rPr>
          <w:rtl/>
        </w:rPr>
        <w:t xml:space="preserve"> </w:t>
      </w:r>
      <w:r w:rsidRPr="00711848">
        <w:rPr>
          <w:rFonts w:cs="Arial"/>
          <w:rtl/>
        </w:rPr>
        <w:t>המוכר</w:t>
      </w:r>
      <w:r>
        <w:rPr>
          <w:rFonts w:cs="Arial" w:hint="cs"/>
          <w:rtl/>
        </w:rPr>
        <w:t>, רש"י</w:t>
      </w:r>
      <w:r w:rsidRPr="00711848">
        <w:rPr>
          <w:rFonts w:cs="Arial"/>
          <w:rtl/>
        </w:rPr>
        <w:t>.</w:t>
      </w:r>
    </w:p>
  </w:footnote>
  <w:footnote w:id="620">
    <w:p w14:paraId="55FF21D3" w14:textId="77777777" w:rsidR="0013116F" w:rsidRDefault="0013116F">
      <w:pPr>
        <w:pStyle w:val="a9"/>
      </w:pPr>
      <w:r>
        <w:rPr>
          <w:rStyle w:val="ab"/>
        </w:rPr>
        <w:footnoteRef/>
      </w:r>
      <w:r>
        <w:rPr>
          <w:rtl/>
        </w:rPr>
        <w:t xml:space="preserve"> </w:t>
      </w:r>
      <w:r w:rsidRPr="00711848">
        <w:rPr>
          <w:rFonts w:cs="Arial"/>
          <w:rtl/>
        </w:rPr>
        <w:t xml:space="preserve"> דאמרי ליה: מקח טעות הוא</w:t>
      </w:r>
      <w:r>
        <w:rPr>
          <w:rFonts w:cs="Arial" w:hint="cs"/>
          <w:rtl/>
        </w:rPr>
        <w:t>, רש"י</w:t>
      </w:r>
      <w:r w:rsidRPr="00711848">
        <w:rPr>
          <w:rFonts w:cs="Arial"/>
          <w:rtl/>
        </w:rPr>
        <w:t>.</w:t>
      </w:r>
    </w:p>
  </w:footnote>
  <w:footnote w:id="621">
    <w:p w14:paraId="37C18FCB" w14:textId="77777777" w:rsidR="0013116F" w:rsidRDefault="0013116F">
      <w:pPr>
        <w:pStyle w:val="a9"/>
      </w:pPr>
      <w:r>
        <w:rPr>
          <w:rStyle w:val="ab"/>
        </w:rPr>
        <w:footnoteRef/>
      </w:r>
      <w:r>
        <w:rPr>
          <w:rtl/>
        </w:rPr>
        <w:t xml:space="preserve"> </w:t>
      </w:r>
      <w:r w:rsidRPr="00711848">
        <w:rPr>
          <w:rFonts w:cs="Arial"/>
          <w:rtl/>
        </w:rPr>
        <w:t>מי תובע כלום דקאמר רמי בר חמא היכי נידיינו</w:t>
      </w:r>
      <w:r>
        <w:rPr>
          <w:rFonts w:cs="Arial" w:hint="cs"/>
          <w:rtl/>
        </w:rPr>
        <w:t>, רש"י</w:t>
      </w:r>
      <w:r w:rsidRPr="00711848">
        <w:rPr>
          <w:rFonts w:cs="Arial"/>
          <w:rtl/>
        </w:rPr>
        <w:t>.</w:t>
      </w:r>
    </w:p>
  </w:footnote>
  <w:footnote w:id="622">
    <w:p w14:paraId="17B6270E" w14:textId="77777777" w:rsidR="0013116F" w:rsidRDefault="0013116F">
      <w:pPr>
        <w:pStyle w:val="a9"/>
      </w:pPr>
      <w:r>
        <w:rPr>
          <w:rStyle w:val="ab"/>
        </w:rPr>
        <w:footnoteRef/>
      </w:r>
      <w:r>
        <w:rPr>
          <w:rtl/>
        </w:rPr>
        <w:t xml:space="preserve"> </w:t>
      </w:r>
      <w:r w:rsidRPr="00711848">
        <w:rPr>
          <w:rFonts w:cs="Arial"/>
          <w:rtl/>
        </w:rPr>
        <w:t>ושואל שמתה בהמתו אצלך, ותובע את האפוטרופוס</w:t>
      </w:r>
      <w:r>
        <w:rPr>
          <w:rFonts w:cs="Arial" w:hint="cs"/>
          <w:rtl/>
        </w:rPr>
        <w:t>, רש"י</w:t>
      </w:r>
      <w:r w:rsidRPr="00711848">
        <w:rPr>
          <w:rFonts w:cs="Arial"/>
          <w:rtl/>
        </w:rPr>
        <w:t>.</w:t>
      </w:r>
    </w:p>
  </w:footnote>
  <w:footnote w:id="623">
    <w:p w14:paraId="4205026D" w14:textId="77777777" w:rsidR="0013116F" w:rsidRDefault="0013116F">
      <w:pPr>
        <w:pStyle w:val="a9"/>
      </w:pPr>
      <w:r>
        <w:rPr>
          <w:rStyle w:val="ab"/>
        </w:rPr>
        <w:footnoteRef/>
      </w:r>
      <w:r>
        <w:rPr>
          <w:rtl/>
        </w:rPr>
        <w:t xml:space="preserve"> </w:t>
      </w:r>
      <w:r w:rsidRPr="00711848">
        <w:rPr>
          <w:rFonts w:cs="Arial"/>
          <w:rtl/>
        </w:rPr>
        <w:t xml:space="preserve"> קונה ומוכר בהמות בשוק, ביום שקנה מוכר</w:t>
      </w:r>
      <w:r>
        <w:rPr>
          <w:rFonts w:cs="Arial" w:hint="cs"/>
          <w:rtl/>
        </w:rPr>
        <w:t>, רש"י</w:t>
      </w:r>
      <w:r w:rsidRPr="00711848">
        <w:rPr>
          <w:rFonts w:cs="Arial"/>
          <w:rtl/>
        </w:rPr>
        <w:t>.</w:t>
      </w:r>
    </w:p>
  </w:footnote>
  <w:footnote w:id="624">
    <w:p w14:paraId="553AEE3B" w14:textId="77777777" w:rsidR="0013116F" w:rsidRDefault="0013116F" w:rsidP="00711848">
      <w:pPr>
        <w:pStyle w:val="a9"/>
        <w:rPr>
          <w:rtl/>
        </w:rPr>
      </w:pPr>
      <w:r>
        <w:rPr>
          <w:rStyle w:val="ab"/>
        </w:rPr>
        <w:footnoteRef/>
      </w:r>
      <w:r>
        <w:rPr>
          <w:rtl/>
        </w:rPr>
        <w:t xml:space="preserve"> </w:t>
      </w:r>
      <w:r w:rsidRPr="00711848">
        <w:rPr>
          <w:rFonts w:cs="Arial"/>
          <w:rtl/>
        </w:rPr>
        <w:t>משתבע ספסירא דלא הוה ידע</w:t>
      </w:r>
      <w:r>
        <w:rPr>
          <w:rFonts w:cs="Arial" w:hint="cs"/>
          <w:rtl/>
        </w:rPr>
        <w:t>, רש"י</w:t>
      </w:r>
      <w:r w:rsidRPr="00711848">
        <w:rPr>
          <w:rFonts w:cs="Arial"/>
          <w:rtl/>
        </w:rPr>
        <w:t>.</w:t>
      </w:r>
    </w:p>
  </w:footnote>
  <w:footnote w:id="625">
    <w:p w14:paraId="50D23715" w14:textId="77777777" w:rsidR="0013116F" w:rsidRDefault="0013116F">
      <w:pPr>
        <w:pStyle w:val="a9"/>
      </w:pPr>
      <w:r>
        <w:rPr>
          <w:rStyle w:val="ab"/>
        </w:rPr>
        <w:footnoteRef/>
      </w:r>
      <w:r>
        <w:rPr>
          <w:rtl/>
        </w:rPr>
        <w:t xml:space="preserve"> </w:t>
      </w:r>
      <w:r w:rsidRPr="00711848">
        <w:rPr>
          <w:rFonts w:cs="Arial"/>
          <w:rtl/>
        </w:rPr>
        <w:t>הטיל פשרה ביניהם.</w:t>
      </w:r>
      <w:r>
        <w:rPr>
          <w:rFonts w:cs="Arial" w:hint="cs"/>
          <w:rtl/>
        </w:rPr>
        <w:t xml:space="preserve"> ועי' ברש"י (ד"ה ומשלם בקרא) שפירש באריכות.</w:t>
      </w:r>
    </w:p>
  </w:footnote>
  <w:footnote w:id="626">
    <w:p w14:paraId="2B97FED1" w14:textId="77777777" w:rsidR="0013116F" w:rsidRDefault="0013116F">
      <w:pPr>
        <w:pStyle w:val="a9"/>
        <w:rPr>
          <w:rtl/>
        </w:rPr>
      </w:pPr>
      <w:r>
        <w:rPr>
          <w:rStyle w:val="ab"/>
        </w:rPr>
        <w:footnoteRef/>
      </w:r>
      <w:r>
        <w:rPr>
          <w:rtl/>
        </w:rPr>
        <w:t xml:space="preserve"> </w:t>
      </w:r>
      <w:r>
        <w:rPr>
          <w:rFonts w:cs="Arial"/>
          <w:rtl/>
        </w:rPr>
        <w:t>ב"ב קנ</w:t>
      </w:r>
      <w:r>
        <w:rPr>
          <w:rFonts w:cs="Arial" w:hint="cs"/>
          <w:rtl/>
        </w:rPr>
        <w:t xml:space="preserve"> ע"ב</w:t>
      </w:r>
      <w:r>
        <w:rPr>
          <w:rFonts w:cs="Arial"/>
          <w:rtl/>
        </w:rPr>
        <w:t xml:space="preserve"> גבי ש</w:t>
      </w:r>
      <w:r>
        <w:rPr>
          <w:rFonts w:cs="Arial" w:hint="cs"/>
          <w:rtl/>
        </w:rPr>
        <w:t>כ</w:t>
      </w:r>
      <w:r>
        <w:rPr>
          <w:rFonts w:cs="Arial"/>
          <w:rtl/>
        </w:rPr>
        <w:t>"מ</w:t>
      </w:r>
      <w:r>
        <w:rPr>
          <w:rFonts w:cs="Arial" w:hint="cs"/>
          <w:rtl/>
        </w:rPr>
        <w:t>, שם</w:t>
      </w:r>
      <w:r>
        <w:rPr>
          <w:rFonts w:cs="Arial"/>
          <w:rtl/>
        </w:rPr>
        <w:t xml:space="preserve"> קלא</w:t>
      </w:r>
      <w:r>
        <w:rPr>
          <w:rFonts w:cs="Arial" w:hint="cs"/>
          <w:rtl/>
        </w:rPr>
        <w:t xml:space="preserve"> ע"ב גבי</w:t>
      </w:r>
      <w:r>
        <w:rPr>
          <w:rFonts w:cs="Arial"/>
          <w:rtl/>
        </w:rPr>
        <w:t xml:space="preserve"> הכותב כל נכסיו לאשתו</w:t>
      </w:r>
      <w:r>
        <w:rPr>
          <w:rFonts w:cs="Arial" w:hint="cs"/>
          <w:rtl/>
        </w:rPr>
        <w:t>,</w:t>
      </w:r>
      <w:r>
        <w:rPr>
          <w:rFonts w:cs="Arial"/>
          <w:rtl/>
        </w:rPr>
        <w:t xml:space="preserve"> שם קלב</w:t>
      </w:r>
      <w:r>
        <w:rPr>
          <w:rFonts w:cs="Arial" w:hint="cs"/>
          <w:rtl/>
        </w:rPr>
        <w:t xml:space="preserve"> ע"א</w:t>
      </w:r>
      <w:r>
        <w:rPr>
          <w:rFonts w:cs="Arial"/>
          <w:rtl/>
        </w:rPr>
        <w:t xml:space="preserve"> </w:t>
      </w:r>
      <w:r>
        <w:rPr>
          <w:rFonts w:cs="Arial" w:hint="cs"/>
          <w:rtl/>
        </w:rPr>
        <w:t xml:space="preserve">גבי זה </w:t>
      </w:r>
      <w:r>
        <w:rPr>
          <w:rFonts w:cs="Arial"/>
          <w:rtl/>
        </w:rPr>
        <w:t>שהלך בנו למדינת הים</w:t>
      </w:r>
      <w:r>
        <w:rPr>
          <w:rFonts w:cs="Arial" w:hint="cs"/>
          <w:rtl/>
        </w:rPr>
        <w:t>,</w:t>
      </w:r>
      <w:r>
        <w:rPr>
          <w:rFonts w:cs="Arial"/>
          <w:rtl/>
        </w:rPr>
        <w:t xml:space="preserve"> כתובות עח</w:t>
      </w:r>
      <w:r>
        <w:rPr>
          <w:rFonts w:cs="Arial" w:hint="cs"/>
          <w:rtl/>
        </w:rPr>
        <w:t xml:space="preserve"> ע"ב גבי</w:t>
      </w:r>
      <w:r>
        <w:rPr>
          <w:rFonts w:cs="Arial"/>
          <w:rtl/>
        </w:rPr>
        <w:t xml:space="preserve"> אשה שרצתה לינשא וכתבה כל נכסיה לאחר</w:t>
      </w:r>
      <w:r>
        <w:rPr>
          <w:rFonts w:hint="cs"/>
          <w:rtl/>
        </w:rPr>
        <w:t>.</w:t>
      </w:r>
    </w:p>
  </w:footnote>
  <w:footnote w:id="627">
    <w:p w14:paraId="011757C5" w14:textId="77777777" w:rsidR="0013116F" w:rsidRDefault="0013116F">
      <w:pPr>
        <w:pStyle w:val="a9"/>
      </w:pPr>
      <w:r>
        <w:rPr>
          <w:rStyle w:val="ab"/>
        </w:rPr>
        <w:footnoteRef/>
      </w:r>
      <w:r>
        <w:rPr>
          <w:rtl/>
        </w:rPr>
        <w:t xml:space="preserve"> </w:t>
      </w:r>
      <w:r>
        <w:rPr>
          <w:rFonts w:cs="Arial"/>
          <w:rtl/>
        </w:rPr>
        <w:t>פ</w:t>
      </w:r>
      <w:r>
        <w:rPr>
          <w:rFonts w:cs="Arial" w:hint="cs"/>
          <w:rtl/>
        </w:rPr>
        <w:t>רק</w:t>
      </w:r>
      <w:r>
        <w:rPr>
          <w:rFonts w:cs="Arial"/>
          <w:rtl/>
        </w:rPr>
        <w:t xml:space="preserve"> הכותב פה</w:t>
      </w:r>
      <w:r>
        <w:rPr>
          <w:rFonts w:cs="Arial" w:hint="cs"/>
          <w:rtl/>
        </w:rPr>
        <w:t xml:space="preserve"> ע"ב</w:t>
      </w:r>
      <w:r>
        <w:rPr>
          <w:rFonts w:cs="Arial"/>
          <w:rtl/>
        </w:rPr>
        <w:t xml:space="preserve"> </w:t>
      </w:r>
      <w:r>
        <w:rPr>
          <w:rFonts w:cs="Arial" w:hint="cs"/>
          <w:rtl/>
        </w:rPr>
        <w:t xml:space="preserve">גבי </w:t>
      </w:r>
      <w:r>
        <w:rPr>
          <w:rFonts w:cs="Arial"/>
          <w:rtl/>
        </w:rPr>
        <w:t>ההוא דאמר נכסי לטוביה</w:t>
      </w:r>
      <w:r>
        <w:rPr>
          <w:rFonts w:cs="Arial" w:hint="cs"/>
          <w:rtl/>
        </w:rPr>
        <w:t>,</w:t>
      </w:r>
      <w:r>
        <w:rPr>
          <w:rFonts w:cs="Arial"/>
          <w:rtl/>
        </w:rPr>
        <w:t xml:space="preserve"> שם צד</w:t>
      </w:r>
      <w:r>
        <w:rPr>
          <w:rFonts w:cs="Arial" w:hint="cs"/>
          <w:rtl/>
        </w:rPr>
        <w:t xml:space="preserve"> ע"א גבי</w:t>
      </w:r>
      <w:r>
        <w:rPr>
          <w:rFonts w:cs="Arial"/>
          <w:rtl/>
        </w:rPr>
        <w:t xml:space="preserve"> שני שטרות היוצאים ביום אחד</w:t>
      </w:r>
      <w:r>
        <w:rPr>
          <w:rFonts w:cs="Arial" w:hint="cs"/>
          <w:rtl/>
        </w:rPr>
        <w:t>.</w:t>
      </w:r>
    </w:p>
  </w:footnote>
  <w:footnote w:id="628">
    <w:p w14:paraId="778ECABF" w14:textId="77777777" w:rsidR="0013116F" w:rsidRDefault="0013116F">
      <w:pPr>
        <w:pStyle w:val="a9"/>
      </w:pPr>
      <w:r>
        <w:rPr>
          <w:rStyle w:val="ab"/>
        </w:rPr>
        <w:footnoteRef/>
      </w:r>
      <w:r>
        <w:rPr>
          <w:rtl/>
        </w:rPr>
        <w:t xml:space="preserve"> </w:t>
      </w:r>
      <w:r>
        <w:rPr>
          <w:rFonts w:hint="cs"/>
          <w:rtl/>
        </w:rPr>
        <w:t xml:space="preserve">וז"ל- </w:t>
      </w:r>
      <w:r w:rsidRPr="00D72244">
        <w:rPr>
          <w:rFonts w:cs="Arial"/>
          <w:rtl/>
        </w:rPr>
        <w:t>לפי ראות עיני הדיינין יטילו הזכות והחובה.</w:t>
      </w:r>
    </w:p>
  </w:footnote>
  <w:footnote w:id="629">
    <w:p w14:paraId="3C050BB5" w14:textId="77777777" w:rsidR="0013116F" w:rsidRPr="00D72244" w:rsidRDefault="0013116F">
      <w:pPr>
        <w:pStyle w:val="a9"/>
      </w:pPr>
      <w:r w:rsidRPr="00D72244">
        <w:rPr>
          <w:rStyle w:val="ab"/>
        </w:rPr>
        <w:footnoteRef/>
      </w:r>
      <w:r w:rsidRPr="00D72244">
        <w:rPr>
          <w:rtl/>
        </w:rPr>
        <w:t xml:space="preserve"> </w:t>
      </w:r>
      <w:r w:rsidRPr="00D72244">
        <w:rPr>
          <w:rFonts w:cs="Arial"/>
          <w:rtl/>
        </w:rPr>
        <w:t>היינו שודא לפירוש התוספות (קידושין עד. ב"ב לה. ד"ה שודא)</w:t>
      </w:r>
      <w:r w:rsidRPr="00D72244">
        <w:rPr>
          <w:rFonts w:cs="Arial" w:hint="cs"/>
          <w:rtl/>
        </w:rPr>
        <w:t>, ב"י.</w:t>
      </w:r>
    </w:p>
  </w:footnote>
  <w:footnote w:id="630">
    <w:p w14:paraId="289EE99C" w14:textId="77777777" w:rsidR="0013116F" w:rsidRDefault="0013116F" w:rsidP="00D72244">
      <w:pPr>
        <w:pStyle w:val="a9"/>
        <w:rPr>
          <w:rtl/>
        </w:rPr>
      </w:pPr>
      <w:r>
        <w:rPr>
          <w:rStyle w:val="ab"/>
        </w:rPr>
        <w:footnoteRef/>
      </w:r>
      <w:r>
        <w:rPr>
          <w:rtl/>
        </w:rPr>
        <w:t xml:space="preserve"> </w:t>
      </w:r>
      <w:r w:rsidRPr="00711848">
        <w:rPr>
          <w:rFonts w:cs="Arial"/>
          <w:rtl/>
        </w:rPr>
        <w:t>ור"ל שכל אלו הדברים יכול לעשות הדיין בע"כ דבעלי דינים</w:t>
      </w:r>
      <w:r>
        <w:rPr>
          <w:rFonts w:hint="cs"/>
          <w:rtl/>
        </w:rPr>
        <w:t>, סמ"ע (סקי"ב).</w:t>
      </w:r>
    </w:p>
  </w:footnote>
  <w:footnote w:id="631">
    <w:p w14:paraId="7374CAC1" w14:textId="77777777" w:rsidR="0013116F" w:rsidRDefault="0013116F" w:rsidP="00711848">
      <w:pPr>
        <w:pStyle w:val="a9"/>
        <w:rPr>
          <w:rtl/>
        </w:rPr>
      </w:pPr>
      <w:r>
        <w:rPr>
          <w:rStyle w:val="ab"/>
        </w:rPr>
        <w:footnoteRef/>
      </w:r>
      <w:r>
        <w:rPr>
          <w:rtl/>
        </w:rPr>
        <w:t xml:space="preserve"> </w:t>
      </w:r>
      <w:r w:rsidRPr="00711848">
        <w:rPr>
          <w:rFonts w:cs="Arial"/>
          <w:rtl/>
        </w:rPr>
        <w:t>בע"כ דבעלי דינים</w:t>
      </w:r>
      <w:r>
        <w:rPr>
          <w:rFonts w:hint="cs"/>
          <w:rtl/>
        </w:rPr>
        <w:t>, סמ"ע (סקי"ב).</w:t>
      </w:r>
    </w:p>
  </w:footnote>
  <w:footnote w:id="632">
    <w:p w14:paraId="62933A15" w14:textId="77777777" w:rsidR="0013116F" w:rsidRDefault="0013116F">
      <w:pPr>
        <w:pStyle w:val="a9"/>
        <w:rPr>
          <w:rtl/>
        </w:rPr>
      </w:pPr>
      <w:r>
        <w:rPr>
          <w:rStyle w:val="ab"/>
        </w:rPr>
        <w:footnoteRef/>
      </w:r>
      <w:r>
        <w:rPr>
          <w:rtl/>
        </w:rPr>
        <w:t xml:space="preserve"> </w:t>
      </w:r>
      <w:r w:rsidRPr="007C634A">
        <w:rPr>
          <w:rFonts w:cs="Arial"/>
          <w:rtl/>
        </w:rPr>
        <w:t xml:space="preserve">ולא הייתי נזקק להביא שום ראיה לאסור דהוי פשיטא מסברא, אלא דמסתפינא הוינא דלמא טעו אינשי בהא דאיתא פ' שור שנגח ד' וה' </w:t>
      </w:r>
      <w:r w:rsidRPr="007C634A">
        <w:rPr>
          <w:rFonts w:cs="Arial" w:hint="cs"/>
          <w:sz w:val="16"/>
          <w:szCs w:val="16"/>
          <w:rtl/>
        </w:rPr>
        <w:t>(</w:t>
      </w:r>
      <w:r w:rsidRPr="007C634A">
        <w:rPr>
          <w:rFonts w:cs="Arial"/>
          <w:sz w:val="16"/>
          <w:szCs w:val="16"/>
          <w:rtl/>
        </w:rPr>
        <w:t>ב"ק מ</w:t>
      </w:r>
      <w:r w:rsidRPr="007C634A">
        <w:rPr>
          <w:rFonts w:cs="Arial" w:hint="cs"/>
          <w:sz w:val="16"/>
          <w:szCs w:val="16"/>
          <w:rtl/>
        </w:rPr>
        <w:t>:)</w:t>
      </w:r>
      <w:r w:rsidRPr="007C634A">
        <w:rPr>
          <w:rFonts w:cs="Arial"/>
          <w:sz w:val="16"/>
          <w:szCs w:val="16"/>
          <w:rtl/>
        </w:rPr>
        <w:t xml:space="preserve"> </w:t>
      </w:r>
      <w:r w:rsidRPr="007C634A">
        <w:rPr>
          <w:rFonts w:cs="Arial"/>
          <w:rtl/>
        </w:rPr>
        <w:t>ת"ר שאלו בחזקת תם</w:t>
      </w:r>
      <w:r>
        <w:rPr>
          <w:rFonts w:cs="Arial" w:hint="cs"/>
          <w:rtl/>
        </w:rPr>
        <w:t xml:space="preserve">... </w:t>
      </w:r>
      <w:r w:rsidRPr="007C634A">
        <w:rPr>
          <w:rFonts w:cs="Arial"/>
          <w:rtl/>
        </w:rPr>
        <w:t>ומקשים שם התוספות וז"ל תימא מאי טענה היא זאת</w:t>
      </w:r>
      <w:r>
        <w:rPr>
          <w:rFonts w:cs="Arial" w:hint="cs"/>
          <w:rtl/>
        </w:rPr>
        <w:t>..</w:t>
      </w:r>
      <w:r w:rsidRPr="007C634A">
        <w:rPr>
          <w:rFonts w:cs="Arial"/>
          <w:rtl/>
        </w:rPr>
        <w:t>. ונראה שר"ל מתוך דברים הללו שהייתי עושה היה הניזק מתפשר עמו בדבר מועט והיה מוחל לו נמצא שהפסדתי כל היתירות עכ"ל. מהכא משמע לכאורה דשרי לבקש טצדקי ועקלקלות כדי שיכריח חבירו שיתפשר עמו וימחול לו על ממונו שהיה שלו מן הדין. אמנם כי דייקית שפיר בדברי התוס' יש לנו להוכיח אדרבה דלא למיעבד הכי</w:t>
      </w:r>
      <w:r>
        <w:rPr>
          <w:rFonts w:cs="Arial" w:hint="cs"/>
          <w:rtl/>
        </w:rPr>
        <w:t>...</w:t>
      </w:r>
      <w:r>
        <w:rPr>
          <w:rFonts w:hint="cs"/>
          <w:rtl/>
        </w:rPr>
        <w:t>, תרוה"ד.</w:t>
      </w:r>
    </w:p>
  </w:footnote>
  <w:footnote w:id="633">
    <w:p w14:paraId="45282E17" w14:textId="77777777" w:rsidR="0013116F" w:rsidRDefault="0013116F">
      <w:pPr>
        <w:pStyle w:val="a9"/>
      </w:pPr>
      <w:r>
        <w:rPr>
          <w:rStyle w:val="ab"/>
        </w:rPr>
        <w:footnoteRef/>
      </w:r>
      <w:r>
        <w:rPr>
          <w:rtl/>
        </w:rPr>
        <w:t xml:space="preserve"> </w:t>
      </w:r>
      <w:r>
        <w:rPr>
          <w:rFonts w:hint="cs"/>
          <w:rtl/>
        </w:rPr>
        <w:t xml:space="preserve">סימן </w:t>
      </w:r>
      <w:r>
        <w:rPr>
          <w:rtl/>
        </w:rPr>
        <w:t>–</w:t>
      </w:r>
      <w:r>
        <w:rPr>
          <w:rFonts w:hint="cs"/>
          <w:rtl/>
        </w:rPr>
        <w:t xml:space="preserve"> ויתור</w:t>
      </w:r>
      <w:r>
        <w:rPr>
          <w:rFonts w:hint="cs"/>
          <w:sz w:val="16"/>
          <w:szCs w:val="16"/>
          <w:rtl/>
        </w:rPr>
        <w:t xml:space="preserve"> (הסימן לדף ו. שבו עיקר העניין)</w:t>
      </w:r>
      <w:r>
        <w:rPr>
          <w:rFonts w:hint="cs"/>
          <w:rtl/>
        </w:rPr>
        <w:t>.</w:t>
      </w:r>
    </w:p>
  </w:footnote>
  <w:footnote w:id="634">
    <w:p w14:paraId="317D08DD" w14:textId="77777777" w:rsidR="0013116F" w:rsidRDefault="0013116F">
      <w:pPr>
        <w:pStyle w:val="a9"/>
      </w:pPr>
      <w:r>
        <w:rPr>
          <w:rStyle w:val="ab"/>
        </w:rPr>
        <w:footnoteRef/>
      </w:r>
      <w:r>
        <w:rPr>
          <w:rtl/>
        </w:rPr>
        <w:t xml:space="preserve"> </w:t>
      </w:r>
      <w:r w:rsidRPr="000464DD">
        <w:rPr>
          <w:rFonts w:cs="Arial"/>
          <w:rtl/>
        </w:rPr>
        <w:t>ר' אבהו אדשמואל, שמואל סבר: פליגי רבנן עליה דרבן שמעון בן גמליאל</w:t>
      </w:r>
      <w:r>
        <w:rPr>
          <w:rFonts w:cs="Arial" w:hint="cs"/>
          <w:rtl/>
        </w:rPr>
        <w:t>, רש"י</w:t>
      </w:r>
      <w:r w:rsidRPr="000464DD">
        <w:rPr>
          <w:rFonts w:cs="Arial"/>
          <w:rtl/>
        </w:rPr>
        <w:t>.</w:t>
      </w:r>
    </w:p>
  </w:footnote>
  <w:footnote w:id="635">
    <w:p w14:paraId="24C9DE54" w14:textId="77777777" w:rsidR="0013116F" w:rsidRDefault="0013116F">
      <w:pPr>
        <w:pStyle w:val="a9"/>
        <w:rPr>
          <w:rtl/>
        </w:rPr>
      </w:pPr>
      <w:r>
        <w:rPr>
          <w:rStyle w:val="ab"/>
        </w:rPr>
        <w:footnoteRef/>
      </w:r>
      <w:r>
        <w:rPr>
          <w:rtl/>
        </w:rPr>
        <w:t xml:space="preserve"> </w:t>
      </w:r>
      <w:r w:rsidRPr="000464DD">
        <w:rPr>
          <w:rFonts w:cs="Arial"/>
          <w:rtl/>
        </w:rPr>
        <w:t>הא דאמרינן דשמואל ור' אבהו פליגי</w:t>
      </w:r>
      <w:r>
        <w:rPr>
          <w:rFonts w:cs="Arial" w:hint="cs"/>
          <w:rtl/>
        </w:rPr>
        <w:t>, רש"י</w:t>
      </w:r>
      <w:r w:rsidRPr="000464DD">
        <w:rPr>
          <w:rFonts w:cs="Arial"/>
          <w:rtl/>
        </w:rPr>
        <w:t>.</w:t>
      </w:r>
    </w:p>
  </w:footnote>
  <w:footnote w:id="636">
    <w:p w14:paraId="6F630066" w14:textId="77777777" w:rsidR="0013116F" w:rsidRDefault="0013116F" w:rsidP="00D861AF">
      <w:pPr>
        <w:pStyle w:val="a9"/>
      </w:pPr>
      <w:r>
        <w:rPr>
          <w:rStyle w:val="ab"/>
        </w:rPr>
        <w:footnoteRef/>
      </w:r>
      <w:r>
        <w:rPr>
          <w:rtl/>
        </w:rPr>
        <w:t xml:space="preserve"> </w:t>
      </w:r>
      <w:r>
        <w:rPr>
          <w:rFonts w:hint="cs"/>
          <w:rtl/>
        </w:rPr>
        <w:t xml:space="preserve">אמנם הנמוק"י </w:t>
      </w:r>
      <w:r w:rsidRPr="00774862">
        <w:rPr>
          <w:rFonts w:hint="cs"/>
          <w:sz w:val="16"/>
          <w:szCs w:val="16"/>
          <w:rtl/>
        </w:rPr>
        <w:t>(א: מדפה"ר, הביאו הסמ"ע סקי"ז)</w:t>
      </w:r>
      <w:r>
        <w:rPr>
          <w:rFonts w:hint="cs"/>
          <w:rtl/>
        </w:rPr>
        <w:t xml:space="preserve"> כתב שגם הרי"ף ס"ל דבחד סגי.</w:t>
      </w:r>
      <w:r w:rsidRPr="00774862">
        <w:rPr>
          <w:rtl/>
        </w:rPr>
        <w:t xml:space="preserve"> </w:t>
      </w:r>
      <w:r>
        <w:rPr>
          <w:rFonts w:cs="Arial" w:hint="cs"/>
          <w:rtl/>
        </w:rPr>
        <w:t xml:space="preserve">וגם </w:t>
      </w:r>
      <w:r w:rsidRPr="00774862">
        <w:rPr>
          <w:rFonts w:cs="Arial"/>
          <w:rtl/>
        </w:rPr>
        <w:t>בהגה</w:t>
      </w:r>
      <w:r>
        <w:rPr>
          <w:rFonts w:cs="Arial" w:hint="cs"/>
          <w:rtl/>
        </w:rPr>
        <w:t>"מ</w:t>
      </w:r>
      <w:r w:rsidRPr="00774862">
        <w:rPr>
          <w:rFonts w:cs="Arial"/>
          <w:rtl/>
        </w:rPr>
        <w:t xml:space="preserve"> [שם אות ד'] כתב על דברי רמב"ם לאו דוקא ב' ה"ה אחד</w:t>
      </w:r>
      <w:r>
        <w:rPr>
          <w:rFonts w:cs="Arial" w:hint="cs"/>
          <w:rtl/>
        </w:rPr>
        <w:t>. ולכן כתב הט"ז ד</w:t>
      </w:r>
      <w:r w:rsidRPr="00774862">
        <w:rPr>
          <w:rFonts w:cs="Arial"/>
          <w:rtl/>
        </w:rPr>
        <w:t>נראה דלית מאן דחש להא מילתא וסגיא אפילו בפני אחד בקנין, וכ</w:t>
      </w:r>
      <w:r>
        <w:rPr>
          <w:rFonts w:cs="Arial" w:hint="cs"/>
          <w:rtl/>
        </w:rPr>
        <w:t>"</w:t>
      </w:r>
      <w:r w:rsidRPr="00774862">
        <w:rPr>
          <w:rFonts w:cs="Arial"/>
          <w:rtl/>
        </w:rPr>
        <w:t xml:space="preserve">פ </w:t>
      </w:r>
      <w:r>
        <w:rPr>
          <w:rFonts w:cs="Arial" w:hint="cs"/>
          <w:rtl/>
        </w:rPr>
        <w:t>ה</w:t>
      </w:r>
      <w:r w:rsidRPr="00774862">
        <w:rPr>
          <w:rFonts w:cs="Arial"/>
          <w:rtl/>
        </w:rPr>
        <w:t>ב"ח סעיף ח'.</w:t>
      </w:r>
    </w:p>
  </w:footnote>
  <w:footnote w:id="637">
    <w:p w14:paraId="4413389F" w14:textId="77777777" w:rsidR="0013116F" w:rsidRDefault="0013116F" w:rsidP="00D861AF">
      <w:pPr>
        <w:pStyle w:val="a9"/>
        <w:rPr>
          <w:rtl/>
        </w:rPr>
      </w:pPr>
      <w:r>
        <w:rPr>
          <w:rStyle w:val="ab"/>
        </w:rPr>
        <w:footnoteRef/>
      </w:r>
      <w:r>
        <w:rPr>
          <w:rtl/>
        </w:rPr>
        <w:t xml:space="preserve"> </w:t>
      </w:r>
      <w:r>
        <w:rPr>
          <w:rFonts w:cs="Arial"/>
          <w:rtl/>
        </w:rPr>
        <w:t>ו</w:t>
      </w:r>
      <w:r>
        <w:rPr>
          <w:rFonts w:cs="Arial" w:hint="cs"/>
          <w:rtl/>
        </w:rPr>
        <w:t>ז"ל הב"י- ו</w:t>
      </w:r>
      <w:r>
        <w:rPr>
          <w:rFonts w:cs="Arial"/>
          <w:rtl/>
        </w:rPr>
        <w:t xml:space="preserve">מיהו איכא למידק דאהא דתניא תו התם </w:t>
      </w:r>
      <w:r w:rsidRPr="00532E40">
        <w:rPr>
          <w:rFonts w:cs="Arial"/>
          <w:sz w:val="16"/>
          <w:szCs w:val="16"/>
          <w:rtl/>
        </w:rPr>
        <w:t xml:space="preserve">(ו.) </w:t>
      </w:r>
      <w:r>
        <w:rPr>
          <w:rFonts w:cs="Arial"/>
          <w:rtl/>
        </w:rPr>
        <w:t>ביצוע בשלשה דברי רבי מאיר וחכמים אומרים פשרה ביחיד דקאמר לימא תלתא תנאי בפשרה דמר סבר בשלשה ומר סבר בשנים ומר סבר ביחיד</w:t>
      </w:r>
      <w:r>
        <w:rPr>
          <w:rFonts w:cs="Arial" w:hint="cs"/>
          <w:rtl/>
        </w:rPr>
        <w:t>,</w:t>
      </w:r>
      <w:r>
        <w:rPr>
          <w:rFonts w:cs="Arial"/>
          <w:rtl/>
        </w:rPr>
        <w:t xml:space="preserve"> אמר רב אחא בריה דרב איקא מאן דאמר תרי אפילו חד נמי</w:t>
      </w:r>
      <w:r>
        <w:rPr>
          <w:rFonts w:cs="Arial" w:hint="cs"/>
          <w:rtl/>
        </w:rPr>
        <w:t>,</w:t>
      </w:r>
      <w:r>
        <w:rPr>
          <w:rFonts w:cs="Arial"/>
          <w:rtl/>
        </w:rPr>
        <w:t xml:space="preserve"> והא דקאמר תרי כי היכי דליהוו עליה סהדי. וכיון דתלמודא מסיק </w:t>
      </w:r>
      <w:r>
        <w:rPr>
          <w:rFonts w:cs="Arial" w:hint="cs"/>
          <w:rtl/>
        </w:rPr>
        <w:t>דלרשב"ג</w:t>
      </w:r>
      <w:r>
        <w:rPr>
          <w:rFonts w:cs="Arial"/>
          <w:rtl/>
        </w:rPr>
        <w:t xml:space="preserve"> נמי פשרה ביחיד סבירא ליה אמאי פסק הרמב"ם ז"ל דפשרה בשנים</w:t>
      </w:r>
      <w:r w:rsidRPr="00532E40">
        <w:rPr>
          <w:rFonts w:cs="Arial"/>
          <w:sz w:val="16"/>
          <w:szCs w:val="16"/>
          <w:rtl/>
        </w:rPr>
        <w:t xml:space="preserve"> </w:t>
      </w:r>
      <w:r>
        <w:rPr>
          <w:rFonts w:cs="Arial" w:hint="cs"/>
          <w:sz w:val="16"/>
          <w:szCs w:val="16"/>
          <w:rtl/>
        </w:rPr>
        <w:t xml:space="preserve">{דכתב הרמב"ם (ה"ו)- </w:t>
      </w:r>
      <w:r w:rsidRPr="00532E40">
        <w:rPr>
          <w:rFonts w:cs="Arial"/>
          <w:sz w:val="16"/>
          <w:szCs w:val="16"/>
          <w:rtl/>
        </w:rPr>
        <w:t>יפה כח פשרה מכח הדין ששני הדיוטות שדנו אין דיניהן דין ויש לבעלי דינין לחזור בהן ואם עשו פשרה וקנו מידן אין יכולין לחזור בהן</w:t>
      </w:r>
      <w:r>
        <w:rPr>
          <w:rFonts w:cs="Arial" w:hint="cs"/>
          <w:sz w:val="16"/>
          <w:szCs w:val="16"/>
          <w:rtl/>
        </w:rPr>
        <w:t>}</w:t>
      </w:r>
      <w:r>
        <w:rPr>
          <w:rFonts w:cs="Arial" w:hint="cs"/>
          <w:rtl/>
        </w:rPr>
        <w:t>,</w:t>
      </w:r>
      <w:r>
        <w:rPr>
          <w:rFonts w:cs="Arial"/>
          <w:rtl/>
        </w:rPr>
        <w:t xml:space="preserve"> וי"ל דסבר הרמב"ם דלא אתמר הכי אלא למידחי דלא נימא דתלתא תנאי בפשרה. אבל פשטא דמלתא דר</w:t>
      </w:r>
      <w:r>
        <w:rPr>
          <w:rFonts w:cs="Arial" w:hint="cs"/>
          <w:rtl/>
        </w:rPr>
        <w:t>שב"ג</w:t>
      </w:r>
      <w:r>
        <w:rPr>
          <w:rFonts w:cs="Arial"/>
          <w:rtl/>
        </w:rPr>
        <w:t xml:space="preserve"> היא דפשרה בשנים דוקא ולא ביחיד. וכן נראה מדברי הרי"ף בריש סנהדרין (א:) שכתב דברי רשב</w:t>
      </w:r>
      <w:r>
        <w:rPr>
          <w:rFonts w:cs="Arial" w:hint="cs"/>
          <w:rtl/>
        </w:rPr>
        <w:t>"</w:t>
      </w:r>
      <w:r>
        <w:rPr>
          <w:rFonts w:cs="Arial"/>
          <w:rtl/>
        </w:rPr>
        <w:t>ג סתם</w:t>
      </w:r>
      <w:r>
        <w:rPr>
          <w:rFonts w:cs="Arial" w:hint="cs"/>
          <w:rtl/>
        </w:rPr>
        <w:t>.</w:t>
      </w:r>
      <w:r>
        <w:rPr>
          <w:rFonts w:cs="Arial"/>
          <w:rtl/>
        </w:rPr>
        <w:t xml:space="preserve"> אלא דאכתי איכא למידק אמאי פסקו כרשב</w:t>
      </w:r>
      <w:r>
        <w:rPr>
          <w:rFonts w:cs="Arial" w:hint="cs"/>
          <w:rtl/>
        </w:rPr>
        <w:t>"</w:t>
      </w:r>
      <w:r>
        <w:rPr>
          <w:rFonts w:cs="Arial"/>
          <w:rtl/>
        </w:rPr>
        <w:t>ג דאמר בשנים</w:t>
      </w:r>
      <w:r>
        <w:rPr>
          <w:rFonts w:cs="Arial" w:hint="cs"/>
          <w:rtl/>
        </w:rPr>
        <w:t xml:space="preserve"> -</w:t>
      </w:r>
      <w:r>
        <w:rPr>
          <w:rFonts w:cs="Arial"/>
          <w:rtl/>
        </w:rPr>
        <w:t xml:space="preserve"> כחכמים דאמרי ביחיד הוה להו למיפסק</w:t>
      </w:r>
      <w:r>
        <w:rPr>
          <w:rFonts w:cs="Arial" w:hint="cs"/>
          <w:rtl/>
        </w:rPr>
        <w:t>,</w:t>
      </w:r>
      <w:r>
        <w:rPr>
          <w:rFonts w:cs="Arial"/>
          <w:rtl/>
        </w:rPr>
        <w:t xml:space="preserve"> וצ</w:t>
      </w:r>
      <w:r>
        <w:rPr>
          <w:rFonts w:cs="Arial" w:hint="cs"/>
          <w:rtl/>
        </w:rPr>
        <w:t>"</w:t>
      </w:r>
      <w:r>
        <w:rPr>
          <w:rFonts w:cs="Arial"/>
          <w:rtl/>
        </w:rPr>
        <w:t>ע</w:t>
      </w:r>
      <w:r>
        <w:rPr>
          <w:rFonts w:cs="Arial" w:hint="cs"/>
          <w:rtl/>
        </w:rPr>
        <w:t>.</w:t>
      </w:r>
    </w:p>
  </w:footnote>
  <w:footnote w:id="638">
    <w:p w14:paraId="3070176F" w14:textId="77777777" w:rsidR="0013116F" w:rsidRPr="00E9339C" w:rsidRDefault="0013116F">
      <w:pPr>
        <w:pStyle w:val="a9"/>
      </w:pPr>
      <w:r>
        <w:rPr>
          <w:rStyle w:val="ab"/>
        </w:rPr>
        <w:footnoteRef/>
      </w:r>
      <w:r>
        <w:rPr>
          <w:rtl/>
        </w:rPr>
        <w:t xml:space="preserve"> </w:t>
      </w:r>
      <w:r>
        <w:rPr>
          <w:rFonts w:hint="cs"/>
          <w:rtl/>
        </w:rPr>
        <w:t xml:space="preserve">סימן </w:t>
      </w:r>
      <w:r>
        <w:rPr>
          <w:rtl/>
        </w:rPr>
        <w:t>–</w:t>
      </w:r>
      <w:r>
        <w:rPr>
          <w:rFonts w:hint="cs"/>
          <w:rtl/>
        </w:rPr>
        <w:t xml:space="preserve"> </w:t>
      </w:r>
      <w:r w:rsidRPr="00855821">
        <w:rPr>
          <w:rFonts w:hint="cs"/>
          <w:b/>
          <w:bCs/>
          <w:rtl/>
        </w:rPr>
        <w:t>קי</w:t>
      </w:r>
      <w:r>
        <w:rPr>
          <w:rFonts w:hint="cs"/>
          <w:rtl/>
        </w:rPr>
        <w:t xml:space="preserve">בול </w:t>
      </w:r>
      <w:r w:rsidRPr="00855821">
        <w:rPr>
          <w:rFonts w:hint="cs"/>
          <w:b/>
          <w:bCs/>
          <w:rtl/>
        </w:rPr>
        <w:t>ב</w:t>
      </w:r>
      <w:r>
        <w:rPr>
          <w:rFonts w:hint="cs"/>
          <w:rtl/>
        </w:rPr>
        <w:t xml:space="preserve">יומו </w:t>
      </w:r>
      <w:r>
        <w:rPr>
          <w:rFonts w:hint="cs"/>
          <w:sz w:val="16"/>
          <w:szCs w:val="16"/>
          <w:rtl/>
        </w:rPr>
        <w:t>(הסוגיא שם מתחילת הפרק עוסקת בבל תלין)</w:t>
      </w:r>
      <w:r>
        <w:rPr>
          <w:rFonts w:hint="cs"/>
          <w:rtl/>
        </w:rPr>
        <w:t xml:space="preserve">. וכן - קנין יתר בשכרו </w:t>
      </w:r>
      <w:r>
        <w:rPr>
          <w:rFonts w:hint="cs"/>
          <w:sz w:val="16"/>
          <w:szCs w:val="16"/>
          <w:rtl/>
        </w:rPr>
        <w:t>(סימן זה נוגע למה שלמדו התוס' מסוגיית הגמ' ולא לסוגיית הגמ' ממש)</w:t>
      </w:r>
      <w:r>
        <w:rPr>
          <w:rFonts w:hint="cs"/>
          <w:rtl/>
        </w:rPr>
        <w:t xml:space="preserve">. וכן </w:t>
      </w:r>
      <w:r>
        <w:rPr>
          <w:rtl/>
        </w:rPr>
        <w:t>–</w:t>
      </w:r>
      <w:r>
        <w:rPr>
          <w:rFonts w:hint="cs"/>
          <w:rtl/>
        </w:rPr>
        <w:t xml:space="preserve"> קיבלת. וכן - ימחל בלי קנין.</w:t>
      </w:r>
    </w:p>
  </w:footnote>
  <w:footnote w:id="639">
    <w:p w14:paraId="573FD7D6" w14:textId="77777777" w:rsidR="0013116F" w:rsidRDefault="0013116F">
      <w:pPr>
        <w:pStyle w:val="a9"/>
      </w:pPr>
      <w:r>
        <w:rPr>
          <w:rStyle w:val="ab"/>
        </w:rPr>
        <w:footnoteRef/>
      </w:r>
      <w:r>
        <w:rPr>
          <w:rtl/>
        </w:rPr>
        <w:t xml:space="preserve"> </w:t>
      </w:r>
      <w:r w:rsidRPr="008430C9">
        <w:rPr>
          <w:rFonts w:cs="Arial"/>
          <w:rtl/>
        </w:rPr>
        <w:t>השכיר אצל בעל הבית אם לא נתן החנוני, ונתחייב בעל הבית לשלם</w:t>
      </w:r>
      <w:r>
        <w:rPr>
          <w:rFonts w:cs="Arial" w:hint="cs"/>
          <w:rtl/>
        </w:rPr>
        <w:t>, רש"י</w:t>
      </w:r>
      <w:r w:rsidRPr="008430C9">
        <w:rPr>
          <w:rFonts w:cs="Arial"/>
          <w:rtl/>
        </w:rPr>
        <w:t>.</w:t>
      </w:r>
    </w:p>
  </w:footnote>
  <w:footnote w:id="640">
    <w:p w14:paraId="474816C4" w14:textId="77777777" w:rsidR="0013116F" w:rsidRDefault="0013116F">
      <w:pPr>
        <w:pStyle w:val="a9"/>
      </w:pPr>
      <w:r>
        <w:rPr>
          <w:rStyle w:val="ab"/>
        </w:rPr>
        <w:footnoteRef/>
      </w:r>
      <w:r>
        <w:rPr>
          <w:rtl/>
        </w:rPr>
        <w:t xml:space="preserve"> </w:t>
      </w:r>
      <w:r w:rsidRPr="008430C9">
        <w:rPr>
          <w:rFonts w:cs="Arial"/>
          <w:rtl/>
        </w:rPr>
        <w:t>כלומר: אין לו עליו כלום שיהא עליו בתורת דמים שום עבירות שכר שכיר</w:t>
      </w:r>
      <w:r>
        <w:rPr>
          <w:rFonts w:cs="Arial" w:hint="cs"/>
          <w:rtl/>
        </w:rPr>
        <w:t>, רש"י</w:t>
      </w:r>
      <w:r w:rsidRPr="008430C9">
        <w:rPr>
          <w:rFonts w:cs="Arial"/>
          <w:rtl/>
        </w:rPr>
        <w:t>.</w:t>
      </w:r>
    </w:p>
  </w:footnote>
  <w:footnote w:id="641">
    <w:p w14:paraId="339E37DE" w14:textId="77777777" w:rsidR="0013116F" w:rsidRDefault="0013116F" w:rsidP="001F338A">
      <w:pPr>
        <w:pStyle w:val="a9"/>
      </w:pPr>
      <w:r>
        <w:rPr>
          <w:rStyle w:val="ab"/>
        </w:rPr>
        <w:footnoteRef/>
      </w:r>
      <w:r>
        <w:rPr>
          <w:rtl/>
        </w:rPr>
        <w:t xml:space="preserve"> </w:t>
      </w:r>
      <w:r>
        <w:rPr>
          <w:rFonts w:hint="cs"/>
          <w:rtl/>
        </w:rPr>
        <w:t xml:space="preserve">וז"ל- </w:t>
      </w:r>
      <w:r>
        <w:rPr>
          <w:rFonts w:cs="Arial"/>
          <w:rtl/>
        </w:rPr>
        <w:t>שאלת</w:t>
      </w:r>
      <w:r>
        <w:rPr>
          <w:rFonts w:cs="Arial" w:hint="cs"/>
          <w:rtl/>
        </w:rPr>
        <w:t>,</w:t>
      </w:r>
      <w:r>
        <w:rPr>
          <w:rFonts w:cs="Arial"/>
          <w:rtl/>
        </w:rPr>
        <w:t xml:space="preserve"> דקשיא לך על כרחין פשרה בשקנו מידן וכיון שכן אף כח הדין יפה בשקנו מידן ואם בשלא קנו מידן אף בפשרה יכולין לחזור בהם. תשובה</w:t>
      </w:r>
      <w:r>
        <w:rPr>
          <w:rFonts w:cs="Arial" w:hint="cs"/>
          <w:rtl/>
        </w:rPr>
        <w:t>,</w:t>
      </w:r>
      <w:r>
        <w:rPr>
          <w:rFonts w:cs="Arial"/>
          <w:rtl/>
        </w:rPr>
        <w:t xml:space="preserve"> כבר ידעת שעיקר הדין אינו צריך קנין אלא שלשה יכולים לכוף את הנתבע לדון בפניהם כל שאין שם בית דין יפה מהם </w:t>
      </w:r>
      <w:r w:rsidRPr="006C0B96">
        <w:rPr>
          <w:rFonts w:cs="Arial"/>
          <w:sz w:val="16"/>
          <w:szCs w:val="16"/>
          <w:rtl/>
        </w:rPr>
        <w:t xml:space="preserve">(עי' לעיל סי' ג ס"ב) </w:t>
      </w:r>
      <w:r>
        <w:rPr>
          <w:rFonts w:cs="Arial"/>
          <w:rtl/>
        </w:rPr>
        <w:t xml:space="preserve">וכן אפילו יחיד מומחה </w:t>
      </w:r>
      <w:r w:rsidRPr="006C0B96">
        <w:rPr>
          <w:rFonts w:cs="Arial"/>
          <w:sz w:val="16"/>
          <w:szCs w:val="16"/>
          <w:rtl/>
        </w:rPr>
        <w:t>(שם ס"ה)</w:t>
      </w:r>
      <w:r>
        <w:rPr>
          <w:rFonts w:cs="Arial" w:hint="cs"/>
          <w:rtl/>
        </w:rPr>
        <w:t>,</w:t>
      </w:r>
      <w:r>
        <w:rPr>
          <w:rFonts w:cs="Arial"/>
          <w:rtl/>
        </w:rPr>
        <w:t xml:space="preserve"> וכל שיכולין לכוף לדין אין הפרש בין קנו ללא קנו</w:t>
      </w:r>
      <w:r>
        <w:rPr>
          <w:rFonts w:cs="Arial" w:hint="cs"/>
          <w:rtl/>
        </w:rPr>
        <w:t>,</w:t>
      </w:r>
      <w:r>
        <w:rPr>
          <w:rFonts w:cs="Arial"/>
          <w:rtl/>
        </w:rPr>
        <w:t xml:space="preserve"> ואין קנין בדין אלא במקבלים עליהם מי שאינו ראוי לדון כקרובים אי נמי שנים או אחד שאינם מומחים</w:t>
      </w:r>
      <w:r>
        <w:rPr>
          <w:rFonts w:cs="Arial" w:hint="cs"/>
          <w:rtl/>
        </w:rPr>
        <w:t>,</w:t>
      </w:r>
      <w:r>
        <w:rPr>
          <w:rFonts w:cs="Arial"/>
          <w:rtl/>
        </w:rPr>
        <w:t xml:space="preserve"> אבל הפשרה בעיקרה צריכה קנין</w:t>
      </w:r>
      <w:r>
        <w:rPr>
          <w:rFonts w:cs="Arial" w:hint="cs"/>
          <w:rtl/>
        </w:rPr>
        <w:t>,</w:t>
      </w:r>
      <w:r>
        <w:rPr>
          <w:rFonts w:cs="Arial"/>
          <w:rtl/>
        </w:rPr>
        <w:t xml:space="preserve"> ואפילו בשלשה ומומחין אינה מתקיימת אלא בקנין</w:t>
      </w:r>
      <w:r>
        <w:rPr>
          <w:rFonts w:cs="Arial" w:hint="cs"/>
          <w:rtl/>
        </w:rPr>
        <w:t>,</w:t>
      </w:r>
      <w:r>
        <w:rPr>
          <w:rFonts w:cs="Arial"/>
          <w:rtl/>
        </w:rPr>
        <w:t xml:space="preserve"> וכדאיתא התם</w:t>
      </w:r>
      <w:r>
        <w:rPr>
          <w:rFonts w:cs="Arial" w:hint="cs"/>
          <w:rtl/>
        </w:rPr>
        <w:t>,</w:t>
      </w:r>
      <w:r>
        <w:rPr>
          <w:rFonts w:cs="Arial"/>
          <w:rtl/>
        </w:rPr>
        <w:t xml:space="preserve"> והילכך הכי קאמר יפה כח הפשרה מכח הדין ששנים שדנו מעצמם בלא קבלת בעלי הדין אין דיניהם דין ואפילו לאחר גמר דין מה שאין כן בשלשה דאלמא בדין יש הפרש בין שנים לשלשה דאלו בשלשה אין בעלי הדין יכולים לחזור בהם ובשנים יכולים לחזור בהם מה שאין כן בפשרה שאין הפרש בין שנים לשלשה דבין שנים בין שלשה אם לא קנו מידן יכולים לחזור בהם ואם קנו מידם אפילו שנים אין יכולים לחזור בהם נמצא שיפה כח עיקר הפשרה מכח עיקר הדין והוא הדין דהוה מצי למימר ויפה כח הדין מכח הפשרה ששלשה שדנו בלא קנין אין בעלי הדין יכולים לחזור בהם ושלשה שעשו פשרה בלא קנין יכולים בעלי הדין לחזור בהם</w:t>
      </w:r>
      <w:r>
        <w:rPr>
          <w:rFonts w:cs="Arial" w:hint="cs"/>
          <w:rtl/>
        </w:rPr>
        <w:t>.</w:t>
      </w:r>
    </w:p>
  </w:footnote>
  <w:footnote w:id="642">
    <w:p w14:paraId="57D2113F" w14:textId="77777777" w:rsidR="0013116F" w:rsidRDefault="0013116F" w:rsidP="001F338A">
      <w:pPr>
        <w:pStyle w:val="a9"/>
        <w:rPr>
          <w:rtl/>
        </w:rPr>
      </w:pPr>
      <w:r>
        <w:rPr>
          <w:rStyle w:val="ab"/>
        </w:rPr>
        <w:footnoteRef/>
      </w:r>
      <w:r>
        <w:rPr>
          <w:rtl/>
        </w:rPr>
        <w:t xml:space="preserve"> </w:t>
      </w:r>
      <w:r>
        <w:rPr>
          <w:rFonts w:hint="cs"/>
          <w:u w:val="single"/>
          <w:rtl/>
        </w:rPr>
        <w:t>נ</w:t>
      </w:r>
      <w:r w:rsidRPr="00C619B8">
        <w:rPr>
          <w:rFonts w:hint="cs"/>
          <w:u w:val="single"/>
          <w:rtl/>
        </w:rPr>
        <w:t>כתבו מספר טעמים מדוע פשרה צריכה קנין</w:t>
      </w:r>
      <w:r>
        <w:rPr>
          <w:rFonts w:hint="cs"/>
          <w:rtl/>
        </w:rPr>
        <w:t>:</w:t>
      </w:r>
    </w:p>
    <w:p w14:paraId="30EC704F" w14:textId="77777777" w:rsidR="0013116F" w:rsidRDefault="0013116F" w:rsidP="004B0475">
      <w:pPr>
        <w:pStyle w:val="a9"/>
        <w:numPr>
          <w:ilvl w:val="0"/>
          <w:numId w:val="65"/>
        </w:numPr>
      </w:pPr>
      <w:r w:rsidRPr="00E47E4E">
        <w:rPr>
          <w:rFonts w:cs="Arial"/>
          <w:rtl/>
        </w:rPr>
        <w:t>תוס</w:t>
      </w:r>
      <w:r>
        <w:rPr>
          <w:rFonts w:cs="Arial" w:hint="cs"/>
          <w:rtl/>
        </w:rPr>
        <w:t>'</w:t>
      </w:r>
      <w:r w:rsidRPr="00E47E4E">
        <w:rPr>
          <w:rFonts w:cs="Arial"/>
          <w:rtl/>
        </w:rPr>
        <w:t xml:space="preserve"> </w:t>
      </w:r>
      <w:r w:rsidRPr="00D861AF">
        <w:rPr>
          <w:rFonts w:cs="Arial"/>
          <w:sz w:val="16"/>
          <w:szCs w:val="16"/>
          <w:rtl/>
        </w:rPr>
        <w:t>(ד"ה צריכה</w:t>
      </w:r>
      <w:r w:rsidRPr="00D861AF">
        <w:rPr>
          <w:rFonts w:cs="Arial" w:hint="cs"/>
          <w:sz w:val="16"/>
          <w:szCs w:val="16"/>
          <w:rtl/>
        </w:rPr>
        <w:t xml:space="preserve">, וכן </w:t>
      </w:r>
      <w:r w:rsidRPr="00D861AF">
        <w:rPr>
          <w:rFonts w:cs="Arial"/>
          <w:sz w:val="16"/>
          <w:szCs w:val="16"/>
          <w:rtl/>
        </w:rPr>
        <w:t xml:space="preserve">בפרק המקבל </w:t>
      </w:r>
      <w:r w:rsidRPr="00D861AF">
        <w:rPr>
          <w:rFonts w:cs="Arial" w:hint="cs"/>
          <w:sz w:val="16"/>
          <w:szCs w:val="16"/>
          <w:rtl/>
        </w:rPr>
        <w:t>[קיב.</w:t>
      </w:r>
      <w:r w:rsidRPr="00D861AF">
        <w:rPr>
          <w:rFonts w:cs="Arial"/>
          <w:sz w:val="16"/>
          <w:szCs w:val="16"/>
          <w:rtl/>
        </w:rPr>
        <w:t xml:space="preserve"> בד"ה חוזר</w:t>
      </w:r>
      <w:r w:rsidRPr="00D861AF">
        <w:rPr>
          <w:rFonts w:cs="Arial" w:hint="cs"/>
          <w:sz w:val="16"/>
          <w:szCs w:val="16"/>
          <w:rtl/>
        </w:rPr>
        <w:t>]</w:t>
      </w:r>
      <w:r w:rsidRPr="00D861AF">
        <w:rPr>
          <w:rFonts w:cs="Arial"/>
          <w:sz w:val="16"/>
          <w:szCs w:val="16"/>
          <w:rtl/>
        </w:rPr>
        <w:t>)</w:t>
      </w:r>
      <w:r>
        <w:rPr>
          <w:rFonts w:hint="cs"/>
          <w:rtl/>
        </w:rPr>
        <w:t xml:space="preserve"> ורא"ש</w:t>
      </w:r>
      <w:r>
        <w:rPr>
          <w:rFonts w:hint="cs"/>
          <w:sz w:val="16"/>
          <w:szCs w:val="16"/>
          <w:rtl/>
        </w:rPr>
        <w:t xml:space="preserve"> (סנהדרין פ"ק סי' ג)</w:t>
      </w:r>
      <w:r>
        <w:rPr>
          <w:rFonts w:hint="cs"/>
          <w:rtl/>
        </w:rPr>
        <w:t>-</w:t>
      </w:r>
      <w:r w:rsidRPr="00587AD4">
        <w:rPr>
          <w:rFonts w:cs="Arial"/>
          <w:rtl/>
        </w:rPr>
        <w:t xml:space="preserve"> </w:t>
      </w:r>
      <w:r>
        <w:rPr>
          <w:rFonts w:cs="Arial" w:hint="cs"/>
          <w:rtl/>
        </w:rPr>
        <w:t>אפשרות ראשונה היא שהקנין נעשה לאחר ששמעו את הפשרה ואז '</w:t>
      </w:r>
      <w:r w:rsidRPr="00D8121F">
        <w:rPr>
          <w:rFonts w:cs="Arial"/>
          <w:rtl/>
        </w:rPr>
        <w:t>שניהם צריכין קנין המוחל צריך להקנות שמחל לו והמשלם צריך להקנות שישלם לו החצי</w:t>
      </w:r>
      <w:r>
        <w:rPr>
          <w:rFonts w:cs="Arial" w:hint="cs"/>
          <w:rtl/>
        </w:rPr>
        <w:t>,</w:t>
      </w:r>
      <w:r w:rsidRPr="00D8121F">
        <w:rPr>
          <w:rFonts w:cs="Arial"/>
          <w:rtl/>
        </w:rPr>
        <w:t xml:space="preserve"> דשאני פשרה משום דדמי למחילה בטעות שאילו היה יודע שהיה זוכה בדין לא היה מוחל</w:t>
      </w:r>
      <w:r>
        <w:rPr>
          <w:rFonts w:cs="Arial" w:hint="cs"/>
          <w:rtl/>
        </w:rPr>
        <w:t>,</w:t>
      </w:r>
      <w:r w:rsidRPr="00D8121F">
        <w:rPr>
          <w:rFonts w:cs="Arial"/>
          <w:rtl/>
        </w:rPr>
        <w:t xml:space="preserve"> ולהכי צריכה קנין דאלים טפי</w:t>
      </w:r>
      <w:r>
        <w:rPr>
          <w:rFonts w:cs="Arial" w:hint="cs"/>
          <w:rtl/>
        </w:rPr>
        <w:t>,</w:t>
      </w:r>
      <w:r w:rsidRPr="00D8121F">
        <w:rPr>
          <w:rFonts w:cs="Arial"/>
          <w:rtl/>
        </w:rPr>
        <w:t xml:space="preserve"> ומהאי טעמא נמי איכא מאן דבעי ג' ולא סגי בב' משום דדמי למחילה בטעות</w:t>
      </w:r>
      <w:r>
        <w:rPr>
          <w:rFonts w:cs="Arial" w:hint="cs"/>
          <w:rtl/>
        </w:rPr>
        <w:t>'</w:t>
      </w:r>
      <w:r>
        <w:rPr>
          <w:rFonts w:cs="Arial" w:hint="cs"/>
          <w:sz w:val="14"/>
          <w:szCs w:val="14"/>
          <w:rtl/>
        </w:rPr>
        <w:t xml:space="preserve"> </w:t>
      </w:r>
      <w:r w:rsidRPr="00D8121F">
        <w:rPr>
          <w:rFonts w:cs="Arial" w:hint="cs"/>
          <w:sz w:val="16"/>
          <w:szCs w:val="16"/>
          <w:rtl/>
        </w:rPr>
        <w:t xml:space="preserve">(ל' התוס' </w:t>
      </w:r>
      <w:r>
        <w:rPr>
          <w:rFonts w:cs="Arial" w:hint="cs"/>
          <w:sz w:val="16"/>
          <w:szCs w:val="16"/>
          <w:rtl/>
        </w:rPr>
        <w:t>[</w:t>
      </w:r>
      <w:r w:rsidRPr="00D8121F">
        <w:rPr>
          <w:rFonts w:cs="Arial" w:hint="cs"/>
          <w:sz w:val="16"/>
          <w:szCs w:val="16"/>
          <w:rtl/>
        </w:rPr>
        <w:t>בפ' המקבל</w:t>
      </w:r>
      <w:r>
        <w:rPr>
          <w:rFonts w:cs="Arial" w:hint="cs"/>
          <w:sz w:val="16"/>
          <w:szCs w:val="16"/>
          <w:rtl/>
        </w:rPr>
        <w:t>]</w:t>
      </w:r>
      <w:r w:rsidRPr="00D8121F">
        <w:rPr>
          <w:rFonts w:cs="Arial" w:hint="cs"/>
          <w:sz w:val="16"/>
          <w:szCs w:val="16"/>
          <w:rtl/>
        </w:rPr>
        <w:t>)</w:t>
      </w:r>
      <w:r>
        <w:rPr>
          <w:rFonts w:cs="Arial" w:hint="cs"/>
          <w:rtl/>
        </w:rPr>
        <w:t>.</w:t>
      </w:r>
    </w:p>
    <w:p w14:paraId="799D590B" w14:textId="77777777" w:rsidR="0013116F" w:rsidRDefault="0013116F" w:rsidP="004B0475">
      <w:pPr>
        <w:pStyle w:val="a9"/>
        <w:numPr>
          <w:ilvl w:val="0"/>
          <w:numId w:val="65"/>
        </w:numPr>
        <w:rPr>
          <w:rtl/>
        </w:rPr>
      </w:pPr>
      <w:r>
        <w:rPr>
          <w:rFonts w:cs="Arial" w:hint="cs"/>
          <w:rtl/>
        </w:rPr>
        <w:t xml:space="preserve">תוס' </w:t>
      </w:r>
      <w:r>
        <w:rPr>
          <w:rFonts w:cs="Arial" w:hint="cs"/>
          <w:sz w:val="16"/>
          <w:szCs w:val="16"/>
          <w:rtl/>
        </w:rPr>
        <w:t>(שם)</w:t>
      </w:r>
      <w:r>
        <w:rPr>
          <w:rFonts w:cs="Arial" w:hint="cs"/>
          <w:sz w:val="16"/>
          <w:szCs w:val="16"/>
        </w:rPr>
        <w:t xml:space="preserve"> </w:t>
      </w:r>
      <w:r>
        <w:rPr>
          <w:rFonts w:cs="Arial" w:hint="cs"/>
          <w:rtl/>
        </w:rPr>
        <w:t xml:space="preserve">ורא"ש </w:t>
      </w:r>
      <w:r>
        <w:rPr>
          <w:rFonts w:cs="Arial" w:hint="cs"/>
          <w:sz w:val="16"/>
          <w:szCs w:val="16"/>
          <w:rtl/>
        </w:rPr>
        <w:t>(שם)</w:t>
      </w:r>
      <w:r>
        <w:rPr>
          <w:rFonts w:cs="Arial" w:hint="cs"/>
          <w:rtl/>
        </w:rPr>
        <w:t>- אפשרות שניה היא שהקנין נעשה לפני ששמעו את הפשרה ואז עושים את הקנין כדי '</w:t>
      </w:r>
      <w:r w:rsidRPr="00D8121F">
        <w:rPr>
          <w:rFonts w:cs="Arial"/>
          <w:rtl/>
        </w:rPr>
        <w:t>שיקיימו דברי הפשרנים</w:t>
      </w:r>
      <w:r>
        <w:rPr>
          <w:rFonts w:cs="Arial" w:hint="cs"/>
          <w:rtl/>
        </w:rPr>
        <w:t>,</w:t>
      </w:r>
      <w:r w:rsidRPr="00D8121F">
        <w:rPr>
          <w:rFonts w:cs="Arial"/>
          <w:rtl/>
        </w:rPr>
        <w:t xml:space="preserve"> דבלא קנין יוכלו לחזור בהן כשישמעו הפשרה</w:t>
      </w:r>
      <w:r>
        <w:rPr>
          <w:rFonts w:cs="Arial" w:hint="cs"/>
          <w:rtl/>
        </w:rPr>
        <w:t>'</w:t>
      </w:r>
      <w:r w:rsidRPr="00D8121F">
        <w:rPr>
          <w:rFonts w:cs="Arial"/>
          <w:rtl/>
        </w:rPr>
        <w:t xml:space="preserve"> </w:t>
      </w:r>
      <w:r w:rsidRPr="00D8121F">
        <w:rPr>
          <w:rFonts w:cs="Arial" w:hint="cs"/>
          <w:sz w:val="16"/>
          <w:szCs w:val="16"/>
          <w:rtl/>
        </w:rPr>
        <w:t>(ל' ה</w:t>
      </w:r>
      <w:r>
        <w:rPr>
          <w:rFonts w:cs="Arial" w:hint="cs"/>
          <w:sz w:val="16"/>
          <w:szCs w:val="16"/>
          <w:rtl/>
        </w:rPr>
        <w:t>תוס' [שם]</w:t>
      </w:r>
      <w:r w:rsidRPr="00D8121F">
        <w:rPr>
          <w:rFonts w:cs="Arial" w:hint="cs"/>
          <w:sz w:val="16"/>
          <w:szCs w:val="16"/>
          <w:rtl/>
        </w:rPr>
        <w:t>)</w:t>
      </w:r>
      <w:r>
        <w:rPr>
          <w:rFonts w:hint="cs"/>
          <w:rtl/>
        </w:rPr>
        <w:t>.</w:t>
      </w:r>
    </w:p>
  </w:footnote>
  <w:footnote w:id="643">
    <w:p w14:paraId="246DECBD" w14:textId="77777777" w:rsidR="0013116F" w:rsidRDefault="0013116F">
      <w:pPr>
        <w:pStyle w:val="a9"/>
      </w:pPr>
      <w:r>
        <w:rPr>
          <w:rStyle w:val="ab"/>
        </w:rPr>
        <w:footnoteRef/>
      </w:r>
      <w:r>
        <w:rPr>
          <w:rtl/>
        </w:rPr>
        <w:t xml:space="preserve"> </w:t>
      </w:r>
      <w:r>
        <w:rPr>
          <w:rFonts w:hint="cs"/>
          <w:rtl/>
        </w:rPr>
        <w:t>וכ"כ רש"י (סנהדרין ו. ד"ה והלכתא). וכתב הרשב"א (שם) דאפילו בשלשה מומחין אינה מתקיימת אלא בקנין.</w:t>
      </w:r>
    </w:p>
  </w:footnote>
  <w:footnote w:id="644">
    <w:p w14:paraId="281FDE50" w14:textId="77777777" w:rsidR="0013116F" w:rsidRDefault="0013116F" w:rsidP="00C52143">
      <w:pPr>
        <w:pStyle w:val="a9"/>
        <w:rPr>
          <w:rtl/>
        </w:rPr>
      </w:pPr>
      <w:r>
        <w:rPr>
          <w:rStyle w:val="ab"/>
        </w:rPr>
        <w:footnoteRef/>
      </w:r>
      <w:r>
        <w:rPr>
          <w:rtl/>
        </w:rPr>
        <w:t xml:space="preserve"> </w:t>
      </w:r>
      <w:r>
        <w:rPr>
          <w:rFonts w:cs="Arial" w:hint="cs"/>
          <w:rtl/>
        </w:rPr>
        <w:t xml:space="preserve">בה"ג </w:t>
      </w:r>
      <w:r>
        <w:rPr>
          <w:rFonts w:cs="Arial" w:hint="cs"/>
          <w:sz w:val="16"/>
          <w:szCs w:val="16"/>
          <w:rtl/>
        </w:rPr>
        <w:t>(</w:t>
      </w:r>
      <w:r w:rsidRPr="007B23B1">
        <w:rPr>
          <w:rFonts w:cs="Arial" w:hint="cs"/>
          <w:sz w:val="16"/>
          <w:szCs w:val="16"/>
          <w:rtl/>
        </w:rPr>
        <w:t xml:space="preserve">סי' נ </w:t>
      </w:r>
      <w:r w:rsidRPr="007B23B1">
        <w:rPr>
          <w:rFonts w:cs="Arial"/>
          <w:sz w:val="16"/>
          <w:szCs w:val="16"/>
          <w:rtl/>
        </w:rPr>
        <w:t>הל' הדיינין</w:t>
      </w:r>
      <w:r w:rsidRPr="007B23B1">
        <w:rPr>
          <w:rFonts w:cs="Arial" w:hint="cs"/>
          <w:sz w:val="16"/>
          <w:szCs w:val="16"/>
          <w:rtl/>
        </w:rPr>
        <w:t xml:space="preserve"> ד"ה פשרה הכי דמי</w:t>
      </w:r>
      <w:r>
        <w:rPr>
          <w:rFonts w:cs="Arial" w:hint="cs"/>
          <w:sz w:val="16"/>
          <w:szCs w:val="16"/>
          <w:rtl/>
        </w:rPr>
        <w:t>, כ"כ הבין הראב"ן מדבריו)</w:t>
      </w:r>
      <w:r>
        <w:rPr>
          <w:rFonts w:cs="Arial" w:hint="cs"/>
          <w:rtl/>
        </w:rPr>
        <w:t>.</w:t>
      </w:r>
    </w:p>
  </w:footnote>
  <w:footnote w:id="645">
    <w:p w14:paraId="69A059C2" w14:textId="77777777" w:rsidR="0013116F" w:rsidRDefault="0013116F" w:rsidP="00CF6CA9">
      <w:pPr>
        <w:pStyle w:val="a9"/>
      </w:pPr>
      <w:r>
        <w:rPr>
          <w:rStyle w:val="ab"/>
        </w:rPr>
        <w:footnoteRef/>
      </w:r>
      <w:r>
        <w:rPr>
          <w:rtl/>
        </w:rPr>
        <w:t xml:space="preserve"> </w:t>
      </w:r>
      <w:r>
        <w:rPr>
          <w:rFonts w:hint="cs"/>
          <w:rtl/>
        </w:rPr>
        <w:t>וז"ל בתשובה -</w:t>
      </w:r>
      <w:r w:rsidRPr="007B23B1">
        <w:rPr>
          <w:rFonts w:cs="Arial"/>
          <w:rtl/>
        </w:rPr>
        <w:t xml:space="preserve"> </w:t>
      </w:r>
      <w:r w:rsidRPr="00182FBC">
        <w:rPr>
          <w:rFonts w:cs="Arial"/>
          <w:rtl/>
        </w:rPr>
        <w:t xml:space="preserve">הילכתא פשרה צריכה קנין </w:t>
      </w:r>
      <w:r w:rsidRPr="007B23B1">
        <w:rPr>
          <w:rFonts w:cs="Arial"/>
          <w:sz w:val="16"/>
          <w:szCs w:val="16"/>
          <w:rtl/>
        </w:rPr>
        <w:t>(סנהדרין ו</w:t>
      </w:r>
      <w:r w:rsidRPr="007B23B1">
        <w:rPr>
          <w:rFonts w:cs="Arial" w:hint="cs"/>
          <w:sz w:val="16"/>
          <w:szCs w:val="16"/>
          <w:rtl/>
        </w:rPr>
        <w:t>.</w:t>
      </w:r>
      <w:r w:rsidRPr="007B23B1">
        <w:rPr>
          <w:rFonts w:cs="Arial"/>
          <w:sz w:val="16"/>
          <w:szCs w:val="16"/>
          <w:rtl/>
        </w:rPr>
        <w:t xml:space="preserve">) </w:t>
      </w:r>
      <w:r w:rsidRPr="00182FBC">
        <w:rPr>
          <w:rFonts w:cs="Arial"/>
          <w:rtl/>
        </w:rPr>
        <w:t xml:space="preserve">מפרש בה"ג </w:t>
      </w:r>
      <w:r w:rsidRPr="007B23B1">
        <w:rPr>
          <w:rFonts w:cs="Arial"/>
          <w:sz w:val="16"/>
          <w:szCs w:val="16"/>
          <w:rtl/>
        </w:rPr>
        <w:t>(</w:t>
      </w:r>
      <w:r w:rsidRPr="007B23B1">
        <w:rPr>
          <w:rFonts w:cs="Arial" w:hint="cs"/>
          <w:sz w:val="16"/>
          <w:szCs w:val="16"/>
          <w:rtl/>
        </w:rPr>
        <w:t xml:space="preserve">סי' נ </w:t>
      </w:r>
      <w:r w:rsidRPr="007B23B1">
        <w:rPr>
          <w:rFonts w:cs="Arial"/>
          <w:sz w:val="16"/>
          <w:szCs w:val="16"/>
          <w:rtl/>
        </w:rPr>
        <w:t>הל' הדיינין</w:t>
      </w:r>
      <w:r w:rsidRPr="007B23B1">
        <w:rPr>
          <w:rFonts w:cs="Arial" w:hint="cs"/>
          <w:sz w:val="16"/>
          <w:szCs w:val="16"/>
          <w:rtl/>
        </w:rPr>
        <w:t xml:space="preserve"> ד"ה פשרה הכי דמי</w:t>
      </w:r>
      <w:r w:rsidRPr="007B23B1">
        <w:rPr>
          <w:rFonts w:cs="Arial"/>
          <w:sz w:val="16"/>
          <w:szCs w:val="16"/>
          <w:rtl/>
        </w:rPr>
        <w:t xml:space="preserve">) </w:t>
      </w:r>
      <w:r w:rsidRPr="00182FBC">
        <w:rPr>
          <w:rFonts w:cs="Arial"/>
          <w:rtl/>
        </w:rPr>
        <w:t>היכי דמי כגון ממונא דאיכא בי תרי והוו אינשי בינתייהו ובעו למיעבד פשרה ובעו ממאן דאית ליה גבי חבריה במטותא ושבק מן ממונא בידיה א"נ מחיל ליה כוליה וקנו מיניה דכן וכן ממונא אית לך וקא שבקתא ואי לא הוו קני מיניה מצי הדר ביה דקי"ל דפשרה צריכה קנין</w:t>
      </w:r>
      <w:r>
        <w:rPr>
          <w:rFonts w:cs="Arial" w:hint="cs"/>
          <w:rtl/>
        </w:rPr>
        <w:t xml:space="preserve"> </w:t>
      </w:r>
      <w:r>
        <w:rPr>
          <w:rFonts w:cs="Arial" w:hint="cs"/>
          <w:sz w:val="16"/>
          <w:szCs w:val="16"/>
          <w:rtl/>
        </w:rPr>
        <w:t>{עכ"ל בה"ג}</w:t>
      </w:r>
      <w:r>
        <w:rPr>
          <w:rFonts w:cs="Arial" w:hint="cs"/>
          <w:rtl/>
        </w:rPr>
        <w:t xml:space="preserve">. </w:t>
      </w:r>
      <w:r w:rsidRPr="007B23B1">
        <w:rPr>
          <w:rFonts w:cs="Arial"/>
          <w:rtl/>
        </w:rPr>
        <w:t>אלמא דשלא בב"ד קיימ</w:t>
      </w:r>
      <w:r>
        <w:rPr>
          <w:rFonts w:cs="Arial" w:hint="cs"/>
          <w:rtl/>
        </w:rPr>
        <w:t>א,</w:t>
      </w:r>
      <w:r w:rsidRPr="007B23B1">
        <w:rPr>
          <w:rFonts w:cs="Arial"/>
          <w:rtl/>
        </w:rPr>
        <w:t xml:space="preserve"> ואיכא למימר טעמא כיון שלא הוזקקו לדין לא אלימי לאפקועי ממונא מיניה בלא קנין</w:t>
      </w:r>
      <w:r>
        <w:rPr>
          <w:rFonts w:cs="Arial" w:hint="cs"/>
          <w:rtl/>
        </w:rPr>
        <w:t>,</w:t>
      </w:r>
      <w:r w:rsidRPr="007B23B1">
        <w:rPr>
          <w:rFonts w:cs="Arial"/>
          <w:rtl/>
        </w:rPr>
        <w:t xml:space="preserve"> אבל כשהוזקקו מתחילה לדין ליכא למ"ד דבעינן קנין דודאי אלימי</w:t>
      </w:r>
      <w:r w:rsidRPr="007B23B1">
        <w:rPr>
          <w:rFonts w:cs="Arial" w:hint="cs"/>
          <w:rtl/>
        </w:rPr>
        <w:t>.</w:t>
      </w:r>
      <w:r w:rsidRPr="007B23B1">
        <w:rPr>
          <w:rFonts w:cs="Arial"/>
          <w:rtl/>
        </w:rPr>
        <w:t xml:space="preserve"> ולדברי מר יהודאי גאון מדלא הפליג בפירוש דפשרה בין היכא דאיתעבידא בשלשה בין היכא דאיתעבידא בשנים ש"מ דס"ל הא דפסיק תלמודא דפשרה צריכה קנין אכולהו קאי בין איתעבידא בתרי בין איתעבידא בתלתא</w:t>
      </w:r>
      <w:r w:rsidRPr="007B23B1">
        <w:rPr>
          <w:rFonts w:cs="Arial" w:hint="cs"/>
          <w:rtl/>
        </w:rPr>
        <w:t>.</w:t>
      </w:r>
      <w:r w:rsidRPr="007B23B1">
        <w:rPr>
          <w:rFonts w:cs="Arial"/>
          <w:rtl/>
        </w:rPr>
        <w:t xml:space="preserve"> אבל רבינו יוסף ט"ע חולק בתשובותיו וקאמר דבשלשה לא בעיא קנין</w:t>
      </w:r>
      <w:r w:rsidRPr="007B23B1">
        <w:rPr>
          <w:rFonts w:cs="Arial" w:hint="cs"/>
          <w:rtl/>
        </w:rPr>
        <w:t>,</w:t>
      </w:r>
      <w:r w:rsidRPr="007B23B1">
        <w:rPr>
          <w:rFonts w:cs="Arial"/>
          <w:rtl/>
        </w:rPr>
        <w:t xml:space="preserve"> וזו תשובתו אשר השיב על שנים שבאו לדין ונתפשרו במעמד טובי העיר וקנו זה לזה ורצה אחד מהן לחזור בו ולבטל אותו קנין, נראה בעיני דאין אחר קנין כלום ואין יכול לבטלו וקי"ל כרב יוסף (ב"ב קיד</w:t>
      </w:r>
      <w:r>
        <w:rPr>
          <w:rFonts w:cs="Arial" w:hint="cs"/>
          <w:rtl/>
        </w:rPr>
        <w:t>.</w:t>
      </w:r>
      <w:r w:rsidRPr="007B23B1">
        <w:rPr>
          <w:rFonts w:cs="Arial"/>
          <w:rtl/>
        </w:rPr>
        <w:t>) כל זמן שעסוקין באותו ענין, אפי' כי לא קנו מיניה כיון דבשלשה הויא מחילה לית בה חזרה</w:t>
      </w:r>
      <w:r>
        <w:rPr>
          <w:rFonts w:cs="Arial" w:hint="cs"/>
          <w:rtl/>
        </w:rPr>
        <w:t>,</w:t>
      </w:r>
      <w:r w:rsidRPr="007B23B1">
        <w:rPr>
          <w:rFonts w:cs="Arial"/>
          <w:rtl/>
        </w:rPr>
        <w:t xml:space="preserve"> דכי אמור רבנן פשרה צריכה קנין ה"מ בפני שנים דלא אלימי לאפקועי ממונא בלא קנין</w:t>
      </w:r>
      <w:r>
        <w:rPr>
          <w:rFonts w:cs="Arial" w:hint="cs"/>
          <w:rtl/>
        </w:rPr>
        <w:t>,</w:t>
      </w:r>
      <w:r w:rsidRPr="007B23B1">
        <w:rPr>
          <w:rFonts w:cs="Arial"/>
          <w:rtl/>
        </w:rPr>
        <w:t xml:space="preserve"> אבל בשלשה אלימי</w:t>
      </w:r>
      <w:r>
        <w:rPr>
          <w:rFonts w:cs="Arial" w:hint="cs"/>
          <w:rtl/>
        </w:rPr>
        <w:t>,</w:t>
      </w:r>
      <w:r w:rsidRPr="007B23B1">
        <w:rPr>
          <w:rFonts w:cs="Arial"/>
          <w:rtl/>
        </w:rPr>
        <w:t xml:space="preserve"> דב"ד נינהו</w:t>
      </w:r>
      <w:r>
        <w:rPr>
          <w:rFonts w:cs="Arial" w:hint="cs"/>
          <w:rtl/>
        </w:rPr>
        <w:t>,</w:t>
      </w:r>
      <w:r w:rsidRPr="007B23B1">
        <w:rPr>
          <w:rFonts w:cs="Arial"/>
          <w:rtl/>
        </w:rPr>
        <w:t xml:space="preserve"> וכ"ש הכא דבמעמד טובי העיר הוה</w:t>
      </w:r>
      <w:r>
        <w:rPr>
          <w:rFonts w:cs="Arial" w:hint="cs"/>
          <w:rtl/>
        </w:rPr>
        <w:t>.</w:t>
      </w:r>
      <w:r w:rsidRPr="007B23B1">
        <w:rPr>
          <w:rFonts w:cs="Arial"/>
          <w:rtl/>
        </w:rPr>
        <w:t xml:space="preserve"> ונ"ל דברי רבינו יוסף דאמ</w:t>
      </w:r>
      <w:r>
        <w:rPr>
          <w:rFonts w:cs="Arial" w:hint="cs"/>
          <w:rtl/>
        </w:rPr>
        <w:t>ר</w:t>
      </w:r>
      <w:r w:rsidRPr="007B23B1">
        <w:rPr>
          <w:rFonts w:cs="Arial"/>
          <w:rtl/>
        </w:rPr>
        <w:t xml:space="preserve"> דאפשרה בשנים קא פסיק דצריכה קנין</w:t>
      </w:r>
      <w:r>
        <w:rPr>
          <w:rFonts w:cs="Arial" w:hint="cs"/>
          <w:rtl/>
        </w:rPr>
        <w:t>,</w:t>
      </w:r>
      <w:r w:rsidRPr="007B23B1">
        <w:rPr>
          <w:rFonts w:cs="Arial"/>
          <w:rtl/>
        </w:rPr>
        <w:t xml:space="preserve"> ולא אפשרה בשלשה, דאי ס"ד דאפשרה בשלשה נמי קאי א"כ כמאן קא פסיק</w:t>
      </w:r>
      <w:r>
        <w:rPr>
          <w:rFonts w:cs="Arial" w:hint="cs"/>
          <w:rtl/>
        </w:rPr>
        <w:t>,</w:t>
      </w:r>
      <w:r w:rsidRPr="007B23B1">
        <w:rPr>
          <w:rFonts w:cs="Arial"/>
          <w:rtl/>
        </w:rPr>
        <w:t xml:space="preserve"> לא כר"מ ולא כרשב"ג דהא לתרוייהו בשנים לא בעי' קנין וכ"ש בשלשה</w:t>
      </w:r>
      <w:r>
        <w:rPr>
          <w:rFonts w:cs="Arial" w:hint="cs"/>
          <w:rtl/>
        </w:rPr>
        <w:t>,</w:t>
      </w:r>
      <w:r w:rsidRPr="007B23B1">
        <w:rPr>
          <w:rFonts w:cs="Arial"/>
          <w:rtl/>
        </w:rPr>
        <w:t xml:space="preserve"> אלא אפשרה בשנים קאי</w:t>
      </w:r>
      <w:r>
        <w:rPr>
          <w:rFonts w:cs="Arial" w:hint="cs"/>
          <w:rtl/>
        </w:rPr>
        <w:t>.</w:t>
      </w:r>
      <w:r w:rsidRPr="007B23B1">
        <w:rPr>
          <w:rFonts w:cs="Arial"/>
          <w:rtl/>
        </w:rPr>
        <w:t xml:space="preserve"> ואפשר דבעי קנין בב', ופסיק כרשב"ג</w:t>
      </w:r>
      <w:r>
        <w:rPr>
          <w:rFonts w:cs="Arial" w:hint="cs"/>
          <w:rtl/>
        </w:rPr>
        <w:t>.</w:t>
      </w:r>
      <w:r w:rsidRPr="007B23B1">
        <w:rPr>
          <w:rFonts w:cs="Arial"/>
          <w:rtl/>
        </w:rPr>
        <w:t xml:space="preserve"> אבל בהא אין נראין דבריו דקאמר בלא קנין</w:t>
      </w:r>
      <w:r>
        <w:rPr>
          <w:rFonts w:cs="Arial" w:hint="cs"/>
          <w:rtl/>
        </w:rPr>
        <w:t>,</w:t>
      </w:r>
      <w:r w:rsidRPr="007B23B1">
        <w:rPr>
          <w:rFonts w:cs="Arial"/>
          <w:rtl/>
        </w:rPr>
        <w:t xml:space="preserve"> אלא כר"מ נראה</w:t>
      </w:r>
      <w:r>
        <w:rPr>
          <w:rFonts w:cs="Arial" w:hint="cs"/>
          <w:rtl/>
        </w:rPr>
        <w:t>,</w:t>
      </w:r>
      <w:r w:rsidRPr="007B23B1">
        <w:rPr>
          <w:rFonts w:cs="Arial"/>
          <w:rtl/>
        </w:rPr>
        <w:t xml:space="preserve"> דאמר דלא אלימי שנים לאפקועי ממונא בלא קנין ולהכי בעי שלשה</w:t>
      </w:r>
      <w:r>
        <w:rPr>
          <w:rFonts w:cs="Arial" w:hint="cs"/>
          <w:rtl/>
        </w:rPr>
        <w:t>,</w:t>
      </w:r>
      <w:r w:rsidRPr="007B23B1">
        <w:rPr>
          <w:rFonts w:cs="Arial"/>
          <w:rtl/>
        </w:rPr>
        <w:t xml:space="preserve"> ופסיק הילכתא כדברי שניהם</w:t>
      </w:r>
      <w:r>
        <w:rPr>
          <w:rFonts w:cs="Arial" w:hint="cs"/>
          <w:rtl/>
        </w:rPr>
        <w:t>,</w:t>
      </w:r>
      <w:r w:rsidRPr="007B23B1">
        <w:rPr>
          <w:rFonts w:cs="Arial"/>
          <w:rtl/>
        </w:rPr>
        <w:t xml:space="preserve"> אבל פשרה בג' ליכא מאן דאמר דבעי קנין</w:t>
      </w:r>
      <w:r>
        <w:rPr>
          <w:rFonts w:cs="Arial" w:hint="cs"/>
          <w:rtl/>
        </w:rPr>
        <w:t>.</w:t>
      </w:r>
      <w:r w:rsidRPr="007B23B1">
        <w:rPr>
          <w:rFonts w:cs="Arial"/>
          <w:rtl/>
        </w:rPr>
        <w:t xml:space="preserve"> וי"ל </w:t>
      </w:r>
      <w:r>
        <w:rPr>
          <w:rFonts w:cs="Arial" w:hint="cs"/>
          <w:rtl/>
        </w:rPr>
        <w:t>ד</w:t>
      </w:r>
      <w:r w:rsidRPr="007B23B1">
        <w:rPr>
          <w:rFonts w:cs="Arial"/>
          <w:rtl/>
        </w:rPr>
        <w:t>מר יהודאי גאון ס"ל נמי הכי והא דלא מפליג בין ב' לג' משום דלא הוה צריך</w:t>
      </w:r>
      <w:r>
        <w:rPr>
          <w:rFonts w:cs="Arial" w:hint="cs"/>
          <w:rtl/>
        </w:rPr>
        <w:t>,</w:t>
      </w:r>
      <w:r w:rsidRPr="007B23B1">
        <w:rPr>
          <w:rFonts w:cs="Arial"/>
          <w:rtl/>
        </w:rPr>
        <w:t xml:space="preserve"> דהפסק עצמו מוכח כדפרישית דלא קאי אלא אב', והוו אינשי בהדייהו </w:t>
      </w:r>
      <w:r>
        <w:rPr>
          <w:rFonts w:cs="Arial" w:hint="cs"/>
          <w:rtl/>
        </w:rPr>
        <w:t xml:space="preserve">- </w:t>
      </w:r>
      <w:r w:rsidRPr="007B23B1">
        <w:rPr>
          <w:rFonts w:cs="Arial"/>
          <w:rtl/>
        </w:rPr>
        <w:t>שנים הם, ולא הוה צריך לפרושי ותו לא מידי.</w:t>
      </w:r>
    </w:p>
  </w:footnote>
  <w:footnote w:id="646">
    <w:p w14:paraId="47A0583E" w14:textId="77777777" w:rsidR="0013116F" w:rsidRDefault="0013116F" w:rsidP="00CF6CA9">
      <w:pPr>
        <w:pStyle w:val="a9"/>
      </w:pPr>
      <w:r>
        <w:rPr>
          <w:rStyle w:val="ab"/>
        </w:rPr>
        <w:footnoteRef/>
      </w:r>
      <w:r>
        <w:rPr>
          <w:rtl/>
        </w:rPr>
        <w:t xml:space="preserve"> </w:t>
      </w:r>
      <w:r w:rsidRPr="007B23B1">
        <w:rPr>
          <w:rFonts w:cs="Arial" w:hint="cs"/>
          <w:rtl/>
        </w:rPr>
        <w:t xml:space="preserve">העותקה תשובתו בשו"ת מהר"ם מרוטנבורג </w:t>
      </w:r>
      <w:r>
        <w:rPr>
          <w:rFonts w:cs="Arial" w:hint="cs"/>
          <w:rtl/>
        </w:rPr>
        <w:t>(</w:t>
      </w:r>
      <w:r w:rsidRPr="007B23B1">
        <w:rPr>
          <w:rFonts w:cs="Arial" w:hint="cs"/>
          <w:rtl/>
        </w:rPr>
        <w:t>ספר סיני וליקוטים סי' שעד, וכן בדפוס ברלין סי' קנג</w:t>
      </w:r>
      <w:r>
        <w:rPr>
          <w:rFonts w:cs="Arial" w:hint="cs"/>
          <w:rtl/>
        </w:rPr>
        <w:t>)</w:t>
      </w:r>
      <w:r w:rsidRPr="007B23B1">
        <w:rPr>
          <w:rFonts w:cs="Arial" w:hint="cs"/>
          <w:rtl/>
        </w:rPr>
        <w:t xml:space="preserve"> ובתשובות מיימוניות </w:t>
      </w:r>
      <w:r>
        <w:rPr>
          <w:rFonts w:cs="Arial" w:hint="cs"/>
          <w:rtl/>
        </w:rPr>
        <w:t>(</w:t>
      </w:r>
      <w:r w:rsidRPr="007B23B1">
        <w:rPr>
          <w:rFonts w:cs="Arial" w:hint="cs"/>
          <w:rtl/>
        </w:rPr>
        <w:t xml:space="preserve">שופטים סי' ט </w:t>
      </w:r>
      <w:r w:rsidRPr="007B23B1">
        <w:rPr>
          <w:rFonts w:cs="Arial"/>
          <w:rtl/>
        </w:rPr>
        <w:t>להלכות סנהדרין פרק כ"ב</w:t>
      </w:r>
      <w:r>
        <w:rPr>
          <w:rFonts w:cs="Arial" w:hint="cs"/>
          <w:rtl/>
        </w:rPr>
        <w:t>).</w:t>
      </w:r>
      <w:r>
        <w:rPr>
          <w:rFonts w:hint="cs"/>
          <w:rtl/>
        </w:rPr>
        <w:t xml:space="preserve"> וגם במרדכי (סנהדרין סי' תרעט) הובאו טורף דבריו של הראב"ן.</w:t>
      </w:r>
    </w:p>
  </w:footnote>
  <w:footnote w:id="647">
    <w:p w14:paraId="6D662A85" w14:textId="77777777" w:rsidR="0013116F" w:rsidRDefault="0013116F" w:rsidP="007B23B1">
      <w:pPr>
        <w:pStyle w:val="a9"/>
        <w:rPr>
          <w:rtl/>
        </w:rPr>
      </w:pPr>
      <w:r>
        <w:rPr>
          <w:rStyle w:val="ab"/>
        </w:rPr>
        <w:footnoteRef/>
      </w:r>
      <w:r>
        <w:rPr>
          <w:rtl/>
        </w:rPr>
        <w:t xml:space="preserve"> </w:t>
      </w:r>
      <w:r w:rsidRPr="00C90064">
        <w:rPr>
          <w:rFonts w:cs="Arial"/>
          <w:rtl/>
        </w:rPr>
        <w:t>ו</w:t>
      </w:r>
      <w:r>
        <w:rPr>
          <w:rFonts w:cs="Arial" w:hint="cs"/>
          <w:rtl/>
        </w:rPr>
        <w:t xml:space="preserve">מיהו </w:t>
      </w:r>
      <w:r w:rsidRPr="00C90064">
        <w:rPr>
          <w:rFonts w:cs="Arial"/>
          <w:rtl/>
        </w:rPr>
        <w:t>נראה דעת שאר הפוסקים דאין לחלק מדסתמו דבריהם</w:t>
      </w:r>
      <w:r>
        <w:rPr>
          <w:rFonts w:cs="Arial" w:hint="cs"/>
          <w:rtl/>
        </w:rPr>
        <w:t>, דרכ"מ (אות ה).</w:t>
      </w:r>
    </w:p>
  </w:footnote>
  <w:footnote w:id="648">
    <w:p w14:paraId="037A3505" w14:textId="77777777" w:rsidR="0013116F" w:rsidRDefault="0013116F">
      <w:pPr>
        <w:pStyle w:val="a9"/>
        <w:rPr>
          <w:rtl/>
        </w:rPr>
      </w:pPr>
      <w:r>
        <w:rPr>
          <w:rStyle w:val="ab"/>
        </w:rPr>
        <w:footnoteRef/>
      </w:r>
      <w:r>
        <w:rPr>
          <w:rtl/>
        </w:rPr>
        <w:t xml:space="preserve"> </w:t>
      </w:r>
      <w:r w:rsidRPr="00FA5F47">
        <w:rPr>
          <w:rFonts w:cs="Arial"/>
          <w:rtl/>
        </w:rPr>
        <w:t>משום דאי לאו הוי קנין הוי כמו מחילה בטעות שלא היה יודע שיאמרו למחול כל כך</w:t>
      </w:r>
      <w:r>
        <w:rPr>
          <w:rFonts w:cs="Arial" w:hint="cs"/>
          <w:rtl/>
        </w:rPr>
        <w:t>,</w:t>
      </w:r>
      <w:r w:rsidRPr="00FA5F47">
        <w:rPr>
          <w:rFonts w:cs="Arial"/>
          <w:rtl/>
        </w:rPr>
        <w:t xml:space="preserve"> ואע</w:t>
      </w:r>
      <w:r>
        <w:rPr>
          <w:rFonts w:cs="Arial" w:hint="cs"/>
          <w:rtl/>
        </w:rPr>
        <w:t>"</w:t>
      </w:r>
      <w:r w:rsidRPr="00FA5F47">
        <w:rPr>
          <w:rFonts w:cs="Arial"/>
          <w:rtl/>
        </w:rPr>
        <w:t>ג</w:t>
      </w:r>
      <w:r>
        <w:rPr>
          <w:rFonts w:cs="Arial" w:hint="cs"/>
          <w:rtl/>
        </w:rPr>
        <w:t xml:space="preserve"> </w:t>
      </w:r>
      <w:r w:rsidRPr="00FA5F47">
        <w:rPr>
          <w:rFonts w:cs="Arial"/>
          <w:rtl/>
        </w:rPr>
        <w:t>דהשתא דאיכא קנין הוי כמו קנין בטעות מיהו אלימא מילתא טפי בקנין מבלא קנין</w:t>
      </w:r>
      <w:r>
        <w:rPr>
          <w:rFonts w:hint="cs"/>
          <w:rtl/>
        </w:rPr>
        <w:t>, תוס'.</w:t>
      </w:r>
    </w:p>
  </w:footnote>
  <w:footnote w:id="649">
    <w:p w14:paraId="0250A84F" w14:textId="77777777" w:rsidR="0013116F" w:rsidRDefault="0013116F">
      <w:pPr>
        <w:pStyle w:val="a9"/>
        <w:rPr>
          <w:rtl/>
        </w:rPr>
      </w:pPr>
      <w:r>
        <w:rPr>
          <w:rStyle w:val="ab"/>
        </w:rPr>
        <w:footnoteRef/>
      </w:r>
      <w:r>
        <w:rPr>
          <w:rtl/>
        </w:rPr>
        <w:t xml:space="preserve"> </w:t>
      </w:r>
      <w:r w:rsidRPr="00A605DC">
        <w:rPr>
          <w:rFonts w:cs="Arial"/>
          <w:rtl/>
        </w:rPr>
        <w:t>דדמי למחילה בטעות כשידע אחד מהם שהדין עמו יאמר אלו הייתי יודע זה לא הייתי מוחל או אם הייתי יודע שיאמרו לי למחול כל כך לא הייתי מתרצה</w:t>
      </w:r>
      <w:r>
        <w:rPr>
          <w:rFonts w:hint="cs"/>
          <w:rtl/>
        </w:rPr>
        <w:t>, רא"ש.</w:t>
      </w:r>
    </w:p>
  </w:footnote>
  <w:footnote w:id="650">
    <w:p w14:paraId="6B55879C" w14:textId="77777777" w:rsidR="0013116F" w:rsidRDefault="0013116F">
      <w:pPr>
        <w:pStyle w:val="a9"/>
        <w:rPr>
          <w:rtl/>
        </w:rPr>
      </w:pPr>
      <w:r>
        <w:rPr>
          <w:rStyle w:val="ab"/>
        </w:rPr>
        <w:footnoteRef/>
      </w:r>
      <w:r>
        <w:rPr>
          <w:rtl/>
        </w:rPr>
        <w:t xml:space="preserve"> </w:t>
      </w:r>
      <w:r w:rsidRPr="00B753E7">
        <w:rPr>
          <w:rFonts w:cs="Arial"/>
          <w:rtl/>
        </w:rPr>
        <w:t xml:space="preserve">ראב"ן </w:t>
      </w:r>
      <w:r w:rsidRPr="00B753E7">
        <w:rPr>
          <w:rFonts w:cs="Arial"/>
          <w:sz w:val="16"/>
          <w:szCs w:val="16"/>
          <w:rtl/>
        </w:rPr>
        <w:t>(אבן העזר סי' ק</w:t>
      </w:r>
      <w:r>
        <w:rPr>
          <w:rFonts w:cs="Arial" w:hint="cs"/>
          <w:sz w:val="16"/>
          <w:szCs w:val="16"/>
          <w:rtl/>
        </w:rPr>
        <w:t>,</w:t>
      </w:r>
      <w:r w:rsidRPr="00783EE4">
        <w:rPr>
          <w:rFonts w:cs="Arial" w:hint="cs"/>
          <w:sz w:val="16"/>
          <w:szCs w:val="16"/>
          <w:rtl/>
        </w:rPr>
        <w:t xml:space="preserve"> </w:t>
      </w:r>
      <w:r>
        <w:rPr>
          <w:rFonts w:cs="Arial" w:hint="cs"/>
          <w:sz w:val="16"/>
          <w:szCs w:val="16"/>
          <w:rtl/>
        </w:rPr>
        <w:t>וכ"כ הראביה [שם] בשמו</w:t>
      </w:r>
      <w:r w:rsidRPr="00B753E7">
        <w:rPr>
          <w:rFonts w:cs="Arial"/>
          <w:sz w:val="16"/>
          <w:szCs w:val="16"/>
          <w:rtl/>
        </w:rPr>
        <w:t xml:space="preserve">) </w:t>
      </w:r>
      <w:r>
        <w:rPr>
          <w:rFonts w:cs="Arial" w:hint="cs"/>
          <w:rtl/>
        </w:rPr>
        <w:t xml:space="preserve">ר' יואל הלוי </w:t>
      </w:r>
      <w:r>
        <w:rPr>
          <w:rFonts w:cs="Arial" w:hint="cs"/>
          <w:sz w:val="16"/>
          <w:szCs w:val="16"/>
          <w:rtl/>
        </w:rPr>
        <w:t xml:space="preserve">(כ"כ הראביה [שם] בשמו) </w:t>
      </w:r>
      <w:r>
        <w:rPr>
          <w:rFonts w:cs="Arial" w:hint="cs"/>
          <w:rtl/>
        </w:rPr>
        <w:t>ו</w:t>
      </w:r>
      <w:r w:rsidRPr="00B753E7">
        <w:rPr>
          <w:rFonts w:cs="Arial"/>
          <w:rtl/>
        </w:rPr>
        <w:t>ראבי"ה</w:t>
      </w:r>
      <w:r>
        <w:rPr>
          <w:rFonts w:cs="Arial" w:hint="cs"/>
          <w:rtl/>
        </w:rPr>
        <w:t xml:space="preserve"> </w:t>
      </w:r>
      <w:r w:rsidRPr="00B753E7">
        <w:rPr>
          <w:rFonts w:cs="Arial" w:hint="cs"/>
          <w:sz w:val="16"/>
          <w:szCs w:val="16"/>
          <w:rtl/>
        </w:rPr>
        <w:t>(</w:t>
      </w:r>
      <w:r>
        <w:rPr>
          <w:rFonts w:cs="Arial" w:hint="cs"/>
          <w:sz w:val="16"/>
          <w:szCs w:val="16"/>
          <w:rtl/>
        </w:rPr>
        <w:t>הביאוהו ההגה"מ [</w:t>
      </w:r>
      <w:r w:rsidRPr="00B753E7">
        <w:rPr>
          <w:rFonts w:cs="Arial"/>
          <w:sz w:val="16"/>
          <w:szCs w:val="16"/>
          <w:rtl/>
        </w:rPr>
        <w:t>פכ"ב מהל</w:t>
      </w:r>
      <w:r w:rsidRPr="00B753E7">
        <w:rPr>
          <w:rFonts w:cs="Arial" w:hint="cs"/>
          <w:sz w:val="16"/>
          <w:szCs w:val="16"/>
          <w:rtl/>
        </w:rPr>
        <w:t>'</w:t>
      </w:r>
      <w:r w:rsidRPr="00B753E7">
        <w:rPr>
          <w:rFonts w:cs="Arial"/>
          <w:sz w:val="16"/>
          <w:szCs w:val="16"/>
          <w:rtl/>
        </w:rPr>
        <w:t xml:space="preserve"> סנהדרין</w:t>
      </w:r>
      <w:r>
        <w:rPr>
          <w:rFonts w:cs="Arial" w:hint="cs"/>
          <w:sz w:val="16"/>
          <w:szCs w:val="16"/>
          <w:rtl/>
        </w:rPr>
        <w:t>] והמרדכי [</w:t>
      </w:r>
      <w:r w:rsidRPr="007D6907">
        <w:rPr>
          <w:rFonts w:cs="Arial"/>
          <w:sz w:val="16"/>
          <w:szCs w:val="16"/>
          <w:rtl/>
        </w:rPr>
        <w:t>סנהדרין סי' תרעט-תרפב</w:t>
      </w:r>
      <w:r>
        <w:rPr>
          <w:rFonts w:cs="Arial" w:hint="cs"/>
          <w:sz w:val="16"/>
          <w:szCs w:val="16"/>
          <w:rtl/>
        </w:rPr>
        <w:t>]</w:t>
      </w:r>
      <w:r w:rsidRPr="00B753E7">
        <w:rPr>
          <w:rFonts w:cs="Arial" w:hint="cs"/>
          <w:sz w:val="16"/>
          <w:szCs w:val="16"/>
          <w:rtl/>
        </w:rPr>
        <w:t>)</w:t>
      </w:r>
      <w:r>
        <w:rPr>
          <w:rFonts w:hint="cs"/>
          <w:rtl/>
        </w:rPr>
        <w:t>.</w:t>
      </w:r>
    </w:p>
  </w:footnote>
  <w:footnote w:id="651">
    <w:p w14:paraId="4B404C42" w14:textId="77777777" w:rsidR="0013116F" w:rsidRDefault="0013116F" w:rsidP="009170CA">
      <w:pPr>
        <w:pStyle w:val="a9"/>
      </w:pPr>
      <w:r>
        <w:rPr>
          <w:rStyle w:val="ab"/>
        </w:rPr>
        <w:footnoteRef/>
      </w:r>
      <w:r w:rsidRPr="006567B0">
        <w:rPr>
          <w:rFonts w:cs="Arial"/>
          <w:rtl/>
        </w:rPr>
        <w:t xml:space="preserve"> </w:t>
      </w:r>
      <w:r w:rsidRPr="00B753E7">
        <w:rPr>
          <w:rFonts w:cs="Arial"/>
          <w:rtl/>
        </w:rPr>
        <w:t>ואמר לי אבא מרי דטעמייהו משום דאינו יודע היאך יפשרו וכמה ימחול</w:t>
      </w:r>
      <w:r>
        <w:rPr>
          <w:rFonts w:cs="Arial" w:hint="cs"/>
          <w:rtl/>
        </w:rPr>
        <w:t>, ראבי"ה (כ"כ הגה"מ בשמו)</w:t>
      </w:r>
      <w:r w:rsidRPr="003928A2">
        <w:rPr>
          <w:rFonts w:cs="Arial"/>
          <w:rtl/>
        </w:rPr>
        <w:t>.</w:t>
      </w:r>
      <w:r>
        <w:rPr>
          <w:rFonts w:cs="Arial" w:hint="cs"/>
          <w:rtl/>
        </w:rPr>
        <w:t xml:space="preserve"> ועוד כתב שם ראבי"ה דרב צמח סובר דאפילו</w:t>
      </w:r>
      <w:r w:rsidRPr="003928A2">
        <w:rPr>
          <w:rFonts w:cs="Arial"/>
          <w:rtl/>
        </w:rPr>
        <w:t xml:space="preserve"> שמעו הפשרה כבר ושתקו ושוב בא לתבוע המותר </w:t>
      </w:r>
      <w:r>
        <w:rPr>
          <w:rFonts w:cs="Arial" w:hint="cs"/>
          <w:rtl/>
        </w:rPr>
        <w:t xml:space="preserve">- </w:t>
      </w:r>
      <w:r w:rsidRPr="003928A2">
        <w:rPr>
          <w:rFonts w:cs="Arial"/>
          <w:rtl/>
        </w:rPr>
        <w:t>מצי תבע כיון שלא מחל</w:t>
      </w:r>
      <w:r>
        <w:rPr>
          <w:rFonts w:cs="Arial" w:hint="cs"/>
          <w:rtl/>
        </w:rPr>
        <w:t xml:space="preserve">. עכ"ד. וכתב הדרכ"מ (אות ד)- </w:t>
      </w:r>
      <w:r w:rsidRPr="006567B0">
        <w:rPr>
          <w:rFonts w:cs="Arial"/>
          <w:rtl/>
        </w:rPr>
        <w:t xml:space="preserve">משמע דאם לאחר ששמע הפשרה </w:t>
      </w:r>
      <w:r w:rsidRPr="003928A2">
        <w:rPr>
          <w:rFonts w:cs="Arial"/>
          <w:b/>
          <w:bCs/>
          <w:rtl/>
        </w:rPr>
        <w:t>אמר</w:t>
      </w:r>
      <w:r w:rsidRPr="006567B0">
        <w:rPr>
          <w:rFonts w:cs="Arial"/>
          <w:rtl/>
        </w:rPr>
        <w:t xml:space="preserve"> בפירוש אני מוחל לך </w:t>
      </w:r>
      <w:r>
        <w:rPr>
          <w:rFonts w:cs="Arial" w:hint="cs"/>
          <w:rtl/>
        </w:rPr>
        <w:t xml:space="preserve">- </w:t>
      </w:r>
      <w:r w:rsidRPr="006567B0">
        <w:rPr>
          <w:rFonts w:cs="Arial"/>
          <w:rtl/>
        </w:rPr>
        <w:t>לכו</w:t>
      </w:r>
      <w:r>
        <w:rPr>
          <w:rFonts w:cs="Arial" w:hint="cs"/>
          <w:rtl/>
        </w:rPr>
        <w:t>"</w:t>
      </w:r>
      <w:r w:rsidRPr="006567B0">
        <w:rPr>
          <w:rFonts w:cs="Arial"/>
          <w:rtl/>
        </w:rPr>
        <w:t>ע אינה צריכה קנין</w:t>
      </w:r>
      <w:r>
        <w:rPr>
          <w:rFonts w:cs="Arial" w:hint="cs"/>
          <w:rtl/>
        </w:rPr>
        <w:t>.</w:t>
      </w:r>
      <w:r>
        <w:rPr>
          <w:rFonts w:hint="cs"/>
          <w:rtl/>
        </w:rPr>
        <w:t xml:space="preserve"> עכ"ל הדרכ"מ. והביא הסמ"ע (סקט"ו) את דבריו. וכ"כ בכנה"ג </w:t>
      </w:r>
      <w:r w:rsidRPr="009170CA">
        <w:rPr>
          <w:rFonts w:cs="Arial" w:hint="cs"/>
          <w:sz w:val="16"/>
          <w:szCs w:val="16"/>
          <w:rtl/>
        </w:rPr>
        <w:t>(מ</w:t>
      </w:r>
      <w:r w:rsidRPr="009170CA">
        <w:rPr>
          <w:rFonts w:cs="Arial"/>
          <w:sz w:val="16"/>
          <w:szCs w:val="16"/>
          <w:rtl/>
        </w:rPr>
        <w:t>הדורה בתרא הג</w:t>
      </w:r>
      <w:r w:rsidRPr="009170CA">
        <w:rPr>
          <w:rFonts w:cs="Arial" w:hint="cs"/>
          <w:sz w:val="16"/>
          <w:szCs w:val="16"/>
          <w:rtl/>
        </w:rPr>
        <w:t>ב"י</w:t>
      </w:r>
      <w:r w:rsidRPr="009170CA">
        <w:rPr>
          <w:rFonts w:cs="Arial"/>
          <w:sz w:val="16"/>
          <w:szCs w:val="16"/>
          <w:rtl/>
        </w:rPr>
        <w:t xml:space="preserve"> סי</w:t>
      </w:r>
      <w:r w:rsidRPr="009170CA">
        <w:rPr>
          <w:rFonts w:cs="Arial" w:hint="cs"/>
          <w:sz w:val="16"/>
          <w:szCs w:val="16"/>
          <w:rtl/>
        </w:rPr>
        <w:t>'</w:t>
      </w:r>
      <w:r w:rsidRPr="009170CA">
        <w:rPr>
          <w:rFonts w:cs="Arial"/>
          <w:sz w:val="16"/>
          <w:szCs w:val="16"/>
          <w:rtl/>
        </w:rPr>
        <w:t xml:space="preserve"> יב</w:t>
      </w:r>
      <w:r w:rsidRPr="009170CA">
        <w:rPr>
          <w:rFonts w:cs="Arial" w:hint="cs"/>
          <w:sz w:val="16"/>
          <w:szCs w:val="16"/>
          <w:rtl/>
        </w:rPr>
        <w:t xml:space="preserve"> אות ב)</w:t>
      </w:r>
      <w:r>
        <w:rPr>
          <w:rFonts w:cs="Arial" w:hint="cs"/>
          <w:rtl/>
        </w:rPr>
        <w:t xml:space="preserve"> </w:t>
      </w:r>
      <w:r>
        <w:rPr>
          <w:rFonts w:hint="cs"/>
          <w:rtl/>
        </w:rPr>
        <w:t>וז"ל-</w:t>
      </w:r>
      <w:r w:rsidRPr="009170CA">
        <w:rPr>
          <w:rtl/>
        </w:rPr>
        <w:t xml:space="preserve"> </w:t>
      </w:r>
      <w:r>
        <w:rPr>
          <w:rFonts w:cs="Arial"/>
          <w:rtl/>
        </w:rPr>
        <w:t>ומיהו אם שמעו הפשרה כבר ושתקו וכו' והרב צמח גאון וכו'. נ"ב: מדברים אלו מוכח דאפילו לרבינו צמח גאון דקאי בסברת הלכות גדולות, דאפילו הפשרנים צריך המוחל קנין</w:t>
      </w:r>
      <w:r>
        <w:rPr>
          <w:rFonts w:cs="Arial" w:hint="cs"/>
          <w:rtl/>
        </w:rPr>
        <w:t xml:space="preserve"> -</w:t>
      </w:r>
      <w:r>
        <w:rPr>
          <w:rFonts w:cs="Arial"/>
          <w:rtl/>
        </w:rPr>
        <w:t xml:space="preserve"> אם מחל בפירוש כגון שאמר </w:t>
      </w:r>
      <w:r>
        <w:rPr>
          <w:rFonts w:cs="Arial" w:hint="cs"/>
          <w:rtl/>
        </w:rPr>
        <w:t>'</w:t>
      </w:r>
      <w:r>
        <w:rPr>
          <w:rFonts w:cs="Arial"/>
          <w:rtl/>
        </w:rPr>
        <w:t>מהו לילך</w:t>
      </w:r>
      <w:r>
        <w:rPr>
          <w:rFonts w:cs="Arial" w:hint="cs"/>
          <w:rtl/>
        </w:rPr>
        <w:t>',</w:t>
      </w:r>
      <w:r>
        <w:rPr>
          <w:rFonts w:cs="Arial"/>
          <w:rtl/>
        </w:rPr>
        <w:t xml:space="preserve"> מהני אפילו בלא קנין. וכ</w:t>
      </w:r>
      <w:r>
        <w:rPr>
          <w:rFonts w:cs="Arial" w:hint="cs"/>
          <w:rtl/>
        </w:rPr>
        <w:t>"</w:t>
      </w:r>
      <w:r>
        <w:rPr>
          <w:rFonts w:cs="Arial"/>
          <w:rtl/>
        </w:rPr>
        <w:t xml:space="preserve">כ הסמ"ג בשם ר"מ. ויראה לי דלאו דווקא בפירש מחול לך אלא כל שלא שתק ואמר שהוא מפוייס במה שעשו הפשרנים </w:t>
      </w:r>
      <w:r>
        <w:rPr>
          <w:rFonts w:cs="Arial" w:hint="cs"/>
          <w:rtl/>
        </w:rPr>
        <w:t xml:space="preserve">- </w:t>
      </w:r>
      <w:r>
        <w:rPr>
          <w:rFonts w:cs="Arial"/>
          <w:rtl/>
        </w:rPr>
        <w:t>קנה בלא קנין ולא מצי הדר ביה. אבל מהריב"ל ז"ל בס"א סימן צ"ז כתב, ובהלכות גדולות ס"ל דאפילו שמחל בפירוש התובע אחר הפשרה אם לא נטל קנין אין בפשרה כלום. ע"כ.</w:t>
      </w:r>
      <w:r>
        <w:rPr>
          <w:rFonts w:cs="Arial" w:hint="cs"/>
          <w:rtl/>
        </w:rPr>
        <w:t xml:space="preserve">.. </w:t>
      </w:r>
      <w:r>
        <w:rPr>
          <w:rFonts w:cs="Arial"/>
          <w:rtl/>
        </w:rPr>
        <w:t>ולענין הלכה יכול המוחזק לומר קים לי כמוהריב"ל ז"ל, שסובר דלדעת בעל הלכות גדולות וסיעתו אפילו מחל בפירוש לא מהני.</w:t>
      </w:r>
      <w:r>
        <w:rPr>
          <w:rFonts w:hint="cs"/>
          <w:rtl/>
        </w:rPr>
        <w:t xml:space="preserve"> עכ"ל כנה"ג.</w:t>
      </w:r>
    </w:p>
  </w:footnote>
  <w:footnote w:id="652">
    <w:p w14:paraId="7CBA4F9F" w14:textId="77777777" w:rsidR="0013116F" w:rsidRDefault="0013116F" w:rsidP="00E96585">
      <w:pPr>
        <w:pStyle w:val="a9"/>
        <w:rPr>
          <w:rtl/>
        </w:rPr>
      </w:pPr>
      <w:r>
        <w:rPr>
          <w:rStyle w:val="ab"/>
        </w:rPr>
        <w:footnoteRef/>
      </w:r>
      <w:r>
        <w:rPr>
          <w:rtl/>
        </w:rPr>
        <w:t xml:space="preserve"> </w:t>
      </w:r>
      <w:r>
        <w:rPr>
          <w:rFonts w:cs="Arial" w:hint="cs"/>
          <w:rtl/>
        </w:rPr>
        <w:t>וכתב הב"י שכן כתבו התוס' באחד מהתירוצים</w:t>
      </w:r>
      <w:r w:rsidRPr="00E47E4E">
        <w:rPr>
          <w:rFonts w:cs="Arial"/>
          <w:rtl/>
        </w:rPr>
        <w:t xml:space="preserve"> </w:t>
      </w:r>
      <w:r w:rsidRPr="002A5A2C">
        <w:rPr>
          <w:rFonts w:cs="Arial" w:hint="cs"/>
          <w:sz w:val="16"/>
          <w:szCs w:val="16"/>
          <w:rtl/>
        </w:rPr>
        <w:t>{</w:t>
      </w:r>
      <w:r>
        <w:rPr>
          <w:rFonts w:cs="Arial" w:hint="cs"/>
          <w:sz w:val="16"/>
          <w:szCs w:val="16"/>
          <w:rtl/>
        </w:rPr>
        <w:t xml:space="preserve">וז"ל- </w:t>
      </w:r>
      <w:r w:rsidRPr="002A5A2C">
        <w:rPr>
          <w:rFonts w:cs="Arial"/>
          <w:sz w:val="16"/>
          <w:szCs w:val="16"/>
          <w:rtl/>
        </w:rPr>
        <w:t>מצי למימר דהקנין על אותו שיש לו לאחר לפרוע</w:t>
      </w:r>
      <w:r w:rsidRPr="002A5A2C">
        <w:rPr>
          <w:rFonts w:cs="Arial" w:hint="cs"/>
          <w:sz w:val="16"/>
          <w:szCs w:val="16"/>
          <w:rtl/>
        </w:rPr>
        <w:t>,</w:t>
      </w:r>
      <w:r w:rsidRPr="002A5A2C">
        <w:rPr>
          <w:rFonts w:cs="Arial"/>
          <w:sz w:val="16"/>
          <w:szCs w:val="16"/>
          <w:rtl/>
        </w:rPr>
        <w:t xml:space="preserve"> אבל להאי דמחיל אין צריך קנין</w:t>
      </w:r>
      <w:r>
        <w:rPr>
          <w:rFonts w:cs="Arial" w:hint="cs"/>
          <w:sz w:val="16"/>
          <w:szCs w:val="16"/>
          <w:rtl/>
        </w:rPr>
        <w:t>}</w:t>
      </w:r>
      <w:r>
        <w:rPr>
          <w:rFonts w:hint="cs"/>
          <w:rtl/>
        </w:rPr>
        <w:t xml:space="preserve">. </w:t>
      </w:r>
    </w:p>
  </w:footnote>
  <w:footnote w:id="653">
    <w:p w14:paraId="128D8A30" w14:textId="77777777" w:rsidR="0013116F" w:rsidRDefault="0013116F" w:rsidP="00E96585">
      <w:pPr>
        <w:pStyle w:val="a9"/>
      </w:pPr>
      <w:r>
        <w:rPr>
          <w:rStyle w:val="ab"/>
        </w:rPr>
        <w:footnoteRef/>
      </w:r>
      <w:r>
        <w:rPr>
          <w:rtl/>
        </w:rPr>
        <w:t xml:space="preserve"> </w:t>
      </w:r>
      <w:r w:rsidRPr="00E47E4E">
        <w:rPr>
          <w:rFonts w:cs="Arial"/>
          <w:rtl/>
        </w:rPr>
        <w:t>מ"ש ואדוני אבי הרא"ש ז"ל לא חילק. בפ</w:t>
      </w:r>
      <w:r>
        <w:rPr>
          <w:rFonts w:cs="Arial" w:hint="cs"/>
          <w:rtl/>
        </w:rPr>
        <w:t>"</w:t>
      </w:r>
      <w:r w:rsidRPr="00E47E4E">
        <w:rPr>
          <w:rFonts w:cs="Arial"/>
          <w:rtl/>
        </w:rPr>
        <w:t>ק דסנהדרין (סי' ג) סתם וכתב דפשרה צריכה קנין ובפרק המקבל (סי' מג) כתב ומכאן ראיה דמחילה לא בעיא קנין והא דאמרינן בפ</w:t>
      </w:r>
      <w:r>
        <w:rPr>
          <w:rFonts w:cs="Arial" w:hint="cs"/>
          <w:rtl/>
        </w:rPr>
        <w:t>"</w:t>
      </w:r>
      <w:r w:rsidRPr="00E47E4E">
        <w:rPr>
          <w:rFonts w:cs="Arial"/>
          <w:rtl/>
        </w:rPr>
        <w:t>ק דסנהדרין דפשרה צריכה קנין דשניהם צריכים להקנות זה שימחול לו חצי וזה שיפרע לו חצי שאני התם דדמי למחילה בטעות כשידע אחד מהם שהדין עמו יאמר אלו הייתי יודע זה לא הייתי מוחל או אם הייתי יודע שיאמרו לי למחול כל כך לא הייתי מתרצה ועוד י"ל דהא דבעי קנין משום דלא יסרבו לקיים הפשרה ולא מטעם המחילה עכ"ל</w:t>
      </w:r>
      <w:r>
        <w:rPr>
          <w:rFonts w:cs="Arial" w:hint="cs"/>
          <w:rtl/>
        </w:rPr>
        <w:t>, ב"י.</w:t>
      </w:r>
    </w:p>
  </w:footnote>
  <w:footnote w:id="654">
    <w:p w14:paraId="5AFB1DFD" w14:textId="77777777" w:rsidR="0013116F" w:rsidRDefault="0013116F">
      <w:pPr>
        <w:pStyle w:val="a9"/>
      </w:pPr>
      <w:r>
        <w:rPr>
          <w:rStyle w:val="ab"/>
        </w:rPr>
        <w:footnoteRef/>
      </w:r>
      <w:r>
        <w:rPr>
          <w:rtl/>
        </w:rPr>
        <w:t xml:space="preserve"> </w:t>
      </w:r>
      <w:r>
        <w:rPr>
          <w:rFonts w:hint="cs"/>
          <w:rtl/>
        </w:rPr>
        <w:t>והיינו כדעת הרא"ש שסתם דבריו.</w:t>
      </w:r>
    </w:p>
  </w:footnote>
  <w:footnote w:id="655">
    <w:p w14:paraId="6EBA68D8" w14:textId="77777777" w:rsidR="0013116F" w:rsidRDefault="0013116F">
      <w:pPr>
        <w:pStyle w:val="a9"/>
        <w:rPr>
          <w:rtl/>
        </w:rPr>
      </w:pPr>
      <w:r>
        <w:rPr>
          <w:rStyle w:val="ab"/>
        </w:rPr>
        <w:footnoteRef/>
      </w:r>
      <w:r>
        <w:rPr>
          <w:rtl/>
        </w:rPr>
        <w:t xml:space="preserve"> </w:t>
      </w:r>
      <w:r>
        <w:rPr>
          <w:rFonts w:cs="Arial" w:hint="cs"/>
          <w:rtl/>
        </w:rPr>
        <w:t>וז"ל התוס'</w:t>
      </w:r>
      <w:r>
        <w:rPr>
          <w:rFonts w:cs="Arial" w:hint="cs"/>
          <w:sz w:val="16"/>
          <w:szCs w:val="16"/>
          <w:rtl/>
        </w:rPr>
        <w:t xml:space="preserve"> (בסנהדרין שם)</w:t>
      </w:r>
      <w:r>
        <w:rPr>
          <w:rFonts w:cs="Arial" w:hint="cs"/>
          <w:rtl/>
        </w:rPr>
        <w:t xml:space="preserve">- </w:t>
      </w:r>
      <w:r w:rsidRPr="00FA5F47">
        <w:rPr>
          <w:rFonts w:cs="Arial"/>
          <w:rtl/>
        </w:rPr>
        <w:t>אם נפרש דקנין של פשרה עושין קודם הפשרה וקונין זה מזה לעשות כמו שיאמרו הדיינין הן לשלם הן למחול אין לדקדק מכאן דבעלמא מחילה צריכה קנין דמה שצריך הכא קנין על המחילה משום דאי לאו הוי קנין הוי כמו מחילה בטעות שלא היה יודע שיאמרו למחול כל כך ואף על גב דהשתא דאיכא קנין הוי כמו קנין בטעות מיהו אלימא מילתא טפי בקנין מבלא קנין</w:t>
      </w:r>
      <w:r>
        <w:rPr>
          <w:rFonts w:cs="Arial" w:hint="cs"/>
          <w:rtl/>
        </w:rPr>
        <w:t>.</w:t>
      </w:r>
      <w:r w:rsidRPr="00FA5F47">
        <w:rPr>
          <w:rFonts w:cs="Arial"/>
          <w:rtl/>
        </w:rPr>
        <w:t xml:space="preserve"> ואפילו אם נפרש שהקנין הוא לאחר הפשרה אכתי אין ראיה מכאן דמצי למימר דהקנין על אותו שיש לו לאחר לפרוע אבל להאי דמחיל אין צריך קנין</w:t>
      </w:r>
      <w:r>
        <w:rPr>
          <w:rFonts w:cs="Arial" w:hint="cs"/>
          <w:rtl/>
        </w:rPr>
        <w:t>.</w:t>
      </w:r>
      <w:r w:rsidRPr="00FA5F47">
        <w:rPr>
          <w:rFonts w:cs="Arial"/>
          <w:rtl/>
        </w:rPr>
        <w:t xml:space="preserve"> ומיהו בהלכות גדולות פירש בהלכות דינין דצריך קנין על המחילה אע</w:t>
      </w:r>
      <w:r>
        <w:rPr>
          <w:rFonts w:cs="Arial" w:hint="cs"/>
          <w:rtl/>
        </w:rPr>
        <w:t>"</w:t>
      </w:r>
      <w:r w:rsidRPr="00FA5F47">
        <w:rPr>
          <w:rFonts w:cs="Arial"/>
          <w:rtl/>
        </w:rPr>
        <w:t>פ שעושין הקנין אחר הפשרה</w:t>
      </w:r>
      <w:r>
        <w:rPr>
          <w:rFonts w:cs="Arial" w:hint="cs"/>
          <w:sz w:val="16"/>
          <w:szCs w:val="16"/>
          <w:rtl/>
        </w:rPr>
        <w:t xml:space="preserve"> </w:t>
      </w:r>
      <w:r w:rsidRPr="00E96585">
        <w:rPr>
          <w:rFonts w:cs="Arial" w:hint="cs"/>
          <w:sz w:val="16"/>
          <w:szCs w:val="16"/>
          <w:rtl/>
        </w:rPr>
        <w:t xml:space="preserve">{היינו </w:t>
      </w:r>
      <w:r w:rsidRPr="00E96585">
        <w:rPr>
          <w:rFonts w:cs="Arial"/>
          <w:sz w:val="16"/>
          <w:szCs w:val="16"/>
          <w:rtl/>
        </w:rPr>
        <w:t>דשניהם צריכין קנין</w:t>
      </w:r>
      <w:r w:rsidRPr="00E96585">
        <w:rPr>
          <w:rFonts w:cs="Arial" w:hint="cs"/>
          <w:sz w:val="16"/>
          <w:szCs w:val="16"/>
          <w:rtl/>
        </w:rPr>
        <w:t>,</w:t>
      </w:r>
      <w:r w:rsidRPr="00D861AF">
        <w:rPr>
          <w:rFonts w:cs="Arial"/>
          <w:sz w:val="16"/>
          <w:szCs w:val="16"/>
          <w:rtl/>
        </w:rPr>
        <w:t xml:space="preserve"> המוחל צריך להקנות שמחל לו</w:t>
      </w:r>
      <w:r w:rsidRPr="00E96585">
        <w:rPr>
          <w:rFonts w:cs="Arial" w:hint="cs"/>
          <w:sz w:val="16"/>
          <w:szCs w:val="16"/>
          <w:rtl/>
        </w:rPr>
        <w:t>,</w:t>
      </w:r>
      <w:r w:rsidRPr="00D861AF">
        <w:rPr>
          <w:rFonts w:cs="Arial"/>
          <w:sz w:val="16"/>
          <w:szCs w:val="16"/>
          <w:rtl/>
        </w:rPr>
        <w:t xml:space="preserve"> והמשלם צריך להקנות שישלם לו החצי</w:t>
      </w:r>
      <w:r w:rsidRPr="00E96585">
        <w:rPr>
          <w:rFonts w:cs="Arial" w:hint="cs"/>
          <w:sz w:val="16"/>
          <w:szCs w:val="16"/>
          <w:rtl/>
        </w:rPr>
        <w:t xml:space="preserve">, תוס' </w:t>
      </w:r>
      <w:r w:rsidRPr="00E96585">
        <w:rPr>
          <w:rFonts w:cs="Arial" w:hint="cs"/>
          <w:sz w:val="14"/>
          <w:szCs w:val="14"/>
          <w:rtl/>
        </w:rPr>
        <w:t>[ב"מ שם]</w:t>
      </w:r>
      <w:r>
        <w:rPr>
          <w:rFonts w:cs="Arial" w:hint="cs"/>
          <w:sz w:val="16"/>
          <w:szCs w:val="16"/>
          <w:rtl/>
        </w:rPr>
        <w:t>}</w:t>
      </w:r>
      <w:r>
        <w:rPr>
          <w:rFonts w:cs="Arial" w:hint="cs"/>
          <w:rtl/>
        </w:rPr>
        <w:t>.</w:t>
      </w:r>
      <w:r w:rsidRPr="00FA5F47">
        <w:rPr>
          <w:rFonts w:cs="Arial"/>
          <w:rtl/>
        </w:rPr>
        <w:t xml:space="preserve"> ומכל מקום אין ללמוד מכאן על שאר מחילה שתהא צריכה קנין דמחילה שע</w:t>
      </w:r>
      <w:r>
        <w:rPr>
          <w:rFonts w:cs="Arial" w:hint="cs"/>
          <w:rtl/>
        </w:rPr>
        <w:t>"</w:t>
      </w:r>
      <w:r w:rsidRPr="00FA5F47">
        <w:rPr>
          <w:rFonts w:cs="Arial"/>
          <w:rtl/>
        </w:rPr>
        <w:t>י פשרה אע</w:t>
      </w:r>
      <w:r>
        <w:rPr>
          <w:rFonts w:cs="Arial" w:hint="cs"/>
          <w:rtl/>
        </w:rPr>
        <w:t>"</w:t>
      </w:r>
      <w:r w:rsidRPr="00FA5F47">
        <w:rPr>
          <w:rFonts w:cs="Arial"/>
          <w:rtl/>
        </w:rPr>
        <w:t>פ שיודע מה מוחל דומה למחילה בטעות לפי שמוחל על פי עצתם של דיינין שהשיאו אותו למחול לפיכך צריך לאלם הדבר ע"י קנין</w:t>
      </w:r>
      <w:r>
        <w:rPr>
          <w:rFonts w:cs="Arial" w:hint="cs"/>
          <w:rtl/>
        </w:rPr>
        <w:t>. עכ"ל.</w:t>
      </w:r>
      <w:r>
        <w:rPr>
          <w:rFonts w:hint="cs"/>
          <w:rtl/>
        </w:rPr>
        <w:t xml:space="preserve"> וכ"כ הרא"ש במעט שינויים.</w:t>
      </w:r>
    </w:p>
  </w:footnote>
  <w:footnote w:id="656">
    <w:p w14:paraId="005522EE" w14:textId="77777777" w:rsidR="0013116F" w:rsidRDefault="0013116F" w:rsidP="00C52143">
      <w:pPr>
        <w:pStyle w:val="a9"/>
        <w:rPr>
          <w:rtl/>
        </w:rPr>
      </w:pPr>
      <w:r>
        <w:rPr>
          <w:rStyle w:val="ab"/>
        </w:rPr>
        <w:footnoteRef/>
      </w:r>
      <w:r>
        <w:rPr>
          <w:rtl/>
        </w:rPr>
        <w:t xml:space="preserve"> </w:t>
      </w:r>
      <w:r w:rsidRPr="00C52143">
        <w:rPr>
          <w:rFonts w:cs="Arial"/>
          <w:rtl/>
        </w:rPr>
        <w:t>דיני מחילה עיין במה שכתבתי בסימן רמ"א (סעי' ג - ד)</w:t>
      </w:r>
      <w:r>
        <w:rPr>
          <w:rFonts w:hint="cs"/>
          <w:rtl/>
        </w:rPr>
        <w:t>, ב"י.</w:t>
      </w:r>
    </w:p>
  </w:footnote>
  <w:footnote w:id="657">
    <w:p w14:paraId="5D29ACB2" w14:textId="77777777" w:rsidR="0013116F" w:rsidRDefault="0013116F">
      <w:pPr>
        <w:pStyle w:val="a9"/>
      </w:pPr>
      <w:r>
        <w:rPr>
          <w:rStyle w:val="ab"/>
        </w:rPr>
        <w:footnoteRef/>
      </w:r>
      <w:r>
        <w:rPr>
          <w:rtl/>
        </w:rPr>
        <w:t xml:space="preserve"> </w:t>
      </w:r>
      <w:r w:rsidRPr="00FE4378">
        <w:rPr>
          <w:rFonts w:cs="Arial"/>
          <w:rtl/>
        </w:rPr>
        <w:t>ובנ"י בפ' זה בורר בשמעתין דמחול לך מחלוקת כתב אף על גב דקנין דברים בעלמא מחזי אפ"ה אשכחן בקנין שמחזיק הדברי' כדאמר גבי דינא דבר מצרא וגבי משכנתא באתרא דלא מסלקו עכ"ל מהר"ם</w:t>
      </w:r>
      <w:r>
        <w:rPr>
          <w:rFonts w:cs="Arial" w:hint="cs"/>
          <w:rtl/>
        </w:rPr>
        <w:t xml:space="preserve">, הגהות הרמ"א המרדכי (הגהה שניה). וכתב הדרכ"מ (אות ד*) לעיין </w:t>
      </w:r>
      <w:r w:rsidRPr="00FE4378">
        <w:rPr>
          <w:rFonts w:cs="Arial"/>
          <w:rtl/>
        </w:rPr>
        <w:t>מדין זה לקמן ריש סימן רמ"ה</w:t>
      </w:r>
      <w:r>
        <w:rPr>
          <w:rFonts w:cs="Arial" w:hint="cs"/>
          <w:rtl/>
        </w:rPr>
        <w:t>.</w:t>
      </w:r>
    </w:p>
  </w:footnote>
  <w:footnote w:id="658">
    <w:p w14:paraId="22D31743" w14:textId="77777777" w:rsidR="0013116F" w:rsidRDefault="0013116F" w:rsidP="002C0319">
      <w:pPr>
        <w:pStyle w:val="a9"/>
        <w:rPr>
          <w:rtl/>
        </w:rPr>
      </w:pPr>
      <w:r>
        <w:rPr>
          <w:rStyle w:val="ab"/>
        </w:rPr>
        <w:footnoteRef/>
      </w:r>
      <w:r>
        <w:rPr>
          <w:rtl/>
        </w:rPr>
        <w:t xml:space="preserve"> </w:t>
      </w:r>
      <w:r w:rsidRPr="002C0319">
        <w:rPr>
          <w:rFonts w:cs="Arial"/>
          <w:rtl/>
        </w:rPr>
        <w:t>כ"כ הטור [סעיף ז'] והתוס' [סנהדרין ו</w:t>
      </w:r>
      <w:r>
        <w:rPr>
          <w:rFonts w:cs="Arial" w:hint="cs"/>
          <w:rtl/>
        </w:rPr>
        <w:t>.</w:t>
      </w:r>
      <w:r w:rsidRPr="002C0319">
        <w:rPr>
          <w:rFonts w:cs="Arial"/>
          <w:rtl/>
        </w:rPr>
        <w:t xml:space="preserve"> ד"ה צריכה] ומרדכי פ"ק דסנהדרין [סי' תרעט], ולאפוקי ראבי"ה וראב"ן [הביאן המרדכי שם] דס"ל דאם שתקו אחר ששמעו הפשרה א"צ קנין</w:t>
      </w:r>
      <w:r>
        <w:rPr>
          <w:rFonts w:hint="cs"/>
          <w:rtl/>
        </w:rPr>
        <w:t>, סמ"ע (סקי"ג).</w:t>
      </w:r>
    </w:p>
  </w:footnote>
  <w:footnote w:id="659">
    <w:p w14:paraId="17302B1A" w14:textId="77777777" w:rsidR="0013116F" w:rsidRDefault="0013116F">
      <w:pPr>
        <w:pStyle w:val="a9"/>
      </w:pPr>
      <w:r>
        <w:rPr>
          <w:rStyle w:val="ab"/>
        </w:rPr>
        <w:footnoteRef/>
      </w:r>
      <w:r>
        <w:rPr>
          <w:rtl/>
        </w:rPr>
        <w:t xml:space="preserve"> </w:t>
      </w:r>
      <w:r w:rsidRPr="002C0319">
        <w:rPr>
          <w:rFonts w:cs="Arial"/>
          <w:rtl/>
        </w:rPr>
        <w:t xml:space="preserve">משמע אף שקיבלו עליהם מתחילה לב"ד לדון, ולאפוקי ראב"ן ומרדכי הביאו שם, דס"ל דיש חילוק בין הוזקק מתחילה לדין או לפשרה, דבקיבלו מתחילה לדין הפשרה קיימת בלא קנין, וכ"כ בד"מ שם דמדסתמו </w:t>
      </w:r>
      <w:r>
        <w:rPr>
          <w:rFonts w:cs="Arial" w:hint="cs"/>
          <w:rtl/>
        </w:rPr>
        <w:t>שאר פוסקים</w:t>
      </w:r>
      <w:r w:rsidRPr="002C0319">
        <w:rPr>
          <w:rFonts w:cs="Arial"/>
          <w:rtl/>
        </w:rPr>
        <w:t xml:space="preserve"> אין לחלק</w:t>
      </w:r>
      <w:r>
        <w:rPr>
          <w:rFonts w:cs="Arial" w:hint="cs"/>
          <w:rtl/>
        </w:rPr>
        <w:t>, סמ"ע (סקי"ד).</w:t>
      </w:r>
    </w:p>
  </w:footnote>
  <w:footnote w:id="660">
    <w:p w14:paraId="2DF23C0B" w14:textId="77777777" w:rsidR="0013116F" w:rsidRDefault="0013116F">
      <w:pPr>
        <w:pStyle w:val="a9"/>
        <w:rPr>
          <w:rtl/>
        </w:rPr>
      </w:pPr>
      <w:r>
        <w:rPr>
          <w:rStyle w:val="ab"/>
        </w:rPr>
        <w:footnoteRef/>
      </w:r>
      <w:r>
        <w:rPr>
          <w:rtl/>
        </w:rPr>
        <w:t xml:space="preserve"> </w:t>
      </w:r>
      <w:r w:rsidRPr="002C0319">
        <w:rPr>
          <w:rFonts w:cs="Arial"/>
          <w:rtl/>
        </w:rPr>
        <w:t>פירוש, אפילו התובע דנתרצה לותר עם הנתבע ולמחול לו מקצת תביעות, ומחילה א"צ קנין. שאני מחילה דעלמא דמעצמו ומרצונו מחל לו, משא"כ במחילה דפשרה דע"פ הדיינים מוחל לו, וכדי שלא יטעון אח"כ הדיינים הטעו אותי בדבריהן, משום הכי בעי קנין, ומהאי טעמא אפילו כבר אמרו לו הדיינים ענין הפשרה, שנתבע יתן לו כך וכך והתובע ימחול המותר, אפ"ה צריך קנין אפילו התובע, כיון שלא מדעתו מחל לו. ועיין ד"מ סעיף ח' שכתב ז"ל, ומשמע שאם אמר אחר הפשרה בפירוש אני מוחל לך, לכו"ע אין צריך קנין, עכ"ל</w:t>
      </w:r>
      <w:r>
        <w:rPr>
          <w:rFonts w:hint="cs"/>
          <w:rtl/>
        </w:rPr>
        <w:t>, סמ"ע (סקט"ו). והעתיק הש"ך (סקי"א) חלק מדבריו.</w:t>
      </w:r>
    </w:p>
  </w:footnote>
  <w:footnote w:id="661">
    <w:p w14:paraId="40F6434B" w14:textId="77777777" w:rsidR="0013116F" w:rsidRDefault="0013116F">
      <w:pPr>
        <w:pStyle w:val="a9"/>
        <w:rPr>
          <w:rtl/>
        </w:rPr>
      </w:pPr>
      <w:r>
        <w:rPr>
          <w:rStyle w:val="ab"/>
        </w:rPr>
        <w:footnoteRef/>
      </w:r>
      <w:r>
        <w:rPr>
          <w:rtl/>
        </w:rPr>
        <w:t xml:space="preserve"> </w:t>
      </w:r>
      <w:r w:rsidRPr="00774862">
        <w:rPr>
          <w:rFonts w:cs="Arial"/>
          <w:rtl/>
        </w:rPr>
        <w:t>והפשרנים נאמנים שעשו קנין, עי</w:t>
      </w:r>
      <w:r>
        <w:rPr>
          <w:rFonts w:cs="Arial" w:hint="cs"/>
          <w:rtl/>
        </w:rPr>
        <w:t>'</w:t>
      </w:r>
      <w:r w:rsidRPr="00774862">
        <w:rPr>
          <w:rFonts w:cs="Arial"/>
          <w:rtl/>
        </w:rPr>
        <w:t xml:space="preserve"> בתשובת ן' לב </w:t>
      </w:r>
      <w:r>
        <w:rPr>
          <w:rFonts w:cs="Arial" w:hint="cs"/>
          <w:rtl/>
        </w:rPr>
        <w:t>(</w:t>
      </w:r>
      <w:r w:rsidRPr="00774862">
        <w:rPr>
          <w:rFonts w:cs="Arial"/>
          <w:rtl/>
        </w:rPr>
        <w:t>ספר ב סי' כט</w:t>
      </w:r>
      <w:r>
        <w:rPr>
          <w:rFonts w:cs="Arial" w:hint="cs"/>
          <w:rtl/>
        </w:rPr>
        <w:t>)</w:t>
      </w:r>
      <w:r w:rsidRPr="00774862">
        <w:rPr>
          <w:rFonts w:cs="Arial"/>
          <w:rtl/>
        </w:rPr>
        <w:t>. ופשרה שעשו בעלי דינין עצמן ביניהן א"צ קנין, כ"כ מהר"מ מלובלין בתשובה סי' מ"ז, ע"ש</w:t>
      </w:r>
      <w:r>
        <w:rPr>
          <w:rFonts w:cs="Arial" w:hint="cs"/>
          <w:rtl/>
        </w:rPr>
        <w:t>, ש"ך (סקי"ב).</w:t>
      </w:r>
    </w:p>
  </w:footnote>
  <w:footnote w:id="662">
    <w:p w14:paraId="42807128" w14:textId="77777777" w:rsidR="0013116F" w:rsidRDefault="0013116F">
      <w:pPr>
        <w:pStyle w:val="a9"/>
      </w:pPr>
      <w:r>
        <w:rPr>
          <w:rStyle w:val="ab"/>
        </w:rPr>
        <w:footnoteRef/>
      </w:r>
      <w:r>
        <w:rPr>
          <w:rtl/>
        </w:rPr>
        <w:t xml:space="preserve"> </w:t>
      </w:r>
      <w:r w:rsidRPr="00774862">
        <w:rPr>
          <w:rFonts w:cs="Arial"/>
          <w:rtl/>
        </w:rPr>
        <w:t>גם המחבר כתב בסמוך סע</w:t>
      </w:r>
      <w:r>
        <w:rPr>
          <w:rFonts w:cs="Arial" w:hint="cs"/>
          <w:rtl/>
        </w:rPr>
        <w:t>'</w:t>
      </w:r>
      <w:r w:rsidRPr="00774862">
        <w:rPr>
          <w:rFonts w:cs="Arial"/>
          <w:rtl/>
        </w:rPr>
        <w:t xml:space="preserve"> י</w:t>
      </w:r>
      <w:r>
        <w:rPr>
          <w:rFonts w:cs="Arial" w:hint="cs"/>
          <w:rtl/>
        </w:rPr>
        <w:t>"</w:t>
      </w:r>
      <w:r w:rsidRPr="00774862">
        <w:rPr>
          <w:rFonts w:cs="Arial"/>
          <w:rtl/>
        </w:rPr>
        <w:t>ג דאם קיבל הנתבע גזירת הפשרנים ועשה שטר הן בלשון הודאה הן בלשון חיוב אינו יכול לחזור בו. ומור"ם קמ"ל כאן דאפילו בעוד שאינו יודע הסך שיתפשרו אותו עליו, אם נתן שטר אנפשו בלשון חיוב אינו יכול לחזור בו, והוא שיכתוב בשטר אפילו בלא עדים הריני חייב לך עד סך כך וכך כפי אשר ימצאו הפשרנים בינינו, דבזה נתחייב לו אפילו בדבר שאינו חייב לו מעולם, דאלימא מילתא דשטרי וכמש"ל סי</w:t>
      </w:r>
      <w:r>
        <w:rPr>
          <w:rFonts w:cs="Arial" w:hint="cs"/>
          <w:rtl/>
        </w:rPr>
        <w:t xml:space="preserve">' </w:t>
      </w:r>
      <w:r w:rsidRPr="00774862">
        <w:rPr>
          <w:rFonts w:cs="Arial"/>
          <w:rtl/>
        </w:rPr>
        <w:t xml:space="preserve">מ </w:t>
      </w:r>
      <w:r w:rsidRPr="007F7227">
        <w:rPr>
          <w:rFonts w:cs="Arial"/>
          <w:sz w:val="16"/>
          <w:szCs w:val="16"/>
          <w:rtl/>
        </w:rPr>
        <w:t>[סע</w:t>
      </w:r>
      <w:r w:rsidRPr="007F7227">
        <w:rPr>
          <w:rFonts w:cs="Arial" w:hint="cs"/>
          <w:sz w:val="16"/>
          <w:szCs w:val="16"/>
          <w:rtl/>
        </w:rPr>
        <w:t>'</w:t>
      </w:r>
      <w:r w:rsidRPr="007F7227">
        <w:rPr>
          <w:rFonts w:cs="Arial"/>
          <w:sz w:val="16"/>
          <w:szCs w:val="16"/>
          <w:rtl/>
        </w:rPr>
        <w:t xml:space="preserve"> א]</w:t>
      </w:r>
      <w:r>
        <w:rPr>
          <w:rFonts w:cs="Arial" w:hint="cs"/>
          <w:rtl/>
        </w:rPr>
        <w:t xml:space="preserve">, סמ"ע </w:t>
      </w:r>
      <w:r w:rsidRPr="007F7227">
        <w:rPr>
          <w:rFonts w:cs="Arial" w:hint="cs"/>
          <w:sz w:val="16"/>
          <w:szCs w:val="16"/>
          <w:rtl/>
        </w:rPr>
        <w:t>(סקי"ח)</w:t>
      </w:r>
      <w:r>
        <w:rPr>
          <w:rFonts w:cs="Arial" w:hint="cs"/>
          <w:rtl/>
        </w:rPr>
        <w:t>.</w:t>
      </w:r>
      <w:r>
        <w:rPr>
          <w:rFonts w:hint="cs"/>
          <w:rtl/>
        </w:rPr>
        <w:t xml:space="preserve"> והתומים </w:t>
      </w:r>
      <w:r w:rsidRPr="007F7227">
        <w:rPr>
          <w:rFonts w:hint="cs"/>
          <w:sz w:val="16"/>
          <w:szCs w:val="16"/>
          <w:rtl/>
        </w:rPr>
        <w:t xml:space="preserve">(סק"ז) </w:t>
      </w:r>
      <w:r>
        <w:rPr>
          <w:rFonts w:hint="cs"/>
          <w:rtl/>
        </w:rPr>
        <w:t>השאיר את דינו של הסמ"ע בצ"ע.</w:t>
      </w:r>
    </w:p>
  </w:footnote>
  <w:footnote w:id="663">
    <w:p w14:paraId="5481EE5C" w14:textId="77777777" w:rsidR="0013116F" w:rsidRDefault="0013116F">
      <w:pPr>
        <w:pStyle w:val="a9"/>
        <w:rPr>
          <w:rtl/>
        </w:rPr>
      </w:pPr>
      <w:r>
        <w:rPr>
          <w:rStyle w:val="ab"/>
        </w:rPr>
        <w:footnoteRef/>
      </w:r>
      <w:r>
        <w:rPr>
          <w:rtl/>
        </w:rPr>
        <w:t xml:space="preserve"> </w:t>
      </w:r>
      <w:r w:rsidRPr="00774862">
        <w:rPr>
          <w:rFonts w:cs="Arial"/>
          <w:rtl/>
        </w:rPr>
        <w:t>פירוש, החפץ שטוענין עליו צריך הנתבע להקנות לו ע"י קנין סודר כפי השיעור אשר ימצאו ביניהן הפשרנים, ואם טוענים על המעות</w:t>
      </w:r>
      <w:r>
        <w:rPr>
          <w:rFonts w:cs="Arial" w:hint="cs"/>
          <w:rtl/>
        </w:rPr>
        <w:t>,</w:t>
      </w:r>
      <w:r w:rsidRPr="00774862">
        <w:rPr>
          <w:rFonts w:cs="Arial"/>
          <w:rtl/>
        </w:rPr>
        <w:t xml:space="preserve"> דאינו נקנה בחליפין דקנין סודר, צריך לשעבד נפשו להתחייב לו כפי אשר ימצאו הפשרנים</w:t>
      </w:r>
      <w:r>
        <w:rPr>
          <w:rFonts w:hint="cs"/>
          <w:rtl/>
        </w:rPr>
        <w:t>, סמ"ע (סקי"ט).</w:t>
      </w:r>
    </w:p>
  </w:footnote>
  <w:footnote w:id="664">
    <w:p w14:paraId="17A22FAB" w14:textId="77777777" w:rsidR="0013116F" w:rsidRDefault="0013116F">
      <w:pPr>
        <w:pStyle w:val="a9"/>
        <w:rPr>
          <w:rtl/>
        </w:rPr>
      </w:pPr>
      <w:r>
        <w:rPr>
          <w:rStyle w:val="ab"/>
        </w:rPr>
        <w:footnoteRef/>
      </w:r>
      <w:r>
        <w:rPr>
          <w:rtl/>
        </w:rPr>
        <w:t xml:space="preserve"> </w:t>
      </w:r>
      <w:r w:rsidRPr="00774862">
        <w:rPr>
          <w:rFonts w:cs="Arial"/>
          <w:rtl/>
        </w:rPr>
        <w:t>נראה דוקא בנתבע שמקנה לו "ליתן", "ואתן" הוה קנין דברים כמ"ש בריש סימן רמ"ה, משום הכי צריך להקנות לו החפץ, אבל בתובע סגי שיקנה מידו לותר ולמחול לנתבע מה שבידו, ועיין לקמן סימן ע"ג [סעיף י"ט]. ואי תביעתו מכח שטר שבידו, מקנה לו בקנין שיחזיר לחבירו השטר כפי אשר ימצאו הפשרנים, אבל אם מקנה לו בקנין שיעשה לו שטר מחילה כפי דבריהן, הו"ל קנין דברים, וכ"כ מור"ם בהג"ה סימן ר"ג סעיף א', ע"ש</w:t>
      </w:r>
      <w:r>
        <w:rPr>
          <w:rFonts w:hint="cs"/>
          <w:rtl/>
        </w:rPr>
        <w:t>, סמ"ע (סק"כ).</w:t>
      </w:r>
    </w:p>
  </w:footnote>
  <w:footnote w:id="665">
    <w:p w14:paraId="440B6A58" w14:textId="77777777" w:rsidR="0013116F" w:rsidRDefault="0013116F">
      <w:pPr>
        <w:pStyle w:val="a9"/>
        <w:rPr>
          <w:rtl/>
        </w:rPr>
      </w:pPr>
      <w:r>
        <w:rPr>
          <w:rStyle w:val="ab"/>
        </w:rPr>
        <w:footnoteRef/>
      </w:r>
      <w:r>
        <w:rPr>
          <w:rtl/>
        </w:rPr>
        <w:t xml:space="preserve"> </w:t>
      </w:r>
      <w:r w:rsidRPr="00E205F7">
        <w:rPr>
          <w:rFonts w:cs="Arial"/>
          <w:rtl/>
        </w:rPr>
        <w:t>משום שמיד שמחל לו נסתלק ממנו המוחל, והיינו דוקא בדלא נקט המוחל עדיין שטר חוב בידו, דבתפס שטרא כל זמן שאינו מחזיר לו מיד לא מהני ביה אפילו מחילה גמורה בלא קנין, ועיין לקמן סימן רמ"א [סעיף ב']</w:t>
      </w:r>
      <w:r>
        <w:rPr>
          <w:rFonts w:hint="cs"/>
          <w:rtl/>
        </w:rPr>
        <w:t>, סמ"ע (סקכ"א).</w:t>
      </w:r>
      <w:r w:rsidRPr="00027188">
        <w:rPr>
          <w:rtl/>
        </w:rPr>
        <w:t xml:space="preserve"> </w:t>
      </w:r>
      <w:r>
        <w:rPr>
          <w:rFonts w:cs="Arial" w:hint="cs"/>
          <w:rtl/>
        </w:rPr>
        <w:t>והביא הש"ך (סקי"ז) את דברי הסמ"ע, אך כתב וז"ל- ו</w:t>
      </w:r>
      <w:r w:rsidRPr="00027188">
        <w:rPr>
          <w:rFonts w:cs="Arial"/>
          <w:rtl/>
        </w:rPr>
        <w:t>צ"ע</w:t>
      </w:r>
      <w:r>
        <w:rPr>
          <w:rFonts w:cs="Arial" w:hint="cs"/>
          <w:rtl/>
        </w:rPr>
        <w:t>,</w:t>
      </w:r>
      <w:r w:rsidRPr="00027188">
        <w:rPr>
          <w:rFonts w:cs="Arial"/>
          <w:rtl/>
        </w:rPr>
        <w:t xml:space="preserve"> דלקמן סימן רמ"א סעיף ב' לא כתב מור"ם כן, ועמ"ש שם [סק"ד].</w:t>
      </w:r>
    </w:p>
  </w:footnote>
  <w:footnote w:id="666">
    <w:p w14:paraId="04FB86CB" w14:textId="77777777" w:rsidR="0013116F" w:rsidRDefault="0013116F">
      <w:pPr>
        <w:pStyle w:val="a9"/>
      </w:pPr>
      <w:r>
        <w:rPr>
          <w:rStyle w:val="ab"/>
        </w:rPr>
        <w:footnoteRef/>
      </w:r>
      <w:r>
        <w:rPr>
          <w:rtl/>
        </w:rPr>
        <w:t xml:space="preserve"> </w:t>
      </w:r>
      <w:r w:rsidRPr="006567B0">
        <w:rPr>
          <w:rFonts w:cs="Arial"/>
          <w:rtl/>
        </w:rPr>
        <w:t>שהרי הוא חייב לקיים הפשרה מכח הקנין</w:t>
      </w:r>
      <w:r>
        <w:rPr>
          <w:rFonts w:cs="Arial" w:hint="cs"/>
          <w:rtl/>
        </w:rPr>
        <w:t xml:space="preserve">, </w:t>
      </w:r>
      <w:r w:rsidRPr="006567B0">
        <w:rPr>
          <w:rFonts w:cs="Arial"/>
          <w:rtl/>
        </w:rPr>
        <w:t>רשב"א (ח"ג סימן רב)</w:t>
      </w:r>
      <w:r>
        <w:rPr>
          <w:rFonts w:cs="Arial" w:hint="cs"/>
          <w:rtl/>
        </w:rPr>
        <w:t>.</w:t>
      </w:r>
    </w:p>
  </w:footnote>
  <w:footnote w:id="667">
    <w:p w14:paraId="406EBE89" w14:textId="77777777" w:rsidR="0013116F" w:rsidRDefault="0013116F">
      <w:pPr>
        <w:pStyle w:val="a9"/>
      </w:pPr>
      <w:r>
        <w:rPr>
          <w:rStyle w:val="ab"/>
        </w:rPr>
        <w:footnoteRef/>
      </w:r>
      <w:r>
        <w:rPr>
          <w:rtl/>
        </w:rPr>
        <w:t xml:space="preserve"> </w:t>
      </w:r>
      <w:r w:rsidRPr="00185F80">
        <w:rPr>
          <w:rFonts w:asciiTheme="minorBidi" w:hAnsiTheme="minorBidi" w:cs="Arial"/>
          <w:color w:val="000000"/>
          <w:rtl/>
        </w:rPr>
        <w:t xml:space="preserve">ואפילו בשבועה אם השבועה היא בענין שיוכל לבטלה בלבו, ושלא יהא מה שמוציא מפיו בהדיא נגד מה שבלבו, </w:t>
      </w:r>
      <w:r w:rsidRPr="00185F80">
        <w:rPr>
          <w:rFonts w:asciiTheme="minorBidi" w:hAnsiTheme="minorBidi" w:cs="Arial" w:hint="cs"/>
          <w:sz w:val="16"/>
          <w:szCs w:val="16"/>
          <w:rtl/>
        </w:rPr>
        <w:t>(</w:t>
      </w:r>
      <w:r w:rsidRPr="00185F80">
        <w:rPr>
          <w:rFonts w:asciiTheme="minorBidi" w:hAnsiTheme="minorBidi" w:cs="Arial"/>
          <w:sz w:val="16"/>
          <w:szCs w:val="16"/>
          <w:rtl/>
        </w:rPr>
        <w:t>וכמ"ש ביו"ד סי</w:t>
      </w:r>
      <w:r w:rsidRPr="00185F80">
        <w:rPr>
          <w:rFonts w:asciiTheme="minorBidi" w:hAnsiTheme="minorBidi" w:cs="Arial" w:hint="cs"/>
          <w:sz w:val="16"/>
          <w:szCs w:val="16"/>
          <w:rtl/>
        </w:rPr>
        <w:t>'</w:t>
      </w:r>
      <w:r w:rsidRPr="00185F80">
        <w:rPr>
          <w:rFonts w:asciiTheme="minorBidi" w:hAnsiTheme="minorBidi" w:cs="Arial"/>
          <w:sz w:val="16"/>
          <w:szCs w:val="16"/>
          <w:rtl/>
        </w:rPr>
        <w:t xml:space="preserve"> רלב סע</w:t>
      </w:r>
      <w:r w:rsidRPr="00185F80">
        <w:rPr>
          <w:rFonts w:asciiTheme="minorBidi" w:hAnsiTheme="minorBidi" w:cs="Arial" w:hint="cs"/>
          <w:sz w:val="16"/>
          <w:szCs w:val="16"/>
          <w:rtl/>
        </w:rPr>
        <w:t>'</w:t>
      </w:r>
      <w:r w:rsidRPr="00185F80">
        <w:rPr>
          <w:rFonts w:asciiTheme="minorBidi" w:hAnsiTheme="minorBidi" w:cs="Arial"/>
          <w:sz w:val="16"/>
          <w:szCs w:val="16"/>
          <w:rtl/>
        </w:rPr>
        <w:t xml:space="preserve"> יד</w:t>
      </w:r>
      <w:r w:rsidRPr="00185F80">
        <w:rPr>
          <w:rFonts w:asciiTheme="minorBidi" w:hAnsiTheme="minorBidi" w:cs="Arial" w:hint="cs"/>
          <w:sz w:val="16"/>
          <w:szCs w:val="16"/>
          <w:rtl/>
        </w:rPr>
        <w:t xml:space="preserve"> </w:t>
      </w:r>
      <w:r w:rsidRPr="00185F80">
        <w:rPr>
          <w:rFonts w:asciiTheme="minorBidi" w:hAnsiTheme="minorBidi" w:cs="Arial"/>
          <w:sz w:val="16"/>
          <w:szCs w:val="16"/>
          <w:rtl/>
        </w:rPr>
        <w:t>גבי נשבע ונודר למוכסן</w:t>
      </w:r>
      <w:r w:rsidRPr="00185F80">
        <w:rPr>
          <w:rFonts w:asciiTheme="minorBidi" w:hAnsiTheme="minorBidi" w:cs="Arial" w:hint="cs"/>
          <w:sz w:val="16"/>
          <w:szCs w:val="16"/>
          <w:rtl/>
        </w:rPr>
        <w:t>)</w:t>
      </w:r>
      <w:r w:rsidRPr="00185F80">
        <w:rPr>
          <w:rFonts w:asciiTheme="minorBidi" w:hAnsiTheme="minorBidi" w:cs="Arial"/>
          <w:color w:val="000000"/>
          <w:rtl/>
        </w:rPr>
        <w:t xml:space="preserve">, ועיין לקמן בס"ס ר"ה </w:t>
      </w:r>
      <w:r w:rsidRPr="00185F80">
        <w:rPr>
          <w:rFonts w:asciiTheme="minorBidi" w:hAnsiTheme="minorBidi" w:cs="Arial" w:hint="cs"/>
          <w:sz w:val="16"/>
          <w:szCs w:val="16"/>
          <w:rtl/>
        </w:rPr>
        <w:t>(</w:t>
      </w:r>
      <w:r w:rsidRPr="00185F80">
        <w:rPr>
          <w:rFonts w:asciiTheme="minorBidi" w:hAnsiTheme="minorBidi" w:cs="Arial"/>
          <w:sz w:val="16"/>
          <w:szCs w:val="16"/>
          <w:rtl/>
        </w:rPr>
        <w:t>שהביאו ב"י [סעיף ט"ז ד"ה כתב הרשב"א] וד"מ ג"כ תשובת רשב"א זו [ח"א אלף ס"א]</w:t>
      </w:r>
      <w:r>
        <w:rPr>
          <w:rFonts w:asciiTheme="minorBidi" w:hAnsiTheme="minorBidi" w:cs="Arial" w:hint="cs"/>
          <w:sz w:val="16"/>
          <w:szCs w:val="16"/>
          <w:rtl/>
        </w:rPr>
        <w:t>)</w:t>
      </w:r>
      <w:r w:rsidRPr="00185F80">
        <w:rPr>
          <w:rFonts w:asciiTheme="minorBidi" w:hAnsiTheme="minorBidi" w:cs="Arial"/>
          <w:color w:val="000000"/>
          <w:rtl/>
        </w:rPr>
        <w:t xml:space="preserve"> שמסיק עלה דוקא כשנודע אח"כ שגם הביטול מודעא היה מחמת האונס </w:t>
      </w:r>
      <w:r w:rsidRPr="00185F80">
        <w:rPr>
          <w:rFonts w:asciiTheme="minorBidi" w:hAnsiTheme="minorBidi" w:cs="Arial" w:hint="cs"/>
          <w:color w:val="000000"/>
          <w:rtl/>
        </w:rPr>
        <w:t>, סמ"ע (סקכ"ב).</w:t>
      </w:r>
    </w:p>
  </w:footnote>
  <w:footnote w:id="668">
    <w:p w14:paraId="73906EB9" w14:textId="77777777" w:rsidR="0013116F" w:rsidRDefault="0013116F" w:rsidP="0076343E">
      <w:pPr>
        <w:pStyle w:val="a9"/>
        <w:rPr>
          <w:rtl/>
        </w:rPr>
      </w:pPr>
      <w:r>
        <w:rPr>
          <w:rStyle w:val="ab"/>
        </w:rPr>
        <w:footnoteRef/>
      </w:r>
      <w:r>
        <w:rPr>
          <w:rtl/>
        </w:rPr>
        <w:t xml:space="preserve"> </w:t>
      </w:r>
      <w:r w:rsidRPr="0076343E">
        <w:rPr>
          <w:rFonts w:cs="Arial"/>
          <w:rtl/>
        </w:rPr>
        <w:t>נראה דאף שכתב הטור לקמן ר</w:t>
      </w:r>
      <w:r>
        <w:rPr>
          <w:rFonts w:cs="Arial" w:hint="cs"/>
          <w:rtl/>
        </w:rPr>
        <w:t>"</w:t>
      </w:r>
      <w:r w:rsidRPr="0076343E">
        <w:rPr>
          <w:rFonts w:cs="Arial"/>
          <w:rtl/>
        </w:rPr>
        <w:t xml:space="preserve">ס קנז </w:t>
      </w:r>
      <w:r w:rsidRPr="0076343E">
        <w:rPr>
          <w:rFonts w:cs="Arial"/>
          <w:sz w:val="14"/>
          <w:szCs w:val="14"/>
          <w:rtl/>
        </w:rPr>
        <w:t>[סע</w:t>
      </w:r>
      <w:r w:rsidRPr="0076343E">
        <w:rPr>
          <w:rFonts w:cs="Arial" w:hint="cs"/>
          <w:sz w:val="14"/>
          <w:szCs w:val="14"/>
          <w:rtl/>
        </w:rPr>
        <w:t>'</w:t>
      </w:r>
      <w:r w:rsidRPr="0076343E">
        <w:rPr>
          <w:rFonts w:cs="Arial"/>
          <w:sz w:val="14"/>
          <w:szCs w:val="14"/>
          <w:rtl/>
        </w:rPr>
        <w:t xml:space="preserve"> ב] </w:t>
      </w:r>
      <w:r w:rsidRPr="0076343E">
        <w:rPr>
          <w:rFonts w:cs="Arial"/>
          <w:rtl/>
        </w:rPr>
        <w:t xml:space="preserve">דבדבר שאין בו דין חלוקה דבעינן קנין על חלוקה, דאם החזיק אחד מהם בחלקו נתקיימה החלוקה ואין אחד מהן יכול לחזור </w:t>
      </w:r>
      <w:r w:rsidRPr="0076343E">
        <w:rPr>
          <w:rFonts w:cs="Arial"/>
          <w:sz w:val="16"/>
          <w:szCs w:val="16"/>
          <w:rtl/>
        </w:rPr>
        <w:t>[ולא כהרמב"ם דכתב שם [פ"ב מהלכות שכנים ה"י] דצריכין שיחזיקו בו שניהם, וכמ"ש המחבר בשמו שם סעיף ב', ע"ש]</w:t>
      </w:r>
      <w:r w:rsidRPr="0076343E">
        <w:rPr>
          <w:rFonts w:cs="Arial"/>
          <w:rtl/>
        </w:rPr>
        <w:t xml:space="preserve">, כאן גם הטור מודה דבעינן שיבנו שניהם, ודוקא התם דיש לכל אחד חלק בו בשוה, אלא שמתחילה שימשו בו כל אחד בכולו, ובאים לחלק </w:t>
      </w:r>
      <w:r w:rsidRPr="0076343E">
        <w:rPr>
          <w:rFonts w:cs="Arial" w:hint="cs"/>
          <w:sz w:val="16"/>
          <w:szCs w:val="16"/>
          <w:rtl/>
        </w:rPr>
        <w:t>(</w:t>
      </w:r>
      <w:r w:rsidRPr="0076343E">
        <w:rPr>
          <w:rFonts w:cs="Arial"/>
          <w:sz w:val="16"/>
          <w:szCs w:val="16"/>
          <w:rtl/>
        </w:rPr>
        <w:t>ומשום הכי נמי כתב הרא"ש שם [ב"ב פ"א סי' ג'] דמהני אפילו כשהחזיק אחד מהן שלא בפני חבירו ואפילו לא אמר ליה [לך] חזק וקני, משא"כ הכא דהיה ענין אחר ביניהן. ועיין בד"מ [סעיף ו'] שהביא תשובת רשב"א [ח"ג סי' ר"ב] שממנו כתב דין זה, ותמצא שאין לו דמיון לנידון דסימן קנ"ז, ודו"ק</w:t>
      </w:r>
      <w:r>
        <w:rPr>
          <w:rFonts w:cs="Arial" w:hint="cs"/>
          <w:sz w:val="16"/>
          <w:szCs w:val="16"/>
          <w:rtl/>
        </w:rPr>
        <w:t>)</w:t>
      </w:r>
      <w:r>
        <w:rPr>
          <w:rFonts w:cs="Arial" w:hint="cs"/>
          <w:rtl/>
        </w:rPr>
        <w:t>,</w:t>
      </w:r>
      <w:r w:rsidRPr="0076343E">
        <w:rPr>
          <w:rFonts w:cs="Arial"/>
          <w:rtl/>
        </w:rPr>
        <w:t xml:space="preserve"> ולא כמ"ש בעיר שושן [סע</w:t>
      </w:r>
      <w:r>
        <w:rPr>
          <w:rFonts w:cs="Arial" w:hint="cs"/>
          <w:rtl/>
        </w:rPr>
        <w:t>'</w:t>
      </w:r>
      <w:r w:rsidRPr="0076343E">
        <w:rPr>
          <w:rFonts w:cs="Arial"/>
          <w:rtl/>
        </w:rPr>
        <w:t xml:space="preserve"> יד] דגם הכא בבנה אחד מהן סגי,</w:t>
      </w:r>
      <w:r>
        <w:rPr>
          <w:rFonts w:cs="Arial" w:hint="cs"/>
          <w:rtl/>
        </w:rPr>
        <w:t xml:space="preserve"> סמ"ע (סקכ"ג).</w:t>
      </w:r>
    </w:p>
  </w:footnote>
  <w:footnote w:id="669">
    <w:p w14:paraId="06F4B110" w14:textId="77777777" w:rsidR="0013116F" w:rsidRDefault="0013116F">
      <w:pPr>
        <w:pStyle w:val="a9"/>
        <w:rPr>
          <w:rtl/>
        </w:rPr>
      </w:pPr>
      <w:r>
        <w:rPr>
          <w:rStyle w:val="ab"/>
        </w:rPr>
        <w:footnoteRef/>
      </w:r>
      <w:r>
        <w:t xml:space="preserve"> </w:t>
      </w:r>
      <w:r w:rsidRPr="001B0A89">
        <w:rPr>
          <w:rFonts w:cs="Arial"/>
          <w:rtl/>
        </w:rPr>
        <w:t xml:space="preserve">בענין פשרה כתב העטור, שאם נתפשר ופרע אינו יכול לחזור בו, ועל זה כתב </w:t>
      </w:r>
      <w:r>
        <w:rPr>
          <w:rFonts w:cs="Arial" w:hint="cs"/>
          <w:rtl/>
        </w:rPr>
        <w:t>הריטב"א</w:t>
      </w:r>
      <w:r w:rsidRPr="001B0A89">
        <w:rPr>
          <w:rFonts w:cs="Arial"/>
          <w:rtl/>
        </w:rPr>
        <w:t xml:space="preserve"> שלאו דוקא פרע אלא הוא הדין אם כתב שטר</w:t>
      </w:r>
      <w:r>
        <w:rPr>
          <w:rFonts w:cs="Arial" w:hint="cs"/>
          <w:sz w:val="16"/>
          <w:szCs w:val="16"/>
          <w:rtl/>
        </w:rPr>
        <w:t xml:space="preserve"> (הערות על הריטב"א, הערה ד)</w:t>
      </w:r>
      <w:r w:rsidRPr="001B0A89">
        <w:rPr>
          <w:rFonts w:cs="Arial"/>
          <w:rtl/>
        </w:rPr>
        <w:t>.</w:t>
      </w:r>
    </w:p>
  </w:footnote>
  <w:footnote w:id="670">
    <w:p w14:paraId="74395E0B" w14:textId="77777777" w:rsidR="0013116F" w:rsidRDefault="0013116F">
      <w:pPr>
        <w:pStyle w:val="a9"/>
      </w:pPr>
      <w:r>
        <w:rPr>
          <w:rStyle w:val="ab"/>
        </w:rPr>
        <w:footnoteRef/>
      </w:r>
      <w:r>
        <w:rPr>
          <w:rtl/>
        </w:rPr>
        <w:t xml:space="preserve"> </w:t>
      </w:r>
      <w:r>
        <w:rPr>
          <w:rFonts w:hint="cs"/>
          <w:rtl/>
        </w:rPr>
        <w:t xml:space="preserve">וכן </w:t>
      </w:r>
      <w:r w:rsidRPr="004B55F5">
        <w:rPr>
          <w:rFonts w:cs="Arial"/>
          <w:rtl/>
        </w:rPr>
        <w:t>מי שנתחייב שבועה ונתן מעות לפטרו משבועה ואח</w:t>
      </w:r>
      <w:r>
        <w:rPr>
          <w:rFonts w:cs="Arial" w:hint="cs"/>
          <w:rtl/>
        </w:rPr>
        <w:t>"</w:t>
      </w:r>
      <w:r w:rsidRPr="004B55F5">
        <w:rPr>
          <w:rFonts w:cs="Arial"/>
          <w:rtl/>
        </w:rPr>
        <w:t xml:space="preserve">כ מצא ראיה שנתחייב בממון </w:t>
      </w:r>
      <w:r>
        <w:rPr>
          <w:rFonts w:cs="Arial" w:hint="cs"/>
          <w:rtl/>
        </w:rPr>
        <w:t xml:space="preserve">- </w:t>
      </w:r>
      <w:r w:rsidRPr="004B55F5">
        <w:rPr>
          <w:rFonts w:cs="Arial"/>
          <w:rtl/>
        </w:rPr>
        <w:t>הפשרה בטלה</w:t>
      </w:r>
      <w:r>
        <w:rPr>
          <w:rFonts w:cs="Arial" w:hint="cs"/>
          <w:rtl/>
        </w:rPr>
        <w:t>,</w:t>
      </w:r>
      <w:r w:rsidRPr="004B55F5">
        <w:rPr>
          <w:rFonts w:cs="Arial"/>
          <w:rtl/>
        </w:rPr>
        <w:t xml:space="preserve"> דכיון שנתחייב בממון אין כאן שבועה</w:t>
      </w:r>
      <w:r>
        <w:rPr>
          <w:rFonts w:cs="Arial" w:hint="cs"/>
          <w:rtl/>
        </w:rPr>
        <w:t>.</w:t>
      </w:r>
      <w:r w:rsidRPr="004B55F5">
        <w:rPr>
          <w:rFonts w:cs="Arial"/>
          <w:rtl/>
        </w:rPr>
        <w:t xml:space="preserve"> אבל עשה פשרה ולא הזכירו שבועה </w:t>
      </w:r>
      <w:r>
        <w:rPr>
          <w:rFonts w:cs="Arial" w:hint="cs"/>
          <w:rtl/>
        </w:rPr>
        <w:t xml:space="preserve">- </w:t>
      </w:r>
      <w:r w:rsidRPr="004B55F5">
        <w:rPr>
          <w:rFonts w:cs="Arial"/>
          <w:rtl/>
        </w:rPr>
        <w:t>הפשרה קיימת</w:t>
      </w:r>
      <w:r>
        <w:rPr>
          <w:rFonts w:cs="Arial" w:hint="cs"/>
          <w:rtl/>
        </w:rPr>
        <w:t>,</w:t>
      </w:r>
      <w:r w:rsidRPr="00134771">
        <w:rPr>
          <w:rFonts w:cs="Arial"/>
          <w:rtl/>
        </w:rPr>
        <w:t xml:space="preserve"> </w:t>
      </w:r>
      <w:r w:rsidRPr="004B55F5">
        <w:rPr>
          <w:rFonts w:cs="Arial"/>
          <w:rtl/>
        </w:rPr>
        <w:t>בהעי</w:t>
      </w:r>
      <w:r>
        <w:rPr>
          <w:rFonts w:cs="Arial" w:hint="cs"/>
          <w:rtl/>
        </w:rPr>
        <w:t>"</w:t>
      </w:r>
      <w:r w:rsidRPr="004B55F5">
        <w:rPr>
          <w:rFonts w:cs="Arial"/>
          <w:rtl/>
        </w:rPr>
        <w:t xml:space="preserve">ט </w:t>
      </w:r>
      <w:r w:rsidRPr="00134771">
        <w:rPr>
          <w:rFonts w:cs="Arial"/>
          <w:sz w:val="16"/>
          <w:szCs w:val="16"/>
          <w:rtl/>
        </w:rPr>
        <w:t xml:space="preserve">(אות פ פשרה עה ע"ג) </w:t>
      </w:r>
      <w:r>
        <w:rPr>
          <w:rFonts w:cs="Arial" w:hint="cs"/>
          <w:rtl/>
        </w:rPr>
        <w:t xml:space="preserve">בשם </w:t>
      </w:r>
      <w:r w:rsidRPr="004B55F5">
        <w:rPr>
          <w:rFonts w:cs="Arial"/>
          <w:rtl/>
        </w:rPr>
        <w:t>הרי"ף</w:t>
      </w:r>
      <w:r w:rsidRPr="00134771">
        <w:rPr>
          <w:rFonts w:cs="Arial"/>
          <w:sz w:val="16"/>
          <w:szCs w:val="16"/>
          <w:rtl/>
        </w:rPr>
        <w:t xml:space="preserve"> (סי' קכד וסי' קמה)</w:t>
      </w:r>
      <w:r>
        <w:rPr>
          <w:rFonts w:cs="Arial" w:hint="cs"/>
          <w:rtl/>
        </w:rPr>
        <w:t>.</w:t>
      </w:r>
      <w:r>
        <w:rPr>
          <w:rFonts w:hint="cs"/>
          <w:rtl/>
        </w:rPr>
        <w:t xml:space="preserve"> הביא הב"י דבריהם בס"ס כה (סע' ה).</w:t>
      </w:r>
    </w:p>
  </w:footnote>
  <w:footnote w:id="671">
    <w:p w14:paraId="57D9C4C8" w14:textId="77777777" w:rsidR="0013116F" w:rsidRDefault="0013116F">
      <w:pPr>
        <w:pStyle w:val="a9"/>
      </w:pPr>
      <w:r>
        <w:rPr>
          <w:rStyle w:val="ab"/>
        </w:rPr>
        <w:footnoteRef/>
      </w:r>
      <w:r>
        <w:rPr>
          <w:rtl/>
        </w:rPr>
        <w:t xml:space="preserve"> </w:t>
      </w:r>
      <w:r>
        <w:rPr>
          <w:rFonts w:hint="cs"/>
          <w:rtl/>
        </w:rPr>
        <w:t xml:space="preserve">סימן </w:t>
      </w:r>
      <w:r>
        <w:rPr>
          <w:rtl/>
        </w:rPr>
        <w:t>–</w:t>
      </w:r>
      <w:r>
        <w:rPr>
          <w:rFonts w:hint="cs"/>
          <w:rtl/>
        </w:rPr>
        <w:t xml:space="preserve"> בעצה אחת.</w:t>
      </w:r>
    </w:p>
  </w:footnote>
  <w:footnote w:id="672">
    <w:p w14:paraId="585EFF00" w14:textId="77777777" w:rsidR="0013116F" w:rsidRDefault="0013116F" w:rsidP="008E742E">
      <w:pPr>
        <w:pStyle w:val="a9"/>
      </w:pPr>
      <w:r>
        <w:rPr>
          <w:rStyle w:val="ab"/>
        </w:rPr>
        <w:footnoteRef/>
      </w:r>
      <w:r>
        <w:rPr>
          <w:rtl/>
        </w:rPr>
        <w:t xml:space="preserve"> </w:t>
      </w:r>
      <w:r w:rsidRPr="00B61D78">
        <w:rPr>
          <w:rFonts w:cs="Arial"/>
          <w:rtl/>
        </w:rPr>
        <w:t xml:space="preserve">מזביננא לה ניהלך כיון דנקט לישנא דשומא ונקט תלתא שהן ב"ד סתם </w:t>
      </w:r>
      <w:r>
        <w:rPr>
          <w:rFonts w:cs="Arial" w:hint="cs"/>
          <w:rtl/>
        </w:rPr>
        <w:t xml:space="preserve">- </w:t>
      </w:r>
      <w:r w:rsidRPr="00B61D78">
        <w:rPr>
          <w:rFonts w:cs="Arial"/>
          <w:rtl/>
        </w:rPr>
        <w:t>לתורת דיינין נחת ואפילו תרי מגו תלתא שמין אותו</w:t>
      </w:r>
      <w:r>
        <w:rPr>
          <w:rFonts w:cs="Arial" w:hint="cs"/>
          <w:rtl/>
        </w:rPr>
        <w:t>,</w:t>
      </w:r>
      <w:r w:rsidRPr="00B61D78">
        <w:rPr>
          <w:rFonts w:cs="Arial"/>
          <w:rtl/>
        </w:rPr>
        <w:t xml:space="preserve"> ואם שלישי חלוק על השנים אזלינן בתר רובא</w:t>
      </w:r>
      <w:r>
        <w:rPr>
          <w:rFonts w:cs="Arial" w:hint="cs"/>
          <w:rtl/>
        </w:rPr>
        <w:t>, רש"י.</w:t>
      </w:r>
    </w:p>
  </w:footnote>
  <w:footnote w:id="673">
    <w:p w14:paraId="4F6994BE" w14:textId="77777777" w:rsidR="0013116F" w:rsidRDefault="0013116F" w:rsidP="008E742E">
      <w:pPr>
        <w:pStyle w:val="a9"/>
      </w:pPr>
      <w:r>
        <w:rPr>
          <w:rStyle w:val="ab"/>
        </w:rPr>
        <w:footnoteRef/>
      </w:r>
      <w:r>
        <w:rPr>
          <w:rtl/>
        </w:rPr>
        <w:t xml:space="preserve"> </w:t>
      </w:r>
      <w:r w:rsidRPr="00B61D78">
        <w:rPr>
          <w:rFonts w:cs="Arial"/>
          <w:rtl/>
        </w:rPr>
        <w:t>לשון זה לאו בתורת דיינין נחת ולאמירת שלשתן נתכוון</w:t>
      </w:r>
      <w:r>
        <w:rPr>
          <w:rFonts w:cs="Arial" w:hint="cs"/>
          <w:rtl/>
        </w:rPr>
        <w:t>, רש"י.</w:t>
      </w:r>
    </w:p>
  </w:footnote>
  <w:footnote w:id="674">
    <w:p w14:paraId="207C0C86" w14:textId="77777777" w:rsidR="0013116F" w:rsidRDefault="0013116F">
      <w:pPr>
        <w:pStyle w:val="a9"/>
        <w:rPr>
          <w:rtl/>
        </w:rPr>
      </w:pPr>
      <w:r>
        <w:rPr>
          <w:rStyle w:val="ab"/>
        </w:rPr>
        <w:footnoteRef/>
      </w:r>
      <w:r>
        <w:rPr>
          <w:rtl/>
        </w:rPr>
        <w:t xml:space="preserve"> </w:t>
      </w:r>
      <w:r w:rsidRPr="008E742E">
        <w:rPr>
          <w:rFonts w:cs="Arial"/>
          <w:rtl/>
        </w:rPr>
        <w:t>כיון דנחת לדעות להרבות דעות יותר מכדי ב"ד</w:t>
      </w:r>
      <w:r>
        <w:rPr>
          <w:rFonts w:cs="Arial" w:hint="cs"/>
          <w:rtl/>
        </w:rPr>
        <w:t xml:space="preserve"> -</w:t>
      </w:r>
      <w:r w:rsidRPr="008E742E">
        <w:rPr>
          <w:rFonts w:cs="Arial"/>
          <w:rtl/>
        </w:rPr>
        <w:t xml:space="preserve"> ודאי לאו לתורת דיינין נחית ולא אזלינן בתר רובא עד דאמרין כולהו</w:t>
      </w:r>
      <w:r>
        <w:rPr>
          <w:rFonts w:cs="Arial" w:hint="cs"/>
          <w:rtl/>
        </w:rPr>
        <w:t>,</w:t>
      </w:r>
      <w:r w:rsidRPr="008E742E">
        <w:rPr>
          <w:rFonts w:cs="Arial"/>
          <w:rtl/>
        </w:rPr>
        <w:t xml:space="preserve"> דאי חולקין מאי אהנו ליה דעות</w:t>
      </w:r>
      <w:r>
        <w:rPr>
          <w:rFonts w:cs="Arial" w:hint="cs"/>
          <w:rtl/>
        </w:rPr>
        <w:t>, רש"י</w:t>
      </w:r>
      <w:r w:rsidRPr="008E742E">
        <w:rPr>
          <w:rFonts w:cs="Arial"/>
          <w:rtl/>
        </w:rPr>
        <w:t>.</w:t>
      </w:r>
    </w:p>
  </w:footnote>
  <w:footnote w:id="675">
    <w:p w14:paraId="51F93FCE" w14:textId="77777777" w:rsidR="0013116F" w:rsidRDefault="0013116F" w:rsidP="008E742E">
      <w:pPr>
        <w:pStyle w:val="a9"/>
      </w:pPr>
      <w:r>
        <w:rPr>
          <w:rStyle w:val="ab"/>
        </w:rPr>
        <w:footnoteRef/>
      </w:r>
      <w:r>
        <w:rPr>
          <w:rtl/>
        </w:rPr>
        <w:t xml:space="preserve"> </w:t>
      </w:r>
      <w:r>
        <w:rPr>
          <w:rFonts w:hint="cs"/>
          <w:rtl/>
        </w:rPr>
        <w:t xml:space="preserve">סימן </w:t>
      </w:r>
      <w:r>
        <w:rPr>
          <w:rtl/>
        </w:rPr>
        <w:t>–</w:t>
      </w:r>
      <w:r>
        <w:rPr>
          <w:rFonts w:hint="cs"/>
          <w:rtl/>
        </w:rPr>
        <w:t xml:space="preserve"> ויתור.</w:t>
      </w:r>
    </w:p>
  </w:footnote>
  <w:footnote w:id="676">
    <w:p w14:paraId="6211947B" w14:textId="77777777" w:rsidR="0013116F" w:rsidRDefault="0013116F" w:rsidP="008E742E">
      <w:pPr>
        <w:pStyle w:val="a9"/>
        <w:rPr>
          <w:rtl/>
        </w:rPr>
      </w:pPr>
      <w:r>
        <w:rPr>
          <w:rStyle w:val="ab"/>
        </w:rPr>
        <w:footnoteRef/>
      </w:r>
      <w:r>
        <w:rPr>
          <w:rtl/>
        </w:rPr>
        <w:t xml:space="preserve"> </w:t>
      </w:r>
      <w:r w:rsidRPr="000464DD">
        <w:rPr>
          <w:rFonts w:cs="Arial"/>
          <w:rtl/>
        </w:rPr>
        <w:t>הא דאמרינן דשמואל ור' אבהו פליגי</w:t>
      </w:r>
      <w:r>
        <w:rPr>
          <w:rFonts w:cs="Arial" w:hint="cs"/>
          <w:rtl/>
        </w:rPr>
        <w:t>, רש"י</w:t>
      </w:r>
      <w:r w:rsidRPr="000464DD">
        <w:rPr>
          <w:rFonts w:cs="Arial"/>
          <w:rtl/>
        </w:rPr>
        <w:t>.</w:t>
      </w:r>
    </w:p>
  </w:footnote>
  <w:footnote w:id="677">
    <w:p w14:paraId="577A19EF" w14:textId="77777777" w:rsidR="0013116F" w:rsidRDefault="0013116F">
      <w:pPr>
        <w:pStyle w:val="a9"/>
      </w:pPr>
      <w:r>
        <w:rPr>
          <w:rStyle w:val="ab"/>
        </w:rPr>
        <w:footnoteRef/>
      </w:r>
      <w:r>
        <w:rPr>
          <w:rtl/>
        </w:rPr>
        <w:t xml:space="preserve"> </w:t>
      </w:r>
      <w:r>
        <w:rPr>
          <w:rFonts w:hint="cs"/>
          <w:rtl/>
        </w:rPr>
        <w:t>לא צריך סימן, זה תחילת פרק זה בורר, ועניינו זה בורר.</w:t>
      </w:r>
    </w:p>
  </w:footnote>
  <w:footnote w:id="678">
    <w:p w14:paraId="0241CB35" w14:textId="77777777" w:rsidR="0013116F" w:rsidRDefault="0013116F" w:rsidP="00D2755D">
      <w:pPr>
        <w:pStyle w:val="a9"/>
      </w:pPr>
      <w:r>
        <w:rPr>
          <w:rStyle w:val="ab"/>
        </w:rPr>
        <w:footnoteRef/>
      </w:r>
      <w:r>
        <w:rPr>
          <w:rtl/>
        </w:rPr>
        <w:t xml:space="preserve"> </w:t>
      </w:r>
      <w:r w:rsidRPr="00AE48C5">
        <w:rPr>
          <w:rFonts w:cs="Arial"/>
          <w:rtl/>
        </w:rPr>
        <w:t>והלכה כחכמים</w:t>
      </w:r>
      <w:r>
        <w:rPr>
          <w:rFonts w:cs="Arial" w:hint="cs"/>
          <w:rtl/>
        </w:rPr>
        <w:t>, ב"י</w:t>
      </w:r>
      <w:r w:rsidRPr="00AE48C5">
        <w:rPr>
          <w:rFonts w:cs="Arial"/>
          <w:rtl/>
        </w:rPr>
        <w:t>.</w:t>
      </w:r>
    </w:p>
  </w:footnote>
  <w:footnote w:id="679">
    <w:p w14:paraId="311D5A84" w14:textId="77777777" w:rsidR="0013116F" w:rsidRDefault="0013116F" w:rsidP="00D2755D">
      <w:pPr>
        <w:pStyle w:val="a9"/>
      </w:pPr>
      <w:r>
        <w:rPr>
          <w:rStyle w:val="ab"/>
        </w:rPr>
        <w:footnoteRef/>
      </w:r>
      <w:r>
        <w:rPr>
          <w:rtl/>
        </w:rPr>
        <w:t xml:space="preserve"> </w:t>
      </w:r>
      <w:r w:rsidRPr="001B21E1">
        <w:rPr>
          <w:rFonts w:cs="Arial"/>
          <w:rtl/>
        </w:rPr>
        <w:t>וכל אחד פוסל אותו בית דין שבירר חבירו, ואינו רוצה לדון לפניו</w:t>
      </w:r>
      <w:r>
        <w:rPr>
          <w:rFonts w:cs="Arial" w:hint="cs"/>
          <w:rtl/>
        </w:rPr>
        <w:t>, רש"י</w:t>
      </w:r>
      <w:r w:rsidRPr="001B21E1">
        <w:rPr>
          <w:rFonts w:cs="Arial"/>
          <w:rtl/>
        </w:rPr>
        <w:t>.</w:t>
      </w:r>
    </w:p>
  </w:footnote>
  <w:footnote w:id="680">
    <w:p w14:paraId="4E263E84" w14:textId="77777777" w:rsidR="0013116F" w:rsidRDefault="0013116F" w:rsidP="00D2755D">
      <w:pPr>
        <w:pStyle w:val="a9"/>
      </w:pPr>
      <w:r>
        <w:rPr>
          <w:rStyle w:val="ab"/>
        </w:rPr>
        <w:footnoteRef/>
      </w:r>
      <w:r>
        <w:rPr>
          <w:rtl/>
        </w:rPr>
        <w:t xml:space="preserve"> </w:t>
      </w:r>
      <w:r w:rsidRPr="001B21E1">
        <w:rPr>
          <w:rFonts w:cs="Arial"/>
          <w:rtl/>
        </w:rPr>
        <w:t>כלומר אין יכולין לכוף זה את זה, אלא בוררין בית דין שיתרצו בו שניהם</w:t>
      </w:r>
      <w:r>
        <w:rPr>
          <w:rFonts w:cs="Arial" w:hint="cs"/>
          <w:rtl/>
        </w:rPr>
        <w:t>, רש"י</w:t>
      </w:r>
      <w:r w:rsidRPr="001B21E1">
        <w:rPr>
          <w:rFonts w:cs="Arial"/>
          <w:rtl/>
        </w:rPr>
        <w:t>.</w:t>
      </w:r>
    </w:p>
  </w:footnote>
  <w:footnote w:id="681">
    <w:p w14:paraId="2C392027" w14:textId="77777777" w:rsidR="0013116F" w:rsidRDefault="0013116F" w:rsidP="00D2755D">
      <w:pPr>
        <w:pStyle w:val="a9"/>
        <w:rPr>
          <w:rtl/>
        </w:rPr>
      </w:pPr>
      <w:r>
        <w:rPr>
          <w:rStyle w:val="ab"/>
        </w:rPr>
        <w:footnoteRef/>
      </w:r>
      <w:r>
        <w:rPr>
          <w:rtl/>
        </w:rPr>
        <w:t xml:space="preserve"> </w:t>
      </w:r>
      <w:r w:rsidRPr="001B21E1">
        <w:rPr>
          <w:rFonts w:cs="Arial"/>
          <w:rtl/>
        </w:rPr>
        <w:t>שלא היו בקיאין בדין תורה, הלכך אפילו לוה מצי מעכב</w:t>
      </w:r>
      <w:r>
        <w:rPr>
          <w:rFonts w:cs="Arial" w:hint="cs"/>
          <w:rtl/>
        </w:rPr>
        <w:t>, רש"י</w:t>
      </w:r>
      <w:r w:rsidRPr="001B21E1">
        <w:rPr>
          <w:rFonts w:cs="Arial"/>
          <w:rtl/>
        </w:rPr>
        <w:t>.</w:t>
      </w:r>
    </w:p>
  </w:footnote>
  <w:footnote w:id="682">
    <w:p w14:paraId="2693359C" w14:textId="77777777" w:rsidR="0013116F" w:rsidRDefault="0013116F" w:rsidP="00D2755D">
      <w:pPr>
        <w:pStyle w:val="a9"/>
      </w:pPr>
      <w:r>
        <w:rPr>
          <w:rStyle w:val="ab"/>
        </w:rPr>
        <w:footnoteRef/>
      </w:r>
      <w:r>
        <w:rPr>
          <w:rtl/>
        </w:rPr>
        <w:t xml:space="preserve"> </w:t>
      </w:r>
      <w:r>
        <w:rPr>
          <w:rFonts w:cs="Arial"/>
          <w:rtl/>
        </w:rPr>
        <w:t>דתרוייהו בחד מקום</w:t>
      </w:r>
      <w:r>
        <w:rPr>
          <w:rFonts w:cs="Arial" w:hint="cs"/>
          <w:rtl/>
        </w:rPr>
        <w:t>, רש"י.</w:t>
      </w:r>
    </w:p>
  </w:footnote>
  <w:footnote w:id="683">
    <w:p w14:paraId="787C7969" w14:textId="77777777" w:rsidR="0013116F" w:rsidRDefault="0013116F" w:rsidP="00D2755D">
      <w:pPr>
        <w:pStyle w:val="a9"/>
        <w:rPr>
          <w:rtl/>
        </w:rPr>
      </w:pPr>
      <w:r>
        <w:rPr>
          <w:rStyle w:val="ab"/>
        </w:rPr>
        <w:footnoteRef/>
      </w:r>
      <w:r>
        <w:rPr>
          <w:rtl/>
        </w:rPr>
        <w:t xml:space="preserve"> </w:t>
      </w:r>
      <w:r w:rsidRPr="0047502F">
        <w:rPr>
          <w:rFonts w:cs="Arial"/>
          <w:rtl/>
        </w:rPr>
        <w:t xml:space="preserve">רב פפא מוסיף עוד פירוש, </w:t>
      </w:r>
      <w:r>
        <w:rPr>
          <w:rFonts w:cs="Arial" w:hint="cs"/>
          <w:rtl/>
        </w:rPr>
        <w:t xml:space="preserve">והיינו - </w:t>
      </w:r>
      <w:r w:rsidRPr="0047502F">
        <w:rPr>
          <w:rFonts w:cs="Arial"/>
          <w:rtl/>
        </w:rPr>
        <w:t>שמדובר בשני בתי דין באותה העיר</w:t>
      </w:r>
      <w:r>
        <w:rPr>
          <w:rFonts w:cs="Arial" w:hint="cs"/>
          <w:rtl/>
        </w:rPr>
        <w:t>,</w:t>
      </w:r>
      <w:r w:rsidRPr="0047502F">
        <w:rPr>
          <w:rFonts w:cs="Arial"/>
          <w:rtl/>
        </w:rPr>
        <w:t xml:space="preserve"> ושניהם מומחין, ואז יכול הנתבע לברור לו בית דין כרצונו, שהרי אינו מטריח את התובע לילך למרחקים למקום בית הוועד, ובאופן זה אומרת המשנה שאם אינם מסכימים, זה לבית דין של זה, הרי הם בוררין להם בית דין המוסכם על שניהם</w:t>
      </w:r>
      <w:r>
        <w:rPr>
          <w:rFonts w:hint="cs"/>
          <w:rtl/>
        </w:rPr>
        <w:t>.</w:t>
      </w:r>
    </w:p>
  </w:footnote>
  <w:footnote w:id="684">
    <w:p w14:paraId="5A4AA5E2" w14:textId="77777777" w:rsidR="0013116F" w:rsidRDefault="0013116F">
      <w:pPr>
        <w:pStyle w:val="a9"/>
        <w:rPr>
          <w:rtl/>
        </w:rPr>
      </w:pPr>
      <w:r>
        <w:rPr>
          <w:rStyle w:val="ab"/>
        </w:rPr>
        <w:footnoteRef/>
      </w:r>
      <w:r>
        <w:rPr>
          <w:rtl/>
        </w:rPr>
        <w:t xml:space="preserve"> </w:t>
      </w:r>
      <w:r w:rsidRPr="00FA15C0">
        <w:rPr>
          <w:rFonts w:cs="Arial"/>
          <w:rtl/>
        </w:rPr>
        <w:t>דצייתי בעלי דינין, דסבר החייב הרי אני בעצמי ביררתי האחד ואם היה יכול להפך בזכותי היה מהפך, והדיינין בעצמן נוחה דעתן להפך בזכות שניהן מפני ששניהם ביררום</w:t>
      </w:r>
      <w:r>
        <w:rPr>
          <w:rFonts w:cs="Arial" w:hint="cs"/>
          <w:rtl/>
        </w:rPr>
        <w:t>, רש"י</w:t>
      </w:r>
      <w:r w:rsidRPr="00FA15C0">
        <w:rPr>
          <w:rFonts w:cs="Arial" w:hint="cs"/>
          <w:rtl/>
        </w:rPr>
        <w:t>. וכתב הטור-</w:t>
      </w:r>
      <w:r w:rsidRPr="00FA15C0">
        <w:rPr>
          <w:rFonts w:cs="Arial"/>
          <w:rtl/>
        </w:rPr>
        <w:t xml:space="preserve"> יראה מלשונו שהדיין יש להפך בזכות מי שבררו</w:t>
      </w:r>
      <w:r w:rsidRPr="00FA15C0">
        <w:rPr>
          <w:rFonts w:cs="Arial" w:hint="cs"/>
          <w:rtl/>
        </w:rPr>
        <w:t>,</w:t>
      </w:r>
      <w:r w:rsidRPr="00FA15C0">
        <w:rPr>
          <w:rFonts w:cs="Arial"/>
          <w:rtl/>
        </w:rPr>
        <w:t xml:space="preserve"> וכ"כ הרמ"ה ז"ל שיהא זה מהפך בזכותו של בעל דין שביררו וזה מהפך בזכותו של שני</w:t>
      </w:r>
      <w:r w:rsidRPr="00FA15C0">
        <w:rPr>
          <w:rFonts w:cs="Arial" w:hint="cs"/>
          <w:rtl/>
        </w:rPr>
        <w:t>,</w:t>
      </w:r>
      <w:r w:rsidRPr="00FA15C0">
        <w:rPr>
          <w:rFonts w:cs="Arial"/>
          <w:rtl/>
        </w:rPr>
        <w:t xml:space="preserve"> וא"א הרא"ש (סי' ב) ז"ל כתב וז"ל</w:t>
      </w:r>
      <w:r w:rsidRPr="00FA15C0">
        <w:rPr>
          <w:rFonts w:cs="Arial" w:hint="cs"/>
          <w:rtl/>
        </w:rPr>
        <w:t>-</w:t>
      </w:r>
      <w:r w:rsidRPr="00FA15C0">
        <w:rPr>
          <w:rFonts w:cs="Arial"/>
          <w:rtl/>
        </w:rPr>
        <w:t xml:space="preserve"> לפי שיש חסרי הדעת טועים בדברי רש"י ולומדין ממנו שהדיין יש לו להפך בזכות מי שבררו ועומד במקומו להפך דברים אשר לא כדין ונהגו כמה אנשים לברור להם דיין בעל תחבולות ונתלים בדברי רש"י שמשמע שיש לו להפך בזכותו</w:t>
      </w:r>
      <w:r w:rsidRPr="00FA15C0">
        <w:rPr>
          <w:rFonts w:cs="Arial" w:hint="cs"/>
          <w:rtl/>
        </w:rPr>
        <w:t>,</w:t>
      </w:r>
      <w:r w:rsidRPr="00FA15C0">
        <w:rPr>
          <w:rFonts w:cs="Arial"/>
          <w:rtl/>
        </w:rPr>
        <w:t xml:space="preserve"> וחלילה וחס</w:t>
      </w:r>
      <w:r w:rsidRPr="00FA15C0">
        <w:rPr>
          <w:rFonts w:cs="Arial" w:hint="cs"/>
          <w:rtl/>
        </w:rPr>
        <w:t>,</w:t>
      </w:r>
      <w:r w:rsidRPr="00FA15C0">
        <w:rPr>
          <w:rFonts w:cs="Arial"/>
          <w:rtl/>
        </w:rPr>
        <w:t xml:space="preserve"> שלא דקדקו בדבריו</w:t>
      </w:r>
      <w:r w:rsidRPr="00FA15C0">
        <w:rPr>
          <w:rFonts w:cs="Arial" w:hint="cs"/>
          <w:rtl/>
        </w:rPr>
        <w:t>,</w:t>
      </w:r>
      <w:r w:rsidRPr="00FA15C0">
        <w:rPr>
          <w:rFonts w:cs="Arial"/>
          <w:rtl/>
        </w:rPr>
        <w:t xml:space="preserve"> שכתב </w:t>
      </w:r>
      <w:r w:rsidRPr="00FA15C0">
        <w:rPr>
          <w:rFonts w:cs="Arial" w:hint="cs"/>
          <w:rtl/>
        </w:rPr>
        <w:t>'</w:t>
      </w:r>
      <w:r w:rsidRPr="00FA15C0">
        <w:rPr>
          <w:rFonts w:cs="Arial"/>
          <w:rtl/>
        </w:rPr>
        <w:t>דסברי הרי ביררתי</w:t>
      </w:r>
      <w:r w:rsidRPr="00FA15C0">
        <w:rPr>
          <w:rFonts w:cs="Arial" w:hint="cs"/>
          <w:rtl/>
        </w:rPr>
        <w:t>'</w:t>
      </w:r>
      <w:r w:rsidRPr="00FA15C0">
        <w:rPr>
          <w:rFonts w:cs="Arial"/>
          <w:rtl/>
        </w:rPr>
        <w:t xml:space="preserve"> שסובר כך שיהפך בזכותו יותר מבזכות האחר</w:t>
      </w:r>
      <w:r w:rsidRPr="00FA15C0">
        <w:rPr>
          <w:rFonts w:cs="Arial" w:hint="cs"/>
          <w:rtl/>
        </w:rPr>
        <w:t>,</w:t>
      </w:r>
      <w:r w:rsidRPr="00FA15C0">
        <w:rPr>
          <w:rFonts w:cs="Arial"/>
          <w:rtl/>
        </w:rPr>
        <w:t xml:space="preserve"> ומתוך כך צייתי לדינייהו</w:t>
      </w:r>
      <w:r w:rsidRPr="00FA15C0">
        <w:rPr>
          <w:rFonts w:cs="Arial" w:hint="cs"/>
          <w:rtl/>
        </w:rPr>
        <w:t>,</w:t>
      </w:r>
      <w:r w:rsidRPr="00FA15C0">
        <w:rPr>
          <w:rFonts w:cs="Arial"/>
          <w:rtl/>
        </w:rPr>
        <w:t xml:space="preserve"> אבל הדיין עצמו חלילה שיהפך למצא סברא לזכותו אם לא שיראה לו דין גמור</w:t>
      </w:r>
      <w:r w:rsidRPr="00FA15C0">
        <w:rPr>
          <w:rFonts w:cs="Arial" w:hint="cs"/>
          <w:rtl/>
        </w:rPr>
        <w:t>,</w:t>
      </w:r>
      <w:r w:rsidRPr="00FA15C0">
        <w:rPr>
          <w:rFonts w:cs="Arial"/>
          <w:rtl/>
        </w:rPr>
        <w:t xml:space="preserve"> אבל אם היה יכול להטעות את חבירו שיקבל סברתו אע"פ שהוא מפוקפק בה הרי זה בכלל מטה משפט</w:t>
      </w:r>
      <w:r w:rsidRPr="00FA15C0">
        <w:rPr>
          <w:rFonts w:cs="Arial" w:hint="cs"/>
          <w:rtl/>
        </w:rPr>
        <w:t>,</w:t>
      </w:r>
      <w:r w:rsidRPr="00FA15C0">
        <w:rPr>
          <w:rFonts w:cs="Arial"/>
          <w:rtl/>
        </w:rPr>
        <w:t xml:space="preserve"> אבל דעת הרב ז"ל מתוך שזה ביררו מבין דבריו לאשורו ואם יש לו שום צד זכות נושא ונותן עם חבירו וכן עושה דיין השני למי שבררו ונמצא שלא ישאר שום צד זכות נעלם מעיני שניהם והשלישי שומע משא ומתן של שניהם ומכריע ביניהם ויוצא הדין לאמיתו</w:t>
      </w:r>
      <w:r w:rsidRPr="00FA15C0">
        <w:rPr>
          <w:rFonts w:cs="Arial" w:hint="cs"/>
          <w:rtl/>
        </w:rPr>
        <w:t>. עכ"ל הטור. וכ' הב"י ש</w:t>
      </w:r>
      <w:r w:rsidRPr="00FA15C0">
        <w:rPr>
          <w:rFonts w:cs="Arial"/>
          <w:rtl/>
        </w:rPr>
        <w:t>דברי הרא"ש ברורים ונכונים הם ואין לפקפק בהם וגם דברי הרמ"ה שכתב רבינו כך יש לפרשם</w:t>
      </w:r>
      <w:r w:rsidRPr="00FA15C0">
        <w:rPr>
          <w:rFonts w:cs="Arial" w:hint="cs"/>
          <w:rtl/>
        </w:rPr>
        <w:t>. עכ"ל.</w:t>
      </w:r>
      <w:r w:rsidRPr="00FA15C0">
        <w:rPr>
          <w:rFonts w:cs="Arial"/>
          <w:rtl/>
        </w:rPr>
        <w:t xml:space="preserve"> וכ</w:t>
      </w:r>
      <w:r w:rsidRPr="00FA15C0">
        <w:rPr>
          <w:rFonts w:cs="Arial" w:hint="cs"/>
          <w:rtl/>
        </w:rPr>
        <w:t>'</w:t>
      </w:r>
      <w:r w:rsidRPr="00FA15C0">
        <w:rPr>
          <w:rFonts w:cs="Arial"/>
          <w:rtl/>
        </w:rPr>
        <w:t xml:space="preserve"> נמוק</w:t>
      </w:r>
      <w:r w:rsidRPr="00FA15C0">
        <w:rPr>
          <w:rFonts w:cs="Arial" w:hint="cs"/>
          <w:rtl/>
        </w:rPr>
        <w:t>"</w:t>
      </w:r>
      <w:r w:rsidRPr="00FA15C0">
        <w:rPr>
          <w:rFonts w:cs="Arial"/>
          <w:rtl/>
        </w:rPr>
        <w:t xml:space="preserve">י </w:t>
      </w:r>
      <w:r w:rsidRPr="00FA15C0">
        <w:rPr>
          <w:rFonts w:cs="Arial"/>
          <w:sz w:val="16"/>
          <w:szCs w:val="16"/>
          <w:rtl/>
        </w:rPr>
        <w:t>(ג: ד"ה גמ'</w:t>
      </w:r>
      <w:r w:rsidRPr="00FA15C0">
        <w:rPr>
          <w:rFonts w:cs="Arial" w:hint="cs"/>
          <w:sz w:val="16"/>
          <w:szCs w:val="16"/>
          <w:rtl/>
        </w:rPr>
        <w:t>,</w:t>
      </w:r>
      <w:r w:rsidRPr="00FA15C0">
        <w:rPr>
          <w:rFonts w:cs="Arial"/>
          <w:sz w:val="16"/>
          <w:szCs w:val="16"/>
          <w:rtl/>
        </w:rPr>
        <w:t xml:space="preserve"> </w:t>
      </w:r>
      <w:r w:rsidRPr="00FA15C0">
        <w:rPr>
          <w:rFonts w:cs="Arial" w:hint="cs"/>
          <w:sz w:val="16"/>
          <w:szCs w:val="16"/>
          <w:rtl/>
        </w:rPr>
        <w:t xml:space="preserve">הביאו הדרכ"מ אות </w:t>
      </w:r>
      <w:r w:rsidRPr="00FA15C0">
        <w:rPr>
          <w:rFonts w:cs="Arial"/>
          <w:sz w:val="16"/>
          <w:szCs w:val="16"/>
          <w:rtl/>
        </w:rPr>
        <w:t>ג*)</w:t>
      </w:r>
      <w:r w:rsidRPr="00FA15C0">
        <w:rPr>
          <w:rFonts w:cs="Arial" w:hint="cs"/>
          <w:rtl/>
        </w:rPr>
        <w:t>-</w:t>
      </w:r>
      <w:r w:rsidRPr="00FA15C0">
        <w:rPr>
          <w:rFonts w:cs="Arial"/>
          <w:rtl/>
        </w:rPr>
        <w:t xml:space="preserve"> וכתבו האחרונים ז"ל עוד דכיון שזה ביררו מעיין יפה בדינו ואפילו כשרואה שיתחייב בדין אינו ממהר לפסוק הדין כנגדו אלא ממתין שמא יתברר הדבר יותר ויוכל לזכותו בדין</w:t>
      </w:r>
      <w:r w:rsidRPr="00FA15C0">
        <w:rPr>
          <w:rFonts w:cs="Arial" w:hint="cs"/>
          <w:rtl/>
        </w:rPr>
        <w:t>,</w:t>
      </w:r>
      <w:r w:rsidRPr="00FA15C0">
        <w:rPr>
          <w:rFonts w:cs="Arial"/>
          <w:rtl/>
        </w:rPr>
        <w:t xml:space="preserve"> וכן עושה השני ומתוך שאינן ממהרין לפסוק יוצא הדין לאמתו</w:t>
      </w:r>
      <w:r>
        <w:rPr>
          <w:rFonts w:hint="cs"/>
          <w:rtl/>
        </w:rPr>
        <w:t>.</w:t>
      </w:r>
    </w:p>
  </w:footnote>
  <w:footnote w:id="685">
    <w:p w14:paraId="7CCAA8F0" w14:textId="77777777" w:rsidR="0013116F" w:rsidRDefault="0013116F">
      <w:pPr>
        <w:pStyle w:val="a9"/>
      </w:pPr>
      <w:r>
        <w:rPr>
          <w:rStyle w:val="ab"/>
        </w:rPr>
        <w:footnoteRef/>
      </w:r>
      <w:r>
        <w:rPr>
          <w:rtl/>
        </w:rPr>
        <w:t xml:space="preserve"> </w:t>
      </w:r>
      <w:r>
        <w:rPr>
          <w:rFonts w:hint="cs"/>
          <w:rtl/>
        </w:rPr>
        <w:t xml:space="preserve">וז"ל- </w:t>
      </w:r>
      <w:r w:rsidRPr="001B21E1">
        <w:rPr>
          <w:rFonts w:cs="Arial"/>
          <w:rtl/>
        </w:rPr>
        <w:t>לא נתרצו בפשרה אלא בדין</w:t>
      </w:r>
      <w:r>
        <w:rPr>
          <w:rFonts w:cs="Arial" w:hint="cs"/>
          <w:rtl/>
        </w:rPr>
        <w:t>,</w:t>
      </w:r>
      <w:r w:rsidRPr="001B21E1">
        <w:rPr>
          <w:rFonts w:cs="Arial"/>
          <w:rtl/>
        </w:rPr>
        <w:t xml:space="preserve"> ורצו לדון כאן אלא שאין מסכימים שניהם לפני איזה שלשה ידונו</w:t>
      </w:r>
      <w:r>
        <w:rPr>
          <w:rFonts w:cs="Arial" w:hint="cs"/>
          <w:rtl/>
        </w:rPr>
        <w:t>,</w:t>
      </w:r>
      <w:r w:rsidRPr="001B21E1">
        <w:rPr>
          <w:rFonts w:cs="Arial"/>
          <w:rtl/>
        </w:rPr>
        <w:t xml:space="preserve"> כל אחד מבעלי הדינין בורר לו דיין אחד</w:t>
      </w:r>
      <w:r w:rsidRPr="001B21E1">
        <w:rPr>
          <w:rFonts w:cs="Arial" w:hint="cs"/>
          <w:rtl/>
        </w:rPr>
        <w:t>.</w:t>
      </w:r>
      <w:r w:rsidRPr="001B21E1">
        <w:rPr>
          <w:rFonts w:cs="Arial"/>
          <w:rtl/>
        </w:rPr>
        <w:t xml:space="preserve"> והדיינין בוררין להם שלישי</w:t>
      </w:r>
      <w:r>
        <w:rPr>
          <w:rFonts w:cs="Arial" w:hint="cs"/>
          <w:rtl/>
        </w:rPr>
        <w:t>,</w:t>
      </w:r>
      <w:r w:rsidRPr="001B21E1">
        <w:rPr>
          <w:rFonts w:cs="Arial"/>
          <w:rtl/>
        </w:rPr>
        <w:t xml:space="preserve"> וא"צ שיהא השלישי ברצון בעלי הדינין</w:t>
      </w:r>
      <w:r w:rsidRPr="001B21E1">
        <w:rPr>
          <w:rFonts w:cs="Arial" w:hint="cs"/>
          <w:rtl/>
        </w:rPr>
        <w:t>.</w:t>
      </w:r>
    </w:p>
  </w:footnote>
  <w:footnote w:id="686">
    <w:p w14:paraId="05BFF73A" w14:textId="77777777" w:rsidR="0013116F" w:rsidRDefault="0013116F" w:rsidP="00DD31FB">
      <w:pPr>
        <w:pStyle w:val="a9"/>
        <w:rPr>
          <w:rtl/>
        </w:rPr>
      </w:pPr>
      <w:r>
        <w:rPr>
          <w:rStyle w:val="ab"/>
        </w:rPr>
        <w:footnoteRef/>
      </w:r>
      <w:r>
        <w:rPr>
          <w:rtl/>
        </w:rPr>
        <w:t xml:space="preserve"> </w:t>
      </w:r>
      <w:r>
        <w:rPr>
          <w:rFonts w:cs="Arial" w:hint="cs"/>
          <w:rtl/>
        </w:rPr>
        <w:t>בגירסת הב"י היה כתוב כאן 'והם' (במקום 'הם'), וכתב ש</w:t>
      </w:r>
      <w:r w:rsidRPr="00AE48C5">
        <w:rPr>
          <w:rFonts w:cs="Arial"/>
          <w:rtl/>
        </w:rPr>
        <w:t>כך כתוב בנוסחאות ש</w:t>
      </w:r>
      <w:r>
        <w:rPr>
          <w:rFonts w:cs="Arial" w:hint="cs"/>
          <w:rtl/>
        </w:rPr>
        <w:t>היו לפניהם,</w:t>
      </w:r>
      <w:r w:rsidRPr="00AE48C5">
        <w:rPr>
          <w:rFonts w:cs="Arial"/>
          <w:rtl/>
        </w:rPr>
        <w:t xml:space="preserve"> </w:t>
      </w:r>
      <w:r>
        <w:rPr>
          <w:rFonts w:cs="Arial" w:hint="cs"/>
          <w:rtl/>
        </w:rPr>
        <w:t>וכתב ד</w:t>
      </w:r>
      <w:r w:rsidRPr="00AE48C5">
        <w:rPr>
          <w:rFonts w:cs="Arial"/>
          <w:rtl/>
        </w:rPr>
        <w:t xml:space="preserve">לפי זה פסק </w:t>
      </w:r>
      <w:r>
        <w:rPr>
          <w:rFonts w:cs="Arial" w:hint="cs"/>
          <w:rtl/>
        </w:rPr>
        <w:t xml:space="preserve">הרמב"ם </w:t>
      </w:r>
      <w:r w:rsidRPr="00AE48C5">
        <w:rPr>
          <w:rFonts w:cs="Arial"/>
          <w:rtl/>
        </w:rPr>
        <w:t>כרבי מאיר</w:t>
      </w:r>
      <w:r>
        <w:rPr>
          <w:rFonts w:cs="Arial" w:hint="cs"/>
          <w:rtl/>
        </w:rPr>
        <w:t>,</w:t>
      </w:r>
      <w:r w:rsidRPr="00AE48C5">
        <w:rPr>
          <w:rFonts w:cs="Arial"/>
          <w:rtl/>
        </w:rPr>
        <w:t xml:space="preserve"> משום דשקלי וטרו אמוראי (שם) לפרושי מילתיה. </w:t>
      </w:r>
      <w:r>
        <w:rPr>
          <w:rFonts w:cs="Arial" w:hint="cs"/>
          <w:rtl/>
        </w:rPr>
        <w:t xml:space="preserve">אך סיים הב"י וכתב- </w:t>
      </w:r>
      <w:r w:rsidRPr="00AE48C5">
        <w:rPr>
          <w:rFonts w:cs="Arial"/>
          <w:rtl/>
        </w:rPr>
        <w:t>ויותר נראה לי דטעות סופר הוא וצריך למחוק וא"ו דוהם</w:t>
      </w:r>
      <w:r>
        <w:rPr>
          <w:rFonts w:cs="Arial" w:hint="cs"/>
          <w:rtl/>
        </w:rPr>
        <w:t>,</w:t>
      </w:r>
      <w:r w:rsidRPr="00AE48C5">
        <w:rPr>
          <w:rFonts w:cs="Arial"/>
          <w:rtl/>
        </w:rPr>
        <w:t xml:space="preserve"> וכן מצאתי בספר ישן שלא היה כתוב בו תיבת והם</w:t>
      </w:r>
      <w:r>
        <w:rPr>
          <w:rFonts w:cs="Arial" w:hint="cs"/>
          <w:rtl/>
        </w:rPr>
        <w:t>,</w:t>
      </w:r>
      <w:r w:rsidRPr="00AE48C5">
        <w:rPr>
          <w:rFonts w:cs="Arial"/>
          <w:rtl/>
        </w:rPr>
        <w:t xml:space="preserve"> וכן גורס סמ"ג (עשין צז קפז ע"ג)</w:t>
      </w:r>
      <w:r>
        <w:rPr>
          <w:rFonts w:hint="cs"/>
          <w:rtl/>
        </w:rPr>
        <w:t>.</w:t>
      </w:r>
    </w:p>
  </w:footnote>
  <w:footnote w:id="687">
    <w:p w14:paraId="307C1F3F" w14:textId="77777777" w:rsidR="0013116F" w:rsidRDefault="0013116F">
      <w:pPr>
        <w:pStyle w:val="a9"/>
      </w:pPr>
      <w:r>
        <w:rPr>
          <w:rStyle w:val="ab"/>
        </w:rPr>
        <w:footnoteRef/>
      </w:r>
      <w:r>
        <w:rPr>
          <w:rtl/>
        </w:rPr>
        <w:t xml:space="preserve"> </w:t>
      </w:r>
      <w:r>
        <w:rPr>
          <w:rFonts w:cs="Arial" w:hint="cs"/>
          <w:rtl/>
        </w:rPr>
        <w:t xml:space="preserve">היינו </w:t>
      </w:r>
      <w:r>
        <w:rPr>
          <w:rFonts w:cs="Arial"/>
          <w:rtl/>
        </w:rPr>
        <w:t>–</w:t>
      </w:r>
      <w:r>
        <w:rPr>
          <w:rFonts w:cs="Arial" w:hint="cs"/>
          <w:rtl/>
        </w:rPr>
        <w:t xml:space="preserve"> '</w:t>
      </w:r>
      <w:r w:rsidRPr="001B21E1">
        <w:rPr>
          <w:rFonts w:cs="Arial"/>
          <w:rtl/>
        </w:rPr>
        <w:t>הדיינין בוררין להם שלישי</w:t>
      </w:r>
      <w:r>
        <w:rPr>
          <w:rFonts w:cs="Arial" w:hint="cs"/>
          <w:rtl/>
        </w:rPr>
        <w:t>,</w:t>
      </w:r>
      <w:r w:rsidRPr="001B21E1">
        <w:rPr>
          <w:rFonts w:cs="Arial"/>
          <w:rtl/>
        </w:rPr>
        <w:t xml:space="preserve"> וא"צ שיהא השלישי ברצון בעלי הדינין</w:t>
      </w:r>
      <w:r>
        <w:rPr>
          <w:rFonts w:cs="Arial" w:hint="cs"/>
          <w:rtl/>
        </w:rPr>
        <w:t>', טור</w:t>
      </w:r>
      <w:r w:rsidRPr="001B21E1">
        <w:rPr>
          <w:rFonts w:cs="Arial" w:hint="cs"/>
          <w:rtl/>
        </w:rPr>
        <w:t>.</w:t>
      </w:r>
      <w:r w:rsidRPr="00EC0A5E">
        <w:rPr>
          <w:rFonts w:hint="cs"/>
          <w:color w:val="E36C0A" w:themeColor="accent6" w:themeShade="BF"/>
          <w:rtl/>
        </w:rPr>
        <w:t xml:space="preserve"> (וכ"כ בשו"ע)</w:t>
      </w:r>
    </w:p>
  </w:footnote>
  <w:footnote w:id="688">
    <w:p w14:paraId="24C7900D" w14:textId="77777777" w:rsidR="0013116F" w:rsidRDefault="0013116F" w:rsidP="00FA15C0">
      <w:pPr>
        <w:pStyle w:val="a9"/>
      </w:pPr>
      <w:r>
        <w:rPr>
          <w:rStyle w:val="ab"/>
        </w:rPr>
        <w:footnoteRef/>
      </w:r>
      <w:r>
        <w:rPr>
          <w:rtl/>
        </w:rPr>
        <w:t xml:space="preserve"> </w:t>
      </w:r>
      <w:r>
        <w:rPr>
          <w:rFonts w:hint="cs"/>
          <w:rtl/>
        </w:rPr>
        <w:t xml:space="preserve">הביא הטור את דבריו וכתב עליהם - </w:t>
      </w:r>
      <w:r w:rsidRPr="00AE48C5">
        <w:rPr>
          <w:rFonts w:cs="Arial"/>
          <w:rtl/>
        </w:rPr>
        <w:t>ואני כתבתי למעלה שהמומחה דן את האדם בע"כ</w:t>
      </w:r>
      <w:r>
        <w:rPr>
          <w:rFonts w:cs="Arial" w:hint="cs"/>
          <w:rtl/>
        </w:rPr>
        <w:t>,</w:t>
      </w:r>
      <w:r w:rsidRPr="00AE48C5">
        <w:rPr>
          <w:rFonts w:cs="Arial"/>
          <w:rtl/>
        </w:rPr>
        <w:t xml:space="preserve"> ואפשר לומר שדעת הרמב"ם ז"ל אינו אלא דוקא כשבירר כבר אחד דאז אינו יכול לכוף חבירו דאל"כ לא היה הדין שוה דכמו שבירר האחד כן יש לו לחבירו לברור אחד אם ירצה</w:t>
      </w:r>
      <w:r>
        <w:rPr>
          <w:rFonts w:cs="Arial" w:hint="cs"/>
          <w:rtl/>
        </w:rPr>
        <w:t>,</w:t>
      </w:r>
      <w:r w:rsidRPr="00AE48C5">
        <w:rPr>
          <w:rFonts w:cs="Arial"/>
          <w:rtl/>
        </w:rPr>
        <w:t xml:space="preserve"> אבל כל זמן שלא נברר המומחה יכול לכוף שניהם לדון לפניו</w:t>
      </w:r>
      <w:r>
        <w:rPr>
          <w:rFonts w:cs="Arial" w:hint="cs"/>
          <w:rtl/>
        </w:rPr>
        <w:t>. עכ"ל הטור. וכתב הב"י ש</w:t>
      </w:r>
      <w:r>
        <w:rPr>
          <w:rFonts w:cs="Arial"/>
          <w:rtl/>
        </w:rPr>
        <w:t>דברים נכונים הם</w:t>
      </w:r>
      <w:r>
        <w:rPr>
          <w:rFonts w:cs="Arial" w:hint="cs"/>
          <w:rtl/>
        </w:rPr>
        <w:t>.</w:t>
      </w:r>
      <w:r>
        <w:rPr>
          <w:rFonts w:hint="cs"/>
          <w:rtl/>
        </w:rPr>
        <w:t xml:space="preserve"> וכ"כ הסמ"ע (סק"ה). אך קשה, דמה הטעם שנתן הטור?</w:t>
      </w:r>
      <w:r w:rsidRPr="00E06439">
        <w:rPr>
          <w:rtl/>
        </w:rPr>
        <w:t xml:space="preserve"> </w:t>
      </w:r>
      <w:r w:rsidRPr="00E06439">
        <w:rPr>
          <w:rFonts w:cs="Arial"/>
          <w:rtl/>
        </w:rPr>
        <w:t>ו</w:t>
      </w:r>
      <w:r>
        <w:rPr>
          <w:rFonts w:cs="Arial" w:hint="cs"/>
          <w:rtl/>
        </w:rPr>
        <w:t xml:space="preserve">גם </w:t>
      </w:r>
      <w:r w:rsidRPr="00E06439">
        <w:rPr>
          <w:rFonts w:cs="Arial"/>
          <w:rtl/>
        </w:rPr>
        <w:t>כנה"ג (בסימן ג' הגהב"י אות ג') תמה על הטור דלמה הוצרך לתירוץ זה, דלא כתב הוא ז"ל כאן דהמומחה יכול לדון את האדם בע"כ אלא כשאינו רוצה לדון כלל אבל אם רוצה לדון אלא שאומר לא אדון בפני זה אלא בפני זה אינו יכול לכופו, וכבר הקשו עליו כזאת מהריב"ל ומהרשד"ם והרל"ח והרב"ח והרב בני שמואל וכו'.</w:t>
      </w:r>
    </w:p>
  </w:footnote>
  <w:footnote w:id="689">
    <w:p w14:paraId="16EE063C" w14:textId="77777777" w:rsidR="0013116F" w:rsidRDefault="0013116F">
      <w:pPr>
        <w:pStyle w:val="a9"/>
        <w:rPr>
          <w:rtl/>
        </w:rPr>
      </w:pPr>
      <w:r>
        <w:rPr>
          <w:rStyle w:val="ab"/>
        </w:rPr>
        <w:footnoteRef/>
      </w:r>
      <w:r>
        <w:rPr>
          <w:rtl/>
        </w:rPr>
        <w:t xml:space="preserve"> </w:t>
      </w:r>
      <w:r>
        <w:rPr>
          <w:rFonts w:cs="Arial" w:hint="cs"/>
          <w:rtl/>
        </w:rPr>
        <w:t>את הדין הזה למד הרמב"ם מהא דאמרה הגמ'-</w:t>
      </w:r>
      <w:r w:rsidRPr="00E57EC0">
        <w:rPr>
          <w:rFonts w:cs="Arial"/>
          <w:rtl/>
        </w:rPr>
        <w:t xml:space="preserve"> </w:t>
      </w:r>
      <w:r>
        <w:rPr>
          <w:rFonts w:cs="Arial" w:hint="cs"/>
          <w:rtl/>
        </w:rPr>
        <w:t>'</w:t>
      </w:r>
      <w:r w:rsidRPr="00E57EC0">
        <w:rPr>
          <w:rFonts w:cs="Arial"/>
          <w:rtl/>
        </w:rPr>
        <w:t>הכי קאמר כשזה בורר לו בית דין אחד וזה בורר לו בית דין אחד שניהם בוררים להם עוד אחד ואפילו לוה מצי מעכב</w:t>
      </w:r>
      <w:r>
        <w:rPr>
          <w:rFonts w:cs="Arial" w:hint="cs"/>
          <w:rtl/>
        </w:rPr>
        <w:t>...'</w:t>
      </w:r>
      <w:r w:rsidRPr="00E57EC0">
        <w:rPr>
          <w:rFonts w:cs="Arial"/>
          <w:rtl/>
        </w:rPr>
        <w:t xml:space="preserve"> </w:t>
      </w:r>
      <w:r>
        <w:rPr>
          <w:rFonts w:cs="Arial" w:hint="cs"/>
          <w:rtl/>
        </w:rPr>
        <w:t xml:space="preserve">ומה שאמר </w:t>
      </w:r>
      <w:r w:rsidRPr="00E57EC0">
        <w:rPr>
          <w:rFonts w:cs="Arial"/>
          <w:rtl/>
        </w:rPr>
        <w:t xml:space="preserve">רבי אלעזר </w:t>
      </w:r>
      <w:r>
        <w:rPr>
          <w:rFonts w:cs="Arial" w:hint="cs"/>
          <w:rtl/>
        </w:rPr>
        <w:t>ש</w:t>
      </w:r>
      <w:r w:rsidRPr="00E57EC0">
        <w:rPr>
          <w:rFonts w:cs="Arial"/>
          <w:rtl/>
        </w:rPr>
        <w:t>ל</w:t>
      </w:r>
      <w:r>
        <w:rPr>
          <w:rFonts w:cs="Arial" w:hint="cs"/>
          <w:rtl/>
        </w:rPr>
        <w:t>ל</w:t>
      </w:r>
      <w:r w:rsidRPr="00E57EC0">
        <w:rPr>
          <w:rFonts w:cs="Arial"/>
          <w:rtl/>
        </w:rPr>
        <w:t xml:space="preserve">וה </w:t>
      </w:r>
      <w:r>
        <w:rPr>
          <w:rFonts w:cs="Arial" w:hint="cs"/>
          <w:rtl/>
        </w:rPr>
        <w:t xml:space="preserve">אין זכות לבחור אלא </w:t>
      </w:r>
      <w:r w:rsidRPr="00E57EC0">
        <w:rPr>
          <w:rFonts w:cs="Arial"/>
          <w:rtl/>
        </w:rPr>
        <w:t>כופין אותו</w:t>
      </w:r>
      <w:r>
        <w:rPr>
          <w:rFonts w:cs="Arial" w:hint="cs"/>
          <w:rtl/>
        </w:rPr>
        <w:t xml:space="preserve"> - היינו</w:t>
      </w:r>
      <w:r w:rsidRPr="00E57EC0">
        <w:rPr>
          <w:rFonts w:cs="Arial"/>
          <w:rtl/>
        </w:rPr>
        <w:t xml:space="preserve"> בערכאות שבסוריא</w:t>
      </w:r>
      <w:r>
        <w:rPr>
          <w:rFonts w:cs="Arial" w:hint="cs"/>
          <w:rtl/>
        </w:rPr>
        <w:t>, אבל ב</w:t>
      </w:r>
      <w:r w:rsidRPr="00E57EC0">
        <w:rPr>
          <w:rFonts w:cs="Arial"/>
          <w:rtl/>
        </w:rPr>
        <w:t xml:space="preserve">מומחין </w:t>
      </w:r>
      <w:r>
        <w:rPr>
          <w:rFonts w:cs="Arial" w:hint="cs"/>
          <w:rtl/>
        </w:rPr>
        <w:t>אין לו זכות לבחור. א"נ אפילו בין בתי דין מומחין יש לו זכות לבחור אבל בתנאי שהם באותה העיר, שאינו מטריחו בכך.</w:t>
      </w:r>
    </w:p>
  </w:footnote>
  <w:footnote w:id="690">
    <w:p w14:paraId="4471F886" w14:textId="77777777" w:rsidR="0013116F" w:rsidRDefault="0013116F">
      <w:pPr>
        <w:pStyle w:val="a9"/>
        <w:rPr>
          <w:rtl/>
        </w:rPr>
      </w:pPr>
      <w:r>
        <w:rPr>
          <w:rStyle w:val="ab"/>
        </w:rPr>
        <w:footnoteRef/>
      </w:r>
      <w:r>
        <w:rPr>
          <w:rtl/>
        </w:rPr>
        <w:t xml:space="preserve"> </w:t>
      </w:r>
      <w:r>
        <w:rPr>
          <w:rFonts w:hint="cs"/>
          <w:rtl/>
        </w:rPr>
        <w:t xml:space="preserve">על מה שנכתב במשנה </w:t>
      </w:r>
      <w:r w:rsidRPr="00EA0C45">
        <w:rPr>
          <w:rFonts w:hint="cs"/>
          <w:sz w:val="16"/>
          <w:szCs w:val="16"/>
          <w:rtl/>
        </w:rPr>
        <w:t>(</w:t>
      </w:r>
      <w:r>
        <w:rPr>
          <w:rFonts w:hint="cs"/>
          <w:sz w:val="16"/>
          <w:szCs w:val="16"/>
          <w:rtl/>
        </w:rPr>
        <w:t>ו</w:t>
      </w:r>
      <w:r w:rsidRPr="00EA0C45">
        <w:rPr>
          <w:rFonts w:hint="cs"/>
          <w:sz w:val="16"/>
          <w:szCs w:val="16"/>
          <w:rtl/>
        </w:rPr>
        <w:t>העתיק</w:t>
      </w:r>
      <w:r>
        <w:rPr>
          <w:rFonts w:hint="cs"/>
          <w:sz w:val="16"/>
          <w:szCs w:val="16"/>
          <w:rtl/>
        </w:rPr>
        <w:t>ה</w:t>
      </w:r>
      <w:r w:rsidRPr="00EA0C45">
        <w:rPr>
          <w:rFonts w:hint="cs"/>
          <w:sz w:val="16"/>
          <w:szCs w:val="16"/>
          <w:rtl/>
        </w:rPr>
        <w:t xml:space="preserve"> הרא"ש [ריש סי' א])</w:t>
      </w:r>
      <w:r>
        <w:rPr>
          <w:rFonts w:hint="cs"/>
          <w:rtl/>
        </w:rPr>
        <w:t xml:space="preserve"> </w:t>
      </w:r>
      <w:r w:rsidRPr="00EA0C45">
        <w:rPr>
          <w:rFonts w:cs="Arial"/>
          <w:rtl/>
        </w:rPr>
        <w:t>זה פוסל דיינו של זה וזה פוסל דיינו של זה</w:t>
      </w:r>
      <w:r>
        <w:rPr>
          <w:rFonts w:cs="Arial" w:hint="cs"/>
          <w:rtl/>
        </w:rPr>
        <w:t>,</w:t>
      </w:r>
      <w:r w:rsidRPr="00EA0C45">
        <w:rPr>
          <w:rFonts w:cs="Arial"/>
          <w:rtl/>
        </w:rPr>
        <w:t xml:space="preserve"> ד</w:t>
      </w:r>
      <w:r>
        <w:rPr>
          <w:rFonts w:cs="Arial" w:hint="cs"/>
          <w:rtl/>
        </w:rPr>
        <w:t xml:space="preserve">ברי </w:t>
      </w:r>
      <w:r w:rsidRPr="00EA0C45">
        <w:rPr>
          <w:rFonts w:cs="Arial"/>
          <w:rtl/>
        </w:rPr>
        <w:t>ר</w:t>
      </w:r>
      <w:r>
        <w:rPr>
          <w:rFonts w:cs="Arial" w:hint="cs"/>
          <w:rtl/>
        </w:rPr>
        <w:t>'</w:t>
      </w:r>
      <w:r w:rsidRPr="00EA0C45">
        <w:rPr>
          <w:rFonts w:cs="Arial"/>
          <w:rtl/>
        </w:rPr>
        <w:t xml:space="preserve"> מאיר. וחכ</w:t>
      </w:r>
      <w:r>
        <w:rPr>
          <w:rFonts w:cs="Arial" w:hint="cs"/>
          <w:rtl/>
        </w:rPr>
        <w:t>"</w:t>
      </w:r>
      <w:r w:rsidRPr="00EA0C45">
        <w:rPr>
          <w:rFonts w:cs="Arial"/>
          <w:rtl/>
        </w:rPr>
        <w:t>א</w:t>
      </w:r>
      <w:r>
        <w:rPr>
          <w:rFonts w:cs="Arial" w:hint="cs"/>
          <w:rtl/>
        </w:rPr>
        <w:t>:</w:t>
      </w:r>
      <w:r w:rsidRPr="00EA0C45">
        <w:rPr>
          <w:rFonts w:cs="Arial"/>
          <w:rtl/>
        </w:rPr>
        <w:t xml:space="preserve"> אימתי בזמן שמביא עליהם ראיה שהם קרובים או פסולים אבל אם היו כשרים או מומחין אינו יכול לפוסלן</w:t>
      </w:r>
      <w:r>
        <w:rPr>
          <w:rFonts w:cs="Arial" w:hint="cs"/>
          <w:sz w:val="16"/>
          <w:szCs w:val="16"/>
          <w:rtl/>
        </w:rPr>
        <w:t xml:space="preserve"> {ע"כ}</w:t>
      </w:r>
      <w:r w:rsidRPr="00EA0C45">
        <w:rPr>
          <w:rFonts w:cs="Arial"/>
          <w:rtl/>
        </w:rPr>
        <w:t>.</w:t>
      </w:r>
      <w:r>
        <w:rPr>
          <w:rFonts w:cs="Arial" w:hint="cs"/>
          <w:rtl/>
        </w:rPr>
        <w:t xml:space="preserve"> כתב ההג"א וז"ל-...</w:t>
      </w:r>
    </w:p>
  </w:footnote>
  <w:footnote w:id="691">
    <w:p w14:paraId="63580684" w14:textId="77777777" w:rsidR="0013116F" w:rsidRDefault="0013116F" w:rsidP="00051DAB">
      <w:pPr>
        <w:pStyle w:val="a9"/>
      </w:pPr>
      <w:r>
        <w:rPr>
          <w:rStyle w:val="ab"/>
        </w:rPr>
        <w:footnoteRef/>
      </w:r>
      <w:r>
        <w:rPr>
          <w:rtl/>
        </w:rPr>
        <w:t xml:space="preserve"> </w:t>
      </w:r>
      <w:r w:rsidRPr="00051DAB">
        <w:rPr>
          <w:rFonts w:cs="Arial"/>
          <w:rtl/>
        </w:rPr>
        <w:t>היינו דוקא כשכבר דיבר עם הבורר ופייסו להיות בורר שלו הוי דינא הכי, אבל אם אמר לפני חבירו בוא ונדון לפני פלוני החכם שבעירנו, בזה אין שם בורר עליו, אלא הוא דיין של שניהם, ויש בידו כח לכפות את השני לעמוד לפניו כדין יחיד מומחה,</w:t>
      </w:r>
      <w:r>
        <w:rPr>
          <w:rFonts w:cs="Arial" w:hint="cs"/>
          <w:rtl/>
        </w:rPr>
        <w:t xml:space="preserve"> סמ"ע (סק"ה). אך הש"ך (סק"ב) כתב שדברי הסמ"ע בזה</w:t>
      </w:r>
      <w:r w:rsidRPr="00051DAB">
        <w:rPr>
          <w:rFonts w:cs="Arial"/>
          <w:rtl/>
        </w:rPr>
        <w:t xml:space="preserve"> לא נהירין</w:t>
      </w:r>
      <w:r>
        <w:rPr>
          <w:rFonts w:cs="Arial" w:hint="cs"/>
          <w:rtl/>
        </w:rPr>
        <w:t xml:space="preserve">. </w:t>
      </w:r>
      <w:r w:rsidRPr="005D0471">
        <w:rPr>
          <w:rFonts w:cs="Arial" w:hint="cs"/>
          <w:color w:val="FF0000"/>
          <w:rtl/>
        </w:rPr>
        <w:t>ולא פירש מדוע,</w:t>
      </w:r>
      <w:r w:rsidRPr="005D0471">
        <w:rPr>
          <w:rFonts w:hint="cs"/>
          <w:color w:val="FF0000"/>
          <w:rtl/>
        </w:rPr>
        <w:t xml:space="preserve"> </w:t>
      </w:r>
      <w:r w:rsidRPr="00D24E5D">
        <w:rPr>
          <w:rFonts w:hint="cs"/>
          <w:color w:val="FF0000"/>
          <w:rtl/>
        </w:rPr>
        <w:t>וצל"ע מדוע, שהרי הסמ"ע כתב כדברי הטור, וגם הב"י הסכים לדברי הטור.</w:t>
      </w:r>
    </w:p>
  </w:footnote>
  <w:footnote w:id="692">
    <w:p w14:paraId="42FEEDFD" w14:textId="77777777" w:rsidR="0013116F" w:rsidRDefault="0013116F">
      <w:pPr>
        <w:pStyle w:val="a9"/>
      </w:pPr>
      <w:r>
        <w:rPr>
          <w:rStyle w:val="ab"/>
        </w:rPr>
        <w:footnoteRef/>
      </w:r>
      <w:r>
        <w:rPr>
          <w:rtl/>
        </w:rPr>
        <w:t xml:space="preserve"> </w:t>
      </w:r>
      <w:r w:rsidRPr="00051DAB">
        <w:rPr>
          <w:rFonts w:cs="Arial"/>
          <w:rtl/>
        </w:rPr>
        <w:t>פירוש הן גדול ממנו הן קטן ממנו כיון שנחית לדין זה בורר ובלבד שיהא הגון,</w:t>
      </w:r>
      <w:r>
        <w:rPr>
          <w:rFonts w:cs="Arial" w:hint="cs"/>
          <w:rtl/>
        </w:rPr>
        <w:t xml:space="preserve"> סמ"ע (סק"ו).</w:t>
      </w:r>
      <w:r w:rsidRPr="00EC0A5E">
        <w:rPr>
          <w:rtl/>
        </w:rPr>
        <w:t xml:space="preserve"> </w:t>
      </w:r>
      <w:r w:rsidRPr="00EC0A5E">
        <w:rPr>
          <w:rFonts w:cs="Arial"/>
          <w:rtl/>
        </w:rPr>
        <w:t xml:space="preserve">ועיין בב"י </w:t>
      </w:r>
      <w:r>
        <w:rPr>
          <w:rFonts w:cs="Arial" w:hint="cs"/>
          <w:rtl/>
        </w:rPr>
        <w:t>(</w:t>
      </w:r>
      <w:r w:rsidRPr="00EC0A5E">
        <w:rPr>
          <w:rFonts w:cs="Arial"/>
          <w:rtl/>
        </w:rPr>
        <w:t>מחודש ג</w:t>
      </w:r>
      <w:r>
        <w:rPr>
          <w:rFonts w:cs="Arial" w:hint="cs"/>
          <w:rtl/>
        </w:rPr>
        <w:t>)</w:t>
      </w:r>
      <w:r w:rsidRPr="00EC0A5E">
        <w:rPr>
          <w:rFonts w:cs="Arial"/>
          <w:rtl/>
        </w:rPr>
        <w:t xml:space="preserve"> בשם ר</w:t>
      </w:r>
      <w:r>
        <w:rPr>
          <w:rFonts w:cs="Arial" w:hint="cs"/>
          <w:rtl/>
        </w:rPr>
        <w:t>י"ו (</w:t>
      </w:r>
      <w:r w:rsidRPr="00EC0A5E">
        <w:rPr>
          <w:rFonts w:cs="Arial"/>
          <w:rtl/>
        </w:rPr>
        <w:t>מישרים נ"א חי"ג</w:t>
      </w:r>
      <w:r>
        <w:rPr>
          <w:rFonts w:cs="Arial" w:hint="cs"/>
          <w:rtl/>
        </w:rPr>
        <w:t>)</w:t>
      </w:r>
      <w:r w:rsidRPr="00EC0A5E">
        <w:rPr>
          <w:rFonts w:cs="Arial"/>
          <w:rtl/>
        </w:rPr>
        <w:t xml:space="preserve">, משמע דצריך שיהא גמיר או שהמחוהו רבים עליהם, דאל"כ יכול לעכב, </w:t>
      </w:r>
      <w:r>
        <w:rPr>
          <w:rFonts w:cs="Arial" w:hint="cs"/>
          <w:rtl/>
        </w:rPr>
        <w:t>ש"ך (סק"ד).</w:t>
      </w:r>
    </w:p>
  </w:footnote>
  <w:footnote w:id="693">
    <w:p w14:paraId="48FCDC4D" w14:textId="77777777" w:rsidR="0013116F" w:rsidRDefault="0013116F">
      <w:pPr>
        <w:pStyle w:val="a9"/>
      </w:pPr>
      <w:r>
        <w:rPr>
          <w:rStyle w:val="ab"/>
        </w:rPr>
        <w:footnoteRef/>
      </w:r>
      <w:r>
        <w:rPr>
          <w:rtl/>
        </w:rPr>
        <w:t xml:space="preserve"> </w:t>
      </w:r>
      <w:r w:rsidRPr="00EC0A5E">
        <w:rPr>
          <w:rFonts w:cs="Arial"/>
          <w:rtl/>
        </w:rPr>
        <w:t>אבל אם התובע מערים לברור דיין שאינו הגון א"צ לכפיה זו, אלא הנתבע ישיב לו אינני משיב על טענתך עד שתברר דיין הגון</w:t>
      </w:r>
      <w:r>
        <w:rPr>
          <w:rFonts w:cs="Arial" w:hint="cs"/>
          <w:rtl/>
        </w:rPr>
        <w:t>, סמ"ע (סק"ז).</w:t>
      </w:r>
    </w:p>
  </w:footnote>
  <w:footnote w:id="694">
    <w:p w14:paraId="279C4433" w14:textId="77777777" w:rsidR="0013116F" w:rsidRDefault="0013116F">
      <w:pPr>
        <w:pStyle w:val="a9"/>
        <w:rPr>
          <w:rtl/>
        </w:rPr>
      </w:pPr>
      <w:r>
        <w:rPr>
          <w:rStyle w:val="ab"/>
        </w:rPr>
        <w:footnoteRef/>
      </w:r>
      <w:r>
        <w:rPr>
          <w:rtl/>
        </w:rPr>
        <w:t xml:space="preserve"> </w:t>
      </w:r>
      <w:r w:rsidRPr="00EC0A5E">
        <w:rPr>
          <w:rFonts w:cs="Arial"/>
          <w:rtl/>
        </w:rPr>
        <w:t>והיינו טעמא דדוקא בדיינים שדנין בע"כ של נתבע בעינן שיהא שלשה, אבל בבוררים מאחר והם קיבלו כל אחד אחד מהם על עצמו ואמר זה ידין לי כנ"ל, אם ישוו עצמם מה טוב, וכן מוכח במהרי"ו [המובא בציונים אות ה']</w:t>
      </w:r>
      <w:r>
        <w:rPr>
          <w:rFonts w:cs="Arial" w:hint="cs"/>
          <w:rtl/>
        </w:rPr>
        <w:t>...</w:t>
      </w:r>
      <w:r>
        <w:rPr>
          <w:rFonts w:hint="cs"/>
          <w:rtl/>
        </w:rPr>
        <w:t>, סמ"ע (סק"ח).</w:t>
      </w:r>
    </w:p>
  </w:footnote>
  <w:footnote w:id="695">
    <w:p w14:paraId="30F12448" w14:textId="77777777" w:rsidR="0013116F" w:rsidRDefault="0013116F">
      <w:pPr>
        <w:pStyle w:val="a9"/>
      </w:pPr>
      <w:r>
        <w:rPr>
          <w:rStyle w:val="ab"/>
        </w:rPr>
        <w:footnoteRef/>
      </w:r>
      <w:r>
        <w:rPr>
          <w:rtl/>
        </w:rPr>
        <w:t xml:space="preserve"> </w:t>
      </w:r>
      <w:r w:rsidRPr="00EC0A5E">
        <w:rPr>
          <w:rFonts w:cs="Arial"/>
          <w:rtl/>
        </w:rPr>
        <w:t>נראה דה"ה תובע</w:t>
      </w:r>
      <w:r>
        <w:rPr>
          <w:rFonts w:cs="Arial" w:hint="cs"/>
          <w:rtl/>
        </w:rPr>
        <w:t>..., סמ"ע (סק"ט).</w:t>
      </w:r>
      <w:r>
        <w:rPr>
          <w:rFonts w:hint="cs"/>
          <w:rtl/>
        </w:rPr>
        <w:t xml:space="preserve"> וכ"כ הש"ך (סק"ה).</w:t>
      </w:r>
    </w:p>
  </w:footnote>
  <w:footnote w:id="696">
    <w:p w14:paraId="2E09AA23" w14:textId="77777777" w:rsidR="0013116F" w:rsidRDefault="0013116F">
      <w:pPr>
        <w:pStyle w:val="a9"/>
      </w:pPr>
      <w:r>
        <w:rPr>
          <w:rStyle w:val="ab"/>
        </w:rPr>
        <w:footnoteRef/>
      </w:r>
      <w:r>
        <w:rPr>
          <w:rtl/>
        </w:rPr>
        <w:t xml:space="preserve"> </w:t>
      </w:r>
      <w:r w:rsidRPr="0028523B">
        <w:rPr>
          <w:rFonts w:cs="Arial"/>
          <w:rtl/>
        </w:rPr>
        <w:t>ואע</w:t>
      </w:r>
      <w:r>
        <w:rPr>
          <w:rFonts w:cs="Arial" w:hint="cs"/>
          <w:rtl/>
        </w:rPr>
        <w:t>"</w:t>
      </w:r>
      <w:r w:rsidRPr="0028523B">
        <w:rPr>
          <w:rFonts w:cs="Arial"/>
          <w:rtl/>
        </w:rPr>
        <w:t>פ שג' כופין לדון בפניהם, בשאינו רוצה לקבל עליו לדון, אבל רוצה לברור יותר בורר, דהוה ליה כאומר נלך למקום הועד ששומעין לו במקום שאין שם טורח</w:t>
      </w:r>
      <w:r>
        <w:rPr>
          <w:rFonts w:cs="Arial" w:hint="cs"/>
          <w:rtl/>
        </w:rPr>
        <w:t>, רמב"ן (דברים א יב)</w:t>
      </w:r>
      <w:r w:rsidRPr="0028523B">
        <w:rPr>
          <w:rFonts w:cs="Arial"/>
          <w:rtl/>
        </w:rPr>
        <w:t>.</w:t>
      </w:r>
    </w:p>
  </w:footnote>
  <w:footnote w:id="697">
    <w:p w14:paraId="43D0BB3C" w14:textId="77777777" w:rsidR="0013116F" w:rsidRDefault="0013116F">
      <w:pPr>
        <w:pStyle w:val="a9"/>
        <w:rPr>
          <w:rtl/>
        </w:rPr>
      </w:pPr>
      <w:r>
        <w:rPr>
          <w:rStyle w:val="ab"/>
        </w:rPr>
        <w:footnoteRef/>
      </w:r>
      <w:r>
        <w:rPr>
          <w:rtl/>
        </w:rPr>
        <w:t xml:space="preserve"> </w:t>
      </w:r>
      <w:r>
        <w:rPr>
          <w:rFonts w:hint="cs"/>
          <w:rtl/>
        </w:rPr>
        <w:t xml:space="preserve">סימן </w:t>
      </w:r>
      <w:r>
        <w:rPr>
          <w:rtl/>
        </w:rPr>
        <w:t>–</w:t>
      </w:r>
      <w:r>
        <w:rPr>
          <w:rFonts w:hint="cs"/>
          <w:rtl/>
        </w:rPr>
        <w:t xml:space="preserve"> כרטיסים כבושים בכביש.</w:t>
      </w:r>
    </w:p>
  </w:footnote>
  <w:footnote w:id="698">
    <w:p w14:paraId="39ABC151" w14:textId="77777777" w:rsidR="0013116F" w:rsidRDefault="0013116F" w:rsidP="007458ED">
      <w:pPr>
        <w:pStyle w:val="a9"/>
      </w:pPr>
      <w:r>
        <w:rPr>
          <w:rStyle w:val="ab"/>
        </w:rPr>
        <w:footnoteRef/>
      </w:r>
      <w:r>
        <w:rPr>
          <w:rtl/>
        </w:rPr>
        <w:t xml:space="preserve"> </w:t>
      </w:r>
      <w:r>
        <w:rPr>
          <w:rFonts w:hint="cs"/>
          <w:rtl/>
        </w:rPr>
        <w:t xml:space="preserve">וכתב הנמוק"י </w:t>
      </w:r>
      <w:r>
        <w:rPr>
          <w:rFonts w:cs="Arial" w:hint="cs"/>
          <w:rtl/>
        </w:rPr>
        <w:t>(יא:) ד</w:t>
      </w:r>
      <w:r w:rsidRPr="002D4586">
        <w:rPr>
          <w:rFonts w:cs="Arial"/>
          <w:rtl/>
        </w:rPr>
        <w:t>אפשר שדעת הרי"ף שכתב בתשובה (הוצ' בילגוריי סי' קמו) שיכול לחזור בו עד שיגמור הדין מיירי בשלא נכתב אבל אם נכתב לא</w:t>
      </w:r>
      <w:r>
        <w:rPr>
          <w:rFonts w:hint="cs"/>
          <w:rtl/>
        </w:rPr>
        <w:t>.</w:t>
      </w:r>
    </w:p>
  </w:footnote>
  <w:footnote w:id="699">
    <w:p w14:paraId="0D241612" w14:textId="77777777" w:rsidR="0013116F" w:rsidRDefault="0013116F">
      <w:pPr>
        <w:pStyle w:val="a9"/>
        <w:rPr>
          <w:rtl/>
        </w:rPr>
      </w:pPr>
      <w:r>
        <w:rPr>
          <w:rStyle w:val="ab"/>
        </w:rPr>
        <w:footnoteRef/>
      </w:r>
      <w:r>
        <w:rPr>
          <w:rtl/>
        </w:rPr>
        <w:t xml:space="preserve"> </w:t>
      </w:r>
      <w:r>
        <w:rPr>
          <w:rFonts w:hint="cs"/>
          <w:rtl/>
        </w:rPr>
        <w:t xml:space="preserve">סימן </w:t>
      </w:r>
      <w:r>
        <w:rPr>
          <w:rtl/>
        </w:rPr>
        <w:t>–</w:t>
      </w:r>
      <w:r>
        <w:rPr>
          <w:rFonts w:hint="cs"/>
          <w:rtl/>
        </w:rPr>
        <w:t xml:space="preserve"> קיבוע סיכום חתום</w:t>
      </w:r>
      <w:r>
        <w:rPr>
          <w:rFonts w:hint="cs"/>
          <w:sz w:val="16"/>
          <w:szCs w:val="16"/>
          <w:rtl/>
        </w:rPr>
        <w:t xml:space="preserve"> (הסימן לדף קסח שבו עיקר העניין)</w:t>
      </w:r>
      <w:r>
        <w:rPr>
          <w:rFonts w:hint="cs"/>
          <w:rtl/>
        </w:rPr>
        <w:t>.</w:t>
      </w:r>
    </w:p>
  </w:footnote>
  <w:footnote w:id="700">
    <w:p w14:paraId="3C6F7B9E" w14:textId="77777777" w:rsidR="0013116F" w:rsidRDefault="0013116F" w:rsidP="007458ED">
      <w:pPr>
        <w:pStyle w:val="a9"/>
      </w:pPr>
      <w:r>
        <w:rPr>
          <w:rStyle w:val="ab"/>
        </w:rPr>
        <w:footnoteRef/>
      </w:r>
      <w:r>
        <w:rPr>
          <w:rtl/>
        </w:rPr>
        <w:t xml:space="preserve"> </w:t>
      </w:r>
      <w:r w:rsidRPr="00AE48C5">
        <w:rPr>
          <w:rFonts w:cs="Arial"/>
          <w:rtl/>
        </w:rPr>
        <w:t>לישנא דהילכך שכתב רבינו כלומר כיון שמשכתבו אין יכולים לחזור בהם אין כותבים אלא מדעת שניהם דאם לא כן נמצאו חבין להם שלא מדעתם</w:t>
      </w:r>
      <w:r>
        <w:rPr>
          <w:rFonts w:cs="Arial" w:hint="cs"/>
          <w:rtl/>
        </w:rPr>
        <w:t>, ב"י.</w:t>
      </w:r>
    </w:p>
  </w:footnote>
  <w:footnote w:id="701">
    <w:p w14:paraId="1BE63664" w14:textId="77777777" w:rsidR="0013116F" w:rsidRDefault="0013116F" w:rsidP="007458ED">
      <w:pPr>
        <w:pStyle w:val="a9"/>
      </w:pPr>
      <w:r>
        <w:rPr>
          <w:rStyle w:val="ab"/>
        </w:rPr>
        <w:footnoteRef/>
      </w:r>
      <w:r>
        <w:rPr>
          <w:rtl/>
        </w:rPr>
        <w:t xml:space="preserve"> </w:t>
      </w:r>
      <w:r>
        <w:rPr>
          <w:rFonts w:hint="cs"/>
          <w:rtl/>
        </w:rPr>
        <w:t>שטרי בירורין, היינו זה בורר וכו', ובסע' הבא יביא משנה זו גבי שטרי טענתא.</w:t>
      </w:r>
    </w:p>
  </w:footnote>
  <w:footnote w:id="702">
    <w:p w14:paraId="69C15392" w14:textId="77777777" w:rsidR="0013116F" w:rsidRDefault="0013116F">
      <w:pPr>
        <w:pStyle w:val="a9"/>
        <w:rPr>
          <w:rtl/>
        </w:rPr>
      </w:pPr>
      <w:r>
        <w:rPr>
          <w:rStyle w:val="ab"/>
        </w:rPr>
        <w:footnoteRef/>
      </w:r>
      <w:r>
        <w:rPr>
          <w:rtl/>
        </w:rPr>
        <w:t xml:space="preserve"> </w:t>
      </w:r>
      <w:r>
        <w:rPr>
          <w:rFonts w:cs="Arial" w:hint="cs"/>
          <w:rtl/>
        </w:rPr>
        <w:t xml:space="preserve">רמב"ן </w:t>
      </w:r>
      <w:r>
        <w:rPr>
          <w:rFonts w:cs="Arial" w:hint="cs"/>
          <w:sz w:val="16"/>
          <w:szCs w:val="16"/>
          <w:rtl/>
        </w:rPr>
        <w:t>(כ"כ הרשב"א בשמו הביאו הריטב"א [שם])</w:t>
      </w:r>
      <w:r>
        <w:rPr>
          <w:rFonts w:cs="Arial" w:hint="cs"/>
          <w:rtl/>
        </w:rPr>
        <w:t xml:space="preserve"> </w:t>
      </w:r>
      <w:r w:rsidRPr="002D4586">
        <w:rPr>
          <w:rFonts w:cs="Arial"/>
          <w:rtl/>
        </w:rPr>
        <w:t xml:space="preserve">רשב"א </w:t>
      </w:r>
      <w:r w:rsidRPr="00DC27C9">
        <w:rPr>
          <w:rFonts w:cs="Arial"/>
          <w:sz w:val="16"/>
          <w:szCs w:val="16"/>
          <w:rtl/>
        </w:rPr>
        <w:t xml:space="preserve">(ב"מ כ. ד"ה ור' ירמיה) </w:t>
      </w:r>
      <w:r>
        <w:rPr>
          <w:rFonts w:cs="Arial" w:hint="cs"/>
          <w:rtl/>
        </w:rPr>
        <w:t xml:space="preserve">ריטב"א </w:t>
      </w:r>
      <w:r>
        <w:rPr>
          <w:rFonts w:cs="Arial" w:hint="cs"/>
          <w:sz w:val="16"/>
          <w:szCs w:val="16"/>
          <w:rtl/>
        </w:rPr>
        <w:t xml:space="preserve">(ב"מ כ.) </w:t>
      </w:r>
      <w:r w:rsidRPr="002D4586">
        <w:rPr>
          <w:rFonts w:cs="Arial"/>
          <w:rtl/>
        </w:rPr>
        <w:t xml:space="preserve">רא"ש </w:t>
      </w:r>
      <w:r w:rsidRPr="007D4594">
        <w:rPr>
          <w:rFonts w:cs="Arial"/>
          <w:sz w:val="16"/>
          <w:szCs w:val="16"/>
          <w:rtl/>
        </w:rPr>
        <w:t>(סי' נב)</w:t>
      </w:r>
      <w:r w:rsidRPr="00DC27C9">
        <w:rPr>
          <w:rFonts w:cs="Arial"/>
          <w:rtl/>
        </w:rPr>
        <w:t xml:space="preserve"> </w:t>
      </w:r>
      <w:r>
        <w:rPr>
          <w:rFonts w:cs="Arial" w:hint="cs"/>
          <w:rtl/>
        </w:rPr>
        <w:t>ו</w:t>
      </w:r>
      <w:r w:rsidRPr="002D4586">
        <w:rPr>
          <w:rFonts w:cs="Arial"/>
          <w:rtl/>
        </w:rPr>
        <w:t xml:space="preserve">ר"ן </w:t>
      </w:r>
      <w:r w:rsidRPr="00DC27C9">
        <w:rPr>
          <w:rFonts w:cs="Arial"/>
          <w:sz w:val="16"/>
          <w:szCs w:val="16"/>
          <w:rtl/>
        </w:rPr>
        <w:t>(ב"מ חי' כ. ד"ה זה)</w:t>
      </w:r>
      <w:r>
        <w:rPr>
          <w:rFonts w:hint="cs"/>
          <w:rtl/>
        </w:rPr>
        <w:t>.</w:t>
      </w:r>
    </w:p>
  </w:footnote>
  <w:footnote w:id="703">
    <w:p w14:paraId="38AFFF8D" w14:textId="77777777" w:rsidR="0013116F" w:rsidRDefault="0013116F">
      <w:pPr>
        <w:pStyle w:val="a9"/>
      </w:pPr>
      <w:r>
        <w:rPr>
          <w:rStyle w:val="ab"/>
        </w:rPr>
        <w:footnoteRef/>
      </w:r>
      <w:r>
        <w:rPr>
          <w:rtl/>
        </w:rPr>
        <w:t xml:space="preserve"> </w:t>
      </w:r>
      <w:r>
        <w:rPr>
          <w:rFonts w:hint="cs"/>
          <w:rtl/>
        </w:rPr>
        <w:t>מש"כ '</w:t>
      </w:r>
      <w:r w:rsidRPr="002D4586">
        <w:rPr>
          <w:rFonts w:cs="Arial"/>
          <w:rtl/>
        </w:rPr>
        <w:t>אע</w:t>
      </w:r>
      <w:r w:rsidRPr="002D4586">
        <w:rPr>
          <w:rFonts w:cs="Arial" w:hint="cs"/>
          <w:rtl/>
        </w:rPr>
        <w:t>"</w:t>
      </w:r>
      <w:r w:rsidRPr="002D4586">
        <w:rPr>
          <w:rFonts w:cs="Arial"/>
          <w:rtl/>
        </w:rPr>
        <w:t>פ שלא קבלו ולא כתבו</w:t>
      </w:r>
      <w:r>
        <w:rPr>
          <w:rFonts w:hint="cs"/>
          <w:rtl/>
        </w:rPr>
        <w:t xml:space="preserve">' </w:t>
      </w:r>
      <w:r>
        <w:rPr>
          <w:rtl/>
        </w:rPr>
        <w:t>–</w:t>
      </w:r>
      <w:r>
        <w:rPr>
          <w:rFonts w:hint="cs"/>
          <w:rtl/>
        </w:rPr>
        <w:t xml:space="preserve"> כוונתו לומר- 'אע"פ שלא קבלו וכתבו' </w:t>
      </w:r>
      <w:r w:rsidRPr="00AF500F">
        <w:rPr>
          <w:rFonts w:hint="cs"/>
          <w:sz w:val="16"/>
          <w:szCs w:val="16"/>
          <w:rtl/>
        </w:rPr>
        <w:t>(היינו קבלו ע"י כתיבת שטר בירורין)</w:t>
      </w:r>
      <w:r>
        <w:rPr>
          <w:rFonts w:hint="cs"/>
          <w:rtl/>
        </w:rPr>
        <w:t>.</w:t>
      </w:r>
    </w:p>
  </w:footnote>
  <w:footnote w:id="704">
    <w:p w14:paraId="52EB9332" w14:textId="77777777" w:rsidR="0013116F" w:rsidRDefault="0013116F">
      <w:pPr>
        <w:pStyle w:val="a9"/>
      </w:pPr>
      <w:r>
        <w:rPr>
          <w:rStyle w:val="ab"/>
        </w:rPr>
        <w:footnoteRef/>
      </w:r>
      <w:r>
        <w:rPr>
          <w:rtl/>
        </w:rPr>
        <w:t xml:space="preserve"> </w:t>
      </w:r>
      <w:r>
        <w:rPr>
          <w:rFonts w:hint="cs"/>
          <w:rtl/>
        </w:rPr>
        <w:t xml:space="preserve">לשון הנמוק"י בשם הרשב"א והר"ן. </w:t>
      </w:r>
      <w:r w:rsidRPr="002D4586">
        <w:rPr>
          <w:rFonts w:cs="Arial"/>
          <w:rtl/>
        </w:rPr>
        <w:t>ו</w:t>
      </w:r>
      <w:r>
        <w:rPr>
          <w:rFonts w:cs="Arial" w:hint="cs"/>
          <w:rtl/>
        </w:rPr>
        <w:t>כתב עוד הנמוק"י ד</w:t>
      </w:r>
      <w:r w:rsidRPr="002D4586">
        <w:rPr>
          <w:rFonts w:cs="Arial"/>
          <w:rtl/>
        </w:rPr>
        <w:t>כן משמע בירושלמי דגרסינן התם בפרק דיני ממונות בתרא (פ"ג ה"ד) קבל עליו בפני שנים יכול לחזור בו בפני שלשה אין יכול לחזור בו</w:t>
      </w:r>
      <w:r w:rsidRPr="002D4586">
        <w:rPr>
          <w:rFonts w:cs="Arial" w:hint="cs"/>
          <w:rtl/>
        </w:rPr>
        <w:t>,</w:t>
      </w:r>
      <w:r w:rsidRPr="002D4586">
        <w:rPr>
          <w:rFonts w:cs="Arial"/>
          <w:rtl/>
        </w:rPr>
        <w:t xml:space="preserve"> ומשמע דקבלה מיקרי משהתחילו לטעון בפניהם</w:t>
      </w:r>
      <w:r>
        <w:rPr>
          <w:rFonts w:hint="cs"/>
          <w:rtl/>
        </w:rPr>
        <w:t xml:space="preserve">. </w:t>
      </w:r>
    </w:p>
  </w:footnote>
  <w:footnote w:id="705">
    <w:p w14:paraId="327AD03D" w14:textId="77777777" w:rsidR="0013116F" w:rsidRDefault="0013116F">
      <w:pPr>
        <w:pStyle w:val="a9"/>
      </w:pPr>
      <w:r>
        <w:rPr>
          <w:rStyle w:val="ab"/>
        </w:rPr>
        <w:footnoteRef/>
      </w:r>
      <w:r>
        <w:rPr>
          <w:rtl/>
        </w:rPr>
        <w:t xml:space="preserve"> </w:t>
      </w:r>
      <w:r>
        <w:rPr>
          <w:rFonts w:cs="Arial" w:hint="cs"/>
          <w:rtl/>
        </w:rPr>
        <w:t>א</w:t>
      </w:r>
      <w:r w:rsidRPr="00641443">
        <w:rPr>
          <w:rFonts w:cs="Arial"/>
          <w:rtl/>
        </w:rPr>
        <w:t>ו עד שיכתבו שטר בירורין</w:t>
      </w:r>
      <w:r>
        <w:rPr>
          <w:rFonts w:cs="Arial" w:hint="cs"/>
          <w:rtl/>
        </w:rPr>
        <w:t>,</w:t>
      </w:r>
      <w:r w:rsidRPr="00641443">
        <w:rPr>
          <w:rFonts w:cs="Arial" w:hint="cs"/>
          <w:rtl/>
        </w:rPr>
        <w:t xml:space="preserve"> רי"ו </w:t>
      </w:r>
      <w:r w:rsidRPr="00641443">
        <w:rPr>
          <w:rFonts w:cs="Arial" w:hint="cs"/>
          <w:sz w:val="16"/>
          <w:szCs w:val="16"/>
          <w:rtl/>
        </w:rPr>
        <w:t>(</w:t>
      </w:r>
      <w:r w:rsidRPr="00641443">
        <w:rPr>
          <w:rFonts w:cs="Arial"/>
          <w:sz w:val="16"/>
          <w:szCs w:val="16"/>
          <w:rtl/>
        </w:rPr>
        <w:t>מישרים נט"ו ח"ג מח:)</w:t>
      </w:r>
      <w:r w:rsidRPr="00641443">
        <w:rPr>
          <w:rFonts w:cs="Arial"/>
          <w:rtl/>
        </w:rPr>
        <w:t xml:space="preserve"> </w:t>
      </w:r>
      <w:r>
        <w:rPr>
          <w:rFonts w:cs="Arial" w:hint="cs"/>
          <w:rtl/>
        </w:rPr>
        <w:t>בשם</w:t>
      </w:r>
      <w:r w:rsidRPr="00641443">
        <w:rPr>
          <w:rFonts w:cs="Arial"/>
          <w:rtl/>
        </w:rPr>
        <w:t xml:space="preserve"> רב אלפס בתשובה </w:t>
      </w:r>
      <w:r w:rsidRPr="00641443">
        <w:rPr>
          <w:rFonts w:cs="Arial"/>
          <w:sz w:val="16"/>
          <w:szCs w:val="16"/>
          <w:rtl/>
        </w:rPr>
        <w:t>(הוצ' בילגוריי סי' קמו)</w:t>
      </w:r>
      <w:r>
        <w:rPr>
          <w:rFonts w:cs="Arial" w:hint="cs"/>
          <w:rtl/>
        </w:rPr>
        <w:t>.</w:t>
      </w:r>
    </w:p>
  </w:footnote>
  <w:footnote w:id="706">
    <w:p w14:paraId="2C937D4B" w14:textId="77777777" w:rsidR="0013116F" w:rsidRDefault="0013116F" w:rsidP="00CF39F7">
      <w:pPr>
        <w:pStyle w:val="a9"/>
        <w:rPr>
          <w:rtl/>
        </w:rPr>
      </w:pPr>
      <w:r>
        <w:rPr>
          <w:rStyle w:val="ab"/>
        </w:rPr>
        <w:footnoteRef/>
      </w:r>
      <w:r>
        <w:rPr>
          <w:rtl/>
        </w:rPr>
        <w:t xml:space="preserve"> </w:t>
      </w:r>
      <w:r>
        <w:rPr>
          <w:rFonts w:cs="Arial"/>
          <w:rtl/>
        </w:rPr>
        <w:t>וכן הוא בהגה</w:t>
      </w:r>
      <w:r>
        <w:rPr>
          <w:rFonts w:cs="Arial" w:hint="cs"/>
          <w:rtl/>
        </w:rPr>
        <w:t>"א</w:t>
      </w:r>
      <w:r>
        <w:rPr>
          <w:rFonts w:cs="Arial"/>
          <w:rtl/>
        </w:rPr>
        <w:t xml:space="preserve"> </w:t>
      </w:r>
      <w:r>
        <w:rPr>
          <w:rFonts w:cs="Arial" w:hint="cs"/>
          <w:rtl/>
        </w:rPr>
        <w:t>(</w:t>
      </w:r>
      <w:r>
        <w:rPr>
          <w:rFonts w:cs="Arial"/>
          <w:rtl/>
        </w:rPr>
        <w:t xml:space="preserve">פ"ג דסנהדרין סי' א אות </w:t>
      </w:r>
      <w:r>
        <w:rPr>
          <w:rFonts w:cs="Arial" w:hint="cs"/>
          <w:rtl/>
        </w:rPr>
        <w:t>ג ד"ה ודוקא</w:t>
      </w:r>
      <w:r>
        <w:rPr>
          <w:rFonts w:cs="Arial"/>
          <w:rtl/>
        </w:rPr>
        <w:t>)</w:t>
      </w:r>
      <w:r>
        <w:rPr>
          <w:rFonts w:cs="Arial" w:hint="cs"/>
          <w:rtl/>
        </w:rPr>
        <w:t xml:space="preserve"> הביאו הב"י (לעיל סע' א) והדרכ"מ (אות ד)</w:t>
      </w:r>
      <w:r>
        <w:rPr>
          <w:rFonts w:hint="cs"/>
          <w:rtl/>
        </w:rPr>
        <w:t>.</w:t>
      </w:r>
    </w:p>
  </w:footnote>
  <w:footnote w:id="707">
    <w:p w14:paraId="313A6483" w14:textId="77777777" w:rsidR="0013116F" w:rsidRDefault="0013116F">
      <w:pPr>
        <w:pStyle w:val="a9"/>
        <w:rPr>
          <w:rtl/>
        </w:rPr>
      </w:pPr>
      <w:r>
        <w:rPr>
          <w:rStyle w:val="ab"/>
        </w:rPr>
        <w:footnoteRef/>
      </w:r>
      <w:r>
        <w:rPr>
          <w:rtl/>
        </w:rPr>
        <w:t xml:space="preserve"> </w:t>
      </w:r>
      <w:r>
        <w:rPr>
          <w:rFonts w:cs="Arial" w:hint="cs"/>
          <w:rtl/>
        </w:rPr>
        <w:t xml:space="preserve">או </w:t>
      </w:r>
      <w:r w:rsidRPr="00AE48C5">
        <w:rPr>
          <w:rFonts w:cs="Arial"/>
          <w:rtl/>
        </w:rPr>
        <w:t>לברור אחרים</w:t>
      </w:r>
      <w:r>
        <w:rPr>
          <w:rFonts w:cs="Arial" w:hint="cs"/>
          <w:rtl/>
        </w:rPr>
        <w:t>, נמוק"י (עח.).</w:t>
      </w:r>
    </w:p>
  </w:footnote>
  <w:footnote w:id="708">
    <w:p w14:paraId="282ECD42" w14:textId="77777777" w:rsidR="0013116F" w:rsidRDefault="0013116F">
      <w:pPr>
        <w:pStyle w:val="a9"/>
      </w:pPr>
      <w:r>
        <w:rPr>
          <w:rStyle w:val="ab"/>
        </w:rPr>
        <w:footnoteRef/>
      </w:r>
      <w:r>
        <w:rPr>
          <w:rtl/>
        </w:rPr>
        <w:t xml:space="preserve"> </w:t>
      </w:r>
      <w:r w:rsidRPr="00CF39F7">
        <w:rPr>
          <w:rFonts w:cs="Arial"/>
          <w:rtl/>
        </w:rPr>
        <w:t>פירוש, כיון דלאחר הכתיבה אין יכולין לחזור</w:t>
      </w:r>
      <w:r>
        <w:rPr>
          <w:rFonts w:cs="Arial" w:hint="cs"/>
          <w:rtl/>
        </w:rPr>
        <w:t>, סמ"ע (סק"י).</w:t>
      </w:r>
    </w:p>
  </w:footnote>
  <w:footnote w:id="709">
    <w:p w14:paraId="26852463" w14:textId="77777777" w:rsidR="0013116F" w:rsidRDefault="0013116F" w:rsidP="004357E4">
      <w:pPr>
        <w:pStyle w:val="a9"/>
      </w:pPr>
      <w:r>
        <w:rPr>
          <w:rStyle w:val="ab"/>
        </w:rPr>
        <w:footnoteRef/>
      </w:r>
      <w:r>
        <w:rPr>
          <w:rtl/>
        </w:rPr>
        <w:t xml:space="preserve"> </w:t>
      </w:r>
      <w:r>
        <w:rPr>
          <w:rFonts w:hint="cs"/>
          <w:rtl/>
        </w:rPr>
        <w:t xml:space="preserve">סימן </w:t>
      </w:r>
      <w:r>
        <w:rPr>
          <w:rtl/>
        </w:rPr>
        <w:t>–</w:t>
      </w:r>
      <w:r>
        <w:rPr>
          <w:rFonts w:hint="cs"/>
          <w:rtl/>
        </w:rPr>
        <w:t xml:space="preserve"> כרטיסי כרטיסנים</w:t>
      </w:r>
      <w:r>
        <w:rPr>
          <w:rFonts w:hint="cs"/>
          <w:sz w:val="16"/>
          <w:szCs w:val="16"/>
          <w:rtl/>
        </w:rPr>
        <w:t xml:space="preserve"> {היינו דיינים}</w:t>
      </w:r>
      <w:r>
        <w:rPr>
          <w:rFonts w:hint="cs"/>
          <w:rtl/>
        </w:rPr>
        <w:t>.</w:t>
      </w:r>
    </w:p>
  </w:footnote>
  <w:footnote w:id="710">
    <w:p w14:paraId="5CD1A169" w14:textId="77777777" w:rsidR="0013116F" w:rsidRDefault="0013116F" w:rsidP="004357E4">
      <w:pPr>
        <w:pStyle w:val="a9"/>
        <w:rPr>
          <w:rtl/>
        </w:rPr>
      </w:pPr>
      <w:r>
        <w:rPr>
          <w:rStyle w:val="ab"/>
        </w:rPr>
        <w:footnoteRef/>
      </w:r>
      <w:r>
        <w:rPr>
          <w:rtl/>
        </w:rPr>
        <w:t xml:space="preserve"> </w:t>
      </w:r>
      <w:r>
        <w:rPr>
          <w:rFonts w:hint="cs"/>
          <w:rtl/>
        </w:rPr>
        <w:t xml:space="preserve">סימן </w:t>
      </w:r>
      <w:r>
        <w:rPr>
          <w:rtl/>
        </w:rPr>
        <w:t>–</w:t>
      </w:r>
      <w:r>
        <w:rPr>
          <w:rFonts w:hint="cs"/>
          <w:rtl/>
        </w:rPr>
        <w:t xml:space="preserve"> קלף סיכום </w:t>
      </w:r>
      <w:r>
        <w:rPr>
          <w:rFonts w:hint="cs"/>
          <w:sz w:val="16"/>
          <w:szCs w:val="16"/>
          <w:rtl/>
        </w:rPr>
        <w:t xml:space="preserve">{הטענות} </w:t>
      </w:r>
      <w:r>
        <w:rPr>
          <w:rFonts w:hint="cs"/>
          <w:rtl/>
        </w:rPr>
        <w:t>חתום</w:t>
      </w:r>
      <w:r>
        <w:rPr>
          <w:rFonts w:hint="cs"/>
          <w:sz w:val="16"/>
          <w:szCs w:val="16"/>
          <w:rtl/>
        </w:rPr>
        <w:t xml:space="preserve"> (הסימן לדף קסח שבו עיקר העניין)</w:t>
      </w:r>
      <w:r>
        <w:rPr>
          <w:rFonts w:hint="cs"/>
          <w:rtl/>
        </w:rPr>
        <w:t>.</w:t>
      </w:r>
    </w:p>
  </w:footnote>
  <w:footnote w:id="711">
    <w:p w14:paraId="712A22DE" w14:textId="77777777" w:rsidR="0013116F" w:rsidRDefault="0013116F">
      <w:pPr>
        <w:pStyle w:val="a9"/>
      </w:pPr>
      <w:r>
        <w:rPr>
          <w:rStyle w:val="ab"/>
        </w:rPr>
        <w:footnoteRef/>
      </w:r>
      <w:r>
        <w:rPr>
          <w:rtl/>
        </w:rPr>
        <w:t xml:space="preserve"> </w:t>
      </w:r>
      <w:r w:rsidRPr="00AE48C5">
        <w:rPr>
          <w:rFonts w:cs="Arial"/>
          <w:rtl/>
        </w:rPr>
        <w:t>וכדתרגימו הכא מאי שטרי בירורין שטרי טענתא</w:t>
      </w:r>
      <w:r>
        <w:rPr>
          <w:rFonts w:cs="Arial" w:hint="cs"/>
          <w:rtl/>
        </w:rPr>
        <w:t>, ב"י.</w:t>
      </w:r>
    </w:p>
  </w:footnote>
  <w:footnote w:id="712">
    <w:p w14:paraId="788883CC" w14:textId="77777777" w:rsidR="0013116F" w:rsidRDefault="0013116F">
      <w:pPr>
        <w:pStyle w:val="a9"/>
        <w:rPr>
          <w:rtl/>
        </w:rPr>
      </w:pPr>
      <w:r>
        <w:rPr>
          <w:rStyle w:val="ab"/>
        </w:rPr>
        <w:footnoteRef/>
      </w:r>
      <w:r>
        <w:rPr>
          <w:rtl/>
        </w:rPr>
        <w:t xml:space="preserve"> </w:t>
      </w:r>
      <w:r>
        <w:rPr>
          <w:rFonts w:hint="cs"/>
          <w:rtl/>
        </w:rPr>
        <w:t>מילתא באפי נפשא היא.</w:t>
      </w:r>
    </w:p>
  </w:footnote>
  <w:footnote w:id="713">
    <w:p w14:paraId="283531B5" w14:textId="77777777" w:rsidR="0013116F" w:rsidRDefault="0013116F">
      <w:pPr>
        <w:pStyle w:val="a9"/>
      </w:pPr>
      <w:r>
        <w:rPr>
          <w:rStyle w:val="ab"/>
        </w:rPr>
        <w:footnoteRef/>
      </w:r>
      <w:r>
        <w:rPr>
          <w:rtl/>
        </w:rPr>
        <w:t xml:space="preserve"> </w:t>
      </w:r>
      <w:r w:rsidRPr="006322CF">
        <w:rPr>
          <w:rFonts w:cs="Arial"/>
          <w:rtl/>
        </w:rPr>
        <w:t>שני סופרי הדיינין היו כותבין טענות אנשי הריב כדי שלא יהו טוענין וחוזרין וטוענין ועל פי אותן טענות פוסקין הדיינין את דינם</w:t>
      </w:r>
      <w:r>
        <w:rPr>
          <w:rFonts w:cs="Arial" w:hint="cs"/>
          <w:rtl/>
        </w:rPr>
        <w:t>, רשב"ם</w:t>
      </w:r>
      <w:r w:rsidRPr="006322CF">
        <w:rPr>
          <w:rFonts w:cs="Arial"/>
          <w:rtl/>
        </w:rPr>
        <w:t>.</w:t>
      </w:r>
    </w:p>
  </w:footnote>
  <w:footnote w:id="714">
    <w:p w14:paraId="1BC0A554" w14:textId="77777777" w:rsidR="0013116F" w:rsidRDefault="0013116F">
      <w:pPr>
        <w:pStyle w:val="a9"/>
      </w:pPr>
      <w:r>
        <w:rPr>
          <w:rStyle w:val="ab"/>
        </w:rPr>
        <w:footnoteRef/>
      </w:r>
      <w:r>
        <w:rPr>
          <w:rtl/>
        </w:rPr>
        <w:t xml:space="preserve"> </w:t>
      </w:r>
      <w:r w:rsidRPr="008059DB">
        <w:rPr>
          <w:rFonts w:cs="Arial"/>
          <w:rtl/>
        </w:rPr>
        <w:t>מדת סדום כדתנן (אבות פ"ה מ"י) האומר שלי שלי שלך שלך זו מדה בינונית ויש אומרים זו מדת סדום לימא ת"ק סבר שניהם נותנין שכר ונותנין שטר אחד בין שניהם ואם יאמר אחד מהם לא אתן השכר כי אני חפץ שיהא לי שטר אחד לבדי ולך שטר אחר ויהיה שלי שלי ושלך שלך כופין אותו ועושין אחד כי מה שאמר מדת סדום היא ור"ש [ב"ג] סבר אין כופין</w:t>
      </w:r>
      <w:r>
        <w:rPr>
          <w:rFonts w:cs="Arial" w:hint="cs"/>
          <w:rtl/>
        </w:rPr>
        <w:t>, רשב"ם</w:t>
      </w:r>
      <w:r w:rsidRPr="008059DB">
        <w:rPr>
          <w:rFonts w:cs="Arial"/>
          <w:rtl/>
        </w:rPr>
        <w:t>.</w:t>
      </w:r>
    </w:p>
  </w:footnote>
  <w:footnote w:id="715">
    <w:p w14:paraId="48934050" w14:textId="77777777" w:rsidR="0013116F" w:rsidRDefault="0013116F">
      <w:pPr>
        <w:pStyle w:val="a9"/>
      </w:pPr>
      <w:r>
        <w:rPr>
          <w:rStyle w:val="ab"/>
        </w:rPr>
        <w:footnoteRef/>
      </w:r>
      <w:r>
        <w:rPr>
          <w:rtl/>
        </w:rPr>
        <w:t xml:space="preserve"> </w:t>
      </w:r>
      <w:r w:rsidRPr="008059DB">
        <w:rPr>
          <w:rFonts w:cs="Arial"/>
          <w:rtl/>
        </w:rPr>
        <w:t>וטעמא דר"ש משום דקסבר אין זו מדת סדום שהרי חסר הוא הרבה בדבר אם יכתבו שטר אחד לשניהם דאמר לא ניחא לי דתיהוי זכותי בשטר אחד אצל זכותך</w:t>
      </w:r>
      <w:r>
        <w:rPr>
          <w:rFonts w:cs="Arial" w:hint="cs"/>
          <w:rtl/>
        </w:rPr>
        <w:t>, רשב"ם</w:t>
      </w:r>
      <w:r w:rsidRPr="008059DB">
        <w:rPr>
          <w:rFonts w:cs="Arial"/>
          <w:rtl/>
        </w:rPr>
        <w:t>.</w:t>
      </w:r>
    </w:p>
  </w:footnote>
  <w:footnote w:id="716">
    <w:p w14:paraId="54170AC3" w14:textId="77777777" w:rsidR="0013116F" w:rsidRDefault="0013116F">
      <w:pPr>
        <w:pStyle w:val="a9"/>
      </w:pPr>
      <w:r>
        <w:rPr>
          <w:rStyle w:val="ab"/>
        </w:rPr>
        <w:footnoteRef/>
      </w:r>
      <w:r>
        <w:rPr>
          <w:rtl/>
        </w:rPr>
        <w:t xml:space="preserve"> </w:t>
      </w:r>
      <w:r w:rsidRPr="008059DB">
        <w:rPr>
          <w:rFonts w:cs="Arial"/>
          <w:rtl/>
        </w:rPr>
        <w:t>כל שעה שתראה הכתב תבא עלי בעלילות טענותיך הכתובים בו ושם תראה טענותיי נבא לידי מריבה כי איש מריבות אתה</w:t>
      </w:r>
      <w:r>
        <w:rPr>
          <w:rFonts w:cs="Arial" w:hint="cs"/>
          <w:rtl/>
        </w:rPr>
        <w:t>, רשב"ם</w:t>
      </w:r>
      <w:r w:rsidRPr="008059DB">
        <w:rPr>
          <w:rFonts w:cs="Arial"/>
          <w:rtl/>
        </w:rPr>
        <w:t>.</w:t>
      </w:r>
    </w:p>
  </w:footnote>
  <w:footnote w:id="717">
    <w:p w14:paraId="1304C28B" w14:textId="77777777" w:rsidR="0013116F" w:rsidRDefault="0013116F" w:rsidP="007D57D6">
      <w:pPr>
        <w:pStyle w:val="a9"/>
      </w:pPr>
      <w:r>
        <w:rPr>
          <w:rStyle w:val="ab"/>
        </w:rPr>
        <w:footnoteRef/>
      </w:r>
      <w:r>
        <w:rPr>
          <w:rtl/>
        </w:rPr>
        <w:t xml:space="preserve"> </w:t>
      </w:r>
      <w:r w:rsidRPr="00BB3A4C">
        <w:rPr>
          <w:rFonts w:cs="Arial" w:hint="cs"/>
          <w:b/>
          <w:bCs/>
          <w:rtl/>
        </w:rPr>
        <w:t xml:space="preserve">מכות </w:t>
      </w:r>
      <w:r w:rsidRPr="00BB3A4C">
        <w:rPr>
          <w:rFonts w:cs="Arial" w:hint="cs"/>
          <w:b/>
          <w:bCs/>
          <w:sz w:val="14"/>
          <w:szCs w:val="14"/>
          <w:rtl/>
        </w:rPr>
        <w:t xml:space="preserve">(פ"ק) </w:t>
      </w:r>
      <w:r w:rsidRPr="00BB3A4C">
        <w:rPr>
          <w:rFonts w:cs="Arial" w:hint="cs"/>
          <w:b/>
          <w:bCs/>
          <w:rtl/>
        </w:rPr>
        <w:t xml:space="preserve">ו ע"ב: </w:t>
      </w:r>
      <w:r w:rsidRPr="00BB3A4C">
        <w:rPr>
          <w:rFonts w:cs="Arial"/>
          <w:rtl/>
        </w:rPr>
        <w:t>דבר אחר: ע"פ שנים עדים, שלא תהא סנהדרין שומעת מפי התורגמן. הנהו לעוזי דאתו לקמיה דרבא, אוקי רבא תורגמן בינייהו. והיכי עביד הכי? והתנן: שלא תהא סנהדרין שומעת מפי התורגמן! רבא מידע הוה ידע מה דהוו אמרי, ואהדורי הוא דלא הוה ידע.</w:t>
      </w:r>
    </w:p>
  </w:footnote>
  <w:footnote w:id="718">
    <w:p w14:paraId="38A810F5" w14:textId="77777777" w:rsidR="0013116F" w:rsidRDefault="0013116F">
      <w:pPr>
        <w:pStyle w:val="a9"/>
        <w:rPr>
          <w:rtl/>
        </w:rPr>
      </w:pPr>
      <w:r>
        <w:rPr>
          <w:rStyle w:val="ab"/>
        </w:rPr>
        <w:footnoteRef/>
      </w:r>
      <w:r>
        <w:rPr>
          <w:rtl/>
        </w:rPr>
        <w:t xml:space="preserve"> </w:t>
      </w:r>
      <w:r w:rsidRPr="00676AA8">
        <w:rPr>
          <w:rFonts w:cs="Arial"/>
          <w:rtl/>
        </w:rPr>
        <w:t>היינו כשלא טענו עדיין בע"פ</w:t>
      </w:r>
      <w:r>
        <w:rPr>
          <w:rFonts w:hint="cs"/>
          <w:rtl/>
        </w:rPr>
        <w:t>, סמ"ע (סקי"ב).</w:t>
      </w:r>
    </w:p>
  </w:footnote>
  <w:footnote w:id="719">
    <w:p w14:paraId="229F6544" w14:textId="77777777" w:rsidR="0013116F" w:rsidRDefault="0013116F">
      <w:pPr>
        <w:pStyle w:val="a9"/>
        <w:rPr>
          <w:rtl/>
        </w:rPr>
      </w:pPr>
      <w:r>
        <w:rPr>
          <w:rStyle w:val="ab"/>
        </w:rPr>
        <w:footnoteRef/>
      </w:r>
      <w:r>
        <w:rPr>
          <w:rtl/>
        </w:rPr>
        <w:t xml:space="preserve"> </w:t>
      </w:r>
      <w:r w:rsidRPr="00676AA8">
        <w:rPr>
          <w:rFonts w:cs="Arial"/>
          <w:rtl/>
        </w:rPr>
        <w:t>פירוש, הדיינים עצמן יצוו לסופריהם שיכתבו, ויראו שלא ישנו כתיבתן מטענותיהן, ודוקא מדעת הבע"ד יכתבו וכדמסיק</w:t>
      </w:r>
      <w:r>
        <w:rPr>
          <w:rFonts w:cs="Arial" w:hint="cs"/>
          <w:rtl/>
        </w:rPr>
        <w:t>, סמ"ע (סקי"ג).</w:t>
      </w:r>
    </w:p>
  </w:footnote>
  <w:footnote w:id="720">
    <w:p w14:paraId="57FCA882" w14:textId="77777777" w:rsidR="0013116F" w:rsidRDefault="0013116F">
      <w:pPr>
        <w:pStyle w:val="a9"/>
        <w:rPr>
          <w:rtl/>
        </w:rPr>
      </w:pPr>
      <w:r>
        <w:rPr>
          <w:rStyle w:val="ab"/>
        </w:rPr>
        <w:footnoteRef/>
      </w:r>
      <w:r>
        <w:rPr>
          <w:rtl/>
        </w:rPr>
        <w:t xml:space="preserve"> </w:t>
      </w:r>
      <w:r w:rsidRPr="00676AA8">
        <w:rPr>
          <w:rFonts w:cs="Arial"/>
          <w:rtl/>
        </w:rPr>
        <w:t>דכיון דנתרצו ואין חוששין לנפשם שהאחד יסדר טענתו מפי הסופר ויבדה מלבו כנ"ל, שוב אין לב"ד לחשוש שהרי מחלו זה לזה</w:t>
      </w:r>
      <w:r>
        <w:rPr>
          <w:rFonts w:hint="cs"/>
          <w:rtl/>
        </w:rPr>
        <w:t>, סמ"ע (סקט"ו).</w:t>
      </w:r>
    </w:p>
  </w:footnote>
  <w:footnote w:id="721">
    <w:p w14:paraId="12D97605" w14:textId="77777777" w:rsidR="0013116F" w:rsidRDefault="0013116F">
      <w:pPr>
        <w:pStyle w:val="a9"/>
        <w:rPr>
          <w:rtl/>
        </w:rPr>
      </w:pPr>
      <w:r>
        <w:rPr>
          <w:rStyle w:val="ab"/>
        </w:rPr>
        <w:footnoteRef/>
      </w:r>
      <w:r>
        <w:rPr>
          <w:rtl/>
        </w:rPr>
        <w:t xml:space="preserve"> </w:t>
      </w:r>
      <w:r w:rsidRPr="00676AA8">
        <w:rPr>
          <w:rFonts w:cs="Arial"/>
          <w:rtl/>
        </w:rPr>
        <w:t>וכתב הנ</w:t>
      </w:r>
      <w:r>
        <w:rPr>
          <w:rFonts w:cs="Arial" w:hint="cs"/>
          <w:rtl/>
        </w:rPr>
        <w:t>מוק</w:t>
      </w:r>
      <w:r w:rsidRPr="00676AA8">
        <w:rPr>
          <w:rFonts w:cs="Arial"/>
          <w:rtl/>
        </w:rPr>
        <w:t xml:space="preserve">"י </w:t>
      </w:r>
      <w:r>
        <w:rPr>
          <w:rFonts w:cs="Arial" w:hint="cs"/>
          <w:rtl/>
        </w:rPr>
        <w:t>(</w:t>
      </w:r>
      <w:r w:rsidRPr="00676AA8">
        <w:rPr>
          <w:rFonts w:cs="Arial"/>
          <w:rtl/>
        </w:rPr>
        <w:t>שם</w:t>
      </w:r>
      <w:r>
        <w:rPr>
          <w:rFonts w:cs="Arial" w:hint="cs"/>
          <w:rtl/>
        </w:rPr>
        <w:t>)</w:t>
      </w:r>
      <w:r w:rsidRPr="00676AA8">
        <w:rPr>
          <w:rFonts w:cs="Arial"/>
          <w:rtl/>
        </w:rPr>
        <w:t xml:space="preserve"> דאפילו נותן אמתלאות לדבריו לא מהימן ע"ש, והביאו מור"ם בד"מ סימן י"ז [סעיף ט']</w:t>
      </w:r>
      <w:r>
        <w:rPr>
          <w:rFonts w:hint="cs"/>
          <w:rtl/>
        </w:rPr>
        <w:t>, סמ"ע (סקט"ז).</w:t>
      </w:r>
    </w:p>
  </w:footnote>
  <w:footnote w:id="722">
    <w:p w14:paraId="3B915BC8" w14:textId="77777777" w:rsidR="0013116F" w:rsidRDefault="0013116F">
      <w:pPr>
        <w:pStyle w:val="a9"/>
      </w:pPr>
      <w:r>
        <w:rPr>
          <w:rStyle w:val="ab"/>
        </w:rPr>
        <w:footnoteRef/>
      </w:r>
      <w:r>
        <w:rPr>
          <w:rtl/>
        </w:rPr>
        <w:t xml:space="preserve"> </w:t>
      </w:r>
      <w:r w:rsidRPr="00EC6236">
        <w:rPr>
          <w:rFonts w:asciiTheme="minorBidi" w:hAnsiTheme="minorBidi"/>
          <w:rtl/>
        </w:rPr>
        <w:t>עיין לקמן סוף סימן פ'</w:t>
      </w:r>
      <w:r w:rsidRPr="00EC6236">
        <w:rPr>
          <w:rFonts w:asciiTheme="minorBidi" w:hAnsiTheme="minorBidi" w:hint="cs"/>
          <w:rtl/>
        </w:rPr>
        <w:t xml:space="preserve"> (תוספת באה"ג).</w:t>
      </w:r>
    </w:p>
  </w:footnote>
  <w:footnote w:id="723">
    <w:p w14:paraId="527AE9D0" w14:textId="77777777" w:rsidR="0013116F" w:rsidRDefault="0013116F" w:rsidP="002F1065">
      <w:pPr>
        <w:pStyle w:val="a9"/>
        <w:rPr>
          <w:rtl/>
        </w:rPr>
      </w:pPr>
      <w:r>
        <w:rPr>
          <w:rStyle w:val="ab"/>
        </w:rPr>
        <w:footnoteRef/>
      </w:r>
      <w:r>
        <w:rPr>
          <w:rtl/>
        </w:rPr>
        <w:t xml:space="preserve"> </w:t>
      </w:r>
      <w:r w:rsidRPr="002F1065">
        <w:rPr>
          <w:rFonts w:cs="Arial"/>
          <w:rtl/>
        </w:rPr>
        <w:t>סיפא גבי עדים בבא הוא ואחר לפוסלן, דהוו להו תרי דמסהדי אפסולה ומהימני, ודיינין בערכאות שבסוריא כדאוקימנא, ולא פסול ממש קאמר אלא בעינא בי דינא מעליא</w:t>
      </w:r>
      <w:r>
        <w:rPr>
          <w:rFonts w:cs="Arial" w:hint="cs"/>
          <w:rtl/>
        </w:rPr>
        <w:t>, רש"י</w:t>
      </w:r>
      <w:r>
        <w:rPr>
          <w:rFonts w:hint="cs"/>
          <w:rtl/>
        </w:rPr>
        <w:t>.</w:t>
      </w:r>
    </w:p>
  </w:footnote>
  <w:footnote w:id="724">
    <w:p w14:paraId="5068A874" w14:textId="77777777" w:rsidR="0013116F" w:rsidRDefault="0013116F" w:rsidP="002F1065">
      <w:pPr>
        <w:pStyle w:val="a9"/>
        <w:rPr>
          <w:rtl/>
        </w:rPr>
      </w:pPr>
      <w:r>
        <w:rPr>
          <w:rStyle w:val="ab"/>
        </w:rPr>
        <w:footnoteRef/>
      </w:r>
      <w:r>
        <w:rPr>
          <w:rtl/>
        </w:rPr>
        <w:t xml:space="preserve"> </w:t>
      </w:r>
      <w:r w:rsidRPr="002F1065">
        <w:rPr>
          <w:rFonts w:cs="Arial"/>
          <w:rtl/>
        </w:rPr>
        <w:t>האי בעל דין, דמשום דלא ליסהוד עליה קאתי למיפסליה</w:t>
      </w:r>
      <w:r>
        <w:rPr>
          <w:rFonts w:cs="Arial" w:hint="cs"/>
          <w:rtl/>
        </w:rPr>
        <w:t>, רש"י</w:t>
      </w:r>
      <w:r w:rsidRPr="002F1065">
        <w:rPr>
          <w:rFonts w:cs="Arial"/>
          <w:rtl/>
        </w:rPr>
        <w:t>.</w:t>
      </w:r>
    </w:p>
  </w:footnote>
  <w:footnote w:id="725">
    <w:p w14:paraId="5A134673" w14:textId="77777777" w:rsidR="0013116F" w:rsidRDefault="0013116F" w:rsidP="002F1065">
      <w:pPr>
        <w:pStyle w:val="a9"/>
        <w:rPr>
          <w:rtl/>
        </w:rPr>
      </w:pPr>
      <w:r>
        <w:rPr>
          <w:rStyle w:val="ab"/>
        </w:rPr>
        <w:footnoteRef/>
      </w:r>
      <w:r>
        <w:rPr>
          <w:rtl/>
        </w:rPr>
        <w:t xml:space="preserve"> </w:t>
      </w:r>
      <w:r w:rsidRPr="002F1065">
        <w:rPr>
          <w:rFonts w:cs="Arial"/>
          <w:rtl/>
        </w:rPr>
        <w:t>בעל דין אומר לפנינו על מה הוא פוסלו, ויש אחר עמו</w:t>
      </w:r>
      <w:r>
        <w:rPr>
          <w:rFonts w:cs="Arial" w:hint="cs"/>
          <w:rtl/>
        </w:rPr>
        <w:t>, רש"י</w:t>
      </w:r>
      <w:r w:rsidRPr="002F1065">
        <w:rPr>
          <w:rFonts w:cs="Arial"/>
          <w:rtl/>
        </w:rPr>
        <w:t>.</w:t>
      </w:r>
      <w:r>
        <w:rPr>
          <w:rFonts w:cs="Arial" w:hint="cs"/>
          <w:rtl/>
        </w:rPr>
        <w:t xml:space="preserve"> (ערער - </w:t>
      </w:r>
      <w:r w:rsidRPr="002F1065">
        <w:rPr>
          <w:rFonts w:cs="Arial"/>
          <w:rtl/>
        </w:rPr>
        <w:t>שמץ של פסול</w:t>
      </w:r>
      <w:r>
        <w:rPr>
          <w:rFonts w:cs="Arial" w:hint="cs"/>
          <w:rtl/>
        </w:rPr>
        <w:t>)</w:t>
      </w:r>
    </w:p>
  </w:footnote>
  <w:footnote w:id="726">
    <w:p w14:paraId="3082A197" w14:textId="77777777" w:rsidR="0013116F" w:rsidRDefault="0013116F" w:rsidP="002F1065">
      <w:pPr>
        <w:pStyle w:val="a9"/>
        <w:rPr>
          <w:rtl/>
        </w:rPr>
      </w:pPr>
      <w:r>
        <w:rPr>
          <w:rStyle w:val="ab"/>
        </w:rPr>
        <w:footnoteRef/>
      </w:r>
      <w:r>
        <w:rPr>
          <w:rtl/>
        </w:rPr>
        <w:t xml:space="preserve"> </w:t>
      </w:r>
      <w:r w:rsidRPr="002F1065">
        <w:rPr>
          <w:rFonts w:cs="Arial"/>
          <w:rtl/>
        </w:rPr>
        <w:t>מעיד עליו הוא ואחר שגזלן הוא</w:t>
      </w:r>
      <w:r>
        <w:rPr>
          <w:rFonts w:cs="Arial" w:hint="cs"/>
          <w:rtl/>
        </w:rPr>
        <w:t>, רש"י</w:t>
      </w:r>
      <w:r w:rsidRPr="002F1065">
        <w:rPr>
          <w:rFonts w:cs="Arial"/>
          <w:rtl/>
        </w:rPr>
        <w:t>.</w:t>
      </w:r>
    </w:p>
  </w:footnote>
  <w:footnote w:id="727">
    <w:p w14:paraId="1E7DE258" w14:textId="77777777" w:rsidR="0013116F" w:rsidRDefault="0013116F" w:rsidP="002F1065">
      <w:pPr>
        <w:pStyle w:val="a9"/>
        <w:rPr>
          <w:rtl/>
        </w:rPr>
      </w:pPr>
      <w:r>
        <w:rPr>
          <w:rStyle w:val="ab"/>
        </w:rPr>
        <w:footnoteRef/>
      </w:r>
      <w:r>
        <w:rPr>
          <w:rtl/>
        </w:rPr>
        <w:t xml:space="preserve"> </w:t>
      </w:r>
      <w:r w:rsidRPr="002F1065">
        <w:rPr>
          <w:rFonts w:cs="Arial"/>
          <w:rtl/>
        </w:rPr>
        <w:t>משום דלא נסהיד עליה קאמר</w:t>
      </w:r>
      <w:r>
        <w:rPr>
          <w:rFonts w:cs="Arial" w:hint="cs"/>
          <w:rtl/>
        </w:rPr>
        <w:t>, רש"י</w:t>
      </w:r>
      <w:r w:rsidRPr="002F1065">
        <w:rPr>
          <w:rFonts w:cs="Arial"/>
          <w:rtl/>
        </w:rPr>
        <w:t>.</w:t>
      </w:r>
    </w:p>
  </w:footnote>
  <w:footnote w:id="728">
    <w:p w14:paraId="5E60FE31" w14:textId="77777777" w:rsidR="0013116F" w:rsidRDefault="0013116F" w:rsidP="002F1065">
      <w:pPr>
        <w:pStyle w:val="a9"/>
        <w:rPr>
          <w:rtl/>
        </w:rPr>
      </w:pPr>
      <w:r>
        <w:rPr>
          <w:rStyle w:val="ab"/>
        </w:rPr>
        <w:footnoteRef/>
      </w:r>
      <w:r>
        <w:rPr>
          <w:rtl/>
        </w:rPr>
        <w:t xml:space="preserve"> </w:t>
      </w:r>
      <w:r w:rsidRPr="002F1065">
        <w:rPr>
          <w:rFonts w:cs="Arial"/>
          <w:rtl/>
        </w:rPr>
        <w:t>עבד הוא, ממשפחת עבד שלא נשתחרר בא ופסול הוא ומשפחתו</w:t>
      </w:r>
      <w:r>
        <w:rPr>
          <w:rFonts w:cs="Arial" w:hint="cs"/>
          <w:rtl/>
        </w:rPr>
        <w:t>, רש"י</w:t>
      </w:r>
      <w:r w:rsidRPr="002F1065">
        <w:rPr>
          <w:rFonts w:cs="Arial"/>
          <w:rtl/>
        </w:rPr>
        <w:t>.</w:t>
      </w:r>
    </w:p>
  </w:footnote>
  <w:footnote w:id="729">
    <w:p w14:paraId="4A048ECB" w14:textId="77777777" w:rsidR="0013116F" w:rsidRDefault="0013116F" w:rsidP="002F1065">
      <w:pPr>
        <w:pStyle w:val="a9"/>
        <w:rPr>
          <w:rtl/>
        </w:rPr>
      </w:pPr>
      <w:r>
        <w:rPr>
          <w:rStyle w:val="ab"/>
        </w:rPr>
        <w:footnoteRef/>
      </w:r>
      <w:r>
        <w:rPr>
          <w:rtl/>
        </w:rPr>
        <w:t xml:space="preserve"> </w:t>
      </w:r>
      <w:r w:rsidRPr="002F1065">
        <w:rPr>
          <w:rFonts w:cs="Arial"/>
          <w:rtl/>
        </w:rPr>
        <w:t>ולאו משום האי לחודיה מסהדי, הלכך סהדותא אחרינא הוא, ולאו כנוגע בעדות דמי</w:t>
      </w:r>
      <w:r>
        <w:rPr>
          <w:rFonts w:cs="Arial" w:hint="cs"/>
          <w:rtl/>
        </w:rPr>
        <w:t>, רש"י</w:t>
      </w:r>
      <w:r w:rsidRPr="002F1065">
        <w:rPr>
          <w:rFonts w:cs="Arial"/>
          <w:rtl/>
        </w:rPr>
        <w:t>.</w:t>
      </w:r>
    </w:p>
  </w:footnote>
  <w:footnote w:id="730">
    <w:p w14:paraId="2BE6D84A" w14:textId="77777777" w:rsidR="0013116F" w:rsidRDefault="0013116F">
      <w:pPr>
        <w:pStyle w:val="a9"/>
      </w:pPr>
      <w:r>
        <w:rPr>
          <w:rStyle w:val="ab"/>
        </w:rPr>
        <w:footnoteRef/>
      </w:r>
      <w:r>
        <w:rPr>
          <w:rtl/>
        </w:rPr>
        <w:t xml:space="preserve"> </w:t>
      </w:r>
      <w:r w:rsidRPr="00305A63">
        <w:rPr>
          <w:rFonts w:cs="Arial"/>
          <w:rtl/>
        </w:rPr>
        <w:t>פירוש, כגון שאומר שבאו מעבדים או מגרים שפסולים לדון וכמ"ש בריש סימן ז', קמ"ל דאע"ג דאינו קורא עליו פסול בפני עצמו אלא שהוא ממילא נפסל בכלל המשפחה, אפ"ה אינו נאמן דמחשב נוגע בדבר</w:t>
      </w:r>
      <w:r>
        <w:rPr>
          <w:rFonts w:cs="Arial" w:hint="cs"/>
          <w:rtl/>
        </w:rPr>
        <w:t>, סמ"ע (סקי"ז).</w:t>
      </w:r>
    </w:p>
  </w:footnote>
  <w:footnote w:id="731">
    <w:p w14:paraId="520460DB" w14:textId="77777777" w:rsidR="0013116F" w:rsidRDefault="0013116F">
      <w:pPr>
        <w:pStyle w:val="a9"/>
      </w:pPr>
      <w:r>
        <w:rPr>
          <w:rStyle w:val="ab"/>
        </w:rPr>
        <w:footnoteRef/>
      </w:r>
      <w:r>
        <w:rPr>
          <w:rtl/>
        </w:rPr>
        <w:t xml:space="preserve"> </w:t>
      </w:r>
      <w:r>
        <w:rPr>
          <w:rFonts w:hint="cs"/>
          <w:rtl/>
        </w:rPr>
        <w:t xml:space="preserve">סימן </w:t>
      </w:r>
      <w:r>
        <w:rPr>
          <w:rtl/>
        </w:rPr>
        <w:t>–</w:t>
      </w:r>
      <w:r>
        <w:rPr>
          <w:rFonts w:hint="cs"/>
          <w:rtl/>
        </w:rPr>
        <w:t xml:space="preserve"> </w:t>
      </w:r>
      <w:r>
        <w:rPr>
          <w:rFonts w:hint="cs"/>
          <w:sz w:val="16"/>
          <w:szCs w:val="16"/>
          <w:rtl/>
        </w:rPr>
        <w:t xml:space="preserve">(זה אומר) </w:t>
      </w:r>
      <w:r w:rsidRPr="00242A7C">
        <w:rPr>
          <w:rFonts w:hint="cs"/>
          <w:b/>
          <w:bCs/>
          <w:rtl/>
        </w:rPr>
        <w:t>ל</w:t>
      </w:r>
      <w:r>
        <w:rPr>
          <w:rFonts w:hint="cs"/>
          <w:rtl/>
        </w:rPr>
        <w:t xml:space="preserve">כאן </w:t>
      </w:r>
      <w:r w:rsidRPr="00242A7C">
        <w:rPr>
          <w:rFonts w:hint="cs"/>
          <w:b/>
          <w:bCs/>
          <w:rtl/>
        </w:rPr>
        <w:t>א</w:t>
      </w:r>
      <w:r>
        <w:rPr>
          <w:rFonts w:hint="cs"/>
          <w:rtl/>
        </w:rPr>
        <w:t xml:space="preserve">לך, </w:t>
      </w:r>
      <w:r>
        <w:rPr>
          <w:rFonts w:hint="cs"/>
          <w:sz w:val="16"/>
          <w:szCs w:val="16"/>
          <w:rtl/>
        </w:rPr>
        <w:t>(וזה אומר)</w:t>
      </w:r>
      <w:r>
        <w:rPr>
          <w:rFonts w:hint="cs"/>
          <w:rtl/>
        </w:rPr>
        <w:t xml:space="preserve"> </w:t>
      </w:r>
      <w:r w:rsidRPr="00242A7C">
        <w:rPr>
          <w:rFonts w:hint="cs"/>
          <w:b/>
          <w:bCs/>
          <w:rtl/>
        </w:rPr>
        <w:t>ל</w:t>
      </w:r>
      <w:r>
        <w:rPr>
          <w:rFonts w:hint="cs"/>
          <w:rtl/>
        </w:rPr>
        <w:t xml:space="preserve">כאן </w:t>
      </w:r>
      <w:r w:rsidRPr="00242A7C">
        <w:rPr>
          <w:rFonts w:hint="cs"/>
          <w:b/>
          <w:bCs/>
          <w:rtl/>
        </w:rPr>
        <w:t>א</w:t>
      </w:r>
      <w:r>
        <w:rPr>
          <w:rFonts w:hint="cs"/>
          <w:rtl/>
        </w:rPr>
        <w:t>לך.</w:t>
      </w:r>
    </w:p>
  </w:footnote>
  <w:footnote w:id="732">
    <w:p w14:paraId="0D048076" w14:textId="77777777" w:rsidR="0013116F" w:rsidRDefault="0013116F" w:rsidP="000C36E8">
      <w:pPr>
        <w:pStyle w:val="a9"/>
        <w:rPr>
          <w:rtl/>
        </w:rPr>
      </w:pPr>
      <w:r>
        <w:rPr>
          <w:rStyle w:val="ab"/>
        </w:rPr>
        <w:footnoteRef/>
      </w:r>
      <w:r>
        <w:rPr>
          <w:rtl/>
        </w:rPr>
        <w:t xml:space="preserve"> </w:t>
      </w:r>
      <w:r>
        <w:rPr>
          <w:rFonts w:cs="Arial" w:hint="cs"/>
          <w:rtl/>
        </w:rPr>
        <w:t>ו</w:t>
      </w:r>
      <w:r w:rsidRPr="000C36E8">
        <w:rPr>
          <w:rFonts w:cs="Arial"/>
          <w:rtl/>
        </w:rPr>
        <w:t>ה"ה לב"ד אחר גדול</w:t>
      </w:r>
      <w:r>
        <w:rPr>
          <w:rFonts w:cs="Arial" w:hint="cs"/>
          <w:rtl/>
        </w:rPr>
        <w:t>,</w:t>
      </w:r>
      <w:r w:rsidRPr="000C36E8">
        <w:rPr>
          <w:rFonts w:cs="Arial"/>
          <w:rtl/>
        </w:rPr>
        <w:t xml:space="preserve"> נמוק</w:t>
      </w:r>
      <w:r w:rsidRPr="000C36E8">
        <w:rPr>
          <w:rFonts w:cs="Arial" w:hint="cs"/>
          <w:rtl/>
        </w:rPr>
        <w:t>"</w:t>
      </w:r>
      <w:r w:rsidRPr="000C36E8">
        <w:rPr>
          <w:rFonts w:cs="Arial"/>
          <w:rtl/>
        </w:rPr>
        <w:t xml:space="preserve">י </w:t>
      </w:r>
      <w:r w:rsidRPr="000C36E8">
        <w:rPr>
          <w:rFonts w:cs="Arial" w:hint="cs"/>
          <w:sz w:val="16"/>
          <w:szCs w:val="16"/>
          <w:rtl/>
        </w:rPr>
        <w:t>(</w:t>
      </w:r>
      <w:r w:rsidRPr="000C36E8">
        <w:rPr>
          <w:rFonts w:cs="Arial"/>
          <w:sz w:val="16"/>
          <w:szCs w:val="16"/>
          <w:rtl/>
        </w:rPr>
        <w:t>ס</w:t>
      </w:r>
      <w:r w:rsidRPr="000C36E8">
        <w:rPr>
          <w:rFonts w:cs="Arial" w:hint="cs"/>
          <w:sz w:val="16"/>
          <w:szCs w:val="16"/>
          <w:rtl/>
        </w:rPr>
        <w:t>"</w:t>
      </w:r>
      <w:r w:rsidRPr="000C36E8">
        <w:rPr>
          <w:rFonts w:cs="Arial"/>
          <w:sz w:val="16"/>
          <w:szCs w:val="16"/>
          <w:rtl/>
        </w:rPr>
        <w:t>פ זה בורר סנהדרין י</w:t>
      </w:r>
      <w:r w:rsidRPr="000C36E8">
        <w:rPr>
          <w:rFonts w:cs="Arial" w:hint="cs"/>
          <w:sz w:val="16"/>
          <w:szCs w:val="16"/>
          <w:rtl/>
        </w:rPr>
        <w:t>.)</w:t>
      </w:r>
      <w:r>
        <w:rPr>
          <w:rFonts w:cs="Arial" w:hint="cs"/>
          <w:rtl/>
        </w:rPr>
        <w:t xml:space="preserve">. </w:t>
      </w:r>
      <w:r>
        <w:rPr>
          <w:rFonts w:cs="Arial" w:hint="cs"/>
          <w:color w:val="E36C0A" w:themeColor="accent6" w:themeShade="BF"/>
          <w:rtl/>
        </w:rPr>
        <w:t>(</w:t>
      </w:r>
      <w:r w:rsidRPr="000C36E8">
        <w:rPr>
          <w:rFonts w:cs="Arial" w:hint="cs"/>
          <w:color w:val="E36C0A" w:themeColor="accent6" w:themeShade="BF"/>
          <w:rtl/>
        </w:rPr>
        <w:t>וכ"פ בשו"ע</w:t>
      </w:r>
      <w:r>
        <w:rPr>
          <w:rFonts w:cs="Arial" w:hint="cs"/>
          <w:color w:val="E36C0A" w:themeColor="accent6" w:themeShade="BF"/>
          <w:rtl/>
        </w:rPr>
        <w:t>)</w:t>
      </w:r>
    </w:p>
  </w:footnote>
  <w:footnote w:id="733">
    <w:p w14:paraId="00C0EC9D" w14:textId="77777777" w:rsidR="0013116F" w:rsidRDefault="0013116F" w:rsidP="00871BFC">
      <w:pPr>
        <w:pStyle w:val="a9"/>
      </w:pPr>
      <w:r>
        <w:rPr>
          <w:rStyle w:val="ab"/>
        </w:rPr>
        <w:footnoteRef/>
      </w:r>
      <w:r>
        <w:rPr>
          <w:rtl/>
        </w:rPr>
        <w:t xml:space="preserve"> </w:t>
      </w:r>
      <w:r w:rsidRPr="00D016BB">
        <w:rPr>
          <w:rFonts w:cs="Arial"/>
          <w:rtl/>
        </w:rPr>
        <w:t>והא דכתב לקמן ס"ס י"ח [סע</w:t>
      </w:r>
      <w:r>
        <w:rPr>
          <w:rFonts w:cs="Arial" w:hint="cs"/>
          <w:rtl/>
        </w:rPr>
        <w:t>'</w:t>
      </w:r>
      <w:r w:rsidRPr="00D016BB">
        <w:rPr>
          <w:rFonts w:cs="Arial"/>
          <w:rtl/>
        </w:rPr>
        <w:t xml:space="preserve"> ו] פוסקין בדיני ממונות שלא בפני בע"ד, מיירי שכבר טענו לפניהם וכמ"ש הסמ"ע שם [סקי"ג], וא"כ כבר עמדו לפני דיינים אלו שפוסקין הדין</w:t>
      </w:r>
      <w:r>
        <w:rPr>
          <w:rFonts w:cs="Arial" w:hint="cs"/>
          <w:rtl/>
        </w:rPr>
        <w:t>, ש"ך (סק"ח)</w:t>
      </w:r>
      <w:r w:rsidRPr="00D016BB">
        <w:rPr>
          <w:rFonts w:cs="Arial"/>
          <w:rtl/>
        </w:rPr>
        <w:t>.</w:t>
      </w:r>
    </w:p>
  </w:footnote>
  <w:footnote w:id="734">
    <w:p w14:paraId="0441E9ED" w14:textId="77777777" w:rsidR="0013116F" w:rsidRDefault="0013116F">
      <w:pPr>
        <w:pStyle w:val="a9"/>
      </w:pPr>
      <w:r>
        <w:rPr>
          <w:rStyle w:val="ab"/>
        </w:rPr>
        <w:footnoteRef/>
      </w:r>
      <w:r>
        <w:rPr>
          <w:rtl/>
        </w:rPr>
        <w:t xml:space="preserve"> </w:t>
      </w:r>
      <w:r w:rsidRPr="000C438F">
        <w:rPr>
          <w:rFonts w:cs="Arial"/>
          <w:rtl/>
        </w:rPr>
        <w:t>ולמדו אותו מדין הנ"ל בריש סימן זה דהמבוררין בוררין להם השלישי הטוב בעיניהם וא"צ לדעת הבע"ד, ע"ש</w:t>
      </w:r>
      <w:r>
        <w:rPr>
          <w:rFonts w:cs="Arial" w:hint="cs"/>
          <w:rtl/>
        </w:rPr>
        <w:t>, סמ"ע (סקי"ט).</w:t>
      </w:r>
      <w:r w:rsidRPr="00D016BB">
        <w:rPr>
          <w:rtl/>
        </w:rPr>
        <w:t xml:space="preserve"> </w:t>
      </w:r>
    </w:p>
  </w:footnote>
  <w:footnote w:id="735">
    <w:p w14:paraId="6FB7E6FD" w14:textId="77777777" w:rsidR="0013116F" w:rsidRDefault="0013116F">
      <w:pPr>
        <w:pStyle w:val="a9"/>
        <w:rPr>
          <w:rtl/>
        </w:rPr>
      </w:pPr>
      <w:r>
        <w:rPr>
          <w:rStyle w:val="ab"/>
        </w:rPr>
        <w:footnoteRef/>
      </w:r>
      <w:r>
        <w:rPr>
          <w:rtl/>
        </w:rPr>
        <w:t xml:space="preserve"> </w:t>
      </w:r>
      <w:r w:rsidRPr="00AE48C5">
        <w:rPr>
          <w:rFonts w:cs="Arial"/>
          <w:rtl/>
        </w:rPr>
        <w:t>ודוגמת זה כתבתי בסימן י"ח (ס"א ד"ה כתוב) בשם הגהות אשירי (סנהדרין פ"א סי' ו</w:t>
      </w:r>
      <w:r>
        <w:rPr>
          <w:rFonts w:cs="Arial" w:hint="cs"/>
          <w:rtl/>
        </w:rPr>
        <w:t>), ב"י.</w:t>
      </w:r>
    </w:p>
  </w:footnote>
  <w:footnote w:id="736">
    <w:p w14:paraId="7D255E97" w14:textId="77777777" w:rsidR="0013116F" w:rsidRDefault="0013116F">
      <w:pPr>
        <w:pStyle w:val="a9"/>
      </w:pPr>
      <w:r>
        <w:rPr>
          <w:rStyle w:val="ab"/>
        </w:rPr>
        <w:footnoteRef/>
      </w:r>
      <w:r>
        <w:rPr>
          <w:rtl/>
        </w:rPr>
        <w:t xml:space="preserve"> </w:t>
      </w:r>
      <w:r w:rsidRPr="005D5883">
        <w:rPr>
          <w:rFonts w:cs="Arial"/>
          <w:rtl/>
        </w:rPr>
        <w:t>דוקא כשכתבו כן מתחילה הולכין אחר הרוב, הא מסתמא אין הולכין אחר הרוב בפשרה, וכ"כ המחבר סימן י"ב סעיף י"ח, משא"כ בדין הולכין אחר הרוב אם לא כשאמר אחד מהם איני יודע, ועיין לקמן סי</w:t>
      </w:r>
      <w:r>
        <w:rPr>
          <w:rFonts w:cs="Arial" w:hint="cs"/>
          <w:rtl/>
        </w:rPr>
        <w:t>'</w:t>
      </w:r>
      <w:r w:rsidRPr="005D5883">
        <w:rPr>
          <w:rFonts w:cs="Arial"/>
          <w:rtl/>
        </w:rPr>
        <w:t xml:space="preserve"> י"ח סעיף א' מ"ש שם </w:t>
      </w:r>
      <w:r w:rsidRPr="007D36B9">
        <w:rPr>
          <w:rFonts w:cs="Arial"/>
          <w:sz w:val="16"/>
          <w:szCs w:val="16"/>
          <w:rtl/>
        </w:rPr>
        <w:t xml:space="preserve">[סק"ד] </w:t>
      </w:r>
      <w:r w:rsidRPr="005D5883">
        <w:rPr>
          <w:rFonts w:cs="Arial"/>
          <w:rtl/>
        </w:rPr>
        <w:t>אזה</w:t>
      </w:r>
      <w:r>
        <w:rPr>
          <w:rFonts w:cs="Arial" w:hint="cs"/>
          <w:rtl/>
        </w:rPr>
        <w:t>, סמ"ע</w:t>
      </w:r>
      <w:r w:rsidRPr="005D5883">
        <w:rPr>
          <w:rFonts w:cs="Arial" w:hint="cs"/>
          <w:sz w:val="16"/>
          <w:szCs w:val="16"/>
          <w:rtl/>
        </w:rPr>
        <w:t xml:space="preserve"> (סק"כ)</w:t>
      </w:r>
      <w:r>
        <w:rPr>
          <w:rFonts w:cs="Arial" w:hint="cs"/>
          <w:rtl/>
        </w:rPr>
        <w:t>.</w:t>
      </w:r>
    </w:p>
  </w:footnote>
  <w:footnote w:id="737">
    <w:p w14:paraId="1DAAD05A" w14:textId="77777777" w:rsidR="0013116F" w:rsidRDefault="0013116F">
      <w:pPr>
        <w:pStyle w:val="a9"/>
      </w:pPr>
      <w:r>
        <w:rPr>
          <w:rStyle w:val="ab"/>
        </w:rPr>
        <w:footnoteRef/>
      </w:r>
      <w:r>
        <w:rPr>
          <w:rtl/>
        </w:rPr>
        <w:t xml:space="preserve"> </w:t>
      </w:r>
      <w:r>
        <w:rPr>
          <w:rFonts w:hint="cs"/>
          <w:rtl/>
        </w:rPr>
        <w:t xml:space="preserve">סימן </w:t>
      </w:r>
      <w:r>
        <w:rPr>
          <w:rtl/>
        </w:rPr>
        <w:t>–</w:t>
      </w:r>
      <w:r>
        <w:rPr>
          <w:rFonts w:hint="cs"/>
          <w:rtl/>
        </w:rPr>
        <w:t xml:space="preserve"> ב"ד קודקד בישראל.</w:t>
      </w:r>
    </w:p>
  </w:footnote>
  <w:footnote w:id="738">
    <w:p w14:paraId="3D07CC29" w14:textId="77777777" w:rsidR="0013116F" w:rsidRDefault="0013116F" w:rsidP="003D1C40">
      <w:pPr>
        <w:pStyle w:val="a9"/>
      </w:pPr>
      <w:r>
        <w:rPr>
          <w:rStyle w:val="ab"/>
        </w:rPr>
        <w:footnoteRef/>
      </w:r>
      <w:r>
        <w:rPr>
          <w:rtl/>
        </w:rPr>
        <w:t xml:space="preserve"> </w:t>
      </w:r>
      <w:r>
        <w:rPr>
          <w:rFonts w:hint="cs"/>
          <w:rtl/>
        </w:rPr>
        <w:t xml:space="preserve">סימן </w:t>
      </w:r>
      <w:r>
        <w:rPr>
          <w:rtl/>
        </w:rPr>
        <w:t>–</w:t>
      </w:r>
      <w:r>
        <w:rPr>
          <w:rFonts w:hint="cs"/>
          <w:rtl/>
        </w:rPr>
        <w:t xml:space="preserve"> </w:t>
      </w:r>
      <w:r>
        <w:rPr>
          <w:rFonts w:hint="cs"/>
          <w:sz w:val="16"/>
          <w:szCs w:val="16"/>
          <w:rtl/>
        </w:rPr>
        <w:t xml:space="preserve">(זה אומר) </w:t>
      </w:r>
      <w:r w:rsidRPr="00242A7C">
        <w:rPr>
          <w:rFonts w:hint="cs"/>
          <w:b/>
          <w:bCs/>
          <w:rtl/>
        </w:rPr>
        <w:t>ל</w:t>
      </w:r>
      <w:r>
        <w:rPr>
          <w:rFonts w:hint="cs"/>
          <w:rtl/>
        </w:rPr>
        <w:t xml:space="preserve">כאן </w:t>
      </w:r>
      <w:r w:rsidRPr="00242A7C">
        <w:rPr>
          <w:rFonts w:hint="cs"/>
          <w:b/>
          <w:bCs/>
          <w:rtl/>
        </w:rPr>
        <w:t>א</w:t>
      </w:r>
      <w:r>
        <w:rPr>
          <w:rFonts w:hint="cs"/>
          <w:rtl/>
        </w:rPr>
        <w:t xml:space="preserve">לך, </w:t>
      </w:r>
      <w:r>
        <w:rPr>
          <w:rFonts w:hint="cs"/>
          <w:sz w:val="16"/>
          <w:szCs w:val="16"/>
          <w:rtl/>
        </w:rPr>
        <w:t>(וזה אומר)</w:t>
      </w:r>
      <w:r>
        <w:rPr>
          <w:rFonts w:hint="cs"/>
          <w:rtl/>
        </w:rPr>
        <w:t xml:space="preserve"> </w:t>
      </w:r>
      <w:r w:rsidRPr="00242A7C">
        <w:rPr>
          <w:rFonts w:hint="cs"/>
          <w:b/>
          <w:bCs/>
          <w:rtl/>
        </w:rPr>
        <w:t>ל</w:t>
      </w:r>
      <w:r>
        <w:rPr>
          <w:rFonts w:hint="cs"/>
          <w:rtl/>
        </w:rPr>
        <w:t xml:space="preserve">כאן </w:t>
      </w:r>
      <w:r w:rsidRPr="00242A7C">
        <w:rPr>
          <w:rFonts w:hint="cs"/>
          <w:b/>
          <w:bCs/>
          <w:rtl/>
        </w:rPr>
        <w:t>א</w:t>
      </w:r>
      <w:r>
        <w:rPr>
          <w:rFonts w:hint="cs"/>
          <w:rtl/>
        </w:rPr>
        <w:t>לך.</w:t>
      </w:r>
    </w:p>
  </w:footnote>
  <w:footnote w:id="739">
    <w:p w14:paraId="6F3014F6" w14:textId="77777777" w:rsidR="0013116F" w:rsidRDefault="0013116F" w:rsidP="00BA1CEA">
      <w:pPr>
        <w:pStyle w:val="a9"/>
      </w:pPr>
      <w:r>
        <w:rPr>
          <w:rStyle w:val="ab"/>
        </w:rPr>
        <w:footnoteRef/>
      </w:r>
      <w:r>
        <w:rPr>
          <w:rtl/>
        </w:rPr>
        <w:t xml:space="preserve"> </w:t>
      </w:r>
      <w:r w:rsidRPr="00BA1CEA">
        <w:rPr>
          <w:rFonts w:cs="Arial"/>
          <w:rtl/>
        </w:rPr>
        <w:t>ולאו דוקא לוה ומלוה אלא אפילו גזלות ומקח וממכר ומתנות וירושות וכל דבר שיש בו תובע ונתבע</w:t>
      </w:r>
      <w:r>
        <w:rPr>
          <w:rFonts w:cs="Arial" w:hint="cs"/>
          <w:rtl/>
        </w:rPr>
        <w:t>,</w:t>
      </w:r>
      <w:r w:rsidRPr="00BA1CEA">
        <w:rPr>
          <w:rFonts w:cs="Arial"/>
          <w:rtl/>
        </w:rPr>
        <w:t xml:space="preserve"> דהאי טעמא דרבי אלעזר שלא יוציא מנה על מנה שייך בכל תובע</w:t>
      </w:r>
      <w:r w:rsidRPr="00BA1CEA">
        <w:rPr>
          <w:rFonts w:cs="Arial" w:hint="cs"/>
          <w:rtl/>
        </w:rPr>
        <w:t>,</w:t>
      </w:r>
      <w:r w:rsidRPr="00BA1CEA">
        <w:rPr>
          <w:rFonts w:cs="Arial"/>
          <w:rtl/>
        </w:rPr>
        <w:t xml:space="preserve"> וגם רבי יוחנן איירי בכל תביעות שתקף את חבירו לדון</w:t>
      </w:r>
      <w:r>
        <w:rPr>
          <w:rFonts w:cs="Arial" w:hint="cs"/>
          <w:rtl/>
        </w:rPr>
        <w:t xml:space="preserve">, </w:t>
      </w:r>
      <w:r w:rsidRPr="00BA1CEA">
        <w:rPr>
          <w:rFonts w:cs="Arial"/>
          <w:rtl/>
        </w:rPr>
        <w:t>רא"ש (</w:t>
      </w:r>
      <w:r w:rsidRPr="00BA1CEA">
        <w:rPr>
          <w:rFonts w:cs="Arial" w:hint="cs"/>
          <w:rtl/>
        </w:rPr>
        <w:t xml:space="preserve">פ"ג </w:t>
      </w:r>
      <w:r w:rsidRPr="00BA1CEA">
        <w:rPr>
          <w:rFonts w:cs="Arial"/>
          <w:rtl/>
        </w:rPr>
        <w:t>סי' מא)</w:t>
      </w:r>
      <w:r>
        <w:rPr>
          <w:rFonts w:cs="Arial" w:hint="cs"/>
          <w:rtl/>
        </w:rPr>
        <w:t xml:space="preserve">. </w:t>
      </w:r>
      <w:r w:rsidRPr="00F03CB0">
        <w:rPr>
          <w:rFonts w:cs="Arial"/>
          <w:rtl/>
        </w:rPr>
        <w:t>ובנמוק</w:t>
      </w:r>
      <w:r>
        <w:rPr>
          <w:rFonts w:cs="Arial" w:hint="cs"/>
          <w:rtl/>
        </w:rPr>
        <w:t>"</w:t>
      </w:r>
      <w:r w:rsidRPr="00F03CB0">
        <w:rPr>
          <w:rFonts w:cs="Arial"/>
          <w:rtl/>
        </w:rPr>
        <w:t>י (י</w:t>
      </w:r>
      <w:r>
        <w:rPr>
          <w:rFonts w:cs="Arial" w:hint="cs"/>
          <w:rtl/>
        </w:rPr>
        <w:t>.</w:t>
      </w:r>
      <w:r w:rsidRPr="00F03CB0">
        <w:rPr>
          <w:rFonts w:cs="Arial"/>
          <w:rtl/>
        </w:rPr>
        <w:t>) כתב דיש חולקים בזה</w:t>
      </w:r>
      <w:r>
        <w:rPr>
          <w:rFonts w:cs="Arial" w:hint="cs"/>
          <w:rtl/>
        </w:rPr>
        <w:t>, דרכ"מ (אות ב).</w:t>
      </w:r>
    </w:p>
  </w:footnote>
  <w:footnote w:id="740">
    <w:p w14:paraId="22A119EE" w14:textId="77777777" w:rsidR="0013116F" w:rsidRDefault="0013116F">
      <w:pPr>
        <w:pStyle w:val="a9"/>
        <w:rPr>
          <w:rtl/>
        </w:rPr>
      </w:pPr>
      <w:r>
        <w:rPr>
          <w:rStyle w:val="ab"/>
        </w:rPr>
        <w:footnoteRef/>
      </w:r>
      <w:r>
        <w:rPr>
          <w:rtl/>
        </w:rPr>
        <w:t xml:space="preserve"> </w:t>
      </w:r>
      <w:r>
        <w:rPr>
          <w:rFonts w:cs="Arial" w:hint="cs"/>
          <w:rtl/>
        </w:rPr>
        <w:t xml:space="preserve">כתב הרא"ש בסנהדרין (שם) וז"ל- </w:t>
      </w:r>
      <w:r w:rsidRPr="00214A38">
        <w:rPr>
          <w:rFonts w:cs="Arial"/>
          <w:rtl/>
        </w:rPr>
        <w:t>קשה</w:t>
      </w:r>
      <w:r>
        <w:rPr>
          <w:rFonts w:cs="Arial" w:hint="cs"/>
          <w:rtl/>
        </w:rPr>
        <w:t>,</w:t>
      </w:r>
      <w:r w:rsidRPr="00214A38">
        <w:rPr>
          <w:rFonts w:cs="Arial"/>
          <w:rtl/>
        </w:rPr>
        <w:t xml:space="preserve"> דבפרק הגוזל בתרא (ב"ק קיב:) משמע דאפילו לוה מצי כייף לילך למקום הוועד גבי אין מקבלין עדות אלא בפני בעל דין וקאמר אפילו פתחו ליה בדינא מצי נתבע למימר לבית דין הגדול קא אזילנא</w:t>
      </w:r>
      <w:r>
        <w:rPr>
          <w:rFonts w:cs="Arial" w:hint="cs"/>
          <w:rtl/>
        </w:rPr>
        <w:t>-...</w:t>
      </w:r>
    </w:p>
  </w:footnote>
  <w:footnote w:id="741">
    <w:p w14:paraId="196C7CFB" w14:textId="77777777" w:rsidR="0013116F" w:rsidRDefault="0013116F">
      <w:pPr>
        <w:pStyle w:val="a9"/>
      </w:pPr>
      <w:r>
        <w:rPr>
          <w:rStyle w:val="ab"/>
        </w:rPr>
        <w:footnoteRef/>
      </w:r>
      <w:r>
        <w:rPr>
          <w:rtl/>
        </w:rPr>
        <w:t xml:space="preserve"> </w:t>
      </w:r>
      <w:r>
        <w:rPr>
          <w:rFonts w:cs="Arial" w:hint="cs"/>
          <w:rtl/>
        </w:rPr>
        <w:t xml:space="preserve">היינו </w:t>
      </w:r>
      <w:r w:rsidRPr="001A7B1F">
        <w:rPr>
          <w:rFonts w:cs="Arial"/>
          <w:rtl/>
        </w:rPr>
        <w:t>ב"ד הגדול בחכמה שבכל ישראל</w:t>
      </w:r>
      <w:r>
        <w:rPr>
          <w:rFonts w:cs="Arial" w:hint="cs"/>
          <w:rtl/>
        </w:rPr>
        <w:t>, רא"ש</w:t>
      </w:r>
      <w:r w:rsidRPr="001A7B1F">
        <w:rPr>
          <w:rFonts w:cs="Arial" w:hint="cs"/>
          <w:sz w:val="16"/>
          <w:szCs w:val="16"/>
          <w:rtl/>
        </w:rPr>
        <w:t xml:space="preserve"> (ב"ק פרק הגוזל בתרא סי' ג)</w:t>
      </w:r>
      <w:r>
        <w:rPr>
          <w:rFonts w:cs="Arial" w:hint="cs"/>
          <w:rtl/>
        </w:rPr>
        <w:t>.</w:t>
      </w:r>
    </w:p>
  </w:footnote>
  <w:footnote w:id="742">
    <w:p w14:paraId="72036187" w14:textId="77777777" w:rsidR="0013116F" w:rsidRDefault="0013116F" w:rsidP="00D0463C">
      <w:pPr>
        <w:pStyle w:val="a9"/>
      </w:pPr>
      <w:r>
        <w:rPr>
          <w:rStyle w:val="ab"/>
        </w:rPr>
        <w:footnoteRef/>
      </w:r>
      <w:r>
        <w:rPr>
          <w:rtl/>
        </w:rPr>
        <w:t xml:space="preserve"> </w:t>
      </w:r>
      <w:r>
        <w:rPr>
          <w:rFonts w:cs="Arial" w:hint="cs"/>
          <w:rtl/>
        </w:rPr>
        <w:t xml:space="preserve">וז"ל - </w:t>
      </w:r>
      <w:r w:rsidRPr="00B00986">
        <w:rPr>
          <w:rFonts w:cs="Arial"/>
          <w:rtl/>
        </w:rPr>
        <w:t>ראיתי בשילהי פירקין בתוספות סנהדרין שלא היתה פרישה רבינו שמשון ו</w:t>
      </w:r>
      <w:r>
        <w:rPr>
          <w:rFonts w:cs="Arial" w:hint="cs"/>
          <w:rtl/>
        </w:rPr>
        <w:t>ז"</w:t>
      </w:r>
      <w:r w:rsidRPr="00B00986">
        <w:rPr>
          <w:rFonts w:cs="Arial"/>
          <w:rtl/>
        </w:rPr>
        <w:t>ל</w:t>
      </w:r>
      <w:r>
        <w:rPr>
          <w:rFonts w:cs="Arial" w:hint="cs"/>
          <w:rtl/>
        </w:rPr>
        <w:t>-</w:t>
      </w:r>
      <w:r w:rsidRPr="00B00986">
        <w:rPr>
          <w:rFonts w:cs="Arial"/>
          <w:rtl/>
        </w:rPr>
        <w:t xml:space="preserve"> עבד לוה לאיש מלוה אפילו אם יפרע לו הוצאות וטורחו אעפ</w:t>
      </w:r>
      <w:r>
        <w:rPr>
          <w:rFonts w:cs="Arial" w:hint="cs"/>
          <w:rtl/>
        </w:rPr>
        <w:t>"</w:t>
      </w:r>
      <w:r w:rsidRPr="00B00986">
        <w:rPr>
          <w:rFonts w:cs="Arial"/>
          <w:rtl/>
        </w:rPr>
        <w:t>כ לא ילך</w:t>
      </w:r>
      <w:r>
        <w:rPr>
          <w:rFonts w:cs="Arial" w:hint="cs"/>
          <w:rtl/>
        </w:rPr>
        <w:t xml:space="preserve"> עכ"ל</w:t>
      </w:r>
      <w:r>
        <w:rPr>
          <w:rFonts w:hint="cs"/>
          <w:rtl/>
        </w:rPr>
        <w:t>.</w:t>
      </w:r>
      <w:r w:rsidRPr="003C61A5">
        <w:rPr>
          <w:rtl/>
        </w:rPr>
        <w:t xml:space="preserve"> </w:t>
      </w:r>
      <w:r w:rsidRPr="003C61A5">
        <w:rPr>
          <w:rFonts w:cs="Arial"/>
          <w:rtl/>
        </w:rPr>
        <w:t xml:space="preserve">ונ"ל שמדקדק מדאמר בשילהי פירקי </w:t>
      </w:r>
      <w:r>
        <w:rPr>
          <w:rFonts w:cs="Arial" w:hint="cs"/>
          <w:rtl/>
        </w:rPr>
        <w:t>'</w:t>
      </w:r>
      <w:r w:rsidRPr="003C61A5">
        <w:rPr>
          <w:rFonts w:cs="Arial"/>
          <w:rtl/>
        </w:rPr>
        <w:t>א"ל אמימר לרב אשי ה"מ היכא דקאמר לוה למלוה אבל היכא דקאמר מלוה ללוה עבד לוה לאיש מלוה</w:t>
      </w:r>
      <w:r>
        <w:rPr>
          <w:rFonts w:cs="Arial" w:hint="cs"/>
          <w:rtl/>
        </w:rPr>
        <w:t>'</w:t>
      </w:r>
      <w:r w:rsidRPr="003C61A5">
        <w:rPr>
          <w:rFonts w:cs="Arial"/>
          <w:rtl/>
        </w:rPr>
        <w:t xml:space="preserve"> משמע אפילו אם יפרע לו </w:t>
      </w:r>
      <w:r>
        <w:rPr>
          <w:rFonts w:cs="Arial" w:hint="cs"/>
          <w:sz w:val="16"/>
          <w:szCs w:val="16"/>
          <w:rtl/>
        </w:rPr>
        <w:t xml:space="preserve">{הלוה למלוה} </w:t>
      </w:r>
      <w:r w:rsidRPr="003C61A5">
        <w:rPr>
          <w:rFonts w:cs="Arial"/>
          <w:rtl/>
        </w:rPr>
        <w:t>טורחו והוצאות אל ישמע לו</w:t>
      </w:r>
      <w:r w:rsidRPr="00B00986">
        <w:rPr>
          <w:rFonts w:cs="Arial"/>
          <w:rtl/>
        </w:rPr>
        <w:t>.</w:t>
      </w:r>
    </w:p>
  </w:footnote>
  <w:footnote w:id="743">
    <w:p w14:paraId="06C168AA" w14:textId="77777777" w:rsidR="0013116F" w:rsidRDefault="0013116F">
      <w:pPr>
        <w:pStyle w:val="a9"/>
        <w:rPr>
          <w:rtl/>
        </w:rPr>
      </w:pPr>
      <w:r>
        <w:rPr>
          <w:rStyle w:val="ab"/>
        </w:rPr>
        <w:footnoteRef/>
      </w:r>
      <w:r>
        <w:rPr>
          <w:rtl/>
        </w:rPr>
        <w:t xml:space="preserve"> </w:t>
      </w:r>
      <w:r w:rsidRPr="00F03CB0">
        <w:rPr>
          <w:rFonts w:cs="Arial"/>
          <w:rtl/>
        </w:rPr>
        <w:t xml:space="preserve">כל שכן שאין </w:t>
      </w:r>
      <w:r w:rsidRPr="00314F19">
        <w:rPr>
          <w:rFonts w:cs="Arial"/>
          <w:b/>
          <w:bCs/>
          <w:rtl/>
        </w:rPr>
        <w:t>לנו</w:t>
      </w:r>
      <w:r w:rsidRPr="00F03CB0">
        <w:rPr>
          <w:rFonts w:cs="Arial"/>
          <w:rtl/>
        </w:rPr>
        <w:t xml:space="preserve"> בית הוועד בזמן הזה כמו שכתב או</w:t>
      </w:r>
      <w:r>
        <w:rPr>
          <w:rFonts w:cs="Arial" w:hint="cs"/>
          <w:rtl/>
        </w:rPr>
        <w:t>"</w:t>
      </w:r>
      <w:r w:rsidRPr="00F03CB0">
        <w:rPr>
          <w:rFonts w:cs="Arial"/>
          <w:rtl/>
        </w:rPr>
        <w:t>ז (ב"ק סי' תלז) ואכתוב דבריו בסמוך (דמה"א ס"ב, קצר אות ח)</w:t>
      </w:r>
      <w:r>
        <w:rPr>
          <w:rFonts w:hint="cs"/>
          <w:rtl/>
        </w:rPr>
        <w:t>, דרכ"מ.</w:t>
      </w:r>
    </w:p>
  </w:footnote>
  <w:footnote w:id="744">
    <w:p w14:paraId="44D8F589" w14:textId="77777777" w:rsidR="0013116F" w:rsidRDefault="0013116F">
      <w:pPr>
        <w:pStyle w:val="a9"/>
      </w:pPr>
      <w:r>
        <w:rPr>
          <w:rStyle w:val="ab"/>
        </w:rPr>
        <w:footnoteRef/>
      </w:r>
      <w:r>
        <w:rPr>
          <w:rtl/>
        </w:rPr>
        <w:t xml:space="preserve"> </w:t>
      </w:r>
      <w:r>
        <w:rPr>
          <w:rFonts w:cs="Arial" w:hint="cs"/>
          <w:rtl/>
        </w:rPr>
        <w:t xml:space="preserve">וז"ל- </w:t>
      </w:r>
      <w:r w:rsidRPr="008E71AE">
        <w:rPr>
          <w:rFonts w:cs="Arial"/>
          <w:rtl/>
        </w:rPr>
        <w:t>מצי טעין לב"ד הגדול קאזילנא כו'</w:t>
      </w:r>
      <w:r>
        <w:rPr>
          <w:rFonts w:cs="Arial" w:hint="cs"/>
          <w:rtl/>
        </w:rPr>
        <w:t xml:space="preserve"> פ</w:t>
      </w:r>
      <w:r w:rsidRPr="008E71AE">
        <w:rPr>
          <w:rFonts w:cs="Arial"/>
          <w:rtl/>
        </w:rPr>
        <w:t>ירש בה"ג ומצי נתבע לאשתמוטי בהכי</w:t>
      </w:r>
      <w:r>
        <w:rPr>
          <w:rFonts w:cs="Arial" w:hint="cs"/>
          <w:rtl/>
        </w:rPr>
        <w:t>,</w:t>
      </w:r>
      <w:r w:rsidRPr="008E71AE">
        <w:rPr>
          <w:rFonts w:cs="Arial"/>
          <w:rtl/>
        </w:rPr>
        <w:t xml:space="preserve"> והיה נראה לומר דדוקא נתבע יכול לפטור עצמו בכך אבל לא תובע</w:t>
      </w:r>
      <w:r>
        <w:rPr>
          <w:rFonts w:cs="Arial" w:hint="cs"/>
          <w:rtl/>
        </w:rPr>
        <w:t>,</w:t>
      </w:r>
      <w:r w:rsidRPr="008E71AE">
        <w:rPr>
          <w:rFonts w:cs="Arial"/>
          <w:rtl/>
        </w:rPr>
        <w:t xml:space="preserve"> דאל"כ כל אדם יאמר לחבירו או תן לי מנה או בא עמי לב"ד הגדול</w:t>
      </w:r>
      <w:r>
        <w:rPr>
          <w:rFonts w:cs="Arial" w:hint="cs"/>
          <w:rtl/>
        </w:rPr>
        <w:t>,</w:t>
      </w:r>
      <w:r w:rsidRPr="008E71AE">
        <w:rPr>
          <w:rFonts w:cs="Arial"/>
          <w:rtl/>
        </w:rPr>
        <w:t xml:space="preserve"> אבל נראה לר"ת דכ"ש תובע</w:t>
      </w:r>
      <w:r>
        <w:rPr>
          <w:rFonts w:cs="Arial" w:hint="cs"/>
          <w:rtl/>
        </w:rPr>
        <w:t>,</w:t>
      </w:r>
      <w:r w:rsidRPr="008E71AE">
        <w:rPr>
          <w:rFonts w:cs="Arial"/>
          <w:rtl/>
        </w:rPr>
        <w:t xml:space="preserve"> דהשתא נתבע שנראה עושה ערמה כדי לפטור עצמו ממה שזה תובעו מצי למימר הכי </w:t>
      </w:r>
      <w:r>
        <w:rPr>
          <w:rFonts w:cs="Arial" w:hint="cs"/>
          <w:rtl/>
        </w:rPr>
        <w:t xml:space="preserve">- </w:t>
      </w:r>
      <w:r w:rsidRPr="008E71AE">
        <w:rPr>
          <w:rFonts w:cs="Arial"/>
          <w:rtl/>
        </w:rPr>
        <w:t>כ"ש תובע שמתחילה תובע כך</w:t>
      </w:r>
      <w:r>
        <w:rPr>
          <w:rFonts w:cs="Arial" w:hint="cs"/>
          <w:rtl/>
        </w:rPr>
        <w:t>,</w:t>
      </w:r>
      <w:r w:rsidRPr="008E71AE">
        <w:rPr>
          <w:rFonts w:cs="Arial"/>
          <w:rtl/>
        </w:rPr>
        <w:t xml:space="preserve"> ואין נראה כמערים</w:t>
      </w:r>
      <w:r>
        <w:rPr>
          <w:rFonts w:cs="Arial" w:hint="cs"/>
          <w:rtl/>
        </w:rPr>
        <w:t>.</w:t>
      </w:r>
      <w:r w:rsidRPr="008E71AE">
        <w:rPr>
          <w:rFonts w:cs="Arial"/>
          <w:rtl/>
        </w:rPr>
        <w:t xml:space="preserve"> ועוד דאפילו לוה דעבד לוה לאיש מלוה מצי למימר לב"ד הגדול קאזלינא </w:t>
      </w:r>
      <w:r>
        <w:rPr>
          <w:rFonts w:cs="Arial" w:hint="cs"/>
          <w:rtl/>
        </w:rPr>
        <w:t xml:space="preserve">- </w:t>
      </w:r>
      <w:r w:rsidRPr="008E71AE">
        <w:rPr>
          <w:rFonts w:cs="Arial"/>
          <w:rtl/>
        </w:rPr>
        <w:t>כ"ש מלוה</w:t>
      </w:r>
      <w:r>
        <w:rPr>
          <w:rFonts w:cs="Arial" w:hint="cs"/>
          <w:rtl/>
        </w:rPr>
        <w:t>.</w:t>
      </w:r>
    </w:p>
  </w:footnote>
  <w:footnote w:id="745">
    <w:p w14:paraId="52504FF3" w14:textId="77777777" w:rsidR="0013116F" w:rsidRDefault="0013116F" w:rsidP="00AA784E">
      <w:pPr>
        <w:pStyle w:val="a9"/>
        <w:rPr>
          <w:rtl/>
        </w:rPr>
      </w:pPr>
      <w:r>
        <w:rPr>
          <w:rStyle w:val="ab"/>
        </w:rPr>
        <w:footnoteRef/>
      </w:r>
      <w:r>
        <w:rPr>
          <w:rtl/>
        </w:rPr>
        <w:t xml:space="preserve"> </w:t>
      </w:r>
      <w:r>
        <w:rPr>
          <w:rFonts w:cs="Arial" w:hint="cs"/>
          <w:rtl/>
        </w:rPr>
        <w:t xml:space="preserve">וז"ל- </w:t>
      </w:r>
      <w:r w:rsidRPr="00912FA7">
        <w:rPr>
          <w:rFonts w:cs="Arial"/>
          <w:rtl/>
        </w:rPr>
        <w:t>עוד שאלת</w:t>
      </w:r>
      <w:r>
        <w:rPr>
          <w:rFonts w:cs="Arial" w:hint="cs"/>
          <w:rtl/>
        </w:rPr>
        <w:t>,</w:t>
      </w:r>
      <w:r w:rsidRPr="00912FA7">
        <w:rPr>
          <w:rFonts w:cs="Arial"/>
          <w:rtl/>
        </w:rPr>
        <w:t xml:space="preserve"> ב</w:t>
      </w:r>
      <w:r>
        <w:rPr>
          <w:rFonts w:cs="Arial" w:hint="cs"/>
          <w:rtl/>
        </w:rPr>
        <w:t>'</w:t>
      </w:r>
      <w:r w:rsidRPr="00912FA7">
        <w:rPr>
          <w:rFonts w:cs="Arial"/>
          <w:rtl/>
        </w:rPr>
        <w:t xml:space="preserve"> אנשי</w:t>
      </w:r>
      <w:r>
        <w:rPr>
          <w:rFonts w:cs="Arial" w:hint="cs"/>
          <w:rtl/>
        </w:rPr>
        <w:t>ם</w:t>
      </w:r>
      <w:r w:rsidRPr="00912FA7">
        <w:rPr>
          <w:rFonts w:cs="Arial"/>
          <w:rtl/>
        </w:rPr>
        <w:t xml:space="preserve"> נתקוטטו זה עם זה על ענין מה</w:t>
      </w:r>
      <w:r>
        <w:rPr>
          <w:rFonts w:cs="Arial" w:hint="cs"/>
          <w:rtl/>
        </w:rPr>
        <w:t>,</w:t>
      </w:r>
      <w:r w:rsidRPr="00912FA7">
        <w:rPr>
          <w:rFonts w:cs="Arial"/>
          <w:rtl/>
        </w:rPr>
        <w:t xml:space="preserve"> היה להם הריב פה בגלילנו, ונתיעץ האחד ללכת לצרפת לכוף את שכנגדו ללכת ולדון לו לשם בפני חכמי הארץ ההיא, אם יגזור הדין על האחר להיות נדון על פי חכמי הארץ צרפת</w:t>
      </w:r>
      <w:r>
        <w:rPr>
          <w:rFonts w:cs="Arial" w:hint="cs"/>
          <w:rtl/>
        </w:rPr>
        <w:t>?</w:t>
      </w:r>
      <w:r w:rsidRPr="00912FA7">
        <w:rPr>
          <w:rFonts w:cs="Arial"/>
          <w:rtl/>
        </w:rPr>
        <w:t xml:space="preserve"> באשר הוא מוכן ומזומן לבא לדון לו על פי חכמי יועצי ארצו היא פרובינצה</w:t>
      </w:r>
      <w:r w:rsidRPr="003C4238">
        <w:rPr>
          <w:rFonts w:cs="Arial"/>
          <w:rtl/>
        </w:rPr>
        <w:t>.</w:t>
      </w:r>
      <w:r>
        <w:rPr>
          <w:rFonts w:cs="Arial" w:hint="cs"/>
          <w:rtl/>
        </w:rPr>
        <w:t xml:space="preserve"> </w:t>
      </w:r>
      <w:r w:rsidRPr="00912FA7">
        <w:rPr>
          <w:rFonts w:cs="Arial"/>
          <w:rtl/>
        </w:rPr>
        <w:t>תשובה</w:t>
      </w:r>
      <w:r>
        <w:rPr>
          <w:rFonts w:cs="Arial" w:hint="cs"/>
          <w:rtl/>
        </w:rPr>
        <w:t>,</w:t>
      </w:r>
      <w:r w:rsidRPr="00912FA7">
        <w:rPr>
          <w:rFonts w:cs="Arial"/>
          <w:rtl/>
        </w:rPr>
        <w:t xml:space="preserve"> דברי הרב אשר לא נתברר על פי כתיבתך אם בדיני קנסות או בדיני ממונות יש לנתבע ללכת אחר התובע מדין עבד לוה לאיש מלוה </w:t>
      </w:r>
      <w:r w:rsidRPr="00912FA7">
        <w:rPr>
          <w:rFonts w:cs="Arial" w:hint="cs"/>
          <w:sz w:val="16"/>
          <w:szCs w:val="16"/>
          <w:rtl/>
        </w:rPr>
        <w:t>(</w:t>
      </w:r>
      <w:r w:rsidRPr="00912FA7">
        <w:rPr>
          <w:rFonts w:cs="Arial"/>
          <w:sz w:val="16"/>
          <w:szCs w:val="16"/>
          <w:rtl/>
        </w:rPr>
        <w:t>סנהדרין לא</w:t>
      </w:r>
      <w:r w:rsidRPr="00912FA7">
        <w:rPr>
          <w:rFonts w:cs="Arial" w:hint="cs"/>
          <w:sz w:val="16"/>
          <w:szCs w:val="16"/>
          <w:rtl/>
        </w:rPr>
        <w:t>.)</w:t>
      </w:r>
      <w:r w:rsidRPr="00912FA7">
        <w:rPr>
          <w:rFonts w:cs="Arial"/>
          <w:rtl/>
        </w:rPr>
        <w:t>. שאם בדיני קנסות אין כופין אותו אלא אם כן הזמינו ללכת לארץ ישראל שדנין שם דיני קנסות. ולא ללכת לפניו בצרפת ולא בשום מקום שהוא חוצה לארץ. ואם דיני ממונות כהלואות וכיוצא בהם היו גדולים יותר בצרפת מבפרובינצא כופין את הנתבע ללכת אחר התובע למקום החכמים בדינין יותר. אך לפי הדומה יש בפרובינצא חכמים בחכמה של תורה להוציא דין לאמתו ככל המקומות אשר שמענו שמעם. לפיכך אין לכוף בזה הנתבע ללכת בצרפת או לשאר המקומות אשר שמענו שמעם ודאי</w:t>
      </w:r>
      <w:r>
        <w:rPr>
          <w:rFonts w:cs="Arial" w:hint="cs"/>
          <w:rtl/>
        </w:rPr>
        <w:t xml:space="preserve">. עכ"ל. הב"י הביא רחק חלק קטן בדברי הרשב"א הנ"ל וכתב אח"כ - </w:t>
      </w:r>
      <w:r>
        <w:rPr>
          <w:rFonts w:cs="Arial"/>
          <w:rtl/>
        </w:rPr>
        <w:t>ועיין בתשובת הריב"ש שבסימן שנ"ג ושנ"ד וכתבתי בסימן ע"ט (מחודש ד) וק"ו (ס"ה)</w:t>
      </w:r>
      <w:r>
        <w:rPr>
          <w:rFonts w:hint="cs"/>
          <w:rtl/>
        </w:rPr>
        <w:t>.</w:t>
      </w:r>
    </w:p>
  </w:footnote>
  <w:footnote w:id="746">
    <w:p w14:paraId="6E180C8B" w14:textId="77777777" w:rsidR="0013116F" w:rsidRDefault="0013116F" w:rsidP="003973AF">
      <w:pPr>
        <w:pStyle w:val="a9"/>
      </w:pPr>
      <w:r>
        <w:rPr>
          <w:rStyle w:val="ab"/>
        </w:rPr>
        <w:footnoteRef/>
      </w:r>
      <w:r>
        <w:rPr>
          <w:rtl/>
        </w:rPr>
        <w:t xml:space="preserve"> </w:t>
      </w:r>
      <w:r>
        <w:rPr>
          <w:rFonts w:hint="cs"/>
          <w:rtl/>
        </w:rPr>
        <w:t xml:space="preserve">בדפוסים הגיר' היא 'שבארץ פלונית'. אך בכל כתבי היד הגירסא היא 'שבארצו' </w:t>
      </w:r>
      <w:r w:rsidRPr="0077347B">
        <w:rPr>
          <w:rFonts w:hint="cs"/>
          <w:sz w:val="16"/>
          <w:szCs w:val="16"/>
          <w:rtl/>
        </w:rPr>
        <w:t>(מקבילי בכלל לא נותן אפשרות אחרת, ובפרנקל כתוב שבכל כתבי היד כתוב 'שבארצו' ורק בדפוסים כתוב 'שבארץ פלונית')</w:t>
      </w:r>
      <w:r>
        <w:rPr>
          <w:rFonts w:hint="cs"/>
          <w:rtl/>
        </w:rPr>
        <w:t>. וגם מהרי"ק גרס כן ברמב"ם רק שאצלו היה כתוב 'שבארצנו'. וצ"ע שוב בב"י.</w:t>
      </w:r>
    </w:p>
  </w:footnote>
  <w:footnote w:id="747">
    <w:p w14:paraId="2BA62696" w14:textId="77777777" w:rsidR="0013116F" w:rsidRDefault="0013116F" w:rsidP="00DD2354">
      <w:pPr>
        <w:pStyle w:val="a9"/>
        <w:rPr>
          <w:rtl/>
        </w:rPr>
      </w:pPr>
      <w:r>
        <w:rPr>
          <w:rStyle w:val="ab"/>
        </w:rPr>
        <w:footnoteRef/>
      </w:r>
      <w:r>
        <w:rPr>
          <w:rtl/>
        </w:rPr>
        <w:t xml:space="preserve"> </w:t>
      </w:r>
      <w:r>
        <w:rPr>
          <w:rFonts w:hint="cs"/>
          <w:rtl/>
        </w:rPr>
        <w:t>לכאורה נראה שהרמב"ם (פ"ו מהל' סנהדרין ה"ו-ח) לא חילק לדינא בין בית ועד לבית דין הגדול, ונראה שהעמיד את הגמ' בבבא קמא כשזה טוען וזה טוען ולכן כתב שאין הנתבע יכול לכפות בשום מצב. ואפשר עוד לומר שמה שכתב בהל' ט' היא התייחסותו לבית ועד שמוזכר בסנהדרין, ומ"מ סובר שאין דינו שונה מבית הדין הגדול לעניין כפיה, ולכן כשאין בית דין הגדול אותם הדינים שייכים אף בבית הועד שהוא מקום קיבוץ חכמים.</w:t>
      </w:r>
    </w:p>
  </w:footnote>
  <w:footnote w:id="748">
    <w:p w14:paraId="20230629" w14:textId="77777777" w:rsidR="0013116F" w:rsidRDefault="0013116F">
      <w:pPr>
        <w:pStyle w:val="a9"/>
        <w:rPr>
          <w:rtl/>
        </w:rPr>
      </w:pPr>
      <w:r>
        <w:rPr>
          <w:rStyle w:val="ab"/>
        </w:rPr>
        <w:footnoteRef/>
      </w:r>
      <w:r>
        <w:rPr>
          <w:rtl/>
        </w:rPr>
        <w:t xml:space="preserve"> </w:t>
      </w:r>
      <w:r>
        <w:rPr>
          <w:rFonts w:hint="cs"/>
          <w:rtl/>
        </w:rPr>
        <w:t>וז"ל-</w:t>
      </w:r>
      <w:r w:rsidRPr="00227835">
        <w:rPr>
          <w:rtl/>
        </w:rPr>
        <w:t xml:space="preserve"> </w:t>
      </w:r>
      <w:r w:rsidRPr="00227835">
        <w:rPr>
          <w:rFonts w:cs="Arial"/>
          <w:rtl/>
        </w:rPr>
        <w:t>ומיהו בזמן הזה שאין נשיא בישראל נראה דגדול הדור הוי ב"ד הגדול וכן היה אומר ר"ת לפי שהיה נשיא גדול בתורה הוא דמיקרי ב"ד הגדול והכי נמי אמר לקמן בפרק אחד דיני ממונות אחר רבי מאיר בן חרש לרומי הרי דאפילו ברומי מיקרי ב"ד יפה לפי שאין למעלה ממנו</w:t>
      </w:r>
      <w:r>
        <w:rPr>
          <w:rFonts w:cs="Arial" w:hint="cs"/>
          <w:rtl/>
        </w:rPr>
        <w:t>.</w:t>
      </w:r>
    </w:p>
  </w:footnote>
  <w:footnote w:id="749">
    <w:p w14:paraId="7AB0192D" w14:textId="77777777" w:rsidR="0013116F" w:rsidRPr="00F93AAC" w:rsidRDefault="0013116F" w:rsidP="00610032">
      <w:pPr>
        <w:pStyle w:val="a9"/>
        <w:rPr>
          <w:rtl/>
        </w:rPr>
      </w:pPr>
      <w:r w:rsidRPr="00F93AAC">
        <w:rPr>
          <w:rStyle w:val="ab"/>
        </w:rPr>
        <w:footnoteRef/>
      </w:r>
      <w:r w:rsidRPr="00F93AAC">
        <w:rPr>
          <w:rtl/>
        </w:rPr>
        <w:t xml:space="preserve"> </w:t>
      </w:r>
      <w:r w:rsidRPr="00F93AAC">
        <w:rPr>
          <w:rFonts w:cs="Arial"/>
          <w:rtl/>
        </w:rPr>
        <w:t>כמו (פסחים סו.) שבני בתירא ירדו מנשיאותם ומנו את הלל נשיא לפי שהיה גדול מהם לכך</w:t>
      </w:r>
      <w:r w:rsidRPr="00F93AAC">
        <w:rPr>
          <w:rFonts w:cs="Arial" w:hint="cs"/>
          <w:rtl/>
        </w:rPr>
        <w:t>,</w:t>
      </w:r>
      <w:r w:rsidRPr="00F93AAC">
        <w:rPr>
          <w:rFonts w:cs="Arial"/>
          <w:rtl/>
        </w:rPr>
        <w:t xml:space="preserve"> נקרא בית דין הגדול</w:t>
      </w:r>
      <w:r w:rsidRPr="00F93AAC">
        <w:rPr>
          <w:rFonts w:cs="Arial" w:hint="cs"/>
          <w:rtl/>
        </w:rPr>
        <w:t>,</w:t>
      </w:r>
      <w:r w:rsidRPr="00F93AAC">
        <w:rPr>
          <w:rFonts w:cs="Arial"/>
          <w:rtl/>
        </w:rPr>
        <w:t xml:space="preserve"> ואמרינן בריש פרק אחד דיני ממונות (סנהדרין לב:) צדק צדק תרדוף (דברים טז כ) אחר רבי אליעזר ללוד וכן אחר רבי מתיא בן חרש לרומי אלמא דאפילו רומי נקרא בית דין הגדול כשאין למעלה ממנו</w:t>
      </w:r>
      <w:r w:rsidRPr="00F93AAC">
        <w:rPr>
          <w:rFonts w:cs="Arial" w:hint="cs"/>
          <w:rtl/>
        </w:rPr>
        <w:t xml:space="preserve">, </w:t>
      </w:r>
      <w:r w:rsidRPr="00F93AAC">
        <w:rPr>
          <w:rFonts w:hint="cs"/>
          <w:rtl/>
        </w:rPr>
        <w:t>רא"ש.</w:t>
      </w:r>
    </w:p>
  </w:footnote>
  <w:footnote w:id="750">
    <w:p w14:paraId="50C2BBB9" w14:textId="77777777" w:rsidR="0013116F" w:rsidRDefault="0013116F" w:rsidP="00DE69AF">
      <w:pPr>
        <w:pStyle w:val="a9"/>
        <w:rPr>
          <w:rtl/>
        </w:rPr>
      </w:pPr>
      <w:r>
        <w:rPr>
          <w:rStyle w:val="ab"/>
        </w:rPr>
        <w:footnoteRef/>
      </w:r>
      <w:r>
        <w:rPr>
          <w:rtl/>
        </w:rPr>
        <w:t xml:space="preserve"> </w:t>
      </w:r>
      <w:r w:rsidRPr="005D6A5F">
        <w:rPr>
          <w:rFonts w:cs="Arial"/>
          <w:rtl/>
        </w:rPr>
        <w:t>הרי לך בהדיא דאע"ג דבימי התלמוד היה לכל הפחות מלוה יכול לטעון לבית דין קא אזילנ' או לבית הוועד אפילו הכי האידנא איכא למיחש לרמאי ולא שנא תובע ולא שנא נתבע צריך לדון בעירו כ"ש וכ"ש בזמן הזה שיש לחוש כדפי'. ועוד ק"ו בן ק"ו בארץ אשכנז אשר שמעתי שסכנה גדולה ברוב המקומות לצאת אפילו מקיר העיר וחוצה וכל היוצא צריך הוא להוצאה מרובה ואף גם זאת לא ינקה מסכנה ופשיטא דכל גברא דאמיד יתן ויחזור ויתן קודם שיצא חוץ לעירו והוה מנקטי' לכובסי' דלשבקיה לגלימיה הוא</w:t>
      </w:r>
      <w:r>
        <w:rPr>
          <w:rFonts w:hint="cs"/>
          <w:rtl/>
        </w:rPr>
        <w:t xml:space="preserve">, מהרי"ק. וכתב עוד שם </w:t>
      </w:r>
      <w:r>
        <w:rPr>
          <w:rFonts w:cs="Arial" w:hint="cs"/>
          <w:rtl/>
        </w:rPr>
        <w:t>דא</w:t>
      </w:r>
      <w:r w:rsidRPr="005D6A5F">
        <w:rPr>
          <w:rFonts w:cs="Arial"/>
          <w:rtl/>
        </w:rPr>
        <w:t>פילו ר"ת היה מודה דבזמן הזה איכא למיחש לרמאי</w:t>
      </w:r>
      <w:r>
        <w:rPr>
          <w:rFonts w:hint="cs"/>
          <w:rtl/>
        </w:rPr>
        <w:t>.</w:t>
      </w:r>
    </w:p>
  </w:footnote>
  <w:footnote w:id="751">
    <w:p w14:paraId="59A88318" w14:textId="77777777" w:rsidR="0013116F" w:rsidRDefault="0013116F" w:rsidP="00DE69AF">
      <w:pPr>
        <w:pStyle w:val="a9"/>
        <w:rPr>
          <w:rtl/>
        </w:rPr>
      </w:pPr>
      <w:r>
        <w:rPr>
          <w:rStyle w:val="ab"/>
        </w:rPr>
        <w:footnoteRef/>
      </w:r>
      <w:r>
        <w:rPr>
          <w:rtl/>
        </w:rPr>
        <w:t xml:space="preserve"> </w:t>
      </w:r>
      <w:r>
        <w:rPr>
          <w:rFonts w:cs="Arial" w:hint="cs"/>
          <w:rtl/>
        </w:rPr>
        <w:t>מדברי האו"ז הללו</w:t>
      </w:r>
      <w:r>
        <w:rPr>
          <w:rFonts w:hint="cs"/>
          <w:rtl/>
        </w:rPr>
        <w:t xml:space="preserve"> כתב הדרכ"מ (אות ח) </w:t>
      </w:r>
      <w:r w:rsidRPr="0084477D">
        <w:rPr>
          <w:rFonts w:cs="Arial"/>
          <w:rtl/>
        </w:rPr>
        <w:t>דליכא לנו עכשיו מקום הוועד</w:t>
      </w:r>
      <w:r>
        <w:rPr>
          <w:rFonts w:cs="Arial" w:hint="cs"/>
          <w:rtl/>
        </w:rPr>
        <w:t>.</w:t>
      </w:r>
    </w:p>
  </w:footnote>
  <w:footnote w:id="752">
    <w:p w14:paraId="30BA1639" w14:textId="77777777" w:rsidR="0013116F" w:rsidRDefault="0013116F" w:rsidP="00E54AB9">
      <w:pPr>
        <w:pStyle w:val="a9"/>
        <w:rPr>
          <w:rtl/>
        </w:rPr>
      </w:pPr>
      <w:r>
        <w:rPr>
          <w:rStyle w:val="ab"/>
        </w:rPr>
        <w:footnoteRef/>
      </w:r>
      <w:r>
        <w:rPr>
          <w:rtl/>
        </w:rPr>
        <w:t xml:space="preserve"> </w:t>
      </w:r>
      <w:r>
        <w:rPr>
          <w:rFonts w:cs="Arial"/>
          <w:rtl/>
        </w:rPr>
        <w:t>עיין במישרים נ"א חלק י"ג (י ע"ד) ובמהרי"ק שורש כ"א (ענף א - ב) ושורש א</w:t>
      </w:r>
      <w:r>
        <w:rPr>
          <w:rFonts w:cs="Arial" w:hint="cs"/>
          <w:rtl/>
        </w:rPr>
        <w:t>', ב"י.</w:t>
      </w:r>
    </w:p>
  </w:footnote>
  <w:footnote w:id="753">
    <w:p w14:paraId="6DF34EC3" w14:textId="77777777" w:rsidR="0013116F" w:rsidRDefault="0013116F" w:rsidP="00E54AB9">
      <w:pPr>
        <w:pStyle w:val="a9"/>
      </w:pPr>
      <w:r>
        <w:rPr>
          <w:rStyle w:val="ab"/>
        </w:rPr>
        <w:footnoteRef/>
      </w:r>
      <w:r>
        <w:rPr>
          <w:rtl/>
        </w:rPr>
        <w:t xml:space="preserve"> </w:t>
      </w:r>
      <w:r>
        <w:rPr>
          <w:rFonts w:cs="Arial" w:hint="cs"/>
          <w:b/>
          <w:bCs/>
          <w:rtl/>
        </w:rPr>
        <w:t>בבא קמא</w:t>
      </w:r>
      <w:r w:rsidRPr="00A21857">
        <w:rPr>
          <w:rFonts w:cs="Arial" w:hint="cs"/>
          <w:b/>
          <w:bCs/>
          <w:sz w:val="16"/>
          <w:szCs w:val="16"/>
          <w:rtl/>
        </w:rPr>
        <w:t xml:space="preserve"> (פ"ק) </w:t>
      </w:r>
      <w:r>
        <w:rPr>
          <w:rFonts w:cs="Arial" w:hint="cs"/>
          <w:b/>
          <w:bCs/>
          <w:rtl/>
        </w:rPr>
        <w:t xml:space="preserve">טו ע"ב: </w:t>
      </w:r>
      <w:r w:rsidRPr="00A21857">
        <w:rPr>
          <w:rFonts w:cs="Arial"/>
          <w:rtl/>
        </w:rPr>
        <w:t>האי כלבא דאכל אימרי, ושונרא דאכלה תרנגולא - משונה הוא, ולא מגבינן בבבל. והני מילי ברברבי, אבל בזוטרי אורחיה הוא. ואי תפס לא מפקינן מיניה. ואי אמר: קבעו לי זימנא דאזלינא לארעא דישראל - קבעינן ליה. ואי לא אזיל משמתינן ליה.</w:t>
      </w:r>
    </w:p>
  </w:footnote>
  <w:footnote w:id="754">
    <w:p w14:paraId="2A2188AD" w14:textId="77777777" w:rsidR="0013116F" w:rsidRPr="00AB3315" w:rsidRDefault="0013116F" w:rsidP="00AB3315">
      <w:pPr>
        <w:spacing w:after="0" w:line="240" w:lineRule="auto"/>
        <w:rPr>
          <w:sz w:val="20"/>
          <w:szCs w:val="20"/>
          <w:rtl/>
        </w:rPr>
      </w:pPr>
      <w:r w:rsidRPr="00AB3315">
        <w:rPr>
          <w:rStyle w:val="ab"/>
          <w:sz w:val="20"/>
          <w:szCs w:val="20"/>
        </w:rPr>
        <w:footnoteRef/>
      </w:r>
      <w:r w:rsidRPr="00AB3315">
        <w:rPr>
          <w:sz w:val="20"/>
          <w:szCs w:val="20"/>
          <w:rtl/>
        </w:rPr>
        <w:t xml:space="preserve"> </w:t>
      </w:r>
      <w:r w:rsidRPr="00AB3315">
        <w:rPr>
          <w:rFonts w:hint="cs"/>
          <w:b/>
          <w:bCs/>
          <w:sz w:val="20"/>
          <w:szCs w:val="20"/>
          <w:rtl/>
        </w:rPr>
        <w:t xml:space="preserve">ירושלמי </w:t>
      </w:r>
      <w:r w:rsidRPr="00AB3315">
        <w:rPr>
          <w:rFonts w:hint="cs"/>
          <w:b/>
          <w:bCs/>
          <w:sz w:val="14"/>
          <w:szCs w:val="14"/>
          <w:rtl/>
        </w:rPr>
        <w:t xml:space="preserve">(וילנא) </w:t>
      </w:r>
      <w:r w:rsidRPr="00AB3315">
        <w:rPr>
          <w:rFonts w:hint="cs"/>
          <w:b/>
          <w:bCs/>
          <w:sz w:val="20"/>
          <w:szCs w:val="20"/>
          <w:rtl/>
        </w:rPr>
        <w:t xml:space="preserve">סנהדרין פ"ג ה"ב: </w:t>
      </w:r>
      <w:r w:rsidRPr="00AB3315">
        <w:rPr>
          <w:sz w:val="20"/>
          <w:szCs w:val="20"/>
          <w:rtl/>
        </w:rPr>
        <w:t>היך אמרין תרין בני נש הוה לון דין באנטוכיא</w:t>
      </w:r>
      <w:r w:rsidRPr="00AB3315">
        <w:rPr>
          <w:rFonts w:hint="cs"/>
          <w:sz w:val="20"/>
          <w:szCs w:val="20"/>
          <w:rtl/>
        </w:rPr>
        <w:t>,</w:t>
      </w:r>
      <w:r w:rsidRPr="00AB3315">
        <w:rPr>
          <w:sz w:val="20"/>
          <w:szCs w:val="20"/>
          <w:rtl/>
        </w:rPr>
        <w:t xml:space="preserve"> אמר חד לחבריה</w:t>
      </w:r>
      <w:r w:rsidRPr="00AB3315">
        <w:rPr>
          <w:rFonts w:hint="cs"/>
          <w:sz w:val="20"/>
          <w:szCs w:val="20"/>
          <w:rtl/>
        </w:rPr>
        <w:t>:</w:t>
      </w:r>
      <w:r w:rsidRPr="00AB3315">
        <w:rPr>
          <w:sz w:val="20"/>
          <w:szCs w:val="20"/>
          <w:rtl/>
        </w:rPr>
        <w:t xml:space="preserve"> מה דרבי יוחנן</w:t>
      </w:r>
      <w:r w:rsidRPr="00AB3315">
        <w:rPr>
          <w:rFonts w:hint="cs"/>
          <w:sz w:val="20"/>
          <w:szCs w:val="20"/>
          <w:rtl/>
        </w:rPr>
        <w:t>?</w:t>
      </w:r>
      <w:r w:rsidRPr="00AB3315">
        <w:rPr>
          <w:sz w:val="20"/>
          <w:szCs w:val="20"/>
          <w:rtl/>
        </w:rPr>
        <w:t xml:space="preserve"> אמר</w:t>
      </w:r>
      <w:r w:rsidRPr="00AB3315">
        <w:rPr>
          <w:rFonts w:hint="cs"/>
          <w:sz w:val="20"/>
          <w:szCs w:val="20"/>
          <w:rtl/>
        </w:rPr>
        <w:t>:</w:t>
      </w:r>
      <w:r w:rsidRPr="00AB3315">
        <w:rPr>
          <w:sz w:val="20"/>
          <w:szCs w:val="20"/>
          <w:rtl/>
        </w:rPr>
        <w:t xml:space="preserve"> מקבל עלי. שמע ר' יוחנן</w:t>
      </w:r>
      <w:r w:rsidRPr="00AB3315">
        <w:rPr>
          <w:rFonts w:hint="cs"/>
          <w:sz w:val="20"/>
          <w:szCs w:val="20"/>
          <w:rtl/>
        </w:rPr>
        <w:t>,</w:t>
      </w:r>
      <w:r w:rsidRPr="00AB3315">
        <w:rPr>
          <w:sz w:val="20"/>
          <w:szCs w:val="20"/>
          <w:rtl/>
        </w:rPr>
        <w:t xml:space="preserve"> ומר</w:t>
      </w:r>
      <w:r w:rsidRPr="00AB3315">
        <w:rPr>
          <w:rFonts w:hint="cs"/>
          <w:sz w:val="20"/>
          <w:szCs w:val="20"/>
          <w:rtl/>
        </w:rPr>
        <w:t>:</w:t>
      </w:r>
      <w:r w:rsidRPr="00AB3315">
        <w:rPr>
          <w:sz w:val="20"/>
          <w:szCs w:val="20"/>
          <w:rtl/>
        </w:rPr>
        <w:t xml:space="preserve"> לא כל מיניה מיטרפא בעל דיניה אלא שמעין מיליהון תמן ואין הוות צורכא כתבין ומשלחין עובדא לרבנן. </w:t>
      </w:r>
    </w:p>
  </w:footnote>
  <w:footnote w:id="755">
    <w:p w14:paraId="638515CF" w14:textId="77777777" w:rsidR="0013116F" w:rsidRDefault="0013116F" w:rsidP="00AF3C47">
      <w:pPr>
        <w:pStyle w:val="a9"/>
        <w:rPr>
          <w:rtl/>
        </w:rPr>
      </w:pPr>
      <w:r>
        <w:rPr>
          <w:rStyle w:val="ab"/>
        </w:rPr>
        <w:footnoteRef/>
      </w:r>
      <w:r>
        <w:rPr>
          <w:rtl/>
        </w:rPr>
        <w:t xml:space="preserve"> </w:t>
      </w:r>
      <w:r>
        <w:rPr>
          <w:rFonts w:cs="Arial"/>
          <w:rtl/>
        </w:rPr>
        <w:t>והני ערכאות לאו בשל גוים מיירי אלא הדיוטות הממונים לדון</w:t>
      </w:r>
      <w:r>
        <w:rPr>
          <w:rFonts w:cs="Arial" w:hint="cs"/>
          <w:rtl/>
        </w:rPr>
        <w:t>,</w:t>
      </w:r>
      <w:r>
        <w:rPr>
          <w:rFonts w:cs="Arial"/>
          <w:rtl/>
        </w:rPr>
        <w:t xml:space="preserve"> כן מוכח שמה</w:t>
      </w:r>
      <w:r>
        <w:rPr>
          <w:rFonts w:hint="cs"/>
          <w:rtl/>
        </w:rPr>
        <w:t xml:space="preserve">, דרכ"מ (אות ז). </w:t>
      </w:r>
    </w:p>
  </w:footnote>
  <w:footnote w:id="756">
    <w:p w14:paraId="03A2928D" w14:textId="77777777" w:rsidR="0013116F" w:rsidRDefault="0013116F">
      <w:pPr>
        <w:pStyle w:val="a9"/>
        <w:rPr>
          <w:rtl/>
        </w:rPr>
      </w:pPr>
      <w:r>
        <w:rPr>
          <w:rStyle w:val="ab"/>
        </w:rPr>
        <w:footnoteRef/>
      </w:r>
      <w:r>
        <w:rPr>
          <w:rtl/>
        </w:rPr>
        <w:t xml:space="preserve"> </w:t>
      </w:r>
      <w:r>
        <w:rPr>
          <w:rFonts w:hint="cs"/>
          <w:rtl/>
        </w:rPr>
        <w:t>תיבה זו ליתא בתשובת בנימין זאב שלפני, אך הדרכ"מ כתבה.</w:t>
      </w:r>
    </w:p>
  </w:footnote>
  <w:footnote w:id="757">
    <w:p w14:paraId="0EDCD15D" w14:textId="77777777" w:rsidR="0013116F" w:rsidRDefault="0013116F">
      <w:pPr>
        <w:pStyle w:val="a9"/>
        <w:rPr>
          <w:rtl/>
        </w:rPr>
      </w:pPr>
      <w:r>
        <w:rPr>
          <w:rStyle w:val="ab"/>
        </w:rPr>
        <w:footnoteRef/>
      </w:r>
      <w:r>
        <w:rPr>
          <w:rtl/>
        </w:rPr>
        <w:t xml:space="preserve"> </w:t>
      </w:r>
      <w:r>
        <w:rPr>
          <w:rFonts w:cs="Arial"/>
          <w:rtl/>
        </w:rPr>
        <w:t>וכדמוכח בריש פרק זה בורר (כג.) דאקשינן ואפילו לוה מצי מעכב וכו' כדאמר רבי יוחנן בערכאות שבסוריא שנו וכו' רב פפא אמר אפילו תימא מומחין כגון בי דינא דרב הונא ורב חסדא דאמר ליה מי קא מטרחנא לך</w:t>
      </w:r>
      <w:r>
        <w:rPr>
          <w:rFonts w:cs="Arial" w:hint="cs"/>
          <w:rtl/>
        </w:rPr>
        <w:t>,</w:t>
      </w:r>
      <w:r>
        <w:rPr>
          <w:rFonts w:cs="Arial"/>
          <w:rtl/>
        </w:rPr>
        <w:t xml:space="preserve"> והדבר ידוע דרב חסדא תלמיד רב הונא היה ואסור לתלמיד להורות תוך שלש פרסאות דרבו אלמא תוך שלש פרסאות אף הלוה יכול לעכב ולומר לבית דין הגדול אני הולך דעכשיו אין המלוה צריך להוציא הוצאות ואין לו טורח כל כך</w:t>
      </w:r>
      <w:r>
        <w:rPr>
          <w:rFonts w:cs="Arial" w:hint="cs"/>
          <w:rtl/>
        </w:rPr>
        <w:t>, רשב"א</w:t>
      </w:r>
      <w:r>
        <w:rPr>
          <w:rFonts w:cs="Arial"/>
          <w:rtl/>
        </w:rPr>
        <w:t>.</w:t>
      </w:r>
    </w:p>
  </w:footnote>
  <w:footnote w:id="758">
    <w:p w14:paraId="4858A1B8" w14:textId="77777777" w:rsidR="0013116F" w:rsidRDefault="0013116F" w:rsidP="00F21038">
      <w:pPr>
        <w:pStyle w:val="a9"/>
        <w:rPr>
          <w:rtl/>
        </w:rPr>
      </w:pPr>
      <w:r>
        <w:rPr>
          <w:rStyle w:val="ab"/>
        </w:rPr>
        <w:footnoteRef/>
      </w:r>
      <w:r>
        <w:rPr>
          <w:rtl/>
        </w:rPr>
        <w:t xml:space="preserve"> </w:t>
      </w:r>
      <w:r>
        <w:rPr>
          <w:rFonts w:cs="Arial"/>
          <w:rtl/>
        </w:rPr>
        <w:t>ועיין בנמוקי יוסף ריש פרק זה בורר (ג:) כי הוא כתב כמה חילוקים בדינים אלו</w:t>
      </w:r>
      <w:r>
        <w:rPr>
          <w:rFonts w:hint="cs"/>
          <w:rtl/>
        </w:rPr>
        <w:t>, ב"י.</w:t>
      </w:r>
    </w:p>
  </w:footnote>
  <w:footnote w:id="759">
    <w:p w14:paraId="0B40EDE2" w14:textId="77777777" w:rsidR="0013116F" w:rsidRDefault="0013116F">
      <w:pPr>
        <w:pStyle w:val="a9"/>
        <w:rPr>
          <w:rtl/>
        </w:rPr>
      </w:pPr>
      <w:r>
        <w:rPr>
          <w:rStyle w:val="ab"/>
        </w:rPr>
        <w:footnoteRef/>
      </w:r>
      <w:r w:rsidRPr="0084477D">
        <w:rPr>
          <w:rFonts w:cs="Arial"/>
          <w:rtl/>
        </w:rPr>
        <w:t xml:space="preserve"> ועוד האריך בדינים אלו סי</w:t>
      </w:r>
      <w:r>
        <w:rPr>
          <w:rFonts w:cs="Arial" w:hint="cs"/>
          <w:rtl/>
        </w:rPr>
        <w:t>'</w:t>
      </w:r>
      <w:r w:rsidRPr="0084477D">
        <w:rPr>
          <w:rFonts w:cs="Arial"/>
          <w:rtl/>
        </w:rPr>
        <w:t xml:space="preserve"> סג</w:t>
      </w:r>
      <w:r>
        <w:rPr>
          <w:rFonts w:cs="Arial" w:hint="cs"/>
          <w:rtl/>
        </w:rPr>
        <w:t>-</w:t>
      </w:r>
      <w:r w:rsidRPr="0084477D">
        <w:rPr>
          <w:rFonts w:cs="Arial"/>
          <w:rtl/>
        </w:rPr>
        <w:t>סד</w:t>
      </w:r>
      <w:r>
        <w:rPr>
          <w:rFonts w:cs="Arial" w:hint="cs"/>
          <w:rtl/>
        </w:rPr>
        <w:t>,</w:t>
      </w:r>
      <w:r w:rsidRPr="0084477D">
        <w:rPr>
          <w:rFonts w:cs="Arial"/>
          <w:rtl/>
        </w:rPr>
        <w:t xml:space="preserve"> ובס</w:t>
      </w:r>
      <w:r>
        <w:rPr>
          <w:rFonts w:cs="Arial" w:hint="cs"/>
          <w:rtl/>
        </w:rPr>
        <w:t>י'</w:t>
      </w:r>
      <w:r w:rsidRPr="0084477D">
        <w:rPr>
          <w:rFonts w:cs="Arial"/>
          <w:rtl/>
        </w:rPr>
        <w:t xml:space="preserve"> פז כתב דבאלו הדינים אין לדיין אלא מה שעיניו רואות</w:t>
      </w:r>
      <w:r>
        <w:rPr>
          <w:rFonts w:hint="cs"/>
          <w:rtl/>
        </w:rPr>
        <w:t xml:space="preserve">, דרכ"מ (אות ח). </w:t>
      </w:r>
    </w:p>
  </w:footnote>
  <w:footnote w:id="760">
    <w:p w14:paraId="54F2A901" w14:textId="77777777" w:rsidR="0013116F" w:rsidRDefault="0013116F">
      <w:pPr>
        <w:pStyle w:val="a9"/>
      </w:pPr>
      <w:r>
        <w:rPr>
          <w:rStyle w:val="ab"/>
        </w:rPr>
        <w:footnoteRef/>
      </w:r>
      <w:r>
        <w:rPr>
          <w:rtl/>
        </w:rPr>
        <w:t xml:space="preserve"> </w:t>
      </w:r>
      <w:r w:rsidRPr="0084477D">
        <w:rPr>
          <w:rFonts w:cs="Arial"/>
          <w:rtl/>
        </w:rPr>
        <w:t>וכ"כ נמוק</w:t>
      </w:r>
      <w:r>
        <w:rPr>
          <w:rFonts w:cs="Arial" w:hint="cs"/>
          <w:rtl/>
        </w:rPr>
        <w:t>"</w:t>
      </w:r>
      <w:r w:rsidRPr="0084477D">
        <w:rPr>
          <w:rFonts w:cs="Arial"/>
          <w:rtl/>
        </w:rPr>
        <w:t>י</w:t>
      </w:r>
      <w:r w:rsidRPr="00AB3315">
        <w:rPr>
          <w:rFonts w:cs="Arial"/>
          <w:sz w:val="16"/>
          <w:szCs w:val="16"/>
          <w:rtl/>
        </w:rPr>
        <w:t xml:space="preserve"> </w:t>
      </w:r>
      <w:r w:rsidRPr="00AB3315">
        <w:rPr>
          <w:rFonts w:cs="Arial" w:hint="cs"/>
          <w:sz w:val="16"/>
          <w:szCs w:val="16"/>
          <w:rtl/>
        </w:rPr>
        <w:t>(</w:t>
      </w:r>
      <w:r w:rsidRPr="00AB3315">
        <w:rPr>
          <w:rFonts w:cs="Arial"/>
          <w:sz w:val="16"/>
          <w:szCs w:val="16"/>
          <w:rtl/>
        </w:rPr>
        <w:t>ר</w:t>
      </w:r>
      <w:r w:rsidRPr="00AB3315">
        <w:rPr>
          <w:rFonts w:cs="Arial" w:hint="cs"/>
          <w:sz w:val="16"/>
          <w:szCs w:val="16"/>
          <w:rtl/>
        </w:rPr>
        <w:t xml:space="preserve">"פ </w:t>
      </w:r>
      <w:r w:rsidRPr="00AB3315">
        <w:rPr>
          <w:rFonts w:cs="Arial"/>
          <w:sz w:val="16"/>
          <w:szCs w:val="16"/>
          <w:rtl/>
        </w:rPr>
        <w:t>זה בורר ג</w:t>
      </w:r>
      <w:r w:rsidRPr="00AB3315">
        <w:rPr>
          <w:rFonts w:cs="Arial" w:hint="cs"/>
          <w:sz w:val="16"/>
          <w:szCs w:val="16"/>
          <w:rtl/>
        </w:rPr>
        <w:t>:</w:t>
      </w:r>
      <w:r w:rsidRPr="00AB3315">
        <w:rPr>
          <w:rFonts w:cs="Arial"/>
          <w:sz w:val="16"/>
          <w:szCs w:val="16"/>
          <w:rtl/>
        </w:rPr>
        <w:t>)</w:t>
      </w:r>
      <w:r>
        <w:rPr>
          <w:rFonts w:cs="Arial" w:hint="cs"/>
          <w:rtl/>
        </w:rPr>
        <w:t>,</w:t>
      </w:r>
      <w:r w:rsidRPr="0084477D">
        <w:rPr>
          <w:rFonts w:cs="Arial"/>
          <w:rtl/>
        </w:rPr>
        <w:t xml:space="preserve"> וכ</w:t>
      </w:r>
      <w:r>
        <w:rPr>
          <w:rFonts w:cs="Arial" w:hint="cs"/>
          <w:rtl/>
        </w:rPr>
        <w:t xml:space="preserve">' </w:t>
      </w:r>
      <w:r w:rsidRPr="0084477D">
        <w:rPr>
          <w:rFonts w:cs="Arial"/>
          <w:rtl/>
        </w:rPr>
        <w:t>דאם הם רחוקים בשוה הולכים אחר הגדול</w:t>
      </w:r>
      <w:r>
        <w:rPr>
          <w:rFonts w:cs="Arial" w:hint="cs"/>
          <w:rtl/>
        </w:rPr>
        <w:t>,</w:t>
      </w:r>
      <w:r w:rsidRPr="0084477D">
        <w:rPr>
          <w:rFonts w:cs="Arial"/>
          <w:rtl/>
        </w:rPr>
        <w:t xml:space="preserve"> וכ</w:t>
      </w:r>
      <w:r>
        <w:rPr>
          <w:rFonts w:cs="Arial" w:hint="cs"/>
          <w:rtl/>
        </w:rPr>
        <w:t>"</w:t>
      </w:r>
      <w:r w:rsidRPr="0084477D">
        <w:rPr>
          <w:rFonts w:cs="Arial"/>
          <w:rtl/>
        </w:rPr>
        <w:t xml:space="preserve">ה בירושלמי </w:t>
      </w:r>
      <w:r w:rsidRPr="00EA22B2">
        <w:rPr>
          <w:rFonts w:cs="Arial"/>
          <w:sz w:val="16"/>
          <w:szCs w:val="16"/>
          <w:rtl/>
        </w:rPr>
        <w:t>(פ"ג ה"ב)</w:t>
      </w:r>
      <w:r>
        <w:rPr>
          <w:rFonts w:cs="Arial" w:hint="cs"/>
          <w:rtl/>
        </w:rPr>
        <w:t xml:space="preserve">, דרכ"מ </w:t>
      </w:r>
      <w:r w:rsidRPr="00EA22B2">
        <w:rPr>
          <w:rFonts w:cs="Arial" w:hint="cs"/>
          <w:sz w:val="16"/>
          <w:szCs w:val="16"/>
          <w:rtl/>
        </w:rPr>
        <w:t>(אות ו)</w:t>
      </w:r>
      <w:r>
        <w:rPr>
          <w:rFonts w:cs="Arial" w:hint="cs"/>
          <w:rtl/>
        </w:rPr>
        <w:t>.</w:t>
      </w:r>
      <w:r w:rsidRPr="00EA22B2">
        <w:rPr>
          <w:rFonts w:cs="Arial"/>
          <w:color w:val="00B0F0"/>
          <w:rtl/>
        </w:rPr>
        <w:t xml:space="preserve"> </w:t>
      </w:r>
      <w:r w:rsidRPr="00EA22B2">
        <w:rPr>
          <w:rFonts w:cs="Arial" w:hint="cs"/>
          <w:color w:val="00B0F0"/>
          <w:rtl/>
        </w:rPr>
        <w:t xml:space="preserve">(וכ"פ </w:t>
      </w:r>
      <w:r>
        <w:rPr>
          <w:rFonts w:cs="Arial" w:hint="cs"/>
          <w:color w:val="00B0F0"/>
          <w:rtl/>
        </w:rPr>
        <w:t>הרמ"א</w:t>
      </w:r>
      <w:r w:rsidRPr="00EA22B2">
        <w:rPr>
          <w:rFonts w:cs="Arial" w:hint="cs"/>
          <w:color w:val="00B0F0"/>
          <w:rtl/>
        </w:rPr>
        <w:t>)</w:t>
      </w:r>
    </w:p>
  </w:footnote>
  <w:footnote w:id="761">
    <w:p w14:paraId="7C4A6426" w14:textId="77777777" w:rsidR="0013116F" w:rsidRDefault="0013116F" w:rsidP="003804EF">
      <w:pPr>
        <w:pStyle w:val="a9"/>
        <w:rPr>
          <w:rtl/>
        </w:rPr>
      </w:pPr>
      <w:r>
        <w:rPr>
          <w:rStyle w:val="ab"/>
        </w:rPr>
        <w:footnoteRef/>
      </w:r>
      <w:r>
        <w:rPr>
          <w:rtl/>
        </w:rPr>
        <w:t xml:space="preserve"> </w:t>
      </w:r>
      <w:r>
        <w:rPr>
          <w:rFonts w:cs="Arial"/>
          <w:rtl/>
        </w:rPr>
        <w:t>ועיין בתשובת הרא"ש (כלל עג סי' ג) שכתבתי בסימן ק"ו (ס"ד)</w:t>
      </w:r>
      <w:r>
        <w:rPr>
          <w:rFonts w:hint="cs"/>
          <w:rtl/>
        </w:rPr>
        <w:t>, ב"י.</w:t>
      </w:r>
    </w:p>
  </w:footnote>
  <w:footnote w:id="762">
    <w:p w14:paraId="4CF10F5F" w14:textId="77777777" w:rsidR="0013116F" w:rsidRDefault="0013116F" w:rsidP="003804EF">
      <w:pPr>
        <w:pStyle w:val="a9"/>
        <w:rPr>
          <w:rtl/>
        </w:rPr>
      </w:pPr>
      <w:r>
        <w:rPr>
          <w:rStyle w:val="ab"/>
        </w:rPr>
        <w:footnoteRef/>
      </w:r>
      <w:r>
        <w:rPr>
          <w:rtl/>
        </w:rPr>
        <w:t xml:space="preserve"> </w:t>
      </w:r>
      <w:r>
        <w:rPr>
          <w:rFonts w:cs="Arial"/>
          <w:rtl/>
        </w:rPr>
        <w:t>ועיין (ח"א) בסימן תתקס"ו</w:t>
      </w:r>
      <w:r>
        <w:rPr>
          <w:rFonts w:cs="Arial" w:hint="cs"/>
          <w:rtl/>
        </w:rPr>
        <w:t xml:space="preserve">, ב"י. </w:t>
      </w:r>
      <w:r w:rsidRPr="00F03CB0">
        <w:rPr>
          <w:rFonts w:cs="Arial"/>
          <w:rtl/>
        </w:rPr>
        <w:t>ועיין לקמן סימן ק"ו (ס"א) ובסימן ע"ט (ס"ה) מקצת דינים אלו</w:t>
      </w:r>
      <w:r>
        <w:rPr>
          <w:rFonts w:cs="Arial" w:hint="cs"/>
          <w:rtl/>
        </w:rPr>
        <w:t xml:space="preserve">, דרכ"מ </w:t>
      </w:r>
      <w:r w:rsidRPr="00F03CB0">
        <w:rPr>
          <w:rFonts w:cs="Arial"/>
          <w:rtl/>
        </w:rPr>
        <w:t>(</w:t>
      </w:r>
      <w:r>
        <w:rPr>
          <w:rFonts w:cs="Arial" w:hint="cs"/>
          <w:rtl/>
        </w:rPr>
        <w:t xml:space="preserve">אות </w:t>
      </w:r>
      <w:r w:rsidRPr="00F03CB0">
        <w:rPr>
          <w:rFonts w:cs="Arial"/>
          <w:rtl/>
        </w:rPr>
        <w:t xml:space="preserve">ד). </w:t>
      </w:r>
    </w:p>
  </w:footnote>
  <w:footnote w:id="763">
    <w:p w14:paraId="56E79C3B" w14:textId="77777777" w:rsidR="0013116F" w:rsidRDefault="0013116F">
      <w:pPr>
        <w:pStyle w:val="a9"/>
        <w:rPr>
          <w:rtl/>
        </w:rPr>
      </w:pPr>
      <w:r>
        <w:rPr>
          <w:rStyle w:val="ab"/>
        </w:rPr>
        <w:footnoteRef/>
      </w:r>
      <w:r>
        <w:rPr>
          <w:rtl/>
        </w:rPr>
        <w:t xml:space="preserve"> </w:t>
      </w:r>
      <w:r>
        <w:rPr>
          <w:rFonts w:hint="cs"/>
          <w:rtl/>
        </w:rPr>
        <w:t xml:space="preserve">סימן </w:t>
      </w:r>
      <w:r>
        <w:rPr>
          <w:rtl/>
        </w:rPr>
        <w:t>–</w:t>
      </w:r>
      <w:r>
        <w:rPr>
          <w:rFonts w:hint="cs"/>
          <w:rtl/>
        </w:rPr>
        <w:t xml:space="preserve"> ספר טעמך. וכן </w:t>
      </w:r>
      <w:r>
        <w:rPr>
          <w:rtl/>
        </w:rPr>
        <w:t>–</w:t>
      </w:r>
      <w:r w:rsidRPr="00416B96">
        <w:rPr>
          <w:rFonts w:hint="cs"/>
          <w:rtl/>
        </w:rPr>
        <w:t xml:space="preserve"> </w:t>
      </w:r>
      <w:r>
        <w:rPr>
          <w:rFonts w:hint="cs"/>
          <w:rtl/>
        </w:rPr>
        <w:t xml:space="preserve">טל הים </w:t>
      </w:r>
      <w:r>
        <w:rPr>
          <w:rFonts w:hint="cs"/>
          <w:sz w:val="14"/>
          <w:szCs w:val="14"/>
          <w:rtl/>
        </w:rPr>
        <w:t xml:space="preserve">{תאמר לו} </w:t>
      </w:r>
      <w:r>
        <w:rPr>
          <w:rFonts w:hint="cs"/>
          <w:rtl/>
        </w:rPr>
        <w:t>סברתך.</w:t>
      </w:r>
    </w:p>
  </w:footnote>
  <w:footnote w:id="764">
    <w:p w14:paraId="0E6172C8" w14:textId="77777777" w:rsidR="0013116F" w:rsidRDefault="0013116F">
      <w:pPr>
        <w:pStyle w:val="a9"/>
      </w:pPr>
      <w:r>
        <w:rPr>
          <w:rStyle w:val="ab"/>
        </w:rPr>
        <w:footnoteRef/>
      </w:r>
      <w:r>
        <w:rPr>
          <w:rtl/>
        </w:rPr>
        <w:t xml:space="preserve"> </w:t>
      </w:r>
      <w:r w:rsidRPr="00F52D4A">
        <w:rPr>
          <w:rFonts w:cs="Arial"/>
          <w:rtl/>
        </w:rPr>
        <w:t>רצה האחד מהם לסיים את השותפות ביניהם</w:t>
      </w:r>
      <w:r>
        <w:rPr>
          <w:rFonts w:cs="Arial" w:hint="cs"/>
          <w:rtl/>
        </w:rPr>
        <w:t>, ו</w:t>
      </w:r>
      <w:r w:rsidRPr="00F52D4A">
        <w:rPr>
          <w:rFonts w:cs="Arial"/>
          <w:rtl/>
        </w:rPr>
        <w:t>חילק לשניים את מעות השותפות בלא דעתיה דחבריה, ונטל את מחצית המעות לעצמו</w:t>
      </w:r>
      <w:r>
        <w:rPr>
          <w:rFonts w:cs="Arial" w:hint="cs"/>
          <w:rtl/>
        </w:rPr>
        <w:t xml:space="preserve"> </w:t>
      </w:r>
      <w:r>
        <w:rPr>
          <w:rFonts w:cs="Arial" w:hint="cs"/>
          <w:sz w:val="16"/>
          <w:szCs w:val="16"/>
          <w:rtl/>
        </w:rPr>
        <w:t>(חברותא)</w:t>
      </w:r>
      <w:r w:rsidRPr="00F52D4A">
        <w:rPr>
          <w:rFonts w:cs="Arial"/>
          <w:rtl/>
        </w:rPr>
        <w:t>.</w:t>
      </w:r>
    </w:p>
  </w:footnote>
  <w:footnote w:id="765">
    <w:p w14:paraId="4B7D12FC" w14:textId="77777777" w:rsidR="0013116F" w:rsidRDefault="0013116F">
      <w:pPr>
        <w:pStyle w:val="a9"/>
      </w:pPr>
      <w:r>
        <w:rPr>
          <w:rStyle w:val="ab"/>
        </w:rPr>
        <w:footnoteRef/>
      </w:r>
      <w:r>
        <w:rPr>
          <w:rtl/>
        </w:rPr>
        <w:t xml:space="preserve"> </w:t>
      </w:r>
      <w:r w:rsidRPr="00F52D4A">
        <w:rPr>
          <w:rFonts w:cs="Arial"/>
          <w:rtl/>
        </w:rPr>
        <w:t>השני, שבשנה הקודמת טען אצל רב פפא נגד חלוקת השותפות שלא בשומה, ועתה הוא לא רצה עוד את השותפות ביין</w:t>
      </w:r>
      <w:r>
        <w:rPr>
          <w:rFonts w:cs="Arial" w:hint="cs"/>
          <w:rtl/>
        </w:rPr>
        <w:t xml:space="preserve"> </w:t>
      </w:r>
      <w:r>
        <w:rPr>
          <w:rFonts w:cs="Arial" w:hint="cs"/>
          <w:sz w:val="16"/>
          <w:szCs w:val="16"/>
          <w:rtl/>
        </w:rPr>
        <w:t>(חברותא)</w:t>
      </w:r>
      <w:r>
        <w:rPr>
          <w:rFonts w:hint="cs"/>
          <w:rtl/>
        </w:rPr>
        <w:t>.</w:t>
      </w:r>
    </w:p>
  </w:footnote>
  <w:footnote w:id="766">
    <w:p w14:paraId="184E2D75" w14:textId="77777777" w:rsidR="0013116F" w:rsidRDefault="0013116F">
      <w:pPr>
        <w:pStyle w:val="a9"/>
        <w:rPr>
          <w:rtl/>
        </w:rPr>
      </w:pPr>
      <w:r>
        <w:rPr>
          <w:rStyle w:val="ab"/>
        </w:rPr>
        <w:footnoteRef/>
      </w:r>
      <w:r>
        <w:rPr>
          <w:rtl/>
        </w:rPr>
        <w:t xml:space="preserve"> </w:t>
      </w:r>
      <w:r w:rsidRPr="00F52D4A">
        <w:rPr>
          <w:rFonts w:cs="Arial"/>
          <w:rtl/>
        </w:rPr>
        <w:t>מי הוא הבר סמכא שחלק לך את היין? אולי לא היתה השומה שלך כראוי, והרי היא בטלה</w:t>
      </w:r>
      <w:r>
        <w:rPr>
          <w:rFonts w:cs="Arial" w:hint="cs"/>
          <w:rtl/>
        </w:rPr>
        <w:t xml:space="preserve"> </w:t>
      </w:r>
      <w:r>
        <w:rPr>
          <w:rFonts w:cs="Arial" w:hint="cs"/>
          <w:sz w:val="16"/>
          <w:szCs w:val="16"/>
          <w:rtl/>
        </w:rPr>
        <w:t>(חברותא)</w:t>
      </w:r>
      <w:r w:rsidRPr="00F52D4A">
        <w:rPr>
          <w:rFonts w:cs="Arial"/>
          <w:rtl/>
        </w:rPr>
        <w:t>.</w:t>
      </w:r>
    </w:p>
  </w:footnote>
  <w:footnote w:id="767">
    <w:p w14:paraId="0A32A82A" w14:textId="77777777" w:rsidR="0013116F" w:rsidRDefault="0013116F">
      <w:pPr>
        <w:pStyle w:val="a9"/>
      </w:pPr>
      <w:r>
        <w:rPr>
          <w:rStyle w:val="ab"/>
        </w:rPr>
        <w:footnoteRef/>
      </w:r>
      <w:r>
        <w:rPr>
          <w:rtl/>
        </w:rPr>
        <w:t xml:space="preserve"> </w:t>
      </w:r>
      <w:r w:rsidRPr="00F52D4A">
        <w:rPr>
          <w:rFonts w:cs="Arial"/>
          <w:rtl/>
        </w:rPr>
        <w:t>נוכח אני לדעת כי אתה פוסק תמיד לטובת זה שכנגדי</w:t>
      </w:r>
      <w:r>
        <w:rPr>
          <w:rFonts w:cs="Arial" w:hint="cs"/>
          <w:rtl/>
        </w:rPr>
        <w:t xml:space="preserve"> </w:t>
      </w:r>
      <w:r>
        <w:rPr>
          <w:rFonts w:cs="Arial" w:hint="cs"/>
          <w:sz w:val="16"/>
          <w:szCs w:val="16"/>
          <w:rtl/>
        </w:rPr>
        <w:t>(חברותא)</w:t>
      </w:r>
      <w:r w:rsidRPr="00F52D4A">
        <w:rPr>
          <w:rFonts w:cs="Arial"/>
          <w:rtl/>
        </w:rPr>
        <w:t>.</w:t>
      </w:r>
    </w:p>
  </w:footnote>
  <w:footnote w:id="768">
    <w:p w14:paraId="546A11BF" w14:textId="77777777" w:rsidR="0013116F" w:rsidRDefault="0013116F">
      <w:pPr>
        <w:pStyle w:val="a9"/>
      </w:pPr>
      <w:r>
        <w:rPr>
          <w:rStyle w:val="ab"/>
        </w:rPr>
        <w:footnoteRef/>
      </w:r>
      <w:r>
        <w:rPr>
          <w:rtl/>
        </w:rPr>
        <w:t xml:space="preserve"> </w:t>
      </w:r>
      <w:r>
        <w:rPr>
          <w:rFonts w:hint="cs"/>
          <w:rtl/>
        </w:rPr>
        <w:t xml:space="preserve">התוס' הביאו שתי אפשריות לפרש את דברי רב פפא. </w:t>
      </w:r>
      <w:r w:rsidRPr="00E94214">
        <w:rPr>
          <w:rFonts w:hint="cs"/>
          <w:u w:val="single"/>
          <w:rtl/>
        </w:rPr>
        <w:t>א:</w:t>
      </w:r>
      <w:r>
        <w:rPr>
          <w:rFonts w:hint="cs"/>
          <w:rtl/>
        </w:rPr>
        <w:t xml:space="preserve"> שאע"פ שבד"כ הדיין לא צריך לומר לבעלי הדין את טעם הפסק, מ"מ הכא </w:t>
      </w:r>
      <w:r w:rsidRPr="00E94214">
        <w:rPr>
          <w:rFonts w:cs="Arial"/>
          <w:rtl/>
        </w:rPr>
        <w:t>לפי שהיה לו פתחון פה לחשדו קאמר דצריך לאודועיה משום והייתם נקיים מה' ומישראל</w:t>
      </w:r>
      <w:r>
        <w:rPr>
          <w:rFonts w:hint="cs"/>
          <w:rtl/>
        </w:rPr>
        <w:t>.</w:t>
      </w:r>
      <w:r w:rsidRPr="00E94214">
        <w:rPr>
          <w:rFonts w:hint="cs"/>
          <w:color w:val="E36C0A" w:themeColor="accent6" w:themeShade="BF"/>
          <w:rtl/>
        </w:rPr>
        <w:t xml:space="preserve"> (וכ"פ בשו"ע</w:t>
      </w:r>
      <w:r>
        <w:rPr>
          <w:rFonts w:hint="cs"/>
          <w:rtl/>
        </w:rPr>
        <w:t xml:space="preserve"> </w:t>
      </w:r>
      <w:r w:rsidRPr="00E94214">
        <w:rPr>
          <w:rFonts w:hint="cs"/>
          <w:sz w:val="16"/>
          <w:szCs w:val="16"/>
          <w:rtl/>
        </w:rPr>
        <w:t>[</w:t>
      </w:r>
      <w:r>
        <w:rPr>
          <w:rFonts w:hint="cs"/>
          <w:sz w:val="16"/>
          <w:szCs w:val="16"/>
          <w:rtl/>
        </w:rPr>
        <w:t>בסע' ד]</w:t>
      </w:r>
      <w:r w:rsidRPr="00E94214">
        <w:rPr>
          <w:rFonts w:hint="cs"/>
          <w:color w:val="E36C0A" w:themeColor="accent6" w:themeShade="BF"/>
          <w:rtl/>
        </w:rPr>
        <w:t>)</w:t>
      </w:r>
      <w:r>
        <w:rPr>
          <w:rFonts w:hint="cs"/>
          <w:rtl/>
        </w:rPr>
        <w:t xml:space="preserve"> </w:t>
      </w:r>
      <w:r w:rsidRPr="00E94214">
        <w:rPr>
          <w:rFonts w:hint="cs"/>
          <w:u w:val="single"/>
          <w:rtl/>
        </w:rPr>
        <w:t>ב:</w:t>
      </w:r>
      <w:r>
        <w:rPr>
          <w:rFonts w:hint="cs"/>
          <w:rtl/>
        </w:rPr>
        <w:t xml:space="preserve"> </w:t>
      </w:r>
      <w:r w:rsidRPr="00E94214">
        <w:rPr>
          <w:rFonts w:cs="Arial"/>
          <w:rtl/>
        </w:rPr>
        <w:t>דלא איירי הודעה מאיזה טעם חייבו אלא היה משיבו כל כה"ג היה לך להודיעו כשחלקת ולא היה לך לחלוק שלא מדעתו.</w:t>
      </w:r>
      <w:r>
        <w:rPr>
          <w:rFonts w:hint="cs"/>
          <w:rtl/>
        </w:rPr>
        <w:t xml:space="preserve"> </w:t>
      </w:r>
      <w:r w:rsidRPr="00E94214">
        <w:rPr>
          <w:rFonts w:hint="cs"/>
          <w:color w:val="E36C0A" w:themeColor="accent6" w:themeShade="BF"/>
          <w:rtl/>
        </w:rPr>
        <w:t>(וכ"פ בשו"ע</w:t>
      </w:r>
      <w:r>
        <w:rPr>
          <w:rFonts w:hint="cs"/>
          <w:rtl/>
        </w:rPr>
        <w:t xml:space="preserve"> </w:t>
      </w:r>
      <w:r w:rsidRPr="00E94214">
        <w:rPr>
          <w:rFonts w:hint="cs"/>
          <w:sz w:val="16"/>
          <w:szCs w:val="16"/>
          <w:rtl/>
        </w:rPr>
        <w:t>[יו"ד סי' קעז סע' כג</w:t>
      </w:r>
      <w:r>
        <w:rPr>
          <w:rFonts w:hint="cs"/>
          <w:sz w:val="16"/>
          <w:szCs w:val="16"/>
          <w:rtl/>
        </w:rPr>
        <w:t>]</w:t>
      </w:r>
      <w:r w:rsidRPr="00E94214">
        <w:rPr>
          <w:rFonts w:hint="cs"/>
          <w:color w:val="E36C0A" w:themeColor="accent6" w:themeShade="BF"/>
          <w:rtl/>
        </w:rPr>
        <w:t>)</w:t>
      </w:r>
      <w:r w:rsidRPr="00E94214">
        <w:rPr>
          <w:rFonts w:cs="Arial"/>
          <w:rtl/>
        </w:rPr>
        <w:t xml:space="preserve"> </w:t>
      </w:r>
    </w:p>
  </w:footnote>
  <w:footnote w:id="769">
    <w:p w14:paraId="0437B8F6" w14:textId="77777777" w:rsidR="0013116F" w:rsidRDefault="0013116F">
      <w:pPr>
        <w:pStyle w:val="a9"/>
        <w:rPr>
          <w:rtl/>
        </w:rPr>
      </w:pPr>
      <w:r>
        <w:rPr>
          <w:rStyle w:val="ab"/>
        </w:rPr>
        <w:footnoteRef/>
      </w:r>
      <w:r>
        <w:rPr>
          <w:rtl/>
        </w:rPr>
        <w:t xml:space="preserve"> </w:t>
      </w:r>
      <w:r w:rsidRPr="00F52D4A">
        <w:rPr>
          <w:rFonts w:cs="Arial"/>
          <w:rtl/>
        </w:rPr>
        <w:t>דווקא זוזי אפשר לחלוק לבד,</w:t>
      </w:r>
      <w:r>
        <w:rPr>
          <w:rFonts w:cs="Arial" w:hint="cs"/>
          <w:rtl/>
        </w:rPr>
        <w:t xml:space="preserve"> דאלו שהניח טובים כמו אלו שנטל</w:t>
      </w:r>
      <w:r w:rsidRPr="00F52D4A">
        <w:rPr>
          <w:rFonts w:cs="Arial"/>
          <w:rtl/>
        </w:rPr>
        <w:t>.</w:t>
      </w:r>
      <w:r>
        <w:rPr>
          <w:rFonts w:cs="Arial" w:hint="cs"/>
          <w:rtl/>
        </w:rPr>
        <w:t xml:space="preserve"> אבל יין, יש יין טוב ויש יין פחות טוב.</w:t>
      </w:r>
    </w:p>
  </w:footnote>
  <w:footnote w:id="770">
    <w:p w14:paraId="68BF7069" w14:textId="77777777" w:rsidR="0013116F" w:rsidRDefault="0013116F">
      <w:pPr>
        <w:pStyle w:val="a9"/>
      </w:pPr>
      <w:r>
        <w:rPr>
          <w:rStyle w:val="ab"/>
        </w:rPr>
        <w:footnoteRef/>
      </w:r>
      <w:r>
        <w:rPr>
          <w:rtl/>
        </w:rPr>
        <w:t xml:space="preserve"> </w:t>
      </w:r>
      <w:r>
        <w:rPr>
          <w:rFonts w:hint="cs"/>
          <w:rtl/>
        </w:rPr>
        <w:t xml:space="preserve">סימן </w:t>
      </w:r>
      <w:r>
        <w:rPr>
          <w:rtl/>
        </w:rPr>
        <w:t>–</w:t>
      </w:r>
      <w:r>
        <w:rPr>
          <w:rFonts w:hint="cs"/>
          <w:rtl/>
        </w:rPr>
        <w:t xml:space="preserve"> לאן אלך לכאן אלך.</w:t>
      </w:r>
    </w:p>
  </w:footnote>
  <w:footnote w:id="771">
    <w:p w14:paraId="13484B15" w14:textId="77777777" w:rsidR="0013116F" w:rsidRDefault="0013116F">
      <w:pPr>
        <w:pStyle w:val="a9"/>
      </w:pPr>
      <w:r>
        <w:rPr>
          <w:rStyle w:val="ab"/>
        </w:rPr>
        <w:footnoteRef/>
      </w:r>
      <w:r>
        <w:rPr>
          <w:rtl/>
        </w:rPr>
        <w:t xml:space="preserve"> </w:t>
      </w:r>
      <w:r>
        <w:rPr>
          <w:rFonts w:hint="cs"/>
          <w:rtl/>
        </w:rPr>
        <w:t xml:space="preserve">והיכא דלא ביקש </w:t>
      </w:r>
      <w:r>
        <w:rPr>
          <w:rtl/>
        </w:rPr>
        <w:t>–</w:t>
      </w:r>
      <w:r>
        <w:rPr>
          <w:rFonts w:hint="cs"/>
          <w:rtl/>
        </w:rPr>
        <w:t xml:space="preserve"> לכו"ע אין כותבין לו מדעתנו.</w:t>
      </w:r>
    </w:p>
  </w:footnote>
  <w:footnote w:id="772">
    <w:p w14:paraId="57751D6C" w14:textId="77777777" w:rsidR="0013116F" w:rsidRDefault="0013116F" w:rsidP="00521B57">
      <w:pPr>
        <w:pStyle w:val="a9"/>
      </w:pPr>
      <w:r>
        <w:rPr>
          <w:rStyle w:val="ab"/>
        </w:rPr>
        <w:footnoteRef/>
      </w:r>
      <w:r>
        <w:rPr>
          <w:rtl/>
        </w:rPr>
        <w:t xml:space="preserve"> </w:t>
      </w:r>
      <w:r>
        <w:rPr>
          <w:rFonts w:cs="Arial"/>
          <w:rtl/>
        </w:rPr>
        <w:t>שכתב על ראובן שתבע מהדיינים לכתוב לו מאיזה טעם דנוהו שכך קנו מידו על תנאי זה</w:t>
      </w:r>
      <w:r>
        <w:rPr>
          <w:rFonts w:cs="Arial" w:hint="cs"/>
          <w:rtl/>
        </w:rPr>
        <w:t>.</w:t>
      </w:r>
      <w:r>
        <w:rPr>
          <w:rFonts w:cs="Arial"/>
          <w:rtl/>
        </w:rPr>
        <w:t xml:space="preserve"> אם לא היו דבריהם תנאי אפשר שלא יתחייב בית דין לכתוב מאיזה טעם דנוהו שלא נאמרו הדברים אלא במי שכפאוהו בית דין שבעירו</w:t>
      </w:r>
      <w:r>
        <w:rPr>
          <w:rFonts w:cs="Arial" w:hint="cs"/>
          <w:rtl/>
        </w:rPr>
        <w:t>, ב"י.</w:t>
      </w:r>
      <w:r w:rsidRPr="00475E25">
        <w:rPr>
          <w:rFonts w:hint="cs"/>
          <w:rtl/>
        </w:rPr>
        <w:t xml:space="preserve"> </w:t>
      </w:r>
      <w:r>
        <w:rPr>
          <w:rFonts w:hint="cs"/>
          <w:rtl/>
        </w:rPr>
        <w:t>וכ"כ ה</w:t>
      </w:r>
      <w:r w:rsidRPr="00E323AB">
        <w:rPr>
          <w:rFonts w:cs="Arial"/>
          <w:rtl/>
        </w:rPr>
        <w:t xml:space="preserve">רשב"א </w:t>
      </w:r>
      <w:r w:rsidRPr="009743F1">
        <w:rPr>
          <w:rFonts w:cs="Arial" w:hint="cs"/>
          <w:rtl/>
        </w:rPr>
        <w:t>בתשובה</w:t>
      </w:r>
      <w:r w:rsidRPr="00942E38">
        <w:rPr>
          <w:rFonts w:cs="Arial" w:hint="cs"/>
          <w:sz w:val="16"/>
          <w:szCs w:val="16"/>
          <w:rtl/>
        </w:rPr>
        <w:t xml:space="preserve"> </w:t>
      </w:r>
      <w:r>
        <w:rPr>
          <w:rFonts w:cs="Arial" w:hint="cs"/>
          <w:sz w:val="16"/>
          <w:szCs w:val="16"/>
          <w:rtl/>
        </w:rPr>
        <w:t>(</w:t>
      </w:r>
      <w:r w:rsidRPr="00942E38">
        <w:rPr>
          <w:rFonts w:cs="Arial" w:hint="cs"/>
          <w:sz w:val="16"/>
          <w:szCs w:val="16"/>
          <w:rtl/>
        </w:rPr>
        <w:t>כ"כ הב"י בשמו)</w:t>
      </w:r>
      <w:r>
        <w:rPr>
          <w:rFonts w:cs="Arial" w:hint="cs"/>
          <w:rtl/>
        </w:rPr>
        <w:t xml:space="preserve"> וז"ל</w:t>
      </w:r>
      <w:r w:rsidRPr="00E323AB">
        <w:rPr>
          <w:rFonts w:cs="Arial" w:hint="cs"/>
          <w:rtl/>
        </w:rPr>
        <w:t xml:space="preserve">- </w:t>
      </w:r>
      <w:r w:rsidRPr="00E323AB">
        <w:rPr>
          <w:rFonts w:cs="Arial"/>
          <w:rtl/>
        </w:rPr>
        <w:t>כשהוא כותב א"צ לכתוב טעם החיוב והפטור</w:t>
      </w:r>
      <w:r w:rsidRPr="00E323AB">
        <w:rPr>
          <w:rFonts w:cs="Arial" w:hint="cs"/>
          <w:rtl/>
        </w:rPr>
        <w:t>,</w:t>
      </w:r>
      <w:r w:rsidRPr="00E323AB">
        <w:rPr>
          <w:rFonts w:cs="Arial"/>
          <w:rtl/>
        </w:rPr>
        <w:t xml:space="preserve"> שלא מצינו אלא במקום חשד וכמעשה דרב פפא כגון דא ודאי צריך לאודועי</w:t>
      </w:r>
      <w:r w:rsidRPr="00E323AB">
        <w:rPr>
          <w:rFonts w:cs="Arial" w:hint="cs"/>
          <w:rtl/>
        </w:rPr>
        <w:t>,</w:t>
      </w:r>
      <w:r w:rsidRPr="00E323AB">
        <w:rPr>
          <w:rFonts w:cs="Arial"/>
          <w:rtl/>
        </w:rPr>
        <w:t xml:space="preserve"> הא בעלמא </w:t>
      </w:r>
      <w:r>
        <w:rPr>
          <w:rFonts w:cs="Arial" w:hint="cs"/>
          <w:sz w:val="16"/>
          <w:szCs w:val="16"/>
          <w:rtl/>
        </w:rPr>
        <w:t xml:space="preserve">{היינו כשאין חשד אלא סתם בע"ד מבקש את טעם הדין} </w:t>
      </w:r>
      <w:r w:rsidRPr="00E323AB">
        <w:rPr>
          <w:rFonts w:cs="Arial"/>
          <w:rtl/>
        </w:rPr>
        <w:t>א"צ לכתוב אלא פלוני טען כן ופלוני טען כן ומתוך טענותיהם דננו כן וכן</w:t>
      </w:r>
    </w:p>
  </w:footnote>
  <w:footnote w:id="773">
    <w:p w14:paraId="42F6AC4C" w14:textId="77777777" w:rsidR="0013116F" w:rsidRDefault="0013116F" w:rsidP="00521B57">
      <w:pPr>
        <w:pStyle w:val="a9"/>
        <w:rPr>
          <w:rtl/>
        </w:rPr>
      </w:pPr>
      <w:r>
        <w:rPr>
          <w:rStyle w:val="ab"/>
        </w:rPr>
        <w:footnoteRef/>
      </w:r>
      <w:r>
        <w:rPr>
          <w:rtl/>
        </w:rPr>
        <w:t xml:space="preserve"> </w:t>
      </w:r>
      <w:r w:rsidRPr="00A17F00">
        <w:rPr>
          <w:rFonts w:cs="Arial"/>
          <w:rtl/>
        </w:rPr>
        <w:t>ר</w:t>
      </w:r>
      <w:r w:rsidRPr="00A17F00">
        <w:rPr>
          <w:rFonts w:cs="Arial" w:hint="cs"/>
          <w:rtl/>
        </w:rPr>
        <w:t>"ת</w:t>
      </w:r>
      <w:r w:rsidRPr="00A17F00">
        <w:rPr>
          <w:rFonts w:cs="Arial"/>
          <w:rtl/>
        </w:rPr>
        <w:t xml:space="preserve"> </w:t>
      </w:r>
      <w:r w:rsidRPr="00A17F00">
        <w:rPr>
          <w:rFonts w:cs="Arial"/>
          <w:sz w:val="16"/>
          <w:szCs w:val="16"/>
          <w:rtl/>
        </w:rPr>
        <w:t>(</w:t>
      </w:r>
      <w:r>
        <w:rPr>
          <w:rFonts w:cs="Arial" w:hint="cs"/>
          <w:sz w:val="16"/>
          <w:szCs w:val="16"/>
          <w:rtl/>
        </w:rPr>
        <w:t>ב</w:t>
      </w:r>
      <w:r w:rsidRPr="00A17F00">
        <w:rPr>
          <w:rFonts w:cs="Arial"/>
          <w:sz w:val="16"/>
          <w:szCs w:val="16"/>
          <w:rtl/>
        </w:rPr>
        <w:t>תוס' סט: ד"ה כי)</w:t>
      </w:r>
      <w:r w:rsidRPr="00A17F00">
        <w:rPr>
          <w:rFonts w:cs="Arial"/>
          <w:rtl/>
        </w:rPr>
        <w:t xml:space="preserve"> </w:t>
      </w:r>
      <w:r>
        <w:rPr>
          <w:rFonts w:cs="Arial" w:hint="cs"/>
          <w:rtl/>
        </w:rPr>
        <w:t>תוס'</w:t>
      </w:r>
      <w:r>
        <w:rPr>
          <w:rFonts w:cs="Arial"/>
          <w:rtl/>
        </w:rPr>
        <w:t xml:space="preserve"> </w:t>
      </w:r>
      <w:r w:rsidRPr="00A17F00">
        <w:rPr>
          <w:rFonts w:cs="Arial"/>
          <w:sz w:val="16"/>
          <w:szCs w:val="16"/>
          <w:rtl/>
        </w:rPr>
        <w:t>(סנהדרין לא: ד"ה ואם</w:t>
      </w:r>
      <w:r>
        <w:rPr>
          <w:rFonts w:cs="Arial" w:hint="cs"/>
          <w:sz w:val="16"/>
          <w:szCs w:val="16"/>
          <w:rtl/>
        </w:rPr>
        <w:t>, הנמוק"י כתב שאלו דברי ר"י</w:t>
      </w:r>
      <w:r w:rsidRPr="00A17F00">
        <w:rPr>
          <w:rFonts w:cs="Arial"/>
          <w:sz w:val="16"/>
          <w:szCs w:val="16"/>
          <w:rtl/>
        </w:rPr>
        <w:t xml:space="preserve">) </w:t>
      </w:r>
      <w:r>
        <w:rPr>
          <w:rFonts w:cs="Arial"/>
          <w:rtl/>
        </w:rPr>
        <w:t>ראב"ד</w:t>
      </w:r>
      <w:r>
        <w:rPr>
          <w:rFonts w:cs="Arial" w:hint="cs"/>
          <w:rtl/>
        </w:rPr>
        <w:t xml:space="preserve"> </w:t>
      </w:r>
      <w:r w:rsidRPr="00A17F00">
        <w:rPr>
          <w:rFonts w:cs="Arial" w:hint="cs"/>
          <w:sz w:val="16"/>
          <w:szCs w:val="16"/>
          <w:rtl/>
        </w:rPr>
        <w:t xml:space="preserve">(כ"כ הר"ן והנמוק"י בשמו) </w:t>
      </w:r>
      <w:r>
        <w:rPr>
          <w:rFonts w:cs="Arial"/>
          <w:rtl/>
        </w:rPr>
        <w:t xml:space="preserve">רמב"ם </w:t>
      </w:r>
      <w:r w:rsidRPr="00A17F00">
        <w:rPr>
          <w:rFonts w:cs="Arial" w:hint="cs"/>
          <w:sz w:val="16"/>
          <w:szCs w:val="16"/>
          <w:rtl/>
        </w:rPr>
        <w:t>(</w:t>
      </w:r>
      <w:r w:rsidRPr="00A17F00">
        <w:rPr>
          <w:rFonts w:cs="Arial"/>
          <w:sz w:val="16"/>
          <w:szCs w:val="16"/>
          <w:rtl/>
        </w:rPr>
        <w:t>פ"ו ה"ו</w:t>
      </w:r>
      <w:r w:rsidRPr="00A17F00">
        <w:rPr>
          <w:rFonts w:cs="Arial" w:hint="cs"/>
          <w:sz w:val="16"/>
          <w:szCs w:val="16"/>
          <w:rtl/>
        </w:rPr>
        <w:t xml:space="preserve">, כ"כ </w:t>
      </w:r>
      <w:r>
        <w:rPr>
          <w:rFonts w:cs="Arial" w:hint="cs"/>
          <w:sz w:val="16"/>
          <w:szCs w:val="16"/>
          <w:rtl/>
        </w:rPr>
        <w:t>הב"י שנראה מדבריו</w:t>
      </w:r>
      <w:r w:rsidRPr="00A17F00">
        <w:rPr>
          <w:rFonts w:cs="Arial"/>
          <w:sz w:val="16"/>
          <w:szCs w:val="16"/>
          <w:rtl/>
        </w:rPr>
        <w:t>)</w:t>
      </w:r>
      <w:r>
        <w:rPr>
          <w:rFonts w:cs="Arial" w:hint="cs"/>
          <w:rtl/>
        </w:rPr>
        <w:t xml:space="preserve"> </w:t>
      </w:r>
      <w:r>
        <w:rPr>
          <w:rFonts w:cs="Arial"/>
          <w:rtl/>
        </w:rPr>
        <w:t xml:space="preserve">רמב"ן </w:t>
      </w:r>
      <w:r w:rsidRPr="00A17F00">
        <w:rPr>
          <w:rFonts w:cs="Arial"/>
          <w:sz w:val="16"/>
          <w:szCs w:val="16"/>
          <w:rtl/>
        </w:rPr>
        <w:t>(ב"מ שם ד"ה כגון</w:t>
      </w:r>
      <w:r w:rsidRPr="00A17F00">
        <w:rPr>
          <w:rFonts w:cs="Arial" w:hint="cs"/>
          <w:sz w:val="16"/>
          <w:szCs w:val="16"/>
          <w:rtl/>
        </w:rPr>
        <w:t>, כ"כ הרשב"א בשמו [בחידו']</w:t>
      </w:r>
      <w:r w:rsidRPr="00A17F00">
        <w:rPr>
          <w:rFonts w:cs="Arial"/>
          <w:sz w:val="16"/>
          <w:szCs w:val="16"/>
          <w:rtl/>
        </w:rPr>
        <w:t>)</w:t>
      </w:r>
      <w:r>
        <w:rPr>
          <w:rFonts w:cs="Arial"/>
          <w:rtl/>
        </w:rPr>
        <w:t xml:space="preserve"> סמ"ג </w:t>
      </w:r>
      <w:r w:rsidRPr="00A17F00">
        <w:rPr>
          <w:rFonts w:cs="Arial"/>
          <w:sz w:val="16"/>
          <w:szCs w:val="16"/>
          <w:rtl/>
        </w:rPr>
        <w:t xml:space="preserve">(עשין צז קפג ע"ג) </w:t>
      </w:r>
      <w:r>
        <w:rPr>
          <w:rFonts w:cs="Arial" w:hint="cs"/>
          <w:rtl/>
        </w:rPr>
        <w:t>מ</w:t>
      </w:r>
      <w:r w:rsidRPr="00E323AB">
        <w:rPr>
          <w:rFonts w:cs="Arial"/>
          <w:rtl/>
        </w:rPr>
        <w:t>הר"</w:t>
      </w:r>
      <w:r>
        <w:rPr>
          <w:rFonts w:cs="Arial" w:hint="cs"/>
          <w:rtl/>
        </w:rPr>
        <w:t>ם</w:t>
      </w:r>
      <w:r w:rsidRPr="00E323AB">
        <w:rPr>
          <w:rFonts w:cs="Arial"/>
          <w:rtl/>
        </w:rPr>
        <w:t xml:space="preserve"> </w:t>
      </w:r>
      <w:r w:rsidRPr="00E323AB">
        <w:rPr>
          <w:rFonts w:cs="Arial"/>
          <w:sz w:val="16"/>
          <w:szCs w:val="16"/>
          <w:rtl/>
        </w:rPr>
        <w:t>(תשו' ד"פ סי' תקכד)</w:t>
      </w:r>
      <w:r>
        <w:rPr>
          <w:rFonts w:cs="Arial" w:hint="cs"/>
          <w:sz w:val="16"/>
          <w:szCs w:val="16"/>
          <w:rtl/>
        </w:rPr>
        <w:t xml:space="preserve"> </w:t>
      </w:r>
      <w:r>
        <w:rPr>
          <w:rFonts w:cs="Arial"/>
          <w:rtl/>
        </w:rPr>
        <w:t xml:space="preserve">רשב"א </w:t>
      </w:r>
      <w:r w:rsidRPr="00A17F00">
        <w:rPr>
          <w:rFonts w:cs="Arial" w:hint="cs"/>
          <w:sz w:val="16"/>
          <w:szCs w:val="16"/>
          <w:rtl/>
        </w:rPr>
        <w:t>(</w:t>
      </w:r>
      <w:r w:rsidRPr="00A17F00">
        <w:rPr>
          <w:rFonts w:cs="Arial"/>
          <w:sz w:val="16"/>
          <w:szCs w:val="16"/>
          <w:rtl/>
        </w:rPr>
        <w:t>בתשובה</w:t>
      </w:r>
      <w:r w:rsidRPr="00A17F00">
        <w:rPr>
          <w:rFonts w:cs="Arial" w:hint="cs"/>
          <w:sz w:val="16"/>
          <w:szCs w:val="16"/>
          <w:rtl/>
        </w:rPr>
        <w:t>, כ"כ הב"י בשמו, וכן ב</w:t>
      </w:r>
      <w:r w:rsidRPr="00A17F00">
        <w:rPr>
          <w:rFonts w:cs="Arial"/>
          <w:sz w:val="16"/>
          <w:szCs w:val="16"/>
          <w:rtl/>
        </w:rPr>
        <w:t>ב"מ סט: ד"ה אמר</w:t>
      </w:r>
      <w:r w:rsidRPr="00A17F00">
        <w:rPr>
          <w:rFonts w:cs="Arial" w:hint="cs"/>
          <w:sz w:val="16"/>
          <w:szCs w:val="16"/>
          <w:rtl/>
        </w:rPr>
        <w:t xml:space="preserve">, </w:t>
      </w:r>
      <w:r>
        <w:rPr>
          <w:rFonts w:cs="Arial" w:hint="cs"/>
          <w:sz w:val="16"/>
          <w:szCs w:val="16"/>
          <w:rtl/>
        </w:rPr>
        <w:t>ו</w:t>
      </w:r>
      <w:r w:rsidRPr="00A17F00">
        <w:rPr>
          <w:rFonts w:cs="Arial" w:hint="cs"/>
          <w:sz w:val="16"/>
          <w:szCs w:val="16"/>
          <w:rtl/>
        </w:rPr>
        <w:t>כ"כ הנמוק"י בשמו)</w:t>
      </w:r>
      <w:r w:rsidRPr="00A17F00">
        <w:rPr>
          <w:rFonts w:cs="Arial"/>
          <w:sz w:val="16"/>
          <w:szCs w:val="16"/>
          <w:rtl/>
        </w:rPr>
        <w:t xml:space="preserve"> </w:t>
      </w:r>
      <w:r>
        <w:rPr>
          <w:rFonts w:cs="Arial"/>
          <w:rtl/>
        </w:rPr>
        <w:t xml:space="preserve">ר"ן </w:t>
      </w:r>
      <w:r w:rsidRPr="00A17F00">
        <w:rPr>
          <w:rFonts w:cs="Arial" w:hint="cs"/>
          <w:sz w:val="16"/>
          <w:szCs w:val="16"/>
          <w:rtl/>
        </w:rPr>
        <w:t>(</w:t>
      </w:r>
      <w:r w:rsidRPr="00A17F00">
        <w:rPr>
          <w:rFonts w:cs="Arial"/>
          <w:sz w:val="16"/>
          <w:szCs w:val="16"/>
          <w:rtl/>
        </w:rPr>
        <w:t>פ</w:t>
      </w:r>
      <w:r w:rsidRPr="00A17F00">
        <w:rPr>
          <w:rFonts w:cs="Arial" w:hint="cs"/>
          <w:sz w:val="16"/>
          <w:szCs w:val="16"/>
          <w:rtl/>
        </w:rPr>
        <w:t>'</w:t>
      </w:r>
      <w:r w:rsidRPr="00A17F00">
        <w:rPr>
          <w:rFonts w:cs="Arial"/>
          <w:sz w:val="16"/>
          <w:szCs w:val="16"/>
          <w:rtl/>
        </w:rPr>
        <w:t xml:space="preserve"> איזהו נשך סט: ד"ה כגון</w:t>
      </w:r>
      <w:r w:rsidRPr="00A17F00">
        <w:rPr>
          <w:rFonts w:cs="Arial" w:hint="cs"/>
          <w:sz w:val="16"/>
          <w:szCs w:val="16"/>
          <w:rtl/>
        </w:rPr>
        <w:t>, וכ"כ הנמוק"י בשמו</w:t>
      </w:r>
      <w:r w:rsidRPr="00A17F00">
        <w:rPr>
          <w:rFonts w:cs="Arial"/>
          <w:sz w:val="16"/>
          <w:szCs w:val="16"/>
          <w:rtl/>
        </w:rPr>
        <w:t>)</w:t>
      </w:r>
      <w:r>
        <w:rPr>
          <w:rFonts w:cs="Arial" w:hint="cs"/>
          <w:rtl/>
        </w:rPr>
        <w:t xml:space="preserve"> ונמוק"י </w:t>
      </w:r>
      <w:r w:rsidRPr="00A17F00">
        <w:rPr>
          <w:rFonts w:cs="Arial" w:hint="cs"/>
          <w:sz w:val="16"/>
          <w:szCs w:val="16"/>
          <w:rtl/>
        </w:rPr>
        <w:t>(</w:t>
      </w:r>
      <w:r w:rsidRPr="00A17F00">
        <w:rPr>
          <w:rFonts w:cs="Arial"/>
          <w:sz w:val="16"/>
          <w:szCs w:val="16"/>
          <w:rtl/>
        </w:rPr>
        <w:t>מ: ד"ה הנהו</w:t>
      </w:r>
      <w:r w:rsidRPr="00A17F00">
        <w:rPr>
          <w:rFonts w:cs="Arial" w:hint="cs"/>
          <w:sz w:val="16"/>
          <w:szCs w:val="16"/>
          <w:rtl/>
        </w:rPr>
        <w:t>)</w:t>
      </w:r>
      <w:r>
        <w:rPr>
          <w:rFonts w:hint="cs"/>
          <w:rtl/>
        </w:rPr>
        <w:t>.</w:t>
      </w:r>
      <w:r w:rsidRPr="00EA62E0">
        <w:rPr>
          <w:rFonts w:hint="cs"/>
          <w:rtl/>
        </w:rPr>
        <w:t xml:space="preserve"> </w:t>
      </w:r>
      <w:r>
        <w:rPr>
          <w:rFonts w:cs="Arial" w:hint="cs"/>
          <w:rtl/>
        </w:rPr>
        <w:t xml:space="preserve">וכתב הדרכ"מ </w:t>
      </w:r>
      <w:r>
        <w:rPr>
          <w:rFonts w:cs="Arial" w:hint="cs"/>
          <w:sz w:val="16"/>
          <w:szCs w:val="16"/>
          <w:rtl/>
        </w:rPr>
        <w:t>(אות ח*)</w:t>
      </w:r>
      <w:r>
        <w:rPr>
          <w:rFonts w:cs="Arial" w:hint="cs"/>
          <w:rtl/>
        </w:rPr>
        <w:t xml:space="preserve"> דכן דעת המרדכי </w:t>
      </w:r>
      <w:r w:rsidRPr="009A1175">
        <w:rPr>
          <w:rFonts w:cs="Arial" w:hint="cs"/>
          <w:sz w:val="16"/>
          <w:szCs w:val="16"/>
          <w:rtl/>
        </w:rPr>
        <w:t>(</w:t>
      </w:r>
      <w:r w:rsidRPr="009A1175">
        <w:rPr>
          <w:rFonts w:cs="Arial"/>
          <w:sz w:val="16"/>
          <w:szCs w:val="16"/>
          <w:rtl/>
        </w:rPr>
        <w:t>ס</w:t>
      </w:r>
      <w:r w:rsidRPr="009A1175">
        <w:rPr>
          <w:rFonts w:cs="Arial" w:hint="cs"/>
          <w:sz w:val="16"/>
          <w:szCs w:val="16"/>
          <w:rtl/>
        </w:rPr>
        <w:t>"</w:t>
      </w:r>
      <w:r w:rsidRPr="009A1175">
        <w:rPr>
          <w:rFonts w:cs="Arial"/>
          <w:sz w:val="16"/>
          <w:szCs w:val="16"/>
          <w:rtl/>
        </w:rPr>
        <w:t>פ זה בורר סי' תשח)</w:t>
      </w:r>
      <w:r>
        <w:rPr>
          <w:rFonts w:hint="cs"/>
          <w:rtl/>
        </w:rPr>
        <w:t>, וכתב עוד שכן</w:t>
      </w:r>
      <w:r w:rsidRPr="009A1175">
        <w:rPr>
          <w:rFonts w:cs="Arial"/>
          <w:rtl/>
        </w:rPr>
        <w:t xml:space="preserve"> משמע מדברי רבינו בעל הטור</w:t>
      </w:r>
      <w:r>
        <w:rPr>
          <w:rFonts w:cs="Arial" w:hint="cs"/>
          <w:rtl/>
        </w:rPr>
        <w:t>.</w:t>
      </w:r>
    </w:p>
  </w:footnote>
  <w:footnote w:id="774">
    <w:p w14:paraId="0C3CC750" w14:textId="77777777" w:rsidR="0013116F" w:rsidRDefault="0013116F" w:rsidP="00475E25">
      <w:pPr>
        <w:pStyle w:val="a9"/>
        <w:rPr>
          <w:rtl/>
        </w:rPr>
      </w:pPr>
      <w:r>
        <w:rPr>
          <w:rStyle w:val="ab"/>
        </w:rPr>
        <w:footnoteRef/>
      </w:r>
      <w:r>
        <w:rPr>
          <w:rFonts w:cs="Arial" w:hint="cs"/>
          <w:rtl/>
        </w:rPr>
        <w:t xml:space="preserve"> ו</w:t>
      </w:r>
      <w:r w:rsidRPr="00D73DEA">
        <w:rPr>
          <w:rFonts w:cs="Arial"/>
          <w:rtl/>
        </w:rPr>
        <w:t>אפילו לההוא שכפאוהו לדון בעירו לא אמרו שיהיו חייבים לכתוב לו טעמו של דין</w:t>
      </w:r>
      <w:r>
        <w:rPr>
          <w:rFonts w:cs="Arial" w:hint="cs"/>
          <w:rtl/>
        </w:rPr>
        <w:t>,</w:t>
      </w:r>
      <w:r w:rsidRPr="00D73DEA">
        <w:rPr>
          <w:rFonts w:cs="Arial"/>
          <w:rtl/>
        </w:rPr>
        <w:t xml:space="preserve"> אלא שיכתבו הטענות שטען שעליהם חייבוהו</w:t>
      </w:r>
      <w:r>
        <w:rPr>
          <w:rFonts w:cs="Arial" w:hint="cs"/>
          <w:rtl/>
        </w:rPr>
        <w:t>,</w:t>
      </w:r>
      <w:r w:rsidRPr="00D73DEA">
        <w:rPr>
          <w:rFonts w:cs="Arial"/>
          <w:rtl/>
        </w:rPr>
        <w:t xml:space="preserve"> והם טעם הדין</w:t>
      </w:r>
      <w:r>
        <w:rPr>
          <w:rFonts w:cs="Arial" w:hint="cs"/>
          <w:rtl/>
        </w:rPr>
        <w:t>.</w:t>
      </w:r>
      <w:r w:rsidRPr="00D73DEA">
        <w:rPr>
          <w:rFonts w:cs="Arial"/>
          <w:rtl/>
        </w:rPr>
        <w:t xml:space="preserve"> כי מה צריך לכתוב ראיות הדין שלהם להוליך לבית הוועד</w:t>
      </w:r>
      <w:r>
        <w:rPr>
          <w:rFonts w:cs="Arial" w:hint="cs"/>
          <w:rtl/>
        </w:rPr>
        <w:t>?</w:t>
      </w:r>
      <w:r w:rsidRPr="00D73DEA">
        <w:rPr>
          <w:rFonts w:cs="Arial"/>
          <w:rtl/>
        </w:rPr>
        <w:t xml:space="preserve"> והלא הם יראו מעצמם אם הדין כראוי אם לאו</w:t>
      </w:r>
      <w:r>
        <w:rPr>
          <w:rFonts w:cs="Arial" w:hint="cs"/>
          <w:rtl/>
        </w:rPr>
        <w:t>.</w:t>
      </w:r>
      <w:r w:rsidRPr="00D73DEA">
        <w:rPr>
          <w:rFonts w:cs="Arial"/>
          <w:rtl/>
        </w:rPr>
        <w:t xml:space="preserve"> הילכך כל שלא כפאוהו לדון לפניהם אינם חייבים לכתוב לו כלום</w:t>
      </w:r>
      <w:r>
        <w:rPr>
          <w:rFonts w:cs="Arial" w:hint="cs"/>
          <w:rtl/>
        </w:rPr>
        <w:t>.</w:t>
      </w:r>
      <w:r w:rsidRPr="00D73DEA">
        <w:rPr>
          <w:rFonts w:cs="Arial"/>
          <w:rtl/>
        </w:rPr>
        <w:t xml:space="preserve"> ואם כפאוהו לדון בפניהם כותבין לו הטענות והדין שפסקו עליהם בלבד</w:t>
      </w:r>
      <w:r>
        <w:rPr>
          <w:rFonts w:cs="Arial" w:hint="cs"/>
          <w:rtl/>
        </w:rPr>
        <w:t>.</w:t>
      </w:r>
      <w:r w:rsidRPr="00D73DEA">
        <w:rPr>
          <w:rFonts w:cs="Arial"/>
          <w:rtl/>
        </w:rPr>
        <w:t xml:space="preserve"> ובכיוצא מעשה דרב פפא שיש לזות שפתים יש לו לדיין להודיעם על פה טעמו של דין</w:t>
      </w:r>
      <w:r>
        <w:rPr>
          <w:rFonts w:cs="Arial" w:hint="cs"/>
          <w:rtl/>
        </w:rPr>
        <w:t>.</w:t>
      </w:r>
      <w:r w:rsidRPr="00D73DEA">
        <w:rPr>
          <w:rFonts w:cs="Arial"/>
          <w:rtl/>
        </w:rPr>
        <w:t xml:space="preserve"> וכן עיקר</w:t>
      </w:r>
      <w:r>
        <w:rPr>
          <w:rFonts w:cs="Arial" w:hint="cs"/>
          <w:rtl/>
        </w:rPr>
        <w:t xml:space="preserve">, רשב"א </w:t>
      </w:r>
      <w:r>
        <w:rPr>
          <w:rFonts w:cs="Arial" w:hint="cs"/>
          <w:sz w:val="16"/>
          <w:szCs w:val="16"/>
          <w:rtl/>
        </w:rPr>
        <w:t>(</w:t>
      </w:r>
      <w:r w:rsidRPr="00A17F00">
        <w:rPr>
          <w:rFonts w:cs="Arial"/>
          <w:sz w:val="16"/>
          <w:szCs w:val="16"/>
          <w:rtl/>
        </w:rPr>
        <w:t>ב"מ סט: ד"ה אמר</w:t>
      </w:r>
      <w:r>
        <w:rPr>
          <w:rFonts w:cs="Arial" w:hint="cs"/>
          <w:sz w:val="16"/>
          <w:szCs w:val="16"/>
          <w:rtl/>
        </w:rPr>
        <w:t>, וכ"כ בתשו' הביאה הב"י)</w:t>
      </w:r>
      <w:r>
        <w:rPr>
          <w:rFonts w:cs="Arial" w:hint="cs"/>
          <w:rtl/>
        </w:rPr>
        <w:t>. וכתב הרשב"א שכן דעת ר"ת והרמב"ן. וכ"כ הנמוק"י</w:t>
      </w:r>
      <w:r>
        <w:rPr>
          <w:rFonts w:cs="Arial" w:hint="cs"/>
          <w:sz w:val="16"/>
          <w:szCs w:val="16"/>
          <w:rtl/>
        </w:rPr>
        <w:t xml:space="preserve"> (שם)</w:t>
      </w:r>
      <w:r>
        <w:rPr>
          <w:rFonts w:cs="Arial" w:hint="cs"/>
          <w:rtl/>
        </w:rPr>
        <w:t xml:space="preserve"> בשם המפרשים. </w:t>
      </w:r>
      <w:r w:rsidRPr="00350957">
        <w:rPr>
          <w:rFonts w:cs="Arial" w:hint="cs"/>
          <w:color w:val="00B0F0"/>
          <w:rtl/>
        </w:rPr>
        <w:t>(וכ"פ הרמ"א</w:t>
      </w:r>
      <w:r w:rsidRPr="00350957">
        <w:rPr>
          <w:rFonts w:cs="Arial" w:hint="cs"/>
          <w:color w:val="00B0F0"/>
          <w:sz w:val="16"/>
          <w:szCs w:val="16"/>
          <w:rtl/>
        </w:rPr>
        <w:t xml:space="preserve"> </w:t>
      </w:r>
      <w:r>
        <w:rPr>
          <w:rFonts w:cs="Arial" w:hint="cs"/>
          <w:sz w:val="16"/>
          <w:szCs w:val="16"/>
          <w:rtl/>
        </w:rPr>
        <w:t>[סע' ד]</w:t>
      </w:r>
      <w:r w:rsidRPr="00350957">
        <w:rPr>
          <w:rFonts w:cs="Arial" w:hint="cs"/>
          <w:color w:val="00B0F0"/>
          <w:rtl/>
        </w:rPr>
        <w:t>)</w:t>
      </w:r>
    </w:p>
  </w:footnote>
  <w:footnote w:id="775">
    <w:p w14:paraId="12B70A87" w14:textId="77777777" w:rsidR="0013116F" w:rsidRDefault="0013116F">
      <w:pPr>
        <w:pStyle w:val="a9"/>
        <w:rPr>
          <w:rtl/>
        </w:rPr>
      </w:pPr>
      <w:r>
        <w:rPr>
          <w:rStyle w:val="ab"/>
        </w:rPr>
        <w:footnoteRef/>
      </w:r>
      <w:r>
        <w:rPr>
          <w:rtl/>
        </w:rPr>
        <w:t xml:space="preserve"> </w:t>
      </w:r>
      <w:r>
        <w:rPr>
          <w:rFonts w:cs="Arial"/>
          <w:rtl/>
        </w:rPr>
        <w:t>ונתבאר בדברי הרמב"ם בפרק הנזכר (ה"ט) שבזה</w:t>
      </w:r>
      <w:r>
        <w:rPr>
          <w:rFonts w:cs="Arial" w:hint="cs"/>
          <w:rtl/>
        </w:rPr>
        <w:t>"</w:t>
      </w:r>
      <w:r>
        <w:rPr>
          <w:rFonts w:cs="Arial"/>
          <w:rtl/>
        </w:rPr>
        <w:t>ז מקום שיש בו חכמים גדולים ומומחים לרבים דין ב</w:t>
      </w:r>
      <w:r>
        <w:rPr>
          <w:rFonts w:cs="Arial" w:hint="cs"/>
          <w:rtl/>
        </w:rPr>
        <w:t>"</w:t>
      </w:r>
      <w:r>
        <w:rPr>
          <w:rFonts w:cs="Arial"/>
          <w:rtl/>
        </w:rPr>
        <w:t>ד הגדול יש להם</w:t>
      </w:r>
      <w:r>
        <w:rPr>
          <w:rFonts w:cs="Arial" w:hint="cs"/>
          <w:rtl/>
        </w:rPr>
        <w:t>, ב"י.</w:t>
      </w:r>
    </w:p>
  </w:footnote>
  <w:footnote w:id="776">
    <w:p w14:paraId="131B94F1" w14:textId="77777777" w:rsidR="0013116F" w:rsidRDefault="0013116F">
      <w:pPr>
        <w:pStyle w:val="a9"/>
      </w:pPr>
      <w:r>
        <w:rPr>
          <w:rStyle w:val="ab"/>
        </w:rPr>
        <w:footnoteRef/>
      </w:r>
      <w:r>
        <w:rPr>
          <w:rtl/>
        </w:rPr>
        <w:t xml:space="preserve"> </w:t>
      </w:r>
      <w:r>
        <w:rPr>
          <w:rFonts w:hint="cs"/>
          <w:rtl/>
        </w:rPr>
        <w:t xml:space="preserve">סימן </w:t>
      </w:r>
      <w:r>
        <w:rPr>
          <w:rtl/>
        </w:rPr>
        <w:t>–</w:t>
      </w:r>
      <w:r>
        <w:rPr>
          <w:rFonts w:hint="cs"/>
          <w:rtl/>
        </w:rPr>
        <w:t xml:space="preserve"> משלם אח"כ מוכיח.</w:t>
      </w:r>
    </w:p>
  </w:footnote>
  <w:footnote w:id="777">
    <w:p w14:paraId="242DA85C" w14:textId="77777777" w:rsidR="0013116F" w:rsidRPr="00052B72" w:rsidRDefault="0013116F" w:rsidP="00D7256D">
      <w:pPr>
        <w:pStyle w:val="a9"/>
      </w:pPr>
      <w:r>
        <w:rPr>
          <w:rStyle w:val="ab"/>
        </w:rPr>
        <w:footnoteRef/>
      </w:r>
      <w:r>
        <w:rPr>
          <w:rtl/>
        </w:rPr>
        <w:t xml:space="preserve"> </w:t>
      </w:r>
      <w:r w:rsidRPr="00052B72">
        <w:rPr>
          <w:rFonts w:cs="Arial"/>
          <w:rtl/>
        </w:rPr>
        <w:t>מעשה ברב כהנא, ששטף מים עקר את גדרות שדהו, וטעה אף הוא, והציב את הגדרות בתוך שדה חבירו</w:t>
      </w:r>
      <w:r>
        <w:rPr>
          <w:rFonts w:cs="Arial" w:hint="cs"/>
          <w:rtl/>
        </w:rPr>
        <w:t xml:space="preserve"> </w:t>
      </w:r>
      <w:r>
        <w:rPr>
          <w:rFonts w:cs="Arial" w:hint="cs"/>
          <w:sz w:val="16"/>
          <w:szCs w:val="16"/>
          <w:rtl/>
        </w:rPr>
        <w:t>(חברותא)</w:t>
      </w:r>
      <w:r>
        <w:rPr>
          <w:rFonts w:cs="Arial" w:hint="cs"/>
          <w:rtl/>
        </w:rPr>
        <w:t>.</w:t>
      </w:r>
    </w:p>
  </w:footnote>
  <w:footnote w:id="778">
    <w:p w14:paraId="06A09DDA" w14:textId="77777777" w:rsidR="0013116F" w:rsidRDefault="0013116F" w:rsidP="00D7256D">
      <w:pPr>
        <w:pStyle w:val="a9"/>
      </w:pPr>
      <w:r>
        <w:rPr>
          <w:rStyle w:val="ab"/>
        </w:rPr>
        <w:footnoteRef/>
      </w:r>
      <w:r>
        <w:rPr>
          <w:rtl/>
        </w:rPr>
        <w:t xml:space="preserve"> </w:t>
      </w:r>
      <w:r w:rsidRPr="00052B72">
        <w:rPr>
          <w:rFonts w:cs="Arial"/>
          <w:rtl/>
        </w:rPr>
        <w:t>שתי שורות קרקע על פני השדה כדגרסינן בהשותפין (לעיל דף יב) תלת אוצייתא בי"ב גופני</w:t>
      </w:r>
      <w:r>
        <w:rPr>
          <w:rFonts w:cs="Arial" w:hint="cs"/>
          <w:rtl/>
        </w:rPr>
        <w:t>, רשב"ם.</w:t>
      </w:r>
    </w:p>
  </w:footnote>
  <w:footnote w:id="779">
    <w:p w14:paraId="5AD47229" w14:textId="77777777" w:rsidR="0013116F" w:rsidRDefault="0013116F" w:rsidP="00D7256D">
      <w:pPr>
        <w:pStyle w:val="a9"/>
      </w:pPr>
      <w:r>
        <w:rPr>
          <w:rStyle w:val="ab"/>
        </w:rPr>
        <w:footnoteRef/>
      </w:r>
      <w:r>
        <w:rPr>
          <w:rtl/>
        </w:rPr>
        <w:t xml:space="preserve"> </w:t>
      </w:r>
      <w:r w:rsidRPr="00052B72">
        <w:rPr>
          <w:rFonts w:cs="Arial"/>
          <w:rtl/>
        </w:rPr>
        <w:t>תרתי אוצייתא מן השלש שמעיד האחד דתרוייהו מיהא מודו דתרתי אוצייתא עייל דבכלל תלת איכא תרי</w:t>
      </w:r>
      <w:r>
        <w:rPr>
          <w:rFonts w:cs="Arial" w:hint="cs"/>
          <w:rtl/>
        </w:rPr>
        <w:t>, רשב"ם</w:t>
      </w:r>
      <w:r w:rsidRPr="00052B72">
        <w:rPr>
          <w:rFonts w:cs="Arial"/>
          <w:rtl/>
        </w:rPr>
        <w:t>.</w:t>
      </w:r>
    </w:p>
  </w:footnote>
  <w:footnote w:id="780">
    <w:p w14:paraId="232C710D" w14:textId="77777777" w:rsidR="0013116F" w:rsidRDefault="0013116F" w:rsidP="00D7256D">
      <w:pPr>
        <w:pStyle w:val="a9"/>
      </w:pPr>
      <w:r>
        <w:rPr>
          <w:rStyle w:val="ab"/>
        </w:rPr>
        <w:footnoteRef/>
      </w:r>
      <w:r>
        <w:rPr>
          <w:rtl/>
        </w:rPr>
        <w:t xml:space="preserve"> </w:t>
      </w:r>
      <w:r w:rsidRPr="00052B72">
        <w:rPr>
          <w:rFonts w:cs="Arial"/>
          <w:rtl/>
        </w:rPr>
        <w:t>רב כהנא לרב יהודה</w:t>
      </w:r>
      <w:r>
        <w:rPr>
          <w:rFonts w:cs="Arial" w:hint="cs"/>
          <w:rtl/>
        </w:rPr>
        <w:t>, רשב"ם</w:t>
      </w:r>
      <w:r w:rsidRPr="00052B72">
        <w:rPr>
          <w:rFonts w:cs="Arial"/>
          <w:rtl/>
        </w:rPr>
        <w:t>.</w:t>
      </w:r>
    </w:p>
  </w:footnote>
  <w:footnote w:id="781">
    <w:p w14:paraId="7AF9D79C" w14:textId="77777777" w:rsidR="0013116F" w:rsidRDefault="0013116F" w:rsidP="00D7256D">
      <w:pPr>
        <w:pStyle w:val="a9"/>
      </w:pPr>
      <w:r>
        <w:rPr>
          <w:rStyle w:val="ab"/>
        </w:rPr>
        <w:footnoteRef/>
      </w:r>
      <w:r>
        <w:rPr>
          <w:rtl/>
        </w:rPr>
        <w:t xml:space="preserve"> </w:t>
      </w:r>
      <w:r w:rsidRPr="00052B72">
        <w:rPr>
          <w:rFonts w:cs="Arial"/>
          <w:rtl/>
        </w:rPr>
        <w:t>דאפי' ב"ה מודו דנחלקה עדותן</w:t>
      </w:r>
      <w:r>
        <w:rPr>
          <w:rFonts w:cs="Arial" w:hint="cs"/>
          <w:rtl/>
        </w:rPr>
        <w:t>, רשב"ם</w:t>
      </w:r>
      <w:r w:rsidRPr="00052B72">
        <w:rPr>
          <w:rFonts w:cs="Arial"/>
          <w:rtl/>
        </w:rPr>
        <w:t>.</w:t>
      </w:r>
    </w:p>
  </w:footnote>
  <w:footnote w:id="782">
    <w:p w14:paraId="5DD17E58" w14:textId="77777777" w:rsidR="0013116F" w:rsidRDefault="0013116F" w:rsidP="00D7256D">
      <w:pPr>
        <w:pStyle w:val="a9"/>
        <w:rPr>
          <w:rtl/>
        </w:rPr>
      </w:pPr>
      <w:r>
        <w:rPr>
          <w:rStyle w:val="ab"/>
        </w:rPr>
        <w:footnoteRef/>
      </w:r>
      <w:r>
        <w:rPr>
          <w:rtl/>
        </w:rPr>
        <w:t xml:space="preserve"> </w:t>
      </w:r>
      <w:r w:rsidRPr="00052B72">
        <w:rPr>
          <w:rFonts w:cs="Arial"/>
          <w:rtl/>
        </w:rPr>
        <w:t>אהדר מיד עד דמייתית איגרתא - וכרב יהודה קיימא לן שכן נעשה הדין</w:t>
      </w:r>
      <w:r>
        <w:rPr>
          <w:rFonts w:cs="Arial" w:hint="cs"/>
          <w:rtl/>
        </w:rPr>
        <w:t>, רשב"ם</w:t>
      </w:r>
      <w:r w:rsidRPr="00052B72">
        <w:rPr>
          <w:rFonts w:cs="Arial"/>
          <w:rtl/>
        </w:rPr>
        <w:t>.</w:t>
      </w:r>
    </w:p>
  </w:footnote>
  <w:footnote w:id="783">
    <w:p w14:paraId="48E8EDC7" w14:textId="77777777" w:rsidR="0013116F" w:rsidRDefault="0013116F" w:rsidP="00D7256D">
      <w:pPr>
        <w:pStyle w:val="a9"/>
        <w:rPr>
          <w:rtl/>
        </w:rPr>
      </w:pPr>
      <w:r>
        <w:rPr>
          <w:rStyle w:val="ab"/>
        </w:rPr>
        <w:footnoteRef/>
      </w:r>
      <w:r>
        <w:rPr>
          <w:rtl/>
        </w:rPr>
        <w:t xml:space="preserve"> </w:t>
      </w:r>
      <w:r>
        <w:rPr>
          <w:rFonts w:cs="Arial"/>
          <w:rtl/>
        </w:rPr>
        <w:t xml:space="preserve">וכ"כ מהרי"ק </w:t>
      </w:r>
      <w:r w:rsidRPr="00EF65E1">
        <w:rPr>
          <w:rFonts w:cs="Arial" w:hint="cs"/>
          <w:sz w:val="16"/>
          <w:szCs w:val="16"/>
          <w:rtl/>
        </w:rPr>
        <w:t>(</w:t>
      </w:r>
      <w:r w:rsidRPr="00EF65E1">
        <w:rPr>
          <w:rFonts w:cs="Arial"/>
          <w:sz w:val="16"/>
          <w:szCs w:val="16"/>
          <w:rtl/>
        </w:rPr>
        <w:t xml:space="preserve">שורש א' ענף ב) </w:t>
      </w:r>
      <w:r>
        <w:rPr>
          <w:rFonts w:cs="Arial"/>
          <w:rtl/>
        </w:rPr>
        <w:t>והגה</w:t>
      </w:r>
      <w:r>
        <w:rPr>
          <w:rFonts w:cs="Arial" w:hint="cs"/>
          <w:rtl/>
        </w:rPr>
        <w:t>"</w:t>
      </w:r>
      <w:r>
        <w:rPr>
          <w:rFonts w:cs="Arial"/>
          <w:rtl/>
        </w:rPr>
        <w:t xml:space="preserve">מ </w:t>
      </w:r>
      <w:r w:rsidRPr="00EF65E1">
        <w:rPr>
          <w:rFonts w:cs="Arial" w:hint="cs"/>
          <w:sz w:val="16"/>
          <w:szCs w:val="16"/>
          <w:rtl/>
        </w:rPr>
        <w:t>(</w:t>
      </w:r>
      <w:r w:rsidRPr="00EF65E1">
        <w:rPr>
          <w:rFonts w:cs="Arial"/>
          <w:sz w:val="16"/>
          <w:szCs w:val="16"/>
          <w:rtl/>
        </w:rPr>
        <w:t>פ"ו מה</w:t>
      </w:r>
      <w:r w:rsidRPr="00EF65E1">
        <w:rPr>
          <w:rFonts w:cs="Arial" w:hint="cs"/>
          <w:sz w:val="16"/>
          <w:szCs w:val="16"/>
          <w:rtl/>
        </w:rPr>
        <w:t>ל'</w:t>
      </w:r>
      <w:r w:rsidRPr="00EF65E1">
        <w:rPr>
          <w:rFonts w:cs="Arial"/>
          <w:sz w:val="16"/>
          <w:szCs w:val="16"/>
          <w:rtl/>
        </w:rPr>
        <w:t xml:space="preserve"> סנהדרין אות ח) </w:t>
      </w:r>
      <w:r>
        <w:rPr>
          <w:rFonts w:cs="Arial"/>
          <w:rtl/>
        </w:rPr>
        <w:t xml:space="preserve">וכן נראה מדברי הרמב"ם שם </w:t>
      </w:r>
      <w:r w:rsidRPr="00EF65E1">
        <w:rPr>
          <w:rFonts w:cs="Arial"/>
          <w:sz w:val="16"/>
          <w:szCs w:val="16"/>
          <w:rtl/>
        </w:rPr>
        <w:t>(ה"ו)</w:t>
      </w:r>
      <w:r>
        <w:rPr>
          <w:rFonts w:cs="Arial" w:hint="cs"/>
          <w:rtl/>
        </w:rPr>
        <w:t>, ב"י. וכ"כ</w:t>
      </w:r>
      <w:r w:rsidRPr="00F03CB0">
        <w:rPr>
          <w:rFonts w:cs="Arial"/>
          <w:rtl/>
        </w:rPr>
        <w:t xml:space="preserve"> המרדכי </w:t>
      </w:r>
      <w:r w:rsidRPr="00EF65E1">
        <w:rPr>
          <w:rFonts w:cs="Arial" w:hint="cs"/>
          <w:sz w:val="16"/>
          <w:szCs w:val="16"/>
          <w:rtl/>
        </w:rPr>
        <w:t>(</w:t>
      </w:r>
      <w:r w:rsidRPr="00EF65E1">
        <w:rPr>
          <w:rFonts w:cs="Arial"/>
          <w:sz w:val="16"/>
          <w:szCs w:val="16"/>
          <w:rtl/>
        </w:rPr>
        <w:t xml:space="preserve">בחזקת הבתים סי' תקלה) </w:t>
      </w:r>
      <w:r>
        <w:rPr>
          <w:rFonts w:cs="Arial" w:hint="cs"/>
          <w:rtl/>
        </w:rPr>
        <w:t>ש</w:t>
      </w:r>
      <w:r w:rsidRPr="00F03CB0">
        <w:rPr>
          <w:rFonts w:cs="Arial"/>
          <w:rtl/>
        </w:rPr>
        <w:t>כשכותבין לו הפסק דין צריך לשלם מיד ואם יסתור הדין יחזירו לו</w:t>
      </w:r>
      <w:r>
        <w:rPr>
          <w:rFonts w:cs="Arial" w:hint="cs"/>
          <w:rtl/>
        </w:rPr>
        <w:t>,</w:t>
      </w:r>
      <w:r w:rsidRPr="00F03CB0">
        <w:rPr>
          <w:rFonts w:cs="Arial"/>
          <w:rtl/>
        </w:rPr>
        <w:t xml:space="preserve"> וכ</w:t>
      </w:r>
      <w:r>
        <w:rPr>
          <w:rFonts w:cs="Arial" w:hint="cs"/>
          <w:rtl/>
        </w:rPr>
        <w:t>"</w:t>
      </w:r>
      <w:r w:rsidRPr="00F03CB0">
        <w:rPr>
          <w:rFonts w:cs="Arial"/>
          <w:rtl/>
        </w:rPr>
        <w:t xml:space="preserve">פ מהר"ם </w:t>
      </w:r>
      <w:r w:rsidRPr="00EF65E1">
        <w:rPr>
          <w:rFonts w:cs="Arial"/>
          <w:sz w:val="16"/>
          <w:szCs w:val="16"/>
          <w:rtl/>
        </w:rPr>
        <w:t>(ד"ק סי' רפ, ד"פ סי' תקכג</w:t>
      </w:r>
      <w:r w:rsidRPr="00EF65E1">
        <w:rPr>
          <w:rFonts w:cs="Arial" w:hint="cs"/>
          <w:sz w:val="16"/>
          <w:szCs w:val="16"/>
          <w:rtl/>
        </w:rPr>
        <w:t xml:space="preserve">, </w:t>
      </w:r>
      <w:r>
        <w:rPr>
          <w:rFonts w:cs="Arial" w:hint="cs"/>
          <w:sz w:val="16"/>
          <w:szCs w:val="16"/>
          <w:rtl/>
        </w:rPr>
        <w:t>ו</w:t>
      </w:r>
      <w:r w:rsidRPr="00EF65E1">
        <w:rPr>
          <w:rFonts w:cs="Arial" w:hint="cs"/>
          <w:sz w:val="16"/>
          <w:szCs w:val="16"/>
          <w:rtl/>
        </w:rPr>
        <w:t>כ"כ המרדכי שם בשמו</w:t>
      </w:r>
      <w:r w:rsidRPr="00EF65E1">
        <w:rPr>
          <w:rFonts w:cs="Arial"/>
          <w:sz w:val="16"/>
          <w:szCs w:val="16"/>
          <w:rtl/>
        </w:rPr>
        <w:t>)</w:t>
      </w:r>
      <w:r>
        <w:rPr>
          <w:rFonts w:cs="Arial" w:hint="cs"/>
          <w:rtl/>
        </w:rPr>
        <w:t>,</w:t>
      </w:r>
      <w:r w:rsidRPr="00EF65E1">
        <w:rPr>
          <w:rFonts w:cs="Arial"/>
          <w:rtl/>
        </w:rPr>
        <w:t xml:space="preserve"> </w:t>
      </w:r>
      <w:r>
        <w:rPr>
          <w:rFonts w:cs="Arial" w:hint="cs"/>
          <w:rtl/>
        </w:rPr>
        <w:t xml:space="preserve">דרכ"מ </w:t>
      </w:r>
      <w:r w:rsidRPr="00EF65E1">
        <w:rPr>
          <w:rFonts w:cs="Arial"/>
          <w:sz w:val="16"/>
          <w:szCs w:val="16"/>
          <w:rtl/>
        </w:rPr>
        <w:t>(</w:t>
      </w:r>
      <w:r w:rsidRPr="00EF65E1">
        <w:rPr>
          <w:rFonts w:cs="Arial" w:hint="cs"/>
          <w:sz w:val="16"/>
          <w:szCs w:val="16"/>
          <w:rtl/>
        </w:rPr>
        <w:t xml:space="preserve">אות </w:t>
      </w:r>
      <w:r w:rsidRPr="00EF65E1">
        <w:rPr>
          <w:rFonts w:cs="Arial"/>
          <w:sz w:val="16"/>
          <w:szCs w:val="16"/>
          <w:rtl/>
        </w:rPr>
        <w:t>ח**)</w:t>
      </w:r>
      <w:r>
        <w:rPr>
          <w:rFonts w:cs="Arial" w:hint="cs"/>
          <w:rtl/>
        </w:rPr>
        <w:t xml:space="preserve">. </w:t>
      </w:r>
    </w:p>
  </w:footnote>
  <w:footnote w:id="784">
    <w:p w14:paraId="2AF6D624" w14:textId="77777777" w:rsidR="0013116F" w:rsidRDefault="0013116F">
      <w:pPr>
        <w:pStyle w:val="a9"/>
        <w:rPr>
          <w:rtl/>
        </w:rPr>
      </w:pPr>
      <w:r>
        <w:rPr>
          <w:rStyle w:val="ab"/>
        </w:rPr>
        <w:footnoteRef/>
      </w:r>
      <w:r>
        <w:rPr>
          <w:rtl/>
        </w:rPr>
        <w:t xml:space="preserve"> </w:t>
      </w:r>
      <w:r w:rsidRPr="00E02178">
        <w:rPr>
          <w:rFonts w:cs="Arial"/>
          <w:rtl/>
        </w:rPr>
        <w:t>המחבר העתיק לשון הרמב"ם [פ"ו מסנהדרין ה"ו], והוא אינו מחלק בין ב"ד הגדול לבית הועד [והוא מקום שיש בו קיבוץ חכמים], אבל התוס' [סנהדרין לא</w:t>
      </w:r>
      <w:r>
        <w:rPr>
          <w:rFonts w:cs="Arial" w:hint="cs"/>
          <w:rtl/>
        </w:rPr>
        <w:t>:</w:t>
      </w:r>
      <w:r w:rsidRPr="00E02178">
        <w:rPr>
          <w:rFonts w:cs="Arial"/>
          <w:rtl/>
        </w:rPr>
        <w:t xml:space="preserve"> ד"ה אי] והרא"ש [שם פ"ג סי' מ"א] והטור [סעיף ב'] מחלקין ביניהם </w:t>
      </w:r>
      <w:r w:rsidRPr="00350957">
        <w:rPr>
          <w:rFonts w:cs="Arial" w:hint="cs"/>
          <w:sz w:val="16"/>
          <w:szCs w:val="16"/>
          <w:rtl/>
        </w:rPr>
        <w:t>(</w:t>
      </w:r>
      <w:r w:rsidRPr="00350957">
        <w:rPr>
          <w:rFonts w:cs="Arial"/>
          <w:sz w:val="16"/>
          <w:szCs w:val="16"/>
          <w:rtl/>
        </w:rPr>
        <w:t>וס"ל דאבית הועד דוקא קאמר הגמרא [שם] דשומעין לתובע האומר לילך ולדון שם כשיש רגלים לתביעותיו, ואין שומעין לשום נתבע האומר כן [אף שאמר הלוה אתן לו כל הוצאותיו. רמב"ן [שו"ת הרשב"א המיוחסות לרמב"ן] סי' מ"ז, ד"מ א'], אבל כשאומר לב"ד הגדול קאזלינא, שומעין אפילו לנתבע, ומור"ם רימז דין זה במ"ש בסמוך בהג"ה ז"ל, וי"א דבטענת נלך לב"ד הגדול אין חילוק בין תובע לנתבע כו', ור"ל החילוקים דבין תובע לנתבע הנ"ל לא איתאמרו בגמרא אטענת לבית דין הגדול קאזלינא כי אם אכשטען לבית הועד קאזלינא, וקיצר מור"ם שם ולא כתב כן בהדיא, משום דבזמן הזה אין נוהגין לכפותו, וכדמסיק מור"ם שם, וק"ל</w:t>
      </w:r>
      <w:r>
        <w:rPr>
          <w:rFonts w:cs="Arial" w:hint="cs"/>
          <w:sz w:val="16"/>
          <w:szCs w:val="16"/>
          <w:rtl/>
        </w:rPr>
        <w:t>)</w:t>
      </w:r>
      <w:r>
        <w:rPr>
          <w:rFonts w:hint="cs"/>
          <w:rtl/>
        </w:rPr>
        <w:t xml:space="preserve">, סמ"ע (סק"א). והעתיק הש"ך (סק"ב) לשון הסמ"ע, וכתב </w:t>
      </w:r>
      <w:r>
        <w:rPr>
          <w:rFonts w:cs="Arial" w:hint="cs"/>
          <w:rtl/>
        </w:rPr>
        <w:t>ד</w:t>
      </w:r>
      <w:r w:rsidRPr="00350957">
        <w:rPr>
          <w:rFonts w:cs="Arial"/>
          <w:rtl/>
        </w:rPr>
        <w:t>כ"פ מהרש"ל ביש"ש פ"י דב"ק סי' י'</w:t>
      </w:r>
      <w:r>
        <w:rPr>
          <w:rFonts w:hint="cs"/>
          <w:rtl/>
        </w:rPr>
        <w:t>.</w:t>
      </w:r>
    </w:p>
  </w:footnote>
  <w:footnote w:id="785">
    <w:p w14:paraId="5A81FDAA" w14:textId="77777777" w:rsidR="0013116F" w:rsidRDefault="0013116F">
      <w:pPr>
        <w:pStyle w:val="a9"/>
        <w:rPr>
          <w:rtl/>
        </w:rPr>
      </w:pPr>
      <w:r>
        <w:rPr>
          <w:rStyle w:val="ab"/>
        </w:rPr>
        <w:footnoteRef/>
      </w:r>
      <w:r>
        <w:rPr>
          <w:rtl/>
        </w:rPr>
        <w:t xml:space="preserve"> </w:t>
      </w:r>
      <w:r w:rsidRPr="00350957">
        <w:rPr>
          <w:rFonts w:cs="Arial"/>
          <w:rtl/>
        </w:rPr>
        <w:t>עיין בסמוך סעיף ד' שכתב מור"ם פירושו דא"צ לכתוב לו טעמים וראיות כי אם הטענות כו', ועוד כתב שם חילוקי דינים בזה. ומפני דכאן איירי שדנין אותו בעירו ע"י כפיה ובזה כו"ע מודים שצריכין לכתוב לו מאיזה טעם דנתוני, משום הכי לא כתב מור"ם פלוגתא בזה כאן כי אם שם דלא איירי בדנו ע"י כפיה, ואגב כתב שם כל חילוקי דינים, וק"ל</w:t>
      </w:r>
      <w:r>
        <w:rPr>
          <w:rFonts w:hint="cs"/>
          <w:rtl/>
        </w:rPr>
        <w:t>, סמ"ע (סק"ב).</w:t>
      </w:r>
    </w:p>
  </w:footnote>
  <w:footnote w:id="786">
    <w:p w14:paraId="47ED53C0" w14:textId="77777777" w:rsidR="0013116F" w:rsidRDefault="0013116F">
      <w:pPr>
        <w:pStyle w:val="a9"/>
      </w:pPr>
      <w:r>
        <w:rPr>
          <w:rStyle w:val="ab"/>
        </w:rPr>
        <w:footnoteRef/>
      </w:r>
      <w:r>
        <w:rPr>
          <w:rtl/>
        </w:rPr>
        <w:t xml:space="preserve"> </w:t>
      </w:r>
      <w:r w:rsidRPr="00350957">
        <w:rPr>
          <w:rFonts w:cs="Arial"/>
          <w:rtl/>
        </w:rPr>
        <w:t>פירוש, מוציאין ממנו מיד, ואם יביא כתוב מב"ד הגדול שטעו יחזירו לו מה שהוציאו מידו, וכן מבואר בסמוך [שם] ובד"מ [סעיף ד'], ע"ש</w:t>
      </w:r>
      <w:r>
        <w:rPr>
          <w:rFonts w:cs="Arial" w:hint="cs"/>
          <w:rtl/>
        </w:rPr>
        <w:t>, סמ"ע (סק"ג).</w:t>
      </w:r>
    </w:p>
  </w:footnote>
  <w:footnote w:id="787">
    <w:p w14:paraId="76B2C34A" w14:textId="77777777" w:rsidR="0013116F" w:rsidRDefault="0013116F">
      <w:pPr>
        <w:pStyle w:val="a9"/>
      </w:pPr>
      <w:r>
        <w:rPr>
          <w:rStyle w:val="ab"/>
        </w:rPr>
        <w:footnoteRef/>
      </w:r>
      <w:r>
        <w:rPr>
          <w:rtl/>
        </w:rPr>
        <w:t xml:space="preserve"> </w:t>
      </w:r>
      <w:r w:rsidRPr="00BC3A42">
        <w:rPr>
          <w:rFonts w:cs="Arial"/>
          <w:rtl/>
        </w:rPr>
        <w:t>פירוש, אף אם אינם יודעים לדון וצריכין לשאול, אפ"ה אינו יכול לומר מאחר שהם אינן יודעין לדון וצריכים אנו הוצאות להשליחות נלך בעצמינו לפני ב"ד הגדול, קמ"ל</w:t>
      </w:r>
      <w:r>
        <w:rPr>
          <w:rFonts w:cs="Arial" w:hint="cs"/>
          <w:rtl/>
        </w:rPr>
        <w:t>, סמ"ע (סק"ד).</w:t>
      </w:r>
    </w:p>
  </w:footnote>
  <w:footnote w:id="788">
    <w:p w14:paraId="42FAE638" w14:textId="77777777" w:rsidR="0013116F" w:rsidRDefault="0013116F">
      <w:pPr>
        <w:pStyle w:val="a9"/>
        <w:rPr>
          <w:rtl/>
        </w:rPr>
      </w:pPr>
      <w:r>
        <w:rPr>
          <w:rStyle w:val="ab"/>
        </w:rPr>
        <w:footnoteRef/>
      </w:r>
      <w:r>
        <w:rPr>
          <w:rtl/>
        </w:rPr>
        <w:t xml:space="preserve"> </w:t>
      </w:r>
      <w:r w:rsidRPr="00BC3A42">
        <w:rPr>
          <w:rFonts w:cs="Arial"/>
          <w:rtl/>
        </w:rPr>
        <w:t>עיין לעיל סימן י"ג סעיף ו' שכתב שם גם כן דין זה מילתא בטעמא, ז"ל, והם דנין אותם, דליכא למימר דיפסקו בית דין הגדול עליהן את הדין, דהא בעינן שיהיו בעלי דין עומדים לפני הדיינים</w:t>
      </w:r>
      <w:r>
        <w:rPr>
          <w:rFonts w:hint="cs"/>
          <w:rtl/>
        </w:rPr>
        <w:t>, סמ"ע (סק"ה).</w:t>
      </w:r>
    </w:p>
  </w:footnote>
  <w:footnote w:id="789">
    <w:p w14:paraId="2E5EC165" w14:textId="77777777" w:rsidR="0013116F" w:rsidRDefault="0013116F">
      <w:pPr>
        <w:pStyle w:val="a9"/>
        <w:rPr>
          <w:rtl/>
        </w:rPr>
      </w:pPr>
      <w:r>
        <w:rPr>
          <w:rStyle w:val="ab"/>
        </w:rPr>
        <w:footnoteRef/>
      </w:r>
      <w:r>
        <w:rPr>
          <w:rtl/>
        </w:rPr>
        <w:t xml:space="preserve"> </w:t>
      </w:r>
      <w:r w:rsidRPr="00CD5605">
        <w:rPr>
          <w:rFonts w:cs="Arial"/>
          <w:rtl/>
        </w:rPr>
        <w:t>נראה דה"פ, דוקא במלוה ולוה חשבו לטענת מלוה טענה יותר מטענת הלוה, משום דעבד לוה לאיש מלוה, וה"ה בטענת ניזק ונגזל חשבו טענתן טענה כיון דלפי טענתו [ויש ג"כ עדות או ראיה לדבריו כדמסיק] זה שכנגדו הזיקו או גזלו בידים, משו"ה שומעים להן כשרוצין לעלות לב"ד הגדול, וה"ה לכל תביעות גדולות כיוצא בהן, אבל בשאר תביעות כגון שותפין שתבע אחד להשני, או שזה תובעו ואומר נתחייבת לי שכירות וזה משיבו אינני חייב לך, וכיוצא בתביעות אלו, חשובין המה טענת הנתבע כטענות התובע, ואין שום אחד יכול להכריח להשני לילך עמו לב"ד הגדול</w:t>
      </w:r>
      <w:r>
        <w:rPr>
          <w:rFonts w:cs="Arial" w:hint="cs"/>
          <w:rtl/>
        </w:rPr>
        <w:t>...</w:t>
      </w:r>
      <w:r>
        <w:rPr>
          <w:rFonts w:hint="cs"/>
          <w:rtl/>
        </w:rPr>
        <w:t>, סמ"ע (סק"ו).</w:t>
      </w:r>
    </w:p>
  </w:footnote>
  <w:footnote w:id="790">
    <w:p w14:paraId="042E0B5F" w14:textId="77777777" w:rsidR="0013116F" w:rsidRDefault="0013116F">
      <w:pPr>
        <w:pStyle w:val="a9"/>
        <w:rPr>
          <w:rtl/>
        </w:rPr>
      </w:pPr>
      <w:r>
        <w:rPr>
          <w:rStyle w:val="ab"/>
        </w:rPr>
        <w:footnoteRef/>
      </w:r>
      <w:r>
        <w:rPr>
          <w:rtl/>
        </w:rPr>
        <w:t xml:space="preserve"> </w:t>
      </w:r>
      <w:r w:rsidRPr="00B269D6">
        <w:rPr>
          <w:rFonts w:cs="Arial"/>
          <w:rtl/>
        </w:rPr>
        <w:t>היינו כשאין המלוה הולך בלא"ה שמה</w:t>
      </w:r>
      <w:r>
        <w:rPr>
          <w:rFonts w:cs="Arial" w:hint="cs"/>
          <w:rtl/>
        </w:rPr>
        <w:t xml:space="preserve"> </w:t>
      </w:r>
      <w:r w:rsidRPr="00B269D6">
        <w:rPr>
          <w:rFonts w:cs="Arial" w:hint="cs"/>
          <w:sz w:val="16"/>
          <w:szCs w:val="16"/>
          <w:rtl/>
        </w:rPr>
        <w:t>{היינו דאם הולך בלאו"ה שמה אינו יכול לכפות את הלוה לדון שם}</w:t>
      </w:r>
      <w:r w:rsidRPr="00B269D6">
        <w:rPr>
          <w:rFonts w:cs="Arial"/>
          <w:rtl/>
        </w:rPr>
        <w:t xml:space="preserve">, מהרי"ק </w:t>
      </w:r>
      <w:r>
        <w:rPr>
          <w:rFonts w:cs="Arial" w:hint="cs"/>
          <w:rtl/>
        </w:rPr>
        <w:t>(</w:t>
      </w:r>
      <w:r w:rsidRPr="00B269D6">
        <w:rPr>
          <w:rFonts w:cs="Arial"/>
          <w:rtl/>
        </w:rPr>
        <w:t>שורש צ</w:t>
      </w:r>
      <w:r>
        <w:rPr>
          <w:rFonts w:cs="Arial" w:hint="cs"/>
          <w:rtl/>
        </w:rPr>
        <w:t>)</w:t>
      </w:r>
      <w:r w:rsidRPr="00B269D6">
        <w:rPr>
          <w:rFonts w:cs="Arial"/>
          <w:rtl/>
        </w:rPr>
        <w:t xml:space="preserve">, סמ"ע </w:t>
      </w:r>
      <w:r>
        <w:rPr>
          <w:rFonts w:cs="Arial" w:hint="cs"/>
          <w:rtl/>
        </w:rPr>
        <w:t>(</w:t>
      </w:r>
      <w:r w:rsidRPr="00B269D6">
        <w:rPr>
          <w:rFonts w:cs="Arial"/>
          <w:rtl/>
        </w:rPr>
        <w:t>סק"</w:t>
      </w:r>
      <w:r>
        <w:rPr>
          <w:rFonts w:cs="Arial" w:hint="cs"/>
          <w:rtl/>
        </w:rPr>
        <w:t>ח)</w:t>
      </w:r>
      <w:r w:rsidRPr="00B269D6">
        <w:rPr>
          <w:rFonts w:cs="Arial"/>
          <w:rtl/>
        </w:rPr>
        <w:t xml:space="preserve">. </w:t>
      </w:r>
      <w:r>
        <w:rPr>
          <w:rFonts w:cs="Arial" w:hint="cs"/>
          <w:rtl/>
        </w:rPr>
        <w:t xml:space="preserve">וכ"פ האו"ת (אורים סק"ו). וכתב הש"ך (סק"ה)- </w:t>
      </w:r>
      <w:r w:rsidRPr="00B269D6">
        <w:rPr>
          <w:rFonts w:cs="Arial"/>
          <w:rtl/>
        </w:rPr>
        <w:t>ואין לזה טעם, וגם מהרי"ק טעה בהבנת תשובת רשב"א</w:t>
      </w:r>
      <w:r>
        <w:rPr>
          <w:rFonts w:cs="Arial" w:hint="cs"/>
          <w:rtl/>
        </w:rPr>
        <w:t xml:space="preserve"> (במיוחסות סי' מז)...</w:t>
      </w:r>
      <w:r w:rsidRPr="00B269D6">
        <w:rPr>
          <w:rFonts w:cs="Arial"/>
          <w:rtl/>
        </w:rPr>
        <w:t xml:space="preserve"> [הגה שאם המלוה הולך בלא"ה שמה יכול הלוה לכופו], וכן פירשה הב"ח [כאן סעיף ב'] וחלק אמהרי"ק, ופסק דהמלוה יכול לכוף ללוה אף שיש למלוה דרך שם ולא ללוה, ע"ש</w:t>
      </w:r>
      <w:r>
        <w:rPr>
          <w:rFonts w:cs="Arial" w:hint="cs"/>
          <w:rtl/>
        </w:rPr>
        <w:t>. וקצוה"ח (סק"א) עשה פשרה בניהם וכתב ד</w:t>
      </w:r>
      <w:r w:rsidRPr="00B269D6">
        <w:rPr>
          <w:rFonts w:cs="Arial"/>
          <w:rtl/>
        </w:rPr>
        <w:t>נראה על דרך הכרעה במלוה ולוה כדעת הב"ח (סעיף ב') והש"ך החולקין על הסמ"ע, ובשאר תובעין כדעת סמ"ע הנמשך אחר דעת מוהרי"ק</w:t>
      </w:r>
      <w:r>
        <w:rPr>
          <w:rFonts w:cs="Arial" w:hint="cs"/>
          <w:rtl/>
        </w:rPr>
        <w:t>.</w:t>
      </w:r>
    </w:p>
  </w:footnote>
  <w:footnote w:id="791">
    <w:p w14:paraId="75770085" w14:textId="77777777" w:rsidR="0013116F" w:rsidRDefault="0013116F">
      <w:pPr>
        <w:pStyle w:val="a9"/>
        <w:rPr>
          <w:rtl/>
        </w:rPr>
      </w:pPr>
      <w:r>
        <w:rPr>
          <w:rStyle w:val="ab"/>
        </w:rPr>
        <w:footnoteRef/>
      </w:r>
      <w:r>
        <w:rPr>
          <w:rtl/>
        </w:rPr>
        <w:t xml:space="preserve"> </w:t>
      </w:r>
      <w:r w:rsidRPr="005A68D4">
        <w:rPr>
          <w:rFonts w:cs="Arial"/>
          <w:rtl/>
        </w:rPr>
        <w:t>מה שכתב אח</w:t>
      </w:r>
      <w:r>
        <w:rPr>
          <w:rFonts w:cs="Arial" w:hint="cs"/>
          <w:rtl/>
        </w:rPr>
        <w:t>"</w:t>
      </w:r>
      <w:r w:rsidRPr="005A68D4">
        <w:rPr>
          <w:rFonts w:cs="Arial"/>
          <w:rtl/>
        </w:rPr>
        <w:t>כ מור"ם אדברי הרמב"ם ז"ל, באותה "מדינה", אין בו נ"מ לדברי הרמב"ם דמשוה בית דין הגדול לבית הועד, אלא שמור"ם כ"כ להנחה להי"א שכתב אחר זה בהג"ה המחלקים בין ב"ד הגדול לבית הועד וכנ"ל, וכתבו מור"ם אדברי הרמב"ם כדי לקצר וכדרכו, ובו תדע דלמאן דאמר דסבירא ליה ששומעין גם לנתבע אפילו בשאר דינים כשאומר לבית דין הגדול קאזלינן, אליבייהו גם בזמן הזה יש בית דין הגדול, ולא כהרמב"ם דכתב [שם ה"ט] דאין בזמנינו בית דין הגדול, ומשום הכי נמי כתב מור"ם אחר כך בהג"ה באותה מדינה, כדי שתדעו דלהי"א המחלקין בין תובע לנתבע באומרו לבית הועד קאזלינן, דהיינו דוקא כשהבית הועד הוא באותה מדינה, אבל כשאינו באותה מדינה גם לתובע אין שומעין, ולא הטריחוהו לילך חוץ למדינה, כ"א באומרו לבית דין הגדול אזילנא דהוא הב"ד החשוב שבדור, משא"כ בית הועד, ודוק</w:t>
      </w:r>
      <w:r>
        <w:rPr>
          <w:rFonts w:hint="cs"/>
          <w:rtl/>
        </w:rPr>
        <w:t>, סמ"ע (סק"ו).</w:t>
      </w:r>
    </w:p>
  </w:footnote>
  <w:footnote w:id="792">
    <w:p w14:paraId="715BD351" w14:textId="77777777" w:rsidR="0013116F" w:rsidRDefault="0013116F">
      <w:pPr>
        <w:pStyle w:val="a9"/>
        <w:rPr>
          <w:rtl/>
        </w:rPr>
      </w:pPr>
      <w:r>
        <w:rPr>
          <w:rStyle w:val="ab"/>
        </w:rPr>
        <w:footnoteRef/>
      </w:r>
      <w:r>
        <w:rPr>
          <w:rtl/>
        </w:rPr>
        <w:t xml:space="preserve"> </w:t>
      </w:r>
      <w:r>
        <w:rPr>
          <w:rFonts w:hint="cs"/>
          <w:rtl/>
        </w:rPr>
        <w:t xml:space="preserve">עיין לעיל בדברי הרמב"ם, שכתבתי שהגירסא הנכונה היא - 'שבארצו' ולא - 'שבארץ פלוני'. וצל"ע אם כוונת הב"י לפסוק כהרמב"ם, שהרי העתיק את לשונו, ואז נצטרך לומר שצריך לשנות את הגירסא גם בשו"ע ל-'שבארצו'. או שנאמר שדעת השו"ע לכפות את הלוה ללכת אחרי המלוה גם לארץ אחרת. </w:t>
      </w:r>
    </w:p>
  </w:footnote>
  <w:footnote w:id="793">
    <w:p w14:paraId="6AC6C4EE" w14:textId="77777777" w:rsidR="0013116F" w:rsidRDefault="0013116F">
      <w:pPr>
        <w:pStyle w:val="a9"/>
      </w:pPr>
      <w:r>
        <w:rPr>
          <w:rStyle w:val="ab"/>
        </w:rPr>
        <w:footnoteRef/>
      </w:r>
      <w:r>
        <w:rPr>
          <w:rtl/>
        </w:rPr>
        <w:t xml:space="preserve"> </w:t>
      </w:r>
      <w:r>
        <w:rPr>
          <w:rFonts w:hint="cs"/>
          <w:rtl/>
        </w:rPr>
        <w:t xml:space="preserve">תוספת הסמ"ע </w:t>
      </w:r>
      <w:r>
        <w:rPr>
          <w:rFonts w:cs="Arial" w:hint="cs"/>
          <w:rtl/>
        </w:rPr>
        <w:t>(סק"ט)</w:t>
      </w:r>
      <w:r>
        <w:rPr>
          <w:rFonts w:hint="cs"/>
          <w:rtl/>
        </w:rPr>
        <w:t>.</w:t>
      </w:r>
    </w:p>
  </w:footnote>
  <w:footnote w:id="794">
    <w:p w14:paraId="667DDE10" w14:textId="77777777" w:rsidR="0013116F" w:rsidRDefault="0013116F">
      <w:pPr>
        <w:pStyle w:val="a9"/>
      </w:pPr>
      <w:r>
        <w:rPr>
          <w:rStyle w:val="ab"/>
        </w:rPr>
        <w:footnoteRef/>
      </w:r>
      <w:r>
        <w:rPr>
          <w:rtl/>
        </w:rPr>
        <w:t xml:space="preserve"> </w:t>
      </w:r>
      <w:r w:rsidRPr="00B269D6">
        <w:rPr>
          <w:rFonts w:cs="Arial"/>
          <w:rtl/>
        </w:rPr>
        <w:t xml:space="preserve">מור"ם הרכיב לשון הרמב"ם </w:t>
      </w:r>
      <w:r w:rsidRPr="00B269D6">
        <w:rPr>
          <w:rFonts w:cs="Arial"/>
          <w:sz w:val="16"/>
          <w:szCs w:val="16"/>
          <w:rtl/>
        </w:rPr>
        <w:t xml:space="preserve">[פ"ו מסנהדרין ה"ח] </w:t>
      </w:r>
      <w:r w:rsidRPr="00B269D6">
        <w:rPr>
          <w:rFonts w:cs="Arial"/>
          <w:rtl/>
        </w:rPr>
        <w:t xml:space="preserve">ולשון הרא"ש </w:t>
      </w:r>
      <w:r w:rsidRPr="00B269D6">
        <w:rPr>
          <w:rFonts w:cs="Arial"/>
          <w:sz w:val="16"/>
          <w:szCs w:val="16"/>
          <w:rtl/>
        </w:rPr>
        <w:t xml:space="preserve">[ב"ק פ"י סי' ד] </w:t>
      </w:r>
      <w:r w:rsidRPr="00B269D6">
        <w:rPr>
          <w:rFonts w:cs="Arial"/>
          <w:rtl/>
        </w:rPr>
        <w:t xml:space="preserve">והטור </w:t>
      </w:r>
      <w:r w:rsidRPr="00B269D6">
        <w:rPr>
          <w:rFonts w:cs="Arial"/>
          <w:sz w:val="16"/>
          <w:szCs w:val="16"/>
          <w:rtl/>
        </w:rPr>
        <w:t>[סע</w:t>
      </w:r>
      <w:r>
        <w:rPr>
          <w:rFonts w:cs="Arial" w:hint="cs"/>
          <w:sz w:val="16"/>
          <w:szCs w:val="16"/>
          <w:rtl/>
        </w:rPr>
        <w:t>'</w:t>
      </w:r>
      <w:r w:rsidRPr="00B269D6">
        <w:rPr>
          <w:rFonts w:cs="Arial"/>
          <w:sz w:val="16"/>
          <w:szCs w:val="16"/>
          <w:rtl/>
        </w:rPr>
        <w:t xml:space="preserve"> ב] </w:t>
      </w:r>
      <w:r w:rsidRPr="00B269D6">
        <w:rPr>
          <w:rFonts w:cs="Arial"/>
          <w:rtl/>
        </w:rPr>
        <w:t>אהדדי, שהרמב"ם כ</w:t>
      </w:r>
      <w:r>
        <w:rPr>
          <w:rFonts w:cs="Arial" w:hint="cs"/>
          <w:rtl/>
        </w:rPr>
        <w:t>'</w:t>
      </w:r>
      <w:r w:rsidRPr="00B269D6">
        <w:rPr>
          <w:rFonts w:cs="Arial"/>
          <w:rtl/>
        </w:rPr>
        <w:t xml:space="preserve"> בדין ב</w:t>
      </w:r>
      <w:r>
        <w:rPr>
          <w:rFonts w:cs="Arial" w:hint="cs"/>
          <w:rtl/>
        </w:rPr>
        <w:t>"</w:t>
      </w:r>
      <w:r w:rsidRPr="00B269D6">
        <w:rPr>
          <w:rFonts w:cs="Arial"/>
          <w:rtl/>
        </w:rPr>
        <w:t>ד הגדול לפני זה אם יש עדים או ראיה, וממנו נשמע ממילא דס"ל הכי גם בדין זה דבזמה</w:t>
      </w:r>
      <w:r>
        <w:rPr>
          <w:rFonts w:cs="Arial" w:hint="cs"/>
          <w:rtl/>
        </w:rPr>
        <w:t>"</w:t>
      </w:r>
      <w:r w:rsidRPr="00B269D6">
        <w:rPr>
          <w:rFonts w:cs="Arial"/>
          <w:rtl/>
        </w:rPr>
        <w:t>ז, והרא"ש והטור כתבו בזה אם מסדר טענותיו לב"ד ונראה להן שיש ממש בדבריו. וצ"ל דגם כונת מור"ם היא הכי, ומ"ש ונראה לב"ד, הוי ליה כאילו אמר או נראה לב"ד</w:t>
      </w:r>
      <w:r>
        <w:rPr>
          <w:rFonts w:cs="Arial" w:hint="cs"/>
          <w:rtl/>
        </w:rPr>
        <w:t>, סמ"ע</w:t>
      </w:r>
      <w:r w:rsidRPr="00B269D6">
        <w:rPr>
          <w:rFonts w:cs="Arial" w:hint="cs"/>
          <w:sz w:val="16"/>
          <w:szCs w:val="16"/>
          <w:rtl/>
        </w:rPr>
        <w:t xml:space="preserve"> (סק"ט)</w:t>
      </w:r>
      <w:r>
        <w:rPr>
          <w:rFonts w:cs="Arial" w:hint="cs"/>
          <w:rtl/>
        </w:rPr>
        <w:t>.</w:t>
      </w:r>
    </w:p>
  </w:footnote>
  <w:footnote w:id="795">
    <w:p w14:paraId="05BCF28B" w14:textId="77777777" w:rsidR="0013116F" w:rsidRDefault="0013116F">
      <w:pPr>
        <w:pStyle w:val="a9"/>
      </w:pPr>
      <w:r>
        <w:rPr>
          <w:rStyle w:val="ab"/>
        </w:rPr>
        <w:footnoteRef/>
      </w:r>
      <w:r>
        <w:rPr>
          <w:rtl/>
        </w:rPr>
        <w:t xml:space="preserve"> </w:t>
      </w:r>
      <w:r w:rsidRPr="00B269D6">
        <w:rPr>
          <w:rFonts w:cs="Arial"/>
          <w:rtl/>
        </w:rPr>
        <w:t>כ"כ מהרא"י בפסקיו סי' ס"ג וס"ה, ושם בסימן ס"ה כתב שהמנהג שכל השייכים לבית החיים שלהם שייכים לאותו ב"ד. וע"ש דכתב עוד שאין בדינים אלו אלא מה שעיני הדיין רואות, והביאו בד"מ</w:t>
      </w:r>
      <w:r>
        <w:rPr>
          <w:rFonts w:cs="Arial" w:hint="cs"/>
          <w:rtl/>
        </w:rPr>
        <w:t>, סמ"ע (סק"י).</w:t>
      </w:r>
    </w:p>
  </w:footnote>
  <w:footnote w:id="796">
    <w:p w14:paraId="3CB17319" w14:textId="77777777" w:rsidR="0013116F" w:rsidRDefault="0013116F">
      <w:pPr>
        <w:pStyle w:val="a9"/>
      </w:pPr>
      <w:r>
        <w:rPr>
          <w:rStyle w:val="ab"/>
        </w:rPr>
        <w:footnoteRef/>
      </w:r>
      <w:r>
        <w:rPr>
          <w:rtl/>
        </w:rPr>
        <w:t xml:space="preserve"> </w:t>
      </w:r>
      <w:r w:rsidRPr="008E4050">
        <w:rPr>
          <w:rFonts w:cs="Arial"/>
          <w:rtl/>
        </w:rPr>
        <w:t>נראה דהיינו דוקא בנותן קצת אמתלא לדחייתו, ואז שומעין לו עד יום ג' כדינא דגמרא [ב"ק קיג</w:t>
      </w:r>
      <w:r>
        <w:rPr>
          <w:rFonts w:cs="Arial" w:hint="cs"/>
          <w:rtl/>
        </w:rPr>
        <w:t>.</w:t>
      </w:r>
      <w:r w:rsidRPr="008E4050">
        <w:rPr>
          <w:rFonts w:cs="Arial"/>
          <w:rtl/>
        </w:rPr>
        <w:t>] דהיו נותנין להיוצאין לכפרים ונכנסין זמן בה"ב, וכמ"ש לעיל ריש סימן י"א, ושם ג"כ הטעם דדילמא אניס ליה כיון שיוצא ונכנס ולא היה יכול לבוא עד יום ג', אבל כשהוא תמיד בעיר מנדין אותו ביום ראשון, ע"ש [בסמ"ע סק"ג]</w:t>
      </w:r>
      <w:r>
        <w:rPr>
          <w:rFonts w:cs="Arial" w:hint="cs"/>
          <w:rtl/>
        </w:rPr>
        <w:t>, סמ"ע (סקי"א).</w:t>
      </w:r>
    </w:p>
  </w:footnote>
  <w:footnote w:id="797">
    <w:p w14:paraId="7E994D2F" w14:textId="77777777" w:rsidR="0013116F" w:rsidRDefault="0013116F">
      <w:pPr>
        <w:pStyle w:val="a9"/>
      </w:pPr>
      <w:r>
        <w:rPr>
          <w:rStyle w:val="ab"/>
        </w:rPr>
        <w:footnoteRef/>
      </w:r>
      <w:r>
        <w:rPr>
          <w:rtl/>
        </w:rPr>
        <w:t xml:space="preserve"> </w:t>
      </w:r>
      <w:r w:rsidRPr="008E4050">
        <w:rPr>
          <w:rFonts w:cs="Arial"/>
          <w:rtl/>
        </w:rPr>
        <w:t xml:space="preserve">ז"ל </w:t>
      </w:r>
      <w:r w:rsidRPr="008E4050">
        <w:rPr>
          <w:rFonts w:cs="Arial"/>
          <w:sz w:val="16"/>
          <w:szCs w:val="16"/>
          <w:rtl/>
        </w:rPr>
        <w:t>[המרדכי</w:t>
      </w:r>
      <w:r>
        <w:rPr>
          <w:rFonts w:cs="Arial" w:hint="cs"/>
          <w:sz w:val="16"/>
          <w:szCs w:val="16"/>
          <w:rtl/>
        </w:rPr>
        <w:t>]</w:t>
      </w:r>
      <w:r w:rsidRPr="008E4050">
        <w:rPr>
          <w:rFonts w:cs="Arial"/>
          <w:sz w:val="16"/>
          <w:szCs w:val="16"/>
          <w:rtl/>
        </w:rPr>
        <w:t xml:space="preserve"> </w:t>
      </w:r>
      <w:r w:rsidRPr="008E4050">
        <w:rPr>
          <w:rFonts w:cs="Arial"/>
          <w:rtl/>
        </w:rPr>
        <w:t>שם, אבל דיינים בוררים להם לאלתר זה בורר וזה בורר, ור"ל מיד ביום ראשון כדי שלא יבואו לידי דחיה ביום ג',</w:t>
      </w:r>
      <w:r>
        <w:rPr>
          <w:rFonts w:cs="Arial" w:hint="cs"/>
          <w:rtl/>
        </w:rPr>
        <w:t xml:space="preserve"> סמ"ע (סקי"ב).</w:t>
      </w:r>
    </w:p>
  </w:footnote>
  <w:footnote w:id="798">
    <w:p w14:paraId="5A3312BD" w14:textId="77777777" w:rsidR="0013116F" w:rsidRDefault="0013116F">
      <w:pPr>
        <w:pStyle w:val="a9"/>
      </w:pPr>
      <w:r>
        <w:rPr>
          <w:rStyle w:val="ab"/>
        </w:rPr>
        <w:footnoteRef/>
      </w:r>
      <w:r>
        <w:rPr>
          <w:rtl/>
        </w:rPr>
        <w:t xml:space="preserve"> </w:t>
      </w:r>
      <w:r w:rsidRPr="00FC7F93">
        <w:rPr>
          <w:rtl/>
        </w:rPr>
        <w:t>ואפילו היו יותר גדולים במקום התובע ועשו תקנה על זה לא מהני</w:t>
      </w:r>
      <w:r>
        <w:rPr>
          <w:rFonts w:hint="cs"/>
          <w:rtl/>
        </w:rPr>
        <w:t>, לשון מהרי"ק (שורש א).</w:t>
      </w:r>
    </w:p>
  </w:footnote>
  <w:footnote w:id="799">
    <w:p w14:paraId="7462B081" w14:textId="77777777" w:rsidR="0013116F" w:rsidRDefault="0013116F">
      <w:pPr>
        <w:pStyle w:val="a9"/>
      </w:pPr>
      <w:r>
        <w:rPr>
          <w:rStyle w:val="ab"/>
        </w:rPr>
        <w:footnoteRef/>
      </w:r>
      <w:r>
        <w:rPr>
          <w:rtl/>
        </w:rPr>
        <w:t xml:space="preserve"> </w:t>
      </w:r>
      <w:r w:rsidRPr="00FC7F93">
        <w:rPr>
          <w:rtl/>
        </w:rPr>
        <w:t>אלא צריך לילך אחר הנתבע ולתבעו בבית דין שלו</w:t>
      </w:r>
      <w:r>
        <w:rPr>
          <w:rFonts w:cs="Arial" w:hint="cs"/>
          <w:rtl/>
        </w:rPr>
        <w:t xml:space="preserve">, תרוה"ד (שם). </w:t>
      </w:r>
      <w:r w:rsidRPr="00467ED1">
        <w:rPr>
          <w:rFonts w:cs="Arial" w:hint="cs"/>
          <w:sz w:val="16"/>
          <w:szCs w:val="16"/>
          <w:rtl/>
        </w:rPr>
        <w:t>(</w:t>
      </w:r>
      <w:r w:rsidRPr="00467ED1">
        <w:rPr>
          <w:rFonts w:cs="Arial"/>
          <w:sz w:val="16"/>
          <w:szCs w:val="16"/>
          <w:rtl/>
        </w:rPr>
        <w:t>ע"ש [</w:t>
      </w:r>
      <w:r w:rsidRPr="00467ED1">
        <w:rPr>
          <w:rFonts w:cs="Arial" w:hint="cs"/>
          <w:sz w:val="16"/>
          <w:szCs w:val="16"/>
          <w:rtl/>
        </w:rPr>
        <w:t>בתרוה"ד]</w:t>
      </w:r>
      <w:r w:rsidRPr="00467ED1">
        <w:rPr>
          <w:rFonts w:cs="Arial"/>
          <w:sz w:val="16"/>
          <w:szCs w:val="16"/>
          <w:rtl/>
        </w:rPr>
        <w:t xml:space="preserve"> בסימן ש"ה ותמצא דשם היתה השאלה אהנתבע שהיה לו מעות בפקדון בעיר אחרת, והשיב שם דאם בדין יכול לעקלם שם צריך לדון עמו שם</w:t>
      </w:r>
      <w:r w:rsidRPr="00467ED1">
        <w:rPr>
          <w:rFonts w:cs="Arial" w:hint="cs"/>
          <w:sz w:val="16"/>
          <w:szCs w:val="16"/>
          <w:rtl/>
        </w:rPr>
        <w:t>, סמ"ע (סקי"ג)</w:t>
      </w:r>
      <w:r>
        <w:rPr>
          <w:rFonts w:cs="Arial" w:hint="cs"/>
          <w:sz w:val="16"/>
          <w:szCs w:val="16"/>
          <w:rtl/>
        </w:rPr>
        <w:t>).</w:t>
      </w:r>
    </w:p>
  </w:footnote>
  <w:footnote w:id="800">
    <w:p w14:paraId="091A2886" w14:textId="77777777" w:rsidR="0013116F" w:rsidRDefault="0013116F">
      <w:pPr>
        <w:pStyle w:val="a9"/>
      </w:pPr>
      <w:r>
        <w:rPr>
          <w:rStyle w:val="ab"/>
        </w:rPr>
        <w:footnoteRef/>
      </w:r>
      <w:r>
        <w:rPr>
          <w:rtl/>
        </w:rPr>
        <w:t xml:space="preserve"> </w:t>
      </w:r>
      <w:r>
        <w:rPr>
          <w:rFonts w:hint="cs"/>
          <w:rtl/>
        </w:rPr>
        <w:t>תוספת הסמ"ע (סקי"ג).</w:t>
      </w:r>
    </w:p>
  </w:footnote>
  <w:footnote w:id="801">
    <w:p w14:paraId="4B914045" w14:textId="77777777" w:rsidR="0013116F" w:rsidRDefault="0013116F">
      <w:pPr>
        <w:pStyle w:val="a9"/>
        <w:rPr>
          <w:rtl/>
        </w:rPr>
      </w:pPr>
      <w:r>
        <w:rPr>
          <w:rStyle w:val="ab"/>
        </w:rPr>
        <w:footnoteRef/>
      </w:r>
      <w:r>
        <w:rPr>
          <w:rtl/>
        </w:rPr>
        <w:t xml:space="preserve"> </w:t>
      </w:r>
      <w:r w:rsidRPr="001024A8">
        <w:rPr>
          <w:rFonts w:cs="Arial"/>
          <w:rtl/>
        </w:rPr>
        <w:t>פירוש, אא"כ הדין נותן שקודם שירד עמו לדין יכול לעקל מעותיו, והיינו שידע התובע שאם לא יעקל מעות, הנתבע יפזרם ולא יפרע לו, או לא יוכל להביאו למשפט וכיוצא בדברים אלו, כמ"ש בסימן ע"ג [סעיף י'], ולאחר שעיקלם שם בדין, אם ירצה הנתבע ליקח המעות צריך לירד עמו לדין שם במקום שנתעקלו, כ"ז שם בתרומת הדשן סוף סימן ש"ה</w:t>
      </w:r>
      <w:r>
        <w:rPr>
          <w:rFonts w:hint="cs"/>
          <w:rtl/>
        </w:rPr>
        <w:t>, סמ"ע (סקי"ד).</w:t>
      </w:r>
    </w:p>
  </w:footnote>
  <w:footnote w:id="802">
    <w:p w14:paraId="1E5B7B9F" w14:textId="77777777" w:rsidR="0013116F" w:rsidRDefault="0013116F">
      <w:pPr>
        <w:pStyle w:val="a9"/>
      </w:pPr>
      <w:r>
        <w:rPr>
          <w:rStyle w:val="ab"/>
        </w:rPr>
        <w:footnoteRef/>
      </w:r>
      <w:r>
        <w:rPr>
          <w:rtl/>
        </w:rPr>
        <w:t xml:space="preserve"> </w:t>
      </w:r>
      <w:r w:rsidRPr="001024A8">
        <w:rPr>
          <w:rFonts w:cs="Arial"/>
          <w:rtl/>
        </w:rPr>
        <w:t xml:space="preserve">פירוש, והתובע צריך לשלם השליחות. ב"י </w:t>
      </w:r>
      <w:r w:rsidRPr="001024A8">
        <w:rPr>
          <w:rFonts w:cs="Arial"/>
          <w:sz w:val="16"/>
          <w:szCs w:val="16"/>
          <w:rtl/>
        </w:rPr>
        <w:t xml:space="preserve">[מחודש י"א] </w:t>
      </w:r>
      <w:r w:rsidRPr="001024A8">
        <w:rPr>
          <w:rFonts w:cs="Arial"/>
          <w:rtl/>
        </w:rPr>
        <w:t xml:space="preserve">בשם מהרי"ק </w:t>
      </w:r>
      <w:r w:rsidRPr="001024A8">
        <w:rPr>
          <w:rFonts w:cs="Arial"/>
          <w:sz w:val="16"/>
          <w:szCs w:val="16"/>
          <w:rtl/>
        </w:rPr>
        <w:t>[שורש קמד]</w:t>
      </w:r>
      <w:r w:rsidRPr="001024A8">
        <w:rPr>
          <w:rFonts w:cs="Arial"/>
          <w:rtl/>
        </w:rPr>
        <w:t>. ועי</w:t>
      </w:r>
      <w:r>
        <w:rPr>
          <w:rFonts w:cs="Arial" w:hint="cs"/>
          <w:rtl/>
        </w:rPr>
        <w:t>'</w:t>
      </w:r>
      <w:r w:rsidRPr="001024A8">
        <w:rPr>
          <w:rFonts w:cs="Arial"/>
          <w:rtl/>
        </w:rPr>
        <w:t xml:space="preserve"> לקמן סי</w:t>
      </w:r>
      <w:r>
        <w:rPr>
          <w:rFonts w:cs="Arial" w:hint="cs"/>
          <w:rtl/>
        </w:rPr>
        <w:t>'</w:t>
      </w:r>
      <w:r w:rsidRPr="001024A8">
        <w:rPr>
          <w:rFonts w:cs="Arial"/>
          <w:rtl/>
        </w:rPr>
        <w:t xml:space="preserve"> קו </w:t>
      </w:r>
      <w:r w:rsidRPr="001024A8">
        <w:rPr>
          <w:rFonts w:cs="Arial"/>
          <w:sz w:val="16"/>
          <w:szCs w:val="16"/>
          <w:rtl/>
        </w:rPr>
        <w:t>[סע</w:t>
      </w:r>
      <w:r w:rsidRPr="001024A8">
        <w:rPr>
          <w:rFonts w:cs="Arial" w:hint="cs"/>
          <w:sz w:val="16"/>
          <w:szCs w:val="16"/>
          <w:rtl/>
        </w:rPr>
        <w:t>'</w:t>
      </w:r>
      <w:r w:rsidRPr="001024A8">
        <w:rPr>
          <w:rFonts w:cs="Arial"/>
          <w:sz w:val="16"/>
          <w:szCs w:val="16"/>
          <w:rtl/>
        </w:rPr>
        <w:t xml:space="preserve"> א]</w:t>
      </w:r>
      <w:r w:rsidRPr="001024A8">
        <w:rPr>
          <w:rFonts w:cs="Arial"/>
          <w:rtl/>
        </w:rPr>
        <w:t>. ד"מ ה'</w:t>
      </w:r>
      <w:r>
        <w:rPr>
          <w:rFonts w:cs="Arial" w:hint="cs"/>
          <w:rtl/>
        </w:rPr>
        <w:t>, סמ"ע (סקט"ו).</w:t>
      </w:r>
    </w:p>
  </w:footnote>
  <w:footnote w:id="803">
    <w:p w14:paraId="36A25376" w14:textId="77777777" w:rsidR="0013116F" w:rsidRDefault="0013116F" w:rsidP="00467ED1">
      <w:pPr>
        <w:pStyle w:val="a9"/>
        <w:rPr>
          <w:rtl/>
        </w:rPr>
      </w:pPr>
      <w:r>
        <w:rPr>
          <w:rStyle w:val="ab"/>
        </w:rPr>
        <w:footnoteRef/>
      </w:r>
      <w:r>
        <w:rPr>
          <w:rtl/>
        </w:rPr>
        <w:t xml:space="preserve"> </w:t>
      </w:r>
      <w:r w:rsidRPr="001024A8">
        <w:rPr>
          <w:rFonts w:cs="Arial"/>
          <w:rtl/>
        </w:rPr>
        <w:t xml:space="preserve">מהרי"ק </w:t>
      </w:r>
      <w:r w:rsidRPr="00467ED1">
        <w:rPr>
          <w:rFonts w:cs="Arial" w:hint="cs"/>
          <w:sz w:val="16"/>
          <w:szCs w:val="16"/>
          <w:rtl/>
        </w:rPr>
        <w:t>(</w:t>
      </w:r>
      <w:r w:rsidRPr="00467ED1">
        <w:rPr>
          <w:rFonts w:cs="Arial"/>
          <w:sz w:val="16"/>
          <w:szCs w:val="16"/>
          <w:rtl/>
        </w:rPr>
        <w:t>שורש קט</w:t>
      </w:r>
      <w:r w:rsidRPr="00467ED1">
        <w:rPr>
          <w:rFonts w:cs="Arial" w:hint="cs"/>
          <w:sz w:val="16"/>
          <w:szCs w:val="16"/>
          <w:rtl/>
        </w:rPr>
        <w:t xml:space="preserve"> ענף א, הביאו הדרכ"מ אות ז)</w:t>
      </w:r>
      <w:r w:rsidRPr="001024A8">
        <w:rPr>
          <w:rFonts w:cs="Arial"/>
          <w:rtl/>
        </w:rPr>
        <w:t xml:space="preserve"> כתב דנשתרבב המנהג לעקל מעות הנתבע בכ</w:t>
      </w:r>
      <w:r>
        <w:rPr>
          <w:rFonts w:cs="Arial" w:hint="cs"/>
          <w:rtl/>
        </w:rPr>
        <w:t xml:space="preserve">ל </w:t>
      </w:r>
      <w:r w:rsidRPr="001024A8">
        <w:rPr>
          <w:rFonts w:cs="Arial"/>
          <w:rtl/>
        </w:rPr>
        <w:t>מ</w:t>
      </w:r>
      <w:r>
        <w:rPr>
          <w:rFonts w:cs="Arial" w:hint="cs"/>
          <w:rtl/>
        </w:rPr>
        <w:t>קום</w:t>
      </w:r>
      <w:r w:rsidRPr="001024A8">
        <w:rPr>
          <w:rFonts w:cs="Arial"/>
          <w:rtl/>
        </w:rPr>
        <w:t xml:space="preserve"> שהם</w:t>
      </w:r>
      <w:r w:rsidRPr="00467ED1">
        <w:rPr>
          <w:rtl/>
        </w:rPr>
        <w:t xml:space="preserve"> </w:t>
      </w:r>
      <w:r>
        <w:rPr>
          <w:rFonts w:hint="cs"/>
          <w:sz w:val="16"/>
          <w:szCs w:val="16"/>
          <w:rtl/>
        </w:rPr>
        <w:t>{</w:t>
      </w:r>
      <w:r w:rsidRPr="00467ED1">
        <w:rPr>
          <w:sz w:val="16"/>
          <w:szCs w:val="16"/>
          <w:rtl/>
        </w:rPr>
        <w:t>אבל אין נותנין אותו לתובע אלא מודיעים לנתבע</w:t>
      </w:r>
      <w:r>
        <w:rPr>
          <w:rFonts w:hint="cs"/>
          <w:sz w:val="16"/>
          <w:szCs w:val="16"/>
          <w:rtl/>
        </w:rPr>
        <w:t>, דרכ"מ בשם מהרי"ק}</w:t>
      </w:r>
      <w:r w:rsidRPr="001024A8">
        <w:rPr>
          <w:rFonts w:cs="Arial"/>
          <w:rtl/>
        </w:rPr>
        <w:t>, ולפ"ז היה נראה דצריך אז לדון עמו שם ג"כ בכל מקום שעיקלו. מיהו מדברי מור"ם לקמן בסימן ע"ג סעיף י' לא משמע הכי, ע"ש</w:t>
      </w:r>
      <w:r>
        <w:rPr>
          <w:rFonts w:hint="cs"/>
          <w:rtl/>
        </w:rPr>
        <w:t>, סמ"ע (סקט"ז).</w:t>
      </w:r>
    </w:p>
  </w:footnote>
  <w:footnote w:id="804">
    <w:p w14:paraId="0C68A166" w14:textId="77777777" w:rsidR="0013116F" w:rsidRDefault="0013116F" w:rsidP="00467ED1">
      <w:pPr>
        <w:pStyle w:val="a9"/>
        <w:rPr>
          <w:rtl/>
        </w:rPr>
      </w:pPr>
      <w:r>
        <w:rPr>
          <w:rStyle w:val="ab"/>
        </w:rPr>
        <w:footnoteRef/>
      </w:r>
      <w:r>
        <w:rPr>
          <w:rtl/>
        </w:rPr>
        <w:t xml:space="preserve"> </w:t>
      </w:r>
      <w:r w:rsidRPr="00FC7F93">
        <w:rPr>
          <w:rtl/>
        </w:rPr>
        <w:t>ועיין בזה לקמן סימן צ"ח (סי"א, ד"מ אות ב) וסימן ק"ה</w:t>
      </w:r>
      <w:r>
        <w:rPr>
          <w:rFonts w:hint="cs"/>
          <w:rtl/>
        </w:rPr>
        <w:t>, דרכ"מ (אות ז).</w:t>
      </w:r>
    </w:p>
  </w:footnote>
  <w:footnote w:id="805">
    <w:p w14:paraId="25047D21" w14:textId="77777777" w:rsidR="0013116F" w:rsidRDefault="0013116F" w:rsidP="005C638B">
      <w:pPr>
        <w:pStyle w:val="a9"/>
        <w:rPr>
          <w:rtl/>
        </w:rPr>
      </w:pPr>
      <w:r>
        <w:rPr>
          <w:rStyle w:val="ab"/>
        </w:rPr>
        <w:footnoteRef/>
      </w:r>
      <w:r>
        <w:rPr>
          <w:rtl/>
        </w:rPr>
        <w:t xml:space="preserve"> </w:t>
      </w:r>
      <w:r>
        <w:rPr>
          <w:rFonts w:hint="cs"/>
          <w:rtl/>
        </w:rPr>
        <w:t xml:space="preserve">סימן </w:t>
      </w:r>
      <w:r>
        <w:rPr>
          <w:rtl/>
        </w:rPr>
        <w:t>–</w:t>
      </w:r>
      <w:r>
        <w:rPr>
          <w:rFonts w:hint="cs"/>
          <w:rtl/>
        </w:rPr>
        <w:t xml:space="preserve"> קש</w:t>
      </w:r>
      <w:r>
        <w:rPr>
          <w:rFonts w:hint="cs"/>
          <w:sz w:val="16"/>
          <w:szCs w:val="16"/>
          <w:rtl/>
        </w:rPr>
        <w:t xml:space="preserve"> {היינו מזומן}</w:t>
      </w:r>
      <w:r>
        <w:rPr>
          <w:rFonts w:hint="cs"/>
          <w:rtl/>
        </w:rPr>
        <w:t xml:space="preserve"> סופר זריז.</w:t>
      </w:r>
    </w:p>
  </w:footnote>
  <w:footnote w:id="806">
    <w:p w14:paraId="384121DF" w14:textId="77777777" w:rsidR="0013116F" w:rsidRDefault="0013116F" w:rsidP="00CF4E99">
      <w:pPr>
        <w:pStyle w:val="a9"/>
        <w:rPr>
          <w:rtl/>
        </w:rPr>
      </w:pPr>
      <w:r>
        <w:rPr>
          <w:rStyle w:val="ab"/>
        </w:rPr>
        <w:footnoteRef/>
      </w:r>
      <w:r>
        <w:rPr>
          <w:rtl/>
        </w:rPr>
        <w:t xml:space="preserve"> </w:t>
      </w:r>
      <w:r w:rsidRPr="00136BBD">
        <w:rPr>
          <w:rFonts w:cs="Arial"/>
          <w:rtl/>
        </w:rPr>
        <w:t>שם [</w:t>
      </w:r>
      <w:r>
        <w:rPr>
          <w:rFonts w:cs="Arial" w:hint="cs"/>
          <w:rtl/>
        </w:rPr>
        <w:t>בהגמ"ר</w:t>
      </w:r>
      <w:r w:rsidRPr="00136BBD">
        <w:rPr>
          <w:rFonts w:cs="Arial"/>
          <w:rtl/>
        </w:rPr>
        <w:t>] סיים הטעם בשם מוהר"ם, שלא יהא המורה ששלחן אליו נחשד שנושא פנים לתלמיד חכם, עד כאן לשונו. ולפי זה צריך לומר דהסופר אינו מזכיר בו שם החכם ולא שם שכנגדו, אבל הת"ח כשיכתוב בעצמו, אף שלא יזכיר שמו, מ"מ יש חשד שיאמרו שהמורה היה מכיר כתב של החכם. ואין להקשות הלא יהא ניכר מהטענות והראיות שאלו הן טענות וראיות ת"ח שהאריך וזה קיצר. דאין ראיה, דדילמא מורשה דע"ה או ב"ד כתבו כן בעד עם הארץ, ופעמים שגם ת"ח מקצר. א"נ כל זמן שאין המורה יודע איזה חכם טוען כן לית בו חשד, וק"ל</w:t>
      </w:r>
      <w:r>
        <w:rPr>
          <w:rFonts w:hint="cs"/>
          <w:rtl/>
        </w:rPr>
        <w:t>, סמ"ע (סקי"ט).</w:t>
      </w:r>
    </w:p>
  </w:footnote>
  <w:footnote w:id="807">
    <w:p w14:paraId="35BD3B68" w14:textId="77777777" w:rsidR="0013116F" w:rsidRDefault="0013116F" w:rsidP="00FC7F93">
      <w:pPr>
        <w:pStyle w:val="a9"/>
      </w:pPr>
      <w:r>
        <w:rPr>
          <w:rStyle w:val="ab"/>
        </w:rPr>
        <w:footnoteRef/>
      </w:r>
      <w:r>
        <w:rPr>
          <w:rtl/>
        </w:rPr>
        <w:t xml:space="preserve"> </w:t>
      </w:r>
      <w:r>
        <w:rPr>
          <w:rFonts w:cs="Arial"/>
          <w:rtl/>
        </w:rPr>
        <w:t>וכ"כ המרדכי בפרק זה בורר (סי' תרפז) וגם הגה</w:t>
      </w:r>
      <w:r>
        <w:rPr>
          <w:rFonts w:cs="Arial" w:hint="cs"/>
          <w:rtl/>
        </w:rPr>
        <w:t>"א</w:t>
      </w:r>
      <w:r>
        <w:rPr>
          <w:rFonts w:cs="Arial"/>
          <w:rtl/>
        </w:rPr>
        <w:t xml:space="preserve"> בפרק הנזכר (סי' ב אות ה) וע</w:t>
      </w:r>
      <w:r>
        <w:rPr>
          <w:rFonts w:cs="Arial" w:hint="cs"/>
          <w:rtl/>
        </w:rPr>
        <w:t>"</w:t>
      </w:r>
      <w:r>
        <w:rPr>
          <w:rFonts w:cs="Arial"/>
          <w:rtl/>
        </w:rPr>
        <w:t>ש</w:t>
      </w:r>
      <w:r>
        <w:rPr>
          <w:rFonts w:cs="Arial" w:hint="cs"/>
          <w:rtl/>
        </w:rPr>
        <w:t>, ב"י.</w:t>
      </w:r>
      <w:r>
        <w:rPr>
          <w:rFonts w:cs="Arial"/>
          <w:rtl/>
        </w:rPr>
        <w:t xml:space="preserve"> </w:t>
      </w:r>
    </w:p>
  </w:footnote>
  <w:footnote w:id="808">
    <w:p w14:paraId="379CE4FD" w14:textId="77777777" w:rsidR="0013116F" w:rsidRPr="00FC7F93" w:rsidRDefault="0013116F" w:rsidP="00FC7F93">
      <w:pPr>
        <w:spacing w:after="0" w:line="240" w:lineRule="auto"/>
        <w:rPr>
          <w:sz w:val="20"/>
          <w:szCs w:val="20"/>
        </w:rPr>
      </w:pPr>
      <w:r w:rsidRPr="00FC7F93">
        <w:rPr>
          <w:rStyle w:val="ab"/>
          <w:sz w:val="20"/>
          <w:szCs w:val="20"/>
        </w:rPr>
        <w:footnoteRef/>
      </w:r>
      <w:r w:rsidRPr="00FC7F93">
        <w:rPr>
          <w:sz w:val="20"/>
          <w:szCs w:val="20"/>
          <w:rtl/>
        </w:rPr>
        <w:t xml:space="preserve"> </w:t>
      </w:r>
      <w:r w:rsidRPr="00FC7F93">
        <w:rPr>
          <w:rFonts w:hint="cs"/>
          <w:sz w:val="20"/>
          <w:szCs w:val="20"/>
          <w:rtl/>
        </w:rPr>
        <w:t>הטור כתב על דברי הסמ"ג</w:t>
      </w:r>
      <w:r>
        <w:rPr>
          <w:rFonts w:cs="Arial" w:hint="cs"/>
          <w:sz w:val="20"/>
          <w:szCs w:val="20"/>
          <w:rtl/>
        </w:rPr>
        <w:t xml:space="preserve">- </w:t>
      </w:r>
      <w:r w:rsidRPr="00FC7F93">
        <w:rPr>
          <w:rFonts w:cs="Arial"/>
          <w:sz w:val="20"/>
          <w:szCs w:val="20"/>
          <w:rtl/>
        </w:rPr>
        <w:t>ולא נהירא ונראה שאינו יכול להסתלק מאחד לחבירו וכו'</w:t>
      </w:r>
      <w:r>
        <w:rPr>
          <w:rFonts w:cs="Arial" w:hint="cs"/>
          <w:sz w:val="20"/>
          <w:szCs w:val="20"/>
          <w:rtl/>
        </w:rPr>
        <w:t>. עכ"ל</w:t>
      </w:r>
      <w:r w:rsidRPr="00FC7F93">
        <w:rPr>
          <w:rFonts w:cs="Arial"/>
          <w:sz w:val="20"/>
          <w:szCs w:val="20"/>
          <w:rtl/>
        </w:rPr>
        <w:t xml:space="preserve">. </w:t>
      </w:r>
      <w:r>
        <w:rPr>
          <w:rFonts w:cs="Arial" w:hint="cs"/>
          <w:sz w:val="20"/>
          <w:szCs w:val="20"/>
          <w:rtl/>
        </w:rPr>
        <w:t xml:space="preserve">וכ' הב"י על דברי הטור- </w:t>
      </w:r>
      <w:r w:rsidRPr="00FC7F93">
        <w:rPr>
          <w:rFonts w:cs="Arial"/>
          <w:sz w:val="20"/>
          <w:szCs w:val="20"/>
          <w:rtl/>
        </w:rPr>
        <w:t>יש לתמוה עליו שמאחר שסמ"ג הביא ראיה לדבריו היאך חלק עליו בסברא בעלמא בלי סתירת ראייתו. ומכל מקום יש לדקדק בדברי סמ"ג שאם יכול אחד מבעלי הדין לומר לא אדון בפני זה אלא בפני זה כשבעל דין זה יאמר כך גם חבירו יאמר לא אדון בפני זה שאתה אומר אלא בפני האחר וא</w:t>
      </w:r>
      <w:r w:rsidRPr="00FC7F93">
        <w:rPr>
          <w:rFonts w:cs="Arial" w:hint="cs"/>
          <w:sz w:val="20"/>
          <w:szCs w:val="20"/>
          <w:rtl/>
        </w:rPr>
        <w:t>"</w:t>
      </w:r>
      <w:r w:rsidRPr="00FC7F93">
        <w:rPr>
          <w:rFonts w:cs="Arial"/>
          <w:sz w:val="20"/>
          <w:szCs w:val="20"/>
          <w:rtl/>
        </w:rPr>
        <w:t>כ מי ידון ביניהם</w:t>
      </w:r>
      <w:r w:rsidRPr="00FC7F93">
        <w:rPr>
          <w:rFonts w:cs="Arial" w:hint="cs"/>
          <w:sz w:val="20"/>
          <w:szCs w:val="20"/>
          <w:rtl/>
        </w:rPr>
        <w:t>,</w:t>
      </w:r>
      <w:r w:rsidRPr="00FC7F93">
        <w:rPr>
          <w:rFonts w:cs="Arial"/>
          <w:sz w:val="20"/>
          <w:szCs w:val="20"/>
          <w:rtl/>
        </w:rPr>
        <w:t xml:space="preserve"> וצריך לומר דאה</w:t>
      </w:r>
      <w:r w:rsidRPr="00FC7F93">
        <w:rPr>
          <w:rFonts w:cs="Arial" w:hint="cs"/>
          <w:sz w:val="20"/>
          <w:szCs w:val="20"/>
          <w:rtl/>
        </w:rPr>
        <w:t>"</w:t>
      </w:r>
      <w:r w:rsidRPr="00FC7F93">
        <w:rPr>
          <w:rFonts w:cs="Arial"/>
          <w:sz w:val="20"/>
          <w:szCs w:val="20"/>
          <w:rtl/>
        </w:rPr>
        <w:t>נ שזה יכול לעכב על בית דינו של זה וזה יכול לעכב על בית דינו של זה וצריכין לברור בית דין השוה לשניהם</w:t>
      </w:r>
      <w:r w:rsidRPr="00FC7F93">
        <w:rPr>
          <w:rFonts w:cs="Arial" w:hint="cs"/>
          <w:sz w:val="20"/>
          <w:szCs w:val="20"/>
          <w:rtl/>
        </w:rPr>
        <w:t>.</w:t>
      </w:r>
      <w:r>
        <w:rPr>
          <w:rFonts w:hint="cs"/>
          <w:sz w:val="20"/>
          <w:szCs w:val="20"/>
          <w:rtl/>
        </w:rPr>
        <w:t xml:space="preserve"> עכ"ל הב"י. וכ' הדרכ"מ (אות ז) ד</w:t>
      </w:r>
      <w:r w:rsidRPr="00FC7F93">
        <w:rPr>
          <w:sz w:val="20"/>
          <w:szCs w:val="20"/>
          <w:rtl/>
        </w:rPr>
        <w:t xml:space="preserve">משמע </w:t>
      </w:r>
      <w:r>
        <w:rPr>
          <w:rFonts w:hint="cs"/>
          <w:sz w:val="20"/>
          <w:szCs w:val="20"/>
          <w:rtl/>
        </w:rPr>
        <w:t xml:space="preserve">מדברי הב"י </w:t>
      </w:r>
      <w:r w:rsidRPr="00FC7F93">
        <w:rPr>
          <w:sz w:val="20"/>
          <w:szCs w:val="20"/>
          <w:rtl/>
        </w:rPr>
        <w:t>דסבירא ליה דנקטינן כדברי ס</w:t>
      </w:r>
      <w:r>
        <w:rPr>
          <w:rFonts w:hint="cs"/>
          <w:sz w:val="20"/>
          <w:szCs w:val="20"/>
          <w:rtl/>
        </w:rPr>
        <w:t>מ"ג</w:t>
      </w:r>
      <w:r w:rsidRPr="00FC7F93">
        <w:rPr>
          <w:sz w:val="20"/>
          <w:szCs w:val="20"/>
          <w:rtl/>
        </w:rPr>
        <w:t>.</w:t>
      </w:r>
      <w:r>
        <w:rPr>
          <w:rFonts w:hint="cs"/>
          <w:sz w:val="20"/>
          <w:szCs w:val="20"/>
          <w:rtl/>
        </w:rPr>
        <w:t xml:space="preserve"> אך כתב הדרכ"מ שם שמדברי ה</w:t>
      </w:r>
      <w:r w:rsidRPr="00FC7F93">
        <w:rPr>
          <w:sz w:val="20"/>
          <w:szCs w:val="20"/>
          <w:rtl/>
        </w:rPr>
        <w:t>נמוק</w:t>
      </w:r>
      <w:r w:rsidRPr="00FC7F93">
        <w:rPr>
          <w:rFonts w:hint="cs"/>
          <w:sz w:val="20"/>
          <w:szCs w:val="20"/>
          <w:rtl/>
        </w:rPr>
        <w:t>"</w:t>
      </w:r>
      <w:r w:rsidRPr="00FC7F93">
        <w:rPr>
          <w:sz w:val="20"/>
          <w:szCs w:val="20"/>
          <w:rtl/>
        </w:rPr>
        <w:t xml:space="preserve">י </w:t>
      </w:r>
      <w:r w:rsidRPr="00FC7F93">
        <w:rPr>
          <w:rFonts w:hint="cs"/>
          <w:sz w:val="20"/>
          <w:szCs w:val="20"/>
          <w:rtl/>
        </w:rPr>
        <w:t>(</w:t>
      </w:r>
      <w:r w:rsidRPr="00FC7F93">
        <w:rPr>
          <w:sz w:val="20"/>
          <w:szCs w:val="20"/>
          <w:rtl/>
        </w:rPr>
        <w:t>ר</w:t>
      </w:r>
      <w:r w:rsidRPr="00FC7F93">
        <w:rPr>
          <w:rFonts w:hint="cs"/>
          <w:sz w:val="20"/>
          <w:szCs w:val="20"/>
          <w:rtl/>
        </w:rPr>
        <w:t>"פ</w:t>
      </w:r>
      <w:r w:rsidRPr="00FC7F93">
        <w:rPr>
          <w:sz w:val="20"/>
          <w:szCs w:val="20"/>
          <w:rtl/>
        </w:rPr>
        <w:t xml:space="preserve"> זה בורר ג</w:t>
      </w:r>
      <w:r w:rsidRPr="00FC7F93">
        <w:rPr>
          <w:rFonts w:hint="cs"/>
          <w:sz w:val="20"/>
          <w:szCs w:val="20"/>
          <w:rtl/>
        </w:rPr>
        <w:t>:</w:t>
      </w:r>
      <w:r w:rsidRPr="00FC7F93">
        <w:rPr>
          <w:sz w:val="20"/>
          <w:szCs w:val="20"/>
          <w:rtl/>
        </w:rPr>
        <w:t>)</w:t>
      </w:r>
      <w:r w:rsidRPr="00FC7F93">
        <w:rPr>
          <w:rFonts w:hint="cs"/>
          <w:sz w:val="20"/>
          <w:szCs w:val="20"/>
          <w:rtl/>
        </w:rPr>
        <w:t xml:space="preserve"> </w:t>
      </w:r>
      <w:r w:rsidRPr="00FC7F93">
        <w:rPr>
          <w:sz w:val="20"/>
          <w:szCs w:val="20"/>
          <w:rtl/>
        </w:rPr>
        <w:t>משמע דסבירא ליה כדברי הטור</w:t>
      </w:r>
      <w:r>
        <w:rPr>
          <w:rFonts w:hint="cs"/>
          <w:sz w:val="20"/>
          <w:szCs w:val="20"/>
          <w:rtl/>
        </w:rPr>
        <w:t>, שכתב שם</w:t>
      </w:r>
      <w:r w:rsidRPr="00FC7F93">
        <w:rPr>
          <w:rFonts w:hint="cs"/>
          <w:sz w:val="20"/>
          <w:szCs w:val="20"/>
          <w:rtl/>
        </w:rPr>
        <w:t xml:space="preserve"> ב</w:t>
      </w:r>
      <w:r w:rsidRPr="00FC7F93">
        <w:rPr>
          <w:sz w:val="20"/>
          <w:szCs w:val="20"/>
          <w:rtl/>
        </w:rPr>
        <w:t>שם האחרונים</w:t>
      </w:r>
      <w:r w:rsidRPr="00FC7F93">
        <w:rPr>
          <w:rFonts w:hint="cs"/>
          <w:sz w:val="20"/>
          <w:szCs w:val="20"/>
          <w:rtl/>
        </w:rPr>
        <w:t xml:space="preserve">- </w:t>
      </w:r>
      <w:r w:rsidRPr="00FC7F93">
        <w:rPr>
          <w:sz w:val="20"/>
          <w:szCs w:val="20"/>
          <w:rtl/>
        </w:rPr>
        <w:t>אפילו אם שני הבתי דינים שווין אין יכול לדחות מאחד לחבירו רק המלוה משום דעבד לוה לאיש מלוה</w:t>
      </w:r>
      <w:r>
        <w:rPr>
          <w:rFonts w:hint="cs"/>
          <w:sz w:val="20"/>
          <w:szCs w:val="20"/>
          <w:rtl/>
        </w:rPr>
        <w:t>, ע"כ</w:t>
      </w:r>
      <w:r w:rsidRPr="00FC7F93">
        <w:rPr>
          <w:rFonts w:hint="cs"/>
          <w:sz w:val="20"/>
          <w:szCs w:val="20"/>
          <w:rtl/>
        </w:rPr>
        <w:t>.</w:t>
      </w:r>
      <w:r w:rsidRPr="00FC7F93">
        <w:rPr>
          <w:sz w:val="20"/>
          <w:szCs w:val="20"/>
          <w:rtl/>
        </w:rPr>
        <w:t xml:space="preserve"> משמע דמגדול לקטן שום אחד אינו יכול לדחות.</w:t>
      </w:r>
      <w:r>
        <w:rPr>
          <w:rFonts w:hint="cs"/>
          <w:sz w:val="20"/>
          <w:szCs w:val="20"/>
          <w:rtl/>
        </w:rPr>
        <w:t xml:space="preserve"> וכ' הסמ"ע (סק"כ) דגם </w:t>
      </w:r>
      <w:r w:rsidRPr="00DA71C2">
        <w:rPr>
          <w:rFonts w:cs="Arial"/>
          <w:sz w:val="20"/>
          <w:szCs w:val="20"/>
          <w:rtl/>
        </w:rPr>
        <w:t>הרשב"א בתשובותיו [המיוחסות לרמב"ן סי' מז] ס"ל כוותיה</w:t>
      </w:r>
      <w:r>
        <w:rPr>
          <w:rFonts w:cs="Arial" w:hint="cs"/>
          <w:sz w:val="20"/>
          <w:szCs w:val="20"/>
          <w:rtl/>
        </w:rPr>
        <w:t>.</w:t>
      </w:r>
    </w:p>
  </w:footnote>
  <w:footnote w:id="809">
    <w:p w14:paraId="1909A072" w14:textId="77777777" w:rsidR="0013116F" w:rsidRDefault="0013116F" w:rsidP="00DA71C2">
      <w:pPr>
        <w:pStyle w:val="a9"/>
      </w:pPr>
      <w:r>
        <w:rPr>
          <w:rStyle w:val="ab"/>
        </w:rPr>
        <w:footnoteRef/>
      </w:r>
      <w:r>
        <w:rPr>
          <w:rtl/>
        </w:rPr>
        <w:t xml:space="preserve"> </w:t>
      </w:r>
      <w:r w:rsidRPr="00DA71C2">
        <w:rPr>
          <w:rFonts w:cs="Arial"/>
          <w:rtl/>
        </w:rPr>
        <w:t>פירוש אחד משני ת"ח הנ"ל, יכול ת"ח השני להזמין לבע"ד</w:t>
      </w:r>
      <w:r>
        <w:rPr>
          <w:rFonts w:cs="Arial" w:hint="cs"/>
          <w:rtl/>
        </w:rPr>
        <w:t>, סמ"ע (סקכ"א).</w:t>
      </w:r>
    </w:p>
  </w:footnote>
  <w:footnote w:id="810">
    <w:p w14:paraId="215CE36C" w14:textId="77777777" w:rsidR="0013116F" w:rsidRDefault="0013116F" w:rsidP="00BC59D2">
      <w:pPr>
        <w:pStyle w:val="a9"/>
      </w:pPr>
      <w:r>
        <w:rPr>
          <w:rStyle w:val="ab"/>
        </w:rPr>
        <w:footnoteRef/>
      </w:r>
      <w:r>
        <w:rPr>
          <w:rtl/>
        </w:rPr>
        <w:t xml:space="preserve"> </w:t>
      </w:r>
      <w:r w:rsidRPr="00D7256D">
        <w:rPr>
          <w:rFonts w:cs="Arial"/>
          <w:rtl/>
        </w:rPr>
        <w:t>לפי הנראה קשה, דלא הוי ליה למימר בזה לשון כ"ש דהא אינם שוים, דכשהוא חושד הדיין אז כדי לאפוקי נפשיה מהחשד צריך להודיע הפסק מילתא בטעמיה, ואילו כשאומר כתבו לי מאיזה טעם דנתוני, אין צריך להודיעו ולכתוב טעם הפסק אלא הטענות, וכמו שמסיק מור"ם ז"ל. וצ"ל דמשום הכי כתב וכ"ש, מפני שזה שאומר כתבו לי אינו מבקש טעמיהן, ואיירי גם כן במי שיודע כבר טעם הדיינין אלא שאינו נכנס באזניו ומתוכח עמהם שלא דנוהו דין אמת לאמיתו, ומבקש לשאול את פי בית דין הגדול מהן, ויציאת ידי שמים וחובת הבריות אהאי אינו אלא שיכתבו לו טענותיהן ופסקיהן, והוה ליה כל שכן, ומה זה שלא דיבר וביקש כלום צריך לצאת עמו ידי שמים לפי ענינו, כל שכן זה שביקש מהם זה, שצריכין לצאת עמו ידי שמים לפי ענינו,</w:t>
      </w:r>
      <w:r>
        <w:rPr>
          <w:rFonts w:cs="Arial" w:hint="cs"/>
          <w:rtl/>
        </w:rPr>
        <w:t xml:space="preserve"> סמ"ע (סקכ"ב).</w:t>
      </w:r>
      <w:r w:rsidRPr="00BC59D2">
        <w:rPr>
          <w:rtl/>
        </w:rPr>
        <w:t xml:space="preserve"> </w:t>
      </w:r>
      <w:r>
        <w:rPr>
          <w:rFonts w:cs="Arial" w:hint="cs"/>
          <w:rtl/>
        </w:rPr>
        <w:t>אך התומים (סק"ג) יישב את לשון הרמ"א בדרך אחרת</w:t>
      </w:r>
      <w:r>
        <w:rPr>
          <w:rFonts w:hint="cs"/>
          <w:rtl/>
        </w:rPr>
        <w:t>, והוא</w:t>
      </w:r>
      <w:r>
        <w:rPr>
          <w:rFonts w:cs="Arial"/>
          <w:rtl/>
        </w:rPr>
        <w:t xml:space="preserve"> דס"ל לרמ"א דא</w:t>
      </w:r>
      <w:r>
        <w:rPr>
          <w:rFonts w:cs="Arial" w:hint="cs"/>
          <w:rtl/>
        </w:rPr>
        <w:t>"</w:t>
      </w:r>
      <w:r>
        <w:rPr>
          <w:rFonts w:cs="Arial"/>
          <w:rtl/>
        </w:rPr>
        <w:t xml:space="preserve">צ </w:t>
      </w:r>
      <w:r>
        <w:rPr>
          <w:rFonts w:cs="Arial" w:hint="cs"/>
          <w:rtl/>
        </w:rPr>
        <w:t xml:space="preserve">לכתוב </w:t>
      </w:r>
      <w:r>
        <w:rPr>
          <w:rFonts w:cs="Arial"/>
          <w:rtl/>
        </w:rPr>
        <w:t>הטעם, דממ"נ אם יבוא לב"ד הגדול יבינו הטעם מדעתן, אבל לומר לו הטעם צריכין לומר לו בפה, דזהו ג</w:t>
      </w:r>
      <w:r>
        <w:rPr>
          <w:rFonts w:cs="Arial" w:hint="cs"/>
          <w:rtl/>
        </w:rPr>
        <w:t>"</w:t>
      </w:r>
      <w:r>
        <w:rPr>
          <w:rFonts w:cs="Arial"/>
          <w:rtl/>
        </w:rPr>
        <w:t>כ חשדא דהא חושש שהם העבירו עליו הדרך וטעו, וא"ש לשון מאיזה טעם, דצ</w:t>
      </w:r>
      <w:r>
        <w:rPr>
          <w:rFonts w:cs="Arial" w:hint="cs"/>
          <w:rtl/>
        </w:rPr>
        <w:t>"</w:t>
      </w:r>
      <w:r>
        <w:rPr>
          <w:rFonts w:cs="Arial"/>
          <w:rtl/>
        </w:rPr>
        <w:t>ל הטעם רק אין צריך לכתוב בתוך הפסק. וא"ש וכל שכן, דבכה"ג דשאל דפשיטא דצריך לומר לו בפה כל הטעם, וכ"כ הב"ח (ס"ד) דבעל פה צריך לומר הטעם, וכן נכון</w:t>
      </w:r>
      <w:r>
        <w:rPr>
          <w:rFonts w:cs="Arial" w:hint="cs"/>
          <w:rtl/>
        </w:rPr>
        <w:t>.</w:t>
      </w:r>
    </w:p>
  </w:footnote>
  <w:footnote w:id="811">
    <w:p w14:paraId="038D6DF2" w14:textId="77777777" w:rsidR="0013116F" w:rsidRDefault="0013116F">
      <w:pPr>
        <w:pStyle w:val="a9"/>
        <w:rPr>
          <w:rtl/>
        </w:rPr>
      </w:pPr>
      <w:r>
        <w:rPr>
          <w:rStyle w:val="ab"/>
        </w:rPr>
        <w:footnoteRef/>
      </w:r>
      <w:r>
        <w:rPr>
          <w:rtl/>
        </w:rPr>
        <w:t xml:space="preserve"> </w:t>
      </w:r>
      <w:r w:rsidRPr="00BC59D2">
        <w:rPr>
          <w:rFonts w:cs="Arial"/>
          <w:rtl/>
        </w:rPr>
        <w:t>דמאחר שקיבל אותם לדיינים סתם לאו כל כמיניה לחזור מפסקיהן, ואם מבקש טעם הדין ודאי יאמרו לו, שהרי אפילו זה שרואין ב"ד שחושדין אותן ולא ביקש טעם כבר נתבאר דצריכים להודיעו הטעם</w:t>
      </w:r>
      <w:r>
        <w:rPr>
          <w:rFonts w:hint="cs"/>
          <w:rtl/>
        </w:rPr>
        <w:t>, סמ"ע (סקכ"ד).</w:t>
      </w:r>
    </w:p>
  </w:footnote>
  <w:footnote w:id="812">
    <w:p w14:paraId="63BF89DF" w14:textId="77777777" w:rsidR="0013116F" w:rsidRDefault="0013116F" w:rsidP="00BC59D2">
      <w:pPr>
        <w:pStyle w:val="a9"/>
        <w:rPr>
          <w:rtl/>
        </w:rPr>
      </w:pPr>
      <w:r>
        <w:rPr>
          <w:rStyle w:val="ab"/>
        </w:rPr>
        <w:footnoteRef/>
      </w:r>
      <w:r>
        <w:rPr>
          <w:rtl/>
        </w:rPr>
        <w:t xml:space="preserve"> </w:t>
      </w:r>
      <w:r w:rsidRPr="00BC59D2">
        <w:rPr>
          <w:rFonts w:cs="Arial"/>
          <w:rtl/>
        </w:rPr>
        <w:t>דכל ב"ד יפה כששומעין הטענות יודעין לפסוק עליהן דתורה אחת לכולנו</w:t>
      </w:r>
      <w:r>
        <w:rPr>
          <w:rFonts w:hint="cs"/>
          <w:rtl/>
        </w:rPr>
        <w:t>, סמ"ע (סקכ"ה).</w:t>
      </w:r>
    </w:p>
  </w:footnote>
  <w:footnote w:id="813">
    <w:p w14:paraId="46190940" w14:textId="77777777" w:rsidR="0013116F" w:rsidRDefault="0013116F">
      <w:pPr>
        <w:pStyle w:val="a9"/>
        <w:rPr>
          <w:rtl/>
        </w:rPr>
      </w:pPr>
      <w:r>
        <w:rPr>
          <w:rStyle w:val="ab"/>
        </w:rPr>
        <w:footnoteRef/>
      </w:r>
      <w:r>
        <w:rPr>
          <w:rtl/>
        </w:rPr>
        <w:t xml:space="preserve"> </w:t>
      </w:r>
      <w:r w:rsidRPr="00BC59D2">
        <w:rPr>
          <w:rFonts w:cs="Arial"/>
          <w:rtl/>
        </w:rPr>
        <w:t>כבר כתבו המחבר בריש סימן זה כן בשם הרמב"ם, אלא דשם לא כתב אלא מוציאין ממנו, ומשמעות לשונו הוא דב"ד מוציאין מיד הנתבע ומחזיקים אותו בידם עד שיראו מה יהיה סופו, ולא שיתנוהו להתובע, פן יכתבו מב"ד הגדול שטעו, והתובע יוציאם ביני ביני, ועל הדיינים לשלם כיון שדנו בכפיה, וכדלקמן סימן כ"ה [סעיף ג'], ומשו"ה חידש מור"ם בזה וכתב דלא חיישינן לזה אלא צריך לשלם מיד, ויתנוהו ליד התובע. ומ"ש ואם יסתור הדין יחזור לו, פירוש הב"ד יחזירו אותו מיד התובע, ובמרדכי [סנהדרין סי' תש"ח] כתוב בכיוצא בזה יחזיר לו, והביאו בד"מ ר"ס ט"ז [סעיף א'], וע"ש</w:t>
      </w:r>
      <w:r>
        <w:rPr>
          <w:rFonts w:hint="cs"/>
          <w:rtl/>
        </w:rPr>
        <w:t>, סמ"ע (סקכ"ו).</w:t>
      </w:r>
    </w:p>
  </w:footnote>
  <w:footnote w:id="814">
    <w:p w14:paraId="4984C2E7" w14:textId="77777777" w:rsidR="0013116F" w:rsidRDefault="0013116F">
      <w:pPr>
        <w:pStyle w:val="a9"/>
      </w:pPr>
      <w:r>
        <w:rPr>
          <w:rStyle w:val="ab"/>
        </w:rPr>
        <w:footnoteRef/>
      </w:r>
      <w:r>
        <w:rPr>
          <w:rtl/>
        </w:rPr>
        <w:t xml:space="preserve"> </w:t>
      </w:r>
      <w:r>
        <w:rPr>
          <w:rFonts w:hint="cs"/>
          <w:rtl/>
        </w:rPr>
        <w:t xml:space="preserve">סימן </w:t>
      </w:r>
      <w:r>
        <w:rPr>
          <w:rtl/>
        </w:rPr>
        <w:t>–</w:t>
      </w:r>
      <w:r>
        <w:rPr>
          <w:rFonts w:hint="cs"/>
          <w:rtl/>
        </w:rPr>
        <w:t xml:space="preserve"> לכאן אלך לכאן אלך.</w:t>
      </w:r>
    </w:p>
  </w:footnote>
  <w:footnote w:id="815">
    <w:p w14:paraId="0535EBEB" w14:textId="77777777" w:rsidR="0013116F" w:rsidRPr="007A5348" w:rsidRDefault="0013116F">
      <w:pPr>
        <w:pStyle w:val="a9"/>
        <w:rPr>
          <w:rtl/>
        </w:rPr>
      </w:pPr>
      <w:r w:rsidRPr="007A5348">
        <w:rPr>
          <w:rStyle w:val="ab"/>
        </w:rPr>
        <w:footnoteRef/>
      </w:r>
      <w:r w:rsidRPr="007A5348">
        <w:rPr>
          <w:rtl/>
        </w:rPr>
        <w:t xml:space="preserve"> </w:t>
      </w:r>
      <w:r w:rsidRPr="007A5348">
        <w:rPr>
          <w:rFonts w:cs="Arial" w:hint="cs"/>
          <w:rtl/>
        </w:rPr>
        <w:t>מ</w:t>
      </w:r>
      <w:r w:rsidRPr="007A5348">
        <w:rPr>
          <w:rFonts w:cs="Arial"/>
          <w:rtl/>
        </w:rPr>
        <w:t>הר"</w:t>
      </w:r>
      <w:r w:rsidRPr="007A5348">
        <w:rPr>
          <w:rFonts w:cs="Arial" w:hint="cs"/>
          <w:rtl/>
        </w:rPr>
        <w:t>ם</w:t>
      </w:r>
      <w:r w:rsidRPr="007A5348">
        <w:rPr>
          <w:rFonts w:cs="Arial"/>
          <w:rtl/>
        </w:rPr>
        <w:t xml:space="preserve"> (שם</w:t>
      </w:r>
      <w:r w:rsidRPr="007A5348">
        <w:rPr>
          <w:rFonts w:cs="Arial" w:hint="cs"/>
          <w:rtl/>
        </w:rPr>
        <w:t>, כ"כ מהרי"ק בשמו</w:t>
      </w:r>
      <w:r w:rsidRPr="007A5348">
        <w:rPr>
          <w:rFonts w:cs="Arial"/>
          <w:rtl/>
        </w:rPr>
        <w:t xml:space="preserve"> </w:t>
      </w:r>
      <w:r w:rsidRPr="007A5348">
        <w:rPr>
          <w:rFonts w:cs="Arial" w:hint="cs"/>
          <w:rtl/>
        </w:rPr>
        <w:t>[</w:t>
      </w:r>
      <w:r>
        <w:rPr>
          <w:rFonts w:cs="Arial" w:hint="cs"/>
          <w:rtl/>
        </w:rPr>
        <w:t>שורש</w:t>
      </w:r>
      <w:r w:rsidRPr="007A5348">
        <w:rPr>
          <w:rFonts w:cs="Arial"/>
          <w:rtl/>
        </w:rPr>
        <w:t xml:space="preserve"> יא ענף ב</w:t>
      </w:r>
      <w:r>
        <w:rPr>
          <w:rFonts w:cs="Arial" w:hint="cs"/>
          <w:rtl/>
        </w:rPr>
        <w:t>, וכן בשורש קמד</w:t>
      </w:r>
      <w:r w:rsidRPr="007A5348">
        <w:rPr>
          <w:rFonts w:cs="Arial" w:hint="cs"/>
          <w:rtl/>
        </w:rPr>
        <w:t>]</w:t>
      </w:r>
      <w:r w:rsidRPr="007A5348">
        <w:rPr>
          <w:rFonts w:cs="Arial"/>
          <w:rtl/>
        </w:rPr>
        <w:t xml:space="preserve">) </w:t>
      </w:r>
      <w:r w:rsidRPr="007A5348">
        <w:rPr>
          <w:rFonts w:cs="Arial" w:hint="cs"/>
          <w:rtl/>
        </w:rPr>
        <w:t xml:space="preserve">רשב"א </w:t>
      </w:r>
      <w:r w:rsidRPr="007A5348">
        <w:rPr>
          <w:rFonts w:cs="Arial"/>
          <w:rtl/>
        </w:rPr>
        <w:t xml:space="preserve">(ח"א סי' תתקמ) </w:t>
      </w:r>
      <w:r w:rsidRPr="007A5348">
        <w:rPr>
          <w:rFonts w:cs="Arial" w:hint="cs"/>
          <w:rtl/>
        </w:rPr>
        <w:t>רא"ש (</w:t>
      </w:r>
      <w:r w:rsidRPr="007A5348">
        <w:rPr>
          <w:rFonts w:cs="Arial"/>
          <w:rtl/>
        </w:rPr>
        <w:t>כלל עג סי' ב</w:t>
      </w:r>
      <w:r>
        <w:rPr>
          <w:rFonts w:cs="Arial" w:hint="cs"/>
          <w:rtl/>
        </w:rPr>
        <w:t>, וכן בכלל קז</w:t>
      </w:r>
      <w:r w:rsidRPr="007A5348">
        <w:rPr>
          <w:rFonts w:cs="Arial"/>
          <w:rtl/>
        </w:rPr>
        <w:t>)</w:t>
      </w:r>
      <w:r w:rsidRPr="007A5348">
        <w:rPr>
          <w:rFonts w:cs="Arial" w:hint="cs"/>
          <w:rtl/>
        </w:rPr>
        <w:t xml:space="preserve"> טור</w:t>
      </w:r>
      <w:r w:rsidRPr="007A5348">
        <w:rPr>
          <w:rFonts w:cs="Arial"/>
          <w:rtl/>
        </w:rPr>
        <w:t xml:space="preserve"> ר</w:t>
      </w:r>
      <w:r w:rsidRPr="007A5348">
        <w:rPr>
          <w:rFonts w:cs="Arial" w:hint="cs"/>
          <w:rtl/>
        </w:rPr>
        <w:t>י"ו</w:t>
      </w:r>
      <w:r w:rsidRPr="007A5348">
        <w:rPr>
          <w:rFonts w:cs="Arial"/>
          <w:rtl/>
        </w:rPr>
        <w:t xml:space="preserve"> </w:t>
      </w:r>
      <w:r w:rsidRPr="007A5348">
        <w:rPr>
          <w:rFonts w:cs="Arial" w:hint="cs"/>
          <w:rtl/>
        </w:rPr>
        <w:t>(</w:t>
      </w:r>
      <w:r w:rsidRPr="007A5348">
        <w:rPr>
          <w:rFonts w:cs="Arial"/>
          <w:rtl/>
        </w:rPr>
        <w:t xml:space="preserve">נ"ג ח"א טו.) ריב"ש </w:t>
      </w:r>
      <w:r w:rsidRPr="007A5348">
        <w:rPr>
          <w:rFonts w:cs="Arial" w:hint="cs"/>
          <w:rtl/>
        </w:rPr>
        <w:t>(</w:t>
      </w:r>
      <w:r w:rsidRPr="007A5348">
        <w:rPr>
          <w:rFonts w:cs="Arial"/>
          <w:rtl/>
        </w:rPr>
        <w:t>סי</w:t>
      </w:r>
      <w:r w:rsidRPr="007A5348">
        <w:rPr>
          <w:rFonts w:cs="Arial" w:hint="cs"/>
          <w:rtl/>
        </w:rPr>
        <w:t>'</w:t>
      </w:r>
      <w:r w:rsidRPr="007A5348">
        <w:rPr>
          <w:rFonts w:cs="Arial"/>
          <w:rtl/>
        </w:rPr>
        <w:t xml:space="preserve"> תעה ד"ה ואשר) נמוק</w:t>
      </w:r>
      <w:r w:rsidRPr="007A5348">
        <w:rPr>
          <w:rFonts w:cs="Arial" w:hint="cs"/>
          <w:rtl/>
        </w:rPr>
        <w:t>"</w:t>
      </w:r>
      <w:r w:rsidRPr="007A5348">
        <w:rPr>
          <w:rFonts w:cs="Arial"/>
          <w:rtl/>
        </w:rPr>
        <w:t xml:space="preserve">י </w:t>
      </w:r>
      <w:r w:rsidRPr="007A5348">
        <w:rPr>
          <w:rFonts w:cs="Arial" w:hint="cs"/>
          <w:rtl/>
        </w:rPr>
        <w:t xml:space="preserve">(פ' </w:t>
      </w:r>
      <w:r w:rsidRPr="007A5348">
        <w:rPr>
          <w:rFonts w:cs="Arial"/>
          <w:rtl/>
        </w:rPr>
        <w:t>הגוזל בתרא לט</w:t>
      </w:r>
      <w:r w:rsidRPr="007A5348">
        <w:rPr>
          <w:rFonts w:cs="Arial" w:hint="cs"/>
          <w:rtl/>
        </w:rPr>
        <w:t>:</w:t>
      </w:r>
      <w:r w:rsidRPr="007A5348">
        <w:rPr>
          <w:rFonts w:cs="Arial"/>
          <w:rtl/>
        </w:rPr>
        <w:t>)</w:t>
      </w:r>
      <w:r w:rsidRPr="007A5348">
        <w:rPr>
          <w:rFonts w:cs="Arial" w:hint="cs"/>
          <w:rtl/>
        </w:rPr>
        <w:t xml:space="preserve"> ו</w:t>
      </w:r>
      <w:r w:rsidRPr="007A5348">
        <w:rPr>
          <w:rFonts w:cs="Arial"/>
          <w:rtl/>
        </w:rPr>
        <w:t xml:space="preserve">מהרי"ו </w:t>
      </w:r>
      <w:r w:rsidRPr="007A5348">
        <w:rPr>
          <w:rFonts w:cs="Arial" w:hint="cs"/>
          <w:rtl/>
        </w:rPr>
        <w:t>(</w:t>
      </w:r>
      <w:r w:rsidRPr="007A5348">
        <w:rPr>
          <w:rFonts w:cs="Arial"/>
          <w:rtl/>
        </w:rPr>
        <w:t>בתשו</w:t>
      </w:r>
      <w:r w:rsidRPr="007A5348">
        <w:rPr>
          <w:rFonts w:cs="Arial" w:hint="cs"/>
          <w:rtl/>
        </w:rPr>
        <w:t xml:space="preserve">' </w:t>
      </w:r>
      <w:r w:rsidRPr="007A5348">
        <w:rPr>
          <w:rFonts w:cs="Arial"/>
          <w:rtl/>
        </w:rPr>
        <w:t>סי' קמז)</w:t>
      </w:r>
      <w:r w:rsidRPr="007A5348">
        <w:rPr>
          <w:rFonts w:hint="cs"/>
          <w:rtl/>
        </w:rPr>
        <w:t>.</w:t>
      </w:r>
    </w:p>
  </w:footnote>
  <w:footnote w:id="816">
    <w:p w14:paraId="00A83B3D" w14:textId="77777777" w:rsidR="0013116F" w:rsidRDefault="0013116F" w:rsidP="007A5348">
      <w:pPr>
        <w:pStyle w:val="a9"/>
        <w:rPr>
          <w:rtl/>
        </w:rPr>
      </w:pPr>
      <w:r w:rsidRPr="00B347F3">
        <w:rPr>
          <w:rStyle w:val="ab"/>
        </w:rPr>
        <w:footnoteRef/>
      </w:r>
      <w:r w:rsidRPr="00B347F3">
        <w:rPr>
          <w:rtl/>
        </w:rPr>
        <w:t xml:space="preserve"> </w:t>
      </w:r>
      <w:r w:rsidRPr="007A5348">
        <w:rPr>
          <w:rFonts w:cs="Arial"/>
          <w:rtl/>
        </w:rPr>
        <w:t>משעה שנעשה סרבן</w:t>
      </w:r>
      <w:r>
        <w:rPr>
          <w:rFonts w:cs="Arial" w:hint="cs"/>
          <w:rtl/>
        </w:rPr>
        <w:t>...</w:t>
      </w:r>
      <w:r w:rsidRPr="007A5348">
        <w:rPr>
          <w:rFonts w:cs="Arial"/>
          <w:rtl/>
        </w:rPr>
        <w:t xml:space="preserve"> </w:t>
      </w:r>
      <w:r w:rsidRPr="00B347F3">
        <w:rPr>
          <w:rFonts w:cs="Arial"/>
          <w:rtl/>
        </w:rPr>
        <w:t>אפילו קודם שנכתב הסרבנות</w:t>
      </w:r>
      <w:r>
        <w:rPr>
          <w:rFonts w:cs="Arial" w:hint="cs"/>
          <w:rtl/>
        </w:rPr>
        <w:t>, רא"ש (כלל עג סי 'ב).</w:t>
      </w:r>
      <w:r w:rsidRPr="00B347F3">
        <w:rPr>
          <w:rFonts w:cs="Arial"/>
          <w:rtl/>
        </w:rPr>
        <w:t xml:space="preserve"> </w:t>
      </w:r>
    </w:p>
  </w:footnote>
  <w:footnote w:id="817">
    <w:p w14:paraId="50F554B9" w14:textId="77777777" w:rsidR="0013116F" w:rsidRDefault="0013116F">
      <w:pPr>
        <w:pStyle w:val="a9"/>
        <w:rPr>
          <w:rtl/>
        </w:rPr>
      </w:pPr>
      <w:r>
        <w:rPr>
          <w:rStyle w:val="ab"/>
        </w:rPr>
        <w:footnoteRef/>
      </w:r>
      <w:r>
        <w:rPr>
          <w:rtl/>
        </w:rPr>
        <w:t xml:space="preserve"> </w:t>
      </w:r>
      <w:r>
        <w:rPr>
          <w:rFonts w:hint="cs"/>
          <w:rtl/>
        </w:rPr>
        <w:t>וכתב הב"י דהכי מסתבר.</w:t>
      </w:r>
    </w:p>
  </w:footnote>
  <w:footnote w:id="818">
    <w:p w14:paraId="6EC01492" w14:textId="77777777" w:rsidR="0013116F" w:rsidRDefault="0013116F">
      <w:pPr>
        <w:pStyle w:val="a9"/>
        <w:rPr>
          <w:rtl/>
        </w:rPr>
      </w:pPr>
      <w:r>
        <w:rPr>
          <w:rStyle w:val="ab"/>
        </w:rPr>
        <w:footnoteRef/>
      </w:r>
      <w:r>
        <w:rPr>
          <w:rtl/>
        </w:rPr>
        <w:t xml:space="preserve"> </w:t>
      </w:r>
      <w:r w:rsidRPr="00152F23">
        <w:rPr>
          <w:rFonts w:cs="Arial"/>
          <w:rtl/>
        </w:rPr>
        <w:t>והיינו אם יצא הנתבע מחויב בדין זה</w:t>
      </w:r>
      <w:r>
        <w:rPr>
          <w:rFonts w:cs="Arial" w:hint="cs"/>
          <w:rtl/>
        </w:rPr>
        <w:t>,</w:t>
      </w:r>
      <w:r w:rsidRPr="00152F23">
        <w:rPr>
          <w:rFonts w:cs="Arial"/>
          <w:rtl/>
        </w:rPr>
        <w:t xml:space="preserve"> ריב"ש סימן תע"ה, ד"מ ה'</w:t>
      </w:r>
      <w:r>
        <w:rPr>
          <w:rFonts w:hint="cs"/>
          <w:rtl/>
        </w:rPr>
        <w:t>, סמ"ע (סקכ"ז).</w:t>
      </w:r>
    </w:p>
  </w:footnote>
  <w:footnote w:id="819">
    <w:p w14:paraId="59E228C3" w14:textId="77777777" w:rsidR="0013116F" w:rsidRDefault="0013116F">
      <w:pPr>
        <w:pStyle w:val="a9"/>
      </w:pPr>
      <w:r>
        <w:rPr>
          <w:rStyle w:val="ab"/>
        </w:rPr>
        <w:footnoteRef/>
      </w:r>
      <w:r>
        <w:rPr>
          <w:rtl/>
        </w:rPr>
        <w:t xml:space="preserve"> </w:t>
      </w:r>
      <w:r w:rsidRPr="00152F23">
        <w:rPr>
          <w:rFonts w:cs="Arial"/>
          <w:rtl/>
        </w:rPr>
        <w:t xml:space="preserve">וכתב ביש"ש </w:t>
      </w:r>
      <w:r>
        <w:rPr>
          <w:rFonts w:cs="Arial" w:hint="cs"/>
          <w:rtl/>
        </w:rPr>
        <w:t>(</w:t>
      </w:r>
      <w:r w:rsidRPr="00152F23">
        <w:rPr>
          <w:rFonts w:cs="Arial"/>
          <w:rtl/>
        </w:rPr>
        <w:t>ב"ק פ</w:t>
      </w:r>
      <w:r>
        <w:rPr>
          <w:rFonts w:cs="Arial" w:hint="cs"/>
          <w:rtl/>
        </w:rPr>
        <w:t>"</w:t>
      </w:r>
      <w:r w:rsidRPr="00152F23">
        <w:rPr>
          <w:rFonts w:cs="Arial"/>
          <w:rtl/>
        </w:rPr>
        <w:t>י סי' יד</w:t>
      </w:r>
      <w:r>
        <w:rPr>
          <w:rFonts w:cs="Arial" w:hint="cs"/>
          <w:rtl/>
        </w:rPr>
        <w:t>)</w:t>
      </w:r>
      <w:r w:rsidRPr="00152F23">
        <w:rPr>
          <w:rFonts w:cs="Arial"/>
          <w:rtl/>
        </w:rPr>
        <w:t xml:space="preserve"> היינו הוצאות סרבנות, אבל שאר הוצאות כגון ששלח שליח אחר המעות או ששלח אחריו למקום פלוני א"צ לשלם, ע"ש</w:t>
      </w:r>
      <w:r>
        <w:rPr>
          <w:rFonts w:cs="Arial" w:hint="cs"/>
          <w:rtl/>
        </w:rPr>
        <w:t>, ש"ך (סק"י).</w:t>
      </w:r>
    </w:p>
  </w:footnote>
  <w:footnote w:id="820">
    <w:p w14:paraId="5442A744" w14:textId="77777777" w:rsidR="0013116F" w:rsidRDefault="0013116F">
      <w:pPr>
        <w:pStyle w:val="a9"/>
        <w:rPr>
          <w:rtl/>
        </w:rPr>
      </w:pPr>
      <w:r>
        <w:rPr>
          <w:rStyle w:val="ab"/>
        </w:rPr>
        <w:footnoteRef/>
      </w:r>
      <w:r>
        <w:rPr>
          <w:rtl/>
        </w:rPr>
        <w:t xml:space="preserve"> </w:t>
      </w:r>
      <w:r w:rsidRPr="00152F23">
        <w:rPr>
          <w:rFonts w:cs="Arial"/>
          <w:rtl/>
        </w:rPr>
        <w:t>ואף שלא כתב סרבנות אלא אח"ז</w:t>
      </w:r>
      <w:r>
        <w:rPr>
          <w:rFonts w:cs="Arial" w:hint="cs"/>
          <w:rtl/>
        </w:rPr>
        <w:t>,</w:t>
      </w:r>
      <w:r w:rsidRPr="00152F23">
        <w:rPr>
          <w:rtl/>
        </w:rPr>
        <w:t xml:space="preserve"> </w:t>
      </w:r>
      <w:r w:rsidRPr="00152F23">
        <w:rPr>
          <w:rFonts w:cs="Arial"/>
          <w:rtl/>
        </w:rPr>
        <w:t>מהרש"ל שם</w:t>
      </w:r>
      <w:r>
        <w:rPr>
          <w:rFonts w:cs="Arial" w:hint="cs"/>
          <w:rtl/>
        </w:rPr>
        <w:t xml:space="preserve"> </w:t>
      </w:r>
      <w:r w:rsidRPr="00152F23">
        <w:rPr>
          <w:rFonts w:cs="Arial" w:hint="cs"/>
          <w:sz w:val="16"/>
          <w:szCs w:val="16"/>
          <w:rtl/>
        </w:rPr>
        <w:t>{וכ"כ הב"י בשם הרא"ש}</w:t>
      </w:r>
      <w:r>
        <w:rPr>
          <w:rFonts w:hint="cs"/>
          <w:rtl/>
        </w:rPr>
        <w:t>, ש"ך (סקי"א).</w:t>
      </w:r>
    </w:p>
  </w:footnote>
  <w:footnote w:id="821">
    <w:p w14:paraId="1C17C129" w14:textId="77777777" w:rsidR="0013116F" w:rsidRDefault="0013116F">
      <w:pPr>
        <w:pStyle w:val="a9"/>
      </w:pPr>
      <w:r>
        <w:rPr>
          <w:rStyle w:val="ab"/>
        </w:rPr>
        <w:footnoteRef/>
      </w:r>
      <w:r>
        <w:rPr>
          <w:rtl/>
        </w:rPr>
        <w:t xml:space="preserve"> </w:t>
      </w:r>
      <w:r w:rsidRPr="00152F23">
        <w:rPr>
          <w:rFonts w:cs="Arial"/>
          <w:rtl/>
        </w:rPr>
        <w:t>ה"ט דלא האמינוהו בשבועתו להוציא ממון מחבירו אלא צריך בירור</w:t>
      </w:r>
      <w:r>
        <w:rPr>
          <w:rFonts w:cs="Arial" w:hint="cs"/>
          <w:rtl/>
        </w:rPr>
        <w:t>,</w:t>
      </w:r>
      <w:r w:rsidRPr="00152F23">
        <w:rPr>
          <w:rFonts w:cs="Arial"/>
          <w:rtl/>
        </w:rPr>
        <w:t xml:space="preserve"> </w:t>
      </w:r>
      <w:r>
        <w:rPr>
          <w:rFonts w:cs="Arial" w:hint="cs"/>
          <w:rtl/>
        </w:rPr>
        <w:t>סמ"ע (סקכ"ט).</w:t>
      </w:r>
      <w:r w:rsidRPr="009413A4">
        <w:rPr>
          <w:rFonts w:cs="Arial"/>
          <w:rtl/>
        </w:rPr>
        <w:t xml:space="preserve"> </w:t>
      </w:r>
      <w:r w:rsidRPr="00152F23">
        <w:rPr>
          <w:rFonts w:cs="Arial" w:hint="cs"/>
          <w:sz w:val="16"/>
          <w:szCs w:val="16"/>
          <w:rtl/>
        </w:rPr>
        <w:t>(</w:t>
      </w:r>
      <w:r w:rsidRPr="00152F23">
        <w:rPr>
          <w:rFonts w:cs="Arial"/>
          <w:sz w:val="16"/>
          <w:szCs w:val="16"/>
          <w:rtl/>
        </w:rPr>
        <w:t>ו</w:t>
      </w:r>
      <w:r>
        <w:rPr>
          <w:rFonts w:cs="Arial" w:hint="cs"/>
          <w:sz w:val="16"/>
          <w:szCs w:val="16"/>
          <w:rtl/>
        </w:rPr>
        <w:t>כתב הסמ"ע (שם) ד</w:t>
      </w:r>
      <w:r w:rsidRPr="00152F23">
        <w:rPr>
          <w:rFonts w:cs="Arial"/>
          <w:sz w:val="16"/>
          <w:szCs w:val="16"/>
          <w:rtl/>
        </w:rPr>
        <w:t>הא דכתב המחבר לקמן בסי</w:t>
      </w:r>
      <w:r>
        <w:rPr>
          <w:rFonts w:cs="Arial" w:hint="cs"/>
          <w:sz w:val="16"/>
          <w:szCs w:val="16"/>
          <w:rtl/>
        </w:rPr>
        <w:t>'</w:t>
      </w:r>
      <w:r w:rsidRPr="00152F23">
        <w:rPr>
          <w:rFonts w:cs="Arial"/>
          <w:sz w:val="16"/>
          <w:szCs w:val="16"/>
          <w:rtl/>
        </w:rPr>
        <w:t xml:space="preserve"> קנח סע</w:t>
      </w:r>
      <w:r>
        <w:rPr>
          <w:rFonts w:cs="Arial" w:hint="cs"/>
          <w:sz w:val="16"/>
          <w:szCs w:val="16"/>
          <w:rtl/>
        </w:rPr>
        <w:t>'</w:t>
      </w:r>
      <w:r w:rsidRPr="00152F23">
        <w:rPr>
          <w:rFonts w:cs="Arial"/>
          <w:sz w:val="16"/>
          <w:szCs w:val="16"/>
          <w:rtl/>
        </w:rPr>
        <w:t xml:space="preserve"> ח דאם אין המקיף יכול לברר כמה הוציא ישבע כעין דאו</w:t>
      </w:r>
      <w:r>
        <w:rPr>
          <w:rFonts w:cs="Arial" w:hint="cs"/>
          <w:sz w:val="16"/>
          <w:szCs w:val="16"/>
          <w:rtl/>
        </w:rPr>
        <w:t>'</w:t>
      </w:r>
      <w:r w:rsidRPr="00152F23">
        <w:rPr>
          <w:rFonts w:cs="Arial"/>
          <w:sz w:val="16"/>
          <w:szCs w:val="16"/>
          <w:rtl/>
        </w:rPr>
        <w:t xml:space="preserve"> ויטול. התם תשובתו בצידו, דכתב שם כיון דברשות הוציא ולהנאתו דהניקף, משא"כ כאן. ומהאי טעמא נמי כתב מור"ם לקמן סי</w:t>
      </w:r>
      <w:r>
        <w:rPr>
          <w:rFonts w:cs="Arial" w:hint="cs"/>
          <w:sz w:val="16"/>
          <w:szCs w:val="16"/>
          <w:rtl/>
        </w:rPr>
        <w:t>'</w:t>
      </w:r>
      <w:r w:rsidRPr="00152F23">
        <w:rPr>
          <w:rFonts w:cs="Arial"/>
          <w:sz w:val="16"/>
          <w:szCs w:val="16"/>
          <w:rtl/>
        </w:rPr>
        <w:t xml:space="preserve"> </w:t>
      </w:r>
      <w:r>
        <w:rPr>
          <w:rFonts w:cs="Arial" w:hint="cs"/>
          <w:sz w:val="16"/>
          <w:szCs w:val="16"/>
          <w:rtl/>
        </w:rPr>
        <w:t>צ</w:t>
      </w:r>
      <w:r w:rsidRPr="00152F23">
        <w:rPr>
          <w:rFonts w:cs="Arial"/>
          <w:sz w:val="16"/>
          <w:szCs w:val="16"/>
          <w:rtl/>
        </w:rPr>
        <w:t>א סע</w:t>
      </w:r>
      <w:r>
        <w:rPr>
          <w:rFonts w:cs="Arial" w:hint="cs"/>
          <w:sz w:val="16"/>
          <w:szCs w:val="16"/>
          <w:rtl/>
        </w:rPr>
        <w:t>'</w:t>
      </w:r>
      <w:r w:rsidRPr="00152F23">
        <w:rPr>
          <w:rFonts w:cs="Arial"/>
          <w:sz w:val="16"/>
          <w:szCs w:val="16"/>
          <w:rtl/>
        </w:rPr>
        <w:t xml:space="preserve"> ג דישבע ויטול. גם מ"ש הטור והמחבר לקמן ס</w:t>
      </w:r>
      <w:r>
        <w:rPr>
          <w:rFonts w:cs="Arial" w:hint="cs"/>
          <w:sz w:val="16"/>
          <w:szCs w:val="16"/>
          <w:rtl/>
        </w:rPr>
        <w:t>"</w:t>
      </w:r>
      <w:r w:rsidRPr="00152F23">
        <w:rPr>
          <w:rFonts w:cs="Arial"/>
          <w:sz w:val="16"/>
          <w:szCs w:val="16"/>
          <w:rtl/>
        </w:rPr>
        <w:t>ס שעה [טור סע</w:t>
      </w:r>
      <w:r>
        <w:rPr>
          <w:rFonts w:cs="Arial" w:hint="cs"/>
          <w:sz w:val="16"/>
          <w:szCs w:val="16"/>
          <w:rtl/>
        </w:rPr>
        <w:t xml:space="preserve">' </w:t>
      </w:r>
      <w:r w:rsidRPr="00152F23">
        <w:rPr>
          <w:rFonts w:cs="Arial"/>
          <w:sz w:val="16"/>
          <w:szCs w:val="16"/>
          <w:rtl/>
        </w:rPr>
        <w:t>י ומחבר סע</w:t>
      </w:r>
      <w:r>
        <w:rPr>
          <w:rFonts w:cs="Arial" w:hint="cs"/>
          <w:sz w:val="16"/>
          <w:szCs w:val="16"/>
          <w:rtl/>
        </w:rPr>
        <w:t>'</w:t>
      </w:r>
      <w:r w:rsidRPr="00152F23">
        <w:rPr>
          <w:rFonts w:cs="Arial"/>
          <w:sz w:val="16"/>
          <w:szCs w:val="16"/>
          <w:rtl/>
        </w:rPr>
        <w:t xml:space="preserve"> ח] דבין שהיתה ידו על העליונה או על התחתונה ישבע כמה הוציא ויטול, התם ג"כ אע</w:t>
      </w:r>
      <w:r>
        <w:rPr>
          <w:rFonts w:cs="Arial" w:hint="cs"/>
          <w:sz w:val="16"/>
          <w:szCs w:val="16"/>
          <w:rtl/>
        </w:rPr>
        <w:t>"</w:t>
      </w:r>
      <w:r w:rsidRPr="00152F23">
        <w:rPr>
          <w:rFonts w:cs="Arial"/>
          <w:sz w:val="16"/>
          <w:szCs w:val="16"/>
          <w:rtl/>
        </w:rPr>
        <w:t xml:space="preserve">פ דירד שלא ברשות מ"מ עכ"פ אין לבעל השדה היזק, דהא יש שבח כפי מה שנותן לו או יותר, </w:t>
      </w:r>
      <w:r>
        <w:rPr>
          <w:rFonts w:cs="Arial" w:hint="cs"/>
          <w:sz w:val="16"/>
          <w:szCs w:val="16"/>
          <w:rtl/>
        </w:rPr>
        <w:t>מ</w:t>
      </w:r>
      <w:r w:rsidRPr="00152F23">
        <w:rPr>
          <w:rFonts w:cs="Arial"/>
          <w:sz w:val="16"/>
          <w:szCs w:val="16"/>
          <w:rtl/>
        </w:rPr>
        <w:t>שא</w:t>
      </w:r>
      <w:r>
        <w:rPr>
          <w:rFonts w:cs="Arial" w:hint="cs"/>
          <w:sz w:val="16"/>
          <w:szCs w:val="16"/>
          <w:rtl/>
        </w:rPr>
        <w:t>"</w:t>
      </w:r>
      <w:r w:rsidRPr="00152F23">
        <w:rPr>
          <w:rFonts w:cs="Arial"/>
          <w:sz w:val="16"/>
          <w:szCs w:val="16"/>
          <w:rtl/>
        </w:rPr>
        <w:t>כ כאן דמה שנותן לו יפסיד</w:t>
      </w:r>
      <w:r>
        <w:rPr>
          <w:rFonts w:cs="Arial" w:hint="cs"/>
          <w:sz w:val="16"/>
          <w:szCs w:val="16"/>
          <w:rtl/>
        </w:rPr>
        <w:t>. עכ"ל)</w:t>
      </w:r>
      <w:r>
        <w:rPr>
          <w:rFonts w:cs="Arial" w:hint="cs"/>
          <w:rtl/>
        </w:rPr>
        <w:t xml:space="preserve">. </w:t>
      </w:r>
      <w:r w:rsidRPr="00A11E5F">
        <w:rPr>
          <w:rFonts w:cs="Arial" w:hint="cs"/>
          <w:rtl/>
        </w:rPr>
        <w:t xml:space="preserve">אך התומים (סק"ה) כתב </w:t>
      </w:r>
      <w:r>
        <w:rPr>
          <w:rFonts w:cs="Arial" w:hint="cs"/>
          <w:rtl/>
        </w:rPr>
        <w:t>ד</w:t>
      </w:r>
      <w:r w:rsidRPr="00A11E5F">
        <w:rPr>
          <w:rFonts w:cs="Arial"/>
          <w:rtl/>
        </w:rPr>
        <w:t>איירי דאפשר לברר לו ע"י בירור ושומת ב"ד ולכך לא ישבע, דכל מה דאפשר לברורי ולידע ע"י שומא מבית דין מהיכי תיתי ישבע</w:t>
      </w:r>
      <w:r w:rsidRPr="00A11E5F">
        <w:rPr>
          <w:rFonts w:cs="Arial"/>
          <w:sz w:val="16"/>
          <w:szCs w:val="16"/>
          <w:rtl/>
        </w:rPr>
        <w:t xml:space="preserve"> </w:t>
      </w:r>
      <w:r>
        <w:rPr>
          <w:rFonts w:cs="Arial" w:hint="cs"/>
          <w:sz w:val="16"/>
          <w:szCs w:val="16"/>
          <w:rtl/>
        </w:rPr>
        <w:t>(</w:t>
      </w:r>
      <w:r w:rsidRPr="00A11E5F">
        <w:rPr>
          <w:rFonts w:cs="Arial"/>
          <w:sz w:val="16"/>
          <w:szCs w:val="16"/>
          <w:rtl/>
        </w:rPr>
        <w:t>משא"כ כשא</w:t>
      </w:r>
      <w:r>
        <w:rPr>
          <w:rFonts w:cs="Arial" w:hint="cs"/>
          <w:sz w:val="16"/>
          <w:szCs w:val="16"/>
          <w:rtl/>
        </w:rPr>
        <w:t>"</w:t>
      </w:r>
      <w:r w:rsidRPr="00A11E5F">
        <w:rPr>
          <w:rFonts w:cs="Arial"/>
          <w:sz w:val="16"/>
          <w:szCs w:val="16"/>
          <w:rtl/>
        </w:rPr>
        <w:t>א לברר וא</w:t>
      </w:r>
      <w:r>
        <w:rPr>
          <w:rFonts w:cs="Arial" w:hint="cs"/>
          <w:sz w:val="16"/>
          <w:szCs w:val="16"/>
          <w:rtl/>
        </w:rPr>
        <w:t>"</w:t>
      </w:r>
      <w:r w:rsidRPr="00A11E5F">
        <w:rPr>
          <w:rFonts w:cs="Arial"/>
          <w:sz w:val="16"/>
          <w:szCs w:val="16"/>
          <w:rtl/>
        </w:rPr>
        <w:t>א לב"ד לשום, למה יגרע זה משארי דברים דכל מה שנעשה ברשות ישבע כמה הוציא ויטול, ואם יש לחוש שהרבה בהוצאות מכפי הצורך, גם זה בכלל שבועה שלא הרבה יותר מכפי צורך, ואין לנו לחדש דינים וחילוקים חדשים אשר אין להם שורש בגמרא ופוסקים קדמונים</w:t>
      </w:r>
      <w:r>
        <w:rPr>
          <w:rFonts w:cs="Arial" w:hint="cs"/>
          <w:sz w:val="16"/>
          <w:szCs w:val="16"/>
          <w:rtl/>
        </w:rPr>
        <w:t>)</w:t>
      </w:r>
      <w:r>
        <w:rPr>
          <w:rFonts w:hint="cs"/>
          <w:rtl/>
        </w:rPr>
        <w:t>.</w:t>
      </w:r>
    </w:p>
  </w:footnote>
  <w:footnote w:id="822">
    <w:p w14:paraId="5659F31F" w14:textId="77777777" w:rsidR="0013116F" w:rsidRDefault="0013116F">
      <w:pPr>
        <w:pStyle w:val="a9"/>
        <w:rPr>
          <w:rtl/>
        </w:rPr>
      </w:pPr>
      <w:r>
        <w:rPr>
          <w:rStyle w:val="ab"/>
        </w:rPr>
        <w:footnoteRef/>
      </w:r>
      <w:r>
        <w:rPr>
          <w:rtl/>
        </w:rPr>
        <w:t xml:space="preserve"> </w:t>
      </w:r>
      <w:r w:rsidRPr="009413A4">
        <w:rPr>
          <w:rFonts w:cs="Arial"/>
          <w:rtl/>
        </w:rPr>
        <w:t xml:space="preserve">דין זה תמוה, וגם קשה לי דבתשובות הרא"ש [סוף כלל קז] איתא צריך לברר והב"ד ישומו לו כו'. ומשמע התם דבבירור לחוד או בשומת ב"ד לחוד לא סגי אלא תרווייהו בעינן </w:t>
      </w:r>
      <w:r w:rsidRPr="009413A4">
        <w:rPr>
          <w:rFonts w:cs="Arial" w:hint="cs"/>
          <w:sz w:val="16"/>
          <w:szCs w:val="16"/>
          <w:rtl/>
        </w:rPr>
        <w:t>(</w:t>
      </w:r>
      <w:r w:rsidRPr="009413A4">
        <w:rPr>
          <w:rFonts w:cs="Arial"/>
          <w:sz w:val="16"/>
          <w:szCs w:val="16"/>
          <w:rtl/>
        </w:rPr>
        <w:t>ונראה הטעם, דבבירור לחוד לא סגי, דלאו כל כמיניה שיוציא כל מה שירצה, ובשומת ב"ד לחוד לא סגי דדילמא לא הוציא</w:t>
      </w:r>
      <w:r>
        <w:rPr>
          <w:rFonts w:cs="Arial" w:hint="cs"/>
          <w:sz w:val="16"/>
          <w:szCs w:val="16"/>
          <w:rtl/>
        </w:rPr>
        <w:t>)</w:t>
      </w:r>
      <w:r w:rsidRPr="009413A4">
        <w:rPr>
          <w:rFonts w:cs="Arial"/>
          <w:rtl/>
        </w:rPr>
        <w:t>, והיה נראה להגיה בדברי מור"ם "אז" הב"ד ישומו לו, וכן יש להגיה בעיר שושן [סעיף ד'], ובזה תסתלק השגת הסמ"ע עליו [בסקכ"ט]. אך בד"מ כתב בשם תשובת הרא"ש וז"ל, רק מה שמברר שהוציא משלם לו, ומה שאינו יכול לברר ישומו בית דין כמה ראוי להוציא וזה ישלם לו, ע"כ. וצ"ע</w:t>
      </w:r>
      <w:r>
        <w:rPr>
          <w:rFonts w:cs="Arial" w:hint="cs"/>
          <w:rtl/>
        </w:rPr>
        <w:t>, ש"ך (סקט"ז).</w:t>
      </w:r>
    </w:p>
  </w:footnote>
  <w:footnote w:id="823">
    <w:p w14:paraId="53D0D310" w14:textId="77777777" w:rsidR="0013116F" w:rsidRDefault="0013116F" w:rsidP="009049B2">
      <w:pPr>
        <w:pStyle w:val="a9"/>
      </w:pPr>
      <w:r>
        <w:rPr>
          <w:rStyle w:val="ab"/>
        </w:rPr>
        <w:footnoteRef/>
      </w:r>
      <w:r>
        <w:rPr>
          <w:rtl/>
        </w:rPr>
        <w:t xml:space="preserve"> </w:t>
      </w:r>
      <w:r>
        <w:rPr>
          <w:rFonts w:hint="cs"/>
          <w:rtl/>
        </w:rPr>
        <w:t xml:space="preserve">סימן </w:t>
      </w:r>
      <w:r>
        <w:rPr>
          <w:rtl/>
        </w:rPr>
        <w:t>–</w:t>
      </w:r>
      <w:r>
        <w:rPr>
          <w:rFonts w:hint="cs"/>
          <w:rtl/>
        </w:rPr>
        <w:t xml:space="preserve"> </w:t>
      </w:r>
      <w:r w:rsidRPr="009049B2">
        <w:rPr>
          <w:rtl/>
        </w:rPr>
        <w:t>חָבֵב חצי כחשוּב</w:t>
      </w:r>
      <w:r>
        <w:rPr>
          <w:rFonts w:hint="cs"/>
          <w:rtl/>
        </w:rPr>
        <w:t xml:space="preserve">. וכן </w:t>
      </w:r>
      <w:r>
        <w:rPr>
          <w:rtl/>
        </w:rPr>
        <w:t>–</w:t>
      </w:r>
      <w:r>
        <w:rPr>
          <w:rFonts w:hint="cs"/>
          <w:rtl/>
        </w:rPr>
        <w:t xml:space="preserve"> </w:t>
      </w:r>
      <w:r w:rsidRPr="009049B2">
        <w:rPr>
          <w:rtl/>
        </w:rPr>
        <w:t xml:space="preserve">חצי </w:t>
      </w:r>
      <w:r>
        <w:rPr>
          <w:rFonts w:hint="cs"/>
          <w:rtl/>
        </w:rPr>
        <w:t xml:space="preserve">= </w:t>
      </w:r>
      <w:r w:rsidRPr="009049B2">
        <w:rPr>
          <w:rtl/>
        </w:rPr>
        <w:t>חשוּב</w:t>
      </w:r>
      <w:r>
        <w:rPr>
          <w:rFonts w:hint="cs"/>
          <w:rtl/>
        </w:rPr>
        <w:t xml:space="preserve">.  </w:t>
      </w:r>
    </w:p>
  </w:footnote>
  <w:footnote w:id="824">
    <w:p w14:paraId="0D3DEEBF" w14:textId="77777777" w:rsidR="0013116F" w:rsidRDefault="0013116F">
      <w:pPr>
        <w:pStyle w:val="a9"/>
        <w:rPr>
          <w:rtl/>
        </w:rPr>
      </w:pPr>
      <w:r>
        <w:rPr>
          <w:rStyle w:val="ab"/>
        </w:rPr>
        <w:footnoteRef/>
      </w:r>
      <w:r>
        <w:rPr>
          <w:rtl/>
        </w:rPr>
        <w:t xml:space="preserve"> </w:t>
      </w:r>
      <w:r>
        <w:rPr>
          <w:rFonts w:cs="Arial"/>
          <w:rtl/>
        </w:rPr>
        <w:t>אם בא לפניך דין של פרוטה וחזר ובא דין אחר של מנה הקודם לפניך הקדם לחתוך</w:t>
      </w:r>
      <w:r>
        <w:rPr>
          <w:rFonts w:hint="cs"/>
          <w:rtl/>
        </w:rPr>
        <w:t>, רש"י.</w:t>
      </w:r>
    </w:p>
  </w:footnote>
  <w:footnote w:id="825">
    <w:p w14:paraId="1BFCD860" w14:textId="77777777" w:rsidR="0013116F" w:rsidRPr="0026553A" w:rsidRDefault="0013116F" w:rsidP="0026553A">
      <w:pPr>
        <w:pStyle w:val="a9"/>
        <w:rPr>
          <w:rtl/>
        </w:rPr>
      </w:pPr>
      <w:r w:rsidRPr="0026553A">
        <w:rPr>
          <w:rStyle w:val="ab"/>
        </w:rPr>
        <w:footnoteRef/>
      </w:r>
      <w:r w:rsidRPr="0026553A">
        <w:rPr>
          <w:rtl/>
        </w:rPr>
        <w:t xml:space="preserve"> </w:t>
      </w:r>
      <w:r w:rsidRPr="0026553A">
        <w:rPr>
          <w:rFonts w:hint="cs"/>
          <w:rtl/>
        </w:rPr>
        <w:t xml:space="preserve">סימן </w:t>
      </w:r>
      <w:r w:rsidRPr="0026553A">
        <w:rPr>
          <w:rtl/>
        </w:rPr>
        <w:t>–</w:t>
      </w:r>
      <w:r w:rsidRPr="0026553A">
        <w:rPr>
          <w:rFonts w:hint="cs"/>
          <w:rtl/>
        </w:rPr>
        <w:t xml:space="preserve"> </w:t>
      </w:r>
      <w:r>
        <w:rPr>
          <w:rFonts w:hint="cs"/>
          <w:rtl/>
        </w:rPr>
        <w:t xml:space="preserve">קודם ה'. וכן </w:t>
      </w:r>
      <w:r>
        <w:rPr>
          <w:rtl/>
        </w:rPr>
        <w:t>–</w:t>
      </w:r>
      <w:r>
        <w:rPr>
          <w:rFonts w:hint="cs"/>
          <w:rtl/>
        </w:rPr>
        <w:t xml:space="preserve"> הוא קודם</w:t>
      </w:r>
      <w:r w:rsidRPr="0026553A">
        <w:rPr>
          <w:rFonts w:hint="cs"/>
          <w:rtl/>
        </w:rPr>
        <w:t>.</w:t>
      </w:r>
    </w:p>
  </w:footnote>
  <w:footnote w:id="826">
    <w:p w14:paraId="4E059D30" w14:textId="77777777" w:rsidR="0013116F" w:rsidRDefault="0013116F" w:rsidP="0026553A">
      <w:pPr>
        <w:pStyle w:val="a9"/>
      </w:pPr>
      <w:r>
        <w:rPr>
          <w:rStyle w:val="ab"/>
        </w:rPr>
        <w:footnoteRef/>
      </w:r>
      <w:r>
        <w:rPr>
          <w:rtl/>
        </w:rPr>
        <w:t xml:space="preserve"> </w:t>
      </w:r>
      <w:r w:rsidRPr="00C53C62">
        <w:rPr>
          <w:rFonts w:cs="Arial"/>
          <w:rtl/>
        </w:rPr>
        <w:t>דגים קטנים</w:t>
      </w:r>
      <w:r>
        <w:rPr>
          <w:rFonts w:cs="Arial" w:hint="cs"/>
          <w:rtl/>
        </w:rPr>
        <w:t>, רש"י</w:t>
      </w:r>
      <w:r w:rsidRPr="00C53C62">
        <w:rPr>
          <w:rFonts w:cs="Arial"/>
          <w:rtl/>
        </w:rPr>
        <w:t>.</w:t>
      </w:r>
    </w:p>
  </w:footnote>
  <w:footnote w:id="827">
    <w:p w14:paraId="486C0AC3" w14:textId="77777777" w:rsidR="0013116F" w:rsidRDefault="0013116F" w:rsidP="0026553A">
      <w:pPr>
        <w:pStyle w:val="a9"/>
        <w:rPr>
          <w:rtl/>
        </w:rPr>
      </w:pPr>
      <w:r>
        <w:rPr>
          <w:rStyle w:val="ab"/>
        </w:rPr>
        <w:footnoteRef/>
      </w:r>
      <w:r>
        <w:rPr>
          <w:rtl/>
        </w:rPr>
        <w:t xml:space="preserve"> </w:t>
      </w:r>
      <w:r w:rsidRPr="00C53C62">
        <w:rPr>
          <w:rFonts w:cs="Arial"/>
          <w:rtl/>
        </w:rPr>
        <w:t>מצות הדיינים עשה ושפטתם צדק</w:t>
      </w:r>
      <w:r>
        <w:rPr>
          <w:rFonts w:cs="Arial" w:hint="cs"/>
          <w:rtl/>
        </w:rPr>
        <w:t>, רש"י</w:t>
      </w:r>
      <w:r w:rsidRPr="00C53C62">
        <w:rPr>
          <w:rFonts w:cs="Arial"/>
          <w:rtl/>
        </w:rPr>
        <w:t>.</w:t>
      </w:r>
    </w:p>
  </w:footnote>
  <w:footnote w:id="828">
    <w:p w14:paraId="73E5A9E3" w14:textId="77777777" w:rsidR="0013116F" w:rsidRDefault="0013116F" w:rsidP="0026553A">
      <w:pPr>
        <w:pStyle w:val="a9"/>
      </w:pPr>
      <w:r>
        <w:rPr>
          <w:rStyle w:val="ab"/>
        </w:rPr>
        <w:footnoteRef/>
      </w:r>
      <w:r>
        <w:rPr>
          <w:rtl/>
        </w:rPr>
        <w:t xml:space="preserve"> </w:t>
      </w:r>
      <w:r w:rsidRPr="00C53C62">
        <w:rPr>
          <w:rFonts w:cs="Arial"/>
          <w:rtl/>
        </w:rPr>
        <w:t>דיניה דהאי גברא דהוא עשה דאיכא כבוד תורה דרב ענן בהדיה עדיף</w:t>
      </w:r>
      <w:r>
        <w:rPr>
          <w:rFonts w:cs="Arial" w:hint="cs"/>
          <w:rtl/>
        </w:rPr>
        <w:t>, רש"י</w:t>
      </w:r>
      <w:r w:rsidRPr="00C53C62">
        <w:rPr>
          <w:rFonts w:cs="Arial"/>
          <w:rtl/>
        </w:rPr>
        <w:t>.</w:t>
      </w:r>
    </w:p>
  </w:footnote>
  <w:footnote w:id="829">
    <w:p w14:paraId="4CB35B81" w14:textId="77777777" w:rsidR="0013116F" w:rsidRPr="0026553A" w:rsidRDefault="0013116F">
      <w:pPr>
        <w:pStyle w:val="a9"/>
      </w:pPr>
      <w:r w:rsidRPr="0026553A">
        <w:rPr>
          <w:rStyle w:val="ab"/>
        </w:rPr>
        <w:footnoteRef/>
      </w:r>
      <w:r w:rsidRPr="0026553A">
        <w:rPr>
          <w:rtl/>
        </w:rPr>
        <w:t xml:space="preserve"> </w:t>
      </w:r>
      <w:r w:rsidRPr="0026553A">
        <w:rPr>
          <w:rFonts w:hint="cs"/>
          <w:rtl/>
        </w:rPr>
        <w:t xml:space="preserve">סימן </w:t>
      </w:r>
      <w:r w:rsidRPr="0026553A">
        <w:rPr>
          <w:rtl/>
        </w:rPr>
        <w:t>–</w:t>
      </w:r>
      <w:r w:rsidRPr="0026553A">
        <w:rPr>
          <w:rFonts w:hint="cs"/>
          <w:rtl/>
        </w:rPr>
        <w:t xml:space="preserve"> למדן לפני</w:t>
      </w:r>
      <w:r>
        <w:rPr>
          <w:rFonts w:hint="cs"/>
          <w:rtl/>
        </w:rPr>
        <w:t xml:space="preserve"> לץ</w:t>
      </w:r>
      <w:r w:rsidRPr="0026553A">
        <w:rPr>
          <w:rFonts w:hint="cs"/>
          <w:rtl/>
        </w:rPr>
        <w:t>.</w:t>
      </w:r>
    </w:p>
  </w:footnote>
  <w:footnote w:id="830">
    <w:p w14:paraId="17CA4F63" w14:textId="77777777" w:rsidR="0013116F" w:rsidRDefault="0013116F">
      <w:pPr>
        <w:pStyle w:val="a9"/>
      </w:pPr>
      <w:r>
        <w:rPr>
          <w:rStyle w:val="ab"/>
        </w:rPr>
        <w:footnoteRef/>
      </w:r>
      <w:r>
        <w:rPr>
          <w:rtl/>
        </w:rPr>
        <w:t xml:space="preserve"> </w:t>
      </w:r>
      <w:r w:rsidRPr="00B82919">
        <w:rPr>
          <w:rFonts w:cs="Arial"/>
          <w:rtl/>
        </w:rPr>
        <w:t>לרב נחמן להודיעו</w:t>
      </w:r>
      <w:r>
        <w:rPr>
          <w:rFonts w:cs="Arial" w:hint="cs"/>
          <w:rtl/>
        </w:rPr>
        <w:t>: עולא חברנו...</w:t>
      </w:r>
    </w:p>
  </w:footnote>
  <w:footnote w:id="831">
    <w:p w14:paraId="4754558B" w14:textId="77777777" w:rsidR="0013116F" w:rsidRDefault="0013116F">
      <w:pPr>
        <w:pStyle w:val="a9"/>
        <w:rPr>
          <w:rtl/>
        </w:rPr>
      </w:pPr>
      <w:r>
        <w:rPr>
          <w:rStyle w:val="ab"/>
        </w:rPr>
        <w:footnoteRef/>
      </w:r>
      <w:r>
        <w:rPr>
          <w:rtl/>
        </w:rPr>
        <w:t xml:space="preserve"> </w:t>
      </w:r>
      <w:r>
        <w:rPr>
          <w:rFonts w:cs="Arial"/>
          <w:rtl/>
        </w:rPr>
        <w:t>אם בא דין אחר לפני אפסוק את זה תחלה</w:t>
      </w:r>
      <w:r>
        <w:rPr>
          <w:rFonts w:cs="Arial" w:hint="cs"/>
          <w:rtl/>
        </w:rPr>
        <w:t>, רש"י</w:t>
      </w:r>
      <w:r>
        <w:rPr>
          <w:rFonts w:cs="Arial"/>
          <w:rtl/>
        </w:rPr>
        <w:t>.</w:t>
      </w:r>
    </w:p>
  </w:footnote>
  <w:footnote w:id="832">
    <w:p w14:paraId="09628167" w14:textId="77777777" w:rsidR="0013116F" w:rsidRPr="0026553A" w:rsidRDefault="0013116F">
      <w:pPr>
        <w:pStyle w:val="a9"/>
      </w:pPr>
      <w:r w:rsidRPr="0026553A">
        <w:rPr>
          <w:rStyle w:val="ab"/>
        </w:rPr>
        <w:footnoteRef/>
      </w:r>
      <w:r w:rsidRPr="0026553A">
        <w:rPr>
          <w:rtl/>
        </w:rPr>
        <w:t xml:space="preserve"> </w:t>
      </w:r>
      <w:r w:rsidRPr="0026553A">
        <w:rPr>
          <w:rFonts w:cs="Arial"/>
          <w:rtl/>
        </w:rPr>
        <w:t>ומאי דאמר הוה קאים דינא דיתמי קמיה היינו לומר שכשבאו שני דינים אלו לפניו היה רוצה להתחיל להתעסק בדינא דיתמי וכששמע מה ששלח לומר לו רב ענן סלקיה כלומר הניח מלהתחיל בדין היתומים והתחיל בדינא דההוא גברא</w:t>
      </w:r>
      <w:r w:rsidRPr="0026553A">
        <w:rPr>
          <w:rFonts w:cs="Arial" w:hint="cs"/>
          <w:rtl/>
        </w:rPr>
        <w:t>, ב"י (יו"ד שם).</w:t>
      </w:r>
    </w:p>
  </w:footnote>
  <w:footnote w:id="833">
    <w:p w14:paraId="230AFFF9" w14:textId="77777777" w:rsidR="0013116F" w:rsidRPr="0013793E" w:rsidRDefault="0013116F" w:rsidP="0013793E">
      <w:pPr>
        <w:pStyle w:val="a9"/>
        <w:rPr>
          <w:rtl/>
        </w:rPr>
      </w:pPr>
      <w:r w:rsidRPr="0013793E">
        <w:rPr>
          <w:rStyle w:val="ab"/>
        </w:rPr>
        <w:footnoteRef/>
      </w:r>
      <w:r w:rsidRPr="0013793E">
        <w:rPr>
          <w:rtl/>
        </w:rPr>
        <w:t xml:space="preserve"> </w:t>
      </w:r>
      <w:r w:rsidRPr="0013793E">
        <w:rPr>
          <w:rFonts w:cs="Arial"/>
          <w:rtl/>
        </w:rPr>
        <w:t>כתב הריטב"א (שם קו. ד"ה איסתתם)</w:t>
      </w:r>
      <w:r w:rsidRPr="0013793E">
        <w:rPr>
          <w:rFonts w:cs="Arial" w:hint="cs"/>
          <w:rtl/>
        </w:rPr>
        <w:t>-</w:t>
      </w:r>
      <w:r w:rsidRPr="0013793E">
        <w:rPr>
          <w:rFonts w:cs="Arial"/>
          <w:rtl/>
        </w:rPr>
        <w:t xml:space="preserve"> קשיא לן הא דאמרינן בפרק שבועת העדות דשלח ליה רב יוסף לרב נחמן עולא חברינו עמית בתורה ובמצות הוא ואמר למאי שלח ליה למישרי תגריה ברישא ולא חש לאסתתומי טענתיה דאידך</w:t>
      </w:r>
      <w:r w:rsidRPr="0013793E">
        <w:rPr>
          <w:rFonts w:cs="Arial" w:hint="cs"/>
          <w:rtl/>
        </w:rPr>
        <w:t>,</w:t>
      </w:r>
      <w:r w:rsidRPr="0013793E">
        <w:rPr>
          <w:rFonts w:cs="Arial"/>
          <w:rtl/>
        </w:rPr>
        <w:t xml:space="preserve"> ויש לומר ד</w:t>
      </w:r>
      <w:r w:rsidRPr="0013793E">
        <w:rPr>
          <w:rFonts w:hint="cs"/>
          <w:rtl/>
        </w:rPr>
        <w:t>-...</w:t>
      </w:r>
    </w:p>
  </w:footnote>
  <w:footnote w:id="834">
    <w:p w14:paraId="780AA5BB" w14:textId="77777777" w:rsidR="0013116F" w:rsidRPr="0026553A" w:rsidRDefault="0013116F" w:rsidP="0013793E">
      <w:pPr>
        <w:pStyle w:val="a9"/>
      </w:pPr>
      <w:r w:rsidRPr="0026553A">
        <w:rPr>
          <w:rStyle w:val="ab"/>
        </w:rPr>
        <w:footnoteRef/>
      </w:r>
      <w:r w:rsidRPr="0026553A">
        <w:rPr>
          <w:rtl/>
        </w:rPr>
        <w:t xml:space="preserve"> </w:t>
      </w:r>
      <w:r w:rsidRPr="0026553A">
        <w:rPr>
          <w:rFonts w:cs="Arial"/>
          <w:rtl/>
        </w:rPr>
        <w:t>דבשלמא בחבר עצמו שרינן תיגריה ברישא ואע</w:t>
      </w:r>
      <w:r w:rsidRPr="0026553A">
        <w:rPr>
          <w:rFonts w:cs="Arial" w:hint="cs"/>
          <w:rtl/>
        </w:rPr>
        <w:t>"</w:t>
      </w:r>
      <w:r w:rsidRPr="0026553A">
        <w:rPr>
          <w:rFonts w:cs="Arial"/>
          <w:rtl/>
        </w:rPr>
        <w:t>ג דפתחו בדינא דאחריני כדי שלא יתבטל מתלמודו ומשום כבוד דידיה</w:t>
      </w:r>
      <w:r w:rsidRPr="0026553A">
        <w:rPr>
          <w:rFonts w:cs="Arial" w:hint="cs"/>
          <w:rtl/>
        </w:rPr>
        <w:t>,</w:t>
      </w:r>
      <w:r w:rsidRPr="0026553A">
        <w:rPr>
          <w:rFonts w:cs="Arial"/>
          <w:rtl/>
        </w:rPr>
        <w:t xml:space="preserve"> דאע</w:t>
      </w:r>
      <w:r w:rsidRPr="0026553A">
        <w:rPr>
          <w:rFonts w:cs="Arial" w:hint="cs"/>
          <w:rtl/>
        </w:rPr>
        <w:t>"</w:t>
      </w:r>
      <w:r w:rsidRPr="0026553A">
        <w:rPr>
          <w:rFonts w:cs="Arial"/>
          <w:rtl/>
        </w:rPr>
        <w:t>ג דאיכא מצוה לדון הבא ראשון מדכתיב כקטן כגדול תשמעון עשה דכבוד תורה עדיף</w:t>
      </w:r>
      <w:r w:rsidRPr="0026553A">
        <w:rPr>
          <w:rFonts w:cs="Arial" w:hint="cs"/>
          <w:rtl/>
        </w:rPr>
        <w:t>,</w:t>
      </w:r>
      <w:r w:rsidRPr="0026553A">
        <w:rPr>
          <w:rFonts w:cs="Arial"/>
          <w:rtl/>
        </w:rPr>
        <w:t xml:space="preserve"> והיינו דאמרינן בפרק כל כתבי </w:t>
      </w:r>
      <w:r w:rsidRPr="0013793E">
        <w:rPr>
          <w:rFonts w:cs="Arial"/>
          <w:sz w:val="16"/>
          <w:szCs w:val="16"/>
          <w:rtl/>
        </w:rPr>
        <w:t xml:space="preserve">(שבת קיט.) </w:t>
      </w:r>
      <w:r w:rsidRPr="0026553A">
        <w:rPr>
          <w:rFonts w:cs="Arial"/>
          <w:rtl/>
        </w:rPr>
        <w:t>אמר רבא תיתי לי דכי אתי צורבא מרבנן קמאי וכו'</w:t>
      </w:r>
      <w:r w:rsidRPr="0026553A">
        <w:rPr>
          <w:rFonts w:cs="Arial" w:hint="cs"/>
          <w:rtl/>
        </w:rPr>
        <w:t>,</w:t>
      </w:r>
      <w:r w:rsidRPr="0026553A">
        <w:rPr>
          <w:rFonts w:cs="Arial"/>
          <w:rtl/>
        </w:rPr>
        <w:t xml:space="preserve"> אבל כבוד קרובו של חכם אינו אלא מדרבנן</w:t>
      </w:r>
      <w:r w:rsidRPr="0026553A">
        <w:rPr>
          <w:rFonts w:cs="Arial" w:hint="cs"/>
          <w:rtl/>
        </w:rPr>
        <w:t>,</w:t>
      </w:r>
      <w:r w:rsidRPr="0013793E">
        <w:rPr>
          <w:rFonts w:cs="Arial"/>
          <w:rtl/>
        </w:rPr>
        <w:t xml:space="preserve"> אבל הכא עדיין לא פתחו באידך דינא ובכל חד מינייהו איכא מצוה לדון וכיון דכן האי עשה דקרובו של חכם עדיף</w:t>
      </w:r>
      <w:r w:rsidRPr="0013793E">
        <w:rPr>
          <w:rFonts w:cs="Arial" w:hint="cs"/>
          <w:rtl/>
        </w:rPr>
        <w:t>,</w:t>
      </w:r>
      <w:r w:rsidRPr="0013793E">
        <w:rPr>
          <w:rFonts w:cs="Arial"/>
          <w:rtl/>
        </w:rPr>
        <w:t xml:space="preserve"> דאיכא בהדיה עשה דרבנן דכבודו של חכם</w:t>
      </w:r>
      <w:r>
        <w:rPr>
          <w:rFonts w:cs="Arial" w:hint="cs"/>
          <w:rtl/>
        </w:rPr>
        <w:t xml:space="preserve">, </w:t>
      </w:r>
      <w:r w:rsidRPr="0026553A">
        <w:rPr>
          <w:rFonts w:cs="Arial" w:hint="cs"/>
          <w:rtl/>
        </w:rPr>
        <w:t>ריטב"א בשם מורו.</w:t>
      </w:r>
    </w:p>
  </w:footnote>
  <w:footnote w:id="835">
    <w:p w14:paraId="4B84F291" w14:textId="77777777" w:rsidR="0013116F" w:rsidRDefault="0013116F">
      <w:pPr>
        <w:pStyle w:val="a9"/>
      </w:pPr>
      <w:r>
        <w:rPr>
          <w:rStyle w:val="ab"/>
        </w:rPr>
        <w:footnoteRef/>
      </w:r>
      <w:r>
        <w:rPr>
          <w:rtl/>
        </w:rPr>
        <w:t xml:space="preserve"> </w:t>
      </w:r>
      <w:r>
        <w:rPr>
          <w:rFonts w:hint="cs"/>
          <w:rtl/>
        </w:rPr>
        <w:t xml:space="preserve">סימן </w:t>
      </w:r>
      <w:r>
        <w:rPr>
          <w:rtl/>
        </w:rPr>
        <w:t>–</w:t>
      </w:r>
      <w:r>
        <w:rPr>
          <w:rFonts w:hint="cs"/>
          <w:rtl/>
        </w:rPr>
        <w:t xml:space="preserve"> קודם ישן טהרם.</w:t>
      </w:r>
    </w:p>
  </w:footnote>
  <w:footnote w:id="836">
    <w:p w14:paraId="465A736D" w14:textId="77777777" w:rsidR="0013116F" w:rsidRDefault="0013116F">
      <w:pPr>
        <w:pStyle w:val="a9"/>
      </w:pPr>
      <w:r>
        <w:rPr>
          <w:rStyle w:val="ab"/>
        </w:rPr>
        <w:footnoteRef/>
      </w:r>
      <w:r>
        <w:rPr>
          <w:rtl/>
        </w:rPr>
        <w:t xml:space="preserve"> </w:t>
      </w:r>
      <w:r w:rsidRPr="001A1EE3">
        <w:rPr>
          <w:rFonts w:cs="Arial"/>
          <w:rtl/>
        </w:rPr>
        <w:t>נראה דלא בביאה לבית דין תחילה תליא מילתא, אלא משעה שהעמיד עצמו לפני הדיין והדיין הכין את עצמו לשמוע טענתו, זהו נקרא בא לפניו תחילה, והוא קודם להבא מאוחר ממנו לפני הדיין</w:t>
      </w:r>
      <w:r>
        <w:rPr>
          <w:rFonts w:cs="Arial" w:hint="cs"/>
          <w:rtl/>
        </w:rPr>
        <w:t>,</w:t>
      </w:r>
      <w:r w:rsidRPr="001A1EE3">
        <w:rPr>
          <w:rFonts w:cs="Arial"/>
          <w:rtl/>
        </w:rPr>
        <w:t xml:space="preserve"> ועי</w:t>
      </w:r>
      <w:r>
        <w:rPr>
          <w:rFonts w:cs="Arial" w:hint="cs"/>
          <w:rtl/>
        </w:rPr>
        <w:t>'</w:t>
      </w:r>
      <w:r w:rsidRPr="001A1EE3">
        <w:rPr>
          <w:rFonts w:cs="Arial"/>
          <w:rtl/>
        </w:rPr>
        <w:t xml:space="preserve"> דרישה [ס</w:t>
      </w:r>
      <w:r>
        <w:rPr>
          <w:rFonts w:cs="Arial" w:hint="cs"/>
          <w:rtl/>
        </w:rPr>
        <w:t>"</w:t>
      </w:r>
      <w:r w:rsidRPr="001A1EE3">
        <w:rPr>
          <w:rFonts w:cs="Arial"/>
          <w:rtl/>
        </w:rPr>
        <w:t>ס א] דכתבתי ראיה לזה מדברי הריטב"א [כתובות ק</w:t>
      </w:r>
      <w:r>
        <w:rPr>
          <w:rFonts w:cs="Arial" w:hint="cs"/>
          <w:rtl/>
        </w:rPr>
        <w:t>ו.</w:t>
      </w:r>
      <w:r w:rsidRPr="001A1EE3">
        <w:rPr>
          <w:rFonts w:cs="Arial"/>
          <w:rtl/>
        </w:rPr>
        <w:t>],</w:t>
      </w:r>
      <w:r>
        <w:rPr>
          <w:rFonts w:cs="Arial" w:hint="cs"/>
          <w:rtl/>
        </w:rPr>
        <w:t xml:space="preserve"> סמ"ע (סק"א).</w:t>
      </w:r>
    </w:p>
  </w:footnote>
  <w:footnote w:id="837">
    <w:p w14:paraId="170AF2C5" w14:textId="77777777" w:rsidR="0013116F" w:rsidRPr="009F4F07" w:rsidRDefault="0013116F" w:rsidP="009F4F07">
      <w:pPr>
        <w:spacing w:after="0" w:line="240" w:lineRule="auto"/>
        <w:rPr>
          <w:sz w:val="20"/>
          <w:szCs w:val="20"/>
          <w:rtl/>
        </w:rPr>
      </w:pPr>
      <w:r w:rsidRPr="009F4F07">
        <w:rPr>
          <w:rStyle w:val="ab"/>
          <w:sz w:val="20"/>
          <w:szCs w:val="20"/>
        </w:rPr>
        <w:footnoteRef/>
      </w:r>
      <w:r w:rsidRPr="009F4F07">
        <w:rPr>
          <w:sz w:val="20"/>
          <w:szCs w:val="20"/>
          <w:rtl/>
        </w:rPr>
        <w:t xml:space="preserve"> דכשבא הת"ח לדון עם הבעל בית מעמידין את הת"ח אחזקתו, ומשום הכי מהפכין ומפשפשין בדבריו כדי להעמידן באופן שיהא לו זכות בהן ע"פ האמת,</w:t>
      </w:r>
      <w:r w:rsidRPr="009F4F07">
        <w:rPr>
          <w:rFonts w:hint="cs"/>
          <w:sz w:val="20"/>
          <w:szCs w:val="20"/>
          <w:rtl/>
        </w:rPr>
        <w:t xml:space="preserve"> סמ"ע (סק"ד).</w:t>
      </w:r>
    </w:p>
  </w:footnote>
  <w:footnote w:id="838">
    <w:p w14:paraId="1A101EB3" w14:textId="77777777" w:rsidR="0013116F" w:rsidRDefault="0013116F">
      <w:pPr>
        <w:pStyle w:val="a9"/>
      </w:pPr>
      <w:r>
        <w:rPr>
          <w:rStyle w:val="ab"/>
        </w:rPr>
        <w:footnoteRef/>
      </w:r>
      <w:r>
        <w:rPr>
          <w:rtl/>
        </w:rPr>
        <w:t xml:space="preserve"> </w:t>
      </w:r>
      <w:r w:rsidRPr="009F4F07">
        <w:rPr>
          <w:rFonts w:cs="Arial"/>
          <w:rtl/>
        </w:rPr>
        <w:t>נראה דס"ל הכי כיון דמשמעות דכקטן כגדול תשמעון משמע דהקרא לא קפיד אלא אשמיעה, ור"ל דלאחר שפתחו בדינא דקטן והתחילו לשמוע טענותיהן תו אין לדחותן בשביל דין הגדול, וכיון דקיי"ל דעשה דתלמיד חכם דוחה לעשה הזה, ממילא נשמע דאפילו פתחו בדינו של זה האחר</w:t>
      </w:r>
      <w:r>
        <w:rPr>
          <w:rFonts w:cs="Arial" w:hint="cs"/>
          <w:rtl/>
        </w:rPr>
        <w:t>,</w:t>
      </w:r>
      <w:r w:rsidRPr="009F4F07">
        <w:rPr>
          <w:rFonts w:cs="Arial"/>
          <w:rtl/>
        </w:rPr>
        <w:t xml:space="preserve"> דהיינו השמיעה, דוחין אותו מפני דינו של תלמיד חכם</w:t>
      </w:r>
      <w:r>
        <w:rPr>
          <w:rFonts w:cs="Arial" w:hint="cs"/>
          <w:rtl/>
        </w:rPr>
        <w:t>.</w:t>
      </w:r>
      <w:r w:rsidRPr="009F4F07">
        <w:rPr>
          <w:rFonts w:cs="Arial"/>
          <w:rtl/>
        </w:rPr>
        <w:t xml:space="preserve"> ומ"מ חז"ל אסמכוה אהאי קרא דכקטן כגדול תשמעון, אפילו עדיין לא פתחו ליה בדינא דהמוקדם אלא בא לפני הדיין תחילה, אסור לדחותו ולדון המאוחר לו, ומשו"ה נקטו הגמרא והפוסקים לשון בא לפניו תחילה, וכיון דזה אינו אלא מדרבנן הם אמרו והם אמרו גם כן דאפילו מפני קרובו של תלמיד חכם דוחין המוקדם מפני כבודו דהחכם</w:t>
      </w:r>
      <w:r>
        <w:rPr>
          <w:rFonts w:cs="Arial" w:hint="cs"/>
          <w:rtl/>
        </w:rPr>
        <w:t>, סמ"ע (סק"ה).</w:t>
      </w:r>
    </w:p>
  </w:footnote>
  <w:footnote w:id="839">
    <w:p w14:paraId="7776762A" w14:textId="77777777" w:rsidR="0013116F" w:rsidRDefault="0013116F">
      <w:pPr>
        <w:pStyle w:val="a9"/>
      </w:pPr>
      <w:r>
        <w:rPr>
          <w:rStyle w:val="ab"/>
        </w:rPr>
        <w:footnoteRef/>
      </w:r>
      <w:r>
        <w:rPr>
          <w:rtl/>
        </w:rPr>
        <w:t xml:space="preserve"> </w:t>
      </w:r>
      <w:r>
        <w:rPr>
          <w:rFonts w:hint="cs"/>
          <w:rtl/>
        </w:rPr>
        <w:t>אע"ג שבא לבסוף.</w:t>
      </w:r>
    </w:p>
  </w:footnote>
  <w:footnote w:id="840">
    <w:p w14:paraId="16A031DB" w14:textId="77777777" w:rsidR="0013116F" w:rsidRDefault="0013116F">
      <w:pPr>
        <w:pStyle w:val="a9"/>
        <w:rPr>
          <w:rtl/>
        </w:rPr>
      </w:pPr>
      <w:r>
        <w:rPr>
          <w:rStyle w:val="ab"/>
        </w:rPr>
        <w:footnoteRef/>
      </w:r>
      <w:r>
        <w:rPr>
          <w:rtl/>
        </w:rPr>
        <w:t xml:space="preserve"> </w:t>
      </w:r>
      <w:r>
        <w:rPr>
          <w:rFonts w:hint="cs"/>
          <w:rtl/>
        </w:rPr>
        <w:t>וכתב הפת"ש (סק"א)</w:t>
      </w:r>
      <w:r>
        <w:rPr>
          <w:rFonts w:asciiTheme="minorBidi" w:hAnsiTheme="minorBidi" w:cs="Arial" w:hint="cs"/>
          <w:color w:val="000000"/>
          <w:rtl/>
        </w:rPr>
        <w:t xml:space="preserve">- </w:t>
      </w:r>
      <w:r w:rsidRPr="009F4F07">
        <w:rPr>
          <w:rFonts w:asciiTheme="minorBidi" w:hAnsiTheme="minorBidi" w:cs="Arial"/>
          <w:color w:val="000000"/>
          <w:rtl/>
        </w:rPr>
        <w:t xml:space="preserve">ולזה נוטה דעת הש"ך סק"א, וכ"ד הכנה"ג </w:t>
      </w:r>
      <w:r>
        <w:rPr>
          <w:rFonts w:asciiTheme="minorBidi" w:hAnsiTheme="minorBidi" w:cs="Arial" w:hint="cs"/>
          <w:color w:val="000000"/>
          <w:rtl/>
        </w:rPr>
        <w:t>(</w:t>
      </w:r>
      <w:r w:rsidRPr="009F4F07">
        <w:rPr>
          <w:rFonts w:asciiTheme="minorBidi" w:hAnsiTheme="minorBidi" w:cs="Arial"/>
          <w:color w:val="000000"/>
          <w:rtl/>
        </w:rPr>
        <w:t>אות ג</w:t>
      </w:r>
      <w:r>
        <w:rPr>
          <w:rFonts w:asciiTheme="minorBidi" w:hAnsiTheme="minorBidi" w:cs="Arial" w:hint="cs"/>
          <w:color w:val="000000"/>
          <w:rtl/>
        </w:rPr>
        <w:t>)</w:t>
      </w:r>
      <w:r w:rsidRPr="009F4F07">
        <w:rPr>
          <w:rFonts w:asciiTheme="minorBidi" w:hAnsiTheme="minorBidi" w:cs="Arial"/>
          <w:color w:val="000000"/>
          <w:rtl/>
        </w:rPr>
        <w:t xml:space="preserve">, וכ"פ בתשובת שבות יעקב </w:t>
      </w:r>
      <w:r>
        <w:rPr>
          <w:rFonts w:asciiTheme="minorBidi" w:hAnsiTheme="minorBidi" w:cs="Arial" w:hint="cs"/>
          <w:color w:val="000000"/>
          <w:rtl/>
        </w:rPr>
        <w:t>(</w:t>
      </w:r>
      <w:r w:rsidRPr="009F4F07">
        <w:rPr>
          <w:rFonts w:asciiTheme="minorBidi" w:hAnsiTheme="minorBidi" w:cs="Arial"/>
          <w:color w:val="000000"/>
          <w:rtl/>
        </w:rPr>
        <w:t>ח"א סי' קמד</w:t>
      </w:r>
      <w:r>
        <w:rPr>
          <w:rFonts w:asciiTheme="minorBidi" w:hAnsiTheme="minorBidi" w:cs="Arial" w:hint="cs"/>
          <w:color w:val="000000"/>
          <w:rtl/>
        </w:rPr>
        <w:t>)</w:t>
      </w:r>
      <w:r w:rsidRPr="009F4F07">
        <w:rPr>
          <w:rFonts w:asciiTheme="minorBidi" w:hAnsiTheme="minorBidi" w:cs="Arial"/>
          <w:color w:val="000000"/>
          <w:rtl/>
        </w:rPr>
        <w:t>, משום דאף דאין בזה"ז דין ת"ח ממש, עכ"פ צורבא מרבנן דהיינו בחור חריף ודאי איכא</w:t>
      </w:r>
      <w:r>
        <w:rPr>
          <w:rFonts w:asciiTheme="minorBidi" w:hAnsiTheme="minorBidi" w:cs="Arial" w:hint="cs"/>
          <w:color w:val="000000"/>
          <w:rtl/>
        </w:rPr>
        <w:t>,</w:t>
      </w:r>
      <w:r w:rsidRPr="009F4F07">
        <w:rPr>
          <w:rFonts w:asciiTheme="minorBidi" w:hAnsiTheme="minorBidi" w:cs="Arial"/>
          <w:color w:val="000000"/>
          <w:rtl/>
        </w:rPr>
        <w:t xml:space="preserve"> וכתב שם דה"ה לענין אקדומי שייך נמי בזה"ז, שהרי הטור והשו"ע מדמו אלו הדינים להדדי ע"ש, וכ"פ התומים [סק"א], וכתב דאדרבה בדורות אלו חובה עלינו ביותר לסלסל ולרומם הוגי תורה כו', ע"ש, וכ"כ בנה"מ [משה"כ סק"ב] שכן עיקר. גם בספר ברכ</w:t>
      </w:r>
      <w:r>
        <w:rPr>
          <w:rFonts w:asciiTheme="minorBidi" w:hAnsiTheme="minorBidi" w:cs="Arial" w:hint="cs"/>
          <w:color w:val="000000"/>
          <w:rtl/>
        </w:rPr>
        <w:t>"</w:t>
      </w:r>
      <w:r w:rsidRPr="009F4F07">
        <w:rPr>
          <w:rFonts w:asciiTheme="minorBidi" w:hAnsiTheme="minorBidi" w:cs="Arial"/>
          <w:color w:val="000000"/>
          <w:rtl/>
        </w:rPr>
        <w:t xml:space="preserve">י </w:t>
      </w:r>
      <w:r>
        <w:rPr>
          <w:rFonts w:asciiTheme="minorBidi" w:hAnsiTheme="minorBidi" w:cs="Arial" w:hint="cs"/>
          <w:color w:val="000000"/>
          <w:rtl/>
        </w:rPr>
        <w:t>(</w:t>
      </w:r>
      <w:r w:rsidRPr="009F4F07">
        <w:rPr>
          <w:rFonts w:asciiTheme="minorBidi" w:hAnsiTheme="minorBidi" w:cs="Arial"/>
          <w:color w:val="000000"/>
          <w:rtl/>
        </w:rPr>
        <w:t>אות ג</w:t>
      </w:r>
      <w:r>
        <w:rPr>
          <w:rFonts w:asciiTheme="minorBidi" w:hAnsiTheme="minorBidi" w:cs="Arial" w:hint="cs"/>
          <w:color w:val="000000"/>
          <w:rtl/>
        </w:rPr>
        <w:t>)</w:t>
      </w:r>
      <w:r w:rsidRPr="009F4F07">
        <w:rPr>
          <w:rFonts w:asciiTheme="minorBidi" w:hAnsiTheme="minorBidi" w:cs="Arial"/>
          <w:color w:val="000000"/>
          <w:rtl/>
        </w:rPr>
        <w:t xml:space="preserve"> הביא בשם הגאון מו"ה אורי אשכנזי בביאורו כ"י שחולק על הסמ"ע בזה, וס"ל דגם לת"ח בזמנינו נוהג דין זה. וכתב לחלק, דדוקא בדברים שהם רק לכבודו ולהוציא מאחרים ממון, כגון קנס ליטרא דדהבא ולת"ח ליכא פסידא, או בחשש איסור כגון נדרים, או שלא ידון יחידי שמא יטעה, וכן מ"ש משרבו בתי דינים שאינם הגונים כו', דשמא יוציא ממון מהבע"ד שלא כדין או בטעות וליכא פסידא בזה להת"ח, באלו אמרינן דאין דין ת"ח בזה"ז, משא"כ להפך בזכות ת"ח מצד הדין, וכן בענין מסים ביו"ד סי</w:t>
      </w:r>
      <w:r>
        <w:rPr>
          <w:rFonts w:asciiTheme="minorBidi" w:hAnsiTheme="minorBidi" w:cs="Arial" w:hint="cs"/>
          <w:color w:val="000000"/>
          <w:rtl/>
        </w:rPr>
        <w:t>'</w:t>
      </w:r>
      <w:r w:rsidRPr="009F4F07">
        <w:rPr>
          <w:rFonts w:asciiTheme="minorBidi" w:hAnsiTheme="minorBidi" w:cs="Arial"/>
          <w:color w:val="000000"/>
          <w:rtl/>
        </w:rPr>
        <w:t xml:space="preserve"> רמג [סע</w:t>
      </w:r>
      <w:r>
        <w:rPr>
          <w:rFonts w:asciiTheme="minorBidi" w:hAnsiTheme="minorBidi" w:cs="Arial" w:hint="cs"/>
          <w:color w:val="000000"/>
          <w:rtl/>
        </w:rPr>
        <w:t>'</w:t>
      </w:r>
      <w:r w:rsidRPr="009F4F07">
        <w:rPr>
          <w:rFonts w:asciiTheme="minorBidi" w:hAnsiTheme="minorBidi" w:cs="Arial"/>
          <w:color w:val="000000"/>
          <w:rtl/>
        </w:rPr>
        <w:t xml:space="preserve"> ג], ובדין להחזיר אבידה בטביעת עין לקמן סי</w:t>
      </w:r>
      <w:r>
        <w:rPr>
          <w:rFonts w:asciiTheme="minorBidi" w:hAnsiTheme="minorBidi" w:cs="Arial" w:hint="cs"/>
          <w:color w:val="000000"/>
          <w:rtl/>
        </w:rPr>
        <w:t>'</w:t>
      </w:r>
      <w:r w:rsidRPr="009F4F07">
        <w:rPr>
          <w:rFonts w:asciiTheme="minorBidi" w:hAnsiTheme="minorBidi" w:cs="Arial"/>
          <w:color w:val="000000"/>
          <w:rtl/>
        </w:rPr>
        <w:t xml:space="preserve"> רסב [סע</w:t>
      </w:r>
      <w:r>
        <w:rPr>
          <w:rFonts w:asciiTheme="minorBidi" w:hAnsiTheme="minorBidi" w:cs="Arial" w:hint="cs"/>
          <w:color w:val="000000"/>
          <w:rtl/>
        </w:rPr>
        <w:t>'</w:t>
      </w:r>
      <w:r w:rsidRPr="009F4F07">
        <w:rPr>
          <w:rFonts w:asciiTheme="minorBidi" w:hAnsiTheme="minorBidi" w:cs="Arial"/>
          <w:color w:val="000000"/>
          <w:rtl/>
        </w:rPr>
        <w:t xml:space="preserve"> כא], ובדין אחד מהאחין שעשה במעות האחין סחורה, דבת"ח השכר לעצמו לקמן סי</w:t>
      </w:r>
      <w:r>
        <w:rPr>
          <w:rFonts w:asciiTheme="minorBidi" w:hAnsiTheme="minorBidi" w:cs="Arial" w:hint="cs"/>
          <w:color w:val="000000"/>
          <w:rtl/>
        </w:rPr>
        <w:t>'</w:t>
      </w:r>
      <w:r w:rsidRPr="009F4F07">
        <w:rPr>
          <w:rFonts w:asciiTheme="minorBidi" w:hAnsiTheme="minorBidi" w:cs="Arial"/>
          <w:color w:val="000000"/>
          <w:rtl/>
        </w:rPr>
        <w:t xml:space="preserve"> רפז [סע</w:t>
      </w:r>
      <w:r>
        <w:rPr>
          <w:rFonts w:asciiTheme="minorBidi" w:hAnsiTheme="minorBidi" w:cs="Arial" w:hint="cs"/>
          <w:color w:val="000000"/>
          <w:rtl/>
        </w:rPr>
        <w:t>'</w:t>
      </w:r>
      <w:r w:rsidRPr="009F4F07">
        <w:rPr>
          <w:rFonts w:asciiTheme="minorBidi" w:hAnsiTheme="minorBidi" w:cs="Arial"/>
          <w:color w:val="000000"/>
          <w:rtl/>
        </w:rPr>
        <w:t xml:space="preserve"> ב], באלו מוכח דגם בזה"ז יש אותו דין ת"ח שלא יפסיד הת"ח כו'.</w:t>
      </w:r>
    </w:p>
  </w:footnote>
  <w:footnote w:id="841">
    <w:p w14:paraId="1AA55722" w14:textId="77777777" w:rsidR="0013116F" w:rsidRDefault="0013116F">
      <w:pPr>
        <w:pStyle w:val="a9"/>
        <w:rPr>
          <w:rtl/>
        </w:rPr>
      </w:pPr>
      <w:r>
        <w:rPr>
          <w:rStyle w:val="ab"/>
        </w:rPr>
        <w:footnoteRef/>
      </w:r>
      <w:r>
        <w:rPr>
          <w:rtl/>
        </w:rPr>
        <w:t xml:space="preserve"> </w:t>
      </w:r>
      <w:r>
        <w:rPr>
          <w:rFonts w:hint="cs"/>
          <w:rtl/>
        </w:rPr>
        <w:t xml:space="preserve">סימן </w:t>
      </w:r>
      <w:r>
        <w:rPr>
          <w:rtl/>
        </w:rPr>
        <w:t>–</w:t>
      </w:r>
      <w:r>
        <w:rPr>
          <w:rFonts w:hint="cs"/>
          <w:rtl/>
        </w:rPr>
        <w:t xml:space="preserve"> קודם </w:t>
      </w:r>
      <w:r>
        <w:rPr>
          <w:rFonts w:hint="cs"/>
          <w:sz w:val="16"/>
          <w:szCs w:val="16"/>
          <w:rtl/>
        </w:rPr>
        <w:t xml:space="preserve">{מי ש-} </w:t>
      </w:r>
      <w:r>
        <w:rPr>
          <w:rFonts w:hint="cs"/>
          <w:rtl/>
        </w:rPr>
        <w:t xml:space="preserve">קלקלתה קשה. </w:t>
      </w:r>
    </w:p>
  </w:footnote>
  <w:footnote w:id="842">
    <w:p w14:paraId="540C6C25" w14:textId="77777777" w:rsidR="0013116F" w:rsidRDefault="0013116F">
      <w:pPr>
        <w:pStyle w:val="a9"/>
        <w:rPr>
          <w:rtl/>
        </w:rPr>
      </w:pPr>
      <w:r>
        <w:rPr>
          <w:rStyle w:val="ab"/>
        </w:rPr>
        <w:footnoteRef/>
      </w:r>
      <w:r>
        <w:rPr>
          <w:rtl/>
        </w:rPr>
        <w:t xml:space="preserve"> </w:t>
      </w:r>
      <w:r w:rsidRPr="00A04D0C">
        <w:rPr>
          <w:rFonts w:cs="Arial"/>
          <w:rtl/>
        </w:rPr>
        <w:t>מ"ש שדין היתום קודם לדין האלמנה ודין האלמנה לדין ת"ח וא"כ מכ"ש שדין היתום קודם לדין ת"ח ק</w:t>
      </w:r>
      <w:r>
        <w:rPr>
          <w:rFonts w:cs="Arial" w:hint="cs"/>
          <w:rtl/>
        </w:rPr>
        <w:t xml:space="preserve">שה </w:t>
      </w:r>
      <w:r w:rsidRPr="00A04D0C">
        <w:rPr>
          <w:rFonts w:cs="Arial"/>
          <w:rtl/>
        </w:rPr>
        <w:t>ל</w:t>
      </w:r>
      <w:r>
        <w:rPr>
          <w:rFonts w:cs="Arial" w:hint="cs"/>
          <w:rtl/>
        </w:rPr>
        <w:t>י</w:t>
      </w:r>
      <w:r w:rsidRPr="00A04D0C">
        <w:rPr>
          <w:rFonts w:cs="Arial"/>
          <w:rtl/>
        </w:rPr>
        <w:t xml:space="preserve"> מדאמרינן בשני דייני גזי</w:t>
      </w:r>
      <w:r>
        <w:rPr>
          <w:rFonts w:cs="Arial" w:hint="cs"/>
          <w:rtl/>
        </w:rPr>
        <w:t>ר</w:t>
      </w:r>
      <w:r w:rsidRPr="00A04D0C">
        <w:rPr>
          <w:rFonts w:cs="Arial"/>
          <w:rtl/>
        </w:rPr>
        <w:t xml:space="preserve">ות </w:t>
      </w:r>
      <w:r w:rsidRPr="00D86DE2">
        <w:rPr>
          <w:rFonts w:cs="Arial"/>
          <w:sz w:val="14"/>
          <w:szCs w:val="14"/>
          <w:rtl/>
        </w:rPr>
        <w:t xml:space="preserve">(קה:) </w:t>
      </w:r>
      <w:r w:rsidRPr="00A04D0C">
        <w:rPr>
          <w:rFonts w:cs="Arial"/>
          <w:rtl/>
        </w:rPr>
        <w:t>דרב ענן שדריה לקמיה דר"נ</w:t>
      </w:r>
      <w:r>
        <w:rPr>
          <w:rFonts w:cs="Arial" w:hint="cs"/>
          <w:rtl/>
        </w:rPr>
        <w:t>...</w:t>
      </w:r>
      <w:r w:rsidRPr="00A04D0C">
        <w:rPr>
          <w:rFonts w:cs="Arial"/>
          <w:rtl/>
        </w:rPr>
        <w:t xml:space="preserve"> סלקיה לדינא דיתמי ואחתיה לדיניה וצ"ע</w:t>
      </w:r>
      <w:r>
        <w:rPr>
          <w:rFonts w:cs="Arial" w:hint="cs"/>
          <w:rtl/>
        </w:rPr>
        <w:t>, כסף משנה</w:t>
      </w:r>
      <w:r w:rsidRPr="00A04D0C">
        <w:rPr>
          <w:rFonts w:cs="Arial"/>
          <w:rtl/>
        </w:rPr>
        <w:t xml:space="preserve">. </w:t>
      </w:r>
      <w:r>
        <w:rPr>
          <w:rFonts w:cs="Arial" w:hint="cs"/>
          <w:rtl/>
        </w:rPr>
        <w:t>וגם הדרכ"מ כתב ש</w:t>
      </w:r>
      <w:r w:rsidRPr="00B82919">
        <w:rPr>
          <w:rFonts w:cs="Arial"/>
          <w:rtl/>
        </w:rPr>
        <w:t xml:space="preserve">צ"ע </w:t>
      </w:r>
      <w:r>
        <w:rPr>
          <w:rFonts w:cs="Arial" w:hint="cs"/>
          <w:rtl/>
        </w:rPr>
        <w:t>מ</w:t>
      </w:r>
      <w:r w:rsidRPr="00B82919">
        <w:rPr>
          <w:rFonts w:cs="Arial"/>
          <w:rtl/>
        </w:rPr>
        <w:t>עובדא דרב ענן</w:t>
      </w:r>
      <w:r>
        <w:rPr>
          <w:rFonts w:cs="Arial" w:hint="cs"/>
          <w:rtl/>
        </w:rPr>
        <w:t>.</w:t>
      </w:r>
      <w:r>
        <w:rPr>
          <w:rFonts w:hint="cs"/>
          <w:rtl/>
        </w:rPr>
        <w:t xml:space="preserve"> </w:t>
      </w:r>
      <w:r w:rsidRPr="00EB02D2">
        <w:rPr>
          <w:rFonts w:hint="cs"/>
          <w:u w:val="single"/>
          <w:rtl/>
        </w:rPr>
        <w:t>ותירצו האחרונים</w:t>
      </w:r>
      <w:r>
        <w:rPr>
          <w:rFonts w:hint="cs"/>
          <w:rtl/>
        </w:rPr>
        <w:t>:</w:t>
      </w:r>
    </w:p>
    <w:p w14:paraId="7B9DBB81" w14:textId="77777777" w:rsidR="0013116F" w:rsidRDefault="0013116F" w:rsidP="004B0475">
      <w:pPr>
        <w:pStyle w:val="a9"/>
        <w:numPr>
          <w:ilvl w:val="0"/>
          <w:numId w:val="68"/>
        </w:numPr>
      </w:pPr>
      <w:r>
        <w:rPr>
          <w:rFonts w:hint="cs"/>
          <w:rtl/>
        </w:rPr>
        <w:t xml:space="preserve">ב"י </w:t>
      </w:r>
      <w:r>
        <w:rPr>
          <w:rFonts w:hint="cs"/>
          <w:sz w:val="16"/>
          <w:szCs w:val="16"/>
          <w:rtl/>
        </w:rPr>
        <w:t>(יו"ד סי' רמג ס"ה, כך הבנתי מדבריו)</w:t>
      </w:r>
      <w:r>
        <w:rPr>
          <w:rFonts w:hint="cs"/>
          <w:rtl/>
        </w:rPr>
        <w:t xml:space="preserve">- </w:t>
      </w:r>
      <w:r w:rsidRPr="00DE5928">
        <w:rPr>
          <w:rtl/>
        </w:rPr>
        <w:t>צ"ל דההיא דפרק בתרא דכתובות שני הדינים באו כאחד</w:t>
      </w:r>
      <w:r>
        <w:rPr>
          <w:rFonts w:hint="cs"/>
          <w:rtl/>
        </w:rPr>
        <w:t>.</w:t>
      </w:r>
      <w:r>
        <w:rPr>
          <w:rFonts w:hint="cs"/>
          <w:sz w:val="16"/>
          <w:szCs w:val="16"/>
          <w:rtl/>
        </w:rPr>
        <w:t xml:space="preserve"> </w:t>
      </w:r>
      <w:r>
        <w:rPr>
          <w:rFonts w:hint="cs"/>
          <w:color w:val="FF0000"/>
          <w:sz w:val="16"/>
          <w:szCs w:val="16"/>
          <w:rtl/>
        </w:rPr>
        <w:t>(וצל"ע דלא הבנתי כיצד מיישב את הגמרות עם דברי הרמב"ם)</w:t>
      </w:r>
      <w:r>
        <w:rPr>
          <w:rFonts w:hint="cs"/>
          <w:rtl/>
        </w:rPr>
        <w:t xml:space="preserve"> </w:t>
      </w:r>
    </w:p>
    <w:p w14:paraId="6D2F2B90" w14:textId="77777777" w:rsidR="0013116F" w:rsidRDefault="0013116F" w:rsidP="004B0475">
      <w:pPr>
        <w:pStyle w:val="a9"/>
        <w:numPr>
          <w:ilvl w:val="0"/>
          <w:numId w:val="68"/>
        </w:numPr>
      </w:pPr>
      <w:r>
        <w:rPr>
          <w:rFonts w:hint="cs"/>
          <w:rtl/>
        </w:rPr>
        <w:t xml:space="preserve">פרישה </w:t>
      </w:r>
      <w:r w:rsidRPr="00977E51">
        <w:rPr>
          <w:rFonts w:cs="Arial" w:hint="cs"/>
          <w:sz w:val="16"/>
          <w:szCs w:val="16"/>
          <w:rtl/>
        </w:rPr>
        <w:t>(אות ב ד"ה ודין אלמנה)</w:t>
      </w:r>
      <w:r>
        <w:rPr>
          <w:rFonts w:cs="Arial" w:hint="cs"/>
          <w:rtl/>
        </w:rPr>
        <w:t xml:space="preserve">- </w:t>
      </w:r>
      <w:r w:rsidRPr="00C34057">
        <w:rPr>
          <w:rFonts w:cs="Arial"/>
          <w:rtl/>
        </w:rPr>
        <w:t>אפשר דס"ל להרמב"ם דלאו שפיר עבד רב נחמן וס"ל דמשום הכי כתבה לנו הגמרא שם דאסתתים טענתו דבעל דינו ללמדנו דלאו שפיר קעביד רב נחמן</w:t>
      </w:r>
      <w:r>
        <w:rPr>
          <w:rFonts w:cs="Arial" w:hint="cs"/>
          <w:rtl/>
        </w:rPr>
        <w:t xml:space="preserve">... </w:t>
      </w:r>
      <w:r w:rsidRPr="00C34057">
        <w:rPr>
          <w:rFonts w:cs="Arial"/>
          <w:rtl/>
        </w:rPr>
        <w:t>ורבינו שהביא דברי הרמב"ם מוכח דסבירא ליה כוותיה</w:t>
      </w:r>
      <w:r>
        <w:rPr>
          <w:rFonts w:cs="Arial" w:hint="cs"/>
          <w:rtl/>
        </w:rPr>
        <w:t>.</w:t>
      </w:r>
      <w:r w:rsidRPr="00C34057">
        <w:rPr>
          <w:rFonts w:cs="Arial"/>
          <w:rtl/>
        </w:rPr>
        <w:t xml:space="preserve"> ומ</w:t>
      </w:r>
      <w:r>
        <w:rPr>
          <w:rFonts w:cs="Arial" w:hint="cs"/>
          <w:rtl/>
        </w:rPr>
        <w:t>"</w:t>
      </w:r>
      <w:r w:rsidRPr="00C34057">
        <w:rPr>
          <w:rFonts w:cs="Arial"/>
          <w:rtl/>
        </w:rPr>
        <w:t>מ סבירא ליה לרבינו דיש ללמוד משם ד</w:t>
      </w:r>
      <w:r>
        <w:rPr>
          <w:rFonts w:cs="Arial" w:hint="cs"/>
          <w:rtl/>
        </w:rPr>
        <w:t>ת"</w:t>
      </w:r>
      <w:r w:rsidRPr="00C34057">
        <w:rPr>
          <w:rFonts w:cs="Arial"/>
          <w:rtl/>
        </w:rPr>
        <w:t>ח קודם לאחר אפילו אם בא קודם</w:t>
      </w:r>
      <w:r>
        <w:rPr>
          <w:rFonts w:cs="Arial" w:hint="cs"/>
          <w:rtl/>
        </w:rPr>
        <w:t>,</w:t>
      </w:r>
      <w:r w:rsidRPr="00C34057">
        <w:rPr>
          <w:rFonts w:cs="Arial"/>
          <w:rtl/>
        </w:rPr>
        <w:t xml:space="preserve"> כמ"ש לפני זה.</w:t>
      </w:r>
      <w:r>
        <w:rPr>
          <w:rFonts w:hint="cs"/>
          <w:rtl/>
        </w:rPr>
        <w:t xml:space="preserve"> </w:t>
      </w:r>
    </w:p>
    <w:p w14:paraId="45A71C23" w14:textId="77777777" w:rsidR="0013116F" w:rsidRPr="00EB02D2" w:rsidRDefault="0013116F" w:rsidP="004B0475">
      <w:pPr>
        <w:pStyle w:val="a9"/>
        <w:numPr>
          <w:ilvl w:val="0"/>
          <w:numId w:val="68"/>
        </w:numPr>
      </w:pPr>
      <w:r>
        <w:rPr>
          <w:rFonts w:cs="Arial" w:hint="cs"/>
          <w:color w:val="000000" w:themeColor="text1"/>
          <w:rtl/>
        </w:rPr>
        <w:t xml:space="preserve">ערוה"ש </w:t>
      </w:r>
      <w:r w:rsidRPr="00EB02D2">
        <w:rPr>
          <w:rFonts w:cs="Arial" w:hint="cs"/>
          <w:color w:val="000000" w:themeColor="text1"/>
          <w:sz w:val="14"/>
          <w:szCs w:val="14"/>
          <w:rtl/>
        </w:rPr>
        <w:t>(ה"ב)</w:t>
      </w:r>
      <w:r>
        <w:rPr>
          <w:rFonts w:cs="Arial" w:hint="cs"/>
          <w:color w:val="000000" w:themeColor="text1"/>
          <w:rtl/>
        </w:rPr>
        <w:t xml:space="preserve">- </w:t>
      </w:r>
      <w:r w:rsidRPr="00EB02D2">
        <w:rPr>
          <w:rFonts w:cs="Arial"/>
          <w:color w:val="000000" w:themeColor="text1"/>
          <w:rtl/>
        </w:rPr>
        <w:t>יראה לי שקדימת דין היתום אינו אלא כשבא בעצמו לב"ד דמפני לבו הנשברה מקדימין אותו אבל אם אפטרופוס שלו בא אינו בדין זה כלל</w:t>
      </w:r>
      <w:r>
        <w:rPr>
          <w:rFonts w:cs="Arial" w:hint="cs"/>
          <w:color w:val="000000" w:themeColor="text1"/>
          <w:rtl/>
        </w:rPr>
        <w:t>,</w:t>
      </w:r>
      <w:r w:rsidRPr="00EB02D2">
        <w:rPr>
          <w:rFonts w:cs="Arial"/>
          <w:color w:val="000000" w:themeColor="text1"/>
          <w:rtl/>
        </w:rPr>
        <w:t xml:space="preserve"> וכן באלמנה</w:t>
      </w:r>
      <w:r>
        <w:rPr>
          <w:rFonts w:cs="Arial" w:hint="cs"/>
          <w:color w:val="000000" w:themeColor="text1"/>
          <w:rtl/>
        </w:rPr>
        <w:t>.</w:t>
      </w:r>
      <w:r w:rsidRPr="00EB02D2">
        <w:rPr>
          <w:rFonts w:cs="Arial"/>
          <w:color w:val="000000" w:themeColor="text1"/>
          <w:rtl/>
        </w:rPr>
        <w:t xml:space="preserve"> ולא דמי לת"ח דכבוד תורה יש אף כשאינו בעצמו בכאן דמצוה לכבד לומדי תורה אף שלא בפניהם</w:t>
      </w:r>
      <w:r>
        <w:rPr>
          <w:rFonts w:cs="Arial" w:hint="cs"/>
          <w:color w:val="000000" w:themeColor="text1"/>
          <w:rtl/>
        </w:rPr>
        <w:t>,</w:t>
      </w:r>
      <w:r w:rsidRPr="00EB02D2">
        <w:rPr>
          <w:rFonts w:cs="Arial"/>
          <w:color w:val="000000" w:themeColor="text1"/>
          <w:rtl/>
        </w:rPr>
        <w:t xml:space="preserve"> משא"כ יתום ואלמנה דקדימתם הוא משום מצבם ולבם הנשברה דאין זה רק בפניהם</w:t>
      </w:r>
      <w:r>
        <w:rPr>
          <w:rFonts w:cs="Arial" w:hint="cs"/>
          <w:color w:val="000000" w:themeColor="text1"/>
          <w:rtl/>
        </w:rPr>
        <w:t>.</w:t>
      </w:r>
      <w:r w:rsidRPr="00EB02D2">
        <w:rPr>
          <w:rFonts w:cs="Arial"/>
          <w:color w:val="000000" w:themeColor="text1"/>
          <w:rtl/>
        </w:rPr>
        <w:t xml:space="preserve"> ואתי שפיר מה שהקשו מדר</w:t>
      </w:r>
      <w:r>
        <w:rPr>
          <w:rFonts w:cs="Arial" w:hint="cs"/>
          <w:color w:val="000000" w:themeColor="text1"/>
          <w:rtl/>
        </w:rPr>
        <w:t xml:space="preserve">ב </w:t>
      </w:r>
      <w:r w:rsidRPr="00EB02D2">
        <w:rPr>
          <w:rFonts w:cs="Arial"/>
          <w:color w:val="000000" w:themeColor="text1"/>
          <w:rtl/>
        </w:rPr>
        <w:t>ע</w:t>
      </w:r>
      <w:r>
        <w:rPr>
          <w:rFonts w:cs="Arial" w:hint="cs"/>
          <w:color w:val="000000" w:themeColor="text1"/>
          <w:rtl/>
        </w:rPr>
        <w:t>נן</w:t>
      </w:r>
      <w:r w:rsidRPr="00EB02D2">
        <w:rPr>
          <w:rFonts w:cs="Arial"/>
          <w:color w:val="000000" w:themeColor="text1"/>
          <w:rtl/>
        </w:rPr>
        <w:t xml:space="preserve"> שם דאחתי' לדינא דיתמי</w:t>
      </w:r>
      <w:r>
        <w:rPr>
          <w:rFonts w:cs="Arial" w:hint="cs"/>
          <w:color w:val="000000" w:themeColor="text1"/>
          <w:rtl/>
        </w:rPr>
        <w:t>.</w:t>
      </w:r>
    </w:p>
    <w:p w14:paraId="36EF490D" w14:textId="77777777" w:rsidR="0013116F" w:rsidRDefault="0013116F" w:rsidP="004B0475">
      <w:pPr>
        <w:pStyle w:val="a9"/>
        <w:numPr>
          <w:ilvl w:val="0"/>
          <w:numId w:val="68"/>
        </w:numPr>
      </w:pPr>
      <w:r w:rsidRPr="00D86DE2">
        <w:rPr>
          <w:rFonts w:hint="cs"/>
          <w:color w:val="000000" w:themeColor="text1"/>
          <w:rtl/>
        </w:rPr>
        <w:t>הרב יעקב יוסף</w:t>
      </w:r>
      <w:r>
        <w:rPr>
          <w:rFonts w:hint="cs"/>
          <w:color w:val="000000" w:themeColor="text1"/>
          <w:rtl/>
        </w:rPr>
        <w:t>-</w:t>
      </w:r>
      <w:r w:rsidRPr="00D86DE2">
        <w:rPr>
          <w:rFonts w:hint="cs"/>
          <w:color w:val="000000" w:themeColor="text1"/>
          <w:rtl/>
        </w:rPr>
        <w:t xml:space="preserve"> זה שדין ת"ח קודם לכולם הוא כשבאו אחד אחד דהיינו או יתום או אלמנה, אך אם שניהם שם וגם ת"ח נמצא שם אז הולכים לפי הסדר, יתום אלמנה ואז ת"ח</w:t>
      </w:r>
      <w:r>
        <w:rPr>
          <w:rFonts w:hint="cs"/>
          <w:color w:val="000000" w:themeColor="text1"/>
          <w:rtl/>
        </w:rPr>
        <w:t>.</w:t>
      </w:r>
      <w:r w:rsidRPr="00D86DE2">
        <w:rPr>
          <w:rFonts w:hint="cs"/>
          <w:color w:val="000000" w:themeColor="text1"/>
          <w:rtl/>
        </w:rPr>
        <w:t xml:space="preserve"> </w:t>
      </w:r>
      <w:r w:rsidRPr="00EB02D2">
        <w:rPr>
          <w:rFonts w:hint="cs"/>
          <w:color w:val="FF0000"/>
          <w:sz w:val="16"/>
          <w:szCs w:val="16"/>
          <w:rtl/>
        </w:rPr>
        <w:t>(וצל"ע מהיכן חילק בכך)</w:t>
      </w:r>
    </w:p>
  </w:footnote>
  <w:footnote w:id="843">
    <w:p w14:paraId="14D24580" w14:textId="77777777" w:rsidR="0013116F" w:rsidRDefault="0013116F">
      <w:pPr>
        <w:pStyle w:val="a9"/>
      </w:pPr>
      <w:r>
        <w:rPr>
          <w:rStyle w:val="ab"/>
        </w:rPr>
        <w:footnoteRef/>
      </w:r>
      <w:r>
        <w:rPr>
          <w:rtl/>
        </w:rPr>
        <w:t xml:space="preserve"> </w:t>
      </w:r>
      <w:r>
        <w:rPr>
          <w:rFonts w:hint="cs"/>
          <w:rtl/>
        </w:rPr>
        <w:t xml:space="preserve">סימן </w:t>
      </w:r>
      <w:r>
        <w:rPr>
          <w:rtl/>
        </w:rPr>
        <w:t>–</w:t>
      </w:r>
      <w:r>
        <w:rPr>
          <w:rFonts w:hint="cs"/>
          <w:rtl/>
        </w:rPr>
        <w:t xml:space="preserve"> לפעמים בודקים.</w:t>
      </w:r>
    </w:p>
  </w:footnote>
  <w:footnote w:id="844">
    <w:p w14:paraId="61C107CE" w14:textId="77777777" w:rsidR="0013116F" w:rsidRDefault="0013116F">
      <w:pPr>
        <w:pStyle w:val="a9"/>
      </w:pPr>
      <w:r>
        <w:rPr>
          <w:rStyle w:val="ab"/>
        </w:rPr>
        <w:footnoteRef/>
      </w:r>
      <w:r>
        <w:rPr>
          <w:rtl/>
        </w:rPr>
        <w:t xml:space="preserve"> </w:t>
      </w:r>
      <w:r w:rsidRPr="00DC14C0">
        <w:rPr>
          <w:rFonts w:cs="Arial"/>
          <w:rtl/>
        </w:rPr>
        <w:t>אמר שמא איחרוהו מכדי דרישה וחקירה לאכחושי קא אתיא, והיכא דקא מיתכחשו קמן ניקו אנן מתרצינן למילתייהו בשמא</w:t>
      </w:r>
      <w:r>
        <w:rPr>
          <w:rFonts w:cs="Arial" w:hint="cs"/>
          <w:rtl/>
        </w:rPr>
        <w:t>, רש"י</w:t>
      </w:r>
      <w:r w:rsidRPr="00DC14C0">
        <w:rPr>
          <w:rFonts w:cs="Arial"/>
          <w:rtl/>
        </w:rPr>
        <w:t>.</w:t>
      </w:r>
    </w:p>
  </w:footnote>
  <w:footnote w:id="845">
    <w:p w14:paraId="45554E8A" w14:textId="77777777" w:rsidR="0013116F" w:rsidRDefault="0013116F" w:rsidP="00BE4ABD">
      <w:pPr>
        <w:pStyle w:val="a9"/>
        <w:rPr>
          <w:rtl/>
        </w:rPr>
      </w:pPr>
      <w:r>
        <w:rPr>
          <w:rStyle w:val="ab"/>
        </w:rPr>
        <w:footnoteRef/>
      </w:r>
      <w:r>
        <w:rPr>
          <w:rtl/>
        </w:rPr>
        <w:t xml:space="preserve"> </w:t>
      </w:r>
      <w:r w:rsidRPr="00CF3B0B">
        <w:rPr>
          <w:rFonts w:cs="Arial"/>
          <w:rtl/>
        </w:rPr>
        <w:t>שבית דין מכירין בתובע זה שהוא רמאי, או מבינים טענת רמאי בדבריו</w:t>
      </w:r>
      <w:r>
        <w:rPr>
          <w:rFonts w:cs="Arial" w:hint="cs"/>
          <w:rtl/>
        </w:rPr>
        <w:t>, רש"י</w:t>
      </w:r>
      <w:r w:rsidRPr="00CF3B0B">
        <w:rPr>
          <w:rFonts w:cs="Arial"/>
          <w:rtl/>
        </w:rPr>
        <w:t>.</w:t>
      </w:r>
      <w:r w:rsidRPr="00272A98">
        <w:rPr>
          <w:rtl/>
        </w:rPr>
        <w:t xml:space="preserve"> </w:t>
      </w:r>
      <w:r>
        <w:rPr>
          <w:rFonts w:cs="Arial" w:hint="cs"/>
          <w:rtl/>
        </w:rPr>
        <w:t>אבל ל</w:t>
      </w:r>
      <w:r w:rsidRPr="00272A98">
        <w:rPr>
          <w:rFonts w:cs="Arial"/>
          <w:rtl/>
        </w:rPr>
        <w:t>א שיודעים בו שהוא מרומה דא"כ אין לדונו כלל כדדרשינן בפרק שבועות העדות (שבועות ל:) מדבר שקר תרחק</w:t>
      </w:r>
      <w:r>
        <w:rPr>
          <w:rFonts w:cs="Arial" w:hint="cs"/>
          <w:rtl/>
        </w:rPr>
        <w:t>, תוס' (ד"ה כאן בדין מרומה)</w:t>
      </w:r>
      <w:r w:rsidRPr="00272A98">
        <w:rPr>
          <w:rFonts w:cs="Arial"/>
          <w:rtl/>
        </w:rPr>
        <w:t>.</w:t>
      </w:r>
    </w:p>
  </w:footnote>
  <w:footnote w:id="846">
    <w:p w14:paraId="74B2E2C4" w14:textId="77777777" w:rsidR="0013116F" w:rsidRDefault="0013116F" w:rsidP="00BE4ABD">
      <w:pPr>
        <w:pStyle w:val="a9"/>
      </w:pPr>
      <w:r>
        <w:rPr>
          <w:rStyle w:val="ab"/>
        </w:rPr>
        <w:footnoteRef/>
      </w:r>
      <w:r>
        <w:rPr>
          <w:rtl/>
        </w:rPr>
        <w:t xml:space="preserve"> </w:t>
      </w:r>
      <w:r w:rsidRPr="00CF3B0B">
        <w:rPr>
          <w:rFonts w:cs="Arial"/>
          <w:rtl/>
        </w:rPr>
        <w:t xml:space="preserve">ולא כתיב </w:t>
      </w:r>
      <w:r>
        <w:rPr>
          <w:rFonts w:cs="Arial" w:hint="cs"/>
          <w:rtl/>
        </w:rPr>
        <w:t>'</w:t>
      </w:r>
      <w:r w:rsidRPr="00CF3B0B">
        <w:rPr>
          <w:rFonts w:cs="Arial"/>
          <w:rtl/>
        </w:rPr>
        <w:t>בצדק צדק</w:t>
      </w:r>
      <w:r>
        <w:rPr>
          <w:rFonts w:cs="Arial" w:hint="cs"/>
          <w:rtl/>
        </w:rPr>
        <w:t>'</w:t>
      </w:r>
      <w:r w:rsidRPr="00CF3B0B">
        <w:rPr>
          <w:rFonts w:cs="Arial"/>
          <w:rtl/>
        </w:rPr>
        <w:t xml:space="preserve"> להזהיר בית דין לדקדק בו כל כך לדרוש ולחקור</w:t>
      </w:r>
      <w:r>
        <w:rPr>
          <w:rFonts w:cs="Arial" w:hint="cs"/>
          <w:rtl/>
        </w:rPr>
        <w:t>, רש"י</w:t>
      </w:r>
      <w:r w:rsidRPr="00CF3B0B">
        <w:rPr>
          <w:rFonts w:cs="Arial"/>
          <w:rtl/>
        </w:rPr>
        <w:t>.</w:t>
      </w:r>
      <w:r>
        <w:rPr>
          <w:rFonts w:hint="cs"/>
          <w:rtl/>
        </w:rPr>
        <w:t xml:space="preserve"> היינו שאם היה כתוב 'בצדק צדק תשפוט' היינו מבינים שצריך דרישה וחקירה תמיד.</w:t>
      </w:r>
    </w:p>
  </w:footnote>
  <w:footnote w:id="847">
    <w:p w14:paraId="0DB262DB" w14:textId="77777777" w:rsidR="0013116F" w:rsidRDefault="0013116F">
      <w:pPr>
        <w:pStyle w:val="a9"/>
      </w:pPr>
      <w:r>
        <w:rPr>
          <w:rStyle w:val="ab"/>
        </w:rPr>
        <w:footnoteRef/>
      </w:r>
      <w:r>
        <w:rPr>
          <w:rtl/>
        </w:rPr>
        <w:t xml:space="preserve"> </w:t>
      </w:r>
      <w:r>
        <w:rPr>
          <w:rFonts w:hint="cs"/>
          <w:rtl/>
        </w:rPr>
        <w:t xml:space="preserve">סימן </w:t>
      </w:r>
      <w:r>
        <w:rPr>
          <w:rtl/>
        </w:rPr>
        <w:t>–</w:t>
      </w:r>
      <w:r>
        <w:rPr>
          <w:rFonts w:hint="cs"/>
          <w:rtl/>
        </w:rPr>
        <w:t xml:space="preserve"> לא לוותר לרמאי.</w:t>
      </w:r>
    </w:p>
  </w:footnote>
  <w:footnote w:id="848">
    <w:p w14:paraId="0F872389" w14:textId="77777777" w:rsidR="0013116F" w:rsidRDefault="0013116F">
      <w:pPr>
        <w:pStyle w:val="a9"/>
      </w:pPr>
      <w:r>
        <w:rPr>
          <w:rStyle w:val="ab"/>
        </w:rPr>
        <w:footnoteRef/>
      </w:r>
      <w:r>
        <w:rPr>
          <w:rtl/>
        </w:rPr>
        <w:t xml:space="preserve"> </w:t>
      </w:r>
      <w:r>
        <w:rPr>
          <w:rFonts w:cs="Arial" w:hint="cs"/>
          <w:rtl/>
        </w:rPr>
        <w:t>אע"ג</w:t>
      </w:r>
      <w:r w:rsidRPr="0000353D">
        <w:rPr>
          <w:rFonts w:cs="Arial"/>
          <w:rtl/>
        </w:rPr>
        <w:t xml:space="preserve"> דעדים החתומים בשטר הוה כמי שנחקרה עדותן בב"ד דמי ועיי"ש</w:t>
      </w:r>
      <w:r>
        <w:rPr>
          <w:rFonts w:cs="Arial" w:hint="cs"/>
          <w:rtl/>
        </w:rPr>
        <w:t>,</w:t>
      </w:r>
      <w:r w:rsidRPr="00602CD7">
        <w:rPr>
          <w:rFonts w:cs="Arial"/>
          <w:rtl/>
        </w:rPr>
        <w:t xml:space="preserve"> </w:t>
      </w:r>
      <w:r>
        <w:rPr>
          <w:rFonts w:cs="Arial" w:hint="cs"/>
          <w:rtl/>
        </w:rPr>
        <w:t xml:space="preserve">דרכ"מ </w:t>
      </w:r>
      <w:r w:rsidRPr="0000353D">
        <w:rPr>
          <w:rFonts w:cs="Arial"/>
          <w:rtl/>
        </w:rPr>
        <w:t>(</w:t>
      </w:r>
      <w:r>
        <w:rPr>
          <w:rFonts w:cs="Arial" w:hint="cs"/>
          <w:rtl/>
        </w:rPr>
        <w:t xml:space="preserve">אות </w:t>
      </w:r>
      <w:r w:rsidRPr="0000353D">
        <w:rPr>
          <w:rFonts w:cs="Arial"/>
          <w:rtl/>
        </w:rPr>
        <w:t>ב*)</w:t>
      </w:r>
      <w:r>
        <w:rPr>
          <w:rFonts w:cs="Arial" w:hint="cs"/>
          <w:rtl/>
        </w:rPr>
        <w:t>.</w:t>
      </w:r>
    </w:p>
  </w:footnote>
  <w:footnote w:id="849">
    <w:p w14:paraId="4E6AE62E" w14:textId="77777777" w:rsidR="0013116F" w:rsidRDefault="0013116F">
      <w:pPr>
        <w:pStyle w:val="a9"/>
        <w:rPr>
          <w:rtl/>
        </w:rPr>
      </w:pPr>
      <w:r>
        <w:rPr>
          <w:rStyle w:val="ab"/>
        </w:rPr>
        <w:footnoteRef/>
      </w:r>
      <w:r>
        <w:rPr>
          <w:rtl/>
        </w:rPr>
        <w:t xml:space="preserve"> </w:t>
      </w:r>
      <w:r w:rsidRPr="0000353D">
        <w:rPr>
          <w:rFonts w:cs="Arial"/>
          <w:rtl/>
        </w:rPr>
        <w:t>עיין בתשובת הרא"ש (כלל סח סי' כג) שכתב רבינו בסימן ס"ה (ס"כ - כב) ובתשובה (חזה התנופה סי' נא) שכתב סימן ע"א (סכ"א) ועיין עוד בתשובת הנז' ראש כלל פ"ו (סי' א) וכתבם רבינו בסימן צ"א (ס"ו). ועיין בכתבי מה"ר איסרלן סי</w:t>
      </w:r>
      <w:r>
        <w:rPr>
          <w:rFonts w:cs="Arial" w:hint="cs"/>
          <w:rtl/>
        </w:rPr>
        <w:t>'</w:t>
      </w:r>
      <w:r w:rsidRPr="0000353D">
        <w:rPr>
          <w:rFonts w:cs="Arial"/>
          <w:rtl/>
        </w:rPr>
        <w:t xml:space="preserve"> ר"ס ורס"א</w:t>
      </w:r>
      <w:r>
        <w:rPr>
          <w:rFonts w:hint="cs"/>
          <w:rtl/>
        </w:rPr>
        <w:t>, ב"י.</w:t>
      </w:r>
    </w:p>
  </w:footnote>
  <w:footnote w:id="850">
    <w:p w14:paraId="760D6161" w14:textId="77777777" w:rsidR="0013116F" w:rsidRDefault="0013116F">
      <w:pPr>
        <w:pStyle w:val="a9"/>
        <w:rPr>
          <w:rtl/>
        </w:rPr>
      </w:pPr>
      <w:r>
        <w:rPr>
          <w:rStyle w:val="ab"/>
        </w:rPr>
        <w:footnoteRef/>
      </w:r>
      <w:r>
        <w:rPr>
          <w:rtl/>
        </w:rPr>
        <w:t xml:space="preserve"> </w:t>
      </w:r>
      <w:r w:rsidRPr="00263239">
        <w:rPr>
          <w:rFonts w:asciiTheme="minorBidi" w:hAnsiTheme="minorBidi" w:cs="Arial" w:hint="cs"/>
          <w:color w:val="000000"/>
          <w:rtl/>
        </w:rPr>
        <w:t xml:space="preserve">וכתב הסמ"ע </w:t>
      </w:r>
      <w:r w:rsidRPr="005274D1">
        <w:rPr>
          <w:rFonts w:asciiTheme="minorBidi" w:hAnsiTheme="minorBidi" w:cs="Arial" w:hint="cs"/>
          <w:color w:val="000000"/>
          <w:sz w:val="16"/>
          <w:szCs w:val="16"/>
          <w:rtl/>
        </w:rPr>
        <w:t>(סק"</w:t>
      </w:r>
      <w:r w:rsidRPr="005274D1">
        <w:rPr>
          <w:rFonts w:asciiTheme="minorBidi" w:hAnsiTheme="minorBidi" w:cs="Arial"/>
          <w:color w:val="000000"/>
          <w:sz w:val="16"/>
          <w:szCs w:val="16"/>
          <w:rtl/>
        </w:rPr>
        <w:t>ט</w:t>
      </w:r>
      <w:r w:rsidRPr="005274D1">
        <w:rPr>
          <w:rFonts w:asciiTheme="minorBidi" w:hAnsiTheme="minorBidi" w:cs="Arial" w:hint="cs"/>
          <w:color w:val="000000"/>
          <w:sz w:val="16"/>
          <w:szCs w:val="16"/>
          <w:rtl/>
        </w:rPr>
        <w:t xml:space="preserve">, </w:t>
      </w:r>
      <w:r w:rsidRPr="005274D1">
        <w:rPr>
          <w:rFonts w:asciiTheme="minorBidi" w:hAnsiTheme="minorBidi" w:cs="Arial"/>
          <w:color w:val="000000"/>
          <w:sz w:val="16"/>
          <w:szCs w:val="16"/>
          <w:rtl/>
        </w:rPr>
        <w:t>עיין דרישה [סע</w:t>
      </w:r>
      <w:r>
        <w:rPr>
          <w:rFonts w:asciiTheme="minorBidi" w:hAnsiTheme="minorBidi" w:cs="Arial" w:hint="cs"/>
          <w:color w:val="000000"/>
          <w:sz w:val="16"/>
          <w:szCs w:val="16"/>
          <w:rtl/>
        </w:rPr>
        <w:t>'</w:t>
      </w:r>
      <w:r w:rsidRPr="005274D1">
        <w:rPr>
          <w:rFonts w:asciiTheme="minorBidi" w:hAnsiTheme="minorBidi" w:cs="Arial"/>
          <w:color w:val="000000"/>
          <w:sz w:val="16"/>
          <w:szCs w:val="16"/>
          <w:rtl/>
        </w:rPr>
        <w:t xml:space="preserve"> ג] </w:t>
      </w:r>
      <w:r>
        <w:rPr>
          <w:rFonts w:asciiTheme="minorBidi" w:hAnsiTheme="minorBidi" w:cs="Arial" w:hint="cs"/>
          <w:color w:val="000000"/>
          <w:sz w:val="16"/>
          <w:szCs w:val="16"/>
          <w:rtl/>
        </w:rPr>
        <w:t>ד</w:t>
      </w:r>
      <w:r w:rsidRPr="005274D1">
        <w:rPr>
          <w:rFonts w:asciiTheme="minorBidi" w:hAnsiTheme="minorBidi" w:cs="Arial"/>
          <w:color w:val="000000"/>
          <w:sz w:val="16"/>
          <w:szCs w:val="16"/>
          <w:rtl/>
        </w:rPr>
        <w:t xml:space="preserve">שם כתב </w:t>
      </w:r>
      <w:r>
        <w:rPr>
          <w:rFonts w:asciiTheme="minorBidi" w:hAnsiTheme="minorBidi" w:cs="Arial" w:hint="cs"/>
          <w:color w:val="000000"/>
          <w:sz w:val="16"/>
          <w:szCs w:val="16"/>
          <w:rtl/>
        </w:rPr>
        <w:t xml:space="preserve">הסמ"ע </w:t>
      </w:r>
      <w:r w:rsidRPr="005274D1">
        <w:rPr>
          <w:rFonts w:asciiTheme="minorBidi" w:hAnsiTheme="minorBidi" w:cs="Arial"/>
          <w:color w:val="000000"/>
          <w:sz w:val="16"/>
          <w:szCs w:val="16"/>
          <w:rtl/>
        </w:rPr>
        <w:t>דהרמב"ם לא כתב חילוק בין דין מרומה דתובע לדין מרומה דנתבע, ואדרבה משמע ומוכח מדבריו דס"ל דדין שניהם שוה, ולא כמהר"ם [מרדכי פ"ד סי' תשי] ורא"ש [סנהדרין פ"א סי' א] שכתבו שחילקו ביניהן, ולא כהמחבר שכתב בספרו ב"י [סע</w:t>
      </w:r>
      <w:r>
        <w:rPr>
          <w:rFonts w:asciiTheme="minorBidi" w:hAnsiTheme="minorBidi" w:cs="Arial" w:hint="cs"/>
          <w:color w:val="000000"/>
          <w:sz w:val="16"/>
          <w:szCs w:val="16"/>
          <w:rtl/>
        </w:rPr>
        <w:t>'</w:t>
      </w:r>
      <w:r w:rsidRPr="005274D1">
        <w:rPr>
          <w:rFonts w:asciiTheme="minorBidi" w:hAnsiTheme="minorBidi" w:cs="Arial"/>
          <w:color w:val="000000"/>
          <w:sz w:val="16"/>
          <w:szCs w:val="16"/>
          <w:rtl/>
        </w:rPr>
        <w:t xml:space="preserve"> ג] שדברי הרמב"ם והטור שוים הם, וגם כאן בשו"ע התחיל וכתב דברי הרמב"ם, וסיים בסעיף שאחר זה כדברי הרא"ש והטור שחילקו בין תובע לנתבע</w:t>
      </w:r>
      <w:r w:rsidRPr="005274D1">
        <w:rPr>
          <w:rFonts w:asciiTheme="minorBidi" w:hAnsiTheme="minorBidi" w:cs="Arial" w:hint="cs"/>
          <w:color w:val="000000"/>
          <w:sz w:val="16"/>
          <w:szCs w:val="16"/>
          <w:rtl/>
        </w:rPr>
        <w:t>...</w:t>
      </w:r>
      <w:r w:rsidRPr="005274D1">
        <w:rPr>
          <w:sz w:val="16"/>
          <w:szCs w:val="16"/>
          <w:rtl/>
        </w:rPr>
        <w:t xml:space="preserve"> </w:t>
      </w:r>
      <w:r w:rsidRPr="005274D1">
        <w:rPr>
          <w:rFonts w:hint="cs"/>
          <w:sz w:val="12"/>
          <w:szCs w:val="12"/>
          <w:rtl/>
        </w:rPr>
        <w:t>(וכתב עוד הסמ"ע [סק</w:t>
      </w:r>
      <w:r w:rsidRPr="005274D1">
        <w:rPr>
          <w:rFonts w:asciiTheme="minorBidi" w:hAnsiTheme="minorBidi" w:cs="Arial"/>
          <w:sz w:val="12"/>
          <w:szCs w:val="12"/>
          <w:rtl/>
        </w:rPr>
        <w:t>י</w:t>
      </w:r>
      <w:r w:rsidRPr="005274D1">
        <w:rPr>
          <w:rFonts w:asciiTheme="minorBidi" w:hAnsiTheme="minorBidi" w:cs="Arial" w:hint="cs"/>
          <w:sz w:val="12"/>
          <w:szCs w:val="12"/>
          <w:rtl/>
        </w:rPr>
        <w:t>"</w:t>
      </w:r>
      <w:r w:rsidRPr="005274D1">
        <w:rPr>
          <w:rFonts w:asciiTheme="minorBidi" w:hAnsiTheme="minorBidi" w:cs="Arial"/>
          <w:sz w:val="12"/>
          <w:szCs w:val="12"/>
          <w:rtl/>
        </w:rPr>
        <w:t>ב]</w:t>
      </w:r>
      <w:r w:rsidRPr="005274D1">
        <w:rPr>
          <w:rFonts w:asciiTheme="minorBidi" w:hAnsiTheme="minorBidi" w:cs="Arial" w:hint="cs"/>
          <w:sz w:val="12"/>
          <w:szCs w:val="12"/>
          <w:rtl/>
        </w:rPr>
        <w:t>)</w:t>
      </w:r>
      <w:r w:rsidRPr="005274D1">
        <w:rPr>
          <w:rFonts w:asciiTheme="minorBidi" w:hAnsiTheme="minorBidi" w:cs="Arial"/>
          <w:color w:val="000000"/>
          <w:sz w:val="16"/>
          <w:szCs w:val="16"/>
          <w:rtl/>
        </w:rPr>
        <w:t xml:space="preserve"> </w:t>
      </w:r>
      <w:r w:rsidRPr="005274D1">
        <w:rPr>
          <w:rFonts w:asciiTheme="minorBidi" w:hAnsiTheme="minorBidi" w:cs="Arial" w:hint="cs"/>
          <w:color w:val="000000"/>
          <w:sz w:val="16"/>
          <w:szCs w:val="16"/>
          <w:rtl/>
        </w:rPr>
        <w:t>ו</w:t>
      </w:r>
      <w:r w:rsidRPr="005274D1">
        <w:rPr>
          <w:rFonts w:asciiTheme="minorBidi" w:hAnsiTheme="minorBidi" w:cs="Arial"/>
          <w:color w:val="000000"/>
          <w:sz w:val="16"/>
          <w:szCs w:val="16"/>
          <w:rtl/>
        </w:rPr>
        <w:t>לפי מ"ש [סק"ט] שהרמב"ם לא סבירא ליה כהרא"ש והטור, נראה שגם בזה המה מחולקים, דלהרמב"ם לא יתן כתוב להנתבע דשום דיין לא יתעסק בדין זה</w:t>
      </w:r>
      <w:r w:rsidRPr="005274D1">
        <w:rPr>
          <w:rFonts w:asciiTheme="minorBidi" w:hAnsiTheme="minorBidi" w:cs="Arial" w:hint="cs"/>
          <w:color w:val="000000"/>
          <w:sz w:val="16"/>
          <w:szCs w:val="16"/>
          <w:rtl/>
        </w:rPr>
        <w:t>,</w:t>
      </w:r>
      <w:r w:rsidRPr="005274D1">
        <w:rPr>
          <w:rFonts w:asciiTheme="minorBidi" w:hAnsiTheme="minorBidi" w:cs="Arial"/>
          <w:color w:val="000000"/>
          <w:sz w:val="16"/>
          <w:szCs w:val="16"/>
          <w:rtl/>
        </w:rPr>
        <w:t xml:space="preserve"> דלהרמב"ם אין הדרישה באה להיות יודע אם הוא רמאי, דהא ביודע מתחילה שהוא רמאי איירי, והדרישה אינה אלא לבטל הרמאות, ומשו"ה אף אם דיין זה אינו יכול לעמוד על הדבר בדרישה וחקירה ולבטלה, מ"מ יש לומר דאחרים ידרשו או יוודעו יותר על פי דרישתן וחקירתן, ומשו"ה כתב בנוסחאות להרמב"ם וידונו מי שלבו שלם בדבר. משא"כ הטור שנמשך אחר דברי הרא"ש וס"ל דהדרישה היא להוודע אם התובע הוא רמאי, וכשיוודע שהוא רמאי ס"ל דצריך לסלק מדינא, בזה אין חילוק בין האי דינא לאחר, ומשו"ה כתב הטור וידיננו מלכו של עולם. </w:t>
      </w:r>
      <w:r>
        <w:rPr>
          <w:rFonts w:asciiTheme="minorBidi" w:hAnsiTheme="minorBidi" w:cs="Arial" w:hint="cs"/>
          <w:color w:val="000000"/>
          <w:sz w:val="16"/>
          <w:szCs w:val="16"/>
          <w:rtl/>
        </w:rPr>
        <w:t>אך-)</w:t>
      </w:r>
      <w:r>
        <w:rPr>
          <w:rFonts w:asciiTheme="minorBidi" w:hAnsiTheme="minorBidi" w:cs="Arial" w:hint="cs"/>
          <w:color w:val="000000"/>
          <w:rtl/>
        </w:rPr>
        <w:t xml:space="preserve"> </w:t>
      </w:r>
      <w:r w:rsidRPr="00263239">
        <w:rPr>
          <w:rFonts w:asciiTheme="minorBidi" w:hAnsiTheme="minorBidi" w:cs="Arial"/>
          <w:color w:val="000000"/>
          <w:rtl/>
        </w:rPr>
        <w:t xml:space="preserve">המחבר שכתב </w:t>
      </w:r>
      <w:r>
        <w:rPr>
          <w:rFonts w:asciiTheme="minorBidi" w:hAnsiTheme="minorBidi" w:cs="Arial" w:hint="cs"/>
          <w:color w:val="000000"/>
          <w:rtl/>
        </w:rPr>
        <w:t>'</w:t>
      </w:r>
      <w:r w:rsidRPr="00263239">
        <w:rPr>
          <w:rFonts w:asciiTheme="minorBidi" w:hAnsiTheme="minorBidi" w:cs="Arial"/>
          <w:color w:val="000000"/>
          <w:rtl/>
        </w:rPr>
        <w:t>וידיננו מי שלבו שלם בדבר</w:t>
      </w:r>
      <w:r>
        <w:rPr>
          <w:rFonts w:asciiTheme="minorBidi" w:hAnsiTheme="minorBidi" w:cs="Arial" w:hint="cs"/>
          <w:color w:val="000000"/>
          <w:rtl/>
        </w:rPr>
        <w:t>'</w:t>
      </w:r>
      <w:r w:rsidRPr="00263239">
        <w:rPr>
          <w:rFonts w:asciiTheme="minorBidi" w:hAnsiTheme="minorBidi" w:cs="Arial"/>
          <w:color w:val="000000"/>
          <w:rtl/>
        </w:rPr>
        <w:t>, וכתב עליו מנהג הרא"ש, נראין דהן כשני דברים שסותרין זה את זה</w:t>
      </w:r>
      <w:r>
        <w:rPr>
          <w:rFonts w:hint="cs"/>
          <w:rtl/>
        </w:rPr>
        <w:t>.</w:t>
      </w:r>
      <w:r w:rsidRPr="005274D1">
        <w:rPr>
          <w:rFonts w:asciiTheme="minorBidi" w:hAnsiTheme="minorBidi" w:cs="Arial" w:hint="cs"/>
          <w:color w:val="000000"/>
          <w:rtl/>
        </w:rPr>
        <w:t xml:space="preserve"> אך האורים </w:t>
      </w:r>
      <w:r w:rsidRPr="005274D1">
        <w:rPr>
          <w:rFonts w:asciiTheme="minorBidi" w:hAnsiTheme="minorBidi" w:cs="Arial"/>
          <w:color w:val="000000"/>
          <w:sz w:val="16"/>
          <w:szCs w:val="16"/>
          <w:rtl/>
        </w:rPr>
        <w:t>(</w:t>
      </w:r>
      <w:r w:rsidRPr="005274D1">
        <w:rPr>
          <w:rFonts w:asciiTheme="minorBidi" w:hAnsiTheme="minorBidi" w:cs="Arial" w:hint="cs"/>
          <w:color w:val="000000"/>
          <w:sz w:val="16"/>
          <w:szCs w:val="16"/>
          <w:rtl/>
        </w:rPr>
        <w:t>סק</w:t>
      </w:r>
      <w:r w:rsidRPr="005274D1">
        <w:rPr>
          <w:rFonts w:asciiTheme="minorBidi" w:hAnsiTheme="minorBidi" w:cs="Arial"/>
          <w:color w:val="000000"/>
          <w:sz w:val="16"/>
          <w:szCs w:val="16"/>
          <w:rtl/>
        </w:rPr>
        <w:t>י</w:t>
      </w:r>
      <w:r w:rsidRPr="005274D1">
        <w:rPr>
          <w:rFonts w:asciiTheme="minorBidi" w:hAnsiTheme="minorBidi" w:cs="Arial" w:hint="cs"/>
          <w:color w:val="000000"/>
          <w:sz w:val="16"/>
          <w:szCs w:val="16"/>
          <w:rtl/>
        </w:rPr>
        <w:t>"</w:t>
      </w:r>
      <w:r w:rsidRPr="005274D1">
        <w:rPr>
          <w:rFonts w:asciiTheme="minorBidi" w:hAnsiTheme="minorBidi" w:cs="Arial"/>
          <w:color w:val="000000"/>
          <w:sz w:val="16"/>
          <w:szCs w:val="16"/>
          <w:rtl/>
        </w:rPr>
        <w:t xml:space="preserve">א) </w:t>
      </w:r>
      <w:r w:rsidRPr="005274D1">
        <w:rPr>
          <w:rFonts w:asciiTheme="minorBidi" w:hAnsiTheme="minorBidi" w:cs="Arial" w:hint="cs"/>
          <w:color w:val="000000"/>
          <w:rtl/>
        </w:rPr>
        <w:t>כתב שאין זו סתירה אף</w:t>
      </w:r>
      <w:r w:rsidRPr="005274D1">
        <w:rPr>
          <w:rFonts w:asciiTheme="minorBidi" w:hAnsiTheme="minorBidi" w:cs="Arial"/>
          <w:color w:val="000000"/>
          <w:rtl/>
        </w:rPr>
        <w:t xml:space="preserve"> לגירסת השו"ע </w:t>
      </w:r>
      <w:r w:rsidRPr="005274D1">
        <w:rPr>
          <w:rFonts w:asciiTheme="minorBidi" w:hAnsiTheme="minorBidi" w:cs="Arial" w:hint="cs"/>
          <w:color w:val="000000"/>
          <w:sz w:val="16"/>
          <w:szCs w:val="16"/>
          <w:rtl/>
        </w:rPr>
        <w:t>(שכתב ידיננו מי שליבו שלם)</w:t>
      </w:r>
      <w:r w:rsidRPr="005274D1">
        <w:rPr>
          <w:rFonts w:asciiTheme="minorBidi" w:hAnsiTheme="minorBidi" w:cs="Arial" w:hint="cs"/>
          <w:color w:val="000000"/>
          <w:rtl/>
        </w:rPr>
        <w:t>,</w:t>
      </w:r>
      <w:r w:rsidRPr="005274D1">
        <w:rPr>
          <w:rFonts w:asciiTheme="minorBidi" w:hAnsiTheme="minorBidi" w:cs="Arial"/>
          <w:color w:val="000000"/>
          <w:rtl/>
        </w:rPr>
        <w:t xml:space="preserve"> </w:t>
      </w:r>
      <w:r w:rsidRPr="005274D1">
        <w:rPr>
          <w:rFonts w:asciiTheme="minorBidi" w:hAnsiTheme="minorBidi" w:cs="Arial" w:hint="cs"/>
          <w:color w:val="000000"/>
          <w:rtl/>
        </w:rPr>
        <w:t>ד</w:t>
      </w:r>
      <w:r w:rsidRPr="005274D1">
        <w:rPr>
          <w:rFonts w:asciiTheme="minorBidi" w:hAnsiTheme="minorBidi" w:cs="Arial"/>
          <w:color w:val="000000"/>
          <w:rtl/>
        </w:rPr>
        <w:t>נראה לומר אם דיין מומחה ומובהק בדורו מסתלק, מי הוא אשר יעיז ויאמר לבבי יותר שלם וזך לברר האמת מהשקר וערמה, והוא עזות וחוצפא ויוהרא, ולכך אין רשות לדיין לדון בזה, וזהו בענין הרא"ש שהיה שלם ומובהק בדורו ורב רבנן, וא"כ יפה היה כותב שאין רשות לדיין לדון, אבל דיין פשוט שאין מפורסם ומובהק בדורו, אם מסלק עצמו, ובא רעהו הגדול ממנו וחקרו היטב ואומר זך לבבי לדון בזה, מהיכי תיתי לא ידון, ולכך נאמר והדבר מסור ללב דהיינו מי שלבו יותר שלם יוכל לדון, ותלוי בזכות הלב ובחינת השכל.</w:t>
      </w:r>
    </w:p>
  </w:footnote>
  <w:footnote w:id="851">
    <w:p w14:paraId="7A5DAAF0" w14:textId="77777777" w:rsidR="0013116F" w:rsidRDefault="0013116F" w:rsidP="00D9003B">
      <w:pPr>
        <w:pStyle w:val="a9"/>
      </w:pPr>
      <w:r>
        <w:rPr>
          <w:rStyle w:val="ab"/>
        </w:rPr>
        <w:footnoteRef/>
      </w:r>
      <w:r>
        <w:rPr>
          <w:rtl/>
        </w:rPr>
        <w:t xml:space="preserve"> </w:t>
      </w:r>
      <w:r w:rsidRPr="0000353D">
        <w:rPr>
          <w:rFonts w:cs="Arial"/>
          <w:rtl/>
        </w:rPr>
        <w:t xml:space="preserve">כההיא דפרק חזקת </w:t>
      </w:r>
      <w:r w:rsidRPr="002F32CF">
        <w:rPr>
          <w:rFonts w:cs="Arial"/>
          <w:sz w:val="16"/>
          <w:szCs w:val="16"/>
          <w:rtl/>
        </w:rPr>
        <w:t xml:space="preserve">(ב"ב נח.) </w:t>
      </w:r>
      <w:r w:rsidRPr="0000353D">
        <w:rPr>
          <w:rFonts w:cs="Arial"/>
          <w:rtl/>
        </w:rPr>
        <w:t>דאמר רבי בנאה זילו חבוטו לקברא דאבוכון וכו' אלמא כל דינא דלא אפשר לנא לברורי לא אמרינן יהא מונח עד שיבא אליהו אלא ידין לפי מה שעיניו רואות אומד דעתו בסברא מועטת שנראה לו</w:t>
      </w:r>
      <w:r>
        <w:rPr>
          <w:rFonts w:cs="Arial" w:hint="cs"/>
          <w:rtl/>
        </w:rPr>
        <w:t>,</w:t>
      </w:r>
      <w:r w:rsidRPr="0000353D">
        <w:rPr>
          <w:rFonts w:cs="Arial"/>
          <w:rtl/>
        </w:rPr>
        <w:t xml:space="preserve"> שאותו שהיה בנו היתה יראתו תקועה בלבו וחלק כבוד לאביו ונתן לו כל הנכסים</w:t>
      </w:r>
      <w:r>
        <w:rPr>
          <w:rFonts w:cs="Arial" w:hint="cs"/>
          <w:rtl/>
        </w:rPr>
        <w:t>,</w:t>
      </w:r>
      <w:r w:rsidRPr="0000353D">
        <w:rPr>
          <w:rFonts w:cs="Arial"/>
          <w:rtl/>
        </w:rPr>
        <w:t xml:space="preserve"> כל שכן בנדון זה שיש כמה ידים מוכיחות</w:t>
      </w:r>
      <w:r>
        <w:rPr>
          <w:rFonts w:cs="Arial" w:hint="cs"/>
          <w:rtl/>
        </w:rPr>
        <w:t>,</w:t>
      </w:r>
      <w:r w:rsidRPr="0000353D">
        <w:rPr>
          <w:rFonts w:cs="Arial"/>
          <w:rtl/>
        </w:rPr>
        <w:t xml:space="preserve"> ורבי בנאה למד דין זה מאב החכמים שלמה ע"ה במעשה דשתים נשים זונות </w:t>
      </w:r>
      <w:r w:rsidRPr="002F32CF">
        <w:rPr>
          <w:rFonts w:cs="Arial"/>
          <w:sz w:val="16"/>
          <w:szCs w:val="16"/>
          <w:rtl/>
        </w:rPr>
        <w:t>(מ"א ג טז - כח)</w:t>
      </w:r>
      <w:r>
        <w:rPr>
          <w:rFonts w:cs="Arial" w:hint="cs"/>
          <w:rtl/>
        </w:rPr>
        <w:t>,</w:t>
      </w:r>
      <w:r w:rsidRPr="0000353D">
        <w:rPr>
          <w:rFonts w:cs="Arial"/>
          <w:rtl/>
        </w:rPr>
        <w:t xml:space="preserve"> וכן חכמי התלמוד בכמה מקומות פסקו דבריהם באומד דעתם גבי שכיב מרע שכתב כל נכסיו לאחרים וכו' </w:t>
      </w:r>
      <w:r w:rsidRPr="002F32CF">
        <w:rPr>
          <w:rFonts w:cs="Arial"/>
          <w:sz w:val="16"/>
          <w:szCs w:val="16"/>
          <w:rtl/>
        </w:rPr>
        <w:t>(ב"ב קמו: קנ:)</w:t>
      </w:r>
      <w:r>
        <w:rPr>
          <w:rFonts w:cs="Arial" w:hint="cs"/>
          <w:rtl/>
        </w:rPr>
        <w:t>,</w:t>
      </w:r>
      <w:r w:rsidRPr="0000353D">
        <w:rPr>
          <w:rFonts w:cs="Arial"/>
          <w:rtl/>
        </w:rPr>
        <w:t xml:space="preserve"> וכן הכותב כל נכסיו לאשתו לא עשאה אלא אפטרופא </w:t>
      </w:r>
      <w:r w:rsidRPr="002F32CF">
        <w:rPr>
          <w:rFonts w:cs="Arial"/>
          <w:sz w:val="16"/>
          <w:szCs w:val="16"/>
          <w:rtl/>
        </w:rPr>
        <w:t>(שם קלא:)</w:t>
      </w:r>
      <w:r>
        <w:rPr>
          <w:rFonts w:cs="Arial" w:hint="cs"/>
          <w:rtl/>
        </w:rPr>
        <w:t>,</w:t>
      </w:r>
      <w:r w:rsidRPr="0000353D">
        <w:rPr>
          <w:rFonts w:cs="Arial"/>
          <w:rtl/>
        </w:rPr>
        <w:t xml:space="preserve"> וכן במי שהלך למדינת הים ושמע שמת בנו וכתב כל נכסיו לאחרים </w:t>
      </w:r>
      <w:r w:rsidRPr="002F32CF">
        <w:rPr>
          <w:rFonts w:cs="Arial"/>
          <w:sz w:val="16"/>
          <w:szCs w:val="16"/>
          <w:rtl/>
        </w:rPr>
        <w:t>(שם קלב.)</w:t>
      </w:r>
      <w:r>
        <w:rPr>
          <w:rFonts w:cs="Arial" w:hint="cs"/>
          <w:rtl/>
        </w:rPr>
        <w:t>,</w:t>
      </w:r>
      <w:r w:rsidRPr="0000353D">
        <w:rPr>
          <w:rFonts w:cs="Arial"/>
          <w:rtl/>
        </w:rPr>
        <w:t xml:space="preserve"> וכן שטר מברחת </w:t>
      </w:r>
      <w:r w:rsidRPr="002F32CF">
        <w:rPr>
          <w:rFonts w:cs="Arial"/>
          <w:sz w:val="16"/>
          <w:szCs w:val="16"/>
          <w:rtl/>
        </w:rPr>
        <w:t>(כתובות עט.)</w:t>
      </w:r>
      <w:r>
        <w:rPr>
          <w:rFonts w:cs="Arial" w:hint="cs"/>
          <w:rtl/>
        </w:rPr>
        <w:t>,</w:t>
      </w:r>
      <w:r w:rsidRPr="0000353D">
        <w:rPr>
          <w:rFonts w:cs="Arial"/>
          <w:rtl/>
        </w:rPr>
        <w:t xml:space="preserve"> וכן שודא דדייני </w:t>
      </w:r>
      <w:r w:rsidRPr="002F32CF">
        <w:rPr>
          <w:rFonts w:cs="Arial"/>
          <w:sz w:val="16"/>
          <w:szCs w:val="16"/>
          <w:rtl/>
        </w:rPr>
        <w:t>(שם פה: צד.)</w:t>
      </w:r>
      <w:r w:rsidRPr="002F32CF">
        <w:rPr>
          <w:rFonts w:cs="Arial" w:hint="cs"/>
          <w:rtl/>
        </w:rPr>
        <w:t>, רא"ש</w:t>
      </w:r>
      <w:r>
        <w:rPr>
          <w:rFonts w:cs="Arial" w:hint="cs"/>
          <w:rtl/>
        </w:rPr>
        <w:t xml:space="preserve"> (בתשו' שם)</w:t>
      </w:r>
      <w:r w:rsidRPr="002F32CF">
        <w:rPr>
          <w:rFonts w:cs="Arial" w:hint="cs"/>
          <w:rtl/>
        </w:rPr>
        <w:t>.</w:t>
      </w:r>
      <w:r w:rsidRPr="00602CD7">
        <w:rPr>
          <w:rFonts w:cs="Arial"/>
          <w:rtl/>
        </w:rPr>
        <w:t xml:space="preserve"> </w:t>
      </w:r>
      <w:r w:rsidRPr="0000353D">
        <w:rPr>
          <w:rFonts w:cs="Arial"/>
          <w:rtl/>
        </w:rPr>
        <w:t>וכתב עוד שם (</w:t>
      </w:r>
      <w:r>
        <w:rPr>
          <w:rFonts w:cs="Arial" w:hint="cs"/>
          <w:rtl/>
        </w:rPr>
        <w:t xml:space="preserve">בתשו' </w:t>
      </w:r>
      <w:r w:rsidRPr="0000353D">
        <w:rPr>
          <w:rFonts w:cs="Arial"/>
          <w:rtl/>
        </w:rPr>
        <w:t xml:space="preserve">סוד"ה ועוד אמרינן) </w:t>
      </w:r>
      <w:r w:rsidRPr="008E51FD">
        <w:rPr>
          <w:rFonts w:cs="Arial"/>
          <w:rtl/>
        </w:rPr>
        <w:t>והדיינים חקרו ודרשו להוציא הדין לאמתו והיה צריך להשיב על כל חקירות ודרישות שלהם כי היה נראה להם שהיה טוען ברמאות</w:t>
      </w:r>
      <w:r>
        <w:rPr>
          <w:rFonts w:cs="Arial" w:hint="cs"/>
          <w:rtl/>
        </w:rPr>
        <w:t>,</w:t>
      </w:r>
      <w:r w:rsidRPr="008E51FD">
        <w:rPr>
          <w:rFonts w:cs="Arial"/>
          <w:rtl/>
        </w:rPr>
        <w:t xml:space="preserve"> וכיון שלא השיב היה להם לדיינים לחייבו לאלתר</w:t>
      </w:r>
      <w:r w:rsidRPr="0000353D">
        <w:rPr>
          <w:rFonts w:cs="Arial"/>
          <w:rtl/>
        </w:rPr>
        <w:t>.</w:t>
      </w:r>
      <w:r>
        <w:rPr>
          <w:rFonts w:cs="Arial" w:hint="cs"/>
          <w:rtl/>
        </w:rPr>
        <w:t xml:space="preserve"> עכ"ל.</w:t>
      </w:r>
      <w:r w:rsidRPr="0000353D">
        <w:rPr>
          <w:rFonts w:cs="Arial"/>
          <w:rtl/>
        </w:rPr>
        <w:t xml:space="preserve"> וכיוצא בזה כתב במרדכי ריש מציעא (סי' רכג) בשם הר"מ</w:t>
      </w:r>
      <w:r>
        <w:rPr>
          <w:rFonts w:cs="Arial" w:hint="cs"/>
          <w:rtl/>
        </w:rPr>
        <w:t>, ב"י.</w:t>
      </w:r>
    </w:p>
  </w:footnote>
  <w:footnote w:id="852">
    <w:p w14:paraId="7673BE2F" w14:textId="77777777" w:rsidR="0013116F" w:rsidRDefault="0013116F" w:rsidP="00D9003B">
      <w:pPr>
        <w:pStyle w:val="a9"/>
        <w:rPr>
          <w:rtl/>
        </w:rPr>
      </w:pPr>
      <w:r>
        <w:rPr>
          <w:rStyle w:val="ab"/>
        </w:rPr>
        <w:footnoteRef/>
      </w:r>
      <w:r>
        <w:rPr>
          <w:rtl/>
        </w:rPr>
        <w:t xml:space="preserve"> </w:t>
      </w:r>
      <w:r w:rsidRPr="0000353D">
        <w:rPr>
          <w:rFonts w:cs="Arial"/>
          <w:rtl/>
        </w:rPr>
        <w:t xml:space="preserve">וכן מצינו שניתן כח לדיין לעשות דין כעין פשרה בפרק המפקיד </w:t>
      </w:r>
      <w:r w:rsidRPr="002F32CF">
        <w:rPr>
          <w:rFonts w:cs="Arial"/>
          <w:sz w:val="16"/>
          <w:szCs w:val="16"/>
          <w:rtl/>
        </w:rPr>
        <w:t xml:space="preserve">(ב"מ מב:) </w:t>
      </w:r>
      <w:r w:rsidRPr="0000353D">
        <w:rPr>
          <w:rFonts w:cs="Arial"/>
          <w:rtl/>
        </w:rPr>
        <w:t>גבי ההוא אפוטרופא דיתמי דזבין לההוא תורא ולא הוו ליה ככי ושיני ומית וכו'</w:t>
      </w:r>
      <w:r>
        <w:rPr>
          <w:rFonts w:hint="cs"/>
          <w:rtl/>
        </w:rPr>
        <w:t>, רא"ש.</w:t>
      </w:r>
    </w:p>
  </w:footnote>
  <w:footnote w:id="853">
    <w:p w14:paraId="5153FACC" w14:textId="77777777" w:rsidR="0013116F" w:rsidRDefault="0013116F">
      <w:pPr>
        <w:pStyle w:val="a9"/>
        <w:rPr>
          <w:rtl/>
        </w:rPr>
      </w:pPr>
      <w:r>
        <w:rPr>
          <w:rStyle w:val="ab"/>
        </w:rPr>
        <w:footnoteRef/>
      </w:r>
      <w:r>
        <w:rPr>
          <w:rtl/>
        </w:rPr>
        <w:t xml:space="preserve"> </w:t>
      </w:r>
      <w:r>
        <w:rPr>
          <w:rFonts w:cs="Arial" w:hint="cs"/>
          <w:rtl/>
        </w:rPr>
        <w:t>ו</w:t>
      </w:r>
      <w:r w:rsidRPr="00263239">
        <w:rPr>
          <w:rFonts w:cs="Arial"/>
          <w:rtl/>
        </w:rPr>
        <w:t>כן אם הנתבע אינו רוצה להשיב על כל דבר שחוקר אותו, ודאי רמאי הוא ויכול לפסוק לו כאילו השיב לו ונתברר השקר, כ"כ הרא"ש שם בתשובה</w:t>
      </w:r>
      <w:r>
        <w:rPr>
          <w:rFonts w:hint="cs"/>
          <w:rtl/>
        </w:rPr>
        <w:t>, סמ"ע (סקי"ג). וכ"כ הש"ך (סק"ה).</w:t>
      </w:r>
    </w:p>
  </w:footnote>
  <w:footnote w:id="854">
    <w:p w14:paraId="1DC94957" w14:textId="77777777" w:rsidR="0013116F" w:rsidRDefault="0013116F">
      <w:pPr>
        <w:pStyle w:val="a9"/>
      </w:pPr>
      <w:r>
        <w:rPr>
          <w:rStyle w:val="ab"/>
        </w:rPr>
        <w:footnoteRef/>
      </w:r>
      <w:r>
        <w:rPr>
          <w:rtl/>
        </w:rPr>
        <w:t xml:space="preserve"> </w:t>
      </w:r>
      <w:r>
        <w:rPr>
          <w:rFonts w:hint="cs"/>
          <w:rtl/>
        </w:rPr>
        <w:t xml:space="preserve">סימן </w:t>
      </w:r>
      <w:r>
        <w:rPr>
          <w:rtl/>
        </w:rPr>
        <w:t>–</w:t>
      </w:r>
      <w:r>
        <w:rPr>
          <w:rFonts w:hint="cs"/>
          <w:rtl/>
        </w:rPr>
        <w:t xml:space="preserve"> פסיקת ההיגיון. וכן </w:t>
      </w:r>
      <w:r>
        <w:rPr>
          <w:rtl/>
        </w:rPr>
        <w:t>–</w:t>
      </w:r>
      <w:r>
        <w:rPr>
          <w:rFonts w:hint="cs"/>
          <w:rtl/>
        </w:rPr>
        <w:t xml:space="preserve"> פסק הדעת. וכן </w:t>
      </w:r>
      <w:r>
        <w:rPr>
          <w:rtl/>
        </w:rPr>
        <w:t>–</w:t>
      </w:r>
      <w:r>
        <w:rPr>
          <w:rFonts w:hint="cs"/>
          <w:rtl/>
        </w:rPr>
        <w:t xml:space="preserve"> </w:t>
      </w:r>
      <w:r>
        <w:rPr>
          <w:rFonts w:hint="cs"/>
          <w:sz w:val="16"/>
          <w:szCs w:val="16"/>
          <w:rtl/>
        </w:rPr>
        <w:t xml:space="preserve">{רב} </w:t>
      </w:r>
      <w:r>
        <w:rPr>
          <w:rFonts w:hint="cs"/>
          <w:rtl/>
        </w:rPr>
        <w:t>פפא הובך.</w:t>
      </w:r>
    </w:p>
  </w:footnote>
  <w:footnote w:id="855">
    <w:p w14:paraId="4E0F514B" w14:textId="77777777" w:rsidR="0013116F" w:rsidRDefault="0013116F" w:rsidP="0014565D">
      <w:pPr>
        <w:pStyle w:val="a9"/>
      </w:pPr>
      <w:r>
        <w:rPr>
          <w:rStyle w:val="ab"/>
        </w:rPr>
        <w:footnoteRef/>
      </w:r>
      <w:r>
        <w:rPr>
          <w:rtl/>
        </w:rPr>
        <w:t xml:space="preserve"> </w:t>
      </w:r>
      <w:r w:rsidRPr="00DE2FD3">
        <w:rPr>
          <w:rFonts w:cs="Arial"/>
          <w:rtl/>
        </w:rPr>
        <w:t>שהיה אדם תובעה ממון והיא כופרת</w:t>
      </w:r>
      <w:r>
        <w:rPr>
          <w:rFonts w:cs="Arial" w:hint="cs"/>
          <w:rtl/>
        </w:rPr>
        <w:t>, רש"י</w:t>
      </w:r>
      <w:r w:rsidRPr="00DE2FD3">
        <w:rPr>
          <w:rFonts w:cs="Arial"/>
          <w:rtl/>
        </w:rPr>
        <w:t>.</w:t>
      </w:r>
    </w:p>
  </w:footnote>
  <w:footnote w:id="856">
    <w:p w14:paraId="3CAE770C" w14:textId="77777777" w:rsidR="0013116F" w:rsidRDefault="0013116F" w:rsidP="0014565D">
      <w:pPr>
        <w:pStyle w:val="a9"/>
      </w:pPr>
      <w:r>
        <w:rPr>
          <w:rStyle w:val="ab"/>
        </w:rPr>
        <w:footnoteRef/>
      </w:r>
      <w:r>
        <w:rPr>
          <w:rtl/>
        </w:rPr>
        <w:t xml:space="preserve"> </w:t>
      </w:r>
      <w:r w:rsidRPr="00DE2FD3">
        <w:rPr>
          <w:rFonts w:cs="Arial"/>
          <w:rtl/>
        </w:rPr>
        <w:t>אשתו של רבא</w:t>
      </w:r>
      <w:r>
        <w:rPr>
          <w:rFonts w:cs="Arial" w:hint="cs"/>
          <w:rtl/>
        </w:rPr>
        <w:t>, רש"י</w:t>
      </w:r>
      <w:r w:rsidRPr="00DE2FD3">
        <w:rPr>
          <w:rFonts w:cs="Arial"/>
          <w:rtl/>
        </w:rPr>
        <w:t>.</w:t>
      </w:r>
    </w:p>
  </w:footnote>
  <w:footnote w:id="857">
    <w:p w14:paraId="0C19E82C" w14:textId="77777777" w:rsidR="0013116F" w:rsidRDefault="0013116F" w:rsidP="0014565D">
      <w:pPr>
        <w:pStyle w:val="a9"/>
      </w:pPr>
      <w:r>
        <w:rPr>
          <w:rStyle w:val="ab"/>
        </w:rPr>
        <w:footnoteRef/>
      </w:r>
      <w:r>
        <w:rPr>
          <w:rtl/>
        </w:rPr>
        <w:t xml:space="preserve"> </w:t>
      </w:r>
      <w:r w:rsidRPr="00DE2FD3">
        <w:rPr>
          <w:rFonts w:cs="Arial"/>
          <w:rtl/>
        </w:rPr>
        <w:t>התובע אותה ישבע ויטול כדתנן (שבועות מד:) ואלו נשבעין ונוטלין שכנגדו חשוד על השבועה</w:t>
      </w:r>
      <w:r>
        <w:rPr>
          <w:rFonts w:cs="Arial" w:hint="cs"/>
          <w:rtl/>
        </w:rPr>
        <w:t>, רש"י</w:t>
      </w:r>
      <w:r w:rsidRPr="00DE2FD3">
        <w:rPr>
          <w:rFonts w:cs="Arial"/>
          <w:rtl/>
        </w:rPr>
        <w:t>.</w:t>
      </w:r>
    </w:p>
  </w:footnote>
  <w:footnote w:id="858">
    <w:p w14:paraId="58EC872C" w14:textId="77777777" w:rsidR="0013116F" w:rsidRDefault="0013116F" w:rsidP="0014565D">
      <w:pPr>
        <w:pStyle w:val="a9"/>
        <w:rPr>
          <w:rtl/>
        </w:rPr>
      </w:pPr>
      <w:r>
        <w:rPr>
          <w:rStyle w:val="ab"/>
        </w:rPr>
        <w:footnoteRef/>
      </w:r>
      <w:r>
        <w:rPr>
          <w:rtl/>
        </w:rPr>
        <w:t xml:space="preserve"> </w:t>
      </w:r>
      <w:r w:rsidRPr="00DE2FD3">
        <w:rPr>
          <w:rFonts w:cs="Arial"/>
          <w:rtl/>
        </w:rPr>
        <w:t>פעם אחרת</w:t>
      </w:r>
      <w:r>
        <w:rPr>
          <w:rFonts w:cs="Arial" w:hint="cs"/>
          <w:rtl/>
        </w:rPr>
        <w:t>, רש"י</w:t>
      </w:r>
      <w:r w:rsidRPr="00DE2FD3">
        <w:rPr>
          <w:rFonts w:cs="Arial"/>
          <w:rtl/>
        </w:rPr>
        <w:t>.</w:t>
      </w:r>
    </w:p>
  </w:footnote>
  <w:footnote w:id="859">
    <w:p w14:paraId="050A7CC1" w14:textId="77777777" w:rsidR="0013116F" w:rsidRDefault="0013116F" w:rsidP="0014565D">
      <w:pPr>
        <w:pStyle w:val="a9"/>
        <w:rPr>
          <w:rtl/>
        </w:rPr>
      </w:pPr>
      <w:r>
        <w:rPr>
          <w:rStyle w:val="ab"/>
        </w:rPr>
        <w:footnoteRef/>
      </w:r>
      <w:r>
        <w:rPr>
          <w:rtl/>
        </w:rPr>
        <w:t xml:space="preserve"> </w:t>
      </w:r>
      <w:r w:rsidRPr="00DE2FD3">
        <w:rPr>
          <w:rFonts w:cs="Arial"/>
          <w:rtl/>
        </w:rPr>
        <w:t>שהאמנת לחשוד את האשה על השבועה</w:t>
      </w:r>
      <w:r>
        <w:rPr>
          <w:rFonts w:cs="Arial" w:hint="cs"/>
          <w:rtl/>
        </w:rPr>
        <w:t>, רש"י</w:t>
      </w:r>
      <w:r w:rsidRPr="00DE2FD3">
        <w:rPr>
          <w:rFonts w:cs="Arial"/>
          <w:rtl/>
        </w:rPr>
        <w:t>.</w:t>
      </w:r>
    </w:p>
  </w:footnote>
  <w:footnote w:id="860">
    <w:p w14:paraId="7E609C73" w14:textId="77777777" w:rsidR="0013116F" w:rsidRDefault="0013116F" w:rsidP="0014565D">
      <w:pPr>
        <w:pStyle w:val="a9"/>
        <w:rPr>
          <w:rtl/>
        </w:rPr>
      </w:pPr>
      <w:r>
        <w:rPr>
          <w:rStyle w:val="ab"/>
        </w:rPr>
        <w:footnoteRef/>
      </w:r>
      <w:r>
        <w:rPr>
          <w:rtl/>
        </w:rPr>
        <w:t xml:space="preserve"> </w:t>
      </w:r>
      <w:r w:rsidRPr="00DE2FD3">
        <w:rPr>
          <w:rFonts w:cs="Arial"/>
          <w:rtl/>
        </w:rPr>
        <w:t>דלא משקרא</w:t>
      </w:r>
      <w:r>
        <w:rPr>
          <w:rFonts w:cs="Arial" w:hint="cs"/>
          <w:rtl/>
        </w:rPr>
        <w:t>, רש"י</w:t>
      </w:r>
      <w:r w:rsidRPr="00DE2FD3">
        <w:rPr>
          <w:rFonts w:cs="Arial"/>
          <w:rtl/>
        </w:rPr>
        <w:t>.</w:t>
      </w:r>
    </w:p>
  </w:footnote>
  <w:footnote w:id="861">
    <w:p w14:paraId="5B5EEBA6" w14:textId="77777777" w:rsidR="0013116F" w:rsidRDefault="0013116F" w:rsidP="0014565D">
      <w:pPr>
        <w:pStyle w:val="a9"/>
      </w:pPr>
      <w:r>
        <w:rPr>
          <w:rStyle w:val="ab"/>
        </w:rPr>
        <w:footnoteRef/>
      </w:r>
      <w:r>
        <w:rPr>
          <w:rtl/>
        </w:rPr>
        <w:t xml:space="preserve"> </w:t>
      </w:r>
      <w:r w:rsidRPr="00DE2FD3">
        <w:rPr>
          <w:rFonts w:cs="Arial"/>
          <w:rtl/>
        </w:rPr>
        <w:t>וכי אחד נאמן להוציא שטר חתום מיד המחזיק בו אפוקי ממונא הוא ותרי בעינן</w:t>
      </w:r>
      <w:r>
        <w:rPr>
          <w:rFonts w:cs="Arial" w:hint="cs"/>
          <w:rtl/>
        </w:rPr>
        <w:t>, רש"י</w:t>
      </w:r>
      <w:r w:rsidRPr="00DE2FD3">
        <w:rPr>
          <w:rFonts w:cs="Arial"/>
          <w:rtl/>
        </w:rPr>
        <w:t>.</w:t>
      </w:r>
    </w:p>
  </w:footnote>
  <w:footnote w:id="862">
    <w:p w14:paraId="63833384" w14:textId="77777777" w:rsidR="0013116F" w:rsidRDefault="0013116F" w:rsidP="0014565D">
      <w:pPr>
        <w:pStyle w:val="a9"/>
        <w:rPr>
          <w:rtl/>
        </w:rPr>
      </w:pPr>
      <w:r>
        <w:rPr>
          <w:rStyle w:val="ab"/>
        </w:rPr>
        <w:footnoteRef/>
      </w:r>
      <w:r>
        <w:rPr>
          <w:rtl/>
        </w:rPr>
        <w:t xml:space="preserve"> </w:t>
      </w:r>
      <w:r w:rsidRPr="00DE2FD3">
        <w:rPr>
          <w:rFonts w:cs="Arial"/>
          <w:rtl/>
        </w:rPr>
        <w:t>ולא אזדקק לגבות באותו שטר ומקרע נמי לא קרענא ליה</w:t>
      </w:r>
      <w:r>
        <w:rPr>
          <w:rFonts w:cs="Arial" w:hint="cs"/>
          <w:rtl/>
        </w:rPr>
        <w:t>, רש"י</w:t>
      </w:r>
      <w:r w:rsidRPr="00DE2FD3">
        <w:rPr>
          <w:rFonts w:cs="Arial"/>
          <w:rtl/>
        </w:rPr>
        <w:t>.</w:t>
      </w:r>
    </w:p>
  </w:footnote>
  <w:footnote w:id="863">
    <w:p w14:paraId="3B5C4497" w14:textId="77777777" w:rsidR="0013116F" w:rsidRDefault="0013116F" w:rsidP="0014565D">
      <w:pPr>
        <w:pStyle w:val="a9"/>
      </w:pPr>
      <w:r>
        <w:rPr>
          <w:rStyle w:val="ab"/>
        </w:rPr>
        <w:footnoteRef/>
      </w:r>
      <w:r>
        <w:rPr>
          <w:rtl/>
        </w:rPr>
        <w:t xml:space="preserve"> </w:t>
      </w:r>
      <w:r w:rsidRPr="00DE2FD3">
        <w:rPr>
          <w:rFonts w:cs="Arial"/>
          <w:rtl/>
        </w:rPr>
        <w:t>שבע מרגליות צרורות בסדין אחד הפקיד ביד ר' מיאשא</w:t>
      </w:r>
      <w:r>
        <w:rPr>
          <w:rFonts w:cs="Arial" w:hint="cs"/>
          <w:rtl/>
        </w:rPr>
        <w:t>, רש"י</w:t>
      </w:r>
      <w:r w:rsidRPr="00DE2FD3">
        <w:rPr>
          <w:rFonts w:cs="Arial"/>
          <w:rtl/>
        </w:rPr>
        <w:t>.</w:t>
      </w:r>
    </w:p>
  </w:footnote>
  <w:footnote w:id="864">
    <w:p w14:paraId="5DC03570" w14:textId="77777777" w:rsidR="0013116F" w:rsidRDefault="0013116F" w:rsidP="0014565D">
      <w:pPr>
        <w:pStyle w:val="a9"/>
      </w:pPr>
      <w:r>
        <w:rPr>
          <w:rStyle w:val="ab"/>
        </w:rPr>
        <w:footnoteRef/>
      </w:r>
      <w:r>
        <w:rPr>
          <w:rtl/>
        </w:rPr>
        <w:t xml:space="preserve"> </w:t>
      </w:r>
      <w:r w:rsidRPr="00DE2FD3">
        <w:rPr>
          <w:rFonts w:cs="Arial"/>
          <w:rtl/>
        </w:rPr>
        <w:t>לא צוה לאנשי ביתו</w:t>
      </w:r>
      <w:r>
        <w:rPr>
          <w:rFonts w:cs="Arial" w:hint="cs"/>
          <w:rtl/>
        </w:rPr>
        <w:t>,</w:t>
      </w:r>
      <w:r w:rsidRPr="00DE2FD3">
        <w:rPr>
          <w:rFonts w:cs="Arial"/>
          <w:rtl/>
        </w:rPr>
        <w:t xml:space="preserve"> שחטפתו מיתה</w:t>
      </w:r>
      <w:r>
        <w:rPr>
          <w:rFonts w:cs="Arial" w:hint="cs"/>
          <w:rtl/>
        </w:rPr>
        <w:t>, רש"י</w:t>
      </w:r>
      <w:r w:rsidRPr="00DE2FD3">
        <w:rPr>
          <w:rFonts w:cs="Arial"/>
          <w:rtl/>
        </w:rPr>
        <w:t>.</w:t>
      </w:r>
    </w:p>
  </w:footnote>
  <w:footnote w:id="865">
    <w:p w14:paraId="31CEE8B3" w14:textId="77777777" w:rsidR="0013116F" w:rsidRDefault="0013116F" w:rsidP="0014565D">
      <w:pPr>
        <w:pStyle w:val="a9"/>
      </w:pPr>
      <w:r>
        <w:rPr>
          <w:rStyle w:val="ab"/>
        </w:rPr>
        <w:footnoteRef/>
      </w:r>
      <w:r>
        <w:rPr>
          <w:rtl/>
        </w:rPr>
        <w:t xml:space="preserve"> </w:t>
      </w:r>
      <w:r w:rsidRPr="00DE2FD3">
        <w:rPr>
          <w:rFonts w:cs="Arial"/>
          <w:rtl/>
        </w:rPr>
        <w:t>לתבוע את היורשין והיורשין אומרים שמא של אבינו היו</w:t>
      </w:r>
      <w:r>
        <w:rPr>
          <w:rFonts w:cs="Arial" w:hint="cs"/>
          <w:rtl/>
        </w:rPr>
        <w:t>, רש"י</w:t>
      </w:r>
      <w:r w:rsidRPr="00DE2FD3">
        <w:rPr>
          <w:rFonts w:cs="Arial"/>
          <w:rtl/>
        </w:rPr>
        <w:t>.</w:t>
      </w:r>
    </w:p>
  </w:footnote>
  <w:footnote w:id="866">
    <w:p w14:paraId="69C1DACA" w14:textId="77777777" w:rsidR="0013116F" w:rsidRDefault="0013116F" w:rsidP="0014565D">
      <w:pPr>
        <w:pStyle w:val="a9"/>
      </w:pPr>
      <w:r>
        <w:rPr>
          <w:rStyle w:val="ab"/>
        </w:rPr>
        <w:footnoteRef/>
      </w:r>
      <w:r>
        <w:rPr>
          <w:rtl/>
        </w:rPr>
        <w:t xml:space="preserve"> </w:t>
      </w:r>
      <w:r w:rsidRPr="00DE2FD3">
        <w:rPr>
          <w:rFonts w:cs="Arial"/>
          <w:rtl/>
        </w:rPr>
        <w:t>אינו עשיר</w:t>
      </w:r>
      <w:r>
        <w:rPr>
          <w:rFonts w:cs="Arial" w:hint="cs"/>
          <w:rtl/>
        </w:rPr>
        <w:t>, רש"י</w:t>
      </w:r>
      <w:r w:rsidRPr="00DE2FD3">
        <w:rPr>
          <w:rFonts w:cs="Arial"/>
          <w:rtl/>
        </w:rPr>
        <w:t>.</w:t>
      </w:r>
    </w:p>
  </w:footnote>
  <w:footnote w:id="867">
    <w:p w14:paraId="4CF36753" w14:textId="77777777" w:rsidR="0013116F" w:rsidRDefault="0013116F" w:rsidP="0014565D">
      <w:pPr>
        <w:pStyle w:val="a9"/>
      </w:pPr>
      <w:r>
        <w:rPr>
          <w:rStyle w:val="ab"/>
        </w:rPr>
        <w:footnoteRef/>
      </w:r>
      <w:r>
        <w:rPr>
          <w:rtl/>
        </w:rPr>
        <w:t xml:space="preserve"> </w:t>
      </w:r>
      <w:r w:rsidRPr="00DE2FD3">
        <w:rPr>
          <w:rFonts w:cs="Arial"/>
          <w:rtl/>
        </w:rPr>
        <w:t>דאמר בסדין הם צרורות והם שבע</w:t>
      </w:r>
      <w:r>
        <w:rPr>
          <w:rFonts w:cs="Arial" w:hint="cs"/>
          <w:rtl/>
        </w:rPr>
        <w:t>, רש"י</w:t>
      </w:r>
      <w:r w:rsidRPr="00DE2FD3">
        <w:rPr>
          <w:rFonts w:cs="Arial"/>
          <w:rtl/>
        </w:rPr>
        <w:t>.</w:t>
      </w:r>
    </w:p>
  </w:footnote>
  <w:footnote w:id="868">
    <w:p w14:paraId="30CFC33B" w14:textId="77777777" w:rsidR="0013116F" w:rsidRDefault="0013116F" w:rsidP="0014565D">
      <w:pPr>
        <w:pStyle w:val="a9"/>
      </w:pPr>
      <w:r>
        <w:rPr>
          <w:rStyle w:val="ab"/>
        </w:rPr>
        <w:footnoteRef/>
      </w:r>
      <w:r>
        <w:rPr>
          <w:rtl/>
        </w:rPr>
        <w:t xml:space="preserve"> </w:t>
      </w:r>
      <w:r w:rsidRPr="00DE2FD3">
        <w:rPr>
          <w:rFonts w:cs="Arial"/>
          <w:rtl/>
        </w:rPr>
        <w:t>שטבע בנהר כדאמר ביבמות בפ' בתרא (ד' קכא)</w:t>
      </w:r>
      <w:r w:rsidRPr="00DE2FD3">
        <w:rPr>
          <w:rFonts w:cs="Arial" w:hint="cs"/>
          <w:rtl/>
        </w:rPr>
        <w:t xml:space="preserve"> </w:t>
      </w:r>
      <w:r>
        <w:rPr>
          <w:rFonts w:cs="Arial" w:hint="cs"/>
          <w:rtl/>
        </w:rPr>
        <w:t>, רש"י</w:t>
      </w:r>
      <w:r w:rsidRPr="00DE2FD3">
        <w:rPr>
          <w:rFonts w:cs="Arial"/>
          <w:rtl/>
        </w:rPr>
        <w:t>.</w:t>
      </w:r>
    </w:p>
  </w:footnote>
  <w:footnote w:id="869">
    <w:p w14:paraId="2D816D60" w14:textId="77777777" w:rsidR="0013116F" w:rsidRDefault="0013116F" w:rsidP="0014565D">
      <w:pPr>
        <w:pStyle w:val="a9"/>
      </w:pPr>
      <w:r>
        <w:rPr>
          <w:rStyle w:val="ab"/>
        </w:rPr>
        <w:footnoteRef/>
      </w:r>
      <w:r>
        <w:rPr>
          <w:rtl/>
        </w:rPr>
        <w:t xml:space="preserve"> </w:t>
      </w:r>
      <w:r w:rsidRPr="00DE2FD3">
        <w:rPr>
          <w:rFonts w:cs="Arial"/>
          <w:rtl/>
        </w:rPr>
        <w:t>לבוש משי צינד"ל בלע"ז</w:t>
      </w:r>
      <w:r>
        <w:rPr>
          <w:rFonts w:cs="Arial" w:hint="cs"/>
          <w:rtl/>
        </w:rPr>
        <w:t>, רש"י</w:t>
      </w:r>
      <w:r w:rsidRPr="00DE2FD3">
        <w:rPr>
          <w:rFonts w:cs="Arial"/>
          <w:rtl/>
        </w:rPr>
        <w:t>.</w:t>
      </w:r>
    </w:p>
  </w:footnote>
  <w:footnote w:id="870">
    <w:p w14:paraId="594DC587" w14:textId="77777777" w:rsidR="0013116F" w:rsidRDefault="0013116F">
      <w:pPr>
        <w:pStyle w:val="a9"/>
        <w:rPr>
          <w:rtl/>
        </w:rPr>
      </w:pPr>
      <w:r>
        <w:rPr>
          <w:rStyle w:val="ab"/>
        </w:rPr>
        <w:footnoteRef/>
      </w:r>
      <w:r>
        <w:rPr>
          <w:rtl/>
        </w:rPr>
        <w:t xml:space="preserve"> </w:t>
      </w:r>
      <w:r w:rsidRPr="004301AD">
        <w:rPr>
          <w:rFonts w:cs="Arial" w:hint="cs"/>
          <w:rtl/>
        </w:rPr>
        <w:t>כדעבד רבא</w:t>
      </w:r>
      <w:r>
        <w:rPr>
          <w:rFonts w:hint="cs"/>
          <w:rtl/>
        </w:rPr>
        <w:t>.</w:t>
      </w:r>
    </w:p>
  </w:footnote>
  <w:footnote w:id="871">
    <w:p w14:paraId="179FBB17" w14:textId="77777777" w:rsidR="0013116F" w:rsidRDefault="0013116F">
      <w:pPr>
        <w:pStyle w:val="a9"/>
      </w:pPr>
      <w:r>
        <w:rPr>
          <w:rStyle w:val="ab"/>
        </w:rPr>
        <w:footnoteRef/>
      </w:r>
      <w:r>
        <w:rPr>
          <w:rtl/>
        </w:rPr>
        <w:t xml:space="preserve"> </w:t>
      </w:r>
      <w:r w:rsidRPr="004301AD">
        <w:rPr>
          <w:rFonts w:cs="Arial" w:hint="cs"/>
          <w:rtl/>
        </w:rPr>
        <w:t>כדעבדו ר' אמי רב נחמן ורבי אבא</w:t>
      </w:r>
      <w:r>
        <w:rPr>
          <w:rFonts w:cs="Arial" w:hint="cs"/>
          <w:rtl/>
        </w:rPr>
        <w:t>.</w:t>
      </w:r>
    </w:p>
  </w:footnote>
  <w:footnote w:id="872">
    <w:p w14:paraId="65D91C2C" w14:textId="77777777" w:rsidR="0013116F" w:rsidRDefault="0013116F" w:rsidP="004301AD">
      <w:pPr>
        <w:pStyle w:val="a9"/>
        <w:rPr>
          <w:rtl/>
        </w:rPr>
      </w:pPr>
      <w:r>
        <w:rPr>
          <w:rStyle w:val="ab"/>
        </w:rPr>
        <w:footnoteRef/>
      </w:r>
      <w:r>
        <w:rPr>
          <w:rtl/>
        </w:rPr>
        <w:t xml:space="preserve"> </w:t>
      </w:r>
      <w:r>
        <w:rPr>
          <w:rFonts w:hint="cs"/>
          <w:rtl/>
        </w:rPr>
        <w:t>הטור העתיק את דברי הרמב"ם (הל' א-ב) אך את התיבות הללו לא העתיק, וכ' הב"י דצריך להוסיפם, וכן היא הגירסא ברמב"ם לפני, ועיין לקמן שכתב הב"י אפשרות מדוע השמיט הטור תיבות אלו.</w:t>
      </w:r>
    </w:p>
  </w:footnote>
  <w:footnote w:id="873">
    <w:p w14:paraId="551AB460" w14:textId="77777777" w:rsidR="0013116F" w:rsidRDefault="0013116F" w:rsidP="004301AD">
      <w:pPr>
        <w:pStyle w:val="a9"/>
        <w:rPr>
          <w:rtl/>
        </w:rPr>
      </w:pPr>
      <w:r>
        <w:rPr>
          <w:rStyle w:val="ab"/>
        </w:rPr>
        <w:footnoteRef/>
      </w:r>
      <w:r>
        <w:rPr>
          <w:rtl/>
        </w:rPr>
        <w:t xml:space="preserve"> </w:t>
      </w:r>
      <w:r>
        <w:rPr>
          <w:rFonts w:cs="Arial" w:hint="cs"/>
          <w:rtl/>
        </w:rPr>
        <w:t xml:space="preserve">ז"ל הב"י- </w:t>
      </w:r>
      <w:r>
        <w:rPr>
          <w:rFonts w:cs="Arial"/>
          <w:rtl/>
        </w:rPr>
        <w:t>ומ</w:t>
      </w:r>
      <w:r>
        <w:rPr>
          <w:rFonts w:cs="Arial" w:hint="cs"/>
          <w:rtl/>
        </w:rPr>
        <w:t>"</w:t>
      </w:r>
      <w:r>
        <w:rPr>
          <w:rFonts w:cs="Arial"/>
          <w:rtl/>
        </w:rPr>
        <w:t>מ איכא למידק דמשמע דלא אמר הכי גאון אלא לענין לאורועי שטרא או לאפוכי שבועתא אבל לענין להוציא מן היתומים באומדן דעת המת או הטוען משמע דבהא לא איירי גאון</w:t>
      </w:r>
      <w:r>
        <w:rPr>
          <w:rFonts w:cs="Arial" w:hint="cs"/>
          <w:rtl/>
        </w:rPr>
        <w:t>,</w:t>
      </w:r>
      <w:r>
        <w:rPr>
          <w:rFonts w:cs="Arial"/>
          <w:rtl/>
        </w:rPr>
        <w:t xml:space="preserve"> וכן משמע בהדיא ממה שכתבו הרי"ף והרא"ש ז"ל על הנהו עובדי למימרא דהלכה רווחת היא ולית בה פלוגתא ולא כתבו על זה שום דבר משמע דעוד היום דינא הוי הכי</w:t>
      </w:r>
      <w:r>
        <w:rPr>
          <w:rFonts w:cs="Arial" w:hint="cs"/>
          <w:rtl/>
        </w:rPr>
        <w:t>,</w:t>
      </w:r>
      <w:r>
        <w:rPr>
          <w:rFonts w:cs="Arial"/>
          <w:rtl/>
        </w:rPr>
        <w:t xml:space="preserve"> ואפשר שמטעם זה השמיט רבינו מדברי הרמב"ם הא דאין מוציאין מן היתומים אלא בראיה ברורה. והרמב"ם שכתב דהאידנא אין מוציאין מן היתומים אלא בראיה ברורה משמע דסבירא ליה ז"ל שכיון שטעמו של גאון משום דהאידנא לא בריר לן קים לי בגויה היכי הוא</w:t>
      </w:r>
      <w:r>
        <w:rPr>
          <w:rFonts w:cs="Arial" w:hint="cs"/>
          <w:rtl/>
        </w:rPr>
        <w:t>,</w:t>
      </w:r>
      <w:r>
        <w:rPr>
          <w:rFonts w:cs="Arial"/>
          <w:rtl/>
        </w:rPr>
        <w:t xml:space="preserve"> דהיינו לומר שרבו בתי דינים שאינם הגונים במעשיהם ואם הם הגונים במעשיהם אינם חכמים כראוי</w:t>
      </w:r>
      <w:r>
        <w:rPr>
          <w:rFonts w:cs="Arial" w:hint="cs"/>
          <w:rtl/>
        </w:rPr>
        <w:t>,</w:t>
      </w:r>
      <w:r>
        <w:rPr>
          <w:rFonts w:cs="Arial"/>
          <w:rtl/>
        </w:rPr>
        <w:t xml:space="preserve"> מההוא טעמא אית לן למימר דאין מוציאין מן היתומים אלא בראיה ברורה לא בדעת הדיין ולא באומדן דעת המת או הטוען</w:t>
      </w:r>
      <w:r>
        <w:rPr>
          <w:rFonts w:cs="Arial" w:hint="cs"/>
          <w:rtl/>
        </w:rPr>
        <w:t>,</w:t>
      </w:r>
      <w:r>
        <w:rPr>
          <w:rFonts w:cs="Arial"/>
          <w:rtl/>
        </w:rPr>
        <w:t xml:space="preserve"> ואע</w:t>
      </w:r>
      <w:r>
        <w:rPr>
          <w:rFonts w:cs="Arial" w:hint="cs"/>
          <w:rtl/>
        </w:rPr>
        <w:t>"</w:t>
      </w:r>
      <w:r>
        <w:rPr>
          <w:rFonts w:cs="Arial"/>
          <w:rtl/>
        </w:rPr>
        <w:t>פ שבפ"ו מהלכות שאלה (ה"ד) פסק שמי שבא ואמר כך וכך הפקדתי אצל אביכם ונתן סימנים מובהקים ונמצא הפקדון כמו שאמר</w:t>
      </w:r>
      <w:r>
        <w:rPr>
          <w:rFonts w:cs="Arial" w:hint="cs"/>
          <w:rtl/>
        </w:rPr>
        <w:t>,</w:t>
      </w:r>
      <w:r>
        <w:rPr>
          <w:rFonts w:cs="Arial"/>
          <w:rtl/>
        </w:rPr>
        <w:t xml:space="preserve"> והיה יודע הדיין שלא היה המת אמוד שזה הפקדון שלו</w:t>
      </w:r>
      <w:r>
        <w:rPr>
          <w:rFonts w:cs="Arial" w:hint="cs"/>
          <w:rtl/>
        </w:rPr>
        <w:t>,</w:t>
      </w:r>
      <w:r>
        <w:rPr>
          <w:rFonts w:cs="Arial"/>
          <w:rtl/>
        </w:rPr>
        <w:t xml:space="preserve"> יש לו לדיין לתת הפקדון לזה שנתן סימניו</w:t>
      </w:r>
      <w:r>
        <w:rPr>
          <w:rFonts w:cs="Arial" w:hint="cs"/>
          <w:rtl/>
        </w:rPr>
        <w:t>,</w:t>
      </w:r>
      <w:r>
        <w:rPr>
          <w:rFonts w:cs="Arial"/>
          <w:rtl/>
        </w:rPr>
        <w:t xml:space="preserve"> והוא שלא יהא המפקיד רגיל ליכנס אצל זה שמת</w:t>
      </w:r>
      <w:r>
        <w:rPr>
          <w:rFonts w:cs="Arial" w:hint="cs"/>
          <w:rtl/>
        </w:rPr>
        <w:t>.</w:t>
      </w:r>
      <w:r>
        <w:rPr>
          <w:rFonts w:cs="Arial"/>
          <w:rtl/>
        </w:rPr>
        <w:t xml:space="preserve"> וכיוצא בזה כתב בפי"א מהלכות נחלות (ה"א)</w:t>
      </w:r>
      <w:r>
        <w:rPr>
          <w:rFonts w:cs="Arial" w:hint="cs"/>
          <w:rtl/>
        </w:rPr>
        <w:t>,</w:t>
      </w:r>
      <w:r>
        <w:rPr>
          <w:rFonts w:cs="Arial"/>
          <w:rtl/>
        </w:rPr>
        <w:t xml:space="preserve"> שם כתב דין התלמוד</w:t>
      </w:r>
      <w:r>
        <w:rPr>
          <w:rFonts w:cs="Arial" w:hint="cs"/>
          <w:rtl/>
        </w:rPr>
        <w:t>,</w:t>
      </w:r>
      <w:r>
        <w:rPr>
          <w:rFonts w:cs="Arial"/>
          <w:rtl/>
        </w:rPr>
        <w:t xml:space="preserve"> וסמך על מה שכתב בהלכות סנהדרין כל אלו הדברים הם בעיקר הדין אבל משרבו בתי דינים שאינם הגונים במעשיהם וכו' הסכימו רוב בתי דיני ישראל וכו' וכן אין מוציאין מן היתומים אלא בראיה ברורה לא בדעת הדיין ולא באומדן דעת המת או הטוען</w:t>
      </w:r>
      <w:r>
        <w:rPr>
          <w:rFonts w:cs="Arial" w:hint="cs"/>
          <w:rtl/>
        </w:rPr>
        <w:t>.</w:t>
      </w:r>
    </w:p>
  </w:footnote>
  <w:footnote w:id="874">
    <w:p w14:paraId="7C86B265" w14:textId="77777777" w:rsidR="0013116F" w:rsidRDefault="0013116F">
      <w:pPr>
        <w:pStyle w:val="a9"/>
      </w:pPr>
      <w:r>
        <w:rPr>
          <w:rStyle w:val="ab"/>
        </w:rPr>
        <w:footnoteRef/>
      </w:r>
      <w:r>
        <w:rPr>
          <w:rtl/>
        </w:rPr>
        <w:t xml:space="preserve"> </w:t>
      </w:r>
      <w:r>
        <w:rPr>
          <w:rFonts w:hint="cs"/>
          <w:rtl/>
        </w:rPr>
        <w:t>ה</w:t>
      </w:r>
      <w:r>
        <w:rPr>
          <w:rFonts w:cs="Arial"/>
          <w:rtl/>
        </w:rPr>
        <w:t xml:space="preserve">ריב"ש </w:t>
      </w:r>
      <w:r w:rsidRPr="00DB3ECA">
        <w:rPr>
          <w:rFonts w:cs="Arial" w:hint="cs"/>
          <w:sz w:val="16"/>
          <w:szCs w:val="16"/>
          <w:rtl/>
        </w:rPr>
        <w:t>(שם</w:t>
      </w:r>
      <w:r w:rsidRPr="00DB3ECA">
        <w:rPr>
          <w:rFonts w:cs="Arial"/>
          <w:sz w:val="16"/>
          <w:szCs w:val="16"/>
          <w:rtl/>
        </w:rPr>
        <w:t xml:space="preserve">) </w:t>
      </w:r>
      <w:r>
        <w:rPr>
          <w:rFonts w:cs="Arial"/>
          <w:rtl/>
        </w:rPr>
        <w:t xml:space="preserve">הביא דברי הרמב"ם </w:t>
      </w:r>
      <w:r>
        <w:rPr>
          <w:rFonts w:cs="Arial" w:hint="cs"/>
          <w:rtl/>
        </w:rPr>
        <w:t xml:space="preserve">הנ"ל </w:t>
      </w:r>
      <w:r>
        <w:rPr>
          <w:rFonts w:cs="Arial" w:hint="cs"/>
          <w:sz w:val="16"/>
          <w:szCs w:val="16"/>
          <w:rtl/>
        </w:rPr>
        <w:t>(</w:t>
      </w:r>
      <w:r w:rsidRPr="00AE57FF">
        <w:rPr>
          <w:rFonts w:cs="Arial"/>
          <w:sz w:val="16"/>
          <w:szCs w:val="16"/>
          <w:rtl/>
        </w:rPr>
        <w:t>כללו של דבר כל שיעשה הדיין מדברים אלו</w:t>
      </w:r>
      <w:r>
        <w:rPr>
          <w:rFonts w:cs="Arial" w:hint="cs"/>
          <w:sz w:val="16"/>
          <w:szCs w:val="16"/>
          <w:rtl/>
        </w:rPr>
        <w:t xml:space="preserve"> וכו')</w:t>
      </w:r>
      <w:r w:rsidRPr="00AE57FF">
        <w:rPr>
          <w:rFonts w:cs="Arial"/>
          <w:sz w:val="16"/>
          <w:szCs w:val="16"/>
          <w:rtl/>
        </w:rPr>
        <w:t xml:space="preserve"> </w:t>
      </w:r>
      <w:r>
        <w:rPr>
          <w:rFonts w:cs="Arial" w:hint="cs"/>
          <w:rtl/>
        </w:rPr>
        <w:t xml:space="preserve">וכתב על זה- </w:t>
      </w:r>
      <w:r w:rsidRPr="00DB3ECA">
        <w:rPr>
          <w:rFonts w:cs="Arial"/>
          <w:rtl/>
        </w:rPr>
        <w:t>והם דברים ראויים אליו</w:t>
      </w:r>
      <w:r>
        <w:rPr>
          <w:rFonts w:cs="Arial" w:hint="cs"/>
          <w:rtl/>
        </w:rPr>
        <w:t>,</w:t>
      </w:r>
      <w:r w:rsidRPr="00DB3ECA">
        <w:rPr>
          <w:rFonts w:cs="Arial"/>
          <w:rtl/>
        </w:rPr>
        <w:t xml:space="preserve"> אבל</w:t>
      </w:r>
      <w:r>
        <w:rPr>
          <w:rFonts w:cs="Arial" w:hint="cs"/>
          <w:rtl/>
        </w:rPr>
        <w:t>-...</w:t>
      </w:r>
    </w:p>
  </w:footnote>
  <w:footnote w:id="875">
    <w:p w14:paraId="5676BFA1" w14:textId="77777777" w:rsidR="0013116F" w:rsidRDefault="0013116F" w:rsidP="0048466C">
      <w:pPr>
        <w:pStyle w:val="a9"/>
        <w:rPr>
          <w:rtl/>
        </w:rPr>
      </w:pPr>
      <w:r>
        <w:rPr>
          <w:rStyle w:val="ab"/>
        </w:rPr>
        <w:footnoteRef/>
      </w:r>
      <w:r>
        <w:rPr>
          <w:rtl/>
        </w:rPr>
        <w:t xml:space="preserve"> </w:t>
      </w:r>
      <w:r w:rsidRPr="0048466C">
        <w:rPr>
          <w:rFonts w:cs="Arial"/>
          <w:rtl/>
        </w:rPr>
        <w:t>וכי יעלה על הדעת שנאסור על המשכיר למכור את הבית אם צריך את הכסף לכדי חייו? אלא ודאי יכול למכור את הבית</w:t>
      </w:r>
      <w:r>
        <w:rPr>
          <w:rFonts w:cs="Arial" w:hint="cs"/>
          <w:rtl/>
        </w:rPr>
        <w:t>, ידיד נפש</w:t>
      </w:r>
      <w:r>
        <w:rPr>
          <w:rFonts w:hint="cs"/>
          <w:rtl/>
        </w:rPr>
        <w:t>.</w:t>
      </w:r>
    </w:p>
  </w:footnote>
  <w:footnote w:id="876">
    <w:p w14:paraId="24A275E8" w14:textId="77777777" w:rsidR="0013116F" w:rsidRDefault="0013116F">
      <w:pPr>
        <w:pStyle w:val="a9"/>
        <w:rPr>
          <w:rtl/>
        </w:rPr>
      </w:pPr>
      <w:r>
        <w:rPr>
          <w:rStyle w:val="ab"/>
        </w:rPr>
        <w:footnoteRef/>
      </w:r>
      <w:r>
        <w:rPr>
          <w:rtl/>
        </w:rPr>
        <w:t xml:space="preserve"> </w:t>
      </w:r>
      <w:r>
        <w:rPr>
          <w:rFonts w:cs="Arial" w:hint="cs"/>
          <w:rtl/>
        </w:rPr>
        <w:t xml:space="preserve">אלא </w:t>
      </w:r>
      <w:r w:rsidRPr="0048466C">
        <w:rPr>
          <w:rFonts w:cs="Arial"/>
          <w:rtl/>
        </w:rPr>
        <w:t xml:space="preserve">נעשה כאילו המשכיר אומר לקונה </w:t>
      </w:r>
      <w:r>
        <w:rPr>
          <w:rFonts w:cs="Arial" w:hint="cs"/>
          <w:rtl/>
        </w:rPr>
        <w:t>'</w:t>
      </w:r>
      <w:r w:rsidRPr="0048466C">
        <w:rPr>
          <w:rFonts w:cs="Arial"/>
          <w:rtl/>
        </w:rPr>
        <w:t>הניח לו לשהות בבית עד שתתמלא עונת השכירות שלו</w:t>
      </w:r>
      <w:r>
        <w:rPr>
          <w:rFonts w:cs="Arial" w:hint="cs"/>
          <w:rtl/>
        </w:rPr>
        <w:t>'</w:t>
      </w:r>
      <w:r w:rsidRPr="0048466C">
        <w:rPr>
          <w:rFonts w:cs="Arial"/>
          <w:rtl/>
        </w:rPr>
        <w:t>, ואם הקונה לא מסכים, אינו יכול למכור את הבית</w:t>
      </w:r>
      <w:r>
        <w:rPr>
          <w:rFonts w:hint="cs"/>
          <w:rtl/>
        </w:rPr>
        <w:t>, ידיד נפש.</w:t>
      </w:r>
    </w:p>
  </w:footnote>
  <w:footnote w:id="877">
    <w:p w14:paraId="079206C6" w14:textId="77777777" w:rsidR="0013116F" w:rsidRDefault="0013116F">
      <w:pPr>
        <w:pStyle w:val="a9"/>
        <w:rPr>
          <w:rtl/>
        </w:rPr>
      </w:pPr>
      <w:r>
        <w:rPr>
          <w:rStyle w:val="ab"/>
        </w:rPr>
        <w:footnoteRef/>
      </w:r>
      <w:r>
        <w:rPr>
          <w:rtl/>
        </w:rPr>
        <w:t xml:space="preserve"> </w:t>
      </w:r>
      <w:r w:rsidRPr="0014565D">
        <w:rPr>
          <w:rFonts w:cs="Arial"/>
          <w:rtl/>
        </w:rPr>
        <w:t xml:space="preserve">היה מעשה ובאו לדון לפני רבי ניסי </w:t>
      </w:r>
      <w:r>
        <w:rPr>
          <w:rFonts w:cs="Arial" w:hint="cs"/>
          <w:rtl/>
        </w:rPr>
        <w:t>ו</w:t>
      </w:r>
      <w:r w:rsidRPr="0014565D">
        <w:rPr>
          <w:rFonts w:cs="Arial"/>
          <w:rtl/>
        </w:rPr>
        <w:t>לא קיבל את דעתם של רבי זירא ורבי אילא, וכשהקונה לא רצה להניח לשוכר להישאר בבית, ציוה למכור את הבית ולהוציא את השוכר</w:t>
      </w:r>
      <w:r>
        <w:rPr>
          <w:rFonts w:hint="cs"/>
          <w:rtl/>
        </w:rPr>
        <w:t>, ידיד נפש</w:t>
      </w:r>
      <w:r w:rsidRPr="0014565D">
        <w:rPr>
          <w:rFonts w:cs="Arial"/>
          <w:rtl/>
        </w:rPr>
        <w:t>.</w:t>
      </w:r>
    </w:p>
  </w:footnote>
  <w:footnote w:id="878">
    <w:p w14:paraId="081A83F8" w14:textId="77777777" w:rsidR="0013116F" w:rsidRDefault="0013116F">
      <w:pPr>
        <w:pStyle w:val="a9"/>
        <w:rPr>
          <w:rtl/>
        </w:rPr>
      </w:pPr>
      <w:r>
        <w:rPr>
          <w:rStyle w:val="ab"/>
        </w:rPr>
        <w:footnoteRef/>
      </w:r>
      <w:r>
        <w:rPr>
          <w:rtl/>
        </w:rPr>
        <w:t xml:space="preserve"> </w:t>
      </w:r>
      <w:r w:rsidRPr="0014565D">
        <w:rPr>
          <w:rFonts w:cs="Arial"/>
          <w:rtl/>
        </w:rPr>
        <w:t>האם רבי ניסי חולק עליהם, או שמא היה זה מקרה מיוחד</w:t>
      </w:r>
      <w:r>
        <w:rPr>
          <w:rFonts w:hint="cs"/>
          <w:rtl/>
        </w:rPr>
        <w:t>, ידיד נפש</w:t>
      </w:r>
      <w:r w:rsidRPr="0014565D">
        <w:rPr>
          <w:rFonts w:cs="Arial"/>
          <w:rtl/>
        </w:rPr>
        <w:t>.</w:t>
      </w:r>
    </w:p>
  </w:footnote>
  <w:footnote w:id="879">
    <w:p w14:paraId="7C4570BF" w14:textId="77777777" w:rsidR="0013116F" w:rsidRDefault="0013116F">
      <w:pPr>
        <w:pStyle w:val="a9"/>
        <w:rPr>
          <w:rtl/>
        </w:rPr>
      </w:pPr>
      <w:r>
        <w:rPr>
          <w:rStyle w:val="ab"/>
        </w:rPr>
        <w:footnoteRef/>
      </w:r>
      <w:r>
        <w:rPr>
          <w:rtl/>
        </w:rPr>
        <w:t xml:space="preserve"> </w:t>
      </w:r>
      <w:r w:rsidRPr="0014565D">
        <w:rPr>
          <w:rFonts w:cs="Arial"/>
          <w:rtl/>
        </w:rPr>
        <w:t>אמרו בישיבה, אכן זה היה מקרה מיוחד</w:t>
      </w:r>
      <w:r>
        <w:rPr>
          <w:rFonts w:cs="Arial" w:hint="cs"/>
          <w:rtl/>
        </w:rPr>
        <w:t>,</w:t>
      </w:r>
      <w:r w:rsidRPr="0014565D">
        <w:rPr>
          <w:rFonts w:cs="Arial"/>
          <w:rtl/>
        </w:rPr>
        <w:t xml:space="preserve"> הבת של המשכיר הייתה ממושכנת אצל רומאי אחד, והיה חייב למכור את הבית לפדות את בתו</w:t>
      </w:r>
      <w:r>
        <w:rPr>
          <w:rFonts w:cs="Arial" w:hint="cs"/>
          <w:rtl/>
        </w:rPr>
        <w:t xml:space="preserve">, </w:t>
      </w:r>
      <w:r w:rsidRPr="0014565D">
        <w:rPr>
          <w:rFonts w:cs="Arial"/>
          <w:rtl/>
        </w:rPr>
        <w:t>לכן רבי ניסי הורה למכור את הבית ולפנות את השוכר</w:t>
      </w:r>
      <w:r>
        <w:rPr>
          <w:rFonts w:hint="cs"/>
          <w:rtl/>
        </w:rPr>
        <w:t>, ידיד נפש</w:t>
      </w:r>
      <w:r w:rsidRPr="0014565D">
        <w:rPr>
          <w:rFonts w:cs="Arial"/>
          <w:rtl/>
        </w:rPr>
        <w:t>.</w:t>
      </w:r>
    </w:p>
  </w:footnote>
  <w:footnote w:id="880">
    <w:p w14:paraId="0F033D4F" w14:textId="77777777" w:rsidR="0013116F" w:rsidRDefault="0013116F">
      <w:pPr>
        <w:pStyle w:val="a9"/>
      </w:pPr>
      <w:r>
        <w:rPr>
          <w:rStyle w:val="ab"/>
        </w:rPr>
        <w:footnoteRef/>
      </w:r>
      <w:r>
        <w:rPr>
          <w:rtl/>
        </w:rPr>
        <w:t xml:space="preserve"> </w:t>
      </w:r>
      <w:r w:rsidRPr="0000353D">
        <w:rPr>
          <w:rFonts w:cs="Arial"/>
          <w:rtl/>
        </w:rPr>
        <w:t>וכ"כ בתשובת הרשב"א סימן אלף קמ"ו וכתב דכן עשה הרמב"ן ז"ל שקרע שטר פרוע בידיו ועיין שם</w:t>
      </w:r>
      <w:r>
        <w:rPr>
          <w:rFonts w:cs="Arial" w:hint="cs"/>
          <w:rtl/>
        </w:rPr>
        <w:t xml:space="preserve">, דרכ"מ </w:t>
      </w:r>
      <w:r w:rsidRPr="0000353D">
        <w:rPr>
          <w:rFonts w:cs="Arial"/>
          <w:rtl/>
        </w:rPr>
        <w:t>(</w:t>
      </w:r>
      <w:r>
        <w:rPr>
          <w:rFonts w:cs="Arial" w:hint="cs"/>
          <w:rtl/>
        </w:rPr>
        <w:t xml:space="preserve">אות </w:t>
      </w:r>
      <w:r w:rsidRPr="0000353D">
        <w:rPr>
          <w:rFonts w:cs="Arial"/>
          <w:rtl/>
        </w:rPr>
        <w:t>ד)</w:t>
      </w:r>
      <w:r>
        <w:rPr>
          <w:rFonts w:cs="Arial" w:hint="cs"/>
          <w:rtl/>
        </w:rPr>
        <w:t>.</w:t>
      </w:r>
      <w:r>
        <w:rPr>
          <w:rFonts w:hint="cs"/>
          <w:rtl/>
        </w:rPr>
        <w:t xml:space="preserve"> </w:t>
      </w:r>
      <w:r w:rsidRPr="00B121AF">
        <w:rPr>
          <w:rFonts w:hint="cs"/>
          <w:color w:val="FF0000"/>
          <w:rtl/>
        </w:rPr>
        <w:t>הב"י רק הפנה לעיין בירושלמי, וכן הפנה בסע' שעבר (סע' ד) לעיין בתשו' הרשב"א (סי' אלף קמו</w:t>
      </w:r>
      <w:r>
        <w:rPr>
          <w:rFonts w:hint="cs"/>
          <w:color w:val="FF0000"/>
          <w:rtl/>
        </w:rPr>
        <w:t>, הבאתי דבריו בסע' ד</w:t>
      </w:r>
      <w:r w:rsidRPr="00B121AF">
        <w:rPr>
          <w:rFonts w:hint="cs"/>
          <w:color w:val="FF0000"/>
          <w:rtl/>
        </w:rPr>
        <w:t>), וצל"ע מדוע לא הביא את הדברים בפירוש</w:t>
      </w:r>
      <w:r>
        <w:rPr>
          <w:rFonts w:hint="cs"/>
          <w:rtl/>
        </w:rPr>
        <w:t xml:space="preserve">. </w:t>
      </w:r>
    </w:p>
  </w:footnote>
  <w:footnote w:id="881">
    <w:p w14:paraId="0A53C529" w14:textId="77777777" w:rsidR="0013116F" w:rsidRDefault="0013116F">
      <w:pPr>
        <w:pStyle w:val="a9"/>
        <w:rPr>
          <w:rtl/>
        </w:rPr>
      </w:pPr>
      <w:r>
        <w:rPr>
          <w:rStyle w:val="ab"/>
        </w:rPr>
        <w:footnoteRef/>
      </w:r>
      <w:r>
        <w:rPr>
          <w:rtl/>
        </w:rPr>
        <w:t xml:space="preserve"> </w:t>
      </w:r>
      <w:r w:rsidRPr="00B121AF">
        <w:rPr>
          <w:rFonts w:cs="Arial"/>
          <w:rtl/>
        </w:rPr>
        <w:t>גם זה מבואר ברמב"ם, ובא לאפוקי ממה שנהגו בימיהם, שאם בא אחד וטען יש לי פקדון אצל פלוני שמת בלא צואה ונתן בו סימנים, ולא היה הטוען רגיל לכנוס בבית זה האיש שמת, אם יודע הדיין שזה האיש שמת אינו אמוד להיות לו חפץ זה, וסמכה דעתו שאין זה חפץ של המת, מוציאין אותו מן היורשים ונותנין אותו לזה האיש האמוד שנותן בו סימנים. ודע דהרי"ף והרא"ש השמיטו ולא כתבו זה שאין מוציאין מן היתומים בז</w:t>
      </w:r>
      <w:r>
        <w:rPr>
          <w:rFonts w:cs="Arial" w:hint="cs"/>
          <w:rtl/>
        </w:rPr>
        <w:t>ה"ז</w:t>
      </w:r>
      <w:r w:rsidRPr="00B121AF">
        <w:rPr>
          <w:rFonts w:cs="Arial"/>
          <w:rtl/>
        </w:rPr>
        <w:t>, וגם הטור כתב סתמא האי דינא דמוציאין מן היורשים לקמן בס</w:t>
      </w:r>
      <w:r>
        <w:rPr>
          <w:rFonts w:cs="Arial" w:hint="cs"/>
          <w:rtl/>
        </w:rPr>
        <w:t>"</w:t>
      </w:r>
      <w:r w:rsidRPr="00B121AF">
        <w:rPr>
          <w:rFonts w:cs="Arial"/>
          <w:rtl/>
        </w:rPr>
        <w:t>ס רצ"ז, ומשמע דאפילו בזה</w:t>
      </w:r>
      <w:r>
        <w:rPr>
          <w:rFonts w:cs="Arial" w:hint="cs"/>
          <w:rtl/>
        </w:rPr>
        <w:t>"</w:t>
      </w:r>
      <w:r w:rsidRPr="00B121AF">
        <w:rPr>
          <w:rFonts w:cs="Arial"/>
          <w:rtl/>
        </w:rPr>
        <w:t>ז יש לנהוג כן, והיינו טעמא, כיון דאין היורשים טוענים ברי שהוא של אביהן ולא היה פקדון בידו, משום הכי מוציאין גם בזמן הזה, וכ"כ בשמם הב"י, וכאן בשו"ע סתם כהרמב"ם. ומהתימה על מור"ם שלא הזכיר סברתם</w:t>
      </w:r>
      <w:r>
        <w:rPr>
          <w:rFonts w:hint="cs"/>
          <w:rtl/>
        </w:rPr>
        <w:t>, סמ"ע (סקט"ז).</w:t>
      </w:r>
    </w:p>
  </w:footnote>
  <w:footnote w:id="882">
    <w:p w14:paraId="4ABF77FB" w14:textId="77777777" w:rsidR="0013116F" w:rsidRPr="0055217B" w:rsidRDefault="0013116F">
      <w:pPr>
        <w:pStyle w:val="a9"/>
        <w:rPr>
          <w:sz w:val="16"/>
          <w:szCs w:val="16"/>
        </w:rPr>
      </w:pPr>
      <w:r>
        <w:rPr>
          <w:rStyle w:val="ab"/>
        </w:rPr>
        <w:footnoteRef/>
      </w:r>
      <w:r>
        <w:rPr>
          <w:rtl/>
        </w:rPr>
        <w:t xml:space="preserve"> </w:t>
      </w:r>
      <w:r>
        <w:rPr>
          <w:rFonts w:hint="cs"/>
          <w:rtl/>
        </w:rPr>
        <w:t xml:space="preserve">סימן </w:t>
      </w:r>
      <w:r>
        <w:rPr>
          <w:rtl/>
        </w:rPr>
        <w:t>–</w:t>
      </w:r>
      <w:r>
        <w:rPr>
          <w:rFonts w:hint="cs"/>
          <w:rtl/>
        </w:rPr>
        <w:t xml:space="preserve"> קצת יחכו ב"ד </w:t>
      </w:r>
      <w:r w:rsidRPr="0060274F">
        <w:rPr>
          <w:rFonts w:hint="cs"/>
          <w:sz w:val="16"/>
          <w:szCs w:val="16"/>
          <w:rtl/>
        </w:rPr>
        <w:t>(בדין/בשמתא/באדרכתא</w:t>
      </w:r>
      <w:r>
        <w:rPr>
          <w:rFonts w:hint="cs"/>
          <w:sz w:val="16"/>
          <w:szCs w:val="16"/>
          <w:rtl/>
        </w:rPr>
        <w:t>. הסימן הוא גם לפי המשך הגמ' שם שלא מקיימים מיד את השטר, וכן אם לא הביא ראיה לאחר ל' יום לא כותבים עליו מיד שטר שמטא אלא מחכים בה"ב, וכן אם לא שילם עד שחיכו כנ"ל לא כותבים למלוה מיד אדרכתא לנכסי הלוה אלא ממתינים לו צ' יום כדי ליתן לו זמן להביא עדים או להשיג כסף, ע"ש)</w:t>
      </w:r>
    </w:p>
  </w:footnote>
  <w:footnote w:id="883">
    <w:p w14:paraId="2E6AB9F7" w14:textId="77777777" w:rsidR="0013116F" w:rsidRDefault="0013116F">
      <w:pPr>
        <w:pStyle w:val="a9"/>
        <w:rPr>
          <w:rtl/>
        </w:rPr>
      </w:pPr>
      <w:r>
        <w:rPr>
          <w:rStyle w:val="ab"/>
        </w:rPr>
        <w:footnoteRef/>
      </w:r>
      <w:r>
        <w:rPr>
          <w:rtl/>
        </w:rPr>
        <w:t xml:space="preserve"> </w:t>
      </w:r>
      <w:r>
        <w:rPr>
          <w:rFonts w:hint="cs"/>
          <w:rtl/>
        </w:rPr>
        <w:t xml:space="preserve">סימן </w:t>
      </w:r>
      <w:r>
        <w:rPr>
          <w:rtl/>
        </w:rPr>
        <w:t>–</w:t>
      </w:r>
      <w:r>
        <w:rPr>
          <w:rFonts w:hint="cs"/>
          <w:rtl/>
        </w:rPr>
        <w:t xml:space="preserve"> ל' אחכה. וכן </w:t>
      </w:r>
      <w:r>
        <w:rPr>
          <w:rtl/>
        </w:rPr>
        <w:t>–</w:t>
      </w:r>
      <w:r>
        <w:rPr>
          <w:rFonts w:hint="cs"/>
          <w:rtl/>
        </w:rPr>
        <w:t xml:space="preserve"> אתן ל'. וכן </w:t>
      </w:r>
      <w:r>
        <w:rPr>
          <w:rtl/>
        </w:rPr>
        <w:t>–</w:t>
      </w:r>
      <w:r>
        <w:rPr>
          <w:rFonts w:hint="cs"/>
          <w:rtl/>
        </w:rPr>
        <w:t xml:space="preserve"> אביא לסתור.</w:t>
      </w:r>
    </w:p>
  </w:footnote>
  <w:footnote w:id="884">
    <w:p w14:paraId="4F6D1424" w14:textId="77777777" w:rsidR="0013116F" w:rsidRDefault="0013116F" w:rsidP="008D1EE2">
      <w:pPr>
        <w:pStyle w:val="a9"/>
      </w:pPr>
      <w:r>
        <w:rPr>
          <w:rStyle w:val="ab"/>
        </w:rPr>
        <w:footnoteRef/>
      </w:r>
      <w:r>
        <w:rPr>
          <w:rtl/>
        </w:rPr>
        <w:t xml:space="preserve"> </w:t>
      </w:r>
      <w:r>
        <w:rPr>
          <w:rFonts w:cs="Arial" w:hint="cs"/>
          <w:rtl/>
        </w:rPr>
        <w:t>ו</w:t>
      </w:r>
      <w:r w:rsidRPr="004946CD">
        <w:rPr>
          <w:rFonts w:cs="Arial"/>
          <w:rtl/>
        </w:rPr>
        <w:t>פורע חובו מיד</w:t>
      </w:r>
      <w:r>
        <w:rPr>
          <w:rFonts w:cs="Arial" w:hint="cs"/>
          <w:rtl/>
        </w:rPr>
        <w:t>,</w:t>
      </w:r>
      <w:r w:rsidRPr="004946CD">
        <w:rPr>
          <w:rFonts w:cs="Arial"/>
          <w:rtl/>
        </w:rPr>
        <w:t xml:space="preserve"> ואח"כ אם יש לו ראיה יסתור הדין ויחזיר לו</w:t>
      </w:r>
      <w:r>
        <w:rPr>
          <w:rFonts w:cs="Arial" w:hint="cs"/>
          <w:rtl/>
        </w:rPr>
        <w:t>,</w:t>
      </w:r>
      <w:r w:rsidRPr="004946CD">
        <w:rPr>
          <w:rFonts w:cs="Arial"/>
          <w:rtl/>
        </w:rPr>
        <w:t xml:space="preserve"> ואפילו בקטנים דלאו בני ראיה נינהו אפילו הכי דינא הכי</w:t>
      </w:r>
      <w:r>
        <w:rPr>
          <w:rFonts w:cs="Arial" w:hint="cs"/>
          <w:rtl/>
        </w:rPr>
        <w:t>,</w:t>
      </w:r>
      <w:r w:rsidRPr="0088247B">
        <w:rPr>
          <w:rFonts w:cs="Arial"/>
          <w:rtl/>
        </w:rPr>
        <w:t xml:space="preserve"> </w:t>
      </w:r>
      <w:r w:rsidRPr="004946CD">
        <w:rPr>
          <w:rFonts w:cs="Arial"/>
          <w:rtl/>
        </w:rPr>
        <w:t xml:space="preserve">מרדכי </w:t>
      </w:r>
      <w:r>
        <w:rPr>
          <w:rFonts w:cs="Arial" w:hint="cs"/>
          <w:rtl/>
        </w:rPr>
        <w:t>(</w:t>
      </w:r>
      <w:r w:rsidRPr="004946CD">
        <w:rPr>
          <w:rFonts w:cs="Arial"/>
          <w:rtl/>
        </w:rPr>
        <w:t>ס</w:t>
      </w:r>
      <w:r>
        <w:rPr>
          <w:rFonts w:cs="Arial" w:hint="cs"/>
          <w:rtl/>
        </w:rPr>
        <w:t>"</w:t>
      </w:r>
      <w:r w:rsidRPr="004946CD">
        <w:rPr>
          <w:rFonts w:cs="Arial"/>
          <w:rtl/>
        </w:rPr>
        <w:t>פ זה בורר</w:t>
      </w:r>
      <w:r>
        <w:rPr>
          <w:rFonts w:cs="Arial" w:hint="cs"/>
          <w:rtl/>
        </w:rPr>
        <w:t xml:space="preserve">, </w:t>
      </w:r>
      <w:r w:rsidRPr="004946CD">
        <w:rPr>
          <w:rFonts w:cs="Arial"/>
          <w:rtl/>
        </w:rPr>
        <w:t>סי' תשו</w:t>
      </w:r>
      <w:r>
        <w:rPr>
          <w:rFonts w:cs="Arial" w:hint="cs"/>
          <w:rtl/>
        </w:rPr>
        <w:t>, הביאו הדרכ"מ אות א</w:t>
      </w:r>
      <w:r w:rsidRPr="004946CD">
        <w:rPr>
          <w:rFonts w:cs="Arial"/>
          <w:rtl/>
        </w:rPr>
        <w:t>)</w:t>
      </w:r>
      <w:r>
        <w:rPr>
          <w:rFonts w:cs="Arial" w:hint="cs"/>
          <w:rtl/>
        </w:rPr>
        <w:t>.</w:t>
      </w:r>
      <w:r w:rsidRPr="0088247B">
        <w:rPr>
          <w:rFonts w:cs="Arial" w:hint="cs"/>
          <w:color w:val="00B0F0"/>
          <w:rtl/>
        </w:rPr>
        <w:t xml:space="preserve"> (וכ"פ הרמ"א)</w:t>
      </w:r>
    </w:p>
  </w:footnote>
  <w:footnote w:id="885">
    <w:p w14:paraId="26AA99FF" w14:textId="77777777" w:rsidR="0013116F" w:rsidRDefault="0013116F">
      <w:pPr>
        <w:pStyle w:val="a9"/>
      </w:pPr>
      <w:r>
        <w:rPr>
          <w:rStyle w:val="ab"/>
        </w:rPr>
        <w:footnoteRef/>
      </w:r>
      <w:r>
        <w:rPr>
          <w:rtl/>
        </w:rPr>
        <w:t xml:space="preserve"> </w:t>
      </w:r>
      <w:r w:rsidRPr="00A22ACE">
        <w:rPr>
          <w:rFonts w:cs="Arial" w:hint="cs"/>
          <w:rtl/>
        </w:rPr>
        <w:t>כגון שיודע שיש לו עדים רק לא יודע מי הם או איפה הם נמצאים</w:t>
      </w:r>
      <w:r>
        <w:rPr>
          <w:rFonts w:cs="Arial" w:hint="cs"/>
          <w:rtl/>
        </w:rPr>
        <w:t>.</w:t>
      </w:r>
    </w:p>
  </w:footnote>
  <w:footnote w:id="886">
    <w:p w14:paraId="79E29B35" w14:textId="77777777" w:rsidR="0013116F" w:rsidRDefault="0013116F">
      <w:pPr>
        <w:pStyle w:val="a9"/>
        <w:rPr>
          <w:rtl/>
        </w:rPr>
      </w:pPr>
      <w:r>
        <w:rPr>
          <w:rStyle w:val="ab"/>
        </w:rPr>
        <w:footnoteRef/>
      </w:r>
      <w:r>
        <w:rPr>
          <w:rtl/>
        </w:rPr>
        <w:t xml:space="preserve"> </w:t>
      </w:r>
      <w:r>
        <w:rPr>
          <w:rFonts w:cs="Arial" w:hint="cs"/>
          <w:rtl/>
        </w:rPr>
        <w:t xml:space="preserve">וכן משמע מדברי הרמב"ם </w:t>
      </w:r>
      <w:r w:rsidRPr="00B71C5A">
        <w:rPr>
          <w:rFonts w:cs="Arial" w:hint="cs"/>
          <w:sz w:val="16"/>
          <w:szCs w:val="16"/>
          <w:rtl/>
        </w:rPr>
        <w:t>(</w:t>
      </w:r>
      <w:r w:rsidRPr="00B71C5A">
        <w:rPr>
          <w:rFonts w:cs="Arial"/>
          <w:sz w:val="16"/>
          <w:szCs w:val="16"/>
          <w:rtl/>
        </w:rPr>
        <w:t>פכ"ב ממלוה ה"ב</w:t>
      </w:r>
      <w:r w:rsidRPr="00B71C5A">
        <w:rPr>
          <w:rFonts w:cs="Arial" w:hint="cs"/>
          <w:sz w:val="16"/>
          <w:szCs w:val="16"/>
          <w:rtl/>
        </w:rPr>
        <w:t>)</w:t>
      </w:r>
      <w:r>
        <w:rPr>
          <w:rFonts w:cs="Arial" w:hint="cs"/>
          <w:sz w:val="16"/>
          <w:szCs w:val="16"/>
          <w:rtl/>
        </w:rPr>
        <w:t xml:space="preserve"> </w:t>
      </w:r>
      <w:r>
        <w:rPr>
          <w:rFonts w:cs="Arial" w:hint="cs"/>
          <w:rtl/>
        </w:rPr>
        <w:t>והטור</w:t>
      </w:r>
      <w:r w:rsidRPr="00D27D80">
        <w:rPr>
          <w:rFonts w:cs="Arial"/>
          <w:rtl/>
        </w:rPr>
        <w:t xml:space="preserve"> </w:t>
      </w:r>
      <w:r w:rsidRPr="00A22ACE">
        <w:rPr>
          <w:rFonts w:cs="Arial" w:hint="cs"/>
          <w:sz w:val="16"/>
          <w:szCs w:val="16"/>
          <w:rtl/>
        </w:rPr>
        <w:t>(</w:t>
      </w:r>
      <w:r w:rsidRPr="00A22ACE">
        <w:rPr>
          <w:rFonts w:cs="Arial"/>
          <w:sz w:val="16"/>
          <w:szCs w:val="16"/>
          <w:rtl/>
        </w:rPr>
        <w:t>סי</w:t>
      </w:r>
      <w:r w:rsidRPr="00A22ACE">
        <w:rPr>
          <w:rFonts w:cs="Arial" w:hint="cs"/>
          <w:sz w:val="16"/>
          <w:szCs w:val="16"/>
          <w:rtl/>
        </w:rPr>
        <w:t>'</w:t>
      </w:r>
      <w:r w:rsidRPr="00A22ACE">
        <w:rPr>
          <w:rFonts w:cs="Arial"/>
          <w:sz w:val="16"/>
          <w:szCs w:val="16"/>
          <w:rtl/>
        </w:rPr>
        <w:t xml:space="preserve"> צח ס"ו)</w:t>
      </w:r>
      <w:r>
        <w:rPr>
          <w:rFonts w:hint="cs"/>
          <w:rtl/>
        </w:rPr>
        <w:t xml:space="preserve">. והב"י שלח לעיין בדבריהם </w:t>
      </w:r>
      <w:r w:rsidRPr="003D697A">
        <w:rPr>
          <w:rFonts w:hint="cs"/>
          <w:sz w:val="16"/>
          <w:szCs w:val="16"/>
          <w:rtl/>
        </w:rPr>
        <w:t xml:space="preserve">(וז"ל הרמב"ם- </w:t>
      </w:r>
      <w:r w:rsidRPr="003D697A">
        <w:rPr>
          <w:rFonts w:cs="Arial"/>
          <w:sz w:val="16"/>
          <w:szCs w:val="16"/>
          <w:rtl/>
        </w:rPr>
        <w:t>טען ואמר שטר זה שנתקיים בפניכם מזוייף הוא אני אביא ראיה ואבטלנו והעד במקום פלוני והם פלוני ופלוני, אם נראה לדיינין שיש ממש בדבריו קובעין לו זמן להביא עדיו ואם נראה להם שאינו בא אלא בעלילות דברים ובטענות של דופי אומרים לו שלם ואח"כ אם יש לו ראיה יחזור</w:t>
      </w:r>
      <w:r w:rsidRPr="003D697A">
        <w:rPr>
          <w:rFonts w:hint="cs"/>
          <w:sz w:val="16"/>
          <w:szCs w:val="16"/>
          <w:rtl/>
        </w:rPr>
        <w:t>...</w:t>
      </w:r>
      <w:r>
        <w:rPr>
          <w:rFonts w:hint="cs"/>
          <w:sz w:val="16"/>
          <w:szCs w:val="16"/>
          <w:rtl/>
        </w:rPr>
        <w:t>)</w:t>
      </w:r>
      <w:r>
        <w:rPr>
          <w:rFonts w:hint="cs"/>
          <w:rtl/>
        </w:rPr>
        <w:t>.</w:t>
      </w:r>
    </w:p>
  </w:footnote>
  <w:footnote w:id="887">
    <w:p w14:paraId="05693CB7" w14:textId="77777777" w:rsidR="0013116F" w:rsidRDefault="0013116F" w:rsidP="002247F4">
      <w:pPr>
        <w:pStyle w:val="a9"/>
        <w:rPr>
          <w:rtl/>
        </w:rPr>
      </w:pPr>
      <w:r>
        <w:rPr>
          <w:rStyle w:val="ab"/>
        </w:rPr>
        <w:footnoteRef/>
      </w:r>
      <w:r>
        <w:rPr>
          <w:rtl/>
        </w:rPr>
        <w:t xml:space="preserve"> </w:t>
      </w:r>
      <w:r>
        <w:rPr>
          <w:rFonts w:cs="Arial"/>
          <w:rtl/>
        </w:rPr>
        <w:t>כמ"ש בפרק זה בורר כל ראיות שיש לך הבא מכאן עד שלשים יום ובפרק הבית והעליה (ב"מ קיח.) וכמה זמן בית דין שלשים יום</w:t>
      </w:r>
      <w:r>
        <w:rPr>
          <w:rFonts w:cs="Arial" w:hint="cs"/>
          <w:rtl/>
        </w:rPr>
        <w:t>,</w:t>
      </w:r>
      <w:r>
        <w:rPr>
          <w:rFonts w:cs="Arial"/>
          <w:rtl/>
        </w:rPr>
        <w:t xml:space="preserve"> וכן מדברי התוס</w:t>
      </w:r>
      <w:r>
        <w:rPr>
          <w:rFonts w:cs="Arial" w:hint="cs"/>
          <w:rtl/>
        </w:rPr>
        <w:t>'</w:t>
      </w:r>
      <w:r>
        <w:rPr>
          <w:rFonts w:cs="Arial"/>
          <w:rtl/>
        </w:rPr>
        <w:t xml:space="preserve"> בב</w:t>
      </w:r>
      <w:r>
        <w:rPr>
          <w:rFonts w:cs="Arial" w:hint="cs"/>
          <w:rtl/>
        </w:rPr>
        <w:t>"</w:t>
      </w:r>
      <w:r>
        <w:rPr>
          <w:rFonts w:cs="Arial"/>
          <w:rtl/>
        </w:rPr>
        <w:t>ק (מו: ד"ה שאין) גבי נזקקין לתובע תחלה</w:t>
      </w:r>
      <w:r>
        <w:rPr>
          <w:rFonts w:hint="cs"/>
          <w:rtl/>
        </w:rPr>
        <w:t>, רשב"א.</w:t>
      </w:r>
    </w:p>
  </w:footnote>
  <w:footnote w:id="888">
    <w:p w14:paraId="314AE0B8" w14:textId="77777777" w:rsidR="0013116F" w:rsidRDefault="0013116F">
      <w:pPr>
        <w:pStyle w:val="a9"/>
      </w:pPr>
      <w:r>
        <w:rPr>
          <w:rStyle w:val="ab"/>
        </w:rPr>
        <w:footnoteRef/>
      </w:r>
      <w:r>
        <w:rPr>
          <w:rtl/>
        </w:rPr>
        <w:t xml:space="preserve"> </w:t>
      </w:r>
      <w:r w:rsidRPr="00AA5B65">
        <w:rPr>
          <w:rFonts w:cs="Arial"/>
          <w:rtl/>
        </w:rPr>
        <w:t xml:space="preserve">פירוש, בין נתבע בין תובע, דכשהנתבע רוצה לישבע לו על תביעתו, והתובע אומר איני רוצה להניחו לישבע ולפוטרו כי יש לי עדים, נותנין לו זמן ל' יום ולא יותר, וכמ"ש בסעיף שאחר זה, כי הנתבע יכול לומר לא אתלה בדין עמו כי יזיילו נכסי </w:t>
      </w:r>
      <w:r w:rsidRPr="00AA5B65">
        <w:rPr>
          <w:rFonts w:cs="Arial" w:hint="cs"/>
          <w:sz w:val="16"/>
          <w:szCs w:val="16"/>
          <w:rtl/>
        </w:rPr>
        <w:t>(</w:t>
      </w:r>
      <w:r w:rsidRPr="00AA5B65">
        <w:rPr>
          <w:rFonts w:cs="Arial"/>
          <w:sz w:val="16"/>
          <w:szCs w:val="16"/>
          <w:rtl/>
        </w:rPr>
        <w:t>והא דכתב מור"ם בסימן כ"ד בהג"ה דכשהתובע אומר איני רוצה שישבע לי עכשיו רק לכשארצה, דשומעין להתובע, הא התם נמי קאמר דאי זיילי נכסי דהנתבע ע</w:t>
      </w:r>
      <w:r>
        <w:rPr>
          <w:rFonts w:cs="Arial" w:hint="cs"/>
          <w:sz w:val="16"/>
          <w:szCs w:val="16"/>
          <w:rtl/>
        </w:rPr>
        <w:t>"</w:t>
      </w:r>
      <w:r w:rsidRPr="00AA5B65">
        <w:rPr>
          <w:rFonts w:cs="Arial"/>
          <w:sz w:val="16"/>
          <w:szCs w:val="16"/>
          <w:rtl/>
        </w:rPr>
        <w:t>י זה שומעין להנתבע, מיהו ל' יום ממתינים להתובע מאחר שטוען יש לי עדים שהוא כדברי, ולקמן בסימן כ"ד מיירי שאינו טוען שיש לו עדים, משו"ה אי זיילי נכסי נשבע לו מיד, ועיין מה שכתבתי שם עוד מזה [בסק"י]</w:t>
      </w:r>
      <w:r>
        <w:rPr>
          <w:rFonts w:cs="Arial" w:hint="cs"/>
          <w:sz w:val="16"/>
          <w:szCs w:val="16"/>
          <w:rtl/>
        </w:rPr>
        <w:t>)</w:t>
      </w:r>
      <w:r>
        <w:rPr>
          <w:rFonts w:cs="Arial" w:hint="cs"/>
          <w:rtl/>
        </w:rPr>
        <w:t>, סמ"ע (סק"א).</w:t>
      </w:r>
    </w:p>
  </w:footnote>
  <w:footnote w:id="889">
    <w:p w14:paraId="209BBB14" w14:textId="77777777" w:rsidR="0013116F" w:rsidRDefault="0013116F">
      <w:pPr>
        <w:pStyle w:val="a9"/>
      </w:pPr>
      <w:r>
        <w:rPr>
          <w:rStyle w:val="ab"/>
        </w:rPr>
        <w:footnoteRef/>
      </w:r>
      <w:r>
        <w:rPr>
          <w:rtl/>
        </w:rPr>
        <w:t xml:space="preserve"> </w:t>
      </w:r>
      <w:r w:rsidRPr="00AA5B65">
        <w:rPr>
          <w:rFonts w:cs="Arial"/>
          <w:rtl/>
        </w:rPr>
        <w:t>וה"ה נשבע אז ג"כ בע"כ של תובע, וחדא מינייהו נקט וכמ"ש לפני זה, וכמ"ש בסמוך [סימן כ"ד] בסק"ד</w:t>
      </w:r>
      <w:r>
        <w:rPr>
          <w:rFonts w:cs="Arial" w:hint="cs"/>
          <w:rtl/>
        </w:rPr>
        <w:t>, סמ"ע (סק"ג).</w:t>
      </w:r>
    </w:p>
  </w:footnote>
  <w:footnote w:id="890">
    <w:p w14:paraId="1164A5A4" w14:textId="77777777" w:rsidR="0013116F" w:rsidRDefault="0013116F">
      <w:pPr>
        <w:pStyle w:val="a9"/>
        <w:rPr>
          <w:rtl/>
        </w:rPr>
      </w:pPr>
      <w:r>
        <w:rPr>
          <w:rStyle w:val="ab"/>
        </w:rPr>
        <w:footnoteRef/>
      </w:r>
      <w:r>
        <w:rPr>
          <w:rtl/>
        </w:rPr>
        <w:t xml:space="preserve"> </w:t>
      </w:r>
      <w:r w:rsidRPr="00AA5B65">
        <w:rPr>
          <w:rFonts w:cs="Arial"/>
          <w:rtl/>
        </w:rPr>
        <w:t>פירוש, אפילו בדבר שאין פסידא, כן הוא שם [בריטב"א]. וכתב עוד שם ברשב"א</w:t>
      </w:r>
      <w:r>
        <w:rPr>
          <w:rFonts w:cs="Arial" w:hint="cs"/>
          <w:rtl/>
        </w:rPr>
        <w:t>-</w:t>
      </w:r>
      <w:r w:rsidRPr="00AA5B65">
        <w:rPr>
          <w:rFonts w:cs="Arial"/>
          <w:rtl/>
        </w:rPr>
        <w:t xml:space="preserve"> אף שאין ידוע שדעתו להשמטה רק שיש לשכנגדו הפסד בזה, צריך להביא ראיה תוך ל' יום, עיין ד"מ א' שהביאו</w:t>
      </w:r>
      <w:r>
        <w:rPr>
          <w:rFonts w:hint="cs"/>
          <w:rtl/>
        </w:rPr>
        <w:t>, סמ"ע (סק"ד).</w:t>
      </w:r>
    </w:p>
  </w:footnote>
  <w:footnote w:id="891">
    <w:p w14:paraId="5D3340F8" w14:textId="77777777" w:rsidR="0013116F" w:rsidRDefault="0013116F" w:rsidP="00416012">
      <w:pPr>
        <w:pStyle w:val="a9"/>
        <w:rPr>
          <w:rtl/>
        </w:rPr>
      </w:pPr>
      <w:r>
        <w:rPr>
          <w:rStyle w:val="ab"/>
        </w:rPr>
        <w:footnoteRef/>
      </w:r>
      <w:r>
        <w:rPr>
          <w:rtl/>
        </w:rPr>
        <w:t xml:space="preserve"> </w:t>
      </w:r>
      <w:r w:rsidRPr="007119EF">
        <w:rPr>
          <w:rFonts w:cs="Arial" w:hint="cs"/>
          <w:rtl/>
        </w:rPr>
        <w:t>כגון שחשב התובע שהנתבע יודה, אך הנתבע לא הודה-</w:t>
      </w:r>
      <w:r>
        <w:rPr>
          <w:rFonts w:hint="cs"/>
          <w:rtl/>
        </w:rPr>
        <w:t>...</w:t>
      </w:r>
    </w:p>
  </w:footnote>
  <w:footnote w:id="892">
    <w:p w14:paraId="1250535F" w14:textId="77777777" w:rsidR="0013116F" w:rsidRDefault="0013116F" w:rsidP="00416012">
      <w:pPr>
        <w:pStyle w:val="a9"/>
        <w:rPr>
          <w:rtl/>
        </w:rPr>
      </w:pPr>
      <w:r>
        <w:rPr>
          <w:rStyle w:val="ab"/>
        </w:rPr>
        <w:footnoteRef/>
      </w:r>
      <w:r>
        <w:rPr>
          <w:rtl/>
        </w:rPr>
        <w:t xml:space="preserve"> </w:t>
      </w:r>
      <w:r>
        <w:rPr>
          <w:rFonts w:hint="cs"/>
          <w:rtl/>
        </w:rPr>
        <w:t>כיון שכבר התחילו בדין וחייבו את שכנגדו בשבועה אז לא יגידו לו 'בא נבטל את הדין, וכשתביא ראיה נתחיל לדון מחדש'.</w:t>
      </w:r>
    </w:p>
  </w:footnote>
  <w:footnote w:id="893">
    <w:p w14:paraId="2E9B1EDB" w14:textId="77777777" w:rsidR="0013116F" w:rsidRDefault="0013116F" w:rsidP="00416012">
      <w:pPr>
        <w:pStyle w:val="a9"/>
      </w:pPr>
      <w:r>
        <w:rPr>
          <w:rStyle w:val="ab"/>
        </w:rPr>
        <w:footnoteRef/>
      </w:r>
      <w:r>
        <w:rPr>
          <w:rtl/>
        </w:rPr>
        <w:t xml:space="preserve"> </w:t>
      </w:r>
      <w:r>
        <w:rPr>
          <w:rFonts w:hint="cs"/>
          <w:rtl/>
        </w:rPr>
        <w:t xml:space="preserve">היינו ישיב לו טענה על דבריו. </w:t>
      </w:r>
    </w:p>
  </w:footnote>
  <w:footnote w:id="894">
    <w:p w14:paraId="0FFB8C02" w14:textId="77777777" w:rsidR="0013116F" w:rsidRDefault="0013116F" w:rsidP="00416012">
      <w:pPr>
        <w:pStyle w:val="a9"/>
        <w:rPr>
          <w:rtl/>
        </w:rPr>
      </w:pPr>
      <w:r>
        <w:rPr>
          <w:rStyle w:val="ab"/>
        </w:rPr>
        <w:footnoteRef/>
      </w:r>
      <w:r>
        <w:rPr>
          <w:rtl/>
        </w:rPr>
        <w:t xml:space="preserve"> </w:t>
      </w:r>
      <w:r>
        <w:rPr>
          <w:rFonts w:cs="Arial" w:hint="cs"/>
          <w:rtl/>
        </w:rPr>
        <w:t>כתב הב"י ד</w:t>
      </w:r>
      <w:r>
        <w:rPr>
          <w:rFonts w:cs="Arial"/>
          <w:rtl/>
        </w:rPr>
        <w:t xml:space="preserve">מ"ש </w:t>
      </w:r>
      <w:r>
        <w:rPr>
          <w:rFonts w:cs="Arial" w:hint="cs"/>
          <w:rtl/>
        </w:rPr>
        <w:t>הטור '</w:t>
      </w:r>
      <w:r>
        <w:rPr>
          <w:rFonts w:cs="Arial"/>
          <w:rtl/>
        </w:rPr>
        <w:t>ואינו נאמן עוד להביא ראיה כיון שאמר אין לי ראיה</w:t>
      </w:r>
      <w:r>
        <w:rPr>
          <w:rFonts w:cs="Arial" w:hint="cs"/>
          <w:rtl/>
        </w:rPr>
        <w:t>' הוא</w:t>
      </w:r>
      <w:r>
        <w:rPr>
          <w:rFonts w:cs="Arial"/>
          <w:rtl/>
        </w:rPr>
        <w:t xml:space="preserve"> משנה בסוף פרק זה בורר (לא.)</w:t>
      </w:r>
      <w:r>
        <w:rPr>
          <w:rFonts w:cs="Arial" w:hint="cs"/>
          <w:rtl/>
        </w:rPr>
        <w:t>-</w:t>
      </w:r>
      <w:r>
        <w:rPr>
          <w:rFonts w:cs="Arial"/>
          <w:rtl/>
        </w:rPr>
        <w:t xml:space="preserve"> אמרו לו הבא עדים</w:t>
      </w:r>
      <w:r>
        <w:rPr>
          <w:rFonts w:cs="Arial" w:hint="cs"/>
          <w:rtl/>
        </w:rPr>
        <w:t>,</w:t>
      </w:r>
      <w:r>
        <w:rPr>
          <w:rFonts w:cs="Arial"/>
          <w:rtl/>
        </w:rPr>
        <w:t xml:space="preserve"> אמר אין לי עדים</w:t>
      </w:r>
      <w:r>
        <w:rPr>
          <w:rFonts w:cs="Arial" w:hint="cs"/>
          <w:rtl/>
        </w:rPr>
        <w:t>,</w:t>
      </w:r>
      <w:r>
        <w:rPr>
          <w:rFonts w:cs="Arial"/>
          <w:rtl/>
        </w:rPr>
        <w:t xml:space="preserve"> הבא ראיה</w:t>
      </w:r>
      <w:r>
        <w:rPr>
          <w:rFonts w:cs="Arial" w:hint="cs"/>
          <w:rtl/>
        </w:rPr>
        <w:t>,</w:t>
      </w:r>
      <w:r>
        <w:rPr>
          <w:rFonts w:cs="Arial"/>
          <w:rtl/>
        </w:rPr>
        <w:t xml:space="preserve"> אמר אין לי ראיה</w:t>
      </w:r>
      <w:r>
        <w:rPr>
          <w:rFonts w:cs="Arial" w:hint="cs"/>
          <w:rtl/>
        </w:rPr>
        <w:t>,</w:t>
      </w:r>
      <w:r>
        <w:rPr>
          <w:rFonts w:cs="Arial"/>
          <w:rtl/>
        </w:rPr>
        <w:t xml:space="preserve"> לאחר זמן מצא עדים ומצא ראיה הרי זה אינה כלום</w:t>
      </w:r>
      <w:r>
        <w:rPr>
          <w:rFonts w:cs="Arial" w:hint="cs"/>
          <w:rtl/>
        </w:rPr>
        <w:t>,</w:t>
      </w:r>
      <w:r>
        <w:rPr>
          <w:rFonts w:cs="Arial"/>
          <w:rtl/>
        </w:rPr>
        <w:t xml:space="preserve"> אמר רבן שמעון בן גמליאל מה יעשה זה שלא היה יודע שהיה לו ראיה או עדים ומצא ראיה או עדים</w:t>
      </w:r>
      <w:r>
        <w:rPr>
          <w:rFonts w:cs="Arial" w:hint="cs"/>
          <w:rtl/>
        </w:rPr>
        <w:t>.</w:t>
      </w:r>
      <w:r>
        <w:rPr>
          <w:rFonts w:cs="Arial"/>
          <w:rtl/>
        </w:rPr>
        <w:t xml:space="preserve"> ואיפסיקא בגמרא הלכתא כתנא קמא. ומ</w:t>
      </w:r>
      <w:r>
        <w:rPr>
          <w:rFonts w:cs="Arial" w:hint="cs"/>
          <w:rtl/>
        </w:rPr>
        <w:t>"מ</w:t>
      </w:r>
      <w:r>
        <w:rPr>
          <w:rFonts w:cs="Arial"/>
          <w:rtl/>
        </w:rPr>
        <w:t xml:space="preserve"> יש לדחות דשאני הכא שמתחלה טען שיש לו ראיה אלא שאינה מצויה וכשראה שבית דין פטרו בעל דינו מלהשיב לו אמר</w:t>
      </w:r>
      <w:r>
        <w:rPr>
          <w:rFonts w:cs="Arial" w:hint="cs"/>
          <w:rtl/>
        </w:rPr>
        <w:t>:</w:t>
      </w:r>
      <w:r>
        <w:rPr>
          <w:rFonts w:cs="Arial"/>
          <w:rtl/>
        </w:rPr>
        <w:t xml:space="preserve"> אין לי ראיה ישיב לי בלא ראיה</w:t>
      </w:r>
      <w:r>
        <w:rPr>
          <w:rFonts w:cs="Arial" w:hint="cs"/>
          <w:rtl/>
        </w:rPr>
        <w:t>.</w:t>
      </w:r>
      <w:r>
        <w:rPr>
          <w:rFonts w:cs="Arial"/>
          <w:rtl/>
        </w:rPr>
        <w:t xml:space="preserve"> כלומר תעשו חשבון שאין לי ראיה ישיב לי</w:t>
      </w:r>
      <w:r>
        <w:rPr>
          <w:rFonts w:cs="Arial" w:hint="cs"/>
          <w:rtl/>
        </w:rPr>
        <w:t>,</w:t>
      </w:r>
      <w:r>
        <w:rPr>
          <w:rFonts w:cs="Arial"/>
          <w:rtl/>
        </w:rPr>
        <w:t xml:space="preserve"> ואין זו הוראה שאין לו ראיה כמו שהוא במשנה</w:t>
      </w:r>
      <w:r>
        <w:rPr>
          <w:rFonts w:hint="cs"/>
          <w:rtl/>
        </w:rPr>
        <w:t>.</w:t>
      </w:r>
    </w:p>
  </w:footnote>
  <w:footnote w:id="895">
    <w:p w14:paraId="4036D10A" w14:textId="77777777" w:rsidR="0013116F" w:rsidRDefault="0013116F" w:rsidP="00416012">
      <w:pPr>
        <w:pStyle w:val="a9"/>
      </w:pPr>
      <w:r>
        <w:rPr>
          <w:rStyle w:val="ab"/>
        </w:rPr>
        <w:footnoteRef/>
      </w:r>
      <w:r>
        <w:rPr>
          <w:rtl/>
        </w:rPr>
        <w:t xml:space="preserve"> </w:t>
      </w:r>
      <w:r>
        <w:rPr>
          <w:rFonts w:hint="cs"/>
          <w:rtl/>
        </w:rPr>
        <w:t>וכתב בב"י על דברי ה"ר ישעיה שדברים ברורים הם.</w:t>
      </w:r>
    </w:p>
  </w:footnote>
  <w:footnote w:id="896">
    <w:p w14:paraId="11FE3BD6" w14:textId="77777777" w:rsidR="0013116F" w:rsidRDefault="0013116F">
      <w:pPr>
        <w:pStyle w:val="a9"/>
      </w:pPr>
      <w:r>
        <w:rPr>
          <w:rStyle w:val="ab"/>
        </w:rPr>
        <w:footnoteRef/>
      </w:r>
      <w:r>
        <w:rPr>
          <w:rtl/>
        </w:rPr>
        <w:t xml:space="preserve"> </w:t>
      </w:r>
      <w:r w:rsidRPr="00AA5B65">
        <w:rPr>
          <w:rFonts w:cs="Arial"/>
          <w:rtl/>
        </w:rPr>
        <w:t>פירוש, אהתובע קאי, וקאמר האי דנותנין לו זמן ל' יום</w:t>
      </w:r>
      <w:r>
        <w:rPr>
          <w:rFonts w:cs="Arial" w:hint="cs"/>
          <w:rtl/>
        </w:rPr>
        <w:t xml:space="preserve"> </w:t>
      </w:r>
      <w:r w:rsidRPr="00AA5B65">
        <w:rPr>
          <w:rFonts w:cs="Arial"/>
          <w:rtl/>
        </w:rPr>
        <w:t>ולא יותר דוקא כו', אבל בנתבע אין לחלק בהכי, וק"ל</w:t>
      </w:r>
      <w:r>
        <w:rPr>
          <w:rFonts w:cs="Arial" w:hint="cs"/>
          <w:rtl/>
        </w:rPr>
        <w:t>, סמ"ע (סק"ה).</w:t>
      </w:r>
    </w:p>
  </w:footnote>
  <w:footnote w:id="897">
    <w:p w14:paraId="614A33FE" w14:textId="77777777" w:rsidR="0013116F" w:rsidRDefault="0013116F">
      <w:pPr>
        <w:pStyle w:val="a9"/>
        <w:rPr>
          <w:rtl/>
        </w:rPr>
      </w:pPr>
      <w:r>
        <w:rPr>
          <w:rStyle w:val="ab"/>
        </w:rPr>
        <w:footnoteRef/>
      </w:r>
      <w:r>
        <w:rPr>
          <w:rtl/>
        </w:rPr>
        <w:t xml:space="preserve"> </w:t>
      </w:r>
      <w:r w:rsidRPr="006102CB">
        <w:rPr>
          <w:rFonts w:cs="Arial"/>
          <w:rtl/>
        </w:rPr>
        <w:t>אע</w:t>
      </w:r>
      <w:r>
        <w:rPr>
          <w:rFonts w:cs="Arial" w:hint="cs"/>
          <w:rtl/>
        </w:rPr>
        <w:t>"</w:t>
      </w:r>
      <w:r w:rsidRPr="006102CB">
        <w:rPr>
          <w:rFonts w:cs="Arial"/>
          <w:rtl/>
        </w:rPr>
        <w:t>ג דיכול להביא עדים או ראיה גם אחר השבועה ולסתור דינו, וכמ"ש לפני זה בסע</w:t>
      </w:r>
      <w:r>
        <w:rPr>
          <w:rFonts w:cs="Arial" w:hint="cs"/>
          <w:rtl/>
        </w:rPr>
        <w:t>'</w:t>
      </w:r>
      <w:r w:rsidRPr="006102CB">
        <w:rPr>
          <w:rFonts w:cs="Arial"/>
          <w:rtl/>
        </w:rPr>
        <w:t xml:space="preserve"> א</w:t>
      </w:r>
      <w:r>
        <w:rPr>
          <w:rFonts w:cs="Arial" w:hint="cs"/>
          <w:rtl/>
        </w:rPr>
        <w:t xml:space="preserve">. </w:t>
      </w:r>
      <w:r w:rsidRPr="006102CB">
        <w:rPr>
          <w:rFonts w:cs="Arial"/>
          <w:rtl/>
        </w:rPr>
        <w:t>י"ל דהוא סבר דשמא לא תהיה הראיה כ"כ ברורה, ומ"מ ע"י ראיה שיביא יודה לו הנתבע, או הב"ד יחמירו עליו בשבועתו או יהפכו השבועה, משא"כ כשכבר נשבע</w:t>
      </w:r>
      <w:r>
        <w:rPr>
          <w:rFonts w:hint="cs"/>
          <w:rtl/>
        </w:rPr>
        <w:t>, סמ"ע (סק"ו).</w:t>
      </w:r>
    </w:p>
  </w:footnote>
  <w:footnote w:id="898">
    <w:p w14:paraId="76B97A67" w14:textId="77777777" w:rsidR="0013116F" w:rsidRDefault="0013116F">
      <w:pPr>
        <w:pStyle w:val="a9"/>
        <w:rPr>
          <w:rtl/>
        </w:rPr>
      </w:pPr>
      <w:r>
        <w:rPr>
          <w:rStyle w:val="ab"/>
        </w:rPr>
        <w:footnoteRef/>
      </w:r>
      <w:r>
        <w:rPr>
          <w:rtl/>
        </w:rPr>
        <w:t xml:space="preserve"> </w:t>
      </w:r>
      <w:r w:rsidRPr="006102CB">
        <w:rPr>
          <w:rFonts w:cs="Arial"/>
          <w:rtl/>
        </w:rPr>
        <w:t>פירוש, לאחר שאמר אין לי ראיה דקאמר דמשיב לו בלא ראיה, היינו שנשבע נגד תביעתו ונפטר ואינו כו', וכ"כ הטור</w:t>
      </w:r>
      <w:r w:rsidRPr="006102CB">
        <w:rPr>
          <w:rFonts w:cs="Arial"/>
          <w:sz w:val="16"/>
          <w:szCs w:val="16"/>
          <w:rtl/>
        </w:rPr>
        <w:t xml:space="preserve"> [סע</w:t>
      </w:r>
      <w:r w:rsidRPr="006102CB">
        <w:rPr>
          <w:rFonts w:cs="Arial" w:hint="cs"/>
          <w:sz w:val="16"/>
          <w:szCs w:val="16"/>
          <w:rtl/>
        </w:rPr>
        <w:t>'</w:t>
      </w:r>
      <w:r w:rsidRPr="006102CB">
        <w:rPr>
          <w:rFonts w:cs="Arial"/>
          <w:sz w:val="16"/>
          <w:szCs w:val="16"/>
          <w:rtl/>
        </w:rPr>
        <w:t xml:space="preserve"> א]</w:t>
      </w:r>
      <w:r w:rsidRPr="006102CB">
        <w:rPr>
          <w:rFonts w:cs="Arial"/>
          <w:rtl/>
        </w:rPr>
        <w:t xml:space="preserve"> בשם רבי ישעיה ולא מצאתי מי שחולק ע"ז, רק שהב"י מפקפק עליו קצת ע"ש, ומשו"ה כתב גם כאן לשון יש מי שאומר, ועי</w:t>
      </w:r>
      <w:r>
        <w:rPr>
          <w:rFonts w:cs="Arial" w:hint="cs"/>
          <w:rtl/>
        </w:rPr>
        <w:t>'</w:t>
      </w:r>
      <w:r w:rsidRPr="006102CB">
        <w:rPr>
          <w:rFonts w:cs="Arial"/>
          <w:rtl/>
        </w:rPr>
        <w:t xml:space="preserve"> דרישה שם כתבתי ישוב לפקפוקו דב"י דלק"מ. והיותר נראה לומר, דהמחבר לא כיון לכתוב יש מי שאומר משום דיש פלוגתא בזה, אלא כל מקום שמצא דין שאינו נזכר ג"כ בשאר פוסקים כתב עליו ויש מי שאומר, וכ</w:t>
      </w:r>
      <w:r>
        <w:rPr>
          <w:rFonts w:cs="Arial" w:hint="cs"/>
          <w:rtl/>
        </w:rPr>
        <w:t>"מ</w:t>
      </w:r>
      <w:r w:rsidRPr="006102CB">
        <w:rPr>
          <w:rFonts w:cs="Arial"/>
          <w:rtl/>
        </w:rPr>
        <w:t xml:space="preserve"> לפנים בדברי המחבר בכמה מקומות</w:t>
      </w:r>
      <w:r>
        <w:rPr>
          <w:rFonts w:hint="cs"/>
          <w:rtl/>
        </w:rPr>
        <w:t>, סמ"ע</w:t>
      </w:r>
      <w:r w:rsidRPr="006102CB">
        <w:rPr>
          <w:rFonts w:hint="cs"/>
          <w:sz w:val="16"/>
          <w:szCs w:val="16"/>
          <w:rtl/>
        </w:rPr>
        <w:t xml:space="preserve"> (סק"ח)</w:t>
      </w:r>
      <w:r>
        <w:rPr>
          <w:rFonts w:hint="cs"/>
          <w:rtl/>
        </w:rPr>
        <w:t>.</w:t>
      </w:r>
    </w:p>
  </w:footnote>
  <w:footnote w:id="899">
    <w:p w14:paraId="4499A72C" w14:textId="77777777" w:rsidR="0013116F" w:rsidRDefault="0013116F">
      <w:pPr>
        <w:pStyle w:val="a9"/>
        <w:rPr>
          <w:rtl/>
        </w:rPr>
      </w:pPr>
      <w:r>
        <w:rPr>
          <w:rStyle w:val="ab"/>
        </w:rPr>
        <w:footnoteRef/>
      </w:r>
      <w:r>
        <w:rPr>
          <w:rtl/>
        </w:rPr>
        <w:t xml:space="preserve"> </w:t>
      </w:r>
      <w:r w:rsidRPr="00433B17">
        <w:rPr>
          <w:rFonts w:cs="Arial"/>
          <w:rtl/>
        </w:rPr>
        <w:t>ע"ש דלא נסתפק בזה המחבר וכתב בפשיטות דאין נותנין ע"ז חרם, ושאדרבה ראוי לנזיפה המבקש ליתן ע"ז חרם, אם לא שאמר ברי לי יש לי עדים שהוא פסול ואינם רוצים להעיד בלא חרם, ע"ז כתב שם דנותנין חרם. אבל בב"י שם [סעיף ט'] נראה קצת כאילו הוה פלוגתא בזה, ואני כתבתי שם בדרישה [הגהות דו"פ אות ג'] דלית פלוגתא בזה, ע"ש</w:t>
      </w:r>
      <w:r>
        <w:rPr>
          <w:rFonts w:hint="cs"/>
          <w:rtl/>
        </w:rPr>
        <w:t>, סמ"ע (סקי"ג).</w:t>
      </w:r>
    </w:p>
  </w:footnote>
  <w:footnote w:id="900">
    <w:p w14:paraId="55AF103C" w14:textId="77777777" w:rsidR="0013116F" w:rsidRDefault="0013116F">
      <w:pPr>
        <w:pStyle w:val="a9"/>
      </w:pPr>
      <w:r>
        <w:rPr>
          <w:rStyle w:val="ab"/>
        </w:rPr>
        <w:footnoteRef/>
      </w:r>
      <w:r>
        <w:rPr>
          <w:rtl/>
        </w:rPr>
        <w:t xml:space="preserve"> </w:t>
      </w:r>
      <w:r>
        <w:rPr>
          <w:rFonts w:hint="cs"/>
          <w:rtl/>
        </w:rPr>
        <w:t>וכו"ע מודי בזה לרשב"א.</w:t>
      </w:r>
    </w:p>
  </w:footnote>
  <w:footnote w:id="901">
    <w:p w14:paraId="380EB20D" w14:textId="77777777" w:rsidR="0013116F" w:rsidRDefault="0013116F" w:rsidP="00165F83">
      <w:pPr>
        <w:pStyle w:val="a9"/>
      </w:pPr>
      <w:r>
        <w:rPr>
          <w:rStyle w:val="ab"/>
        </w:rPr>
        <w:footnoteRef/>
      </w:r>
      <w:r>
        <w:rPr>
          <w:rtl/>
        </w:rPr>
        <w:t xml:space="preserve"> </w:t>
      </w:r>
      <w:r>
        <w:rPr>
          <w:rFonts w:hint="cs"/>
          <w:rtl/>
        </w:rPr>
        <w:t xml:space="preserve">וכתב הסמ"ע </w:t>
      </w:r>
      <w:r>
        <w:rPr>
          <w:rFonts w:cs="Arial" w:hint="cs"/>
          <w:rtl/>
        </w:rPr>
        <w:t>דאע"ג ש</w:t>
      </w:r>
      <w:r w:rsidRPr="00D646DD">
        <w:rPr>
          <w:rFonts w:cs="Arial"/>
          <w:rtl/>
        </w:rPr>
        <w:t>באומר איני יודע אם יש בו זכות לא כתב</w:t>
      </w:r>
      <w:r>
        <w:rPr>
          <w:rFonts w:cs="Arial" w:hint="cs"/>
          <w:rtl/>
        </w:rPr>
        <w:t xml:space="preserve"> השו"ע</w:t>
      </w:r>
      <w:r w:rsidRPr="00D646DD">
        <w:rPr>
          <w:rFonts w:cs="Arial"/>
          <w:rtl/>
        </w:rPr>
        <w:t xml:space="preserve"> כלום</w:t>
      </w:r>
      <w:r>
        <w:rPr>
          <w:rFonts w:cs="Arial" w:hint="cs"/>
          <w:rtl/>
        </w:rPr>
        <w:t xml:space="preserve"> </w:t>
      </w:r>
      <w:r>
        <w:rPr>
          <w:rFonts w:cs="Arial"/>
          <w:rtl/>
        </w:rPr>
        <w:t>–</w:t>
      </w:r>
      <w:r>
        <w:rPr>
          <w:rFonts w:cs="Arial" w:hint="cs"/>
          <w:rtl/>
        </w:rPr>
        <w:t xml:space="preserve"> מ"מ </w:t>
      </w:r>
      <w:r w:rsidRPr="00D646DD">
        <w:rPr>
          <w:rFonts w:cs="Arial"/>
          <w:rtl/>
        </w:rPr>
        <w:t>הוא ממילא נלמד, דאמרינן ליה אם אינך יודע מחויב אתה לראות ולבדוק בתוך שטרך, ואם תמצא שיש לו בהן זכות תראהו לב"ד, ואם אינך מבין ע"ז תראהו ג"כ להב"ד והם יבינו ויבררו הדבר.</w:t>
      </w:r>
      <w:r>
        <w:rPr>
          <w:rFonts w:cs="Arial" w:hint="cs"/>
          <w:rtl/>
        </w:rPr>
        <w:t xml:space="preserve"> ומש"כ הרמב"ם</w:t>
      </w:r>
      <w:r w:rsidRPr="00D646DD">
        <w:rPr>
          <w:rFonts w:cs="Arial"/>
          <w:rtl/>
        </w:rPr>
        <w:t xml:space="preserve"> </w:t>
      </w:r>
      <w:r>
        <w:rPr>
          <w:rFonts w:cs="Arial" w:hint="cs"/>
          <w:rtl/>
        </w:rPr>
        <w:t>שה</w:t>
      </w:r>
      <w:r w:rsidRPr="00D646DD">
        <w:rPr>
          <w:rFonts w:cs="Arial"/>
          <w:rtl/>
        </w:rPr>
        <w:t>טוען איני יודע כופין אותו להוציא, ר"ל באיני יודע איני "מכיר".</w:t>
      </w:r>
    </w:p>
  </w:footnote>
  <w:footnote w:id="902">
    <w:p w14:paraId="26D177EA" w14:textId="77777777" w:rsidR="0013116F" w:rsidRDefault="0013116F" w:rsidP="00C17801">
      <w:pPr>
        <w:pStyle w:val="a9"/>
        <w:rPr>
          <w:rtl/>
        </w:rPr>
      </w:pPr>
      <w:r>
        <w:rPr>
          <w:rStyle w:val="ab"/>
        </w:rPr>
        <w:footnoteRef/>
      </w:r>
      <w:r>
        <w:rPr>
          <w:rtl/>
        </w:rPr>
        <w:t xml:space="preserve"> </w:t>
      </w:r>
      <w:r>
        <w:rPr>
          <w:rFonts w:cs="Arial" w:hint="cs"/>
          <w:rtl/>
        </w:rPr>
        <w:t>הביא הטור את דברי הרמב"ם בס"ס ס'. וכתב עליו הב"י</w:t>
      </w:r>
      <w:r w:rsidRPr="009C7587">
        <w:rPr>
          <w:rFonts w:cs="Arial" w:hint="cs"/>
          <w:sz w:val="16"/>
          <w:szCs w:val="16"/>
          <w:rtl/>
        </w:rPr>
        <w:t xml:space="preserve"> (בס"ס ס')</w:t>
      </w:r>
      <w:r>
        <w:rPr>
          <w:rFonts w:cs="Arial" w:hint="cs"/>
          <w:rtl/>
        </w:rPr>
        <w:t xml:space="preserve">- </w:t>
      </w:r>
      <w:r w:rsidRPr="00DC4A4F">
        <w:rPr>
          <w:rFonts w:cs="Arial"/>
          <w:rtl/>
        </w:rPr>
        <w:t>ויש לתמוה על רבינו שכתב כאן דברי הרמב"ם סתם כאילו אין חולק עליהם ובסי</w:t>
      </w:r>
      <w:r>
        <w:rPr>
          <w:rFonts w:cs="Arial" w:hint="cs"/>
          <w:rtl/>
        </w:rPr>
        <w:t>'</w:t>
      </w:r>
      <w:r w:rsidRPr="00DC4A4F">
        <w:rPr>
          <w:rFonts w:cs="Arial"/>
          <w:rtl/>
        </w:rPr>
        <w:t xml:space="preserve"> י"ו </w:t>
      </w:r>
      <w:r w:rsidRPr="000469D7">
        <w:rPr>
          <w:rFonts w:cs="Arial"/>
          <w:sz w:val="16"/>
          <w:szCs w:val="16"/>
          <w:rtl/>
        </w:rPr>
        <w:t xml:space="preserve">(ס"ג) </w:t>
      </w:r>
      <w:r w:rsidRPr="00DC4A4F">
        <w:rPr>
          <w:rFonts w:cs="Arial"/>
          <w:rtl/>
        </w:rPr>
        <w:t>כתב שהרא"ש חולק בדבר</w:t>
      </w:r>
      <w:r>
        <w:rPr>
          <w:rFonts w:cs="Arial" w:hint="cs"/>
          <w:rtl/>
        </w:rPr>
        <w:t>,</w:t>
      </w:r>
      <w:r w:rsidRPr="00DC4A4F">
        <w:rPr>
          <w:rFonts w:cs="Arial"/>
          <w:rtl/>
        </w:rPr>
        <w:t xml:space="preserve"> וכתבתי שם שדעת הרשב"א כדעת הרא"ש</w:t>
      </w:r>
      <w:r>
        <w:rPr>
          <w:rFonts w:cs="Arial" w:hint="cs"/>
          <w:rtl/>
        </w:rPr>
        <w:t>.</w:t>
      </w:r>
      <w:r>
        <w:rPr>
          <w:rFonts w:hint="cs"/>
          <w:rtl/>
        </w:rPr>
        <w:t xml:space="preserve"> עכ"ל הב"י. </w:t>
      </w:r>
      <w:r w:rsidRPr="00165F83">
        <w:rPr>
          <w:rFonts w:hint="cs"/>
          <w:sz w:val="16"/>
          <w:szCs w:val="16"/>
          <w:rtl/>
        </w:rPr>
        <w:t>(וכוונתו לומר שדעת הרשב"א כדעת הרא"ש רק בזה שאין כופין אותו להוציאו, אבל בשאר דברים כמו להראות לדיינים הם כן חולקים כדמוכח להדיא בדבריהם</w:t>
      </w:r>
      <w:r>
        <w:rPr>
          <w:rFonts w:hint="cs"/>
          <w:sz w:val="16"/>
          <w:szCs w:val="16"/>
          <w:rtl/>
        </w:rPr>
        <w:t>. ואולי בזה מתורצת תמיהת הסמ"ע והט"ז על הב"י שכתב שיש מחלוקת בין הרמב"ם והרא"ש. היינו שהב"י התכוונן שמסכימים לדבר אחד והסמ"ע והט"ז הבינו שמסכימים בכל)</w:t>
      </w:r>
    </w:p>
    <w:p w14:paraId="4CF201A8" w14:textId="77777777" w:rsidR="0013116F" w:rsidRPr="00333CB9" w:rsidRDefault="0013116F" w:rsidP="00C17801">
      <w:pPr>
        <w:pStyle w:val="a9"/>
        <w:rPr>
          <w:u w:val="single"/>
          <w:rtl/>
        </w:rPr>
      </w:pPr>
      <w:r w:rsidRPr="00333CB9">
        <w:rPr>
          <w:rFonts w:hint="cs"/>
          <w:u w:val="single"/>
          <w:rtl/>
        </w:rPr>
        <w:t>ונחלקו רבותינו בהבנת דברי הרמב"ם והרא"ש:</w:t>
      </w:r>
    </w:p>
    <w:p w14:paraId="7B3665F7" w14:textId="77777777" w:rsidR="0013116F" w:rsidRDefault="0013116F" w:rsidP="004B0475">
      <w:pPr>
        <w:pStyle w:val="a9"/>
        <w:numPr>
          <w:ilvl w:val="0"/>
          <w:numId w:val="19"/>
        </w:numPr>
        <w:rPr>
          <w:rtl/>
        </w:rPr>
      </w:pPr>
      <w:r>
        <w:rPr>
          <w:rFonts w:hint="cs"/>
          <w:rtl/>
        </w:rPr>
        <w:t xml:space="preserve">דרכ"מ </w:t>
      </w:r>
      <w:r w:rsidRPr="000469D7">
        <w:rPr>
          <w:rFonts w:hint="cs"/>
          <w:sz w:val="16"/>
          <w:szCs w:val="16"/>
          <w:rtl/>
        </w:rPr>
        <w:t>(</w:t>
      </w:r>
      <w:r>
        <w:rPr>
          <w:rFonts w:hint="cs"/>
          <w:sz w:val="16"/>
          <w:szCs w:val="16"/>
          <w:rtl/>
        </w:rPr>
        <w:t>ב</w:t>
      </w:r>
      <w:r w:rsidRPr="000469D7">
        <w:rPr>
          <w:rFonts w:hint="cs"/>
          <w:sz w:val="16"/>
          <w:szCs w:val="16"/>
          <w:rtl/>
        </w:rPr>
        <w:t>ס</w:t>
      </w:r>
      <w:r>
        <w:rPr>
          <w:rFonts w:hint="cs"/>
          <w:sz w:val="16"/>
          <w:szCs w:val="16"/>
          <w:rtl/>
        </w:rPr>
        <w:t xml:space="preserve">ימן </w:t>
      </w:r>
      <w:r w:rsidRPr="000469D7">
        <w:rPr>
          <w:rFonts w:hint="cs"/>
          <w:sz w:val="16"/>
          <w:szCs w:val="16"/>
          <w:rtl/>
        </w:rPr>
        <w:t>ס</w:t>
      </w:r>
      <w:r>
        <w:rPr>
          <w:rFonts w:hint="cs"/>
          <w:sz w:val="16"/>
          <w:szCs w:val="16"/>
          <w:rtl/>
        </w:rPr>
        <w:t>'</w:t>
      </w:r>
      <w:r w:rsidRPr="000469D7">
        <w:rPr>
          <w:rFonts w:hint="cs"/>
          <w:sz w:val="16"/>
          <w:szCs w:val="16"/>
          <w:rtl/>
        </w:rPr>
        <w:t xml:space="preserve"> אות ט)</w:t>
      </w:r>
      <w:r>
        <w:rPr>
          <w:rFonts w:hint="cs"/>
          <w:rtl/>
        </w:rPr>
        <w:t xml:space="preserve">- </w:t>
      </w:r>
      <w:r>
        <w:rPr>
          <w:rFonts w:cs="Arial" w:hint="cs"/>
          <w:rtl/>
        </w:rPr>
        <w:t xml:space="preserve">הרא"ש </w:t>
      </w:r>
      <w:r w:rsidRPr="000469D7">
        <w:rPr>
          <w:rFonts w:cs="Arial"/>
          <w:rtl/>
        </w:rPr>
        <w:t>ס</w:t>
      </w:r>
      <w:r w:rsidRPr="000469D7">
        <w:rPr>
          <w:rFonts w:cs="Arial" w:hint="cs"/>
          <w:rtl/>
        </w:rPr>
        <w:t>"</w:t>
      </w:r>
      <w:r w:rsidRPr="000469D7">
        <w:rPr>
          <w:rFonts w:cs="Arial"/>
          <w:rtl/>
        </w:rPr>
        <w:t>ל דא</w:t>
      </w:r>
      <w:r w:rsidRPr="000469D7">
        <w:rPr>
          <w:rFonts w:cs="Arial" w:hint="cs"/>
          <w:rtl/>
        </w:rPr>
        <w:t>"</w:t>
      </w:r>
      <w:r w:rsidRPr="000469D7">
        <w:rPr>
          <w:rFonts w:cs="Arial"/>
          <w:rtl/>
        </w:rPr>
        <w:t>צ שבועה ולא חרם ואפילו נראה לבית דין שיש לו בו זכות אין כופין אותו להראות לו שטרו אלא יראה שטרו לבית דין</w:t>
      </w:r>
      <w:r>
        <w:rPr>
          <w:rFonts w:cs="Arial" w:hint="cs"/>
          <w:rtl/>
        </w:rPr>
        <w:t xml:space="preserve">. </w:t>
      </w:r>
    </w:p>
    <w:p w14:paraId="70F2B00F" w14:textId="77777777" w:rsidR="0013116F" w:rsidRDefault="0013116F" w:rsidP="004B0475">
      <w:pPr>
        <w:pStyle w:val="a9"/>
        <w:numPr>
          <w:ilvl w:val="0"/>
          <w:numId w:val="19"/>
        </w:numPr>
      </w:pPr>
      <w:r>
        <w:rPr>
          <w:rFonts w:hint="cs"/>
          <w:rtl/>
        </w:rPr>
        <w:t xml:space="preserve">סמ"ע </w:t>
      </w:r>
      <w:r w:rsidRPr="000469D7">
        <w:rPr>
          <w:rFonts w:hint="cs"/>
          <w:sz w:val="16"/>
          <w:szCs w:val="16"/>
          <w:rtl/>
        </w:rPr>
        <w:t>(סקט"ו)</w:t>
      </w:r>
      <w:r>
        <w:rPr>
          <w:rFonts w:hint="cs"/>
          <w:rtl/>
        </w:rPr>
        <w:t xml:space="preserve">- </w:t>
      </w:r>
      <w:r>
        <w:rPr>
          <w:rFonts w:cs="Arial" w:hint="cs"/>
          <w:rtl/>
        </w:rPr>
        <w:t>מש"כ הרמב"ם '</w:t>
      </w:r>
      <w:r w:rsidRPr="00905753">
        <w:rPr>
          <w:rFonts w:cs="Arial"/>
          <w:rtl/>
        </w:rPr>
        <w:t>הרי זה נשבע היסת שאינו אצלו ונאבד ממנו</w:t>
      </w:r>
      <w:r>
        <w:rPr>
          <w:rFonts w:cs="Arial" w:hint="cs"/>
          <w:rtl/>
        </w:rPr>
        <w:t xml:space="preserve">' </w:t>
      </w:r>
      <w:r w:rsidRPr="00905753">
        <w:rPr>
          <w:rFonts w:cs="Arial"/>
          <w:rtl/>
        </w:rPr>
        <w:t xml:space="preserve">לאו דוקא שטוען נאבד ממני, דה"ה אם טען לא היה לי שטר כזה מעולם וזה טוען ברי לי שיש בידך שטר כזה, דנשבע. וז"ש המחבר כאן </w:t>
      </w:r>
      <w:r>
        <w:rPr>
          <w:rFonts w:cs="Arial" w:hint="cs"/>
          <w:rtl/>
        </w:rPr>
        <w:t>'</w:t>
      </w:r>
      <w:r w:rsidRPr="00905753">
        <w:rPr>
          <w:rFonts w:cs="Arial"/>
          <w:rtl/>
        </w:rPr>
        <w:t>ואם טען זה שהוא יודע בודאי שהשטר הוא אצלו ה"ז נשבע היסת שאינו אצלו</w:t>
      </w:r>
      <w:r>
        <w:rPr>
          <w:rFonts w:cs="Arial" w:hint="cs"/>
          <w:rtl/>
        </w:rPr>
        <w:t>'.</w:t>
      </w:r>
      <w:r w:rsidRPr="00905753">
        <w:rPr>
          <w:rFonts w:cs="Arial"/>
          <w:rtl/>
        </w:rPr>
        <w:t xml:space="preserve"> ומשו"ה לא כתב המחבר לקמן ס</w:t>
      </w:r>
      <w:r>
        <w:rPr>
          <w:rFonts w:cs="Arial" w:hint="cs"/>
          <w:rtl/>
        </w:rPr>
        <w:t>"</w:t>
      </w:r>
      <w:r w:rsidRPr="00905753">
        <w:rPr>
          <w:rFonts w:cs="Arial"/>
          <w:rtl/>
        </w:rPr>
        <w:t>ס ס' כלום מדברי הרמב"ם הנ"ל וסמך אמ"ש כאן. ובזה תבין דלא פליגי אהדדי הרא"ש והרמב"ם, ולא כמ"ש הב"י ומשמעות ד"מ דלקמן ס</w:t>
      </w:r>
      <w:r>
        <w:rPr>
          <w:rFonts w:cs="Arial" w:hint="cs"/>
          <w:rtl/>
        </w:rPr>
        <w:t>"</w:t>
      </w:r>
      <w:r w:rsidRPr="00905753">
        <w:rPr>
          <w:rFonts w:cs="Arial"/>
          <w:rtl/>
        </w:rPr>
        <w:t>ס ס'</w:t>
      </w:r>
      <w:r>
        <w:rPr>
          <w:rFonts w:hint="cs"/>
          <w:rtl/>
        </w:rPr>
        <w:t>.</w:t>
      </w:r>
    </w:p>
    <w:p w14:paraId="29592F0E" w14:textId="77777777" w:rsidR="0013116F" w:rsidRDefault="0013116F" w:rsidP="004B0475">
      <w:pPr>
        <w:pStyle w:val="a9"/>
        <w:numPr>
          <w:ilvl w:val="0"/>
          <w:numId w:val="19"/>
        </w:numPr>
        <w:rPr>
          <w:rtl/>
        </w:rPr>
      </w:pPr>
      <w:r>
        <w:rPr>
          <w:rFonts w:cs="Arial" w:hint="cs"/>
          <w:rtl/>
        </w:rPr>
        <w:t xml:space="preserve">ט"ז </w:t>
      </w:r>
      <w:r w:rsidRPr="000469D7">
        <w:rPr>
          <w:rFonts w:hint="cs"/>
          <w:sz w:val="16"/>
          <w:szCs w:val="16"/>
          <w:rtl/>
        </w:rPr>
        <w:t>(ד"ה האומר לחבירו)</w:t>
      </w:r>
      <w:r>
        <w:rPr>
          <w:rFonts w:hint="cs"/>
          <w:rtl/>
        </w:rPr>
        <w:t xml:space="preserve">- </w:t>
      </w:r>
      <w:r w:rsidRPr="002F4F04">
        <w:rPr>
          <w:rFonts w:cs="Arial"/>
          <w:rtl/>
        </w:rPr>
        <w:t>הב"י עשה פלוגתא בין הרמב"ם להרא"ש</w:t>
      </w:r>
      <w:r>
        <w:rPr>
          <w:rFonts w:cs="Arial" w:hint="cs"/>
          <w:rtl/>
        </w:rPr>
        <w:t>,</w:t>
      </w:r>
      <w:r w:rsidRPr="002F4F04">
        <w:rPr>
          <w:rFonts w:cs="Arial"/>
          <w:rtl/>
        </w:rPr>
        <w:t xml:space="preserve"> ונראה דהם לאחדים, דרמב"ם לא מיירי שם רק אם בעל השטר אומר איני יודע אם יש לך, או איני מוציאו, אז עכ"פ מוציאו, ומזה נלמד ממילא דאם טוען ברי לי שאין שם זכותך ודאי נשבע היסת כשזה טוען ברי שיש שם זכות</w:t>
      </w:r>
      <w:r>
        <w:rPr>
          <w:rFonts w:cs="Arial" w:hint="cs"/>
          <w:rtl/>
        </w:rPr>
        <w:t>,</w:t>
      </w:r>
      <w:r w:rsidRPr="002F4F04">
        <w:rPr>
          <w:rFonts w:cs="Arial"/>
          <w:rtl/>
        </w:rPr>
        <w:t xml:space="preserve"> כמו באבד השטר, ומזה מיירי תשובת הרא"ש שמביא הטור</w:t>
      </w:r>
      <w:r w:rsidRPr="00EC7544">
        <w:rPr>
          <w:rtl/>
        </w:rPr>
        <w:t xml:space="preserve"> </w:t>
      </w:r>
      <w:r w:rsidRPr="00EC7544">
        <w:rPr>
          <w:rFonts w:cs="Arial"/>
          <w:rtl/>
        </w:rPr>
        <w:t xml:space="preserve">כאן [סעיף ב'], שזה טוען בודאי שאין לך שום זכות בשטר וזה אינו מאמין, ורצה השואל להרא"ש לומר שמה שתיקנו הגאונים להוציא השטר לב"ד, בכלל זה ג"כ דין זה, ואין נותנין לו שבועה ע"ז מאחר שיכול להתברר, ואין פוסקים שבועה בחנם כמ"ש הטור </w:t>
      </w:r>
      <w:r>
        <w:rPr>
          <w:rFonts w:cs="Arial" w:hint="cs"/>
          <w:rtl/>
        </w:rPr>
        <w:t>ס"ס</w:t>
      </w:r>
      <w:r w:rsidRPr="00EC7544">
        <w:rPr>
          <w:rFonts w:cs="Arial"/>
          <w:rtl/>
        </w:rPr>
        <w:t xml:space="preserve"> ע"ה ובשו"ע סי</w:t>
      </w:r>
      <w:r>
        <w:rPr>
          <w:rFonts w:cs="Arial" w:hint="cs"/>
          <w:rtl/>
        </w:rPr>
        <w:t>'</w:t>
      </w:r>
      <w:r w:rsidRPr="00EC7544">
        <w:rPr>
          <w:rFonts w:cs="Arial"/>
          <w:rtl/>
        </w:rPr>
        <w:t xml:space="preserve"> [כ"ד], וע"ז שאל אם צריך שיאמר הזכות בפירוש, והשיב הרא"ש שההוראה עצמה לא ישרה בעיניו לבטל מזה שבועת היסת ולכופו להראות השטר כי אין אדם רוצה להשביע וכו', אלא ודאי ישבע היסת שאין לו זכות בשטרו, ולא מיקרי כאן יכול להתברר ולבטל השבועה</w:t>
      </w:r>
      <w:r>
        <w:rPr>
          <w:rFonts w:hint="cs"/>
          <w:rtl/>
        </w:rPr>
        <w:t xml:space="preserve">. </w:t>
      </w:r>
    </w:p>
  </w:footnote>
  <w:footnote w:id="903">
    <w:p w14:paraId="5D6EEC73" w14:textId="77777777" w:rsidR="0013116F" w:rsidRDefault="0013116F">
      <w:pPr>
        <w:pStyle w:val="a9"/>
      </w:pPr>
      <w:r>
        <w:rPr>
          <w:rStyle w:val="ab"/>
        </w:rPr>
        <w:footnoteRef/>
      </w:r>
      <w:r>
        <w:rPr>
          <w:rtl/>
        </w:rPr>
        <w:t xml:space="preserve"> </w:t>
      </w:r>
      <w:r w:rsidRPr="00BA0F16">
        <w:rPr>
          <w:rFonts w:cs="Arial"/>
          <w:rtl/>
        </w:rPr>
        <w:t>פירוש, כשאומר כן לאיש אחר שאינו תובע שלו</w:t>
      </w:r>
      <w:r>
        <w:rPr>
          <w:rFonts w:cs="Arial" w:hint="cs"/>
          <w:rtl/>
        </w:rPr>
        <w:t>, ועיין פרישה ודרישה [סע' ג], סמ"ע (סקי"ד).</w:t>
      </w:r>
      <w:r w:rsidRPr="00B01E92">
        <w:rPr>
          <w:rtl/>
        </w:rPr>
        <w:t xml:space="preserve"> </w:t>
      </w:r>
      <w:r w:rsidRPr="00B01E92">
        <w:rPr>
          <w:rFonts w:cs="Arial"/>
          <w:rtl/>
        </w:rPr>
        <w:t xml:space="preserve">והועתקו דבריו אלה בבאה"ג [אות ח] ובמסגרת השולחן ובעטרת צבי ובמאמר קדישין. ועיין בתשובת שבו"י </w:t>
      </w:r>
      <w:r>
        <w:rPr>
          <w:rFonts w:cs="Arial" w:hint="cs"/>
          <w:rtl/>
        </w:rPr>
        <w:t>(</w:t>
      </w:r>
      <w:r w:rsidRPr="00B01E92">
        <w:rPr>
          <w:rFonts w:cs="Arial"/>
          <w:rtl/>
        </w:rPr>
        <w:t>ח"ג סי</w:t>
      </w:r>
      <w:r>
        <w:rPr>
          <w:rFonts w:cs="Arial" w:hint="cs"/>
          <w:rtl/>
        </w:rPr>
        <w:t>'</w:t>
      </w:r>
      <w:r w:rsidRPr="00B01E92">
        <w:rPr>
          <w:rFonts w:cs="Arial"/>
          <w:rtl/>
        </w:rPr>
        <w:t xml:space="preserve"> קמג</w:t>
      </w:r>
      <w:r>
        <w:rPr>
          <w:rFonts w:cs="Arial" w:hint="cs"/>
          <w:rtl/>
        </w:rPr>
        <w:t>)</w:t>
      </w:r>
      <w:r w:rsidRPr="00B01E92">
        <w:rPr>
          <w:rFonts w:cs="Arial"/>
          <w:rtl/>
        </w:rPr>
        <w:t xml:space="preserve"> שתמה על זה, דמשמע דבתובע שלו אינו חייב להוציאו, ובאמת בב"ח ובכנה"ג מבואר דבתובע עצמו יותר מוכרח להראות. </w:t>
      </w:r>
    </w:p>
  </w:footnote>
  <w:footnote w:id="904">
    <w:p w14:paraId="0371D2BF" w14:textId="77777777" w:rsidR="0013116F" w:rsidRDefault="0013116F">
      <w:pPr>
        <w:pStyle w:val="a9"/>
        <w:rPr>
          <w:rtl/>
        </w:rPr>
      </w:pPr>
      <w:r>
        <w:rPr>
          <w:rStyle w:val="ab"/>
        </w:rPr>
        <w:footnoteRef/>
      </w:r>
      <w:r>
        <w:rPr>
          <w:rtl/>
        </w:rPr>
        <w:t xml:space="preserve"> </w:t>
      </w:r>
      <w:r>
        <w:rPr>
          <w:rFonts w:hint="cs"/>
          <w:rtl/>
        </w:rPr>
        <w:t>עד כאן לשון הרשב"א, ומכאן לשון הרמב"ם.</w:t>
      </w:r>
    </w:p>
  </w:footnote>
  <w:footnote w:id="905">
    <w:p w14:paraId="40AE8A21" w14:textId="77777777" w:rsidR="0013116F" w:rsidRDefault="0013116F">
      <w:pPr>
        <w:pStyle w:val="a9"/>
        <w:rPr>
          <w:rtl/>
        </w:rPr>
      </w:pPr>
      <w:r>
        <w:rPr>
          <w:rStyle w:val="ab"/>
        </w:rPr>
        <w:footnoteRef/>
      </w:r>
      <w:r>
        <w:rPr>
          <w:rtl/>
        </w:rPr>
        <w:t xml:space="preserve"> </w:t>
      </w:r>
      <w:r w:rsidRPr="00DC4A4F">
        <w:rPr>
          <w:rFonts w:cs="Arial"/>
          <w:rtl/>
        </w:rPr>
        <w:t>הרשב"א</w:t>
      </w:r>
      <w:r>
        <w:rPr>
          <w:rFonts w:cs="Arial" w:hint="cs"/>
          <w:rtl/>
        </w:rPr>
        <w:t xml:space="preserve"> </w:t>
      </w:r>
      <w:r w:rsidRPr="00766BF9">
        <w:rPr>
          <w:rFonts w:cs="Arial" w:hint="cs"/>
          <w:sz w:val="16"/>
          <w:szCs w:val="16"/>
          <w:rtl/>
        </w:rPr>
        <w:t>(סי' תתפט)</w:t>
      </w:r>
      <w:r w:rsidRPr="00DC4A4F">
        <w:rPr>
          <w:rFonts w:cs="Arial"/>
          <w:rtl/>
        </w:rPr>
        <w:t xml:space="preserve"> כתב </w:t>
      </w:r>
      <w:r>
        <w:rPr>
          <w:rFonts w:cs="Arial" w:hint="cs"/>
          <w:rtl/>
        </w:rPr>
        <w:t>ש</w:t>
      </w:r>
      <w:r w:rsidRPr="00DC4A4F">
        <w:rPr>
          <w:rFonts w:cs="Arial"/>
          <w:rtl/>
        </w:rPr>
        <w:t>נתבע שטוען ליתן לו הטפסת השטר אין שומעין לו</w:t>
      </w:r>
      <w:r>
        <w:rPr>
          <w:rFonts w:cs="Arial" w:hint="cs"/>
          <w:rtl/>
        </w:rPr>
        <w:t>,</w:t>
      </w:r>
      <w:r w:rsidRPr="00DC4A4F">
        <w:rPr>
          <w:rFonts w:cs="Arial"/>
          <w:rtl/>
        </w:rPr>
        <w:t xml:space="preserve"> </w:t>
      </w:r>
      <w:r w:rsidRPr="00CB562F">
        <w:rPr>
          <w:rFonts w:cs="Arial"/>
          <w:rtl/>
        </w:rPr>
        <w:t>דמצי למימר דמית עלי כאריא ארבא ואיני רוצה שיהיה טופס שטר מונח אצלך כדי שלא תתחכם להערים ולמצוא עילה לפסול את שטרי והביא ראיה מדאמרינן פרק גט פשוט (ב"ב קסח.) דל</w:t>
      </w:r>
      <w:r>
        <w:rPr>
          <w:rFonts w:cs="Arial" w:hint="cs"/>
          <w:rtl/>
        </w:rPr>
        <w:t>ר</w:t>
      </w:r>
      <w:r w:rsidRPr="00CB562F">
        <w:rPr>
          <w:rFonts w:cs="Arial"/>
          <w:rtl/>
        </w:rPr>
        <w:t>שב</w:t>
      </w:r>
      <w:r>
        <w:rPr>
          <w:rFonts w:cs="Arial" w:hint="cs"/>
          <w:rtl/>
        </w:rPr>
        <w:t>"</w:t>
      </w:r>
      <w:r w:rsidRPr="00CB562F">
        <w:rPr>
          <w:rFonts w:cs="Arial"/>
          <w:rtl/>
        </w:rPr>
        <w:t>ג שטרי טענתא כותבין לכל אחד בפני עצמו משום דאמר אידך לא בעינא דתהוי טענתי גבי טענתך דדמית עלי כאריא ארבא ועד כאן לא פליגי רבנן עליה אלא משום פסידא דאידך שלא יצטרך לתת שכר על שטר אחר דעדיפא להו טענת מדת סדום מטענת דמית עלי כאריא אבל בעלמא ליכא מאן דפליג</w:t>
      </w:r>
      <w:r>
        <w:rPr>
          <w:rFonts w:cs="Arial" w:hint="cs"/>
          <w:rtl/>
        </w:rPr>
        <w:t>.</w:t>
      </w:r>
      <w:r>
        <w:rPr>
          <w:rFonts w:hint="cs"/>
          <w:rtl/>
        </w:rPr>
        <w:t xml:space="preserve"> </w:t>
      </w:r>
    </w:p>
  </w:footnote>
  <w:footnote w:id="906">
    <w:p w14:paraId="02F5FC4B" w14:textId="77777777" w:rsidR="0013116F" w:rsidRDefault="0013116F" w:rsidP="00C6365B">
      <w:pPr>
        <w:pStyle w:val="a9"/>
        <w:rPr>
          <w:rtl/>
        </w:rPr>
      </w:pPr>
      <w:r>
        <w:rPr>
          <w:rStyle w:val="ab"/>
        </w:rPr>
        <w:footnoteRef/>
      </w:r>
      <w:r>
        <w:rPr>
          <w:rtl/>
        </w:rPr>
        <w:t xml:space="preserve"> </w:t>
      </w:r>
      <w:r w:rsidRPr="00CB562F">
        <w:rPr>
          <w:rFonts w:cs="Arial"/>
          <w:rtl/>
        </w:rPr>
        <w:t>ומה ענין זה לכאן ההיא דפרק גט פשוט (קסח</w:t>
      </w:r>
      <w:r>
        <w:rPr>
          <w:rFonts w:cs="Arial" w:hint="cs"/>
          <w:rtl/>
        </w:rPr>
        <w:t>.</w:t>
      </w:r>
      <w:r w:rsidRPr="00CB562F">
        <w:rPr>
          <w:rFonts w:cs="Arial"/>
          <w:rtl/>
        </w:rPr>
        <w:t>) דאמר לא בעינא דתהוי טענתי גבי טענתיך, דהתם אדם פקח ובעל תחבולות מתוך שטענות חבירו מצויין אצלו ורואה אותן בכל שעה מחפש תחבולות לשנות את הידוע ולבטל דברי אמת של חבירו ולהטעים דברי שקרו. הילכך בשביל מעט הוצאות שיוציא חבירו לכתוב טענותיו אמרו רבנן שהדין עמו ולא שייך הכא כופין על מדת סדום. אבל בנדון זה יש לחוש שמא שטר מזויף הוא וכשיהיה הטופס בידו ישים אל לבו לזכור באיזו תחבולה נעשה השטר ויברר הדבר על בוריו, ואם השטר כשר לא יוכל לפסלו כלל ע"י הטופס שבידו</w:t>
      </w:r>
      <w:r>
        <w:rPr>
          <w:rFonts w:hint="cs"/>
          <w:rtl/>
        </w:rPr>
        <w:t>, רא"ש.</w:t>
      </w:r>
    </w:p>
  </w:footnote>
  <w:footnote w:id="907">
    <w:p w14:paraId="31DC76BB" w14:textId="77777777" w:rsidR="0013116F" w:rsidRDefault="0013116F" w:rsidP="00CB562F">
      <w:pPr>
        <w:pStyle w:val="a9"/>
        <w:rPr>
          <w:rtl/>
        </w:rPr>
      </w:pPr>
      <w:r>
        <w:rPr>
          <w:rStyle w:val="ab"/>
        </w:rPr>
        <w:footnoteRef/>
      </w:r>
      <w:r>
        <w:rPr>
          <w:rtl/>
        </w:rPr>
        <w:t xml:space="preserve"> </w:t>
      </w:r>
      <w:r w:rsidRPr="00194389">
        <w:rPr>
          <w:rFonts w:hint="cs"/>
          <w:u w:val="single"/>
          <w:rtl/>
        </w:rPr>
        <w:t xml:space="preserve">לדעת הרא"ש </w:t>
      </w:r>
      <w:r w:rsidRPr="00194389">
        <w:rPr>
          <w:u w:val="single"/>
          <w:rtl/>
        </w:rPr>
        <w:t>–</w:t>
      </w:r>
      <w:r w:rsidRPr="00194389">
        <w:rPr>
          <w:rFonts w:hint="cs"/>
          <w:u w:val="single"/>
          <w:rtl/>
        </w:rPr>
        <w:t xml:space="preserve"> האם נותנים את טופס השטר רק אם טוען טענת זיוף או גם כשרוצה את הטופס מכל טענה אחרת:</w:t>
      </w:r>
    </w:p>
    <w:p w14:paraId="71C3A139" w14:textId="77777777" w:rsidR="0013116F" w:rsidRDefault="0013116F" w:rsidP="004B0475">
      <w:pPr>
        <w:pStyle w:val="a9"/>
        <w:numPr>
          <w:ilvl w:val="0"/>
          <w:numId w:val="20"/>
        </w:numPr>
      </w:pPr>
      <w:r>
        <w:rPr>
          <w:rFonts w:hint="cs"/>
          <w:rtl/>
        </w:rPr>
        <w:t xml:space="preserve">ב"י- </w:t>
      </w:r>
      <w:r w:rsidRPr="00DC4A4F">
        <w:rPr>
          <w:rFonts w:cs="Arial"/>
          <w:rtl/>
        </w:rPr>
        <w:t xml:space="preserve">נראה מדברי הרא"ש דדוקא כשזה טוען </w:t>
      </w:r>
      <w:r>
        <w:rPr>
          <w:rFonts w:cs="Arial" w:hint="cs"/>
          <w:rtl/>
        </w:rPr>
        <w:t>'</w:t>
      </w:r>
      <w:r w:rsidRPr="00DC4A4F">
        <w:rPr>
          <w:rFonts w:cs="Arial"/>
          <w:rtl/>
        </w:rPr>
        <w:t>מזוייף הוא</w:t>
      </w:r>
      <w:r>
        <w:rPr>
          <w:rFonts w:cs="Arial" w:hint="cs"/>
          <w:rtl/>
        </w:rPr>
        <w:t>'</w:t>
      </w:r>
      <w:r w:rsidRPr="00DC4A4F">
        <w:rPr>
          <w:rFonts w:cs="Arial"/>
          <w:rtl/>
        </w:rPr>
        <w:t xml:space="preserve"> נותנין לו הטפסת השטר</w:t>
      </w:r>
      <w:r>
        <w:rPr>
          <w:rFonts w:cs="Arial" w:hint="cs"/>
          <w:rtl/>
        </w:rPr>
        <w:t>,</w:t>
      </w:r>
      <w:r w:rsidRPr="00DC4A4F">
        <w:rPr>
          <w:rFonts w:cs="Arial"/>
          <w:rtl/>
        </w:rPr>
        <w:t xml:space="preserve"> אבל בטענה אחרת כיון שמודה שהשטר אינו מזוייף נראה שאין נותנין הטפסת השטר </w:t>
      </w:r>
      <w:r w:rsidRPr="00CB562F">
        <w:rPr>
          <w:rFonts w:cs="Arial" w:hint="cs"/>
          <w:sz w:val="16"/>
          <w:szCs w:val="16"/>
          <w:rtl/>
        </w:rPr>
        <w:t>(</w:t>
      </w:r>
      <w:r w:rsidRPr="00CB562F">
        <w:rPr>
          <w:rFonts w:cs="Arial"/>
          <w:sz w:val="16"/>
          <w:szCs w:val="16"/>
          <w:rtl/>
        </w:rPr>
        <w:t>שאינו נוטל אותו אלא להתחכם לשנות את הידוע ולבטל דברי אמת הכתובים בשטר ולהטעים דברי שקרו דומיא דלא בעינא דתהוי טענתי גבי טענתך</w:t>
      </w:r>
      <w:r>
        <w:rPr>
          <w:rFonts w:cs="Arial" w:hint="cs"/>
          <w:sz w:val="16"/>
          <w:szCs w:val="16"/>
          <w:rtl/>
        </w:rPr>
        <w:t>)</w:t>
      </w:r>
      <w:r>
        <w:rPr>
          <w:rFonts w:cs="Arial" w:hint="cs"/>
          <w:rtl/>
        </w:rPr>
        <w:t>,</w:t>
      </w:r>
      <w:r w:rsidRPr="00DC4A4F">
        <w:rPr>
          <w:rFonts w:cs="Arial"/>
          <w:rtl/>
        </w:rPr>
        <w:t xml:space="preserve"> וכך מטין דברי הרמב"ם </w:t>
      </w:r>
      <w:r w:rsidRPr="00CB562F">
        <w:rPr>
          <w:rFonts w:cs="Arial" w:hint="cs"/>
          <w:sz w:val="16"/>
          <w:szCs w:val="16"/>
          <w:rtl/>
        </w:rPr>
        <w:t>(</w:t>
      </w:r>
      <w:r w:rsidRPr="00CB562F">
        <w:rPr>
          <w:rFonts w:cs="Arial"/>
          <w:sz w:val="16"/>
          <w:szCs w:val="16"/>
          <w:rtl/>
        </w:rPr>
        <w:t>שכתב אלא לאחר בירור דברי ההפסד וזיוף שבשטר וגם כתב כל זמן שיראה מן הדין לפי טענת בעלי דינין שיתן לו הטופס ומשמע דהכי קאמר אם זה טוען מזוייף הוא הדין נותן שיתנו לו טופס השטר ואם זה מודה שהשטר כשר אלא שטוען טענה אחרת אין נותנין לו כנ"ל</w:t>
      </w:r>
      <w:r>
        <w:rPr>
          <w:rFonts w:cs="Arial" w:hint="cs"/>
          <w:sz w:val="16"/>
          <w:szCs w:val="16"/>
          <w:rtl/>
        </w:rPr>
        <w:t>)</w:t>
      </w:r>
      <w:r>
        <w:rPr>
          <w:rFonts w:hint="cs"/>
          <w:rtl/>
        </w:rPr>
        <w:t>.</w:t>
      </w:r>
      <w:r w:rsidRPr="006B0BF6">
        <w:rPr>
          <w:rFonts w:cs="Arial" w:hint="cs"/>
          <w:color w:val="E36C0A" w:themeColor="accent6" w:themeShade="BF"/>
          <w:rtl/>
        </w:rPr>
        <w:t xml:space="preserve"> </w:t>
      </w:r>
      <w:r w:rsidRPr="00EA1846">
        <w:rPr>
          <w:rFonts w:cs="Arial" w:hint="cs"/>
          <w:color w:val="E36C0A" w:themeColor="accent6" w:themeShade="BF"/>
          <w:rtl/>
        </w:rPr>
        <w:t>(וכ"</w:t>
      </w:r>
      <w:r>
        <w:rPr>
          <w:rFonts w:cs="Arial" w:hint="cs"/>
          <w:color w:val="E36C0A" w:themeColor="accent6" w:themeShade="BF"/>
          <w:rtl/>
        </w:rPr>
        <w:t>ס</w:t>
      </w:r>
      <w:r w:rsidRPr="00EA1846">
        <w:rPr>
          <w:rFonts w:cs="Arial" w:hint="cs"/>
          <w:color w:val="E36C0A" w:themeColor="accent6" w:themeShade="BF"/>
          <w:rtl/>
        </w:rPr>
        <w:t xml:space="preserve"> בשו"ע)</w:t>
      </w:r>
    </w:p>
    <w:p w14:paraId="790D0EE0" w14:textId="77777777" w:rsidR="0013116F" w:rsidRDefault="0013116F" w:rsidP="004B0475">
      <w:pPr>
        <w:pStyle w:val="a9"/>
        <w:numPr>
          <w:ilvl w:val="0"/>
          <w:numId w:val="20"/>
        </w:numPr>
        <w:rPr>
          <w:rtl/>
        </w:rPr>
      </w:pPr>
      <w:r>
        <w:rPr>
          <w:rFonts w:cs="Arial" w:hint="cs"/>
          <w:rtl/>
        </w:rPr>
        <w:t>סמ"ע</w:t>
      </w:r>
      <w:r w:rsidRPr="00194389">
        <w:rPr>
          <w:rFonts w:cs="Arial" w:hint="cs"/>
          <w:sz w:val="16"/>
          <w:szCs w:val="16"/>
          <w:rtl/>
        </w:rPr>
        <w:t xml:space="preserve"> (סקט"ז)</w:t>
      </w:r>
      <w:r>
        <w:rPr>
          <w:rFonts w:cs="Arial" w:hint="cs"/>
          <w:rtl/>
        </w:rPr>
        <w:t xml:space="preserve">- </w:t>
      </w:r>
      <w:r w:rsidRPr="00194389">
        <w:rPr>
          <w:rFonts w:cs="Arial"/>
          <w:rtl/>
        </w:rPr>
        <w:t>נראה לדקדק מ</w:t>
      </w:r>
      <w:r>
        <w:rPr>
          <w:rFonts w:cs="Arial" w:hint="cs"/>
          <w:rtl/>
        </w:rPr>
        <w:t xml:space="preserve">אותה תשובה </w:t>
      </w:r>
      <w:r>
        <w:rPr>
          <w:rFonts w:cs="Arial" w:hint="cs"/>
          <w:sz w:val="16"/>
          <w:szCs w:val="16"/>
          <w:rtl/>
        </w:rPr>
        <w:t>{של הרא"ש}</w:t>
      </w:r>
      <w:r>
        <w:rPr>
          <w:rFonts w:cs="Arial" w:hint="cs"/>
          <w:rtl/>
        </w:rPr>
        <w:t xml:space="preserve">... </w:t>
      </w:r>
      <w:r w:rsidRPr="00194389">
        <w:rPr>
          <w:rFonts w:cs="Arial"/>
          <w:rtl/>
        </w:rPr>
        <w:t>דלהרא"ש ולמנהג אשכנז אין חילוק, אלא בכל ענין שמבקש הנתבע טופס כדי לבקש זכות לטענתו מתוך השטר, שנותנין לו</w:t>
      </w:r>
      <w:r>
        <w:rPr>
          <w:rFonts w:cs="Arial" w:hint="cs"/>
          <w:rtl/>
        </w:rPr>
        <w:t xml:space="preserve"> </w:t>
      </w:r>
      <w:r>
        <w:rPr>
          <w:rFonts w:cs="Arial" w:hint="cs"/>
          <w:sz w:val="16"/>
          <w:szCs w:val="16"/>
          <w:rtl/>
        </w:rPr>
        <w:t>{עי' בסמ"ע שהביא ראיות לדבריו}</w:t>
      </w:r>
      <w:r w:rsidRPr="00194389">
        <w:rPr>
          <w:rFonts w:cs="Arial"/>
          <w:rtl/>
        </w:rPr>
        <w:t>.</w:t>
      </w:r>
    </w:p>
  </w:footnote>
  <w:footnote w:id="908">
    <w:p w14:paraId="05009B4B" w14:textId="77777777" w:rsidR="0013116F" w:rsidRDefault="0013116F">
      <w:pPr>
        <w:pStyle w:val="a9"/>
        <w:rPr>
          <w:rtl/>
        </w:rPr>
      </w:pPr>
      <w:r>
        <w:rPr>
          <w:rStyle w:val="ab"/>
        </w:rPr>
        <w:footnoteRef/>
      </w:r>
      <w:r>
        <w:rPr>
          <w:rtl/>
        </w:rPr>
        <w:t xml:space="preserve"> </w:t>
      </w:r>
      <w:r>
        <w:rPr>
          <w:rFonts w:hint="cs"/>
          <w:rtl/>
        </w:rPr>
        <w:t>סימן</w:t>
      </w:r>
      <w:r>
        <w:rPr>
          <w:rFonts w:hint="cs"/>
          <w:sz w:val="16"/>
          <w:szCs w:val="16"/>
          <w:rtl/>
        </w:rPr>
        <w:t xml:space="preserve"> (לדף ל.)</w:t>
      </w:r>
      <w:r>
        <w:rPr>
          <w:rFonts w:hint="cs"/>
          <w:rtl/>
        </w:rPr>
        <w:t xml:space="preserve"> </w:t>
      </w:r>
      <w:r>
        <w:rPr>
          <w:rtl/>
        </w:rPr>
        <w:t>–</w:t>
      </w:r>
      <w:r>
        <w:rPr>
          <w:rFonts w:hint="cs"/>
          <w:rtl/>
        </w:rPr>
        <w:t xml:space="preserve"> ליכוד. סימן</w:t>
      </w:r>
      <w:r>
        <w:rPr>
          <w:rFonts w:hint="cs"/>
          <w:sz w:val="16"/>
          <w:szCs w:val="16"/>
          <w:rtl/>
        </w:rPr>
        <w:t xml:space="preserve"> (לדף ל:)</w:t>
      </w:r>
      <w:r>
        <w:rPr>
          <w:rFonts w:hint="cs"/>
          <w:rtl/>
        </w:rPr>
        <w:t xml:space="preserve"> </w:t>
      </w:r>
      <w:r>
        <w:rPr>
          <w:rtl/>
        </w:rPr>
        <w:t>–</w:t>
      </w:r>
      <w:r>
        <w:rPr>
          <w:rFonts w:hint="cs"/>
          <w:rtl/>
        </w:rPr>
        <w:t xml:space="preserve"> לומר לעמוד. סימן</w:t>
      </w:r>
      <w:r>
        <w:rPr>
          <w:rFonts w:hint="cs"/>
          <w:sz w:val="16"/>
          <w:szCs w:val="16"/>
          <w:rtl/>
        </w:rPr>
        <w:t xml:space="preserve"> (לדף לא.)</w:t>
      </w:r>
      <w:r>
        <w:rPr>
          <w:rFonts w:hint="cs"/>
          <w:rtl/>
        </w:rPr>
        <w:t xml:space="preserve"> </w:t>
      </w:r>
      <w:r>
        <w:rPr>
          <w:rtl/>
        </w:rPr>
        <w:t>–</w:t>
      </w:r>
      <w:r>
        <w:rPr>
          <w:rFonts w:hint="cs"/>
          <w:rtl/>
        </w:rPr>
        <w:t xml:space="preserve"> לבוש אחיד.</w:t>
      </w:r>
    </w:p>
  </w:footnote>
  <w:footnote w:id="909">
    <w:p w14:paraId="03523FBA" w14:textId="77777777" w:rsidR="0013116F" w:rsidRDefault="0013116F">
      <w:pPr>
        <w:pStyle w:val="a9"/>
      </w:pPr>
      <w:r>
        <w:rPr>
          <w:rStyle w:val="ab"/>
        </w:rPr>
        <w:footnoteRef/>
      </w:r>
      <w:r>
        <w:rPr>
          <w:rtl/>
        </w:rPr>
        <w:t xml:space="preserve"> </w:t>
      </w:r>
      <w:r>
        <w:rPr>
          <w:rFonts w:cs="Arial"/>
          <w:rtl/>
        </w:rPr>
        <w:t>ומשמע התם דהלכה כרבי יהודה וכמו שכתב הר"ן (יד.)</w:t>
      </w:r>
      <w:r>
        <w:rPr>
          <w:rFonts w:cs="Arial" w:hint="cs"/>
          <w:rtl/>
        </w:rPr>
        <w:t>,</w:t>
      </w:r>
      <w:r>
        <w:rPr>
          <w:rFonts w:cs="Arial"/>
          <w:rtl/>
        </w:rPr>
        <w:t xml:space="preserve"> וכ</w:t>
      </w:r>
      <w:r>
        <w:rPr>
          <w:rFonts w:cs="Arial" w:hint="cs"/>
          <w:rtl/>
        </w:rPr>
        <w:t>"</w:t>
      </w:r>
      <w:r>
        <w:rPr>
          <w:rFonts w:cs="Arial"/>
          <w:rtl/>
        </w:rPr>
        <w:t>פ הרמב"ם ז"ל בפכ"א מהלכות סנהדרין (ה"ג)</w:t>
      </w:r>
      <w:r>
        <w:rPr>
          <w:rFonts w:cs="Arial" w:hint="cs"/>
          <w:rtl/>
        </w:rPr>
        <w:t>, ב"י.</w:t>
      </w:r>
    </w:p>
  </w:footnote>
  <w:footnote w:id="910">
    <w:p w14:paraId="05636DE2" w14:textId="77777777" w:rsidR="0013116F" w:rsidRDefault="0013116F" w:rsidP="00E11433">
      <w:pPr>
        <w:pStyle w:val="a9"/>
      </w:pPr>
      <w:r>
        <w:rPr>
          <w:rStyle w:val="ab"/>
        </w:rPr>
        <w:footnoteRef/>
      </w:r>
      <w:r>
        <w:rPr>
          <w:rtl/>
        </w:rPr>
        <w:t xml:space="preserve"> </w:t>
      </w:r>
      <w:r>
        <w:rPr>
          <w:rFonts w:cs="Arial"/>
          <w:rtl/>
        </w:rPr>
        <w:t>שלא יראה חבירו שמכבדים אותו יותר ממנו ויסתתמו דבריו</w:t>
      </w:r>
      <w:r>
        <w:rPr>
          <w:rFonts w:cs="Arial" w:hint="cs"/>
          <w:rtl/>
        </w:rPr>
        <w:t>, רש"י.</w:t>
      </w:r>
    </w:p>
  </w:footnote>
  <w:footnote w:id="911">
    <w:p w14:paraId="527B2A21" w14:textId="77777777" w:rsidR="0013116F" w:rsidRDefault="0013116F">
      <w:pPr>
        <w:pStyle w:val="a9"/>
      </w:pPr>
      <w:r>
        <w:rPr>
          <w:rStyle w:val="ab"/>
        </w:rPr>
        <w:footnoteRef/>
      </w:r>
      <w:r>
        <w:rPr>
          <w:rtl/>
        </w:rPr>
        <w:t xml:space="preserve"> </w:t>
      </w:r>
      <w:r w:rsidRPr="00D57800">
        <w:rPr>
          <w:rFonts w:cs="Arial"/>
          <w:rtl/>
        </w:rPr>
        <w:t>ר' יהודה וחכמים</w:t>
      </w:r>
      <w:r>
        <w:rPr>
          <w:rFonts w:cs="Arial" w:hint="cs"/>
          <w:rtl/>
        </w:rPr>
        <w:t>, רש"י.</w:t>
      </w:r>
    </w:p>
  </w:footnote>
  <w:footnote w:id="912">
    <w:p w14:paraId="5A0C1935" w14:textId="77777777" w:rsidR="0013116F" w:rsidRDefault="0013116F" w:rsidP="00E11433">
      <w:pPr>
        <w:pStyle w:val="a9"/>
      </w:pPr>
      <w:r>
        <w:rPr>
          <w:rStyle w:val="ab"/>
        </w:rPr>
        <w:footnoteRef/>
      </w:r>
      <w:r>
        <w:rPr>
          <w:rtl/>
        </w:rPr>
        <w:t xml:space="preserve"> </w:t>
      </w:r>
      <w:r>
        <w:rPr>
          <w:rFonts w:cs="Arial"/>
          <w:rtl/>
        </w:rPr>
        <w:t>שלא תגרום לנו לישא לך פנים או יסתתמו דברי שכנגדך מפני חשיבותך ויאמר איך יאמינו בי בית דין על אדם חשוב כזה</w:t>
      </w:r>
      <w:r>
        <w:rPr>
          <w:rFonts w:hint="cs"/>
          <w:rtl/>
        </w:rPr>
        <w:t>, רש"י.</w:t>
      </w:r>
    </w:p>
  </w:footnote>
  <w:footnote w:id="913">
    <w:p w14:paraId="1D2FE005" w14:textId="77777777" w:rsidR="0013116F" w:rsidRDefault="0013116F" w:rsidP="00E11433">
      <w:pPr>
        <w:pStyle w:val="a9"/>
      </w:pPr>
      <w:r>
        <w:rPr>
          <w:rStyle w:val="ab"/>
        </w:rPr>
        <w:footnoteRef/>
      </w:r>
      <w:r>
        <w:rPr>
          <w:rtl/>
        </w:rPr>
        <w:t xml:space="preserve"> </w:t>
      </w:r>
      <w:r>
        <w:rPr>
          <w:rFonts w:cs="Arial"/>
          <w:rtl/>
        </w:rPr>
        <w:t>וכיון שאיש מריבו מסותם מעמיד זה את שקרו</w:t>
      </w:r>
      <w:r>
        <w:rPr>
          <w:rFonts w:cs="Arial" w:hint="cs"/>
          <w:rtl/>
        </w:rPr>
        <w:t>, רש"י.</w:t>
      </w:r>
    </w:p>
  </w:footnote>
  <w:footnote w:id="914">
    <w:p w14:paraId="50B1EA85" w14:textId="77777777" w:rsidR="0013116F" w:rsidRPr="003D6377" w:rsidRDefault="0013116F">
      <w:pPr>
        <w:pStyle w:val="a9"/>
        <w:rPr>
          <w:sz w:val="16"/>
          <w:szCs w:val="16"/>
          <w:rtl/>
        </w:rPr>
      </w:pPr>
      <w:r>
        <w:rPr>
          <w:rStyle w:val="ab"/>
        </w:rPr>
        <w:footnoteRef/>
      </w:r>
      <w:r>
        <w:rPr>
          <w:rtl/>
        </w:rPr>
        <w:t xml:space="preserve"> </w:t>
      </w:r>
      <w:r>
        <w:rPr>
          <w:rFonts w:hint="cs"/>
          <w:rtl/>
        </w:rPr>
        <w:t xml:space="preserve">סימן </w:t>
      </w:r>
      <w:r>
        <w:rPr>
          <w:rtl/>
        </w:rPr>
        <w:t>–</w:t>
      </w:r>
      <w:r>
        <w:rPr>
          <w:rFonts w:hint="cs"/>
          <w:rtl/>
        </w:rPr>
        <w:t xml:space="preserve"> וטו של ויתור.</w:t>
      </w:r>
      <w:r>
        <w:rPr>
          <w:rFonts w:hint="cs"/>
          <w:sz w:val="16"/>
          <w:szCs w:val="16"/>
          <w:rtl/>
        </w:rPr>
        <w:t xml:space="preserve"> (כי בדף שם מדובר לגבי פשרה, ובתוך הדברים מובאת מימרא זו כדי להסביר מתי כבר לא יכול לחזור בו מהפשרה)</w:t>
      </w:r>
    </w:p>
  </w:footnote>
  <w:footnote w:id="915">
    <w:p w14:paraId="547ECDD3" w14:textId="77777777" w:rsidR="0013116F" w:rsidRDefault="0013116F">
      <w:pPr>
        <w:pStyle w:val="a9"/>
        <w:rPr>
          <w:rtl/>
        </w:rPr>
      </w:pPr>
      <w:r>
        <w:rPr>
          <w:rStyle w:val="ab"/>
        </w:rPr>
        <w:footnoteRef/>
      </w:r>
      <w:r>
        <w:rPr>
          <w:rtl/>
        </w:rPr>
        <w:t xml:space="preserve"> </w:t>
      </w:r>
      <w:r>
        <w:rPr>
          <w:rFonts w:cs="Arial"/>
          <w:rtl/>
        </w:rPr>
        <w:t>כן כתב הרמב"ם בפרק הנזכר</w:t>
      </w:r>
      <w:r>
        <w:rPr>
          <w:rFonts w:hint="cs"/>
          <w:rtl/>
        </w:rPr>
        <w:t>, ב"י.</w:t>
      </w:r>
    </w:p>
  </w:footnote>
  <w:footnote w:id="916">
    <w:p w14:paraId="1FAB0BDE" w14:textId="77777777" w:rsidR="0013116F" w:rsidRPr="00976CDA" w:rsidRDefault="0013116F">
      <w:pPr>
        <w:pStyle w:val="a9"/>
        <w:rPr>
          <w:color w:val="00B0F0"/>
          <w:rtl/>
        </w:rPr>
      </w:pPr>
      <w:r>
        <w:rPr>
          <w:rStyle w:val="ab"/>
        </w:rPr>
        <w:footnoteRef/>
      </w:r>
      <w:r>
        <w:rPr>
          <w:rtl/>
        </w:rPr>
        <w:t xml:space="preserve"> </w:t>
      </w:r>
      <w:r>
        <w:rPr>
          <w:rFonts w:cs="Arial" w:hint="cs"/>
          <w:rtl/>
        </w:rPr>
        <w:t>ו</w:t>
      </w:r>
      <w:r w:rsidRPr="00194389">
        <w:rPr>
          <w:rFonts w:cs="Arial"/>
          <w:rtl/>
        </w:rPr>
        <w:t>עמידה ע</w:t>
      </w:r>
      <w:r>
        <w:rPr>
          <w:rFonts w:cs="Arial" w:hint="cs"/>
          <w:rtl/>
        </w:rPr>
        <w:t>"</w:t>
      </w:r>
      <w:r w:rsidRPr="00194389">
        <w:rPr>
          <w:rFonts w:cs="Arial"/>
          <w:rtl/>
        </w:rPr>
        <w:t>י סמיכה מיקרי שפיר עמידה לענין זה</w:t>
      </w:r>
      <w:r>
        <w:rPr>
          <w:rFonts w:cs="Arial" w:hint="cs"/>
          <w:rtl/>
        </w:rPr>
        <w:t>,</w:t>
      </w:r>
      <w:r w:rsidRPr="00976CDA">
        <w:rPr>
          <w:rFonts w:cs="Arial"/>
          <w:rtl/>
        </w:rPr>
        <w:t xml:space="preserve"> </w:t>
      </w:r>
      <w:r w:rsidRPr="00194389">
        <w:rPr>
          <w:rFonts w:cs="Arial"/>
          <w:rtl/>
        </w:rPr>
        <w:t xml:space="preserve">ריב"ש </w:t>
      </w:r>
      <w:r>
        <w:rPr>
          <w:rFonts w:cs="Arial" w:hint="cs"/>
          <w:rtl/>
        </w:rPr>
        <w:t>(</w:t>
      </w:r>
      <w:r w:rsidRPr="00194389">
        <w:rPr>
          <w:rFonts w:cs="Arial"/>
          <w:rtl/>
        </w:rPr>
        <w:t>סי</w:t>
      </w:r>
      <w:r>
        <w:rPr>
          <w:rFonts w:cs="Arial" w:hint="cs"/>
          <w:rtl/>
        </w:rPr>
        <w:t>'</w:t>
      </w:r>
      <w:r w:rsidRPr="00194389">
        <w:rPr>
          <w:rFonts w:cs="Arial"/>
          <w:rtl/>
        </w:rPr>
        <w:t xml:space="preserve"> רסו עב</w:t>
      </w:r>
      <w:r>
        <w:rPr>
          <w:rFonts w:cs="Arial" w:hint="cs"/>
          <w:rtl/>
        </w:rPr>
        <w:t>:</w:t>
      </w:r>
      <w:r w:rsidRPr="00194389">
        <w:rPr>
          <w:rFonts w:cs="Arial"/>
          <w:rtl/>
        </w:rPr>
        <w:t>)</w:t>
      </w:r>
      <w:r>
        <w:rPr>
          <w:rFonts w:cs="Arial" w:hint="cs"/>
          <w:rtl/>
        </w:rPr>
        <w:t>. הביאו הדרכ"מ (אות ב).</w:t>
      </w:r>
      <w:r>
        <w:rPr>
          <w:rFonts w:hint="cs"/>
          <w:rtl/>
        </w:rPr>
        <w:t xml:space="preserve"> </w:t>
      </w:r>
      <w:r>
        <w:rPr>
          <w:rFonts w:hint="cs"/>
          <w:color w:val="00B0F0"/>
          <w:rtl/>
        </w:rPr>
        <w:t>(וכ"פ בהגה)</w:t>
      </w:r>
    </w:p>
  </w:footnote>
  <w:footnote w:id="917">
    <w:p w14:paraId="7FF312EB" w14:textId="77777777" w:rsidR="0013116F" w:rsidRDefault="0013116F">
      <w:pPr>
        <w:pStyle w:val="a9"/>
        <w:rPr>
          <w:rtl/>
        </w:rPr>
      </w:pPr>
      <w:r>
        <w:rPr>
          <w:rStyle w:val="ab"/>
        </w:rPr>
        <w:footnoteRef/>
      </w:r>
      <w:r>
        <w:rPr>
          <w:rtl/>
        </w:rPr>
        <w:t xml:space="preserve"> </w:t>
      </w:r>
      <w:r>
        <w:rPr>
          <w:rFonts w:cs="Arial" w:hint="cs"/>
          <w:rtl/>
        </w:rPr>
        <w:t xml:space="preserve">מהא </w:t>
      </w:r>
      <w:r>
        <w:rPr>
          <w:rFonts w:cs="Arial"/>
          <w:rtl/>
        </w:rPr>
        <w:t>דתנן</w:t>
      </w:r>
      <w:r w:rsidRPr="0015028D">
        <w:rPr>
          <w:rFonts w:cs="Arial"/>
          <w:sz w:val="16"/>
          <w:szCs w:val="16"/>
          <w:rtl/>
        </w:rPr>
        <w:t xml:space="preserve"> </w:t>
      </w:r>
      <w:r>
        <w:rPr>
          <w:rFonts w:cs="Arial" w:hint="cs"/>
          <w:rtl/>
        </w:rPr>
        <w:t xml:space="preserve">לפני כן </w:t>
      </w:r>
      <w:r>
        <w:rPr>
          <w:rFonts w:cs="Arial"/>
          <w:rtl/>
        </w:rPr>
        <w:t xml:space="preserve">גבי מגדף </w:t>
      </w:r>
      <w:r>
        <w:rPr>
          <w:rFonts w:cs="Arial" w:hint="cs"/>
          <w:rtl/>
        </w:rPr>
        <w:t>'</w:t>
      </w:r>
      <w:r>
        <w:rPr>
          <w:rFonts w:cs="Arial"/>
          <w:rtl/>
        </w:rPr>
        <w:t>והדיינים עומדין על רגליהם</w:t>
      </w:r>
      <w:r>
        <w:rPr>
          <w:rFonts w:cs="Arial" w:hint="cs"/>
          <w:rtl/>
        </w:rPr>
        <w:t>'.</w:t>
      </w:r>
    </w:p>
  </w:footnote>
  <w:footnote w:id="918">
    <w:p w14:paraId="2B29C852" w14:textId="77777777" w:rsidR="0013116F" w:rsidRDefault="0013116F" w:rsidP="00A0066C">
      <w:pPr>
        <w:pStyle w:val="a9"/>
      </w:pPr>
      <w:r>
        <w:rPr>
          <w:rStyle w:val="ab"/>
        </w:rPr>
        <w:footnoteRef/>
      </w:r>
      <w:r>
        <w:rPr>
          <w:rtl/>
        </w:rPr>
        <w:t xml:space="preserve"> </w:t>
      </w:r>
      <w:r>
        <w:rPr>
          <w:rFonts w:cs="Arial"/>
          <w:rtl/>
        </w:rPr>
        <w:t>וליתא</w:t>
      </w:r>
      <w:r>
        <w:rPr>
          <w:rFonts w:cs="Arial" w:hint="cs"/>
          <w:rtl/>
        </w:rPr>
        <w:t>,</w:t>
      </w:r>
      <w:r>
        <w:rPr>
          <w:rFonts w:cs="Arial"/>
          <w:rtl/>
        </w:rPr>
        <w:t xml:space="preserve"> מדאמרינן בירושלמי דפרק ארבע מיתות </w:t>
      </w:r>
      <w:r w:rsidRPr="0015028D">
        <w:rPr>
          <w:rFonts w:cs="Arial"/>
          <w:sz w:val="16"/>
          <w:szCs w:val="16"/>
          <w:rtl/>
        </w:rPr>
        <w:t xml:space="preserve">(סנהדרין פ"ז ה"י) </w:t>
      </w:r>
      <w:r>
        <w:rPr>
          <w:rFonts w:cs="Arial"/>
          <w:rtl/>
        </w:rPr>
        <w:t>רבי שמעון בן לקיש אומר מכאן לדיינים שקבלו עדותן כשהן עומדין על רגליהם שדינן דין</w:t>
      </w:r>
      <w:r>
        <w:rPr>
          <w:rFonts w:cs="Arial" w:hint="cs"/>
          <w:rtl/>
        </w:rPr>
        <w:t>,</w:t>
      </w:r>
      <w:r w:rsidRPr="00A0066C">
        <w:rPr>
          <w:rFonts w:cs="Arial"/>
          <w:rtl/>
        </w:rPr>
        <w:t xml:space="preserve"> </w:t>
      </w:r>
      <w:r>
        <w:rPr>
          <w:rFonts w:cs="Arial"/>
          <w:rtl/>
        </w:rPr>
        <w:t xml:space="preserve">רא"ש </w:t>
      </w:r>
      <w:r w:rsidRPr="0015028D">
        <w:rPr>
          <w:rFonts w:cs="Arial"/>
          <w:sz w:val="16"/>
          <w:szCs w:val="16"/>
          <w:rtl/>
        </w:rPr>
        <w:t>(סי' ה)</w:t>
      </w:r>
      <w:r>
        <w:rPr>
          <w:rFonts w:cs="Arial"/>
          <w:rtl/>
        </w:rPr>
        <w:t>. וכן דעת הר"ן ז"ל</w:t>
      </w:r>
      <w:r w:rsidRPr="0015028D">
        <w:rPr>
          <w:rFonts w:cs="Arial"/>
          <w:sz w:val="16"/>
          <w:szCs w:val="16"/>
          <w:rtl/>
        </w:rPr>
        <w:t xml:space="preserve"> (שם) </w:t>
      </w:r>
      <w:r>
        <w:rPr>
          <w:rFonts w:cs="Arial"/>
          <w:rtl/>
        </w:rPr>
        <w:t xml:space="preserve">והביא ראיה מדמוכח בפרק שבועת העדות </w:t>
      </w:r>
      <w:r w:rsidRPr="0015028D">
        <w:rPr>
          <w:rFonts w:cs="Arial"/>
          <w:sz w:val="16"/>
          <w:szCs w:val="16"/>
          <w:rtl/>
        </w:rPr>
        <w:t xml:space="preserve">(שם) </w:t>
      </w:r>
      <w:r>
        <w:rPr>
          <w:rFonts w:cs="Arial"/>
          <w:rtl/>
        </w:rPr>
        <w:t>דתלמיד חכם מעיד מיושב</w:t>
      </w:r>
      <w:r>
        <w:rPr>
          <w:rFonts w:cs="Arial" w:hint="cs"/>
          <w:rtl/>
        </w:rPr>
        <w:t>,</w:t>
      </w:r>
      <w:r>
        <w:rPr>
          <w:rFonts w:cs="Arial"/>
          <w:rtl/>
        </w:rPr>
        <w:t xml:space="preserve"> ובשלמא אי אמרת דבכולהו אינשי בדיעבד עדותן עדות אלא דלכתחלה מצוה בעמידה מדכתיב ועמדו, בתלמיד חכם אפילו לכתחילה מיושב דכבוד תורה עדיף, אבל אי בעלמא אפילו בדיעבד עדותן בטלה, תלמיד חכם היאך מושיבין אותו וכי מכשירין עדות פסול מפני כבוד תורה הוה ליה למימר דלא ליסהוד כלל וכדאמרינן </w:t>
      </w:r>
      <w:r w:rsidRPr="0015028D">
        <w:rPr>
          <w:rFonts w:cs="Arial"/>
          <w:sz w:val="16"/>
          <w:szCs w:val="16"/>
          <w:rtl/>
        </w:rPr>
        <w:t xml:space="preserve">(סנהדרין יח.) </w:t>
      </w:r>
      <w:r>
        <w:rPr>
          <w:rFonts w:cs="Arial"/>
          <w:rtl/>
        </w:rPr>
        <w:t>במלך</w:t>
      </w:r>
      <w:r>
        <w:rPr>
          <w:rFonts w:cs="Arial" w:hint="cs"/>
          <w:rtl/>
        </w:rPr>
        <w:t>,</w:t>
      </w:r>
      <w:r>
        <w:rPr>
          <w:rFonts w:cs="Arial"/>
          <w:rtl/>
        </w:rPr>
        <w:t xml:space="preserve"> אלא לאו</w:t>
      </w:r>
      <w:r>
        <w:rPr>
          <w:rFonts w:cs="Arial" w:hint="cs"/>
          <w:rtl/>
        </w:rPr>
        <w:t>,</w:t>
      </w:r>
      <w:r>
        <w:rPr>
          <w:rFonts w:cs="Arial"/>
          <w:rtl/>
        </w:rPr>
        <w:t xml:space="preserve"> שמע מינה דבדיעבד כשר. והרשב"א </w:t>
      </w:r>
      <w:r w:rsidRPr="0015028D">
        <w:rPr>
          <w:rFonts w:cs="Arial"/>
          <w:sz w:val="16"/>
          <w:szCs w:val="16"/>
          <w:rtl/>
        </w:rPr>
        <w:t xml:space="preserve">(שבועות ל: ד"ה אבל בעדים) </w:t>
      </w:r>
      <w:r>
        <w:rPr>
          <w:rFonts w:cs="Arial"/>
          <w:rtl/>
        </w:rPr>
        <w:t xml:space="preserve">הביא ראיה לדין זה ממאי דאמרינן בפרק מי שאחזו </w:t>
      </w:r>
      <w:r w:rsidRPr="0015028D">
        <w:rPr>
          <w:rFonts w:cs="Arial"/>
          <w:sz w:val="16"/>
          <w:szCs w:val="16"/>
          <w:rtl/>
        </w:rPr>
        <w:t xml:space="preserve">(גיטין עא.) </w:t>
      </w:r>
      <w:r>
        <w:rPr>
          <w:rFonts w:cs="Arial"/>
          <w:rtl/>
        </w:rPr>
        <w:t xml:space="preserve">בודקין אותו למשאות ולמתנות ולעדיות דגרסינן בירושלמי </w:t>
      </w:r>
      <w:r w:rsidRPr="0015028D">
        <w:rPr>
          <w:rFonts w:cs="Arial"/>
          <w:sz w:val="16"/>
          <w:szCs w:val="16"/>
          <w:rtl/>
        </w:rPr>
        <w:t xml:space="preserve">(גיטין פ"ז ה"א) </w:t>
      </w:r>
      <w:r>
        <w:rPr>
          <w:rFonts w:cs="Arial"/>
          <w:rtl/>
        </w:rPr>
        <w:t>אמר ריש לקיש זאת אומרת מעידין מיושב אלמא בדיעבד כשר וכיון שכן בבעלי דינין יושבין בשעת גמר דין בדיעבד כשר דהא עדים כגמר דין דמי כדאיתא בגמרא וכן נמי דיינים שקבלו עדותן כשהם עומדין מה שעשו עשוי</w:t>
      </w:r>
      <w:r>
        <w:rPr>
          <w:rFonts w:cs="Arial" w:hint="cs"/>
          <w:rtl/>
        </w:rPr>
        <w:t>,</w:t>
      </w:r>
      <w:r>
        <w:rPr>
          <w:rFonts w:cs="Arial"/>
          <w:rtl/>
        </w:rPr>
        <w:t xml:space="preserve"> והכי איתא בירושלמי פרק ארבע מיתות דתנן </w:t>
      </w:r>
      <w:r w:rsidRPr="0015028D">
        <w:rPr>
          <w:rFonts w:cs="Arial"/>
          <w:sz w:val="16"/>
          <w:szCs w:val="16"/>
          <w:rtl/>
        </w:rPr>
        <w:t xml:space="preserve">(סנהדרין נו.) </w:t>
      </w:r>
      <w:r>
        <w:rPr>
          <w:rFonts w:cs="Arial"/>
          <w:rtl/>
        </w:rPr>
        <w:t xml:space="preserve">גבי מגדף והדיינים עומדין על רגליהם וקורעין ולא מאחין וגרסינן עלה בירושלמי ריש לקיש אמר מכאן לדיינים שקבלו עדותן כשהן עומדים דיניהם דין וכיון שכן הוא הדין לדיינים שגמרו דינן כשהן עומדים שדינן דין דעדות כגמר דין דמי עכ"ל </w:t>
      </w:r>
      <w:r w:rsidRPr="0015028D">
        <w:rPr>
          <w:rFonts w:cs="Arial" w:hint="cs"/>
          <w:sz w:val="16"/>
          <w:szCs w:val="16"/>
          <w:rtl/>
        </w:rPr>
        <w:t>(</w:t>
      </w:r>
      <w:r w:rsidRPr="0015028D">
        <w:rPr>
          <w:rFonts w:cs="Arial"/>
          <w:sz w:val="16"/>
          <w:szCs w:val="16"/>
          <w:rtl/>
        </w:rPr>
        <w:t>וכ</w:t>
      </w:r>
      <w:r w:rsidRPr="0015028D">
        <w:rPr>
          <w:rFonts w:cs="Arial" w:hint="cs"/>
          <w:sz w:val="16"/>
          <w:szCs w:val="16"/>
          <w:rtl/>
        </w:rPr>
        <w:t>"</w:t>
      </w:r>
      <w:r w:rsidRPr="0015028D">
        <w:rPr>
          <w:rFonts w:cs="Arial"/>
          <w:sz w:val="16"/>
          <w:szCs w:val="16"/>
          <w:rtl/>
        </w:rPr>
        <w:t xml:space="preserve">פ </w:t>
      </w:r>
      <w:r w:rsidRPr="0015028D">
        <w:rPr>
          <w:rFonts w:cs="Arial" w:hint="cs"/>
          <w:sz w:val="16"/>
          <w:szCs w:val="16"/>
          <w:rtl/>
        </w:rPr>
        <w:t>רי"ו (</w:t>
      </w:r>
      <w:r w:rsidRPr="0015028D">
        <w:rPr>
          <w:rFonts w:cs="Arial"/>
          <w:sz w:val="16"/>
          <w:szCs w:val="16"/>
          <w:rtl/>
        </w:rPr>
        <w:t>מישרים נ</w:t>
      </w:r>
      <w:r w:rsidRPr="0015028D">
        <w:rPr>
          <w:rFonts w:cs="Arial" w:hint="cs"/>
          <w:sz w:val="16"/>
          <w:szCs w:val="16"/>
          <w:rtl/>
        </w:rPr>
        <w:t>"</w:t>
      </w:r>
      <w:r w:rsidRPr="0015028D">
        <w:rPr>
          <w:rFonts w:cs="Arial"/>
          <w:sz w:val="16"/>
          <w:szCs w:val="16"/>
          <w:rtl/>
        </w:rPr>
        <w:t>ב ח"ב יא</w:t>
      </w:r>
      <w:r w:rsidRPr="0015028D">
        <w:rPr>
          <w:rFonts w:cs="Arial" w:hint="cs"/>
          <w:sz w:val="16"/>
          <w:szCs w:val="16"/>
          <w:rtl/>
        </w:rPr>
        <w:t xml:space="preserve"> סו</w:t>
      </w:r>
      <w:r w:rsidRPr="0015028D">
        <w:rPr>
          <w:rFonts w:cs="Arial"/>
          <w:sz w:val="16"/>
          <w:szCs w:val="16"/>
          <w:rtl/>
        </w:rPr>
        <w:t>ע"ג</w:t>
      </w:r>
      <w:r w:rsidRPr="0015028D">
        <w:rPr>
          <w:rFonts w:cs="Arial" w:hint="cs"/>
          <w:sz w:val="16"/>
          <w:szCs w:val="16"/>
          <w:rtl/>
        </w:rPr>
        <w:t>), כ"כ הדרכ"מ (אות א*) בשמו</w:t>
      </w:r>
      <w:r w:rsidRPr="0015028D">
        <w:rPr>
          <w:rFonts w:cs="Arial"/>
          <w:sz w:val="16"/>
          <w:szCs w:val="16"/>
          <w:rtl/>
        </w:rPr>
        <w:t>)</w:t>
      </w:r>
      <w:r>
        <w:rPr>
          <w:rFonts w:cs="Arial" w:hint="cs"/>
          <w:rtl/>
        </w:rPr>
        <w:t xml:space="preserve">. </w:t>
      </w:r>
      <w:r>
        <w:rPr>
          <w:rFonts w:cs="Arial"/>
          <w:rtl/>
        </w:rPr>
        <w:t xml:space="preserve">וכ"כ עוד הרשב"א בתשובה </w:t>
      </w:r>
      <w:r w:rsidRPr="0015028D">
        <w:rPr>
          <w:rFonts w:cs="Arial"/>
          <w:sz w:val="16"/>
          <w:szCs w:val="16"/>
          <w:rtl/>
        </w:rPr>
        <w:t xml:space="preserve">(ח"ו סי' רח) </w:t>
      </w:r>
      <w:r>
        <w:rPr>
          <w:rFonts w:cs="Arial"/>
          <w:rtl/>
        </w:rPr>
        <w:t xml:space="preserve">דהא דעדים בעמידה הני מילי לכתחלה אבל בדיעבד אפילו בישיבה עדותן קיימת והא דאמרינן מה ליושב שכן פסול לעדות דוקא לכתחלה קאמר וכן הסכימו גדולי הגאונים והוא הדין במה שאמרו בית דין בישיבה לא אמרו אלא לכתחלה עכ"ל. וכן נראה דעת הרמב"ם </w:t>
      </w:r>
      <w:r w:rsidRPr="0015028D">
        <w:rPr>
          <w:rFonts w:cs="Arial"/>
          <w:sz w:val="16"/>
          <w:szCs w:val="16"/>
          <w:rtl/>
        </w:rPr>
        <w:t xml:space="preserve">(הל' סנהדרין פכ"א ה"ה) </w:t>
      </w:r>
      <w:r>
        <w:rPr>
          <w:rFonts w:cs="Arial"/>
          <w:rtl/>
        </w:rPr>
        <w:t>שכתב שנהגו בכל בתי דינים של ישראל שלאחר התלמוד שמושיבין בעלי דינין והעדים כדי להסיר המחלוקת</w:t>
      </w:r>
      <w:r>
        <w:rPr>
          <w:rFonts w:cs="Arial" w:hint="cs"/>
          <w:rtl/>
        </w:rPr>
        <w:t>,</w:t>
      </w:r>
      <w:r>
        <w:rPr>
          <w:rFonts w:cs="Arial"/>
          <w:rtl/>
        </w:rPr>
        <w:t xml:space="preserve"> ואי אפילו בדיעבד היו פסולים וכי לסלק המחלוקת הכשירו עדות פסול וקבעוהו מנהג</w:t>
      </w:r>
      <w:r>
        <w:rPr>
          <w:rFonts w:cs="Arial" w:hint="cs"/>
          <w:rtl/>
        </w:rPr>
        <w:t>,</w:t>
      </w:r>
      <w:r>
        <w:rPr>
          <w:rFonts w:cs="Arial"/>
          <w:rtl/>
        </w:rPr>
        <w:t xml:space="preserve"> אלא ודאי בדיעבד כשר וכדי לסלק המחלוקת הכשירוה אפילו לכתחלה. וכ"כ המרדכי בפרק שבועת העדות </w:t>
      </w:r>
      <w:r w:rsidRPr="0015028D">
        <w:rPr>
          <w:rFonts w:cs="Arial"/>
          <w:sz w:val="16"/>
          <w:szCs w:val="16"/>
          <w:rtl/>
        </w:rPr>
        <w:t xml:space="preserve">(סי' תשסא) </w:t>
      </w:r>
      <w:r>
        <w:rPr>
          <w:rFonts w:cs="Arial"/>
          <w:rtl/>
        </w:rPr>
        <w:t xml:space="preserve">דישיבת הדיינים אינה מעכבת והוא הדין עדים שהעידו מיושב עדותן עדות והכי נמי עמידת הבעלי דינים אינה מעכבת ורבינו אלעזר ברבי שמשון כתב דעמידה דוקא במומחין הוא דכתיב </w:t>
      </w:r>
      <w:r w:rsidRPr="0015028D">
        <w:rPr>
          <w:rFonts w:cs="Arial"/>
          <w:sz w:val="16"/>
          <w:szCs w:val="16"/>
          <w:rtl/>
        </w:rPr>
        <w:t xml:space="preserve">(דברים יט יז) </w:t>
      </w:r>
      <w:r>
        <w:rPr>
          <w:rFonts w:cs="Arial"/>
          <w:rtl/>
        </w:rPr>
        <w:t>ועמדו שני האנשים לפני ה' והאידנא ליכא מומחים ומשום הכי נהגו בישיבה בין בעדים בין בעלי דינים אפילו בגמר דין</w:t>
      </w:r>
      <w:r>
        <w:rPr>
          <w:rFonts w:cs="Arial" w:hint="cs"/>
          <w:rtl/>
        </w:rPr>
        <w:t>, ב"י.</w:t>
      </w:r>
    </w:p>
  </w:footnote>
  <w:footnote w:id="919">
    <w:p w14:paraId="7CF6AA82" w14:textId="77777777" w:rsidR="0013116F" w:rsidRDefault="0013116F" w:rsidP="0015028D">
      <w:pPr>
        <w:pStyle w:val="a9"/>
      </w:pPr>
      <w:r>
        <w:rPr>
          <w:rStyle w:val="ab"/>
        </w:rPr>
        <w:footnoteRef/>
      </w:r>
      <w:r>
        <w:rPr>
          <w:rtl/>
        </w:rPr>
        <w:t xml:space="preserve"> </w:t>
      </w:r>
      <w:r>
        <w:rPr>
          <w:rFonts w:cs="Arial"/>
          <w:rtl/>
        </w:rPr>
        <w:t>רשב"א (שבועות ל: ד"ה אבל בעדים</w:t>
      </w:r>
      <w:r>
        <w:rPr>
          <w:rFonts w:cs="Arial" w:hint="cs"/>
          <w:rtl/>
        </w:rPr>
        <w:t>,</w:t>
      </w:r>
      <w:r w:rsidRPr="000949EA">
        <w:rPr>
          <w:rFonts w:cs="Arial"/>
          <w:rtl/>
        </w:rPr>
        <w:t xml:space="preserve"> </w:t>
      </w:r>
      <w:r>
        <w:rPr>
          <w:rFonts w:cs="Arial" w:hint="cs"/>
          <w:rtl/>
        </w:rPr>
        <w:t>ו</w:t>
      </w:r>
      <w:r>
        <w:rPr>
          <w:rFonts w:cs="Arial"/>
          <w:rtl/>
        </w:rPr>
        <w:t>בתשובה ח"ו סי' רח)</w:t>
      </w:r>
      <w:r>
        <w:rPr>
          <w:rFonts w:cs="Arial" w:hint="cs"/>
          <w:rtl/>
        </w:rPr>
        <w:t xml:space="preserve"> </w:t>
      </w:r>
      <w:r>
        <w:rPr>
          <w:rFonts w:cs="Arial"/>
          <w:rtl/>
        </w:rPr>
        <w:t xml:space="preserve">מרדכי </w:t>
      </w:r>
      <w:r>
        <w:rPr>
          <w:rFonts w:cs="Arial" w:hint="cs"/>
          <w:rtl/>
        </w:rPr>
        <w:t>(</w:t>
      </w:r>
      <w:r>
        <w:rPr>
          <w:rFonts w:cs="Arial"/>
          <w:rtl/>
        </w:rPr>
        <w:t>פ</w:t>
      </w:r>
      <w:r>
        <w:rPr>
          <w:rFonts w:cs="Arial" w:hint="cs"/>
          <w:rtl/>
        </w:rPr>
        <w:t>'</w:t>
      </w:r>
      <w:r>
        <w:rPr>
          <w:rFonts w:cs="Arial"/>
          <w:rtl/>
        </w:rPr>
        <w:t xml:space="preserve"> שבועת העדות סי' תשסא) רא"ש (סי' ה)</w:t>
      </w:r>
      <w:r w:rsidRPr="000949EA">
        <w:rPr>
          <w:rFonts w:cs="Arial"/>
          <w:rtl/>
        </w:rPr>
        <w:t xml:space="preserve"> </w:t>
      </w:r>
      <w:r>
        <w:rPr>
          <w:rFonts w:cs="Arial" w:hint="cs"/>
          <w:rtl/>
        </w:rPr>
        <w:t xml:space="preserve">טור </w:t>
      </w:r>
      <w:r>
        <w:rPr>
          <w:rFonts w:cs="Arial"/>
          <w:rtl/>
        </w:rPr>
        <w:t>ר"ן (</w:t>
      </w:r>
      <w:r>
        <w:rPr>
          <w:rFonts w:cs="Arial" w:hint="cs"/>
          <w:rtl/>
        </w:rPr>
        <w:t xml:space="preserve">שבועות </w:t>
      </w:r>
      <w:r>
        <w:rPr>
          <w:rFonts w:cs="Arial"/>
          <w:rtl/>
        </w:rPr>
        <w:t>יד.)</w:t>
      </w:r>
      <w:r w:rsidRPr="000949EA">
        <w:rPr>
          <w:rFonts w:cs="Arial" w:hint="cs"/>
          <w:rtl/>
        </w:rPr>
        <w:t xml:space="preserve"> </w:t>
      </w:r>
      <w:r>
        <w:rPr>
          <w:rFonts w:cs="Arial" w:hint="cs"/>
          <w:rtl/>
        </w:rPr>
        <w:t>ורי"ו (</w:t>
      </w:r>
      <w:r w:rsidRPr="00082A51">
        <w:rPr>
          <w:rFonts w:cs="Arial"/>
          <w:rtl/>
        </w:rPr>
        <w:t>מישרים נ</w:t>
      </w:r>
      <w:r>
        <w:rPr>
          <w:rFonts w:cs="Arial" w:hint="cs"/>
          <w:rtl/>
        </w:rPr>
        <w:t>"</w:t>
      </w:r>
      <w:r w:rsidRPr="00082A51">
        <w:rPr>
          <w:rFonts w:cs="Arial"/>
          <w:rtl/>
        </w:rPr>
        <w:t>ב ח"ב יא</w:t>
      </w:r>
      <w:r>
        <w:rPr>
          <w:rFonts w:cs="Arial" w:hint="cs"/>
          <w:rtl/>
        </w:rPr>
        <w:t xml:space="preserve"> סו</w:t>
      </w:r>
      <w:r w:rsidRPr="00082A51">
        <w:rPr>
          <w:rFonts w:cs="Arial"/>
          <w:rtl/>
        </w:rPr>
        <w:t>ע"ג</w:t>
      </w:r>
      <w:r>
        <w:rPr>
          <w:rFonts w:cs="Arial" w:hint="cs"/>
          <w:rtl/>
        </w:rPr>
        <w:t>, כ"כ הדרכ"מ [אות א*] בשמו</w:t>
      </w:r>
      <w:r w:rsidRPr="00082A51">
        <w:rPr>
          <w:rFonts w:cs="Arial"/>
          <w:rtl/>
        </w:rPr>
        <w:t>)</w:t>
      </w:r>
      <w:r>
        <w:rPr>
          <w:rFonts w:cs="Arial" w:hint="cs"/>
          <w:rtl/>
        </w:rPr>
        <w:t>.</w:t>
      </w:r>
    </w:p>
  </w:footnote>
  <w:footnote w:id="920">
    <w:p w14:paraId="1DF82A53" w14:textId="77777777" w:rsidR="0013116F" w:rsidRDefault="0013116F">
      <w:pPr>
        <w:pStyle w:val="a9"/>
        <w:rPr>
          <w:rtl/>
        </w:rPr>
      </w:pPr>
      <w:r>
        <w:rPr>
          <w:rStyle w:val="ab"/>
        </w:rPr>
        <w:footnoteRef/>
      </w:r>
      <w:r>
        <w:rPr>
          <w:rtl/>
        </w:rPr>
        <w:t xml:space="preserve"> </w:t>
      </w:r>
      <w:r w:rsidRPr="00976CDA">
        <w:rPr>
          <w:rFonts w:cs="Arial"/>
          <w:rtl/>
        </w:rPr>
        <w:t>והוא הדין לעדים דעדים כגמר דין דמו כדאמרינן בגמרא (שבועות ל:)</w:t>
      </w:r>
      <w:r>
        <w:rPr>
          <w:rFonts w:hint="cs"/>
          <w:rtl/>
        </w:rPr>
        <w:t>, ב"י (סי' כח ס"ז).</w:t>
      </w:r>
      <w:r w:rsidRPr="00976CDA">
        <w:rPr>
          <w:rFonts w:hint="cs"/>
          <w:rtl/>
        </w:rPr>
        <w:t xml:space="preserve"> </w:t>
      </w:r>
      <w:r>
        <w:rPr>
          <w:rFonts w:hint="cs"/>
          <w:rtl/>
        </w:rPr>
        <w:t xml:space="preserve">הביאו הדרכ"מ (אות ב) כאן וכתב </w:t>
      </w:r>
      <w:r>
        <w:rPr>
          <w:rFonts w:cs="Arial" w:hint="cs"/>
          <w:rtl/>
        </w:rPr>
        <w:t>ד</w:t>
      </w:r>
      <w:r w:rsidRPr="00194389">
        <w:rPr>
          <w:rFonts w:cs="Arial"/>
          <w:rtl/>
        </w:rPr>
        <w:t>לא נראה כן מדברי שאר הפוסקים</w:t>
      </w:r>
      <w:r>
        <w:rPr>
          <w:rFonts w:cs="Arial" w:hint="cs"/>
          <w:rtl/>
        </w:rPr>
        <w:t>.</w:t>
      </w:r>
    </w:p>
  </w:footnote>
  <w:footnote w:id="921">
    <w:p w14:paraId="547C779C" w14:textId="77777777" w:rsidR="0013116F" w:rsidRDefault="0013116F">
      <w:pPr>
        <w:pStyle w:val="a9"/>
      </w:pPr>
      <w:r>
        <w:rPr>
          <w:rStyle w:val="ab"/>
        </w:rPr>
        <w:footnoteRef/>
      </w:r>
      <w:r>
        <w:rPr>
          <w:rtl/>
        </w:rPr>
        <w:t xml:space="preserve"> </w:t>
      </w:r>
      <w:r w:rsidRPr="00705176">
        <w:rPr>
          <w:rFonts w:cs="Arial"/>
          <w:rtl/>
        </w:rPr>
        <w:t>משמע אפילו לא א"ל הדיין דבר כל צרכך אלא שלהשני אמר קצר דבריך הוא אסור, וכן הוא משמעות לשון הברייתא [שבועות ל' ע"א], ולא כמשמעות לשון הטור [סעיף א'], ועיין פרישה [שם]</w:t>
      </w:r>
      <w:r>
        <w:rPr>
          <w:rFonts w:cs="Arial" w:hint="cs"/>
          <w:rtl/>
        </w:rPr>
        <w:t>, סמ"ע (סק"א).</w:t>
      </w:r>
      <w:r>
        <w:rPr>
          <w:rFonts w:hint="cs"/>
          <w:rtl/>
        </w:rPr>
        <w:t xml:space="preserve"> וכתב הש"ך (סק"א)-</w:t>
      </w:r>
      <w:r w:rsidRPr="00B668B1">
        <w:rPr>
          <w:rtl/>
        </w:rPr>
        <w:t xml:space="preserve"> </w:t>
      </w:r>
      <w:r w:rsidRPr="00B668B1">
        <w:rPr>
          <w:rFonts w:cs="Arial"/>
          <w:rtl/>
        </w:rPr>
        <w:t>אבל לשניהם יכול לומר</w:t>
      </w:r>
      <w:r>
        <w:rPr>
          <w:rFonts w:cs="Arial" w:hint="cs"/>
          <w:rtl/>
        </w:rPr>
        <w:t>,</w:t>
      </w:r>
      <w:r w:rsidRPr="00B668B1">
        <w:rPr>
          <w:rFonts w:cs="Arial"/>
          <w:rtl/>
        </w:rPr>
        <w:t xml:space="preserve"> ב"ח [סעיף א']</w:t>
      </w:r>
      <w:r>
        <w:rPr>
          <w:rFonts w:cs="Arial" w:hint="cs"/>
          <w:rtl/>
        </w:rPr>
        <w:t>,</w:t>
      </w:r>
      <w:r w:rsidRPr="00B668B1">
        <w:rPr>
          <w:rFonts w:cs="Arial"/>
          <w:rtl/>
        </w:rPr>
        <w:t xml:space="preserve"> ופשוט הוא</w:t>
      </w:r>
      <w:r>
        <w:rPr>
          <w:rFonts w:hint="cs"/>
          <w:rtl/>
        </w:rPr>
        <w:t>.</w:t>
      </w:r>
    </w:p>
  </w:footnote>
  <w:footnote w:id="922">
    <w:p w14:paraId="4605841F" w14:textId="77777777" w:rsidR="0013116F" w:rsidRDefault="0013116F">
      <w:pPr>
        <w:pStyle w:val="a9"/>
        <w:rPr>
          <w:rtl/>
        </w:rPr>
      </w:pPr>
      <w:r>
        <w:rPr>
          <w:rStyle w:val="ab"/>
        </w:rPr>
        <w:footnoteRef/>
      </w:r>
      <w:r>
        <w:rPr>
          <w:rtl/>
        </w:rPr>
        <w:t xml:space="preserve"> </w:t>
      </w:r>
      <w:r w:rsidRPr="00705176">
        <w:rPr>
          <w:rFonts w:cs="Arial"/>
          <w:rtl/>
        </w:rPr>
        <w:t>כן הוא לשון הרמב"ם [פכ"א מסנהדרין ה"ב] והטור [סעיף א'] וכן משמע בברייתא [שבועות שם], ומשמע דכשאינם בזויים אף שאינם יקרים כמו מלבושי השני אין קפידא בכך, ועיין פרישה [שם]. וכתב מור"ש ע"ז ז"ל, גם בזה אין בידינו להעמיד הדת על תילו, עכ"ל</w:t>
      </w:r>
      <w:r>
        <w:rPr>
          <w:rFonts w:hint="cs"/>
          <w:rtl/>
        </w:rPr>
        <w:t xml:space="preserve">, סמ"ע (סק"ב). וכ"כ הש"ך (סק"ב) </w:t>
      </w:r>
      <w:r>
        <w:rPr>
          <w:rFonts w:cs="Arial" w:hint="cs"/>
          <w:rtl/>
        </w:rPr>
        <w:t>והביא את דברי ה</w:t>
      </w:r>
      <w:r w:rsidRPr="00B668B1">
        <w:rPr>
          <w:rFonts w:cs="Arial"/>
          <w:rtl/>
        </w:rPr>
        <w:t xml:space="preserve">ראב"ן </w:t>
      </w:r>
      <w:r>
        <w:rPr>
          <w:rFonts w:cs="Arial" w:hint="cs"/>
          <w:rtl/>
        </w:rPr>
        <w:t>(</w:t>
      </w:r>
      <w:r w:rsidRPr="00B668B1">
        <w:rPr>
          <w:rFonts w:cs="Arial"/>
          <w:rtl/>
        </w:rPr>
        <w:t>ח"ג סי' כ"ג, שבועות ד"ה שבועת ביטוי</w:t>
      </w:r>
      <w:r>
        <w:rPr>
          <w:rFonts w:cs="Arial" w:hint="cs"/>
          <w:rtl/>
        </w:rPr>
        <w:t>)</w:t>
      </w:r>
      <w:r w:rsidRPr="00B668B1">
        <w:rPr>
          <w:rFonts w:cs="Arial"/>
          <w:rtl/>
        </w:rPr>
        <w:t xml:space="preserve"> וז"ל</w:t>
      </w:r>
      <w:r>
        <w:rPr>
          <w:rFonts w:cs="Arial" w:hint="cs"/>
          <w:rtl/>
        </w:rPr>
        <w:t>-</w:t>
      </w:r>
      <w:r w:rsidRPr="00B668B1">
        <w:rPr>
          <w:rFonts w:cs="Arial"/>
          <w:rtl/>
        </w:rPr>
        <w:t xml:space="preserve"> והאידנא לא נהיגי הכי, ונ"ל דוקא איצטלא של ק' מנה, אבל האידנא דלא מלובשים בכך מלבושים לא חיישינן להטייה, עכ"ל</w:t>
      </w:r>
      <w:r>
        <w:rPr>
          <w:rFonts w:hint="cs"/>
          <w:rtl/>
        </w:rPr>
        <w:t xml:space="preserve"> הראב"ן.</w:t>
      </w:r>
    </w:p>
  </w:footnote>
  <w:footnote w:id="923">
    <w:p w14:paraId="5CAA7B0B" w14:textId="77777777" w:rsidR="0013116F" w:rsidRDefault="0013116F">
      <w:pPr>
        <w:pStyle w:val="a9"/>
      </w:pPr>
      <w:r>
        <w:rPr>
          <w:rStyle w:val="ab"/>
        </w:rPr>
        <w:footnoteRef/>
      </w:r>
      <w:r>
        <w:rPr>
          <w:rtl/>
        </w:rPr>
        <w:t xml:space="preserve"> </w:t>
      </w:r>
      <w:r w:rsidRPr="00B668B1">
        <w:rPr>
          <w:rFonts w:cs="Arial"/>
          <w:rtl/>
        </w:rPr>
        <w:t>ואם ישב א' מעצמו והב' עומד אין זקוק לו. ב"ח [סעיף ב']</w:t>
      </w:r>
      <w:r>
        <w:rPr>
          <w:rFonts w:cs="Arial" w:hint="cs"/>
          <w:rtl/>
        </w:rPr>
        <w:t>, ש"ך (סק"ג).</w:t>
      </w:r>
    </w:p>
  </w:footnote>
  <w:footnote w:id="924">
    <w:p w14:paraId="133F3069" w14:textId="77777777" w:rsidR="0013116F" w:rsidRDefault="0013116F">
      <w:pPr>
        <w:pStyle w:val="a9"/>
        <w:rPr>
          <w:rtl/>
        </w:rPr>
      </w:pPr>
      <w:r>
        <w:rPr>
          <w:rStyle w:val="ab"/>
        </w:rPr>
        <w:footnoteRef/>
      </w:r>
      <w:r>
        <w:rPr>
          <w:rtl/>
        </w:rPr>
        <w:t xml:space="preserve"> </w:t>
      </w:r>
      <w:r w:rsidRPr="00705176">
        <w:rPr>
          <w:rFonts w:cs="Arial"/>
          <w:rtl/>
        </w:rPr>
        <w:t>אמה שכתוב לפני זה קאי, דקאמר דאם רצו בית דין להושיב את שניהן מושיבין, אזה כתב דאז לא ישב אחד למעלה, אבל בשניהן עומדין אין קפידא בכך דאין הב"ד אומרים להן לעמוד, וק"ל</w:t>
      </w:r>
      <w:r>
        <w:rPr>
          <w:rFonts w:hint="cs"/>
          <w:rtl/>
        </w:rPr>
        <w:t>, סמ"ע (סק"ג).</w:t>
      </w:r>
      <w:r w:rsidRPr="00B668B1">
        <w:rPr>
          <w:rFonts w:cs="Arial"/>
          <w:rtl/>
        </w:rPr>
        <w:t xml:space="preserve"> </w:t>
      </w:r>
    </w:p>
  </w:footnote>
  <w:footnote w:id="925">
    <w:p w14:paraId="7A30F6B2" w14:textId="77777777" w:rsidR="0013116F" w:rsidRDefault="0013116F">
      <w:pPr>
        <w:pStyle w:val="a9"/>
        <w:rPr>
          <w:rtl/>
        </w:rPr>
      </w:pPr>
      <w:r>
        <w:rPr>
          <w:rStyle w:val="ab"/>
        </w:rPr>
        <w:footnoteRef/>
      </w:r>
      <w:r>
        <w:rPr>
          <w:rtl/>
        </w:rPr>
        <w:t xml:space="preserve"> </w:t>
      </w:r>
      <w:r>
        <w:rPr>
          <w:rFonts w:hint="cs"/>
          <w:rtl/>
        </w:rPr>
        <w:t>תוספת הסמ"ע.</w:t>
      </w:r>
    </w:p>
  </w:footnote>
  <w:footnote w:id="926">
    <w:p w14:paraId="4375009A" w14:textId="77777777" w:rsidR="0013116F" w:rsidRDefault="0013116F">
      <w:pPr>
        <w:pStyle w:val="a9"/>
      </w:pPr>
      <w:r>
        <w:rPr>
          <w:rStyle w:val="ab"/>
        </w:rPr>
        <w:footnoteRef/>
      </w:r>
      <w:r>
        <w:rPr>
          <w:rtl/>
        </w:rPr>
        <w:t xml:space="preserve"> </w:t>
      </w:r>
      <w:r w:rsidRPr="00705176">
        <w:rPr>
          <w:rFonts w:cs="Arial"/>
          <w:rtl/>
        </w:rPr>
        <w:t xml:space="preserve">נלמד </w:t>
      </w:r>
      <w:r w:rsidRPr="00705176">
        <w:rPr>
          <w:rFonts w:cs="Arial"/>
          <w:sz w:val="16"/>
          <w:szCs w:val="16"/>
          <w:rtl/>
        </w:rPr>
        <w:t>[שבועות ל</w:t>
      </w:r>
      <w:r w:rsidRPr="00705176">
        <w:rPr>
          <w:rFonts w:cs="Arial" w:hint="cs"/>
          <w:sz w:val="16"/>
          <w:szCs w:val="16"/>
          <w:rtl/>
        </w:rPr>
        <w:t>:</w:t>
      </w:r>
      <w:r w:rsidRPr="00705176">
        <w:rPr>
          <w:rFonts w:cs="Arial"/>
          <w:sz w:val="16"/>
          <w:szCs w:val="16"/>
          <w:rtl/>
        </w:rPr>
        <w:t xml:space="preserve">] </w:t>
      </w:r>
      <w:r w:rsidRPr="00705176">
        <w:rPr>
          <w:rFonts w:cs="Arial"/>
          <w:rtl/>
        </w:rPr>
        <w:t xml:space="preserve">מדכתיב </w:t>
      </w:r>
      <w:r w:rsidRPr="00705176">
        <w:rPr>
          <w:rFonts w:cs="Arial"/>
          <w:sz w:val="16"/>
          <w:szCs w:val="16"/>
          <w:rtl/>
        </w:rPr>
        <w:t xml:space="preserve">[דברים י"ט י"ז] </w:t>
      </w:r>
      <w:r w:rsidRPr="00705176">
        <w:rPr>
          <w:rFonts w:cs="Arial"/>
          <w:rtl/>
        </w:rPr>
        <w:t xml:space="preserve">ועמדו שני האנשים, אלו העדים </w:t>
      </w:r>
      <w:r w:rsidRPr="00705176">
        <w:rPr>
          <w:rFonts w:cs="Arial"/>
          <w:sz w:val="16"/>
          <w:szCs w:val="16"/>
          <w:rtl/>
        </w:rPr>
        <w:t>[דאי בעלי דינים, וכי אנשים תובעין ולא נשים וכי שנים תובעים ולא שלשה]</w:t>
      </w:r>
      <w:r w:rsidRPr="00705176">
        <w:rPr>
          <w:rFonts w:cs="Arial"/>
          <w:rtl/>
        </w:rPr>
        <w:t>, אשר להם הריב, אלו בעלי דינים, ומה עדים העדאתן זו היא גמר דינם, אף בע"ד דקפיד עליהם קרא שיעמדו, היינו דוקא בשעת גמר דין</w:t>
      </w:r>
      <w:r>
        <w:rPr>
          <w:rFonts w:cs="Arial" w:hint="cs"/>
          <w:rtl/>
        </w:rPr>
        <w:t>, סמ"ע (סק"ד).</w:t>
      </w:r>
    </w:p>
  </w:footnote>
  <w:footnote w:id="927">
    <w:p w14:paraId="7AA4EA2F" w14:textId="77777777" w:rsidR="0013116F" w:rsidRDefault="0013116F">
      <w:pPr>
        <w:pStyle w:val="a9"/>
      </w:pPr>
      <w:r>
        <w:rPr>
          <w:rStyle w:val="ab"/>
        </w:rPr>
        <w:footnoteRef/>
      </w:r>
      <w:r>
        <w:rPr>
          <w:rtl/>
        </w:rPr>
        <w:t xml:space="preserve"> </w:t>
      </w:r>
      <w:r w:rsidRPr="00705176">
        <w:rPr>
          <w:rFonts w:cs="Arial"/>
          <w:rtl/>
        </w:rPr>
        <w:t>עי</w:t>
      </w:r>
      <w:r>
        <w:rPr>
          <w:rFonts w:cs="Arial" w:hint="cs"/>
          <w:rtl/>
        </w:rPr>
        <w:t>'</w:t>
      </w:r>
      <w:r w:rsidRPr="00705176">
        <w:rPr>
          <w:rFonts w:cs="Arial"/>
          <w:rtl/>
        </w:rPr>
        <w:t xml:space="preserve"> לקמן ס</w:t>
      </w:r>
      <w:r>
        <w:rPr>
          <w:rFonts w:cs="Arial" w:hint="cs"/>
          <w:rtl/>
        </w:rPr>
        <w:t>"</w:t>
      </w:r>
      <w:r w:rsidRPr="00705176">
        <w:rPr>
          <w:rFonts w:cs="Arial"/>
          <w:rtl/>
        </w:rPr>
        <w:t>ס כח דכ</w:t>
      </w:r>
      <w:r>
        <w:rPr>
          <w:rFonts w:cs="Arial" w:hint="cs"/>
          <w:rtl/>
        </w:rPr>
        <w:t>'</w:t>
      </w:r>
      <w:r w:rsidRPr="00705176">
        <w:rPr>
          <w:rFonts w:cs="Arial"/>
          <w:rtl/>
        </w:rPr>
        <w:t xml:space="preserve"> המחבר לענין דיינים שצריכין לישב בשעה שמקבלין העדות, דסמיכה כזו נקראת ישיבה, ושניהם מתשובת ריב"ש סי</w:t>
      </w:r>
      <w:r>
        <w:rPr>
          <w:rFonts w:cs="Arial" w:hint="cs"/>
          <w:rtl/>
        </w:rPr>
        <w:t xml:space="preserve">' </w:t>
      </w:r>
      <w:r w:rsidRPr="00705176">
        <w:rPr>
          <w:rFonts w:cs="Arial"/>
          <w:rtl/>
        </w:rPr>
        <w:t>רסו, ע"ש. ונ"ל דאזלינן הכא והכא לקולא</w:t>
      </w:r>
      <w:r>
        <w:rPr>
          <w:rFonts w:cs="Arial" w:hint="cs"/>
          <w:rtl/>
        </w:rPr>
        <w:t>, סמ"ע (סק"ו).</w:t>
      </w:r>
      <w:r>
        <w:rPr>
          <w:rFonts w:hint="cs"/>
          <w:rtl/>
        </w:rPr>
        <w:t xml:space="preserve"> והוסיף הסמ"ע</w:t>
      </w:r>
      <w:r>
        <w:rPr>
          <w:rFonts w:asciiTheme="minorBidi" w:hAnsiTheme="minorBidi" w:cs="Arial" w:hint="cs"/>
          <w:color w:val="000000"/>
          <w:rtl/>
        </w:rPr>
        <w:t xml:space="preserve"> </w:t>
      </w:r>
      <w:r w:rsidRPr="006A4C09">
        <w:rPr>
          <w:rFonts w:asciiTheme="minorBidi" w:hAnsiTheme="minorBidi" w:cs="Arial" w:hint="cs"/>
          <w:color w:val="000000"/>
          <w:sz w:val="16"/>
          <w:szCs w:val="16"/>
          <w:rtl/>
        </w:rPr>
        <w:t>(הביאו הש"ך [סק"ה]</w:t>
      </w:r>
      <w:r w:rsidRPr="006A4C09">
        <w:rPr>
          <w:rFonts w:hint="cs"/>
          <w:sz w:val="16"/>
          <w:szCs w:val="16"/>
          <w:rtl/>
        </w:rPr>
        <w:t>)</w:t>
      </w:r>
      <w:r>
        <w:rPr>
          <w:rFonts w:hint="cs"/>
          <w:rtl/>
        </w:rPr>
        <w:t xml:space="preserve">- </w:t>
      </w:r>
      <w:r w:rsidRPr="00705176">
        <w:rPr>
          <w:rFonts w:cs="Arial"/>
          <w:rtl/>
        </w:rPr>
        <w:t>ומיהו נראה לע"ד דאם היו הדיינים וגם העדים נסמכים בדין אחד בפעם אחת, דאסור למיעבד הכי, דממ"נ חד מהם לא עביד כדינא</w:t>
      </w:r>
      <w:r>
        <w:rPr>
          <w:rFonts w:cs="Arial" w:hint="cs"/>
          <w:rtl/>
        </w:rPr>
        <w:t xml:space="preserve"> </w:t>
      </w:r>
      <w:r w:rsidRPr="005A202C">
        <w:rPr>
          <w:rFonts w:cs="Arial" w:hint="cs"/>
          <w:sz w:val="16"/>
          <w:szCs w:val="16"/>
          <w:rtl/>
        </w:rPr>
        <w:t>(ע"ש שהביא ראיה לדבריו)</w:t>
      </w:r>
      <w:r>
        <w:rPr>
          <w:rFonts w:asciiTheme="minorBidi" w:hAnsiTheme="minorBidi" w:cs="Arial" w:hint="cs"/>
          <w:color w:val="000000"/>
          <w:rtl/>
        </w:rPr>
        <w:t>,</w:t>
      </w:r>
      <w:r w:rsidRPr="005A202C">
        <w:rPr>
          <w:rFonts w:asciiTheme="minorBidi" w:hAnsiTheme="minorBidi" w:cs="Arial" w:hint="cs"/>
          <w:color w:val="000000"/>
          <w:rtl/>
        </w:rPr>
        <w:t xml:space="preserve"> </w:t>
      </w:r>
      <w:r>
        <w:rPr>
          <w:rFonts w:asciiTheme="minorBidi" w:hAnsiTheme="minorBidi" w:cs="Arial" w:hint="cs"/>
          <w:color w:val="000000"/>
          <w:rtl/>
        </w:rPr>
        <w:t xml:space="preserve">אך </w:t>
      </w:r>
      <w:r w:rsidRPr="005A202C">
        <w:rPr>
          <w:rFonts w:asciiTheme="minorBidi" w:hAnsiTheme="minorBidi" w:cs="Arial" w:hint="cs"/>
          <w:color w:val="000000"/>
          <w:rtl/>
        </w:rPr>
        <w:t>ה</w:t>
      </w:r>
      <w:r w:rsidRPr="005A202C">
        <w:rPr>
          <w:rFonts w:asciiTheme="minorBidi" w:hAnsiTheme="minorBidi" w:cs="Arial"/>
          <w:color w:val="000000"/>
          <w:rtl/>
        </w:rPr>
        <w:t xml:space="preserve">ב"ח </w:t>
      </w:r>
      <w:r w:rsidRPr="006A4C09">
        <w:rPr>
          <w:rFonts w:asciiTheme="minorBidi" w:hAnsiTheme="minorBidi" w:cs="Arial" w:hint="cs"/>
          <w:color w:val="000000"/>
          <w:sz w:val="16"/>
          <w:szCs w:val="16"/>
          <w:rtl/>
        </w:rPr>
        <w:t>(סע' ב, הביאו הש"ך [סק"ה])</w:t>
      </w:r>
      <w:r w:rsidRPr="006A4C09">
        <w:rPr>
          <w:rFonts w:asciiTheme="minorBidi" w:hAnsiTheme="minorBidi" w:cs="Arial"/>
          <w:color w:val="000000"/>
          <w:sz w:val="16"/>
          <w:szCs w:val="16"/>
          <w:rtl/>
        </w:rPr>
        <w:t xml:space="preserve"> </w:t>
      </w:r>
      <w:r w:rsidRPr="005A202C">
        <w:rPr>
          <w:rFonts w:asciiTheme="minorBidi" w:hAnsiTheme="minorBidi" w:cs="Arial"/>
          <w:color w:val="000000"/>
          <w:rtl/>
        </w:rPr>
        <w:t xml:space="preserve">חולק עליו והביא ראיה מהש"ס </w:t>
      </w:r>
      <w:r w:rsidRPr="006A4C09">
        <w:rPr>
          <w:rFonts w:asciiTheme="minorBidi" w:hAnsiTheme="minorBidi" w:cs="Arial" w:hint="cs"/>
          <w:color w:val="000000"/>
          <w:sz w:val="16"/>
          <w:szCs w:val="16"/>
          <w:rtl/>
        </w:rPr>
        <w:t>(</w:t>
      </w:r>
      <w:r w:rsidRPr="006A4C09">
        <w:rPr>
          <w:rFonts w:asciiTheme="minorBidi" w:hAnsiTheme="minorBidi" w:cs="Arial"/>
          <w:color w:val="000000"/>
          <w:sz w:val="16"/>
          <w:szCs w:val="16"/>
          <w:rtl/>
        </w:rPr>
        <w:t>פ</w:t>
      </w:r>
      <w:r w:rsidRPr="006A4C09">
        <w:rPr>
          <w:rFonts w:asciiTheme="minorBidi" w:hAnsiTheme="minorBidi" w:cs="Arial" w:hint="cs"/>
          <w:color w:val="000000"/>
          <w:sz w:val="16"/>
          <w:szCs w:val="16"/>
          <w:rtl/>
        </w:rPr>
        <w:t>'</w:t>
      </w:r>
      <w:r w:rsidRPr="006A4C09">
        <w:rPr>
          <w:rFonts w:asciiTheme="minorBidi" w:hAnsiTheme="minorBidi" w:cs="Arial"/>
          <w:color w:val="000000"/>
          <w:sz w:val="16"/>
          <w:szCs w:val="16"/>
          <w:rtl/>
        </w:rPr>
        <w:t xml:space="preserve"> שבעות העדות ל</w:t>
      </w:r>
      <w:r w:rsidRPr="006A4C09">
        <w:rPr>
          <w:rFonts w:asciiTheme="minorBidi" w:hAnsiTheme="minorBidi" w:cs="Arial" w:hint="cs"/>
          <w:color w:val="000000"/>
          <w:sz w:val="16"/>
          <w:szCs w:val="16"/>
          <w:rtl/>
        </w:rPr>
        <w:t>:)</w:t>
      </w:r>
      <w:r w:rsidRPr="006A4C09">
        <w:rPr>
          <w:rFonts w:asciiTheme="minorBidi" w:hAnsiTheme="minorBidi" w:cs="Arial"/>
          <w:color w:val="000000"/>
          <w:sz w:val="16"/>
          <w:szCs w:val="16"/>
          <w:rtl/>
        </w:rPr>
        <w:t xml:space="preserve"> </w:t>
      </w:r>
      <w:r w:rsidRPr="005A202C">
        <w:rPr>
          <w:rFonts w:asciiTheme="minorBidi" w:hAnsiTheme="minorBidi" w:cs="Arial"/>
          <w:color w:val="000000"/>
          <w:rtl/>
        </w:rPr>
        <w:t>מהא דיתיב כמאן דשרי מסאני, ופירש רש"י כלומר לא עומד ולא יושב וכו', שמעינן דשחייה חשובה באדם אחד עמידה וישיבה, דלגבי דיין שיעמוד הדיין מקמי ת"ח חשובה עמידה, ולגבי דיין עצמו שצריך שיהא דן בישיבה, חשובה ישיבה ויוצא בה ידי שניהן, עכ"ל</w:t>
      </w:r>
      <w:r>
        <w:rPr>
          <w:rFonts w:hint="cs"/>
          <w:rtl/>
        </w:rPr>
        <w:t>.</w:t>
      </w:r>
    </w:p>
  </w:footnote>
  <w:footnote w:id="928">
    <w:p w14:paraId="23B90FE7" w14:textId="77777777" w:rsidR="0013116F" w:rsidRDefault="0013116F">
      <w:pPr>
        <w:pStyle w:val="a9"/>
      </w:pPr>
      <w:r>
        <w:rPr>
          <w:rStyle w:val="ab"/>
        </w:rPr>
        <w:footnoteRef/>
      </w:r>
      <w:r>
        <w:rPr>
          <w:rtl/>
        </w:rPr>
        <w:t xml:space="preserve"> </w:t>
      </w:r>
      <w:r>
        <w:rPr>
          <w:rFonts w:hint="cs"/>
          <w:rtl/>
        </w:rPr>
        <w:t xml:space="preserve">סימן </w:t>
      </w:r>
      <w:r>
        <w:rPr>
          <w:rtl/>
        </w:rPr>
        <w:t>–</w:t>
      </w:r>
      <w:r>
        <w:rPr>
          <w:rFonts w:hint="cs"/>
          <w:rtl/>
        </w:rPr>
        <w:t xml:space="preserve"> ליכוד למדן ולץ.</w:t>
      </w:r>
    </w:p>
  </w:footnote>
  <w:footnote w:id="929">
    <w:p w14:paraId="0DA3CA17" w14:textId="77777777" w:rsidR="0013116F" w:rsidRDefault="0013116F">
      <w:pPr>
        <w:pStyle w:val="a9"/>
      </w:pPr>
      <w:r>
        <w:rPr>
          <w:rStyle w:val="ab"/>
        </w:rPr>
        <w:footnoteRef/>
      </w:r>
      <w:r>
        <w:rPr>
          <w:rtl/>
        </w:rPr>
        <w:t xml:space="preserve"> </w:t>
      </w:r>
      <w:r w:rsidRPr="00874026">
        <w:rPr>
          <w:rFonts w:cs="Arial"/>
          <w:rtl/>
        </w:rPr>
        <w:t>בעט</w:t>
      </w:r>
      <w:r>
        <w:rPr>
          <w:rFonts w:cs="Arial" w:hint="cs"/>
          <w:rtl/>
        </w:rPr>
        <w:t>, רש"י</w:t>
      </w:r>
      <w:r w:rsidRPr="00874026">
        <w:rPr>
          <w:rFonts w:cs="Arial"/>
          <w:rtl/>
        </w:rPr>
        <w:t>.</w:t>
      </w:r>
    </w:p>
  </w:footnote>
  <w:footnote w:id="930">
    <w:p w14:paraId="5F8C9E88" w14:textId="77777777" w:rsidR="0013116F" w:rsidRDefault="0013116F">
      <w:pPr>
        <w:pStyle w:val="a9"/>
      </w:pPr>
      <w:r>
        <w:rPr>
          <w:rStyle w:val="ab"/>
        </w:rPr>
        <w:footnoteRef/>
      </w:r>
      <w:r>
        <w:rPr>
          <w:rtl/>
        </w:rPr>
        <w:t xml:space="preserve"> </w:t>
      </w:r>
      <w:r w:rsidRPr="00874026">
        <w:rPr>
          <w:rFonts w:cs="Arial"/>
          <w:rtl/>
        </w:rPr>
        <w:t>לא עשיתי לו טובה ואינו אוהבי</w:t>
      </w:r>
      <w:r>
        <w:rPr>
          <w:rFonts w:cs="Arial" w:hint="cs"/>
          <w:rtl/>
        </w:rPr>
        <w:t>, רש"י.</w:t>
      </w:r>
    </w:p>
  </w:footnote>
  <w:footnote w:id="931">
    <w:p w14:paraId="30AAC0DE" w14:textId="77777777" w:rsidR="0013116F" w:rsidRDefault="0013116F">
      <w:pPr>
        <w:pStyle w:val="a9"/>
      </w:pPr>
      <w:r>
        <w:rPr>
          <w:rStyle w:val="ab"/>
        </w:rPr>
        <w:footnoteRef/>
      </w:r>
      <w:r>
        <w:rPr>
          <w:rtl/>
        </w:rPr>
        <w:t xml:space="preserve"> </w:t>
      </w:r>
      <w:r w:rsidRPr="00980EE0">
        <w:rPr>
          <w:rFonts w:cs="Arial"/>
          <w:rtl/>
        </w:rPr>
        <w:t>ואם ישב והעמידו השליח ב"ד אין על הדיינים לחזור ולאמר לו שב</w:t>
      </w:r>
      <w:r>
        <w:rPr>
          <w:rFonts w:cs="Arial" w:hint="cs"/>
          <w:rtl/>
        </w:rPr>
        <w:t>, סמ"ע (סק"ז).</w:t>
      </w:r>
    </w:p>
  </w:footnote>
  <w:footnote w:id="932">
    <w:p w14:paraId="21B5C8FC" w14:textId="77777777" w:rsidR="0013116F" w:rsidRDefault="0013116F" w:rsidP="00B668B1">
      <w:pPr>
        <w:pStyle w:val="a9"/>
      </w:pPr>
      <w:r>
        <w:rPr>
          <w:rStyle w:val="ab"/>
        </w:rPr>
        <w:footnoteRef/>
      </w:r>
      <w:r>
        <w:rPr>
          <w:rtl/>
        </w:rPr>
        <w:t xml:space="preserve"> </w:t>
      </w:r>
      <w:r w:rsidRPr="00B668B1">
        <w:rPr>
          <w:rtl/>
        </w:rPr>
        <w:t>שהכל יודעין שחייבים לעמוד לפני תלמיד חכם</w:t>
      </w:r>
      <w:r w:rsidRPr="00B668B1">
        <w:rPr>
          <w:rFonts w:hint="cs"/>
          <w:rtl/>
        </w:rPr>
        <w:t>,</w:t>
      </w:r>
      <w:r w:rsidRPr="00B668B1">
        <w:rPr>
          <w:rtl/>
        </w:rPr>
        <w:t xml:space="preserve"> ר"ן </w:t>
      </w:r>
      <w:r w:rsidRPr="00B668B1">
        <w:rPr>
          <w:rFonts w:hint="cs"/>
          <w:sz w:val="16"/>
          <w:szCs w:val="16"/>
          <w:rtl/>
        </w:rPr>
        <w:t>(</w:t>
      </w:r>
      <w:r w:rsidRPr="00B668B1">
        <w:rPr>
          <w:sz w:val="16"/>
          <w:szCs w:val="16"/>
          <w:rtl/>
        </w:rPr>
        <w:t>פ</w:t>
      </w:r>
      <w:r w:rsidRPr="00B668B1">
        <w:rPr>
          <w:rFonts w:hint="cs"/>
          <w:sz w:val="16"/>
          <w:szCs w:val="16"/>
          <w:rtl/>
        </w:rPr>
        <w:t>'</w:t>
      </w:r>
      <w:r w:rsidRPr="00B668B1">
        <w:rPr>
          <w:sz w:val="16"/>
          <w:szCs w:val="16"/>
          <w:rtl/>
        </w:rPr>
        <w:t xml:space="preserve"> שבועת העדות יד. ד"ה ודאמרינן</w:t>
      </w:r>
      <w:r w:rsidRPr="00B668B1">
        <w:rPr>
          <w:rFonts w:hint="cs"/>
          <w:sz w:val="16"/>
          <w:szCs w:val="16"/>
          <w:rtl/>
        </w:rPr>
        <w:t>, הביאו הדרכ"מ אות ג</w:t>
      </w:r>
      <w:r w:rsidRPr="00B668B1">
        <w:rPr>
          <w:sz w:val="16"/>
          <w:szCs w:val="16"/>
          <w:rtl/>
        </w:rPr>
        <w:t>)</w:t>
      </w:r>
      <w:r w:rsidRPr="00B668B1">
        <w:rPr>
          <w:rFonts w:hint="cs"/>
          <w:rtl/>
        </w:rPr>
        <w:t xml:space="preserve">. </w:t>
      </w:r>
      <w:r w:rsidRPr="00B668B1">
        <w:rPr>
          <w:rtl/>
        </w:rPr>
        <w:t>ועיין שם אימתי יכול לעמוד לפני אשת חבר</w:t>
      </w:r>
      <w:r w:rsidRPr="00B668B1">
        <w:rPr>
          <w:rFonts w:hint="cs"/>
          <w:rtl/>
        </w:rPr>
        <w:t>.</w:t>
      </w:r>
    </w:p>
  </w:footnote>
  <w:footnote w:id="933">
    <w:p w14:paraId="55EC3833" w14:textId="77777777" w:rsidR="0013116F" w:rsidRDefault="0013116F">
      <w:pPr>
        <w:pStyle w:val="a9"/>
        <w:rPr>
          <w:rtl/>
        </w:rPr>
      </w:pPr>
      <w:r>
        <w:rPr>
          <w:rStyle w:val="ab"/>
        </w:rPr>
        <w:footnoteRef/>
      </w:r>
      <w:r>
        <w:rPr>
          <w:rtl/>
        </w:rPr>
        <w:t xml:space="preserve"> </w:t>
      </w:r>
      <w:r w:rsidRPr="00194389">
        <w:rPr>
          <w:rFonts w:cs="Arial"/>
          <w:rtl/>
        </w:rPr>
        <w:t>ועיין במה שכתבתי בסימן ר"ץ (סט"ז)</w:t>
      </w:r>
      <w:r>
        <w:rPr>
          <w:rFonts w:cs="Arial" w:hint="cs"/>
          <w:rtl/>
        </w:rPr>
        <w:t>, ב"י.</w:t>
      </w:r>
    </w:p>
  </w:footnote>
  <w:footnote w:id="934">
    <w:p w14:paraId="6234CF65" w14:textId="77777777" w:rsidR="0013116F" w:rsidRDefault="0013116F">
      <w:pPr>
        <w:pStyle w:val="a9"/>
      </w:pPr>
      <w:r>
        <w:rPr>
          <w:rStyle w:val="ab"/>
        </w:rPr>
        <w:footnoteRef/>
      </w:r>
      <w:r>
        <w:rPr>
          <w:rtl/>
        </w:rPr>
        <w:t xml:space="preserve"> </w:t>
      </w:r>
      <w:r w:rsidRPr="00671718">
        <w:rPr>
          <w:rFonts w:cs="Arial"/>
          <w:rtl/>
        </w:rPr>
        <w:t xml:space="preserve">עיין ב"ח </w:t>
      </w:r>
      <w:r>
        <w:rPr>
          <w:rFonts w:cs="Arial" w:hint="cs"/>
          <w:sz w:val="16"/>
          <w:szCs w:val="16"/>
          <w:rtl/>
        </w:rPr>
        <w:t>(</w:t>
      </w:r>
      <w:r w:rsidRPr="00671718">
        <w:rPr>
          <w:rFonts w:cs="Arial"/>
          <w:sz w:val="16"/>
          <w:szCs w:val="16"/>
          <w:rtl/>
        </w:rPr>
        <w:t>סע</w:t>
      </w:r>
      <w:r w:rsidRPr="00671718">
        <w:rPr>
          <w:rFonts w:cs="Arial" w:hint="cs"/>
          <w:sz w:val="16"/>
          <w:szCs w:val="16"/>
          <w:rtl/>
        </w:rPr>
        <w:t>'</w:t>
      </w:r>
      <w:r w:rsidRPr="00671718">
        <w:rPr>
          <w:rFonts w:cs="Arial"/>
          <w:sz w:val="16"/>
          <w:szCs w:val="16"/>
          <w:rtl/>
        </w:rPr>
        <w:t xml:space="preserve"> ה</w:t>
      </w:r>
      <w:r w:rsidRPr="00671718">
        <w:rPr>
          <w:rFonts w:cs="Arial" w:hint="cs"/>
          <w:sz w:val="16"/>
          <w:szCs w:val="16"/>
          <w:rtl/>
        </w:rPr>
        <w:t>)</w:t>
      </w:r>
      <w:r w:rsidRPr="00671718">
        <w:rPr>
          <w:rFonts w:cs="Arial"/>
          <w:rtl/>
        </w:rPr>
        <w:t xml:space="preserve"> שכתב, מ"מ העדים והבע"ד בעצמם כל מי שנגע יראת אלהים בלבבו ועמדו אבותיו על הר סיני יחושו לכבוד התורה והמצוה לקיים מצות ועמדו שני האנשים וגומר </w:t>
      </w:r>
      <w:r w:rsidRPr="00671718">
        <w:rPr>
          <w:rFonts w:cs="Arial" w:hint="cs"/>
          <w:sz w:val="16"/>
          <w:szCs w:val="16"/>
          <w:rtl/>
        </w:rPr>
        <w:t>(</w:t>
      </w:r>
      <w:r w:rsidRPr="00671718">
        <w:rPr>
          <w:rFonts w:cs="Arial"/>
          <w:sz w:val="16"/>
          <w:szCs w:val="16"/>
          <w:rtl/>
        </w:rPr>
        <w:t>דברים יט יז</w:t>
      </w:r>
      <w:r>
        <w:rPr>
          <w:rFonts w:cs="Arial" w:hint="cs"/>
          <w:sz w:val="16"/>
          <w:szCs w:val="16"/>
          <w:rtl/>
        </w:rPr>
        <w:t>)</w:t>
      </w:r>
      <w:r w:rsidRPr="00671718">
        <w:rPr>
          <w:rFonts w:cs="Arial"/>
          <w:rtl/>
        </w:rPr>
        <w:t>, וראוי להם להשיב לדיינים ואנחנו נעמוד לפני ה' ולפניכם כי המשפט לאלהים הוא, עכ"ל</w:t>
      </w:r>
      <w:r>
        <w:rPr>
          <w:rFonts w:cs="Arial" w:hint="cs"/>
          <w:rtl/>
        </w:rPr>
        <w:t>, ש"ך (סק"ז).</w:t>
      </w:r>
    </w:p>
  </w:footnote>
  <w:footnote w:id="935">
    <w:p w14:paraId="1F0551DA" w14:textId="77777777" w:rsidR="0013116F" w:rsidRDefault="0013116F">
      <w:pPr>
        <w:pStyle w:val="a9"/>
        <w:rPr>
          <w:rtl/>
        </w:rPr>
      </w:pPr>
      <w:r>
        <w:rPr>
          <w:rStyle w:val="ab"/>
        </w:rPr>
        <w:footnoteRef/>
      </w:r>
      <w:r>
        <w:rPr>
          <w:rtl/>
        </w:rPr>
        <w:t xml:space="preserve"> </w:t>
      </w:r>
      <w:r>
        <w:rPr>
          <w:rFonts w:hint="cs"/>
          <w:rtl/>
        </w:rPr>
        <w:t>הב"י הביא את לשון המרדכי שהעתיק חלק מתשו' מהר"ם, והבאתי כאן את לשון הרשב"א משום שהיא יותר מפורטת, ויש לציין שתשובת מהר"ם ותשובת הרשב"א זהות ממש, אחת לאחת, כמעט אותה הלשון.</w:t>
      </w:r>
    </w:p>
  </w:footnote>
  <w:footnote w:id="936">
    <w:p w14:paraId="2A21CAD9" w14:textId="77777777" w:rsidR="0013116F" w:rsidRDefault="0013116F">
      <w:pPr>
        <w:pStyle w:val="a9"/>
      </w:pPr>
      <w:r>
        <w:rPr>
          <w:rStyle w:val="ab"/>
        </w:rPr>
        <w:footnoteRef/>
      </w:r>
      <w:r>
        <w:rPr>
          <w:rtl/>
        </w:rPr>
        <w:t xml:space="preserve"> </w:t>
      </w:r>
      <w:r w:rsidRPr="00D20081">
        <w:rPr>
          <w:rFonts w:cs="Arial"/>
          <w:rtl/>
        </w:rPr>
        <w:t>ונראה דהיינו לענין שלא ידון א</w:t>
      </w:r>
      <w:r>
        <w:rPr>
          <w:rFonts w:cs="Arial" w:hint="cs"/>
          <w:rtl/>
        </w:rPr>
        <w:t>'</w:t>
      </w:r>
      <w:r w:rsidRPr="00D20081">
        <w:rPr>
          <w:rFonts w:cs="Arial"/>
          <w:rtl/>
        </w:rPr>
        <w:t xml:space="preserve"> בשביל כולם אבל מ</w:t>
      </w:r>
      <w:r>
        <w:rPr>
          <w:rFonts w:cs="Arial" w:hint="cs"/>
          <w:rtl/>
        </w:rPr>
        <w:t>"</w:t>
      </w:r>
      <w:r w:rsidRPr="00D20081">
        <w:rPr>
          <w:rFonts w:cs="Arial"/>
          <w:rtl/>
        </w:rPr>
        <w:t>מ ידון כל א</w:t>
      </w:r>
      <w:r>
        <w:rPr>
          <w:rFonts w:cs="Arial" w:hint="cs"/>
          <w:rtl/>
        </w:rPr>
        <w:t>'</w:t>
      </w:r>
      <w:r w:rsidRPr="00D20081">
        <w:rPr>
          <w:rFonts w:cs="Arial"/>
          <w:rtl/>
        </w:rPr>
        <w:t xml:space="preserve"> לעצמו זה אחר זה מן הטעם שנתבאר בסמוך</w:t>
      </w:r>
      <w:r>
        <w:rPr>
          <w:rFonts w:cs="Arial" w:hint="cs"/>
          <w:rtl/>
        </w:rPr>
        <w:t>, ב"י</w:t>
      </w:r>
      <w:r w:rsidRPr="00935D25">
        <w:rPr>
          <w:rFonts w:cs="Arial" w:hint="cs"/>
          <w:sz w:val="16"/>
          <w:szCs w:val="16"/>
          <w:rtl/>
        </w:rPr>
        <w:t xml:space="preserve"> (בבדה"ב)</w:t>
      </w:r>
      <w:r>
        <w:rPr>
          <w:rFonts w:cs="Arial" w:hint="cs"/>
          <w:rtl/>
        </w:rPr>
        <w:t>.</w:t>
      </w:r>
    </w:p>
  </w:footnote>
  <w:footnote w:id="937">
    <w:p w14:paraId="6D6FB894" w14:textId="77777777" w:rsidR="0013116F" w:rsidRDefault="0013116F" w:rsidP="00905231">
      <w:pPr>
        <w:pStyle w:val="a9"/>
        <w:rPr>
          <w:rtl/>
        </w:rPr>
      </w:pPr>
      <w:r>
        <w:rPr>
          <w:rStyle w:val="ab"/>
        </w:rPr>
        <w:footnoteRef/>
      </w:r>
      <w:r>
        <w:rPr>
          <w:rtl/>
        </w:rPr>
        <w:t xml:space="preserve"> </w:t>
      </w:r>
      <w:r w:rsidRPr="00905231">
        <w:rPr>
          <w:rFonts w:cs="Arial"/>
          <w:rtl/>
        </w:rPr>
        <w:t>ואינו תולה בדעת התובעין או הנתבע, אלא הב"ד יכוף שניהן לכך</w:t>
      </w:r>
      <w:r>
        <w:rPr>
          <w:rFonts w:hint="cs"/>
          <w:rtl/>
        </w:rPr>
        <w:t>, סמ"ע (סק"ח).</w:t>
      </w:r>
    </w:p>
  </w:footnote>
  <w:footnote w:id="938">
    <w:p w14:paraId="7208E61F" w14:textId="77777777" w:rsidR="0013116F" w:rsidRDefault="0013116F">
      <w:pPr>
        <w:pStyle w:val="a9"/>
        <w:rPr>
          <w:rtl/>
        </w:rPr>
      </w:pPr>
      <w:r>
        <w:rPr>
          <w:rStyle w:val="ab"/>
        </w:rPr>
        <w:footnoteRef/>
      </w:r>
      <w:r>
        <w:rPr>
          <w:rtl/>
        </w:rPr>
        <w:t xml:space="preserve"> </w:t>
      </w:r>
      <w:r>
        <w:rPr>
          <w:rFonts w:hint="cs"/>
          <w:rtl/>
        </w:rPr>
        <w:t>במהדורת הסמ"ע ובאה"ג איתא 'לכן השותפין'.</w:t>
      </w:r>
    </w:p>
  </w:footnote>
  <w:footnote w:id="939">
    <w:p w14:paraId="5A7123E1" w14:textId="77777777" w:rsidR="0013116F" w:rsidRDefault="0013116F">
      <w:pPr>
        <w:pStyle w:val="a9"/>
        <w:rPr>
          <w:rtl/>
        </w:rPr>
      </w:pPr>
      <w:r>
        <w:rPr>
          <w:rStyle w:val="ab"/>
        </w:rPr>
        <w:footnoteRef/>
      </w:r>
      <w:r>
        <w:rPr>
          <w:rtl/>
        </w:rPr>
        <w:t xml:space="preserve"> </w:t>
      </w:r>
      <w:r w:rsidRPr="00905231">
        <w:rPr>
          <w:rFonts w:cs="Arial"/>
          <w:rtl/>
        </w:rPr>
        <w:t>פירוש, והברירה ביד השותפין. וז"ש המחבר לקמן סי</w:t>
      </w:r>
      <w:r>
        <w:rPr>
          <w:rFonts w:cs="Arial" w:hint="cs"/>
          <w:rtl/>
        </w:rPr>
        <w:t>'</w:t>
      </w:r>
      <w:r w:rsidRPr="00905231">
        <w:rPr>
          <w:rFonts w:cs="Arial"/>
          <w:rtl/>
        </w:rPr>
        <w:t xml:space="preserve"> קעו סע</w:t>
      </w:r>
      <w:r>
        <w:rPr>
          <w:rFonts w:cs="Arial" w:hint="cs"/>
          <w:rtl/>
        </w:rPr>
        <w:t>'</w:t>
      </w:r>
      <w:r w:rsidRPr="00905231">
        <w:rPr>
          <w:rFonts w:cs="Arial"/>
          <w:rtl/>
        </w:rPr>
        <w:t xml:space="preserve"> לה ז"ל, שני אחים או שלשה שיש להם דין עם אחד, אינו יכול לומר יבוא אחד מכם ויטעון בעד כולכם, עכ"ל. וגם שם אינו ר"ל שיטענו עמו יחד בע"כ של נתבע, אלא יטענו כל אחד לעצמו אם ירצו</w:t>
      </w:r>
      <w:r>
        <w:rPr>
          <w:rFonts w:hint="cs"/>
          <w:rtl/>
        </w:rPr>
        <w:t>, סמ"ע (סק"ט).</w:t>
      </w:r>
    </w:p>
  </w:footnote>
  <w:footnote w:id="940">
    <w:p w14:paraId="417A48E1" w14:textId="77777777" w:rsidR="0013116F" w:rsidRPr="00632893" w:rsidRDefault="0013116F">
      <w:pPr>
        <w:pStyle w:val="a9"/>
      </w:pPr>
      <w:r w:rsidRPr="00632893">
        <w:rPr>
          <w:rStyle w:val="ab"/>
        </w:rPr>
        <w:footnoteRef/>
      </w:r>
      <w:r w:rsidRPr="00632893">
        <w:rPr>
          <w:rtl/>
        </w:rPr>
        <w:t xml:space="preserve"> </w:t>
      </w:r>
      <w:r w:rsidRPr="00632893">
        <w:rPr>
          <w:rFonts w:hint="cs"/>
          <w:rtl/>
        </w:rPr>
        <w:t xml:space="preserve">סימן </w:t>
      </w:r>
      <w:r w:rsidRPr="00632893">
        <w:rPr>
          <w:rtl/>
        </w:rPr>
        <w:t>–</w:t>
      </w:r>
      <w:r w:rsidRPr="00632893">
        <w:rPr>
          <w:rFonts w:hint="cs"/>
          <w:rtl/>
        </w:rPr>
        <w:t xml:space="preserve"> לא אשמע</w:t>
      </w:r>
      <w:r w:rsidRPr="00632893">
        <w:rPr>
          <w:rFonts w:hint="cs"/>
          <w:sz w:val="16"/>
          <w:szCs w:val="16"/>
          <w:rtl/>
        </w:rPr>
        <w:t xml:space="preserve"> (או- אטען)</w:t>
      </w:r>
      <w:r w:rsidRPr="00632893">
        <w:rPr>
          <w:rFonts w:hint="cs"/>
          <w:rtl/>
        </w:rPr>
        <w:t xml:space="preserve"> אותך לבד.</w:t>
      </w:r>
    </w:p>
  </w:footnote>
  <w:footnote w:id="941">
    <w:p w14:paraId="0B4AA6EC" w14:textId="77777777" w:rsidR="0013116F" w:rsidRPr="008E1F93" w:rsidRDefault="0013116F" w:rsidP="008E1F93">
      <w:pPr>
        <w:pStyle w:val="a9"/>
        <w:rPr>
          <w:rFonts w:cs="Arial"/>
        </w:rPr>
      </w:pPr>
      <w:r>
        <w:rPr>
          <w:rStyle w:val="ab"/>
        </w:rPr>
        <w:footnoteRef/>
      </w:r>
      <w:r>
        <w:rPr>
          <w:rtl/>
        </w:rPr>
        <w:t xml:space="preserve"> </w:t>
      </w:r>
      <w:r w:rsidRPr="008E1F93">
        <w:rPr>
          <w:rFonts w:cs="Arial"/>
          <w:rtl/>
        </w:rPr>
        <w:t>לא תשא - אזהרה למקבל.</w:t>
      </w:r>
      <w:r>
        <w:rPr>
          <w:rFonts w:cs="Arial" w:hint="cs"/>
          <w:rtl/>
        </w:rPr>
        <w:t xml:space="preserve"> </w:t>
      </w:r>
      <w:r w:rsidRPr="008E1F93">
        <w:rPr>
          <w:rFonts w:cs="Arial"/>
          <w:rtl/>
        </w:rPr>
        <w:t>קרי ביה לא תשיא - אזהרה לבעל דין.</w:t>
      </w:r>
      <w:r>
        <w:rPr>
          <w:rFonts w:cs="Arial" w:hint="cs"/>
          <w:rtl/>
        </w:rPr>
        <w:t xml:space="preserve"> </w:t>
      </w:r>
      <w:r w:rsidRPr="008E1F93">
        <w:rPr>
          <w:rFonts w:cs="Arial"/>
          <w:rtl/>
        </w:rPr>
        <w:t>שמע שוא - שהמטעים דבריו שלא בפני בעל דינו אינו בוש מדברי שקר</w:t>
      </w:r>
      <w:r>
        <w:rPr>
          <w:rFonts w:cs="Arial" w:hint="cs"/>
          <w:rtl/>
        </w:rPr>
        <w:t>, רש"י</w:t>
      </w:r>
      <w:r w:rsidRPr="008E1F93">
        <w:rPr>
          <w:rFonts w:cs="Arial"/>
          <w:rtl/>
        </w:rPr>
        <w:t xml:space="preserve">. </w:t>
      </w:r>
    </w:p>
  </w:footnote>
  <w:footnote w:id="942">
    <w:p w14:paraId="49F274A4" w14:textId="77777777" w:rsidR="0013116F" w:rsidRDefault="0013116F">
      <w:pPr>
        <w:pStyle w:val="a9"/>
        <w:rPr>
          <w:rtl/>
        </w:rPr>
      </w:pPr>
      <w:r>
        <w:rPr>
          <w:rStyle w:val="ab"/>
        </w:rPr>
        <w:footnoteRef/>
      </w:r>
      <w:r>
        <w:rPr>
          <w:rtl/>
        </w:rPr>
        <w:t xml:space="preserve"> </w:t>
      </w:r>
      <w:r>
        <w:rPr>
          <w:rFonts w:hint="cs"/>
          <w:rtl/>
        </w:rPr>
        <w:t xml:space="preserve">סימן </w:t>
      </w:r>
      <w:r>
        <w:rPr>
          <w:rtl/>
        </w:rPr>
        <w:t>–</w:t>
      </w:r>
      <w:r>
        <w:rPr>
          <w:rFonts w:hint="cs"/>
          <w:rtl/>
        </w:rPr>
        <w:t xml:space="preserve"> זהירות זקנים.</w:t>
      </w:r>
    </w:p>
  </w:footnote>
  <w:footnote w:id="943">
    <w:p w14:paraId="7571874D" w14:textId="77777777" w:rsidR="0013116F" w:rsidRDefault="0013116F">
      <w:pPr>
        <w:pStyle w:val="a9"/>
      </w:pPr>
      <w:r>
        <w:rPr>
          <w:rStyle w:val="ab"/>
        </w:rPr>
        <w:footnoteRef/>
      </w:r>
      <w:r>
        <w:rPr>
          <w:rtl/>
        </w:rPr>
        <w:t xml:space="preserve"> </w:t>
      </w:r>
      <w:r w:rsidRPr="005F69D6">
        <w:rPr>
          <w:rFonts w:cs="Arial"/>
          <w:rtl/>
        </w:rPr>
        <w:t>כשיהיו שניהם יחד</w:t>
      </w:r>
      <w:r>
        <w:rPr>
          <w:rFonts w:cs="Arial" w:hint="cs"/>
          <w:rtl/>
        </w:rPr>
        <w:t xml:space="preserve"> -</w:t>
      </w:r>
      <w:r w:rsidRPr="005F69D6">
        <w:rPr>
          <w:rFonts w:cs="Arial"/>
          <w:rtl/>
        </w:rPr>
        <w:t xml:space="preserve"> שמעו דבריהם, ולא תשמעו דברי זה בלא זה, שמסדר דברי שקר כדברי אמת, לפי שאין מכחישן, ומכיון שלב הדיין נוטה לו לזכות, שוב אין לבו מהפך בזכות השני כל כך</w:t>
      </w:r>
      <w:r>
        <w:rPr>
          <w:rFonts w:cs="Arial" w:hint="cs"/>
          <w:rtl/>
        </w:rPr>
        <w:t>, רש"י</w:t>
      </w:r>
      <w:r w:rsidRPr="005F69D6">
        <w:rPr>
          <w:rFonts w:cs="Arial"/>
          <w:rtl/>
        </w:rPr>
        <w:t>.</w:t>
      </w:r>
    </w:p>
  </w:footnote>
  <w:footnote w:id="944">
    <w:p w14:paraId="1F607901" w14:textId="77777777" w:rsidR="0013116F" w:rsidRDefault="0013116F">
      <w:pPr>
        <w:pStyle w:val="a9"/>
      </w:pPr>
      <w:r>
        <w:rPr>
          <w:rStyle w:val="ab"/>
        </w:rPr>
        <w:footnoteRef/>
      </w:r>
      <w:r>
        <w:rPr>
          <w:rtl/>
        </w:rPr>
        <w:t xml:space="preserve"> </w:t>
      </w:r>
      <w:r w:rsidRPr="005F69D6">
        <w:rPr>
          <w:rFonts w:cs="Arial"/>
          <w:rtl/>
        </w:rPr>
        <w:t>דבריך בין אחיכם, כשתהיו שניכם יחד משמע</w:t>
      </w:r>
      <w:r>
        <w:rPr>
          <w:rFonts w:cs="Arial" w:hint="cs"/>
          <w:rtl/>
        </w:rPr>
        <w:t>, רש"י</w:t>
      </w:r>
      <w:r w:rsidRPr="005F69D6">
        <w:rPr>
          <w:rFonts w:cs="Arial"/>
          <w:rtl/>
        </w:rPr>
        <w:t>.</w:t>
      </w:r>
    </w:p>
  </w:footnote>
  <w:footnote w:id="945">
    <w:p w14:paraId="530EE1B8" w14:textId="77777777" w:rsidR="0013116F" w:rsidRDefault="0013116F">
      <w:pPr>
        <w:pStyle w:val="a9"/>
        <w:rPr>
          <w:rtl/>
        </w:rPr>
      </w:pPr>
      <w:r>
        <w:rPr>
          <w:rStyle w:val="ab"/>
        </w:rPr>
        <w:footnoteRef/>
      </w:r>
      <w:r>
        <w:rPr>
          <w:rtl/>
        </w:rPr>
        <w:t xml:space="preserve"> </w:t>
      </w:r>
      <w:r>
        <w:rPr>
          <w:rFonts w:cs="Arial" w:hint="cs"/>
          <w:rtl/>
        </w:rPr>
        <w:t>נ</w:t>
      </w:r>
      <w:r>
        <w:rPr>
          <w:rFonts w:cs="Arial"/>
          <w:rtl/>
        </w:rPr>
        <w:t xml:space="preserve">ראה שכתב כן משום דלא תיסק אדעתין דלא מיתסר אלא קודם שיבא חבירו משום דצדיק הראשון בריבו </w:t>
      </w:r>
      <w:r w:rsidRPr="005F69D6">
        <w:rPr>
          <w:rFonts w:cs="Arial"/>
          <w:sz w:val="16"/>
          <w:szCs w:val="16"/>
          <w:rtl/>
        </w:rPr>
        <w:t xml:space="preserve">(משלי יח יז) </w:t>
      </w:r>
      <w:r>
        <w:rPr>
          <w:rFonts w:cs="Arial"/>
          <w:rtl/>
        </w:rPr>
        <w:t>אבל אם בא חבירו לב</w:t>
      </w:r>
      <w:r>
        <w:rPr>
          <w:rFonts w:cs="Arial" w:hint="cs"/>
          <w:rtl/>
        </w:rPr>
        <w:t>"</w:t>
      </w:r>
      <w:r>
        <w:rPr>
          <w:rFonts w:cs="Arial"/>
          <w:rtl/>
        </w:rPr>
        <w:t>ד ויצא שרי קמ</w:t>
      </w:r>
      <w:r>
        <w:rPr>
          <w:rFonts w:cs="Arial" w:hint="cs"/>
          <w:rtl/>
        </w:rPr>
        <w:t>"</w:t>
      </w:r>
      <w:r>
        <w:rPr>
          <w:rFonts w:cs="Arial"/>
          <w:rtl/>
        </w:rPr>
        <w:t>ל שכל שהוא שלא בפניו אסור משום דכל שמשמיע דבריו שלא בפני בעל דינו אינו בוש מדברי שקר</w:t>
      </w:r>
      <w:r>
        <w:rPr>
          <w:rFonts w:hint="cs"/>
          <w:rtl/>
        </w:rPr>
        <w:t>, ב"י.</w:t>
      </w:r>
    </w:p>
  </w:footnote>
  <w:footnote w:id="946">
    <w:p w14:paraId="7CF63F2F" w14:textId="77777777" w:rsidR="0013116F" w:rsidRDefault="0013116F">
      <w:pPr>
        <w:pStyle w:val="a9"/>
        <w:rPr>
          <w:rtl/>
        </w:rPr>
      </w:pPr>
      <w:r>
        <w:rPr>
          <w:rStyle w:val="ab"/>
        </w:rPr>
        <w:footnoteRef/>
      </w:r>
      <w:r>
        <w:rPr>
          <w:rtl/>
        </w:rPr>
        <w:t xml:space="preserve"> </w:t>
      </w:r>
      <w:r>
        <w:rPr>
          <w:rFonts w:hint="cs"/>
          <w:rtl/>
        </w:rPr>
        <w:t xml:space="preserve">סימן </w:t>
      </w:r>
      <w:r>
        <w:rPr>
          <w:rtl/>
        </w:rPr>
        <w:t>–</w:t>
      </w:r>
      <w:r>
        <w:rPr>
          <w:rFonts w:hint="cs"/>
          <w:rtl/>
        </w:rPr>
        <w:t xml:space="preserve"> לא לשבת לפניו ללמוד.</w:t>
      </w:r>
    </w:p>
  </w:footnote>
  <w:footnote w:id="947">
    <w:p w14:paraId="0DE2EB22" w14:textId="77777777" w:rsidR="0013116F" w:rsidRDefault="0013116F">
      <w:pPr>
        <w:pStyle w:val="a9"/>
      </w:pPr>
      <w:r>
        <w:rPr>
          <w:rStyle w:val="ab"/>
        </w:rPr>
        <w:footnoteRef/>
      </w:r>
      <w:r>
        <w:rPr>
          <w:rtl/>
        </w:rPr>
        <w:t xml:space="preserve"> </w:t>
      </w:r>
      <w:r>
        <w:rPr>
          <w:rFonts w:cs="Arial"/>
          <w:rtl/>
        </w:rPr>
        <w:t>לפני הדיין קודם שיבא בעל דינו ואפילו יושב ושותק</w:t>
      </w:r>
      <w:r>
        <w:rPr>
          <w:rFonts w:cs="Arial" w:hint="cs"/>
          <w:rtl/>
        </w:rPr>
        <w:t>, רש"י.</w:t>
      </w:r>
    </w:p>
  </w:footnote>
  <w:footnote w:id="948">
    <w:p w14:paraId="556330F8" w14:textId="77777777" w:rsidR="0013116F" w:rsidRDefault="0013116F">
      <w:pPr>
        <w:pStyle w:val="a9"/>
        <w:rPr>
          <w:rtl/>
        </w:rPr>
      </w:pPr>
      <w:r>
        <w:rPr>
          <w:rStyle w:val="ab"/>
        </w:rPr>
        <w:footnoteRef/>
      </w:r>
      <w:r>
        <w:rPr>
          <w:rtl/>
        </w:rPr>
        <w:t xml:space="preserve"> </w:t>
      </w:r>
      <w:r>
        <w:rPr>
          <w:rFonts w:cs="Arial"/>
          <w:rtl/>
        </w:rPr>
        <w:t>טענתיה וגורם שיחשדוהו במטעים דבריו</w:t>
      </w:r>
      <w:r>
        <w:rPr>
          <w:rFonts w:cs="Arial" w:hint="cs"/>
          <w:rtl/>
        </w:rPr>
        <w:t>, רש"י.</w:t>
      </w:r>
    </w:p>
  </w:footnote>
  <w:footnote w:id="949">
    <w:p w14:paraId="595A8E15" w14:textId="77777777" w:rsidR="0013116F" w:rsidRDefault="0013116F">
      <w:pPr>
        <w:pStyle w:val="a9"/>
      </w:pPr>
      <w:r>
        <w:rPr>
          <w:rStyle w:val="ab"/>
        </w:rPr>
        <w:footnoteRef/>
      </w:r>
      <w:r>
        <w:rPr>
          <w:rtl/>
        </w:rPr>
        <w:t xml:space="preserve"> </w:t>
      </w:r>
      <w:r>
        <w:rPr>
          <w:rFonts w:cs="Arial"/>
          <w:rtl/>
        </w:rPr>
        <w:t>שהדיין רבו ויש לו קביעות ללמוד</w:t>
      </w:r>
      <w:r>
        <w:rPr>
          <w:rFonts w:cs="Arial" w:hint="cs"/>
          <w:rtl/>
        </w:rPr>
        <w:t>, רש"י.</w:t>
      </w:r>
    </w:p>
  </w:footnote>
  <w:footnote w:id="950">
    <w:p w14:paraId="02099C5E" w14:textId="77777777" w:rsidR="0013116F" w:rsidRDefault="0013116F" w:rsidP="00CD5550">
      <w:pPr>
        <w:pStyle w:val="a9"/>
        <w:rPr>
          <w:rtl/>
        </w:rPr>
      </w:pPr>
      <w:r>
        <w:rPr>
          <w:rStyle w:val="ab"/>
        </w:rPr>
        <w:footnoteRef/>
      </w:r>
      <w:r>
        <w:rPr>
          <w:rtl/>
        </w:rPr>
        <w:t xml:space="preserve"> </w:t>
      </w:r>
      <w:r>
        <w:rPr>
          <w:rFonts w:cs="Arial" w:hint="cs"/>
          <w:rtl/>
        </w:rPr>
        <w:t>הביא הדרכ"מ</w:t>
      </w:r>
      <w:r>
        <w:rPr>
          <w:rFonts w:hint="cs"/>
          <w:sz w:val="16"/>
          <w:szCs w:val="16"/>
          <w:rtl/>
        </w:rPr>
        <w:t xml:space="preserve"> </w:t>
      </w:r>
      <w:r w:rsidRPr="00CD5550">
        <w:rPr>
          <w:rFonts w:hint="cs"/>
          <w:sz w:val="16"/>
          <w:szCs w:val="16"/>
          <w:rtl/>
        </w:rPr>
        <w:t>(אות ד)</w:t>
      </w:r>
      <w:r>
        <w:rPr>
          <w:rFonts w:cs="Arial" w:hint="cs"/>
          <w:rtl/>
        </w:rPr>
        <w:t xml:space="preserve"> את תורף דבריו וכתב וז"ל- </w:t>
      </w:r>
      <w:r w:rsidRPr="002E5E3D">
        <w:rPr>
          <w:rFonts w:cs="Arial"/>
          <w:rtl/>
        </w:rPr>
        <w:t>נ"ל שאינו נכון</w:t>
      </w:r>
      <w:r>
        <w:rPr>
          <w:rFonts w:cs="Arial" w:hint="cs"/>
          <w:rtl/>
        </w:rPr>
        <w:t>,</w:t>
      </w:r>
      <w:r w:rsidRPr="002E5E3D">
        <w:rPr>
          <w:rFonts w:cs="Arial"/>
          <w:rtl/>
        </w:rPr>
        <w:t xml:space="preserve"> וכ</w:t>
      </w:r>
      <w:r>
        <w:rPr>
          <w:rFonts w:cs="Arial" w:hint="cs"/>
          <w:rtl/>
        </w:rPr>
        <w:t>"מ</w:t>
      </w:r>
      <w:r w:rsidRPr="002E5E3D">
        <w:rPr>
          <w:rFonts w:cs="Arial"/>
          <w:rtl/>
        </w:rPr>
        <w:t xml:space="preserve"> מפסקי מהרא"י סי</w:t>
      </w:r>
      <w:r>
        <w:rPr>
          <w:rFonts w:cs="Arial" w:hint="cs"/>
          <w:rtl/>
        </w:rPr>
        <w:t>'</w:t>
      </w:r>
      <w:r w:rsidRPr="002E5E3D">
        <w:rPr>
          <w:rFonts w:cs="Arial"/>
          <w:rtl/>
        </w:rPr>
        <w:t xml:space="preserve"> רסז ובכמה מקומות</w:t>
      </w:r>
      <w:r>
        <w:rPr>
          <w:rFonts w:cs="Arial" w:hint="cs"/>
          <w:rtl/>
        </w:rPr>
        <w:t>,</w:t>
      </w:r>
      <w:r w:rsidRPr="002E5E3D">
        <w:rPr>
          <w:rFonts w:cs="Arial"/>
          <w:rtl/>
        </w:rPr>
        <w:t xml:space="preserve"> וכ"כ ב</w:t>
      </w:r>
      <w:r>
        <w:rPr>
          <w:rFonts w:cs="Arial" w:hint="cs"/>
          <w:rtl/>
        </w:rPr>
        <w:t>"י</w:t>
      </w:r>
      <w:r w:rsidRPr="002E5E3D">
        <w:rPr>
          <w:rFonts w:cs="Arial"/>
          <w:rtl/>
        </w:rPr>
        <w:t xml:space="preserve"> </w:t>
      </w:r>
      <w:r w:rsidRPr="00CD5550">
        <w:rPr>
          <w:rFonts w:cs="Arial"/>
          <w:sz w:val="16"/>
          <w:szCs w:val="16"/>
          <w:rtl/>
        </w:rPr>
        <w:t xml:space="preserve">(סי"ב-יג) </w:t>
      </w:r>
      <w:r w:rsidRPr="002E5E3D">
        <w:rPr>
          <w:rFonts w:cs="Arial"/>
          <w:rtl/>
        </w:rPr>
        <w:t>בשם תשובת הרשב"א וז"ל</w:t>
      </w:r>
      <w:r>
        <w:rPr>
          <w:rFonts w:cs="Arial" w:hint="cs"/>
          <w:rtl/>
        </w:rPr>
        <w:t>-</w:t>
      </w:r>
      <w:r w:rsidRPr="002E5E3D">
        <w:rPr>
          <w:rFonts w:cs="Arial"/>
          <w:rtl/>
        </w:rPr>
        <w:t xml:space="preserve"> ואיני רוצה לכתוב במה יתחייב או יפטור שמא מתוך מה שאכתוב ילמדו לשקר עכ"ל</w:t>
      </w:r>
      <w:r>
        <w:rPr>
          <w:rFonts w:cs="Arial" w:hint="cs"/>
          <w:rtl/>
        </w:rPr>
        <w:t>,</w:t>
      </w:r>
      <w:r w:rsidRPr="002E5E3D">
        <w:rPr>
          <w:rFonts w:cs="Arial"/>
          <w:rtl/>
        </w:rPr>
        <w:t xml:space="preserve"> שמע מינה דאיכא למיחש להכי</w:t>
      </w:r>
      <w:r>
        <w:rPr>
          <w:rFonts w:cs="Arial" w:hint="cs"/>
          <w:rtl/>
        </w:rPr>
        <w:t>,</w:t>
      </w:r>
      <w:r w:rsidRPr="002E5E3D">
        <w:rPr>
          <w:rFonts w:cs="Arial"/>
          <w:rtl/>
        </w:rPr>
        <w:t xml:space="preserve"> וכ"כ הריב"ש </w:t>
      </w:r>
      <w:r w:rsidRPr="00CD5550">
        <w:rPr>
          <w:rFonts w:cs="Arial" w:hint="cs"/>
          <w:sz w:val="16"/>
          <w:szCs w:val="16"/>
          <w:rtl/>
        </w:rPr>
        <w:t>(</w:t>
      </w:r>
      <w:r w:rsidRPr="00CD5550">
        <w:rPr>
          <w:rFonts w:cs="Arial"/>
          <w:sz w:val="16"/>
          <w:szCs w:val="16"/>
          <w:rtl/>
        </w:rPr>
        <w:t>סי</w:t>
      </w:r>
      <w:r w:rsidRPr="00CD5550">
        <w:rPr>
          <w:rFonts w:cs="Arial" w:hint="cs"/>
          <w:sz w:val="16"/>
          <w:szCs w:val="16"/>
          <w:rtl/>
        </w:rPr>
        <w:t>'</w:t>
      </w:r>
      <w:r w:rsidRPr="00CD5550">
        <w:rPr>
          <w:rFonts w:cs="Arial"/>
          <w:sz w:val="16"/>
          <w:szCs w:val="16"/>
          <w:rtl/>
        </w:rPr>
        <w:t xml:space="preserve"> קעט</w:t>
      </w:r>
      <w:r w:rsidRPr="00CD5550">
        <w:rPr>
          <w:rFonts w:cs="Arial" w:hint="cs"/>
          <w:sz w:val="16"/>
          <w:szCs w:val="16"/>
          <w:rtl/>
        </w:rPr>
        <w:t>)</w:t>
      </w:r>
      <w:r w:rsidRPr="00CD5550">
        <w:rPr>
          <w:rFonts w:cs="Arial"/>
          <w:sz w:val="16"/>
          <w:szCs w:val="16"/>
          <w:rtl/>
        </w:rPr>
        <w:t xml:space="preserve"> </w:t>
      </w:r>
      <w:r w:rsidRPr="002E5E3D">
        <w:rPr>
          <w:rFonts w:cs="Arial"/>
          <w:rtl/>
        </w:rPr>
        <w:t>דאין לעשות כן משום שמא מתוך טענותיו ילמדו לשקר</w:t>
      </w:r>
      <w:r>
        <w:rPr>
          <w:rFonts w:cs="Arial" w:hint="cs"/>
          <w:rtl/>
        </w:rPr>
        <w:t>,</w:t>
      </w:r>
      <w:r w:rsidRPr="002E5E3D">
        <w:rPr>
          <w:rFonts w:cs="Arial"/>
          <w:rtl/>
        </w:rPr>
        <w:t xml:space="preserve"> ועוד דאח"כ יבא חבירו ויאמר בדרך אחר ויצטרך לכתוב בדרך אחרת ואיכא לעז בדבר</w:t>
      </w:r>
      <w:r>
        <w:rPr>
          <w:rFonts w:hint="cs"/>
          <w:rtl/>
        </w:rPr>
        <w:t xml:space="preserve">, דרכ"מ </w:t>
      </w:r>
      <w:r w:rsidRPr="00CD5550">
        <w:rPr>
          <w:rFonts w:hint="cs"/>
          <w:sz w:val="16"/>
          <w:szCs w:val="16"/>
          <w:rtl/>
        </w:rPr>
        <w:t>(אות ד)</w:t>
      </w:r>
      <w:r>
        <w:rPr>
          <w:rFonts w:hint="cs"/>
          <w:rtl/>
        </w:rPr>
        <w:t>.</w:t>
      </w:r>
      <w:r w:rsidRPr="00CD5550">
        <w:rPr>
          <w:rFonts w:cs="Arial" w:hint="cs"/>
          <w:color w:val="00B0F0"/>
          <w:rtl/>
        </w:rPr>
        <w:t xml:space="preserve"> </w:t>
      </w:r>
      <w:r w:rsidRPr="008F0BC8">
        <w:rPr>
          <w:rFonts w:cs="Arial" w:hint="cs"/>
          <w:color w:val="00B0F0"/>
          <w:rtl/>
        </w:rPr>
        <w:t>(וכ"פ בהגה)</w:t>
      </w:r>
    </w:p>
  </w:footnote>
  <w:footnote w:id="951">
    <w:p w14:paraId="45C0625E" w14:textId="77777777" w:rsidR="0013116F" w:rsidRDefault="0013116F">
      <w:pPr>
        <w:pStyle w:val="a9"/>
        <w:rPr>
          <w:rtl/>
        </w:rPr>
      </w:pPr>
      <w:r>
        <w:rPr>
          <w:rStyle w:val="ab"/>
        </w:rPr>
        <w:footnoteRef/>
      </w:r>
      <w:r>
        <w:rPr>
          <w:rtl/>
        </w:rPr>
        <w:t xml:space="preserve"> </w:t>
      </w:r>
      <w:r w:rsidRPr="00C65832">
        <w:rPr>
          <w:rFonts w:asciiTheme="minorBidi" w:hAnsiTheme="minorBidi" w:cs="Arial"/>
          <w:color w:val="000000"/>
          <w:rtl/>
        </w:rPr>
        <w:t>אבל אם שמע מותר</w:t>
      </w:r>
      <w:r w:rsidRPr="00C65832">
        <w:rPr>
          <w:rFonts w:asciiTheme="minorBidi" w:hAnsiTheme="minorBidi" w:cs="Arial"/>
          <w:color w:val="000000"/>
          <w:sz w:val="16"/>
          <w:szCs w:val="16"/>
          <w:rtl/>
        </w:rPr>
        <w:t xml:space="preserve"> </w:t>
      </w:r>
      <w:r w:rsidRPr="00C65832">
        <w:rPr>
          <w:rFonts w:asciiTheme="minorBidi" w:hAnsiTheme="minorBidi" w:cs="Arial" w:hint="cs"/>
          <w:color w:val="000000"/>
          <w:sz w:val="16"/>
          <w:szCs w:val="16"/>
          <w:rtl/>
        </w:rPr>
        <w:t>(</w:t>
      </w:r>
      <w:r w:rsidRPr="00C65832">
        <w:rPr>
          <w:rFonts w:asciiTheme="minorBidi" w:hAnsiTheme="minorBidi" w:cs="Arial"/>
          <w:color w:val="000000"/>
          <w:sz w:val="16"/>
          <w:szCs w:val="16"/>
          <w:rtl/>
        </w:rPr>
        <w:t>עי</w:t>
      </w:r>
      <w:r w:rsidRPr="00C65832">
        <w:rPr>
          <w:rFonts w:asciiTheme="minorBidi" w:hAnsiTheme="minorBidi" w:cs="Arial" w:hint="cs"/>
          <w:color w:val="000000"/>
          <w:sz w:val="16"/>
          <w:szCs w:val="16"/>
          <w:rtl/>
        </w:rPr>
        <w:t>'</w:t>
      </w:r>
      <w:r w:rsidRPr="00C65832">
        <w:rPr>
          <w:rFonts w:asciiTheme="minorBidi" w:hAnsiTheme="minorBidi" w:cs="Arial"/>
          <w:color w:val="000000"/>
          <w:sz w:val="16"/>
          <w:szCs w:val="16"/>
          <w:rtl/>
        </w:rPr>
        <w:t xml:space="preserve"> בתשובת ן' לב ס</w:t>
      </w:r>
      <w:r w:rsidRPr="00C65832">
        <w:rPr>
          <w:rFonts w:asciiTheme="minorBidi" w:hAnsiTheme="minorBidi" w:cs="Arial" w:hint="cs"/>
          <w:color w:val="000000"/>
          <w:sz w:val="16"/>
          <w:szCs w:val="16"/>
          <w:rtl/>
        </w:rPr>
        <w:t>"</w:t>
      </w:r>
      <w:r w:rsidRPr="00C65832">
        <w:rPr>
          <w:rFonts w:asciiTheme="minorBidi" w:hAnsiTheme="minorBidi" w:cs="Arial"/>
          <w:color w:val="000000"/>
          <w:sz w:val="16"/>
          <w:szCs w:val="16"/>
          <w:rtl/>
        </w:rPr>
        <w:t>ג סי' צז, וכ"כ ר"ש מדינא סי' ב ד"ה ומעתה</w:t>
      </w:r>
      <w:r w:rsidRPr="00C65832">
        <w:rPr>
          <w:rFonts w:asciiTheme="minorBidi" w:hAnsiTheme="minorBidi" w:cs="Arial" w:hint="cs"/>
          <w:color w:val="000000"/>
          <w:sz w:val="16"/>
          <w:szCs w:val="16"/>
          <w:rtl/>
        </w:rPr>
        <w:t>)</w:t>
      </w:r>
      <w:r w:rsidRPr="00C65832">
        <w:rPr>
          <w:rFonts w:asciiTheme="minorBidi" w:hAnsiTheme="minorBidi" w:cs="Arial" w:hint="cs"/>
          <w:color w:val="000000"/>
          <w:rtl/>
        </w:rPr>
        <w:t>,</w:t>
      </w:r>
      <w:r w:rsidRPr="00C65832">
        <w:rPr>
          <w:rFonts w:asciiTheme="minorBidi" w:hAnsiTheme="minorBidi" w:cs="Arial"/>
          <w:color w:val="000000"/>
          <w:rtl/>
        </w:rPr>
        <w:t xml:space="preserve"> אכן אם כבר נשאל מדיין וכתב לו פסק ודעתו עליו, אין רשאי לפסוק דחשיב כנוגע </w:t>
      </w:r>
      <w:r w:rsidRPr="00C65832">
        <w:rPr>
          <w:rFonts w:asciiTheme="minorBidi" w:hAnsiTheme="minorBidi" w:cs="Arial" w:hint="cs"/>
          <w:color w:val="000000"/>
          <w:sz w:val="16"/>
          <w:szCs w:val="16"/>
          <w:rtl/>
        </w:rPr>
        <w:t>(</w:t>
      </w:r>
      <w:r w:rsidRPr="00C65832">
        <w:rPr>
          <w:rFonts w:asciiTheme="minorBidi" w:hAnsiTheme="minorBidi" w:cs="Arial"/>
          <w:color w:val="000000"/>
          <w:sz w:val="16"/>
          <w:szCs w:val="16"/>
          <w:rtl/>
        </w:rPr>
        <w:t>כ"כ שם. וכ"כ ר"ל ן' חביב באגרת הסמיכה אשר לו [ד"ה ולא לבד]</w:t>
      </w:r>
      <w:r w:rsidRPr="00C65832">
        <w:rPr>
          <w:rFonts w:asciiTheme="minorBidi" w:hAnsiTheme="minorBidi" w:cs="Arial" w:hint="cs"/>
          <w:color w:val="000000"/>
          <w:sz w:val="16"/>
          <w:szCs w:val="16"/>
          <w:rtl/>
        </w:rPr>
        <w:t>)</w:t>
      </w:r>
      <w:r w:rsidRPr="00C65832">
        <w:rPr>
          <w:rFonts w:asciiTheme="minorBidi" w:hAnsiTheme="minorBidi" w:cs="Arial" w:hint="cs"/>
          <w:color w:val="000000"/>
          <w:rtl/>
        </w:rPr>
        <w:t xml:space="preserve">, ש"ך </w:t>
      </w:r>
      <w:r w:rsidRPr="00C65832">
        <w:rPr>
          <w:rFonts w:asciiTheme="minorBidi" w:hAnsiTheme="minorBidi" w:cs="Arial"/>
          <w:color w:val="000000"/>
          <w:rtl/>
        </w:rPr>
        <w:t>(</w:t>
      </w:r>
      <w:r w:rsidRPr="00C65832">
        <w:rPr>
          <w:rFonts w:asciiTheme="minorBidi" w:hAnsiTheme="minorBidi" w:cs="Arial" w:hint="cs"/>
          <w:color w:val="000000"/>
          <w:rtl/>
        </w:rPr>
        <w:t>סק"</w:t>
      </w:r>
      <w:r w:rsidRPr="00C65832">
        <w:rPr>
          <w:rFonts w:asciiTheme="minorBidi" w:hAnsiTheme="minorBidi" w:cs="Arial"/>
          <w:color w:val="000000"/>
          <w:rtl/>
        </w:rPr>
        <w:t>ט)</w:t>
      </w:r>
      <w:r w:rsidRPr="00C65832">
        <w:rPr>
          <w:rFonts w:asciiTheme="minorBidi" w:hAnsiTheme="minorBidi" w:cs="Arial" w:hint="cs"/>
          <w:color w:val="000000"/>
          <w:rtl/>
        </w:rPr>
        <w:t>.</w:t>
      </w:r>
    </w:p>
  </w:footnote>
  <w:footnote w:id="952">
    <w:p w14:paraId="008A8E0A" w14:textId="77777777" w:rsidR="0013116F" w:rsidRDefault="0013116F">
      <w:pPr>
        <w:pStyle w:val="a9"/>
      </w:pPr>
      <w:r>
        <w:rPr>
          <w:rStyle w:val="ab"/>
        </w:rPr>
        <w:footnoteRef/>
      </w:r>
      <w:r>
        <w:rPr>
          <w:rtl/>
        </w:rPr>
        <w:t xml:space="preserve"> </w:t>
      </w:r>
      <w:r w:rsidRPr="00CD5550">
        <w:rPr>
          <w:rFonts w:cs="Arial"/>
          <w:rtl/>
        </w:rPr>
        <w:t xml:space="preserve">פירוש, ויודע ג"כ שבע"ד השני יצטרך לעמוד לפניו, וכ"כ בהדיא שם </w:t>
      </w:r>
      <w:r>
        <w:rPr>
          <w:rFonts w:cs="Arial" w:hint="cs"/>
          <w:rtl/>
        </w:rPr>
        <w:t>ב</w:t>
      </w:r>
      <w:r w:rsidRPr="00CD5550">
        <w:rPr>
          <w:rFonts w:cs="Arial"/>
          <w:rtl/>
        </w:rPr>
        <w:t>מהרי"ל. ואז לא ישמע לכתחילה שמא לא יהא ניחא להשני שידון בדבר שכבר שמע טענה של שכנגדו, וגם כשיודע שיהיה דיין בדבר נכנסו דבריו באזניו. משא"כ כשאינו יודע שיהיה דיין בדבר מותר לו לשמוע, ואח"כ לא ידון אא"כ נתרצה גם השני לדון לפניו אף שכבר שמע. והשתא א"ש מ"ש מור"ם ז"ל, אבל אם שמע טענות האחד ואח"כ כו', דקשה דאין לשון זה דבר והיפוכו עם מ"ש לפני זה, והל"ל אבל אם אינו יודע שיהיה דיין מותר לשמוע. אלא ודאי השמיעה מצד עצמה לית בה איסור, אלא במה שהוא דיין ויצטרך הלה לעמוד לפניו הוא דאסור, וע"ש בתשובת מהרי"ל</w:t>
      </w:r>
      <w:r>
        <w:rPr>
          <w:rFonts w:cs="Arial" w:hint="cs"/>
          <w:rtl/>
        </w:rPr>
        <w:t>, סמ"ע (סקי"א).</w:t>
      </w:r>
    </w:p>
  </w:footnote>
  <w:footnote w:id="953">
    <w:p w14:paraId="5E77D09A" w14:textId="77777777" w:rsidR="0013116F" w:rsidRDefault="0013116F">
      <w:pPr>
        <w:pStyle w:val="a9"/>
        <w:rPr>
          <w:rtl/>
        </w:rPr>
      </w:pPr>
      <w:r>
        <w:rPr>
          <w:rStyle w:val="ab"/>
        </w:rPr>
        <w:footnoteRef/>
      </w:r>
      <w:r>
        <w:rPr>
          <w:rtl/>
        </w:rPr>
        <w:t xml:space="preserve"> </w:t>
      </w:r>
      <w:r>
        <w:rPr>
          <w:rFonts w:hint="cs"/>
          <w:rtl/>
        </w:rPr>
        <w:t xml:space="preserve">פירוש, אם כן הוא כאשר אמר לפני בעל דין זה </w:t>
      </w:r>
      <w:r>
        <w:rPr>
          <w:rtl/>
        </w:rPr>
        <w:t>–</w:t>
      </w:r>
      <w:r>
        <w:rPr>
          <w:rFonts w:hint="cs"/>
          <w:rtl/>
        </w:rPr>
        <w:t xml:space="preserve"> אז הדין כן הוא, באה"ג (אות נ*).</w:t>
      </w:r>
    </w:p>
  </w:footnote>
  <w:footnote w:id="954">
    <w:p w14:paraId="358A7BEA" w14:textId="77777777" w:rsidR="0013116F" w:rsidRDefault="0013116F">
      <w:pPr>
        <w:pStyle w:val="a9"/>
        <w:rPr>
          <w:rtl/>
        </w:rPr>
      </w:pPr>
      <w:r>
        <w:rPr>
          <w:rStyle w:val="ab"/>
        </w:rPr>
        <w:footnoteRef/>
      </w:r>
      <w:r>
        <w:rPr>
          <w:rtl/>
        </w:rPr>
        <w:t xml:space="preserve"> </w:t>
      </w:r>
      <w:r>
        <w:rPr>
          <w:rFonts w:hint="cs"/>
          <w:rtl/>
        </w:rPr>
        <w:t xml:space="preserve">סימן </w:t>
      </w:r>
      <w:r>
        <w:rPr>
          <w:rtl/>
        </w:rPr>
        <w:t>–</w:t>
      </w:r>
      <w:r>
        <w:rPr>
          <w:rFonts w:hint="cs"/>
          <w:rtl/>
        </w:rPr>
        <w:t xml:space="preserve"> ויכוח ווליד</w:t>
      </w:r>
      <w:r>
        <w:rPr>
          <w:rFonts w:hint="cs"/>
          <w:sz w:val="16"/>
          <w:szCs w:val="16"/>
          <w:rtl/>
        </w:rPr>
        <w:t xml:space="preserve"> (שם של גוי)</w:t>
      </w:r>
      <w:r>
        <w:rPr>
          <w:rFonts w:hint="cs"/>
          <w:rtl/>
        </w:rPr>
        <w:t>.</w:t>
      </w:r>
    </w:p>
  </w:footnote>
  <w:footnote w:id="955">
    <w:p w14:paraId="1CC08864" w14:textId="77777777" w:rsidR="0013116F" w:rsidRDefault="0013116F">
      <w:pPr>
        <w:pStyle w:val="a9"/>
        <w:rPr>
          <w:rtl/>
        </w:rPr>
      </w:pPr>
      <w:r>
        <w:rPr>
          <w:rStyle w:val="ab"/>
        </w:rPr>
        <w:footnoteRef/>
      </w:r>
      <w:r>
        <w:rPr>
          <w:rtl/>
        </w:rPr>
        <w:t xml:space="preserve"> </w:t>
      </w:r>
      <w:r w:rsidRPr="00990148">
        <w:rPr>
          <w:rFonts w:cs="Arial"/>
          <w:rtl/>
        </w:rPr>
        <w:t>ונראה מדבריו דאם שני בעלי דינין רוצין לטעון בכתב הרשות בידן וכ</w:t>
      </w:r>
      <w:r>
        <w:rPr>
          <w:rFonts w:cs="Arial" w:hint="cs"/>
          <w:rtl/>
        </w:rPr>
        <w:t>"מ</w:t>
      </w:r>
      <w:r w:rsidRPr="00990148">
        <w:rPr>
          <w:rFonts w:cs="Arial"/>
          <w:rtl/>
        </w:rPr>
        <w:t xml:space="preserve"> לעיל סי</w:t>
      </w:r>
      <w:r>
        <w:rPr>
          <w:rFonts w:cs="Arial" w:hint="cs"/>
          <w:rtl/>
        </w:rPr>
        <w:t>'</w:t>
      </w:r>
      <w:r w:rsidRPr="00990148">
        <w:rPr>
          <w:rFonts w:cs="Arial"/>
          <w:rtl/>
        </w:rPr>
        <w:t xml:space="preserve"> </w:t>
      </w:r>
      <w:r>
        <w:rPr>
          <w:rFonts w:cs="Arial" w:hint="cs"/>
          <w:rtl/>
        </w:rPr>
        <w:t>טז</w:t>
      </w:r>
      <w:r w:rsidRPr="00990148">
        <w:rPr>
          <w:rFonts w:cs="Arial"/>
          <w:rtl/>
        </w:rPr>
        <w:t xml:space="preserve"> (ס"א) בתש</w:t>
      </w:r>
      <w:r>
        <w:rPr>
          <w:rFonts w:cs="Arial" w:hint="cs"/>
          <w:rtl/>
        </w:rPr>
        <w:t>ו'</w:t>
      </w:r>
      <w:r w:rsidRPr="00990148">
        <w:rPr>
          <w:rFonts w:cs="Arial"/>
          <w:rtl/>
        </w:rPr>
        <w:t xml:space="preserve"> הרשב"א וכן הוא המנהג</w:t>
      </w:r>
      <w:r>
        <w:rPr>
          <w:rFonts w:hint="cs"/>
          <w:rtl/>
        </w:rPr>
        <w:t>, דרכ"מ (אות ה).</w:t>
      </w:r>
    </w:p>
  </w:footnote>
  <w:footnote w:id="956">
    <w:p w14:paraId="213D29A4" w14:textId="77777777" w:rsidR="0013116F" w:rsidRDefault="0013116F">
      <w:pPr>
        <w:pStyle w:val="a9"/>
      </w:pPr>
      <w:r>
        <w:rPr>
          <w:rStyle w:val="ab"/>
        </w:rPr>
        <w:footnoteRef/>
      </w:r>
      <w:r>
        <w:rPr>
          <w:rtl/>
        </w:rPr>
        <w:t xml:space="preserve"> </w:t>
      </w:r>
      <w:r w:rsidRPr="00FD4C89">
        <w:rPr>
          <w:rFonts w:cs="Arial"/>
          <w:rtl/>
        </w:rPr>
        <w:t>וכ"כ הטו</w:t>
      </w:r>
      <w:r>
        <w:rPr>
          <w:rFonts w:cs="Arial" w:hint="cs"/>
          <w:rtl/>
        </w:rPr>
        <w:t>"ה</w:t>
      </w:r>
      <w:r w:rsidRPr="00FD4C89">
        <w:rPr>
          <w:rFonts w:cs="Arial"/>
          <w:rtl/>
        </w:rPr>
        <w:t xml:space="preserve"> לקמן סי</w:t>
      </w:r>
      <w:r>
        <w:rPr>
          <w:rFonts w:cs="Arial" w:hint="cs"/>
          <w:rtl/>
        </w:rPr>
        <w:t>'</w:t>
      </w:r>
      <w:r w:rsidRPr="00FD4C89">
        <w:rPr>
          <w:rFonts w:cs="Arial"/>
          <w:rtl/>
        </w:rPr>
        <w:t xml:space="preserve"> כח [טור סע</w:t>
      </w:r>
      <w:r>
        <w:rPr>
          <w:rFonts w:cs="Arial" w:hint="cs"/>
          <w:rtl/>
        </w:rPr>
        <w:t>'</w:t>
      </w:r>
      <w:r w:rsidRPr="00FD4C89">
        <w:rPr>
          <w:rFonts w:cs="Arial"/>
          <w:rtl/>
        </w:rPr>
        <w:t xml:space="preserve"> ט ומחבר סע</w:t>
      </w:r>
      <w:r>
        <w:rPr>
          <w:rFonts w:cs="Arial" w:hint="cs"/>
          <w:rtl/>
        </w:rPr>
        <w:t>'</w:t>
      </w:r>
      <w:r w:rsidRPr="00FD4C89">
        <w:rPr>
          <w:rFonts w:cs="Arial"/>
          <w:rtl/>
        </w:rPr>
        <w:t xml:space="preserve"> ו</w:t>
      </w:r>
      <w:r>
        <w:rPr>
          <w:rFonts w:cs="Arial" w:hint="cs"/>
          <w:rtl/>
        </w:rPr>
        <w:t>]</w:t>
      </w:r>
      <w:r w:rsidRPr="00FD4C89">
        <w:rPr>
          <w:rFonts w:cs="Arial"/>
          <w:rtl/>
        </w:rPr>
        <w:t xml:space="preserve"> לענין עדות</w:t>
      </w:r>
      <w:r>
        <w:rPr>
          <w:rFonts w:cs="Arial" w:hint="cs"/>
          <w:rtl/>
        </w:rPr>
        <w:t>..</w:t>
      </w:r>
      <w:r w:rsidRPr="00FD4C89">
        <w:rPr>
          <w:rFonts w:cs="Arial"/>
          <w:rtl/>
        </w:rPr>
        <w:t>. ועיין פרישה [סע</w:t>
      </w:r>
      <w:r>
        <w:rPr>
          <w:rFonts w:cs="Arial" w:hint="cs"/>
          <w:rtl/>
        </w:rPr>
        <w:t>'</w:t>
      </w:r>
      <w:r w:rsidRPr="00FD4C89">
        <w:rPr>
          <w:rFonts w:cs="Arial"/>
          <w:rtl/>
        </w:rPr>
        <w:t xml:space="preserve"> ט] שדקדקתי מלשון הרמב"ם [פכ"א ה"ח] שגם אם הדיין א"צ לשום מתורגמן שיודע ג"כ להשיב בטוב, רק שהבע"ד רוצים להעמיד מתורגמן שימליץ דבריהם באזני הדיין לאחר שטענו הן בעצמן לפני הדיינים, מותר. ועמ"ש עוד לחלק בין נותן הבע"ד כח ורשות להמתורגמן דמחשב הוא בע"ד</w:t>
      </w:r>
      <w:r>
        <w:rPr>
          <w:rFonts w:cs="Arial" w:hint="cs"/>
          <w:rtl/>
        </w:rPr>
        <w:t>,</w:t>
      </w:r>
      <w:r w:rsidRPr="00FD4C89">
        <w:rPr>
          <w:rFonts w:cs="Arial"/>
          <w:rtl/>
        </w:rPr>
        <w:t xml:space="preserve"> דמותר, ובין לא נתן כח ורשות דאסור</w:t>
      </w:r>
      <w:r>
        <w:rPr>
          <w:rFonts w:cs="Arial" w:hint="cs"/>
          <w:rtl/>
        </w:rPr>
        <w:t>.</w:t>
      </w:r>
      <w:r w:rsidRPr="00FD4C89">
        <w:rPr>
          <w:rFonts w:cs="Arial"/>
          <w:rtl/>
        </w:rPr>
        <w:t xml:space="preserve"> ומה שבזמן הזה נוהגין לדון לועזים ע</w:t>
      </w:r>
      <w:r>
        <w:rPr>
          <w:rFonts w:cs="Arial" w:hint="cs"/>
          <w:rtl/>
        </w:rPr>
        <w:t>"</w:t>
      </w:r>
      <w:r w:rsidRPr="00FD4C89">
        <w:rPr>
          <w:rFonts w:cs="Arial"/>
          <w:rtl/>
        </w:rPr>
        <w:t>י מורשה שלהם, הוא מפני שכל שבאו לדון לפני דיינים קבועין הו"ל כקיבלו עליהם לדון כן, ואין לנו אחר הקבלה כלום. ועיין פרישה מ"ש עוד מזה</w:t>
      </w:r>
      <w:r>
        <w:rPr>
          <w:rFonts w:cs="Arial" w:hint="cs"/>
          <w:rtl/>
        </w:rPr>
        <w:t>, סמ"ע (סקי"ד)</w:t>
      </w:r>
      <w:r>
        <w:rPr>
          <w:rFonts w:hint="cs"/>
          <w:rtl/>
        </w:rPr>
        <w:t>.</w:t>
      </w:r>
    </w:p>
  </w:footnote>
  <w:footnote w:id="957">
    <w:p w14:paraId="42732CBA" w14:textId="77777777" w:rsidR="0013116F" w:rsidRDefault="0013116F">
      <w:pPr>
        <w:pStyle w:val="a9"/>
      </w:pPr>
      <w:r>
        <w:rPr>
          <w:rStyle w:val="ab"/>
        </w:rPr>
        <w:footnoteRef/>
      </w:r>
      <w:r>
        <w:rPr>
          <w:rtl/>
        </w:rPr>
        <w:t xml:space="preserve"> </w:t>
      </w:r>
      <w:r>
        <w:rPr>
          <w:rFonts w:hint="cs"/>
          <w:rtl/>
        </w:rPr>
        <w:t>סימן - זהירות זקנים.</w:t>
      </w:r>
    </w:p>
  </w:footnote>
  <w:footnote w:id="958">
    <w:p w14:paraId="5787C598" w14:textId="77777777" w:rsidR="0013116F" w:rsidRDefault="0013116F">
      <w:pPr>
        <w:pStyle w:val="a9"/>
        <w:rPr>
          <w:rtl/>
        </w:rPr>
      </w:pPr>
      <w:r>
        <w:rPr>
          <w:rStyle w:val="ab"/>
        </w:rPr>
        <w:footnoteRef/>
      </w:r>
      <w:r>
        <w:rPr>
          <w:rtl/>
        </w:rPr>
        <w:t xml:space="preserve"> </w:t>
      </w:r>
      <w:r w:rsidRPr="006E1083">
        <w:rPr>
          <w:rFonts w:cs="Arial"/>
          <w:rtl/>
        </w:rPr>
        <w:t>נראה פשוט דצריך לשנותן לפני בע"ד מיד אחר שטענו בעוד שעומדים הבע"ד לפניהם, וקודם משא ומתן של הדיינים. וסברא היא, כדי שיהא נוח דעת בע"ד ולא יעלה על לבם שמא הדיינים ישאו ויתנו בדין ולא הבינו טענתן ואחר שיסכימו על הדין שוב לא יחזרו בהן. ועוד, שמא באמת הדיינים לא עמדו היטב על דברי טענותן, ובשנותן לפני הבע"ד יעוררו אותן לומר כה וכה היו טענותיהם</w:t>
      </w:r>
      <w:r>
        <w:rPr>
          <w:rFonts w:cs="Arial" w:hint="cs"/>
          <w:rtl/>
        </w:rPr>
        <w:t>...</w:t>
      </w:r>
      <w:r>
        <w:rPr>
          <w:rFonts w:hint="cs"/>
          <w:rtl/>
        </w:rPr>
        <w:t>, סמ"ע (סקט"ו).</w:t>
      </w:r>
    </w:p>
  </w:footnote>
  <w:footnote w:id="959">
    <w:p w14:paraId="0EB432E3" w14:textId="77777777" w:rsidR="0013116F" w:rsidRDefault="0013116F">
      <w:pPr>
        <w:pStyle w:val="a9"/>
        <w:rPr>
          <w:rtl/>
        </w:rPr>
      </w:pPr>
      <w:r>
        <w:rPr>
          <w:rStyle w:val="ab"/>
        </w:rPr>
        <w:footnoteRef/>
      </w:r>
      <w:r>
        <w:rPr>
          <w:rtl/>
        </w:rPr>
        <w:t xml:space="preserve"> </w:t>
      </w:r>
      <w:r w:rsidRPr="006E1083">
        <w:rPr>
          <w:rFonts w:cs="Arial"/>
          <w:rtl/>
        </w:rPr>
        <w:t>נלמד [סנהדרין ז</w:t>
      </w:r>
      <w:r>
        <w:rPr>
          <w:rFonts w:cs="Arial" w:hint="cs"/>
          <w:rtl/>
        </w:rPr>
        <w:t>:</w:t>
      </w:r>
      <w:r w:rsidRPr="006E1083">
        <w:rPr>
          <w:rFonts w:cs="Arial"/>
          <w:rtl/>
        </w:rPr>
        <w:t>] מדכתיב [דברים א</w:t>
      </w:r>
      <w:r>
        <w:rPr>
          <w:rFonts w:cs="Arial" w:hint="cs"/>
          <w:rtl/>
        </w:rPr>
        <w:t xml:space="preserve"> </w:t>
      </w:r>
      <w:r w:rsidRPr="006E1083">
        <w:rPr>
          <w:rFonts w:cs="Arial"/>
          <w:rtl/>
        </w:rPr>
        <w:t>טז] ושפטתם צדק, מה שהוא כבר צדק בהסכמתך אותו תשפטו. ואם דן ביחידי מצדיק בלבו ובדעתו בינו לבינו, ואם דנין בשלשה, מצדיקים ביניהם במשא ומתן, וק"ל</w:t>
      </w:r>
      <w:r>
        <w:rPr>
          <w:rFonts w:cs="Arial" w:hint="cs"/>
          <w:rtl/>
        </w:rPr>
        <w:t>, סמ"ע (סקט"ז).</w:t>
      </w:r>
    </w:p>
  </w:footnote>
  <w:footnote w:id="960">
    <w:p w14:paraId="3210D9B3" w14:textId="77777777" w:rsidR="0013116F" w:rsidRDefault="0013116F">
      <w:pPr>
        <w:pStyle w:val="a9"/>
      </w:pPr>
      <w:r>
        <w:rPr>
          <w:rStyle w:val="ab"/>
        </w:rPr>
        <w:footnoteRef/>
      </w:r>
      <w:r>
        <w:rPr>
          <w:rtl/>
        </w:rPr>
        <w:t xml:space="preserve"> </w:t>
      </w:r>
      <w:r>
        <w:rPr>
          <w:rFonts w:hint="cs"/>
          <w:rtl/>
        </w:rPr>
        <w:t xml:space="preserve">סימן </w:t>
      </w:r>
      <w:r>
        <w:rPr>
          <w:rtl/>
        </w:rPr>
        <w:t>–</w:t>
      </w:r>
      <w:r>
        <w:rPr>
          <w:rFonts w:hint="cs"/>
          <w:rtl/>
        </w:rPr>
        <w:t xml:space="preserve"> לא להעמיד לדבריו</w:t>
      </w:r>
      <w:r>
        <w:rPr>
          <w:rFonts w:hint="cs"/>
          <w:sz w:val="16"/>
          <w:szCs w:val="16"/>
          <w:rtl/>
        </w:rPr>
        <w:t xml:space="preserve"> (היינו לדברי עצמו, רש"י)</w:t>
      </w:r>
      <w:r>
        <w:rPr>
          <w:rFonts w:hint="cs"/>
          <w:rtl/>
        </w:rPr>
        <w:t>. לא להליץ לדבריו</w:t>
      </w:r>
      <w:r>
        <w:rPr>
          <w:rFonts w:hint="cs"/>
          <w:sz w:val="16"/>
          <w:szCs w:val="16"/>
          <w:rtl/>
        </w:rPr>
        <w:t xml:space="preserve"> (של בעל דין, רמב"ם)</w:t>
      </w:r>
      <w:r>
        <w:rPr>
          <w:rFonts w:hint="cs"/>
          <w:rtl/>
        </w:rPr>
        <w:t>.</w:t>
      </w:r>
    </w:p>
  </w:footnote>
  <w:footnote w:id="961">
    <w:p w14:paraId="4B7C7A73" w14:textId="77777777" w:rsidR="0013116F" w:rsidRDefault="0013116F" w:rsidP="00C62747">
      <w:pPr>
        <w:pStyle w:val="a9"/>
        <w:rPr>
          <w:rtl/>
        </w:rPr>
      </w:pPr>
      <w:r>
        <w:rPr>
          <w:rStyle w:val="ab"/>
        </w:rPr>
        <w:footnoteRef/>
      </w:r>
      <w:r>
        <w:rPr>
          <w:rtl/>
        </w:rPr>
        <w:t xml:space="preserve"> </w:t>
      </w:r>
      <w:r>
        <w:rPr>
          <w:rFonts w:cs="Arial" w:hint="cs"/>
          <w:rtl/>
        </w:rPr>
        <w:t>רב</w:t>
      </w:r>
      <w:r>
        <w:rPr>
          <w:rFonts w:cs="Arial"/>
          <w:rtl/>
        </w:rPr>
        <w:t xml:space="preserve"> הונא היה מזלזל לדיין</w:t>
      </w:r>
      <w:r>
        <w:rPr>
          <w:rFonts w:cs="Arial" w:hint="cs"/>
          <w:rtl/>
        </w:rPr>
        <w:t xml:space="preserve"> שטוען בשביל הצד השני, למשל- כשצד אחד היה מביא עד אחד, אם </w:t>
      </w:r>
      <w:r>
        <w:rPr>
          <w:rFonts w:cs="Arial"/>
          <w:rtl/>
        </w:rPr>
        <w:t xml:space="preserve">היה </w:t>
      </w:r>
      <w:r>
        <w:rPr>
          <w:rFonts w:cs="Arial" w:hint="cs"/>
          <w:rtl/>
        </w:rPr>
        <w:t xml:space="preserve">הדיין </w:t>
      </w:r>
      <w:r>
        <w:rPr>
          <w:rFonts w:cs="Arial"/>
          <w:rtl/>
        </w:rPr>
        <w:t>אומר ל</w:t>
      </w:r>
      <w:r>
        <w:rPr>
          <w:rFonts w:cs="Arial" w:hint="cs"/>
          <w:rtl/>
        </w:rPr>
        <w:t xml:space="preserve">צד השני שהוא יכול לטעון שעד אחד לא נאמן עליו </w:t>
      </w:r>
      <w:r>
        <w:rPr>
          <w:rFonts w:cs="Arial"/>
          <w:rtl/>
        </w:rPr>
        <w:t>–</w:t>
      </w:r>
      <w:r>
        <w:rPr>
          <w:rFonts w:cs="Arial" w:hint="cs"/>
          <w:rtl/>
        </w:rPr>
        <w:t xml:space="preserve"> בו היה רב הונא מזלזל, כי צריך לחכות עד שיאמר כן הבעל דין בעצמו, ע"פ ב"י.</w:t>
      </w:r>
    </w:p>
  </w:footnote>
  <w:footnote w:id="962">
    <w:p w14:paraId="01726021" w14:textId="77777777" w:rsidR="0013116F" w:rsidRDefault="0013116F" w:rsidP="00C45D95">
      <w:pPr>
        <w:pStyle w:val="a9"/>
      </w:pPr>
      <w:r>
        <w:rPr>
          <w:rStyle w:val="ab"/>
        </w:rPr>
        <w:footnoteRef/>
      </w:r>
      <w:r>
        <w:rPr>
          <w:rtl/>
        </w:rPr>
        <w:t xml:space="preserve"> </w:t>
      </w:r>
      <w:r>
        <w:rPr>
          <w:rFonts w:hint="cs"/>
          <w:rtl/>
        </w:rPr>
        <w:t xml:space="preserve">הטור העתיק כאן את דברי הרמב"ם, אך בסעיף הבא הביא הטור את דברי הרמב"ם וחלק עליהם, והסמ"ע (סקי"ט, עי' דרישה אות יג) הבין מדברי הטור דאינו מסכים לדברי הרמב"ם גם שם וגם פה דחדא מילתא היא, אלא ס"ל דבכל עניין פותחים לו. אך התומים (סק"ז) דחה דבריו וכתב וז"ל- </w:t>
      </w:r>
      <w:r>
        <w:rPr>
          <w:rFonts w:cs="Arial"/>
          <w:rtl/>
        </w:rPr>
        <w:t>ודבריו דחוקים דלא משמע בטור שיש בזה בעד אחד מחלוקת, וגם קשה לומר דירושלמי (סנהדרין פ"ג ה"ח) יחלוק זה אזה, ובפרט ששניהם נאמרו בשם רב הונא.</w:t>
      </w:r>
      <w:r>
        <w:rPr>
          <w:rFonts w:cs="Arial" w:hint="cs"/>
          <w:rtl/>
        </w:rPr>
        <w:t xml:space="preserve"> </w:t>
      </w:r>
      <w:r>
        <w:rPr>
          <w:rFonts w:cs="Arial"/>
          <w:rtl/>
        </w:rPr>
        <w:t>ולכן ברור כמו שנראה ג"כ מדברי הב"ח (סעיף יב) וש"ך (סקי"ב) דאם הביא התובע עד אחד, אם יאמר בפני נתבע תיכף עד אחד אינו נאמן, הלא נותן אצבע בין שינו להכחיש העד אחד, ומתוך דבריו ילמוד לשקר, רק יאמר לו מה אתה אומר ראה הרי כאן עד שמעיד כן, ואם יודה טוב, ואם אומר שקר אתה אומר אע</w:t>
      </w:r>
      <w:r>
        <w:rPr>
          <w:rFonts w:cs="Arial" w:hint="cs"/>
          <w:rtl/>
        </w:rPr>
        <w:t>"</w:t>
      </w:r>
      <w:r>
        <w:rPr>
          <w:rFonts w:cs="Arial"/>
          <w:rtl/>
        </w:rPr>
        <w:t xml:space="preserve">פ שלא ידע דעד דאחד אינו נאמן, מ"מ יכול הדיין אח"כ לפסוק כפי הדין דעד אחד אין נאמן, כי מה בכך שלא ידע הדין סוף כל סוף מכחיש לעד אחד, אבל לפתוח לו ולשים אצבע בין שינו להכחיש עד אחד אסור. </w:t>
      </w:r>
    </w:p>
  </w:footnote>
  <w:footnote w:id="963">
    <w:p w14:paraId="1BDE7701" w14:textId="77777777" w:rsidR="0013116F" w:rsidRDefault="0013116F" w:rsidP="00E57D84">
      <w:pPr>
        <w:pStyle w:val="a9"/>
      </w:pPr>
      <w:r>
        <w:rPr>
          <w:rStyle w:val="ab"/>
        </w:rPr>
        <w:footnoteRef/>
      </w:r>
      <w:r>
        <w:rPr>
          <w:rtl/>
        </w:rPr>
        <w:t xml:space="preserve"> </w:t>
      </w:r>
      <w:r>
        <w:rPr>
          <w:rFonts w:cs="Arial" w:hint="cs"/>
          <w:rtl/>
        </w:rPr>
        <w:t xml:space="preserve">הטור הביא את דבריו של הרמב"ם וכתב עליהם- </w:t>
      </w:r>
      <w:r w:rsidRPr="00082A51">
        <w:rPr>
          <w:rFonts w:cs="Arial"/>
          <w:rtl/>
        </w:rPr>
        <w:t>ואינו משמע כן בירושלמי דגרסינן התם רב הונא כי הוה חזי זכו לחד בר נש והוא לא הוה ידע פתח ליה על שם פתח פיך לאלם וא"א הרא"ש ז"ל הביאה בפסקיו</w:t>
      </w:r>
      <w:r>
        <w:rPr>
          <w:rFonts w:cs="Arial" w:hint="cs"/>
          <w:rtl/>
        </w:rPr>
        <w:t>.</w:t>
      </w:r>
      <w:r>
        <w:rPr>
          <w:rFonts w:hint="cs"/>
          <w:rtl/>
        </w:rPr>
        <w:t xml:space="preserve"> עכ"ל.</w:t>
      </w:r>
      <w:r w:rsidRPr="00EB1944">
        <w:rPr>
          <w:rFonts w:cs="Arial"/>
          <w:rtl/>
        </w:rPr>
        <w:t xml:space="preserve"> </w:t>
      </w:r>
      <w:r>
        <w:rPr>
          <w:rFonts w:cs="Arial"/>
          <w:rtl/>
        </w:rPr>
        <w:t>ו</w:t>
      </w:r>
      <w:r>
        <w:rPr>
          <w:rFonts w:cs="Arial" w:hint="cs"/>
          <w:rtl/>
        </w:rPr>
        <w:t>כתב הב"י ד</w:t>
      </w:r>
      <w:r>
        <w:rPr>
          <w:rFonts w:cs="Arial"/>
          <w:rtl/>
        </w:rPr>
        <w:t>סובר הרמב"ם ז"ל</w:t>
      </w:r>
      <w:r w:rsidRPr="00E57D84">
        <w:rPr>
          <w:rFonts w:cs="Arial"/>
          <w:sz w:val="16"/>
          <w:szCs w:val="16"/>
          <w:rtl/>
        </w:rPr>
        <w:t xml:space="preserve"> (שם הי"א) </w:t>
      </w:r>
      <w:r>
        <w:rPr>
          <w:rFonts w:cs="Arial"/>
          <w:rtl/>
        </w:rPr>
        <w:t xml:space="preserve">דלא אמרו כן אלא כשבעל דין מבקש לומר זכותו ואינו יודע לחבר הדברים וכו' או שנסתלקה ממנו טענת האמת מפני החמה והכעס או נשתבש מפני הסכלות הא לאו הכי לא דנראה כעורכי הדיינים. </w:t>
      </w:r>
    </w:p>
  </w:footnote>
  <w:footnote w:id="964">
    <w:p w14:paraId="408830DD" w14:textId="77777777" w:rsidR="0013116F" w:rsidRDefault="0013116F" w:rsidP="00E57D84">
      <w:pPr>
        <w:pStyle w:val="a9"/>
        <w:rPr>
          <w:rtl/>
        </w:rPr>
      </w:pPr>
      <w:r>
        <w:rPr>
          <w:rStyle w:val="ab"/>
        </w:rPr>
        <w:footnoteRef/>
      </w:r>
      <w:r>
        <w:rPr>
          <w:rtl/>
        </w:rPr>
        <w:t xml:space="preserve"> </w:t>
      </w:r>
      <w:r>
        <w:rPr>
          <w:rFonts w:cs="Arial" w:hint="cs"/>
          <w:rtl/>
        </w:rPr>
        <w:t xml:space="preserve">אך כתב הב"י </w:t>
      </w:r>
      <w:r w:rsidRPr="000F57A7">
        <w:rPr>
          <w:rFonts w:cs="Arial" w:hint="cs"/>
          <w:sz w:val="16"/>
          <w:szCs w:val="16"/>
          <w:rtl/>
        </w:rPr>
        <w:t xml:space="preserve">(בבדה"ב) </w:t>
      </w:r>
      <w:r>
        <w:rPr>
          <w:rFonts w:cs="Arial" w:hint="cs"/>
          <w:rtl/>
        </w:rPr>
        <w:t>ד</w:t>
      </w:r>
      <w:r>
        <w:rPr>
          <w:rFonts w:cs="Arial"/>
          <w:rtl/>
        </w:rPr>
        <w:t>אין זה הכרח</w:t>
      </w:r>
      <w:r>
        <w:rPr>
          <w:rFonts w:cs="Arial" w:hint="cs"/>
          <w:rtl/>
        </w:rPr>
        <w:t xml:space="preserve"> </w:t>
      </w:r>
      <w:r w:rsidRPr="000F57A7">
        <w:rPr>
          <w:rFonts w:cs="Arial" w:hint="cs"/>
          <w:sz w:val="16"/>
          <w:szCs w:val="16"/>
          <w:rtl/>
        </w:rPr>
        <w:t>{לפרש כן את דברי הירושלמי}</w:t>
      </w:r>
      <w:r w:rsidRPr="000F57A7">
        <w:rPr>
          <w:rFonts w:cs="Arial"/>
          <w:sz w:val="16"/>
          <w:szCs w:val="16"/>
          <w:rtl/>
        </w:rPr>
        <w:t xml:space="preserve"> </w:t>
      </w:r>
      <w:r>
        <w:rPr>
          <w:rFonts w:cs="Arial"/>
          <w:rtl/>
        </w:rPr>
        <w:t xml:space="preserve">דאיכא למימר דלא חש </w:t>
      </w:r>
      <w:r>
        <w:rPr>
          <w:rFonts w:cs="Arial" w:hint="cs"/>
          <w:sz w:val="16"/>
          <w:szCs w:val="16"/>
          <w:rtl/>
        </w:rPr>
        <w:t xml:space="preserve">{הירושלמי} </w:t>
      </w:r>
      <w:r>
        <w:rPr>
          <w:rFonts w:cs="Arial"/>
          <w:rtl/>
        </w:rPr>
        <w:t>לפרש דמילתא דפשיטא הוא</w:t>
      </w:r>
      <w:r>
        <w:rPr>
          <w:rFonts w:cs="Arial" w:hint="cs"/>
          <w:rtl/>
        </w:rPr>
        <w:t xml:space="preserve"> </w:t>
      </w:r>
      <w:r w:rsidRPr="000F57A7">
        <w:rPr>
          <w:rFonts w:cs="Arial" w:hint="cs"/>
          <w:sz w:val="16"/>
          <w:szCs w:val="16"/>
          <w:rtl/>
        </w:rPr>
        <w:t>{שאין לפתוח לבע"ד בלי שראה הדיין שהוא מצטער לומר וכדומה}</w:t>
      </w:r>
      <w:r>
        <w:rPr>
          <w:rFonts w:cs="Arial" w:hint="cs"/>
          <w:rtl/>
        </w:rPr>
        <w:t>.</w:t>
      </w:r>
    </w:p>
  </w:footnote>
  <w:footnote w:id="965">
    <w:p w14:paraId="43C768E9" w14:textId="77777777" w:rsidR="0013116F" w:rsidRDefault="0013116F">
      <w:pPr>
        <w:pStyle w:val="a9"/>
        <w:rPr>
          <w:rtl/>
        </w:rPr>
      </w:pPr>
      <w:r>
        <w:rPr>
          <w:rStyle w:val="ab"/>
        </w:rPr>
        <w:footnoteRef/>
      </w:r>
      <w:r>
        <w:rPr>
          <w:rtl/>
        </w:rPr>
        <w:t xml:space="preserve"> </w:t>
      </w:r>
      <w:r w:rsidRPr="00707A90">
        <w:rPr>
          <w:rFonts w:cs="Arial"/>
          <w:rtl/>
        </w:rPr>
        <w:t>ומ"מ יעמוד לפני ת"ח</w:t>
      </w:r>
      <w:r>
        <w:rPr>
          <w:rFonts w:cs="Arial" w:hint="cs"/>
          <w:rtl/>
        </w:rPr>
        <w:t>,</w:t>
      </w:r>
      <w:r w:rsidRPr="00707A90">
        <w:rPr>
          <w:rFonts w:cs="Arial"/>
          <w:rtl/>
        </w:rPr>
        <w:t xml:space="preserve"> וכמ"ש מור"ם בסימן זה סע</w:t>
      </w:r>
      <w:r>
        <w:rPr>
          <w:rFonts w:cs="Arial" w:hint="cs"/>
          <w:rtl/>
        </w:rPr>
        <w:t>'</w:t>
      </w:r>
      <w:r w:rsidRPr="00707A90">
        <w:rPr>
          <w:rFonts w:cs="Arial"/>
          <w:rtl/>
        </w:rPr>
        <w:t xml:space="preserve"> ב', והטעם דהכל יודעים שמחויבים לעמוד לפני ת"ח ולא יסתתם טענתו עבור זה</w:t>
      </w:r>
      <w:r>
        <w:rPr>
          <w:rFonts w:hint="cs"/>
          <w:rtl/>
        </w:rPr>
        <w:t>, סמ"ע (סקכ"א).</w:t>
      </w:r>
    </w:p>
  </w:footnote>
  <w:footnote w:id="966">
    <w:p w14:paraId="541093E7" w14:textId="77777777" w:rsidR="0013116F" w:rsidRDefault="0013116F">
      <w:pPr>
        <w:pStyle w:val="a9"/>
      </w:pPr>
      <w:r>
        <w:rPr>
          <w:rStyle w:val="ab"/>
        </w:rPr>
        <w:footnoteRef/>
      </w:r>
      <w:r>
        <w:rPr>
          <w:rtl/>
        </w:rPr>
        <w:t xml:space="preserve"> </w:t>
      </w:r>
      <w:r w:rsidRPr="00707A90">
        <w:rPr>
          <w:rFonts w:cs="Arial"/>
          <w:rtl/>
        </w:rPr>
        <w:t>היינו דוקא שיעמדו על חזקתו בלא ראיה אחר זכותו, הוא דאסור, אבל כבר נתבאר דמצוה להפך בזכותו דת"ח ויפשפש אולי ימצא לו זכות, וכמו שכתבו הטור והמחבר בריש סימן ט"ו, ועמ"ש מזה בסימן י"ג בפרישה [סעיף ז']</w:t>
      </w:r>
      <w:r>
        <w:rPr>
          <w:rFonts w:cs="Arial" w:hint="cs"/>
          <w:rtl/>
        </w:rPr>
        <w:t>, סמ"ע (סקכ"ב).</w:t>
      </w:r>
    </w:p>
  </w:footnote>
  <w:footnote w:id="967">
    <w:p w14:paraId="1B06D5EB" w14:textId="77777777" w:rsidR="0013116F" w:rsidRDefault="0013116F">
      <w:pPr>
        <w:pStyle w:val="a9"/>
        <w:rPr>
          <w:rtl/>
        </w:rPr>
      </w:pPr>
      <w:r>
        <w:rPr>
          <w:rStyle w:val="ab"/>
        </w:rPr>
        <w:footnoteRef/>
      </w:r>
      <w:r>
        <w:rPr>
          <w:rtl/>
        </w:rPr>
        <w:t xml:space="preserve"> </w:t>
      </w:r>
      <w:r w:rsidRPr="00707A90">
        <w:rPr>
          <w:rFonts w:cs="Arial"/>
          <w:rtl/>
        </w:rPr>
        <w:t>ועפ"ז כתב בספר חסידים דאין להסתכל בפני הבעלי דין כשטוענים, דאסור להסתכל בפני רשע. [הג"ה. ונראה דוקא היכא שיש כפירה ביניהם כי ההיא דהכא, ופשוט]</w:t>
      </w:r>
      <w:r>
        <w:rPr>
          <w:rFonts w:hint="cs"/>
          <w:rtl/>
        </w:rPr>
        <w:t>, ש"ך (סקי"ג).</w:t>
      </w:r>
    </w:p>
  </w:footnote>
  <w:footnote w:id="968">
    <w:p w14:paraId="70495968" w14:textId="77777777" w:rsidR="0013116F" w:rsidRDefault="0013116F">
      <w:pPr>
        <w:pStyle w:val="a9"/>
      </w:pPr>
      <w:r>
        <w:rPr>
          <w:rStyle w:val="ab"/>
        </w:rPr>
        <w:footnoteRef/>
      </w:r>
      <w:r>
        <w:rPr>
          <w:rtl/>
        </w:rPr>
        <w:t xml:space="preserve"> </w:t>
      </w:r>
      <w:r w:rsidRPr="00707A90">
        <w:rPr>
          <w:rFonts w:cs="Arial"/>
          <w:rtl/>
        </w:rPr>
        <w:t>דהיינו שהתובע תובע יותר ממה שחייב לו, וזה כופר אף במה שיודע שחייב לו</w:t>
      </w:r>
      <w:r>
        <w:rPr>
          <w:rFonts w:cs="Arial" w:hint="cs"/>
          <w:rtl/>
        </w:rPr>
        <w:t>, סמ"ע (סקכ"ג).</w:t>
      </w:r>
    </w:p>
  </w:footnote>
  <w:footnote w:id="969">
    <w:p w14:paraId="48F7DE18" w14:textId="77777777" w:rsidR="0013116F" w:rsidRDefault="0013116F">
      <w:pPr>
        <w:pStyle w:val="a9"/>
      </w:pPr>
      <w:r>
        <w:rPr>
          <w:rStyle w:val="ab"/>
        </w:rPr>
        <w:footnoteRef/>
      </w:r>
      <w:r>
        <w:rPr>
          <w:rtl/>
        </w:rPr>
        <w:t xml:space="preserve"> </w:t>
      </w:r>
      <w:r w:rsidRPr="00707A90">
        <w:rPr>
          <w:rFonts w:cs="Arial"/>
          <w:rtl/>
        </w:rPr>
        <w:t>דאפילו אם הוכחש על פניו ויודע שבמזיד תבעו, או הלה כופר שלא כדין, מ"מ י"ל דמשום מלוה ישנה שיש לזה על זה עשה כן, וכמ"ש בסימן צ"ב [סעיף ג'] בדין חשוד על השבועה</w:t>
      </w:r>
      <w:r>
        <w:rPr>
          <w:rFonts w:cs="Arial" w:hint="cs"/>
          <w:rtl/>
        </w:rPr>
        <w:t>, סמ"ע (סקכ"ד).</w:t>
      </w:r>
    </w:p>
  </w:footnote>
  <w:footnote w:id="970">
    <w:p w14:paraId="68102D89" w14:textId="77777777" w:rsidR="0013116F" w:rsidRPr="005478FD" w:rsidRDefault="0013116F">
      <w:pPr>
        <w:pStyle w:val="a9"/>
        <w:rPr>
          <w:sz w:val="16"/>
          <w:szCs w:val="16"/>
        </w:rPr>
      </w:pPr>
      <w:r>
        <w:rPr>
          <w:rStyle w:val="ab"/>
        </w:rPr>
        <w:footnoteRef/>
      </w:r>
      <w:r>
        <w:rPr>
          <w:rtl/>
        </w:rPr>
        <w:t xml:space="preserve"> </w:t>
      </w:r>
      <w:r>
        <w:rPr>
          <w:rFonts w:hint="cs"/>
          <w:rtl/>
        </w:rPr>
        <w:t xml:space="preserve">סימן </w:t>
      </w:r>
      <w:r>
        <w:rPr>
          <w:rtl/>
        </w:rPr>
        <w:t>–</w:t>
      </w:r>
      <w:r>
        <w:rPr>
          <w:rFonts w:hint="cs"/>
          <w:rtl/>
        </w:rPr>
        <w:t xml:space="preserve"> סתור טענותיו/טירתו.</w:t>
      </w:r>
    </w:p>
  </w:footnote>
  <w:footnote w:id="971">
    <w:p w14:paraId="4FAFD369" w14:textId="77777777" w:rsidR="0013116F" w:rsidRDefault="0013116F" w:rsidP="00CB69D3">
      <w:pPr>
        <w:pStyle w:val="a9"/>
        <w:rPr>
          <w:rtl/>
        </w:rPr>
      </w:pPr>
      <w:r>
        <w:rPr>
          <w:rStyle w:val="ab"/>
        </w:rPr>
        <w:footnoteRef/>
      </w:r>
      <w:r>
        <w:rPr>
          <w:rtl/>
        </w:rPr>
        <w:t xml:space="preserve"> </w:t>
      </w:r>
      <w:r w:rsidRPr="00A5191F">
        <w:rPr>
          <w:rFonts w:cs="Arial"/>
          <w:rtl/>
        </w:rPr>
        <w:t>עישור נכסים שתקנו לה בתורת ירושה תקינו לה</w:t>
      </w:r>
      <w:r>
        <w:rPr>
          <w:rFonts w:cs="Arial" w:hint="cs"/>
          <w:rtl/>
        </w:rPr>
        <w:t>, רש"י</w:t>
      </w:r>
      <w:r w:rsidRPr="00A5191F">
        <w:rPr>
          <w:rFonts w:cs="Arial"/>
          <w:rtl/>
        </w:rPr>
        <w:t>.</w:t>
      </w:r>
    </w:p>
  </w:footnote>
  <w:footnote w:id="972">
    <w:p w14:paraId="274E398A" w14:textId="77777777" w:rsidR="0013116F" w:rsidRDefault="0013116F" w:rsidP="00CB69D3">
      <w:pPr>
        <w:pStyle w:val="a9"/>
        <w:rPr>
          <w:rtl/>
        </w:rPr>
      </w:pPr>
      <w:r>
        <w:rPr>
          <w:rStyle w:val="ab"/>
        </w:rPr>
        <w:footnoteRef/>
      </w:r>
      <w:r>
        <w:rPr>
          <w:rtl/>
        </w:rPr>
        <w:t xml:space="preserve"> </w:t>
      </w:r>
      <w:r w:rsidRPr="00A5191F">
        <w:rPr>
          <w:rFonts w:cs="Arial"/>
          <w:rtl/>
        </w:rPr>
        <w:t>באמת לא מצו לסלוקה בזוזי ולא בחדא ארעא שאם רוצה נוטלת חלקה מכל קרקע וקרקע ואין יכולין להקנות לה חלקה במקום אחד</w:t>
      </w:r>
      <w:r>
        <w:rPr>
          <w:rFonts w:cs="Arial" w:hint="cs"/>
          <w:rtl/>
        </w:rPr>
        <w:t>, רש"י</w:t>
      </w:r>
      <w:r w:rsidRPr="00A5191F">
        <w:rPr>
          <w:rFonts w:cs="Arial"/>
          <w:rtl/>
        </w:rPr>
        <w:t>.</w:t>
      </w:r>
    </w:p>
  </w:footnote>
  <w:footnote w:id="973">
    <w:p w14:paraId="7F02272A" w14:textId="77777777" w:rsidR="0013116F" w:rsidRDefault="0013116F" w:rsidP="00CB69D3">
      <w:pPr>
        <w:pStyle w:val="a9"/>
        <w:rPr>
          <w:rtl/>
        </w:rPr>
      </w:pPr>
      <w:r>
        <w:rPr>
          <w:rStyle w:val="ab"/>
        </w:rPr>
        <w:footnoteRef/>
      </w:r>
      <w:r>
        <w:rPr>
          <w:rtl/>
        </w:rPr>
        <w:t xml:space="preserve"> </w:t>
      </w:r>
      <w:r w:rsidRPr="00A5191F">
        <w:rPr>
          <w:rFonts w:cs="Arial"/>
          <w:rtl/>
        </w:rPr>
        <w:t>ומצי לסלוקה בזוזי או בחדא ארעא</w:t>
      </w:r>
      <w:r>
        <w:rPr>
          <w:rFonts w:cs="Arial" w:hint="cs"/>
          <w:rtl/>
        </w:rPr>
        <w:t>, רש"י</w:t>
      </w:r>
      <w:r w:rsidRPr="00A5191F">
        <w:rPr>
          <w:rFonts w:cs="Arial"/>
          <w:rtl/>
        </w:rPr>
        <w:t>.</w:t>
      </w:r>
    </w:p>
  </w:footnote>
  <w:footnote w:id="974">
    <w:p w14:paraId="10A573C4" w14:textId="77777777" w:rsidR="0013116F" w:rsidRDefault="0013116F" w:rsidP="00CB69D3">
      <w:pPr>
        <w:pStyle w:val="a9"/>
      </w:pPr>
      <w:r>
        <w:rPr>
          <w:rStyle w:val="ab"/>
        </w:rPr>
        <w:footnoteRef/>
      </w:r>
      <w:r>
        <w:rPr>
          <w:rtl/>
        </w:rPr>
        <w:t xml:space="preserve"> </w:t>
      </w:r>
      <w:r>
        <w:rPr>
          <w:rFonts w:cs="Arial"/>
          <w:rtl/>
        </w:rPr>
        <w:t>הייתי לפני אמימר, ובאה לפניו אשה שרצתה לגבות עישור נכסים</w:t>
      </w:r>
      <w:r>
        <w:rPr>
          <w:rFonts w:hint="cs"/>
          <w:rtl/>
        </w:rPr>
        <w:t xml:space="preserve">, </w:t>
      </w:r>
      <w:r>
        <w:rPr>
          <w:rFonts w:cs="Arial"/>
          <w:rtl/>
        </w:rPr>
        <w:t xml:space="preserve">ונוכתי לדעת כי לדעת אמימר אם היו האחים רוצים לסלקה בזוזי היו יכולים, היות </w:t>
      </w:r>
      <w:r>
        <w:rPr>
          <w:rFonts w:cs="Arial" w:hint="cs"/>
          <w:rtl/>
        </w:rPr>
        <w:t>ו</w:t>
      </w:r>
      <w:r>
        <w:rPr>
          <w:rFonts w:cs="Arial"/>
          <w:rtl/>
        </w:rPr>
        <w:t>שמע</w:t>
      </w:r>
      <w:r>
        <w:rPr>
          <w:rFonts w:cs="Arial" w:hint="cs"/>
          <w:rtl/>
        </w:rPr>
        <w:t>נו</w:t>
      </w:r>
      <w:r>
        <w:rPr>
          <w:rFonts w:cs="Arial"/>
          <w:rtl/>
        </w:rPr>
        <w:t xml:space="preserve"> את האחים אומרים לה - אילו היה לנו כסף היינו נותנים לך כסף, ולא קרקעות. ושתק אמימר ולא אמר כלום</w:t>
      </w:r>
      <w:r>
        <w:rPr>
          <w:rFonts w:cs="Arial" w:hint="cs"/>
          <w:rtl/>
        </w:rPr>
        <w:t>,</w:t>
      </w:r>
      <w:r>
        <w:rPr>
          <w:rFonts w:cs="Arial"/>
          <w:rtl/>
        </w:rPr>
        <w:t xml:space="preserve"> ומוכח שחזר בו מדבריו</w:t>
      </w:r>
      <w:r w:rsidRPr="00A5191F">
        <w:rPr>
          <w:rFonts w:cs="Arial" w:hint="cs"/>
          <w:sz w:val="16"/>
          <w:szCs w:val="16"/>
          <w:rtl/>
        </w:rPr>
        <w:t xml:space="preserve"> (ע"פ </w:t>
      </w:r>
      <w:r>
        <w:rPr>
          <w:rFonts w:cs="Arial" w:hint="cs"/>
          <w:sz w:val="16"/>
          <w:szCs w:val="16"/>
          <w:rtl/>
        </w:rPr>
        <w:t xml:space="preserve">פירוש </w:t>
      </w:r>
      <w:r w:rsidRPr="00A5191F">
        <w:rPr>
          <w:rFonts w:cs="Arial" w:hint="cs"/>
          <w:sz w:val="16"/>
          <w:szCs w:val="16"/>
          <w:rtl/>
        </w:rPr>
        <w:t>חברותא)</w:t>
      </w:r>
      <w:r>
        <w:rPr>
          <w:rFonts w:cs="Arial" w:hint="cs"/>
          <w:rtl/>
        </w:rPr>
        <w:t>.</w:t>
      </w:r>
    </w:p>
  </w:footnote>
  <w:footnote w:id="975">
    <w:p w14:paraId="3656E345" w14:textId="77777777" w:rsidR="0013116F" w:rsidRPr="008F03C3" w:rsidRDefault="0013116F">
      <w:pPr>
        <w:pStyle w:val="a9"/>
        <w:rPr>
          <w:sz w:val="16"/>
          <w:szCs w:val="16"/>
          <w:rtl/>
        </w:rPr>
      </w:pPr>
      <w:r>
        <w:rPr>
          <w:rStyle w:val="ab"/>
        </w:rPr>
        <w:footnoteRef/>
      </w:r>
      <w:r>
        <w:rPr>
          <w:rtl/>
        </w:rPr>
        <w:t xml:space="preserve"> </w:t>
      </w:r>
      <w:r>
        <w:rPr>
          <w:rFonts w:hint="cs"/>
          <w:rtl/>
        </w:rPr>
        <w:t xml:space="preserve">סימן </w:t>
      </w:r>
      <w:r>
        <w:rPr>
          <w:rtl/>
        </w:rPr>
        <w:t>–</w:t>
      </w:r>
      <w:r>
        <w:rPr>
          <w:rFonts w:hint="cs"/>
          <w:rtl/>
        </w:rPr>
        <w:t xml:space="preserve"> הוא הפחית הוא הפסיד. וכן - התביעה היא הפסיקה.</w:t>
      </w:r>
    </w:p>
  </w:footnote>
  <w:footnote w:id="976">
    <w:p w14:paraId="3E59A954" w14:textId="77777777" w:rsidR="0013116F" w:rsidRDefault="0013116F">
      <w:pPr>
        <w:pStyle w:val="a9"/>
      </w:pPr>
      <w:r>
        <w:rPr>
          <w:rStyle w:val="ab"/>
        </w:rPr>
        <w:footnoteRef/>
      </w:r>
      <w:r>
        <w:rPr>
          <w:rtl/>
        </w:rPr>
        <w:t xml:space="preserve"> </w:t>
      </w:r>
      <w:r w:rsidRPr="00811399">
        <w:rPr>
          <w:rFonts w:cs="Arial"/>
          <w:rtl/>
        </w:rPr>
        <w:t>לתת חלקו בשלשת הראשונות דכיון דגדר את הצד הפתוח גלי דעתיה דניחא ליה במאי דגדר חבריה</w:t>
      </w:r>
      <w:r>
        <w:rPr>
          <w:rFonts w:cs="Arial" w:hint="cs"/>
          <w:rtl/>
        </w:rPr>
        <w:t>, רש"י</w:t>
      </w:r>
      <w:r w:rsidRPr="00811399">
        <w:rPr>
          <w:rFonts w:cs="Arial"/>
          <w:rtl/>
        </w:rPr>
        <w:t>.</w:t>
      </w:r>
    </w:p>
  </w:footnote>
  <w:footnote w:id="977">
    <w:p w14:paraId="10C1DE80" w14:textId="77777777" w:rsidR="0013116F" w:rsidRDefault="0013116F">
      <w:pPr>
        <w:pStyle w:val="a9"/>
      </w:pPr>
      <w:r>
        <w:rPr>
          <w:rStyle w:val="ab"/>
        </w:rPr>
        <w:footnoteRef/>
      </w:r>
      <w:r>
        <w:rPr>
          <w:rtl/>
        </w:rPr>
        <w:t xml:space="preserve"> </w:t>
      </w:r>
      <w:r w:rsidRPr="00707A90">
        <w:rPr>
          <w:rFonts w:cs="Arial"/>
          <w:rtl/>
        </w:rPr>
        <w:t xml:space="preserve"> בכל יציאות שהוציא בהן הראשון יחזיר לו מחצה</w:t>
      </w:r>
      <w:r>
        <w:rPr>
          <w:rFonts w:cs="Arial" w:hint="cs"/>
          <w:rtl/>
        </w:rPr>
        <w:t>, רש"י</w:t>
      </w:r>
      <w:r w:rsidRPr="00707A90">
        <w:rPr>
          <w:rFonts w:cs="Arial"/>
          <w:rtl/>
        </w:rPr>
        <w:t>.</w:t>
      </w:r>
    </w:p>
  </w:footnote>
  <w:footnote w:id="978">
    <w:p w14:paraId="788185F3" w14:textId="77777777" w:rsidR="0013116F" w:rsidRDefault="0013116F">
      <w:pPr>
        <w:pStyle w:val="a9"/>
      </w:pPr>
      <w:r>
        <w:rPr>
          <w:rStyle w:val="ab"/>
        </w:rPr>
        <w:footnoteRef/>
      </w:r>
      <w:r>
        <w:rPr>
          <w:rtl/>
        </w:rPr>
        <w:t xml:space="preserve"> </w:t>
      </w:r>
      <w:r w:rsidRPr="00707A90">
        <w:rPr>
          <w:rFonts w:cs="Arial"/>
          <w:rtl/>
        </w:rPr>
        <w:t>ד' שדות היו לרבינא סביבות ארבעה מצריו של רוניא וגדרן</w:t>
      </w:r>
      <w:r>
        <w:rPr>
          <w:rFonts w:cs="Arial" w:hint="cs"/>
          <w:rtl/>
        </w:rPr>
        <w:t>, רש"י</w:t>
      </w:r>
      <w:r w:rsidRPr="00707A90">
        <w:rPr>
          <w:rFonts w:cs="Arial"/>
          <w:rtl/>
        </w:rPr>
        <w:t>.</w:t>
      </w:r>
    </w:p>
  </w:footnote>
  <w:footnote w:id="979">
    <w:p w14:paraId="1BFCB6FD" w14:textId="77777777" w:rsidR="0013116F" w:rsidRDefault="0013116F">
      <w:pPr>
        <w:pStyle w:val="a9"/>
        <w:rPr>
          <w:rtl/>
        </w:rPr>
      </w:pPr>
      <w:r>
        <w:rPr>
          <w:rStyle w:val="ab"/>
        </w:rPr>
        <w:footnoteRef/>
      </w:r>
      <w:r>
        <w:rPr>
          <w:rtl/>
        </w:rPr>
        <w:t xml:space="preserve"> </w:t>
      </w:r>
      <w:r w:rsidRPr="00707A90">
        <w:rPr>
          <w:rFonts w:cs="Arial"/>
          <w:rtl/>
        </w:rPr>
        <w:t>כרב הונא אליבא דר' יוסי דאמר הכל לפי מה שגדר דהכי קי"ל כדמוכח לקמן</w:t>
      </w:r>
      <w:r>
        <w:rPr>
          <w:rFonts w:cs="Arial" w:hint="cs"/>
          <w:rtl/>
        </w:rPr>
        <w:t>, רש"י</w:t>
      </w:r>
      <w:r w:rsidRPr="00707A90">
        <w:rPr>
          <w:rFonts w:cs="Arial"/>
          <w:rtl/>
        </w:rPr>
        <w:t>.</w:t>
      </w:r>
    </w:p>
  </w:footnote>
  <w:footnote w:id="980">
    <w:p w14:paraId="4904B731" w14:textId="77777777" w:rsidR="0013116F" w:rsidRDefault="0013116F">
      <w:pPr>
        <w:pStyle w:val="a9"/>
      </w:pPr>
      <w:r>
        <w:rPr>
          <w:rStyle w:val="ab"/>
        </w:rPr>
        <w:footnoteRef/>
      </w:r>
      <w:r>
        <w:rPr>
          <w:rtl/>
        </w:rPr>
        <w:t xml:space="preserve"> </w:t>
      </w:r>
      <w:r w:rsidRPr="00707A90">
        <w:rPr>
          <w:rFonts w:cs="Arial"/>
          <w:rtl/>
        </w:rPr>
        <w:t>רוניא היה גודר תמרים מדקל שבשדהו</w:t>
      </w:r>
      <w:r>
        <w:rPr>
          <w:rFonts w:cs="Arial" w:hint="cs"/>
          <w:rtl/>
        </w:rPr>
        <w:t>, רש"י</w:t>
      </w:r>
      <w:r w:rsidRPr="00707A90">
        <w:rPr>
          <w:rFonts w:cs="Arial"/>
          <w:rtl/>
        </w:rPr>
        <w:t>.</w:t>
      </w:r>
    </w:p>
  </w:footnote>
  <w:footnote w:id="981">
    <w:p w14:paraId="54F49DE1" w14:textId="77777777" w:rsidR="0013116F" w:rsidRDefault="0013116F">
      <w:pPr>
        <w:pStyle w:val="a9"/>
        <w:rPr>
          <w:rtl/>
        </w:rPr>
      </w:pPr>
      <w:r>
        <w:rPr>
          <w:rStyle w:val="ab"/>
        </w:rPr>
        <w:footnoteRef/>
      </w:r>
      <w:r>
        <w:rPr>
          <w:rtl/>
        </w:rPr>
        <w:t xml:space="preserve"> </w:t>
      </w:r>
      <w:r w:rsidRPr="00707A90">
        <w:rPr>
          <w:rFonts w:cs="Arial"/>
          <w:rtl/>
        </w:rPr>
        <w:t>אשכול של תמרים משל רוניא ובפניו</w:t>
      </w:r>
      <w:r>
        <w:rPr>
          <w:rFonts w:cs="Arial" w:hint="cs"/>
          <w:rtl/>
        </w:rPr>
        <w:t>, רש"י</w:t>
      </w:r>
      <w:r w:rsidRPr="00707A90">
        <w:rPr>
          <w:rFonts w:cs="Arial"/>
          <w:rtl/>
        </w:rPr>
        <w:t>.</w:t>
      </w:r>
    </w:p>
  </w:footnote>
  <w:footnote w:id="982">
    <w:p w14:paraId="47599ABA" w14:textId="77777777" w:rsidR="0013116F" w:rsidRDefault="0013116F">
      <w:pPr>
        <w:pStyle w:val="a9"/>
      </w:pPr>
      <w:r>
        <w:rPr>
          <w:rStyle w:val="ab"/>
        </w:rPr>
        <w:footnoteRef/>
      </w:r>
      <w:r>
        <w:rPr>
          <w:rtl/>
        </w:rPr>
        <w:t xml:space="preserve"> </w:t>
      </w:r>
      <w:r w:rsidRPr="00707A90">
        <w:rPr>
          <w:rFonts w:cs="Arial"/>
          <w:rtl/>
        </w:rPr>
        <w:t>גער בו רוניא באריסיה דרבינא</w:t>
      </w:r>
      <w:r>
        <w:rPr>
          <w:rFonts w:cs="Arial" w:hint="cs"/>
          <w:rtl/>
        </w:rPr>
        <w:t>, רש"י</w:t>
      </w:r>
      <w:r w:rsidRPr="00707A90">
        <w:rPr>
          <w:rFonts w:cs="Arial"/>
          <w:rtl/>
        </w:rPr>
        <w:t>.</w:t>
      </w:r>
    </w:p>
  </w:footnote>
  <w:footnote w:id="983">
    <w:p w14:paraId="5391B12E" w14:textId="77777777" w:rsidR="0013116F" w:rsidRDefault="0013116F">
      <w:pPr>
        <w:pStyle w:val="a9"/>
      </w:pPr>
      <w:r>
        <w:rPr>
          <w:rStyle w:val="ab"/>
        </w:rPr>
        <w:footnoteRef/>
      </w:r>
      <w:r>
        <w:rPr>
          <w:rtl/>
        </w:rPr>
        <w:t xml:space="preserve"> </w:t>
      </w:r>
      <w:r w:rsidRPr="00707A90">
        <w:rPr>
          <w:rFonts w:cs="Arial"/>
          <w:rtl/>
        </w:rPr>
        <w:t>רבינא גלית אדעתיך שחביבין הדקלין עליך וניחא לך בשמירתן</w:t>
      </w:r>
      <w:r>
        <w:rPr>
          <w:rFonts w:cs="Arial" w:hint="cs"/>
          <w:rtl/>
        </w:rPr>
        <w:t>, רש"י</w:t>
      </w:r>
      <w:r w:rsidRPr="00707A90">
        <w:rPr>
          <w:rFonts w:cs="Arial"/>
          <w:rtl/>
        </w:rPr>
        <w:t>.</w:t>
      </w:r>
    </w:p>
  </w:footnote>
  <w:footnote w:id="984">
    <w:p w14:paraId="174702DC" w14:textId="77777777" w:rsidR="0013116F" w:rsidRDefault="0013116F">
      <w:pPr>
        <w:pStyle w:val="a9"/>
      </w:pPr>
      <w:r>
        <w:rPr>
          <w:rStyle w:val="ab"/>
        </w:rPr>
        <w:footnoteRef/>
      </w:r>
      <w:r>
        <w:rPr>
          <w:rtl/>
        </w:rPr>
        <w:t xml:space="preserve"> </w:t>
      </w:r>
      <w:r w:rsidRPr="00707A90">
        <w:rPr>
          <w:rFonts w:cs="Arial"/>
          <w:rtl/>
        </w:rPr>
        <w:t>כלומר אפי' אינך ירא מן הגנבים צריך אתה לשמרן מן העזים</w:t>
      </w:r>
      <w:r>
        <w:rPr>
          <w:rFonts w:cs="Arial" w:hint="cs"/>
          <w:rtl/>
        </w:rPr>
        <w:t>, רש"י</w:t>
      </w:r>
      <w:r w:rsidRPr="00707A90">
        <w:rPr>
          <w:rFonts w:cs="Arial"/>
          <w:rtl/>
        </w:rPr>
        <w:t>.</w:t>
      </w:r>
    </w:p>
  </w:footnote>
  <w:footnote w:id="985">
    <w:p w14:paraId="1A4580E6" w14:textId="77777777" w:rsidR="0013116F" w:rsidRPr="00707A90" w:rsidRDefault="0013116F">
      <w:pPr>
        <w:pStyle w:val="a9"/>
        <w:rPr>
          <w:rtl/>
        </w:rPr>
      </w:pPr>
      <w:r>
        <w:rPr>
          <w:rStyle w:val="ab"/>
        </w:rPr>
        <w:footnoteRef/>
      </w:r>
      <w:r>
        <w:rPr>
          <w:rtl/>
        </w:rPr>
        <w:t xml:space="preserve"> </w:t>
      </w:r>
      <w:r w:rsidRPr="00707A90">
        <w:rPr>
          <w:rFonts w:cs="Arial"/>
          <w:rtl/>
        </w:rPr>
        <w:t>סתם עזים, צריך למונעם על ידי גערה. כלומר, די בגערה כדי להרחיקם!</w:t>
      </w:r>
      <w:r>
        <w:rPr>
          <w:rFonts w:cs="Arial" w:hint="cs"/>
          <w:sz w:val="14"/>
          <w:szCs w:val="14"/>
          <w:rtl/>
        </w:rPr>
        <w:t xml:space="preserve"> </w:t>
      </w:r>
      <w:r>
        <w:rPr>
          <w:rFonts w:cs="Arial" w:hint="cs"/>
          <w:sz w:val="16"/>
          <w:szCs w:val="16"/>
          <w:rtl/>
        </w:rPr>
        <w:t>(חברותא)</w:t>
      </w:r>
      <w:r>
        <w:rPr>
          <w:rFonts w:hint="cs"/>
          <w:rtl/>
        </w:rPr>
        <w:t>.</w:t>
      </w:r>
    </w:p>
  </w:footnote>
  <w:footnote w:id="986">
    <w:p w14:paraId="776EBC43" w14:textId="77777777" w:rsidR="0013116F" w:rsidRDefault="0013116F">
      <w:pPr>
        <w:pStyle w:val="a9"/>
      </w:pPr>
      <w:r>
        <w:rPr>
          <w:rStyle w:val="ab"/>
        </w:rPr>
        <w:footnoteRef/>
      </w:r>
      <w:r>
        <w:rPr>
          <w:rtl/>
        </w:rPr>
        <w:t xml:space="preserve"> </w:t>
      </w:r>
      <w:r w:rsidRPr="00707A90">
        <w:rPr>
          <w:rFonts w:cs="Arial"/>
          <w:rtl/>
        </w:rPr>
        <w:t>טוב לך להתפייס באגר נטירא הואילו ונתרצה לכך</w:t>
      </w:r>
      <w:r>
        <w:rPr>
          <w:rFonts w:cs="Arial" w:hint="cs"/>
          <w:rtl/>
        </w:rPr>
        <w:t>, רש"י</w:t>
      </w:r>
      <w:r w:rsidRPr="00707A90">
        <w:rPr>
          <w:rFonts w:cs="Arial"/>
          <w:rtl/>
        </w:rPr>
        <w:t>.</w:t>
      </w:r>
    </w:p>
  </w:footnote>
  <w:footnote w:id="987">
    <w:p w14:paraId="6E3945D5" w14:textId="77777777" w:rsidR="0013116F" w:rsidRDefault="0013116F">
      <w:pPr>
        <w:pStyle w:val="a9"/>
        <w:rPr>
          <w:rtl/>
        </w:rPr>
      </w:pPr>
      <w:r>
        <w:rPr>
          <w:rStyle w:val="ab"/>
        </w:rPr>
        <w:footnoteRef/>
      </w:r>
      <w:r>
        <w:rPr>
          <w:rtl/>
        </w:rPr>
        <w:t xml:space="preserve"> </w:t>
      </w:r>
      <w:r w:rsidRPr="00707A90">
        <w:rPr>
          <w:rFonts w:cs="Arial"/>
          <w:rtl/>
        </w:rPr>
        <w:t>בתוספות מפרש הטעם כדי שלא ישמע השומע ויסבור שדינא הכי כיון שהדיין שותק</w:t>
      </w:r>
      <w:r>
        <w:rPr>
          <w:rFonts w:hint="cs"/>
          <w:rtl/>
        </w:rPr>
        <w:t>, סמ"ע (סקכ"ה).</w:t>
      </w:r>
    </w:p>
  </w:footnote>
  <w:footnote w:id="988">
    <w:p w14:paraId="2638E102" w14:textId="77777777" w:rsidR="0013116F" w:rsidRDefault="0013116F" w:rsidP="00C45D95">
      <w:pPr>
        <w:pStyle w:val="a9"/>
      </w:pPr>
      <w:r>
        <w:rPr>
          <w:rStyle w:val="ab"/>
        </w:rPr>
        <w:footnoteRef/>
      </w:r>
      <w:r>
        <w:rPr>
          <w:rtl/>
        </w:rPr>
        <w:t xml:space="preserve"> </w:t>
      </w:r>
      <w:r>
        <w:rPr>
          <w:rFonts w:hint="cs"/>
          <w:rtl/>
        </w:rPr>
        <w:t>הסמ"ע (סקכ"ו) השיג על הרמ"א בדין זה, וכתב דמה שהביא ראיה מפ"ק דב"ב מרוניא אינה ראיה (ושגם הריב"ש לא הביא ראיה מהאי עובדא). אך הש"ך (סקט"ו) מיישב את דעת הרמ"א.</w:t>
      </w:r>
    </w:p>
  </w:footnote>
  <w:footnote w:id="989">
    <w:p w14:paraId="6F1CE177" w14:textId="77777777" w:rsidR="0013116F" w:rsidRDefault="0013116F">
      <w:pPr>
        <w:pStyle w:val="a9"/>
        <w:rPr>
          <w:rtl/>
        </w:rPr>
      </w:pPr>
      <w:r>
        <w:rPr>
          <w:rStyle w:val="ab"/>
        </w:rPr>
        <w:footnoteRef/>
      </w:r>
      <w:r>
        <w:rPr>
          <w:rtl/>
        </w:rPr>
        <w:t xml:space="preserve"> </w:t>
      </w:r>
      <w:r w:rsidRPr="00C45D95">
        <w:rPr>
          <w:rFonts w:cs="Arial"/>
          <w:rtl/>
        </w:rPr>
        <w:t>כלומר הדין חוזר כל זמן שלא הוציא הדיין ממון, וכן היה המעשה בריב"ש שם</w:t>
      </w:r>
      <w:r>
        <w:rPr>
          <w:rFonts w:cs="Arial" w:hint="cs"/>
          <w:rtl/>
        </w:rPr>
        <w:t>...</w:t>
      </w:r>
      <w:r w:rsidRPr="00C45D95">
        <w:rPr>
          <w:rFonts w:cs="Arial"/>
          <w:rtl/>
        </w:rPr>
        <w:t xml:space="preserve"> אבל אם הוציא הדיין מה שמגיע לו ע"פ הדין ונתנו לתובע, נראה דאינו חוזר, לפי מאי דפרישית שאין לדיין לפסוק יותר משום שאין להוציא ממון מספק, א"כ השתא דכבר הוציא היכא דקיימא ממונא תיקום</w:t>
      </w:r>
      <w:r>
        <w:rPr>
          <w:rFonts w:hint="cs"/>
          <w:rtl/>
        </w:rPr>
        <w:t xml:space="preserve">, ש"ך (סקי"ז). וכתב עוד (סקט"ז) </w:t>
      </w:r>
      <w:r>
        <w:rPr>
          <w:rFonts w:cs="Arial" w:hint="cs"/>
          <w:rtl/>
        </w:rPr>
        <w:t>ד</w:t>
      </w:r>
      <w:r w:rsidRPr="00C45D95">
        <w:rPr>
          <w:rFonts w:cs="Arial"/>
          <w:rtl/>
        </w:rPr>
        <w:t xml:space="preserve">בספר באר שבע </w:t>
      </w:r>
      <w:r>
        <w:rPr>
          <w:rFonts w:cs="Arial" w:hint="cs"/>
          <w:rtl/>
        </w:rPr>
        <w:t>(</w:t>
      </w:r>
      <w:r w:rsidRPr="00C45D95">
        <w:rPr>
          <w:rFonts w:cs="Arial"/>
          <w:rtl/>
        </w:rPr>
        <w:t>אחר סי' עא, סד"ה בדק</w:t>
      </w:r>
      <w:r>
        <w:rPr>
          <w:rFonts w:cs="Arial" w:hint="cs"/>
          <w:rtl/>
        </w:rPr>
        <w:t>) כתב</w:t>
      </w:r>
      <w:r w:rsidRPr="00C45D95">
        <w:rPr>
          <w:rFonts w:cs="Arial"/>
          <w:rtl/>
        </w:rPr>
        <w:t xml:space="preserve"> שמותר לדיין לפסוק לזכות את בעל השטר ע"פ אותו הזכות שרואה הדיין בשטר, אע</w:t>
      </w:r>
      <w:r>
        <w:rPr>
          <w:rFonts w:cs="Arial" w:hint="cs"/>
          <w:rtl/>
        </w:rPr>
        <w:t>"</w:t>
      </w:r>
      <w:r w:rsidRPr="00C45D95">
        <w:rPr>
          <w:rFonts w:cs="Arial"/>
          <w:rtl/>
        </w:rPr>
        <w:t>פ שבעל השטר לא טען אותו הזכות ולא הרגיש בו כלל.</w:t>
      </w:r>
      <w:r>
        <w:rPr>
          <w:rFonts w:cs="Arial" w:hint="cs"/>
          <w:rtl/>
        </w:rPr>
        <w:t xml:space="preserve"> אך סיים הש"ך</w:t>
      </w:r>
      <w:r w:rsidRPr="00C45D95">
        <w:rPr>
          <w:rFonts w:cs="Arial"/>
          <w:rtl/>
        </w:rPr>
        <w:t xml:space="preserve"> </w:t>
      </w:r>
      <w:r>
        <w:rPr>
          <w:rFonts w:cs="Arial" w:hint="cs"/>
          <w:rtl/>
        </w:rPr>
        <w:t>ד</w:t>
      </w:r>
      <w:r w:rsidRPr="00C45D95">
        <w:rPr>
          <w:rFonts w:cs="Arial"/>
          <w:rtl/>
        </w:rPr>
        <w:t>צ"ע קצת</w:t>
      </w:r>
      <w:r>
        <w:rPr>
          <w:rFonts w:cs="Arial" w:hint="cs"/>
          <w:rtl/>
        </w:rPr>
        <w:t>.</w:t>
      </w:r>
    </w:p>
  </w:footnote>
  <w:footnote w:id="990">
    <w:p w14:paraId="420286F8" w14:textId="77777777" w:rsidR="0013116F" w:rsidRDefault="0013116F" w:rsidP="009B1EBC">
      <w:pPr>
        <w:pStyle w:val="a9"/>
        <w:rPr>
          <w:rtl/>
        </w:rPr>
      </w:pPr>
      <w:r>
        <w:rPr>
          <w:rStyle w:val="ab"/>
        </w:rPr>
        <w:footnoteRef/>
      </w:r>
      <w:r>
        <w:rPr>
          <w:rtl/>
        </w:rPr>
        <w:t xml:space="preserve"> </w:t>
      </w:r>
      <w:r>
        <w:rPr>
          <w:rFonts w:hint="cs"/>
          <w:rtl/>
        </w:rPr>
        <w:t xml:space="preserve">סימן </w:t>
      </w:r>
      <w:r>
        <w:rPr>
          <w:rtl/>
        </w:rPr>
        <w:t>–</w:t>
      </w:r>
      <w:r>
        <w:rPr>
          <w:rFonts w:hint="cs"/>
          <w:rtl/>
        </w:rPr>
        <w:t xml:space="preserve"> כיצד תבדוק </w:t>
      </w:r>
      <w:r w:rsidRPr="001F34A8">
        <w:rPr>
          <w:rFonts w:hint="cs"/>
          <w:sz w:val="16"/>
          <w:szCs w:val="16"/>
          <w:rtl/>
        </w:rPr>
        <w:t>(ת' במקום ט</w:t>
      </w:r>
      <w:r>
        <w:rPr>
          <w:rFonts w:hint="cs"/>
          <w:sz w:val="16"/>
          <w:szCs w:val="16"/>
          <w:rtl/>
        </w:rPr>
        <w:t>'</w:t>
      </w:r>
      <w:r w:rsidRPr="001F34A8">
        <w:rPr>
          <w:rFonts w:hint="cs"/>
          <w:sz w:val="16"/>
          <w:szCs w:val="16"/>
          <w:rtl/>
        </w:rPr>
        <w:t>)</w:t>
      </w:r>
      <w:r>
        <w:rPr>
          <w:rFonts w:hint="cs"/>
          <w:rtl/>
        </w:rPr>
        <w:t>.</w:t>
      </w:r>
    </w:p>
  </w:footnote>
  <w:footnote w:id="991">
    <w:p w14:paraId="7600B1EE" w14:textId="77777777" w:rsidR="0013116F" w:rsidRDefault="0013116F" w:rsidP="00535811">
      <w:pPr>
        <w:pStyle w:val="a9"/>
      </w:pPr>
      <w:r>
        <w:rPr>
          <w:rStyle w:val="ab"/>
        </w:rPr>
        <w:footnoteRef/>
      </w:r>
      <w:r>
        <w:rPr>
          <w:rtl/>
        </w:rPr>
        <w:t xml:space="preserve"> </w:t>
      </w:r>
      <w:r w:rsidRPr="00C619DF">
        <w:rPr>
          <w:rFonts w:cs="Arial"/>
          <w:rtl/>
        </w:rPr>
        <w:t xml:space="preserve">יוסיפו הדיינין </w:t>
      </w:r>
      <w:r>
        <w:rPr>
          <w:rFonts w:cs="Arial"/>
          <w:rtl/>
        </w:rPr>
        <w:t>–</w:t>
      </w:r>
      <w:r w:rsidRPr="00C619DF">
        <w:rPr>
          <w:rFonts w:cs="Arial"/>
          <w:rtl/>
        </w:rPr>
        <w:t xml:space="preserve"> ואע</w:t>
      </w:r>
      <w:r>
        <w:rPr>
          <w:rFonts w:cs="Arial" w:hint="cs"/>
          <w:rtl/>
        </w:rPr>
        <w:t>"</w:t>
      </w:r>
      <w:r w:rsidRPr="00C619DF">
        <w:rPr>
          <w:rFonts w:cs="Arial"/>
          <w:rtl/>
        </w:rPr>
        <w:t>ג דאי הוה פליג עלייהו הוי בטל במיעוטא, כי אמר איני יודע הוי כמי שלא ישב בדין ונמצא הדין בשנים, ואנן תלתא בעינן</w:t>
      </w:r>
      <w:r>
        <w:rPr>
          <w:rFonts w:cs="Arial" w:hint="cs"/>
          <w:rtl/>
        </w:rPr>
        <w:t>, רש"י.</w:t>
      </w:r>
    </w:p>
  </w:footnote>
  <w:footnote w:id="992">
    <w:p w14:paraId="13B6EF80" w14:textId="77777777" w:rsidR="0013116F" w:rsidRDefault="0013116F" w:rsidP="00535811">
      <w:pPr>
        <w:pStyle w:val="a9"/>
      </w:pPr>
      <w:r>
        <w:rPr>
          <w:rStyle w:val="ab"/>
        </w:rPr>
        <w:footnoteRef/>
      </w:r>
      <w:r>
        <w:rPr>
          <w:rtl/>
        </w:rPr>
        <w:t xml:space="preserve"> </w:t>
      </w:r>
      <w:r>
        <w:rPr>
          <w:rFonts w:cs="Arial"/>
          <w:rtl/>
        </w:rPr>
        <w:t>והרמב"ם בפ"ח מהלכות סנהדרין (ה"ב) כתב מוסיפין שנים ונראה שלמד כן מדתנן בפרק היו בודקין (שם מ.) גבי דיני נפשות דהיכא דאחד אומר איני יודע מוסיפין שנים</w:t>
      </w:r>
      <w:r>
        <w:rPr>
          <w:rFonts w:cs="Arial" w:hint="cs"/>
          <w:rtl/>
        </w:rPr>
        <w:t>, ב"י. וכ"כ הטור.</w:t>
      </w:r>
    </w:p>
  </w:footnote>
  <w:footnote w:id="993">
    <w:p w14:paraId="6C0EB4AC" w14:textId="77777777" w:rsidR="0013116F" w:rsidRDefault="0013116F" w:rsidP="0091271D">
      <w:pPr>
        <w:pStyle w:val="a9"/>
      </w:pPr>
      <w:r>
        <w:rPr>
          <w:rStyle w:val="ab"/>
        </w:rPr>
        <w:footnoteRef/>
      </w:r>
      <w:r w:rsidRPr="00AC4A6F">
        <w:rPr>
          <w:rFonts w:cs="Arial"/>
          <w:rtl/>
        </w:rPr>
        <w:t xml:space="preserve"> </w:t>
      </w:r>
      <w:r>
        <w:rPr>
          <w:rFonts w:cs="Arial" w:hint="cs"/>
          <w:rtl/>
        </w:rPr>
        <w:t>ו</w:t>
      </w:r>
      <w:r w:rsidRPr="00AC4A6F">
        <w:rPr>
          <w:rFonts w:cs="Arial"/>
          <w:rtl/>
        </w:rPr>
        <w:t>אין ספק שבדיני ממונות אין מקבלין עדים אלא לאחר שהשיב הנתבע על תביעת התובע לפי שאולי יודה הנתבע ולא יהא צריך עדים ואטרוחי בי דינא לא מטרחינן</w:t>
      </w:r>
      <w:r>
        <w:rPr>
          <w:rFonts w:cs="Arial" w:hint="cs"/>
          <w:rtl/>
        </w:rPr>
        <w:t>,</w:t>
      </w:r>
      <w:r w:rsidRPr="0091271D">
        <w:rPr>
          <w:rFonts w:cs="Arial"/>
          <w:rtl/>
        </w:rPr>
        <w:t xml:space="preserve"> </w:t>
      </w:r>
      <w:r w:rsidRPr="00AC4A6F">
        <w:rPr>
          <w:rFonts w:cs="Arial"/>
          <w:rtl/>
        </w:rPr>
        <w:t xml:space="preserve">ריב"ש </w:t>
      </w:r>
      <w:r>
        <w:rPr>
          <w:rFonts w:cs="Arial" w:hint="cs"/>
          <w:rtl/>
        </w:rPr>
        <w:t>(</w:t>
      </w:r>
      <w:r w:rsidRPr="00AC4A6F">
        <w:rPr>
          <w:rFonts w:cs="Arial"/>
          <w:rtl/>
        </w:rPr>
        <w:t>סי</w:t>
      </w:r>
      <w:r>
        <w:rPr>
          <w:rFonts w:cs="Arial" w:hint="cs"/>
          <w:rtl/>
        </w:rPr>
        <w:t xml:space="preserve">' </w:t>
      </w:r>
      <w:r w:rsidRPr="00AC4A6F">
        <w:rPr>
          <w:rFonts w:cs="Arial"/>
          <w:rtl/>
        </w:rPr>
        <w:t>רלד</w:t>
      </w:r>
      <w:r>
        <w:rPr>
          <w:rFonts w:cs="Arial" w:hint="cs"/>
          <w:rtl/>
        </w:rPr>
        <w:t>, הביאו הדרכ"מ אות א).</w:t>
      </w:r>
    </w:p>
  </w:footnote>
  <w:footnote w:id="994">
    <w:p w14:paraId="0B362D03" w14:textId="77777777" w:rsidR="0013116F" w:rsidRDefault="0013116F" w:rsidP="0066473E">
      <w:pPr>
        <w:pStyle w:val="a9"/>
      </w:pPr>
      <w:r>
        <w:rPr>
          <w:rStyle w:val="ab"/>
        </w:rPr>
        <w:footnoteRef/>
      </w:r>
      <w:r>
        <w:rPr>
          <w:rtl/>
        </w:rPr>
        <w:t xml:space="preserve"> </w:t>
      </w:r>
      <w:r>
        <w:rPr>
          <w:rFonts w:hint="cs"/>
          <w:rtl/>
        </w:rPr>
        <w:t xml:space="preserve">הרמב"ם כתב כן </w:t>
      </w:r>
      <w:r w:rsidRPr="00AC4A6F">
        <w:rPr>
          <w:rFonts w:cs="Arial"/>
          <w:rtl/>
        </w:rPr>
        <w:t>בפ"ח מהל</w:t>
      </w:r>
      <w:r>
        <w:rPr>
          <w:rFonts w:cs="Arial" w:hint="cs"/>
          <w:rtl/>
        </w:rPr>
        <w:t>'</w:t>
      </w:r>
      <w:r w:rsidRPr="00AC4A6F">
        <w:rPr>
          <w:rFonts w:cs="Arial"/>
          <w:rtl/>
        </w:rPr>
        <w:t xml:space="preserve"> סנהדרין (שם)</w:t>
      </w:r>
      <w:r>
        <w:rPr>
          <w:rFonts w:cs="Arial" w:hint="cs"/>
          <w:rtl/>
        </w:rPr>
        <w:t>,</w:t>
      </w:r>
      <w:r w:rsidRPr="00AC4A6F">
        <w:rPr>
          <w:rFonts w:cs="Arial"/>
          <w:rtl/>
        </w:rPr>
        <w:t xml:space="preserve"> וכן משמע ממתניתין (כט.) דהא לא קתני דיוסיפו הדיינים אלא היכא שהמזכים כמנין המחייבים ואחד אומר איני יודע אבל אם המזכים רבו על המחייבים או המחייבים רבו על המזכים הולכים אחר הרוב</w:t>
      </w:r>
      <w:r>
        <w:rPr>
          <w:rFonts w:cs="Arial" w:hint="cs"/>
          <w:rtl/>
        </w:rPr>
        <w:t>, ב"י.</w:t>
      </w:r>
    </w:p>
  </w:footnote>
  <w:footnote w:id="995">
    <w:p w14:paraId="38698FC0" w14:textId="77777777" w:rsidR="0013116F" w:rsidRDefault="0013116F">
      <w:pPr>
        <w:pStyle w:val="a9"/>
        <w:rPr>
          <w:rtl/>
        </w:rPr>
      </w:pPr>
      <w:r>
        <w:rPr>
          <w:rStyle w:val="ab"/>
        </w:rPr>
        <w:footnoteRef/>
      </w:r>
      <w:r>
        <w:rPr>
          <w:rtl/>
        </w:rPr>
        <w:t xml:space="preserve"> </w:t>
      </w:r>
      <w:r>
        <w:rPr>
          <w:rFonts w:cs="Arial"/>
          <w:rtl/>
        </w:rPr>
        <w:t>ונראה דהרמב"ם סובר דהא דאמרינן בסוף פ</w:t>
      </w:r>
      <w:r>
        <w:rPr>
          <w:rFonts w:cs="Arial" w:hint="cs"/>
          <w:rtl/>
        </w:rPr>
        <w:t>"</w:t>
      </w:r>
      <w:r>
        <w:rPr>
          <w:rFonts w:cs="Arial"/>
          <w:rtl/>
        </w:rPr>
        <w:t>ק דסנהדרין (יז.) דההוא דאמר איני יודע כמאן דליתיה דמי היינו בדיני נפשות אבל בדיני ממונות כמאן דאיתיה דמי ואי אמר טענתא שמעינן ליה</w:t>
      </w:r>
      <w:r>
        <w:rPr>
          <w:rFonts w:cs="Arial" w:hint="cs"/>
          <w:rtl/>
        </w:rPr>
        <w:t>,</w:t>
      </w:r>
      <w:r>
        <w:rPr>
          <w:rFonts w:cs="Arial"/>
          <w:rtl/>
        </w:rPr>
        <w:t xml:space="preserve"> והראב"ד חולק עליו</w:t>
      </w:r>
      <w:r>
        <w:rPr>
          <w:rFonts w:cs="Arial" w:hint="cs"/>
          <w:rtl/>
        </w:rPr>
        <w:t>,</w:t>
      </w:r>
      <w:r>
        <w:rPr>
          <w:rFonts w:cs="Arial"/>
          <w:rtl/>
        </w:rPr>
        <w:t xml:space="preserve"> ודעת הרשב"א בתשובה </w:t>
      </w:r>
      <w:r w:rsidRPr="005A5E18">
        <w:rPr>
          <w:rFonts w:cs="Arial"/>
          <w:sz w:val="16"/>
          <w:szCs w:val="16"/>
          <w:rtl/>
        </w:rPr>
        <w:t>(ח"ג סי' שנו)</w:t>
      </w:r>
      <w:r>
        <w:rPr>
          <w:rFonts w:cs="Arial"/>
          <w:rtl/>
        </w:rPr>
        <w:t xml:space="preserve"> כדברי הראב"ד</w:t>
      </w:r>
      <w:r>
        <w:rPr>
          <w:rFonts w:hint="cs"/>
          <w:rtl/>
        </w:rPr>
        <w:t>, ב"י.</w:t>
      </w:r>
    </w:p>
  </w:footnote>
  <w:footnote w:id="996">
    <w:p w14:paraId="44BC936A" w14:textId="77777777" w:rsidR="0013116F" w:rsidRDefault="0013116F" w:rsidP="00F209AB">
      <w:pPr>
        <w:pStyle w:val="a9"/>
        <w:rPr>
          <w:rtl/>
        </w:rPr>
      </w:pPr>
      <w:r>
        <w:rPr>
          <w:rStyle w:val="ab"/>
        </w:rPr>
        <w:footnoteRef/>
      </w:r>
      <w:r>
        <w:rPr>
          <w:rtl/>
        </w:rPr>
        <w:t xml:space="preserve"> </w:t>
      </w:r>
      <w:r w:rsidRPr="00AC4A6F">
        <w:rPr>
          <w:rFonts w:cs="Arial"/>
          <w:rtl/>
        </w:rPr>
        <w:t>ודוגמת זה כתבתי בסוף סימן י"ג (מחו' י) בשם תשובת הרשב"א</w:t>
      </w:r>
      <w:r>
        <w:rPr>
          <w:rFonts w:hint="cs"/>
          <w:rtl/>
        </w:rPr>
        <w:t xml:space="preserve">, ב"י. וכתב הדרכ"מ </w:t>
      </w:r>
      <w:r w:rsidRPr="0066473E">
        <w:rPr>
          <w:rFonts w:cs="Arial"/>
          <w:rtl/>
        </w:rPr>
        <w:t>(</w:t>
      </w:r>
      <w:r>
        <w:rPr>
          <w:rFonts w:cs="Arial" w:hint="cs"/>
          <w:rtl/>
        </w:rPr>
        <w:t xml:space="preserve">אות </w:t>
      </w:r>
      <w:r w:rsidRPr="0066473E">
        <w:rPr>
          <w:rFonts w:cs="Arial"/>
          <w:rtl/>
        </w:rPr>
        <w:t>ב*) ד</w:t>
      </w:r>
      <w:r>
        <w:rPr>
          <w:rFonts w:cs="Arial" w:hint="cs"/>
          <w:rtl/>
        </w:rPr>
        <w:t xml:space="preserve">שם כתב הב"י בשם הרשב"א </w:t>
      </w:r>
      <w:r w:rsidRPr="0066473E">
        <w:rPr>
          <w:rFonts w:cs="Arial"/>
          <w:rtl/>
        </w:rPr>
        <w:t>אפילו אם בררו עשרה לדון ביניהם דין או פשרה ונסתלק אחד מהן אין הנשארים יכולין לגמור את הדין, ואפי' התחילו כל היו"ד לדון ואחד אומר איני יודע אין הט' הנשארים יכולין לגמור הדין</w:t>
      </w:r>
      <w:r>
        <w:rPr>
          <w:rFonts w:cs="Arial" w:hint="cs"/>
          <w:rtl/>
        </w:rPr>
        <w:t>. וכתב הדרכ"מ</w:t>
      </w:r>
      <w:r w:rsidRPr="0066473E">
        <w:rPr>
          <w:rFonts w:cs="Arial"/>
          <w:rtl/>
        </w:rPr>
        <w:t xml:space="preserve"> </w:t>
      </w:r>
      <w:r>
        <w:rPr>
          <w:rFonts w:cs="Arial" w:hint="cs"/>
          <w:rtl/>
        </w:rPr>
        <w:t>ד</w:t>
      </w:r>
      <w:r w:rsidRPr="0066473E">
        <w:rPr>
          <w:rFonts w:cs="Arial"/>
          <w:rtl/>
        </w:rPr>
        <w:t>אין נראה כן מדברי הרמב"ם דבסמוך</w:t>
      </w:r>
      <w:r>
        <w:rPr>
          <w:rFonts w:cs="Arial" w:hint="cs"/>
          <w:rtl/>
        </w:rPr>
        <w:t xml:space="preserve">, </w:t>
      </w:r>
      <w:r w:rsidRPr="0066473E">
        <w:rPr>
          <w:rFonts w:cs="Arial"/>
          <w:rtl/>
        </w:rPr>
        <w:t>שהרי כתב אם ד' מזכין או ד' מחייבין ואחד אומר איני יודע הולכין אחר רוב</w:t>
      </w:r>
      <w:r>
        <w:rPr>
          <w:rFonts w:cs="Arial" w:hint="cs"/>
          <w:rtl/>
        </w:rPr>
        <w:t>,</w:t>
      </w:r>
      <w:r w:rsidRPr="0066473E">
        <w:rPr>
          <w:rFonts w:cs="Arial"/>
          <w:rtl/>
        </w:rPr>
        <w:t xml:space="preserve"> והוא הדין כאן, ואפשר דשאני הכא דלא נבררו מתחלה יותר מג' אבל לא משמע מתשובות הרשב"א שתלה הדבר בזה ועיי"ש</w:t>
      </w:r>
      <w:r>
        <w:rPr>
          <w:rFonts w:hint="cs"/>
          <w:rtl/>
        </w:rPr>
        <w:t xml:space="preserve">, עכ"ל הדרכ"מ. אך מהב"י נראה להדיא שחילק כן, והיכא דברר מתחילה </w:t>
      </w:r>
      <w:r>
        <w:rPr>
          <w:rtl/>
        </w:rPr>
        <w:t>–</w:t>
      </w:r>
      <w:r>
        <w:rPr>
          <w:rFonts w:hint="cs"/>
          <w:rtl/>
        </w:rPr>
        <w:t xml:space="preserve"> אז אין הנשארים יכולים לגמור, אבל היכא דלא בירר מתחילה אלא ג' ובהמשך הוסיפו עליהם, בזה גם הרשב"א יודה לרמב"ם דיכולים לגמור כיון דמתחילה לא בא הבע"ד לדון אלא אדעת ג', וא"כ גם עתה יש ג' ואף יותר.</w:t>
      </w:r>
    </w:p>
  </w:footnote>
  <w:footnote w:id="997">
    <w:p w14:paraId="11701B1C" w14:textId="77777777" w:rsidR="0013116F" w:rsidRDefault="0013116F">
      <w:pPr>
        <w:pStyle w:val="a9"/>
        <w:rPr>
          <w:rtl/>
        </w:rPr>
      </w:pPr>
      <w:r>
        <w:rPr>
          <w:rStyle w:val="ab"/>
        </w:rPr>
        <w:footnoteRef/>
      </w:r>
      <w:r>
        <w:rPr>
          <w:rtl/>
        </w:rPr>
        <w:t xml:space="preserve"> </w:t>
      </w:r>
      <w:r w:rsidRPr="002B44AD">
        <w:rPr>
          <w:rFonts w:cs="Arial"/>
          <w:rtl/>
        </w:rPr>
        <w:t>כדי שלא ידעו הבע"ד מי הוא המזכה ומי הוא המחייב, וגם משום דאל"כ שמא ישמעו הבע"ד דברי משא ומתן של הדיינים ומתוך דבריהן ילמדו לטעון שקר</w:t>
      </w:r>
      <w:r>
        <w:rPr>
          <w:rFonts w:hint="cs"/>
          <w:rtl/>
        </w:rPr>
        <w:t>, סמ"ע (סק"א).</w:t>
      </w:r>
    </w:p>
  </w:footnote>
  <w:footnote w:id="998">
    <w:p w14:paraId="14CCAD3C" w14:textId="77777777" w:rsidR="0013116F" w:rsidRDefault="0013116F">
      <w:pPr>
        <w:pStyle w:val="a9"/>
        <w:rPr>
          <w:rtl/>
        </w:rPr>
      </w:pPr>
      <w:r>
        <w:rPr>
          <w:rStyle w:val="ab"/>
        </w:rPr>
        <w:footnoteRef/>
      </w:r>
      <w:r>
        <w:rPr>
          <w:rtl/>
        </w:rPr>
        <w:t xml:space="preserve"> </w:t>
      </w:r>
      <w:r>
        <w:rPr>
          <w:rFonts w:cs="Arial" w:hint="cs"/>
          <w:rtl/>
        </w:rPr>
        <w:t>ה</w:t>
      </w:r>
      <w:r w:rsidRPr="00AC4A6F">
        <w:rPr>
          <w:rFonts w:cs="Arial"/>
          <w:rtl/>
        </w:rPr>
        <w:t>נמוק</w:t>
      </w:r>
      <w:r>
        <w:rPr>
          <w:rFonts w:cs="Arial" w:hint="cs"/>
          <w:rtl/>
        </w:rPr>
        <w:t>"</w:t>
      </w:r>
      <w:r w:rsidRPr="00AC4A6F">
        <w:rPr>
          <w:rFonts w:cs="Arial"/>
          <w:rtl/>
        </w:rPr>
        <w:t xml:space="preserve">י </w:t>
      </w:r>
      <w:r>
        <w:rPr>
          <w:rFonts w:cs="Arial" w:hint="cs"/>
          <w:rtl/>
        </w:rPr>
        <w:t xml:space="preserve">כ' </w:t>
      </w:r>
      <w:r w:rsidRPr="0091271D">
        <w:rPr>
          <w:rFonts w:cs="Arial" w:hint="cs"/>
          <w:sz w:val="16"/>
          <w:szCs w:val="16"/>
          <w:rtl/>
        </w:rPr>
        <w:t>(</w:t>
      </w:r>
      <w:r w:rsidRPr="0091271D">
        <w:rPr>
          <w:rFonts w:cs="Arial"/>
          <w:sz w:val="16"/>
          <w:szCs w:val="16"/>
          <w:rtl/>
        </w:rPr>
        <w:t>פ</w:t>
      </w:r>
      <w:r w:rsidRPr="0091271D">
        <w:rPr>
          <w:rFonts w:cs="Arial" w:hint="cs"/>
          <w:sz w:val="16"/>
          <w:szCs w:val="16"/>
          <w:rtl/>
        </w:rPr>
        <w:t>'</w:t>
      </w:r>
      <w:r w:rsidRPr="0091271D">
        <w:rPr>
          <w:rFonts w:cs="Arial"/>
          <w:sz w:val="16"/>
          <w:szCs w:val="16"/>
          <w:rtl/>
        </w:rPr>
        <w:t xml:space="preserve"> אד</w:t>
      </w:r>
      <w:r>
        <w:rPr>
          <w:rFonts w:cs="Arial" w:hint="cs"/>
          <w:sz w:val="16"/>
          <w:szCs w:val="16"/>
          <w:rtl/>
        </w:rPr>
        <w:t>"</w:t>
      </w:r>
      <w:r w:rsidRPr="0091271D">
        <w:rPr>
          <w:rFonts w:cs="Arial"/>
          <w:sz w:val="16"/>
          <w:szCs w:val="16"/>
          <w:rtl/>
        </w:rPr>
        <w:t xml:space="preserve">מ יג: ד"ה ותו) </w:t>
      </w:r>
      <w:r w:rsidRPr="00AC4A6F">
        <w:rPr>
          <w:rFonts w:cs="Arial"/>
          <w:rtl/>
        </w:rPr>
        <w:t>דטוב שיתחילו למנין מן הצד אף בדיני ממונות</w:t>
      </w:r>
      <w:r>
        <w:rPr>
          <w:rFonts w:cs="Arial" w:hint="cs"/>
          <w:rtl/>
        </w:rPr>
        <w:t>.</w:t>
      </w:r>
      <w:r w:rsidRPr="00761EE8">
        <w:rPr>
          <w:rFonts w:cs="Arial" w:hint="cs"/>
          <w:rtl/>
        </w:rPr>
        <w:t xml:space="preserve"> </w:t>
      </w:r>
      <w:r>
        <w:rPr>
          <w:rFonts w:cs="Arial" w:hint="cs"/>
          <w:rtl/>
        </w:rPr>
        <w:t>ו</w:t>
      </w:r>
      <w:r w:rsidRPr="00761EE8">
        <w:rPr>
          <w:rFonts w:cs="Arial" w:hint="cs"/>
          <w:rtl/>
        </w:rPr>
        <w:t xml:space="preserve">הביאו </w:t>
      </w:r>
      <w:r>
        <w:rPr>
          <w:rFonts w:cs="Arial" w:hint="cs"/>
          <w:rtl/>
        </w:rPr>
        <w:t>הרמ"א ב</w:t>
      </w:r>
      <w:r w:rsidRPr="00761EE8">
        <w:rPr>
          <w:rFonts w:cs="Arial" w:hint="cs"/>
          <w:rtl/>
        </w:rPr>
        <w:t xml:space="preserve">דרכ"מ </w:t>
      </w:r>
      <w:r>
        <w:rPr>
          <w:rFonts w:cs="Arial" w:hint="cs"/>
          <w:sz w:val="16"/>
          <w:szCs w:val="16"/>
          <w:rtl/>
        </w:rPr>
        <w:t>(</w:t>
      </w:r>
      <w:r w:rsidRPr="0091271D">
        <w:rPr>
          <w:rFonts w:cs="Arial" w:hint="cs"/>
          <w:sz w:val="16"/>
          <w:szCs w:val="16"/>
          <w:rtl/>
        </w:rPr>
        <w:t xml:space="preserve">אות </w:t>
      </w:r>
      <w:r w:rsidRPr="0091271D">
        <w:rPr>
          <w:rFonts w:cs="Arial"/>
          <w:sz w:val="16"/>
          <w:szCs w:val="16"/>
          <w:rtl/>
        </w:rPr>
        <w:t>ב)</w:t>
      </w:r>
      <w:r>
        <w:rPr>
          <w:rFonts w:cs="Arial" w:hint="cs"/>
          <w:rtl/>
        </w:rPr>
        <w:t xml:space="preserve"> </w:t>
      </w:r>
      <w:r w:rsidRPr="00761EE8">
        <w:rPr>
          <w:rFonts w:cs="Arial" w:hint="cs"/>
          <w:color w:val="00B0F0"/>
          <w:rtl/>
        </w:rPr>
        <w:t>וכ"פ בהגה</w:t>
      </w:r>
      <w:r>
        <w:rPr>
          <w:rFonts w:cs="Arial" w:hint="cs"/>
          <w:rtl/>
        </w:rPr>
        <w:t>. ו</w:t>
      </w:r>
      <w:r w:rsidRPr="0091271D">
        <w:rPr>
          <w:rFonts w:cs="Arial"/>
          <w:rtl/>
        </w:rPr>
        <w:t>פירש</w:t>
      </w:r>
      <w:r>
        <w:rPr>
          <w:rFonts w:cs="Arial" w:hint="cs"/>
          <w:rtl/>
        </w:rPr>
        <w:t xml:space="preserve"> הסמ"ע </w:t>
      </w:r>
      <w:r w:rsidRPr="0091271D">
        <w:rPr>
          <w:rFonts w:cs="Arial" w:hint="cs"/>
          <w:sz w:val="16"/>
          <w:szCs w:val="16"/>
          <w:rtl/>
        </w:rPr>
        <w:t xml:space="preserve">(סק"ב) </w:t>
      </w:r>
      <w:r>
        <w:rPr>
          <w:rFonts w:cs="Arial" w:hint="cs"/>
          <w:rtl/>
        </w:rPr>
        <w:t>דבריו וז"ל-</w:t>
      </w:r>
      <w:r w:rsidRPr="0091271D">
        <w:rPr>
          <w:rFonts w:cs="Arial"/>
          <w:rtl/>
        </w:rPr>
        <w:t xml:space="preserve"> אף שאינו חובה זה כ"א בדיני נפשות, וכדתנן בר"פ אד</w:t>
      </w:r>
      <w:r>
        <w:rPr>
          <w:rFonts w:cs="Arial" w:hint="cs"/>
          <w:rtl/>
        </w:rPr>
        <w:t>"</w:t>
      </w:r>
      <w:r w:rsidRPr="0091271D">
        <w:rPr>
          <w:rFonts w:cs="Arial"/>
          <w:rtl/>
        </w:rPr>
        <w:t xml:space="preserve">מ </w:t>
      </w:r>
      <w:r>
        <w:rPr>
          <w:rFonts w:cs="Arial" w:hint="cs"/>
          <w:rtl/>
        </w:rPr>
        <w:t>(</w:t>
      </w:r>
      <w:r w:rsidRPr="0091271D">
        <w:rPr>
          <w:rFonts w:cs="Arial"/>
          <w:rtl/>
        </w:rPr>
        <w:t>סנהדרין ל</w:t>
      </w:r>
      <w:r>
        <w:rPr>
          <w:rFonts w:cs="Arial" w:hint="cs"/>
          <w:rtl/>
        </w:rPr>
        <w:t>ב.)</w:t>
      </w:r>
      <w:r w:rsidRPr="0091271D">
        <w:rPr>
          <w:rFonts w:cs="Arial"/>
          <w:rtl/>
        </w:rPr>
        <w:t xml:space="preserve"> הטומאות והטהרות מתחילין מן הגדול, דיני נפשות מן הצד, ופירש"י </w:t>
      </w:r>
      <w:r>
        <w:rPr>
          <w:rFonts w:cs="Arial" w:hint="cs"/>
          <w:rtl/>
        </w:rPr>
        <w:t>(</w:t>
      </w:r>
      <w:r w:rsidRPr="0091271D">
        <w:rPr>
          <w:rFonts w:cs="Arial"/>
          <w:rtl/>
        </w:rPr>
        <w:t>ד"ה מן הצד</w:t>
      </w:r>
      <w:r>
        <w:rPr>
          <w:rFonts w:cs="Arial" w:hint="cs"/>
          <w:rtl/>
        </w:rPr>
        <w:t>)</w:t>
      </w:r>
      <w:r w:rsidRPr="0091271D">
        <w:rPr>
          <w:rFonts w:cs="Arial"/>
          <w:rtl/>
        </w:rPr>
        <w:t xml:space="preserve"> מן הקטנים שמא יחייבנו הגדול ולא ירצו לחלוק על דבריו משום דכתיב </w:t>
      </w:r>
      <w:r>
        <w:rPr>
          <w:rFonts w:cs="Arial" w:hint="cs"/>
          <w:rtl/>
        </w:rPr>
        <w:t>(</w:t>
      </w:r>
      <w:r w:rsidRPr="0091271D">
        <w:rPr>
          <w:rFonts w:cs="Arial"/>
          <w:rtl/>
        </w:rPr>
        <w:t>שמות כג ב</w:t>
      </w:r>
      <w:r>
        <w:rPr>
          <w:rFonts w:cs="Arial" w:hint="cs"/>
          <w:rtl/>
        </w:rPr>
        <w:t>)</w:t>
      </w:r>
      <w:r w:rsidRPr="0091271D">
        <w:rPr>
          <w:rFonts w:cs="Arial"/>
          <w:rtl/>
        </w:rPr>
        <w:t xml:space="preserve"> לא תענה על רב, על דבריו של גדול, רב כתיב בלא יו"ד, עכ"ל. מדכתב "ולא ירצו" לחלוק משמע "דברצונו" תליא. וכ"כ הנ"י שם בהדיא ז"ל, כתבו המפרשים ז"ל, לאו למימרא דאסור לענות על רב, אדרבה אסור לו לשתוק, שהרי בדיני נפשות אמרינן </w:t>
      </w:r>
      <w:r>
        <w:rPr>
          <w:rFonts w:cs="Arial" w:hint="cs"/>
          <w:rtl/>
        </w:rPr>
        <w:t>(</w:t>
      </w:r>
      <w:r w:rsidRPr="0091271D">
        <w:rPr>
          <w:rFonts w:cs="Arial"/>
          <w:rtl/>
        </w:rPr>
        <w:t>שם לד</w:t>
      </w:r>
      <w:r>
        <w:rPr>
          <w:rFonts w:cs="Arial" w:hint="cs"/>
          <w:rtl/>
        </w:rPr>
        <w:t>.)</w:t>
      </w:r>
      <w:r w:rsidRPr="0091271D">
        <w:rPr>
          <w:rFonts w:cs="Arial"/>
          <w:rtl/>
        </w:rPr>
        <w:t xml:space="preserve"> אמר אחד מן התלמידים יש לי ללמד זכות שומעין לו כו', אלא ה"ק קרא</w:t>
      </w:r>
      <w:r>
        <w:rPr>
          <w:rFonts w:cs="Arial" w:hint="cs"/>
          <w:rtl/>
        </w:rPr>
        <w:t>-</w:t>
      </w:r>
      <w:r w:rsidRPr="0091271D">
        <w:rPr>
          <w:rFonts w:cs="Arial"/>
          <w:rtl/>
        </w:rPr>
        <w:t xml:space="preserve"> שראוי לעשות בענין שלא יצטרך לענות על רב, שידברו הקטנים תחילה, ולא משום כבודו אלא שמא לא ירצה התלמיד לחלוק שיתבייש ממנו, וחששו החששה דוקא בדיני נפשות דחמירי ולא בדיני ממונות, ואם רצו מתחילין מן הגדול, ומיהו טוב להתחיל מהקטן כו', עכ"ל</w:t>
      </w:r>
      <w:r>
        <w:rPr>
          <w:rFonts w:cs="Arial" w:hint="cs"/>
          <w:rtl/>
        </w:rPr>
        <w:t>...</w:t>
      </w:r>
      <w:r>
        <w:rPr>
          <w:rFonts w:hint="cs"/>
          <w:sz w:val="16"/>
          <w:szCs w:val="16"/>
          <w:rtl/>
        </w:rPr>
        <w:t>(עכ"ל הסמ"ע)</w:t>
      </w:r>
      <w:r>
        <w:rPr>
          <w:rFonts w:hint="cs"/>
          <w:rtl/>
        </w:rPr>
        <w:t>.</w:t>
      </w:r>
    </w:p>
  </w:footnote>
  <w:footnote w:id="999">
    <w:p w14:paraId="0B1E82C9" w14:textId="77777777" w:rsidR="0013116F" w:rsidRDefault="0013116F">
      <w:pPr>
        <w:pStyle w:val="a9"/>
        <w:rPr>
          <w:rtl/>
        </w:rPr>
      </w:pPr>
      <w:r>
        <w:rPr>
          <w:rStyle w:val="ab"/>
        </w:rPr>
        <w:footnoteRef/>
      </w:r>
      <w:r>
        <w:rPr>
          <w:rtl/>
        </w:rPr>
        <w:t xml:space="preserve"> </w:t>
      </w:r>
      <w:r w:rsidRPr="002B44AD">
        <w:rPr>
          <w:rFonts w:cs="Arial"/>
          <w:rtl/>
        </w:rPr>
        <w:t>בא ללמדינו בזה דאף דבדיני נפשות אין הולכין אחר הרוב לחובה כי אם כשנתרבו שנים המחייבים על המזכים, מ"מ בדיני ממונות שמה שהוא חובה לזה הוא זכות לזה, בחד סגי, ועיין פרישה</w:t>
      </w:r>
      <w:r>
        <w:rPr>
          <w:rFonts w:hint="cs"/>
          <w:rtl/>
        </w:rPr>
        <w:t>, סמ"ע (סק"ג).</w:t>
      </w:r>
    </w:p>
  </w:footnote>
  <w:footnote w:id="1000">
    <w:p w14:paraId="2C8BFE09" w14:textId="77777777" w:rsidR="0013116F" w:rsidRDefault="0013116F">
      <w:pPr>
        <w:pStyle w:val="a9"/>
        <w:rPr>
          <w:rtl/>
        </w:rPr>
      </w:pPr>
      <w:r>
        <w:rPr>
          <w:rStyle w:val="ab"/>
        </w:rPr>
        <w:footnoteRef/>
      </w:r>
      <w:r>
        <w:rPr>
          <w:rtl/>
        </w:rPr>
        <w:t xml:space="preserve"> </w:t>
      </w:r>
      <w:r w:rsidRPr="00554082">
        <w:rPr>
          <w:rFonts w:cs="Arial"/>
          <w:rtl/>
        </w:rPr>
        <w:t>הטעם, דאין שייך לומר דהולכין אחר הרוב אלא כשכל הג' ישבו ונתנו ונשאו בדבר וכל אחד אומר טעם לדבריו ושנים הסכימו לדעת אחת, אז בטלה דעת השלישי ברוב, משא"כ כשאומר איני יודע דמחשב כאילו לא ישב עמהן, ואמרינן שמא אם ישב עמהן שלישי שהיה אומר דעתו היו השנים מסכימין עמו, וזהו דוקא בשלשה הראשונים, אבל אחר שהוסיפו עליהן, אף שאמר האחד איני יודע, מ"מ כיון דמתחילה לא ישבו כ"א אדעתא דג' והרי נשאר ג' שביררו דעתן ומסכימין לדעת אחת, משו"ה הולכין אחריהן, וק"ל</w:t>
      </w:r>
      <w:r>
        <w:rPr>
          <w:rFonts w:hint="cs"/>
          <w:rtl/>
        </w:rPr>
        <w:t>, סמ"ע (סק"ד).</w:t>
      </w:r>
    </w:p>
  </w:footnote>
  <w:footnote w:id="1001">
    <w:p w14:paraId="119D6EC6" w14:textId="77777777" w:rsidR="0013116F" w:rsidRDefault="0013116F">
      <w:pPr>
        <w:pStyle w:val="a9"/>
        <w:rPr>
          <w:rtl/>
        </w:rPr>
      </w:pPr>
      <w:r>
        <w:rPr>
          <w:rStyle w:val="ab"/>
        </w:rPr>
        <w:footnoteRef/>
      </w:r>
      <w:r>
        <w:rPr>
          <w:rtl/>
        </w:rPr>
        <w:t xml:space="preserve"> </w:t>
      </w:r>
      <w:r w:rsidRPr="00554082">
        <w:rPr>
          <w:rFonts w:cs="Arial"/>
          <w:rtl/>
        </w:rPr>
        <w:t>פירוש, יוסיפו עוד שנים כמו שהוסיפו בראשונה, וכן מבואר בהרמב"ם [פ"ח מסנהדרין ה"ב] ועיין פרישה</w:t>
      </w:r>
      <w:r>
        <w:rPr>
          <w:rFonts w:hint="cs"/>
          <w:rtl/>
        </w:rPr>
        <w:t>, סמ"ע (סק"ה).</w:t>
      </w:r>
    </w:p>
  </w:footnote>
  <w:footnote w:id="1002">
    <w:p w14:paraId="5FAF4AB0" w14:textId="77777777" w:rsidR="0013116F" w:rsidRDefault="0013116F">
      <w:pPr>
        <w:pStyle w:val="a9"/>
      </w:pPr>
      <w:r>
        <w:rPr>
          <w:rStyle w:val="ab"/>
        </w:rPr>
        <w:footnoteRef/>
      </w:r>
      <w:r>
        <w:rPr>
          <w:rtl/>
        </w:rPr>
        <w:t xml:space="preserve"> </w:t>
      </w:r>
      <w:r w:rsidRPr="00554082">
        <w:rPr>
          <w:rFonts w:cs="Arial"/>
          <w:rtl/>
        </w:rPr>
        <w:t>קמ"ל בזה רבותא, דאע"פ שזה האומר עכשיו הוא אחר, לא מחשבינן ליה כאילו גם הראשון היה אומר עכשיו איני יודע ויהיו שנים כנגד שנים ולא מחשב רוב, וכמ"ש. ועיין פרישה מ"ש עוד ישוב אחר</w:t>
      </w:r>
      <w:r>
        <w:rPr>
          <w:rFonts w:cs="Arial" w:hint="cs"/>
          <w:rtl/>
        </w:rPr>
        <w:t>, סמ"ע (סק"ז).</w:t>
      </w:r>
      <w:r>
        <w:rPr>
          <w:rFonts w:hint="cs"/>
          <w:rtl/>
        </w:rPr>
        <w:t xml:space="preserve"> היינו כדברי הרמב"ם ולא כהראב"ד.</w:t>
      </w:r>
    </w:p>
  </w:footnote>
  <w:footnote w:id="1003">
    <w:p w14:paraId="62D13AF2" w14:textId="77777777" w:rsidR="0013116F" w:rsidRDefault="0013116F">
      <w:pPr>
        <w:pStyle w:val="a9"/>
      </w:pPr>
      <w:r>
        <w:rPr>
          <w:rStyle w:val="ab"/>
        </w:rPr>
        <w:footnoteRef/>
      </w:r>
      <w:r>
        <w:rPr>
          <w:rtl/>
        </w:rPr>
        <w:t xml:space="preserve"> </w:t>
      </w:r>
      <w:r w:rsidRPr="00554082">
        <w:rPr>
          <w:rFonts w:cs="Arial"/>
          <w:rtl/>
        </w:rPr>
        <w:t>וכתב מור"ש ז"ל דה"ה אם ג' מזכין ושנים אומרים איני יודע דהולכין אחר הרוב, אבל ב' מזכין ואחד אומר חייב וב' אומרים איני יודע, צריכין להוסיף כיון דאין כאן רוב נגד האומרים איני יודע, ועיין פרישה</w:t>
      </w:r>
      <w:r>
        <w:rPr>
          <w:rFonts w:cs="Arial" w:hint="cs"/>
          <w:rtl/>
        </w:rPr>
        <w:t xml:space="preserve">, סמ"ע </w:t>
      </w:r>
      <w:r w:rsidRPr="00143BB6">
        <w:rPr>
          <w:rFonts w:cs="Arial" w:hint="cs"/>
          <w:sz w:val="16"/>
          <w:szCs w:val="16"/>
          <w:rtl/>
        </w:rPr>
        <w:t>(סק"ו)</w:t>
      </w:r>
      <w:r>
        <w:rPr>
          <w:rFonts w:cs="Arial" w:hint="cs"/>
          <w:rtl/>
        </w:rPr>
        <w:t>.</w:t>
      </w:r>
      <w:r w:rsidRPr="00143BB6">
        <w:rPr>
          <w:rtl/>
        </w:rPr>
        <w:t xml:space="preserve"> </w:t>
      </w:r>
      <w:r w:rsidRPr="00143BB6">
        <w:rPr>
          <w:rFonts w:cs="Arial"/>
          <w:rtl/>
        </w:rPr>
        <w:t xml:space="preserve">ובב"ח </w:t>
      </w:r>
      <w:r w:rsidRPr="00143BB6">
        <w:rPr>
          <w:rFonts w:cs="Arial"/>
          <w:sz w:val="16"/>
          <w:szCs w:val="16"/>
          <w:rtl/>
        </w:rPr>
        <w:t xml:space="preserve">[ד"ה כתב הרמב"ם] </w:t>
      </w:r>
      <w:r w:rsidRPr="00143BB6">
        <w:rPr>
          <w:rFonts w:cs="Arial"/>
          <w:rtl/>
        </w:rPr>
        <w:t xml:space="preserve">חולק ע"ז, ע"ש. ועיין בכ"מ </w:t>
      </w:r>
      <w:r w:rsidRPr="00143BB6">
        <w:rPr>
          <w:rFonts w:cs="Arial"/>
          <w:sz w:val="16"/>
          <w:szCs w:val="16"/>
          <w:rtl/>
        </w:rPr>
        <w:t xml:space="preserve">[פ"ח מסנהדרין ה"ב] </w:t>
      </w:r>
      <w:r w:rsidRPr="00143BB6">
        <w:rPr>
          <w:rFonts w:cs="Arial"/>
          <w:rtl/>
        </w:rPr>
        <w:t>הביא תשו</w:t>
      </w:r>
      <w:r>
        <w:rPr>
          <w:rFonts w:cs="Arial" w:hint="cs"/>
          <w:rtl/>
        </w:rPr>
        <w:t>'</w:t>
      </w:r>
      <w:r w:rsidRPr="00143BB6">
        <w:rPr>
          <w:rFonts w:cs="Arial"/>
          <w:rtl/>
        </w:rPr>
        <w:t xml:space="preserve"> הרשב"א </w:t>
      </w:r>
      <w:r w:rsidRPr="00143BB6">
        <w:rPr>
          <w:rFonts w:cs="Arial"/>
          <w:sz w:val="16"/>
          <w:szCs w:val="16"/>
          <w:rtl/>
        </w:rPr>
        <w:t>[ח"ג סי' שנ"ו]</w:t>
      </w:r>
      <w:r w:rsidRPr="00143BB6">
        <w:rPr>
          <w:rFonts w:cs="Arial"/>
          <w:rtl/>
        </w:rPr>
        <w:t xml:space="preserve">, ותראה להדיא דהדין עם הכ"מ ומהרש"ל, דגם הרמב"ם פסק כת"ק דר' אילא </w:t>
      </w:r>
      <w:r w:rsidRPr="00143BB6">
        <w:rPr>
          <w:rFonts w:cs="Arial"/>
          <w:sz w:val="16"/>
          <w:szCs w:val="16"/>
          <w:rtl/>
        </w:rPr>
        <w:t>[ירושלמי סנהדרין פ"ה ה"ו]</w:t>
      </w:r>
      <w:r w:rsidRPr="00143BB6">
        <w:rPr>
          <w:rFonts w:cs="Arial"/>
          <w:rtl/>
        </w:rPr>
        <w:t>, וס"ל לת"ק דבעי ג' שיסכימו לדעת אחת ותו לא משגחינן אף אם ב' אינם יודעים, ודלא כר' אילא</w:t>
      </w:r>
      <w:r>
        <w:rPr>
          <w:rFonts w:cs="Arial" w:hint="cs"/>
          <w:rtl/>
        </w:rPr>
        <w:t xml:space="preserve">..., ש"ך </w:t>
      </w:r>
      <w:r w:rsidRPr="00143BB6">
        <w:rPr>
          <w:rFonts w:cs="Arial" w:hint="cs"/>
          <w:sz w:val="16"/>
          <w:szCs w:val="16"/>
          <w:rtl/>
        </w:rPr>
        <w:t>(סק"ב)</w:t>
      </w:r>
      <w:r>
        <w:rPr>
          <w:rFonts w:cs="Arial" w:hint="cs"/>
          <w:rtl/>
        </w:rPr>
        <w:t>.</w:t>
      </w:r>
    </w:p>
  </w:footnote>
  <w:footnote w:id="1004">
    <w:p w14:paraId="0FCF3D2B" w14:textId="77777777" w:rsidR="0013116F" w:rsidRDefault="0013116F">
      <w:pPr>
        <w:pStyle w:val="a9"/>
      </w:pPr>
      <w:r>
        <w:rPr>
          <w:rStyle w:val="ab"/>
        </w:rPr>
        <w:footnoteRef/>
      </w:r>
      <w:r>
        <w:rPr>
          <w:rtl/>
        </w:rPr>
        <w:t xml:space="preserve"> </w:t>
      </w:r>
      <w:r w:rsidRPr="00143BB6">
        <w:rPr>
          <w:rFonts w:cs="Arial"/>
          <w:rtl/>
        </w:rPr>
        <w:t>לא עמדתי על סוף דעת מור"ם בזה, הא כתב הרשב"א בהדיא בתשובה [ח"ג סי' שנו] והביאו הכ"מ בפ"ח דסנהדרין [ה"ב], דב"ד של שלשה שאמר אחד מהם איני יודע והוסיפו שנים, ואח"כ אומר אחד מהארבעה איני יודע, שהדין נגמר ע"פ השלשה הנשארים כאילו היתה תחילת ישיבתן בג' [אלו], ואם ב' מהם אומרים זכאי או חייב ואחד אומר היפוכן, הולכין אחר השנים שהן הרוב. והביא לדבריו אלו ראיה מהירושלמי [סנהדרין פ"ה ה"ה], ע"ש שהאריך. ומ"ש המחבר בס</w:t>
      </w:r>
      <w:r>
        <w:rPr>
          <w:rFonts w:cs="Arial" w:hint="cs"/>
          <w:rtl/>
        </w:rPr>
        <w:t>"</w:t>
      </w:r>
      <w:r w:rsidRPr="00143BB6">
        <w:rPr>
          <w:rFonts w:cs="Arial"/>
          <w:rtl/>
        </w:rPr>
        <w:t>ס יג ג"כ הם דברי הרשב"א [ח"ב סי' ק"ד] והביאו הב"י שם ע"ש במחודש סעיף י'. וכדי שלא תקשה דבריו זה על זה ע"כ צ"ל דיש חילוק בין ישבו מתחילה אדעתא דתלתא [דאיירי ביה הכא ובו גם הרשב"א מודה], ובין ישבו מתחילה אדעתא דעשרה. וכ"כ חילוק זה הכ</w:t>
      </w:r>
      <w:r>
        <w:rPr>
          <w:rFonts w:cs="Arial" w:hint="cs"/>
          <w:rtl/>
        </w:rPr>
        <w:t>ס"</w:t>
      </w:r>
      <w:r w:rsidRPr="00143BB6">
        <w:rPr>
          <w:rFonts w:cs="Arial"/>
          <w:rtl/>
        </w:rPr>
        <w:t>מ (בספ"ה) [בספ"ח] דסנהדרין</w:t>
      </w:r>
      <w:r>
        <w:rPr>
          <w:rFonts w:cs="Arial" w:hint="cs"/>
          <w:rtl/>
        </w:rPr>
        <w:t>...</w:t>
      </w:r>
      <w:r w:rsidRPr="00143BB6">
        <w:rPr>
          <w:rFonts w:cs="Arial"/>
          <w:rtl/>
        </w:rPr>
        <w:t xml:space="preserve"> וזה נראה לע"ד ברור. ולדעת מור"ם שכתב שהוא מחלוקת ושנ"ל עיקר דהולכים אחר הרוב, ומיד אחר זה כתב מור"ם ז"ל קהל שביררו ד' או ה' בוררים דאין הולכין אחר הרוב. צ"ל שמור"ם מחלק בין קהל שביררו</w:t>
      </w:r>
      <w:r>
        <w:rPr>
          <w:rFonts w:cs="Arial" w:hint="cs"/>
          <w:rtl/>
        </w:rPr>
        <w:t>,</w:t>
      </w:r>
      <w:r w:rsidRPr="00143BB6">
        <w:rPr>
          <w:rFonts w:cs="Arial"/>
          <w:rtl/>
        </w:rPr>
        <w:t xml:space="preserve"> דבזה כו"ע מודים דאין הולכים אחר הרוב, ובין בעלי דינים שביררו בעצמם, דבזה איירי כאן ובס</w:t>
      </w:r>
      <w:r>
        <w:rPr>
          <w:rFonts w:cs="Arial" w:hint="cs"/>
          <w:rtl/>
        </w:rPr>
        <w:t>"</w:t>
      </w:r>
      <w:r w:rsidRPr="00143BB6">
        <w:rPr>
          <w:rFonts w:cs="Arial"/>
          <w:rtl/>
        </w:rPr>
        <w:t>ס י"ג, ועליו כתב דיש בו פלוגתא. ובעיר שושן ס"ס י"ג כתב לחלק בין נסתלק אחד מהן ובין אמר אחד איני יודע, וכמ"ש מור"ם כאן. והנלע"ד בעיני כתבתי</w:t>
      </w:r>
      <w:r>
        <w:rPr>
          <w:rFonts w:cs="Arial" w:hint="cs"/>
          <w:rtl/>
        </w:rPr>
        <w:t>, סמ"ע (סק"ט).</w:t>
      </w:r>
    </w:p>
  </w:footnote>
  <w:footnote w:id="1005">
    <w:p w14:paraId="1C6A59A3" w14:textId="77777777" w:rsidR="0013116F" w:rsidRDefault="0013116F">
      <w:pPr>
        <w:pStyle w:val="a9"/>
        <w:rPr>
          <w:rtl/>
        </w:rPr>
      </w:pPr>
      <w:r>
        <w:rPr>
          <w:rStyle w:val="ab"/>
        </w:rPr>
        <w:footnoteRef/>
      </w:r>
      <w:r>
        <w:rPr>
          <w:rtl/>
        </w:rPr>
        <w:t xml:space="preserve"> </w:t>
      </w:r>
      <w:r w:rsidRPr="00143BB6">
        <w:rPr>
          <w:rFonts w:cs="Arial"/>
          <w:rtl/>
        </w:rPr>
        <w:t xml:space="preserve">פירוש, סתם ב"ד הן ג', אבל כשנחתי לדעות ליקח יותר, הו"ל כדאמרי בגמרא פרק בתרא דע"ז </w:t>
      </w:r>
      <w:r w:rsidRPr="00143BB6">
        <w:rPr>
          <w:rFonts w:cs="Arial"/>
          <w:sz w:val="16"/>
          <w:szCs w:val="16"/>
          <w:rtl/>
        </w:rPr>
        <w:t>[עב</w:t>
      </w:r>
      <w:r w:rsidRPr="00143BB6">
        <w:rPr>
          <w:rFonts w:cs="Arial" w:hint="cs"/>
          <w:sz w:val="16"/>
          <w:szCs w:val="16"/>
          <w:rtl/>
        </w:rPr>
        <w:t>.</w:t>
      </w:r>
      <w:r w:rsidRPr="00143BB6">
        <w:rPr>
          <w:rFonts w:cs="Arial"/>
          <w:sz w:val="16"/>
          <w:szCs w:val="16"/>
          <w:rtl/>
        </w:rPr>
        <w:t>]</w:t>
      </w:r>
      <w:r w:rsidRPr="00143BB6">
        <w:rPr>
          <w:rFonts w:cs="Arial"/>
          <w:rtl/>
        </w:rPr>
        <w:t xml:space="preserve"> כדשיימי ארבע עד דשיימי כולהו, וסיים שם ברשב"א, ואם לא הושוו כולם לדעת אחת הרי הנתבע פטור, דאין מוציאין ממון עד שיוודע שהוא חייב. וכתב עוד </w:t>
      </w:r>
      <w:r w:rsidRPr="00143BB6">
        <w:rPr>
          <w:rFonts w:cs="Arial"/>
          <w:sz w:val="16"/>
          <w:szCs w:val="16"/>
          <w:rtl/>
        </w:rPr>
        <w:t xml:space="preserve">[ב"י שם בשם הרשב"א בשו"ת ח"ג סי' שצ"ז] </w:t>
      </w:r>
      <w:r w:rsidRPr="00143BB6">
        <w:rPr>
          <w:rFonts w:cs="Arial"/>
          <w:rtl/>
        </w:rPr>
        <w:t>דכל ספק תקנה דנין להקל לנתבע כי המע"ה</w:t>
      </w:r>
      <w:r>
        <w:rPr>
          <w:rFonts w:hint="cs"/>
          <w:rtl/>
        </w:rPr>
        <w:t>, סמ"ע (סק"י).</w:t>
      </w:r>
    </w:p>
  </w:footnote>
  <w:footnote w:id="1006">
    <w:p w14:paraId="36FD92D7" w14:textId="77777777" w:rsidR="0013116F" w:rsidRDefault="0013116F">
      <w:pPr>
        <w:pStyle w:val="a9"/>
      </w:pPr>
      <w:r>
        <w:rPr>
          <w:rStyle w:val="ab"/>
        </w:rPr>
        <w:footnoteRef/>
      </w:r>
      <w:r>
        <w:rPr>
          <w:rtl/>
        </w:rPr>
        <w:t xml:space="preserve"> </w:t>
      </w:r>
      <w:r>
        <w:rPr>
          <w:rFonts w:hint="cs"/>
          <w:rtl/>
        </w:rPr>
        <w:t xml:space="preserve">סימן </w:t>
      </w:r>
      <w:r>
        <w:rPr>
          <w:rtl/>
        </w:rPr>
        <w:t>–</w:t>
      </w:r>
      <w:r>
        <w:rPr>
          <w:rFonts w:hint="cs"/>
          <w:rtl/>
        </w:rPr>
        <w:t xml:space="preserve"> מחצה על מחצה.</w:t>
      </w:r>
    </w:p>
  </w:footnote>
  <w:footnote w:id="1007">
    <w:p w14:paraId="38F706AA" w14:textId="77777777" w:rsidR="0013116F" w:rsidRDefault="0013116F" w:rsidP="0066473E">
      <w:pPr>
        <w:pStyle w:val="a9"/>
        <w:rPr>
          <w:rtl/>
        </w:rPr>
      </w:pPr>
      <w:r>
        <w:rPr>
          <w:rStyle w:val="ab"/>
        </w:rPr>
        <w:footnoteRef/>
      </w:r>
      <w:r>
        <w:rPr>
          <w:rtl/>
        </w:rPr>
        <w:t xml:space="preserve"> </w:t>
      </w:r>
      <w:r w:rsidRPr="00AC4A6F">
        <w:rPr>
          <w:rFonts w:cs="Arial"/>
          <w:rtl/>
        </w:rPr>
        <w:t>ודוגמת זה כתבתי בסוף סימן י"ג (מחו' י) בשם תשובת הרשב"א</w:t>
      </w:r>
      <w:r>
        <w:rPr>
          <w:rFonts w:hint="cs"/>
          <w:rtl/>
        </w:rPr>
        <w:t>, ב"י.</w:t>
      </w:r>
    </w:p>
  </w:footnote>
  <w:footnote w:id="1008">
    <w:p w14:paraId="77C78950" w14:textId="77777777" w:rsidR="0013116F" w:rsidRDefault="0013116F">
      <w:pPr>
        <w:pStyle w:val="a9"/>
        <w:rPr>
          <w:rtl/>
        </w:rPr>
      </w:pPr>
      <w:r>
        <w:rPr>
          <w:rStyle w:val="ab"/>
        </w:rPr>
        <w:footnoteRef/>
      </w:r>
      <w:r>
        <w:rPr>
          <w:rtl/>
        </w:rPr>
        <w:t xml:space="preserve"> </w:t>
      </w:r>
      <w:r w:rsidRPr="0026699A">
        <w:rPr>
          <w:rFonts w:cs="Arial"/>
          <w:rtl/>
        </w:rPr>
        <w:t>היינו כשאינם יודעים להיכן הדין נוטה, אבל אם יודעים יכול להסתלק והם יגמרו, ועי</w:t>
      </w:r>
      <w:r>
        <w:rPr>
          <w:rFonts w:cs="Arial" w:hint="cs"/>
          <w:rtl/>
        </w:rPr>
        <w:t>'</w:t>
      </w:r>
      <w:r w:rsidRPr="0026699A">
        <w:rPr>
          <w:rFonts w:cs="Arial"/>
          <w:rtl/>
        </w:rPr>
        <w:t xml:space="preserve"> ב"ח סי</w:t>
      </w:r>
      <w:r>
        <w:rPr>
          <w:rFonts w:cs="Arial" w:hint="cs"/>
          <w:rtl/>
        </w:rPr>
        <w:t>'</w:t>
      </w:r>
      <w:r w:rsidRPr="0026699A">
        <w:rPr>
          <w:rFonts w:cs="Arial"/>
          <w:rtl/>
        </w:rPr>
        <w:t xml:space="preserve"> יב </w:t>
      </w:r>
      <w:r w:rsidRPr="0026699A">
        <w:rPr>
          <w:rFonts w:cs="Arial"/>
          <w:sz w:val="16"/>
          <w:szCs w:val="16"/>
          <w:rtl/>
        </w:rPr>
        <w:t>[סע</w:t>
      </w:r>
      <w:r w:rsidRPr="0026699A">
        <w:rPr>
          <w:rFonts w:cs="Arial" w:hint="cs"/>
          <w:sz w:val="16"/>
          <w:szCs w:val="16"/>
          <w:rtl/>
        </w:rPr>
        <w:t>'</w:t>
      </w:r>
      <w:r w:rsidRPr="0026699A">
        <w:rPr>
          <w:rFonts w:cs="Arial"/>
          <w:sz w:val="16"/>
          <w:szCs w:val="16"/>
          <w:rtl/>
        </w:rPr>
        <w:t xml:space="preserve"> א' ד"ה כתב ב"י]</w:t>
      </w:r>
      <w:r>
        <w:rPr>
          <w:rFonts w:hint="cs"/>
          <w:rtl/>
        </w:rPr>
        <w:t>, ש"ך</w:t>
      </w:r>
      <w:r w:rsidRPr="0026699A">
        <w:rPr>
          <w:rFonts w:hint="cs"/>
          <w:sz w:val="16"/>
          <w:szCs w:val="16"/>
          <w:rtl/>
        </w:rPr>
        <w:t xml:space="preserve"> (סק"ה)</w:t>
      </w:r>
      <w:r>
        <w:rPr>
          <w:rFonts w:hint="cs"/>
          <w:rtl/>
        </w:rPr>
        <w:t xml:space="preserve">. אך התומים (סק"ד) </w:t>
      </w:r>
      <w:r>
        <w:rPr>
          <w:rFonts w:cs="Arial" w:hint="cs"/>
          <w:rtl/>
        </w:rPr>
        <w:t xml:space="preserve">והנתיבות (ביאורים סק"א) חלקו עליו וכתבו  </w:t>
      </w:r>
      <w:r>
        <w:rPr>
          <w:rFonts w:cs="Arial" w:hint="cs"/>
          <w:sz w:val="16"/>
          <w:szCs w:val="16"/>
          <w:rtl/>
        </w:rPr>
        <w:t>(</w:t>
      </w:r>
      <w:r w:rsidRPr="002D2FEF">
        <w:rPr>
          <w:rFonts w:cs="Arial"/>
          <w:sz w:val="16"/>
          <w:szCs w:val="16"/>
          <w:rtl/>
        </w:rPr>
        <w:t>דהא מדקתני [סנהדרין ל</w:t>
      </w:r>
      <w:r w:rsidRPr="002D2FEF">
        <w:rPr>
          <w:rFonts w:cs="Arial" w:hint="cs"/>
          <w:sz w:val="16"/>
          <w:szCs w:val="16"/>
          <w:rtl/>
        </w:rPr>
        <w:t>ב.</w:t>
      </w:r>
      <w:r w:rsidRPr="002D2FEF">
        <w:rPr>
          <w:rFonts w:cs="Arial"/>
          <w:sz w:val="16"/>
          <w:szCs w:val="16"/>
          <w:rtl/>
        </w:rPr>
        <w:t>] דיני ממונות דנין ביום וגומרין בלילה, והיינו לומר פלוני אתה חייב דזה נקרא גמר דין בכל דוכתי [שם ו</w:t>
      </w:r>
      <w:r>
        <w:rPr>
          <w:rFonts w:cs="Arial" w:hint="cs"/>
          <w:sz w:val="16"/>
          <w:szCs w:val="16"/>
          <w:rtl/>
        </w:rPr>
        <w:t>:</w:t>
      </w:r>
      <w:r w:rsidRPr="002D2FEF">
        <w:rPr>
          <w:rFonts w:cs="Arial"/>
          <w:sz w:val="16"/>
          <w:szCs w:val="16"/>
          <w:rtl/>
        </w:rPr>
        <w:t>], ולמד זה מקרא [שם לד</w:t>
      </w:r>
      <w:r w:rsidRPr="002D2FEF">
        <w:rPr>
          <w:rFonts w:cs="Arial" w:hint="cs"/>
          <w:sz w:val="16"/>
          <w:szCs w:val="16"/>
          <w:rtl/>
        </w:rPr>
        <w:t>:</w:t>
      </w:r>
      <w:r w:rsidRPr="002D2FEF">
        <w:rPr>
          <w:rFonts w:cs="Arial"/>
          <w:sz w:val="16"/>
          <w:szCs w:val="16"/>
          <w:rtl/>
        </w:rPr>
        <w:t>], משמע דאי לאו קרא אפילו גמר דין היה אסור בלילה, אם כן כיון דקתני דיני ממונות בשלשה ולא קתני דגומרין בשנים, משמע</w:t>
      </w:r>
      <w:r>
        <w:rPr>
          <w:rFonts w:cs="Arial" w:hint="cs"/>
          <w:sz w:val="16"/>
          <w:szCs w:val="16"/>
          <w:rtl/>
        </w:rPr>
        <w:t>)</w:t>
      </w:r>
      <w:r w:rsidRPr="002D2FEF">
        <w:rPr>
          <w:rFonts w:cs="Arial"/>
          <w:sz w:val="16"/>
          <w:szCs w:val="16"/>
          <w:rtl/>
        </w:rPr>
        <w:t xml:space="preserve"> </w:t>
      </w:r>
      <w:r w:rsidRPr="002D2FEF">
        <w:rPr>
          <w:rFonts w:cs="Arial"/>
          <w:rtl/>
        </w:rPr>
        <w:t>דאף הגמר דין דהיינו לומר פלוני אתה חייב בעי שלשה</w:t>
      </w:r>
      <w:r w:rsidRPr="002D2FEF">
        <w:rPr>
          <w:rFonts w:cs="Arial"/>
          <w:sz w:val="16"/>
          <w:szCs w:val="16"/>
          <w:rtl/>
        </w:rPr>
        <w:t xml:space="preserve"> </w:t>
      </w:r>
      <w:r>
        <w:rPr>
          <w:rFonts w:cs="Arial" w:hint="cs"/>
          <w:sz w:val="16"/>
          <w:szCs w:val="16"/>
          <w:rtl/>
        </w:rPr>
        <w:t>(</w:t>
      </w:r>
      <w:r w:rsidRPr="002D2FEF">
        <w:rPr>
          <w:rFonts w:cs="Arial"/>
          <w:sz w:val="16"/>
          <w:szCs w:val="16"/>
          <w:rtl/>
        </w:rPr>
        <w:t>משום דילמא חזו זכותא ויאמרו בשעת גמר דין, כמבואר בשבת (דף ט</w:t>
      </w:r>
      <w:r w:rsidRPr="002D2FEF">
        <w:rPr>
          <w:rFonts w:cs="Arial" w:hint="cs"/>
          <w:sz w:val="16"/>
          <w:szCs w:val="16"/>
          <w:rtl/>
        </w:rPr>
        <w:t>:)</w:t>
      </w:r>
      <w:r w:rsidRPr="002D2FEF">
        <w:rPr>
          <w:rFonts w:cs="Arial"/>
          <w:sz w:val="16"/>
          <w:szCs w:val="16"/>
          <w:rtl/>
        </w:rPr>
        <w:t xml:space="preserve"> לענין גמר דין קודם מנחה</w:t>
      </w:r>
      <w:r w:rsidRPr="002D2FEF">
        <w:rPr>
          <w:rFonts w:cs="Arial" w:hint="cs"/>
          <w:sz w:val="16"/>
          <w:szCs w:val="16"/>
          <w:rtl/>
        </w:rPr>
        <w:t>)</w:t>
      </w:r>
      <w:r w:rsidRPr="005D0A11">
        <w:rPr>
          <w:rFonts w:cs="Arial"/>
          <w:rtl/>
        </w:rPr>
        <w:t>.</w:t>
      </w:r>
    </w:p>
  </w:footnote>
  <w:footnote w:id="1009">
    <w:p w14:paraId="3CEBAEEF" w14:textId="77777777" w:rsidR="0013116F" w:rsidRDefault="0013116F">
      <w:pPr>
        <w:pStyle w:val="a9"/>
        <w:rPr>
          <w:rtl/>
        </w:rPr>
      </w:pPr>
      <w:r>
        <w:rPr>
          <w:rStyle w:val="ab"/>
        </w:rPr>
        <w:footnoteRef/>
      </w:r>
      <w:r>
        <w:rPr>
          <w:rtl/>
        </w:rPr>
        <w:t xml:space="preserve"> </w:t>
      </w:r>
      <w:r w:rsidRPr="0026699A">
        <w:rPr>
          <w:rFonts w:cs="Arial"/>
          <w:rtl/>
        </w:rPr>
        <w:t>ע"ש בס"ס י"ג דמשוה שם המחבר כשאמר אחד איני יודע למי שנסתלק לגמרי, וכ</w:t>
      </w:r>
      <w:r>
        <w:rPr>
          <w:rFonts w:cs="Arial" w:hint="cs"/>
          <w:rtl/>
        </w:rPr>
        <w:t>תב</w:t>
      </w:r>
      <w:r w:rsidRPr="0026699A">
        <w:rPr>
          <w:rFonts w:cs="Arial"/>
          <w:rtl/>
        </w:rPr>
        <w:t xml:space="preserve"> דבשניהן אין הדין נגמר ע</w:t>
      </w:r>
      <w:r>
        <w:rPr>
          <w:rFonts w:cs="Arial" w:hint="cs"/>
          <w:rtl/>
        </w:rPr>
        <w:t>"</w:t>
      </w:r>
      <w:r w:rsidRPr="0026699A">
        <w:rPr>
          <w:rFonts w:cs="Arial"/>
          <w:rtl/>
        </w:rPr>
        <w:t>פ תשעה הנשארים. והוא מדברי הרשב"א שכ"כ בתשובה [ח</w:t>
      </w:r>
      <w:r>
        <w:rPr>
          <w:rFonts w:cs="Arial" w:hint="cs"/>
          <w:rtl/>
        </w:rPr>
        <w:t>"</w:t>
      </w:r>
      <w:r w:rsidRPr="0026699A">
        <w:rPr>
          <w:rFonts w:cs="Arial"/>
          <w:rtl/>
        </w:rPr>
        <w:t>ב סי' קד]. אבל למור"ם ז"ל אינן שוין, שהרי פסק לפני זה בהג"ה סעיף א' דלא כוותיה באומר אחד מהן איני יודע, וכאן פסק כוותיה בנסתלק אחד מהן. ואפשר דס"ל דשאני מסתלק דאיכא למימר ביה אילו היה כאן היה אומר טעם לדבריו והיו התשעה מודים לו, משא"כ זה שאומר איני יודע שהיה אצל התשעה ולא ידע לומר טעם, דבכה"ג אזלינן בתר הרוב כיון שהן יותר מג' הראויין לב"ד שהם דעה אחת</w:t>
      </w:r>
      <w:r>
        <w:rPr>
          <w:rFonts w:hint="cs"/>
          <w:rtl/>
        </w:rPr>
        <w:t>, סמ"ע (סקי"א).</w:t>
      </w:r>
    </w:p>
  </w:footnote>
  <w:footnote w:id="1010">
    <w:p w14:paraId="38A2DDD1" w14:textId="77777777" w:rsidR="0013116F" w:rsidRDefault="0013116F">
      <w:pPr>
        <w:pStyle w:val="a9"/>
        <w:rPr>
          <w:rtl/>
        </w:rPr>
      </w:pPr>
      <w:r>
        <w:rPr>
          <w:rStyle w:val="ab"/>
        </w:rPr>
        <w:footnoteRef/>
      </w:r>
      <w:r>
        <w:rPr>
          <w:rtl/>
        </w:rPr>
        <w:t xml:space="preserve"> </w:t>
      </w:r>
      <w:r>
        <w:rPr>
          <w:rFonts w:hint="cs"/>
          <w:rtl/>
        </w:rPr>
        <w:t xml:space="preserve">סימן </w:t>
      </w:r>
      <w:r>
        <w:rPr>
          <w:rtl/>
        </w:rPr>
        <w:t>–</w:t>
      </w:r>
      <w:r>
        <w:rPr>
          <w:rFonts w:hint="cs"/>
          <w:rtl/>
        </w:rPr>
        <w:t xml:space="preserve"> לומד ודן.</w:t>
      </w:r>
    </w:p>
  </w:footnote>
  <w:footnote w:id="1011">
    <w:p w14:paraId="5B247058" w14:textId="77777777" w:rsidR="0013116F" w:rsidRDefault="0013116F">
      <w:pPr>
        <w:pStyle w:val="a9"/>
      </w:pPr>
      <w:r>
        <w:rPr>
          <w:rStyle w:val="ab"/>
        </w:rPr>
        <w:footnoteRef/>
      </w:r>
      <w:r>
        <w:rPr>
          <w:rtl/>
        </w:rPr>
        <w:t xml:space="preserve"> </w:t>
      </w:r>
      <w:r w:rsidRPr="00402C19">
        <w:rPr>
          <w:rFonts w:cs="Arial"/>
          <w:rtl/>
        </w:rPr>
        <w:t>ומראה לו פנים לזכות ולחובה בתוך הדין ודן עמו ונמנה עמו או לזכות או לחובה ומטין הדין ע</w:t>
      </w:r>
      <w:r>
        <w:rPr>
          <w:rFonts w:cs="Arial" w:hint="cs"/>
          <w:rtl/>
        </w:rPr>
        <w:t>"פ</w:t>
      </w:r>
      <w:r w:rsidRPr="00402C19">
        <w:rPr>
          <w:rFonts w:cs="Arial"/>
          <w:rtl/>
        </w:rPr>
        <w:t xml:space="preserve"> התלמיד כאחד מן הדיינין</w:t>
      </w:r>
      <w:r>
        <w:rPr>
          <w:rFonts w:cs="Arial" w:hint="cs"/>
          <w:rtl/>
        </w:rPr>
        <w:t>, רש"י</w:t>
      </w:r>
      <w:r w:rsidRPr="00402C19">
        <w:rPr>
          <w:rFonts w:cs="Arial"/>
          <w:rtl/>
        </w:rPr>
        <w:t>.</w:t>
      </w:r>
    </w:p>
  </w:footnote>
  <w:footnote w:id="1012">
    <w:p w14:paraId="1FF6BC82" w14:textId="77777777" w:rsidR="0013116F" w:rsidRDefault="0013116F">
      <w:pPr>
        <w:pStyle w:val="a9"/>
      </w:pPr>
      <w:r>
        <w:rPr>
          <w:rStyle w:val="ab"/>
        </w:rPr>
        <w:footnoteRef/>
      </w:r>
      <w:r>
        <w:rPr>
          <w:rtl/>
        </w:rPr>
        <w:t xml:space="preserve"> </w:t>
      </w:r>
      <w:r w:rsidRPr="00402C19">
        <w:rPr>
          <w:rFonts w:cs="Arial"/>
          <w:rtl/>
        </w:rPr>
        <w:t>שהוראתן ביחיד ואין בהם מנין אא</w:t>
      </w:r>
      <w:r>
        <w:rPr>
          <w:rFonts w:cs="Arial" w:hint="cs"/>
          <w:rtl/>
        </w:rPr>
        <w:t>"</w:t>
      </w:r>
      <w:r w:rsidRPr="00402C19">
        <w:rPr>
          <w:rFonts w:cs="Arial"/>
          <w:rtl/>
        </w:rPr>
        <w:t>כ חולקין וצריך לעמוד למנין, אם רבו הטמאין או המטהרין - מונין את האב ובנו, או את הרב ותלמידו בשנים, אבל דיני ממונות ונפשות ומכות שמנין שלהם אף בתחילת הדין מן התורה, שזה צריך שלשה ודיני נפשות עשרים ושלשה, וכן קידוש החודש שצריך שלשה דמשפט כתיב ביה (תהלים פא) כי חוק לישראל הוא משפט לאלהי יעקב ומוקמינן ליה בקידוש החודש במסכת ר</w:t>
      </w:r>
      <w:r>
        <w:rPr>
          <w:rFonts w:cs="Arial" w:hint="cs"/>
          <w:rtl/>
        </w:rPr>
        <w:t>"</w:t>
      </w:r>
      <w:r w:rsidRPr="00402C19">
        <w:rPr>
          <w:rFonts w:cs="Arial"/>
          <w:rtl/>
        </w:rPr>
        <w:t>ה (כה</w:t>
      </w:r>
      <w:r>
        <w:rPr>
          <w:rFonts w:cs="Arial" w:hint="cs"/>
          <w:rtl/>
        </w:rPr>
        <w:t>:</w:t>
      </w:r>
      <w:r w:rsidRPr="00402C19">
        <w:rPr>
          <w:rFonts w:cs="Arial"/>
          <w:rtl/>
        </w:rPr>
        <w:t>), וכן עיבור השנה שצריך שלשה חמשה ושבעה, אין האב ובנו כשרין זה עם זה, ולא הרב ותלמידו נמנין אלא אחד, וסיפא דברייתא: לא ישב בצידו ואפילו שותק אלא יעמוד והולך לו</w:t>
      </w:r>
      <w:r>
        <w:rPr>
          <w:rFonts w:cs="Arial" w:hint="cs"/>
          <w:rtl/>
        </w:rPr>
        <w:t>, רש"י</w:t>
      </w:r>
      <w:r w:rsidRPr="00402C19">
        <w:rPr>
          <w:rFonts w:cs="Arial"/>
          <w:rtl/>
        </w:rPr>
        <w:t>.</w:t>
      </w:r>
    </w:p>
  </w:footnote>
  <w:footnote w:id="1013">
    <w:p w14:paraId="57AA8737" w14:textId="77777777" w:rsidR="0013116F" w:rsidRDefault="0013116F">
      <w:pPr>
        <w:pStyle w:val="a9"/>
      </w:pPr>
      <w:r>
        <w:rPr>
          <w:rStyle w:val="ab"/>
        </w:rPr>
        <w:footnoteRef/>
      </w:r>
      <w:r>
        <w:rPr>
          <w:rtl/>
        </w:rPr>
        <w:t xml:space="preserve"> </w:t>
      </w:r>
      <w:r w:rsidRPr="00402C19">
        <w:rPr>
          <w:rFonts w:cs="Arial"/>
          <w:rtl/>
        </w:rPr>
        <w:t xml:space="preserve">דתלמידו נמנה, לא אמר אלא כגון רב כהנא ורב אסי דלגמריה הוו צריכי למה ששמע מרבו, אבל לסבריה - למצוא ראיות וליישב הטעמים - אינן צריכין, הלכך גברא באפי נפשיה הוא, דאי משום גמרא דשמע מיניה </w:t>
      </w:r>
      <w:r>
        <w:rPr>
          <w:rFonts w:cs="Arial" w:hint="cs"/>
          <w:rtl/>
        </w:rPr>
        <w:t xml:space="preserve">- </w:t>
      </w:r>
      <w:r w:rsidRPr="00402C19">
        <w:rPr>
          <w:rFonts w:cs="Arial"/>
          <w:rtl/>
        </w:rPr>
        <w:t xml:space="preserve">כל ישראל נמי ממשה קבלו, ואין אלו טעמים הבנת לבו דנימא </w:t>
      </w:r>
      <w:r>
        <w:rPr>
          <w:rFonts w:cs="Arial" w:hint="cs"/>
          <w:rtl/>
        </w:rPr>
        <w:t>'</w:t>
      </w:r>
      <w:r w:rsidRPr="00402C19">
        <w:rPr>
          <w:rFonts w:cs="Arial"/>
          <w:rtl/>
        </w:rPr>
        <w:t>אם היתה חכמתו מפי רב אחר הוי אומר טעם אחר</w:t>
      </w:r>
      <w:r>
        <w:rPr>
          <w:rFonts w:cs="Arial" w:hint="cs"/>
          <w:rtl/>
        </w:rPr>
        <w:t>', רש"י</w:t>
      </w:r>
      <w:r w:rsidRPr="00402C19">
        <w:rPr>
          <w:rFonts w:cs="Arial"/>
          <w:rtl/>
        </w:rPr>
        <w:t>.</w:t>
      </w:r>
    </w:p>
  </w:footnote>
  <w:footnote w:id="1014">
    <w:p w14:paraId="44122777" w14:textId="77777777" w:rsidR="0013116F" w:rsidRDefault="0013116F">
      <w:pPr>
        <w:pStyle w:val="a9"/>
        <w:rPr>
          <w:rtl/>
        </w:rPr>
      </w:pPr>
      <w:r>
        <w:rPr>
          <w:rStyle w:val="ab"/>
        </w:rPr>
        <w:footnoteRef/>
      </w:r>
      <w:r>
        <w:rPr>
          <w:rtl/>
        </w:rPr>
        <w:t xml:space="preserve"> </w:t>
      </w:r>
      <w:r w:rsidRPr="00530C88">
        <w:rPr>
          <w:rFonts w:cs="Arial"/>
          <w:rtl/>
        </w:rPr>
        <w:t>שם [ברשב"א</w:t>
      </w:r>
      <w:r>
        <w:rPr>
          <w:rFonts w:cs="Arial" w:hint="cs"/>
          <w:rtl/>
        </w:rPr>
        <w:t>]</w:t>
      </w:r>
      <w:r w:rsidRPr="00530C88">
        <w:rPr>
          <w:rFonts w:cs="Arial"/>
          <w:rtl/>
        </w:rPr>
        <w:t xml:space="preserve"> מסיים בטעמא ז"ל</w:t>
      </w:r>
      <w:r>
        <w:rPr>
          <w:rFonts w:cs="Arial" w:hint="cs"/>
          <w:rtl/>
        </w:rPr>
        <w:t>-</w:t>
      </w:r>
      <w:r w:rsidRPr="00530C88">
        <w:rPr>
          <w:rFonts w:cs="Arial"/>
          <w:rtl/>
        </w:rPr>
        <w:t xml:space="preserve"> דהא כל זמן שמביא ראיה סותר דינו</w:t>
      </w:r>
      <w:r>
        <w:rPr>
          <w:rFonts w:cs="Arial" w:hint="cs"/>
          <w:rtl/>
        </w:rPr>
        <w:t>,</w:t>
      </w:r>
      <w:r w:rsidRPr="00530C88">
        <w:rPr>
          <w:rFonts w:cs="Arial"/>
          <w:rtl/>
        </w:rPr>
        <w:t xml:space="preserve"> </w:t>
      </w:r>
      <w:r>
        <w:rPr>
          <w:rFonts w:cs="Arial" w:hint="cs"/>
          <w:rtl/>
        </w:rPr>
        <w:t xml:space="preserve">ע"כ. </w:t>
      </w:r>
      <w:r w:rsidRPr="00530C88">
        <w:rPr>
          <w:rFonts w:cs="Arial"/>
          <w:rtl/>
        </w:rPr>
        <w:t>ונראה פשוט דהיינו דוקא כשכבר טענו שני בעלי דינים לפני הדיינים, אזי קאמר דיכולין לומר הפסק דין לאחד מהן או לכתוב הפסק ולשלחו לכל אחד לביתו, וקאמר דהיינו דוקא בדיני ממונות כדמסיים בטעמא הנ"ל, משא"כ בדיני נפשות דלאחר שנתקיים הפסק הוא מעוות שאינו יכול לתקון</w:t>
      </w:r>
      <w:r>
        <w:rPr>
          <w:rFonts w:cs="Arial" w:hint="cs"/>
          <w:rtl/>
        </w:rPr>
        <w:t>, סמ"ע (סקי"ג).</w:t>
      </w:r>
    </w:p>
  </w:footnote>
  <w:footnote w:id="1015">
    <w:p w14:paraId="0780DBF2" w14:textId="77777777" w:rsidR="0013116F" w:rsidRDefault="0013116F" w:rsidP="001F34A8">
      <w:pPr>
        <w:pStyle w:val="a9"/>
        <w:rPr>
          <w:rtl/>
        </w:rPr>
      </w:pPr>
      <w:r>
        <w:rPr>
          <w:rStyle w:val="ab"/>
        </w:rPr>
        <w:footnoteRef/>
      </w:r>
      <w:r>
        <w:rPr>
          <w:rtl/>
        </w:rPr>
        <w:t xml:space="preserve"> </w:t>
      </w:r>
      <w:r>
        <w:rPr>
          <w:rFonts w:hint="cs"/>
          <w:rtl/>
        </w:rPr>
        <w:t xml:space="preserve">סימן </w:t>
      </w:r>
      <w:r>
        <w:rPr>
          <w:rtl/>
        </w:rPr>
        <w:t>–</w:t>
      </w:r>
      <w:r>
        <w:rPr>
          <w:rFonts w:hint="cs"/>
          <w:rtl/>
        </w:rPr>
        <w:t xml:space="preserve"> כיצד תבדוק </w:t>
      </w:r>
      <w:r w:rsidRPr="001F34A8">
        <w:rPr>
          <w:rFonts w:hint="cs"/>
          <w:sz w:val="16"/>
          <w:szCs w:val="16"/>
          <w:rtl/>
        </w:rPr>
        <w:t>(ת' במקום ט</w:t>
      </w:r>
      <w:r>
        <w:rPr>
          <w:rFonts w:hint="cs"/>
          <w:sz w:val="16"/>
          <w:szCs w:val="16"/>
          <w:rtl/>
        </w:rPr>
        <w:t>'</w:t>
      </w:r>
      <w:r w:rsidRPr="001F34A8">
        <w:rPr>
          <w:rFonts w:hint="cs"/>
          <w:sz w:val="16"/>
          <w:szCs w:val="16"/>
          <w:rtl/>
        </w:rPr>
        <w:t>)</w:t>
      </w:r>
      <w:r>
        <w:rPr>
          <w:rFonts w:hint="cs"/>
          <w:rtl/>
        </w:rPr>
        <w:t>.</w:t>
      </w:r>
    </w:p>
  </w:footnote>
  <w:footnote w:id="1016">
    <w:p w14:paraId="758292FA" w14:textId="77777777" w:rsidR="0013116F" w:rsidRDefault="0013116F">
      <w:pPr>
        <w:pStyle w:val="a9"/>
        <w:rPr>
          <w:rtl/>
        </w:rPr>
      </w:pPr>
      <w:r>
        <w:rPr>
          <w:rStyle w:val="ab"/>
        </w:rPr>
        <w:footnoteRef/>
      </w:r>
      <w:r>
        <w:rPr>
          <w:rtl/>
        </w:rPr>
        <w:t xml:space="preserve"> </w:t>
      </w:r>
      <w:r w:rsidRPr="00B80545">
        <w:rPr>
          <w:rFonts w:cs="Arial"/>
          <w:rtl/>
        </w:rPr>
        <w:t>דהא לא קתני מתניתין שיוציאום לאחר ששמעו דבריהם</w:t>
      </w:r>
      <w:r>
        <w:rPr>
          <w:rFonts w:cs="Arial" w:hint="cs"/>
          <w:rtl/>
        </w:rPr>
        <w:t>, רש"י</w:t>
      </w:r>
      <w:r w:rsidRPr="00B80545">
        <w:rPr>
          <w:rFonts w:cs="Arial"/>
          <w:rtl/>
        </w:rPr>
        <w:t>.</w:t>
      </w:r>
    </w:p>
  </w:footnote>
  <w:footnote w:id="1017">
    <w:p w14:paraId="2D4D6646" w14:textId="77777777" w:rsidR="0013116F" w:rsidRDefault="0013116F">
      <w:pPr>
        <w:pStyle w:val="a9"/>
      </w:pPr>
      <w:r>
        <w:rPr>
          <w:rStyle w:val="ab"/>
        </w:rPr>
        <w:footnoteRef/>
      </w:r>
      <w:r>
        <w:rPr>
          <w:rtl/>
        </w:rPr>
        <w:t xml:space="preserve"> </w:t>
      </w:r>
      <w:r w:rsidRPr="00B80545">
        <w:rPr>
          <w:rFonts w:cs="Arial"/>
          <w:rtl/>
        </w:rPr>
        <w:t>דאמר: בשעת משא ומתן הוו מפקי להו לבעלי דינים</w:t>
      </w:r>
      <w:r>
        <w:rPr>
          <w:rFonts w:cs="Arial" w:hint="cs"/>
          <w:rtl/>
        </w:rPr>
        <w:t>, רש"י</w:t>
      </w:r>
      <w:r w:rsidRPr="00B80545">
        <w:rPr>
          <w:rFonts w:cs="Arial"/>
          <w:rtl/>
        </w:rPr>
        <w:t>.</w:t>
      </w:r>
    </w:p>
  </w:footnote>
  <w:footnote w:id="1018">
    <w:p w14:paraId="0D59632D" w14:textId="77777777" w:rsidR="0013116F" w:rsidRDefault="0013116F">
      <w:pPr>
        <w:pStyle w:val="a9"/>
        <w:rPr>
          <w:rtl/>
        </w:rPr>
      </w:pPr>
      <w:r>
        <w:rPr>
          <w:rStyle w:val="ab"/>
        </w:rPr>
        <w:footnoteRef/>
      </w:r>
      <w:r>
        <w:rPr>
          <w:rtl/>
        </w:rPr>
        <w:t xml:space="preserve"> </w:t>
      </w:r>
      <w:r w:rsidRPr="00530C88">
        <w:rPr>
          <w:rFonts w:cs="Arial"/>
          <w:rtl/>
        </w:rPr>
        <w:t xml:space="preserve">מ"ש כדי שלא ידע </w:t>
      </w:r>
      <w:r>
        <w:rPr>
          <w:rFonts w:cs="Arial" w:hint="cs"/>
          <w:rtl/>
        </w:rPr>
        <w:t>וכו'..</w:t>
      </w:r>
      <w:r w:rsidRPr="00530C88">
        <w:rPr>
          <w:rFonts w:cs="Arial"/>
          <w:rtl/>
        </w:rPr>
        <w:t>. הוא נתינת טעם למה מוציאין את הבעלי דינין לחוץ שהוצרכו להכניסם</w:t>
      </w:r>
      <w:r>
        <w:rPr>
          <w:rFonts w:hint="cs"/>
          <w:rtl/>
        </w:rPr>
        <w:t>, ב"י.</w:t>
      </w:r>
    </w:p>
  </w:footnote>
  <w:footnote w:id="1019">
    <w:p w14:paraId="393E5D5C" w14:textId="77777777" w:rsidR="0013116F" w:rsidRDefault="0013116F">
      <w:pPr>
        <w:pStyle w:val="a9"/>
        <w:rPr>
          <w:rtl/>
        </w:rPr>
      </w:pPr>
      <w:r>
        <w:rPr>
          <w:rStyle w:val="ab"/>
        </w:rPr>
        <w:footnoteRef/>
      </w:r>
      <w:r>
        <w:rPr>
          <w:rtl/>
        </w:rPr>
        <w:t xml:space="preserve"> </w:t>
      </w:r>
      <w:r w:rsidRPr="007E4CBF">
        <w:rPr>
          <w:rFonts w:cs="Arial"/>
          <w:rtl/>
        </w:rPr>
        <w:t>כ</w:t>
      </w:r>
      <w:r>
        <w:rPr>
          <w:rFonts w:cs="Arial" w:hint="cs"/>
          <w:rtl/>
        </w:rPr>
        <w:t>'</w:t>
      </w:r>
      <w:r w:rsidRPr="007E4CBF">
        <w:rPr>
          <w:rFonts w:cs="Arial"/>
          <w:rtl/>
        </w:rPr>
        <w:t xml:space="preserve"> מהר"א שטיין </w:t>
      </w:r>
      <w:r w:rsidRPr="007E4CBF">
        <w:rPr>
          <w:rFonts w:cs="Arial"/>
          <w:sz w:val="16"/>
          <w:szCs w:val="16"/>
          <w:rtl/>
        </w:rPr>
        <w:t xml:space="preserve">[על הסמ"ג] </w:t>
      </w:r>
      <w:r w:rsidRPr="007E4CBF">
        <w:rPr>
          <w:rFonts w:cs="Arial"/>
          <w:rtl/>
        </w:rPr>
        <w:t>בלאוין ט', גם בכלל לאו זה דלא תלך רכיל שלא יאמר אחד לנידון הדיין עשה לך שלא כדין במה שחייב אותך, כדאמ</w:t>
      </w:r>
      <w:r>
        <w:rPr>
          <w:rFonts w:cs="Arial" w:hint="cs"/>
          <w:rtl/>
        </w:rPr>
        <w:t>'</w:t>
      </w:r>
      <w:r w:rsidRPr="007E4CBF">
        <w:rPr>
          <w:rFonts w:cs="Arial"/>
          <w:rtl/>
        </w:rPr>
        <w:t xml:space="preserve"> בהגוזל </w:t>
      </w:r>
      <w:r w:rsidRPr="007E4CBF">
        <w:rPr>
          <w:rFonts w:cs="Arial"/>
          <w:sz w:val="16"/>
          <w:szCs w:val="16"/>
          <w:rtl/>
        </w:rPr>
        <w:t>[ב"ק צט</w:t>
      </w:r>
      <w:r w:rsidRPr="007E4CBF">
        <w:rPr>
          <w:rFonts w:cs="Arial" w:hint="cs"/>
          <w:sz w:val="16"/>
          <w:szCs w:val="16"/>
          <w:rtl/>
        </w:rPr>
        <w:t>:</w:t>
      </w:r>
      <w:r w:rsidRPr="007E4CBF">
        <w:rPr>
          <w:rFonts w:cs="Arial"/>
          <w:sz w:val="16"/>
          <w:szCs w:val="16"/>
          <w:rtl/>
        </w:rPr>
        <w:t xml:space="preserve">] </w:t>
      </w:r>
      <w:r w:rsidRPr="007E4CBF">
        <w:rPr>
          <w:rFonts w:cs="Arial"/>
          <w:rtl/>
        </w:rPr>
        <w:t xml:space="preserve">גבי מגרומתא כו', והביאו הב"ח </w:t>
      </w:r>
      <w:r w:rsidRPr="007E4CBF">
        <w:rPr>
          <w:rFonts w:cs="Arial"/>
          <w:sz w:val="16"/>
          <w:szCs w:val="16"/>
          <w:rtl/>
        </w:rPr>
        <w:t>[סע</w:t>
      </w:r>
      <w:r w:rsidRPr="007E4CBF">
        <w:rPr>
          <w:rFonts w:cs="Arial" w:hint="cs"/>
          <w:sz w:val="16"/>
          <w:szCs w:val="16"/>
          <w:rtl/>
        </w:rPr>
        <w:t>'</w:t>
      </w:r>
      <w:r w:rsidRPr="007E4CBF">
        <w:rPr>
          <w:rFonts w:cs="Arial"/>
          <w:sz w:val="16"/>
          <w:szCs w:val="16"/>
          <w:rtl/>
        </w:rPr>
        <w:t xml:space="preserve"> ב]</w:t>
      </w:r>
      <w:r w:rsidRPr="007E4CBF">
        <w:rPr>
          <w:rFonts w:cs="Arial"/>
          <w:rtl/>
        </w:rPr>
        <w:t>. ואין ראיתו מהגוזל מוכרחת, וע"ש בש"ס</w:t>
      </w:r>
      <w:r>
        <w:rPr>
          <w:rFonts w:hint="cs"/>
          <w:rtl/>
        </w:rPr>
        <w:t xml:space="preserve">, ש"ך </w:t>
      </w:r>
      <w:r w:rsidRPr="007E4CBF">
        <w:rPr>
          <w:rFonts w:hint="cs"/>
          <w:sz w:val="16"/>
          <w:szCs w:val="16"/>
          <w:rtl/>
        </w:rPr>
        <w:t>(סק"ב)</w:t>
      </w:r>
      <w:r>
        <w:rPr>
          <w:rFonts w:hint="cs"/>
          <w:rtl/>
        </w:rPr>
        <w:t>.</w:t>
      </w:r>
      <w:r w:rsidRPr="00C525CF">
        <w:rPr>
          <w:rtl/>
        </w:rPr>
        <w:t xml:space="preserve"> </w:t>
      </w:r>
      <w:r w:rsidRPr="00C525CF">
        <w:rPr>
          <w:rFonts w:cs="Arial"/>
          <w:rtl/>
        </w:rPr>
        <w:t>ובכנה"ג [הגה"ט אות ב'] כתב על זה, ונ"ל דוקא כשאחד אומר כן לנידון מעצמו בלי שאלת הנידון, אבל אם הנידון שואלו ורואה זכות לזה הנידון והדיין טעה באופן דמצי למיהדר [כגון שהיא טעות בדבר משנה], אין בזה שום איסור, עכ"ל. והביאו בקצוה"ח [סק"א]. אולם בספר שער משפט [סק"א] כתב, ונראה דאישתמיט להכנה"ג דברי תשובת הרא"ש [כלל צט סי' ו] שהביא הטור בסימן קנ"ד סעיף י"א, שכתב שם בדיינים שפסקו לשמעון להרחיק בנינו מנגד חלון ראובן וטעו בדין [עיין בשו"ע שם סע</w:t>
      </w:r>
      <w:r>
        <w:rPr>
          <w:rFonts w:cs="Arial" w:hint="cs"/>
          <w:rtl/>
        </w:rPr>
        <w:t>'</w:t>
      </w:r>
      <w:r w:rsidRPr="00C525CF">
        <w:rPr>
          <w:rFonts w:cs="Arial"/>
          <w:rtl/>
        </w:rPr>
        <w:t xml:space="preserve"> טז], ושמעון כבר הרחיק בנינו, שמצוה לומר לשמעון שאינו מחויב להרחיק דהשבת אבידה היא וטעו בדבר משנה וחוזר הדין, ומשמע להדיא בתשובת הרא"ש שם כלל צ"ט דאף דשמעון לא שאל כלל אם טעו הדיינים, מצוה לומר לו משום השבת אבידה בדבר דאפשר למיהדר, לכך נ"ל דמהר"א שטיין מיירי בגוונא שאין הדין חוזר כגון טעות בשיקול הדעת וכיוצא בו דא"א למיהדר, אבל בדבר דמצי למיהדר, מצוה לומר להנידון בכל גווני משום השבת אבידה, עכ"ל. ועיין באו"ת [אורים סק"ב] שכתב ע"ד מהר"א שטיין הנזכר דיש להסתפק, דודאי במקום שאין טעות שיהיה הדין חוזר, פשיטא דאין לומר, דלא הוי כי אם לשון הרע, אבל בטועה בדבר משנה דהדין חוזר, אפשר דיש לו להציל ממון שלו, או אפשר דמ"מ אין לומר לו לבע"ד רק ילך לדיין ויאמר לו טעית בדבר משנה והחזר הדין, אבל לומר לבע"ד לא ימלט מגדר אבק לה"ר, וכן יש להחמיר, אם לא שהדיין עומד בדעתו מבלי להודות על האמת, אז מותר לומר לו כדי שיברר ע"י חכמים אחרים ולבטל הפסק הנעשה בטעות, ע"ש. </w:t>
      </w:r>
      <w:r>
        <w:rPr>
          <w:rFonts w:cs="Arial" w:hint="cs"/>
          <w:sz w:val="16"/>
          <w:szCs w:val="16"/>
          <w:rtl/>
        </w:rPr>
        <w:t>(</w:t>
      </w:r>
      <w:r w:rsidRPr="00C525CF">
        <w:rPr>
          <w:rFonts w:cs="Arial"/>
          <w:sz w:val="16"/>
          <w:szCs w:val="16"/>
          <w:rtl/>
        </w:rPr>
        <w:t>ולפ"ז אפשר לפענ"ד לתרץ קושיית השער משפט על הכנה"ג הנ"ל, די"ל דמ"ש הרא"ש שמצוה לומר לשמעון, היינו לאחר שיאמר להדיינים, באם יעמדו בדעתם ולא יודו על האמת אז יאמר לשמעון כו', ולא הוצרך לבאר זה, כי זה פשוט באם אפשר שיתוקן ע"י שנאמר להדיינים למה יאמר לשמעון, וגם השואל לא נסתפק בזה כלל, רק ששאל אם מחויב להגיד לשמעון, והיינו מסתמא שהדיינים לא רצו להודות לו, ושאל להרא"ש ז"ל אם זה טעות בשיקול הדעת או בדבר משנה, והשיב לו הרא"ש שזה טעות בדבר משנה, ולכן מצוה לומר לשמעון, והיינו באם א"א לתקן באופן אחר. ולפ"ז יכול להיות גם דינו של הכנה"ג אמת, דאם שאל לו הנידון מותר להשיב לו מיד, וא"צ לומר תחילה לדיין, ולכך כתב רק שאין בזה איסור ולא כתב שיש בזה מצוה, משום דאפשר שיתוקן ג"כ ע"י שיאמר תחילה להדיין. ויש לעיין בתשו</w:t>
      </w:r>
      <w:r>
        <w:rPr>
          <w:rFonts w:cs="Arial" w:hint="cs"/>
          <w:sz w:val="16"/>
          <w:szCs w:val="16"/>
          <w:rtl/>
        </w:rPr>
        <w:t>'</w:t>
      </w:r>
      <w:r w:rsidRPr="00C525CF">
        <w:rPr>
          <w:rFonts w:cs="Arial"/>
          <w:sz w:val="16"/>
          <w:szCs w:val="16"/>
          <w:rtl/>
        </w:rPr>
        <w:t xml:space="preserve"> הרא"ש שם</w:t>
      </w:r>
      <w:r w:rsidRPr="00C525CF">
        <w:rPr>
          <w:rFonts w:cs="Arial" w:hint="cs"/>
          <w:sz w:val="16"/>
          <w:szCs w:val="16"/>
          <w:rtl/>
        </w:rPr>
        <w:t>)</w:t>
      </w:r>
      <w:r>
        <w:rPr>
          <w:rFonts w:cs="Arial" w:hint="cs"/>
          <w:rtl/>
        </w:rPr>
        <w:t>, פת"ש (סק"א).</w:t>
      </w:r>
    </w:p>
  </w:footnote>
  <w:footnote w:id="1020">
    <w:p w14:paraId="28906C1D" w14:textId="77777777" w:rsidR="0013116F" w:rsidRDefault="0013116F">
      <w:pPr>
        <w:pStyle w:val="a9"/>
      </w:pPr>
      <w:r>
        <w:rPr>
          <w:rStyle w:val="ab"/>
        </w:rPr>
        <w:footnoteRef/>
      </w:r>
      <w:r>
        <w:rPr>
          <w:rtl/>
        </w:rPr>
        <w:t xml:space="preserve"> </w:t>
      </w:r>
      <w:r>
        <w:rPr>
          <w:rFonts w:hint="cs"/>
          <w:rtl/>
        </w:rPr>
        <w:t>סימן - לא לפרט לפרוטרוט.</w:t>
      </w:r>
    </w:p>
  </w:footnote>
  <w:footnote w:id="1021">
    <w:p w14:paraId="47905845" w14:textId="77777777" w:rsidR="0013116F" w:rsidRDefault="0013116F">
      <w:pPr>
        <w:pStyle w:val="a9"/>
        <w:rPr>
          <w:rtl/>
        </w:rPr>
      </w:pPr>
      <w:r>
        <w:rPr>
          <w:rStyle w:val="ab"/>
        </w:rPr>
        <w:footnoteRef/>
      </w:r>
      <w:r>
        <w:rPr>
          <w:rtl/>
        </w:rPr>
        <w:t xml:space="preserve"> </w:t>
      </w:r>
      <w:r w:rsidRPr="00637B27">
        <w:rPr>
          <w:rFonts w:cs="Arial"/>
          <w:rtl/>
        </w:rPr>
        <w:t>פסק דין, במקום שיש מחלוקת ונטו אחרי הרבים</w:t>
      </w:r>
      <w:r>
        <w:rPr>
          <w:rFonts w:cs="Arial" w:hint="cs"/>
          <w:rtl/>
        </w:rPr>
        <w:t>, רש"י</w:t>
      </w:r>
      <w:r w:rsidRPr="00637B27">
        <w:rPr>
          <w:rFonts w:cs="Arial"/>
          <w:rtl/>
        </w:rPr>
        <w:t>.</w:t>
      </w:r>
    </w:p>
  </w:footnote>
  <w:footnote w:id="1022">
    <w:p w14:paraId="079730B4" w14:textId="77777777" w:rsidR="0013116F" w:rsidRDefault="0013116F">
      <w:pPr>
        <w:pStyle w:val="a9"/>
      </w:pPr>
      <w:r>
        <w:rPr>
          <w:rStyle w:val="ab"/>
        </w:rPr>
        <w:footnoteRef/>
      </w:r>
      <w:r>
        <w:rPr>
          <w:rtl/>
        </w:rPr>
        <w:t xml:space="preserve"> </w:t>
      </w:r>
      <w:r>
        <w:rPr>
          <w:rFonts w:hint="cs"/>
          <w:rtl/>
        </w:rPr>
        <w:t>פלוני, רש"י.</w:t>
      </w:r>
    </w:p>
  </w:footnote>
  <w:footnote w:id="1023">
    <w:p w14:paraId="4E341081" w14:textId="77777777" w:rsidR="0013116F" w:rsidRDefault="0013116F">
      <w:pPr>
        <w:pStyle w:val="a9"/>
      </w:pPr>
      <w:r>
        <w:rPr>
          <w:rStyle w:val="ab"/>
        </w:rPr>
        <w:footnoteRef/>
      </w:r>
      <w:r>
        <w:rPr>
          <w:rtl/>
        </w:rPr>
        <w:t xml:space="preserve"> </w:t>
      </w:r>
      <w:r w:rsidRPr="00637B27">
        <w:rPr>
          <w:rFonts w:cs="Arial"/>
          <w:rtl/>
        </w:rPr>
        <w:t>משמע שהיה מחלוקת ביניהם ומתוך דבריהם נזדכה</w:t>
      </w:r>
      <w:r>
        <w:rPr>
          <w:rFonts w:cs="Arial" w:hint="cs"/>
          <w:rtl/>
        </w:rPr>
        <w:t>, רש"י</w:t>
      </w:r>
      <w:r w:rsidRPr="00637B27">
        <w:rPr>
          <w:rFonts w:cs="Arial"/>
          <w:rtl/>
        </w:rPr>
        <w:t>.</w:t>
      </w:r>
    </w:p>
  </w:footnote>
  <w:footnote w:id="1024">
    <w:p w14:paraId="3E69F7A9" w14:textId="77777777" w:rsidR="0013116F" w:rsidRDefault="0013116F">
      <w:pPr>
        <w:pStyle w:val="a9"/>
      </w:pPr>
      <w:r>
        <w:rPr>
          <w:rStyle w:val="ab"/>
        </w:rPr>
        <w:footnoteRef/>
      </w:r>
      <w:r>
        <w:rPr>
          <w:rtl/>
        </w:rPr>
        <w:t xml:space="preserve"> </w:t>
      </w:r>
      <w:r w:rsidRPr="00530C88">
        <w:rPr>
          <w:rFonts w:cs="Arial"/>
          <w:rtl/>
        </w:rPr>
        <w:t>אי כתבי סתמא זכאי משמע דכולם זיכו כאחד</w:t>
      </w:r>
      <w:r>
        <w:rPr>
          <w:rFonts w:cs="Arial" w:hint="cs"/>
          <w:rtl/>
        </w:rPr>
        <w:t>, ב"י</w:t>
      </w:r>
      <w:r w:rsidRPr="00530C88">
        <w:rPr>
          <w:rFonts w:cs="Arial"/>
          <w:rtl/>
        </w:rPr>
        <w:t>.</w:t>
      </w:r>
    </w:p>
  </w:footnote>
  <w:footnote w:id="1025">
    <w:p w14:paraId="024EDD39" w14:textId="77777777" w:rsidR="0013116F" w:rsidRDefault="0013116F">
      <w:pPr>
        <w:pStyle w:val="a9"/>
      </w:pPr>
      <w:r>
        <w:rPr>
          <w:rStyle w:val="ab"/>
        </w:rPr>
        <w:footnoteRef/>
      </w:r>
      <w:r>
        <w:rPr>
          <w:rtl/>
        </w:rPr>
        <w:t xml:space="preserve"> </w:t>
      </w:r>
      <w:r w:rsidRPr="00530C88">
        <w:rPr>
          <w:rFonts w:cs="Arial"/>
          <w:rtl/>
        </w:rPr>
        <w:t>דמשמע דיש מחלק ביניהם ומתוך דבריהם נזדכה והשתא ליכא משום מיחזי כשקרא ולא משום הולך רכיל</w:t>
      </w:r>
      <w:r>
        <w:rPr>
          <w:rFonts w:cs="Arial" w:hint="cs"/>
          <w:rtl/>
        </w:rPr>
        <w:t>, ב"י.</w:t>
      </w:r>
    </w:p>
  </w:footnote>
  <w:footnote w:id="1026">
    <w:p w14:paraId="26898A7B" w14:textId="77777777" w:rsidR="0013116F" w:rsidRDefault="0013116F" w:rsidP="00384C8F">
      <w:pPr>
        <w:pStyle w:val="a9"/>
        <w:rPr>
          <w:rFonts w:cs="Arial"/>
          <w:rtl/>
        </w:rPr>
      </w:pPr>
      <w:r>
        <w:rPr>
          <w:rStyle w:val="ab"/>
        </w:rPr>
        <w:footnoteRef/>
      </w:r>
      <w:r>
        <w:rPr>
          <w:rtl/>
        </w:rPr>
        <w:t xml:space="preserve"> </w:t>
      </w:r>
      <w:r w:rsidRPr="00767307">
        <w:rPr>
          <w:rFonts w:cs="Arial"/>
          <w:rtl/>
        </w:rPr>
        <w:t xml:space="preserve">שם בסימן י"ד לא איירי מסתם פסק שכותבין הדיינים לזכרון מה שפסקו, אלא איירי כשהאחד אומר כתבו לי מאיזה טעם דנתוני כו' ורוצה לילך עם הפסק לב"ד הגדול מהן ולסותרו, וכותבין בו טענותיהן ושעל פיהן פסקו מה שפסקו. </w:t>
      </w:r>
      <w:r w:rsidRPr="00384C8F">
        <w:rPr>
          <w:rFonts w:cs="Arial"/>
          <w:u w:val="single"/>
          <w:rtl/>
        </w:rPr>
        <w:t>וק</w:t>
      </w:r>
      <w:r w:rsidRPr="00384C8F">
        <w:rPr>
          <w:rFonts w:cs="Arial" w:hint="cs"/>
          <w:u w:val="single"/>
          <w:rtl/>
        </w:rPr>
        <w:t>צת קשה</w:t>
      </w:r>
      <w:r w:rsidRPr="00384C8F">
        <w:rPr>
          <w:rFonts w:cs="Arial"/>
          <w:u w:val="single"/>
          <w:rtl/>
        </w:rPr>
        <w:t xml:space="preserve"> מ</w:t>
      </w:r>
      <w:r w:rsidRPr="00384C8F">
        <w:rPr>
          <w:rFonts w:cs="Arial" w:hint="cs"/>
          <w:u w:val="single"/>
          <w:rtl/>
        </w:rPr>
        <w:t xml:space="preserve">אי </w:t>
      </w:r>
      <w:r w:rsidRPr="00384C8F">
        <w:rPr>
          <w:rFonts w:cs="Arial"/>
          <w:u w:val="single"/>
          <w:rtl/>
        </w:rPr>
        <w:t>ט</w:t>
      </w:r>
      <w:r w:rsidRPr="00384C8F">
        <w:rPr>
          <w:rFonts w:cs="Arial" w:hint="cs"/>
          <w:u w:val="single"/>
          <w:rtl/>
        </w:rPr>
        <w:t>עמא</w:t>
      </w:r>
      <w:r w:rsidRPr="00384C8F">
        <w:rPr>
          <w:rFonts w:cs="Arial"/>
          <w:u w:val="single"/>
          <w:rtl/>
        </w:rPr>
        <w:t xml:space="preserve"> דמור"ם שהראה מקום לאותו פסק שמבקש האחד לילך עמו לב"ד הגדול</w:t>
      </w:r>
      <w:r>
        <w:rPr>
          <w:rFonts w:cs="Arial" w:hint="cs"/>
          <w:sz w:val="14"/>
          <w:szCs w:val="14"/>
          <w:u w:val="single"/>
          <w:rtl/>
        </w:rPr>
        <w:t xml:space="preserve"> (ל' הסמ"ע)</w:t>
      </w:r>
      <w:r>
        <w:rPr>
          <w:rFonts w:cs="Arial" w:hint="cs"/>
          <w:u w:val="single"/>
          <w:rtl/>
        </w:rPr>
        <w:t>:</w:t>
      </w:r>
      <w:r w:rsidRPr="00767307">
        <w:rPr>
          <w:rFonts w:cs="Arial"/>
          <w:rtl/>
        </w:rPr>
        <w:t xml:space="preserve"> </w:t>
      </w:r>
    </w:p>
    <w:p w14:paraId="05926210" w14:textId="77777777" w:rsidR="0013116F" w:rsidRPr="00384C8F" w:rsidRDefault="0013116F" w:rsidP="004B0475">
      <w:pPr>
        <w:pStyle w:val="a9"/>
        <w:numPr>
          <w:ilvl w:val="0"/>
          <w:numId w:val="27"/>
        </w:numPr>
      </w:pPr>
      <w:r>
        <w:rPr>
          <w:rFonts w:cs="Arial" w:hint="cs"/>
          <w:rtl/>
        </w:rPr>
        <w:t>סמ"ע</w:t>
      </w:r>
      <w:r>
        <w:rPr>
          <w:rFonts w:cs="Arial" w:hint="cs"/>
          <w:sz w:val="14"/>
          <w:szCs w:val="14"/>
          <w:rtl/>
        </w:rPr>
        <w:t xml:space="preserve"> </w:t>
      </w:r>
      <w:r w:rsidRPr="00384C8F">
        <w:rPr>
          <w:rFonts w:cs="Arial" w:hint="cs"/>
          <w:sz w:val="16"/>
          <w:szCs w:val="16"/>
          <w:rtl/>
        </w:rPr>
        <w:t>(סק"ב)</w:t>
      </w:r>
      <w:r>
        <w:rPr>
          <w:rFonts w:cs="Arial" w:hint="cs"/>
          <w:rtl/>
        </w:rPr>
        <w:t xml:space="preserve">- </w:t>
      </w:r>
      <w:r w:rsidRPr="00767307">
        <w:rPr>
          <w:rFonts w:cs="Arial"/>
          <w:rtl/>
        </w:rPr>
        <w:t>אפשר דהיה קשה ליה לשון הטור [סע</w:t>
      </w:r>
      <w:r>
        <w:rPr>
          <w:rFonts w:cs="Arial" w:hint="cs"/>
          <w:rtl/>
        </w:rPr>
        <w:t>'</w:t>
      </w:r>
      <w:r w:rsidRPr="00767307">
        <w:rPr>
          <w:rFonts w:cs="Arial"/>
          <w:rtl/>
        </w:rPr>
        <w:t xml:space="preserve"> ג] והמחבר שכתבו שאל אחד מבע"ד כו', ואי אפסק דין דעלמא קאי, לא הל"ל שאל "אחד" מבע"ד, אלא הל"ל באו לכתוב פסק דין, וס"ל למור"ם דדוקא בכה"ג מדקדקין בכתיבת הפסק לכתוב ומדבריהן יצא פלוני זכאי, דלא יהא מיחזי כשיקרא, וגם יהא קפידא לדיין שלא הסכים עמהן לחייבו, שיאמרו הב"ד הגדול מהן שכולם טעו, משא"כ עתה שידעו שלא הסכימו כולם לחייבו ולא ידעו מי הטועה, אבל בפסק דין דעלמא ס"ל דא"צ לכתוב לו אלא פלוני נתחייב לפלוני כך וכך</w:t>
      </w:r>
      <w:r>
        <w:rPr>
          <w:rFonts w:cs="Arial" w:hint="cs"/>
          <w:rtl/>
        </w:rPr>
        <w:t>, וק"ל</w:t>
      </w:r>
      <w:r w:rsidRPr="00767307">
        <w:rPr>
          <w:rFonts w:cs="Arial"/>
          <w:rtl/>
        </w:rPr>
        <w:t xml:space="preserve"> </w:t>
      </w:r>
      <w:r w:rsidRPr="00767307">
        <w:rPr>
          <w:rFonts w:cs="Arial" w:hint="cs"/>
          <w:sz w:val="16"/>
          <w:szCs w:val="16"/>
          <w:rtl/>
        </w:rPr>
        <w:t>(</w:t>
      </w:r>
      <w:r w:rsidRPr="00767307">
        <w:rPr>
          <w:rFonts w:cs="Arial"/>
          <w:sz w:val="16"/>
          <w:szCs w:val="16"/>
          <w:rtl/>
        </w:rPr>
        <w:t>אבל בגמרא פרק זה בורר [סנהדרין דף ל</w:t>
      </w:r>
      <w:r w:rsidRPr="00767307">
        <w:rPr>
          <w:rFonts w:cs="Arial" w:hint="cs"/>
          <w:sz w:val="16"/>
          <w:szCs w:val="16"/>
          <w:rtl/>
        </w:rPr>
        <w:t>.</w:t>
      </w:r>
      <w:r w:rsidRPr="00767307">
        <w:rPr>
          <w:rFonts w:cs="Arial"/>
          <w:sz w:val="16"/>
          <w:szCs w:val="16"/>
          <w:rtl/>
        </w:rPr>
        <w:t>] משמע ומוכח דעל כל פסק דין שכותבין הדיינים בדין דלא הסכימו עליו כולם קאי, ע"ש וכן פירש רש"י [ד"ה מיכתב] ונ</w:t>
      </w:r>
      <w:r w:rsidRPr="00767307">
        <w:rPr>
          <w:rFonts w:cs="Arial" w:hint="cs"/>
          <w:sz w:val="16"/>
          <w:szCs w:val="16"/>
          <w:rtl/>
        </w:rPr>
        <w:t>מוק</w:t>
      </w:r>
      <w:r w:rsidRPr="00767307">
        <w:rPr>
          <w:rFonts w:cs="Arial"/>
          <w:sz w:val="16"/>
          <w:szCs w:val="16"/>
          <w:rtl/>
        </w:rPr>
        <w:t>"י [ח</w:t>
      </w:r>
      <w:r w:rsidRPr="00767307">
        <w:rPr>
          <w:rFonts w:cs="Arial" w:hint="cs"/>
          <w:sz w:val="16"/>
          <w:szCs w:val="16"/>
          <w:rtl/>
        </w:rPr>
        <w:t>"</w:t>
      </w:r>
      <w:r w:rsidRPr="00767307">
        <w:rPr>
          <w:rFonts w:cs="Arial"/>
          <w:sz w:val="16"/>
          <w:szCs w:val="16"/>
          <w:rtl/>
        </w:rPr>
        <w:t xml:space="preserve"> מדפ</w:t>
      </w:r>
      <w:r w:rsidRPr="00767307">
        <w:rPr>
          <w:rFonts w:cs="Arial" w:hint="cs"/>
          <w:sz w:val="16"/>
          <w:szCs w:val="16"/>
          <w:rtl/>
        </w:rPr>
        <w:t>ה"ר</w:t>
      </w:r>
      <w:r w:rsidRPr="00767307">
        <w:rPr>
          <w:rFonts w:cs="Arial"/>
          <w:sz w:val="16"/>
          <w:szCs w:val="16"/>
          <w:rtl/>
        </w:rPr>
        <w:t xml:space="preserve"> ד"ה היכי], ע</w:t>
      </w:r>
      <w:r w:rsidRPr="00767307">
        <w:rPr>
          <w:rFonts w:cs="Arial" w:hint="cs"/>
          <w:sz w:val="16"/>
          <w:szCs w:val="16"/>
          <w:rtl/>
        </w:rPr>
        <w:t>"</w:t>
      </w:r>
      <w:r w:rsidRPr="00767307">
        <w:rPr>
          <w:rFonts w:cs="Arial"/>
          <w:sz w:val="16"/>
          <w:szCs w:val="16"/>
          <w:rtl/>
        </w:rPr>
        <w:t>ש וצ"ע</w:t>
      </w:r>
      <w:r>
        <w:rPr>
          <w:rFonts w:cs="Arial" w:hint="cs"/>
          <w:sz w:val="16"/>
          <w:szCs w:val="16"/>
          <w:rtl/>
        </w:rPr>
        <w:t>)</w:t>
      </w:r>
      <w:r w:rsidRPr="00767307">
        <w:rPr>
          <w:rFonts w:cs="Arial"/>
          <w:rtl/>
        </w:rPr>
        <w:t xml:space="preserve">. </w:t>
      </w:r>
    </w:p>
    <w:p w14:paraId="5BC8ADF8" w14:textId="77777777" w:rsidR="0013116F" w:rsidRPr="006F40F3" w:rsidRDefault="0013116F" w:rsidP="004B0475">
      <w:pPr>
        <w:pStyle w:val="a9"/>
        <w:numPr>
          <w:ilvl w:val="0"/>
          <w:numId w:val="27"/>
        </w:numPr>
      </w:pPr>
      <w:r>
        <w:rPr>
          <w:rFonts w:cs="Arial" w:hint="cs"/>
          <w:rtl/>
        </w:rPr>
        <w:t xml:space="preserve">אורים </w:t>
      </w:r>
      <w:r w:rsidRPr="00384C8F">
        <w:rPr>
          <w:rFonts w:cs="Arial"/>
          <w:sz w:val="14"/>
          <w:szCs w:val="14"/>
          <w:rtl/>
        </w:rPr>
        <w:t>(</w:t>
      </w:r>
      <w:r w:rsidRPr="00384C8F">
        <w:rPr>
          <w:rFonts w:cs="Arial" w:hint="cs"/>
          <w:sz w:val="14"/>
          <w:szCs w:val="14"/>
          <w:rtl/>
        </w:rPr>
        <w:t>סק"</w:t>
      </w:r>
      <w:r w:rsidRPr="00384C8F">
        <w:rPr>
          <w:rFonts w:cs="Arial"/>
          <w:sz w:val="14"/>
          <w:szCs w:val="14"/>
          <w:rtl/>
        </w:rPr>
        <w:t>ג</w:t>
      </w:r>
      <w:r>
        <w:rPr>
          <w:rFonts w:cs="Arial" w:hint="cs"/>
          <w:sz w:val="14"/>
          <w:szCs w:val="14"/>
          <w:rtl/>
        </w:rPr>
        <w:t>, תירוץ א</w:t>
      </w:r>
      <w:r w:rsidRPr="00384C8F">
        <w:rPr>
          <w:rFonts w:cs="Arial"/>
          <w:sz w:val="14"/>
          <w:szCs w:val="14"/>
          <w:rtl/>
        </w:rPr>
        <w:t>)</w:t>
      </w:r>
      <w:r>
        <w:rPr>
          <w:rFonts w:cs="Arial" w:hint="cs"/>
          <w:rtl/>
        </w:rPr>
        <w:t>-</w:t>
      </w:r>
      <w:r>
        <w:rPr>
          <w:rFonts w:cs="Arial"/>
          <w:rtl/>
        </w:rPr>
        <w:t xml:space="preserve"> אפ</w:t>
      </w:r>
      <w:r>
        <w:rPr>
          <w:rFonts w:cs="Arial" w:hint="cs"/>
          <w:rtl/>
        </w:rPr>
        <w:t>"ל</w:t>
      </w:r>
      <w:r>
        <w:rPr>
          <w:rFonts w:cs="Arial"/>
          <w:rtl/>
        </w:rPr>
        <w:t xml:space="preserve"> משום דלקמן סי' לט (סע</w:t>
      </w:r>
      <w:r>
        <w:rPr>
          <w:rFonts w:cs="Arial" w:hint="cs"/>
          <w:rtl/>
        </w:rPr>
        <w:t>'</w:t>
      </w:r>
      <w:r>
        <w:rPr>
          <w:rFonts w:cs="Arial"/>
          <w:rtl/>
        </w:rPr>
        <w:t xml:space="preserve"> ט) וסי' עט (סי"ב) משמע דלכתחילה אין לכתוב פס"ד כלל דלמא פרע וכמש"כ באריכות, ולכך כתב רמ"א באופן שנזכר לעיל סי' י"ד דאם אמר לב"ד הגדול איזול לכו"ע כתבינן. </w:t>
      </w:r>
    </w:p>
    <w:p w14:paraId="3CC6D8BD" w14:textId="77777777" w:rsidR="0013116F" w:rsidRDefault="0013116F" w:rsidP="004B0475">
      <w:pPr>
        <w:pStyle w:val="a9"/>
        <w:numPr>
          <w:ilvl w:val="0"/>
          <w:numId w:val="27"/>
        </w:numPr>
        <w:rPr>
          <w:rtl/>
        </w:rPr>
      </w:pPr>
      <w:r>
        <w:rPr>
          <w:rFonts w:cs="Arial" w:hint="cs"/>
          <w:rtl/>
        </w:rPr>
        <w:t xml:space="preserve">אורים </w:t>
      </w:r>
      <w:r w:rsidRPr="00384C8F">
        <w:rPr>
          <w:rFonts w:cs="Arial"/>
          <w:sz w:val="14"/>
          <w:szCs w:val="14"/>
          <w:rtl/>
        </w:rPr>
        <w:t>(</w:t>
      </w:r>
      <w:r>
        <w:rPr>
          <w:rFonts w:cs="Arial" w:hint="cs"/>
          <w:sz w:val="14"/>
          <w:szCs w:val="14"/>
          <w:rtl/>
        </w:rPr>
        <w:t>שם, תירוץ ב</w:t>
      </w:r>
      <w:r w:rsidRPr="00384C8F">
        <w:rPr>
          <w:rFonts w:cs="Arial"/>
          <w:sz w:val="14"/>
          <w:szCs w:val="14"/>
          <w:rtl/>
        </w:rPr>
        <w:t>)</w:t>
      </w:r>
      <w:r>
        <w:rPr>
          <w:rFonts w:cs="Arial" w:hint="cs"/>
          <w:rtl/>
        </w:rPr>
        <w:t xml:space="preserve">- </w:t>
      </w:r>
      <w:r>
        <w:rPr>
          <w:rFonts w:cs="Arial"/>
          <w:rtl/>
        </w:rPr>
        <w:t>ויותר נראה דביקש הרמ"א לתרץ</w:t>
      </w:r>
      <w:r>
        <w:rPr>
          <w:rFonts w:cs="Arial" w:hint="cs"/>
          <w:rtl/>
        </w:rPr>
        <w:t xml:space="preserve">... </w:t>
      </w:r>
      <w:r>
        <w:rPr>
          <w:rFonts w:cs="Arial"/>
          <w:rtl/>
        </w:rPr>
        <w:t>דרבותא קמ"ל, לא מבעיא כשכותבין פס"ד לראיה שלו פשיטא דאין מזכירין שם המזכה ושם המחייב, אלא אפילו אמר לב"ד הגדול איזול וכותבין הפסק שידעו הב"ד הגדול אם טעו או לא, הו"א דיכול הדיין לומר כתבו שאני הבלתי מסכים, כי אם ימצאו הב"ד הגדול שטעו לא יתלו בי ולא אהיה נחשב בעיניהם לעם הארץ וכטועה בדינם. וכן אולי יהיה דבר שצריכים לשלם מכיסם כדלקמן סי' כ"ה, ע"ש, ואותו שלא היה מחייב פטור מלשלם, א"כ הו"א דיכול לטעון כתבו מי המחייב ומי המזכה למען דעת בבירור דעל מי מוטל התשלומין, קמ"ל דבכל זה אין לכתוב כן שלא יהיה הולך רכיל וכו' ולטעותא לא חיישינן.</w:t>
      </w:r>
    </w:p>
  </w:footnote>
  <w:footnote w:id="1027">
    <w:p w14:paraId="337595BD" w14:textId="77777777" w:rsidR="0013116F" w:rsidRDefault="0013116F">
      <w:pPr>
        <w:pStyle w:val="a9"/>
        <w:rPr>
          <w:rtl/>
        </w:rPr>
      </w:pPr>
      <w:r>
        <w:rPr>
          <w:rStyle w:val="ab"/>
        </w:rPr>
        <w:footnoteRef/>
      </w:r>
      <w:r>
        <w:rPr>
          <w:rtl/>
        </w:rPr>
        <w:t xml:space="preserve"> </w:t>
      </w:r>
      <w:r w:rsidRPr="00384C8F">
        <w:rPr>
          <w:rFonts w:asciiTheme="minorBidi" w:hAnsiTheme="minorBidi" w:cs="Arial"/>
          <w:color w:val="000000"/>
          <w:rtl/>
        </w:rPr>
        <w:t xml:space="preserve">לפי מה שכתב בלקוטי מהרי"ל </w:t>
      </w:r>
      <w:r w:rsidRPr="00384C8F">
        <w:rPr>
          <w:rFonts w:asciiTheme="minorBidi" w:hAnsiTheme="minorBidi" w:cs="Arial"/>
          <w:sz w:val="16"/>
          <w:szCs w:val="16"/>
          <w:rtl/>
        </w:rPr>
        <w:t xml:space="preserve">(אות ז) </w:t>
      </w:r>
      <w:r w:rsidRPr="00384C8F">
        <w:rPr>
          <w:rFonts w:asciiTheme="minorBidi" w:hAnsiTheme="minorBidi" w:cs="Arial"/>
          <w:color w:val="000000"/>
          <w:rtl/>
        </w:rPr>
        <w:t xml:space="preserve">וכן המהרש"א ומעדני מלך </w:t>
      </w:r>
      <w:r w:rsidRPr="00384C8F">
        <w:rPr>
          <w:rFonts w:asciiTheme="minorBidi" w:hAnsiTheme="minorBidi" w:cs="Arial"/>
          <w:sz w:val="16"/>
          <w:szCs w:val="16"/>
          <w:rtl/>
        </w:rPr>
        <w:t xml:space="preserve">(פפ"ח סנהדרין פ"א אות צ) </w:t>
      </w:r>
      <w:r w:rsidRPr="00384C8F">
        <w:rPr>
          <w:rFonts w:asciiTheme="minorBidi" w:hAnsiTheme="minorBidi" w:cs="Arial"/>
          <w:color w:val="000000"/>
          <w:rtl/>
        </w:rPr>
        <w:t>דלכך שנים שדנו נקראים בית דין חצוף, דבשלשה כל אחד יכול להשמט מה אעשה חבירי רבו עלי, משא"כ בשנים. ואילו לשיטת הסמ"ע אף בשלשה אין יכולין להשמט, דהפסק מורה אם היו כולם בעצה אחת או היה אחד מערער, אלא</w:t>
      </w:r>
      <w:r>
        <w:rPr>
          <w:rFonts w:hint="cs"/>
          <w:rtl/>
        </w:rPr>
        <w:t>-...</w:t>
      </w:r>
    </w:p>
  </w:footnote>
  <w:footnote w:id="1028">
    <w:p w14:paraId="40FE4DA6" w14:textId="77777777" w:rsidR="0013116F" w:rsidRDefault="0013116F">
      <w:pPr>
        <w:pStyle w:val="a9"/>
        <w:rPr>
          <w:rtl/>
        </w:rPr>
      </w:pPr>
      <w:r>
        <w:rPr>
          <w:rStyle w:val="ab"/>
        </w:rPr>
        <w:footnoteRef/>
      </w:r>
      <w:r>
        <w:rPr>
          <w:rtl/>
        </w:rPr>
        <w:t xml:space="preserve"> </w:t>
      </w:r>
      <w:r>
        <w:rPr>
          <w:rFonts w:asciiTheme="minorBidi" w:hAnsiTheme="minorBidi" w:cs="Arial" w:hint="cs"/>
          <w:color w:val="000000"/>
          <w:rtl/>
        </w:rPr>
        <w:t>וכ' האורים דכ"מ</w:t>
      </w:r>
      <w:r w:rsidRPr="008209F1">
        <w:rPr>
          <w:rFonts w:asciiTheme="minorBidi" w:hAnsiTheme="minorBidi" w:cs="Arial"/>
          <w:color w:val="000000"/>
          <w:rtl/>
        </w:rPr>
        <w:t xml:space="preserve"> בירוש</w:t>
      </w:r>
      <w:r>
        <w:rPr>
          <w:rFonts w:asciiTheme="minorBidi" w:hAnsiTheme="minorBidi" w:cs="Arial" w:hint="cs"/>
          <w:color w:val="000000"/>
          <w:rtl/>
        </w:rPr>
        <w:t>ל'</w:t>
      </w:r>
      <w:r w:rsidRPr="008209F1">
        <w:rPr>
          <w:rFonts w:asciiTheme="minorBidi" w:hAnsiTheme="minorBidi" w:cs="Arial"/>
          <w:color w:val="000000"/>
          <w:rtl/>
        </w:rPr>
        <w:t xml:space="preserve"> </w:t>
      </w:r>
      <w:r>
        <w:rPr>
          <w:rFonts w:asciiTheme="minorBidi" w:hAnsiTheme="minorBidi" w:cs="Arial" w:hint="cs"/>
          <w:color w:val="000000"/>
          <w:sz w:val="16"/>
          <w:szCs w:val="16"/>
          <w:rtl/>
        </w:rPr>
        <w:t>(</w:t>
      </w:r>
      <w:r w:rsidRPr="008209F1">
        <w:rPr>
          <w:rFonts w:asciiTheme="minorBidi" w:hAnsiTheme="minorBidi" w:cs="Arial"/>
          <w:color w:val="000000"/>
          <w:sz w:val="16"/>
          <w:szCs w:val="16"/>
          <w:rtl/>
        </w:rPr>
        <w:t>סנהדרין פ</w:t>
      </w:r>
      <w:r w:rsidRPr="008209F1">
        <w:rPr>
          <w:rFonts w:asciiTheme="minorBidi" w:hAnsiTheme="minorBidi" w:cs="Arial" w:hint="cs"/>
          <w:color w:val="000000"/>
          <w:sz w:val="16"/>
          <w:szCs w:val="16"/>
          <w:rtl/>
        </w:rPr>
        <w:t>"</w:t>
      </w:r>
      <w:r w:rsidRPr="008209F1">
        <w:rPr>
          <w:rFonts w:asciiTheme="minorBidi" w:hAnsiTheme="minorBidi" w:cs="Arial"/>
          <w:color w:val="000000"/>
          <w:sz w:val="16"/>
          <w:szCs w:val="16"/>
          <w:rtl/>
        </w:rPr>
        <w:t>ג הי"א</w:t>
      </w:r>
      <w:r w:rsidRPr="008209F1">
        <w:rPr>
          <w:rFonts w:asciiTheme="minorBidi" w:hAnsiTheme="minorBidi" w:cs="Arial" w:hint="cs"/>
          <w:color w:val="000000"/>
          <w:sz w:val="16"/>
          <w:szCs w:val="16"/>
          <w:rtl/>
        </w:rPr>
        <w:t>)</w:t>
      </w:r>
      <w:r w:rsidRPr="008209F1">
        <w:rPr>
          <w:rFonts w:asciiTheme="minorBidi" w:hAnsiTheme="minorBidi" w:cs="Arial"/>
          <w:color w:val="000000"/>
          <w:rtl/>
        </w:rPr>
        <w:t xml:space="preserve"> גמרו הדבר וכו' אמר ר"י כופין המחייב שיכתוב זכאי ור"ל פליג, והלכה כר"י לגבי ר"ל</w:t>
      </w:r>
      <w:r>
        <w:rPr>
          <w:rFonts w:hint="cs"/>
          <w:rtl/>
        </w:rPr>
        <w:t>.</w:t>
      </w:r>
    </w:p>
  </w:footnote>
  <w:footnote w:id="1029">
    <w:p w14:paraId="76F5B8E9" w14:textId="77777777" w:rsidR="0013116F" w:rsidRDefault="0013116F">
      <w:pPr>
        <w:pStyle w:val="a9"/>
        <w:rPr>
          <w:rtl/>
        </w:rPr>
      </w:pPr>
      <w:r>
        <w:rPr>
          <w:rStyle w:val="ab"/>
        </w:rPr>
        <w:footnoteRef/>
      </w:r>
      <w:r>
        <w:rPr>
          <w:rtl/>
        </w:rPr>
        <w:t xml:space="preserve"> </w:t>
      </w:r>
      <w:r w:rsidRPr="008209F1">
        <w:rPr>
          <w:rFonts w:asciiTheme="minorBidi" w:hAnsiTheme="minorBidi" w:cs="Arial"/>
          <w:color w:val="000000"/>
          <w:rtl/>
        </w:rPr>
        <w:t>דבר זה לא שמענו שיהיו סופרים חותמים הפס"ד. ואפשר במקום דנהגו, אבל במקום דלא נהגו, אין לנו אלא שהדיין חותם. ובירושלמי (פ"ה ה"ה) הובא בכס"מ פ"ח מהל' סנהדרין (ה"ב) אמר שלשה שדנו ומת אחד מהן, חותמים בשנים וכותבים אע</w:t>
      </w:r>
      <w:r>
        <w:rPr>
          <w:rFonts w:asciiTheme="minorBidi" w:hAnsiTheme="minorBidi" w:cs="Arial" w:hint="cs"/>
          <w:color w:val="000000"/>
          <w:rtl/>
        </w:rPr>
        <w:t>"</w:t>
      </w:r>
      <w:r w:rsidRPr="008209F1">
        <w:rPr>
          <w:rFonts w:asciiTheme="minorBidi" w:hAnsiTheme="minorBidi" w:cs="Arial"/>
          <w:color w:val="000000"/>
          <w:rtl/>
        </w:rPr>
        <w:t>פ שחתמנו בשנים דננו בשלשה, עכ"ל. ואילו הסופרים חותמים כך וכך נפסק מב"ד א"צ לכתוב כלל, דהא בב"ד היה תלתא ויכתבו מב"ד של שלשה יצא כך וכך, אלא ברור שהדיינים חותמים</w:t>
      </w:r>
      <w:r>
        <w:rPr>
          <w:rFonts w:hint="cs"/>
          <w:rtl/>
        </w:rPr>
        <w:t>, אורים.</w:t>
      </w:r>
    </w:p>
  </w:footnote>
  <w:footnote w:id="1030">
    <w:p w14:paraId="4BC3BA28" w14:textId="77777777" w:rsidR="0013116F" w:rsidRDefault="0013116F">
      <w:pPr>
        <w:pStyle w:val="a9"/>
      </w:pPr>
      <w:r>
        <w:rPr>
          <w:rStyle w:val="ab"/>
        </w:rPr>
        <w:footnoteRef/>
      </w:r>
      <w:r>
        <w:rPr>
          <w:rtl/>
        </w:rPr>
        <w:t xml:space="preserve"> </w:t>
      </w:r>
      <w:r w:rsidRPr="00767307">
        <w:rPr>
          <w:rFonts w:cs="Arial"/>
          <w:rtl/>
        </w:rPr>
        <w:t xml:space="preserve">וכ"כ בד"מ בר"ס כ"ה בשם תשובת הרא"ש </w:t>
      </w:r>
      <w:r>
        <w:rPr>
          <w:rFonts w:cs="Arial" w:hint="cs"/>
          <w:rtl/>
        </w:rPr>
        <w:t>(</w:t>
      </w:r>
      <w:r w:rsidRPr="00767307">
        <w:rPr>
          <w:rFonts w:cs="Arial"/>
          <w:rtl/>
        </w:rPr>
        <w:t>כלל פה סי</w:t>
      </w:r>
      <w:r>
        <w:rPr>
          <w:rFonts w:cs="Arial" w:hint="cs"/>
          <w:rtl/>
        </w:rPr>
        <w:t>'</w:t>
      </w:r>
      <w:r w:rsidRPr="00767307">
        <w:rPr>
          <w:rFonts w:cs="Arial"/>
          <w:rtl/>
        </w:rPr>
        <w:t xml:space="preserve"> ה</w:t>
      </w:r>
      <w:r>
        <w:rPr>
          <w:rFonts w:cs="Arial" w:hint="cs"/>
          <w:rtl/>
        </w:rPr>
        <w:t>)</w:t>
      </w:r>
      <w:r w:rsidRPr="00767307">
        <w:rPr>
          <w:rFonts w:cs="Arial"/>
          <w:rtl/>
        </w:rPr>
        <w:t xml:space="preserve"> דב"ד בתר ב"ד לא דייקי. וכ"כ שם בשם</w:t>
      </w:r>
      <w:r>
        <w:rPr>
          <w:rFonts w:cs="Arial" w:hint="cs"/>
          <w:rtl/>
        </w:rPr>
        <w:t xml:space="preserve"> רי"ו</w:t>
      </w:r>
      <w:r w:rsidRPr="00767307">
        <w:rPr>
          <w:rFonts w:cs="Arial"/>
          <w:rtl/>
        </w:rPr>
        <w:t xml:space="preserve"> </w:t>
      </w:r>
      <w:r>
        <w:rPr>
          <w:rFonts w:cs="Arial" w:hint="cs"/>
          <w:rtl/>
        </w:rPr>
        <w:t>(</w:t>
      </w:r>
      <w:r w:rsidRPr="00767307">
        <w:rPr>
          <w:rFonts w:cs="Arial"/>
          <w:rtl/>
        </w:rPr>
        <w:t>נ"א</w:t>
      </w:r>
      <w:r>
        <w:rPr>
          <w:rFonts w:cs="Arial" w:hint="cs"/>
          <w:rtl/>
        </w:rPr>
        <w:t xml:space="preserve"> </w:t>
      </w:r>
      <w:r w:rsidRPr="00767307">
        <w:rPr>
          <w:rFonts w:cs="Arial"/>
          <w:rtl/>
        </w:rPr>
        <w:t>חי"א</w:t>
      </w:r>
      <w:r>
        <w:rPr>
          <w:rFonts w:cs="Arial" w:hint="cs"/>
          <w:rtl/>
        </w:rPr>
        <w:t>)</w:t>
      </w:r>
      <w:r w:rsidRPr="00767307">
        <w:rPr>
          <w:rFonts w:cs="Arial"/>
          <w:rtl/>
        </w:rPr>
        <w:t xml:space="preserve"> דאין רשאין התלמידים לקרוע הפסק דין אף שיראו שהוא שלא כדין, עד שיבוא הרב שפסקו שהוא יודע יותר מהם</w:t>
      </w:r>
      <w:r>
        <w:rPr>
          <w:rFonts w:cs="Arial" w:hint="cs"/>
          <w:rtl/>
        </w:rPr>
        <w:t>.</w:t>
      </w:r>
    </w:p>
  </w:footnote>
  <w:footnote w:id="1031">
    <w:p w14:paraId="2EC95F95" w14:textId="77777777" w:rsidR="0013116F" w:rsidRPr="00251136" w:rsidRDefault="0013116F" w:rsidP="00251136">
      <w:pPr>
        <w:pStyle w:val="a9"/>
      </w:pPr>
      <w:r>
        <w:rPr>
          <w:rStyle w:val="ab"/>
        </w:rPr>
        <w:footnoteRef/>
      </w:r>
      <w:r>
        <w:rPr>
          <w:rtl/>
        </w:rPr>
        <w:t xml:space="preserve"> </w:t>
      </w:r>
      <w:r>
        <w:rPr>
          <w:rFonts w:hint="cs"/>
          <w:rtl/>
        </w:rPr>
        <w:t xml:space="preserve">סימן - </w:t>
      </w:r>
      <w:r w:rsidRPr="00251136">
        <w:rPr>
          <w:rtl/>
        </w:rPr>
        <w:t>קיום בלעדיו/בפניו</w:t>
      </w:r>
      <w:r>
        <w:rPr>
          <w:rFonts w:hint="cs"/>
          <w:rtl/>
        </w:rPr>
        <w:t xml:space="preserve">. וכן - </w:t>
      </w:r>
      <w:r w:rsidRPr="00251136">
        <w:rPr>
          <w:rtl/>
        </w:rPr>
        <w:t xml:space="preserve">קצת יחכו ב"ד </w:t>
      </w:r>
      <w:r w:rsidRPr="00251136">
        <w:rPr>
          <w:sz w:val="16"/>
          <w:szCs w:val="16"/>
          <w:rtl/>
        </w:rPr>
        <w:t>(בדין/בשמתא/באדרכתא)</w:t>
      </w:r>
      <w:r>
        <w:rPr>
          <w:rFonts w:hint="cs"/>
          <w:rtl/>
        </w:rPr>
        <w:t xml:space="preserve">. וכן - </w:t>
      </w:r>
      <w:r w:rsidRPr="00251136">
        <w:rPr>
          <w:rtl/>
        </w:rPr>
        <w:t>קדושים יחכו לב'</w:t>
      </w:r>
      <w:r>
        <w:rPr>
          <w:rFonts w:hint="cs"/>
          <w:rtl/>
        </w:rPr>
        <w:t>.</w:t>
      </w:r>
    </w:p>
  </w:footnote>
  <w:footnote w:id="1032">
    <w:p w14:paraId="7E64A2CE" w14:textId="77777777" w:rsidR="0013116F" w:rsidRDefault="0013116F">
      <w:pPr>
        <w:pStyle w:val="a9"/>
      </w:pPr>
      <w:r>
        <w:rPr>
          <w:rStyle w:val="ab"/>
        </w:rPr>
        <w:footnoteRef/>
      </w:r>
      <w:r>
        <w:rPr>
          <w:rtl/>
        </w:rPr>
        <w:t xml:space="preserve"> </w:t>
      </w:r>
      <w:r w:rsidRPr="009D6039">
        <w:rPr>
          <w:rFonts w:cs="Arial"/>
          <w:rtl/>
        </w:rPr>
        <w:t xml:space="preserve">בעל דין וצווח אל תקיימוהו מזויף הוא </w:t>
      </w:r>
      <w:r>
        <w:rPr>
          <w:rFonts w:cs="Arial" w:hint="cs"/>
          <w:rtl/>
        </w:rPr>
        <w:t xml:space="preserve">- </w:t>
      </w:r>
      <w:r w:rsidRPr="009D6039">
        <w:rPr>
          <w:rFonts w:cs="Arial"/>
          <w:rtl/>
        </w:rPr>
        <w:t>אין חוששין</w:t>
      </w:r>
      <w:r>
        <w:rPr>
          <w:rFonts w:cs="Arial" w:hint="cs"/>
          <w:rtl/>
        </w:rPr>
        <w:t>, רש"י</w:t>
      </w:r>
      <w:r w:rsidRPr="009D6039">
        <w:rPr>
          <w:rFonts w:cs="Arial"/>
          <w:rtl/>
        </w:rPr>
        <w:t>.</w:t>
      </w:r>
    </w:p>
  </w:footnote>
  <w:footnote w:id="1033">
    <w:p w14:paraId="75C6A435" w14:textId="77777777" w:rsidR="0013116F" w:rsidRDefault="0013116F">
      <w:pPr>
        <w:pStyle w:val="a9"/>
        <w:rPr>
          <w:rtl/>
        </w:rPr>
      </w:pPr>
      <w:r>
        <w:rPr>
          <w:rStyle w:val="ab"/>
        </w:rPr>
        <w:footnoteRef/>
      </w:r>
      <w:r>
        <w:rPr>
          <w:rtl/>
        </w:rPr>
        <w:t xml:space="preserve"> </w:t>
      </w:r>
      <w:r>
        <w:rPr>
          <w:rFonts w:cs="Arial"/>
          <w:rtl/>
        </w:rPr>
        <w:t>שטר שמתא על שאינו פורע החוב</w:t>
      </w:r>
      <w:r>
        <w:rPr>
          <w:rFonts w:hint="cs"/>
          <w:rtl/>
        </w:rPr>
        <w:t>, רש"י.</w:t>
      </w:r>
    </w:p>
  </w:footnote>
  <w:footnote w:id="1034">
    <w:p w14:paraId="60966A55" w14:textId="77777777" w:rsidR="0013116F" w:rsidRDefault="0013116F">
      <w:pPr>
        <w:pStyle w:val="a9"/>
      </w:pPr>
      <w:r>
        <w:rPr>
          <w:rStyle w:val="ab"/>
        </w:rPr>
        <w:footnoteRef/>
      </w:r>
      <w:r>
        <w:rPr>
          <w:rtl/>
        </w:rPr>
        <w:t xml:space="preserve"> </w:t>
      </w:r>
      <w:r>
        <w:rPr>
          <w:rFonts w:hint="cs"/>
          <w:rtl/>
        </w:rPr>
        <w:t xml:space="preserve">סימן </w:t>
      </w:r>
      <w:r>
        <w:rPr>
          <w:rtl/>
        </w:rPr>
        <w:t>–</w:t>
      </w:r>
      <w:r>
        <w:rPr>
          <w:rFonts w:hint="cs"/>
          <w:rtl/>
        </w:rPr>
        <w:t xml:space="preserve"> תלוש זקנו. וכן - טיפול זריז. וכן </w:t>
      </w:r>
      <w:r>
        <w:rPr>
          <w:rtl/>
        </w:rPr>
        <w:t>–</w:t>
      </w:r>
      <w:r>
        <w:rPr>
          <w:rFonts w:hint="cs"/>
          <w:rtl/>
        </w:rPr>
        <w:t xml:space="preserve"> טיפול זקן.</w:t>
      </w:r>
    </w:p>
  </w:footnote>
  <w:footnote w:id="1035">
    <w:p w14:paraId="057A1A12" w14:textId="77777777" w:rsidR="0013116F" w:rsidRDefault="0013116F">
      <w:pPr>
        <w:pStyle w:val="a9"/>
        <w:rPr>
          <w:rtl/>
        </w:rPr>
      </w:pPr>
      <w:r>
        <w:rPr>
          <w:rStyle w:val="ab"/>
        </w:rPr>
        <w:footnoteRef/>
      </w:r>
      <w:r>
        <w:rPr>
          <w:rtl/>
        </w:rPr>
        <w:t xml:space="preserve"> </w:t>
      </w:r>
      <w:r>
        <w:rPr>
          <w:rFonts w:cs="Arial"/>
          <w:rtl/>
        </w:rPr>
        <w:t>דייק הרמב"ם לכתוב שקבל הדין לומר דבהאי דוקא הוא דמתרינן ביה אבל אם לא קבל עליו הדין היינו אפקירותא ומנדין אותו לאלתר ויש קצת הוכחה לזה בפרק הגוזל בתרא</w:t>
      </w:r>
      <w:r>
        <w:rPr>
          <w:rFonts w:cs="Arial" w:hint="cs"/>
          <w:rtl/>
        </w:rPr>
        <w:t xml:space="preserve">, ב"י. </w:t>
      </w:r>
      <w:r w:rsidRPr="00684015">
        <w:rPr>
          <w:rFonts w:cs="Arial" w:hint="cs"/>
          <w:color w:val="00B0F0"/>
          <w:rtl/>
        </w:rPr>
        <w:t>(וכ"פ הרמ"א)</w:t>
      </w:r>
    </w:p>
  </w:footnote>
  <w:footnote w:id="1036">
    <w:p w14:paraId="3846DA30" w14:textId="77777777" w:rsidR="0013116F" w:rsidRDefault="0013116F">
      <w:pPr>
        <w:pStyle w:val="a9"/>
        <w:rPr>
          <w:rtl/>
        </w:rPr>
      </w:pPr>
      <w:r>
        <w:rPr>
          <w:rStyle w:val="ab"/>
        </w:rPr>
        <w:footnoteRef/>
      </w:r>
      <w:r>
        <w:rPr>
          <w:rtl/>
        </w:rPr>
        <w:t xml:space="preserve"> </w:t>
      </w:r>
      <w:r>
        <w:rPr>
          <w:rFonts w:cs="Arial"/>
          <w:rtl/>
        </w:rPr>
        <w:t>אלה דברי הרמב"ם בפכ"ה מהל</w:t>
      </w:r>
      <w:r>
        <w:rPr>
          <w:rFonts w:cs="Arial" w:hint="cs"/>
          <w:rtl/>
        </w:rPr>
        <w:t>'</w:t>
      </w:r>
      <w:r>
        <w:rPr>
          <w:rFonts w:cs="Arial"/>
          <w:rtl/>
        </w:rPr>
        <w:t xml:space="preserve"> סנהדרין (הי"א) אלא שבמקום מה שכתב רבינו </w:t>
      </w:r>
      <w:r>
        <w:rPr>
          <w:rFonts w:cs="Arial" w:hint="cs"/>
          <w:rtl/>
        </w:rPr>
        <w:t>'</w:t>
      </w:r>
      <w:r>
        <w:rPr>
          <w:rFonts w:cs="Arial"/>
          <w:rtl/>
        </w:rPr>
        <w:t>ממתינין לו שני וחמישי ושני</w:t>
      </w:r>
      <w:r>
        <w:rPr>
          <w:rFonts w:cs="Arial" w:hint="cs"/>
          <w:rtl/>
        </w:rPr>
        <w:t>'</w:t>
      </w:r>
      <w:r>
        <w:rPr>
          <w:rFonts w:cs="Arial"/>
          <w:rtl/>
        </w:rPr>
        <w:t xml:space="preserve"> כתוב בספרי הרמב"ם </w:t>
      </w:r>
      <w:r>
        <w:rPr>
          <w:rFonts w:cs="Arial" w:hint="cs"/>
          <w:rtl/>
        </w:rPr>
        <w:t>'</w:t>
      </w:r>
      <w:r>
        <w:rPr>
          <w:rFonts w:cs="Arial"/>
          <w:rtl/>
        </w:rPr>
        <w:t>אין מנדין אותו עד שיתרו בו שני וחמישי ושני</w:t>
      </w:r>
      <w:r>
        <w:rPr>
          <w:rFonts w:cs="Arial" w:hint="cs"/>
          <w:rtl/>
        </w:rPr>
        <w:t>'</w:t>
      </w:r>
      <w:r>
        <w:rPr>
          <w:rFonts w:cs="Arial" w:hint="cs"/>
          <w:sz w:val="16"/>
          <w:szCs w:val="16"/>
          <w:rtl/>
        </w:rPr>
        <w:t xml:space="preserve"> </w:t>
      </w:r>
      <w:r w:rsidRPr="00623E78">
        <w:rPr>
          <w:rFonts w:cs="Arial" w:hint="cs"/>
          <w:color w:val="E36C0A" w:themeColor="accent6" w:themeShade="BF"/>
          <w:sz w:val="16"/>
          <w:szCs w:val="16"/>
          <w:rtl/>
        </w:rPr>
        <w:t>(וכ"כ בשו"ע)</w:t>
      </w:r>
      <w:r>
        <w:rPr>
          <w:rFonts w:cs="Arial" w:hint="cs"/>
          <w:rtl/>
        </w:rPr>
        <w:t>,</w:t>
      </w:r>
      <w:r>
        <w:rPr>
          <w:rFonts w:cs="Arial"/>
          <w:rtl/>
        </w:rPr>
        <w:t xml:space="preserve"> ודברים אלו בפרק אלו מגלחין </w:t>
      </w:r>
      <w:r w:rsidRPr="00976680">
        <w:rPr>
          <w:rFonts w:cs="Arial"/>
          <w:sz w:val="16"/>
          <w:szCs w:val="16"/>
          <w:rtl/>
        </w:rPr>
        <w:t xml:space="preserve">(מו"ק טז.) </w:t>
      </w:r>
      <w:r>
        <w:rPr>
          <w:rFonts w:cs="Arial"/>
          <w:rtl/>
        </w:rPr>
        <w:t>מנדין לאלתר ושונין לאחר שלשים ומחרימין לאחר ששים ואמרינן עלה משמיה דרב חסדא מתרין ביה שני וחמישי ושני והני מילי לממונא אבל לאפקירותא מנדין לאלתר. ונראה שהרמב"ם לא היה גורס אלא מנדין לאלתר ומחרימין לאחר שלשים יום</w:t>
      </w:r>
      <w:r>
        <w:rPr>
          <w:rFonts w:cs="Arial" w:hint="cs"/>
          <w:rtl/>
        </w:rPr>
        <w:t>.</w:t>
      </w:r>
      <w:r>
        <w:rPr>
          <w:rFonts w:cs="Arial"/>
          <w:rtl/>
        </w:rPr>
        <w:t xml:space="preserve"> ואם נפשך לומר שהיה גורס כגירסת ספרינו</w:t>
      </w:r>
      <w:r>
        <w:rPr>
          <w:rFonts w:cs="Arial" w:hint="cs"/>
          <w:rtl/>
        </w:rPr>
        <w:t>,</w:t>
      </w:r>
      <w:r>
        <w:rPr>
          <w:rFonts w:cs="Arial"/>
          <w:rtl/>
        </w:rPr>
        <w:t xml:space="preserve"> י"ל שהוא מפרש דלרב חסדא כיון דמתרים ביה ברישא ואח"כ מנדין אותו כי משהי שלשים יומין</w:t>
      </w:r>
      <w:r>
        <w:rPr>
          <w:rFonts w:cs="Arial" w:hint="cs"/>
          <w:rtl/>
        </w:rPr>
        <w:t xml:space="preserve"> -</w:t>
      </w:r>
      <w:r>
        <w:rPr>
          <w:rFonts w:cs="Arial"/>
          <w:rtl/>
        </w:rPr>
        <w:t xml:space="preserve"> מחרימין אותו</w:t>
      </w:r>
      <w:r>
        <w:rPr>
          <w:rFonts w:cs="Arial" w:hint="cs"/>
          <w:sz w:val="16"/>
          <w:szCs w:val="16"/>
          <w:rtl/>
        </w:rPr>
        <w:t xml:space="preserve"> {ולא מנדים לעוד שלשים יום ורק אז מחרימין כדמשמע לכאורה מהגמ'}</w:t>
      </w:r>
      <w:r>
        <w:rPr>
          <w:rFonts w:cs="Arial" w:hint="cs"/>
          <w:rtl/>
        </w:rPr>
        <w:t>,</w:t>
      </w:r>
      <w:r>
        <w:rPr>
          <w:rFonts w:cs="Arial"/>
          <w:rtl/>
        </w:rPr>
        <w:t xml:space="preserve"> דהתראת שני וחמישי ושני במקום משהי עצמו בנדוי שלשים יומין פעם ראשונה קאי</w:t>
      </w:r>
      <w:r>
        <w:rPr>
          <w:rFonts w:cs="Arial" w:hint="cs"/>
          <w:rtl/>
        </w:rPr>
        <w:t>, ב"י.</w:t>
      </w:r>
    </w:p>
  </w:footnote>
  <w:footnote w:id="1037">
    <w:p w14:paraId="112D3F61" w14:textId="77777777" w:rsidR="0013116F" w:rsidRDefault="0013116F">
      <w:pPr>
        <w:pStyle w:val="a9"/>
        <w:rPr>
          <w:rtl/>
        </w:rPr>
      </w:pPr>
      <w:r>
        <w:rPr>
          <w:rStyle w:val="ab"/>
        </w:rPr>
        <w:footnoteRef/>
      </w:r>
      <w:r>
        <w:rPr>
          <w:rtl/>
        </w:rPr>
        <w:t xml:space="preserve"> </w:t>
      </w:r>
      <w:r>
        <w:rPr>
          <w:rFonts w:hint="cs"/>
          <w:rtl/>
        </w:rPr>
        <w:t>בב"י הביא את דברי הרשב"א אך בשו"ע לא כתב את הלשון "מיד", אך מ"מ נ"ל שמודה שחייב לקיים מיד, כדכתב בב"י.</w:t>
      </w:r>
    </w:p>
  </w:footnote>
  <w:footnote w:id="1038">
    <w:p w14:paraId="0FE51AD9" w14:textId="77777777" w:rsidR="0013116F" w:rsidRDefault="0013116F">
      <w:pPr>
        <w:pStyle w:val="a9"/>
        <w:rPr>
          <w:rtl/>
        </w:rPr>
      </w:pPr>
      <w:r>
        <w:rPr>
          <w:rStyle w:val="ab"/>
        </w:rPr>
        <w:footnoteRef/>
      </w:r>
      <w:r>
        <w:rPr>
          <w:rtl/>
        </w:rPr>
        <w:t xml:space="preserve"> </w:t>
      </w:r>
      <w:r w:rsidRPr="00623E78">
        <w:rPr>
          <w:rFonts w:cs="Arial"/>
          <w:rtl/>
        </w:rPr>
        <w:t>עיין דרישה [סע</w:t>
      </w:r>
      <w:r>
        <w:rPr>
          <w:rFonts w:cs="Arial" w:hint="cs"/>
          <w:rtl/>
        </w:rPr>
        <w:t>'</w:t>
      </w:r>
      <w:r w:rsidRPr="00623E78">
        <w:rPr>
          <w:rFonts w:cs="Arial"/>
          <w:rtl/>
        </w:rPr>
        <w:t xml:space="preserve"> ד'], שם כתבתי טעם למה כתבו הרמב"ם והטור בדין זה דמחרימין אותו מיד אחר ל' יום, וגם לא כתב דכותבין על נכסיו אדרכתא, ולקמן בסימן ק' בהמסרב מלקיים פסק דינם, כתב [הטור סע</w:t>
      </w:r>
      <w:r>
        <w:rPr>
          <w:rFonts w:cs="Arial" w:hint="cs"/>
          <w:rtl/>
        </w:rPr>
        <w:t>'</w:t>
      </w:r>
      <w:r w:rsidRPr="00623E78">
        <w:rPr>
          <w:rFonts w:cs="Arial"/>
          <w:rtl/>
        </w:rPr>
        <w:t xml:space="preserve"> ה'] דכותבין מיד אדרכתא על נכסיו, ואם לא מצאו לו נכסים מתרין בו בה"ב, ואח"כ מנדין אותו ב' פעמים כל פעם ל' יום, ואח"כ מחרימין. וחילקתי, דשאני הכא דמאחר דקיבל עליו את הדין והלך ולא אמר תנו לי זמן עד שאלוה מעות או אמכור או אמשכן נכסי, נראה מיניה דאית ליה מעות מזומנין או מטלטלים לפרוע בהן, וכן היתה דעתו מתחילה כשקיבל עליו הדין ויצא מהב"ד, אלא שאח"כ נשתנתה דעתו ואינו רוצה לשלם, משום הכי אין כותבין אדרכתא על נכסיו, דכיון שיש לו מזומנים או מטלטלים הן קודמין להתפרע מהן, וכמ"ש לקמן ר</w:t>
      </w:r>
      <w:r>
        <w:rPr>
          <w:rFonts w:cs="Arial" w:hint="cs"/>
          <w:rtl/>
        </w:rPr>
        <w:t>"</w:t>
      </w:r>
      <w:r w:rsidRPr="00623E78">
        <w:rPr>
          <w:rFonts w:cs="Arial"/>
          <w:rtl/>
        </w:rPr>
        <w:t>ס קא. מה שאין כן לקמן בסימן ק' דמיירי במסרב לקיים פסק דינם, ואין הבית דין יודעין אם יש לו מעות או מטלטלים או לא, משום הכי כותבין עליו אדרכתא תחילה, ואף אם לא נמצא לו נכסים ממתינין מלהחרימו ס' יום, דאמרינן בל' ימים הראשונים טרח לאוזיף זוזי ולפרוע, ובל' האחרונים דילמא אוהביו הרוצים להלוות לו טורחים עצמן להשכין נכסיהן ולהשתדל לו מעות</w:t>
      </w:r>
      <w:r>
        <w:rPr>
          <w:rFonts w:cs="Arial" w:hint="cs"/>
          <w:rtl/>
        </w:rPr>
        <w:t>...</w:t>
      </w:r>
      <w:r>
        <w:rPr>
          <w:rFonts w:hint="cs"/>
          <w:rtl/>
        </w:rPr>
        <w:t>, סמ"ע (סק"ד).</w:t>
      </w:r>
    </w:p>
  </w:footnote>
  <w:footnote w:id="1039">
    <w:p w14:paraId="6343A98F" w14:textId="77777777" w:rsidR="0013116F" w:rsidRDefault="0013116F">
      <w:pPr>
        <w:pStyle w:val="a9"/>
        <w:rPr>
          <w:rtl/>
        </w:rPr>
      </w:pPr>
      <w:r>
        <w:rPr>
          <w:rStyle w:val="ab"/>
        </w:rPr>
        <w:footnoteRef/>
      </w:r>
      <w:r>
        <w:rPr>
          <w:rtl/>
        </w:rPr>
        <w:t xml:space="preserve"> </w:t>
      </w:r>
      <w:r>
        <w:rPr>
          <w:rFonts w:hint="cs"/>
          <w:rtl/>
        </w:rPr>
        <w:t xml:space="preserve">הסמ"ע </w:t>
      </w:r>
      <w:r w:rsidRPr="00417208">
        <w:rPr>
          <w:rFonts w:hint="cs"/>
          <w:sz w:val="16"/>
          <w:szCs w:val="16"/>
          <w:rtl/>
        </w:rPr>
        <w:t xml:space="preserve">(סק"ה) </w:t>
      </w:r>
      <w:r>
        <w:rPr>
          <w:rFonts w:hint="cs"/>
          <w:rtl/>
        </w:rPr>
        <w:t xml:space="preserve">תמה על הב"י והרמ"א שכתבו כן שהרי </w:t>
      </w:r>
      <w:r w:rsidRPr="00417208">
        <w:rPr>
          <w:rFonts w:cs="Arial"/>
          <w:rtl/>
        </w:rPr>
        <w:t xml:space="preserve">בעל התרומות </w:t>
      </w:r>
      <w:r>
        <w:rPr>
          <w:rFonts w:cs="Arial" w:hint="cs"/>
          <w:rtl/>
        </w:rPr>
        <w:t xml:space="preserve">כתב </w:t>
      </w:r>
      <w:r w:rsidRPr="00417208">
        <w:rPr>
          <w:rFonts w:cs="Arial"/>
          <w:rtl/>
        </w:rPr>
        <w:t xml:space="preserve">בהדיא </w:t>
      </w:r>
      <w:r w:rsidRPr="00417208">
        <w:rPr>
          <w:rFonts w:cs="Arial" w:hint="cs"/>
          <w:sz w:val="16"/>
          <w:szCs w:val="16"/>
          <w:rtl/>
        </w:rPr>
        <w:t>(</w:t>
      </w:r>
      <w:r w:rsidRPr="00417208">
        <w:rPr>
          <w:rFonts w:cs="Arial"/>
          <w:sz w:val="16"/>
          <w:szCs w:val="16"/>
          <w:rtl/>
        </w:rPr>
        <w:t>בש</w:t>
      </w:r>
      <w:r w:rsidRPr="00417208">
        <w:rPr>
          <w:rFonts w:cs="Arial" w:hint="cs"/>
          <w:sz w:val="16"/>
          <w:szCs w:val="16"/>
          <w:rtl/>
        </w:rPr>
        <w:t xml:space="preserve">"ג ח"ח </w:t>
      </w:r>
      <w:r w:rsidRPr="00417208">
        <w:rPr>
          <w:rFonts w:cs="Arial"/>
          <w:sz w:val="16"/>
          <w:szCs w:val="16"/>
          <w:rtl/>
        </w:rPr>
        <w:t>אות ה</w:t>
      </w:r>
      <w:r w:rsidRPr="00417208">
        <w:rPr>
          <w:rFonts w:cs="Arial" w:hint="cs"/>
          <w:sz w:val="16"/>
          <w:szCs w:val="16"/>
          <w:rtl/>
        </w:rPr>
        <w:t>,</w:t>
      </w:r>
      <w:r w:rsidRPr="00417208">
        <w:rPr>
          <w:rFonts w:cs="Arial"/>
          <w:sz w:val="16"/>
          <w:szCs w:val="16"/>
          <w:rtl/>
        </w:rPr>
        <w:t xml:space="preserve"> והטור והמחבר בעצמם הביאו בקצרה לקמן סימן ק'</w:t>
      </w:r>
      <w:r w:rsidRPr="00417208">
        <w:rPr>
          <w:rFonts w:cs="Arial" w:hint="cs"/>
          <w:sz w:val="16"/>
          <w:szCs w:val="16"/>
          <w:rtl/>
        </w:rPr>
        <w:t>)</w:t>
      </w:r>
      <w:r w:rsidRPr="00417208">
        <w:rPr>
          <w:rFonts w:cs="Arial"/>
          <w:sz w:val="16"/>
          <w:szCs w:val="16"/>
          <w:rtl/>
        </w:rPr>
        <w:t xml:space="preserve"> </w:t>
      </w:r>
      <w:r w:rsidRPr="00417208">
        <w:rPr>
          <w:rFonts w:cs="Arial"/>
          <w:rtl/>
        </w:rPr>
        <w:t>דלעולם אין מנדין לו לאלתר בלי המתנה והתראה שני וחמישי ושני, כי אם באפקרותא, דהיינו שאינו רוצה לבוא כלל לדיינים ולהשגיח על הזמנתן, או אם פיקר ועבר על אחד מהאיסורים שאסרה התור</w:t>
      </w:r>
      <w:r>
        <w:rPr>
          <w:rFonts w:cs="Arial" w:hint="cs"/>
          <w:rtl/>
        </w:rPr>
        <w:t>ה</w:t>
      </w:r>
      <w:r w:rsidRPr="00417208">
        <w:rPr>
          <w:rFonts w:cs="Arial"/>
          <w:rtl/>
        </w:rPr>
        <w:t xml:space="preserve"> </w:t>
      </w:r>
      <w:r w:rsidRPr="00417208">
        <w:rPr>
          <w:rFonts w:cs="Arial" w:hint="cs"/>
          <w:sz w:val="16"/>
          <w:szCs w:val="16"/>
          <w:rtl/>
        </w:rPr>
        <w:t>(</w:t>
      </w:r>
      <w:r w:rsidRPr="00417208">
        <w:rPr>
          <w:rFonts w:cs="Arial"/>
          <w:sz w:val="16"/>
          <w:szCs w:val="16"/>
          <w:rtl/>
        </w:rPr>
        <w:t>וכמ</w:t>
      </w:r>
      <w:r w:rsidRPr="00417208">
        <w:rPr>
          <w:rFonts w:cs="Arial" w:hint="cs"/>
          <w:sz w:val="16"/>
          <w:szCs w:val="16"/>
          <w:rtl/>
        </w:rPr>
        <w:t>"ש</w:t>
      </w:r>
      <w:r w:rsidRPr="00417208">
        <w:rPr>
          <w:rFonts w:cs="Arial"/>
          <w:sz w:val="16"/>
          <w:szCs w:val="16"/>
          <w:rtl/>
        </w:rPr>
        <w:t xml:space="preserve"> הטור ביו</w:t>
      </w:r>
      <w:r w:rsidRPr="00417208">
        <w:rPr>
          <w:rFonts w:cs="Arial" w:hint="cs"/>
          <w:sz w:val="16"/>
          <w:szCs w:val="16"/>
          <w:rtl/>
        </w:rPr>
        <w:t>"ד</w:t>
      </w:r>
      <w:r w:rsidRPr="00417208">
        <w:rPr>
          <w:rFonts w:cs="Arial"/>
          <w:sz w:val="16"/>
          <w:szCs w:val="16"/>
          <w:rtl/>
        </w:rPr>
        <w:t xml:space="preserve"> ר</w:t>
      </w:r>
      <w:r w:rsidRPr="00417208">
        <w:rPr>
          <w:rFonts w:cs="Arial" w:hint="cs"/>
          <w:sz w:val="16"/>
          <w:szCs w:val="16"/>
          <w:rtl/>
        </w:rPr>
        <w:t>"ס</w:t>
      </w:r>
      <w:r w:rsidRPr="00417208">
        <w:rPr>
          <w:rFonts w:cs="Arial"/>
          <w:sz w:val="16"/>
          <w:szCs w:val="16"/>
          <w:rtl/>
        </w:rPr>
        <w:t xml:space="preserve"> שלד</w:t>
      </w:r>
      <w:r w:rsidRPr="00417208">
        <w:rPr>
          <w:rFonts w:cs="Arial" w:hint="cs"/>
          <w:sz w:val="16"/>
          <w:szCs w:val="16"/>
          <w:rtl/>
        </w:rPr>
        <w:t>)</w:t>
      </w:r>
      <w:r>
        <w:rPr>
          <w:rFonts w:cs="Arial" w:hint="cs"/>
          <w:rtl/>
        </w:rPr>
        <w:t xml:space="preserve">. עכ"ל הסמ"ע. וכתב הש"ך </w:t>
      </w:r>
      <w:r w:rsidRPr="00417208">
        <w:rPr>
          <w:rFonts w:cs="Arial" w:hint="cs"/>
          <w:sz w:val="16"/>
          <w:szCs w:val="16"/>
          <w:rtl/>
        </w:rPr>
        <w:t>(סק"ד)</w:t>
      </w:r>
      <w:r w:rsidRPr="00417208">
        <w:rPr>
          <w:sz w:val="16"/>
          <w:szCs w:val="16"/>
          <w:rtl/>
        </w:rPr>
        <w:t xml:space="preserve"> </w:t>
      </w:r>
      <w:r>
        <w:rPr>
          <w:rFonts w:cs="Arial" w:hint="cs"/>
          <w:rtl/>
        </w:rPr>
        <w:t>ד</w:t>
      </w:r>
      <w:r w:rsidRPr="00417208">
        <w:rPr>
          <w:rFonts w:cs="Arial"/>
          <w:rtl/>
        </w:rPr>
        <w:t>לק"מ, דכאן מיירי שאינו מקבל פסק הדיינים, אבל שם מיירי שאינו רוצה לשלם ואינו אומר נגד הפסק ב"ד</w:t>
      </w:r>
      <w:r>
        <w:rPr>
          <w:rFonts w:cs="Arial" w:hint="cs"/>
          <w:rtl/>
        </w:rPr>
        <w:t>.</w:t>
      </w:r>
    </w:p>
  </w:footnote>
  <w:footnote w:id="1040">
    <w:p w14:paraId="35CCABAA" w14:textId="77777777" w:rsidR="0013116F" w:rsidRDefault="0013116F">
      <w:pPr>
        <w:pStyle w:val="a9"/>
        <w:rPr>
          <w:rtl/>
        </w:rPr>
      </w:pPr>
      <w:r>
        <w:rPr>
          <w:rStyle w:val="ab"/>
        </w:rPr>
        <w:footnoteRef/>
      </w:r>
      <w:r>
        <w:rPr>
          <w:rtl/>
        </w:rPr>
        <w:t xml:space="preserve"> </w:t>
      </w:r>
      <w:r>
        <w:rPr>
          <w:rFonts w:hint="cs"/>
          <w:rtl/>
        </w:rPr>
        <w:t>ועיין גם בסי' לט סע' ח-ט. העברתי לשם חלק מהדברים שהובאו פה.</w:t>
      </w:r>
    </w:p>
  </w:footnote>
  <w:footnote w:id="1041">
    <w:p w14:paraId="07E27500" w14:textId="77777777" w:rsidR="0013116F" w:rsidRDefault="0013116F" w:rsidP="003A4177">
      <w:pPr>
        <w:pStyle w:val="a9"/>
        <w:rPr>
          <w:rtl/>
        </w:rPr>
      </w:pPr>
      <w:r>
        <w:rPr>
          <w:rStyle w:val="ab"/>
        </w:rPr>
        <w:footnoteRef/>
      </w:r>
      <w:r>
        <w:rPr>
          <w:rtl/>
        </w:rPr>
        <w:t xml:space="preserve"> </w:t>
      </w:r>
      <w:r>
        <w:rPr>
          <w:rFonts w:hint="cs"/>
          <w:rtl/>
        </w:rPr>
        <w:t xml:space="preserve">סימן </w:t>
      </w:r>
      <w:r>
        <w:rPr>
          <w:rtl/>
        </w:rPr>
        <w:t>–</w:t>
      </w:r>
      <w:r>
        <w:rPr>
          <w:rFonts w:hint="cs"/>
          <w:rtl/>
        </w:rPr>
        <w:t xml:space="preserve"> </w:t>
      </w:r>
      <w:r w:rsidRPr="003A4177">
        <w:rPr>
          <w:rtl/>
        </w:rPr>
        <w:t>ל' אחכה</w:t>
      </w:r>
      <w:r>
        <w:rPr>
          <w:rFonts w:hint="cs"/>
          <w:rtl/>
        </w:rPr>
        <w:t xml:space="preserve">. וכן - </w:t>
      </w:r>
      <w:r w:rsidRPr="003A4177">
        <w:rPr>
          <w:rtl/>
        </w:rPr>
        <w:t>אתן ל'</w:t>
      </w:r>
      <w:r>
        <w:rPr>
          <w:rFonts w:hint="cs"/>
          <w:rtl/>
        </w:rPr>
        <w:t xml:space="preserve">. וכן - </w:t>
      </w:r>
      <w:r w:rsidRPr="003A4177">
        <w:rPr>
          <w:rtl/>
        </w:rPr>
        <w:t>אביא לסתור</w:t>
      </w:r>
      <w:r>
        <w:rPr>
          <w:rFonts w:hint="cs"/>
          <w:rtl/>
        </w:rPr>
        <w:t>.</w:t>
      </w:r>
    </w:p>
  </w:footnote>
  <w:footnote w:id="1042">
    <w:p w14:paraId="15AF251E" w14:textId="77777777" w:rsidR="0013116F" w:rsidRDefault="0013116F" w:rsidP="006B4D51">
      <w:pPr>
        <w:pStyle w:val="a9"/>
      </w:pPr>
      <w:r>
        <w:rPr>
          <w:rStyle w:val="ab"/>
        </w:rPr>
        <w:footnoteRef/>
      </w:r>
      <w:r>
        <w:rPr>
          <w:rtl/>
        </w:rPr>
        <w:t xml:space="preserve"> </w:t>
      </w:r>
      <w:r>
        <w:rPr>
          <w:rFonts w:cs="Arial"/>
          <w:rtl/>
        </w:rPr>
        <w:t>ואיפסקא הלכתא בגמרא כרבן שמעון בן גמליאל</w:t>
      </w:r>
      <w:r>
        <w:rPr>
          <w:rFonts w:cs="Arial" w:hint="cs"/>
          <w:rtl/>
        </w:rPr>
        <w:t>, ב"י.</w:t>
      </w:r>
    </w:p>
  </w:footnote>
  <w:footnote w:id="1043">
    <w:p w14:paraId="7B2FB880" w14:textId="77777777" w:rsidR="0013116F" w:rsidRDefault="0013116F" w:rsidP="006B4D51">
      <w:pPr>
        <w:pStyle w:val="a9"/>
        <w:rPr>
          <w:rtl/>
        </w:rPr>
      </w:pPr>
      <w:r>
        <w:rPr>
          <w:rStyle w:val="ab"/>
        </w:rPr>
        <w:footnoteRef/>
      </w:r>
      <w:r>
        <w:rPr>
          <w:rtl/>
        </w:rPr>
        <w:t xml:space="preserve"> </w:t>
      </w:r>
      <w:r>
        <w:rPr>
          <w:rFonts w:cs="Arial"/>
          <w:rtl/>
        </w:rPr>
        <w:t>ואיפסיקא בגמרא בהא הלכתא כתנא קמא</w:t>
      </w:r>
      <w:r>
        <w:rPr>
          <w:rFonts w:hint="cs"/>
          <w:rtl/>
        </w:rPr>
        <w:t>, ב"י.</w:t>
      </w:r>
    </w:p>
  </w:footnote>
  <w:footnote w:id="1044">
    <w:p w14:paraId="70C60713" w14:textId="77777777" w:rsidR="0013116F" w:rsidRDefault="0013116F" w:rsidP="006B4D51">
      <w:pPr>
        <w:pStyle w:val="a9"/>
      </w:pPr>
      <w:r>
        <w:rPr>
          <w:rStyle w:val="ab"/>
        </w:rPr>
        <w:footnoteRef/>
      </w:r>
      <w:r>
        <w:rPr>
          <w:rtl/>
        </w:rPr>
        <w:t xml:space="preserve"> </w:t>
      </w:r>
      <w:r>
        <w:rPr>
          <w:rFonts w:cs="Arial"/>
          <w:rtl/>
        </w:rPr>
        <w:t>מוסכם לדברי הכל</w:t>
      </w:r>
      <w:r>
        <w:rPr>
          <w:rFonts w:cs="Arial" w:hint="cs"/>
          <w:rtl/>
        </w:rPr>
        <w:t>, ב"י.</w:t>
      </w:r>
    </w:p>
  </w:footnote>
  <w:footnote w:id="1045">
    <w:p w14:paraId="780A586A" w14:textId="77777777" w:rsidR="0013116F" w:rsidRDefault="0013116F" w:rsidP="006B4D51">
      <w:pPr>
        <w:pStyle w:val="a9"/>
      </w:pPr>
      <w:r>
        <w:rPr>
          <w:rStyle w:val="ab"/>
        </w:rPr>
        <w:footnoteRef/>
      </w:r>
      <w:r>
        <w:rPr>
          <w:rtl/>
        </w:rPr>
        <w:t xml:space="preserve"> </w:t>
      </w:r>
      <w:r>
        <w:rPr>
          <w:rFonts w:cs="Arial"/>
          <w:rtl/>
        </w:rPr>
        <w:t>שק של עור שהיו שטרות של אביו מונחין בו</w:t>
      </w:r>
      <w:r>
        <w:rPr>
          <w:rFonts w:cs="Arial" w:hint="cs"/>
          <w:rtl/>
        </w:rPr>
        <w:t>, רש"י.</w:t>
      </w:r>
    </w:p>
  </w:footnote>
  <w:footnote w:id="1046">
    <w:p w14:paraId="3FEEC5BB" w14:textId="77777777" w:rsidR="0013116F" w:rsidRDefault="0013116F">
      <w:pPr>
        <w:pStyle w:val="a9"/>
      </w:pPr>
      <w:r>
        <w:rPr>
          <w:rStyle w:val="ab"/>
        </w:rPr>
        <w:footnoteRef/>
      </w:r>
      <w:r>
        <w:rPr>
          <w:rtl/>
        </w:rPr>
        <w:t xml:space="preserve"> </w:t>
      </w:r>
      <w:r w:rsidRPr="0066757C">
        <w:rPr>
          <w:rFonts w:cs="Arial"/>
          <w:rtl/>
        </w:rPr>
        <w:t>ובלבד שיעידו עדים שמצא זה בדסקיא</w:t>
      </w:r>
      <w:r>
        <w:rPr>
          <w:rFonts w:cs="Arial" w:hint="cs"/>
          <w:rtl/>
        </w:rPr>
        <w:t>,</w:t>
      </w:r>
      <w:r w:rsidRPr="00523C4A">
        <w:rPr>
          <w:rFonts w:cs="Arial"/>
          <w:rtl/>
        </w:rPr>
        <w:t xml:space="preserve"> </w:t>
      </w:r>
      <w:r w:rsidRPr="0066757C">
        <w:rPr>
          <w:rFonts w:cs="Arial"/>
          <w:rtl/>
        </w:rPr>
        <w:t xml:space="preserve">מרדכי </w:t>
      </w:r>
      <w:r w:rsidRPr="0066757C">
        <w:rPr>
          <w:rFonts w:cs="Arial"/>
          <w:sz w:val="16"/>
          <w:szCs w:val="16"/>
          <w:rtl/>
        </w:rPr>
        <w:t>(סי' תשו)</w:t>
      </w:r>
      <w:r>
        <w:rPr>
          <w:rFonts w:cs="Arial" w:hint="cs"/>
          <w:rtl/>
        </w:rPr>
        <w:t>.</w:t>
      </w:r>
      <w:r w:rsidRPr="00882ABB">
        <w:rPr>
          <w:rFonts w:hint="cs"/>
          <w:color w:val="00B0F0"/>
          <w:rtl/>
        </w:rPr>
        <w:t xml:space="preserve"> (וכ"פ הרמ"א)</w:t>
      </w:r>
    </w:p>
  </w:footnote>
  <w:footnote w:id="1047">
    <w:p w14:paraId="46246E13" w14:textId="77777777" w:rsidR="0013116F" w:rsidRDefault="0013116F" w:rsidP="00882ABB">
      <w:pPr>
        <w:pStyle w:val="a9"/>
        <w:rPr>
          <w:rtl/>
        </w:rPr>
      </w:pPr>
      <w:r>
        <w:rPr>
          <w:rStyle w:val="ab"/>
        </w:rPr>
        <w:footnoteRef/>
      </w:r>
      <w:r>
        <w:rPr>
          <w:rtl/>
        </w:rPr>
        <w:t xml:space="preserve"> </w:t>
      </w:r>
      <w:r w:rsidRPr="001F2D3C">
        <w:rPr>
          <w:rFonts w:cs="Arial"/>
          <w:rtl/>
        </w:rPr>
        <w:t>וכ</w:t>
      </w:r>
      <w:r>
        <w:rPr>
          <w:rFonts w:cs="Arial" w:hint="cs"/>
          <w:rtl/>
        </w:rPr>
        <w:t>"</w:t>
      </w:r>
      <w:r w:rsidRPr="001F2D3C">
        <w:rPr>
          <w:rFonts w:cs="Arial"/>
          <w:rtl/>
        </w:rPr>
        <w:t>כ המרדכי (סנהדרין סי' תשו)</w:t>
      </w:r>
      <w:r>
        <w:rPr>
          <w:rFonts w:cs="Arial" w:hint="cs"/>
          <w:rtl/>
        </w:rPr>
        <w:t>,</w:t>
      </w:r>
      <w:r w:rsidRPr="001F2D3C">
        <w:rPr>
          <w:rFonts w:cs="Arial"/>
          <w:rtl/>
        </w:rPr>
        <w:t xml:space="preserve"> ואע</w:t>
      </w:r>
      <w:r>
        <w:rPr>
          <w:rFonts w:cs="Arial" w:hint="cs"/>
          <w:rtl/>
        </w:rPr>
        <w:t>"</w:t>
      </w:r>
      <w:r w:rsidRPr="001F2D3C">
        <w:rPr>
          <w:rFonts w:cs="Arial"/>
          <w:rtl/>
        </w:rPr>
        <w:t xml:space="preserve">ג דבגמרא והרי"ף והרא"ש והרמב"ם קאמרו שטרותיו של אביו מופקדים כו' </w:t>
      </w:r>
      <w:r>
        <w:rPr>
          <w:rFonts w:cs="Arial" w:hint="cs"/>
          <w:rtl/>
        </w:rPr>
        <w:t xml:space="preserve">- </w:t>
      </w:r>
      <w:r w:rsidRPr="001F2D3C">
        <w:rPr>
          <w:rFonts w:cs="Arial"/>
          <w:rtl/>
        </w:rPr>
        <w:t>מכל מקום אפשר דהוא הדין שלו אלא אורחא דמילתא נקט</w:t>
      </w:r>
      <w:r>
        <w:rPr>
          <w:rFonts w:cs="Arial" w:hint="cs"/>
          <w:rtl/>
        </w:rPr>
        <w:t xml:space="preserve">, דרכ"מ </w:t>
      </w:r>
      <w:r w:rsidRPr="001F2D3C">
        <w:rPr>
          <w:rFonts w:cs="Arial"/>
          <w:rtl/>
        </w:rPr>
        <w:t>(</w:t>
      </w:r>
      <w:r>
        <w:rPr>
          <w:rFonts w:cs="Arial" w:hint="cs"/>
          <w:rtl/>
        </w:rPr>
        <w:t xml:space="preserve">אות </w:t>
      </w:r>
      <w:r w:rsidRPr="001F2D3C">
        <w:rPr>
          <w:rFonts w:cs="Arial"/>
          <w:rtl/>
        </w:rPr>
        <w:t>א*)</w:t>
      </w:r>
      <w:r>
        <w:rPr>
          <w:rFonts w:cs="Arial" w:hint="cs"/>
          <w:rtl/>
        </w:rPr>
        <w:t>.</w:t>
      </w:r>
      <w:r w:rsidRPr="00882ABB">
        <w:rPr>
          <w:rFonts w:hint="cs"/>
          <w:color w:val="00B0F0"/>
          <w:rtl/>
        </w:rPr>
        <w:t xml:space="preserve"> (וכ"</w:t>
      </w:r>
      <w:r>
        <w:rPr>
          <w:rFonts w:hint="cs"/>
          <w:color w:val="00B0F0"/>
          <w:rtl/>
        </w:rPr>
        <w:t>פ</w:t>
      </w:r>
      <w:r w:rsidRPr="00882ABB">
        <w:rPr>
          <w:rFonts w:hint="cs"/>
          <w:color w:val="00B0F0"/>
          <w:rtl/>
        </w:rPr>
        <w:t xml:space="preserve"> </w:t>
      </w:r>
      <w:r>
        <w:rPr>
          <w:rFonts w:hint="cs"/>
          <w:color w:val="00B0F0"/>
          <w:rtl/>
        </w:rPr>
        <w:t>בהגה</w:t>
      </w:r>
      <w:r w:rsidRPr="00882ABB">
        <w:rPr>
          <w:rFonts w:hint="cs"/>
          <w:color w:val="00B0F0"/>
          <w:rtl/>
        </w:rPr>
        <w:t>)</w:t>
      </w:r>
    </w:p>
  </w:footnote>
  <w:footnote w:id="1048">
    <w:p w14:paraId="7E9FB241" w14:textId="77777777" w:rsidR="0013116F" w:rsidRDefault="0013116F">
      <w:pPr>
        <w:pStyle w:val="a9"/>
        <w:rPr>
          <w:rtl/>
        </w:rPr>
      </w:pPr>
      <w:r>
        <w:rPr>
          <w:rStyle w:val="ab"/>
        </w:rPr>
        <w:footnoteRef/>
      </w:r>
      <w:r>
        <w:rPr>
          <w:rtl/>
        </w:rPr>
        <w:t xml:space="preserve"> </w:t>
      </w:r>
      <w:r>
        <w:rPr>
          <w:rFonts w:cs="Arial"/>
          <w:rtl/>
        </w:rPr>
        <w:t>כ"כ הרמב"ם ז"ל בפ"ז מהלכות סנהדרין (ה"ח) ופשוט הוא</w:t>
      </w:r>
      <w:r>
        <w:rPr>
          <w:rFonts w:hint="cs"/>
          <w:rtl/>
        </w:rPr>
        <w:t>, ב"י.</w:t>
      </w:r>
    </w:p>
  </w:footnote>
  <w:footnote w:id="1049">
    <w:p w14:paraId="4F866245" w14:textId="77777777" w:rsidR="0013116F" w:rsidRPr="0081724A" w:rsidRDefault="0013116F" w:rsidP="0081724A">
      <w:pPr>
        <w:pStyle w:val="a9"/>
        <w:rPr>
          <w:rFonts w:cs="Arial"/>
        </w:rPr>
      </w:pPr>
      <w:r>
        <w:rPr>
          <w:rStyle w:val="ab"/>
        </w:rPr>
        <w:footnoteRef/>
      </w:r>
      <w:r>
        <w:rPr>
          <w:rtl/>
        </w:rPr>
        <w:t xml:space="preserve"> </w:t>
      </w:r>
      <w:r>
        <w:rPr>
          <w:rFonts w:cs="Arial"/>
          <w:rtl/>
        </w:rPr>
        <w:t>ואני אומר שאין בזה כדי לסתור דברי הר"מ והרמב"ם דכיון דבשעת מיתת אביו לא הוה ידע במילי דאבוה משום דקטן הוה אפילו תבעוהו לדין משהגדיל אינו מכיר האנשים היודעים זכותו לשיחקור מהם</w:t>
      </w:r>
      <w:r>
        <w:rPr>
          <w:rFonts w:cs="Arial" w:hint="cs"/>
          <w:rtl/>
        </w:rPr>
        <w:t>, ב"י.</w:t>
      </w:r>
      <w:r>
        <w:rPr>
          <w:rFonts w:cs="Arial"/>
          <w:rtl/>
        </w:rPr>
        <w:t xml:space="preserve"> </w:t>
      </w:r>
      <w:r w:rsidRPr="0081724A">
        <w:rPr>
          <w:rFonts w:cs="Arial" w:hint="cs"/>
          <w:sz w:val="16"/>
          <w:szCs w:val="16"/>
          <w:rtl/>
        </w:rPr>
        <w:t xml:space="preserve">(וכתב עוד הב"י </w:t>
      </w:r>
      <w:r w:rsidRPr="0081724A">
        <w:rPr>
          <w:rFonts w:cs="Arial"/>
          <w:sz w:val="16"/>
          <w:szCs w:val="16"/>
          <w:rtl/>
        </w:rPr>
        <w:t>[ב</w:t>
      </w:r>
      <w:r w:rsidRPr="0081724A">
        <w:rPr>
          <w:rFonts w:cs="Arial" w:hint="cs"/>
          <w:sz w:val="16"/>
          <w:szCs w:val="16"/>
          <w:rtl/>
        </w:rPr>
        <w:t>ב</w:t>
      </w:r>
      <w:r w:rsidRPr="0081724A">
        <w:rPr>
          <w:rFonts w:cs="Arial"/>
          <w:sz w:val="16"/>
          <w:szCs w:val="16"/>
          <w:rtl/>
        </w:rPr>
        <w:t>ד</w:t>
      </w:r>
      <w:r w:rsidRPr="0081724A">
        <w:rPr>
          <w:rFonts w:cs="Arial" w:hint="cs"/>
          <w:sz w:val="16"/>
          <w:szCs w:val="16"/>
          <w:rtl/>
        </w:rPr>
        <w:t>ה"ב</w:t>
      </w:r>
      <w:r w:rsidRPr="0081724A">
        <w:rPr>
          <w:rFonts w:cs="Arial"/>
          <w:sz w:val="16"/>
          <w:szCs w:val="16"/>
          <w:rtl/>
        </w:rPr>
        <w:t>] ואדרבה יש לתמוה על הרא"ש ז"ל היאך עלה בדעתו דההוא דרב נחמן קטן היה ודנו רב נחמן וכי קטן בר מיקם בדינא ודיינא הוא לחייבו והא אין חבין לאדם אלא בפניו (קידושין כג.) וקטן כשלא בפניו דמי אלא ודאי גדול היה והא דקרי ליה ינוקא משום דבשעת מיתת אביו הוה ינוקא</w:t>
      </w:r>
      <w:r w:rsidRPr="0081724A">
        <w:rPr>
          <w:rFonts w:cs="Arial" w:hint="cs"/>
          <w:sz w:val="16"/>
          <w:szCs w:val="16"/>
          <w:rtl/>
        </w:rPr>
        <w:t>,</w:t>
      </w:r>
      <w:r w:rsidRPr="0081724A">
        <w:rPr>
          <w:rFonts w:cs="Arial"/>
          <w:sz w:val="16"/>
          <w:szCs w:val="16"/>
          <w:rtl/>
        </w:rPr>
        <w:t xml:space="preserve"> אי נמי משום דאע</w:t>
      </w:r>
      <w:r w:rsidRPr="0081724A">
        <w:rPr>
          <w:rFonts w:cs="Arial" w:hint="cs"/>
          <w:sz w:val="16"/>
          <w:szCs w:val="16"/>
          <w:rtl/>
        </w:rPr>
        <w:t>"</w:t>
      </w:r>
      <w:r w:rsidRPr="0081724A">
        <w:rPr>
          <w:rFonts w:cs="Arial"/>
          <w:sz w:val="16"/>
          <w:szCs w:val="16"/>
          <w:rtl/>
        </w:rPr>
        <w:t>ג דהוי בן י"ג שנה ויום אחד מיקרי ינוקא כל שאינו בן עשרים. אח</w:t>
      </w:r>
      <w:r w:rsidRPr="0081724A">
        <w:rPr>
          <w:rFonts w:cs="Arial" w:hint="cs"/>
          <w:sz w:val="16"/>
          <w:szCs w:val="16"/>
          <w:rtl/>
        </w:rPr>
        <w:t>"</w:t>
      </w:r>
      <w:r w:rsidRPr="0081724A">
        <w:rPr>
          <w:rFonts w:cs="Arial"/>
          <w:sz w:val="16"/>
          <w:szCs w:val="16"/>
          <w:rtl/>
        </w:rPr>
        <w:t>כ מצאתי בתו</w:t>
      </w:r>
      <w:r w:rsidRPr="0081724A">
        <w:rPr>
          <w:rFonts w:cs="Arial" w:hint="cs"/>
          <w:sz w:val="16"/>
          <w:szCs w:val="16"/>
          <w:rtl/>
        </w:rPr>
        <w:t>ס'</w:t>
      </w:r>
      <w:r w:rsidRPr="0081724A">
        <w:rPr>
          <w:rFonts w:cs="Arial"/>
          <w:sz w:val="16"/>
          <w:szCs w:val="16"/>
          <w:rtl/>
        </w:rPr>
        <w:t xml:space="preserve"> (סנהדרין לא. ד"ה חייביה) שיישבו תמיהתי זאת על הרא"ש</w:t>
      </w:r>
      <w:r w:rsidRPr="0081724A">
        <w:rPr>
          <w:rFonts w:cs="Arial" w:hint="cs"/>
          <w:sz w:val="16"/>
          <w:szCs w:val="16"/>
          <w:rtl/>
        </w:rPr>
        <w:t xml:space="preserve">. עכ"ל הב"י. וז"ל התוס' שם- </w:t>
      </w:r>
      <w:r w:rsidRPr="0081724A">
        <w:rPr>
          <w:rFonts w:cs="Arial"/>
          <w:sz w:val="16"/>
          <w:szCs w:val="16"/>
          <w:rtl/>
        </w:rPr>
        <w:t>אע</w:t>
      </w:r>
      <w:r w:rsidRPr="0081724A">
        <w:rPr>
          <w:rFonts w:cs="Arial" w:hint="cs"/>
          <w:sz w:val="16"/>
          <w:szCs w:val="16"/>
          <w:rtl/>
        </w:rPr>
        <w:t>"</w:t>
      </w:r>
      <w:r w:rsidRPr="0081724A">
        <w:rPr>
          <w:rFonts w:cs="Arial"/>
          <w:sz w:val="16"/>
          <w:szCs w:val="16"/>
          <w:rtl/>
        </w:rPr>
        <w:t>ג דבעלמא אין מקבלים עדים אלא בפני בעל דין גבי קטן מקבלין</w:t>
      </w:r>
      <w:r w:rsidRPr="0081724A">
        <w:rPr>
          <w:rFonts w:cs="Arial" w:hint="cs"/>
          <w:sz w:val="16"/>
          <w:szCs w:val="16"/>
          <w:rtl/>
        </w:rPr>
        <w:t>)</w:t>
      </w:r>
      <w:r>
        <w:rPr>
          <w:rFonts w:cs="Arial" w:hint="cs"/>
          <w:rtl/>
        </w:rPr>
        <w:t>.</w:t>
      </w:r>
      <w:r w:rsidRPr="0081724A">
        <w:rPr>
          <w:rFonts w:cs="Arial" w:hint="cs"/>
          <w:rtl/>
        </w:rPr>
        <w:t xml:space="preserve"> </w:t>
      </w:r>
      <w:r>
        <w:rPr>
          <w:rFonts w:cs="Arial" w:hint="cs"/>
          <w:rtl/>
        </w:rPr>
        <w:t xml:space="preserve">וכתב הדרכ"מ </w:t>
      </w:r>
      <w:r w:rsidRPr="0081724A">
        <w:rPr>
          <w:rFonts w:cs="Arial"/>
          <w:sz w:val="16"/>
          <w:szCs w:val="16"/>
          <w:rtl/>
        </w:rPr>
        <w:t>(</w:t>
      </w:r>
      <w:r w:rsidRPr="0081724A">
        <w:rPr>
          <w:rFonts w:cs="Arial" w:hint="cs"/>
          <w:sz w:val="16"/>
          <w:szCs w:val="16"/>
          <w:rtl/>
        </w:rPr>
        <w:t xml:space="preserve">אות </w:t>
      </w:r>
      <w:r w:rsidRPr="0081724A">
        <w:rPr>
          <w:rFonts w:cs="Arial"/>
          <w:sz w:val="16"/>
          <w:szCs w:val="16"/>
          <w:rtl/>
        </w:rPr>
        <w:t>ב)</w:t>
      </w:r>
      <w:r>
        <w:rPr>
          <w:rFonts w:cs="Arial"/>
          <w:rtl/>
        </w:rPr>
        <w:t xml:space="preserve"> </w:t>
      </w:r>
      <w:r>
        <w:rPr>
          <w:rFonts w:cs="Arial" w:hint="cs"/>
          <w:rtl/>
        </w:rPr>
        <w:t>ד</w:t>
      </w:r>
      <w:r>
        <w:rPr>
          <w:rFonts w:cs="Arial"/>
          <w:rtl/>
        </w:rPr>
        <w:t>מדברי כולם נראה דאם היה גדול בשעת מיתת מורישו דינו כשאר גדול וכ</w:t>
      </w:r>
      <w:r>
        <w:rPr>
          <w:rFonts w:cs="Arial" w:hint="cs"/>
          <w:rtl/>
        </w:rPr>
        <w:t>"</w:t>
      </w:r>
      <w:r>
        <w:rPr>
          <w:rFonts w:cs="Arial"/>
          <w:rtl/>
        </w:rPr>
        <w:t>פ המרדכי ס</w:t>
      </w:r>
      <w:r>
        <w:rPr>
          <w:rFonts w:cs="Arial" w:hint="cs"/>
          <w:rtl/>
        </w:rPr>
        <w:t>"פ</w:t>
      </w:r>
      <w:r>
        <w:rPr>
          <w:rFonts w:cs="Arial"/>
          <w:rtl/>
        </w:rPr>
        <w:t xml:space="preserve"> זה בורר</w:t>
      </w:r>
      <w:r w:rsidRPr="0081724A">
        <w:rPr>
          <w:rFonts w:cs="Arial"/>
          <w:sz w:val="16"/>
          <w:szCs w:val="16"/>
          <w:rtl/>
        </w:rPr>
        <w:t xml:space="preserve"> (סי' תשו)</w:t>
      </w:r>
      <w:r>
        <w:rPr>
          <w:rFonts w:cs="Arial"/>
          <w:rtl/>
        </w:rPr>
        <w:t xml:space="preserve"> ובפרק חזקת הבתים </w:t>
      </w:r>
      <w:r w:rsidRPr="0081724A">
        <w:rPr>
          <w:rFonts w:cs="Arial"/>
          <w:sz w:val="16"/>
          <w:szCs w:val="16"/>
          <w:rtl/>
        </w:rPr>
        <w:t xml:space="preserve">(ב"ב סי' תקלז) </w:t>
      </w:r>
      <w:r>
        <w:rPr>
          <w:rFonts w:cs="Arial"/>
          <w:rtl/>
        </w:rPr>
        <w:t xml:space="preserve">מתשובת מהר"ם והיא במיימון סוף ספר משפטים </w:t>
      </w:r>
      <w:r w:rsidRPr="0081724A">
        <w:rPr>
          <w:rFonts w:cs="Arial"/>
          <w:sz w:val="16"/>
          <w:szCs w:val="16"/>
          <w:rtl/>
        </w:rPr>
        <w:t>(סי' נ)</w:t>
      </w:r>
      <w:r>
        <w:rPr>
          <w:rFonts w:cs="Arial" w:hint="cs"/>
          <w:rtl/>
        </w:rPr>
        <w:t>.</w:t>
      </w:r>
    </w:p>
  </w:footnote>
  <w:footnote w:id="1050">
    <w:p w14:paraId="7174D83D" w14:textId="77777777" w:rsidR="0013116F" w:rsidRDefault="0013116F" w:rsidP="00523C4A">
      <w:pPr>
        <w:pStyle w:val="a9"/>
        <w:rPr>
          <w:rtl/>
        </w:rPr>
      </w:pPr>
      <w:r>
        <w:rPr>
          <w:rStyle w:val="ab"/>
        </w:rPr>
        <w:footnoteRef/>
      </w:r>
      <w:r>
        <w:rPr>
          <w:rtl/>
        </w:rPr>
        <w:t xml:space="preserve"> </w:t>
      </w:r>
      <w:r w:rsidRPr="001F2D3C">
        <w:rPr>
          <w:rFonts w:cs="Arial"/>
          <w:rtl/>
        </w:rPr>
        <w:t>ונראה לי דאם היה גדול בשעת מיתה פשיטא כה"ג לכו</w:t>
      </w:r>
      <w:r>
        <w:rPr>
          <w:rFonts w:cs="Arial" w:hint="cs"/>
          <w:rtl/>
        </w:rPr>
        <w:t>"</w:t>
      </w:r>
      <w:r w:rsidRPr="001F2D3C">
        <w:rPr>
          <w:rFonts w:cs="Arial"/>
          <w:rtl/>
        </w:rPr>
        <w:t>ע לא יכול לסתור הדין</w:t>
      </w:r>
      <w:r>
        <w:rPr>
          <w:rFonts w:cs="Arial" w:hint="cs"/>
          <w:rtl/>
        </w:rPr>
        <w:t xml:space="preserve">, דרכ"מ </w:t>
      </w:r>
      <w:r w:rsidRPr="001F2D3C">
        <w:rPr>
          <w:rFonts w:cs="Arial"/>
          <w:rtl/>
        </w:rPr>
        <w:t>(</w:t>
      </w:r>
      <w:r>
        <w:rPr>
          <w:rFonts w:cs="Arial" w:hint="cs"/>
          <w:rtl/>
        </w:rPr>
        <w:t xml:space="preserve">אות </w:t>
      </w:r>
      <w:r w:rsidRPr="001F2D3C">
        <w:rPr>
          <w:rFonts w:cs="Arial"/>
          <w:rtl/>
        </w:rPr>
        <w:t>א**)</w:t>
      </w:r>
      <w:r>
        <w:rPr>
          <w:rFonts w:cs="Arial" w:hint="cs"/>
          <w:rtl/>
        </w:rPr>
        <w:t>.</w:t>
      </w:r>
    </w:p>
  </w:footnote>
  <w:footnote w:id="1051">
    <w:p w14:paraId="2A98A0EF" w14:textId="77777777" w:rsidR="0013116F" w:rsidRDefault="0013116F" w:rsidP="00261803">
      <w:pPr>
        <w:pStyle w:val="a9"/>
        <w:rPr>
          <w:rtl/>
        </w:rPr>
      </w:pPr>
      <w:r>
        <w:rPr>
          <w:rStyle w:val="ab"/>
        </w:rPr>
        <w:footnoteRef/>
      </w:r>
      <w:r w:rsidRPr="00B441C7">
        <w:rPr>
          <w:rFonts w:cs="Arial"/>
          <w:rtl/>
        </w:rPr>
        <w:t xml:space="preserve"> </w:t>
      </w:r>
      <w:r>
        <w:rPr>
          <w:rFonts w:cs="Arial" w:hint="cs"/>
          <w:rtl/>
        </w:rPr>
        <w:t>ו</w:t>
      </w:r>
      <w:r w:rsidRPr="00B441C7">
        <w:rPr>
          <w:rFonts w:cs="Arial"/>
          <w:rtl/>
        </w:rPr>
        <w:t>כ"כ בד</w:t>
      </w:r>
      <w:r>
        <w:rPr>
          <w:rFonts w:cs="Arial" w:hint="cs"/>
          <w:rtl/>
        </w:rPr>
        <w:t>רכ</w:t>
      </w:r>
      <w:r w:rsidRPr="00B441C7">
        <w:rPr>
          <w:rFonts w:cs="Arial"/>
          <w:rtl/>
        </w:rPr>
        <w:t>"מ סי</w:t>
      </w:r>
      <w:r>
        <w:rPr>
          <w:rFonts w:cs="Arial" w:hint="cs"/>
          <w:rtl/>
        </w:rPr>
        <w:t>'</w:t>
      </w:r>
      <w:r w:rsidRPr="00B441C7">
        <w:rPr>
          <w:rFonts w:cs="Arial"/>
          <w:rtl/>
        </w:rPr>
        <w:t xml:space="preserve"> טז </w:t>
      </w:r>
      <w:r w:rsidRPr="00B441C7">
        <w:rPr>
          <w:rFonts w:cs="Arial"/>
          <w:sz w:val="16"/>
          <w:szCs w:val="16"/>
          <w:rtl/>
        </w:rPr>
        <w:t>[סע</w:t>
      </w:r>
      <w:r w:rsidRPr="00B441C7">
        <w:rPr>
          <w:rFonts w:cs="Arial" w:hint="cs"/>
          <w:sz w:val="16"/>
          <w:szCs w:val="16"/>
          <w:rtl/>
        </w:rPr>
        <w:t>'</w:t>
      </w:r>
      <w:r w:rsidRPr="00B441C7">
        <w:rPr>
          <w:rFonts w:cs="Arial"/>
          <w:sz w:val="16"/>
          <w:szCs w:val="16"/>
          <w:rtl/>
        </w:rPr>
        <w:t xml:space="preserve"> א] </w:t>
      </w:r>
      <w:r w:rsidRPr="00B441C7">
        <w:rPr>
          <w:rFonts w:cs="Arial"/>
          <w:rtl/>
        </w:rPr>
        <w:t xml:space="preserve">בשם רשב"א </w:t>
      </w:r>
      <w:r w:rsidRPr="00B441C7">
        <w:rPr>
          <w:rFonts w:cs="Arial"/>
          <w:sz w:val="16"/>
          <w:szCs w:val="16"/>
          <w:rtl/>
        </w:rPr>
        <w:t>[ח"א סי' תתצט]</w:t>
      </w:r>
      <w:r>
        <w:rPr>
          <w:rFonts w:hint="cs"/>
          <w:rtl/>
        </w:rPr>
        <w:t xml:space="preserve"> וכ"כ הסמ"ע </w:t>
      </w:r>
      <w:r w:rsidRPr="00B441C7">
        <w:rPr>
          <w:rFonts w:hint="cs"/>
          <w:sz w:val="16"/>
          <w:szCs w:val="16"/>
          <w:rtl/>
        </w:rPr>
        <w:t>(סק"א)</w:t>
      </w:r>
      <w:r>
        <w:rPr>
          <w:rFonts w:hint="cs"/>
          <w:rtl/>
        </w:rPr>
        <w:t>.</w:t>
      </w:r>
      <w:r w:rsidRPr="00261803">
        <w:rPr>
          <w:rFonts w:cs="Arial"/>
          <w:sz w:val="16"/>
          <w:szCs w:val="16"/>
          <w:rtl/>
        </w:rPr>
        <w:t xml:space="preserve"> </w:t>
      </w:r>
      <w:r w:rsidRPr="00261803">
        <w:rPr>
          <w:rFonts w:cs="Arial"/>
          <w:rtl/>
        </w:rPr>
        <w:t>וע</w:t>
      </w:r>
      <w:r w:rsidRPr="00261803">
        <w:rPr>
          <w:rFonts w:cs="Arial" w:hint="cs"/>
          <w:rtl/>
        </w:rPr>
        <w:t>"</w:t>
      </w:r>
      <w:r w:rsidRPr="00261803">
        <w:rPr>
          <w:rFonts w:cs="Arial"/>
          <w:rtl/>
        </w:rPr>
        <w:t>ל סי</w:t>
      </w:r>
      <w:r w:rsidRPr="00261803">
        <w:rPr>
          <w:rFonts w:cs="Arial" w:hint="cs"/>
          <w:rtl/>
        </w:rPr>
        <w:t>'</w:t>
      </w:r>
      <w:r w:rsidRPr="00261803">
        <w:rPr>
          <w:rFonts w:cs="Arial"/>
          <w:rtl/>
        </w:rPr>
        <w:t xml:space="preserve"> כא וס</w:t>
      </w:r>
      <w:r w:rsidRPr="00261803">
        <w:rPr>
          <w:rFonts w:cs="Arial" w:hint="cs"/>
          <w:rtl/>
        </w:rPr>
        <w:t>"</w:t>
      </w:r>
      <w:r w:rsidRPr="00261803">
        <w:rPr>
          <w:rFonts w:cs="Arial"/>
          <w:rtl/>
        </w:rPr>
        <w:t>ס כד ורז סע</w:t>
      </w:r>
      <w:r w:rsidRPr="00261803">
        <w:rPr>
          <w:rFonts w:cs="Arial" w:hint="cs"/>
          <w:rtl/>
        </w:rPr>
        <w:t>'</w:t>
      </w:r>
      <w:r w:rsidRPr="00261803">
        <w:rPr>
          <w:rFonts w:cs="Arial"/>
          <w:rtl/>
        </w:rPr>
        <w:t xml:space="preserve"> טו</w:t>
      </w:r>
      <w:r>
        <w:rPr>
          <w:rFonts w:cs="Arial" w:hint="cs"/>
          <w:rtl/>
        </w:rPr>
        <w:t>.</w:t>
      </w:r>
    </w:p>
  </w:footnote>
  <w:footnote w:id="1052">
    <w:p w14:paraId="3C62C592" w14:textId="77777777" w:rsidR="0013116F" w:rsidRDefault="0013116F">
      <w:pPr>
        <w:pStyle w:val="a9"/>
        <w:rPr>
          <w:rtl/>
        </w:rPr>
      </w:pPr>
      <w:r>
        <w:rPr>
          <w:rStyle w:val="ab"/>
        </w:rPr>
        <w:footnoteRef/>
      </w:r>
      <w:r>
        <w:rPr>
          <w:rtl/>
        </w:rPr>
        <w:t xml:space="preserve"> </w:t>
      </w:r>
      <w:r>
        <w:rPr>
          <w:rFonts w:hint="cs"/>
          <w:rtl/>
        </w:rPr>
        <w:t xml:space="preserve">וכ' הב"י </w:t>
      </w:r>
      <w:r>
        <w:rPr>
          <w:rFonts w:cs="Arial" w:hint="cs"/>
          <w:rtl/>
        </w:rPr>
        <w:t>ל</w:t>
      </w:r>
      <w:r w:rsidRPr="0066757C">
        <w:rPr>
          <w:rFonts w:cs="Arial"/>
          <w:rtl/>
        </w:rPr>
        <w:t>עיין במהרי"ק שורש פ"ט</w:t>
      </w:r>
      <w:r>
        <w:rPr>
          <w:rFonts w:cs="Arial" w:hint="cs"/>
          <w:rtl/>
        </w:rPr>
        <w:t>.</w:t>
      </w:r>
    </w:p>
  </w:footnote>
  <w:footnote w:id="1053">
    <w:p w14:paraId="3442363A" w14:textId="77777777" w:rsidR="0013116F" w:rsidRDefault="0013116F">
      <w:pPr>
        <w:pStyle w:val="a9"/>
        <w:rPr>
          <w:rtl/>
        </w:rPr>
      </w:pPr>
      <w:r>
        <w:rPr>
          <w:rStyle w:val="ab"/>
        </w:rPr>
        <w:footnoteRef/>
      </w:r>
      <w:r>
        <w:rPr>
          <w:rtl/>
        </w:rPr>
        <w:t xml:space="preserve"> </w:t>
      </w:r>
      <w:r w:rsidRPr="0066757C">
        <w:rPr>
          <w:rFonts w:cs="Arial"/>
          <w:rtl/>
        </w:rPr>
        <w:t xml:space="preserve">וכ"כ בכלל י"ג </w:t>
      </w:r>
      <w:r w:rsidRPr="00882ABB">
        <w:rPr>
          <w:rFonts w:cs="Arial" w:hint="cs"/>
          <w:sz w:val="16"/>
          <w:szCs w:val="16"/>
          <w:rtl/>
        </w:rPr>
        <w:t>(</w:t>
      </w:r>
      <w:r w:rsidRPr="00882ABB">
        <w:rPr>
          <w:rFonts w:cs="Arial"/>
          <w:sz w:val="16"/>
          <w:szCs w:val="16"/>
          <w:rtl/>
        </w:rPr>
        <w:t>סי</w:t>
      </w:r>
      <w:r w:rsidRPr="00882ABB">
        <w:rPr>
          <w:rFonts w:cs="Arial" w:hint="cs"/>
          <w:sz w:val="16"/>
          <w:szCs w:val="16"/>
          <w:rtl/>
        </w:rPr>
        <w:t>'</w:t>
      </w:r>
      <w:r w:rsidRPr="00882ABB">
        <w:rPr>
          <w:rFonts w:cs="Arial"/>
          <w:sz w:val="16"/>
          <w:szCs w:val="16"/>
          <w:rtl/>
        </w:rPr>
        <w:t xml:space="preserve"> כ) </w:t>
      </w:r>
      <w:r w:rsidRPr="0066757C">
        <w:rPr>
          <w:rFonts w:cs="Arial"/>
          <w:rtl/>
        </w:rPr>
        <w:t>וז"ל</w:t>
      </w:r>
      <w:r>
        <w:rPr>
          <w:rFonts w:cs="Arial" w:hint="cs"/>
          <w:rtl/>
        </w:rPr>
        <w:t>-</w:t>
      </w:r>
      <w:r w:rsidRPr="0066757C">
        <w:rPr>
          <w:rFonts w:cs="Arial"/>
          <w:rtl/>
        </w:rPr>
        <w:t xml:space="preserve"> בטענות אחרות יכולים לבא כיון שלא שאלום הדיינים אם יש להם טענות אחרות לחייב ראובן</w:t>
      </w:r>
      <w:r>
        <w:rPr>
          <w:rFonts w:cs="Arial" w:hint="cs"/>
          <w:rtl/>
        </w:rPr>
        <w:t>,</w:t>
      </w:r>
      <w:r w:rsidRPr="0066757C">
        <w:rPr>
          <w:rFonts w:cs="Arial"/>
          <w:rtl/>
        </w:rPr>
        <w:t xml:space="preserve"> בודאי אם שאלום ואמרו אין לנו זכות וראיה יותר לחייבו אז לא היו יכולים להביא ראיה. ומה שטענו הקהל שזכות שלהם הוא ביד אחד מהקהל שהיה במדינת הים ורצו לדמותו לההיא דדסקיא של אביו מופקדת ביד אחרים</w:t>
      </w:r>
      <w:r>
        <w:rPr>
          <w:rFonts w:cs="Arial" w:hint="cs"/>
          <w:rtl/>
        </w:rPr>
        <w:t xml:space="preserve"> -</w:t>
      </w:r>
      <w:r w:rsidRPr="0066757C">
        <w:rPr>
          <w:rFonts w:cs="Arial"/>
          <w:rtl/>
        </w:rPr>
        <w:t xml:space="preserve"> לא דמי</w:t>
      </w:r>
      <w:r>
        <w:rPr>
          <w:rFonts w:cs="Arial" w:hint="cs"/>
          <w:rtl/>
        </w:rPr>
        <w:t>,</w:t>
      </w:r>
      <w:r w:rsidRPr="0066757C">
        <w:rPr>
          <w:rFonts w:cs="Arial"/>
          <w:rtl/>
        </w:rPr>
        <w:t xml:space="preserve"> דהתם מיירי ביורש שאינו יודע במילי דאבוה ואין יודע מה זכות היה לאביו באותה דסקיא</w:t>
      </w:r>
      <w:r>
        <w:rPr>
          <w:rFonts w:cs="Arial" w:hint="cs"/>
          <w:rtl/>
        </w:rPr>
        <w:t>,</w:t>
      </w:r>
      <w:r w:rsidRPr="0066757C">
        <w:rPr>
          <w:rFonts w:cs="Arial"/>
          <w:rtl/>
        </w:rPr>
        <w:t xml:space="preserve"> אבל בנדון זה בענין הקהל דבר גלוי ומפורסם הוא וא</w:t>
      </w:r>
      <w:r>
        <w:rPr>
          <w:rFonts w:cs="Arial" w:hint="cs"/>
          <w:rtl/>
        </w:rPr>
        <w:t>"</w:t>
      </w:r>
      <w:r w:rsidRPr="0066757C">
        <w:rPr>
          <w:rFonts w:cs="Arial"/>
          <w:rtl/>
        </w:rPr>
        <w:t>א שלא ידעו הקהל באותם הדברים שהם טוענים עתה</w:t>
      </w:r>
      <w:r>
        <w:rPr>
          <w:rFonts w:cs="Arial" w:hint="cs"/>
          <w:rtl/>
        </w:rPr>
        <w:t>,</w:t>
      </w:r>
      <w:r w:rsidRPr="0066757C">
        <w:rPr>
          <w:rFonts w:cs="Arial"/>
          <w:rtl/>
        </w:rPr>
        <w:t xml:space="preserve"> והיה להם להזכיר הדברים באותה שעה ולומר יש לנו זכות וראיה ואין עתה בידינו</w:t>
      </w:r>
      <w:r>
        <w:rPr>
          <w:rFonts w:cs="Arial" w:hint="cs"/>
          <w:rtl/>
        </w:rPr>
        <w:t>.</w:t>
      </w:r>
    </w:p>
  </w:footnote>
  <w:footnote w:id="1054">
    <w:p w14:paraId="6B270DC8" w14:textId="77777777" w:rsidR="0013116F" w:rsidRDefault="0013116F">
      <w:pPr>
        <w:pStyle w:val="a9"/>
      </w:pPr>
      <w:r>
        <w:rPr>
          <w:rStyle w:val="ab"/>
        </w:rPr>
        <w:footnoteRef/>
      </w:r>
      <w:r>
        <w:rPr>
          <w:rtl/>
        </w:rPr>
        <w:t xml:space="preserve"> </w:t>
      </w:r>
      <w:r w:rsidRPr="00B441C7">
        <w:rPr>
          <w:rFonts w:cs="Arial"/>
          <w:rtl/>
        </w:rPr>
        <w:t xml:space="preserve">דכיון דאמר אין לי עדים אמרינן הני עדי שקר הן ששכרן אחר שראה שנתחייב. רש"י </w:t>
      </w:r>
      <w:r w:rsidRPr="00B441C7">
        <w:rPr>
          <w:rFonts w:cs="Arial" w:hint="cs"/>
          <w:sz w:val="16"/>
          <w:szCs w:val="16"/>
          <w:rtl/>
        </w:rPr>
        <w:t>[</w:t>
      </w:r>
      <w:r w:rsidRPr="00B441C7">
        <w:rPr>
          <w:rFonts w:cs="Arial"/>
          <w:sz w:val="16"/>
          <w:szCs w:val="16"/>
          <w:rtl/>
        </w:rPr>
        <w:t>לא</w:t>
      </w:r>
      <w:r w:rsidRPr="00B441C7">
        <w:rPr>
          <w:rFonts w:cs="Arial" w:hint="cs"/>
          <w:sz w:val="16"/>
          <w:szCs w:val="16"/>
          <w:rtl/>
        </w:rPr>
        <w:t>.</w:t>
      </w:r>
      <w:r w:rsidRPr="00B441C7">
        <w:rPr>
          <w:rFonts w:cs="Arial"/>
          <w:sz w:val="16"/>
          <w:szCs w:val="16"/>
          <w:rtl/>
        </w:rPr>
        <w:t xml:space="preserve"> ד"ה הרי]</w:t>
      </w:r>
      <w:r w:rsidRPr="00B441C7">
        <w:rPr>
          <w:rFonts w:cs="Arial"/>
          <w:rtl/>
        </w:rPr>
        <w:t>. ועי</w:t>
      </w:r>
      <w:r>
        <w:rPr>
          <w:rFonts w:cs="Arial" w:hint="cs"/>
          <w:rtl/>
        </w:rPr>
        <w:t>'</w:t>
      </w:r>
      <w:r w:rsidRPr="00B441C7">
        <w:rPr>
          <w:rFonts w:cs="Arial"/>
          <w:rtl/>
        </w:rPr>
        <w:t xml:space="preserve"> פרישה </w:t>
      </w:r>
      <w:r w:rsidRPr="00B441C7">
        <w:rPr>
          <w:rFonts w:cs="Arial"/>
          <w:sz w:val="16"/>
          <w:szCs w:val="16"/>
          <w:rtl/>
        </w:rPr>
        <w:t>[ס</w:t>
      </w:r>
      <w:r w:rsidRPr="00B441C7">
        <w:rPr>
          <w:rFonts w:cs="Arial" w:hint="cs"/>
          <w:sz w:val="16"/>
          <w:szCs w:val="16"/>
          <w:rtl/>
        </w:rPr>
        <w:t>וף</w:t>
      </w:r>
      <w:r w:rsidRPr="00B441C7">
        <w:rPr>
          <w:rFonts w:cs="Arial"/>
          <w:sz w:val="16"/>
          <w:szCs w:val="16"/>
          <w:rtl/>
        </w:rPr>
        <w:t xml:space="preserve"> הסי</w:t>
      </w:r>
      <w:r w:rsidRPr="00B441C7">
        <w:rPr>
          <w:rFonts w:cs="Arial" w:hint="cs"/>
          <w:sz w:val="16"/>
          <w:szCs w:val="16"/>
          <w:rtl/>
        </w:rPr>
        <w:t>'</w:t>
      </w:r>
      <w:r w:rsidRPr="00B441C7">
        <w:rPr>
          <w:rFonts w:cs="Arial"/>
          <w:sz w:val="16"/>
          <w:szCs w:val="16"/>
          <w:rtl/>
        </w:rPr>
        <w:t>]</w:t>
      </w:r>
      <w:r w:rsidRPr="00B441C7">
        <w:rPr>
          <w:rFonts w:cs="Arial"/>
          <w:rtl/>
        </w:rPr>
        <w:t>, שם הוכחתי דאפילו אם ניכר הדבר שלא שכרן, אפ"ה אם הוא גדול ואמר תחילה אין לי עדים וראיה תו אין מקבלין עדות,</w:t>
      </w:r>
      <w:r>
        <w:rPr>
          <w:rFonts w:cs="Arial" w:hint="cs"/>
          <w:rtl/>
        </w:rPr>
        <w:t xml:space="preserve"> סמ"ע </w:t>
      </w:r>
      <w:r w:rsidRPr="00B441C7">
        <w:rPr>
          <w:rFonts w:cs="Arial" w:hint="cs"/>
          <w:sz w:val="16"/>
          <w:szCs w:val="16"/>
          <w:rtl/>
        </w:rPr>
        <w:t>(סק"ג)</w:t>
      </w:r>
      <w:r>
        <w:rPr>
          <w:rFonts w:cs="Arial" w:hint="cs"/>
          <w:rtl/>
        </w:rPr>
        <w:t>.</w:t>
      </w:r>
    </w:p>
  </w:footnote>
  <w:footnote w:id="1055">
    <w:p w14:paraId="5448B322" w14:textId="77777777" w:rsidR="0013116F" w:rsidRDefault="0013116F">
      <w:pPr>
        <w:pStyle w:val="a9"/>
      </w:pPr>
      <w:r>
        <w:rPr>
          <w:rStyle w:val="ab"/>
        </w:rPr>
        <w:footnoteRef/>
      </w:r>
      <w:r>
        <w:rPr>
          <w:rtl/>
        </w:rPr>
        <w:t xml:space="preserve"> </w:t>
      </w:r>
      <w:r w:rsidRPr="00B441C7">
        <w:rPr>
          <w:rFonts w:cs="Arial"/>
          <w:rtl/>
        </w:rPr>
        <w:t>דכיון דידע מעדותיו וראיותיו הללו ואמר אין לי, הרי נראה שזייף ושקר הוא, ומתחילה לא היה ניחא ליה להסתייע מזיופיה כל זמן שלא נצטרך לו כמו עתה שרואה שנתחייב בדין</w:t>
      </w:r>
      <w:r>
        <w:rPr>
          <w:rFonts w:cs="Arial" w:hint="cs"/>
          <w:rtl/>
        </w:rPr>
        <w:t>, סמ"ע (סק"ד).</w:t>
      </w:r>
    </w:p>
  </w:footnote>
  <w:footnote w:id="1056">
    <w:p w14:paraId="040CF466" w14:textId="77777777" w:rsidR="0013116F" w:rsidRDefault="0013116F">
      <w:pPr>
        <w:pStyle w:val="a9"/>
        <w:rPr>
          <w:rtl/>
        </w:rPr>
      </w:pPr>
      <w:r>
        <w:rPr>
          <w:rStyle w:val="ab"/>
        </w:rPr>
        <w:footnoteRef/>
      </w:r>
      <w:r>
        <w:rPr>
          <w:rtl/>
        </w:rPr>
        <w:t xml:space="preserve"> </w:t>
      </w:r>
      <w:r w:rsidRPr="008C5238">
        <w:rPr>
          <w:rFonts w:cs="Arial"/>
          <w:rtl/>
        </w:rPr>
        <w:t>ולאו דוקא עדות וראיה, אלא ה"ה אם טען טענה אחת ולא שאלו הב"ד אם יש לו עוד טענות או זכיות אחרים, שיכול לטעון אח"כ טענות אחרות שאינן סותרות את הראשונות ולסתור בהן הדין, וכ"כ הרא"ש בכלל י"ג (סי"ט)</w:t>
      </w:r>
      <w:r>
        <w:rPr>
          <w:rFonts w:cs="Arial" w:hint="cs"/>
          <w:rtl/>
        </w:rPr>
        <w:t xml:space="preserve"> </w:t>
      </w:r>
      <w:r w:rsidRPr="008C5238">
        <w:rPr>
          <w:rFonts w:cs="Arial"/>
          <w:rtl/>
        </w:rPr>
        <w:t>והביאו בד"מ</w:t>
      </w:r>
      <w:r>
        <w:rPr>
          <w:rFonts w:hint="cs"/>
          <w:rtl/>
        </w:rPr>
        <w:t>, סמ"ע (סק"ה).</w:t>
      </w:r>
      <w:r w:rsidRPr="006115E1">
        <w:rPr>
          <w:rtl/>
        </w:rPr>
        <w:t xml:space="preserve"> </w:t>
      </w:r>
      <w:r w:rsidRPr="006115E1">
        <w:rPr>
          <w:rFonts w:cs="Arial"/>
          <w:rtl/>
        </w:rPr>
        <w:t>וה"ה אם שאלוהו יש לך ראיה ושתק, מביא וסותר או טוען עוד,</w:t>
      </w:r>
      <w:r>
        <w:rPr>
          <w:rFonts w:hint="cs"/>
          <w:rtl/>
        </w:rPr>
        <w:t xml:space="preserve"> ש"ך (סק"ב).</w:t>
      </w:r>
    </w:p>
  </w:footnote>
  <w:footnote w:id="1057">
    <w:p w14:paraId="0008A6C1" w14:textId="77777777" w:rsidR="0013116F" w:rsidRDefault="0013116F">
      <w:pPr>
        <w:pStyle w:val="a9"/>
      </w:pPr>
      <w:r>
        <w:rPr>
          <w:rStyle w:val="ab"/>
        </w:rPr>
        <w:footnoteRef/>
      </w:r>
      <w:r>
        <w:rPr>
          <w:rtl/>
        </w:rPr>
        <w:t xml:space="preserve"> </w:t>
      </w:r>
      <w:r w:rsidRPr="008C5238">
        <w:rPr>
          <w:rFonts w:cs="Arial"/>
          <w:rtl/>
        </w:rPr>
        <w:t xml:space="preserve">האי אצלו לאו דוקא קאמר, אלא ה"ה אם מופקד ביד אחר שהוא עמו בעיר בשעה שאמר אין לי, ג"כ אין יכול להביא אח"כ ראיה ולסתור, דומיא דעדים </w:t>
      </w:r>
      <w:r w:rsidRPr="008C5238">
        <w:rPr>
          <w:rFonts w:cs="Arial" w:hint="cs"/>
          <w:sz w:val="16"/>
          <w:szCs w:val="16"/>
          <w:rtl/>
        </w:rPr>
        <w:t>(</w:t>
      </w:r>
      <w:r w:rsidRPr="008C5238">
        <w:rPr>
          <w:rFonts w:cs="Arial"/>
          <w:sz w:val="16"/>
          <w:szCs w:val="16"/>
          <w:rtl/>
        </w:rPr>
        <w:t>אלא שבראיה שייך לומר אצלו, דגם כשהיתה ביד הנפקד היא מונחת בכוחו וברשותו, ובידו לקחת ממנו אימת שירצה כיון שהנפקד בעיר, משו"ה אצלו מיקרי. משא"כ בעדים דאינו ברשותו, ומשו"ה קאמר שם הן עמו במדינה</w:t>
      </w:r>
      <w:r>
        <w:rPr>
          <w:rFonts w:cs="Arial" w:hint="cs"/>
          <w:sz w:val="16"/>
          <w:szCs w:val="16"/>
          <w:rtl/>
        </w:rPr>
        <w:t>)</w:t>
      </w:r>
      <w:r>
        <w:rPr>
          <w:rFonts w:cs="Arial" w:hint="cs"/>
          <w:rtl/>
        </w:rPr>
        <w:t>, סמ"ע</w:t>
      </w:r>
      <w:r>
        <w:rPr>
          <w:rFonts w:cs="Arial" w:hint="cs"/>
        </w:rPr>
        <w:t xml:space="preserve"> </w:t>
      </w:r>
      <w:r>
        <w:rPr>
          <w:rFonts w:cs="Arial" w:hint="cs"/>
          <w:rtl/>
        </w:rPr>
        <w:t>(סק"ו).</w:t>
      </w:r>
    </w:p>
  </w:footnote>
  <w:footnote w:id="1058">
    <w:p w14:paraId="66F1E858" w14:textId="77777777" w:rsidR="0013116F" w:rsidRDefault="0013116F">
      <w:pPr>
        <w:pStyle w:val="a9"/>
      </w:pPr>
      <w:r>
        <w:rPr>
          <w:rStyle w:val="ab"/>
        </w:rPr>
        <w:footnoteRef/>
      </w:r>
      <w:r>
        <w:rPr>
          <w:rtl/>
        </w:rPr>
        <w:t xml:space="preserve"> </w:t>
      </w:r>
      <w:r w:rsidRPr="001E2363">
        <w:rPr>
          <w:rFonts w:cs="Arial"/>
          <w:rtl/>
        </w:rPr>
        <w:t>והנפקד אינו בעיר</w:t>
      </w:r>
      <w:r>
        <w:rPr>
          <w:rFonts w:cs="Arial" w:hint="cs"/>
          <w:rtl/>
        </w:rPr>
        <w:t>, אורים (סק"ד).</w:t>
      </w:r>
    </w:p>
  </w:footnote>
  <w:footnote w:id="1059">
    <w:p w14:paraId="696B5494" w14:textId="77777777" w:rsidR="0013116F" w:rsidRDefault="0013116F" w:rsidP="00C6349C">
      <w:pPr>
        <w:pStyle w:val="a9"/>
        <w:rPr>
          <w:rtl/>
        </w:rPr>
      </w:pPr>
      <w:r>
        <w:rPr>
          <w:rStyle w:val="ab"/>
        </w:rPr>
        <w:footnoteRef/>
      </w:r>
      <w:r>
        <w:rPr>
          <w:rtl/>
        </w:rPr>
        <w:t xml:space="preserve"> </w:t>
      </w:r>
      <w:r w:rsidRPr="008C5238">
        <w:rPr>
          <w:rFonts w:cs="Arial"/>
          <w:rtl/>
        </w:rPr>
        <w:t xml:space="preserve">הוכחתי בפרישה ודרישה דס"ל להמרדכי </w:t>
      </w:r>
      <w:r>
        <w:rPr>
          <w:rFonts w:cs="Arial" w:hint="cs"/>
          <w:rtl/>
        </w:rPr>
        <w:t>[</w:t>
      </w:r>
      <w:r w:rsidRPr="008C5238">
        <w:rPr>
          <w:rFonts w:cs="Arial"/>
          <w:rtl/>
        </w:rPr>
        <w:t>סי' תשו] והטור דלאו דוקא של אביו קאמר הגמרא, אלא ה"ה שלו כיון דהנפקד לא היה בעיר כשאמר אין לי</w:t>
      </w:r>
      <w:r>
        <w:rPr>
          <w:rFonts w:cs="Arial" w:hint="cs"/>
          <w:rtl/>
        </w:rPr>
        <w:t>...</w:t>
      </w:r>
      <w:r w:rsidRPr="008C5238">
        <w:rPr>
          <w:rFonts w:cs="Arial"/>
          <w:rtl/>
        </w:rPr>
        <w:t xml:space="preserve"> אלא אורחא דמילתא נקט, וכ"כ מור"ם בד</w:t>
      </w:r>
      <w:r>
        <w:rPr>
          <w:rFonts w:cs="Arial" w:hint="cs"/>
          <w:rtl/>
        </w:rPr>
        <w:t>רכ</w:t>
      </w:r>
      <w:r w:rsidRPr="008C5238">
        <w:rPr>
          <w:rFonts w:cs="Arial"/>
          <w:rtl/>
        </w:rPr>
        <w:t xml:space="preserve">"מ שלו </w:t>
      </w:r>
      <w:r w:rsidRPr="008C5238">
        <w:rPr>
          <w:rFonts w:cs="Arial" w:hint="cs"/>
          <w:sz w:val="16"/>
          <w:szCs w:val="16"/>
          <w:rtl/>
        </w:rPr>
        <w:t>(</w:t>
      </w:r>
      <w:r w:rsidRPr="008C5238">
        <w:rPr>
          <w:rFonts w:cs="Arial"/>
          <w:sz w:val="16"/>
          <w:szCs w:val="16"/>
          <w:rtl/>
        </w:rPr>
        <w:t>גם הוכחתי כן מטעם הרמב"ם והטור דסיימי בזה וכתבו ז"ל, דיכול לומר זה שאמרתי אין לי עדים וראיה מפני שלא היו מצויים אצלי, וזה הטעם שייך ג"כ בשטרות של עצמו, דאל"כ הל"ל מפני "שלא ידעתי" בהן, ע"ש</w:t>
      </w:r>
      <w:r>
        <w:rPr>
          <w:rFonts w:cs="Arial" w:hint="cs"/>
          <w:sz w:val="16"/>
          <w:szCs w:val="16"/>
          <w:rtl/>
        </w:rPr>
        <w:t>)</w:t>
      </w:r>
      <w:r w:rsidRPr="008C5238">
        <w:rPr>
          <w:rFonts w:cs="Arial"/>
          <w:rtl/>
        </w:rPr>
        <w:t>, ובהיות כן לא היה לו למור"ם לכתוב זה כאן בשם י"א כו' דנראה דליכא פלוגתא בהא</w:t>
      </w:r>
      <w:r>
        <w:rPr>
          <w:rFonts w:hint="cs"/>
          <w:rtl/>
        </w:rPr>
        <w:t>, סמ"ע (סק"ז).</w:t>
      </w:r>
    </w:p>
  </w:footnote>
  <w:footnote w:id="1060">
    <w:p w14:paraId="5598ACB9" w14:textId="77777777" w:rsidR="0013116F" w:rsidRDefault="0013116F">
      <w:pPr>
        <w:pStyle w:val="a9"/>
      </w:pPr>
      <w:r>
        <w:rPr>
          <w:rStyle w:val="ab"/>
        </w:rPr>
        <w:footnoteRef/>
      </w:r>
      <w:r>
        <w:rPr>
          <w:rtl/>
        </w:rPr>
        <w:t xml:space="preserve"> </w:t>
      </w:r>
      <w:r w:rsidRPr="00C6349C">
        <w:rPr>
          <w:rFonts w:cs="Arial"/>
          <w:rtl/>
        </w:rPr>
        <w:t>ס"ל דלא אמרו של אביו אלא בהוה</w:t>
      </w:r>
      <w:r>
        <w:rPr>
          <w:rFonts w:cs="Arial" w:hint="cs"/>
          <w:rtl/>
        </w:rPr>
        <w:t>,</w:t>
      </w:r>
      <w:r w:rsidRPr="00C6349C">
        <w:rPr>
          <w:rFonts w:cs="Arial"/>
          <w:rtl/>
        </w:rPr>
        <w:t xml:space="preserve"> שדרך שלא לידע</w:t>
      </w:r>
      <w:r>
        <w:rPr>
          <w:rFonts w:cs="Arial" w:hint="cs"/>
          <w:rtl/>
        </w:rPr>
        <w:t>, גר"א (סק"ד).</w:t>
      </w:r>
    </w:p>
  </w:footnote>
  <w:footnote w:id="1061">
    <w:p w14:paraId="5D2711D1" w14:textId="77777777" w:rsidR="0013116F" w:rsidRDefault="0013116F">
      <w:pPr>
        <w:pStyle w:val="a9"/>
        <w:rPr>
          <w:rtl/>
        </w:rPr>
      </w:pPr>
      <w:r>
        <w:rPr>
          <w:rStyle w:val="ab"/>
        </w:rPr>
        <w:footnoteRef/>
      </w:r>
      <w:r>
        <w:rPr>
          <w:rtl/>
        </w:rPr>
        <w:t xml:space="preserve"> </w:t>
      </w:r>
      <w:r w:rsidRPr="0005090B">
        <w:rPr>
          <w:rFonts w:cs="Arial"/>
          <w:rtl/>
        </w:rPr>
        <w:t xml:space="preserve">ממדינת הים והוציא לו ראיותיו </w:t>
      </w:r>
      <w:r w:rsidRPr="0005090B">
        <w:rPr>
          <w:rFonts w:cs="Arial" w:hint="cs"/>
          <w:sz w:val="16"/>
          <w:szCs w:val="16"/>
          <w:rtl/>
        </w:rPr>
        <w:t xml:space="preserve">(כמו בעדים, </w:t>
      </w:r>
      <w:r w:rsidRPr="0005090B">
        <w:rPr>
          <w:rFonts w:cs="Arial"/>
          <w:sz w:val="16"/>
          <w:szCs w:val="16"/>
          <w:rtl/>
        </w:rPr>
        <w:t>והא דלא כללינהו הרמב"ם והטור והמחבר לעדים וראיה בבבא אחת, משום דבעדות מיירי דבשעה שאומר אין לי עדים לא היו העדים עמו במדינה כלל, ובראיה מיירי אפילו אם היתה הראיה עמו בעיר ביד אחר בשעה שאמר אין לי, רק שהנפקד לא היה עמו במדינה אותה שעה. והשתא א"ש שכתב לשון ובא ולשון והוציא</w:t>
      </w:r>
      <w:r>
        <w:rPr>
          <w:rFonts w:cs="Arial" w:hint="cs"/>
          <w:sz w:val="16"/>
          <w:szCs w:val="16"/>
          <w:rtl/>
        </w:rPr>
        <w:t>)</w:t>
      </w:r>
      <w:r>
        <w:rPr>
          <w:rFonts w:cs="Arial" w:hint="cs"/>
          <w:rtl/>
        </w:rPr>
        <w:t>, סמ"ע (סק"ח)</w:t>
      </w:r>
      <w:r w:rsidRPr="0005090B">
        <w:rPr>
          <w:rFonts w:cs="Arial"/>
          <w:rtl/>
        </w:rPr>
        <w:t>.</w:t>
      </w:r>
      <w:r w:rsidRPr="006115E1">
        <w:rPr>
          <w:rtl/>
        </w:rPr>
        <w:t xml:space="preserve"> </w:t>
      </w:r>
    </w:p>
  </w:footnote>
  <w:footnote w:id="1062">
    <w:p w14:paraId="3EE36C3F" w14:textId="77777777" w:rsidR="0013116F" w:rsidRDefault="0013116F">
      <w:pPr>
        <w:pStyle w:val="a9"/>
      </w:pPr>
      <w:r>
        <w:rPr>
          <w:rStyle w:val="ab"/>
        </w:rPr>
        <w:footnoteRef/>
      </w:r>
      <w:r>
        <w:rPr>
          <w:rtl/>
        </w:rPr>
        <w:t xml:space="preserve"> </w:t>
      </w:r>
      <w:r w:rsidRPr="0005090B">
        <w:rPr>
          <w:rFonts w:cs="Arial"/>
          <w:rtl/>
        </w:rPr>
        <w:t xml:space="preserve">ונראה שצריך לטעון כן הוא בעצמו ואין הב"ד טוענין לו </w:t>
      </w:r>
      <w:r w:rsidRPr="0005090B">
        <w:rPr>
          <w:rFonts w:cs="Arial" w:hint="cs"/>
          <w:sz w:val="16"/>
          <w:szCs w:val="16"/>
          <w:rtl/>
        </w:rPr>
        <w:t>(</w:t>
      </w:r>
      <w:r w:rsidRPr="0005090B">
        <w:rPr>
          <w:rFonts w:cs="Arial"/>
          <w:sz w:val="16"/>
          <w:szCs w:val="16"/>
          <w:rtl/>
        </w:rPr>
        <w:t>וכן משמע מדכתב אחר זה ז"ל, וכל זמן שיכול לטעון כו' והיה ממש בדבריו. אבל בטור כתב ז"ל, שמ"ש אין לי ראיה ועדים ר"ל כו', משמע שהב"ד טוענין כן. מיהו אינו מוכח, אלא י"ל דה"ק דמ"ש תחילה אין לי כו' סובל פירוש זה ומשום הכי שומעין לו כשמתרץ דבריו כן, ומפני שפשוט הוא בעיניו לא כ"כ בפירוש</w:t>
      </w:r>
      <w:r>
        <w:rPr>
          <w:rFonts w:cs="Arial" w:hint="cs"/>
          <w:sz w:val="16"/>
          <w:szCs w:val="16"/>
          <w:rtl/>
        </w:rPr>
        <w:t>)</w:t>
      </w:r>
      <w:r>
        <w:rPr>
          <w:rFonts w:cs="Arial" w:hint="cs"/>
          <w:rtl/>
        </w:rPr>
        <w:t>, סמ"ע (סק"ט).</w:t>
      </w:r>
    </w:p>
  </w:footnote>
  <w:footnote w:id="1063">
    <w:p w14:paraId="35BC8740" w14:textId="77777777" w:rsidR="0013116F" w:rsidRDefault="0013116F">
      <w:pPr>
        <w:pStyle w:val="a9"/>
        <w:rPr>
          <w:rtl/>
        </w:rPr>
      </w:pPr>
      <w:r>
        <w:rPr>
          <w:rStyle w:val="ab"/>
        </w:rPr>
        <w:footnoteRef/>
      </w:r>
      <w:r>
        <w:rPr>
          <w:rtl/>
        </w:rPr>
        <w:t xml:space="preserve"> </w:t>
      </w:r>
      <w:r>
        <w:rPr>
          <w:rFonts w:cs="Arial" w:hint="cs"/>
          <w:rtl/>
        </w:rPr>
        <w:t>הא דצריך עדים שיאמרו כן הוא משום דה</w:t>
      </w:r>
      <w:r w:rsidRPr="00A70DA8">
        <w:rPr>
          <w:rFonts w:cs="Arial"/>
          <w:rtl/>
        </w:rPr>
        <w:t>רמ"א איירי</w:t>
      </w:r>
      <w:r>
        <w:rPr>
          <w:rFonts w:cs="Arial" w:hint="cs"/>
          <w:rtl/>
        </w:rPr>
        <w:t xml:space="preserve"> כאן</w:t>
      </w:r>
      <w:r w:rsidRPr="00A70DA8">
        <w:rPr>
          <w:rFonts w:cs="Arial"/>
          <w:rtl/>
        </w:rPr>
        <w:t xml:space="preserve"> בקטן אף בשעת תביעה, </w:t>
      </w:r>
      <w:r>
        <w:rPr>
          <w:rFonts w:cs="Arial" w:hint="cs"/>
          <w:rtl/>
        </w:rPr>
        <w:t>ד</w:t>
      </w:r>
      <w:r w:rsidRPr="00A70DA8">
        <w:rPr>
          <w:rFonts w:cs="Arial"/>
          <w:rtl/>
        </w:rPr>
        <w:t>אמרינן מסתמא לא היה בידו</w:t>
      </w:r>
      <w:r>
        <w:rPr>
          <w:rFonts w:cs="Arial" w:hint="cs"/>
          <w:rtl/>
        </w:rPr>
        <w:t>,</w:t>
      </w:r>
      <w:r w:rsidRPr="00A70DA8">
        <w:rPr>
          <w:rFonts w:cs="Arial"/>
          <w:rtl/>
        </w:rPr>
        <w:t xml:space="preserve"> דמהיכי תיתי יהיה בידו היותו קטן וממש אבידה מדעת, אבל אם הוא גדול רק במות מורישו היה קטן, ודאי דאמרינן כשהגדיל נמסר כל פקדון אביו בידו ועליו להביא ראיה שלא היה בידו</w:t>
      </w:r>
      <w:r>
        <w:rPr>
          <w:rFonts w:cs="Arial" w:hint="cs"/>
          <w:rtl/>
        </w:rPr>
        <w:t>, אורים (סק"י)</w:t>
      </w:r>
      <w:r w:rsidRPr="00A70DA8">
        <w:rPr>
          <w:rFonts w:cs="Arial"/>
          <w:rtl/>
        </w:rPr>
        <w:t>.</w:t>
      </w:r>
    </w:p>
  </w:footnote>
  <w:footnote w:id="1064">
    <w:p w14:paraId="1C9D7E57" w14:textId="77777777" w:rsidR="0013116F" w:rsidRDefault="0013116F" w:rsidP="006115E1">
      <w:pPr>
        <w:pStyle w:val="a9"/>
        <w:rPr>
          <w:rtl/>
        </w:rPr>
      </w:pPr>
      <w:r>
        <w:rPr>
          <w:rStyle w:val="ab"/>
        </w:rPr>
        <w:footnoteRef/>
      </w:r>
      <w:r>
        <w:rPr>
          <w:rtl/>
        </w:rPr>
        <w:t xml:space="preserve"> </w:t>
      </w:r>
      <w:r w:rsidRPr="00A70DA8">
        <w:rPr>
          <w:rFonts w:cs="Arial"/>
          <w:rtl/>
        </w:rPr>
        <w:t>גם זה יש הבדל, דאם הוא קטן אף בעת התביעה אמרינן מסתמא לא ידע עד שידעינן בבירור שידע בהם, אבל אם הוא גדול בעת התביעה וקטן במות מורישו אמרינן מסתמא כשהגדיל קרא בהן וצריך לברר שלא קרא בהן, וכ"כ סמ"ע (סקי"א)</w:t>
      </w:r>
      <w:r>
        <w:rPr>
          <w:rFonts w:cs="Arial" w:hint="cs"/>
          <w:rtl/>
        </w:rPr>
        <w:t xml:space="preserve">, אורים </w:t>
      </w:r>
      <w:r>
        <w:rPr>
          <w:rFonts w:hint="cs"/>
          <w:rtl/>
        </w:rPr>
        <w:t>(סקי"א). וכ"כ הנתיבות (סק"ט).</w:t>
      </w:r>
    </w:p>
  </w:footnote>
  <w:footnote w:id="1065">
    <w:p w14:paraId="61048C25" w14:textId="77777777" w:rsidR="0013116F" w:rsidRDefault="0013116F">
      <w:pPr>
        <w:pStyle w:val="a9"/>
      </w:pPr>
      <w:r>
        <w:rPr>
          <w:rStyle w:val="ab"/>
        </w:rPr>
        <w:footnoteRef/>
      </w:r>
      <w:r>
        <w:rPr>
          <w:rtl/>
        </w:rPr>
        <w:t xml:space="preserve"> </w:t>
      </w:r>
      <w:r w:rsidRPr="006115E1">
        <w:rPr>
          <w:rFonts w:cs="Arial"/>
          <w:rtl/>
        </w:rPr>
        <w:t>וממילא בקמייתא יכול לסתור ובבתרייתא אינו יכול לסתור</w:t>
      </w:r>
      <w:r>
        <w:rPr>
          <w:rFonts w:cs="Arial" w:hint="cs"/>
          <w:rtl/>
        </w:rPr>
        <w:t>, סמ"ע (סקי"ב).</w:t>
      </w:r>
    </w:p>
  </w:footnote>
  <w:footnote w:id="1066">
    <w:p w14:paraId="06815EA8" w14:textId="77777777" w:rsidR="0013116F" w:rsidRDefault="0013116F">
      <w:pPr>
        <w:pStyle w:val="a9"/>
        <w:rPr>
          <w:rtl/>
        </w:rPr>
      </w:pPr>
      <w:r>
        <w:rPr>
          <w:rStyle w:val="ab"/>
        </w:rPr>
        <w:footnoteRef/>
      </w:r>
      <w:r>
        <w:rPr>
          <w:rtl/>
        </w:rPr>
        <w:t xml:space="preserve"> </w:t>
      </w:r>
      <w:r>
        <w:rPr>
          <w:rFonts w:hint="cs"/>
          <w:rtl/>
        </w:rPr>
        <w:t xml:space="preserve">סימן </w:t>
      </w:r>
      <w:r>
        <w:rPr>
          <w:rtl/>
        </w:rPr>
        <w:t>–</w:t>
      </w:r>
      <w:r>
        <w:rPr>
          <w:rFonts w:hint="cs"/>
          <w:rtl/>
        </w:rPr>
        <w:t xml:space="preserve"> כלו זכויותי.</w:t>
      </w:r>
    </w:p>
  </w:footnote>
  <w:footnote w:id="1067">
    <w:p w14:paraId="2C190622" w14:textId="77777777" w:rsidR="0013116F" w:rsidRDefault="0013116F">
      <w:pPr>
        <w:pStyle w:val="a9"/>
      </w:pPr>
      <w:r>
        <w:rPr>
          <w:rStyle w:val="ab"/>
        </w:rPr>
        <w:footnoteRef/>
      </w:r>
      <w:r>
        <w:rPr>
          <w:rtl/>
        </w:rPr>
        <w:t xml:space="preserve"> </w:t>
      </w:r>
      <w:r w:rsidRPr="00961B80">
        <w:rPr>
          <w:rFonts w:cs="Arial"/>
          <w:rtl/>
        </w:rPr>
        <w:t xml:space="preserve">וכ"כ המרדכי ריש סנהדרין </w:t>
      </w:r>
      <w:r w:rsidRPr="00DB267B">
        <w:rPr>
          <w:rFonts w:cs="Arial"/>
          <w:sz w:val="16"/>
          <w:szCs w:val="16"/>
          <w:rtl/>
        </w:rPr>
        <w:t xml:space="preserve">(סי' תרעז) </w:t>
      </w:r>
      <w:r w:rsidRPr="00961B80">
        <w:rPr>
          <w:rFonts w:cs="Arial"/>
          <w:rtl/>
        </w:rPr>
        <w:t>דוקא קנו מידו</w:t>
      </w:r>
      <w:r>
        <w:rPr>
          <w:rFonts w:cs="Arial" w:hint="cs"/>
          <w:rtl/>
        </w:rPr>
        <w:t>,</w:t>
      </w:r>
      <w:r w:rsidRPr="00961B80">
        <w:rPr>
          <w:rFonts w:cs="Arial"/>
          <w:rtl/>
        </w:rPr>
        <w:t xml:space="preserve"> דבלא קנין לאו כלום הוא</w:t>
      </w:r>
      <w:r>
        <w:rPr>
          <w:rFonts w:cs="Arial" w:hint="cs"/>
          <w:rtl/>
        </w:rPr>
        <w:t>.</w:t>
      </w:r>
      <w:r w:rsidRPr="00961B80">
        <w:rPr>
          <w:rFonts w:cs="Arial"/>
          <w:rtl/>
        </w:rPr>
        <w:t xml:space="preserve"> ולכן אם קבעו לו הבית דין זמן להזמין חבירו וקבל עליו שאם לא יזמינו עד הזמן המוגבל שוב לא יזמינוהו </w:t>
      </w:r>
      <w:r>
        <w:rPr>
          <w:rFonts w:cs="Arial" w:hint="cs"/>
          <w:rtl/>
        </w:rPr>
        <w:t xml:space="preserve">- </w:t>
      </w:r>
      <w:r w:rsidRPr="00961B80">
        <w:rPr>
          <w:rFonts w:cs="Arial"/>
          <w:rtl/>
        </w:rPr>
        <w:t xml:space="preserve">אם לא קבל קנין לאו כלום הוא </w:t>
      </w:r>
      <w:r w:rsidRPr="00DB267B">
        <w:rPr>
          <w:rFonts w:cs="Arial" w:hint="cs"/>
          <w:sz w:val="16"/>
          <w:szCs w:val="16"/>
          <w:rtl/>
        </w:rPr>
        <w:t>(</w:t>
      </w:r>
      <w:r w:rsidRPr="00DB267B">
        <w:rPr>
          <w:rFonts w:cs="Arial"/>
          <w:sz w:val="16"/>
          <w:szCs w:val="16"/>
          <w:rtl/>
        </w:rPr>
        <w:t>וכן הוא בתשובת הרשב"א סימן תתצ"ט</w:t>
      </w:r>
      <w:r w:rsidRPr="00DB267B">
        <w:rPr>
          <w:rFonts w:cs="Arial" w:hint="cs"/>
          <w:sz w:val="16"/>
          <w:szCs w:val="16"/>
          <w:rtl/>
        </w:rPr>
        <w:t>,</w:t>
      </w:r>
      <w:r w:rsidRPr="00DB267B">
        <w:rPr>
          <w:rFonts w:cs="Arial"/>
          <w:sz w:val="16"/>
          <w:szCs w:val="16"/>
          <w:rtl/>
        </w:rPr>
        <w:t xml:space="preserve"> ועיין לקמן סימן ר"ז בדיני אסמכתא</w:t>
      </w:r>
      <w:r>
        <w:rPr>
          <w:rFonts w:cs="Arial" w:hint="cs"/>
          <w:sz w:val="16"/>
          <w:szCs w:val="16"/>
          <w:rtl/>
        </w:rPr>
        <w:t>)</w:t>
      </w:r>
      <w:r>
        <w:rPr>
          <w:rFonts w:cs="Arial" w:hint="cs"/>
          <w:rtl/>
        </w:rPr>
        <w:t>,</w:t>
      </w:r>
      <w:r w:rsidRPr="00961B80">
        <w:rPr>
          <w:rFonts w:cs="Arial"/>
          <w:rtl/>
        </w:rPr>
        <w:t xml:space="preserve"> וכשקנו מידו אין נותנין לו זמן יותר </w:t>
      </w:r>
      <w:r w:rsidRPr="00DB267B">
        <w:rPr>
          <w:rFonts w:cs="Arial" w:hint="cs"/>
          <w:sz w:val="16"/>
          <w:szCs w:val="16"/>
          <w:rtl/>
        </w:rPr>
        <w:t>(</w:t>
      </w:r>
      <w:r w:rsidRPr="00DB267B">
        <w:rPr>
          <w:rFonts w:cs="Arial"/>
          <w:sz w:val="16"/>
          <w:szCs w:val="16"/>
          <w:rtl/>
        </w:rPr>
        <w:t>ועיין לעיל סימן י"ט (ס"ד)</w:t>
      </w:r>
      <w:r>
        <w:rPr>
          <w:rFonts w:cs="Arial" w:hint="cs"/>
          <w:sz w:val="16"/>
          <w:szCs w:val="16"/>
          <w:rtl/>
        </w:rPr>
        <w:t>)</w:t>
      </w:r>
      <w:r>
        <w:rPr>
          <w:rFonts w:cs="Arial" w:hint="cs"/>
          <w:rtl/>
        </w:rPr>
        <w:t>, דרכ"מ (אות א).</w:t>
      </w:r>
      <w:r>
        <w:rPr>
          <w:rFonts w:hint="cs"/>
          <w:rtl/>
        </w:rPr>
        <w:t xml:space="preserve"> </w:t>
      </w:r>
      <w:r w:rsidRPr="009E7277">
        <w:rPr>
          <w:rFonts w:hint="cs"/>
          <w:color w:val="00B0F0"/>
          <w:rtl/>
        </w:rPr>
        <w:t>(וכ"פ בהגה)</w:t>
      </w:r>
    </w:p>
  </w:footnote>
  <w:footnote w:id="1068">
    <w:p w14:paraId="570D1B8B" w14:textId="77777777" w:rsidR="0013116F" w:rsidRDefault="0013116F">
      <w:pPr>
        <w:pStyle w:val="a9"/>
        <w:rPr>
          <w:rtl/>
        </w:rPr>
      </w:pPr>
      <w:r>
        <w:rPr>
          <w:rStyle w:val="ab"/>
        </w:rPr>
        <w:footnoteRef/>
      </w:r>
      <w:r>
        <w:rPr>
          <w:rtl/>
        </w:rPr>
        <w:t xml:space="preserve"> </w:t>
      </w:r>
      <w:r w:rsidRPr="00961B80">
        <w:rPr>
          <w:rFonts w:cs="Arial"/>
          <w:rtl/>
        </w:rPr>
        <w:t>וכתב סמ"ג (עשין צז קפז ע"ד) על זה</w:t>
      </w:r>
      <w:r>
        <w:rPr>
          <w:rFonts w:cs="Arial" w:hint="cs"/>
          <w:rtl/>
        </w:rPr>
        <w:t>-</w:t>
      </w:r>
      <w:r w:rsidRPr="00961B80">
        <w:rPr>
          <w:rFonts w:cs="Arial"/>
          <w:rtl/>
        </w:rPr>
        <w:t xml:space="preserve"> כן הורו הגאונים (תשובות גאונים קדמונים סי' פו). וכן ראיתי בירושלמי דקדושין (פ"ג ה"ב) אם לא אעשה כך ביום פלוני יהא כך</w:t>
      </w:r>
      <w:r>
        <w:rPr>
          <w:rFonts w:cs="Arial" w:hint="cs"/>
          <w:rtl/>
        </w:rPr>
        <w:t>,</w:t>
      </w:r>
      <w:r w:rsidRPr="00961B80">
        <w:rPr>
          <w:rFonts w:cs="Arial"/>
          <w:rtl/>
        </w:rPr>
        <w:t xml:space="preserve"> וארעו אונס</w:t>
      </w:r>
      <w:r>
        <w:rPr>
          <w:rFonts w:cs="Arial" w:hint="cs"/>
          <w:rtl/>
        </w:rPr>
        <w:t>,</w:t>
      </w:r>
      <w:r w:rsidRPr="00961B80">
        <w:rPr>
          <w:rFonts w:cs="Arial"/>
          <w:rtl/>
        </w:rPr>
        <w:t xml:space="preserve"> רבי יוחנן אמר אונסא במה דלא עבר</w:t>
      </w:r>
      <w:r>
        <w:rPr>
          <w:rFonts w:cs="Arial" w:hint="cs"/>
          <w:rtl/>
        </w:rPr>
        <w:t>,</w:t>
      </w:r>
      <w:r w:rsidRPr="00961B80">
        <w:rPr>
          <w:rFonts w:cs="Arial"/>
          <w:rtl/>
        </w:rPr>
        <w:t xml:space="preserve"> ריש לקיש אמר אונסא במה דעבר</w:t>
      </w:r>
      <w:r>
        <w:rPr>
          <w:rFonts w:cs="Arial" w:hint="cs"/>
          <w:rtl/>
        </w:rPr>
        <w:t>,</w:t>
      </w:r>
      <w:r w:rsidRPr="00961B80">
        <w:rPr>
          <w:rFonts w:cs="Arial"/>
          <w:rtl/>
        </w:rPr>
        <w:t xml:space="preserve"> והלכה כרבי יוחנן</w:t>
      </w:r>
      <w:r w:rsidRPr="00961B80">
        <w:rPr>
          <w:rtl/>
        </w:rPr>
        <w:t xml:space="preserve"> </w:t>
      </w:r>
      <w:r w:rsidRPr="00961B80">
        <w:rPr>
          <w:rFonts w:cs="Arial"/>
          <w:rtl/>
        </w:rPr>
        <w:t>לגבי ריש לקיש</w:t>
      </w:r>
      <w:r>
        <w:rPr>
          <w:rFonts w:cs="Arial" w:hint="cs"/>
          <w:rtl/>
        </w:rPr>
        <w:t xml:space="preserve"> </w:t>
      </w:r>
      <w:r>
        <w:rPr>
          <w:rFonts w:cs="Arial" w:hint="cs"/>
          <w:sz w:val="16"/>
          <w:szCs w:val="16"/>
          <w:rtl/>
        </w:rPr>
        <w:t>(</w:t>
      </w:r>
      <w:r w:rsidRPr="00961B80">
        <w:rPr>
          <w:rFonts w:cs="Arial" w:hint="cs"/>
          <w:sz w:val="16"/>
          <w:szCs w:val="16"/>
          <w:rtl/>
        </w:rPr>
        <w:t>עכ"ל הסמ"ג)</w:t>
      </w:r>
      <w:r>
        <w:rPr>
          <w:rFonts w:cs="Arial" w:hint="cs"/>
          <w:rtl/>
        </w:rPr>
        <w:t>, ב"י.</w:t>
      </w:r>
    </w:p>
  </w:footnote>
  <w:footnote w:id="1069">
    <w:p w14:paraId="2CE6917E" w14:textId="77777777" w:rsidR="0013116F" w:rsidRDefault="0013116F">
      <w:pPr>
        <w:pStyle w:val="a9"/>
      </w:pPr>
      <w:r>
        <w:rPr>
          <w:rStyle w:val="ab"/>
        </w:rPr>
        <w:footnoteRef/>
      </w:r>
      <w:r>
        <w:rPr>
          <w:rtl/>
        </w:rPr>
        <w:t xml:space="preserve"> </w:t>
      </w:r>
      <w:r w:rsidRPr="00485247">
        <w:rPr>
          <w:rFonts w:cs="Arial"/>
          <w:rtl/>
        </w:rPr>
        <w:t>אתרווייהו קאי, אקמייתא שצריך ליתן לחבירו ואתנינא שחבירו נפטר</w:t>
      </w:r>
      <w:r>
        <w:rPr>
          <w:rFonts w:cs="Arial" w:hint="cs"/>
          <w:rtl/>
        </w:rPr>
        <w:t>, סמ"ע (סק"ב).</w:t>
      </w:r>
      <w:r w:rsidRPr="009F33FC">
        <w:rPr>
          <w:rtl/>
        </w:rPr>
        <w:t xml:space="preserve"> </w:t>
      </w:r>
      <w:r>
        <w:rPr>
          <w:rFonts w:cs="Arial" w:hint="cs"/>
          <w:rtl/>
        </w:rPr>
        <w:t>ו</w:t>
      </w:r>
      <w:r w:rsidRPr="009F33FC">
        <w:rPr>
          <w:rFonts w:cs="Arial"/>
          <w:rtl/>
        </w:rPr>
        <w:t>זו ואצ"ל זו היא, דאם יכול לאפקועי ממון בקנין זה, מכ"ש שיפטר חבירו עי"ז. אלא משום סיפא דאונס נקט דהו"ל לא זו אף זו. אי נמי משום דקניניהן אינן שוין, דבקמייתא צריך קנין בב"ד חשוב ובתנינא א"צ בב"ד חשוב וכמו שאכתוב בסמוך, משו"ה הוצרך לכתוב תרווייהו כל חד כדינו</w:t>
      </w:r>
      <w:r>
        <w:rPr>
          <w:rFonts w:hint="cs"/>
          <w:rtl/>
        </w:rPr>
        <w:t>, סמ"ע (סק"א).</w:t>
      </w:r>
    </w:p>
  </w:footnote>
  <w:footnote w:id="1070">
    <w:p w14:paraId="24685B21" w14:textId="77777777" w:rsidR="0013116F" w:rsidRDefault="0013116F">
      <w:pPr>
        <w:pStyle w:val="a9"/>
        <w:rPr>
          <w:rtl/>
        </w:rPr>
      </w:pPr>
      <w:r>
        <w:rPr>
          <w:rStyle w:val="ab"/>
        </w:rPr>
        <w:footnoteRef/>
      </w:r>
      <w:r>
        <w:rPr>
          <w:rtl/>
        </w:rPr>
        <w:t xml:space="preserve"> </w:t>
      </w:r>
      <w:r w:rsidRPr="009F33FC">
        <w:rPr>
          <w:rFonts w:cs="Arial"/>
          <w:rtl/>
        </w:rPr>
        <w:t>פירוש, לענין שלא יאבד זכותו, אלא אבד זכותו מיד ונתחייב מיד בכל מה שחייב עצמו, אבל אם תובע זמן לפרוע מה שחייב, נותנין לו כדלקמן סימן ק' [סע</w:t>
      </w:r>
      <w:r>
        <w:rPr>
          <w:rFonts w:cs="Arial" w:hint="cs"/>
          <w:rtl/>
        </w:rPr>
        <w:t>'</w:t>
      </w:r>
      <w:r w:rsidRPr="009F33FC">
        <w:rPr>
          <w:rFonts w:cs="Arial"/>
          <w:rtl/>
        </w:rPr>
        <w:t xml:space="preserve"> א], וכן הוא בתשובת רשב"א </w:t>
      </w:r>
      <w:r>
        <w:rPr>
          <w:rFonts w:cs="Arial" w:hint="cs"/>
          <w:rtl/>
        </w:rPr>
        <w:t>(</w:t>
      </w:r>
      <w:r w:rsidRPr="009F33FC">
        <w:rPr>
          <w:rFonts w:cs="Arial"/>
          <w:rtl/>
        </w:rPr>
        <w:t>ח"א סי' תתקלג</w:t>
      </w:r>
      <w:r>
        <w:rPr>
          <w:rFonts w:cs="Arial" w:hint="cs"/>
          <w:rtl/>
        </w:rPr>
        <w:t>)</w:t>
      </w:r>
      <w:r w:rsidRPr="009F33FC">
        <w:rPr>
          <w:rFonts w:cs="Arial"/>
          <w:rtl/>
        </w:rPr>
        <w:t xml:space="preserve"> בהדיא, ומסיים בה כאותה ששנינו בפרק גט פשוט [ב"ב קסח</w:t>
      </w:r>
      <w:r>
        <w:rPr>
          <w:rFonts w:cs="Arial" w:hint="cs"/>
          <w:rtl/>
        </w:rPr>
        <w:t>.</w:t>
      </w:r>
      <w:r w:rsidRPr="009F33FC">
        <w:rPr>
          <w:rFonts w:cs="Arial"/>
          <w:rtl/>
        </w:rPr>
        <w:t>] מי שפרע מקצת חובו והשליש שטרו, ואמר אם לא נתתי לו מכאן ועד יום פלוני החזר לו את שטרו, והגיע זמן ולא נתן יחזיר לו את שטרו, בזה נותנים לו זמן ל' יום כזמן שנותנים לכל מי שיתחייב בב"ד לפרוע לבעל חובו, ע"כ. ועיין עוד שם כי הב"י [סימן י"ט ד"ה כתב הרשב"א] מביא תשובת רשב"א בקצרה, ובתשובה דפוס שם מבואר הדבר על נכון</w:t>
      </w:r>
      <w:r>
        <w:rPr>
          <w:rFonts w:hint="cs"/>
          <w:rtl/>
        </w:rPr>
        <w:t>, ש"ך (סק"א).</w:t>
      </w:r>
    </w:p>
  </w:footnote>
  <w:footnote w:id="1071">
    <w:p w14:paraId="527CB7FC" w14:textId="77777777" w:rsidR="0013116F" w:rsidRDefault="0013116F">
      <w:pPr>
        <w:pStyle w:val="a9"/>
      </w:pPr>
      <w:r>
        <w:rPr>
          <w:rStyle w:val="ab"/>
        </w:rPr>
        <w:footnoteRef/>
      </w:r>
      <w:r>
        <w:rPr>
          <w:rtl/>
        </w:rPr>
        <w:t xml:space="preserve"> </w:t>
      </w:r>
      <w:r w:rsidRPr="009F33FC">
        <w:rPr>
          <w:rFonts w:cs="Arial"/>
          <w:rtl/>
        </w:rPr>
        <w:t>פירוש, והו"ל כאילו לא קנה בקנין מעולם, ואפילו עבר ממנו אח"כ האונס ולא בא מיד, יבוא כשירצה וישבע</w:t>
      </w:r>
      <w:r>
        <w:rPr>
          <w:rFonts w:cs="Arial" w:hint="cs"/>
          <w:rtl/>
        </w:rPr>
        <w:t>, סמ"ע (סק"ד).</w:t>
      </w:r>
    </w:p>
  </w:footnote>
  <w:footnote w:id="1072">
    <w:p w14:paraId="15AB24D4" w14:textId="77777777" w:rsidR="0013116F" w:rsidRDefault="0013116F">
      <w:pPr>
        <w:pStyle w:val="a9"/>
        <w:rPr>
          <w:rtl/>
        </w:rPr>
      </w:pPr>
      <w:r>
        <w:rPr>
          <w:rStyle w:val="ab"/>
        </w:rPr>
        <w:footnoteRef/>
      </w:r>
      <w:r>
        <w:rPr>
          <w:rtl/>
        </w:rPr>
        <w:t xml:space="preserve"> </w:t>
      </w:r>
      <w:r w:rsidRPr="009F33FC">
        <w:rPr>
          <w:rFonts w:cs="Arial"/>
          <w:rtl/>
        </w:rPr>
        <w:t>ה</w:t>
      </w:r>
      <w:r>
        <w:rPr>
          <w:rFonts w:cs="Arial" w:hint="cs"/>
          <w:rtl/>
        </w:rPr>
        <w:t xml:space="preserve">וה </w:t>
      </w:r>
      <w:r w:rsidRPr="009F33FC">
        <w:rPr>
          <w:rFonts w:cs="Arial"/>
          <w:rtl/>
        </w:rPr>
        <w:t>מ</w:t>
      </w:r>
      <w:r>
        <w:rPr>
          <w:rFonts w:cs="Arial" w:hint="cs"/>
          <w:rtl/>
        </w:rPr>
        <w:t>צי</w:t>
      </w:r>
      <w:r w:rsidRPr="009F33FC">
        <w:rPr>
          <w:rFonts w:cs="Arial"/>
          <w:rtl/>
        </w:rPr>
        <w:t xml:space="preserve"> למכתב רבותא דיכול לבוא אח"כ לישבע וליטול, אלא דכתבו במאי דפתח תחילה. ועיין פרישה שכתבתי עוד די"ל דס"ל להרמב"ם [פ"ז מסנהדרין ה"י] והטור, דדוקא לענין לישבע ולמיפטר הו"ל כאילו לא קנה מידו אף שכבר עבר האונס ולא בא, משא"כ לענין לישבע וליטול, ע"ש. וצ"ע לדינא</w:t>
      </w:r>
      <w:r>
        <w:rPr>
          <w:rFonts w:hint="cs"/>
          <w:rtl/>
        </w:rPr>
        <w:t>, סמ"ע (סק"ה).</w:t>
      </w:r>
      <w:r w:rsidRPr="00143FD2">
        <w:rPr>
          <w:rtl/>
        </w:rPr>
        <w:t xml:space="preserve"> </w:t>
      </w:r>
      <w:r>
        <w:rPr>
          <w:rFonts w:hint="cs"/>
          <w:rtl/>
        </w:rPr>
        <w:t xml:space="preserve">אך הש"ך (סק"ד) כתב דלא צריך עיון לדינא אלא </w:t>
      </w:r>
      <w:r w:rsidRPr="00143FD2">
        <w:rPr>
          <w:rFonts w:cs="Arial"/>
          <w:rtl/>
        </w:rPr>
        <w:t>ה"ה בדין השני יכול לבוא אח"כ וישבע ויטול</w:t>
      </w:r>
      <w:r>
        <w:rPr>
          <w:rFonts w:cs="Arial" w:hint="cs"/>
          <w:rtl/>
        </w:rPr>
        <w:t xml:space="preserve">... </w:t>
      </w:r>
      <w:r w:rsidRPr="00143FD2">
        <w:rPr>
          <w:rFonts w:cs="Arial"/>
          <w:rtl/>
        </w:rPr>
        <w:t xml:space="preserve">ונכלל במ"ש </w:t>
      </w:r>
      <w:r>
        <w:rPr>
          <w:rFonts w:cs="Arial" w:hint="cs"/>
          <w:sz w:val="16"/>
          <w:szCs w:val="16"/>
          <w:rtl/>
        </w:rPr>
        <w:t xml:space="preserve">{השו"ע} </w:t>
      </w:r>
      <w:r>
        <w:rPr>
          <w:rFonts w:cs="Arial" w:hint="cs"/>
          <w:rtl/>
        </w:rPr>
        <w:t>'</w:t>
      </w:r>
      <w:r w:rsidRPr="00143FD2">
        <w:rPr>
          <w:rFonts w:cs="Arial"/>
          <w:rtl/>
        </w:rPr>
        <w:t>וכן כל כיוצא בזה</w:t>
      </w:r>
      <w:r>
        <w:rPr>
          <w:rFonts w:cs="Arial" w:hint="cs"/>
          <w:rtl/>
        </w:rPr>
        <w:t>'</w:t>
      </w:r>
      <w:r w:rsidRPr="00143FD2">
        <w:rPr>
          <w:rFonts w:cs="Arial"/>
          <w:rtl/>
        </w:rPr>
        <w:t>, וכן דעת הב"ח [ד"ה ומ"ש]</w:t>
      </w:r>
      <w:r>
        <w:rPr>
          <w:rFonts w:hint="cs"/>
          <w:rtl/>
        </w:rPr>
        <w:t>.</w:t>
      </w:r>
    </w:p>
  </w:footnote>
  <w:footnote w:id="1073">
    <w:p w14:paraId="61B08A2B" w14:textId="77777777" w:rsidR="0013116F" w:rsidRDefault="0013116F">
      <w:pPr>
        <w:pStyle w:val="a9"/>
      </w:pPr>
      <w:r>
        <w:rPr>
          <w:rStyle w:val="ab"/>
        </w:rPr>
        <w:footnoteRef/>
      </w:r>
      <w:r>
        <w:rPr>
          <w:rtl/>
        </w:rPr>
        <w:t xml:space="preserve"> </w:t>
      </w:r>
      <w:r w:rsidRPr="009F33FC">
        <w:rPr>
          <w:rFonts w:cs="Arial"/>
          <w:rtl/>
        </w:rPr>
        <w:t>עיין דרישה שכתבתי שברישא שיש בו אפקועי ממונא שיטול חבירו, בעינן שיקנה ע"ז בקנין בב"ד חשוב ובמעכשיו, לדעת הרמב"ם [פי"א ממכירה ה"ז והי"ג - י"ד] וכמ"ש לקמן בסימן ר"ז [דרישה סע</w:t>
      </w:r>
      <w:r>
        <w:rPr>
          <w:rFonts w:cs="Arial" w:hint="cs"/>
          <w:rtl/>
        </w:rPr>
        <w:t>'</w:t>
      </w:r>
      <w:r w:rsidRPr="009F33FC">
        <w:rPr>
          <w:rFonts w:cs="Arial"/>
          <w:rtl/>
        </w:rPr>
        <w:t xml:space="preserve"> יט], ומיהו מתפיס זכוותיה לא בעינן כאן כיון שאין כאן אפקועי ממונא בבירור, דיכול להיות דאף אם היה כאן לא היה נשבע מפני שיודע שהדין עם זה שכנגדו</w:t>
      </w:r>
      <w:r>
        <w:rPr>
          <w:rFonts w:cs="Arial" w:hint="cs"/>
          <w:rtl/>
        </w:rPr>
        <w:t>.</w:t>
      </w:r>
      <w:r w:rsidRPr="009F33FC">
        <w:rPr>
          <w:rFonts w:cs="Arial"/>
          <w:rtl/>
        </w:rPr>
        <w:t xml:space="preserve"> ובסיפא שאם לא יבוא יפטר חבירו, אפילו קנין בב"ד חשוב אין צריך אלא קנין לחוד כמ"ש בהג"ה</w:t>
      </w:r>
      <w:r>
        <w:rPr>
          <w:rFonts w:cs="Arial" w:hint="cs"/>
          <w:rtl/>
        </w:rPr>
        <w:t>, סמ"ע (סק"ו).</w:t>
      </w:r>
      <w:r w:rsidRPr="009E7277">
        <w:rPr>
          <w:rtl/>
        </w:rPr>
        <w:t xml:space="preserve"> </w:t>
      </w:r>
      <w:r w:rsidRPr="009E7277">
        <w:rPr>
          <w:rFonts w:cs="Arial"/>
          <w:rtl/>
        </w:rPr>
        <w:t>והב"ח [ד"ה ומ"ש] חלק עליו, דהכא כיון שאין כאן הפקעת ממון בבירור סגי בקנין לחוד, ע"ש. ובעיר שושן כתב כהסמ"ע דקנו מיניה בב"ד חשוב, ומשמע מדבריו דגם בדין השני צריך קנין בב"ד חשוב, שהרי כתב כן בסוף על כל הסימן. וכן ב"י לקמן סימן ר"ז [מחו</w:t>
      </w:r>
      <w:r>
        <w:rPr>
          <w:rFonts w:cs="Arial" w:hint="cs"/>
          <w:rtl/>
        </w:rPr>
        <w:t>'</w:t>
      </w:r>
      <w:r w:rsidRPr="009E7277">
        <w:rPr>
          <w:rFonts w:cs="Arial"/>
          <w:rtl/>
        </w:rPr>
        <w:t xml:space="preserve"> יט קודם ד"ה ומ"ש רבינו ונקרא ב"ד חשוב כו'</w:t>
      </w:r>
      <w:r>
        <w:rPr>
          <w:rFonts w:cs="Arial" w:hint="cs"/>
          <w:rtl/>
        </w:rPr>
        <w:t>]</w:t>
      </w:r>
      <w:r w:rsidRPr="009E7277">
        <w:rPr>
          <w:rFonts w:cs="Arial"/>
          <w:rtl/>
        </w:rPr>
        <w:t xml:space="preserve"> כתב דהרמב"ם סמך אהיכא שהזכיר דיני אסמכתא ומיירי שקנו מידו בב"ד חשוב והתפיס זכוותיה ג"כ, ומיהו בסיפא כיון שהלה תפוס אבד זכותו בכל ענין, עכ"ל. ועיין מ"ש בסימן ר"ז [סקכ"ד]</w:t>
      </w:r>
      <w:r>
        <w:rPr>
          <w:rFonts w:hint="cs"/>
          <w:rtl/>
        </w:rPr>
        <w:t>, ש"ך (סק"ה).</w:t>
      </w:r>
    </w:p>
  </w:footnote>
  <w:footnote w:id="1074">
    <w:p w14:paraId="4CB17374" w14:textId="77777777" w:rsidR="0013116F" w:rsidRDefault="0013116F">
      <w:pPr>
        <w:pStyle w:val="a9"/>
      </w:pPr>
      <w:r>
        <w:rPr>
          <w:rStyle w:val="ab"/>
        </w:rPr>
        <w:footnoteRef/>
      </w:r>
      <w:r>
        <w:rPr>
          <w:rtl/>
        </w:rPr>
        <w:t xml:space="preserve"> </w:t>
      </w:r>
      <w:r>
        <w:rPr>
          <w:rFonts w:hint="cs"/>
          <w:rtl/>
        </w:rPr>
        <w:t xml:space="preserve">סימן </w:t>
      </w:r>
      <w:r>
        <w:rPr>
          <w:rtl/>
        </w:rPr>
        <w:t>–</w:t>
      </w:r>
      <w:r>
        <w:rPr>
          <w:rFonts w:hint="cs"/>
          <w:rtl/>
        </w:rPr>
        <w:t xml:space="preserve"> כולם דנים.</w:t>
      </w:r>
    </w:p>
  </w:footnote>
  <w:footnote w:id="1075">
    <w:p w14:paraId="4EA70F31" w14:textId="77777777" w:rsidR="0013116F" w:rsidRDefault="0013116F" w:rsidP="00ED5DE7">
      <w:pPr>
        <w:pStyle w:val="a9"/>
      </w:pPr>
      <w:r>
        <w:rPr>
          <w:rStyle w:val="ab"/>
        </w:rPr>
        <w:footnoteRef/>
      </w:r>
      <w:r>
        <w:rPr>
          <w:rtl/>
        </w:rPr>
        <w:t xml:space="preserve"> </w:t>
      </w:r>
      <w:r w:rsidRPr="009E27FD">
        <w:rPr>
          <w:rFonts w:cs="Arial"/>
          <w:rtl/>
        </w:rPr>
        <w:t>אי תובע אמר לנתבע נאמן עלי אבא או אביך אם יזכוך יהא מחול לך התם קאמרי רבנן אינו יכול לחזור בו דהא זכה זה במה שבידו מכיון שיצא זכאי</w:t>
      </w:r>
      <w:r>
        <w:rPr>
          <w:rFonts w:cs="Arial" w:hint="cs"/>
          <w:rtl/>
        </w:rPr>
        <w:t>, רש"י.</w:t>
      </w:r>
    </w:p>
  </w:footnote>
  <w:footnote w:id="1076">
    <w:p w14:paraId="79FEB3C6" w14:textId="77777777" w:rsidR="0013116F" w:rsidRDefault="0013116F" w:rsidP="00ED5DE7">
      <w:pPr>
        <w:pStyle w:val="a9"/>
      </w:pPr>
      <w:r>
        <w:rPr>
          <w:rStyle w:val="ab"/>
        </w:rPr>
        <w:footnoteRef/>
      </w:r>
      <w:r>
        <w:rPr>
          <w:rtl/>
        </w:rPr>
        <w:t xml:space="preserve"> </w:t>
      </w:r>
      <w:r w:rsidRPr="009E27FD">
        <w:rPr>
          <w:rFonts w:cs="Arial"/>
          <w:rtl/>
        </w:rPr>
        <w:t>דנתבע אמר לתובע אם יחייבוני אבא או אביך אתן לך</w:t>
      </w:r>
      <w:r>
        <w:rPr>
          <w:rFonts w:cs="Arial" w:hint="cs"/>
          <w:rtl/>
        </w:rPr>
        <w:t>, רש"י.</w:t>
      </w:r>
    </w:p>
  </w:footnote>
  <w:footnote w:id="1077">
    <w:p w14:paraId="3B439F20" w14:textId="77777777" w:rsidR="0013116F" w:rsidRDefault="0013116F" w:rsidP="00ED5DE7">
      <w:pPr>
        <w:pStyle w:val="a9"/>
      </w:pPr>
      <w:r>
        <w:rPr>
          <w:rStyle w:val="ab"/>
        </w:rPr>
        <w:footnoteRef/>
      </w:r>
      <w:r>
        <w:rPr>
          <w:rtl/>
        </w:rPr>
        <w:t xml:space="preserve"> </w:t>
      </w:r>
      <w:r w:rsidRPr="009E27FD">
        <w:rPr>
          <w:rFonts w:cs="Arial"/>
          <w:rtl/>
        </w:rPr>
        <w:t>לאחר שטענו בפניהם וקודם גמר דין בא זה לחזור</w:t>
      </w:r>
      <w:r>
        <w:rPr>
          <w:rFonts w:cs="Arial" w:hint="cs"/>
          <w:rtl/>
        </w:rPr>
        <w:t>, רש"י.</w:t>
      </w:r>
    </w:p>
  </w:footnote>
  <w:footnote w:id="1078">
    <w:p w14:paraId="2C3C738E" w14:textId="77777777" w:rsidR="0013116F" w:rsidRDefault="0013116F" w:rsidP="00ED5DE7">
      <w:pPr>
        <w:pStyle w:val="a9"/>
        <w:rPr>
          <w:rtl/>
        </w:rPr>
      </w:pPr>
      <w:r>
        <w:rPr>
          <w:rStyle w:val="ab"/>
        </w:rPr>
        <w:footnoteRef/>
      </w:r>
      <w:r>
        <w:rPr>
          <w:rtl/>
        </w:rPr>
        <w:t xml:space="preserve"> </w:t>
      </w:r>
      <w:r w:rsidRPr="009E27FD">
        <w:rPr>
          <w:rFonts w:cs="Arial"/>
          <w:rtl/>
        </w:rPr>
        <w:t>דהואיל והממון בידו אין בו כח לתובע להוציאו אלא בדיינים כשרים</w:t>
      </w:r>
      <w:r>
        <w:rPr>
          <w:rFonts w:hint="cs"/>
          <w:rtl/>
        </w:rPr>
        <w:t>, רש"י.</w:t>
      </w:r>
    </w:p>
  </w:footnote>
  <w:footnote w:id="1079">
    <w:p w14:paraId="2629DBC4" w14:textId="77777777" w:rsidR="0013116F" w:rsidRPr="00AC714E" w:rsidRDefault="0013116F" w:rsidP="00ED5DE7">
      <w:pPr>
        <w:pStyle w:val="a9"/>
        <w:rPr>
          <w:color w:val="FF0000"/>
          <w:rtl/>
        </w:rPr>
      </w:pPr>
      <w:r w:rsidRPr="00AC714E">
        <w:rPr>
          <w:rStyle w:val="ab"/>
          <w:color w:val="FF0000"/>
        </w:rPr>
        <w:footnoteRef/>
      </w:r>
      <w:r w:rsidRPr="00AC714E">
        <w:rPr>
          <w:color w:val="FF0000"/>
          <w:rtl/>
        </w:rPr>
        <w:t xml:space="preserve"> </w:t>
      </w:r>
      <w:r w:rsidRPr="00AC714E">
        <w:rPr>
          <w:rFonts w:hint="cs"/>
          <w:color w:val="FF0000"/>
          <w:rtl/>
        </w:rPr>
        <w:t>הב"י השמיט את מה שכתוב בסוגריים וצל"ע מדוע.</w:t>
      </w:r>
    </w:p>
  </w:footnote>
  <w:footnote w:id="1080">
    <w:p w14:paraId="2EE0A520" w14:textId="77777777" w:rsidR="0013116F" w:rsidRDefault="0013116F" w:rsidP="00ED5DE7">
      <w:pPr>
        <w:pStyle w:val="a9"/>
        <w:rPr>
          <w:rtl/>
        </w:rPr>
      </w:pPr>
      <w:r>
        <w:rPr>
          <w:rStyle w:val="ab"/>
        </w:rPr>
        <w:footnoteRef/>
      </w:r>
      <w:r>
        <w:rPr>
          <w:rtl/>
        </w:rPr>
        <w:t xml:space="preserve"> </w:t>
      </w:r>
      <w:r w:rsidRPr="009E27FD">
        <w:rPr>
          <w:rFonts w:cs="Arial"/>
          <w:rtl/>
        </w:rPr>
        <w:t>מתחלה שלא יחזור</w:t>
      </w:r>
      <w:r>
        <w:rPr>
          <w:rFonts w:hint="cs"/>
          <w:rtl/>
        </w:rPr>
        <w:t>, רש"י.</w:t>
      </w:r>
    </w:p>
  </w:footnote>
  <w:footnote w:id="1081">
    <w:p w14:paraId="7B2B9BEE" w14:textId="77777777" w:rsidR="0013116F" w:rsidRPr="00ED5DE7" w:rsidRDefault="0013116F">
      <w:pPr>
        <w:pStyle w:val="a9"/>
        <w:rPr>
          <w:rtl/>
        </w:rPr>
      </w:pPr>
      <w:r w:rsidRPr="00ED5DE7">
        <w:rPr>
          <w:rStyle w:val="ab"/>
        </w:rPr>
        <w:footnoteRef/>
      </w:r>
      <w:r w:rsidRPr="00ED5DE7">
        <w:rPr>
          <w:rtl/>
        </w:rPr>
        <w:t xml:space="preserve"> </w:t>
      </w:r>
      <w:r w:rsidRPr="00ED5DE7">
        <w:rPr>
          <w:rFonts w:cs="Arial"/>
          <w:rtl/>
        </w:rPr>
        <w:t>אע</w:t>
      </w:r>
      <w:r w:rsidRPr="00ED5DE7">
        <w:rPr>
          <w:rFonts w:cs="Arial" w:hint="cs"/>
          <w:rtl/>
        </w:rPr>
        <w:t>"</w:t>
      </w:r>
      <w:r w:rsidRPr="00ED5DE7">
        <w:rPr>
          <w:rFonts w:cs="Arial"/>
          <w:rtl/>
        </w:rPr>
        <w:t>ג דראוי היה שיהיה מחול לך לפני גמר דין כמו אתן לך לאחר גמר דין מ</w:t>
      </w:r>
      <w:r w:rsidRPr="00ED5DE7">
        <w:rPr>
          <w:rFonts w:cs="Arial" w:hint="cs"/>
          <w:rtl/>
        </w:rPr>
        <w:t>"</w:t>
      </w:r>
      <w:r w:rsidRPr="00ED5DE7">
        <w:rPr>
          <w:rFonts w:cs="Arial"/>
          <w:rtl/>
        </w:rPr>
        <w:t xml:space="preserve">מ משמע באותו ענין שנחלקו באתן לך דהיינו לאחר גמר דין הוא דאמר אבל במחול לך </w:t>
      </w:r>
      <w:r>
        <w:rPr>
          <w:rFonts w:cs="Arial" w:hint="cs"/>
          <w:sz w:val="16"/>
          <w:szCs w:val="16"/>
          <w:rtl/>
        </w:rPr>
        <w:t xml:space="preserve">{לאחר גזר דין} </w:t>
      </w:r>
      <w:r w:rsidRPr="00ED5DE7">
        <w:rPr>
          <w:rFonts w:cs="Arial"/>
          <w:rtl/>
        </w:rPr>
        <w:t>דברי הכל אינו יכול לחזור בו</w:t>
      </w:r>
      <w:r>
        <w:rPr>
          <w:rFonts w:cs="Arial" w:hint="cs"/>
          <w:rtl/>
        </w:rPr>
        <w:t>,</w:t>
      </w:r>
      <w:r w:rsidRPr="00ED5DE7">
        <w:rPr>
          <w:rFonts w:cs="Arial"/>
          <w:rtl/>
        </w:rPr>
        <w:t xml:space="preserve"> ולא פליגי רבי מאיר ורבנן אלא באתן לך לאחר גמר דין אבל במחול ולפני גמר דין לא פליגי</w:t>
      </w:r>
      <w:r w:rsidRPr="00ED5DE7">
        <w:rPr>
          <w:rFonts w:cs="Arial" w:hint="cs"/>
          <w:rtl/>
        </w:rPr>
        <w:t xml:space="preserve">, </w:t>
      </w:r>
      <w:r w:rsidRPr="00ED5DE7">
        <w:rPr>
          <w:rFonts w:hint="cs"/>
          <w:rtl/>
        </w:rPr>
        <w:t>רא"ש.</w:t>
      </w:r>
    </w:p>
  </w:footnote>
  <w:footnote w:id="1082">
    <w:p w14:paraId="5309FB76" w14:textId="77777777" w:rsidR="0013116F" w:rsidRDefault="0013116F" w:rsidP="00E95309">
      <w:pPr>
        <w:pStyle w:val="a9"/>
        <w:rPr>
          <w:rtl/>
        </w:rPr>
      </w:pPr>
      <w:r w:rsidRPr="00E95309">
        <w:rPr>
          <w:rStyle w:val="ab"/>
        </w:rPr>
        <w:footnoteRef/>
      </w:r>
      <w:r w:rsidRPr="00E95309">
        <w:rPr>
          <w:rtl/>
        </w:rPr>
        <w:t xml:space="preserve"> </w:t>
      </w:r>
      <w:r w:rsidRPr="00E95309">
        <w:rPr>
          <w:rFonts w:cs="Arial" w:hint="cs"/>
          <w:rtl/>
        </w:rPr>
        <w:t>וכתב הדרכ"מ</w:t>
      </w:r>
      <w:r w:rsidRPr="00E95309">
        <w:rPr>
          <w:rFonts w:cs="Arial"/>
          <w:rtl/>
        </w:rPr>
        <w:t xml:space="preserve"> </w:t>
      </w:r>
      <w:r w:rsidRPr="00E95309">
        <w:rPr>
          <w:rFonts w:cs="Arial" w:hint="cs"/>
          <w:rtl/>
        </w:rPr>
        <w:t>דכן</w:t>
      </w:r>
      <w:r>
        <w:rPr>
          <w:rFonts w:cs="Arial" w:hint="cs"/>
          <w:rtl/>
        </w:rPr>
        <w:t xml:space="preserve"> דעת ה</w:t>
      </w:r>
      <w:r w:rsidRPr="005052E0">
        <w:rPr>
          <w:rFonts w:cs="Arial"/>
          <w:rtl/>
        </w:rPr>
        <w:t xml:space="preserve">מרדכי </w:t>
      </w:r>
      <w:r w:rsidRPr="005052E0">
        <w:rPr>
          <w:rFonts w:cs="Arial"/>
          <w:sz w:val="16"/>
          <w:szCs w:val="16"/>
          <w:rtl/>
        </w:rPr>
        <w:t>(</w:t>
      </w:r>
      <w:r>
        <w:rPr>
          <w:rFonts w:cs="Arial" w:hint="cs"/>
          <w:sz w:val="16"/>
          <w:szCs w:val="16"/>
          <w:rtl/>
        </w:rPr>
        <w:t xml:space="preserve">ר"פ זה בורר </w:t>
      </w:r>
      <w:r w:rsidRPr="005052E0">
        <w:rPr>
          <w:rFonts w:cs="Arial"/>
          <w:sz w:val="16"/>
          <w:szCs w:val="16"/>
          <w:rtl/>
        </w:rPr>
        <w:t>סי' תרפז)</w:t>
      </w:r>
      <w:r>
        <w:rPr>
          <w:rFonts w:hint="cs"/>
          <w:rtl/>
        </w:rPr>
        <w:t>.</w:t>
      </w:r>
    </w:p>
  </w:footnote>
  <w:footnote w:id="1083">
    <w:p w14:paraId="4100BD67" w14:textId="77777777" w:rsidR="0013116F" w:rsidRPr="005052E0" w:rsidRDefault="0013116F">
      <w:pPr>
        <w:pStyle w:val="a9"/>
        <w:rPr>
          <w:u w:val="single"/>
          <w:rtl/>
        </w:rPr>
      </w:pPr>
      <w:r>
        <w:rPr>
          <w:rStyle w:val="ab"/>
        </w:rPr>
        <w:footnoteRef/>
      </w:r>
      <w:r>
        <w:rPr>
          <w:rtl/>
        </w:rPr>
        <w:t xml:space="preserve"> </w:t>
      </w:r>
      <w:r w:rsidRPr="005052E0">
        <w:rPr>
          <w:rFonts w:hint="cs"/>
          <w:u w:val="single"/>
          <w:rtl/>
        </w:rPr>
        <w:t>ונחלקו הפוסקים בפירוש לשונו:</w:t>
      </w:r>
    </w:p>
    <w:p w14:paraId="546EE299" w14:textId="77777777" w:rsidR="0013116F" w:rsidRPr="005052E0" w:rsidRDefault="0013116F" w:rsidP="004B0475">
      <w:pPr>
        <w:pStyle w:val="a9"/>
        <w:numPr>
          <w:ilvl w:val="0"/>
          <w:numId w:val="28"/>
        </w:numPr>
      </w:pPr>
      <w:r>
        <w:rPr>
          <w:rFonts w:cs="Arial" w:hint="cs"/>
          <w:rtl/>
        </w:rPr>
        <w:t xml:space="preserve">טור לח"מ ורמ"ך- </w:t>
      </w:r>
      <w:r w:rsidRPr="00ED5DE7">
        <w:rPr>
          <w:rFonts w:cs="Arial"/>
          <w:rtl/>
        </w:rPr>
        <w:t>יראה מדבריו שיכול לחזור בו כל זמן שלא הוציא ממון על ידו</w:t>
      </w:r>
      <w:r>
        <w:rPr>
          <w:rFonts w:cs="Arial" w:hint="cs"/>
          <w:sz w:val="16"/>
          <w:szCs w:val="16"/>
          <w:rtl/>
        </w:rPr>
        <w:t xml:space="preserve"> (ל' הטור)</w:t>
      </w:r>
      <w:r>
        <w:rPr>
          <w:rFonts w:cs="Arial" w:hint="cs"/>
          <w:rtl/>
        </w:rPr>
        <w:t>.</w:t>
      </w:r>
      <w:r w:rsidRPr="00ED5DE7">
        <w:rPr>
          <w:rFonts w:cs="Arial"/>
          <w:rtl/>
        </w:rPr>
        <w:t xml:space="preserve"> </w:t>
      </w:r>
    </w:p>
    <w:p w14:paraId="3CF7DAAE" w14:textId="77777777" w:rsidR="0013116F" w:rsidRDefault="0013116F" w:rsidP="004B0475">
      <w:pPr>
        <w:pStyle w:val="a9"/>
        <w:numPr>
          <w:ilvl w:val="0"/>
          <w:numId w:val="28"/>
        </w:numPr>
      </w:pPr>
      <w:r>
        <w:rPr>
          <w:rFonts w:hint="cs"/>
          <w:rtl/>
        </w:rPr>
        <w:t xml:space="preserve">ב"י- </w:t>
      </w:r>
      <w:r w:rsidRPr="005052E0">
        <w:rPr>
          <w:rFonts w:cs="Arial"/>
          <w:rtl/>
        </w:rPr>
        <w:t>נראה דגם הרמב"ם הכי ס</w:t>
      </w:r>
      <w:r>
        <w:rPr>
          <w:rFonts w:cs="Arial" w:hint="cs"/>
          <w:rtl/>
        </w:rPr>
        <w:t>"</w:t>
      </w:r>
      <w:r w:rsidRPr="005052E0">
        <w:rPr>
          <w:rFonts w:cs="Arial"/>
          <w:rtl/>
        </w:rPr>
        <w:t>ל</w:t>
      </w:r>
      <w:r>
        <w:rPr>
          <w:rFonts w:cs="Arial" w:hint="cs"/>
          <w:sz w:val="16"/>
          <w:szCs w:val="16"/>
          <w:rtl/>
        </w:rPr>
        <w:t xml:space="preserve"> {היינו כדברי הטור}</w:t>
      </w:r>
      <w:r>
        <w:rPr>
          <w:rFonts w:cs="Arial" w:hint="cs"/>
          <w:rtl/>
        </w:rPr>
        <w:t xml:space="preserve">. </w:t>
      </w:r>
      <w:r w:rsidRPr="005052E0">
        <w:rPr>
          <w:rFonts w:cs="Arial"/>
          <w:rtl/>
        </w:rPr>
        <w:t xml:space="preserve">ומה שכתב </w:t>
      </w:r>
      <w:r w:rsidRPr="005052E0">
        <w:rPr>
          <w:rFonts w:cs="Arial" w:hint="cs"/>
          <w:rtl/>
        </w:rPr>
        <w:t>'</w:t>
      </w:r>
      <w:r w:rsidRPr="005052E0">
        <w:rPr>
          <w:rFonts w:cs="Arial"/>
          <w:rtl/>
        </w:rPr>
        <w:t>נגמר הדין והוציא הממון בדין זה הפסול</w:t>
      </w:r>
      <w:r w:rsidRPr="005052E0">
        <w:rPr>
          <w:rFonts w:cs="Arial" w:hint="cs"/>
          <w:rtl/>
        </w:rPr>
        <w:t>'</w:t>
      </w:r>
      <w:r w:rsidRPr="005052E0">
        <w:rPr>
          <w:rFonts w:cs="Arial"/>
          <w:rtl/>
        </w:rPr>
        <w:t xml:space="preserve"> היינו לומר דכיון שנגמר הדין הו</w:t>
      </w:r>
      <w:r>
        <w:rPr>
          <w:rFonts w:cs="Arial" w:hint="cs"/>
          <w:rtl/>
        </w:rPr>
        <w:t>"</w:t>
      </w:r>
      <w:r w:rsidRPr="005052E0">
        <w:rPr>
          <w:rFonts w:cs="Arial"/>
          <w:rtl/>
        </w:rPr>
        <w:t xml:space="preserve">ל כאלו הוציא הממון כבר ואינו יכול לחזור בו </w:t>
      </w:r>
      <w:r>
        <w:rPr>
          <w:rFonts w:cs="Arial" w:hint="cs"/>
          <w:sz w:val="16"/>
          <w:szCs w:val="16"/>
          <w:rtl/>
        </w:rPr>
        <w:t>(</w:t>
      </w:r>
      <w:r w:rsidRPr="00E95309">
        <w:rPr>
          <w:rFonts w:cs="Arial"/>
          <w:sz w:val="16"/>
          <w:szCs w:val="16"/>
          <w:rtl/>
        </w:rPr>
        <w:t>וא</w:t>
      </w:r>
      <w:r w:rsidRPr="00E95309">
        <w:rPr>
          <w:rFonts w:cs="Arial" w:hint="cs"/>
          <w:sz w:val="16"/>
          <w:szCs w:val="16"/>
          <w:rtl/>
        </w:rPr>
        <w:t>"</w:t>
      </w:r>
      <w:r w:rsidRPr="00E95309">
        <w:rPr>
          <w:rFonts w:cs="Arial"/>
          <w:sz w:val="16"/>
          <w:szCs w:val="16"/>
          <w:rtl/>
        </w:rPr>
        <w:t>א לפרש דבריו דכל זמן שלא הוציא ממון על ידו יכול לחזור בו</w:t>
      </w:r>
      <w:r w:rsidRPr="00E95309">
        <w:rPr>
          <w:rFonts w:cs="Arial" w:hint="cs"/>
          <w:sz w:val="16"/>
          <w:szCs w:val="16"/>
          <w:rtl/>
        </w:rPr>
        <w:t>,</w:t>
      </w:r>
      <w:r w:rsidRPr="00E95309">
        <w:rPr>
          <w:rFonts w:cs="Arial"/>
          <w:sz w:val="16"/>
          <w:szCs w:val="16"/>
          <w:rtl/>
        </w:rPr>
        <w:t xml:space="preserve"> דהא אפילו בדור לי בחיי ראשך כתב הרמב"ם (שם ה"ג) נגמר הדין ונשבע כמו שאמר לו אינו יכול לחזור וחייב לשלם ואפילו לא אמרו ב</w:t>
      </w:r>
      <w:r w:rsidRPr="00E95309">
        <w:rPr>
          <w:rFonts w:cs="Arial" w:hint="cs"/>
          <w:sz w:val="16"/>
          <w:szCs w:val="16"/>
          <w:rtl/>
        </w:rPr>
        <w:t>"</w:t>
      </w:r>
      <w:r w:rsidRPr="00E95309">
        <w:rPr>
          <w:rFonts w:cs="Arial"/>
          <w:sz w:val="16"/>
          <w:szCs w:val="16"/>
          <w:rtl/>
        </w:rPr>
        <w:t>ד איש פלוני זכאי וכו' כמו שנתבאר בסמוך (ס"ה)</w:t>
      </w:r>
      <w:r w:rsidRPr="00E95309">
        <w:rPr>
          <w:rFonts w:cs="Arial" w:hint="cs"/>
          <w:sz w:val="16"/>
          <w:szCs w:val="16"/>
          <w:rtl/>
        </w:rPr>
        <w:t>,</w:t>
      </w:r>
      <w:r w:rsidRPr="00E95309">
        <w:rPr>
          <w:rFonts w:cs="Arial"/>
          <w:sz w:val="16"/>
          <w:szCs w:val="16"/>
          <w:rtl/>
        </w:rPr>
        <w:t xml:space="preserve"> כל שכן הכא שנגמר הדין באיש פלוני זכאי וכו' שאינו יכול לחזור בו</w:t>
      </w:r>
      <w:r w:rsidRPr="00E95309">
        <w:rPr>
          <w:rFonts w:cs="Arial" w:hint="cs"/>
          <w:sz w:val="16"/>
          <w:szCs w:val="16"/>
          <w:rtl/>
        </w:rPr>
        <w:t>)</w:t>
      </w:r>
      <w:r w:rsidRPr="005052E0">
        <w:rPr>
          <w:rFonts w:cs="Arial"/>
          <w:rtl/>
        </w:rPr>
        <w:t>.</w:t>
      </w:r>
    </w:p>
    <w:p w14:paraId="0B8D098D" w14:textId="77777777" w:rsidR="0013116F" w:rsidRDefault="0013116F" w:rsidP="004B0475">
      <w:pPr>
        <w:pStyle w:val="a9"/>
        <w:numPr>
          <w:ilvl w:val="0"/>
          <w:numId w:val="28"/>
        </w:numPr>
        <w:rPr>
          <w:rtl/>
        </w:rPr>
      </w:pPr>
      <w:r w:rsidRPr="005052E0">
        <w:rPr>
          <w:rFonts w:cs="Arial"/>
          <w:rtl/>
        </w:rPr>
        <w:t>נמוק</w:t>
      </w:r>
      <w:r w:rsidRPr="005052E0">
        <w:rPr>
          <w:rFonts w:cs="Arial" w:hint="cs"/>
          <w:rtl/>
        </w:rPr>
        <w:t>"י</w:t>
      </w:r>
      <w:r w:rsidRPr="005052E0">
        <w:rPr>
          <w:rFonts w:cs="Arial"/>
          <w:rtl/>
        </w:rPr>
        <w:t xml:space="preserve"> </w:t>
      </w:r>
      <w:r w:rsidRPr="005052E0">
        <w:rPr>
          <w:rFonts w:cs="Arial" w:hint="cs"/>
          <w:sz w:val="16"/>
          <w:szCs w:val="16"/>
          <w:rtl/>
        </w:rPr>
        <w:t>(</w:t>
      </w:r>
      <w:r w:rsidRPr="005052E0">
        <w:rPr>
          <w:rFonts w:cs="Arial"/>
          <w:sz w:val="16"/>
          <w:szCs w:val="16"/>
          <w:rtl/>
        </w:rPr>
        <w:t>ר</w:t>
      </w:r>
      <w:r w:rsidRPr="005052E0">
        <w:rPr>
          <w:rFonts w:cs="Arial" w:hint="cs"/>
          <w:sz w:val="16"/>
          <w:szCs w:val="16"/>
          <w:rtl/>
        </w:rPr>
        <w:t>"</w:t>
      </w:r>
      <w:r w:rsidRPr="005052E0">
        <w:rPr>
          <w:rFonts w:cs="Arial"/>
          <w:sz w:val="16"/>
          <w:szCs w:val="16"/>
          <w:rtl/>
        </w:rPr>
        <w:t xml:space="preserve">פ מרובה ב"ק כז.) </w:t>
      </w:r>
      <w:r w:rsidRPr="005052E0">
        <w:rPr>
          <w:rFonts w:cs="Arial"/>
          <w:rtl/>
        </w:rPr>
        <w:t>לאו דוקא נקט הוציא</w:t>
      </w:r>
      <w:r>
        <w:rPr>
          <w:rFonts w:cs="Arial" w:hint="cs"/>
          <w:sz w:val="12"/>
          <w:szCs w:val="12"/>
          <w:rtl/>
        </w:rPr>
        <w:t xml:space="preserve"> {עכ"ל הב"י בשמו, ומכאן ל' הדרכ"מ בשמו}</w:t>
      </w:r>
      <w:r w:rsidRPr="005052E0">
        <w:rPr>
          <w:rFonts w:cs="Arial"/>
          <w:rtl/>
        </w:rPr>
        <w:t xml:space="preserve"> אלא הוא הדין </w:t>
      </w:r>
      <w:r>
        <w:rPr>
          <w:rFonts w:cs="Arial" w:hint="cs"/>
          <w:rtl/>
        </w:rPr>
        <w:t>'</w:t>
      </w:r>
      <w:r w:rsidRPr="005052E0">
        <w:rPr>
          <w:rFonts w:cs="Arial"/>
          <w:rtl/>
        </w:rPr>
        <w:t>צא תן לו</w:t>
      </w:r>
      <w:r>
        <w:rPr>
          <w:rFonts w:cs="Arial" w:hint="cs"/>
          <w:rtl/>
        </w:rPr>
        <w:t>',</w:t>
      </w:r>
      <w:r w:rsidRPr="005052E0">
        <w:rPr>
          <w:rFonts w:cs="Arial"/>
          <w:rtl/>
        </w:rPr>
        <w:t xml:space="preserve"> אבל </w:t>
      </w:r>
      <w:r>
        <w:rPr>
          <w:rFonts w:cs="Arial" w:hint="cs"/>
          <w:rtl/>
        </w:rPr>
        <w:t>'</w:t>
      </w:r>
      <w:r w:rsidRPr="005052E0">
        <w:rPr>
          <w:rFonts w:cs="Arial"/>
          <w:rtl/>
        </w:rPr>
        <w:t>חייב אתה ליתן לו</w:t>
      </w:r>
      <w:r>
        <w:rPr>
          <w:rFonts w:cs="Arial" w:hint="cs"/>
          <w:rtl/>
        </w:rPr>
        <w:t>'</w:t>
      </w:r>
      <w:r w:rsidRPr="005052E0">
        <w:rPr>
          <w:rFonts w:cs="Arial"/>
          <w:rtl/>
        </w:rPr>
        <w:t xml:space="preserve"> לא מקרי גמר דין אלא ר"ל אנו רואים שהחיוב עליך לשלם אבל לא נתברר לגמרי</w:t>
      </w:r>
      <w:r>
        <w:rPr>
          <w:rFonts w:cs="Arial" w:hint="cs"/>
          <w:rtl/>
        </w:rPr>
        <w:t>,</w:t>
      </w:r>
      <w:r w:rsidRPr="005052E0">
        <w:rPr>
          <w:rFonts w:cs="Arial"/>
          <w:rtl/>
        </w:rPr>
        <w:t xml:space="preserve"> ולכן לא מקרי גמר דין</w:t>
      </w:r>
      <w:r>
        <w:rPr>
          <w:rFonts w:cs="Arial" w:hint="cs"/>
          <w:rtl/>
        </w:rPr>
        <w:t>.</w:t>
      </w:r>
    </w:p>
  </w:footnote>
  <w:footnote w:id="1084">
    <w:p w14:paraId="3CB40C83" w14:textId="77777777" w:rsidR="0013116F" w:rsidRDefault="0013116F">
      <w:pPr>
        <w:pStyle w:val="a9"/>
        <w:rPr>
          <w:rtl/>
        </w:rPr>
      </w:pPr>
      <w:r>
        <w:rPr>
          <w:rStyle w:val="ab"/>
        </w:rPr>
        <w:footnoteRef/>
      </w:r>
      <w:r>
        <w:rPr>
          <w:rtl/>
        </w:rPr>
        <w:t xml:space="preserve"> </w:t>
      </w:r>
      <w:r w:rsidRPr="00A0439D">
        <w:rPr>
          <w:rFonts w:cs="Arial"/>
          <w:rtl/>
        </w:rPr>
        <w:t>והא דאמר בפ</w:t>
      </w:r>
      <w:r>
        <w:rPr>
          <w:rFonts w:cs="Arial" w:hint="cs"/>
          <w:rtl/>
        </w:rPr>
        <w:t>"</w:t>
      </w:r>
      <w:r w:rsidRPr="00A0439D">
        <w:rPr>
          <w:rFonts w:cs="Arial"/>
          <w:rtl/>
        </w:rPr>
        <w:t>ק דסנהדרין (ד' ו: ושם ד"ה נגמר) נגמר הדין אי אתה רשאי לבצוע ומפרש היכי דמי גמר דין פלוני אתה זכאי פלוני אתה חייב אף על גב דלא הוי גמר דין ממש כיון שקרוב הדין לגמור אסור להטעות את הזכאי</w:t>
      </w:r>
      <w:r>
        <w:rPr>
          <w:rFonts w:hint="cs"/>
          <w:rtl/>
        </w:rPr>
        <w:t>, תוס'.</w:t>
      </w:r>
    </w:p>
  </w:footnote>
  <w:footnote w:id="1085">
    <w:p w14:paraId="6250D075" w14:textId="77777777" w:rsidR="0013116F" w:rsidRDefault="0013116F">
      <w:pPr>
        <w:pStyle w:val="a9"/>
      </w:pPr>
      <w:r>
        <w:rPr>
          <w:rStyle w:val="ab"/>
        </w:rPr>
        <w:footnoteRef/>
      </w:r>
      <w:r>
        <w:rPr>
          <w:rtl/>
        </w:rPr>
        <w:t xml:space="preserve"> </w:t>
      </w:r>
      <w:r>
        <w:rPr>
          <w:rFonts w:hint="cs"/>
          <w:rtl/>
        </w:rPr>
        <w:t xml:space="preserve">וכתב עוד מהר"ם </w:t>
      </w:r>
      <w:r w:rsidRPr="00F12ECD">
        <w:rPr>
          <w:rFonts w:hint="cs"/>
          <w:sz w:val="16"/>
          <w:szCs w:val="16"/>
          <w:rtl/>
        </w:rPr>
        <w:t>(שם</w:t>
      </w:r>
      <w:r>
        <w:rPr>
          <w:rFonts w:hint="cs"/>
          <w:sz w:val="16"/>
          <w:szCs w:val="16"/>
          <w:rtl/>
        </w:rPr>
        <w:t>, וכ"כ המרדכי בשמו בלשון קצרה יותר</w:t>
      </w:r>
      <w:r w:rsidRPr="00F12ECD">
        <w:rPr>
          <w:rFonts w:hint="cs"/>
          <w:sz w:val="16"/>
          <w:szCs w:val="16"/>
          <w:rtl/>
        </w:rPr>
        <w:t xml:space="preserve">) </w:t>
      </w:r>
      <w:r>
        <w:rPr>
          <w:rFonts w:cs="Arial" w:hint="cs"/>
          <w:rtl/>
        </w:rPr>
        <w:t>ד</w:t>
      </w:r>
      <w:r w:rsidRPr="00F12ECD">
        <w:rPr>
          <w:rFonts w:cs="Arial"/>
          <w:rtl/>
        </w:rPr>
        <w:t xml:space="preserve">אין להקשות </w:t>
      </w:r>
      <w:r w:rsidRPr="00F12ECD">
        <w:rPr>
          <w:rFonts w:cs="Arial" w:hint="cs"/>
          <w:sz w:val="16"/>
          <w:szCs w:val="16"/>
          <w:rtl/>
        </w:rPr>
        <w:t>{</w:t>
      </w:r>
      <w:r w:rsidRPr="00F12ECD">
        <w:rPr>
          <w:rFonts w:cs="Arial"/>
          <w:sz w:val="16"/>
          <w:szCs w:val="16"/>
          <w:rtl/>
        </w:rPr>
        <w:t>על מה שכתב</w:t>
      </w:r>
      <w:r w:rsidRPr="00F12ECD">
        <w:rPr>
          <w:rFonts w:cs="Arial" w:hint="cs"/>
          <w:sz w:val="16"/>
          <w:szCs w:val="16"/>
          <w:rtl/>
        </w:rPr>
        <w:t xml:space="preserve"> לעיל</w:t>
      </w:r>
      <w:r w:rsidRPr="00F12ECD">
        <w:rPr>
          <w:rFonts w:cs="Arial"/>
          <w:sz w:val="16"/>
          <w:szCs w:val="16"/>
          <w:rtl/>
        </w:rPr>
        <w:t xml:space="preserve"> </w:t>
      </w:r>
      <w:r>
        <w:rPr>
          <w:rFonts w:cs="Arial" w:hint="cs"/>
          <w:sz w:val="16"/>
          <w:szCs w:val="16"/>
          <w:rtl/>
        </w:rPr>
        <w:t>דהא דאינו יכול לחזור בו כשיקיבל עליו</w:t>
      </w:r>
      <w:r w:rsidRPr="00F12ECD">
        <w:rPr>
          <w:rFonts w:cs="Arial"/>
          <w:sz w:val="16"/>
          <w:szCs w:val="16"/>
          <w:rtl/>
        </w:rPr>
        <w:t xml:space="preserve"> מיירי דווקא בדלא טעו</w:t>
      </w:r>
      <w:r>
        <w:rPr>
          <w:rFonts w:cs="Arial" w:hint="cs"/>
          <w:sz w:val="16"/>
          <w:szCs w:val="16"/>
          <w:rtl/>
        </w:rPr>
        <w:t>}</w:t>
      </w:r>
      <w:r w:rsidRPr="00F12ECD">
        <w:rPr>
          <w:rFonts w:cs="Arial"/>
          <w:rtl/>
        </w:rPr>
        <w:t xml:space="preserve"> דא"כ מאי נפקא מינה אם יכול לחזור בו אם לאו, ומ"ט דר' מאיר דא</w:t>
      </w:r>
      <w:r>
        <w:rPr>
          <w:rFonts w:cs="Arial" w:hint="cs"/>
          <w:rtl/>
        </w:rPr>
        <w:t>מר</w:t>
      </w:r>
      <w:r w:rsidRPr="00F12ECD">
        <w:rPr>
          <w:rFonts w:cs="Arial"/>
          <w:rtl/>
        </w:rPr>
        <w:t xml:space="preserve"> יכול לחזור בו, </w:t>
      </w:r>
      <w:r>
        <w:rPr>
          <w:rFonts w:cs="Arial" w:hint="cs"/>
          <w:rtl/>
        </w:rPr>
        <w:t>ד</w:t>
      </w:r>
      <w:r w:rsidRPr="00F12ECD">
        <w:rPr>
          <w:rFonts w:cs="Arial"/>
          <w:rtl/>
        </w:rPr>
        <w:t>מאי נפקא ליה מינה כיון דלא טעי. י"ל דנפקא מינה לעניין זה דרוצה לחזור בו ולבטל כל מה שטען בפניהם ולחזור ולטעון בע</w:t>
      </w:r>
      <w:r>
        <w:rPr>
          <w:rFonts w:cs="Arial" w:hint="cs"/>
          <w:rtl/>
        </w:rPr>
        <w:t xml:space="preserve">נין </w:t>
      </w:r>
      <w:r w:rsidRPr="00F12ECD">
        <w:rPr>
          <w:rFonts w:cs="Arial"/>
          <w:rtl/>
        </w:rPr>
        <w:t>א</w:t>
      </w:r>
      <w:r>
        <w:rPr>
          <w:rFonts w:cs="Arial" w:hint="cs"/>
          <w:rtl/>
        </w:rPr>
        <w:t>חר</w:t>
      </w:r>
      <w:r w:rsidRPr="00F12ECD">
        <w:rPr>
          <w:rFonts w:cs="Arial"/>
          <w:rtl/>
        </w:rPr>
        <w:t xml:space="preserve"> בפני ב"ד אחר</w:t>
      </w:r>
      <w:r>
        <w:rPr>
          <w:rFonts w:cs="Arial" w:hint="cs"/>
          <w:rtl/>
        </w:rPr>
        <w:t>.</w:t>
      </w:r>
      <w:r w:rsidRPr="00F12ECD">
        <w:rPr>
          <w:rFonts w:cs="Arial"/>
          <w:rtl/>
        </w:rPr>
        <w:t xml:space="preserve"> ועוד נ"מ לעניין שיהא לו זמן ב"ד ל' יום משיטעון בפני ב"ד אחר ויפסקו לו הדין. ועוד איכא נפקותא טובא ואין צריך להאריך.</w:t>
      </w:r>
    </w:p>
  </w:footnote>
  <w:footnote w:id="1086">
    <w:p w14:paraId="515A14A9" w14:textId="77777777" w:rsidR="0013116F" w:rsidRDefault="0013116F">
      <w:pPr>
        <w:pStyle w:val="a9"/>
      </w:pPr>
      <w:r>
        <w:rPr>
          <w:rStyle w:val="ab"/>
        </w:rPr>
        <w:footnoteRef/>
      </w:r>
      <w:r>
        <w:rPr>
          <w:rtl/>
        </w:rPr>
        <w:t xml:space="preserve"> </w:t>
      </w:r>
      <w:r>
        <w:rPr>
          <w:rFonts w:cs="Arial" w:hint="cs"/>
          <w:rtl/>
        </w:rPr>
        <w:t xml:space="preserve">וז"ל- </w:t>
      </w:r>
      <w:r w:rsidRPr="00AD2135">
        <w:rPr>
          <w:rFonts w:cs="Arial"/>
          <w:rtl/>
        </w:rPr>
        <w:t>נראה שמסירת המעות ביד לוי הדיין קרוב בעל דינו לא הוי כאילו קבלו עליו לדיין</w:t>
      </w:r>
      <w:r>
        <w:rPr>
          <w:rFonts w:cs="Arial" w:hint="cs"/>
          <w:rtl/>
        </w:rPr>
        <w:t>,</w:t>
      </w:r>
      <w:r w:rsidRPr="00AD2135">
        <w:rPr>
          <w:rFonts w:cs="Arial"/>
          <w:rtl/>
        </w:rPr>
        <w:t xml:space="preserve"> שאם האמינו לקבל המעות ההם לא האמינו שידון ביניהם</w:t>
      </w:r>
      <w:r>
        <w:rPr>
          <w:rFonts w:cs="Arial" w:hint="cs"/>
          <w:rtl/>
        </w:rPr>
        <w:t>.</w:t>
      </w:r>
      <w:r w:rsidRPr="00AD2135">
        <w:rPr>
          <w:rFonts w:cs="Arial"/>
          <w:rtl/>
        </w:rPr>
        <w:t xml:space="preserve"> ועוד שאין כאן קבלה בבית דין ולכו</w:t>
      </w:r>
      <w:r>
        <w:rPr>
          <w:rFonts w:cs="Arial" w:hint="cs"/>
          <w:rtl/>
        </w:rPr>
        <w:t>"</w:t>
      </w:r>
      <w:r w:rsidRPr="00AD2135">
        <w:rPr>
          <w:rFonts w:cs="Arial"/>
          <w:rtl/>
        </w:rPr>
        <w:t>ע אע</w:t>
      </w:r>
      <w:r w:rsidRPr="00AD2135">
        <w:rPr>
          <w:rFonts w:cs="Arial" w:hint="cs"/>
          <w:rtl/>
        </w:rPr>
        <w:t>"</w:t>
      </w:r>
      <w:r w:rsidRPr="00AD2135">
        <w:rPr>
          <w:rFonts w:cs="Arial"/>
          <w:rtl/>
        </w:rPr>
        <w:t xml:space="preserve">ג דלא בעינן קנין </w:t>
      </w:r>
      <w:r>
        <w:rPr>
          <w:rFonts w:cs="Arial" w:hint="cs"/>
          <w:rtl/>
        </w:rPr>
        <w:t xml:space="preserve">- </w:t>
      </w:r>
      <w:r w:rsidRPr="00AD2135">
        <w:rPr>
          <w:rFonts w:cs="Arial"/>
          <w:rtl/>
        </w:rPr>
        <w:t>מ</w:t>
      </w:r>
      <w:r w:rsidRPr="00AD2135">
        <w:rPr>
          <w:rFonts w:cs="Arial" w:hint="cs"/>
          <w:rtl/>
        </w:rPr>
        <w:t>"מ</w:t>
      </w:r>
      <w:r w:rsidRPr="00AD2135">
        <w:rPr>
          <w:rFonts w:cs="Arial"/>
          <w:rtl/>
        </w:rPr>
        <w:t xml:space="preserve"> בעינן קבלה בבית דין יפה.</w:t>
      </w:r>
    </w:p>
  </w:footnote>
  <w:footnote w:id="1087">
    <w:p w14:paraId="07D7706A" w14:textId="77777777" w:rsidR="0013116F" w:rsidRDefault="0013116F">
      <w:pPr>
        <w:pStyle w:val="a9"/>
      </w:pPr>
      <w:r>
        <w:rPr>
          <w:rStyle w:val="ab"/>
        </w:rPr>
        <w:footnoteRef/>
      </w:r>
      <w:r>
        <w:rPr>
          <w:rtl/>
        </w:rPr>
        <w:t xml:space="preserve"> </w:t>
      </w:r>
      <w:r>
        <w:rPr>
          <w:rFonts w:hint="cs"/>
          <w:rtl/>
        </w:rPr>
        <w:t>וז"ל-</w:t>
      </w:r>
      <w:r w:rsidRPr="00A20576">
        <w:rPr>
          <w:rtl/>
        </w:rPr>
        <w:t xml:space="preserve"> </w:t>
      </w:r>
      <w:r w:rsidRPr="00A20576">
        <w:rPr>
          <w:rFonts w:cs="Arial"/>
          <w:rtl/>
        </w:rPr>
        <w:t xml:space="preserve">גרסינן </w:t>
      </w:r>
      <w:r w:rsidRPr="00224839">
        <w:rPr>
          <w:rFonts w:cs="Arial" w:hint="cs"/>
          <w:b/>
          <w:bCs/>
          <w:rtl/>
        </w:rPr>
        <w:t>'</w:t>
      </w:r>
      <w:r w:rsidRPr="00224839">
        <w:rPr>
          <w:rFonts w:cs="Arial"/>
          <w:b/>
          <w:bCs/>
          <w:rtl/>
        </w:rPr>
        <w:t>ונשבע</w:t>
      </w:r>
      <w:r w:rsidRPr="00224839">
        <w:rPr>
          <w:rFonts w:cs="Arial" w:hint="cs"/>
          <w:b/>
          <w:bCs/>
          <w:rtl/>
        </w:rPr>
        <w:t>'</w:t>
      </w:r>
      <w:r w:rsidRPr="00A20576">
        <w:rPr>
          <w:rFonts w:cs="Arial"/>
          <w:rtl/>
        </w:rPr>
        <w:t xml:space="preserve"> בשלא קיבל בפני ב"ד</w:t>
      </w:r>
      <w:r>
        <w:rPr>
          <w:rFonts w:cs="Arial" w:hint="cs"/>
          <w:rtl/>
        </w:rPr>
        <w:t>,</w:t>
      </w:r>
      <w:r w:rsidRPr="00A20576">
        <w:rPr>
          <w:rFonts w:cs="Arial"/>
          <w:rtl/>
        </w:rPr>
        <w:t xml:space="preserve"> כלומר כשאמר לו רצונך תשבע ותטול ונשבע אינו יכול לחזור בו כיון שנשבע</w:t>
      </w:r>
      <w:r>
        <w:rPr>
          <w:rFonts w:cs="Arial" w:hint="cs"/>
          <w:rtl/>
        </w:rPr>
        <w:t>,</w:t>
      </w:r>
      <w:r w:rsidRPr="00A20576">
        <w:rPr>
          <w:rFonts w:cs="Arial"/>
          <w:rtl/>
        </w:rPr>
        <w:t xml:space="preserve"> וכ</w:t>
      </w:r>
      <w:r>
        <w:rPr>
          <w:rFonts w:cs="Arial" w:hint="cs"/>
          <w:rtl/>
        </w:rPr>
        <w:t>"כ</w:t>
      </w:r>
      <w:r w:rsidRPr="00A20576">
        <w:rPr>
          <w:rFonts w:cs="Arial"/>
          <w:rtl/>
        </w:rPr>
        <w:t xml:space="preserve"> האחרונים דבפרק המפקיד (לד</w:t>
      </w:r>
      <w:r>
        <w:rPr>
          <w:rFonts w:cs="Arial" w:hint="cs"/>
          <w:rtl/>
        </w:rPr>
        <w:t>.</w:t>
      </w:r>
      <w:r w:rsidRPr="00A20576">
        <w:rPr>
          <w:rFonts w:cs="Arial"/>
          <w:rtl/>
        </w:rPr>
        <w:t>) מוכח שאם קבל בפני ב"ד אפילו שעדיין לא נשבע אינו יכול לחזור בו הלה</w:t>
      </w:r>
      <w:r>
        <w:rPr>
          <w:rFonts w:cs="Arial" w:hint="cs"/>
          <w:rtl/>
        </w:rPr>
        <w:t>.</w:t>
      </w:r>
      <w:r w:rsidRPr="00A20576">
        <w:rPr>
          <w:rFonts w:cs="Arial"/>
          <w:rtl/>
        </w:rPr>
        <w:t xml:space="preserve"> וכן אם א"ל נאמן עלי אבא או אביך אע</w:t>
      </w:r>
      <w:r>
        <w:rPr>
          <w:rFonts w:cs="Arial" w:hint="cs"/>
          <w:rtl/>
        </w:rPr>
        <w:t>"</w:t>
      </w:r>
      <w:r w:rsidRPr="00A20576">
        <w:rPr>
          <w:rFonts w:cs="Arial"/>
          <w:rtl/>
        </w:rPr>
        <w:t>ג דפסולין לו לעדות ולדון</w:t>
      </w:r>
      <w:r>
        <w:rPr>
          <w:rFonts w:cs="Arial" w:hint="cs"/>
          <w:rtl/>
        </w:rPr>
        <w:t>...-</w:t>
      </w:r>
      <w:r w:rsidRPr="00A20576">
        <w:rPr>
          <w:rFonts w:cs="Arial"/>
          <w:rtl/>
        </w:rPr>
        <w:t xml:space="preserve"> הדין הנראה להם יהיה דין</w:t>
      </w:r>
      <w:r>
        <w:rPr>
          <w:rFonts w:cs="Arial" w:hint="cs"/>
          <w:rtl/>
        </w:rPr>
        <w:t>,</w:t>
      </w:r>
      <w:r w:rsidRPr="00A20576">
        <w:rPr>
          <w:rFonts w:cs="Arial"/>
          <w:rtl/>
        </w:rPr>
        <w:t xml:space="preserve"> או השלשה רועי בקר</w:t>
      </w:r>
      <w:r>
        <w:rPr>
          <w:rFonts w:cs="Arial" w:hint="cs"/>
          <w:rtl/>
        </w:rPr>
        <w:t xml:space="preserve"> -</w:t>
      </w:r>
      <w:r w:rsidRPr="00A20576">
        <w:rPr>
          <w:rFonts w:cs="Arial"/>
          <w:rtl/>
        </w:rPr>
        <w:t xml:space="preserve"> צריך ליתן ולקיים מאמרם אחר שגמרו דינם ופסקו ליתן</w:t>
      </w:r>
      <w:r>
        <w:rPr>
          <w:rFonts w:cs="Arial" w:hint="cs"/>
          <w:rtl/>
        </w:rPr>
        <w:t>,</w:t>
      </w:r>
      <w:r w:rsidRPr="00A20576">
        <w:rPr>
          <w:rFonts w:cs="Arial"/>
          <w:rtl/>
        </w:rPr>
        <w:t xml:space="preserve"> אבל קודם גמר דין יכול לחזור בו שהרי לא קבל בפני ב"ד וגם אין בזה שבועה</w:t>
      </w:r>
      <w:r>
        <w:rPr>
          <w:rFonts w:cs="Arial" w:hint="cs"/>
          <w:rtl/>
        </w:rPr>
        <w:t>.</w:t>
      </w:r>
    </w:p>
  </w:footnote>
  <w:footnote w:id="1088">
    <w:p w14:paraId="6F003DE4" w14:textId="77777777" w:rsidR="0013116F" w:rsidRDefault="0013116F" w:rsidP="007C61C3">
      <w:pPr>
        <w:pStyle w:val="a9"/>
        <w:rPr>
          <w:rtl/>
        </w:rPr>
      </w:pPr>
      <w:r>
        <w:rPr>
          <w:rStyle w:val="ab"/>
        </w:rPr>
        <w:footnoteRef/>
      </w:r>
      <w:r>
        <w:rPr>
          <w:rtl/>
        </w:rPr>
        <w:t xml:space="preserve"> </w:t>
      </w:r>
      <w:r>
        <w:rPr>
          <w:rFonts w:cs="Arial" w:hint="cs"/>
          <w:rtl/>
        </w:rPr>
        <w:t xml:space="preserve">וכן נראה לי דעת הרמב"ם </w:t>
      </w:r>
      <w:r>
        <w:rPr>
          <w:rFonts w:cs="Arial" w:hint="cs"/>
          <w:sz w:val="16"/>
          <w:szCs w:val="16"/>
          <w:rtl/>
        </w:rPr>
        <w:t>(פ"ז ה"ב-ה)</w:t>
      </w:r>
      <w:r>
        <w:rPr>
          <w:rFonts w:cs="Arial" w:hint="cs"/>
          <w:rtl/>
        </w:rPr>
        <w:t xml:space="preserve"> וז"ל- </w:t>
      </w:r>
      <w:r w:rsidRPr="006E1986">
        <w:rPr>
          <w:rFonts w:cs="Arial"/>
          <w:rtl/>
        </w:rPr>
        <w:t>מי שקבל עליו קרוב או פסול</w:t>
      </w:r>
      <w:r>
        <w:rPr>
          <w:rFonts w:cs="Arial" w:hint="cs"/>
          <w:rtl/>
        </w:rPr>
        <w:t xml:space="preserve">... </w:t>
      </w:r>
      <w:r w:rsidRPr="00394300">
        <w:rPr>
          <w:rFonts w:cs="Arial"/>
          <w:rtl/>
        </w:rPr>
        <w:t xml:space="preserve">אם קנו מידו על זה </w:t>
      </w:r>
      <w:r>
        <w:rPr>
          <w:rFonts w:cs="Arial" w:hint="cs"/>
          <w:rtl/>
        </w:rPr>
        <w:t xml:space="preserve">- </w:t>
      </w:r>
      <w:r w:rsidRPr="00394300">
        <w:rPr>
          <w:rFonts w:cs="Arial"/>
          <w:rtl/>
        </w:rPr>
        <w:t>אינו יכול לחזור בו</w:t>
      </w:r>
      <w:r>
        <w:rPr>
          <w:rFonts w:cs="Arial" w:hint="cs"/>
          <w:rtl/>
        </w:rPr>
        <w:t>.</w:t>
      </w:r>
      <w:r w:rsidRPr="00394300">
        <w:rPr>
          <w:rFonts w:cs="Arial"/>
          <w:rtl/>
        </w:rPr>
        <w:t xml:space="preserve"> ואם לא קנו מידו </w:t>
      </w:r>
      <w:r>
        <w:rPr>
          <w:rFonts w:cs="Arial" w:hint="cs"/>
          <w:rtl/>
        </w:rPr>
        <w:t xml:space="preserve">- </w:t>
      </w:r>
      <w:r w:rsidRPr="00394300">
        <w:rPr>
          <w:rFonts w:cs="Arial"/>
          <w:rtl/>
        </w:rPr>
        <w:t>יכול לחזור בו עד שיגמר הדין</w:t>
      </w:r>
      <w:r>
        <w:rPr>
          <w:rFonts w:cs="Arial" w:hint="cs"/>
          <w:rtl/>
        </w:rPr>
        <w:t xml:space="preserve">... וכן מי </w:t>
      </w:r>
      <w:r w:rsidRPr="006E1986">
        <w:rPr>
          <w:rFonts w:cs="Arial"/>
          <w:rtl/>
        </w:rPr>
        <w:t>שנתחייב לחבירו שבועה בב</w:t>
      </w:r>
      <w:r>
        <w:rPr>
          <w:rFonts w:cs="Arial" w:hint="cs"/>
          <w:rtl/>
        </w:rPr>
        <w:t>"</w:t>
      </w:r>
      <w:r w:rsidRPr="006E1986">
        <w:rPr>
          <w:rFonts w:cs="Arial"/>
          <w:rtl/>
        </w:rPr>
        <w:t>ד</w:t>
      </w:r>
      <w:r w:rsidRPr="00394300">
        <w:rPr>
          <w:rtl/>
        </w:rPr>
        <w:t xml:space="preserve"> </w:t>
      </w:r>
      <w:r w:rsidRPr="00394300">
        <w:rPr>
          <w:rFonts w:cs="Arial"/>
          <w:rtl/>
        </w:rPr>
        <w:t xml:space="preserve">ואמר לו </w:t>
      </w:r>
      <w:r>
        <w:rPr>
          <w:rFonts w:cs="Arial" w:hint="cs"/>
          <w:rtl/>
        </w:rPr>
        <w:t>'</w:t>
      </w:r>
      <w:r w:rsidRPr="00394300">
        <w:rPr>
          <w:rFonts w:cs="Arial"/>
          <w:rtl/>
        </w:rPr>
        <w:t>השבע לי בחיי ראשך והפטר</w:t>
      </w:r>
      <w:r>
        <w:rPr>
          <w:rFonts w:cs="Arial" w:hint="cs"/>
          <w:rtl/>
        </w:rPr>
        <w:t>'</w:t>
      </w:r>
      <w:r w:rsidRPr="00394300">
        <w:rPr>
          <w:rFonts w:cs="Arial"/>
          <w:rtl/>
        </w:rPr>
        <w:t xml:space="preserve"> או </w:t>
      </w:r>
      <w:r>
        <w:rPr>
          <w:rFonts w:cs="Arial" w:hint="cs"/>
          <w:rtl/>
        </w:rPr>
        <w:t>'</w:t>
      </w:r>
      <w:r w:rsidRPr="00394300">
        <w:rPr>
          <w:rFonts w:cs="Arial"/>
          <w:rtl/>
        </w:rPr>
        <w:t>השבע לי בחיי ראשך ואתן לך כל מה שתטעון</w:t>
      </w:r>
      <w:r>
        <w:rPr>
          <w:rFonts w:cs="Arial" w:hint="cs"/>
          <w:rtl/>
        </w:rPr>
        <w:t>'...</w:t>
      </w:r>
      <w:r w:rsidRPr="006E1986">
        <w:rPr>
          <w:rFonts w:cs="Arial"/>
          <w:rtl/>
        </w:rPr>
        <w:t xml:space="preserve"> </w:t>
      </w:r>
      <w:r w:rsidRPr="00394300">
        <w:rPr>
          <w:rFonts w:cs="Arial"/>
          <w:rtl/>
        </w:rPr>
        <w:t>וה</w:t>
      </w:r>
      <w:r>
        <w:rPr>
          <w:rFonts w:cs="Arial" w:hint="cs"/>
          <w:rtl/>
        </w:rPr>
        <w:t>"</w:t>
      </w:r>
      <w:r w:rsidRPr="00394300">
        <w:rPr>
          <w:rFonts w:cs="Arial"/>
          <w:rtl/>
        </w:rPr>
        <w:t>ה ב</w:t>
      </w:r>
      <w:r w:rsidRPr="006E1986">
        <w:rPr>
          <w:rFonts w:cs="Arial"/>
          <w:rtl/>
        </w:rPr>
        <w:t xml:space="preserve">מי שלא היה חייב שבועה ואמר </w:t>
      </w:r>
      <w:r>
        <w:rPr>
          <w:rFonts w:cs="Arial" w:hint="cs"/>
          <w:rtl/>
        </w:rPr>
        <w:t>'</w:t>
      </w:r>
      <w:r w:rsidRPr="006E1986">
        <w:rPr>
          <w:rFonts w:cs="Arial"/>
          <w:rtl/>
        </w:rPr>
        <w:t>אשבע לך שבועה</w:t>
      </w:r>
      <w:r>
        <w:rPr>
          <w:rFonts w:cs="Arial" w:hint="cs"/>
          <w:rtl/>
        </w:rPr>
        <w:t>'</w:t>
      </w:r>
      <w:r w:rsidRPr="006E1986">
        <w:rPr>
          <w:rFonts w:cs="Arial"/>
          <w:rtl/>
        </w:rPr>
        <w:t xml:space="preserve">, אם קנו מידו </w:t>
      </w:r>
      <w:r>
        <w:rPr>
          <w:rFonts w:cs="Arial" w:hint="cs"/>
          <w:rtl/>
        </w:rPr>
        <w:t xml:space="preserve">- </w:t>
      </w:r>
      <w:r w:rsidRPr="006E1986">
        <w:rPr>
          <w:rFonts w:cs="Arial"/>
          <w:rtl/>
        </w:rPr>
        <w:t>אינו יכול לחזור בו</w:t>
      </w:r>
      <w:r>
        <w:rPr>
          <w:rFonts w:cs="Arial" w:hint="cs"/>
          <w:rtl/>
        </w:rPr>
        <w:t>.</w:t>
      </w:r>
      <w:r w:rsidRPr="006E1986">
        <w:rPr>
          <w:rFonts w:cs="Arial"/>
          <w:rtl/>
        </w:rPr>
        <w:t xml:space="preserve"> ואם לא קנו מידו </w:t>
      </w:r>
      <w:r w:rsidRPr="00394300">
        <w:rPr>
          <w:rFonts w:cs="Arial"/>
          <w:b/>
          <w:bCs/>
          <w:rtl/>
        </w:rPr>
        <w:t>אע</w:t>
      </w:r>
      <w:r w:rsidRPr="00394300">
        <w:rPr>
          <w:rFonts w:cs="Arial" w:hint="cs"/>
          <w:b/>
          <w:bCs/>
          <w:rtl/>
        </w:rPr>
        <w:t>"</w:t>
      </w:r>
      <w:r w:rsidRPr="00394300">
        <w:rPr>
          <w:rFonts w:cs="Arial"/>
          <w:b/>
          <w:bCs/>
          <w:rtl/>
        </w:rPr>
        <w:t>פ שקבל בב</w:t>
      </w:r>
      <w:r>
        <w:rPr>
          <w:rFonts w:cs="Arial" w:hint="cs"/>
          <w:b/>
          <w:bCs/>
          <w:rtl/>
        </w:rPr>
        <w:t>"</w:t>
      </w:r>
      <w:r w:rsidRPr="00394300">
        <w:rPr>
          <w:rFonts w:cs="Arial"/>
          <w:b/>
          <w:bCs/>
          <w:rtl/>
        </w:rPr>
        <w:t>ד</w:t>
      </w:r>
      <w:r w:rsidRPr="006E1986">
        <w:rPr>
          <w:rFonts w:cs="Arial"/>
          <w:rtl/>
        </w:rPr>
        <w:t xml:space="preserve"> </w:t>
      </w:r>
      <w:r>
        <w:rPr>
          <w:rFonts w:cs="Arial" w:hint="cs"/>
          <w:rtl/>
        </w:rPr>
        <w:t xml:space="preserve">- </w:t>
      </w:r>
      <w:r w:rsidRPr="006E1986">
        <w:rPr>
          <w:rFonts w:cs="Arial"/>
          <w:rtl/>
        </w:rPr>
        <w:t>חוזר עד שיגמר הדין וישבע.</w:t>
      </w:r>
      <w:r>
        <w:rPr>
          <w:rFonts w:cs="Arial" w:hint="cs"/>
          <w:rtl/>
        </w:rPr>
        <w:t xml:space="preserve"> </w:t>
      </w:r>
      <w:r w:rsidRPr="008006DC">
        <w:rPr>
          <w:rFonts w:hint="cs"/>
          <w:color w:val="E36C0A" w:themeColor="accent6" w:themeShade="BF"/>
          <w:rtl/>
        </w:rPr>
        <w:t>(וכ"פ בשו"ע)</w:t>
      </w:r>
      <w:r>
        <w:rPr>
          <w:rFonts w:hint="cs"/>
          <w:rtl/>
        </w:rPr>
        <w:t>. וצל"ע מדוע אף אחד לא הביא את דבריו, ואפשר שכך דעת הב"י כיון שפסק כן בסע' ג' גבי שבועה כך דעתו לגבי קבלת הקרובים/הפסולים בבית דין. אמנם אפשר שמכיון דמיירי בסוף במי שלא היה חייב שבועה ואעפ"כ עשה תנאי כזה, בגלל זה אף שקיבל בבית דין יכול לחזור כל שלא נגמר הדין ונשבע ולכן אין ללמוד מכאן לסתם קבלת קרוב/פסול בב"ד. וראשון נראה עיקר.</w:t>
      </w:r>
    </w:p>
  </w:footnote>
  <w:footnote w:id="1089">
    <w:p w14:paraId="7753342F" w14:textId="77777777" w:rsidR="0013116F" w:rsidRDefault="0013116F">
      <w:pPr>
        <w:pStyle w:val="a9"/>
        <w:rPr>
          <w:rtl/>
        </w:rPr>
      </w:pPr>
      <w:r>
        <w:rPr>
          <w:rStyle w:val="ab"/>
        </w:rPr>
        <w:footnoteRef/>
      </w:r>
      <w:r>
        <w:rPr>
          <w:rtl/>
        </w:rPr>
        <w:t xml:space="preserve"> </w:t>
      </w:r>
      <w:r w:rsidRPr="001C149C">
        <w:rPr>
          <w:rFonts w:cs="Arial"/>
          <w:rtl/>
        </w:rPr>
        <w:t>דכיון שטען בפניהם הרי עשאן בית דין והוי כקבלה בבית דין, רק כשקיבל פסולין לדיינים חוץ לבית דין ודנו הפסולים שלא בפניו, לא מהני הקבלה ויכול לחזור. ולענין שבועה יבואר בסעיף ג'</w:t>
      </w:r>
      <w:r>
        <w:rPr>
          <w:rFonts w:hint="cs"/>
          <w:rtl/>
        </w:rPr>
        <w:t>, נתיבות (שם). וכתב האו"ת (שם) שכדברי הנמוק"י כן סתימת הפוסקים,</w:t>
      </w:r>
      <w:r w:rsidRPr="001C149C">
        <w:rPr>
          <w:rFonts w:cs="Arial"/>
          <w:rtl/>
        </w:rPr>
        <w:t xml:space="preserve"> ואפילו לדעת הגהת הרא"ש נראה דוקא בעדים אבל בדיינים נראה דמודה.</w:t>
      </w:r>
    </w:p>
  </w:footnote>
  <w:footnote w:id="1090">
    <w:p w14:paraId="4E05DFB1" w14:textId="77777777" w:rsidR="0013116F" w:rsidRDefault="0013116F" w:rsidP="00561C20">
      <w:pPr>
        <w:pStyle w:val="a9"/>
      </w:pPr>
      <w:r>
        <w:rPr>
          <w:rStyle w:val="ab"/>
        </w:rPr>
        <w:footnoteRef/>
      </w:r>
      <w:r>
        <w:rPr>
          <w:rtl/>
        </w:rPr>
        <w:t xml:space="preserve"> </w:t>
      </w:r>
      <w:r>
        <w:rPr>
          <w:rFonts w:hint="cs"/>
          <w:rtl/>
        </w:rPr>
        <w:t>וכתב הב"י דפשוט הוא.</w:t>
      </w:r>
    </w:p>
  </w:footnote>
  <w:footnote w:id="1091">
    <w:p w14:paraId="52636370" w14:textId="77777777" w:rsidR="0013116F" w:rsidRDefault="0013116F" w:rsidP="00561C20">
      <w:pPr>
        <w:pStyle w:val="a9"/>
      </w:pPr>
      <w:r>
        <w:rPr>
          <w:rStyle w:val="ab"/>
        </w:rPr>
        <w:footnoteRef/>
      </w:r>
      <w:r>
        <w:rPr>
          <w:rtl/>
        </w:rPr>
        <w:t xml:space="preserve"> </w:t>
      </w:r>
      <w:r w:rsidRPr="009E27FD">
        <w:rPr>
          <w:rFonts w:cs="Arial"/>
          <w:rtl/>
        </w:rPr>
        <w:t>ודבר תימה הוא אם שני הבעלי דינים מתרצים מי יעכב על ידם</w:t>
      </w:r>
      <w:r>
        <w:rPr>
          <w:rFonts w:cs="Arial" w:hint="cs"/>
          <w:rtl/>
        </w:rPr>
        <w:t>?</w:t>
      </w:r>
      <w:r w:rsidRPr="009E27FD">
        <w:rPr>
          <w:rFonts w:cs="Arial"/>
          <w:rtl/>
        </w:rPr>
        <w:t xml:space="preserve"> ואיפשר דאדיינים קאי</w:t>
      </w:r>
      <w:r>
        <w:rPr>
          <w:rFonts w:cs="Arial" w:hint="cs"/>
          <w:rtl/>
        </w:rPr>
        <w:t>,</w:t>
      </w:r>
      <w:r w:rsidRPr="009E27FD">
        <w:rPr>
          <w:rFonts w:cs="Arial"/>
          <w:rtl/>
        </w:rPr>
        <w:t xml:space="preserve"> כלומר שאע</w:t>
      </w:r>
      <w:r>
        <w:rPr>
          <w:rFonts w:cs="Arial" w:hint="cs"/>
          <w:rtl/>
        </w:rPr>
        <w:t>"</w:t>
      </w:r>
      <w:r w:rsidRPr="009E27FD">
        <w:rPr>
          <w:rFonts w:cs="Arial"/>
          <w:rtl/>
        </w:rPr>
        <w:t>פ ששני הדיינים מתרצים בכך בעל דין אחד מעכב על חבירו</w:t>
      </w:r>
      <w:r>
        <w:rPr>
          <w:rFonts w:cs="Arial" w:hint="cs"/>
          <w:rtl/>
        </w:rPr>
        <w:t>,</w:t>
      </w:r>
      <w:r w:rsidRPr="009E27FD">
        <w:rPr>
          <w:rFonts w:cs="Arial"/>
          <w:rtl/>
        </w:rPr>
        <w:t xml:space="preserve"> ואע</w:t>
      </w:r>
      <w:r>
        <w:rPr>
          <w:rFonts w:cs="Arial" w:hint="cs"/>
          <w:rtl/>
        </w:rPr>
        <w:t>"</w:t>
      </w:r>
      <w:r w:rsidRPr="009E27FD">
        <w:rPr>
          <w:rFonts w:cs="Arial"/>
          <w:rtl/>
        </w:rPr>
        <w:t>פ שכתב בתחלה דיין אחד</w:t>
      </w:r>
      <w:r>
        <w:rPr>
          <w:rFonts w:cs="Arial" w:hint="cs"/>
          <w:rtl/>
        </w:rPr>
        <w:t xml:space="preserve">, </w:t>
      </w:r>
      <w:r w:rsidRPr="009E27FD">
        <w:rPr>
          <w:rFonts w:cs="Arial"/>
          <w:rtl/>
        </w:rPr>
        <w:t>לאו דוקא</w:t>
      </w:r>
      <w:r>
        <w:rPr>
          <w:rFonts w:cs="Arial" w:hint="cs"/>
          <w:rtl/>
        </w:rPr>
        <w:t>,</w:t>
      </w:r>
      <w:r w:rsidRPr="009E27FD">
        <w:rPr>
          <w:rFonts w:cs="Arial"/>
          <w:rtl/>
        </w:rPr>
        <w:t xml:space="preserve"> דכל פחות משלשה דיין אחד קרי ליה</w:t>
      </w:r>
      <w:r>
        <w:rPr>
          <w:rFonts w:cs="Arial" w:hint="cs"/>
          <w:rtl/>
        </w:rPr>
        <w:t>,</w:t>
      </w:r>
      <w:r w:rsidRPr="009E27FD">
        <w:rPr>
          <w:rFonts w:cs="Arial"/>
          <w:rtl/>
        </w:rPr>
        <w:t xml:space="preserve"> ועי"ל דאבעלי דינים קאי ואינן יכולים לחזור בהם ולעמוד בפני בית דין אחר מפני כבוד הדיין הראשון וזה נראה יותר</w:t>
      </w:r>
      <w:r>
        <w:rPr>
          <w:rFonts w:cs="Arial" w:hint="cs"/>
          <w:rtl/>
        </w:rPr>
        <w:t xml:space="preserve">, ב"י. וכתב הדרכ"מ </w:t>
      </w:r>
      <w:r w:rsidRPr="000D0CEE">
        <w:rPr>
          <w:rFonts w:cs="Arial"/>
          <w:sz w:val="14"/>
          <w:szCs w:val="14"/>
          <w:rtl/>
        </w:rPr>
        <w:t>(</w:t>
      </w:r>
      <w:r w:rsidRPr="000D0CEE">
        <w:rPr>
          <w:rFonts w:cs="Arial" w:hint="cs"/>
          <w:sz w:val="14"/>
          <w:szCs w:val="14"/>
          <w:rtl/>
        </w:rPr>
        <w:t xml:space="preserve">אות </w:t>
      </w:r>
      <w:r w:rsidRPr="000D0CEE">
        <w:rPr>
          <w:rFonts w:cs="Arial"/>
          <w:sz w:val="14"/>
          <w:szCs w:val="14"/>
          <w:rtl/>
        </w:rPr>
        <w:t>ג***)</w:t>
      </w:r>
      <w:r>
        <w:rPr>
          <w:rFonts w:cs="Arial" w:hint="cs"/>
          <w:rtl/>
        </w:rPr>
        <w:t>-</w:t>
      </w:r>
      <w:r w:rsidRPr="009E27FD">
        <w:rPr>
          <w:rFonts w:cs="Arial"/>
          <w:rtl/>
        </w:rPr>
        <w:t xml:space="preserve"> ולי נראה מאחר שכבר נפסק הדין ביניהם לא שייך חזרה אלא צריכים שימחלו זה לזה ואז לא שייך כבוד הדיין ויכולים לעשות כן אם ירצו כנ"ל</w:t>
      </w:r>
      <w:r>
        <w:rPr>
          <w:rFonts w:cs="Arial" w:hint="cs"/>
          <w:rtl/>
        </w:rPr>
        <w:t>.</w:t>
      </w:r>
      <w:r>
        <w:rPr>
          <w:rFonts w:hint="cs"/>
          <w:rtl/>
        </w:rPr>
        <w:t xml:space="preserve"> עכ"ל. והש"ך (סק"ח) כ'- </w:t>
      </w:r>
      <w:r w:rsidRPr="001F4D22">
        <w:rPr>
          <w:rFonts w:cs="Arial"/>
          <w:rtl/>
        </w:rPr>
        <w:t>ולי נראה דהרא"ש מיירי היכא שחב לאחרים בחזרתם וכדלקמן סי</w:t>
      </w:r>
      <w:r>
        <w:rPr>
          <w:rFonts w:cs="Arial" w:hint="cs"/>
          <w:rtl/>
        </w:rPr>
        <w:t>'</w:t>
      </w:r>
      <w:r w:rsidRPr="001F4D22">
        <w:rPr>
          <w:rFonts w:cs="Arial"/>
          <w:rtl/>
        </w:rPr>
        <w:t xml:space="preserve"> מז [סע</w:t>
      </w:r>
      <w:r>
        <w:rPr>
          <w:rFonts w:cs="Arial" w:hint="cs"/>
          <w:rtl/>
        </w:rPr>
        <w:t>'</w:t>
      </w:r>
      <w:r w:rsidRPr="001F4D22">
        <w:rPr>
          <w:rFonts w:cs="Arial"/>
          <w:rtl/>
        </w:rPr>
        <w:t xml:space="preserve"> א]</w:t>
      </w:r>
      <w:r>
        <w:rPr>
          <w:rFonts w:cs="Arial" w:hint="cs"/>
          <w:rtl/>
        </w:rPr>
        <w:t>.</w:t>
      </w:r>
    </w:p>
  </w:footnote>
  <w:footnote w:id="1092">
    <w:p w14:paraId="49EAAD3B" w14:textId="77777777" w:rsidR="0013116F" w:rsidRDefault="0013116F">
      <w:pPr>
        <w:pStyle w:val="a9"/>
      </w:pPr>
      <w:r>
        <w:rPr>
          <w:rStyle w:val="ab"/>
        </w:rPr>
        <w:footnoteRef/>
      </w:r>
      <w:r>
        <w:rPr>
          <w:rtl/>
        </w:rPr>
        <w:t xml:space="preserve"> </w:t>
      </w:r>
      <w:r>
        <w:rPr>
          <w:rFonts w:hint="cs"/>
          <w:rtl/>
        </w:rPr>
        <w:t>היינו שהם קיבלו את הפסול כדיין אחד, ויש עוד שנים עמו (אפילו שגם הם פסולים).</w:t>
      </w:r>
    </w:p>
  </w:footnote>
  <w:footnote w:id="1093">
    <w:p w14:paraId="4B049FB4" w14:textId="77777777" w:rsidR="0013116F" w:rsidRDefault="0013116F">
      <w:pPr>
        <w:pStyle w:val="a9"/>
        <w:rPr>
          <w:rtl/>
        </w:rPr>
      </w:pPr>
      <w:r>
        <w:rPr>
          <w:rStyle w:val="ab"/>
        </w:rPr>
        <w:footnoteRef/>
      </w:r>
      <w:r>
        <w:rPr>
          <w:rtl/>
        </w:rPr>
        <w:t xml:space="preserve"> </w:t>
      </w:r>
      <w:r>
        <w:rPr>
          <w:rFonts w:hint="cs"/>
          <w:rtl/>
        </w:rPr>
        <w:t>שגם קיבלו עליהם פסול וגם שהפסול הזה חשיב כתרי/כתלתא.</w:t>
      </w:r>
    </w:p>
  </w:footnote>
  <w:footnote w:id="1094">
    <w:p w14:paraId="0B6F8C1E" w14:textId="77777777" w:rsidR="0013116F" w:rsidRPr="00B351C3" w:rsidRDefault="0013116F" w:rsidP="003F5648">
      <w:pPr>
        <w:pStyle w:val="a9"/>
        <w:rPr>
          <w:rtl/>
        </w:rPr>
      </w:pPr>
      <w:r w:rsidRPr="00B351C3">
        <w:rPr>
          <w:rStyle w:val="ab"/>
        </w:rPr>
        <w:footnoteRef/>
      </w:r>
      <w:r w:rsidRPr="00B351C3">
        <w:rPr>
          <w:rtl/>
        </w:rPr>
        <w:t xml:space="preserve"> </w:t>
      </w:r>
      <w:r w:rsidRPr="00B351C3">
        <w:rPr>
          <w:rFonts w:cs="Arial"/>
          <w:rtl/>
        </w:rPr>
        <w:t>שכתב הא דאמר רב דימי כגון דקבליה עליה בחד ואם היה מפרש כפירוש רש"י כיון דלא נפקא לן מינה מידי אלא לרבי מאיר דלית הלכתא כוותיה למה לו לכתבו</w:t>
      </w:r>
      <w:r w:rsidRPr="00B351C3">
        <w:rPr>
          <w:rFonts w:hint="cs"/>
          <w:rtl/>
        </w:rPr>
        <w:t>, ב"י.</w:t>
      </w:r>
    </w:p>
  </w:footnote>
  <w:footnote w:id="1095">
    <w:p w14:paraId="515F1890" w14:textId="77777777" w:rsidR="0013116F" w:rsidRDefault="0013116F">
      <w:pPr>
        <w:pStyle w:val="a9"/>
        <w:rPr>
          <w:rtl/>
        </w:rPr>
      </w:pPr>
      <w:r>
        <w:rPr>
          <w:rStyle w:val="ab"/>
        </w:rPr>
        <w:footnoteRef/>
      </w:r>
      <w:r>
        <w:rPr>
          <w:rtl/>
        </w:rPr>
        <w:t xml:space="preserve"> </w:t>
      </w:r>
      <w:r>
        <w:rPr>
          <w:rFonts w:cs="Arial"/>
          <w:rtl/>
        </w:rPr>
        <w:t>וה"ה נמי אם קבל כשר אחד במקום ב'</w:t>
      </w:r>
      <w:r>
        <w:rPr>
          <w:rFonts w:hint="cs"/>
          <w:rtl/>
        </w:rPr>
        <w:t xml:space="preserve">, רא"ש וטור. </w:t>
      </w:r>
    </w:p>
  </w:footnote>
  <w:footnote w:id="1096">
    <w:p w14:paraId="483E38F5" w14:textId="77777777" w:rsidR="0013116F" w:rsidRDefault="0013116F" w:rsidP="00F31EBA">
      <w:pPr>
        <w:pStyle w:val="a9"/>
        <w:rPr>
          <w:rtl/>
        </w:rPr>
      </w:pPr>
      <w:r>
        <w:rPr>
          <w:rStyle w:val="ab"/>
        </w:rPr>
        <w:footnoteRef/>
      </w:r>
      <w:r>
        <w:rPr>
          <w:rtl/>
        </w:rPr>
        <w:t xml:space="preserve"> </w:t>
      </w:r>
      <w:r>
        <w:rPr>
          <w:rFonts w:hint="cs"/>
          <w:rtl/>
        </w:rPr>
        <w:t xml:space="preserve">וז"ל- </w:t>
      </w:r>
      <w:r w:rsidRPr="00F31EBA">
        <w:rPr>
          <w:rFonts w:cs="Arial"/>
          <w:rtl/>
        </w:rPr>
        <w:t>הרמב"ן הוכיח בראיות ברורות בפרק יש נוחלין (ב"ב קכח. ד"ה הכי גרסינן) ד</w:t>
      </w:r>
      <w:r w:rsidRPr="009E27FD">
        <w:rPr>
          <w:rFonts w:cs="Arial"/>
          <w:rtl/>
        </w:rPr>
        <w:t>אפילו חד קרוב או פסול דקביל עליה כתרי או כתלתא אף בלא קנין אינו יכול לחזור בו לאחר גמר דין</w:t>
      </w:r>
      <w:r>
        <w:rPr>
          <w:rFonts w:cs="Arial" w:hint="cs"/>
          <w:rtl/>
        </w:rPr>
        <w:t xml:space="preserve">, </w:t>
      </w:r>
      <w:r w:rsidRPr="009E27FD">
        <w:rPr>
          <w:rFonts w:cs="Arial"/>
          <w:rtl/>
        </w:rPr>
        <w:t>שלא כדעת הרי"ף וההיא דרב דימי לרבי מאיר איצטרכא כמו שפירש רש"י ולזה הסכימו האחרונים</w:t>
      </w:r>
      <w:r>
        <w:rPr>
          <w:rFonts w:hint="cs"/>
          <w:rtl/>
        </w:rPr>
        <w:t>.</w:t>
      </w:r>
    </w:p>
  </w:footnote>
  <w:footnote w:id="1097">
    <w:p w14:paraId="161BF762" w14:textId="77777777" w:rsidR="0013116F" w:rsidRDefault="0013116F">
      <w:pPr>
        <w:pStyle w:val="a9"/>
      </w:pPr>
      <w:r>
        <w:rPr>
          <w:rStyle w:val="ab"/>
        </w:rPr>
        <w:footnoteRef/>
      </w:r>
      <w:r>
        <w:rPr>
          <w:rtl/>
        </w:rPr>
        <w:t xml:space="preserve"> </w:t>
      </w:r>
      <w:r>
        <w:rPr>
          <w:rFonts w:hint="cs"/>
          <w:rtl/>
        </w:rPr>
        <w:t>וכתב הכס"מ (פ"ז ה"ב) דכן דעת רש"י, דהרי פירש דההיא דרב דימי לר"מ איצטריכא ליה אבל חכמים לא חשו להא, ואם דעתו הייתה שגם חכמים מדברים רק בחדא לריעותא היה לו לפרש כן.</w:t>
      </w:r>
    </w:p>
  </w:footnote>
  <w:footnote w:id="1098">
    <w:p w14:paraId="49EE1F0D" w14:textId="77777777" w:rsidR="0013116F" w:rsidRDefault="0013116F">
      <w:pPr>
        <w:pStyle w:val="a9"/>
        <w:rPr>
          <w:rtl/>
        </w:rPr>
      </w:pPr>
      <w:r>
        <w:rPr>
          <w:rStyle w:val="ab"/>
        </w:rPr>
        <w:footnoteRef/>
      </w:r>
      <w:r>
        <w:rPr>
          <w:rtl/>
        </w:rPr>
        <w:t xml:space="preserve"> </w:t>
      </w:r>
      <w:r>
        <w:rPr>
          <w:rFonts w:hint="cs"/>
          <w:rtl/>
        </w:rPr>
        <w:t>דהרי ל</w:t>
      </w:r>
      <w:r w:rsidRPr="009E27FD">
        <w:rPr>
          <w:rFonts w:cs="Arial"/>
          <w:rtl/>
        </w:rPr>
        <w:t>דעת הרמב"ם</w:t>
      </w:r>
      <w:r w:rsidRPr="00AD2135">
        <w:rPr>
          <w:rFonts w:cs="Arial"/>
          <w:sz w:val="14"/>
          <w:szCs w:val="14"/>
          <w:rtl/>
        </w:rPr>
        <w:t xml:space="preserve"> </w:t>
      </w:r>
      <w:r w:rsidRPr="00AD2135">
        <w:rPr>
          <w:rFonts w:cs="Arial" w:hint="cs"/>
          <w:sz w:val="16"/>
          <w:szCs w:val="16"/>
          <w:rtl/>
        </w:rPr>
        <w:t>(וסיעתו)</w:t>
      </w:r>
      <w:r w:rsidRPr="00AD2135">
        <w:rPr>
          <w:rFonts w:cs="Arial" w:hint="cs"/>
          <w:sz w:val="14"/>
          <w:szCs w:val="14"/>
          <w:rtl/>
        </w:rPr>
        <w:t xml:space="preserve"> </w:t>
      </w:r>
      <w:r w:rsidRPr="009E27FD">
        <w:rPr>
          <w:rFonts w:cs="Arial"/>
          <w:rtl/>
        </w:rPr>
        <w:t>כבר נתבאר בסמוך דאפילו קיבל עליה קרוב או פסול כשלשה מומחין ונגמר הדין על פיו אפילו לא קנו מידו אינו יכול לחזור בו ואם קנו מידו מבואר בדבריו בפרק הנזכר דאפילו קודם גמר דין אינו יכול לחזור בו דאין לאחר קנין כלום</w:t>
      </w:r>
      <w:r>
        <w:rPr>
          <w:rFonts w:hint="cs"/>
          <w:rtl/>
        </w:rPr>
        <w:t>, ב"י.</w:t>
      </w:r>
    </w:p>
  </w:footnote>
  <w:footnote w:id="1099">
    <w:p w14:paraId="4F2A1541" w14:textId="77777777" w:rsidR="0013116F" w:rsidRDefault="0013116F" w:rsidP="00F31EBA">
      <w:pPr>
        <w:pStyle w:val="a9"/>
        <w:rPr>
          <w:rtl/>
        </w:rPr>
      </w:pPr>
      <w:r>
        <w:rPr>
          <w:rStyle w:val="ab"/>
        </w:rPr>
        <w:footnoteRef/>
      </w:r>
      <w:r>
        <w:rPr>
          <w:rtl/>
        </w:rPr>
        <w:t xml:space="preserve"> </w:t>
      </w:r>
      <w:r w:rsidRPr="009E27FD">
        <w:rPr>
          <w:rFonts w:cs="Arial"/>
          <w:rtl/>
        </w:rPr>
        <w:t xml:space="preserve">ויש אומרים דבעדים לא מהני קנין והרא"ש </w:t>
      </w:r>
      <w:r w:rsidRPr="00F31EBA">
        <w:rPr>
          <w:rFonts w:cs="Arial"/>
          <w:sz w:val="16"/>
          <w:szCs w:val="16"/>
          <w:rtl/>
        </w:rPr>
        <w:t xml:space="preserve">(פ"ג סי' ד - ה) </w:t>
      </w:r>
      <w:r w:rsidRPr="009E27FD">
        <w:rPr>
          <w:rFonts w:cs="Arial"/>
          <w:rtl/>
        </w:rPr>
        <w:t>ושאר רבוותא חולקים</w:t>
      </w:r>
      <w:r>
        <w:rPr>
          <w:rFonts w:cs="Arial" w:hint="cs"/>
          <w:rtl/>
        </w:rPr>
        <w:t>,</w:t>
      </w:r>
      <w:r w:rsidRPr="009A4DBA">
        <w:rPr>
          <w:rFonts w:cs="Arial"/>
          <w:rtl/>
        </w:rPr>
        <w:t xml:space="preserve"> </w:t>
      </w:r>
      <w:r w:rsidRPr="009E27FD">
        <w:rPr>
          <w:rFonts w:cs="Arial"/>
          <w:rtl/>
        </w:rPr>
        <w:t>ר</w:t>
      </w:r>
      <w:r>
        <w:rPr>
          <w:rFonts w:cs="Arial" w:hint="cs"/>
          <w:rtl/>
        </w:rPr>
        <w:t>י"ו</w:t>
      </w:r>
      <w:r w:rsidRPr="009E27FD">
        <w:rPr>
          <w:rFonts w:cs="Arial"/>
          <w:rtl/>
        </w:rPr>
        <w:t xml:space="preserve"> </w:t>
      </w:r>
      <w:r w:rsidRPr="00F31EBA">
        <w:rPr>
          <w:rFonts w:cs="Arial" w:hint="cs"/>
          <w:sz w:val="16"/>
          <w:szCs w:val="16"/>
          <w:rtl/>
        </w:rPr>
        <w:t>(</w:t>
      </w:r>
      <w:r w:rsidRPr="00F31EBA">
        <w:rPr>
          <w:rFonts w:cs="Arial"/>
          <w:sz w:val="16"/>
          <w:szCs w:val="16"/>
          <w:rtl/>
        </w:rPr>
        <w:t>מישרים נ</w:t>
      </w:r>
      <w:r w:rsidRPr="00F31EBA">
        <w:rPr>
          <w:rFonts w:cs="Arial" w:hint="cs"/>
          <w:sz w:val="16"/>
          <w:szCs w:val="16"/>
          <w:rtl/>
        </w:rPr>
        <w:t>"א</w:t>
      </w:r>
      <w:r w:rsidRPr="00F31EBA">
        <w:rPr>
          <w:rFonts w:cs="Arial"/>
          <w:sz w:val="16"/>
          <w:szCs w:val="16"/>
          <w:rtl/>
        </w:rPr>
        <w:t xml:space="preserve"> חי"ג יא</w:t>
      </w:r>
      <w:r w:rsidRPr="00F31EBA">
        <w:rPr>
          <w:rFonts w:cs="Arial" w:hint="cs"/>
          <w:sz w:val="16"/>
          <w:szCs w:val="16"/>
          <w:rtl/>
        </w:rPr>
        <w:t>.</w:t>
      </w:r>
      <w:r w:rsidRPr="00F31EBA">
        <w:rPr>
          <w:rFonts w:cs="Arial"/>
          <w:sz w:val="16"/>
          <w:szCs w:val="16"/>
          <w:rtl/>
        </w:rPr>
        <w:t>)</w:t>
      </w:r>
      <w:r>
        <w:rPr>
          <w:rFonts w:cs="Arial" w:hint="cs"/>
          <w:rtl/>
        </w:rPr>
        <w:t>. הביאו הדרכ"מ</w:t>
      </w:r>
      <w:r w:rsidRPr="009E27FD">
        <w:rPr>
          <w:rFonts w:cs="Arial"/>
          <w:rtl/>
        </w:rPr>
        <w:t xml:space="preserve"> (</w:t>
      </w:r>
      <w:r>
        <w:rPr>
          <w:rFonts w:cs="Arial" w:hint="cs"/>
          <w:rtl/>
        </w:rPr>
        <w:t xml:space="preserve">אות </w:t>
      </w:r>
      <w:r w:rsidRPr="009E27FD">
        <w:rPr>
          <w:rFonts w:cs="Arial"/>
          <w:rtl/>
        </w:rPr>
        <w:t>ג)</w:t>
      </w:r>
      <w:r>
        <w:rPr>
          <w:rFonts w:cs="Arial" w:hint="cs"/>
          <w:rtl/>
        </w:rPr>
        <w:t>.</w:t>
      </w:r>
      <w:r>
        <w:rPr>
          <w:rFonts w:hint="cs"/>
          <w:rtl/>
        </w:rPr>
        <w:t xml:space="preserve"> </w:t>
      </w:r>
      <w:r w:rsidRPr="009A4DBA">
        <w:rPr>
          <w:rFonts w:hint="cs"/>
          <w:color w:val="00B0F0"/>
          <w:rtl/>
        </w:rPr>
        <w:t>וכ"פ בהגה</w:t>
      </w:r>
      <w:r>
        <w:rPr>
          <w:rFonts w:hint="cs"/>
          <w:rtl/>
        </w:rPr>
        <w:t>. וכ"פ הסמ"ע (סק"ז).</w:t>
      </w:r>
    </w:p>
  </w:footnote>
  <w:footnote w:id="1100">
    <w:p w14:paraId="1C7E4F28" w14:textId="77777777" w:rsidR="0013116F" w:rsidRDefault="0013116F" w:rsidP="00F51149">
      <w:pPr>
        <w:pStyle w:val="a9"/>
        <w:rPr>
          <w:rtl/>
        </w:rPr>
      </w:pPr>
      <w:r>
        <w:rPr>
          <w:rStyle w:val="ab"/>
        </w:rPr>
        <w:footnoteRef/>
      </w:r>
      <w:r>
        <w:rPr>
          <w:rtl/>
        </w:rPr>
        <w:t xml:space="preserve"> </w:t>
      </w:r>
      <w:r>
        <w:rPr>
          <w:rFonts w:hint="cs"/>
          <w:rtl/>
        </w:rPr>
        <w:t xml:space="preserve">הרי"ף </w:t>
      </w:r>
      <w:r>
        <w:rPr>
          <w:rFonts w:cs="Arial" w:hint="cs"/>
          <w:rtl/>
        </w:rPr>
        <w:t xml:space="preserve">הוכיח דבריו מפרק שבועת הדיינים וז"ל- </w:t>
      </w:r>
      <w:r w:rsidRPr="002A399E">
        <w:rPr>
          <w:rFonts w:cs="Arial"/>
          <w:rtl/>
        </w:rPr>
        <w:t xml:space="preserve">דהא אפילו קביל עליה לבעל דינו כבי תרי וקנו מיניה אינו יכול לחזור בו כדגרסינן בפרק שבועת הדיינים </w:t>
      </w:r>
      <w:r w:rsidRPr="002A399E">
        <w:rPr>
          <w:rFonts w:cs="Arial"/>
          <w:sz w:val="16"/>
          <w:szCs w:val="16"/>
          <w:rtl/>
        </w:rPr>
        <w:t xml:space="preserve">(שבועות מב.) </w:t>
      </w:r>
      <w:r w:rsidRPr="002A399E">
        <w:rPr>
          <w:rFonts w:cs="Arial"/>
          <w:rtl/>
        </w:rPr>
        <w:t>ההוא דאמר ליה לחבריה מהימנת לי כבי תרי כל אימת דאמרת לא פרענא וכו'</w:t>
      </w:r>
      <w:r>
        <w:rPr>
          <w:rFonts w:cs="Arial" w:hint="cs"/>
          <w:rtl/>
        </w:rPr>
        <w:t xml:space="preserve">. עכ"ל. </w:t>
      </w:r>
      <w:r w:rsidRPr="00AD2135">
        <w:rPr>
          <w:rFonts w:cs="Arial"/>
          <w:rtl/>
        </w:rPr>
        <w:t>וכתב הרא"ש (שם) על זה</w:t>
      </w:r>
      <w:r>
        <w:rPr>
          <w:rFonts w:cs="Arial" w:hint="cs"/>
          <w:rtl/>
        </w:rPr>
        <w:t>-</w:t>
      </w:r>
      <w:r w:rsidRPr="00AD2135">
        <w:rPr>
          <w:rFonts w:cs="Arial"/>
          <w:rtl/>
        </w:rPr>
        <w:t xml:space="preserve"> הראיה שהביא רב אלפס אינה ראיה</w:t>
      </w:r>
      <w:r>
        <w:rPr>
          <w:rFonts w:cs="Arial" w:hint="cs"/>
          <w:rtl/>
        </w:rPr>
        <w:t>,</w:t>
      </w:r>
      <w:r w:rsidRPr="00AD2135">
        <w:rPr>
          <w:rFonts w:cs="Arial"/>
          <w:rtl/>
        </w:rPr>
        <w:t xml:space="preserve"> לפי הטעם שתלה הטעם בקנין טעות</w:t>
      </w:r>
      <w:r>
        <w:rPr>
          <w:rFonts w:cs="Arial" w:hint="cs"/>
          <w:rtl/>
        </w:rPr>
        <w:t>,</w:t>
      </w:r>
      <w:r w:rsidRPr="00AD2135">
        <w:rPr>
          <w:rFonts w:cs="Arial"/>
          <w:rtl/>
        </w:rPr>
        <w:t xml:space="preserve"> וההיא דשבועות אפילו קנין לא בעי אלא כיון שקבל עליו הלוה שיהא המלוה נאמן עליו שלא נפרע </w:t>
      </w:r>
      <w:r>
        <w:rPr>
          <w:rFonts w:cs="Arial" w:hint="cs"/>
          <w:rtl/>
        </w:rPr>
        <w:t xml:space="preserve">- </w:t>
      </w:r>
      <w:r w:rsidRPr="00AD2135">
        <w:rPr>
          <w:rFonts w:cs="Arial"/>
          <w:rtl/>
        </w:rPr>
        <w:t>סגי</w:t>
      </w:r>
      <w:r>
        <w:rPr>
          <w:rFonts w:cs="Arial" w:hint="cs"/>
          <w:rtl/>
        </w:rPr>
        <w:t>,</w:t>
      </w:r>
      <w:r w:rsidRPr="00AD2135">
        <w:rPr>
          <w:rFonts w:cs="Arial"/>
          <w:rtl/>
        </w:rPr>
        <w:t xml:space="preserve"> ואפילו עדים מעידים שפרעו הרי האמינו עליו ופסל כל העדים המכחישים דבריו</w:t>
      </w:r>
      <w:r>
        <w:rPr>
          <w:rFonts w:cs="Arial" w:hint="cs"/>
          <w:rtl/>
        </w:rPr>
        <w:t>,</w:t>
      </w:r>
      <w:r w:rsidRPr="00AD2135">
        <w:rPr>
          <w:rFonts w:cs="Arial"/>
          <w:rtl/>
        </w:rPr>
        <w:t xml:space="preserve"> וכל תנאי שבממון קיים כאדם האומר לחבירו אל תפרעני אלא בפני פלוני ופלוני שאין צריך קנין אלא קבלה</w:t>
      </w:r>
      <w:r>
        <w:rPr>
          <w:rFonts w:cs="Arial" w:hint="cs"/>
          <w:rtl/>
        </w:rPr>
        <w:t>,</w:t>
      </w:r>
      <w:r w:rsidRPr="00AD2135">
        <w:rPr>
          <w:rFonts w:cs="Arial"/>
          <w:rtl/>
        </w:rPr>
        <w:t xml:space="preserve"> ומיהו עיקר דבריו אינם כלום דאי חשוב קנין טעות משום דרחמנא אמר על פי שנים עדים </w:t>
      </w:r>
      <w:r>
        <w:rPr>
          <w:rFonts w:cs="Arial" w:hint="cs"/>
          <w:rtl/>
        </w:rPr>
        <w:t xml:space="preserve">- </w:t>
      </w:r>
      <w:r w:rsidRPr="00AD2135">
        <w:rPr>
          <w:rFonts w:cs="Arial"/>
          <w:rtl/>
        </w:rPr>
        <w:t>אם כן קבליה עליה בחד נמי קנין טעות הוא דרחמנא אמר (דברים כד טז) לא יומתו אבות על בנים וכו' אל תשת רשע עד (שמות כג א)</w:t>
      </w:r>
      <w:r>
        <w:rPr>
          <w:rFonts w:cs="Arial" w:hint="cs"/>
          <w:rtl/>
        </w:rPr>
        <w:t>,</w:t>
      </w:r>
      <w:r w:rsidRPr="00AD2135">
        <w:rPr>
          <w:rFonts w:cs="Arial"/>
          <w:rtl/>
        </w:rPr>
        <w:t xml:space="preserve"> אלא ודאי אין אחר קנין כלום ולא שייך להזכיר הכא קנין טעות.</w:t>
      </w:r>
      <w:r>
        <w:rPr>
          <w:rFonts w:hint="cs"/>
          <w:rtl/>
        </w:rPr>
        <w:t xml:space="preserve"> עכ"ל הרא"ש. אמנם הרמ"ה </w:t>
      </w:r>
      <w:r w:rsidRPr="00F51149">
        <w:rPr>
          <w:rFonts w:hint="cs"/>
          <w:sz w:val="16"/>
          <w:szCs w:val="16"/>
          <w:rtl/>
        </w:rPr>
        <w:t>(הביאו הטור לפני דברי הרא"ש)</w:t>
      </w:r>
      <w:r w:rsidRPr="00F51149">
        <w:rPr>
          <w:rFonts w:cs="Arial"/>
          <w:rtl/>
        </w:rPr>
        <w:t xml:space="preserve"> </w:t>
      </w:r>
      <w:r>
        <w:rPr>
          <w:rFonts w:cs="Arial" w:hint="cs"/>
          <w:rtl/>
        </w:rPr>
        <w:t>העמיד ד</w:t>
      </w:r>
      <w:r w:rsidRPr="002A399E">
        <w:rPr>
          <w:rFonts w:cs="Arial"/>
          <w:rtl/>
        </w:rPr>
        <w:t xml:space="preserve">ההוא דאמר ליה לחבריה מהימנת לי </w:t>
      </w:r>
      <w:r>
        <w:rPr>
          <w:rFonts w:cs="Arial" w:hint="cs"/>
          <w:rtl/>
        </w:rPr>
        <w:t xml:space="preserve">- </w:t>
      </w:r>
      <w:r w:rsidRPr="002A399E">
        <w:rPr>
          <w:rFonts w:cs="Arial"/>
          <w:rtl/>
        </w:rPr>
        <w:t>דווקא דאמר לו הכי בשעת הלואה</w:t>
      </w:r>
      <w:r w:rsidRPr="002A399E">
        <w:rPr>
          <w:rFonts w:cs="Arial" w:hint="cs"/>
          <w:rtl/>
        </w:rPr>
        <w:t>,</w:t>
      </w:r>
      <w:r w:rsidRPr="002A399E">
        <w:rPr>
          <w:rFonts w:cs="Arial"/>
          <w:rtl/>
        </w:rPr>
        <w:t xml:space="preserve"> דאדעתא דהכי חייל עליה שיעבודא</w:t>
      </w:r>
      <w:r w:rsidRPr="002A399E">
        <w:rPr>
          <w:rFonts w:cs="Arial" w:hint="cs"/>
          <w:rtl/>
        </w:rPr>
        <w:t>,</w:t>
      </w:r>
      <w:r w:rsidRPr="002A399E">
        <w:rPr>
          <w:rFonts w:cs="Arial"/>
          <w:rtl/>
        </w:rPr>
        <w:t xml:space="preserve"> או לאחר הלואה וקנו מיניה</w:t>
      </w:r>
      <w:r w:rsidRPr="002A399E">
        <w:rPr>
          <w:rFonts w:cs="Arial" w:hint="cs"/>
          <w:rtl/>
        </w:rPr>
        <w:t>,</w:t>
      </w:r>
      <w:r w:rsidRPr="002A399E">
        <w:rPr>
          <w:rFonts w:cs="Arial"/>
          <w:rtl/>
        </w:rPr>
        <w:t xml:space="preserve"> אבל לא קנו מיניה לא</w:t>
      </w:r>
      <w:r>
        <w:rPr>
          <w:rFonts w:cs="Arial" w:hint="cs"/>
          <w:rtl/>
        </w:rPr>
        <w:t>,</w:t>
      </w:r>
      <w:r w:rsidRPr="002A399E">
        <w:rPr>
          <w:rFonts w:cs="Arial"/>
          <w:rtl/>
        </w:rPr>
        <w:t xml:space="preserve"> כיון שקבל עליו פסול כבי תרי דאדם קרוב אצל עצמו</w:t>
      </w:r>
      <w:r>
        <w:rPr>
          <w:rFonts w:cs="Arial" w:hint="cs"/>
          <w:rtl/>
        </w:rPr>
        <w:t>.</w:t>
      </w:r>
      <w:r>
        <w:rPr>
          <w:rFonts w:hint="cs"/>
          <w:rtl/>
        </w:rPr>
        <w:t xml:space="preserve"> עכ"ל. </w:t>
      </w:r>
      <w:r w:rsidRPr="00F51149">
        <w:rPr>
          <w:rFonts w:hint="cs"/>
          <w:sz w:val="16"/>
          <w:szCs w:val="16"/>
          <w:rtl/>
        </w:rPr>
        <w:t xml:space="preserve">(וכתב הב"י </w:t>
      </w:r>
      <w:r w:rsidRPr="00F51149">
        <w:rPr>
          <w:rFonts w:cs="Arial" w:hint="cs"/>
          <w:sz w:val="16"/>
          <w:szCs w:val="16"/>
          <w:rtl/>
        </w:rPr>
        <w:t>ד</w:t>
      </w:r>
      <w:r w:rsidRPr="00F51149">
        <w:rPr>
          <w:rFonts w:cs="Arial"/>
          <w:sz w:val="16"/>
          <w:szCs w:val="16"/>
          <w:rtl/>
        </w:rPr>
        <w:t xml:space="preserve">מתוך דברי </w:t>
      </w:r>
      <w:r w:rsidRPr="00F51149">
        <w:rPr>
          <w:rFonts w:cs="Arial" w:hint="cs"/>
          <w:sz w:val="16"/>
          <w:szCs w:val="16"/>
          <w:rtl/>
        </w:rPr>
        <w:t>הטור</w:t>
      </w:r>
      <w:r w:rsidRPr="00F51149">
        <w:rPr>
          <w:rFonts w:cs="Arial"/>
          <w:sz w:val="16"/>
          <w:szCs w:val="16"/>
          <w:rtl/>
        </w:rPr>
        <w:t xml:space="preserve"> משמע שדעת הרמ"ה היא כדעת הרי"ף דההיא דשבועות בדקנו מיניה היא אלא שהוסיף לומר שאם התנה כן בשעת הלואה בלא קנו מיניה נמי מהני</w:t>
      </w:r>
      <w:r w:rsidRPr="00F51149">
        <w:rPr>
          <w:rFonts w:cs="Arial" w:hint="cs"/>
          <w:sz w:val="16"/>
          <w:szCs w:val="16"/>
          <w:rtl/>
        </w:rPr>
        <w:t>,</w:t>
      </w:r>
      <w:r w:rsidRPr="00F51149">
        <w:rPr>
          <w:rFonts w:cs="Arial"/>
          <w:sz w:val="16"/>
          <w:szCs w:val="16"/>
          <w:rtl/>
        </w:rPr>
        <w:t xml:space="preserve"> וכל זה נזכר בדברי נימוק</w:t>
      </w:r>
      <w:r w:rsidRPr="00F51149">
        <w:rPr>
          <w:rFonts w:cs="Arial" w:hint="cs"/>
          <w:sz w:val="16"/>
          <w:szCs w:val="16"/>
          <w:rtl/>
        </w:rPr>
        <w:t>"י</w:t>
      </w:r>
      <w:r w:rsidRPr="00F51149">
        <w:rPr>
          <w:rFonts w:cs="Arial"/>
          <w:sz w:val="16"/>
          <w:szCs w:val="16"/>
          <w:rtl/>
        </w:rPr>
        <w:t xml:space="preserve"> (ד</w:t>
      </w:r>
      <w:r>
        <w:rPr>
          <w:rFonts w:cs="Arial" w:hint="cs"/>
          <w:sz w:val="16"/>
          <w:szCs w:val="16"/>
          <w:rtl/>
        </w:rPr>
        <w:t>.</w:t>
      </w:r>
      <w:r w:rsidRPr="00F51149">
        <w:rPr>
          <w:rFonts w:cs="Arial"/>
          <w:sz w:val="16"/>
          <w:szCs w:val="16"/>
          <w:rtl/>
        </w:rPr>
        <w:t>)</w:t>
      </w:r>
      <w:r>
        <w:rPr>
          <w:rFonts w:cs="Arial" w:hint="cs"/>
          <w:sz w:val="16"/>
          <w:szCs w:val="16"/>
          <w:rtl/>
        </w:rPr>
        <w:t>)</w:t>
      </w:r>
    </w:p>
  </w:footnote>
  <w:footnote w:id="1101">
    <w:p w14:paraId="34AF84A1" w14:textId="77777777" w:rsidR="0013116F" w:rsidRDefault="0013116F">
      <w:pPr>
        <w:pStyle w:val="a9"/>
      </w:pPr>
      <w:r>
        <w:rPr>
          <w:rStyle w:val="ab"/>
        </w:rPr>
        <w:footnoteRef/>
      </w:r>
      <w:r>
        <w:rPr>
          <w:rtl/>
        </w:rPr>
        <w:t xml:space="preserve"> </w:t>
      </w:r>
      <w:r w:rsidRPr="009E27FD">
        <w:rPr>
          <w:rFonts w:cs="Arial"/>
          <w:rtl/>
        </w:rPr>
        <w:t>ואין להקשות מאי שנא מהא דלקמן ס</w:t>
      </w:r>
      <w:r>
        <w:rPr>
          <w:rFonts w:cs="Arial" w:hint="cs"/>
          <w:rtl/>
        </w:rPr>
        <w:t>"ס</w:t>
      </w:r>
      <w:r w:rsidRPr="009E27FD">
        <w:rPr>
          <w:rFonts w:cs="Arial"/>
          <w:rtl/>
        </w:rPr>
        <w:t xml:space="preserve"> ל"ג (ס"מ) דעדים הממונים בעיר יכולים להעיד לקרוביהם דשאני התם דהתנו בפירוש, והוא הדין בדיינים אם התנו בפירוש מהני</w:t>
      </w:r>
      <w:r>
        <w:rPr>
          <w:rFonts w:cs="Arial" w:hint="cs"/>
          <w:rtl/>
        </w:rPr>
        <w:t xml:space="preserve">, דרכ"מ </w:t>
      </w:r>
      <w:r w:rsidRPr="009E27FD">
        <w:rPr>
          <w:rFonts w:cs="Arial"/>
          <w:rtl/>
        </w:rPr>
        <w:t>(</w:t>
      </w:r>
      <w:r>
        <w:rPr>
          <w:rFonts w:cs="Arial" w:hint="cs"/>
          <w:rtl/>
        </w:rPr>
        <w:t xml:space="preserve">אות </w:t>
      </w:r>
      <w:r w:rsidRPr="009E27FD">
        <w:rPr>
          <w:rFonts w:cs="Arial"/>
          <w:rtl/>
        </w:rPr>
        <w:t>ג*)</w:t>
      </w:r>
      <w:r>
        <w:rPr>
          <w:rFonts w:cs="Arial" w:hint="cs"/>
          <w:rtl/>
        </w:rPr>
        <w:t>.</w:t>
      </w:r>
    </w:p>
  </w:footnote>
  <w:footnote w:id="1102">
    <w:p w14:paraId="4C7FD8D3" w14:textId="77777777" w:rsidR="0013116F" w:rsidRDefault="0013116F">
      <w:pPr>
        <w:pStyle w:val="a9"/>
        <w:rPr>
          <w:rtl/>
        </w:rPr>
      </w:pPr>
      <w:r>
        <w:rPr>
          <w:rStyle w:val="ab"/>
        </w:rPr>
        <w:footnoteRef/>
      </w:r>
      <w:r>
        <w:rPr>
          <w:rtl/>
        </w:rPr>
        <w:t xml:space="preserve"> </w:t>
      </w:r>
      <w:r w:rsidRPr="00AD2135">
        <w:rPr>
          <w:rFonts w:cs="Arial"/>
          <w:rtl/>
        </w:rPr>
        <w:t>ועיין במה שכתבתי בסוף סימן י"ג</w:t>
      </w:r>
      <w:r>
        <w:rPr>
          <w:rFonts w:hint="cs"/>
          <w:rtl/>
        </w:rPr>
        <w:t>, ב"י.</w:t>
      </w:r>
    </w:p>
  </w:footnote>
  <w:footnote w:id="1103">
    <w:p w14:paraId="5FADE34D" w14:textId="77777777" w:rsidR="0013116F" w:rsidRDefault="0013116F">
      <w:pPr>
        <w:pStyle w:val="a9"/>
      </w:pPr>
      <w:r>
        <w:rPr>
          <w:rStyle w:val="ab"/>
        </w:rPr>
        <w:footnoteRef/>
      </w:r>
      <w:r>
        <w:rPr>
          <w:rtl/>
        </w:rPr>
        <w:t xml:space="preserve"> </w:t>
      </w:r>
      <w:r w:rsidRPr="009A4DBA">
        <w:rPr>
          <w:rFonts w:cs="Arial"/>
          <w:rtl/>
        </w:rPr>
        <w:t>שם [בריב"ש] קאי אמי שנשבע לפרוע לחבירו לזמן פלוני, ובבוא הזמן השליש המעות ביד דיין העיר כדי לצאת ידי שבועתו, ואמר שלא ימסרהו לפלוני כי יש לו עליו דין ודברים, ואותו דיין היה קרוב של פלוני כו'</w:t>
      </w:r>
      <w:r>
        <w:rPr>
          <w:rFonts w:cs="Arial" w:hint="cs"/>
          <w:rtl/>
        </w:rPr>
        <w:t>..., סמ"ע (סק"ב).</w:t>
      </w:r>
    </w:p>
  </w:footnote>
  <w:footnote w:id="1104">
    <w:p w14:paraId="2CF5FA35" w14:textId="77777777" w:rsidR="0013116F" w:rsidRDefault="0013116F">
      <w:pPr>
        <w:pStyle w:val="a9"/>
        <w:rPr>
          <w:rtl/>
        </w:rPr>
      </w:pPr>
      <w:r>
        <w:rPr>
          <w:rStyle w:val="ab"/>
        </w:rPr>
        <w:footnoteRef/>
      </w:r>
      <w:r>
        <w:rPr>
          <w:rtl/>
        </w:rPr>
        <w:t xml:space="preserve"> </w:t>
      </w:r>
      <w:r w:rsidRPr="008167D4">
        <w:rPr>
          <w:rFonts w:cs="Arial"/>
          <w:rtl/>
        </w:rPr>
        <w:t>נראה דאם קיבל עליו כשר אחד במקום ג' דיינים וגמר הדין, דאינן יכולים לחזור בו, דאין זה מיקרי תרתי לריעותא דשם חד הוא,</w:t>
      </w:r>
      <w:r>
        <w:rPr>
          <w:rFonts w:hint="cs"/>
          <w:rtl/>
        </w:rPr>
        <w:t xml:space="preserve"> סמ"ע (סק"ו). אך הש"ך (סק"ב) חלק עליו וכתב </w:t>
      </w:r>
      <w:r>
        <w:rPr>
          <w:rFonts w:cs="Arial" w:hint="cs"/>
          <w:rtl/>
        </w:rPr>
        <w:t>ד</w:t>
      </w:r>
      <w:r w:rsidRPr="008167D4">
        <w:rPr>
          <w:rFonts w:cs="Arial"/>
          <w:rtl/>
        </w:rPr>
        <w:t xml:space="preserve">דוקא </w:t>
      </w:r>
      <w:r>
        <w:rPr>
          <w:rFonts w:cs="Arial" w:hint="cs"/>
          <w:rtl/>
        </w:rPr>
        <w:t xml:space="preserve">במקום </w:t>
      </w:r>
      <w:r w:rsidRPr="008167D4">
        <w:rPr>
          <w:rFonts w:cs="Arial"/>
          <w:rtl/>
        </w:rPr>
        <w:t>שנים</w:t>
      </w:r>
      <w:r>
        <w:rPr>
          <w:rFonts w:cs="Arial" w:hint="cs"/>
          <w:rtl/>
        </w:rPr>
        <w:t>, אבל במקום שלשה הוי תרתי לריעותא. וכ"כ</w:t>
      </w:r>
      <w:r w:rsidRPr="008167D4">
        <w:rPr>
          <w:rFonts w:cs="Arial"/>
          <w:rtl/>
        </w:rPr>
        <w:t xml:space="preserve"> בעיר שושן</w:t>
      </w:r>
      <w:r>
        <w:rPr>
          <w:rFonts w:cs="Arial" w:hint="cs"/>
          <w:rtl/>
        </w:rPr>
        <w:t>.</w:t>
      </w:r>
      <w:r w:rsidRPr="008167D4">
        <w:rPr>
          <w:rFonts w:cs="Arial"/>
          <w:rtl/>
        </w:rPr>
        <w:t xml:space="preserve"> </w:t>
      </w:r>
    </w:p>
  </w:footnote>
  <w:footnote w:id="1105">
    <w:p w14:paraId="738C990B" w14:textId="77777777" w:rsidR="0013116F" w:rsidRDefault="0013116F">
      <w:pPr>
        <w:pStyle w:val="a9"/>
      </w:pPr>
      <w:r>
        <w:rPr>
          <w:rStyle w:val="ab"/>
        </w:rPr>
        <w:footnoteRef/>
      </w:r>
      <w:r>
        <w:rPr>
          <w:rtl/>
        </w:rPr>
        <w:t xml:space="preserve"> </w:t>
      </w:r>
      <w:r>
        <w:rPr>
          <w:rFonts w:hint="cs"/>
          <w:rtl/>
        </w:rPr>
        <w:t xml:space="preserve">והש"ך (סק"ג) כתב </w:t>
      </w:r>
      <w:r w:rsidRPr="008167D4">
        <w:rPr>
          <w:rFonts w:cs="Arial"/>
          <w:rtl/>
        </w:rPr>
        <w:t>ד</w:t>
      </w:r>
      <w:r>
        <w:rPr>
          <w:rFonts w:cs="Arial" w:hint="cs"/>
          <w:rtl/>
        </w:rPr>
        <w:t xml:space="preserve">דין זה שכתב הרמ"א </w:t>
      </w:r>
      <w:r w:rsidRPr="008167D4">
        <w:rPr>
          <w:rFonts w:cs="Arial"/>
          <w:rtl/>
        </w:rPr>
        <w:t xml:space="preserve">הוי ספיקא דדינא </w:t>
      </w:r>
      <w:r>
        <w:rPr>
          <w:rFonts w:hint="cs"/>
          <w:rtl/>
        </w:rPr>
        <w:t>כיון שהרבה פוסקים סוברים כהסברה הראשונה ע"ש.</w:t>
      </w:r>
    </w:p>
  </w:footnote>
  <w:footnote w:id="1106">
    <w:p w14:paraId="73D83A5F" w14:textId="77777777" w:rsidR="0013116F" w:rsidRDefault="0013116F">
      <w:pPr>
        <w:pStyle w:val="a9"/>
      </w:pPr>
      <w:r>
        <w:rPr>
          <w:rStyle w:val="ab"/>
        </w:rPr>
        <w:footnoteRef/>
      </w:r>
      <w:r>
        <w:rPr>
          <w:rtl/>
        </w:rPr>
        <w:t xml:space="preserve"> </w:t>
      </w:r>
      <w:r w:rsidRPr="00CB596A">
        <w:rPr>
          <w:rFonts w:cs="Arial"/>
          <w:rtl/>
        </w:rPr>
        <w:t>כתב הנ</w:t>
      </w:r>
      <w:r>
        <w:rPr>
          <w:rFonts w:cs="Arial" w:hint="cs"/>
          <w:rtl/>
        </w:rPr>
        <w:t>מוק</w:t>
      </w:r>
      <w:r w:rsidRPr="00CB596A">
        <w:rPr>
          <w:rFonts w:cs="Arial"/>
          <w:rtl/>
        </w:rPr>
        <w:t>"י פרק זה בורר [ד</w:t>
      </w:r>
      <w:r>
        <w:rPr>
          <w:rFonts w:cs="Arial" w:hint="cs"/>
          <w:rtl/>
        </w:rPr>
        <w:t>:</w:t>
      </w:r>
      <w:r w:rsidRPr="00CB596A">
        <w:rPr>
          <w:rFonts w:cs="Arial"/>
          <w:rtl/>
        </w:rPr>
        <w:t xml:space="preserve"> מדפ</w:t>
      </w:r>
      <w:r>
        <w:rPr>
          <w:rFonts w:cs="Arial" w:hint="cs"/>
          <w:rtl/>
        </w:rPr>
        <w:t>ה"ר</w:t>
      </w:r>
      <w:r w:rsidRPr="00CB596A">
        <w:rPr>
          <w:rFonts w:cs="Arial"/>
          <w:rtl/>
        </w:rPr>
        <w:t>] וז"ל, וא</w:t>
      </w:r>
      <w:r>
        <w:rPr>
          <w:rFonts w:cs="Arial" w:hint="cs"/>
          <w:rtl/>
        </w:rPr>
        <w:t>ע"ג</w:t>
      </w:r>
      <w:r w:rsidRPr="00CB596A">
        <w:rPr>
          <w:rFonts w:cs="Arial"/>
          <w:rtl/>
        </w:rPr>
        <w:t xml:space="preserve"> דמיחזי כקנין דברים, אפ"ה אשכחן בקנין שמחזק הדברים כדאמרינן גבי דינא דבר מצרא וגבי משכנתא באתרא דלא מסלקי, עכ"ל. וכן משמע מפירש"י שם [סנהדרין כ</w:t>
      </w:r>
      <w:r>
        <w:rPr>
          <w:rFonts w:cs="Arial" w:hint="cs"/>
          <w:rtl/>
        </w:rPr>
        <w:t>ד:</w:t>
      </w:r>
      <w:r w:rsidRPr="00CB596A">
        <w:rPr>
          <w:rFonts w:cs="Arial"/>
          <w:rtl/>
        </w:rPr>
        <w:t xml:space="preserve"> ד"ה וקנו] שכתב אם קנו מידו שלא לחזור כו'. אבל ראב"ן </w:t>
      </w:r>
      <w:r>
        <w:rPr>
          <w:rFonts w:cs="Arial" w:hint="cs"/>
          <w:rtl/>
        </w:rPr>
        <w:t>(</w:t>
      </w:r>
      <w:r w:rsidRPr="00CB596A">
        <w:rPr>
          <w:rFonts w:cs="Arial"/>
          <w:rtl/>
        </w:rPr>
        <w:t>פרק שבועות הדיינים דף קט"ו ע"ד</w:t>
      </w:r>
      <w:r>
        <w:rPr>
          <w:rFonts w:cs="Arial" w:hint="cs"/>
          <w:rtl/>
        </w:rPr>
        <w:t>)</w:t>
      </w:r>
      <w:r w:rsidRPr="00CB596A">
        <w:rPr>
          <w:rFonts w:cs="Arial"/>
          <w:rtl/>
        </w:rPr>
        <w:t xml:space="preserve"> כתב דאם קנו מידו שלא לחזור הוי קנין דברים, ולא מהני רק כשקנו מידו לעשות כאשר ידין או יעיד, ע"ש. ועיין לקמן סימן קנ"ז סעיף ב' ומ"ש שם [סק"ג]</w:t>
      </w:r>
      <w:r>
        <w:rPr>
          <w:rFonts w:cs="Arial" w:hint="cs"/>
          <w:rtl/>
        </w:rPr>
        <w:t>, ש"ך (סק"ד).</w:t>
      </w:r>
    </w:p>
  </w:footnote>
  <w:footnote w:id="1107">
    <w:p w14:paraId="4944469F" w14:textId="77777777" w:rsidR="0013116F" w:rsidRDefault="0013116F">
      <w:pPr>
        <w:pStyle w:val="a9"/>
      </w:pPr>
      <w:r>
        <w:rPr>
          <w:rStyle w:val="ab"/>
        </w:rPr>
        <w:footnoteRef/>
      </w:r>
      <w:r>
        <w:rPr>
          <w:rtl/>
        </w:rPr>
        <w:t xml:space="preserve"> </w:t>
      </w:r>
      <w:r w:rsidRPr="005A60E1">
        <w:rPr>
          <w:rFonts w:cs="Arial"/>
          <w:rtl/>
        </w:rPr>
        <w:t xml:space="preserve">שם נתבאר דהיינו כשאומר פלוני אתה זכאי ופלוני אתה חייב, וכ"ש כשאומרים לו צא תן לו דהוה מילתא דפסיקא שחייבוהו לו, משא"כ כשאומרים חייב אתה ליתן לו דנראה כמסתפקים עדיין </w:t>
      </w:r>
      <w:r w:rsidRPr="00A0439D">
        <w:rPr>
          <w:rFonts w:cs="Arial" w:hint="cs"/>
          <w:sz w:val="16"/>
          <w:szCs w:val="16"/>
          <w:rtl/>
        </w:rPr>
        <w:t>(</w:t>
      </w:r>
      <w:r w:rsidRPr="00A0439D">
        <w:rPr>
          <w:rFonts w:cs="Arial"/>
          <w:sz w:val="16"/>
          <w:szCs w:val="16"/>
          <w:rtl/>
        </w:rPr>
        <w:t>אבל כשאומרים פלוני זכאי ופלוני חייב אין נראה מלשונם דמסתפקים בדבר</w:t>
      </w:r>
      <w:r>
        <w:rPr>
          <w:rFonts w:cs="Arial" w:hint="cs"/>
          <w:sz w:val="16"/>
          <w:szCs w:val="16"/>
          <w:rtl/>
        </w:rPr>
        <w:t>)</w:t>
      </w:r>
      <w:r>
        <w:rPr>
          <w:rFonts w:cs="Arial" w:hint="cs"/>
          <w:rtl/>
        </w:rPr>
        <w:t>, סמ"ע (סק"ח).</w:t>
      </w:r>
      <w:r>
        <w:rPr>
          <w:rFonts w:hint="cs"/>
          <w:rtl/>
        </w:rPr>
        <w:t xml:space="preserve"> אך הש"ך (סק"ה) כתב</w:t>
      </w:r>
      <w:r w:rsidRPr="00CB596A">
        <w:rPr>
          <w:rtl/>
        </w:rPr>
        <w:t xml:space="preserve"> </w:t>
      </w:r>
      <w:r>
        <w:rPr>
          <w:rFonts w:cs="Arial" w:hint="cs"/>
          <w:rtl/>
        </w:rPr>
        <w:t>ד</w:t>
      </w:r>
      <w:r w:rsidRPr="00CB596A">
        <w:rPr>
          <w:rFonts w:cs="Arial"/>
          <w:rtl/>
        </w:rPr>
        <w:t>לא נהירא כלל לחלק בין חייב אתה ליתן לו ובין כשאומרים פלוני זכאי ופלוני חייב. גם נראה דלעיל סימן י"ב [סעיף ב'] איש פלוני זכאי איש פלוני חייב לאו דוקא תרווייהו, אלא ה"ק אם אמר איש פלוני אתה זכאי או איש פלוני אתה חייב הוי גמר דין, וכ"כ הטור כאן [סעיף א'] להדיא דאם אמר איש פלוני אתה חייב הוי גמר דין ולא הזכיר איש פלוני זכאי.</w:t>
      </w:r>
      <w:r>
        <w:rPr>
          <w:rFonts w:cs="Arial" w:hint="cs"/>
          <w:rtl/>
        </w:rPr>
        <w:t>..</w:t>
      </w:r>
      <w:r w:rsidRPr="00CB596A">
        <w:rPr>
          <w:rFonts w:cs="Arial"/>
          <w:rtl/>
        </w:rPr>
        <w:t xml:space="preserve"> ולענין דינא פסק בב</w:t>
      </w:r>
      <w:r>
        <w:rPr>
          <w:rFonts w:cs="Arial" w:hint="cs"/>
          <w:rtl/>
        </w:rPr>
        <w:t>"ח</w:t>
      </w:r>
      <w:r w:rsidRPr="00CB596A">
        <w:rPr>
          <w:rFonts w:cs="Arial"/>
          <w:rtl/>
        </w:rPr>
        <w:t xml:space="preserve"> [סעיף א'] דלא הוי גמר דין עד שאמרו צא תן לו [וכדלקמן סימן ע"ט סעיף י"ג] וכדעת התוספות והנמוק"י, ולא כמ"ש הר"ב. וכן נלפע"ד עיקר לדינא</w:t>
      </w:r>
      <w:r>
        <w:rPr>
          <w:rFonts w:cs="Arial" w:hint="cs"/>
          <w:rtl/>
        </w:rPr>
        <w:t>...</w:t>
      </w:r>
      <w:r w:rsidRPr="00CB596A">
        <w:rPr>
          <w:rFonts w:cs="Arial"/>
          <w:rtl/>
        </w:rPr>
        <w:t xml:space="preserve"> או שגמרו הב"ד הדין ויצא מב"ד, וכן עיקר</w:t>
      </w:r>
      <w:r>
        <w:rPr>
          <w:rFonts w:cs="Arial" w:hint="cs"/>
          <w:rtl/>
        </w:rPr>
        <w:t>.</w:t>
      </w:r>
    </w:p>
  </w:footnote>
  <w:footnote w:id="1108">
    <w:p w14:paraId="5B562231" w14:textId="77777777" w:rsidR="0013116F" w:rsidRDefault="0013116F">
      <w:pPr>
        <w:pStyle w:val="a9"/>
        <w:rPr>
          <w:rtl/>
        </w:rPr>
      </w:pPr>
      <w:r>
        <w:rPr>
          <w:rStyle w:val="ab"/>
        </w:rPr>
        <w:footnoteRef/>
      </w:r>
      <w:r>
        <w:rPr>
          <w:rtl/>
        </w:rPr>
        <w:t xml:space="preserve"> </w:t>
      </w:r>
      <w:r w:rsidRPr="001F4D22">
        <w:rPr>
          <w:rFonts w:cs="Arial"/>
          <w:rtl/>
        </w:rPr>
        <w:t>זה נמשך גם כן לסברת רוב הפוסקים, אבל הרמב"ם וסמ"ג ס"ל דלא הוי גמר דין עד שהוציא ממון בעדותו וכמ"ש בסמוך סק</w:t>
      </w:r>
      <w:r>
        <w:rPr>
          <w:rFonts w:cs="Arial" w:hint="cs"/>
          <w:rtl/>
        </w:rPr>
        <w:t>"</w:t>
      </w:r>
      <w:r w:rsidRPr="001F4D22">
        <w:rPr>
          <w:rFonts w:cs="Arial"/>
          <w:rtl/>
        </w:rPr>
        <w:t>ו. ולענין דינא כבר כתבתי שהעיקר כרוב הפוסקים</w:t>
      </w:r>
      <w:r>
        <w:rPr>
          <w:rFonts w:cs="Arial" w:hint="cs"/>
          <w:rtl/>
        </w:rPr>
        <w:t xml:space="preserve">, ש"ך (סק"ז). </w:t>
      </w:r>
    </w:p>
  </w:footnote>
  <w:footnote w:id="1109">
    <w:p w14:paraId="126AA93D" w14:textId="77777777" w:rsidR="0013116F" w:rsidRDefault="0013116F">
      <w:pPr>
        <w:pStyle w:val="a9"/>
        <w:rPr>
          <w:rtl/>
        </w:rPr>
      </w:pPr>
      <w:r>
        <w:rPr>
          <w:rStyle w:val="ab"/>
        </w:rPr>
        <w:footnoteRef/>
      </w:r>
      <w:r>
        <w:rPr>
          <w:rtl/>
        </w:rPr>
        <w:t xml:space="preserve"> </w:t>
      </w:r>
      <w:r w:rsidRPr="001F4D22">
        <w:rPr>
          <w:rFonts w:cs="Arial"/>
          <w:rtl/>
        </w:rPr>
        <w:t>נראה דהיינו קודם שהוציאו ממון, אבל אם כבר הוציאו ממון, אפילו טעו מה שעשו עשוי, ואע</w:t>
      </w:r>
      <w:r>
        <w:rPr>
          <w:rFonts w:cs="Arial" w:hint="cs"/>
          <w:rtl/>
        </w:rPr>
        <w:t>"</w:t>
      </w:r>
      <w:r w:rsidRPr="001F4D22">
        <w:rPr>
          <w:rFonts w:cs="Arial"/>
          <w:rtl/>
        </w:rPr>
        <w:t>ג דדעת הרמב"ן [במלחמות סנהדרין י</w:t>
      </w:r>
      <w:r>
        <w:rPr>
          <w:rFonts w:cs="Arial" w:hint="cs"/>
          <w:rtl/>
        </w:rPr>
        <w:t>ב.</w:t>
      </w:r>
      <w:r w:rsidRPr="001F4D22">
        <w:rPr>
          <w:rFonts w:cs="Arial"/>
          <w:rtl/>
        </w:rPr>
        <w:t xml:space="preserve"> מדפ</w:t>
      </w:r>
      <w:r>
        <w:rPr>
          <w:rFonts w:cs="Arial" w:hint="cs"/>
          <w:rtl/>
        </w:rPr>
        <w:t>ה"ר</w:t>
      </w:r>
      <w:r w:rsidRPr="001F4D22">
        <w:rPr>
          <w:rFonts w:cs="Arial"/>
          <w:rtl/>
        </w:rPr>
        <w:t>] דאע"פ שהוציאו ממון הדין חוזר, כבר השגתי עליו בזה לקמן סימן כ"ה סקכ"ד</w:t>
      </w:r>
      <w:r>
        <w:rPr>
          <w:rFonts w:cs="Arial" w:hint="cs"/>
          <w:rtl/>
        </w:rPr>
        <w:t>, ש"ך (סק"ט).</w:t>
      </w:r>
      <w:r w:rsidRPr="001F4D22">
        <w:rPr>
          <w:rtl/>
        </w:rPr>
        <w:t xml:space="preserve"> </w:t>
      </w:r>
      <w:r w:rsidRPr="001F4D22">
        <w:rPr>
          <w:rFonts w:cs="Arial"/>
          <w:rtl/>
        </w:rPr>
        <w:t>ונ"מ שיכול לחזור ולטעון או לזמן ב"ד או לפירי ולשאר דברים, וכמ"ש לקמן סימן כ"ה סקמ"ב</w:t>
      </w:r>
      <w:r>
        <w:rPr>
          <w:rFonts w:cs="Arial" w:hint="cs"/>
          <w:rtl/>
        </w:rPr>
        <w:t>,</w:t>
      </w:r>
      <w:r w:rsidRPr="001F4D22">
        <w:rPr>
          <w:rFonts w:cs="Arial"/>
          <w:rtl/>
        </w:rPr>
        <w:t xml:space="preserve"> ועוד י"ל כאן דה"ק שלא נודע בודאי שטעו, ואע</w:t>
      </w:r>
      <w:r>
        <w:rPr>
          <w:rFonts w:cs="Arial" w:hint="cs"/>
          <w:rtl/>
        </w:rPr>
        <w:t>"</w:t>
      </w:r>
      <w:r w:rsidRPr="001F4D22">
        <w:rPr>
          <w:rFonts w:cs="Arial"/>
          <w:rtl/>
        </w:rPr>
        <w:t>פ שהדבר בספק הדין קיים עד שיתברר שטעו, א"כ נ"מ שהדין קיים כל זמן שאין שכנגדו מכיר שטעו</w:t>
      </w:r>
      <w:r>
        <w:rPr>
          <w:rFonts w:cs="Arial" w:hint="cs"/>
          <w:rtl/>
        </w:rPr>
        <w:t>, ש"ך (סק"י).</w:t>
      </w:r>
      <w:r w:rsidRPr="001F4D22">
        <w:rPr>
          <w:rFonts w:cs="Arial"/>
          <w:rtl/>
        </w:rPr>
        <w:t xml:space="preserve"> </w:t>
      </w:r>
      <w:r w:rsidRPr="00D60F1A">
        <w:rPr>
          <w:rFonts w:cs="Arial"/>
          <w:rtl/>
        </w:rPr>
        <w:t>בתשובת מיי</w:t>
      </w:r>
      <w:r>
        <w:rPr>
          <w:rFonts w:cs="Arial" w:hint="cs"/>
          <w:rtl/>
        </w:rPr>
        <w:t>מוני ובמרדכי שם</w:t>
      </w:r>
      <w:r w:rsidRPr="00D60F1A">
        <w:rPr>
          <w:rFonts w:cs="Arial"/>
          <w:rtl/>
        </w:rPr>
        <w:t xml:space="preserve"> מבואר שעשיית פשרה מיקרי טעות כיון שקיבלום לעשות דין, ומביאו הסמ"ע [סק"י]</w:t>
      </w:r>
      <w:r>
        <w:rPr>
          <w:rFonts w:cs="Arial" w:hint="cs"/>
          <w:rtl/>
        </w:rPr>
        <w:t>, ש"ך</w:t>
      </w:r>
      <w:r w:rsidRPr="00D60F1A">
        <w:rPr>
          <w:rFonts w:cs="Arial"/>
          <w:rtl/>
        </w:rPr>
        <w:t xml:space="preserve"> </w:t>
      </w:r>
      <w:r>
        <w:rPr>
          <w:rFonts w:hint="cs"/>
          <w:rtl/>
        </w:rPr>
        <w:t>(סקי"א).</w:t>
      </w:r>
    </w:p>
  </w:footnote>
  <w:footnote w:id="1110">
    <w:p w14:paraId="20EB512B" w14:textId="77777777" w:rsidR="0013116F" w:rsidRDefault="0013116F">
      <w:pPr>
        <w:pStyle w:val="a9"/>
      </w:pPr>
      <w:r>
        <w:rPr>
          <w:rStyle w:val="ab"/>
        </w:rPr>
        <w:footnoteRef/>
      </w:r>
      <w:r>
        <w:rPr>
          <w:rtl/>
        </w:rPr>
        <w:t xml:space="preserve"> </w:t>
      </w:r>
      <w:r w:rsidRPr="00860EF5">
        <w:rPr>
          <w:rFonts w:cs="Arial"/>
          <w:rtl/>
        </w:rPr>
        <w:t>פירוש, אפילו אם קיבלם לדין ועשו פשרה או בשאר טעות, כן הוא בתשובה שם</w:t>
      </w:r>
      <w:r>
        <w:rPr>
          <w:rFonts w:cs="Arial" w:hint="cs"/>
          <w:rtl/>
        </w:rPr>
        <w:t>,</w:t>
      </w:r>
      <w:r w:rsidRPr="00860EF5">
        <w:rPr>
          <w:rFonts w:cs="Arial"/>
          <w:rtl/>
        </w:rPr>
        <w:t xml:space="preserve"> וכ"כ בד"מ ע"ש, אבל מ"מ אין יכולין לדון קרוביהם ועיין לקמן סוף סימן ל"ג</w:t>
      </w:r>
      <w:r>
        <w:rPr>
          <w:rFonts w:cs="Arial" w:hint="cs"/>
          <w:rtl/>
        </w:rPr>
        <w:t>, סמ"ע (סקי"א).</w:t>
      </w:r>
    </w:p>
  </w:footnote>
  <w:footnote w:id="1111">
    <w:p w14:paraId="7E95A773" w14:textId="77777777" w:rsidR="0013116F" w:rsidRDefault="0013116F" w:rsidP="00A071A5">
      <w:pPr>
        <w:pStyle w:val="a9"/>
        <w:rPr>
          <w:rtl/>
        </w:rPr>
      </w:pPr>
      <w:r>
        <w:rPr>
          <w:rStyle w:val="ab"/>
        </w:rPr>
        <w:footnoteRef/>
      </w:r>
      <w:r>
        <w:rPr>
          <w:rtl/>
        </w:rPr>
        <w:t xml:space="preserve"> </w:t>
      </w:r>
      <w:r w:rsidRPr="00A071A5">
        <w:rPr>
          <w:rFonts w:cs="Arial"/>
          <w:rtl/>
        </w:rPr>
        <w:t>ו</w:t>
      </w:r>
      <w:r>
        <w:rPr>
          <w:rFonts w:cs="Arial" w:hint="cs"/>
          <w:rtl/>
        </w:rPr>
        <w:t>אין צריך</w:t>
      </w:r>
      <w:r w:rsidRPr="00A071A5">
        <w:rPr>
          <w:rFonts w:cs="Arial"/>
          <w:rtl/>
        </w:rPr>
        <w:t xml:space="preserve"> קנין כדאיתא </w:t>
      </w:r>
      <w:r>
        <w:rPr>
          <w:rFonts w:cs="Arial" w:hint="cs"/>
          <w:rtl/>
        </w:rPr>
        <w:t>ב</w:t>
      </w:r>
      <w:r w:rsidRPr="00C86E8A">
        <w:rPr>
          <w:rFonts w:cs="Arial"/>
          <w:rtl/>
        </w:rPr>
        <w:t xml:space="preserve">הגמ"ר </w:t>
      </w:r>
      <w:r w:rsidRPr="00A071A5">
        <w:rPr>
          <w:rFonts w:cs="Arial" w:hint="cs"/>
          <w:sz w:val="16"/>
          <w:szCs w:val="16"/>
          <w:rtl/>
        </w:rPr>
        <w:t>(</w:t>
      </w:r>
      <w:r w:rsidRPr="00A071A5">
        <w:rPr>
          <w:rFonts w:cs="Arial"/>
          <w:sz w:val="16"/>
          <w:szCs w:val="16"/>
          <w:rtl/>
        </w:rPr>
        <w:t>ב"מ סי' תנז</w:t>
      </w:r>
      <w:r w:rsidRPr="00A071A5">
        <w:rPr>
          <w:rFonts w:cs="Arial" w:hint="cs"/>
          <w:sz w:val="16"/>
          <w:szCs w:val="16"/>
          <w:rtl/>
        </w:rPr>
        <w:t>,</w:t>
      </w:r>
      <w:r w:rsidRPr="00A071A5">
        <w:rPr>
          <w:rFonts w:cs="Arial"/>
          <w:sz w:val="16"/>
          <w:szCs w:val="16"/>
          <w:rtl/>
        </w:rPr>
        <w:t xml:space="preserve"> והביאו הב"י</w:t>
      </w:r>
      <w:r w:rsidRPr="00A071A5">
        <w:rPr>
          <w:rFonts w:cs="Arial" w:hint="cs"/>
          <w:sz w:val="16"/>
          <w:szCs w:val="16"/>
          <w:rtl/>
        </w:rPr>
        <w:t>,</w:t>
      </w:r>
      <w:r w:rsidRPr="00A071A5">
        <w:rPr>
          <w:rFonts w:cs="Arial"/>
          <w:sz w:val="16"/>
          <w:szCs w:val="16"/>
          <w:rtl/>
        </w:rPr>
        <w:t xml:space="preserve"> והד"מ לקמן סימן של"ד סעיף ה'</w:t>
      </w:r>
      <w:r w:rsidRPr="00A071A5">
        <w:rPr>
          <w:rFonts w:cs="Arial" w:hint="cs"/>
          <w:sz w:val="16"/>
          <w:szCs w:val="16"/>
          <w:rtl/>
        </w:rPr>
        <w:t>)</w:t>
      </w:r>
      <w:r w:rsidRPr="00A071A5">
        <w:rPr>
          <w:rFonts w:cs="Arial"/>
          <w:rtl/>
        </w:rPr>
        <w:t>, שכל דבר הנעשה בפני ג' טובי העיר א"צ קנין במקום שיחיד צריך קנין, ולפ"ז אפילו קודם גמר דין א"י לחזור בו, וכ"כ בעיר שושן [סע</w:t>
      </w:r>
      <w:r>
        <w:rPr>
          <w:rFonts w:cs="Arial" w:hint="cs"/>
          <w:rtl/>
        </w:rPr>
        <w:t>'</w:t>
      </w:r>
      <w:r w:rsidRPr="00A071A5">
        <w:rPr>
          <w:rFonts w:cs="Arial"/>
          <w:rtl/>
        </w:rPr>
        <w:t xml:space="preserve"> א] וסמ"ע [סקי"ב], ודוקא ג' טובי העיר אבל ג' דיינים לא, וכמ"ש לעיל סק</w:t>
      </w:r>
      <w:r>
        <w:rPr>
          <w:rFonts w:cs="Arial" w:hint="cs"/>
          <w:rtl/>
        </w:rPr>
        <w:t>"</w:t>
      </w:r>
      <w:r w:rsidRPr="00A071A5">
        <w:rPr>
          <w:rFonts w:cs="Arial"/>
          <w:rtl/>
        </w:rPr>
        <w:t>א דבפני ב"ד לא מהני עד שיגמור הדין</w:t>
      </w:r>
      <w:r>
        <w:rPr>
          <w:rFonts w:cs="Arial" w:hint="cs"/>
          <w:rtl/>
        </w:rPr>
        <w:t>, ש"ך (סקי"ב).</w:t>
      </w:r>
      <w:r w:rsidRPr="00A071A5">
        <w:rPr>
          <w:rFonts w:cs="Arial"/>
          <w:rtl/>
        </w:rPr>
        <w:t xml:space="preserve"> </w:t>
      </w:r>
      <w:r w:rsidRPr="00C86E8A">
        <w:rPr>
          <w:rFonts w:cs="Arial"/>
          <w:rtl/>
        </w:rPr>
        <w:t xml:space="preserve">וכל דברי הקהל ג"כ א"צ קנין כגון שפטרו אחד ממסים וכיוצא בו, עכ"ל הרמ"א </w:t>
      </w:r>
      <w:r>
        <w:rPr>
          <w:rFonts w:cs="Arial" w:hint="cs"/>
          <w:rtl/>
        </w:rPr>
        <w:t>(</w:t>
      </w:r>
      <w:r w:rsidRPr="00C86E8A">
        <w:rPr>
          <w:rFonts w:cs="Arial"/>
          <w:rtl/>
        </w:rPr>
        <w:t>בהג"ה ס"ס קסג</w:t>
      </w:r>
      <w:r>
        <w:rPr>
          <w:rFonts w:cs="Arial" w:hint="cs"/>
          <w:rtl/>
        </w:rPr>
        <w:t>), סמ"ע (סקי"ב).</w:t>
      </w:r>
    </w:p>
  </w:footnote>
  <w:footnote w:id="1112">
    <w:p w14:paraId="4E45D5E5" w14:textId="77777777" w:rsidR="0013116F" w:rsidRDefault="0013116F">
      <w:pPr>
        <w:pStyle w:val="a9"/>
        <w:rPr>
          <w:rtl/>
        </w:rPr>
      </w:pPr>
      <w:r>
        <w:rPr>
          <w:rStyle w:val="ab"/>
        </w:rPr>
        <w:footnoteRef/>
      </w:r>
      <w:r>
        <w:rPr>
          <w:rtl/>
        </w:rPr>
        <w:t xml:space="preserve"> </w:t>
      </w:r>
      <w:r w:rsidRPr="00C86E8A">
        <w:rPr>
          <w:rFonts w:cs="Arial"/>
          <w:rtl/>
        </w:rPr>
        <w:t>פירוש, ישבע היסת, דאין זה הדיין מיחשב עד להביא לידי שבועה דאו</w:t>
      </w:r>
      <w:r>
        <w:rPr>
          <w:rFonts w:cs="Arial" w:hint="cs"/>
          <w:rtl/>
        </w:rPr>
        <w:t>'</w:t>
      </w:r>
      <w:r w:rsidRPr="00C86E8A">
        <w:rPr>
          <w:rFonts w:cs="Arial"/>
          <w:rtl/>
        </w:rPr>
        <w:t xml:space="preserve"> </w:t>
      </w:r>
      <w:r w:rsidRPr="00C86E8A">
        <w:rPr>
          <w:rFonts w:cs="Arial"/>
          <w:sz w:val="16"/>
          <w:szCs w:val="16"/>
          <w:rtl/>
        </w:rPr>
        <w:t>[ואע</w:t>
      </w:r>
      <w:r w:rsidRPr="00C86E8A">
        <w:rPr>
          <w:rFonts w:cs="Arial" w:hint="cs"/>
          <w:sz w:val="16"/>
          <w:szCs w:val="16"/>
          <w:rtl/>
        </w:rPr>
        <w:t>"</w:t>
      </w:r>
      <w:r w:rsidRPr="00C86E8A">
        <w:rPr>
          <w:rFonts w:cs="Arial"/>
          <w:sz w:val="16"/>
          <w:szCs w:val="16"/>
          <w:rtl/>
        </w:rPr>
        <w:t>ג דלא מיחשב זה לנוגע בדבר כדמוכח בסי</w:t>
      </w:r>
      <w:r w:rsidRPr="00C86E8A">
        <w:rPr>
          <w:rFonts w:cs="Arial" w:hint="cs"/>
          <w:sz w:val="16"/>
          <w:szCs w:val="16"/>
          <w:rtl/>
        </w:rPr>
        <w:t xml:space="preserve">' </w:t>
      </w:r>
      <w:r w:rsidRPr="00C86E8A">
        <w:rPr>
          <w:rFonts w:cs="Arial"/>
          <w:sz w:val="16"/>
          <w:szCs w:val="16"/>
          <w:rtl/>
        </w:rPr>
        <w:t>שאחר זה]</w:t>
      </w:r>
      <w:r w:rsidRPr="00C86E8A">
        <w:rPr>
          <w:rFonts w:cs="Arial"/>
          <w:rtl/>
        </w:rPr>
        <w:t>, חדא דהא מיירי מקרוב ופסול, ועוד, דאין זה כפירת ממון אלא כפירת קבלתו עליו לדיין, ואין נשבעין אהא שבועה דאו</w:t>
      </w:r>
      <w:r>
        <w:rPr>
          <w:rFonts w:cs="Arial" w:hint="cs"/>
          <w:rtl/>
        </w:rPr>
        <w:t>'</w:t>
      </w:r>
      <w:r>
        <w:rPr>
          <w:rFonts w:hint="cs"/>
          <w:rtl/>
        </w:rPr>
        <w:t>, סמ"ע (סקי"ג).</w:t>
      </w:r>
      <w:r w:rsidRPr="00D60F1A">
        <w:rPr>
          <w:rtl/>
        </w:rPr>
        <w:t xml:space="preserve"> </w:t>
      </w:r>
      <w:r w:rsidRPr="00D60F1A">
        <w:rPr>
          <w:rFonts w:cs="Arial"/>
          <w:rtl/>
        </w:rPr>
        <w:t>וטעמו בתרא לא נהירא, דאין לך כפירת ממון גדול מזה, דהא אם מודה לדברי הדיין חייב ממון, ועוד דא"כ גם היסת לא ישבע וכדלקמן סי</w:t>
      </w:r>
      <w:r>
        <w:rPr>
          <w:rFonts w:cs="Arial" w:hint="cs"/>
          <w:rtl/>
        </w:rPr>
        <w:t>'</w:t>
      </w:r>
      <w:r w:rsidRPr="00D60F1A">
        <w:rPr>
          <w:rFonts w:cs="Arial"/>
          <w:rtl/>
        </w:rPr>
        <w:t xml:space="preserve"> פז סע</w:t>
      </w:r>
      <w:r>
        <w:rPr>
          <w:rFonts w:cs="Arial" w:hint="cs"/>
          <w:rtl/>
        </w:rPr>
        <w:t>'</w:t>
      </w:r>
      <w:r w:rsidRPr="00D60F1A">
        <w:rPr>
          <w:rFonts w:cs="Arial"/>
          <w:rtl/>
        </w:rPr>
        <w:t xml:space="preserve"> כה, אלא טעמא קמא עיקר. וא"כ בכשר חייב לישבע ובשנים כשרים חייב כפי מה שיפסקו ממון,</w:t>
      </w:r>
      <w:r>
        <w:rPr>
          <w:rFonts w:hint="cs"/>
          <w:rtl/>
        </w:rPr>
        <w:t xml:space="preserve"> ש"ך (סקי"ג).</w:t>
      </w:r>
    </w:p>
  </w:footnote>
  <w:footnote w:id="1113">
    <w:p w14:paraId="682B9A6A" w14:textId="77777777" w:rsidR="0013116F" w:rsidRDefault="0013116F" w:rsidP="002B2939">
      <w:pPr>
        <w:pStyle w:val="a9"/>
        <w:rPr>
          <w:rtl/>
        </w:rPr>
      </w:pPr>
      <w:r>
        <w:rPr>
          <w:rStyle w:val="ab"/>
        </w:rPr>
        <w:footnoteRef/>
      </w:r>
      <w:r>
        <w:rPr>
          <w:rtl/>
        </w:rPr>
        <w:t xml:space="preserve"> </w:t>
      </w:r>
      <w:r>
        <w:rPr>
          <w:rFonts w:cs="Arial" w:hint="cs"/>
          <w:rtl/>
        </w:rPr>
        <w:t>הב"י לא הביא את לשון מהר"ם כדלעיל, אלא העתיק את מה שכתב המרדכ</w:t>
      </w:r>
      <w:r w:rsidRPr="00D60F1A">
        <w:rPr>
          <w:rFonts w:cs="Arial"/>
          <w:rtl/>
        </w:rPr>
        <w:t xml:space="preserve">י </w:t>
      </w:r>
      <w:r w:rsidRPr="00D60F1A">
        <w:rPr>
          <w:rFonts w:cs="Arial" w:hint="cs"/>
          <w:sz w:val="16"/>
          <w:szCs w:val="16"/>
          <w:rtl/>
        </w:rPr>
        <w:t>(</w:t>
      </w:r>
      <w:r w:rsidRPr="00D60F1A">
        <w:rPr>
          <w:rFonts w:cs="Arial"/>
          <w:sz w:val="16"/>
          <w:szCs w:val="16"/>
          <w:rtl/>
        </w:rPr>
        <w:t>פרק זה בורר סי' תרפו)</w:t>
      </w:r>
      <w:r>
        <w:rPr>
          <w:rFonts w:cs="Arial" w:hint="cs"/>
          <w:rtl/>
        </w:rPr>
        <w:t xml:space="preserve"> בשם מהר"ם, וז"ל</w:t>
      </w:r>
      <w:r w:rsidRPr="00D60F1A">
        <w:rPr>
          <w:rFonts w:cs="Arial" w:hint="cs"/>
          <w:rtl/>
        </w:rPr>
        <w:t>-</w:t>
      </w:r>
      <w:r w:rsidRPr="00D60F1A">
        <w:rPr>
          <w:rFonts w:cs="Arial"/>
          <w:rtl/>
        </w:rPr>
        <w:t xml:space="preserve"> בא מעשה לפני רבינו מאיר באחד שאמר נאמן עלי אותו גוי וקנו מיניה וכשהרגיש שהיה מטה דבריו וקבל שוחד רצה לחזור בו ופסק דלא מצי הדר ביה</w:t>
      </w:r>
      <w:r>
        <w:rPr>
          <w:rFonts w:cs="Arial" w:hint="cs"/>
          <w:rtl/>
        </w:rPr>
        <w:t xml:space="preserve">. עכ"ל. ומדברים קצרים אלו שכתב המרדכי בשם מהר"ם אי אפשר להבין אי מיירי בדיין גוי או בעד גוי. ולכן העיר הב"י </w:t>
      </w:r>
      <w:r>
        <w:rPr>
          <w:rFonts w:hint="cs"/>
          <w:rtl/>
        </w:rPr>
        <w:t>(בבדה"ב)</w:t>
      </w:r>
      <w:r>
        <w:rPr>
          <w:rFonts w:cs="Arial" w:hint="cs"/>
          <w:rtl/>
        </w:rPr>
        <w:t xml:space="preserve"> וז"ל- </w:t>
      </w:r>
      <w:r w:rsidRPr="009E27FD">
        <w:rPr>
          <w:rFonts w:cs="Arial"/>
          <w:rtl/>
        </w:rPr>
        <w:t>והיינו במקבלו עליו לעד</w:t>
      </w:r>
      <w:r>
        <w:rPr>
          <w:rFonts w:cs="Arial" w:hint="cs"/>
          <w:rtl/>
        </w:rPr>
        <w:t>,</w:t>
      </w:r>
      <w:r w:rsidRPr="009E27FD">
        <w:rPr>
          <w:rFonts w:cs="Arial"/>
          <w:rtl/>
        </w:rPr>
        <w:t xml:space="preserve"> אבל אם קבלו לדיין אינו רשאי לדון בפניו כמו שיתבאר בסי</w:t>
      </w:r>
      <w:r>
        <w:rPr>
          <w:rFonts w:cs="Arial" w:hint="cs"/>
          <w:rtl/>
        </w:rPr>
        <w:t>'</w:t>
      </w:r>
      <w:r w:rsidRPr="009E27FD">
        <w:rPr>
          <w:rFonts w:cs="Arial"/>
          <w:rtl/>
        </w:rPr>
        <w:t xml:space="preserve"> כו (מחו' א). </w:t>
      </w:r>
      <w:r>
        <w:rPr>
          <w:rFonts w:cs="Arial" w:hint="cs"/>
          <w:rtl/>
        </w:rPr>
        <w:t xml:space="preserve">עכ"ל הב"י. </w:t>
      </w:r>
      <w:r w:rsidRPr="00E93B05">
        <w:rPr>
          <w:rFonts w:cs="Arial" w:hint="cs"/>
          <w:sz w:val="16"/>
          <w:szCs w:val="16"/>
          <w:rtl/>
        </w:rPr>
        <w:t>(וכתב עוד הב"י בבדה"ב ל</w:t>
      </w:r>
      <w:r w:rsidRPr="00E93B05">
        <w:rPr>
          <w:rFonts w:cs="Arial"/>
          <w:sz w:val="16"/>
          <w:szCs w:val="16"/>
          <w:rtl/>
        </w:rPr>
        <w:t xml:space="preserve">עיין בתשובת הריב"ש </w:t>
      </w:r>
      <w:r w:rsidRPr="00E93B05">
        <w:rPr>
          <w:rFonts w:cs="Arial" w:hint="cs"/>
          <w:sz w:val="16"/>
          <w:szCs w:val="16"/>
          <w:rtl/>
        </w:rPr>
        <w:t xml:space="preserve">(סי' תצ) </w:t>
      </w:r>
      <w:r w:rsidRPr="00E93B05">
        <w:rPr>
          <w:rFonts w:cs="Arial"/>
          <w:sz w:val="16"/>
          <w:szCs w:val="16"/>
          <w:rtl/>
        </w:rPr>
        <w:t xml:space="preserve">ובתשובת הרשב"א </w:t>
      </w:r>
      <w:r w:rsidRPr="00E93B05">
        <w:rPr>
          <w:rFonts w:cs="Arial" w:hint="cs"/>
          <w:sz w:val="16"/>
          <w:szCs w:val="16"/>
          <w:rtl/>
        </w:rPr>
        <w:t xml:space="preserve">(ח"א סי' תתסח) </w:t>
      </w:r>
      <w:r w:rsidRPr="00E93B05">
        <w:rPr>
          <w:rFonts w:cs="Arial"/>
          <w:sz w:val="16"/>
          <w:szCs w:val="16"/>
          <w:rtl/>
        </w:rPr>
        <w:t>ש</w:t>
      </w:r>
      <w:r w:rsidRPr="00E93B05">
        <w:rPr>
          <w:rFonts w:cs="Arial" w:hint="cs"/>
          <w:sz w:val="16"/>
          <w:szCs w:val="16"/>
          <w:rtl/>
        </w:rPr>
        <w:t>הביאם</w:t>
      </w:r>
      <w:r>
        <w:rPr>
          <w:rFonts w:cs="Arial" w:hint="cs"/>
          <w:sz w:val="16"/>
          <w:szCs w:val="16"/>
          <w:rtl/>
        </w:rPr>
        <w:t xml:space="preserve"> </w:t>
      </w:r>
      <w:r w:rsidRPr="00E93B05">
        <w:rPr>
          <w:rFonts w:cs="Arial"/>
          <w:sz w:val="16"/>
          <w:szCs w:val="16"/>
          <w:rtl/>
        </w:rPr>
        <w:t>בר</w:t>
      </w:r>
      <w:r w:rsidRPr="00E93B05">
        <w:rPr>
          <w:rFonts w:cs="Arial" w:hint="cs"/>
          <w:sz w:val="16"/>
          <w:szCs w:val="16"/>
          <w:rtl/>
        </w:rPr>
        <w:t>"</w:t>
      </w:r>
      <w:r w:rsidRPr="00E93B05">
        <w:rPr>
          <w:rFonts w:cs="Arial"/>
          <w:sz w:val="16"/>
          <w:szCs w:val="16"/>
          <w:rtl/>
        </w:rPr>
        <w:t>ס ל"ג (מחו' א-ב)</w:t>
      </w:r>
      <w:r>
        <w:rPr>
          <w:rFonts w:hint="cs"/>
          <w:sz w:val="16"/>
          <w:szCs w:val="16"/>
          <w:rtl/>
        </w:rPr>
        <w:t>,</w:t>
      </w:r>
      <w:r w:rsidRPr="00E93B05">
        <w:rPr>
          <w:rFonts w:hint="cs"/>
          <w:sz w:val="16"/>
          <w:szCs w:val="16"/>
          <w:rtl/>
        </w:rPr>
        <w:t xml:space="preserve"> </w:t>
      </w:r>
      <w:r>
        <w:rPr>
          <w:rFonts w:hint="cs"/>
          <w:sz w:val="16"/>
          <w:szCs w:val="16"/>
          <w:rtl/>
        </w:rPr>
        <w:t>ו</w:t>
      </w:r>
      <w:r w:rsidRPr="00E93B05">
        <w:rPr>
          <w:rFonts w:hint="cs"/>
          <w:sz w:val="16"/>
          <w:szCs w:val="16"/>
          <w:rtl/>
        </w:rPr>
        <w:t xml:space="preserve">שם </w:t>
      </w:r>
      <w:r>
        <w:rPr>
          <w:rFonts w:hint="cs"/>
          <w:sz w:val="16"/>
          <w:szCs w:val="16"/>
          <w:rtl/>
        </w:rPr>
        <w:t xml:space="preserve">בתו' הריב"ש </w:t>
      </w:r>
      <w:r w:rsidRPr="00E93B05">
        <w:rPr>
          <w:rFonts w:hint="cs"/>
          <w:sz w:val="16"/>
          <w:szCs w:val="16"/>
          <w:rtl/>
        </w:rPr>
        <w:t>מוכח כדברי מהר"ם הנ"ל, דאם קיבל עליו נכרי להעיד</w:t>
      </w:r>
      <w:r>
        <w:rPr>
          <w:rFonts w:hint="cs"/>
          <w:sz w:val="16"/>
          <w:szCs w:val="16"/>
          <w:rtl/>
        </w:rPr>
        <w:t>,</w:t>
      </w:r>
      <w:r w:rsidRPr="00E93B05">
        <w:rPr>
          <w:rFonts w:hint="cs"/>
          <w:sz w:val="16"/>
          <w:szCs w:val="16"/>
          <w:rtl/>
        </w:rPr>
        <w:t xml:space="preserve"> והעיד בב"ד</w:t>
      </w:r>
      <w:r>
        <w:rPr>
          <w:rFonts w:hint="cs"/>
          <w:sz w:val="16"/>
          <w:szCs w:val="16"/>
          <w:rtl/>
        </w:rPr>
        <w:t>,</w:t>
      </w:r>
      <w:r w:rsidRPr="00E93B05">
        <w:rPr>
          <w:rFonts w:hint="cs"/>
          <w:sz w:val="16"/>
          <w:szCs w:val="16"/>
          <w:rtl/>
        </w:rPr>
        <w:t xml:space="preserve"> שוב אינו יכול לחזור בו, דומיא דקיבלו בקנין </w:t>
      </w:r>
      <w:r>
        <w:rPr>
          <w:rFonts w:hint="cs"/>
          <w:sz w:val="16"/>
          <w:szCs w:val="16"/>
          <w:rtl/>
        </w:rPr>
        <w:t xml:space="preserve">שדיבר </w:t>
      </w:r>
      <w:r w:rsidRPr="00E93B05">
        <w:rPr>
          <w:rFonts w:hint="cs"/>
          <w:sz w:val="16"/>
          <w:szCs w:val="16"/>
          <w:rtl/>
        </w:rPr>
        <w:t>מהר"ם)</w:t>
      </w:r>
      <w:r>
        <w:rPr>
          <w:rFonts w:hint="cs"/>
          <w:rtl/>
        </w:rPr>
        <w:t>. וגם הש"ך (סקט"ו) לא ראה את תשובת מהר"ם השלמה דלעיל אלא רק את דברי המרדכי בשם מהר"ם, ולכן השיג על הב"י שחילק בין עדות (שבה דיבר מהר"ם) לבין דין (שבזה מדובר בסימן כו ס"ה בטור).</w:t>
      </w:r>
    </w:p>
  </w:footnote>
  <w:footnote w:id="1114">
    <w:p w14:paraId="6BCFC7BF" w14:textId="77777777" w:rsidR="0013116F" w:rsidRDefault="0013116F">
      <w:pPr>
        <w:pStyle w:val="a9"/>
      </w:pPr>
      <w:r>
        <w:rPr>
          <w:rStyle w:val="ab"/>
        </w:rPr>
        <w:footnoteRef/>
      </w:r>
      <w:r>
        <w:rPr>
          <w:rtl/>
        </w:rPr>
        <w:t xml:space="preserve"> </w:t>
      </w:r>
      <w:r w:rsidRPr="00D60F1A">
        <w:rPr>
          <w:rFonts w:cs="Arial"/>
          <w:rtl/>
        </w:rPr>
        <w:t>משום שלא יעשה אויבינו פלילים, ועיין לקמן סי</w:t>
      </w:r>
      <w:r>
        <w:rPr>
          <w:rFonts w:cs="Arial" w:hint="cs"/>
          <w:rtl/>
        </w:rPr>
        <w:t>'</w:t>
      </w:r>
      <w:r w:rsidRPr="00D60F1A">
        <w:rPr>
          <w:rFonts w:cs="Arial"/>
          <w:rtl/>
        </w:rPr>
        <w:t xml:space="preserve"> כו [סקי"א], שם כתבתי דמוכח מדברי הפוסקים באם יש לאחד מבעלי דינים זכות ויפוי כח במשפט הגוים טפי מבמשפט ישראל, דאז מהני הקנין, ולא אמרו אין אדם מתנה על מה שכתוב בתורה כי אם בתנאי בעלמא, אבל אין אחר קנין כלום, ואם אין בו זכות לא מחשב קנינו לקנין דהו"ל קנין דברים</w:t>
      </w:r>
      <w:r>
        <w:rPr>
          <w:rFonts w:cs="Arial" w:hint="cs"/>
          <w:rtl/>
        </w:rPr>
        <w:t>..., סמ"ע (סקט"ו).</w:t>
      </w:r>
    </w:p>
  </w:footnote>
  <w:footnote w:id="1115">
    <w:p w14:paraId="1D2ED22A" w14:textId="77777777" w:rsidR="0013116F" w:rsidRDefault="0013116F">
      <w:pPr>
        <w:pStyle w:val="a9"/>
      </w:pPr>
      <w:r>
        <w:rPr>
          <w:rStyle w:val="ab"/>
        </w:rPr>
        <w:footnoteRef/>
      </w:r>
      <w:r>
        <w:rPr>
          <w:rtl/>
        </w:rPr>
        <w:t xml:space="preserve"> </w:t>
      </w:r>
      <w:r w:rsidRPr="00951F34">
        <w:rPr>
          <w:rFonts w:asciiTheme="minorBidi" w:hAnsiTheme="minorBidi" w:cs="Arial"/>
          <w:color w:val="000000"/>
          <w:rtl/>
        </w:rPr>
        <w:t xml:space="preserve">החילוק בין לכתחילה ודיעבד נראה שהוציא הר"ב ממ"ש המרדכי </w:t>
      </w:r>
      <w:r w:rsidRPr="00951F34">
        <w:rPr>
          <w:rFonts w:asciiTheme="minorBidi" w:hAnsiTheme="minorBidi" w:cs="Arial" w:hint="cs"/>
          <w:color w:val="000000"/>
          <w:sz w:val="16"/>
          <w:szCs w:val="16"/>
          <w:rtl/>
        </w:rPr>
        <w:t>(</w:t>
      </w:r>
      <w:r>
        <w:rPr>
          <w:rFonts w:asciiTheme="minorBidi" w:hAnsiTheme="minorBidi" w:cs="Arial" w:hint="cs"/>
          <w:color w:val="000000"/>
          <w:sz w:val="16"/>
          <w:szCs w:val="16"/>
          <w:rtl/>
        </w:rPr>
        <w:t>שם</w:t>
      </w:r>
      <w:r w:rsidRPr="00951F34">
        <w:rPr>
          <w:rFonts w:asciiTheme="minorBidi" w:hAnsiTheme="minorBidi" w:cs="Arial" w:hint="cs"/>
          <w:color w:val="000000"/>
          <w:sz w:val="16"/>
          <w:szCs w:val="16"/>
          <w:rtl/>
        </w:rPr>
        <w:t>)</w:t>
      </w:r>
      <w:r w:rsidRPr="00951F34">
        <w:rPr>
          <w:rFonts w:asciiTheme="minorBidi" w:hAnsiTheme="minorBidi" w:cs="Arial"/>
          <w:color w:val="000000"/>
          <w:sz w:val="16"/>
          <w:szCs w:val="16"/>
          <w:rtl/>
        </w:rPr>
        <w:t xml:space="preserve"> </w:t>
      </w:r>
      <w:r w:rsidRPr="00951F34">
        <w:rPr>
          <w:rFonts w:asciiTheme="minorBidi" w:hAnsiTheme="minorBidi" w:cs="Arial"/>
          <w:color w:val="000000"/>
          <w:rtl/>
        </w:rPr>
        <w:t>דצריך לקיים הקנין</w:t>
      </w:r>
      <w:r>
        <w:rPr>
          <w:rFonts w:asciiTheme="minorBidi" w:hAnsiTheme="minorBidi" w:cs="Arial" w:hint="cs"/>
          <w:color w:val="000000"/>
          <w:rtl/>
        </w:rPr>
        <w:t>,</w:t>
      </w:r>
      <w:r w:rsidRPr="00951F34">
        <w:rPr>
          <w:rFonts w:asciiTheme="minorBidi" w:hAnsiTheme="minorBidi" w:cs="Arial"/>
          <w:color w:val="000000"/>
          <w:rtl/>
        </w:rPr>
        <w:t xml:space="preserve"> וכדי שלא יחלוק על הבעה"ת וטור דלקמן סימן כ"ו [סע</w:t>
      </w:r>
      <w:r>
        <w:rPr>
          <w:rFonts w:asciiTheme="minorBidi" w:hAnsiTheme="minorBidi" w:cs="Arial" w:hint="cs"/>
          <w:color w:val="000000"/>
          <w:rtl/>
        </w:rPr>
        <w:t>'</w:t>
      </w:r>
      <w:r w:rsidRPr="00951F34">
        <w:rPr>
          <w:rFonts w:asciiTheme="minorBidi" w:hAnsiTheme="minorBidi" w:cs="Arial"/>
          <w:color w:val="000000"/>
          <w:rtl/>
        </w:rPr>
        <w:t xml:space="preserve"> ה] דהקנין אינו כלום, מפרש הרב דהבעה"ת וטור מיירי לכתחילה והמרדכי בדיעבד, וכן בשו"ע </w:t>
      </w:r>
      <w:r w:rsidRPr="00951F34">
        <w:rPr>
          <w:rFonts w:asciiTheme="minorBidi" w:hAnsiTheme="minorBidi" w:cs="Arial"/>
          <w:color w:val="000000"/>
          <w:sz w:val="16"/>
          <w:szCs w:val="16"/>
          <w:rtl/>
        </w:rPr>
        <w:t>[מהדורת שס"ז]</w:t>
      </w:r>
      <w:r w:rsidRPr="00951F34">
        <w:rPr>
          <w:rFonts w:asciiTheme="minorBidi" w:hAnsiTheme="minorBidi" w:cs="Arial"/>
          <w:color w:val="000000"/>
          <w:rtl/>
        </w:rPr>
        <w:t xml:space="preserve"> ובסמ"ע </w:t>
      </w:r>
      <w:r w:rsidRPr="00951F34">
        <w:rPr>
          <w:rFonts w:asciiTheme="minorBidi" w:hAnsiTheme="minorBidi" w:cs="Arial"/>
          <w:color w:val="000000"/>
          <w:sz w:val="16"/>
          <w:szCs w:val="16"/>
          <w:rtl/>
        </w:rPr>
        <w:t xml:space="preserve">[בציוניו] </w:t>
      </w:r>
      <w:r w:rsidRPr="00951F34">
        <w:rPr>
          <w:rFonts w:asciiTheme="minorBidi" w:hAnsiTheme="minorBidi" w:cs="Arial"/>
          <w:color w:val="000000"/>
          <w:rtl/>
        </w:rPr>
        <w:t>נרשם כאן מרדכי. אבל לפע"ד צ"ע, דהמעיין במרדכי שם יראה דאין חילוק בכך</w:t>
      </w:r>
      <w:r w:rsidRPr="00951F34">
        <w:rPr>
          <w:rFonts w:asciiTheme="minorBidi" w:hAnsiTheme="minorBidi" w:cs="Arial" w:hint="cs"/>
          <w:color w:val="000000"/>
          <w:rtl/>
        </w:rPr>
        <w:t>...</w:t>
      </w:r>
      <w:r w:rsidRPr="00951F34">
        <w:rPr>
          <w:rFonts w:asciiTheme="minorBidi" w:hAnsiTheme="minorBidi" w:cs="Arial"/>
          <w:color w:val="000000"/>
          <w:rtl/>
        </w:rPr>
        <w:t xml:space="preserve"> ואפשר שהמרדכי פליג עלייהו. ואם באנו לומר דלא פליג, נראה לומר דדוקא התם דמיירי להדיא שקנו מידו סתם לדון בדיני גויים דהוי אויבינו פלילים שמחזיק ערכותיהם ודתם, משא"כ בהך דהמרדכי שקנו על גוי אחד בפירוש, הרי שגוי זה נאמן בעיניהם, ולא משום שמחזיקים משפטי הגויים ודתם, רק שזה הגוי נאמן בעיניהם וסמכו עליו, דמהני כמו קיבלו קרוב או פסול. וחילוק זה נכון מאד. אך שהמחבר הבין מדברי הבעה"ת וטור דאפילו קיבלו עליהם בקנין גוי פלוני מיוחד אין הקנין כלום. ולא ידעתי מנ"ל הא.</w:t>
      </w:r>
      <w:r>
        <w:rPr>
          <w:rFonts w:asciiTheme="minorBidi" w:hAnsiTheme="minorBidi" w:cs="Arial" w:hint="cs"/>
          <w:color w:val="000000"/>
          <w:rtl/>
        </w:rPr>
        <w:t>.</w:t>
      </w:r>
      <w:r w:rsidRPr="001D5E21">
        <w:rPr>
          <w:rFonts w:asciiTheme="minorBidi" w:hAnsiTheme="minorBidi" w:cs="Arial"/>
          <w:color w:val="000000"/>
          <w:rtl/>
        </w:rPr>
        <w:t>. אלא נראה לחלק כמ"ש</w:t>
      </w:r>
      <w:r>
        <w:rPr>
          <w:rFonts w:asciiTheme="minorBidi" w:hAnsiTheme="minorBidi" w:cs="Arial" w:hint="cs"/>
          <w:color w:val="000000"/>
          <w:rtl/>
        </w:rPr>
        <w:t>...</w:t>
      </w:r>
      <w:r w:rsidRPr="001D5E21">
        <w:rPr>
          <w:rFonts w:asciiTheme="minorBidi" w:hAnsiTheme="minorBidi" w:cs="Arial"/>
          <w:color w:val="000000"/>
          <w:rtl/>
        </w:rPr>
        <w:t xml:space="preserve"> וצ"ע</w:t>
      </w:r>
      <w:r w:rsidRPr="00951F34">
        <w:rPr>
          <w:rFonts w:asciiTheme="minorBidi" w:hAnsiTheme="minorBidi" w:cs="Arial" w:hint="cs"/>
          <w:color w:val="000000"/>
          <w:rtl/>
        </w:rPr>
        <w:t>, ש"ך (סקט"ו).</w:t>
      </w:r>
      <w:r>
        <w:rPr>
          <w:rFonts w:hint="cs"/>
          <w:rtl/>
        </w:rPr>
        <w:t xml:space="preserve"> והגר"א (סקט"ז) כתב שהרמ"א כתב כן מטעם מחילה, וכמו שמבואר בב"מ (סו:) </w:t>
      </w:r>
      <w:r w:rsidRPr="004A19EC">
        <w:rPr>
          <w:rFonts w:cs="Arial"/>
          <w:rtl/>
        </w:rPr>
        <w:t>אמר רב נחמן: מודינא, דאי שמיט ואכיל - לא מפקינן מיניה</w:t>
      </w:r>
      <w:r>
        <w:rPr>
          <w:rFonts w:cs="Arial" w:hint="cs"/>
          <w:rtl/>
        </w:rPr>
        <w:t>.</w:t>
      </w:r>
    </w:p>
  </w:footnote>
  <w:footnote w:id="1116">
    <w:p w14:paraId="28415EC4" w14:textId="77777777" w:rsidR="0013116F" w:rsidRDefault="0013116F">
      <w:pPr>
        <w:pStyle w:val="a9"/>
      </w:pPr>
      <w:r>
        <w:rPr>
          <w:rStyle w:val="ab"/>
        </w:rPr>
        <w:footnoteRef/>
      </w:r>
      <w:r>
        <w:rPr>
          <w:rtl/>
        </w:rPr>
        <w:t xml:space="preserve"> </w:t>
      </w:r>
      <w:r>
        <w:rPr>
          <w:rFonts w:hint="cs"/>
          <w:rtl/>
        </w:rPr>
        <w:t xml:space="preserve">סימן </w:t>
      </w:r>
      <w:r>
        <w:rPr>
          <w:rtl/>
        </w:rPr>
        <w:t>–</w:t>
      </w:r>
      <w:r>
        <w:rPr>
          <w:rFonts w:hint="cs"/>
          <w:rtl/>
        </w:rPr>
        <w:t xml:space="preserve"> בכבוד, דור.</w:t>
      </w:r>
    </w:p>
  </w:footnote>
  <w:footnote w:id="1117">
    <w:p w14:paraId="6EDD3FF2" w14:textId="77777777" w:rsidR="0013116F" w:rsidRDefault="0013116F">
      <w:pPr>
        <w:pStyle w:val="a9"/>
        <w:rPr>
          <w:rtl/>
        </w:rPr>
      </w:pPr>
      <w:r>
        <w:rPr>
          <w:rStyle w:val="ab"/>
        </w:rPr>
        <w:footnoteRef/>
      </w:r>
      <w:r>
        <w:rPr>
          <w:rtl/>
        </w:rPr>
        <w:t xml:space="preserve"> </w:t>
      </w:r>
      <w:r>
        <w:rPr>
          <w:rFonts w:cs="Arial"/>
          <w:rtl/>
        </w:rPr>
        <w:t>לשון שבועה</w:t>
      </w:r>
      <w:r>
        <w:rPr>
          <w:rFonts w:hint="cs"/>
          <w:rtl/>
        </w:rPr>
        <w:t>, רש"י.</w:t>
      </w:r>
    </w:p>
  </w:footnote>
  <w:footnote w:id="1118">
    <w:p w14:paraId="38EB1057" w14:textId="77777777" w:rsidR="0013116F" w:rsidRDefault="0013116F">
      <w:pPr>
        <w:pStyle w:val="a9"/>
        <w:rPr>
          <w:rtl/>
        </w:rPr>
      </w:pPr>
      <w:r>
        <w:rPr>
          <w:rStyle w:val="ab"/>
        </w:rPr>
        <w:footnoteRef/>
      </w:r>
      <w:r>
        <w:rPr>
          <w:rtl/>
        </w:rPr>
        <w:t xml:space="preserve"> </w:t>
      </w:r>
      <w:r>
        <w:rPr>
          <w:rFonts w:hint="cs"/>
          <w:rtl/>
        </w:rPr>
        <w:t xml:space="preserve">סימן </w:t>
      </w:r>
      <w:r>
        <w:rPr>
          <w:rtl/>
        </w:rPr>
        <w:t>–</w:t>
      </w:r>
      <w:r>
        <w:rPr>
          <w:rFonts w:hint="cs"/>
          <w:rtl/>
        </w:rPr>
        <w:t xml:space="preserve"> כיבד חברו בקונם. וכן - כמו קיבול חוטא</w:t>
      </w:r>
      <w:r>
        <w:rPr>
          <w:rFonts w:hint="cs"/>
          <w:sz w:val="16"/>
          <w:szCs w:val="16"/>
          <w:rtl/>
        </w:rPr>
        <w:t xml:space="preserve"> (היינו פסול, הסימן לדף קכח)</w:t>
      </w:r>
      <w:r>
        <w:rPr>
          <w:rFonts w:hint="cs"/>
          <w:rtl/>
        </w:rPr>
        <w:t>.</w:t>
      </w:r>
    </w:p>
  </w:footnote>
  <w:footnote w:id="1119">
    <w:p w14:paraId="2CDEA2F6" w14:textId="77777777" w:rsidR="0013116F" w:rsidRDefault="0013116F" w:rsidP="00A5530C">
      <w:pPr>
        <w:pStyle w:val="a9"/>
        <w:rPr>
          <w:rtl/>
        </w:rPr>
      </w:pPr>
      <w:r>
        <w:rPr>
          <w:rStyle w:val="ab"/>
        </w:rPr>
        <w:footnoteRef/>
      </w:r>
      <w:r>
        <w:rPr>
          <w:rtl/>
        </w:rPr>
        <w:t xml:space="preserve"> </w:t>
      </w:r>
      <w:r>
        <w:rPr>
          <w:rFonts w:hint="cs"/>
          <w:rtl/>
        </w:rPr>
        <w:t xml:space="preserve">כך היא גירסת ר"ת, אך הרי"ף גורס 'נשבע ואינו' </w:t>
      </w:r>
      <w:r w:rsidRPr="002E4FCB">
        <w:rPr>
          <w:rFonts w:hint="cs"/>
          <w:sz w:val="16"/>
          <w:szCs w:val="16"/>
          <w:rtl/>
        </w:rPr>
        <w:t>(היינו ה-וו עוברת למילה הבאה</w:t>
      </w:r>
      <w:r>
        <w:rPr>
          <w:rFonts w:hint="cs"/>
          <w:sz w:val="16"/>
          <w:szCs w:val="16"/>
          <w:rtl/>
        </w:rPr>
        <w:t>)</w:t>
      </w:r>
      <w:r>
        <w:rPr>
          <w:rFonts w:hint="cs"/>
          <w:rtl/>
        </w:rPr>
        <w:t>. ועיין לקמן.</w:t>
      </w:r>
    </w:p>
  </w:footnote>
  <w:footnote w:id="1120">
    <w:p w14:paraId="741E8A89" w14:textId="77777777" w:rsidR="0013116F" w:rsidRDefault="0013116F" w:rsidP="00322162">
      <w:pPr>
        <w:pStyle w:val="a9"/>
      </w:pPr>
      <w:r>
        <w:rPr>
          <w:rStyle w:val="ab"/>
        </w:rPr>
        <w:footnoteRef/>
      </w:r>
      <w:r>
        <w:rPr>
          <w:rtl/>
        </w:rPr>
        <w:t xml:space="preserve"> </w:t>
      </w:r>
      <w:r w:rsidRPr="008006DC">
        <w:rPr>
          <w:rFonts w:cs="Arial"/>
          <w:rtl/>
        </w:rPr>
        <w:t>התוספות כתבו בפרק זה בורר (כד: ד"ה שלח) בשם ר</w:t>
      </w:r>
      <w:r>
        <w:rPr>
          <w:rFonts w:cs="Arial" w:hint="cs"/>
          <w:rtl/>
        </w:rPr>
        <w:t>"ת</w:t>
      </w:r>
      <w:r w:rsidRPr="008006DC">
        <w:rPr>
          <w:rFonts w:cs="Arial"/>
          <w:rtl/>
        </w:rPr>
        <w:t xml:space="preserve"> (ספר הישר חי' סי' תרס) דקודם שנשבע יכול לחזור בו</w:t>
      </w:r>
      <w:r>
        <w:rPr>
          <w:rFonts w:cs="Arial" w:hint="cs"/>
          <w:rtl/>
        </w:rPr>
        <w:t>,</w:t>
      </w:r>
      <w:r w:rsidRPr="008006DC">
        <w:rPr>
          <w:rFonts w:cs="Arial"/>
          <w:rtl/>
        </w:rPr>
        <w:t xml:space="preserve"> ואע</w:t>
      </w:r>
      <w:r>
        <w:rPr>
          <w:rFonts w:cs="Arial" w:hint="cs"/>
          <w:rtl/>
        </w:rPr>
        <w:t>"</w:t>
      </w:r>
      <w:r w:rsidRPr="008006DC">
        <w:rPr>
          <w:rFonts w:cs="Arial"/>
          <w:rtl/>
        </w:rPr>
        <w:t>פ דבהמפקיד (ב"מ לד: ד"ה וחזר) כתבו שבתשובה אחת חזר בו ופירש דכיון שקבל עליו לשלם אם ישבע שכנגדו הוי כמו לאחר גמר דין</w:t>
      </w:r>
      <w:r>
        <w:rPr>
          <w:rFonts w:cs="Arial" w:hint="cs"/>
          <w:rtl/>
        </w:rPr>
        <w:t xml:space="preserve"> -</w:t>
      </w:r>
      <w:r w:rsidRPr="008006DC">
        <w:rPr>
          <w:rFonts w:cs="Arial"/>
          <w:rtl/>
        </w:rPr>
        <w:t xml:space="preserve"> כדבריו הראשונים עיקר</w:t>
      </w:r>
      <w:r>
        <w:rPr>
          <w:rFonts w:cs="Arial" w:hint="cs"/>
          <w:rtl/>
        </w:rPr>
        <w:t>,</w:t>
      </w:r>
      <w:r w:rsidRPr="008006DC">
        <w:rPr>
          <w:rFonts w:cs="Arial"/>
          <w:rtl/>
        </w:rPr>
        <w:t xml:space="preserve"> דאתו כדעת הרא"ש ז"ל</w:t>
      </w:r>
      <w:r>
        <w:rPr>
          <w:rFonts w:cs="Arial" w:hint="cs"/>
          <w:rtl/>
        </w:rPr>
        <w:t>, ב"י.</w:t>
      </w:r>
    </w:p>
  </w:footnote>
  <w:footnote w:id="1121">
    <w:p w14:paraId="52B59B6F" w14:textId="77777777" w:rsidR="0013116F" w:rsidRDefault="0013116F" w:rsidP="008006DC">
      <w:pPr>
        <w:pStyle w:val="a9"/>
        <w:rPr>
          <w:rtl/>
        </w:rPr>
      </w:pPr>
      <w:r>
        <w:rPr>
          <w:rStyle w:val="ab"/>
        </w:rPr>
        <w:footnoteRef/>
      </w:r>
      <w:r>
        <w:rPr>
          <w:rtl/>
        </w:rPr>
        <w:t xml:space="preserve"> </w:t>
      </w:r>
      <w:r>
        <w:rPr>
          <w:rFonts w:cs="Arial" w:hint="cs"/>
          <w:rtl/>
        </w:rPr>
        <w:t xml:space="preserve">וז"ל- </w:t>
      </w:r>
      <w:r w:rsidRPr="004D4602">
        <w:rPr>
          <w:rFonts w:cs="Arial"/>
          <w:rtl/>
        </w:rPr>
        <w:t>הא דדור לי בחיי ראשך אחר גמר דין היינו אחר שנשבע</w:t>
      </w:r>
      <w:r w:rsidRPr="004D4602">
        <w:rPr>
          <w:rFonts w:cs="Arial" w:hint="cs"/>
          <w:rtl/>
        </w:rPr>
        <w:t>,</w:t>
      </w:r>
      <w:r w:rsidRPr="004D4602">
        <w:rPr>
          <w:rFonts w:cs="Arial"/>
          <w:rtl/>
        </w:rPr>
        <w:t xml:space="preserve"> אבל קודם שנשבע יכול לחזור בו</w:t>
      </w:r>
      <w:r>
        <w:rPr>
          <w:rFonts w:cs="Arial" w:hint="cs"/>
          <w:rtl/>
        </w:rPr>
        <w:t>,</w:t>
      </w:r>
      <w:r>
        <w:rPr>
          <w:rFonts w:cs="Arial"/>
          <w:rtl/>
        </w:rPr>
        <w:t xml:space="preserve"> והא דאמרינן בפרק יש נוחלין (ב"ב קכז:) עבדי גנבת והוא אומר לא גנבתי מה טיבו אצלך אתה מכרתו לי אתה נתתו לי במתנה רצונך השבע וטול נשבע ואין יכול לחזור בו גרסינן ונשבע אין יכול לחזור בו אבל בעוד שלא נשבע יכול לחזור בו</w:t>
      </w:r>
      <w:r>
        <w:rPr>
          <w:rFonts w:cs="Arial" w:hint="cs"/>
          <w:rtl/>
        </w:rPr>
        <w:t>,</w:t>
      </w:r>
      <w:r>
        <w:rPr>
          <w:rFonts w:cs="Arial"/>
          <w:rtl/>
        </w:rPr>
        <w:t xml:space="preserve"> דמידי דלא שייך ביה פסק דין בעוד שלא נעשה המעשה הוי כלפני גמר דין. והא דאמרינן בפרק שבועת הדיינים (שבועות לט.) אמר איני נשבע פוטרין אותו מיד</w:t>
      </w:r>
      <w:r>
        <w:rPr>
          <w:rFonts w:cs="Arial" w:hint="cs"/>
          <w:rtl/>
        </w:rPr>
        <w:t>,</w:t>
      </w:r>
      <w:r>
        <w:rPr>
          <w:rFonts w:cs="Arial"/>
          <w:rtl/>
        </w:rPr>
        <w:t xml:space="preserve"> פירוש ממהרין אותו לפרוע</w:t>
      </w:r>
      <w:r>
        <w:rPr>
          <w:rFonts w:cs="Arial" w:hint="cs"/>
          <w:rtl/>
        </w:rPr>
        <w:t>,</w:t>
      </w:r>
      <w:r>
        <w:rPr>
          <w:rFonts w:cs="Arial"/>
          <w:rtl/>
        </w:rPr>
        <w:t xml:space="preserve"> דאע</w:t>
      </w:r>
      <w:r>
        <w:rPr>
          <w:rFonts w:cs="Arial" w:hint="cs"/>
          <w:rtl/>
        </w:rPr>
        <w:t>"</w:t>
      </w:r>
      <w:r>
        <w:rPr>
          <w:rFonts w:cs="Arial"/>
          <w:rtl/>
        </w:rPr>
        <w:t>ג דאמר איני נשבע יכול לחזור בו בעוד שלא פרע</w:t>
      </w:r>
      <w:r>
        <w:rPr>
          <w:rFonts w:hint="cs"/>
          <w:rtl/>
        </w:rPr>
        <w:t>.</w:t>
      </w:r>
    </w:p>
  </w:footnote>
  <w:footnote w:id="1122">
    <w:p w14:paraId="1C18E04C" w14:textId="77777777" w:rsidR="0013116F" w:rsidRDefault="0013116F">
      <w:pPr>
        <w:pStyle w:val="a9"/>
      </w:pPr>
      <w:r>
        <w:rPr>
          <w:rStyle w:val="ab"/>
        </w:rPr>
        <w:footnoteRef/>
      </w:r>
      <w:r>
        <w:rPr>
          <w:rtl/>
        </w:rPr>
        <w:t xml:space="preserve"> </w:t>
      </w:r>
      <w:r>
        <w:rPr>
          <w:rFonts w:hint="cs"/>
          <w:rtl/>
        </w:rPr>
        <w:t>וז"ל-</w:t>
      </w:r>
      <w:r w:rsidRPr="008006DC">
        <w:rPr>
          <w:rFonts w:cs="Arial"/>
          <w:rtl/>
        </w:rPr>
        <w:t xml:space="preserve"> </w:t>
      </w:r>
      <w:r w:rsidRPr="00384843">
        <w:rPr>
          <w:rFonts w:cs="Arial"/>
          <w:rtl/>
        </w:rPr>
        <w:t>מי שנתחייב לחבירו שבועה בב"ד בין שאמר תובע לנתבע השבע לי בחיי ראשך והפטר או שאמר נתבע לתובע השבע לי בחיי ראשך ואתן לך</w:t>
      </w:r>
      <w:r w:rsidRPr="00384843">
        <w:rPr>
          <w:rFonts w:cs="Arial" w:hint="cs"/>
          <w:rtl/>
        </w:rPr>
        <w:t>,</w:t>
      </w:r>
      <w:r w:rsidRPr="00384843">
        <w:rPr>
          <w:rFonts w:cs="Arial"/>
          <w:rtl/>
        </w:rPr>
        <w:t xml:space="preserve"> לא קנו מידו </w:t>
      </w:r>
      <w:r w:rsidRPr="00384843">
        <w:rPr>
          <w:rFonts w:cs="Arial" w:hint="cs"/>
          <w:rtl/>
        </w:rPr>
        <w:t xml:space="preserve">- </w:t>
      </w:r>
      <w:r w:rsidRPr="00384843">
        <w:rPr>
          <w:rFonts w:cs="Arial"/>
          <w:rtl/>
        </w:rPr>
        <w:t>יכול לחזור בו כל זמן שלא נשבע</w:t>
      </w:r>
      <w:r w:rsidRPr="00384843">
        <w:rPr>
          <w:rFonts w:cs="Arial" w:hint="cs"/>
          <w:rtl/>
        </w:rPr>
        <w:t>,</w:t>
      </w:r>
      <w:r w:rsidRPr="00384843">
        <w:rPr>
          <w:rFonts w:cs="Arial"/>
          <w:rtl/>
        </w:rPr>
        <w:t xml:space="preserve"> נשבע </w:t>
      </w:r>
      <w:r w:rsidRPr="00384843">
        <w:rPr>
          <w:rFonts w:cs="Arial" w:hint="cs"/>
          <w:rtl/>
        </w:rPr>
        <w:t xml:space="preserve">- </w:t>
      </w:r>
      <w:r w:rsidRPr="00384843">
        <w:rPr>
          <w:rFonts w:cs="Arial"/>
          <w:rtl/>
        </w:rPr>
        <w:t>אינו יכול לחזור בו</w:t>
      </w:r>
      <w:r>
        <w:rPr>
          <w:rFonts w:cs="Arial" w:hint="cs"/>
          <w:rtl/>
        </w:rPr>
        <w:t>.</w:t>
      </w:r>
    </w:p>
  </w:footnote>
  <w:footnote w:id="1123">
    <w:p w14:paraId="01617777" w14:textId="77777777" w:rsidR="0013116F" w:rsidRDefault="0013116F" w:rsidP="004E5AF3">
      <w:pPr>
        <w:pStyle w:val="a9"/>
      </w:pPr>
      <w:r>
        <w:rPr>
          <w:rStyle w:val="ab"/>
        </w:rPr>
        <w:footnoteRef/>
      </w:r>
      <w:r>
        <w:rPr>
          <w:rtl/>
        </w:rPr>
        <w:t xml:space="preserve"> </w:t>
      </w:r>
      <w:r w:rsidRPr="004E5AF3">
        <w:rPr>
          <w:rFonts w:cs="Arial"/>
          <w:rtl/>
        </w:rPr>
        <w:t>ר</w:t>
      </w:r>
      <w:r>
        <w:rPr>
          <w:rFonts w:cs="Arial" w:hint="cs"/>
          <w:rtl/>
        </w:rPr>
        <w:t>"</w:t>
      </w:r>
      <w:r w:rsidRPr="004E5AF3">
        <w:rPr>
          <w:rFonts w:cs="Arial"/>
          <w:rtl/>
        </w:rPr>
        <w:t xml:space="preserve">ת </w:t>
      </w:r>
      <w:r>
        <w:rPr>
          <w:rFonts w:cs="Arial" w:hint="cs"/>
          <w:sz w:val="16"/>
          <w:szCs w:val="16"/>
          <w:rtl/>
        </w:rPr>
        <w:t>{וכן הרמב"ם וסיעתו}</w:t>
      </w:r>
      <w:r>
        <w:rPr>
          <w:rFonts w:cs="Arial" w:hint="cs"/>
          <w:rtl/>
        </w:rPr>
        <w:t xml:space="preserve"> </w:t>
      </w:r>
      <w:r w:rsidRPr="004E5AF3">
        <w:rPr>
          <w:rFonts w:cs="Arial"/>
          <w:rtl/>
        </w:rPr>
        <w:t xml:space="preserve">גורס </w:t>
      </w:r>
      <w:r w:rsidRPr="00394300">
        <w:rPr>
          <w:rFonts w:cs="Arial" w:hint="cs"/>
          <w:b/>
          <w:bCs/>
          <w:rtl/>
        </w:rPr>
        <w:t>'</w:t>
      </w:r>
      <w:r w:rsidRPr="00394300">
        <w:rPr>
          <w:rFonts w:cs="Arial"/>
          <w:b/>
          <w:bCs/>
          <w:rtl/>
        </w:rPr>
        <w:t>ונשבע</w:t>
      </w:r>
      <w:r w:rsidRPr="004E5AF3">
        <w:rPr>
          <w:rFonts w:cs="Arial"/>
          <w:rtl/>
        </w:rPr>
        <w:t xml:space="preserve"> אינו יכול לחזור בו</w:t>
      </w:r>
      <w:r>
        <w:rPr>
          <w:rFonts w:cs="Arial" w:hint="cs"/>
          <w:rtl/>
        </w:rPr>
        <w:t>',</w:t>
      </w:r>
      <w:r w:rsidRPr="004E5AF3">
        <w:rPr>
          <w:rFonts w:cs="Arial"/>
          <w:rtl/>
        </w:rPr>
        <w:t xml:space="preserve"> אבל קודם לכן אע</w:t>
      </w:r>
      <w:r>
        <w:rPr>
          <w:rFonts w:cs="Arial" w:hint="cs"/>
          <w:rtl/>
        </w:rPr>
        <w:t>"</w:t>
      </w:r>
      <w:r w:rsidRPr="004E5AF3">
        <w:rPr>
          <w:rFonts w:cs="Arial"/>
          <w:rtl/>
        </w:rPr>
        <w:t>פ שקבל עליו בבית דין יכול לחזור בו</w:t>
      </w:r>
      <w:r>
        <w:rPr>
          <w:rFonts w:cs="Arial" w:hint="cs"/>
          <w:rtl/>
        </w:rPr>
        <w:t>,</w:t>
      </w:r>
      <w:r w:rsidRPr="004E5AF3">
        <w:rPr>
          <w:rFonts w:cs="Arial"/>
          <w:rtl/>
        </w:rPr>
        <w:t xml:space="preserve"> ולפי זה משום הכי אמרינן הכא פוטרין אותו מיד</w:t>
      </w:r>
      <w:r>
        <w:rPr>
          <w:rFonts w:cs="Arial" w:hint="cs"/>
          <w:rtl/>
        </w:rPr>
        <w:t>,</w:t>
      </w:r>
      <w:r w:rsidRPr="004E5AF3">
        <w:rPr>
          <w:rFonts w:cs="Arial"/>
          <w:rtl/>
        </w:rPr>
        <w:t xml:space="preserve"> כדי שלא יחזור בו</w:t>
      </w:r>
      <w:r>
        <w:rPr>
          <w:rFonts w:cs="Arial" w:hint="cs"/>
          <w:rtl/>
        </w:rPr>
        <w:t>,</w:t>
      </w:r>
      <w:r w:rsidRPr="004E5AF3">
        <w:rPr>
          <w:rFonts w:cs="Arial"/>
          <w:rtl/>
        </w:rPr>
        <w:t xml:space="preserve"> אבל רצה לחזור בו חוזר</w:t>
      </w:r>
      <w:r>
        <w:rPr>
          <w:rFonts w:cs="Arial" w:hint="cs"/>
          <w:rtl/>
        </w:rPr>
        <w:t>, ר"ן.</w:t>
      </w:r>
    </w:p>
  </w:footnote>
  <w:footnote w:id="1124">
    <w:p w14:paraId="1330B805" w14:textId="77777777" w:rsidR="0013116F" w:rsidRPr="004E5AF3" w:rsidRDefault="0013116F">
      <w:pPr>
        <w:pStyle w:val="a9"/>
        <w:rPr>
          <w:rtl/>
        </w:rPr>
      </w:pPr>
      <w:r>
        <w:rPr>
          <w:rStyle w:val="ab"/>
        </w:rPr>
        <w:footnoteRef/>
      </w:r>
      <w:r>
        <w:rPr>
          <w:rtl/>
        </w:rPr>
        <w:t xml:space="preserve"> </w:t>
      </w:r>
      <w:r>
        <w:rPr>
          <w:rFonts w:hint="cs"/>
          <w:rtl/>
        </w:rPr>
        <w:t xml:space="preserve">כ"כ </w:t>
      </w:r>
      <w:r>
        <w:rPr>
          <w:rFonts w:cs="Arial" w:hint="cs"/>
          <w:rtl/>
        </w:rPr>
        <w:t>ה</w:t>
      </w:r>
      <w:r w:rsidRPr="004D4602">
        <w:rPr>
          <w:rFonts w:cs="Arial"/>
          <w:rtl/>
        </w:rPr>
        <w:t>נמוק</w:t>
      </w:r>
      <w:r>
        <w:rPr>
          <w:rFonts w:cs="Arial" w:hint="cs"/>
          <w:rtl/>
        </w:rPr>
        <w:t>"</w:t>
      </w:r>
      <w:r w:rsidRPr="004D4602">
        <w:rPr>
          <w:rFonts w:cs="Arial"/>
          <w:rtl/>
        </w:rPr>
        <w:t xml:space="preserve">י </w:t>
      </w:r>
      <w:r w:rsidRPr="005D2595">
        <w:rPr>
          <w:rFonts w:cs="Arial" w:hint="cs"/>
          <w:sz w:val="16"/>
          <w:szCs w:val="16"/>
          <w:rtl/>
        </w:rPr>
        <w:t>(</w:t>
      </w:r>
      <w:r w:rsidRPr="005D2595">
        <w:rPr>
          <w:rFonts w:cs="Arial"/>
          <w:sz w:val="16"/>
          <w:szCs w:val="16"/>
          <w:rtl/>
        </w:rPr>
        <w:t>פ</w:t>
      </w:r>
      <w:r w:rsidRPr="005D2595">
        <w:rPr>
          <w:rFonts w:cs="Arial" w:hint="cs"/>
          <w:sz w:val="16"/>
          <w:szCs w:val="16"/>
          <w:rtl/>
        </w:rPr>
        <w:t>'</w:t>
      </w:r>
      <w:r w:rsidRPr="005D2595">
        <w:rPr>
          <w:rFonts w:cs="Arial"/>
          <w:sz w:val="16"/>
          <w:szCs w:val="16"/>
          <w:rtl/>
        </w:rPr>
        <w:t xml:space="preserve"> זה בורר ד. ד"ה אמר)</w:t>
      </w:r>
      <w:r>
        <w:rPr>
          <w:rFonts w:cs="Arial" w:hint="cs"/>
          <w:rtl/>
        </w:rPr>
        <w:t xml:space="preserve"> ש</w:t>
      </w:r>
      <w:r w:rsidRPr="004D4602">
        <w:rPr>
          <w:rFonts w:cs="Arial"/>
          <w:rtl/>
        </w:rPr>
        <w:t>משמע לאחרונים</w:t>
      </w:r>
      <w:r>
        <w:rPr>
          <w:rFonts w:cs="Arial" w:hint="cs"/>
          <w:rtl/>
        </w:rPr>
        <w:t xml:space="preserve"> מדברי הרי"ף.</w:t>
      </w:r>
      <w:r>
        <w:rPr>
          <w:rFonts w:hint="cs"/>
          <w:rtl/>
        </w:rPr>
        <w:t xml:space="preserve"> וכ"כ הר"ן בשמו </w:t>
      </w:r>
      <w:r w:rsidRPr="00A50EA4">
        <w:rPr>
          <w:rFonts w:cs="Arial"/>
          <w:sz w:val="16"/>
          <w:szCs w:val="16"/>
          <w:rtl/>
        </w:rPr>
        <w:t>(ר</w:t>
      </w:r>
      <w:r w:rsidRPr="00A50EA4">
        <w:rPr>
          <w:rFonts w:cs="Arial" w:hint="cs"/>
          <w:sz w:val="16"/>
          <w:szCs w:val="16"/>
          <w:rtl/>
        </w:rPr>
        <w:t>"</w:t>
      </w:r>
      <w:r w:rsidRPr="00A50EA4">
        <w:rPr>
          <w:rFonts w:cs="Arial"/>
          <w:sz w:val="16"/>
          <w:szCs w:val="16"/>
          <w:rtl/>
        </w:rPr>
        <w:t>פ המפקיד חי' לד: ד"ה חזר)</w:t>
      </w:r>
      <w:r>
        <w:rPr>
          <w:rFonts w:cs="Arial" w:hint="cs"/>
          <w:rtl/>
        </w:rPr>
        <w:t>.</w:t>
      </w:r>
    </w:p>
  </w:footnote>
  <w:footnote w:id="1125">
    <w:p w14:paraId="4F105C9A" w14:textId="77777777" w:rsidR="0013116F" w:rsidRDefault="0013116F">
      <w:pPr>
        <w:pStyle w:val="a9"/>
        <w:rPr>
          <w:rtl/>
        </w:rPr>
      </w:pPr>
      <w:r>
        <w:rPr>
          <w:rStyle w:val="ab"/>
        </w:rPr>
        <w:footnoteRef/>
      </w:r>
      <w:r>
        <w:rPr>
          <w:rtl/>
        </w:rPr>
        <w:t xml:space="preserve"> </w:t>
      </w:r>
      <w:r>
        <w:rPr>
          <w:rFonts w:cs="Arial" w:hint="cs"/>
          <w:rtl/>
        </w:rPr>
        <w:t xml:space="preserve">אך </w:t>
      </w:r>
      <w:r w:rsidRPr="00322162">
        <w:rPr>
          <w:rFonts w:cs="Arial" w:hint="cs"/>
          <w:rtl/>
        </w:rPr>
        <w:t xml:space="preserve">רי"ו </w:t>
      </w:r>
      <w:r>
        <w:rPr>
          <w:rFonts w:cs="Arial" w:hint="cs"/>
          <w:sz w:val="16"/>
          <w:szCs w:val="16"/>
          <w:rtl/>
        </w:rPr>
        <w:t>(</w:t>
      </w:r>
      <w:r w:rsidRPr="002C300A">
        <w:rPr>
          <w:rFonts w:cs="Arial"/>
          <w:sz w:val="16"/>
          <w:szCs w:val="16"/>
          <w:rtl/>
        </w:rPr>
        <w:t>נ</w:t>
      </w:r>
      <w:r w:rsidRPr="002C300A">
        <w:rPr>
          <w:rFonts w:cs="Arial" w:hint="cs"/>
          <w:sz w:val="16"/>
          <w:szCs w:val="16"/>
          <w:rtl/>
        </w:rPr>
        <w:t>"</w:t>
      </w:r>
      <w:r w:rsidRPr="002C300A">
        <w:rPr>
          <w:rFonts w:cs="Arial"/>
          <w:sz w:val="16"/>
          <w:szCs w:val="16"/>
          <w:rtl/>
        </w:rPr>
        <w:t>ג ח"ג יז ע"</w:t>
      </w:r>
      <w:r>
        <w:rPr>
          <w:rFonts w:cs="Arial" w:hint="cs"/>
          <w:sz w:val="16"/>
          <w:szCs w:val="16"/>
          <w:rtl/>
        </w:rPr>
        <w:t>ג)</w:t>
      </w:r>
      <w:r>
        <w:rPr>
          <w:rFonts w:cs="Arial" w:hint="cs"/>
          <w:rtl/>
        </w:rPr>
        <w:t xml:space="preserve"> הבין שלדעת רש"י </w:t>
      </w:r>
      <w:r w:rsidRPr="002C300A">
        <w:rPr>
          <w:rFonts w:cs="Arial"/>
          <w:rtl/>
        </w:rPr>
        <w:t>כל זמן שלא יצא מבית דין יכול לחזור</w:t>
      </w:r>
      <w:r>
        <w:rPr>
          <w:rFonts w:cs="Arial" w:hint="cs"/>
          <w:rtl/>
        </w:rPr>
        <w:t xml:space="preserve">. וכתב הדרכ"מ </w:t>
      </w:r>
      <w:r w:rsidRPr="009E27FD">
        <w:rPr>
          <w:rFonts w:cs="Arial"/>
          <w:rtl/>
        </w:rPr>
        <w:t>(</w:t>
      </w:r>
      <w:r>
        <w:rPr>
          <w:rFonts w:cs="Arial" w:hint="cs"/>
          <w:rtl/>
        </w:rPr>
        <w:t>אות ג</w:t>
      </w:r>
      <w:r w:rsidRPr="009E27FD">
        <w:rPr>
          <w:rFonts w:cs="Arial"/>
          <w:rtl/>
        </w:rPr>
        <w:t>****)</w:t>
      </w:r>
      <w:r>
        <w:rPr>
          <w:rFonts w:cs="Arial" w:hint="cs"/>
          <w:rtl/>
        </w:rPr>
        <w:t xml:space="preserve"> ד</w:t>
      </w:r>
      <w:r w:rsidRPr="009E27FD">
        <w:rPr>
          <w:rFonts w:cs="Arial"/>
          <w:rtl/>
        </w:rPr>
        <w:t>כן נראה דעת הרא"ש דלא חילק</w:t>
      </w:r>
      <w:r>
        <w:rPr>
          <w:rFonts w:cs="Arial" w:hint="cs"/>
          <w:rtl/>
        </w:rPr>
        <w:t xml:space="preserve">. </w:t>
      </w:r>
      <w:r w:rsidRPr="00322162">
        <w:rPr>
          <w:rFonts w:cs="Arial" w:hint="cs"/>
          <w:sz w:val="16"/>
          <w:szCs w:val="16"/>
          <w:rtl/>
        </w:rPr>
        <w:t>(נראה לי דרצ</w:t>
      </w:r>
      <w:r>
        <w:rPr>
          <w:rFonts w:cs="Arial" w:hint="cs"/>
          <w:sz w:val="16"/>
          <w:szCs w:val="16"/>
          <w:rtl/>
        </w:rPr>
        <w:t>ון</w:t>
      </w:r>
      <w:r w:rsidRPr="00322162">
        <w:rPr>
          <w:rFonts w:cs="Arial" w:hint="cs"/>
          <w:sz w:val="16"/>
          <w:szCs w:val="16"/>
          <w:rtl/>
        </w:rPr>
        <w:t xml:space="preserve"> הדרכ"מ לומר שגם הרא"ש</w:t>
      </w:r>
      <w:r w:rsidRPr="00322162">
        <w:rPr>
          <w:rFonts w:cs="Arial" w:hint="cs"/>
          <w:color w:val="000000" w:themeColor="text1"/>
          <w:sz w:val="16"/>
          <w:szCs w:val="16"/>
          <w:rtl/>
        </w:rPr>
        <w:t xml:space="preserve"> הבין כן בדעת רש"י, דכן משמע מדבריו שהובאו לקמן</w:t>
      </w:r>
      <w:r>
        <w:rPr>
          <w:rFonts w:cs="Arial" w:hint="cs"/>
          <w:color w:val="000000" w:themeColor="text1"/>
          <w:rtl/>
        </w:rPr>
        <w:t xml:space="preserve"> </w:t>
      </w:r>
      <w:r>
        <w:rPr>
          <w:rFonts w:cs="Arial" w:hint="cs"/>
          <w:color w:val="000000" w:themeColor="text1"/>
          <w:sz w:val="16"/>
          <w:szCs w:val="16"/>
          <w:rtl/>
        </w:rPr>
        <w:t>[</w:t>
      </w:r>
      <w:r w:rsidRPr="00322162">
        <w:rPr>
          <w:rFonts w:cs="Arial" w:hint="cs"/>
          <w:color w:val="000000" w:themeColor="text1"/>
          <w:sz w:val="16"/>
          <w:szCs w:val="16"/>
          <w:rtl/>
        </w:rPr>
        <w:t>וז"ל הרא"ש</w:t>
      </w:r>
      <w:r w:rsidRPr="00322162">
        <w:rPr>
          <w:rFonts w:cs="Arial" w:hint="cs"/>
          <w:sz w:val="16"/>
          <w:szCs w:val="16"/>
          <w:rtl/>
        </w:rPr>
        <w:t xml:space="preserve"> </w:t>
      </w:r>
      <w:r>
        <w:rPr>
          <w:rFonts w:cs="Arial" w:hint="cs"/>
          <w:sz w:val="14"/>
          <w:szCs w:val="14"/>
          <w:rtl/>
        </w:rPr>
        <w:t>(</w:t>
      </w:r>
      <w:r w:rsidRPr="00322162">
        <w:rPr>
          <w:rFonts w:cs="Arial" w:hint="cs"/>
          <w:sz w:val="14"/>
          <w:szCs w:val="14"/>
          <w:rtl/>
        </w:rPr>
        <w:t xml:space="preserve">פ' זה בורר </w:t>
      </w:r>
      <w:r w:rsidRPr="00322162">
        <w:rPr>
          <w:rFonts w:cs="Arial"/>
          <w:sz w:val="14"/>
          <w:szCs w:val="14"/>
          <w:rtl/>
        </w:rPr>
        <w:t>סי' ה-ו</w:t>
      </w:r>
      <w:r>
        <w:rPr>
          <w:rFonts w:cs="Arial" w:hint="cs"/>
          <w:sz w:val="14"/>
          <w:szCs w:val="14"/>
          <w:rtl/>
        </w:rPr>
        <w:t>)</w:t>
      </w:r>
      <w:r w:rsidRPr="00322162">
        <w:rPr>
          <w:rFonts w:cs="Arial" w:hint="cs"/>
          <w:color w:val="000000" w:themeColor="text1"/>
          <w:sz w:val="16"/>
          <w:szCs w:val="16"/>
          <w:rtl/>
        </w:rPr>
        <w:t>-</w:t>
      </w:r>
      <w:r w:rsidRPr="00322162">
        <w:rPr>
          <w:rFonts w:cs="Arial"/>
          <w:sz w:val="16"/>
          <w:szCs w:val="16"/>
          <w:rtl/>
        </w:rPr>
        <w:t xml:space="preserve"> מתוך פירוש רש"י דהתם משמע דאחר שיצא מלפני בית דין אין יכול לחזור בו ומה שקבל עליו בפני בית דין ונפטר מלפניהם בלא חזרה הוי כגמר דין ומסתבר הכי</w:t>
      </w:r>
      <w:r>
        <w:rPr>
          <w:rFonts w:cs="Arial" w:hint="cs"/>
          <w:sz w:val="16"/>
          <w:szCs w:val="16"/>
          <w:rtl/>
        </w:rPr>
        <w:t>]</w:t>
      </w:r>
      <w:r w:rsidRPr="00322162">
        <w:rPr>
          <w:rFonts w:cs="Arial" w:hint="cs"/>
          <w:sz w:val="16"/>
          <w:szCs w:val="16"/>
          <w:rtl/>
        </w:rPr>
        <w:t>)</w:t>
      </w:r>
      <w:r w:rsidRPr="00322162">
        <w:rPr>
          <w:rFonts w:cs="Arial" w:hint="cs"/>
          <w:color w:val="000000" w:themeColor="text1"/>
          <w:rtl/>
        </w:rPr>
        <w:t>.</w:t>
      </w:r>
    </w:p>
  </w:footnote>
  <w:footnote w:id="1126">
    <w:p w14:paraId="41BD5B8C" w14:textId="77777777" w:rsidR="0013116F" w:rsidRDefault="0013116F" w:rsidP="00304869">
      <w:pPr>
        <w:pStyle w:val="a9"/>
        <w:rPr>
          <w:rtl/>
        </w:rPr>
      </w:pPr>
      <w:r>
        <w:rPr>
          <w:rStyle w:val="ab"/>
        </w:rPr>
        <w:footnoteRef/>
      </w:r>
      <w:r>
        <w:rPr>
          <w:rtl/>
        </w:rPr>
        <w:t xml:space="preserve"> </w:t>
      </w:r>
      <w:r>
        <w:rPr>
          <w:rFonts w:hint="cs"/>
          <w:rtl/>
        </w:rPr>
        <w:t>וז"ל הריב"ש-</w:t>
      </w:r>
      <w:r w:rsidRPr="00A50EA4">
        <w:rPr>
          <w:rFonts w:cs="Arial"/>
          <w:rtl/>
        </w:rPr>
        <w:t xml:space="preserve"> </w:t>
      </w:r>
      <w:r w:rsidRPr="002C300A">
        <w:rPr>
          <w:rFonts w:cs="Arial"/>
          <w:rtl/>
        </w:rPr>
        <w:t xml:space="preserve">כשהאמין בעל דבר עצמו אפילו קודם שנשבע אינו יכול לחזור בו שמיד שאמר לו בפני בית דין רצונך השבע וטול וקבל עליו זה להשבע הוי כגמר דין שיטול זה בשבועה כמו שהסכימו גדולי האחרונים הרמב"ן </w:t>
      </w:r>
      <w:r w:rsidRPr="002B48D5">
        <w:rPr>
          <w:rFonts w:cs="Arial"/>
          <w:sz w:val="16"/>
          <w:szCs w:val="16"/>
          <w:rtl/>
        </w:rPr>
        <w:t>(ב"מ לד. ד"ה אלא, ב"ב קכח. ד"ה הכי</w:t>
      </w:r>
      <w:r w:rsidRPr="002B48D5">
        <w:rPr>
          <w:rFonts w:cs="Arial"/>
          <w:sz w:val="14"/>
          <w:szCs w:val="14"/>
          <w:rtl/>
        </w:rPr>
        <w:t>)</w:t>
      </w:r>
      <w:r w:rsidRPr="002C300A">
        <w:rPr>
          <w:rFonts w:cs="Arial"/>
          <w:rtl/>
        </w:rPr>
        <w:t xml:space="preserve"> והרשב"א </w:t>
      </w:r>
      <w:r w:rsidRPr="002B48D5">
        <w:rPr>
          <w:rFonts w:cs="Arial"/>
          <w:sz w:val="16"/>
          <w:szCs w:val="16"/>
          <w:rtl/>
        </w:rPr>
        <w:t xml:space="preserve">(ב"מ לד. ד"ה אמר, ב"ב קכח. ד"ה גרסת) </w:t>
      </w:r>
      <w:r w:rsidRPr="002C300A">
        <w:rPr>
          <w:rFonts w:cs="Arial"/>
          <w:rtl/>
        </w:rPr>
        <w:t xml:space="preserve">וגרסינן שם </w:t>
      </w:r>
      <w:r w:rsidRPr="00183806">
        <w:rPr>
          <w:rFonts w:cs="Arial" w:hint="cs"/>
          <w:b/>
          <w:bCs/>
          <w:rtl/>
        </w:rPr>
        <w:t>'</w:t>
      </w:r>
      <w:r w:rsidRPr="00183806">
        <w:rPr>
          <w:rFonts w:cs="Arial"/>
          <w:b/>
          <w:bCs/>
          <w:rtl/>
        </w:rPr>
        <w:t>נשבע</w:t>
      </w:r>
      <w:r w:rsidRPr="002C300A">
        <w:rPr>
          <w:rFonts w:cs="Arial"/>
          <w:rtl/>
        </w:rPr>
        <w:t xml:space="preserve"> </w:t>
      </w:r>
      <w:r w:rsidRPr="002E4FCB">
        <w:rPr>
          <w:rFonts w:cs="Arial"/>
          <w:b/>
          <w:bCs/>
          <w:rtl/>
        </w:rPr>
        <w:t>ואינו</w:t>
      </w:r>
      <w:r w:rsidRPr="002C300A">
        <w:rPr>
          <w:rFonts w:cs="Arial"/>
          <w:rtl/>
        </w:rPr>
        <w:t xml:space="preserve"> יכול לחזור בו</w:t>
      </w:r>
      <w:r>
        <w:rPr>
          <w:rFonts w:cs="Arial" w:hint="cs"/>
          <w:rtl/>
        </w:rPr>
        <w:t>',</w:t>
      </w:r>
      <w:r w:rsidRPr="002C300A">
        <w:rPr>
          <w:rFonts w:cs="Arial"/>
          <w:rtl/>
        </w:rPr>
        <w:t xml:space="preserve"> שלא כדברי הרמב"ם.</w:t>
      </w:r>
    </w:p>
  </w:footnote>
  <w:footnote w:id="1127">
    <w:p w14:paraId="186DD2B1" w14:textId="77777777" w:rsidR="0013116F" w:rsidRDefault="0013116F">
      <w:pPr>
        <w:pStyle w:val="a9"/>
        <w:rPr>
          <w:rtl/>
        </w:rPr>
      </w:pPr>
      <w:r>
        <w:rPr>
          <w:rStyle w:val="ab"/>
        </w:rPr>
        <w:footnoteRef/>
      </w:r>
      <w:r>
        <w:rPr>
          <w:rtl/>
        </w:rPr>
        <w:t xml:space="preserve"> </w:t>
      </w:r>
      <w:r w:rsidRPr="00A50EA4">
        <w:rPr>
          <w:rFonts w:cs="Arial"/>
          <w:rtl/>
        </w:rPr>
        <w:t xml:space="preserve">רי"ף </w:t>
      </w:r>
      <w:r w:rsidRPr="00A50EA4">
        <w:rPr>
          <w:rFonts w:cs="Arial"/>
          <w:sz w:val="16"/>
          <w:szCs w:val="16"/>
          <w:rtl/>
        </w:rPr>
        <w:t>(ב"ב נו:</w:t>
      </w:r>
      <w:r>
        <w:rPr>
          <w:rFonts w:cs="Arial" w:hint="cs"/>
          <w:sz w:val="16"/>
          <w:szCs w:val="16"/>
          <w:rtl/>
        </w:rPr>
        <w:t>)</w:t>
      </w:r>
      <w:r w:rsidRPr="00A50EA4">
        <w:rPr>
          <w:rFonts w:cs="Arial"/>
          <w:rtl/>
        </w:rPr>
        <w:t xml:space="preserve"> </w:t>
      </w:r>
      <w:r w:rsidRPr="00A50EA4">
        <w:rPr>
          <w:rFonts w:cs="Arial" w:hint="cs"/>
          <w:rtl/>
        </w:rPr>
        <w:t xml:space="preserve">(רש"י </w:t>
      </w:r>
      <w:r w:rsidRPr="00A50EA4">
        <w:rPr>
          <w:rFonts w:cs="Arial" w:hint="cs"/>
          <w:sz w:val="16"/>
          <w:szCs w:val="16"/>
          <w:rtl/>
        </w:rPr>
        <w:t>[שבועות לט. ד"ה פוטרין] להב' הר"ן</w:t>
      </w:r>
      <w:r w:rsidRPr="00A50EA4">
        <w:rPr>
          <w:rFonts w:cs="Arial" w:hint="cs"/>
          <w:rtl/>
        </w:rPr>
        <w:t xml:space="preserve">) </w:t>
      </w:r>
      <w:r w:rsidRPr="00A50EA4">
        <w:rPr>
          <w:rFonts w:cs="Arial"/>
          <w:rtl/>
        </w:rPr>
        <w:t xml:space="preserve">רמב"ן </w:t>
      </w:r>
      <w:r w:rsidRPr="00A50EA4">
        <w:rPr>
          <w:rFonts w:cs="Arial"/>
          <w:sz w:val="16"/>
          <w:szCs w:val="16"/>
          <w:rtl/>
        </w:rPr>
        <w:t>(ב"מ לד. ד"ה אלא, ב"ב קכח. ד"ה הכי</w:t>
      </w:r>
      <w:r w:rsidRPr="00A50EA4">
        <w:rPr>
          <w:rFonts w:cs="Arial"/>
          <w:sz w:val="14"/>
          <w:szCs w:val="14"/>
          <w:rtl/>
        </w:rPr>
        <w:t>)</w:t>
      </w:r>
      <w:r w:rsidRPr="00A50EA4">
        <w:rPr>
          <w:rFonts w:cs="Arial"/>
          <w:rtl/>
        </w:rPr>
        <w:t xml:space="preserve"> רשב"א </w:t>
      </w:r>
      <w:r w:rsidRPr="00A50EA4">
        <w:rPr>
          <w:rFonts w:cs="Arial"/>
          <w:sz w:val="16"/>
          <w:szCs w:val="16"/>
          <w:rtl/>
        </w:rPr>
        <w:t xml:space="preserve">(ב"מ לד. ד"ה אמר, ב"ב קכח. ד"ה גרסת) </w:t>
      </w:r>
      <w:r w:rsidRPr="00A50EA4">
        <w:rPr>
          <w:rFonts w:cs="Arial"/>
          <w:rtl/>
        </w:rPr>
        <w:t xml:space="preserve">ר"ן </w:t>
      </w:r>
      <w:r w:rsidRPr="00A50EA4">
        <w:rPr>
          <w:rFonts w:cs="Arial"/>
          <w:sz w:val="16"/>
          <w:szCs w:val="16"/>
          <w:rtl/>
        </w:rPr>
        <w:t>(ר</w:t>
      </w:r>
      <w:r w:rsidRPr="00A50EA4">
        <w:rPr>
          <w:rFonts w:cs="Arial" w:hint="cs"/>
          <w:sz w:val="16"/>
          <w:szCs w:val="16"/>
          <w:rtl/>
        </w:rPr>
        <w:t>"</w:t>
      </w:r>
      <w:r w:rsidRPr="00A50EA4">
        <w:rPr>
          <w:rFonts w:cs="Arial"/>
          <w:sz w:val="16"/>
          <w:szCs w:val="16"/>
          <w:rtl/>
        </w:rPr>
        <w:t xml:space="preserve">פ המפקיד חי' לד: ד"ה חזר) </w:t>
      </w:r>
      <w:r w:rsidRPr="00A50EA4">
        <w:rPr>
          <w:rFonts w:cs="Arial"/>
          <w:rtl/>
        </w:rPr>
        <w:t>נמוק</w:t>
      </w:r>
      <w:r w:rsidRPr="00A50EA4">
        <w:rPr>
          <w:rFonts w:cs="Arial" w:hint="cs"/>
          <w:rtl/>
        </w:rPr>
        <w:t>"</w:t>
      </w:r>
      <w:r w:rsidRPr="00A50EA4">
        <w:rPr>
          <w:rFonts w:cs="Arial"/>
          <w:rtl/>
        </w:rPr>
        <w:t xml:space="preserve">י </w:t>
      </w:r>
      <w:r w:rsidRPr="00A50EA4">
        <w:rPr>
          <w:rFonts w:cs="Arial"/>
          <w:sz w:val="16"/>
          <w:szCs w:val="16"/>
          <w:rtl/>
        </w:rPr>
        <w:t>(ר</w:t>
      </w:r>
      <w:r w:rsidRPr="00A50EA4">
        <w:rPr>
          <w:rFonts w:cs="Arial" w:hint="cs"/>
          <w:sz w:val="16"/>
          <w:szCs w:val="16"/>
          <w:rtl/>
        </w:rPr>
        <w:t>"</w:t>
      </w:r>
      <w:r w:rsidRPr="00A50EA4">
        <w:rPr>
          <w:rFonts w:cs="Arial"/>
          <w:sz w:val="16"/>
          <w:szCs w:val="16"/>
          <w:rtl/>
        </w:rPr>
        <w:t>פ המפקיד יח: ד"ה גמ' פשיטא)</w:t>
      </w:r>
      <w:r w:rsidRPr="00A50EA4">
        <w:rPr>
          <w:rFonts w:cs="Arial"/>
          <w:rtl/>
        </w:rPr>
        <w:t xml:space="preserve"> </w:t>
      </w:r>
      <w:r>
        <w:rPr>
          <w:rFonts w:cs="Arial" w:hint="cs"/>
          <w:rtl/>
        </w:rPr>
        <w:t>ו</w:t>
      </w:r>
      <w:r w:rsidRPr="00A50EA4">
        <w:rPr>
          <w:rFonts w:cs="Arial"/>
          <w:rtl/>
        </w:rPr>
        <w:t xml:space="preserve">ריב"ש </w:t>
      </w:r>
      <w:r w:rsidRPr="00A50EA4">
        <w:rPr>
          <w:rFonts w:cs="Arial" w:hint="cs"/>
          <w:sz w:val="14"/>
          <w:szCs w:val="14"/>
          <w:rtl/>
        </w:rPr>
        <w:t>(</w:t>
      </w:r>
      <w:r w:rsidRPr="00A50EA4">
        <w:rPr>
          <w:rFonts w:cs="Arial"/>
          <w:sz w:val="14"/>
          <w:szCs w:val="14"/>
          <w:rtl/>
        </w:rPr>
        <w:t>סי</w:t>
      </w:r>
      <w:r w:rsidRPr="00A50EA4">
        <w:rPr>
          <w:rFonts w:cs="Arial" w:hint="cs"/>
          <w:sz w:val="14"/>
          <w:szCs w:val="14"/>
          <w:rtl/>
        </w:rPr>
        <w:t>'</w:t>
      </w:r>
      <w:r w:rsidRPr="00A50EA4">
        <w:rPr>
          <w:rFonts w:cs="Arial"/>
          <w:sz w:val="14"/>
          <w:szCs w:val="14"/>
          <w:rtl/>
        </w:rPr>
        <w:t xml:space="preserve"> תצ</w:t>
      </w:r>
      <w:r w:rsidRPr="00A50EA4">
        <w:rPr>
          <w:rFonts w:cs="Arial" w:hint="cs"/>
          <w:sz w:val="14"/>
          <w:szCs w:val="14"/>
          <w:rtl/>
        </w:rPr>
        <w:t>)</w:t>
      </w:r>
      <w:r>
        <w:rPr>
          <w:rFonts w:hint="cs"/>
          <w:rtl/>
        </w:rPr>
        <w:t>.</w:t>
      </w:r>
    </w:p>
  </w:footnote>
  <w:footnote w:id="1128">
    <w:p w14:paraId="4838990E" w14:textId="77777777" w:rsidR="0013116F" w:rsidRDefault="0013116F" w:rsidP="00A5530C">
      <w:pPr>
        <w:pStyle w:val="a9"/>
        <w:rPr>
          <w:rtl/>
        </w:rPr>
      </w:pPr>
      <w:r>
        <w:rPr>
          <w:rStyle w:val="ab"/>
        </w:rPr>
        <w:footnoteRef/>
      </w:r>
      <w:r>
        <w:rPr>
          <w:rtl/>
        </w:rPr>
        <w:t xml:space="preserve"> </w:t>
      </w:r>
      <w:r>
        <w:rPr>
          <w:rFonts w:hint="cs"/>
          <w:rtl/>
        </w:rPr>
        <w:t>כתבו הר"ן (פ' המפקיד) והנמוק"י-</w:t>
      </w:r>
      <w:r>
        <w:rPr>
          <w:rFonts w:cs="Arial" w:hint="cs"/>
          <w:rtl/>
        </w:rPr>
        <w:t xml:space="preserve"> </w:t>
      </w:r>
      <w:r w:rsidRPr="002C300A">
        <w:rPr>
          <w:rFonts w:cs="Arial"/>
          <w:rtl/>
        </w:rPr>
        <w:t xml:space="preserve">כל </w:t>
      </w:r>
      <w:r w:rsidRPr="002C300A">
        <w:rPr>
          <w:rFonts w:cs="Arial" w:hint="cs"/>
          <w:rtl/>
        </w:rPr>
        <w:t>'</w:t>
      </w:r>
      <w:r w:rsidRPr="002C300A">
        <w:rPr>
          <w:rFonts w:cs="Arial"/>
          <w:rtl/>
        </w:rPr>
        <w:t>אמר</w:t>
      </w:r>
      <w:r w:rsidRPr="002C300A">
        <w:rPr>
          <w:rFonts w:cs="Arial" w:hint="cs"/>
          <w:rtl/>
        </w:rPr>
        <w:t>'</w:t>
      </w:r>
      <w:r w:rsidRPr="002C300A">
        <w:rPr>
          <w:rFonts w:cs="Arial"/>
          <w:rtl/>
        </w:rPr>
        <w:t xml:space="preserve"> דשמעתין הוא דאמר בבית דין</w:t>
      </w:r>
      <w:r w:rsidRPr="002C300A">
        <w:rPr>
          <w:rFonts w:cs="Arial" w:hint="cs"/>
          <w:rtl/>
        </w:rPr>
        <w:t>,</w:t>
      </w:r>
      <w:r w:rsidRPr="002C300A">
        <w:rPr>
          <w:rFonts w:cs="Arial"/>
          <w:rtl/>
        </w:rPr>
        <w:t xml:space="preserve"> ומשום הכי אמר רבי יוחנן לעיל </w:t>
      </w:r>
      <w:r w:rsidRPr="002C300A">
        <w:rPr>
          <w:rFonts w:cs="Arial"/>
          <w:sz w:val="16"/>
          <w:szCs w:val="16"/>
          <w:rtl/>
        </w:rPr>
        <w:t xml:space="preserve">(ב"מ לד.) </w:t>
      </w:r>
      <w:r w:rsidRPr="002C300A">
        <w:rPr>
          <w:rFonts w:cs="Arial"/>
          <w:rtl/>
        </w:rPr>
        <w:t>דבדיבורא בעלמא גמר ומקני ליה כפילא</w:t>
      </w:r>
      <w:r w:rsidRPr="002C300A">
        <w:rPr>
          <w:rFonts w:cs="Arial" w:hint="cs"/>
          <w:rtl/>
        </w:rPr>
        <w:t>,</w:t>
      </w:r>
      <w:r w:rsidRPr="002C300A">
        <w:rPr>
          <w:rFonts w:cs="Arial"/>
          <w:rtl/>
        </w:rPr>
        <w:t xml:space="preserve"> משום ד</w:t>
      </w:r>
      <w:r>
        <w:rPr>
          <w:rFonts w:cs="Arial" w:hint="cs"/>
          <w:rtl/>
        </w:rPr>
        <w:t>-...</w:t>
      </w:r>
    </w:p>
  </w:footnote>
  <w:footnote w:id="1129">
    <w:p w14:paraId="3E54963D" w14:textId="77777777" w:rsidR="0013116F" w:rsidRDefault="0013116F" w:rsidP="00A5530C">
      <w:pPr>
        <w:pStyle w:val="a9"/>
        <w:rPr>
          <w:rtl/>
        </w:rPr>
      </w:pPr>
      <w:r>
        <w:rPr>
          <w:rStyle w:val="ab"/>
        </w:rPr>
        <w:footnoteRef/>
      </w:r>
      <w:r>
        <w:rPr>
          <w:rtl/>
        </w:rPr>
        <w:t xml:space="preserve"> </w:t>
      </w:r>
      <w:r w:rsidRPr="002C300A">
        <w:rPr>
          <w:rFonts w:cs="Arial"/>
          <w:rtl/>
        </w:rPr>
        <w:t xml:space="preserve">והכי מוכח נמי בפרק יש נוחלין </w:t>
      </w:r>
      <w:r w:rsidRPr="002C300A">
        <w:rPr>
          <w:rFonts w:cs="Arial"/>
          <w:sz w:val="16"/>
          <w:szCs w:val="16"/>
          <w:rtl/>
        </w:rPr>
        <w:t xml:space="preserve">(קכח.) </w:t>
      </w:r>
      <w:r w:rsidRPr="002C300A">
        <w:rPr>
          <w:rFonts w:cs="Arial"/>
          <w:rtl/>
        </w:rPr>
        <w:t>גבי שורי גנבת וכו' וכגירסת רב אלפס המחוורת בעיני רוב המפרשים</w:t>
      </w:r>
      <w:r>
        <w:rPr>
          <w:rFonts w:cs="Arial" w:hint="cs"/>
          <w:rtl/>
        </w:rPr>
        <w:t>, נמוק"י</w:t>
      </w:r>
      <w:r>
        <w:rPr>
          <w:rFonts w:cs="Arial" w:hint="cs"/>
          <w:sz w:val="16"/>
          <w:szCs w:val="16"/>
          <w:rtl/>
        </w:rPr>
        <w:t xml:space="preserve"> </w:t>
      </w:r>
      <w:r w:rsidRPr="002C300A">
        <w:rPr>
          <w:rFonts w:cs="Arial"/>
          <w:sz w:val="16"/>
          <w:szCs w:val="16"/>
          <w:rtl/>
        </w:rPr>
        <w:t>(ר</w:t>
      </w:r>
      <w:r w:rsidRPr="002C300A">
        <w:rPr>
          <w:rFonts w:cs="Arial" w:hint="cs"/>
          <w:sz w:val="16"/>
          <w:szCs w:val="16"/>
          <w:rtl/>
        </w:rPr>
        <w:t>"</w:t>
      </w:r>
      <w:r w:rsidRPr="002C300A">
        <w:rPr>
          <w:rFonts w:cs="Arial"/>
          <w:sz w:val="16"/>
          <w:szCs w:val="16"/>
          <w:rtl/>
        </w:rPr>
        <w:t>פ המפקיד יח:</w:t>
      </w:r>
      <w:r>
        <w:rPr>
          <w:rFonts w:cs="Arial" w:hint="cs"/>
          <w:sz w:val="16"/>
          <w:szCs w:val="16"/>
          <w:rtl/>
        </w:rPr>
        <w:t>)</w:t>
      </w:r>
      <w:r>
        <w:rPr>
          <w:rFonts w:hint="cs"/>
          <w:rtl/>
        </w:rPr>
        <w:t>.</w:t>
      </w:r>
      <w:r w:rsidRPr="00A50EA4">
        <w:rPr>
          <w:rFonts w:cs="Arial" w:hint="cs"/>
          <w:rtl/>
        </w:rPr>
        <w:t xml:space="preserve"> </w:t>
      </w:r>
      <w:r>
        <w:rPr>
          <w:rFonts w:cs="Arial" w:hint="cs"/>
          <w:rtl/>
        </w:rPr>
        <w:t xml:space="preserve">וכתב עוד הנמוק"י </w:t>
      </w:r>
      <w:r w:rsidRPr="00A50EA4">
        <w:rPr>
          <w:rFonts w:cs="Arial" w:hint="cs"/>
          <w:rtl/>
        </w:rPr>
        <w:t>ב</w:t>
      </w:r>
      <w:r w:rsidRPr="00A50EA4">
        <w:rPr>
          <w:rFonts w:cs="Arial"/>
          <w:rtl/>
        </w:rPr>
        <w:t>פ</w:t>
      </w:r>
      <w:r w:rsidRPr="00A50EA4">
        <w:rPr>
          <w:rFonts w:cs="Arial" w:hint="cs"/>
          <w:rtl/>
        </w:rPr>
        <w:t>'</w:t>
      </w:r>
      <w:r w:rsidRPr="00A50EA4">
        <w:rPr>
          <w:rFonts w:cs="Arial"/>
          <w:rtl/>
        </w:rPr>
        <w:t xml:space="preserve"> זה בורר</w:t>
      </w:r>
      <w:r w:rsidRPr="005D2595">
        <w:rPr>
          <w:rFonts w:cs="Arial"/>
          <w:sz w:val="16"/>
          <w:szCs w:val="16"/>
          <w:rtl/>
        </w:rPr>
        <w:t xml:space="preserve"> </w:t>
      </w:r>
      <w:r>
        <w:rPr>
          <w:rFonts w:cs="Arial" w:hint="cs"/>
          <w:sz w:val="16"/>
          <w:szCs w:val="16"/>
          <w:rtl/>
        </w:rPr>
        <w:t>(</w:t>
      </w:r>
      <w:r w:rsidRPr="005D2595">
        <w:rPr>
          <w:rFonts w:cs="Arial"/>
          <w:sz w:val="16"/>
          <w:szCs w:val="16"/>
          <w:rtl/>
        </w:rPr>
        <w:t>ד. ד"ה אמר)</w:t>
      </w:r>
      <w:r>
        <w:rPr>
          <w:rFonts w:cs="Arial" w:hint="cs"/>
          <w:rtl/>
        </w:rPr>
        <w:t>-</w:t>
      </w:r>
      <w:r w:rsidRPr="00A50EA4">
        <w:rPr>
          <w:rFonts w:cs="Arial"/>
          <w:rtl/>
        </w:rPr>
        <w:t xml:space="preserve"> </w:t>
      </w:r>
      <w:r w:rsidRPr="004D4602">
        <w:rPr>
          <w:rFonts w:cs="Arial"/>
          <w:rtl/>
        </w:rPr>
        <w:t>מיהו הני מילי כשקבל עליו הלה אבל לא קבל עליו יכול לחזור בו דכיון שלא קבל עליו לא הוי גמר דין</w:t>
      </w:r>
      <w:r>
        <w:rPr>
          <w:rFonts w:hint="cs"/>
          <w:rtl/>
        </w:rPr>
        <w:t>.</w:t>
      </w:r>
    </w:p>
  </w:footnote>
  <w:footnote w:id="1130">
    <w:p w14:paraId="4E146811" w14:textId="77777777" w:rsidR="0013116F" w:rsidRDefault="0013116F">
      <w:pPr>
        <w:pStyle w:val="a9"/>
      </w:pPr>
      <w:r>
        <w:rPr>
          <w:rStyle w:val="ab"/>
        </w:rPr>
        <w:footnoteRef/>
      </w:r>
      <w:r>
        <w:rPr>
          <w:rtl/>
        </w:rPr>
        <w:t xml:space="preserve"> </w:t>
      </w:r>
      <w:r>
        <w:rPr>
          <w:rFonts w:hint="cs"/>
          <w:rtl/>
        </w:rPr>
        <w:t xml:space="preserve">סימן </w:t>
      </w:r>
      <w:r>
        <w:rPr>
          <w:rtl/>
        </w:rPr>
        <w:t>–</w:t>
      </w:r>
      <w:r>
        <w:rPr>
          <w:rFonts w:hint="cs"/>
          <w:rtl/>
        </w:rPr>
        <w:t xml:space="preserve"> טיטוא לשון</w:t>
      </w:r>
      <w:r>
        <w:rPr>
          <w:rFonts w:hint="cs"/>
          <w:sz w:val="16"/>
          <w:szCs w:val="16"/>
          <w:rtl/>
        </w:rPr>
        <w:t xml:space="preserve"> {היינו שבועה}</w:t>
      </w:r>
      <w:r>
        <w:rPr>
          <w:rFonts w:hint="cs"/>
          <w:rtl/>
        </w:rPr>
        <w:t>. וכן - לא טוב לא תישבע</w:t>
      </w:r>
      <w:r>
        <w:rPr>
          <w:rFonts w:hint="cs"/>
          <w:sz w:val="16"/>
          <w:szCs w:val="16"/>
          <w:rtl/>
        </w:rPr>
        <w:t xml:space="preserve"> (הדף שם עוסק בחומר השבועה וכמה לא כדאי להישבע, ולכן גם מזרזים אותו לשלם כדי שלא ישבע)</w:t>
      </w:r>
      <w:r>
        <w:rPr>
          <w:rFonts w:hint="cs"/>
          <w:rtl/>
        </w:rPr>
        <w:t xml:space="preserve">. </w:t>
      </w:r>
    </w:p>
  </w:footnote>
  <w:footnote w:id="1131">
    <w:p w14:paraId="7FE94012" w14:textId="77777777" w:rsidR="0013116F" w:rsidRDefault="0013116F" w:rsidP="004E5AF3">
      <w:pPr>
        <w:pStyle w:val="a9"/>
      </w:pPr>
      <w:r>
        <w:rPr>
          <w:rStyle w:val="ab"/>
        </w:rPr>
        <w:footnoteRef/>
      </w:r>
      <w:r>
        <w:rPr>
          <w:rtl/>
        </w:rPr>
        <w:t xml:space="preserve"> </w:t>
      </w:r>
      <w:r w:rsidRPr="0018282E">
        <w:rPr>
          <w:rFonts w:cs="Arial"/>
          <w:rtl/>
        </w:rPr>
        <w:t>ואין משהין אותו כאן שלא יחזור בו וע"כ ישלם מיד שקיבל עליו בב"ד</w:t>
      </w:r>
      <w:r>
        <w:rPr>
          <w:rFonts w:cs="Arial" w:hint="cs"/>
          <w:rtl/>
        </w:rPr>
        <w:t>, רש"י.</w:t>
      </w:r>
    </w:p>
  </w:footnote>
  <w:footnote w:id="1132">
    <w:p w14:paraId="324BE1F5" w14:textId="77777777" w:rsidR="0013116F" w:rsidRDefault="0013116F" w:rsidP="00304869">
      <w:pPr>
        <w:pStyle w:val="a9"/>
        <w:rPr>
          <w:rtl/>
        </w:rPr>
      </w:pPr>
      <w:r>
        <w:rPr>
          <w:rStyle w:val="ab"/>
        </w:rPr>
        <w:footnoteRef/>
      </w:r>
      <w:r>
        <w:rPr>
          <w:rtl/>
        </w:rPr>
        <w:t xml:space="preserve"> </w:t>
      </w:r>
      <w:r>
        <w:rPr>
          <w:rFonts w:cs="Arial" w:hint="cs"/>
          <w:rtl/>
        </w:rPr>
        <w:t xml:space="preserve">כ"כ הר"ן </w:t>
      </w:r>
      <w:r w:rsidRPr="002C300A">
        <w:rPr>
          <w:rFonts w:cs="Arial"/>
          <w:rtl/>
        </w:rPr>
        <w:t xml:space="preserve">בפרק שבועת הדיינים (יח:) </w:t>
      </w:r>
      <w:r>
        <w:rPr>
          <w:rFonts w:cs="Arial" w:hint="cs"/>
          <w:rtl/>
        </w:rPr>
        <w:t xml:space="preserve">וז"ל- </w:t>
      </w:r>
      <w:r w:rsidRPr="002C300A">
        <w:rPr>
          <w:rFonts w:cs="Arial"/>
          <w:rtl/>
        </w:rPr>
        <w:t>אהא דקאמר התם אם אמר איני נשבע פוטרין אותו מיד פירש רש"י ואין משהין אותו כאן שלא יחזור בו ועל כרחו ישלם משקבל עליו בבית דין</w:t>
      </w:r>
      <w:r w:rsidRPr="002C300A">
        <w:rPr>
          <w:rFonts w:cs="Arial" w:hint="cs"/>
          <w:rtl/>
        </w:rPr>
        <w:t>,</w:t>
      </w:r>
      <w:r w:rsidRPr="002C300A">
        <w:rPr>
          <w:rFonts w:cs="Arial"/>
          <w:rtl/>
        </w:rPr>
        <w:t xml:space="preserve"> נראה שהוא סובר דכל זמן שעסוקים באותו ענין יכול לחזור בו אבל בתר הכי לא</w:t>
      </w:r>
      <w:r w:rsidRPr="002C300A">
        <w:rPr>
          <w:rFonts w:cs="Arial" w:hint="cs"/>
          <w:rtl/>
        </w:rPr>
        <w:t xml:space="preserve">, </w:t>
      </w:r>
      <w:r w:rsidRPr="002C300A">
        <w:rPr>
          <w:rFonts w:cs="Arial"/>
          <w:rtl/>
        </w:rPr>
        <w:t>שהמקבל עליו בבית דין איזה דבר שוב אינו חוזר</w:t>
      </w:r>
      <w:r w:rsidRPr="002C300A">
        <w:rPr>
          <w:rFonts w:cs="Arial" w:hint="cs"/>
          <w:rtl/>
        </w:rPr>
        <w:t>,</w:t>
      </w:r>
      <w:r w:rsidRPr="002C300A">
        <w:rPr>
          <w:rFonts w:cs="Arial"/>
          <w:rtl/>
        </w:rPr>
        <w:t xml:space="preserve"> ולפי זה התם בפרק יש נוחלין דאמרינן שורי הרגת השבע וטול נשבע ואינו יכול לחזור בו גרסינן בלא וי"ו לומר דכיון שגמר דינו שקבל עליו הלה שוב אינו יכול לחזור בו וכאלו גמרו את דינו בבית דין ואמרו כן</w:t>
      </w:r>
      <w:r w:rsidRPr="002C300A">
        <w:rPr>
          <w:rFonts w:cs="Arial" w:hint="cs"/>
          <w:rtl/>
        </w:rPr>
        <w:t>,</w:t>
      </w:r>
      <w:r w:rsidRPr="002C300A">
        <w:rPr>
          <w:rFonts w:cs="Arial"/>
          <w:rtl/>
        </w:rPr>
        <w:t xml:space="preserve"> ומיהו דוקא כשאמר כן בפני בית דין</w:t>
      </w:r>
      <w:r w:rsidRPr="002C300A">
        <w:rPr>
          <w:rFonts w:cs="Arial" w:hint="cs"/>
          <w:rtl/>
        </w:rPr>
        <w:t>,</w:t>
      </w:r>
      <w:r w:rsidRPr="002C300A">
        <w:rPr>
          <w:rFonts w:cs="Arial"/>
          <w:rtl/>
        </w:rPr>
        <w:t xml:space="preserve"> אבל ר</w:t>
      </w:r>
      <w:r w:rsidRPr="002C300A">
        <w:rPr>
          <w:rFonts w:cs="Arial" w:hint="cs"/>
          <w:rtl/>
        </w:rPr>
        <w:t>"</w:t>
      </w:r>
      <w:r w:rsidRPr="002C300A">
        <w:rPr>
          <w:rFonts w:cs="Arial"/>
          <w:rtl/>
        </w:rPr>
        <w:t>ת גורס ונשבע אינו יכול לחזור בו אבל קודם לכן אע</w:t>
      </w:r>
      <w:r w:rsidRPr="002C300A">
        <w:rPr>
          <w:rFonts w:cs="Arial" w:hint="cs"/>
          <w:rtl/>
        </w:rPr>
        <w:t>"</w:t>
      </w:r>
      <w:r w:rsidRPr="002C300A">
        <w:rPr>
          <w:rFonts w:cs="Arial"/>
          <w:rtl/>
        </w:rPr>
        <w:t>פ שקבל עליו בבית דין יכול לחזור בו</w:t>
      </w:r>
      <w:r w:rsidRPr="002C300A">
        <w:rPr>
          <w:rFonts w:cs="Arial" w:hint="cs"/>
          <w:rtl/>
        </w:rPr>
        <w:t>,</w:t>
      </w:r>
      <w:r w:rsidRPr="002C300A">
        <w:rPr>
          <w:rFonts w:cs="Arial"/>
          <w:rtl/>
        </w:rPr>
        <w:t xml:space="preserve"> ולפי זה משום הכי אמרינן הכא פוטרין אותו מיד כדי שלא יחזור בו אבל רצה לחזור בו חוזר</w:t>
      </w:r>
      <w:r>
        <w:rPr>
          <w:rFonts w:cs="Arial" w:hint="cs"/>
          <w:rtl/>
        </w:rPr>
        <w:t>.</w:t>
      </w:r>
    </w:p>
  </w:footnote>
  <w:footnote w:id="1133">
    <w:p w14:paraId="242851BE" w14:textId="77777777" w:rsidR="0013116F" w:rsidRPr="009F094B" w:rsidRDefault="0013116F" w:rsidP="00901312">
      <w:pPr>
        <w:pStyle w:val="a9"/>
        <w:rPr>
          <w:color w:val="FF0000"/>
          <w:rtl/>
        </w:rPr>
      </w:pPr>
      <w:r>
        <w:rPr>
          <w:rStyle w:val="ab"/>
        </w:rPr>
        <w:footnoteRef/>
      </w:r>
      <w:r>
        <w:rPr>
          <w:rtl/>
        </w:rPr>
        <w:t xml:space="preserve"> </w:t>
      </w:r>
      <w:r w:rsidRPr="009E27FD">
        <w:rPr>
          <w:rFonts w:cs="Arial"/>
          <w:rtl/>
        </w:rPr>
        <w:t xml:space="preserve">וכן נראה דעת הרא"ש </w:t>
      </w:r>
      <w:r w:rsidRPr="004D4602">
        <w:rPr>
          <w:rFonts w:cs="Arial"/>
          <w:sz w:val="16"/>
          <w:szCs w:val="16"/>
          <w:rtl/>
        </w:rPr>
        <w:t>(</w:t>
      </w:r>
      <w:r w:rsidRPr="004D4602">
        <w:rPr>
          <w:rFonts w:cs="Arial" w:hint="cs"/>
          <w:sz w:val="16"/>
          <w:szCs w:val="16"/>
          <w:rtl/>
        </w:rPr>
        <w:t xml:space="preserve">פ' זה בורר </w:t>
      </w:r>
      <w:r w:rsidRPr="004D4602">
        <w:rPr>
          <w:rFonts w:cs="Arial"/>
          <w:sz w:val="16"/>
          <w:szCs w:val="16"/>
          <w:rtl/>
        </w:rPr>
        <w:t>סי' ה-ו)</w:t>
      </w:r>
      <w:r>
        <w:rPr>
          <w:rFonts w:cs="Arial" w:hint="cs"/>
          <w:rtl/>
        </w:rPr>
        <w:t xml:space="preserve"> </w:t>
      </w:r>
      <w:r w:rsidRPr="009F094B">
        <w:rPr>
          <w:rFonts w:cs="Arial"/>
          <w:rtl/>
        </w:rPr>
        <w:t>דלא חילק</w:t>
      </w:r>
      <w:r w:rsidRPr="009F094B">
        <w:rPr>
          <w:rFonts w:cs="Arial" w:hint="cs"/>
          <w:rtl/>
        </w:rPr>
        <w:t xml:space="preserve">, דרכ"מ </w:t>
      </w:r>
      <w:r w:rsidRPr="009F094B">
        <w:rPr>
          <w:rFonts w:cs="Arial"/>
          <w:rtl/>
        </w:rPr>
        <w:t>(</w:t>
      </w:r>
      <w:r w:rsidRPr="009F094B">
        <w:rPr>
          <w:rFonts w:cs="Arial" w:hint="cs"/>
          <w:rtl/>
        </w:rPr>
        <w:t>אות ג</w:t>
      </w:r>
      <w:r w:rsidRPr="009F094B">
        <w:rPr>
          <w:rFonts w:cs="Arial"/>
          <w:rtl/>
        </w:rPr>
        <w:t>****)</w:t>
      </w:r>
      <w:r w:rsidRPr="009F094B">
        <w:rPr>
          <w:rFonts w:cs="Arial" w:hint="cs"/>
          <w:rtl/>
        </w:rPr>
        <w:t>. דברי הרא"ש מובאים לקמן בסמוך.</w:t>
      </w:r>
    </w:p>
  </w:footnote>
  <w:footnote w:id="1134">
    <w:p w14:paraId="39D4A26B" w14:textId="77777777" w:rsidR="0013116F" w:rsidRDefault="0013116F" w:rsidP="00901312">
      <w:pPr>
        <w:pStyle w:val="a9"/>
      </w:pPr>
      <w:r>
        <w:rPr>
          <w:rStyle w:val="ab"/>
        </w:rPr>
        <w:footnoteRef/>
      </w:r>
      <w:r>
        <w:rPr>
          <w:rtl/>
        </w:rPr>
        <w:t xml:space="preserve"> </w:t>
      </w:r>
      <w:r w:rsidRPr="009E27FD">
        <w:rPr>
          <w:rFonts w:cs="Arial"/>
          <w:rtl/>
        </w:rPr>
        <w:t xml:space="preserve">וכן הוא במרדכי </w:t>
      </w:r>
      <w:r>
        <w:rPr>
          <w:rFonts w:cs="Arial" w:hint="cs"/>
          <w:sz w:val="16"/>
          <w:szCs w:val="16"/>
          <w:rtl/>
        </w:rPr>
        <w:t>(</w:t>
      </w:r>
      <w:r w:rsidRPr="00DD6E59">
        <w:rPr>
          <w:rFonts w:cs="Arial"/>
          <w:sz w:val="16"/>
          <w:szCs w:val="16"/>
          <w:rtl/>
        </w:rPr>
        <w:t>ר</w:t>
      </w:r>
      <w:r w:rsidRPr="00DD6E59">
        <w:rPr>
          <w:rFonts w:cs="Arial" w:hint="cs"/>
          <w:sz w:val="16"/>
          <w:szCs w:val="16"/>
          <w:rtl/>
        </w:rPr>
        <w:t>"</w:t>
      </w:r>
      <w:r w:rsidRPr="00DD6E59">
        <w:rPr>
          <w:rFonts w:cs="Arial"/>
          <w:sz w:val="16"/>
          <w:szCs w:val="16"/>
          <w:rtl/>
        </w:rPr>
        <w:t>פ יש נוחלין</w:t>
      </w:r>
      <w:r>
        <w:rPr>
          <w:rFonts w:cs="Arial" w:hint="cs"/>
          <w:sz w:val="16"/>
          <w:szCs w:val="16"/>
          <w:rtl/>
        </w:rPr>
        <w:t xml:space="preserve"> </w:t>
      </w:r>
      <w:r w:rsidRPr="00DD6E59">
        <w:rPr>
          <w:rFonts w:cs="Arial"/>
          <w:sz w:val="16"/>
          <w:szCs w:val="16"/>
          <w:rtl/>
        </w:rPr>
        <w:t xml:space="preserve">סי' תקפב) </w:t>
      </w:r>
      <w:r w:rsidRPr="009E27FD">
        <w:rPr>
          <w:rFonts w:cs="Arial"/>
          <w:rtl/>
        </w:rPr>
        <w:t>ודוקא שגמרו הדין קודם שחזר בו אבל קודם גמר דין יכול לחזור בו עכ"ל</w:t>
      </w:r>
      <w:r>
        <w:rPr>
          <w:rFonts w:cs="Arial" w:hint="cs"/>
          <w:rtl/>
        </w:rPr>
        <w:t xml:space="preserve">, דרכ"מ </w:t>
      </w:r>
      <w:r w:rsidRPr="00DD6E59">
        <w:rPr>
          <w:rFonts w:cs="Arial"/>
          <w:sz w:val="16"/>
          <w:szCs w:val="16"/>
          <w:rtl/>
        </w:rPr>
        <w:t>(</w:t>
      </w:r>
      <w:r w:rsidRPr="00DD6E59">
        <w:rPr>
          <w:rFonts w:cs="Arial" w:hint="cs"/>
          <w:sz w:val="16"/>
          <w:szCs w:val="16"/>
          <w:rtl/>
        </w:rPr>
        <w:t xml:space="preserve">אות </w:t>
      </w:r>
      <w:r w:rsidRPr="00DD6E59">
        <w:rPr>
          <w:rFonts w:cs="Arial"/>
          <w:sz w:val="16"/>
          <w:szCs w:val="16"/>
          <w:rtl/>
        </w:rPr>
        <w:t>ד)</w:t>
      </w:r>
      <w:r>
        <w:rPr>
          <w:rFonts w:cs="Arial" w:hint="cs"/>
          <w:rtl/>
        </w:rPr>
        <w:t>.</w:t>
      </w:r>
    </w:p>
  </w:footnote>
  <w:footnote w:id="1135">
    <w:p w14:paraId="2D67A5C9" w14:textId="77777777" w:rsidR="0013116F" w:rsidRDefault="0013116F" w:rsidP="006C5925">
      <w:pPr>
        <w:pStyle w:val="a9"/>
        <w:rPr>
          <w:rtl/>
        </w:rPr>
      </w:pPr>
      <w:r>
        <w:rPr>
          <w:rStyle w:val="ab"/>
        </w:rPr>
        <w:footnoteRef/>
      </w:r>
      <w:r>
        <w:rPr>
          <w:rtl/>
        </w:rPr>
        <w:t xml:space="preserve"> </w:t>
      </w:r>
      <w:r>
        <w:rPr>
          <w:rFonts w:cs="Arial"/>
          <w:rtl/>
        </w:rPr>
        <w:t>טעמו משום דלא דמי לאומר איני רוצה לישבע אלא לשלם בהאי הוא דאמרינן אם יצא חוץ לב</w:t>
      </w:r>
      <w:r>
        <w:rPr>
          <w:rFonts w:cs="Arial" w:hint="cs"/>
          <w:rtl/>
        </w:rPr>
        <w:t>"</w:t>
      </w:r>
      <w:r>
        <w:rPr>
          <w:rFonts w:cs="Arial"/>
          <w:rtl/>
        </w:rPr>
        <w:t>ד אינו יכול לחזור בו משום דהוי כגמר דין אבל זה ששתק ולא אמר כלום אע</w:t>
      </w:r>
      <w:r>
        <w:rPr>
          <w:rFonts w:cs="Arial" w:hint="cs"/>
          <w:rtl/>
        </w:rPr>
        <w:t>"</w:t>
      </w:r>
      <w:r>
        <w:rPr>
          <w:rFonts w:cs="Arial"/>
          <w:rtl/>
        </w:rPr>
        <w:t>פ שיצא אח"כ מבית דין יכול לחזור ולהפכה דשתיקה דידיה לא חשיבא כגמר דין</w:t>
      </w:r>
      <w:r>
        <w:rPr>
          <w:rFonts w:hint="cs"/>
          <w:rtl/>
        </w:rPr>
        <w:t xml:space="preserve">, ב"י. וכתב הסמ"ע (סקי"ט) </w:t>
      </w:r>
      <w:r w:rsidRPr="009C0A10">
        <w:rPr>
          <w:rFonts w:cs="Arial"/>
          <w:rtl/>
        </w:rPr>
        <w:t xml:space="preserve">דנראה דאפילו אם אמר בב"ד </w:t>
      </w:r>
      <w:r>
        <w:rPr>
          <w:rFonts w:cs="Arial" w:hint="cs"/>
          <w:rtl/>
        </w:rPr>
        <w:t>'</w:t>
      </w:r>
      <w:r w:rsidRPr="009C0A10">
        <w:rPr>
          <w:rFonts w:cs="Arial"/>
          <w:rtl/>
        </w:rPr>
        <w:t>לא אשבע</w:t>
      </w:r>
      <w:r>
        <w:rPr>
          <w:rFonts w:cs="Arial" w:hint="cs"/>
          <w:rtl/>
        </w:rPr>
        <w:t>'</w:t>
      </w:r>
      <w:r w:rsidRPr="009C0A10">
        <w:rPr>
          <w:rFonts w:cs="Arial"/>
          <w:rtl/>
        </w:rPr>
        <w:t xml:space="preserve"> ויצא יכול להפך השבועה על שכנגדו, די"ל דדעתו היתה לא אשבע אלא אהפכה על שכנגדי כל זמן שלא אמר לא אשבע ואשלם, אבל אם חייב הנתבע שבועת היסת ואמר לפני ב"ד אשבע ויצא אינו יכול להפכה אח"כ, וכמ"ש בפרישה [סע</w:t>
      </w:r>
      <w:r>
        <w:rPr>
          <w:rFonts w:cs="Arial" w:hint="cs"/>
          <w:rtl/>
        </w:rPr>
        <w:t>'</w:t>
      </w:r>
      <w:r w:rsidRPr="009C0A10">
        <w:rPr>
          <w:rFonts w:cs="Arial"/>
          <w:rtl/>
        </w:rPr>
        <w:t xml:space="preserve"> ו]</w:t>
      </w:r>
      <w:r>
        <w:rPr>
          <w:rFonts w:hint="cs"/>
          <w:rtl/>
        </w:rPr>
        <w:t>. עכ"ל.</w:t>
      </w:r>
      <w:r w:rsidRPr="00365F9C">
        <w:rPr>
          <w:rtl/>
        </w:rPr>
        <w:t xml:space="preserve"> </w:t>
      </w:r>
      <w:r w:rsidRPr="00365F9C">
        <w:rPr>
          <w:rFonts w:cs="Arial"/>
          <w:rtl/>
        </w:rPr>
        <w:t>והב"ח [סוף סע</w:t>
      </w:r>
      <w:r>
        <w:rPr>
          <w:rFonts w:cs="Arial" w:hint="cs"/>
          <w:rtl/>
        </w:rPr>
        <w:t>'</w:t>
      </w:r>
      <w:r w:rsidRPr="00365F9C">
        <w:rPr>
          <w:rFonts w:cs="Arial"/>
          <w:rtl/>
        </w:rPr>
        <w:t xml:space="preserve"> ה] השיג עליו.</w:t>
      </w:r>
      <w:r>
        <w:rPr>
          <w:rFonts w:cs="Arial" w:hint="cs"/>
          <w:rtl/>
        </w:rPr>
        <w:t xml:space="preserve"> אך הש"ך (סקי"ז) דחה דבריו</w:t>
      </w:r>
      <w:r w:rsidRPr="00365F9C">
        <w:rPr>
          <w:rFonts w:cs="Arial"/>
          <w:rtl/>
        </w:rPr>
        <w:t>.</w:t>
      </w:r>
    </w:p>
  </w:footnote>
  <w:footnote w:id="1136">
    <w:p w14:paraId="7C4FCB5C" w14:textId="77777777" w:rsidR="0013116F" w:rsidRDefault="0013116F" w:rsidP="00224839">
      <w:pPr>
        <w:pStyle w:val="a9"/>
      </w:pPr>
      <w:r>
        <w:rPr>
          <w:rStyle w:val="ab"/>
        </w:rPr>
        <w:footnoteRef/>
      </w:r>
      <w:r>
        <w:rPr>
          <w:rtl/>
        </w:rPr>
        <w:t xml:space="preserve"> </w:t>
      </w:r>
      <w:r>
        <w:rPr>
          <w:rFonts w:hint="cs"/>
          <w:rtl/>
        </w:rPr>
        <w:t>וז"ל-</w:t>
      </w:r>
      <w:r w:rsidRPr="00A20576">
        <w:rPr>
          <w:rtl/>
        </w:rPr>
        <w:t xml:space="preserve"> </w:t>
      </w:r>
      <w:r w:rsidRPr="00A20576">
        <w:rPr>
          <w:rFonts w:cs="Arial"/>
          <w:rtl/>
        </w:rPr>
        <w:t xml:space="preserve">גרסינן </w:t>
      </w:r>
      <w:r w:rsidRPr="00224839">
        <w:rPr>
          <w:rFonts w:cs="Arial" w:hint="cs"/>
          <w:b/>
          <w:bCs/>
          <w:rtl/>
        </w:rPr>
        <w:t>'</w:t>
      </w:r>
      <w:r w:rsidRPr="00224839">
        <w:rPr>
          <w:rFonts w:cs="Arial"/>
          <w:b/>
          <w:bCs/>
          <w:rtl/>
        </w:rPr>
        <w:t>ונשבע</w:t>
      </w:r>
      <w:r w:rsidRPr="00224839">
        <w:rPr>
          <w:rFonts w:cs="Arial" w:hint="cs"/>
          <w:b/>
          <w:bCs/>
          <w:rtl/>
        </w:rPr>
        <w:t>'</w:t>
      </w:r>
      <w:r w:rsidRPr="00A20576">
        <w:rPr>
          <w:rFonts w:cs="Arial"/>
          <w:rtl/>
        </w:rPr>
        <w:t xml:space="preserve"> בשלא קיבל בפני ב"ד</w:t>
      </w:r>
      <w:r>
        <w:rPr>
          <w:rFonts w:cs="Arial" w:hint="cs"/>
          <w:rtl/>
        </w:rPr>
        <w:t>,</w:t>
      </w:r>
      <w:r w:rsidRPr="00A20576">
        <w:rPr>
          <w:rFonts w:cs="Arial"/>
          <w:rtl/>
        </w:rPr>
        <w:t xml:space="preserve"> כלומר כשאמר לו רצונך תשבע ותטול ונשבע אינו יכול לחזור בו כיון שנשבע</w:t>
      </w:r>
      <w:r>
        <w:rPr>
          <w:rFonts w:cs="Arial" w:hint="cs"/>
          <w:rtl/>
        </w:rPr>
        <w:t>,</w:t>
      </w:r>
      <w:r w:rsidRPr="00A20576">
        <w:rPr>
          <w:rFonts w:cs="Arial"/>
          <w:rtl/>
        </w:rPr>
        <w:t xml:space="preserve"> וכ</w:t>
      </w:r>
      <w:r>
        <w:rPr>
          <w:rFonts w:cs="Arial" w:hint="cs"/>
          <w:rtl/>
        </w:rPr>
        <w:t>"כ</w:t>
      </w:r>
      <w:r w:rsidRPr="00A20576">
        <w:rPr>
          <w:rFonts w:cs="Arial"/>
          <w:rtl/>
        </w:rPr>
        <w:t xml:space="preserve"> האחרונים דבפרק המפקיד (לד</w:t>
      </w:r>
      <w:r>
        <w:rPr>
          <w:rFonts w:cs="Arial" w:hint="cs"/>
          <w:rtl/>
        </w:rPr>
        <w:t>.</w:t>
      </w:r>
      <w:r w:rsidRPr="00A20576">
        <w:rPr>
          <w:rFonts w:cs="Arial"/>
          <w:rtl/>
        </w:rPr>
        <w:t>) מוכח שאם קבל בפני ב"ד אפילו שעדיין לא נשבע אינו יכול לחזור בו הלה</w:t>
      </w:r>
      <w:r>
        <w:rPr>
          <w:rFonts w:cs="Arial" w:hint="cs"/>
          <w:rtl/>
        </w:rPr>
        <w:t>.</w:t>
      </w:r>
      <w:r w:rsidRPr="00A20576">
        <w:rPr>
          <w:rFonts w:cs="Arial"/>
          <w:rtl/>
        </w:rPr>
        <w:t xml:space="preserve"> וכן אם א"ל נאמן עלי אבא או אביך אע</w:t>
      </w:r>
      <w:r>
        <w:rPr>
          <w:rFonts w:cs="Arial" w:hint="cs"/>
          <w:rtl/>
        </w:rPr>
        <w:t>"</w:t>
      </w:r>
      <w:r w:rsidRPr="00A20576">
        <w:rPr>
          <w:rFonts w:cs="Arial"/>
          <w:rtl/>
        </w:rPr>
        <w:t>ג דפסולין לו לעדות ולדון</w:t>
      </w:r>
      <w:r>
        <w:rPr>
          <w:rFonts w:cs="Arial" w:hint="cs"/>
          <w:rtl/>
        </w:rPr>
        <w:t>...-</w:t>
      </w:r>
      <w:r w:rsidRPr="00A20576">
        <w:rPr>
          <w:rFonts w:cs="Arial"/>
          <w:rtl/>
        </w:rPr>
        <w:t xml:space="preserve"> הדין הנראה להם יהיה דין</w:t>
      </w:r>
      <w:r>
        <w:rPr>
          <w:rFonts w:cs="Arial" w:hint="cs"/>
          <w:rtl/>
        </w:rPr>
        <w:t>,</w:t>
      </w:r>
      <w:r w:rsidRPr="00A20576">
        <w:rPr>
          <w:rFonts w:cs="Arial"/>
          <w:rtl/>
        </w:rPr>
        <w:t xml:space="preserve"> או השלשה רועי בקר</w:t>
      </w:r>
      <w:r>
        <w:rPr>
          <w:rFonts w:cs="Arial" w:hint="cs"/>
          <w:rtl/>
        </w:rPr>
        <w:t xml:space="preserve"> -</w:t>
      </w:r>
      <w:r w:rsidRPr="00A20576">
        <w:rPr>
          <w:rFonts w:cs="Arial"/>
          <w:rtl/>
        </w:rPr>
        <w:t xml:space="preserve"> צריך ליתן ולקיים מאמרם אחר שגמרו דינם ופסקו ליתן</w:t>
      </w:r>
      <w:r>
        <w:rPr>
          <w:rFonts w:cs="Arial" w:hint="cs"/>
          <w:rtl/>
        </w:rPr>
        <w:t>,</w:t>
      </w:r>
      <w:r w:rsidRPr="00A20576">
        <w:rPr>
          <w:rFonts w:cs="Arial"/>
          <w:rtl/>
        </w:rPr>
        <w:t xml:space="preserve"> אבל קודם גמר דין יכול לחזור בו שהרי לא קבל בפני ב"ד וגם אין בזה שבועה</w:t>
      </w:r>
      <w:r>
        <w:rPr>
          <w:rFonts w:cs="Arial" w:hint="cs"/>
          <w:rtl/>
        </w:rPr>
        <w:t>.</w:t>
      </w:r>
    </w:p>
  </w:footnote>
  <w:footnote w:id="1137">
    <w:p w14:paraId="1C39833B" w14:textId="77777777" w:rsidR="0013116F" w:rsidRDefault="0013116F" w:rsidP="002B48D5">
      <w:pPr>
        <w:pStyle w:val="a9"/>
      </w:pPr>
      <w:r>
        <w:rPr>
          <w:rStyle w:val="ab"/>
        </w:rPr>
        <w:footnoteRef/>
      </w:r>
      <w:r>
        <w:rPr>
          <w:rFonts w:hint="cs"/>
          <w:rtl/>
        </w:rPr>
        <w:t xml:space="preserve"> וכתב הב"י וז"ל- </w:t>
      </w:r>
      <w:r w:rsidRPr="002C300A">
        <w:rPr>
          <w:rFonts w:cs="Arial"/>
          <w:rtl/>
        </w:rPr>
        <w:t>ומעשה באחד שהיה מודה לחבירו מקצת הטענה</w:t>
      </w:r>
      <w:r>
        <w:rPr>
          <w:rFonts w:cs="Arial" w:hint="cs"/>
          <w:rtl/>
        </w:rPr>
        <w:t>.</w:t>
      </w:r>
      <w:r w:rsidRPr="002C300A">
        <w:rPr>
          <w:rFonts w:cs="Arial"/>
          <w:rtl/>
        </w:rPr>
        <w:t xml:space="preserve"> ואמר הנתבע לחבירו שלא בפני ב</w:t>
      </w:r>
      <w:r>
        <w:rPr>
          <w:rFonts w:cs="Arial" w:hint="cs"/>
          <w:rtl/>
        </w:rPr>
        <w:t>"</w:t>
      </w:r>
      <w:r w:rsidRPr="002C300A">
        <w:rPr>
          <w:rFonts w:cs="Arial"/>
          <w:rtl/>
        </w:rPr>
        <w:t>ד</w:t>
      </w:r>
      <w:r>
        <w:rPr>
          <w:rFonts w:cs="Arial" w:hint="cs"/>
          <w:rtl/>
        </w:rPr>
        <w:t xml:space="preserve"> '</w:t>
      </w:r>
      <w:r w:rsidRPr="002C300A">
        <w:rPr>
          <w:rFonts w:cs="Arial"/>
          <w:rtl/>
        </w:rPr>
        <w:t>אם תשבע אני אשלם לך</w:t>
      </w:r>
      <w:r>
        <w:rPr>
          <w:rFonts w:cs="Arial" w:hint="cs"/>
          <w:rtl/>
        </w:rPr>
        <w:t>'.</w:t>
      </w:r>
      <w:r w:rsidRPr="002C300A">
        <w:rPr>
          <w:rFonts w:cs="Arial"/>
          <w:rtl/>
        </w:rPr>
        <w:t xml:space="preserve"> וקפץ הלה ונשבע באלהי ישראל</w:t>
      </w:r>
      <w:r>
        <w:rPr>
          <w:rFonts w:cs="Arial" w:hint="cs"/>
          <w:rtl/>
        </w:rPr>
        <w:t>.</w:t>
      </w:r>
      <w:r w:rsidRPr="002C300A">
        <w:rPr>
          <w:rFonts w:cs="Arial"/>
          <w:rtl/>
        </w:rPr>
        <w:t xml:space="preserve"> והנתבע אומר </w:t>
      </w:r>
      <w:r>
        <w:rPr>
          <w:rFonts w:cs="Arial" w:hint="cs"/>
          <w:rtl/>
        </w:rPr>
        <w:t>'</w:t>
      </w:r>
      <w:r w:rsidRPr="002C300A">
        <w:rPr>
          <w:rFonts w:cs="Arial"/>
          <w:rtl/>
        </w:rPr>
        <w:t>לא אמרתי שאם תשבע אשלם לך אלא אם תשבע בב</w:t>
      </w:r>
      <w:r>
        <w:rPr>
          <w:rFonts w:cs="Arial" w:hint="cs"/>
          <w:rtl/>
        </w:rPr>
        <w:t>"</w:t>
      </w:r>
      <w:r w:rsidRPr="002C300A">
        <w:rPr>
          <w:rFonts w:cs="Arial"/>
          <w:rtl/>
        </w:rPr>
        <w:t>ד</w:t>
      </w:r>
      <w:r>
        <w:rPr>
          <w:rFonts w:cs="Arial" w:hint="cs"/>
          <w:rtl/>
        </w:rPr>
        <w:t>,</w:t>
      </w:r>
      <w:r w:rsidRPr="002C300A">
        <w:rPr>
          <w:rFonts w:cs="Arial"/>
          <w:rtl/>
        </w:rPr>
        <w:t xml:space="preserve"> ולא שתשבע שלא בפני ב</w:t>
      </w:r>
      <w:r>
        <w:rPr>
          <w:rFonts w:cs="Arial" w:hint="cs"/>
          <w:rtl/>
        </w:rPr>
        <w:t>"</w:t>
      </w:r>
      <w:r w:rsidRPr="002C300A">
        <w:rPr>
          <w:rFonts w:cs="Arial"/>
          <w:rtl/>
        </w:rPr>
        <w:t>ד</w:t>
      </w:r>
      <w:r>
        <w:rPr>
          <w:rFonts w:cs="Arial" w:hint="cs"/>
          <w:rtl/>
        </w:rPr>
        <w:t>,</w:t>
      </w:r>
      <w:r w:rsidRPr="002C300A">
        <w:rPr>
          <w:rFonts w:cs="Arial"/>
          <w:rtl/>
        </w:rPr>
        <w:t xml:space="preserve"> והוי ליה כאלו לא נשבעת וחוזרני בי ואני אשבע ואפטר</w:t>
      </w:r>
      <w:r>
        <w:rPr>
          <w:rFonts w:cs="Arial" w:hint="cs"/>
          <w:rtl/>
        </w:rPr>
        <w:t>'.</w:t>
      </w:r>
      <w:r w:rsidRPr="002C300A">
        <w:rPr>
          <w:rFonts w:cs="Arial"/>
          <w:rtl/>
        </w:rPr>
        <w:t xml:space="preserve"> ופסקתי דאע</w:t>
      </w:r>
      <w:r>
        <w:rPr>
          <w:rFonts w:cs="Arial" w:hint="cs"/>
          <w:rtl/>
        </w:rPr>
        <w:t>"</w:t>
      </w:r>
      <w:r w:rsidRPr="002C300A">
        <w:rPr>
          <w:rFonts w:cs="Arial"/>
          <w:rtl/>
        </w:rPr>
        <w:t>ג דשלא בבית דין הוה אינו יכול לחזור בו מאחר שנשבע וכדברי ר</w:t>
      </w:r>
      <w:r>
        <w:rPr>
          <w:rFonts w:cs="Arial" w:hint="cs"/>
          <w:rtl/>
        </w:rPr>
        <w:t>י"ו</w:t>
      </w:r>
      <w:r w:rsidRPr="002C300A">
        <w:rPr>
          <w:rFonts w:cs="Arial"/>
          <w:rtl/>
        </w:rPr>
        <w:t xml:space="preserve"> ונימוק</w:t>
      </w:r>
      <w:r>
        <w:rPr>
          <w:rFonts w:cs="Arial" w:hint="cs"/>
          <w:rtl/>
        </w:rPr>
        <w:t>"י</w:t>
      </w:r>
      <w:r w:rsidRPr="002C300A">
        <w:rPr>
          <w:rFonts w:cs="Arial"/>
          <w:rtl/>
        </w:rPr>
        <w:t xml:space="preserve"> </w:t>
      </w:r>
      <w:r w:rsidRPr="004F76E1">
        <w:rPr>
          <w:rFonts w:cs="Arial" w:hint="cs"/>
          <w:sz w:val="16"/>
          <w:szCs w:val="16"/>
          <w:rtl/>
        </w:rPr>
        <w:t>(</w:t>
      </w:r>
      <w:r w:rsidRPr="004F76E1">
        <w:rPr>
          <w:rFonts w:cs="Arial"/>
          <w:sz w:val="16"/>
          <w:szCs w:val="16"/>
          <w:rtl/>
        </w:rPr>
        <w:t>ואם תאמר כיון שהשבועה שהיה חייב הנתבע היתה שבועה דאו</w:t>
      </w:r>
      <w:r>
        <w:rPr>
          <w:rFonts w:cs="Arial" w:hint="cs"/>
          <w:sz w:val="16"/>
          <w:szCs w:val="16"/>
          <w:rtl/>
        </w:rPr>
        <w:t>'</w:t>
      </w:r>
      <w:r w:rsidRPr="004F76E1">
        <w:rPr>
          <w:rFonts w:cs="Arial"/>
          <w:sz w:val="16"/>
          <w:szCs w:val="16"/>
          <w:rtl/>
        </w:rPr>
        <w:t xml:space="preserve"> דבעיא נקיטת חפץ כדאמר רבא בפרק שבועת הדיינים (לח:) האי דיינא דאשבע באלהי ישראל ולא אנקטיה חפץ בידיה נעשה כטועה בדבר משנה וחוזר</w:t>
      </w:r>
      <w:r>
        <w:rPr>
          <w:rFonts w:cs="Arial" w:hint="cs"/>
          <w:sz w:val="16"/>
          <w:szCs w:val="16"/>
          <w:rtl/>
        </w:rPr>
        <w:t>,</w:t>
      </w:r>
      <w:r w:rsidRPr="004F76E1">
        <w:rPr>
          <w:rFonts w:cs="Arial"/>
          <w:sz w:val="16"/>
          <w:szCs w:val="16"/>
          <w:rtl/>
        </w:rPr>
        <w:t xml:space="preserve"> מסתמא כי אמר ליה אם תשבע אני אשלם היינו שישבע כעין אותה שבועה שהוא חייב</w:t>
      </w:r>
      <w:r>
        <w:rPr>
          <w:rFonts w:cs="Arial" w:hint="cs"/>
          <w:sz w:val="16"/>
          <w:szCs w:val="16"/>
          <w:rtl/>
        </w:rPr>
        <w:t>,</w:t>
      </w:r>
      <w:r w:rsidRPr="004F76E1">
        <w:rPr>
          <w:rFonts w:cs="Arial"/>
          <w:sz w:val="16"/>
          <w:szCs w:val="16"/>
          <w:rtl/>
        </w:rPr>
        <w:t xml:space="preserve"> וכיון שלא נשבע כעין שבועת התורה דהיינו בנקיטת חפץ הוי ליה כאילו לא נשבע ויכול לחזור בו. י</w:t>
      </w:r>
      <w:r>
        <w:rPr>
          <w:rFonts w:cs="Arial" w:hint="cs"/>
          <w:sz w:val="16"/>
          <w:szCs w:val="16"/>
          <w:rtl/>
        </w:rPr>
        <w:t>"</w:t>
      </w:r>
      <w:r w:rsidRPr="004F76E1">
        <w:rPr>
          <w:rFonts w:cs="Arial"/>
          <w:sz w:val="16"/>
          <w:szCs w:val="16"/>
          <w:rtl/>
        </w:rPr>
        <w:t>ל דכיון דקי</w:t>
      </w:r>
      <w:r>
        <w:rPr>
          <w:rFonts w:cs="Arial" w:hint="cs"/>
          <w:sz w:val="16"/>
          <w:szCs w:val="16"/>
          <w:rtl/>
        </w:rPr>
        <w:t>י"</w:t>
      </w:r>
      <w:r w:rsidRPr="004F76E1">
        <w:rPr>
          <w:rFonts w:cs="Arial"/>
          <w:sz w:val="16"/>
          <w:szCs w:val="16"/>
          <w:rtl/>
        </w:rPr>
        <w:t>ל דבדאו</w:t>
      </w:r>
      <w:r>
        <w:rPr>
          <w:rFonts w:cs="Arial" w:hint="cs"/>
          <w:sz w:val="16"/>
          <w:szCs w:val="16"/>
          <w:rtl/>
        </w:rPr>
        <w:t>'</w:t>
      </w:r>
      <w:r w:rsidRPr="004F76E1">
        <w:rPr>
          <w:rFonts w:cs="Arial"/>
          <w:sz w:val="16"/>
          <w:szCs w:val="16"/>
          <w:rtl/>
        </w:rPr>
        <w:t xml:space="preserve"> לא מהפכינן הא ודאי לא נתכוין להפך אלא לומר לו אם תשבע אני מאמינך</w:t>
      </w:r>
      <w:r>
        <w:rPr>
          <w:rFonts w:cs="Arial" w:hint="cs"/>
          <w:sz w:val="16"/>
          <w:szCs w:val="16"/>
          <w:rtl/>
        </w:rPr>
        <w:t>,</w:t>
      </w:r>
      <w:r w:rsidRPr="004F76E1">
        <w:rPr>
          <w:rFonts w:cs="Arial"/>
          <w:sz w:val="16"/>
          <w:szCs w:val="16"/>
          <w:rtl/>
        </w:rPr>
        <w:t xml:space="preserve"> וכיון שלא נתכוון להפך כיון שנשבע שוב אין הלה יכול לחזור בו</w:t>
      </w:r>
      <w:r>
        <w:rPr>
          <w:rFonts w:cs="Arial" w:hint="cs"/>
          <w:sz w:val="16"/>
          <w:szCs w:val="16"/>
          <w:rtl/>
        </w:rPr>
        <w:t>.</w:t>
      </w:r>
      <w:r w:rsidRPr="004F76E1">
        <w:rPr>
          <w:rFonts w:cs="Arial"/>
          <w:sz w:val="16"/>
          <w:szCs w:val="16"/>
          <w:rtl/>
        </w:rPr>
        <w:t xml:space="preserve"> ואפילו אם נתכוון להפך כבר כתב רבינו בסי</w:t>
      </w:r>
      <w:r>
        <w:rPr>
          <w:rFonts w:cs="Arial" w:hint="cs"/>
          <w:sz w:val="16"/>
          <w:szCs w:val="16"/>
          <w:rtl/>
        </w:rPr>
        <w:t>'</w:t>
      </w:r>
      <w:r w:rsidRPr="004F76E1">
        <w:rPr>
          <w:rFonts w:cs="Arial"/>
          <w:sz w:val="16"/>
          <w:szCs w:val="16"/>
          <w:rtl/>
        </w:rPr>
        <w:t xml:space="preserve"> פ"ז (סי"ז) שלדעת רבי שמואל בן חפני אין בידם להפך</w:t>
      </w:r>
      <w:r>
        <w:rPr>
          <w:rFonts w:cs="Arial" w:hint="cs"/>
          <w:sz w:val="16"/>
          <w:szCs w:val="16"/>
          <w:rtl/>
        </w:rPr>
        <w:t>.</w:t>
      </w:r>
      <w:r w:rsidRPr="004F76E1">
        <w:rPr>
          <w:rFonts w:cs="Arial"/>
          <w:sz w:val="16"/>
          <w:szCs w:val="16"/>
          <w:rtl/>
        </w:rPr>
        <w:t xml:space="preserve"> ואפילו לדברי הרי"ף (שו"ת סי' סט) שיש בידם להפך</w:t>
      </w:r>
      <w:r>
        <w:rPr>
          <w:rFonts w:cs="Arial" w:hint="cs"/>
          <w:sz w:val="16"/>
          <w:szCs w:val="16"/>
          <w:rtl/>
        </w:rPr>
        <w:t>,</w:t>
      </w:r>
      <w:r w:rsidRPr="004F76E1">
        <w:rPr>
          <w:rFonts w:cs="Arial"/>
          <w:sz w:val="16"/>
          <w:szCs w:val="16"/>
          <w:rtl/>
        </w:rPr>
        <w:t xml:space="preserve"> מ</w:t>
      </w:r>
      <w:r w:rsidRPr="004F76E1">
        <w:rPr>
          <w:rFonts w:cs="Arial" w:hint="cs"/>
          <w:sz w:val="16"/>
          <w:szCs w:val="16"/>
          <w:rtl/>
        </w:rPr>
        <w:t>"מ</w:t>
      </w:r>
      <w:r w:rsidRPr="004F76E1">
        <w:rPr>
          <w:rFonts w:cs="Arial"/>
          <w:sz w:val="16"/>
          <w:szCs w:val="16"/>
          <w:rtl/>
        </w:rPr>
        <w:t xml:space="preserve"> כיון שנשבע א</w:t>
      </w:r>
      <w:r w:rsidRPr="004F76E1">
        <w:rPr>
          <w:rFonts w:cs="Arial" w:hint="cs"/>
          <w:sz w:val="16"/>
          <w:szCs w:val="16"/>
          <w:rtl/>
        </w:rPr>
        <w:t>ע"ג</w:t>
      </w:r>
      <w:r w:rsidRPr="004F76E1">
        <w:rPr>
          <w:rFonts w:cs="Arial"/>
          <w:sz w:val="16"/>
          <w:szCs w:val="16"/>
          <w:rtl/>
        </w:rPr>
        <w:t xml:space="preserve"> דלא נקט חפצא בידיה אין הלה יכול לחזור בו שהרי כתב הר"ן בפ</w:t>
      </w:r>
      <w:r>
        <w:rPr>
          <w:rFonts w:cs="Arial" w:hint="cs"/>
          <w:sz w:val="16"/>
          <w:szCs w:val="16"/>
          <w:rtl/>
        </w:rPr>
        <w:t>'</w:t>
      </w:r>
      <w:r w:rsidRPr="004F76E1">
        <w:rPr>
          <w:rFonts w:cs="Arial"/>
          <w:sz w:val="16"/>
          <w:szCs w:val="16"/>
          <w:rtl/>
        </w:rPr>
        <w:t xml:space="preserve"> שבועת הדיינים (יח. ד"ה גרסי') שפירשו המפרשים שלא בתורה הוא נשבע אלא שאוחז ספר תורה בזרועו כדי לאיים עליו</w:t>
      </w:r>
      <w:r>
        <w:rPr>
          <w:rFonts w:cs="Arial" w:hint="cs"/>
          <w:sz w:val="16"/>
          <w:szCs w:val="16"/>
          <w:rtl/>
        </w:rPr>
        <w:t>,</w:t>
      </w:r>
      <w:r w:rsidRPr="004F76E1">
        <w:rPr>
          <w:rFonts w:cs="Arial"/>
          <w:sz w:val="16"/>
          <w:szCs w:val="16"/>
          <w:rtl/>
        </w:rPr>
        <w:t xml:space="preserve"> וכיון דאנקוטי חפצא לאו מעיקר שבועה הוא אלא משום איום</w:t>
      </w:r>
      <w:r>
        <w:rPr>
          <w:rFonts w:cs="Arial" w:hint="cs"/>
          <w:sz w:val="16"/>
          <w:szCs w:val="16"/>
          <w:rtl/>
        </w:rPr>
        <w:t xml:space="preserve">, </w:t>
      </w:r>
      <w:r w:rsidRPr="004F76E1">
        <w:rPr>
          <w:rFonts w:cs="Arial"/>
          <w:sz w:val="16"/>
          <w:szCs w:val="16"/>
          <w:rtl/>
        </w:rPr>
        <w:t>אע</w:t>
      </w:r>
      <w:r w:rsidRPr="004F76E1">
        <w:rPr>
          <w:rFonts w:cs="Arial" w:hint="cs"/>
          <w:sz w:val="16"/>
          <w:szCs w:val="16"/>
          <w:rtl/>
        </w:rPr>
        <w:t>"</w:t>
      </w:r>
      <w:r w:rsidRPr="004F76E1">
        <w:rPr>
          <w:rFonts w:cs="Arial"/>
          <w:sz w:val="16"/>
          <w:szCs w:val="16"/>
          <w:rtl/>
        </w:rPr>
        <w:t>ג דדיינא דאשבע חוזר</w:t>
      </w:r>
      <w:r>
        <w:rPr>
          <w:rFonts w:cs="Arial" w:hint="cs"/>
          <w:sz w:val="16"/>
          <w:szCs w:val="16"/>
          <w:rtl/>
        </w:rPr>
        <w:t>,</w:t>
      </w:r>
      <w:r w:rsidRPr="004F76E1">
        <w:rPr>
          <w:rFonts w:cs="Arial"/>
          <w:sz w:val="16"/>
          <w:szCs w:val="16"/>
          <w:rtl/>
        </w:rPr>
        <w:t xml:space="preserve"> לענין זה שהאמינו בשבועתו נראה דאינו יכול לחזור בו</w:t>
      </w:r>
      <w:r>
        <w:rPr>
          <w:rFonts w:cs="Arial" w:hint="cs"/>
          <w:sz w:val="16"/>
          <w:szCs w:val="16"/>
          <w:rtl/>
        </w:rPr>
        <w:t>,</w:t>
      </w:r>
      <w:r w:rsidRPr="004F76E1">
        <w:rPr>
          <w:rFonts w:cs="Arial"/>
          <w:sz w:val="16"/>
          <w:szCs w:val="16"/>
          <w:rtl/>
        </w:rPr>
        <w:t xml:space="preserve"> כיון שנשבע עיקר שבועה אע</w:t>
      </w:r>
      <w:r w:rsidRPr="004F76E1">
        <w:rPr>
          <w:rFonts w:cs="Arial" w:hint="cs"/>
          <w:sz w:val="16"/>
          <w:szCs w:val="16"/>
          <w:rtl/>
        </w:rPr>
        <w:t>"</w:t>
      </w:r>
      <w:r w:rsidRPr="004F76E1">
        <w:rPr>
          <w:rFonts w:cs="Arial"/>
          <w:sz w:val="16"/>
          <w:szCs w:val="16"/>
          <w:rtl/>
        </w:rPr>
        <w:t>פ שחסר האיום</w:t>
      </w:r>
      <w:r>
        <w:rPr>
          <w:rFonts w:cs="Arial" w:hint="cs"/>
          <w:sz w:val="16"/>
          <w:szCs w:val="16"/>
          <w:rtl/>
        </w:rPr>
        <w:t>,</w:t>
      </w:r>
      <w:r w:rsidRPr="004F76E1">
        <w:rPr>
          <w:rFonts w:cs="Arial"/>
          <w:sz w:val="16"/>
          <w:szCs w:val="16"/>
          <w:rtl/>
        </w:rPr>
        <w:t xml:space="preserve"> וחוזר ונשבע בנקיטת חפץ ונוטל</w:t>
      </w:r>
      <w:r>
        <w:rPr>
          <w:rFonts w:cs="Arial" w:hint="cs"/>
          <w:sz w:val="16"/>
          <w:szCs w:val="16"/>
          <w:rtl/>
        </w:rPr>
        <w:t>.</w:t>
      </w:r>
      <w:r w:rsidRPr="004F76E1">
        <w:rPr>
          <w:rFonts w:cs="Arial"/>
          <w:sz w:val="16"/>
          <w:szCs w:val="16"/>
          <w:rtl/>
        </w:rPr>
        <w:t xml:space="preserve"> </w:t>
      </w:r>
      <w:r w:rsidRPr="0029013F">
        <w:rPr>
          <w:rFonts w:cs="Arial" w:hint="cs"/>
          <w:color w:val="00B0F0"/>
          <w:sz w:val="16"/>
          <w:szCs w:val="16"/>
          <w:rtl/>
        </w:rPr>
        <w:t>(וכ"פ רמ"א)</w:t>
      </w:r>
      <w:r>
        <w:rPr>
          <w:rFonts w:cs="Arial" w:hint="cs"/>
          <w:sz w:val="16"/>
          <w:szCs w:val="16"/>
          <w:rtl/>
        </w:rPr>
        <w:t xml:space="preserve">. </w:t>
      </w:r>
      <w:r w:rsidRPr="004F76E1">
        <w:rPr>
          <w:rFonts w:cs="Arial"/>
          <w:sz w:val="16"/>
          <w:szCs w:val="16"/>
          <w:rtl/>
        </w:rPr>
        <w:t>ואם תאמר כיון שצריך לחזור ולישבע אכתי לא הוי גמר דין ויכול לחזור. י"ל דלאו מתורת גמר דין אתינן עליה אלא משום דהימניה בשבועתיה</w:t>
      </w:r>
      <w:r>
        <w:rPr>
          <w:rFonts w:cs="Arial" w:hint="cs"/>
          <w:sz w:val="16"/>
          <w:szCs w:val="16"/>
          <w:rtl/>
        </w:rPr>
        <w:t>.</w:t>
      </w:r>
      <w:r w:rsidRPr="004F76E1">
        <w:rPr>
          <w:rFonts w:cs="Arial"/>
          <w:sz w:val="16"/>
          <w:szCs w:val="16"/>
          <w:rtl/>
        </w:rPr>
        <w:t xml:space="preserve"> וכ</w:t>
      </w:r>
      <w:r w:rsidRPr="004F76E1">
        <w:rPr>
          <w:rFonts w:cs="Arial" w:hint="cs"/>
          <w:sz w:val="16"/>
          <w:szCs w:val="16"/>
          <w:rtl/>
        </w:rPr>
        <w:t>"כ</w:t>
      </w:r>
      <w:r w:rsidRPr="004F76E1">
        <w:rPr>
          <w:rFonts w:cs="Arial"/>
          <w:sz w:val="16"/>
          <w:szCs w:val="16"/>
          <w:rtl/>
        </w:rPr>
        <w:t xml:space="preserve"> בנמוק</w:t>
      </w:r>
      <w:r w:rsidRPr="004F76E1">
        <w:rPr>
          <w:rFonts w:cs="Arial" w:hint="cs"/>
          <w:sz w:val="16"/>
          <w:szCs w:val="16"/>
          <w:rtl/>
        </w:rPr>
        <w:t>"</w:t>
      </w:r>
      <w:r w:rsidRPr="004F76E1">
        <w:rPr>
          <w:rFonts w:cs="Arial"/>
          <w:sz w:val="16"/>
          <w:szCs w:val="16"/>
          <w:rtl/>
        </w:rPr>
        <w:t xml:space="preserve">י </w:t>
      </w:r>
      <w:r w:rsidRPr="0029013F">
        <w:rPr>
          <w:rFonts w:cs="Arial"/>
          <w:sz w:val="14"/>
          <w:szCs w:val="14"/>
          <w:rtl/>
        </w:rPr>
        <w:t xml:space="preserve">(ב"ב שם) </w:t>
      </w:r>
      <w:r w:rsidRPr="004F76E1">
        <w:rPr>
          <w:rFonts w:cs="Arial"/>
          <w:sz w:val="16"/>
          <w:szCs w:val="16"/>
          <w:rtl/>
        </w:rPr>
        <w:t>דאמר לו שלא בפני ב</w:t>
      </w:r>
      <w:r w:rsidRPr="004F76E1">
        <w:rPr>
          <w:rFonts w:cs="Arial" w:hint="cs"/>
          <w:sz w:val="16"/>
          <w:szCs w:val="16"/>
          <w:rtl/>
        </w:rPr>
        <w:t>"</w:t>
      </w:r>
      <w:r w:rsidRPr="004F76E1">
        <w:rPr>
          <w:rFonts w:cs="Arial"/>
          <w:sz w:val="16"/>
          <w:szCs w:val="16"/>
          <w:rtl/>
        </w:rPr>
        <w:t>ד השבע וטול אחר שנשבע אינו יכול לחזור בו דהוי ליה כאילו אמר לו אני מאמין לך שהדין עמך אם תשבע וכיון שהאמינו שוב אינו חוזר. ואם כופר ואומר לא אמרתי לך אם תשבע אני אשלם ישבע שלא אמר לו כן</w:t>
      </w:r>
      <w:r w:rsidRPr="004F76E1">
        <w:rPr>
          <w:rFonts w:cs="Arial" w:hint="cs"/>
          <w:sz w:val="16"/>
          <w:szCs w:val="16"/>
          <w:rtl/>
        </w:rPr>
        <w:t>,</w:t>
      </w:r>
      <w:r w:rsidRPr="004F76E1">
        <w:rPr>
          <w:rFonts w:cs="Arial"/>
          <w:sz w:val="16"/>
          <w:szCs w:val="16"/>
          <w:rtl/>
        </w:rPr>
        <w:t xml:space="preserve"> וכמ</w:t>
      </w:r>
      <w:r>
        <w:rPr>
          <w:rFonts w:cs="Arial" w:hint="cs"/>
          <w:sz w:val="16"/>
          <w:szCs w:val="16"/>
          <w:rtl/>
        </w:rPr>
        <w:t>"</w:t>
      </w:r>
      <w:r w:rsidRPr="004F76E1">
        <w:rPr>
          <w:rFonts w:cs="Arial"/>
          <w:sz w:val="16"/>
          <w:szCs w:val="16"/>
          <w:rtl/>
        </w:rPr>
        <w:t>ש רבינו בסי</w:t>
      </w:r>
      <w:r>
        <w:rPr>
          <w:rFonts w:cs="Arial" w:hint="cs"/>
          <w:sz w:val="16"/>
          <w:szCs w:val="16"/>
          <w:rtl/>
        </w:rPr>
        <w:t>'</w:t>
      </w:r>
      <w:r w:rsidRPr="004F76E1">
        <w:rPr>
          <w:rFonts w:cs="Arial"/>
          <w:sz w:val="16"/>
          <w:szCs w:val="16"/>
          <w:rtl/>
        </w:rPr>
        <w:t xml:space="preserve"> זה (ס"ב) בכופר ואומר לא קבלתיו עלי לדון</w:t>
      </w:r>
      <w:r>
        <w:rPr>
          <w:rFonts w:cs="Arial" w:hint="cs"/>
          <w:sz w:val="16"/>
          <w:szCs w:val="16"/>
          <w:rtl/>
        </w:rPr>
        <w:t>)</w:t>
      </w:r>
      <w:r>
        <w:rPr>
          <w:rFonts w:cs="Arial" w:hint="cs"/>
          <w:rtl/>
        </w:rPr>
        <w:t>.</w:t>
      </w:r>
      <w:r>
        <w:rPr>
          <w:rFonts w:hint="cs"/>
          <w:rtl/>
        </w:rPr>
        <w:t xml:space="preserve"> אך </w:t>
      </w:r>
      <w:r>
        <w:rPr>
          <w:rFonts w:cs="Arial" w:hint="cs"/>
          <w:rtl/>
        </w:rPr>
        <w:t>הש"ך (סקט"ו) כתב ד</w:t>
      </w:r>
      <w:r w:rsidRPr="00561C20">
        <w:rPr>
          <w:rFonts w:cs="Arial"/>
          <w:rtl/>
        </w:rPr>
        <w:t xml:space="preserve">מ"ש </w:t>
      </w:r>
      <w:r>
        <w:rPr>
          <w:rFonts w:cs="Arial" w:hint="cs"/>
          <w:rtl/>
        </w:rPr>
        <w:t>הג"א</w:t>
      </w:r>
      <w:r w:rsidRPr="00561C20">
        <w:rPr>
          <w:rFonts w:cs="Arial"/>
          <w:rtl/>
        </w:rPr>
        <w:t xml:space="preserve"> גם בדור לי בחיי ראשך דחוץ לב"ד יכול לחזור בו</w:t>
      </w:r>
      <w:r>
        <w:rPr>
          <w:rFonts w:cs="Arial" w:hint="cs"/>
          <w:rtl/>
        </w:rPr>
        <w:t>,</w:t>
      </w:r>
      <w:r w:rsidRPr="00561C20">
        <w:rPr>
          <w:rFonts w:cs="Arial"/>
          <w:rtl/>
        </w:rPr>
        <w:t xml:space="preserve"> י"ל </w:t>
      </w:r>
      <w:r>
        <w:rPr>
          <w:rFonts w:cs="Arial" w:hint="cs"/>
          <w:rtl/>
        </w:rPr>
        <w:t>דהג"א</w:t>
      </w:r>
      <w:r w:rsidRPr="00561C20">
        <w:rPr>
          <w:rFonts w:cs="Arial"/>
          <w:rtl/>
        </w:rPr>
        <w:t xml:space="preserve"> ס"ל דגמר דין דדור לי בחיי ראשך הוה כשקיבל עליו לישבע</w:t>
      </w:r>
      <w:r>
        <w:rPr>
          <w:rFonts w:cs="Arial" w:hint="cs"/>
          <w:rtl/>
        </w:rPr>
        <w:t>,</w:t>
      </w:r>
      <w:r w:rsidRPr="00561C20">
        <w:rPr>
          <w:rFonts w:cs="Arial"/>
          <w:rtl/>
        </w:rPr>
        <w:t xml:space="preserve"> כמ"ש הנ"י שם, או כמ"ש ר</w:t>
      </w:r>
      <w:r>
        <w:rPr>
          <w:rFonts w:cs="Arial" w:hint="cs"/>
          <w:rtl/>
        </w:rPr>
        <w:t>י"ו</w:t>
      </w:r>
      <w:r w:rsidRPr="00561C20">
        <w:rPr>
          <w:rFonts w:cs="Arial"/>
          <w:rtl/>
        </w:rPr>
        <w:t xml:space="preserve"> </w:t>
      </w:r>
      <w:r>
        <w:rPr>
          <w:rFonts w:cs="Arial" w:hint="cs"/>
          <w:rtl/>
        </w:rPr>
        <w:t>(שם)</w:t>
      </w:r>
      <w:r w:rsidRPr="00561C20">
        <w:rPr>
          <w:rFonts w:cs="Arial"/>
          <w:rtl/>
        </w:rPr>
        <w:t xml:space="preserve"> כשאמרו לו ב"ד השבע כמו שאמרת הוי גמר דין, ובהא כתב רי</w:t>
      </w:r>
      <w:r>
        <w:rPr>
          <w:rFonts w:cs="Arial" w:hint="cs"/>
          <w:rtl/>
        </w:rPr>
        <w:t>"ו</w:t>
      </w:r>
      <w:r w:rsidRPr="00561C20">
        <w:rPr>
          <w:rFonts w:cs="Arial"/>
          <w:rtl/>
        </w:rPr>
        <w:t xml:space="preserve"> להדיא דאם אמר כן חוץ לב"ד יכול לחזור, אבל כשנשבע זה על פיו מודה הג</w:t>
      </w:r>
      <w:r>
        <w:rPr>
          <w:rFonts w:cs="Arial" w:hint="cs"/>
          <w:rtl/>
        </w:rPr>
        <w:t>"א לרי"ו</w:t>
      </w:r>
      <w:r w:rsidRPr="00561C20">
        <w:rPr>
          <w:rFonts w:cs="Arial"/>
          <w:rtl/>
        </w:rPr>
        <w:t>. וכ"כ הנ</w:t>
      </w:r>
      <w:r>
        <w:rPr>
          <w:rFonts w:cs="Arial" w:hint="cs"/>
          <w:rtl/>
        </w:rPr>
        <w:t>מוק</w:t>
      </w:r>
      <w:r w:rsidRPr="00561C20">
        <w:rPr>
          <w:rFonts w:cs="Arial"/>
          <w:rtl/>
        </w:rPr>
        <w:t>"י שם בשם האחרונים להדיא דגמר דין דשבועה היינו כשקיבל עליו לישבע, וכשא"ל כן בפני ב"ד מיד כשקיבל עליו לא יוכל לחזור בו, אבל חוץ לב"ד יכול לחזור בו. ואם נשבע, מאחר שנשבע על פיו אינו יכול לחזור בו אפילו אמר כן חוץ לב"ד, ע"ש. נמצא ר</w:t>
      </w:r>
      <w:r>
        <w:rPr>
          <w:rFonts w:cs="Arial" w:hint="cs"/>
          <w:rtl/>
        </w:rPr>
        <w:t>י"ו והג"א</w:t>
      </w:r>
      <w:r w:rsidRPr="00561C20">
        <w:rPr>
          <w:rFonts w:cs="Arial"/>
          <w:rtl/>
        </w:rPr>
        <w:t xml:space="preserve"> לא פליגי אהדדי, ואדרבה שניהם לדבר אחד נתכונו</w:t>
      </w:r>
      <w:r>
        <w:rPr>
          <w:rFonts w:cs="Arial" w:hint="cs"/>
          <w:rtl/>
        </w:rPr>
        <w:t>,</w:t>
      </w:r>
      <w:r w:rsidRPr="00561C20">
        <w:rPr>
          <w:rFonts w:cs="Arial"/>
          <w:rtl/>
        </w:rPr>
        <w:t xml:space="preserve"> ודלא כב"י וד"מ. וגם הנ</w:t>
      </w:r>
      <w:r>
        <w:rPr>
          <w:rFonts w:cs="Arial" w:hint="cs"/>
          <w:rtl/>
        </w:rPr>
        <w:t>מוק</w:t>
      </w:r>
      <w:r w:rsidRPr="00561C20">
        <w:rPr>
          <w:rFonts w:cs="Arial"/>
          <w:rtl/>
        </w:rPr>
        <w:t>"י נראה שמודה בדין שבועה להג</w:t>
      </w:r>
      <w:r>
        <w:rPr>
          <w:rFonts w:cs="Arial" w:hint="cs"/>
          <w:rtl/>
        </w:rPr>
        <w:t>"א</w:t>
      </w:r>
      <w:r w:rsidRPr="00561C20">
        <w:rPr>
          <w:rFonts w:cs="Arial"/>
          <w:rtl/>
        </w:rPr>
        <w:t>, ולא פליג עליה רק בדין קיבל עליו קרוב או פסול, ודלא כנראה מב"י וד"מ דפליג הנ"י אהג</w:t>
      </w:r>
      <w:r>
        <w:rPr>
          <w:rFonts w:cs="Arial" w:hint="cs"/>
          <w:rtl/>
        </w:rPr>
        <w:t>"א</w:t>
      </w:r>
      <w:r w:rsidRPr="00561C20">
        <w:rPr>
          <w:rFonts w:cs="Arial"/>
          <w:rtl/>
        </w:rPr>
        <w:t xml:space="preserve"> גם בדין שבועה.</w:t>
      </w:r>
    </w:p>
  </w:footnote>
  <w:footnote w:id="1138">
    <w:p w14:paraId="656C3D2E" w14:textId="77777777" w:rsidR="0013116F" w:rsidRDefault="0013116F">
      <w:pPr>
        <w:pStyle w:val="a9"/>
        <w:rPr>
          <w:rtl/>
        </w:rPr>
      </w:pPr>
      <w:r>
        <w:rPr>
          <w:rStyle w:val="ab"/>
        </w:rPr>
        <w:footnoteRef/>
      </w:r>
      <w:r>
        <w:rPr>
          <w:rtl/>
        </w:rPr>
        <w:t xml:space="preserve"> </w:t>
      </w:r>
      <w:r w:rsidRPr="003A627F">
        <w:rPr>
          <w:rFonts w:cs="Arial"/>
          <w:rtl/>
        </w:rPr>
        <w:t xml:space="preserve">דע"כ לא פליגי ר' מאיר ורבנן פרק זה בורר </w:t>
      </w:r>
      <w:r>
        <w:rPr>
          <w:rFonts w:cs="Arial" w:hint="cs"/>
          <w:rtl/>
        </w:rPr>
        <w:t>(</w:t>
      </w:r>
      <w:r w:rsidRPr="003A627F">
        <w:rPr>
          <w:rFonts w:cs="Arial"/>
          <w:rtl/>
        </w:rPr>
        <w:t>כד.</w:t>
      </w:r>
      <w:r>
        <w:rPr>
          <w:rFonts w:cs="Arial" w:hint="cs"/>
          <w:rtl/>
        </w:rPr>
        <w:t>)</w:t>
      </w:r>
      <w:r w:rsidRPr="003A627F">
        <w:rPr>
          <w:rFonts w:cs="Arial"/>
          <w:rtl/>
        </w:rPr>
        <w:t xml:space="preserve"> גבי נאמן עלי אבא וגבי דור לי בחיי ראשך אם יכול לחזור בו או לא אלא לאחר גמר דין אבל קודם גמר דין דברי הכל יכול לחזור בו כדאמרינן התם בגמרא</w:t>
      </w:r>
      <w:r>
        <w:rPr>
          <w:rFonts w:hint="cs"/>
          <w:rtl/>
        </w:rPr>
        <w:t>, מרדכי.</w:t>
      </w:r>
    </w:p>
  </w:footnote>
  <w:footnote w:id="1139">
    <w:p w14:paraId="04740A3F" w14:textId="77777777" w:rsidR="0013116F" w:rsidRDefault="0013116F">
      <w:pPr>
        <w:pStyle w:val="a9"/>
        <w:rPr>
          <w:rtl/>
        </w:rPr>
      </w:pPr>
      <w:r>
        <w:rPr>
          <w:rStyle w:val="ab"/>
        </w:rPr>
        <w:footnoteRef/>
      </w:r>
      <w:r>
        <w:rPr>
          <w:rtl/>
        </w:rPr>
        <w:t xml:space="preserve"> </w:t>
      </w:r>
      <w:r w:rsidRPr="0029013F">
        <w:rPr>
          <w:rFonts w:cs="Arial"/>
          <w:rtl/>
        </w:rPr>
        <w:t>פירוש, שבועה חמורה שנתחייב התובע לישבע וליטול או הנתבע ליפטר, ואמר לו הבע"ד השני להקל מעליו השבועה החמורה ולקבל ממנו במקומה שבועה קלה דבחיי ראשו לפוטרו או ליתן ע"י</w:t>
      </w:r>
      <w:r>
        <w:rPr>
          <w:rFonts w:hint="cs"/>
          <w:rtl/>
        </w:rPr>
        <w:t>, סמ"ע (סקט"ז).</w:t>
      </w:r>
    </w:p>
  </w:footnote>
  <w:footnote w:id="1140">
    <w:p w14:paraId="72B9C204" w14:textId="77777777" w:rsidR="0013116F" w:rsidRDefault="0013116F">
      <w:pPr>
        <w:pStyle w:val="a9"/>
        <w:rPr>
          <w:rtl/>
        </w:rPr>
      </w:pPr>
      <w:r>
        <w:rPr>
          <w:rStyle w:val="ab"/>
        </w:rPr>
        <w:footnoteRef/>
      </w:r>
      <w:r>
        <w:rPr>
          <w:rtl/>
        </w:rPr>
        <w:t xml:space="preserve"> </w:t>
      </w:r>
      <w:r w:rsidRPr="0029013F">
        <w:rPr>
          <w:rFonts w:cs="Arial"/>
          <w:rtl/>
        </w:rPr>
        <w:t xml:space="preserve">לאפוקי שבועה חמורה דאינו יכול להפכה כמ"ש הטור והמחבר בסימן פ"ז </w:t>
      </w:r>
      <w:r w:rsidRPr="004D3578">
        <w:rPr>
          <w:rFonts w:cs="Arial"/>
          <w:sz w:val="16"/>
          <w:szCs w:val="16"/>
          <w:rtl/>
        </w:rPr>
        <w:t xml:space="preserve">[טור סעיף י"א ומחבר סעיף י"ח] </w:t>
      </w:r>
      <w:r w:rsidRPr="0029013F">
        <w:rPr>
          <w:rFonts w:cs="Arial"/>
          <w:rtl/>
        </w:rPr>
        <w:t>ע"ש</w:t>
      </w:r>
      <w:r>
        <w:rPr>
          <w:rFonts w:hint="cs"/>
          <w:rtl/>
        </w:rPr>
        <w:t>, סמ"ע (סקי"ח).</w:t>
      </w:r>
    </w:p>
  </w:footnote>
  <w:footnote w:id="1141">
    <w:p w14:paraId="5B54F6F5" w14:textId="77777777" w:rsidR="0013116F" w:rsidRDefault="0013116F">
      <w:pPr>
        <w:pStyle w:val="a9"/>
        <w:rPr>
          <w:rtl/>
        </w:rPr>
      </w:pPr>
      <w:r>
        <w:rPr>
          <w:rStyle w:val="ab"/>
        </w:rPr>
        <w:footnoteRef/>
      </w:r>
      <w:r>
        <w:rPr>
          <w:rtl/>
        </w:rPr>
        <w:t xml:space="preserve"> </w:t>
      </w:r>
      <w:r w:rsidRPr="004D3578">
        <w:rPr>
          <w:rFonts w:cs="Arial"/>
          <w:rtl/>
        </w:rPr>
        <w:t xml:space="preserve">בדרישה ובפרישה </w:t>
      </w:r>
      <w:r w:rsidRPr="004D3578">
        <w:rPr>
          <w:rFonts w:cs="Arial"/>
          <w:sz w:val="16"/>
          <w:szCs w:val="16"/>
          <w:rtl/>
        </w:rPr>
        <w:t>[</w:t>
      </w:r>
      <w:r>
        <w:rPr>
          <w:rFonts w:cs="Arial" w:hint="cs"/>
          <w:sz w:val="16"/>
          <w:szCs w:val="16"/>
          <w:rtl/>
        </w:rPr>
        <w:t>סע' ו</w:t>
      </w:r>
      <w:r w:rsidRPr="004D3578">
        <w:rPr>
          <w:rFonts w:cs="Arial"/>
          <w:sz w:val="16"/>
          <w:szCs w:val="16"/>
          <w:rtl/>
        </w:rPr>
        <w:t xml:space="preserve">] </w:t>
      </w:r>
      <w:r w:rsidRPr="004D3578">
        <w:rPr>
          <w:rFonts w:cs="Arial"/>
          <w:rtl/>
        </w:rPr>
        <w:t xml:space="preserve">הוכחתי דס"ל לרש"י והרא"ש כן בכל הדינים הנ"ל ובכיוצא באלו, דמה שקיבל עליו בפני ב"ד ויצא מלפניהן זהו נקרא גמר דין ואינו יכול לחזור בו, והר"ן </w:t>
      </w:r>
      <w:r w:rsidRPr="004D3578">
        <w:rPr>
          <w:rFonts w:cs="Arial"/>
          <w:sz w:val="16"/>
          <w:szCs w:val="16"/>
          <w:rtl/>
        </w:rPr>
        <w:t>[שבועות יח</w:t>
      </w:r>
      <w:r w:rsidRPr="004D3578">
        <w:rPr>
          <w:rFonts w:cs="Arial" w:hint="cs"/>
          <w:sz w:val="16"/>
          <w:szCs w:val="16"/>
          <w:rtl/>
        </w:rPr>
        <w:t xml:space="preserve">: </w:t>
      </w:r>
      <w:r w:rsidRPr="004D3578">
        <w:rPr>
          <w:rFonts w:cs="Arial"/>
          <w:sz w:val="16"/>
          <w:szCs w:val="16"/>
          <w:rtl/>
        </w:rPr>
        <w:t>מד</w:t>
      </w:r>
      <w:r w:rsidRPr="004D3578">
        <w:rPr>
          <w:rFonts w:cs="Arial" w:hint="cs"/>
          <w:sz w:val="16"/>
          <w:szCs w:val="16"/>
          <w:rtl/>
        </w:rPr>
        <w:t>פה"ר</w:t>
      </w:r>
      <w:r w:rsidRPr="004D3578">
        <w:rPr>
          <w:rFonts w:cs="Arial"/>
          <w:sz w:val="16"/>
          <w:szCs w:val="16"/>
          <w:rtl/>
        </w:rPr>
        <w:t xml:space="preserve">] </w:t>
      </w:r>
      <w:r w:rsidRPr="004D3578">
        <w:rPr>
          <w:rFonts w:cs="Arial"/>
          <w:rtl/>
        </w:rPr>
        <w:t xml:space="preserve">ונ"י </w:t>
      </w:r>
      <w:r w:rsidRPr="004D3578">
        <w:rPr>
          <w:rFonts w:cs="Arial"/>
          <w:sz w:val="16"/>
          <w:szCs w:val="16"/>
          <w:rtl/>
        </w:rPr>
        <w:t>[ב"מ יח</w:t>
      </w:r>
      <w:r w:rsidRPr="004D3578">
        <w:rPr>
          <w:rFonts w:cs="Arial" w:hint="cs"/>
          <w:sz w:val="16"/>
          <w:szCs w:val="16"/>
          <w:rtl/>
        </w:rPr>
        <w:t>: מדפה"ר</w:t>
      </w:r>
      <w:r w:rsidRPr="004D3578">
        <w:rPr>
          <w:rFonts w:cs="Arial"/>
          <w:sz w:val="16"/>
          <w:szCs w:val="16"/>
          <w:rtl/>
        </w:rPr>
        <w:t xml:space="preserve">] </w:t>
      </w:r>
      <w:r w:rsidRPr="004D3578">
        <w:rPr>
          <w:rFonts w:cs="Arial"/>
          <w:rtl/>
        </w:rPr>
        <w:t xml:space="preserve">כתבו עוד, דלרש"י אפילו לא יצא מהב"ד אלא שאינן עסוקין עדיין באותו ענין, נמי מיקרי יוצא מלפניהן ונגמר הדין הוא ואינו יכול לחזור בו [ובד"מ </w:t>
      </w:r>
      <w:r w:rsidRPr="004D3578">
        <w:rPr>
          <w:rFonts w:cs="Arial"/>
          <w:sz w:val="16"/>
          <w:szCs w:val="16"/>
          <w:rtl/>
        </w:rPr>
        <w:t xml:space="preserve">[סעיף ה'] </w:t>
      </w:r>
      <w:r w:rsidRPr="004D3578">
        <w:rPr>
          <w:rFonts w:cs="Arial"/>
          <w:rtl/>
        </w:rPr>
        <w:t xml:space="preserve">כתב בשם הרא"ש ורי"ו דלא פירשו לדברי רש"י כן], וכתבו שכן גם כן דעת הרי"ף, וטעמם דכל מה שמקבל אדם בבית דין אינו יכול לחזור בו, אלא דכל זמן שעסוקים באותו ענין לא עדיף מקנין דיכולים לחזור בהן בכה"ג, וכמ"ש הטור והמחבר לקמן בסימן קצ"ה </w:t>
      </w:r>
      <w:r w:rsidRPr="004D3578">
        <w:rPr>
          <w:rFonts w:cs="Arial"/>
          <w:sz w:val="16"/>
          <w:szCs w:val="16"/>
          <w:rtl/>
        </w:rPr>
        <w:t>[טור סע</w:t>
      </w:r>
      <w:r w:rsidRPr="004D3578">
        <w:rPr>
          <w:rFonts w:cs="Arial" w:hint="cs"/>
          <w:sz w:val="16"/>
          <w:szCs w:val="16"/>
          <w:rtl/>
        </w:rPr>
        <w:t>'</w:t>
      </w:r>
      <w:r w:rsidRPr="004D3578">
        <w:rPr>
          <w:rFonts w:cs="Arial"/>
          <w:sz w:val="16"/>
          <w:szCs w:val="16"/>
          <w:rtl/>
        </w:rPr>
        <w:t xml:space="preserve"> יב ומחבר סע</w:t>
      </w:r>
      <w:r w:rsidRPr="004D3578">
        <w:rPr>
          <w:rFonts w:cs="Arial" w:hint="cs"/>
          <w:sz w:val="16"/>
          <w:szCs w:val="16"/>
          <w:rtl/>
        </w:rPr>
        <w:t>'</w:t>
      </w:r>
      <w:r w:rsidRPr="004D3578">
        <w:rPr>
          <w:rFonts w:cs="Arial"/>
          <w:sz w:val="16"/>
          <w:szCs w:val="16"/>
          <w:rtl/>
        </w:rPr>
        <w:t xml:space="preserve"> ו] </w:t>
      </w:r>
      <w:r w:rsidRPr="004D3578">
        <w:rPr>
          <w:rFonts w:cs="Arial"/>
          <w:rtl/>
        </w:rPr>
        <w:t>ע"ש, אבל אם קיבל עליו שלא בב"ד, כה"ג לא מצינו בהן גמר דין כ"א אחר שכבר נשבע</w:t>
      </w:r>
      <w:r>
        <w:rPr>
          <w:rFonts w:hint="cs"/>
          <w:rtl/>
        </w:rPr>
        <w:t>, סמ"ע (סק"כ).</w:t>
      </w:r>
    </w:p>
  </w:footnote>
  <w:footnote w:id="1142">
    <w:p w14:paraId="6592F73C" w14:textId="77777777" w:rsidR="0013116F" w:rsidRDefault="0013116F">
      <w:pPr>
        <w:pStyle w:val="a9"/>
        <w:rPr>
          <w:rtl/>
        </w:rPr>
      </w:pPr>
      <w:r>
        <w:rPr>
          <w:rStyle w:val="ab"/>
        </w:rPr>
        <w:footnoteRef/>
      </w:r>
      <w:r>
        <w:rPr>
          <w:rtl/>
        </w:rPr>
        <w:t xml:space="preserve"> </w:t>
      </w:r>
      <w:r w:rsidRPr="004D3578">
        <w:rPr>
          <w:rFonts w:cs="Arial"/>
          <w:rtl/>
        </w:rPr>
        <w:t xml:space="preserve">הוא ר"ת וסיעתו, שכתבו התוס' </w:t>
      </w:r>
      <w:r w:rsidRPr="00805CEF">
        <w:rPr>
          <w:rFonts w:cs="Arial" w:hint="cs"/>
          <w:sz w:val="16"/>
          <w:szCs w:val="16"/>
          <w:rtl/>
        </w:rPr>
        <w:t>(</w:t>
      </w:r>
      <w:r w:rsidRPr="00805CEF">
        <w:rPr>
          <w:rFonts w:cs="Arial"/>
          <w:sz w:val="16"/>
          <w:szCs w:val="16"/>
          <w:rtl/>
        </w:rPr>
        <w:t>שבועות לט</w:t>
      </w:r>
      <w:r w:rsidRPr="00805CEF">
        <w:rPr>
          <w:rFonts w:cs="Arial" w:hint="cs"/>
          <w:sz w:val="16"/>
          <w:szCs w:val="16"/>
          <w:rtl/>
        </w:rPr>
        <w:t>:</w:t>
      </w:r>
      <w:r w:rsidRPr="00805CEF">
        <w:rPr>
          <w:rFonts w:cs="Arial"/>
          <w:sz w:val="16"/>
          <w:szCs w:val="16"/>
          <w:rtl/>
        </w:rPr>
        <w:t xml:space="preserve"> ד"ה אם</w:t>
      </w:r>
      <w:r>
        <w:rPr>
          <w:rFonts w:cs="Arial" w:hint="cs"/>
          <w:sz w:val="16"/>
          <w:szCs w:val="16"/>
          <w:rtl/>
        </w:rPr>
        <w:t>)</w:t>
      </w:r>
      <w:r w:rsidRPr="00805CEF">
        <w:rPr>
          <w:rFonts w:cs="Arial"/>
          <w:sz w:val="16"/>
          <w:szCs w:val="16"/>
          <w:rtl/>
        </w:rPr>
        <w:t xml:space="preserve"> </w:t>
      </w:r>
      <w:r w:rsidRPr="004D3578">
        <w:rPr>
          <w:rFonts w:cs="Arial"/>
          <w:rtl/>
        </w:rPr>
        <w:t xml:space="preserve">והרא"ש בשמו </w:t>
      </w:r>
      <w:r w:rsidRPr="00903D47">
        <w:rPr>
          <w:rFonts w:cs="Arial" w:hint="cs"/>
          <w:sz w:val="16"/>
          <w:szCs w:val="16"/>
          <w:rtl/>
        </w:rPr>
        <w:t>(</w:t>
      </w:r>
      <w:r w:rsidRPr="00903D47">
        <w:rPr>
          <w:rFonts w:cs="Arial"/>
          <w:sz w:val="16"/>
          <w:szCs w:val="16"/>
          <w:rtl/>
        </w:rPr>
        <w:t>בפרק ז"ב [סי' ה] ובפרק שבועות הדיינים [סי' ג]</w:t>
      </w:r>
      <w:r>
        <w:rPr>
          <w:rFonts w:cs="Arial" w:hint="cs"/>
          <w:sz w:val="16"/>
          <w:szCs w:val="16"/>
          <w:rtl/>
        </w:rPr>
        <w:t>)</w:t>
      </w:r>
      <w:r w:rsidRPr="00903D47">
        <w:rPr>
          <w:rFonts w:cs="Arial"/>
          <w:sz w:val="16"/>
          <w:szCs w:val="16"/>
          <w:rtl/>
        </w:rPr>
        <w:t xml:space="preserve"> </w:t>
      </w:r>
      <w:r w:rsidRPr="004D3578">
        <w:rPr>
          <w:rFonts w:cs="Arial"/>
          <w:rtl/>
        </w:rPr>
        <w:t>דאפילו אם אומר לא אשבע ואשלם ויצא יכול לחזור בו, ע"ש ובתוס' פרק המפקיד [לד</w:t>
      </w:r>
      <w:r>
        <w:rPr>
          <w:rFonts w:cs="Arial" w:hint="cs"/>
          <w:rtl/>
        </w:rPr>
        <w:t>:</w:t>
      </w:r>
      <w:r w:rsidRPr="004D3578">
        <w:rPr>
          <w:rFonts w:cs="Arial"/>
          <w:rtl/>
        </w:rPr>
        <w:t xml:space="preserve"> ד"ה וחזר] דכתבו דשוב מצאו דחזר בו ר"ת וס"ל דקבלה בב"ד הוה קבלה, וכ</w:t>
      </w:r>
      <w:r>
        <w:rPr>
          <w:rFonts w:cs="Arial" w:hint="cs"/>
          <w:rtl/>
        </w:rPr>
        <w:t>"</w:t>
      </w:r>
      <w:r w:rsidRPr="004D3578">
        <w:rPr>
          <w:rFonts w:cs="Arial"/>
          <w:rtl/>
        </w:rPr>
        <w:t>כ המרדכי פרק י"נ [סי' תקפב] ע"ש</w:t>
      </w:r>
      <w:r>
        <w:rPr>
          <w:rFonts w:cs="Arial" w:hint="cs"/>
          <w:rtl/>
        </w:rPr>
        <w:t>.</w:t>
      </w:r>
    </w:p>
  </w:footnote>
  <w:footnote w:id="1143">
    <w:p w14:paraId="522397A8" w14:textId="77777777" w:rsidR="0013116F" w:rsidRPr="003C6CA0" w:rsidRDefault="0013116F">
      <w:pPr>
        <w:pStyle w:val="a9"/>
        <w:rPr>
          <w:color w:val="000000" w:themeColor="text1"/>
          <w:rtl/>
        </w:rPr>
      </w:pPr>
      <w:r w:rsidRPr="003C6CA0">
        <w:rPr>
          <w:rStyle w:val="ab"/>
          <w:color w:val="000000" w:themeColor="text1"/>
        </w:rPr>
        <w:footnoteRef/>
      </w:r>
      <w:r w:rsidRPr="003C6CA0">
        <w:rPr>
          <w:color w:val="000000" w:themeColor="text1"/>
          <w:rtl/>
        </w:rPr>
        <w:t xml:space="preserve"> </w:t>
      </w:r>
      <w:r>
        <w:rPr>
          <w:rFonts w:hint="cs"/>
          <w:color w:val="000000" w:themeColor="text1"/>
          <w:rtl/>
        </w:rPr>
        <w:t>ו</w:t>
      </w:r>
      <w:r w:rsidRPr="003C6CA0">
        <w:rPr>
          <w:rFonts w:hint="cs"/>
          <w:color w:val="000000" w:themeColor="text1"/>
          <w:rtl/>
        </w:rPr>
        <w:t>בש"ך (סקי"ט-כ) חולק על הב"י</w:t>
      </w:r>
      <w:r>
        <w:rPr>
          <w:rFonts w:hint="cs"/>
          <w:color w:val="000000" w:themeColor="text1"/>
          <w:rtl/>
        </w:rPr>
        <w:t xml:space="preserve"> בזה (וכן על הרמ"א שהביא דבריו)</w:t>
      </w:r>
      <w:r w:rsidRPr="003C6CA0">
        <w:rPr>
          <w:rFonts w:hint="cs"/>
          <w:color w:val="000000" w:themeColor="text1"/>
          <w:rtl/>
        </w:rPr>
        <w:t>.</w:t>
      </w:r>
    </w:p>
  </w:footnote>
  <w:footnote w:id="1144">
    <w:p w14:paraId="3A7DE039" w14:textId="77777777" w:rsidR="0013116F" w:rsidRDefault="0013116F">
      <w:pPr>
        <w:pStyle w:val="a9"/>
      </w:pPr>
      <w:r w:rsidRPr="00503008">
        <w:rPr>
          <w:rStyle w:val="ab"/>
        </w:rPr>
        <w:footnoteRef/>
      </w:r>
      <w:r w:rsidRPr="00503008">
        <w:rPr>
          <w:rtl/>
        </w:rPr>
        <w:t xml:space="preserve"> </w:t>
      </w:r>
      <w:r>
        <w:rPr>
          <w:rFonts w:hint="cs"/>
          <w:rtl/>
        </w:rPr>
        <w:t>סימן</w:t>
      </w:r>
      <w:r w:rsidRPr="00503008">
        <w:rPr>
          <w:rFonts w:hint="cs"/>
          <w:rtl/>
        </w:rPr>
        <w:t xml:space="preserve"> </w:t>
      </w:r>
      <w:r w:rsidRPr="00503008">
        <w:rPr>
          <w:rtl/>
        </w:rPr>
        <w:t>–</w:t>
      </w:r>
      <w:r>
        <w:rPr>
          <w:rFonts w:hint="cs"/>
          <w:rtl/>
        </w:rPr>
        <w:t xml:space="preserve"> עדכון דיין. וכן </w:t>
      </w:r>
      <w:r>
        <w:rPr>
          <w:rtl/>
        </w:rPr>
        <w:t>–</w:t>
      </w:r>
      <w:r>
        <w:rPr>
          <w:rFonts w:hint="cs"/>
          <w:rtl/>
        </w:rPr>
        <w:t xml:space="preserve"> עדות דיין. וכן </w:t>
      </w:r>
      <w:r>
        <w:rPr>
          <w:rtl/>
        </w:rPr>
        <w:t>–</w:t>
      </w:r>
      <w:r>
        <w:rPr>
          <w:rFonts w:hint="cs"/>
          <w:rtl/>
        </w:rPr>
        <w:t xml:space="preserve"> דיין מעדכן.</w:t>
      </w:r>
    </w:p>
  </w:footnote>
  <w:footnote w:id="1145">
    <w:p w14:paraId="0A0FBC88" w14:textId="77777777" w:rsidR="0013116F" w:rsidRDefault="0013116F">
      <w:pPr>
        <w:pStyle w:val="a9"/>
        <w:rPr>
          <w:rtl/>
        </w:rPr>
      </w:pPr>
      <w:r>
        <w:rPr>
          <w:rStyle w:val="ab"/>
        </w:rPr>
        <w:footnoteRef/>
      </w:r>
      <w:r>
        <w:rPr>
          <w:rtl/>
        </w:rPr>
        <w:t xml:space="preserve"> </w:t>
      </w:r>
      <w:r w:rsidRPr="00E32C48">
        <w:rPr>
          <w:rFonts w:cs="Arial"/>
          <w:rtl/>
        </w:rPr>
        <w:t>רמיא עליה למדכר שעדיין לא יצאו משם משגמרו את דינם ואומר איש פלוני זכאי איש פלוני חייב שאין בעלי דינין עומדין לפניו תו לא רמיא עליה למידכר</w:t>
      </w:r>
      <w:r>
        <w:rPr>
          <w:rFonts w:cs="Arial" w:hint="cs"/>
          <w:rtl/>
        </w:rPr>
        <w:t>, רש"י</w:t>
      </w:r>
      <w:r>
        <w:rPr>
          <w:rFonts w:cs="Arial"/>
          <w:rtl/>
        </w:rPr>
        <w:t>.</w:t>
      </w:r>
    </w:p>
  </w:footnote>
  <w:footnote w:id="1146">
    <w:p w14:paraId="18C06E5F" w14:textId="77777777" w:rsidR="0013116F" w:rsidRDefault="0013116F">
      <w:pPr>
        <w:pStyle w:val="a9"/>
        <w:rPr>
          <w:rtl/>
        </w:rPr>
      </w:pPr>
      <w:r>
        <w:rPr>
          <w:rStyle w:val="ab"/>
        </w:rPr>
        <w:footnoteRef/>
      </w:r>
      <w:r>
        <w:rPr>
          <w:rtl/>
        </w:rPr>
        <w:t xml:space="preserve"> </w:t>
      </w:r>
      <w:r>
        <w:rPr>
          <w:rFonts w:cs="Arial"/>
          <w:rtl/>
        </w:rPr>
        <w:t>ביד איזה מהן פסק דין של זכות</w:t>
      </w:r>
      <w:r>
        <w:rPr>
          <w:rFonts w:hint="cs"/>
          <w:rtl/>
        </w:rPr>
        <w:t>, רש"י.</w:t>
      </w:r>
    </w:p>
  </w:footnote>
  <w:footnote w:id="1147">
    <w:p w14:paraId="2956F87F" w14:textId="77777777" w:rsidR="0013116F" w:rsidRDefault="0013116F">
      <w:pPr>
        <w:pStyle w:val="a9"/>
        <w:rPr>
          <w:rtl/>
        </w:rPr>
      </w:pPr>
      <w:r>
        <w:rPr>
          <w:rStyle w:val="ab"/>
        </w:rPr>
        <w:footnoteRef/>
      </w:r>
      <w:r>
        <w:rPr>
          <w:rtl/>
        </w:rPr>
        <w:t xml:space="preserve"> </w:t>
      </w:r>
      <w:r>
        <w:rPr>
          <w:rFonts w:cs="Arial"/>
          <w:rtl/>
        </w:rPr>
        <w:t>למה לי כולי האי למימר אינו נאמן נהדר הוא עצמו או אחר וידונם לפי טענותם</w:t>
      </w:r>
      <w:r>
        <w:rPr>
          <w:rFonts w:hint="cs"/>
          <w:rtl/>
        </w:rPr>
        <w:t>, רש"י.</w:t>
      </w:r>
    </w:p>
  </w:footnote>
  <w:footnote w:id="1148">
    <w:p w14:paraId="0887ECA4" w14:textId="77777777" w:rsidR="0013116F" w:rsidRDefault="0013116F">
      <w:pPr>
        <w:pStyle w:val="a9"/>
        <w:rPr>
          <w:rtl/>
        </w:rPr>
      </w:pPr>
      <w:r>
        <w:rPr>
          <w:rStyle w:val="ab"/>
        </w:rPr>
        <w:footnoteRef/>
      </w:r>
      <w:r>
        <w:rPr>
          <w:rtl/>
        </w:rPr>
        <w:t xml:space="preserve"> </w:t>
      </w:r>
      <w:r>
        <w:rPr>
          <w:rFonts w:cs="Arial"/>
          <w:rtl/>
        </w:rPr>
        <w:t>הרא"</w:t>
      </w:r>
      <w:r>
        <w:rPr>
          <w:rFonts w:cs="Arial" w:hint="cs"/>
          <w:rtl/>
        </w:rPr>
        <w:t xml:space="preserve">ש </w:t>
      </w:r>
      <w:r w:rsidRPr="00E32C48">
        <w:rPr>
          <w:rFonts w:cs="Arial" w:hint="cs"/>
          <w:sz w:val="16"/>
          <w:szCs w:val="16"/>
          <w:rtl/>
        </w:rPr>
        <w:t>(</w:t>
      </w:r>
      <w:r w:rsidRPr="00E32C48">
        <w:rPr>
          <w:rFonts w:cs="Arial"/>
          <w:sz w:val="16"/>
          <w:szCs w:val="16"/>
          <w:rtl/>
        </w:rPr>
        <w:t>כלל ו סי</w:t>
      </w:r>
      <w:r w:rsidRPr="00E32C48">
        <w:rPr>
          <w:rFonts w:cs="Arial" w:hint="cs"/>
          <w:sz w:val="16"/>
          <w:szCs w:val="16"/>
          <w:rtl/>
        </w:rPr>
        <w:t>'</w:t>
      </w:r>
      <w:r w:rsidRPr="00E32C48">
        <w:rPr>
          <w:rFonts w:cs="Arial"/>
          <w:sz w:val="16"/>
          <w:szCs w:val="16"/>
          <w:rtl/>
        </w:rPr>
        <w:t xml:space="preserve"> טו</w:t>
      </w:r>
      <w:r w:rsidRPr="00E32C48">
        <w:rPr>
          <w:rFonts w:cs="Arial" w:hint="cs"/>
          <w:sz w:val="16"/>
          <w:szCs w:val="16"/>
          <w:rtl/>
        </w:rPr>
        <w:t>)</w:t>
      </w:r>
      <w:r>
        <w:rPr>
          <w:rFonts w:cs="Arial"/>
          <w:rtl/>
        </w:rPr>
        <w:t xml:space="preserve"> כן כתב על אחד שהביא אחד מן הדיינים ועד אחד עמו שנפסק הדין כך והשיב מה שהשיבו מורשי הקהל שהדיין אינו יכול להעיד לאו טענה היא דהא דתניא נאמן דיין לומר לזה זכיתי ולזה חייבתי במה דברים אמורים בזמן שבעלי דינין עומדין לפניו וכו' היינו דוקא בדיין אחד כגון יחיד מומחה שדן את האדם בעל כרחו או אינו מומחה וקבלוהו עליהם אותו אינו נאמן לאחר שיצאו בעלי דינים מלפניו וכל הברייתא איירי ביחיד דקתני רישא (שם עג:) נאמנת חיה לומר זה בכור נאמן בעל המקח לומר לזה מכרתי אבל שני דיינים נאמנים לעולם שאינן נוגעים בדבר עכ</w:t>
      </w:r>
      <w:r>
        <w:rPr>
          <w:rFonts w:cs="Arial" w:hint="cs"/>
          <w:rtl/>
        </w:rPr>
        <w:t>"ל</w:t>
      </w:r>
      <w:r>
        <w:rPr>
          <w:rFonts w:cs="Arial"/>
          <w:rtl/>
        </w:rPr>
        <w:t>.</w:t>
      </w:r>
      <w:r>
        <w:rPr>
          <w:rFonts w:cs="Arial" w:hint="cs"/>
          <w:rtl/>
        </w:rPr>
        <w:t xml:space="preserve"> </w:t>
      </w:r>
    </w:p>
  </w:footnote>
  <w:footnote w:id="1149">
    <w:p w14:paraId="618E1483" w14:textId="77777777" w:rsidR="0013116F" w:rsidRDefault="0013116F">
      <w:pPr>
        <w:pStyle w:val="a9"/>
      </w:pPr>
      <w:r>
        <w:rPr>
          <w:rStyle w:val="ab"/>
        </w:rPr>
        <w:footnoteRef/>
      </w:r>
      <w:r>
        <w:rPr>
          <w:rtl/>
        </w:rPr>
        <w:t xml:space="preserve"> </w:t>
      </w:r>
      <w:r w:rsidRPr="002202D5">
        <w:rPr>
          <w:rFonts w:cs="Arial"/>
          <w:rtl/>
        </w:rPr>
        <w:t>משמע דאם יש בידו פסק דין נאמן אף שנסתלקו מלפניו,</w:t>
      </w:r>
      <w:r>
        <w:rPr>
          <w:rFonts w:cs="Arial" w:hint="cs"/>
          <w:rtl/>
        </w:rPr>
        <w:t xml:space="preserve"> ש"ך (סק"א).</w:t>
      </w:r>
    </w:p>
  </w:footnote>
  <w:footnote w:id="1150">
    <w:p w14:paraId="22B5C3A1" w14:textId="77777777" w:rsidR="0013116F" w:rsidRDefault="0013116F">
      <w:pPr>
        <w:pStyle w:val="a9"/>
        <w:rPr>
          <w:rtl/>
        </w:rPr>
      </w:pPr>
      <w:r>
        <w:rPr>
          <w:rStyle w:val="ab"/>
        </w:rPr>
        <w:footnoteRef/>
      </w:r>
      <w:r>
        <w:rPr>
          <w:rtl/>
        </w:rPr>
        <w:t xml:space="preserve"> </w:t>
      </w:r>
      <w:r w:rsidRPr="00CE5827">
        <w:rPr>
          <w:rFonts w:cs="Arial"/>
          <w:rtl/>
        </w:rPr>
        <w:t>פירוש יש דינים שאין הדיין יכול לברר הדין מתוך הטענות, ודינם הוא שהדבר תולה בראות הדיין ליתנו למי שיראה לדיין שהיתה דעת הנותן קרובה אליו. ויש מפרשין שהדיין הרשות בידו ליתנו לאחד משניהן למי שירצה בלי טעם, וכמ"ש [הטור] לקמן סוף סימן קל"ח ובסימן רנ"ג [סעיף מ"ו], ע"ש. והנה אלו אחר שנידונו בשודא המה מחולקים, כל אחד אומר לי זיכה, ואינם רוצים לדון מחדש לפני דיין זה או לפני אחר שמא ישתנה דעתו כיון דלא זיכה לזה ע"פ הדין לפי טענתו, בהא קאמר דתלוי בנאמנות הדיין כל זמן שעומדין לפניו, דאז רמיא אנפשיה לאדכורי למי חייב ולמי זיכה, משא"כ כשנסתלקו מלפניו. ודינא דהני אם כבר נסתלקו, שיתפשרו אהדדי או מחלקין אותו ביניהם, ואם האחד מוחזק אמרינן לשני המע"ה, ועיין פרישה</w:t>
      </w:r>
      <w:r>
        <w:rPr>
          <w:rFonts w:hint="cs"/>
          <w:rtl/>
        </w:rPr>
        <w:t>, סמ"ע (סק"ב).</w:t>
      </w:r>
    </w:p>
  </w:footnote>
  <w:footnote w:id="1151">
    <w:p w14:paraId="321EA964" w14:textId="77777777" w:rsidR="0013116F" w:rsidRDefault="0013116F">
      <w:pPr>
        <w:pStyle w:val="a9"/>
        <w:rPr>
          <w:rtl/>
        </w:rPr>
      </w:pPr>
      <w:r>
        <w:rPr>
          <w:rStyle w:val="ab"/>
        </w:rPr>
        <w:footnoteRef/>
      </w:r>
      <w:r>
        <w:rPr>
          <w:rtl/>
        </w:rPr>
        <w:t xml:space="preserve"> </w:t>
      </w:r>
      <w:r w:rsidRPr="0044790D">
        <w:rPr>
          <w:rFonts w:cs="Arial"/>
          <w:rtl/>
        </w:rPr>
        <w:t>פירוש, ולא מיבעיא כשנסתלקו מלפניו דאין שייך לומר דאינו נאמן, אלא דינו כאילו עומדים לפניו, שהדיין מציע לפניהן טענותיהן ושעל פיהם זיכה לזה וחייב לזה כמ"ש, או טוענין מחדש לפניו ע"פ טענותיהן הראשונות, ולאו כל כמיניה לסלק נפשם מדין זה, אלא אפילו בעודן לפניו אין סומכין על נאמנותו דהדיין, אלא צריך לברר דבריו ולומר להן הרי אתה טענת כך וכך ואתה כך, והרי לפי טענותיכם אתה זכאי ואתה חייב</w:t>
      </w:r>
      <w:r>
        <w:rPr>
          <w:rFonts w:hint="cs"/>
          <w:rtl/>
        </w:rPr>
        <w:t>, סמ"ע (סק"ג).</w:t>
      </w:r>
    </w:p>
  </w:footnote>
  <w:footnote w:id="1152">
    <w:p w14:paraId="5D553A1E" w14:textId="77777777" w:rsidR="0013116F" w:rsidRDefault="0013116F">
      <w:pPr>
        <w:pStyle w:val="a9"/>
      </w:pPr>
      <w:r>
        <w:rPr>
          <w:rStyle w:val="ab"/>
        </w:rPr>
        <w:footnoteRef/>
      </w:r>
      <w:r>
        <w:rPr>
          <w:rtl/>
        </w:rPr>
        <w:t xml:space="preserve"> </w:t>
      </w:r>
      <w:r w:rsidRPr="0044790D">
        <w:rPr>
          <w:rFonts w:cs="Arial"/>
          <w:rtl/>
        </w:rPr>
        <w:t>פירוש, דלא יהיו מחולקים איך היו הטענות, דאם היו מחולקין אי אפשר לומר שהדיין יציע לפניהן טענותיהן, ועמ"ש בפרישה עוד מזה</w:t>
      </w:r>
      <w:r>
        <w:rPr>
          <w:rFonts w:cs="Arial" w:hint="cs"/>
          <w:rtl/>
        </w:rPr>
        <w:t>, סמ"ע (סק"ד).</w:t>
      </w:r>
      <w:r w:rsidRPr="0000285A">
        <w:rPr>
          <w:rtl/>
        </w:rPr>
        <w:t xml:space="preserve"> </w:t>
      </w:r>
      <w:r>
        <w:rPr>
          <w:rFonts w:cs="Arial" w:hint="cs"/>
          <w:rtl/>
        </w:rPr>
        <w:t>וכן כתב הש"ך (סק"ה) ד</w:t>
      </w:r>
      <w:r w:rsidRPr="0000285A">
        <w:rPr>
          <w:rFonts w:cs="Arial"/>
          <w:rtl/>
        </w:rPr>
        <w:t xml:space="preserve">משמע </w:t>
      </w:r>
      <w:r>
        <w:rPr>
          <w:rFonts w:cs="Arial" w:hint="cs"/>
          <w:sz w:val="16"/>
          <w:szCs w:val="16"/>
          <w:rtl/>
        </w:rPr>
        <w:t xml:space="preserve">{מדברי הטור והשו"ע} </w:t>
      </w:r>
      <w:r w:rsidRPr="0000285A">
        <w:rPr>
          <w:rFonts w:cs="Arial"/>
          <w:rtl/>
        </w:rPr>
        <w:t>דאם סותרים טענות ראשונות אין הדיין נאמן לומר כך טענו אפילו עודן לפניו, שאינו נאמן דיין אחד רק לומר לזה זכיתי ולזה חייבתי מה שתלוי בדין, משא"כ בזה</w:t>
      </w:r>
      <w:r>
        <w:rPr>
          <w:rFonts w:hint="cs"/>
          <w:rtl/>
        </w:rPr>
        <w:t>.</w:t>
      </w:r>
    </w:p>
  </w:footnote>
  <w:footnote w:id="1153">
    <w:p w14:paraId="29A3741B" w14:textId="77777777" w:rsidR="0013116F" w:rsidRDefault="0013116F">
      <w:pPr>
        <w:pStyle w:val="a9"/>
      </w:pPr>
      <w:r>
        <w:rPr>
          <w:rStyle w:val="ab"/>
        </w:rPr>
        <w:footnoteRef/>
      </w:r>
      <w:r>
        <w:rPr>
          <w:rtl/>
        </w:rPr>
        <w:t xml:space="preserve"> </w:t>
      </w:r>
      <w:r w:rsidRPr="0044790D">
        <w:rPr>
          <w:rFonts w:cs="Arial"/>
          <w:rtl/>
        </w:rPr>
        <w:t>דאז בתורת עדות אומרים ונאמנים</w:t>
      </w:r>
      <w:r>
        <w:rPr>
          <w:rFonts w:cs="Arial" w:hint="cs"/>
          <w:rtl/>
        </w:rPr>
        <w:t>, סמ"ע (סק"ו).</w:t>
      </w:r>
    </w:p>
  </w:footnote>
  <w:footnote w:id="1154">
    <w:p w14:paraId="7EA9F62A" w14:textId="77777777" w:rsidR="0013116F" w:rsidRDefault="0013116F">
      <w:pPr>
        <w:pStyle w:val="a9"/>
        <w:rPr>
          <w:rtl/>
        </w:rPr>
      </w:pPr>
      <w:r>
        <w:rPr>
          <w:rStyle w:val="ab"/>
        </w:rPr>
        <w:footnoteRef/>
      </w:r>
      <w:r>
        <w:rPr>
          <w:rtl/>
        </w:rPr>
        <w:t xml:space="preserve"> </w:t>
      </w:r>
      <w:r w:rsidRPr="0044790D">
        <w:rPr>
          <w:rFonts w:cs="Arial"/>
          <w:rtl/>
        </w:rPr>
        <w:t>נראה דה"ה טפי משנים דתרי כק' עדים דמי</w:t>
      </w:r>
      <w:r>
        <w:rPr>
          <w:rFonts w:hint="cs"/>
          <w:rtl/>
        </w:rPr>
        <w:t>, סמ"ע (סק"ח).</w:t>
      </w:r>
    </w:p>
  </w:footnote>
  <w:footnote w:id="1155">
    <w:p w14:paraId="5955989A" w14:textId="77777777" w:rsidR="0013116F" w:rsidRDefault="0013116F">
      <w:pPr>
        <w:pStyle w:val="a9"/>
        <w:rPr>
          <w:rtl/>
        </w:rPr>
      </w:pPr>
      <w:r>
        <w:rPr>
          <w:rStyle w:val="ab"/>
        </w:rPr>
        <w:footnoteRef/>
      </w:r>
      <w:r>
        <w:rPr>
          <w:rtl/>
        </w:rPr>
        <w:t xml:space="preserve"> </w:t>
      </w:r>
      <w:r w:rsidRPr="0044790D">
        <w:rPr>
          <w:rFonts w:cs="Arial"/>
          <w:rtl/>
        </w:rPr>
        <w:t xml:space="preserve">דהעדים מעידין איך ששמעו מדיינים אלו שפסקו כך, ואפשר לומר שטעו בשמיעתן, לכך נאמנים הדיינים עצמן יותר מהן. ונראה דמה"ט דוקא שני הדיינים נאמנים טפי משני עדים, אבל בעד אחד ודיין אינם נאמנים יותר משני עדים דעלמא. ואף שכתב מור"ם בד"מ שלו </w:t>
      </w:r>
      <w:r w:rsidRPr="00C91EB5">
        <w:rPr>
          <w:rFonts w:cs="Arial"/>
          <w:sz w:val="16"/>
          <w:szCs w:val="16"/>
          <w:rtl/>
        </w:rPr>
        <w:t>[סע</w:t>
      </w:r>
      <w:r w:rsidRPr="00C91EB5">
        <w:rPr>
          <w:rFonts w:cs="Arial" w:hint="cs"/>
          <w:sz w:val="16"/>
          <w:szCs w:val="16"/>
          <w:rtl/>
        </w:rPr>
        <w:t>'</w:t>
      </w:r>
      <w:r w:rsidRPr="00C91EB5">
        <w:rPr>
          <w:rFonts w:cs="Arial"/>
          <w:sz w:val="16"/>
          <w:szCs w:val="16"/>
          <w:rtl/>
        </w:rPr>
        <w:t xml:space="preserve"> ב] </w:t>
      </w:r>
      <w:r w:rsidRPr="0044790D">
        <w:rPr>
          <w:rFonts w:cs="Arial"/>
          <w:rtl/>
        </w:rPr>
        <w:t>דנאמנים, היינו לומר דנאמנים נגד בעל דין אף בשודא לאחר שנסתלקו, אבל לא טפי מעדים קאמר</w:t>
      </w:r>
      <w:r>
        <w:rPr>
          <w:rFonts w:hint="cs"/>
          <w:rtl/>
        </w:rPr>
        <w:t xml:space="preserve">, סמ"ע </w:t>
      </w:r>
      <w:r w:rsidRPr="00C91EB5">
        <w:rPr>
          <w:rFonts w:hint="cs"/>
          <w:sz w:val="16"/>
          <w:szCs w:val="16"/>
          <w:rtl/>
        </w:rPr>
        <w:t>(סק"ז)</w:t>
      </w:r>
      <w:r>
        <w:rPr>
          <w:rFonts w:hint="cs"/>
          <w:rtl/>
        </w:rPr>
        <w:t>.</w:t>
      </w:r>
    </w:p>
  </w:footnote>
  <w:footnote w:id="1156">
    <w:p w14:paraId="43CC22CA" w14:textId="77777777" w:rsidR="0013116F" w:rsidRDefault="0013116F">
      <w:pPr>
        <w:pStyle w:val="a9"/>
        <w:rPr>
          <w:rtl/>
        </w:rPr>
      </w:pPr>
      <w:r>
        <w:rPr>
          <w:rStyle w:val="ab"/>
        </w:rPr>
        <w:footnoteRef/>
      </w:r>
      <w:r>
        <w:rPr>
          <w:rtl/>
        </w:rPr>
        <w:t xml:space="preserve"> </w:t>
      </w:r>
      <w:r>
        <w:rPr>
          <w:rFonts w:hint="cs"/>
          <w:rtl/>
        </w:rPr>
        <w:t>תוספת הסמ"ע (סק"ט).</w:t>
      </w:r>
    </w:p>
  </w:footnote>
  <w:footnote w:id="1157">
    <w:p w14:paraId="095F66DE" w14:textId="77777777" w:rsidR="0013116F" w:rsidRDefault="0013116F">
      <w:pPr>
        <w:pStyle w:val="a9"/>
        <w:rPr>
          <w:rtl/>
        </w:rPr>
      </w:pPr>
      <w:r>
        <w:rPr>
          <w:rStyle w:val="ab"/>
        </w:rPr>
        <w:footnoteRef/>
      </w:r>
      <w:r>
        <w:rPr>
          <w:rtl/>
        </w:rPr>
        <w:t xml:space="preserve"> </w:t>
      </w:r>
      <w:r w:rsidRPr="005464F3">
        <w:rPr>
          <w:rFonts w:cs="Arial"/>
          <w:rtl/>
        </w:rPr>
        <w:t xml:space="preserve">שאין הזמן אלא ליתן לו זמן שיפסוק מה שיפסוק תוך אותו זמן, אבל אחר שפסק וכתב ונתן שוב אין לו רשות להוסיף ולגרוע שם. ובתשובת ן' לב </w:t>
      </w:r>
      <w:r>
        <w:rPr>
          <w:rFonts w:cs="Arial" w:hint="cs"/>
          <w:rtl/>
        </w:rPr>
        <w:t>(</w:t>
      </w:r>
      <w:r w:rsidRPr="005464F3">
        <w:rPr>
          <w:rFonts w:cs="Arial"/>
          <w:rtl/>
        </w:rPr>
        <w:t>ספר ג' סי' קיט</w:t>
      </w:r>
      <w:r>
        <w:rPr>
          <w:rFonts w:cs="Arial" w:hint="cs"/>
          <w:rtl/>
        </w:rPr>
        <w:t>)</w:t>
      </w:r>
      <w:r w:rsidRPr="005464F3">
        <w:rPr>
          <w:rFonts w:cs="Arial"/>
          <w:rtl/>
        </w:rPr>
        <w:t xml:space="preserve"> כתב דאפילו פשרן אחד אפשר דנאמן לומר לכך נתכוין במה שנכתב בשטר פשר, דכיון דלא נתפרש ה"ל כאילו לא דן, וכיון דלא דן אכתי נשאר הרשות בידו לחזור, ע"כ. ולפ"ז צ"ל דהר"ב והרשב"א מיירי כשאותו כתב אינו סובל פירוש אותו תוספת או גרעון כהך עובדא דאיתא בתשובות רשב"א, שכתב בפשרה שהכל נמחל חוץ משטרי המתנה שישארו בתוקפן, והפשרן אמר שכיון שמה שלקח משטרי המתנה קודם לכן יהא ג"כ נמחל כו', ע"ש וכן כל כיוצא בזה, משא"כ בהך דמהרי"ן לב שהכונה שאומר אינה תוספת או גרעון רק ביאור הדברים</w:t>
      </w:r>
      <w:r>
        <w:rPr>
          <w:rFonts w:hint="cs"/>
          <w:rtl/>
        </w:rPr>
        <w:t>, ש"ך (סק"י).</w:t>
      </w:r>
    </w:p>
  </w:footnote>
  <w:footnote w:id="1158">
    <w:p w14:paraId="2BFA1111" w14:textId="77777777" w:rsidR="0013116F" w:rsidRDefault="0013116F">
      <w:pPr>
        <w:pStyle w:val="a9"/>
      </w:pPr>
      <w:r>
        <w:rPr>
          <w:rStyle w:val="ab"/>
        </w:rPr>
        <w:footnoteRef/>
      </w:r>
      <w:r>
        <w:rPr>
          <w:rtl/>
        </w:rPr>
        <w:t xml:space="preserve"> </w:t>
      </w:r>
      <w:r w:rsidRPr="002202D5">
        <w:rPr>
          <w:rFonts w:asciiTheme="minorBidi" w:hAnsiTheme="minorBidi" w:cs="Arial"/>
          <w:color w:val="000000"/>
          <w:rtl/>
        </w:rPr>
        <w:t>וצ"ל דמיירי שאין אחד מהם מוחזק</w:t>
      </w:r>
      <w:r>
        <w:rPr>
          <w:rFonts w:asciiTheme="minorBidi" w:hAnsiTheme="minorBidi" w:cs="Arial" w:hint="cs"/>
          <w:color w:val="000000"/>
          <w:rtl/>
        </w:rPr>
        <w:t>.</w:t>
      </w:r>
      <w:r w:rsidRPr="002202D5">
        <w:rPr>
          <w:rFonts w:asciiTheme="minorBidi" w:hAnsiTheme="minorBidi" w:cs="Arial"/>
          <w:color w:val="000000"/>
          <w:rtl/>
        </w:rPr>
        <w:t xml:space="preserve"> דאילו מי שהפס"ד בידו מוחזק</w:t>
      </w:r>
      <w:r>
        <w:rPr>
          <w:rFonts w:asciiTheme="minorBidi" w:hAnsiTheme="minorBidi" w:cs="Arial" w:hint="cs"/>
          <w:color w:val="000000"/>
          <w:rtl/>
        </w:rPr>
        <w:t xml:space="preserve"> -</w:t>
      </w:r>
      <w:r w:rsidRPr="002202D5">
        <w:rPr>
          <w:rFonts w:asciiTheme="minorBidi" w:hAnsiTheme="minorBidi" w:cs="Arial"/>
          <w:color w:val="000000"/>
          <w:rtl/>
        </w:rPr>
        <w:t xml:space="preserve"> אפילו אין פס"ד בידו נאמן הדיין לפוטרו משבועה, דלא גרע מעד דעלמא</w:t>
      </w:r>
      <w:r>
        <w:rPr>
          <w:rFonts w:asciiTheme="minorBidi" w:hAnsiTheme="minorBidi" w:cs="Arial" w:hint="cs"/>
          <w:color w:val="000000"/>
          <w:rtl/>
        </w:rPr>
        <w:t>.</w:t>
      </w:r>
      <w:r w:rsidRPr="002202D5">
        <w:rPr>
          <w:rFonts w:asciiTheme="minorBidi" w:hAnsiTheme="minorBidi" w:cs="Arial"/>
          <w:color w:val="000000"/>
          <w:rtl/>
        </w:rPr>
        <w:t xml:space="preserve"> ואילו שכנגדו מוחזק</w:t>
      </w:r>
      <w:r>
        <w:rPr>
          <w:rFonts w:asciiTheme="minorBidi" w:hAnsiTheme="minorBidi" w:cs="Arial" w:hint="cs"/>
          <w:color w:val="000000"/>
          <w:rtl/>
        </w:rPr>
        <w:t xml:space="preserve"> -</w:t>
      </w:r>
      <w:r w:rsidRPr="002202D5">
        <w:rPr>
          <w:rFonts w:asciiTheme="minorBidi" w:hAnsiTheme="minorBidi" w:cs="Arial"/>
          <w:color w:val="000000"/>
          <w:rtl/>
        </w:rPr>
        <w:t xml:space="preserve"> אין הדיין נאמן אף שפס"ד בידו, כיון שאין מוכח מפס"ד גופיה וזה טוען ממני נפל</w:t>
      </w:r>
      <w:r>
        <w:rPr>
          <w:rFonts w:asciiTheme="minorBidi" w:hAnsiTheme="minorBidi" w:cs="Arial" w:hint="cs"/>
          <w:color w:val="000000"/>
          <w:rtl/>
        </w:rPr>
        <w:t>.</w:t>
      </w:r>
      <w:r w:rsidRPr="002202D5">
        <w:rPr>
          <w:rFonts w:asciiTheme="minorBidi" w:hAnsiTheme="minorBidi" w:cs="Arial"/>
          <w:color w:val="000000"/>
          <w:rtl/>
        </w:rPr>
        <w:t xml:space="preserve"> ודמי נמי לדלקמן סי</w:t>
      </w:r>
      <w:r>
        <w:rPr>
          <w:rFonts w:asciiTheme="minorBidi" w:hAnsiTheme="minorBidi" w:cs="Arial" w:hint="cs"/>
          <w:color w:val="000000"/>
          <w:rtl/>
        </w:rPr>
        <w:t>'</w:t>
      </w:r>
      <w:r w:rsidRPr="002202D5">
        <w:rPr>
          <w:rFonts w:asciiTheme="minorBidi" w:hAnsiTheme="minorBidi" w:cs="Arial"/>
          <w:color w:val="000000"/>
          <w:rtl/>
        </w:rPr>
        <w:t xml:space="preserve"> מט [סע</w:t>
      </w:r>
      <w:r>
        <w:rPr>
          <w:rFonts w:asciiTheme="minorBidi" w:hAnsiTheme="minorBidi" w:cs="Arial" w:hint="cs"/>
          <w:color w:val="000000"/>
          <w:rtl/>
        </w:rPr>
        <w:t>'</w:t>
      </w:r>
      <w:r w:rsidRPr="002202D5">
        <w:rPr>
          <w:rFonts w:asciiTheme="minorBidi" w:hAnsiTheme="minorBidi" w:cs="Arial"/>
          <w:color w:val="000000"/>
          <w:rtl/>
        </w:rPr>
        <w:t xml:space="preserve"> ז] לשני יוסף בן שמעון שאין אחד יכול להוציא שטר על חבירו, ע"ש. אלא מיירי דומיא דנכסי לטוביה שלא היה שום אחד מוחזק. ועדיין דברי הב"ח צ"ע לדינא, דכיון שאין מוכח מפס"ד גופא, אמאי יהא נאמן טפי מעד דעלמא להפסיד לזה שכנגדו כיון שהוא בחזקת שניהן</w:t>
      </w:r>
      <w:r w:rsidRPr="002202D5">
        <w:rPr>
          <w:rFonts w:asciiTheme="minorBidi" w:hAnsiTheme="minorBidi" w:cs="Arial" w:hint="cs"/>
          <w:color w:val="000000"/>
          <w:rtl/>
        </w:rPr>
        <w:t>, ש"ך (סק"ב).</w:t>
      </w:r>
    </w:p>
  </w:footnote>
  <w:footnote w:id="1159">
    <w:p w14:paraId="336D786B" w14:textId="77777777" w:rsidR="0013116F" w:rsidRDefault="0013116F">
      <w:pPr>
        <w:pStyle w:val="a9"/>
        <w:rPr>
          <w:rtl/>
        </w:rPr>
      </w:pPr>
      <w:r>
        <w:rPr>
          <w:rStyle w:val="ab"/>
        </w:rPr>
        <w:footnoteRef/>
      </w:r>
      <w:r>
        <w:rPr>
          <w:rtl/>
        </w:rPr>
        <w:t xml:space="preserve"> </w:t>
      </w:r>
      <w:r>
        <w:rPr>
          <w:rFonts w:hint="cs"/>
          <w:rtl/>
        </w:rPr>
        <w:t xml:space="preserve">סימן </w:t>
      </w:r>
      <w:r>
        <w:rPr>
          <w:rtl/>
        </w:rPr>
        <w:t>–</w:t>
      </w:r>
      <w:r>
        <w:rPr>
          <w:rFonts w:hint="cs"/>
          <w:rtl/>
        </w:rPr>
        <w:t xml:space="preserve"> ווכחן מוקדם. וכן </w:t>
      </w:r>
      <w:r>
        <w:rPr>
          <w:rtl/>
        </w:rPr>
        <w:t>–</w:t>
      </w:r>
      <w:r>
        <w:rPr>
          <w:rFonts w:hint="cs"/>
          <w:rtl/>
        </w:rPr>
        <w:t xml:space="preserve"> מתלונן </w:t>
      </w:r>
      <w:r>
        <w:t>one</w:t>
      </w:r>
      <w:r>
        <w:rPr>
          <w:rFonts w:hint="cs"/>
          <w:rtl/>
        </w:rPr>
        <w:t>. מקדימים ווזווז</w:t>
      </w:r>
      <w:r>
        <w:rPr>
          <w:rFonts w:hint="cs"/>
          <w:sz w:val="14"/>
          <w:szCs w:val="14"/>
          <w:rtl/>
        </w:rPr>
        <w:t xml:space="preserve"> (מישהו שכל הזמן מפסיד)</w:t>
      </w:r>
      <w:r>
        <w:rPr>
          <w:rFonts w:hint="cs"/>
          <w:rtl/>
        </w:rPr>
        <w:t xml:space="preserve">. </w:t>
      </w:r>
    </w:p>
  </w:footnote>
  <w:footnote w:id="1160">
    <w:p w14:paraId="09B1600A" w14:textId="77777777" w:rsidR="0013116F" w:rsidRPr="00B7236C" w:rsidRDefault="0013116F" w:rsidP="00B7236C">
      <w:pPr>
        <w:pStyle w:val="a9"/>
        <w:rPr>
          <w:rFonts w:cs="Arial"/>
          <w:rtl/>
        </w:rPr>
      </w:pPr>
      <w:r>
        <w:rPr>
          <w:rStyle w:val="ab"/>
        </w:rPr>
        <w:footnoteRef/>
      </w:r>
      <w:r>
        <w:rPr>
          <w:rtl/>
        </w:rPr>
        <w:t xml:space="preserve"> </w:t>
      </w:r>
      <w:r>
        <w:rPr>
          <w:rFonts w:cs="Arial" w:hint="cs"/>
          <w:rtl/>
        </w:rPr>
        <w:t>תיבות אלו נמצאים ברש"י שלפנינו, אבל בגי' שהייתה לפני התוס' (ד"ה שאין) לא היו תיבות אלו. וגם רש"ל מוחק תיבות אלו. וכיון שלא היו תיבות אלו לפני התוס' הם פירשו וז"ל-</w:t>
      </w:r>
      <w:r w:rsidRPr="00B7236C">
        <w:rPr>
          <w:rtl/>
        </w:rPr>
        <w:t xml:space="preserve"> </w:t>
      </w:r>
      <w:r w:rsidRPr="00B7236C">
        <w:rPr>
          <w:rFonts w:cs="Arial"/>
          <w:rtl/>
        </w:rPr>
        <w:t>צ"ל לפ</w:t>
      </w:r>
      <w:r>
        <w:rPr>
          <w:rFonts w:cs="Arial" w:hint="cs"/>
          <w:rtl/>
        </w:rPr>
        <w:t>ירוש הקונטרס</w:t>
      </w:r>
      <w:r w:rsidRPr="00B7236C">
        <w:rPr>
          <w:rFonts w:cs="Arial"/>
          <w:rtl/>
        </w:rPr>
        <w:t xml:space="preserve"> דמיירי כגון שיש לראובן </w:t>
      </w:r>
      <w:r w:rsidRPr="00B7236C">
        <w:rPr>
          <w:rFonts w:cs="Arial"/>
          <w:b/>
          <w:bCs/>
          <w:rtl/>
        </w:rPr>
        <w:t>שטר</w:t>
      </w:r>
      <w:r w:rsidRPr="00B7236C">
        <w:rPr>
          <w:rFonts w:cs="Arial"/>
          <w:rtl/>
        </w:rPr>
        <w:t xml:space="preserve"> על המנה דאי לאו הכי נאמן שמעון אפי' יש עדים לראובן דהמלוה את חבירו בעדים אין צריך לפורעו בעדים</w:t>
      </w:r>
      <w:r>
        <w:rPr>
          <w:rFonts w:cs="Arial" w:hint="cs"/>
          <w:rtl/>
        </w:rPr>
        <w:t>. עכ"ל. ולגירסתנו שכתוב גם 'בעדים' צ"ל לומר דמיירי שאמר לו בפני ב"ד אל תפרעני אלא בעדים. והטור, כשהעתיק את דברי רש"י, כתב- '</w:t>
      </w:r>
      <w:r w:rsidRPr="00B7236C">
        <w:rPr>
          <w:rFonts w:cs="Arial"/>
          <w:rtl/>
        </w:rPr>
        <w:t xml:space="preserve">שהלוהו </w:t>
      </w:r>
      <w:r w:rsidRPr="00B7236C">
        <w:rPr>
          <w:rFonts w:cs="Arial"/>
          <w:b/>
          <w:bCs/>
          <w:rtl/>
        </w:rPr>
        <w:t>בשטר</w:t>
      </w:r>
      <w:r w:rsidRPr="00B7236C">
        <w:rPr>
          <w:rFonts w:cs="Arial"/>
          <w:rtl/>
        </w:rPr>
        <w:t xml:space="preserve"> בענין שאין שמעון נאמן לטעון פרעתי</w:t>
      </w:r>
      <w:r>
        <w:rPr>
          <w:rFonts w:cs="Arial" w:hint="cs"/>
          <w:rtl/>
        </w:rPr>
        <w:t xml:space="preserve">' </w:t>
      </w:r>
      <w:r w:rsidRPr="00B7236C">
        <w:rPr>
          <w:rFonts w:cs="Arial" w:hint="cs"/>
          <w:sz w:val="16"/>
          <w:szCs w:val="16"/>
          <w:rtl/>
        </w:rPr>
        <w:t xml:space="preserve">(ואפ"ל שכוונתו לכלול בדבריו את האפשרות שהלוה בעדים ואמר בפני ב"ד אל תפרעני </w:t>
      </w:r>
      <w:r>
        <w:rPr>
          <w:rFonts w:cs="Arial" w:hint="cs"/>
          <w:sz w:val="16"/>
          <w:szCs w:val="16"/>
          <w:rtl/>
        </w:rPr>
        <w:t>אלא בעדים)</w:t>
      </w:r>
      <w:r>
        <w:rPr>
          <w:rFonts w:cs="Arial" w:hint="cs"/>
          <w:rtl/>
        </w:rPr>
        <w:t>. וכתב הדרכ"מ (אות א) הטעם, ד</w:t>
      </w:r>
      <w:r w:rsidRPr="00B51FEB">
        <w:rPr>
          <w:rFonts w:cs="Arial"/>
          <w:rtl/>
        </w:rPr>
        <w:t xml:space="preserve">אם היה שמעון נאמן נזקקין לו תחלה מכח מיגו </w:t>
      </w:r>
      <w:r w:rsidRPr="000C451F">
        <w:rPr>
          <w:rFonts w:cs="Arial" w:hint="cs"/>
          <w:sz w:val="16"/>
          <w:szCs w:val="16"/>
          <w:rtl/>
        </w:rPr>
        <w:t>(</w:t>
      </w:r>
      <w:r w:rsidRPr="000C451F">
        <w:rPr>
          <w:rFonts w:cs="Arial"/>
          <w:sz w:val="16"/>
          <w:szCs w:val="16"/>
          <w:rtl/>
        </w:rPr>
        <w:t>ולקמן סימן ע"ב יתבאר בעזרת השם כל חילוקי דין זה</w:t>
      </w:r>
      <w:r>
        <w:rPr>
          <w:rFonts w:cs="Arial" w:hint="cs"/>
          <w:sz w:val="16"/>
          <w:szCs w:val="16"/>
          <w:rtl/>
        </w:rPr>
        <w:t>)</w:t>
      </w:r>
      <w:r>
        <w:rPr>
          <w:rFonts w:cs="Arial" w:hint="cs"/>
          <w:rtl/>
        </w:rPr>
        <w:t xml:space="preserve">. </w:t>
      </w:r>
      <w:r>
        <w:rPr>
          <w:rFonts w:hint="cs"/>
          <w:rtl/>
        </w:rPr>
        <w:t>וכ"כ הסמ"ע (סק"ב).</w:t>
      </w:r>
    </w:p>
  </w:footnote>
  <w:footnote w:id="1161">
    <w:p w14:paraId="74BE17D3" w14:textId="77777777" w:rsidR="0013116F" w:rsidRDefault="0013116F" w:rsidP="00737311">
      <w:pPr>
        <w:pStyle w:val="a9"/>
        <w:rPr>
          <w:rtl/>
        </w:rPr>
      </w:pPr>
      <w:r>
        <w:rPr>
          <w:rStyle w:val="ab"/>
        </w:rPr>
        <w:footnoteRef/>
      </w:r>
      <w:r>
        <w:rPr>
          <w:rtl/>
        </w:rPr>
        <w:t xml:space="preserve"> </w:t>
      </w:r>
      <w:r w:rsidRPr="00B51FEB">
        <w:rPr>
          <w:rFonts w:cs="Arial"/>
          <w:rtl/>
        </w:rPr>
        <w:t xml:space="preserve">ובמרדכי ריש בבא מציעא (סי' רכה) משמע דאף אם התובע מודה לנתבע </w:t>
      </w:r>
      <w:r>
        <w:rPr>
          <w:rFonts w:cs="Arial" w:hint="cs"/>
          <w:sz w:val="16"/>
          <w:szCs w:val="16"/>
          <w:rtl/>
        </w:rPr>
        <w:t xml:space="preserve">{כגון </w:t>
      </w:r>
      <w:r w:rsidRPr="00B32A80">
        <w:rPr>
          <w:rFonts w:cs="Arial"/>
          <w:sz w:val="16"/>
          <w:szCs w:val="16"/>
          <w:rtl/>
        </w:rPr>
        <w:t>התובע מודה להנתבע שנפחת אלא שמחולקים בשיעור הפחת</w:t>
      </w:r>
      <w:r>
        <w:rPr>
          <w:rFonts w:cs="Arial" w:hint="cs"/>
          <w:sz w:val="16"/>
          <w:szCs w:val="16"/>
          <w:rtl/>
        </w:rPr>
        <w:t>, סמ"ע [סק"ג]}</w:t>
      </w:r>
      <w:r>
        <w:rPr>
          <w:rFonts w:cs="Arial" w:hint="cs"/>
          <w:rtl/>
        </w:rPr>
        <w:t xml:space="preserve"> </w:t>
      </w:r>
      <w:r w:rsidRPr="00B51FEB">
        <w:rPr>
          <w:rFonts w:cs="Arial"/>
          <w:rtl/>
        </w:rPr>
        <w:t>אפילו הכי דינא הכי</w:t>
      </w:r>
      <w:r>
        <w:rPr>
          <w:rFonts w:cs="Arial" w:hint="cs"/>
          <w:rtl/>
        </w:rPr>
        <w:t>,</w:t>
      </w:r>
      <w:r w:rsidRPr="00B51FEB">
        <w:rPr>
          <w:rFonts w:cs="Arial"/>
          <w:rtl/>
        </w:rPr>
        <w:t xml:space="preserve"> וע</w:t>
      </w:r>
      <w:r>
        <w:rPr>
          <w:rFonts w:hint="cs"/>
          <w:rtl/>
        </w:rPr>
        <w:t>"ש, דרכ"מ (אות ב).</w:t>
      </w:r>
    </w:p>
  </w:footnote>
  <w:footnote w:id="1162">
    <w:p w14:paraId="3BA502B2" w14:textId="77777777" w:rsidR="0013116F" w:rsidRDefault="0013116F">
      <w:pPr>
        <w:pStyle w:val="a9"/>
        <w:rPr>
          <w:rtl/>
        </w:rPr>
      </w:pPr>
      <w:r>
        <w:rPr>
          <w:rStyle w:val="ab"/>
        </w:rPr>
        <w:footnoteRef/>
      </w:r>
      <w:r>
        <w:rPr>
          <w:rtl/>
        </w:rPr>
        <w:t xml:space="preserve"> </w:t>
      </w:r>
      <w:r w:rsidRPr="0038323D">
        <w:rPr>
          <w:rFonts w:cs="Arial"/>
          <w:rtl/>
        </w:rPr>
        <w:t>ומיירי כגון ששמעון הנתבע אמר שיש לו עדים פלוני ופלוני שיודעין שהוא כדבריו רק שאינן מצויין לו להביא עד אחר שלשים יום ואנן ידעינן שאומר אמת שפלוני ופלוני יודעין בדבר</w:t>
      </w:r>
      <w:r>
        <w:rPr>
          <w:rFonts w:cs="Arial" w:hint="cs"/>
          <w:rtl/>
        </w:rPr>
        <w:t>,</w:t>
      </w:r>
      <w:r w:rsidRPr="0038323D">
        <w:rPr>
          <w:rFonts w:cs="Arial"/>
          <w:rtl/>
        </w:rPr>
        <w:t xml:space="preserve"> שאל</w:t>
      </w:r>
      <w:r>
        <w:rPr>
          <w:rFonts w:cs="Arial" w:hint="cs"/>
          <w:rtl/>
        </w:rPr>
        <w:t>"</w:t>
      </w:r>
      <w:r w:rsidRPr="0038323D">
        <w:rPr>
          <w:rFonts w:cs="Arial"/>
          <w:rtl/>
        </w:rPr>
        <w:t>כ אפילו אם זיילי נכסיה אין ממתינין לו יותר משלשים יום</w:t>
      </w:r>
      <w:r>
        <w:rPr>
          <w:rFonts w:cs="Arial" w:hint="cs"/>
          <w:rtl/>
        </w:rPr>
        <w:t>,</w:t>
      </w:r>
      <w:r w:rsidRPr="0038323D">
        <w:rPr>
          <w:rFonts w:cs="Arial"/>
          <w:rtl/>
        </w:rPr>
        <w:t xml:space="preserve"> ואילו אמר להביא העדים תוך שלשים יום פשיטא דממתינין לו אפילו אי לא זיילי כדין כל נתבע שנותנין לו זמן שלשים יום להביא ראיה</w:t>
      </w:r>
      <w:r>
        <w:rPr>
          <w:rFonts w:cs="Arial" w:hint="cs"/>
          <w:rtl/>
        </w:rPr>
        <w:t>,</w:t>
      </w:r>
      <w:r w:rsidRPr="006B5524">
        <w:rPr>
          <w:rFonts w:cs="Arial"/>
          <w:rtl/>
        </w:rPr>
        <w:t xml:space="preserve"> </w:t>
      </w:r>
      <w:r>
        <w:rPr>
          <w:rFonts w:cs="Arial"/>
          <w:rtl/>
        </w:rPr>
        <w:t>תוס</w:t>
      </w:r>
      <w:r>
        <w:rPr>
          <w:rFonts w:cs="Arial" w:hint="cs"/>
          <w:rtl/>
        </w:rPr>
        <w:t>'</w:t>
      </w:r>
      <w:r>
        <w:rPr>
          <w:rFonts w:cs="Arial"/>
          <w:rtl/>
        </w:rPr>
        <w:t xml:space="preserve"> (ד"ה שאין) רא"ש</w:t>
      </w:r>
      <w:r>
        <w:rPr>
          <w:rFonts w:cs="Arial" w:hint="cs"/>
          <w:rtl/>
        </w:rPr>
        <w:t xml:space="preserve"> </w:t>
      </w:r>
      <w:r>
        <w:rPr>
          <w:rFonts w:cs="Arial"/>
          <w:rtl/>
        </w:rPr>
        <w:t>(</w:t>
      </w:r>
      <w:r>
        <w:rPr>
          <w:rFonts w:cs="Arial" w:hint="cs"/>
          <w:rtl/>
        </w:rPr>
        <w:t xml:space="preserve">פ"ה </w:t>
      </w:r>
      <w:r>
        <w:rPr>
          <w:rFonts w:cs="Arial"/>
          <w:rtl/>
        </w:rPr>
        <w:t>סי' א)</w:t>
      </w:r>
      <w:r>
        <w:rPr>
          <w:rFonts w:cs="Arial" w:hint="cs"/>
          <w:rtl/>
        </w:rPr>
        <w:t xml:space="preserve"> וטור. </w:t>
      </w:r>
      <w:r w:rsidRPr="00551720">
        <w:rPr>
          <w:rFonts w:cs="Arial" w:hint="cs"/>
          <w:color w:val="00B0F0"/>
          <w:rtl/>
        </w:rPr>
        <w:t>(וכ"פ הרמ"א)</w:t>
      </w:r>
      <w:r>
        <w:rPr>
          <w:rFonts w:cs="Arial" w:hint="cs"/>
          <w:color w:val="00B0F0"/>
          <w:rtl/>
        </w:rPr>
        <w:t xml:space="preserve">. </w:t>
      </w:r>
      <w:r w:rsidRPr="006B5524">
        <w:rPr>
          <w:rFonts w:cs="Arial"/>
          <w:rtl/>
        </w:rPr>
        <w:t>ועוד כתב</w:t>
      </w:r>
      <w:r w:rsidRPr="006B5524">
        <w:rPr>
          <w:rFonts w:cs="Arial" w:hint="cs"/>
          <w:rtl/>
        </w:rPr>
        <w:t>ו</w:t>
      </w:r>
      <w:r w:rsidRPr="006B5524">
        <w:rPr>
          <w:rFonts w:cs="Arial"/>
          <w:rtl/>
        </w:rPr>
        <w:t xml:space="preserve"> הרא"ש </w:t>
      </w:r>
      <w:r>
        <w:rPr>
          <w:rFonts w:cs="Arial" w:hint="cs"/>
          <w:rtl/>
        </w:rPr>
        <w:t xml:space="preserve">(שם) </w:t>
      </w:r>
      <w:r w:rsidRPr="006B5524">
        <w:rPr>
          <w:rFonts w:cs="Arial" w:hint="cs"/>
          <w:rtl/>
        </w:rPr>
        <w:t>והטור</w:t>
      </w:r>
      <w:r w:rsidRPr="006B5524">
        <w:rPr>
          <w:rFonts w:cs="Arial"/>
          <w:rtl/>
        </w:rPr>
        <w:t xml:space="preserve"> שנפקא מיניה אפילו אם אמר להביא העדים תוך שלשים יום נזקקין לתובע תחלה מיד לפסוק הדין ואם יביא עדים תוך ל' יום יסתור הדין ואם לא יביא אותו נמצא שהתחילו שלשים יום שנותנין לו פרעון מזמן הראשון שנפסק הדין</w:t>
      </w:r>
      <w:r w:rsidRPr="006B5524">
        <w:rPr>
          <w:rFonts w:cs="Arial" w:hint="cs"/>
          <w:rtl/>
        </w:rPr>
        <w:t>.</w:t>
      </w:r>
    </w:p>
  </w:footnote>
  <w:footnote w:id="1163">
    <w:p w14:paraId="4465490C" w14:textId="77777777" w:rsidR="0013116F" w:rsidRDefault="0013116F">
      <w:pPr>
        <w:pStyle w:val="a9"/>
      </w:pPr>
      <w:r>
        <w:rPr>
          <w:rStyle w:val="ab"/>
        </w:rPr>
        <w:footnoteRef/>
      </w:r>
      <w:r>
        <w:rPr>
          <w:rtl/>
        </w:rPr>
        <w:t xml:space="preserve"> </w:t>
      </w:r>
      <w:r w:rsidRPr="00D76404">
        <w:rPr>
          <w:rFonts w:cs="Arial"/>
          <w:rtl/>
        </w:rPr>
        <w:t>ומאז יכול למתק דבריו בכך</w:t>
      </w:r>
      <w:r>
        <w:rPr>
          <w:rFonts w:cs="Arial" w:hint="cs"/>
          <w:rtl/>
        </w:rPr>
        <w:t>.</w:t>
      </w:r>
      <w:r w:rsidRPr="00D76404">
        <w:rPr>
          <w:rFonts w:cs="Arial"/>
          <w:rtl/>
        </w:rPr>
        <w:t xml:space="preserve"> וכן משמע לשון </w:t>
      </w:r>
      <w:r>
        <w:rPr>
          <w:rFonts w:cs="Arial" w:hint="cs"/>
          <w:rtl/>
        </w:rPr>
        <w:t>'</w:t>
      </w:r>
      <w:r w:rsidRPr="00D76404">
        <w:rPr>
          <w:rFonts w:cs="Arial"/>
          <w:rtl/>
        </w:rPr>
        <w:t>זקוק</w:t>
      </w:r>
      <w:r>
        <w:rPr>
          <w:rFonts w:cs="Arial" w:hint="cs"/>
          <w:rtl/>
        </w:rPr>
        <w:t>'</w:t>
      </w:r>
      <w:r w:rsidRPr="00D76404">
        <w:rPr>
          <w:rFonts w:cs="Arial"/>
          <w:rtl/>
        </w:rPr>
        <w:t xml:space="preserve"> ולא קאמר שפוסקין דינו</w:t>
      </w:r>
      <w:r>
        <w:rPr>
          <w:rFonts w:cs="Arial" w:hint="cs"/>
          <w:rtl/>
        </w:rPr>
        <w:t>.</w:t>
      </w:r>
      <w:r w:rsidRPr="00D76404">
        <w:rPr>
          <w:rFonts w:cs="Arial"/>
          <w:rtl/>
        </w:rPr>
        <w:t xml:space="preserve"> וכן משמע בפסוק שמביא ממנו ראיה </w:t>
      </w:r>
      <w:r>
        <w:rPr>
          <w:rFonts w:cs="Arial" w:hint="cs"/>
          <w:rtl/>
        </w:rPr>
        <w:t>'</w:t>
      </w:r>
      <w:r w:rsidRPr="00D76404">
        <w:rPr>
          <w:rFonts w:cs="Arial"/>
          <w:rtl/>
        </w:rPr>
        <w:t>יגיש דבריו</w:t>
      </w:r>
      <w:r>
        <w:rPr>
          <w:rFonts w:cs="Arial" w:hint="cs"/>
          <w:rtl/>
        </w:rPr>
        <w:t>'</w:t>
      </w:r>
      <w:r w:rsidRPr="00D76404">
        <w:rPr>
          <w:rFonts w:cs="Arial"/>
          <w:rtl/>
        </w:rPr>
        <w:t xml:space="preserve"> דהיינו טענותיו. וכן משמע בתוס' דתניא כיצד הדין הדיינים יושבין והנידונין עומדין ובעל דין פותח דבריו ראשון שנאמר מי בעל דברים יגש אליהם</w:t>
      </w:r>
      <w:r>
        <w:rPr>
          <w:rFonts w:cs="Arial" w:hint="cs"/>
          <w:rtl/>
        </w:rPr>
        <w:t>, מרדכי (ב"ק סי' נג).</w:t>
      </w:r>
    </w:p>
  </w:footnote>
  <w:footnote w:id="1164">
    <w:p w14:paraId="7CB017CA" w14:textId="77777777" w:rsidR="0013116F" w:rsidRDefault="0013116F">
      <w:pPr>
        <w:pStyle w:val="a9"/>
      </w:pPr>
      <w:r>
        <w:rPr>
          <w:rStyle w:val="ab"/>
        </w:rPr>
        <w:footnoteRef/>
      </w:r>
      <w:r>
        <w:rPr>
          <w:rtl/>
        </w:rPr>
        <w:t xml:space="preserve"> </w:t>
      </w:r>
      <w:r>
        <w:rPr>
          <w:rFonts w:cs="Arial" w:hint="cs"/>
          <w:rtl/>
        </w:rPr>
        <w:t xml:space="preserve">אך הרא"ש </w:t>
      </w:r>
      <w:r w:rsidRPr="007D6CCB">
        <w:rPr>
          <w:rFonts w:cs="Arial"/>
          <w:sz w:val="16"/>
          <w:szCs w:val="16"/>
          <w:rtl/>
        </w:rPr>
        <w:t>(סי' א)</w:t>
      </w:r>
      <w:r w:rsidRPr="007D6CCB">
        <w:rPr>
          <w:rFonts w:cs="Arial" w:hint="cs"/>
          <w:sz w:val="16"/>
          <w:szCs w:val="16"/>
          <w:rtl/>
        </w:rPr>
        <w:t xml:space="preserve"> </w:t>
      </w:r>
      <w:r>
        <w:rPr>
          <w:rFonts w:cs="Arial" w:hint="cs"/>
          <w:rtl/>
        </w:rPr>
        <w:t>כתב</w:t>
      </w:r>
      <w:r w:rsidRPr="0042291A">
        <w:rPr>
          <w:rFonts w:cs="Arial"/>
          <w:rtl/>
        </w:rPr>
        <w:t xml:space="preserve"> </w:t>
      </w:r>
      <w:r>
        <w:rPr>
          <w:rFonts w:cs="Arial" w:hint="cs"/>
          <w:rtl/>
        </w:rPr>
        <w:t>ד</w:t>
      </w:r>
      <w:r>
        <w:rPr>
          <w:rFonts w:cs="Arial"/>
          <w:rtl/>
        </w:rPr>
        <w:t>לישנא דשמעתא דקא זילי נכסיה לא שייך לפרושי על קבלת עדות.</w:t>
      </w:r>
      <w:r>
        <w:rPr>
          <w:rFonts w:hint="cs"/>
          <w:rtl/>
        </w:rPr>
        <w:t xml:space="preserve"> עכ"ד. אמנם המרדכי </w:t>
      </w:r>
      <w:r w:rsidRPr="007D6CCB">
        <w:rPr>
          <w:rFonts w:cs="Arial" w:hint="cs"/>
          <w:sz w:val="16"/>
          <w:szCs w:val="16"/>
          <w:rtl/>
        </w:rPr>
        <w:t>(ב"ק סי' נג, הביא חלק מדבריו הדרכ"מ אות ג)</w:t>
      </w:r>
      <w:r w:rsidRPr="007D6CCB">
        <w:rPr>
          <w:rFonts w:hint="cs"/>
          <w:sz w:val="16"/>
          <w:szCs w:val="16"/>
          <w:rtl/>
        </w:rPr>
        <w:t xml:space="preserve"> </w:t>
      </w:r>
      <w:r>
        <w:rPr>
          <w:rFonts w:hint="cs"/>
          <w:rtl/>
        </w:rPr>
        <w:t>גם הקשה כדברי הרא"ש אבל תירץ וז"ל-</w:t>
      </w:r>
      <w:r w:rsidRPr="0006622D">
        <w:rPr>
          <w:rtl/>
        </w:rPr>
        <w:t xml:space="preserve"> </w:t>
      </w:r>
      <w:r w:rsidRPr="0006622D">
        <w:rPr>
          <w:rFonts w:cs="Arial"/>
          <w:rtl/>
        </w:rPr>
        <w:t>וקשה לפירושו הא דמסיק פעמים שנזקקים לנתבע תחלה</w:t>
      </w:r>
      <w:r>
        <w:rPr>
          <w:rFonts w:cs="Arial" w:hint="cs"/>
          <w:rtl/>
        </w:rPr>
        <w:t xml:space="preserve"> </w:t>
      </w:r>
      <w:r w:rsidRPr="0006622D">
        <w:rPr>
          <w:rFonts w:cs="Arial"/>
          <w:rtl/>
        </w:rPr>
        <w:t>כגון דזיילי נכסיה היכי משכחת לה כה"ג. ונראה לפרש דאם יש לו קרקע למכור והעולם יראו שראובן התובע יטעון תחלה יסברו שלכך הוא דחוק למכור וזיילי נכסיה אבל כששמעון טוען תחלה יסברו שהוא תובע ולא נתבע ולא זיילי נכסיה.</w:t>
      </w:r>
      <w:r>
        <w:rPr>
          <w:rFonts w:hint="cs"/>
          <w:rtl/>
        </w:rPr>
        <w:t xml:space="preserve"> </w:t>
      </w:r>
      <w:r w:rsidRPr="00320DF9">
        <w:rPr>
          <w:rFonts w:hint="cs"/>
          <w:sz w:val="16"/>
          <w:szCs w:val="16"/>
          <w:rtl/>
        </w:rPr>
        <w:t>(</w:t>
      </w:r>
      <w:r w:rsidRPr="00320DF9">
        <w:rPr>
          <w:rFonts w:cs="Arial"/>
          <w:sz w:val="16"/>
          <w:szCs w:val="16"/>
          <w:rtl/>
        </w:rPr>
        <w:t>היינו שצריך שמעון בלא"ה למכור, וכשיראו שראובן תובע לשמעון יסברו שבא למכור כדי שיפרע לראובן וידחקו אותו בקנייתו, משא"כ כשיראו את שמעון שיטעון בתחילה שיסברו שהוא התובע</w:t>
      </w:r>
      <w:r>
        <w:rPr>
          <w:rFonts w:cs="Arial" w:hint="cs"/>
          <w:sz w:val="16"/>
          <w:szCs w:val="16"/>
          <w:rtl/>
        </w:rPr>
        <w:t>,</w:t>
      </w:r>
      <w:r w:rsidRPr="00320DF9">
        <w:rPr>
          <w:rFonts w:cs="Arial" w:hint="cs"/>
          <w:sz w:val="16"/>
          <w:szCs w:val="16"/>
          <w:rtl/>
        </w:rPr>
        <w:t xml:space="preserve"> סמ"ע (סק"ח)</w:t>
      </w:r>
      <w:r>
        <w:rPr>
          <w:rFonts w:cs="Arial" w:hint="cs"/>
          <w:sz w:val="16"/>
          <w:szCs w:val="16"/>
          <w:rtl/>
        </w:rPr>
        <w:t>)</w:t>
      </w:r>
    </w:p>
  </w:footnote>
  <w:footnote w:id="1165">
    <w:p w14:paraId="0A8D96B3" w14:textId="77777777" w:rsidR="0013116F" w:rsidRDefault="0013116F">
      <w:pPr>
        <w:pStyle w:val="a9"/>
        <w:rPr>
          <w:rtl/>
        </w:rPr>
      </w:pPr>
      <w:r>
        <w:rPr>
          <w:rStyle w:val="ab"/>
        </w:rPr>
        <w:footnoteRef/>
      </w:r>
      <w:r>
        <w:rPr>
          <w:rtl/>
        </w:rPr>
        <w:t xml:space="preserve"> </w:t>
      </w:r>
      <w:r>
        <w:rPr>
          <w:rFonts w:cs="Arial" w:hint="cs"/>
          <w:rtl/>
        </w:rPr>
        <w:t xml:space="preserve">ודחה את שאר הפירושים </w:t>
      </w:r>
      <w:r w:rsidRPr="005A52DD">
        <w:rPr>
          <w:rFonts w:cs="Arial" w:hint="cs"/>
          <w:sz w:val="16"/>
          <w:szCs w:val="16"/>
          <w:rtl/>
        </w:rPr>
        <w:t xml:space="preserve">(וכתב שלפי פירושו </w:t>
      </w:r>
      <w:r w:rsidRPr="005A52DD">
        <w:rPr>
          <w:rFonts w:cs="Arial"/>
          <w:sz w:val="16"/>
          <w:szCs w:val="16"/>
          <w:rtl/>
        </w:rPr>
        <w:t xml:space="preserve">כשבאין לדין והתובע רוצה שישמעו דבריו תחילה והנתבע רוצה שהוא יאמר תחילה </w:t>
      </w:r>
      <w:r>
        <w:rPr>
          <w:rFonts w:cs="Arial" w:hint="cs"/>
          <w:sz w:val="16"/>
          <w:szCs w:val="16"/>
          <w:rtl/>
        </w:rPr>
        <w:t>[</w:t>
      </w:r>
      <w:r w:rsidRPr="005A52DD">
        <w:rPr>
          <w:rFonts w:cs="Arial"/>
          <w:sz w:val="16"/>
          <w:szCs w:val="16"/>
          <w:rtl/>
        </w:rPr>
        <w:t>ונפקא מינה דאולי יודה מקצת ואין מודה מקצת חייב שבועה דאורייתא אלא כשהודה לאחר שטען התובע, אבל אם הודה בנ' ואח"כ תבעו התובע בק' וכפר, פטור משבועת התורה כדלקמן סימן פח סעיף טו</w:t>
      </w:r>
      <w:r w:rsidRPr="005A52DD">
        <w:rPr>
          <w:rFonts w:cs="Arial" w:hint="cs"/>
          <w:sz w:val="16"/>
          <w:szCs w:val="16"/>
          <w:rtl/>
        </w:rPr>
        <w:t>...</w:t>
      </w:r>
      <w:r>
        <w:rPr>
          <w:rFonts w:cs="Arial" w:hint="cs"/>
          <w:sz w:val="16"/>
          <w:szCs w:val="16"/>
          <w:rtl/>
        </w:rPr>
        <w:t>]</w:t>
      </w:r>
      <w:r w:rsidRPr="005A52DD">
        <w:rPr>
          <w:rFonts w:cs="Arial"/>
          <w:sz w:val="16"/>
          <w:szCs w:val="16"/>
          <w:rtl/>
        </w:rPr>
        <w:t xml:space="preserve"> דנזקקין לתובע לשמוע דבריו תחילה, שאף אם יודה לו הנתבע מקצת, מ</w:t>
      </w:r>
      <w:r>
        <w:rPr>
          <w:rFonts w:cs="Arial" w:hint="cs"/>
          <w:sz w:val="16"/>
          <w:szCs w:val="16"/>
          <w:rtl/>
        </w:rPr>
        <w:t>"מ</w:t>
      </w:r>
      <w:r w:rsidRPr="005A52DD">
        <w:rPr>
          <w:rFonts w:cs="Arial"/>
          <w:sz w:val="16"/>
          <w:szCs w:val="16"/>
          <w:rtl/>
        </w:rPr>
        <w:t xml:space="preserve"> כל זמן שלא שילם לו הרי הוא הנתבע ובעל דינו מיקרי תובע וחייב שבועה דאורייתא דהיה לו לפרוע מה שיודה לו קודם שתבעו בב"ד. ואי זילי נכסיה דנתבע כגון שהנכסים זילי לעת ההיא או שיצטרך למכרם בזול כשימכור במהירות לשלם לו, ולכך לא שילם לו קודם שתבעו, נזקקין לנתבע תחילה, ואם יודה לו מקצת קודם שיטעון התובע אינו חייב שבועה דאורייתא, וכדקי"ל לקמן סימן פ"ח דאינו חייב שבועה דאורייתא אלא כשקדמה תביעת התובע</w:t>
      </w:r>
      <w:r>
        <w:rPr>
          <w:rFonts w:cs="Arial" w:hint="cs"/>
          <w:sz w:val="16"/>
          <w:szCs w:val="16"/>
          <w:rtl/>
        </w:rPr>
        <w:t>)</w:t>
      </w:r>
      <w:r>
        <w:rPr>
          <w:rFonts w:hint="cs"/>
          <w:rtl/>
        </w:rPr>
        <w:t>.</w:t>
      </w:r>
    </w:p>
  </w:footnote>
  <w:footnote w:id="1166">
    <w:p w14:paraId="74DAFD4F" w14:textId="77777777" w:rsidR="0013116F" w:rsidRDefault="0013116F" w:rsidP="00750E13">
      <w:pPr>
        <w:pStyle w:val="a9"/>
        <w:rPr>
          <w:rtl/>
        </w:rPr>
      </w:pPr>
      <w:r>
        <w:rPr>
          <w:rStyle w:val="ab"/>
        </w:rPr>
        <w:footnoteRef/>
      </w:r>
      <w:r>
        <w:rPr>
          <w:rtl/>
        </w:rPr>
        <w:t xml:space="preserve"> </w:t>
      </w:r>
      <w:r>
        <w:rPr>
          <w:rFonts w:cs="Arial" w:hint="cs"/>
          <w:rtl/>
        </w:rPr>
        <w:t xml:space="preserve">וכ"כ </w:t>
      </w:r>
      <w:r w:rsidRPr="00551720">
        <w:rPr>
          <w:rFonts w:cs="Arial"/>
          <w:rtl/>
        </w:rPr>
        <w:t>נמוק</w:t>
      </w:r>
      <w:r w:rsidRPr="00551720">
        <w:rPr>
          <w:rFonts w:cs="Arial" w:hint="cs"/>
          <w:rtl/>
        </w:rPr>
        <w:t>"</w:t>
      </w:r>
      <w:r w:rsidRPr="00551720">
        <w:rPr>
          <w:rFonts w:cs="Arial"/>
          <w:rtl/>
        </w:rPr>
        <w:t xml:space="preserve">י </w:t>
      </w:r>
      <w:r w:rsidRPr="00551720">
        <w:rPr>
          <w:rFonts w:cs="Arial"/>
          <w:sz w:val="16"/>
          <w:szCs w:val="16"/>
          <w:rtl/>
        </w:rPr>
        <w:t>(ב"ק כ</w:t>
      </w:r>
      <w:r w:rsidRPr="00551720">
        <w:rPr>
          <w:rFonts w:cs="Arial" w:hint="cs"/>
          <w:sz w:val="16"/>
          <w:szCs w:val="16"/>
          <w:rtl/>
        </w:rPr>
        <w:t>:, הביאו הדרכ"מ אות ד</w:t>
      </w:r>
      <w:r w:rsidRPr="00551720">
        <w:rPr>
          <w:rFonts w:cs="Arial"/>
          <w:sz w:val="16"/>
          <w:szCs w:val="16"/>
          <w:rtl/>
        </w:rPr>
        <w:t>)</w:t>
      </w:r>
      <w:r>
        <w:rPr>
          <w:rFonts w:cs="Arial" w:hint="cs"/>
          <w:rtl/>
        </w:rPr>
        <w:t xml:space="preserve"> ד</w:t>
      </w:r>
      <w:r w:rsidRPr="00551720">
        <w:rPr>
          <w:rFonts w:cs="Arial"/>
          <w:rtl/>
        </w:rPr>
        <w:t>אם התובע מבקש שלא יגמרו עכשיו הדין או שחייב הנתבע לישבע לא יוכל לומר הנתבע שלא ישבע אם לא עכשיו</w:t>
      </w:r>
      <w:r w:rsidRPr="00551720">
        <w:rPr>
          <w:rFonts w:cs="Arial" w:hint="cs"/>
          <w:rtl/>
        </w:rPr>
        <w:t>.</w:t>
      </w:r>
      <w:r w:rsidRPr="00551720">
        <w:rPr>
          <w:rFonts w:cs="Arial"/>
          <w:rtl/>
        </w:rPr>
        <w:t xml:space="preserve"> אבל אי זיילי נכסיה משום זה נזקקין לנתבע</w:t>
      </w:r>
      <w:r>
        <w:rPr>
          <w:rFonts w:cs="Arial" w:hint="cs"/>
          <w:rtl/>
        </w:rPr>
        <w:t xml:space="preserve">. עכ"ל. </w:t>
      </w:r>
      <w:r w:rsidRPr="00B51FEB">
        <w:rPr>
          <w:rFonts w:cs="Arial"/>
          <w:rtl/>
        </w:rPr>
        <w:t>וכ</w:t>
      </w:r>
      <w:r>
        <w:rPr>
          <w:rFonts w:cs="Arial" w:hint="cs"/>
          <w:rtl/>
        </w:rPr>
        <w:t>'</w:t>
      </w:r>
      <w:r w:rsidRPr="00B51FEB">
        <w:rPr>
          <w:rFonts w:cs="Arial"/>
          <w:rtl/>
        </w:rPr>
        <w:t xml:space="preserve"> </w:t>
      </w:r>
      <w:r>
        <w:rPr>
          <w:rFonts w:cs="Arial" w:hint="cs"/>
          <w:rtl/>
        </w:rPr>
        <w:t>הב"י</w:t>
      </w:r>
      <w:r w:rsidRPr="00B51FEB">
        <w:rPr>
          <w:rFonts w:cs="Arial"/>
          <w:rtl/>
        </w:rPr>
        <w:t xml:space="preserve"> ס</w:t>
      </w:r>
      <w:r>
        <w:rPr>
          <w:rFonts w:cs="Arial" w:hint="cs"/>
          <w:rtl/>
        </w:rPr>
        <w:t>"ס</w:t>
      </w:r>
      <w:r w:rsidRPr="00B51FEB">
        <w:rPr>
          <w:rFonts w:cs="Arial"/>
          <w:rtl/>
        </w:rPr>
        <w:t xml:space="preserve"> כ"ב</w:t>
      </w:r>
      <w:r w:rsidRPr="00750E13">
        <w:rPr>
          <w:rFonts w:cs="Arial"/>
          <w:sz w:val="16"/>
          <w:szCs w:val="16"/>
          <w:rtl/>
        </w:rPr>
        <w:t xml:space="preserve"> (מחו' ח) </w:t>
      </w:r>
      <w:r w:rsidRPr="00B51FEB">
        <w:rPr>
          <w:rFonts w:cs="Arial"/>
          <w:rtl/>
        </w:rPr>
        <w:t xml:space="preserve">בשם תשובת הרשב"א </w:t>
      </w:r>
      <w:r w:rsidRPr="00320DF9">
        <w:rPr>
          <w:rFonts w:cs="Arial"/>
          <w:sz w:val="16"/>
          <w:szCs w:val="16"/>
          <w:rtl/>
        </w:rPr>
        <w:t>(ח"ד סי' סז</w:t>
      </w:r>
      <w:r w:rsidRPr="00320DF9">
        <w:rPr>
          <w:rFonts w:cs="Arial" w:hint="cs"/>
          <w:sz w:val="16"/>
          <w:szCs w:val="16"/>
          <w:rtl/>
        </w:rPr>
        <w:t>, והב"י שלח לעיין שם בתשו</w:t>
      </w:r>
      <w:r>
        <w:rPr>
          <w:rFonts w:cs="Arial" w:hint="cs"/>
          <w:sz w:val="16"/>
          <w:szCs w:val="16"/>
          <w:rtl/>
        </w:rPr>
        <w:t>'</w:t>
      </w:r>
      <w:r w:rsidRPr="00320DF9">
        <w:rPr>
          <w:rFonts w:cs="Arial" w:hint="cs"/>
          <w:sz w:val="16"/>
          <w:szCs w:val="16"/>
          <w:rtl/>
        </w:rPr>
        <w:t xml:space="preserve"> זו</w:t>
      </w:r>
      <w:r w:rsidRPr="00320DF9">
        <w:rPr>
          <w:rFonts w:cs="Arial"/>
          <w:sz w:val="16"/>
          <w:szCs w:val="16"/>
          <w:rtl/>
        </w:rPr>
        <w:t>)</w:t>
      </w:r>
      <w:r w:rsidRPr="00B51FEB">
        <w:rPr>
          <w:rFonts w:cs="Arial"/>
          <w:rtl/>
        </w:rPr>
        <w:t xml:space="preserve"> דאפילו קבלו קנין לדון בפני בית דין וטענו בפניהם יכול התובע להסתלק ולומר לא אדון עכשיו ואפילו מסר שטרותיו לבית דין להראות זכיותיו</w:t>
      </w:r>
      <w:r>
        <w:rPr>
          <w:rFonts w:cs="Arial" w:hint="cs"/>
          <w:rtl/>
        </w:rPr>
        <w:t>,</w:t>
      </w:r>
      <w:r w:rsidRPr="00B51FEB">
        <w:rPr>
          <w:rFonts w:cs="Arial"/>
          <w:rtl/>
        </w:rPr>
        <w:t xml:space="preserve"> ואי זיילי נכסי הנתבע משום זה נזקקין לנתבע וצריך לדון עכשיו</w:t>
      </w:r>
      <w:r>
        <w:rPr>
          <w:rFonts w:cs="Arial" w:hint="cs"/>
          <w:rtl/>
        </w:rPr>
        <w:t>, דרכ"מ (אות ד).</w:t>
      </w:r>
    </w:p>
  </w:footnote>
  <w:footnote w:id="1167">
    <w:p w14:paraId="1034A6F4" w14:textId="77777777" w:rsidR="0013116F" w:rsidRDefault="0013116F">
      <w:pPr>
        <w:pStyle w:val="a9"/>
        <w:rPr>
          <w:rtl/>
        </w:rPr>
      </w:pPr>
      <w:r>
        <w:rPr>
          <w:rStyle w:val="ab"/>
        </w:rPr>
        <w:footnoteRef/>
      </w:r>
      <w:r>
        <w:rPr>
          <w:rtl/>
        </w:rPr>
        <w:t xml:space="preserve"> </w:t>
      </w:r>
      <w:r>
        <w:rPr>
          <w:rFonts w:hint="cs"/>
          <w:rtl/>
        </w:rPr>
        <w:t>התוס' הביאו את פירוש רש"י ואח"כ כתבו- ויש מפרשים-...</w:t>
      </w:r>
    </w:p>
  </w:footnote>
  <w:footnote w:id="1168">
    <w:p w14:paraId="4EF59DCE" w14:textId="77777777" w:rsidR="0013116F" w:rsidRDefault="0013116F" w:rsidP="000E3D40">
      <w:pPr>
        <w:pStyle w:val="a9"/>
      </w:pPr>
      <w:r>
        <w:rPr>
          <w:rStyle w:val="ab"/>
        </w:rPr>
        <w:footnoteRef/>
      </w:r>
      <w:r>
        <w:rPr>
          <w:rtl/>
        </w:rPr>
        <w:t xml:space="preserve"> </w:t>
      </w:r>
      <w:r w:rsidRPr="005A52DD">
        <w:rPr>
          <w:rFonts w:cs="Arial"/>
          <w:rtl/>
        </w:rPr>
        <w:t>וכתב נ</w:t>
      </w:r>
      <w:r>
        <w:rPr>
          <w:rFonts w:cs="Arial" w:hint="cs"/>
          <w:rtl/>
        </w:rPr>
        <w:t>מוק</w:t>
      </w:r>
      <w:r w:rsidRPr="005A52DD">
        <w:rPr>
          <w:rFonts w:cs="Arial"/>
          <w:rtl/>
        </w:rPr>
        <w:t>"י [ב"ק כ</w:t>
      </w:r>
      <w:r>
        <w:rPr>
          <w:rFonts w:cs="Arial" w:hint="cs"/>
          <w:rtl/>
        </w:rPr>
        <w:t>:</w:t>
      </w:r>
      <w:r w:rsidRPr="005A52DD">
        <w:rPr>
          <w:rFonts w:cs="Arial"/>
          <w:rtl/>
        </w:rPr>
        <w:t xml:space="preserve"> מדפ</w:t>
      </w:r>
      <w:r>
        <w:rPr>
          <w:rFonts w:cs="Arial" w:hint="cs"/>
          <w:rtl/>
        </w:rPr>
        <w:t>ה"ר</w:t>
      </w:r>
      <w:r w:rsidRPr="005A52DD">
        <w:rPr>
          <w:rFonts w:cs="Arial"/>
          <w:rtl/>
        </w:rPr>
        <w:t>] דמשמע לפירוש זה דבזילי נכסיה נותנים לו זמן אפילו לחבלות. והב</w:t>
      </w:r>
      <w:r>
        <w:rPr>
          <w:rFonts w:cs="Arial" w:hint="cs"/>
          <w:rtl/>
        </w:rPr>
        <w:t>"</w:t>
      </w:r>
      <w:r w:rsidRPr="005A52DD">
        <w:rPr>
          <w:rFonts w:cs="Arial"/>
          <w:rtl/>
        </w:rPr>
        <w:t>ח [כאן סד"ה והראב"ד] השיג עליו</w:t>
      </w:r>
      <w:r>
        <w:rPr>
          <w:rFonts w:cs="Arial" w:hint="cs"/>
          <w:rtl/>
        </w:rPr>
        <w:t>, ע"ש. והש"ך (סק"ג)</w:t>
      </w:r>
      <w:r w:rsidRPr="005A52DD">
        <w:rPr>
          <w:rFonts w:cs="Arial" w:hint="cs"/>
          <w:rtl/>
        </w:rPr>
        <w:t xml:space="preserve"> </w:t>
      </w:r>
      <w:r>
        <w:rPr>
          <w:rFonts w:cs="Arial" w:hint="cs"/>
          <w:rtl/>
        </w:rPr>
        <w:t>דחה את השגת הב"ח ויישב את דברי הנמוק"י.</w:t>
      </w:r>
    </w:p>
  </w:footnote>
  <w:footnote w:id="1169">
    <w:p w14:paraId="3FB3C665" w14:textId="77777777" w:rsidR="0013116F" w:rsidRDefault="0013116F" w:rsidP="009F6DE3">
      <w:pPr>
        <w:pStyle w:val="a9"/>
        <w:rPr>
          <w:rtl/>
        </w:rPr>
      </w:pPr>
      <w:r>
        <w:rPr>
          <w:rStyle w:val="ab"/>
        </w:rPr>
        <w:footnoteRef/>
      </w:r>
      <w:r>
        <w:rPr>
          <w:rtl/>
        </w:rPr>
        <w:t xml:space="preserve"> </w:t>
      </w:r>
      <w:r w:rsidRPr="000E3D40">
        <w:rPr>
          <w:rFonts w:cs="Arial"/>
          <w:rtl/>
        </w:rPr>
        <w:t xml:space="preserve">ויותר משמע לפרש לענין חבלה מלענין מלוה מדמייתי עליה קרא דאשרו חמוץ בפרק אחד דיני ממונות </w:t>
      </w:r>
      <w:r w:rsidRPr="000E3D40">
        <w:rPr>
          <w:rFonts w:cs="Arial"/>
          <w:sz w:val="16"/>
          <w:szCs w:val="16"/>
          <w:rtl/>
        </w:rPr>
        <w:t>(סנהדרין לה. ושם)</w:t>
      </w:r>
      <w:r>
        <w:rPr>
          <w:rFonts w:cs="Arial" w:hint="cs"/>
          <w:rtl/>
        </w:rPr>
        <w:t>, תוס'. ו</w:t>
      </w:r>
      <w:r w:rsidRPr="00F45FD2">
        <w:rPr>
          <w:rFonts w:cs="Arial"/>
          <w:rtl/>
        </w:rPr>
        <w:t>עיין במרדכי ריש מציעא (סי' רכה) ובתשובות מיימון דספר משפטים סימן נ"ז</w:t>
      </w:r>
      <w:r>
        <w:rPr>
          <w:rFonts w:cs="Arial" w:hint="cs"/>
          <w:rtl/>
        </w:rPr>
        <w:t xml:space="preserve"> </w:t>
      </w:r>
      <w:r w:rsidRPr="00750E13">
        <w:rPr>
          <w:rFonts w:cs="Arial" w:hint="cs"/>
          <w:sz w:val="16"/>
          <w:szCs w:val="16"/>
          <w:rtl/>
        </w:rPr>
        <w:t>{</w:t>
      </w:r>
      <w:r w:rsidRPr="00750E13">
        <w:rPr>
          <w:rFonts w:cs="Arial"/>
          <w:sz w:val="16"/>
          <w:szCs w:val="16"/>
          <w:rtl/>
        </w:rPr>
        <w:t>שהאריך בדין דנזקקין לתובע תחלה</w:t>
      </w:r>
      <w:r w:rsidRPr="00750E13">
        <w:rPr>
          <w:rFonts w:cs="Arial" w:hint="cs"/>
          <w:sz w:val="16"/>
          <w:szCs w:val="16"/>
          <w:rtl/>
        </w:rPr>
        <w:t>, דרכ"מ [אות ה]}</w:t>
      </w:r>
      <w:r w:rsidRPr="00F45FD2">
        <w:rPr>
          <w:rFonts w:cs="Arial"/>
          <w:rtl/>
        </w:rPr>
        <w:t>. ובתשובת הרשב"א שכתבתי בסוף סימן כ"ב (מחו' ח)</w:t>
      </w:r>
      <w:r>
        <w:rPr>
          <w:rFonts w:cs="Arial" w:hint="cs"/>
          <w:rtl/>
        </w:rPr>
        <w:t>, ב"י.</w:t>
      </w:r>
    </w:p>
  </w:footnote>
  <w:footnote w:id="1170">
    <w:p w14:paraId="6ECEF35F" w14:textId="77777777" w:rsidR="0013116F" w:rsidRDefault="0013116F" w:rsidP="000C451F">
      <w:pPr>
        <w:pStyle w:val="a9"/>
      </w:pPr>
      <w:r>
        <w:rPr>
          <w:rStyle w:val="ab"/>
        </w:rPr>
        <w:footnoteRef/>
      </w:r>
      <w:r>
        <w:rPr>
          <w:rtl/>
        </w:rPr>
        <w:t xml:space="preserve"> </w:t>
      </w:r>
      <w:r>
        <w:rPr>
          <w:rFonts w:cs="Arial" w:hint="cs"/>
          <w:rtl/>
        </w:rPr>
        <w:t>דהרי כתב</w:t>
      </w:r>
      <w:r w:rsidRPr="000C451F">
        <w:rPr>
          <w:rFonts w:hint="cs"/>
          <w:rtl/>
        </w:rPr>
        <w:t xml:space="preserve"> </w:t>
      </w:r>
      <w:r>
        <w:rPr>
          <w:rFonts w:hint="cs"/>
          <w:rtl/>
        </w:rPr>
        <w:t>הרבה דוגמאות וכתב וכן כל כיוצא בזה, וכ"כ הסמ"ע (סק"א) בשמו, וכתב הסמ"ע ש</w:t>
      </w:r>
      <w:r>
        <w:rPr>
          <w:rFonts w:cs="Arial" w:hint="cs"/>
          <w:rtl/>
        </w:rPr>
        <w:t>כן דעת השו"ע,</w:t>
      </w:r>
      <w:r w:rsidRPr="000C451F">
        <w:rPr>
          <w:rFonts w:cs="Arial"/>
          <w:rtl/>
        </w:rPr>
        <w:t xml:space="preserve"> </w:t>
      </w:r>
      <w:r>
        <w:rPr>
          <w:rFonts w:cs="Arial" w:hint="cs"/>
          <w:rtl/>
        </w:rPr>
        <w:t>ד</w:t>
      </w:r>
      <w:r w:rsidRPr="000C451F">
        <w:rPr>
          <w:rFonts w:cs="Arial"/>
          <w:rtl/>
        </w:rPr>
        <w:t>סתם</w:t>
      </w:r>
      <w:r>
        <w:rPr>
          <w:rFonts w:cs="Arial" w:hint="cs"/>
          <w:rtl/>
        </w:rPr>
        <w:t>,</w:t>
      </w:r>
      <w:r w:rsidRPr="000C451F">
        <w:rPr>
          <w:rFonts w:cs="Arial"/>
          <w:rtl/>
        </w:rPr>
        <w:t xml:space="preserve"> </w:t>
      </w:r>
      <w:r>
        <w:rPr>
          <w:rFonts w:cs="Arial" w:hint="cs"/>
          <w:rtl/>
        </w:rPr>
        <w:t xml:space="preserve">ובא </w:t>
      </w:r>
      <w:r w:rsidRPr="000C451F">
        <w:rPr>
          <w:rFonts w:cs="Arial"/>
          <w:rtl/>
        </w:rPr>
        <w:t>ללמדינו</w:t>
      </w:r>
      <w:r>
        <w:rPr>
          <w:rFonts w:cs="Arial" w:hint="cs"/>
          <w:rtl/>
        </w:rPr>
        <w:t xml:space="preserve"> בזה</w:t>
      </w:r>
      <w:r w:rsidRPr="000C451F">
        <w:rPr>
          <w:rFonts w:cs="Arial"/>
          <w:rtl/>
        </w:rPr>
        <w:t xml:space="preserve"> שבכל ענין קאמרינן</w:t>
      </w:r>
      <w:r>
        <w:rPr>
          <w:rFonts w:cs="Arial" w:hint="cs"/>
          <w:rtl/>
        </w:rPr>
        <w:t>.</w:t>
      </w:r>
    </w:p>
  </w:footnote>
  <w:footnote w:id="1171">
    <w:p w14:paraId="145B65D2" w14:textId="77777777" w:rsidR="0013116F" w:rsidRDefault="0013116F">
      <w:pPr>
        <w:pStyle w:val="a9"/>
        <w:rPr>
          <w:rtl/>
        </w:rPr>
      </w:pPr>
      <w:r>
        <w:rPr>
          <w:rStyle w:val="ab"/>
        </w:rPr>
        <w:footnoteRef/>
      </w:r>
      <w:r>
        <w:rPr>
          <w:rtl/>
        </w:rPr>
        <w:t xml:space="preserve"> </w:t>
      </w:r>
      <w:r w:rsidRPr="000C451F">
        <w:rPr>
          <w:rFonts w:cs="Arial"/>
          <w:rtl/>
        </w:rPr>
        <w:t>פירוש, כגון שהלוהו בשטר שחתומים עליו עדים, אבל אם היה נאמן לומר פרעתי, היה נאמן ג"כ בטענה זו שטוען יש לך משלי במיגו דאי בעי הוה טוען פרעתי</w:t>
      </w:r>
      <w:r>
        <w:rPr>
          <w:rFonts w:hint="cs"/>
          <w:rtl/>
        </w:rPr>
        <w:t>, סמ"ע (סק"ב).</w:t>
      </w:r>
    </w:p>
  </w:footnote>
  <w:footnote w:id="1172">
    <w:p w14:paraId="115DE8C2" w14:textId="77777777" w:rsidR="0013116F" w:rsidRDefault="0013116F">
      <w:pPr>
        <w:pStyle w:val="a9"/>
      </w:pPr>
      <w:r>
        <w:rPr>
          <w:rStyle w:val="ab"/>
        </w:rPr>
        <w:footnoteRef/>
      </w:r>
      <w:r>
        <w:rPr>
          <w:rtl/>
        </w:rPr>
        <w:t xml:space="preserve"> </w:t>
      </w:r>
      <w:r w:rsidRPr="00B32A80">
        <w:rPr>
          <w:rFonts w:cs="Arial"/>
          <w:rtl/>
        </w:rPr>
        <w:t>דאילו לא ביקש שמעון אלא ל' יום שהוא זמן ב"ד, היו שומעין לשמעון אפילו לא זיילי נכסיה, ואי מבקש זמן יותר מל' יום ואין אנו יודעים שיש עדים שיודעים בדבר, אפילו אי זיילי נכסיה דשמעון אין שומעין לו. אלא מיירי שהב"ד יודעים שיש לו עדים שיודעים בדבר [פירוש שהיו אצל זה הענין אלא שאין הב"ד יודעים אם יעידו כדברי הנתבע או לא], בזה יש חילוק בין זיילי נכסיה דנתבע או לא, וכ</w:t>
      </w:r>
      <w:r>
        <w:rPr>
          <w:rFonts w:cs="Arial" w:hint="cs"/>
          <w:rtl/>
        </w:rPr>
        <w:t>"</w:t>
      </w:r>
      <w:r w:rsidRPr="00B32A80">
        <w:rPr>
          <w:rFonts w:cs="Arial"/>
          <w:rtl/>
        </w:rPr>
        <w:t xml:space="preserve">ה מבואר בטור בשם הרא"ש </w:t>
      </w:r>
      <w:r w:rsidRPr="00B32A80">
        <w:rPr>
          <w:rFonts w:cs="Arial"/>
          <w:sz w:val="16"/>
          <w:szCs w:val="16"/>
          <w:rtl/>
        </w:rPr>
        <w:t>[ב"ק פ"ה סי' א]</w:t>
      </w:r>
      <w:r w:rsidRPr="00B32A80">
        <w:rPr>
          <w:rFonts w:cs="Arial"/>
          <w:rtl/>
        </w:rPr>
        <w:t>, ועי</w:t>
      </w:r>
      <w:r>
        <w:rPr>
          <w:rFonts w:cs="Arial" w:hint="cs"/>
          <w:rtl/>
        </w:rPr>
        <w:t>'</w:t>
      </w:r>
      <w:r w:rsidRPr="00B32A80">
        <w:rPr>
          <w:rFonts w:cs="Arial"/>
          <w:rtl/>
        </w:rPr>
        <w:t xml:space="preserve"> פרישה מש</w:t>
      </w:r>
      <w:r>
        <w:rPr>
          <w:rFonts w:cs="Arial" w:hint="cs"/>
          <w:rtl/>
        </w:rPr>
        <w:t>"</w:t>
      </w:r>
      <w:r w:rsidRPr="00B32A80">
        <w:rPr>
          <w:rFonts w:cs="Arial"/>
          <w:rtl/>
        </w:rPr>
        <w:t>כ דלא תקשה מזה אמ"ש לעיל סי</w:t>
      </w:r>
      <w:r>
        <w:rPr>
          <w:rFonts w:cs="Arial" w:hint="cs"/>
          <w:rtl/>
        </w:rPr>
        <w:t>'</w:t>
      </w:r>
      <w:r w:rsidRPr="00B32A80">
        <w:rPr>
          <w:rFonts w:cs="Arial"/>
          <w:rtl/>
        </w:rPr>
        <w:t xml:space="preserve"> טז</w:t>
      </w:r>
      <w:r w:rsidRPr="00B32A80">
        <w:rPr>
          <w:rFonts w:cs="Arial"/>
          <w:sz w:val="16"/>
          <w:szCs w:val="16"/>
          <w:rtl/>
        </w:rPr>
        <w:t xml:space="preserve"> [סע</w:t>
      </w:r>
      <w:r w:rsidRPr="00B32A80">
        <w:rPr>
          <w:rFonts w:cs="Arial" w:hint="cs"/>
          <w:sz w:val="16"/>
          <w:szCs w:val="16"/>
          <w:rtl/>
        </w:rPr>
        <w:t>'</w:t>
      </w:r>
      <w:r w:rsidRPr="00B32A80">
        <w:rPr>
          <w:rFonts w:cs="Arial"/>
          <w:sz w:val="16"/>
          <w:szCs w:val="16"/>
          <w:rtl/>
        </w:rPr>
        <w:t xml:space="preserve"> א]</w:t>
      </w:r>
      <w:r>
        <w:rPr>
          <w:rFonts w:cs="Arial" w:hint="cs"/>
          <w:rtl/>
        </w:rPr>
        <w:t xml:space="preserve">, סמ"ע </w:t>
      </w:r>
      <w:r w:rsidRPr="00B32A80">
        <w:rPr>
          <w:rFonts w:cs="Arial" w:hint="cs"/>
          <w:sz w:val="16"/>
          <w:szCs w:val="16"/>
          <w:rtl/>
        </w:rPr>
        <w:t>(סק"ד)</w:t>
      </w:r>
      <w:r>
        <w:rPr>
          <w:rFonts w:cs="Arial" w:hint="cs"/>
          <w:rtl/>
        </w:rPr>
        <w:t>.</w:t>
      </w:r>
    </w:p>
  </w:footnote>
  <w:footnote w:id="1173">
    <w:p w14:paraId="5AB7082E" w14:textId="77777777" w:rsidR="0013116F" w:rsidRDefault="0013116F">
      <w:pPr>
        <w:pStyle w:val="a9"/>
      </w:pPr>
      <w:r>
        <w:rPr>
          <w:rStyle w:val="ab"/>
        </w:rPr>
        <w:footnoteRef/>
      </w:r>
      <w:r>
        <w:rPr>
          <w:rtl/>
        </w:rPr>
        <w:t xml:space="preserve"> </w:t>
      </w:r>
      <w:r w:rsidRPr="00B32A80">
        <w:rPr>
          <w:rFonts w:cs="Arial"/>
          <w:rtl/>
        </w:rPr>
        <w:t xml:space="preserve"> פירוש</w:t>
      </w:r>
      <w:r>
        <w:rPr>
          <w:rFonts w:cs="Arial" w:hint="cs"/>
          <w:rtl/>
        </w:rPr>
        <w:t>,</w:t>
      </w:r>
      <w:r w:rsidRPr="00B32A80">
        <w:rPr>
          <w:rFonts w:cs="Arial"/>
          <w:rtl/>
        </w:rPr>
        <w:t xml:space="preserve"> אם יש לו מעות ואינו מבקש זמן אלא לברר תפיסתו ולנכות זה בהלואתו, בזה קאמר דצריך לשלם לו מיד מאחר דאינו יכול להביא ראיתו שחייב לו כנגדו תוך ל' יום, ויותר מזה אין נותנין לו, א"כ למה לנו להמתין לו על חנם ל' יום</w:t>
      </w:r>
      <w:r>
        <w:rPr>
          <w:rFonts w:cs="Arial" w:hint="cs"/>
          <w:rtl/>
        </w:rPr>
        <w:t>.</w:t>
      </w:r>
      <w:r w:rsidRPr="00B32A80">
        <w:rPr>
          <w:rFonts w:cs="Arial"/>
          <w:rtl/>
        </w:rPr>
        <w:t xml:space="preserve"> ואם אין לו מעות אין נותנין לו יותר מל' יום להשתדל מעות באיזה צד</w:t>
      </w:r>
      <w:r>
        <w:rPr>
          <w:rFonts w:cs="Arial" w:hint="cs"/>
          <w:rtl/>
        </w:rPr>
        <w:t>, סמ"ע (סק"ה).</w:t>
      </w:r>
    </w:p>
  </w:footnote>
  <w:footnote w:id="1174">
    <w:p w14:paraId="3AC1C545" w14:textId="77777777" w:rsidR="0013116F" w:rsidRDefault="0013116F">
      <w:pPr>
        <w:pStyle w:val="a9"/>
      </w:pPr>
      <w:r>
        <w:rPr>
          <w:rStyle w:val="ab"/>
        </w:rPr>
        <w:footnoteRef/>
      </w:r>
      <w:r>
        <w:rPr>
          <w:rtl/>
        </w:rPr>
        <w:t xml:space="preserve"> </w:t>
      </w:r>
      <w:r w:rsidRPr="00B32A80">
        <w:rPr>
          <w:rFonts w:cs="Arial"/>
          <w:rtl/>
        </w:rPr>
        <w:t>פירוש, שאין לו מעות, גם לא יוכל ללוות או למכור נכסיו אם לא שזיילי נכסיו, והוא כשיראו הבריות שהוא צריך למעות לא יקנו נכסיו כ"א בזול כי ידעו שיצטרך ליתן להם בזול, בענין כזה אמרו להזקק לנתבע תחילה, ונותנין לו זמן כפי צרכו אפילו יותר מל' יום להביא ראיתו ויפטר ע"י זה מראובן התובע שלא יצטרך למכור נכסיו בזו</w:t>
      </w:r>
      <w:r>
        <w:rPr>
          <w:rFonts w:cs="Arial" w:hint="cs"/>
          <w:rtl/>
        </w:rPr>
        <w:t>, סמ"ע (סק"ו).</w:t>
      </w:r>
    </w:p>
  </w:footnote>
  <w:footnote w:id="1175">
    <w:p w14:paraId="36B9CBDF" w14:textId="77777777" w:rsidR="0013116F" w:rsidRDefault="0013116F">
      <w:pPr>
        <w:pStyle w:val="a9"/>
        <w:rPr>
          <w:rtl/>
        </w:rPr>
      </w:pPr>
      <w:r>
        <w:rPr>
          <w:rStyle w:val="ab"/>
        </w:rPr>
        <w:footnoteRef/>
      </w:r>
      <w:r>
        <w:rPr>
          <w:rtl/>
        </w:rPr>
        <w:t xml:space="preserve"> </w:t>
      </w:r>
      <w:r w:rsidRPr="00750E13">
        <w:rPr>
          <w:rFonts w:cs="Arial"/>
          <w:rtl/>
        </w:rPr>
        <w:t>והא דכתב שם בסי</w:t>
      </w:r>
      <w:r>
        <w:rPr>
          <w:rFonts w:cs="Arial" w:hint="cs"/>
          <w:rtl/>
        </w:rPr>
        <w:t>'</w:t>
      </w:r>
      <w:r w:rsidRPr="00750E13">
        <w:rPr>
          <w:rFonts w:cs="Arial"/>
          <w:rtl/>
        </w:rPr>
        <w:t xml:space="preserve"> טז </w:t>
      </w:r>
      <w:r w:rsidRPr="007D6CCB">
        <w:rPr>
          <w:rFonts w:cs="Arial" w:hint="cs"/>
          <w:sz w:val="16"/>
          <w:szCs w:val="16"/>
          <w:rtl/>
        </w:rPr>
        <w:t>(</w:t>
      </w:r>
      <w:r w:rsidRPr="007D6CCB">
        <w:rPr>
          <w:rFonts w:cs="Arial"/>
          <w:sz w:val="16"/>
          <w:szCs w:val="16"/>
          <w:rtl/>
        </w:rPr>
        <w:t>סע</w:t>
      </w:r>
      <w:r w:rsidRPr="007D6CCB">
        <w:rPr>
          <w:rFonts w:cs="Arial" w:hint="cs"/>
          <w:sz w:val="16"/>
          <w:szCs w:val="16"/>
          <w:rtl/>
        </w:rPr>
        <w:t>'</w:t>
      </w:r>
      <w:r w:rsidRPr="007D6CCB">
        <w:rPr>
          <w:rFonts w:cs="Arial"/>
          <w:sz w:val="16"/>
          <w:szCs w:val="16"/>
          <w:rtl/>
        </w:rPr>
        <w:t xml:space="preserve"> ב</w:t>
      </w:r>
      <w:r>
        <w:rPr>
          <w:rFonts w:cs="Arial" w:hint="cs"/>
          <w:sz w:val="16"/>
          <w:szCs w:val="16"/>
          <w:rtl/>
        </w:rPr>
        <w:t>)</w:t>
      </w:r>
      <w:r w:rsidRPr="00750E13">
        <w:rPr>
          <w:rFonts w:cs="Arial"/>
          <w:rtl/>
        </w:rPr>
        <w:t xml:space="preserve"> דלאחר ל' יום נשבע בע"כ של התובע, התם מיירי שיזיילו נכסי הנתבע, ומ"מ ממתינין לו שם ל' יום משום דמיירי שהתובע טוען שיש לו עדים שאינו יכול לישבע וכמ"ש שם, וכאן לא איירי בהכי, משו"ה כתב מור"ם שכשלא זיילי נכסיה אין שומעין לנתבע שרוצה לישבע עכשיו, משמע הא זיילי נכסיה שומעין לו לישבע עכשיו. א"נ עכשיו לאו דוקא קאמר, וכן משמע מדסיים וכתב </w:t>
      </w:r>
      <w:r>
        <w:rPr>
          <w:rFonts w:cs="Arial" w:hint="cs"/>
          <w:rtl/>
        </w:rPr>
        <w:t>'</w:t>
      </w:r>
      <w:r w:rsidRPr="00750E13">
        <w:rPr>
          <w:rFonts w:cs="Arial"/>
          <w:rtl/>
        </w:rPr>
        <w:t>אלא לכשירצה</w:t>
      </w:r>
      <w:r>
        <w:rPr>
          <w:rFonts w:cs="Arial" w:hint="cs"/>
          <w:rtl/>
        </w:rPr>
        <w:t>'</w:t>
      </w:r>
      <w:r w:rsidRPr="00750E13">
        <w:rPr>
          <w:rFonts w:cs="Arial"/>
          <w:rtl/>
        </w:rPr>
        <w:t>, דמשמע אפילו אחר זמן הרבה, דיוקו הוא דבזיילי נכסיה הוא דאין שוהין כל כך אבל ל' יום משהין אותו</w:t>
      </w:r>
      <w:r w:rsidRPr="007D6CCB">
        <w:rPr>
          <w:rFonts w:cs="Arial"/>
          <w:sz w:val="16"/>
          <w:szCs w:val="16"/>
          <w:rtl/>
        </w:rPr>
        <w:t xml:space="preserve"> </w:t>
      </w:r>
      <w:r>
        <w:rPr>
          <w:rFonts w:cs="Arial" w:hint="cs"/>
          <w:sz w:val="16"/>
          <w:szCs w:val="16"/>
          <w:rtl/>
        </w:rPr>
        <w:t>(ו</w:t>
      </w:r>
      <w:r w:rsidRPr="007D6CCB">
        <w:rPr>
          <w:rFonts w:cs="Arial"/>
          <w:sz w:val="16"/>
          <w:szCs w:val="16"/>
          <w:rtl/>
        </w:rPr>
        <w:t>עמ"ש בסי</w:t>
      </w:r>
      <w:r>
        <w:rPr>
          <w:rFonts w:cs="Arial" w:hint="cs"/>
          <w:sz w:val="16"/>
          <w:szCs w:val="16"/>
          <w:rtl/>
        </w:rPr>
        <w:t>'</w:t>
      </w:r>
      <w:r w:rsidRPr="007D6CCB">
        <w:rPr>
          <w:rFonts w:cs="Arial"/>
          <w:sz w:val="16"/>
          <w:szCs w:val="16"/>
          <w:rtl/>
        </w:rPr>
        <w:t xml:space="preserve"> טז [סק"ו] דיש נ"מ בזה אף שיכול לסתור שבועתו אם יהיו לו עדים</w:t>
      </w:r>
      <w:r>
        <w:rPr>
          <w:rFonts w:cs="Arial" w:hint="cs"/>
          <w:sz w:val="16"/>
          <w:szCs w:val="16"/>
          <w:rtl/>
        </w:rPr>
        <w:t>)</w:t>
      </w:r>
      <w:r>
        <w:rPr>
          <w:rFonts w:hint="cs"/>
          <w:rtl/>
        </w:rPr>
        <w:t>, סמ"ע (סק"ט).</w:t>
      </w:r>
    </w:p>
  </w:footnote>
  <w:footnote w:id="1176">
    <w:p w14:paraId="10CF01C2" w14:textId="77777777" w:rsidR="0013116F" w:rsidRDefault="0013116F">
      <w:pPr>
        <w:pStyle w:val="a9"/>
        <w:rPr>
          <w:rFonts w:cs="Arial"/>
          <w:rtl/>
        </w:rPr>
      </w:pPr>
      <w:r>
        <w:rPr>
          <w:rStyle w:val="ab"/>
        </w:rPr>
        <w:footnoteRef/>
      </w:r>
      <w:r>
        <w:rPr>
          <w:rtl/>
        </w:rPr>
        <w:t xml:space="preserve"> </w:t>
      </w:r>
      <w:r w:rsidRPr="005A52DD">
        <w:rPr>
          <w:rFonts w:hint="cs"/>
          <w:u w:val="single"/>
          <w:rtl/>
        </w:rPr>
        <w:t>וקשה דהרי ב</w:t>
      </w:r>
      <w:r w:rsidRPr="005A52DD">
        <w:rPr>
          <w:rFonts w:cs="Arial"/>
          <w:u w:val="single"/>
          <w:rtl/>
        </w:rPr>
        <w:t>סימן פז סע</w:t>
      </w:r>
      <w:r w:rsidRPr="005A52DD">
        <w:rPr>
          <w:rFonts w:cs="Arial" w:hint="cs"/>
          <w:u w:val="single"/>
          <w:rtl/>
        </w:rPr>
        <w:t>'</w:t>
      </w:r>
      <w:r w:rsidRPr="005A52DD">
        <w:rPr>
          <w:rFonts w:cs="Arial"/>
          <w:u w:val="single"/>
          <w:rtl/>
        </w:rPr>
        <w:t xml:space="preserve"> כד כתב הר</w:t>
      </w:r>
      <w:r w:rsidRPr="005A52DD">
        <w:rPr>
          <w:rFonts w:cs="Arial" w:hint="cs"/>
          <w:u w:val="single"/>
          <w:rtl/>
        </w:rPr>
        <w:t>מ"א</w:t>
      </w:r>
      <w:r w:rsidRPr="005A52DD">
        <w:rPr>
          <w:rFonts w:cs="Arial"/>
          <w:u w:val="single"/>
          <w:rtl/>
        </w:rPr>
        <w:t xml:space="preserve"> שאומרים לתובע שיטעון הכל</w:t>
      </w:r>
      <w:r w:rsidRPr="005A52DD">
        <w:rPr>
          <w:rFonts w:cs="Arial" w:hint="cs"/>
          <w:u w:val="single"/>
          <w:rtl/>
        </w:rPr>
        <w:t>:</w:t>
      </w:r>
      <w:r w:rsidRPr="005A52DD">
        <w:rPr>
          <w:rFonts w:cs="Arial"/>
          <w:rtl/>
        </w:rPr>
        <w:t xml:space="preserve"> </w:t>
      </w:r>
    </w:p>
    <w:p w14:paraId="7083177C" w14:textId="77777777" w:rsidR="0013116F" w:rsidRPr="00F86802" w:rsidRDefault="0013116F" w:rsidP="004B0475">
      <w:pPr>
        <w:pStyle w:val="a9"/>
        <w:numPr>
          <w:ilvl w:val="0"/>
          <w:numId w:val="31"/>
        </w:numPr>
      </w:pPr>
      <w:r>
        <w:rPr>
          <w:rFonts w:hint="cs"/>
          <w:rtl/>
        </w:rPr>
        <w:t xml:space="preserve">סמ"ע </w:t>
      </w:r>
      <w:r w:rsidRPr="007D6CCB">
        <w:rPr>
          <w:rFonts w:hint="cs"/>
          <w:sz w:val="16"/>
          <w:szCs w:val="16"/>
          <w:rtl/>
        </w:rPr>
        <w:t>(סקי"ב)</w:t>
      </w:r>
      <w:r>
        <w:rPr>
          <w:rFonts w:hint="cs"/>
          <w:rtl/>
        </w:rPr>
        <w:t xml:space="preserve">- </w:t>
      </w:r>
      <w:r w:rsidRPr="00F86802">
        <w:rPr>
          <w:rFonts w:cs="Arial"/>
          <w:rtl/>
        </w:rPr>
        <w:t>שם בסי</w:t>
      </w:r>
      <w:r>
        <w:rPr>
          <w:rFonts w:cs="Arial" w:hint="cs"/>
          <w:rtl/>
        </w:rPr>
        <w:t>'</w:t>
      </w:r>
      <w:r w:rsidRPr="00F86802">
        <w:rPr>
          <w:rFonts w:cs="Arial"/>
          <w:rtl/>
        </w:rPr>
        <w:t xml:space="preserve"> פ"ז קאי אמ"ש המחבר דהטוען על חבירו טענות הרבה אין משביעין אותו אלא שבועה א</w:t>
      </w:r>
      <w:r>
        <w:rPr>
          <w:rFonts w:cs="Arial" w:hint="cs"/>
          <w:rtl/>
        </w:rPr>
        <w:t>חת</w:t>
      </w:r>
      <w:r w:rsidRPr="00F86802">
        <w:rPr>
          <w:rFonts w:cs="Arial"/>
          <w:rtl/>
        </w:rPr>
        <w:t xml:space="preserve"> על הכל, אזה כתב מור"ם דמטעם זה אף אם עדיין לא טען הרבה טענות אלא שאמר שיש עליו עוד תביעות, שאומרים לו הב"ד שיטעון עליו הכל ביחד, ואם יטעון עליהן הנתבע טענות שיפטר בהן בשבועה, יכלול בשבועה א</w:t>
      </w:r>
      <w:r>
        <w:rPr>
          <w:rFonts w:cs="Arial" w:hint="cs"/>
          <w:rtl/>
        </w:rPr>
        <w:t>חת</w:t>
      </w:r>
      <w:r w:rsidRPr="00F86802">
        <w:rPr>
          <w:rFonts w:cs="Arial"/>
          <w:rtl/>
        </w:rPr>
        <w:t xml:space="preserve"> </w:t>
      </w:r>
      <w:r w:rsidRPr="007D6CCB">
        <w:rPr>
          <w:rFonts w:cs="Arial" w:hint="cs"/>
          <w:sz w:val="16"/>
          <w:szCs w:val="16"/>
          <w:rtl/>
        </w:rPr>
        <w:t>(</w:t>
      </w:r>
      <w:r w:rsidRPr="007D6CCB">
        <w:rPr>
          <w:rFonts w:cs="Arial"/>
          <w:sz w:val="16"/>
          <w:szCs w:val="16"/>
          <w:rtl/>
        </w:rPr>
        <w:t>ואפילו בזה לא כתב מור"ם שמכריחין אותו על ככה, אלא מסיק וכתב ז"ל</w:t>
      </w:r>
      <w:r>
        <w:rPr>
          <w:rFonts w:cs="Arial" w:hint="cs"/>
          <w:sz w:val="16"/>
          <w:szCs w:val="16"/>
          <w:rtl/>
        </w:rPr>
        <w:t>-</w:t>
      </w:r>
      <w:r w:rsidRPr="007D6CCB">
        <w:rPr>
          <w:rFonts w:cs="Arial"/>
          <w:sz w:val="16"/>
          <w:szCs w:val="16"/>
          <w:rtl/>
        </w:rPr>
        <w:t xml:space="preserve"> ואם אינו רוצה והנתבע אומר שאינו חייב לו כלום, נשבע ונפטר מכל התביעות</w:t>
      </w:r>
      <w:r>
        <w:rPr>
          <w:rFonts w:cs="Arial" w:hint="cs"/>
          <w:sz w:val="16"/>
          <w:szCs w:val="16"/>
          <w:rtl/>
        </w:rPr>
        <w:t>)</w:t>
      </w:r>
      <w:r>
        <w:rPr>
          <w:rFonts w:cs="Arial" w:hint="cs"/>
          <w:rtl/>
        </w:rPr>
        <w:t>.</w:t>
      </w:r>
      <w:r w:rsidRPr="00F86802">
        <w:rPr>
          <w:rFonts w:cs="Arial"/>
          <w:rtl/>
        </w:rPr>
        <w:t xml:space="preserve"> משא"כ כאן דלא איירי מדין שבועות</w:t>
      </w:r>
      <w:r>
        <w:rPr>
          <w:rFonts w:cs="Arial" w:hint="cs"/>
          <w:rtl/>
        </w:rPr>
        <w:t>,</w:t>
      </w:r>
      <w:r w:rsidRPr="00F86802">
        <w:rPr>
          <w:rFonts w:cs="Arial"/>
          <w:rtl/>
        </w:rPr>
        <w:t xml:space="preserve"> ויכול להיות דאיירי דעל טענה שהוא טוען עתה על הנתבע אינו נפטר בשבועה, וא"כ למה יאמרו לו הב"ד שיתבענו עתה ג"כ בשאר תביעות</w:t>
      </w:r>
      <w:r>
        <w:rPr>
          <w:rFonts w:cs="Arial" w:hint="cs"/>
          <w:sz w:val="16"/>
          <w:szCs w:val="16"/>
          <w:rtl/>
        </w:rPr>
        <w:t xml:space="preserve"> (</w:t>
      </w:r>
      <w:r w:rsidRPr="00F86802">
        <w:rPr>
          <w:rFonts w:cs="Arial"/>
          <w:sz w:val="16"/>
          <w:szCs w:val="16"/>
          <w:rtl/>
        </w:rPr>
        <w:t>ואף דמיירי ג</w:t>
      </w:r>
      <w:r>
        <w:rPr>
          <w:rFonts w:cs="Arial" w:hint="cs"/>
          <w:sz w:val="16"/>
          <w:szCs w:val="16"/>
          <w:rtl/>
        </w:rPr>
        <w:t>"כ</w:t>
      </w:r>
      <w:r w:rsidRPr="00F86802">
        <w:rPr>
          <w:rFonts w:cs="Arial"/>
          <w:sz w:val="16"/>
          <w:szCs w:val="16"/>
          <w:rtl/>
        </w:rPr>
        <w:t xml:space="preserve"> כאן כשיכול לפטור הנתבע על טענה ראשונה בשבועה, מ"מ י"ל דהנתבע אינו אומר שאינו חייב לו כלום בשאר התביעה, אלא כדי להפטר ממנו רוצה שיתבענו עכשיו, בזה למדנו כאן דנזקקין לתובע אם לא בזיילי נכסיה</w:t>
      </w:r>
      <w:r w:rsidRPr="00F86802">
        <w:rPr>
          <w:rFonts w:cs="Arial" w:hint="cs"/>
          <w:sz w:val="16"/>
          <w:szCs w:val="16"/>
          <w:rtl/>
        </w:rPr>
        <w:t>)</w:t>
      </w:r>
      <w:r>
        <w:rPr>
          <w:rFonts w:cs="Arial" w:hint="cs"/>
          <w:rtl/>
        </w:rPr>
        <w:t>.</w:t>
      </w:r>
    </w:p>
    <w:p w14:paraId="7028F019" w14:textId="77777777" w:rsidR="0013116F" w:rsidRDefault="0013116F" w:rsidP="004B0475">
      <w:pPr>
        <w:pStyle w:val="a9"/>
        <w:numPr>
          <w:ilvl w:val="0"/>
          <w:numId w:val="31"/>
        </w:numPr>
      </w:pPr>
      <w:r>
        <w:rPr>
          <w:rFonts w:cs="Arial" w:hint="cs"/>
          <w:rtl/>
        </w:rPr>
        <w:t xml:space="preserve">ש"ך </w:t>
      </w:r>
      <w:r w:rsidRPr="007D6CCB">
        <w:rPr>
          <w:rFonts w:cs="Arial" w:hint="cs"/>
          <w:sz w:val="16"/>
          <w:szCs w:val="16"/>
          <w:rtl/>
        </w:rPr>
        <w:t>(סק"ז)</w:t>
      </w:r>
      <w:r>
        <w:rPr>
          <w:rFonts w:cs="Arial" w:hint="cs"/>
          <w:rtl/>
        </w:rPr>
        <w:t xml:space="preserve">- הרמ"א </w:t>
      </w:r>
      <w:r w:rsidRPr="005A52DD">
        <w:rPr>
          <w:rFonts w:cs="Arial"/>
          <w:rtl/>
        </w:rPr>
        <w:t xml:space="preserve">מסיים שם </w:t>
      </w:r>
      <w:r>
        <w:rPr>
          <w:rFonts w:cs="Arial" w:hint="cs"/>
          <w:rtl/>
        </w:rPr>
        <w:t>'</w:t>
      </w:r>
      <w:r w:rsidRPr="005A52DD">
        <w:rPr>
          <w:rFonts w:cs="Arial"/>
          <w:rtl/>
        </w:rPr>
        <w:t>ואם אינו רוצה נשבע ונפטר ממנו מכל תביעות</w:t>
      </w:r>
      <w:r>
        <w:rPr>
          <w:rFonts w:cs="Arial" w:hint="cs"/>
          <w:rtl/>
        </w:rPr>
        <w:t>...</w:t>
      </w:r>
      <w:r w:rsidRPr="005A52DD">
        <w:rPr>
          <w:rFonts w:cs="Arial"/>
          <w:rtl/>
        </w:rPr>
        <w:t>', וכאן מיירי שהתובע אומר דלא איכפת ליה אם ישבע, כי אף בשבועה לא יפטר</w:t>
      </w:r>
      <w:r>
        <w:rPr>
          <w:rFonts w:cs="Arial" w:hint="cs"/>
          <w:rtl/>
        </w:rPr>
        <w:t>,</w:t>
      </w:r>
      <w:r w:rsidRPr="005A52DD">
        <w:rPr>
          <w:rFonts w:cs="Arial"/>
          <w:rtl/>
        </w:rPr>
        <w:t xml:space="preserve"> שיש לו עליו תביעות דלא שייך בהו שבועה, או שיביא עדים לדבריו.</w:t>
      </w:r>
    </w:p>
  </w:footnote>
  <w:footnote w:id="1177">
    <w:p w14:paraId="6D8FD941" w14:textId="77777777" w:rsidR="0013116F" w:rsidRDefault="0013116F">
      <w:pPr>
        <w:pStyle w:val="a9"/>
        <w:rPr>
          <w:rtl/>
        </w:rPr>
      </w:pPr>
      <w:r>
        <w:rPr>
          <w:rStyle w:val="ab"/>
        </w:rPr>
        <w:footnoteRef/>
      </w:r>
      <w:r>
        <w:rPr>
          <w:rtl/>
        </w:rPr>
        <w:t xml:space="preserve"> </w:t>
      </w:r>
      <w:r w:rsidRPr="0016490B">
        <w:rPr>
          <w:rFonts w:cs="Arial"/>
          <w:rtl/>
        </w:rPr>
        <w:t>נראה דבמקום דזיילי נכסיה אף דלא אמר התובע כלל לפני הב"ד שיש לו על פלוני תביעות, אלא הנתבע שמע שקול יוצא עליו שחייב לפלוני, יכול הוא לתבוע לאותו פלוני שיראה לפני ב"ד שטר חוב שבידו עליו, ואם לא יראה מוטל על הב"ד לסלק הקולי קולות מעליו בנתינה לידו כתוב וחתום, או יעשה כרוז באופן שלא יתזלו נכסיו</w:t>
      </w:r>
      <w:r>
        <w:rPr>
          <w:rFonts w:hint="cs"/>
          <w:rtl/>
        </w:rPr>
        <w:t>, סמ"ע (סקי"ב).</w:t>
      </w:r>
    </w:p>
  </w:footnote>
  <w:footnote w:id="1178">
    <w:p w14:paraId="428E7B4A" w14:textId="77777777" w:rsidR="0013116F" w:rsidRDefault="0013116F">
      <w:pPr>
        <w:pStyle w:val="a9"/>
      </w:pPr>
      <w:r>
        <w:rPr>
          <w:rStyle w:val="ab"/>
        </w:rPr>
        <w:footnoteRef/>
      </w:r>
      <w:r>
        <w:rPr>
          <w:rtl/>
        </w:rPr>
        <w:t xml:space="preserve"> </w:t>
      </w:r>
      <w:r>
        <w:rPr>
          <w:rFonts w:hint="cs"/>
          <w:rtl/>
        </w:rPr>
        <w:t xml:space="preserve">סימן </w:t>
      </w:r>
      <w:r>
        <w:rPr>
          <w:rtl/>
        </w:rPr>
        <w:t>–</w:t>
      </w:r>
      <w:r>
        <w:rPr>
          <w:rFonts w:hint="cs"/>
          <w:rtl/>
        </w:rPr>
        <w:t xml:space="preserve"> חייב בכדי.</w:t>
      </w:r>
    </w:p>
  </w:footnote>
  <w:footnote w:id="1179">
    <w:p w14:paraId="6F1C9647" w14:textId="77777777" w:rsidR="0013116F" w:rsidRDefault="0013116F">
      <w:pPr>
        <w:pStyle w:val="a9"/>
        <w:rPr>
          <w:rtl/>
        </w:rPr>
      </w:pPr>
      <w:r>
        <w:rPr>
          <w:rStyle w:val="ab"/>
        </w:rPr>
        <w:footnoteRef/>
      </w:r>
      <w:r>
        <w:rPr>
          <w:rtl/>
        </w:rPr>
        <w:t xml:space="preserve"> </w:t>
      </w:r>
      <w:r w:rsidRPr="001E65D2">
        <w:rPr>
          <w:rFonts w:cs="Arial" w:hint="cs"/>
          <w:rtl/>
        </w:rPr>
        <w:t>היינו</w:t>
      </w:r>
      <w:r w:rsidRPr="001E65D2">
        <w:rPr>
          <w:rFonts w:cs="Arial"/>
          <w:rtl/>
        </w:rPr>
        <w:t xml:space="preserve"> </w:t>
      </w:r>
      <w:r w:rsidRPr="001E65D2">
        <w:rPr>
          <w:rFonts w:cs="Arial" w:hint="cs"/>
          <w:rtl/>
        </w:rPr>
        <w:t>לאחר</w:t>
      </w:r>
      <w:r w:rsidRPr="001E65D2">
        <w:rPr>
          <w:rFonts w:cs="Arial"/>
          <w:rtl/>
        </w:rPr>
        <w:t xml:space="preserve"> </w:t>
      </w:r>
      <w:r w:rsidRPr="001E65D2">
        <w:rPr>
          <w:rFonts w:cs="Arial" w:hint="cs"/>
          <w:rtl/>
        </w:rPr>
        <w:t>שהורה</w:t>
      </w:r>
      <w:r w:rsidRPr="001E65D2">
        <w:rPr>
          <w:rFonts w:cs="Arial"/>
          <w:rtl/>
        </w:rPr>
        <w:t xml:space="preserve"> </w:t>
      </w:r>
      <w:r w:rsidRPr="001E65D2">
        <w:rPr>
          <w:rFonts w:cs="Arial" w:hint="cs"/>
          <w:rtl/>
        </w:rPr>
        <w:t>שהוא</w:t>
      </w:r>
      <w:r w:rsidRPr="001E65D2">
        <w:rPr>
          <w:rFonts w:cs="Arial"/>
          <w:rtl/>
        </w:rPr>
        <w:t xml:space="preserve"> </w:t>
      </w:r>
      <w:r w:rsidRPr="001E65D2">
        <w:rPr>
          <w:rFonts w:cs="Arial" w:hint="cs"/>
          <w:rtl/>
        </w:rPr>
        <w:t>טמא</w:t>
      </w:r>
      <w:r w:rsidRPr="001E65D2">
        <w:rPr>
          <w:rFonts w:cs="Arial"/>
          <w:rtl/>
        </w:rPr>
        <w:t xml:space="preserve"> </w:t>
      </w:r>
      <w:r w:rsidRPr="001E65D2">
        <w:rPr>
          <w:rFonts w:cs="Arial" w:hint="cs"/>
          <w:rtl/>
        </w:rPr>
        <w:t>לא</w:t>
      </w:r>
      <w:r w:rsidRPr="001E65D2">
        <w:rPr>
          <w:rFonts w:cs="Arial"/>
          <w:rtl/>
        </w:rPr>
        <w:t xml:space="preserve"> </w:t>
      </w:r>
      <w:r w:rsidRPr="001E65D2">
        <w:rPr>
          <w:rFonts w:cs="Arial" w:hint="cs"/>
          <w:rtl/>
        </w:rPr>
        <w:t>דקדקו</w:t>
      </w:r>
      <w:r w:rsidRPr="001E65D2">
        <w:rPr>
          <w:rFonts w:cs="Arial"/>
          <w:rtl/>
        </w:rPr>
        <w:t xml:space="preserve"> </w:t>
      </w:r>
      <w:r w:rsidRPr="001E65D2">
        <w:rPr>
          <w:rFonts w:cs="Arial" w:hint="cs"/>
          <w:rtl/>
        </w:rPr>
        <w:t>בטהרתו</w:t>
      </w:r>
      <w:r w:rsidRPr="001E65D2">
        <w:rPr>
          <w:rFonts w:cs="Arial"/>
          <w:rtl/>
        </w:rPr>
        <w:t xml:space="preserve"> </w:t>
      </w:r>
      <w:r w:rsidRPr="001E65D2">
        <w:rPr>
          <w:rFonts w:cs="Arial" w:hint="cs"/>
          <w:rtl/>
        </w:rPr>
        <w:t>והניחוהו</w:t>
      </w:r>
      <w:r w:rsidRPr="001E65D2">
        <w:rPr>
          <w:rFonts w:cs="Arial"/>
          <w:rtl/>
        </w:rPr>
        <w:t xml:space="preserve"> </w:t>
      </w:r>
      <w:r w:rsidRPr="001E65D2">
        <w:rPr>
          <w:rFonts w:cs="Arial" w:hint="cs"/>
          <w:rtl/>
        </w:rPr>
        <w:t>ליטמא</w:t>
      </w:r>
      <w:r w:rsidRPr="001E65D2">
        <w:rPr>
          <w:rFonts w:cs="Arial"/>
          <w:rtl/>
        </w:rPr>
        <w:t xml:space="preserve"> </w:t>
      </w:r>
      <w:r w:rsidRPr="001E65D2">
        <w:rPr>
          <w:rFonts w:cs="Arial" w:hint="cs"/>
          <w:rtl/>
        </w:rPr>
        <w:t>בשרץ</w:t>
      </w:r>
      <w:r w:rsidRPr="001E65D2">
        <w:rPr>
          <w:rFonts w:cs="Arial"/>
          <w:rtl/>
        </w:rPr>
        <w:t xml:space="preserve">, </w:t>
      </w:r>
      <w:r w:rsidRPr="001E65D2">
        <w:rPr>
          <w:rFonts w:cs="Arial" w:hint="cs"/>
          <w:rtl/>
        </w:rPr>
        <w:t>דאל</w:t>
      </w:r>
      <w:r w:rsidRPr="001E65D2">
        <w:rPr>
          <w:rFonts w:cs="Arial"/>
          <w:rtl/>
        </w:rPr>
        <w:t>"</w:t>
      </w:r>
      <w:r w:rsidRPr="001E65D2">
        <w:rPr>
          <w:rFonts w:cs="Arial" w:hint="cs"/>
          <w:rtl/>
        </w:rPr>
        <w:t>כ</w:t>
      </w:r>
      <w:r w:rsidRPr="001E65D2">
        <w:rPr>
          <w:rFonts w:cs="Arial"/>
          <w:rtl/>
        </w:rPr>
        <w:t xml:space="preserve"> </w:t>
      </w:r>
      <w:r w:rsidRPr="001E65D2">
        <w:rPr>
          <w:rFonts w:cs="Arial" w:hint="cs"/>
          <w:rtl/>
        </w:rPr>
        <w:t>היה</w:t>
      </w:r>
      <w:r w:rsidRPr="001E65D2">
        <w:rPr>
          <w:rFonts w:cs="Arial"/>
          <w:rtl/>
        </w:rPr>
        <w:t xml:space="preserve"> </w:t>
      </w:r>
      <w:r w:rsidRPr="001E65D2">
        <w:rPr>
          <w:rFonts w:cs="Arial" w:hint="cs"/>
          <w:rtl/>
        </w:rPr>
        <w:t>אפשר</w:t>
      </w:r>
      <w:r w:rsidRPr="001E65D2">
        <w:rPr>
          <w:rFonts w:cs="Arial"/>
          <w:rtl/>
        </w:rPr>
        <w:t xml:space="preserve"> </w:t>
      </w:r>
      <w:r w:rsidRPr="001E65D2">
        <w:rPr>
          <w:rFonts w:cs="Arial" w:hint="cs"/>
          <w:rtl/>
        </w:rPr>
        <w:t>לחזור</w:t>
      </w:r>
      <w:r w:rsidRPr="001E65D2">
        <w:rPr>
          <w:rFonts w:cs="Arial"/>
          <w:rtl/>
        </w:rPr>
        <w:t xml:space="preserve"> </w:t>
      </w:r>
      <w:r w:rsidRPr="001E65D2">
        <w:rPr>
          <w:rFonts w:cs="Arial" w:hint="cs"/>
          <w:rtl/>
        </w:rPr>
        <w:t>מהוראתו</w:t>
      </w:r>
      <w:r w:rsidRPr="001E65D2">
        <w:rPr>
          <w:rFonts w:cs="Arial"/>
          <w:rtl/>
        </w:rPr>
        <w:t xml:space="preserve"> </w:t>
      </w:r>
      <w:r w:rsidRPr="001E65D2">
        <w:rPr>
          <w:rFonts w:cs="Arial" w:hint="cs"/>
          <w:rtl/>
        </w:rPr>
        <w:t>ולומר</w:t>
      </w:r>
      <w:r w:rsidRPr="001E65D2">
        <w:rPr>
          <w:rFonts w:cs="Arial"/>
          <w:rtl/>
        </w:rPr>
        <w:t xml:space="preserve"> </w:t>
      </w:r>
      <w:r w:rsidRPr="001E65D2">
        <w:rPr>
          <w:rFonts w:cs="Arial" w:hint="cs"/>
          <w:rtl/>
        </w:rPr>
        <w:t>שטהור</w:t>
      </w:r>
      <w:r w:rsidRPr="001E65D2">
        <w:rPr>
          <w:rFonts w:cs="Arial"/>
          <w:rtl/>
        </w:rPr>
        <w:t xml:space="preserve"> </w:t>
      </w:r>
      <w:r w:rsidRPr="001E65D2">
        <w:rPr>
          <w:rFonts w:cs="Arial" w:hint="cs"/>
          <w:rtl/>
        </w:rPr>
        <w:t>הוא</w:t>
      </w:r>
      <w:r>
        <w:rPr>
          <w:rFonts w:hint="cs"/>
          <w:rtl/>
        </w:rPr>
        <w:t>, סמ"ע (סק"ג).</w:t>
      </w:r>
    </w:p>
  </w:footnote>
  <w:footnote w:id="1180">
    <w:p w14:paraId="36BE1E2D" w14:textId="77777777" w:rsidR="0013116F" w:rsidRDefault="0013116F">
      <w:pPr>
        <w:pStyle w:val="a9"/>
      </w:pPr>
      <w:r>
        <w:rPr>
          <w:rStyle w:val="ab"/>
        </w:rPr>
        <w:footnoteRef/>
      </w:r>
      <w:r>
        <w:rPr>
          <w:rtl/>
        </w:rPr>
        <w:t xml:space="preserve"> </w:t>
      </w:r>
      <w:r>
        <w:rPr>
          <w:rFonts w:hint="cs"/>
          <w:rtl/>
        </w:rPr>
        <w:t xml:space="preserve">סימן </w:t>
      </w:r>
      <w:r>
        <w:rPr>
          <w:rtl/>
        </w:rPr>
        <w:t>–</w:t>
      </w:r>
      <w:r>
        <w:rPr>
          <w:rFonts w:hint="cs"/>
          <w:rtl/>
        </w:rPr>
        <w:t xml:space="preserve"> גביה ללא לימוד גמור</w:t>
      </w:r>
      <w:r>
        <w:rPr>
          <w:rFonts w:hint="cs"/>
          <w:sz w:val="16"/>
          <w:szCs w:val="16"/>
          <w:rtl/>
        </w:rPr>
        <w:t xml:space="preserve"> (הסימן לדף לג שבו עיקרי הדברים)</w:t>
      </w:r>
      <w:r>
        <w:rPr>
          <w:rFonts w:hint="cs"/>
          <w:rtl/>
        </w:rPr>
        <w:t>.</w:t>
      </w:r>
    </w:p>
  </w:footnote>
  <w:footnote w:id="1181">
    <w:p w14:paraId="36986BE8" w14:textId="77777777" w:rsidR="0013116F" w:rsidRDefault="0013116F" w:rsidP="007E745D">
      <w:pPr>
        <w:pStyle w:val="a9"/>
        <w:rPr>
          <w:rtl/>
        </w:rPr>
      </w:pPr>
      <w:r>
        <w:rPr>
          <w:rStyle w:val="ab"/>
        </w:rPr>
        <w:footnoteRef/>
      </w:r>
      <w:r>
        <w:rPr>
          <w:rtl/>
        </w:rPr>
        <w:t xml:space="preserve"> </w:t>
      </w:r>
      <w:r w:rsidRPr="00EC5ADB">
        <w:rPr>
          <w:rFonts w:cs="Arial"/>
          <w:rtl/>
        </w:rPr>
        <w:t>סותרין את הדין, לאחר שגמרוהו וידעו שטעו - מחזירין את הדבר בין לזכות בין לחובה</w:t>
      </w:r>
      <w:r>
        <w:rPr>
          <w:rFonts w:cs="Arial" w:hint="cs"/>
          <w:rtl/>
        </w:rPr>
        <w:t>, רש"י</w:t>
      </w:r>
      <w:r w:rsidRPr="00EC5ADB">
        <w:rPr>
          <w:rFonts w:cs="Arial"/>
          <w:rtl/>
        </w:rPr>
        <w:t>.</w:t>
      </w:r>
    </w:p>
  </w:footnote>
  <w:footnote w:id="1182">
    <w:p w14:paraId="107068AB" w14:textId="77777777" w:rsidR="0013116F" w:rsidRDefault="0013116F" w:rsidP="007E745D">
      <w:pPr>
        <w:pStyle w:val="a9"/>
        <w:rPr>
          <w:rtl/>
        </w:rPr>
      </w:pPr>
      <w:r>
        <w:rPr>
          <w:rStyle w:val="ab"/>
        </w:rPr>
        <w:footnoteRef/>
      </w:r>
      <w:r>
        <w:rPr>
          <w:rtl/>
        </w:rPr>
        <w:t xml:space="preserve"> </w:t>
      </w:r>
      <w:r w:rsidRPr="00EC0169">
        <w:rPr>
          <w:rFonts w:cs="Arial"/>
          <w:rtl/>
        </w:rPr>
        <w:t>אלמא לא הדר</w:t>
      </w:r>
      <w:r>
        <w:rPr>
          <w:rFonts w:cs="Arial" w:hint="cs"/>
          <w:rtl/>
        </w:rPr>
        <w:t>, רש"י</w:t>
      </w:r>
      <w:r w:rsidRPr="00EC0169">
        <w:rPr>
          <w:rFonts w:cs="Arial"/>
          <w:rtl/>
        </w:rPr>
        <w:t>.</w:t>
      </w:r>
    </w:p>
  </w:footnote>
  <w:footnote w:id="1183">
    <w:p w14:paraId="436C233D" w14:textId="77777777" w:rsidR="0013116F" w:rsidRDefault="0013116F" w:rsidP="007E745D">
      <w:pPr>
        <w:pStyle w:val="a9"/>
      </w:pPr>
      <w:r>
        <w:rPr>
          <w:rStyle w:val="ab"/>
        </w:rPr>
        <w:footnoteRef/>
      </w:r>
      <w:r>
        <w:rPr>
          <w:rtl/>
        </w:rPr>
        <w:t xml:space="preserve"> </w:t>
      </w:r>
      <w:r w:rsidRPr="00EC0169">
        <w:rPr>
          <w:rFonts w:cs="Arial"/>
          <w:rtl/>
        </w:rPr>
        <w:t>יש בו כח לחזור, ולא מצי למימר ליה בעל דין: אנא כי טעמא קמא דידך עבדינא, אבל בשאינו מומחה מצי אמר ליה: מי יימר דטעמא בתרא דידך עיקר דילמא קמא עיקר ובהאי הוא דטעית</w:t>
      </w:r>
      <w:r>
        <w:rPr>
          <w:rFonts w:cs="Arial" w:hint="cs"/>
          <w:rtl/>
        </w:rPr>
        <w:t>, רש"י</w:t>
      </w:r>
      <w:r w:rsidRPr="00EC0169">
        <w:rPr>
          <w:rFonts w:cs="Arial"/>
          <w:rtl/>
        </w:rPr>
        <w:t>.</w:t>
      </w:r>
    </w:p>
  </w:footnote>
  <w:footnote w:id="1184">
    <w:p w14:paraId="2690C111" w14:textId="77777777" w:rsidR="0013116F" w:rsidRDefault="0013116F" w:rsidP="007E745D">
      <w:pPr>
        <w:pStyle w:val="a9"/>
        <w:rPr>
          <w:rtl/>
        </w:rPr>
      </w:pPr>
      <w:r>
        <w:rPr>
          <w:rStyle w:val="ab"/>
        </w:rPr>
        <w:footnoteRef/>
      </w:r>
      <w:r>
        <w:rPr>
          <w:rtl/>
        </w:rPr>
        <w:t xml:space="preserve"> </w:t>
      </w:r>
      <w:r w:rsidRPr="00EC0169">
        <w:rPr>
          <w:rFonts w:cs="Arial"/>
          <w:rtl/>
        </w:rPr>
        <w:t>אלמא מה שעשה עשוי, ומיהו פטור מלשלם דכיון דמומחא הוא מזלא בישא דההוא גברא גרם ליה למיטעי</w:t>
      </w:r>
      <w:r>
        <w:rPr>
          <w:rFonts w:cs="Arial" w:hint="cs"/>
          <w:rtl/>
        </w:rPr>
        <w:t>, רש"י</w:t>
      </w:r>
      <w:r w:rsidRPr="00EC0169">
        <w:rPr>
          <w:rFonts w:cs="Arial"/>
          <w:rtl/>
        </w:rPr>
        <w:t>.</w:t>
      </w:r>
    </w:p>
  </w:footnote>
  <w:footnote w:id="1185">
    <w:p w14:paraId="1A4B5DDA" w14:textId="77777777" w:rsidR="0013116F" w:rsidRDefault="0013116F" w:rsidP="007E745D">
      <w:pPr>
        <w:pStyle w:val="a9"/>
        <w:rPr>
          <w:rtl/>
        </w:rPr>
      </w:pPr>
      <w:r>
        <w:rPr>
          <w:rStyle w:val="ab"/>
        </w:rPr>
        <w:footnoteRef/>
      </w:r>
      <w:r>
        <w:rPr>
          <w:rtl/>
        </w:rPr>
        <w:t xml:space="preserve"> </w:t>
      </w:r>
      <w:r w:rsidRPr="00EC0169">
        <w:rPr>
          <w:rFonts w:cs="Arial"/>
          <w:rtl/>
        </w:rPr>
        <w:t>אותו גדול מחזיר דבריו של זה, דיש בו כח לבטל</w:t>
      </w:r>
      <w:r>
        <w:rPr>
          <w:rFonts w:cs="Arial" w:hint="cs"/>
          <w:rtl/>
        </w:rPr>
        <w:t>, רש"י</w:t>
      </w:r>
      <w:r w:rsidRPr="00EC0169">
        <w:rPr>
          <w:rFonts w:cs="Arial"/>
          <w:rtl/>
        </w:rPr>
        <w:t>.</w:t>
      </w:r>
    </w:p>
  </w:footnote>
  <w:footnote w:id="1186">
    <w:p w14:paraId="585C4245" w14:textId="77777777" w:rsidR="0013116F" w:rsidRDefault="0013116F" w:rsidP="007E745D">
      <w:pPr>
        <w:pStyle w:val="a9"/>
        <w:rPr>
          <w:rtl/>
        </w:rPr>
      </w:pPr>
      <w:r>
        <w:rPr>
          <w:rStyle w:val="ab"/>
        </w:rPr>
        <w:footnoteRef/>
      </w:r>
      <w:r>
        <w:rPr>
          <w:rtl/>
        </w:rPr>
        <w:t xml:space="preserve"> </w:t>
      </w:r>
      <w:r w:rsidRPr="00EC0169">
        <w:rPr>
          <w:rFonts w:cs="Arial"/>
          <w:rtl/>
        </w:rPr>
        <w:t>לא ציית ליה בעל דין לאהדורי עובדא, ואפילו זה אומר: טעיתי, לאו כל כמיניה</w:t>
      </w:r>
      <w:r>
        <w:rPr>
          <w:rFonts w:cs="Arial" w:hint="cs"/>
          <w:rtl/>
        </w:rPr>
        <w:t>, רש"י</w:t>
      </w:r>
      <w:r w:rsidRPr="00EC0169">
        <w:rPr>
          <w:rFonts w:cs="Arial"/>
          <w:rtl/>
        </w:rPr>
        <w:t>.</w:t>
      </w:r>
    </w:p>
  </w:footnote>
  <w:footnote w:id="1187">
    <w:p w14:paraId="6667353E" w14:textId="77777777" w:rsidR="0013116F" w:rsidRDefault="0013116F" w:rsidP="007E745D">
      <w:pPr>
        <w:pStyle w:val="a9"/>
      </w:pPr>
      <w:r>
        <w:rPr>
          <w:rStyle w:val="ab"/>
        </w:rPr>
        <w:footnoteRef/>
      </w:r>
      <w:r>
        <w:rPr>
          <w:rtl/>
        </w:rPr>
        <w:t xml:space="preserve"> </w:t>
      </w:r>
      <w:r w:rsidRPr="00EC0169">
        <w:rPr>
          <w:rFonts w:cs="Arial"/>
          <w:rtl/>
        </w:rPr>
        <w:t>שטעותו מצוי בדבר המשנה - אין דינו דין לגמרי, וחוזר</w:t>
      </w:r>
      <w:r>
        <w:rPr>
          <w:rFonts w:cs="Arial" w:hint="cs"/>
          <w:rtl/>
        </w:rPr>
        <w:t>, רש"י</w:t>
      </w:r>
      <w:r w:rsidRPr="00EC0169">
        <w:rPr>
          <w:rFonts w:cs="Arial"/>
          <w:rtl/>
        </w:rPr>
        <w:t>.</w:t>
      </w:r>
    </w:p>
  </w:footnote>
  <w:footnote w:id="1188">
    <w:p w14:paraId="2072861C" w14:textId="77777777" w:rsidR="0013116F" w:rsidRDefault="0013116F">
      <w:pPr>
        <w:pStyle w:val="a9"/>
        <w:rPr>
          <w:rtl/>
        </w:rPr>
      </w:pPr>
      <w:r>
        <w:rPr>
          <w:rStyle w:val="ab"/>
        </w:rPr>
        <w:footnoteRef/>
      </w:r>
      <w:r>
        <w:rPr>
          <w:rtl/>
        </w:rPr>
        <w:t xml:space="preserve"> </w:t>
      </w:r>
      <w:r>
        <w:rPr>
          <w:rFonts w:hint="cs"/>
          <w:rtl/>
        </w:rPr>
        <w:t>יתבאר בסעיף הבא.</w:t>
      </w:r>
    </w:p>
  </w:footnote>
  <w:footnote w:id="1189">
    <w:p w14:paraId="648F99F1" w14:textId="77777777" w:rsidR="0013116F" w:rsidRDefault="0013116F" w:rsidP="007E745D">
      <w:pPr>
        <w:pStyle w:val="a9"/>
      </w:pPr>
      <w:r>
        <w:rPr>
          <w:rStyle w:val="ab"/>
        </w:rPr>
        <w:footnoteRef/>
      </w:r>
      <w:r>
        <w:rPr>
          <w:rtl/>
        </w:rPr>
        <w:t xml:space="preserve"> </w:t>
      </w:r>
      <w:r w:rsidRPr="00EC0169">
        <w:rPr>
          <w:rFonts w:cs="Arial"/>
          <w:rtl/>
        </w:rPr>
        <w:t>האי דבר משנה דקאמר מי אמרינן דאפילו טעה בדבר המשנה בתוספתא דבי רבי חייא ורבי אושעיא, שהם סידרו התוספתא וסתמו בה מה שסתמו, ולא הוי עיקר כל כך כמשנתנו שסתמה רבי, שהיה גדול מהם וכל הישיבה מצויה אצלו על ידי שהוא נשיא, ודקדקו עמו בדברים והעמידום על בוריים</w:t>
      </w:r>
      <w:r>
        <w:rPr>
          <w:rFonts w:cs="Arial" w:hint="cs"/>
          <w:rtl/>
        </w:rPr>
        <w:t>, רש"י.</w:t>
      </w:r>
    </w:p>
  </w:footnote>
  <w:footnote w:id="1190">
    <w:p w14:paraId="74118E1C" w14:textId="77777777" w:rsidR="0013116F" w:rsidRDefault="0013116F" w:rsidP="007E745D">
      <w:pPr>
        <w:pStyle w:val="a9"/>
        <w:rPr>
          <w:rtl/>
        </w:rPr>
      </w:pPr>
      <w:r>
        <w:rPr>
          <w:rStyle w:val="ab"/>
        </w:rPr>
        <w:footnoteRef/>
      </w:r>
      <w:r>
        <w:rPr>
          <w:rtl/>
        </w:rPr>
        <w:t xml:space="preserve"> </w:t>
      </w:r>
      <w:r w:rsidRPr="00EC0169">
        <w:rPr>
          <w:rFonts w:cs="Arial"/>
          <w:rtl/>
        </w:rPr>
        <w:t>במימרא דידהו שפסקו מסברא שלהם, ולא הויא מתניתין אלא סברא</w:t>
      </w:r>
      <w:r>
        <w:rPr>
          <w:rFonts w:cs="Arial" w:hint="cs"/>
          <w:rtl/>
        </w:rPr>
        <w:t>, רש"י</w:t>
      </w:r>
      <w:r w:rsidRPr="00EC0169">
        <w:rPr>
          <w:rFonts w:cs="Arial"/>
          <w:rtl/>
        </w:rPr>
        <w:t>.</w:t>
      </w:r>
    </w:p>
  </w:footnote>
  <w:footnote w:id="1191">
    <w:p w14:paraId="6085C706" w14:textId="77777777" w:rsidR="0013116F" w:rsidRDefault="0013116F" w:rsidP="007E745D">
      <w:pPr>
        <w:pStyle w:val="a9"/>
        <w:rPr>
          <w:rtl/>
        </w:rPr>
      </w:pPr>
      <w:r>
        <w:rPr>
          <w:rStyle w:val="ab"/>
        </w:rPr>
        <w:footnoteRef/>
      </w:r>
      <w:r>
        <w:rPr>
          <w:rtl/>
        </w:rPr>
        <w:t xml:space="preserve"> </w:t>
      </w:r>
      <w:r w:rsidRPr="00EC0169">
        <w:rPr>
          <w:rFonts w:cs="Arial"/>
          <w:rtl/>
        </w:rPr>
        <w:t>אחרי שאמרתי לך שאף הטועה בדברי האמוראים האחרונים חוזר, מאי גריעותנן מדאחריני</w:t>
      </w:r>
      <w:r>
        <w:rPr>
          <w:rFonts w:cs="Arial" w:hint="cs"/>
          <w:rtl/>
        </w:rPr>
        <w:t>, רש"י</w:t>
      </w:r>
      <w:r w:rsidRPr="00EC0169">
        <w:rPr>
          <w:rFonts w:cs="Arial"/>
          <w:rtl/>
        </w:rPr>
        <w:t>.</w:t>
      </w:r>
    </w:p>
  </w:footnote>
  <w:footnote w:id="1192">
    <w:p w14:paraId="07311EF4" w14:textId="77777777" w:rsidR="0013116F" w:rsidRDefault="0013116F" w:rsidP="007E745D">
      <w:pPr>
        <w:pStyle w:val="a9"/>
      </w:pPr>
      <w:r>
        <w:rPr>
          <w:rStyle w:val="ab"/>
        </w:rPr>
        <w:footnoteRef/>
      </w:r>
      <w:r>
        <w:rPr>
          <w:rtl/>
        </w:rPr>
        <w:t xml:space="preserve"> </w:t>
      </w:r>
      <w:r w:rsidRPr="00EC0169">
        <w:rPr>
          <w:rFonts w:cs="Arial"/>
          <w:rtl/>
        </w:rPr>
        <w:t>מה שעשה עשוי</w:t>
      </w:r>
      <w:r>
        <w:rPr>
          <w:rFonts w:cs="Arial" w:hint="cs"/>
          <w:rtl/>
        </w:rPr>
        <w:t>, רש"י</w:t>
      </w:r>
      <w:r w:rsidRPr="00EC0169">
        <w:rPr>
          <w:rFonts w:cs="Arial"/>
          <w:rtl/>
        </w:rPr>
        <w:t>.</w:t>
      </w:r>
    </w:p>
  </w:footnote>
  <w:footnote w:id="1193">
    <w:p w14:paraId="027D2E17" w14:textId="77777777" w:rsidR="0013116F" w:rsidRDefault="0013116F" w:rsidP="007E745D">
      <w:pPr>
        <w:pStyle w:val="a9"/>
      </w:pPr>
      <w:r>
        <w:rPr>
          <w:rStyle w:val="ab"/>
        </w:rPr>
        <w:footnoteRef/>
      </w:r>
      <w:r>
        <w:rPr>
          <w:rtl/>
        </w:rPr>
        <w:t xml:space="preserve"> </w:t>
      </w:r>
      <w:r w:rsidRPr="00EC0169">
        <w:rPr>
          <w:rFonts w:cs="Arial"/>
          <w:rtl/>
        </w:rPr>
        <w:t>אלא צוה לבעל דין והוא עושה מעצמו - מחזיר הממון מזה שקיבלו לזה שנתנו</w:t>
      </w:r>
      <w:r>
        <w:rPr>
          <w:rFonts w:cs="Arial" w:hint="cs"/>
          <w:rtl/>
        </w:rPr>
        <w:t>, רש"י</w:t>
      </w:r>
      <w:r w:rsidRPr="00EC0169">
        <w:rPr>
          <w:rFonts w:cs="Arial"/>
          <w:rtl/>
        </w:rPr>
        <w:t>.</w:t>
      </w:r>
    </w:p>
  </w:footnote>
  <w:footnote w:id="1194">
    <w:p w14:paraId="175DEBB8" w14:textId="77777777" w:rsidR="0013116F" w:rsidRDefault="0013116F">
      <w:pPr>
        <w:pStyle w:val="a9"/>
      </w:pPr>
      <w:r>
        <w:rPr>
          <w:rStyle w:val="ab"/>
        </w:rPr>
        <w:footnoteRef/>
      </w:r>
      <w:r>
        <w:rPr>
          <w:rtl/>
        </w:rPr>
        <w:t xml:space="preserve"> </w:t>
      </w:r>
      <w:r w:rsidRPr="00502486">
        <w:rPr>
          <w:rFonts w:cs="Arial"/>
          <w:rtl/>
        </w:rPr>
        <w:t>מהדר לאוקומי לתירוציה דרב חסדא דמתניתין - כשלא נשא ונתן ביד, ודן את הדין - כשנשא ונתן ביד, ודקשיא לך: זיכה את החייב מאי נשא ונתן ביד איכא - כגון שהיה לו משכון לתובע מן הנתבע וזיכה הדיין את הלוה, ואמר לו: פטור אתה, ונטל המשכון מיד המלוה והחזירו ללוה</w:t>
      </w:r>
      <w:r>
        <w:rPr>
          <w:rFonts w:cs="Arial" w:hint="cs"/>
          <w:rtl/>
        </w:rPr>
        <w:t>, רש"י</w:t>
      </w:r>
      <w:r w:rsidRPr="00502486">
        <w:rPr>
          <w:rFonts w:cs="Arial"/>
          <w:rtl/>
        </w:rPr>
        <w:t>.</w:t>
      </w:r>
    </w:p>
  </w:footnote>
  <w:footnote w:id="1195">
    <w:p w14:paraId="0928B0A4" w14:textId="77777777" w:rsidR="0013116F" w:rsidRDefault="0013116F" w:rsidP="007E745D">
      <w:pPr>
        <w:pStyle w:val="a9"/>
        <w:rPr>
          <w:rtl/>
        </w:rPr>
      </w:pPr>
      <w:r>
        <w:rPr>
          <w:rStyle w:val="ab"/>
        </w:rPr>
        <w:footnoteRef/>
      </w:r>
      <w:r>
        <w:rPr>
          <w:rtl/>
        </w:rPr>
        <w:t xml:space="preserve"> </w:t>
      </w:r>
      <w:r>
        <w:rPr>
          <w:rFonts w:cs="Arial"/>
          <w:rtl/>
        </w:rPr>
        <w:t>חדא דהוא מסקנא דשמעתא</w:t>
      </w:r>
      <w:r>
        <w:rPr>
          <w:rFonts w:cs="Arial" w:hint="cs"/>
          <w:rtl/>
        </w:rPr>
        <w:t>,</w:t>
      </w:r>
      <w:r>
        <w:rPr>
          <w:rFonts w:cs="Arial"/>
          <w:rtl/>
        </w:rPr>
        <w:t xml:space="preserve"> ועוד דהא אוקימנא להא מתניתין בדוכתא אחרינא בבכורות (שם) בשנשא ונתן ביד כדאוקמא רב חסדא הכא</w:t>
      </w:r>
      <w:r>
        <w:rPr>
          <w:rFonts w:cs="Arial" w:hint="cs"/>
          <w:rtl/>
        </w:rPr>
        <w:t>,</w:t>
      </w:r>
      <w:r>
        <w:rPr>
          <w:rFonts w:cs="Arial"/>
          <w:rtl/>
        </w:rPr>
        <w:t xml:space="preserve"> </w:t>
      </w:r>
      <w:r>
        <w:rPr>
          <w:rFonts w:cs="Arial" w:hint="cs"/>
          <w:rtl/>
        </w:rPr>
        <w:t>רי"ף.</w:t>
      </w:r>
    </w:p>
  </w:footnote>
  <w:footnote w:id="1196">
    <w:p w14:paraId="790D2FEF" w14:textId="77777777" w:rsidR="0013116F" w:rsidRDefault="0013116F">
      <w:pPr>
        <w:pStyle w:val="a9"/>
      </w:pPr>
      <w:r>
        <w:rPr>
          <w:rStyle w:val="ab"/>
        </w:rPr>
        <w:footnoteRef/>
      </w:r>
      <w:r>
        <w:rPr>
          <w:rtl/>
        </w:rPr>
        <w:t xml:space="preserve"> </w:t>
      </w:r>
      <w:r>
        <w:rPr>
          <w:rFonts w:cs="Arial"/>
          <w:rtl/>
        </w:rPr>
        <w:t>דאמרינן בכמה דוכתי (כתובות ק. סנהדרין ו. שבועות לח:) נעשה כמי שטעה בדבר משנה וחוזר</w:t>
      </w:r>
      <w:r>
        <w:rPr>
          <w:rFonts w:cs="Arial" w:hint="cs"/>
          <w:rtl/>
        </w:rPr>
        <w:t>,</w:t>
      </w:r>
      <w:r>
        <w:rPr>
          <w:rFonts w:cs="Arial"/>
          <w:rtl/>
        </w:rPr>
        <w:t xml:space="preserve"> </w:t>
      </w:r>
      <w:r>
        <w:rPr>
          <w:rFonts w:cs="Arial" w:hint="cs"/>
          <w:rtl/>
        </w:rPr>
        <w:t>רי"ף.</w:t>
      </w:r>
    </w:p>
  </w:footnote>
  <w:footnote w:id="1197">
    <w:p w14:paraId="09F4D20C" w14:textId="77777777" w:rsidR="0013116F" w:rsidRDefault="0013116F" w:rsidP="00C818A0">
      <w:pPr>
        <w:pStyle w:val="a9"/>
      </w:pPr>
      <w:r>
        <w:rPr>
          <w:rStyle w:val="ab"/>
        </w:rPr>
        <w:footnoteRef/>
      </w:r>
      <w:r>
        <w:rPr>
          <w:rFonts w:cs="Arial"/>
          <w:rtl/>
        </w:rPr>
        <w:t xml:space="preserve"> והאי דקתני מחזירין</w:t>
      </w:r>
      <w:r>
        <w:rPr>
          <w:rFonts w:cs="Arial" w:hint="cs"/>
          <w:rtl/>
        </w:rPr>
        <w:t xml:space="preserve"> -</w:t>
      </w:r>
      <w:r>
        <w:rPr>
          <w:rFonts w:cs="Arial"/>
          <w:rtl/>
        </w:rPr>
        <w:t xml:space="preserve"> בשלא נשא ונתן ביד הוא</w:t>
      </w:r>
      <w:r>
        <w:rPr>
          <w:rFonts w:cs="Arial" w:hint="cs"/>
          <w:rtl/>
        </w:rPr>
        <w:t>,</w:t>
      </w:r>
      <w:r>
        <w:rPr>
          <w:rFonts w:cs="Arial"/>
          <w:rtl/>
        </w:rPr>
        <w:t xml:space="preserve"> והא דקתני מה שעשה עשוי </w:t>
      </w:r>
      <w:r>
        <w:rPr>
          <w:rFonts w:cs="Arial" w:hint="cs"/>
          <w:rtl/>
        </w:rPr>
        <w:t xml:space="preserve">- </w:t>
      </w:r>
      <w:r>
        <w:rPr>
          <w:rFonts w:cs="Arial"/>
          <w:rtl/>
        </w:rPr>
        <w:t>הוא בשנשא ונתן ביד</w:t>
      </w:r>
      <w:r>
        <w:rPr>
          <w:rFonts w:cs="Arial" w:hint="cs"/>
          <w:rtl/>
        </w:rPr>
        <w:t xml:space="preserve"> </w:t>
      </w:r>
      <w:r>
        <w:rPr>
          <w:rFonts w:cs="Arial" w:hint="cs"/>
          <w:sz w:val="16"/>
          <w:szCs w:val="16"/>
          <w:rtl/>
        </w:rPr>
        <w:t>(</w:t>
      </w:r>
      <w:r w:rsidRPr="00C818A0">
        <w:rPr>
          <w:rFonts w:cs="Arial"/>
          <w:sz w:val="16"/>
          <w:szCs w:val="16"/>
          <w:rtl/>
        </w:rPr>
        <w:t xml:space="preserve">וטעמא דהא מילתא </w:t>
      </w:r>
      <w:r>
        <w:rPr>
          <w:rFonts w:cs="Arial" w:hint="cs"/>
          <w:sz w:val="16"/>
          <w:szCs w:val="16"/>
          <w:rtl/>
        </w:rPr>
        <w:t xml:space="preserve">- </w:t>
      </w:r>
      <w:r w:rsidRPr="00C818A0">
        <w:rPr>
          <w:rFonts w:cs="Arial"/>
          <w:sz w:val="16"/>
          <w:szCs w:val="16"/>
          <w:rtl/>
        </w:rPr>
        <w:t>משום הפסד ממונו של בעל דין</w:t>
      </w:r>
      <w:r w:rsidRPr="00C818A0">
        <w:rPr>
          <w:rFonts w:cs="Arial" w:hint="cs"/>
          <w:sz w:val="16"/>
          <w:szCs w:val="16"/>
          <w:rtl/>
        </w:rPr>
        <w:t>,</w:t>
      </w:r>
      <w:r w:rsidRPr="00C818A0">
        <w:rPr>
          <w:rFonts w:cs="Arial"/>
          <w:sz w:val="16"/>
          <w:szCs w:val="16"/>
          <w:rtl/>
        </w:rPr>
        <w:t xml:space="preserve"> דהיכא דלית ליה פסידא לבעל דין</w:t>
      </w:r>
      <w:r>
        <w:rPr>
          <w:rFonts w:cs="Arial" w:hint="cs"/>
          <w:sz w:val="16"/>
          <w:szCs w:val="16"/>
          <w:rtl/>
        </w:rPr>
        <w:t>,</w:t>
      </w:r>
      <w:r w:rsidRPr="00C818A0">
        <w:rPr>
          <w:rFonts w:cs="Arial"/>
          <w:sz w:val="16"/>
          <w:szCs w:val="16"/>
          <w:rtl/>
        </w:rPr>
        <w:t xml:space="preserve"> כגון שנשא הדיין ונתן ביד דחייב לשלם מביתו</w:t>
      </w:r>
      <w:r>
        <w:rPr>
          <w:rFonts w:cs="Arial" w:hint="cs"/>
          <w:sz w:val="16"/>
          <w:szCs w:val="16"/>
          <w:rtl/>
        </w:rPr>
        <w:t xml:space="preserve"> -</w:t>
      </w:r>
      <w:r w:rsidRPr="00C818A0">
        <w:rPr>
          <w:rFonts w:cs="Arial"/>
          <w:sz w:val="16"/>
          <w:szCs w:val="16"/>
          <w:rtl/>
        </w:rPr>
        <w:t xml:space="preserve"> אמרינן מה שעשה עשוי</w:t>
      </w:r>
      <w:r>
        <w:rPr>
          <w:rFonts w:cs="Arial" w:hint="cs"/>
          <w:sz w:val="16"/>
          <w:szCs w:val="16"/>
          <w:rtl/>
        </w:rPr>
        <w:t>.</w:t>
      </w:r>
      <w:r w:rsidRPr="00C818A0">
        <w:rPr>
          <w:rFonts w:cs="Arial"/>
          <w:sz w:val="16"/>
          <w:szCs w:val="16"/>
          <w:rtl/>
        </w:rPr>
        <w:t xml:space="preserve"> והיכא דאית ליה לבעל דין פסידא</w:t>
      </w:r>
      <w:r>
        <w:rPr>
          <w:rFonts w:cs="Arial" w:hint="cs"/>
          <w:sz w:val="16"/>
          <w:szCs w:val="16"/>
          <w:rtl/>
        </w:rPr>
        <w:t>,</w:t>
      </w:r>
      <w:r w:rsidRPr="00C818A0">
        <w:rPr>
          <w:rFonts w:cs="Arial"/>
          <w:sz w:val="16"/>
          <w:szCs w:val="16"/>
          <w:rtl/>
        </w:rPr>
        <w:t xml:space="preserve"> כגון שלא נשא הדיין ונתן ביד דאינו חייב לשלם</w:t>
      </w:r>
      <w:r>
        <w:rPr>
          <w:rFonts w:cs="Arial" w:hint="cs"/>
          <w:sz w:val="16"/>
          <w:szCs w:val="16"/>
          <w:rtl/>
        </w:rPr>
        <w:t xml:space="preserve"> -</w:t>
      </w:r>
      <w:r w:rsidRPr="00C818A0">
        <w:rPr>
          <w:rFonts w:cs="Arial"/>
          <w:sz w:val="16"/>
          <w:szCs w:val="16"/>
          <w:rtl/>
        </w:rPr>
        <w:t xml:space="preserve"> לא אמרינן מה שעשה עשוי</w:t>
      </w:r>
      <w:r>
        <w:rPr>
          <w:rFonts w:cs="Arial" w:hint="cs"/>
          <w:sz w:val="16"/>
          <w:szCs w:val="16"/>
          <w:rtl/>
        </w:rPr>
        <w:t>,</w:t>
      </w:r>
      <w:r w:rsidRPr="00C818A0">
        <w:rPr>
          <w:rFonts w:cs="Arial"/>
          <w:sz w:val="16"/>
          <w:szCs w:val="16"/>
          <w:rtl/>
        </w:rPr>
        <w:t xml:space="preserve"> אלא מחזירין בין לזכות בין לחובה הדין</w:t>
      </w:r>
      <w:r w:rsidRPr="00C818A0">
        <w:rPr>
          <w:rFonts w:cs="Arial" w:hint="cs"/>
          <w:sz w:val="16"/>
          <w:szCs w:val="16"/>
          <w:rtl/>
        </w:rPr>
        <w:t>,</w:t>
      </w:r>
      <w:r w:rsidRPr="00C818A0">
        <w:rPr>
          <w:rFonts w:cs="Arial"/>
          <w:sz w:val="16"/>
          <w:szCs w:val="16"/>
          <w:rtl/>
        </w:rPr>
        <w:t xml:space="preserve"> הוא טעמא דרב חסדא</w:t>
      </w:r>
      <w:r>
        <w:rPr>
          <w:rFonts w:cs="Arial" w:hint="cs"/>
          <w:sz w:val="16"/>
          <w:szCs w:val="16"/>
          <w:rtl/>
        </w:rPr>
        <w:t>)</w:t>
      </w:r>
      <w:r>
        <w:rPr>
          <w:rFonts w:cs="Arial" w:hint="cs"/>
          <w:rtl/>
        </w:rPr>
        <w:t>,</w:t>
      </w:r>
      <w:r>
        <w:rPr>
          <w:rFonts w:cs="Arial"/>
          <w:rtl/>
        </w:rPr>
        <w:t xml:space="preserve"> והכין הלכתא</w:t>
      </w:r>
      <w:r>
        <w:rPr>
          <w:rFonts w:cs="Arial" w:hint="cs"/>
          <w:rtl/>
        </w:rPr>
        <w:t>,</w:t>
      </w:r>
      <w:r>
        <w:rPr>
          <w:rFonts w:cs="Arial"/>
          <w:rtl/>
        </w:rPr>
        <w:t xml:space="preserve"> וכיון דקיי</w:t>
      </w:r>
      <w:r>
        <w:rPr>
          <w:rFonts w:cs="Arial" w:hint="cs"/>
          <w:rtl/>
        </w:rPr>
        <w:t>"</w:t>
      </w:r>
      <w:r>
        <w:rPr>
          <w:rFonts w:cs="Arial"/>
          <w:rtl/>
        </w:rPr>
        <w:t>ל דטעה בדבר משנה חוזר וקיי</w:t>
      </w:r>
      <w:r>
        <w:rPr>
          <w:rFonts w:cs="Arial" w:hint="cs"/>
          <w:rtl/>
        </w:rPr>
        <w:t>"</w:t>
      </w:r>
      <w:r>
        <w:rPr>
          <w:rFonts w:cs="Arial"/>
          <w:rtl/>
        </w:rPr>
        <w:t>ל כרב חסדא דאוקי להני תרתי מתנייתא בשטעה בשיקול הדעת</w:t>
      </w:r>
      <w:r>
        <w:rPr>
          <w:rFonts w:cs="Arial" w:hint="cs"/>
          <w:rtl/>
        </w:rPr>
        <w:t>,</w:t>
      </w:r>
      <w:r>
        <w:rPr>
          <w:rFonts w:cs="Arial"/>
          <w:rtl/>
        </w:rPr>
        <w:t xml:space="preserve"> אידחי ליה פירוקא דרב יוסף ודרב נחמן</w:t>
      </w:r>
      <w:r>
        <w:rPr>
          <w:rFonts w:hint="cs"/>
          <w:rtl/>
        </w:rPr>
        <w:t>, רי"ף.</w:t>
      </w:r>
    </w:p>
  </w:footnote>
  <w:footnote w:id="1198">
    <w:p w14:paraId="102AD155" w14:textId="77777777" w:rsidR="0013116F" w:rsidRDefault="0013116F" w:rsidP="007E745D">
      <w:pPr>
        <w:pStyle w:val="a9"/>
        <w:rPr>
          <w:rtl/>
        </w:rPr>
      </w:pPr>
      <w:r>
        <w:rPr>
          <w:rStyle w:val="ab"/>
        </w:rPr>
        <w:footnoteRef/>
      </w:r>
      <w:r>
        <w:rPr>
          <w:rtl/>
        </w:rPr>
        <w:t xml:space="preserve"> </w:t>
      </w:r>
      <w:r>
        <w:rPr>
          <w:rFonts w:cs="Arial" w:hint="cs"/>
          <w:rtl/>
        </w:rPr>
        <w:t>ה</w:t>
      </w:r>
      <w:r>
        <w:rPr>
          <w:rFonts w:cs="Arial"/>
          <w:rtl/>
        </w:rPr>
        <w:t>רא"ש (סי' ה) הקשה על דברי הרי"ף שפסק הלכה כרב חסדא</w:t>
      </w:r>
      <w:r>
        <w:rPr>
          <w:rFonts w:cs="Arial" w:hint="cs"/>
          <w:rtl/>
        </w:rPr>
        <w:t>,</w:t>
      </w:r>
      <w:r>
        <w:rPr>
          <w:rFonts w:cs="Arial"/>
          <w:rtl/>
        </w:rPr>
        <w:t xml:space="preserve"> וכתב</w:t>
      </w:r>
      <w:r>
        <w:rPr>
          <w:rFonts w:cs="Arial" w:hint="cs"/>
          <w:rtl/>
        </w:rPr>
        <w:t xml:space="preserve"> וז"ל-</w:t>
      </w:r>
      <w:r>
        <w:rPr>
          <w:rFonts w:cs="Arial"/>
          <w:rtl/>
        </w:rPr>
        <w:t xml:space="preserve"> הלכך נראה כ</w:t>
      </w:r>
      <w:r>
        <w:rPr>
          <w:rFonts w:cs="Arial" w:hint="cs"/>
          <w:rtl/>
        </w:rPr>
        <w:t>ד</w:t>
      </w:r>
      <w:r>
        <w:rPr>
          <w:rFonts w:cs="Arial"/>
          <w:rtl/>
        </w:rPr>
        <w:t>מפרשים דאין הלכה כרב חסדא דהא אוקימתא דרב חסדא איתא בבכורות אליבא דרבנן דרבי מאיר</w:t>
      </w:r>
      <w:r>
        <w:rPr>
          <w:rFonts w:cs="Arial" w:hint="cs"/>
          <w:rtl/>
        </w:rPr>
        <w:t>,</w:t>
      </w:r>
      <w:r>
        <w:rPr>
          <w:rFonts w:cs="Arial"/>
          <w:rtl/>
        </w:rPr>
        <w:t xml:space="preserve"> ולית הלכתא כוותייהו אלא</w:t>
      </w:r>
      <w:r>
        <w:rPr>
          <w:rFonts w:cs="Arial" w:hint="cs"/>
          <w:rtl/>
        </w:rPr>
        <w:t xml:space="preserve"> </w:t>
      </w:r>
      <w:r>
        <w:rPr>
          <w:rFonts w:cs="Arial"/>
          <w:rtl/>
        </w:rPr>
        <w:t>כרבי מאיר דאמרינן בבכורות אהא מתניתין לימא תנן סתמא כרבי מאיר</w:t>
      </w:r>
      <w:r>
        <w:rPr>
          <w:rFonts w:cs="Arial" w:hint="cs"/>
          <w:rtl/>
        </w:rPr>
        <w:t>...</w:t>
      </w:r>
      <w:r>
        <w:rPr>
          <w:rFonts w:cs="Arial"/>
          <w:rtl/>
        </w:rPr>
        <w:t xml:space="preserve"> אלמא דהך אוקימתא דרב חסדא דלא כהלכתא</w:t>
      </w:r>
      <w:r>
        <w:rPr>
          <w:rFonts w:cs="Arial" w:hint="cs"/>
          <w:rtl/>
        </w:rPr>
        <w:t>,</w:t>
      </w:r>
      <w:r>
        <w:rPr>
          <w:rFonts w:cs="Arial"/>
          <w:rtl/>
        </w:rPr>
        <w:t xml:space="preserve"> וכן כתב רב האי גאון ו</w:t>
      </w:r>
      <w:r>
        <w:rPr>
          <w:rFonts w:hint="cs"/>
          <w:rtl/>
        </w:rPr>
        <w:t>-...</w:t>
      </w:r>
    </w:p>
  </w:footnote>
  <w:footnote w:id="1199">
    <w:p w14:paraId="55AD5B7B" w14:textId="77777777" w:rsidR="0013116F" w:rsidRDefault="0013116F" w:rsidP="007E745D">
      <w:pPr>
        <w:pStyle w:val="a9"/>
      </w:pPr>
      <w:r>
        <w:rPr>
          <w:rStyle w:val="ab"/>
        </w:rPr>
        <w:footnoteRef/>
      </w:r>
      <w:r>
        <w:rPr>
          <w:rtl/>
        </w:rPr>
        <w:t xml:space="preserve"> </w:t>
      </w:r>
      <w:r>
        <w:rPr>
          <w:rFonts w:cs="Arial"/>
          <w:rtl/>
        </w:rPr>
        <w:t>ורב נחמן איירי בטעה בשיקול הדעת כמו שפירשו התוס</w:t>
      </w:r>
      <w:r>
        <w:rPr>
          <w:rFonts w:cs="Arial" w:hint="cs"/>
          <w:rtl/>
        </w:rPr>
        <w:t>'</w:t>
      </w:r>
      <w:r>
        <w:rPr>
          <w:rFonts w:cs="Arial"/>
          <w:rtl/>
        </w:rPr>
        <w:t xml:space="preserve"> (ד"ה כאן)</w:t>
      </w:r>
      <w:r>
        <w:rPr>
          <w:rFonts w:cs="Arial" w:hint="cs"/>
          <w:rtl/>
        </w:rPr>
        <w:t>,</w:t>
      </w:r>
      <w:r>
        <w:rPr>
          <w:rFonts w:cs="Arial"/>
          <w:rtl/>
        </w:rPr>
        <w:t xml:space="preserve"> דטעה בדבר משנה חוזר</w:t>
      </w:r>
      <w:r>
        <w:rPr>
          <w:rFonts w:cs="Arial" w:hint="cs"/>
          <w:rtl/>
        </w:rPr>
        <w:t>, רא"ש.</w:t>
      </w:r>
    </w:p>
  </w:footnote>
  <w:footnote w:id="1200">
    <w:p w14:paraId="769B60F6" w14:textId="77777777" w:rsidR="0013116F" w:rsidRDefault="0013116F" w:rsidP="00E705A1">
      <w:pPr>
        <w:pStyle w:val="a9"/>
      </w:pPr>
      <w:r>
        <w:rPr>
          <w:rStyle w:val="ab"/>
        </w:rPr>
        <w:footnoteRef/>
      </w:r>
      <w:r>
        <w:rPr>
          <w:rtl/>
        </w:rPr>
        <w:t xml:space="preserve"> </w:t>
      </w:r>
      <w:r>
        <w:rPr>
          <w:rFonts w:cs="Arial"/>
          <w:rtl/>
        </w:rPr>
        <w:t>בשאינו מומחה ואע</w:t>
      </w:r>
      <w:r>
        <w:rPr>
          <w:rFonts w:cs="Arial" w:hint="cs"/>
          <w:rtl/>
        </w:rPr>
        <w:t>"</w:t>
      </w:r>
      <w:r>
        <w:rPr>
          <w:rFonts w:cs="Arial"/>
          <w:rtl/>
        </w:rPr>
        <w:t xml:space="preserve">פ שיש גדול ממנו להחזירו </w:t>
      </w:r>
      <w:r w:rsidRPr="0002347B">
        <w:rPr>
          <w:rFonts w:cs="Arial" w:hint="cs"/>
          <w:sz w:val="16"/>
          <w:szCs w:val="16"/>
          <w:rtl/>
        </w:rPr>
        <w:t>(</w:t>
      </w:r>
      <w:r w:rsidRPr="0002347B">
        <w:rPr>
          <w:rFonts w:cs="Arial"/>
          <w:sz w:val="16"/>
          <w:szCs w:val="16"/>
          <w:rtl/>
        </w:rPr>
        <w:t>וכיון שנשתדל מתחלה לדון והוא אינו מומחה ראוי הוא שיתקיים הדין וישלם מביתו</w:t>
      </w:r>
      <w:r>
        <w:rPr>
          <w:rFonts w:cs="Arial" w:hint="cs"/>
          <w:sz w:val="16"/>
          <w:szCs w:val="16"/>
          <w:rtl/>
        </w:rPr>
        <w:t>)</w:t>
      </w:r>
      <w:r>
        <w:rPr>
          <w:rFonts w:cs="Arial"/>
          <w:rtl/>
        </w:rPr>
        <w:t xml:space="preserve"> ואע</w:t>
      </w:r>
      <w:r>
        <w:rPr>
          <w:rFonts w:cs="Arial" w:hint="cs"/>
          <w:rtl/>
        </w:rPr>
        <w:t>"</w:t>
      </w:r>
      <w:r>
        <w:rPr>
          <w:rFonts w:cs="Arial"/>
          <w:rtl/>
        </w:rPr>
        <w:t>ג דקבלו עלייהו</w:t>
      </w:r>
      <w:r w:rsidRPr="0002347B">
        <w:rPr>
          <w:rFonts w:cs="Arial"/>
          <w:sz w:val="16"/>
          <w:szCs w:val="16"/>
          <w:rtl/>
        </w:rPr>
        <w:t xml:space="preserve"> </w:t>
      </w:r>
      <w:r w:rsidRPr="0002347B">
        <w:rPr>
          <w:rFonts w:cs="Arial" w:hint="cs"/>
          <w:sz w:val="16"/>
          <w:szCs w:val="16"/>
          <w:rtl/>
        </w:rPr>
        <w:t>(</w:t>
      </w:r>
      <w:r w:rsidRPr="0002347B">
        <w:rPr>
          <w:rFonts w:cs="Arial"/>
          <w:sz w:val="16"/>
          <w:szCs w:val="16"/>
          <w:rtl/>
        </w:rPr>
        <w:t>כדאוקמה רבי אבהו בפ</w:t>
      </w:r>
      <w:r w:rsidRPr="0002347B">
        <w:rPr>
          <w:rFonts w:cs="Arial" w:hint="cs"/>
          <w:sz w:val="16"/>
          <w:szCs w:val="16"/>
          <w:rtl/>
        </w:rPr>
        <w:t>"</w:t>
      </w:r>
      <w:r w:rsidRPr="0002347B">
        <w:rPr>
          <w:rFonts w:cs="Arial"/>
          <w:sz w:val="16"/>
          <w:szCs w:val="16"/>
          <w:rtl/>
        </w:rPr>
        <w:t>ק (ו.)</w:t>
      </w:r>
      <w:r w:rsidRPr="0002347B">
        <w:rPr>
          <w:rFonts w:cs="Arial" w:hint="cs"/>
          <w:sz w:val="16"/>
          <w:szCs w:val="16"/>
          <w:rtl/>
        </w:rPr>
        <w:t>)</w:t>
      </w:r>
      <w:r>
        <w:rPr>
          <w:rFonts w:cs="Arial"/>
          <w:rtl/>
        </w:rPr>
        <w:t xml:space="preserve"> מ</w:t>
      </w:r>
      <w:r>
        <w:rPr>
          <w:rFonts w:cs="Arial" w:hint="cs"/>
          <w:rtl/>
        </w:rPr>
        <w:t>"מ</w:t>
      </w:r>
      <w:r>
        <w:rPr>
          <w:rFonts w:cs="Arial"/>
          <w:rtl/>
        </w:rPr>
        <w:t xml:space="preserve"> לא הוה ליה לדון יחידי כיון שאינו מומחה</w:t>
      </w:r>
      <w:r>
        <w:rPr>
          <w:rFonts w:cs="Arial" w:hint="cs"/>
          <w:rtl/>
        </w:rPr>
        <w:t xml:space="preserve"> -</w:t>
      </w:r>
      <w:r>
        <w:rPr>
          <w:rFonts w:cs="Arial"/>
          <w:rtl/>
        </w:rPr>
        <w:t xml:space="preserve"> הילכך משלם מביתו אע</w:t>
      </w:r>
      <w:r>
        <w:rPr>
          <w:rFonts w:cs="Arial" w:hint="cs"/>
          <w:rtl/>
        </w:rPr>
        <w:t>"</w:t>
      </w:r>
      <w:r>
        <w:rPr>
          <w:rFonts w:cs="Arial"/>
          <w:rtl/>
        </w:rPr>
        <w:t>פ שלא נשא ונתן ביד</w:t>
      </w:r>
      <w:r>
        <w:rPr>
          <w:rFonts w:cs="Arial" w:hint="cs"/>
          <w:rtl/>
        </w:rPr>
        <w:t>.</w:t>
      </w:r>
      <w:r>
        <w:rPr>
          <w:rFonts w:cs="Arial"/>
          <w:rtl/>
        </w:rPr>
        <w:t xml:space="preserve"> ומתניתין דהכא במומחה הלכך אינו משלם והדין חוזר אם יש גדול ממנו להחזירו</w:t>
      </w:r>
      <w:r>
        <w:rPr>
          <w:rFonts w:cs="Arial" w:hint="cs"/>
          <w:rtl/>
        </w:rPr>
        <w:t>,</w:t>
      </w:r>
      <w:r>
        <w:rPr>
          <w:rFonts w:cs="Arial"/>
          <w:rtl/>
        </w:rPr>
        <w:t xml:space="preserve"> כדשני רב נחמן לאוקימתא דרב יוסף</w:t>
      </w:r>
      <w:r>
        <w:rPr>
          <w:rFonts w:cs="Arial" w:hint="cs"/>
          <w:rtl/>
        </w:rPr>
        <w:t>,</w:t>
      </w:r>
      <w:r>
        <w:rPr>
          <w:rFonts w:cs="Arial"/>
          <w:rtl/>
        </w:rPr>
        <w:t xml:space="preserve"> וסיפא דמתניתין דבכורות כשאין גדול ממנו להחזירו הלכך כיון דמומחה הוא וקבלוהו עלוייהו קם דינא דאין מי שיחזירנו דאין בית דין יכול לבטל דברי בית דין חבירו </w:t>
      </w:r>
      <w:r w:rsidRPr="0002347B">
        <w:rPr>
          <w:rFonts w:cs="Arial"/>
          <w:sz w:val="16"/>
          <w:szCs w:val="16"/>
          <w:rtl/>
        </w:rPr>
        <w:t xml:space="preserve">(עדיות פ"א מ"ה) </w:t>
      </w:r>
      <w:r>
        <w:rPr>
          <w:rFonts w:cs="Arial"/>
          <w:rtl/>
        </w:rPr>
        <w:t>אא</w:t>
      </w:r>
      <w:r>
        <w:rPr>
          <w:rFonts w:cs="Arial" w:hint="cs"/>
          <w:rtl/>
        </w:rPr>
        <w:t>"</w:t>
      </w:r>
      <w:r>
        <w:rPr>
          <w:rFonts w:cs="Arial"/>
          <w:rtl/>
        </w:rPr>
        <w:t>כ יהיה גדול ממנו בחכמה ובמנין</w:t>
      </w:r>
      <w:r>
        <w:rPr>
          <w:rFonts w:cs="Arial" w:hint="cs"/>
          <w:rtl/>
        </w:rPr>
        <w:t>,</w:t>
      </w:r>
      <w:r>
        <w:rPr>
          <w:rFonts w:cs="Arial"/>
          <w:rtl/>
        </w:rPr>
        <w:t xml:space="preserve"> ופטור מלשלם כיון דמומחה הוא ולא היה ראוי לטעות אלא דמזליה דההוא גברא גרם כדתנן כל המומחה לבית דין פטור מלשלם</w:t>
      </w:r>
      <w:r w:rsidRPr="0002347B">
        <w:rPr>
          <w:rFonts w:cs="Arial"/>
          <w:sz w:val="16"/>
          <w:szCs w:val="16"/>
          <w:rtl/>
        </w:rPr>
        <w:t xml:space="preserve"> </w:t>
      </w:r>
      <w:r>
        <w:rPr>
          <w:rFonts w:cs="Arial" w:hint="cs"/>
          <w:sz w:val="16"/>
          <w:szCs w:val="16"/>
          <w:rtl/>
        </w:rPr>
        <w:t>(</w:t>
      </w:r>
      <w:r w:rsidRPr="0002347B">
        <w:rPr>
          <w:rFonts w:cs="Arial"/>
          <w:sz w:val="16"/>
          <w:szCs w:val="16"/>
          <w:rtl/>
        </w:rPr>
        <w:t>וכן בטבח אומן שקלקל ומראה דינר לשולחני ונמצא רע (ב"ק צט:) מומחים פטורים ואפילו יש גדול ממנו להחזירו אם א</w:t>
      </w:r>
      <w:r>
        <w:rPr>
          <w:rFonts w:cs="Arial" w:hint="cs"/>
          <w:sz w:val="16"/>
          <w:szCs w:val="16"/>
          <w:rtl/>
        </w:rPr>
        <w:t>"</w:t>
      </w:r>
      <w:r w:rsidRPr="0002347B">
        <w:rPr>
          <w:rFonts w:cs="Arial"/>
          <w:sz w:val="16"/>
          <w:szCs w:val="16"/>
          <w:rtl/>
        </w:rPr>
        <w:t>א בחזרה פטור מלשלם כההוא עובדא דרבי טרפון (בכורות כח:, סנהדרין לג.) דרבי עקיבא גדול ממנו דקיימא לן (עירובין מו:) רבי עקיבא ורבי טרפון הלכה כרבי עקיבא אפילו הכי קאמר ליה פטור אתה שמומחה לבית דין אתה</w:t>
      </w:r>
      <w:r w:rsidRPr="0002347B">
        <w:rPr>
          <w:rFonts w:cs="Arial" w:hint="cs"/>
          <w:sz w:val="16"/>
          <w:szCs w:val="16"/>
          <w:rtl/>
        </w:rPr>
        <w:t>,</w:t>
      </w:r>
      <w:r w:rsidRPr="0002347B">
        <w:rPr>
          <w:rFonts w:cs="Arial"/>
          <w:sz w:val="16"/>
          <w:szCs w:val="16"/>
          <w:rtl/>
        </w:rPr>
        <w:t xml:space="preserve"> ולענין חזרת הדין דוקא הוא דמפלגינן בין יש גדול ממנו לאין גדול ממנו. רב ששת אמר לא קשיא וכו' רב ששת לא פליג אדרב נחמן אלא שינויא אחרינא קאמר ומוקי תרוייהו בשאין גדול ממנו להחזירו אבל אם יש גדול מודה שמחזירין</w:t>
      </w:r>
      <w:r>
        <w:rPr>
          <w:rFonts w:cs="Arial" w:hint="cs"/>
          <w:sz w:val="16"/>
          <w:szCs w:val="16"/>
          <w:rtl/>
        </w:rPr>
        <w:t>)</w:t>
      </w:r>
      <w:r>
        <w:rPr>
          <w:rFonts w:cs="Arial" w:hint="cs"/>
          <w:rtl/>
        </w:rPr>
        <w:t>, רא"ש.</w:t>
      </w:r>
    </w:p>
  </w:footnote>
  <w:footnote w:id="1201">
    <w:p w14:paraId="41E3B10F" w14:textId="77777777" w:rsidR="0013116F" w:rsidRDefault="0013116F">
      <w:pPr>
        <w:pStyle w:val="a9"/>
        <w:rPr>
          <w:rtl/>
        </w:rPr>
      </w:pPr>
      <w:r>
        <w:rPr>
          <w:rStyle w:val="ab"/>
        </w:rPr>
        <w:footnoteRef/>
      </w:r>
      <w:r>
        <w:rPr>
          <w:rtl/>
        </w:rPr>
        <w:t xml:space="preserve"> </w:t>
      </w:r>
      <w:r>
        <w:rPr>
          <w:rFonts w:cs="Arial"/>
          <w:rtl/>
        </w:rPr>
        <w:t xml:space="preserve">ואפילו נקטי רשותא מבי ריש גלותא </w:t>
      </w:r>
      <w:r w:rsidRPr="0002347B">
        <w:rPr>
          <w:rFonts w:cs="Arial" w:hint="cs"/>
          <w:sz w:val="16"/>
          <w:szCs w:val="16"/>
          <w:rtl/>
        </w:rPr>
        <w:t>(</w:t>
      </w:r>
      <w:r w:rsidRPr="0002347B">
        <w:rPr>
          <w:rFonts w:cs="Arial"/>
          <w:sz w:val="16"/>
          <w:szCs w:val="16"/>
          <w:rtl/>
        </w:rPr>
        <w:t>דכיון דטעו בדבר משנה אין דין זה ראוי להתקיים כלל</w:t>
      </w:r>
      <w:r>
        <w:rPr>
          <w:rFonts w:cs="Arial" w:hint="cs"/>
          <w:sz w:val="16"/>
          <w:szCs w:val="16"/>
          <w:rtl/>
        </w:rPr>
        <w:t>)</w:t>
      </w:r>
      <w:r>
        <w:rPr>
          <w:rFonts w:cs="Arial" w:hint="cs"/>
          <w:rtl/>
        </w:rPr>
        <w:t>, רא"ש. וכן לא</w:t>
      </w:r>
      <w:r>
        <w:rPr>
          <w:rFonts w:cs="Arial"/>
          <w:rtl/>
        </w:rPr>
        <w:t xml:space="preserve"> </w:t>
      </w:r>
      <w:r>
        <w:rPr>
          <w:rFonts w:cs="Arial" w:hint="cs"/>
          <w:rtl/>
        </w:rPr>
        <w:t xml:space="preserve">שנא אם </w:t>
      </w:r>
      <w:r>
        <w:rPr>
          <w:rFonts w:cs="Arial"/>
          <w:rtl/>
        </w:rPr>
        <w:t>נשא ונתן ביד</w:t>
      </w:r>
      <w:r>
        <w:rPr>
          <w:rFonts w:cs="Arial" w:hint="cs"/>
          <w:rtl/>
        </w:rPr>
        <w:t>,</w:t>
      </w:r>
      <w:r>
        <w:rPr>
          <w:rFonts w:cs="Arial"/>
          <w:rtl/>
        </w:rPr>
        <w:t xml:space="preserve"> לא שנא לא נשא ונתן ביד</w:t>
      </w:r>
      <w:r>
        <w:rPr>
          <w:rFonts w:cs="Arial" w:hint="cs"/>
          <w:rtl/>
        </w:rPr>
        <w:t>,</w:t>
      </w:r>
      <w:r>
        <w:rPr>
          <w:rFonts w:cs="Arial"/>
          <w:rtl/>
        </w:rPr>
        <w:t xml:space="preserve"> בכולהו חוזר </w:t>
      </w:r>
      <w:r w:rsidRPr="00E875EA">
        <w:rPr>
          <w:rFonts w:cs="Arial" w:hint="cs"/>
          <w:sz w:val="16"/>
          <w:szCs w:val="16"/>
          <w:rtl/>
        </w:rPr>
        <w:t>(</w:t>
      </w:r>
      <w:r w:rsidRPr="00E875EA">
        <w:rPr>
          <w:rFonts w:cs="Arial"/>
          <w:sz w:val="16"/>
          <w:szCs w:val="16"/>
          <w:rtl/>
        </w:rPr>
        <w:t>דרב חסדא לא פליג בין נשא ונתן ביד לבין לא נשא ונתן ביד אלא היכא דטעה בשיקול הדעת אבל היכא דטעה בדבר משנה</w:t>
      </w:r>
      <w:r>
        <w:rPr>
          <w:rFonts w:cs="Arial" w:hint="cs"/>
          <w:sz w:val="16"/>
          <w:szCs w:val="16"/>
          <w:rtl/>
        </w:rPr>
        <w:t xml:space="preserve"> לא)</w:t>
      </w:r>
      <w:r>
        <w:rPr>
          <w:rFonts w:cs="Arial" w:hint="cs"/>
          <w:rtl/>
        </w:rPr>
        <w:t>, רי"ף.</w:t>
      </w:r>
    </w:p>
  </w:footnote>
  <w:footnote w:id="1202">
    <w:p w14:paraId="570C514F" w14:textId="77777777" w:rsidR="0013116F" w:rsidRDefault="0013116F">
      <w:pPr>
        <w:pStyle w:val="a9"/>
        <w:rPr>
          <w:rtl/>
        </w:rPr>
      </w:pPr>
      <w:r>
        <w:rPr>
          <w:rStyle w:val="ab"/>
        </w:rPr>
        <w:footnoteRef/>
      </w:r>
      <w:r>
        <w:rPr>
          <w:rtl/>
        </w:rPr>
        <w:t xml:space="preserve"> </w:t>
      </w:r>
      <w:r>
        <w:rPr>
          <w:rFonts w:cs="Arial"/>
          <w:rtl/>
        </w:rPr>
        <w:t>זה מבואר בדאוקימנא מתניתין דתנן דיני ממונות מחזירין בטעה בדבר משנה</w:t>
      </w:r>
      <w:r>
        <w:rPr>
          <w:rFonts w:cs="Arial" w:hint="cs"/>
          <w:rtl/>
        </w:rPr>
        <w:t>,</w:t>
      </w:r>
      <w:r>
        <w:rPr>
          <w:rFonts w:cs="Arial"/>
          <w:rtl/>
        </w:rPr>
        <w:t xml:space="preserve"> ומתניתין סתמא מתניא אפילו בשלשה מומחים וקבלום עליהם</w:t>
      </w:r>
      <w:r>
        <w:rPr>
          <w:rFonts w:cs="Arial" w:hint="cs"/>
          <w:rtl/>
        </w:rPr>
        <w:t>,</w:t>
      </w:r>
      <w:r>
        <w:rPr>
          <w:rFonts w:cs="Arial"/>
          <w:rtl/>
        </w:rPr>
        <w:t xml:space="preserve"> וכן כתב רבינו ירוחם (מישרים נתיב א ח"ג ח ע"ד)</w:t>
      </w:r>
      <w:r>
        <w:rPr>
          <w:rFonts w:hint="cs"/>
          <w:rtl/>
        </w:rPr>
        <w:t>, ב"י.</w:t>
      </w:r>
    </w:p>
  </w:footnote>
  <w:footnote w:id="1203">
    <w:p w14:paraId="0E981AC5" w14:textId="77777777" w:rsidR="0013116F" w:rsidRDefault="0013116F">
      <w:pPr>
        <w:pStyle w:val="a9"/>
        <w:rPr>
          <w:rtl/>
        </w:rPr>
      </w:pPr>
      <w:r>
        <w:rPr>
          <w:rStyle w:val="ab"/>
        </w:rPr>
        <w:footnoteRef/>
      </w:r>
      <w:r>
        <w:rPr>
          <w:rtl/>
        </w:rPr>
        <w:t xml:space="preserve"> </w:t>
      </w:r>
      <w:r w:rsidRPr="00E95A8D">
        <w:rPr>
          <w:rFonts w:cs="Arial"/>
          <w:rtl/>
        </w:rPr>
        <w:t>כגון שהלך זה שנטל הממון למדינת הים או שהוא אלם או שאין לו מה לשלם או שהורה בכשרה שהיא טרפה והאכילוה על פיו לכלבים</w:t>
      </w:r>
      <w:r w:rsidRPr="00E95A8D">
        <w:rPr>
          <w:rFonts w:hint="cs"/>
          <w:sz w:val="16"/>
          <w:szCs w:val="16"/>
          <w:rtl/>
        </w:rPr>
        <w:t xml:space="preserve"> (ל' הטור)</w:t>
      </w:r>
      <w:r>
        <w:rPr>
          <w:rFonts w:hint="cs"/>
          <w:rtl/>
        </w:rPr>
        <w:t>.</w:t>
      </w:r>
    </w:p>
  </w:footnote>
  <w:footnote w:id="1204">
    <w:p w14:paraId="7C47AD96" w14:textId="77777777" w:rsidR="0013116F" w:rsidRDefault="0013116F">
      <w:pPr>
        <w:pStyle w:val="a9"/>
      </w:pPr>
      <w:r>
        <w:rPr>
          <w:rStyle w:val="ab"/>
        </w:rPr>
        <w:footnoteRef/>
      </w:r>
      <w:r>
        <w:rPr>
          <w:rtl/>
        </w:rPr>
        <w:t xml:space="preserve"> </w:t>
      </w:r>
      <w:r>
        <w:rPr>
          <w:rFonts w:cs="Arial" w:hint="cs"/>
          <w:rtl/>
        </w:rPr>
        <w:t>וכתב הב"י ד</w:t>
      </w:r>
      <w:r w:rsidRPr="00A3703E">
        <w:rPr>
          <w:rFonts w:cs="Arial"/>
          <w:rtl/>
        </w:rPr>
        <w:t>נראה שטעמו מדתנן בפרק עד כמה (בכורות כח:) ומייתי לה בפרק אחד דיני ממונות מעשה בפרה שניטל האם שלה והאכילה רבי טרפון לכלבים וטועה בדבר משנה הוה דהא סתם מתניתין בפרק אלו טרפות (חולין נד.) ניטל האם שלה כשרה ואמרינן עלה כיון דאילו הואי פרה דינך לאו דינא ולאו כלום עבדת השתא נמי לאו כלום עבדת.</w:t>
      </w:r>
    </w:p>
  </w:footnote>
  <w:footnote w:id="1205">
    <w:p w14:paraId="64DB5245" w14:textId="77777777" w:rsidR="0013116F" w:rsidRDefault="0013116F">
      <w:pPr>
        <w:pStyle w:val="a9"/>
        <w:rPr>
          <w:rtl/>
        </w:rPr>
      </w:pPr>
      <w:r>
        <w:rPr>
          <w:rStyle w:val="ab"/>
        </w:rPr>
        <w:footnoteRef/>
      </w:r>
      <w:r>
        <w:rPr>
          <w:rtl/>
        </w:rPr>
        <w:t xml:space="preserve"> </w:t>
      </w:r>
      <w:r>
        <w:rPr>
          <w:rFonts w:cs="Arial" w:hint="cs"/>
          <w:rtl/>
        </w:rPr>
        <w:t xml:space="preserve">הטור הבין שהרמב"ם פוטר אף בנשא ונתן ביד </w:t>
      </w:r>
      <w:r w:rsidRPr="004E6188">
        <w:rPr>
          <w:rFonts w:cs="Arial" w:hint="cs"/>
          <w:sz w:val="16"/>
          <w:szCs w:val="16"/>
          <w:rtl/>
        </w:rPr>
        <w:t>(וכתב הב"י שנראה מדברי הטור שהוא סובר כדברי הרמב"ם</w:t>
      </w:r>
      <w:r>
        <w:rPr>
          <w:rFonts w:cs="Arial" w:hint="cs"/>
          <w:sz w:val="16"/>
          <w:szCs w:val="16"/>
          <w:rtl/>
        </w:rPr>
        <w:t>. וגם הסמ"ע [סק"ו] סובר כדברי הטור)</w:t>
      </w:r>
      <w:r>
        <w:rPr>
          <w:rFonts w:cs="Arial" w:hint="cs"/>
          <w:rtl/>
        </w:rPr>
        <w:t xml:space="preserve">. אך הב"י חלק עליו וז"ל- </w:t>
      </w:r>
      <w:r w:rsidRPr="00A3703E">
        <w:rPr>
          <w:rFonts w:cs="Arial"/>
          <w:rtl/>
        </w:rPr>
        <w:t xml:space="preserve">ול"נ דלא פטר הרמב"ם ז"ל לטועה בדבר משנה אלא ממה שנעשה על פיו לא ממה שעשה בידים </w:t>
      </w:r>
      <w:r w:rsidRPr="005F50F9">
        <w:rPr>
          <w:rFonts w:cs="Arial" w:hint="cs"/>
          <w:sz w:val="16"/>
          <w:szCs w:val="16"/>
          <w:rtl/>
        </w:rPr>
        <w:t>(</w:t>
      </w:r>
      <w:r w:rsidRPr="005F50F9">
        <w:rPr>
          <w:rFonts w:cs="Arial"/>
          <w:sz w:val="16"/>
          <w:szCs w:val="16"/>
          <w:rtl/>
        </w:rPr>
        <w:t xml:space="preserve">והכי דייק לישנא דהרמב"ם שכתב </w:t>
      </w:r>
      <w:r w:rsidRPr="005F50F9">
        <w:rPr>
          <w:rFonts w:cs="Arial" w:hint="cs"/>
          <w:sz w:val="16"/>
          <w:szCs w:val="16"/>
          <w:rtl/>
        </w:rPr>
        <w:t>'</w:t>
      </w:r>
      <w:r w:rsidRPr="005F50F9">
        <w:rPr>
          <w:rFonts w:cs="Arial"/>
          <w:sz w:val="16"/>
          <w:szCs w:val="16"/>
          <w:rtl/>
        </w:rPr>
        <w:t>אע</w:t>
      </w:r>
      <w:r w:rsidRPr="005F50F9">
        <w:rPr>
          <w:rFonts w:cs="Arial" w:hint="cs"/>
          <w:sz w:val="16"/>
          <w:szCs w:val="16"/>
          <w:rtl/>
        </w:rPr>
        <w:t>"</w:t>
      </w:r>
      <w:r w:rsidRPr="005F50F9">
        <w:rPr>
          <w:rFonts w:cs="Arial"/>
          <w:sz w:val="16"/>
          <w:szCs w:val="16"/>
          <w:rtl/>
        </w:rPr>
        <w:t>פ שגרם להזיק</w:t>
      </w:r>
      <w:r w:rsidRPr="005F50F9">
        <w:rPr>
          <w:rFonts w:cs="Arial" w:hint="cs"/>
          <w:sz w:val="16"/>
          <w:szCs w:val="16"/>
          <w:rtl/>
        </w:rPr>
        <w:t>'</w:t>
      </w:r>
      <w:r w:rsidRPr="005F50F9">
        <w:rPr>
          <w:rFonts w:cs="Arial"/>
          <w:sz w:val="16"/>
          <w:szCs w:val="16"/>
          <w:rtl/>
        </w:rPr>
        <w:t xml:space="preserve"> ואלו נשא ונתן ביד אינו גורם בלבד אלא מזיק בידים ופשיטא דחייב לשלם. וכ</w:t>
      </w:r>
      <w:r w:rsidRPr="005F50F9">
        <w:rPr>
          <w:rFonts w:cs="Arial" w:hint="cs"/>
          <w:sz w:val="16"/>
          <w:szCs w:val="16"/>
          <w:rtl/>
        </w:rPr>
        <w:t>"</w:t>
      </w:r>
      <w:r w:rsidRPr="005F50F9">
        <w:rPr>
          <w:rFonts w:cs="Arial"/>
          <w:sz w:val="16"/>
          <w:szCs w:val="16"/>
          <w:rtl/>
        </w:rPr>
        <w:t>כ התוס</w:t>
      </w:r>
      <w:r w:rsidRPr="005F50F9">
        <w:rPr>
          <w:rFonts w:cs="Arial" w:hint="cs"/>
          <w:sz w:val="16"/>
          <w:szCs w:val="16"/>
          <w:rtl/>
        </w:rPr>
        <w:t>'</w:t>
      </w:r>
      <w:r w:rsidRPr="005F50F9">
        <w:rPr>
          <w:rFonts w:cs="Arial"/>
          <w:sz w:val="16"/>
          <w:szCs w:val="16"/>
          <w:rtl/>
        </w:rPr>
        <w:t xml:space="preserve"> (ד"ה השתא) גבי ההיא דהאכילה רבי טרפון לכלבים ואמר לו רבי עקיבא לאו כלום עבדת בלא נשא ונתן ביד איירי דאי האכיל רבי טרפון לכלבים טובא עבד עכ"ל. ואע</w:t>
      </w:r>
      <w:r w:rsidRPr="005F50F9">
        <w:rPr>
          <w:rFonts w:cs="Arial" w:hint="cs"/>
          <w:sz w:val="16"/>
          <w:szCs w:val="16"/>
          <w:rtl/>
        </w:rPr>
        <w:t>"</w:t>
      </w:r>
      <w:r w:rsidRPr="005F50F9">
        <w:rPr>
          <w:rFonts w:cs="Arial"/>
          <w:sz w:val="16"/>
          <w:szCs w:val="16"/>
          <w:rtl/>
        </w:rPr>
        <w:t>פ שמומחה שנטל רשות פטור אפילו נשא ונתן ביד התם שאני דכיון שנטל רשות מריש גלותא הפקר בית דין הפקר ועל דעת כן נתנו לו רשות שמה שידון בשיקול דעתו אפילו ישא ויתן ביד יפטר וכן אע</w:t>
      </w:r>
      <w:r w:rsidRPr="005F50F9">
        <w:rPr>
          <w:rFonts w:cs="Arial" w:hint="cs"/>
          <w:sz w:val="16"/>
          <w:szCs w:val="16"/>
          <w:rtl/>
        </w:rPr>
        <w:t>"</w:t>
      </w:r>
      <w:r w:rsidRPr="005F50F9">
        <w:rPr>
          <w:rFonts w:cs="Arial"/>
          <w:sz w:val="16"/>
          <w:szCs w:val="16"/>
          <w:rtl/>
        </w:rPr>
        <w:t>ג דלא נקיט רשותא אי קבלוהו עלייהו כיון דמומחה הוא איכא למימר דאדעתא דהכי קבלוהו עלייהו שאם יטעה בשיקול הדעת יפטר אפילו ישא ויתן ביד</w:t>
      </w:r>
      <w:r>
        <w:rPr>
          <w:rFonts w:cs="Arial" w:hint="cs"/>
          <w:sz w:val="16"/>
          <w:szCs w:val="16"/>
          <w:rtl/>
        </w:rPr>
        <w:t xml:space="preserve"> </w:t>
      </w:r>
      <w:r w:rsidRPr="005F50F9">
        <w:rPr>
          <w:rFonts w:cs="Arial" w:hint="cs"/>
          <w:sz w:val="14"/>
          <w:szCs w:val="14"/>
          <w:rtl/>
        </w:rPr>
        <w:t>[עכ"ל הב"י]</w:t>
      </w:r>
      <w:r>
        <w:rPr>
          <w:rFonts w:cs="Arial" w:hint="cs"/>
          <w:sz w:val="16"/>
          <w:szCs w:val="16"/>
          <w:rtl/>
        </w:rPr>
        <w:t>)</w:t>
      </w:r>
      <w:r>
        <w:rPr>
          <w:rFonts w:hint="cs"/>
          <w:rtl/>
        </w:rPr>
        <w:t>.</w:t>
      </w:r>
    </w:p>
  </w:footnote>
  <w:footnote w:id="1206">
    <w:p w14:paraId="4CF007CB" w14:textId="77777777" w:rsidR="0013116F" w:rsidRDefault="0013116F" w:rsidP="00E95A8D">
      <w:pPr>
        <w:pStyle w:val="a9"/>
        <w:rPr>
          <w:rtl/>
        </w:rPr>
      </w:pPr>
      <w:r>
        <w:rPr>
          <w:rStyle w:val="ab"/>
        </w:rPr>
        <w:footnoteRef/>
      </w:r>
      <w:r>
        <w:rPr>
          <w:rtl/>
        </w:rPr>
        <w:t xml:space="preserve"> </w:t>
      </w:r>
      <w:r w:rsidRPr="006261B9">
        <w:rPr>
          <w:rFonts w:cs="Arial"/>
          <w:rtl/>
        </w:rPr>
        <w:t>דקי</w:t>
      </w:r>
      <w:r>
        <w:rPr>
          <w:rFonts w:cs="Arial" w:hint="cs"/>
          <w:rtl/>
        </w:rPr>
        <w:t>י"</w:t>
      </w:r>
      <w:r w:rsidRPr="006261B9">
        <w:rPr>
          <w:rFonts w:cs="Arial"/>
          <w:rtl/>
        </w:rPr>
        <w:t>ל כרבי מאיר דדאין דינא דגרמי ואע</w:t>
      </w:r>
      <w:r>
        <w:rPr>
          <w:rFonts w:cs="Arial" w:hint="cs"/>
          <w:rtl/>
        </w:rPr>
        <w:t>"</w:t>
      </w:r>
      <w:r w:rsidRPr="006261B9">
        <w:rPr>
          <w:rFonts w:cs="Arial"/>
          <w:rtl/>
        </w:rPr>
        <w:t>ג דאמר לו רב ששת לרב הונא אלא אי אמרת טועה בדבר משנה חוזר לימא ליה כיון דאי הוית הוה הדר דינא דינך לאו דינא ולאו כלום עבדת השתא נמי כי ליתאי לאו כלום עבדת ואם כן הכא נמי כיון דאלו איתיה לבעל דין הוה ליה לשלומי לאו כלום עבד השתא נמי לאו כלום עבד ולא היא דהך סוגיא אליבא דרבנן כמו שפירשו התוספות (ד"ה השתא) דאי אפשר לומר דאתיא כרבי מאיר דאם כן טיהר את הטמא אמאי חייב לרבי מאיר כשעירבו בעל הבית וכו' אלא ודאי כל היכא דקם דינא אפילו בדיבור כמעשה חשיב ולא כגרמא וחייב אפילו לרבנן אבל היכא דאילו הוה קמן הוה הדר כגון טועה בדבר משנה לרבי מאיר חייב ולרבנן פטור דהא דינא דגרמי הוא מה שהאכילן אחר כך על פיו או מה שעירבן עם פירותיו והא דאמרינן בפרק עד כמה (בכורות כח:) לימא תנן סתמא כרבי מאיר משום טיהר את הטמא וחייב את הזכאי דמחייב במה שערבו בעל הבית על פיו עם פירותיו ובמה דשילם הזכאי אחר כך אבל טימא את הטהור וזיכה את החייב על פי דבורו של חכם מה שעשה עשוי ואי אפשר בחזרה ניחא דחייב לשלם ואפילו לרבנן דלא דייני דינא דגרמי והא דמפרש התם טימא את הטהור דאגע בהו שרץ וזיכה את החייב שהיה משכון בידו ונטלו הימנו אגב אחריני מפרש להו אי נמי האמת מפרש סוגיא דהתם אליבא דרב חסדא</w:t>
      </w:r>
      <w:r>
        <w:rPr>
          <w:rFonts w:hint="cs"/>
          <w:rtl/>
        </w:rPr>
        <w:t>, רא"ש.</w:t>
      </w:r>
    </w:p>
  </w:footnote>
  <w:footnote w:id="1207">
    <w:p w14:paraId="2F67D1B6" w14:textId="77777777" w:rsidR="0013116F" w:rsidRDefault="0013116F">
      <w:pPr>
        <w:pStyle w:val="a9"/>
        <w:rPr>
          <w:rtl/>
        </w:rPr>
      </w:pPr>
      <w:r>
        <w:rPr>
          <w:rStyle w:val="ab"/>
        </w:rPr>
        <w:footnoteRef/>
      </w:r>
      <w:r>
        <w:rPr>
          <w:rtl/>
        </w:rPr>
        <w:t xml:space="preserve"> </w:t>
      </w:r>
      <w:r w:rsidRPr="00A3703E">
        <w:rPr>
          <w:rFonts w:cs="Arial"/>
          <w:rtl/>
        </w:rPr>
        <w:t>וטעמא דטועה בדבר משנה אפילו בשהאכילה לכלבים פטור ואפילו בשאינו מומחה ואפילו למאן דדאין דינא דגרמי כתב בעל המאור (יב. ד"ה בבא רביעאה) דמשום פשיעותא דבעל דין נגעו בה דכל טועה בדבר משנה דבר ברור והוה ליה לשיולי ולגלויי טעותא ולא הוה ליה למיסמך עליה וכשנטלה דיין בזרוע והאכיל לכלבים חייב דדיינינן ליה כגזלן</w:t>
      </w:r>
      <w:r>
        <w:rPr>
          <w:rFonts w:cs="Arial" w:hint="cs"/>
          <w:rtl/>
        </w:rPr>
        <w:t>,</w:t>
      </w:r>
      <w:r w:rsidRPr="00A3703E">
        <w:rPr>
          <w:rFonts w:cs="Arial"/>
          <w:rtl/>
        </w:rPr>
        <w:t xml:space="preserve"> ומטעמו של הרב משמע נמי דאי נטל שלא בפני הבעלים והאכילה לכלבים חייב דהא הכא לא פשעו בעלים בכלום והוי ליה דיין זה מזיק כיון דדיניה לאו דינא וחייב אבל כל שבפניו ולא מיחה פטור מי שאינו מומחה כמומחה לבית דין</w:t>
      </w:r>
      <w:r>
        <w:rPr>
          <w:rFonts w:hint="cs"/>
          <w:rtl/>
        </w:rPr>
        <w:t>, רשב"א.</w:t>
      </w:r>
    </w:p>
  </w:footnote>
  <w:footnote w:id="1208">
    <w:p w14:paraId="3CE4FA3A" w14:textId="77777777" w:rsidR="0013116F" w:rsidRDefault="0013116F">
      <w:pPr>
        <w:pStyle w:val="a9"/>
      </w:pPr>
      <w:r>
        <w:rPr>
          <w:rStyle w:val="ab"/>
        </w:rPr>
        <w:footnoteRef/>
      </w:r>
      <w:r>
        <w:rPr>
          <w:rtl/>
        </w:rPr>
        <w:t xml:space="preserve"> </w:t>
      </w:r>
      <w:r>
        <w:rPr>
          <w:rFonts w:hint="cs"/>
          <w:rtl/>
        </w:rPr>
        <w:t>הראב"ד כתב על דברי המאור-...</w:t>
      </w:r>
    </w:p>
  </w:footnote>
  <w:footnote w:id="1209">
    <w:p w14:paraId="37604502" w14:textId="77777777" w:rsidR="0013116F" w:rsidRDefault="0013116F">
      <w:pPr>
        <w:pStyle w:val="a9"/>
      </w:pPr>
      <w:r>
        <w:rPr>
          <w:rStyle w:val="ab"/>
        </w:rPr>
        <w:footnoteRef/>
      </w:r>
      <w:r>
        <w:rPr>
          <w:rtl/>
        </w:rPr>
        <w:t xml:space="preserve"> </w:t>
      </w:r>
      <w:r w:rsidRPr="00E25462">
        <w:rPr>
          <w:rFonts w:cs="Arial"/>
          <w:rtl/>
        </w:rPr>
        <w:t>והיינו דאמר ליה רב הונא לרב ששת אפילו בדידך ודידי ואמר ליה אטו קטלי קני באגמא אנן כלומר אם חדשנו דבר מדעתנו שלא נמצא לא במשנה ולא בגמרא ודיין שלא ידע דברינו ופסק בענין אחר וכששמע הדברים ישרו בעיניו כטועה בדבר משנה הוי וחוזר אבל הדיין ההוא פשיטא שיש לחלוק על דבריהם דאמוראים האחרונים פעמים חולקים על הראשונים ואדרבה אנו תופסים דברי האחרונים עיקר כיון שידעו סברת הראשונים וסברתם והכריעו בין אלו הסברות ועמדו על עיקרו של דבר וכיוצא בזה (ב"ב קל:) אין למדין הלכה מפי תלמוד אלא מדברי האמוראים אנו למדים פסקי הלכות אע</w:t>
      </w:r>
      <w:r>
        <w:rPr>
          <w:rFonts w:cs="Arial" w:hint="cs"/>
          <w:rtl/>
        </w:rPr>
        <w:t>"</w:t>
      </w:r>
      <w:r w:rsidRPr="00E25462">
        <w:rPr>
          <w:rFonts w:cs="Arial"/>
          <w:rtl/>
        </w:rPr>
        <w:t>פ שהתנאים היו יותר גדולים מהאמוראים</w:t>
      </w:r>
      <w:r>
        <w:rPr>
          <w:rFonts w:cs="Arial" w:hint="cs"/>
          <w:rtl/>
        </w:rPr>
        <w:t>, רא"ש.</w:t>
      </w:r>
    </w:p>
  </w:footnote>
  <w:footnote w:id="1210">
    <w:p w14:paraId="03443193" w14:textId="77777777" w:rsidR="0013116F" w:rsidRDefault="0013116F" w:rsidP="000A40BA">
      <w:pPr>
        <w:pStyle w:val="a9"/>
      </w:pPr>
      <w:r>
        <w:rPr>
          <w:rStyle w:val="ab"/>
        </w:rPr>
        <w:footnoteRef/>
      </w:r>
      <w:r>
        <w:rPr>
          <w:rtl/>
        </w:rPr>
        <w:t xml:space="preserve"> </w:t>
      </w:r>
      <w:r w:rsidRPr="00E25462">
        <w:rPr>
          <w:rFonts w:cs="Arial"/>
          <w:rtl/>
        </w:rPr>
        <w:t>כדאמרינן בפרק חזקת (שם לב:) הלכתא כרבה בארעא וכרב יוסף בזוזי היכא דקיימא ארעא תיקום והיכא דקיימי זוזי קיימי אלמא כל ספיקא דדינא אין מוציאין מיד המוחזק</w:t>
      </w:r>
      <w:r>
        <w:rPr>
          <w:rFonts w:cs="Arial" w:hint="cs"/>
          <w:rtl/>
        </w:rPr>
        <w:t xml:space="preserve">, רא"ש. הביאו הב"י, וכתב עוד </w:t>
      </w:r>
      <w:r w:rsidRPr="000A40BA">
        <w:rPr>
          <w:rFonts w:cs="Arial" w:hint="cs"/>
          <w:sz w:val="16"/>
          <w:szCs w:val="16"/>
          <w:rtl/>
        </w:rPr>
        <w:t>(בבדה"ב)</w:t>
      </w:r>
      <w:r>
        <w:rPr>
          <w:rFonts w:cs="Arial" w:hint="cs"/>
          <w:rtl/>
        </w:rPr>
        <w:t>-</w:t>
      </w:r>
      <w:r w:rsidRPr="00E25462">
        <w:rPr>
          <w:rFonts w:cs="Arial"/>
          <w:rtl/>
        </w:rPr>
        <w:t xml:space="preserve"> ואני אומר שבזמן הזה פשט הדבר בכל גלילותינו לפסוק כהרמב"ם זולת בקצת מקומות שהוקשו להם דבריו ולא ירדו לסוף דעתו</w:t>
      </w:r>
      <w:r>
        <w:rPr>
          <w:rFonts w:cs="Arial" w:hint="cs"/>
          <w:rtl/>
        </w:rPr>
        <w:t>.</w:t>
      </w:r>
    </w:p>
  </w:footnote>
  <w:footnote w:id="1211">
    <w:p w14:paraId="6A2E91B1" w14:textId="77777777" w:rsidR="0013116F" w:rsidRDefault="0013116F">
      <w:pPr>
        <w:pStyle w:val="a9"/>
      </w:pPr>
      <w:r>
        <w:rPr>
          <w:rStyle w:val="ab"/>
        </w:rPr>
        <w:footnoteRef/>
      </w:r>
      <w:r>
        <w:rPr>
          <w:rtl/>
        </w:rPr>
        <w:t xml:space="preserve"> </w:t>
      </w:r>
      <w:r w:rsidRPr="00911D1E">
        <w:rPr>
          <w:rFonts w:cs="Arial"/>
          <w:rtl/>
        </w:rPr>
        <w:t>וכן</w:t>
      </w:r>
      <w:r>
        <w:rPr>
          <w:rFonts w:cs="Arial" w:hint="cs"/>
          <w:rtl/>
        </w:rPr>
        <w:t xml:space="preserve"> </w:t>
      </w:r>
      <w:r w:rsidRPr="00911D1E">
        <w:rPr>
          <w:rFonts w:cs="Arial"/>
          <w:rtl/>
        </w:rPr>
        <w:t>פ</w:t>
      </w:r>
      <w:r>
        <w:rPr>
          <w:rFonts w:cs="Arial" w:hint="cs"/>
          <w:rtl/>
        </w:rPr>
        <w:t>סק</w:t>
      </w:r>
      <w:r w:rsidRPr="00911D1E">
        <w:rPr>
          <w:rFonts w:cs="Arial"/>
          <w:rtl/>
        </w:rPr>
        <w:t xml:space="preserve"> המרדכי</w:t>
      </w:r>
      <w:r w:rsidRPr="00E25462">
        <w:rPr>
          <w:rFonts w:cs="Arial"/>
          <w:sz w:val="16"/>
          <w:szCs w:val="16"/>
          <w:rtl/>
        </w:rPr>
        <w:t xml:space="preserve"> </w:t>
      </w:r>
      <w:r w:rsidRPr="00E25462">
        <w:rPr>
          <w:rFonts w:cs="Arial" w:hint="cs"/>
          <w:sz w:val="16"/>
          <w:szCs w:val="16"/>
          <w:rtl/>
        </w:rPr>
        <w:t>(</w:t>
      </w:r>
      <w:r w:rsidRPr="00E25462">
        <w:rPr>
          <w:rFonts w:cs="Arial"/>
          <w:sz w:val="16"/>
          <w:szCs w:val="16"/>
          <w:rtl/>
        </w:rPr>
        <w:t>ס</w:t>
      </w:r>
      <w:r w:rsidRPr="00E25462">
        <w:rPr>
          <w:rFonts w:cs="Arial" w:hint="cs"/>
          <w:sz w:val="16"/>
          <w:szCs w:val="16"/>
          <w:rtl/>
        </w:rPr>
        <w:t>"פ</w:t>
      </w:r>
      <w:r w:rsidRPr="00E25462">
        <w:rPr>
          <w:rFonts w:cs="Arial"/>
          <w:sz w:val="16"/>
          <w:szCs w:val="16"/>
          <w:rtl/>
        </w:rPr>
        <w:t xml:space="preserve"> מי שהיה נשוי </w:t>
      </w:r>
      <w:r>
        <w:rPr>
          <w:rFonts w:cs="Arial" w:hint="cs"/>
          <w:sz w:val="16"/>
          <w:szCs w:val="16"/>
          <w:rtl/>
        </w:rPr>
        <w:t>[</w:t>
      </w:r>
      <w:r w:rsidRPr="00E25462">
        <w:rPr>
          <w:rFonts w:cs="Arial"/>
          <w:sz w:val="16"/>
          <w:szCs w:val="16"/>
          <w:rtl/>
        </w:rPr>
        <w:t>כתובות</w:t>
      </w:r>
      <w:r>
        <w:rPr>
          <w:rFonts w:cs="Arial" w:hint="cs"/>
          <w:sz w:val="16"/>
          <w:szCs w:val="16"/>
          <w:rtl/>
        </w:rPr>
        <w:t>]</w:t>
      </w:r>
      <w:r w:rsidRPr="00E25462">
        <w:rPr>
          <w:rFonts w:cs="Arial"/>
          <w:sz w:val="16"/>
          <w:szCs w:val="16"/>
          <w:rtl/>
        </w:rPr>
        <w:t xml:space="preserve"> סי' רמג)</w:t>
      </w:r>
      <w:r>
        <w:rPr>
          <w:rFonts w:cs="Arial" w:hint="cs"/>
          <w:rtl/>
        </w:rPr>
        <w:t xml:space="preserve"> </w:t>
      </w:r>
      <w:r w:rsidRPr="00911D1E">
        <w:rPr>
          <w:rFonts w:cs="Arial"/>
          <w:rtl/>
        </w:rPr>
        <w:t>בשם מוהר"ם</w:t>
      </w:r>
      <w:r w:rsidRPr="00E25462">
        <w:rPr>
          <w:rFonts w:cs="Arial"/>
          <w:sz w:val="16"/>
          <w:szCs w:val="16"/>
          <w:rtl/>
        </w:rPr>
        <w:t xml:space="preserve"> (ד"ל סי' רמא</w:t>
      </w:r>
      <w:r w:rsidRPr="00E25462">
        <w:rPr>
          <w:rFonts w:cs="Arial" w:hint="cs"/>
          <w:sz w:val="16"/>
          <w:szCs w:val="16"/>
          <w:rtl/>
        </w:rPr>
        <w:t>)</w:t>
      </w:r>
      <w:r w:rsidRPr="00911D1E">
        <w:rPr>
          <w:rFonts w:cs="Arial"/>
          <w:rtl/>
        </w:rPr>
        <w:t xml:space="preserve">. וכתב מהרי"ק </w:t>
      </w:r>
      <w:r>
        <w:rPr>
          <w:rFonts w:cs="Arial" w:hint="cs"/>
          <w:rtl/>
        </w:rPr>
        <w:t>(</w:t>
      </w:r>
      <w:r w:rsidRPr="00911D1E">
        <w:rPr>
          <w:rFonts w:cs="Arial"/>
          <w:rtl/>
        </w:rPr>
        <w:t>שורש קמט</w:t>
      </w:r>
      <w:r>
        <w:rPr>
          <w:rFonts w:cs="Arial" w:hint="cs"/>
          <w:rtl/>
        </w:rPr>
        <w:t>)</w:t>
      </w:r>
      <w:r w:rsidRPr="00911D1E">
        <w:rPr>
          <w:rFonts w:cs="Arial"/>
          <w:rtl/>
        </w:rPr>
        <w:t xml:space="preserve"> מיהו אם רבים חולקים על היחיד ליכא למימר קים לי כיחיד דלא גרע מהיכא דסוגיא דעלמא אזלא כאידך</w:t>
      </w:r>
      <w:r>
        <w:rPr>
          <w:rFonts w:cs="Arial" w:hint="cs"/>
          <w:rtl/>
        </w:rPr>
        <w:t>, דרכ"מ (אות ג).</w:t>
      </w:r>
    </w:p>
  </w:footnote>
  <w:footnote w:id="1212">
    <w:p w14:paraId="17982379" w14:textId="77777777" w:rsidR="0013116F" w:rsidRDefault="0013116F" w:rsidP="00D171E2">
      <w:pPr>
        <w:pStyle w:val="a9"/>
        <w:rPr>
          <w:rtl/>
        </w:rPr>
      </w:pPr>
      <w:r>
        <w:rPr>
          <w:rStyle w:val="ab"/>
        </w:rPr>
        <w:footnoteRef/>
      </w:r>
      <w:r>
        <w:rPr>
          <w:rtl/>
        </w:rPr>
        <w:t xml:space="preserve"> </w:t>
      </w:r>
      <w:r>
        <w:rPr>
          <w:rFonts w:hint="cs"/>
          <w:rtl/>
        </w:rPr>
        <w:t xml:space="preserve">הביאו </w:t>
      </w:r>
      <w:r>
        <w:rPr>
          <w:rFonts w:cs="Arial" w:hint="cs"/>
          <w:rtl/>
        </w:rPr>
        <w:t>הב"י וכתב שדבריו צריכים עיון.</w:t>
      </w:r>
    </w:p>
  </w:footnote>
  <w:footnote w:id="1213">
    <w:p w14:paraId="4295A037" w14:textId="77777777" w:rsidR="0013116F" w:rsidRDefault="0013116F" w:rsidP="007E745D">
      <w:pPr>
        <w:pStyle w:val="a9"/>
        <w:rPr>
          <w:rtl/>
        </w:rPr>
      </w:pPr>
      <w:r>
        <w:rPr>
          <w:rStyle w:val="ab"/>
        </w:rPr>
        <w:footnoteRef/>
      </w:r>
      <w:r>
        <w:rPr>
          <w:rtl/>
        </w:rPr>
        <w:t xml:space="preserve"> </w:t>
      </w:r>
      <w:r w:rsidRPr="001F2415">
        <w:rPr>
          <w:rFonts w:cs="Arial"/>
          <w:rtl/>
        </w:rPr>
        <w:t>עיין בנמוקי יוסף פרק אחד דיני ממונות (יב) כי שם כתב בדינים דשייכי לסימן זה</w:t>
      </w:r>
      <w:r>
        <w:rPr>
          <w:rFonts w:cs="Arial" w:hint="cs"/>
          <w:rtl/>
        </w:rPr>
        <w:t>, ב"י.</w:t>
      </w:r>
    </w:p>
  </w:footnote>
  <w:footnote w:id="1214">
    <w:p w14:paraId="01302DDC" w14:textId="77777777" w:rsidR="0013116F" w:rsidRDefault="0013116F">
      <w:pPr>
        <w:pStyle w:val="a9"/>
        <w:rPr>
          <w:rtl/>
        </w:rPr>
      </w:pPr>
      <w:r>
        <w:rPr>
          <w:rStyle w:val="ab"/>
        </w:rPr>
        <w:footnoteRef/>
      </w:r>
      <w:r>
        <w:rPr>
          <w:rtl/>
        </w:rPr>
        <w:t xml:space="preserve"> </w:t>
      </w:r>
      <w:r>
        <w:rPr>
          <w:rFonts w:hint="cs"/>
          <w:rtl/>
        </w:rPr>
        <w:t>סימן - קריעה לפסק.</w:t>
      </w:r>
    </w:p>
  </w:footnote>
  <w:footnote w:id="1215">
    <w:p w14:paraId="305BF62A" w14:textId="77777777" w:rsidR="0013116F" w:rsidRDefault="0013116F">
      <w:pPr>
        <w:pStyle w:val="a9"/>
      </w:pPr>
      <w:r>
        <w:rPr>
          <w:rStyle w:val="ab"/>
        </w:rPr>
        <w:footnoteRef/>
      </w:r>
      <w:r>
        <w:rPr>
          <w:rtl/>
        </w:rPr>
        <w:t xml:space="preserve"> </w:t>
      </w:r>
      <w:r>
        <w:rPr>
          <w:rFonts w:hint="cs"/>
          <w:rtl/>
        </w:rPr>
        <w:t xml:space="preserve">סימן </w:t>
      </w:r>
      <w:r>
        <w:rPr>
          <w:rtl/>
        </w:rPr>
        <w:t>–</w:t>
      </w:r>
      <w:r>
        <w:rPr>
          <w:rFonts w:hint="cs"/>
          <w:rtl/>
        </w:rPr>
        <w:t xml:space="preserve"> </w:t>
      </w:r>
      <w:r w:rsidRPr="006A2153">
        <w:rPr>
          <w:rFonts w:hint="cs"/>
          <w:b/>
          <w:bCs/>
          <w:rtl/>
        </w:rPr>
        <w:t>ק</w:t>
      </w:r>
      <w:r>
        <w:rPr>
          <w:rFonts w:hint="cs"/>
          <w:rtl/>
        </w:rPr>
        <w:t xml:space="preserve">ודם </w:t>
      </w:r>
      <w:r w:rsidRPr="006A2153">
        <w:rPr>
          <w:rFonts w:hint="cs"/>
          <w:b/>
          <w:bCs/>
          <w:rtl/>
        </w:rPr>
        <w:t>ע</w:t>
      </w:r>
      <w:r>
        <w:rPr>
          <w:rFonts w:hint="cs"/>
          <w:rtl/>
        </w:rPr>
        <w:t xml:space="preserve">רב, </w:t>
      </w:r>
      <w:r w:rsidRPr="006A2153">
        <w:rPr>
          <w:rFonts w:hint="cs"/>
          <w:b/>
          <w:bCs/>
          <w:rtl/>
        </w:rPr>
        <w:t>ד</w:t>
      </w:r>
      <w:r>
        <w:rPr>
          <w:rFonts w:hint="cs"/>
          <w:rtl/>
        </w:rPr>
        <w:t>ין.</w:t>
      </w:r>
    </w:p>
  </w:footnote>
  <w:footnote w:id="1216">
    <w:p w14:paraId="52FF674C" w14:textId="77777777" w:rsidR="0013116F" w:rsidRDefault="0013116F">
      <w:pPr>
        <w:pStyle w:val="a9"/>
      </w:pPr>
      <w:r>
        <w:rPr>
          <w:rStyle w:val="ab"/>
        </w:rPr>
        <w:footnoteRef/>
      </w:r>
      <w:r>
        <w:rPr>
          <w:rtl/>
        </w:rPr>
        <w:t xml:space="preserve"> </w:t>
      </w:r>
      <w:r w:rsidRPr="008046C2">
        <w:rPr>
          <w:rFonts w:cs="Arial"/>
          <w:rtl/>
        </w:rPr>
        <w:t>אפילו לחלוק על דברי הגאונים, כ"כ הרא"ש [סנהדרין פ"ד סי' ו'] וטור [סעיף ה']</w:t>
      </w:r>
      <w:r>
        <w:rPr>
          <w:rFonts w:cs="Arial" w:hint="cs"/>
          <w:rtl/>
        </w:rPr>
        <w:t>, ש"ך (סק"ג).</w:t>
      </w:r>
    </w:p>
  </w:footnote>
  <w:footnote w:id="1217">
    <w:p w14:paraId="2B2AC33D" w14:textId="77777777" w:rsidR="0013116F" w:rsidRDefault="0013116F">
      <w:pPr>
        <w:pStyle w:val="a9"/>
      </w:pPr>
      <w:r>
        <w:rPr>
          <w:rStyle w:val="ab"/>
        </w:rPr>
        <w:footnoteRef/>
      </w:r>
      <w:r>
        <w:rPr>
          <w:rtl/>
        </w:rPr>
        <w:t xml:space="preserve"> </w:t>
      </w:r>
      <w:r w:rsidRPr="001E65D2">
        <w:rPr>
          <w:rFonts w:cs="Arial" w:hint="cs"/>
          <w:rtl/>
        </w:rPr>
        <w:t>שם</w:t>
      </w:r>
      <w:r w:rsidRPr="001E65D2">
        <w:rPr>
          <w:rFonts w:cs="Arial"/>
          <w:rtl/>
        </w:rPr>
        <w:t xml:space="preserve"> [</w:t>
      </w:r>
      <w:r w:rsidRPr="001E65D2">
        <w:rPr>
          <w:rFonts w:cs="Arial" w:hint="cs"/>
          <w:rtl/>
        </w:rPr>
        <w:t>במהרא</w:t>
      </w:r>
      <w:r w:rsidRPr="001E65D2">
        <w:rPr>
          <w:rFonts w:cs="Arial"/>
          <w:rtl/>
        </w:rPr>
        <w:t>"</w:t>
      </w:r>
      <w:r w:rsidRPr="001E65D2">
        <w:rPr>
          <w:rFonts w:cs="Arial" w:hint="cs"/>
          <w:rtl/>
        </w:rPr>
        <w:t>י</w:t>
      </w:r>
      <w:r w:rsidRPr="001E65D2">
        <w:rPr>
          <w:rFonts w:cs="Arial"/>
          <w:rtl/>
        </w:rPr>
        <w:t xml:space="preserve">] </w:t>
      </w:r>
      <w:r w:rsidRPr="001E65D2">
        <w:rPr>
          <w:rFonts w:cs="Arial" w:hint="cs"/>
          <w:rtl/>
        </w:rPr>
        <w:t>קאי</w:t>
      </w:r>
      <w:r w:rsidRPr="001E65D2">
        <w:rPr>
          <w:rFonts w:cs="Arial"/>
          <w:rtl/>
        </w:rPr>
        <w:t xml:space="preserve"> </w:t>
      </w:r>
      <w:r w:rsidRPr="001E65D2">
        <w:rPr>
          <w:rFonts w:cs="Arial" w:hint="cs"/>
          <w:rtl/>
        </w:rPr>
        <w:t>אדבר</w:t>
      </w:r>
      <w:r w:rsidRPr="001E65D2">
        <w:rPr>
          <w:rFonts w:cs="Arial"/>
          <w:rtl/>
        </w:rPr>
        <w:t xml:space="preserve"> </w:t>
      </w:r>
      <w:r w:rsidRPr="001E65D2">
        <w:rPr>
          <w:rFonts w:cs="Arial" w:hint="cs"/>
          <w:rtl/>
        </w:rPr>
        <w:t>איסור</w:t>
      </w:r>
      <w:r w:rsidRPr="001E65D2">
        <w:rPr>
          <w:rFonts w:cs="Arial"/>
          <w:rtl/>
        </w:rPr>
        <w:t xml:space="preserve"> </w:t>
      </w:r>
      <w:r w:rsidRPr="001E65D2">
        <w:rPr>
          <w:rFonts w:cs="Arial" w:hint="cs"/>
          <w:rtl/>
        </w:rPr>
        <w:t>מ</w:t>
      </w:r>
      <w:r>
        <w:rPr>
          <w:rFonts w:cs="Arial" w:hint="cs"/>
          <w:rtl/>
        </w:rPr>
        <w:t xml:space="preserve">שום </w:t>
      </w:r>
      <w:r w:rsidRPr="001E65D2">
        <w:rPr>
          <w:rFonts w:cs="Arial" w:hint="cs"/>
          <w:rtl/>
        </w:rPr>
        <w:t>ה</w:t>
      </w:r>
      <w:r>
        <w:rPr>
          <w:rFonts w:cs="Arial" w:hint="cs"/>
          <w:rtl/>
        </w:rPr>
        <w:t>כי</w:t>
      </w:r>
      <w:r w:rsidRPr="001E65D2">
        <w:rPr>
          <w:rFonts w:cs="Arial"/>
          <w:rtl/>
        </w:rPr>
        <w:t xml:space="preserve"> </w:t>
      </w:r>
      <w:r w:rsidRPr="001E65D2">
        <w:rPr>
          <w:rFonts w:cs="Arial" w:hint="cs"/>
          <w:rtl/>
        </w:rPr>
        <w:t>כתב</w:t>
      </w:r>
      <w:r w:rsidRPr="001E65D2">
        <w:rPr>
          <w:rFonts w:cs="Arial"/>
          <w:rtl/>
        </w:rPr>
        <w:t xml:space="preserve"> </w:t>
      </w:r>
      <w:r w:rsidRPr="001E65D2">
        <w:rPr>
          <w:rFonts w:cs="Arial" w:hint="cs"/>
          <w:rtl/>
        </w:rPr>
        <w:t>אין</w:t>
      </w:r>
      <w:r w:rsidRPr="001E65D2">
        <w:rPr>
          <w:rFonts w:cs="Arial"/>
          <w:rtl/>
        </w:rPr>
        <w:t xml:space="preserve"> </w:t>
      </w:r>
      <w:r w:rsidRPr="001E65D2">
        <w:rPr>
          <w:rFonts w:cs="Arial" w:hint="cs"/>
          <w:rtl/>
        </w:rPr>
        <w:t>להקל</w:t>
      </w:r>
      <w:r w:rsidRPr="001E65D2">
        <w:rPr>
          <w:rFonts w:cs="Arial"/>
          <w:rtl/>
        </w:rPr>
        <w:t xml:space="preserve">, </w:t>
      </w:r>
      <w:r w:rsidRPr="001E65D2">
        <w:rPr>
          <w:rFonts w:cs="Arial" w:hint="cs"/>
          <w:rtl/>
        </w:rPr>
        <w:t>ובדיני</w:t>
      </w:r>
      <w:r w:rsidRPr="001E65D2">
        <w:rPr>
          <w:rFonts w:cs="Arial"/>
          <w:rtl/>
        </w:rPr>
        <w:t xml:space="preserve"> </w:t>
      </w:r>
      <w:r w:rsidRPr="001E65D2">
        <w:rPr>
          <w:rFonts w:cs="Arial" w:hint="cs"/>
          <w:rtl/>
        </w:rPr>
        <w:t>ממונות</w:t>
      </w:r>
      <w:r w:rsidRPr="001E65D2">
        <w:rPr>
          <w:rFonts w:cs="Arial"/>
          <w:rtl/>
        </w:rPr>
        <w:t xml:space="preserve"> </w:t>
      </w:r>
      <w:r w:rsidRPr="001E65D2">
        <w:rPr>
          <w:rFonts w:cs="Arial" w:hint="cs"/>
          <w:rtl/>
        </w:rPr>
        <w:t>אין</w:t>
      </w:r>
      <w:r w:rsidRPr="001E65D2">
        <w:rPr>
          <w:rFonts w:cs="Arial"/>
          <w:rtl/>
        </w:rPr>
        <w:t xml:space="preserve"> </w:t>
      </w:r>
      <w:r w:rsidRPr="001E65D2">
        <w:rPr>
          <w:rFonts w:cs="Arial" w:hint="cs"/>
          <w:rtl/>
        </w:rPr>
        <w:t>שייך</w:t>
      </w:r>
      <w:r w:rsidRPr="001E65D2">
        <w:rPr>
          <w:rFonts w:cs="Arial"/>
          <w:rtl/>
        </w:rPr>
        <w:t xml:space="preserve"> </w:t>
      </w:r>
      <w:r w:rsidRPr="001E65D2">
        <w:rPr>
          <w:rFonts w:cs="Arial" w:hint="cs"/>
          <w:rtl/>
        </w:rPr>
        <w:t>בו</w:t>
      </w:r>
      <w:r w:rsidRPr="001E65D2">
        <w:rPr>
          <w:rFonts w:cs="Arial"/>
          <w:rtl/>
        </w:rPr>
        <w:t xml:space="preserve"> </w:t>
      </w:r>
      <w:r w:rsidRPr="001E65D2">
        <w:rPr>
          <w:rFonts w:cs="Arial" w:hint="cs"/>
          <w:rtl/>
        </w:rPr>
        <w:t>לשון</w:t>
      </w:r>
      <w:r w:rsidRPr="001E65D2">
        <w:rPr>
          <w:rFonts w:cs="Arial"/>
          <w:rtl/>
        </w:rPr>
        <w:t xml:space="preserve"> </w:t>
      </w:r>
      <w:r w:rsidRPr="001E65D2">
        <w:rPr>
          <w:rFonts w:cs="Arial" w:hint="cs"/>
          <w:rtl/>
        </w:rPr>
        <w:t>קולא</w:t>
      </w:r>
      <w:r w:rsidRPr="001E65D2">
        <w:rPr>
          <w:rFonts w:cs="Arial"/>
          <w:rtl/>
        </w:rPr>
        <w:t xml:space="preserve"> </w:t>
      </w:r>
      <w:r w:rsidRPr="001E65D2">
        <w:rPr>
          <w:rFonts w:cs="Arial" w:hint="cs"/>
          <w:rtl/>
        </w:rPr>
        <w:t>סתם</w:t>
      </w:r>
      <w:r w:rsidRPr="001E65D2">
        <w:rPr>
          <w:rFonts w:cs="Arial"/>
          <w:rtl/>
        </w:rPr>
        <w:t xml:space="preserve">, </w:t>
      </w:r>
      <w:r w:rsidRPr="001E65D2">
        <w:rPr>
          <w:rFonts w:cs="Arial" w:hint="cs"/>
          <w:rtl/>
        </w:rPr>
        <w:t>דמה</w:t>
      </w:r>
      <w:r w:rsidRPr="001E65D2">
        <w:rPr>
          <w:rFonts w:cs="Arial"/>
          <w:rtl/>
        </w:rPr>
        <w:t xml:space="preserve"> </w:t>
      </w:r>
      <w:r w:rsidRPr="001E65D2">
        <w:rPr>
          <w:rFonts w:cs="Arial" w:hint="cs"/>
          <w:rtl/>
        </w:rPr>
        <w:t>שקולא</w:t>
      </w:r>
      <w:r w:rsidRPr="001E65D2">
        <w:rPr>
          <w:rFonts w:cs="Arial"/>
          <w:rtl/>
        </w:rPr>
        <w:t xml:space="preserve"> </w:t>
      </w:r>
      <w:r w:rsidRPr="001E65D2">
        <w:rPr>
          <w:rFonts w:cs="Arial" w:hint="cs"/>
          <w:rtl/>
        </w:rPr>
        <w:t>לזה</w:t>
      </w:r>
      <w:r w:rsidRPr="001E65D2">
        <w:rPr>
          <w:rFonts w:cs="Arial"/>
          <w:rtl/>
        </w:rPr>
        <w:t xml:space="preserve"> </w:t>
      </w:r>
      <w:r w:rsidRPr="001E65D2">
        <w:rPr>
          <w:rFonts w:cs="Arial" w:hint="cs"/>
          <w:rtl/>
        </w:rPr>
        <w:t>הוא</w:t>
      </w:r>
      <w:r w:rsidRPr="001E65D2">
        <w:rPr>
          <w:rFonts w:cs="Arial"/>
          <w:rtl/>
        </w:rPr>
        <w:t xml:space="preserve"> </w:t>
      </w:r>
      <w:r w:rsidRPr="001E65D2">
        <w:rPr>
          <w:rFonts w:cs="Arial" w:hint="cs"/>
          <w:rtl/>
        </w:rPr>
        <w:t>חומרא</w:t>
      </w:r>
      <w:r w:rsidRPr="001E65D2">
        <w:rPr>
          <w:rFonts w:cs="Arial"/>
          <w:rtl/>
        </w:rPr>
        <w:t xml:space="preserve"> </w:t>
      </w:r>
      <w:r w:rsidRPr="001E65D2">
        <w:rPr>
          <w:rFonts w:cs="Arial" w:hint="cs"/>
          <w:rtl/>
        </w:rPr>
        <w:t>לזה</w:t>
      </w:r>
      <w:r w:rsidRPr="001E65D2">
        <w:rPr>
          <w:rFonts w:cs="Arial"/>
          <w:rtl/>
        </w:rPr>
        <w:t xml:space="preserve">, </w:t>
      </w:r>
      <w:r w:rsidRPr="001E65D2">
        <w:rPr>
          <w:rFonts w:cs="Arial" w:hint="cs"/>
          <w:rtl/>
        </w:rPr>
        <w:t>אלא</w:t>
      </w:r>
      <w:r w:rsidRPr="001E65D2">
        <w:rPr>
          <w:rFonts w:cs="Arial"/>
          <w:rtl/>
        </w:rPr>
        <w:t xml:space="preserve"> </w:t>
      </w:r>
      <w:r w:rsidRPr="001E65D2">
        <w:rPr>
          <w:rFonts w:cs="Arial" w:hint="cs"/>
          <w:rtl/>
        </w:rPr>
        <w:t>אמרינן</w:t>
      </w:r>
      <w:r w:rsidRPr="001E65D2">
        <w:rPr>
          <w:rFonts w:cs="Arial"/>
          <w:rtl/>
        </w:rPr>
        <w:t xml:space="preserve"> </w:t>
      </w:r>
      <w:r w:rsidRPr="001E65D2">
        <w:rPr>
          <w:rFonts w:cs="Arial" w:hint="cs"/>
          <w:rtl/>
        </w:rPr>
        <w:t>ביה</w:t>
      </w:r>
      <w:r w:rsidRPr="001E65D2">
        <w:rPr>
          <w:rFonts w:cs="Arial"/>
          <w:rtl/>
        </w:rPr>
        <w:t xml:space="preserve"> </w:t>
      </w:r>
      <w:r w:rsidRPr="001E65D2">
        <w:rPr>
          <w:rFonts w:cs="Arial" w:hint="cs"/>
          <w:rtl/>
        </w:rPr>
        <w:t>קולא</w:t>
      </w:r>
      <w:r w:rsidRPr="001E65D2">
        <w:rPr>
          <w:rFonts w:cs="Arial"/>
          <w:rtl/>
        </w:rPr>
        <w:t xml:space="preserve"> </w:t>
      </w:r>
      <w:r w:rsidRPr="001E65D2">
        <w:rPr>
          <w:rFonts w:cs="Arial" w:hint="cs"/>
          <w:rtl/>
        </w:rPr>
        <w:t>לנתבע</w:t>
      </w:r>
      <w:r w:rsidRPr="001E65D2">
        <w:rPr>
          <w:rFonts w:cs="Arial"/>
          <w:rtl/>
        </w:rPr>
        <w:t xml:space="preserve"> </w:t>
      </w:r>
      <w:r w:rsidRPr="001E65D2">
        <w:rPr>
          <w:rFonts w:cs="Arial" w:hint="cs"/>
          <w:rtl/>
        </w:rPr>
        <w:t>ומשום</w:t>
      </w:r>
      <w:r w:rsidRPr="001E65D2">
        <w:rPr>
          <w:rFonts w:cs="Arial"/>
          <w:rtl/>
        </w:rPr>
        <w:t xml:space="preserve"> </w:t>
      </w:r>
      <w:r w:rsidRPr="001E65D2">
        <w:rPr>
          <w:rFonts w:cs="Arial" w:hint="cs"/>
          <w:rtl/>
        </w:rPr>
        <w:t>דה</w:t>
      </w:r>
      <w:r>
        <w:rPr>
          <w:rFonts w:cs="Arial" w:hint="cs"/>
          <w:rtl/>
        </w:rPr>
        <w:t xml:space="preserve">מוציא </w:t>
      </w:r>
      <w:r w:rsidRPr="001E65D2">
        <w:rPr>
          <w:rFonts w:cs="Arial" w:hint="cs"/>
          <w:rtl/>
        </w:rPr>
        <w:t>מ</w:t>
      </w:r>
      <w:r>
        <w:rPr>
          <w:rFonts w:cs="Arial" w:hint="cs"/>
          <w:rtl/>
        </w:rPr>
        <w:t xml:space="preserve">חברו </w:t>
      </w:r>
      <w:r w:rsidRPr="001E65D2">
        <w:rPr>
          <w:rFonts w:cs="Arial" w:hint="cs"/>
          <w:rtl/>
        </w:rPr>
        <w:t>ע</w:t>
      </w:r>
      <w:r>
        <w:rPr>
          <w:rFonts w:cs="Arial" w:hint="cs"/>
          <w:rtl/>
        </w:rPr>
        <w:t xml:space="preserve">ליו </w:t>
      </w:r>
      <w:r w:rsidRPr="001E65D2">
        <w:rPr>
          <w:rFonts w:cs="Arial" w:hint="cs"/>
          <w:rtl/>
        </w:rPr>
        <w:t>ה</w:t>
      </w:r>
      <w:r>
        <w:rPr>
          <w:rFonts w:cs="Arial" w:hint="cs"/>
          <w:rtl/>
        </w:rPr>
        <w:t>ראיה</w:t>
      </w:r>
      <w:r w:rsidRPr="001E65D2">
        <w:rPr>
          <w:rFonts w:cs="Arial"/>
          <w:rtl/>
        </w:rPr>
        <w:t xml:space="preserve">, </w:t>
      </w:r>
      <w:r w:rsidRPr="001E65D2">
        <w:rPr>
          <w:rFonts w:cs="Arial" w:hint="cs"/>
          <w:rtl/>
        </w:rPr>
        <w:t>וכמ</w:t>
      </w:r>
      <w:r w:rsidRPr="001E65D2">
        <w:rPr>
          <w:rFonts w:cs="Arial"/>
          <w:rtl/>
        </w:rPr>
        <w:t>"</w:t>
      </w:r>
      <w:r w:rsidRPr="001E65D2">
        <w:rPr>
          <w:rFonts w:cs="Arial" w:hint="cs"/>
          <w:rtl/>
        </w:rPr>
        <w:t>ש</w:t>
      </w:r>
      <w:r w:rsidRPr="001E65D2">
        <w:rPr>
          <w:rFonts w:cs="Arial"/>
          <w:rtl/>
        </w:rPr>
        <w:t xml:space="preserve"> </w:t>
      </w:r>
      <w:r w:rsidRPr="001E65D2">
        <w:rPr>
          <w:rFonts w:cs="Arial" w:hint="cs"/>
          <w:rtl/>
        </w:rPr>
        <w:t>מור</w:t>
      </w:r>
      <w:r w:rsidRPr="001E65D2">
        <w:rPr>
          <w:rFonts w:cs="Arial"/>
          <w:rtl/>
        </w:rPr>
        <w:t>"</w:t>
      </w:r>
      <w:r w:rsidRPr="001E65D2">
        <w:rPr>
          <w:rFonts w:cs="Arial" w:hint="cs"/>
          <w:rtl/>
        </w:rPr>
        <w:t>ם</w:t>
      </w:r>
      <w:r w:rsidRPr="001E65D2">
        <w:rPr>
          <w:rFonts w:cs="Arial"/>
          <w:rtl/>
        </w:rPr>
        <w:t xml:space="preserve"> </w:t>
      </w:r>
      <w:r w:rsidRPr="001E65D2">
        <w:rPr>
          <w:rFonts w:cs="Arial" w:hint="cs"/>
          <w:rtl/>
        </w:rPr>
        <w:t>בהג</w:t>
      </w:r>
      <w:r w:rsidRPr="001E65D2">
        <w:rPr>
          <w:rFonts w:cs="Arial"/>
          <w:rtl/>
        </w:rPr>
        <w:t>"</w:t>
      </w:r>
      <w:r w:rsidRPr="001E65D2">
        <w:rPr>
          <w:rFonts w:cs="Arial" w:hint="cs"/>
          <w:rtl/>
        </w:rPr>
        <w:t>ה</w:t>
      </w:r>
      <w:r w:rsidRPr="001E65D2">
        <w:rPr>
          <w:rFonts w:cs="Arial"/>
          <w:rtl/>
        </w:rPr>
        <w:t xml:space="preserve"> </w:t>
      </w:r>
      <w:r w:rsidRPr="001E65D2">
        <w:rPr>
          <w:rFonts w:cs="Arial" w:hint="cs"/>
          <w:rtl/>
        </w:rPr>
        <w:t>סעיף</w:t>
      </w:r>
      <w:r w:rsidRPr="001E65D2">
        <w:rPr>
          <w:rFonts w:cs="Arial"/>
          <w:rtl/>
        </w:rPr>
        <w:t xml:space="preserve"> </w:t>
      </w:r>
      <w:r w:rsidRPr="001E65D2">
        <w:rPr>
          <w:rFonts w:cs="Arial" w:hint="cs"/>
          <w:rtl/>
        </w:rPr>
        <w:t>ב</w:t>
      </w:r>
      <w:r w:rsidRPr="001E65D2">
        <w:rPr>
          <w:rFonts w:cs="Arial"/>
          <w:rtl/>
        </w:rPr>
        <w:t>'</w:t>
      </w:r>
      <w:r>
        <w:rPr>
          <w:rFonts w:cs="Arial" w:hint="cs"/>
          <w:rtl/>
        </w:rPr>
        <w:t>, סמ"ע (סק"ב).</w:t>
      </w:r>
    </w:p>
  </w:footnote>
  <w:footnote w:id="1218">
    <w:p w14:paraId="2290B741" w14:textId="77777777" w:rsidR="0013116F" w:rsidRDefault="0013116F">
      <w:pPr>
        <w:pStyle w:val="a9"/>
        <w:rPr>
          <w:rtl/>
        </w:rPr>
      </w:pPr>
      <w:r>
        <w:rPr>
          <w:rStyle w:val="ab"/>
        </w:rPr>
        <w:footnoteRef/>
      </w:r>
      <w:r>
        <w:rPr>
          <w:rtl/>
        </w:rPr>
        <w:t xml:space="preserve"> </w:t>
      </w:r>
      <w:r w:rsidRPr="001E65D2">
        <w:rPr>
          <w:rFonts w:cs="Arial" w:hint="cs"/>
          <w:rtl/>
        </w:rPr>
        <w:t>פירוש</w:t>
      </w:r>
      <w:r w:rsidRPr="001E65D2">
        <w:rPr>
          <w:rFonts w:cs="Arial"/>
          <w:rtl/>
        </w:rPr>
        <w:t xml:space="preserve"> </w:t>
      </w:r>
      <w:r w:rsidRPr="001E65D2">
        <w:rPr>
          <w:rFonts w:cs="Arial" w:hint="cs"/>
          <w:rtl/>
        </w:rPr>
        <w:t>וקיי</w:t>
      </w:r>
      <w:r w:rsidRPr="001E65D2">
        <w:rPr>
          <w:rFonts w:cs="Arial"/>
          <w:rtl/>
        </w:rPr>
        <w:t>"</w:t>
      </w:r>
      <w:r w:rsidRPr="001E65D2">
        <w:rPr>
          <w:rFonts w:cs="Arial" w:hint="cs"/>
          <w:rtl/>
        </w:rPr>
        <w:t>ל</w:t>
      </w:r>
      <w:r w:rsidRPr="001E65D2">
        <w:rPr>
          <w:rFonts w:cs="Arial"/>
          <w:rtl/>
        </w:rPr>
        <w:t xml:space="preserve"> [</w:t>
      </w:r>
      <w:r w:rsidRPr="001E65D2">
        <w:rPr>
          <w:rFonts w:cs="Arial" w:hint="cs"/>
          <w:rtl/>
        </w:rPr>
        <w:t>לקמן</w:t>
      </w:r>
      <w:r w:rsidRPr="001E65D2">
        <w:rPr>
          <w:rFonts w:cs="Arial"/>
          <w:rtl/>
        </w:rPr>
        <w:t xml:space="preserve"> </w:t>
      </w:r>
      <w:r w:rsidRPr="001E65D2">
        <w:rPr>
          <w:rFonts w:cs="Arial" w:hint="cs"/>
          <w:rtl/>
        </w:rPr>
        <w:t>סי</w:t>
      </w:r>
      <w:r w:rsidRPr="001E65D2">
        <w:rPr>
          <w:rFonts w:cs="Arial"/>
          <w:rtl/>
        </w:rPr>
        <w:t xml:space="preserve">' </w:t>
      </w:r>
      <w:r w:rsidRPr="001E65D2">
        <w:rPr>
          <w:rFonts w:cs="Arial" w:hint="cs"/>
          <w:rtl/>
        </w:rPr>
        <w:t>שפ</w:t>
      </w:r>
      <w:r w:rsidRPr="001E65D2">
        <w:rPr>
          <w:rFonts w:cs="Arial"/>
          <w:rtl/>
        </w:rPr>
        <w:t>"</w:t>
      </w:r>
      <w:r w:rsidRPr="001E65D2">
        <w:rPr>
          <w:rFonts w:cs="Arial" w:hint="cs"/>
          <w:rtl/>
        </w:rPr>
        <w:t>ו</w:t>
      </w:r>
      <w:r w:rsidRPr="001E65D2">
        <w:rPr>
          <w:rFonts w:cs="Arial"/>
          <w:rtl/>
        </w:rPr>
        <w:t xml:space="preserve"> </w:t>
      </w:r>
      <w:r w:rsidRPr="001E65D2">
        <w:rPr>
          <w:rFonts w:cs="Arial" w:hint="cs"/>
          <w:rtl/>
        </w:rPr>
        <w:t>ס</w:t>
      </w:r>
      <w:r w:rsidRPr="001E65D2">
        <w:rPr>
          <w:rFonts w:cs="Arial"/>
          <w:rtl/>
        </w:rPr>
        <w:t>"</w:t>
      </w:r>
      <w:r w:rsidRPr="001E65D2">
        <w:rPr>
          <w:rFonts w:cs="Arial" w:hint="cs"/>
          <w:rtl/>
        </w:rPr>
        <w:t>א</w:t>
      </w:r>
      <w:r w:rsidRPr="001E65D2">
        <w:rPr>
          <w:rFonts w:cs="Arial"/>
          <w:rtl/>
        </w:rPr>
        <w:t xml:space="preserve">] </w:t>
      </w:r>
      <w:r w:rsidRPr="001E65D2">
        <w:rPr>
          <w:rFonts w:cs="Arial" w:hint="cs"/>
          <w:rtl/>
        </w:rPr>
        <w:t>כר</w:t>
      </w:r>
      <w:r w:rsidRPr="001E65D2">
        <w:rPr>
          <w:rFonts w:cs="Arial"/>
          <w:rtl/>
        </w:rPr>
        <w:t>"</w:t>
      </w:r>
      <w:r w:rsidRPr="001E65D2">
        <w:rPr>
          <w:rFonts w:cs="Arial" w:hint="cs"/>
          <w:rtl/>
        </w:rPr>
        <w:t>מ</w:t>
      </w:r>
      <w:r w:rsidRPr="001E65D2">
        <w:rPr>
          <w:rFonts w:cs="Arial"/>
          <w:rtl/>
        </w:rPr>
        <w:t xml:space="preserve"> </w:t>
      </w:r>
      <w:r w:rsidRPr="001E65D2">
        <w:rPr>
          <w:rFonts w:cs="Arial" w:hint="cs"/>
          <w:rtl/>
        </w:rPr>
        <w:t>דדן</w:t>
      </w:r>
      <w:r w:rsidRPr="001E65D2">
        <w:rPr>
          <w:rFonts w:cs="Arial"/>
          <w:rtl/>
        </w:rPr>
        <w:t xml:space="preserve"> </w:t>
      </w:r>
      <w:r w:rsidRPr="001E65D2">
        <w:rPr>
          <w:rFonts w:cs="Arial" w:hint="cs"/>
          <w:rtl/>
        </w:rPr>
        <w:t>דינא</w:t>
      </w:r>
      <w:r w:rsidRPr="001E65D2">
        <w:rPr>
          <w:rFonts w:cs="Arial"/>
          <w:rtl/>
        </w:rPr>
        <w:t xml:space="preserve"> </w:t>
      </w:r>
      <w:r w:rsidRPr="001E65D2">
        <w:rPr>
          <w:rFonts w:cs="Arial" w:hint="cs"/>
          <w:rtl/>
        </w:rPr>
        <w:t>דגרמי</w:t>
      </w:r>
      <w:r>
        <w:rPr>
          <w:rFonts w:hint="cs"/>
          <w:rtl/>
        </w:rPr>
        <w:t>, סמ"ע (סק"ד).</w:t>
      </w:r>
    </w:p>
  </w:footnote>
  <w:footnote w:id="1219">
    <w:p w14:paraId="24D30604" w14:textId="77777777" w:rsidR="0013116F" w:rsidRDefault="0013116F">
      <w:pPr>
        <w:pStyle w:val="a9"/>
        <w:rPr>
          <w:rtl/>
        </w:rPr>
      </w:pPr>
      <w:r>
        <w:rPr>
          <w:rStyle w:val="ab"/>
        </w:rPr>
        <w:footnoteRef/>
      </w:r>
      <w:r>
        <w:rPr>
          <w:rtl/>
        </w:rPr>
        <w:t xml:space="preserve"> </w:t>
      </w:r>
      <w:r w:rsidRPr="001E65D2">
        <w:rPr>
          <w:rFonts w:cs="Arial" w:hint="cs"/>
          <w:rtl/>
        </w:rPr>
        <w:t>ס</w:t>
      </w:r>
      <w:r w:rsidRPr="001E65D2">
        <w:rPr>
          <w:rFonts w:cs="Arial"/>
          <w:rtl/>
        </w:rPr>
        <w:t>"</w:t>
      </w:r>
      <w:r w:rsidRPr="001E65D2">
        <w:rPr>
          <w:rFonts w:cs="Arial" w:hint="cs"/>
          <w:rtl/>
        </w:rPr>
        <w:t>ל</w:t>
      </w:r>
      <w:r w:rsidRPr="001E65D2">
        <w:rPr>
          <w:rFonts w:cs="Arial"/>
          <w:rtl/>
        </w:rPr>
        <w:t xml:space="preserve"> </w:t>
      </w:r>
      <w:r w:rsidRPr="001E65D2">
        <w:rPr>
          <w:rFonts w:cs="Arial" w:hint="cs"/>
          <w:rtl/>
        </w:rPr>
        <w:t>כהרי</w:t>
      </w:r>
      <w:r w:rsidRPr="001E65D2">
        <w:rPr>
          <w:rFonts w:cs="Arial"/>
          <w:rtl/>
        </w:rPr>
        <w:t>"</w:t>
      </w:r>
      <w:r w:rsidRPr="001E65D2">
        <w:rPr>
          <w:rFonts w:cs="Arial" w:hint="cs"/>
          <w:rtl/>
        </w:rPr>
        <w:t>ף</w:t>
      </w:r>
      <w:r w:rsidRPr="001E65D2">
        <w:rPr>
          <w:rFonts w:cs="Arial"/>
          <w:rtl/>
        </w:rPr>
        <w:t xml:space="preserve"> </w:t>
      </w:r>
      <w:r w:rsidRPr="001E65D2">
        <w:rPr>
          <w:rFonts w:cs="Arial" w:hint="cs"/>
          <w:rtl/>
        </w:rPr>
        <w:t>בפרק</w:t>
      </w:r>
      <w:r w:rsidRPr="001E65D2">
        <w:rPr>
          <w:rFonts w:cs="Arial"/>
          <w:rtl/>
        </w:rPr>
        <w:t xml:space="preserve"> </w:t>
      </w:r>
      <w:r w:rsidRPr="001E65D2">
        <w:rPr>
          <w:rFonts w:cs="Arial" w:hint="cs"/>
          <w:rtl/>
        </w:rPr>
        <w:t>אחד</w:t>
      </w:r>
      <w:r w:rsidRPr="001E65D2">
        <w:rPr>
          <w:rFonts w:cs="Arial"/>
          <w:rtl/>
        </w:rPr>
        <w:t xml:space="preserve"> </w:t>
      </w:r>
      <w:r w:rsidRPr="001E65D2">
        <w:rPr>
          <w:rFonts w:cs="Arial" w:hint="cs"/>
          <w:rtl/>
        </w:rPr>
        <w:t>ד</w:t>
      </w:r>
      <w:r w:rsidRPr="001E65D2">
        <w:rPr>
          <w:rFonts w:cs="Arial"/>
          <w:rtl/>
        </w:rPr>
        <w:t>"</w:t>
      </w:r>
      <w:r w:rsidRPr="001E65D2">
        <w:rPr>
          <w:rFonts w:cs="Arial" w:hint="cs"/>
          <w:rtl/>
        </w:rPr>
        <w:t>מ</w:t>
      </w:r>
      <w:r w:rsidRPr="001E65D2">
        <w:rPr>
          <w:rFonts w:cs="Arial"/>
          <w:rtl/>
        </w:rPr>
        <w:t xml:space="preserve"> [</w:t>
      </w:r>
      <w:r w:rsidRPr="001E65D2">
        <w:rPr>
          <w:rFonts w:cs="Arial" w:hint="cs"/>
          <w:rtl/>
        </w:rPr>
        <w:t>י</w:t>
      </w:r>
      <w:r w:rsidRPr="001E65D2">
        <w:rPr>
          <w:rFonts w:cs="Arial"/>
          <w:rtl/>
        </w:rPr>
        <w:t>"</w:t>
      </w:r>
      <w:r w:rsidRPr="001E65D2">
        <w:rPr>
          <w:rFonts w:cs="Arial" w:hint="cs"/>
          <w:rtl/>
        </w:rPr>
        <w:t>ב</w:t>
      </w:r>
      <w:r w:rsidRPr="001E65D2">
        <w:rPr>
          <w:rFonts w:cs="Arial"/>
          <w:rtl/>
        </w:rPr>
        <w:t xml:space="preserve"> </w:t>
      </w:r>
      <w:r w:rsidRPr="001E65D2">
        <w:rPr>
          <w:rFonts w:cs="Arial" w:hint="cs"/>
          <w:rtl/>
        </w:rPr>
        <w:t>ע</w:t>
      </w:r>
      <w:r w:rsidRPr="001E65D2">
        <w:rPr>
          <w:rFonts w:cs="Arial"/>
          <w:rtl/>
        </w:rPr>
        <w:t>"</w:t>
      </w:r>
      <w:r w:rsidRPr="001E65D2">
        <w:rPr>
          <w:rFonts w:cs="Arial" w:hint="cs"/>
          <w:rtl/>
        </w:rPr>
        <w:t>ב</w:t>
      </w:r>
      <w:r w:rsidRPr="001E65D2">
        <w:rPr>
          <w:rFonts w:cs="Arial"/>
          <w:rtl/>
        </w:rPr>
        <w:t xml:space="preserve"> </w:t>
      </w:r>
      <w:r w:rsidRPr="001E65D2">
        <w:rPr>
          <w:rFonts w:cs="Arial" w:hint="cs"/>
          <w:rtl/>
        </w:rPr>
        <w:t>מדפי</w:t>
      </w:r>
      <w:r w:rsidRPr="001E65D2">
        <w:rPr>
          <w:rFonts w:cs="Arial"/>
          <w:rtl/>
        </w:rPr>
        <w:t xml:space="preserve"> </w:t>
      </w:r>
      <w:r w:rsidRPr="001E65D2">
        <w:rPr>
          <w:rFonts w:cs="Arial" w:hint="cs"/>
          <w:rtl/>
        </w:rPr>
        <w:t>הרי</w:t>
      </w:r>
      <w:r w:rsidRPr="001E65D2">
        <w:rPr>
          <w:rFonts w:cs="Arial"/>
          <w:rtl/>
        </w:rPr>
        <w:t>"</w:t>
      </w:r>
      <w:r w:rsidRPr="001E65D2">
        <w:rPr>
          <w:rFonts w:cs="Arial" w:hint="cs"/>
          <w:rtl/>
        </w:rPr>
        <w:t>ף</w:t>
      </w:r>
      <w:r w:rsidRPr="001E65D2">
        <w:rPr>
          <w:rFonts w:cs="Arial"/>
          <w:rtl/>
        </w:rPr>
        <w:t xml:space="preserve">] </w:t>
      </w:r>
      <w:r w:rsidRPr="001E65D2">
        <w:rPr>
          <w:rFonts w:cs="Arial" w:hint="cs"/>
          <w:rtl/>
        </w:rPr>
        <w:t>דמחלק</w:t>
      </w:r>
      <w:r w:rsidRPr="001E65D2">
        <w:rPr>
          <w:rFonts w:cs="Arial"/>
          <w:rtl/>
        </w:rPr>
        <w:t xml:space="preserve"> </w:t>
      </w:r>
      <w:r w:rsidRPr="001E65D2">
        <w:rPr>
          <w:rFonts w:cs="Arial" w:hint="cs"/>
          <w:rtl/>
        </w:rPr>
        <w:t>בין</w:t>
      </w:r>
      <w:r w:rsidRPr="001E65D2">
        <w:rPr>
          <w:rFonts w:cs="Arial"/>
          <w:rtl/>
        </w:rPr>
        <w:t xml:space="preserve"> </w:t>
      </w:r>
      <w:r w:rsidRPr="001E65D2">
        <w:rPr>
          <w:rFonts w:cs="Arial" w:hint="cs"/>
          <w:rtl/>
        </w:rPr>
        <w:t>דיני</w:t>
      </w:r>
      <w:r w:rsidRPr="001E65D2">
        <w:rPr>
          <w:rFonts w:cs="Arial"/>
          <w:rtl/>
        </w:rPr>
        <w:t xml:space="preserve"> </w:t>
      </w:r>
      <w:r w:rsidRPr="001E65D2">
        <w:rPr>
          <w:rFonts w:cs="Arial" w:hint="cs"/>
          <w:rtl/>
        </w:rPr>
        <w:t>דגרמי</w:t>
      </w:r>
      <w:r w:rsidRPr="001E65D2">
        <w:rPr>
          <w:rFonts w:cs="Arial"/>
          <w:rtl/>
        </w:rPr>
        <w:t xml:space="preserve"> </w:t>
      </w:r>
      <w:r w:rsidRPr="001E65D2">
        <w:rPr>
          <w:rFonts w:cs="Arial" w:hint="cs"/>
          <w:rtl/>
        </w:rPr>
        <w:t>דמזיק</w:t>
      </w:r>
      <w:r w:rsidRPr="001E65D2">
        <w:rPr>
          <w:rFonts w:cs="Arial"/>
          <w:rtl/>
        </w:rPr>
        <w:t xml:space="preserve">, </w:t>
      </w:r>
      <w:r w:rsidRPr="001E65D2">
        <w:rPr>
          <w:rFonts w:cs="Arial" w:hint="cs"/>
          <w:rtl/>
        </w:rPr>
        <w:t>דמחויב</w:t>
      </w:r>
      <w:r w:rsidRPr="001E65D2">
        <w:rPr>
          <w:rFonts w:cs="Arial"/>
          <w:rtl/>
        </w:rPr>
        <w:t xml:space="preserve"> </w:t>
      </w:r>
      <w:r w:rsidRPr="001E65D2">
        <w:rPr>
          <w:rFonts w:cs="Arial" w:hint="cs"/>
          <w:rtl/>
        </w:rPr>
        <w:t>האדם</w:t>
      </w:r>
      <w:r w:rsidRPr="001E65D2">
        <w:rPr>
          <w:rFonts w:cs="Arial"/>
          <w:rtl/>
        </w:rPr>
        <w:t xml:space="preserve"> </w:t>
      </w:r>
      <w:r w:rsidRPr="001E65D2">
        <w:rPr>
          <w:rFonts w:cs="Arial" w:hint="cs"/>
          <w:rtl/>
        </w:rPr>
        <w:t>עליהן</w:t>
      </w:r>
      <w:r w:rsidRPr="001E65D2">
        <w:rPr>
          <w:rFonts w:cs="Arial"/>
          <w:rtl/>
        </w:rPr>
        <w:t xml:space="preserve"> </w:t>
      </w:r>
      <w:r w:rsidRPr="001E65D2">
        <w:rPr>
          <w:rFonts w:cs="Arial" w:hint="cs"/>
          <w:rtl/>
        </w:rPr>
        <w:t>אפילו</w:t>
      </w:r>
      <w:r w:rsidRPr="001E65D2">
        <w:rPr>
          <w:rFonts w:cs="Arial"/>
          <w:rtl/>
        </w:rPr>
        <w:t xml:space="preserve"> </w:t>
      </w:r>
      <w:r w:rsidRPr="001E65D2">
        <w:rPr>
          <w:rFonts w:cs="Arial" w:hint="cs"/>
          <w:rtl/>
        </w:rPr>
        <w:t>לא</w:t>
      </w:r>
      <w:r w:rsidRPr="001E65D2">
        <w:rPr>
          <w:rFonts w:cs="Arial"/>
          <w:rtl/>
        </w:rPr>
        <w:t xml:space="preserve"> </w:t>
      </w:r>
      <w:r w:rsidRPr="001E65D2">
        <w:rPr>
          <w:rFonts w:cs="Arial" w:hint="cs"/>
          <w:rtl/>
        </w:rPr>
        <w:t>נתכוין</w:t>
      </w:r>
      <w:r w:rsidRPr="001E65D2">
        <w:rPr>
          <w:rFonts w:cs="Arial"/>
          <w:rtl/>
        </w:rPr>
        <w:t xml:space="preserve"> </w:t>
      </w:r>
      <w:r w:rsidRPr="001E65D2">
        <w:rPr>
          <w:rFonts w:cs="Arial" w:hint="cs"/>
          <w:rtl/>
        </w:rPr>
        <w:t>דאדם</w:t>
      </w:r>
      <w:r w:rsidRPr="001E65D2">
        <w:rPr>
          <w:rFonts w:cs="Arial"/>
          <w:rtl/>
        </w:rPr>
        <w:t xml:space="preserve"> </w:t>
      </w:r>
      <w:r w:rsidRPr="001E65D2">
        <w:rPr>
          <w:rFonts w:cs="Arial" w:hint="cs"/>
          <w:rtl/>
        </w:rPr>
        <w:t>מועד</w:t>
      </w:r>
      <w:r w:rsidRPr="001E65D2">
        <w:rPr>
          <w:rFonts w:cs="Arial"/>
          <w:rtl/>
        </w:rPr>
        <w:t xml:space="preserve"> </w:t>
      </w:r>
      <w:r w:rsidRPr="001E65D2">
        <w:rPr>
          <w:rFonts w:cs="Arial" w:hint="cs"/>
          <w:rtl/>
        </w:rPr>
        <w:t>לעולם</w:t>
      </w:r>
      <w:r w:rsidRPr="001E65D2">
        <w:rPr>
          <w:rFonts w:cs="Arial"/>
          <w:rtl/>
        </w:rPr>
        <w:t xml:space="preserve"> </w:t>
      </w:r>
      <w:r w:rsidRPr="001E65D2">
        <w:rPr>
          <w:rFonts w:cs="Arial" w:hint="cs"/>
          <w:rtl/>
        </w:rPr>
        <w:t>וכמ</w:t>
      </w:r>
      <w:r w:rsidRPr="001E65D2">
        <w:rPr>
          <w:rFonts w:cs="Arial"/>
          <w:rtl/>
        </w:rPr>
        <w:t>"</w:t>
      </w:r>
      <w:r w:rsidRPr="001E65D2">
        <w:rPr>
          <w:rFonts w:cs="Arial" w:hint="cs"/>
          <w:rtl/>
        </w:rPr>
        <w:t>ש</w:t>
      </w:r>
      <w:r w:rsidRPr="001E65D2">
        <w:rPr>
          <w:rFonts w:cs="Arial"/>
          <w:rtl/>
        </w:rPr>
        <w:t xml:space="preserve"> </w:t>
      </w:r>
      <w:r w:rsidRPr="001E65D2">
        <w:rPr>
          <w:rFonts w:cs="Arial" w:hint="cs"/>
          <w:rtl/>
        </w:rPr>
        <w:t>לקמן</w:t>
      </w:r>
      <w:r w:rsidRPr="001E65D2">
        <w:rPr>
          <w:rFonts w:cs="Arial"/>
          <w:rtl/>
        </w:rPr>
        <w:t xml:space="preserve"> </w:t>
      </w:r>
      <w:r w:rsidRPr="001E65D2">
        <w:rPr>
          <w:rFonts w:cs="Arial" w:hint="cs"/>
          <w:rtl/>
        </w:rPr>
        <w:t>בסי</w:t>
      </w:r>
      <w:r w:rsidRPr="001E65D2">
        <w:rPr>
          <w:rFonts w:cs="Arial"/>
          <w:rtl/>
        </w:rPr>
        <w:t xml:space="preserve">' </w:t>
      </w:r>
      <w:r w:rsidRPr="001E65D2">
        <w:rPr>
          <w:rFonts w:cs="Arial" w:hint="cs"/>
          <w:rtl/>
        </w:rPr>
        <w:t>שע</w:t>
      </w:r>
      <w:r w:rsidRPr="001E65D2">
        <w:rPr>
          <w:rFonts w:cs="Arial"/>
          <w:rtl/>
        </w:rPr>
        <w:t>"</w:t>
      </w:r>
      <w:r w:rsidRPr="001E65D2">
        <w:rPr>
          <w:rFonts w:cs="Arial" w:hint="cs"/>
          <w:rtl/>
        </w:rPr>
        <w:t>ח</w:t>
      </w:r>
      <w:r w:rsidRPr="001E65D2">
        <w:rPr>
          <w:rFonts w:cs="Arial"/>
          <w:rtl/>
        </w:rPr>
        <w:t xml:space="preserve"> [</w:t>
      </w:r>
      <w:r w:rsidRPr="001E65D2">
        <w:rPr>
          <w:rFonts w:cs="Arial" w:hint="cs"/>
          <w:rtl/>
        </w:rPr>
        <w:t>ס</w:t>
      </w:r>
      <w:r w:rsidRPr="001E65D2">
        <w:rPr>
          <w:rFonts w:cs="Arial"/>
          <w:rtl/>
        </w:rPr>
        <w:t>"</w:t>
      </w:r>
      <w:r w:rsidRPr="001E65D2">
        <w:rPr>
          <w:rFonts w:cs="Arial" w:hint="cs"/>
          <w:rtl/>
        </w:rPr>
        <w:t>א</w:t>
      </w:r>
      <w:r w:rsidRPr="001E65D2">
        <w:rPr>
          <w:rFonts w:cs="Arial"/>
          <w:rtl/>
        </w:rPr>
        <w:t xml:space="preserve">], </w:t>
      </w:r>
      <w:r w:rsidRPr="001E65D2">
        <w:rPr>
          <w:rFonts w:cs="Arial" w:hint="cs"/>
          <w:rtl/>
        </w:rPr>
        <w:t>ובין</w:t>
      </w:r>
      <w:r w:rsidRPr="001E65D2">
        <w:rPr>
          <w:rFonts w:cs="Arial"/>
          <w:rtl/>
        </w:rPr>
        <w:t xml:space="preserve"> </w:t>
      </w:r>
      <w:r w:rsidRPr="001E65D2">
        <w:rPr>
          <w:rFonts w:cs="Arial" w:hint="cs"/>
          <w:rtl/>
        </w:rPr>
        <w:t>גרמא</w:t>
      </w:r>
      <w:r w:rsidRPr="001E65D2">
        <w:rPr>
          <w:rFonts w:cs="Arial"/>
          <w:rtl/>
        </w:rPr>
        <w:t xml:space="preserve"> </w:t>
      </w:r>
      <w:r w:rsidRPr="001E65D2">
        <w:rPr>
          <w:rFonts w:cs="Arial" w:hint="cs"/>
          <w:rtl/>
        </w:rPr>
        <w:t>הבא</w:t>
      </w:r>
      <w:r w:rsidRPr="001E65D2">
        <w:rPr>
          <w:rFonts w:cs="Arial"/>
          <w:rtl/>
        </w:rPr>
        <w:t xml:space="preserve"> </w:t>
      </w:r>
      <w:r w:rsidRPr="001E65D2">
        <w:rPr>
          <w:rFonts w:cs="Arial" w:hint="cs"/>
          <w:rtl/>
        </w:rPr>
        <w:t>ע</w:t>
      </w:r>
      <w:r w:rsidRPr="001E65D2">
        <w:rPr>
          <w:rFonts w:cs="Arial"/>
          <w:rtl/>
        </w:rPr>
        <w:t>"</w:t>
      </w:r>
      <w:r w:rsidRPr="001E65D2">
        <w:rPr>
          <w:rFonts w:cs="Arial" w:hint="cs"/>
          <w:rtl/>
        </w:rPr>
        <w:t>י</w:t>
      </w:r>
      <w:r w:rsidRPr="001E65D2">
        <w:rPr>
          <w:rFonts w:cs="Arial"/>
          <w:rtl/>
        </w:rPr>
        <w:t xml:space="preserve"> </w:t>
      </w:r>
      <w:r w:rsidRPr="001E65D2">
        <w:rPr>
          <w:rFonts w:cs="Arial" w:hint="cs"/>
          <w:rtl/>
        </w:rPr>
        <w:t>הוראות</w:t>
      </w:r>
      <w:r w:rsidRPr="001E65D2">
        <w:rPr>
          <w:rFonts w:cs="Arial"/>
          <w:rtl/>
        </w:rPr>
        <w:t xml:space="preserve"> </w:t>
      </w:r>
      <w:r w:rsidRPr="001E65D2">
        <w:rPr>
          <w:rFonts w:cs="Arial" w:hint="cs"/>
          <w:rtl/>
        </w:rPr>
        <w:t>הדיין</w:t>
      </w:r>
      <w:r w:rsidRPr="001E65D2">
        <w:rPr>
          <w:rFonts w:cs="Arial"/>
          <w:rtl/>
        </w:rPr>
        <w:t xml:space="preserve">, </w:t>
      </w:r>
      <w:r w:rsidRPr="001E65D2">
        <w:rPr>
          <w:rFonts w:cs="Arial" w:hint="cs"/>
          <w:rtl/>
        </w:rPr>
        <w:t>דאם</w:t>
      </w:r>
      <w:r w:rsidRPr="001E65D2">
        <w:rPr>
          <w:rFonts w:cs="Arial"/>
          <w:rtl/>
        </w:rPr>
        <w:t xml:space="preserve"> </w:t>
      </w:r>
      <w:r w:rsidRPr="001E65D2">
        <w:rPr>
          <w:rFonts w:cs="Arial" w:hint="cs"/>
          <w:rtl/>
        </w:rPr>
        <w:t>באתה</w:t>
      </w:r>
      <w:r w:rsidRPr="001E65D2">
        <w:rPr>
          <w:rFonts w:cs="Arial"/>
          <w:rtl/>
        </w:rPr>
        <w:t xml:space="preserve"> </w:t>
      </w:r>
      <w:r w:rsidRPr="001E65D2">
        <w:rPr>
          <w:rFonts w:cs="Arial" w:hint="cs"/>
          <w:rtl/>
        </w:rPr>
        <w:t>לחייב</w:t>
      </w:r>
      <w:r w:rsidRPr="001E65D2">
        <w:rPr>
          <w:rFonts w:cs="Arial"/>
          <w:rtl/>
        </w:rPr>
        <w:t xml:space="preserve"> </w:t>
      </w:r>
      <w:r w:rsidRPr="001E65D2">
        <w:rPr>
          <w:rFonts w:cs="Arial" w:hint="cs"/>
          <w:rtl/>
        </w:rPr>
        <w:t>עליו</w:t>
      </w:r>
      <w:r w:rsidRPr="001E65D2">
        <w:rPr>
          <w:rFonts w:cs="Arial"/>
          <w:rtl/>
        </w:rPr>
        <w:t xml:space="preserve"> </w:t>
      </w:r>
      <w:r w:rsidRPr="001E65D2">
        <w:rPr>
          <w:rFonts w:cs="Arial" w:hint="cs"/>
          <w:rtl/>
        </w:rPr>
        <w:t>לא</w:t>
      </w:r>
      <w:r w:rsidRPr="001E65D2">
        <w:rPr>
          <w:rFonts w:cs="Arial"/>
          <w:rtl/>
        </w:rPr>
        <w:t xml:space="preserve"> </w:t>
      </w:r>
      <w:r w:rsidRPr="001E65D2">
        <w:rPr>
          <w:rFonts w:cs="Arial" w:hint="cs"/>
          <w:rtl/>
        </w:rPr>
        <w:t>ידון</w:t>
      </w:r>
      <w:r w:rsidRPr="001E65D2">
        <w:rPr>
          <w:rFonts w:cs="Arial"/>
          <w:rtl/>
        </w:rPr>
        <w:t xml:space="preserve"> </w:t>
      </w:r>
      <w:r w:rsidRPr="001E65D2">
        <w:rPr>
          <w:rFonts w:cs="Arial" w:hint="cs"/>
          <w:rtl/>
        </w:rPr>
        <w:t>לעולם</w:t>
      </w:r>
      <w:r w:rsidRPr="001E65D2">
        <w:rPr>
          <w:rFonts w:cs="Arial"/>
          <w:rtl/>
        </w:rPr>
        <w:t xml:space="preserve">, </w:t>
      </w:r>
      <w:r w:rsidRPr="001E65D2">
        <w:rPr>
          <w:rFonts w:cs="Arial" w:hint="cs"/>
          <w:rtl/>
        </w:rPr>
        <w:t>וכיון</w:t>
      </w:r>
      <w:r w:rsidRPr="001E65D2">
        <w:rPr>
          <w:rFonts w:cs="Arial"/>
          <w:rtl/>
        </w:rPr>
        <w:t xml:space="preserve"> </w:t>
      </w:r>
      <w:r w:rsidRPr="001E65D2">
        <w:rPr>
          <w:rFonts w:cs="Arial" w:hint="cs"/>
          <w:rtl/>
        </w:rPr>
        <w:t>דברשות</w:t>
      </w:r>
      <w:r w:rsidRPr="001E65D2">
        <w:rPr>
          <w:rFonts w:cs="Arial"/>
          <w:rtl/>
        </w:rPr>
        <w:t xml:space="preserve"> </w:t>
      </w:r>
      <w:r w:rsidRPr="001E65D2">
        <w:rPr>
          <w:rFonts w:cs="Arial" w:hint="cs"/>
          <w:rtl/>
        </w:rPr>
        <w:t>ירד</w:t>
      </w:r>
      <w:r w:rsidRPr="001E65D2">
        <w:rPr>
          <w:rFonts w:cs="Arial"/>
          <w:rtl/>
        </w:rPr>
        <w:t xml:space="preserve"> </w:t>
      </w:r>
      <w:r w:rsidRPr="001E65D2">
        <w:rPr>
          <w:rFonts w:cs="Arial" w:hint="cs"/>
          <w:rtl/>
        </w:rPr>
        <w:t>לדון</w:t>
      </w:r>
      <w:r w:rsidRPr="001E65D2">
        <w:rPr>
          <w:rFonts w:cs="Arial"/>
          <w:rtl/>
        </w:rPr>
        <w:t xml:space="preserve"> </w:t>
      </w:r>
      <w:r w:rsidRPr="001E65D2">
        <w:rPr>
          <w:rFonts w:cs="Arial" w:hint="cs"/>
          <w:rtl/>
        </w:rPr>
        <w:t>לא</w:t>
      </w:r>
      <w:r w:rsidRPr="001E65D2">
        <w:rPr>
          <w:rFonts w:cs="Arial"/>
          <w:rtl/>
        </w:rPr>
        <w:t xml:space="preserve"> </w:t>
      </w:r>
      <w:r w:rsidRPr="001E65D2">
        <w:rPr>
          <w:rFonts w:cs="Arial" w:hint="cs"/>
          <w:rtl/>
        </w:rPr>
        <w:t>מיקרי</w:t>
      </w:r>
      <w:r w:rsidRPr="001E65D2">
        <w:rPr>
          <w:rFonts w:cs="Arial"/>
          <w:rtl/>
        </w:rPr>
        <w:t xml:space="preserve"> </w:t>
      </w:r>
      <w:r w:rsidRPr="001E65D2">
        <w:rPr>
          <w:rFonts w:cs="Arial" w:hint="cs"/>
          <w:rtl/>
        </w:rPr>
        <w:t>נתכוין</w:t>
      </w:r>
      <w:r w:rsidRPr="001E65D2">
        <w:rPr>
          <w:rFonts w:cs="Arial"/>
          <w:rtl/>
        </w:rPr>
        <w:t xml:space="preserve"> </w:t>
      </w:r>
      <w:r w:rsidRPr="001E65D2">
        <w:rPr>
          <w:rFonts w:cs="Arial" w:hint="cs"/>
          <w:rtl/>
        </w:rPr>
        <w:t>להזיק</w:t>
      </w:r>
      <w:r w:rsidRPr="001E65D2">
        <w:rPr>
          <w:rFonts w:cs="Arial"/>
          <w:rtl/>
        </w:rPr>
        <w:t xml:space="preserve">, </w:t>
      </w:r>
      <w:r w:rsidRPr="001E65D2">
        <w:rPr>
          <w:rFonts w:cs="Arial" w:hint="cs"/>
          <w:rtl/>
        </w:rPr>
        <w:t>משא</w:t>
      </w:r>
      <w:r w:rsidRPr="001E65D2">
        <w:rPr>
          <w:rFonts w:cs="Arial"/>
          <w:rtl/>
        </w:rPr>
        <w:t>"</w:t>
      </w:r>
      <w:r w:rsidRPr="001E65D2">
        <w:rPr>
          <w:rFonts w:cs="Arial" w:hint="cs"/>
          <w:rtl/>
        </w:rPr>
        <w:t>כ</w:t>
      </w:r>
      <w:r w:rsidRPr="001E65D2">
        <w:rPr>
          <w:rFonts w:cs="Arial"/>
          <w:rtl/>
        </w:rPr>
        <w:t xml:space="preserve"> </w:t>
      </w:r>
      <w:r w:rsidRPr="001E65D2">
        <w:rPr>
          <w:rFonts w:cs="Arial" w:hint="cs"/>
          <w:rtl/>
        </w:rPr>
        <w:t>ביחיד</w:t>
      </w:r>
      <w:r w:rsidRPr="001E65D2">
        <w:rPr>
          <w:rFonts w:cs="Arial"/>
          <w:rtl/>
        </w:rPr>
        <w:t xml:space="preserve"> </w:t>
      </w:r>
      <w:r w:rsidRPr="001E65D2">
        <w:rPr>
          <w:rFonts w:cs="Arial" w:hint="cs"/>
          <w:rtl/>
        </w:rPr>
        <w:t>או</w:t>
      </w:r>
      <w:r w:rsidRPr="001E65D2">
        <w:rPr>
          <w:rFonts w:cs="Arial"/>
          <w:rtl/>
        </w:rPr>
        <w:t xml:space="preserve"> </w:t>
      </w:r>
      <w:r w:rsidRPr="001E65D2">
        <w:rPr>
          <w:rFonts w:cs="Arial" w:hint="cs"/>
          <w:rtl/>
        </w:rPr>
        <w:t>שנים</w:t>
      </w:r>
      <w:r w:rsidRPr="001E65D2">
        <w:rPr>
          <w:rFonts w:cs="Arial"/>
          <w:rtl/>
        </w:rPr>
        <w:t xml:space="preserve"> </w:t>
      </w:r>
      <w:r w:rsidRPr="001E65D2">
        <w:rPr>
          <w:rFonts w:cs="Arial" w:hint="cs"/>
          <w:rtl/>
        </w:rPr>
        <w:t>והן</w:t>
      </w:r>
      <w:r w:rsidRPr="001E65D2">
        <w:rPr>
          <w:rFonts w:cs="Arial"/>
          <w:rtl/>
        </w:rPr>
        <w:t xml:space="preserve"> </w:t>
      </w:r>
      <w:r w:rsidRPr="001E65D2">
        <w:rPr>
          <w:rFonts w:cs="Arial" w:hint="cs"/>
          <w:rtl/>
        </w:rPr>
        <w:t>הדיוטות</w:t>
      </w:r>
      <w:r w:rsidRPr="001E65D2">
        <w:rPr>
          <w:rFonts w:cs="Arial"/>
          <w:rtl/>
        </w:rPr>
        <w:t xml:space="preserve"> </w:t>
      </w:r>
      <w:r w:rsidRPr="001E65D2">
        <w:rPr>
          <w:rFonts w:cs="Arial" w:hint="cs"/>
          <w:rtl/>
        </w:rPr>
        <w:t>שדנו</w:t>
      </w:r>
      <w:r w:rsidRPr="001E65D2">
        <w:rPr>
          <w:rFonts w:cs="Arial"/>
          <w:rtl/>
        </w:rPr>
        <w:t xml:space="preserve"> </w:t>
      </w:r>
      <w:r w:rsidRPr="001E65D2">
        <w:rPr>
          <w:rFonts w:cs="Arial" w:hint="cs"/>
          <w:rtl/>
        </w:rPr>
        <w:t>וטעו</w:t>
      </w:r>
      <w:r w:rsidRPr="001E65D2">
        <w:rPr>
          <w:rFonts w:cs="Arial"/>
          <w:rtl/>
        </w:rPr>
        <w:t xml:space="preserve"> </w:t>
      </w:r>
      <w:r w:rsidRPr="001E65D2">
        <w:rPr>
          <w:rFonts w:cs="Arial" w:hint="cs"/>
          <w:rtl/>
        </w:rPr>
        <w:t>דהן</w:t>
      </w:r>
      <w:r w:rsidRPr="001E65D2">
        <w:rPr>
          <w:rFonts w:cs="Arial"/>
          <w:rtl/>
        </w:rPr>
        <w:t xml:space="preserve"> </w:t>
      </w:r>
      <w:r w:rsidRPr="001E65D2">
        <w:rPr>
          <w:rFonts w:cs="Arial" w:hint="cs"/>
          <w:rtl/>
        </w:rPr>
        <w:t>חייבין</w:t>
      </w:r>
      <w:r w:rsidRPr="001E65D2">
        <w:rPr>
          <w:rFonts w:cs="Arial"/>
          <w:rtl/>
        </w:rPr>
        <w:t xml:space="preserve"> </w:t>
      </w:r>
      <w:r w:rsidRPr="001E65D2">
        <w:rPr>
          <w:rFonts w:cs="Arial" w:hint="cs"/>
          <w:rtl/>
        </w:rPr>
        <w:t>דנקראים</w:t>
      </w:r>
      <w:r w:rsidRPr="001E65D2">
        <w:rPr>
          <w:rFonts w:cs="Arial"/>
          <w:rtl/>
        </w:rPr>
        <w:t xml:space="preserve"> </w:t>
      </w:r>
      <w:r w:rsidRPr="001E65D2">
        <w:rPr>
          <w:rFonts w:cs="Arial" w:hint="cs"/>
          <w:rtl/>
        </w:rPr>
        <w:t>מתכוין</w:t>
      </w:r>
      <w:r w:rsidRPr="001E65D2">
        <w:rPr>
          <w:rFonts w:cs="Arial"/>
          <w:rtl/>
        </w:rPr>
        <w:t xml:space="preserve"> </w:t>
      </w:r>
      <w:r w:rsidRPr="001E65D2">
        <w:rPr>
          <w:rFonts w:cs="Arial" w:hint="cs"/>
          <w:rtl/>
        </w:rPr>
        <w:t>להזיק</w:t>
      </w:r>
      <w:r w:rsidRPr="001E65D2">
        <w:rPr>
          <w:rFonts w:cs="Arial"/>
          <w:rtl/>
        </w:rPr>
        <w:t xml:space="preserve">, </w:t>
      </w:r>
      <w:r w:rsidRPr="001E65D2">
        <w:rPr>
          <w:rFonts w:cs="Arial" w:hint="cs"/>
          <w:rtl/>
        </w:rPr>
        <w:t>וכמ</w:t>
      </w:r>
      <w:r w:rsidRPr="001E65D2">
        <w:rPr>
          <w:rFonts w:cs="Arial"/>
          <w:rtl/>
        </w:rPr>
        <w:t>"</w:t>
      </w:r>
      <w:r w:rsidRPr="001E65D2">
        <w:rPr>
          <w:rFonts w:cs="Arial" w:hint="cs"/>
          <w:rtl/>
        </w:rPr>
        <w:t>ש</w:t>
      </w:r>
      <w:r w:rsidRPr="001E65D2">
        <w:rPr>
          <w:rFonts w:cs="Arial"/>
          <w:rtl/>
        </w:rPr>
        <w:t xml:space="preserve"> </w:t>
      </w:r>
      <w:r w:rsidRPr="001E65D2">
        <w:rPr>
          <w:rFonts w:cs="Arial" w:hint="cs"/>
          <w:rtl/>
        </w:rPr>
        <w:t>הרמב</w:t>
      </w:r>
      <w:r w:rsidRPr="001E65D2">
        <w:rPr>
          <w:rFonts w:cs="Arial"/>
          <w:rtl/>
        </w:rPr>
        <w:t>"</w:t>
      </w:r>
      <w:r w:rsidRPr="001E65D2">
        <w:rPr>
          <w:rFonts w:cs="Arial" w:hint="cs"/>
          <w:rtl/>
        </w:rPr>
        <w:t>ם</w:t>
      </w:r>
      <w:r w:rsidRPr="001E65D2">
        <w:rPr>
          <w:rFonts w:cs="Arial"/>
          <w:rtl/>
        </w:rPr>
        <w:t xml:space="preserve"> [</w:t>
      </w:r>
      <w:r w:rsidRPr="001E65D2">
        <w:rPr>
          <w:rFonts w:cs="Arial" w:hint="cs"/>
          <w:rtl/>
        </w:rPr>
        <w:t>שם</w:t>
      </w:r>
      <w:r w:rsidRPr="001E65D2">
        <w:rPr>
          <w:rFonts w:cs="Arial"/>
          <w:rtl/>
        </w:rPr>
        <w:t xml:space="preserve"> </w:t>
      </w:r>
      <w:r w:rsidRPr="001E65D2">
        <w:rPr>
          <w:rFonts w:cs="Arial" w:hint="cs"/>
          <w:rtl/>
        </w:rPr>
        <w:t>ה</w:t>
      </w:r>
      <w:r w:rsidRPr="001E65D2">
        <w:rPr>
          <w:rFonts w:cs="Arial"/>
          <w:rtl/>
        </w:rPr>
        <w:t>"</w:t>
      </w:r>
      <w:r w:rsidRPr="001E65D2">
        <w:rPr>
          <w:rFonts w:cs="Arial" w:hint="cs"/>
          <w:rtl/>
        </w:rPr>
        <w:t>ד</w:t>
      </w:r>
      <w:r w:rsidRPr="001E65D2">
        <w:rPr>
          <w:rFonts w:cs="Arial"/>
          <w:rtl/>
        </w:rPr>
        <w:t xml:space="preserve">] </w:t>
      </w:r>
      <w:r w:rsidRPr="001E65D2">
        <w:rPr>
          <w:rFonts w:cs="Arial" w:hint="cs"/>
          <w:rtl/>
        </w:rPr>
        <w:t>והמחבר</w:t>
      </w:r>
      <w:r w:rsidRPr="001E65D2">
        <w:rPr>
          <w:rFonts w:cs="Arial"/>
          <w:rtl/>
        </w:rPr>
        <w:t xml:space="preserve"> </w:t>
      </w:r>
      <w:r w:rsidRPr="001E65D2">
        <w:rPr>
          <w:rFonts w:cs="Arial" w:hint="cs"/>
          <w:rtl/>
        </w:rPr>
        <w:t>בסמוך</w:t>
      </w:r>
      <w:r w:rsidRPr="001E65D2">
        <w:rPr>
          <w:rFonts w:cs="Arial"/>
          <w:rtl/>
        </w:rPr>
        <w:t xml:space="preserve"> </w:t>
      </w:r>
      <w:r w:rsidRPr="001E65D2">
        <w:rPr>
          <w:rFonts w:cs="Arial" w:hint="cs"/>
          <w:rtl/>
        </w:rPr>
        <w:t>סוף</w:t>
      </w:r>
      <w:r w:rsidRPr="001E65D2">
        <w:rPr>
          <w:rFonts w:cs="Arial"/>
          <w:rtl/>
        </w:rPr>
        <w:t xml:space="preserve"> </w:t>
      </w:r>
      <w:r w:rsidRPr="001E65D2">
        <w:rPr>
          <w:rFonts w:cs="Arial" w:hint="cs"/>
          <w:rtl/>
        </w:rPr>
        <w:t>ס</w:t>
      </w:r>
      <w:r w:rsidRPr="001E65D2">
        <w:rPr>
          <w:rFonts w:cs="Arial"/>
          <w:rtl/>
        </w:rPr>
        <w:t>"</w:t>
      </w:r>
      <w:r w:rsidRPr="001E65D2">
        <w:rPr>
          <w:rFonts w:cs="Arial" w:hint="cs"/>
          <w:rtl/>
        </w:rPr>
        <w:t>ד</w:t>
      </w:r>
      <w:r w:rsidRPr="001E65D2">
        <w:rPr>
          <w:rFonts w:cs="Arial"/>
          <w:rtl/>
        </w:rPr>
        <w:t xml:space="preserve"> </w:t>
      </w:r>
      <w:r w:rsidRPr="001E65D2">
        <w:rPr>
          <w:rFonts w:cs="Arial" w:hint="cs"/>
          <w:rtl/>
        </w:rPr>
        <w:t>ע</w:t>
      </w:r>
      <w:r w:rsidRPr="001E65D2">
        <w:rPr>
          <w:rFonts w:cs="Arial"/>
          <w:rtl/>
        </w:rPr>
        <w:t>"</w:t>
      </w:r>
      <w:r w:rsidRPr="001E65D2">
        <w:rPr>
          <w:rFonts w:cs="Arial" w:hint="cs"/>
          <w:rtl/>
        </w:rPr>
        <w:t>ש</w:t>
      </w:r>
      <w:r>
        <w:rPr>
          <w:rFonts w:hint="cs"/>
          <w:rtl/>
        </w:rPr>
        <w:t>, סמ"ע (סק"ו).</w:t>
      </w:r>
    </w:p>
  </w:footnote>
  <w:footnote w:id="1220">
    <w:p w14:paraId="4E9A9348" w14:textId="77777777" w:rsidR="0013116F" w:rsidRDefault="0013116F">
      <w:pPr>
        <w:pStyle w:val="a9"/>
      </w:pPr>
      <w:r>
        <w:rPr>
          <w:rStyle w:val="ab"/>
        </w:rPr>
        <w:footnoteRef/>
      </w:r>
      <w:r>
        <w:rPr>
          <w:rtl/>
        </w:rPr>
        <w:t xml:space="preserve"> </w:t>
      </w:r>
      <w:r w:rsidRPr="000134EB">
        <w:rPr>
          <w:rFonts w:cs="Arial" w:hint="cs"/>
          <w:rtl/>
        </w:rPr>
        <w:t>פירוש</w:t>
      </w:r>
      <w:r w:rsidRPr="000134EB">
        <w:rPr>
          <w:rFonts w:cs="Arial"/>
          <w:rtl/>
        </w:rPr>
        <w:t xml:space="preserve"> </w:t>
      </w:r>
      <w:r w:rsidRPr="000134EB">
        <w:rPr>
          <w:rFonts w:cs="Arial" w:hint="cs"/>
          <w:rtl/>
        </w:rPr>
        <w:t>אהאי</w:t>
      </w:r>
      <w:r w:rsidRPr="000134EB">
        <w:rPr>
          <w:rFonts w:cs="Arial"/>
          <w:rtl/>
        </w:rPr>
        <w:t xml:space="preserve"> </w:t>
      </w:r>
      <w:r w:rsidRPr="000134EB">
        <w:rPr>
          <w:rFonts w:cs="Arial" w:hint="cs"/>
          <w:rtl/>
        </w:rPr>
        <w:t>דינא</w:t>
      </w:r>
      <w:r w:rsidRPr="000134EB">
        <w:rPr>
          <w:rFonts w:cs="Arial"/>
          <w:rtl/>
        </w:rPr>
        <w:t xml:space="preserve"> </w:t>
      </w:r>
      <w:r w:rsidRPr="000134EB">
        <w:rPr>
          <w:rFonts w:cs="Arial" w:hint="cs"/>
          <w:rtl/>
        </w:rPr>
        <w:t>דכשאי</w:t>
      </w:r>
      <w:r w:rsidRPr="000134EB">
        <w:rPr>
          <w:rFonts w:cs="Arial"/>
          <w:rtl/>
        </w:rPr>
        <w:t xml:space="preserve"> </w:t>
      </w:r>
      <w:r w:rsidRPr="000134EB">
        <w:rPr>
          <w:rFonts w:cs="Arial" w:hint="cs"/>
          <w:rtl/>
        </w:rPr>
        <w:t>אפשר</w:t>
      </w:r>
      <w:r w:rsidRPr="000134EB">
        <w:rPr>
          <w:rFonts w:cs="Arial"/>
          <w:rtl/>
        </w:rPr>
        <w:t xml:space="preserve"> </w:t>
      </w:r>
      <w:r w:rsidRPr="000134EB">
        <w:rPr>
          <w:rFonts w:cs="Arial" w:hint="cs"/>
          <w:rtl/>
        </w:rPr>
        <w:t>להחזיר</w:t>
      </w:r>
      <w:r w:rsidRPr="000134EB">
        <w:rPr>
          <w:rFonts w:cs="Arial"/>
          <w:rtl/>
        </w:rPr>
        <w:t xml:space="preserve">, </w:t>
      </w:r>
      <w:r w:rsidRPr="000134EB">
        <w:rPr>
          <w:rFonts w:cs="Arial" w:hint="cs"/>
          <w:rtl/>
        </w:rPr>
        <w:t>וס</w:t>
      </w:r>
      <w:r w:rsidRPr="000134EB">
        <w:rPr>
          <w:rFonts w:cs="Arial"/>
          <w:rtl/>
        </w:rPr>
        <w:t>"</w:t>
      </w:r>
      <w:r w:rsidRPr="000134EB">
        <w:rPr>
          <w:rFonts w:cs="Arial" w:hint="cs"/>
          <w:rtl/>
        </w:rPr>
        <w:t>ל</w:t>
      </w:r>
      <w:r w:rsidRPr="000134EB">
        <w:rPr>
          <w:rFonts w:cs="Arial"/>
          <w:rtl/>
        </w:rPr>
        <w:t xml:space="preserve"> </w:t>
      </w:r>
      <w:r w:rsidRPr="000134EB">
        <w:rPr>
          <w:rFonts w:cs="Arial" w:hint="cs"/>
          <w:rtl/>
        </w:rPr>
        <w:t>דאפילו</w:t>
      </w:r>
      <w:r w:rsidRPr="000134EB">
        <w:rPr>
          <w:rFonts w:cs="Arial"/>
          <w:rtl/>
        </w:rPr>
        <w:t xml:space="preserve"> </w:t>
      </w:r>
      <w:r w:rsidRPr="000134EB">
        <w:rPr>
          <w:rFonts w:cs="Arial" w:hint="cs"/>
          <w:rtl/>
        </w:rPr>
        <w:t>ג</w:t>
      </w:r>
      <w:r w:rsidRPr="000134EB">
        <w:rPr>
          <w:rFonts w:cs="Arial"/>
          <w:rtl/>
        </w:rPr>
        <w:t xml:space="preserve">' </w:t>
      </w:r>
      <w:r w:rsidRPr="000134EB">
        <w:rPr>
          <w:rFonts w:cs="Arial" w:hint="cs"/>
          <w:rtl/>
        </w:rPr>
        <w:t>מומחין</w:t>
      </w:r>
      <w:r w:rsidRPr="000134EB">
        <w:rPr>
          <w:rFonts w:cs="Arial"/>
          <w:rtl/>
        </w:rPr>
        <w:t xml:space="preserve"> </w:t>
      </w:r>
      <w:r w:rsidRPr="000134EB">
        <w:rPr>
          <w:rFonts w:cs="Arial" w:hint="cs"/>
          <w:rtl/>
        </w:rPr>
        <w:t>וקיבלוהו</w:t>
      </w:r>
      <w:r w:rsidRPr="000134EB">
        <w:rPr>
          <w:rFonts w:cs="Arial"/>
          <w:rtl/>
        </w:rPr>
        <w:t xml:space="preserve"> </w:t>
      </w:r>
      <w:r w:rsidRPr="000134EB">
        <w:rPr>
          <w:rFonts w:cs="Arial" w:hint="cs"/>
          <w:rtl/>
        </w:rPr>
        <w:t>עלייהו</w:t>
      </w:r>
      <w:r w:rsidRPr="000134EB">
        <w:rPr>
          <w:rFonts w:cs="Arial"/>
          <w:rtl/>
        </w:rPr>
        <w:t xml:space="preserve"> </w:t>
      </w:r>
      <w:r w:rsidRPr="000134EB">
        <w:rPr>
          <w:rFonts w:cs="Arial" w:hint="cs"/>
          <w:rtl/>
        </w:rPr>
        <w:t>אפ</w:t>
      </w:r>
      <w:r w:rsidRPr="000134EB">
        <w:rPr>
          <w:rFonts w:cs="Arial"/>
          <w:rtl/>
        </w:rPr>
        <w:t>"</w:t>
      </w:r>
      <w:r w:rsidRPr="000134EB">
        <w:rPr>
          <w:rFonts w:cs="Arial" w:hint="cs"/>
          <w:rtl/>
        </w:rPr>
        <w:t>ה</w:t>
      </w:r>
      <w:r w:rsidRPr="000134EB">
        <w:rPr>
          <w:rFonts w:cs="Arial"/>
          <w:rtl/>
        </w:rPr>
        <w:t xml:space="preserve"> </w:t>
      </w:r>
      <w:r w:rsidRPr="000134EB">
        <w:rPr>
          <w:rFonts w:cs="Arial" w:hint="cs"/>
          <w:rtl/>
        </w:rPr>
        <w:t>חייבים</w:t>
      </w:r>
      <w:r w:rsidRPr="000134EB">
        <w:rPr>
          <w:rFonts w:cs="Arial"/>
          <w:rtl/>
        </w:rPr>
        <w:t xml:space="preserve"> </w:t>
      </w:r>
      <w:r w:rsidRPr="000134EB">
        <w:rPr>
          <w:rFonts w:cs="Arial" w:hint="cs"/>
          <w:rtl/>
        </w:rPr>
        <w:t>לשלם</w:t>
      </w:r>
      <w:r w:rsidRPr="000134EB">
        <w:rPr>
          <w:rFonts w:cs="Arial"/>
          <w:rtl/>
        </w:rPr>
        <w:t xml:space="preserve">, </w:t>
      </w:r>
      <w:r w:rsidRPr="000134EB">
        <w:rPr>
          <w:rFonts w:cs="Arial" w:hint="cs"/>
          <w:rtl/>
        </w:rPr>
        <w:t>דס</w:t>
      </w:r>
      <w:r w:rsidRPr="000134EB">
        <w:rPr>
          <w:rFonts w:cs="Arial"/>
          <w:rtl/>
        </w:rPr>
        <w:t>"</w:t>
      </w:r>
      <w:r w:rsidRPr="000134EB">
        <w:rPr>
          <w:rFonts w:cs="Arial" w:hint="cs"/>
          <w:rtl/>
        </w:rPr>
        <w:t>ל</w:t>
      </w:r>
      <w:r w:rsidRPr="000134EB">
        <w:rPr>
          <w:rFonts w:cs="Arial"/>
          <w:rtl/>
        </w:rPr>
        <w:t xml:space="preserve"> </w:t>
      </w:r>
      <w:r w:rsidRPr="000134EB">
        <w:rPr>
          <w:rFonts w:cs="Arial" w:hint="cs"/>
          <w:rtl/>
        </w:rPr>
        <w:t>דקי</w:t>
      </w:r>
      <w:r w:rsidRPr="000134EB">
        <w:rPr>
          <w:rFonts w:cs="Arial"/>
          <w:rtl/>
        </w:rPr>
        <w:t>"</w:t>
      </w:r>
      <w:r w:rsidRPr="000134EB">
        <w:rPr>
          <w:rFonts w:cs="Arial" w:hint="cs"/>
          <w:rtl/>
        </w:rPr>
        <w:t>ל</w:t>
      </w:r>
      <w:r w:rsidRPr="000134EB">
        <w:rPr>
          <w:rFonts w:cs="Arial"/>
          <w:rtl/>
        </w:rPr>
        <w:t xml:space="preserve"> </w:t>
      </w:r>
      <w:r w:rsidRPr="000134EB">
        <w:rPr>
          <w:rFonts w:cs="Arial" w:hint="cs"/>
          <w:rtl/>
        </w:rPr>
        <w:t>כר</w:t>
      </w:r>
      <w:r w:rsidRPr="000134EB">
        <w:rPr>
          <w:rFonts w:cs="Arial"/>
          <w:rtl/>
        </w:rPr>
        <w:t>"</w:t>
      </w:r>
      <w:r w:rsidRPr="000134EB">
        <w:rPr>
          <w:rFonts w:cs="Arial" w:hint="cs"/>
          <w:rtl/>
        </w:rPr>
        <w:t>מ</w:t>
      </w:r>
      <w:r w:rsidRPr="000134EB">
        <w:rPr>
          <w:rFonts w:cs="Arial"/>
          <w:rtl/>
        </w:rPr>
        <w:t xml:space="preserve"> </w:t>
      </w:r>
      <w:r w:rsidRPr="000134EB">
        <w:rPr>
          <w:rFonts w:cs="Arial" w:hint="cs"/>
          <w:rtl/>
        </w:rPr>
        <w:t>דדאין</w:t>
      </w:r>
      <w:r w:rsidRPr="000134EB">
        <w:rPr>
          <w:rFonts w:cs="Arial"/>
          <w:rtl/>
        </w:rPr>
        <w:t xml:space="preserve"> </w:t>
      </w:r>
      <w:r w:rsidRPr="000134EB">
        <w:rPr>
          <w:rFonts w:cs="Arial" w:hint="cs"/>
          <w:rtl/>
        </w:rPr>
        <w:t>דינא</w:t>
      </w:r>
      <w:r w:rsidRPr="000134EB">
        <w:rPr>
          <w:rFonts w:cs="Arial"/>
          <w:rtl/>
        </w:rPr>
        <w:t xml:space="preserve"> </w:t>
      </w:r>
      <w:r w:rsidRPr="000134EB">
        <w:rPr>
          <w:rFonts w:cs="Arial" w:hint="cs"/>
          <w:rtl/>
        </w:rPr>
        <w:t>דגרמי</w:t>
      </w:r>
      <w:r w:rsidRPr="000134EB">
        <w:rPr>
          <w:rFonts w:cs="Arial"/>
          <w:rtl/>
        </w:rPr>
        <w:t xml:space="preserve"> </w:t>
      </w:r>
      <w:r w:rsidRPr="000134EB">
        <w:rPr>
          <w:rFonts w:cs="Arial" w:hint="cs"/>
          <w:rtl/>
        </w:rPr>
        <w:t>אפילו</w:t>
      </w:r>
      <w:r w:rsidRPr="000134EB">
        <w:rPr>
          <w:rFonts w:cs="Arial"/>
          <w:rtl/>
        </w:rPr>
        <w:t xml:space="preserve"> </w:t>
      </w:r>
      <w:r w:rsidRPr="000134EB">
        <w:rPr>
          <w:rFonts w:cs="Arial" w:hint="cs"/>
          <w:rtl/>
        </w:rPr>
        <w:t>בכה</w:t>
      </w:r>
      <w:r w:rsidRPr="000134EB">
        <w:rPr>
          <w:rFonts w:cs="Arial"/>
          <w:rtl/>
        </w:rPr>
        <w:t>"</w:t>
      </w:r>
      <w:r w:rsidRPr="000134EB">
        <w:rPr>
          <w:rFonts w:cs="Arial" w:hint="cs"/>
          <w:rtl/>
        </w:rPr>
        <w:t>ג</w:t>
      </w:r>
      <w:r w:rsidRPr="000134EB">
        <w:rPr>
          <w:rFonts w:cs="Arial"/>
          <w:rtl/>
        </w:rPr>
        <w:t xml:space="preserve">. </w:t>
      </w:r>
      <w:r w:rsidRPr="000134EB">
        <w:rPr>
          <w:rFonts w:cs="Arial" w:hint="cs"/>
          <w:rtl/>
        </w:rPr>
        <w:t>אבל</w:t>
      </w:r>
      <w:r w:rsidRPr="000134EB">
        <w:rPr>
          <w:rFonts w:cs="Arial"/>
          <w:rtl/>
        </w:rPr>
        <w:t xml:space="preserve"> </w:t>
      </w:r>
      <w:r w:rsidRPr="000134EB">
        <w:rPr>
          <w:rFonts w:cs="Arial" w:hint="cs"/>
          <w:rtl/>
        </w:rPr>
        <w:t>ארישא</w:t>
      </w:r>
      <w:r w:rsidRPr="000134EB">
        <w:rPr>
          <w:rFonts w:cs="Arial"/>
          <w:rtl/>
        </w:rPr>
        <w:t xml:space="preserve"> </w:t>
      </w:r>
      <w:r w:rsidRPr="000134EB">
        <w:rPr>
          <w:rFonts w:cs="Arial" w:hint="cs"/>
          <w:rtl/>
        </w:rPr>
        <w:t>באפשר</w:t>
      </w:r>
      <w:r w:rsidRPr="000134EB">
        <w:rPr>
          <w:rFonts w:cs="Arial"/>
          <w:rtl/>
        </w:rPr>
        <w:t xml:space="preserve"> </w:t>
      </w:r>
      <w:r w:rsidRPr="000134EB">
        <w:rPr>
          <w:rFonts w:cs="Arial" w:hint="cs"/>
          <w:rtl/>
        </w:rPr>
        <w:t>להחזיר</w:t>
      </w:r>
      <w:r w:rsidRPr="000134EB">
        <w:rPr>
          <w:rFonts w:cs="Arial"/>
          <w:rtl/>
        </w:rPr>
        <w:t xml:space="preserve"> </w:t>
      </w:r>
      <w:r w:rsidRPr="000134EB">
        <w:rPr>
          <w:rFonts w:cs="Arial" w:hint="cs"/>
          <w:rtl/>
        </w:rPr>
        <w:t>כו</w:t>
      </w:r>
      <w:r w:rsidRPr="000134EB">
        <w:rPr>
          <w:rFonts w:cs="Arial"/>
          <w:rtl/>
        </w:rPr>
        <w:t>"</w:t>
      </w:r>
      <w:r w:rsidRPr="000134EB">
        <w:rPr>
          <w:rFonts w:cs="Arial" w:hint="cs"/>
          <w:rtl/>
        </w:rPr>
        <w:t>ע</w:t>
      </w:r>
      <w:r w:rsidRPr="000134EB">
        <w:rPr>
          <w:rFonts w:cs="Arial"/>
          <w:rtl/>
        </w:rPr>
        <w:t xml:space="preserve"> </w:t>
      </w:r>
      <w:r w:rsidRPr="000134EB">
        <w:rPr>
          <w:rFonts w:cs="Arial" w:hint="cs"/>
          <w:rtl/>
        </w:rPr>
        <w:t>מודים</w:t>
      </w:r>
      <w:r w:rsidRPr="000134EB">
        <w:rPr>
          <w:rFonts w:cs="Arial"/>
          <w:rtl/>
        </w:rPr>
        <w:t xml:space="preserve"> </w:t>
      </w:r>
      <w:r w:rsidRPr="000134EB">
        <w:rPr>
          <w:rFonts w:cs="Arial" w:hint="cs"/>
          <w:rtl/>
        </w:rPr>
        <w:t>דמחזירים</w:t>
      </w:r>
      <w:r w:rsidRPr="000134EB">
        <w:rPr>
          <w:rFonts w:cs="Arial"/>
          <w:rtl/>
        </w:rPr>
        <w:t xml:space="preserve"> </w:t>
      </w:r>
      <w:r w:rsidRPr="000134EB">
        <w:rPr>
          <w:rFonts w:cs="Arial" w:hint="cs"/>
          <w:rtl/>
        </w:rPr>
        <w:t>בכל</w:t>
      </w:r>
      <w:r w:rsidRPr="000134EB">
        <w:rPr>
          <w:rFonts w:cs="Arial"/>
          <w:rtl/>
        </w:rPr>
        <w:t xml:space="preserve"> </w:t>
      </w:r>
      <w:r w:rsidRPr="000134EB">
        <w:rPr>
          <w:rFonts w:cs="Arial" w:hint="cs"/>
          <w:rtl/>
        </w:rPr>
        <w:t>ענין</w:t>
      </w:r>
      <w:r w:rsidRPr="000134EB">
        <w:rPr>
          <w:rFonts w:cs="Arial"/>
          <w:rtl/>
        </w:rPr>
        <w:t xml:space="preserve"> </w:t>
      </w:r>
      <w:r w:rsidRPr="000134EB">
        <w:rPr>
          <w:rFonts w:cs="Arial" w:hint="cs"/>
          <w:rtl/>
        </w:rPr>
        <w:t>בטעות</w:t>
      </w:r>
      <w:r w:rsidRPr="000134EB">
        <w:rPr>
          <w:rFonts w:cs="Arial"/>
          <w:rtl/>
        </w:rPr>
        <w:t xml:space="preserve"> </w:t>
      </w:r>
      <w:r w:rsidRPr="000134EB">
        <w:rPr>
          <w:rFonts w:cs="Arial" w:hint="cs"/>
          <w:rtl/>
        </w:rPr>
        <w:t>כזה</w:t>
      </w:r>
      <w:r w:rsidRPr="000134EB">
        <w:rPr>
          <w:rFonts w:cs="Arial"/>
          <w:rtl/>
        </w:rPr>
        <w:t xml:space="preserve"> </w:t>
      </w:r>
      <w:r w:rsidRPr="000134EB">
        <w:rPr>
          <w:rFonts w:cs="Arial" w:hint="cs"/>
          <w:rtl/>
        </w:rPr>
        <w:t>שהוא</w:t>
      </w:r>
      <w:r w:rsidRPr="000134EB">
        <w:rPr>
          <w:rFonts w:cs="Arial"/>
          <w:rtl/>
        </w:rPr>
        <w:t xml:space="preserve"> </w:t>
      </w:r>
      <w:r w:rsidRPr="000134EB">
        <w:rPr>
          <w:rFonts w:cs="Arial" w:hint="cs"/>
          <w:rtl/>
        </w:rPr>
        <w:t>בדבר</w:t>
      </w:r>
      <w:r w:rsidRPr="000134EB">
        <w:rPr>
          <w:rFonts w:cs="Arial"/>
          <w:rtl/>
        </w:rPr>
        <w:t xml:space="preserve"> </w:t>
      </w:r>
      <w:r w:rsidRPr="000134EB">
        <w:rPr>
          <w:rFonts w:cs="Arial" w:hint="cs"/>
          <w:rtl/>
        </w:rPr>
        <w:t>פשוט</w:t>
      </w:r>
      <w:r w:rsidRPr="000134EB">
        <w:rPr>
          <w:rFonts w:cs="Arial"/>
          <w:rtl/>
        </w:rPr>
        <w:t xml:space="preserve"> </w:t>
      </w:r>
      <w:r w:rsidRPr="000134EB">
        <w:rPr>
          <w:rFonts w:cs="Arial" w:hint="cs"/>
          <w:rtl/>
        </w:rPr>
        <w:t>הנקרא</w:t>
      </w:r>
      <w:r w:rsidRPr="000134EB">
        <w:rPr>
          <w:rFonts w:cs="Arial"/>
          <w:rtl/>
        </w:rPr>
        <w:t xml:space="preserve"> </w:t>
      </w:r>
      <w:r w:rsidRPr="000134EB">
        <w:rPr>
          <w:rFonts w:cs="Arial" w:hint="cs"/>
          <w:rtl/>
        </w:rPr>
        <w:t>טועה</w:t>
      </w:r>
      <w:r w:rsidRPr="000134EB">
        <w:rPr>
          <w:rFonts w:cs="Arial"/>
          <w:rtl/>
        </w:rPr>
        <w:t xml:space="preserve"> </w:t>
      </w:r>
      <w:r w:rsidRPr="000134EB">
        <w:rPr>
          <w:rFonts w:cs="Arial" w:hint="cs"/>
          <w:rtl/>
        </w:rPr>
        <w:t>בדבר</w:t>
      </w:r>
      <w:r w:rsidRPr="000134EB">
        <w:rPr>
          <w:rFonts w:cs="Arial"/>
          <w:rtl/>
        </w:rPr>
        <w:t xml:space="preserve"> </w:t>
      </w:r>
      <w:r w:rsidRPr="000134EB">
        <w:rPr>
          <w:rFonts w:cs="Arial" w:hint="cs"/>
          <w:rtl/>
        </w:rPr>
        <w:t>משנה</w:t>
      </w:r>
      <w:r w:rsidRPr="000134EB">
        <w:rPr>
          <w:rFonts w:cs="Arial"/>
          <w:rtl/>
        </w:rPr>
        <w:t>,</w:t>
      </w:r>
      <w:r>
        <w:rPr>
          <w:rFonts w:cs="Arial" w:hint="cs"/>
          <w:rtl/>
        </w:rPr>
        <w:t xml:space="preserve"> סמ"ע (סק"ח).</w:t>
      </w:r>
    </w:p>
  </w:footnote>
  <w:footnote w:id="1221">
    <w:p w14:paraId="1B11041B" w14:textId="77777777" w:rsidR="0013116F" w:rsidRPr="00F55F73" w:rsidRDefault="0013116F" w:rsidP="00F55F73">
      <w:pPr>
        <w:pStyle w:val="a9"/>
        <w:rPr>
          <w:rFonts w:cs="Arial"/>
          <w:rtl/>
        </w:rPr>
      </w:pPr>
      <w:r>
        <w:rPr>
          <w:rStyle w:val="ab"/>
        </w:rPr>
        <w:footnoteRef/>
      </w:r>
      <w:r>
        <w:rPr>
          <w:rtl/>
        </w:rPr>
        <w:t xml:space="preserve"> </w:t>
      </w:r>
      <w:r w:rsidRPr="000134EB">
        <w:rPr>
          <w:rFonts w:cs="Arial" w:hint="cs"/>
          <w:rtl/>
        </w:rPr>
        <w:t>ע</w:t>
      </w:r>
      <w:r w:rsidRPr="000134EB">
        <w:rPr>
          <w:rFonts w:cs="Arial"/>
          <w:rtl/>
        </w:rPr>
        <w:t>"</w:t>
      </w:r>
      <w:r w:rsidRPr="000134EB">
        <w:rPr>
          <w:rFonts w:cs="Arial" w:hint="cs"/>
          <w:rtl/>
        </w:rPr>
        <w:t>ש</w:t>
      </w:r>
      <w:r>
        <w:rPr>
          <w:rFonts w:cs="Arial" w:hint="cs"/>
          <w:rtl/>
        </w:rPr>
        <w:t xml:space="preserve"> </w:t>
      </w:r>
      <w:r w:rsidRPr="000134EB">
        <w:rPr>
          <w:rFonts w:cs="Arial" w:hint="cs"/>
          <w:rtl/>
        </w:rPr>
        <w:t>בנ</w:t>
      </w:r>
      <w:r>
        <w:rPr>
          <w:rFonts w:cs="Arial" w:hint="cs"/>
          <w:rtl/>
        </w:rPr>
        <w:t>מוק</w:t>
      </w:r>
      <w:r w:rsidRPr="000134EB">
        <w:rPr>
          <w:rFonts w:cs="Arial"/>
          <w:rtl/>
        </w:rPr>
        <w:t>"</w:t>
      </w:r>
      <w:r w:rsidRPr="000134EB">
        <w:rPr>
          <w:rFonts w:cs="Arial" w:hint="cs"/>
          <w:rtl/>
        </w:rPr>
        <w:t>י</w:t>
      </w:r>
      <w:r w:rsidRPr="000134EB">
        <w:rPr>
          <w:rFonts w:cs="Arial"/>
          <w:rtl/>
        </w:rPr>
        <w:t xml:space="preserve"> </w:t>
      </w:r>
      <w:r>
        <w:rPr>
          <w:rFonts w:cs="Arial" w:hint="cs"/>
          <w:rtl/>
        </w:rPr>
        <w:t>ד</w:t>
      </w:r>
      <w:r w:rsidRPr="000134EB">
        <w:rPr>
          <w:rFonts w:cs="Arial" w:hint="cs"/>
          <w:rtl/>
        </w:rPr>
        <w:t>לא</w:t>
      </w:r>
      <w:r w:rsidRPr="000134EB">
        <w:rPr>
          <w:rFonts w:cs="Arial"/>
          <w:rtl/>
        </w:rPr>
        <w:t xml:space="preserve"> </w:t>
      </w:r>
      <w:r w:rsidRPr="000134EB">
        <w:rPr>
          <w:rFonts w:cs="Arial" w:hint="cs"/>
          <w:rtl/>
        </w:rPr>
        <w:t>כ</w:t>
      </w:r>
      <w:r w:rsidRPr="000134EB">
        <w:rPr>
          <w:rFonts w:cs="Arial"/>
          <w:rtl/>
        </w:rPr>
        <w:t>"</w:t>
      </w:r>
      <w:r w:rsidRPr="000134EB">
        <w:rPr>
          <w:rFonts w:cs="Arial" w:hint="cs"/>
          <w:rtl/>
        </w:rPr>
        <w:t>כ</w:t>
      </w:r>
      <w:r w:rsidRPr="000134EB">
        <w:rPr>
          <w:rFonts w:cs="Arial"/>
          <w:rtl/>
        </w:rPr>
        <w:t xml:space="preserve"> </w:t>
      </w:r>
      <w:r w:rsidRPr="000134EB">
        <w:rPr>
          <w:rFonts w:cs="Arial" w:hint="cs"/>
          <w:rtl/>
        </w:rPr>
        <w:t>אטועה</w:t>
      </w:r>
      <w:r w:rsidRPr="000134EB">
        <w:rPr>
          <w:rFonts w:cs="Arial"/>
          <w:rtl/>
        </w:rPr>
        <w:t xml:space="preserve"> </w:t>
      </w:r>
      <w:r w:rsidRPr="000134EB">
        <w:rPr>
          <w:rFonts w:cs="Arial" w:hint="cs"/>
          <w:rtl/>
        </w:rPr>
        <w:t>בדבר</w:t>
      </w:r>
      <w:r w:rsidRPr="000134EB">
        <w:rPr>
          <w:rFonts w:cs="Arial"/>
          <w:rtl/>
        </w:rPr>
        <w:t xml:space="preserve"> </w:t>
      </w:r>
      <w:r w:rsidRPr="000134EB">
        <w:rPr>
          <w:rFonts w:cs="Arial" w:hint="cs"/>
          <w:rtl/>
        </w:rPr>
        <w:t>משנה</w:t>
      </w:r>
      <w:r w:rsidRPr="000134EB">
        <w:rPr>
          <w:rFonts w:cs="Arial"/>
          <w:rtl/>
        </w:rPr>
        <w:t xml:space="preserve"> </w:t>
      </w:r>
      <w:r w:rsidRPr="000134EB">
        <w:rPr>
          <w:rFonts w:cs="Arial" w:hint="cs"/>
          <w:rtl/>
        </w:rPr>
        <w:t>כ</w:t>
      </w:r>
      <w:r w:rsidRPr="000134EB">
        <w:rPr>
          <w:rFonts w:cs="Arial"/>
          <w:rtl/>
        </w:rPr>
        <w:t>"</w:t>
      </w:r>
      <w:r w:rsidRPr="000134EB">
        <w:rPr>
          <w:rFonts w:cs="Arial" w:hint="cs"/>
          <w:rtl/>
        </w:rPr>
        <w:t>א</w:t>
      </w:r>
      <w:r w:rsidRPr="000134EB">
        <w:rPr>
          <w:rFonts w:cs="Arial"/>
          <w:rtl/>
        </w:rPr>
        <w:t xml:space="preserve"> </w:t>
      </w:r>
      <w:r w:rsidRPr="000134EB">
        <w:rPr>
          <w:rFonts w:cs="Arial" w:hint="cs"/>
          <w:rtl/>
        </w:rPr>
        <w:t>אטועה</w:t>
      </w:r>
      <w:r w:rsidRPr="000134EB">
        <w:rPr>
          <w:rFonts w:cs="Arial"/>
          <w:rtl/>
        </w:rPr>
        <w:t xml:space="preserve"> </w:t>
      </w:r>
      <w:r w:rsidRPr="000134EB">
        <w:rPr>
          <w:rFonts w:cs="Arial" w:hint="cs"/>
          <w:rtl/>
        </w:rPr>
        <w:t>בשיקול</w:t>
      </w:r>
      <w:r w:rsidRPr="000134EB">
        <w:rPr>
          <w:rFonts w:cs="Arial"/>
          <w:rtl/>
        </w:rPr>
        <w:t xml:space="preserve"> </w:t>
      </w:r>
      <w:r w:rsidRPr="000134EB">
        <w:rPr>
          <w:rFonts w:cs="Arial" w:hint="cs"/>
          <w:rtl/>
        </w:rPr>
        <w:t>הדעת</w:t>
      </w:r>
      <w:r w:rsidRPr="000134EB">
        <w:rPr>
          <w:rFonts w:cs="Arial"/>
          <w:rtl/>
        </w:rPr>
        <w:t xml:space="preserve">, </w:t>
      </w:r>
      <w:r w:rsidRPr="000134EB">
        <w:rPr>
          <w:rFonts w:cs="Arial" w:hint="cs"/>
          <w:rtl/>
        </w:rPr>
        <w:t>דדינו</w:t>
      </w:r>
      <w:r w:rsidRPr="000134EB">
        <w:rPr>
          <w:rFonts w:cs="Arial"/>
          <w:rtl/>
        </w:rPr>
        <w:t xml:space="preserve"> </w:t>
      </w:r>
      <w:r w:rsidRPr="000134EB">
        <w:rPr>
          <w:rFonts w:cs="Arial" w:hint="cs"/>
          <w:rtl/>
        </w:rPr>
        <w:t>הוא</w:t>
      </w:r>
      <w:r w:rsidRPr="000134EB">
        <w:rPr>
          <w:rFonts w:cs="Arial"/>
          <w:rtl/>
        </w:rPr>
        <w:t xml:space="preserve"> </w:t>
      </w:r>
      <w:r w:rsidRPr="000134EB">
        <w:rPr>
          <w:rFonts w:cs="Arial" w:hint="cs"/>
          <w:rtl/>
        </w:rPr>
        <w:t>דאינו</w:t>
      </w:r>
      <w:r w:rsidRPr="000134EB">
        <w:rPr>
          <w:rFonts w:cs="Arial"/>
          <w:rtl/>
        </w:rPr>
        <w:t xml:space="preserve"> </w:t>
      </w:r>
      <w:r w:rsidRPr="000134EB">
        <w:rPr>
          <w:rFonts w:cs="Arial" w:hint="cs"/>
          <w:rtl/>
        </w:rPr>
        <w:t>פטור</w:t>
      </w:r>
      <w:r w:rsidRPr="000134EB">
        <w:rPr>
          <w:rFonts w:cs="Arial"/>
          <w:rtl/>
        </w:rPr>
        <w:t xml:space="preserve"> </w:t>
      </w:r>
      <w:r w:rsidRPr="000134EB">
        <w:rPr>
          <w:rFonts w:cs="Arial" w:hint="cs"/>
          <w:rtl/>
        </w:rPr>
        <w:t>מתשלומין</w:t>
      </w:r>
      <w:r w:rsidRPr="000134EB">
        <w:rPr>
          <w:rFonts w:cs="Arial"/>
          <w:rtl/>
        </w:rPr>
        <w:t xml:space="preserve"> </w:t>
      </w:r>
      <w:r w:rsidRPr="000134EB">
        <w:rPr>
          <w:rFonts w:cs="Arial" w:hint="cs"/>
          <w:rtl/>
        </w:rPr>
        <w:t>כ</w:t>
      </w:r>
      <w:r w:rsidRPr="000134EB">
        <w:rPr>
          <w:rFonts w:cs="Arial"/>
          <w:rtl/>
        </w:rPr>
        <w:t>"</w:t>
      </w:r>
      <w:r w:rsidRPr="000134EB">
        <w:rPr>
          <w:rFonts w:cs="Arial" w:hint="cs"/>
          <w:rtl/>
        </w:rPr>
        <w:t>א</w:t>
      </w:r>
      <w:r w:rsidRPr="000134EB">
        <w:rPr>
          <w:rFonts w:cs="Arial"/>
          <w:rtl/>
        </w:rPr>
        <w:t xml:space="preserve"> </w:t>
      </w:r>
      <w:r w:rsidRPr="000134EB">
        <w:rPr>
          <w:rFonts w:cs="Arial" w:hint="cs"/>
          <w:rtl/>
        </w:rPr>
        <w:t>כשהוא</w:t>
      </w:r>
      <w:r w:rsidRPr="000134EB">
        <w:rPr>
          <w:rFonts w:cs="Arial"/>
          <w:rtl/>
        </w:rPr>
        <w:t xml:space="preserve"> </w:t>
      </w:r>
      <w:r w:rsidRPr="000134EB">
        <w:rPr>
          <w:rFonts w:cs="Arial" w:hint="cs"/>
          <w:rtl/>
        </w:rPr>
        <w:t>מומחה</w:t>
      </w:r>
      <w:r w:rsidRPr="000134EB">
        <w:rPr>
          <w:rFonts w:cs="Arial"/>
          <w:rtl/>
        </w:rPr>
        <w:t xml:space="preserve"> </w:t>
      </w:r>
      <w:r w:rsidRPr="000134EB">
        <w:rPr>
          <w:rFonts w:cs="Arial" w:hint="cs"/>
          <w:rtl/>
        </w:rPr>
        <w:t>וסמוך</w:t>
      </w:r>
      <w:r w:rsidRPr="000134EB">
        <w:rPr>
          <w:rFonts w:cs="Arial"/>
          <w:rtl/>
        </w:rPr>
        <w:t xml:space="preserve"> </w:t>
      </w:r>
      <w:r w:rsidRPr="000134EB">
        <w:rPr>
          <w:rFonts w:cs="Arial" w:hint="cs"/>
          <w:rtl/>
        </w:rPr>
        <w:t>מב</w:t>
      </w:r>
      <w:r w:rsidRPr="000134EB">
        <w:rPr>
          <w:rFonts w:cs="Arial"/>
          <w:rtl/>
        </w:rPr>
        <w:t>"</w:t>
      </w:r>
      <w:r w:rsidRPr="000134EB">
        <w:rPr>
          <w:rFonts w:cs="Arial" w:hint="cs"/>
          <w:rtl/>
        </w:rPr>
        <w:t>ד</w:t>
      </w:r>
      <w:r w:rsidRPr="000134EB">
        <w:rPr>
          <w:rFonts w:cs="Arial"/>
          <w:rtl/>
        </w:rPr>
        <w:t xml:space="preserve"> </w:t>
      </w:r>
      <w:r w:rsidRPr="000134EB">
        <w:rPr>
          <w:rFonts w:cs="Arial" w:hint="cs"/>
          <w:rtl/>
        </w:rPr>
        <w:t>דארץ</w:t>
      </w:r>
      <w:r w:rsidRPr="000134EB">
        <w:rPr>
          <w:rFonts w:cs="Arial"/>
          <w:rtl/>
        </w:rPr>
        <w:t xml:space="preserve"> </w:t>
      </w:r>
      <w:r w:rsidRPr="000134EB">
        <w:rPr>
          <w:rFonts w:cs="Arial" w:hint="cs"/>
          <w:rtl/>
        </w:rPr>
        <w:t>ישראל</w:t>
      </w:r>
      <w:r w:rsidRPr="000134EB">
        <w:rPr>
          <w:rFonts w:cs="Arial"/>
          <w:rtl/>
        </w:rPr>
        <w:t xml:space="preserve"> </w:t>
      </w:r>
      <w:r w:rsidRPr="000134EB">
        <w:rPr>
          <w:rFonts w:cs="Arial" w:hint="cs"/>
          <w:rtl/>
        </w:rPr>
        <w:t>או</w:t>
      </w:r>
      <w:r w:rsidRPr="000134EB">
        <w:rPr>
          <w:rFonts w:cs="Arial"/>
          <w:rtl/>
        </w:rPr>
        <w:t xml:space="preserve"> </w:t>
      </w:r>
      <w:r w:rsidRPr="000134EB">
        <w:rPr>
          <w:rFonts w:cs="Arial" w:hint="cs"/>
          <w:rtl/>
        </w:rPr>
        <w:t>שנטל</w:t>
      </w:r>
      <w:r w:rsidRPr="000134EB">
        <w:rPr>
          <w:rFonts w:cs="Arial"/>
          <w:rtl/>
        </w:rPr>
        <w:t xml:space="preserve"> </w:t>
      </w:r>
      <w:r w:rsidRPr="000134EB">
        <w:rPr>
          <w:rFonts w:cs="Arial" w:hint="cs"/>
          <w:rtl/>
        </w:rPr>
        <w:t>רשות</w:t>
      </w:r>
      <w:r w:rsidRPr="000134EB">
        <w:rPr>
          <w:rFonts w:cs="Arial"/>
          <w:rtl/>
        </w:rPr>
        <w:t xml:space="preserve"> </w:t>
      </w:r>
      <w:r w:rsidRPr="000134EB">
        <w:rPr>
          <w:rFonts w:cs="Arial" w:hint="cs"/>
          <w:rtl/>
        </w:rPr>
        <w:t>מהריש</w:t>
      </w:r>
      <w:r w:rsidRPr="000134EB">
        <w:rPr>
          <w:rFonts w:cs="Arial"/>
          <w:rtl/>
        </w:rPr>
        <w:t xml:space="preserve"> </w:t>
      </w:r>
      <w:r w:rsidRPr="000134EB">
        <w:rPr>
          <w:rFonts w:cs="Arial" w:hint="cs"/>
          <w:rtl/>
        </w:rPr>
        <w:t>גלותא</w:t>
      </w:r>
      <w:r w:rsidRPr="000134EB">
        <w:rPr>
          <w:rFonts w:cs="Arial"/>
          <w:rtl/>
        </w:rPr>
        <w:t xml:space="preserve">, </w:t>
      </w:r>
      <w:r w:rsidRPr="000134EB">
        <w:rPr>
          <w:rFonts w:cs="Arial" w:hint="cs"/>
          <w:rtl/>
        </w:rPr>
        <w:t>וקאמר</w:t>
      </w:r>
      <w:r w:rsidRPr="000134EB">
        <w:rPr>
          <w:rFonts w:cs="Arial"/>
          <w:rtl/>
        </w:rPr>
        <w:t xml:space="preserve"> </w:t>
      </w:r>
      <w:r w:rsidRPr="000134EB">
        <w:rPr>
          <w:rFonts w:cs="Arial" w:hint="cs"/>
          <w:rtl/>
        </w:rPr>
        <w:t>דבאיסור</w:t>
      </w:r>
      <w:r w:rsidRPr="000134EB">
        <w:rPr>
          <w:rFonts w:cs="Arial"/>
          <w:rtl/>
        </w:rPr>
        <w:t xml:space="preserve"> </w:t>
      </w:r>
      <w:r w:rsidRPr="000134EB">
        <w:rPr>
          <w:rFonts w:cs="Arial" w:hint="cs"/>
          <w:rtl/>
        </w:rPr>
        <w:t>והיתר</w:t>
      </w:r>
      <w:r w:rsidRPr="000134EB">
        <w:rPr>
          <w:rFonts w:cs="Arial"/>
          <w:rtl/>
        </w:rPr>
        <w:t xml:space="preserve"> </w:t>
      </w:r>
      <w:r w:rsidRPr="000134EB">
        <w:rPr>
          <w:rFonts w:cs="Arial" w:hint="cs"/>
          <w:rtl/>
        </w:rPr>
        <w:t>אינו</w:t>
      </w:r>
      <w:r w:rsidRPr="000134EB">
        <w:rPr>
          <w:rFonts w:cs="Arial"/>
          <w:rtl/>
        </w:rPr>
        <w:t xml:space="preserve"> </w:t>
      </w:r>
      <w:r w:rsidRPr="000134EB">
        <w:rPr>
          <w:rFonts w:cs="Arial" w:hint="cs"/>
          <w:rtl/>
        </w:rPr>
        <w:t>כן</w:t>
      </w:r>
      <w:r w:rsidRPr="000134EB">
        <w:rPr>
          <w:rFonts w:cs="Arial"/>
          <w:rtl/>
        </w:rPr>
        <w:t xml:space="preserve">, </w:t>
      </w:r>
      <w:r w:rsidRPr="000134EB">
        <w:rPr>
          <w:rFonts w:cs="Arial" w:hint="cs"/>
          <w:rtl/>
        </w:rPr>
        <w:t>דבמומחה</w:t>
      </w:r>
      <w:r w:rsidRPr="000134EB">
        <w:rPr>
          <w:rFonts w:cs="Arial"/>
          <w:rtl/>
        </w:rPr>
        <w:t xml:space="preserve"> </w:t>
      </w:r>
      <w:r w:rsidRPr="000134EB">
        <w:rPr>
          <w:rFonts w:cs="Arial" w:hint="cs"/>
          <w:rtl/>
        </w:rPr>
        <w:t>שהוא</w:t>
      </w:r>
      <w:r w:rsidRPr="000134EB">
        <w:rPr>
          <w:rFonts w:cs="Arial"/>
          <w:rtl/>
        </w:rPr>
        <w:t xml:space="preserve"> </w:t>
      </w:r>
      <w:r w:rsidRPr="000134EB">
        <w:rPr>
          <w:rFonts w:cs="Arial" w:hint="cs"/>
          <w:rtl/>
        </w:rPr>
        <w:t>גמיר</w:t>
      </w:r>
      <w:r w:rsidRPr="000134EB">
        <w:rPr>
          <w:rFonts w:cs="Arial"/>
          <w:rtl/>
        </w:rPr>
        <w:t xml:space="preserve"> </w:t>
      </w:r>
      <w:r w:rsidRPr="000134EB">
        <w:rPr>
          <w:rFonts w:cs="Arial" w:hint="cs"/>
          <w:rtl/>
        </w:rPr>
        <w:t>וסביר</w:t>
      </w:r>
      <w:r w:rsidRPr="000134EB">
        <w:rPr>
          <w:rFonts w:cs="Arial"/>
          <w:rtl/>
        </w:rPr>
        <w:t xml:space="preserve"> </w:t>
      </w:r>
      <w:r w:rsidRPr="000134EB">
        <w:rPr>
          <w:rFonts w:cs="Arial" w:hint="cs"/>
          <w:rtl/>
        </w:rPr>
        <w:t>לחוד</w:t>
      </w:r>
      <w:r w:rsidRPr="000134EB">
        <w:rPr>
          <w:rFonts w:cs="Arial"/>
          <w:rtl/>
        </w:rPr>
        <w:t xml:space="preserve"> </w:t>
      </w:r>
      <w:r w:rsidRPr="000134EB">
        <w:rPr>
          <w:rFonts w:cs="Arial" w:hint="cs"/>
          <w:rtl/>
        </w:rPr>
        <w:t>סגי</w:t>
      </w:r>
      <w:r w:rsidRPr="000134EB">
        <w:rPr>
          <w:rFonts w:cs="Arial"/>
          <w:rtl/>
        </w:rPr>
        <w:t xml:space="preserve"> </w:t>
      </w:r>
      <w:r w:rsidRPr="000134EB">
        <w:rPr>
          <w:rFonts w:cs="Arial" w:hint="cs"/>
          <w:rtl/>
        </w:rPr>
        <w:t>שפטור</w:t>
      </w:r>
      <w:r w:rsidRPr="000134EB">
        <w:rPr>
          <w:rFonts w:cs="Arial"/>
          <w:rtl/>
        </w:rPr>
        <w:t xml:space="preserve"> </w:t>
      </w:r>
      <w:r w:rsidRPr="000134EB">
        <w:rPr>
          <w:rFonts w:cs="Arial" w:hint="cs"/>
          <w:rtl/>
        </w:rPr>
        <w:t>מתשלומין</w:t>
      </w:r>
      <w:r>
        <w:rPr>
          <w:rFonts w:cs="Arial" w:hint="cs"/>
          <w:rtl/>
        </w:rPr>
        <w:t>..</w:t>
      </w:r>
      <w:r w:rsidRPr="000134EB">
        <w:rPr>
          <w:rFonts w:cs="Arial"/>
          <w:rtl/>
        </w:rPr>
        <w:t xml:space="preserve">. </w:t>
      </w:r>
      <w:r w:rsidRPr="000134EB">
        <w:rPr>
          <w:rFonts w:cs="Arial" w:hint="cs"/>
          <w:rtl/>
        </w:rPr>
        <w:t>נמצא</w:t>
      </w:r>
      <w:r w:rsidRPr="000134EB">
        <w:rPr>
          <w:rFonts w:cs="Arial"/>
          <w:rtl/>
        </w:rPr>
        <w:t xml:space="preserve"> </w:t>
      </w:r>
      <w:r w:rsidRPr="000134EB">
        <w:rPr>
          <w:rFonts w:cs="Arial" w:hint="cs"/>
          <w:rtl/>
        </w:rPr>
        <w:t>דלא</w:t>
      </w:r>
      <w:r w:rsidRPr="000134EB">
        <w:rPr>
          <w:rFonts w:cs="Arial"/>
          <w:rtl/>
        </w:rPr>
        <w:t xml:space="preserve"> </w:t>
      </w:r>
      <w:r w:rsidRPr="000134EB">
        <w:rPr>
          <w:rFonts w:cs="Arial" w:hint="cs"/>
          <w:rtl/>
        </w:rPr>
        <w:t>היה</w:t>
      </w:r>
      <w:r w:rsidRPr="000134EB">
        <w:rPr>
          <w:rFonts w:cs="Arial"/>
          <w:rtl/>
        </w:rPr>
        <w:t xml:space="preserve"> </w:t>
      </w:r>
      <w:r w:rsidRPr="000134EB">
        <w:rPr>
          <w:rFonts w:cs="Arial" w:hint="cs"/>
          <w:rtl/>
        </w:rPr>
        <w:t>למור</w:t>
      </w:r>
      <w:r w:rsidRPr="000134EB">
        <w:rPr>
          <w:rFonts w:cs="Arial"/>
          <w:rtl/>
        </w:rPr>
        <w:t>"</w:t>
      </w:r>
      <w:r w:rsidRPr="000134EB">
        <w:rPr>
          <w:rFonts w:cs="Arial" w:hint="cs"/>
          <w:rtl/>
        </w:rPr>
        <w:t>ם</w:t>
      </w:r>
      <w:r w:rsidRPr="000134EB">
        <w:rPr>
          <w:rFonts w:cs="Arial"/>
          <w:rtl/>
        </w:rPr>
        <w:t xml:space="preserve"> </w:t>
      </w:r>
      <w:r w:rsidRPr="000134EB">
        <w:rPr>
          <w:rFonts w:cs="Arial" w:hint="cs"/>
          <w:rtl/>
        </w:rPr>
        <w:t>לסדר</w:t>
      </w:r>
      <w:r w:rsidRPr="000134EB">
        <w:rPr>
          <w:rFonts w:cs="Arial"/>
          <w:rtl/>
        </w:rPr>
        <w:t xml:space="preserve"> </w:t>
      </w:r>
      <w:r w:rsidRPr="000134EB">
        <w:rPr>
          <w:rFonts w:cs="Arial" w:hint="cs"/>
          <w:rtl/>
        </w:rPr>
        <w:t>הגה</w:t>
      </w:r>
      <w:r w:rsidRPr="000134EB">
        <w:rPr>
          <w:rFonts w:cs="Arial"/>
          <w:rtl/>
        </w:rPr>
        <w:t xml:space="preserve"> </w:t>
      </w:r>
      <w:r w:rsidRPr="000134EB">
        <w:rPr>
          <w:rFonts w:cs="Arial" w:hint="cs"/>
          <w:rtl/>
        </w:rPr>
        <w:t>זו</w:t>
      </w:r>
      <w:r w:rsidRPr="000134EB">
        <w:rPr>
          <w:rFonts w:cs="Arial"/>
          <w:rtl/>
        </w:rPr>
        <w:t xml:space="preserve"> </w:t>
      </w:r>
      <w:r w:rsidRPr="000134EB">
        <w:rPr>
          <w:rFonts w:cs="Arial" w:hint="cs"/>
          <w:rtl/>
        </w:rPr>
        <w:t>כ</w:t>
      </w:r>
      <w:r>
        <w:rPr>
          <w:rFonts w:cs="Arial" w:hint="cs"/>
          <w:rtl/>
        </w:rPr>
        <w:t xml:space="preserve">י </w:t>
      </w:r>
      <w:r w:rsidRPr="000134EB">
        <w:rPr>
          <w:rFonts w:cs="Arial" w:hint="cs"/>
          <w:rtl/>
        </w:rPr>
        <w:t>א</w:t>
      </w:r>
      <w:r>
        <w:rPr>
          <w:rFonts w:cs="Arial" w:hint="cs"/>
          <w:rtl/>
        </w:rPr>
        <w:t>ם</w:t>
      </w:r>
      <w:r w:rsidRPr="000134EB">
        <w:rPr>
          <w:rFonts w:cs="Arial"/>
          <w:rtl/>
        </w:rPr>
        <w:t xml:space="preserve"> </w:t>
      </w:r>
      <w:r w:rsidRPr="000134EB">
        <w:rPr>
          <w:rFonts w:cs="Arial" w:hint="cs"/>
          <w:rtl/>
        </w:rPr>
        <w:t>בסעיפים</w:t>
      </w:r>
      <w:r w:rsidRPr="000134EB">
        <w:rPr>
          <w:rFonts w:cs="Arial"/>
          <w:rtl/>
        </w:rPr>
        <w:t xml:space="preserve"> </w:t>
      </w:r>
      <w:r w:rsidRPr="000134EB">
        <w:rPr>
          <w:rFonts w:cs="Arial" w:hint="cs"/>
          <w:rtl/>
        </w:rPr>
        <w:t>שאחר</w:t>
      </w:r>
      <w:r w:rsidRPr="000134EB">
        <w:rPr>
          <w:rFonts w:cs="Arial"/>
          <w:rtl/>
        </w:rPr>
        <w:t xml:space="preserve"> </w:t>
      </w:r>
      <w:r w:rsidRPr="000134EB">
        <w:rPr>
          <w:rFonts w:cs="Arial" w:hint="cs"/>
          <w:rtl/>
        </w:rPr>
        <w:t>זה</w:t>
      </w:r>
      <w:r w:rsidRPr="000134EB">
        <w:rPr>
          <w:rFonts w:cs="Arial"/>
          <w:rtl/>
        </w:rPr>
        <w:t xml:space="preserve">, </w:t>
      </w:r>
      <w:r w:rsidRPr="000134EB">
        <w:rPr>
          <w:rFonts w:cs="Arial" w:hint="cs"/>
          <w:rtl/>
        </w:rPr>
        <w:t>דהא</w:t>
      </w:r>
      <w:r w:rsidRPr="000134EB">
        <w:rPr>
          <w:rFonts w:cs="Arial"/>
          <w:rtl/>
        </w:rPr>
        <w:t xml:space="preserve"> </w:t>
      </w:r>
      <w:r w:rsidRPr="000134EB">
        <w:rPr>
          <w:rFonts w:cs="Arial" w:hint="cs"/>
          <w:rtl/>
        </w:rPr>
        <w:t>בטועה</w:t>
      </w:r>
      <w:r w:rsidRPr="000134EB">
        <w:rPr>
          <w:rFonts w:cs="Arial"/>
          <w:rtl/>
        </w:rPr>
        <w:t xml:space="preserve"> </w:t>
      </w:r>
      <w:r w:rsidRPr="000134EB">
        <w:rPr>
          <w:rFonts w:cs="Arial" w:hint="cs"/>
          <w:rtl/>
        </w:rPr>
        <w:t>בדבר</w:t>
      </w:r>
      <w:r w:rsidRPr="000134EB">
        <w:rPr>
          <w:rFonts w:cs="Arial"/>
          <w:rtl/>
        </w:rPr>
        <w:t xml:space="preserve"> </w:t>
      </w:r>
      <w:r w:rsidRPr="000134EB">
        <w:rPr>
          <w:rFonts w:cs="Arial" w:hint="cs"/>
          <w:rtl/>
        </w:rPr>
        <w:t>משנה</w:t>
      </w:r>
      <w:r w:rsidRPr="000134EB">
        <w:rPr>
          <w:rFonts w:cs="Arial"/>
          <w:rtl/>
        </w:rPr>
        <w:t xml:space="preserve"> </w:t>
      </w:r>
      <w:r w:rsidRPr="000134EB">
        <w:rPr>
          <w:rFonts w:cs="Arial" w:hint="cs"/>
          <w:rtl/>
        </w:rPr>
        <w:t>אף</w:t>
      </w:r>
      <w:r w:rsidRPr="000134EB">
        <w:rPr>
          <w:rFonts w:cs="Arial"/>
          <w:rtl/>
        </w:rPr>
        <w:t xml:space="preserve"> </w:t>
      </w:r>
      <w:r w:rsidRPr="000134EB">
        <w:rPr>
          <w:rFonts w:cs="Arial" w:hint="cs"/>
          <w:rtl/>
        </w:rPr>
        <w:t>שהוא</w:t>
      </w:r>
      <w:r w:rsidRPr="000134EB">
        <w:rPr>
          <w:rFonts w:cs="Arial"/>
          <w:rtl/>
        </w:rPr>
        <w:t xml:space="preserve"> </w:t>
      </w:r>
      <w:r w:rsidRPr="000134EB">
        <w:rPr>
          <w:rFonts w:cs="Arial" w:hint="cs"/>
          <w:rtl/>
        </w:rPr>
        <w:t>מומחה</w:t>
      </w:r>
      <w:r w:rsidRPr="000134EB">
        <w:rPr>
          <w:rFonts w:cs="Arial"/>
          <w:rtl/>
        </w:rPr>
        <w:t xml:space="preserve"> </w:t>
      </w:r>
      <w:r w:rsidRPr="000134EB">
        <w:rPr>
          <w:rFonts w:cs="Arial" w:hint="cs"/>
          <w:rtl/>
        </w:rPr>
        <w:t>וסמוך</w:t>
      </w:r>
      <w:r w:rsidRPr="000134EB">
        <w:rPr>
          <w:rFonts w:cs="Arial"/>
          <w:rtl/>
        </w:rPr>
        <w:t xml:space="preserve"> </w:t>
      </w:r>
      <w:r w:rsidRPr="000134EB">
        <w:rPr>
          <w:rFonts w:cs="Arial" w:hint="cs"/>
          <w:rtl/>
        </w:rPr>
        <w:t>צריך</w:t>
      </w:r>
      <w:r w:rsidRPr="000134EB">
        <w:rPr>
          <w:rFonts w:cs="Arial"/>
          <w:rtl/>
        </w:rPr>
        <w:t xml:space="preserve"> </w:t>
      </w:r>
      <w:r w:rsidRPr="000134EB">
        <w:rPr>
          <w:rFonts w:cs="Arial" w:hint="cs"/>
          <w:rtl/>
        </w:rPr>
        <w:t>לשלם</w:t>
      </w:r>
      <w:r w:rsidRPr="000134EB">
        <w:rPr>
          <w:rFonts w:cs="Arial"/>
          <w:rtl/>
        </w:rPr>
        <w:t xml:space="preserve"> </w:t>
      </w:r>
      <w:r w:rsidRPr="000134EB">
        <w:rPr>
          <w:rFonts w:cs="Arial" w:hint="cs"/>
          <w:rtl/>
        </w:rPr>
        <w:t>כשא</w:t>
      </w:r>
      <w:r>
        <w:rPr>
          <w:rFonts w:cs="Arial" w:hint="cs"/>
          <w:rtl/>
        </w:rPr>
        <w:t>"</w:t>
      </w:r>
      <w:r w:rsidRPr="000134EB">
        <w:rPr>
          <w:rFonts w:cs="Arial" w:hint="cs"/>
          <w:rtl/>
        </w:rPr>
        <w:t>א</w:t>
      </w:r>
      <w:r w:rsidRPr="000134EB">
        <w:rPr>
          <w:rFonts w:cs="Arial"/>
          <w:rtl/>
        </w:rPr>
        <w:t xml:space="preserve"> </w:t>
      </w:r>
      <w:r w:rsidRPr="000134EB">
        <w:rPr>
          <w:rFonts w:cs="Arial" w:hint="cs"/>
          <w:rtl/>
        </w:rPr>
        <w:t>להחזירו</w:t>
      </w:r>
      <w:r w:rsidRPr="000134EB">
        <w:rPr>
          <w:rFonts w:cs="Arial"/>
          <w:rtl/>
        </w:rPr>
        <w:t xml:space="preserve"> </w:t>
      </w:r>
      <w:r w:rsidRPr="000134EB">
        <w:rPr>
          <w:rFonts w:cs="Arial" w:hint="cs"/>
          <w:rtl/>
        </w:rPr>
        <w:t>להיש</w:t>
      </w:r>
      <w:r w:rsidRPr="000134EB">
        <w:rPr>
          <w:rFonts w:cs="Arial"/>
          <w:rtl/>
        </w:rPr>
        <w:t xml:space="preserve"> </w:t>
      </w:r>
      <w:r w:rsidRPr="000134EB">
        <w:rPr>
          <w:rFonts w:cs="Arial" w:hint="cs"/>
          <w:rtl/>
        </w:rPr>
        <w:t>חולקים</w:t>
      </w:r>
      <w:r w:rsidRPr="000134EB">
        <w:rPr>
          <w:rFonts w:cs="Arial"/>
          <w:rtl/>
        </w:rPr>
        <w:t xml:space="preserve"> </w:t>
      </w:r>
      <w:r w:rsidRPr="000134EB">
        <w:rPr>
          <w:rFonts w:cs="Arial" w:hint="cs"/>
          <w:rtl/>
        </w:rPr>
        <w:t>דקאי</w:t>
      </w:r>
      <w:r w:rsidRPr="000134EB">
        <w:rPr>
          <w:rFonts w:cs="Arial"/>
          <w:rtl/>
        </w:rPr>
        <w:t xml:space="preserve"> </w:t>
      </w:r>
      <w:r w:rsidRPr="000134EB">
        <w:rPr>
          <w:rFonts w:cs="Arial" w:hint="cs"/>
          <w:rtl/>
        </w:rPr>
        <w:t>עליה</w:t>
      </w:r>
      <w:r w:rsidRPr="000134EB">
        <w:rPr>
          <w:rFonts w:cs="Arial"/>
          <w:rtl/>
        </w:rPr>
        <w:t>, [</w:t>
      </w:r>
      <w:r w:rsidRPr="000134EB">
        <w:rPr>
          <w:rFonts w:cs="Arial" w:hint="cs"/>
          <w:rtl/>
        </w:rPr>
        <w:t>ולמה</w:t>
      </w:r>
      <w:r w:rsidRPr="000134EB">
        <w:rPr>
          <w:rFonts w:cs="Arial"/>
          <w:rtl/>
        </w:rPr>
        <w:t xml:space="preserve"> </w:t>
      </w:r>
      <w:r w:rsidRPr="000134EB">
        <w:rPr>
          <w:rFonts w:cs="Arial" w:hint="cs"/>
          <w:rtl/>
        </w:rPr>
        <w:t>כתב</w:t>
      </w:r>
      <w:r w:rsidRPr="000134EB">
        <w:rPr>
          <w:rFonts w:cs="Arial"/>
          <w:rtl/>
        </w:rPr>
        <w:t xml:space="preserve"> </w:t>
      </w:r>
      <w:r w:rsidRPr="000134EB">
        <w:rPr>
          <w:rFonts w:cs="Arial" w:hint="cs"/>
          <w:rtl/>
        </w:rPr>
        <w:t>דינו</w:t>
      </w:r>
      <w:r w:rsidRPr="000134EB">
        <w:rPr>
          <w:rFonts w:cs="Arial"/>
          <w:rtl/>
        </w:rPr>
        <w:t xml:space="preserve"> </w:t>
      </w:r>
      <w:r w:rsidRPr="000134EB">
        <w:rPr>
          <w:rFonts w:cs="Arial" w:hint="cs"/>
          <w:rtl/>
        </w:rPr>
        <w:t>כמומחה</w:t>
      </w:r>
      <w:r w:rsidRPr="000134EB">
        <w:rPr>
          <w:rFonts w:cs="Arial"/>
          <w:rtl/>
        </w:rPr>
        <w:t xml:space="preserve"> </w:t>
      </w:r>
      <w:r w:rsidRPr="000134EB">
        <w:rPr>
          <w:rFonts w:cs="Arial" w:hint="cs"/>
          <w:rtl/>
        </w:rPr>
        <w:t>דמשמע</w:t>
      </w:r>
      <w:r w:rsidRPr="000134EB">
        <w:rPr>
          <w:rFonts w:cs="Arial"/>
          <w:rtl/>
        </w:rPr>
        <w:t xml:space="preserve"> </w:t>
      </w:r>
      <w:r w:rsidRPr="000134EB">
        <w:rPr>
          <w:rFonts w:cs="Arial" w:hint="cs"/>
          <w:rtl/>
        </w:rPr>
        <w:t>דמומחה</w:t>
      </w:r>
      <w:r w:rsidRPr="000134EB">
        <w:rPr>
          <w:rFonts w:cs="Arial"/>
          <w:rtl/>
        </w:rPr>
        <w:t xml:space="preserve"> </w:t>
      </w:r>
      <w:r w:rsidRPr="000134EB">
        <w:rPr>
          <w:rFonts w:cs="Arial" w:hint="cs"/>
          <w:rtl/>
        </w:rPr>
        <w:t>פטור</w:t>
      </w:r>
      <w:r w:rsidRPr="000134EB">
        <w:rPr>
          <w:rFonts w:cs="Arial"/>
          <w:rtl/>
        </w:rPr>
        <w:t xml:space="preserve">], </w:t>
      </w:r>
      <w:r w:rsidRPr="000134EB">
        <w:rPr>
          <w:rFonts w:cs="Arial" w:hint="cs"/>
          <w:rtl/>
        </w:rPr>
        <w:t>ובאפשר</w:t>
      </w:r>
      <w:r w:rsidRPr="000134EB">
        <w:rPr>
          <w:rFonts w:cs="Arial"/>
          <w:rtl/>
        </w:rPr>
        <w:t xml:space="preserve"> </w:t>
      </w:r>
      <w:r w:rsidRPr="000134EB">
        <w:rPr>
          <w:rFonts w:cs="Arial" w:hint="cs"/>
          <w:rtl/>
        </w:rPr>
        <w:t>להחזיר</w:t>
      </w:r>
      <w:r w:rsidRPr="000134EB">
        <w:rPr>
          <w:rFonts w:cs="Arial"/>
          <w:rtl/>
        </w:rPr>
        <w:t xml:space="preserve"> </w:t>
      </w:r>
      <w:r w:rsidRPr="000134EB">
        <w:rPr>
          <w:rFonts w:cs="Arial" w:hint="cs"/>
          <w:rtl/>
        </w:rPr>
        <w:t>בכל</w:t>
      </w:r>
      <w:r w:rsidRPr="000134EB">
        <w:rPr>
          <w:rFonts w:cs="Arial"/>
          <w:rtl/>
        </w:rPr>
        <w:t xml:space="preserve"> </w:t>
      </w:r>
      <w:r w:rsidRPr="000134EB">
        <w:rPr>
          <w:rFonts w:cs="Arial" w:hint="cs"/>
          <w:rtl/>
        </w:rPr>
        <w:t>ענין</w:t>
      </w:r>
      <w:r w:rsidRPr="000134EB">
        <w:rPr>
          <w:rFonts w:cs="Arial"/>
          <w:rtl/>
        </w:rPr>
        <w:t xml:space="preserve"> </w:t>
      </w:r>
      <w:r w:rsidRPr="000134EB">
        <w:rPr>
          <w:rFonts w:cs="Arial" w:hint="cs"/>
          <w:rtl/>
        </w:rPr>
        <w:t>חוזר</w:t>
      </w:r>
      <w:r w:rsidRPr="000134EB">
        <w:rPr>
          <w:rFonts w:cs="Arial"/>
          <w:rtl/>
        </w:rPr>
        <w:t xml:space="preserve">. </w:t>
      </w:r>
      <w:r w:rsidRPr="000134EB">
        <w:rPr>
          <w:rFonts w:cs="Arial" w:hint="cs"/>
          <w:rtl/>
        </w:rPr>
        <w:t>גם</w:t>
      </w:r>
      <w:r w:rsidRPr="000134EB">
        <w:rPr>
          <w:rFonts w:cs="Arial"/>
          <w:rtl/>
        </w:rPr>
        <w:t xml:space="preserve"> </w:t>
      </w:r>
      <w:r w:rsidRPr="000134EB">
        <w:rPr>
          <w:rFonts w:cs="Arial" w:hint="cs"/>
          <w:rtl/>
        </w:rPr>
        <w:t>בד</w:t>
      </w:r>
      <w:r w:rsidRPr="000134EB">
        <w:rPr>
          <w:rFonts w:cs="Arial"/>
          <w:rtl/>
        </w:rPr>
        <w:t>"</w:t>
      </w:r>
      <w:r w:rsidRPr="000134EB">
        <w:rPr>
          <w:rFonts w:cs="Arial" w:hint="cs"/>
          <w:rtl/>
        </w:rPr>
        <w:t>מ</w:t>
      </w:r>
      <w:r w:rsidRPr="000134EB">
        <w:rPr>
          <w:rFonts w:cs="Arial"/>
          <w:rtl/>
        </w:rPr>
        <w:t xml:space="preserve"> [</w:t>
      </w:r>
      <w:r w:rsidRPr="000134EB">
        <w:rPr>
          <w:rFonts w:cs="Arial" w:hint="cs"/>
          <w:rtl/>
        </w:rPr>
        <w:t>ד</w:t>
      </w:r>
      <w:r w:rsidRPr="000134EB">
        <w:rPr>
          <w:rFonts w:cs="Arial"/>
          <w:rtl/>
        </w:rPr>
        <w:t>"</w:t>
      </w:r>
      <w:r w:rsidRPr="000134EB">
        <w:rPr>
          <w:rFonts w:cs="Arial" w:hint="cs"/>
          <w:rtl/>
        </w:rPr>
        <w:t>ה</w:t>
      </w:r>
      <w:r w:rsidRPr="000134EB">
        <w:rPr>
          <w:rFonts w:cs="Arial"/>
          <w:rtl/>
        </w:rPr>
        <w:t xml:space="preserve"> </w:t>
      </w:r>
      <w:r w:rsidRPr="000134EB">
        <w:rPr>
          <w:rFonts w:cs="Arial" w:hint="cs"/>
          <w:rtl/>
        </w:rPr>
        <w:t>אין</w:t>
      </w:r>
      <w:r w:rsidRPr="000134EB">
        <w:rPr>
          <w:rFonts w:cs="Arial"/>
          <w:rtl/>
        </w:rPr>
        <w:t xml:space="preserve"> </w:t>
      </w:r>
      <w:r w:rsidRPr="000134EB">
        <w:rPr>
          <w:rFonts w:cs="Arial" w:hint="cs"/>
          <w:rtl/>
        </w:rPr>
        <w:t>מחזירין</w:t>
      </w:r>
      <w:r w:rsidRPr="000134EB">
        <w:rPr>
          <w:rFonts w:cs="Arial"/>
          <w:rtl/>
        </w:rPr>
        <w:t xml:space="preserve">] </w:t>
      </w:r>
      <w:r w:rsidRPr="000134EB">
        <w:rPr>
          <w:rFonts w:cs="Arial" w:hint="cs"/>
          <w:rtl/>
        </w:rPr>
        <w:t>כתוב</w:t>
      </w:r>
      <w:r w:rsidRPr="000134EB">
        <w:rPr>
          <w:rFonts w:cs="Arial"/>
          <w:rtl/>
        </w:rPr>
        <w:t xml:space="preserve"> </w:t>
      </w:r>
      <w:r w:rsidRPr="000134EB">
        <w:rPr>
          <w:rFonts w:cs="Arial" w:hint="cs"/>
          <w:rtl/>
        </w:rPr>
        <w:t>האי</w:t>
      </w:r>
      <w:r w:rsidRPr="000134EB">
        <w:rPr>
          <w:rFonts w:cs="Arial"/>
          <w:rtl/>
        </w:rPr>
        <w:t xml:space="preserve"> </w:t>
      </w:r>
      <w:r w:rsidRPr="000134EB">
        <w:rPr>
          <w:rFonts w:cs="Arial" w:hint="cs"/>
          <w:rtl/>
        </w:rPr>
        <w:t>דינא</w:t>
      </w:r>
      <w:r w:rsidRPr="000134EB">
        <w:rPr>
          <w:rFonts w:cs="Arial"/>
          <w:rtl/>
        </w:rPr>
        <w:t xml:space="preserve"> </w:t>
      </w:r>
      <w:r w:rsidRPr="000134EB">
        <w:rPr>
          <w:rFonts w:cs="Arial" w:hint="cs"/>
          <w:rtl/>
        </w:rPr>
        <w:t>אטועה</w:t>
      </w:r>
      <w:r w:rsidRPr="000134EB">
        <w:rPr>
          <w:rFonts w:cs="Arial"/>
          <w:rtl/>
        </w:rPr>
        <w:t xml:space="preserve"> </w:t>
      </w:r>
      <w:r w:rsidRPr="000134EB">
        <w:rPr>
          <w:rFonts w:cs="Arial" w:hint="cs"/>
          <w:rtl/>
        </w:rPr>
        <w:t>בשיקול</w:t>
      </w:r>
      <w:r w:rsidRPr="000134EB">
        <w:rPr>
          <w:rFonts w:cs="Arial"/>
          <w:rtl/>
        </w:rPr>
        <w:t xml:space="preserve"> </w:t>
      </w:r>
      <w:r w:rsidRPr="000134EB">
        <w:rPr>
          <w:rFonts w:cs="Arial" w:hint="cs"/>
          <w:rtl/>
        </w:rPr>
        <w:t>הדעת</w:t>
      </w:r>
      <w:r w:rsidRPr="000134EB">
        <w:rPr>
          <w:rFonts w:cs="Arial"/>
          <w:rtl/>
        </w:rPr>
        <w:t xml:space="preserve">, </w:t>
      </w:r>
      <w:r w:rsidRPr="000134EB">
        <w:rPr>
          <w:rFonts w:cs="Arial" w:hint="cs"/>
          <w:rtl/>
        </w:rPr>
        <w:t>ע</w:t>
      </w:r>
      <w:r w:rsidRPr="000134EB">
        <w:rPr>
          <w:rFonts w:cs="Arial"/>
          <w:rtl/>
        </w:rPr>
        <w:t>"</w:t>
      </w:r>
      <w:r w:rsidRPr="000134EB">
        <w:rPr>
          <w:rFonts w:cs="Arial" w:hint="cs"/>
          <w:rtl/>
        </w:rPr>
        <w:t>ש</w:t>
      </w:r>
      <w:r w:rsidRPr="000134EB">
        <w:rPr>
          <w:rFonts w:cs="Arial"/>
          <w:rtl/>
        </w:rPr>
        <w:t xml:space="preserve">, </w:t>
      </w:r>
      <w:r w:rsidRPr="000134EB">
        <w:rPr>
          <w:rFonts w:cs="Arial" w:hint="cs"/>
          <w:rtl/>
        </w:rPr>
        <w:t>ואתא</w:t>
      </w:r>
      <w:r w:rsidRPr="000134EB">
        <w:rPr>
          <w:rFonts w:cs="Arial"/>
          <w:rtl/>
        </w:rPr>
        <w:t xml:space="preserve"> </w:t>
      </w:r>
      <w:r w:rsidRPr="000134EB">
        <w:rPr>
          <w:rFonts w:cs="Arial" w:hint="cs"/>
          <w:rtl/>
        </w:rPr>
        <w:t>ללמדינו</w:t>
      </w:r>
      <w:r w:rsidRPr="000134EB">
        <w:rPr>
          <w:rFonts w:cs="Arial"/>
          <w:rtl/>
        </w:rPr>
        <w:t xml:space="preserve"> </w:t>
      </w:r>
      <w:r w:rsidRPr="000134EB">
        <w:rPr>
          <w:rFonts w:cs="Arial" w:hint="cs"/>
          <w:rtl/>
        </w:rPr>
        <w:t>דבדין</w:t>
      </w:r>
      <w:r w:rsidRPr="000134EB">
        <w:rPr>
          <w:rFonts w:cs="Arial"/>
          <w:rtl/>
        </w:rPr>
        <w:t xml:space="preserve"> </w:t>
      </w:r>
      <w:r w:rsidRPr="000134EB">
        <w:rPr>
          <w:rFonts w:cs="Arial" w:hint="cs"/>
          <w:rtl/>
        </w:rPr>
        <w:t>הוראות</w:t>
      </w:r>
      <w:r w:rsidRPr="000134EB">
        <w:rPr>
          <w:rFonts w:cs="Arial"/>
          <w:rtl/>
        </w:rPr>
        <w:t xml:space="preserve"> </w:t>
      </w:r>
      <w:r w:rsidRPr="000134EB">
        <w:rPr>
          <w:rFonts w:cs="Arial" w:hint="cs"/>
          <w:rtl/>
        </w:rPr>
        <w:t>איסור</w:t>
      </w:r>
      <w:r w:rsidRPr="000134EB">
        <w:rPr>
          <w:rFonts w:cs="Arial"/>
          <w:rtl/>
        </w:rPr>
        <w:t xml:space="preserve"> </w:t>
      </w:r>
      <w:r w:rsidRPr="000134EB">
        <w:rPr>
          <w:rFonts w:cs="Arial" w:hint="cs"/>
          <w:rtl/>
        </w:rPr>
        <w:t>דקי</w:t>
      </w:r>
      <w:r w:rsidRPr="000134EB">
        <w:rPr>
          <w:rFonts w:cs="Arial"/>
          <w:rtl/>
        </w:rPr>
        <w:t>"</w:t>
      </w:r>
      <w:r w:rsidRPr="000134EB">
        <w:rPr>
          <w:rFonts w:cs="Arial" w:hint="cs"/>
          <w:rtl/>
        </w:rPr>
        <w:t>ל</w:t>
      </w:r>
      <w:r w:rsidRPr="000134EB">
        <w:rPr>
          <w:rFonts w:cs="Arial"/>
          <w:rtl/>
        </w:rPr>
        <w:t xml:space="preserve"> </w:t>
      </w:r>
      <w:r w:rsidRPr="000134EB">
        <w:rPr>
          <w:rFonts w:cs="Arial" w:hint="cs"/>
          <w:rtl/>
        </w:rPr>
        <w:t>דלא</w:t>
      </w:r>
      <w:r w:rsidRPr="000134EB">
        <w:rPr>
          <w:rFonts w:cs="Arial"/>
          <w:rtl/>
        </w:rPr>
        <w:t xml:space="preserve"> </w:t>
      </w:r>
      <w:r w:rsidRPr="000134EB">
        <w:rPr>
          <w:rFonts w:cs="Arial" w:hint="cs"/>
          <w:rtl/>
        </w:rPr>
        <w:t>בעינן</w:t>
      </w:r>
      <w:r w:rsidRPr="000134EB">
        <w:rPr>
          <w:rFonts w:cs="Arial"/>
          <w:rtl/>
        </w:rPr>
        <w:t xml:space="preserve"> </w:t>
      </w:r>
      <w:r w:rsidRPr="000134EB">
        <w:rPr>
          <w:rFonts w:cs="Arial" w:hint="cs"/>
          <w:rtl/>
        </w:rPr>
        <w:t>ג</w:t>
      </w:r>
      <w:r w:rsidRPr="000134EB">
        <w:rPr>
          <w:rFonts w:cs="Arial"/>
          <w:rtl/>
        </w:rPr>
        <w:t xml:space="preserve">' </w:t>
      </w:r>
      <w:r w:rsidRPr="000134EB">
        <w:rPr>
          <w:rFonts w:cs="Arial" w:hint="cs"/>
          <w:rtl/>
        </w:rPr>
        <w:t>ואפילו</w:t>
      </w:r>
      <w:r w:rsidRPr="000134EB">
        <w:rPr>
          <w:rFonts w:cs="Arial"/>
          <w:rtl/>
        </w:rPr>
        <w:t xml:space="preserve"> </w:t>
      </w:r>
      <w:r w:rsidRPr="000134EB">
        <w:rPr>
          <w:rFonts w:cs="Arial" w:hint="cs"/>
          <w:rtl/>
        </w:rPr>
        <w:t>לכתחילה</w:t>
      </w:r>
      <w:r w:rsidRPr="000134EB">
        <w:rPr>
          <w:rFonts w:cs="Arial"/>
          <w:rtl/>
        </w:rPr>
        <w:t xml:space="preserve">, </w:t>
      </w:r>
      <w:r w:rsidRPr="000134EB">
        <w:rPr>
          <w:rFonts w:cs="Arial" w:hint="cs"/>
          <w:rtl/>
        </w:rPr>
        <w:t>אלא</w:t>
      </w:r>
      <w:r w:rsidRPr="000134EB">
        <w:rPr>
          <w:rFonts w:cs="Arial"/>
          <w:rtl/>
        </w:rPr>
        <w:t xml:space="preserve"> </w:t>
      </w:r>
      <w:r w:rsidRPr="000134EB">
        <w:rPr>
          <w:rFonts w:cs="Arial" w:hint="cs"/>
          <w:rtl/>
        </w:rPr>
        <w:t>הנסמך</w:t>
      </w:r>
      <w:r w:rsidRPr="000134EB">
        <w:rPr>
          <w:rFonts w:cs="Arial"/>
          <w:rtl/>
        </w:rPr>
        <w:t xml:space="preserve"> </w:t>
      </w:r>
      <w:r w:rsidRPr="000134EB">
        <w:rPr>
          <w:rFonts w:cs="Arial" w:hint="cs"/>
          <w:rtl/>
        </w:rPr>
        <w:t>להוראה</w:t>
      </w:r>
      <w:r w:rsidRPr="000134EB">
        <w:rPr>
          <w:rFonts w:cs="Arial"/>
          <w:rtl/>
        </w:rPr>
        <w:t xml:space="preserve"> </w:t>
      </w:r>
      <w:r w:rsidRPr="000134EB">
        <w:rPr>
          <w:rFonts w:cs="Arial" w:hint="cs"/>
          <w:rtl/>
        </w:rPr>
        <w:t>מותר</w:t>
      </w:r>
      <w:r w:rsidRPr="000134EB">
        <w:rPr>
          <w:rFonts w:cs="Arial"/>
          <w:rtl/>
        </w:rPr>
        <w:t xml:space="preserve"> </w:t>
      </w:r>
      <w:r w:rsidRPr="000134EB">
        <w:rPr>
          <w:rFonts w:cs="Arial" w:hint="cs"/>
          <w:rtl/>
        </w:rPr>
        <w:t>להורות</w:t>
      </w:r>
      <w:r w:rsidRPr="000134EB">
        <w:rPr>
          <w:rFonts w:cs="Arial"/>
          <w:rtl/>
        </w:rPr>
        <w:t xml:space="preserve">, </w:t>
      </w:r>
      <w:r w:rsidRPr="000134EB">
        <w:rPr>
          <w:rFonts w:cs="Arial" w:hint="cs"/>
          <w:rtl/>
        </w:rPr>
        <w:t>וקמ</w:t>
      </w:r>
      <w:r w:rsidRPr="000134EB">
        <w:rPr>
          <w:rFonts w:cs="Arial"/>
          <w:rtl/>
        </w:rPr>
        <w:t>"</w:t>
      </w:r>
      <w:r w:rsidRPr="000134EB">
        <w:rPr>
          <w:rFonts w:cs="Arial" w:hint="cs"/>
          <w:rtl/>
        </w:rPr>
        <w:t>ל</w:t>
      </w:r>
      <w:r w:rsidRPr="000134EB">
        <w:rPr>
          <w:rFonts w:cs="Arial"/>
          <w:rtl/>
        </w:rPr>
        <w:t xml:space="preserve"> </w:t>
      </w:r>
      <w:r w:rsidRPr="000134EB">
        <w:rPr>
          <w:rFonts w:cs="Arial" w:hint="cs"/>
          <w:rtl/>
        </w:rPr>
        <w:t>דלאו</w:t>
      </w:r>
      <w:r w:rsidRPr="000134EB">
        <w:rPr>
          <w:rFonts w:cs="Arial"/>
          <w:rtl/>
        </w:rPr>
        <w:t xml:space="preserve"> </w:t>
      </w:r>
      <w:r w:rsidRPr="000134EB">
        <w:rPr>
          <w:rFonts w:cs="Arial" w:hint="cs"/>
          <w:rtl/>
        </w:rPr>
        <w:t>דוקא</w:t>
      </w:r>
      <w:r w:rsidRPr="000134EB">
        <w:rPr>
          <w:rFonts w:cs="Arial"/>
          <w:rtl/>
        </w:rPr>
        <w:t xml:space="preserve"> </w:t>
      </w:r>
      <w:r w:rsidRPr="000134EB">
        <w:rPr>
          <w:rFonts w:cs="Arial" w:hint="cs"/>
          <w:rtl/>
        </w:rPr>
        <w:t>סמוך</w:t>
      </w:r>
      <w:r w:rsidRPr="000134EB">
        <w:rPr>
          <w:rFonts w:cs="Arial"/>
          <w:rtl/>
        </w:rPr>
        <w:t xml:space="preserve"> </w:t>
      </w:r>
      <w:r w:rsidRPr="000134EB">
        <w:rPr>
          <w:rFonts w:cs="Arial" w:hint="cs"/>
          <w:rtl/>
        </w:rPr>
        <w:t>אלא</w:t>
      </w:r>
      <w:r w:rsidRPr="000134EB">
        <w:rPr>
          <w:rFonts w:cs="Arial"/>
          <w:rtl/>
        </w:rPr>
        <w:t xml:space="preserve"> </w:t>
      </w:r>
      <w:r w:rsidRPr="000134EB">
        <w:rPr>
          <w:rFonts w:cs="Arial" w:hint="cs"/>
          <w:rtl/>
        </w:rPr>
        <w:t>גם</w:t>
      </w:r>
      <w:r w:rsidRPr="000134EB">
        <w:rPr>
          <w:rFonts w:cs="Arial"/>
          <w:rtl/>
        </w:rPr>
        <w:t xml:space="preserve"> </w:t>
      </w:r>
      <w:r w:rsidRPr="000134EB">
        <w:rPr>
          <w:rFonts w:cs="Arial" w:hint="cs"/>
          <w:rtl/>
        </w:rPr>
        <w:t>בגמיר</w:t>
      </w:r>
      <w:r w:rsidRPr="000134EB">
        <w:rPr>
          <w:rFonts w:cs="Arial"/>
          <w:rtl/>
        </w:rPr>
        <w:t xml:space="preserve"> </w:t>
      </w:r>
      <w:r w:rsidRPr="000134EB">
        <w:rPr>
          <w:rFonts w:cs="Arial" w:hint="cs"/>
          <w:rtl/>
        </w:rPr>
        <w:t>וסביר</w:t>
      </w:r>
      <w:r w:rsidRPr="000134EB">
        <w:rPr>
          <w:rFonts w:cs="Arial"/>
          <w:rtl/>
        </w:rPr>
        <w:t xml:space="preserve"> </w:t>
      </w:r>
      <w:r w:rsidRPr="000134EB">
        <w:rPr>
          <w:rFonts w:cs="Arial" w:hint="cs"/>
          <w:rtl/>
        </w:rPr>
        <w:t>פטור</w:t>
      </w:r>
      <w:r w:rsidRPr="000134EB">
        <w:rPr>
          <w:rFonts w:cs="Arial"/>
          <w:rtl/>
        </w:rPr>
        <w:t xml:space="preserve"> </w:t>
      </w:r>
      <w:r w:rsidRPr="000134EB">
        <w:rPr>
          <w:rFonts w:cs="Arial" w:hint="cs"/>
          <w:rtl/>
        </w:rPr>
        <w:t>כדין</w:t>
      </w:r>
      <w:r w:rsidRPr="000134EB">
        <w:rPr>
          <w:rFonts w:cs="Arial"/>
          <w:rtl/>
        </w:rPr>
        <w:t xml:space="preserve"> </w:t>
      </w:r>
      <w:r w:rsidRPr="000134EB">
        <w:rPr>
          <w:rFonts w:cs="Arial" w:hint="cs"/>
          <w:rtl/>
        </w:rPr>
        <w:t>מומחה</w:t>
      </w:r>
      <w:r w:rsidRPr="000134EB">
        <w:rPr>
          <w:rFonts w:cs="Arial"/>
          <w:rtl/>
        </w:rPr>
        <w:t xml:space="preserve"> </w:t>
      </w:r>
      <w:r w:rsidRPr="000134EB">
        <w:rPr>
          <w:rFonts w:cs="Arial" w:hint="cs"/>
          <w:rtl/>
        </w:rPr>
        <w:t>הנסמך</w:t>
      </w:r>
      <w:r>
        <w:rPr>
          <w:rFonts w:hint="cs"/>
          <w:rtl/>
        </w:rPr>
        <w:t>, סמ"ע (סק"ט).</w:t>
      </w:r>
      <w:r w:rsidRPr="00264B6B">
        <w:rPr>
          <w:rtl/>
        </w:rPr>
        <w:t xml:space="preserve"> </w:t>
      </w:r>
      <w:r>
        <w:rPr>
          <w:rFonts w:cs="Arial" w:hint="cs"/>
          <w:rtl/>
        </w:rPr>
        <w:t>וכתב ה</w:t>
      </w:r>
      <w:r>
        <w:rPr>
          <w:rFonts w:hint="cs"/>
          <w:rtl/>
        </w:rPr>
        <w:t xml:space="preserve">ש"ך (סק"ו) </w:t>
      </w:r>
      <w:r>
        <w:rPr>
          <w:rFonts w:cs="Arial" w:hint="cs"/>
          <w:rtl/>
        </w:rPr>
        <w:t>ש</w:t>
      </w:r>
      <w:r w:rsidRPr="00264B6B">
        <w:rPr>
          <w:rFonts w:cs="Arial"/>
          <w:rtl/>
        </w:rPr>
        <w:t>האמת אתו בזה</w:t>
      </w:r>
      <w:r>
        <w:rPr>
          <w:rFonts w:hint="cs"/>
          <w:rtl/>
        </w:rPr>
        <w:t xml:space="preserve">. אך הוסיף הש"ך </w:t>
      </w:r>
      <w:r>
        <w:rPr>
          <w:rFonts w:cs="Arial" w:hint="cs"/>
          <w:rtl/>
        </w:rPr>
        <w:t>ש</w:t>
      </w:r>
      <w:r>
        <w:rPr>
          <w:rFonts w:cs="Arial"/>
          <w:rtl/>
        </w:rPr>
        <w:t>דברי הנ</w:t>
      </w:r>
      <w:r>
        <w:rPr>
          <w:rFonts w:cs="Arial" w:hint="cs"/>
          <w:rtl/>
        </w:rPr>
        <w:t>מוק</w:t>
      </w:r>
      <w:r>
        <w:rPr>
          <w:rFonts w:cs="Arial"/>
          <w:rtl/>
        </w:rPr>
        <w:t>"י גופם תמוהים, דנראה דאין חילוק בין הוראת איסור והיתר לדיני ממונות, וכי היכי דבדיני ממונות בעינן מומחה ונטילת רשות לענין פטור תשלומין, או מומחה וקיבלו עלייהו, הוא הדין לענין איסור והיתר.</w:t>
      </w:r>
      <w:r>
        <w:rPr>
          <w:rFonts w:cs="Arial" w:hint="cs"/>
          <w:rtl/>
        </w:rPr>
        <w:t>..</w:t>
      </w:r>
      <w:r>
        <w:rPr>
          <w:rFonts w:cs="Arial"/>
          <w:rtl/>
        </w:rPr>
        <w:t xml:space="preserve"> ומדברי כל הפוסקים לא משמע כ</w:t>
      </w:r>
      <w:r>
        <w:rPr>
          <w:rFonts w:cs="Arial" w:hint="cs"/>
          <w:rtl/>
        </w:rPr>
        <w:t>נמוק"י</w:t>
      </w:r>
      <w:r>
        <w:rPr>
          <w:rFonts w:cs="Arial"/>
          <w:rtl/>
        </w:rPr>
        <w:t>, שלא חילקו בין דיני ממונות לאיסור והיתר. גם מדברי בעל המאור [</w:t>
      </w:r>
      <w:r>
        <w:rPr>
          <w:rFonts w:cs="Arial" w:hint="cs"/>
          <w:rtl/>
        </w:rPr>
        <w:t xml:space="preserve">שם </w:t>
      </w:r>
      <w:r>
        <w:rPr>
          <w:rFonts w:cs="Arial"/>
          <w:rtl/>
        </w:rPr>
        <w:t>יא</w:t>
      </w:r>
      <w:r>
        <w:rPr>
          <w:rFonts w:cs="Arial" w:hint="cs"/>
          <w:rtl/>
        </w:rPr>
        <w:t>.</w:t>
      </w:r>
      <w:r>
        <w:rPr>
          <w:rFonts w:cs="Arial"/>
          <w:rtl/>
        </w:rPr>
        <w:t>] מבואר להדיא דלא כהנ</w:t>
      </w:r>
      <w:r>
        <w:rPr>
          <w:rFonts w:cs="Arial" w:hint="cs"/>
          <w:rtl/>
        </w:rPr>
        <w:t>מוק</w:t>
      </w:r>
      <w:r>
        <w:rPr>
          <w:rFonts w:cs="Arial"/>
          <w:rtl/>
        </w:rPr>
        <w:t>"י</w:t>
      </w:r>
      <w:r>
        <w:rPr>
          <w:rFonts w:cs="Arial" w:hint="cs"/>
          <w:rtl/>
        </w:rPr>
        <w:t xml:space="preserve">... </w:t>
      </w:r>
      <w:r>
        <w:rPr>
          <w:rFonts w:cs="Arial"/>
          <w:rtl/>
        </w:rPr>
        <w:t>גם מדברי התוס</w:t>
      </w:r>
      <w:r>
        <w:rPr>
          <w:rFonts w:cs="Arial" w:hint="cs"/>
          <w:rtl/>
        </w:rPr>
        <w:t>'</w:t>
      </w:r>
      <w:r>
        <w:rPr>
          <w:rFonts w:cs="Arial"/>
          <w:rtl/>
        </w:rPr>
        <w:t xml:space="preserve"> </w:t>
      </w:r>
      <w:r>
        <w:rPr>
          <w:rFonts w:cs="Arial" w:hint="cs"/>
          <w:rtl/>
        </w:rPr>
        <w:t>(</w:t>
      </w:r>
      <w:r>
        <w:rPr>
          <w:rFonts w:cs="Arial"/>
          <w:rtl/>
        </w:rPr>
        <w:t>רפ"ק דסנהדרין ה</w:t>
      </w:r>
      <w:r>
        <w:rPr>
          <w:rFonts w:cs="Arial" w:hint="cs"/>
          <w:rtl/>
        </w:rPr>
        <w:t>: ד"ה אי גמיר)...</w:t>
      </w:r>
      <w:r>
        <w:rPr>
          <w:rFonts w:hint="cs"/>
          <w:rtl/>
        </w:rPr>
        <w:t xml:space="preserve"> </w:t>
      </w:r>
      <w:r>
        <w:rPr>
          <w:rFonts w:cs="Arial"/>
          <w:rtl/>
        </w:rPr>
        <w:t xml:space="preserve">גם מדברי הרשב"א </w:t>
      </w:r>
      <w:r>
        <w:rPr>
          <w:rFonts w:cs="Arial" w:hint="cs"/>
          <w:rtl/>
        </w:rPr>
        <w:t>(</w:t>
      </w:r>
      <w:r>
        <w:rPr>
          <w:rFonts w:cs="Arial"/>
          <w:rtl/>
        </w:rPr>
        <w:t>חידו</w:t>
      </w:r>
      <w:r>
        <w:rPr>
          <w:rFonts w:cs="Arial" w:hint="cs"/>
          <w:rtl/>
        </w:rPr>
        <w:t>'</w:t>
      </w:r>
      <w:r>
        <w:rPr>
          <w:rFonts w:cs="Arial"/>
          <w:rtl/>
        </w:rPr>
        <w:t xml:space="preserve"> פרק אלו טרפות חולין מג</w:t>
      </w:r>
      <w:r>
        <w:rPr>
          <w:rFonts w:cs="Arial" w:hint="cs"/>
          <w:rtl/>
        </w:rPr>
        <w:t>:</w:t>
      </w:r>
      <w:r>
        <w:rPr>
          <w:rFonts w:cs="Arial"/>
          <w:rtl/>
        </w:rPr>
        <w:t xml:space="preserve"> ד"ה זילו</w:t>
      </w:r>
      <w:r>
        <w:rPr>
          <w:rFonts w:cs="Arial" w:hint="cs"/>
          <w:rtl/>
        </w:rPr>
        <w:t>)</w:t>
      </w:r>
      <w:r>
        <w:rPr>
          <w:rFonts w:cs="Arial"/>
          <w:rtl/>
        </w:rPr>
        <w:t xml:space="preserve"> מבואר להדיא</w:t>
      </w:r>
      <w:r>
        <w:rPr>
          <w:rFonts w:cs="Arial" w:hint="cs"/>
          <w:rtl/>
        </w:rPr>
        <w:t>...</w:t>
      </w:r>
      <w:r>
        <w:rPr>
          <w:rFonts w:cs="Arial"/>
          <w:rtl/>
        </w:rPr>
        <w:t xml:space="preserve"> דאם לא קיבלוהו אע</w:t>
      </w:r>
      <w:r>
        <w:rPr>
          <w:rFonts w:cs="Arial" w:hint="cs"/>
          <w:rtl/>
        </w:rPr>
        <w:t>"</w:t>
      </w:r>
      <w:r>
        <w:rPr>
          <w:rFonts w:cs="Arial"/>
          <w:rtl/>
        </w:rPr>
        <w:t>ג דמומחה הוה חייב אף בהוראת איסור והיתר.</w:t>
      </w:r>
      <w:r>
        <w:rPr>
          <w:rFonts w:cs="Arial" w:hint="cs"/>
          <w:rtl/>
        </w:rPr>
        <w:t xml:space="preserve">.. </w:t>
      </w:r>
      <w:r>
        <w:rPr>
          <w:rFonts w:cs="Arial"/>
          <w:rtl/>
        </w:rPr>
        <w:t>גם בב"י מחודש ח' כתב על דברי נ"י וצ"ע, ומביאו ד</w:t>
      </w:r>
      <w:r>
        <w:rPr>
          <w:rFonts w:cs="Arial" w:hint="cs"/>
          <w:rtl/>
        </w:rPr>
        <w:t>רכ</w:t>
      </w:r>
      <w:r>
        <w:rPr>
          <w:rFonts w:cs="Arial"/>
          <w:rtl/>
        </w:rPr>
        <w:t xml:space="preserve">"מ </w:t>
      </w:r>
      <w:r>
        <w:rPr>
          <w:rFonts w:cs="Arial" w:hint="cs"/>
          <w:rtl/>
        </w:rPr>
        <w:t>(</w:t>
      </w:r>
      <w:r>
        <w:rPr>
          <w:rFonts w:cs="Arial"/>
          <w:rtl/>
        </w:rPr>
        <w:t>ד"ה אין מחזירין</w:t>
      </w:r>
      <w:r>
        <w:rPr>
          <w:rFonts w:cs="Arial" w:hint="cs"/>
          <w:rtl/>
        </w:rPr>
        <w:t>)</w:t>
      </w:r>
      <w:r>
        <w:rPr>
          <w:rFonts w:cs="Arial"/>
          <w:rtl/>
        </w:rPr>
        <w:t>.</w:t>
      </w:r>
      <w:r>
        <w:rPr>
          <w:rFonts w:cs="Arial" w:hint="cs"/>
          <w:rtl/>
        </w:rPr>
        <w:t>..</w:t>
      </w:r>
      <w:r>
        <w:rPr>
          <w:rFonts w:cs="Arial"/>
          <w:rtl/>
        </w:rPr>
        <w:t xml:space="preserve"> הלכך נראה עיקר דאין חילוק בזה בין דיני ממונות להוראת איסור והיתר ודלא כהנ"י והר"ב. גם בעיר שושן ליתא הג"ה זו</w:t>
      </w:r>
      <w:r>
        <w:rPr>
          <w:rFonts w:cs="Arial" w:hint="cs"/>
          <w:rtl/>
        </w:rPr>
        <w:t>.</w:t>
      </w:r>
    </w:p>
  </w:footnote>
  <w:footnote w:id="1222">
    <w:p w14:paraId="76D73634" w14:textId="77777777" w:rsidR="0013116F" w:rsidRDefault="0013116F">
      <w:pPr>
        <w:pStyle w:val="a9"/>
      </w:pPr>
      <w:r>
        <w:rPr>
          <w:rStyle w:val="ab"/>
        </w:rPr>
        <w:footnoteRef/>
      </w:r>
      <w:r>
        <w:rPr>
          <w:rtl/>
        </w:rPr>
        <w:t xml:space="preserve"> </w:t>
      </w:r>
      <w:r>
        <w:rPr>
          <w:rFonts w:hint="cs"/>
          <w:rtl/>
        </w:rPr>
        <w:t xml:space="preserve">סימן </w:t>
      </w:r>
      <w:r>
        <w:rPr>
          <w:rtl/>
        </w:rPr>
        <w:t>–</w:t>
      </w:r>
      <w:r>
        <w:rPr>
          <w:rFonts w:hint="cs"/>
          <w:rtl/>
        </w:rPr>
        <w:t xml:space="preserve"> המומחה.</w:t>
      </w:r>
    </w:p>
  </w:footnote>
  <w:footnote w:id="1223">
    <w:p w14:paraId="39476426" w14:textId="77777777" w:rsidR="0013116F" w:rsidRDefault="0013116F" w:rsidP="00AC7A89">
      <w:pPr>
        <w:pStyle w:val="a9"/>
      </w:pPr>
      <w:r>
        <w:rPr>
          <w:rStyle w:val="ab"/>
        </w:rPr>
        <w:footnoteRef/>
      </w:r>
      <w:r>
        <w:rPr>
          <w:rtl/>
        </w:rPr>
        <w:t xml:space="preserve"> </w:t>
      </w:r>
      <w:r>
        <w:rPr>
          <w:rFonts w:hint="cs"/>
          <w:rtl/>
        </w:rPr>
        <w:t xml:space="preserve">סימן </w:t>
      </w:r>
      <w:r>
        <w:rPr>
          <w:rtl/>
        </w:rPr>
        <w:t>–</w:t>
      </w:r>
      <w:r>
        <w:rPr>
          <w:rFonts w:hint="cs"/>
          <w:rtl/>
        </w:rPr>
        <w:t xml:space="preserve"> חייב בכדי.</w:t>
      </w:r>
    </w:p>
  </w:footnote>
  <w:footnote w:id="1224">
    <w:p w14:paraId="02D9D801" w14:textId="77777777" w:rsidR="0013116F" w:rsidRDefault="0013116F" w:rsidP="00AC7A89">
      <w:pPr>
        <w:pStyle w:val="a9"/>
      </w:pPr>
      <w:r>
        <w:rPr>
          <w:rStyle w:val="ab"/>
        </w:rPr>
        <w:footnoteRef/>
      </w:r>
      <w:r>
        <w:rPr>
          <w:rtl/>
        </w:rPr>
        <w:t xml:space="preserve"> </w:t>
      </w:r>
      <w:r>
        <w:rPr>
          <w:rFonts w:hint="cs"/>
          <w:rtl/>
        </w:rPr>
        <w:t xml:space="preserve">סימן </w:t>
      </w:r>
      <w:r>
        <w:rPr>
          <w:rtl/>
        </w:rPr>
        <w:t>–</w:t>
      </w:r>
      <w:r>
        <w:rPr>
          <w:rFonts w:hint="cs"/>
          <w:rtl/>
        </w:rPr>
        <w:t xml:space="preserve"> גביה ללא לימוד גמור.</w:t>
      </w:r>
    </w:p>
  </w:footnote>
  <w:footnote w:id="1225">
    <w:p w14:paraId="7A405BCD" w14:textId="77777777" w:rsidR="0013116F" w:rsidRDefault="0013116F" w:rsidP="00F207F5">
      <w:pPr>
        <w:pStyle w:val="a9"/>
        <w:rPr>
          <w:rtl/>
        </w:rPr>
      </w:pPr>
      <w:r>
        <w:rPr>
          <w:rStyle w:val="ab"/>
        </w:rPr>
        <w:footnoteRef/>
      </w:r>
      <w:r>
        <w:rPr>
          <w:rtl/>
        </w:rPr>
        <w:t xml:space="preserve"> </w:t>
      </w:r>
      <w:r w:rsidRPr="00EC5ADB">
        <w:rPr>
          <w:rFonts w:cs="Arial"/>
          <w:rtl/>
        </w:rPr>
        <w:t>סותרין את הדין, לאחר שגמרוהו וידעו שטעו - מחזירין את הדבר בין לזכות בין לחובה</w:t>
      </w:r>
      <w:r>
        <w:rPr>
          <w:rFonts w:cs="Arial" w:hint="cs"/>
          <w:rtl/>
        </w:rPr>
        <w:t>, רש"י</w:t>
      </w:r>
      <w:r w:rsidRPr="00EC5ADB">
        <w:rPr>
          <w:rFonts w:cs="Arial"/>
          <w:rtl/>
        </w:rPr>
        <w:t>.</w:t>
      </w:r>
    </w:p>
  </w:footnote>
  <w:footnote w:id="1226">
    <w:p w14:paraId="120EC595" w14:textId="77777777" w:rsidR="0013116F" w:rsidRDefault="0013116F" w:rsidP="00F207F5">
      <w:pPr>
        <w:pStyle w:val="a9"/>
        <w:rPr>
          <w:rtl/>
        </w:rPr>
      </w:pPr>
      <w:r>
        <w:rPr>
          <w:rStyle w:val="ab"/>
        </w:rPr>
        <w:footnoteRef/>
      </w:r>
      <w:r>
        <w:rPr>
          <w:rtl/>
        </w:rPr>
        <w:t xml:space="preserve"> </w:t>
      </w:r>
      <w:r w:rsidRPr="00EC0169">
        <w:rPr>
          <w:rFonts w:cs="Arial"/>
          <w:rtl/>
        </w:rPr>
        <w:t>אלמא לא הדר</w:t>
      </w:r>
      <w:r>
        <w:rPr>
          <w:rFonts w:cs="Arial" w:hint="cs"/>
          <w:rtl/>
        </w:rPr>
        <w:t>, רש"י</w:t>
      </w:r>
      <w:r w:rsidRPr="00EC0169">
        <w:rPr>
          <w:rFonts w:cs="Arial"/>
          <w:rtl/>
        </w:rPr>
        <w:t>.</w:t>
      </w:r>
    </w:p>
  </w:footnote>
  <w:footnote w:id="1227">
    <w:p w14:paraId="5BBEA424" w14:textId="77777777" w:rsidR="0013116F" w:rsidRDefault="0013116F" w:rsidP="00F207F5">
      <w:pPr>
        <w:pStyle w:val="a9"/>
      </w:pPr>
      <w:r>
        <w:rPr>
          <w:rStyle w:val="ab"/>
        </w:rPr>
        <w:footnoteRef/>
      </w:r>
      <w:r>
        <w:rPr>
          <w:rtl/>
        </w:rPr>
        <w:t xml:space="preserve"> </w:t>
      </w:r>
      <w:r w:rsidRPr="00EC0169">
        <w:rPr>
          <w:rFonts w:cs="Arial"/>
          <w:rtl/>
        </w:rPr>
        <w:t>יש בו כח לחזור, ולא מצי למימר ליה בעל דין: אנא כי טעמא קמא דידך עבדינא, אבל בשאינו מומחה מצי אמר ליה: מי יימר דטעמא בתרא דידך עיקר דילמא קמא עיקר ובהאי הוא דטעית</w:t>
      </w:r>
      <w:r>
        <w:rPr>
          <w:rFonts w:cs="Arial" w:hint="cs"/>
          <w:rtl/>
        </w:rPr>
        <w:t>, רש"י</w:t>
      </w:r>
      <w:r w:rsidRPr="00EC0169">
        <w:rPr>
          <w:rFonts w:cs="Arial"/>
          <w:rtl/>
        </w:rPr>
        <w:t>.</w:t>
      </w:r>
    </w:p>
  </w:footnote>
  <w:footnote w:id="1228">
    <w:p w14:paraId="3BABF011" w14:textId="77777777" w:rsidR="0013116F" w:rsidRDefault="0013116F" w:rsidP="00F207F5">
      <w:pPr>
        <w:pStyle w:val="a9"/>
        <w:rPr>
          <w:rtl/>
        </w:rPr>
      </w:pPr>
      <w:r>
        <w:rPr>
          <w:rStyle w:val="ab"/>
        </w:rPr>
        <w:footnoteRef/>
      </w:r>
      <w:r>
        <w:rPr>
          <w:rtl/>
        </w:rPr>
        <w:t xml:space="preserve"> </w:t>
      </w:r>
      <w:r w:rsidRPr="00EC0169">
        <w:rPr>
          <w:rFonts w:cs="Arial"/>
          <w:rtl/>
        </w:rPr>
        <w:t>אלמא מה שעשה עשוי, ומיהו פטור מלשלם דכיון דמומחא הוא מזלא בישא דההוא גברא גרם ליה למיטעי</w:t>
      </w:r>
      <w:r>
        <w:rPr>
          <w:rFonts w:cs="Arial" w:hint="cs"/>
          <w:rtl/>
        </w:rPr>
        <w:t>, רש"י</w:t>
      </w:r>
      <w:r w:rsidRPr="00EC0169">
        <w:rPr>
          <w:rFonts w:cs="Arial"/>
          <w:rtl/>
        </w:rPr>
        <w:t>.</w:t>
      </w:r>
    </w:p>
  </w:footnote>
  <w:footnote w:id="1229">
    <w:p w14:paraId="4E2580BC" w14:textId="77777777" w:rsidR="0013116F" w:rsidRDefault="0013116F" w:rsidP="00F207F5">
      <w:pPr>
        <w:pStyle w:val="a9"/>
        <w:rPr>
          <w:rtl/>
        </w:rPr>
      </w:pPr>
      <w:r>
        <w:rPr>
          <w:rStyle w:val="ab"/>
        </w:rPr>
        <w:footnoteRef/>
      </w:r>
      <w:r>
        <w:rPr>
          <w:rtl/>
        </w:rPr>
        <w:t xml:space="preserve"> </w:t>
      </w:r>
      <w:r w:rsidRPr="00EC0169">
        <w:rPr>
          <w:rFonts w:cs="Arial"/>
          <w:rtl/>
        </w:rPr>
        <w:t>אותו גדול מחזיר דבריו של זה, דיש בו כח לבטל</w:t>
      </w:r>
      <w:r>
        <w:rPr>
          <w:rFonts w:cs="Arial" w:hint="cs"/>
          <w:rtl/>
        </w:rPr>
        <w:t>, רש"י</w:t>
      </w:r>
      <w:r w:rsidRPr="00EC0169">
        <w:rPr>
          <w:rFonts w:cs="Arial"/>
          <w:rtl/>
        </w:rPr>
        <w:t>.</w:t>
      </w:r>
    </w:p>
  </w:footnote>
  <w:footnote w:id="1230">
    <w:p w14:paraId="0FC88DDB" w14:textId="77777777" w:rsidR="0013116F" w:rsidRDefault="0013116F" w:rsidP="00F207F5">
      <w:pPr>
        <w:pStyle w:val="a9"/>
        <w:rPr>
          <w:rtl/>
        </w:rPr>
      </w:pPr>
      <w:r>
        <w:rPr>
          <w:rStyle w:val="ab"/>
        </w:rPr>
        <w:footnoteRef/>
      </w:r>
      <w:r>
        <w:rPr>
          <w:rtl/>
        </w:rPr>
        <w:t xml:space="preserve"> </w:t>
      </w:r>
      <w:r w:rsidRPr="00EC0169">
        <w:rPr>
          <w:rFonts w:cs="Arial"/>
          <w:rtl/>
        </w:rPr>
        <w:t>לא ציית ליה בעל דין לאהדורי עובדא, ואפילו זה אומר: טעיתי, לאו כל כמיניה</w:t>
      </w:r>
      <w:r>
        <w:rPr>
          <w:rFonts w:cs="Arial" w:hint="cs"/>
          <w:rtl/>
        </w:rPr>
        <w:t>, רש"י</w:t>
      </w:r>
      <w:r w:rsidRPr="00EC0169">
        <w:rPr>
          <w:rFonts w:cs="Arial"/>
          <w:rtl/>
        </w:rPr>
        <w:t>.</w:t>
      </w:r>
    </w:p>
  </w:footnote>
  <w:footnote w:id="1231">
    <w:p w14:paraId="1BF6D112" w14:textId="77777777" w:rsidR="0013116F" w:rsidRDefault="0013116F" w:rsidP="00F207F5">
      <w:pPr>
        <w:pStyle w:val="a9"/>
      </w:pPr>
      <w:r>
        <w:rPr>
          <w:rStyle w:val="ab"/>
        </w:rPr>
        <w:footnoteRef/>
      </w:r>
      <w:r>
        <w:rPr>
          <w:rtl/>
        </w:rPr>
        <w:t xml:space="preserve"> </w:t>
      </w:r>
      <w:r w:rsidRPr="00EC0169">
        <w:rPr>
          <w:rFonts w:cs="Arial"/>
          <w:rtl/>
        </w:rPr>
        <w:t>שטעותו מצוי בדבר המשנה - אין דינו דין לגמרי, וחוזר</w:t>
      </w:r>
      <w:r>
        <w:rPr>
          <w:rFonts w:cs="Arial" w:hint="cs"/>
          <w:rtl/>
        </w:rPr>
        <w:t>, רש"י</w:t>
      </w:r>
      <w:r w:rsidRPr="00EC0169">
        <w:rPr>
          <w:rFonts w:cs="Arial"/>
          <w:rtl/>
        </w:rPr>
        <w:t>.</w:t>
      </w:r>
    </w:p>
  </w:footnote>
  <w:footnote w:id="1232">
    <w:p w14:paraId="66BF5017" w14:textId="77777777" w:rsidR="0013116F" w:rsidRDefault="0013116F" w:rsidP="00F207F5">
      <w:pPr>
        <w:pStyle w:val="a9"/>
      </w:pPr>
      <w:r>
        <w:rPr>
          <w:rStyle w:val="ab"/>
        </w:rPr>
        <w:footnoteRef/>
      </w:r>
      <w:r>
        <w:rPr>
          <w:rtl/>
        </w:rPr>
        <w:t xml:space="preserve"> </w:t>
      </w:r>
      <w:r w:rsidRPr="00EC0169">
        <w:rPr>
          <w:rFonts w:cs="Arial"/>
          <w:rtl/>
        </w:rPr>
        <w:t>האי דבר משנה דקאמר מי אמרינן דאפילו טעה בדבר המשנה בתוספתא דבי רבי חייא ורבי אושעיא, שהם סידרו התוספתא וסתמו בה מה שסתמו, ולא הוי עיקר כל כך כמשנתנו שסתמה רבי, שהיה גדול מהם וכל הישיבה מצויה אצלו על ידי שהוא נשיא, ודקדקו עמו בדברים והעמידום על בוריים</w:t>
      </w:r>
      <w:r>
        <w:rPr>
          <w:rFonts w:cs="Arial" w:hint="cs"/>
          <w:rtl/>
        </w:rPr>
        <w:t>, רש"י.</w:t>
      </w:r>
    </w:p>
  </w:footnote>
  <w:footnote w:id="1233">
    <w:p w14:paraId="5470772B" w14:textId="77777777" w:rsidR="0013116F" w:rsidRDefault="0013116F" w:rsidP="00F207F5">
      <w:pPr>
        <w:pStyle w:val="a9"/>
        <w:rPr>
          <w:rtl/>
        </w:rPr>
      </w:pPr>
      <w:r>
        <w:rPr>
          <w:rStyle w:val="ab"/>
        </w:rPr>
        <w:footnoteRef/>
      </w:r>
      <w:r>
        <w:rPr>
          <w:rtl/>
        </w:rPr>
        <w:t xml:space="preserve"> </w:t>
      </w:r>
      <w:r w:rsidRPr="00EC0169">
        <w:rPr>
          <w:rFonts w:cs="Arial"/>
          <w:rtl/>
        </w:rPr>
        <w:t>במימרא דידהו שפסקו מסברא שלהם, ולא הויא מתניתין אלא סברא</w:t>
      </w:r>
      <w:r>
        <w:rPr>
          <w:rFonts w:cs="Arial" w:hint="cs"/>
          <w:rtl/>
        </w:rPr>
        <w:t>, רש"י</w:t>
      </w:r>
      <w:r w:rsidRPr="00EC0169">
        <w:rPr>
          <w:rFonts w:cs="Arial"/>
          <w:rtl/>
        </w:rPr>
        <w:t>.</w:t>
      </w:r>
    </w:p>
  </w:footnote>
  <w:footnote w:id="1234">
    <w:p w14:paraId="79988D47" w14:textId="77777777" w:rsidR="0013116F" w:rsidRDefault="0013116F" w:rsidP="00F207F5">
      <w:pPr>
        <w:pStyle w:val="a9"/>
        <w:rPr>
          <w:rtl/>
        </w:rPr>
      </w:pPr>
      <w:r>
        <w:rPr>
          <w:rStyle w:val="ab"/>
        </w:rPr>
        <w:footnoteRef/>
      </w:r>
      <w:r>
        <w:rPr>
          <w:rtl/>
        </w:rPr>
        <w:t xml:space="preserve"> </w:t>
      </w:r>
      <w:r w:rsidRPr="00EC0169">
        <w:rPr>
          <w:rFonts w:cs="Arial"/>
          <w:rtl/>
        </w:rPr>
        <w:t>אחרי שאמרתי לך שאף הטועה בדברי האמוראים האחרונים חוזר, מאי גריעותנן מדאחריני</w:t>
      </w:r>
      <w:r>
        <w:rPr>
          <w:rFonts w:cs="Arial" w:hint="cs"/>
          <w:rtl/>
        </w:rPr>
        <w:t>, רש"י</w:t>
      </w:r>
      <w:r w:rsidRPr="00EC0169">
        <w:rPr>
          <w:rFonts w:cs="Arial"/>
          <w:rtl/>
        </w:rPr>
        <w:t>.</w:t>
      </w:r>
    </w:p>
  </w:footnote>
  <w:footnote w:id="1235">
    <w:p w14:paraId="6C70C2C5" w14:textId="77777777" w:rsidR="0013116F" w:rsidRDefault="0013116F" w:rsidP="00F207F5">
      <w:pPr>
        <w:pStyle w:val="a9"/>
        <w:rPr>
          <w:rtl/>
        </w:rPr>
      </w:pPr>
      <w:r>
        <w:rPr>
          <w:rStyle w:val="ab"/>
        </w:rPr>
        <w:footnoteRef/>
      </w:r>
      <w:r>
        <w:rPr>
          <w:rtl/>
        </w:rPr>
        <w:t xml:space="preserve"> </w:t>
      </w:r>
      <w:r>
        <w:rPr>
          <w:rFonts w:hint="cs"/>
          <w:rtl/>
        </w:rPr>
        <w:t>רש"י והב"י גרסו "סוגיין דעלמא", וכן נראה מלשון הטור.</w:t>
      </w:r>
    </w:p>
  </w:footnote>
  <w:footnote w:id="1236">
    <w:p w14:paraId="3CECE1A6" w14:textId="77777777" w:rsidR="0013116F" w:rsidRPr="001F2415" w:rsidRDefault="0013116F" w:rsidP="00976785">
      <w:pPr>
        <w:pStyle w:val="a9"/>
        <w:rPr>
          <w:rFonts w:cs="Arial"/>
          <w:rtl/>
        </w:rPr>
      </w:pPr>
      <w:r>
        <w:rPr>
          <w:rStyle w:val="ab"/>
        </w:rPr>
        <w:footnoteRef/>
      </w:r>
      <w:r>
        <w:rPr>
          <w:rtl/>
        </w:rPr>
        <w:t xml:space="preserve"> </w:t>
      </w:r>
      <w:r w:rsidRPr="002008FD">
        <w:rPr>
          <w:rFonts w:cs="Arial" w:hint="cs"/>
          <w:u w:val="single"/>
          <w:rtl/>
        </w:rPr>
        <w:t xml:space="preserve">ונחלקו הראשונים </w:t>
      </w:r>
      <w:r>
        <w:rPr>
          <w:rFonts w:cs="Arial" w:hint="cs"/>
          <w:u w:val="single"/>
          <w:rtl/>
        </w:rPr>
        <w:t>מה ה</w:t>
      </w:r>
      <w:r w:rsidRPr="002008FD">
        <w:rPr>
          <w:rFonts w:cs="Arial" w:hint="cs"/>
          <w:u w:val="single"/>
          <w:rtl/>
        </w:rPr>
        <w:t xml:space="preserve">פירוש </w:t>
      </w:r>
      <w:r>
        <w:rPr>
          <w:rFonts w:cs="Arial" w:hint="cs"/>
          <w:u w:val="single"/>
          <w:rtl/>
        </w:rPr>
        <w:t>ד-</w:t>
      </w:r>
      <w:r w:rsidRPr="002008FD">
        <w:rPr>
          <w:rFonts w:cs="Arial" w:hint="cs"/>
          <w:u w:val="single"/>
          <w:rtl/>
        </w:rPr>
        <w:t>'סוגיא דעלמא אזלי כאידך':</w:t>
      </w:r>
    </w:p>
    <w:p w14:paraId="66996E4D" w14:textId="77777777" w:rsidR="0013116F" w:rsidRPr="001F2415" w:rsidRDefault="0013116F" w:rsidP="004B0475">
      <w:pPr>
        <w:pStyle w:val="ac"/>
        <w:numPr>
          <w:ilvl w:val="0"/>
          <w:numId w:val="32"/>
        </w:numPr>
        <w:spacing w:after="0" w:line="240" w:lineRule="auto"/>
        <w:rPr>
          <w:sz w:val="20"/>
          <w:szCs w:val="20"/>
        </w:rPr>
      </w:pPr>
      <w:r w:rsidRPr="001F2415">
        <w:rPr>
          <w:sz w:val="20"/>
          <w:szCs w:val="20"/>
          <w:rtl/>
        </w:rPr>
        <w:t xml:space="preserve">רי"ף </w:t>
      </w:r>
      <w:r w:rsidRPr="001F2415">
        <w:rPr>
          <w:rFonts w:hint="cs"/>
          <w:sz w:val="16"/>
          <w:szCs w:val="16"/>
          <w:rtl/>
        </w:rPr>
        <w:t>(</w:t>
      </w:r>
      <w:r w:rsidRPr="001F2415">
        <w:rPr>
          <w:sz w:val="16"/>
          <w:szCs w:val="16"/>
          <w:rtl/>
        </w:rPr>
        <w:t>פ</w:t>
      </w:r>
      <w:r w:rsidRPr="001F2415">
        <w:rPr>
          <w:rFonts w:hint="cs"/>
          <w:sz w:val="16"/>
          <w:szCs w:val="16"/>
          <w:rtl/>
        </w:rPr>
        <w:t>'</w:t>
      </w:r>
      <w:r w:rsidRPr="001F2415">
        <w:rPr>
          <w:sz w:val="16"/>
          <w:szCs w:val="16"/>
          <w:rtl/>
        </w:rPr>
        <w:t xml:space="preserve"> שבועת הדיינים שבועות כג.)</w:t>
      </w:r>
      <w:r w:rsidRPr="001F2415">
        <w:rPr>
          <w:rFonts w:hint="cs"/>
          <w:sz w:val="20"/>
          <w:szCs w:val="20"/>
          <w:rtl/>
        </w:rPr>
        <w:t xml:space="preserve"> </w:t>
      </w:r>
      <w:r>
        <w:rPr>
          <w:rFonts w:hint="cs"/>
          <w:sz w:val="20"/>
          <w:szCs w:val="20"/>
          <w:rtl/>
        </w:rPr>
        <w:t>ו</w:t>
      </w:r>
      <w:r w:rsidRPr="001F2415">
        <w:rPr>
          <w:rFonts w:hint="cs"/>
          <w:sz w:val="20"/>
          <w:szCs w:val="20"/>
          <w:rtl/>
        </w:rPr>
        <w:t>טור-</w:t>
      </w:r>
      <w:r w:rsidRPr="001F2415">
        <w:rPr>
          <w:sz w:val="20"/>
          <w:szCs w:val="20"/>
          <w:rtl/>
        </w:rPr>
        <w:t xml:space="preserve"> כגון שסתמא דתלמודא פריך ממילתיה וכיוצא בזה</w:t>
      </w:r>
      <w:r w:rsidRPr="001F2415">
        <w:rPr>
          <w:rFonts w:hint="cs"/>
          <w:sz w:val="20"/>
          <w:szCs w:val="20"/>
          <w:rtl/>
        </w:rPr>
        <w:t xml:space="preserve"> </w:t>
      </w:r>
      <w:r w:rsidRPr="002008FD">
        <w:rPr>
          <w:rFonts w:hint="cs"/>
          <w:sz w:val="16"/>
          <w:szCs w:val="16"/>
          <w:rtl/>
        </w:rPr>
        <w:t>(ל' הטור)</w:t>
      </w:r>
      <w:r w:rsidRPr="001F2415">
        <w:rPr>
          <w:rFonts w:hint="cs"/>
          <w:sz w:val="20"/>
          <w:szCs w:val="20"/>
          <w:rtl/>
        </w:rPr>
        <w:t>.</w:t>
      </w:r>
      <w:r w:rsidRPr="001F2415">
        <w:rPr>
          <w:sz w:val="20"/>
          <w:szCs w:val="20"/>
          <w:rtl/>
        </w:rPr>
        <w:t xml:space="preserve"> </w:t>
      </w:r>
    </w:p>
    <w:p w14:paraId="27296760" w14:textId="77777777" w:rsidR="0013116F" w:rsidRPr="001F2415" w:rsidRDefault="0013116F" w:rsidP="004B0475">
      <w:pPr>
        <w:pStyle w:val="ac"/>
        <w:numPr>
          <w:ilvl w:val="0"/>
          <w:numId w:val="32"/>
        </w:numPr>
        <w:spacing w:after="0" w:line="240" w:lineRule="auto"/>
        <w:rPr>
          <w:sz w:val="20"/>
          <w:szCs w:val="20"/>
        </w:rPr>
      </w:pPr>
      <w:r w:rsidRPr="001F2415">
        <w:rPr>
          <w:sz w:val="20"/>
          <w:szCs w:val="20"/>
          <w:rtl/>
        </w:rPr>
        <w:t>רש"י</w:t>
      </w:r>
      <w:r w:rsidRPr="001F2415">
        <w:rPr>
          <w:rFonts w:hint="cs"/>
          <w:sz w:val="20"/>
          <w:szCs w:val="20"/>
          <w:rtl/>
        </w:rPr>
        <w:t xml:space="preserve"> </w:t>
      </w:r>
      <w:r w:rsidRPr="001F2415">
        <w:rPr>
          <w:rFonts w:hint="cs"/>
          <w:sz w:val="16"/>
          <w:szCs w:val="16"/>
          <w:rtl/>
        </w:rPr>
        <w:t>(</w:t>
      </w:r>
      <w:r>
        <w:rPr>
          <w:rFonts w:hint="cs"/>
          <w:sz w:val="16"/>
          <w:szCs w:val="16"/>
          <w:rtl/>
        </w:rPr>
        <w:t>ד"ה סוגיין דעלמא, ו</w:t>
      </w:r>
      <w:r w:rsidRPr="001F2415">
        <w:rPr>
          <w:rFonts w:hint="cs"/>
          <w:sz w:val="16"/>
          <w:szCs w:val="16"/>
          <w:rtl/>
        </w:rPr>
        <w:t>הביאו הטור</w:t>
      </w:r>
      <w:r>
        <w:rPr>
          <w:rFonts w:hint="cs"/>
          <w:sz w:val="16"/>
          <w:szCs w:val="16"/>
          <w:rtl/>
        </w:rPr>
        <w:t xml:space="preserve"> גם כן</w:t>
      </w:r>
      <w:r w:rsidRPr="001F2415">
        <w:rPr>
          <w:rFonts w:hint="cs"/>
          <w:sz w:val="16"/>
          <w:szCs w:val="16"/>
          <w:rtl/>
        </w:rPr>
        <w:t>)</w:t>
      </w:r>
      <w:r w:rsidRPr="001F2415">
        <w:rPr>
          <w:rFonts w:hint="cs"/>
          <w:sz w:val="20"/>
          <w:szCs w:val="20"/>
          <w:rtl/>
        </w:rPr>
        <w:t>-</w:t>
      </w:r>
      <w:r w:rsidRPr="001F2415">
        <w:rPr>
          <w:sz w:val="20"/>
          <w:szCs w:val="20"/>
          <w:rtl/>
        </w:rPr>
        <w:t xml:space="preserve"> </w:t>
      </w:r>
      <w:r w:rsidRPr="001F2415">
        <w:rPr>
          <w:rFonts w:hint="cs"/>
          <w:sz w:val="20"/>
          <w:szCs w:val="20"/>
          <w:rtl/>
        </w:rPr>
        <w:t>היינו של</w:t>
      </w:r>
      <w:r w:rsidRPr="001F2415">
        <w:rPr>
          <w:sz w:val="20"/>
          <w:szCs w:val="20"/>
          <w:rtl/>
        </w:rPr>
        <w:t>רוב הדיינים נרא</w:t>
      </w:r>
      <w:r w:rsidRPr="001F2415">
        <w:rPr>
          <w:rFonts w:hint="cs"/>
          <w:sz w:val="20"/>
          <w:szCs w:val="20"/>
          <w:rtl/>
        </w:rPr>
        <w:t>ים</w:t>
      </w:r>
      <w:r w:rsidRPr="001F2415">
        <w:rPr>
          <w:sz w:val="20"/>
          <w:szCs w:val="20"/>
          <w:rtl/>
        </w:rPr>
        <w:t xml:space="preserve"> דברי השני</w:t>
      </w:r>
      <w:r w:rsidRPr="001F2415">
        <w:rPr>
          <w:rFonts w:hint="cs"/>
          <w:sz w:val="20"/>
          <w:szCs w:val="20"/>
          <w:rtl/>
        </w:rPr>
        <w:t>.</w:t>
      </w:r>
    </w:p>
    <w:p w14:paraId="7A6F9AD3" w14:textId="77777777" w:rsidR="0013116F" w:rsidRPr="001F2415" w:rsidRDefault="0013116F" w:rsidP="004B0475">
      <w:pPr>
        <w:pStyle w:val="ac"/>
        <w:numPr>
          <w:ilvl w:val="0"/>
          <w:numId w:val="32"/>
        </w:numPr>
        <w:spacing w:after="0" w:line="240" w:lineRule="auto"/>
        <w:rPr>
          <w:sz w:val="20"/>
          <w:szCs w:val="20"/>
        </w:rPr>
      </w:pPr>
      <w:r w:rsidRPr="001F2415">
        <w:rPr>
          <w:sz w:val="20"/>
          <w:szCs w:val="20"/>
          <w:rtl/>
        </w:rPr>
        <w:t xml:space="preserve">רמב"ם </w:t>
      </w:r>
      <w:r w:rsidRPr="001F2415">
        <w:rPr>
          <w:rFonts w:hint="cs"/>
          <w:sz w:val="16"/>
          <w:szCs w:val="16"/>
          <w:rtl/>
        </w:rPr>
        <w:t>(</w:t>
      </w:r>
      <w:r w:rsidRPr="001F2415">
        <w:rPr>
          <w:sz w:val="16"/>
          <w:szCs w:val="16"/>
          <w:rtl/>
        </w:rPr>
        <w:t>פ</w:t>
      </w:r>
      <w:r w:rsidRPr="001F2415">
        <w:rPr>
          <w:rFonts w:hint="cs"/>
          <w:sz w:val="16"/>
          <w:szCs w:val="16"/>
          <w:rtl/>
        </w:rPr>
        <w:t>"</w:t>
      </w:r>
      <w:r w:rsidRPr="001F2415">
        <w:rPr>
          <w:sz w:val="16"/>
          <w:szCs w:val="16"/>
          <w:rtl/>
        </w:rPr>
        <w:t>ו מהל</w:t>
      </w:r>
      <w:r w:rsidRPr="001F2415">
        <w:rPr>
          <w:rFonts w:hint="cs"/>
          <w:sz w:val="16"/>
          <w:szCs w:val="16"/>
          <w:rtl/>
        </w:rPr>
        <w:t>'</w:t>
      </w:r>
      <w:r w:rsidRPr="001F2415">
        <w:rPr>
          <w:sz w:val="16"/>
          <w:szCs w:val="16"/>
          <w:rtl/>
        </w:rPr>
        <w:t xml:space="preserve"> סנהדרין</w:t>
      </w:r>
      <w:r w:rsidRPr="001F2415">
        <w:rPr>
          <w:rFonts w:hint="cs"/>
          <w:sz w:val="16"/>
          <w:szCs w:val="16"/>
          <w:rtl/>
        </w:rPr>
        <w:t xml:space="preserve"> </w:t>
      </w:r>
      <w:r w:rsidRPr="001F2415">
        <w:rPr>
          <w:sz w:val="16"/>
          <w:szCs w:val="16"/>
          <w:rtl/>
        </w:rPr>
        <w:t>ה"ב)</w:t>
      </w:r>
      <w:r w:rsidRPr="001F2415">
        <w:rPr>
          <w:rFonts w:hint="cs"/>
          <w:sz w:val="20"/>
          <w:szCs w:val="20"/>
          <w:rtl/>
        </w:rPr>
        <w:t>-</w:t>
      </w:r>
      <w:r w:rsidRPr="001F2415">
        <w:rPr>
          <w:sz w:val="20"/>
          <w:szCs w:val="20"/>
          <w:rtl/>
        </w:rPr>
        <w:t xml:space="preserve"> היינו שפשט המעשה בכל העולם כדברי האחד. </w:t>
      </w:r>
      <w:r w:rsidRPr="00811C7B">
        <w:rPr>
          <w:rFonts w:hint="cs"/>
          <w:color w:val="E36C0A" w:themeColor="accent6" w:themeShade="BF"/>
          <w:sz w:val="20"/>
          <w:szCs w:val="20"/>
          <w:rtl/>
        </w:rPr>
        <w:t>(וכ"כ בשו"ע)</w:t>
      </w:r>
    </w:p>
    <w:p w14:paraId="26937F66" w14:textId="77777777" w:rsidR="0013116F" w:rsidRPr="001F2415" w:rsidRDefault="0013116F" w:rsidP="004B0475">
      <w:pPr>
        <w:pStyle w:val="ac"/>
        <w:numPr>
          <w:ilvl w:val="1"/>
          <w:numId w:val="32"/>
        </w:numPr>
        <w:spacing w:after="0" w:line="240" w:lineRule="auto"/>
        <w:rPr>
          <w:sz w:val="20"/>
          <w:szCs w:val="20"/>
        </w:rPr>
      </w:pPr>
      <w:r w:rsidRPr="001F2415">
        <w:rPr>
          <w:rFonts w:hint="cs"/>
          <w:sz w:val="20"/>
          <w:szCs w:val="20"/>
          <w:rtl/>
        </w:rPr>
        <w:t xml:space="preserve">ב"י- </w:t>
      </w:r>
      <w:r w:rsidRPr="001F2415">
        <w:rPr>
          <w:sz w:val="20"/>
          <w:szCs w:val="20"/>
          <w:rtl/>
        </w:rPr>
        <w:t>ומשמע לי דכולהו פירושי איתנהו ובחד מהני גווני או בגוונא דכתב רש"י מיקרי טועה בשיקול הדעת</w:t>
      </w:r>
      <w:r w:rsidRPr="001F2415">
        <w:rPr>
          <w:rFonts w:hint="cs"/>
          <w:sz w:val="20"/>
          <w:szCs w:val="20"/>
          <w:rtl/>
        </w:rPr>
        <w:t>.</w:t>
      </w:r>
      <w:r w:rsidRPr="001F2415">
        <w:rPr>
          <w:sz w:val="20"/>
          <w:szCs w:val="20"/>
          <w:rtl/>
        </w:rPr>
        <w:t xml:space="preserve"> </w:t>
      </w:r>
    </w:p>
  </w:footnote>
  <w:footnote w:id="1237">
    <w:p w14:paraId="038B3184" w14:textId="77777777" w:rsidR="0013116F" w:rsidRDefault="0013116F" w:rsidP="00F207F5">
      <w:pPr>
        <w:pStyle w:val="a9"/>
      </w:pPr>
      <w:r>
        <w:rPr>
          <w:rStyle w:val="ab"/>
        </w:rPr>
        <w:footnoteRef/>
      </w:r>
      <w:r>
        <w:rPr>
          <w:rtl/>
        </w:rPr>
        <w:t xml:space="preserve"> </w:t>
      </w:r>
      <w:r w:rsidRPr="00EC0169">
        <w:rPr>
          <w:rFonts w:cs="Arial"/>
          <w:rtl/>
        </w:rPr>
        <w:t>מה שעשה עשוי</w:t>
      </w:r>
      <w:r>
        <w:rPr>
          <w:rFonts w:cs="Arial" w:hint="cs"/>
          <w:rtl/>
        </w:rPr>
        <w:t>, רש"י</w:t>
      </w:r>
      <w:r w:rsidRPr="00EC0169">
        <w:rPr>
          <w:rFonts w:cs="Arial"/>
          <w:rtl/>
        </w:rPr>
        <w:t>.</w:t>
      </w:r>
    </w:p>
  </w:footnote>
  <w:footnote w:id="1238">
    <w:p w14:paraId="0DF7570B" w14:textId="77777777" w:rsidR="0013116F" w:rsidRDefault="0013116F" w:rsidP="00F207F5">
      <w:pPr>
        <w:pStyle w:val="a9"/>
      </w:pPr>
      <w:r>
        <w:rPr>
          <w:rStyle w:val="ab"/>
        </w:rPr>
        <w:footnoteRef/>
      </w:r>
      <w:r>
        <w:rPr>
          <w:rtl/>
        </w:rPr>
        <w:t xml:space="preserve"> </w:t>
      </w:r>
      <w:r w:rsidRPr="00EC0169">
        <w:rPr>
          <w:rFonts w:cs="Arial"/>
          <w:rtl/>
        </w:rPr>
        <w:t>אלא צוה לבעל דין והוא עושה מעצמו - מחזיר הממון מזה שקיבלו לזה שנתנו</w:t>
      </w:r>
      <w:r>
        <w:rPr>
          <w:rFonts w:cs="Arial" w:hint="cs"/>
          <w:rtl/>
        </w:rPr>
        <w:t>, רש"י</w:t>
      </w:r>
      <w:r w:rsidRPr="00EC0169">
        <w:rPr>
          <w:rFonts w:cs="Arial"/>
          <w:rtl/>
        </w:rPr>
        <w:t>.</w:t>
      </w:r>
    </w:p>
  </w:footnote>
  <w:footnote w:id="1239">
    <w:p w14:paraId="64D2FC6A" w14:textId="77777777" w:rsidR="0013116F" w:rsidRDefault="0013116F" w:rsidP="00F207F5">
      <w:pPr>
        <w:pStyle w:val="a9"/>
      </w:pPr>
      <w:r>
        <w:rPr>
          <w:rStyle w:val="ab"/>
        </w:rPr>
        <w:footnoteRef/>
      </w:r>
      <w:r>
        <w:rPr>
          <w:rtl/>
        </w:rPr>
        <w:t xml:space="preserve"> </w:t>
      </w:r>
      <w:r w:rsidRPr="00920D31">
        <w:rPr>
          <w:rFonts w:cs="Arial"/>
          <w:rtl/>
        </w:rPr>
        <w:t>כדאמרינן (סנהדרין ה.) אמר רב האי מאן דבעי למידן דינא וכי טעי ליפטר ולא לישלם לינקוט רשותא מבי ריש גלותא</w:t>
      </w:r>
      <w:r w:rsidRPr="00920D31">
        <w:rPr>
          <w:rFonts w:cs="Arial" w:hint="cs"/>
          <w:rtl/>
        </w:rPr>
        <w:t>,</w:t>
      </w:r>
      <w:r>
        <w:rPr>
          <w:rFonts w:cs="Arial" w:hint="cs"/>
          <w:rtl/>
        </w:rPr>
        <w:t xml:space="preserve"> רי"ף.</w:t>
      </w:r>
    </w:p>
  </w:footnote>
  <w:footnote w:id="1240">
    <w:p w14:paraId="0D2A49EC" w14:textId="77777777" w:rsidR="0013116F" w:rsidRDefault="0013116F" w:rsidP="00F207F5">
      <w:pPr>
        <w:pStyle w:val="a9"/>
        <w:rPr>
          <w:rtl/>
        </w:rPr>
      </w:pPr>
      <w:r>
        <w:rPr>
          <w:rStyle w:val="ab"/>
        </w:rPr>
        <w:footnoteRef/>
      </w:r>
      <w:r>
        <w:rPr>
          <w:rtl/>
        </w:rPr>
        <w:t xml:space="preserve"> </w:t>
      </w:r>
      <w:r w:rsidRPr="00920D31">
        <w:rPr>
          <w:rFonts w:cs="Arial"/>
          <w:rtl/>
        </w:rPr>
        <w:t>כדפרשינן בטעמא דרב חסדא דכל היכא דאיכא פסידא למארי דינא הדר דינא</w:t>
      </w:r>
      <w:r>
        <w:rPr>
          <w:rFonts w:hint="cs"/>
          <w:rtl/>
        </w:rPr>
        <w:t>, רי"ף.</w:t>
      </w:r>
    </w:p>
  </w:footnote>
  <w:footnote w:id="1241">
    <w:p w14:paraId="2A62AD4A" w14:textId="77777777" w:rsidR="0013116F" w:rsidRDefault="0013116F" w:rsidP="00F207F5">
      <w:pPr>
        <w:pStyle w:val="a9"/>
      </w:pPr>
      <w:r>
        <w:rPr>
          <w:rStyle w:val="ab"/>
        </w:rPr>
        <w:footnoteRef/>
      </w:r>
      <w:r>
        <w:rPr>
          <w:rtl/>
        </w:rPr>
        <w:t xml:space="preserve"> </w:t>
      </w:r>
      <w:r w:rsidRPr="00920D31">
        <w:rPr>
          <w:rFonts w:cs="Arial"/>
          <w:rtl/>
        </w:rPr>
        <w:t>כדאמרינן (שם) רבה בר רב הונא דן דינא וטעה אתא לקמיה דרב אמר ליה אי קבלוך עלייהו לא תשלם ואי לא זיל שלם</w:t>
      </w:r>
      <w:r w:rsidRPr="00920D31">
        <w:rPr>
          <w:rFonts w:cs="Arial" w:hint="cs"/>
          <w:rtl/>
        </w:rPr>
        <w:t>,</w:t>
      </w:r>
      <w:r w:rsidRPr="00920D31">
        <w:rPr>
          <w:rFonts w:cs="Arial"/>
          <w:rtl/>
        </w:rPr>
        <w:t xml:space="preserve"> ואמרינן נמי (שם) מר זוטרא בריה דרב נחמן דן דינא וטעה אתא לקמיה דרב יוסף אמר ליה אי את קרית להו זיל שלם ואי אינהו קרו לך לא תשלם</w:t>
      </w:r>
      <w:r w:rsidRPr="00920D31">
        <w:rPr>
          <w:rFonts w:cs="Arial" w:hint="cs"/>
          <w:rtl/>
        </w:rPr>
        <w:t>,</w:t>
      </w:r>
      <w:r w:rsidRPr="00920D31">
        <w:rPr>
          <w:rFonts w:cs="Arial"/>
          <w:rtl/>
        </w:rPr>
        <w:t xml:space="preserve"> והני תרווייהו מומחין נינהו וממתניתין דדן את הדין נמי שמע מינה הכי דהא אוקימנא בשנשא ונתן ביד ואוקימנא בפ</w:t>
      </w:r>
      <w:r>
        <w:rPr>
          <w:rFonts w:cs="Arial" w:hint="cs"/>
          <w:rtl/>
        </w:rPr>
        <w:t>"</w:t>
      </w:r>
      <w:r w:rsidRPr="00920D31">
        <w:rPr>
          <w:rFonts w:cs="Arial"/>
          <w:rtl/>
        </w:rPr>
        <w:t>ק (ו.) בשקבלוהו בעלי דינא וקתני סיפא ואם היה מומחה לרבים פטור</w:t>
      </w:r>
      <w:r w:rsidRPr="00920D31">
        <w:rPr>
          <w:rFonts w:cs="Arial" w:hint="cs"/>
          <w:rtl/>
        </w:rPr>
        <w:t>,</w:t>
      </w:r>
      <w:r w:rsidRPr="00920D31">
        <w:rPr>
          <w:rFonts w:cs="Arial"/>
          <w:rtl/>
        </w:rPr>
        <w:t xml:space="preserve"> אלמא מומחה דקבלוהו בעלי דינא פטור ואע</w:t>
      </w:r>
      <w:r w:rsidRPr="00920D31">
        <w:rPr>
          <w:rFonts w:cs="Arial" w:hint="cs"/>
          <w:rtl/>
        </w:rPr>
        <w:t>"</w:t>
      </w:r>
      <w:r w:rsidRPr="00920D31">
        <w:rPr>
          <w:rFonts w:cs="Arial"/>
          <w:rtl/>
        </w:rPr>
        <w:t>פ שנשא ונתן ביד פטור</w:t>
      </w:r>
      <w:r>
        <w:rPr>
          <w:rFonts w:cs="Arial" w:hint="cs"/>
          <w:rtl/>
        </w:rPr>
        <w:t>, רי"ף.</w:t>
      </w:r>
    </w:p>
  </w:footnote>
  <w:footnote w:id="1242">
    <w:p w14:paraId="269EBF75" w14:textId="77777777" w:rsidR="0013116F" w:rsidRPr="004D7082" w:rsidRDefault="0013116F" w:rsidP="004D7082">
      <w:pPr>
        <w:pStyle w:val="a9"/>
        <w:rPr>
          <w:rtl/>
        </w:rPr>
      </w:pPr>
      <w:r>
        <w:rPr>
          <w:rStyle w:val="ab"/>
        </w:rPr>
        <w:footnoteRef/>
      </w:r>
      <w:r>
        <w:rPr>
          <w:rtl/>
        </w:rPr>
        <w:t xml:space="preserve"> </w:t>
      </w:r>
      <w:r>
        <w:rPr>
          <w:rFonts w:cs="Arial" w:hint="cs"/>
          <w:rtl/>
        </w:rPr>
        <w:t xml:space="preserve">ז"ל הרא"ש- </w:t>
      </w:r>
      <w:r w:rsidRPr="005377B4">
        <w:rPr>
          <w:rFonts w:cs="Arial"/>
          <w:rtl/>
        </w:rPr>
        <w:t>שלשה הדיוטות דקבלינהו עלייהו וטעו בשקול הדעת דינייהו דינא ואהני הקבלה דפטירי דכיון דאי לא קבלום עלייהו נמי דינייהו דינא אהני הקבלה למיפטרם ודינם כיחיד מומחה שדן את האדם בעל כרחו וכי קבלוהו עלייהו פטור</w:t>
      </w:r>
      <w:r>
        <w:rPr>
          <w:rFonts w:cs="Arial" w:hint="cs"/>
          <w:rtl/>
        </w:rPr>
        <w:t xml:space="preserve"> </w:t>
      </w:r>
      <w:r w:rsidRPr="006261B9">
        <w:rPr>
          <w:rFonts w:cs="Arial"/>
          <w:rtl/>
        </w:rPr>
        <w:t>כסיפא דמתניתין דדן את הדין</w:t>
      </w:r>
      <w:r>
        <w:rPr>
          <w:rFonts w:hint="cs"/>
          <w:rtl/>
        </w:rPr>
        <w:t xml:space="preserve">. </w:t>
      </w:r>
      <w:r w:rsidRPr="004D7082">
        <w:rPr>
          <w:rFonts w:hint="cs"/>
          <w:color w:val="00B0F0"/>
          <w:rtl/>
        </w:rPr>
        <w:t>וכ"פ הרמ"א</w:t>
      </w:r>
      <w:r>
        <w:rPr>
          <w:rFonts w:hint="cs"/>
          <w:rtl/>
        </w:rPr>
        <w:t>. וכתב הסמ"ע (סקט"ו) דגם הרמב"ם מודה שג' הדיוטות הרי הם כמומחה יחיד.</w:t>
      </w:r>
    </w:p>
  </w:footnote>
  <w:footnote w:id="1243">
    <w:p w14:paraId="3323C199" w14:textId="77777777" w:rsidR="0013116F" w:rsidRDefault="0013116F" w:rsidP="00F207F5">
      <w:pPr>
        <w:pStyle w:val="a9"/>
      </w:pPr>
      <w:r>
        <w:rPr>
          <w:rStyle w:val="ab"/>
        </w:rPr>
        <w:footnoteRef/>
      </w:r>
      <w:r>
        <w:rPr>
          <w:rtl/>
        </w:rPr>
        <w:t xml:space="preserve"> </w:t>
      </w:r>
      <w:r w:rsidRPr="00920D31">
        <w:rPr>
          <w:rFonts w:cs="Arial"/>
          <w:rtl/>
        </w:rPr>
        <w:t>כדאמרינן בההוא מעשה דרבה בר רב הונא אי קבלוך עלייהו לא תשלם</w:t>
      </w:r>
      <w:r w:rsidRPr="002D7131">
        <w:rPr>
          <w:rFonts w:cs="Arial"/>
          <w:rtl/>
        </w:rPr>
        <w:t xml:space="preserve"> </w:t>
      </w:r>
      <w:r w:rsidRPr="00920D31">
        <w:rPr>
          <w:rFonts w:cs="Arial"/>
          <w:rtl/>
        </w:rPr>
        <w:t>ואי לא זיל שלם</w:t>
      </w:r>
      <w:r>
        <w:rPr>
          <w:rFonts w:cs="Arial" w:hint="cs"/>
          <w:rtl/>
        </w:rPr>
        <w:t>, רי"ף.</w:t>
      </w:r>
      <w:r w:rsidRPr="00920D31">
        <w:rPr>
          <w:rFonts w:cs="Arial"/>
          <w:rtl/>
        </w:rPr>
        <w:t xml:space="preserve"> </w:t>
      </w:r>
    </w:p>
  </w:footnote>
  <w:footnote w:id="1244">
    <w:p w14:paraId="7DC6D91A" w14:textId="77777777" w:rsidR="0013116F" w:rsidRDefault="0013116F" w:rsidP="00F207F5">
      <w:pPr>
        <w:pStyle w:val="a9"/>
      </w:pPr>
      <w:r>
        <w:rPr>
          <w:rStyle w:val="ab"/>
        </w:rPr>
        <w:footnoteRef/>
      </w:r>
      <w:r>
        <w:rPr>
          <w:rtl/>
        </w:rPr>
        <w:t xml:space="preserve"> </w:t>
      </w:r>
      <w:r w:rsidRPr="00920D31">
        <w:rPr>
          <w:rFonts w:cs="Arial"/>
          <w:rtl/>
        </w:rPr>
        <w:t>כי טעמיה דרב חסדא</w:t>
      </w:r>
      <w:r>
        <w:rPr>
          <w:rFonts w:cs="Arial" w:hint="cs"/>
          <w:rtl/>
        </w:rPr>
        <w:t>, רי"ף.</w:t>
      </w:r>
    </w:p>
  </w:footnote>
  <w:footnote w:id="1245">
    <w:p w14:paraId="5083C86F" w14:textId="77777777" w:rsidR="0013116F" w:rsidRDefault="0013116F" w:rsidP="00F207F5">
      <w:pPr>
        <w:pStyle w:val="a9"/>
        <w:rPr>
          <w:rtl/>
        </w:rPr>
      </w:pPr>
      <w:r>
        <w:rPr>
          <w:rStyle w:val="ab"/>
        </w:rPr>
        <w:footnoteRef/>
      </w:r>
      <w:r>
        <w:rPr>
          <w:rtl/>
        </w:rPr>
        <w:t xml:space="preserve"> </w:t>
      </w:r>
      <w:r>
        <w:rPr>
          <w:rFonts w:cs="Arial" w:hint="cs"/>
          <w:rtl/>
        </w:rPr>
        <w:t>והוסיף הרמב"ם ד</w:t>
      </w:r>
      <w:r w:rsidRPr="001E251C">
        <w:rPr>
          <w:rFonts w:cs="Arial"/>
          <w:rtl/>
        </w:rPr>
        <w:t>אם אי אפשר לחזור ישלם מביתו</w:t>
      </w:r>
      <w:r>
        <w:rPr>
          <w:rFonts w:cs="Arial" w:hint="cs"/>
          <w:rtl/>
        </w:rPr>
        <w:t xml:space="preserve">. </w:t>
      </w:r>
      <w:r w:rsidRPr="0053709B">
        <w:rPr>
          <w:rFonts w:cs="Arial" w:hint="cs"/>
          <w:color w:val="E36C0A" w:themeColor="accent6" w:themeShade="BF"/>
          <w:rtl/>
        </w:rPr>
        <w:t>(וכ"פ בשו"ע)</w:t>
      </w:r>
      <w:r>
        <w:rPr>
          <w:rFonts w:cs="Arial" w:hint="cs"/>
          <w:rtl/>
        </w:rPr>
        <w:t xml:space="preserve">. </w:t>
      </w:r>
      <w:r>
        <w:rPr>
          <w:rFonts w:cs="Arial"/>
          <w:rtl/>
        </w:rPr>
        <w:t>ו</w:t>
      </w:r>
      <w:r>
        <w:rPr>
          <w:rFonts w:cs="Arial" w:hint="cs"/>
          <w:rtl/>
        </w:rPr>
        <w:t xml:space="preserve">כתב הב"י </w:t>
      </w:r>
      <w:r>
        <w:rPr>
          <w:rFonts w:cs="Arial"/>
          <w:rtl/>
        </w:rPr>
        <w:t xml:space="preserve">שזהו דעת גאון אחד שהביא הרי"ף והוא </w:t>
      </w:r>
      <w:r>
        <w:rPr>
          <w:rFonts w:cs="Arial" w:hint="cs"/>
          <w:sz w:val="16"/>
          <w:szCs w:val="16"/>
          <w:rtl/>
        </w:rPr>
        <w:t xml:space="preserve">{הרי"ף} </w:t>
      </w:r>
      <w:r>
        <w:rPr>
          <w:rFonts w:cs="Arial"/>
          <w:rtl/>
        </w:rPr>
        <w:t>ז"ל חלק עליו וסתר את דבריו</w:t>
      </w:r>
      <w:r>
        <w:rPr>
          <w:rFonts w:cs="Arial" w:hint="cs"/>
          <w:rtl/>
        </w:rPr>
        <w:t>,</w:t>
      </w:r>
      <w:r>
        <w:rPr>
          <w:rFonts w:cs="Arial"/>
          <w:rtl/>
        </w:rPr>
        <w:t xml:space="preserve"> ואין לומר שהרמב"ם ז"ל סובר כדעת הגאון ההוא</w:t>
      </w:r>
      <w:r>
        <w:rPr>
          <w:rFonts w:cs="Arial" w:hint="cs"/>
          <w:rtl/>
        </w:rPr>
        <w:t>,</w:t>
      </w:r>
      <w:r>
        <w:rPr>
          <w:rFonts w:cs="Arial"/>
          <w:rtl/>
        </w:rPr>
        <w:t xml:space="preserve"> שהרי טענת הגאון היא דכי אסיקנא כשנשא ונתן ביד דלא כרבי מאיר דדאין דינא דגרמי</w:t>
      </w:r>
      <w:r>
        <w:rPr>
          <w:rFonts w:cs="Arial" w:hint="cs"/>
          <w:rtl/>
        </w:rPr>
        <w:t>,</w:t>
      </w:r>
      <w:r>
        <w:rPr>
          <w:rFonts w:cs="Arial"/>
          <w:rtl/>
        </w:rPr>
        <w:t xml:space="preserve"> אבל אנן דקיי</w:t>
      </w:r>
      <w:r>
        <w:rPr>
          <w:rFonts w:cs="Arial" w:hint="cs"/>
          <w:rtl/>
        </w:rPr>
        <w:t>"</w:t>
      </w:r>
      <w:r>
        <w:rPr>
          <w:rFonts w:cs="Arial"/>
          <w:rtl/>
        </w:rPr>
        <w:t>ל כוותיה מי שאינו מומחה שטעה בשיקול הדעת אם א</w:t>
      </w:r>
      <w:r>
        <w:rPr>
          <w:rFonts w:cs="Arial" w:hint="cs"/>
          <w:rtl/>
        </w:rPr>
        <w:t>"</w:t>
      </w:r>
      <w:r>
        <w:rPr>
          <w:rFonts w:cs="Arial"/>
          <w:rtl/>
        </w:rPr>
        <w:t>א להחזיר ישלם מביתו</w:t>
      </w:r>
      <w:r>
        <w:rPr>
          <w:rFonts w:cs="Arial" w:hint="cs"/>
          <w:rtl/>
        </w:rPr>
        <w:t>,</w:t>
      </w:r>
      <w:r>
        <w:rPr>
          <w:rFonts w:cs="Arial"/>
          <w:rtl/>
        </w:rPr>
        <w:t xml:space="preserve"> והרי"ף דחה דבריו דאפילו לרבי מאיר פטור שאע</w:t>
      </w:r>
      <w:r>
        <w:rPr>
          <w:rFonts w:cs="Arial" w:hint="cs"/>
          <w:rtl/>
        </w:rPr>
        <w:t>"</w:t>
      </w:r>
      <w:r>
        <w:rPr>
          <w:rFonts w:cs="Arial"/>
          <w:rtl/>
        </w:rPr>
        <w:t>פ שגרם להזיק לא נתכוין להזיק וע"כ לא חייב רבי מאיר אלא בגורם המתכוין אבל לא בגורם שאינו מכוין כי האי</w:t>
      </w:r>
      <w:r>
        <w:rPr>
          <w:rFonts w:cs="Arial" w:hint="cs"/>
          <w:rtl/>
        </w:rPr>
        <w:t>.</w:t>
      </w:r>
      <w:r>
        <w:rPr>
          <w:rFonts w:cs="Arial"/>
          <w:rtl/>
        </w:rPr>
        <w:t xml:space="preserve"> והרמב"ם ז"ל כתב בר</w:t>
      </w:r>
      <w:r>
        <w:rPr>
          <w:rFonts w:cs="Arial" w:hint="cs"/>
          <w:rtl/>
        </w:rPr>
        <w:t>יש פ"</w:t>
      </w:r>
      <w:r>
        <w:rPr>
          <w:rFonts w:cs="Arial"/>
          <w:rtl/>
        </w:rPr>
        <w:t>ו (ה"א) שאע</w:t>
      </w:r>
      <w:r>
        <w:rPr>
          <w:rFonts w:cs="Arial" w:hint="cs"/>
          <w:rtl/>
        </w:rPr>
        <w:t>"</w:t>
      </w:r>
      <w:r>
        <w:rPr>
          <w:rFonts w:cs="Arial"/>
          <w:rtl/>
        </w:rPr>
        <w:t>פ שגרם להזיק לא נתכוין</w:t>
      </w:r>
      <w:r>
        <w:rPr>
          <w:rFonts w:cs="Arial" w:hint="cs"/>
          <w:rtl/>
        </w:rPr>
        <w:t>,</w:t>
      </w:r>
      <w:r>
        <w:rPr>
          <w:rFonts w:cs="Arial"/>
          <w:rtl/>
        </w:rPr>
        <w:t xml:space="preserve"> וצ"ל שסובר הרמב"ם ז"ל דבדין זה הלכה כדברי הגאון ולא מטעמיה</w:t>
      </w:r>
      <w:r>
        <w:rPr>
          <w:rFonts w:cs="Arial" w:hint="cs"/>
          <w:rtl/>
        </w:rPr>
        <w:t>,</w:t>
      </w:r>
      <w:r>
        <w:rPr>
          <w:rFonts w:cs="Arial"/>
          <w:rtl/>
        </w:rPr>
        <w:t xml:space="preserve"> אלא משום דסבירא ליה שבעל דין אין לו להפסיד אם לא </w:t>
      </w:r>
      <w:r>
        <w:rPr>
          <w:rFonts w:cs="Arial" w:hint="cs"/>
          <w:rtl/>
        </w:rPr>
        <w:t>ע"</w:t>
      </w:r>
      <w:r>
        <w:rPr>
          <w:rFonts w:cs="Arial"/>
          <w:rtl/>
        </w:rPr>
        <w:t>פ הפקר ב</w:t>
      </w:r>
      <w:r>
        <w:rPr>
          <w:rFonts w:cs="Arial" w:hint="cs"/>
          <w:rtl/>
        </w:rPr>
        <w:t>"</w:t>
      </w:r>
      <w:r>
        <w:rPr>
          <w:rFonts w:cs="Arial"/>
          <w:rtl/>
        </w:rPr>
        <w:t>ד במומחה דנקיט רשותא או ע</w:t>
      </w:r>
      <w:r>
        <w:rPr>
          <w:rFonts w:cs="Arial" w:hint="cs"/>
          <w:rtl/>
        </w:rPr>
        <w:t>"</w:t>
      </w:r>
      <w:r>
        <w:rPr>
          <w:rFonts w:cs="Arial"/>
          <w:rtl/>
        </w:rPr>
        <w:t>פ קבלת עצמו דהיינו שקבלוהו בעלי דינין עליהן</w:t>
      </w:r>
      <w:r>
        <w:rPr>
          <w:rFonts w:cs="Arial" w:hint="cs"/>
          <w:rtl/>
        </w:rPr>
        <w:t>,</w:t>
      </w:r>
      <w:r>
        <w:rPr>
          <w:rFonts w:cs="Arial"/>
          <w:rtl/>
        </w:rPr>
        <w:t xml:space="preserve"> אבל בדלא נקיט רשותא ולא קבלוהו אע</w:t>
      </w:r>
      <w:r>
        <w:rPr>
          <w:rFonts w:cs="Arial" w:hint="cs"/>
          <w:rtl/>
        </w:rPr>
        <w:t>"</w:t>
      </w:r>
      <w:r>
        <w:rPr>
          <w:rFonts w:cs="Arial"/>
          <w:rtl/>
        </w:rPr>
        <w:t>פ שהוא מומחה וכן מי שאינו מומחה אע</w:t>
      </w:r>
      <w:r>
        <w:rPr>
          <w:rFonts w:cs="Arial" w:hint="cs"/>
          <w:rtl/>
        </w:rPr>
        <w:t>"</w:t>
      </w:r>
      <w:r>
        <w:rPr>
          <w:rFonts w:cs="Arial"/>
          <w:rtl/>
        </w:rPr>
        <w:t>פ שקבלוהו עליהם לא מהני</w:t>
      </w:r>
      <w:r>
        <w:rPr>
          <w:rFonts w:cs="Arial" w:hint="cs"/>
          <w:rtl/>
        </w:rPr>
        <w:t>,</w:t>
      </w:r>
      <w:r>
        <w:rPr>
          <w:rFonts w:cs="Arial"/>
          <w:rtl/>
        </w:rPr>
        <w:t xml:space="preserve"> דאדעתא דדין תורה קבלוהו</w:t>
      </w:r>
      <w:r>
        <w:rPr>
          <w:rFonts w:cs="Arial" w:hint="cs"/>
          <w:rtl/>
        </w:rPr>
        <w:t>,</w:t>
      </w:r>
      <w:r>
        <w:rPr>
          <w:rFonts w:cs="Arial"/>
          <w:rtl/>
        </w:rPr>
        <w:t xml:space="preserve"> וכיון דאינו מומחה לא הוה איפשר ליה למידן דין תורה</w:t>
      </w:r>
      <w:r>
        <w:rPr>
          <w:rFonts w:cs="Arial" w:hint="cs"/>
          <w:rtl/>
        </w:rPr>
        <w:t>,</w:t>
      </w:r>
      <w:r>
        <w:rPr>
          <w:rFonts w:cs="Arial"/>
          <w:rtl/>
        </w:rPr>
        <w:t xml:space="preserve"> אם נשאו ונתנו הו"ל מזיקים ממש</w:t>
      </w:r>
      <w:r>
        <w:rPr>
          <w:rFonts w:cs="Arial" w:hint="cs"/>
          <w:rtl/>
        </w:rPr>
        <w:t>,</w:t>
      </w:r>
      <w:r>
        <w:rPr>
          <w:rFonts w:cs="Arial"/>
          <w:rtl/>
        </w:rPr>
        <w:t xml:space="preserve"> וכיון שהחזיקו דבריהם כל כך דינם דין ומשלמי</w:t>
      </w:r>
      <w:r>
        <w:rPr>
          <w:rFonts w:cs="Arial" w:hint="cs"/>
          <w:rtl/>
        </w:rPr>
        <w:t>.</w:t>
      </w:r>
      <w:r>
        <w:rPr>
          <w:rFonts w:cs="Arial"/>
          <w:rtl/>
        </w:rPr>
        <w:t xml:space="preserve"> וכשלא נשאו ונתנו יחזיר</w:t>
      </w:r>
      <w:r>
        <w:rPr>
          <w:rFonts w:cs="Arial" w:hint="cs"/>
          <w:rtl/>
        </w:rPr>
        <w:t>,</w:t>
      </w:r>
      <w:r>
        <w:rPr>
          <w:rFonts w:cs="Arial"/>
          <w:rtl/>
        </w:rPr>
        <w:t xml:space="preserve"> ואם </w:t>
      </w:r>
      <w:r>
        <w:rPr>
          <w:rFonts w:cs="Arial" w:hint="cs"/>
          <w:rtl/>
        </w:rPr>
        <w:t>א"א</w:t>
      </w:r>
      <w:r>
        <w:rPr>
          <w:rFonts w:cs="Arial"/>
          <w:rtl/>
        </w:rPr>
        <w:t xml:space="preserve"> ישלם מביתו כי היכי דלא ליפסיד מאריה דינא </w:t>
      </w:r>
      <w:r w:rsidRPr="00136811">
        <w:rPr>
          <w:rFonts w:cs="Arial" w:hint="cs"/>
          <w:sz w:val="16"/>
          <w:szCs w:val="16"/>
          <w:rtl/>
        </w:rPr>
        <w:t>(</w:t>
      </w:r>
      <w:r w:rsidRPr="00136811">
        <w:rPr>
          <w:rFonts w:cs="Arial"/>
          <w:sz w:val="16"/>
          <w:szCs w:val="16"/>
          <w:rtl/>
        </w:rPr>
        <w:t>ואע</w:t>
      </w:r>
      <w:r w:rsidRPr="00136811">
        <w:rPr>
          <w:rFonts w:cs="Arial" w:hint="cs"/>
          <w:sz w:val="16"/>
          <w:szCs w:val="16"/>
          <w:rtl/>
        </w:rPr>
        <w:t>"</w:t>
      </w:r>
      <w:r w:rsidRPr="00136811">
        <w:rPr>
          <w:rFonts w:cs="Arial"/>
          <w:sz w:val="16"/>
          <w:szCs w:val="16"/>
          <w:rtl/>
        </w:rPr>
        <w:t>ג דבראש הפרק גבי טועה בדבר משנה כתב שאם א</w:t>
      </w:r>
      <w:r w:rsidRPr="00136811">
        <w:rPr>
          <w:rFonts w:cs="Arial" w:hint="cs"/>
          <w:sz w:val="16"/>
          <w:szCs w:val="16"/>
          <w:rtl/>
        </w:rPr>
        <w:t>"א</w:t>
      </w:r>
      <w:r w:rsidRPr="00136811">
        <w:rPr>
          <w:rFonts w:cs="Arial"/>
          <w:sz w:val="16"/>
          <w:szCs w:val="16"/>
          <w:rtl/>
        </w:rPr>
        <w:t xml:space="preserve"> להחזיר פטור</w:t>
      </w:r>
      <w:r w:rsidRPr="00136811">
        <w:rPr>
          <w:rFonts w:cs="Arial" w:hint="cs"/>
          <w:sz w:val="16"/>
          <w:szCs w:val="16"/>
          <w:rtl/>
        </w:rPr>
        <w:t>,</w:t>
      </w:r>
      <w:r w:rsidRPr="00136811">
        <w:rPr>
          <w:rFonts w:cs="Arial"/>
          <w:sz w:val="16"/>
          <w:szCs w:val="16"/>
          <w:rtl/>
        </w:rPr>
        <w:t xml:space="preserve"> שאני התם דגלי לן תלמודא גבי רבי טרפון דטעה בדבר משנה ואמרינן כיון דאילו איתא לפרה דינך לאו דינא ולאו כלום עבדת השתא נמי לאו כלום עבדת</w:t>
      </w:r>
      <w:r w:rsidRPr="00136811">
        <w:rPr>
          <w:rFonts w:cs="Arial" w:hint="cs"/>
          <w:sz w:val="16"/>
          <w:szCs w:val="16"/>
          <w:rtl/>
        </w:rPr>
        <w:t>,</w:t>
      </w:r>
      <w:r w:rsidRPr="00136811">
        <w:rPr>
          <w:rFonts w:cs="Arial"/>
          <w:sz w:val="16"/>
          <w:szCs w:val="16"/>
          <w:rtl/>
        </w:rPr>
        <w:t xml:space="preserve"> אבל בטעה בשיקול הדעת דלא גלי לן תלמודא הכי אית לן למינקט דינא בגוונא דלא ליפסיד בעל דין. ועוד דבשלמא אי אמרת מי שאינו מומחה אע</w:t>
      </w:r>
      <w:r w:rsidRPr="00136811">
        <w:rPr>
          <w:rFonts w:cs="Arial" w:hint="cs"/>
          <w:sz w:val="16"/>
          <w:szCs w:val="16"/>
          <w:rtl/>
        </w:rPr>
        <w:t>"</w:t>
      </w:r>
      <w:r w:rsidRPr="00136811">
        <w:rPr>
          <w:rFonts w:cs="Arial"/>
          <w:sz w:val="16"/>
          <w:szCs w:val="16"/>
          <w:rtl/>
        </w:rPr>
        <w:t>פ שלא נשא ונתן ביד אם א</w:t>
      </w:r>
      <w:r w:rsidRPr="00136811">
        <w:rPr>
          <w:rFonts w:cs="Arial" w:hint="cs"/>
          <w:sz w:val="16"/>
          <w:szCs w:val="16"/>
          <w:rtl/>
        </w:rPr>
        <w:t>"</w:t>
      </w:r>
      <w:r w:rsidRPr="00136811">
        <w:rPr>
          <w:rFonts w:cs="Arial"/>
          <w:sz w:val="16"/>
          <w:szCs w:val="16"/>
          <w:rtl/>
        </w:rPr>
        <w:t>א לחזור ישלם מביתו היינו דטעי רבי טרפון דסבירא ליה דאפילו נקיט רשותא כל היכא דלא איפשר ישלם ואמר ליה רבי עקיבא דמאן דטעה בדבר משנה אפילו לא נקיט רשותא אי נמי טועה בשיקול הדעת ונקיט רשותא פטור ואי לא נקיט רשותא חייב אלא אי אמרת דאפילו מאן דלא נקיט רשותא פטור אם כן רבי טרפון דמומחה וסמוך הוה במאי טעי דהא אפילו אינו מומחה פטור אלא ודאי כדאמרן. ועוד דמדברי רבי עקיבא נלמוד דאמר ליה מומחה אתה וכל המומחה לרבים פטור ואם איתא דאפילו אינו מומחה אם קבלוהו עליהם פטור לימא ליה כיון דקבלוך עליהם פטור אתה דמסתמא דין זה שאלו מלפניו דלאו דינא דממון הוא דנימא שכפה אותם לדון לפניו וכיון דלא אמר ליה הכי שמע מיניה דאפילו קבלוהו עלייהו כיון שאינו מומחה חייב והוא הדין למומחה ולא קבילו עלייהו דתרווייהו בחד טעמא שייכי וחד דינא אית להו וליכא למימר דחדא ועוד קאמר כדקאמר תלמודא דא</w:t>
      </w:r>
      <w:r w:rsidRPr="00136811">
        <w:rPr>
          <w:rFonts w:cs="Arial" w:hint="cs"/>
          <w:sz w:val="16"/>
          <w:szCs w:val="16"/>
          <w:rtl/>
        </w:rPr>
        <w:t>"</w:t>
      </w:r>
      <w:r w:rsidRPr="00136811">
        <w:rPr>
          <w:rFonts w:cs="Arial"/>
          <w:sz w:val="16"/>
          <w:szCs w:val="16"/>
          <w:rtl/>
        </w:rPr>
        <w:t>כ הוה ליה תרי ועוד וחדא ועוד אמרינן בדוחק תרי ועוד לא אמרינן כנ"ל</w:t>
      </w:r>
      <w:r>
        <w:rPr>
          <w:rFonts w:cs="Arial" w:hint="cs"/>
          <w:sz w:val="16"/>
          <w:szCs w:val="16"/>
          <w:rtl/>
        </w:rPr>
        <w:t>)</w:t>
      </w:r>
      <w:r>
        <w:rPr>
          <w:rFonts w:cs="Arial" w:hint="cs"/>
          <w:rtl/>
        </w:rPr>
        <w:t>.</w:t>
      </w:r>
    </w:p>
  </w:footnote>
  <w:footnote w:id="1246">
    <w:p w14:paraId="6AAD2C41" w14:textId="77777777" w:rsidR="0013116F" w:rsidRDefault="0013116F" w:rsidP="00F207F5">
      <w:pPr>
        <w:pStyle w:val="a9"/>
        <w:rPr>
          <w:rtl/>
        </w:rPr>
      </w:pPr>
      <w:r>
        <w:rPr>
          <w:rStyle w:val="ab"/>
        </w:rPr>
        <w:footnoteRef/>
      </w:r>
      <w:r>
        <w:rPr>
          <w:rtl/>
        </w:rPr>
        <w:t xml:space="preserve"> </w:t>
      </w:r>
      <w:r w:rsidRPr="006261B9">
        <w:rPr>
          <w:rFonts w:cs="Arial"/>
          <w:rtl/>
        </w:rPr>
        <w:t>כדאמר ליה רב יוסף למר זוטרא ואי לא קבלוך עלייהו זיל שלים</w:t>
      </w:r>
      <w:r>
        <w:rPr>
          <w:rFonts w:hint="cs"/>
          <w:rtl/>
        </w:rPr>
        <w:t>, רא"ש.</w:t>
      </w:r>
    </w:p>
  </w:footnote>
  <w:footnote w:id="1247">
    <w:p w14:paraId="1087A2F7" w14:textId="77777777" w:rsidR="0013116F" w:rsidRDefault="0013116F" w:rsidP="00F207F5">
      <w:pPr>
        <w:pStyle w:val="a9"/>
        <w:rPr>
          <w:rtl/>
        </w:rPr>
      </w:pPr>
      <w:r>
        <w:rPr>
          <w:rStyle w:val="ab"/>
        </w:rPr>
        <w:footnoteRef/>
      </w:r>
      <w:r>
        <w:rPr>
          <w:rtl/>
        </w:rPr>
        <w:t xml:space="preserve"> </w:t>
      </w:r>
      <w:r w:rsidRPr="006261B9">
        <w:rPr>
          <w:rFonts w:cs="Arial"/>
          <w:rtl/>
        </w:rPr>
        <w:t>דלמפטר אי טעו לית להו רשותא והכי אמרינן בריש מכילתין (ג.) גבי שלשה הדיוטות אלא מעתה טעו לא ישלמו כל שכן שאתה נועל דלת בפני לוין ואמרינן נמי בפרק זה בורר (ל.) מיכתב היכי כתבינן וכו'</w:t>
      </w:r>
      <w:r>
        <w:rPr>
          <w:rFonts w:cs="Arial" w:hint="cs"/>
          <w:rtl/>
        </w:rPr>
        <w:t>, רא"ש</w:t>
      </w:r>
      <w:r w:rsidRPr="006261B9">
        <w:rPr>
          <w:rFonts w:cs="Arial"/>
          <w:rtl/>
        </w:rPr>
        <w:t>.</w:t>
      </w:r>
    </w:p>
  </w:footnote>
  <w:footnote w:id="1248">
    <w:p w14:paraId="3E83A00B" w14:textId="77777777" w:rsidR="0013116F" w:rsidRDefault="0013116F" w:rsidP="00F207F5">
      <w:pPr>
        <w:pStyle w:val="a9"/>
        <w:rPr>
          <w:rtl/>
        </w:rPr>
      </w:pPr>
      <w:r>
        <w:rPr>
          <w:rStyle w:val="ab"/>
        </w:rPr>
        <w:footnoteRef/>
      </w:r>
      <w:r>
        <w:rPr>
          <w:rtl/>
        </w:rPr>
        <w:t xml:space="preserve"> </w:t>
      </w:r>
      <w:r w:rsidRPr="00920D31">
        <w:rPr>
          <w:rFonts w:cs="Arial"/>
          <w:rtl/>
        </w:rPr>
        <w:t>כדתנן דן את הדין חייב את הזכאי וזיכה את החייב מה שעשה עשוי וישלם מביתו</w:t>
      </w:r>
      <w:r w:rsidRPr="00920D31">
        <w:rPr>
          <w:rFonts w:cs="Arial" w:hint="cs"/>
          <w:rtl/>
        </w:rPr>
        <w:t>,</w:t>
      </w:r>
      <w:r w:rsidRPr="00920D31">
        <w:rPr>
          <w:rFonts w:cs="Arial"/>
          <w:rtl/>
        </w:rPr>
        <w:t xml:space="preserve"> ואוקמא רב חסדא (סנהדרין לג.) בשנשא ונתן ביד</w:t>
      </w:r>
      <w:r w:rsidRPr="00920D31">
        <w:rPr>
          <w:rFonts w:cs="Arial" w:hint="cs"/>
          <w:rtl/>
        </w:rPr>
        <w:t>,</w:t>
      </w:r>
      <w:r w:rsidRPr="00920D31">
        <w:rPr>
          <w:rFonts w:cs="Arial"/>
          <w:rtl/>
        </w:rPr>
        <w:t xml:space="preserve"> ומדאמרינן (בכורות שם) בסיפא אם היה מומחה לרבים פטור שמעינן דרישא דקתני ישלם מביתו בדליתיה מומחה</w:t>
      </w:r>
      <w:r w:rsidRPr="00920D31">
        <w:rPr>
          <w:rFonts w:cs="Arial" w:hint="cs"/>
          <w:rtl/>
        </w:rPr>
        <w:t>,</w:t>
      </w:r>
      <w:r w:rsidRPr="00920D31">
        <w:rPr>
          <w:rFonts w:cs="Arial"/>
          <w:rtl/>
        </w:rPr>
        <w:t xml:space="preserve"> והאי מתניתין אוקימנא בפירקא קמא (ו.) בדקבלוהו בעלי דינין דאמרינן אמר רבי אבהו שנים שדנו אין דיניהם דין איתיביה רבי אבא לרבי אבהו דן את הדין זיכה את החייב חייב את הזכאי מה שעשה עשוי וישלם מביתו אמר ליה הכא במאי עסקינן כגון דקבלוהו עלייהו אי הכי אמאי ישלם מביתו דאמרי ליה כי קבילנא לך עילוון אדעתא דדיינת לך דינא דאורייתא</w:t>
      </w:r>
      <w:r w:rsidRPr="00920D31">
        <w:rPr>
          <w:rFonts w:cs="Arial" w:hint="cs"/>
          <w:rtl/>
        </w:rPr>
        <w:t>,</w:t>
      </w:r>
      <w:r w:rsidRPr="00920D31">
        <w:rPr>
          <w:rFonts w:cs="Arial"/>
          <w:rtl/>
        </w:rPr>
        <w:t xml:space="preserve"> וקיימא לן כרבי אבהו</w:t>
      </w:r>
      <w:r>
        <w:rPr>
          <w:rFonts w:hint="cs"/>
          <w:rtl/>
        </w:rPr>
        <w:t xml:space="preserve"> רי"ף.</w:t>
      </w:r>
    </w:p>
  </w:footnote>
  <w:footnote w:id="1249">
    <w:p w14:paraId="5A9F9651" w14:textId="77777777" w:rsidR="0013116F" w:rsidRDefault="0013116F" w:rsidP="00F207F5">
      <w:pPr>
        <w:pStyle w:val="a9"/>
        <w:rPr>
          <w:rtl/>
        </w:rPr>
      </w:pPr>
      <w:r>
        <w:rPr>
          <w:rStyle w:val="ab"/>
        </w:rPr>
        <w:footnoteRef/>
      </w:r>
      <w:r>
        <w:rPr>
          <w:rtl/>
        </w:rPr>
        <w:t xml:space="preserve"> </w:t>
      </w:r>
      <w:r w:rsidRPr="00920D31">
        <w:rPr>
          <w:rFonts w:cs="Arial"/>
          <w:rtl/>
        </w:rPr>
        <w:t>כי טעמא דרב חסדא וכדאוקמא למתניתין דדיני ממונות מחזירין בשלא נשא ונתן ביד</w:t>
      </w:r>
      <w:r>
        <w:rPr>
          <w:rFonts w:hint="cs"/>
          <w:rtl/>
        </w:rPr>
        <w:t>, רי"ף.</w:t>
      </w:r>
    </w:p>
  </w:footnote>
  <w:footnote w:id="1250">
    <w:p w14:paraId="375696D7" w14:textId="77777777" w:rsidR="0013116F" w:rsidRDefault="0013116F" w:rsidP="00F207F5">
      <w:pPr>
        <w:pStyle w:val="a9"/>
        <w:rPr>
          <w:rtl/>
        </w:rPr>
      </w:pPr>
      <w:r>
        <w:rPr>
          <w:rStyle w:val="ab"/>
        </w:rPr>
        <w:footnoteRef/>
      </w:r>
      <w:r>
        <w:rPr>
          <w:rtl/>
        </w:rPr>
        <w:t xml:space="preserve"> </w:t>
      </w:r>
      <w:r>
        <w:rPr>
          <w:rFonts w:cs="Arial" w:hint="cs"/>
          <w:rtl/>
        </w:rPr>
        <w:t>והוסיף הרמב"ם ד</w:t>
      </w:r>
      <w:r w:rsidRPr="001E251C">
        <w:rPr>
          <w:rFonts w:cs="Arial"/>
          <w:rtl/>
        </w:rPr>
        <w:t>אם אי אפשר לחזור ישלם מביתו</w:t>
      </w:r>
      <w:r>
        <w:rPr>
          <w:rFonts w:cs="Arial" w:hint="cs"/>
          <w:rtl/>
        </w:rPr>
        <w:t>.</w:t>
      </w:r>
      <w:r w:rsidRPr="0053709B">
        <w:rPr>
          <w:rFonts w:cs="Arial" w:hint="cs"/>
          <w:color w:val="E36C0A" w:themeColor="accent6" w:themeShade="BF"/>
          <w:rtl/>
        </w:rPr>
        <w:t xml:space="preserve"> (וכ"פ בשו"ע)</w:t>
      </w:r>
      <w:r>
        <w:rPr>
          <w:rFonts w:cs="Arial" w:hint="cs"/>
          <w:rtl/>
        </w:rPr>
        <w:t xml:space="preserve">. והרי"ף לא סובר כן, </w:t>
      </w:r>
      <w:r>
        <w:rPr>
          <w:rFonts w:cs="Arial"/>
          <w:rtl/>
        </w:rPr>
        <w:t>ו</w:t>
      </w:r>
      <w:r>
        <w:rPr>
          <w:rFonts w:cs="Arial" w:hint="cs"/>
          <w:rtl/>
        </w:rPr>
        <w:t>עיין לעיל מה שכתב הב"י בזה.</w:t>
      </w:r>
    </w:p>
  </w:footnote>
  <w:footnote w:id="1251">
    <w:p w14:paraId="0FE581C9" w14:textId="77777777" w:rsidR="0013116F" w:rsidRDefault="0013116F" w:rsidP="00F207F5">
      <w:pPr>
        <w:pStyle w:val="a9"/>
        <w:rPr>
          <w:rtl/>
        </w:rPr>
      </w:pPr>
      <w:r>
        <w:rPr>
          <w:rStyle w:val="ab"/>
        </w:rPr>
        <w:footnoteRef/>
      </w:r>
      <w:r>
        <w:rPr>
          <w:rtl/>
        </w:rPr>
        <w:t xml:space="preserve"> </w:t>
      </w:r>
      <w:r w:rsidRPr="006261B9">
        <w:rPr>
          <w:rFonts w:cs="Arial"/>
          <w:rtl/>
        </w:rPr>
        <w:t>ממתניתין דבכורות דן את הדין ואוקמה רבי אבהו לעיל (ו.) בדקבלו עלייהו ואוקמה רב ששת בטעה בשקול הדעת ואפילו לא נשאו ונתנו ביד</w:t>
      </w:r>
      <w:r>
        <w:rPr>
          <w:rFonts w:cs="Arial" w:hint="cs"/>
          <w:rtl/>
        </w:rPr>
        <w:t>, רא"ש</w:t>
      </w:r>
      <w:r w:rsidRPr="006261B9">
        <w:rPr>
          <w:rFonts w:cs="Arial"/>
          <w:rtl/>
        </w:rPr>
        <w:t>.</w:t>
      </w:r>
    </w:p>
  </w:footnote>
  <w:footnote w:id="1252">
    <w:p w14:paraId="72B0C107" w14:textId="77777777" w:rsidR="0013116F" w:rsidRDefault="0013116F" w:rsidP="00F207F5">
      <w:pPr>
        <w:pStyle w:val="a9"/>
        <w:rPr>
          <w:rtl/>
        </w:rPr>
      </w:pPr>
      <w:r>
        <w:rPr>
          <w:rStyle w:val="ab"/>
        </w:rPr>
        <w:footnoteRef/>
      </w:r>
      <w:r>
        <w:rPr>
          <w:rtl/>
        </w:rPr>
        <w:t xml:space="preserve"> </w:t>
      </w:r>
      <w:r w:rsidRPr="006261B9">
        <w:rPr>
          <w:rFonts w:cs="Arial"/>
          <w:rtl/>
        </w:rPr>
        <w:t>מדאמרינן בפרק קמא אהא מתניתין דדן את הדין הכא במאי עסקינן דקבלו עלייהו אי הכי אמאי משלם מביתו דאמרי ליה כי קבלנוך עלן אדעתא דדיינת לן דין תורה מכלל דאי קבלוהו עלייהו לכל מילי דיניה דינא ופטור</w:t>
      </w:r>
      <w:r>
        <w:rPr>
          <w:rFonts w:hint="cs"/>
          <w:rtl/>
        </w:rPr>
        <w:t>, רא"ש.</w:t>
      </w:r>
    </w:p>
  </w:footnote>
  <w:footnote w:id="1253">
    <w:p w14:paraId="01EA0E8D" w14:textId="77777777" w:rsidR="0013116F" w:rsidRDefault="0013116F" w:rsidP="00F207F5">
      <w:pPr>
        <w:pStyle w:val="a9"/>
        <w:rPr>
          <w:rtl/>
        </w:rPr>
      </w:pPr>
      <w:r>
        <w:rPr>
          <w:rStyle w:val="ab"/>
        </w:rPr>
        <w:footnoteRef/>
      </w:r>
      <w:r>
        <w:rPr>
          <w:rtl/>
        </w:rPr>
        <w:t xml:space="preserve"> </w:t>
      </w:r>
      <w:r w:rsidRPr="006261B9">
        <w:rPr>
          <w:rFonts w:cs="Arial"/>
          <w:rtl/>
        </w:rPr>
        <w:t>כדאמרינן בפרק קמא (ה.) אמר שמואל האי מאן דבעי למידן דינא ואי טעי ליפטר לינקוט רשותא מבי ריש גלותא ומשמע לא שנא מומחה ולא שנא אינו מומחה דכיון דיהבו ליה רשותא כמומחה הוי</w:t>
      </w:r>
      <w:r>
        <w:rPr>
          <w:rFonts w:hint="cs"/>
          <w:rtl/>
        </w:rPr>
        <w:t>, רא"ש.</w:t>
      </w:r>
    </w:p>
  </w:footnote>
  <w:footnote w:id="1254">
    <w:p w14:paraId="0B3CE502" w14:textId="77777777" w:rsidR="0013116F" w:rsidRDefault="0013116F" w:rsidP="00F207F5">
      <w:pPr>
        <w:pStyle w:val="a9"/>
        <w:rPr>
          <w:rtl/>
        </w:rPr>
      </w:pPr>
      <w:r>
        <w:rPr>
          <w:rStyle w:val="ab"/>
        </w:rPr>
        <w:footnoteRef/>
      </w:r>
      <w:r>
        <w:rPr>
          <w:rtl/>
        </w:rPr>
        <w:t xml:space="preserve"> </w:t>
      </w:r>
      <w:r w:rsidRPr="006261B9">
        <w:rPr>
          <w:rFonts w:cs="Arial"/>
          <w:rtl/>
        </w:rPr>
        <w:t>כדאמרינן בפרק זה בורר (כה:) מאי איריא שלשה רועי בקר אפילו כל בי תלתא דלא גמירי דינא נמי פסילי וכיון דאיפסיל לא מהני רשותא מריש גלותא דלאו כל כמינייהו לאכשורי פסולים והכי אמרינן בפרק קמא (ז:) דבי נשיאה אוקמוה דיינא דלא גמיר ומסיק דעתיד הקדוש ברוך הוא ליפרע ממעמידו</w:t>
      </w:r>
      <w:r>
        <w:rPr>
          <w:rFonts w:hint="cs"/>
          <w:rtl/>
        </w:rPr>
        <w:t>, רא"ש.</w:t>
      </w:r>
    </w:p>
  </w:footnote>
  <w:footnote w:id="1255">
    <w:p w14:paraId="3A2A3088" w14:textId="77777777" w:rsidR="0013116F" w:rsidRDefault="0013116F" w:rsidP="00F207F5">
      <w:pPr>
        <w:pStyle w:val="a9"/>
        <w:rPr>
          <w:rtl/>
        </w:rPr>
      </w:pPr>
      <w:r>
        <w:rPr>
          <w:rStyle w:val="ab"/>
        </w:rPr>
        <w:footnoteRef/>
      </w:r>
      <w:r>
        <w:rPr>
          <w:rtl/>
        </w:rPr>
        <w:t xml:space="preserve"> </w:t>
      </w:r>
      <w:r w:rsidRPr="00920D31">
        <w:rPr>
          <w:rFonts w:cs="Arial"/>
          <w:rtl/>
        </w:rPr>
        <w:t>כרבי אבהו</w:t>
      </w:r>
      <w:r w:rsidRPr="00920D31">
        <w:rPr>
          <w:rFonts w:cs="Arial" w:hint="cs"/>
          <w:rtl/>
        </w:rPr>
        <w:t>,</w:t>
      </w:r>
      <w:r w:rsidRPr="00920D31">
        <w:rPr>
          <w:rFonts w:cs="Arial"/>
          <w:rtl/>
        </w:rPr>
        <w:t xml:space="preserve"> דאמר רבי אבהו שנים שדנו אין דיניהם דין וכל שכן יחיד</w:t>
      </w:r>
      <w:r>
        <w:rPr>
          <w:rFonts w:hint="cs"/>
          <w:rtl/>
        </w:rPr>
        <w:t>, רי"ף.</w:t>
      </w:r>
    </w:p>
  </w:footnote>
  <w:footnote w:id="1256">
    <w:p w14:paraId="7F94A1B7" w14:textId="77777777" w:rsidR="0013116F" w:rsidRDefault="0013116F" w:rsidP="00F207F5">
      <w:pPr>
        <w:pStyle w:val="a9"/>
        <w:rPr>
          <w:rtl/>
        </w:rPr>
      </w:pPr>
      <w:r>
        <w:rPr>
          <w:rStyle w:val="ab"/>
        </w:rPr>
        <w:footnoteRef/>
      </w:r>
      <w:r>
        <w:rPr>
          <w:rtl/>
        </w:rPr>
        <w:t xml:space="preserve"> </w:t>
      </w:r>
      <w:r>
        <w:rPr>
          <w:rFonts w:cs="Arial"/>
          <w:rtl/>
        </w:rPr>
        <w:t>הרב כתב בהלכות בבא חמשה בבי והוה ליה לכתוב ששית</w:t>
      </w:r>
      <w:r>
        <w:rPr>
          <w:rFonts w:cs="Arial" w:hint="cs"/>
          <w:rtl/>
        </w:rPr>
        <w:t xml:space="preserve"> -</w:t>
      </w:r>
      <w:r>
        <w:rPr>
          <w:rFonts w:cs="Arial"/>
          <w:rtl/>
        </w:rPr>
        <w:t xml:space="preserve"> שלשה הדיוטות שטעו</w:t>
      </w:r>
      <w:r>
        <w:rPr>
          <w:rFonts w:cs="Arial" w:hint="cs"/>
          <w:rtl/>
        </w:rPr>
        <w:t>,</w:t>
      </w:r>
      <w:r>
        <w:rPr>
          <w:rFonts w:cs="Arial"/>
          <w:rtl/>
        </w:rPr>
        <w:t xml:space="preserve"> ונראה לי שדינם כדין יחיד מומחה דאי נקטי רשותא מבי ריש גלותא אי נמי קבלינון בעלי הדין הדר דינא ולא משלמי ואי לא נקטי רשותא ולא קבלינון עלייהו אם לא נשאו ונתנו ביד לא משלמי ואם נשאו ונתנו ביד קם דינא ומשלמי. מיהו הא מילתא מיבעיא לי היכא דאזלינן בתר רובא כגון שנים אומרים חייב ואחד אומר זכאי וטעו השנים כיצד משלמין ונראה לי מההיא פיסקא דפרק שלישי (סנהדרין ל.) דאחר כך מכניסין את השני דמאן דאמר זכאי לא משלם מנתא בהדייהו דאמר ליה אי לדידי צייתיתו אתון נמי לא שלמתון ואינהו נמי לא משלמי מנתא דיליה דלימרו ליה אי לא היית בהדן לא הוה סליק דינא אלא השנים שטעו משלמי מנתייהו בלחוד וגבי חלק השלישי אמרינן דהדר דינא דכל היכא דאית לבעל דין פסידא לא אמרינן מה שעשה עשוי ומחזירין הדין</w:t>
      </w:r>
      <w:r>
        <w:rPr>
          <w:rFonts w:hint="cs"/>
          <w:rtl/>
        </w:rPr>
        <w:t>, ב"י (בבדה"ב).</w:t>
      </w:r>
    </w:p>
  </w:footnote>
  <w:footnote w:id="1257">
    <w:p w14:paraId="040CF5FA" w14:textId="77777777" w:rsidR="0013116F" w:rsidRDefault="0013116F">
      <w:pPr>
        <w:pStyle w:val="a9"/>
      </w:pPr>
      <w:r>
        <w:rPr>
          <w:rStyle w:val="ab"/>
        </w:rPr>
        <w:footnoteRef/>
      </w:r>
      <w:r>
        <w:rPr>
          <w:rtl/>
        </w:rPr>
        <w:t xml:space="preserve"> </w:t>
      </w:r>
      <w:r>
        <w:rPr>
          <w:rFonts w:hint="cs"/>
          <w:rtl/>
        </w:rPr>
        <w:t>אך הרי"ף סובר דאפילו נטלו רשות אין דיניהם דין, כן נראה לי לפי מה שכתב בשו"ע סעיף ד.</w:t>
      </w:r>
    </w:p>
  </w:footnote>
  <w:footnote w:id="1258">
    <w:p w14:paraId="00451B1E" w14:textId="77777777" w:rsidR="0013116F" w:rsidRDefault="0013116F" w:rsidP="00F207F5">
      <w:pPr>
        <w:pStyle w:val="a9"/>
        <w:rPr>
          <w:rtl/>
        </w:rPr>
      </w:pPr>
      <w:r>
        <w:rPr>
          <w:rStyle w:val="ab"/>
        </w:rPr>
        <w:footnoteRef/>
      </w:r>
      <w:r>
        <w:rPr>
          <w:rtl/>
        </w:rPr>
        <w:t xml:space="preserve"> </w:t>
      </w:r>
      <w:r w:rsidRPr="006261B9">
        <w:rPr>
          <w:rFonts w:cs="Arial"/>
          <w:rtl/>
        </w:rPr>
        <w:t>כרבי אבהו דאמר שנים שדנו אין דיניהם דין משמע בכל ענין אין דיניהם דין אפילו לא טעו וכן מוכח מההיא אודיתא (סנהדרין ל.) דלא הוה כתוב בה במותב תלתא כחדא הוינא ואף על גב דהני תרי דנו דין תורה לא הויא הודאה</w:t>
      </w:r>
      <w:r>
        <w:rPr>
          <w:rFonts w:hint="cs"/>
          <w:rtl/>
        </w:rPr>
        <w:t>, רא"ש.</w:t>
      </w:r>
    </w:p>
  </w:footnote>
  <w:footnote w:id="1259">
    <w:p w14:paraId="762DF036" w14:textId="77777777" w:rsidR="0013116F" w:rsidRDefault="0013116F" w:rsidP="00B8570B">
      <w:pPr>
        <w:pStyle w:val="a9"/>
        <w:rPr>
          <w:rtl/>
        </w:rPr>
      </w:pPr>
      <w:r>
        <w:rPr>
          <w:rStyle w:val="ab"/>
        </w:rPr>
        <w:footnoteRef/>
      </w:r>
      <w:r>
        <w:rPr>
          <w:rtl/>
        </w:rPr>
        <w:t xml:space="preserve"> </w:t>
      </w:r>
      <w:r w:rsidRPr="0007145E">
        <w:rPr>
          <w:rFonts w:cs="Arial"/>
          <w:rtl/>
        </w:rPr>
        <w:t>וכ</w:t>
      </w:r>
      <w:r w:rsidRPr="0007145E">
        <w:rPr>
          <w:rFonts w:cs="Arial" w:hint="cs"/>
          <w:rtl/>
        </w:rPr>
        <w:t>"כ</w:t>
      </w:r>
      <w:r w:rsidRPr="0007145E">
        <w:rPr>
          <w:rFonts w:cs="Arial"/>
          <w:rtl/>
        </w:rPr>
        <w:t xml:space="preserve"> המרדכי </w:t>
      </w:r>
      <w:r w:rsidRPr="0007145E">
        <w:rPr>
          <w:rFonts w:cs="Arial" w:hint="cs"/>
          <w:rtl/>
        </w:rPr>
        <w:t>(</w:t>
      </w:r>
      <w:r w:rsidRPr="0007145E">
        <w:rPr>
          <w:rFonts w:cs="Arial"/>
          <w:rtl/>
        </w:rPr>
        <w:t>בפ</w:t>
      </w:r>
      <w:r w:rsidRPr="0007145E">
        <w:rPr>
          <w:rFonts w:cs="Arial" w:hint="cs"/>
          <w:rtl/>
        </w:rPr>
        <w:t xml:space="preserve">' </w:t>
      </w:r>
      <w:r w:rsidRPr="0007145E">
        <w:rPr>
          <w:rFonts w:cs="Arial"/>
          <w:rtl/>
        </w:rPr>
        <w:t>א</w:t>
      </w:r>
      <w:r w:rsidRPr="0007145E">
        <w:rPr>
          <w:rFonts w:cs="Arial" w:hint="cs"/>
          <w:rtl/>
        </w:rPr>
        <w:t xml:space="preserve">ד"מ </w:t>
      </w:r>
      <w:r w:rsidRPr="0007145E">
        <w:rPr>
          <w:rFonts w:cs="Arial"/>
          <w:rtl/>
        </w:rPr>
        <w:t>סי' תשיג)</w:t>
      </w:r>
      <w:r w:rsidRPr="0007145E">
        <w:rPr>
          <w:rFonts w:cs="Arial" w:hint="cs"/>
          <w:rtl/>
        </w:rPr>
        <w:t>,</w:t>
      </w:r>
      <w:r w:rsidRPr="0007145E">
        <w:rPr>
          <w:rFonts w:cs="Arial"/>
          <w:rtl/>
        </w:rPr>
        <w:t xml:space="preserve"> וכ</w:t>
      </w:r>
      <w:r w:rsidRPr="0007145E">
        <w:rPr>
          <w:rFonts w:cs="Arial" w:hint="cs"/>
          <w:rtl/>
        </w:rPr>
        <w:t>"כ</w:t>
      </w:r>
      <w:r w:rsidRPr="0007145E">
        <w:rPr>
          <w:rFonts w:cs="Arial"/>
          <w:rtl/>
        </w:rPr>
        <w:t xml:space="preserve"> הג</w:t>
      </w:r>
      <w:r w:rsidRPr="0007145E">
        <w:rPr>
          <w:rFonts w:cs="Arial" w:hint="cs"/>
          <w:rtl/>
        </w:rPr>
        <w:t>"א</w:t>
      </w:r>
      <w:r w:rsidRPr="0007145E">
        <w:rPr>
          <w:rFonts w:cs="Arial"/>
          <w:rtl/>
        </w:rPr>
        <w:t xml:space="preserve"> </w:t>
      </w:r>
      <w:r w:rsidRPr="0007145E">
        <w:rPr>
          <w:rFonts w:cs="Arial" w:hint="cs"/>
          <w:rtl/>
        </w:rPr>
        <w:t>(</w:t>
      </w:r>
      <w:r w:rsidRPr="0007145E">
        <w:rPr>
          <w:rFonts w:cs="Arial"/>
          <w:rtl/>
        </w:rPr>
        <w:t>בריש סנהדרין סי' ב) ומיהו כתב שיש מי שדחה ראיותיו</w:t>
      </w:r>
      <w:r>
        <w:rPr>
          <w:rFonts w:cs="Arial" w:hint="cs"/>
          <w:rtl/>
        </w:rPr>
        <w:t>, ב"י.</w:t>
      </w:r>
    </w:p>
  </w:footnote>
  <w:footnote w:id="1260">
    <w:p w14:paraId="5B654F2A" w14:textId="77777777" w:rsidR="0013116F" w:rsidRDefault="0013116F">
      <w:pPr>
        <w:pStyle w:val="a9"/>
      </w:pPr>
      <w:r>
        <w:rPr>
          <w:rStyle w:val="ab"/>
        </w:rPr>
        <w:footnoteRef/>
      </w:r>
      <w:r>
        <w:rPr>
          <w:rtl/>
        </w:rPr>
        <w:t xml:space="preserve"> </w:t>
      </w:r>
      <w:r w:rsidRPr="00AB1D9E">
        <w:rPr>
          <w:rFonts w:cs="Arial" w:hint="cs"/>
          <w:rtl/>
        </w:rPr>
        <w:t>דפליגי</w:t>
      </w:r>
      <w:r w:rsidRPr="00AB1D9E">
        <w:rPr>
          <w:rFonts w:cs="Arial"/>
          <w:rtl/>
        </w:rPr>
        <w:t xml:space="preserve"> </w:t>
      </w:r>
      <w:r w:rsidRPr="00AB1D9E">
        <w:rPr>
          <w:rFonts w:cs="Arial" w:hint="cs"/>
          <w:rtl/>
        </w:rPr>
        <w:t>רש</w:t>
      </w:r>
      <w:r w:rsidRPr="00AB1D9E">
        <w:rPr>
          <w:rFonts w:cs="Arial"/>
          <w:rtl/>
        </w:rPr>
        <w:t>"</w:t>
      </w:r>
      <w:r w:rsidRPr="00AB1D9E">
        <w:rPr>
          <w:rFonts w:cs="Arial" w:hint="cs"/>
          <w:rtl/>
        </w:rPr>
        <w:t>י</w:t>
      </w:r>
      <w:r w:rsidRPr="00AB1D9E">
        <w:rPr>
          <w:rFonts w:cs="Arial"/>
          <w:rtl/>
        </w:rPr>
        <w:t xml:space="preserve"> </w:t>
      </w:r>
      <w:r w:rsidRPr="00AB1D9E">
        <w:rPr>
          <w:rFonts w:cs="Arial" w:hint="cs"/>
          <w:rtl/>
        </w:rPr>
        <w:t>ור</w:t>
      </w:r>
      <w:r w:rsidRPr="00AB1D9E">
        <w:rPr>
          <w:rFonts w:cs="Arial"/>
          <w:rtl/>
        </w:rPr>
        <w:t>"</w:t>
      </w:r>
      <w:r w:rsidRPr="00AB1D9E">
        <w:rPr>
          <w:rFonts w:cs="Arial" w:hint="cs"/>
          <w:rtl/>
        </w:rPr>
        <w:t>ת</w:t>
      </w:r>
      <w:r w:rsidRPr="00AB1D9E">
        <w:rPr>
          <w:rFonts w:cs="Arial"/>
          <w:rtl/>
        </w:rPr>
        <w:t xml:space="preserve"> </w:t>
      </w:r>
      <w:r w:rsidRPr="00AB1D9E">
        <w:rPr>
          <w:rFonts w:cs="Arial" w:hint="cs"/>
          <w:sz w:val="16"/>
          <w:szCs w:val="16"/>
          <w:rtl/>
        </w:rPr>
        <w:t>(כתובות</w:t>
      </w:r>
      <w:r w:rsidRPr="00AB1D9E">
        <w:rPr>
          <w:rFonts w:cs="Arial"/>
          <w:sz w:val="16"/>
          <w:szCs w:val="16"/>
          <w:rtl/>
        </w:rPr>
        <w:t xml:space="preserve"> </w:t>
      </w:r>
      <w:r w:rsidRPr="00AB1D9E">
        <w:rPr>
          <w:rFonts w:cs="Arial" w:hint="cs"/>
          <w:sz w:val="16"/>
          <w:szCs w:val="16"/>
          <w:rtl/>
        </w:rPr>
        <w:t>מז.</w:t>
      </w:r>
      <w:r w:rsidRPr="00AB1D9E">
        <w:rPr>
          <w:rFonts w:cs="Arial"/>
          <w:sz w:val="16"/>
          <w:szCs w:val="16"/>
          <w:rtl/>
        </w:rPr>
        <w:t xml:space="preserve"> </w:t>
      </w:r>
      <w:r w:rsidRPr="00AB1D9E">
        <w:rPr>
          <w:rFonts w:cs="Arial" w:hint="cs"/>
          <w:sz w:val="16"/>
          <w:szCs w:val="16"/>
          <w:rtl/>
        </w:rPr>
        <w:t>תוד</w:t>
      </w:r>
      <w:r w:rsidRPr="00AB1D9E">
        <w:rPr>
          <w:rFonts w:cs="Arial"/>
          <w:sz w:val="16"/>
          <w:szCs w:val="16"/>
          <w:rtl/>
        </w:rPr>
        <w:t>"</w:t>
      </w:r>
      <w:r w:rsidRPr="00AB1D9E">
        <w:rPr>
          <w:rFonts w:cs="Arial" w:hint="cs"/>
          <w:sz w:val="16"/>
          <w:szCs w:val="16"/>
          <w:rtl/>
        </w:rPr>
        <w:t>ה</w:t>
      </w:r>
      <w:r w:rsidRPr="00AB1D9E">
        <w:rPr>
          <w:rFonts w:cs="Arial"/>
          <w:sz w:val="16"/>
          <w:szCs w:val="16"/>
          <w:rtl/>
        </w:rPr>
        <w:t xml:space="preserve"> </w:t>
      </w:r>
      <w:r w:rsidRPr="00AB1D9E">
        <w:rPr>
          <w:rFonts w:cs="Arial" w:hint="cs"/>
          <w:sz w:val="16"/>
          <w:szCs w:val="16"/>
          <w:rtl/>
        </w:rPr>
        <w:t>כתב, עיין</w:t>
      </w:r>
      <w:r w:rsidRPr="00AB1D9E">
        <w:rPr>
          <w:rFonts w:cs="Arial"/>
          <w:sz w:val="16"/>
          <w:szCs w:val="16"/>
          <w:rtl/>
        </w:rPr>
        <w:t xml:space="preserve"> </w:t>
      </w:r>
      <w:r w:rsidRPr="00AB1D9E">
        <w:rPr>
          <w:rFonts w:cs="Arial" w:hint="cs"/>
          <w:sz w:val="16"/>
          <w:szCs w:val="16"/>
          <w:rtl/>
        </w:rPr>
        <w:t>בטור</w:t>
      </w:r>
      <w:r w:rsidRPr="00AB1D9E">
        <w:rPr>
          <w:rFonts w:cs="Arial"/>
          <w:sz w:val="16"/>
          <w:szCs w:val="16"/>
          <w:rtl/>
        </w:rPr>
        <w:t xml:space="preserve"> </w:t>
      </w:r>
      <w:r w:rsidRPr="00AB1D9E">
        <w:rPr>
          <w:rFonts w:cs="Arial" w:hint="cs"/>
          <w:sz w:val="16"/>
          <w:szCs w:val="16"/>
          <w:rtl/>
        </w:rPr>
        <w:t>אה</w:t>
      </w:r>
      <w:r w:rsidRPr="00AB1D9E">
        <w:rPr>
          <w:rFonts w:cs="Arial"/>
          <w:sz w:val="16"/>
          <w:szCs w:val="16"/>
          <w:rtl/>
        </w:rPr>
        <w:t>"</w:t>
      </w:r>
      <w:r w:rsidRPr="00AB1D9E">
        <w:rPr>
          <w:rFonts w:cs="Arial" w:hint="cs"/>
          <w:sz w:val="16"/>
          <w:szCs w:val="16"/>
          <w:rtl/>
        </w:rPr>
        <w:t>ע</w:t>
      </w:r>
      <w:r w:rsidRPr="00AB1D9E">
        <w:rPr>
          <w:rFonts w:cs="Arial"/>
          <w:sz w:val="16"/>
          <w:szCs w:val="16"/>
          <w:rtl/>
        </w:rPr>
        <w:t xml:space="preserve"> </w:t>
      </w:r>
      <w:r w:rsidRPr="00AB1D9E">
        <w:rPr>
          <w:rFonts w:cs="Arial" w:hint="cs"/>
          <w:sz w:val="16"/>
          <w:szCs w:val="16"/>
          <w:rtl/>
        </w:rPr>
        <w:t>סי'</w:t>
      </w:r>
      <w:r w:rsidRPr="00AB1D9E">
        <w:rPr>
          <w:rFonts w:cs="Arial"/>
          <w:sz w:val="16"/>
          <w:szCs w:val="16"/>
          <w:rtl/>
        </w:rPr>
        <w:t xml:space="preserve"> </w:t>
      </w:r>
      <w:r w:rsidRPr="00AB1D9E">
        <w:rPr>
          <w:rFonts w:cs="Arial" w:hint="cs"/>
          <w:sz w:val="16"/>
          <w:szCs w:val="16"/>
          <w:rtl/>
        </w:rPr>
        <w:t>נה</w:t>
      </w:r>
      <w:r w:rsidRPr="00AB1D9E">
        <w:rPr>
          <w:rFonts w:cs="Arial"/>
          <w:sz w:val="16"/>
          <w:szCs w:val="16"/>
          <w:rtl/>
        </w:rPr>
        <w:t xml:space="preserve"> </w:t>
      </w:r>
      <w:r w:rsidRPr="00AB1D9E">
        <w:rPr>
          <w:rFonts w:cs="Arial" w:hint="cs"/>
          <w:sz w:val="16"/>
          <w:szCs w:val="16"/>
          <w:rtl/>
        </w:rPr>
        <w:t>ובשו</w:t>
      </w:r>
      <w:r w:rsidRPr="00AB1D9E">
        <w:rPr>
          <w:rFonts w:cs="Arial"/>
          <w:sz w:val="16"/>
          <w:szCs w:val="16"/>
          <w:rtl/>
        </w:rPr>
        <w:t>"</w:t>
      </w:r>
      <w:r w:rsidRPr="00AB1D9E">
        <w:rPr>
          <w:rFonts w:cs="Arial" w:hint="cs"/>
          <w:sz w:val="16"/>
          <w:szCs w:val="16"/>
          <w:rtl/>
        </w:rPr>
        <w:t>ע</w:t>
      </w:r>
      <w:r w:rsidRPr="00AB1D9E">
        <w:rPr>
          <w:rFonts w:cs="Arial"/>
          <w:sz w:val="16"/>
          <w:szCs w:val="16"/>
          <w:rtl/>
        </w:rPr>
        <w:t xml:space="preserve"> </w:t>
      </w:r>
      <w:r w:rsidRPr="00AB1D9E">
        <w:rPr>
          <w:rFonts w:cs="Arial" w:hint="cs"/>
          <w:sz w:val="16"/>
          <w:szCs w:val="16"/>
          <w:rtl/>
        </w:rPr>
        <w:t>שם</w:t>
      </w:r>
      <w:r w:rsidRPr="00AB1D9E">
        <w:rPr>
          <w:rFonts w:cs="Arial"/>
          <w:sz w:val="16"/>
          <w:szCs w:val="16"/>
          <w:rtl/>
        </w:rPr>
        <w:t xml:space="preserve"> </w:t>
      </w:r>
      <w:r w:rsidRPr="00AB1D9E">
        <w:rPr>
          <w:rFonts w:cs="Arial" w:hint="cs"/>
          <w:sz w:val="16"/>
          <w:szCs w:val="16"/>
          <w:rtl/>
        </w:rPr>
        <w:t>סי'</w:t>
      </w:r>
      <w:r w:rsidRPr="00AB1D9E">
        <w:rPr>
          <w:rFonts w:cs="Arial"/>
          <w:sz w:val="16"/>
          <w:szCs w:val="16"/>
          <w:rtl/>
        </w:rPr>
        <w:t xml:space="preserve"> </w:t>
      </w:r>
      <w:r w:rsidRPr="00AB1D9E">
        <w:rPr>
          <w:rFonts w:cs="Arial" w:hint="cs"/>
          <w:sz w:val="16"/>
          <w:szCs w:val="16"/>
          <w:rtl/>
        </w:rPr>
        <w:t>נב)</w:t>
      </w:r>
      <w:r w:rsidRPr="00AB1D9E">
        <w:rPr>
          <w:rFonts w:cs="Arial"/>
          <w:rtl/>
        </w:rPr>
        <w:t xml:space="preserve"> </w:t>
      </w:r>
      <w:r w:rsidRPr="00AB1D9E">
        <w:rPr>
          <w:rFonts w:cs="Arial" w:hint="cs"/>
          <w:rtl/>
        </w:rPr>
        <w:t>דשם</w:t>
      </w:r>
      <w:r w:rsidRPr="00AB1D9E">
        <w:rPr>
          <w:rFonts w:cs="Arial"/>
          <w:rtl/>
        </w:rPr>
        <w:t xml:space="preserve"> </w:t>
      </w:r>
      <w:r w:rsidRPr="00AB1D9E">
        <w:rPr>
          <w:rFonts w:cs="Arial" w:hint="cs"/>
          <w:rtl/>
        </w:rPr>
        <w:t>מסתבר</w:t>
      </w:r>
      <w:r w:rsidRPr="00AB1D9E">
        <w:rPr>
          <w:rFonts w:cs="Arial"/>
          <w:rtl/>
        </w:rPr>
        <w:t xml:space="preserve"> </w:t>
      </w:r>
      <w:r w:rsidRPr="00AB1D9E">
        <w:rPr>
          <w:rFonts w:cs="Arial" w:hint="cs"/>
          <w:rtl/>
        </w:rPr>
        <w:t>טעם</w:t>
      </w:r>
      <w:r w:rsidRPr="00AB1D9E">
        <w:rPr>
          <w:rFonts w:cs="Arial"/>
          <w:rtl/>
        </w:rPr>
        <w:t xml:space="preserve"> </w:t>
      </w:r>
      <w:r w:rsidRPr="00AB1D9E">
        <w:rPr>
          <w:rFonts w:cs="Arial" w:hint="cs"/>
          <w:rtl/>
        </w:rPr>
        <w:t>דרש</w:t>
      </w:r>
      <w:r w:rsidRPr="00AB1D9E">
        <w:rPr>
          <w:rFonts w:cs="Arial"/>
          <w:rtl/>
        </w:rPr>
        <w:t>"</w:t>
      </w:r>
      <w:r w:rsidRPr="00AB1D9E">
        <w:rPr>
          <w:rFonts w:cs="Arial" w:hint="cs"/>
          <w:rtl/>
        </w:rPr>
        <w:t>י</w:t>
      </w:r>
      <w:r w:rsidRPr="00AB1D9E">
        <w:rPr>
          <w:rFonts w:cs="Arial"/>
          <w:rtl/>
        </w:rPr>
        <w:t xml:space="preserve">, </w:t>
      </w:r>
      <w:r w:rsidRPr="00AB1D9E">
        <w:rPr>
          <w:rFonts w:cs="Arial" w:hint="cs"/>
          <w:rtl/>
        </w:rPr>
        <w:t>ור</w:t>
      </w:r>
      <w:r w:rsidRPr="00AB1D9E">
        <w:rPr>
          <w:rFonts w:cs="Arial"/>
          <w:rtl/>
        </w:rPr>
        <w:t>"</w:t>
      </w:r>
      <w:r w:rsidRPr="00AB1D9E">
        <w:rPr>
          <w:rFonts w:cs="Arial" w:hint="cs"/>
          <w:rtl/>
        </w:rPr>
        <w:t>ת</w:t>
      </w:r>
      <w:r w:rsidRPr="00AB1D9E">
        <w:rPr>
          <w:rFonts w:cs="Arial"/>
          <w:rtl/>
        </w:rPr>
        <w:t xml:space="preserve"> </w:t>
      </w:r>
      <w:r w:rsidRPr="00AB1D9E">
        <w:rPr>
          <w:rFonts w:cs="Arial" w:hint="cs"/>
          <w:rtl/>
        </w:rPr>
        <w:t>היה</w:t>
      </w:r>
      <w:r w:rsidRPr="00AB1D9E">
        <w:rPr>
          <w:rFonts w:cs="Arial"/>
          <w:rtl/>
        </w:rPr>
        <w:t xml:space="preserve"> </w:t>
      </w:r>
      <w:r w:rsidRPr="00AB1D9E">
        <w:rPr>
          <w:rFonts w:cs="Arial" w:hint="cs"/>
          <w:rtl/>
        </w:rPr>
        <w:t>אחרון</w:t>
      </w:r>
      <w:r w:rsidRPr="00AB1D9E">
        <w:rPr>
          <w:rFonts w:cs="Arial"/>
          <w:rtl/>
        </w:rPr>
        <w:t xml:space="preserve">, </w:t>
      </w:r>
      <w:r w:rsidRPr="00AB1D9E">
        <w:rPr>
          <w:rFonts w:cs="Arial" w:hint="cs"/>
          <w:rtl/>
        </w:rPr>
        <w:t>משו</w:t>
      </w:r>
      <w:r w:rsidRPr="00AB1D9E">
        <w:rPr>
          <w:rFonts w:cs="Arial"/>
          <w:rtl/>
        </w:rPr>
        <w:t>"</w:t>
      </w:r>
      <w:r w:rsidRPr="00AB1D9E">
        <w:rPr>
          <w:rFonts w:cs="Arial" w:hint="cs"/>
          <w:rtl/>
        </w:rPr>
        <w:t>ה</w:t>
      </w:r>
      <w:r w:rsidRPr="00AB1D9E">
        <w:rPr>
          <w:rFonts w:cs="Arial"/>
          <w:rtl/>
        </w:rPr>
        <w:t xml:space="preserve"> </w:t>
      </w:r>
      <w:r w:rsidRPr="00AB1D9E">
        <w:rPr>
          <w:rFonts w:cs="Arial" w:hint="cs"/>
          <w:rtl/>
        </w:rPr>
        <w:t>הולכין</w:t>
      </w:r>
      <w:r w:rsidRPr="00AB1D9E">
        <w:rPr>
          <w:rFonts w:cs="Arial"/>
          <w:rtl/>
        </w:rPr>
        <w:t xml:space="preserve"> </w:t>
      </w:r>
      <w:r w:rsidRPr="00AB1D9E">
        <w:rPr>
          <w:rFonts w:cs="Arial" w:hint="cs"/>
          <w:rtl/>
        </w:rPr>
        <w:t>אחר</w:t>
      </w:r>
      <w:r w:rsidRPr="00AB1D9E">
        <w:rPr>
          <w:rFonts w:cs="Arial"/>
          <w:rtl/>
        </w:rPr>
        <w:t xml:space="preserve"> </w:t>
      </w:r>
      <w:r w:rsidRPr="00AB1D9E">
        <w:rPr>
          <w:rFonts w:cs="Arial" w:hint="cs"/>
          <w:rtl/>
        </w:rPr>
        <w:t>התפיסה</w:t>
      </w:r>
      <w:r w:rsidRPr="00AB1D9E">
        <w:rPr>
          <w:rFonts w:cs="Arial"/>
          <w:rtl/>
        </w:rPr>
        <w:t xml:space="preserve">, </w:t>
      </w:r>
      <w:r w:rsidRPr="00AB1D9E">
        <w:rPr>
          <w:rFonts w:cs="Arial" w:hint="cs"/>
          <w:rtl/>
        </w:rPr>
        <w:t>אבל</w:t>
      </w:r>
      <w:r w:rsidRPr="00AB1D9E">
        <w:rPr>
          <w:rFonts w:cs="Arial"/>
          <w:rtl/>
        </w:rPr>
        <w:t xml:space="preserve"> </w:t>
      </w:r>
      <w:r w:rsidRPr="00AB1D9E">
        <w:rPr>
          <w:rFonts w:cs="Arial" w:hint="cs"/>
          <w:rtl/>
        </w:rPr>
        <w:t>במקומות</w:t>
      </w:r>
      <w:r w:rsidRPr="00AB1D9E">
        <w:rPr>
          <w:rFonts w:cs="Arial"/>
          <w:rtl/>
        </w:rPr>
        <w:t xml:space="preserve"> </w:t>
      </w:r>
      <w:r w:rsidRPr="00AB1D9E">
        <w:rPr>
          <w:rFonts w:cs="Arial" w:hint="cs"/>
          <w:rtl/>
        </w:rPr>
        <w:t>אחרים</w:t>
      </w:r>
      <w:r w:rsidRPr="00AB1D9E">
        <w:rPr>
          <w:rFonts w:cs="Arial"/>
          <w:rtl/>
        </w:rPr>
        <w:t xml:space="preserve"> </w:t>
      </w:r>
      <w:r w:rsidRPr="00AB1D9E">
        <w:rPr>
          <w:rFonts w:cs="Arial" w:hint="cs"/>
          <w:rtl/>
        </w:rPr>
        <w:t>לא</w:t>
      </w:r>
      <w:r w:rsidRPr="00AB1D9E">
        <w:rPr>
          <w:rFonts w:cs="Arial"/>
          <w:rtl/>
        </w:rPr>
        <w:t xml:space="preserve"> </w:t>
      </w:r>
      <w:r w:rsidRPr="00AB1D9E">
        <w:rPr>
          <w:rFonts w:cs="Arial" w:hint="cs"/>
          <w:rtl/>
        </w:rPr>
        <w:t>מצינו</w:t>
      </w:r>
      <w:r w:rsidRPr="00AB1D9E">
        <w:rPr>
          <w:rFonts w:cs="Arial"/>
          <w:rtl/>
        </w:rPr>
        <w:t xml:space="preserve"> </w:t>
      </w:r>
      <w:r w:rsidRPr="00AB1D9E">
        <w:rPr>
          <w:rFonts w:cs="Arial" w:hint="cs"/>
          <w:rtl/>
        </w:rPr>
        <w:t>שאמרו</w:t>
      </w:r>
      <w:r w:rsidRPr="00AB1D9E">
        <w:rPr>
          <w:rFonts w:cs="Arial"/>
          <w:rtl/>
        </w:rPr>
        <w:t xml:space="preserve"> </w:t>
      </w:r>
      <w:r w:rsidRPr="00AB1D9E">
        <w:rPr>
          <w:rFonts w:cs="Arial" w:hint="cs"/>
          <w:rtl/>
        </w:rPr>
        <w:t>דמהני</w:t>
      </w:r>
      <w:r w:rsidRPr="00AB1D9E">
        <w:rPr>
          <w:rFonts w:cs="Arial"/>
          <w:rtl/>
        </w:rPr>
        <w:t xml:space="preserve"> </w:t>
      </w:r>
      <w:r w:rsidRPr="00AB1D9E">
        <w:rPr>
          <w:rFonts w:cs="Arial" w:hint="cs"/>
          <w:rtl/>
        </w:rPr>
        <w:t>בכה</w:t>
      </w:r>
      <w:r w:rsidRPr="00AB1D9E">
        <w:rPr>
          <w:rFonts w:cs="Arial"/>
          <w:rtl/>
        </w:rPr>
        <w:t>"</w:t>
      </w:r>
      <w:r w:rsidRPr="00AB1D9E">
        <w:rPr>
          <w:rFonts w:cs="Arial" w:hint="cs"/>
          <w:rtl/>
        </w:rPr>
        <w:t>ג</w:t>
      </w:r>
      <w:r>
        <w:rPr>
          <w:rFonts w:cs="Arial" w:hint="cs"/>
          <w:rtl/>
        </w:rPr>
        <w:t xml:space="preserve"> </w:t>
      </w:r>
      <w:r w:rsidRPr="00AB1D9E">
        <w:rPr>
          <w:rFonts w:cs="Arial" w:hint="cs"/>
          <w:sz w:val="16"/>
          <w:szCs w:val="16"/>
          <w:rtl/>
        </w:rPr>
        <w:t>(סמ"ע [סקט"ז] בביאור דבריו)</w:t>
      </w:r>
      <w:r>
        <w:rPr>
          <w:rFonts w:cs="Arial" w:hint="cs"/>
          <w:rtl/>
        </w:rPr>
        <w:t>.</w:t>
      </w:r>
    </w:p>
  </w:footnote>
  <w:footnote w:id="1261">
    <w:p w14:paraId="589AD6BF" w14:textId="77777777" w:rsidR="0013116F" w:rsidRDefault="0013116F" w:rsidP="004D7082">
      <w:pPr>
        <w:pStyle w:val="a9"/>
        <w:rPr>
          <w:rtl/>
        </w:rPr>
      </w:pPr>
      <w:r>
        <w:rPr>
          <w:rStyle w:val="ab"/>
        </w:rPr>
        <w:footnoteRef/>
      </w:r>
      <w:r>
        <w:rPr>
          <w:rtl/>
        </w:rPr>
        <w:t xml:space="preserve"> </w:t>
      </w:r>
      <w:r>
        <w:rPr>
          <w:rFonts w:cs="Arial"/>
          <w:rtl/>
        </w:rPr>
        <w:t>ובשורש קמ"ט כתב דבאיסור והיתר כלל ליכא למימר קים לי כפלוני כו'</w:t>
      </w:r>
      <w:r>
        <w:rPr>
          <w:rFonts w:hint="cs"/>
          <w:rtl/>
        </w:rPr>
        <w:t>, דרכ"מ (אות ד).</w:t>
      </w:r>
    </w:p>
  </w:footnote>
  <w:footnote w:id="1262">
    <w:p w14:paraId="472D4B15" w14:textId="77777777" w:rsidR="0013116F" w:rsidRDefault="0013116F" w:rsidP="004D7082">
      <w:pPr>
        <w:pStyle w:val="a9"/>
        <w:rPr>
          <w:rtl/>
        </w:rPr>
      </w:pPr>
      <w:r>
        <w:rPr>
          <w:rStyle w:val="ab"/>
        </w:rPr>
        <w:footnoteRef/>
      </w:r>
      <w:r>
        <w:rPr>
          <w:rtl/>
        </w:rPr>
        <w:t xml:space="preserve"> </w:t>
      </w:r>
      <w:r>
        <w:rPr>
          <w:rFonts w:cs="Arial"/>
          <w:rtl/>
        </w:rPr>
        <w:t>וכתב פרק הכותב (סי' רכ) במקום שהשערים חולקים עם הספר פוסקים כדברי הספר כי עשה הספר באחרונה</w:t>
      </w:r>
      <w:r>
        <w:rPr>
          <w:rFonts w:cs="Arial" w:hint="cs"/>
          <w:rtl/>
        </w:rPr>
        <w:t>.</w:t>
      </w:r>
      <w:r>
        <w:rPr>
          <w:rFonts w:cs="Arial"/>
          <w:rtl/>
        </w:rPr>
        <w:t xml:space="preserve"> ובהגהות תשובת מיימוני סוף ספר משפטים (סי' מא) כתב ז"ל</w:t>
      </w:r>
      <w:r>
        <w:rPr>
          <w:rFonts w:cs="Arial" w:hint="cs"/>
          <w:rtl/>
        </w:rPr>
        <w:t>-</w:t>
      </w:r>
      <w:r>
        <w:rPr>
          <w:rFonts w:cs="Arial"/>
          <w:rtl/>
        </w:rPr>
        <w:t xml:space="preserve"> שוב קבלנו שאותו שיסד השערים היה בן בנו של רי"ף שעשה החיבור כי זה היה שמו רבי יצחק בר יעקב ובעל השערים היה נקרא רבי יצחק בן ראובן עכ"ל</w:t>
      </w:r>
      <w:r>
        <w:rPr>
          <w:rFonts w:cs="Arial" w:hint="cs"/>
          <w:rtl/>
        </w:rPr>
        <w:t>.</w:t>
      </w:r>
    </w:p>
  </w:footnote>
  <w:footnote w:id="1263">
    <w:p w14:paraId="2FA63B79" w14:textId="77777777" w:rsidR="0013116F" w:rsidRDefault="0013116F">
      <w:pPr>
        <w:pStyle w:val="a9"/>
      </w:pPr>
      <w:r>
        <w:rPr>
          <w:rStyle w:val="ab"/>
        </w:rPr>
        <w:footnoteRef/>
      </w:r>
      <w:r>
        <w:rPr>
          <w:rtl/>
        </w:rPr>
        <w:t xml:space="preserve"> </w:t>
      </w:r>
      <w:r w:rsidRPr="00136A66">
        <w:rPr>
          <w:rFonts w:cs="Arial"/>
          <w:rtl/>
        </w:rPr>
        <w:t xml:space="preserve"> נראה דלאו דוקא, אלא ה"ה בכל המדינה שהוא בתוכה, כגון חלב שעל הקרב לבני ריינו"ס וכה"ג, דכללא הוא הכל כמנהג המדינה</w:t>
      </w:r>
      <w:r>
        <w:rPr>
          <w:rFonts w:cs="Arial" w:hint="cs"/>
          <w:rtl/>
        </w:rPr>
        <w:t>, ש"ך (סק"י).</w:t>
      </w:r>
    </w:p>
  </w:footnote>
  <w:footnote w:id="1264">
    <w:p w14:paraId="17445871" w14:textId="77777777" w:rsidR="0013116F" w:rsidRDefault="0013116F">
      <w:pPr>
        <w:pStyle w:val="a9"/>
      </w:pPr>
      <w:r>
        <w:rPr>
          <w:rStyle w:val="ab"/>
        </w:rPr>
        <w:footnoteRef/>
      </w:r>
      <w:r>
        <w:rPr>
          <w:rtl/>
        </w:rPr>
        <w:t xml:space="preserve"> </w:t>
      </w:r>
      <w:r w:rsidRPr="00C50314">
        <w:rPr>
          <w:rFonts w:cs="Arial" w:hint="cs"/>
          <w:rtl/>
        </w:rPr>
        <w:t>וכתב</w:t>
      </w:r>
      <w:r w:rsidRPr="00C50314">
        <w:rPr>
          <w:rFonts w:cs="Arial"/>
          <w:rtl/>
        </w:rPr>
        <w:t xml:space="preserve"> </w:t>
      </w:r>
      <w:r w:rsidRPr="00C50314">
        <w:rPr>
          <w:rFonts w:cs="Arial" w:hint="cs"/>
          <w:rtl/>
        </w:rPr>
        <w:t>נ</w:t>
      </w:r>
      <w:r>
        <w:rPr>
          <w:rFonts w:cs="Arial" w:hint="cs"/>
          <w:rtl/>
        </w:rPr>
        <w:t>מוק</w:t>
      </w:r>
      <w:r w:rsidRPr="00C50314">
        <w:rPr>
          <w:rFonts w:cs="Arial"/>
          <w:rtl/>
        </w:rPr>
        <w:t>"</w:t>
      </w:r>
      <w:r w:rsidRPr="00C50314">
        <w:rPr>
          <w:rFonts w:cs="Arial" w:hint="cs"/>
          <w:rtl/>
        </w:rPr>
        <w:t>י</w:t>
      </w:r>
      <w:r w:rsidRPr="00C50314">
        <w:rPr>
          <w:rFonts w:cs="Arial"/>
          <w:rtl/>
        </w:rPr>
        <w:t xml:space="preserve"> </w:t>
      </w:r>
      <w:r>
        <w:rPr>
          <w:rFonts w:cs="Arial" w:hint="cs"/>
          <w:rtl/>
        </w:rPr>
        <w:t>(</w:t>
      </w:r>
      <w:r w:rsidRPr="00C50314">
        <w:rPr>
          <w:rFonts w:cs="Arial" w:hint="cs"/>
          <w:rtl/>
        </w:rPr>
        <w:t>ר</w:t>
      </w:r>
      <w:r w:rsidRPr="00C50314">
        <w:rPr>
          <w:rFonts w:cs="Arial"/>
          <w:rtl/>
        </w:rPr>
        <w:t>"</w:t>
      </w:r>
      <w:r w:rsidRPr="00C50314">
        <w:rPr>
          <w:rFonts w:cs="Arial" w:hint="cs"/>
          <w:rtl/>
        </w:rPr>
        <w:t>פ</w:t>
      </w:r>
      <w:r w:rsidRPr="00C50314">
        <w:rPr>
          <w:rFonts w:cs="Arial"/>
          <w:rtl/>
        </w:rPr>
        <w:t xml:space="preserve"> </w:t>
      </w:r>
      <w:r w:rsidRPr="00C50314">
        <w:rPr>
          <w:rFonts w:cs="Arial" w:hint="cs"/>
          <w:rtl/>
        </w:rPr>
        <w:t>המוכר</w:t>
      </w:r>
      <w:r w:rsidRPr="00C50314">
        <w:rPr>
          <w:rFonts w:cs="Arial"/>
          <w:rtl/>
        </w:rPr>
        <w:t xml:space="preserve"> </w:t>
      </w:r>
      <w:r w:rsidRPr="00C50314">
        <w:rPr>
          <w:rFonts w:cs="Arial" w:hint="cs"/>
          <w:rtl/>
        </w:rPr>
        <w:t>ב</w:t>
      </w:r>
      <w:r w:rsidRPr="00C50314">
        <w:rPr>
          <w:rFonts w:cs="Arial"/>
          <w:rtl/>
        </w:rPr>
        <w:t>"</w:t>
      </w:r>
      <w:r w:rsidRPr="00C50314">
        <w:rPr>
          <w:rFonts w:cs="Arial" w:hint="cs"/>
          <w:rtl/>
        </w:rPr>
        <w:t>ב</w:t>
      </w:r>
      <w:r w:rsidRPr="00C50314">
        <w:rPr>
          <w:rFonts w:cs="Arial"/>
          <w:rtl/>
        </w:rPr>
        <w:t xml:space="preserve"> </w:t>
      </w:r>
      <w:r w:rsidRPr="00C50314">
        <w:rPr>
          <w:rFonts w:cs="Arial" w:hint="cs"/>
          <w:rtl/>
        </w:rPr>
        <w:t>לד</w:t>
      </w:r>
      <w:r>
        <w:rPr>
          <w:rFonts w:cs="Arial" w:hint="cs"/>
          <w:rtl/>
        </w:rPr>
        <w:t>.</w:t>
      </w:r>
      <w:r w:rsidRPr="00C50314">
        <w:rPr>
          <w:rFonts w:cs="Arial"/>
          <w:rtl/>
        </w:rPr>
        <w:t xml:space="preserve"> </w:t>
      </w:r>
      <w:r w:rsidRPr="00C50314">
        <w:rPr>
          <w:rFonts w:cs="Arial" w:hint="cs"/>
          <w:rtl/>
        </w:rPr>
        <w:t>מדפ</w:t>
      </w:r>
      <w:r>
        <w:rPr>
          <w:rFonts w:cs="Arial" w:hint="cs"/>
          <w:rtl/>
        </w:rPr>
        <w:t>ה"ר)</w:t>
      </w:r>
      <w:r w:rsidRPr="00C50314">
        <w:rPr>
          <w:rFonts w:cs="Arial"/>
          <w:rtl/>
        </w:rPr>
        <w:t xml:space="preserve"> </w:t>
      </w:r>
      <w:r w:rsidRPr="00C50314">
        <w:rPr>
          <w:rFonts w:cs="Arial" w:hint="cs"/>
          <w:rtl/>
        </w:rPr>
        <w:t>בשם</w:t>
      </w:r>
      <w:r w:rsidRPr="00C50314">
        <w:rPr>
          <w:rFonts w:cs="Arial"/>
          <w:rtl/>
        </w:rPr>
        <w:t xml:space="preserve"> </w:t>
      </w:r>
      <w:r w:rsidRPr="00C50314">
        <w:rPr>
          <w:rFonts w:cs="Arial" w:hint="cs"/>
          <w:rtl/>
        </w:rPr>
        <w:t>הר</w:t>
      </w:r>
      <w:r w:rsidRPr="00C50314">
        <w:rPr>
          <w:rFonts w:cs="Arial"/>
          <w:rtl/>
        </w:rPr>
        <w:t>"</w:t>
      </w:r>
      <w:r w:rsidRPr="00C50314">
        <w:rPr>
          <w:rFonts w:cs="Arial" w:hint="cs"/>
          <w:rtl/>
        </w:rPr>
        <w:t>ר</w:t>
      </w:r>
      <w:r w:rsidRPr="00C50314">
        <w:rPr>
          <w:rFonts w:cs="Arial"/>
          <w:rtl/>
        </w:rPr>
        <w:t xml:space="preserve"> </w:t>
      </w:r>
      <w:r w:rsidRPr="00C50314">
        <w:rPr>
          <w:rFonts w:cs="Arial" w:hint="cs"/>
          <w:rtl/>
        </w:rPr>
        <w:t>יונה</w:t>
      </w:r>
      <w:r w:rsidRPr="00C50314">
        <w:rPr>
          <w:rFonts w:cs="Arial"/>
          <w:rtl/>
        </w:rPr>
        <w:t xml:space="preserve">, </w:t>
      </w:r>
      <w:r w:rsidRPr="00C50314">
        <w:rPr>
          <w:rFonts w:cs="Arial" w:hint="cs"/>
          <w:rtl/>
        </w:rPr>
        <w:t>והיכא</w:t>
      </w:r>
      <w:r w:rsidRPr="00C50314">
        <w:rPr>
          <w:rFonts w:cs="Arial"/>
          <w:rtl/>
        </w:rPr>
        <w:t xml:space="preserve"> </w:t>
      </w:r>
      <w:r w:rsidRPr="00C50314">
        <w:rPr>
          <w:rFonts w:cs="Arial" w:hint="cs"/>
          <w:rtl/>
        </w:rPr>
        <w:t>דלא</w:t>
      </w:r>
      <w:r w:rsidRPr="00C50314">
        <w:rPr>
          <w:rFonts w:cs="Arial"/>
          <w:rtl/>
        </w:rPr>
        <w:t xml:space="preserve"> </w:t>
      </w:r>
      <w:r w:rsidRPr="00C50314">
        <w:rPr>
          <w:rFonts w:cs="Arial" w:hint="cs"/>
          <w:rtl/>
        </w:rPr>
        <w:t>אשכחן</w:t>
      </w:r>
      <w:r w:rsidRPr="00C50314">
        <w:rPr>
          <w:rFonts w:cs="Arial"/>
          <w:rtl/>
        </w:rPr>
        <w:t xml:space="preserve"> </w:t>
      </w:r>
      <w:r w:rsidRPr="00C50314">
        <w:rPr>
          <w:rFonts w:cs="Arial" w:hint="cs"/>
          <w:rtl/>
        </w:rPr>
        <w:t>דסוגיא</w:t>
      </w:r>
      <w:r w:rsidRPr="00C50314">
        <w:rPr>
          <w:rFonts w:cs="Arial"/>
          <w:rtl/>
        </w:rPr>
        <w:t xml:space="preserve"> </w:t>
      </w:r>
      <w:r w:rsidRPr="00C50314">
        <w:rPr>
          <w:rFonts w:cs="Arial" w:hint="cs"/>
          <w:rtl/>
        </w:rPr>
        <w:t>דעלמא</w:t>
      </w:r>
      <w:r w:rsidRPr="00C50314">
        <w:rPr>
          <w:rFonts w:cs="Arial"/>
          <w:rtl/>
        </w:rPr>
        <w:t xml:space="preserve"> </w:t>
      </w:r>
      <w:r w:rsidRPr="00C50314">
        <w:rPr>
          <w:rFonts w:cs="Arial" w:hint="cs"/>
          <w:rtl/>
        </w:rPr>
        <w:t>אזלא</w:t>
      </w:r>
      <w:r w:rsidRPr="00C50314">
        <w:rPr>
          <w:rFonts w:cs="Arial"/>
          <w:rtl/>
        </w:rPr>
        <w:t xml:space="preserve"> </w:t>
      </w:r>
      <w:r w:rsidRPr="00C50314">
        <w:rPr>
          <w:rFonts w:cs="Arial" w:hint="cs"/>
          <w:rtl/>
        </w:rPr>
        <w:t>כחד</w:t>
      </w:r>
      <w:r w:rsidRPr="00C50314">
        <w:rPr>
          <w:rFonts w:cs="Arial"/>
          <w:rtl/>
        </w:rPr>
        <w:t xml:space="preserve">, </w:t>
      </w:r>
      <w:r w:rsidRPr="00C50314">
        <w:rPr>
          <w:rFonts w:cs="Arial" w:hint="cs"/>
          <w:rtl/>
        </w:rPr>
        <w:t>יש</w:t>
      </w:r>
      <w:r w:rsidRPr="00C50314">
        <w:rPr>
          <w:rFonts w:cs="Arial"/>
          <w:rtl/>
        </w:rPr>
        <w:t xml:space="preserve"> </w:t>
      </w:r>
      <w:r w:rsidRPr="00C50314">
        <w:rPr>
          <w:rFonts w:cs="Arial" w:hint="cs"/>
          <w:rtl/>
        </w:rPr>
        <w:t>לדיין</w:t>
      </w:r>
      <w:r w:rsidRPr="00C50314">
        <w:rPr>
          <w:rFonts w:cs="Arial"/>
          <w:rtl/>
        </w:rPr>
        <w:t xml:space="preserve"> </w:t>
      </w:r>
      <w:r w:rsidRPr="00C50314">
        <w:rPr>
          <w:rFonts w:cs="Arial" w:hint="cs"/>
          <w:rtl/>
        </w:rPr>
        <w:t>לפסוק</w:t>
      </w:r>
      <w:r w:rsidRPr="00C50314">
        <w:rPr>
          <w:rFonts w:cs="Arial"/>
          <w:rtl/>
        </w:rPr>
        <w:t xml:space="preserve"> </w:t>
      </w:r>
      <w:r w:rsidRPr="00C50314">
        <w:rPr>
          <w:rFonts w:cs="Arial" w:hint="cs"/>
          <w:rtl/>
        </w:rPr>
        <w:t>כפי</w:t>
      </w:r>
      <w:r w:rsidRPr="00C50314">
        <w:rPr>
          <w:rFonts w:cs="Arial"/>
          <w:rtl/>
        </w:rPr>
        <w:t xml:space="preserve"> </w:t>
      </w:r>
      <w:r w:rsidRPr="00C50314">
        <w:rPr>
          <w:rFonts w:cs="Arial" w:hint="cs"/>
          <w:rtl/>
        </w:rPr>
        <w:t>שדעתו</w:t>
      </w:r>
      <w:r w:rsidRPr="00C50314">
        <w:rPr>
          <w:rFonts w:cs="Arial"/>
          <w:rtl/>
        </w:rPr>
        <w:t xml:space="preserve"> </w:t>
      </w:r>
      <w:r w:rsidRPr="00C50314">
        <w:rPr>
          <w:rFonts w:cs="Arial" w:hint="cs"/>
          <w:rtl/>
        </w:rPr>
        <w:t>נוטה</w:t>
      </w:r>
      <w:r w:rsidRPr="00C50314">
        <w:rPr>
          <w:rFonts w:cs="Arial"/>
          <w:rtl/>
        </w:rPr>
        <w:t xml:space="preserve">. </w:t>
      </w:r>
      <w:r w:rsidRPr="00C50314">
        <w:rPr>
          <w:rFonts w:cs="Arial" w:hint="cs"/>
          <w:rtl/>
        </w:rPr>
        <w:t>ד</w:t>
      </w:r>
      <w:r>
        <w:rPr>
          <w:rFonts w:cs="Arial" w:hint="cs"/>
          <w:rtl/>
        </w:rPr>
        <w:t>רכ</w:t>
      </w:r>
      <w:r w:rsidRPr="00C50314">
        <w:rPr>
          <w:rFonts w:cs="Arial"/>
          <w:rtl/>
        </w:rPr>
        <w:t>"</w:t>
      </w:r>
      <w:r w:rsidRPr="00C50314">
        <w:rPr>
          <w:rFonts w:cs="Arial" w:hint="cs"/>
          <w:rtl/>
        </w:rPr>
        <w:t>מ</w:t>
      </w:r>
      <w:r w:rsidRPr="00C50314">
        <w:rPr>
          <w:rFonts w:cs="Arial"/>
          <w:rtl/>
        </w:rPr>
        <w:t xml:space="preserve"> </w:t>
      </w:r>
      <w:r w:rsidRPr="00C50314">
        <w:rPr>
          <w:rFonts w:cs="Arial" w:hint="cs"/>
          <w:rtl/>
        </w:rPr>
        <w:t>ס</w:t>
      </w:r>
      <w:r w:rsidRPr="00C50314">
        <w:rPr>
          <w:rFonts w:cs="Arial"/>
          <w:rtl/>
        </w:rPr>
        <w:t>"</w:t>
      </w:r>
      <w:r w:rsidRPr="00C50314">
        <w:rPr>
          <w:rFonts w:cs="Arial" w:hint="cs"/>
          <w:rtl/>
        </w:rPr>
        <w:t>ס</w:t>
      </w:r>
      <w:r w:rsidRPr="00C50314">
        <w:rPr>
          <w:rFonts w:cs="Arial"/>
          <w:rtl/>
        </w:rPr>
        <w:t xml:space="preserve"> </w:t>
      </w:r>
      <w:r w:rsidRPr="00C50314">
        <w:rPr>
          <w:rFonts w:cs="Arial" w:hint="cs"/>
          <w:rtl/>
        </w:rPr>
        <w:t>י</w:t>
      </w:r>
      <w:r w:rsidRPr="00C50314">
        <w:rPr>
          <w:rFonts w:cs="Arial"/>
          <w:rtl/>
        </w:rPr>
        <w:t>"</w:t>
      </w:r>
      <w:r w:rsidRPr="00C50314">
        <w:rPr>
          <w:rFonts w:cs="Arial" w:hint="cs"/>
          <w:rtl/>
        </w:rPr>
        <w:t>ח</w:t>
      </w:r>
      <w:r w:rsidRPr="00C50314">
        <w:rPr>
          <w:rFonts w:cs="Arial"/>
          <w:rtl/>
        </w:rPr>
        <w:t xml:space="preserve"> </w:t>
      </w:r>
      <w:r w:rsidRPr="00C50314">
        <w:rPr>
          <w:rFonts w:cs="Arial" w:hint="cs"/>
          <w:rtl/>
        </w:rPr>
        <w:t>הביאו</w:t>
      </w:r>
      <w:r w:rsidRPr="00C50314">
        <w:rPr>
          <w:rFonts w:cs="Arial"/>
          <w:rtl/>
        </w:rPr>
        <w:t xml:space="preserve">, </w:t>
      </w:r>
      <w:r w:rsidRPr="00C50314">
        <w:rPr>
          <w:rFonts w:cs="Arial" w:hint="cs"/>
          <w:rtl/>
        </w:rPr>
        <w:t>ועיין</w:t>
      </w:r>
      <w:r w:rsidRPr="00C50314">
        <w:rPr>
          <w:rFonts w:cs="Arial"/>
          <w:rtl/>
        </w:rPr>
        <w:t xml:space="preserve"> </w:t>
      </w:r>
      <w:r w:rsidRPr="00C50314">
        <w:rPr>
          <w:rFonts w:cs="Arial" w:hint="cs"/>
          <w:rtl/>
        </w:rPr>
        <w:t>בסמוך</w:t>
      </w:r>
      <w:r w:rsidRPr="00C50314">
        <w:rPr>
          <w:rFonts w:cs="Arial"/>
          <w:rtl/>
        </w:rPr>
        <w:t xml:space="preserve"> </w:t>
      </w:r>
      <w:r w:rsidRPr="00C50314">
        <w:rPr>
          <w:rFonts w:cs="Arial" w:hint="cs"/>
          <w:rtl/>
        </w:rPr>
        <w:t>בהג</w:t>
      </w:r>
      <w:r w:rsidRPr="00C50314">
        <w:rPr>
          <w:rFonts w:cs="Arial"/>
          <w:rtl/>
        </w:rPr>
        <w:t>"</w:t>
      </w:r>
      <w:r w:rsidRPr="00C50314">
        <w:rPr>
          <w:rFonts w:cs="Arial" w:hint="cs"/>
          <w:rtl/>
        </w:rPr>
        <w:t>ה</w:t>
      </w:r>
      <w:r>
        <w:rPr>
          <w:rFonts w:cs="Arial" w:hint="cs"/>
          <w:rtl/>
        </w:rPr>
        <w:t>, סמ"ע (סקי"א).</w:t>
      </w:r>
    </w:p>
  </w:footnote>
  <w:footnote w:id="1265">
    <w:p w14:paraId="3401A578" w14:textId="77777777" w:rsidR="0013116F" w:rsidRDefault="0013116F">
      <w:pPr>
        <w:pStyle w:val="a9"/>
      </w:pPr>
      <w:r>
        <w:rPr>
          <w:rStyle w:val="ab"/>
        </w:rPr>
        <w:footnoteRef/>
      </w:r>
      <w:r>
        <w:rPr>
          <w:rtl/>
        </w:rPr>
        <w:t xml:space="preserve"> </w:t>
      </w:r>
      <w:r w:rsidRPr="00C50314">
        <w:rPr>
          <w:rFonts w:cs="Arial" w:hint="cs"/>
          <w:rtl/>
        </w:rPr>
        <w:t>ה</w:t>
      </w:r>
      <w:r w:rsidRPr="00C50314">
        <w:rPr>
          <w:rFonts w:cs="Arial"/>
          <w:rtl/>
        </w:rPr>
        <w:t>"</w:t>
      </w:r>
      <w:r w:rsidRPr="00C50314">
        <w:rPr>
          <w:rFonts w:cs="Arial" w:hint="cs"/>
          <w:rtl/>
        </w:rPr>
        <w:t>ה</w:t>
      </w:r>
      <w:r w:rsidRPr="00C50314">
        <w:rPr>
          <w:rFonts w:cs="Arial"/>
          <w:rtl/>
        </w:rPr>
        <w:t xml:space="preserve"> </w:t>
      </w:r>
      <w:r w:rsidRPr="00C50314">
        <w:rPr>
          <w:rFonts w:cs="Arial" w:hint="cs"/>
          <w:rtl/>
        </w:rPr>
        <w:t>אם</w:t>
      </w:r>
      <w:r w:rsidRPr="00C50314">
        <w:rPr>
          <w:rFonts w:cs="Arial"/>
          <w:rtl/>
        </w:rPr>
        <w:t xml:space="preserve"> </w:t>
      </w:r>
      <w:r w:rsidRPr="00C50314">
        <w:rPr>
          <w:rFonts w:cs="Arial" w:hint="cs"/>
          <w:rtl/>
        </w:rPr>
        <w:t>נטל</w:t>
      </w:r>
      <w:r w:rsidRPr="00C50314">
        <w:rPr>
          <w:rFonts w:cs="Arial"/>
          <w:rtl/>
        </w:rPr>
        <w:t xml:space="preserve"> </w:t>
      </w:r>
      <w:r w:rsidRPr="00C50314">
        <w:rPr>
          <w:rFonts w:cs="Arial" w:hint="cs"/>
          <w:rtl/>
        </w:rPr>
        <w:t>רשות</w:t>
      </w:r>
      <w:r w:rsidRPr="00C50314">
        <w:rPr>
          <w:rFonts w:cs="Arial"/>
          <w:rtl/>
        </w:rPr>
        <w:t xml:space="preserve"> </w:t>
      </w:r>
      <w:r w:rsidRPr="00C50314">
        <w:rPr>
          <w:rFonts w:cs="Arial" w:hint="cs"/>
          <w:rtl/>
        </w:rPr>
        <w:t>מב</w:t>
      </w:r>
      <w:r w:rsidRPr="00C50314">
        <w:rPr>
          <w:rFonts w:cs="Arial"/>
          <w:rtl/>
        </w:rPr>
        <w:t>"</w:t>
      </w:r>
      <w:r w:rsidRPr="00C50314">
        <w:rPr>
          <w:rFonts w:cs="Arial" w:hint="cs"/>
          <w:rtl/>
        </w:rPr>
        <w:t>ד</w:t>
      </w:r>
      <w:r w:rsidRPr="00C50314">
        <w:rPr>
          <w:rFonts w:cs="Arial"/>
          <w:rtl/>
        </w:rPr>
        <w:t xml:space="preserve"> </w:t>
      </w:r>
      <w:r w:rsidRPr="00C50314">
        <w:rPr>
          <w:rFonts w:cs="Arial" w:hint="cs"/>
          <w:rtl/>
        </w:rPr>
        <w:t>שבא</w:t>
      </w:r>
      <w:r w:rsidRPr="00C50314">
        <w:rPr>
          <w:rFonts w:cs="Arial"/>
          <w:rtl/>
        </w:rPr>
        <w:t>"</w:t>
      </w:r>
      <w:r w:rsidRPr="00C50314">
        <w:rPr>
          <w:rFonts w:cs="Arial" w:hint="cs"/>
          <w:rtl/>
        </w:rPr>
        <w:t>י</w:t>
      </w:r>
      <w:r w:rsidRPr="00C50314">
        <w:rPr>
          <w:rFonts w:cs="Arial"/>
          <w:rtl/>
        </w:rPr>
        <w:t xml:space="preserve">, </w:t>
      </w:r>
      <w:r w:rsidRPr="00C50314">
        <w:rPr>
          <w:rFonts w:cs="Arial" w:hint="cs"/>
          <w:rtl/>
        </w:rPr>
        <w:t>אלא</w:t>
      </w:r>
      <w:r w:rsidRPr="00C50314">
        <w:rPr>
          <w:rFonts w:cs="Arial"/>
          <w:rtl/>
        </w:rPr>
        <w:t xml:space="preserve"> </w:t>
      </w:r>
      <w:r w:rsidRPr="00C50314">
        <w:rPr>
          <w:rFonts w:cs="Arial" w:hint="cs"/>
          <w:rtl/>
        </w:rPr>
        <w:t>דלא</w:t>
      </w:r>
      <w:r w:rsidRPr="00C50314">
        <w:rPr>
          <w:rFonts w:cs="Arial"/>
          <w:rtl/>
        </w:rPr>
        <w:t xml:space="preserve"> </w:t>
      </w:r>
      <w:r w:rsidRPr="00C50314">
        <w:rPr>
          <w:rFonts w:cs="Arial" w:hint="cs"/>
          <w:rtl/>
        </w:rPr>
        <w:t>מהני</w:t>
      </w:r>
      <w:r w:rsidRPr="00C50314">
        <w:rPr>
          <w:rFonts w:cs="Arial"/>
          <w:rtl/>
        </w:rPr>
        <w:t xml:space="preserve"> </w:t>
      </w:r>
      <w:r w:rsidRPr="00C50314">
        <w:rPr>
          <w:rFonts w:cs="Arial" w:hint="cs"/>
          <w:rtl/>
        </w:rPr>
        <w:t>רשות</w:t>
      </w:r>
      <w:r w:rsidRPr="00C50314">
        <w:rPr>
          <w:rFonts w:cs="Arial"/>
          <w:rtl/>
        </w:rPr>
        <w:t xml:space="preserve"> </w:t>
      </w:r>
      <w:r w:rsidRPr="00C50314">
        <w:rPr>
          <w:rFonts w:cs="Arial" w:hint="cs"/>
          <w:rtl/>
        </w:rPr>
        <w:t>דב</w:t>
      </w:r>
      <w:r w:rsidRPr="00C50314">
        <w:rPr>
          <w:rFonts w:cs="Arial"/>
          <w:rtl/>
        </w:rPr>
        <w:t>"</w:t>
      </w:r>
      <w:r w:rsidRPr="00C50314">
        <w:rPr>
          <w:rFonts w:cs="Arial" w:hint="cs"/>
          <w:rtl/>
        </w:rPr>
        <w:t>ד</w:t>
      </w:r>
      <w:r w:rsidRPr="00C50314">
        <w:rPr>
          <w:rFonts w:cs="Arial"/>
          <w:rtl/>
        </w:rPr>
        <w:t xml:space="preserve"> </w:t>
      </w:r>
      <w:r w:rsidRPr="00C50314">
        <w:rPr>
          <w:rFonts w:cs="Arial" w:hint="cs"/>
          <w:rtl/>
        </w:rPr>
        <w:t>דא</w:t>
      </w:r>
      <w:r w:rsidRPr="00C50314">
        <w:rPr>
          <w:rFonts w:cs="Arial"/>
          <w:rtl/>
        </w:rPr>
        <w:t>"</w:t>
      </w:r>
      <w:r w:rsidRPr="00C50314">
        <w:rPr>
          <w:rFonts w:cs="Arial" w:hint="cs"/>
          <w:rtl/>
        </w:rPr>
        <w:t>י</w:t>
      </w:r>
      <w:r w:rsidRPr="00C50314">
        <w:rPr>
          <w:rFonts w:cs="Arial"/>
          <w:rtl/>
        </w:rPr>
        <w:t xml:space="preserve"> </w:t>
      </w:r>
      <w:r w:rsidRPr="00C50314">
        <w:rPr>
          <w:rFonts w:cs="Arial" w:hint="cs"/>
          <w:rtl/>
        </w:rPr>
        <w:t>אלא</w:t>
      </w:r>
      <w:r w:rsidRPr="00C50314">
        <w:rPr>
          <w:rFonts w:cs="Arial"/>
          <w:rtl/>
        </w:rPr>
        <w:t xml:space="preserve"> </w:t>
      </w:r>
      <w:r w:rsidRPr="00C50314">
        <w:rPr>
          <w:rFonts w:cs="Arial" w:hint="cs"/>
          <w:rtl/>
        </w:rPr>
        <w:t>בא</w:t>
      </w:r>
      <w:r w:rsidRPr="00C50314">
        <w:rPr>
          <w:rFonts w:cs="Arial"/>
          <w:rtl/>
        </w:rPr>
        <w:t>"</w:t>
      </w:r>
      <w:r w:rsidRPr="00C50314">
        <w:rPr>
          <w:rFonts w:cs="Arial" w:hint="cs"/>
          <w:rtl/>
        </w:rPr>
        <w:t>י</w:t>
      </w:r>
      <w:r w:rsidRPr="00C50314">
        <w:rPr>
          <w:rFonts w:cs="Arial"/>
          <w:rtl/>
        </w:rPr>
        <w:t xml:space="preserve"> </w:t>
      </w:r>
      <w:r w:rsidRPr="00C50314">
        <w:rPr>
          <w:rFonts w:cs="Arial" w:hint="cs"/>
          <w:rtl/>
        </w:rPr>
        <w:t>ולא</w:t>
      </w:r>
      <w:r w:rsidRPr="00C50314">
        <w:rPr>
          <w:rFonts w:cs="Arial"/>
          <w:rtl/>
        </w:rPr>
        <w:t xml:space="preserve"> </w:t>
      </w:r>
      <w:r w:rsidRPr="00C50314">
        <w:rPr>
          <w:rFonts w:cs="Arial" w:hint="cs"/>
          <w:rtl/>
        </w:rPr>
        <w:t>בחו</w:t>
      </w:r>
      <w:r w:rsidRPr="00C50314">
        <w:rPr>
          <w:rFonts w:cs="Arial"/>
          <w:rtl/>
        </w:rPr>
        <w:t>"</w:t>
      </w:r>
      <w:r w:rsidRPr="00C50314">
        <w:rPr>
          <w:rFonts w:cs="Arial" w:hint="cs"/>
          <w:rtl/>
        </w:rPr>
        <w:t>ל</w:t>
      </w:r>
      <w:r w:rsidRPr="00C50314">
        <w:rPr>
          <w:rFonts w:cs="Arial"/>
          <w:rtl/>
        </w:rPr>
        <w:t xml:space="preserve">, </w:t>
      </w:r>
      <w:r w:rsidRPr="00C50314">
        <w:rPr>
          <w:rFonts w:cs="Arial" w:hint="cs"/>
          <w:rtl/>
        </w:rPr>
        <w:t>משא</w:t>
      </w:r>
      <w:r w:rsidRPr="00C50314">
        <w:rPr>
          <w:rFonts w:cs="Arial"/>
          <w:rtl/>
        </w:rPr>
        <w:t>"</w:t>
      </w:r>
      <w:r w:rsidRPr="00C50314">
        <w:rPr>
          <w:rFonts w:cs="Arial" w:hint="cs"/>
          <w:rtl/>
        </w:rPr>
        <w:t>כ</w:t>
      </w:r>
      <w:r w:rsidRPr="00C50314">
        <w:rPr>
          <w:rFonts w:cs="Arial"/>
          <w:rtl/>
        </w:rPr>
        <w:t xml:space="preserve"> </w:t>
      </w:r>
      <w:r w:rsidRPr="00C50314">
        <w:rPr>
          <w:rFonts w:cs="Arial" w:hint="cs"/>
          <w:rtl/>
        </w:rPr>
        <w:t>רשות</w:t>
      </w:r>
      <w:r w:rsidRPr="00C50314">
        <w:rPr>
          <w:rFonts w:cs="Arial"/>
          <w:rtl/>
        </w:rPr>
        <w:t xml:space="preserve"> </w:t>
      </w:r>
      <w:r w:rsidRPr="00C50314">
        <w:rPr>
          <w:rFonts w:cs="Arial" w:hint="cs"/>
          <w:rtl/>
        </w:rPr>
        <w:t>דריש</w:t>
      </w:r>
      <w:r w:rsidRPr="00C50314">
        <w:rPr>
          <w:rFonts w:cs="Arial"/>
          <w:rtl/>
        </w:rPr>
        <w:t xml:space="preserve"> </w:t>
      </w:r>
      <w:r w:rsidRPr="00C50314">
        <w:rPr>
          <w:rFonts w:cs="Arial" w:hint="cs"/>
          <w:rtl/>
        </w:rPr>
        <w:t>גלותא</w:t>
      </w:r>
      <w:r w:rsidRPr="00C50314">
        <w:rPr>
          <w:rFonts w:cs="Arial"/>
          <w:rtl/>
        </w:rPr>
        <w:t xml:space="preserve">, </w:t>
      </w:r>
      <w:r w:rsidRPr="00C50314">
        <w:rPr>
          <w:rFonts w:cs="Arial" w:hint="cs"/>
          <w:rtl/>
        </w:rPr>
        <w:t>וכ</w:t>
      </w:r>
      <w:r w:rsidRPr="00C50314">
        <w:rPr>
          <w:rFonts w:cs="Arial"/>
          <w:rtl/>
        </w:rPr>
        <w:t>"</w:t>
      </w:r>
      <w:r w:rsidRPr="00C50314">
        <w:rPr>
          <w:rFonts w:cs="Arial" w:hint="cs"/>
          <w:rtl/>
        </w:rPr>
        <w:t>כ</w:t>
      </w:r>
      <w:r w:rsidRPr="00C50314">
        <w:rPr>
          <w:rFonts w:cs="Arial"/>
          <w:rtl/>
        </w:rPr>
        <w:t xml:space="preserve"> </w:t>
      </w:r>
      <w:r w:rsidRPr="00C50314">
        <w:rPr>
          <w:rFonts w:cs="Arial" w:hint="cs"/>
          <w:rtl/>
        </w:rPr>
        <w:t>הרמב</w:t>
      </w:r>
      <w:r w:rsidRPr="00C50314">
        <w:rPr>
          <w:rFonts w:cs="Arial"/>
          <w:rtl/>
        </w:rPr>
        <w:t>"</w:t>
      </w:r>
      <w:r w:rsidRPr="00C50314">
        <w:rPr>
          <w:rFonts w:cs="Arial" w:hint="cs"/>
          <w:rtl/>
        </w:rPr>
        <w:t>ם</w:t>
      </w:r>
      <w:r w:rsidRPr="00C50314">
        <w:rPr>
          <w:rFonts w:cs="Arial"/>
          <w:rtl/>
        </w:rPr>
        <w:t xml:space="preserve"> </w:t>
      </w:r>
      <w:r w:rsidRPr="00C50314">
        <w:rPr>
          <w:rFonts w:cs="Arial" w:hint="cs"/>
          <w:rtl/>
        </w:rPr>
        <w:t>שם</w:t>
      </w:r>
      <w:r w:rsidRPr="00C50314">
        <w:rPr>
          <w:rFonts w:cs="Arial"/>
          <w:rtl/>
        </w:rPr>
        <w:t xml:space="preserve"> </w:t>
      </w:r>
      <w:r w:rsidRPr="00C50314">
        <w:rPr>
          <w:rFonts w:cs="Arial" w:hint="cs"/>
          <w:rtl/>
        </w:rPr>
        <w:t>בהדיא</w:t>
      </w:r>
      <w:r w:rsidRPr="00C50314">
        <w:rPr>
          <w:rFonts w:cs="Arial"/>
          <w:rtl/>
        </w:rPr>
        <w:t xml:space="preserve">, </w:t>
      </w:r>
      <w:r w:rsidRPr="00C50314">
        <w:rPr>
          <w:rFonts w:cs="Arial" w:hint="cs"/>
          <w:rtl/>
        </w:rPr>
        <w:t>וכתבתיו</w:t>
      </w:r>
      <w:r w:rsidRPr="00C50314">
        <w:rPr>
          <w:rFonts w:cs="Arial"/>
          <w:rtl/>
        </w:rPr>
        <w:t xml:space="preserve"> </w:t>
      </w:r>
      <w:r w:rsidRPr="00C50314">
        <w:rPr>
          <w:rFonts w:cs="Arial" w:hint="cs"/>
          <w:rtl/>
        </w:rPr>
        <w:t>ג</w:t>
      </w:r>
      <w:r w:rsidRPr="00C50314">
        <w:rPr>
          <w:rFonts w:cs="Arial"/>
          <w:rtl/>
        </w:rPr>
        <w:t>"</w:t>
      </w:r>
      <w:r w:rsidRPr="00C50314">
        <w:rPr>
          <w:rFonts w:cs="Arial" w:hint="cs"/>
          <w:rtl/>
        </w:rPr>
        <w:t>כ</w:t>
      </w:r>
      <w:r w:rsidRPr="00C50314">
        <w:rPr>
          <w:rFonts w:cs="Arial"/>
          <w:rtl/>
        </w:rPr>
        <w:t xml:space="preserve"> </w:t>
      </w:r>
      <w:r w:rsidRPr="00C50314">
        <w:rPr>
          <w:rFonts w:cs="Arial" w:hint="cs"/>
          <w:rtl/>
        </w:rPr>
        <w:t>לעיל</w:t>
      </w:r>
      <w:r w:rsidRPr="00C50314">
        <w:rPr>
          <w:rFonts w:cs="Arial"/>
          <w:rtl/>
        </w:rPr>
        <w:t xml:space="preserve"> </w:t>
      </w:r>
      <w:r w:rsidRPr="00C50314">
        <w:rPr>
          <w:rFonts w:cs="Arial" w:hint="cs"/>
          <w:rtl/>
        </w:rPr>
        <w:t>סימן</w:t>
      </w:r>
      <w:r w:rsidRPr="00C50314">
        <w:rPr>
          <w:rFonts w:cs="Arial"/>
          <w:rtl/>
        </w:rPr>
        <w:t xml:space="preserve"> </w:t>
      </w:r>
      <w:r w:rsidRPr="00C50314">
        <w:rPr>
          <w:rFonts w:cs="Arial" w:hint="cs"/>
          <w:rtl/>
        </w:rPr>
        <w:t>ג</w:t>
      </w:r>
      <w:r w:rsidRPr="00C50314">
        <w:rPr>
          <w:rFonts w:cs="Arial"/>
          <w:rtl/>
        </w:rPr>
        <w:t xml:space="preserve">' </w:t>
      </w:r>
      <w:r w:rsidRPr="00C50314">
        <w:rPr>
          <w:rFonts w:cs="Arial" w:hint="cs"/>
          <w:rtl/>
        </w:rPr>
        <w:t>ע</w:t>
      </w:r>
      <w:r w:rsidRPr="00C50314">
        <w:rPr>
          <w:rFonts w:cs="Arial"/>
          <w:rtl/>
        </w:rPr>
        <w:t>"</w:t>
      </w:r>
      <w:r w:rsidRPr="00C50314">
        <w:rPr>
          <w:rFonts w:cs="Arial" w:hint="cs"/>
          <w:rtl/>
        </w:rPr>
        <w:t>ש</w:t>
      </w:r>
      <w:r w:rsidRPr="00C50314">
        <w:rPr>
          <w:rFonts w:cs="Arial"/>
          <w:rtl/>
        </w:rPr>
        <w:t xml:space="preserve"> [</w:t>
      </w:r>
      <w:r w:rsidRPr="00C50314">
        <w:rPr>
          <w:rFonts w:cs="Arial" w:hint="cs"/>
          <w:rtl/>
        </w:rPr>
        <w:t>סק</w:t>
      </w:r>
      <w:r w:rsidRPr="00C50314">
        <w:rPr>
          <w:rFonts w:cs="Arial"/>
          <w:rtl/>
        </w:rPr>
        <w:t>"</w:t>
      </w:r>
      <w:r w:rsidRPr="00C50314">
        <w:rPr>
          <w:rFonts w:cs="Arial" w:hint="cs"/>
          <w:rtl/>
        </w:rPr>
        <w:t>ד</w:t>
      </w:r>
      <w:r w:rsidRPr="00C50314">
        <w:rPr>
          <w:rFonts w:cs="Arial"/>
          <w:rtl/>
        </w:rPr>
        <w:t>]</w:t>
      </w:r>
      <w:r>
        <w:rPr>
          <w:rFonts w:cs="Arial" w:hint="cs"/>
          <w:rtl/>
        </w:rPr>
        <w:t>, סמ"ע (סקי"ב).</w:t>
      </w:r>
      <w:r w:rsidRPr="002D3F6F">
        <w:rPr>
          <w:rFonts w:cs="Arial"/>
          <w:rtl/>
        </w:rPr>
        <w:t xml:space="preserve"> </w:t>
      </w:r>
      <w:r>
        <w:rPr>
          <w:rFonts w:cs="Arial" w:hint="cs"/>
          <w:rtl/>
        </w:rPr>
        <w:t>אך ה</w:t>
      </w:r>
      <w:r>
        <w:rPr>
          <w:rFonts w:hint="cs"/>
          <w:rtl/>
        </w:rPr>
        <w:t xml:space="preserve">ש"ך (סקי"א) כתב </w:t>
      </w:r>
      <w:r>
        <w:rPr>
          <w:rFonts w:cs="Arial" w:hint="cs"/>
          <w:rtl/>
        </w:rPr>
        <w:t>ד</w:t>
      </w:r>
      <w:r w:rsidRPr="00136A66">
        <w:rPr>
          <w:rFonts w:cs="Arial"/>
          <w:rtl/>
        </w:rPr>
        <w:t>האידנא לא שייך נטילת רשות מריש גלותא או מנשיא שבארץ ישראל שאין לנו לא זה ולא זה, כ"כ הטור לעיל סימן ג' [סעיף י"ב] ועיין שם, ועיין בריב"ש סי' רע"א, ועיין באגרת הסמיכה למהר"ל ן' חביב בסוף תשובותיו</w:t>
      </w:r>
      <w:r>
        <w:rPr>
          <w:rFonts w:hint="cs"/>
          <w:rtl/>
        </w:rPr>
        <w:t>.</w:t>
      </w:r>
    </w:p>
  </w:footnote>
  <w:footnote w:id="1266">
    <w:p w14:paraId="3E35ABD5" w14:textId="77777777" w:rsidR="0013116F" w:rsidRDefault="0013116F">
      <w:pPr>
        <w:pStyle w:val="a9"/>
      </w:pPr>
      <w:r>
        <w:rPr>
          <w:rStyle w:val="ab"/>
        </w:rPr>
        <w:footnoteRef/>
      </w:r>
      <w:r>
        <w:rPr>
          <w:rtl/>
        </w:rPr>
        <w:t xml:space="preserve"> </w:t>
      </w:r>
      <w:r w:rsidRPr="00136A66">
        <w:rPr>
          <w:rFonts w:cs="Arial"/>
          <w:rtl/>
        </w:rPr>
        <w:t>נראה דכל קבלה שהוזכר בסימן זה בדינים אלו אין צריך קנין, רק בסתם קבלה שדנו לפניו סגי</w:t>
      </w:r>
      <w:r>
        <w:rPr>
          <w:rFonts w:cs="Arial" w:hint="cs"/>
          <w:rtl/>
        </w:rPr>
        <w:t>..</w:t>
      </w:r>
      <w:r w:rsidRPr="00136A66">
        <w:rPr>
          <w:rFonts w:cs="Arial"/>
          <w:rtl/>
        </w:rPr>
        <w:t>. וה"ה כשבאו ודנו לפניו בסתם</w:t>
      </w:r>
      <w:r>
        <w:rPr>
          <w:rFonts w:cs="Arial" w:hint="cs"/>
          <w:rtl/>
        </w:rPr>
        <w:t>..., ש"ך (סקי"ב).</w:t>
      </w:r>
    </w:p>
  </w:footnote>
  <w:footnote w:id="1267">
    <w:p w14:paraId="2C0DEFE9" w14:textId="77777777" w:rsidR="0013116F" w:rsidRDefault="0013116F">
      <w:pPr>
        <w:pStyle w:val="a9"/>
        <w:rPr>
          <w:rtl/>
        </w:rPr>
      </w:pPr>
      <w:r>
        <w:rPr>
          <w:rStyle w:val="ab"/>
        </w:rPr>
        <w:footnoteRef/>
      </w:r>
      <w:r>
        <w:rPr>
          <w:rtl/>
        </w:rPr>
        <w:t xml:space="preserve"> </w:t>
      </w:r>
      <w:r w:rsidRPr="00136A66">
        <w:rPr>
          <w:rFonts w:cs="Arial"/>
          <w:rtl/>
        </w:rPr>
        <w:t>קאי אהיכא דאין סוגיא דעלמא כאידך, דאי סוגיא דעלמא כאידך, פשיטא דאין בהכרעתו כלום</w:t>
      </w:r>
      <w:r>
        <w:rPr>
          <w:rFonts w:hint="cs"/>
          <w:rtl/>
        </w:rPr>
        <w:t>, ש"ך (סקט"ז).</w:t>
      </w:r>
    </w:p>
  </w:footnote>
  <w:footnote w:id="1268">
    <w:p w14:paraId="2DB975D8" w14:textId="77777777" w:rsidR="0013116F" w:rsidRDefault="0013116F">
      <w:pPr>
        <w:pStyle w:val="a9"/>
        <w:rPr>
          <w:rtl/>
        </w:rPr>
      </w:pPr>
      <w:r>
        <w:rPr>
          <w:rStyle w:val="ab"/>
        </w:rPr>
        <w:footnoteRef/>
      </w:r>
      <w:r>
        <w:rPr>
          <w:rtl/>
        </w:rPr>
        <w:t xml:space="preserve"> </w:t>
      </w:r>
      <w:r w:rsidRPr="00AB1D9E">
        <w:rPr>
          <w:rFonts w:cs="Arial"/>
          <w:rtl/>
        </w:rPr>
        <w:t>ועיין עוד מזה לקמן ס</w:t>
      </w:r>
      <w:r>
        <w:rPr>
          <w:rFonts w:cs="Arial" w:hint="cs"/>
          <w:rtl/>
        </w:rPr>
        <w:t>"ס</w:t>
      </w:r>
      <w:r w:rsidRPr="00AB1D9E">
        <w:rPr>
          <w:rFonts w:cs="Arial"/>
          <w:rtl/>
        </w:rPr>
        <w:t xml:space="preserve"> קלט [בהג"ה] דכתב דדבר שיש בו מחלוקת ולא תפיס חד מינייהו ואין שייך בו חלוקה, אומרים בו כל דאלים גבר</w:t>
      </w:r>
      <w:r>
        <w:rPr>
          <w:rFonts w:hint="cs"/>
          <w:rtl/>
        </w:rPr>
        <w:t>, סמ"ע (סקט"ז).</w:t>
      </w:r>
    </w:p>
  </w:footnote>
  <w:footnote w:id="1269">
    <w:p w14:paraId="3EEA9BC9" w14:textId="77777777" w:rsidR="0013116F" w:rsidRDefault="0013116F">
      <w:pPr>
        <w:pStyle w:val="a9"/>
        <w:rPr>
          <w:rtl/>
        </w:rPr>
      </w:pPr>
      <w:r>
        <w:rPr>
          <w:rStyle w:val="ab"/>
        </w:rPr>
        <w:footnoteRef/>
      </w:r>
      <w:r>
        <w:rPr>
          <w:rtl/>
        </w:rPr>
        <w:t xml:space="preserve"> </w:t>
      </w:r>
      <w:r w:rsidRPr="004D7082">
        <w:rPr>
          <w:rFonts w:cs="Arial" w:hint="cs"/>
          <w:rtl/>
        </w:rPr>
        <w:t>וז</w:t>
      </w:r>
      <w:r w:rsidRPr="004D7082">
        <w:rPr>
          <w:rFonts w:cs="Arial"/>
          <w:rtl/>
        </w:rPr>
        <w:t>"</w:t>
      </w:r>
      <w:r w:rsidRPr="004D7082">
        <w:rPr>
          <w:rFonts w:cs="Arial" w:hint="cs"/>
          <w:rtl/>
        </w:rPr>
        <w:t>ל</w:t>
      </w:r>
      <w:r w:rsidRPr="004D7082">
        <w:rPr>
          <w:rFonts w:cs="Arial"/>
          <w:rtl/>
        </w:rPr>
        <w:t xml:space="preserve"> </w:t>
      </w:r>
      <w:r w:rsidRPr="004D7082">
        <w:rPr>
          <w:rFonts w:cs="Arial" w:hint="cs"/>
          <w:rtl/>
        </w:rPr>
        <w:t>ד</w:t>
      </w:r>
      <w:r>
        <w:rPr>
          <w:rFonts w:cs="Arial" w:hint="cs"/>
          <w:rtl/>
        </w:rPr>
        <w:t>רכ</w:t>
      </w:r>
      <w:r w:rsidRPr="004D7082">
        <w:rPr>
          <w:rFonts w:cs="Arial"/>
          <w:rtl/>
        </w:rPr>
        <w:t>"</w:t>
      </w:r>
      <w:r w:rsidRPr="004D7082">
        <w:rPr>
          <w:rFonts w:cs="Arial" w:hint="cs"/>
          <w:rtl/>
        </w:rPr>
        <w:t>מ</w:t>
      </w:r>
      <w:r w:rsidRPr="004D7082">
        <w:rPr>
          <w:rFonts w:cs="Arial"/>
          <w:rtl/>
        </w:rPr>
        <w:t xml:space="preserve"> </w:t>
      </w:r>
      <w:r w:rsidRPr="004D7082">
        <w:rPr>
          <w:rFonts w:cs="Arial" w:hint="cs"/>
          <w:rtl/>
        </w:rPr>
        <w:t>שם</w:t>
      </w:r>
      <w:r w:rsidRPr="004D7082">
        <w:rPr>
          <w:rFonts w:cs="Arial"/>
          <w:rtl/>
        </w:rPr>
        <w:t xml:space="preserve"> [</w:t>
      </w:r>
      <w:r w:rsidRPr="004D7082">
        <w:rPr>
          <w:rFonts w:cs="Arial" w:hint="cs"/>
          <w:rtl/>
        </w:rPr>
        <w:t>ביו</w:t>
      </w:r>
      <w:r w:rsidRPr="004D7082">
        <w:rPr>
          <w:rFonts w:cs="Arial"/>
          <w:rtl/>
        </w:rPr>
        <w:t>"</w:t>
      </w:r>
      <w:r w:rsidRPr="004D7082">
        <w:rPr>
          <w:rFonts w:cs="Arial" w:hint="cs"/>
          <w:rtl/>
        </w:rPr>
        <w:t>ד</w:t>
      </w:r>
      <w:r w:rsidRPr="004D7082">
        <w:rPr>
          <w:rFonts w:cs="Arial"/>
          <w:rtl/>
        </w:rPr>
        <w:t xml:space="preserve"> </w:t>
      </w:r>
      <w:r w:rsidRPr="004D7082">
        <w:rPr>
          <w:rFonts w:cs="Arial" w:hint="cs"/>
          <w:rtl/>
        </w:rPr>
        <w:t>המובא</w:t>
      </w:r>
      <w:r w:rsidRPr="004D7082">
        <w:rPr>
          <w:rFonts w:cs="Arial"/>
          <w:rtl/>
        </w:rPr>
        <w:t xml:space="preserve"> </w:t>
      </w:r>
      <w:r w:rsidRPr="004D7082">
        <w:rPr>
          <w:rFonts w:cs="Arial" w:hint="cs"/>
          <w:rtl/>
        </w:rPr>
        <w:t>בציונים</w:t>
      </w:r>
      <w:r w:rsidRPr="004D7082">
        <w:rPr>
          <w:rFonts w:cs="Arial"/>
          <w:rtl/>
        </w:rPr>
        <w:t xml:space="preserve"> </w:t>
      </w:r>
      <w:r w:rsidRPr="004D7082">
        <w:rPr>
          <w:rFonts w:cs="Arial" w:hint="cs"/>
          <w:rtl/>
        </w:rPr>
        <w:t>אות</w:t>
      </w:r>
      <w:r w:rsidRPr="004D7082">
        <w:rPr>
          <w:rFonts w:cs="Arial"/>
          <w:rtl/>
        </w:rPr>
        <w:t xml:space="preserve"> </w:t>
      </w:r>
      <w:r w:rsidRPr="004D7082">
        <w:rPr>
          <w:rFonts w:cs="Arial" w:hint="cs"/>
          <w:rtl/>
        </w:rPr>
        <w:t>י</w:t>
      </w:r>
      <w:r w:rsidRPr="004D7082">
        <w:rPr>
          <w:rFonts w:cs="Arial"/>
          <w:rtl/>
        </w:rPr>
        <w:t>"</w:t>
      </w:r>
      <w:r w:rsidRPr="004D7082">
        <w:rPr>
          <w:rFonts w:cs="Arial" w:hint="cs"/>
          <w:rtl/>
        </w:rPr>
        <w:t>א</w:t>
      </w:r>
      <w:r w:rsidRPr="004D7082">
        <w:rPr>
          <w:rFonts w:cs="Arial"/>
          <w:rtl/>
        </w:rPr>
        <w:t xml:space="preserve">] </w:t>
      </w:r>
      <w:r w:rsidRPr="004D7082">
        <w:rPr>
          <w:rFonts w:cs="Arial" w:hint="cs"/>
          <w:rtl/>
        </w:rPr>
        <w:t>בשם</w:t>
      </w:r>
      <w:r w:rsidRPr="004D7082">
        <w:rPr>
          <w:rFonts w:cs="Arial"/>
          <w:rtl/>
        </w:rPr>
        <w:t xml:space="preserve"> </w:t>
      </w:r>
      <w:r w:rsidRPr="004D7082">
        <w:rPr>
          <w:rFonts w:cs="Arial" w:hint="cs"/>
          <w:rtl/>
        </w:rPr>
        <w:t>הג</w:t>
      </w:r>
      <w:r w:rsidRPr="004D7082">
        <w:rPr>
          <w:rFonts w:cs="Arial"/>
          <w:rtl/>
        </w:rPr>
        <w:t>"</w:t>
      </w:r>
      <w:r w:rsidRPr="004D7082">
        <w:rPr>
          <w:rFonts w:cs="Arial" w:hint="cs"/>
          <w:rtl/>
        </w:rPr>
        <w:t>א</w:t>
      </w:r>
      <w:r w:rsidRPr="004D7082">
        <w:rPr>
          <w:rFonts w:cs="Arial"/>
          <w:rtl/>
        </w:rPr>
        <w:t xml:space="preserve"> </w:t>
      </w:r>
      <w:r>
        <w:rPr>
          <w:rFonts w:cs="Arial" w:hint="cs"/>
          <w:rtl/>
        </w:rPr>
        <w:t>(</w:t>
      </w:r>
      <w:r w:rsidRPr="004D7082">
        <w:rPr>
          <w:rFonts w:cs="Arial" w:hint="cs"/>
          <w:rtl/>
        </w:rPr>
        <w:t>פ</w:t>
      </w:r>
      <w:r w:rsidRPr="004D7082">
        <w:rPr>
          <w:rFonts w:cs="Arial"/>
          <w:rtl/>
        </w:rPr>
        <w:t>"</w:t>
      </w:r>
      <w:r w:rsidRPr="004D7082">
        <w:rPr>
          <w:rFonts w:cs="Arial" w:hint="cs"/>
          <w:rtl/>
        </w:rPr>
        <w:t>ק</w:t>
      </w:r>
      <w:r w:rsidRPr="004D7082">
        <w:rPr>
          <w:rFonts w:cs="Arial"/>
          <w:rtl/>
        </w:rPr>
        <w:t xml:space="preserve"> </w:t>
      </w:r>
      <w:r w:rsidRPr="004D7082">
        <w:rPr>
          <w:rFonts w:cs="Arial" w:hint="cs"/>
          <w:rtl/>
        </w:rPr>
        <w:t>דע</w:t>
      </w:r>
      <w:r w:rsidRPr="004D7082">
        <w:rPr>
          <w:rFonts w:cs="Arial"/>
          <w:rtl/>
        </w:rPr>
        <w:t>"</w:t>
      </w:r>
      <w:r w:rsidRPr="004D7082">
        <w:rPr>
          <w:rFonts w:cs="Arial" w:hint="cs"/>
          <w:rtl/>
        </w:rPr>
        <w:t>ז</w:t>
      </w:r>
      <w:r w:rsidRPr="004D7082">
        <w:rPr>
          <w:rFonts w:cs="Arial"/>
          <w:rtl/>
        </w:rPr>
        <w:t xml:space="preserve"> </w:t>
      </w:r>
      <w:r w:rsidRPr="004D7082">
        <w:rPr>
          <w:rFonts w:cs="Arial" w:hint="cs"/>
          <w:rtl/>
        </w:rPr>
        <w:t>סי</w:t>
      </w:r>
      <w:r w:rsidRPr="004D7082">
        <w:rPr>
          <w:rFonts w:cs="Arial"/>
          <w:rtl/>
        </w:rPr>
        <w:t xml:space="preserve">' </w:t>
      </w:r>
      <w:r w:rsidRPr="004D7082">
        <w:rPr>
          <w:rFonts w:cs="Arial" w:hint="cs"/>
          <w:rtl/>
        </w:rPr>
        <w:t>ג</w:t>
      </w:r>
      <w:r>
        <w:rPr>
          <w:rFonts w:cs="Arial" w:hint="cs"/>
          <w:rtl/>
        </w:rPr>
        <w:t>)</w:t>
      </w:r>
      <w:r w:rsidRPr="004D7082">
        <w:rPr>
          <w:rFonts w:cs="Arial"/>
          <w:rtl/>
        </w:rPr>
        <w:t xml:space="preserve">, </w:t>
      </w:r>
      <w:r w:rsidRPr="004D7082">
        <w:rPr>
          <w:rFonts w:cs="Arial" w:hint="cs"/>
          <w:rtl/>
        </w:rPr>
        <w:t>אם</w:t>
      </w:r>
      <w:r w:rsidRPr="004D7082">
        <w:rPr>
          <w:rFonts w:cs="Arial"/>
          <w:rtl/>
        </w:rPr>
        <w:t xml:space="preserve"> </w:t>
      </w:r>
      <w:r w:rsidRPr="004D7082">
        <w:rPr>
          <w:rFonts w:cs="Arial" w:hint="cs"/>
          <w:rtl/>
        </w:rPr>
        <w:t>זה</w:t>
      </w:r>
      <w:r w:rsidRPr="004D7082">
        <w:rPr>
          <w:rFonts w:cs="Arial"/>
          <w:rtl/>
        </w:rPr>
        <w:t xml:space="preserve"> </w:t>
      </w:r>
      <w:r w:rsidRPr="004D7082">
        <w:rPr>
          <w:rFonts w:cs="Arial" w:hint="cs"/>
          <w:rtl/>
        </w:rPr>
        <w:t>גדול</w:t>
      </w:r>
      <w:r w:rsidRPr="004D7082">
        <w:rPr>
          <w:rFonts w:cs="Arial"/>
          <w:rtl/>
        </w:rPr>
        <w:t xml:space="preserve"> </w:t>
      </w:r>
      <w:r w:rsidRPr="004D7082">
        <w:rPr>
          <w:rFonts w:cs="Arial" w:hint="cs"/>
          <w:rtl/>
        </w:rPr>
        <w:t>בחכמה</w:t>
      </w:r>
      <w:r w:rsidRPr="004D7082">
        <w:rPr>
          <w:rFonts w:cs="Arial"/>
          <w:rtl/>
        </w:rPr>
        <w:t xml:space="preserve"> </w:t>
      </w:r>
      <w:r w:rsidRPr="004D7082">
        <w:rPr>
          <w:rFonts w:cs="Arial" w:hint="cs"/>
          <w:rtl/>
        </w:rPr>
        <w:t>וזה</w:t>
      </w:r>
      <w:r w:rsidRPr="004D7082">
        <w:rPr>
          <w:rFonts w:cs="Arial"/>
          <w:rtl/>
        </w:rPr>
        <w:t xml:space="preserve"> </w:t>
      </w:r>
      <w:r w:rsidRPr="004D7082">
        <w:rPr>
          <w:rFonts w:cs="Arial" w:hint="cs"/>
          <w:rtl/>
        </w:rPr>
        <w:t>גדול</w:t>
      </w:r>
      <w:r w:rsidRPr="004D7082">
        <w:rPr>
          <w:rFonts w:cs="Arial"/>
          <w:rtl/>
        </w:rPr>
        <w:t xml:space="preserve"> </w:t>
      </w:r>
      <w:r w:rsidRPr="004D7082">
        <w:rPr>
          <w:rFonts w:cs="Arial" w:hint="cs"/>
          <w:rtl/>
        </w:rPr>
        <w:t>במנין</w:t>
      </w:r>
      <w:r w:rsidRPr="004D7082">
        <w:rPr>
          <w:rFonts w:cs="Arial"/>
          <w:rtl/>
        </w:rPr>
        <w:t xml:space="preserve">, </w:t>
      </w:r>
      <w:r w:rsidRPr="004D7082">
        <w:rPr>
          <w:rFonts w:cs="Arial" w:hint="cs"/>
          <w:rtl/>
        </w:rPr>
        <w:t>הולכין</w:t>
      </w:r>
      <w:r w:rsidRPr="004D7082">
        <w:rPr>
          <w:rFonts w:cs="Arial"/>
          <w:rtl/>
        </w:rPr>
        <w:t xml:space="preserve"> </w:t>
      </w:r>
      <w:r w:rsidRPr="004D7082">
        <w:rPr>
          <w:rFonts w:cs="Arial" w:hint="cs"/>
          <w:rtl/>
        </w:rPr>
        <w:t>אחר</w:t>
      </w:r>
      <w:r w:rsidRPr="004D7082">
        <w:rPr>
          <w:rFonts w:cs="Arial"/>
          <w:rtl/>
        </w:rPr>
        <w:t xml:space="preserve"> </w:t>
      </w:r>
      <w:r w:rsidRPr="004D7082">
        <w:rPr>
          <w:rFonts w:cs="Arial" w:hint="cs"/>
          <w:rtl/>
        </w:rPr>
        <w:t>גדול</w:t>
      </w:r>
      <w:r w:rsidRPr="004D7082">
        <w:rPr>
          <w:rFonts w:cs="Arial"/>
          <w:rtl/>
        </w:rPr>
        <w:t xml:space="preserve"> </w:t>
      </w:r>
      <w:r w:rsidRPr="004D7082">
        <w:rPr>
          <w:rFonts w:cs="Arial" w:hint="cs"/>
          <w:rtl/>
        </w:rPr>
        <w:t>במנין</w:t>
      </w:r>
      <w:r w:rsidRPr="004D7082">
        <w:rPr>
          <w:rFonts w:cs="Arial"/>
          <w:rtl/>
        </w:rPr>
        <w:t xml:space="preserve">, </w:t>
      </w:r>
      <w:r w:rsidRPr="004D7082">
        <w:rPr>
          <w:rFonts w:cs="Arial" w:hint="cs"/>
          <w:rtl/>
        </w:rPr>
        <w:t>פירוש</w:t>
      </w:r>
      <w:r w:rsidRPr="004D7082">
        <w:rPr>
          <w:rFonts w:cs="Arial"/>
          <w:rtl/>
        </w:rPr>
        <w:t xml:space="preserve">, </w:t>
      </w:r>
      <w:r w:rsidRPr="004D7082">
        <w:rPr>
          <w:rFonts w:cs="Arial" w:hint="cs"/>
          <w:rtl/>
        </w:rPr>
        <w:t>תלמידים</w:t>
      </w:r>
      <w:r w:rsidRPr="004D7082">
        <w:rPr>
          <w:rFonts w:cs="Arial"/>
          <w:rtl/>
        </w:rPr>
        <w:t xml:space="preserve"> </w:t>
      </w:r>
      <w:r w:rsidRPr="004D7082">
        <w:rPr>
          <w:rFonts w:cs="Arial" w:hint="cs"/>
          <w:rtl/>
        </w:rPr>
        <w:t>הרבה</w:t>
      </w:r>
      <w:r w:rsidRPr="004D7082">
        <w:rPr>
          <w:rFonts w:cs="Arial"/>
          <w:rtl/>
        </w:rPr>
        <w:t xml:space="preserve">, </w:t>
      </w:r>
      <w:r w:rsidRPr="004D7082">
        <w:rPr>
          <w:rFonts w:cs="Arial" w:hint="cs"/>
          <w:rtl/>
        </w:rPr>
        <w:t>אי</w:t>
      </w:r>
      <w:r w:rsidRPr="004D7082">
        <w:rPr>
          <w:rFonts w:cs="Arial"/>
          <w:rtl/>
        </w:rPr>
        <w:t xml:space="preserve"> </w:t>
      </w:r>
      <w:r w:rsidRPr="004D7082">
        <w:rPr>
          <w:rFonts w:cs="Arial" w:hint="cs"/>
          <w:rtl/>
        </w:rPr>
        <w:t>נמי</w:t>
      </w:r>
      <w:r w:rsidRPr="004D7082">
        <w:rPr>
          <w:rFonts w:cs="Arial"/>
          <w:rtl/>
        </w:rPr>
        <w:t xml:space="preserve"> </w:t>
      </w:r>
      <w:r w:rsidRPr="004D7082">
        <w:rPr>
          <w:rFonts w:cs="Arial" w:hint="cs"/>
          <w:rtl/>
        </w:rPr>
        <w:t>שרוב</w:t>
      </w:r>
      <w:r w:rsidRPr="004D7082">
        <w:rPr>
          <w:rFonts w:cs="Arial"/>
          <w:rtl/>
        </w:rPr>
        <w:t xml:space="preserve"> </w:t>
      </w:r>
      <w:r w:rsidRPr="004D7082">
        <w:rPr>
          <w:rFonts w:cs="Arial" w:hint="cs"/>
          <w:rtl/>
        </w:rPr>
        <w:t>תלמידים</w:t>
      </w:r>
      <w:r w:rsidRPr="004D7082">
        <w:rPr>
          <w:rFonts w:cs="Arial"/>
          <w:rtl/>
        </w:rPr>
        <w:t xml:space="preserve"> </w:t>
      </w:r>
      <w:r w:rsidRPr="004D7082">
        <w:rPr>
          <w:rFonts w:cs="Arial" w:hint="cs"/>
          <w:rtl/>
        </w:rPr>
        <w:t>אומרים</w:t>
      </w:r>
      <w:r w:rsidRPr="004D7082">
        <w:rPr>
          <w:rFonts w:cs="Arial"/>
          <w:rtl/>
        </w:rPr>
        <w:t xml:space="preserve"> </w:t>
      </w:r>
      <w:r w:rsidRPr="004D7082">
        <w:rPr>
          <w:rFonts w:cs="Arial" w:hint="cs"/>
          <w:rtl/>
        </w:rPr>
        <w:t>כמותו</w:t>
      </w:r>
      <w:r w:rsidRPr="004D7082">
        <w:rPr>
          <w:rFonts w:cs="Arial"/>
          <w:rtl/>
        </w:rPr>
        <w:t xml:space="preserve">, </w:t>
      </w:r>
      <w:r w:rsidRPr="004D7082">
        <w:rPr>
          <w:rFonts w:cs="Arial" w:hint="cs"/>
          <w:rtl/>
        </w:rPr>
        <w:t>עכ</w:t>
      </w:r>
      <w:r w:rsidRPr="004D7082">
        <w:rPr>
          <w:rFonts w:cs="Arial"/>
          <w:rtl/>
        </w:rPr>
        <w:t>"</w:t>
      </w:r>
      <w:r w:rsidRPr="004D7082">
        <w:rPr>
          <w:rFonts w:cs="Arial" w:hint="cs"/>
          <w:rtl/>
        </w:rPr>
        <w:t>ל</w:t>
      </w:r>
      <w:r>
        <w:rPr>
          <w:rFonts w:hint="cs"/>
          <w:rtl/>
        </w:rPr>
        <w:t>, סמ"ע (סקי"ח).</w:t>
      </w:r>
    </w:p>
  </w:footnote>
  <w:footnote w:id="1270">
    <w:p w14:paraId="49675053" w14:textId="77777777" w:rsidR="0013116F" w:rsidRDefault="0013116F">
      <w:pPr>
        <w:pStyle w:val="a9"/>
      </w:pPr>
      <w:r>
        <w:rPr>
          <w:rStyle w:val="ab"/>
        </w:rPr>
        <w:footnoteRef/>
      </w:r>
      <w:r>
        <w:rPr>
          <w:rtl/>
        </w:rPr>
        <w:t xml:space="preserve"> </w:t>
      </w:r>
      <w:r w:rsidRPr="00136A66">
        <w:rPr>
          <w:rFonts w:cs="Arial"/>
          <w:rtl/>
        </w:rPr>
        <w:t>והב"ח כתב [סע</w:t>
      </w:r>
      <w:r>
        <w:rPr>
          <w:rFonts w:cs="Arial" w:hint="cs"/>
          <w:rtl/>
        </w:rPr>
        <w:t>'</w:t>
      </w:r>
      <w:r w:rsidRPr="00136A66">
        <w:rPr>
          <w:rFonts w:cs="Arial"/>
          <w:rtl/>
        </w:rPr>
        <w:t xml:space="preserve"> ה] דה"ה להיפך שהיה מנהג בעיר להחמיר ע"פ חכם אחד ומת, ובא חכם אחד ומיקל, יכולים לנהוג היתר,</w:t>
      </w:r>
      <w:r w:rsidRPr="00136A66">
        <w:rPr>
          <w:rtl/>
        </w:rPr>
        <w:t xml:space="preserve"> </w:t>
      </w:r>
      <w:r w:rsidRPr="00136A66">
        <w:rPr>
          <w:rFonts w:cs="Arial"/>
          <w:rtl/>
        </w:rPr>
        <w:t>ע"ש ועיין בש</w:t>
      </w:r>
      <w:r>
        <w:rPr>
          <w:rFonts w:cs="Arial" w:hint="cs"/>
          <w:rtl/>
        </w:rPr>
        <w:t>לט</w:t>
      </w:r>
      <w:r w:rsidRPr="00136A66">
        <w:rPr>
          <w:rFonts w:cs="Arial"/>
          <w:rtl/>
        </w:rPr>
        <w:t xml:space="preserve">"ג </w:t>
      </w:r>
      <w:r>
        <w:rPr>
          <w:rFonts w:cs="Arial" w:hint="cs"/>
          <w:rtl/>
        </w:rPr>
        <w:t>[</w:t>
      </w:r>
      <w:r w:rsidRPr="00136A66">
        <w:rPr>
          <w:rFonts w:cs="Arial"/>
          <w:rtl/>
        </w:rPr>
        <w:t>פ"ק דע"ז</w:t>
      </w:r>
      <w:r>
        <w:rPr>
          <w:rFonts w:cs="Arial" w:hint="cs"/>
          <w:rtl/>
        </w:rPr>
        <w:t xml:space="preserve"> </w:t>
      </w:r>
      <w:r w:rsidRPr="00136A66">
        <w:rPr>
          <w:rFonts w:cs="Arial"/>
          <w:rtl/>
        </w:rPr>
        <w:t>ב</w:t>
      </w:r>
      <w:r>
        <w:rPr>
          <w:rFonts w:cs="Arial" w:hint="cs"/>
          <w:rtl/>
        </w:rPr>
        <w:t>.</w:t>
      </w:r>
      <w:r w:rsidRPr="00136A66">
        <w:rPr>
          <w:rFonts w:cs="Arial"/>
          <w:rtl/>
        </w:rPr>
        <w:t xml:space="preserve"> מדפ</w:t>
      </w:r>
      <w:r>
        <w:rPr>
          <w:rFonts w:cs="Arial" w:hint="cs"/>
          <w:rtl/>
        </w:rPr>
        <w:t>ה"ר</w:t>
      </w:r>
      <w:r w:rsidRPr="00136A66">
        <w:rPr>
          <w:rFonts w:cs="Arial"/>
          <w:rtl/>
        </w:rPr>
        <w:t xml:space="preserve">] </w:t>
      </w:r>
      <w:r>
        <w:rPr>
          <w:rFonts w:cs="Arial" w:hint="cs"/>
          <w:rtl/>
        </w:rPr>
        <w:t xml:space="preserve"> ש"ך (סק"כ).</w:t>
      </w:r>
    </w:p>
  </w:footnote>
  <w:footnote w:id="1271">
    <w:p w14:paraId="1B8165FC" w14:textId="77777777" w:rsidR="0013116F" w:rsidRDefault="0013116F">
      <w:pPr>
        <w:pStyle w:val="a9"/>
      </w:pPr>
      <w:r>
        <w:rPr>
          <w:rStyle w:val="ab"/>
        </w:rPr>
        <w:footnoteRef/>
      </w:r>
      <w:r>
        <w:rPr>
          <w:rtl/>
        </w:rPr>
        <w:t xml:space="preserve"> </w:t>
      </w:r>
      <w:r w:rsidRPr="00136A66">
        <w:rPr>
          <w:rFonts w:cs="Arial"/>
          <w:rtl/>
        </w:rPr>
        <w:t xml:space="preserve">ומהר"ם אלשיך כתב בתשובה </w:t>
      </w:r>
      <w:r>
        <w:rPr>
          <w:rFonts w:cs="Arial" w:hint="cs"/>
          <w:rtl/>
        </w:rPr>
        <w:t>(</w:t>
      </w:r>
      <w:r w:rsidRPr="00136A66">
        <w:rPr>
          <w:rFonts w:cs="Arial"/>
          <w:rtl/>
        </w:rPr>
        <w:t>סי' לט</w:t>
      </w:r>
      <w:r>
        <w:rPr>
          <w:rFonts w:cs="Arial" w:hint="cs"/>
          <w:rtl/>
        </w:rPr>
        <w:t>)</w:t>
      </w:r>
      <w:r w:rsidRPr="00136A66">
        <w:rPr>
          <w:rFonts w:cs="Arial"/>
          <w:rtl/>
        </w:rPr>
        <w:t xml:space="preserve"> וז"ל, וא</w:t>
      </w:r>
      <w:r>
        <w:rPr>
          <w:rFonts w:cs="Arial" w:hint="cs"/>
          <w:rtl/>
        </w:rPr>
        <w:t>ע"ג</w:t>
      </w:r>
      <w:r w:rsidRPr="00136A66">
        <w:rPr>
          <w:rFonts w:cs="Arial"/>
          <w:rtl/>
        </w:rPr>
        <w:t xml:space="preserve"> דסברת מהרי"ק שלא כדעת התוספות וסמ"ג, לא יעלה על לב לומר דכיון דבתרא הוא נקטינן כוותיה, דלאו סברא היא, דאע"ג דגם בפוסקים נקטינן כבתראי כדכתיבנא, היינו כשראה האחרון דברי הראשון ולא חזר בו מקמיה דקמא, אבל אם לא ראה אותו ולא שמע סברתו, אדרבה אמרינן דהלכה כקמא, דשמא אם היה רואה האחרון דברי הראשון היה חוזר בו, והכי מחלק הרא"ש בתשובה, דוק ותשכח. ומהרי"ק ז"ל נראה דאישתמיטתיה ההיא דתוס' שלא הזכירה. ועוד, דע"כ לא אמרינן הלכה כבתראי לגבי קמאי אלא כשאין בין בתראי לקמאי אלא כהדרגת אמוראי קמאי לאמוראי בתראי, אבל היכא דאיכא בינייהו כהדרגת שבין אמורא לתנא, לא אמרינן הלכה כבתראי, אלא אדרבה אין גם האחד מהאמוראים בלעדי רב יחלוק על התנא אם אין תנא אחר מסייעו וסומך עליו, וא"כ השתא אין ספק שמהרי"ק שהוא מדורותינו אלה לא אמרינן עליו לגבי התוס' דהלכה כמותו שהוא בתרא לגבי דידהו, ואנן סהדי דאי דעתיה הוה שהתוס' סוברים דאסור לא היה חולק עליהם, ומה גם להקל, אלא אדרבה היה חוזר מקמי דידהו, וכל שכן דטובא נינהו התוספות וסמ"ג והר' ישעיה, ומה גם להחמיר בריבית החמור, עכ"ל. וקצת דבריו נכונים וקצת דבריו צ"ע. מיהו גם מהר"מ אלשקר בתשובה סי' נ"ד חולק אמהרי"ק בשורש צ"ד [כתב השלישי]. ועיין מ"ש בזה בפסק הארוך שלי בהנהגת איסור והיתר ביו"ד סימן רמ"ב</w:t>
      </w:r>
      <w:r>
        <w:rPr>
          <w:rFonts w:cs="Arial" w:hint="cs"/>
          <w:rtl/>
        </w:rPr>
        <w:t>, ש"ך (סקכ"א).</w:t>
      </w:r>
    </w:p>
  </w:footnote>
  <w:footnote w:id="1272">
    <w:p w14:paraId="4E322241" w14:textId="77777777" w:rsidR="0013116F" w:rsidRDefault="0013116F" w:rsidP="007E745D">
      <w:pPr>
        <w:pStyle w:val="a9"/>
        <w:rPr>
          <w:rtl/>
        </w:rPr>
      </w:pPr>
      <w:r>
        <w:rPr>
          <w:rStyle w:val="ab"/>
        </w:rPr>
        <w:footnoteRef/>
      </w:r>
      <w:r>
        <w:rPr>
          <w:rtl/>
        </w:rPr>
        <w:t xml:space="preserve"> </w:t>
      </w:r>
      <w:r w:rsidRPr="006261B9">
        <w:rPr>
          <w:rFonts w:cs="Arial"/>
          <w:rtl/>
        </w:rPr>
        <w:t>כדפרישית לעיל (פ"ג סי' לג) דאינהו לא משלמי מנתא דיליה דאמרי אי לאו את בהדן לא הוה סליק דינא</w:t>
      </w:r>
      <w:r>
        <w:rPr>
          <w:rFonts w:cs="Arial" w:hint="cs"/>
          <w:rtl/>
        </w:rPr>
        <w:t>, רא"ש</w:t>
      </w:r>
      <w:r w:rsidRPr="006261B9">
        <w:rPr>
          <w:rFonts w:cs="Arial"/>
          <w:rtl/>
        </w:rPr>
        <w:t>.</w:t>
      </w:r>
    </w:p>
  </w:footnote>
  <w:footnote w:id="1273">
    <w:p w14:paraId="7458E9CF" w14:textId="77777777" w:rsidR="0013116F" w:rsidRDefault="0013116F" w:rsidP="00B35B48">
      <w:pPr>
        <w:pStyle w:val="a9"/>
      </w:pPr>
      <w:r>
        <w:rPr>
          <w:rStyle w:val="ab"/>
        </w:rPr>
        <w:footnoteRef/>
      </w:r>
      <w:r>
        <w:rPr>
          <w:rtl/>
        </w:rPr>
        <w:t xml:space="preserve"> </w:t>
      </w:r>
      <w:r w:rsidRPr="00D30FB6">
        <w:rPr>
          <w:rFonts w:cs="Arial"/>
          <w:rtl/>
        </w:rPr>
        <w:t>ואפילו אם יש גדול ממנו להחזירו אין הבעל דין שזיכהו צריך להחזיר דקנס הוא שקנסו חכמים שיתקיים הדין וישלם מביתו</w:t>
      </w:r>
      <w:r>
        <w:rPr>
          <w:rFonts w:cs="Arial" w:hint="cs"/>
          <w:rtl/>
        </w:rPr>
        <w:t>, טור בשם הרא"ש</w:t>
      </w:r>
      <w:r w:rsidRPr="00D30FB6">
        <w:rPr>
          <w:rFonts w:cs="Arial" w:hint="cs"/>
          <w:rtl/>
        </w:rPr>
        <w:t>.</w:t>
      </w:r>
    </w:p>
  </w:footnote>
  <w:footnote w:id="1274">
    <w:p w14:paraId="120E8E02" w14:textId="77777777" w:rsidR="0013116F" w:rsidRDefault="0013116F" w:rsidP="00B35B48">
      <w:pPr>
        <w:pStyle w:val="a9"/>
      </w:pPr>
      <w:r>
        <w:rPr>
          <w:rStyle w:val="ab"/>
        </w:rPr>
        <w:footnoteRef/>
      </w:r>
      <w:r>
        <w:rPr>
          <w:rtl/>
        </w:rPr>
        <w:t xml:space="preserve"> </w:t>
      </w:r>
      <w:r w:rsidRPr="00D30FB6">
        <w:rPr>
          <w:rFonts w:cs="Arial"/>
          <w:rtl/>
        </w:rPr>
        <w:t>במה דברים אמורים שקבלוהו סתם אבל אם קבלוהו בפירוש בין לדין בין לטעות פטור מלשלם</w:t>
      </w:r>
      <w:r>
        <w:rPr>
          <w:rFonts w:cs="Arial" w:hint="cs"/>
          <w:rtl/>
        </w:rPr>
        <w:t>, טור בשם הרא"ש.</w:t>
      </w:r>
    </w:p>
  </w:footnote>
  <w:footnote w:id="1275">
    <w:p w14:paraId="536A941A" w14:textId="77777777" w:rsidR="0013116F" w:rsidRDefault="0013116F" w:rsidP="00B35B48">
      <w:pPr>
        <w:pStyle w:val="a9"/>
      </w:pPr>
      <w:r>
        <w:rPr>
          <w:rStyle w:val="ab"/>
        </w:rPr>
        <w:footnoteRef/>
      </w:r>
      <w:r>
        <w:rPr>
          <w:rtl/>
        </w:rPr>
        <w:t xml:space="preserve"> </w:t>
      </w:r>
      <w:r>
        <w:rPr>
          <w:rFonts w:hint="cs"/>
          <w:rtl/>
        </w:rPr>
        <w:t xml:space="preserve">אך הרא"ש דחה דבריו וכתב </w:t>
      </w:r>
      <w:r w:rsidRPr="0039781E">
        <w:rPr>
          <w:rFonts w:cs="Arial"/>
          <w:rtl/>
        </w:rPr>
        <w:t>דלישנא דמה שעשה עשוי לא משמע כלל הכי</w:t>
      </w:r>
      <w:r>
        <w:rPr>
          <w:rFonts w:cs="Arial" w:hint="cs"/>
          <w:rtl/>
        </w:rPr>
        <w:t>.</w:t>
      </w:r>
    </w:p>
  </w:footnote>
  <w:footnote w:id="1276">
    <w:p w14:paraId="3AC09E2F" w14:textId="77777777" w:rsidR="0013116F" w:rsidRDefault="0013116F">
      <w:pPr>
        <w:pStyle w:val="a9"/>
        <w:rPr>
          <w:rtl/>
        </w:rPr>
      </w:pPr>
      <w:r>
        <w:rPr>
          <w:rStyle w:val="ab"/>
        </w:rPr>
        <w:footnoteRef/>
      </w:r>
      <w:r>
        <w:rPr>
          <w:rtl/>
        </w:rPr>
        <w:t xml:space="preserve"> </w:t>
      </w:r>
      <w:r>
        <w:rPr>
          <w:rFonts w:hint="cs"/>
          <w:rtl/>
        </w:rPr>
        <w:t xml:space="preserve">סימן </w:t>
      </w:r>
      <w:r>
        <w:rPr>
          <w:rtl/>
        </w:rPr>
        <w:t>–</w:t>
      </w:r>
      <w:r>
        <w:rPr>
          <w:rFonts w:hint="cs"/>
          <w:rtl/>
        </w:rPr>
        <w:t xml:space="preserve">  כשרוצה טוב כספו טומן.</w:t>
      </w:r>
    </w:p>
  </w:footnote>
  <w:footnote w:id="1277">
    <w:p w14:paraId="0A814AC4" w14:textId="77777777" w:rsidR="0013116F" w:rsidRDefault="0013116F">
      <w:pPr>
        <w:pStyle w:val="a9"/>
        <w:rPr>
          <w:rtl/>
        </w:rPr>
      </w:pPr>
      <w:r>
        <w:rPr>
          <w:rStyle w:val="ab"/>
        </w:rPr>
        <w:footnoteRef/>
      </w:r>
      <w:r>
        <w:rPr>
          <w:rtl/>
        </w:rPr>
        <w:t xml:space="preserve"> </w:t>
      </w:r>
      <w:r w:rsidRPr="0086776C">
        <w:rPr>
          <w:rFonts w:cs="Arial"/>
          <w:rtl/>
        </w:rPr>
        <w:t>מלא קב שטרות יש עליו</w:t>
      </w:r>
      <w:r>
        <w:rPr>
          <w:rFonts w:cs="Arial" w:hint="cs"/>
          <w:rtl/>
        </w:rPr>
        <w:t>, רש"י</w:t>
      </w:r>
      <w:r w:rsidRPr="0086776C">
        <w:rPr>
          <w:rFonts w:cs="Arial"/>
          <w:rtl/>
        </w:rPr>
        <w:t>.</w:t>
      </w:r>
    </w:p>
  </w:footnote>
  <w:footnote w:id="1278">
    <w:p w14:paraId="1D1E04F1" w14:textId="77777777" w:rsidR="0013116F" w:rsidRDefault="0013116F">
      <w:pPr>
        <w:pStyle w:val="a9"/>
      </w:pPr>
      <w:r>
        <w:rPr>
          <w:rStyle w:val="ab"/>
        </w:rPr>
        <w:footnoteRef/>
      </w:r>
      <w:r>
        <w:rPr>
          <w:rtl/>
        </w:rPr>
        <w:t xml:space="preserve"> </w:t>
      </w:r>
      <w:r w:rsidRPr="0086776C">
        <w:rPr>
          <w:rFonts w:cs="Arial"/>
          <w:rtl/>
        </w:rPr>
        <w:t>למי אני חייב כלום</w:t>
      </w:r>
      <w:r>
        <w:rPr>
          <w:rFonts w:cs="Arial" w:hint="cs"/>
          <w:rtl/>
        </w:rPr>
        <w:t>, רש"י</w:t>
      </w:r>
      <w:r w:rsidRPr="0086776C">
        <w:rPr>
          <w:rFonts w:cs="Arial"/>
          <w:rtl/>
        </w:rPr>
        <w:t>.</w:t>
      </w:r>
    </w:p>
  </w:footnote>
  <w:footnote w:id="1279">
    <w:p w14:paraId="23B04CD2" w14:textId="77777777" w:rsidR="0013116F" w:rsidRDefault="0013116F">
      <w:pPr>
        <w:pStyle w:val="a9"/>
        <w:rPr>
          <w:rtl/>
        </w:rPr>
      </w:pPr>
      <w:r>
        <w:rPr>
          <w:rStyle w:val="ab"/>
        </w:rPr>
        <w:footnoteRef/>
      </w:r>
      <w:r>
        <w:rPr>
          <w:rtl/>
        </w:rPr>
        <w:t xml:space="preserve"> </w:t>
      </w:r>
      <w:r w:rsidRPr="0086776C">
        <w:rPr>
          <w:rFonts w:cs="Arial"/>
          <w:rtl/>
        </w:rPr>
        <w:t>לומר לבריות חייב אני מעות לפלוני, להתרחק מעין הרע</w:t>
      </w:r>
      <w:r>
        <w:rPr>
          <w:rFonts w:cs="Arial" w:hint="cs"/>
          <w:rtl/>
        </w:rPr>
        <w:t>, רש"י</w:t>
      </w:r>
      <w:r w:rsidRPr="0086776C">
        <w:rPr>
          <w:rFonts w:cs="Arial"/>
          <w:rtl/>
        </w:rPr>
        <w:t>.</w:t>
      </w:r>
    </w:p>
  </w:footnote>
  <w:footnote w:id="1280">
    <w:p w14:paraId="3D7FE1C4" w14:textId="77777777" w:rsidR="0013116F" w:rsidRDefault="0013116F">
      <w:pPr>
        <w:pStyle w:val="a9"/>
      </w:pPr>
      <w:r>
        <w:rPr>
          <w:rStyle w:val="ab"/>
        </w:rPr>
        <w:footnoteRef/>
      </w:r>
      <w:r>
        <w:rPr>
          <w:rtl/>
        </w:rPr>
        <w:t xml:space="preserve"> </w:t>
      </w:r>
      <w:r w:rsidRPr="00FE45F2">
        <w:rPr>
          <w:rFonts w:cs="Arial"/>
          <w:rtl/>
        </w:rPr>
        <w:t>שלא ליראות שבע מממון</w:t>
      </w:r>
      <w:r>
        <w:rPr>
          <w:rFonts w:cs="Arial" w:hint="cs"/>
          <w:rtl/>
        </w:rPr>
        <w:t>, רש"י</w:t>
      </w:r>
      <w:r w:rsidRPr="00FE45F2">
        <w:rPr>
          <w:rFonts w:cs="Arial"/>
          <w:rtl/>
        </w:rPr>
        <w:t>.</w:t>
      </w:r>
    </w:p>
  </w:footnote>
  <w:footnote w:id="1281">
    <w:p w14:paraId="6E04EEFF" w14:textId="77777777" w:rsidR="0013116F" w:rsidRDefault="0013116F">
      <w:pPr>
        <w:pStyle w:val="a9"/>
      </w:pPr>
      <w:r>
        <w:rPr>
          <w:rStyle w:val="ab"/>
        </w:rPr>
        <w:footnoteRef/>
      </w:r>
      <w:r>
        <w:rPr>
          <w:rtl/>
        </w:rPr>
        <w:t xml:space="preserve"> </w:t>
      </w:r>
      <w:r w:rsidRPr="0086776C">
        <w:rPr>
          <w:rFonts w:cs="Arial"/>
          <w:rtl/>
        </w:rPr>
        <w:t>עשיר שלא נהנה מממונו כעכבר זה ששוכב על דינרי זהב ואינו נהנה מהן</w:t>
      </w:r>
      <w:r>
        <w:rPr>
          <w:rFonts w:cs="Arial" w:hint="cs"/>
          <w:rtl/>
        </w:rPr>
        <w:t>, רש"י</w:t>
      </w:r>
      <w:r w:rsidRPr="0086776C">
        <w:rPr>
          <w:rFonts w:cs="Arial"/>
          <w:rtl/>
        </w:rPr>
        <w:t>.</w:t>
      </w:r>
    </w:p>
  </w:footnote>
  <w:footnote w:id="1282">
    <w:p w14:paraId="4E51A1D3" w14:textId="77777777" w:rsidR="0013116F" w:rsidRDefault="0013116F">
      <w:pPr>
        <w:pStyle w:val="a9"/>
      </w:pPr>
      <w:r>
        <w:rPr>
          <w:rStyle w:val="ab"/>
        </w:rPr>
        <w:footnoteRef/>
      </w:r>
      <w:r>
        <w:rPr>
          <w:rtl/>
        </w:rPr>
        <w:t xml:space="preserve"> </w:t>
      </w:r>
      <w:r w:rsidRPr="0086776C">
        <w:rPr>
          <w:rFonts w:cs="Arial"/>
          <w:rtl/>
        </w:rPr>
        <w:t>נשלם החצי שקיבלנו</w:t>
      </w:r>
      <w:r>
        <w:rPr>
          <w:rFonts w:cs="Arial" w:hint="cs"/>
          <w:rtl/>
        </w:rPr>
        <w:t>, רש"י</w:t>
      </w:r>
      <w:r w:rsidRPr="0086776C">
        <w:rPr>
          <w:rFonts w:cs="Arial"/>
          <w:rtl/>
        </w:rPr>
        <w:t>.</w:t>
      </w:r>
      <w:r>
        <w:rPr>
          <w:rFonts w:hint="cs"/>
          <w:rtl/>
        </w:rPr>
        <w:t xml:space="preserve"> אך הרי"ף והרמ"ה פירשו שהיורשים הם אלו שדיברו, </w:t>
      </w:r>
      <w:r w:rsidRPr="00AA69EC">
        <w:rPr>
          <w:rFonts w:hint="cs"/>
          <w:rtl/>
        </w:rPr>
        <w:t>ורצונם לומר 'נלך להוציא מהתובעים את החצי ששילמנו'</w:t>
      </w:r>
      <w:r>
        <w:rPr>
          <w:rFonts w:hint="cs"/>
          <w:rtl/>
        </w:rPr>
        <w:t xml:space="preserve">. </w:t>
      </w:r>
    </w:p>
  </w:footnote>
  <w:footnote w:id="1283">
    <w:p w14:paraId="2CB9F8CA" w14:textId="77777777" w:rsidR="0013116F" w:rsidRDefault="0013116F">
      <w:pPr>
        <w:pStyle w:val="a9"/>
        <w:rPr>
          <w:rtl/>
        </w:rPr>
      </w:pPr>
      <w:r>
        <w:rPr>
          <w:rStyle w:val="ab"/>
        </w:rPr>
        <w:footnoteRef/>
      </w:r>
      <w:r>
        <w:rPr>
          <w:rtl/>
        </w:rPr>
        <w:t xml:space="preserve"> </w:t>
      </w:r>
      <w:r w:rsidRPr="0086776C">
        <w:rPr>
          <w:rFonts w:cs="Arial"/>
          <w:rtl/>
        </w:rPr>
        <w:t>ר' ישמעאל שקיבלתם על פיו, ולא אחלוק על מה שעשה</w:t>
      </w:r>
      <w:r>
        <w:rPr>
          <w:rFonts w:cs="Arial" w:hint="cs"/>
          <w:rtl/>
        </w:rPr>
        <w:t>, רש"י</w:t>
      </w:r>
      <w:r w:rsidRPr="0086776C">
        <w:rPr>
          <w:rFonts w:cs="Arial"/>
          <w:rtl/>
        </w:rPr>
        <w:t>.</w:t>
      </w:r>
    </w:p>
  </w:footnote>
  <w:footnote w:id="1284">
    <w:p w14:paraId="758A2EC1" w14:textId="77777777" w:rsidR="0013116F" w:rsidRPr="003A4388" w:rsidRDefault="0013116F">
      <w:pPr>
        <w:pStyle w:val="a9"/>
      </w:pPr>
      <w:r w:rsidRPr="003A4388">
        <w:rPr>
          <w:rStyle w:val="ab"/>
        </w:rPr>
        <w:footnoteRef/>
      </w:r>
      <w:r w:rsidRPr="003A4388">
        <w:rPr>
          <w:rtl/>
        </w:rPr>
        <w:t xml:space="preserve"> </w:t>
      </w:r>
      <w:r>
        <w:rPr>
          <w:rFonts w:hint="cs"/>
          <w:rtl/>
        </w:rPr>
        <w:t>ה</w:t>
      </w:r>
      <w:r w:rsidRPr="003A4388">
        <w:rPr>
          <w:rFonts w:cs="Arial"/>
          <w:rtl/>
        </w:rPr>
        <w:t xml:space="preserve">רי"ף </w:t>
      </w:r>
      <w:r w:rsidRPr="003A4388">
        <w:rPr>
          <w:rFonts w:cs="Arial" w:hint="cs"/>
          <w:sz w:val="16"/>
          <w:szCs w:val="16"/>
          <w:rtl/>
        </w:rPr>
        <w:t>(</w:t>
      </w:r>
      <w:r w:rsidRPr="003A4388">
        <w:rPr>
          <w:rFonts w:cs="Arial"/>
          <w:sz w:val="16"/>
          <w:szCs w:val="16"/>
          <w:rtl/>
        </w:rPr>
        <w:t>פ</w:t>
      </w:r>
      <w:r w:rsidRPr="003A4388">
        <w:rPr>
          <w:rFonts w:cs="Arial" w:hint="cs"/>
          <w:sz w:val="16"/>
          <w:szCs w:val="16"/>
          <w:rtl/>
        </w:rPr>
        <w:t xml:space="preserve">' אד"מ </w:t>
      </w:r>
      <w:r w:rsidRPr="003A4388">
        <w:rPr>
          <w:rFonts w:cs="Arial"/>
          <w:sz w:val="16"/>
          <w:szCs w:val="16"/>
          <w:rtl/>
        </w:rPr>
        <w:t>יב:</w:t>
      </w:r>
      <w:r w:rsidRPr="003A4388">
        <w:rPr>
          <w:rFonts w:cs="Arial" w:hint="cs"/>
          <w:sz w:val="16"/>
          <w:szCs w:val="16"/>
          <w:rtl/>
        </w:rPr>
        <w:t>, כ"כ הב"י בשמו</w:t>
      </w:r>
      <w:r w:rsidRPr="003A4388">
        <w:rPr>
          <w:rFonts w:cs="Arial"/>
          <w:sz w:val="16"/>
          <w:szCs w:val="16"/>
          <w:rtl/>
        </w:rPr>
        <w:t>)</w:t>
      </w:r>
      <w:r w:rsidRPr="003A4388">
        <w:rPr>
          <w:rFonts w:cs="Arial" w:hint="cs"/>
          <w:sz w:val="16"/>
          <w:szCs w:val="16"/>
          <w:rtl/>
        </w:rPr>
        <w:t xml:space="preserve"> </w:t>
      </w:r>
      <w:r w:rsidRPr="003A4388">
        <w:rPr>
          <w:rFonts w:cs="Arial" w:hint="cs"/>
          <w:rtl/>
        </w:rPr>
        <w:t>ו</w:t>
      </w:r>
      <w:r>
        <w:rPr>
          <w:rFonts w:cs="Arial" w:hint="cs"/>
          <w:rtl/>
        </w:rPr>
        <w:t>ה</w:t>
      </w:r>
      <w:r w:rsidRPr="003A4388">
        <w:rPr>
          <w:rFonts w:cs="Arial" w:hint="cs"/>
          <w:rtl/>
        </w:rPr>
        <w:t xml:space="preserve">רא"ש </w:t>
      </w:r>
      <w:r w:rsidRPr="003A4388">
        <w:rPr>
          <w:rFonts w:cs="Arial"/>
          <w:sz w:val="16"/>
          <w:szCs w:val="16"/>
          <w:rtl/>
        </w:rPr>
        <w:t>(פ"ג סי' כו</w:t>
      </w:r>
      <w:r w:rsidRPr="003A4388">
        <w:rPr>
          <w:rFonts w:cs="Arial" w:hint="cs"/>
          <w:sz w:val="16"/>
          <w:szCs w:val="16"/>
          <w:rtl/>
        </w:rPr>
        <w:t>, כ"כ הטור בשמו</w:t>
      </w:r>
      <w:r w:rsidRPr="003A4388">
        <w:rPr>
          <w:rFonts w:cs="Arial"/>
          <w:sz w:val="16"/>
          <w:szCs w:val="16"/>
          <w:rtl/>
        </w:rPr>
        <w:t xml:space="preserve">) </w:t>
      </w:r>
      <w:r>
        <w:rPr>
          <w:rFonts w:cs="Arial" w:hint="cs"/>
          <w:rtl/>
        </w:rPr>
        <w:t>כתבו ד</w:t>
      </w:r>
      <w:r w:rsidRPr="003A4388">
        <w:rPr>
          <w:rFonts w:cs="Arial"/>
          <w:rtl/>
        </w:rPr>
        <w:t>לא הוה רבי ישמעאל טועה בשיקול הדעת כיון שלא נחלקו תנאים ואמוראים בזה תחלה ורבי ישמעאל לפי סברתו חייב</w:t>
      </w:r>
      <w:r w:rsidRPr="003A4388">
        <w:rPr>
          <w:rFonts w:cs="Arial" w:hint="cs"/>
          <w:rtl/>
        </w:rPr>
        <w:t>,</w:t>
      </w:r>
      <w:r w:rsidRPr="003A4388">
        <w:rPr>
          <w:rFonts w:cs="Arial"/>
          <w:rtl/>
        </w:rPr>
        <w:t xml:space="preserve"> ואין כח לרבי חייא להוכיח שטעה אלא בסברא נחלק עליו</w:t>
      </w:r>
      <w:r>
        <w:rPr>
          <w:rFonts w:cs="Arial" w:hint="cs"/>
          <w:rtl/>
        </w:rPr>
        <w:t>. ע"כ. וכתב הטור</w:t>
      </w:r>
      <w:r w:rsidRPr="003A4388">
        <w:rPr>
          <w:rFonts w:cs="Arial" w:hint="cs"/>
          <w:rtl/>
        </w:rPr>
        <w:t xml:space="preserve"> </w:t>
      </w:r>
      <w:r>
        <w:rPr>
          <w:rFonts w:cs="Arial" w:hint="cs"/>
          <w:rtl/>
        </w:rPr>
        <w:t>ש</w:t>
      </w:r>
      <w:r w:rsidRPr="003A4388">
        <w:rPr>
          <w:rFonts w:cs="Arial"/>
          <w:rtl/>
        </w:rPr>
        <w:t>יראה מדברי</w:t>
      </w:r>
      <w:r>
        <w:rPr>
          <w:rFonts w:cs="Arial" w:hint="cs"/>
          <w:rtl/>
        </w:rPr>
        <w:t xml:space="preserve"> הרא"ש</w:t>
      </w:r>
      <w:r w:rsidRPr="003A4388">
        <w:rPr>
          <w:rFonts w:cs="Arial"/>
          <w:rtl/>
        </w:rPr>
        <w:t xml:space="preserve"> ש</w:t>
      </w:r>
      <w:r w:rsidRPr="003A4388">
        <w:rPr>
          <w:rFonts w:cs="Arial" w:hint="cs"/>
          <w:rtl/>
        </w:rPr>
        <w:t>-...</w:t>
      </w:r>
    </w:p>
  </w:footnote>
  <w:footnote w:id="1285">
    <w:p w14:paraId="513085FE" w14:textId="77777777" w:rsidR="0013116F" w:rsidRDefault="0013116F" w:rsidP="00B71E51">
      <w:pPr>
        <w:pStyle w:val="a9"/>
        <w:rPr>
          <w:rtl/>
        </w:rPr>
      </w:pPr>
      <w:r>
        <w:rPr>
          <w:rStyle w:val="ab"/>
        </w:rPr>
        <w:footnoteRef/>
      </w:r>
      <w:r>
        <w:rPr>
          <w:rtl/>
        </w:rPr>
        <w:t xml:space="preserve"> </w:t>
      </w:r>
      <w:r>
        <w:rPr>
          <w:rFonts w:cs="Arial" w:hint="cs"/>
          <w:rtl/>
        </w:rPr>
        <w:t>ו</w:t>
      </w:r>
      <w:r>
        <w:rPr>
          <w:rFonts w:cs="Arial"/>
          <w:rtl/>
        </w:rPr>
        <w:t xml:space="preserve">כתב מהרי"ק </w:t>
      </w:r>
      <w:r>
        <w:rPr>
          <w:rFonts w:cs="Arial" w:hint="cs"/>
          <w:rtl/>
        </w:rPr>
        <w:t>(</w:t>
      </w:r>
      <w:r>
        <w:rPr>
          <w:rFonts w:cs="Arial"/>
          <w:rtl/>
        </w:rPr>
        <w:t>שורש י</w:t>
      </w:r>
      <w:r>
        <w:rPr>
          <w:rFonts w:cs="Arial" w:hint="cs"/>
          <w:rtl/>
        </w:rPr>
        <w:t xml:space="preserve"> </w:t>
      </w:r>
      <w:r>
        <w:rPr>
          <w:rFonts w:cs="Arial"/>
          <w:rtl/>
        </w:rPr>
        <w:t>ענף יא) על זה שכתב הרא"ש לא הוה רבי ישמעאל טועה בשיקול הדעת וכו' משמע בהדיא שאין חולק אלא היכא דטעה בשיקול הדעת אבל טעה בדבר משנה מודה לדברי הרמ"ה דהדר דינא</w:t>
      </w:r>
      <w:r>
        <w:rPr>
          <w:rFonts w:hint="cs"/>
          <w:rtl/>
        </w:rPr>
        <w:t>, ב"י.</w:t>
      </w:r>
    </w:p>
  </w:footnote>
  <w:footnote w:id="1286">
    <w:p w14:paraId="4D91400F" w14:textId="77777777" w:rsidR="0013116F" w:rsidRDefault="0013116F">
      <w:pPr>
        <w:pStyle w:val="a9"/>
        <w:rPr>
          <w:rtl/>
        </w:rPr>
      </w:pPr>
      <w:r>
        <w:rPr>
          <w:rStyle w:val="ab"/>
        </w:rPr>
        <w:footnoteRef/>
      </w:r>
      <w:r>
        <w:rPr>
          <w:rtl/>
        </w:rPr>
        <w:t xml:space="preserve"> </w:t>
      </w:r>
      <w:r>
        <w:rPr>
          <w:rFonts w:cs="Arial" w:hint="cs"/>
          <w:rtl/>
        </w:rPr>
        <w:t>וכתב הב"י</w:t>
      </w:r>
      <w:r>
        <w:rPr>
          <w:rFonts w:cs="Arial"/>
          <w:rtl/>
        </w:rPr>
        <w:t xml:space="preserve"> </w:t>
      </w:r>
      <w:r>
        <w:rPr>
          <w:rFonts w:cs="Arial" w:hint="cs"/>
          <w:rtl/>
        </w:rPr>
        <w:t>ד</w:t>
      </w:r>
      <w:r>
        <w:rPr>
          <w:rFonts w:cs="Arial"/>
          <w:rtl/>
        </w:rPr>
        <w:t>אין לומר דאיפכא הוא דאיכא למידק</w:t>
      </w:r>
      <w:r>
        <w:rPr>
          <w:rFonts w:cs="Arial" w:hint="cs"/>
          <w:rtl/>
        </w:rPr>
        <w:t>,</w:t>
      </w:r>
      <w:r>
        <w:rPr>
          <w:rFonts w:cs="Arial"/>
          <w:rtl/>
        </w:rPr>
        <w:t xml:space="preserve"> שאם הטעות היה בשיקול הדעת אע</w:t>
      </w:r>
      <w:r>
        <w:rPr>
          <w:rFonts w:cs="Arial" w:hint="cs"/>
          <w:rtl/>
        </w:rPr>
        <w:t>"</w:t>
      </w:r>
      <w:r>
        <w:rPr>
          <w:rFonts w:cs="Arial"/>
          <w:rtl/>
        </w:rPr>
        <w:t>פ ששלמו ע</w:t>
      </w:r>
      <w:r>
        <w:rPr>
          <w:rFonts w:cs="Arial" w:hint="cs"/>
          <w:rtl/>
        </w:rPr>
        <w:t>"פ</w:t>
      </w:r>
      <w:r>
        <w:rPr>
          <w:rFonts w:cs="Arial"/>
          <w:rtl/>
        </w:rPr>
        <w:t xml:space="preserve"> רבי ישמעאל היה מוציא רבי חייא מידם</w:t>
      </w:r>
      <w:r>
        <w:rPr>
          <w:rFonts w:cs="Arial" w:hint="cs"/>
          <w:rtl/>
        </w:rPr>
        <w:t>,</w:t>
      </w:r>
      <w:r>
        <w:rPr>
          <w:rFonts w:cs="Arial"/>
          <w:rtl/>
        </w:rPr>
        <w:t xml:space="preserve"> שאם היה הרא"ש סבור כדברי הרי"ף והרמב"ם הוה איפשר למימר הכי</w:t>
      </w:r>
      <w:r>
        <w:rPr>
          <w:rFonts w:cs="Arial" w:hint="cs"/>
          <w:rtl/>
        </w:rPr>
        <w:t>,</w:t>
      </w:r>
      <w:r>
        <w:rPr>
          <w:rFonts w:cs="Arial"/>
          <w:rtl/>
        </w:rPr>
        <w:t xml:space="preserve"> אבל מאחר שהוא ז"ל סובר דמומחה הטועה בשיקול הדעת אי קבלוהו עלייהו קם דינא ורבי ישמעאל ברבי יוסי מומחה הוי ופשטא דעובדא משמע דקבלוהו עליהם הילכך ליכא למידק אלא כדדייק רבינו</w:t>
      </w:r>
      <w:r>
        <w:rPr>
          <w:rFonts w:cs="Arial" w:hint="cs"/>
          <w:rtl/>
        </w:rPr>
        <w:t>.</w:t>
      </w:r>
    </w:p>
  </w:footnote>
  <w:footnote w:id="1287">
    <w:p w14:paraId="585350AC" w14:textId="77777777" w:rsidR="0013116F" w:rsidRDefault="0013116F">
      <w:pPr>
        <w:pStyle w:val="a9"/>
        <w:rPr>
          <w:rtl/>
        </w:rPr>
      </w:pPr>
      <w:r>
        <w:rPr>
          <w:rStyle w:val="ab"/>
        </w:rPr>
        <w:footnoteRef/>
      </w:r>
      <w:r>
        <w:rPr>
          <w:rtl/>
        </w:rPr>
        <w:t xml:space="preserve"> </w:t>
      </w:r>
      <w:r w:rsidRPr="00AB1D9E">
        <w:rPr>
          <w:rFonts w:cs="Arial"/>
          <w:rtl/>
        </w:rPr>
        <w:t>כן הוא לשון הרמב"ם שם, ונראה דר"ל מומחה גמיר וסביר הראוי לדון, וא"צ להיות סמוך, והטור הביא לשון הרמב"ם ולא כתב אלא מומחה סתם, משום דבלשון הטור מומחה סתם פירושו גמיר וסביר, משא"כ להרמב"ם דסתם מומחה גמיר ולא סביר, והמומחה דגמיר וסביר כתב מומחה ב"ד או מומחה לרבים, וכמ"ש בפרישה לעיל סימן ג' [סע</w:t>
      </w:r>
      <w:r>
        <w:rPr>
          <w:rFonts w:cs="Arial" w:hint="cs"/>
          <w:rtl/>
        </w:rPr>
        <w:t>'</w:t>
      </w:r>
      <w:r w:rsidRPr="00AB1D9E">
        <w:rPr>
          <w:rFonts w:cs="Arial"/>
          <w:rtl/>
        </w:rPr>
        <w:t xml:space="preserve"> ו] ובסמ"ע בסמוך סקכ"ו ע"ש. ולפי זה מ"ש המחבר בסעיף ב' אם הוא מומחה וקיבלוהו וא"א לחזור פטור מלשלם, מיירי אפילו בגמיר ולא סביר, וזהו דלא כדעת הטור דס"ל דלא מיפטר מלשלם כ"א ביחיד מומחה וקיבלוהו, ומומחה דטור היינו גמיר וסביר וכמ"ש, וצ"ע</w:t>
      </w:r>
      <w:r>
        <w:rPr>
          <w:rFonts w:hint="cs"/>
          <w:rtl/>
        </w:rPr>
        <w:t>, סמ"ע (סק"כ). והש"ך (סקכ"ב) חלק עליו וכתב שכשהרמב"ם כותב סתם מומחה כוונתו לגמיר וסביר.</w:t>
      </w:r>
    </w:p>
  </w:footnote>
  <w:footnote w:id="1288">
    <w:p w14:paraId="0F4AAC6E" w14:textId="77777777" w:rsidR="0013116F" w:rsidRDefault="0013116F">
      <w:pPr>
        <w:pStyle w:val="a9"/>
      </w:pPr>
      <w:r>
        <w:rPr>
          <w:rStyle w:val="ab"/>
        </w:rPr>
        <w:footnoteRef/>
      </w:r>
      <w:r>
        <w:rPr>
          <w:rtl/>
        </w:rPr>
        <w:t xml:space="preserve"> </w:t>
      </w:r>
      <w:r w:rsidRPr="00AB1D9E">
        <w:rPr>
          <w:rFonts w:cs="Arial"/>
          <w:rtl/>
        </w:rPr>
        <w:t>הא דלא קאמר או שנטל רשות מריש גלותא, משום דלא מהני נטילת רשות למי שאינו מומחה כלל דלא גמיר ולא סביר, וכמ"ש בסעיף שאחר זה, ולא רצה להאריך כאן ולחלק בין גמיר [ולא] וסביר ללא גמיר ולא סביר</w:t>
      </w:r>
      <w:r>
        <w:rPr>
          <w:rFonts w:cs="Arial" w:hint="cs"/>
          <w:rtl/>
        </w:rPr>
        <w:t>, סמ"ע (סקכ"א).</w:t>
      </w:r>
      <w:r w:rsidRPr="008C30CA">
        <w:rPr>
          <w:rtl/>
        </w:rPr>
        <w:t xml:space="preserve"> </w:t>
      </w:r>
      <w:r w:rsidRPr="008C30CA">
        <w:rPr>
          <w:rFonts w:cs="Arial"/>
          <w:rtl/>
        </w:rPr>
        <w:t xml:space="preserve">וזה לפי שיטתו לפיכך דחק דלא רצה להאריך, ואינו נכון. ועוד, דהל"ל או שלא היה מומחה ב"ד אבל קיבלו אותו או נטל רשות. אבל למאי שכתבתי בסקכ"ב אתי שפיר כפשוטו, דמומחה סתם היינו דגמיר וסביר, וכל שאינו מומחה דגמיר וסביר אפילו הוא גמיר לא מהני רשות ריש גלותא כלל, </w:t>
      </w:r>
      <w:r>
        <w:rPr>
          <w:rFonts w:cs="Arial" w:hint="cs"/>
          <w:rtl/>
        </w:rPr>
        <w:t>ש"ך (סקכ"ה).</w:t>
      </w:r>
    </w:p>
  </w:footnote>
  <w:footnote w:id="1289">
    <w:p w14:paraId="3EC5B88D" w14:textId="77777777" w:rsidR="0013116F" w:rsidRDefault="0013116F" w:rsidP="008C30CA">
      <w:pPr>
        <w:pStyle w:val="a9"/>
        <w:rPr>
          <w:rtl/>
        </w:rPr>
      </w:pPr>
      <w:r>
        <w:rPr>
          <w:rStyle w:val="ab"/>
        </w:rPr>
        <w:footnoteRef/>
      </w:r>
      <w:r>
        <w:rPr>
          <w:rtl/>
        </w:rPr>
        <w:t xml:space="preserve"> </w:t>
      </w:r>
      <w:r>
        <w:rPr>
          <w:rFonts w:cs="Arial" w:hint="cs"/>
          <w:rtl/>
        </w:rPr>
        <w:t xml:space="preserve">וכתב </w:t>
      </w:r>
      <w:r w:rsidRPr="008C30CA">
        <w:rPr>
          <w:rFonts w:cs="Arial"/>
          <w:rtl/>
        </w:rPr>
        <w:t>הב"ח [ד"ה ומ"ש ויחיד] וז"ל</w:t>
      </w:r>
      <w:r>
        <w:rPr>
          <w:rFonts w:cs="Arial" w:hint="cs"/>
          <w:rtl/>
        </w:rPr>
        <w:t>-</w:t>
      </w:r>
      <w:r w:rsidRPr="008C30CA">
        <w:rPr>
          <w:rFonts w:cs="Arial"/>
          <w:rtl/>
        </w:rPr>
        <w:t xml:space="preserve"> ואם קיבלוהו עלייהו, אע</w:t>
      </w:r>
      <w:r>
        <w:rPr>
          <w:rFonts w:cs="Arial" w:hint="cs"/>
          <w:rtl/>
        </w:rPr>
        <w:t>"</w:t>
      </w:r>
      <w:r w:rsidRPr="008C30CA">
        <w:rPr>
          <w:rFonts w:cs="Arial"/>
          <w:rtl/>
        </w:rPr>
        <w:t>פ דלא גמירי ולא סבירי ואפילו לא נקיטי רשותא מריש גלותא ואפילו ב' הדיוטות או אפילו יחיד נמי, מה שעשה עשוי וישלם מביתו, עכ"ל, וכן עיקר</w:t>
      </w:r>
      <w:r>
        <w:rPr>
          <w:rFonts w:hint="cs"/>
          <w:rtl/>
        </w:rPr>
        <w:t>, ש"ך (סקכ"ד).</w:t>
      </w:r>
    </w:p>
  </w:footnote>
  <w:footnote w:id="1290">
    <w:p w14:paraId="4245C2BA" w14:textId="77777777" w:rsidR="0013116F" w:rsidRDefault="0013116F">
      <w:pPr>
        <w:pStyle w:val="a9"/>
      </w:pPr>
      <w:r>
        <w:rPr>
          <w:rStyle w:val="ab"/>
        </w:rPr>
        <w:footnoteRef/>
      </w:r>
      <w:r>
        <w:rPr>
          <w:rtl/>
        </w:rPr>
        <w:t xml:space="preserve"> </w:t>
      </w:r>
      <w:r w:rsidRPr="00AB1D9E">
        <w:rPr>
          <w:rFonts w:cs="Arial"/>
          <w:rtl/>
        </w:rPr>
        <w:t>פירוש, אפילו כשאפשר להחזיר, וה"ט כיון דמ"מ פסק כאחד מהתנאים או האמוראים שחולקין בדין זה, לאו כל כמיניה לחזור הדין. ואם כבר הוציאו מיד הנתבע ונתנו ליד התובע פשיטא להו דאין חוזרין ומוציאין מידו, אלא אפילו עדיין לא הוציאו מיד הנתבע, נראה להטור [שם] מוכח מדברי הרא"ש [סנהדרין פ"ד סי' ה'] דקם דינא וחייב הנתבע לשלם להתובע וחוזר אח"כ על הדיין שגרם לו היזק. ובמומחה וקיבלוהו או נטל רשות מריש גלותא פליגי ג"כ, וס"ל דקם דינא ואינו מחזירו אע</w:t>
      </w:r>
      <w:r>
        <w:rPr>
          <w:rFonts w:cs="Arial" w:hint="cs"/>
          <w:rtl/>
        </w:rPr>
        <w:t>"</w:t>
      </w:r>
      <w:r w:rsidRPr="00AB1D9E">
        <w:rPr>
          <w:rFonts w:cs="Arial"/>
          <w:rtl/>
        </w:rPr>
        <w:t>פ שאפשר להחזירו, אלא דשם ס"ל גם כן דפטור הדיין מלשלם אף על גב דאינו חוזר כדעת הרמב"ם, ועיין בטור</w:t>
      </w:r>
      <w:r>
        <w:rPr>
          <w:rFonts w:cs="Arial" w:hint="cs"/>
          <w:rtl/>
        </w:rPr>
        <w:t>, סמ"ע (סקכ"ג).</w:t>
      </w:r>
    </w:p>
  </w:footnote>
  <w:footnote w:id="1291">
    <w:p w14:paraId="094C3AAE" w14:textId="77777777" w:rsidR="0013116F" w:rsidRDefault="0013116F">
      <w:pPr>
        <w:pStyle w:val="a9"/>
      </w:pPr>
      <w:r>
        <w:rPr>
          <w:rStyle w:val="ab"/>
        </w:rPr>
        <w:footnoteRef/>
      </w:r>
      <w:r>
        <w:rPr>
          <w:rtl/>
        </w:rPr>
        <w:t xml:space="preserve"> </w:t>
      </w:r>
      <w:r w:rsidRPr="002258C8">
        <w:rPr>
          <w:rFonts w:cs="Arial"/>
          <w:rtl/>
        </w:rPr>
        <w:t>משמע דפטורים מטעם דמוכרחים הם לדון שעושים אותם דיינים בעל כרחן והוו כמו אנוסים</w:t>
      </w:r>
      <w:r>
        <w:rPr>
          <w:rFonts w:cs="Arial" w:hint="cs"/>
          <w:rtl/>
        </w:rPr>
        <w:t>...</w:t>
      </w:r>
      <w:r w:rsidRPr="002258C8">
        <w:rPr>
          <w:rFonts w:cs="Arial"/>
          <w:rtl/>
        </w:rPr>
        <w:t xml:space="preserve">, </w:t>
      </w:r>
      <w:r>
        <w:rPr>
          <w:rFonts w:cs="Arial" w:hint="cs"/>
          <w:rtl/>
        </w:rPr>
        <w:t>ש"ך (סקל"ב).</w:t>
      </w:r>
    </w:p>
  </w:footnote>
  <w:footnote w:id="1292">
    <w:p w14:paraId="4C73E845" w14:textId="77777777" w:rsidR="0013116F" w:rsidRDefault="0013116F">
      <w:pPr>
        <w:pStyle w:val="a9"/>
      </w:pPr>
      <w:r>
        <w:rPr>
          <w:rStyle w:val="ab"/>
        </w:rPr>
        <w:footnoteRef/>
      </w:r>
      <w:r>
        <w:rPr>
          <w:rtl/>
        </w:rPr>
        <w:t xml:space="preserve"> </w:t>
      </w:r>
      <w:r w:rsidRPr="00A02E1D">
        <w:rPr>
          <w:rFonts w:cs="Arial"/>
          <w:rtl/>
        </w:rPr>
        <w:t>ונראה דכיון דאין פטורין אלא מהאי טעמא דמה להם לעשות אם נשאו ונתנו ביד חייבים, דלא ה"ל לישא וליתן ביד, דדוקא כשלא נשאו ונתנו ביד פטורים משום דמוכרחים הם לדון בכפיה ואנוסים הם ע"פ חרם הקהילות, אבל אין חייבין לישא וליתן ביד</w:t>
      </w:r>
      <w:r>
        <w:rPr>
          <w:rFonts w:cs="Arial" w:hint="cs"/>
          <w:rtl/>
        </w:rPr>
        <w:t>..., ש"ך (סקל"ה).</w:t>
      </w:r>
    </w:p>
  </w:footnote>
  <w:footnote w:id="1293">
    <w:p w14:paraId="15A28EB6" w14:textId="77777777" w:rsidR="0013116F" w:rsidRPr="00E055B2" w:rsidRDefault="0013116F" w:rsidP="00E055B2">
      <w:pPr>
        <w:pStyle w:val="a9"/>
        <w:rPr>
          <w:rFonts w:cs="Arial"/>
          <w:rtl/>
        </w:rPr>
      </w:pPr>
      <w:r>
        <w:rPr>
          <w:rStyle w:val="ab"/>
        </w:rPr>
        <w:footnoteRef/>
      </w:r>
      <w:r>
        <w:rPr>
          <w:rtl/>
        </w:rPr>
        <w:t xml:space="preserve"> </w:t>
      </w:r>
      <w:r w:rsidRPr="00AB1D9E">
        <w:rPr>
          <w:rFonts w:cs="Arial"/>
          <w:rtl/>
        </w:rPr>
        <w:t>משום דאדעתא דהכי מינוהו וקיבלוהו עליהם הצבור, אבל אם קיבלו בהדיא בין לדין בין לטעות וכבר הוציאו מיד הנתבע ונתנו ליד התובע, אפשר דלא מצי לחזור ולהוציא מידו</w:t>
      </w:r>
      <w:r>
        <w:rPr>
          <w:rFonts w:cs="Arial" w:hint="cs"/>
          <w:rtl/>
        </w:rPr>
        <w:t>...</w:t>
      </w:r>
      <w:r>
        <w:rPr>
          <w:rFonts w:hint="cs"/>
          <w:rtl/>
        </w:rPr>
        <w:t>, סמ"ע (סקכ"ד).</w:t>
      </w:r>
      <w:r w:rsidRPr="00A02E1D">
        <w:rPr>
          <w:rtl/>
        </w:rPr>
        <w:t xml:space="preserve"> </w:t>
      </w:r>
      <w:r w:rsidRPr="00A02E1D">
        <w:rPr>
          <w:rFonts w:cs="Arial"/>
          <w:rtl/>
        </w:rPr>
        <w:t xml:space="preserve">וכ"כ הב"ח [ד"ה אבל אם]. </w:t>
      </w:r>
      <w:r>
        <w:rPr>
          <w:rFonts w:cs="Arial" w:hint="cs"/>
          <w:rtl/>
        </w:rPr>
        <w:t xml:space="preserve">אך הש"ך (סקל"ו) חלק עליהם וכתב </w:t>
      </w:r>
      <w:r w:rsidRPr="00A02E1D">
        <w:rPr>
          <w:rFonts w:cs="Arial"/>
          <w:rtl/>
        </w:rPr>
        <w:t xml:space="preserve">דמ"ש </w:t>
      </w:r>
      <w:r>
        <w:rPr>
          <w:rFonts w:cs="Arial" w:hint="cs"/>
          <w:rtl/>
        </w:rPr>
        <w:t xml:space="preserve">הרמ"א </w:t>
      </w:r>
      <w:r w:rsidRPr="00A02E1D">
        <w:rPr>
          <w:rFonts w:cs="Arial"/>
          <w:rtl/>
        </w:rPr>
        <w:t>מ"מ יש להם לחזור, היינו קודם שנתקיים פסק שלהם דבזה לא שייך לומר מה יש להם לעשות, ועיקר מילתא אתא לאשמעינן דאם אינם רוצים לחזור ישלמו אף בזמן הזה, אבל אם כבר הוציאו מיד הנתבע ליד התובע פשיטא דאין יכולים לחזור, דהא טעמא דשיקול הדעת הוא מה שעשה עשוי משום דהמוחזק יכול לומר מאן לימא שטעית דילמא טעמא קמא דילך אמת, אם כן האי טעמא שייך נמי אף האידנא שהם דיינים ע"פ הקהל, וזה ברור</w:t>
      </w:r>
      <w:r>
        <w:rPr>
          <w:rFonts w:cs="Arial" w:hint="cs"/>
          <w:rtl/>
        </w:rPr>
        <w:t>.</w:t>
      </w:r>
    </w:p>
  </w:footnote>
  <w:footnote w:id="1294">
    <w:p w14:paraId="1849A852" w14:textId="77777777" w:rsidR="0013116F" w:rsidRDefault="0013116F">
      <w:pPr>
        <w:pStyle w:val="a9"/>
      </w:pPr>
      <w:r>
        <w:rPr>
          <w:rStyle w:val="ab"/>
        </w:rPr>
        <w:footnoteRef/>
      </w:r>
      <w:r>
        <w:rPr>
          <w:rtl/>
        </w:rPr>
        <w:t xml:space="preserve"> </w:t>
      </w:r>
      <w:r w:rsidRPr="00AB1D9E">
        <w:rPr>
          <w:rFonts w:cs="Arial"/>
          <w:rtl/>
        </w:rPr>
        <w:t>קאי דוקא אמ"ש או בזמן הזה שמכריחין הקהל, דמזה מיירי המרדכי שם</w:t>
      </w:r>
      <w:r>
        <w:rPr>
          <w:rFonts w:hint="cs"/>
          <w:rtl/>
        </w:rPr>
        <w:t>, סמ"ע (סקכ"ד).</w:t>
      </w:r>
      <w:r w:rsidRPr="00E055B2">
        <w:rPr>
          <w:rFonts w:cs="Arial"/>
          <w:rtl/>
        </w:rPr>
        <w:t xml:space="preserve"> </w:t>
      </w:r>
      <w:r>
        <w:rPr>
          <w:rFonts w:cs="Arial" w:hint="cs"/>
          <w:rtl/>
        </w:rPr>
        <w:t xml:space="preserve">אך הש"ך (סקל"ז) כתב- </w:t>
      </w:r>
      <w:r w:rsidRPr="00E055B2">
        <w:rPr>
          <w:rFonts w:cs="Arial"/>
          <w:rtl/>
        </w:rPr>
        <w:t>ולפי מה שכתבתי [סקל"ו] דמיירי דוקא קודם שהוציא וזכה שכנגדו, א"צ לדחוק בזה, אלא קאי אכולה מילתא, דבין בזמן הזה ובין שקיבלו עליהם בין לדין בין לטעות יכולים הדיינים לחזור כל זמן שלא נתקיים פסק שלהם כשטעו בשיקול הדעת</w:t>
      </w:r>
      <w:r>
        <w:rPr>
          <w:rFonts w:hint="cs"/>
          <w:rtl/>
        </w:rPr>
        <w:t>.</w:t>
      </w:r>
    </w:p>
  </w:footnote>
  <w:footnote w:id="1295">
    <w:p w14:paraId="5CCB2136" w14:textId="77777777" w:rsidR="0013116F" w:rsidRDefault="0013116F">
      <w:pPr>
        <w:pStyle w:val="a9"/>
      </w:pPr>
      <w:r>
        <w:rPr>
          <w:rStyle w:val="ab"/>
        </w:rPr>
        <w:footnoteRef/>
      </w:r>
      <w:r>
        <w:rPr>
          <w:rtl/>
        </w:rPr>
        <w:t xml:space="preserve"> </w:t>
      </w:r>
      <w:r w:rsidRPr="008046C2">
        <w:rPr>
          <w:rFonts w:cs="Arial"/>
          <w:rtl/>
        </w:rPr>
        <w:t>באשיר"י ובטור מחלק וכתב, דהיינו דוקא אם אין מומחה באותן השנים, אבל אם יש באותן ב' אחד מומחה שהיה ראוי לדון ביחידי, אז השנים צריכין לשלם הכל, דהא לא מצי למימר דבזולת השלישי לא היינו ראויים לדון וזה שאינו מומחה צריך לשלם כ"כ כמומחה, כיון דזולתו לא היו הולכין אחר דברי המומחה לחוד כיון דיתבי אדעתא דג' והוא נמי גרם הרוב, ועיין פרישה מ"ש מילתא בטעמא בהני דינים. ומור"ם דהשמיט זה, אפשר משום דאין נוהגין בזמן הזה לדון ביחידי כמ"ש מור"ם בסימן ג' [סעיף ב']</w:t>
      </w:r>
      <w:r>
        <w:rPr>
          <w:rFonts w:cs="Arial" w:hint="cs"/>
          <w:rtl/>
        </w:rPr>
        <w:t>, סמ"ע (סקכ"ה).</w:t>
      </w:r>
      <w:r w:rsidRPr="00E055B2">
        <w:rPr>
          <w:rtl/>
        </w:rPr>
        <w:t xml:space="preserve"> </w:t>
      </w:r>
      <w:r w:rsidRPr="00E055B2">
        <w:rPr>
          <w:rFonts w:cs="Arial"/>
          <w:rtl/>
        </w:rPr>
        <w:t>והעיר שושן כתבו [בסעיף ד']. ונראה דס"ל דאע"ג דאין מומחה בזמן הזה, היינו לענין שידון לכתחילה בעל כרחו, אבל אם דן בדיעבד דינו דין וכמ"ש לעיל סקי"ג [אות ד'], אם כן הכא כיון דדיעבד הוא ודינו דין חייבים, וכן עיקר, ואפשר דגם הר"ב ס"ל הכי וקיצר בדבר</w:t>
      </w:r>
      <w:r>
        <w:rPr>
          <w:rFonts w:hint="cs"/>
          <w:rtl/>
        </w:rPr>
        <w:t>, ש"ך (סקל"ח).</w:t>
      </w:r>
    </w:p>
  </w:footnote>
  <w:footnote w:id="1296">
    <w:p w14:paraId="77C60322" w14:textId="77777777" w:rsidR="0013116F" w:rsidRDefault="0013116F">
      <w:pPr>
        <w:pStyle w:val="a9"/>
        <w:rPr>
          <w:rtl/>
        </w:rPr>
      </w:pPr>
      <w:r>
        <w:rPr>
          <w:rStyle w:val="ab"/>
        </w:rPr>
        <w:footnoteRef/>
      </w:r>
      <w:r>
        <w:rPr>
          <w:rtl/>
        </w:rPr>
        <w:t xml:space="preserve"> </w:t>
      </w:r>
      <w:r w:rsidRPr="008046C2">
        <w:rPr>
          <w:rFonts w:cs="Arial"/>
          <w:rtl/>
        </w:rPr>
        <w:t>סתם מומחה בלשון הרמב"ם הוא דגמיר אף דלא סביר, ממילא כשכתב דאין מומחה, ר"ל לא גמיר ולא סביר, אבל אי הוי גמיר אף דלא סביר, מודה הרמב"ם דמהני ליה רשותא מריש גלותא</w:t>
      </w:r>
      <w:r w:rsidRPr="008046C2">
        <w:rPr>
          <w:rFonts w:cs="Arial"/>
          <w:sz w:val="16"/>
          <w:szCs w:val="16"/>
          <w:rtl/>
        </w:rPr>
        <w:t xml:space="preserve"> </w:t>
      </w:r>
      <w:r w:rsidRPr="008046C2">
        <w:rPr>
          <w:rFonts w:cs="Arial" w:hint="cs"/>
          <w:sz w:val="16"/>
          <w:szCs w:val="16"/>
          <w:rtl/>
        </w:rPr>
        <w:t>(</w:t>
      </w:r>
      <w:r w:rsidRPr="008046C2">
        <w:rPr>
          <w:rFonts w:cs="Arial"/>
          <w:sz w:val="16"/>
          <w:szCs w:val="16"/>
          <w:rtl/>
        </w:rPr>
        <w:t>וכמ"ש זה באריכות בפו</w:t>
      </w:r>
      <w:r>
        <w:rPr>
          <w:rFonts w:cs="Arial" w:hint="cs"/>
          <w:sz w:val="16"/>
          <w:szCs w:val="16"/>
          <w:rtl/>
        </w:rPr>
        <w:t>"</w:t>
      </w:r>
      <w:r w:rsidRPr="008046C2">
        <w:rPr>
          <w:rFonts w:cs="Arial"/>
          <w:sz w:val="16"/>
          <w:szCs w:val="16"/>
          <w:rtl/>
        </w:rPr>
        <w:t>ד לעיל ס</w:t>
      </w:r>
      <w:r>
        <w:rPr>
          <w:rFonts w:cs="Arial" w:hint="cs"/>
          <w:sz w:val="16"/>
          <w:szCs w:val="16"/>
          <w:rtl/>
        </w:rPr>
        <w:t>"ס</w:t>
      </w:r>
      <w:r w:rsidRPr="008046C2">
        <w:rPr>
          <w:rFonts w:cs="Arial"/>
          <w:sz w:val="16"/>
          <w:szCs w:val="16"/>
          <w:rtl/>
        </w:rPr>
        <w:t xml:space="preserve"> ג</w:t>
      </w:r>
      <w:r>
        <w:rPr>
          <w:rFonts w:cs="Arial" w:hint="cs"/>
          <w:sz w:val="16"/>
          <w:szCs w:val="16"/>
          <w:rtl/>
        </w:rPr>
        <w:t xml:space="preserve">... </w:t>
      </w:r>
      <w:r w:rsidRPr="008046C2">
        <w:rPr>
          <w:rFonts w:cs="Arial"/>
          <w:sz w:val="16"/>
          <w:szCs w:val="16"/>
          <w:rtl/>
        </w:rPr>
        <w:t>וכ"כ ג"כ הכ"מ [פ"ב מסנהדרין הי"א] וכמו שהבאתי שם לשונו</w:t>
      </w:r>
      <w:r w:rsidRPr="008046C2">
        <w:rPr>
          <w:rFonts w:cs="Arial" w:hint="cs"/>
          <w:sz w:val="16"/>
          <w:szCs w:val="16"/>
          <w:rtl/>
        </w:rPr>
        <w:t>)</w:t>
      </w:r>
      <w:r>
        <w:rPr>
          <w:rFonts w:hint="cs"/>
          <w:rtl/>
        </w:rPr>
        <w:t xml:space="preserve">, סמ"ע (סקכ"ו). </w:t>
      </w:r>
      <w:r w:rsidRPr="00E055B2">
        <w:rPr>
          <w:rFonts w:cs="Arial"/>
          <w:rtl/>
        </w:rPr>
        <w:t>הסמ"ע כאן הלך לשיטתו דלעיל [סק"כ], וכבר השגתי עליו לעיל סעיף ג' סק</w:t>
      </w:r>
      <w:r>
        <w:rPr>
          <w:rFonts w:cs="Arial" w:hint="cs"/>
          <w:rtl/>
        </w:rPr>
        <w:t>כ</w:t>
      </w:r>
      <w:r w:rsidRPr="00E055B2">
        <w:rPr>
          <w:rFonts w:cs="Arial"/>
          <w:rtl/>
        </w:rPr>
        <w:t>"ב</w:t>
      </w:r>
      <w:r>
        <w:rPr>
          <w:rFonts w:cs="Arial" w:hint="cs"/>
          <w:rtl/>
        </w:rPr>
        <w:t>, ש"ך (סק"מ).</w:t>
      </w:r>
    </w:p>
  </w:footnote>
  <w:footnote w:id="1297">
    <w:p w14:paraId="02732C7C" w14:textId="77777777" w:rsidR="0013116F" w:rsidRPr="004B22DA" w:rsidRDefault="0013116F" w:rsidP="004B22DA">
      <w:pPr>
        <w:pStyle w:val="a9"/>
        <w:rPr>
          <w:rFonts w:cs="Arial"/>
        </w:rPr>
      </w:pPr>
      <w:r>
        <w:rPr>
          <w:rStyle w:val="ab"/>
        </w:rPr>
        <w:footnoteRef/>
      </w:r>
      <w:r>
        <w:rPr>
          <w:rtl/>
        </w:rPr>
        <w:t xml:space="preserve"> </w:t>
      </w:r>
      <w:r w:rsidRPr="00B15850">
        <w:rPr>
          <w:rFonts w:cs="Arial"/>
          <w:rtl/>
        </w:rPr>
        <w:t>וכתבו נימוקי יוסף בריש סנהדרין (א</w:t>
      </w:r>
      <w:r>
        <w:rPr>
          <w:rFonts w:cs="Arial" w:hint="cs"/>
          <w:rtl/>
        </w:rPr>
        <w:t>:</w:t>
      </w:r>
      <w:r w:rsidRPr="00B15850">
        <w:rPr>
          <w:rFonts w:cs="Arial"/>
          <w:rtl/>
        </w:rPr>
        <w:t>) ומשם יש ללמוד לדיין שטעה וחייב שבועה וכו'. ונראה דהיינו דוקא בשטעה בדבר משנה או בשיקול הדעת ואיכא לברורי טעותא אבל אי ליכא לברורי טעותא המוציא מחבירו עליו הראיה כמו שנתבאר (לעיל ס"ו) לדעת הרי"ף והרא"ש מההוא עובדא דעכברא דשכיב אדינרי</w:t>
      </w:r>
      <w:r>
        <w:rPr>
          <w:rFonts w:cs="Arial" w:hint="cs"/>
          <w:rtl/>
        </w:rPr>
        <w:t>.</w:t>
      </w:r>
      <w:r>
        <w:rPr>
          <w:rFonts w:cs="Arial"/>
          <w:rtl/>
        </w:rPr>
        <w:t xml:space="preserve"> </w:t>
      </w:r>
    </w:p>
  </w:footnote>
  <w:footnote w:id="1298">
    <w:p w14:paraId="177E51B6" w14:textId="77777777" w:rsidR="0013116F" w:rsidRDefault="0013116F">
      <w:pPr>
        <w:pStyle w:val="a9"/>
        <w:rPr>
          <w:rtl/>
        </w:rPr>
      </w:pPr>
      <w:r>
        <w:rPr>
          <w:rStyle w:val="ab"/>
        </w:rPr>
        <w:footnoteRef/>
      </w:r>
      <w:r>
        <w:rPr>
          <w:rtl/>
        </w:rPr>
        <w:t xml:space="preserve"> </w:t>
      </w:r>
      <w:r w:rsidRPr="004B22DA">
        <w:rPr>
          <w:rFonts w:cs="Arial"/>
          <w:rtl/>
        </w:rPr>
        <w:t>ועיין עוד במישרים נט"ו ח"ג (מח ע"ד) מדין פשרה בטעות</w:t>
      </w:r>
      <w:r>
        <w:rPr>
          <w:rFonts w:cs="Arial" w:hint="cs"/>
          <w:rtl/>
        </w:rPr>
        <w:t>, דרכ"מ (אות ה).</w:t>
      </w:r>
    </w:p>
  </w:footnote>
  <w:footnote w:id="1299">
    <w:p w14:paraId="64118397" w14:textId="77777777" w:rsidR="0013116F" w:rsidRDefault="0013116F">
      <w:pPr>
        <w:pStyle w:val="a9"/>
        <w:rPr>
          <w:rtl/>
        </w:rPr>
      </w:pPr>
      <w:r>
        <w:rPr>
          <w:rStyle w:val="ab"/>
        </w:rPr>
        <w:footnoteRef/>
      </w:r>
      <w:r>
        <w:rPr>
          <w:rtl/>
        </w:rPr>
        <w:t xml:space="preserve"> </w:t>
      </w:r>
      <w:r w:rsidRPr="009A0D68">
        <w:rPr>
          <w:rFonts w:cs="Arial"/>
          <w:rtl/>
        </w:rPr>
        <w:t>ולא לפני גוים, ואפילו ידעת בדין אחד שהם דנין אותו כדיני ישראל, אל תביאהו בערכאות שלהם, שהמביא דיני ישראל לפני גוים מחלל את השם ומיקר שם עבודה זרה להחשיבה, שנאמר (דברים לב לא) כי לא כצורנו צורם ואויבינו פלילים, כשאויבינו פלילים זהו עדות לעלוי יראתם</w:t>
      </w:r>
      <w:r>
        <w:rPr>
          <w:rFonts w:hint="cs"/>
          <w:rtl/>
        </w:rPr>
        <w:t>, רש"י. וכן פירש הרמב"ן.</w:t>
      </w:r>
    </w:p>
  </w:footnote>
  <w:footnote w:id="1300">
    <w:p w14:paraId="0EF22BD9" w14:textId="77777777" w:rsidR="0013116F" w:rsidRPr="00D36D06" w:rsidRDefault="0013116F">
      <w:pPr>
        <w:pStyle w:val="a9"/>
        <w:rPr>
          <w:sz w:val="16"/>
          <w:szCs w:val="16"/>
        </w:rPr>
      </w:pPr>
      <w:r>
        <w:rPr>
          <w:rStyle w:val="ab"/>
        </w:rPr>
        <w:footnoteRef/>
      </w:r>
      <w:r>
        <w:rPr>
          <w:rtl/>
        </w:rPr>
        <w:t xml:space="preserve"> </w:t>
      </w:r>
      <w:r>
        <w:rPr>
          <w:rFonts w:hint="cs"/>
          <w:rtl/>
        </w:rPr>
        <w:t xml:space="preserve">סימן </w:t>
      </w:r>
      <w:r>
        <w:rPr>
          <w:rtl/>
        </w:rPr>
        <w:t>–</w:t>
      </w:r>
      <w:r>
        <w:rPr>
          <w:rFonts w:hint="cs"/>
          <w:rtl/>
        </w:rPr>
        <w:t xml:space="preserve"> פסקי חופשיים.</w:t>
      </w:r>
      <w:r>
        <w:rPr>
          <w:rFonts w:hint="cs"/>
          <w:sz w:val="16"/>
          <w:szCs w:val="16"/>
          <w:rtl/>
        </w:rPr>
        <w:t xml:space="preserve"> (היינו פסקים של מי שחופשי מן המצוות [גוי/חילוני])</w:t>
      </w:r>
    </w:p>
  </w:footnote>
  <w:footnote w:id="1301">
    <w:p w14:paraId="7B88DE33" w14:textId="77777777" w:rsidR="0013116F" w:rsidRDefault="0013116F">
      <w:pPr>
        <w:pStyle w:val="a9"/>
        <w:rPr>
          <w:rtl/>
        </w:rPr>
      </w:pPr>
      <w:r>
        <w:rPr>
          <w:rStyle w:val="ab"/>
        </w:rPr>
        <w:footnoteRef/>
      </w:r>
      <w:r>
        <w:rPr>
          <w:rtl/>
        </w:rPr>
        <w:t xml:space="preserve"> </w:t>
      </w:r>
      <w:r>
        <w:rPr>
          <w:rFonts w:cs="Arial" w:hint="cs"/>
          <w:rtl/>
        </w:rPr>
        <w:t>ו</w:t>
      </w:r>
      <w:r w:rsidRPr="00FF3942">
        <w:rPr>
          <w:rFonts w:cs="Arial" w:hint="cs"/>
          <w:rtl/>
        </w:rPr>
        <w:t xml:space="preserve">כתב </w:t>
      </w:r>
      <w:r w:rsidRPr="00FF3942">
        <w:rPr>
          <w:rFonts w:cs="Arial"/>
          <w:rtl/>
        </w:rPr>
        <w:t xml:space="preserve">מהרי"ק </w:t>
      </w:r>
      <w:r w:rsidRPr="00FF3942">
        <w:rPr>
          <w:rFonts w:cs="Arial" w:hint="cs"/>
          <w:rtl/>
        </w:rPr>
        <w:t>(</w:t>
      </w:r>
      <w:r w:rsidRPr="00FF3942">
        <w:rPr>
          <w:rFonts w:cs="Arial"/>
          <w:rtl/>
        </w:rPr>
        <w:t>שורש קנד</w:t>
      </w:r>
      <w:r w:rsidRPr="00FF3942">
        <w:rPr>
          <w:rFonts w:cs="Arial" w:hint="cs"/>
          <w:rtl/>
        </w:rPr>
        <w:t>)</w:t>
      </w:r>
      <w:r w:rsidRPr="00FF3942">
        <w:rPr>
          <w:rFonts w:cs="Arial"/>
          <w:rtl/>
        </w:rPr>
        <w:t xml:space="preserve"> </w:t>
      </w:r>
      <w:r w:rsidRPr="00FF3942">
        <w:rPr>
          <w:rFonts w:cs="Arial" w:hint="cs"/>
          <w:rtl/>
        </w:rPr>
        <w:t>ד</w:t>
      </w:r>
      <w:r w:rsidRPr="00FF3942">
        <w:rPr>
          <w:rFonts w:cs="Arial"/>
          <w:rtl/>
        </w:rPr>
        <w:t>אם עבר אחד והלך לפני דייני גוים צריך לסלק יד גוים מעליו וידון לפני דייני ישראל עכ"ל</w:t>
      </w:r>
      <w:r>
        <w:rPr>
          <w:rFonts w:cs="Arial" w:hint="cs"/>
          <w:rtl/>
        </w:rPr>
        <w:t>.</w:t>
      </w:r>
      <w:r w:rsidRPr="00FF3942">
        <w:rPr>
          <w:rFonts w:cs="Arial"/>
          <w:rtl/>
        </w:rPr>
        <w:t xml:space="preserve"> ועיין שם שהאריך בזו</w:t>
      </w:r>
      <w:r>
        <w:rPr>
          <w:rFonts w:cs="Arial" w:hint="cs"/>
          <w:rtl/>
        </w:rPr>
        <w:t>,</w:t>
      </w:r>
      <w:r w:rsidRPr="00FF3942">
        <w:rPr>
          <w:rFonts w:cs="Arial"/>
          <w:rtl/>
        </w:rPr>
        <w:t xml:space="preserve"> גם בשורש א' האריך בזו וכתב בשם המרדכי בהגוזל בתרא (סי' קצה ובהגוזל קמא סי' קיז-קיח) דאפילו אין עושה שום מעשה רק כופהו בדין גוים שיעמוד בדין ישראל ראוי למתחו על העמוד כו'</w:t>
      </w:r>
      <w:r>
        <w:rPr>
          <w:rFonts w:cs="Arial" w:hint="cs"/>
          <w:rtl/>
        </w:rPr>
        <w:t>.</w:t>
      </w:r>
      <w:r w:rsidRPr="00FF3942">
        <w:rPr>
          <w:rFonts w:cs="Arial"/>
          <w:rtl/>
        </w:rPr>
        <w:t xml:space="preserve"> ועיין לקמן סימן שפ"ח (אות יד) מי שהלך בערכאות מחמת שהכהו אם יש לו דין מסור</w:t>
      </w:r>
      <w:r>
        <w:rPr>
          <w:rFonts w:hint="cs"/>
          <w:rtl/>
        </w:rPr>
        <w:t>, דרכ"מ (אות א).</w:t>
      </w:r>
      <w:r w:rsidRPr="003272F8">
        <w:rPr>
          <w:rFonts w:hint="cs"/>
          <w:color w:val="00B0F0"/>
          <w:rtl/>
        </w:rPr>
        <w:t xml:space="preserve"> (וכ"פ בהג"ה)</w:t>
      </w:r>
    </w:p>
  </w:footnote>
  <w:footnote w:id="1302">
    <w:p w14:paraId="4CC13779" w14:textId="77777777" w:rsidR="0013116F" w:rsidRPr="003272F8" w:rsidRDefault="0013116F">
      <w:pPr>
        <w:pStyle w:val="a9"/>
        <w:rPr>
          <w:color w:val="000000" w:themeColor="text1"/>
        </w:rPr>
      </w:pPr>
      <w:r>
        <w:rPr>
          <w:rStyle w:val="ab"/>
        </w:rPr>
        <w:footnoteRef/>
      </w:r>
      <w:r>
        <w:rPr>
          <w:rtl/>
        </w:rPr>
        <w:t xml:space="preserve"> </w:t>
      </w:r>
      <w:r w:rsidRPr="004730AC">
        <w:rPr>
          <w:rFonts w:hint="cs"/>
          <w:color w:val="00B0F0"/>
          <w:rtl/>
        </w:rPr>
        <w:t>וכ"פ הרמ"א</w:t>
      </w:r>
      <w:r>
        <w:rPr>
          <w:rFonts w:hint="cs"/>
          <w:color w:val="000000" w:themeColor="text1"/>
          <w:rtl/>
        </w:rPr>
        <w:t>.</w:t>
      </w:r>
    </w:p>
  </w:footnote>
  <w:footnote w:id="1303">
    <w:p w14:paraId="2B79FAFE" w14:textId="77777777" w:rsidR="0013116F" w:rsidRDefault="0013116F" w:rsidP="00AF1D25">
      <w:pPr>
        <w:pStyle w:val="a9"/>
      </w:pPr>
      <w:r>
        <w:rPr>
          <w:rStyle w:val="ab"/>
        </w:rPr>
        <w:footnoteRef/>
      </w:r>
      <w:r>
        <w:rPr>
          <w:rtl/>
        </w:rPr>
        <w:t xml:space="preserve"> </w:t>
      </w:r>
      <w:r>
        <w:rPr>
          <w:rFonts w:cs="Arial" w:hint="cs"/>
          <w:rtl/>
        </w:rPr>
        <w:t xml:space="preserve">והביא הדרכ"מ </w:t>
      </w:r>
      <w:r w:rsidRPr="003E06B7">
        <w:rPr>
          <w:rFonts w:cs="Arial" w:hint="cs"/>
          <w:sz w:val="16"/>
          <w:szCs w:val="16"/>
          <w:rtl/>
        </w:rPr>
        <w:t>(</w:t>
      </w:r>
      <w:r w:rsidRPr="003E06B7">
        <w:rPr>
          <w:rFonts w:cs="Arial"/>
          <w:sz w:val="16"/>
          <w:szCs w:val="16"/>
          <w:rtl/>
        </w:rPr>
        <w:t>סי</w:t>
      </w:r>
      <w:r w:rsidRPr="003E06B7">
        <w:rPr>
          <w:rFonts w:cs="Arial" w:hint="cs"/>
          <w:sz w:val="16"/>
          <w:szCs w:val="16"/>
          <w:rtl/>
        </w:rPr>
        <w:t>'</w:t>
      </w:r>
      <w:r w:rsidRPr="003E06B7">
        <w:rPr>
          <w:rFonts w:cs="Arial"/>
          <w:sz w:val="16"/>
          <w:szCs w:val="16"/>
          <w:rtl/>
        </w:rPr>
        <w:t xml:space="preserve"> שפח</w:t>
      </w:r>
      <w:r w:rsidRPr="003E06B7">
        <w:rPr>
          <w:rFonts w:cs="Arial" w:hint="cs"/>
          <w:sz w:val="16"/>
          <w:szCs w:val="16"/>
          <w:rtl/>
        </w:rPr>
        <w:t xml:space="preserve"> </w:t>
      </w:r>
      <w:r w:rsidRPr="003E06B7">
        <w:rPr>
          <w:rFonts w:cs="Arial"/>
          <w:sz w:val="16"/>
          <w:szCs w:val="16"/>
          <w:rtl/>
        </w:rPr>
        <w:t>דמה"א סי"א)</w:t>
      </w:r>
      <w:r w:rsidRPr="003E06B7">
        <w:rPr>
          <w:rFonts w:cs="Arial" w:hint="cs"/>
          <w:sz w:val="16"/>
          <w:szCs w:val="16"/>
          <w:rtl/>
        </w:rPr>
        <w:t xml:space="preserve"> </w:t>
      </w:r>
      <w:r>
        <w:rPr>
          <w:rFonts w:cs="Arial" w:hint="cs"/>
          <w:rtl/>
        </w:rPr>
        <w:t>דברי המרדכי.</w:t>
      </w:r>
      <w:r w:rsidRPr="00AF1D25">
        <w:rPr>
          <w:rFonts w:cs="Arial"/>
          <w:rtl/>
        </w:rPr>
        <w:t xml:space="preserve"> </w:t>
      </w:r>
      <w:r>
        <w:rPr>
          <w:rFonts w:cs="Arial" w:hint="cs"/>
          <w:rtl/>
        </w:rPr>
        <w:t xml:space="preserve">וכ' הסמ"ע </w:t>
      </w:r>
      <w:r w:rsidRPr="003E06B7">
        <w:rPr>
          <w:rFonts w:cs="Arial" w:hint="cs"/>
          <w:sz w:val="16"/>
          <w:szCs w:val="16"/>
          <w:rtl/>
        </w:rPr>
        <w:t xml:space="preserve">(בהגהות דרכ"מ, עי' בסמ"ע סק"ו) </w:t>
      </w:r>
      <w:r>
        <w:rPr>
          <w:rFonts w:cs="Arial" w:hint="cs"/>
          <w:rtl/>
        </w:rPr>
        <w:t>ד</w:t>
      </w:r>
      <w:r w:rsidRPr="00B650A7">
        <w:rPr>
          <w:rFonts w:cs="Arial"/>
          <w:rtl/>
        </w:rPr>
        <w:t>המדקדק בתשובת המרדכי יראה שאינה שייכה לכאן כלל כי התם מסרו זה את זה ולכן פסקו להם בדין ישראל אבל לענין הדין אפשר לעולם דאין נזקקין וכדברי מהרי"ק כנ"ל</w:t>
      </w:r>
      <w:r>
        <w:rPr>
          <w:rFonts w:cs="Arial" w:hint="cs"/>
          <w:rtl/>
        </w:rPr>
        <w:t>.</w:t>
      </w:r>
    </w:p>
  </w:footnote>
  <w:footnote w:id="1304">
    <w:p w14:paraId="019EBA8B" w14:textId="77777777" w:rsidR="0013116F" w:rsidRDefault="0013116F">
      <w:pPr>
        <w:pStyle w:val="a9"/>
        <w:rPr>
          <w:rtl/>
        </w:rPr>
      </w:pPr>
      <w:r>
        <w:rPr>
          <w:rStyle w:val="ab"/>
        </w:rPr>
        <w:footnoteRef/>
      </w:r>
      <w:r>
        <w:rPr>
          <w:rtl/>
        </w:rPr>
        <w:t xml:space="preserve"> </w:t>
      </w:r>
      <w:r w:rsidRPr="003E06B7">
        <w:rPr>
          <w:rFonts w:cs="Arial"/>
          <w:rtl/>
        </w:rPr>
        <w:t>ועיין בתשובות מהרי"ק שורש (קפז</w:t>
      </w:r>
      <w:r>
        <w:rPr>
          <w:rFonts w:cs="Arial" w:hint="cs"/>
          <w:rtl/>
        </w:rPr>
        <w:t>)</w:t>
      </w:r>
      <w:r w:rsidRPr="003E06B7">
        <w:rPr>
          <w:rFonts w:cs="Arial"/>
          <w:rtl/>
        </w:rPr>
        <w:t xml:space="preserve"> ושורש א' ושורש (ח'</w:t>
      </w:r>
      <w:r>
        <w:rPr>
          <w:rFonts w:cs="Arial" w:hint="cs"/>
          <w:rtl/>
        </w:rPr>
        <w:t>)</w:t>
      </w:r>
      <w:r w:rsidRPr="003E06B7">
        <w:rPr>
          <w:rFonts w:cs="Arial"/>
          <w:rtl/>
        </w:rPr>
        <w:t xml:space="preserve"> ובהריב"ש סימן קע"ט</w:t>
      </w:r>
      <w:r>
        <w:rPr>
          <w:rFonts w:hint="cs"/>
          <w:rtl/>
        </w:rPr>
        <w:t>, ב"י.</w:t>
      </w:r>
    </w:p>
  </w:footnote>
  <w:footnote w:id="1305">
    <w:p w14:paraId="416718EC" w14:textId="77777777" w:rsidR="0013116F" w:rsidRDefault="0013116F">
      <w:pPr>
        <w:pStyle w:val="a9"/>
        <w:rPr>
          <w:rtl/>
        </w:rPr>
      </w:pPr>
      <w:r>
        <w:rPr>
          <w:rStyle w:val="ab"/>
        </w:rPr>
        <w:footnoteRef/>
      </w:r>
      <w:r>
        <w:rPr>
          <w:rtl/>
        </w:rPr>
        <w:t xml:space="preserve"> </w:t>
      </w:r>
      <w:r w:rsidRPr="003E06B7">
        <w:rPr>
          <w:rFonts w:cs="Arial"/>
          <w:rtl/>
        </w:rPr>
        <w:t>עיין במהרי"ק סימן ס"ו וקפ"א וקצ"ד בענין דינא דמלכותא ועיין בדברי רבינו סימן שס"ט (ס"ח)</w:t>
      </w:r>
      <w:r>
        <w:rPr>
          <w:rFonts w:hint="cs"/>
          <w:rtl/>
        </w:rPr>
        <w:t>, ב"י.</w:t>
      </w:r>
    </w:p>
  </w:footnote>
  <w:footnote w:id="1306">
    <w:p w14:paraId="2B33F8F1" w14:textId="77777777" w:rsidR="0013116F" w:rsidRDefault="0013116F">
      <w:pPr>
        <w:pStyle w:val="a9"/>
        <w:rPr>
          <w:rtl/>
        </w:rPr>
      </w:pPr>
      <w:r>
        <w:rPr>
          <w:rStyle w:val="ab"/>
        </w:rPr>
        <w:footnoteRef/>
      </w:r>
      <w:r>
        <w:rPr>
          <w:rtl/>
        </w:rPr>
        <w:t xml:space="preserve"> </w:t>
      </w:r>
      <w:r w:rsidRPr="003272F8">
        <w:rPr>
          <w:rFonts w:cs="Arial"/>
          <w:rtl/>
        </w:rPr>
        <w:t>ואפילו שהוא אלם וסרבן מלציית דין ישראל, ה"ל להלוך לפני דייני ישראל ליטול רשות מהם, ואז הן היו נותנין לו רשות להוציא את שלו ע"י דייני גוים, ולא שהגוים יכפוהו לעשות מה שדייני ישראל אומרים לו, כי א"צ לכך להרא"ש [הובא בטור אה"ע סי</w:t>
      </w:r>
      <w:r>
        <w:rPr>
          <w:rFonts w:cs="Arial" w:hint="cs"/>
          <w:rtl/>
        </w:rPr>
        <w:t>'</w:t>
      </w:r>
      <w:r w:rsidRPr="003272F8">
        <w:rPr>
          <w:rFonts w:cs="Arial"/>
          <w:rtl/>
        </w:rPr>
        <w:t xml:space="preserve"> קלד] והטור [שם] וכמ"ש בפרישה ודרישה כאן וגם לעיל ריש סימן ב' ע"ש, וכמשמעות דברי המחבר בסעיף שאחר זה</w:t>
      </w:r>
      <w:r>
        <w:rPr>
          <w:rFonts w:hint="cs"/>
          <w:rtl/>
        </w:rPr>
        <w:t>, סמ"ע (סק"ה).</w:t>
      </w:r>
    </w:p>
  </w:footnote>
  <w:footnote w:id="1307">
    <w:p w14:paraId="03E20760" w14:textId="77777777" w:rsidR="0013116F" w:rsidRDefault="0013116F" w:rsidP="00A45C01">
      <w:pPr>
        <w:pStyle w:val="a9"/>
        <w:rPr>
          <w:rtl/>
        </w:rPr>
      </w:pPr>
      <w:r>
        <w:rPr>
          <w:rStyle w:val="ab"/>
        </w:rPr>
        <w:footnoteRef/>
      </w:r>
      <w:r>
        <w:rPr>
          <w:rtl/>
        </w:rPr>
        <w:t xml:space="preserve"> </w:t>
      </w:r>
      <w:r>
        <w:rPr>
          <w:rFonts w:cs="Arial" w:hint="cs"/>
          <w:rtl/>
        </w:rPr>
        <w:t>ו</w:t>
      </w:r>
      <w:r w:rsidRPr="003272F8">
        <w:rPr>
          <w:rFonts w:cs="Arial"/>
          <w:rtl/>
        </w:rPr>
        <w:t>ה"ה אם כבר שילם לו ע"פ דיניהן, אף שבדין ישראל נתחייב לו יותר, אין שומעין לו לדונו מחדש</w:t>
      </w:r>
      <w:r>
        <w:rPr>
          <w:rFonts w:hint="cs"/>
          <w:rtl/>
        </w:rPr>
        <w:t>, סמ"ע (סק"ז).</w:t>
      </w:r>
    </w:p>
  </w:footnote>
  <w:footnote w:id="1308">
    <w:p w14:paraId="1141AED7" w14:textId="77777777" w:rsidR="0013116F" w:rsidRDefault="0013116F" w:rsidP="00E36762">
      <w:pPr>
        <w:pStyle w:val="a9"/>
      </w:pPr>
      <w:r>
        <w:rPr>
          <w:rStyle w:val="ab"/>
        </w:rPr>
        <w:footnoteRef/>
      </w:r>
      <w:r>
        <w:rPr>
          <w:rtl/>
        </w:rPr>
        <w:t xml:space="preserve"> </w:t>
      </w:r>
      <w:r>
        <w:rPr>
          <w:rFonts w:hint="cs"/>
          <w:rtl/>
        </w:rPr>
        <w:t xml:space="preserve">סימן </w:t>
      </w:r>
      <w:r>
        <w:rPr>
          <w:rtl/>
        </w:rPr>
        <w:t>–</w:t>
      </w:r>
      <w:r>
        <w:rPr>
          <w:rFonts w:hint="cs"/>
          <w:rtl/>
        </w:rPr>
        <w:t xml:space="preserve"> ציפצף בנו, יציית לבהמות. וכן - </w:t>
      </w:r>
      <w:r w:rsidRPr="008245F8">
        <w:rPr>
          <w:rtl/>
        </w:rPr>
        <w:t>ציפצף בב</w:t>
      </w:r>
      <w:r>
        <w:rPr>
          <w:rFonts w:hint="cs"/>
          <w:rtl/>
        </w:rPr>
        <w:t>"</w:t>
      </w:r>
      <w:r w:rsidRPr="008245F8">
        <w:rPr>
          <w:rtl/>
        </w:rPr>
        <w:t>ד ציית בבי</w:t>
      </w:r>
      <w:r>
        <w:rPr>
          <w:rFonts w:hint="cs"/>
          <w:rtl/>
        </w:rPr>
        <w:t xml:space="preserve"> דוואר.</w:t>
      </w:r>
    </w:p>
  </w:footnote>
  <w:footnote w:id="1309">
    <w:p w14:paraId="1FDD3417" w14:textId="77777777" w:rsidR="0013116F" w:rsidRDefault="0013116F">
      <w:pPr>
        <w:pStyle w:val="a9"/>
      </w:pPr>
      <w:r>
        <w:rPr>
          <w:rStyle w:val="ab"/>
        </w:rPr>
        <w:footnoteRef/>
      </w:r>
      <w:r>
        <w:rPr>
          <w:rtl/>
        </w:rPr>
        <w:t xml:space="preserve"> </w:t>
      </w:r>
      <w:r w:rsidRPr="00556F98">
        <w:rPr>
          <w:rFonts w:cs="Arial"/>
          <w:rtl/>
        </w:rPr>
        <w:t>פירש"י כותל הפל עליו כלומר הניחו ויפול ברשעו דחהו בידים, הכי נמי כיון דלא ציית דינא יביאהו בערכאותיהם אבל אי ציית דינא אין לו להביאו בערכאותיהם</w:t>
      </w:r>
      <w:r>
        <w:rPr>
          <w:rFonts w:cs="Arial" w:hint="cs"/>
          <w:rtl/>
        </w:rPr>
        <w:t>, כס"מ (פכ"ו ה"ז).</w:t>
      </w:r>
    </w:p>
  </w:footnote>
  <w:footnote w:id="1310">
    <w:p w14:paraId="042422DC" w14:textId="77777777" w:rsidR="0013116F" w:rsidRPr="00D36D06" w:rsidRDefault="0013116F" w:rsidP="007D4DBE">
      <w:pPr>
        <w:pStyle w:val="a9"/>
        <w:rPr>
          <w:sz w:val="16"/>
          <w:szCs w:val="16"/>
        </w:rPr>
      </w:pPr>
      <w:r>
        <w:rPr>
          <w:rStyle w:val="ab"/>
        </w:rPr>
        <w:footnoteRef/>
      </w:r>
      <w:r>
        <w:rPr>
          <w:rtl/>
        </w:rPr>
        <w:t xml:space="preserve"> </w:t>
      </w:r>
      <w:r>
        <w:rPr>
          <w:rFonts w:hint="cs"/>
          <w:rtl/>
        </w:rPr>
        <w:t xml:space="preserve">סימן </w:t>
      </w:r>
      <w:r>
        <w:rPr>
          <w:rtl/>
        </w:rPr>
        <w:t>–</w:t>
      </w:r>
      <w:r>
        <w:rPr>
          <w:rFonts w:hint="cs"/>
          <w:rtl/>
        </w:rPr>
        <w:t xml:space="preserve"> פסקי חופשיים.</w:t>
      </w:r>
      <w:r>
        <w:rPr>
          <w:rFonts w:hint="cs"/>
          <w:sz w:val="16"/>
          <w:szCs w:val="16"/>
          <w:rtl/>
        </w:rPr>
        <w:t xml:space="preserve"> (היינו פסקים של מי שחופשי מן המצוות [גוי/חילוני])</w:t>
      </w:r>
    </w:p>
  </w:footnote>
  <w:footnote w:id="1311">
    <w:p w14:paraId="795A16DA" w14:textId="77777777" w:rsidR="0013116F" w:rsidRDefault="0013116F">
      <w:pPr>
        <w:pStyle w:val="a9"/>
        <w:rPr>
          <w:rtl/>
        </w:rPr>
      </w:pPr>
      <w:r>
        <w:rPr>
          <w:rStyle w:val="ab"/>
        </w:rPr>
        <w:footnoteRef/>
      </w:r>
      <w:r>
        <w:rPr>
          <w:rtl/>
        </w:rPr>
        <w:t xml:space="preserve"> </w:t>
      </w:r>
      <w:r>
        <w:rPr>
          <w:rFonts w:hint="cs"/>
          <w:rtl/>
        </w:rPr>
        <w:t>וכתב הגה"מ (פכ"ו ה"ז אות ג) דכן פריש גמ' זו רבינו יוסף ט"ע.</w:t>
      </w:r>
    </w:p>
  </w:footnote>
  <w:footnote w:id="1312">
    <w:p w14:paraId="102BAD99" w14:textId="77777777" w:rsidR="0013116F" w:rsidRDefault="0013116F">
      <w:pPr>
        <w:pStyle w:val="a9"/>
      </w:pPr>
      <w:r>
        <w:rPr>
          <w:rStyle w:val="ab"/>
        </w:rPr>
        <w:footnoteRef/>
      </w:r>
      <w:r>
        <w:rPr>
          <w:rtl/>
        </w:rPr>
        <w:t xml:space="preserve"> </w:t>
      </w:r>
      <w:r w:rsidRPr="00A45C01">
        <w:rPr>
          <w:rFonts w:cs="Arial"/>
          <w:rtl/>
        </w:rPr>
        <w:t>ועיין במהרי"ק סימן קנ"ד</w:t>
      </w:r>
      <w:r>
        <w:rPr>
          <w:rFonts w:cs="Arial" w:hint="cs"/>
          <w:rtl/>
        </w:rPr>
        <w:t>, ב"י.</w:t>
      </w:r>
    </w:p>
  </w:footnote>
  <w:footnote w:id="1313">
    <w:p w14:paraId="76AF788E" w14:textId="77777777" w:rsidR="0013116F" w:rsidRDefault="0013116F" w:rsidP="007D4DBE">
      <w:pPr>
        <w:pStyle w:val="a9"/>
      </w:pPr>
      <w:r>
        <w:rPr>
          <w:rStyle w:val="ab"/>
        </w:rPr>
        <w:footnoteRef/>
      </w:r>
      <w:r>
        <w:rPr>
          <w:rtl/>
        </w:rPr>
        <w:t xml:space="preserve"> </w:t>
      </w:r>
      <w:r>
        <w:rPr>
          <w:rFonts w:cs="Arial" w:hint="cs"/>
          <w:rtl/>
        </w:rPr>
        <w:t xml:space="preserve">והוא הדין אם נטל רשות מראשי הקהל, </w:t>
      </w:r>
      <w:r w:rsidRPr="00A45C01">
        <w:rPr>
          <w:rFonts w:cs="Arial"/>
          <w:rtl/>
        </w:rPr>
        <w:t xml:space="preserve">מרדכי </w:t>
      </w:r>
      <w:r w:rsidRPr="009F18BE">
        <w:rPr>
          <w:rFonts w:cs="Arial"/>
          <w:sz w:val="16"/>
          <w:szCs w:val="16"/>
          <w:rtl/>
        </w:rPr>
        <w:t>(</w:t>
      </w:r>
      <w:r>
        <w:rPr>
          <w:rFonts w:cs="Arial" w:hint="cs"/>
          <w:sz w:val="16"/>
          <w:szCs w:val="16"/>
          <w:rtl/>
        </w:rPr>
        <w:t xml:space="preserve">פ' מרובה </w:t>
      </w:r>
      <w:r w:rsidRPr="009F18BE">
        <w:rPr>
          <w:rFonts w:cs="Arial"/>
          <w:sz w:val="16"/>
          <w:szCs w:val="16"/>
          <w:rtl/>
        </w:rPr>
        <w:t>ב"ק סי' עד)</w:t>
      </w:r>
      <w:r>
        <w:rPr>
          <w:rFonts w:cs="Arial" w:hint="cs"/>
          <w:rtl/>
        </w:rPr>
        <w:t xml:space="preserve"> בשם</w:t>
      </w:r>
      <w:r w:rsidRPr="00A45C01">
        <w:rPr>
          <w:rFonts w:cs="Arial"/>
          <w:rtl/>
        </w:rPr>
        <w:t xml:space="preserve"> </w:t>
      </w:r>
      <w:r>
        <w:rPr>
          <w:rFonts w:cs="Arial" w:hint="cs"/>
          <w:rtl/>
        </w:rPr>
        <w:t>מ</w:t>
      </w:r>
      <w:r w:rsidRPr="00A45C01">
        <w:rPr>
          <w:rFonts w:cs="Arial"/>
          <w:rtl/>
        </w:rPr>
        <w:t>הר"</w:t>
      </w:r>
      <w:r>
        <w:rPr>
          <w:rFonts w:cs="Arial" w:hint="cs"/>
          <w:rtl/>
        </w:rPr>
        <w:t>ם</w:t>
      </w:r>
      <w:r w:rsidRPr="009F18BE">
        <w:rPr>
          <w:rFonts w:cs="Arial"/>
          <w:sz w:val="16"/>
          <w:szCs w:val="16"/>
          <w:rtl/>
        </w:rPr>
        <w:t xml:space="preserve"> (שו"ת ד' ברלין סי' תתקעח)</w:t>
      </w:r>
      <w:r>
        <w:rPr>
          <w:rFonts w:cs="Arial" w:hint="cs"/>
          <w:rtl/>
        </w:rPr>
        <w:t>.</w:t>
      </w:r>
    </w:p>
  </w:footnote>
  <w:footnote w:id="1314">
    <w:p w14:paraId="44B0E5B5" w14:textId="77777777" w:rsidR="0013116F" w:rsidRDefault="0013116F" w:rsidP="007D4DBE">
      <w:pPr>
        <w:pStyle w:val="a9"/>
      </w:pPr>
      <w:r>
        <w:rPr>
          <w:rStyle w:val="ab"/>
        </w:rPr>
        <w:footnoteRef/>
      </w:r>
      <w:r>
        <w:rPr>
          <w:rtl/>
        </w:rPr>
        <w:t xml:space="preserve"> </w:t>
      </w:r>
      <w:r>
        <w:rPr>
          <w:rFonts w:hint="cs"/>
          <w:rtl/>
        </w:rPr>
        <w:t xml:space="preserve">סימן </w:t>
      </w:r>
      <w:r>
        <w:rPr>
          <w:rtl/>
        </w:rPr>
        <w:t>–</w:t>
      </w:r>
      <w:r>
        <w:rPr>
          <w:rFonts w:hint="cs"/>
          <w:rtl/>
        </w:rPr>
        <w:t xml:space="preserve"> גוים יחשיבו קולו.</w:t>
      </w:r>
    </w:p>
  </w:footnote>
  <w:footnote w:id="1315">
    <w:p w14:paraId="51692FFD" w14:textId="77777777" w:rsidR="0013116F" w:rsidRDefault="0013116F" w:rsidP="007D4DBE">
      <w:pPr>
        <w:pStyle w:val="a9"/>
        <w:rPr>
          <w:rtl/>
        </w:rPr>
      </w:pPr>
      <w:r>
        <w:rPr>
          <w:rStyle w:val="ab"/>
        </w:rPr>
        <w:footnoteRef/>
      </w:r>
      <w:r>
        <w:rPr>
          <w:rtl/>
        </w:rPr>
        <w:t xml:space="preserve"> </w:t>
      </w:r>
      <w:r w:rsidRPr="002F464A">
        <w:rPr>
          <w:rFonts w:cs="Arial"/>
          <w:rtl/>
        </w:rPr>
        <w:t>ונמצא שהפסידו שלא כדין</w:t>
      </w:r>
      <w:r>
        <w:rPr>
          <w:rFonts w:cs="Arial" w:hint="cs"/>
          <w:rtl/>
        </w:rPr>
        <w:t>, רש"י</w:t>
      </w:r>
      <w:r w:rsidRPr="002F464A">
        <w:rPr>
          <w:rFonts w:cs="Arial"/>
          <w:rtl/>
        </w:rPr>
        <w:t>.</w:t>
      </w:r>
    </w:p>
  </w:footnote>
  <w:footnote w:id="1316">
    <w:p w14:paraId="4B62D194" w14:textId="77777777" w:rsidR="0013116F" w:rsidRDefault="0013116F" w:rsidP="007D4DBE">
      <w:pPr>
        <w:pStyle w:val="a9"/>
        <w:rPr>
          <w:rtl/>
        </w:rPr>
      </w:pPr>
      <w:r>
        <w:rPr>
          <w:rStyle w:val="ab"/>
        </w:rPr>
        <w:footnoteRef/>
      </w:r>
      <w:r>
        <w:rPr>
          <w:rtl/>
        </w:rPr>
        <w:t xml:space="preserve"> </w:t>
      </w:r>
      <w:r w:rsidRPr="002F464A">
        <w:rPr>
          <w:rFonts w:cs="Arial"/>
          <w:rtl/>
        </w:rPr>
        <w:t>בני כפר שאין יודעין לדון במשפט</w:t>
      </w:r>
      <w:r>
        <w:rPr>
          <w:rFonts w:cs="Arial" w:hint="cs"/>
          <w:rtl/>
        </w:rPr>
        <w:t>, רש"י</w:t>
      </w:r>
      <w:r w:rsidRPr="002F464A">
        <w:rPr>
          <w:rFonts w:cs="Arial"/>
          <w:rtl/>
        </w:rPr>
        <w:t>.</w:t>
      </w:r>
    </w:p>
  </w:footnote>
  <w:footnote w:id="1317">
    <w:p w14:paraId="290EFE59" w14:textId="77777777" w:rsidR="0013116F" w:rsidRDefault="0013116F" w:rsidP="007D4DBE">
      <w:pPr>
        <w:pStyle w:val="a9"/>
      </w:pPr>
      <w:r>
        <w:rPr>
          <w:rStyle w:val="ab"/>
        </w:rPr>
        <w:footnoteRef/>
      </w:r>
      <w:r>
        <w:rPr>
          <w:rtl/>
        </w:rPr>
        <w:t xml:space="preserve"> </w:t>
      </w:r>
      <w:r w:rsidRPr="002F464A">
        <w:rPr>
          <w:rFonts w:cs="Arial"/>
          <w:rtl/>
        </w:rPr>
        <w:t>על פי עד אחד אין מוציאין ממון אבל מחייבין בעל דין שבועה להכחיש העד כדין תורה</w:t>
      </w:r>
      <w:r>
        <w:rPr>
          <w:rFonts w:cs="Arial" w:hint="cs"/>
          <w:rtl/>
        </w:rPr>
        <w:t>,</w:t>
      </w:r>
      <w:r w:rsidRPr="002F464A">
        <w:rPr>
          <w:rFonts w:cs="Arial"/>
          <w:rtl/>
        </w:rPr>
        <w:t xml:space="preserve"> לשון אחר</w:t>
      </w:r>
      <w:r>
        <w:rPr>
          <w:rFonts w:cs="Arial" w:hint="cs"/>
          <w:rtl/>
        </w:rPr>
        <w:t>,</w:t>
      </w:r>
      <w:r w:rsidRPr="002F464A">
        <w:rPr>
          <w:rFonts w:cs="Arial"/>
          <w:rtl/>
        </w:rPr>
        <w:t xml:space="preserve"> דמגוזתא </w:t>
      </w:r>
      <w:r>
        <w:rPr>
          <w:rFonts w:cs="Arial" w:hint="cs"/>
          <w:rtl/>
        </w:rPr>
        <w:t xml:space="preserve">- </w:t>
      </w:r>
      <w:r w:rsidRPr="002F464A">
        <w:rPr>
          <w:rFonts w:cs="Arial"/>
          <w:rtl/>
        </w:rPr>
        <w:t>אנסין בחזקה</w:t>
      </w:r>
      <w:r>
        <w:rPr>
          <w:rFonts w:cs="Arial" w:hint="cs"/>
          <w:rtl/>
        </w:rPr>
        <w:t>,</w:t>
      </w:r>
      <w:r w:rsidRPr="002F464A">
        <w:rPr>
          <w:rFonts w:cs="Arial"/>
          <w:rtl/>
        </w:rPr>
        <w:t xml:space="preserve"> כמו אתו גוזאי וקא מחו ליה (מגילה כח)</w:t>
      </w:r>
      <w:r>
        <w:rPr>
          <w:rFonts w:cs="Arial" w:hint="cs"/>
          <w:rtl/>
        </w:rPr>
        <w:t>,</w:t>
      </w:r>
      <w:r w:rsidRPr="002F464A">
        <w:rPr>
          <w:rFonts w:cs="Arial"/>
          <w:rtl/>
        </w:rPr>
        <w:t xml:space="preserve"> סריסים (של בית רבי) העומדין לרדות בחזקה</w:t>
      </w:r>
      <w:r>
        <w:rPr>
          <w:rFonts w:cs="Arial" w:hint="cs"/>
          <w:rtl/>
        </w:rPr>
        <w:t>, רש"י</w:t>
      </w:r>
      <w:r w:rsidRPr="002F464A">
        <w:rPr>
          <w:rFonts w:cs="Arial"/>
          <w:rtl/>
        </w:rPr>
        <w:t>.</w:t>
      </w:r>
    </w:p>
  </w:footnote>
  <w:footnote w:id="1318">
    <w:p w14:paraId="3F405F2B" w14:textId="77777777" w:rsidR="0013116F" w:rsidRDefault="0013116F">
      <w:pPr>
        <w:pStyle w:val="a9"/>
      </w:pPr>
      <w:r>
        <w:rPr>
          <w:rStyle w:val="ab"/>
        </w:rPr>
        <w:footnoteRef/>
      </w:r>
      <w:r>
        <w:rPr>
          <w:rtl/>
        </w:rPr>
        <w:t xml:space="preserve"> </w:t>
      </w:r>
      <w:r w:rsidRPr="00627720">
        <w:rPr>
          <w:rFonts w:cs="Arial"/>
          <w:rtl/>
        </w:rPr>
        <w:t>בעל התרומות [שם] בשם רב שרירא ז"ל</w:t>
      </w:r>
      <w:r>
        <w:rPr>
          <w:rFonts w:cs="Arial" w:hint="cs"/>
          <w:rtl/>
        </w:rPr>
        <w:t xml:space="preserve"> מיירי ב</w:t>
      </w:r>
      <w:r w:rsidRPr="00627720">
        <w:rPr>
          <w:rFonts w:cs="Arial"/>
          <w:rtl/>
        </w:rPr>
        <w:t>מקום בי דואר של גוים שאינו לוקח שוחד</w:t>
      </w:r>
      <w:r>
        <w:rPr>
          <w:rFonts w:cs="Arial" w:hint="cs"/>
          <w:rtl/>
        </w:rPr>
        <w:t>,</w:t>
      </w:r>
      <w:r w:rsidRPr="00627720">
        <w:rPr>
          <w:rFonts w:cs="Arial"/>
          <w:rtl/>
        </w:rPr>
        <w:t xml:space="preserve"> וצ"ע למה סתם מור"ם כאן בהג"ה ולא כתב שבעינן שלא יהא לוקח שוחד</w:t>
      </w:r>
      <w:r>
        <w:rPr>
          <w:rFonts w:cs="Arial" w:hint="cs"/>
          <w:rtl/>
        </w:rPr>
        <w:t>, ע"פ סמ"ע (סק"ט).</w:t>
      </w:r>
      <w:r>
        <w:rPr>
          <w:rFonts w:hint="cs"/>
          <w:rtl/>
        </w:rPr>
        <w:t xml:space="preserve"> ותירץ בהג"ה בש"ך (סק"ד)</w:t>
      </w:r>
      <w:r w:rsidRPr="00627720">
        <w:rPr>
          <w:rFonts w:cs="Arial"/>
          <w:rtl/>
        </w:rPr>
        <w:t xml:space="preserve"> דודאי גם רב שרירא ס"ל אפילו בלוקח שוחד אם הגוי מקבל העדות מעידין לפניו, רק שכתב אם אינו לוקח שוחד, כלומר דאילו לוקח שוחד לא יקבל עדותן ולא יעשו עדותן פירות. ובאמת אם מקבל עדות אין חילוק אם הוא בעל שוחד או לא כיון שהמה יודעין באמת שהוא חייב, והלכך לא כתב מור"ם דבעינן שלא יקבל שוחד ובזה נסתלקה תמיהת הסמ"ע [סק"ט]</w:t>
      </w:r>
      <w:r>
        <w:rPr>
          <w:rFonts w:cs="Arial" w:hint="cs"/>
          <w:rtl/>
        </w:rPr>
        <w:t>.</w:t>
      </w:r>
    </w:p>
  </w:footnote>
  <w:footnote w:id="1319">
    <w:p w14:paraId="238FCF5C" w14:textId="77777777" w:rsidR="0013116F" w:rsidRDefault="0013116F">
      <w:pPr>
        <w:pStyle w:val="a9"/>
        <w:rPr>
          <w:rtl/>
        </w:rPr>
      </w:pPr>
      <w:r>
        <w:rPr>
          <w:rStyle w:val="ab"/>
        </w:rPr>
        <w:footnoteRef/>
      </w:r>
      <w:r>
        <w:rPr>
          <w:rtl/>
        </w:rPr>
        <w:t xml:space="preserve"> </w:t>
      </w:r>
      <w:r>
        <w:rPr>
          <w:rFonts w:cs="Arial" w:hint="cs"/>
          <w:rtl/>
        </w:rPr>
        <w:t>וכתב הטור ע"פ דברים אלו ש</w:t>
      </w:r>
      <w:r w:rsidRPr="00555915">
        <w:rPr>
          <w:rFonts w:cs="Arial"/>
          <w:rtl/>
        </w:rPr>
        <w:t xml:space="preserve">בעל התרומות </w:t>
      </w:r>
      <w:r>
        <w:rPr>
          <w:rFonts w:cs="Arial" w:hint="cs"/>
          <w:rtl/>
        </w:rPr>
        <w:t>סובר ש</w:t>
      </w:r>
      <w:r w:rsidRPr="00555915">
        <w:rPr>
          <w:rFonts w:cs="Arial"/>
          <w:rtl/>
        </w:rPr>
        <w:t>לוה שחייב עצמו בקנין בכך וכך לילך עם המלוה לדון בדייני עכו"ם אם יש זכות למלוה בכך שיכול לזכות בדיניהם ולא בדיני ישראל אין הלוה יכול לחזור בו שאין מועיל אחר קנין כלום</w:t>
      </w:r>
      <w:r>
        <w:rPr>
          <w:rFonts w:cs="Arial" w:hint="cs"/>
          <w:rtl/>
        </w:rPr>
        <w:t>,</w:t>
      </w:r>
      <w:r w:rsidRPr="00555915">
        <w:rPr>
          <w:rFonts w:cs="Arial"/>
          <w:rtl/>
        </w:rPr>
        <w:t xml:space="preserve"> וה"ז כמקבל עליו עדות עכו"ם בקנין שאינו יכול לחזור בו</w:t>
      </w:r>
      <w:r>
        <w:rPr>
          <w:rFonts w:cs="Arial" w:hint="cs"/>
          <w:rtl/>
        </w:rPr>
        <w:t xml:space="preserve">. עכ"ל הטור. וכתב הב"י על דבריו- </w:t>
      </w:r>
      <w:r>
        <w:rPr>
          <w:rFonts w:cs="Arial"/>
          <w:rtl/>
        </w:rPr>
        <w:t xml:space="preserve">ונראה שרבינו מפרש מה שכתב </w:t>
      </w:r>
      <w:r>
        <w:rPr>
          <w:rFonts w:cs="Arial" w:hint="cs"/>
          <w:sz w:val="16"/>
          <w:szCs w:val="16"/>
          <w:rtl/>
        </w:rPr>
        <w:t>{בעל התרומות}</w:t>
      </w:r>
      <w:r>
        <w:rPr>
          <w:rFonts w:cs="Arial"/>
          <w:rtl/>
        </w:rPr>
        <w:t xml:space="preserve"> </w:t>
      </w:r>
      <w:r>
        <w:rPr>
          <w:rFonts w:cs="Arial" w:hint="cs"/>
          <w:rtl/>
        </w:rPr>
        <w:t>'</w:t>
      </w:r>
      <w:r>
        <w:rPr>
          <w:rFonts w:cs="Arial"/>
          <w:rtl/>
        </w:rPr>
        <w:t>אבל אי מקבל עילוייה סהדותא דגוים וקנו מיניה</w:t>
      </w:r>
      <w:r>
        <w:rPr>
          <w:rFonts w:cs="Arial" w:hint="cs"/>
          <w:rtl/>
        </w:rPr>
        <w:t xml:space="preserve"> וכו'...</w:t>
      </w:r>
      <w:r>
        <w:rPr>
          <w:rFonts w:cs="Arial"/>
          <w:rtl/>
        </w:rPr>
        <w:t>' דהיינו לומר דמקבל עליו דיני גוים הוי כמקבל סהדותא דגוים דבין בזה ובין בזה אם קנו מידו אין לאחר קנין כלום</w:t>
      </w:r>
      <w:r>
        <w:rPr>
          <w:rFonts w:cs="Arial" w:hint="cs"/>
          <w:rtl/>
        </w:rPr>
        <w:t>.</w:t>
      </w:r>
      <w:r>
        <w:rPr>
          <w:rFonts w:cs="Arial"/>
          <w:rtl/>
        </w:rPr>
        <w:t xml:space="preserve"> ואינו מוכרח. ומ</w:t>
      </w:r>
      <w:r>
        <w:rPr>
          <w:rFonts w:cs="Arial" w:hint="cs"/>
          <w:rtl/>
        </w:rPr>
        <w:t>"</w:t>
      </w:r>
      <w:r>
        <w:rPr>
          <w:rFonts w:cs="Arial"/>
          <w:rtl/>
        </w:rPr>
        <w:t xml:space="preserve">מ מה שכתב </w:t>
      </w:r>
      <w:r>
        <w:rPr>
          <w:rFonts w:cs="Arial" w:hint="cs"/>
          <w:sz w:val="16"/>
          <w:szCs w:val="16"/>
          <w:rtl/>
        </w:rPr>
        <w:t xml:space="preserve">{בעל התרומות} </w:t>
      </w:r>
      <w:r>
        <w:rPr>
          <w:rFonts w:cs="Arial"/>
          <w:rtl/>
        </w:rPr>
        <w:t>שאין ב</w:t>
      </w:r>
      <w:r>
        <w:rPr>
          <w:rFonts w:cs="Arial" w:hint="cs"/>
          <w:rtl/>
        </w:rPr>
        <w:t>"</w:t>
      </w:r>
      <w:r>
        <w:rPr>
          <w:rFonts w:cs="Arial"/>
          <w:rtl/>
        </w:rPr>
        <w:t>ד מוציאין ממנו מה שקבל עליו לתת לצדקה אם לא ילך לדון עמו לפני גוים גם מה שפירש במתניתין דחומר בנדרים לא משמע לי האי פירושא בפשטא דמתניתין</w:t>
      </w:r>
      <w:r>
        <w:rPr>
          <w:rFonts w:cs="Arial" w:hint="cs"/>
          <w:rtl/>
        </w:rPr>
        <w:t xml:space="preserve">. </w:t>
      </w:r>
      <w:r w:rsidRPr="00B75297">
        <w:rPr>
          <w:rFonts w:cs="Arial" w:hint="cs"/>
          <w:color w:val="E36C0A" w:themeColor="accent6" w:themeShade="BF"/>
          <w:sz w:val="16"/>
          <w:szCs w:val="16"/>
          <w:rtl/>
        </w:rPr>
        <w:t>(וכ"ס בשו"ע)</w:t>
      </w:r>
    </w:p>
  </w:footnote>
  <w:footnote w:id="1320">
    <w:p w14:paraId="5F12D4FC" w14:textId="77777777" w:rsidR="0013116F" w:rsidRDefault="0013116F" w:rsidP="00865312">
      <w:pPr>
        <w:pStyle w:val="a9"/>
      </w:pPr>
      <w:r>
        <w:rPr>
          <w:rStyle w:val="ab"/>
        </w:rPr>
        <w:footnoteRef/>
      </w:r>
      <w:r>
        <w:rPr>
          <w:rtl/>
        </w:rPr>
        <w:t xml:space="preserve"> </w:t>
      </w:r>
      <w:r>
        <w:rPr>
          <w:rFonts w:cs="Arial"/>
          <w:rtl/>
        </w:rPr>
        <w:t>לא מצאתיו בספר התרומות ולכן נראה שדברי רבינו הם שלמד מדברי בעל התרומות</w:t>
      </w:r>
      <w:r>
        <w:rPr>
          <w:rFonts w:cs="Arial" w:hint="cs"/>
          <w:rtl/>
        </w:rPr>
        <w:t>, ב"י.</w:t>
      </w:r>
    </w:p>
  </w:footnote>
  <w:footnote w:id="1321">
    <w:p w14:paraId="7081BC35" w14:textId="77777777" w:rsidR="0013116F" w:rsidRDefault="0013116F">
      <w:pPr>
        <w:pStyle w:val="a9"/>
        <w:rPr>
          <w:rtl/>
        </w:rPr>
      </w:pPr>
      <w:r>
        <w:rPr>
          <w:rStyle w:val="ab"/>
        </w:rPr>
        <w:footnoteRef/>
      </w:r>
      <w:r>
        <w:rPr>
          <w:rtl/>
        </w:rPr>
        <w:t xml:space="preserve"> </w:t>
      </w:r>
      <w:r>
        <w:rPr>
          <w:rFonts w:cs="Arial" w:hint="cs"/>
          <w:rtl/>
        </w:rPr>
        <w:t>ו</w:t>
      </w:r>
      <w:r>
        <w:rPr>
          <w:rFonts w:cs="Arial"/>
          <w:rtl/>
        </w:rPr>
        <w:t>לא יקשה על מה שכתב אין הלוה יכול לחזור בו שאין מועיל אחר קנין כלום דהתם כיון שיכול לזכות בדיניהם ולא בדיני ישראל כשהוא נוטל קנין הוי ליה כמשעבד נכסיו לפרוע אותו זכות שזוכה בדיניהם ולפיכך מועיל הקנין אבל הכא שיכול לכופו בדיני ישראל כמו בדיני גוים נמצא שהקנין אינו מעלה ולא מוריד לענין ממון אלא לענין שמחייב עצמו לילך לפני דייני גוים ואין זה אלא קנין דברים ואינו כלום</w:t>
      </w:r>
      <w:r>
        <w:rPr>
          <w:rFonts w:hint="cs"/>
          <w:rtl/>
        </w:rPr>
        <w:t>, ב"י.</w:t>
      </w:r>
    </w:p>
  </w:footnote>
  <w:footnote w:id="1322">
    <w:p w14:paraId="3C1E3657" w14:textId="77777777" w:rsidR="0013116F" w:rsidRDefault="0013116F">
      <w:pPr>
        <w:pStyle w:val="a9"/>
        <w:rPr>
          <w:rtl/>
        </w:rPr>
      </w:pPr>
      <w:r>
        <w:rPr>
          <w:rStyle w:val="ab"/>
        </w:rPr>
        <w:footnoteRef/>
      </w:r>
      <w:r>
        <w:rPr>
          <w:rtl/>
        </w:rPr>
        <w:t xml:space="preserve"> </w:t>
      </w:r>
      <w:r w:rsidRPr="00865312">
        <w:rPr>
          <w:rFonts w:cs="Arial"/>
          <w:rtl/>
        </w:rPr>
        <w:t xml:space="preserve">רא"ש </w:t>
      </w:r>
      <w:r w:rsidRPr="00865312">
        <w:rPr>
          <w:rFonts w:cs="Arial" w:hint="cs"/>
          <w:sz w:val="16"/>
          <w:szCs w:val="16"/>
          <w:rtl/>
        </w:rPr>
        <w:t>(</w:t>
      </w:r>
      <w:r w:rsidRPr="00865312">
        <w:rPr>
          <w:rFonts w:cs="Arial"/>
          <w:sz w:val="16"/>
          <w:szCs w:val="16"/>
          <w:rtl/>
        </w:rPr>
        <w:t>כלל יח סי</w:t>
      </w:r>
      <w:r w:rsidRPr="00865312">
        <w:rPr>
          <w:rFonts w:cs="Arial" w:hint="cs"/>
          <w:sz w:val="16"/>
          <w:szCs w:val="16"/>
          <w:rtl/>
        </w:rPr>
        <w:t>'</w:t>
      </w:r>
      <w:r w:rsidRPr="00865312">
        <w:rPr>
          <w:rFonts w:cs="Arial"/>
          <w:sz w:val="16"/>
          <w:szCs w:val="16"/>
          <w:rtl/>
        </w:rPr>
        <w:t xml:space="preserve"> ד</w:t>
      </w:r>
      <w:r w:rsidRPr="00865312">
        <w:rPr>
          <w:rFonts w:cs="Arial" w:hint="cs"/>
          <w:sz w:val="16"/>
          <w:szCs w:val="16"/>
          <w:rtl/>
        </w:rPr>
        <w:t>,</w:t>
      </w:r>
      <w:r w:rsidRPr="00865312">
        <w:rPr>
          <w:rFonts w:cs="Arial"/>
          <w:sz w:val="16"/>
          <w:szCs w:val="16"/>
          <w:rtl/>
        </w:rPr>
        <w:t xml:space="preserve"> </w:t>
      </w:r>
      <w:r w:rsidRPr="00865312">
        <w:rPr>
          <w:rFonts w:cs="Arial" w:hint="cs"/>
          <w:sz w:val="16"/>
          <w:szCs w:val="16"/>
          <w:rtl/>
        </w:rPr>
        <w:t>וב</w:t>
      </w:r>
      <w:r w:rsidRPr="00865312">
        <w:rPr>
          <w:rFonts w:cs="Arial"/>
          <w:sz w:val="16"/>
          <w:szCs w:val="16"/>
          <w:rtl/>
        </w:rPr>
        <w:t>כלל סח סי</w:t>
      </w:r>
      <w:r w:rsidRPr="00865312">
        <w:rPr>
          <w:rFonts w:cs="Arial" w:hint="cs"/>
          <w:sz w:val="16"/>
          <w:szCs w:val="16"/>
          <w:rtl/>
        </w:rPr>
        <w:t>'</w:t>
      </w:r>
      <w:r w:rsidRPr="00865312">
        <w:rPr>
          <w:rFonts w:cs="Arial"/>
          <w:sz w:val="16"/>
          <w:szCs w:val="16"/>
          <w:rtl/>
        </w:rPr>
        <w:t xml:space="preserve"> יג</w:t>
      </w:r>
      <w:r w:rsidRPr="00865312">
        <w:rPr>
          <w:rFonts w:cs="Arial" w:hint="cs"/>
          <w:sz w:val="16"/>
          <w:szCs w:val="16"/>
          <w:rtl/>
        </w:rPr>
        <w:t>,</w:t>
      </w:r>
      <w:r w:rsidRPr="00865312">
        <w:rPr>
          <w:rFonts w:cs="Arial"/>
          <w:sz w:val="16"/>
          <w:szCs w:val="16"/>
          <w:rtl/>
        </w:rPr>
        <w:t xml:space="preserve"> </w:t>
      </w:r>
      <w:r>
        <w:rPr>
          <w:rFonts w:cs="Arial" w:hint="cs"/>
          <w:sz w:val="16"/>
          <w:szCs w:val="16"/>
          <w:rtl/>
        </w:rPr>
        <w:t>הביאו</w:t>
      </w:r>
      <w:r w:rsidRPr="00865312">
        <w:rPr>
          <w:rFonts w:cs="Arial"/>
          <w:sz w:val="16"/>
          <w:szCs w:val="16"/>
          <w:rtl/>
        </w:rPr>
        <w:t xml:space="preserve"> </w:t>
      </w:r>
      <w:r w:rsidRPr="00865312">
        <w:rPr>
          <w:rFonts w:cs="Arial" w:hint="cs"/>
          <w:sz w:val="16"/>
          <w:szCs w:val="16"/>
          <w:rtl/>
        </w:rPr>
        <w:t>הטור</w:t>
      </w:r>
      <w:r w:rsidRPr="00865312">
        <w:rPr>
          <w:rFonts w:cs="Arial"/>
          <w:sz w:val="16"/>
          <w:szCs w:val="16"/>
          <w:rtl/>
        </w:rPr>
        <w:t xml:space="preserve"> </w:t>
      </w:r>
      <w:r>
        <w:rPr>
          <w:rFonts w:cs="Arial" w:hint="cs"/>
          <w:sz w:val="16"/>
          <w:szCs w:val="16"/>
          <w:rtl/>
        </w:rPr>
        <w:t>כאן ו</w:t>
      </w:r>
      <w:r w:rsidRPr="00865312">
        <w:rPr>
          <w:rFonts w:cs="Arial"/>
          <w:sz w:val="16"/>
          <w:szCs w:val="16"/>
          <w:rtl/>
        </w:rPr>
        <w:t>בסי</w:t>
      </w:r>
      <w:r w:rsidRPr="00865312">
        <w:rPr>
          <w:rFonts w:cs="Arial" w:hint="cs"/>
          <w:sz w:val="16"/>
          <w:szCs w:val="16"/>
          <w:rtl/>
        </w:rPr>
        <w:t>'</w:t>
      </w:r>
      <w:r w:rsidRPr="00865312">
        <w:rPr>
          <w:rFonts w:cs="Arial"/>
          <w:sz w:val="16"/>
          <w:szCs w:val="16"/>
          <w:rtl/>
        </w:rPr>
        <w:t xml:space="preserve"> סא סע' ט-יד)</w:t>
      </w:r>
      <w:r w:rsidRPr="00865312">
        <w:rPr>
          <w:rFonts w:cs="Arial" w:hint="cs"/>
          <w:rtl/>
        </w:rPr>
        <w:t xml:space="preserve"> </w:t>
      </w:r>
      <w:r>
        <w:rPr>
          <w:rFonts w:cs="Arial" w:hint="cs"/>
          <w:rtl/>
        </w:rPr>
        <w:t xml:space="preserve">טור </w:t>
      </w:r>
      <w:r w:rsidRPr="00865312">
        <w:rPr>
          <w:rFonts w:cs="Arial"/>
          <w:rtl/>
        </w:rPr>
        <w:t xml:space="preserve">ר"ן </w:t>
      </w:r>
      <w:r w:rsidRPr="00865312">
        <w:rPr>
          <w:rFonts w:cs="Arial" w:hint="cs"/>
          <w:sz w:val="16"/>
          <w:szCs w:val="16"/>
          <w:rtl/>
        </w:rPr>
        <w:t>(</w:t>
      </w:r>
      <w:r w:rsidRPr="00865312">
        <w:rPr>
          <w:rFonts w:cs="Arial"/>
          <w:sz w:val="16"/>
          <w:szCs w:val="16"/>
          <w:rtl/>
        </w:rPr>
        <w:t>בתשובה סי</w:t>
      </w:r>
      <w:r w:rsidRPr="00865312">
        <w:rPr>
          <w:rFonts w:cs="Arial" w:hint="cs"/>
          <w:sz w:val="16"/>
          <w:szCs w:val="16"/>
          <w:rtl/>
        </w:rPr>
        <w:t xml:space="preserve">' </w:t>
      </w:r>
      <w:r w:rsidRPr="00865312">
        <w:rPr>
          <w:rFonts w:cs="Arial"/>
          <w:sz w:val="16"/>
          <w:szCs w:val="16"/>
          <w:rtl/>
        </w:rPr>
        <w:t>עג</w:t>
      </w:r>
      <w:r w:rsidRPr="00865312">
        <w:rPr>
          <w:rFonts w:cs="Arial" w:hint="cs"/>
          <w:sz w:val="16"/>
          <w:szCs w:val="16"/>
          <w:rtl/>
        </w:rPr>
        <w:t>, כ"כ הב"י בשמו)</w:t>
      </w:r>
      <w:r w:rsidRPr="003A121C">
        <w:rPr>
          <w:rFonts w:cs="Arial" w:hint="cs"/>
          <w:rtl/>
        </w:rPr>
        <w:t xml:space="preserve"> </w:t>
      </w:r>
      <w:r>
        <w:rPr>
          <w:rFonts w:cs="Arial" w:hint="cs"/>
          <w:rtl/>
        </w:rPr>
        <w:t xml:space="preserve">ותרוה"ד </w:t>
      </w:r>
      <w:r w:rsidRPr="003A121C">
        <w:rPr>
          <w:rFonts w:cs="Arial"/>
          <w:sz w:val="16"/>
          <w:szCs w:val="16"/>
          <w:rtl/>
        </w:rPr>
        <w:t>(</w:t>
      </w:r>
      <w:r w:rsidRPr="003A121C">
        <w:rPr>
          <w:rFonts w:cs="Arial" w:hint="cs"/>
          <w:sz w:val="16"/>
          <w:szCs w:val="16"/>
          <w:rtl/>
        </w:rPr>
        <w:t xml:space="preserve">סי' דש, הביאו הדרכ"מ אות </w:t>
      </w:r>
      <w:r w:rsidRPr="003A121C">
        <w:rPr>
          <w:rFonts w:cs="Arial"/>
          <w:sz w:val="16"/>
          <w:szCs w:val="16"/>
          <w:rtl/>
        </w:rPr>
        <w:t>ב*)</w:t>
      </w:r>
      <w:r>
        <w:rPr>
          <w:rFonts w:hint="cs"/>
          <w:rtl/>
        </w:rPr>
        <w:t>.</w:t>
      </w:r>
    </w:p>
  </w:footnote>
  <w:footnote w:id="1323">
    <w:p w14:paraId="6E176F76" w14:textId="77777777" w:rsidR="0013116F" w:rsidRDefault="0013116F">
      <w:pPr>
        <w:pStyle w:val="a9"/>
        <w:rPr>
          <w:rtl/>
        </w:rPr>
      </w:pPr>
      <w:r>
        <w:rPr>
          <w:rStyle w:val="ab"/>
        </w:rPr>
        <w:footnoteRef/>
      </w:r>
      <w:r>
        <w:rPr>
          <w:rtl/>
        </w:rPr>
        <w:t xml:space="preserve"> </w:t>
      </w:r>
      <w:r>
        <w:rPr>
          <w:rFonts w:hint="cs"/>
          <w:rtl/>
        </w:rPr>
        <w:t>אחרי שהטור כתב את מה שלמד מדברי בעל התרומות כתב וז"ל-</w:t>
      </w:r>
      <w:r w:rsidRPr="00F24358">
        <w:rPr>
          <w:rtl/>
        </w:rPr>
        <w:t xml:space="preserve"> </w:t>
      </w:r>
      <w:r w:rsidRPr="00F24358">
        <w:rPr>
          <w:rFonts w:cs="Arial"/>
          <w:rtl/>
        </w:rPr>
        <w:t>אבל א"א הרא"ש ז"ל כתב</w:t>
      </w:r>
      <w:r>
        <w:rPr>
          <w:rFonts w:cs="Arial" w:hint="cs"/>
          <w:rtl/>
        </w:rPr>
        <w:t>-...</w:t>
      </w:r>
    </w:p>
  </w:footnote>
  <w:footnote w:id="1324">
    <w:p w14:paraId="141BE321" w14:textId="77777777" w:rsidR="0013116F" w:rsidRDefault="0013116F" w:rsidP="003A121C">
      <w:pPr>
        <w:pStyle w:val="a9"/>
      </w:pPr>
      <w:r>
        <w:rPr>
          <w:rStyle w:val="ab"/>
        </w:rPr>
        <w:footnoteRef/>
      </w:r>
      <w:r>
        <w:rPr>
          <w:rtl/>
        </w:rPr>
        <w:t xml:space="preserve"> </w:t>
      </w:r>
      <w:r>
        <w:rPr>
          <w:rFonts w:cs="Arial" w:hint="cs"/>
          <w:rtl/>
        </w:rPr>
        <w:t>וכתב הב"י ד</w:t>
      </w:r>
      <w:r>
        <w:rPr>
          <w:rFonts w:cs="Arial"/>
          <w:rtl/>
        </w:rPr>
        <w:t>אע</w:t>
      </w:r>
      <w:r>
        <w:rPr>
          <w:rFonts w:cs="Arial" w:hint="cs"/>
          <w:rtl/>
        </w:rPr>
        <w:t>"</w:t>
      </w:r>
      <w:r>
        <w:rPr>
          <w:rFonts w:cs="Arial"/>
          <w:rtl/>
        </w:rPr>
        <w:t xml:space="preserve">פ שלא נזכר בתשובות </w:t>
      </w:r>
      <w:r>
        <w:rPr>
          <w:rFonts w:cs="Arial" w:hint="cs"/>
          <w:rtl/>
        </w:rPr>
        <w:t>הרא"ש ה</w:t>
      </w:r>
      <w:r>
        <w:rPr>
          <w:rFonts w:cs="Arial"/>
          <w:rtl/>
        </w:rPr>
        <w:t xml:space="preserve">אלו שאין בכלל זה שלא ישמט </w:t>
      </w:r>
      <w:r>
        <w:rPr>
          <w:rFonts w:cs="Arial" w:hint="cs"/>
          <w:rtl/>
        </w:rPr>
        <w:t xml:space="preserve">- </w:t>
      </w:r>
      <w:r>
        <w:rPr>
          <w:rFonts w:cs="Arial"/>
          <w:rtl/>
        </w:rPr>
        <w:t>ממילא משמע</w:t>
      </w:r>
      <w:r>
        <w:rPr>
          <w:rFonts w:cs="Arial" w:hint="cs"/>
          <w:rtl/>
        </w:rPr>
        <w:t>.</w:t>
      </w:r>
    </w:p>
  </w:footnote>
  <w:footnote w:id="1325">
    <w:p w14:paraId="0CE513C7" w14:textId="77777777" w:rsidR="0013116F" w:rsidRDefault="0013116F">
      <w:pPr>
        <w:pStyle w:val="a9"/>
      </w:pPr>
      <w:r>
        <w:rPr>
          <w:rStyle w:val="ab"/>
        </w:rPr>
        <w:footnoteRef/>
      </w:r>
      <w:r>
        <w:rPr>
          <w:rtl/>
        </w:rPr>
        <w:t xml:space="preserve"> </w:t>
      </w:r>
      <w:r w:rsidRPr="00B75297">
        <w:rPr>
          <w:rFonts w:cs="Arial"/>
          <w:rtl/>
        </w:rPr>
        <w:t>דוקא לדון קאמר משום דמייקר שם ע"ז וכנ"ל, אבל לעדות מועיל הקבלה לכו"ע וכמ"ש בסי</w:t>
      </w:r>
      <w:r>
        <w:rPr>
          <w:rFonts w:cs="Arial" w:hint="cs"/>
          <w:rtl/>
        </w:rPr>
        <w:t>'</w:t>
      </w:r>
      <w:r w:rsidRPr="00B75297">
        <w:rPr>
          <w:rFonts w:cs="Arial"/>
          <w:rtl/>
        </w:rPr>
        <w:t xml:space="preserve"> כב סע</w:t>
      </w:r>
      <w:r>
        <w:rPr>
          <w:rFonts w:cs="Arial" w:hint="cs"/>
          <w:rtl/>
        </w:rPr>
        <w:t>'</w:t>
      </w:r>
      <w:r w:rsidRPr="00B75297">
        <w:rPr>
          <w:rFonts w:cs="Arial"/>
          <w:rtl/>
        </w:rPr>
        <w:t xml:space="preserve"> ב' [סקט"ו]</w:t>
      </w:r>
      <w:r>
        <w:rPr>
          <w:rFonts w:cs="Arial" w:hint="cs"/>
          <w:rtl/>
        </w:rPr>
        <w:t>, סמ"ע (סק"י).</w:t>
      </w:r>
    </w:p>
  </w:footnote>
  <w:footnote w:id="1326">
    <w:p w14:paraId="4B3461E7" w14:textId="77777777" w:rsidR="0013116F" w:rsidRDefault="0013116F">
      <w:pPr>
        <w:pStyle w:val="a9"/>
        <w:rPr>
          <w:rtl/>
        </w:rPr>
      </w:pPr>
      <w:r>
        <w:rPr>
          <w:rStyle w:val="ab"/>
        </w:rPr>
        <w:footnoteRef/>
      </w:r>
      <w:r>
        <w:rPr>
          <w:rtl/>
        </w:rPr>
        <w:t xml:space="preserve"> </w:t>
      </w:r>
      <w:r>
        <w:rPr>
          <w:rFonts w:cs="Arial" w:hint="cs"/>
          <w:rtl/>
        </w:rPr>
        <w:t xml:space="preserve">הסמ"ע (סקי"א) הבין מדברי </w:t>
      </w:r>
      <w:r w:rsidRPr="003A121C">
        <w:rPr>
          <w:rFonts w:cs="Arial"/>
          <w:rtl/>
        </w:rPr>
        <w:t xml:space="preserve">הרא"ש </w:t>
      </w:r>
      <w:r w:rsidRPr="003019EF">
        <w:rPr>
          <w:rFonts w:cs="Arial" w:hint="cs"/>
          <w:sz w:val="16"/>
          <w:szCs w:val="16"/>
          <w:rtl/>
        </w:rPr>
        <w:t>(</w:t>
      </w:r>
      <w:r w:rsidRPr="003019EF">
        <w:rPr>
          <w:rFonts w:cs="Arial"/>
          <w:sz w:val="16"/>
          <w:szCs w:val="16"/>
          <w:rtl/>
        </w:rPr>
        <w:t>כלל יח סי' ד</w:t>
      </w:r>
      <w:r w:rsidRPr="003019EF">
        <w:rPr>
          <w:rFonts w:cs="Arial" w:hint="cs"/>
          <w:sz w:val="16"/>
          <w:szCs w:val="16"/>
          <w:rtl/>
        </w:rPr>
        <w:t>,</w:t>
      </w:r>
      <w:r w:rsidRPr="003019EF">
        <w:rPr>
          <w:rFonts w:cs="Arial"/>
          <w:sz w:val="16"/>
          <w:szCs w:val="16"/>
          <w:rtl/>
        </w:rPr>
        <w:t xml:space="preserve"> והטור הביאו</w:t>
      </w:r>
      <w:r w:rsidRPr="003019EF">
        <w:rPr>
          <w:rFonts w:cs="Arial" w:hint="cs"/>
          <w:sz w:val="16"/>
          <w:szCs w:val="16"/>
          <w:rtl/>
        </w:rPr>
        <w:t>, וז"ל- ו</w:t>
      </w:r>
      <w:r w:rsidRPr="003019EF">
        <w:rPr>
          <w:rFonts w:cs="Arial"/>
          <w:sz w:val="16"/>
          <w:szCs w:val="16"/>
          <w:rtl/>
        </w:rPr>
        <w:t>אע</w:t>
      </w:r>
      <w:r w:rsidRPr="003019EF">
        <w:rPr>
          <w:rFonts w:cs="Arial" w:hint="cs"/>
          <w:sz w:val="16"/>
          <w:szCs w:val="16"/>
          <w:rtl/>
        </w:rPr>
        <w:t>"</w:t>
      </w:r>
      <w:r w:rsidRPr="003019EF">
        <w:rPr>
          <w:rFonts w:cs="Arial"/>
          <w:sz w:val="16"/>
          <w:szCs w:val="16"/>
          <w:rtl/>
        </w:rPr>
        <w:t>פ שכתב בשטר לדון בדיני האומות, אין בכלל זה שלא ישמט, שאין הכונה בזה אלא שאם הוא אלם ולא ציית דינא דישראל שיכריחוהו בדין האומות, אבל לא שיעבור על ד"ת כו'</w:t>
      </w:r>
      <w:r w:rsidRPr="003019EF">
        <w:rPr>
          <w:rFonts w:cs="Arial" w:hint="cs"/>
          <w:sz w:val="16"/>
          <w:szCs w:val="16"/>
          <w:rtl/>
        </w:rPr>
        <w:t>)</w:t>
      </w:r>
      <w:r w:rsidRPr="003019EF">
        <w:rPr>
          <w:rFonts w:cs="Arial"/>
          <w:sz w:val="16"/>
          <w:szCs w:val="16"/>
          <w:rtl/>
        </w:rPr>
        <w:t xml:space="preserve"> </w:t>
      </w:r>
      <w:r w:rsidRPr="003A121C">
        <w:rPr>
          <w:rFonts w:cs="Arial"/>
          <w:rtl/>
        </w:rPr>
        <w:t xml:space="preserve">דהיינו דוקא כל שכתב סתם שידון בדיני האומות, ומטעם שכתב, דאז אמרינן דלא היתה כונתו לעבור על ד"ת, אבל אם כתב בפירוש בשטר שמתחייב נפשו לדון עכ"פ לפניהם, מודה להרי"ף ובעל התרומות שכתבו שאם אין להמלוה זכות בזה </w:t>
      </w:r>
      <w:r>
        <w:rPr>
          <w:rFonts w:cs="Arial" w:hint="cs"/>
          <w:sz w:val="16"/>
          <w:szCs w:val="16"/>
          <w:rtl/>
        </w:rPr>
        <w:t xml:space="preserve">{בדיני גוים יותר מבדיני ישראל} </w:t>
      </w:r>
      <w:r w:rsidRPr="003A121C">
        <w:rPr>
          <w:rFonts w:cs="Arial"/>
          <w:rtl/>
        </w:rPr>
        <w:t>לא חל ע"ז הקנין דה"ל קנין דברים, אבל אם יש למלוה זכות בזה אין בידו כח לחזור בו, דהקנין חל על נכסיו שנשתעבדו לו על אותו זכות שקיבל עליו לדון לפני דייני גוים</w:t>
      </w:r>
      <w:r>
        <w:rPr>
          <w:rFonts w:cs="Arial" w:hint="cs"/>
          <w:rtl/>
        </w:rPr>
        <w:t>.</w:t>
      </w:r>
      <w:r w:rsidRPr="003A121C">
        <w:rPr>
          <w:rFonts w:cs="Arial"/>
          <w:rtl/>
        </w:rPr>
        <w:t xml:space="preserve"> ו</w:t>
      </w:r>
      <w:r>
        <w:rPr>
          <w:rFonts w:cs="Arial" w:hint="cs"/>
          <w:rtl/>
        </w:rPr>
        <w:t>כתב עוד ש</w:t>
      </w:r>
      <w:r w:rsidRPr="003A121C">
        <w:rPr>
          <w:rFonts w:cs="Arial"/>
          <w:rtl/>
        </w:rPr>
        <w:t>לא מצ</w:t>
      </w:r>
      <w:r>
        <w:rPr>
          <w:rFonts w:cs="Arial" w:hint="cs"/>
          <w:rtl/>
        </w:rPr>
        <w:t>א</w:t>
      </w:r>
      <w:r w:rsidRPr="003A121C">
        <w:rPr>
          <w:rFonts w:cs="Arial"/>
          <w:rtl/>
        </w:rPr>
        <w:t xml:space="preserve"> מי שחולק ע"ז</w:t>
      </w:r>
      <w:r>
        <w:rPr>
          <w:rFonts w:cs="Arial" w:hint="cs"/>
          <w:rtl/>
        </w:rPr>
        <w:t xml:space="preserve">. ופירש כן את דעת </w:t>
      </w:r>
      <w:r w:rsidRPr="003A121C">
        <w:rPr>
          <w:rFonts w:cs="Arial"/>
          <w:rtl/>
        </w:rPr>
        <w:t xml:space="preserve">הר"ן </w:t>
      </w:r>
      <w:r>
        <w:rPr>
          <w:rFonts w:cs="Arial" w:hint="cs"/>
          <w:rtl/>
        </w:rPr>
        <w:t>(</w:t>
      </w:r>
      <w:r w:rsidRPr="003A121C">
        <w:rPr>
          <w:rFonts w:cs="Arial"/>
          <w:rtl/>
        </w:rPr>
        <w:t>בתשובה סי' עג</w:t>
      </w:r>
      <w:r>
        <w:rPr>
          <w:rFonts w:cs="Arial" w:hint="cs"/>
          <w:rtl/>
        </w:rPr>
        <w:t>)</w:t>
      </w:r>
      <w:r w:rsidRPr="003A121C">
        <w:rPr>
          <w:rFonts w:cs="Arial"/>
          <w:rtl/>
        </w:rPr>
        <w:t xml:space="preserve"> </w:t>
      </w:r>
      <w:r>
        <w:rPr>
          <w:rFonts w:cs="Arial" w:hint="cs"/>
          <w:rtl/>
        </w:rPr>
        <w:t xml:space="preserve">אע"פ שלכאורה נראה מדבריו להיפך. </w:t>
      </w:r>
      <w:r w:rsidRPr="003A121C">
        <w:rPr>
          <w:rFonts w:cs="Arial"/>
          <w:rtl/>
        </w:rPr>
        <w:t>ו</w:t>
      </w:r>
      <w:r>
        <w:rPr>
          <w:rFonts w:cs="Arial" w:hint="cs"/>
          <w:rtl/>
        </w:rPr>
        <w:t>לכן ה</w:t>
      </w:r>
      <w:r w:rsidRPr="003A121C">
        <w:rPr>
          <w:rFonts w:cs="Arial"/>
          <w:rtl/>
        </w:rPr>
        <w:t xml:space="preserve">קשה על המחבר שסתם וכתב כאן </w:t>
      </w:r>
      <w:r>
        <w:rPr>
          <w:rFonts w:cs="Arial" w:hint="cs"/>
          <w:rtl/>
        </w:rPr>
        <w:t>(</w:t>
      </w:r>
      <w:r w:rsidRPr="003A121C">
        <w:rPr>
          <w:rFonts w:cs="Arial"/>
          <w:rtl/>
        </w:rPr>
        <w:t>ולעיל בסי</w:t>
      </w:r>
      <w:r>
        <w:rPr>
          <w:rFonts w:cs="Arial" w:hint="cs"/>
          <w:rtl/>
        </w:rPr>
        <w:t>'</w:t>
      </w:r>
      <w:r w:rsidRPr="003A121C">
        <w:rPr>
          <w:rFonts w:cs="Arial"/>
          <w:rtl/>
        </w:rPr>
        <w:t xml:space="preserve"> כב סע</w:t>
      </w:r>
      <w:r>
        <w:rPr>
          <w:rFonts w:cs="Arial" w:hint="cs"/>
          <w:rtl/>
        </w:rPr>
        <w:t>'</w:t>
      </w:r>
      <w:r w:rsidRPr="003A121C">
        <w:rPr>
          <w:rFonts w:cs="Arial"/>
          <w:rtl/>
        </w:rPr>
        <w:t xml:space="preserve"> ב</w:t>
      </w:r>
      <w:r>
        <w:rPr>
          <w:rFonts w:cs="Arial" w:hint="cs"/>
          <w:rtl/>
        </w:rPr>
        <w:t>)</w:t>
      </w:r>
      <w:r w:rsidRPr="003A121C">
        <w:rPr>
          <w:rFonts w:cs="Arial"/>
          <w:rtl/>
        </w:rPr>
        <w:t>, ולא חילק לכתוב דביש לו זכות צריך לקיים קנינו, וצ"ע. ו</w:t>
      </w:r>
      <w:r>
        <w:rPr>
          <w:rFonts w:cs="Arial" w:hint="cs"/>
          <w:rtl/>
        </w:rPr>
        <w:t xml:space="preserve">כתב לעיין מה שכתב </w:t>
      </w:r>
      <w:r w:rsidRPr="003A121C">
        <w:rPr>
          <w:rFonts w:cs="Arial"/>
          <w:rtl/>
        </w:rPr>
        <w:t>לקמן סימן ס"א סקי"ד</w:t>
      </w:r>
      <w:r>
        <w:rPr>
          <w:rFonts w:hint="cs"/>
          <w:rtl/>
        </w:rPr>
        <w:t xml:space="preserve"> </w:t>
      </w:r>
      <w:r w:rsidRPr="00047DA5">
        <w:rPr>
          <w:rFonts w:hint="cs"/>
          <w:sz w:val="16"/>
          <w:szCs w:val="16"/>
          <w:rtl/>
        </w:rPr>
        <w:t xml:space="preserve">(שם בסי' סא הביא ראיה למה שכתב כאן וסיכם את הנאמר כאן וז"ל- </w:t>
      </w:r>
      <w:r w:rsidRPr="00047DA5">
        <w:rPr>
          <w:rFonts w:cs="Arial"/>
          <w:sz w:val="16"/>
          <w:szCs w:val="16"/>
          <w:rtl/>
        </w:rPr>
        <w:t>דאם כתב בפירוש שידון עמו בדין גוים מפני הזכות שיש לו בדיניהן יותר מבדין ישראל, צריך לדון עמו בדייני גוים אף במקום שיש דייני ישראל שיכולין לדונו ולהוציאו מידו, והיינו דוקא במקום שיש איסור לדייני ישראל לדון בדיני גוים כגון להוציא מידו ממון שעבר עליו השמיטה וכיוצא בו, אבל במקום שאין איסור, ידונו דייני ישראל באותו זכות שיש לו לפני דייני גוים מאחר שקיבל עליו וחייב נפשו בזה, ועל דרך שכתב מור"ם בהג"ה לקמן סוף סימן שס"ט</w:t>
      </w:r>
      <w:r>
        <w:rPr>
          <w:rFonts w:cs="Arial" w:hint="cs"/>
          <w:sz w:val="16"/>
          <w:szCs w:val="16"/>
          <w:rtl/>
        </w:rPr>
        <w:t>)</w:t>
      </w:r>
      <w:r>
        <w:rPr>
          <w:rFonts w:hint="cs"/>
          <w:rtl/>
        </w:rPr>
        <w:t xml:space="preserve">. אך הט"ז (ד"ה לפני הגוים) חלק עליו, וכן דלא משמע כן מדברי הרא"ש והר"ן </w:t>
      </w:r>
      <w:r w:rsidRPr="00047DA5">
        <w:rPr>
          <w:rFonts w:hint="cs"/>
          <w:sz w:val="16"/>
          <w:szCs w:val="16"/>
          <w:rtl/>
        </w:rPr>
        <w:t xml:space="preserve">(דהרי </w:t>
      </w:r>
      <w:r w:rsidRPr="00047DA5">
        <w:rPr>
          <w:rFonts w:cs="Arial"/>
          <w:sz w:val="16"/>
          <w:szCs w:val="16"/>
          <w:rtl/>
        </w:rPr>
        <w:t xml:space="preserve">כתב </w:t>
      </w:r>
      <w:r w:rsidRPr="00047DA5">
        <w:rPr>
          <w:rFonts w:cs="Arial" w:hint="cs"/>
          <w:sz w:val="16"/>
          <w:szCs w:val="16"/>
          <w:rtl/>
        </w:rPr>
        <w:t xml:space="preserve">הרא"ש </w:t>
      </w:r>
      <w:r w:rsidRPr="00047DA5">
        <w:rPr>
          <w:rFonts w:cs="Arial"/>
          <w:sz w:val="16"/>
          <w:szCs w:val="16"/>
          <w:rtl/>
        </w:rPr>
        <w:t>בהדיא בכלל ס"ח דין י"ג וכיוצא בזה דנתי על מה שנהגו לכתוב בשטרות בין בדין ישראל בין בדין אומות, והא דכתב בשטרות בין בדין גוים, נ"ל שלא בא לעבור על ד"ת אלא כגון שהוא אלם כו'</w:t>
      </w:r>
      <w:r w:rsidRPr="00047DA5">
        <w:rPr>
          <w:rFonts w:cs="Arial" w:hint="cs"/>
          <w:sz w:val="16"/>
          <w:szCs w:val="16"/>
          <w:rtl/>
        </w:rPr>
        <w:t>)</w:t>
      </w:r>
      <w:r w:rsidRPr="00047DA5">
        <w:rPr>
          <w:rFonts w:cs="Arial"/>
          <w:sz w:val="16"/>
          <w:szCs w:val="16"/>
          <w:rtl/>
        </w:rPr>
        <w:t xml:space="preserve"> </w:t>
      </w:r>
      <w:r>
        <w:rPr>
          <w:rFonts w:cs="Arial" w:hint="cs"/>
          <w:rtl/>
        </w:rPr>
        <w:t>ו</w:t>
      </w:r>
      <w:r w:rsidRPr="00E01B8A">
        <w:rPr>
          <w:rFonts w:cs="Arial"/>
          <w:rtl/>
        </w:rPr>
        <w:t>מ"ש הרא"ש כאן שאין הכונה כו', לא בא לומר שאם כונתו מפורשת בענין אחר דאזלינן בתר דעתיה כמו שהבין בעל הסמ"ע</w:t>
      </w:r>
      <w:r w:rsidRPr="00047DA5">
        <w:rPr>
          <w:rFonts w:cs="Arial"/>
          <w:sz w:val="16"/>
          <w:szCs w:val="16"/>
          <w:rtl/>
        </w:rPr>
        <w:t xml:space="preserve"> </w:t>
      </w:r>
      <w:r>
        <w:rPr>
          <w:rFonts w:cs="Arial" w:hint="cs"/>
          <w:sz w:val="16"/>
          <w:szCs w:val="16"/>
          <w:rtl/>
        </w:rPr>
        <w:t>(</w:t>
      </w:r>
      <w:r w:rsidRPr="00047DA5">
        <w:rPr>
          <w:rFonts w:cs="Arial"/>
          <w:sz w:val="16"/>
          <w:szCs w:val="16"/>
          <w:rtl/>
        </w:rPr>
        <w:t>דזה ודאי שאין הב"ד מניחין לילך אל גוים, אלא הרא"ש אמר דבלשון שכתב בשטר לדון בדיני גוים, אין בכלל זה שתהיה עבירה בדבר כגון שלא ישמט, וא"כ תקשה לך וכי כולי עלמא רשיעי נינהו שיכתבו לשון שהוא עבירה. לזה תירץ אלא הכונה שאם הוא אלם וכו'</w:t>
      </w:r>
      <w:r w:rsidRPr="00047DA5">
        <w:rPr>
          <w:rFonts w:cs="Arial" w:hint="cs"/>
          <w:sz w:val="16"/>
          <w:szCs w:val="16"/>
          <w:rtl/>
        </w:rPr>
        <w:t>)</w:t>
      </w:r>
      <w:r>
        <w:rPr>
          <w:rFonts w:cs="Arial" w:hint="cs"/>
          <w:rtl/>
        </w:rPr>
        <w:t>,ולכן כתב</w:t>
      </w:r>
      <w:r w:rsidRPr="00E01B8A">
        <w:rPr>
          <w:rFonts w:cs="Arial"/>
          <w:rtl/>
        </w:rPr>
        <w:t xml:space="preserve"> </w:t>
      </w:r>
      <w:r>
        <w:rPr>
          <w:rFonts w:cs="Arial" w:hint="cs"/>
          <w:rtl/>
        </w:rPr>
        <w:t>ש</w:t>
      </w:r>
      <w:r w:rsidRPr="00E01B8A">
        <w:rPr>
          <w:rFonts w:cs="Arial"/>
          <w:rtl/>
        </w:rPr>
        <w:t>צדקו דברי המחבר בזה שלא חילק כאן כמו שעלה על דעת הסמ"ע</w:t>
      </w:r>
      <w:r>
        <w:rPr>
          <w:rFonts w:cs="Arial" w:hint="cs"/>
          <w:rtl/>
        </w:rPr>
        <w:t>. והשאיר</w:t>
      </w:r>
      <w:r w:rsidRPr="00E01B8A">
        <w:rPr>
          <w:rFonts w:cs="Arial"/>
          <w:rtl/>
        </w:rPr>
        <w:t xml:space="preserve"> </w:t>
      </w:r>
      <w:r>
        <w:rPr>
          <w:rFonts w:cs="Arial" w:hint="cs"/>
          <w:rtl/>
        </w:rPr>
        <w:t>ב</w:t>
      </w:r>
      <w:r w:rsidRPr="00E01B8A">
        <w:rPr>
          <w:rFonts w:cs="Arial"/>
          <w:rtl/>
        </w:rPr>
        <w:t>צ"ע. ו</w:t>
      </w:r>
      <w:r>
        <w:rPr>
          <w:rFonts w:cs="Arial" w:hint="cs"/>
          <w:rtl/>
        </w:rPr>
        <w:t xml:space="preserve">כתב </w:t>
      </w:r>
      <w:r w:rsidRPr="00E01B8A">
        <w:rPr>
          <w:rFonts w:cs="Arial"/>
          <w:rtl/>
        </w:rPr>
        <w:t>עוד</w:t>
      </w:r>
      <w:r>
        <w:rPr>
          <w:rFonts w:cs="Arial" w:hint="cs"/>
          <w:rtl/>
        </w:rPr>
        <w:t xml:space="preserve"> </w:t>
      </w:r>
      <w:r w:rsidRPr="00E01B8A">
        <w:rPr>
          <w:rFonts w:cs="Arial"/>
          <w:rtl/>
        </w:rPr>
        <w:t>דאפילו אם רוצה זה שידונו לו ישראל באותו זכות שיש לו בדיני גוים אין שומעין לו, דהוה מתנה על מה שכתוב בתורה</w:t>
      </w:r>
      <w:r>
        <w:rPr>
          <w:rFonts w:cs="Arial" w:hint="cs"/>
          <w:rtl/>
        </w:rPr>
        <w:t>...</w:t>
      </w:r>
    </w:p>
  </w:footnote>
  <w:footnote w:id="1327">
    <w:p w14:paraId="339CC5FE" w14:textId="77777777" w:rsidR="0013116F" w:rsidRDefault="0013116F">
      <w:pPr>
        <w:pStyle w:val="a9"/>
      </w:pPr>
      <w:r>
        <w:rPr>
          <w:rStyle w:val="ab"/>
        </w:rPr>
        <w:footnoteRef/>
      </w:r>
      <w:r>
        <w:rPr>
          <w:rtl/>
        </w:rPr>
        <w:t xml:space="preserve"> </w:t>
      </w:r>
      <w:r w:rsidRPr="003A121C">
        <w:rPr>
          <w:rFonts w:cs="Arial"/>
          <w:rtl/>
        </w:rPr>
        <w:t>שהנדרים חלים בכה"ג, ובקיום המצוה נתחייב ליתן מה שקיבל עליו</w:t>
      </w:r>
      <w:r>
        <w:rPr>
          <w:rFonts w:cs="Arial" w:hint="cs"/>
          <w:rtl/>
        </w:rPr>
        <w:t>, סמ"ע (סקי"ב).</w:t>
      </w:r>
    </w:p>
  </w:footnote>
  <w:footnote w:id="1328">
    <w:p w14:paraId="20646A68" w14:textId="77777777" w:rsidR="0013116F" w:rsidRDefault="0013116F">
      <w:pPr>
        <w:pStyle w:val="a9"/>
      </w:pPr>
      <w:r>
        <w:rPr>
          <w:rStyle w:val="ab"/>
        </w:rPr>
        <w:footnoteRef/>
      </w:r>
      <w:r>
        <w:rPr>
          <w:rtl/>
        </w:rPr>
        <w:t xml:space="preserve"> </w:t>
      </w:r>
      <w:r w:rsidRPr="003A121C">
        <w:rPr>
          <w:rFonts w:cs="Arial"/>
          <w:rtl/>
        </w:rPr>
        <w:t>כ"כ בעל התרומות בשם הרי"ף, והטור [סעיף ה'] הביאו, ולא מצאתי מי שחולק ע"ז שיסבור שהב"ד מוציאין ממנו, וגם בד"מ לא הביא כאן שום דעה שחולקת ע"ז. ואפשר לומר שזה תלוי במה שאמרו [חולין קי</w:t>
      </w:r>
      <w:r>
        <w:rPr>
          <w:rFonts w:cs="Arial" w:hint="cs"/>
          <w:rtl/>
        </w:rPr>
        <w:t>:</w:t>
      </w:r>
      <w:r w:rsidRPr="003A121C">
        <w:rPr>
          <w:rFonts w:cs="Arial"/>
          <w:rtl/>
        </w:rPr>
        <w:t xml:space="preserve">] שכל מצות עשה שמתן שכרה בצדה אין ב"ד מוזהרין עליה, שפירשו הרמב"ן [שו"ת הרשב"א המיוחסות לרמב"ן סי' פח] שאין ב"ד עונשין עליה, אבל אם ירצה הב"ד יכולין להוציא מידו בע"כ, וכמ"ש לקמן בסימן צז </w:t>
      </w:r>
      <w:r>
        <w:rPr>
          <w:rFonts w:cs="Arial" w:hint="cs"/>
          <w:rtl/>
        </w:rPr>
        <w:t>(</w:t>
      </w:r>
      <w:r w:rsidRPr="003A121C">
        <w:rPr>
          <w:rFonts w:cs="Arial"/>
          <w:rtl/>
        </w:rPr>
        <w:t>סע</w:t>
      </w:r>
      <w:r>
        <w:rPr>
          <w:rFonts w:cs="Arial" w:hint="cs"/>
          <w:rtl/>
        </w:rPr>
        <w:t>'</w:t>
      </w:r>
      <w:r w:rsidRPr="003A121C">
        <w:rPr>
          <w:rFonts w:cs="Arial"/>
          <w:rtl/>
        </w:rPr>
        <w:t xml:space="preserve"> טז</w:t>
      </w:r>
      <w:r>
        <w:rPr>
          <w:rFonts w:cs="Arial" w:hint="cs"/>
          <w:rtl/>
        </w:rPr>
        <w:t>)</w:t>
      </w:r>
      <w:r w:rsidRPr="003A121C">
        <w:rPr>
          <w:rFonts w:cs="Arial"/>
          <w:rtl/>
        </w:rPr>
        <w:t xml:space="preserve"> וק"ז </w:t>
      </w:r>
      <w:r>
        <w:rPr>
          <w:rFonts w:cs="Arial" w:hint="cs"/>
          <w:rtl/>
        </w:rPr>
        <w:t>(</w:t>
      </w:r>
      <w:r w:rsidRPr="003A121C">
        <w:rPr>
          <w:rFonts w:cs="Arial"/>
          <w:rtl/>
        </w:rPr>
        <w:t>סע</w:t>
      </w:r>
      <w:r>
        <w:rPr>
          <w:rFonts w:cs="Arial" w:hint="cs"/>
          <w:rtl/>
        </w:rPr>
        <w:t>'</w:t>
      </w:r>
      <w:r w:rsidRPr="003A121C">
        <w:rPr>
          <w:rFonts w:cs="Arial"/>
          <w:rtl/>
        </w:rPr>
        <w:t xml:space="preserve"> א</w:t>
      </w:r>
      <w:r>
        <w:rPr>
          <w:rFonts w:cs="Arial" w:hint="cs"/>
          <w:rtl/>
        </w:rPr>
        <w:t>)</w:t>
      </w:r>
      <w:r w:rsidRPr="003A121C">
        <w:rPr>
          <w:rFonts w:cs="Arial"/>
          <w:rtl/>
        </w:rPr>
        <w:t xml:space="preserve"> וביו"ד ר</w:t>
      </w:r>
      <w:r>
        <w:rPr>
          <w:rFonts w:cs="Arial" w:hint="cs"/>
          <w:rtl/>
        </w:rPr>
        <w:t>"ס</w:t>
      </w:r>
      <w:r w:rsidRPr="003A121C">
        <w:rPr>
          <w:rFonts w:cs="Arial"/>
          <w:rtl/>
        </w:rPr>
        <w:t xml:space="preserve"> רמ ע"ש, וכ"ש בזה שקיבל עליו בתורת נדר. והיותר נראה לומר דדרך המחבר לכתוב כן אף שאין בו פלוגתא, וכמו שכתבתי לעיל בסי</w:t>
      </w:r>
      <w:r>
        <w:rPr>
          <w:rFonts w:cs="Arial" w:hint="cs"/>
          <w:rtl/>
        </w:rPr>
        <w:t>'</w:t>
      </w:r>
      <w:r w:rsidRPr="003A121C">
        <w:rPr>
          <w:rFonts w:cs="Arial"/>
          <w:rtl/>
        </w:rPr>
        <w:t xml:space="preserve"> טז סעיף ב' [סק"ח] ע"ש</w:t>
      </w:r>
      <w:r>
        <w:rPr>
          <w:rFonts w:cs="Arial" w:hint="cs"/>
          <w:rtl/>
        </w:rPr>
        <w:t>, סמ"ע (סקי"ג).</w:t>
      </w:r>
      <w:r>
        <w:rPr>
          <w:rFonts w:hint="cs"/>
          <w:rtl/>
        </w:rPr>
        <w:t xml:space="preserve"> וכן כתב הט"ז</w:t>
      </w:r>
      <w:r w:rsidRPr="00E03292">
        <w:rPr>
          <w:rFonts w:hint="cs"/>
          <w:sz w:val="16"/>
          <w:szCs w:val="16"/>
          <w:rtl/>
        </w:rPr>
        <w:t xml:space="preserve"> (ד"ה שאין ב"ד) </w:t>
      </w:r>
      <w:r>
        <w:rPr>
          <w:rFonts w:hint="cs"/>
          <w:rtl/>
        </w:rPr>
        <w:t>ד</w:t>
      </w:r>
      <w:r w:rsidRPr="00E03292">
        <w:rPr>
          <w:rFonts w:cs="Arial"/>
          <w:rtl/>
        </w:rPr>
        <w:t>אין כאן מי שחולק על הוראה זו כלל, אלא בדבר שהוא חידוש בעיני המחבר דרכו לכתוב יש מי שאומר</w:t>
      </w:r>
      <w:r>
        <w:rPr>
          <w:rFonts w:hint="cs"/>
          <w:rtl/>
        </w:rPr>
        <w:t>.</w:t>
      </w:r>
    </w:p>
  </w:footnote>
  <w:footnote w:id="1329">
    <w:p w14:paraId="4752D60C" w14:textId="77777777" w:rsidR="0013116F" w:rsidRDefault="0013116F" w:rsidP="00EF731B">
      <w:pPr>
        <w:pStyle w:val="a9"/>
      </w:pPr>
      <w:r>
        <w:rPr>
          <w:rStyle w:val="ab"/>
        </w:rPr>
        <w:footnoteRef/>
      </w:r>
      <w:r w:rsidRPr="00B650A7">
        <w:rPr>
          <w:rFonts w:cs="Arial"/>
          <w:rtl/>
        </w:rPr>
        <w:t xml:space="preserve"> וכ</w:t>
      </w:r>
      <w:r>
        <w:rPr>
          <w:rFonts w:cs="Arial" w:hint="cs"/>
          <w:rtl/>
        </w:rPr>
        <w:t>"כ ב"י</w:t>
      </w:r>
      <w:r w:rsidRPr="00B650A7">
        <w:rPr>
          <w:rFonts w:cs="Arial"/>
          <w:rtl/>
        </w:rPr>
        <w:t xml:space="preserve"> סי</w:t>
      </w:r>
      <w:r>
        <w:rPr>
          <w:rFonts w:cs="Arial" w:hint="cs"/>
          <w:rtl/>
        </w:rPr>
        <w:t>'</w:t>
      </w:r>
      <w:r w:rsidRPr="00B650A7">
        <w:rPr>
          <w:rFonts w:cs="Arial"/>
          <w:rtl/>
        </w:rPr>
        <w:t xml:space="preserve"> סו (מחו' יח) בתשובת הריטב"א (סי' יד)</w:t>
      </w:r>
      <w:r>
        <w:rPr>
          <w:rFonts w:cs="Arial" w:hint="cs"/>
          <w:rtl/>
        </w:rPr>
        <w:t>,</w:t>
      </w:r>
      <w:r w:rsidRPr="00B650A7">
        <w:rPr>
          <w:rFonts w:cs="Arial"/>
          <w:rtl/>
        </w:rPr>
        <w:t xml:space="preserve"> מיהו כתב אם ישראל הלוה אנס שאין המלוה יכול להוציאו ממנו בדיני ישראל בזה לית דין ולית דיין שמותר לו למוסרו לגוי ונראה לכתחילה לית עליו שמתא עכ"ל</w:t>
      </w:r>
      <w:r>
        <w:rPr>
          <w:rFonts w:cs="Arial" w:hint="cs"/>
          <w:rtl/>
        </w:rPr>
        <w:t>, דרכ"מ (אות ה).</w:t>
      </w:r>
      <w:r>
        <w:rPr>
          <w:rFonts w:hint="cs"/>
          <w:rtl/>
        </w:rPr>
        <w:t xml:space="preserve"> </w:t>
      </w:r>
      <w:r w:rsidRPr="004D28E8">
        <w:rPr>
          <w:rFonts w:hint="cs"/>
          <w:color w:val="00B0F0"/>
          <w:rtl/>
        </w:rPr>
        <w:t>(וכ"פ בהגה)</w:t>
      </w:r>
    </w:p>
  </w:footnote>
  <w:footnote w:id="1330">
    <w:p w14:paraId="4FEA6206" w14:textId="77777777" w:rsidR="0013116F" w:rsidRDefault="0013116F">
      <w:pPr>
        <w:pStyle w:val="a9"/>
      </w:pPr>
      <w:r>
        <w:rPr>
          <w:rStyle w:val="ab"/>
        </w:rPr>
        <w:footnoteRef/>
      </w:r>
      <w:r>
        <w:rPr>
          <w:rtl/>
        </w:rPr>
        <w:t xml:space="preserve"> </w:t>
      </w:r>
      <w:r w:rsidRPr="00555915">
        <w:rPr>
          <w:rFonts w:cs="Arial"/>
          <w:rtl/>
        </w:rPr>
        <w:t>והאריך עוד בזה בכלל סח סי</w:t>
      </w:r>
      <w:r>
        <w:rPr>
          <w:rFonts w:cs="Arial" w:hint="cs"/>
          <w:rtl/>
        </w:rPr>
        <w:t xml:space="preserve">' </w:t>
      </w:r>
      <w:r w:rsidRPr="00555915">
        <w:rPr>
          <w:rFonts w:cs="Arial"/>
          <w:rtl/>
        </w:rPr>
        <w:t>יג ועיין במהרי"ק שורש קפז</w:t>
      </w:r>
      <w:r>
        <w:rPr>
          <w:rFonts w:cs="Arial" w:hint="cs"/>
          <w:rtl/>
        </w:rPr>
        <w:t>, ב"י.</w:t>
      </w:r>
    </w:p>
  </w:footnote>
  <w:footnote w:id="1331">
    <w:p w14:paraId="6DBF6DF2" w14:textId="77777777" w:rsidR="0013116F" w:rsidRPr="00C17F6A" w:rsidRDefault="0013116F">
      <w:pPr>
        <w:pStyle w:val="a9"/>
        <w:rPr>
          <w:sz w:val="16"/>
          <w:szCs w:val="16"/>
          <w:rtl/>
        </w:rPr>
      </w:pPr>
      <w:r>
        <w:rPr>
          <w:rStyle w:val="ab"/>
        </w:rPr>
        <w:footnoteRef/>
      </w:r>
      <w:r>
        <w:rPr>
          <w:rtl/>
        </w:rPr>
        <w:t xml:space="preserve"> </w:t>
      </w:r>
      <w:r>
        <w:rPr>
          <w:rFonts w:hint="cs"/>
          <w:rtl/>
        </w:rPr>
        <w:t xml:space="preserve">סימן </w:t>
      </w:r>
      <w:r>
        <w:rPr>
          <w:rtl/>
        </w:rPr>
        <w:t>–</w:t>
      </w:r>
      <w:r>
        <w:rPr>
          <w:rFonts w:hint="cs"/>
          <w:rtl/>
        </w:rPr>
        <w:t xml:space="preserve"> </w:t>
      </w:r>
      <w:bookmarkStart w:id="194" w:name="_Hlk19004832"/>
      <w:r>
        <w:rPr>
          <w:rFonts w:hint="cs"/>
          <w:rtl/>
        </w:rPr>
        <w:t>וורדס סרוחות</w:t>
      </w:r>
      <w:bookmarkEnd w:id="194"/>
      <w:r>
        <w:rPr>
          <w:rFonts w:hint="cs"/>
          <w:rtl/>
        </w:rPr>
        <w:t>. וכן - סורר ומקלל.</w:t>
      </w:r>
      <w:r>
        <w:rPr>
          <w:rFonts w:hint="cs"/>
          <w:sz w:val="16"/>
          <w:szCs w:val="16"/>
          <w:rtl/>
        </w:rPr>
        <w:t xml:space="preserve"> (בדף שם מדובר בעיקר על המקלל אביו ואמו- היינו סורר)</w:t>
      </w:r>
    </w:p>
  </w:footnote>
  <w:footnote w:id="1332">
    <w:p w14:paraId="63E9E116" w14:textId="77777777" w:rsidR="0013116F" w:rsidRDefault="0013116F">
      <w:pPr>
        <w:pStyle w:val="a9"/>
      </w:pPr>
      <w:r>
        <w:rPr>
          <w:rStyle w:val="ab"/>
        </w:rPr>
        <w:footnoteRef/>
      </w:r>
      <w:r>
        <w:rPr>
          <w:rtl/>
        </w:rPr>
        <w:t xml:space="preserve"> </w:t>
      </w:r>
      <w:r>
        <w:rPr>
          <w:rFonts w:cs="Arial"/>
          <w:rtl/>
        </w:rPr>
        <w:t>היינו הדיין וכתרגומו של אונקלוס</w:t>
      </w:r>
      <w:r>
        <w:rPr>
          <w:rFonts w:cs="Arial" w:hint="cs"/>
          <w:rtl/>
        </w:rPr>
        <w:t>, ב"י.</w:t>
      </w:r>
    </w:p>
  </w:footnote>
  <w:footnote w:id="1333">
    <w:p w14:paraId="1E6CF2B8" w14:textId="77777777" w:rsidR="0013116F" w:rsidRDefault="0013116F">
      <w:pPr>
        <w:pStyle w:val="a9"/>
      </w:pPr>
      <w:r>
        <w:rPr>
          <w:rStyle w:val="ab"/>
        </w:rPr>
        <w:footnoteRef/>
      </w:r>
      <w:r>
        <w:rPr>
          <w:rtl/>
        </w:rPr>
        <w:t xml:space="preserve"> </w:t>
      </w:r>
      <w:r>
        <w:rPr>
          <w:rFonts w:cs="Arial"/>
          <w:rtl/>
        </w:rPr>
        <w:t>והוא אזהרה למברך את השם</w:t>
      </w:r>
      <w:r>
        <w:rPr>
          <w:rFonts w:cs="Arial" w:hint="cs"/>
          <w:rtl/>
        </w:rPr>
        <w:t>, ב"י.</w:t>
      </w:r>
    </w:p>
  </w:footnote>
  <w:footnote w:id="1334">
    <w:p w14:paraId="54A83BA2" w14:textId="77777777" w:rsidR="0013116F" w:rsidRPr="00793A9A" w:rsidRDefault="0013116F">
      <w:pPr>
        <w:pStyle w:val="a9"/>
        <w:rPr>
          <w:sz w:val="16"/>
          <w:szCs w:val="16"/>
        </w:rPr>
      </w:pPr>
      <w:r>
        <w:rPr>
          <w:rStyle w:val="ab"/>
        </w:rPr>
        <w:footnoteRef/>
      </w:r>
      <w:r>
        <w:rPr>
          <w:rtl/>
        </w:rPr>
        <w:t xml:space="preserve"> </w:t>
      </w:r>
      <w:r>
        <w:rPr>
          <w:rFonts w:hint="cs"/>
          <w:rtl/>
        </w:rPr>
        <w:t xml:space="preserve">סימן </w:t>
      </w:r>
      <w:r>
        <w:rPr>
          <w:rtl/>
        </w:rPr>
        <w:t>–</w:t>
      </w:r>
      <w:r>
        <w:rPr>
          <w:rFonts w:hint="cs"/>
          <w:rtl/>
        </w:rPr>
        <w:t xml:space="preserve"> </w:t>
      </w:r>
      <w:r w:rsidRPr="003C4F59">
        <w:rPr>
          <w:rFonts w:cs="Arial"/>
          <w:rtl/>
        </w:rPr>
        <w:t xml:space="preserve">לטותא </w:t>
      </w:r>
      <w:r>
        <w:rPr>
          <w:rFonts w:hint="cs"/>
          <w:rtl/>
        </w:rPr>
        <w:t xml:space="preserve">הושמעה. וסימן לדף לו ע"א </w:t>
      </w:r>
      <w:r>
        <w:rPr>
          <w:rtl/>
        </w:rPr>
        <w:t>–</w:t>
      </w:r>
      <w:r>
        <w:rPr>
          <w:rFonts w:hint="cs"/>
          <w:rtl/>
        </w:rPr>
        <w:t xml:space="preserve"> וורד </w:t>
      </w:r>
      <w:r w:rsidRPr="003C4F59">
        <w:rPr>
          <w:rFonts w:cs="Arial"/>
          <w:rtl/>
        </w:rPr>
        <w:t>לטותא</w:t>
      </w:r>
      <w:r>
        <w:rPr>
          <w:rFonts w:hint="cs"/>
          <w:rtl/>
        </w:rPr>
        <w:t>.</w:t>
      </w:r>
    </w:p>
  </w:footnote>
  <w:footnote w:id="1335">
    <w:p w14:paraId="550497EF" w14:textId="77777777" w:rsidR="0013116F" w:rsidRDefault="0013116F" w:rsidP="00A4009C">
      <w:pPr>
        <w:pStyle w:val="a9"/>
        <w:rPr>
          <w:rtl/>
        </w:rPr>
      </w:pPr>
      <w:r>
        <w:rPr>
          <w:rStyle w:val="ab"/>
        </w:rPr>
        <w:footnoteRef/>
      </w:r>
      <w:r>
        <w:rPr>
          <w:rtl/>
        </w:rPr>
        <w:t xml:space="preserve"> </w:t>
      </w:r>
      <w:r>
        <w:rPr>
          <w:rFonts w:cs="Arial" w:hint="cs"/>
          <w:rtl/>
        </w:rPr>
        <w:t>'</w:t>
      </w:r>
      <w:r>
        <w:rPr>
          <w:rFonts w:cs="Arial"/>
          <w:rtl/>
        </w:rPr>
        <w:t>בכולן</w:t>
      </w:r>
      <w:r>
        <w:rPr>
          <w:rFonts w:cs="Arial" w:hint="cs"/>
          <w:rtl/>
        </w:rPr>
        <w:t>'</w:t>
      </w:r>
      <w:r>
        <w:rPr>
          <w:rFonts w:cs="Arial"/>
          <w:rtl/>
        </w:rPr>
        <w:t xml:space="preserve"> פירוש בכל הכנויים</w:t>
      </w:r>
      <w:r>
        <w:rPr>
          <w:rFonts w:cs="Arial" w:hint="cs"/>
          <w:rtl/>
        </w:rPr>
        <w:t xml:space="preserve"> -</w:t>
      </w:r>
      <w:r>
        <w:rPr>
          <w:rFonts w:cs="Arial"/>
          <w:rtl/>
        </w:rPr>
        <w:t xml:space="preserve"> </w:t>
      </w:r>
      <w:r>
        <w:rPr>
          <w:rFonts w:cs="Arial" w:hint="cs"/>
          <w:rtl/>
        </w:rPr>
        <w:t>'</w:t>
      </w:r>
      <w:r>
        <w:rPr>
          <w:rFonts w:cs="Arial"/>
          <w:rtl/>
        </w:rPr>
        <w:t>עובר בלא תעשה</w:t>
      </w:r>
      <w:r>
        <w:rPr>
          <w:rFonts w:cs="Arial" w:hint="cs"/>
          <w:rtl/>
        </w:rPr>
        <w:t>',</w:t>
      </w:r>
      <w:r>
        <w:rPr>
          <w:rFonts w:cs="Arial"/>
          <w:rtl/>
        </w:rPr>
        <w:t xml:space="preserve"> ומשמע דכל שאינו בשם או בכינוי אינו עובר בלא תעשה ומינה ילפינן לדיין</w:t>
      </w:r>
      <w:r>
        <w:rPr>
          <w:rFonts w:cs="Arial" w:hint="cs"/>
          <w:rtl/>
        </w:rPr>
        <w:t>, ב"י</w:t>
      </w:r>
      <w:r>
        <w:rPr>
          <w:rFonts w:cs="Arial"/>
          <w:rtl/>
        </w:rPr>
        <w:t>.</w:t>
      </w:r>
    </w:p>
  </w:footnote>
  <w:footnote w:id="1336">
    <w:p w14:paraId="2C457CC0" w14:textId="77777777" w:rsidR="0013116F" w:rsidRDefault="0013116F">
      <w:pPr>
        <w:pStyle w:val="a9"/>
      </w:pPr>
      <w:r>
        <w:rPr>
          <w:rStyle w:val="ab"/>
        </w:rPr>
        <w:footnoteRef/>
      </w:r>
      <w:r>
        <w:rPr>
          <w:rtl/>
        </w:rPr>
        <w:t xml:space="preserve"> </w:t>
      </w:r>
      <w:r w:rsidRPr="00A4009C">
        <w:rPr>
          <w:rFonts w:cs="Arial"/>
          <w:rtl/>
        </w:rPr>
        <w:t xml:space="preserve"> אם תעידוני</w:t>
      </w:r>
      <w:r>
        <w:rPr>
          <w:rFonts w:cs="Arial" w:hint="cs"/>
          <w:rtl/>
        </w:rPr>
        <w:t>,</w:t>
      </w:r>
      <w:r w:rsidRPr="00A4009C">
        <w:rPr>
          <w:rFonts w:cs="Arial"/>
          <w:rtl/>
        </w:rPr>
        <w:t xml:space="preserve"> א</w:t>
      </w:r>
      <w:r>
        <w:rPr>
          <w:rFonts w:cs="Arial" w:hint="cs"/>
          <w:rtl/>
        </w:rPr>
        <w:t>ו -</w:t>
      </w:r>
      <w:r w:rsidRPr="00A4009C">
        <w:rPr>
          <w:rFonts w:cs="Arial"/>
          <w:rtl/>
        </w:rPr>
        <w:t xml:space="preserve"> יברכך</w:t>
      </w:r>
      <w:r>
        <w:rPr>
          <w:rFonts w:cs="Arial" w:hint="cs"/>
          <w:rtl/>
        </w:rPr>
        <w:t xml:space="preserve"> </w:t>
      </w:r>
      <w:r w:rsidRPr="00A4009C">
        <w:rPr>
          <w:rFonts w:cs="Arial"/>
          <w:rtl/>
        </w:rPr>
        <w:t>אם תעידוני</w:t>
      </w:r>
      <w:r>
        <w:rPr>
          <w:rFonts w:cs="Arial" w:hint="cs"/>
          <w:rtl/>
        </w:rPr>
        <w:t>, וכפרו, רש"י.</w:t>
      </w:r>
    </w:p>
  </w:footnote>
  <w:footnote w:id="1337">
    <w:p w14:paraId="00CF8BD3" w14:textId="77777777" w:rsidR="0013116F" w:rsidRDefault="0013116F">
      <w:pPr>
        <w:pStyle w:val="a9"/>
      </w:pPr>
      <w:r>
        <w:rPr>
          <w:rStyle w:val="ab"/>
        </w:rPr>
        <w:footnoteRef/>
      </w:r>
      <w:r>
        <w:rPr>
          <w:rtl/>
        </w:rPr>
        <w:t xml:space="preserve"> </w:t>
      </w:r>
      <w:r w:rsidRPr="00A4009C">
        <w:rPr>
          <w:rFonts w:cs="Arial"/>
          <w:rtl/>
        </w:rPr>
        <w:t>מכלל לאו אתה שומע הן</w:t>
      </w:r>
      <w:r>
        <w:rPr>
          <w:rFonts w:cs="Arial" w:hint="cs"/>
          <w:rtl/>
        </w:rPr>
        <w:t>,</w:t>
      </w:r>
      <w:r w:rsidRPr="00A4009C">
        <w:rPr>
          <w:rFonts w:cs="Arial"/>
          <w:rtl/>
        </w:rPr>
        <w:t xml:space="preserve"> אל יככה</w:t>
      </w:r>
      <w:r>
        <w:rPr>
          <w:rFonts w:cs="Arial" w:hint="cs"/>
          <w:rtl/>
        </w:rPr>
        <w:t xml:space="preserve"> -</w:t>
      </w:r>
      <w:r w:rsidRPr="00A4009C">
        <w:rPr>
          <w:rFonts w:cs="Arial"/>
          <w:rtl/>
        </w:rPr>
        <w:t xml:space="preserve"> אם תעידוני</w:t>
      </w:r>
      <w:r>
        <w:rPr>
          <w:rFonts w:cs="Arial" w:hint="cs"/>
          <w:rtl/>
        </w:rPr>
        <w:t>,</w:t>
      </w:r>
      <w:r w:rsidRPr="00A4009C">
        <w:rPr>
          <w:rFonts w:cs="Arial"/>
          <w:rtl/>
        </w:rPr>
        <w:t xml:space="preserve"> ואם לא תעידוני </w:t>
      </w:r>
      <w:r>
        <w:rPr>
          <w:rFonts w:cs="Arial" w:hint="cs"/>
          <w:rtl/>
        </w:rPr>
        <w:t xml:space="preserve">- </w:t>
      </w:r>
      <w:r w:rsidRPr="00A4009C">
        <w:rPr>
          <w:rFonts w:cs="Arial"/>
          <w:rtl/>
        </w:rPr>
        <w:t>יכך</w:t>
      </w:r>
      <w:r>
        <w:rPr>
          <w:rFonts w:cs="Arial" w:hint="cs"/>
          <w:rtl/>
        </w:rPr>
        <w:t>, רש"י.</w:t>
      </w:r>
    </w:p>
  </w:footnote>
  <w:footnote w:id="1338">
    <w:p w14:paraId="3533C85D" w14:textId="77777777" w:rsidR="0013116F" w:rsidRDefault="0013116F">
      <w:pPr>
        <w:pStyle w:val="a9"/>
        <w:rPr>
          <w:rtl/>
        </w:rPr>
      </w:pPr>
      <w:r>
        <w:rPr>
          <w:rStyle w:val="ab"/>
        </w:rPr>
        <w:footnoteRef/>
      </w:r>
      <w:r>
        <w:rPr>
          <w:rtl/>
        </w:rPr>
        <w:t xml:space="preserve"> </w:t>
      </w:r>
      <w:r>
        <w:rPr>
          <w:rFonts w:hint="cs"/>
          <w:rtl/>
        </w:rPr>
        <w:t xml:space="preserve">ופסקו הרמב"ם והטור כחכמים. </w:t>
      </w:r>
      <w:r w:rsidRPr="00D419EE">
        <w:rPr>
          <w:rFonts w:hint="cs"/>
          <w:color w:val="E36C0A" w:themeColor="accent6" w:themeShade="BF"/>
          <w:rtl/>
        </w:rPr>
        <w:t>וכ"פ בשו"ע</w:t>
      </w:r>
      <w:r>
        <w:rPr>
          <w:rFonts w:hint="cs"/>
          <w:rtl/>
        </w:rPr>
        <w:t>. היינו דאינו לוקה אך אסור.</w:t>
      </w:r>
    </w:p>
  </w:footnote>
  <w:footnote w:id="1339">
    <w:p w14:paraId="1E9A5FCB" w14:textId="77777777" w:rsidR="0013116F" w:rsidRDefault="0013116F">
      <w:pPr>
        <w:pStyle w:val="a9"/>
      </w:pPr>
      <w:r>
        <w:rPr>
          <w:rStyle w:val="ab"/>
        </w:rPr>
        <w:footnoteRef/>
      </w:r>
      <w:r>
        <w:rPr>
          <w:rtl/>
        </w:rPr>
        <w:t xml:space="preserve"> </w:t>
      </w:r>
      <w:r>
        <w:rPr>
          <w:rFonts w:hint="cs"/>
          <w:rtl/>
        </w:rPr>
        <w:t xml:space="preserve">ובגירסת הטור איתא 'הישן', ולפנינו איתא 'קטן'. וכתב הב"י- </w:t>
      </w:r>
      <w:r>
        <w:rPr>
          <w:rFonts w:cs="Arial"/>
          <w:rtl/>
        </w:rPr>
        <w:t xml:space="preserve">ובנוסחי דידן כתוב </w:t>
      </w:r>
      <w:r>
        <w:rPr>
          <w:rFonts w:cs="Arial" w:hint="cs"/>
          <w:rtl/>
        </w:rPr>
        <w:t>'</w:t>
      </w:r>
      <w:r>
        <w:rPr>
          <w:rFonts w:cs="Arial"/>
          <w:rtl/>
        </w:rPr>
        <w:t>המקלל את הקטן</w:t>
      </w:r>
      <w:r>
        <w:rPr>
          <w:rFonts w:cs="Arial" w:hint="cs"/>
          <w:rtl/>
        </w:rPr>
        <w:t>'</w:t>
      </w:r>
      <w:r>
        <w:rPr>
          <w:rFonts w:cs="Arial"/>
          <w:rtl/>
        </w:rPr>
        <w:t xml:space="preserve"> ובקצתן כתוב </w:t>
      </w:r>
      <w:r>
        <w:rPr>
          <w:rFonts w:cs="Arial" w:hint="cs"/>
          <w:rtl/>
        </w:rPr>
        <w:t>'</w:t>
      </w:r>
      <w:r>
        <w:rPr>
          <w:rFonts w:cs="Arial"/>
          <w:rtl/>
        </w:rPr>
        <w:t>את הנכלם</w:t>
      </w:r>
      <w:r>
        <w:rPr>
          <w:rFonts w:cs="Arial" w:hint="cs"/>
          <w:rtl/>
        </w:rPr>
        <w:t>'</w:t>
      </w:r>
      <w:r>
        <w:rPr>
          <w:rFonts w:cs="Arial"/>
          <w:rtl/>
        </w:rPr>
        <w:t xml:space="preserve"> כלומר קטן הנכלם ויש ללמוד כן מדין בשת כדאיתא בהחובל (ב"ק פו:) וגירסת רבינו </w:t>
      </w:r>
      <w:r>
        <w:rPr>
          <w:rFonts w:cs="Arial" w:hint="cs"/>
          <w:sz w:val="16"/>
          <w:szCs w:val="16"/>
          <w:rtl/>
        </w:rPr>
        <w:t xml:space="preserve">{הטור} </w:t>
      </w:r>
      <w:r>
        <w:rPr>
          <w:rFonts w:cs="Arial"/>
          <w:rtl/>
        </w:rPr>
        <w:t>יותר נכונה מדמדמי ליה לחרש</w:t>
      </w:r>
      <w:r>
        <w:rPr>
          <w:rFonts w:cs="Arial" w:hint="cs"/>
          <w:rtl/>
        </w:rPr>
        <w:t>.</w:t>
      </w:r>
    </w:p>
  </w:footnote>
  <w:footnote w:id="1340">
    <w:p w14:paraId="2359C314" w14:textId="77777777" w:rsidR="0013116F" w:rsidRDefault="0013116F">
      <w:pPr>
        <w:pStyle w:val="a9"/>
      </w:pPr>
      <w:r>
        <w:rPr>
          <w:rStyle w:val="ab"/>
        </w:rPr>
        <w:footnoteRef/>
      </w:r>
      <w:r>
        <w:rPr>
          <w:rtl/>
        </w:rPr>
        <w:t xml:space="preserve"> </w:t>
      </w:r>
      <w:r w:rsidRPr="00A4009C">
        <w:rPr>
          <w:rFonts w:cs="Arial"/>
          <w:rtl/>
        </w:rPr>
        <w:t>כל לשונות הללו הוא משמש</w:t>
      </w:r>
      <w:r>
        <w:rPr>
          <w:rFonts w:cs="Arial" w:hint="cs"/>
          <w:rtl/>
        </w:rPr>
        <w:t>,</w:t>
      </w:r>
      <w:r w:rsidRPr="00A4009C">
        <w:rPr>
          <w:rFonts w:cs="Arial"/>
          <w:rtl/>
        </w:rPr>
        <w:t xml:space="preserve"> וצריך לפרוש ממנו אם אמר חכם ארור בלשון נידוי</w:t>
      </w:r>
      <w:r>
        <w:rPr>
          <w:rFonts w:cs="Arial" w:hint="cs"/>
          <w:rtl/>
        </w:rPr>
        <w:t>,</w:t>
      </w:r>
      <w:r w:rsidRPr="00A4009C">
        <w:rPr>
          <w:rFonts w:cs="Arial"/>
          <w:rtl/>
        </w:rPr>
        <w:t xml:space="preserve"> ואם אמר אדם לחבירו לשם שבועה וקבלו עליו</w:t>
      </w:r>
      <w:r>
        <w:rPr>
          <w:rFonts w:cs="Arial" w:hint="cs"/>
          <w:rtl/>
        </w:rPr>
        <w:t xml:space="preserve"> -</w:t>
      </w:r>
      <w:r w:rsidRPr="00A4009C">
        <w:rPr>
          <w:rFonts w:cs="Arial"/>
          <w:rtl/>
        </w:rPr>
        <w:t xml:space="preserve"> שבועה היא</w:t>
      </w:r>
      <w:r>
        <w:rPr>
          <w:rFonts w:cs="Arial" w:hint="cs"/>
          <w:rtl/>
        </w:rPr>
        <w:t>,</w:t>
      </w:r>
      <w:r w:rsidRPr="00A4009C">
        <w:rPr>
          <w:rFonts w:cs="Arial"/>
          <w:rtl/>
        </w:rPr>
        <w:t xml:space="preserve"> והמקלל את חבירו בלשון</w:t>
      </w:r>
      <w:r>
        <w:rPr>
          <w:rFonts w:cs="Arial" w:hint="cs"/>
          <w:rtl/>
        </w:rPr>
        <w:t>:</w:t>
      </w:r>
      <w:r w:rsidRPr="00A4009C">
        <w:rPr>
          <w:rFonts w:cs="Arial"/>
          <w:rtl/>
        </w:rPr>
        <w:t xml:space="preserve"> ארור הוא לה</w:t>
      </w:r>
      <w:r>
        <w:rPr>
          <w:rFonts w:cs="Arial" w:hint="cs"/>
          <w:rtl/>
        </w:rPr>
        <w:t>' -</w:t>
      </w:r>
      <w:r w:rsidRPr="00A4009C">
        <w:rPr>
          <w:rFonts w:cs="Arial"/>
          <w:rtl/>
        </w:rPr>
        <w:t xml:space="preserve"> קללה היא וחייב המקלל</w:t>
      </w:r>
      <w:r>
        <w:rPr>
          <w:rFonts w:cs="Arial" w:hint="cs"/>
          <w:rtl/>
        </w:rPr>
        <w:t>, רש"י.</w:t>
      </w:r>
    </w:p>
  </w:footnote>
  <w:footnote w:id="1341">
    <w:p w14:paraId="459DADAB" w14:textId="77777777" w:rsidR="0013116F" w:rsidRDefault="0013116F">
      <w:pPr>
        <w:pStyle w:val="a9"/>
        <w:rPr>
          <w:rtl/>
        </w:rPr>
      </w:pPr>
      <w:r>
        <w:rPr>
          <w:rStyle w:val="ab"/>
        </w:rPr>
        <w:footnoteRef/>
      </w:r>
      <w:r>
        <w:rPr>
          <w:rtl/>
        </w:rPr>
        <w:t xml:space="preserve"> </w:t>
      </w:r>
      <w:r w:rsidRPr="00565A38">
        <w:rPr>
          <w:rFonts w:cs="Arial"/>
          <w:rtl/>
        </w:rPr>
        <w:t xml:space="preserve">כ"כ הרמב"ם </w:t>
      </w:r>
      <w:r>
        <w:rPr>
          <w:rFonts w:cs="Arial" w:hint="cs"/>
          <w:rtl/>
        </w:rPr>
        <w:t>(ה"ב),</w:t>
      </w:r>
      <w:r w:rsidRPr="00565A38">
        <w:rPr>
          <w:rFonts w:cs="Arial"/>
          <w:rtl/>
        </w:rPr>
        <w:t xml:space="preserve"> אבל הטור לא כ"כ בפירוש</w:t>
      </w:r>
      <w:r>
        <w:rPr>
          <w:rFonts w:cs="Arial" w:hint="cs"/>
          <w:rtl/>
        </w:rPr>
        <w:t>,</w:t>
      </w:r>
      <w:r w:rsidRPr="00565A38">
        <w:rPr>
          <w:rFonts w:cs="Arial"/>
          <w:rtl/>
        </w:rPr>
        <w:t xml:space="preserve"> ומשמע לי דלא ס"ל הכי כמ"ש בדרישה מילתא בטעמא ע"ש</w:t>
      </w:r>
      <w:r>
        <w:rPr>
          <w:rFonts w:cs="Arial" w:hint="cs"/>
          <w:rtl/>
        </w:rPr>
        <w:t>, סמ"ע (סק"ה).</w:t>
      </w:r>
    </w:p>
  </w:footnote>
  <w:footnote w:id="1342">
    <w:p w14:paraId="4D1C61AF" w14:textId="77777777" w:rsidR="0013116F" w:rsidRDefault="0013116F">
      <w:pPr>
        <w:pStyle w:val="a9"/>
        <w:rPr>
          <w:rtl/>
        </w:rPr>
      </w:pPr>
      <w:r>
        <w:rPr>
          <w:rStyle w:val="ab"/>
        </w:rPr>
        <w:footnoteRef/>
      </w:r>
      <w:r>
        <w:rPr>
          <w:rtl/>
        </w:rPr>
        <w:t xml:space="preserve"> </w:t>
      </w:r>
      <w:r w:rsidRPr="00565A38">
        <w:rPr>
          <w:rFonts w:cs="Arial"/>
          <w:rtl/>
        </w:rPr>
        <w:t>פי' ואם אומר ארור הוא לה' או לשדי חייב מלקות</w:t>
      </w:r>
      <w:r>
        <w:rPr>
          <w:rFonts w:cs="Arial" w:hint="cs"/>
          <w:rtl/>
        </w:rPr>
        <w:t>,</w:t>
      </w:r>
      <w:r w:rsidRPr="00565A38">
        <w:rPr>
          <w:rFonts w:cs="Arial"/>
          <w:rtl/>
        </w:rPr>
        <w:t xml:space="preserve"> דבלא שם וכינוי לא מתחייב גם בלשון ארור</w:t>
      </w:r>
      <w:r>
        <w:rPr>
          <w:rFonts w:cs="Arial" w:hint="cs"/>
          <w:rtl/>
        </w:rPr>
        <w:t>.</w:t>
      </w:r>
      <w:r w:rsidRPr="00565A38">
        <w:rPr>
          <w:rFonts w:cs="Arial"/>
          <w:rtl/>
        </w:rPr>
        <w:t xml:space="preserve"> ומ"ש דארור הוי לשון קללה פירוש היינו כשאררו בלשון קללה</w:t>
      </w:r>
      <w:r>
        <w:rPr>
          <w:rFonts w:cs="Arial" w:hint="cs"/>
          <w:rtl/>
        </w:rPr>
        <w:t>,</w:t>
      </w:r>
      <w:r w:rsidRPr="00565A38">
        <w:rPr>
          <w:rFonts w:cs="Arial"/>
          <w:rtl/>
        </w:rPr>
        <w:t xml:space="preserve"> אבל ארור משמע ג"כ שאר ענינים דהיינו שבועה ונידוי כל חד לפי משמעות הענין דקאי עליה, טור, ועיין פרישה</w:t>
      </w:r>
      <w:r>
        <w:rPr>
          <w:rFonts w:hint="cs"/>
          <w:rtl/>
        </w:rPr>
        <w:t>, סמ"ע (סק"ו).</w:t>
      </w:r>
    </w:p>
  </w:footnote>
  <w:footnote w:id="1343">
    <w:p w14:paraId="54DC4F97" w14:textId="77777777" w:rsidR="0013116F" w:rsidRDefault="0013116F" w:rsidP="00C23BD3">
      <w:pPr>
        <w:pStyle w:val="a9"/>
        <w:rPr>
          <w:rtl/>
        </w:rPr>
      </w:pPr>
      <w:r>
        <w:rPr>
          <w:rStyle w:val="ab"/>
        </w:rPr>
        <w:footnoteRef/>
      </w:r>
      <w:r>
        <w:rPr>
          <w:rtl/>
        </w:rPr>
        <w:t xml:space="preserve"> </w:t>
      </w:r>
      <w:r>
        <w:rPr>
          <w:rFonts w:cs="Arial"/>
          <w:rtl/>
        </w:rPr>
        <w:t xml:space="preserve">נראה דאצטריך משום דסלקא דעתך אמינא דכיון דמלקות במקלל חבירו חדוש הוא דהא לאו שאין בו מעשה הוא התראה נמי לא ניבעי </w:t>
      </w:r>
      <w:r>
        <w:rPr>
          <w:rFonts w:cs="Arial" w:hint="cs"/>
          <w:rtl/>
        </w:rPr>
        <w:t xml:space="preserve">- </w:t>
      </w:r>
      <w:r>
        <w:rPr>
          <w:rFonts w:cs="Arial"/>
          <w:rtl/>
        </w:rPr>
        <w:t xml:space="preserve">קא משמע לן. אי נמי כיון דאורחא דקללה בכעס ובריהטא היא לא איבעי התראה </w:t>
      </w:r>
      <w:r>
        <w:rPr>
          <w:rFonts w:cs="Arial" w:hint="cs"/>
          <w:rtl/>
        </w:rPr>
        <w:t xml:space="preserve">- </w:t>
      </w:r>
      <w:r>
        <w:rPr>
          <w:rFonts w:cs="Arial"/>
          <w:rtl/>
        </w:rPr>
        <w:t>קא משמע לן</w:t>
      </w:r>
      <w:r>
        <w:rPr>
          <w:rFonts w:hint="cs"/>
          <w:rtl/>
        </w:rPr>
        <w:t>, ב"י.</w:t>
      </w:r>
    </w:p>
  </w:footnote>
  <w:footnote w:id="1344">
    <w:p w14:paraId="22E6259B" w14:textId="77777777" w:rsidR="0013116F" w:rsidRDefault="0013116F" w:rsidP="00C23BD3">
      <w:pPr>
        <w:pStyle w:val="a9"/>
      </w:pPr>
      <w:r>
        <w:rPr>
          <w:rStyle w:val="ab"/>
        </w:rPr>
        <w:footnoteRef/>
      </w:r>
      <w:r>
        <w:rPr>
          <w:rtl/>
        </w:rPr>
        <w:t xml:space="preserve"> </w:t>
      </w:r>
      <w:r>
        <w:rPr>
          <w:rFonts w:cs="Arial"/>
          <w:rtl/>
        </w:rPr>
        <w:t>כן משמע</w:t>
      </w:r>
      <w:r>
        <w:rPr>
          <w:rFonts w:cs="Arial" w:hint="cs"/>
          <w:rtl/>
        </w:rPr>
        <w:t>,</w:t>
      </w:r>
      <w:r>
        <w:rPr>
          <w:rFonts w:cs="Arial"/>
          <w:rtl/>
        </w:rPr>
        <w:t xml:space="preserve"> דלא איפליגו רבנן ארבי מאיר אלא לפוטרו ממלקות אבל איסורא מיהא איכא</w:t>
      </w:r>
      <w:r>
        <w:rPr>
          <w:rFonts w:hint="cs"/>
          <w:rtl/>
        </w:rPr>
        <w:t xml:space="preserve">, ב"י (בבדה"ב). ולכן מובן למה הרמב"ם לא הזכיר שאסור, דפשוט הוא ומכלל דבריהם </w:t>
      </w:r>
      <w:r w:rsidRPr="00D419EE">
        <w:rPr>
          <w:rFonts w:hint="cs"/>
          <w:sz w:val="16"/>
          <w:szCs w:val="16"/>
          <w:rtl/>
        </w:rPr>
        <w:t xml:space="preserve">(של ר"מ וחכמים) </w:t>
      </w:r>
      <w:r>
        <w:rPr>
          <w:rFonts w:hint="cs"/>
          <w:rtl/>
        </w:rPr>
        <w:t>צריך ללמוד כן.</w:t>
      </w:r>
    </w:p>
  </w:footnote>
  <w:footnote w:id="1345">
    <w:p w14:paraId="723D654D" w14:textId="77777777" w:rsidR="0013116F" w:rsidRDefault="0013116F">
      <w:pPr>
        <w:pStyle w:val="a9"/>
        <w:rPr>
          <w:rtl/>
        </w:rPr>
      </w:pPr>
      <w:r>
        <w:rPr>
          <w:rStyle w:val="ab"/>
        </w:rPr>
        <w:footnoteRef/>
      </w:r>
      <w:r>
        <w:rPr>
          <w:rtl/>
        </w:rPr>
        <w:t xml:space="preserve"> </w:t>
      </w:r>
      <w:r w:rsidRPr="001F7EF8">
        <w:rPr>
          <w:rFonts w:cs="Arial"/>
          <w:rtl/>
        </w:rPr>
        <w:t>ונראה שטעמו מדאיצטריך למילף בפרק הנחנקין (סנהדרין פה:) דחייב על קללת אביו ואמו לאחר מיתה אלמא דבשאר כל אדם פטור</w:t>
      </w:r>
      <w:r>
        <w:rPr>
          <w:rFonts w:cs="Arial" w:hint="cs"/>
          <w:rtl/>
        </w:rPr>
        <w:t>,</w:t>
      </w:r>
      <w:r w:rsidRPr="001F7EF8">
        <w:rPr>
          <w:rFonts w:cs="Arial"/>
          <w:rtl/>
        </w:rPr>
        <w:t xml:space="preserve"> ובסמ"ג (לאוין ריא סה ע"ד) כתב דאיתא בתורת כהנים (קדושים פרשתא ב אות יג) מה חרש מיוחד שהוא בחיים אף כל שהוא בחיים יצא המקלל את המת שהוא פטור</w:t>
      </w:r>
      <w:r>
        <w:rPr>
          <w:rFonts w:hint="cs"/>
          <w:rtl/>
        </w:rPr>
        <w:t>, ב"י.</w:t>
      </w:r>
    </w:p>
  </w:footnote>
  <w:footnote w:id="1346">
    <w:p w14:paraId="38642B71" w14:textId="77777777" w:rsidR="0013116F" w:rsidRDefault="0013116F">
      <w:pPr>
        <w:pStyle w:val="a9"/>
        <w:rPr>
          <w:rtl/>
        </w:rPr>
      </w:pPr>
      <w:r>
        <w:rPr>
          <w:rStyle w:val="ab"/>
        </w:rPr>
        <w:footnoteRef/>
      </w:r>
      <w:r>
        <w:rPr>
          <w:rtl/>
        </w:rPr>
        <w:t xml:space="preserve"> </w:t>
      </w:r>
      <w:r>
        <w:rPr>
          <w:rFonts w:cs="Arial" w:hint="cs"/>
          <w:rtl/>
        </w:rPr>
        <w:t>ה</w:t>
      </w:r>
      <w:r w:rsidRPr="00D419EE">
        <w:rPr>
          <w:rFonts w:cs="Arial" w:hint="cs"/>
          <w:rtl/>
        </w:rPr>
        <w:t>טור</w:t>
      </w:r>
      <w:r>
        <w:rPr>
          <w:rFonts w:cs="Arial" w:hint="cs"/>
          <w:rtl/>
        </w:rPr>
        <w:t xml:space="preserve"> לא כתב את לשון הרמב"ם כדלעיל אלא כתב וז"ל</w:t>
      </w:r>
      <w:r w:rsidRPr="00D419EE">
        <w:rPr>
          <w:rFonts w:cs="Arial" w:hint="cs"/>
          <w:rtl/>
        </w:rPr>
        <w:t>-</w:t>
      </w:r>
      <w:r w:rsidRPr="00D419EE">
        <w:rPr>
          <w:rFonts w:cs="Arial"/>
          <w:rtl/>
        </w:rPr>
        <w:t xml:space="preserve"> אע</w:t>
      </w:r>
      <w:r>
        <w:rPr>
          <w:rFonts w:cs="Arial" w:hint="cs"/>
          <w:rtl/>
        </w:rPr>
        <w:t>"</w:t>
      </w:r>
      <w:r w:rsidRPr="00D419EE">
        <w:rPr>
          <w:rFonts w:cs="Arial"/>
          <w:rtl/>
        </w:rPr>
        <w:t>פ שמחל החכם או אחד משאר העם למקלל על קללתו מכין אותו שכבר חטא ונתחייב</w:t>
      </w:r>
      <w:r w:rsidRPr="00D419EE">
        <w:rPr>
          <w:rFonts w:cs="Arial" w:hint="cs"/>
          <w:rtl/>
        </w:rPr>
        <w:t>.</w:t>
      </w:r>
      <w:r>
        <w:rPr>
          <w:rFonts w:cs="Arial" w:hint="cs"/>
          <w:rtl/>
        </w:rPr>
        <w:t xml:space="preserve"> ע"כ. והעיר הב"י שאין זו לשון הרמב"ם, והעתיק הב"י את לשון הרמב"ם. וצל"ע האם יוצא מכאן שהטור חולק או מוסיף על דברי הרמב"ם שגם אחד מן העם לא יכול למחול, דלכאורה גם בו שייך הטעם 'שכבר חטא ונתחייב'.</w:t>
      </w:r>
    </w:p>
  </w:footnote>
  <w:footnote w:id="1347">
    <w:p w14:paraId="75E35A40" w14:textId="77777777" w:rsidR="0013116F" w:rsidRDefault="0013116F">
      <w:pPr>
        <w:pStyle w:val="a9"/>
      </w:pPr>
      <w:r>
        <w:rPr>
          <w:rStyle w:val="ab"/>
        </w:rPr>
        <w:footnoteRef/>
      </w:r>
      <w:r>
        <w:rPr>
          <w:rtl/>
        </w:rPr>
        <w:t xml:space="preserve"> </w:t>
      </w:r>
      <w:r w:rsidRPr="00565A38">
        <w:rPr>
          <w:rFonts w:cs="Arial"/>
          <w:rtl/>
        </w:rPr>
        <w:t>דכשהשם יתברך מסתיר פניו ממנו מלברכו ממילא הוא מקולל</w:t>
      </w:r>
      <w:r>
        <w:rPr>
          <w:rFonts w:cs="Arial" w:hint="cs"/>
          <w:rtl/>
        </w:rPr>
        <w:t>, סמ"ע (סק"ז).</w:t>
      </w:r>
    </w:p>
  </w:footnote>
  <w:footnote w:id="1348">
    <w:p w14:paraId="2E0A3F0A" w14:textId="77777777" w:rsidR="0013116F" w:rsidRDefault="0013116F">
      <w:pPr>
        <w:pStyle w:val="a9"/>
      </w:pPr>
      <w:r>
        <w:rPr>
          <w:rStyle w:val="ab"/>
        </w:rPr>
        <w:footnoteRef/>
      </w:r>
      <w:r>
        <w:rPr>
          <w:rtl/>
        </w:rPr>
        <w:t xml:space="preserve"> </w:t>
      </w:r>
      <w:r w:rsidRPr="00565A38">
        <w:rPr>
          <w:rFonts w:cs="Arial"/>
          <w:rtl/>
        </w:rPr>
        <w:t>פירוש להכותו יותר על הנידוי. א"נ אם רואין שהוא איש שקל בעיניו הנידוי יותר מההכאה, אז עושין עמו החמור בעיניו דהיינו הכאה, ועיין פרישה כאן ולעיל סוף סימן ח' [בדרישה סעיף ט"ז]</w:t>
      </w:r>
      <w:r>
        <w:rPr>
          <w:rFonts w:cs="Arial" w:hint="cs"/>
          <w:rtl/>
        </w:rPr>
        <w:t>, סמ"ע (סק"ח).</w:t>
      </w:r>
    </w:p>
  </w:footnote>
  <w:footnote w:id="1349">
    <w:p w14:paraId="5A212ACA" w14:textId="77777777" w:rsidR="0013116F" w:rsidRDefault="0013116F">
      <w:pPr>
        <w:pStyle w:val="a9"/>
        <w:rPr>
          <w:rtl/>
        </w:rPr>
      </w:pPr>
      <w:r>
        <w:rPr>
          <w:rStyle w:val="ab"/>
        </w:rPr>
        <w:footnoteRef/>
      </w:r>
      <w:r>
        <w:rPr>
          <w:rtl/>
        </w:rPr>
        <w:t xml:space="preserve"> </w:t>
      </w:r>
      <w:r>
        <w:rPr>
          <w:rFonts w:hint="cs"/>
          <w:rtl/>
        </w:rPr>
        <w:t xml:space="preserve">כן כתב באה"ג (אות מ*), וכן הוא ברמב"ם ובטור. </w:t>
      </w:r>
      <w:r w:rsidRPr="00565A38">
        <w:rPr>
          <w:rFonts w:hint="cs"/>
          <w:sz w:val="16"/>
          <w:szCs w:val="16"/>
          <w:rtl/>
        </w:rPr>
        <w:t xml:space="preserve">(ובחלק מהגירסאות כתוב 'המתחרף', וכן הייתה הגירסא לפני </w:t>
      </w:r>
      <w:r>
        <w:rPr>
          <w:rFonts w:hint="cs"/>
          <w:sz w:val="16"/>
          <w:szCs w:val="16"/>
          <w:rtl/>
        </w:rPr>
        <w:t xml:space="preserve">הב"ח </w:t>
      </w:r>
      <w:r w:rsidRPr="00565A38">
        <w:rPr>
          <w:rFonts w:hint="cs"/>
          <w:sz w:val="16"/>
          <w:szCs w:val="16"/>
          <w:rtl/>
        </w:rPr>
        <w:t>הסמ"ע</w:t>
      </w:r>
      <w:r>
        <w:rPr>
          <w:rFonts w:hint="cs"/>
          <w:sz w:val="16"/>
          <w:szCs w:val="16"/>
          <w:rtl/>
        </w:rPr>
        <w:t xml:space="preserve"> והש"ך</w:t>
      </w:r>
      <w:r w:rsidRPr="00565A38">
        <w:rPr>
          <w:rFonts w:hint="cs"/>
          <w:sz w:val="16"/>
          <w:szCs w:val="16"/>
          <w:rtl/>
        </w:rPr>
        <w:t xml:space="preserve"> ולכן הקשה הסמ"ע (סק"י) על דברי הרמ"א וז"ל-</w:t>
      </w:r>
      <w:r w:rsidRPr="00565A38">
        <w:rPr>
          <w:sz w:val="16"/>
          <w:szCs w:val="16"/>
          <w:rtl/>
        </w:rPr>
        <w:t xml:space="preserve"> </w:t>
      </w:r>
      <w:r w:rsidRPr="00565A38">
        <w:rPr>
          <w:rFonts w:cs="Arial"/>
          <w:sz w:val="16"/>
          <w:szCs w:val="16"/>
          <w:rtl/>
        </w:rPr>
        <w:t>צ"ע דמשמע מדברי מור"ם הללו דס"ל שגם על חירופים דחכם אינה מועלת מחילה, ובמיימוני [פכ"ו מסנהדרין ה"ו] ובטור [סעיף ח'] משמע להדיא דלא אמרו רז"ל כן כי אם אמקלל לכל אדם, ומשום שכבר נתחייב בלאו מן התורה בשעה שקיללו ואין בידו דהמקלל למחלו, אבל אחירופו וזלזולו דכל אדם מהני מחילה, דומה למי שנתחייב נידוי על שהפקיר בב"ד דמהני מחילה וכדמסיק המחבר לכתוב כן כאן, אף שהטור כתב על זה לשון מכין, אינו ר"ל מכת מרדות הבא על החירוף, אלא ר"ל מלקות וכמ"ש הרמב"ם שם, וכ"כ הכ"מ בהדיא שם וכמ"ש בפרישה ע"ש, ודברי מור"ם צ"ע</w:t>
      </w:r>
      <w:r w:rsidRPr="00565A38">
        <w:rPr>
          <w:rFonts w:cs="Arial" w:hint="cs"/>
          <w:sz w:val="16"/>
          <w:szCs w:val="16"/>
          <w:rtl/>
        </w:rPr>
        <w:t>. עכ"ל הסמ"ע.</w:t>
      </w:r>
      <w:r w:rsidRPr="00565A38">
        <w:rPr>
          <w:sz w:val="16"/>
          <w:szCs w:val="16"/>
          <w:rtl/>
        </w:rPr>
        <w:t xml:space="preserve"> </w:t>
      </w:r>
      <w:r>
        <w:rPr>
          <w:rFonts w:cs="Arial" w:hint="cs"/>
          <w:sz w:val="16"/>
          <w:szCs w:val="16"/>
          <w:rtl/>
        </w:rPr>
        <w:t xml:space="preserve">אך </w:t>
      </w:r>
      <w:r w:rsidRPr="00565A38">
        <w:rPr>
          <w:rFonts w:cs="Arial" w:hint="cs"/>
          <w:sz w:val="16"/>
          <w:szCs w:val="16"/>
          <w:rtl/>
        </w:rPr>
        <w:t>ה</w:t>
      </w:r>
      <w:r w:rsidRPr="00565A38">
        <w:rPr>
          <w:rFonts w:cs="Arial"/>
          <w:sz w:val="16"/>
          <w:szCs w:val="16"/>
          <w:rtl/>
        </w:rPr>
        <w:t>ב"ח [ד"ה ומ"ש אם היה עם הארץ] פירש דברי מור"ם בהגה' דר"ל בין שהיה מתחייב מלקות מן התורה כגון שהתרו בו וקיללו בשם או בכינוי בפירוש, וקראו מתחרף, לפי שאין מלקין בזמן הזה, ואין עליו אלא שם מתחרף, ובין שלא התרו בו או שקיללו בלא שם וכינוי או שא"ל אל יהא ברוך, דאיכא איסורא דאורייתא לחוד, כיון דמ"מ חטא וכבר נתחייב עונש מן התורה, אין בידו למחול ועונשין אותו כפי מה שיראה, עכ"ל הב"ח</w:t>
      </w:r>
      <w:r w:rsidRPr="00565A38">
        <w:rPr>
          <w:rFonts w:cs="Arial" w:hint="cs"/>
          <w:sz w:val="16"/>
          <w:szCs w:val="16"/>
          <w:rtl/>
        </w:rPr>
        <w:t>. וכן דעת הש"ך (סק"א)</w:t>
      </w:r>
      <w:r>
        <w:rPr>
          <w:rFonts w:cs="Arial" w:hint="cs"/>
          <w:sz w:val="16"/>
          <w:szCs w:val="16"/>
          <w:rtl/>
        </w:rPr>
        <w:t>)</w:t>
      </w:r>
    </w:p>
  </w:footnote>
  <w:footnote w:id="1350">
    <w:p w14:paraId="45735E26" w14:textId="77777777" w:rsidR="0013116F" w:rsidRDefault="0013116F" w:rsidP="004B607F">
      <w:pPr>
        <w:pStyle w:val="a9"/>
      </w:pPr>
      <w:r>
        <w:rPr>
          <w:rStyle w:val="ab"/>
        </w:rPr>
        <w:footnoteRef/>
      </w:r>
      <w:r>
        <w:rPr>
          <w:rtl/>
        </w:rPr>
        <w:t xml:space="preserve"> </w:t>
      </w:r>
      <w:r>
        <w:rPr>
          <w:rFonts w:hint="cs"/>
          <w:rtl/>
        </w:rPr>
        <w:t xml:space="preserve">סימן </w:t>
      </w:r>
      <w:r>
        <w:rPr>
          <w:rtl/>
        </w:rPr>
        <w:t>–</w:t>
      </w:r>
      <w:r>
        <w:rPr>
          <w:rFonts w:hint="cs"/>
          <w:rtl/>
        </w:rPr>
        <w:t xml:space="preserve"> היזקי נבלות. וכן </w:t>
      </w:r>
      <w:r>
        <w:rPr>
          <w:rtl/>
        </w:rPr>
        <w:t>–</w:t>
      </w:r>
      <w:r>
        <w:rPr>
          <w:rFonts w:hint="cs"/>
          <w:rtl/>
        </w:rPr>
        <w:t xml:space="preserve"> נמנע להגיד. </w:t>
      </w:r>
    </w:p>
  </w:footnote>
  <w:footnote w:id="1351">
    <w:p w14:paraId="75EFBEAE" w14:textId="77777777" w:rsidR="0013116F" w:rsidRDefault="0013116F" w:rsidP="004B607F">
      <w:pPr>
        <w:pStyle w:val="a9"/>
      </w:pPr>
      <w:r>
        <w:rPr>
          <w:rStyle w:val="ab"/>
        </w:rPr>
        <w:footnoteRef/>
      </w:r>
      <w:r>
        <w:rPr>
          <w:rtl/>
        </w:rPr>
        <w:t xml:space="preserve"> </w:t>
      </w:r>
      <w:r>
        <w:rPr>
          <w:rFonts w:cs="Arial"/>
          <w:rtl/>
        </w:rPr>
        <w:t>ו</w:t>
      </w:r>
      <w:r>
        <w:rPr>
          <w:rFonts w:cs="Arial" w:hint="cs"/>
          <w:rtl/>
        </w:rPr>
        <w:t xml:space="preserve">כתבו </w:t>
      </w:r>
      <w:r>
        <w:rPr>
          <w:rFonts w:cs="Arial"/>
          <w:rtl/>
        </w:rPr>
        <w:t>התוס</w:t>
      </w:r>
      <w:r>
        <w:rPr>
          <w:rFonts w:cs="Arial" w:hint="cs"/>
          <w:rtl/>
        </w:rPr>
        <w:t>'</w:t>
      </w:r>
      <w:r>
        <w:rPr>
          <w:rFonts w:cs="Arial"/>
          <w:rtl/>
        </w:rPr>
        <w:t xml:space="preserve"> </w:t>
      </w:r>
      <w:r w:rsidRPr="00230720">
        <w:rPr>
          <w:rFonts w:cs="Arial" w:hint="cs"/>
          <w:sz w:val="16"/>
          <w:szCs w:val="16"/>
          <w:rtl/>
        </w:rPr>
        <w:t>(</w:t>
      </w:r>
      <w:r w:rsidRPr="00230720">
        <w:rPr>
          <w:rFonts w:cs="Arial"/>
          <w:sz w:val="16"/>
          <w:szCs w:val="16"/>
          <w:rtl/>
        </w:rPr>
        <w:t>פשיטא אם לא יגיד</w:t>
      </w:r>
      <w:r w:rsidRPr="00230720">
        <w:rPr>
          <w:rFonts w:cs="Arial" w:hint="cs"/>
          <w:sz w:val="16"/>
          <w:szCs w:val="16"/>
          <w:rtl/>
        </w:rPr>
        <w:t>)</w:t>
      </w:r>
      <w:r>
        <w:rPr>
          <w:rFonts w:cs="Arial" w:hint="cs"/>
          <w:rtl/>
        </w:rPr>
        <w:t xml:space="preserve">- </w:t>
      </w:r>
      <w:r>
        <w:rPr>
          <w:rFonts w:cs="Arial"/>
          <w:rtl/>
        </w:rPr>
        <w:t xml:space="preserve">וא"ת הני מילי כשעבר על שבועתו כדכתיב </w:t>
      </w:r>
      <w:r w:rsidRPr="00230720">
        <w:rPr>
          <w:rFonts w:cs="Arial"/>
          <w:sz w:val="16"/>
          <w:szCs w:val="16"/>
          <w:rtl/>
        </w:rPr>
        <w:t xml:space="preserve">(ויקרא שם) </w:t>
      </w:r>
      <w:r>
        <w:rPr>
          <w:rFonts w:cs="Arial"/>
          <w:rtl/>
        </w:rPr>
        <w:t>ושמעה קול אלה</w:t>
      </w:r>
      <w:r>
        <w:rPr>
          <w:rFonts w:cs="Arial" w:hint="cs"/>
          <w:rtl/>
        </w:rPr>
        <w:t>,</w:t>
      </w:r>
      <w:r>
        <w:rPr>
          <w:rFonts w:cs="Arial"/>
          <w:rtl/>
        </w:rPr>
        <w:t xml:space="preserve"> וי"ל דהכי קאמר קרא כשעובר בדבר שאם לא יגיד היה נושא עון</w:t>
      </w:r>
      <w:r>
        <w:rPr>
          <w:rFonts w:cs="Arial" w:hint="cs"/>
          <w:rtl/>
        </w:rPr>
        <w:t xml:space="preserve"> -</w:t>
      </w:r>
      <w:r>
        <w:rPr>
          <w:rFonts w:cs="Arial"/>
          <w:rtl/>
        </w:rPr>
        <w:t xml:space="preserve"> אז יביא קרבן שבועה</w:t>
      </w:r>
      <w:r>
        <w:rPr>
          <w:rFonts w:cs="Arial" w:hint="cs"/>
          <w:rtl/>
        </w:rPr>
        <w:t>,</w:t>
      </w:r>
      <w:r>
        <w:rPr>
          <w:rFonts w:cs="Arial"/>
          <w:rtl/>
        </w:rPr>
        <w:t xml:space="preserve"> אבל בלא שבועה נמי איכא נשיאות עון</w:t>
      </w:r>
      <w:r>
        <w:rPr>
          <w:rFonts w:cs="Arial" w:hint="cs"/>
          <w:rtl/>
        </w:rPr>
        <w:t>,</w:t>
      </w:r>
      <w:r>
        <w:rPr>
          <w:rFonts w:cs="Arial"/>
          <w:rtl/>
        </w:rPr>
        <w:t xml:space="preserve"> כדמוכח במתניתין דאחד דיני ממונות </w:t>
      </w:r>
      <w:r w:rsidRPr="00230720">
        <w:rPr>
          <w:rFonts w:cs="Arial"/>
          <w:sz w:val="16"/>
          <w:szCs w:val="16"/>
          <w:rtl/>
        </w:rPr>
        <w:t>(סנהדרין לז:</w:t>
      </w:r>
      <w:r>
        <w:rPr>
          <w:rFonts w:cs="Arial" w:hint="cs"/>
          <w:sz w:val="16"/>
          <w:szCs w:val="16"/>
          <w:rtl/>
        </w:rPr>
        <w:t xml:space="preserve">, </w:t>
      </w:r>
      <w:r w:rsidRPr="00A87493">
        <w:rPr>
          <w:rFonts w:cs="Arial"/>
          <w:sz w:val="16"/>
          <w:szCs w:val="16"/>
          <w:rtl/>
        </w:rPr>
        <w:t>כלומר דתנן התם שהיו אומרים לעדים שמא תאמרו מה לנו ולצרה הזאת והלא כבר נאמר והוא עד או ראה או ידע אם לא יגיד וכו' והרי שם לא היו משביעים אותם ואפילו הכי איכא נשיאות עון אם לא יגיד</w:t>
      </w:r>
      <w:r>
        <w:rPr>
          <w:rFonts w:cs="Arial" w:hint="cs"/>
          <w:sz w:val="16"/>
          <w:szCs w:val="16"/>
          <w:rtl/>
        </w:rPr>
        <w:t>)</w:t>
      </w:r>
      <w:r>
        <w:rPr>
          <w:rFonts w:cs="Arial" w:hint="cs"/>
          <w:rtl/>
        </w:rPr>
        <w:t>.</w:t>
      </w:r>
      <w:r>
        <w:rPr>
          <w:rFonts w:cs="Arial"/>
          <w:rtl/>
        </w:rPr>
        <w:t xml:space="preserve"> ודוקא בב</w:t>
      </w:r>
      <w:r>
        <w:rPr>
          <w:rFonts w:cs="Arial" w:hint="cs"/>
          <w:rtl/>
        </w:rPr>
        <w:t>"</w:t>
      </w:r>
      <w:r>
        <w:rPr>
          <w:rFonts w:cs="Arial"/>
          <w:rtl/>
        </w:rPr>
        <w:t>ד</w:t>
      </w:r>
      <w:r>
        <w:rPr>
          <w:rFonts w:cs="Arial" w:hint="cs"/>
          <w:rtl/>
        </w:rPr>
        <w:t>,</w:t>
      </w:r>
      <w:r>
        <w:rPr>
          <w:rFonts w:cs="Arial"/>
          <w:rtl/>
        </w:rPr>
        <w:t xml:space="preserve"> דכשאומרים אין אנו יודעים להעיד שוב אינם יכולים להעיד דכיון שהגיד שוב אינו חוזר ומגיד </w:t>
      </w:r>
      <w:r w:rsidRPr="00230720">
        <w:rPr>
          <w:rFonts w:cs="Arial"/>
          <w:sz w:val="16"/>
          <w:szCs w:val="16"/>
          <w:rtl/>
        </w:rPr>
        <w:t xml:space="preserve">(כתובות יח:) </w:t>
      </w:r>
      <w:r>
        <w:rPr>
          <w:rFonts w:cs="Arial"/>
          <w:rtl/>
        </w:rPr>
        <w:t xml:space="preserve">והיינו אם לא יגיד דקרא אבל חוץ לבית דין אין לחוש כיון שיכול לחזור ולהגיד. </w:t>
      </w:r>
      <w:r>
        <w:rPr>
          <w:rFonts w:cs="Arial" w:hint="cs"/>
          <w:rtl/>
        </w:rPr>
        <w:t xml:space="preserve">עכ"ל. </w:t>
      </w:r>
      <w:r w:rsidRPr="001122E1">
        <w:rPr>
          <w:rFonts w:cs="Arial" w:hint="cs"/>
          <w:sz w:val="16"/>
          <w:szCs w:val="16"/>
          <w:rtl/>
        </w:rPr>
        <w:t xml:space="preserve">(וכתב הב"י- </w:t>
      </w:r>
      <w:r w:rsidRPr="001122E1">
        <w:rPr>
          <w:rFonts w:cs="Arial"/>
          <w:sz w:val="16"/>
          <w:szCs w:val="16"/>
          <w:rtl/>
        </w:rPr>
        <w:t>ולי נראה דילפינן הכי מדכתיב אם לא יגיד ונשא עונו במקום שאילו היה מגיד היה מחייב ממון</w:t>
      </w:r>
      <w:r>
        <w:rPr>
          <w:rFonts w:cs="Arial" w:hint="cs"/>
          <w:sz w:val="16"/>
          <w:szCs w:val="16"/>
          <w:rtl/>
        </w:rPr>
        <w:t>,</w:t>
      </w:r>
      <w:r w:rsidRPr="001122E1">
        <w:rPr>
          <w:rFonts w:cs="Arial"/>
          <w:sz w:val="16"/>
          <w:szCs w:val="16"/>
          <w:rtl/>
        </w:rPr>
        <w:t xml:space="preserve"> לאפוקי אם כבש עדותו חוץ לב</w:t>
      </w:r>
      <w:r w:rsidRPr="001122E1">
        <w:rPr>
          <w:rFonts w:cs="Arial" w:hint="cs"/>
          <w:sz w:val="16"/>
          <w:szCs w:val="16"/>
          <w:rtl/>
        </w:rPr>
        <w:t>"</w:t>
      </w:r>
      <w:r w:rsidRPr="001122E1">
        <w:rPr>
          <w:rFonts w:cs="Arial"/>
          <w:sz w:val="16"/>
          <w:szCs w:val="16"/>
          <w:rtl/>
        </w:rPr>
        <w:t>ד דאפילו היה מגיד שם לא היה מחייב ממון</w:t>
      </w:r>
      <w:r>
        <w:rPr>
          <w:rFonts w:cs="Arial" w:hint="cs"/>
          <w:sz w:val="16"/>
          <w:szCs w:val="16"/>
          <w:rtl/>
        </w:rPr>
        <w:t>.</w:t>
      </w:r>
      <w:r w:rsidRPr="001122E1">
        <w:rPr>
          <w:rFonts w:cs="Arial"/>
          <w:sz w:val="16"/>
          <w:szCs w:val="16"/>
          <w:rtl/>
        </w:rPr>
        <w:t xml:space="preserve"> והכי אמר אביי בפרק שבועת העדות </w:t>
      </w:r>
      <w:r w:rsidRPr="001122E1">
        <w:rPr>
          <w:rFonts w:cs="Arial"/>
          <w:sz w:val="12"/>
          <w:szCs w:val="12"/>
          <w:rtl/>
        </w:rPr>
        <w:t xml:space="preserve">(שבועות לב.) </w:t>
      </w:r>
      <w:r w:rsidRPr="001122E1">
        <w:rPr>
          <w:rFonts w:cs="Arial"/>
          <w:sz w:val="16"/>
          <w:szCs w:val="16"/>
          <w:rtl/>
        </w:rPr>
        <w:t>לגבי קרבן שבועה</w:t>
      </w:r>
      <w:r>
        <w:rPr>
          <w:rFonts w:cs="Arial" w:hint="cs"/>
          <w:sz w:val="16"/>
          <w:szCs w:val="16"/>
          <w:rtl/>
        </w:rPr>
        <w:t>)</w:t>
      </w:r>
    </w:p>
  </w:footnote>
  <w:footnote w:id="1352">
    <w:p w14:paraId="0973021D" w14:textId="77777777" w:rsidR="0013116F" w:rsidRDefault="0013116F" w:rsidP="004B607F">
      <w:pPr>
        <w:pStyle w:val="a9"/>
      </w:pPr>
      <w:r>
        <w:rPr>
          <w:rStyle w:val="ab"/>
        </w:rPr>
        <w:footnoteRef/>
      </w:r>
      <w:r>
        <w:rPr>
          <w:rtl/>
        </w:rPr>
        <w:t xml:space="preserve"> </w:t>
      </w:r>
      <w:r w:rsidRPr="00904ED7">
        <w:rPr>
          <w:rFonts w:cs="Arial"/>
          <w:rtl/>
        </w:rPr>
        <w:t>דחייב בדיני שמים</w:t>
      </w:r>
      <w:r>
        <w:rPr>
          <w:rFonts w:cs="Arial" w:hint="cs"/>
          <w:rtl/>
        </w:rPr>
        <w:t>, רש"י</w:t>
      </w:r>
      <w:r w:rsidRPr="00904ED7">
        <w:rPr>
          <w:rFonts w:cs="Arial"/>
          <w:rtl/>
        </w:rPr>
        <w:t>.</w:t>
      </w:r>
    </w:p>
  </w:footnote>
  <w:footnote w:id="1353">
    <w:p w14:paraId="1C24D167" w14:textId="77777777" w:rsidR="0013116F" w:rsidRDefault="0013116F" w:rsidP="004B607F">
      <w:pPr>
        <w:pStyle w:val="a9"/>
        <w:rPr>
          <w:rtl/>
        </w:rPr>
      </w:pPr>
      <w:r>
        <w:rPr>
          <w:rStyle w:val="ab"/>
        </w:rPr>
        <w:footnoteRef/>
      </w:r>
      <w:r>
        <w:rPr>
          <w:rtl/>
        </w:rPr>
        <w:t xml:space="preserve"> </w:t>
      </w:r>
      <w:r w:rsidRPr="00904ED7">
        <w:rPr>
          <w:rFonts w:cs="Arial"/>
          <w:rtl/>
        </w:rPr>
        <w:t>בתרי קא משתעי מדקפיד אהגדה משמע שאילו מגידין מתחייב זה ממון ועוד קי"ל (סוטה דף ב:) כל מקום שנאמר עד הרי כאן שני עדים עד שיפרט לך הכתוב אחד כדכתיב לא יקום עד אחד באיש (דברים יט)</w:t>
      </w:r>
      <w:r>
        <w:rPr>
          <w:rFonts w:cs="Arial" w:hint="cs"/>
          <w:rtl/>
        </w:rPr>
        <w:t>, רש"י</w:t>
      </w:r>
      <w:r w:rsidRPr="00904ED7">
        <w:rPr>
          <w:rFonts w:cs="Arial"/>
          <w:rtl/>
        </w:rPr>
        <w:t>.</w:t>
      </w:r>
    </w:p>
  </w:footnote>
  <w:footnote w:id="1354">
    <w:p w14:paraId="4B821F1B" w14:textId="77777777" w:rsidR="0013116F" w:rsidRDefault="0013116F" w:rsidP="004B607F">
      <w:pPr>
        <w:pStyle w:val="a9"/>
      </w:pPr>
      <w:r>
        <w:rPr>
          <w:rStyle w:val="ab"/>
        </w:rPr>
        <w:footnoteRef/>
      </w:r>
      <w:r>
        <w:rPr>
          <w:rtl/>
        </w:rPr>
        <w:t xml:space="preserve"> </w:t>
      </w:r>
      <w:r w:rsidRPr="00904ED7">
        <w:rPr>
          <w:rFonts w:cs="Arial"/>
          <w:rtl/>
        </w:rPr>
        <w:t>שמחייבו שבועה ובדיני שמים מיחייב דאי הוה מסהיד מחייב ליה שבועה ודלמא לא הוי משתבע בשיקרא ומשלם</w:t>
      </w:r>
      <w:r>
        <w:rPr>
          <w:rFonts w:cs="Arial" w:hint="cs"/>
          <w:rtl/>
        </w:rPr>
        <w:t>, רש"י</w:t>
      </w:r>
      <w:r w:rsidRPr="00904ED7">
        <w:rPr>
          <w:rFonts w:cs="Arial"/>
          <w:rtl/>
        </w:rPr>
        <w:t>.</w:t>
      </w:r>
    </w:p>
  </w:footnote>
  <w:footnote w:id="1355">
    <w:p w14:paraId="59F01B9C" w14:textId="77777777" w:rsidR="0013116F" w:rsidRDefault="0013116F" w:rsidP="004B607F">
      <w:pPr>
        <w:pStyle w:val="a9"/>
      </w:pPr>
      <w:r>
        <w:rPr>
          <w:rStyle w:val="ab"/>
        </w:rPr>
        <w:footnoteRef/>
      </w:r>
      <w:r>
        <w:rPr>
          <w:rtl/>
        </w:rPr>
        <w:t xml:space="preserve"> </w:t>
      </w:r>
      <w:r>
        <w:rPr>
          <w:rFonts w:hint="cs"/>
          <w:rtl/>
        </w:rPr>
        <w:t xml:space="preserve">סימן </w:t>
      </w:r>
      <w:r>
        <w:rPr>
          <w:rtl/>
        </w:rPr>
        <w:t>–</w:t>
      </w:r>
      <w:r>
        <w:rPr>
          <w:rFonts w:hint="cs"/>
          <w:rtl/>
        </w:rPr>
        <w:t xml:space="preserve"> קב"ה ייסר/ישנא ג'. וכן </w:t>
      </w:r>
      <w:r>
        <w:rPr>
          <w:rtl/>
        </w:rPr>
        <w:t>–</w:t>
      </w:r>
      <w:r>
        <w:rPr>
          <w:rFonts w:hint="cs"/>
          <w:rtl/>
        </w:rPr>
        <w:t xml:space="preserve"> גילוי קלקול ביחיד.</w:t>
      </w:r>
    </w:p>
  </w:footnote>
  <w:footnote w:id="1356">
    <w:p w14:paraId="6B60107A" w14:textId="77777777" w:rsidR="0013116F" w:rsidRDefault="0013116F" w:rsidP="004B607F">
      <w:pPr>
        <w:pStyle w:val="a9"/>
      </w:pPr>
      <w:r>
        <w:rPr>
          <w:rStyle w:val="ab"/>
        </w:rPr>
        <w:footnoteRef/>
      </w:r>
      <w:r>
        <w:rPr>
          <w:rtl/>
        </w:rPr>
        <w:t xml:space="preserve"> </w:t>
      </w:r>
      <w:r>
        <w:rPr>
          <w:rFonts w:hint="cs"/>
          <w:rtl/>
        </w:rPr>
        <w:t xml:space="preserve">סימן </w:t>
      </w:r>
      <w:r>
        <w:rPr>
          <w:rtl/>
        </w:rPr>
        <w:t>–</w:t>
      </w:r>
      <w:r>
        <w:rPr>
          <w:rFonts w:hint="cs"/>
          <w:rtl/>
        </w:rPr>
        <w:t xml:space="preserve"> היתר לא להעיד.</w:t>
      </w:r>
    </w:p>
  </w:footnote>
  <w:footnote w:id="1357">
    <w:p w14:paraId="5F650C3C" w14:textId="77777777" w:rsidR="0013116F" w:rsidRDefault="0013116F" w:rsidP="004B607F">
      <w:pPr>
        <w:pStyle w:val="a9"/>
      </w:pPr>
      <w:r>
        <w:rPr>
          <w:rStyle w:val="ab"/>
        </w:rPr>
        <w:footnoteRef/>
      </w:r>
      <w:r>
        <w:rPr>
          <w:rtl/>
        </w:rPr>
        <w:t xml:space="preserve"> </w:t>
      </w:r>
      <w:r>
        <w:rPr>
          <w:rFonts w:cs="Arial"/>
          <w:rtl/>
        </w:rPr>
        <w:t>לאפוקי יודע עדות לגוי וכמ"ש בסמוך (ס"ב)</w:t>
      </w:r>
      <w:r>
        <w:rPr>
          <w:rFonts w:cs="Arial" w:hint="cs"/>
          <w:rtl/>
        </w:rPr>
        <w:t>, ב"י.</w:t>
      </w:r>
    </w:p>
  </w:footnote>
  <w:footnote w:id="1358">
    <w:p w14:paraId="429333A3" w14:textId="77777777" w:rsidR="0013116F" w:rsidRDefault="0013116F" w:rsidP="004B607F">
      <w:pPr>
        <w:pStyle w:val="a9"/>
        <w:rPr>
          <w:rtl/>
        </w:rPr>
      </w:pPr>
      <w:r>
        <w:rPr>
          <w:rStyle w:val="ab"/>
        </w:rPr>
        <w:footnoteRef/>
      </w:r>
      <w:r>
        <w:rPr>
          <w:rtl/>
        </w:rPr>
        <w:t xml:space="preserve"> </w:t>
      </w:r>
      <w:r>
        <w:rPr>
          <w:rFonts w:cs="Arial"/>
          <w:rtl/>
        </w:rPr>
        <w:t>לאפוקי אם הוא קרוב או פסול דכיון דאפילו יגיד אינו מחייב ממון אינו בכלל נשיאות עון</w:t>
      </w:r>
      <w:r>
        <w:rPr>
          <w:rFonts w:cs="Arial" w:hint="cs"/>
          <w:rtl/>
        </w:rPr>
        <w:t>, ב"י.</w:t>
      </w:r>
    </w:p>
  </w:footnote>
  <w:footnote w:id="1359">
    <w:p w14:paraId="2430C5E4" w14:textId="77777777" w:rsidR="0013116F" w:rsidRDefault="0013116F" w:rsidP="004B607F">
      <w:pPr>
        <w:pStyle w:val="a9"/>
        <w:rPr>
          <w:rtl/>
        </w:rPr>
      </w:pPr>
      <w:r>
        <w:rPr>
          <w:rStyle w:val="ab"/>
        </w:rPr>
        <w:footnoteRef/>
      </w:r>
      <w:r>
        <w:rPr>
          <w:rtl/>
        </w:rPr>
        <w:t xml:space="preserve"> </w:t>
      </w:r>
      <w:r>
        <w:rPr>
          <w:rFonts w:cs="Arial"/>
          <w:rtl/>
        </w:rPr>
        <w:t>לאפוקי שאם אפי</w:t>
      </w:r>
      <w:r>
        <w:rPr>
          <w:rFonts w:cs="Arial" w:hint="cs"/>
          <w:rtl/>
        </w:rPr>
        <w:t>לו</w:t>
      </w:r>
      <w:r>
        <w:rPr>
          <w:rFonts w:cs="Arial"/>
          <w:rtl/>
        </w:rPr>
        <w:t xml:space="preserve"> שיעיד לא יחייבו ממון לזה כגון שלא הודה החוב בפניו וגם לא אמר אתם עדי אלא אמר בפניו אני חייב לזה מנה שאין מחייבין אותו לשלם ע</w:t>
      </w:r>
      <w:r>
        <w:rPr>
          <w:rFonts w:cs="Arial" w:hint="cs"/>
          <w:rtl/>
        </w:rPr>
        <w:t>"פ</w:t>
      </w:r>
      <w:r>
        <w:rPr>
          <w:rFonts w:cs="Arial"/>
          <w:rtl/>
        </w:rPr>
        <w:t xml:space="preserve"> עדות זו כמו שיתבאר בסי</w:t>
      </w:r>
      <w:r>
        <w:rPr>
          <w:rFonts w:cs="Arial" w:hint="cs"/>
          <w:rtl/>
        </w:rPr>
        <w:t>'</w:t>
      </w:r>
      <w:r>
        <w:rPr>
          <w:rFonts w:cs="Arial"/>
          <w:rtl/>
        </w:rPr>
        <w:t xml:space="preserve"> לב</w:t>
      </w:r>
      <w:r w:rsidRPr="00ED090A">
        <w:rPr>
          <w:rFonts w:cs="Arial"/>
          <w:sz w:val="16"/>
          <w:szCs w:val="16"/>
          <w:rtl/>
        </w:rPr>
        <w:t xml:space="preserve"> (א</w:t>
      </w:r>
      <w:r>
        <w:rPr>
          <w:rFonts w:cs="Arial" w:hint="cs"/>
          <w:sz w:val="16"/>
          <w:szCs w:val="16"/>
          <w:rtl/>
        </w:rPr>
        <w:t>,</w:t>
      </w:r>
      <w:r w:rsidRPr="00ED090A">
        <w:rPr>
          <w:rFonts w:cs="Arial"/>
          <w:sz w:val="16"/>
          <w:szCs w:val="16"/>
          <w:rtl/>
        </w:rPr>
        <w:t>ב,יד-טז)</w:t>
      </w:r>
      <w:r>
        <w:rPr>
          <w:rFonts w:cs="Arial"/>
          <w:rtl/>
        </w:rPr>
        <w:t xml:space="preserve"> וכיון דאפי</w:t>
      </w:r>
      <w:r>
        <w:rPr>
          <w:rFonts w:cs="Arial" w:hint="cs"/>
          <w:rtl/>
        </w:rPr>
        <w:t>לו</w:t>
      </w:r>
      <w:r>
        <w:rPr>
          <w:rFonts w:cs="Arial"/>
          <w:rtl/>
        </w:rPr>
        <w:t xml:space="preserve"> יגיד לא מחייב ממון ליכא נשיאות עון</w:t>
      </w:r>
      <w:r>
        <w:rPr>
          <w:rFonts w:hint="cs"/>
          <w:rtl/>
        </w:rPr>
        <w:t>, ב"י.</w:t>
      </w:r>
    </w:p>
  </w:footnote>
  <w:footnote w:id="1360">
    <w:p w14:paraId="7E246EDA" w14:textId="77777777" w:rsidR="0013116F" w:rsidRDefault="0013116F" w:rsidP="004B607F">
      <w:pPr>
        <w:pStyle w:val="a9"/>
        <w:rPr>
          <w:rtl/>
        </w:rPr>
      </w:pPr>
      <w:r>
        <w:rPr>
          <w:rStyle w:val="ab"/>
        </w:rPr>
        <w:footnoteRef/>
      </w:r>
      <w:r>
        <w:rPr>
          <w:rtl/>
        </w:rPr>
        <w:t xml:space="preserve"> </w:t>
      </w:r>
      <w:r w:rsidRPr="00BB1BC0">
        <w:rPr>
          <w:rFonts w:cs="Arial"/>
          <w:rtl/>
        </w:rPr>
        <w:t xml:space="preserve">ואפילו למאן דדאין דינא </w:t>
      </w:r>
      <w:r w:rsidRPr="00BB1BC0">
        <w:rPr>
          <w:rFonts w:cs="Arial"/>
          <w:color w:val="000000" w:themeColor="text1"/>
          <w:rtl/>
        </w:rPr>
        <w:t>דגרמי</w:t>
      </w:r>
      <w:r w:rsidRPr="00BB1BC0">
        <w:rPr>
          <w:rFonts w:cs="Arial"/>
          <w:color w:val="000000" w:themeColor="text1"/>
          <w:sz w:val="16"/>
          <w:szCs w:val="16"/>
          <w:rtl/>
        </w:rPr>
        <w:t xml:space="preserve"> (ב"ק ק.)</w:t>
      </w:r>
      <w:r>
        <w:rPr>
          <w:rFonts w:cs="Arial" w:hint="cs"/>
          <w:color w:val="000000" w:themeColor="text1"/>
          <w:rtl/>
        </w:rPr>
        <w:t xml:space="preserve"> אינו חייב בדיני אדם</w:t>
      </w:r>
      <w:r w:rsidRPr="00BB1BC0">
        <w:rPr>
          <w:rFonts w:cs="Arial" w:hint="cs"/>
          <w:color w:val="000000" w:themeColor="text1"/>
          <w:rtl/>
        </w:rPr>
        <w:t>,</w:t>
      </w:r>
      <w:r w:rsidRPr="00BB1BC0">
        <w:rPr>
          <w:rFonts w:cs="Arial"/>
          <w:color w:val="000000" w:themeColor="text1"/>
          <w:rtl/>
        </w:rPr>
        <w:t xml:space="preserve"> לפי שאין אדם חייב להעיד לחבירו אלא ממדת גמילות חסדים</w:t>
      </w:r>
      <w:r>
        <w:rPr>
          <w:rFonts w:cs="Arial" w:hint="cs"/>
          <w:color w:val="000000" w:themeColor="text1"/>
          <w:rtl/>
        </w:rPr>
        <w:t>,</w:t>
      </w:r>
      <w:r w:rsidRPr="00A71A4B">
        <w:rPr>
          <w:rFonts w:cs="Arial" w:hint="cs"/>
          <w:rtl/>
        </w:rPr>
        <w:t xml:space="preserve"> </w:t>
      </w:r>
      <w:r>
        <w:rPr>
          <w:rFonts w:cs="Arial" w:hint="cs"/>
          <w:rtl/>
        </w:rPr>
        <w:t xml:space="preserve">רא"ה </w:t>
      </w:r>
      <w:r w:rsidRPr="00017F5F">
        <w:rPr>
          <w:rFonts w:cs="Arial" w:hint="cs"/>
          <w:sz w:val="16"/>
          <w:szCs w:val="16"/>
          <w:rtl/>
        </w:rPr>
        <w:t>(כ"כ בשמו ה</w:t>
      </w:r>
      <w:r w:rsidRPr="00017F5F">
        <w:rPr>
          <w:rFonts w:cs="Arial"/>
          <w:sz w:val="16"/>
          <w:szCs w:val="16"/>
          <w:rtl/>
        </w:rPr>
        <w:t>נמוק</w:t>
      </w:r>
      <w:r w:rsidRPr="00017F5F">
        <w:rPr>
          <w:rFonts w:cs="Arial" w:hint="cs"/>
          <w:sz w:val="16"/>
          <w:szCs w:val="16"/>
          <w:rtl/>
        </w:rPr>
        <w:t>"</w:t>
      </w:r>
      <w:r w:rsidRPr="00017F5F">
        <w:rPr>
          <w:rFonts w:cs="Arial"/>
          <w:sz w:val="16"/>
          <w:szCs w:val="16"/>
          <w:rtl/>
        </w:rPr>
        <w:t>י</w:t>
      </w:r>
      <w:r>
        <w:rPr>
          <w:rFonts w:cs="Arial" w:hint="cs"/>
          <w:sz w:val="16"/>
          <w:szCs w:val="16"/>
          <w:rtl/>
        </w:rPr>
        <w:t xml:space="preserve"> [</w:t>
      </w:r>
      <w:r w:rsidRPr="00BB1BC0">
        <w:rPr>
          <w:rFonts w:cs="Arial"/>
          <w:sz w:val="16"/>
          <w:szCs w:val="16"/>
          <w:rtl/>
        </w:rPr>
        <w:t>כד.</w:t>
      </w:r>
      <w:r>
        <w:rPr>
          <w:rFonts w:cs="Arial" w:hint="cs"/>
          <w:sz w:val="16"/>
          <w:szCs w:val="16"/>
          <w:rtl/>
        </w:rPr>
        <w:t>]</w:t>
      </w:r>
      <w:r w:rsidRPr="00BB1BC0">
        <w:rPr>
          <w:rFonts w:cs="Arial"/>
          <w:sz w:val="16"/>
          <w:szCs w:val="16"/>
          <w:rtl/>
        </w:rPr>
        <w:t>)</w:t>
      </w:r>
      <w:r>
        <w:rPr>
          <w:rFonts w:cs="Arial" w:hint="cs"/>
          <w:rtl/>
        </w:rPr>
        <w:t>.</w:t>
      </w:r>
      <w:r w:rsidRPr="00A71A4B">
        <w:rPr>
          <w:rFonts w:cs="Arial" w:hint="cs"/>
          <w:rtl/>
        </w:rPr>
        <w:t xml:space="preserve"> </w:t>
      </w:r>
      <w:r>
        <w:rPr>
          <w:rFonts w:cs="Arial" w:hint="cs"/>
          <w:rtl/>
        </w:rPr>
        <w:t>וכתב הב"י ד</w:t>
      </w:r>
      <w:r>
        <w:rPr>
          <w:rFonts w:cs="Arial"/>
          <w:rtl/>
        </w:rPr>
        <w:t xml:space="preserve">משמע </w:t>
      </w:r>
      <w:r>
        <w:rPr>
          <w:rFonts w:cs="Arial" w:hint="cs"/>
          <w:rtl/>
        </w:rPr>
        <w:t xml:space="preserve">מדבריו </w:t>
      </w:r>
      <w:r>
        <w:rPr>
          <w:rFonts w:cs="Arial"/>
          <w:rtl/>
        </w:rPr>
        <w:t>דהיינו אפי</w:t>
      </w:r>
      <w:r>
        <w:rPr>
          <w:rFonts w:cs="Arial" w:hint="cs"/>
          <w:rtl/>
        </w:rPr>
        <w:t>'</w:t>
      </w:r>
      <w:r>
        <w:rPr>
          <w:rFonts w:cs="Arial"/>
          <w:rtl/>
        </w:rPr>
        <w:t xml:space="preserve"> איכא תרי סהדי</w:t>
      </w:r>
      <w:r>
        <w:rPr>
          <w:rFonts w:cs="Arial" w:hint="cs"/>
          <w:rtl/>
        </w:rPr>
        <w:t>,</w:t>
      </w:r>
      <w:r>
        <w:rPr>
          <w:rFonts w:cs="Arial"/>
          <w:rtl/>
        </w:rPr>
        <w:t xml:space="preserve"> וכן משמע ממש</w:t>
      </w:r>
      <w:r>
        <w:rPr>
          <w:rFonts w:cs="Arial" w:hint="cs"/>
          <w:rtl/>
        </w:rPr>
        <w:t>"כ</w:t>
      </w:r>
      <w:r>
        <w:rPr>
          <w:rFonts w:cs="Arial"/>
          <w:rtl/>
        </w:rPr>
        <w:t xml:space="preserve"> רבינו בסמוך (ס"ד) ואם כבש עדותו וכו' ומשמע דקאי להיכא דאיכא תרי סהדי</w:t>
      </w:r>
      <w:r>
        <w:rPr>
          <w:rFonts w:cs="Arial" w:hint="cs"/>
          <w:rtl/>
        </w:rPr>
        <w:t>. עכ"ל.</w:t>
      </w:r>
      <w:r w:rsidRPr="00A71A4B">
        <w:rPr>
          <w:rFonts w:cs="Arial" w:hint="cs"/>
          <w:rtl/>
        </w:rPr>
        <w:t xml:space="preserve"> </w:t>
      </w:r>
      <w:r>
        <w:rPr>
          <w:rFonts w:cs="Arial" w:hint="cs"/>
          <w:rtl/>
        </w:rPr>
        <w:t xml:space="preserve">וכ"כ הרמב"ן </w:t>
      </w:r>
      <w:r>
        <w:rPr>
          <w:rFonts w:cs="Arial" w:hint="cs"/>
          <w:sz w:val="16"/>
          <w:szCs w:val="16"/>
          <w:rtl/>
        </w:rPr>
        <w:t>(קונטרס דינא דגרמי ד"ה והיודע בעדות)</w:t>
      </w:r>
      <w:r>
        <w:rPr>
          <w:rFonts w:cs="Arial" w:hint="cs"/>
          <w:rtl/>
        </w:rPr>
        <w:t xml:space="preserve"> </w:t>
      </w:r>
      <w:r>
        <w:rPr>
          <w:rFonts w:hint="cs"/>
          <w:rtl/>
        </w:rPr>
        <w:t xml:space="preserve">וז"ל- </w:t>
      </w:r>
      <w:r w:rsidRPr="00017F5F">
        <w:rPr>
          <w:rFonts w:cs="Arial"/>
          <w:rtl/>
        </w:rPr>
        <w:t>מי שאינו רוצה להעיד פטור שאין עליו חיוב ממון אלא מדרך גמילות חסדים ואם אינו רוצה לטרוח ולהצילו לזה אינו חייב, למה זה דומה למי שרואה כיסו של חברו אבד ואינו מצילו או מי שאינו רוצה ליתן פרוטה משלו לעני שאין בית דין מחייבין אותו בכך, אף כאן אין בית דין מחייבין אותו לשלם מביתו שלא חייבתו התורה בכך אלא כשאר המצות היא זו ואינה בדין ממון</w:t>
      </w:r>
      <w:r>
        <w:rPr>
          <w:rFonts w:hint="cs"/>
          <w:rtl/>
        </w:rPr>
        <w:t>.</w:t>
      </w:r>
    </w:p>
  </w:footnote>
  <w:footnote w:id="1361">
    <w:p w14:paraId="56BD95C8" w14:textId="77777777" w:rsidR="0013116F" w:rsidRDefault="0013116F" w:rsidP="004B607F">
      <w:pPr>
        <w:pStyle w:val="a9"/>
      </w:pPr>
      <w:r>
        <w:rPr>
          <w:rStyle w:val="ab"/>
        </w:rPr>
        <w:footnoteRef/>
      </w:r>
      <w:r>
        <w:rPr>
          <w:rtl/>
        </w:rPr>
        <w:t xml:space="preserve"> </w:t>
      </w:r>
      <w:r>
        <w:rPr>
          <w:rFonts w:hint="cs"/>
          <w:rtl/>
        </w:rPr>
        <w:t xml:space="preserve">וז"ל- </w:t>
      </w:r>
      <w:r w:rsidRPr="000C377E">
        <w:rPr>
          <w:rFonts w:cs="Arial"/>
          <w:rtl/>
        </w:rPr>
        <w:t>העד מצווה להעיד בבית דין בכל עדות שיודע, בין בעדות שיחייב בה את חבירו בין בעדות שיזכהו בו, והוא שיתבענו להעיד בדיני ממונות שנאמר והוא עד או ראה או ידע אם לא יגיד ונשא עונו.</w:t>
      </w:r>
    </w:p>
  </w:footnote>
  <w:footnote w:id="1362">
    <w:p w14:paraId="42280BC6" w14:textId="77777777" w:rsidR="0013116F" w:rsidRPr="00864FB7" w:rsidRDefault="0013116F" w:rsidP="004B607F">
      <w:pPr>
        <w:pStyle w:val="a9"/>
      </w:pPr>
      <w:r>
        <w:rPr>
          <w:rStyle w:val="ab"/>
        </w:rPr>
        <w:footnoteRef/>
      </w:r>
      <w:r>
        <w:rPr>
          <w:rtl/>
        </w:rPr>
        <w:t xml:space="preserve"> </w:t>
      </w:r>
      <w:r>
        <w:rPr>
          <w:rFonts w:cs="Arial"/>
          <w:rtl/>
        </w:rPr>
        <w:t>כלומר שאע</w:t>
      </w:r>
      <w:r>
        <w:rPr>
          <w:rFonts w:cs="Arial" w:hint="cs"/>
          <w:rtl/>
        </w:rPr>
        <w:t>"</w:t>
      </w:r>
      <w:r>
        <w:rPr>
          <w:rFonts w:cs="Arial"/>
          <w:rtl/>
        </w:rPr>
        <w:t xml:space="preserve">פ שחייב להעיד לישראל חבירו </w:t>
      </w:r>
      <w:r>
        <w:rPr>
          <w:rFonts w:cs="Arial" w:hint="cs"/>
          <w:rtl/>
        </w:rPr>
        <w:t xml:space="preserve">- </w:t>
      </w:r>
      <w:r>
        <w:rPr>
          <w:rFonts w:cs="Arial"/>
          <w:rtl/>
        </w:rPr>
        <w:t>הני מילי כשתבעו</w:t>
      </w:r>
      <w:r>
        <w:rPr>
          <w:rFonts w:cs="Arial" w:hint="cs"/>
          <w:rtl/>
        </w:rPr>
        <w:t>,</w:t>
      </w:r>
      <w:r>
        <w:rPr>
          <w:rFonts w:cs="Arial"/>
          <w:rtl/>
        </w:rPr>
        <w:t xml:space="preserve"> אבל אם לא תבעו אינו חייב להעיד לו. ולמד כן רבינו מדתנן בפ</w:t>
      </w:r>
      <w:r>
        <w:rPr>
          <w:rFonts w:cs="Arial" w:hint="cs"/>
          <w:rtl/>
        </w:rPr>
        <w:t>'</w:t>
      </w:r>
      <w:r>
        <w:rPr>
          <w:rFonts w:cs="Arial"/>
          <w:rtl/>
        </w:rPr>
        <w:t xml:space="preserve"> שבועת העדות</w:t>
      </w:r>
      <w:r w:rsidRPr="00F4707E">
        <w:rPr>
          <w:rFonts w:cs="Arial"/>
          <w:sz w:val="14"/>
          <w:szCs w:val="14"/>
          <w:rtl/>
        </w:rPr>
        <w:t xml:space="preserve"> (לה.) </w:t>
      </w:r>
      <w:r>
        <w:rPr>
          <w:rFonts w:cs="Arial"/>
          <w:rtl/>
        </w:rPr>
        <w:t>דכל שלא שמעו מפיו שאמר להם בואו והעידוני אינם חייבים קרבן</w:t>
      </w:r>
      <w:r>
        <w:rPr>
          <w:rFonts w:cs="Arial" w:hint="cs"/>
          <w:rtl/>
        </w:rPr>
        <w:t>,</w:t>
      </w:r>
      <w:r>
        <w:rPr>
          <w:rFonts w:cs="Arial"/>
          <w:rtl/>
        </w:rPr>
        <w:t xml:space="preserve"> וכיון דקי</w:t>
      </w:r>
      <w:r>
        <w:rPr>
          <w:rFonts w:cs="Arial" w:hint="cs"/>
          <w:rtl/>
        </w:rPr>
        <w:t>י"</w:t>
      </w:r>
      <w:r>
        <w:rPr>
          <w:rFonts w:cs="Arial"/>
          <w:rtl/>
        </w:rPr>
        <w:t xml:space="preserve">ל דכל היכא </w:t>
      </w:r>
      <w:r>
        <w:rPr>
          <w:rFonts w:cs="Arial" w:hint="cs"/>
          <w:rtl/>
        </w:rPr>
        <w:t>דמחייב קרבן שבועה אם לא נשבע נשיאות עון מיהו איכא</w:t>
      </w:r>
      <w:r w:rsidRPr="00864FB7">
        <w:rPr>
          <w:rFonts w:cs="Arial" w:hint="cs"/>
          <w:rtl/>
        </w:rPr>
        <w:t>,</w:t>
      </w:r>
      <w:r w:rsidRPr="00864FB7">
        <w:rPr>
          <w:rFonts w:cs="Arial"/>
          <w:rtl/>
        </w:rPr>
        <w:t xml:space="preserve"> מכלל דכל היכא דבנשבע לא מחייב קרבן שבועה</w:t>
      </w:r>
      <w:r>
        <w:rPr>
          <w:rFonts w:cs="Arial" w:hint="cs"/>
          <w:rtl/>
        </w:rPr>
        <w:t xml:space="preserve"> -</w:t>
      </w:r>
      <w:r w:rsidRPr="00864FB7">
        <w:rPr>
          <w:rFonts w:cs="Arial" w:hint="cs"/>
          <w:rtl/>
        </w:rPr>
        <w:t xml:space="preserve"> </w:t>
      </w:r>
      <w:r w:rsidRPr="00864FB7">
        <w:rPr>
          <w:rFonts w:cs="Arial"/>
          <w:rtl/>
        </w:rPr>
        <w:t>כי לא נשבע ליכא נשיאות עו</w:t>
      </w:r>
      <w:r w:rsidRPr="00864FB7">
        <w:rPr>
          <w:rFonts w:cs="Arial" w:hint="cs"/>
          <w:rtl/>
        </w:rPr>
        <w:t>ן, ב"י.</w:t>
      </w:r>
      <w:r w:rsidRPr="003972A8">
        <w:rPr>
          <w:rFonts w:hint="cs"/>
          <w:rtl/>
        </w:rPr>
        <w:t xml:space="preserve"> </w:t>
      </w:r>
      <w:r>
        <w:rPr>
          <w:rFonts w:hint="cs"/>
          <w:rtl/>
        </w:rPr>
        <w:t xml:space="preserve">וכן משמע לי מדברי התוס' </w:t>
      </w:r>
      <w:r w:rsidRPr="00A87493">
        <w:rPr>
          <w:rFonts w:cs="Arial" w:hint="cs"/>
          <w:sz w:val="16"/>
          <w:szCs w:val="16"/>
          <w:rtl/>
        </w:rPr>
        <w:t>(</w:t>
      </w:r>
      <w:r w:rsidRPr="00A87493">
        <w:rPr>
          <w:rFonts w:cs="Arial"/>
          <w:sz w:val="16"/>
          <w:szCs w:val="16"/>
          <w:rtl/>
        </w:rPr>
        <w:t>ר</w:t>
      </w:r>
      <w:r w:rsidRPr="00A87493">
        <w:rPr>
          <w:rFonts w:cs="Arial" w:hint="cs"/>
          <w:sz w:val="16"/>
          <w:szCs w:val="16"/>
          <w:rtl/>
        </w:rPr>
        <w:t>"פ</w:t>
      </w:r>
      <w:r w:rsidRPr="00A87493">
        <w:rPr>
          <w:rFonts w:cs="Arial"/>
          <w:sz w:val="16"/>
          <w:szCs w:val="16"/>
          <w:rtl/>
        </w:rPr>
        <w:t xml:space="preserve"> הכונס נו. ד"ה פשיטא)</w:t>
      </w:r>
      <w:r>
        <w:rPr>
          <w:rFonts w:hint="cs"/>
          <w:rtl/>
        </w:rPr>
        <w:t xml:space="preserve"> שתבעו לבוא להעיד</w:t>
      </w:r>
      <w:r>
        <w:rPr>
          <w:rFonts w:hint="cs"/>
          <w:sz w:val="16"/>
          <w:szCs w:val="16"/>
          <w:rtl/>
        </w:rPr>
        <w:t xml:space="preserve"> (כדמוכח מהמשך דברי התוס' שם [שהרי מי קראם לב"ד?, ע"ש])</w:t>
      </w:r>
      <w:r>
        <w:rPr>
          <w:rFonts w:hint="cs"/>
          <w:rtl/>
        </w:rPr>
        <w:t>.</w:t>
      </w:r>
    </w:p>
  </w:footnote>
  <w:footnote w:id="1363">
    <w:p w14:paraId="155876E9" w14:textId="77777777" w:rsidR="0013116F" w:rsidRDefault="0013116F" w:rsidP="004B607F">
      <w:pPr>
        <w:pStyle w:val="a9"/>
        <w:rPr>
          <w:rtl/>
        </w:rPr>
      </w:pPr>
      <w:r>
        <w:rPr>
          <w:rStyle w:val="ab"/>
        </w:rPr>
        <w:footnoteRef/>
      </w:r>
      <w:r>
        <w:rPr>
          <w:rtl/>
        </w:rPr>
        <w:t xml:space="preserve"> </w:t>
      </w:r>
      <w:r w:rsidRPr="00614AC6">
        <w:rPr>
          <w:rFonts w:cs="Arial" w:hint="cs"/>
          <w:rtl/>
        </w:rPr>
        <w:t>מכל הנ"ל יוצא שאם לא תבע ממנו - לכו"ע אינו חייב להעיד לו, ואין לו נשיאות עון כשכובש עדותו</w:t>
      </w:r>
      <w:r w:rsidRPr="00614AC6">
        <w:rPr>
          <w:rFonts w:cs="Arial" w:hint="cs"/>
          <w:sz w:val="16"/>
          <w:szCs w:val="16"/>
          <w:rtl/>
        </w:rPr>
        <w:t xml:space="preserve"> (היינו שאינו חייב בדיני שמים)</w:t>
      </w:r>
      <w:r w:rsidRPr="00614AC6">
        <w:rPr>
          <w:rFonts w:cs="Arial" w:hint="cs"/>
          <w:rtl/>
        </w:rPr>
        <w:t>, אבל יש לשאול-...</w:t>
      </w:r>
    </w:p>
  </w:footnote>
  <w:footnote w:id="1364">
    <w:p w14:paraId="7DD68329" w14:textId="77777777" w:rsidR="0013116F" w:rsidRDefault="0013116F" w:rsidP="004B607F">
      <w:pPr>
        <w:pStyle w:val="a9"/>
      </w:pPr>
      <w:r>
        <w:rPr>
          <w:rStyle w:val="ab"/>
        </w:rPr>
        <w:footnoteRef/>
      </w:r>
      <w:r>
        <w:rPr>
          <w:rtl/>
        </w:rPr>
        <w:t xml:space="preserve"> </w:t>
      </w:r>
      <w:r>
        <w:rPr>
          <w:rFonts w:hint="cs"/>
          <w:rtl/>
        </w:rPr>
        <w:t xml:space="preserve">סימן </w:t>
      </w:r>
      <w:r>
        <w:rPr>
          <w:rtl/>
        </w:rPr>
        <w:t>–</w:t>
      </w:r>
      <w:r>
        <w:rPr>
          <w:rFonts w:hint="cs"/>
          <w:rtl/>
        </w:rPr>
        <w:t xml:space="preserve"> לא אשקר אפילו לך.</w:t>
      </w:r>
    </w:p>
  </w:footnote>
  <w:footnote w:id="1365">
    <w:p w14:paraId="2972B6C7" w14:textId="77777777" w:rsidR="0013116F" w:rsidRDefault="0013116F" w:rsidP="004B607F">
      <w:pPr>
        <w:pStyle w:val="a9"/>
        <w:rPr>
          <w:rtl/>
        </w:rPr>
      </w:pPr>
      <w:r>
        <w:rPr>
          <w:rStyle w:val="ab"/>
        </w:rPr>
        <w:footnoteRef/>
      </w:r>
      <w:r>
        <w:rPr>
          <w:rtl/>
        </w:rPr>
        <w:t xml:space="preserve"> </w:t>
      </w:r>
      <w:r>
        <w:rPr>
          <w:rFonts w:cs="Arial" w:hint="cs"/>
          <w:rtl/>
        </w:rPr>
        <w:t>וכ"כ רי"ו</w:t>
      </w:r>
      <w:r w:rsidRPr="00FB3387">
        <w:rPr>
          <w:rFonts w:cs="Arial"/>
          <w:rtl/>
        </w:rPr>
        <w:t xml:space="preserve"> </w:t>
      </w:r>
      <w:r>
        <w:rPr>
          <w:rFonts w:cs="Arial" w:hint="cs"/>
          <w:sz w:val="16"/>
          <w:szCs w:val="16"/>
          <w:rtl/>
        </w:rPr>
        <w:t xml:space="preserve">(מישרים </w:t>
      </w:r>
      <w:r w:rsidRPr="00260C07">
        <w:rPr>
          <w:rFonts w:cs="Arial"/>
          <w:sz w:val="16"/>
          <w:szCs w:val="16"/>
          <w:rtl/>
        </w:rPr>
        <w:t>נ"ב ח"ב יא ע"ד)</w:t>
      </w:r>
      <w:r>
        <w:rPr>
          <w:rFonts w:cs="Arial" w:hint="cs"/>
          <w:rtl/>
        </w:rPr>
        <w:t xml:space="preserve">- </w:t>
      </w:r>
      <w:r w:rsidRPr="00FB3387">
        <w:rPr>
          <w:rFonts w:cs="Arial"/>
          <w:rtl/>
        </w:rPr>
        <w:t>הרואה דבר עבירה חייב להעיד לקיים</w:t>
      </w:r>
      <w:r w:rsidRPr="00260C07">
        <w:rPr>
          <w:rFonts w:cs="Arial"/>
          <w:sz w:val="16"/>
          <w:szCs w:val="16"/>
          <w:rtl/>
        </w:rPr>
        <w:t xml:space="preserve"> </w:t>
      </w:r>
      <w:r w:rsidRPr="00FB3387">
        <w:rPr>
          <w:rFonts w:cs="Arial"/>
          <w:rtl/>
        </w:rPr>
        <w:t>ובערת הרע מקרבך</w:t>
      </w:r>
      <w:r>
        <w:rPr>
          <w:rFonts w:cs="Arial" w:hint="cs"/>
          <w:rtl/>
        </w:rPr>
        <w:t>.</w:t>
      </w:r>
      <w:r w:rsidRPr="00FB3387">
        <w:rPr>
          <w:rFonts w:cs="Arial"/>
          <w:rtl/>
        </w:rPr>
        <w:t xml:space="preserve"> ו</w:t>
      </w:r>
      <w:r>
        <w:rPr>
          <w:rFonts w:cs="Arial" w:hint="cs"/>
          <w:rtl/>
        </w:rPr>
        <w:t>כתב עליו ה</w:t>
      </w:r>
      <w:r>
        <w:rPr>
          <w:rFonts w:hint="cs"/>
          <w:rtl/>
        </w:rPr>
        <w:t>דרכ"מ (אות ב) ד</w:t>
      </w:r>
      <w:r w:rsidRPr="00FB3387">
        <w:rPr>
          <w:rFonts w:cs="Arial"/>
          <w:rtl/>
        </w:rPr>
        <w:t>נראה דמיירי שהיו שני עדים או לאפרושי מאיסורא אפילו אחד</w:t>
      </w:r>
      <w:r>
        <w:rPr>
          <w:rFonts w:cs="Arial" w:hint="cs"/>
          <w:rtl/>
        </w:rPr>
        <w:t>,</w:t>
      </w:r>
      <w:r w:rsidRPr="00FB3387">
        <w:rPr>
          <w:rFonts w:cs="Arial"/>
          <w:rtl/>
        </w:rPr>
        <w:t xml:space="preserve"> אבל בלאו הכי אחד לא יעיד כמו שכתבתי</w:t>
      </w:r>
      <w:r>
        <w:rPr>
          <w:rFonts w:hint="cs"/>
          <w:rtl/>
        </w:rPr>
        <w:t>.</w:t>
      </w:r>
    </w:p>
  </w:footnote>
  <w:footnote w:id="1366">
    <w:p w14:paraId="30DAC5F0" w14:textId="77777777" w:rsidR="0013116F" w:rsidRDefault="0013116F" w:rsidP="004B607F">
      <w:pPr>
        <w:pStyle w:val="a9"/>
      </w:pPr>
      <w:r>
        <w:rPr>
          <w:rStyle w:val="ab"/>
        </w:rPr>
        <w:footnoteRef/>
      </w:r>
      <w:r>
        <w:rPr>
          <w:rtl/>
        </w:rPr>
        <w:t xml:space="preserve"> </w:t>
      </w:r>
      <w:r w:rsidRPr="003731DF">
        <w:rPr>
          <w:rFonts w:cs="Arial"/>
          <w:rtl/>
        </w:rPr>
        <w:t>לאפוקי קרוב או פסול. ואפילו למ"ד [מרדכי שבועות סי' תש"ס] החרם חל על הקרובים, מ"מ כל זמן שלא נתנו חרם אינו בכלל נשיאות עון, כיון דאף אם יעיד אינו מחייבו ממון. ב"י [סעיף א']</w:t>
      </w:r>
      <w:r>
        <w:rPr>
          <w:rFonts w:cs="Arial" w:hint="cs"/>
          <w:rtl/>
        </w:rPr>
        <w:t>, סמ"ע (סק"ג).</w:t>
      </w:r>
    </w:p>
  </w:footnote>
  <w:footnote w:id="1367">
    <w:p w14:paraId="53E85344" w14:textId="77777777" w:rsidR="0013116F" w:rsidRDefault="0013116F" w:rsidP="004B607F">
      <w:pPr>
        <w:pStyle w:val="a9"/>
        <w:rPr>
          <w:rtl/>
        </w:rPr>
      </w:pPr>
      <w:r>
        <w:rPr>
          <w:rStyle w:val="ab"/>
        </w:rPr>
        <w:footnoteRef/>
      </w:r>
      <w:r>
        <w:rPr>
          <w:rtl/>
        </w:rPr>
        <w:t xml:space="preserve"> </w:t>
      </w:r>
      <w:r w:rsidRPr="003731DF">
        <w:rPr>
          <w:rFonts w:cs="Arial"/>
          <w:rtl/>
        </w:rPr>
        <w:t>לאפוקי אם לא ראו ההלואה אלא שהלוה הודה בפניהן שחייב לזה ולא אמר אתם עדי, דאין תועלת בעדותן, דיכול הלה לומר שלא להשביע את עצמי כיונתי, כמו שכתבתי בסמוך סעיף ח' [סקל"ט] ולקמן סימן ל"ב [סק"א] ופ"א [סקכ"ט]. ואפילו אם שמעו שהודה לו ע"פ תביעתו, כתבתי בדרישה דנראה דאין צריכין להעיד כדי דע"י עדותן יצטרך לישבע שלהשטות נתכוין, דגם בלא עדותן אם יאמר זה הלא הודית לפני פלוני ופלוני צריך לישבע שלהשטות נתכוין, אם לא שיטעון להד"ם, ובזה אף אם יעידו העדים ויטעון להד"מ יהיה פטור מהשבועה וכמ"ש הטור בריש סימן ל"ב, ע"ש</w:t>
      </w:r>
      <w:r>
        <w:rPr>
          <w:rFonts w:hint="cs"/>
          <w:rtl/>
        </w:rPr>
        <w:t>, סמ"ע (סק"ד).</w:t>
      </w:r>
    </w:p>
  </w:footnote>
  <w:footnote w:id="1368">
    <w:p w14:paraId="12CF31B2" w14:textId="77777777" w:rsidR="0013116F" w:rsidRDefault="0013116F" w:rsidP="004B607F">
      <w:pPr>
        <w:pStyle w:val="a9"/>
        <w:rPr>
          <w:rtl/>
        </w:rPr>
      </w:pPr>
      <w:r>
        <w:rPr>
          <w:rStyle w:val="ab"/>
        </w:rPr>
        <w:footnoteRef/>
      </w:r>
      <w:r>
        <w:rPr>
          <w:rtl/>
        </w:rPr>
        <w:t xml:space="preserve"> </w:t>
      </w:r>
      <w:r w:rsidRPr="003731DF">
        <w:rPr>
          <w:rFonts w:cs="Arial"/>
          <w:rtl/>
        </w:rPr>
        <w:t>דכמו דבלא תביעה אינו חייב קרבן על שמעו קול אלה הכי נמי לענין נשיאות עון אינו בלא תביעה</w:t>
      </w:r>
      <w:r>
        <w:rPr>
          <w:rFonts w:cs="Arial" w:hint="cs"/>
          <w:rtl/>
        </w:rPr>
        <w:t>, סמ"ע (סק"ו)</w:t>
      </w:r>
      <w:r w:rsidRPr="003731DF">
        <w:rPr>
          <w:rFonts w:cs="Arial"/>
          <w:rtl/>
        </w:rPr>
        <w:t>.</w:t>
      </w:r>
      <w:r w:rsidRPr="00C16AC9">
        <w:rPr>
          <w:rtl/>
        </w:rPr>
        <w:t xml:space="preserve"> </w:t>
      </w:r>
      <w:r w:rsidRPr="00C16AC9">
        <w:rPr>
          <w:rFonts w:cs="Arial"/>
          <w:rtl/>
        </w:rPr>
        <w:t>עיין בתשובת משכנות יעקב [חו"מ] סי' י"ב שכתב דזה צע"ג, דהא יש בזה גם בלא תבעו משום לא תעמוד על דם רעך, כל שיודע לו זכות והוא מפסיד ע"י מניעתו להעיד, וכ"כ להדיא הרמב"ם בספר המצוות מצוה [ל"ת] רצ"ז בשם ספרי כו'. וגם יש בזה משום השבת אבידה כו', ע"ש. ועיין בספר שער משפט [סק"ב] שהאריך ג"כ לתמוה בזה, ובסוף כתב, ולולא דברי הב"י והסמ"ע הייתי אומר, דמ"ש הרמב"ם [פ"א מעדות ה"א] והטור [סעיף ג'] והוא שיתבענו שיעיד לו, היינו לאפוקי כשאדם יודע עדות לחבירו והבעלי דינים עדיין אין דנין זה עם זה, או שדנין זה עם זה אלא שאינו יודע אם הדבר תלוי בעדותו, אינו מחויב לילך לב"ד להעיד, משא"כ בדבר איסור או דיני נפשות מחויב לילך מעצמו כו', אבל פשיטא אף בדיני ממונות מחויב להעיד כשיודע שהבע"ד דנין ביחד והדבר תלוי בו. וכן יש להוכיח מדברי הרא"ה בספר החינוך מצוה קכ"ב שכתב שבדיני ממונות אין אדם חייב להעיד עליהם מעצמו אא"כ יתבענו בעל דבר או בית דין כו'. ע"ש דמסיים כנלע"ד ברור, דלא כהב"י והסמ"ע</w:t>
      </w:r>
      <w:r>
        <w:rPr>
          <w:rFonts w:cs="Arial" w:hint="cs"/>
          <w:rtl/>
        </w:rPr>
        <w:t>, פת"ש (סק"ד).</w:t>
      </w:r>
    </w:p>
  </w:footnote>
  <w:footnote w:id="1369">
    <w:p w14:paraId="31B232E9" w14:textId="77777777" w:rsidR="0013116F" w:rsidRDefault="0013116F" w:rsidP="004B607F">
      <w:pPr>
        <w:pStyle w:val="a9"/>
      </w:pPr>
      <w:r>
        <w:rPr>
          <w:rStyle w:val="ab"/>
        </w:rPr>
        <w:footnoteRef/>
      </w:r>
      <w:r>
        <w:rPr>
          <w:rtl/>
        </w:rPr>
        <w:t xml:space="preserve"> </w:t>
      </w:r>
      <w:r w:rsidRPr="00A55455">
        <w:rPr>
          <w:rFonts w:cs="Arial"/>
          <w:rtl/>
        </w:rPr>
        <w:t>דמדכתיב אם לא יגיד ונשא עונו, ודרשינן [כתובות יח</w:t>
      </w:r>
      <w:r>
        <w:rPr>
          <w:rFonts w:cs="Arial" w:hint="cs"/>
          <w:rtl/>
        </w:rPr>
        <w:t>:</w:t>
      </w:r>
      <w:r w:rsidRPr="00A55455">
        <w:rPr>
          <w:rFonts w:cs="Arial"/>
          <w:rtl/>
        </w:rPr>
        <w:t>] כיון שהגיד [שאינו יודע לו עדות] שוב אינו חוזר ומגיד, והיינו דוקא בב"ד. ועיין לקמן סימן כ"ט סק"ט</w:t>
      </w:r>
      <w:r>
        <w:rPr>
          <w:rFonts w:cs="Arial" w:hint="cs"/>
          <w:rtl/>
        </w:rPr>
        <w:t>, סמ"ע (סק"ז).</w:t>
      </w:r>
    </w:p>
  </w:footnote>
  <w:footnote w:id="1370">
    <w:p w14:paraId="1C57E5CB" w14:textId="77777777" w:rsidR="0013116F" w:rsidRDefault="0013116F" w:rsidP="004B607F">
      <w:pPr>
        <w:pStyle w:val="a9"/>
      </w:pPr>
      <w:r>
        <w:rPr>
          <w:rStyle w:val="ab"/>
        </w:rPr>
        <w:footnoteRef/>
      </w:r>
      <w:r>
        <w:rPr>
          <w:rtl/>
        </w:rPr>
        <w:t xml:space="preserve"> </w:t>
      </w:r>
      <w:r w:rsidRPr="00A55455">
        <w:rPr>
          <w:rFonts w:cs="Arial"/>
          <w:rtl/>
        </w:rPr>
        <w:t xml:space="preserve">ואפילו ב' עדים הן שכבשו </w:t>
      </w:r>
      <w:r>
        <w:rPr>
          <w:rFonts w:cs="Arial" w:hint="cs"/>
          <w:rtl/>
        </w:rPr>
        <w:t xml:space="preserve">- </w:t>
      </w:r>
      <w:r w:rsidRPr="00A55455">
        <w:rPr>
          <w:rFonts w:cs="Arial"/>
          <w:rtl/>
        </w:rPr>
        <w:t>פטורים בדיני אדם</w:t>
      </w:r>
      <w:r>
        <w:rPr>
          <w:rFonts w:cs="Arial" w:hint="cs"/>
          <w:rtl/>
        </w:rPr>
        <w:t>, סמ"ע (סק"י).</w:t>
      </w:r>
    </w:p>
  </w:footnote>
  <w:footnote w:id="1371">
    <w:p w14:paraId="73176BB8" w14:textId="77777777" w:rsidR="0013116F" w:rsidRDefault="0013116F" w:rsidP="004B607F">
      <w:pPr>
        <w:pStyle w:val="a9"/>
      </w:pPr>
      <w:r>
        <w:rPr>
          <w:rStyle w:val="ab"/>
        </w:rPr>
        <w:footnoteRef/>
      </w:r>
      <w:r>
        <w:rPr>
          <w:rtl/>
        </w:rPr>
        <w:t xml:space="preserve"> </w:t>
      </w:r>
      <w:r w:rsidRPr="00A55455">
        <w:rPr>
          <w:rFonts w:cs="Arial"/>
          <w:rtl/>
        </w:rPr>
        <w:t>דמה שנאמר בתורה [ויקרא ה א] או ראה או ידע, ידיעה זו היינו דוקא על פי עצמו של לוה שהודה לו בפניו בהודאה גמורה או אמר אתם עדי, לכל מר כדאית ליה, וכדלקמן סימן ל"ב [סעיף א'] ופ"א [סעיף ח']</w:t>
      </w:r>
      <w:r>
        <w:rPr>
          <w:rFonts w:cs="Arial" w:hint="cs"/>
          <w:rtl/>
        </w:rPr>
        <w:t>, סמ"ע (סקי"ג).</w:t>
      </w:r>
    </w:p>
  </w:footnote>
  <w:footnote w:id="1372">
    <w:p w14:paraId="648C5CEA" w14:textId="77777777" w:rsidR="0013116F" w:rsidRDefault="0013116F" w:rsidP="004B607F">
      <w:pPr>
        <w:pStyle w:val="a9"/>
      </w:pPr>
      <w:r>
        <w:rPr>
          <w:rStyle w:val="ab"/>
        </w:rPr>
        <w:footnoteRef/>
      </w:r>
      <w:r>
        <w:rPr>
          <w:rtl/>
        </w:rPr>
        <w:t xml:space="preserve"> </w:t>
      </w:r>
      <w:r>
        <w:rPr>
          <w:rFonts w:hint="cs"/>
          <w:rtl/>
        </w:rPr>
        <w:t xml:space="preserve">סימן </w:t>
      </w:r>
      <w:r>
        <w:rPr>
          <w:rtl/>
        </w:rPr>
        <w:t>–</w:t>
      </w:r>
      <w:r>
        <w:rPr>
          <w:rFonts w:hint="cs"/>
          <w:rtl/>
        </w:rPr>
        <w:t xml:space="preserve"> היתר לא להעיד.</w:t>
      </w:r>
    </w:p>
  </w:footnote>
  <w:footnote w:id="1373">
    <w:p w14:paraId="77D56C93" w14:textId="77777777" w:rsidR="0013116F" w:rsidRDefault="0013116F" w:rsidP="004B607F">
      <w:pPr>
        <w:pStyle w:val="a9"/>
      </w:pPr>
      <w:r>
        <w:rPr>
          <w:rStyle w:val="ab"/>
        </w:rPr>
        <w:footnoteRef/>
      </w:r>
      <w:r>
        <w:rPr>
          <w:rtl/>
        </w:rPr>
        <w:t xml:space="preserve"> </w:t>
      </w:r>
      <w:r w:rsidRPr="0015378F">
        <w:rPr>
          <w:rFonts w:cs="Arial"/>
          <w:rtl/>
        </w:rPr>
        <w:t>דאי לא עדים ביניהן מאי איצטריך למיתני במתניתין פטורין</w:t>
      </w:r>
      <w:r>
        <w:rPr>
          <w:rFonts w:cs="Arial" w:hint="cs"/>
          <w:rtl/>
        </w:rPr>
        <w:t>, רש"י</w:t>
      </w:r>
      <w:r w:rsidRPr="0015378F">
        <w:rPr>
          <w:rFonts w:cs="Arial"/>
          <w:rtl/>
        </w:rPr>
        <w:t>.</w:t>
      </w:r>
    </w:p>
  </w:footnote>
  <w:footnote w:id="1374">
    <w:p w14:paraId="51B32F00" w14:textId="77777777" w:rsidR="0013116F" w:rsidRDefault="0013116F" w:rsidP="004B607F">
      <w:pPr>
        <w:pStyle w:val="a9"/>
      </w:pPr>
      <w:r>
        <w:rPr>
          <w:rStyle w:val="ab"/>
        </w:rPr>
        <w:footnoteRef/>
      </w:r>
      <w:r>
        <w:rPr>
          <w:rtl/>
        </w:rPr>
        <w:t xml:space="preserve"> </w:t>
      </w:r>
      <w:r w:rsidRPr="0015378F">
        <w:rPr>
          <w:rFonts w:cs="Arial"/>
          <w:rtl/>
        </w:rPr>
        <w:t>שעומד בצד עדיו</w:t>
      </w:r>
      <w:r>
        <w:rPr>
          <w:rFonts w:cs="Arial" w:hint="cs"/>
          <w:rtl/>
        </w:rPr>
        <w:t>, רש"י</w:t>
      </w:r>
      <w:r w:rsidRPr="0015378F">
        <w:rPr>
          <w:rFonts w:cs="Arial"/>
          <w:rtl/>
        </w:rPr>
        <w:t>.</w:t>
      </w:r>
    </w:p>
  </w:footnote>
  <w:footnote w:id="1375">
    <w:p w14:paraId="621EE68B" w14:textId="77777777" w:rsidR="0013116F" w:rsidRDefault="0013116F" w:rsidP="004B607F">
      <w:pPr>
        <w:pStyle w:val="a9"/>
      </w:pPr>
      <w:r>
        <w:rPr>
          <w:rStyle w:val="ab"/>
        </w:rPr>
        <w:footnoteRef/>
      </w:r>
      <w:r>
        <w:rPr>
          <w:rtl/>
        </w:rPr>
        <w:t xml:space="preserve"> </w:t>
      </w:r>
      <w:r w:rsidRPr="0015378F">
        <w:rPr>
          <w:rFonts w:cs="Arial"/>
          <w:rtl/>
        </w:rPr>
        <w:t xml:space="preserve"> ודאי להנך דקיימי גביה קאמר והרי ייחד עדיו קמ"ל</w:t>
      </w:r>
      <w:r>
        <w:rPr>
          <w:rFonts w:cs="Arial" w:hint="cs"/>
          <w:rtl/>
        </w:rPr>
        <w:t>, רש"י</w:t>
      </w:r>
      <w:r w:rsidRPr="0015378F">
        <w:rPr>
          <w:rFonts w:cs="Arial"/>
          <w:rtl/>
        </w:rPr>
        <w:t>.</w:t>
      </w:r>
    </w:p>
  </w:footnote>
  <w:footnote w:id="1376">
    <w:p w14:paraId="567F50A4" w14:textId="77777777" w:rsidR="0013116F" w:rsidRDefault="0013116F" w:rsidP="004B607F">
      <w:pPr>
        <w:pStyle w:val="a9"/>
      </w:pPr>
      <w:r>
        <w:rPr>
          <w:rStyle w:val="ab"/>
        </w:rPr>
        <w:footnoteRef/>
      </w:r>
      <w:r>
        <w:rPr>
          <w:rtl/>
        </w:rPr>
        <w:t xml:space="preserve"> </w:t>
      </w:r>
      <w:r w:rsidRPr="0015378F">
        <w:rPr>
          <w:rFonts w:cs="Arial"/>
          <w:rtl/>
        </w:rPr>
        <w:t>דכיון דאמר עומדין כאן אותן העומדין אצלו ייחד וחייבין ואי לא פריש הכי בהדיא תנא ברישא פטורין</w:t>
      </w:r>
      <w:r>
        <w:rPr>
          <w:rFonts w:cs="Arial" w:hint="cs"/>
          <w:rtl/>
        </w:rPr>
        <w:t>, רש"י</w:t>
      </w:r>
      <w:r w:rsidRPr="0015378F">
        <w:rPr>
          <w:rFonts w:cs="Arial"/>
          <w:rtl/>
        </w:rPr>
        <w:t>.</w:t>
      </w:r>
    </w:p>
  </w:footnote>
  <w:footnote w:id="1377">
    <w:p w14:paraId="6D457DDD" w14:textId="77777777" w:rsidR="0013116F" w:rsidRDefault="0013116F" w:rsidP="004B607F">
      <w:pPr>
        <w:pStyle w:val="a9"/>
        <w:rPr>
          <w:rtl/>
        </w:rPr>
      </w:pPr>
      <w:r>
        <w:rPr>
          <w:rStyle w:val="ab"/>
        </w:rPr>
        <w:footnoteRef/>
      </w:r>
      <w:r>
        <w:rPr>
          <w:rtl/>
        </w:rPr>
        <w:t xml:space="preserve"> </w:t>
      </w:r>
      <w:r w:rsidRPr="0086347C">
        <w:rPr>
          <w:rFonts w:cs="Arial"/>
          <w:rtl/>
        </w:rPr>
        <w:t xml:space="preserve">ואפילו אמר </w:t>
      </w:r>
      <w:r>
        <w:rPr>
          <w:rFonts w:cs="Arial" w:hint="cs"/>
          <w:rtl/>
        </w:rPr>
        <w:t>'</w:t>
      </w:r>
      <w:r w:rsidRPr="0086347C">
        <w:rPr>
          <w:rFonts w:cs="Arial"/>
          <w:rtl/>
        </w:rPr>
        <w:t>על הרחוק ועל הקרוב</w:t>
      </w:r>
      <w:r>
        <w:rPr>
          <w:rFonts w:cs="Arial" w:hint="cs"/>
          <w:rtl/>
        </w:rPr>
        <w:t>' -</w:t>
      </w:r>
      <w:r w:rsidRPr="0086347C">
        <w:rPr>
          <w:rFonts w:cs="Arial"/>
          <w:rtl/>
        </w:rPr>
        <w:t xml:space="preserve"> אין חייב להגיד, שהרי אמר על דעת המקום ואין זה דעת המקום שקרוב יעיד. </w:t>
      </w:r>
      <w:r>
        <w:rPr>
          <w:rFonts w:cs="Arial" w:hint="cs"/>
          <w:rtl/>
        </w:rPr>
        <w:t xml:space="preserve">דתנן </w:t>
      </w:r>
      <w:r w:rsidRPr="0015378F">
        <w:rPr>
          <w:rFonts w:cs="Arial" w:hint="cs"/>
          <w:sz w:val="16"/>
          <w:szCs w:val="16"/>
          <w:rtl/>
        </w:rPr>
        <w:t>(</w:t>
      </w:r>
      <w:r w:rsidRPr="0015378F">
        <w:rPr>
          <w:rFonts w:cs="Arial"/>
          <w:sz w:val="16"/>
          <w:szCs w:val="16"/>
          <w:rtl/>
        </w:rPr>
        <w:t>ר</w:t>
      </w:r>
      <w:r w:rsidRPr="0015378F">
        <w:rPr>
          <w:rFonts w:cs="Arial" w:hint="cs"/>
          <w:sz w:val="16"/>
          <w:szCs w:val="16"/>
          <w:rtl/>
        </w:rPr>
        <w:t>"פ</w:t>
      </w:r>
      <w:r w:rsidRPr="0015378F">
        <w:rPr>
          <w:rFonts w:cs="Arial"/>
          <w:sz w:val="16"/>
          <w:szCs w:val="16"/>
          <w:rtl/>
        </w:rPr>
        <w:t xml:space="preserve"> שבועת העדות [שם ל</w:t>
      </w:r>
      <w:r w:rsidRPr="0015378F">
        <w:rPr>
          <w:rFonts w:cs="Arial" w:hint="cs"/>
          <w:sz w:val="16"/>
          <w:szCs w:val="16"/>
          <w:rtl/>
        </w:rPr>
        <w:t>.</w:t>
      </w:r>
      <w:r w:rsidRPr="0015378F">
        <w:rPr>
          <w:rFonts w:cs="Arial"/>
          <w:sz w:val="16"/>
          <w:szCs w:val="16"/>
          <w:rtl/>
        </w:rPr>
        <w:t>]</w:t>
      </w:r>
      <w:r w:rsidRPr="0015378F">
        <w:rPr>
          <w:rFonts w:cs="Arial" w:hint="cs"/>
          <w:sz w:val="16"/>
          <w:szCs w:val="16"/>
          <w:rtl/>
        </w:rPr>
        <w:t>)</w:t>
      </w:r>
      <w:r w:rsidRPr="0015378F">
        <w:rPr>
          <w:rFonts w:cs="Arial"/>
          <w:sz w:val="16"/>
          <w:szCs w:val="16"/>
          <w:rtl/>
        </w:rPr>
        <w:t xml:space="preserve"> </w:t>
      </w:r>
      <w:r w:rsidRPr="0086347C">
        <w:rPr>
          <w:rFonts w:cs="Arial"/>
          <w:rtl/>
        </w:rPr>
        <w:t>שבועת העדות נוהגת ברחוקים ולא בקרובים, מ"ט דכתיב [ויקרא ה א] אם לא יגיד וכו', והקרובים אם היו מעידים לא היו מוציאין ממון על פיהם, השתא נמי שנשבעים אין עונש השבועה חל עליהן להתחייב בקרבן</w:t>
      </w:r>
      <w:r>
        <w:rPr>
          <w:rFonts w:cs="Arial" w:hint="cs"/>
          <w:rtl/>
        </w:rPr>
        <w:t>, הג"א בשם או"ז.</w:t>
      </w:r>
    </w:p>
  </w:footnote>
  <w:footnote w:id="1378">
    <w:p w14:paraId="1DFA82C5" w14:textId="77777777" w:rsidR="0013116F" w:rsidRDefault="0013116F" w:rsidP="004B607F">
      <w:pPr>
        <w:pStyle w:val="a9"/>
        <w:rPr>
          <w:rtl/>
        </w:rPr>
      </w:pPr>
      <w:r>
        <w:rPr>
          <w:rStyle w:val="ab"/>
        </w:rPr>
        <w:footnoteRef/>
      </w:r>
      <w:r>
        <w:rPr>
          <w:rtl/>
        </w:rPr>
        <w:t xml:space="preserve"> </w:t>
      </w:r>
      <w:r w:rsidRPr="00815AC9">
        <w:rPr>
          <w:rFonts w:cs="Arial"/>
          <w:rtl/>
        </w:rPr>
        <w:t xml:space="preserve">ועיין לעיל סימן </w:t>
      </w:r>
      <w:r>
        <w:rPr>
          <w:rFonts w:cs="Arial" w:hint="cs"/>
          <w:rtl/>
        </w:rPr>
        <w:t>ט</w:t>
      </w:r>
      <w:r w:rsidRPr="00815AC9">
        <w:rPr>
          <w:rFonts w:cs="Arial"/>
          <w:rtl/>
        </w:rPr>
        <w:t>"</w:t>
      </w:r>
      <w:r>
        <w:rPr>
          <w:rFonts w:cs="Arial" w:hint="cs"/>
          <w:rtl/>
        </w:rPr>
        <w:t>ז</w:t>
      </w:r>
      <w:r w:rsidRPr="00815AC9">
        <w:rPr>
          <w:rFonts w:cs="Arial"/>
          <w:rtl/>
        </w:rPr>
        <w:t xml:space="preserve"> (אות ג) דמשמע דהחרם חל על הבעל דבר. וכתב מהרי</w:t>
      </w:r>
      <w:r>
        <w:rPr>
          <w:rFonts w:cs="Arial" w:hint="cs"/>
          <w:rtl/>
        </w:rPr>
        <w:t>"ו</w:t>
      </w:r>
      <w:r w:rsidRPr="00815AC9">
        <w:rPr>
          <w:rFonts w:cs="Arial"/>
          <w:rtl/>
        </w:rPr>
        <w:t xml:space="preserve"> </w:t>
      </w:r>
      <w:r>
        <w:rPr>
          <w:rFonts w:cs="Arial" w:hint="cs"/>
          <w:rtl/>
        </w:rPr>
        <w:t>(</w:t>
      </w:r>
      <w:r w:rsidRPr="00815AC9">
        <w:rPr>
          <w:rFonts w:cs="Arial"/>
          <w:rtl/>
        </w:rPr>
        <w:t>סי</w:t>
      </w:r>
      <w:r>
        <w:rPr>
          <w:rFonts w:cs="Arial" w:hint="cs"/>
          <w:rtl/>
        </w:rPr>
        <w:t>'</w:t>
      </w:r>
      <w:r w:rsidRPr="00815AC9">
        <w:rPr>
          <w:rFonts w:cs="Arial"/>
          <w:rtl/>
        </w:rPr>
        <w:t xml:space="preserve"> צא</w:t>
      </w:r>
      <w:r>
        <w:rPr>
          <w:rFonts w:cs="Arial" w:hint="cs"/>
          <w:rtl/>
        </w:rPr>
        <w:t>)</w:t>
      </w:r>
      <w:r w:rsidRPr="00815AC9">
        <w:rPr>
          <w:rFonts w:cs="Arial"/>
          <w:rtl/>
        </w:rPr>
        <w:t xml:space="preserve"> דבדין יתומים אין משגיחין בעדות קרובים כלל ועיין שם</w:t>
      </w:r>
      <w:r>
        <w:rPr>
          <w:rFonts w:cs="Arial" w:hint="cs"/>
          <w:rtl/>
        </w:rPr>
        <w:t>,</w:t>
      </w:r>
      <w:r w:rsidRPr="00A6576C">
        <w:rPr>
          <w:rFonts w:cs="Arial" w:hint="cs"/>
          <w:rtl/>
        </w:rPr>
        <w:t xml:space="preserve"> </w:t>
      </w:r>
      <w:r>
        <w:rPr>
          <w:rFonts w:cs="Arial" w:hint="cs"/>
          <w:rtl/>
        </w:rPr>
        <w:t xml:space="preserve">דרכ"מ </w:t>
      </w:r>
      <w:r w:rsidRPr="00815AC9">
        <w:rPr>
          <w:rFonts w:cs="Arial"/>
          <w:rtl/>
        </w:rPr>
        <w:t>(</w:t>
      </w:r>
      <w:r>
        <w:rPr>
          <w:rFonts w:cs="Arial" w:hint="cs"/>
          <w:rtl/>
        </w:rPr>
        <w:t xml:space="preserve">אות </w:t>
      </w:r>
      <w:r w:rsidRPr="00815AC9">
        <w:rPr>
          <w:rFonts w:cs="Arial"/>
          <w:rtl/>
        </w:rPr>
        <w:t>א)</w:t>
      </w:r>
      <w:r>
        <w:rPr>
          <w:rFonts w:cs="Arial" w:hint="cs"/>
          <w:rtl/>
        </w:rPr>
        <w:t>.</w:t>
      </w:r>
    </w:p>
  </w:footnote>
  <w:footnote w:id="1379">
    <w:p w14:paraId="2E77803B" w14:textId="77777777" w:rsidR="0013116F" w:rsidRPr="00CE7043" w:rsidRDefault="0013116F" w:rsidP="004B607F">
      <w:pPr>
        <w:pStyle w:val="a9"/>
        <w:rPr>
          <w:rFonts w:cs="Arial"/>
          <w:rtl/>
        </w:rPr>
      </w:pPr>
      <w:r>
        <w:rPr>
          <w:rStyle w:val="ab"/>
        </w:rPr>
        <w:footnoteRef/>
      </w:r>
      <w:r>
        <w:rPr>
          <w:rtl/>
        </w:rPr>
        <w:t xml:space="preserve"> </w:t>
      </w:r>
      <w:r w:rsidRPr="00CE7043">
        <w:rPr>
          <w:rFonts w:cs="Arial"/>
          <w:rtl/>
        </w:rPr>
        <w:t>ויש ליישב דהרא"ש מיירי כשאין זה יודע שעבר הלה על השבועה אלא שהוא רוצה להחרים בבית הכנסת אולי ימצא מי שידע שעבר על השבועה</w:t>
      </w:r>
      <w:r>
        <w:rPr>
          <w:rFonts w:cs="Arial" w:hint="cs"/>
          <w:rtl/>
        </w:rPr>
        <w:t>,</w:t>
      </w:r>
      <w:r w:rsidRPr="00CE7043">
        <w:rPr>
          <w:rFonts w:cs="Arial"/>
          <w:rtl/>
        </w:rPr>
        <w:t xml:space="preserve"> והרשב"א מיירי ביודע ודאי שהוא חשוד ושיש עדים יודעים ואינם רוצים להעיד ומר אמר חדא ומר אמר חדא ולא פליגי</w:t>
      </w:r>
      <w:r>
        <w:rPr>
          <w:rFonts w:cs="Arial" w:hint="cs"/>
          <w:rtl/>
        </w:rPr>
        <w:t>, ב"י (בבדה"ב סי' צב ס"ט).</w:t>
      </w:r>
    </w:p>
  </w:footnote>
  <w:footnote w:id="1380">
    <w:p w14:paraId="397F27E8" w14:textId="77777777" w:rsidR="0013116F" w:rsidRDefault="0013116F" w:rsidP="004B607F">
      <w:pPr>
        <w:pStyle w:val="a9"/>
      </w:pPr>
      <w:r>
        <w:rPr>
          <w:rStyle w:val="ab"/>
        </w:rPr>
        <w:footnoteRef/>
      </w:r>
      <w:r>
        <w:rPr>
          <w:rtl/>
        </w:rPr>
        <w:t xml:space="preserve"> </w:t>
      </w:r>
      <w:r w:rsidRPr="00894D3F">
        <w:rPr>
          <w:rFonts w:cs="Arial"/>
          <w:rtl/>
        </w:rPr>
        <w:t>ולאפוקי ממה שכתוב בתוך תשובות הרשב"א סימן תת"ק אם רצה להשביעם בבית הכנסת יאמר משביע אני עליכם פלוני ופלוני אבל שיחרימו בב</w:t>
      </w:r>
      <w:r>
        <w:rPr>
          <w:rFonts w:cs="Arial" w:hint="cs"/>
          <w:rtl/>
        </w:rPr>
        <w:t>"</w:t>
      </w:r>
      <w:r w:rsidRPr="00894D3F">
        <w:rPr>
          <w:rFonts w:cs="Arial"/>
          <w:rtl/>
        </w:rPr>
        <w:t>ד זה לא שמענו עכ"ל. ואפשר דהתם מדין תורה קאמר שלא שמענו אבל מפני תיקון העולם נהגו להחרים</w:t>
      </w:r>
      <w:r>
        <w:rPr>
          <w:rFonts w:cs="Arial" w:hint="cs"/>
          <w:rtl/>
        </w:rPr>
        <w:t>, ב"י.</w:t>
      </w:r>
    </w:p>
  </w:footnote>
  <w:footnote w:id="1381">
    <w:p w14:paraId="5E2ACC44" w14:textId="77777777" w:rsidR="0013116F" w:rsidRDefault="0013116F" w:rsidP="004B607F">
      <w:pPr>
        <w:pStyle w:val="a9"/>
        <w:rPr>
          <w:rtl/>
        </w:rPr>
      </w:pPr>
      <w:r>
        <w:rPr>
          <w:rStyle w:val="ab"/>
        </w:rPr>
        <w:footnoteRef/>
      </w:r>
      <w:r>
        <w:rPr>
          <w:rtl/>
        </w:rPr>
        <w:t xml:space="preserve"> </w:t>
      </w:r>
      <w:r w:rsidRPr="00894D3F">
        <w:rPr>
          <w:rFonts w:cs="Arial"/>
          <w:rtl/>
        </w:rPr>
        <w:t>ועיין בתשובת הריב"ש סימן ק"ע</w:t>
      </w:r>
      <w:r>
        <w:rPr>
          <w:rFonts w:cs="Arial" w:hint="cs"/>
          <w:rtl/>
        </w:rPr>
        <w:t xml:space="preserve"> </w:t>
      </w:r>
      <w:r w:rsidRPr="00095B40">
        <w:rPr>
          <w:rFonts w:cs="Arial"/>
          <w:sz w:val="16"/>
          <w:szCs w:val="16"/>
          <w:rtl/>
        </w:rPr>
        <w:t>(</w:t>
      </w:r>
      <w:r w:rsidRPr="00095B40">
        <w:rPr>
          <w:rFonts w:cs="Arial" w:hint="cs"/>
          <w:sz w:val="16"/>
          <w:szCs w:val="16"/>
          <w:rtl/>
        </w:rPr>
        <w:t>דשם מבואר ש</w:t>
      </w:r>
      <w:r w:rsidRPr="00095B40">
        <w:rPr>
          <w:rFonts w:cs="Arial"/>
          <w:sz w:val="16"/>
          <w:szCs w:val="16"/>
          <w:rtl/>
        </w:rPr>
        <w:t>לא היה מנהגו להשביע העדים אלא כשבאו להעיד על דבר עבירה דאז איכא למיחש דמיראתן לא יעידו</w:t>
      </w:r>
      <w:r w:rsidRPr="00095B40">
        <w:rPr>
          <w:rFonts w:cs="Arial" w:hint="cs"/>
          <w:sz w:val="16"/>
          <w:szCs w:val="16"/>
          <w:rtl/>
        </w:rPr>
        <w:t>,</w:t>
      </w:r>
      <w:r w:rsidRPr="00095B40">
        <w:rPr>
          <w:rFonts w:cs="Arial"/>
          <w:sz w:val="16"/>
          <w:szCs w:val="16"/>
          <w:rtl/>
        </w:rPr>
        <w:t xml:space="preserve"> ואף העדים רוצים בכך כדי שלא יקפידו עליהם בעלי הדבר וע</w:t>
      </w:r>
      <w:r w:rsidRPr="00095B40">
        <w:rPr>
          <w:rFonts w:cs="Arial" w:hint="cs"/>
          <w:sz w:val="16"/>
          <w:szCs w:val="16"/>
          <w:rtl/>
        </w:rPr>
        <w:t>"ש, דרכ"מ [אות ג])</w:t>
      </w:r>
      <w:r w:rsidRPr="00894D3F">
        <w:rPr>
          <w:rFonts w:cs="Arial"/>
          <w:rtl/>
        </w:rPr>
        <w:t xml:space="preserve"> וקע"ו</w:t>
      </w:r>
      <w:r>
        <w:rPr>
          <w:rFonts w:cs="Arial" w:hint="cs"/>
          <w:rtl/>
        </w:rPr>
        <w:t xml:space="preserve">, ב"י. </w:t>
      </w:r>
    </w:p>
  </w:footnote>
  <w:footnote w:id="1382">
    <w:p w14:paraId="2AEB3681" w14:textId="77777777" w:rsidR="0013116F" w:rsidRDefault="0013116F" w:rsidP="004B607F">
      <w:pPr>
        <w:pStyle w:val="a9"/>
      </w:pPr>
      <w:r>
        <w:rPr>
          <w:rStyle w:val="ab"/>
        </w:rPr>
        <w:footnoteRef/>
      </w:r>
      <w:r>
        <w:rPr>
          <w:rtl/>
        </w:rPr>
        <w:t xml:space="preserve"> </w:t>
      </w:r>
      <w:r w:rsidRPr="0086347C">
        <w:rPr>
          <w:rFonts w:cs="Arial"/>
          <w:rtl/>
        </w:rPr>
        <w:t>פירוש, להשביען בב"ד בפני עצמן להזקיקן שיאמרו הרי אנו מקבלין עלינו באלה ובשבועה שאין אנו יודעים לו עדות, או שיאמרו אמן על השבועה שמטיל עליהן. ונראה לי דה"ה דחרם בכה"ג ג"כ אין צריכין לקבל עליהן בענין זה, דשבועה וחרם ענין אחד הוא. ודוקא בבית הכנסת יכול להטיל חרם או שבועה על הכלל דהיינו לומר כל מי מכם שיודע, או על יחידים בפרט, וכמו שכתבתי בהגד"מ [הגדו"פ אות ה'] ע"ש סע</w:t>
      </w:r>
      <w:r>
        <w:rPr>
          <w:rFonts w:cs="Arial" w:hint="cs"/>
          <w:rtl/>
        </w:rPr>
        <w:t>'</w:t>
      </w:r>
      <w:r w:rsidRPr="0086347C">
        <w:rPr>
          <w:rFonts w:cs="Arial"/>
          <w:rtl/>
        </w:rPr>
        <w:t xml:space="preserve"> ג'. </w:t>
      </w:r>
      <w:r>
        <w:rPr>
          <w:rFonts w:cs="Arial" w:hint="cs"/>
          <w:rtl/>
        </w:rPr>
        <w:t>[</w:t>
      </w:r>
      <w:r w:rsidRPr="0086347C">
        <w:rPr>
          <w:rFonts w:cs="Arial"/>
          <w:rtl/>
        </w:rPr>
        <w:t xml:space="preserve">הגה. וכתב הריב"ש סימן ק"ע דכשבאו להעיד על דבר עבירה שיש לחוש שמיראתן לא יגידו, יכול להשביען, עכ"ל. </w:t>
      </w:r>
      <w:r>
        <w:rPr>
          <w:rFonts w:cs="Arial" w:hint="cs"/>
          <w:rtl/>
        </w:rPr>
        <w:t>(</w:t>
      </w:r>
      <w:r w:rsidRPr="0086347C">
        <w:rPr>
          <w:rFonts w:cs="Arial"/>
          <w:rtl/>
        </w:rPr>
        <w:t>ד</w:t>
      </w:r>
      <w:r>
        <w:rPr>
          <w:rFonts w:cs="Arial" w:hint="cs"/>
          <w:rtl/>
        </w:rPr>
        <w:t>רכ</w:t>
      </w:r>
      <w:r w:rsidRPr="0086347C">
        <w:rPr>
          <w:rFonts w:cs="Arial"/>
          <w:rtl/>
        </w:rPr>
        <w:t>"מ ג'</w:t>
      </w:r>
      <w:r>
        <w:rPr>
          <w:rFonts w:cs="Arial" w:hint="cs"/>
          <w:rtl/>
        </w:rPr>
        <w:t>)], סמ"ע (סקט"ו).</w:t>
      </w:r>
    </w:p>
  </w:footnote>
  <w:footnote w:id="1383">
    <w:p w14:paraId="1C96B8A0" w14:textId="77777777" w:rsidR="0013116F" w:rsidRPr="00E11828" w:rsidRDefault="0013116F" w:rsidP="004B607F">
      <w:pPr>
        <w:pStyle w:val="a9"/>
        <w:rPr>
          <w:color w:val="000000" w:themeColor="text1"/>
          <w:rtl/>
        </w:rPr>
      </w:pPr>
      <w:r>
        <w:rPr>
          <w:rStyle w:val="ab"/>
        </w:rPr>
        <w:footnoteRef/>
      </w:r>
      <w:r>
        <w:rPr>
          <w:rtl/>
        </w:rPr>
        <w:t xml:space="preserve"> </w:t>
      </w:r>
      <w:r w:rsidRPr="00465DAC">
        <w:rPr>
          <w:rFonts w:cs="Arial"/>
          <w:rtl/>
        </w:rPr>
        <w:t>ואע</w:t>
      </w:r>
      <w:r>
        <w:rPr>
          <w:rFonts w:cs="Arial" w:hint="cs"/>
          <w:rtl/>
        </w:rPr>
        <w:t>"</w:t>
      </w:r>
      <w:r w:rsidRPr="00465DAC">
        <w:rPr>
          <w:rFonts w:cs="Arial"/>
          <w:rtl/>
        </w:rPr>
        <w:t xml:space="preserve">פ דלעיל סימן ט"ז סעיף ג' סתם המחבר וכתב דאפילו אם הזכות של העדות והראיה יודע בהן זה שכנגדו, חייב להעיד, ושם לא כתב מור"ם עליו כלום, משמע דהסכים עמו. הא כתבתי שם דשם איירי דשכנגדו יודע מי הן עדיו או אצל מי ימצא ראיתו, ולא </w:t>
      </w:r>
      <w:r w:rsidRPr="00E11828">
        <w:rPr>
          <w:rFonts w:cs="Arial"/>
          <w:color w:val="000000" w:themeColor="text1"/>
          <w:rtl/>
        </w:rPr>
        <w:t>איירי שם בעדות שיעיד לו בע</w:t>
      </w:r>
      <w:r>
        <w:rPr>
          <w:rFonts w:cs="Arial" w:hint="cs"/>
          <w:color w:val="000000" w:themeColor="text1"/>
          <w:rtl/>
        </w:rPr>
        <w:t xml:space="preserve">ל </w:t>
      </w:r>
      <w:r w:rsidRPr="00E11828">
        <w:rPr>
          <w:rFonts w:cs="Arial"/>
          <w:color w:val="000000" w:themeColor="text1"/>
          <w:rtl/>
        </w:rPr>
        <w:t>פ</w:t>
      </w:r>
      <w:r>
        <w:rPr>
          <w:rFonts w:cs="Arial" w:hint="cs"/>
          <w:color w:val="000000" w:themeColor="text1"/>
          <w:rtl/>
        </w:rPr>
        <w:t>ה</w:t>
      </w:r>
      <w:r w:rsidRPr="00E11828">
        <w:rPr>
          <w:rFonts w:cs="Arial"/>
          <w:color w:val="000000" w:themeColor="text1"/>
          <w:rtl/>
        </w:rPr>
        <w:t>, ועיין מה שכתבתי עוד שם</w:t>
      </w:r>
      <w:r w:rsidRPr="00E11828">
        <w:rPr>
          <w:rFonts w:hint="cs"/>
          <w:color w:val="000000" w:themeColor="text1"/>
          <w:rtl/>
        </w:rPr>
        <w:t>, סמ"ע (סקי"ט).</w:t>
      </w:r>
    </w:p>
  </w:footnote>
  <w:footnote w:id="1384">
    <w:p w14:paraId="5D3589B8" w14:textId="77777777" w:rsidR="0013116F" w:rsidRDefault="0013116F" w:rsidP="004B607F">
      <w:pPr>
        <w:pStyle w:val="a9"/>
      </w:pPr>
      <w:r>
        <w:rPr>
          <w:rStyle w:val="ab"/>
        </w:rPr>
        <w:footnoteRef/>
      </w:r>
      <w:r>
        <w:rPr>
          <w:rtl/>
        </w:rPr>
        <w:t xml:space="preserve"> </w:t>
      </w:r>
      <w:r>
        <w:rPr>
          <w:rFonts w:hint="cs"/>
          <w:rtl/>
        </w:rPr>
        <w:t xml:space="preserve">סימן </w:t>
      </w:r>
      <w:r>
        <w:rPr>
          <w:rtl/>
        </w:rPr>
        <w:t>–</w:t>
      </w:r>
      <w:r>
        <w:rPr>
          <w:rFonts w:hint="cs"/>
          <w:rtl/>
        </w:rPr>
        <w:t xml:space="preserve"> קולו יחשיבו גוים.</w:t>
      </w:r>
    </w:p>
  </w:footnote>
  <w:footnote w:id="1385">
    <w:p w14:paraId="69F14F81" w14:textId="77777777" w:rsidR="0013116F" w:rsidRDefault="0013116F" w:rsidP="004B607F">
      <w:pPr>
        <w:pStyle w:val="a9"/>
      </w:pPr>
      <w:r>
        <w:rPr>
          <w:rStyle w:val="ab"/>
        </w:rPr>
        <w:footnoteRef/>
      </w:r>
      <w:r>
        <w:rPr>
          <w:rtl/>
        </w:rPr>
        <w:t xml:space="preserve"> </w:t>
      </w:r>
      <w:r w:rsidRPr="008F275E">
        <w:rPr>
          <w:rFonts w:cs="Arial"/>
          <w:rtl/>
        </w:rPr>
        <w:t>ונמצא שהפסידו שלא כדין</w:t>
      </w:r>
      <w:r>
        <w:rPr>
          <w:rFonts w:cs="Arial" w:hint="cs"/>
          <w:rtl/>
        </w:rPr>
        <w:t>, רש"י</w:t>
      </w:r>
      <w:r w:rsidRPr="008F275E">
        <w:rPr>
          <w:rFonts w:cs="Arial"/>
          <w:rtl/>
        </w:rPr>
        <w:t>.</w:t>
      </w:r>
    </w:p>
  </w:footnote>
  <w:footnote w:id="1386">
    <w:p w14:paraId="6983E4C6" w14:textId="77777777" w:rsidR="0013116F" w:rsidRDefault="0013116F" w:rsidP="004B607F">
      <w:pPr>
        <w:pStyle w:val="a9"/>
        <w:rPr>
          <w:rtl/>
        </w:rPr>
      </w:pPr>
      <w:r>
        <w:rPr>
          <w:rStyle w:val="ab"/>
        </w:rPr>
        <w:footnoteRef/>
      </w:r>
      <w:r>
        <w:rPr>
          <w:rtl/>
        </w:rPr>
        <w:t xml:space="preserve"> </w:t>
      </w:r>
      <w:r w:rsidRPr="008F275E">
        <w:rPr>
          <w:rFonts w:cs="Arial"/>
          <w:rtl/>
        </w:rPr>
        <w:t>בני כפר שאין יודעין לדון במשפט</w:t>
      </w:r>
      <w:r>
        <w:rPr>
          <w:rFonts w:cs="Arial" w:hint="cs"/>
          <w:rtl/>
        </w:rPr>
        <w:t>, רש"י</w:t>
      </w:r>
      <w:r w:rsidRPr="008F275E">
        <w:rPr>
          <w:rFonts w:cs="Arial"/>
          <w:rtl/>
        </w:rPr>
        <w:t>.</w:t>
      </w:r>
    </w:p>
  </w:footnote>
  <w:footnote w:id="1387">
    <w:p w14:paraId="03EC62C4" w14:textId="77777777" w:rsidR="0013116F" w:rsidRDefault="0013116F" w:rsidP="004B607F">
      <w:pPr>
        <w:pStyle w:val="a9"/>
      </w:pPr>
      <w:r>
        <w:rPr>
          <w:rStyle w:val="ab"/>
        </w:rPr>
        <w:footnoteRef/>
      </w:r>
      <w:r>
        <w:rPr>
          <w:rtl/>
        </w:rPr>
        <w:t xml:space="preserve"> </w:t>
      </w:r>
      <w:r w:rsidRPr="008F275E">
        <w:rPr>
          <w:rFonts w:cs="Arial"/>
          <w:rtl/>
        </w:rPr>
        <w:t>שלטון</w:t>
      </w:r>
      <w:r>
        <w:rPr>
          <w:rFonts w:cs="Arial" w:hint="cs"/>
          <w:rtl/>
        </w:rPr>
        <w:t>, רש"י</w:t>
      </w:r>
      <w:r w:rsidRPr="008F275E">
        <w:rPr>
          <w:rFonts w:cs="Arial"/>
          <w:rtl/>
        </w:rPr>
        <w:t>.</w:t>
      </w:r>
    </w:p>
  </w:footnote>
  <w:footnote w:id="1388">
    <w:p w14:paraId="1E959CB9" w14:textId="77777777" w:rsidR="0013116F" w:rsidRDefault="0013116F" w:rsidP="004B607F">
      <w:pPr>
        <w:pStyle w:val="a9"/>
        <w:rPr>
          <w:rtl/>
        </w:rPr>
      </w:pPr>
      <w:r>
        <w:rPr>
          <w:rStyle w:val="ab"/>
        </w:rPr>
        <w:footnoteRef/>
      </w:r>
      <w:r>
        <w:rPr>
          <w:rtl/>
        </w:rPr>
        <w:t xml:space="preserve"> </w:t>
      </w:r>
      <w:r w:rsidRPr="008F275E">
        <w:rPr>
          <w:rFonts w:cs="Arial"/>
          <w:rtl/>
        </w:rPr>
        <w:t>על פי עד אחד אין מוציאין ממון אבל מחייבין בעל דין שבועה להכחיש העד כדין תורה</w:t>
      </w:r>
      <w:r>
        <w:rPr>
          <w:rFonts w:cs="Arial" w:hint="cs"/>
          <w:rtl/>
        </w:rPr>
        <w:t>,</w:t>
      </w:r>
      <w:r w:rsidRPr="008F275E">
        <w:rPr>
          <w:rFonts w:cs="Arial"/>
          <w:rtl/>
        </w:rPr>
        <w:t xml:space="preserve"> לשון אחר דמגוזתא אנסין בחזקה כמו אתו גוזאי וקא מחו ליה (מגילה כח) סריסים (של בית רבי) העומדין לרדות בחזקה</w:t>
      </w:r>
      <w:r>
        <w:rPr>
          <w:rFonts w:cs="Arial" w:hint="cs"/>
          <w:rtl/>
        </w:rPr>
        <w:t>, רש"י</w:t>
      </w:r>
      <w:r w:rsidRPr="008F275E">
        <w:rPr>
          <w:rFonts w:cs="Arial"/>
          <w:rtl/>
        </w:rPr>
        <w:t>.</w:t>
      </w:r>
    </w:p>
  </w:footnote>
  <w:footnote w:id="1389">
    <w:p w14:paraId="6CAA1C6D" w14:textId="77777777" w:rsidR="0013116F" w:rsidRPr="008845D0" w:rsidRDefault="0013116F" w:rsidP="004B607F">
      <w:pPr>
        <w:pStyle w:val="a9"/>
        <w:rPr>
          <w:rFonts w:cs="Arial"/>
          <w:color w:val="00B0F0"/>
        </w:rPr>
      </w:pPr>
      <w:r>
        <w:rPr>
          <w:rStyle w:val="ab"/>
        </w:rPr>
        <w:footnoteRef/>
      </w:r>
      <w:r>
        <w:rPr>
          <w:rtl/>
        </w:rPr>
        <w:t xml:space="preserve"> </w:t>
      </w:r>
      <w:r w:rsidRPr="008A4067">
        <w:rPr>
          <w:rFonts w:cs="Arial"/>
          <w:rtl/>
        </w:rPr>
        <w:t>ו</w:t>
      </w:r>
      <w:r>
        <w:rPr>
          <w:rFonts w:cs="Arial" w:hint="cs"/>
          <w:rtl/>
        </w:rPr>
        <w:t>עוד כתב</w:t>
      </w:r>
      <w:r w:rsidRPr="008A4067">
        <w:rPr>
          <w:rFonts w:cs="Arial"/>
          <w:rtl/>
        </w:rPr>
        <w:t xml:space="preserve"> שם</w:t>
      </w:r>
      <w:r>
        <w:rPr>
          <w:rFonts w:cs="Arial" w:hint="cs"/>
          <w:rtl/>
        </w:rPr>
        <w:t xml:space="preserve"> </w:t>
      </w:r>
      <w:r w:rsidRPr="008A4067">
        <w:rPr>
          <w:rFonts w:cs="Arial"/>
          <w:rtl/>
        </w:rPr>
        <w:t>(סי' קיז) דאין העד חייב לשלם דיכול לומר אמת העדתי</w:t>
      </w:r>
      <w:r>
        <w:rPr>
          <w:rFonts w:cs="Arial" w:hint="cs"/>
          <w:rtl/>
        </w:rPr>
        <w:t>.</w:t>
      </w:r>
      <w:r w:rsidRPr="008A4067">
        <w:rPr>
          <w:rFonts w:cs="Arial"/>
          <w:rtl/>
        </w:rPr>
        <w:t xml:space="preserve"> אבל אם יכול לברר בעדים ששקר העיד או יש לו עדים שכבר פרע לגוי </w:t>
      </w:r>
      <w:r>
        <w:rPr>
          <w:rFonts w:cs="Arial" w:hint="cs"/>
          <w:rtl/>
        </w:rPr>
        <w:t xml:space="preserve">- </w:t>
      </w:r>
      <w:r w:rsidRPr="008A4067">
        <w:rPr>
          <w:rFonts w:cs="Arial"/>
          <w:rtl/>
        </w:rPr>
        <w:t>העד חייב לשלם</w:t>
      </w:r>
      <w:r>
        <w:rPr>
          <w:rFonts w:cs="Arial" w:hint="cs"/>
          <w:rtl/>
        </w:rPr>
        <w:t>.</w:t>
      </w:r>
      <w:r w:rsidRPr="008A4067">
        <w:rPr>
          <w:rFonts w:cs="Arial"/>
          <w:rtl/>
        </w:rPr>
        <w:t xml:space="preserve"> ואם בעל דבר מודה שהאמת העיד אין משמתינן ליה</w:t>
      </w:r>
      <w:r>
        <w:rPr>
          <w:rFonts w:cs="Arial" w:hint="cs"/>
          <w:rtl/>
        </w:rPr>
        <w:t>, דרכ"מ (אות ה)</w:t>
      </w:r>
      <w:r w:rsidRPr="008A4067">
        <w:rPr>
          <w:rFonts w:cs="Arial"/>
          <w:rtl/>
        </w:rPr>
        <w:t xml:space="preserve">. </w:t>
      </w:r>
      <w:r w:rsidRPr="008845D0">
        <w:rPr>
          <w:rFonts w:cs="Arial" w:hint="cs"/>
          <w:color w:val="00B0F0"/>
          <w:rtl/>
        </w:rPr>
        <w:t xml:space="preserve">(וכ"פ </w:t>
      </w:r>
      <w:r>
        <w:rPr>
          <w:rFonts w:cs="Arial" w:hint="cs"/>
          <w:color w:val="00B0F0"/>
          <w:rtl/>
        </w:rPr>
        <w:t>בהגה</w:t>
      </w:r>
      <w:r w:rsidRPr="008845D0">
        <w:rPr>
          <w:rFonts w:cs="Arial" w:hint="cs"/>
          <w:color w:val="00B0F0"/>
          <w:rtl/>
        </w:rPr>
        <w:t>)</w:t>
      </w:r>
    </w:p>
  </w:footnote>
  <w:footnote w:id="1390">
    <w:p w14:paraId="55117CC7" w14:textId="77777777" w:rsidR="0013116F" w:rsidRDefault="0013116F" w:rsidP="004B607F">
      <w:pPr>
        <w:pStyle w:val="a9"/>
        <w:rPr>
          <w:rtl/>
        </w:rPr>
      </w:pPr>
      <w:r>
        <w:rPr>
          <w:rStyle w:val="ab"/>
        </w:rPr>
        <w:footnoteRef/>
      </w:r>
      <w:r>
        <w:rPr>
          <w:rtl/>
        </w:rPr>
        <w:t xml:space="preserve"> </w:t>
      </w:r>
      <w:r>
        <w:rPr>
          <w:rFonts w:cs="Arial"/>
          <w:rtl/>
        </w:rPr>
        <w:t>נראה שסובר שתיקו זה כשאר תיקו דממון דהוי קולא לנתבע והעד הוא הנתבע וכיון דבשעה דקא מסהיד לא בריא לן דליסמכו עליה כבי תרי</w:t>
      </w:r>
      <w:r>
        <w:rPr>
          <w:rFonts w:cs="Arial" w:hint="cs"/>
          <w:rtl/>
        </w:rPr>
        <w:t xml:space="preserve"> -</w:t>
      </w:r>
      <w:r>
        <w:rPr>
          <w:rFonts w:cs="Arial"/>
          <w:rtl/>
        </w:rPr>
        <w:t xml:space="preserve"> מצי לאסהודי</w:t>
      </w:r>
      <w:r>
        <w:rPr>
          <w:rFonts w:cs="Arial" w:hint="cs"/>
          <w:rtl/>
        </w:rPr>
        <w:t>.</w:t>
      </w:r>
      <w:r>
        <w:rPr>
          <w:rFonts w:cs="Arial"/>
          <w:rtl/>
        </w:rPr>
        <w:t xml:space="preserve"> ודעת רבינו כדעת הרא"ש ז"ל ולכך סתם דבריו ולא חילק בין חשוב לשאינו חשוב</w:t>
      </w:r>
      <w:r>
        <w:rPr>
          <w:rFonts w:hint="cs"/>
          <w:rtl/>
        </w:rPr>
        <w:t>, ב"י.</w:t>
      </w:r>
    </w:p>
  </w:footnote>
  <w:footnote w:id="1391">
    <w:p w14:paraId="1AECCFD0" w14:textId="77777777" w:rsidR="0013116F" w:rsidRDefault="0013116F" w:rsidP="004B607F">
      <w:pPr>
        <w:pStyle w:val="a9"/>
      </w:pPr>
      <w:r>
        <w:rPr>
          <w:rStyle w:val="ab"/>
        </w:rPr>
        <w:footnoteRef/>
      </w:r>
      <w:r>
        <w:rPr>
          <w:rtl/>
        </w:rPr>
        <w:t xml:space="preserve"> </w:t>
      </w:r>
      <w:r>
        <w:rPr>
          <w:rFonts w:hint="cs"/>
          <w:rtl/>
        </w:rPr>
        <w:t xml:space="preserve">והש"ך (סק"י) הביא את דברי הסמ"ע וכתב אח"כ </w:t>
      </w:r>
      <w:r>
        <w:rPr>
          <w:rFonts w:cs="Arial" w:hint="cs"/>
          <w:rtl/>
        </w:rPr>
        <w:t>ש</w:t>
      </w:r>
      <w:r w:rsidRPr="00C00FE7">
        <w:rPr>
          <w:rFonts w:cs="Arial"/>
          <w:rtl/>
        </w:rPr>
        <w:t>ביש"ש [שם] כתב דטעות סופר הוא בהרא"ש. וצ"ל לא יעיד אלא ישלם מכיסו, ומ"מ אם העיד לא משמתינן ליה, ועיין שם</w:t>
      </w:r>
      <w:r>
        <w:rPr>
          <w:rFonts w:hint="cs"/>
          <w:rtl/>
        </w:rPr>
        <w:t xml:space="preserve"> (עכ"ל הש"ך).</w:t>
      </w:r>
    </w:p>
  </w:footnote>
  <w:footnote w:id="1392">
    <w:p w14:paraId="09ED1929" w14:textId="77777777" w:rsidR="0013116F" w:rsidRDefault="0013116F" w:rsidP="004B607F">
      <w:pPr>
        <w:pStyle w:val="a9"/>
        <w:rPr>
          <w:rtl/>
        </w:rPr>
      </w:pPr>
      <w:r>
        <w:rPr>
          <w:rStyle w:val="ab"/>
        </w:rPr>
        <w:footnoteRef/>
      </w:r>
      <w:r>
        <w:rPr>
          <w:rtl/>
        </w:rPr>
        <w:t xml:space="preserve"> </w:t>
      </w:r>
      <w:r w:rsidRPr="00032E25">
        <w:rPr>
          <w:rFonts w:cs="Arial"/>
          <w:rtl/>
        </w:rPr>
        <w:t>הכלל בזה, דכל היכא שאינו גורם בעדותו שיתחייב הישראל בדין הגוים טפי מאילו היה מעיד עליו בדין ישראל</w:t>
      </w:r>
      <w:r>
        <w:rPr>
          <w:rFonts w:cs="Arial" w:hint="cs"/>
          <w:rtl/>
        </w:rPr>
        <w:t xml:space="preserve"> -</w:t>
      </w:r>
      <w:r w:rsidRPr="00032E25">
        <w:rPr>
          <w:rFonts w:cs="Arial"/>
          <w:rtl/>
        </w:rPr>
        <w:t xml:space="preserve"> הרי זה מותר להעיד לו</w:t>
      </w:r>
      <w:r>
        <w:rPr>
          <w:rFonts w:cs="Arial" w:hint="cs"/>
          <w:rtl/>
        </w:rPr>
        <w:t>,</w:t>
      </w:r>
      <w:r w:rsidRPr="00032E25">
        <w:rPr>
          <w:rFonts w:cs="Arial"/>
          <w:rtl/>
        </w:rPr>
        <w:t xml:space="preserve"> הן אחד והן שנים</w:t>
      </w:r>
      <w:r>
        <w:rPr>
          <w:rFonts w:cs="Arial" w:hint="cs"/>
          <w:rtl/>
        </w:rPr>
        <w:t>.</w:t>
      </w:r>
      <w:r w:rsidRPr="00032E25">
        <w:rPr>
          <w:rFonts w:cs="Arial"/>
          <w:rtl/>
        </w:rPr>
        <w:t xml:space="preserve"> ואם מתחייב על ידי עדותו טפי </w:t>
      </w:r>
      <w:r>
        <w:rPr>
          <w:rFonts w:cs="Arial" w:hint="cs"/>
          <w:rtl/>
        </w:rPr>
        <w:t xml:space="preserve">- </w:t>
      </w:r>
      <w:r w:rsidRPr="00032E25">
        <w:rPr>
          <w:rFonts w:cs="Arial"/>
          <w:rtl/>
        </w:rPr>
        <w:t>אזי אסור</w:t>
      </w:r>
      <w:r>
        <w:rPr>
          <w:rFonts w:hint="cs"/>
          <w:rtl/>
        </w:rPr>
        <w:t>, סמ"ע (סק"כ).</w:t>
      </w:r>
    </w:p>
  </w:footnote>
  <w:footnote w:id="1393">
    <w:p w14:paraId="67EAEF04" w14:textId="77777777" w:rsidR="0013116F" w:rsidRDefault="0013116F" w:rsidP="004B607F">
      <w:pPr>
        <w:pStyle w:val="a9"/>
        <w:rPr>
          <w:rtl/>
        </w:rPr>
      </w:pPr>
      <w:r>
        <w:rPr>
          <w:rStyle w:val="ab"/>
        </w:rPr>
        <w:footnoteRef/>
      </w:r>
      <w:r>
        <w:rPr>
          <w:rtl/>
        </w:rPr>
        <w:t xml:space="preserve"> </w:t>
      </w:r>
      <w:r w:rsidRPr="00032E25">
        <w:rPr>
          <w:rFonts w:cs="Arial"/>
          <w:rtl/>
        </w:rPr>
        <w:t>ל' יום. ועי</w:t>
      </w:r>
      <w:r>
        <w:rPr>
          <w:rFonts w:cs="Arial" w:hint="cs"/>
          <w:rtl/>
        </w:rPr>
        <w:t>'</w:t>
      </w:r>
      <w:r w:rsidRPr="00032E25">
        <w:rPr>
          <w:rFonts w:cs="Arial"/>
          <w:rtl/>
        </w:rPr>
        <w:t xml:space="preserve"> ברש"ל </w:t>
      </w:r>
      <w:r w:rsidRPr="003A6C40">
        <w:rPr>
          <w:rFonts w:cs="Arial" w:hint="cs"/>
          <w:sz w:val="16"/>
          <w:szCs w:val="16"/>
          <w:rtl/>
        </w:rPr>
        <w:t>(</w:t>
      </w:r>
      <w:r w:rsidRPr="003A6C40">
        <w:rPr>
          <w:rFonts w:cs="Arial"/>
          <w:sz w:val="16"/>
          <w:szCs w:val="16"/>
          <w:rtl/>
        </w:rPr>
        <w:t>יש"ש פ</w:t>
      </w:r>
      <w:r w:rsidRPr="003A6C40">
        <w:rPr>
          <w:rFonts w:cs="Arial" w:hint="cs"/>
          <w:sz w:val="16"/>
          <w:szCs w:val="16"/>
          <w:rtl/>
        </w:rPr>
        <w:t>"</w:t>
      </w:r>
      <w:r w:rsidRPr="003A6C40">
        <w:rPr>
          <w:rFonts w:cs="Arial"/>
          <w:sz w:val="16"/>
          <w:szCs w:val="16"/>
          <w:rtl/>
        </w:rPr>
        <w:t>י דב"ק סי' כג</w:t>
      </w:r>
      <w:r w:rsidRPr="003A6C40">
        <w:rPr>
          <w:rFonts w:cs="Arial" w:hint="cs"/>
          <w:sz w:val="16"/>
          <w:szCs w:val="16"/>
          <w:rtl/>
        </w:rPr>
        <w:t>)</w:t>
      </w:r>
      <w:r w:rsidRPr="003A6C40">
        <w:rPr>
          <w:rFonts w:cs="Arial"/>
          <w:sz w:val="16"/>
          <w:szCs w:val="16"/>
          <w:rtl/>
        </w:rPr>
        <w:t xml:space="preserve"> </w:t>
      </w:r>
      <w:r w:rsidRPr="00032E25">
        <w:rPr>
          <w:rFonts w:cs="Arial"/>
          <w:rtl/>
        </w:rPr>
        <w:t xml:space="preserve">דאם רוצה לשלם מתירין לו, וה"ה דלא משמתינן ליה </w:t>
      </w:r>
      <w:r w:rsidRPr="003A6C40">
        <w:rPr>
          <w:rFonts w:cs="Arial"/>
          <w:sz w:val="16"/>
          <w:szCs w:val="16"/>
          <w:rtl/>
        </w:rPr>
        <w:t>[ועי</w:t>
      </w:r>
      <w:r>
        <w:rPr>
          <w:rFonts w:cs="Arial" w:hint="cs"/>
          <w:sz w:val="16"/>
          <w:szCs w:val="16"/>
          <w:rtl/>
        </w:rPr>
        <w:t>'</w:t>
      </w:r>
      <w:r w:rsidRPr="003A6C40">
        <w:rPr>
          <w:rFonts w:cs="Arial"/>
          <w:sz w:val="16"/>
          <w:szCs w:val="16"/>
          <w:rtl/>
        </w:rPr>
        <w:t xml:space="preserve"> בתשו</w:t>
      </w:r>
      <w:r w:rsidRPr="003A6C40">
        <w:rPr>
          <w:rFonts w:cs="Arial" w:hint="cs"/>
          <w:sz w:val="16"/>
          <w:szCs w:val="16"/>
          <w:rtl/>
        </w:rPr>
        <w:t>'</w:t>
      </w:r>
      <w:r w:rsidRPr="003A6C40">
        <w:rPr>
          <w:rFonts w:cs="Arial"/>
          <w:sz w:val="16"/>
          <w:szCs w:val="16"/>
          <w:rtl/>
        </w:rPr>
        <w:t xml:space="preserve"> רמ"א </w:t>
      </w:r>
      <w:r w:rsidRPr="003A6C40">
        <w:rPr>
          <w:rFonts w:cs="Arial" w:hint="cs"/>
          <w:sz w:val="16"/>
          <w:szCs w:val="16"/>
          <w:rtl/>
        </w:rPr>
        <w:t>(</w:t>
      </w:r>
      <w:r w:rsidRPr="003A6C40">
        <w:rPr>
          <w:rFonts w:cs="Arial"/>
          <w:sz w:val="16"/>
          <w:szCs w:val="16"/>
          <w:rtl/>
        </w:rPr>
        <w:t>סי' פח</w:t>
      </w:r>
      <w:r w:rsidRPr="003A6C40">
        <w:rPr>
          <w:rFonts w:cs="Arial" w:hint="cs"/>
          <w:sz w:val="16"/>
          <w:szCs w:val="16"/>
          <w:rtl/>
        </w:rPr>
        <w:t>)</w:t>
      </w:r>
      <w:r w:rsidRPr="003A6C40">
        <w:rPr>
          <w:rFonts w:cs="Arial"/>
          <w:sz w:val="16"/>
          <w:szCs w:val="16"/>
          <w:rtl/>
        </w:rPr>
        <w:t>]</w:t>
      </w:r>
      <w:r>
        <w:rPr>
          <w:rFonts w:hint="cs"/>
          <w:rtl/>
        </w:rPr>
        <w:t xml:space="preserve">, ש"ך </w:t>
      </w:r>
      <w:r w:rsidRPr="003A6C40">
        <w:rPr>
          <w:rFonts w:hint="cs"/>
          <w:sz w:val="16"/>
          <w:szCs w:val="16"/>
          <w:rtl/>
        </w:rPr>
        <w:t>(סק"ד)</w:t>
      </w:r>
      <w:r>
        <w:rPr>
          <w:rFonts w:hint="cs"/>
          <w:rtl/>
        </w:rPr>
        <w:t>.</w:t>
      </w:r>
    </w:p>
  </w:footnote>
  <w:footnote w:id="1394">
    <w:p w14:paraId="3AE06457" w14:textId="77777777" w:rsidR="0013116F" w:rsidRDefault="0013116F" w:rsidP="004B607F">
      <w:pPr>
        <w:pStyle w:val="a9"/>
      </w:pPr>
      <w:r>
        <w:rPr>
          <w:rStyle w:val="ab"/>
        </w:rPr>
        <w:footnoteRef/>
      </w:r>
      <w:r>
        <w:rPr>
          <w:rtl/>
        </w:rPr>
        <w:t xml:space="preserve"> </w:t>
      </w:r>
      <w:r w:rsidRPr="00032E25">
        <w:rPr>
          <w:rFonts w:cs="Arial"/>
          <w:rtl/>
        </w:rPr>
        <w:t>צ"ע דביו"ד סי</w:t>
      </w:r>
      <w:r>
        <w:rPr>
          <w:rFonts w:cs="Arial" w:hint="cs"/>
          <w:rtl/>
        </w:rPr>
        <w:t>'</w:t>
      </w:r>
      <w:r w:rsidRPr="00032E25">
        <w:rPr>
          <w:rFonts w:cs="Arial"/>
          <w:rtl/>
        </w:rPr>
        <w:t xml:space="preserve"> של"ד קחשיב הטור והמחבר </w:t>
      </w:r>
      <w:r>
        <w:rPr>
          <w:rFonts w:cs="Arial" w:hint="cs"/>
          <w:rtl/>
        </w:rPr>
        <w:t>(ב</w:t>
      </w:r>
      <w:r w:rsidRPr="00032E25">
        <w:rPr>
          <w:rFonts w:cs="Arial"/>
          <w:rtl/>
        </w:rPr>
        <w:t>סע</w:t>
      </w:r>
      <w:r>
        <w:rPr>
          <w:rFonts w:cs="Arial" w:hint="cs"/>
          <w:rtl/>
        </w:rPr>
        <w:t>'</w:t>
      </w:r>
      <w:r w:rsidRPr="00032E25">
        <w:rPr>
          <w:rFonts w:cs="Arial"/>
          <w:rtl/>
        </w:rPr>
        <w:t xml:space="preserve"> מג</w:t>
      </w:r>
      <w:r>
        <w:rPr>
          <w:rFonts w:cs="Arial" w:hint="cs"/>
          <w:rtl/>
        </w:rPr>
        <w:t>)</w:t>
      </w:r>
      <w:r w:rsidRPr="00032E25">
        <w:rPr>
          <w:rFonts w:cs="Arial"/>
          <w:rtl/>
        </w:rPr>
        <w:t xml:space="preserve"> כ"ד דברים שמנדין אותן עליהם, וכתבו שם ז"ל, התשיעי, המעיד על ישראל בערכאות של גויים והוציאו ממנו ממון שלא כדין, מנדין אותו עד שישלם. ודוחק לומר דשאני הכא דתבעהו הגוי להעיד משום הכי הקילו בו שאין צריך לשלם. דאכתי קשה דלא היה לו לסתום שם אלא לחלק דאם תבעהו פטור מלשלם. ואפשר דלצדדין כתב שם, דלפעמים מנדין אותו לחוד, והיינו אם אין יכול לברר ששקר העיד, ופעמים מנדין אותו עד שיתן, והיינו כשיכולין לברר. גם י"ל בדוחק דה"ק מנדין אותו, כשאינו רוצה לשהות עוד בנידוי, ישלם </w:t>
      </w:r>
      <w:r>
        <w:rPr>
          <w:rFonts w:cs="Arial" w:hint="cs"/>
          <w:sz w:val="16"/>
          <w:szCs w:val="16"/>
          <w:rtl/>
        </w:rPr>
        <w:t>(</w:t>
      </w:r>
      <w:r w:rsidRPr="003A6C40">
        <w:rPr>
          <w:rFonts w:cs="Arial"/>
          <w:sz w:val="16"/>
          <w:szCs w:val="16"/>
          <w:rtl/>
        </w:rPr>
        <w:t>אלא שקצת קשה מאי שנא זה ממי שנתחייב לישבע שבועת היסת ואינו רוצה לישבע דג"כ אין יורדין לנכסיו אלא שמנדין אותו ל' יום ואח"כ מתירין נידויו ופוטרין אותו, וכמ"ש בטור בסימן פ"ז [סעיף ט"ז], וה"נ כאן דלא החרימוהו אלא משום חציפותו. ואין לומר דר"ל אם אינו רוצה לשהות אפילו ל' יום בנידוי ישלם, דלשון עד שישלם לא משמע הכי</w:t>
      </w:r>
      <w:r w:rsidRPr="003A6C40">
        <w:rPr>
          <w:rFonts w:cs="Arial" w:hint="cs"/>
          <w:sz w:val="16"/>
          <w:szCs w:val="16"/>
          <w:rtl/>
        </w:rPr>
        <w:t>)</w:t>
      </w:r>
      <w:r>
        <w:rPr>
          <w:rFonts w:cs="Arial" w:hint="cs"/>
          <w:rtl/>
        </w:rPr>
        <w:t>, סמ"ע (סקכ"א).</w:t>
      </w:r>
      <w:r>
        <w:rPr>
          <w:rFonts w:hint="cs"/>
          <w:rtl/>
        </w:rPr>
        <w:t xml:space="preserve"> וכתב הש"ך (סק"ה) </w:t>
      </w:r>
      <w:r w:rsidRPr="003D1675">
        <w:rPr>
          <w:rFonts w:cs="Arial"/>
          <w:rtl/>
        </w:rPr>
        <w:t xml:space="preserve">ומה שהקשה בסמ"ע </w:t>
      </w:r>
      <w:r>
        <w:rPr>
          <w:rFonts w:cs="Arial" w:hint="cs"/>
          <w:rtl/>
        </w:rPr>
        <w:t>(</w:t>
      </w:r>
      <w:r w:rsidRPr="003D1675">
        <w:rPr>
          <w:rFonts w:cs="Arial"/>
          <w:rtl/>
        </w:rPr>
        <w:t>סקכ"א</w:t>
      </w:r>
      <w:r>
        <w:rPr>
          <w:rFonts w:cs="Arial" w:hint="cs"/>
          <w:rtl/>
        </w:rPr>
        <w:t>)</w:t>
      </w:r>
      <w:r w:rsidRPr="003D1675">
        <w:rPr>
          <w:rFonts w:cs="Arial"/>
          <w:rtl/>
        </w:rPr>
        <w:t xml:space="preserve"> ממ"ש הטור ביו"ד סימן של"ד. גם מהרש"ל [שם] הרגיש בזה ע"ש</w:t>
      </w:r>
      <w:r>
        <w:rPr>
          <w:rFonts w:cs="Arial" w:hint="cs"/>
          <w:rtl/>
        </w:rPr>
        <w:t>.</w:t>
      </w:r>
    </w:p>
  </w:footnote>
  <w:footnote w:id="1395">
    <w:p w14:paraId="4D76290F" w14:textId="77777777" w:rsidR="0013116F" w:rsidRDefault="0013116F" w:rsidP="004B607F">
      <w:pPr>
        <w:pStyle w:val="a9"/>
      </w:pPr>
      <w:r>
        <w:rPr>
          <w:rStyle w:val="ab"/>
        </w:rPr>
        <w:footnoteRef/>
      </w:r>
      <w:r>
        <w:rPr>
          <w:rtl/>
        </w:rPr>
        <w:t xml:space="preserve"> </w:t>
      </w:r>
      <w:r>
        <w:rPr>
          <w:rFonts w:hint="cs"/>
          <w:rtl/>
        </w:rPr>
        <w:t xml:space="preserve">כתב הסמ"ע (סקכ"ב) </w:t>
      </w:r>
      <w:r>
        <w:rPr>
          <w:rFonts w:cs="Arial" w:hint="cs"/>
          <w:rtl/>
        </w:rPr>
        <w:t>ש</w:t>
      </w:r>
      <w:r w:rsidRPr="00032E25">
        <w:rPr>
          <w:rFonts w:cs="Arial"/>
          <w:rtl/>
        </w:rPr>
        <w:t>בישראל לישראל לא שייך זה, דבדיני ישראל אין מוציאין ממון על פי עד אחד, ובב' עדים אין שייך בירור, דתרי כמאה, ועיין לקמן ריש סי</w:t>
      </w:r>
      <w:r>
        <w:rPr>
          <w:rFonts w:cs="Arial" w:hint="cs"/>
          <w:rtl/>
        </w:rPr>
        <w:t xml:space="preserve">' </w:t>
      </w:r>
      <w:r w:rsidRPr="00032E25">
        <w:rPr>
          <w:rFonts w:cs="Arial"/>
          <w:rtl/>
        </w:rPr>
        <w:t>לא</w:t>
      </w:r>
      <w:r>
        <w:rPr>
          <w:rFonts w:cs="Arial" w:hint="cs"/>
          <w:rtl/>
        </w:rPr>
        <w:t>.</w:t>
      </w:r>
    </w:p>
  </w:footnote>
  <w:footnote w:id="1396">
    <w:p w14:paraId="4911FAEB" w14:textId="77777777" w:rsidR="0013116F" w:rsidRDefault="0013116F" w:rsidP="004B607F">
      <w:pPr>
        <w:pStyle w:val="a9"/>
      </w:pPr>
      <w:r>
        <w:rPr>
          <w:rStyle w:val="ab"/>
        </w:rPr>
        <w:footnoteRef/>
      </w:r>
      <w:r>
        <w:rPr>
          <w:rtl/>
        </w:rPr>
        <w:t xml:space="preserve"> </w:t>
      </w:r>
      <w:r w:rsidRPr="003D1675">
        <w:rPr>
          <w:rFonts w:cs="Arial"/>
          <w:rtl/>
        </w:rPr>
        <w:t>או שהם מרגישים שהישראל יודע בדבר ואיכא למיחש לביטול קיומם של יהודים, מעיד לכתחילה</w:t>
      </w:r>
      <w:r>
        <w:rPr>
          <w:rFonts w:cs="Arial" w:hint="cs"/>
          <w:rtl/>
        </w:rPr>
        <w:t>, ש"ך (סק"ז) בשם</w:t>
      </w:r>
      <w:r w:rsidRPr="003D1675">
        <w:rPr>
          <w:rFonts w:cs="Arial" w:hint="cs"/>
          <w:rtl/>
        </w:rPr>
        <w:t xml:space="preserve"> </w:t>
      </w:r>
      <w:r>
        <w:rPr>
          <w:rFonts w:cs="Arial" w:hint="cs"/>
          <w:rtl/>
        </w:rPr>
        <w:t>מהרש"ל.</w:t>
      </w:r>
    </w:p>
  </w:footnote>
  <w:footnote w:id="1397">
    <w:p w14:paraId="51D3D460" w14:textId="77777777" w:rsidR="0013116F" w:rsidRDefault="0013116F" w:rsidP="004B607F">
      <w:pPr>
        <w:pStyle w:val="a9"/>
      </w:pPr>
      <w:r>
        <w:rPr>
          <w:rStyle w:val="ab"/>
        </w:rPr>
        <w:footnoteRef/>
      </w:r>
      <w:r>
        <w:rPr>
          <w:rtl/>
        </w:rPr>
        <w:t xml:space="preserve"> </w:t>
      </w:r>
      <w:r>
        <w:rPr>
          <w:rFonts w:cs="Arial"/>
          <w:rtl/>
        </w:rPr>
        <w:t>וקרוב ללשון זה כתוב במרדכי במקומות הנזכרים לעיל בשם ר</w:t>
      </w:r>
      <w:r>
        <w:rPr>
          <w:rFonts w:cs="Arial" w:hint="cs"/>
          <w:rtl/>
        </w:rPr>
        <w:t>"</w:t>
      </w:r>
      <w:r>
        <w:rPr>
          <w:rFonts w:cs="Arial"/>
          <w:rtl/>
        </w:rPr>
        <w:t xml:space="preserve">ת. ורבינו שכתב </w:t>
      </w:r>
      <w:r w:rsidRPr="00233DDC">
        <w:rPr>
          <w:rFonts w:cs="Arial" w:hint="cs"/>
          <w:sz w:val="16"/>
          <w:szCs w:val="16"/>
          <w:rtl/>
        </w:rPr>
        <w:t>{</w:t>
      </w:r>
      <w:r w:rsidRPr="00233DDC">
        <w:rPr>
          <w:rFonts w:cs="Arial"/>
          <w:sz w:val="16"/>
          <w:szCs w:val="16"/>
          <w:rtl/>
        </w:rPr>
        <w:t>וישראל התובע ל</w:t>
      </w:r>
      <w:r w:rsidRPr="00233DDC">
        <w:rPr>
          <w:rFonts w:cs="Arial" w:hint="cs"/>
          <w:sz w:val="16"/>
          <w:szCs w:val="16"/>
          <w:rtl/>
        </w:rPr>
        <w:t xml:space="preserve">גוי </w:t>
      </w:r>
      <w:r w:rsidRPr="00233DDC">
        <w:rPr>
          <w:rFonts w:cs="Arial"/>
          <w:sz w:val="16"/>
          <w:szCs w:val="16"/>
          <w:rtl/>
        </w:rPr>
        <w:t>וכופר ויש ל</w:t>
      </w:r>
      <w:r w:rsidRPr="00233DDC">
        <w:rPr>
          <w:rFonts w:cs="Arial" w:hint="cs"/>
          <w:sz w:val="16"/>
          <w:szCs w:val="16"/>
          <w:rtl/>
        </w:rPr>
        <w:t>גוי</w:t>
      </w:r>
      <w:r w:rsidRPr="00233DDC">
        <w:rPr>
          <w:rFonts w:cs="Arial"/>
          <w:sz w:val="16"/>
          <w:szCs w:val="16"/>
          <w:rtl/>
        </w:rPr>
        <w:t xml:space="preserve"> עד אחד יכול להעידו</w:t>
      </w:r>
      <w:r>
        <w:rPr>
          <w:rFonts w:cs="Arial" w:hint="cs"/>
          <w:sz w:val="16"/>
          <w:szCs w:val="16"/>
          <w:rtl/>
        </w:rPr>
        <w:t>}</w:t>
      </w:r>
      <w:r>
        <w:rPr>
          <w:rFonts w:cs="Arial" w:hint="cs"/>
          <w:rtl/>
        </w:rPr>
        <w:t xml:space="preserve"> '</w:t>
      </w:r>
      <w:r>
        <w:rPr>
          <w:rFonts w:cs="Arial"/>
          <w:rtl/>
        </w:rPr>
        <w:t>שגם בדיני ישראל העד המסייע פוטרו</w:t>
      </w:r>
      <w:r>
        <w:rPr>
          <w:rFonts w:cs="Arial" w:hint="cs"/>
          <w:rtl/>
        </w:rPr>
        <w:t>'</w:t>
      </w:r>
      <w:r>
        <w:rPr>
          <w:rFonts w:cs="Arial"/>
          <w:rtl/>
        </w:rPr>
        <w:t xml:space="preserve"> נראה שנתכוין להוסיף אפילו שהגוי מודה במקצת ועד אחד מסייעו</w:t>
      </w:r>
      <w:r>
        <w:rPr>
          <w:rFonts w:cs="Arial" w:hint="cs"/>
          <w:rtl/>
        </w:rPr>
        <w:t>,</w:t>
      </w:r>
      <w:r>
        <w:rPr>
          <w:rFonts w:cs="Arial"/>
          <w:rtl/>
        </w:rPr>
        <w:t xml:space="preserve"> דאע</w:t>
      </w:r>
      <w:r>
        <w:rPr>
          <w:rFonts w:cs="Arial" w:hint="cs"/>
          <w:rtl/>
        </w:rPr>
        <w:t>"</w:t>
      </w:r>
      <w:r>
        <w:rPr>
          <w:rFonts w:cs="Arial"/>
          <w:rtl/>
        </w:rPr>
        <w:t>ג דמודה במקצת בדיננו הוי מחויב לישבע וגוי אינו יכול משום דלא מהימנינן ליה ומשלם</w:t>
      </w:r>
      <w:r>
        <w:rPr>
          <w:rFonts w:cs="Arial" w:hint="cs"/>
          <w:rtl/>
        </w:rPr>
        <w:t>,</w:t>
      </w:r>
      <w:r>
        <w:rPr>
          <w:rFonts w:cs="Arial"/>
          <w:rtl/>
        </w:rPr>
        <w:t xml:space="preserve"> אפילו הכי אם יש עד אחד המסייעו פוטרו משבועה בדיננו כמבואר בסימן ע"ה (ס"ג) וסימן פ"ד (ס"ז)</w:t>
      </w:r>
      <w:r>
        <w:rPr>
          <w:rFonts w:cs="Arial" w:hint="cs"/>
          <w:rtl/>
        </w:rPr>
        <w:t>,</w:t>
      </w:r>
      <w:r>
        <w:rPr>
          <w:rFonts w:cs="Arial"/>
          <w:rtl/>
        </w:rPr>
        <w:t xml:space="preserve"> והילכך שרי לאסהודי</w:t>
      </w:r>
      <w:r>
        <w:rPr>
          <w:rFonts w:cs="Arial" w:hint="cs"/>
          <w:rtl/>
        </w:rPr>
        <w:t>, ב"י.</w:t>
      </w:r>
    </w:p>
  </w:footnote>
  <w:footnote w:id="1398">
    <w:p w14:paraId="468739E5" w14:textId="77777777" w:rsidR="0013116F" w:rsidRDefault="0013116F" w:rsidP="004B607F">
      <w:pPr>
        <w:pStyle w:val="a9"/>
      </w:pPr>
      <w:r>
        <w:rPr>
          <w:rStyle w:val="ab"/>
        </w:rPr>
        <w:footnoteRef/>
      </w:r>
      <w:r>
        <w:rPr>
          <w:rtl/>
        </w:rPr>
        <w:t xml:space="preserve"> </w:t>
      </w:r>
      <w:r w:rsidRPr="003D1675">
        <w:rPr>
          <w:rFonts w:cs="Arial"/>
          <w:rtl/>
        </w:rPr>
        <w:t xml:space="preserve">אפילו אם הוא במקום שנותנין לו שבועה על הכפירה וע"י עד אחד דמסייע לו פוטרין אותו משבועה, ואילו לא העיד שמא היה משלם ולא היה נשבע, אפילו הכי מותר, דהרי גם בדיני ישראל עד אחד המסייעו פוטרו משבועת היסת, </w:t>
      </w:r>
      <w:r>
        <w:rPr>
          <w:rFonts w:cs="Arial" w:hint="cs"/>
          <w:rtl/>
        </w:rPr>
        <w:t xml:space="preserve">סמ"ע (סקכ"ג). </w:t>
      </w:r>
    </w:p>
  </w:footnote>
  <w:footnote w:id="1399">
    <w:p w14:paraId="4CC4E9EC" w14:textId="77777777" w:rsidR="0013116F" w:rsidRDefault="0013116F" w:rsidP="004B607F">
      <w:pPr>
        <w:pStyle w:val="a9"/>
        <w:rPr>
          <w:rtl/>
        </w:rPr>
      </w:pPr>
      <w:r>
        <w:rPr>
          <w:rStyle w:val="ab"/>
        </w:rPr>
        <w:footnoteRef/>
      </w:r>
      <w:r>
        <w:rPr>
          <w:rtl/>
        </w:rPr>
        <w:t xml:space="preserve"> </w:t>
      </w:r>
      <w:r w:rsidRPr="003D1675">
        <w:rPr>
          <w:rFonts w:cs="Arial"/>
          <w:rtl/>
        </w:rPr>
        <w:t>פירוש, כשהגוי התובע מוציא ממון על ידם</w:t>
      </w:r>
      <w:r>
        <w:rPr>
          <w:rFonts w:hint="cs"/>
          <w:rtl/>
        </w:rPr>
        <w:t>, סמ"ע (סקכ"ד).</w:t>
      </w:r>
    </w:p>
  </w:footnote>
  <w:footnote w:id="1400">
    <w:p w14:paraId="394ED382" w14:textId="77777777" w:rsidR="0013116F" w:rsidRDefault="0013116F" w:rsidP="004B607F">
      <w:pPr>
        <w:pStyle w:val="a9"/>
        <w:rPr>
          <w:rtl/>
        </w:rPr>
      </w:pPr>
      <w:r>
        <w:rPr>
          <w:rStyle w:val="ab"/>
        </w:rPr>
        <w:footnoteRef/>
      </w:r>
      <w:r>
        <w:rPr>
          <w:rtl/>
        </w:rPr>
        <w:t xml:space="preserve"> </w:t>
      </w:r>
      <w:r w:rsidRPr="003C3732">
        <w:rPr>
          <w:rFonts w:cs="Arial"/>
          <w:rtl/>
        </w:rPr>
        <w:t>והרא"ש פסק דאפילו אדם חשוב דמוציאין ממון על פיו לבד, כיון דאדם חשוב הוא וקשה לו להשתמט מותר לו להעיד, עכ"ל סמ"ע [סקכ"ה]. וביש"ש [שם] כתב דטעות סופר הוא בהרא"ש. וצ"ל לא יעיד אלא ישלם מכיסו, ומ"מ אם העיד לא משמתינן ליה, ועיין שם</w:t>
      </w:r>
      <w:r>
        <w:rPr>
          <w:rFonts w:cs="Arial" w:hint="cs"/>
          <w:rtl/>
        </w:rPr>
        <w:t>, ש"ך (סק"י). וכתב ה</w:t>
      </w:r>
      <w:r>
        <w:rPr>
          <w:rFonts w:hint="cs"/>
          <w:rtl/>
        </w:rPr>
        <w:t>נתיבות (ביאורים סק"ה)</w:t>
      </w:r>
      <w:r w:rsidRPr="003C3732">
        <w:rPr>
          <w:rFonts w:cs="Arial"/>
          <w:rtl/>
        </w:rPr>
        <w:t xml:space="preserve"> </w:t>
      </w:r>
      <w:r>
        <w:rPr>
          <w:rFonts w:cs="Arial" w:hint="cs"/>
          <w:rtl/>
        </w:rPr>
        <w:t xml:space="preserve">דגם לדברי הסמ"ע </w:t>
      </w:r>
      <w:r w:rsidRPr="003C3732">
        <w:rPr>
          <w:rFonts w:cs="Arial"/>
          <w:rtl/>
        </w:rPr>
        <w:t>נראה דהיינו דוקא במקום שאם האמת כדבריו לא יתחייב יותר מאילו היו דנין בדין תורה, אבל במקום שיתחייב יותר, כגון שיש בו אסמכתא, דפטור בדין תורה ובדיניהם יתחייב, ודאי דאסור להעיד, ואם העיד חייב לשלם כדין מסור ומזיק</w:t>
      </w:r>
      <w:r>
        <w:rPr>
          <w:rFonts w:hint="cs"/>
          <w:rtl/>
        </w:rPr>
        <w:t>. עכ"ל. וכ"כ התומים סקי"א.</w:t>
      </w:r>
    </w:p>
  </w:footnote>
  <w:footnote w:id="1401">
    <w:p w14:paraId="2014F4BA" w14:textId="77777777" w:rsidR="0013116F" w:rsidRDefault="0013116F" w:rsidP="004B607F">
      <w:pPr>
        <w:pStyle w:val="a9"/>
      </w:pPr>
      <w:r>
        <w:rPr>
          <w:rStyle w:val="ab"/>
        </w:rPr>
        <w:footnoteRef/>
      </w:r>
      <w:r>
        <w:rPr>
          <w:rtl/>
        </w:rPr>
        <w:t xml:space="preserve"> </w:t>
      </w:r>
      <w:r w:rsidRPr="00EF7554">
        <w:rPr>
          <w:rFonts w:cs="Arial"/>
          <w:rtl/>
        </w:rPr>
        <w:t>כן היא הגירסא הנכונה.</w:t>
      </w:r>
      <w:r>
        <w:rPr>
          <w:rFonts w:cs="Arial" w:hint="cs"/>
          <w:rtl/>
        </w:rPr>
        <w:t>.., סמ"ע (סקכ"ו).</w:t>
      </w:r>
    </w:p>
  </w:footnote>
  <w:footnote w:id="1402">
    <w:p w14:paraId="5EFD3685" w14:textId="77777777" w:rsidR="0013116F" w:rsidRDefault="0013116F" w:rsidP="004B607F">
      <w:pPr>
        <w:pStyle w:val="a9"/>
      </w:pPr>
      <w:r>
        <w:rPr>
          <w:rStyle w:val="ab"/>
        </w:rPr>
        <w:footnoteRef/>
      </w:r>
      <w:r>
        <w:rPr>
          <w:rtl/>
        </w:rPr>
        <w:t xml:space="preserve"> </w:t>
      </w:r>
      <w:r>
        <w:rPr>
          <w:rFonts w:hint="cs"/>
          <w:rtl/>
        </w:rPr>
        <w:t xml:space="preserve">סימן </w:t>
      </w:r>
      <w:r>
        <w:rPr>
          <w:rtl/>
        </w:rPr>
        <w:t>–</w:t>
      </w:r>
      <w:r>
        <w:rPr>
          <w:rFonts w:hint="cs"/>
          <w:rtl/>
        </w:rPr>
        <w:t xml:space="preserve"> לחוש לכבודו. לא לחוש לכבודו.</w:t>
      </w:r>
    </w:p>
  </w:footnote>
  <w:footnote w:id="1403">
    <w:p w14:paraId="332179F0" w14:textId="77777777" w:rsidR="0013116F" w:rsidRDefault="0013116F" w:rsidP="004B607F">
      <w:pPr>
        <w:pStyle w:val="a9"/>
      </w:pPr>
      <w:r>
        <w:rPr>
          <w:rStyle w:val="ab"/>
        </w:rPr>
        <w:footnoteRef/>
      </w:r>
      <w:r>
        <w:rPr>
          <w:rtl/>
        </w:rPr>
        <w:t xml:space="preserve"> </w:t>
      </w:r>
      <w:r>
        <w:rPr>
          <w:rFonts w:cs="Arial"/>
          <w:rtl/>
        </w:rPr>
        <w:t xml:space="preserve">ופירש רש"י כגון אשה הבאה לפני חכם להתירה לינשא ותלמיד זה יודע שבעלה חי </w:t>
      </w:r>
      <w:r>
        <w:rPr>
          <w:rFonts w:cs="Arial" w:hint="cs"/>
          <w:rtl/>
        </w:rPr>
        <w:t xml:space="preserve">- </w:t>
      </w:r>
      <w:r>
        <w:rPr>
          <w:rFonts w:cs="Arial"/>
          <w:rtl/>
        </w:rPr>
        <w:t xml:space="preserve">אין חכמה חשובה לנגד ה'. כלומר דהא דאמרינן </w:t>
      </w:r>
      <w:r>
        <w:rPr>
          <w:rFonts w:cs="Arial" w:hint="cs"/>
          <w:rtl/>
        </w:rPr>
        <w:t>'</w:t>
      </w:r>
      <w:r>
        <w:rPr>
          <w:rFonts w:cs="Arial"/>
          <w:rtl/>
        </w:rPr>
        <w:t>אבל באיסורא</w:t>
      </w:r>
      <w:r>
        <w:rPr>
          <w:rFonts w:cs="Arial" w:hint="cs"/>
          <w:rtl/>
        </w:rPr>
        <w:t>'</w:t>
      </w:r>
      <w:r>
        <w:rPr>
          <w:rFonts w:cs="Arial"/>
          <w:rtl/>
        </w:rPr>
        <w:t xml:space="preserve"> אין הכוונה שאם יודע עדות בדבר איסור בין שהעדות להתיר או לאסור</w:t>
      </w:r>
      <w:r>
        <w:rPr>
          <w:rFonts w:cs="Arial" w:hint="cs"/>
          <w:rtl/>
        </w:rPr>
        <w:t>,</w:t>
      </w:r>
      <w:r>
        <w:rPr>
          <w:rFonts w:cs="Arial"/>
          <w:rtl/>
        </w:rPr>
        <w:t xml:space="preserve"> אלא באיסורא פירושו כשהעדות לאסור</w:t>
      </w:r>
      <w:r>
        <w:rPr>
          <w:rFonts w:cs="Arial" w:hint="cs"/>
          <w:rtl/>
        </w:rPr>
        <w:t>,</w:t>
      </w:r>
      <w:r>
        <w:rPr>
          <w:rFonts w:cs="Arial"/>
          <w:rtl/>
        </w:rPr>
        <w:t xml:space="preserve"> והוכרח לפרש כן מדאמרינן כל מקום שיש בו חלול השם ואם הבית דין רוצים לאסור וזה יודע עדות להתיר אע</w:t>
      </w:r>
      <w:r>
        <w:rPr>
          <w:rFonts w:cs="Arial" w:hint="cs"/>
          <w:rtl/>
        </w:rPr>
        <w:t>"</w:t>
      </w:r>
      <w:r>
        <w:rPr>
          <w:rFonts w:cs="Arial"/>
          <w:rtl/>
        </w:rPr>
        <w:t>פ שיאסר ליכא חלול השם</w:t>
      </w:r>
      <w:r>
        <w:rPr>
          <w:rFonts w:cs="Arial" w:hint="cs"/>
          <w:rtl/>
        </w:rPr>
        <w:t>,</w:t>
      </w:r>
      <w:r>
        <w:rPr>
          <w:rFonts w:cs="Arial"/>
          <w:rtl/>
        </w:rPr>
        <w:t xml:space="preserve"> וזהו שכתב רבינו אבל בעדות שיש בו צד אפרושי מאיסורא</w:t>
      </w:r>
      <w:r>
        <w:rPr>
          <w:rFonts w:cs="Arial" w:hint="cs"/>
          <w:rtl/>
        </w:rPr>
        <w:t>, ב"י</w:t>
      </w:r>
      <w:r>
        <w:rPr>
          <w:rFonts w:cs="Arial"/>
          <w:rtl/>
        </w:rPr>
        <w:t>.</w:t>
      </w:r>
      <w:r>
        <w:rPr>
          <w:rFonts w:hint="cs"/>
          <w:rtl/>
        </w:rPr>
        <w:t xml:space="preserve"> אך הסמ"ע (סקכ"ח) חלק על הב"י וכתב </w:t>
      </w:r>
      <w:r w:rsidRPr="00E11828">
        <w:rPr>
          <w:rFonts w:cs="Arial"/>
          <w:rtl/>
        </w:rPr>
        <w:t>דלא מיבעיא אם הבית דין רוצים להתיר אשה שסוברים שמת בעלה והוא יודע שחי, שצריך להעיד, אלא אפילו איפכא נמי, משום דגם כן יש בו צד אפרושי מאיסורא, כגון אם לאחר שאסרוה הבית דין לאשה זאת בא אחר וקידשה, ואמרו לו הבריות שהיא נשואה כבר ואין קדושין תופסין בה, דאז ילך זה וישא אחרת או אחת מהנשים שאסורות לו מחמת קידושיו הראשונים, והוא לא יחוש לקדושין הראשונים, והרי זה חומרא דאתא לידי קולא, וכן רבים כאלה, כתבתי עוד מקצתן בדרישה. ומשום הכי דקדק הטור [סעיף ה'] וכתב, צד אפרושי מאיסורא, ולא כבית יוסף שכתב על פי פירוש רש"י דכהאי גוונא אין צריך להעיד, ע"ש</w:t>
      </w:r>
      <w:r>
        <w:rPr>
          <w:rFonts w:cs="Arial" w:hint="cs"/>
          <w:rtl/>
        </w:rPr>
        <w:t>.</w:t>
      </w:r>
    </w:p>
  </w:footnote>
  <w:footnote w:id="1404">
    <w:p w14:paraId="264FBC10" w14:textId="77777777" w:rsidR="0013116F" w:rsidRDefault="0013116F" w:rsidP="004B607F">
      <w:pPr>
        <w:pStyle w:val="a9"/>
      </w:pPr>
      <w:r>
        <w:rPr>
          <w:rStyle w:val="ab"/>
        </w:rPr>
        <w:footnoteRef/>
      </w:r>
      <w:r>
        <w:rPr>
          <w:rtl/>
        </w:rPr>
        <w:t xml:space="preserve"> </w:t>
      </w:r>
      <w:r>
        <w:rPr>
          <w:rFonts w:cs="Arial"/>
          <w:rtl/>
        </w:rPr>
        <w:t>אלא שולחין לו ומעיד בפני הבית דין או בפני שלוחם</w:t>
      </w:r>
      <w:r>
        <w:rPr>
          <w:rFonts w:cs="Arial" w:hint="cs"/>
          <w:rtl/>
        </w:rPr>
        <w:t>,</w:t>
      </w:r>
      <w:r>
        <w:rPr>
          <w:rFonts w:cs="Arial"/>
          <w:rtl/>
        </w:rPr>
        <w:t xml:space="preserve"> ר</w:t>
      </w:r>
      <w:r>
        <w:rPr>
          <w:rFonts w:cs="Arial" w:hint="cs"/>
          <w:rtl/>
        </w:rPr>
        <w:t>י"ו</w:t>
      </w:r>
      <w:r>
        <w:rPr>
          <w:rFonts w:cs="Arial"/>
          <w:rtl/>
        </w:rPr>
        <w:t xml:space="preserve"> </w:t>
      </w:r>
      <w:r>
        <w:rPr>
          <w:rFonts w:cs="Arial" w:hint="cs"/>
          <w:rtl/>
        </w:rPr>
        <w:t>(</w:t>
      </w:r>
      <w:r>
        <w:rPr>
          <w:rFonts w:cs="Arial"/>
          <w:rtl/>
        </w:rPr>
        <w:t>נ"ב ח"ב יא ע"ד</w:t>
      </w:r>
      <w:r>
        <w:rPr>
          <w:rFonts w:cs="Arial" w:hint="cs"/>
          <w:rtl/>
        </w:rPr>
        <w:t>, הביאו הב"י</w:t>
      </w:r>
      <w:r>
        <w:rPr>
          <w:rFonts w:cs="Arial"/>
          <w:rtl/>
        </w:rPr>
        <w:t>)</w:t>
      </w:r>
      <w:r>
        <w:rPr>
          <w:rFonts w:cs="Arial" w:hint="cs"/>
          <w:rtl/>
        </w:rPr>
        <w:t>.</w:t>
      </w:r>
      <w:r w:rsidRPr="005A578F">
        <w:rPr>
          <w:rFonts w:cs="Arial" w:hint="cs"/>
          <w:color w:val="00B0F0"/>
          <w:rtl/>
        </w:rPr>
        <w:t xml:space="preserve"> </w:t>
      </w:r>
      <w:r w:rsidRPr="008845D0">
        <w:rPr>
          <w:rFonts w:cs="Arial" w:hint="cs"/>
          <w:color w:val="00B0F0"/>
          <w:rtl/>
        </w:rPr>
        <w:t>(וכ"פ הרמ"א)</w:t>
      </w:r>
    </w:p>
  </w:footnote>
  <w:footnote w:id="1405">
    <w:p w14:paraId="5BEE7D6A" w14:textId="77777777" w:rsidR="0013116F" w:rsidRDefault="0013116F" w:rsidP="004B607F">
      <w:pPr>
        <w:pStyle w:val="a9"/>
      </w:pPr>
      <w:r>
        <w:rPr>
          <w:rStyle w:val="ab"/>
        </w:rPr>
        <w:footnoteRef/>
      </w:r>
      <w:r>
        <w:rPr>
          <w:rtl/>
        </w:rPr>
        <w:t xml:space="preserve"> </w:t>
      </w:r>
      <w:r>
        <w:rPr>
          <w:rFonts w:hint="cs"/>
          <w:rtl/>
        </w:rPr>
        <w:t xml:space="preserve">סימן </w:t>
      </w:r>
      <w:r>
        <w:rPr>
          <w:rtl/>
        </w:rPr>
        <w:t>–</w:t>
      </w:r>
      <w:r>
        <w:rPr>
          <w:rFonts w:hint="cs"/>
          <w:rtl/>
        </w:rPr>
        <w:t xml:space="preserve"> לשונות בטראומה.</w:t>
      </w:r>
      <w:r w:rsidRPr="00DB02AF">
        <w:rPr>
          <w:rFonts w:hint="cs"/>
          <w:rtl/>
        </w:rPr>
        <w:t xml:space="preserve"> </w:t>
      </w:r>
      <w:r>
        <w:rPr>
          <w:rFonts w:hint="cs"/>
          <w:rtl/>
        </w:rPr>
        <w:t>וכן איתא ב</w:t>
      </w:r>
      <w:r>
        <w:rPr>
          <w:rFonts w:cs="Arial"/>
          <w:rtl/>
        </w:rPr>
        <w:t>פ</w:t>
      </w:r>
      <w:r>
        <w:rPr>
          <w:rFonts w:cs="Arial" w:hint="cs"/>
          <w:rtl/>
        </w:rPr>
        <w:t>"ב דכתובות</w:t>
      </w:r>
      <w:r>
        <w:rPr>
          <w:rFonts w:cs="Arial"/>
          <w:rtl/>
        </w:rPr>
        <w:t xml:space="preserve"> </w:t>
      </w:r>
      <w:r>
        <w:rPr>
          <w:rFonts w:cs="Arial" w:hint="cs"/>
          <w:rtl/>
        </w:rPr>
        <w:t>(כז</w:t>
      </w:r>
      <w:r>
        <w:rPr>
          <w:rFonts w:cs="Arial"/>
          <w:rtl/>
        </w:rPr>
        <w:t>:)</w:t>
      </w:r>
      <w:r>
        <w:rPr>
          <w:rFonts w:cs="Arial" w:hint="cs"/>
          <w:rtl/>
        </w:rPr>
        <w:t xml:space="preserve"> וסימן לשם </w:t>
      </w:r>
      <w:r>
        <w:rPr>
          <w:rFonts w:cs="Arial"/>
          <w:rtl/>
        </w:rPr>
        <w:t>–</w:t>
      </w:r>
      <w:r>
        <w:rPr>
          <w:rFonts w:cs="Arial" w:hint="cs"/>
          <w:rtl/>
        </w:rPr>
        <w:t xml:space="preserve"> כופפים זרוע.</w:t>
      </w:r>
    </w:p>
  </w:footnote>
  <w:footnote w:id="1406">
    <w:p w14:paraId="674E2FE9" w14:textId="77777777" w:rsidR="0013116F" w:rsidRDefault="0013116F" w:rsidP="004B607F">
      <w:pPr>
        <w:pStyle w:val="a9"/>
      </w:pPr>
      <w:r>
        <w:rPr>
          <w:rStyle w:val="ab"/>
        </w:rPr>
        <w:footnoteRef/>
      </w:r>
      <w:r>
        <w:rPr>
          <w:rtl/>
        </w:rPr>
        <w:t xml:space="preserve"> </w:t>
      </w:r>
      <w:r w:rsidRPr="00714789">
        <w:rPr>
          <w:rFonts w:cs="Arial"/>
          <w:rtl/>
        </w:rPr>
        <w:t>שהלך אביו לבי חוזאי ונשא שם אשה, וילדה לו את זה, וחזר מרי לכאן וירד לנכסי אביו, ובא זה אחריו לזמן מרובה ותבע חלקו</w:t>
      </w:r>
      <w:r>
        <w:rPr>
          <w:rFonts w:cs="Arial" w:hint="cs"/>
          <w:rtl/>
        </w:rPr>
        <w:t>, רש"י.</w:t>
      </w:r>
    </w:p>
  </w:footnote>
  <w:footnote w:id="1407">
    <w:p w14:paraId="3D90E6C5" w14:textId="77777777" w:rsidR="0013116F" w:rsidRDefault="0013116F" w:rsidP="004B607F">
      <w:pPr>
        <w:pStyle w:val="a9"/>
        <w:rPr>
          <w:rtl/>
        </w:rPr>
      </w:pPr>
      <w:r>
        <w:rPr>
          <w:rStyle w:val="ab"/>
        </w:rPr>
        <w:footnoteRef/>
      </w:r>
      <w:r>
        <w:rPr>
          <w:rtl/>
        </w:rPr>
        <w:t xml:space="preserve"> </w:t>
      </w:r>
      <w:r w:rsidRPr="00714789">
        <w:rPr>
          <w:rFonts w:cs="Arial"/>
          <w:rtl/>
        </w:rPr>
        <w:t>שאינו מכירך, ואין זה רמאות, שכשיצא מאצלך לא היה לך חתימת זקן ועכשיו באת בחתימת זקן</w:t>
      </w:r>
      <w:r>
        <w:rPr>
          <w:rFonts w:cs="Arial" w:hint="cs"/>
          <w:rtl/>
        </w:rPr>
        <w:t>, רש"י</w:t>
      </w:r>
      <w:r w:rsidRPr="00714789">
        <w:rPr>
          <w:rFonts w:cs="Arial"/>
          <w:rtl/>
        </w:rPr>
        <w:t>.</w:t>
      </w:r>
    </w:p>
  </w:footnote>
  <w:footnote w:id="1408">
    <w:p w14:paraId="7AF1E755" w14:textId="77777777" w:rsidR="0013116F" w:rsidRDefault="0013116F" w:rsidP="004B607F">
      <w:pPr>
        <w:pStyle w:val="a9"/>
      </w:pPr>
      <w:r>
        <w:rPr>
          <w:rStyle w:val="ab"/>
        </w:rPr>
        <w:footnoteRef/>
      </w:r>
      <w:r>
        <w:rPr>
          <w:rtl/>
        </w:rPr>
        <w:t xml:space="preserve"> </w:t>
      </w:r>
      <w:r w:rsidRPr="00714789">
        <w:rPr>
          <w:rFonts w:cs="Arial"/>
          <w:rtl/>
        </w:rPr>
        <w:t>אותם עדים שיש לו לזה, שבאו משם ומכירין בו מי הוא, הביאם אתה ויעידו שאינו בן אביך, או בקש עדים אחרים</w:t>
      </w:r>
      <w:r>
        <w:rPr>
          <w:rFonts w:cs="Arial" w:hint="cs"/>
          <w:rtl/>
        </w:rPr>
        <w:t>, רש"י</w:t>
      </w:r>
      <w:r w:rsidRPr="00714789">
        <w:rPr>
          <w:rFonts w:cs="Arial"/>
          <w:rtl/>
        </w:rPr>
        <w:t>.</w:t>
      </w:r>
    </w:p>
  </w:footnote>
  <w:footnote w:id="1409">
    <w:p w14:paraId="2D44AAEE" w14:textId="77777777" w:rsidR="0013116F" w:rsidRDefault="0013116F" w:rsidP="004B607F">
      <w:pPr>
        <w:pStyle w:val="a9"/>
        <w:rPr>
          <w:rtl/>
        </w:rPr>
      </w:pPr>
      <w:r>
        <w:rPr>
          <w:rStyle w:val="ab"/>
        </w:rPr>
        <w:footnoteRef/>
      </w:r>
      <w:r>
        <w:rPr>
          <w:rtl/>
        </w:rPr>
        <w:t xml:space="preserve"> </w:t>
      </w:r>
      <w:r w:rsidRPr="00714789">
        <w:rPr>
          <w:rFonts w:cs="Arial"/>
          <w:rtl/>
        </w:rPr>
        <w:t>מרי לרב חסדא: אי מינאי דחלי מה תועלת</w:t>
      </w:r>
      <w:r>
        <w:rPr>
          <w:rFonts w:cs="Arial" w:hint="cs"/>
          <w:rtl/>
        </w:rPr>
        <w:t>, רש"י</w:t>
      </w:r>
      <w:r w:rsidRPr="00714789">
        <w:rPr>
          <w:rFonts w:cs="Arial"/>
          <w:rtl/>
        </w:rPr>
        <w:t>.</w:t>
      </w:r>
    </w:p>
  </w:footnote>
  <w:footnote w:id="1410">
    <w:p w14:paraId="3E5E3A76" w14:textId="77777777" w:rsidR="0013116F" w:rsidRDefault="0013116F" w:rsidP="004B607F">
      <w:pPr>
        <w:pStyle w:val="a9"/>
        <w:rPr>
          <w:rtl/>
        </w:rPr>
      </w:pPr>
      <w:r>
        <w:rPr>
          <w:rStyle w:val="ab"/>
        </w:rPr>
        <w:footnoteRef/>
      </w:r>
      <w:r>
        <w:rPr>
          <w:rtl/>
        </w:rPr>
        <w:t xml:space="preserve"> </w:t>
      </w:r>
      <w:r w:rsidRPr="00714789">
        <w:rPr>
          <w:rFonts w:cs="Arial"/>
          <w:rtl/>
        </w:rPr>
        <w:t>אלא כמותי, ולא כמותך</w:t>
      </w:r>
      <w:r>
        <w:rPr>
          <w:rFonts w:cs="Arial" w:hint="cs"/>
          <w:rtl/>
        </w:rPr>
        <w:t>, רש"י</w:t>
      </w:r>
      <w:r w:rsidRPr="00714789">
        <w:rPr>
          <w:rFonts w:cs="Arial"/>
          <w:rtl/>
        </w:rPr>
        <w:t>.</w:t>
      </w:r>
    </w:p>
  </w:footnote>
  <w:footnote w:id="1411">
    <w:p w14:paraId="3FF59E14" w14:textId="77777777" w:rsidR="0013116F" w:rsidRDefault="0013116F" w:rsidP="004B607F">
      <w:pPr>
        <w:pStyle w:val="a9"/>
      </w:pPr>
      <w:r>
        <w:rPr>
          <w:rStyle w:val="ab"/>
        </w:rPr>
        <w:footnoteRef/>
      </w:r>
      <w:r>
        <w:rPr>
          <w:rtl/>
        </w:rPr>
        <w:t xml:space="preserve"> </w:t>
      </w:r>
      <w:r w:rsidRPr="00FF0FD1">
        <w:rPr>
          <w:rFonts w:cs="Arial"/>
          <w:rtl/>
        </w:rPr>
        <w:t>מיראתך יעשו אחת שישתקו, אבל שתים לא יעשו, לא דיין שישתקו ולא יעידו האמת אלא גם שיעידו שקר</w:t>
      </w:r>
      <w:r>
        <w:rPr>
          <w:rFonts w:cs="Arial" w:hint="cs"/>
          <w:rtl/>
        </w:rPr>
        <w:t>?, רש"י</w:t>
      </w:r>
      <w:r w:rsidRPr="00FF0FD1">
        <w:rPr>
          <w:rFonts w:cs="Arial"/>
          <w:rtl/>
        </w:rPr>
        <w:t>.</w:t>
      </w:r>
    </w:p>
  </w:footnote>
  <w:footnote w:id="1412">
    <w:p w14:paraId="4CBE3D9B" w14:textId="77777777" w:rsidR="0013116F" w:rsidRPr="000E2727" w:rsidRDefault="0013116F" w:rsidP="004B607F">
      <w:pPr>
        <w:pStyle w:val="a9"/>
        <w:rPr>
          <w:color w:val="FF0000"/>
          <w:rtl/>
        </w:rPr>
      </w:pPr>
      <w:r>
        <w:rPr>
          <w:rStyle w:val="ab"/>
        </w:rPr>
        <w:footnoteRef/>
      </w:r>
      <w:r>
        <w:rPr>
          <w:rtl/>
        </w:rPr>
        <w:t xml:space="preserve"> </w:t>
      </w:r>
      <w:r>
        <w:rPr>
          <w:rFonts w:hint="cs"/>
          <w:rtl/>
        </w:rPr>
        <w:t xml:space="preserve">וז"ל- </w:t>
      </w:r>
      <w:r>
        <w:rPr>
          <w:rFonts w:cs="Arial"/>
          <w:rtl/>
        </w:rPr>
        <w:t xml:space="preserve">וא"ת וכי כל אדם עשיר אלם יצטרך להביא עדים שאין התובעו אחיו </w:t>
      </w:r>
      <w:r w:rsidRPr="00706003">
        <w:rPr>
          <w:rFonts w:cs="Arial" w:hint="cs"/>
          <w:sz w:val="16"/>
          <w:szCs w:val="16"/>
          <w:rtl/>
        </w:rPr>
        <w:t>(</w:t>
      </w:r>
      <w:r w:rsidRPr="00706003">
        <w:rPr>
          <w:rFonts w:cs="Arial"/>
          <w:sz w:val="16"/>
          <w:szCs w:val="16"/>
          <w:rtl/>
        </w:rPr>
        <w:t>כלומר דא</w:t>
      </w:r>
      <w:r>
        <w:rPr>
          <w:rFonts w:cs="Arial" w:hint="cs"/>
          <w:sz w:val="16"/>
          <w:szCs w:val="16"/>
          <w:rtl/>
        </w:rPr>
        <w:t>"</w:t>
      </w:r>
      <w:r w:rsidRPr="00706003">
        <w:rPr>
          <w:rFonts w:cs="Arial"/>
          <w:sz w:val="16"/>
          <w:szCs w:val="16"/>
          <w:rtl/>
        </w:rPr>
        <w:t>כ לא שבקת ליה חיי</w:t>
      </w:r>
      <w:r>
        <w:rPr>
          <w:rFonts w:cs="Arial" w:hint="cs"/>
          <w:sz w:val="16"/>
          <w:szCs w:val="16"/>
          <w:rtl/>
        </w:rPr>
        <w:t>, ב"י)</w:t>
      </w:r>
      <w:r>
        <w:rPr>
          <w:rFonts w:cs="Arial" w:hint="cs"/>
          <w:rtl/>
        </w:rPr>
        <w:t>,</w:t>
      </w:r>
      <w:r>
        <w:rPr>
          <w:rFonts w:cs="Arial"/>
          <w:rtl/>
        </w:rPr>
        <w:t xml:space="preserve"> וי"ל דשאני הכא שאותו אמר שיש לו עדים ויראים להגיד אמר ליה רב חסדא שיעשה עמהם שיעידו ומרי בר איסק אמר ליה סוף סוף השתא יעידו שקר מיראתי ויאמרו שאינו אחי או יאמרו שאינם יודעים אע</w:t>
      </w:r>
      <w:r>
        <w:rPr>
          <w:rFonts w:cs="Arial" w:hint="cs"/>
          <w:rtl/>
        </w:rPr>
        <w:t>"</w:t>
      </w:r>
      <w:r>
        <w:rPr>
          <w:rFonts w:cs="Arial"/>
          <w:rtl/>
        </w:rPr>
        <w:t xml:space="preserve">פ שיודעים ומשני </w:t>
      </w:r>
      <w:r>
        <w:rPr>
          <w:rFonts w:cs="Arial" w:hint="cs"/>
          <w:rtl/>
        </w:rPr>
        <w:t xml:space="preserve">- </w:t>
      </w:r>
      <w:r>
        <w:rPr>
          <w:rFonts w:cs="Arial"/>
          <w:rtl/>
        </w:rPr>
        <w:t>תרתי לא עבדי</w:t>
      </w:r>
      <w:r>
        <w:rPr>
          <w:rFonts w:cs="Arial" w:hint="cs"/>
          <w:rtl/>
        </w:rPr>
        <w:t>,</w:t>
      </w:r>
      <w:r>
        <w:rPr>
          <w:rFonts w:cs="Arial"/>
          <w:rtl/>
        </w:rPr>
        <w:t xml:space="preserve"> חדא שישתקו</w:t>
      </w:r>
      <w:r>
        <w:rPr>
          <w:rFonts w:cs="Arial" w:hint="cs"/>
          <w:rtl/>
        </w:rPr>
        <w:t>,</w:t>
      </w:r>
      <w:r>
        <w:rPr>
          <w:rFonts w:cs="Arial"/>
          <w:rtl/>
        </w:rPr>
        <w:t xml:space="preserve"> וחדא שישקרו ויאמרו אין אנו יודעים או שיאמרו אינו אחיו</w:t>
      </w:r>
      <w:r>
        <w:rPr>
          <w:rFonts w:cs="Arial" w:hint="cs"/>
          <w:rtl/>
        </w:rPr>
        <w:t xml:space="preserve">. ע"כ. </w:t>
      </w:r>
      <w:r>
        <w:rPr>
          <w:rFonts w:cs="Arial"/>
          <w:rtl/>
        </w:rPr>
        <w:t xml:space="preserve">ובפ"ב דכתובות </w:t>
      </w:r>
      <w:r w:rsidRPr="00F12A74">
        <w:rPr>
          <w:rFonts w:cs="Arial"/>
          <w:sz w:val="16"/>
          <w:szCs w:val="16"/>
          <w:rtl/>
        </w:rPr>
        <w:t xml:space="preserve">(ד"ה אמר ליה) </w:t>
      </w:r>
      <w:r>
        <w:rPr>
          <w:rFonts w:cs="Arial"/>
          <w:rtl/>
        </w:rPr>
        <w:t xml:space="preserve">כתבו </w:t>
      </w:r>
      <w:r>
        <w:rPr>
          <w:rFonts w:cs="Arial" w:hint="cs"/>
          <w:rtl/>
        </w:rPr>
        <w:t xml:space="preserve">התוס'- </w:t>
      </w:r>
      <w:r>
        <w:rPr>
          <w:rFonts w:cs="Arial"/>
          <w:rtl/>
        </w:rPr>
        <w:t>נראה לר"י דמיירי שהביא עדים</w:t>
      </w:r>
      <w:r>
        <w:rPr>
          <w:rFonts w:cs="Arial" w:hint="cs"/>
          <w:rtl/>
        </w:rPr>
        <w:t>,</w:t>
      </w:r>
      <w:r>
        <w:rPr>
          <w:rFonts w:cs="Arial"/>
          <w:rtl/>
        </w:rPr>
        <w:t xml:space="preserve"> ואומרים </w:t>
      </w:r>
      <w:r>
        <w:rPr>
          <w:rFonts w:cs="Arial" w:hint="cs"/>
          <w:rtl/>
        </w:rPr>
        <w:t xml:space="preserve">- </w:t>
      </w:r>
      <w:r>
        <w:rPr>
          <w:rFonts w:cs="Arial"/>
          <w:rtl/>
        </w:rPr>
        <w:t>אותו עדות שאתה שואל אל נאמר לך כלום עליו דרגלים לדבר שהוא אלם</w:t>
      </w:r>
      <w:r>
        <w:rPr>
          <w:rFonts w:cs="Arial" w:hint="cs"/>
          <w:rtl/>
        </w:rPr>
        <w:t>,</w:t>
      </w:r>
      <w:r>
        <w:rPr>
          <w:rFonts w:cs="Arial"/>
          <w:rtl/>
        </w:rPr>
        <w:t xml:space="preserve"> דאל</w:t>
      </w:r>
      <w:r>
        <w:rPr>
          <w:rFonts w:cs="Arial" w:hint="cs"/>
          <w:rtl/>
        </w:rPr>
        <w:t>"</w:t>
      </w:r>
      <w:r>
        <w:rPr>
          <w:rFonts w:cs="Arial"/>
          <w:rtl/>
        </w:rPr>
        <w:t>כ כל אדם יאמר לחבירו שהוא גברא אלמא</w:t>
      </w:r>
      <w:r>
        <w:rPr>
          <w:rFonts w:cs="Arial" w:hint="cs"/>
          <w:rtl/>
        </w:rPr>
        <w:t>.</w:t>
      </w:r>
      <w:r>
        <w:rPr>
          <w:rFonts w:hint="cs"/>
          <w:color w:val="FF0000"/>
          <w:rtl/>
        </w:rPr>
        <w:t xml:space="preserve"> אולי יש הבדל בדבריהם צריך לעיין בפנים ולחלק</w:t>
      </w:r>
    </w:p>
  </w:footnote>
  <w:footnote w:id="1413">
    <w:p w14:paraId="394E4311" w14:textId="77777777" w:rsidR="0013116F" w:rsidRDefault="0013116F" w:rsidP="004B607F">
      <w:pPr>
        <w:pStyle w:val="a9"/>
      </w:pPr>
      <w:r>
        <w:rPr>
          <w:rStyle w:val="ab"/>
        </w:rPr>
        <w:footnoteRef/>
      </w:r>
      <w:r>
        <w:rPr>
          <w:rtl/>
        </w:rPr>
        <w:t xml:space="preserve"> </w:t>
      </w:r>
      <w:r>
        <w:rPr>
          <w:rFonts w:hint="cs"/>
          <w:rtl/>
        </w:rPr>
        <w:t>וז"ל-</w:t>
      </w:r>
      <w:r>
        <w:rPr>
          <w:rFonts w:cs="Arial" w:hint="cs"/>
          <w:rtl/>
        </w:rPr>
        <w:t xml:space="preserve"> </w:t>
      </w:r>
      <w:r w:rsidRPr="00C76ADF">
        <w:rPr>
          <w:rFonts w:cs="Arial"/>
          <w:rtl/>
        </w:rPr>
        <w:t>ואם ידעו בית דין שבעל דינו אלם וטען התובע שהעדים מתפחדים מבעל דינו שיבואו ויעידו לו הרי בית דין כופין את בעל דינו שיביא העדים</w:t>
      </w:r>
      <w:r w:rsidRPr="00C76ADF">
        <w:rPr>
          <w:rFonts w:cs="Arial" w:hint="cs"/>
          <w:rtl/>
        </w:rPr>
        <w:t>'</w:t>
      </w:r>
      <w:r w:rsidRPr="00C76ADF">
        <w:rPr>
          <w:rFonts w:cs="Arial"/>
          <w:sz w:val="16"/>
          <w:szCs w:val="16"/>
          <w:rtl/>
        </w:rPr>
        <w:t xml:space="preserve"> </w:t>
      </w:r>
      <w:r w:rsidRPr="00C76ADF">
        <w:rPr>
          <w:rFonts w:cs="Arial" w:hint="cs"/>
          <w:sz w:val="16"/>
          <w:szCs w:val="16"/>
          <w:rtl/>
        </w:rPr>
        <w:t xml:space="preserve">(וכתב הב"י דמשמע מדבריו </w:t>
      </w:r>
      <w:r w:rsidRPr="00C76ADF">
        <w:rPr>
          <w:rFonts w:cs="Arial"/>
          <w:sz w:val="16"/>
          <w:szCs w:val="16"/>
          <w:rtl/>
        </w:rPr>
        <w:t>דתרתי בעינן שידעו בית דין שהוא אלם ושיטעון התובע שהעדים מתפחדים</w:t>
      </w:r>
      <w:r w:rsidRPr="00C76ADF">
        <w:rPr>
          <w:rFonts w:cs="Arial" w:hint="cs"/>
          <w:sz w:val="16"/>
          <w:szCs w:val="16"/>
          <w:rtl/>
        </w:rPr>
        <w:t>)</w:t>
      </w:r>
      <w:r>
        <w:rPr>
          <w:rFonts w:cs="Arial" w:hint="cs"/>
          <w:rtl/>
        </w:rPr>
        <w:t>.</w:t>
      </w:r>
    </w:p>
  </w:footnote>
  <w:footnote w:id="1414">
    <w:p w14:paraId="0A6FC243" w14:textId="77777777" w:rsidR="0013116F" w:rsidRDefault="0013116F" w:rsidP="004B607F">
      <w:pPr>
        <w:pStyle w:val="a9"/>
        <w:rPr>
          <w:rtl/>
        </w:rPr>
      </w:pPr>
      <w:r>
        <w:rPr>
          <w:rStyle w:val="ab"/>
        </w:rPr>
        <w:footnoteRef/>
      </w:r>
      <w:r>
        <w:rPr>
          <w:rtl/>
        </w:rPr>
        <w:t xml:space="preserve"> </w:t>
      </w:r>
      <w:r>
        <w:rPr>
          <w:rFonts w:cs="Arial" w:hint="cs"/>
          <w:rtl/>
        </w:rPr>
        <w:t xml:space="preserve">הב"י הבין כן מדברי רש"י ונמוק"י, וז"ל- רש"י </w:t>
      </w:r>
      <w:r w:rsidRPr="00C76ADF">
        <w:rPr>
          <w:rFonts w:cs="Arial"/>
          <w:rtl/>
        </w:rPr>
        <w:t xml:space="preserve">כתב </w:t>
      </w:r>
      <w:r w:rsidRPr="00C76ADF">
        <w:rPr>
          <w:rFonts w:cs="Arial" w:hint="cs"/>
          <w:rtl/>
        </w:rPr>
        <w:t>'</w:t>
      </w:r>
      <w:r w:rsidRPr="00C76ADF">
        <w:rPr>
          <w:rFonts w:cs="Arial"/>
          <w:rtl/>
        </w:rPr>
        <w:t>זיל אנת אייתי סהדי דלאו אחוך הוא אותם עדים שיש לו לזה שבאו משם ומכירים מי הוא הביאם אתה ויעידו שאינו בן אביך או בקש עדים אחרים</w:t>
      </w:r>
      <w:r w:rsidRPr="00C76ADF">
        <w:rPr>
          <w:rFonts w:cs="Arial" w:hint="cs"/>
          <w:rtl/>
        </w:rPr>
        <w:t>',</w:t>
      </w:r>
      <w:r w:rsidRPr="00C76ADF">
        <w:rPr>
          <w:rFonts w:cs="Arial"/>
          <w:rtl/>
        </w:rPr>
        <w:t xml:space="preserve"> נראה מדבריו שלא היה נפטר עד שיעידו העדים כדבריו ולא סגי בשיאמרו אין אנו יודעין</w:t>
      </w:r>
      <w:r w:rsidRPr="00C76ADF">
        <w:rPr>
          <w:rFonts w:cs="Arial" w:hint="cs"/>
          <w:rtl/>
        </w:rPr>
        <w:t>,</w:t>
      </w:r>
      <w:r w:rsidRPr="00C76ADF">
        <w:rPr>
          <w:rFonts w:cs="Arial"/>
          <w:rtl/>
        </w:rPr>
        <w:t xml:space="preserve"> וכ</w:t>
      </w:r>
      <w:r w:rsidRPr="00C76ADF">
        <w:rPr>
          <w:rFonts w:cs="Arial" w:hint="cs"/>
          <w:rtl/>
        </w:rPr>
        <w:t>"כ</w:t>
      </w:r>
      <w:r w:rsidRPr="00C76ADF">
        <w:rPr>
          <w:rFonts w:cs="Arial"/>
          <w:rtl/>
        </w:rPr>
        <w:t xml:space="preserve"> בפירוש נימוק</w:t>
      </w:r>
      <w:r w:rsidRPr="00C76ADF">
        <w:rPr>
          <w:rFonts w:cs="Arial" w:hint="cs"/>
          <w:rtl/>
        </w:rPr>
        <w:t>"</w:t>
      </w:r>
      <w:r w:rsidRPr="00C76ADF">
        <w:rPr>
          <w:rFonts w:cs="Arial"/>
          <w:rtl/>
        </w:rPr>
        <w:t xml:space="preserve">י </w:t>
      </w:r>
      <w:r w:rsidRPr="00C76ADF">
        <w:rPr>
          <w:rFonts w:cs="Arial"/>
          <w:sz w:val="16"/>
          <w:szCs w:val="16"/>
          <w:rtl/>
        </w:rPr>
        <w:t>(ב"מ כב: ד"ה מארי)</w:t>
      </w:r>
      <w:r w:rsidRPr="00C76ADF">
        <w:rPr>
          <w:rFonts w:cs="Arial" w:hint="cs"/>
          <w:rtl/>
        </w:rPr>
        <w:t>,</w:t>
      </w:r>
      <w:r w:rsidRPr="00C76ADF">
        <w:rPr>
          <w:rFonts w:cs="Arial"/>
          <w:rtl/>
        </w:rPr>
        <w:t xml:space="preserve"> ולפי זה אפשר לומר ד</w:t>
      </w:r>
      <w:r>
        <w:rPr>
          <w:rFonts w:hint="cs"/>
          <w:rtl/>
        </w:rPr>
        <w:t>-...</w:t>
      </w:r>
    </w:p>
  </w:footnote>
  <w:footnote w:id="1415">
    <w:p w14:paraId="7C7C4B12" w14:textId="77777777" w:rsidR="0013116F" w:rsidRDefault="0013116F" w:rsidP="004B607F">
      <w:pPr>
        <w:pStyle w:val="a9"/>
      </w:pPr>
      <w:r>
        <w:rPr>
          <w:rStyle w:val="ab"/>
        </w:rPr>
        <w:footnoteRef/>
      </w:r>
      <w:r>
        <w:rPr>
          <w:rtl/>
        </w:rPr>
        <w:t xml:space="preserve"> </w:t>
      </w:r>
      <w:r w:rsidRPr="00C76ADF">
        <w:rPr>
          <w:rFonts w:cs="Arial"/>
          <w:rtl/>
        </w:rPr>
        <w:t>וליכא למימר א</w:t>
      </w:r>
      <w:r>
        <w:rPr>
          <w:rFonts w:cs="Arial" w:hint="cs"/>
          <w:rtl/>
        </w:rPr>
        <w:t>"</w:t>
      </w:r>
      <w:r w:rsidRPr="00C76ADF">
        <w:rPr>
          <w:rFonts w:cs="Arial"/>
          <w:rtl/>
        </w:rPr>
        <w:t>כ לא שבקת חיי לאלמי דהכי דאיננא להו עד ישובו מדרכם</w:t>
      </w:r>
      <w:r>
        <w:rPr>
          <w:rFonts w:cs="Arial" w:hint="cs"/>
          <w:rtl/>
        </w:rPr>
        <w:t xml:space="preserve">, ב"י. וכתב הדרכ"מ </w:t>
      </w:r>
      <w:r w:rsidRPr="008A4067">
        <w:rPr>
          <w:rFonts w:cs="Arial"/>
          <w:rtl/>
        </w:rPr>
        <w:t>(</w:t>
      </w:r>
      <w:r>
        <w:rPr>
          <w:rFonts w:cs="Arial" w:hint="cs"/>
          <w:rtl/>
        </w:rPr>
        <w:t xml:space="preserve">אות </w:t>
      </w:r>
      <w:r w:rsidRPr="008A4067">
        <w:rPr>
          <w:rFonts w:cs="Arial"/>
          <w:rtl/>
        </w:rPr>
        <w:t>ה*)</w:t>
      </w:r>
      <w:r>
        <w:rPr>
          <w:rFonts w:cs="Arial" w:hint="cs"/>
          <w:rtl/>
        </w:rPr>
        <w:t xml:space="preserve">- </w:t>
      </w:r>
      <w:r w:rsidRPr="008A4067">
        <w:rPr>
          <w:rFonts w:cs="Arial"/>
          <w:rtl/>
        </w:rPr>
        <w:t>עיין בזו בתש</w:t>
      </w:r>
      <w:r>
        <w:rPr>
          <w:rFonts w:cs="Arial" w:hint="cs"/>
          <w:rtl/>
        </w:rPr>
        <w:t>ו'</w:t>
      </w:r>
      <w:r w:rsidRPr="008A4067">
        <w:rPr>
          <w:rFonts w:cs="Arial"/>
          <w:rtl/>
        </w:rPr>
        <w:t xml:space="preserve"> מהרא"י בפסקיו סי</w:t>
      </w:r>
      <w:r>
        <w:rPr>
          <w:rFonts w:cs="Arial" w:hint="cs"/>
          <w:rtl/>
        </w:rPr>
        <w:t>'</w:t>
      </w:r>
      <w:r w:rsidRPr="008A4067">
        <w:rPr>
          <w:rFonts w:cs="Arial"/>
          <w:rtl/>
        </w:rPr>
        <w:t xml:space="preserve"> קעה</w:t>
      </w:r>
      <w:r>
        <w:rPr>
          <w:rFonts w:cs="Arial" w:hint="cs"/>
          <w:rtl/>
        </w:rPr>
        <w:t>.</w:t>
      </w:r>
    </w:p>
  </w:footnote>
  <w:footnote w:id="1416">
    <w:p w14:paraId="4758DD5C" w14:textId="77777777" w:rsidR="0013116F" w:rsidRDefault="0013116F" w:rsidP="004B607F">
      <w:pPr>
        <w:pStyle w:val="a9"/>
        <w:rPr>
          <w:rtl/>
        </w:rPr>
      </w:pPr>
      <w:r>
        <w:rPr>
          <w:rStyle w:val="ab"/>
        </w:rPr>
        <w:footnoteRef/>
      </w:r>
      <w:r>
        <w:rPr>
          <w:rtl/>
        </w:rPr>
        <w:t xml:space="preserve"> </w:t>
      </w:r>
      <w:r>
        <w:rPr>
          <w:rFonts w:hint="cs"/>
          <w:rtl/>
        </w:rPr>
        <w:t xml:space="preserve">הנמוק"י </w:t>
      </w:r>
      <w:r w:rsidRPr="00C8698E">
        <w:rPr>
          <w:rFonts w:cs="Arial"/>
          <w:rtl/>
        </w:rPr>
        <w:t>כ</w:t>
      </w:r>
      <w:r>
        <w:rPr>
          <w:rFonts w:cs="Arial" w:hint="cs"/>
          <w:rtl/>
        </w:rPr>
        <w:t>'</w:t>
      </w:r>
      <w:r w:rsidRPr="00C8698E">
        <w:rPr>
          <w:rFonts w:cs="Arial"/>
          <w:rtl/>
        </w:rPr>
        <w:t xml:space="preserve"> דליכא למימר לא שבקת חיי דשאני הכא שניכרים הדברים שזה טוען אמת וזה שקר שלא מצינו איש שיקרא למי שאינו אחיו אחי אתה והא רחוק הוא שלא ידע שיש לו אח ומשום הכי בגברא אלמא ב</w:t>
      </w:r>
      <w:r w:rsidRPr="00C8698E">
        <w:rPr>
          <w:rFonts w:cs="Arial" w:hint="cs"/>
          <w:rtl/>
        </w:rPr>
        <w:t>כ</w:t>
      </w:r>
      <w:r w:rsidRPr="00C8698E">
        <w:rPr>
          <w:rFonts w:cs="Arial"/>
          <w:rtl/>
        </w:rPr>
        <w:t>ה</w:t>
      </w:r>
      <w:r w:rsidRPr="00C8698E">
        <w:rPr>
          <w:rFonts w:cs="Arial" w:hint="cs"/>
          <w:rtl/>
        </w:rPr>
        <w:t>"</w:t>
      </w:r>
      <w:r w:rsidRPr="00C8698E">
        <w:rPr>
          <w:rFonts w:cs="Arial"/>
          <w:rtl/>
        </w:rPr>
        <w:t>ג הוה דאין ליה הכי.</w:t>
      </w:r>
      <w:r>
        <w:rPr>
          <w:rFonts w:cs="Arial" w:hint="cs"/>
          <w:rtl/>
        </w:rPr>
        <w:t xml:space="preserve"> וכ' הב"י דנראה מדבריו ד-...</w:t>
      </w:r>
    </w:p>
  </w:footnote>
  <w:footnote w:id="1417">
    <w:p w14:paraId="3730FAF3" w14:textId="77777777" w:rsidR="0013116F" w:rsidRDefault="0013116F" w:rsidP="004B607F">
      <w:pPr>
        <w:pStyle w:val="a9"/>
        <w:rPr>
          <w:rtl/>
        </w:rPr>
      </w:pPr>
      <w:r>
        <w:rPr>
          <w:rStyle w:val="ab"/>
        </w:rPr>
        <w:footnoteRef/>
      </w:r>
      <w:r>
        <w:rPr>
          <w:rtl/>
        </w:rPr>
        <w:t xml:space="preserve"> </w:t>
      </w:r>
      <w:r>
        <w:rPr>
          <w:rFonts w:hint="cs"/>
          <w:rtl/>
        </w:rPr>
        <w:t xml:space="preserve">סימן </w:t>
      </w:r>
      <w:r>
        <w:rPr>
          <w:rtl/>
        </w:rPr>
        <w:t>–</w:t>
      </w:r>
      <w:r>
        <w:rPr>
          <w:rFonts w:hint="cs"/>
          <w:rtl/>
        </w:rPr>
        <w:t xml:space="preserve"> לומר לעדים לעמוד.</w:t>
      </w:r>
    </w:p>
  </w:footnote>
  <w:footnote w:id="1418">
    <w:p w14:paraId="6D17FEA9" w14:textId="77777777" w:rsidR="0013116F" w:rsidRDefault="0013116F" w:rsidP="004B607F">
      <w:pPr>
        <w:pStyle w:val="a9"/>
        <w:rPr>
          <w:rtl/>
        </w:rPr>
      </w:pPr>
      <w:r>
        <w:rPr>
          <w:rStyle w:val="ab"/>
        </w:rPr>
        <w:footnoteRef/>
      </w:r>
      <w:r>
        <w:rPr>
          <w:rtl/>
        </w:rPr>
        <w:t xml:space="preserve"> </w:t>
      </w:r>
      <w:r w:rsidRPr="008F255B">
        <w:rPr>
          <w:rFonts w:cs="Arial"/>
          <w:rtl/>
        </w:rPr>
        <w:t>שסמכו לשני אנשים ולא כתיב ושני אנשים אשר להם הריב יעמדו</w:t>
      </w:r>
      <w:r>
        <w:rPr>
          <w:rFonts w:hint="cs"/>
          <w:rtl/>
        </w:rPr>
        <w:t>, תוס' (ד"ה הכל מודים, הביאו הב"י).</w:t>
      </w:r>
    </w:p>
  </w:footnote>
  <w:footnote w:id="1419">
    <w:p w14:paraId="4C91970D" w14:textId="77777777" w:rsidR="0013116F" w:rsidRDefault="0013116F" w:rsidP="004B607F">
      <w:pPr>
        <w:pStyle w:val="a9"/>
        <w:rPr>
          <w:rtl/>
        </w:rPr>
      </w:pPr>
      <w:r>
        <w:rPr>
          <w:rStyle w:val="ab"/>
        </w:rPr>
        <w:footnoteRef/>
      </w:r>
      <w:r>
        <w:rPr>
          <w:rtl/>
        </w:rPr>
        <w:t xml:space="preserve"> </w:t>
      </w:r>
      <w:r>
        <w:rPr>
          <w:rFonts w:cs="Arial" w:hint="cs"/>
          <w:rtl/>
        </w:rPr>
        <w:t xml:space="preserve">וכתב הר"ן שהוכיחו כן </w:t>
      </w:r>
      <w:r>
        <w:rPr>
          <w:rFonts w:cs="Arial"/>
          <w:rtl/>
        </w:rPr>
        <w:t>מדאמרינן בזבחים פ"ב (טז.) מה ליושב שכן פסול לעדות</w:t>
      </w:r>
      <w:r>
        <w:rPr>
          <w:rFonts w:cs="Arial" w:hint="cs"/>
          <w:rtl/>
        </w:rPr>
        <w:t>,</w:t>
      </w:r>
      <w:r>
        <w:rPr>
          <w:rFonts w:cs="Arial"/>
          <w:rtl/>
        </w:rPr>
        <w:t xml:space="preserve"> ומדקאמר פסול משמע אף דיעבד</w:t>
      </w:r>
      <w:r>
        <w:rPr>
          <w:rFonts w:cs="Arial" w:hint="cs"/>
          <w:rtl/>
        </w:rPr>
        <w:t>. אמנם כתב הר"ן על דבריהם-</w:t>
      </w:r>
      <w:r>
        <w:rPr>
          <w:rFonts w:cs="Arial"/>
          <w:rtl/>
        </w:rPr>
        <w:t xml:space="preserve"> ולא מיחוור</w:t>
      </w:r>
      <w:r>
        <w:rPr>
          <w:rFonts w:cs="Arial" w:hint="cs"/>
          <w:rtl/>
        </w:rPr>
        <w:t>,</w:t>
      </w:r>
      <w:r>
        <w:rPr>
          <w:rFonts w:cs="Arial"/>
          <w:rtl/>
        </w:rPr>
        <w:t xml:space="preserve"> דהא אמרינן לקמן (שבועות ל:) דתלמיד חכם מעיד מיושב</w:t>
      </w:r>
      <w:r>
        <w:rPr>
          <w:rFonts w:cs="Arial" w:hint="cs"/>
          <w:rtl/>
        </w:rPr>
        <w:t>,</w:t>
      </w:r>
      <w:r>
        <w:rPr>
          <w:rFonts w:cs="Arial"/>
          <w:rtl/>
        </w:rPr>
        <w:t xml:space="preserve"> ובשלמא אי כולהו אינשי בדיעבד עדותן עדות אלא דלכתחלה מצוה בעמידה מדכתיב ועמדו בתלמיד חכם אפילו לכתחלה מיושב דעשה דכבוד תורה עדיף</w:t>
      </w:r>
      <w:r>
        <w:rPr>
          <w:rFonts w:cs="Arial" w:hint="cs"/>
          <w:rtl/>
        </w:rPr>
        <w:t>,</w:t>
      </w:r>
      <w:r>
        <w:rPr>
          <w:rFonts w:cs="Arial"/>
          <w:rtl/>
        </w:rPr>
        <w:t xml:space="preserve"> אלא אי אמרת דבעלמא אפילו בדיעבד עדותן בטלה תלמיד חכם היאך מושיבין אותו וכי מכשירין עדות פסול מפני כבוד תורה</w:t>
      </w:r>
      <w:r>
        <w:rPr>
          <w:rFonts w:cs="Arial" w:hint="cs"/>
          <w:rtl/>
        </w:rPr>
        <w:t>?</w:t>
      </w:r>
      <w:r>
        <w:rPr>
          <w:rFonts w:cs="Arial"/>
          <w:rtl/>
        </w:rPr>
        <w:t>.</w:t>
      </w:r>
    </w:p>
  </w:footnote>
  <w:footnote w:id="1420">
    <w:p w14:paraId="085C98BB" w14:textId="77777777" w:rsidR="0013116F" w:rsidRDefault="0013116F" w:rsidP="004B607F">
      <w:pPr>
        <w:pStyle w:val="a9"/>
        <w:rPr>
          <w:rtl/>
        </w:rPr>
      </w:pPr>
      <w:r>
        <w:rPr>
          <w:rStyle w:val="ab"/>
        </w:rPr>
        <w:footnoteRef/>
      </w:r>
      <w:r>
        <w:rPr>
          <w:rtl/>
        </w:rPr>
        <w:t xml:space="preserve"> </w:t>
      </w:r>
      <w:r>
        <w:rPr>
          <w:rFonts w:cs="Arial"/>
          <w:rtl/>
        </w:rPr>
        <w:t>ריב"א</w:t>
      </w:r>
      <w:r>
        <w:rPr>
          <w:rFonts w:cs="Arial" w:hint="cs"/>
          <w:rtl/>
        </w:rPr>
        <w:t xml:space="preserve"> </w:t>
      </w:r>
      <w:r w:rsidRPr="007829D7">
        <w:rPr>
          <w:rFonts w:cs="Arial" w:hint="cs"/>
          <w:sz w:val="16"/>
          <w:szCs w:val="16"/>
          <w:rtl/>
        </w:rPr>
        <w:t>(כ"כ המרדכי [</w:t>
      </w:r>
      <w:r w:rsidRPr="007829D7">
        <w:rPr>
          <w:rFonts w:cs="Arial"/>
          <w:sz w:val="16"/>
          <w:szCs w:val="16"/>
          <w:rtl/>
        </w:rPr>
        <w:t>שבועות סי' תשסא</w:t>
      </w:r>
      <w:r w:rsidRPr="007829D7">
        <w:rPr>
          <w:rFonts w:cs="Arial" w:hint="cs"/>
          <w:sz w:val="16"/>
          <w:szCs w:val="16"/>
          <w:rtl/>
        </w:rPr>
        <w:t>] בשמו)</w:t>
      </w:r>
      <w:r w:rsidRPr="007829D7">
        <w:rPr>
          <w:rFonts w:cs="Arial"/>
          <w:sz w:val="16"/>
          <w:szCs w:val="16"/>
          <w:rtl/>
        </w:rPr>
        <w:t xml:space="preserve"> </w:t>
      </w:r>
      <w:r>
        <w:rPr>
          <w:rFonts w:cs="Arial" w:hint="cs"/>
          <w:rtl/>
        </w:rPr>
        <w:t>מהר"ם</w:t>
      </w:r>
      <w:r>
        <w:rPr>
          <w:rFonts w:cs="Arial"/>
          <w:rtl/>
        </w:rPr>
        <w:t xml:space="preserve"> </w:t>
      </w:r>
      <w:r w:rsidRPr="007829D7">
        <w:rPr>
          <w:rFonts w:cs="Arial"/>
          <w:sz w:val="16"/>
          <w:szCs w:val="16"/>
          <w:rtl/>
        </w:rPr>
        <w:t>(שו"ת ד"פ סי' תקכו</w:t>
      </w:r>
      <w:r w:rsidRPr="007829D7">
        <w:rPr>
          <w:rFonts w:cs="Arial" w:hint="cs"/>
          <w:sz w:val="16"/>
          <w:szCs w:val="16"/>
          <w:rtl/>
        </w:rPr>
        <w:t xml:space="preserve">, כ"כ </w:t>
      </w:r>
      <w:r w:rsidRPr="007829D7">
        <w:rPr>
          <w:rFonts w:cs="Arial"/>
          <w:sz w:val="16"/>
          <w:szCs w:val="16"/>
          <w:rtl/>
        </w:rPr>
        <w:t xml:space="preserve">המרדכי </w:t>
      </w:r>
      <w:r w:rsidRPr="007829D7">
        <w:rPr>
          <w:rFonts w:cs="Arial" w:hint="cs"/>
          <w:sz w:val="16"/>
          <w:szCs w:val="16"/>
          <w:rtl/>
        </w:rPr>
        <w:t>[שם] בשמו</w:t>
      </w:r>
      <w:r w:rsidRPr="007829D7">
        <w:rPr>
          <w:rFonts w:cs="Arial"/>
          <w:sz w:val="16"/>
          <w:szCs w:val="16"/>
          <w:rtl/>
        </w:rPr>
        <w:t xml:space="preserve">) </w:t>
      </w:r>
      <w:r>
        <w:rPr>
          <w:rFonts w:cs="Arial"/>
          <w:rtl/>
        </w:rPr>
        <w:t xml:space="preserve">רשב"א </w:t>
      </w:r>
      <w:r w:rsidRPr="007829D7">
        <w:rPr>
          <w:rFonts w:cs="Arial"/>
          <w:sz w:val="16"/>
          <w:szCs w:val="16"/>
          <w:rtl/>
        </w:rPr>
        <w:t xml:space="preserve">(ל: ד"ה אבל) </w:t>
      </w:r>
      <w:r w:rsidRPr="008F255B">
        <w:rPr>
          <w:rFonts w:cs="Arial"/>
          <w:rtl/>
        </w:rPr>
        <w:t xml:space="preserve">רא"ש </w:t>
      </w:r>
      <w:r w:rsidRPr="007829D7">
        <w:rPr>
          <w:rFonts w:cs="Arial"/>
          <w:sz w:val="16"/>
          <w:szCs w:val="16"/>
          <w:rtl/>
        </w:rPr>
        <w:t>(סי' ה)</w:t>
      </w:r>
      <w:r w:rsidRPr="007829D7">
        <w:rPr>
          <w:rFonts w:cs="Arial" w:hint="cs"/>
          <w:sz w:val="16"/>
          <w:szCs w:val="16"/>
          <w:rtl/>
        </w:rPr>
        <w:t xml:space="preserve"> </w:t>
      </w:r>
      <w:r>
        <w:rPr>
          <w:rFonts w:cs="Arial"/>
          <w:rtl/>
        </w:rPr>
        <w:t>הג</w:t>
      </w:r>
      <w:r>
        <w:rPr>
          <w:rFonts w:cs="Arial" w:hint="cs"/>
          <w:rtl/>
        </w:rPr>
        <w:t>ה"מ</w:t>
      </w:r>
      <w:r>
        <w:rPr>
          <w:rFonts w:cs="Arial"/>
          <w:rtl/>
        </w:rPr>
        <w:t xml:space="preserve"> </w:t>
      </w:r>
      <w:r w:rsidRPr="007829D7">
        <w:rPr>
          <w:rFonts w:cs="Arial" w:hint="cs"/>
          <w:sz w:val="16"/>
          <w:szCs w:val="16"/>
          <w:rtl/>
        </w:rPr>
        <w:t>(</w:t>
      </w:r>
      <w:r w:rsidRPr="007829D7">
        <w:rPr>
          <w:rFonts w:cs="Arial"/>
          <w:sz w:val="16"/>
          <w:szCs w:val="16"/>
          <w:rtl/>
        </w:rPr>
        <w:t>פכ"א מהל</w:t>
      </w:r>
      <w:r w:rsidRPr="007829D7">
        <w:rPr>
          <w:rFonts w:cs="Arial" w:hint="cs"/>
          <w:sz w:val="16"/>
          <w:szCs w:val="16"/>
          <w:rtl/>
        </w:rPr>
        <w:t>'</w:t>
      </w:r>
      <w:r w:rsidRPr="007829D7">
        <w:rPr>
          <w:rFonts w:cs="Arial"/>
          <w:sz w:val="16"/>
          <w:szCs w:val="16"/>
          <w:rtl/>
        </w:rPr>
        <w:t xml:space="preserve"> סנהדרין אות ב)</w:t>
      </w:r>
      <w:r w:rsidRPr="007829D7">
        <w:rPr>
          <w:rFonts w:cs="Arial" w:hint="cs"/>
          <w:sz w:val="16"/>
          <w:szCs w:val="16"/>
          <w:rtl/>
        </w:rPr>
        <w:t xml:space="preserve"> </w:t>
      </w:r>
      <w:r>
        <w:rPr>
          <w:rFonts w:cs="Arial" w:hint="cs"/>
          <w:rtl/>
        </w:rPr>
        <w:t xml:space="preserve">רי"ו </w:t>
      </w:r>
      <w:r w:rsidRPr="007829D7">
        <w:rPr>
          <w:rFonts w:cs="Arial" w:hint="cs"/>
          <w:sz w:val="16"/>
          <w:szCs w:val="16"/>
          <w:rtl/>
        </w:rPr>
        <w:t>(</w:t>
      </w:r>
      <w:r w:rsidRPr="007829D7">
        <w:rPr>
          <w:rFonts w:cs="Arial"/>
          <w:sz w:val="16"/>
          <w:szCs w:val="16"/>
          <w:rtl/>
        </w:rPr>
        <w:t>מישרים נ"ב ח"ב יא ע"ג)</w:t>
      </w:r>
      <w:r w:rsidRPr="007829D7">
        <w:rPr>
          <w:rFonts w:cs="Arial" w:hint="cs"/>
          <w:sz w:val="16"/>
          <w:szCs w:val="16"/>
          <w:rtl/>
        </w:rPr>
        <w:t xml:space="preserve"> </w:t>
      </w:r>
      <w:r w:rsidRPr="008F255B">
        <w:rPr>
          <w:rFonts w:cs="Arial"/>
          <w:rtl/>
        </w:rPr>
        <w:t xml:space="preserve">ר"ן </w:t>
      </w:r>
      <w:r w:rsidRPr="007829D7">
        <w:rPr>
          <w:rFonts w:cs="Arial"/>
          <w:sz w:val="16"/>
          <w:szCs w:val="16"/>
          <w:rtl/>
        </w:rPr>
        <w:t>(יד. ד"ה ודאמרינן)</w:t>
      </w:r>
      <w:r>
        <w:rPr>
          <w:rFonts w:hint="cs"/>
          <w:rtl/>
        </w:rPr>
        <w:t>.</w:t>
      </w:r>
    </w:p>
  </w:footnote>
  <w:footnote w:id="1421">
    <w:p w14:paraId="635BEA97" w14:textId="77777777" w:rsidR="0013116F" w:rsidRDefault="0013116F" w:rsidP="004B607F">
      <w:pPr>
        <w:pStyle w:val="a9"/>
        <w:rPr>
          <w:rtl/>
        </w:rPr>
      </w:pPr>
      <w:r>
        <w:rPr>
          <w:rStyle w:val="ab"/>
        </w:rPr>
        <w:footnoteRef/>
      </w:r>
      <w:r>
        <w:rPr>
          <w:rtl/>
        </w:rPr>
        <w:t xml:space="preserve"> </w:t>
      </w:r>
      <w:r>
        <w:rPr>
          <w:rFonts w:cs="Arial"/>
          <w:rtl/>
        </w:rPr>
        <w:t>והרשב"א (ל: ד"ה אבל) הביא ראיה לדין זה מדאמרינן במי שאחזו (גיטין עא.) בודקין אותו למשאות ולמתנות ולעדיות וגרסינן בירושלמי (גיטין פ"ז ה"א) אמר ריש לקיש זאת אומרת מעידין מיושב אלמא בדיעבד כשר</w:t>
      </w:r>
      <w:r>
        <w:rPr>
          <w:rFonts w:cs="Arial" w:hint="cs"/>
          <w:rtl/>
        </w:rPr>
        <w:t>.</w:t>
      </w:r>
    </w:p>
  </w:footnote>
  <w:footnote w:id="1422">
    <w:p w14:paraId="58438695" w14:textId="77777777" w:rsidR="0013116F" w:rsidRDefault="0013116F" w:rsidP="004B607F">
      <w:pPr>
        <w:pStyle w:val="a9"/>
        <w:rPr>
          <w:rtl/>
        </w:rPr>
      </w:pPr>
      <w:r>
        <w:rPr>
          <w:rStyle w:val="ab"/>
        </w:rPr>
        <w:footnoteRef/>
      </w:r>
      <w:r>
        <w:rPr>
          <w:rtl/>
        </w:rPr>
        <w:t xml:space="preserve"> </w:t>
      </w:r>
      <w:r w:rsidRPr="007829D7">
        <w:rPr>
          <w:rFonts w:cs="Arial"/>
          <w:rtl/>
        </w:rPr>
        <w:t xml:space="preserve">כדאמרינן בפרק אלו מגלחין </w:t>
      </w:r>
      <w:r w:rsidRPr="007829D7">
        <w:rPr>
          <w:rFonts w:cs="Arial"/>
          <w:sz w:val="16"/>
          <w:szCs w:val="16"/>
          <w:rtl/>
        </w:rPr>
        <w:t xml:space="preserve">(מו"ק כא.) </w:t>
      </w:r>
      <w:r w:rsidRPr="007829D7">
        <w:rPr>
          <w:rFonts w:cs="Arial"/>
          <w:rtl/>
        </w:rPr>
        <w:t xml:space="preserve">וההיא דשמעון בן שטח </w:t>
      </w:r>
      <w:r w:rsidRPr="007829D7">
        <w:rPr>
          <w:rFonts w:cs="Arial"/>
          <w:sz w:val="16"/>
          <w:szCs w:val="16"/>
          <w:rtl/>
        </w:rPr>
        <w:t xml:space="preserve">(סנהדרין יט.) </w:t>
      </w:r>
      <w:r w:rsidRPr="007829D7">
        <w:rPr>
          <w:rFonts w:cs="Arial"/>
          <w:rtl/>
        </w:rPr>
        <w:t>דאמר לינאי עמוד על רגליך ויעידו בך פירוש אל תשב והיינו דקאמר עמוד על רגליך ולא אמר עמוד סתם ע"כ וה</w:t>
      </w:r>
      <w:r>
        <w:rPr>
          <w:rFonts w:cs="Arial" w:hint="cs"/>
          <w:rtl/>
        </w:rPr>
        <w:t>"</w:t>
      </w:r>
      <w:r w:rsidRPr="007829D7">
        <w:rPr>
          <w:rFonts w:cs="Arial"/>
          <w:rtl/>
        </w:rPr>
        <w:t xml:space="preserve">ה לעדים דעדים כגמר דין דמו כדאמרינן בגמרא </w:t>
      </w:r>
      <w:r w:rsidRPr="007829D7">
        <w:rPr>
          <w:rFonts w:cs="Arial"/>
          <w:sz w:val="16"/>
          <w:szCs w:val="16"/>
          <w:rtl/>
        </w:rPr>
        <w:t>(שבועות ל:)</w:t>
      </w:r>
      <w:r>
        <w:rPr>
          <w:rFonts w:hint="cs"/>
          <w:rtl/>
        </w:rPr>
        <w:t>, מרדכי ישן.</w:t>
      </w:r>
    </w:p>
  </w:footnote>
  <w:footnote w:id="1423">
    <w:p w14:paraId="318EF944" w14:textId="77777777" w:rsidR="0013116F" w:rsidRDefault="0013116F" w:rsidP="004B607F">
      <w:pPr>
        <w:pStyle w:val="a9"/>
      </w:pPr>
      <w:r>
        <w:rPr>
          <w:rStyle w:val="ab"/>
        </w:rPr>
        <w:footnoteRef/>
      </w:r>
      <w:r>
        <w:rPr>
          <w:rtl/>
        </w:rPr>
        <w:t xml:space="preserve"> </w:t>
      </w:r>
      <w:r>
        <w:rPr>
          <w:rFonts w:hint="cs"/>
          <w:rtl/>
        </w:rPr>
        <w:t>ואין סתירה במה שפסק אחרת כאן, אלא נפקא מינה אם יש כח ביד בית דין להעמיד משפט התורה על תלו. א"נ אם בעלי הדין או העדים יראי שמים. וכמו שכתב הב"ח</w:t>
      </w:r>
      <w:r w:rsidRPr="00671718">
        <w:rPr>
          <w:rFonts w:cs="Arial"/>
          <w:rtl/>
        </w:rPr>
        <w:t xml:space="preserve"> </w:t>
      </w:r>
      <w:r>
        <w:rPr>
          <w:rFonts w:cs="Arial" w:hint="cs"/>
          <w:rtl/>
        </w:rPr>
        <w:t xml:space="preserve">שם </w:t>
      </w:r>
      <w:r>
        <w:rPr>
          <w:rFonts w:cs="Arial" w:hint="cs"/>
          <w:sz w:val="16"/>
          <w:szCs w:val="16"/>
          <w:rtl/>
        </w:rPr>
        <w:t xml:space="preserve">(סי' יז </w:t>
      </w:r>
      <w:r w:rsidRPr="00671718">
        <w:rPr>
          <w:rFonts w:cs="Arial"/>
          <w:sz w:val="16"/>
          <w:szCs w:val="16"/>
          <w:rtl/>
        </w:rPr>
        <w:t>סע</w:t>
      </w:r>
      <w:r w:rsidRPr="00671718">
        <w:rPr>
          <w:rFonts w:cs="Arial" w:hint="cs"/>
          <w:sz w:val="16"/>
          <w:szCs w:val="16"/>
          <w:rtl/>
        </w:rPr>
        <w:t>'</w:t>
      </w:r>
      <w:r w:rsidRPr="00671718">
        <w:rPr>
          <w:rFonts w:cs="Arial"/>
          <w:sz w:val="16"/>
          <w:szCs w:val="16"/>
          <w:rtl/>
        </w:rPr>
        <w:t xml:space="preserve"> ה</w:t>
      </w:r>
      <w:r>
        <w:rPr>
          <w:rFonts w:cs="Arial" w:hint="cs"/>
          <w:sz w:val="16"/>
          <w:szCs w:val="16"/>
          <w:rtl/>
        </w:rPr>
        <w:t xml:space="preserve">, </w:t>
      </w:r>
      <w:r w:rsidRPr="004B62A9">
        <w:rPr>
          <w:rFonts w:cs="Arial"/>
          <w:sz w:val="16"/>
          <w:szCs w:val="16"/>
          <w:rtl/>
        </w:rPr>
        <w:t>שכתב</w:t>
      </w:r>
      <w:r>
        <w:rPr>
          <w:rFonts w:cs="Arial" w:hint="cs"/>
          <w:sz w:val="16"/>
          <w:szCs w:val="16"/>
          <w:rtl/>
        </w:rPr>
        <w:t xml:space="preserve"> וז"ל-</w:t>
      </w:r>
      <w:r w:rsidRPr="004B62A9">
        <w:rPr>
          <w:rFonts w:cs="Arial"/>
          <w:sz w:val="16"/>
          <w:szCs w:val="16"/>
          <w:rtl/>
        </w:rPr>
        <w:t xml:space="preserve"> מ"מ העדים והבע"ד בעצמם כל מי שנגע יראת אלהים בלבבו ועמדו אבותיו על הר סיני יחושו לכבוד התורה והמצוה לקיים מצות ועמדו שני האנשים וגומר </w:t>
      </w:r>
      <w:r w:rsidRPr="004B62A9">
        <w:rPr>
          <w:rFonts w:cs="Arial" w:hint="cs"/>
          <w:sz w:val="12"/>
          <w:szCs w:val="12"/>
          <w:rtl/>
        </w:rPr>
        <w:t>(</w:t>
      </w:r>
      <w:r w:rsidRPr="004B62A9">
        <w:rPr>
          <w:rFonts w:cs="Arial"/>
          <w:sz w:val="12"/>
          <w:szCs w:val="12"/>
          <w:rtl/>
        </w:rPr>
        <w:t>דברים יט יז</w:t>
      </w:r>
      <w:r w:rsidRPr="004B62A9">
        <w:rPr>
          <w:rFonts w:cs="Arial" w:hint="cs"/>
          <w:sz w:val="12"/>
          <w:szCs w:val="12"/>
          <w:rtl/>
        </w:rPr>
        <w:t>)</w:t>
      </w:r>
      <w:r w:rsidRPr="004B62A9">
        <w:rPr>
          <w:rFonts w:cs="Arial"/>
          <w:sz w:val="16"/>
          <w:szCs w:val="16"/>
          <w:rtl/>
        </w:rPr>
        <w:t>, וראוי להם להשיב לדיינים ואנחנו נעמוד לפני ה' ולפניכם כי המשפט לאלהים הוא</w:t>
      </w:r>
      <w:r>
        <w:rPr>
          <w:rFonts w:cs="Arial" w:hint="cs"/>
          <w:sz w:val="16"/>
          <w:szCs w:val="16"/>
          <w:rtl/>
        </w:rPr>
        <w:t>)</w:t>
      </w:r>
      <w:r>
        <w:rPr>
          <w:rFonts w:cs="Arial" w:hint="cs"/>
          <w:rtl/>
        </w:rPr>
        <w:t>. והביא הש"ך שם (סק"ז) את דבריו.</w:t>
      </w:r>
    </w:p>
  </w:footnote>
  <w:footnote w:id="1424">
    <w:p w14:paraId="54FD7833" w14:textId="77777777" w:rsidR="0013116F" w:rsidRDefault="0013116F" w:rsidP="004B607F">
      <w:pPr>
        <w:pStyle w:val="a9"/>
        <w:rPr>
          <w:rtl/>
        </w:rPr>
      </w:pPr>
      <w:r>
        <w:rPr>
          <w:rStyle w:val="ab"/>
        </w:rPr>
        <w:footnoteRef/>
      </w:r>
      <w:r>
        <w:rPr>
          <w:rtl/>
        </w:rPr>
        <w:t xml:space="preserve"> </w:t>
      </w:r>
      <w:r>
        <w:rPr>
          <w:rFonts w:hint="cs"/>
          <w:rtl/>
        </w:rPr>
        <w:t xml:space="preserve">סימן </w:t>
      </w:r>
      <w:r>
        <w:rPr>
          <w:rtl/>
        </w:rPr>
        <w:t>–</w:t>
      </w:r>
      <w:r>
        <w:rPr>
          <w:rFonts w:hint="cs"/>
          <w:rtl/>
        </w:rPr>
        <w:t xml:space="preserve"> לומר לעדים לעמוד.</w:t>
      </w:r>
    </w:p>
  </w:footnote>
  <w:footnote w:id="1425">
    <w:p w14:paraId="1AF915D8" w14:textId="77777777" w:rsidR="0013116F" w:rsidRDefault="0013116F" w:rsidP="004B607F">
      <w:pPr>
        <w:pStyle w:val="a9"/>
      </w:pPr>
      <w:r>
        <w:rPr>
          <w:rStyle w:val="ab"/>
        </w:rPr>
        <w:footnoteRef/>
      </w:r>
      <w:r>
        <w:rPr>
          <w:rtl/>
        </w:rPr>
        <w:t xml:space="preserve"> </w:t>
      </w:r>
      <w:r>
        <w:rPr>
          <w:rFonts w:cs="Arial"/>
          <w:rtl/>
        </w:rPr>
        <w:t>ופירש רש"י האי עשה</w:t>
      </w:r>
      <w:r>
        <w:rPr>
          <w:rFonts w:cs="Arial" w:hint="cs"/>
          <w:rtl/>
        </w:rPr>
        <w:t xml:space="preserve"> -</w:t>
      </w:r>
      <w:r>
        <w:rPr>
          <w:rFonts w:cs="Arial"/>
          <w:rtl/>
        </w:rPr>
        <w:t xml:space="preserve"> ועמדו</w:t>
      </w:r>
      <w:r>
        <w:rPr>
          <w:rFonts w:cs="Arial" w:hint="cs"/>
          <w:rtl/>
        </w:rPr>
        <w:t>,</w:t>
      </w:r>
      <w:r>
        <w:rPr>
          <w:rFonts w:cs="Arial"/>
          <w:rtl/>
        </w:rPr>
        <w:t xml:space="preserve"> והאי עשה </w:t>
      </w:r>
      <w:r>
        <w:rPr>
          <w:rFonts w:cs="Arial" w:hint="cs"/>
          <w:rtl/>
        </w:rPr>
        <w:t xml:space="preserve">- </w:t>
      </w:r>
      <w:r>
        <w:rPr>
          <w:rFonts w:cs="Arial"/>
          <w:rtl/>
        </w:rPr>
        <w:t xml:space="preserve">את </w:t>
      </w:r>
      <w:r>
        <w:rPr>
          <w:rFonts w:cs="Arial" w:hint="cs"/>
          <w:rtl/>
        </w:rPr>
        <w:t>ה</w:t>
      </w:r>
      <w:r>
        <w:rPr>
          <w:rFonts w:cs="Arial"/>
          <w:rtl/>
        </w:rPr>
        <w:t>' אלהיך תירא (דברים י כ) לרבות תלמידי חכמים (פסחים כב:)</w:t>
      </w:r>
      <w:r>
        <w:rPr>
          <w:rFonts w:cs="Arial" w:hint="cs"/>
          <w:rtl/>
        </w:rPr>
        <w:t>.</w:t>
      </w:r>
    </w:p>
  </w:footnote>
  <w:footnote w:id="1426">
    <w:p w14:paraId="60C7C6B9" w14:textId="77777777" w:rsidR="0013116F" w:rsidRDefault="0013116F" w:rsidP="004B607F">
      <w:pPr>
        <w:pStyle w:val="a9"/>
        <w:rPr>
          <w:rtl/>
        </w:rPr>
      </w:pPr>
      <w:r>
        <w:rPr>
          <w:rStyle w:val="ab"/>
        </w:rPr>
        <w:footnoteRef/>
      </w:r>
      <w:r>
        <w:rPr>
          <w:rtl/>
        </w:rPr>
        <w:t xml:space="preserve"> </w:t>
      </w:r>
      <w:r w:rsidRPr="00706D16">
        <w:rPr>
          <w:rFonts w:cs="Arial"/>
          <w:rtl/>
        </w:rPr>
        <w:t>פירוש, שולחים אליו ג' אנשים דהוי בית דין</w:t>
      </w:r>
      <w:r>
        <w:rPr>
          <w:rFonts w:cs="Arial" w:hint="cs"/>
          <w:rtl/>
        </w:rPr>
        <w:t>,</w:t>
      </w:r>
      <w:r w:rsidRPr="00706D16">
        <w:rPr>
          <w:rFonts w:cs="Arial"/>
          <w:rtl/>
        </w:rPr>
        <w:t xml:space="preserve"> וב"ד מוסר לב"ד</w:t>
      </w:r>
      <w:r>
        <w:rPr>
          <w:rFonts w:cs="Arial" w:hint="cs"/>
          <w:rtl/>
        </w:rPr>
        <w:t>,</w:t>
      </w:r>
      <w:r w:rsidRPr="00706D16">
        <w:rPr>
          <w:rFonts w:cs="Arial"/>
          <w:rtl/>
        </w:rPr>
        <w:t xml:space="preserve"> וכמ"ש לקמן ס</w:t>
      </w:r>
      <w:r>
        <w:rPr>
          <w:rFonts w:cs="Arial" w:hint="cs"/>
          <w:rtl/>
        </w:rPr>
        <w:t>"ס</w:t>
      </w:r>
      <w:r w:rsidRPr="00706D16">
        <w:rPr>
          <w:rFonts w:cs="Arial"/>
          <w:rtl/>
        </w:rPr>
        <w:t xml:space="preserve"> ל' [סע</w:t>
      </w:r>
      <w:r>
        <w:rPr>
          <w:rFonts w:cs="Arial" w:hint="cs"/>
          <w:rtl/>
        </w:rPr>
        <w:t>'</w:t>
      </w:r>
      <w:r w:rsidRPr="00706D16">
        <w:rPr>
          <w:rFonts w:cs="Arial"/>
          <w:rtl/>
        </w:rPr>
        <w:t xml:space="preserve"> יא], אבל שנים לא</w:t>
      </w:r>
      <w:r>
        <w:rPr>
          <w:rFonts w:cs="Arial" w:hint="cs"/>
          <w:rtl/>
        </w:rPr>
        <w:t>,</w:t>
      </w:r>
      <w:r w:rsidRPr="00706D16">
        <w:rPr>
          <w:rFonts w:cs="Arial"/>
          <w:rtl/>
        </w:rPr>
        <w:t xml:space="preserve"> דהוי כעד מפי עד, אם לא במקום שיש תקנה שהציבור תיקנו ביניהן ששלוחיהן יקבלו עדות דאז הולכין בתר התקנה, כמ"ש בסמוך בסכ"ג, ועיין מה שכתבתי בסמ"ע בסמוך</w:t>
      </w:r>
      <w:r>
        <w:rPr>
          <w:rFonts w:cs="Arial" w:hint="cs"/>
          <w:rtl/>
        </w:rPr>
        <w:t xml:space="preserve"> </w:t>
      </w:r>
      <w:r w:rsidRPr="00706D16">
        <w:rPr>
          <w:rFonts w:cs="Arial"/>
          <w:rtl/>
        </w:rPr>
        <w:t>[שם סימן ל' סקל"ז] מזה עוד</w:t>
      </w:r>
      <w:r>
        <w:rPr>
          <w:rFonts w:hint="cs"/>
          <w:rtl/>
        </w:rPr>
        <w:t>, סמ"ע (סקכ"ז).</w:t>
      </w:r>
    </w:p>
  </w:footnote>
  <w:footnote w:id="1427">
    <w:p w14:paraId="6B1F9D71" w14:textId="77777777" w:rsidR="0013116F" w:rsidRDefault="0013116F" w:rsidP="004B607F">
      <w:pPr>
        <w:pStyle w:val="a9"/>
        <w:rPr>
          <w:rtl/>
        </w:rPr>
      </w:pPr>
      <w:r>
        <w:rPr>
          <w:rStyle w:val="ab"/>
        </w:rPr>
        <w:footnoteRef/>
      </w:r>
      <w:r>
        <w:rPr>
          <w:rtl/>
        </w:rPr>
        <w:t xml:space="preserve"> </w:t>
      </w:r>
      <w:r w:rsidRPr="00E11828">
        <w:rPr>
          <w:rFonts w:cs="Arial"/>
          <w:rtl/>
        </w:rPr>
        <w:t xml:space="preserve">המחבר השמיט זה, ואזיל לטעמיה שכתב בב"י [סעיף ו'] שצ"ל שלהרמב"ם וסיעתו א"צ להוכחה, דכיון שהב"ד יודעין שבעל דין אלם דיינינן הכי לכל האלמים. ואני כתבתי בדרישה דנראה לי דלית בזה פלוגתא כלל, שלכולי עלמא בעינן הוכחה או רגלים לדבר שיראים העדים להעיד מפני אלמותו, </w:t>
      </w:r>
      <w:r>
        <w:rPr>
          <w:rFonts w:cs="Arial" w:hint="cs"/>
          <w:rtl/>
        </w:rPr>
        <w:t>סמ"ע (סקכ"ט).</w:t>
      </w:r>
    </w:p>
  </w:footnote>
  <w:footnote w:id="1428">
    <w:p w14:paraId="36E7EA05" w14:textId="77777777" w:rsidR="0013116F" w:rsidRDefault="0013116F" w:rsidP="004B607F">
      <w:pPr>
        <w:pStyle w:val="a9"/>
        <w:rPr>
          <w:rtl/>
        </w:rPr>
      </w:pPr>
      <w:r>
        <w:rPr>
          <w:rStyle w:val="ab"/>
        </w:rPr>
        <w:footnoteRef/>
      </w:r>
      <w:r>
        <w:rPr>
          <w:rtl/>
        </w:rPr>
        <w:t xml:space="preserve"> </w:t>
      </w:r>
      <w:r>
        <w:rPr>
          <w:rFonts w:hint="cs"/>
          <w:rtl/>
        </w:rPr>
        <w:t xml:space="preserve">דשם נתבאר </w:t>
      </w:r>
      <w:r w:rsidRPr="00811A22">
        <w:rPr>
          <w:rFonts w:cs="Arial"/>
          <w:rtl/>
        </w:rPr>
        <w:t>דכבר נהגו להושיב העדים והבעלי דינים כדי להסיר המחלוק</w:t>
      </w:r>
      <w:r>
        <w:rPr>
          <w:rFonts w:cs="Arial" w:hint="cs"/>
          <w:rtl/>
        </w:rPr>
        <w:t>ת. כ"כ הרמב"ם הטור (סי' יז סע' ג וסע' ה) והשו"ע (כאן בסוף הסימן, ובסי' יז סע' ג).</w:t>
      </w:r>
    </w:p>
  </w:footnote>
  <w:footnote w:id="1429">
    <w:p w14:paraId="7A097FEE" w14:textId="77777777" w:rsidR="0013116F" w:rsidRDefault="0013116F" w:rsidP="004B607F">
      <w:pPr>
        <w:pStyle w:val="a9"/>
        <w:rPr>
          <w:rtl/>
        </w:rPr>
      </w:pPr>
      <w:r>
        <w:rPr>
          <w:rStyle w:val="ab"/>
        </w:rPr>
        <w:footnoteRef/>
      </w:r>
      <w:r>
        <w:rPr>
          <w:rtl/>
        </w:rPr>
        <w:t xml:space="preserve"> </w:t>
      </w:r>
      <w:r>
        <w:rPr>
          <w:rFonts w:hint="cs"/>
          <w:rtl/>
        </w:rPr>
        <w:t xml:space="preserve">סימן </w:t>
      </w:r>
      <w:r>
        <w:rPr>
          <w:rtl/>
        </w:rPr>
        <w:t>–</w:t>
      </w:r>
      <w:r>
        <w:rPr>
          <w:rFonts w:hint="cs"/>
          <w:rtl/>
        </w:rPr>
        <w:t xml:space="preserve"> </w:t>
      </w:r>
      <w:r>
        <w:rPr>
          <w:rFonts w:cs="Arial"/>
          <w:rtl/>
        </w:rPr>
        <w:t xml:space="preserve">ויכוח בוורדס </w:t>
      </w:r>
      <w:r w:rsidRPr="001524F5">
        <w:rPr>
          <w:rFonts w:cs="Arial"/>
          <w:sz w:val="16"/>
          <w:szCs w:val="16"/>
          <w:rtl/>
        </w:rPr>
        <w:t>{מילים}</w:t>
      </w:r>
      <w:r>
        <w:rPr>
          <w:rFonts w:cs="Arial" w:hint="cs"/>
          <w:rtl/>
        </w:rPr>
        <w:t>. וכן -</w:t>
      </w:r>
      <w:r>
        <w:rPr>
          <w:rFonts w:cs="Arial"/>
          <w:rtl/>
        </w:rPr>
        <w:t xml:space="preserve"> ווליד </w:t>
      </w:r>
      <w:r w:rsidRPr="001524F5">
        <w:rPr>
          <w:rFonts w:cs="Arial"/>
          <w:sz w:val="16"/>
          <w:szCs w:val="16"/>
          <w:rtl/>
        </w:rPr>
        <w:t xml:space="preserve">{שם של גוי} </w:t>
      </w:r>
      <w:r>
        <w:rPr>
          <w:rFonts w:cs="Arial"/>
          <w:rtl/>
        </w:rPr>
        <w:t>בויכוח</w:t>
      </w:r>
      <w:r>
        <w:rPr>
          <w:rFonts w:hint="cs"/>
          <w:rtl/>
        </w:rPr>
        <w:t>.</w:t>
      </w:r>
    </w:p>
  </w:footnote>
  <w:footnote w:id="1430">
    <w:p w14:paraId="597DBD8D" w14:textId="77777777" w:rsidR="0013116F" w:rsidRDefault="0013116F" w:rsidP="004B607F">
      <w:pPr>
        <w:pStyle w:val="a9"/>
      </w:pPr>
      <w:r>
        <w:rPr>
          <w:rStyle w:val="ab"/>
        </w:rPr>
        <w:footnoteRef/>
      </w:r>
      <w:r>
        <w:rPr>
          <w:rtl/>
        </w:rPr>
        <w:t xml:space="preserve"> </w:t>
      </w:r>
      <w:r>
        <w:rPr>
          <w:rFonts w:cs="Arial"/>
          <w:rtl/>
        </w:rPr>
        <w:t>כלומר והעמיד מליץ להשיב להם מה שרבא חוקר אותם</w:t>
      </w:r>
      <w:r>
        <w:rPr>
          <w:rFonts w:cs="Arial" w:hint="cs"/>
          <w:rtl/>
        </w:rPr>
        <w:t>.</w:t>
      </w:r>
      <w:r>
        <w:rPr>
          <w:rFonts w:cs="Arial"/>
          <w:rtl/>
        </w:rPr>
        <w:t xml:space="preserve"> ופירש רש"י </w:t>
      </w:r>
      <w:r>
        <w:rPr>
          <w:rFonts w:cs="Arial" w:hint="cs"/>
          <w:rtl/>
        </w:rPr>
        <w:t>'</w:t>
      </w:r>
      <w:r>
        <w:rPr>
          <w:rFonts w:cs="Arial"/>
          <w:rtl/>
        </w:rPr>
        <w:t>לעוזאי</w:t>
      </w:r>
      <w:r>
        <w:rPr>
          <w:rFonts w:cs="Arial" w:hint="cs"/>
          <w:rtl/>
        </w:rPr>
        <w:t>'</w:t>
      </w:r>
      <w:r>
        <w:rPr>
          <w:rFonts w:cs="Arial"/>
          <w:rtl/>
        </w:rPr>
        <w:t xml:space="preserve"> בעלי לשון אחרת שאין הדיינים מכירים בה</w:t>
      </w:r>
      <w:r>
        <w:rPr>
          <w:rFonts w:cs="Arial" w:hint="cs"/>
          <w:rtl/>
        </w:rPr>
        <w:t>. ו</w:t>
      </w:r>
      <w:r>
        <w:rPr>
          <w:rFonts w:cs="Arial"/>
          <w:rtl/>
        </w:rPr>
        <w:t>סובר רבינו כן בין בבעלי דינים בין בעדים ולפיכך כתבו רבינו בסימן זה וגם בבעלי דינים</w:t>
      </w:r>
      <w:r>
        <w:rPr>
          <w:rFonts w:cs="Arial" w:hint="cs"/>
          <w:rtl/>
        </w:rPr>
        <w:t>, ב"י.</w:t>
      </w:r>
    </w:p>
  </w:footnote>
  <w:footnote w:id="1431">
    <w:p w14:paraId="47DDC03C" w14:textId="77777777" w:rsidR="0013116F" w:rsidRDefault="0013116F" w:rsidP="004B607F">
      <w:pPr>
        <w:pStyle w:val="a9"/>
      </w:pPr>
      <w:r>
        <w:rPr>
          <w:rStyle w:val="ab"/>
        </w:rPr>
        <w:footnoteRef/>
      </w:r>
      <w:r>
        <w:rPr>
          <w:rtl/>
        </w:rPr>
        <w:t xml:space="preserve"> </w:t>
      </w:r>
      <w:r w:rsidRPr="00811A22">
        <w:rPr>
          <w:rFonts w:cs="Arial"/>
          <w:rtl/>
        </w:rPr>
        <w:t>מדכתיב [שמות י"ח י"ג] וישב משה לשפוט את העם, ועוד, מדכתיב [דברים יט יז] ועמדו שני האנשים לפני אלקים, מכלל דהאלקים</w:t>
      </w:r>
      <w:r>
        <w:rPr>
          <w:rFonts w:cs="Arial" w:hint="cs"/>
          <w:rtl/>
        </w:rPr>
        <w:t>,</w:t>
      </w:r>
      <w:r w:rsidRPr="00811A22">
        <w:rPr>
          <w:rFonts w:cs="Arial"/>
          <w:rtl/>
        </w:rPr>
        <w:t xml:space="preserve"> דהיינו הדיינים</w:t>
      </w:r>
      <w:r>
        <w:rPr>
          <w:rFonts w:cs="Arial" w:hint="cs"/>
          <w:rtl/>
        </w:rPr>
        <w:t>,</w:t>
      </w:r>
      <w:r w:rsidRPr="00811A22">
        <w:rPr>
          <w:rFonts w:cs="Arial"/>
          <w:rtl/>
        </w:rPr>
        <w:t xml:space="preserve"> יהיו יושבים בשעת עמידת העדים לפניהם להעיד</w:t>
      </w:r>
      <w:r>
        <w:rPr>
          <w:rFonts w:cs="Arial" w:hint="cs"/>
          <w:rtl/>
        </w:rPr>
        <w:t>, סמ"ע (סקל"ג).</w:t>
      </w:r>
    </w:p>
  </w:footnote>
  <w:footnote w:id="1432">
    <w:p w14:paraId="21249ADC" w14:textId="77777777" w:rsidR="0013116F" w:rsidRPr="00811A22" w:rsidRDefault="0013116F" w:rsidP="004B607F">
      <w:pPr>
        <w:pStyle w:val="a9"/>
        <w:rPr>
          <w:rFonts w:cs="Arial"/>
        </w:rPr>
      </w:pPr>
      <w:r>
        <w:rPr>
          <w:rStyle w:val="ab"/>
        </w:rPr>
        <w:footnoteRef/>
      </w:r>
      <w:r>
        <w:rPr>
          <w:rtl/>
        </w:rPr>
        <w:t xml:space="preserve"> </w:t>
      </w:r>
      <w:r w:rsidRPr="00811A22">
        <w:rPr>
          <w:rFonts w:cs="Arial"/>
          <w:rtl/>
        </w:rPr>
        <w:t>דכתיב</w:t>
      </w:r>
      <w:r w:rsidRPr="00A44A5F">
        <w:rPr>
          <w:rFonts w:cs="Arial"/>
          <w:sz w:val="16"/>
          <w:szCs w:val="16"/>
          <w:rtl/>
        </w:rPr>
        <w:t xml:space="preserve"> [דברים יז ו]</w:t>
      </w:r>
      <w:r w:rsidRPr="00811A22">
        <w:rPr>
          <w:rFonts w:cs="Arial"/>
          <w:rtl/>
        </w:rPr>
        <w:t xml:space="preserve"> ע"פ שנים עדים, דוקא על פיהם, ומשום דיש לחוש שישנה המתורגמן את דבריהן. וגם יוכל הדיין לחקור יותר על פי שמיעתו מפי העדים עצמם. וע</w:t>
      </w:r>
      <w:r>
        <w:rPr>
          <w:rFonts w:cs="Arial" w:hint="cs"/>
          <w:rtl/>
        </w:rPr>
        <w:t>"ל</w:t>
      </w:r>
      <w:r w:rsidRPr="00811A22">
        <w:rPr>
          <w:rFonts w:cs="Arial"/>
          <w:rtl/>
        </w:rPr>
        <w:t xml:space="preserve"> סי</w:t>
      </w:r>
      <w:r>
        <w:rPr>
          <w:rFonts w:cs="Arial" w:hint="cs"/>
          <w:rtl/>
        </w:rPr>
        <w:t>'</w:t>
      </w:r>
      <w:r w:rsidRPr="00811A22">
        <w:rPr>
          <w:rFonts w:cs="Arial"/>
          <w:rtl/>
        </w:rPr>
        <w:t xml:space="preserve"> </w:t>
      </w:r>
      <w:r>
        <w:rPr>
          <w:rFonts w:cs="Arial" w:hint="cs"/>
          <w:rtl/>
        </w:rPr>
        <w:t>י</w:t>
      </w:r>
      <w:r w:rsidRPr="00811A22">
        <w:rPr>
          <w:rFonts w:cs="Arial"/>
          <w:rtl/>
        </w:rPr>
        <w:t xml:space="preserve">ז </w:t>
      </w:r>
      <w:r w:rsidRPr="00A44A5F">
        <w:rPr>
          <w:rFonts w:cs="Arial"/>
          <w:sz w:val="16"/>
          <w:szCs w:val="16"/>
          <w:rtl/>
        </w:rPr>
        <w:t xml:space="preserve">[סקי"ד] </w:t>
      </w:r>
      <w:r w:rsidRPr="00811A22">
        <w:rPr>
          <w:rFonts w:cs="Arial"/>
          <w:rtl/>
        </w:rPr>
        <w:t>מה שכתבתי לענין בע"ד</w:t>
      </w:r>
      <w:r w:rsidRPr="00811A22">
        <w:rPr>
          <w:rFonts w:cs="Arial" w:hint="cs"/>
          <w:sz w:val="16"/>
          <w:szCs w:val="16"/>
          <w:rtl/>
        </w:rPr>
        <w:t xml:space="preserve"> </w:t>
      </w:r>
      <w:r w:rsidRPr="00811A22">
        <w:rPr>
          <w:rFonts w:cs="Arial"/>
          <w:rtl/>
        </w:rPr>
        <w:t>והוא הדין כאן לענין העדים</w:t>
      </w:r>
      <w:r>
        <w:rPr>
          <w:rFonts w:cs="Arial" w:hint="cs"/>
          <w:rtl/>
        </w:rPr>
        <w:t>, סמ"ע</w:t>
      </w:r>
      <w:r w:rsidRPr="00A44A5F">
        <w:rPr>
          <w:rFonts w:cs="Arial" w:hint="cs"/>
          <w:sz w:val="16"/>
          <w:szCs w:val="16"/>
          <w:rtl/>
        </w:rPr>
        <w:t xml:space="preserve"> (סקל"ד)</w:t>
      </w:r>
      <w:r>
        <w:rPr>
          <w:rFonts w:cs="Arial" w:hint="cs"/>
          <w:rtl/>
        </w:rPr>
        <w:t>.</w:t>
      </w:r>
      <w:r w:rsidRPr="00811A22">
        <w:rPr>
          <w:rFonts w:cs="Arial" w:hint="cs"/>
          <w:sz w:val="16"/>
          <w:szCs w:val="16"/>
          <w:rtl/>
        </w:rPr>
        <w:t xml:space="preserve"> (</w:t>
      </w:r>
      <w:r>
        <w:rPr>
          <w:rFonts w:cs="Arial" w:hint="cs"/>
          <w:sz w:val="16"/>
          <w:szCs w:val="16"/>
          <w:rtl/>
        </w:rPr>
        <w:t xml:space="preserve">הסמ"ע כתב שם </w:t>
      </w:r>
      <w:r w:rsidRPr="00A44A5F">
        <w:rPr>
          <w:rFonts w:cs="Arial" w:hint="cs"/>
          <w:sz w:val="14"/>
          <w:szCs w:val="14"/>
          <w:rtl/>
        </w:rPr>
        <w:t>[סי' יז סקי"ד]</w:t>
      </w:r>
      <w:r w:rsidRPr="00811A22">
        <w:rPr>
          <w:rFonts w:cs="Arial"/>
          <w:sz w:val="16"/>
          <w:szCs w:val="16"/>
          <w:rtl/>
        </w:rPr>
        <w:t xml:space="preserve"> </w:t>
      </w:r>
      <w:r>
        <w:rPr>
          <w:rFonts w:cs="Arial" w:hint="cs"/>
          <w:sz w:val="16"/>
          <w:szCs w:val="16"/>
          <w:rtl/>
        </w:rPr>
        <w:t xml:space="preserve">וז"ל- </w:t>
      </w:r>
      <w:r w:rsidRPr="00811A22">
        <w:rPr>
          <w:rFonts w:cs="Arial"/>
          <w:sz w:val="16"/>
          <w:szCs w:val="16"/>
          <w:rtl/>
        </w:rPr>
        <w:t>גם אם הדיין א"צ לשום מתורגמן שיודע ג"כ להשיב בטוב, רק שהבע"ד רוצים להעמיד מתורגמן שימליץ דבריהם באזני הדיין לאחר שטענו הן בעצמן לפני הדיינים, מותר. ועמ"ש עוד לחלק בין נותן הבע"ד כח ורשות להמתורגמן דמחשב הוא בע"ד דמותר, ובין לא נתן כח ורשות דאסור, ומה שבזמן הזה נוהגין לדון לועזים על ידי מורשה שלהם, הוא מפני שכל שבאו לדון לפני דיינים קבועין הו"ל כקיבלו עליהם לדון כן, ואין לנו אחר הקבלה כלום</w:t>
      </w:r>
      <w:r w:rsidRPr="00811A22">
        <w:rPr>
          <w:rFonts w:cs="Arial" w:hint="cs"/>
          <w:sz w:val="16"/>
          <w:szCs w:val="16"/>
          <w:rtl/>
        </w:rPr>
        <w:t>)</w:t>
      </w:r>
      <w:r>
        <w:rPr>
          <w:rFonts w:cs="Arial" w:hint="cs"/>
          <w:rtl/>
        </w:rPr>
        <w:t xml:space="preserve"> </w:t>
      </w:r>
    </w:p>
  </w:footnote>
  <w:footnote w:id="1433">
    <w:p w14:paraId="1455B454" w14:textId="77777777" w:rsidR="0013116F" w:rsidRDefault="0013116F" w:rsidP="004B607F">
      <w:pPr>
        <w:pStyle w:val="a9"/>
        <w:rPr>
          <w:rtl/>
        </w:rPr>
      </w:pPr>
      <w:r>
        <w:rPr>
          <w:rStyle w:val="ab"/>
        </w:rPr>
        <w:footnoteRef/>
      </w:r>
      <w:r>
        <w:rPr>
          <w:rtl/>
        </w:rPr>
        <w:t xml:space="preserve"> </w:t>
      </w:r>
      <w:r>
        <w:rPr>
          <w:rFonts w:hint="cs"/>
          <w:rtl/>
        </w:rPr>
        <w:t xml:space="preserve">סימן </w:t>
      </w:r>
      <w:r>
        <w:rPr>
          <w:rtl/>
        </w:rPr>
        <w:t>–</w:t>
      </w:r>
      <w:r>
        <w:rPr>
          <w:rFonts w:hint="cs"/>
          <w:rtl/>
        </w:rPr>
        <w:t xml:space="preserve"> כיצד תבדוק.</w:t>
      </w:r>
    </w:p>
  </w:footnote>
  <w:footnote w:id="1434">
    <w:p w14:paraId="36F3BC27" w14:textId="77777777" w:rsidR="0013116F" w:rsidRDefault="0013116F" w:rsidP="004B607F">
      <w:pPr>
        <w:pStyle w:val="a9"/>
      </w:pPr>
      <w:r>
        <w:rPr>
          <w:rStyle w:val="ab"/>
        </w:rPr>
        <w:footnoteRef/>
      </w:r>
      <w:r>
        <w:rPr>
          <w:rtl/>
        </w:rPr>
        <w:t xml:space="preserve"> </w:t>
      </w:r>
      <w:r w:rsidRPr="00CF4F76">
        <w:rPr>
          <w:rFonts w:cs="Arial"/>
          <w:rtl/>
        </w:rPr>
        <w:t>בשביל מתהלל במתת שקר דהיינו מעידי שקר גשמים נעצרים, ואפילו כשהשמים מתקשרים בעבים ורוח להוריד גשמים, אין הגשם בא</w:t>
      </w:r>
      <w:r>
        <w:rPr>
          <w:rFonts w:cs="Arial" w:hint="cs"/>
          <w:rtl/>
        </w:rPr>
        <w:t>, רש"י</w:t>
      </w:r>
      <w:r w:rsidRPr="00CF4F76">
        <w:rPr>
          <w:rFonts w:cs="Arial"/>
          <w:rtl/>
        </w:rPr>
        <w:t>.</w:t>
      </w:r>
    </w:p>
  </w:footnote>
  <w:footnote w:id="1435">
    <w:p w14:paraId="3F860281" w14:textId="77777777" w:rsidR="0013116F" w:rsidRDefault="0013116F" w:rsidP="004B607F">
      <w:pPr>
        <w:pStyle w:val="a9"/>
      </w:pPr>
      <w:r>
        <w:rPr>
          <w:rStyle w:val="ab"/>
        </w:rPr>
        <w:footnoteRef/>
      </w:r>
      <w:r>
        <w:rPr>
          <w:rtl/>
        </w:rPr>
        <w:t xml:space="preserve"> </w:t>
      </w:r>
      <w:r w:rsidRPr="007852A7">
        <w:rPr>
          <w:rFonts w:cs="Arial"/>
          <w:rtl/>
        </w:rPr>
        <w:t>מאי איכפת להו אם לא ירדו גשמים אמרי בלבם משל הדיוט שב שני הוה כפנא ואבבא אומנא לא חליף, על פתח מי שיודע אומנות ובעל מלאכה לא עבר הרעב</w:t>
      </w:r>
      <w:r>
        <w:rPr>
          <w:rFonts w:cs="Arial" w:hint="cs"/>
          <w:rtl/>
        </w:rPr>
        <w:t>, רש"י</w:t>
      </w:r>
      <w:r w:rsidRPr="007852A7">
        <w:rPr>
          <w:rFonts w:cs="Arial"/>
          <w:rtl/>
        </w:rPr>
        <w:t>.</w:t>
      </w:r>
    </w:p>
  </w:footnote>
  <w:footnote w:id="1436">
    <w:p w14:paraId="131ADCA4" w14:textId="77777777" w:rsidR="0013116F" w:rsidRDefault="0013116F" w:rsidP="004B607F">
      <w:pPr>
        <w:pStyle w:val="a9"/>
        <w:rPr>
          <w:rtl/>
        </w:rPr>
      </w:pPr>
      <w:r>
        <w:rPr>
          <w:rStyle w:val="ab"/>
        </w:rPr>
        <w:footnoteRef/>
      </w:r>
      <w:r>
        <w:rPr>
          <w:rtl/>
        </w:rPr>
        <w:t xml:space="preserve"> </w:t>
      </w:r>
      <w:r w:rsidRPr="007852A7">
        <w:rPr>
          <w:rFonts w:cs="Arial"/>
          <w:rtl/>
        </w:rPr>
        <w:t>בעון עדות שקר דבר בא, ויתייראו שלא ימותו</w:t>
      </w:r>
      <w:r>
        <w:rPr>
          <w:rFonts w:cs="Arial" w:hint="cs"/>
          <w:rtl/>
        </w:rPr>
        <w:t>, רש"י</w:t>
      </w:r>
      <w:r w:rsidRPr="007852A7">
        <w:rPr>
          <w:rFonts w:cs="Arial"/>
          <w:rtl/>
        </w:rPr>
        <w:t>.</w:t>
      </w:r>
    </w:p>
  </w:footnote>
  <w:footnote w:id="1437">
    <w:p w14:paraId="088F47E3" w14:textId="77777777" w:rsidR="0013116F" w:rsidRDefault="0013116F" w:rsidP="004B607F">
      <w:pPr>
        <w:pStyle w:val="a9"/>
      </w:pPr>
      <w:r>
        <w:rPr>
          <w:rStyle w:val="ab"/>
        </w:rPr>
        <w:footnoteRef/>
      </w:r>
      <w:r>
        <w:rPr>
          <w:rtl/>
        </w:rPr>
        <w:t xml:space="preserve"> </w:t>
      </w:r>
      <w:r w:rsidRPr="007852A7">
        <w:rPr>
          <w:rFonts w:cs="Arial"/>
          <w:rtl/>
        </w:rPr>
        <w:t>השוכרים אותם מבזים אותם וקלים הם בעיניו</w:t>
      </w:r>
      <w:r>
        <w:rPr>
          <w:rFonts w:cs="Arial" w:hint="cs"/>
          <w:rtl/>
        </w:rPr>
        <w:t>, רש"י</w:t>
      </w:r>
      <w:r w:rsidRPr="007852A7">
        <w:rPr>
          <w:rFonts w:cs="Arial"/>
          <w:rtl/>
        </w:rPr>
        <w:t>.</w:t>
      </w:r>
    </w:p>
  </w:footnote>
  <w:footnote w:id="1438">
    <w:p w14:paraId="7BC58DCD" w14:textId="77777777" w:rsidR="0013116F" w:rsidRDefault="0013116F" w:rsidP="004B607F">
      <w:pPr>
        <w:pStyle w:val="a9"/>
      </w:pPr>
      <w:r>
        <w:rPr>
          <w:rStyle w:val="ab"/>
        </w:rPr>
        <w:footnoteRef/>
      </w:r>
      <w:r>
        <w:rPr>
          <w:rtl/>
        </w:rPr>
        <w:t xml:space="preserve"> </w:t>
      </w:r>
      <w:r w:rsidRPr="007852A7">
        <w:rPr>
          <w:rFonts w:cs="Arial"/>
          <w:rtl/>
        </w:rPr>
        <w:t>גבי נבות היזרעאלי כתיב, שיועצי המלך היו יועצים לשוכרם והיו קורין אותם בני בליעל</w:t>
      </w:r>
      <w:r>
        <w:rPr>
          <w:rFonts w:cs="Arial" w:hint="cs"/>
          <w:rtl/>
        </w:rPr>
        <w:t>, רש"י</w:t>
      </w:r>
      <w:r w:rsidRPr="007852A7">
        <w:rPr>
          <w:rFonts w:cs="Arial"/>
          <w:rtl/>
        </w:rPr>
        <w:t>.</w:t>
      </w:r>
    </w:p>
  </w:footnote>
  <w:footnote w:id="1439">
    <w:p w14:paraId="64DDF678" w14:textId="77777777" w:rsidR="0013116F" w:rsidRDefault="0013116F" w:rsidP="004B607F">
      <w:pPr>
        <w:pStyle w:val="a9"/>
        <w:rPr>
          <w:rtl/>
        </w:rPr>
      </w:pPr>
      <w:r>
        <w:rPr>
          <w:rStyle w:val="ab"/>
        </w:rPr>
        <w:footnoteRef/>
      </w:r>
      <w:r>
        <w:rPr>
          <w:rtl/>
        </w:rPr>
        <w:t xml:space="preserve"> </w:t>
      </w:r>
      <w:r>
        <w:rPr>
          <w:rFonts w:hint="cs"/>
          <w:rtl/>
        </w:rPr>
        <w:t xml:space="preserve">סימן </w:t>
      </w:r>
      <w:r>
        <w:rPr>
          <w:rtl/>
        </w:rPr>
        <w:t>–</w:t>
      </w:r>
      <w:r>
        <w:rPr>
          <w:rFonts w:hint="cs"/>
          <w:rtl/>
        </w:rPr>
        <w:t xml:space="preserve"> כיצד תבדוק.</w:t>
      </w:r>
    </w:p>
  </w:footnote>
  <w:footnote w:id="1440">
    <w:p w14:paraId="32454352" w14:textId="77777777" w:rsidR="0013116F" w:rsidRDefault="0013116F" w:rsidP="004B607F">
      <w:pPr>
        <w:pStyle w:val="a9"/>
      </w:pPr>
      <w:r>
        <w:rPr>
          <w:rStyle w:val="ab"/>
        </w:rPr>
        <w:footnoteRef/>
      </w:r>
      <w:r>
        <w:rPr>
          <w:rtl/>
        </w:rPr>
        <w:t xml:space="preserve"> </w:t>
      </w:r>
      <w:r w:rsidRPr="008A4067">
        <w:rPr>
          <w:rFonts w:cs="Arial"/>
          <w:rtl/>
        </w:rPr>
        <w:t>הלוה אמר לי</w:t>
      </w:r>
      <w:r>
        <w:rPr>
          <w:rFonts w:hint="cs"/>
          <w:rtl/>
        </w:rPr>
        <w:t>, רש"י.</w:t>
      </w:r>
    </w:p>
  </w:footnote>
  <w:footnote w:id="1441">
    <w:p w14:paraId="26345F95" w14:textId="77777777" w:rsidR="0013116F" w:rsidRDefault="0013116F" w:rsidP="004B607F">
      <w:pPr>
        <w:pStyle w:val="a9"/>
      </w:pPr>
      <w:r>
        <w:rPr>
          <w:rStyle w:val="ab"/>
        </w:rPr>
        <w:footnoteRef/>
      </w:r>
      <w:r>
        <w:rPr>
          <w:rtl/>
        </w:rPr>
        <w:t xml:space="preserve"> </w:t>
      </w:r>
      <w:r w:rsidRPr="008A4067">
        <w:rPr>
          <w:rFonts w:cs="Arial"/>
          <w:rtl/>
        </w:rPr>
        <w:t>דעביד איניש דאמר פלוני נושה בי כדי שלא יחזיקוהו עשיר</w:t>
      </w:r>
      <w:r>
        <w:rPr>
          <w:rFonts w:cs="Arial" w:hint="cs"/>
          <w:rtl/>
        </w:rPr>
        <w:t>, רש"י.</w:t>
      </w:r>
    </w:p>
  </w:footnote>
  <w:footnote w:id="1442">
    <w:p w14:paraId="424392D9" w14:textId="77777777" w:rsidR="0013116F" w:rsidRDefault="0013116F" w:rsidP="004B607F">
      <w:pPr>
        <w:pStyle w:val="a9"/>
        <w:rPr>
          <w:rtl/>
        </w:rPr>
      </w:pPr>
      <w:r>
        <w:rPr>
          <w:rStyle w:val="ab"/>
        </w:rPr>
        <w:footnoteRef/>
      </w:r>
      <w:r>
        <w:rPr>
          <w:rtl/>
        </w:rPr>
        <w:t xml:space="preserve"> </w:t>
      </w:r>
      <w:r w:rsidRPr="00BB7341">
        <w:rPr>
          <w:rFonts w:cs="Arial"/>
          <w:rtl/>
        </w:rPr>
        <w:t>האי כל אדם לאו דוקא הוא, דהא מסתמא הבעלי דין נשארו שם בשעה שהעידו לפני הבית דין.</w:t>
      </w:r>
      <w:r>
        <w:rPr>
          <w:rFonts w:cs="Arial" w:hint="cs"/>
          <w:rtl/>
        </w:rPr>
        <w:t xml:space="preserve"> וכן מוכח</w:t>
      </w:r>
      <w:r w:rsidRPr="00BB7341">
        <w:rPr>
          <w:rFonts w:cs="Arial"/>
          <w:rtl/>
        </w:rPr>
        <w:t xml:space="preserve"> שם בגמ' [דף ל</w:t>
      </w:r>
      <w:r>
        <w:rPr>
          <w:rFonts w:cs="Arial" w:hint="cs"/>
          <w:rtl/>
        </w:rPr>
        <w:t>.</w:t>
      </w:r>
      <w:r w:rsidRPr="00BB7341">
        <w:rPr>
          <w:rFonts w:cs="Arial"/>
          <w:rtl/>
        </w:rPr>
        <w:t>] וז"ל</w:t>
      </w:r>
      <w:r>
        <w:rPr>
          <w:rFonts w:cs="Arial" w:hint="cs"/>
          <w:rtl/>
        </w:rPr>
        <w:t>-</w:t>
      </w:r>
      <w:r w:rsidRPr="00BB7341">
        <w:rPr>
          <w:rFonts w:cs="Arial"/>
          <w:rtl/>
        </w:rPr>
        <w:t xml:space="preserve"> גמרו את הדבר היו מכניסין אותן, למאן</w:t>
      </w:r>
      <w:r>
        <w:rPr>
          <w:rFonts w:cs="Arial" w:hint="cs"/>
          <w:rtl/>
        </w:rPr>
        <w:t>,</w:t>
      </w:r>
      <w:r w:rsidRPr="00BB7341">
        <w:rPr>
          <w:rFonts w:cs="Arial"/>
          <w:rtl/>
        </w:rPr>
        <w:t xml:space="preserve"> אי לבעלי דינין התם קיימי, ופירש"י, דהא לא קתני שהוציאון כו'</w:t>
      </w:r>
      <w:r>
        <w:rPr>
          <w:rFonts w:cs="Arial" w:hint="cs"/>
          <w:rtl/>
        </w:rPr>
        <w:t>, ע"פ סמ"ע (סקל"ז)</w:t>
      </w:r>
      <w:r w:rsidRPr="00BB7341">
        <w:rPr>
          <w:rFonts w:cs="Arial"/>
          <w:rtl/>
        </w:rPr>
        <w:t xml:space="preserve">. </w:t>
      </w:r>
    </w:p>
  </w:footnote>
  <w:footnote w:id="1443">
    <w:p w14:paraId="35655FC1" w14:textId="77777777" w:rsidR="0013116F" w:rsidRDefault="0013116F" w:rsidP="004B607F">
      <w:pPr>
        <w:pStyle w:val="a9"/>
        <w:rPr>
          <w:rtl/>
        </w:rPr>
      </w:pPr>
      <w:r>
        <w:rPr>
          <w:rStyle w:val="ab"/>
        </w:rPr>
        <w:footnoteRef/>
      </w:r>
      <w:r>
        <w:rPr>
          <w:rtl/>
        </w:rPr>
        <w:t xml:space="preserve"> </w:t>
      </w:r>
      <w:r>
        <w:rPr>
          <w:rFonts w:hint="cs"/>
          <w:rtl/>
        </w:rPr>
        <w:t>תוספת הסמ"ע סקל"ח. וכן הוא ברמב"ם (פי"ז מהל' עדות ה"ב) ובמשנה.</w:t>
      </w:r>
    </w:p>
  </w:footnote>
  <w:footnote w:id="1444">
    <w:p w14:paraId="0D174F8D" w14:textId="77777777" w:rsidR="0013116F" w:rsidRDefault="0013116F" w:rsidP="004B607F">
      <w:pPr>
        <w:pStyle w:val="a9"/>
        <w:rPr>
          <w:rtl/>
        </w:rPr>
      </w:pPr>
      <w:r>
        <w:rPr>
          <w:rStyle w:val="ab"/>
        </w:rPr>
        <w:footnoteRef/>
      </w:r>
      <w:r>
        <w:rPr>
          <w:rtl/>
        </w:rPr>
        <w:t xml:space="preserve"> </w:t>
      </w:r>
      <w:r w:rsidRPr="005B347F">
        <w:rPr>
          <w:rFonts w:cs="Arial"/>
          <w:rtl/>
        </w:rPr>
        <w:t xml:space="preserve">ובטור </w:t>
      </w:r>
      <w:r w:rsidRPr="00A050F9">
        <w:rPr>
          <w:rFonts w:cs="Arial"/>
          <w:sz w:val="16"/>
          <w:szCs w:val="16"/>
          <w:rtl/>
        </w:rPr>
        <w:t>[סע</w:t>
      </w:r>
      <w:r w:rsidRPr="00A050F9">
        <w:rPr>
          <w:rFonts w:cs="Arial" w:hint="cs"/>
          <w:sz w:val="16"/>
          <w:szCs w:val="16"/>
          <w:rtl/>
        </w:rPr>
        <w:t>'</w:t>
      </w:r>
      <w:r w:rsidRPr="00A050F9">
        <w:rPr>
          <w:rFonts w:cs="Arial"/>
          <w:sz w:val="16"/>
          <w:szCs w:val="16"/>
          <w:rtl/>
        </w:rPr>
        <w:t xml:space="preserve"> יב] </w:t>
      </w:r>
      <w:r w:rsidRPr="005B347F">
        <w:rPr>
          <w:rFonts w:cs="Arial"/>
          <w:rtl/>
        </w:rPr>
        <w:t>כתב עד שיאמר אתם עדי. והמחבר אזל לטעמיה שפסק בסי</w:t>
      </w:r>
      <w:r>
        <w:rPr>
          <w:rFonts w:cs="Arial" w:hint="cs"/>
          <w:rtl/>
        </w:rPr>
        <w:t>'</w:t>
      </w:r>
      <w:r w:rsidRPr="005B347F">
        <w:rPr>
          <w:rFonts w:cs="Arial"/>
          <w:rtl/>
        </w:rPr>
        <w:t xml:space="preserve"> פא </w:t>
      </w:r>
      <w:r w:rsidRPr="00A050F9">
        <w:rPr>
          <w:rFonts w:cs="Arial"/>
          <w:sz w:val="16"/>
          <w:szCs w:val="16"/>
          <w:rtl/>
        </w:rPr>
        <w:t>[סע</w:t>
      </w:r>
      <w:r w:rsidRPr="00A050F9">
        <w:rPr>
          <w:rFonts w:cs="Arial" w:hint="cs"/>
          <w:sz w:val="16"/>
          <w:szCs w:val="16"/>
          <w:rtl/>
        </w:rPr>
        <w:t>'</w:t>
      </w:r>
      <w:r w:rsidRPr="00A050F9">
        <w:rPr>
          <w:rFonts w:cs="Arial"/>
          <w:sz w:val="16"/>
          <w:szCs w:val="16"/>
          <w:rtl/>
        </w:rPr>
        <w:t xml:space="preserve"> ח] </w:t>
      </w:r>
      <w:r w:rsidRPr="005B347F">
        <w:rPr>
          <w:rFonts w:cs="Arial"/>
          <w:rtl/>
        </w:rPr>
        <w:t xml:space="preserve">כהרמב"ם </w:t>
      </w:r>
      <w:r w:rsidRPr="00A050F9">
        <w:rPr>
          <w:rFonts w:cs="Arial"/>
          <w:sz w:val="16"/>
          <w:szCs w:val="16"/>
          <w:rtl/>
        </w:rPr>
        <w:t xml:space="preserve">[פ"ז מטוען ה"א] </w:t>
      </w:r>
      <w:r w:rsidRPr="005B347F">
        <w:rPr>
          <w:rFonts w:cs="Arial"/>
          <w:rtl/>
        </w:rPr>
        <w:t xml:space="preserve">והרמ"ה </w:t>
      </w:r>
      <w:r w:rsidRPr="00A050F9">
        <w:rPr>
          <w:rFonts w:cs="Arial"/>
          <w:sz w:val="16"/>
          <w:szCs w:val="16"/>
          <w:rtl/>
        </w:rPr>
        <w:t>[סנהדרין כט</w:t>
      </w:r>
      <w:r w:rsidRPr="00A050F9">
        <w:rPr>
          <w:rFonts w:cs="Arial" w:hint="cs"/>
          <w:sz w:val="16"/>
          <w:szCs w:val="16"/>
          <w:rtl/>
        </w:rPr>
        <w:t>.</w:t>
      </w:r>
      <w:r w:rsidRPr="00A050F9">
        <w:rPr>
          <w:rFonts w:cs="Arial"/>
          <w:sz w:val="16"/>
          <w:szCs w:val="16"/>
          <w:rtl/>
        </w:rPr>
        <w:t xml:space="preserve"> ד"ה אם אמר,</w:t>
      </w:r>
      <w:r>
        <w:rPr>
          <w:rFonts w:cs="Arial" w:hint="cs"/>
          <w:sz w:val="16"/>
          <w:szCs w:val="16"/>
          <w:rtl/>
        </w:rPr>
        <w:t xml:space="preserve"> כט:</w:t>
      </w:r>
      <w:r w:rsidRPr="00A050F9">
        <w:rPr>
          <w:rFonts w:cs="Arial"/>
          <w:sz w:val="16"/>
          <w:szCs w:val="16"/>
          <w:rtl/>
        </w:rPr>
        <w:t xml:space="preserve"> ד"ה מעשה]</w:t>
      </w:r>
      <w:r w:rsidRPr="005B347F">
        <w:rPr>
          <w:rFonts w:cs="Arial"/>
          <w:rtl/>
        </w:rPr>
        <w:t xml:space="preserve">, דס"ל דבמודה לו לפני עדים בהודאה גמורה הו"ל כאומר אתם עדי </w:t>
      </w:r>
      <w:r>
        <w:rPr>
          <w:rFonts w:cs="Arial" w:hint="cs"/>
          <w:sz w:val="16"/>
          <w:szCs w:val="16"/>
          <w:rtl/>
        </w:rPr>
        <w:t>(</w:t>
      </w:r>
      <w:r w:rsidRPr="008B1A5F">
        <w:rPr>
          <w:rFonts w:cs="Arial"/>
          <w:sz w:val="16"/>
          <w:szCs w:val="16"/>
          <w:rtl/>
        </w:rPr>
        <w:t>ו</w:t>
      </w:r>
      <w:r>
        <w:rPr>
          <w:rFonts w:cs="Arial" w:hint="cs"/>
          <w:sz w:val="16"/>
          <w:szCs w:val="16"/>
          <w:rtl/>
        </w:rPr>
        <w:t xml:space="preserve">ע' </w:t>
      </w:r>
      <w:r w:rsidRPr="008B1A5F">
        <w:rPr>
          <w:rFonts w:cs="Arial"/>
          <w:sz w:val="16"/>
          <w:szCs w:val="16"/>
          <w:rtl/>
        </w:rPr>
        <w:t>בטור סי</w:t>
      </w:r>
      <w:r w:rsidRPr="008B1A5F">
        <w:rPr>
          <w:rFonts w:cs="Arial" w:hint="cs"/>
          <w:sz w:val="16"/>
          <w:szCs w:val="16"/>
          <w:rtl/>
        </w:rPr>
        <w:t>'</w:t>
      </w:r>
      <w:r w:rsidRPr="008B1A5F">
        <w:rPr>
          <w:rFonts w:cs="Arial"/>
          <w:sz w:val="16"/>
          <w:szCs w:val="16"/>
          <w:rtl/>
        </w:rPr>
        <w:t xml:space="preserve"> לב סע</w:t>
      </w:r>
      <w:r w:rsidRPr="008B1A5F">
        <w:rPr>
          <w:rFonts w:cs="Arial" w:hint="cs"/>
          <w:sz w:val="16"/>
          <w:szCs w:val="16"/>
          <w:rtl/>
        </w:rPr>
        <w:t xml:space="preserve">' </w:t>
      </w:r>
      <w:r w:rsidRPr="008B1A5F">
        <w:rPr>
          <w:rFonts w:cs="Arial"/>
          <w:sz w:val="16"/>
          <w:szCs w:val="16"/>
          <w:rtl/>
        </w:rPr>
        <w:t>יז]</w:t>
      </w:r>
      <w:r>
        <w:rPr>
          <w:rFonts w:hint="cs"/>
          <w:rtl/>
        </w:rPr>
        <w:t>, סמ"ע</w:t>
      </w:r>
      <w:r w:rsidRPr="008B1A5F">
        <w:rPr>
          <w:rFonts w:hint="cs"/>
          <w:sz w:val="16"/>
          <w:szCs w:val="16"/>
          <w:rtl/>
        </w:rPr>
        <w:t xml:space="preserve"> (סק"מ)</w:t>
      </w:r>
      <w:r>
        <w:rPr>
          <w:rFonts w:hint="cs"/>
          <w:rtl/>
        </w:rPr>
        <w:t>.</w:t>
      </w:r>
    </w:p>
  </w:footnote>
  <w:footnote w:id="1445">
    <w:p w14:paraId="52537EEE" w14:textId="77777777" w:rsidR="0013116F" w:rsidRDefault="0013116F" w:rsidP="004B607F">
      <w:pPr>
        <w:pStyle w:val="a9"/>
        <w:rPr>
          <w:rtl/>
        </w:rPr>
      </w:pPr>
      <w:r>
        <w:rPr>
          <w:rStyle w:val="ab"/>
        </w:rPr>
        <w:footnoteRef/>
      </w:r>
      <w:r>
        <w:rPr>
          <w:rtl/>
        </w:rPr>
        <w:t xml:space="preserve"> </w:t>
      </w:r>
      <w:r>
        <w:rPr>
          <w:rFonts w:hint="cs"/>
          <w:rtl/>
        </w:rPr>
        <w:t xml:space="preserve">סימן </w:t>
      </w:r>
      <w:r>
        <w:rPr>
          <w:rtl/>
        </w:rPr>
        <w:t>–</w:t>
      </w:r>
      <w:r>
        <w:rPr>
          <w:rFonts w:hint="cs"/>
          <w:rtl/>
        </w:rPr>
        <w:t xml:space="preserve"> כיצד תבדוק.</w:t>
      </w:r>
    </w:p>
  </w:footnote>
  <w:footnote w:id="1446">
    <w:p w14:paraId="68395ED4" w14:textId="77777777" w:rsidR="0013116F" w:rsidRDefault="0013116F" w:rsidP="004B607F">
      <w:pPr>
        <w:pStyle w:val="a9"/>
        <w:rPr>
          <w:rtl/>
        </w:rPr>
      </w:pPr>
      <w:r>
        <w:rPr>
          <w:rStyle w:val="ab"/>
        </w:rPr>
        <w:footnoteRef/>
      </w:r>
      <w:r>
        <w:rPr>
          <w:rtl/>
        </w:rPr>
        <w:t xml:space="preserve"> </w:t>
      </w:r>
      <w:r>
        <w:rPr>
          <w:rFonts w:hint="cs"/>
          <w:rtl/>
        </w:rPr>
        <w:t xml:space="preserve">סימן </w:t>
      </w:r>
      <w:r>
        <w:rPr>
          <w:rtl/>
        </w:rPr>
        <w:t>–</w:t>
      </w:r>
      <w:r>
        <w:rPr>
          <w:rFonts w:hint="cs"/>
          <w:rtl/>
        </w:rPr>
        <w:t xml:space="preserve"> גירסא חדא.</w:t>
      </w:r>
    </w:p>
  </w:footnote>
  <w:footnote w:id="1447">
    <w:p w14:paraId="7BF7DA35" w14:textId="77777777" w:rsidR="0013116F" w:rsidRDefault="0013116F" w:rsidP="004B607F">
      <w:pPr>
        <w:pStyle w:val="a9"/>
        <w:rPr>
          <w:rtl/>
        </w:rPr>
      </w:pPr>
      <w:r>
        <w:rPr>
          <w:rStyle w:val="ab"/>
        </w:rPr>
        <w:footnoteRef/>
      </w:r>
      <w:r>
        <w:rPr>
          <w:rtl/>
        </w:rPr>
        <w:t xml:space="preserve"> </w:t>
      </w:r>
      <w:r>
        <w:rPr>
          <w:rFonts w:hint="cs"/>
          <w:rtl/>
        </w:rPr>
        <w:t xml:space="preserve">סימן </w:t>
      </w:r>
      <w:r>
        <w:rPr>
          <w:rtl/>
        </w:rPr>
        <w:t>–</w:t>
      </w:r>
      <w:r>
        <w:rPr>
          <w:rFonts w:hint="cs"/>
          <w:rtl/>
        </w:rPr>
        <w:t xml:space="preserve"> נשמע הגידוף.</w:t>
      </w:r>
    </w:p>
  </w:footnote>
  <w:footnote w:id="1448">
    <w:p w14:paraId="6E7B125F" w14:textId="77777777" w:rsidR="0013116F" w:rsidRDefault="0013116F" w:rsidP="004B607F">
      <w:pPr>
        <w:pStyle w:val="a9"/>
        <w:rPr>
          <w:rtl/>
        </w:rPr>
      </w:pPr>
      <w:r>
        <w:rPr>
          <w:rStyle w:val="ab"/>
        </w:rPr>
        <w:footnoteRef/>
      </w:r>
      <w:r>
        <w:rPr>
          <w:rtl/>
        </w:rPr>
        <w:t xml:space="preserve"> </w:t>
      </w:r>
      <w:r>
        <w:rPr>
          <w:rFonts w:hint="cs"/>
          <w:rtl/>
        </w:rPr>
        <w:t>וז"ל-</w:t>
      </w:r>
      <w:r w:rsidRPr="000B554E">
        <w:rPr>
          <w:rFonts w:cs="Arial"/>
          <w:rtl/>
        </w:rPr>
        <w:t xml:space="preserve"> </w:t>
      </w:r>
      <w:r w:rsidRPr="00704F2E">
        <w:rPr>
          <w:rFonts w:cs="Arial"/>
          <w:rtl/>
        </w:rPr>
        <w:t>מעשה במגנצא בשטר של</w:t>
      </w:r>
      <w:r>
        <w:rPr>
          <w:rFonts w:cs="Arial" w:hint="cs"/>
          <w:rtl/>
        </w:rPr>
        <w:t xml:space="preserve"> </w:t>
      </w:r>
      <w:r w:rsidRPr="00704F2E">
        <w:rPr>
          <w:rFonts w:cs="Arial"/>
          <w:rtl/>
        </w:rPr>
        <w:t>קבלת עדות שבא לפני ב"ד והיה מפורש בו עדות של הראשון ועדות של השני לא היה מפורש אלא והשני כמוהו והכשירוהו כדריש לקיש</w:t>
      </w:r>
      <w:r>
        <w:rPr>
          <w:rFonts w:hint="cs"/>
          <w:rtl/>
        </w:rPr>
        <w:t>. עכ"ל. וכתב הב"י שרי"ו והמרדכי מסכימים ד</w:t>
      </w:r>
      <w:r w:rsidRPr="008C7AC2">
        <w:rPr>
          <w:rFonts w:cs="Arial"/>
          <w:rtl/>
        </w:rPr>
        <w:t>היכא דלא איפשר לחזור ולקבל עדותו בפירוש כגון שהלך למדינת הים באף אני כמוהו שאמר כבר סגי</w:t>
      </w:r>
      <w:r w:rsidRPr="008C7AC2">
        <w:rPr>
          <w:rFonts w:cs="Arial" w:hint="cs"/>
          <w:rtl/>
        </w:rPr>
        <w:t>.</w:t>
      </w:r>
      <w:r>
        <w:rPr>
          <w:rFonts w:hint="cs"/>
          <w:rtl/>
        </w:rPr>
        <w:t xml:space="preserve"> </w:t>
      </w:r>
    </w:p>
  </w:footnote>
  <w:footnote w:id="1449">
    <w:p w14:paraId="027CAEBE" w14:textId="77777777" w:rsidR="0013116F" w:rsidRDefault="0013116F" w:rsidP="004B607F">
      <w:pPr>
        <w:pStyle w:val="a9"/>
      </w:pPr>
      <w:r>
        <w:rPr>
          <w:rStyle w:val="ab"/>
        </w:rPr>
        <w:footnoteRef/>
      </w:r>
      <w:r>
        <w:rPr>
          <w:rtl/>
        </w:rPr>
        <w:t xml:space="preserve"> </w:t>
      </w:r>
      <w:r w:rsidRPr="00A050F9">
        <w:rPr>
          <w:rFonts w:cs="Arial"/>
          <w:rtl/>
        </w:rPr>
        <w:t>משום דמן התורה כה"ג הוי עדות, אלא שחכמים הצריכו לומר עדותו בפירוש [סנהדרין ס</w:t>
      </w:r>
      <w:r>
        <w:rPr>
          <w:rFonts w:cs="Arial" w:hint="cs"/>
          <w:rtl/>
        </w:rPr>
        <w:t>.</w:t>
      </w:r>
      <w:r w:rsidRPr="00A050F9">
        <w:rPr>
          <w:rFonts w:cs="Arial"/>
          <w:rtl/>
        </w:rPr>
        <w:t>], ובכה"ג העמידוהו על דברי תורה</w:t>
      </w:r>
      <w:r>
        <w:rPr>
          <w:rFonts w:cs="Arial" w:hint="cs"/>
          <w:rtl/>
        </w:rPr>
        <w:t>, סמ"ע (סקמ"א).</w:t>
      </w:r>
    </w:p>
  </w:footnote>
  <w:footnote w:id="1450">
    <w:p w14:paraId="0448559E" w14:textId="77777777" w:rsidR="0013116F" w:rsidRDefault="0013116F" w:rsidP="004B607F">
      <w:pPr>
        <w:pStyle w:val="a9"/>
      </w:pPr>
      <w:r>
        <w:rPr>
          <w:rStyle w:val="ab"/>
        </w:rPr>
        <w:footnoteRef/>
      </w:r>
      <w:r>
        <w:rPr>
          <w:rtl/>
        </w:rPr>
        <w:t xml:space="preserve"> </w:t>
      </w:r>
      <w:r>
        <w:rPr>
          <w:rFonts w:hint="cs"/>
          <w:rtl/>
        </w:rPr>
        <w:t xml:space="preserve">סימן </w:t>
      </w:r>
      <w:r>
        <w:rPr>
          <w:rtl/>
        </w:rPr>
        <w:t>–</w:t>
      </w:r>
      <w:r>
        <w:rPr>
          <w:rFonts w:hint="cs"/>
          <w:rtl/>
        </w:rPr>
        <w:t xml:space="preserve"> עדות באמירה. וכן - עד אומר. וכן </w:t>
      </w:r>
      <w:r>
        <w:rPr>
          <w:rtl/>
        </w:rPr>
        <w:t>–</w:t>
      </w:r>
      <w:r>
        <w:rPr>
          <w:rFonts w:hint="cs"/>
          <w:rtl/>
        </w:rPr>
        <w:t xml:space="preserve"> עד אילם.</w:t>
      </w:r>
    </w:p>
  </w:footnote>
  <w:footnote w:id="1451">
    <w:p w14:paraId="6609306B" w14:textId="77777777" w:rsidR="0013116F" w:rsidRDefault="0013116F" w:rsidP="004B607F">
      <w:pPr>
        <w:pStyle w:val="a9"/>
        <w:rPr>
          <w:rtl/>
        </w:rPr>
      </w:pPr>
      <w:r>
        <w:rPr>
          <w:rStyle w:val="ab"/>
        </w:rPr>
        <w:footnoteRef/>
      </w:r>
      <w:r>
        <w:rPr>
          <w:rtl/>
        </w:rPr>
        <w:t xml:space="preserve"> </w:t>
      </w:r>
      <w:r w:rsidRPr="00855661">
        <w:rPr>
          <w:rFonts w:cs="Arial"/>
          <w:rtl/>
        </w:rPr>
        <w:t>שאינו חייב קרבן שבועה על שבועת העדות אם השביעו והרכין בראשו שאינו יודע</w:t>
      </w:r>
      <w:r>
        <w:rPr>
          <w:rFonts w:cs="Arial" w:hint="cs"/>
          <w:rtl/>
        </w:rPr>
        <w:t>, רש"י</w:t>
      </w:r>
      <w:r w:rsidRPr="00855661">
        <w:rPr>
          <w:rFonts w:cs="Arial"/>
          <w:rtl/>
        </w:rPr>
        <w:t>.</w:t>
      </w:r>
    </w:p>
  </w:footnote>
  <w:footnote w:id="1452">
    <w:p w14:paraId="0993552D" w14:textId="77777777" w:rsidR="0013116F" w:rsidRDefault="0013116F" w:rsidP="004B607F">
      <w:pPr>
        <w:pStyle w:val="a9"/>
      </w:pPr>
      <w:r>
        <w:rPr>
          <w:rStyle w:val="ab"/>
        </w:rPr>
        <w:footnoteRef/>
      </w:r>
      <w:r>
        <w:rPr>
          <w:rtl/>
        </w:rPr>
        <w:t xml:space="preserve"> </w:t>
      </w:r>
      <w:r>
        <w:rPr>
          <w:rFonts w:hint="cs"/>
          <w:rtl/>
        </w:rPr>
        <w:t xml:space="preserve">סימן </w:t>
      </w:r>
      <w:r>
        <w:rPr>
          <w:rtl/>
        </w:rPr>
        <w:t>–</w:t>
      </w:r>
      <w:r>
        <w:rPr>
          <w:rFonts w:hint="cs"/>
          <w:rtl/>
        </w:rPr>
        <w:t xml:space="preserve"> לשון באמירה.</w:t>
      </w:r>
    </w:p>
  </w:footnote>
  <w:footnote w:id="1453">
    <w:p w14:paraId="74376182" w14:textId="77777777" w:rsidR="0013116F" w:rsidRDefault="0013116F" w:rsidP="004B607F">
      <w:pPr>
        <w:pStyle w:val="a9"/>
        <w:rPr>
          <w:rtl/>
        </w:rPr>
      </w:pPr>
      <w:r>
        <w:rPr>
          <w:rStyle w:val="ab"/>
        </w:rPr>
        <w:footnoteRef/>
      </w:r>
      <w:r>
        <w:rPr>
          <w:rtl/>
        </w:rPr>
        <w:t xml:space="preserve"> </w:t>
      </w:r>
      <w:r>
        <w:rPr>
          <w:rFonts w:cs="Arial"/>
          <w:rtl/>
        </w:rPr>
        <w:t>ועי</w:t>
      </w:r>
      <w:r>
        <w:rPr>
          <w:rFonts w:cs="Arial" w:hint="cs"/>
          <w:rtl/>
        </w:rPr>
        <w:t>'</w:t>
      </w:r>
      <w:r>
        <w:rPr>
          <w:rFonts w:cs="Arial"/>
          <w:rtl/>
        </w:rPr>
        <w:t xml:space="preserve"> בפסקי הרא"ש פ</w:t>
      </w:r>
      <w:r>
        <w:rPr>
          <w:rFonts w:cs="Arial" w:hint="cs"/>
          <w:rtl/>
        </w:rPr>
        <w:t>'</w:t>
      </w:r>
      <w:r>
        <w:rPr>
          <w:rFonts w:cs="Arial"/>
          <w:rtl/>
        </w:rPr>
        <w:t xml:space="preserve"> ארבעה אחים </w:t>
      </w:r>
      <w:r w:rsidRPr="00FC647B">
        <w:rPr>
          <w:rFonts w:cs="Arial"/>
          <w:sz w:val="16"/>
          <w:szCs w:val="16"/>
          <w:rtl/>
        </w:rPr>
        <w:t>(סי' ז)</w:t>
      </w:r>
      <w:r>
        <w:rPr>
          <w:rFonts w:cs="Arial" w:hint="cs"/>
          <w:rtl/>
        </w:rPr>
        <w:t>, ב"י.</w:t>
      </w:r>
      <w:r>
        <w:rPr>
          <w:rFonts w:hint="cs"/>
          <w:rtl/>
        </w:rPr>
        <w:t xml:space="preserve"> </w:t>
      </w:r>
      <w:r w:rsidRPr="00FB3387">
        <w:rPr>
          <w:rFonts w:cs="Arial"/>
          <w:rtl/>
        </w:rPr>
        <w:t>וכ</w:t>
      </w:r>
      <w:r>
        <w:rPr>
          <w:rFonts w:cs="Arial" w:hint="cs"/>
          <w:rtl/>
        </w:rPr>
        <w:t>תב ה</w:t>
      </w:r>
      <w:r w:rsidRPr="00FB3387">
        <w:rPr>
          <w:rFonts w:cs="Arial"/>
          <w:rtl/>
        </w:rPr>
        <w:t xml:space="preserve">מרדכי </w:t>
      </w:r>
      <w:r w:rsidRPr="00653CBE">
        <w:rPr>
          <w:rFonts w:cs="Arial" w:hint="cs"/>
          <w:sz w:val="16"/>
          <w:szCs w:val="16"/>
          <w:rtl/>
        </w:rPr>
        <w:t>(</w:t>
      </w:r>
      <w:r w:rsidRPr="00653CBE">
        <w:rPr>
          <w:rFonts w:cs="Arial"/>
          <w:sz w:val="16"/>
          <w:szCs w:val="16"/>
          <w:rtl/>
        </w:rPr>
        <w:t>ריש ארבעה אחין סי' יז</w:t>
      </w:r>
      <w:r w:rsidRPr="00653CBE">
        <w:rPr>
          <w:rFonts w:cs="Arial" w:hint="cs"/>
          <w:sz w:val="16"/>
          <w:szCs w:val="16"/>
          <w:rtl/>
        </w:rPr>
        <w:t>,</w:t>
      </w:r>
      <w:r w:rsidRPr="00653CBE">
        <w:rPr>
          <w:rFonts w:cs="Arial"/>
          <w:sz w:val="16"/>
          <w:szCs w:val="16"/>
          <w:rtl/>
        </w:rPr>
        <w:t xml:space="preserve"> ובהגהות שם פרק האשה שהלכה סי' קכג</w:t>
      </w:r>
      <w:r>
        <w:rPr>
          <w:rFonts w:cs="Arial" w:hint="cs"/>
          <w:sz w:val="16"/>
          <w:szCs w:val="16"/>
          <w:rtl/>
        </w:rPr>
        <w:t>-</w:t>
      </w:r>
      <w:r w:rsidRPr="00653CBE">
        <w:rPr>
          <w:rFonts w:cs="Arial"/>
          <w:sz w:val="16"/>
          <w:szCs w:val="16"/>
          <w:rtl/>
        </w:rPr>
        <w:t>קכד</w:t>
      </w:r>
      <w:r>
        <w:rPr>
          <w:rFonts w:cs="Arial" w:hint="cs"/>
          <w:sz w:val="16"/>
          <w:szCs w:val="16"/>
          <w:rtl/>
        </w:rPr>
        <w:t>, כ"כ הדרכ"מ [אות ז] בשמו</w:t>
      </w:r>
      <w:r w:rsidRPr="00653CBE">
        <w:rPr>
          <w:rFonts w:cs="Arial"/>
          <w:sz w:val="16"/>
          <w:szCs w:val="16"/>
          <w:rtl/>
        </w:rPr>
        <w:t>)</w:t>
      </w:r>
      <w:r w:rsidRPr="00FB3387">
        <w:rPr>
          <w:rFonts w:cs="Arial"/>
          <w:rtl/>
        </w:rPr>
        <w:t xml:space="preserve"> כר</w:t>
      </w:r>
      <w:r>
        <w:rPr>
          <w:rFonts w:cs="Arial" w:hint="cs"/>
          <w:rtl/>
        </w:rPr>
        <w:t>"</w:t>
      </w:r>
      <w:r w:rsidRPr="00FB3387">
        <w:rPr>
          <w:rFonts w:cs="Arial"/>
          <w:rtl/>
        </w:rPr>
        <w:t>ת.</w:t>
      </w:r>
      <w:r>
        <w:rPr>
          <w:rFonts w:cs="Arial" w:hint="cs"/>
          <w:rtl/>
        </w:rPr>
        <w:t xml:space="preserve"> וכתב הסמ"ע דגם הרא"ש </w:t>
      </w:r>
      <w:r w:rsidRPr="00312B6E">
        <w:rPr>
          <w:rFonts w:cs="Arial" w:hint="cs"/>
          <w:sz w:val="16"/>
          <w:szCs w:val="16"/>
          <w:rtl/>
        </w:rPr>
        <w:t>(</w:t>
      </w:r>
      <w:r w:rsidRPr="00312B6E">
        <w:rPr>
          <w:rFonts w:cs="Arial"/>
          <w:sz w:val="16"/>
          <w:szCs w:val="16"/>
          <w:rtl/>
        </w:rPr>
        <w:t>שם פ"ג סי' ז</w:t>
      </w:r>
      <w:r w:rsidRPr="00312B6E">
        <w:rPr>
          <w:rFonts w:cs="Arial" w:hint="cs"/>
          <w:sz w:val="16"/>
          <w:szCs w:val="16"/>
          <w:rtl/>
        </w:rPr>
        <w:t xml:space="preserve">) </w:t>
      </w:r>
      <w:r>
        <w:rPr>
          <w:rFonts w:cs="Arial" w:hint="cs"/>
          <w:rtl/>
        </w:rPr>
        <w:t xml:space="preserve">מסכים לדברי ר"ת. וכתב עוד הסמ"ע וז"ל- </w:t>
      </w:r>
      <w:r w:rsidRPr="00E4683B">
        <w:rPr>
          <w:rFonts w:cs="Arial"/>
          <w:rtl/>
        </w:rPr>
        <w:t>וראיתי נוהגין ממורי הוראה שלא רצו להטריח הת"ח ושלחו לו לכתוב עדותו בכתב ידו ולשלחו לב"ד. וכן נ</w:t>
      </w:r>
      <w:r>
        <w:rPr>
          <w:rFonts w:cs="Arial" w:hint="cs"/>
          <w:rtl/>
        </w:rPr>
        <w:t>ראה לי,</w:t>
      </w:r>
      <w:r w:rsidRPr="00E4683B">
        <w:rPr>
          <w:rFonts w:cs="Arial"/>
          <w:rtl/>
        </w:rPr>
        <w:t xml:space="preserve"> מאחר דלר"ת וסיעתו אפילו בלא ת"ח מותר לעשות כן</w:t>
      </w:r>
      <w:r>
        <w:rPr>
          <w:rFonts w:cs="Arial" w:hint="cs"/>
          <w:rtl/>
        </w:rPr>
        <w:t>.</w:t>
      </w:r>
    </w:p>
  </w:footnote>
  <w:footnote w:id="1454">
    <w:p w14:paraId="0BA4A0FB" w14:textId="77777777" w:rsidR="0013116F" w:rsidRDefault="0013116F" w:rsidP="004B607F">
      <w:pPr>
        <w:pStyle w:val="a9"/>
        <w:rPr>
          <w:rtl/>
        </w:rPr>
      </w:pPr>
      <w:r>
        <w:rPr>
          <w:rStyle w:val="ab"/>
        </w:rPr>
        <w:footnoteRef/>
      </w:r>
      <w:r>
        <w:rPr>
          <w:rtl/>
        </w:rPr>
        <w:t xml:space="preserve"> </w:t>
      </w:r>
      <w:r>
        <w:rPr>
          <w:rFonts w:hint="cs"/>
          <w:rtl/>
        </w:rPr>
        <w:t>כ"כ הטור בשמו, וכן הסכים הב"י</w:t>
      </w:r>
      <w:r>
        <w:rPr>
          <w:rFonts w:cs="Arial" w:hint="cs"/>
          <w:rtl/>
        </w:rPr>
        <w:t xml:space="preserve">. </w:t>
      </w:r>
      <w:r w:rsidRPr="00ED00A4">
        <w:rPr>
          <w:rFonts w:cs="Arial" w:hint="cs"/>
          <w:sz w:val="16"/>
          <w:szCs w:val="16"/>
          <w:rtl/>
        </w:rPr>
        <w:t>(</w:t>
      </w:r>
      <w:r w:rsidRPr="00ED00A4">
        <w:rPr>
          <w:rFonts w:cs="Arial"/>
          <w:sz w:val="16"/>
          <w:szCs w:val="16"/>
          <w:rtl/>
        </w:rPr>
        <w:t>ו</w:t>
      </w:r>
      <w:r>
        <w:rPr>
          <w:rFonts w:cs="Arial" w:hint="cs"/>
          <w:sz w:val="16"/>
          <w:szCs w:val="16"/>
          <w:rtl/>
        </w:rPr>
        <w:t xml:space="preserve">כתב הב"י- </w:t>
      </w:r>
      <w:r w:rsidRPr="00ED00A4">
        <w:rPr>
          <w:rFonts w:cs="Arial"/>
          <w:sz w:val="16"/>
          <w:szCs w:val="16"/>
          <w:rtl/>
        </w:rPr>
        <w:t xml:space="preserve">דע דבפ"ט מהלכות עדות (הי"א) להרמב"ם כתוב בנוסחאותינו </w:t>
      </w:r>
      <w:r w:rsidRPr="00ED00A4">
        <w:rPr>
          <w:rFonts w:cs="Arial" w:hint="cs"/>
          <w:sz w:val="16"/>
          <w:szCs w:val="16"/>
          <w:rtl/>
        </w:rPr>
        <w:t>'</w:t>
      </w:r>
      <w:r w:rsidRPr="00ED00A4">
        <w:rPr>
          <w:rFonts w:cs="Arial"/>
          <w:sz w:val="16"/>
          <w:szCs w:val="16"/>
          <w:rtl/>
        </w:rPr>
        <w:t>החרש כשוטה וכו' צריך להעיד בבית דין בפיו או שיהיה ראוי להעיד בפיו</w:t>
      </w:r>
      <w:r w:rsidRPr="00ED00A4">
        <w:rPr>
          <w:rFonts w:cs="Arial" w:hint="cs"/>
          <w:sz w:val="16"/>
          <w:szCs w:val="16"/>
          <w:rtl/>
        </w:rPr>
        <w:t>',</w:t>
      </w:r>
      <w:r w:rsidRPr="00ED00A4">
        <w:rPr>
          <w:rFonts w:cs="Arial"/>
          <w:sz w:val="16"/>
          <w:szCs w:val="16"/>
          <w:rtl/>
        </w:rPr>
        <w:t xml:space="preserve"> וא</w:t>
      </w:r>
      <w:r w:rsidRPr="00ED00A4">
        <w:rPr>
          <w:rFonts w:cs="Arial" w:hint="cs"/>
          <w:sz w:val="16"/>
          <w:szCs w:val="16"/>
          <w:rtl/>
        </w:rPr>
        <w:t>"</w:t>
      </w:r>
      <w:r w:rsidRPr="00ED00A4">
        <w:rPr>
          <w:rFonts w:cs="Arial"/>
          <w:sz w:val="16"/>
          <w:szCs w:val="16"/>
          <w:rtl/>
        </w:rPr>
        <w:t>כ ס</w:t>
      </w:r>
      <w:r w:rsidRPr="00ED00A4">
        <w:rPr>
          <w:rFonts w:cs="Arial" w:hint="cs"/>
          <w:sz w:val="16"/>
          <w:szCs w:val="16"/>
          <w:rtl/>
        </w:rPr>
        <w:t>"ל</w:t>
      </w:r>
      <w:r w:rsidRPr="00ED00A4">
        <w:rPr>
          <w:rFonts w:cs="Arial"/>
          <w:sz w:val="16"/>
          <w:szCs w:val="16"/>
          <w:rtl/>
        </w:rPr>
        <w:t xml:space="preserve"> דשולחין עדותן לב</w:t>
      </w:r>
      <w:r w:rsidRPr="00ED00A4">
        <w:rPr>
          <w:rFonts w:cs="Arial" w:hint="cs"/>
          <w:sz w:val="16"/>
          <w:szCs w:val="16"/>
          <w:rtl/>
        </w:rPr>
        <w:t>"</w:t>
      </w:r>
      <w:r w:rsidRPr="00ED00A4">
        <w:rPr>
          <w:rFonts w:cs="Arial"/>
          <w:sz w:val="16"/>
          <w:szCs w:val="16"/>
          <w:rtl/>
        </w:rPr>
        <w:t>ד</w:t>
      </w:r>
      <w:r w:rsidRPr="00ED00A4">
        <w:rPr>
          <w:rFonts w:cs="Arial" w:hint="cs"/>
          <w:sz w:val="16"/>
          <w:szCs w:val="16"/>
          <w:rtl/>
        </w:rPr>
        <w:t>,</w:t>
      </w:r>
      <w:r w:rsidRPr="00ED00A4">
        <w:rPr>
          <w:rFonts w:cs="Arial"/>
          <w:sz w:val="16"/>
          <w:szCs w:val="16"/>
          <w:rtl/>
        </w:rPr>
        <w:t xml:space="preserve"> אבל רבינו סימן ל"ה (סי"ב) כתב לשון הרמב"ם ולא כתב אלא </w:t>
      </w:r>
      <w:r w:rsidRPr="00ED00A4">
        <w:rPr>
          <w:rFonts w:cs="Arial" w:hint="cs"/>
          <w:sz w:val="16"/>
          <w:szCs w:val="16"/>
          <w:rtl/>
        </w:rPr>
        <w:t>'</w:t>
      </w:r>
      <w:r w:rsidRPr="00ED00A4">
        <w:rPr>
          <w:rFonts w:cs="Arial"/>
          <w:sz w:val="16"/>
          <w:szCs w:val="16"/>
          <w:rtl/>
        </w:rPr>
        <w:t>צריך להעיד בבית דין</w:t>
      </w:r>
      <w:r w:rsidRPr="00ED00A4">
        <w:rPr>
          <w:rFonts w:cs="Arial" w:hint="cs"/>
          <w:sz w:val="16"/>
          <w:szCs w:val="16"/>
          <w:rtl/>
        </w:rPr>
        <w:t>'</w:t>
      </w:r>
      <w:r w:rsidRPr="00ED00A4">
        <w:rPr>
          <w:rFonts w:cs="Arial"/>
          <w:sz w:val="16"/>
          <w:szCs w:val="16"/>
          <w:rtl/>
        </w:rPr>
        <w:t xml:space="preserve"> ואם כן הרי מפורש דס</w:t>
      </w:r>
      <w:r w:rsidRPr="00ED00A4">
        <w:rPr>
          <w:rFonts w:cs="Arial" w:hint="cs"/>
          <w:sz w:val="16"/>
          <w:szCs w:val="16"/>
          <w:rtl/>
        </w:rPr>
        <w:t>"</w:t>
      </w:r>
      <w:r w:rsidRPr="00ED00A4">
        <w:rPr>
          <w:rFonts w:cs="Arial"/>
          <w:sz w:val="16"/>
          <w:szCs w:val="16"/>
          <w:rtl/>
        </w:rPr>
        <w:t>ל דאין שולחין עדותן לב</w:t>
      </w:r>
      <w:r w:rsidRPr="00ED00A4">
        <w:rPr>
          <w:rFonts w:cs="Arial" w:hint="cs"/>
          <w:sz w:val="16"/>
          <w:szCs w:val="16"/>
          <w:rtl/>
        </w:rPr>
        <w:t>"</w:t>
      </w:r>
      <w:r w:rsidRPr="00ED00A4">
        <w:rPr>
          <w:rFonts w:cs="Arial"/>
          <w:sz w:val="16"/>
          <w:szCs w:val="16"/>
          <w:rtl/>
        </w:rPr>
        <w:t>ד</w:t>
      </w:r>
      <w:r w:rsidRPr="00ED00A4">
        <w:rPr>
          <w:rFonts w:cs="Arial" w:hint="cs"/>
          <w:sz w:val="16"/>
          <w:szCs w:val="16"/>
          <w:rtl/>
        </w:rPr>
        <w:t>,</w:t>
      </w:r>
      <w:r w:rsidRPr="00ED00A4">
        <w:rPr>
          <w:rFonts w:cs="Arial"/>
          <w:sz w:val="16"/>
          <w:szCs w:val="16"/>
          <w:rtl/>
        </w:rPr>
        <w:t xml:space="preserve"> והיא הגירסא הנכונה שהיא מסכמת עם מה שכתב בפ"ג</w:t>
      </w:r>
      <w:r>
        <w:rPr>
          <w:rFonts w:cs="Arial" w:hint="cs"/>
          <w:sz w:val="16"/>
          <w:szCs w:val="16"/>
          <w:rtl/>
        </w:rPr>
        <w:t>)</w:t>
      </w:r>
    </w:p>
  </w:footnote>
  <w:footnote w:id="1455">
    <w:p w14:paraId="45C06E43" w14:textId="77777777" w:rsidR="0013116F" w:rsidRDefault="0013116F" w:rsidP="004B607F">
      <w:pPr>
        <w:pStyle w:val="a9"/>
        <w:rPr>
          <w:rtl/>
        </w:rPr>
      </w:pPr>
      <w:r>
        <w:rPr>
          <w:rStyle w:val="ab"/>
        </w:rPr>
        <w:footnoteRef/>
      </w:r>
      <w:r>
        <w:rPr>
          <w:rtl/>
        </w:rPr>
        <w:t xml:space="preserve"> </w:t>
      </w:r>
      <w:r>
        <w:rPr>
          <w:rFonts w:cs="Arial" w:hint="cs"/>
          <w:rtl/>
        </w:rPr>
        <w:t>וכ"כ הרשב"א</w:t>
      </w:r>
      <w:r w:rsidRPr="00FB3387">
        <w:rPr>
          <w:rFonts w:cs="Arial"/>
          <w:rtl/>
        </w:rPr>
        <w:t xml:space="preserve"> </w:t>
      </w:r>
      <w:r w:rsidRPr="00893577">
        <w:rPr>
          <w:rFonts w:cs="Arial"/>
          <w:sz w:val="16"/>
          <w:szCs w:val="16"/>
          <w:rtl/>
        </w:rPr>
        <w:t>(ח"ג סי' מב</w:t>
      </w:r>
      <w:r w:rsidRPr="00893577">
        <w:rPr>
          <w:rFonts w:cs="Arial" w:hint="cs"/>
          <w:sz w:val="16"/>
          <w:szCs w:val="16"/>
          <w:rtl/>
        </w:rPr>
        <w:t>, הביאו הב"י בסי' סא</w:t>
      </w:r>
      <w:r w:rsidRPr="00893577">
        <w:rPr>
          <w:rFonts w:cs="Arial"/>
          <w:sz w:val="16"/>
          <w:szCs w:val="16"/>
          <w:rtl/>
        </w:rPr>
        <w:t>)</w:t>
      </w:r>
      <w:r>
        <w:rPr>
          <w:rFonts w:cs="Arial" w:hint="cs"/>
          <w:rtl/>
        </w:rPr>
        <w:t>, דרכ"מ</w:t>
      </w:r>
      <w:r>
        <w:rPr>
          <w:rFonts w:hint="cs"/>
          <w:rtl/>
        </w:rPr>
        <w:t xml:space="preserve"> (אות ז).</w:t>
      </w:r>
      <w:r w:rsidRPr="00893577">
        <w:rPr>
          <w:rFonts w:cs="Arial"/>
          <w:rtl/>
        </w:rPr>
        <w:t xml:space="preserve"> </w:t>
      </w:r>
      <w:r w:rsidRPr="00F64B08">
        <w:rPr>
          <w:rFonts w:cs="Arial"/>
          <w:rtl/>
        </w:rPr>
        <w:t>ו</w:t>
      </w:r>
      <w:r>
        <w:rPr>
          <w:rFonts w:cs="Arial" w:hint="cs"/>
          <w:rtl/>
        </w:rPr>
        <w:t>כתב עוד ב</w:t>
      </w:r>
      <w:r w:rsidRPr="00F64B08">
        <w:rPr>
          <w:rFonts w:cs="Arial"/>
          <w:rtl/>
        </w:rPr>
        <w:t>תשוב</w:t>
      </w:r>
      <w:r>
        <w:rPr>
          <w:rFonts w:cs="Arial" w:hint="cs"/>
          <w:rtl/>
        </w:rPr>
        <w:t>ה</w:t>
      </w:r>
      <w:r w:rsidRPr="00F64B08">
        <w:rPr>
          <w:rFonts w:cs="Arial"/>
          <w:rtl/>
        </w:rPr>
        <w:t xml:space="preserve"> </w:t>
      </w:r>
      <w:r>
        <w:rPr>
          <w:rFonts w:cs="Arial" w:hint="cs"/>
          <w:rtl/>
        </w:rPr>
        <w:t>(</w:t>
      </w:r>
      <w:r w:rsidRPr="00F64B08">
        <w:rPr>
          <w:rFonts w:cs="Arial"/>
          <w:rtl/>
        </w:rPr>
        <w:t>סי</w:t>
      </w:r>
      <w:r>
        <w:rPr>
          <w:rFonts w:cs="Arial" w:hint="cs"/>
          <w:rtl/>
        </w:rPr>
        <w:t>'</w:t>
      </w:r>
      <w:r w:rsidRPr="00F64B08">
        <w:rPr>
          <w:rFonts w:cs="Arial"/>
          <w:rtl/>
        </w:rPr>
        <w:t xml:space="preserve"> אלף רט</w:t>
      </w:r>
      <w:r>
        <w:rPr>
          <w:rFonts w:cs="Arial" w:hint="cs"/>
          <w:rtl/>
        </w:rPr>
        <w:t>)</w:t>
      </w:r>
      <w:r w:rsidRPr="00F64B08">
        <w:rPr>
          <w:rFonts w:cs="Arial"/>
          <w:rtl/>
        </w:rPr>
        <w:t xml:space="preserve"> דכל שטר שלא ניתן להכתב ואיכא למימר שהעדים טעו וכתבו שטר שלא כדין אין דנין על פי אותו שטר דהוי מפי כתבם אלא צריכים להעיד עדותן על פה</w:t>
      </w:r>
      <w:r>
        <w:rPr>
          <w:rFonts w:cs="Arial" w:hint="cs"/>
          <w:rtl/>
        </w:rPr>
        <w:t>,</w:t>
      </w:r>
      <w:r w:rsidRPr="00F64B08">
        <w:rPr>
          <w:rFonts w:cs="Arial"/>
          <w:rtl/>
        </w:rPr>
        <w:t xml:space="preserve"> וכ"כ שם סימן אלף רי"א ועיין שם</w:t>
      </w:r>
      <w:r>
        <w:rPr>
          <w:rFonts w:cs="Arial" w:hint="cs"/>
          <w:rtl/>
        </w:rPr>
        <w:t>,</w:t>
      </w:r>
      <w:r w:rsidRPr="00F64B08">
        <w:rPr>
          <w:rFonts w:cs="Arial"/>
          <w:rtl/>
        </w:rPr>
        <w:t xml:space="preserve"> ועיין לקמן סימן ל"ט (דמה"א ס"ג - ד)</w:t>
      </w:r>
      <w:r>
        <w:rPr>
          <w:rFonts w:hint="cs"/>
          <w:rtl/>
        </w:rPr>
        <w:t>, דרכ"מ (אות ח).</w:t>
      </w:r>
    </w:p>
  </w:footnote>
  <w:footnote w:id="1456">
    <w:p w14:paraId="0252D935" w14:textId="77777777" w:rsidR="0013116F" w:rsidRDefault="0013116F" w:rsidP="004B607F">
      <w:pPr>
        <w:pStyle w:val="a9"/>
      </w:pPr>
      <w:r>
        <w:rPr>
          <w:rStyle w:val="ab"/>
        </w:rPr>
        <w:footnoteRef/>
      </w:r>
      <w:r>
        <w:rPr>
          <w:rtl/>
        </w:rPr>
        <w:t xml:space="preserve"> </w:t>
      </w:r>
      <w:r>
        <w:rPr>
          <w:rFonts w:cs="Arial" w:hint="cs"/>
          <w:rtl/>
        </w:rPr>
        <w:t>ה</w:t>
      </w:r>
      <w:r>
        <w:rPr>
          <w:rFonts w:cs="Arial"/>
          <w:rtl/>
        </w:rPr>
        <w:t>תוס</w:t>
      </w:r>
      <w:r>
        <w:rPr>
          <w:rFonts w:cs="Arial" w:hint="cs"/>
          <w:rtl/>
        </w:rPr>
        <w:t>'</w:t>
      </w:r>
      <w:r>
        <w:rPr>
          <w:rFonts w:cs="Arial"/>
          <w:rtl/>
        </w:rPr>
        <w:t xml:space="preserve"> (ד"ה ר' יוחנן</w:t>
      </w:r>
      <w:r>
        <w:rPr>
          <w:rFonts w:cs="Arial" w:hint="cs"/>
          <w:rtl/>
        </w:rPr>
        <w:t>, הביאו הב"י</w:t>
      </w:r>
      <w:r>
        <w:rPr>
          <w:rFonts w:cs="Arial"/>
          <w:rtl/>
        </w:rPr>
        <w:t>)</w:t>
      </w:r>
      <w:r>
        <w:rPr>
          <w:rFonts w:cs="Arial" w:hint="cs"/>
          <w:rtl/>
        </w:rPr>
        <w:t xml:space="preserve"> הקשו</w:t>
      </w:r>
      <w:r>
        <w:rPr>
          <w:rFonts w:cs="Arial"/>
          <w:rtl/>
        </w:rPr>
        <w:t xml:space="preserve"> דאפילו אינו זוכרה מה בכך</w:t>
      </w:r>
      <w:r>
        <w:rPr>
          <w:rFonts w:cs="Arial" w:hint="cs"/>
          <w:rtl/>
        </w:rPr>
        <w:t>?</w:t>
      </w:r>
      <w:r>
        <w:rPr>
          <w:rFonts w:cs="Arial"/>
          <w:rtl/>
        </w:rPr>
        <w:t xml:space="preserve"> יביא שטרו בבית דין</w:t>
      </w:r>
      <w:r>
        <w:rPr>
          <w:rFonts w:cs="Arial" w:hint="cs"/>
          <w:rtl/>
        </w:rPr>
        <w:t>!</w:t>
      </w:r>
      <w:r>
        <w:rPr>
          <w:rFonts w:cs="Arial"/>
          <w:rtl/>
        </w:rPr>
        <w:t xml:space="preserve"> ותירץ ר"י דלא חשיב שטר אלא כשעשוי מדעת שניהם אבל הכא שכותב עדותו שלא מדעת הלוה לא חשיב שטר</w:t>
      </w:r>
      <w:r>
        <w:rPr>
          <w:rFonts w:cs="Arial" w:hint="cs"/>
          <w:rtl/>
        </w:rPr>
        <w:t>,</w:t>
      </w:r>
      <w:r>
        <w:rPr>
          <w:rFonts w:cs="Arial"/>
          <w:rtl/>
        </w:rPr>
        <w:t xml:space="preserve"> אי נמי אפילו לא בעינן דעת שניהם הכא במאי עסקינן בשאינו כתוב כסדר השטר אלא זכרון דברים בעלמא</w:t>
      </w:r>
      <w:r>
        <w:rPr>
          <w:rFonts w:cs="Arial" w:hint="cs"/>
          <w:rtl/>
        </w:rPr>
        <w:t xml:space="preserve">. וכתב הדרכ"מ </w:t>
      </w:r>
      <w:r w:rsidRPr="00F64B08">
        <w:rPr>
          <w:rFonts w:cs="Arial"/>
          <w:rtl/>
        </w:rPr>
        <w:t>(</w:t>
      </w:r>
      <w:r>
        <w:rPr>
          <w:rFonts w:cs="Arial" w:hint="cs"/>
          <w:rtl/>
        </w:rPr>
        <w:t xml:space="preserve">אות </w:t>
      </w:r>
      <w:r w:rsidRPr="00F64B08">
        <w:rPr>
          <w:rFonts w:cs="Arial"/>
          <w:rtl/>
        </w:rPr>
        <w:t xml:space="preserve">ח) </w:t>
      </w:r>
      <w:r>
        <w:rPr>
          <w:rFonts w:cs="Arial" w:hint="cs"/>
          <w:rtl/>
        </w:rPr>
        <w:t>ד</w:t>
      </w:r>
      <w:r w:rsidRPr="00F64B08">
        <w:rPr>
          <w:rFonts w:cs="Arial"/>
          <w:rtl/>
        </w:rPr>
        <w:t>משמע</w:t>
      </w:r>
      <w:r>
        <w:rPr>
          <w:rFonts w:cs="Arial" w:hint="cs"/>
          <w:rtl/>
        </w:rPr>
        <w:t>-...</w:t>
      </w:r>
    </w:p>
  </w:footnote>
  <w:footnote w:id="1457">
    <w:p w14:paraId="3F638A10" w14:textId="77777777" w:rsidR="0013116F" w:rsidRDefault="0013116F" w:rsidP="004B607F">
      <w:pPr>
        <w:pStyle w:val="a9"/>
        <w:rPr>
          <w:rtl/>
        </w:rPr>
      </w:pPr>
      <w:r>
        <w:rPr>
          <w:rStyle w:val="ab"/>
        </w:rPr>
        <w:footnoteRef/>
      </w:r>
      <w:r>
        <w:rPr>
          <w:rtl/>
        </w:rPr>
        <w:t xml:space="preserve"> </w:t>
      </w:r>
      <w:r w:rsidRPr="00F64B08">
        <w:rPr>
          <w:rFonts w:cs="Arial"/>
          <w:rtl/>
        </w:rPr>
        <w:t>ודלא כדברי הריב"ש.</w:t>
      </w:r>
      <w:r w:rsidRPr="00893577">
        <w:rPr>
          <w:rFonts w:cs="Arial"/>
          <w:rtl/>
        </w:rPr>
        <w:t xml:space="preserve"> </w:t>
      </w:r>
      <w:r w:rsidRPr="00FB3387">
        <w:rPr>
          <w:rFonts w:cs="Arial"/>
          <w:rtl/>
        </w:rPr>
        <w:t>וכ</w:t>
      </w:r>
      <w:r>
        <w:rPr>
          <w:rFonts w:cs="Arial" w:hint="cs"/>
          <w:rtl/>
        </w:rPr>
        <w:t>"ה</w:t>
      </w:r>
      <w:r w:rsidRPr="00FB3387">
        <w:rPr>
          <w:rFonts w:cs="Arial"/>
          <w:rtl/>
        </w:rPr>
        <w:t xml:space="preserve"> לקמן סי</w:t>
      </w:r>
      <w:r>
        <w:rPr>
          <w:rFonts w:cs="Arial" w:hint="cs"/>
          <w:rtl/>
        </w:rPr>
        <w:t>'</w:t>
      </w:r>
      <w:r w:rsidRPr="00FB3387">
        <w:rPr>
          <w:rFonts w:cs="Arial"/>
          <w:rtl/>
        </w:rPr>
        <w:t xml:space="preserve"> ס"א </w:t>
      </w:r>
      <w:r w:rsidRPr="00893577">
        <w:rPr>
          <w:rFonts w:cs="Arial"/>
          <w:sz w:val="16"/>
          <w:szCs w:val="16"/>
          <w:rtl/>
        </w:rPr>
        <w:t xml:space="preserve">(ס"ג) </w:t>
      </w:r>
      <w:r w:rsidRPr="00FB3387">
        <w:rPr>
          <w:rFonts w:cs="Arial"/>
          <w:rtl/>
        </w:rPr>
        <w:t>תשו</w:t>
      </w:r>
      <w:r>
        <w:rPr>
          <w:rFonts w:cs="Arial" w:hint="cs"/>
          <w:rtl/>
        </w:rPr>
        <w:t>'</w:t>
      </w:r>
      <w:r w:rsidRPr="00FB3387">
        <w:rPr>
          <w:rFonts w:cs="Arial"/>
          <w:rtl/>
        </w:rPr>
        <w:t xml:space="preserve"> הרא"ש </w:t>
      </w:r>
      <w:r w:rsidRPr="00893577">
        <w:rPr>
          <w:rFonts w:cs="Arial"/>
          <w:sz w:val="16"/>
          <w:szCs w:val="16"/>
          <w:rtl/>
        </w:rPr>
        <w:t xml:space="preserve">(כלל סח סי' ה) </w:t>
      </w:r>
      <w:r w:rsidRPr="00FB3387">
        <w:rPr>
          <w:rFonts w:cs="Arial"/>
          <w:rtl/>
        </w:rPr>
        <w:t>שלא כדברי הריב"ש</w:t>
      </w:r>
      <w:r>
        <w:rPr>
          <w:rFonts w:cs="Arial" w:hint="cs"/>
          <w:rtl/>
        </w:rPr>
        <w:t>.</w:t>
      </w:r>
      <w:r w:rsidRPr="00F64B08">
        <w:rPr>
          <w:rFonts w:cs="Arial"/>
          <w:rtl/>
        </w:rPr>
        <w:t xml:space="preserve"> ונראה דר"י לטעמיה אזיל דס</w:t>
      </w:r>
      <w:r>
        <w:rPr>
          <w:rFonts w:cs="Arial" w:hint="cs"/>
          <w:rtl/>
        </w:rPr>
        <w:t>"</w:t>
      </w:r>
      <w:r w:rsidRPr="00F64B08">
        <w:rPr>
          <w:rFonts w:cs="Arial"/>
          <w:rtl/>
        </w:rPr>
        <w:t>ל כר</w:t>
      </w:r>
      <w:r>
        <w:rPr>
          <w:rFonts w:cs="Arial" w:hint="cs"/>
          <w:rtl/>
        </w:rPr>
        <w:t>"</w:t>
      </w:r>
      <w:r w:rsidRPr="00F64B08">
        <w:rPr>
          <w:rFonts w:cs="Arial"/>
          <w:rtl/>
        </w:rPr>
        <w:t>ת דמותר להעיד מפי כתב ולכן אי הוי כסדר השטר הוי כשר ומעידין</w:t>
      </w:r>
      <w:r>
        <w:rPr>
          <w:rFonts w:cs="Arial" w:hint="cs"/>
          <w:rtl/>
        </w:rPr>
        <w:t>.</w:t>
      </w:r>
      <w:r w:rsidRPr="00F64B08">
        <w:rPr>
          <w:rFonts w:cs="Arial"/>
          <w:rtl/>
        </w:rPr>
        <w:t xml:space="preserve"> אבל ריב"ש כתב לסברת הרמב"ם ורש"י דסבירא להו דאפילו כתב פסול דבעינן מפיהם ולא מפי כתבם ולכן אפילו נכתב כסדר השטר פסול כל זמן שלא נכתב לשם שטר ממש</w:t>
      </w:r>
      <w:r>
        <w:rPr>
          <w:rFonts w:cs="Arial" w:hint="cs"/>
          <w:rtl/>
        </w:rPr>
        <w:t>,</w:t>
      </w:r>
      <w:r w:rsidRPr="00893577">
        <w:rPr>
          <w:rFonts w:cs="Arial" w:hint="cs"/>
          <w:rtl/>
        </w:rPr>
        <w:t xml:space="preserve"> </w:t>
      </w:r>
      <w:r>
        <w:rPr>
          <w:rFonts w:cs="Arial" w:hint="cs"/>
          <w:rtl/>
        </w:rPr>
        <w:t xml:space="preserve">דרכ"מ </w:t>
      </w:r>
      <w:r w:rsidRPr="00893577">
        <w:rPr>
          <w:rFonts w:cs="Arial"/>
          <w:sz w:val="16"/>
          <w:szCs w:val="16"/>
          <w:rtl/>
        </w:rPr>
        <w:t>(</w:t>
      </w:r>
      <w:r w:rsidRPr="00893577">
        <w:rPr>
          <w:rFonts w:cs="Arial" w:hint="cs"/>
          <w:sz w:val="16"/>
          <w:szCs w:val="16"/>
          <w:rtl/>
        </w:rPr>
        <w:t>אות ז-</w:t>
      </w:r>
      <w:r w:rsidRPr="00893577">
        <w:rPr>
          <w:rFonts w:cs="Arial"/>
          <w:sz w:val="16"/>
          <w:szCs w:val="16"/>
          <w:rtl/>
        </w:rPr>
        <w:t>ח)</w:t>
      </w:r>
      <w:r w:rsidRPr="00F64B08">
        <w:rPr>
          <w:rFonts w:cs="Arial"/>
          <w:rtl/>
        </w:rPr>
        <w:t xml:space="preserve">. </w:t>
      </w:r>
      <w:r w:rsidRPr="0074101A">
        <w:rPr>
          <w:rFonts w:hint="cs"/>
          <w:color w:val="FF0000"/>
          <w:rtl/>
        </w:rPr>
        <w:t>לא הבנתי למה סיים כך הדרכ"מ דהרי יש לומר שיש הבדל בין עדות לשטר, ואולי גם רש"י יודה למקרה הנ"ל משום דהוי כשטר, וכמו שנחקרה עדותן דמי, ומה שאמר לפני כן שאינו יכול לשלוח לב"ד - היינו שאינו יכול לשלוח עדותו דוקא. וצל"ע.</w:t>
      </w:r>
    </w:p>
  </w:footnote>
  <w:footnote w:id="1458">
    <w:p w14:paraId="68B4706A" w14:textId="77777777" w:rsidR="0013116F" w:rsidRDefault="0013116F" w:rsidP="004B607F">
      <w:pPr>
        <w:pStyle w:val="a9"/>
        <w:rPr>
          <w:rtl/>
        </w:rPr>
      </w:pPr>
      <w:r>
        <w:rPr>
          <w:rStyle w:val="ab"/>
        </w:rPr>
        <w:footnoteRef/>
      </w:r>
      <w:r>
        <w:rPr>
          <w:rtl/>
        </w:rPr>
        <w:t xml:space="preserve"> </w:t>
      </w:r>
      <w:r>
        <w:rPr>
          <w:rFonts w:hint="cs"/>
          <w:rtl/>
        </w:rPr>
        <w:t xml:space="preserve">סימן </w:t>
      </w:r>
      <w:r>
        <w:rPr>
          <w:rtl/>
        </w:rPr>
        <w:t>–</w:t>
      </w:r>
      <w:r>
        <w:rPr>
          <w:rFonts w:hint="cs"/>
          <w:rtl/>
        </w:rPr>
        <w:t xml:space="preserve"> וויטנס בסולו.</w:t>
      </w:r>
    </w:p>
  </w:footnote>
  <w:footnote w:id="1459">
    <w:p w14:paraId="6D4972DD" w14:textId="77777777" w:rsidR="0013116F" w:rsidRDefault="0013116F" w:rsidP="004B607F">
      <w:pPr>
        <w:pStyle w:val="a9"/>
        <w:rPr>
          <w:rtl/>
        </w:rPr>
      </w:pPr>
      <w:r>
        <w:rPr>
          <w:rStyle w:val="ab"/>
        </w:rPr>
        <w:footnoteRef/>
      </w:r>
      <w:r>
        <w:rPr>
          <w:rtl/>
        </w:rPr>
        <w:t xml:space="preserve"> </w:t>
      </w:r>
      <w:r w:rsidRPr="00F357EA">
        <w:rPr>
          <w:rFonts w:cs="Arial"/>
          <w:rtl/>
        </w:rPr>
        <w:t>תרגום של והפשיט ושלח (ויקרא א)</w:t>
      </w:r>
      <w:r>
        <w:rPr>
          <w:rFonts w:cs="Arial" w:hint="cs"/>
          <w:rtl/>
        </w:rPr>
        <w:t>,</w:t>
      </w:r>
      <w:r w:rsidRPr="00F357EA">
        <w:rPr>
          <w:rFonts w:cs="Arial"/>
          <w:rtl/>
        </w:rPr>
        <w:t xml:space="preserve"> מכאן יש להוכיח דכל דבר שיכול להתברר עד א' נאמן עליו ואפילו עד א' מכחישו</w:t>
      </w:r>
      <w:r>
        <w:rPr>
          <w:rFonts w:cs="Arial" w:hint="cs"/>
          <w:rtl/>
        </w:rPr>
        <w:t>, תוס'</w:t>
      </w:r>
      <w:r w:rsidRPr="00F357EA">
        <w:rPr>
          <w:rFonts w:cs="Arial"/>
          <w:rtl/>
        </w:rPr>
        <w:t>.</w:t>
      </w:r>
    </w:p>
  </w:footnote>
  <w:footnote w:id="1460">
    <w:p w14:paraId="35C878C1" w14:textId="77777777" w:rsidR="0013116F" w:rsidRDefault="0013116F" w:rsidP="004B607F">
      <w:pPr>
        <w:pStyle w:val="a9"/>
      </w:pPr>
      <w:r>
        <w:rPr>
          <w:rStyle w:val="ab"/>
        </w:rPr>
        <w:footnoteRef/>
      </w:r>
      <w:r>
        <w:rPr>
          <w:rtl/>
        </w:rPr>
        <w:t xml:space="preserve"> </w:t>
      </w:r>
      <w:r w:rsidRPr="008E1D75">
        <w:rPr>
          <w:rFonts w:cs="Arial"/>
          <w:rtl/>
        </w:rPr>
        <w:t>והכי אמרי דאין סומכים על החזקות היכא דאפשר להתברר</w:t>
      </w:r>
      <w:r>
        <w:rPr>
          <w:rFonts w:hint="cs"/>
          <w:rtl/>
        </w:rPr>
        <w:t xml:space="preserve">, מהרי"ט </w:t>
      </w:r>
      <w:r w:rsidRPr="0034036B">
        <w:rPr>
          <w:rFonts w:hint="cs"/>
          <w:sz w:val="16"/>
          <w:szCs w:val="16"/>
          <w:rtl/>
        </w:rPr>
        <w:t>(בחידו' קידושין סה. ד"ה שלח ואחוי)</w:t>
      </w:r>
      <w:r>
        <w:rPr>
          <w:rFonts w:hint="cs"/>
          <w:rtl/>
        </w:rPr>
        <w:t xml:space="preserve">. דהא דנאמן עליו היינו להשהות את המצב הקודם, וכמו במשנה שר"ע מטמא כל הטהרות שנעשו על גבי אותו המקוה, ואם רצונך לטהר את הטהרות </w:t>
      </w:r>
      <w:r>
        <w:rPr>
          <w:rtl/>
        </w:rPr>
        <w:t>–</w:t>
      </w:r>
      <w:r>
        <w:rPr>
          <w:rFonts w:hint="cs"/>
          <w:rtl/>
        </w:rPr>
        <w:t xml:space="preserve"> תברר דבריך בעדים כיון דאיכא לברורי בקלות. וכ"כ הב"י בשו"ת אבקת רוכל </w:t>
      </w:r>
      <w:r w:rsidRPr="00C22F5E">
        <w:rPr>
          <w:rFonts w:hint="cs"/>
          <w:sz w:val="16"/>
          <w:szCs w:val="16"/>
          <w:rtl/>
        </w:rPr>
        <w:t>(סי' קפא, וז"ל-</w:t>
      </w:r>
      <w:r w:rsidRPr="00C22F5E">
        <w:rPr>
          <w:sz w:val="16"/>
          <w:szCs w:val="16"/>
          <w:rtl/>
        </w:rPr>
        <w:t xml:space="preserve"> </w:t>
      </w:r>
      <w:r w:rsidRPr="00C22F5E">
        <w:rPr>
          <w:rFonts w:cs="Arial"/>
          <w:sz w:val="16"/>
          <w:szCs w:val="16"/>
          <w:rtl/>
        </w:rPr>
        <w:t>אפי' אם לא היה מעיד אלא עד אחד שהיתה השבועה קיימת היה נאמן למונעו מלעשות מעשה עד עד יביא עדיו</w:t>
      </w:r>
      <w:r w:rsidRPr="00C22F5E">
        <w:rPr>
          <w:rFonts w:cs="Arial" w:hint="cs"/>
          <w:sz w:val="16"/>
          <w:szCs w:val="16"/>
          <w:rtl/>
        </w:rPr>
        <w:t>)</w:t>
      </w:r>
      <w:r w:rsidRPr="0034036B">
        <w:rPr>
          <w:rFonts w:cs="Arial"/>
          <w:rtl/>
        </w:rPr>
        <w:t>.</w:t>
      </w:r>
      <w:r>
        <w:rPr>
          <w:rFonts w:cs="Arial" w:hint="cs"/>
          <w:rtl/>
        </w:rPr>
        <w:t xml:space="preserve"> </w:t>
      </w:r>
      <w:r w:rsidRPr="0034036B">
        <w:rPr>
          <w:rFonts w:cs="Arial" w:hint="cs"/>
          <w:color w:val="00B0F0"/>
          <w:rtl/>
        </w:rPr>
        <w:t>וכ"</w:t>
      </w:r>
      <w:r>
        <w:rPr>
          <w:rFonts w:cs="Arial" w:hint="cs"/>
          <w:color w:val="00B0F0"/>
          <w:rtl/>
        </w:rPr>
        <w:t>כ</w:t>
      </w:r>
      <w:r w:rsidRPr="0034036B">
        <w:rPr>
          <w:rFonts w:cs="Arial" w:hint="cs"/>
          <w:color w:val="00B0F0"/>
          <w:rtl/>
        </w:rPr>
        <w:t xml:space="preserve"> הרמ"א</w:t>
      </w:r>
      <w:r>
        <w:rPr>
          <w:rFonts w:cs="Arial" w:hint="cs"/>
          <w:rtl/>
        </w:rPr>
        <w:t xml:space="preserve"> </w:t>
      </w:r>
      <w:r w:rsidRPr="00C22F5E">
        <w:rPr>
          <w:rFonts w:cs="Arial" w:hint="cs"/>
          <w:sz w:val="16"/>
          <w:szCs w:val="16"/>
          <w:rtl/>
        </w:rPr>
        <w:t xml:space="preserve">(ביו"ד סי' קכז ס"ג) </w:t>
      </w:r>
      <w:r>
        <w:rPr>
          <w:rFonts w:cs="Arial" w:hint="cs"/>
          <w:rtl/>
        </w:rPr>
        <w:t>וז"ל- יש אומרים דב</w:t>
      </w:r>
      <w:r w:rsidRPr="0034036B">
        <w:rPr>
          <w:rFonts w:cs="Arial"/>
          <w:rtl/>
        </w:rPr>
        <w:t xml:space="preserve">דבר דאיכא לברורי, כגון שאמר לו אחד: בא ואראך </w:t>
      </w:r>
      <w:r>
        <w:rPr>
          <w:rFonts w:cs="Arial" w:hint="cs"/>
          <w:rtl/>
        </w:rPr>
        <w:t>גוי</w:t>
      </w:r>
      <w:r w:rsidRPr="0034036B">
        <w:rPr>
          <w:rFonts w:cs="Arial"/>
          <w:rtl/>
        </w:rPr>
        <w:t xml:space="preserve"> מנסך יינך, צריך לחוש לדבריו</w:t>
      </w:r>
      <w:r>
        <w:rPr>
          <w:rFonts w:cs="Arial" w:hint="cs"/>
          <w:rtl/>
        </w:rPr>
        <w:t xml:space="preserve">. עכ"ל. </w:t>
      </w:r>
      <w:r w:rsidRPr="00D86197">
        <w:rPr>
          <w:rFonts w:cs="Arial" w:hint="cs"/>
          <w:sz w:val="16"/>
          <w:szCs w:val="16"/>
          <w:rtl/>
        </w:rPr>
        <w:t>(ועיי"ש בש"ך (סקכ"ד) דהקשה עליו ד</w:t>
      </w:r>
      <w:r w:rsidRPr="00D86197">
        <w:rPr>
          <w:rFonts w:cs="Arial"/>
          <w:sz w:val="16"/>
          <w:szCs w:val="16"/>
          <w:rtl/>
        </w:rPr>
        <w:t>לא ה</w:t>
      </w:r>
      <w:r w:rsidRPr="00D86197">
        <w:rPr>
          <w:rFonts w:cs="Arial" w:hint="cs"/>
          <w:sz w:val="16"/>
          <w:szCs w:val="16"/>
          <w:rtl/>
        </w:rPr>
        <w:t>ו</w:t>
      </w:r>
      <w:r w:rsidRPr="00D86197">
        <w:rPr>
          <w:rFonts w:cs="Arial"/>
          <w:sz w:val="16"/>
          <w:szCs w:val="16"/>
          <w:rtl/>
        </w:rPr>
        <w:t>"ל להרב לכתוב כן בלשון י"א</w:t>
      </w:r>
      <w:r w:rsidRPr="00D86197">
        <w:rPr>
          <w:rFonts w:cs="Arial" w:hint="cs"/>
          <w:sz w:val="16"/>
          <w:szCs w:val="16"/>
          <w:rtl/>
        </w:rPr>
        <w:t>,</w:t>
      </w:r>
      <w:r w:rsidRPr="00D86197">
        <w:rPr>
          <w:rFonts w:cs="Arial"/>
          <w:sz w:val="16"/>
          <w:szCs w:val="16"/>
          <w:rtl/>
        </w:rPr>
        <w:t xml:space="preserve"> דש"ס ערוך הוא בקדושין </w:t>
      </w:r>
      <w:r w:rsidRPr="00D86197">
        <w:rPr>
          <w:rFonts w:cs="Arial" w:hint="cs"/>
          <w:sz w:val="16"/>
          <w:szCs w:val="16"/>
          <w:rtl/>
        </w:rPr>
        <w:t>הנ"ל</w:t>
      </w:r>
      <w:r>
        <w:rPr>
          <w:rFonts w:cs="Arial" w:hint="cs"/>
          <w:sz w:val="16"/>
          <w:szCs w:val="16"/>
          <w:rtl/>
        </w:rPr>
        <w:t>)</w:t>
      </w:r>
    </w:p>
  </w:footnote>
  <w:footnote w:id="1461">
    <w:p w14:paraId="66CD5050" w14:textId="77777777" w:rsidR="0013116F" w:rsidRDefault="0013116F" w:rsidP="004B607F">
      <w:pPr>
        <w:pStyle w:val="a9"/>
      </w:pPr>
      <w:r>
        <w:rPr>
          <w:rStyle w:val="ab"/>
        </w:rPr>
        <w:footnoteRef/>
      </w:r>
      <w:r>
        <w:rPr>
          <w:rtl/>
        </w:rPr>
        <w:t xml:space="preserve"> </w:t>
      </w:r>
      <w:r>
        <w:rPr>
          <w:rFonts w:cs="Arial" w:hint="cs"/>
          <w:rtl/>
        </w:rPr>
        <w:t>וכתב הש"ך (סקי"ד) ד</w:t>
      </w:r>
      <w:r w:rsidRPr="00752FC1">
        <w:rPr>
          <w:rFonts w:cs="Arial"/>
          <w:rtl/>
        </w:rPr>
        <w:t>לא נהירא</w:t>
      </w:r>
      <w:r>
        <w:rPr>
          <w:rFonts w:cs="Arial" w:hint="cs"/>
          <w:rtl/>
        </w:rPr>
        <w:t>,</w:t>
      </w:r>
      <w:r w:rsidRPr="00752FC1">
        <w:rPr>
          <w:rFonts w:cs="Arial"/>
          <w:rtl/>
        </w:rPr>
        <w:t xml:space="preserve"> דבכמה דוכתי בש"ס מוכח דעדות שבשטר דאורייתא היא</w:t>
      </w:r>
      <w:r>
        <w:rPr>
          <w:rFonts w:cs="Arial" w:hint="cs"/>
          <w:rtl/>
        </w:rPr>
        <w:t>,</w:t>
      </w:r>
      <w:r w:rsidRPr="00752FC1">
        <w:rPr>
          <w:rFonts w:cs="Arial"/>
          <w:rtl/>
        </w:rPr>
        <w:t xml:space="preserve"> ומחייבים דיני נפשות וקנסות וגיטין ע"פ עדות שבשטר</w:t>
      </w:r>
      <w:r>
        <w:rPr>
          <w:rFonts w:cs="Arial" w:hint="cs"/>
          <w:rtl/>
        </w:rPr>
        <w:t xml:space="preserve"> </w:t>
      </w:r>
      <w:r w:rsidRPr="00F44BCC">
        <w:rPr>
          <w:rFonts w:cs="Arial" w:hint="cs"/>
          <w:sz w:val="16"/>
          <w:szCs w:val="16"/>
          <w:rtl/>
        </w:rPr>
        <w:t>{וכ"ש דיני ממונות}</w:t>
      </w:r>
      <w:r w:rsidRPr="00752FC1">
        <w:rPr>
          <w:rFonts w:cs="Arial"/>
          <w:rtl/>
        </w:rPr>
        <w:t>. גם בכסף משנה הביא שהרשב"ץ הקשה על הרמב"ם</w:t>
      </w:r>
      <w:r>
        <w:rPr>
          <w:rFonts w:cs="Arial" w:hint="cs"/>
          <w:rtl/>
        </w:rPr>
        <w:t xml:space="preserve">... </w:t>
      </w:r>
      <w:r w:rsidRPr="00752FC1">
        <w:rPr>
          <w:rFonts w:cs="Arial"/>
          <w:rtl/>
        </w:rPr>
        <w:t>וכבר האריך בזה הרמב"ן בספר ההשגות שלו שהשיג על הרמב"ם במנין המצות בסוף עיקר השני דף י' סוף ע"ד, וכתב שכבר השיגו על הרמב"ם כל חכמי הדורות בזה תשובות גמורות וראיות ברורות, ע"ש באריכות.</w:t>
      </w:r>
    </w:p>
  </w:footnote>
  <w:footnote w:id="1462">
    <w:p w14:paraId="6D8F02D9" w14:textId="77777777" w:rsidR="0013116F" w:rsidRDefault="0013116F" w:rsidP="004B607F">
      <w:pPr>
        <w:pStyle w:val="a9"/>
      </w:pPr>
      <w:r>
        <w:rPr>
          <w:rStyle w:val="ab"/>
        </w:rPr>
        <w:footnoteRef/>
      </w:r>
      <w:r>
        <w:rPr>
          <w:rtl/>
        </w:rPr>
        <w:t xml:space="preserve"> </w:t>
      </w:r>
      <w:r w:rsidRPr="00031934">
        <w:rPr>
          <w:rFonts w:cs="Arial"/>
          <w:rtl/>
        </w:rPr>
        <w:t>וההיא דפרק מי שאחזו לא איירי בשטר הנמסר ליד בעל המעשה אלא בעדים שכותבין עדותן על הנייר ושולחין לב"ד דומיא דמייתי התם דהגדה מתוך הכתב לאו שמה הגדה אבל שטר ממון הכתוב וחתום בעדים ומסרוהו ליד בעל הדבר הוי כעדות בפה מההיא דפרק ד' אחין שטר קדושין אי מנחיא ליה גבי דידיה ודידה דלא מקרי מפי כתבם ודוקא בשטר קדושין שהאשה נקנית בו וניתן ליכתב דמקשינן הויה ליציאה אבל שטר ראיה על קדושי כסף לא ניתן ליכתב דרחמנא אמר מפיהם ולא מפי כתבם</w:t>
      </w:r>
      <w:r>
        <w:rPr>
          <w:rFonts w:cs="Arial" w:hint="cs"/>
          <w:rtl/>
        </w:rPr>
        <w:t>.</w:t>
      </w:r>
      <w:r w:rsidRPr="00031934">
        <w:rPr>
          <w:rFonts w:cs="Arial"/>
          <w:rtl/>
        </w:rPr>
        <w:t xml:space="preserve"> ושלום אביגדור הכהן</w:t>
      </w:r>
      <w:r>
        <w:rPr>
          <w:rFonts w:cs="Arial" w:hint="cs"/>
          <w:sz w:val="16"/>
          <w:szCs w:val="16"/>
          <w:rtl/>
        </w:rPr>
        <w:t xml:space="preserve"> (עכ"ל ההגמ"ר)</w:t>
      </w:r>
      <w:r w:rsidRPr="00031934">
        <w:rPr>
          <w:rFonts w:cs="Arial"/>
          <w:rtl/>
        </w:rPr>
        <w:t>.</w:t>
      </w:r>
    </w:p>
  </w:footnote>
  <w:footnote w:id="1463">
    <w:p w14:paraId="226D2D5A" w14:textId="77777777" w:rsidR="0013116F" w:rsidRDefault="0013116F" w:rsidP="004B607F">
      <w:pPr>
        <w:pStyle w:val="a9"/>
      </w:pPr>
      <w:r>
        <w:rPr>
          <w:rStyle w:val="ab"/>
        </w:rPr>
        <w:footnoteRef/>
      </w:r>
      <w:r>
        <w:rPr>
          <w:rtl/>
        </w:rPr>
        <w:t xml:space="preserve"> </w:t>
      </w:r>
      <w:r w:rsidRPr="00752FC1">
        <w:rPr>
          <w:rFonts w:cs="Arial"/>
          <w:rtl/>
        </w:rPr>
        <w:t>ודוקא שהוא שטר גמור התירו משום תיקון העולם, כדי שלא תנעול דלת שלא ילוו משום יראה שימותו העדים או ילכו למדינת הים, לאפוקי אם כתבו את דבריהם בפנקסיהן דלא מהני אפילו לר"ת וסיעתו כשאין העדים לפנינו, דהו"ל כאלמים דאינן ראויין להעיד בפיהם</w:t>
      </w:r>
      <w:r>
        <w:rPr>
          <w:rFonts w:cs="Arial" w:hint="cs"/>
          <w:rtl/>
        </w:rPr>
        <w:t>, סמ"ע (סקמ"ג). וכ"כ הנתיבות (סקכ"ה).</w:t>
      </w:r>
    </w:p>
  </w:footnote>
  <w:footnote w:id="1464">
    <w:p w14:paraId="5171AC89" w14:textId="77777777" w:rsidR="0013116F" w:rsidRDefault="0013116F" w:rsidP="004B607F">
      <w:pPr>
        <w:pStyle w:val="a9"/>
      </w:pPr>
      <w:r>
        <w:rPr>
          <w:rStyle w:val="ab"/>
        </w:rPr>
        <w:footnoteRef/>
      </w:r>
      <w:r>
        <w:rPr>
          <w:rtl/>
        </w:rPr>
        <w:t xml:space="preserve"> </w:t>
      </w:r>
      <w:r>
        <w:rPr>
          <w:rFonts w:hint="cs"/>
          <w:rtl/>
        </w:rPr>
        <w:t xml:space="preserve">סימן </w:t>
      </w:r>
      <w:r>
        <w:rPr>
          <w:rtl/>
        </w:rPr>
        <w:t>–</w:t>
      </w:r>
      <w:r>
        <w:rPr>
          <w:rFonts w:hint="cs"/>
          <w:rtl/>
        </w:rPr>
        <w:t xml:space="preserve"> לשונו אישתלי.</w:t>
      </w:r>
    </w:p>
  </w:footnote>
  <w:footnote w:id="1465">
    <w:p w14:paraId="10F4F19E" w14:textId="77777777" w:rsidR="0013116F" w:rsidRDefault="0013116F" w:rsidP="004B607F">
      <w:pPr>
        <w:pStyle w:val="a9"/>
        <w:rPr>
          <w:rtl/>
        </w:rPr>
      </w:pPr>
      <w:r>
        <w:rPr>
          <w:rStyle w:val="ab"/>
        </w:rPr>
        <w:footnoteRef/>
      </w:r>
      <w:r>
        <w:rPr>
          <w:rtl/>
        </w:rPr>
        <w:t xml:space="preserve"> </w:t>
      </w:r>
      <w:r>
        <w:rPr>
          <w:rFonts w:hint="cs"/>
          <w:rtl/>
        </w:rPr>
        <w:t xml:space="preserve">סימן </w:t>
      </w:r>
      <w:r>
        <w:rPr>
          <w:rtl/>
        </w:rPr>
        <w:t>–</w:t>
      </w:r>
      <w:r>
        <w:rPr>
          <w:rFonts w:hint="cs"/>
          <w:rtl/>
        </w:rPr>
        <w:t xml:space="preserve"> כותב כשזוכר. </w:t>
      </w:r>
    </w:p>
  </w:footnote>
  <w:footnote w:id="1466">
    <w:p w14:paraId="1FE5F8D1" w14:textId="77777777" w:rsidR="0013116F" w:rsidRDefault="0013116F" w:rsidP="004B607F">
      <w:pPr>
        <w:pStyle w:val="a9"/>
      </w:pPr>
      <w:r>
        <w:rPr>
          <w:rStyle w:val="ab"/>
        </w:rPr>
        <w:footnoteRef/>
      </w:r>
      <w:r>
        <w:rPr>
          <w:rtl/>
        </w:rPr>
        <w:t xml:space="preserve"> </w:t>
      </w:r>
      <w:r w:rsidRPr="00C06486">
        <w:rPr>
          <w:rFonts w:cs="Arial"/>
          <w:rtl/>
        </w:rPr>
        <w:t>ע"פ אותו כתב אפי' לאחר כמה שנים</w:t>
      </w:r>
      <w:r>
        <w:rPr>
          <w:rFonts w:cs="Arial" w:hint="cs"/>
          <w:rtl/>
        </w:rPr>
        <w:t>, רש"י</w:t>
      </w:r>
      <w:r w:rsidRPr="00C06486">
        <w:rPr>
          <w:rFonts w:cs="Arial"/>
          <w:rtl/>
        </w:rPr>
        <w:t>.</w:t>
      </w:r>
    </w:p>
  </w:footnote>
  <w:footnote w:id="1467">
    <w:p w14:paraId="5487292A" w14:textId="77777777" w:rsidR="0013116F" w:rsidRDefault="0013116F" w:rsidP="004B607F">
      <w:pPr>
        <w:pStyle w:val="a9"/>
        <w:rPr>
          <w:rtl/>
        </w:rPr>
      </w:pPr>
      <w:r>
        <w:rPr>
          <w:rStyle w:val="ab"/>
        </w:rPr>
        <w:footnoteRef/>
      </w:r>
      <w:r>
        <w:rPr>
          <w:rtl/>
        </w:rPr>
        <w:t xml:space="preserve"> </w:t>
      </w:r>
      <w:r w:rsidRPr="00C06486">
        <w:rPr>
          <w:rFonts w:cs="Arial"/>
          <w:rtl/>
        </w:rPr>
        <w:t>בלא ראיית השטר נזכר קצת מעדותו מאליו</w:t>
      </w:r>
      <w:r>
        <w:rPr>
          <w:rFonts w:cs="Arial" w:hint="cs"/>
          <w:rtl/>
        </w:rPr>
        <w:t>, רש"י</w:t>
      </w:r>
      <w:r w:rsidRPr="00C06486">
        <w:rPr>
          <w:rFonts w:cs="Arial"/>
          <w:rtl/>
        </w:rPr>
        <w:t>.</w:t>
      </w:r>
    </w:p>
  </w:footnote>
  <w:footnote w:id="1468">
    <w:p w14:paraId="604315C9" w14:textId="77777777" w:rsidR="0013116F" w:rsidRDefault="0013116F" w:rsidP="004B607F">
      <w:pPr>
        <w:pStyle w:val="a9"/>
        <w:rPr>
          <w:rtl/>
        </w:rPr>
      </w:pPr>
      <w:r>
        <w:rPr>
          <w:rStyle w:val="ab"/>
        </w:rPr>
        <w:footnoteRef/>
      </w:r>
      <w:r>
        <w:rPr>
          <w:rtl/>
        </w:rPr>
        <w:t xml:space="preserve"> </w:t>
      </w:r>
      <w:r w:rsidRPr="00C06486">
        <w:rPr>
          <w:rFonts w:cs="Arial"/>
          <w:rtl/>
        </w:rPr>
        <w:t>אלא לאחר שרואה בשטר נתן בלבו ונזכר שלא נשתכח ממנו כל כך שכשמזכירים לו נזכר אבל אינו נזכר לגמרי לא דרחמנא אמר מפיהם ולא מפי כתבם</w:t>
      </w:r>
      <w:r>
        <w:rPr>
          <w:rFonts w:cs="Arial" w:hint="cs"/>
          <w:rtl/>
        </w:rPr>
        <w:t>, רש"י</w:t>
      </w:r>
      <w:r w:rsidRPr="00C06486">
        <w:rPr>
          <w:rFonts w:cs="Arial"/>
          <w:rtl/>
        </w:rPr>
        <w:t>.</w:t>
      </w:r>
    </w:p>
  </w:footnote>
  <w:footnote w:id="1469">
    <w:p w14:paraId="08A79E95" w14:textId="77777777" w:rsidR="0013116F" w:rsidRDefault="0013116F" w:rsidP="004B607F">
      <w:pPr>
        <w:pStyle w:val="a9"/>
        <w:rPr>
          <w:rtl/>
        </w:rPr>
      </w:pPr>
      <w:r>
        <w:rPr>
          <w:rStyle w:val="ab"/>
        </w:rPr>
        <w:footnoteRef/>
      </w:r>
      <w:r>
        <w:rPr>
          <w:rtl/>
        </w:rPr>
        <w:t xml:space="preserve"> </w:t>
      </w:r>
      <w:r>
        <w:rPr>
          <w:rFonts w:cs="Arial"/>
          <w:rtl/>
        </w:rPr>
        <w:t>ו</w:t>
      </w:r>
      <w:r>
        <w:rPr>
          <w:rFonts w:cs="Arial" w:hint="cs"/>
          <w:rtl/>
        </w:rPr>
        <w:t>כתב הב"י ד</w:t>
      </w:r>
      <w:r>
        <w:rPr>
          <w:rFonts w:cs="Arial"/>
          <w:rtl/>
        </w:rPr>
        <w:t>בענין פלוגתא דרב הונא ורבי יוחנן קי</w:t>
      </w:r>
      <w:r>
        <w:rPr>
          <w:rFonts w:cs="Arial" w:hint="cs"/>
          <w:rtl/>
        </w:rPr>
        <w:t>י"</w:t>
      </w:r>
      <w:r>
        <w:rPr>
          <w:rFonts w:cs="Arial"/>
          <w:rtl/>
        </w:rPr>
        <w:t>ל כרבי יוחנן</w:t>
      </w:r>
      <w:r>
        <w:rPr>
          <w:rFonts w:cs="Arial" w:hint="cs"/>
          <w:rtl/>
        </w:rPr>
        <w:t>,</w:t>
      </w:r>
      <w:r>
        <w:rPr>
          <w:rFonts w:cs="Arial"/>
          <w:rtl/>
        </w:rPr>
        <w:t xml:space="preserve"> דהא אפילו לגביה רב</w:t>
      </w:r>
      <w:r>
        <w:rPr>
          <w:rFonts w:cs="Arial" w:hint="cs"/>
          <w:rtl/>
        </w:rPr>
        <w:t>,</w:t>
      </w:r>
      <w:r>
        <w:rPr>
          <w:rFonts w:cs="Arial"/>
          <w:rtl/>
        </w:rPr>
        <w:t xml:space="preserve"> דרביה דרב הונא הוא</w:t>
      </w:r>
      <w:r>
        <w:rPr>
          <w:rFonts w:cs="Arial" w:hint="cs"/>
          <w:rtl/>
        </w:rPr>
        <w:t>,</w:t>
      </w:r>
      <w:r>
        <w:rPr>
          <w:rFonts w:cs="Arial"/>
          <w:rtl/>
        </w:rPr>
        <w:t xml:space="preserve"> קיי</w:t>
      </w:r>
      <w:r>
        <w:rPr>
          <w:rFonts w:cs="Arial" w:hint="cs"/>
          <w:rtl/>
        </w:rPr>
        <w:t>"</w:t>
      </w:r>
      <w:r>
        <w:rPr>
          <w:rFonts w:cs="Arial"/>
          <w:rtl/>
        </w:rPr>
        <w:t xml:space="preserve">ל כרבי יוחנן </w:t>
      </w:r>
      <w:r w:rsidRPr="007C2B23">
        <w:rPr>
          <w:rFonts w:cs="Arial"/>
          <w:sz w:val="16"/>
          <w:szCs w:val="16"/>
          <w:rtl/>
        </w:rPr>
        <w:t>(ביצה ד:)</w:t>
      </w:r>
      <w:r>
        <w:rPr>
          <w:rFonts w:cs="Arial" w:hint="cs"/>
          <w:rtl/>
        </w:rPr>
        <w:t>,</w:t>
      </w:r>
      <w:r>
        <w:rPr>
          <w:rFonts w:cs="Arial"/>
          <w:rtl/>
        </w:rPr>
        <w:t xml:space="preserve"> ועוד מדמסיק רבא דינא אליביה</w:t>
      </w:r>
      <w:r>
        <w:rPr>
          <w:rFonts w:cs="Arial" w:hint="cs"/>
          <w:rtl/>
        </w:rPr>
        <w:t>,</w:t>
      </w:r>
      <w:r>
        <w:rPr>
          <w:rFonts w:cs="Arial"/>
          <w:rtl/>
        </w:rPr>
        <w:t xml:space="preserve"> וכמו שאכתוב בסמוך (סי"ז)</w:t>
      </w:r>
      <w:r>
        <w:rPr>
          <w:rFonts w:cs="Arial" w:hint="cs"/>
          <w:rtl/>
        </w:rPr>
        <w:t>,</w:t>
      </w:r>
      <w:r>
        <w:rPr>
          <w:rFonts w:cs="Arial"/>
          <w:rtl/>
        </w:rPr>
        <w:t xml:space="preserve"> אלמא סבירא ליה דכוותיה קיי</w:t>
      </w:r>
      <w:r>
        <w:rPr>
          <w:rFonts w:cs="Arial" w:hint="cs"/>
          <w:rtl/>
        </w:rPr>
        <w:t>"</w:t>
      </w:r>
      <w:r>
        <w:rPr>
          <w:rFonts w:cs="Arial"/>
          <w:rtl/>
        </w:rPr>
        <w:t>ל</w:t>
      </w:r>
      <w:r>
        <w:rPr>
          <w:rFonts w:cs="Arial" w:hint="cs"/>
          <w:rtl/>
        </w:rPr>
        <w:t>,</w:t>
      </w:r>
      <w:r>
        <w:rPr>
          <w:rFonts w:cs="Arial"/>
          <w:rtl/>
        </w:rPr>
        <w:t xml:space="preserve"> וזהו שכתב רבינו ושאר הפוסקים דבזוכר ע</w:t>
      </w:r>
      <w:r>
        <w:rPr>
          <w:rFonts w:cs="Arial" w:hint="cs"/>
          <w:rtl/>
        </w:rPr>
        <w:t>"</w:t>
      </w:r>
      <w:r>
        <w:rPr>
          <w:rFonts w:cs="Arial"/>
          <w:rtl/>
        </w:rPr>
        <w:t>י הכתב סגי</w:t>
      </w:r>
      <w:r>
        <w:rPr>
          <w:rFonts w:hint="cs"/>
          <w:rtl/>
        </w:rPr>
        <w:t>.</w:t>
      </w:r>
    </w:p>
    <w:p w14:paraId="217B7673" w14:textId="77777777" w:rsidR="0013116F" w:rsidRDefault="0013116F" w:rsidP="004B607F">
      <w:pPr>
        <w:pStyle w:val="a9"/>
        <w:rPr>
          <w:rFonts w:cs="Arial"/>
          <w:rtl/>
        </w:rPr>
      </w:pPr>
      <w:r w:rsidRPr="0079248C">
        <w:rPr>
          <w:rFonts w:cs="Arial" w:hint="cs"/>
          <w:rtl/>
        </w:rPr>
        <w:t>ו</w:t>
      </w:r>
      <w:r>
        <w:rPr>
          <w:rFonts w:cs="Arial" w:hint="cs"/>
          <w:rtl/>
        </w:rPr>
        <w:t xml:space="preserve">יש כמה קושיות מגמרא זו על הגמרא ביבמות פ' ארבעה אחין, ואביא שתי קושיות מתוך דברי התוס' </w:t>
      </w:r>
      <w:r w:rsidRPr="00B31C84">
        <w:rPr>
          <w:rFonts w:cs="Arial"/>
          <w:sz w:val="16"/>
          <w:szCs w:val="16"/>
          <w:rtl/>
        </w:rPr>
        <w:t>(ד"ה ר' יוחנן)</w:t>
      </w:r>
      <w:r>
        <w:rPr>
          <w:rFonts w:cs="Arial" w:hint="cs"/>
          <w:rtl/>
        </w:rPr>
        <w:t>.</w:t>
      </w:r>
    </w:p>
    <w:p w14:paraId="187BD5B9" w14:textId="77777777" w:rsidR="0013116F" w:rsidRDefault="0013116F" w:rsidP="004B607F">
      <w:pPr>
        <w:pStyle w:val="a9"/>
        <w:rPr>
          <w:rFonts w:cs="Arial"/>
          <w:rtl/>
        </w:rPr>
      </w:pPr>
      <w:r w:rsidRPr="00B31C84">
        <w:rPr>
          <w:rFonts w:cs="Arial"/>
          <w:u w:val="single"/>
          <w:rtl/>
        </w:rPr>
        <w:t xml:space="preserve">וא"ת הכא </w:t>
      </w:r>
      <w:r w:rsidRPr="00B31C84">
        <w:rPr>
          <w:rFonts w:cs="Arial" w:hint="cs"/>
          <w:sz w:val="14"/>
          <w:szCs w:val="14"/>
          <w:u w:val="single"/>
          <w:rtl/>
        </w:rPr>
        <w:t xml:space="preserve">{בכתובות} </w:t>
      </w:r>
      <w:r w:rsidRPr="00B31C84">
        <w:rPr>
          <w:rFonts w:cs="Arial"/>
          <w:u w:val="single"/>
          <w:rtl/>
        </w:rPr>
        <w:t>נמי אמאי לא אסרינן לכתוב עדות על השטר שמא ישכח לגמרי ואתי ומסהיד מכתבא כדחיישינן התם</w:t>
      </w:r>
      <w:r>
        <w:rPr>
          <w:rFonts w:cs="Arial" w:hint="cs"/>
          <w:sz w:val="14"/>
          <w:szCs w:val="14"/>
          <w:u w:val="single"/>
          <w:rtl/>
        </w:rPr>
        <w:t xml:space="preserve"> (ל' התוס')</w:t>
      </w:r>
      <w:r w:rsidRPr="00B31C84">
        <w:rPr>
          <w:rFonts w:cs="Arial" w:hint="cs"/>
          <w:u w:val="single"/>
          <w:rtl/>
        </w:rPr>
        <w:t>:</w:t>
      </w:r>
    </w:p>
    <w:p w14:paraId="61C2D9AB" w14:textId="77777777" w:rsidR="0013116F" w:rsidRDefault="0013116F" w:rsidP="004B0475">
      <w:pPr>
        <w:pStyle w:val="a9"/>
        <w:numPr>
          <w:ilvl w:val="0"/>
          <w:numId w:val="74"/>
        </w:numPr>
        <w:rPr>
          <w:rFonts w:cs="Arial"/>
        </w:rPr>
      </w:pPr>
      <w:r>
        <w:rPr>
          <w:rFonts w:cs="Arial" w:hint="cs"/>
          <w:rtl/>
        </w:rPr>
        <w:t xml:space="preserve">תוס' </w:t>
      </w:r>
      <w:r w:rsidRPr="00B31C84">
        <w:rPr>
          <w:rFonts w:cs="Arial"/>
          <w:sz w:val="16"/>
          <w:szCs w:val="16"/>
          <w:rtl/>
        </w:rPr>
        <w:t>(</w:t>
      </w:r>
      <w:r>
        <w:rPr>
          <w:rFonts w:cs="Arial" w:hint="cs"/>
          <w:sz w:val="16"/>
          <w:szCs w:val="16"/>
          <w:rtl/>
        </w:rPr>
        <w:t>שם</w:t>
      </w:r>
      <w:r w:rsidRPr="00B31C84">
        <w:rPr>
          <w:rFonts w:cs="Arial"/>
          <w:sz w:val="16"/>
          <w:szCs w:val="16"/>
          <w:rtl/>
        </w:rPr>
        <w:t>)</w:t>
      </w:r>
      <w:r>
        <w:rPr>
          <w:rFonts w:cs="Arial" w:hint="cs"/>
          <w:rtl/>
        </w:rPr>
        <w:t>-</w:t>
      </w:r>
      <w:r w:rsidRPr="0079248C">
        <w:rPr>
          <w:rFonts w:cs="Arial"/>
          <w:rtl/>
        </w:rPr>
        <w:t xml:space="preserve"> </w:t>
      </w:r>
      <w:r w:rsidRPr="00B31C84">
        <w:rPr>
          <w:rFonts w:cs="Arial"/>
          <w:rtl/>
        </w:rPr>
        <w:t>י"ל דהתם</w:t>
      </w:r>
      <w:r w:rsidRPr="0079248C">
        <w:rPr>
          <w:rFonts w:cs="Arial"/>
          <w:rtl/>
        </w:rPr>
        <w:t xml:space="preserve"> ודאי חשו חכמים לפי שבית דין מוסרין לו השטר ויסבור שלכך מסרוהו לו שיעיד אפילו לא יזכור</w:t>
      </w:r>
      <w:r>
        <w:rPr>
          <w:rFonts w:cs="Arial" w:hint="cs"/>
          <w:rtl/>
        </w:rPr>
        <w:t>,</w:t>
      </w:r>
      <w:r w:rsidRPr="0079248C">
        <w:rPr>
          <w:rFonts w:cs="Arial"/>
          <w:rtl/>
        </w:rPr>
        <w:t xml:space="preserve"> אבל הכא שמעצמו כותב עדותו על השטר לא חשו חכמים לכך. </w:t>
      </w:r>
    </w:p>
    <w:p w14:paraId="0B256F8F" w14:textId="77777777" w:rsidR="0013116F" w:rsidRPr="00E91FC3" w:rsidRDefault="0013116F" w:rsidP="004B607F">
      <w:pPr>
        <w:pStyle w:val="a9"/>
        <w:rPr>
          <w:rFonts w:cs="Arial"/>
          <w:u w:val="single"/>
        </w:rPr>
      </w:pPr>
      <w:r w:rsidRPr="00E91FC3">
        <w:rPr>
          <w:rFonts w:cs="Arial"/>
          <w:u w:val="single"/>
          <w:rtl/>
        </w:rPr>
        <w:t>וא"ת ואמאי לא מצו חזו בכתבא ולאסהודי הא תנן בפרק גט פשוט (ב"ב קסח.) מי שנמחק שטר חובו מעמיד עליו עדים ובא לב</w:t>
      </w:r>
      <w:r>
        <w:rPr>
          <w:rFonts w:cs="Arial" w:hint="cs"/>
          <w:u w:val="single"/>
          <w:rtl/>
        </w:rPr>
        <w:t>"</w:t>
      </w:r>
      <w:r w:rsidRPr="00E91FC3">
        <w:rPr>
          <w:rFonts w:cs="Arial"/>
          <w:u w:val="single"/>
          <w:rtl/>
        </w:rPr>
        <w:t>ד ועושין לו קיומו</w:t>
      </w:r>
      <w:r w:rsidRPr="00E91FC3">
        <w:rPr>
          <w:rFonts w:cs="Arial" w:hint="cs"/>
          <w:u w:val="single"/>
          <w:rtl/>
        </w:rPr>
        <w:t>,</w:t>
      </w:r>
      <w:r w:rsidRPr="00E91FC3">
        <w:rPr>
          <w:rFonts w:cs="Arial"/>
          <w:u w:val="single"/>
          <w:rtl/>
        </w:rPr>
        <w:t xml:space="preserve"> וכן בהגוזל קמא (צח.) גבי שורף שטרותיו של חבירו פטור מדיני אדם וכו'</w:t>
      </w:r>
      <w:r>
        <w:rPr>
          <w:rFonts w:cs="Arial" w:hint="cs"/>
          <w:u w:val="single"/>
          <w:rtl/>
        </w:rPr>
        <w:t>,</w:t>
      </w:r>
      <w:r w:rsidRPr="00E91FC3">
        <w:rPr>
          <w:rFonts w:cs="Arial"/>
          <w:u w:val="single"/>
          <w:rtl/>
        </w:rPr>
        <w:t xml:space="preserve"> היכי דמי אי דאיכא סהדי דידעי מה הוה כתיב בשטרא ניכתוב ליה שטרא אחרינא</w:t>
      </w:r>
      <w:r w:rsidRPr="00E91FC3">
        <w:rPr>
          <w:rFonts w:cs="Arial" w:hint="cs"/>
          <w:u w:val="single"/>
          <w:rtl/>
        </w:rPr>
        <w:t xml:space="preserve"> -</w:t>
      </w:r>
      <w:r w:rsidRPr="00E91FC3">
        <w:rPr>
          <w:rFonts w:cs="Arial"/>
          <w:u w:val="single"/>
          <w:rtl/>
        </w:rPr>
        <w:t xml:space="preserve"> אלמא לא חשבינן ליה מפיהם ולא מפי כתבם</w:t>
      </w:r>
      <w:r w:rsidRPr="00E91FC3">
        <w:rPr>
          <w:rFonts w:cs="Arial" w:hint="cs"/>
          <w:u w:val="single"/>
          <w:rtl/>
        </w:rPr>
        <w:t>:</w:t>
      </w:r>
      <w:r w:rsidRPr="00E91FC3">
        <w:rPr>
          <w:rFonts w:cs="Arial"/>
          <w:u w:val="single"/>
          <w:rtl/>
        </w:rPr>
        <w:t xml:space="preserve"> </w:t>
      </w:r>
    </w:p>
    <w:p w14:paraId="36356CC8" w14:textId="77777777" w:rsidR="0013116F" w:rsidRDefault="0013116F" w:rsidP="004B0475">
      <w:pPr>
        <w:pStyle w:val="a9"/>
        <w:numPr>
          <w:ilvl w:val="0"/>
          <w:numId w:val="74"/>
        </w:numPr>
        <w:rPr>
          <w:rFonts w:cs="Arial"/>
        </w:rPr>
      </w:pPr>
      <w:r>
        <w:rPr>
          <w:rFonts w:cs="Arial" w:hint="cs"/>
          <w:rtl/>
        </w:rPr>
        <w:t xml:space="preserve">תוס' </w:t>
      </w:r>
      <w:r w:rsidRPr="00B31C84">
        <w:rPr>
          <w:rFonts w:cs="Arial"/>
          <w:sz w:val="16"/>
          <w:szCs w:val="16"/>
          <w:rtl/>
        </w:rPr>
        <w:t>(</w:t>
      </w:r>
      <w:r>
        <w:rPr>
          <w:rFonts w:cs="Arial" w:hint="cs"/>
          <w:sz w:val="16"/>
          <w:szCs w:val="16"/>
          <w:rtl/>
        </w:rPr>
        <w:t>שם</w:t>
      </w:r>
      <w:r w:rsidRPr="00B31C84">
        <w:rPr>
          <w:rFonts w:cs="Arial"/>
          <w:sz w:val="16"/>
          <w:szCs w:val="16"/>
          <w:rtl/>
        </w:rPr>
        <w:t>)</w:t>
      </w:r>
      <w:r>
        <w:rPr>
          <w:rFonts w:cs="Arial" w:hint="cs"/>
          <w:rtl/>
        </w:rPr>
        <w:t>-</w:t>
      </w:r>
      <w:r w:rsidRPr="0079248C">
        <w:rPr>
          <w:rFonts w:cs="Arial"/>
          <w:rtl/>
        </w:rPr>
        <w:t xml:space="preserve"> </w:t>
      </w:r>
      <w:r w:rsidRPr="00B31C84">
        <w:rPr>
          <w:rFonts w:cs="Arial"/>
          <w:rtl/>
        </w:rPr>
        <w:t>י"ל</w:t>
      </w:r>
      <w:r w:rsidRPr="0079248C">
        <w:rPr>
          <w:rFonts w:cs="Arial"/>
          <w:rtl/>
        </w:rPr>
        <w:t xml:space="preserve"> דבפרק ארבעה אחין חיישינן דילמא אתו ומסהדי בסתם כאילו זוכרים העדות</w:t>
      </w:r>
      <w:r w:rsidRPr="0079248C">
        <w:rPr>
          <w:rFonts w:cs="Arial" w:hint="cs"/>
          <w:rtl/>
        </w:rPr>
        <w:t>,</w:t>
      </w:r>
      <w:r w:rsidRPr="0079248C">
        <w:rPr>
          <w:rFonts w:cs="Arial"/>
          <w:rtl/>
        </w:rPr>
        <w:t xml:space="preserve"> אבל ודאי אם היו מעידים שכך ראו בחתימתן הא לא חשיב מפיהם ולא מפי כתבם דעדים החתומים על השטר נעשה כמי שנחקרה עדותן בבית דין </w:t>
      </w:r>
      <w:r w:rsidRPr="00E91FC3">
        <w:rPr>
          <w:rFonts w:cs="Arial"/>
          <w:sz w:val="16"/>
          <w:szCs w:val="16"/>
          <w:rtl/>
        </w:rPr>
        <w:t xml:space="preserve">(כתובות יח:) </w:t>
      </w:r>
      <w:r w:rsidRPr="0079248C">
        <w:rPr>
          <w:rFonts w:cs="Arial"/>
          <w:rtl/>
        </w:rPr>
        <w:t>והוי כאלו מעידין ראינו עדות שנחקרה בבית דין</w:t>
      </w:r>
      <w:r w:rsidRPr="0079248C">
        <w:rPr>
          <w:rFonts w:cs="Arial" w:hint="cs"/>
          <w:rtl/>
        </w:rPr>
        <w:t>.</w:t>
      </w:r>
    </w:p>
    <w:p w14:paraId="3A9B1876" w14:textId="77777777" w:rsidR="0013116F" w:rsidRDefault="0013116F" w:rsidP="004B0475">
      <w:pPr>
        <w:pStyle w:val="a9"/>
        <w:numPr>
          <w:ilvl w:val="0"/>
          <w:numId w:val="74"/>
        </w:numPr>
        <w:rPr>
          <w:rFonts w:cs="Arial"/>
        </w:rPr>
      </w:pPr>
      <w:r w:rsidRPr="0079248C">
        <w:rPr>
          <w:rFonts w:cs="Arial"/>
          <w:rtl/>
        </w:rPr>
        <w:t>רמב"ם</w:t>
      </w:r>
      <w:r>
        <w:rPr>
          <w:rFonts w:cs="Arial" w:hint="cs"/>
          <w:rtl/>
        </w:rPr>
        <w:t xml:space="preserve"> </w:t>
      </w:r>
      <w:r w:rsidRPr="00B31C84">
        <w:rPr>
          <w:rFonts w:cs="Arial" w:hint="cs"/>
          <w:sz w:val="16"/>
          <w:szCs w:val="16"/>
          <w:rtl/>
        </w:rPr>
        <w:t>(</w:t>
      </w:r>
      <w:r w:rsidRPr="00B31C84">
        <w:rPr>
          <w:rFonts w:cs="Arial"/>
          <w:sz w:val="16"/>
          <w:szCs w:val="16"/>
          <w:rtl/>
        </w:rPr>
        <w:t>פ"ג מהל</w:t>
      </w:r>
      <w:r w:rsidRPr="00B31C84">
        <w:rPr>
          <w:rFonts w:cs="Arial" w:hint="cs"/>
          <w:sz w:val="16"/>
          <w:szCs w:val="16"/>
          <w:rtl/>
        </w:rPr>
        <w:t xml:space="preserve">' </w:t>
      </w:r>
      <w:r w:rsidRPr="00B31C84">
        <w:rPr>
          <w:rFonts w:cs="Arial"/>
          <w:sz w:val="16"/>
          <w:szCs w:val="16"/>
          <w:rtl/>
        </w:rPr>
        <w:t>עדות ה"ד</w:t>
      </w:r>
      <w:r w:rsidRPr="00B31C84">
        <w:rPr>
          <w:rFonts w:cs="Arial" w:hint="cs"/>
          <w:sz w:val="16"/>
          <w:szCs w:val="16"/>
          <w:rtl/>
        </w:rPr>
        <w:t>, להב' הב"י</w:t>
      </w:r>
      <w:r w:rsidRPr="00B31C84">
        <w:rPr>
          <w:rFonts w:cs="Arial"/>
          <w:sz w:val="16"/>
          <w:szCs w:val="16"/>
          <w:rtl/>
        </w:rPr>
        <w:t>)</w:t>
      </w:r>
      <w:r>
        <w:rPr>
          <w:rFonts w:cs="Arial" w:hint="cs"/>
          <w:rtl/>
        </w:rPr>
        <w:t>-</w:t>
      </w:r>
      <w:r w:rsidRPr="0079248C">
        <w:rPr>
          <w:rFonts w:cs="Arial"/>
          <w:rtl/>
        </w:rPr>
        <w:t xml:space="preserve"> ההיא דפרק ארבעה אחין שהוא דיני נפשות אוקמוה אדין תורה דמפיהם ולא מפי כתבם והוא הדין לדיני מכות קנסות וגזילות דלא שייך בהו נעילת דלת</w:t>
      </w:r>
      <w:r>
        <w:rPr>
          <w:rFonts w:cs="Arial" w:hint="cs"/>
          <w:rtl/>
        </w:rPr>
        <w:t>,</w:t>
      </w:r>
      <w:r w:rsidRPr="0079248C">
        <w:rPr>
          <w:rFonts w:cs="Arial"/>
          <w:rtl/>
        </w:rPr>
        <w:t xml:space="preserve"> אבל ההיא דגט פשוט והגוזל דדיני ממונות נינהו אקילו בהו רבנן כדי שלא תנעול דלת בפני לווין </w:t>
      </w:r>
      <w:r w:rsidRPr="00E91FC3">
        <w:rPr>
          <w:rFonts w:cs="Arial" w:hint="cs"/>
          <w:sz w:val="16"/>
          <w:szCs w:val="16"/>
          <w:rtl/>
        </w:rPr>
        <w:t xml:space="preserve">(וכתב הב"י- </w:t>
      </w:r>
      <w:r w:rsidRPr="00E91FC3">
        <w:rPr>
          <w:rFonts w:cs="Arial"/>
          <w:sz w:val="16"/>
          <w:szCs w:val="16"/>
          <w:rtl/>
        </w:rPr>
        <w:t>אבל קשה לי עליו דאמרינן בכמה דוכתי (כתובות כא: וכח.) דקיום שטרות דרבנן אלמא דמדאורייתא עדים החתומים על השטר נעשה כמי שנחקרה עדותן בבית דין ולא בעי קיום</w:t>
      </w:r>
      <w:r>
        <w:rPr>
          <w:rFonts w:cs="Arial" w:hint="cs"/>
          <w:sz w:val="16"/>
          <w:szCs w:val="16"/>
          <w:rtl/>
        </w:rPr>
        <w:t>,</w:t>
      </w:r>
      <w:r w:rsidRPr="00E91FC3">
        <w:rPr>
          <w:rFonts w:cs="Arial"/>
          <w:sz w:val="16"/>
          <w:szCs w:val="16"/>
          <w:rtl/>
        </w:rPr>
        <w:t xml:space="preserve"> וצ"ע</w:t>
      </w:r>
      <w:r>
        <w:rPr>
          <w:rFonts w:cs="Arial" w:hint="cs"/>
          <w:sz w:val="16"/>
          <w:szCs w:val="16"/>
          <w:rtl/>
        </w:rPr>
        <w:t>)</w:t>
      </w:r>
      <w:r>
        <w:rPr>
          <w:rFonts w:cs="Arial" w:hint="cs"/>
          <w:rtl/>
        </w:rPr>
        <w:t>.</w:t>
      </w:r>
      <w:r w:rsidRPr="0079248C">
        <w:rPr>
          <w:rFonts w:cs="Arial"/>
          <w:rtl/>
        </w:rPr>
        <w:t xml:space="preserve"> </w:t>
      </w:r>
    </w:p>
    <w:p w14:paraId="6B063E9B" w14:textId="77777777" w:rsidR="0013116F" w:rsidRDefault="0013116F" w:rsidP="004B0475">
      <w:pPr>
        <w:pStyle w:val="a9"/>
        <w:numPr>
          <w:ilvl w:val="0"/>
          <w:numId w:val="74"/>
        </w:numPr>
        <w:rPr>
          <w:rFonts w:cs="Arial"/>
        </w:rPr>
      </w:pPr>
      <w:r w:rsidRPr="00E91FC3">
        <w:rPr>
          <w:rFonts w:cs="Arial"/>
          <w:rtl/>
        </w:rPr>
        <w:t xml:space="preserve">רי"ף </w:t>
      </w:r>
      <w:r w:rsidRPr="00E91FC3">
        <w:rPr>
          <w:rFonts w:cs="Arial" w:hint="cs"/>
          <w:sz w:val="16"/>
          <w:szCs w:val="16"/>
          <w:rtl/>
        </w:rPr>
        <w:t>(</w:t>
      </w:r>
      <w:r w:rsidRPr="00E91FC3">
        <w:rPr>
          <w:rFonts w:cs="Arial"/>
          <w:sz w:val="16"/>
          <w:szCs w:val="16"/>
          <w:rtl/>
        </w:rPr>
        <w:t>פ</w:t>
      </w:r>
      <w:r w:rsidRPr="00E91FC3">
        <w:rPr>
          <w:rFonts w:cs="Arial" w:hint="cs"/>
          <w:sz w:val="16"/>
          <w:szCs w:val="16"/>
          <w:rtl/>
        </w:rPr>
        <w:t>'</w:t>
      </w:r>
      <w:r w:rsidRPr="00E91FC3">
        <w:rPr>
          <w:rFonts w:cs="Arial"/>
          <w:sz w:val="16"/>
          <w:szCs w:val="16"/>
          <w:rtl/>
        </w:rPr>
        <w:t xml:space="preserve"> ארבעה אחין יבמות ט.</w:t>
      </w:r>
      <w:r>
        <w:rPr>
          <w:rFonts w:cs="Arial" w:hint="cs"/>
          <w:sz w:val="16"/>
          <w:szCs w:val="16"/>
          <w:rtl/>
        </w:rPr>
        <w:t>)</w:t>
      </w:r>
      <w:r>
        <w:rPr>
          <w:rFonts w:cs="Arial" w:hint="cs"/>
          <w:rtl/>
        </w:rPr>
        <w:t xml:space="preserve">- </w:t>
      </w:r>
      <w:r w:rsidRPr="00E91FC3">
        <w:rPr>
          <w:rFonts w:cs="Arial"/>
          <w:rtl/>
        </w:rPr>
        <w:t>ההיא דפרק ארבעה אחין בדנפיק מתותי ידי דסהדי ומשום הכי לא הוי כמי שנחקרה עדותן בבית דין</w:t>
      </w:r>
      <w:r w:rsidRPr="00E91FC3">
        <w:rPr>
          <w:rFonts w:cs="Arial" w:hint="cs"/>
          <w:rtl/>
        </w:rPr>
        <w:t>,</w:t>
      </w:r>
      <w:r w:rsidRPr="00E91FC3">
        <w:rPr>
          <w:rFonts w:cs="Arial"/>
          <w:rtl/>
        </w:rPr>
        <w:t xml:space="preserve"> ואם כן ההיא דגט פשוט ודהגוזל דכבר נפק מתותי ידי דסהדי הוי ליה כאילו נחקרה עדותן בבית דין ויכולין להעיד ראינו עדות שנחקרה בבית דין.</w:t>
      </w:r>
      <w:r>
        <w:rPr>
          <w:rFonts w:cs="Arial" w:hint="cs"/>
          <w:rtl/>
        </w:rPr>
        <w:t xml:space="preserve"> </w:t>
      </w:r>
      <w:r>
        <w:rPr>
          <w:rFonts w:cs="Arial" w:hint="cs"/>
          <w:sz w:val="16"/>
          <w:szCs w:val="16"/>
          <w:rtl/>
        </w:rPr>
        <w:t>(</w:t>
      </w:r>
      <w:r w:rsidRPr="00E91FC3">
        <w:rPr>
          <w:rFonts w:cs="Arial"/>
          <w:sz w:val="16"/>
          <w:szCs w:val="16"/>
          <w:rtl/>
        </w:rPr>
        <w:t>והרא"ש בפרק ארבעה אחין (סי' ז) כתב ורי"ף ז"ל כתב בסגנון אחר ומה שכתבתי דברי התוס</w:t>
      </w:r>
      <w:r w:rsidRPr="00E91FC3">
        <w:rPr>
          <w:rFonts w:cs="Arial" w:hint="cs"/>
          <w:sz w:val="16"/>
          <w:szCs w:val="16"/>
          <w:rtl/>
        </w:rPr>
        <w:t>'</w:t>
      </w:r>
      <w:r w:rsidRPr="00E91FC3">
        <w:rPr>
          <w:rFonts w:cs="Arial"/>
          <w:sz w:val="16"/>
          <w:szCs w:val="16"/>
          <w:rtl/>
        </w:rPr>
        <w:t xml:space="preserve"> עיקר ואין להשיב עכ"ל</w:t>
      </w:r>
      <w:r>
        <w:rPr>
          <w:rFonts w:cs="Arial" w:hint="cs"/>
          <w:sz w:val="16"/>
          <w:szCs w:val="16"/>
          <w:rtl/>
        </w:rPr>
        <w:t>.</w:t>
      </w:r>
      <w:r w:rsidRPr="00E91FC3">
        <w:rPr>
          <w:rFonts w:cs="Arial" w:hint="cs"/>
          <w:sz w:val="16"/>
          <w:szCs w:val="16"/>
          <w:rtl/>
        </w:rPr>
        <w:t xml:space="preserve"> </w:t>
      </w:r>
      <w:r>
        <w:rPr>
          <w:rFonts w:cs="Arial" w:hint="cs"/>
          <w:sz w:val="16"/>
          <w:szCs w:val="16"/>
          <w:rtl/>
        </w:rPr>
        <w:t>ו</w:t>
      </w:r>
      <w:r w:rsidRPr="00E91FC3">
        <w:rPr>
          <w:rFonts w:cs="Arial" w:hint="cs"/>
          <w:sz w:val="16"/>
          <w:szCs w:val="16"/>
          <w:rtl/>
        </w:rPr>
        <w:t>ז"ל</w:t>
      </w:r>
      <w:r>
        <w:rPr>
          <w:rFonts w:cs="Arial" w:hint="cs"/>
          <w:sz w:val="16"/>
          <w:szCs w:val="16"/>
          <w:rtl/>
        </w:rPr>
        <w:t xml:space="preserve"> הרי"ף</w:t>
      </w:r>
      <w:r w:rsidRPr="00E91FC3">
        <w:rPr>
          <w:rFonts w:cs="Arial" w:hint="cs"/>
          <w:sz w:val="16"/>
          <w:szCs w:val="16"/>
          <w:rtl/>
        </w:rPr>
        <w:t xml:space="preserve">- </w:t>
      </w:r>
      <w:r w:rsidRPr="00E91FC3">
        <w:rPr>
          <w:rFonts w:cs="Arial"/>
          <w:sz w:val="16"/>
          <w:szCs w:val="16"/>
          <w:rtl/>
        </w:rPr>
        <w:t>הא ברייתא בדאיתא לסהדותא תחות ידי עדים</w:t>
      </w:r>
      <w:r w:rsidRPr="00E91FC3">
        <w:rPr>
          <w:rFonts w:cs="Arial" w:hint="cs"/>
          <w:sz w:val="16"/>
          <w:szCs w:val="16"/>
          <w:rtl/>
        </w:rPr>
        <w:t>,</w:t>
      </w:r>
      <w:r w:rsidRPr="00E91FC3">
        <w:rPr>
          <w:rFonts w:cs="Arial"/>
          <w:sz w:val="16"/>
          <w:szCs w:val="16"/>
          <w:rtl/>
        </w:rPr>
        <w:t xml:space="preserve"> ומשום הכי בעינן שיזכור דכמי שלא העידו עד השתא דמיא דהא אי בעו כבשי לשטרא ולא מסהדי</w:t>
      </w:r>
      <w:r w:rsidRPr="00E91FC3">
        <w:rPr>
          <w:rFonts w:cs="Arial" w:hint="cs"/>
          <w:sz w:val="16"/>
          <w:szCs w:val="16"/>
          <w:rtl/>
        </w:rPr>
        <w:t>,</w:t>
      </w:r>
      <w:r w:rsidRPr="00E91FC3">
        <w:rPr>
          <w:rFonts w:cs="Arial"/>
          <w:sz w:val="16"/>
          <w:szCs w:val="16"/>
          <w:rtl/>
        </w:rPr>
        <w:t xml:space="preserve"> ומהאי טעמא נמי אמרינן בפרק ארבעה אחין </w:t>
      </w:r>
      <w:r w:rsidRPr="00E91FC3">
        <w:rPr>
          <w:rFonts w:cs="Arial"/>
          <w:sz w:val="12"/>
          <w:szCs w:val="12"/>
          <w:rtl/>
        </w:rPr>
        <w:t xml:space="preserve">(לא:) </w:t>
      </w:r>
      <w:r w:rsidRPr="00E91FC3">
        <w:rPr>
          <w:rFonts w:cs="Arial"/>
          <w:sz w:val="16"/>
          <w:szCs w:val="16"/>
          <w:rtl/>
        </w:rPr>
        <w:t>דמשום הכי לא תקון זמן בקידושין דאי מנחיה ליה גבי עדים דילמא חזו בכתבא ואתו ומסהדי ורחמנא אמר מפיהם ולא מפי כתבם</w:t>
      </w:r>
      <w:r w:rsidRPr="00E91FC3">
        <w:rPr>
          <w:rFonts w:cs="Arial" w:hint="cs"/>
          <w:sz w:val="16"/>
          <w:szCs w:val="16"/>
          <w:rtl/>
        </w:rPr>
        <w:t>,</w:t>
      </w:r>
      <w:r w:rsidRPr="00E91FC3">
        <w:rPr>
          <w:rFonts w:cs="Arial"/>
          <w:sz w:val="16"/>
          <w:szCs w:val="16"/>
          <w:rtl/>
        </w:rPr>
        <w:t xml:space="preserve"> כלומר משום דעדיין העדות תחת ידי העדים</w:t>
      </w:r>
      <w:r w:rsidRPr="00E91FC3">
        <w:rPr>
          <w:rFonts w:cs="Arial" w:hint="cs"/>
          <w:sz w:val="16"/>
          <w:szCs w:val="16"/>
          <w:rtl/>
        </w:rPr>
        <w:t>,</w:t>
      </w:r>
      <w:r w:rsidRPr="00E91FC3">
        <w:rPr>
          <w:rFonts w:cs="Arial"/>
          <w:sz w:val="16"/>
          <w:szCs w:val="16"/>
          <w:rtl/>
        </w:rPr>
        <w:t xml:space="preserve"> אבל אם אין העדות תחת ידם נעשה כמי שנחקרה עדותן בבית דין</w:t>
      </w:r>
      <w:r w:rsidRPr="00E91FC3">
        <w:rPr>
          <w:rFonts w:cs="Arial" w:hint="cs"/>
          <w:sz w:val="16"/>
          <w:szCs w:val="16"/>
          <w:rtl/>
        </w:rPr>
        <w:t>,</w:t>
      </w:r>
      <w:r w:rsidRPr="00E91FC3">
        <w:rPr>
          <w:rFonts w:cs="Arial"/>
          <w:sz w:val="16"/>
          <w:szCs w:val="16"/>
          <w:rtl/>
        </w:rPr>
        <w:t xml:space="preserve"> ומהאי טעמא מקיימין לשטרא בחתימות ידי סהדי ולא איכפת לן אי מידכרי לסהדותא או לא מידכרי</w:t>
      </w:r>
      <w:r w:rsidRPr="00E91FC3">
        <w:rPr>
          <w:rFonts w:cs="Arial" w:hint="cs"/>
          <w:sz w:val="16"/>
          <w:szCs w:val="16"/>
          <w:rtl/>
        </w:rPr>
        <w:t xml:space="preserve">. עכ"ל. </w:t>
      </w:r>
      <w:r w:rsidRPr="00E91FC3">
        <w:rPr>
          <w:rFonts w:cs="Arial"/>
          <w:sz w:val="16"/>
          <w:szCs w:val="16"/>
          <w:rtl/>
        </w:rPr>
        <w:t>וכתב נמוק</w:t>
      </w:r>
      <w:r w:rsidRPr="00E91FC3">
        <w:rPr>
          <w:rFonts w:cs="Arial" w:hint="cs"/>
          <w:sz w:val="16"/>
          <w:szCs w:val="16"/>
          <w:rtl/>
        </w:rPr>
        <w:t>"י</w:t>
      </w:r>
      <w:r w:rsidRPr="00E91FC3">
        <w:rPr>
          <w:rFonts w:cs="Arial"/>
          <w:sz w:val="16"/>
          <w:szCs w:val="16"/>
          <w:rtl/>
        </w:rPr>
        <w:t xml:space="preserve"> שהקשו על הרי"ף אמאי לא מקרעינן כמה שטרי שהעדים חתומים ואינם מספיקים ליתנו לבעל דבר עד ששוכחים עיקר הדבר</w:t>
      </w:r>
      <w:r w:rsidRPr="00E91FC3">
        <w:rPr>
          <w:rFonts w:cs="Arial" w:hint="cs"/>
          <w:sz w:val="16"/>
          <w:szCs w:val="16"/>
          <w:rtl/>
        </w:rPr>
        <w:t>,</w:t>
      </w:r>
      <w:r w:rsidRPr="00E91FC3">
        <w:rPr>
          <w:rFonts w:cs="Arial"/>
          <w:sz w:val="16"/>
          <w:szCs w:val="16"/>
          <w:rtl/>
        </w:rPr>
        <w:t xml:space="preserve"> וי"ל דשאני הכא דכיון דשטר קדושין לא חזי למתביה לבעל דבר להיות בידו לראיה לא חשיב שטר ראיה כלל אלא דהוי שטר מקנה בעלמא להתקדש בו</w:t>
      </w:r>
      <w:r w:rsidRPr="00E91FC3">
        <w:rPr>
          <w:rFonts w:cs="Arial" w:hint="cs"/>
          <w:sz w:val="16"/>
          <w:szCs w:val="16"/>
          <w:rtl/>
        </w:rPr>
        <w:t>,</w:t>
      </w:r>
      <w:r w:rsidRPr="00E91FC3">
        <w:rPr>
          <w:rFonts w:cs="Arial"/>
          <w:sz w:val="16"/>
          <w:szCs w:val="16"/>
          <w:rtl/>
        </w:rPr>
        <w:t xml:space="preserve"> וכ</w:t>
      </w:r>
      <w:r w:rsidRPr="00E91FC3">
        <w:rPr>
          <w:rFonts w:cs="Arial" w:hint="cs"/>
          <w:sz w:val="16"/>
          <w:szCs w:val="16"/>
          <w:rtl/>
        </w:rPr>
        <w:t>"כ</w:t>
      </w:r>
      <w:r w:rsidRPr="00E91FC3">
        <w:rPr>
          <w:rFonts w:cs="Arial"/>
          <w:sz w:val="16"/>
          <w:szCs w:val="16"/>
          <w:rtl/>
        </w:rPr>
        <w:t xml:space="preserve"> הרמב"ן ז"ל בספר הזכות עכ"ל. </w:t>
      </w:r>
      <w:r>
        <w:rPr>
          <w:rFonts w:cs="Arial" w:hint="cs"/>
          <w:sz w:val="16"/>
          <w:szCs w:val="16"/>
          <w:rtl/>
        </w:rPr>
        <w:t xml:space="preserve">וכתב הב"י- </w:t>
      </w:r>
      <w:r w:rsidRPr="00E91FC3">
        <w:rPr>
          <w:rFonts w:cs="Arial"/>
          <w:sz w:val="16"/>
          <w:szCs w:val="16"/>
          <w:rtl/>
        </w:rPr>
        <w:t>ותמיהא לי מילתא דמשמע דאין חילוק בין שטר לשטר כלל שהרי כתב ומהאי טעמא מקיימין לשטרא בחתימות ידי סהדי וכו' אלמא דאי הוה תחת ידי סהדי לא הוה מקיימינן ליה אי לא דכירי</w:t>
      </w:r>
      <w:r w:rsidRPr="00E91FC3">
        <w:rPr>
          <w:rFonts w:cs="Arial" w:hint="cs"/>
          <w:sz w:val="16"/>
          <w:szCs w:val="16"/>
          <w:rtl/>
        </w:rPr>
        <w:t>,</w:t>
      </w:r>
      <w:r w:rsidRPr="00E91FC3">
        <w:rPr>
          <w:rFonts w:cs="Arial"/>
          <w:sz w:val="16"/>
          <w:szCs w:val="16"/>
          <w:rtl/>
        </w:rPr>
        <w:t xml:space="preserve"> וצ"ע</w:t>
      </w:r>
      <w:r w:rsidRPr="00E91FC3">
        <w:rPr>
          <w:rFonts w:cs="Arial" w:hint="cs"/>
          <w:sz w:val="16"/>
          <w:szCs w:val="16"/>
          <w:rtl/>
        </w:rPr>
        <w:t>)</w:t>
      </w:r>
      <w:r w:rsidRPr="00E91FC3">
        <w:rPr>
          <w:rFonts w:cs="Arial" w:hint="cs"/>
          <w:rtl/>
        </w:rPr>
        <w:t>.</w:t>
      </w:r>
      <w:r w:rsidRPr="00ED00A4">
        <w:rPr>
          <w:rFonts w:cs="Arial"/>
          <w:rtl/>
        </w:rPr>
        <w:t xml:space="preserve"> </w:t>
      </w:r>
    </w:p>
    <w:p w14:paraId="699CB50B" w14:textId="77777777" w:rsidR="0013116F" w:rsidRPr="00E91FC3" w:rsidRDefault="0013116F" w:rsidP="004B607F">
      <w:pPr>
        <w:pStyle w:val="a9"/>
        <w:rPr>
          <w:rFonts w:cs="Arial"/>
          <w:rtl/>
        </w:rPr>
      </w:pPr>
      <w:r>
        <w:rPr>
          <w:rFonts w:cs="Arial"/>
          <w:rtl/>
        </w:rPr>
        <w:t>וכתבו התוס</w:t>
      </w:r>
      <w:r>
        <w:rPr>
          <w:rFonts w:cs="Arial" w:hint="cs"/>
          <w:rtl/>
        </w:rPr>
        <w:t>'</w:t>
      </w:r>
      <w:r>
        <w:rPr>
          <w:rFonts w:cs="Arial"/>
          <w:rtl/>
        </w:rPr>
        <w:t xml:space="preserve"> </w:t>
      </w:r>
      <w:r w:rsidRPr="00B31C84">
        <w:rPr>
          <w:rFonts w:cs="Arial"/>
          <w:sz w:val="16"/>
          <w:szCs w:val="16"/>
          <w:rtl/>
        </w:rPr>
        <w:t>(ד"ה ר' יוחנן)</w:t>
      </w:r>
      <w:r>
        <w:rPr>
          <w:rFonts w:cs="Arial" w:hint="cs"/>
          <w:rtl/>
        </w:rPr>
        <w:t xml:space="preserve"> </w:t>
      </w:r>
      <w:r>
        <w:rPr>
          <w:rFonts w:cs="Arial"/>
          <w:rtl/>
        </w:rPr>
        <w:t xml:space="preserve">דבירושלמי </w:t>
      </w:r>
      <w:r w:rsidRPr="00E91FC3">
        <w:rPr>
          <w:rFonts w:cs="Arial"/>
          <w:sz w:val="16"/>
          <w:szCs w:val="16"/>
          <w:rtl/>
        </w:rPr>
        <w:t xml:space="preserve">(כתובות פ"ב ה"ד) </w:t>
      </w:r>
      <w:r>
        <w:rPr>
          <w:rFonts w:cs="Arial"/>
          <w:rtl/>
        </w:rPr>
        <w:t>מפרש סוגיא זו בענין אחר דקאמר התם רב הונא כרבי ורבי יוחנן כרבנן</w:t>
      </w:r>
      <w:r>
        <w:rPr>
          <w:rFonts w:cs="Arial" w:hint="cs"/>
          <w:rtl/>
        </w:rPr>
        <w:t>,</w:t>
      </w:r>
      <w:r>
        <w:rPr>
          <w:rFonts w:cs="Arial"/>
          <w:rtl/>
        </w:rPr>
        <w:t xml:space="preserve"> פירוש</w:t>
      </w:r>
      <w:r>
        <w:rPr>
          <w:rFonts w:cs="Arial" w:hint="cs"/>
          <w:rtl/>
        </w:rPr>
        <w:t>,</w:t>
      </w:r>
      <w:r>
        <w:rPr>
          <w:rFonts w:cs="Arial"/>
          <w:rtl/>
        </w:rPr>
        <w:t xml:space="preserve"> כשהעדים באים לקיים חתימתן אם זוכרים המלוה בלא שטר אפילו לרבי אין צריך לצרף עמהם אחר מן השוק דעל מנה שבשטר הם מעידים. וכשאין זוכרין המלוה אפילו ע</w:t>
      </w:r>
      <w:r>
        <w:rPr>
          <w:rFonts w:cs="Arial" w:hint="cs"/>
          <w:rtl/>
        </w:rPr>
        <w:t>"</w:t>
      </w:r>
      <w:r>
        <w:rPr>
          <w:rFonts w:cs="Arial"/>
          <w:rtl/>
        </w:rPr>
        <w:t>י השטר אפילו רבנן מודו דצריכין לצרף דעל כרחין אין מעידין אלא על כתב ידן</w:t>
      </w:r>
      <w:r>
        <w:rPr>
          <w:rFonts w:cs="Arial" w:hint="cs"/>
          <w:rtl/>
        </w:rPr>
        <w:t>,</w:t>
      </w:r>
      <w:r>
        <w:rPr>
          <w:rFonts w:cs="Arial"/>
          <w:rtl/>
        </w:rPr>
        <w:t xml:space="preserve"> וכי פליגי היינו כשזוכרים המלוה על ידי השטר</w:t>
      </w:r>
      <w:r>
        <w:rPr>
          <w:rFonts w:cs="Arial" w:hint="cs"/>
          <w:rtl/>
        </w:rPr>
        <w:t>,</w:t>
      </w:r>
      <w:r>
        <w:rPr>
          <w:rFonts w:cs="Arial"/>
          <w:rtl/>
        </w:rPr>
        <w:t xml:space="preserve"> דלרבנן חשיב זכירה ועל מנה הם מעידים</w:t>
      </w:r>
      <w:r>
        <w:rPr>
          <w:rFonts w:cs="Arial" w:hint="cs"/>
          <w:rtl/>
        </w:rPr>
        <w:t>,</w:t>
      </w:r>
      <w:r>
        <w:rPr>
          <w:rFonts w:cs="Arial"/>
          <w:rtl/>
        </w:rPr>
        <w:t xml:space="preserve"> ולרבי לא חשיב זכירה. ומדמשמע הכא דלכו</w:t>
      </w:r>
      <w:r>
        <w:rPr>
          <w:rFonts w:cs="Arial" w:hint="cs"/>
          <w:rtl/>
        </w:rPr>
        <w:t>"</w:t>
      </w:r>
      <w:r>
        <w:rPr>
          <w:rFonts w:cs="Arial"/>
          <w:rtl/>
        </w:rPr>
        <w:t>ע כל שלא נזכר ע</w:t>
      </w:r>
      <w:r>
        <w:rPr>
          <w:rFonts w:cs="Arial" w:hint="cs"/>
          <w:rtl/>
        </w:rPr>
        <w:t>"</w:t>
      </w:r>
      <w:r>
        <w:rPr>
          <w:rFonts w:cs="Arial"/>
          <w:rtl/>
        </w:rPr>
        <w:t>י השטר אינו יכול להעיד למד הרמב"ם מה שכתב בפ"ח מהלכות עדות (ה"א-ד) מי שחתם על השטר ובא להעיד על כתב ידו וכו' עד אבל אם לא נזכר לא יעיד הואיל והדבר כן וכו' עד הואיל ואפשר לקיימו שלא מפיהם. ורי</w:t>
      </w:r>
      <w:r>
        <w:rPr>
          <w:rFonts w:cs="Arial" w:hint="cs"/>
          <w:rtl/>
        </w:rPr>
        <w:t>"ו</w:t>
      </w:r>
      <w:r>
        <w:rPr>
          <w:rFonts w:cs="Arial"/>
          <w:rtl/>
        </w:rPr>
        <w:t xml:space="preserve"> כתב פירוש זה של תוספות </w:t>
      </w:r>
      <w:r>
        <w:rPr>
          <w:rFonts w:cs="Arial" w:hint="cs"/>
          <w:rtl/>
        </w:rPr>
        <w:t>(</w:t>
      </w:r>
      <w:r>
        <w:rPr>
          <w:rFonts w:cs="Arial"/>
          <w:rtl/>
        </w:rPr>
        <w:t>נ"ב ח"ב יא ע"ד)</w:t>
      </w:r>
      <w:r>
        <w:rPr>
          <w:rFonts w:cs="Arial" w:hint="cs"/>
          <w:rtl/>
        </w:rPr>
        <w:t>,</w:t>
      </w:r>
      <w:r>
        <w:rPr>
          <w:rFonts w:cs="Arial"/>
          <w:rtl/>
        </w:rPr>
        <w:t xml:space="preserve"> וגם רבינו כתב דין זה בשם הרמב"ם סימן מ"ו (סל"ז)</w:t>
      </w:r>
      <w:r>
        <w:rPr>
          <w:rFonts w:cs="Arial" w:hint="cs"/>
          <w:rtl/>
        </w:rPr>
        <w:t>, ב"י.</w:t>
      </w:r>
    </w:p>
  </w:footnote>
  <w:footnote w:id="1470">
    <w:p w14:paraId="3BDA6733" w14:textId="77777777" w:rsidR="0013116F" w:rsidRDefault="0013116F" w:rsidP="004B607F">
      <w:pPr>
        <w:pStyle w:val="a9"/>
        <w:rPr>
          <w:rtl/>
        </w:rPr>
      </w:pPr>
      <w:r>
        <w:rPr>
          <w:rStyle w:val="ab"/>
        </w:rPr>
        <w:footnoteRef/>
      </w:r>
      <w:r>
        <w:rPr>
          <w:rtl/>
        </w:rPr>
        <w:t xml:space="preserve"> </w:t>
      </w:r>
      <w:r w:rsidRPr="00B23076">
        <w:rPr>
          <w:rFonts w:cs="Arial"/>
          <w:rtl/>
        </w:rPr>
        <w:t>תילי קרקע ודרך בני אדם לקבור בתל משום דאין בני אדם מטין מן הדרך לעבור עליו ועיר ודרך לקמן מפרש להו</w:t>
      </w:r>
      <w:r>
        <w:rPr>
          <w:rFonts w:hint="cs"/>
          <w:rtl/>
        </w:rPr>
        <w:t xml:space="preserve">, רש"י. </w:t>
      </w:r>
    </w:p>
  </w:footnote>
  <w:footnote w:id="1471">
    <w:p w14:paraId="44B5E133" w14:textId="77777777" w:rsidR="0013116F" w:rsidRDefault="0013116F" w:rsidP="004B607F">
      <w:pPr>
        <w:pStyle w:val="a9"/>
        <w:rPr>
          <w:rtl/>
        </w:rPr>
      </w:pPr>
      <w:r>
        <w:rPr>
          <w:rStyle w:val="ab"/>
        </w:rPr>
        <w:footnoteRef/>
      </w:r>
      <w:r>
        <w:rPr>
          <w:rtl/>
        </w:rPr>
        <w:t xml:space="preserve"> </w:t>
      </w:r>
      <w:r w:rsidRPr="00B23076">
        <w:rPr>
          <w:rFonts w:cs="Arial"/>
          <w:rtl/>
        </w:rPr>
        <w:t>שאין אדם אומר זכור אני שלא היה כאן תל ובימי נעשה תל זה כאן</w:t>
      </w:r>
      <w:r>
        <w:rPr>
          <w:rFonts w:cs="Arial" w:hint="cs"/>
          <w:rtl/>
        </w:rPr>
        <w:t>, רש"י</w:t>
      </w:r>
      <w:r w:rsidRPr="00B23076">
        <w:rPr>
          <w:rFonts w:cs="Arial"/>
          <w:rtl/>
        </w:rPr>
        <w:t>.</w:t>
      </w:r>
    </w:p>
  </w:footnote>
  <w:footnote w:id="1472">
    <w:p w14:paraId="108D3AEC" w14:textId="77777777" w:rsidR="0013116F" w:rsidRDefault="0013116F" w:rsidP="004B607F">
      <w:pPr>
        <w:pStyle w:val="a9"/>
        <w:rPr>
          <w:rtl/>
        </w:rPr>
      </w:pPr>
      <w:r>
        <w:rPr>
          <w:rStyle w:val="ab"/>
        </w:rPr>
        <w:footnoteRef/>
      </w:r>
      <w:r>
        <w:rPr>
          <w:rtl/>
        </w:rPr>
        <w:t xml:space="preserve"> </w:t>
      </w:r>
      <w:r w:rsidRPr="00B23076">
        <w:rPr>
          <w:rFonts w:cs="Arial"/>
          <w:rtl/>
        </w:rPr>
        <w:t>מדקתני לעיל איזו היא ישנה ששים שנה וטעמא משום דלא דכירי לה הוא האי סהדות' כו'</w:t>
      </w:r>
      <w:r>
        <w:rPr>
          <w:rFonts w:cs="Arial" w:hint="cs"/>
          <w:rtl/>
        </w:rPr>
        <w:t>, רש"י</w:t>
      </w:r>
      <w:r w:rsidRPr="00B23076">
        <w:rPr>
          <w:rFonts w:cs="Arial"/>
          <w:rtl/>
        </w:rPr>
        <w:t>.</w:t>
      </w:r>
    </w:p>
  </w:footnote>
  <w:footnote w:id="1473">
    <w:p w14:paraId="151A1799" w14:textId="77777777" w:rsidR="0013116F" w:rsidRDefault="0013116F" w:rsidP="004B607F">
      <w:pPr>
        <w:pStyle w:val="a9"/>
      </w:pPr>
      <w:r>
        <w:rPr>
          <w:rStyle w:val="ab"/>
        </w:rPr>
        <w:footnoteRef/>
      </w:r>
      <w:r>
        <w:rPr>
          <w:rtl/>
        </w:rPr>
        <w:t xml:space="preserve"> </w:t>
      </w:r>
      <w:r w:rsidRPr="00B23076">
        <w:rPr>
          <w:rFonts w:cs="Arial"/>
          <w:rtl/>
        </w:rPr>
        <w:t>שעשאוהו עד בדבר אפילו טובא נמי סמכינן אסהדותיה אי מסהיד</w:t>
      </w:r>
      <w:r>
        <w:rPr>
          <w:rFonts w:cs="Arial" w:hint="cs"/>
          <w:rtl/>
        </w:rPr>
        <w:t>, רש"י</w:t>
      </w:r>
      <w:r w:rsidRPr="00B23076">
        <w:rPr>
          <w:rFonts w:cs="Arial"/>
          <w:rtl/>
        </w:rPr>
        <w:t>.</w:t>
      </w:r>
    </w:p>
  </w:footnote>
  <w:footnote w:id="1474">
    <w:p w14:paraId="25081456" w14:textId="77777777" w:rsidR="0013116F" w:rsidRDefault="0013116F" w:rsidP="004B607F">
      <w:pPr>
        <w:pStyle w:val="a9"/>
        <w:rPr>
          <w:rtl/>
        </w:rPr>
      </w:pPr>
      <w:r>
        <w:rPr>
          <w:rStyle w:val="ab"/>
        </w:rPr>
        <w:footnoteRef/>
      </w:r>
      <w:r>
        <w:rPr>
          <w:rFonts w:hint="cs"/>
          <w:rtl/>
        </w:rPr>
        <w:t xml:space="preserve"> וכתב הב"י ד</w:t>
      </w:r>
      <w:r>
        <w:rPr>
          <w:rFonts w:cs="Arial" w:hint="cs"/>
          <w:rtl/>
        </w:rPr>
        <w:t>אע"ג ד</w:t>
      </w:r>
      <w:r>
        <w:rPr>
          <w:rFonts w:cs="Arial"/>
          <w:rtl/>
        </w:rPr>
        <w:t>נראה מדברי</w:t>
      </w:r>
      <w:r>
        <w:rPr>
          <w:rFonts w:cs="Arial" w:hint="cs"/>
          <w:rtl/>
        </w:rPr>
        <w:t xml:space="preserve"> רש"י והרא"ש</w:t>
      </w:r>
      <w:r>
        <w:rPr>
          <w:rFonts w:cs="Arial"/>
          <w:rtl/>
        </w:rPr>
        <w:t xml:space="preserve"> דדוקא היכא שעשאוהו עד בדבר הוא דרמי עליה ומידכר אפילו אחר כמה שנים</w:t>
      </w:r>
      <w:r>
        <w:rPr>
          <w:rFonts w:cs="Arial" w:hint="cs"/>
          <w:rtl/>
        </w:rPr>
        <w:t>,</w:t>
      </w:r>
      <w:r>
        <w:rPr>
          <w:rFonts w:cs="Arial"/>
          <w:rtl/>
        </w:rPr>
        <w:t xml:space="preserve"> אבל אם לא עשאוהו עד בדבר לא רמי עליה טפי מתלוליות ועד שתין שנין מידכר טפי לא מידכר</w:t>
      </w:r>
      <w:r>
        <w:rPr>
          <w:rFonts w:cs="Arial" w:hint="cs"/>
          <w:rtl/>
        </w:rPr>
        <w:t>,</w:t>
      </w:r>
      <w:r>
        <w:rPr>
          <w:rFonts w:cs="Arial"/>
          <w:rtl/>
        </w:rPr>
        <w:t xml:space="preserve"> </w:t>
      </w:r>
      <w:r>
        <w:rPr>
          <w:rFonts w:cs="Arial" w:hint="cs"/>
          <w:rtl/>
        </w:rPr>
        <w:t xml:space="preserve">מ"מ </w:t>
      </w:r>
      <w:r>
        <w:rPr>
          <w:rFonts w:cs="Arial"/>
          <w:rtl/>
        </w:rPr>
        <w:t>לדידן דקיי</w:t>
      </w:r>
      <w:r>
        <w:rPr>
          <w:rFonts w:cs="Arial" w:hint="cs"/>
          <w:rtl/>
        </w:rPr>
        <w:t>"</w:t>
      </w:r>
      <w:r>
        <w:rPr>
          <w:rFonts w:cs="Arial"/>
          <w:rtl/>
        </w:rPr>
        <w:t>ל כרבי יהודה בין רמיא עליה בין לא רמיא לעולם מידכר</w:t>
      </w:r>
      <w:r>
        <w:rPr>
          <w:rFonts w:cs="Arial" w:hint="cs"/>
          <w:rtl/>
        </w:rPr>
        <w:t>.</w:t>
      </w:r>
    </w:p>
  </w:footnote>
  <w:footnote w:id="1475">
    <w:p w14:paraId="4200F338" w14:textId="77777777" w:rsidR="0013116F" w:rsidRDefault="0013116F" w:rsidP="004B607F">
      <w:pPr>
        <w:pStyle w:val="a9"/>
        <w:rPr>
          <w:rtl/>
        </w:rPr>
      </w:pPr>
      <w:r>
        <w:rPr>
          <w:rStyle w:val="ab"/>
        </w:rPr>
        <w:footnoteRef/>
      </w:r>
      <w:r>
        <w:rPr>
          <w:rtl/>
        </w:rPr>
        <w:t xml:space="preserve"> </w:t>
      </w:r>
      <w:r w:rsidRPr="00695DDB">
        <w:rPr>
          <w:rFonts w:cs="Arial"/>
          <w:rtl/>
        </w:rPr>
        <w:t>ורבינו האי פירש פירוש אחר</w:t>
      </w:r>
      <w:r>
        <w:rPr>
          <w:rFonts w:cs="Arial" w:hint="cs"/>
          <w:sz w:val="16"/>
          <w:szCs w:val="16"/>
          <w:rtl/>
        </w:rPr>
        <w:t xml:space="preserve"> {בדברי הגמ'}</w:t>
      </w:r>
      <w:r w:rsidRPr="00695DDB">
        <w:rPr>
          <w:rFonts w:cs="Arial"/>
          <w:rtl/>
        </w:rPr>
        <w:t xml:space="preserve"> יתבאר בסימן ל"ט </w:t>
      </w:r>
      <w:r w:rsidRPr="00915BA2">
        <w:rPr>
          <w:rFonts w:cs="Arial"/>
          <w:sz w:val="16"/>
          <w:szCs w:val="16"/>
          <w:rtl/>
        </w:rPr>
        <w:t xml:space="preserve">(מחודש יב) </w:t>
      </w:r>
      <w:r w:rsidRPr="00695DDB">
        <w:rPr>
          <w:rFonts w:cs="Arial"/>
          <w:rtl/>
        </w:rPr>
        <w:t>כי אע</w:t>
      </w:r>
      <w:r>
        <w:rPr>
          <w:rFonts w:cs="Arial" w:hint="cs"/>
          <w:rtl/>
        </w:rPr>
        <w:t>"</w:t>
      </w:r>
      <w:r w:rsidRPr="00695DDB">
        <w:rPr>
          <w:rFonts w:cs="Arial"/>
          <w:rtl/>
        </w:rPr>
        <w:t>פ שחלקו על פירושו הדין דין אמת</w:t>
      </w:r>
      <w:r>
        <w:rPr>
          <w:rFonts w:cs="Arial" w:hint="cs"/>
          <w:rtl/>
        </w:rPr>
        <w:t>, ב"י</w:t>
      </w:r>
      <w:r w:rsidRPr="00695DDB">
        <w:rPr>
          <w:rFonts w:cs="Arial"/>
          <w:rtl/>
        </w:rPr>
        <w:t>.</w:t>
      </w:r>
    </w:p>
  </w:footnote>
  <w:footnote w:id="1476">
    <w:p w14:paraId="397F8C3A" w14:textId="77777777" w:rsidR="0013116F" w:rsidRDefault="0013116F" w:rsidP="004B607F">
      <w:pPr>
        <w:pStyle w:val="a9"/>
        <w:rPr>
          <w:rtl/>
        </w:rPr>
      </w:pPr>
      <w:r>
        <w:rPr>
          <w:rStyle w:val="ab"/>
        </w:rPr>
        <w:footnoteRef/>
      </w:r>
      <w:r>
        <w:rPr>
          <w:rFonts w:cs="Arial"/>
          <w:rtl/>
        </w:rPr>
        <w:t xml:space="preserve"> ו</w:t>
      </w:r>
      <w:r>
        <w:rPr>
          <w:rFonts w:cs="Arial" w:hint="cs"/>
          <w:rtl/>
        </w:rPr>
        <w:t>כ' הב"י דהרמב"ם</w:t>
      </w:r>
      <w:r>
        <w:rPr>
          <w:rFonts w:cs="Arial"/>
          <w:rtl/>
        </w:rPr>
        <w:t xml:space="preserve"> מפרש כפירוש רבינו אלא דס</w:t>
      </w:r>
      <w:r>
        <w:rPr>
          <w:rFonts w:cs="Arial" w:hint="cs"/>
          <w:rtl/>
        </w:rPr>
        <w:t>"</w:t>
      </w:r>
      <w:r>
        <w:rPr>
          <w:rFonts w:cs="Arial"/>
          <w:rtl/>
        </w:rPr>
        <w:t>ל ז"ל שאם אין העדים זוכרים עדותם ואין כתב ידם יוצא ממקום אחר ואין שם עידי קיום אין דנין ע</w:t>
      </w:r>
      <w:r>
        <w:rPr>
          <w:rFonts w:cs="Arial" w:hint="cs"/>
          <w:rtl/>
        </w:rPr>
        <w:t>"</w:t>
      </w:r>
      <w:r>
        <w:rPr>
          <w:rFonts w:cs="Arial"/>
          <w:rtl/>
        </w:rPr>
        <w:t>פ השטר</w:t>
      </w:r>
      <w:r>
        <w:rPr>
          <w:rFonts w:cs="Arial" w:hint="cs"/>
          <w:sz w:val="16"/>
          <w:szCs w:val="16"/>
          <w:rtl/>
        </w:rPr>
        <w:t xml:space="preserve"> {היינו שאינו גובה ממשעבדי}</w:t>
      </w:r>
      <w:r>
        <w:rPr>
          <w:rFonts w:cs="Arial" w:hint="cs"/>
          <w:rtl/>
        </w:rPr>
        <w:t>,</w:t>
      </w:r>
      <w:r>
        <w:rPr>
          <w:rFonts w:cs="Arial"/>
          <w:rtl/>
        </w:rPr>
        <w:t xml:space="preserve"> ולדידיה לישנא דברייתא דייקא דקתני </w:t>
      </w:r>
      <w:r>
        <w:rPr>
          <w:rFonts w:cs="Arial" w:hint="cs"/>
          <w:rtl/>
        </w:rPr>
        <w:t>'</w:t>
      </w:r>
      <w:r>
        <w:rPr>
          <w:rFonts w:cs="Arial"/>
          <w:rtl/>
        </w:rPr>
        <w:t>כותב אדם עדותו על השטר</w:t>
      </w:r>
      <w:r>
        <w:rPr>
          <w:rFonts w:cs="Arial" w:hint="cs"/>
          <w:rtl/>
        </w:rPr>
        <w:t>'</w:t>
      </w:r>
      <w:r>
        <w:rPr>
          <w:rFonts w:cs="Arial"/>
          <w:rtl/>
        </w:rPr>
        <w:t xml:space="preserve"> דהיינו שטר ממש</w:t>
      </w:r>
      <w:r>
        <w:rPr>
          <w:rFonts w:cs="Arial" w:hint="cs"/>
          <w:rtl/>
        </w:rPr>
        <w:t>,</w:t>
      </w:r>
      <w:r>
        <w:rPr>
          <w:rFonts w:cs="Arial"/>
          <w:rtl/>
        </w:rPr>
        <w:t xml:space="preserve"> ובשאין כתב ידו יוצא ממקום אחר ואין עדים מצויים לקיימו</w:t>
      </w:r>
      <w:r>
        <w:rPr>
          <w:rFonts w:cs="Arial" w:hint="cs"/>
          <w:rtl/>
        </w:rPr>
        <w:t>.</w:t>
      </w:r>
      <w:r>
        <w:rPr>
          <w:rFonts w:cs="Arial"/>
          <w:rtl/>
        </w:rPr>
        <w:t xml:space="preserve"> וה</w:t>
      </w:r>
      <w:r>
        <w:rPr>
          <w:rFonts w:cs="Arial" w:hint="cs"/>
          <w:rtl/>
        </w:rPr>
        <w:t>"</w:t>
      </w:r>
      <w:r>
        <w:rPr>
          <w:rFonts w:cs="Arial"/>
          <w:rtl/>
        </w:rPr>
        <w:t xml:space="preserve">ה אם נמצא כתוב בפנקסו ונזכר </w:t>
      </w:r>
      <w:r>
        <w:rPr>
          <w:rFonts w:cs="Arial" w:hint="cs"/>
          <w:rtl/>
        </w:rPr>
        <w:t xml:space="preserve">- </w:t>
      </w:r>
      <w:r>
        <w:rPr>
          <w:rFonts w:cs="Arial"/>
          <w:rtl/>
        </w:rPr>
        <w:t>שמעיד אפילו אחר כמה שנים וכו'.</w:t>
      </w:r>
    </w:p>
  </w:footnote>
  <w:footnote w:id="1477">
    <w:p w14:paraId="6D336196" w14:textId="77777777" w:rsidR="0013116F" w:rsidRDefault="0013116F" w:rsidP="004B607F">
      <w:pPr>
        <w:pStyle w:val="a9"/>
        <w:rPr>
          <w:rtl/>
        </w:rPr>
      </w:pPr>
      <w:r>
        <w:rPr>
          <w:rStyle w:val="ab"/>
        </w:rPr>
        <w:footnoteRef/>
      </w:r>
      <w:r>
        <w:rPr>
          <w:rtl/>
        </w:rPr>
        <w:t xml:space="preserve"> </w:t>
      </w:r>
      <w:r>
        <w:rPr>
          <w:rFonts w:hint="cs"/>
          <w:rtl/>
        </w:rPr>
        <w:t>הדרכ"מ (אות ח)</w:t>
      </w:r>
      <w:r>
        <w:rPr>
          <w:rFonts w:cs="Arial" w:hint="cs"/>
          <w:rtl/>
        </w:rPr>
        <w:t xml:space="preserve"> הביא את דברי מהריו שהעתיק חלק מדברי מהר"ם הנ"ל, וכתב הדרכ"מ שם ש</w:t>
      </w:r>
      <w:r w:rsidRPr="00F64B08">
        <w:rPr>
          <w:rFonts w:cs="Arial"/>
          <w:rtl/>
        </w:rPr>
        <w:t>לא משמע כן מדברי הרי"ף (ז</w:t>
      </w:r>
      <w:r>
        <w:rPr>
          <w:rFonts w:cs="Arial" w:hint="cs"/>
          <w:rtl/>
        </w:rPr>
        <w:t>:</w:t>
      </w:r>
      <w:r w:rsidRPr="00F64B08">
        <w:rPr>
          <w:rFonts w:cs="Arial"/>
          <w:rtl/>
        </w:rPr>
        <w:t xml:space="preserve">) והתוספות פ"ב </w:t>
      </w:r>
      <w:r w:rsidRPr="009310AA">
        <w:rPr>
          <w:rFonts w:cs="Arial"/>
          <w:color w:val="000000" w:themeColor="text1"/>
          <w:rtl/>
        </w:rPr>
        <w:t>דכתובות (כ</w:t>
      </w:r>
      <w:r w:rsidRPr="009310AA">
        <w:rPr>
          <w:rFonts w:cs="Arial" w:hint="cs"/>
          <w:color w:val="000000" w:themeColor="text1"/>
          <w:rtl/>
        </w:rPr>
        <w:t>:</w:t>
      </w:r>
      <w:r w:rsidRPr="009310AA">
        <w:rPr>
          <w:rFonts w:cs="Arial"/>
          <w:color w:val="000000" w:themeColor="text1"/>
          <w:rtl/>
        </w:rPr>
        <w:t>)</w:t>
      </w:r>
      <w:r w:rsidRPr="009310AA">
        <w:rPr>
          <w:rFonts w:cs="Arial" w:hint="cs"/>
          <w:color w:val="000000" w:themeColor="text1"/>
          <w:rtl/>
        </w:rPr>
        <w:t>,</w:t>
      </w:r>
      <w:r w:rsidRPr="009310AA">
        <w:rPr>
          <w:rFonts w:cs="Arial"/>
          <w:color w:val="000000" w:themeColor="text1"/>
          <w:rtl/>
        </w:rPr>
        <w:t xml:space="preserve"> ועיין לקמן סימן מ"ו (סי"ד, לז) מדין זה</w:t>
      </w:r>
      <w:r w:rsidRPr="009310AA">
        <w:rPr>
          <w:rFonts w:cs="Arial" w:hint="cs"/>
          <w:color w:val="000000" w:themeColor="text1"/>
          <w:rtl/>
        </w:rPr>
        <w:t>,</w:t>
      </w:r>
      <w:r w:rsidRPr="009310AA">
        <w:rPr>
          <w:rFonts w:cs="Arial"/>
          <w:color w:val="000000" w:themeColor="text1"/>
          <w:rtl/>
        </w:rPr>
        <w:t xml:space="preserve"> ועיין לקמן ר</w:t>
      </w:r>
      <w:r w:rsidRPr="009310AA">
        <w:rPr>
          <w:rFonts w:cs="Arial" w:hint="cs"/>
          <w:color w:val="000000" w:themeColor="text1"/>
          <w:rtl/>
        </w:rPr>
        <w:t>"</w:t>
      </w:r>
      <w:r w:rsidRPr="009310AA">
        <w:rPr>
          <w:rFonts w:cs="Arial"/>
          <w:color w:val="000000" w:themeColor="text1"/>
          <w:rtl/>
        </w:rPr>
        <w:t>ס ל"ט (אות ג) כתבתי מדין זה</w:t>
      </w:r>
      <w:r w:rsidRPr="009310AA">
        <w:rPr>
          <w:rFonts w:hint="cs"/>
          <w:color w:val="000000" w:themeColor="text1"/>
          <w:sz w:val="16"/>
          <w:szCs w:val="16"/>
          <w:rtl/>
        </w:rPr>
        <w:t xml:space="preserve"> (עכ"ל הדרכ"מ)</w:t>
      </w:r>
      <w:r w:rsidRPr="009310AA">
        <w:rPr>
          <w:rFonts w:hint="cs"/>
          <w:color w:val="000000" w:themeColor="text1"/>
          <w:rtl/>
        </w:rPr>
        <w:t>.</w:t>
      </w:r>
      <w:r w:rsidRPr="009310AA">
        <w:rPr>
          <w:rFonts w:cs="Arial"/>
          <w:color w:val="000000" w:themeColor="text1"/>
          <w:rtl/>
        </w:rPr>
        <w:t xml:space="preserve"> והש"ך</w:t>
      </w:r>
      <w:r w:rsidRPr="009310AA">
        <w:rPr>
          <w:rFonts w:cs="Arial" w:hint="cs"/>
          <w:color w:val="000000" w:themeColor="text1"/>
          <w:rtl/>
        </w:rPr>
        <w:t xml:space="preserve"> </w:t>
      </w:r>
      <w:r w:rsidRPr="009310AA">
        <w:rPr>
          <w:rFonts w:cs="Arial" w:hint="cs"/>
          <w:color w:val="000000" w:themeColor="text1"/>
          <w:sz w:val="16"/>
          <w:szCs w:val="16"/>
          <w:rtl/>
        </w:rPr>
        <w:t>(סי' מו סקל"ג-לד)</w:t>
      </w:r>
      <w:r w:rsidRPr="009310AA">
        <w:rPr>
          <w:rFonts w:cs="Arial"/>
          <w:color w:val="000000" w:themeColor="text1"/>
          <w:rtl/>
        </w:rPr>
        <w:t xml:space="preserve"> תמה על דברי </w:t>
      </w:r>
      <w:r w:rsidRPr="009310AA">
        <w:rPr>
          <w:rFonts w:cs="Arial" w:hint="cs"/>
          <w:color w:val="000000" w:themeColor="text1"/>
          <w:rtl/>
        </w:rPr>
        <w:t>מהר"ם והרמ"א</w:t>
      </w:r>
      <w:r>
        <w:rPr>
          <w:rFonts w:cs="Arial" w:hint="cs"/>
          <w:color w:val="000000" w:themeColor="text1"/>
          <w:rtl/>
        </w:rPr>
        <w:t xml:space="preserve"> </w:t>
      </w:r>
      <w:r w:rsidRPr="00AC2089">
        <w:rPr>
          <w:rFonts w:cs="Arial" w:hint="cs"/>
          <w:color w:val="000000" w:themeColor="text1"/>
          <w:sz w:val="16"/>
          <w:szCs w:val="16"/>
          <w:rtl/>
        </w:rPr>
        <w:t xml:space="preserve">(בסי' מו ס"י שהביא את דברי מהר"ם הללו </w:t>
      </w:r>
      <w:r>
        <w:rPr>
          <w:rFonts w:cs="Arial" w:hint="cs"/>
          <w:color w:val="000000" w:themeColor="text1"/>
          <w:sz w:val="16"/>
          <w:szCs w:val="16"/>
          <w:rtl/>
        </w:rPr>
        <w:t>ב</w:t>
      </w:r>
      <w:r w:rsidRPr="00AC2089">
        <w:rPr>
          <w:rFonts w:cs="Arial" w:hint="cs"/>
          <w:color w:val="000000" w:themeColor="text1"/>
          <w:sz w:val="16"/>
          <w:szCs w:val="16"/>
          <w:rtl/>
        </w:rPr>
        <w:t xml:space="preserve">דעה </w:t>
      </w:r>
      <w:r>
        <w:rPr>
          <w:rFonts w:cs="Arial" w:hint="cs"/>
          <w:color w:val="000000" w:themeColor="text1"/>
          <w:sz w:val="16"/>
          <w:szCs w:val="16"/>
          <w:rtl/>
        </w:rPr>
        <w:t>ראשונה</w:t>
      </w:r>
      <w:r w:rsidRPr="00AC2089">
        <w:rPr>
          <w:rFonts w:cs="Arial" w:hint="cs"/>
          <w:color w:val="000000" w:themeColor="text1"/>
          <w:sz w:val="16"/>
          <w:szCs w:val="16"/>
          <w:rtl/>
        </w:rPr>
        <w:t>)</w:t>
      </w:r>
      <w:r w:rsidRPr="00AC2089">
        <w:rPr>
          <w:rFonts w:cs="Arial"/>
          <w:color w:val="000000" w:themeColor="text1"/>
          <w:sz w:val="16"/>
          <w:szCs w:val="16"/>
          <w:rtl/>
        </w:rPr>
        <w:t xml:space="preserve"> </w:t>
      </w:r>
      <w:r w:rsidRPr="009310AA">
        <w:rPr>
          <w:rFonts w:cs="Arial"/>
          <w:color w:val="000000" w:themeColor="text1"/>
          <w:rtl/>
        </w:rPr>
        <w:t>שחילק</w:t>
      </w:r>
      <w:r w:rsidRPr="009310AA">
        <w:rPr>
          <w:rFonts w:cs="Arial" w:hint="cs"/>
          <w:color w:val="000000" w:themeColor="text1"/>
          <w:rtl/>
        </w:rPr>
        <w:t>ו</w:t>
      </w:r>
      <w:r w:rsidRPr="009310AA">
        <w:rPr>
          <w:rFonts w:cs="Arial"/>
          <w:color w:val="000000" w:themeColor="text1"/>
          <w:rtl/>
        </w:rPr>
        <w:t xml:space="preserve"> בין עד אחד לשני עדים, שמהתוס' ושאר ראשונים נראה שאין חילוק ואף בשני עדים חתומים על השטר צריך שיהיו זכורים מעצמם.</w:t>
      </w:r>
      <w:r w:rsidRPr="009310AA">
        <w:rPr>
          <w:rFonts w:cs="Arial" w:hint="cs"/>
          <w:color w:val="000000" w:themeColor="text1"/>
          <w:rtl/>
        </w:rPr>
        <w:t xml:space="preserve"> </w:t>
      </w:r>
      <w:r>
        <w:rPr>
          <w:rFonts w:cs="Arial" w:hint="cs"/>
          <w:color w:val="FF0000"/>
          <w:rtl/>
        </w:rPr>
        <w:t xml:space="preserve">ולא הבנתי למה יש לתמוה על מהר"ם, שהרי מהר"ם דיבר בשטר גמור </w:t>
      </w:r>
      <w:r w:rsidRPr="004E49F5">
        <w:rPr>
          <w:rFonts w:cs="Arial" w:hint="cs"/>
          <w:color w:val="FF0000"/>
          <w:sz w:val="16"/>
          <w:szCs w:val="16"/>
          <w:rtl/>
        </w:rPr>
        <w:t xml:space="preserve">(שני עדים, נכתב מדעת שניהם, ונכתב כתיקון שטרות) </w:t>
      </w:r>
      <w:r>
        <w:rPr>
          <w:rFonts w:cs="Arial" w:hint="cs"/>
          <w:color w:val="FF0000"/>
          <w:rtl/>
        </w:rPr>
        <w:t xml:space="preserve">, וכמו שכתב מהר"ם בהדיא </w:t>
      </w:r>
      <w:r w:rsidRPr="004E49F5">
        <w:rPr>
          <w:rFonts w:cs="Arial" w:hint="cs"/>
          <w:color w:val="FF0000"/>
          <w:sz w:val="16"/>
          <w:szCs w:val="16"/>
          <w:rtl/>
        </w:rPr>
        <w:t>(ולכן לכאורה היה לומר שאין תשו' זו שייכת כאן, דכאן מיירי בכותב עדותו בפנקס ולא בשטר גמור</w:t>
      </w:r>
      <w:r>
        <w:rPr>
          <w:rFonts w:cs="Arial" w:hint="cs"/>
          <w:color w:val="FF0000"/>
          <w:sz w:val="16"/>
          <w:szCs w:val="16"/>
          <w:rtl/>
        </w:rPr>
        <w:t>)</w:t>
      </w:r>
      <w:r>
        <w:rPr>
          <w:rFonts w:cs="Arial" w:hint="cs"/>
          <w:color w:val="FF0000"/>
          <w:rtl/>
        </w:rPr>
        <w:t xml:space="preserve">. אבל התמיהה אכן שייכת על מה שהוציא הרמ"א בסי' מו ס"י מדברי מהר"ם הללו, שכתב שם הרמ"א שאם לא נכתב כתיקון השטרות ולא נכתב גם מדעת שניהם אז אע"פ שאינם זוכרים העדות מ"מ יש לב"ד להחשיב את העדות כעדות על פה. </w:t>
      </w:r>
    </w:p>
  </w:footnote>
  <w:footnote w:id="1478">
    <w:p w14:paraId="6733B37F" w14:textId="77777777" w:rsidR="0013116F" w:rsidRDefault="0013116F" w:rsidP="004B607F">
      <w:pPr>
        <w:pStyle w:val="a9"/>
      </w:pPr>
      <w:r>
        <w:rPr>
          <w:rStyle w:val="ab"/>
        </w:rPr>
        <w:footnoteRef/>
      </w:r>
      <w:r>
        <w:rPr>
          <w:rtl/>
        </w:rPr>
        <w:t xml:space="preserve"> </w:t>
      </w:r>
      <w:r w:rsidRPr="00F44BCC">
        <w:rPr>
          <w:rFonts w:cs="Arial"/>
          <w:rtl/>
        </w:rPr>
        <w:t>לא מיבעיא אם נעשה מתחילה עד בדבר דאז מתחילה רמיא אנפשיה ואינו שוכחו, אלא אפילו לא נעשה מתחילה עד בדבר, מכל מקום כשעתה רמיא אנפשיה לזוכרה מעיד לו,</w:t>
      </w:r>
      <w:r>
        <w:rPr>
          <w:rFonts w:cs="Arial" w:hint="cs"/>
          <w:rtl/>
        </w:rPr>
        <w:t xml:space="preserve"> סמ"ע (סקמ"ד).</w:t>
      </w:r>
    </w:p>
  </w:footnote>
  <w:footnote w:id="1479">
    <w:p w14:paraId="457A00A7" w14:textId="77777777" w:rsidR="0013116F" w:rsidRDefault="0013116F" w:rsidP="004B607F">
      <w:pPr>
        <w:pStyle w:val="a9"/>
        <w:rPr>
          <w:rtl/>
        </w:rPr>
      </w:pPr>
      <w:r>
        <w:rPr>
          <w:rStyle w:val="ab"/>
        </w:rPr>
        <w:footnoteRef/>
      </w:r>
      <w:r>
        <w:rPr>
          <w:rtl/>
        </w:rPr>
        <w:t xml:space="preserve"> </w:t>
      </w:r>
      <w:r>
        <w:rPr>
          <w:rFonts w:hint="cs"/>
          <w:rtl/>
        </w:rPr>
        <w:t xml:space="preserve">סימן </w:t>
      </w:r>
      <w:r>
        <w:rPr>
          <w:rtl/>
        </w:rPr>
        <w:t>–</w:t>
      </w:r>
      <w:r>
        <w:rPr>
          <w:rFonts w:hint="cs"/>
          <w:rtl/>
        </w:rPr>
        <w:t xml:space="preserve"> כותב כשזוכר. </w:t>
      </w:r>
    </w:p>
  </w:footnote>
  <w:footnote w:id="1480">
    <w:p w14:paraId="7477E79F" w14:textId="77777777" w:rsidR="0013116F" w:rsidRDefault="0013116F" w:rsidP="004B607F">
      <w:pPr>
        <w:pStyle w:val="a9"/>
        <w:rPr>
          <w:rtl/>
        </w:rPr>
      </w:pPr>
      <w:r>
        <w:rPr>
          <w:rStyle w:val="ab"/>
        </w:rPr>
        <w:footnoteRef/>
      </w:r>
      <w:r>
        <w:rPr>
          <w:rtl/>
        </w:rPr>
        <w:t xml:space="preserve"> </w:t>
      </w:r>
      <w:r w:rsidRPr="00C06486">
        <w:rPr>
          <w:rFonts w:cs="Arial"/>
          <w:rtl/>
        </w:rPr>
        <w:t>בלא ראיית השטר נזכר קצת מעדותו מאליו</w:t>
      </w:r>
      <w:r>
        <w:rPr>
          <w:rFonts w:cs="Arial" w:hint="cs"/>
          <w:rtl/>
        </w:rPr>
        <w:t>, רש"י</w:t>
      </w:r>
      <w:r w:rsidRPr="00C06486">
        <w:rPr>
          <w:rFonts w:cs="Arial"/>
          <w:rtl/>
        </w:rPr>
        <w:t>.</w:t>
      </w:r>
    </w:p>
  </w:footnote>
  <w:footnote w:id="1481">
    <w:p w14:paraId="36FDC09D" w14:textId="77777777" w:rsidR="0013116F" w:rsidRDefault="0013116F" w:rsidP="004B607F">
      <w:pPr>
        <w:pStyle w:val="a9"/>
        <w:rPr>
          <w:rtl/>
        </w:rPr>
      </w:pPr>
      <w:r>
        <w:rPr>
          <w:rStyle w:val="ab"/>
        </w:rPr>
        <w:footnoteRef/>
      </w:r>
      <w:r>
        <w:rPr>
          <w:rtl/>
        </w:rPr>
        <w:t xml:space="preserve"> </w:t>
      </w:r>
      <w:r w:rsidRPr="00C06486">
        <w:rPr>
          <w:rFonts w:cs="Arial"/>
          <w:rtl/>
        </w:rPr>
        <w:t>אלא לאחר שרואה בשטר נתן בלבו ונזכר שלא נשתכח ממנו כל כך שכשמזכירים לו נזכר אבל אינו נזכר לגמרי לא דרחמנא אמר מפיהם ולא מפי כתבם</w:t>
      </w:r>
      <w:r>
        <w:rPr>
          <w:rFonts w:cs="Arial" w:hint="cs"/>
          <w:rtl/>
        </w:rPr>
        <w:t>, רש"י</w:t>
      </w:r>
      <w:r w:rsidRPr="00C06486">
        <w:rPr>
          <w:rFonts w:cs="Arial"/>
          <w:rtl/>
        </w:rPr>
        <w:t>.</w:t>
      </w:r>
    </w:p>
  </w:footnote>
  <w:footnote w:id="1482">
    <w:p w14:paraId="3FD318A2" w14:textId="77777777" w:rsidR="0013116F" w:rsidRPr="0079248C" w:rsidRDefault="0013116F" w:rsidP="004B607F">
      <w:pPr>
        <w:pStyle w:val="a9"/>
      </w:pPr>
      <w:r w:rsidRPr="0079248C">
        <w:rPr>
          <w:rStyle w:val="ab"/>
        </w:rPr>
        <w:footnoteRef/>
      </w:r>
      <w:r w:rsidRPr="0079248C">
        <w:rPr>
          <w:rtl/>
        </w:rPr>
        <w:t xml:space="preserve"> </w:t>
      </w:r>
      <w:r w:rsidRPr="0079248C">
        <w:rPr>
          <w:rFonts w:cs="Arial"/>
          <w:rtl/>
        </w:rPr>
        <w:t>אם בעל דין עצמו מזכירו עד שנזכר מאי</w:t>
      </w:r>
      <w:r w:rsidRPr="0079248C">
        <w:rPr>
          <w:rFonts w:cs="Arial" w:hint="cs"/>
          <w:rtl/>
        </w:rPr>
        <w:t>, רש"י</w:t>
      </w:r>
      <w:r w:rsidRPr="0079248C">
        <w:rPr>
          <w:rFonts w:cs="Arial"/>
          <w:rtl/>
        </w:rPr>
        <w:t>.</w:t>
      </w:r>
    </w:p>
  </w:footnote>
  <w:footnote w:id="1483">
    <w:p w14:paraId="2064D146" w14:textId="77777777" w:rsidR="0013116F" w:rsidRDefault="0013116F" w:rsidP="004B607F">
      <w:pPr>
        <w:pStyle w:val="a9"/>
        <w:rPr>
          <w:rtl/>
        </w:rPr>
      </w:pPr>
      <w:r>
        <w:rPr>
          <w:rStyle w:val="ab"/>
        </w:rPr>
        <w:footnoteRef/>
      </w:r>
      <w:r>
        <w:rPr>
          <w:rtl/>
        </w:rPr>
        <w:t xml:space="preserve"> </w:t>
      </w:r>
      <w:r w:rsidRPr="00C06486">
        <w:rPr>
          <w:rFonts w:cs="Arial"/>
          <w:rtl/>
        </w:rPr>
        <w:t>העד</w:t>
      </w:r>
      <w:r>
        <w:rPr>
          <w:rFonts w:cs="Arial" w:hint="cs"/>
          <w:rtl/>
        </w:rPr>
        <w:t>, רש"י</w:t>
      </w:r>
      <w:r w:rsidRPr="00C06486">
        <w:rPr>
          <w:rFonts w:cs="Arial"/>
          <w:rtl/>
        </w:rPr>
        <w:t>.</w:t>
      </w:r>
    </w:p>
  </w:footnote>
  <w:footnote w:id="1484">
    <w:p w14:paraId="56BD3CC6" w14:textId="77777777" w:rsidR="0013116F" w:rsidRDefault="0013116F" w:rsidP="004B607F">
      <w:pPr>
        <w:pStyle w:val="a9"/>
      </w:pPr>
      <w:r>
        <w:rPr>
          <w:rStyle w:val="ab"/>
        </w:rPr>
        <w:footnoteRef/>
      </w:r>
      <w:r>
        <w:rPr>
          <w:rtl/>
        </w:rPr>
        <w:t xml:space="preserve"> </w:t>
      </w:r>
      <w:r w:rsidRPr="00C06486">
        <w:rPr>
          <w:rFonts w:cs="Arial"/>
          <w:rtl/>
        </w:rPr>
        <w:t>של בעל דין</w:t>
      </w:r>
      <w:r>
        <w:rPr>
          <w:rFonts w:cs="Arial" w:hint="cs"/>
          <w:rtl/>
        </w:rPr>
        <w:t>.</w:t>
      </w:r>
      <w:r w:rsidRPr="00C06486">
        <w:rPr>
          <w:rFonts w:cs="Arial"/>
          <w:rtl/>
        </w:rPr>
        <w:t xml:space="preserve"> דצורבא דרבנן אי לאו דכי רמי אנפשיה מדכר שפיר לא הוה סמיך אספיקא למיקם ואסהודי</w:t>
      </w:r>
      <w:r>
        <w:rPr>
          <w:rFonts w:cs="Arial" w:hint="cs"/>
          <w:rtl/>
        </w:rPr>
        <w:t>, רש"י</w:t>
      </w:r>
      <w:r w:rsidRPr="00C06486">
        <w:rPr>
          <w:rFonts w:cs="Arial"/>
          <w:rtl/>
        </w:rPr>
        <w:t>.</w:t>
      </w:r>
    </w:p>
  </w:footnote>
  <w:footnote w:id="1485">
    <w:p w14:paraId="34D169AC" w14:textId="77777777" w:rsidR="0013116F" w:rsidRDefault="0013116F" w:rsidP="004B607F">
      <w:pPr>
        <w:pStyle w:val="a9"/>
        <w:rPr>
          <w:rtl/>
        </w:rPr>
      </w:pPr>
      <w:r>
        <w:rPr>
          <w:rStyle w:val="ab"/>
        </w:rPr>
        <w:footnoteRef/>
      </w:r>
      <w:r>
        <w:rPr>
          <w:rtl/>
        </w:rPr>
        <w:t xml:space="preserve"> </w:t>
      </w:r>
      <w:r w:rsidRPr="00C06486">
        <w:rPr>
          <w:rFonts w:cs="Arial"/>
          <w:rtl/>
        </w:rPr>
        <w:t>מגמגם תמה על רב אשי שהעיד בדבר</w:t>
      </w:r>
      <w:r>
        <w:rPr>
          <w:rFonts w:cs="Arial" w:hint="cs"/>
          <w:rtl/>
        </w:rPr>
        <w:t>, רש"י</w:t>
      </w:r>
      <w:r w:rsidRPr="00C06486">
        <w:rPr>
          <w:rFonts w:cs="Arial"/>
          <w:rtl/>
        </w:rPr>
        <w:t>.</w:t>
      </w:r>
    </w:p>
  </w:footnote>
  <w:footnote w:id="1486">
    <w:p w14:paraId="60CFBAFB" w14:textId="77777777" w:rsidR="0013116F" w:rsidRDefault="0013116F" w:rsidP="004B607F">
      <w:pPr>
        <w:pStyle w:val="a9"/>
        <w:rPr>
          <w:rtl/>
        </w:rPr>
      </w:pPr>
      <w:r>
        <w:rPr>
          <w:rStyle w:val="ab"/>
        </w:rPr>
        <w:footnoteRef/>
      </w:r>
      <w:r>
        <w:rPr>
          <w:rtl/>
        </w:rPr>
        <w:t xml:space="preserve"> </w:t>
      </w:r>
      <w:r w:rsidRPr="000E6DCB">
        <w:rPr>
          <w:rFonts w:cs="Arial"/>
          <w:rtl/>
        </w:rPr>
        <w:t xml:space="preserve">הטור הביא דברי רש"י </w:t>
      </w:r>
      <w:r>
        <w:rPr>
          <w:rFonts w:cs="Arial" w:hint="cs"/>
          <w:rtl/>
        </w:rPr>
        <w:t xml:space="preserve">תחילה </w:t>
      </w:r>
      <w:r w:rsidRPr="000E6DCB">
        <w:rPr>
          <w:rFonts w:cs="Arial"/>
          <w:rtl/>
        </w:rPr>
        <w:t>ו</w:t>
      </w:r>
      <w:r>
        <w:rPr>
          <w:rFonts w:cs="Arial" w:hint="cs"/>
          <w:rtl/>
        </w:rPr>
        <w:t xml:space="preserve">אחריו את </w:t>
      </w:r>
      <w:r w:rsidRPr="000E6DCB">
        <w:rPr>
          <w:rFonts w:cs="Arial"/>
          <w:rtl/>
        </w:rPr>
        <w:t>דברי הרמב"ם,</w:t>
      </w:r>
      <w:r>
        <w:rPr>
          <w:rFonts w:cs="Arial" w:hint="cs"/>
          <w:rtl/>
        </w:rPr>
        <w:t xml:space="preserve"> וכתב הסמ"ע (סקמ"ו)</w:t>
      </w:r>
      <w:r w:rsidRPr="000E6DCB">
        <w:rPr>
          <w:rFonts w:cs="Arial"/>
          <w:rtl/>
        </w:rPr>
        <w:t xml:space="preserve"> </w:t>
      </w:r>
      <w:r>
        <w:rPr>
          <w:rFonts w:cs="Arial" w:hint="cs"/>
          <w:rtl/>
        </w:rPr>
        <w:t>ד</w:t>
      </w:r>
      <w:r w:rsidRPr="000E6DCB">
        <w:rPr>
          <w:rFonts w:cs="Arial"/>
          <w:rtl/>
        </w:rPr>
        <w:t>משמע דס"ל כהרמב"ם או כדברי שניהן. ו</w:t>
      </w:r>
      <w:r>
        <w:rPr>
          <w:rFonts w:cs="Arial" w:hint="cs"/>
          <w:rtl/>
        </w:rPr>
        <w:t>כתב שכן עיקר.</w:t>
      </w:r>
    </w:p>
  </w:footnote>
  <w:footnote w:id="1487">
    <w:p w14:paraId="1C4524AC" w14:textId="77777777" w:rsidR="0013116F" w:rsidRDefault="0013116F" w:rsidP="004B607F">
      <w:pPr>
        <w:pStyle w:val="a9"/>
        <w:rPr>
          <w:rtl/>
        </w:rPr>
      </w:pPr>
      <w:r>
        <w:rPr>
          <w:rStyle w:val="ab"/>
        </w:rPr>
        <w:footnoteRef/>
      </w:r>
      <w:r>
        <w:rPr>
          <w:rtl/>
        </w:rPr>
        <w:t xml:space="preserve"> </w:t>
      </w:r>
      <w:r>
        <w:rPr>
          <w:rFonts w:cs="Arial"/>
          <w:rtl/>
        </w:rPr>
        <w:t xml:space="preserve">בנוסחאות שלנו כתוב </w:t>
      </w:r>
      <w:r>
        <w:rPr>
          <w:rFonts w:cs="Arial" w:hint="cs"/>
          <w:rtl/>
        </w:rPr>
        <w:t xml:space="preserve">שהרמב"ם כתב כן לגבי </w:t>
      </w:r>
      <w:r w:rsidRPr="00A75618">
        <w:rPr>
          <w:rFonts w:cs="Arial" w:hint="cs"/>
          <w:b/>
          <w:bCs/>
          <w:rtl/>
        </w:rPr>
        <w:t>תובע</w:t>
      </w:r>
      <w:r>
        <w:rPr>
          <w:rFonts w:cs="Arial" w:hint="cs"/>
          <w:rtl/>
        </w:rPr>
        <w:t xml:space="preserve"> שהזכיר לעד את עדותו, ולא לגבי נתבע שהזכיר לעד את עדותו, ו</w:t>
      </w:r>
      <w:r>
        <w:rPr>
          <w:rFonts w:cs="Arial"/>
          <w:rtl/>
        </w:rPr>
        <w:t>אפשר</w:t>
      </w:r>
      <w:r>
        <w:rPr>
          <w:rFonts w:cs="Arial" w:hint="cs"/>
          <w:rtl/>
        </w:rPr>
        <w:t xml:space="preserve"> שהטור </w:t>
      </w:r>
      <w:r>
        <w:rPr>
          <w:rFonts w:cs="Arial"/>
          <w:rtl/>
        </w:rPr>
        <w:t xml:space="preserve">שינה וכתב </w:t>
      </w:r>
      <w:r>
        <w:rPr>
          <w:rFonts w:cs="Arial" w:hint="cs"/>
          <w:rtl/>
        </w:rPr>
        <w:t>'</w:t>
      </w:r>
      <w:r>
        <w:rPr>
          <w:rFonts w:cs="Arial"/>
          <w:rtl/>
        </w:rPr>
        <w:t>בעל דין</w:t>
      </w:r>
      <w:r>
        <w:rPr>
          <w:rFonts w:cs="Arial" w:hint="cs"/>
          <w:rtl/>
        </w:rPr>
        <w:t>'</w:t>
      </w:r>
      <w:r>
        <w:rPr>
          <w:rFonts w:cs="Arial"/>
          <w:rtl/>
        </w:rPr>
        <w:t xml:space="preserve"> לומר דהוא הדין ביודע עדות לנתבע דמאי שנא</w:t>
      </w:r>
      <w:r w:rsidRPr="00A75618">
        <w:rPr>
          <w:rFonts w:cs="Arial" w:hint="cs"/>
          <w:sz w:val="16"/>
          <w:szCs w:val="16"/>
          <w:rtl/>
        </w:rPr>
        <w:t xml:space="preserve"> (ע"פ ב"י)</w:t>
      </w:r>
      <w:r>
        <w:rPr>
          <w:rFonts w:cs="Arial"/>
          <w:rtl/>
        </w:rPr>
        <w:t>.</w:t>
      </w:r>
    </w:p>
  </w:footnote>
  <w:footnote w:id="1488">
    <w:p w14:paraId="239CAD22" w14:textId="77777777" w:rsidR="0013116F" w:rsidRDefault="0013116F" w:rsidP="004B607F">
      <w:pPr>
        <w:pStyle w:val="a9"/>
      </w:pPr>
      <w:r>
        <w:rPr>
          <w:rStyle w:val="ab"/>
        </w:rPr>
        <w:footnoteRef/>
      </w:r>
      <w:r>
        <w:rPr>
          <w:rtl/>
        </w:rPr>
        <w:t xml:space="preserve"> </w:t>
      </w:r>
      <w:r>
        <w:rPr>
          <w:rFonts w:cs="Arial"/>
          <w:rtl/>
        </w:rPr>
        <w:t>ועל דעת הרמב"ם קשה לי</w:t>
      </w:r>
      <w:r>
        <w:rPr>
          <w:rFonts w:cs="Arial" w:hint="cs"/>
          <w:rtl/>
        </w:rPr>
        <w:t>,</w:t>
      </w:r>
      <w:r>
        <w:rPr>
          <w:rFonts w:cs="Arial"/>
          <w:rtl/>
        </w:rPr>
        <w:t xml:space="preserve"> דבשלמא לרש"י כיון שהעד תלמיד חכם יודע שאם אינו נזכר אינו יכול להעיד</w:t>
      </w:r>
      <w:r>
        <w:rPr>
          <w:rFonts w:cs="Arial" w:hint="cs"/>
          <w:rtl/>
        </w:rPr>
        <w:t>,</w:t>
      </w:r>
      <w:r>
        <w:rPr>
          <w:rFonts w:cs="Arial"/>
          <w:rtl/>
        </w:rPr>
        <w:t xml:space="preserve"> אבל אם העד אינו תלמיד חכם אע</w:t>
      </w:r>
      <w:r>
        <w:rPr>
          <w:rFonts w:cs="Arial" w:hint="cs"/>
          <w:rtl/>
        </w:rPr>
        <w:t>"</w:t>
      </w:r>
      <w:r>
        <w:rPr>
          <w:rFonts w:cs="Arial"/>
          <w:rtl/>
        </w:rPr>
        <w:t>פ שהתובע תלמיד חכם מאן לימא לן דרמא אנפשיה ואידכר דילמא על דברי התובע סמך. ומ</w:t>
      </w:r>
      <w:r>
        <w:rPr>
          <w:rFonts w:cs="Arial" w:hint="cs"/>
          <w:rtl/>
        </w:rPr>
        <w:t>"</w:t>
      </w:r>
      <w:r>
        <w:rPr>
          <w:rFonts w:cs="Arial"/>
          <w:rtl/>
        </w:rPr>
        <w:t>מ נראה ל</w:t>
      </w:r>
      <w:r>
        <w:rPr>
          <w:rFonts w:cs="Arial" w:hint="cs"/>
          <w:rtl/>
        </w:rPr>
        <w:t>י</w:t>
      </w:r>
      <w:r>
        <w:rPr>
          <w:rFonts w:cs="Arial"/>
          <w:rtl/>
        </w:rPr>
        <w:t xml:space="preserve"> דלהרמב"ם ז"ל כל שכן אם העד תלמיד חכם שיכול להעיד</w:t>
      </w:r>
      <w:r>
        <w:rPr>
          <w:rFonts w:cs="Arial" w:hint="cs"/>
          <w:rtl/>
        </w:rPr>
        <w:t>, ב"י.</w:t>
      </w:r>
    </w:p>
  </w:footnote>
  <w:footnote w:id="1489">
    <w:p w14:paraId="4CAAB23D" w14:textId="77777777" w:rsidR="0013116F" w:rsidRDefault="0013116F" w:rsidP="004B607F">
      <w:pPr>
        <w:pStyle w:val="a9"/>
        <w:rPr>
          <w:rtl/>
        </w:rPr>
      </w:pPr>
      <w:r>
        <w:rPr>
          <w:rStyle w:val="ab"/>
        </w:rPr>
        <w:footnoteRef/>
      </w:r>
      <w:r>
        <w:rPr>
          <w:rtl/>
        </w:rPr>
        <w:t xml:space="preserve"> </w:t>
      </w:r>
      <w:r w:rsidRPr="007144F0">
        <w:rPr>
          <w:rFonts w:cs="Arial" w:hint="cs"/>
          <w:rtl/>
        </w:rPr>
        <w:t xml:space="preserve">אך כתב הב"י על דבריו- </w:t>
      </w:r>
      <w:r w:rsidRPr="007144F0">
        <w:rPr>
          <w:rFonts w:cs="Arial"/>
          <w:rtl/>
        </w:rPr>
        <w:t>ולא נהירא לי</w:t>
      </w:r>
      <w:r>
        <w:rPr>
          <w:rFonts w:cs="Arial" w:hint="cs"/>
          <w:rtl/>
        </w:rPr>
        <w:t>,</w:t>
      </w:r>
      <w:r w:rsidRPr="007144F0">
        <w:rPr>
          <w:rFonts w:cs="Arial"/>
          <w:rtl/>
        </w:rPr>
        <w:t xml:space="preserve"> שאם אמרו בתלמיד חכם דגמר דינא</w:t>
      </w:r>
      <w:r>
        <w:rPr>
          <w:rFonts w:cs="Arial" w:hint="cs"/>
          <w:rtl/>
        </w:rPr>
        <w:t xml:space="preserve"> -</w:t>
      </w:r>
      <w:r w:rsidRPr="007144F0">
        <w:rPr>
          <w:rFonts w:cs="Arial"/>
          <w:rtl/>
        </w:rPr>
        <w:t xml:space="preserve"> לא אמרו בירא שמים וכשר דלא גמר דינא וסבר דאע</w:t>
      </w:r>
      <w:r w:rsidRPr="007144F0">
        <w:rPr>
          <w:rFonts w:cs="Arial" w:hint="cs"/>
          <w:rtl/>
        </w:rPr>
        <w:t>"</w:t>
      </w:r>
      <w:r w:rsidRPr="007144F0">
        <w:rPr>
          <w:rFonts w:cs="Arial"/>
          <w:rtl/>
        </w:rPr>
        <w:t>ג דלא מידכר מצי לאסהודי.</w:t>
      </w:r>
    </w:p>
  </w:footnote>
  <w:footnote w:id="1490">
    <w:p w14:paraId="4B84B38A" w14:textId="77777777" w:rsidR="0013116F" w:rsidRDefault="0013116F" w:rsidP="004B607F">
      <w:pPr>
        <w:pStyle w:val="a9"/>
        <w:rPr>
          <w:rtl/>
        </w:rPr>
      </w:pPr>
      <w:r>
        <w:rPr>
          <w:rStyle w:val="ab"/>
        </w:rPr>
        <w:footnoteRef/>
      </w:r>
      <w:r>
        <w:rPr>
          <w:rtl/>
        </w:rPr>
        <w:t xml:space="preserve"> </w:t>
      </w:r>
      <w:r w:rsidRPr="00F44BCC">
        <w:rPr>
          <w:rFonts w:cs="Arial"/>
          <w:rtl/>
        </w:rPr>
        <w:t>ויש רבותא בהזכרת העד יותר מבאחר, דהוה אמינא דהעד יחשב קצת נוגע בדבר דניחא ליה דדברי עדותו יעשו פרי כשיסכים השני עמו לכל דבריו. והטור [סע</w:t>
      </w:r>
      <w:r>
        <w:rPr>
          <w:rFonts w:cs="Arial" w:hint="cs"/>
          <w:rtl/>
        </w:rPr>
        <w:t>'</w:t>
      </w:r>
      <w:r w:rsidRPr="00F44BCC">
        <w:rPr>
          <w:rFonts w:cs="Arial"/>
          <w:rtl/>
        </w:rPr>
        <w:t xml:space="preserve"> יז] לא כתב על ידי העד, אלא על ידי אחר, רצה לומר אפילו אם העדים שניהן שכחו הדבר ואחר הזכירם, ויש בזה ג"כ צד רבותא טפי,</w:t>
      </w:r>
      <w:r>
        <w:rPr>
          <w:rFonts w:hint="cs"/>
          <w:rtl/>
        </w:rPr>
        <w:t xml:space="preserve"> סמ"ע (סקמ"ה).</w:t>
      </w:r>
    </w:p>
  </w:footnote>
  <w:footnote w:id="1491">
    <w:p w14:paraId="3CE885C2" w14:textId="77777777" w:rsidR="0013116F" w:rsidRDefault="0013116F" w:rsidP="004B607F">
      <w:pPr>
        <w:pStyle w:val="a9"/>
      </w:pPr>
      <w:r>
        <w:rPr>
          <w:rStyle w:val="ab"/>
        </w:rPr>
        <w:footnoteRef/>
      </w:r>
      <w:r>
        <w:rPr>
          <w:rtl/>
        </w:rPr>
        <w:t xml:space="preserve"> </w:t>
      </w:r>
      <w:r>
        <w:rPr>
          <w:rFonts w:hint="cs"/>
          <w:rtl/>
        </w:rPr>
        <w:t xml:space="preserve">סימן </w:t>
      </w:r>
      <w:r>
        <w:rPr>
          <w:rtl/>
        </w:rPr>
        <w:t>–</w:t>
      </w:r>
      <w:r>
        <w:rPr>
          <w:rFonts w:hint="cs"/>
          <w:rtl/>
        </w:rPr>
        <w:t xml:space="preserve"> קבלת יריביו בלעדיו. וכן </w:t>
      </w:r>
      <w:r>
        <w:rPr>
          <w:rtl/>
        </w:rPr>
        <w:t>–</w:t>
      </w:r>
      <w:r>
        <w:rPr>
          <w:rFonts w:hint="cs"/>
          <w:rtl/>
        </w:rPr>
        <w:t xml:space="preserve"> קטן יחזיק בביתו.</w:t>
      </w:r>
    </w:p>
  </w:footnote>
  <w:footnote w:id="1492">
    <w:p w14:paraId="3F602809" w14:textId="77777777" w:rsidR="0013116F" w:rsidRDefault="0013116F" w:rsidP="004B607F">
      <w:pPr>
        <w:pStyle w:val="a9"/>
      </w:pPr>
      <w:r>
        <w:rPr>
          <w:rStyle w:val="ab"/>
        </w:rPr>
        <w:footnoteRef/>
      </w:r>
      <w:r>
        <w:rPr>
          <w:rtl/>
        </w:rPr>
        <w:t xml:space="preserve"> </w:t>
      </w:r>
      <w:r w:rsidRPr="0047043E">
        <w:rPr>
          <w:rFonts w:cs="Arial"/>
          <w:rtl/>
        </w:rPr>
        <w:t>קטן הוה</w:t>
      </w:r>
      <w:r>
        <w:rPr>
          <w:rFonts w:cs="Arial" w:hint="cs"/>
          <w:rtl/>
        </w:rPr>
        <w:t>, רש"י</w:t>
      </w:r>
      <w:r w:rsidRPr="0047043E">
        <w:rPr>
          <w:rFonts w:cs="Arial"/>
          <w:rtl/>
        </w:rPr>
        <w:t>.</w:t>
      </w:r>
    </w:p>
  </w:footnote>
  <w:footnote w:id="1493">
    <w:p w14:paraId="66ECC2D3" w14:textId="77777777" w:rsidR="0013116F" w:rsidRDefault="0013116F" w:rsidP="004B607F">
      <w:pPr>
        <w:pStyle w:val="a9"/>
      </w:pPr>
      <w:r>
        <w:rPr>
          <w:rStyle w:val="ab"/>
        </w:rPr>
        <w:footnoteRef/>
      </w:r>
      <w:r>
        <w:rPr>
          <w:rtl/>
        </w:rPr>
        <w:t xml:space="preserve"> </w:t>
      </w:r>
      <w:r w:rsidRPr="0047043E">
        <w:rPr>
          <w:rFonts w:cs="Arial"/>
          <w:rtl/>
        </w:rPr>
        <w:t>דלת פתוחה בבית אביו סגר ולא הניח ליכנס לפי שהיה רוצה רבי ירמיה להחזיק בה</w:t>
      </w:r>
      <w:r>
        <w:rPr>
          <w:rFonts w:cs="Arial" w:hint="cs"/>
          <w:rtl/>
        </w:rPr>
        <w:t>, רש"י</w:t>
      </w:r>
      <w:r w:rsidRPr="0047043E">
        <w:rPr>
          <w:rFonts w:cs="Arial"/>
          <w:rtl/>
        </w:rPr>
        <w:t>.</w:t>
      </w:r>
    </w:p>
  </w:footnote>
  <w:footnote w:id="1494">
    <w:p w14:paraId="23FB0586" w14:textId="77777777" w:rsidR="0013116F" w:rsidRDefault="0013116F" w:rsidP="004B607F">
      <w:pPr>
        <w:pStyle w:val="a9"/>
      </w:pPr>
      <w:r>
        <w:rPr>
          <w:rStyle w:val="ab"/>
        </w:rPr>
        <w:footnoteRef/>
      </w:r>
      <w:r>
        <w:rPr>
          <w:rtl/>
        </w:rPr>
        <w:t xml:space="preserve"> </w:t>
      </w:r>
      <w:r w:rsidRPr="0047043E">
        <w:rPr>
          <w:rFonts w:cs="Arial"/>
          <w:rtl/>
        </w:rPr>
        <w:t>והיה טוען שאביו מכרה לו או נתנה לו</w:t>
      </w:r>
      <w:r>
        <w:rPr>
          <w:rFonts w:cs="Arial" w:hint="cs"/>
          <w:rtl/>
        </w:rPr>
        <w:t>, רש"י</w:t>
      </w:r>
      <w:r w:rsidRPr="0047043E">
        <w:rPr>
          <w:rFonts w:cs="Arial"/>
          <w:rtl/>
        </w:rPr>
        <w:t>.</w:t>
      </w:r>
    </w:p>
  </w:footnote>
  <w:footnote w:id="1495">
    <w:p w14:paraId="700FBC98" w14:textId="77777777" w:rsidR="0013116F" w:rsidRDefault="0013116F" w:rsidP="004B607F">
      <w:pPr>
        <w:pStyle w:val="a9"/>
        <w:rPr>
          <w:rtl/>
        </w:rPr>
      </w:pPr>
      <w:r>
        <w:rPr>
          <w:rStyle w:val="ab"/>
        </w:rPr>
        <w:footnoteRef/>
      </w:r>
      <w:r>
        <w:rPr>
          <w:rtl/>
        </w:rPr>
        <w:t xml:space="preserve"> </w:t>
      </w:r>
      <w:r w:rsidRPr="0047043E">
        <w:rPr>
          <w:rFonts w:cs="Arial"/>
          <w:rtl/>
        </w:rPr>
        <w:t>והאי קטן כמאן דליתיה דמי</w:t>
      </w:r>
      <w:r>
        <w:rPr>
          <w:rFonts w:cs="Arial" w:hint="cs"/>
          <w:rtl/>
        </w:rPr>
        <w:t>, רש"י</w:t>
      </w:r>
      <w:r w:rsidRPr="0047043E">
        <w:rPr>
          <w:rFonts w:cs="Arial"/>
          <w:rtl/>
        </w:rPr>
        <w:t>.</w:t>
      </w:r>
    </w:p>
  </w:footnote>
  <w:footnote w:id="1496">
    <w:p w14:paraId="26C30809" w14:textId="77777777" w:rsidR="0013116F" w:rsidRDefault="0013116F" w:rsidP="004B607F">
      <w:pPr>
        <w:pStyle w:val="a9"/>
      </w:pPr>
      <w:r>
        <w:rPr>
          <w:rStyle w:val="ab"/>
        </w:rPr>
        <w:footnoteRef/>
      </w:r>
      <w:r>
        <w:rPr>
          <w:rtl/>
        </w:rPr>
        <w:t xml:space="preserve"> </w:t>
      </w:r>
      <w:r w:rsidRPr="0047043E">
        <w:rPr>
          <w:rFonts w:cs="Arial"/>
          <w:rtl/>
        </w:rPr>
        <w:t>שלקח עבדיו עמו שיסייעוהו</w:t>
      </w:r>
      <w:r>
        <w:rPr>
          <w:rFonts w:cs="Arial" w:hint="cs"/>
          <w:rtl/>
        </w:rPr>
        <w:t>.</w:t>
      </w:r>
      <w:r w:rsidRPr="0047043E">
        <w:rPr>
          <w:rFonts w:cs="Arial"/>
          <w:rtl/>
        </w:rPr>
        <w:t xml:space="preserve"> לישנא אחרינא שתקף בעבדיו ואמר שלי הן</w:t>
      </w:r>
      <w:r w:rsidRPr="0047043E">
        <w:rPr>
          <w:rFonts w:cs="Arial" w:hint="cs"/>
          <w:rtl/>
        </w:rPr>
        <w:t xml:space="preserve"> </w:t>
      </w:r>
      <w:r>
        <w:rPr>
          <w:rFonts w:cs="Arial" w:hint="cs"/>
          <w:rtl/>
        </w:rPr>
        <w:t>, רש"י</w:t>
      </w:r>
      <w:r w:rsidRPr="0047043E">
        <w:rPr>
          <w:rFonts w:cs="Arial"/>
          <w:rtl/>
        </w:rPr>
        <w:t>.</w:t>
      </w:r>
    </w:p>
  </w:footnote>
  <w:footnote w:id="1497">
    <w:p w14:paraId="2317FBA4" w14:textId="77777777" w:rsidR="0013116F" w:rsidRDefault="0013116F" w:rsidP="004B607F">
      <w:pPr>
        <w:pStyle w:val="a9"/>
      </w:pPr>
      <w:r>
        <w:rPr>
          <w:rStyle w:val="ab"/>
        </w:rPr>
        <w:footnoteRef/>
      </w:r>
      <w:r>
        <w:rPr>
          <w:rtl/>
        </w:rPr>
        <w:t xml:space="preserve"> </w:t>
      </w:r>
      <w:r w:rsidRPr="0047043E">
        <w:rPr>
          <w:rFonts w:cs="Arial"/>
          <w:rtl/>
        </w:rPr>
        <w:t>אם שלו הוא</w:t>
      </w:r>
      <w:r>
        <w:rPr>
          <w:rFonts w:cs="Arial" w:hint="cs"/>
          <w:rtl/>
        </w:rPr>
        <w:t>, רש"י</w:t>
      </w:r>
      <w:r w:rsidRPr="0047043E">
        <w:rPr>
          <w:rFonts w:cs="Arial"/>
          <w:rtl/>
        </w:rPr>
        <w:t>.</w:t>
      </w:r>
      <w:r>
        <w:rPr>
          <w:rFonts w:hint="cs"/>
          <w:rtl/>
        </w:rPr>
        <w:t xml:space="preserve"> </w:t>
      </w:r>
    </w:p>
  </w:footnote>
  <w:footnote w:id="1498">
    <w:p w14:paraId="6A1D8929" w14:textId="77777777" w:rsidR="0013116F" w:rsidRDefault="0013116F" w:rsidP="004B607F">
      <w:pPr>
        <w:pStyle w:val="a9"/>
        <w:rPr>
          <w:rtl/>
        </w:rPr>
      </w:pPr>
      <w:r>
        <w:rPr>
          <w:rStyle w:val="ab"/>
        </w:rPr>
        <w:footnoteRef/>
      </w:r>
      <w:r>
        <w:rPr>
          <w:rtl/>
        </w:rPr>
        <w:t xml:space="preserve"> </w:t>
      </w:r>
      <w:r w:rsidRPr="0047043E">
        <w:rPr>
          <w:rFonts w:cs="Arial"/>
          <w:rtl/>
        </w:rPr>
        <w:t>הוא דירד לתוך שדה חבירו דלית ליה להך תינוק בהך שדה חזקה דאבוה אבל היכא דאית ליה להאי תינוק בבית זה חזקה דאבוה לא מפקינן ליה מיניה ולכשיגדיל יביא רבי ירמיה עדיו וידון עמו</w:t>
      </w:r>
      <w:r>
        <w:rPr>
          <w:rFonts w:cs="Arial" w:hint="cs"/>
          <w:rtl/>
        </w:rPr>
        <w:t>, רש"י</w:t>
      </w:r>
      <w:r w:rsidRPr="0047043E">
        <w:rPr>
          <w:rFonts w:cs="Arial"/>
          <w:rtl/>
        </w:rPr>
        <w:t>.</w:t>
      </w:r>
    </w:p>
  </w:footnote>
  <w:footnote w:id="1499">
    <w:p w14:paraId="0A23C7C9" w14:textId="77777777" w:rsidR="0013116F" w:rsidRDefault="0013116F" w:rsidP="004B607F">
      <w:pPr>
        <w:pStyle w:val="a9"/>
        <w:rPr>
          <w:rtl/>
        </w:rPr>
      </w:pPr>
      <w:r>
        <w:rPr>
          <w:rStyle w:val="ab"/>
        </w:rPr>
        <w:footnoteRef/>
      </w:r>
      <w:r>
        <w:rPr>
          <w:rtl/>
        </w:rPr>
        <w:t xml:space="preserve"> </w:t>
      </w:r>
      <w:r w:rsidRPr="002009FE">
        <w:rPr>
          <w:rFonts w:cs="Arial"/>
          <w:rtl/>
        </w:rPr>
        <w:t>ריב"א</w:t>
      </w:r>
      <w:r>
        <w:rPr>
          <w:rFonts w:cs="Arial" w:hint="cs"/>
          <w:rtl/>
        </w:rPr>
        <w:t xml:space="preserve"> </w:t>
      </w:r>
      <w:r w:rsidRPr="002009FE">
        <w:rPr>
          <w:rFonts w:cs="Arial" w:hint="cs"/>
          <w:sz w:val="16"/>
          <w:szCs w:val="16"/>
          <w:rtl/>
        </w:rPr>
        <w:t xml:space="preserve">(כ"כ </w:t>
      </w:r>
      <w:r w:rsidRPr="002009FE">
        <w:rPr>
          <w:rFonts w:cs="Arial"/>
          <w:sz w:val="16"/>
          <w:szCs w:val="16"/>
          <w:rtl/>
        </w:rPr>
        <w:t>הגמ</w:t>
      </w:r>
      <w:r w:rsidRPr="002009FE">
        <w:rPr>
          <w:rFonts w:cs="Arial" w:hint="cs"/>
          <w:sz w:val="16"/>
          <w:szCs w:val="16"/>
          <w:rtl/>
        </w:rPr>
        <w:t>"</w:t>
      </w:r>
      <w:r w:rsidRPr="002009FE">
        <w:rPr>
          <w:rFonts w:cs="Arial"/>
          <w:sz w:val="16"/>
          <w:szCs w:val="16"/>
          <w:rtl/>
        </w:rPr>
        <w:t xml:space="preserve">ר </w:t>
      </w:r>
      <w:r w:rsidRPr="002009FE">
        <w:rPr>
          <w:rFonts w:cs="Arial" w:hint="cs"/>
          <w:sz w:val="16"/>
          <w:szCs w:val="16"/>
          <w:rtl/>
        </w:rPr>
        <w:t>[</w:t>
      </w:r>
      <w:r w:rsidRPr="002009FE">
        <w:rPr>
          <w:rFonts w:cs="Arial"/>
          <w:sz w:val="16"/>
          <w:szCs w:val="16"/>
          <w:rtl/>
        </w:rPr>
        <w:t>סי' רטו</w:t>
      </w:r>
      <w:r w:rsidRPr="002009FE">
        <w:rPr>
          <w:rFonts w:cs="Arial" w:hint="cs"/>
          <w:sz w:val="16"/>
          <w:szCs w:val="16"/>
          <w:rtl/>
        </w:rPr>
        <w:t>] בשמו</w:t>
      </w:r>
      <w:r w:rsidRPr="002009FE">
        <w:rPr>
          <w:rFonts w:cs="Arial"/>
          <w:sz w:val="16"/>
          <w:szCs w:val="16"/>
          <w:rtl/>
        </w:rPr>
        <w:t>)</w:t>
      </w:r>
      <w:r>
        <w:rPr>
          <w:rFonts w:cs="Arial" w:hint="cs"/>
          <w:rtl/>
        </w:rPr>
        <w:t xml:space="preserve"> </w:t>
      </w:r>
      <w:r>
        <w:rPr>
          <w:rFonts w:cs="Arial"/>
          <w:rtl/>
        </w:rPr>
        <w:t xml:space="preserve">רמב"ם </w:t>
      </w:r>
      <w:r w:rsidRPr="002009FE">
        <w:rPr>
          <w:rFonts w:cs="Arial" w:hint="cs"/>
          <w:sz w:val="16"/>
          <w:szCs w:val="16"/>
          <w:rtl/>
        </w:rPr>
        <w:t>(</w:t>
      </w:r>
      <w:r w:rsidRPr="002009FE">
        <w:rPr>
          <w:rFonts w:cs="Arial"/>
          <w:sz w:val="16"/>
          <w:szCs w:val="16"/>
          <w:rtl/>
        </w:rPr>
        <w:t>פי"ב מהל</w:t>
      </w:r>
      <w:r w:rsidRPr="002009FE">
        <w:rPr>
          <w:rFonts w:cs="Arial" w:hint="cs"/>
          <w:sz w:val="16"/>
          <w:szCs w:val="16"/>
          <w:rtl/>
        </w:rPr>
        <w:t>'</w:t>
      </w:r>
      <w:r w:rsidRPr="002009FE">
        <w:rPr>
          <w:rFonts w:cs="Arial"/>
          <w:sz w:val="16"/>
          <w:szCs w:val="16"/>
          <w:rtl/>
        </w:rPr>
        <w:t xml:space="preserve"> מלוה ה"ו-ז</w:t>
      </w:r>
      <w:r>
        <w:rPr>
          <w:rFonts w:cs="Arial" w:hint="cs"/>
          <w:sz w:val="16"/>
          <w:szCs w:val="16"/>
          <w:rtl/>
        </w:rPr>
        <w:t>, כ"כ בשמו הב"י בבדה"ב</w:t>
      </w:r>
      <w:r w:rsidRPr="002009FE">
        <w:rPr>
          <w:rFonts w:cs="Arial"/>
          <w:sz w:val="16"/>
          <w:szCs w:val="16"/>
          <w:rtl/>
        </w:rPr>
        <w:t xml:space="preserve">) </w:t>
      </w:r>
      <w:r>
        <w:rPr>
          <w:rFonts w:cs="Arial" w:hint="cs"/>
          <w:rtl/>
        </w:rPr>
        <w:t>ו</w:t>
      </w:r>
      <w:r>
        <w:rPr>
          <w:rFonts w:cs="Arial"/>
          <w:rtl/>
        </w:rPr>
        <w:t xml:space="preserve">רשב"א </w:t>
      </w:r>
      <w:r w:rsidRPr="002009FE">
        <w:rPr>
          <w:rFonts w:cs="Arial" w:hint="cs"/>
          <w:sz w:val="16"/>
          <w:szCs w:val="16"/>
          <w:rtl/>
        </w:rPr>
        <w:t>(</w:t>
      </w:r>
      <w:r w:rsidRPr="002009FE">
        <w:rPr>
          <w:rFonts w:cs="Arial"/>
          <w:sz w:val="16"/>
          <w:szCs w:val="16"/>
          <w:rtl/>
        </w:rPr>
        <w:t>בחידו</w:t>
      </w:r>
      <w:r w:rsidRPr="002009FE">
        <w:rPr>
          <w:rFonts w:cs="Arial" w:hint="cs"/>
          <w:sz w:val="16"/>
          <w:szCs w:val="16"/>
          <w:rtl/>
        </w:rPr>
        <w:t>'</w:t>
      </w:r>
      <w:r w:rsidRPr="002009FE">
        <w:rPr>
          <w:rFonts w:cs="Arial"/>
          <w:sz w:val="16"/>
          <w:szCs w:val="16"/>
          <w:rtl/>
        </w:rPr>
        <w:t xml:space="preserve"> ד"ה משום</w:t>
      </w:r>
      <w:r>
        <w:rPr>
          <w:rFonts w:cs="Arial" w:hint="cs"/>
          <w:sz w:val="16"/>
          <w:szCs w:val="16"/>
          <w:rtl/>
        </w:rPr>
        <w:t>, כ"כ בשמו הב"י בבדה"ב</w:t>
      </w:r>
      <w:r w:rsidRPr="002009FE">
        <w:rPr>
          <w:rFonts w:cs="Arial"/>
          <w:sz w:val="16"/>
          <w:szCs w:val="16"/>
          <w:rtl/>
        </w:rPr>
        <w:t>)</w:t>
      </w:r>
      <w:r>
        <w:rPr>
          <w:rFonts w:cs="Arial" w:hint="cs"/>
          <w:rtl/>
        </w:rPr>
        <w:t>. וכתב הב"י ש</w:t>
      </w:r>
      <w:r>
        <w:rPr>
          <w:rFonts w:cs="Arial"/>
          <w:rtl/>
        </w:rPr>
        <w:t>דברי רש"י (ד"ה טרק) נוטים לזה</w:t>
      </w:r>
      <w:r>
        <w:rPr>
          <w:rFonts w:cs="Arial" w:hint="cs"/>
          <w:rtl/>
        </w:rPr>
        <w:t>,</w:t>
      </w:r>
      <w:r>
        <w:rPr>
          <w:rFonts w:cs="Arial"/>
          <w:rtl/>
        </w:rPr>
        <w:t xml:space="preserve"> שכתב</w:t>
      </w:r>
      <w:r w:rsidRPr="00C2420C">
        <w:rPr>
          <w:rFonts w:cs="Arial" w:hint="cs"/>
          <w:rtl/>
        </w:rPr>
        <w:t xml:space="preserve"> </w:t>
      </w:r>
      <w:r>
        <w:rPr>
          <w:rFonts w:cs="Arial" w:hint="cs"/>
          <w:sz w:val="16"/>
          <w:szCs w:val="16"/>
          <w:rtl/>
        </w:rPr>
        <w:t>{רש"י}</w:t>
      </w:r>
      <w:r>
        <w:rPr>
          <w:rFonts w:cs="Arial"/>
          <w:rtl/>
        </w:rPr>
        <w:t xml:space="preserve"> לפי שהיה רוצה רבי ירמיה להחזיק בה משמע דאילו כבר החזיק רבי ירמיה לא הוה מפקינן לה מיניה ולפי זה דקאמר מייתינא סהדי דאחזקי בה בחיי אבוה היינו בכסף או בשטר או בחזקה אבל השתא אינו מוחזק בה</w:t>
      </w:r>
      <w:r>
        <w:rPr>
          <w:rFonts w:cs="Arial" w:hint="cs"/>
          <w:rtl/>
        </w:rPr>
        <w:t>. ע"כ.</w:t>
      </w:r>
      <w:r w:rsidRPr="002009FE">
        <w:rPr>
          <w:rFonts w:cs="Arial" w:hint="cs"/>
          <w:rtl/>
        </w:rPr>
        <w:t xml:space="preserve"> </w:t>
      </w:r>
      <w:r>
        <w:rPr>
          <w:rFonts w:cs="Arial" w:hint="cs"/>
          <w:rtl/>
        </w:rPr>
        <w:t>ו</w:t>
      </w:r>
      <w:r>
        <w:rPr>
          <w:rFonts w:cs="Arial"/>
          <w:rtl/>
        </w:rPr>
        <w:t>בהג"</w:t>
      </w:r>
      <w:r>
        <w:rPr>
          <w:rFonts w:cs="Arial" w:hint="cs"/>
          <w:rtl/>
        </w:rPr>
        <w:t>א</w:t>
      </w:r>
      <w:r>
        <w:rPr>
          <w:rFonts w:cs="Arial"/>
          <w:rtl/>
        </w:rPr>
        <w:t xml:space="preserve"> (סי' ב) כתוב בשם ר</w:t>
      </w:r>
      <w:r>
        <w:rPr>
          <w:rFonts w:cs="Arial" w:hint="cs"/>
          <w:rtl/>
        </w:rPr>
        <w:t>"ת</w:t>
      </w:r>
      <w:r>
        <w:rPr>
          <w:rFonts w:cs="Arial"/>
          <w:rtl/>
        </w:rPr>
        <w:t xml:space="preserve"> כדעת ריב"א וכתב דבהכי אתי שפיר הא דמשמע בפרק חזקת (ב"ב לב:) גבי רבה בר שרשום דמשמע התם דאי הוה טוען לקוחה היא בידי הוה מהימן אע</w:t>
      </w:r>
      <w:r>
        <w:rPr>
          <w:rFonts w:cs="Arial" w:hint="cs"/>
          <w:rtl/>
        </w:rPr>
        <w:t>"</w:t>
      </w:r>
      <w:r>
        <w:rPr>
          <w:rFonts w:cs="Arial"/>
          <w:rtl/>
        </w:rPr>
        <w:t>פ שהיה צריך להביא עדים על כך ויתומים קטנים היו אלמא כיון דמוחזק בה באותה שעה מקבלין עדים להחזיקה בידו. ו</w:t>
      </w:r>
      <w:r>
        <w:rPr>
          <w:rFonts w:cs="Arial" w:hint="cs"/>
          <w:rtl/>
        </w:rPr>
        <w:t xml:space="preserve">כתב הב"י- </w:t>
      </w:r>
      <w:r>
        <w:rPr>
          <w:rFonts w:cs="Arial"/>
          <w:rtl/>
        </w:rPr>
        <w:t>נראה לי שבזה חלוק על ריב"א דלריב"א אילו היה רבי ירמיה מוחזק בה השתא לא היה צריך רבי ירמיה להביא עדים עד שיגדיל ויתבענו לדין. ולר</w:t>
      </w:r>
      <w:r>
        <w:rPr>
          <w:rFonts w:cs="Arial" w:hint="cs"/>
          <w:rtl/>
        </w:rPr>
        <w:t>"</w:t>
      </w:r>
      <w:r>
        <w:rPr>
          <w:rFonts w:cs="Arial"/>
          <w:rtl/>
        </w:rPr>
        <w:t>ת צריך מיד להביא עדים. ולדעת התוס</w:t>
      </w:r>
      <w:r>
        <w:rPr>
          <w:rFonts w:cs="Arial" w:hint="cs"/>
          <w:rtl/>
        </w:rPr>
        <w:t>'</w:t>
      </w:r>
      <w:r>
        <w:rPr>
          <w:rFonts w:cs="Arial"/>
          <w:rtl/>
        </w:rPr>
        <w:t xml:space="preserve"> הא דמשמע בפרק חזקת דאי טעין לקוחה בידי מהימן לגבי קטנים היינו היכא דבחיי אביהם אכלה שני חזקה</w:t>
      </w:r>
      <w:r>
        <w:rPr>
          <w:rFonts w:cs="Arial" w:hint="cs"/>
          <w:rtl/>
        </w:rPr>
        <w:t>,</w:t>
      </w:r>
      <w:r>
        <w:rPr>
          <w:rFonts w:cs="Arial"/>
          <w:rtl/>
        </w:rPr>
        <w:t xml:space="preserve"> וכן פירש רשב"ם (לג. ד"ה לקוחה)</w:t>
      </w:r>
      <w:r>
        <w:rPr>
          <w:rFonts w:cs="Arial" w:hint="cs"/>
          <w:rtl/>
        </w:rPr>
        <w:t>.</w:t>
      </w:r>
    </w:p>
  </w:footnote>
  <w:footnote w:id="1500">
    <w:p w14:paraId="19B40DFD" w14:textId="77777777" w:rsidR="0013116F" w:rsidRDefault="0013116F" w:rsidP="004B607F">
      <w:pPr>
        <w:pStyle w:val="a9"/>
        <w:rPr>
          <w:rtl/>
        </w:rPr>
      </w:pPr>
      <w:r>
        <w:rPr>
          <w:rStyle w:val="ab"/>
        </w:rPr>
        <w:footnoteRef/>
      </w:r>
      <w:r>
        <w:rPr>
          <w:rtl/>
        </w:rPr>
        <w:t xml:space="preserve"> </w:t>
      </w:r>
      <w:r w:rsidRPr="00C2420C">
        <w:rPr>
          <w:rFonts w:cs="Arial"/>
          <w:rtl/>
        </w:rPr>
        <w:t>בסי' ק"י סעיף י"ט הביא רבינו בעל הטורים ז"ל מחלוקת בזה, ושם הארכתי. ויש לדקדק על רבינו המחבר ז"ל שכתב זה בשם מצאתי כתוב, והם דברי הרמב"ן ז"ל שכתבו הרא"ש והר"ן ז"ל בפרק אלמנה ניזונית ורבינו בעל הטורים ז"ל בסי' ק"י. ואולי בשביל הטעם כתב מצאתי כתוב. א"נ דברי הרמב"ן ז"ל הם שמקבלין עד צואת מקבלי</w:t>
      </w:r>
      <w:r>
        <w:rPr>
          <w:rFonts w:cs="Arial" w:hint="cs"/>
          <w:rtl/>
        </w:rPr>
        <w:t>'</w:t>
      </w:r>
      <w:r w:rsidRPr="00C2420C">
        <w:rPr>
          <w:rFonts w:cs="Arial"/>
          <w:rtl/>
        </w:rPr>
        <w:t xml:space="preserve"> בפני האפוטרופ', ומה שמצא כתוב הוא דאפי' אין כאן אפוטרופוס מקבלין עדי צואה</w:t>
      </w:r>
      <w:r>
        <w:rPr>
          <w:rFonts w:hint="cs"/>
          <w:rtl/>
        </w:rPr>
        <w:t>, כנה"ג (הגב"י אות נא).</w:t>
      </w:r>
    </w:p>
  </w:footnote>
  <w:footnote w:id="1501">
    <w:p w14:paraId="2B895D95" w14:textId="77777777" w:rsidR="0013116F" w:rsidRDefault="0013116F" w:rsidP="004B607F">
      <w:pPr>
        <w:pStyle w:val="a9"/>
        <w:rPr>
          <w:rtl/>
        </w:rPr>
      </w:pPr>
      <w:r>
        <w:rPr>
          <w:rStyle w:val="ab"/>
        </w:rPr>
        <w:footnoteRef/>
      </w:r>
      <w:r>
        <w:rPr>
          <w:rtl/>
        </w:rPr>
        <w:t xml:space="preserve"> </w:t>
      </w:r>
      <w:r>
        <w:rPr>
          <w:rFonts w:hint="cs"/>
          <w:rtl/>
        </w:rPr>
        <w:t>ר"ל שאם החולה ידע שאין בדבריו כלום יטרף דעתו לכן אלמוה רבנן כדי שתנוח דעתו, חדושי הגהות (אות יא).</w:t>
      </w:r>
    </w:p>
  </w:footnote>
  <w:footnote w:id="1502">
    <w:p w14:paraId="4FD7D939" w14:textId="77777777" w:rsidR="0013116F" w:rsidRDefault="0013116F" w:rsidP="004B607F">
      <w:pPr>
        <w:pStyle w:val="a9"/>
      </w:pPr>
      <w:r>
        <w:rPr>
          <w:rStyle w:val="ab"/>
        </w:rPr>
        <w:footnoteRef/>
      </w:r>
      <w:r>
        <w:rPr>
          <w:rtl/>
        </w:rPr>
        <w:t xml:space="preserve"> </w:t>
      </w:r>
      <w:r>
        <w:rPr>
          <w:rFonts w:hint="cs"/>
          <w:rtl/>
        </w:rPr>
        <w:t xml:space="preserve">סימן </w:t>
      </w:r>
      <w:r>
        <w:rPr>
          <w:rtl/>
        </w:rPr>
        <w:t>–</w:t>
      </w:r>
      <w:r>
        <w:rPr>
          <w:rFonts w:hint="cs"/>
          <w:rtl/>
        </w:rPr>
        <w:t xml:space="preserve"> כונס ביתומים.</w:t>
      </w:r>
    </w:p>
  </w:footnote>
  <w:footnote w:id="1503">
    <w:p w14:paraId="26B52D1C" w14:textId="77777777" w:rsidR="0013116F" w:rsidRDefault="0013116F" w:rsidP="004B607F">
      <w:pPr>
        <w:pStyle w:val="a9"/>
        <w:rPr>
          <w:rtl/>
        </w:rPr>
      </w:pPr>
      <w:r>
        <w:rPr>
          <w:rStyle w:val="ab"/>
        </w:rPr>
        <w:footnoteRef/>
      </w:r>
      <w:r>
        <w:rPr>
          <w:rtl/>
        </w:rPr>
        <w:t xml:space="preserve"> </w:t>
      </w:r>
      <w:r>
        <w:rPr>
          <w:rFonts w:cs="Arial"/>
          <w:rtl/>
        </w:rPr>
        <w:t>וכתבתיה בסי</w:t>
      </w:r>
      <w:r>
        <w:rPr>
          <w:rFonts w:cs="Arial" w:hint="cs"/>
          <w:rtl/>
        </w:rPr>
        <w:t>'</w:t>
      </w:r>
      <w:r>
        <w:rPr>
          <w:rFonts w:cs="Arial"/>
          <w:rtl/>
        </w:rPr>
        <w:t xml:space="preserve"> שפ"ח </w:t>
      </w:r>
      <w:r w:rsidRPr="00564FA1">
        <w:rPr>
          <w:rFonts w:cs="Arial"/>
          <w:sz w:val="16"/>
          <w:szCs w:val="16"/>
          <w:rtl/>
        </w:rPr>
        <w:t>(מחו' ח)</w:t>
      </w:r>
      <w:r>
        <w:rPr>
          <w:rFonts w:hint="cs"/>
          <w:rtl/>
        </w:rPr>
        <w:t>, ב"י. ועי' בסי' קי מחודש ג בב"י שגם רי"ו סובר כן, וע"ש במחודש א דנראה שבעל התרומות חולק.</w:t>
      </w:r>
    </w:p>
  </w:footnote>
  <w:footnote w:id="1504">
    <w:p w14:paraId="0F905701" w14:textId="77777777" w:rsidR="0013116F" w:rsidRDefault="0013116F" w:rsidP="004B607F">
      <w:pPr>
        <w:pStyle w:val="a9"/>
        <w:rPr>
          <w:rtl/>
        </w:rPr>
      </w:pPr>
      <w:r>
        <w:rPr>
          <w:rStyle w:val="ab"/>
        </w:rPr>
        <w:footnoteRef/>
      </w:r>
      <w:r>
        <w:rPr>
          <w:rtl/>
        </w:rPr>
        <w:t xml:space="preserve"> </w:t>
      </w:r>
      <w:r>
        <w:rPr>
          <w:rFonts w:cs="Arial" w:hint="cs"/>
          <w:rtl/>
        </w:rPr>
        <w:t>הביא הרמב"ן דבריו וכתב ד</w:t>
      </w:r>
      <w:r w:rsidRPr="00142020">
        <w:rPr>
          <w:rFonts w:cs="Arial"/>
          <w:rtl/>
        </w:rPr>
        <w:t>אינו במשמע, ועוד היאך כתבו עדות צואה בשטר מחיים</w:t>
      </w:r>
      <w:r>
        <w:rPr>
          <w:rFonts w:cs="Arial" w:hint="cs"/>
          <w:rtl/>
        </w:rPr>
        <w:t>,</w:t>
      </w:r>
      <w:r w:rsidRPr="00142020">
        <w:rPr>
          <w:rFonts w:cs="Arial"/>
          <w:rtl/>
        </w:rPr>
        <w:t xml:space="preserve"> ואם כתבו לאחר מיתה אף בשטר אין מקבלין דעדות משעת חתימה כמי שנחקרה עדותן בב"ד אמרינן</w:t>
      </w:r>
      <w:r>
        <w:rPr>
          <w:rFonts w:cs="Arial" w:hint="cs"/>
          <w:rtl/>
        </w:rPr>
        <w:t>,</w:t>
      </w:r>
      <w:r w:rsidRPr="00142020">
        <w:rPr>
          <w:rFonts w:cs="Arial"/>
          <w:rtl/>
        </w:rPr>
        <w:t xml:space="preserve"> וזו בב"ד נמי אין מקבלין אותה. וכן מה שאמרו בחייב מודה פי' הרב ז"ל בשהודה בב"ד, ומודה אני בזה משום דמילתא דאבוהון הוא</w:t>
      </w:r>
      <w:r>
        <w:rPr>
          <w:rFonts w:cs="Arial" w:hint="cs"/>
          <w:rtl/>
        </w:rPr>
        <w:t>.</w:t>
      </w:r>
    </w:p>
  </w:footnote>
  <w:footnote w:id="1505">
    <w:p w14:paraId="2F666DF2" w14:textId="77777777" w:rsidR="0013116F" w:rsidRDefault="0013116F" w:rsidP="004B607F">
      <w:pPr>
        <w:pStyle w:val="a9"/>
        <w:rPr>
          <w:rtl/>
        </w:rPr>
      </w:pPr>
      <w:r>
        <w:rPr>
          <w:rStyle w:val="ab"/>
        </w:rPr>
        <w:footnoteRef/>
      </w:r>
      <w:r>
        <w:rPr>
          <w:rtl/>
        </w:rPr>
        <w:t xml:space="preserve"> </w:t>
      </w:r>
      <w:r>
        <w:rPr>
          <w:rFonts w:cs="Arial"/>
          <w:rtl/>
        </w:rPr>
        <w:t>תשלום דינים אלו כתב רבינו בסימן ק"י</w:t>
      </w:r>
      <w:r>
        <w:rPr>
          <w:rFonts w:hint="cs"/>
          <w:rtl/>
        </w:rPr>
        <w:t>, ב"י.</w:t>
      </w:r>
      <w:r w:rsidRPr="00D50EC3">
        <w:rPr>
          <w:rFonts w:cs="Arial"/>
          <w:rtl/>
        </w:rPr>
        <w:t xml:space="preserve"> </w:t>
      </w:r>
      <w:r w:rsidRPr="009801E3">
        <w:rPr>
          <w:rFonts w:cs="Arial"/>
          <w:rtl/>
        </w:rPr>
        <w:t>וכתב הרא"ש כלל ס"א (סי' א) אם הוא בענין שנזקקין לנכסי קטן מקבלין העדות לפני קטן ועיי"ש. ועיין לקמן סימן ק"י בדינים אלו</w:t>
      </w:r>
      <w:r>
        <w:rPr>
          <w:rFonts w:cs="Arial" w:hint="cs"/>
          <w:rtl/>
        </w:rPr>
        <w:t>,</w:t>
      </w:r>
      <w:r w:rsidRPr="009801E3">
        <w:rPr>
          <w:rFonts w:cs="Arial"/>
          <w:rtl/>
        </w:rPr>
        <w:t xml:space="preserve"> ועיין לקמן סימן שפ"ח (ב"י מחו' ח) אי אפוטרופוס של יתומים מיקרי לפניו ומקבלין בפני אפוטרופוס או לא ועיי"ש</w:t>
      </w:r>
      <w:r>
        <w:rPr>
          <w:rFonts w:cs="Arial" w:hint="cs"/>
          <w:rtl/>
        </w:rPr>
        <w:t xml:space="preserve">, דרכ"מ </w:t>
      </w:r>
      <w:r w:rsidRPr="009801E3">
        <w:rPr>
          <w:rFonts w:cs="Arial"/>
          <w:rtl/>
        </w:rPr>
        <w:t>(</w:t>
      </w:r>
      <w:r>
        <w:rPr>
          <w:rFonts w:cs="Arial" w:hint="cs"/>
          <w:rtl/>
        </w:rPr>
        <w:t xml:space="preserve">אות </w:t>
      </w:r>
      <w:r w:rsidRPr="009801E3">
        <w:rPr>
          <w:rFonts w:cs="Arial"/>
          <w:rtl/>
        </w:rPr>
        <w:t>ח*)</w:t>
      </w:r>
      <w:r>
        <w:rPr>
          <w:rFonts w:cs="Arial" w:hint="cs"/>
          <w:rtl/>
        </w:rPr>
        <w:t>.</w:t>
      </w:r>
    </w:p>
  </w:footnote>
  <w:footnote w:id="1506">
    <w:p w14:paraId="0794B9AE" w14:textId="77777777" w:rsidR="0013116F" w:rsidRDefault="0013116F" w:rsidP="004B607F">
      <w:pPr>
        <w:pStyle w:val="a9"/>
      </w:pPr>
      <w:r>
        <w:rPr>
          <w:rStyle w:val="ab"/>
        </w:rPr>
        <w:footnoteRef/>
      </w:r>
      <w:r>
        <w:rPr>
          <w:rtl/>
        </w:rPr>
        <w:t xml:space="preserve"> </w:t>
      </w:r>
      <w:r>
        <w:rPr>
          <w:rFonts w:cs="Arial"/>
          <w:rtl/>
        </w:rPr>
        <w:t>וכ</w:t>
      </w:r>
      <w:r>
        <w:rPr>
          <w:rFonts w:cs="Arial" w:hint="cs"/>
          <w:rtl/>
        </w:rPr>
        <w:t>"</w:t>
      </w:r>
      <w:r>
        <w:rPr>
          <w:rFonts w:cs="Arial"/>
          <w:rtl/>
        </w:rPr>
        <w:t>כ</w:t>
      </w:r>
      <w:r>
        <w:rPr>
          <w:rFonts w:cs="Arial" w:hint="cs"/>
          <w:rtl/>
        </w:rPr>
        <w:t xml:space="preserve"> </w:t>
      </w:r>
      <w:r>
        <w:rPr>
          <w:rFonts w:cs="Arial"/>
          <w:rtl/>
        </w:rPr>
        <w:t xml:space="preserve">במישרים </w:t>
      </w:r>
      <w:r w:rsidRPr="00B6360A">
        <w:rPr>
          <w:rFonts w:cs="Arial" w:hint="cs"/>
          <w:sz w:val="16"/>
          <w:szCs w:val="16"/>
          <w:rtl/>
        </w:rPr>
        <w:t>(</w:t>
      </w:r>
      <w:r w:rsidRPr="00B6360A">
        <w:rPr>
          <w:rFonts w:cs="Arial"/>
          <w:sz w:val="16"/>
          <w:szCs w:val="16"/>
          <w:rtl/>
        </w:rPr>
        <w:t xml:space="preserve">נ"ב ח"א יא:) </w:t>
      </w:r>
      <w:r>
        <w:rPr>
          <w:rFonts w:cs="Arial"/>
          <w:rtl/>
        </w:rPr>
        <w:t>בשם גדולי האחרונים</w:t>
      </w:r>
      <w:r>
        <w:rPr>
          <w:rFonts w:cs="Arial" w:hint="cs"/>
          <w:rtl/>
        </w:rPr>
        <w:t>. וז"ל הראב"ן-</w:t>
      </w:r>
      <w:r w:rsidRPr="00B6360A">
        <w:rPr>
          <w:rFonts w:cs="Arial"/>
          <w:rtl/>
        </w:rPr>
        <w:t xml:space="preserve"> </w:t>
      </w:r>
      <w:r w:rsidRPr="00175946">
        <w:rPr>
          <w:rFonts w:cs="Arial"/>
          <w:rtl/>
        </w:rPr>
        <w:t xml:space="preserve">מדמכשרינן קבלת אונס שלא בפני בעל דין </w:t>
      </w:r>
      <w:r w:rsidRPr="006E2245">
        <w:rPr>
          <w:rFonts w:cs="Arial" w:hint="cs"/>
          <w:color w:val="000000" w:themeColor="text1"/>
          <w:sz w:val="16"/>
          <w:szCs w:val="16"/>
          <w:rtl/>
        </w:rPr>
        <w:t>(</w:t>
      </w:r>
      <w:r w:rsidRPr="006E2245">
        <w:rPr>
          <w:rFonts w:cs="Arial"/>
          <w:color w:val="000000" w:themeColor="text1"/>
          <w:sz w:val="16"/>
          <w:szCs w:val="16"/>
          <w:rtl/>
        </w:rPr>
        <w:t>כ</w:t>
      </w:r>
      <w:r>
        <w:rPr>
          <w:rFonts w:cs="Arial" w:hint="cs"/>
          <w:color w:val="000000" w:themeColor="text1"/>
          <w:sz w:val="16"/>
          <w:szCs w:val="16"/>
          <w:rtl/>
        </w:rPr>
        <w:t>גון שהעד חולה ומסוכן למות</w:t>
      </w:r>
      <w:r w:rsidRPr="006E2245">
        <w:rPr>
          <w:rFonts w:cs="Arial"/>
          <w:color w:val="000000" w:themeColor="text1"/>
          <w:sz w:val="16"/>
          <w:szCs w:val="16"/>
          <w:rtl/>
        </w:rPr>
        <w:t xml:space="preserve">) </w:t>
      </w:r>
      <w:r>
        <w:rPr>
          <w:rFonts w:cs="Arial" w:hint="cs"/>
          <w:rtl/>
        </w:rPr>
        <w:t xml:space="preserve">- </w:t>
      </w:r>
      <w:r w:rsidRPr="00175946">
        <w:rPr>
          <w:rFonts w:cs="Arial"/>
          <w:rtl/>
        </w:rPr>
        <w:t>שמע מינה דבלא אונס כשר בדיעבד</w:t>
      </w:r>
      <w:r>
        <w:rPr>
          <w:rFonts w:cs="Arial" w:hint="cs"/>
          <w:rtl/>
        </w:rPr>
        <w:t>,</w:t>
      </w:r>
      <w:r w:rsidRPr="00175946">
        <w:rPr>
          <w:rFonts w:cs="Arial"/>
          <w:rtl/>
        </w:rPr>
        <w:t xml:space="preserve"> דאי פסול</w:t>
      </w:r>
      <w:r>
        <w:rPr>
          <w:rFonts w:cs="Arial" w:hint="cs"/>
          <w:rtl/>
        </w:rPr>
        <w:t>,</w:t>
      </w:r>
      <w:r w:rsidRPr="00175946">
        <w:rPr>
          <w:rFonts w:cs="Arial"/>
          <w:rtl/>
        </w:rPr>
        <w:t xml:space="preserve"> ע</w:t>
      </w:r>
      <w:r>
        <w:rPr>
          <w:rFonts w:cs="Arial" w:hint="cs"/>
          <w:rtl/>
        </w:rPr>
        <w:t>"</w:t>
      </w:r>
      <w:r w:rsidRPr="00175946">
        <w:rPr>
          <w:rFonts w:cs="Arial"/>
          <w:rtl/>
        </w:rPr>
        <w:t>י אונס נמי מיפסל</w:t>
      </w:r>
      <w:r>
        <w:rPr>
          <w:rFonts w:cs="Arial" w:hint="cs"/>
          <w:rtl/>
        </w:rPr>
        <w:t>. עכ"ל.</w:t>
      </w:r>
      <w:r w:rsidRPr="00B6360A">
        <w:rPr>
          <w:rFonts w:cs="Arial" w:hint="cs"/>
          <w:rtl/>
        </w:rPr>
        <w:t xml:space="preserve"> </w:t>
      </w:r>
      <w:r>
        <w:rPr>
          <w:rFonts w:cs="Arial" w:hint="cs"/>
          <w:rtl/>
        </w:rPr>
        <w:t>וכתב הב"י ש</w:t>
      </w:r>
      <w:r w:rsidRPr="00175946">
        <w:rPr>
          <w:rFonts w:cs="Arial"/>
          <w:rtl/>
        </w:rPr>
        <w:t>טענת ראב"ן אינה טענה דהא מדרבנן הוא וקרא אסמכתא בעלמא</w:t>
      </w:r>
      <w:r>
        <w:rPr>
          <w:rFonts w:cs="Arial" w:hint="cs"/>
          <w:rtl/>
        </w:rPr>
        <w:t>,</w:t>
      </w:r>
      <w:r w:rsidRPr="00175946">
        <w:rPr>
          <w:rFonts w:cs="Arial"/>
          <w:rtl/>
        </w:rPr>
        <w:t xml:space="preserve"> והם אמרו דהיכא דאיכא אונס מקבלין והיכא דליכא אונס וקבלו אפילו דיעבד לאו כלום הוא</w:t>
      </w:r>
      <w:r>
        <w:rPr>
          <w:rFonts w:cs="Arial" w:hint="cs"/>
          <w:rtl/>
        </w:rPr>
        <w:t>.</w:t>
      </w:r>
    </w:p>
  </w:footnote>
  <w:footnote w:id="1507">
    <w:p w14:paraId="6FA3F6BD" w14:textId="77777777" w:rsidR="0013116F" w:rsidRPr="001C6CF5" w:rsidRDefault="0013116F" w:rsidP="004B607F">
      <w:pPr>
        <w:pStyle w:val="a9"/>
        <w:rPr>
          <w:rtl/>
        </w:rPr>
      </w:pPr>
      <w:r>
        <w:rPr>
          <w:rStyle w:val="ab"/>
        </w:rPr>
        <w:footnoteRef/>
      </w:r>
      <w:r>
        <w:rPr>
          <w:rtl/>
        </w:rPr>
        <w:t xml:space="preserve"> </w:t>
      </w:r>
      <w:r w:rsidRPr="00175946">
        <w:rPr>
          <w:rFonts w:cs="Arial"/>
          <w:rtl/>
        </w:rPr>
        <w:t xml:space="preserve">ריב"א </w:t>
      </w:r>
      <w:r>
        <w:rPr>
          <w:rFonts w:cs="Arial" w:hint="cs"/>
          <w:sz w:val="16"/>
          <w:szCs w:val="16"/>
          <w:rtl/>
        </w:rPr>
        <w:t xml:space="preserve">(הביאו המרדכי </w:t>
      </w:r>
      <w:r w:rsidRPr="00436C45">
        <w:rPr>
          <w:rFonts w:cs="Arial" w:hint="cs"/>
          <w:sz w:val="14"/>
          <w:szCs w:val="14"/>
          <w:rtl/>
        </w:rPr>
        <w:t>[שם]</w:t>
      </w:r>
      <w:r>
        <w:rPr>
          <w:rFonts w:cs="Arial" w:hint="cs"/>
          <w:sz w:val="16"/>
          <w:szCs w:val="16"/>
          <w:rtl/>
        </w:rPr>
        <w:t>)</w:t>
      </w:r>
      <w:r>
        <w:rPr>
          <w:rFonts w:cs="Arial" w:hint="cs"/>
          <w:rtl/>
        </w:rPr>
        <w:t xml:space="preserve"> </w:t>
      </w:r>
      <w:r w:rsidRPr="0058419C">
        <w:rPr>
          <w:rFonts w:cs="Arial"/>
          <w:rtl/>
        </w:rPr>
        <w:t xml:space="preserve">רמב"ם </w:t>
      </w:r>
      <w:r w:rsidRPr="0058419C">
        <w:rPr>
          <w:rFonts w:cs="Arial" w:hint="cs"/>
          <w:sz w:val="16"/>
          <w:szCs w:val="16"/>
          <w:rtl/>
        </w:rPr>
        <w:t>(</w:t>
      </w:r>
      <w:r w:rsidRPr="0058419C">
        <w:rPr>
          <w:rFonts w:cs="Arial"/>
          <w:sz w:val="16"/>
          <w:szCs w:val="16"/>
          <w:rtl/>
        </w:rPr>
        <w:t>פ"ג עדות הי"א</w:t>
      </w:r>
      <w:r w:rsidRPr="0058419C">
        <w:rPr>
          <w:rFonts w:cs="Arial" w:hint="cs"/>
          <w:sz w:val="16"/>
          <w:szCs w:val="16"/>
          <w:rtl/>
        </w:rPr>
        <w:t>, להב' הב"י</w:t>
      </w:r>
      <w:r w:rsidRPr="0058419C">
        <w:rPr>
          <w:rFonts w:cs="Arial"/>
          <w:sz w:val="16"/>
          <w:szCs w:val="16"/>
          <w:rtl/>
        </w:rPr>
        <w:t>)</w:t>
      </w:r>
      <w:r>
        <w:rPr>
          <w:rFonts w:cs="Arial" w:hint="cs"/>
          <w:rtl/>
        </w:rPr>
        <w:t xml:space="preserve"> רמ"ה </w:t>
      </w:r>
      <w:r>
        <w:rPr>
          <w:rFonts w:cs="Arial" w:hint="cs"/>
          <w:sz w:val="16"/>
          <w:szCs w:val="16"/>
          <w:rtl/>
        </w:rPr>
        <w:t xml:space="preserve">(כ"כ הריב"ש בשמו) </w:t>
      </w:r>
      <w:r w:rsidRPr="00175946">
        <w:rPr>
          <w:rFonts w:cs="Arial"/>
          <w:rtl/>
        </w:rPr>
        <w:t xml:space="preserve">רא"ש </w:t>
      </w:r>
      <w:r w:rsidRPr="001841F9">
        <w:rPr>
          <w:rFonts w:cs="Arial" w:hint="cs"/>
          <w:sz w:val="16"/>
          <w:szCs w:val="16"/>
          <w:rtl/>
        </w:rPr>
        <w:t>(</w:t>
      </w:r>
      <w:r w:rsidRPr="001841F9">
        <w:rPr>
          <w:rFonts w:cs="Arial"/>
          <w:sz w:val="16"/>
          <w:szCs w:val="16"/>
          <w:rtl/>
        </w:rPr>
        <w:t>בפסקיו ב"ק פ"י סי' ג</w:t>
      </w:r>
      <w:r w:rsidRPr="001841F9">
        <w:rPr>
          <w:rFonts w:cs="Arial" w:hint="cs"/>
          <w:sz w:val="16"/>
          <w:szCs w:val="16"/>
          <w:rtl/>
        </w:rPr>
        <w:t>,</w:t>
      </w:r>
      <w:r w:rsidRPr="001841F9">
        <w:rPr>
          <w:rFonts w:cs="Arial"/>
          <w:sz w:val="16"/>
          <w:szCs w:val="16"/>
          <w:rtl/>
        </w:rPr>
        <w:t xml:space="preserve"> וגם בתשובה סוף כלל מ"א סי' ו)</w:t>
      </w:r>
      <w:r>
        <w:rPr>
          <w:rFonts w:cs="Arial" w:hint="cs"/>
          <w:rtl/>
        </w:rPr>
        <w:t xml:space="preserve"> </w:t>
      </w:r>
      <w:r w:rsidRPr="00175946">
        <w:rPr>
          <w:rFonts w:cs="Arial"/>
          <w:rtl/>
        </w:rPr>
        <w:t xml:space="preserve">רשב"ץ </w:t>
      </w:r>
      <w:r w:rsidRPr="001841F9">
        <w:rPr>
          <w:rFonts w:cs="Arial" w:hint="cs"/>
          <w:sz w:val="16"/>
          <w:szCs w:val="16"/>
          <w:rtl/>
        </w:rPr>
        <w:t xml:space="preserve">(בשו"ת </w:t>
      </w:r>
      <w:r w:rsidRPr="001841F9">
        <w:rPr>
          <w:rFonts w:cs="Arial"/>
          <w:sz w:val="16"/>
          <w:szCs w:val="16"/>
          <w:rtl/>
        </w:rPr>
        <w:t xml:space="preserve">סי' יג) </w:t>
      </w:r>
      <w:r>
        <w:rPr>
          <w:rFonts w:cs="Arial" w:hint="cs"/>
          <w:rtl/>
        </w:rPr>
        <w:t xml:space="preserve">ריב"ש </w:t>
      </w:r>
      <w:r w:rsidRPr="001841F9">
        <w:rPr>
          <w:rFonts w:cs="Arial"/>
          <w:sz w:val="16"/>
          <w:szCs w:val="16"/>
          <w:rtl/>
        </w:rPr>
        <w:t>(סי</w:t>
      </w:r>
      <w:r>
        <w:rPr>
          <w:rFonts w:cs="Arial" w:hint="cs"/>
          <w:sz w:val="16"/>
          <w:szCs w:val="16"/>
          <w:rtl/>
        </w:rPr>
        <w:t>'</w:t>
      </w:r>
      <w:r w:rsidRPr="001841F9">
        <w:rPr>
          <w:rFonts w:cs="Arial"/>
          <w:sz w:val="16"/>
          <w:szCs w:val="16"/>
          <w:rtl/>
        </w:rPr>
        <w:t xml:space="preserve"> קח כב ע"ג) </w:t>
      </w:r>
      <w:r w:rsidRPr="00175946">
        <w:rPr>
          <w:rFonts w:cs="Arial"/>
          <w:rtl/>
        </w:rPr>
        <w:t>נמוק</w:t>
      </w:r>
      <w:r>
        <w:rPr>
          <w:rFonts w:cs="Arial" w:hint="cs"/>
          <w:rtl/>
        </w:rPr>
        <w:t>"</w:t>
      </w:r>
      <w:r w:rsidRPr="00175946">
        <w:rPr>
          <w:rFonts w:cs="Arial"/>
          <w:rtl/>
        </w:rPr>
        <w:t>י</w:t>
      </w:r>
      <w:r>
        <w:rPr>
          <w:rFonts w:cs="Arial" w:hint="cs"/>
          <w:rtl/>
        </w:rPr>
        <w:t xml:space="preserve"> </w:t>
      </w:r>
      <w:r w:rsidRPr="00436C45">
        <w:rPr>
          <w:rFonts w:cs="Arial" w:hint="cs"/>
          <w:sz w:val="16"/>
          <w:szCs w:val="16"/>
          <w:rtl/>
        </w:rPr>
        <w:t>(</w:t>
      </w:r>
      <w:r w:rsidRPr="00436C45">
        <w:rPr>
          <w:rFonts w:cs="Arial"/>
          <w:sz w:val="16"/>
          <w:szCs w:val="16"/>
          <w:rtl/>
        </w:rPr>
        <w:t xml:space="preserve">פרק בתרא </w:t>
      </w:r>
      <w:r w:rsidRPr="00436C45">
        <w:rPr>
          <w:rFonts w:cs="Arial" w:hint="cs"/>
          <w:sz w:val="16"/>
          <w:szCs w:val="16"/>
          <w:rtl/>
        </w:rPr>
        <w:t>דב</w:t>
      </w:r>
      <w:r w:rsidRPr="00436C45">
        <w:rPr>
          <w:rFonts w:cs="Arial"/>
          <w:sz w:val="16"/>
          <w:szCs w:val="16"/>
          <w:rtl/>
        </w:rPr>
        <w:t>ב</w:t>
      </w:r>
      <w:r w:rsidRPr="00436C45">
        <w:rPr>
          <w:rFonts w:cs="Arial" w:hint="cs"/>
          <w:sz w:val="16"/>
          <w:szCs w:val="16"/>
          <w:rtl/>
        </w:rPr>
        <w:t>"</w:t>
      </w:r>
      <w:r w:rsidRPr="00436C45">
        <w:rPr>
          <w:rFonts w:cs="Arial"/>
          <w:sz w:val="16"/>
          <w:szCs w:val="16"/>
          <w:rtl/>
        </w:rPr>
        <w:t>ק לט</w:t>
      </w:r>
      <w:r w:rsidRPr="00436C45">
        <w:rPr>
          <w:rFonts w:cs="Arial" w:hint="cs"/>
          <w:sz w:val="16"/>
          <w:szCs w:val="16"/>
          <w:rtl/>
        </w:rPr>
        <w:t>:</w:t>
      </w:r>
      <w:r w:rsidRPr="00436C45">
        <w:rPr>
          <w:rFonts w:cs="Arial"/>
          <w:sz w:val="16"/>
          <w:szCs w:val="16"/>
          <w:rtl/>
        </w:rPr>
        <w:t>)</w:t>
      </w:r>
      <w:r w:rsidRPr="005F6D6E">
        <w:rPr>
          <w:rFonts w:cs="Arial"/>
          <w:rtl/>
        </w:rPr>
        <w:t xml:space="preserve"> </w:t>
      </w:r>
      <w:r w:rsidRPr="00175946">
        <w:rPr>
          <w:rFonts w:cs="Arial"/>
          <w:rtl/>
        </w:rPr>
        <w:t xml:space="preserve">רשב"ץ </w:t>
      </w:r>
      <w:r w:rsidRPr="001841F9">
        <w:rPr>
          <w:rFonts w:cs="Arial" w:hint="cs"/>
          <w:sz w:val="16"/>
          <w:szCs w:val="16"/>
          <w:rtl/>
        </w:rPr>
        <w:t xml:space="preserve">(בשו"ת </w:t>
      </w:r>
      <w:r w:rsidRPr="001841F9">
        <w:rPr>
          <w:rFonts w:cs="Arial"/>
          <w:sz w:val="16"/>
          <w:szCs w:val="16"/>
          <w:rtl/>
        </w:rPr>
        <w:t>סי' יג)</w:t>
      </w:r>
      <w:r>
        <w:rPr>
          <w:rFonts w:hint="cs"/>
          <w:rtl/>
        </w:rPr>
        <w:t>. וכ"כ ה</w:t>
      </w:r>
      <w:r w:rsidRPr="00175946">
        <w:rPr>
          <w:rFonts w:cs="Arial"/>
          <w:rtl/>
        </w:rPr>
        <w:t>רשב"א</w:t>
      </w:r>
      <w:r>
        <w:rPr>
          <w:rFonts w:cs="Arial" w:hint="cs"/>
          <w:rtl/>
        </w:rPr>
        <w:t xml:space="preserve"> בחידו'</w:t>
      </w:r>
      <w:r w:rsidRPr="00175946">
        <w:rPr>
          <w:rFonts w:cs="Arial"/>
          <w:rtl/>
        </w:rPr>
        <w:t xml:space="preserve"> </w:t>
      </w:r>
      <w:r w:rsidRPr="001841F9">
        <w:rPr>
          <w:rFonts w:cs="Arial"/>
          <w:sz w:val="16"/>
          <w:szCs w:val="16"/>
          <w:rtl/>
        </w:rPr>
        <w:t>(שם ד"ה משום)</w:t>
      </w:r>
      <w:r>
        <w:rPr>
          <w:rFonts w:cs="Arial" w:hint="cs"/>
          <w:rtl/>
        </w:rPr>
        <w:t xml:space="preserve"> אך בתשו' </w:t>
      </w:r>
      <w:r>
        <w:rPr>
          <w:rFonts w:cs="Arial" w:hint="cs"/>
          <w:sz w:val="16"/>
          <w:szCs w:val="16"/>
          <w:rtl/>
        </w:rPr>
        <w:t>(ח"ד סי' ר)</w:t>
      </w:r>
      <w:r>
        <w:rPr>
          <w:rFonts w:cs="Arial" w:hint="cs"/>
          <w:rtl/>
        </w:rPr>
        <w:t xml:space="preserve"> כתב וז"ל-</w:t>
      </w:r>
      <w:r w:rsidRPr="001C6CF5">
        <w:rPr>
          <w:rtl/>
        </w:rPr>
        <w:t xml:space="preserve"> </w:t>
      </w:r>
      <w:r w:rsidRPr="001C6CF5">
        <w:rPr>
          <w:rFonts w:cs="Arial"/>
          <w:rtl/>
        </w:rPr>
        <w:t>דאפילו לגבי ממון אין הדבר ברור אם קבלום שלא בפני בע"ד שלא קבלתם בדיעבד קבלה</w:t>
      </w:r>
      <w:r>
        <w:rPr>
          <w:rFonts w:cs="Arial" w:hint="cs"/>
          <w:rtl/>
        </w:rPr>
        <w:t>,</w:t>
      </w:r>
      <w:r w:rsidRPr="001C6CF5">
        <w:rPr>
          <w:rFonts w:cs="Arial"/>
          <w:rtl/>
        </w:rPr>
        <w:t xml:space="preserve"> ויש מן הראשונים ז"ל שאמרו שאם קבלו עדותם עדות. </w:t>
      </w:r>
      <w:r>
        <w:rPr>
          <w:rFonts w:cs="Arial" w:hint="cs"/>
          <w:rtl/>
        </w:rPr>
        <w:t>עכ"ל.</w:t>
      </w:r>
    </w:p>
  </w:footnote>
  <w:footnote w:id="1508">
    <w:p w14:paraId="003DA926" w14:textId="77777777" w:rsidR="0013116F" w:rsidRDefault="0013116F" w:rsidP="004B607F">
      <w:pPr>
        <w:pStyle w:val="a9"/>
        <w:rPr>
          <w:rtl/>
        </w:rPr>
      </w:pPr>
      <w:r>
        <w:rPr>
          <w:rStyle w:val="ab"/>
        </w:rPr>
        <w:footnoteRef/>
      </w:r>
      <w:r>
        <w:rPr>
          <w:rtl/>
        </w:rPr>
        <w:t xml:space="preserve"> </w:t>
      </w:r>
      <w:r w:rsidRPr="00175946">
        <w:rPr>
          <w:rFonts w:cs="Arial"/>
          <w:rtl/>
        </w:rPr>
        <w:t>דהא אפילו בדיעבד אמרינן דלא הויא הזמה שלא בפני העדים</w:t>
      </w:r>
      <w:r>
        <w:rPr>
          <w:rFonts w:cs="Arial" w:hint="cs"/>
          <w:rtl/>
        </w:rPr>
        <w:t>,</w:t>
      </w:r>
      <w:r w:rsidRPr="00175946">
        <w:rPr>
          <w:rFonts w:cs="Arial"/>
          <w:rtl/>
        </w:rPr>
        <w:t xml:space="preserve"> משום דהזמה חובת העדים היא</w:t>
      </w:r>
      <w:r>
        <w:rPr>
          <w:rFonts w:cs="Arial" w:hint="cs"/>
          <w:rtl/>
        </w:rPr>
        <w:t>,</w:t>
      </w:r>
      <w:r w:rsidRPr="00175946">
        <w:rPr>
          <w:rFonts w:cs="Arial"/>
          <w:rtl/>
        </w:rPr>
        <w:t xml:space="preserve"> והכחשה שאני</w:t>
      </w:r>
      <w:r>
        <w:rPr>
          <w:rFonts w:cs="Arial" w:hint="cs"/>
          <w:rtl/>
        </w:rPr>
        <w:t>,</w:t>
      </w:r>
      <w:r w:rsidRPr="00175946">
        <w:rPr>
          <w:rFonts w:cs="Arial"/>
          <w:rtl/>
        </w:rPr>
        <w:t xml:space="preserve"> שאינה חובת עדים אלא חובת בע</w:t>
      </w:r>
      <w:r>
        <w:rPr>
          <w:rFonts w:cs="Arial" w:hint="cs"/>
          <w:rtl/>
        </w:rPr>
        <w:t>"</w:t>
      </w:r>
      <w:r w:rsidRPr="00175946">
        <w:rPr>
          <w:rFonts w:cs="Arial"/>
          <w:rtl/>
        </w:rPr>
        <w:t>ד והרי הוא שם</w:t>
      </w:r>
      <w:r>
        <w:rPr>
          <w:rFonts w:cs="Arial" w:hint="cs"/>
          <w:rtl/>
        </w:rPr>
        <w:t xml:space="preserve">, ריב"א </w:t>
      </w:r>
      <w:r w:rsidRPr="001841F9">
        <w:rPr>
          <w:rFonts w:cs="Arial" w:hint="cs"/>
          <w:sz w:val="16"/>
          <w:szCs w:val="16"/>
          <w:rtl/>
        </w:rPr>
        <w:t>(וכתב המרדכי ד</w:t>
      </w:r>
      <w:r w:rsidRPr="001841F9">
        <w:rPr>
          <w:rFonts w:cs="Arial"/>
          <w:sz w:val="16"/>
          <w:szCs w:val="16"/>
          <w:rtl/>
        </w:rPr>
        <w:t>יש דוחין</w:t>
      </w:r>
      <w:r w:rsidRPr="001841F9">
        <w:rPr>
          <w:rFonts w:cs="Arial" w:hint="cs"/>
          <w:sz w:val="16"/>
          <w:szCs w:val="16"/>
          <w:rtl/>
        </w:rPr>
        <w:t xml:space="preserve"> דבריו</w:t>
      </w:r>
      <w:r w:rsidRPr="001841F9">
        <w:rPr>
          <w:rFonts w:cs="Arial"/>
          <w:sz w:val="16"/>
          <w:szCs w:val="16"/>
          <w:rtl/>
        </w:rPr>
        <w:t xml:space="preserve"> דכל ענייני הזמה חידוש הוא ולא גמרינן מינה</w:t>
      </w:r>
      <w:r>
        <w:rPr>
          <w:rFonts w:cs="Arial" w:hint="cs"/>
          <w:sz w:val="16"/>
          <w:szCs w:val="16"/>
          <w:rtl/>
        </w:rPr>
        <w:t>)</w:t>
      </w:r>
      <w:r w:rsidRPr="00175946">
        <w:rPr>
          <w:rFonts w:cs="Arial"/>
          <w:rtl/>
        </w:rPr>
        <w:t>.</w:t>
      </w:r>
      <w:r>
        <w:rPr>
          <w:rFonts w:cs="Arial" w:hint="cs"/>
          <w:rtl/>
        </w:rPr>
        <w:t xml:space="preserve"> וכ"כ הרא"ש </w:t>
      </w:r>
      <w:r w:rsidRPr="001841F9">
        <w:rPr>
          <w:rFonts w:cs="Arial" w:hint="cs"/>
          <w:sz w:val="16"/>
          <w:szCs w:val="16"/>
          <w:rtl/>
        </w:rPr>
        <w:t>(שם)</w:t>
      </w:r>
      <w:r>
        <w:rPr>
          <w:rFonts w:cs="Arial" w:hint="cs"/>
          <w:rtl/>
        </w:rPr>
        <w:t>. ו</w:t>
      </w:r>
      <w:r w:rsidRPr="00175946">
        <w:rPr>
          <w:rFonts w:cs="Arial"/>
          <w:rtl/>
        </w:rPr>
        <w:t>כיון דקיי</w:t>
      </w:r>
      <w:r>
        <w:rPr>
          <w:rFonts w:cs="Arial" w:hint="cs"/>
          <w:rtl/>
        </w:rPr>
        <w:t>"</w:t>
      </w:r>
      <w:r w:rsidRPr="00175946">
        <w:rPr>
          <w:rFonts w:cs="Arial"/>
          <w:rtl/>
        </w:rPr>
        <w:t>ל דאין מקבלין עדים שלא בפני בע</w:t>
      </w:r>
      <w:r>
        <w:rPr>
          <w:rFonts w:cs="Arial" w:hint="cs"/>
          <w:rtl/>
        </w:rPr>
        <w:t>"</w:t>
      </w:r>
      <w:r w:rsidRPr="00175946">
        <w:rPr>
          <w:rFonts w:cs="Arial"/>
          <w:rtl/>
        </w:rPr>
        <w:t>ד</w:t>
      </w:r>
      <w:r>
        <w:rPr>
          <w:rFonts w:cs="Arial" w:hint="cs"/>
          <w:rtl/>
        </w:rPr>
        <w:t>,</w:t>
      </w:r>
      <w:r w:rsidRPr="00175946">
        <w:rPr>
          <w:rFonts w:cs="Arial"/>
          <w:rtl/>
        </w:rPr>
        <w:t xml:space="preserve"> אם עברו וקבלו</w:t>
      </w:r>
      <w:r>
        <w:rPr>
          <w:rFonts w:cs="Arial" w:hint="cs"/>
          <w:rtl/>
        </w:rPr>
        <w:t xml:space="preserve"> -</w:t>
      </w:r>
      <w:r w:rsidRPr="00175946">
        <w:rPr>
          <w:rFonts w:cs="Arial"/>
          <w:rtl/>
        </w:rPr>
        <w:t xml:space="preserve"> לא עשו ולא כלום</w:t>
      </w:r>
      <w:r>
        <w:rPr>
          <w:rFonts w:cs="Arial" w:hint="cs"/>
          <w:rtl/>
        </w:rPr>
        <w:t>,</w:t>
      </w:r>
      <w:r w:rsidRPr="00175946">
        <w:rPr>
          <w:rFonts w:cs="Arial"/>
          <w:rtl/>
        </w:rPr>
        <w:t xml:space="preserve"> דהוה להו טועים בדבר משנה דקיי</w:t>
      </w:r>
      <w:r>
        <w:rPr>
          <w:rFonts w:cs="Arial" w:hint="cs"/>
          <w:rtl/>
        </w:rPr>
        <w:t>"</w:t>
      </w:r>
      <w:r w:rsidRPr="00175946">
        <w:rPr>
          <w:rFonts w:cs="Arial"/>
          <w:rtl/>
        </w:rPr>
        <w:t xml:space="preserve">ל </w:t>
      </w:r>
      <w:r w:rsidRPr="00436C45">
        <w:rPr>
          <w:rFonts w:cs="Arial"/>
          <w:sz w:val="16"/>
          <w:szCs w:val="16"/>
          <w:rtl/>
        </w:rPr>
        <w:t xml:space="preserve">(סנהדרין ו.) </w:t>
      </w:r>
      <w:r w:rsidRPr="00175946">
        <w:rPr>
          <w:rFonts w:cs="Arial"/>
          <w:rtl/>
        </w:rPr>
        <w:t>דחוזר</w:t>
      </w:r>
      <w:r>
        <w:rPr>
          <w:rFonts w:cs="Arial" w:hint="cs"/>
          <w:rtl/>
        </w:rPr>
        <w:t>, נמוק"י.</w:t>
      </w:r>
    </w:p>
  </w:footnote>
  <w:footnote w:id="1509">
    <w:p w14:paraId="588ECD47" w14:textId="77777777" w:rsidR="0013116F" w:rsidRDefault="0013116F" w:rsidP="004B607F">
      <w:pPr>
        <w:pStyle w:val="a9"/>
        <w:rPr>
          <w:rtl/>
        </w:rPr>
      </w:pPr>
      <w:r>
        <w:rPr>
          <w:rStyle w:val="ab"/>
        </w:rPr>
        <w:footnoteRef/>
      </w:r>
      <w:r>
        <w:rPr>
          <w:rtl/>
        </w:rPr>
        <w:t xml:space="preserve"> </w:t>
      </w:r>
      <w:r>
        <w:rPr>
          <w:rFonts w:hint="cs"/>
          <w:rtl/>
        </w:rPr>
        <w:t xml:space="preserve">מקור דברי הב"י הם בדברי הריב"ש </w:t>
      </w:r>
      <w:r w:rsidRPr="003C06F4">
        <w:rPr>
          <w:rFonts w:hint="cs"/>
          <w:sz w:val="16"/>
          <w:szCs w:val="16"/>
          <w:rtl/>
        </w:rPr>
        <w:t>(סי' קח)</w:t>
      </w:r>
      <w:r>
        <w:rPr>
          <w:rFonts w:hint="cs"/>
          <w:rtl/>
        </w:rPr>
        <w:t xml:space="preserve">, דשם כתב שכן מוכח בירושלמי, ומקור דבריו הם בדברי הרמ"ה </w:t>
      </w:r>
      <w:r w:rsidRPr="003C06F4">
        <w:rPr>
          <w:rFonts w:hint="cs"/>
          <w:sz w:val="16"/>
          <w:szCs w:val="16"/>
          <w:rtl/>
        </w:rPr>
        <w:t xml:space="preserve">(שטמ"ק ב"ק קיב. סד"ה משום סומכוס) </w:t>
      </w:r>
      <w:r>
        <w:rPr>
          <w:rFonts w:hint="cs"/>
          <w:rtl/>
        </w:rPr>
        <w:t xml:space="preserve">והרשב"א </w:t>
      </w:r>
      <w:r w:rsidRPr="003C06F4">
        <w:rPr>
          <w:rFonts w:hint="cs"/>
          <w:sz w:val="16"/>
          <w:szCs w:val="16"/>
          <w:rtl/>
        </w:rPr>
        <w:t xml:space="preserve">(בחידו' ב"ק קיב. סד"ה משום סומכוס) </w:t>
      </w:r>
      <w:r>
        <w:rPr>
          <w:rFonts w:hint="cs"/>
          <w:rtl/>
        </w:rPr>
        <w:t>שכתבו וז"ל-</w:t>
      </w:r>
      <w:r w:rsidRPr="00480FAB">
        <w:rPr>
          <w:rtl/>
        </w:rPr>
        <w:t xml:space="preserve"> </w:t>
      </w:r>
      <w:r w:rsidRPr="00480FAB">
        <w:rPr>
          <w:rFonts w:cs="Arial"/>
          <w:rtl/>
        </w:rPr>
        <w:t>ובירושלמי משמע דאפילו אם קבלום שלא בפני בעל דין לא עשו ולא כלום</w:t>
      </w:r>
      <w:r>
        <w:rPr>
          <w:rFonts w:cs="Arial" w:hint="cs"/>
          <w:rtl/>
        </w:rPr>
        <w:t>. עכ"ל. ונראה שכתב כן כיון דרבי ירמיה ס"ל הכי והילכתא כוותיה.</w:t>
      </w:r>
      <w:r>
        <w:rPr>
          <w:rFonts w:hint="cs"/>
          <w:rtl/>
        </w:rPr>
        <w:t xml:space="preserve"> וצל"ע אם יש מקום שאומר הרשב"א כן בפירוש, דלכאורה מוכח בירולשמי דמקבלים עדים שלא בפני בעל דין, וגם מראה הפנים על הירושלמי שם </w:t>
      </w:r>
      <w:r w:rsidRPr="003C06F4">
        <w:rPr>
          <w:rFonts w:hint="cs"/>
          <w:sz w:val="16"/>
          <w:szCs w:val="16"/>
          <w:rtl/>
        </w:rPr>
        <w:t xml:space="preserve">(ד"ה אדם) </w:t>
      </w:r>
      <w:r>
        <w:rPr>
          <w:rFonts w:hint="cs"/>
          <w:rtl/>
        </w:rPr>
        <w:t xml:space="preserve">העיר שאין הוכחה מסוגיא זו. ובתשובת הרשב"א (ח"ד סי' ר, הביאה הב"י לקמן </w:t>
      </w:r>
      <w:r w:rsidRPr="00822124">
        <w:rPr>
          <w:rFonts w:hint="cs"/>
          <w:sz w:val="16"/>
          <w:szCs w:val="16"/>
          <w:rtl/>
        </w:rPr>
        <w:t>{סע' טז[ב] יז}</w:t>
      </w:r>
      <w:r>
        <w:rPr>
          <w:rFonts w:hint="cs"/>
          <w:rtl/>
        </w:rPr>
        <w:t xml:space="preserve">) כתב דמירושלמי זה משמע דהא שאין מקבלים עדים שלא בפני בעל דין הוא דוקא שהבעל דין נמצא בעיר באותה שעה הא לאו הכי מקבלים. </w:t>
      </w:r>
    </w:p>
  </w:footnote>
  <w:footnote w:id="1510">
    <w:p w14:paraId="7965F8A7" w14:textId="77777777" w:rsidR="0013116F" w:rsidRDefault="0013116F" w:rsidP="004B607F">
      <w:pPr>
        <w:pStyle w:val="a9"/>
      </w:pPr>
      <w:r>
        <w:rPr>
          <w:rStyle w:val="ab"/>
        </w:rPr>
        <w:footnoteRef/>
      </w:r>
      <w:r>
        <w:rPr>
          <w:rtl/>
        </w:rPr>
        <w:t xml:space="preserve"> </w:t>
      </w:r>
      <w:r>
        <w:rPr>
          <w:rFonts w:hint="cs"/>
          <w:rtl/>
        </w:rPr>
        <w:t>והביא דבריו</w:t>
      </w:r>
      <w:r w:rsidRPr="00587DEB">
        <w:rPr>
          <w:rFonts w:cs="Arial" w:hint="cs"/>
          <w:rtl/>
        </w:rPr>
        <w:t xml:space="preserve"> </w:t>
      </w:r>
      <w:r w:rsidRPr="004E1FDD">
        <w:rPr>
          <w:rFonts w:cs="Arial"/>
          <w:rtl/>
        </w:rPr>
        <w:t>מהר"</w:t>
      </w:r>
      <w:r>
        <w:rPr>
          <w:rFonts w:cs="Arial" w:hint="cs"/>
          <w:rtl/>
        </w:rPr>
        <w:t>ם</w:t>
      </w:r>
      <w:r w:rsidRPr="004E1FDD">
        <w:rPr>
          <w:rFonts w:cs="Arial"/>
          <w:rtl/>
        </w:rPr>
        <w:t xml:space="preserve"> פדווא"ה </w:t>
      </w:r>
      <w:r w:rsidRPr="004E1FDD">
        <w:rPr>
          <w:rFonts w:cs="Arial" w:hint="cs"/>
          <w:sz w:val="16"/>
          <w:szCs w:val="16"/>
          <w:rtl/>
        </w:rPr>
        <w:t>(</w:t>
      </w:r>
      <w:r w:rsidRPr="004E1FDD">
        <w:rPr>
          <w:rFonts w:cs="Arial"/>
          <w:sz w:val="16"/>
          <w:szCs w:val="16"/>
          <w:rtl/>
        </w:rPr>
        <w:t>סי</w:t>
      </w:r>
      <w:r w:rsidRPr="004E1FDD">
        <w:rPr>
          <w:rFonts w:cs="Arial" w:hint="cs"/>
          <w:sz w:val="16"/>
          <w:szCs w:val="16"/>
          <w:rtl/>
        </w:rPr>
        <w:t>'</w:t>
      </w:r>
      <w:r w:rsidRPr="004E1FDD">
        <w:rPr>
          <w:rFonts w:cs="Arial"/>
          <w:sz w:val="16"/>
          <w:szCs w:val="16"/>
          <w:rtl/>
        </w:rPr>
        <w:t xml:space="preserve"> עג</w:t>
      </w:r>
      <w:r w:rsidRPr="004E1FDD">
        <w:rPr>
          <w:rFonts w:cs="Arial" w:hint="cs"/>
          <w:sz w:val="16"/>
          <w:szCs w:val="16"/>
          <w:rtl/>
        </w:rPr>
        <w:t>)</w:t>
      </w:r>
      <w:r>
        <w:rPr>
          <w:rFonts w:hint="cs"/>
          <w:rtl/>
        </w:rPr>
        <w:t xml:space="preserve">. וכ' מהר"ם </w:t>
      </w:r>
      <w:r w:rsidRPr="004E1FDD">
        <w:rPr>
          <w:rFonts w:cs="Arial"/>
          <w:rtl/>
        </w:rPr>
        <w:t>פדווא"ה</w:t>
      </w:r>
      <w:r>
        <w:rPr>
          <w:rFonts w:hint="cs"/>
          <w:rtl/>
        </w:rPr>
        <w:t xml:space="preserve"> שלפי זה </w:t>
      </w:r>
      <w:r w:rsidRPr="00587DEB">
        <w:rPr>
          <w:rFonts w:cs="Arial"/>
          <w:rtl/>
        </w:rPr>
        <w:t xml:space="preserve">נוכל לומר </w:t>
      </w:r>
      <w:r>
        <w:rPr>
          <w:rFonts w:cs="Arial" w:hint="cs"/>
          <w:rtl/>
        </w:rPr>
        <w:t>שה</w:t>
      </w:r>
      <w:r w:rsidRPr="00587DEB">
        <w:rPr>
          <w:rFonts w:cs="Arial"/>
          <w:rtl/>
        </w:rPr>
        <w:t xml:space="preserve">ריב"א </w:t>
      </w:r>
      <w:r>
        <w:rPr>
          <w:rFonts w:cs="Arial" w:hint="cs"/>
          <w:rtl/>
        </w:rPr>
        <w:t xml:space="preserve">יודה </w:t>
      </w:r>
      <w:r w:rsidRPr="00587DEB">
        <w:rPr>
          <w:rFonts w:cs="Arial"/>
          <w:rtl/>
        </w:rPr>
        <w:t xml:space="preserve">בדיעבד </w:t>
      </w:r>
      <w:r>
        <w:rPr>
          <w:rFonts w:cs="Arial" w:hint="cs"/>
          <w:rtl/>
        </w:rPr>
        <w:t xml:space="preserve">שאם </w:t>
      </w:r>
      <w:r w:rsidRPr="00587DEB">
        <w:rPr>
          <w:rFonts w:cs="Arial"/>
          <w:rtl/>
        </w:rPr>
        <w:t>כבר נפסק הדין ע</w:t>
      </w:r>
      <w:r>
        <w:rPr>
          <w:rFonts w:cs="Arial" w:hint="cs"/>
          <w:rtl/>
        </w:rPr>
        <w:t>"</w:t>
      </w:r>
      <w:r w:rsidRPr="00587DEB">
        <w:rPr>
          <w:rFonts w:cs="Arial"/>
          <w:rtl/>
        </w:rPr>
        <w:t>פ עדות הנגבה שלא בפני בית דין</w:t>
      </w:r>
      <w:r>
        <w:rPr>
          <w:rFonts w:cs="Arial" w:hint="cs"/>
          <w:rtl/>
        </w:rPr>
        <w:t>,</w:t>
      </w:r>
      <w:r w:rsidRPr="00587DEB">
        <w:rPr>
          <w:rFonts w:cs="Arial"/>
          <w:rtl/>
        </w:rPr>
        <w:t xml:space="preserve"> דאינו חוזר הדין</w:t>
      </w:r>
      <w:r>
        <w:rPr>
          <w:rFonts w:cs="Arial" w:hint="cs"/>
          <w:rtl/>
        </w:rPr>
        <w:t>,</w:t>
      </w:r>
      <w:r w:rsidRPr="00587DEB">
        <w:rPr>
          <w:rFonts w:cs="Arial"/>
          <w:rtl/>
        </w:rPr>
        <w:t xml:space="preserve"> דלא יקרא טועה בדבר משנה</w:t>
      </w:r>
      <w:r>
        <w:rPr>
          <w:rFonts w:cs="Arial" w:hint="cs"/>
          <w:rtl/>
        </w:rPr>
        <w:t>. עכ"ד. אך רי"ו</w:t>
      </w:r>
      <w:r w:rsidRPr="00587DEB">
        <w:rPr>
          <w:rFonts w:cs="Arial" w:hint="cs"/>
          <w:sz w:val="16"/>
          <w:szCs w:val="16"/>
          <w:rtl/>
        </w:rPr>
        <w:t xml:space="preserve"> (שם)</w:t>
      </w:r>
      <w:r>
        <w:rPr>
          <w:rFonts w:cs="Arial" w:hint="cs"/>
          <w:rtl/>
        </w:rPr>
        <w:t xml:space="preserve"> כתב וז"ל- </w:t>
      </w:r>
      <w:r w:rsidRPr="00587DEB">
        <w:rPr>
          <w:rFonts w:cs="Arial"/>
          <w:rtl/>
        </w:rPr>
        <w:t>ועוד כתב ריב"א שאם קבלו עדות שלא בפניו אינו עדות וכן כתב הרמב"ן דהוו להו כטועי' בדבר משנה וחוזרי'.</w:t>
      </w:r>
      <w:r>
        <w:rPr>
          <w:rFonts w:cs="Arial" w:hint="cs"/>
          <w:rtl/>
        </w:rPr>
        <w:t xml:space="preserve"> עכ"ל. וכדברי הנמוק"י </w:t>
      </w:r>
      <w:r>
        <w:rPr>
          <w:rFonts w:cs="Arial" w:hint="cs"/>
          <w:sz w:val="16"/>
          <w:szCs w:val="16"/>
          <w:rtl/>
        </w:rPr>
        <w:t>(</w:t>
      </w:r>
      <w:r w:rsidRPr="00436C45">
        <w:rPr>
          <w:rFonts w:cs="Arial" w:hint="cs"/>
          <w:sz w:val="16"/>
          <w:szCs w:val="16"/>
          <w:rtl/>
        </w:rPr>
        <w:t>ב</w:t>
      </w:r>
      <w:r w:rsidRPr="00436C45">
        <w:rPr>
          <w:rFonts w:cs="Arial"/>
          <w:sz w:val="16"/>
          <w:szCs w:val="16"/>
          <w:rtl/>
        </w:rPr>
        <w:t>ב</w:t>
      </w:r>
      <w:r w:rsidRPr="00436C45">
        <w:rPr>
          <w:rFonts w:cs="Arial" w:hint="cs"/>
          <w:sz w:val="16"/>
          <w:szCs w:val="16"/>
          <w:rtl/>
        </w:rPr>
        <w:t>"</w:t>
      </w:r>
      <w:r w:rsidRPr="00436C45">
        <w:rPr>
          <w:rFonts w:cs="Arial"/>
          <w:sz w:val="16"/>
          <w:szCs w:val="16"/>
          <w:rtl/>
        </w:rPr>
        <w:t>ק לט</w:t>
      </w:r>
      <w:r w:rsidRPr="00436C45">
        <w:rPr>
          <w:rFonts w:cs="Arial" w:hint="cs"/>
          <w:sz w:val="16"/>
          <w:szCs w:val="16"/>
          <w:rtl/>
        </w:rPr>
        <w:t>:</w:t>
      </w:r>
      <w:r w:rsidRPr="00436C45">
        <w:rPr>
          <w:rFonts w:cs="Arial"/>
          <w:sz w:val="16"/>
          <w:szCs w:val="16"/>
          <w:rtl/>
        </w:rPr>
        <w:t>)</w:t>
      </w:r>
      <w:r>
        <w:rPr>
          <w:rFonts w:cs="Arial" w:hint="cs"/>
          <w:rtl/>
        </w:rPr>
        <w:t xml:space="preserve">. </w:t>
      </w:r>
    </w:p>
  </w:footnote>
  <w:footnote w:id="1511">
    <w:p w14:paraId="5801216B" w14:textId="77777777" w:rsidR="0013116F" w:rsidRDefault="0013116F" w:rsidP="004B607F">
      <w:pPr>
        <w:pStyle w:val="a9"/>
      </w:pPr>
      <w:r>
        <w:rPr>
          <w:rStyle w:val="ab"/>
        </w:rPr>
        <w:footnoteRef/>
      </w:r>
      <w:r>
        <w:rPr>
          <w:rtl/>
        </w:rPr>
        <w:t xml:space="preserve"> </w:t>
      </w:r>
      <w:r w:rsidRPr="008A4067">
        <w:rPr>
          <w:rFonts w:cs="Arial"/>
          <w:rtl/>
        </w:rPr>
        <w:t>וראיה מדאמרינן בפרק שבועת העדות (לא:) השביע עליהם חוץ לבית דין ובאו לבית דין והודו פטורים</w:t>
      </w:r>
      <w:r>
        <w:rPr>
          <w:rFonts w:cs="Arial" w:hint="cs"/>
          <w:rtl/>
        </w:rPr>
        <w:t xml:space="preserve">, ה"ר מנחם. </w:t>
      </w:r>
      <w:r w:rsidRPr="00FB3387">
        <w:rPr>
          <w:rFonts w:cs="Arial"/>
          <w:rtl/>
        </w:rPr>
        <w:t>וכ</w:t>
      </w:r>
      <w:r>
        <w:rPr>
          <w:rFonts w:cs="Arial" w:hint="cs"/>
          <w:rtl/>
        </w:rPr>
        <w:t>"כ</w:t>
      </w:r>
      <w:r w:rsidRPr="00FB3387">
        <w:rPr>
          <w:rFonts w:cs="Arial"/>
          <w:rtl/>
        </w:rPr>
        <w:t xml:space="preserve"> הריב"ש בתשובה (סי' קח) על עדים שהעידו ע"פ חרם שלא בפני בע"ד חוזרים אח"כ ומגידים לפניו</w:t>
      </w:r>
      <w:r>
        <w:rPr>
          <w:rFonts w:cs="Arial" w:hint="cs"/>
          <w:rtl/>
        </w:rPr>
        <w:t>, דרכ"מ (אות יב).</w:t>
      </w:r>
    </w:p>
  </w:footnote>
  <w:footnote w:id="1512">
    <w:p w14:paraId="3E6BDE5D" w14:textId="77777777" w:rsidR="0013116F" w:rsidRDefault="0013116F" w:rsidP="004B607F">
      <w:pPr>
        <w:pStyle w:val="a9"/>
      </w:pPr>
      <w:r>
        <w:rPr>
          <w:rStyle w:val="ab"/>
        </w:rPr>
        <w:footnoteRef/>
      </w:r>
      <w:r>
        <w:rPr>
          <w:rtl/>
        </w:rPr>
        <w:t xml:space="preserve"> </w:t>
      </w:r>
      <w:r w:rsidRPr="00564FA1">
        <w:rPr>
          <w:rFonts w:cs="Arial"/>
          <w:rtl/>
        </w:rPr>
        <w:t>ו</w:t>
      </w:r>
      <w:r>
        <w:rPr>
          <w:rFonts w:cs="Arial" w:hint="cs"/>
          <w:rtl/>
        </w:rPr>
        <w:t>דקדק כ</w:t>
      </w:r>
      <w:r w:rsidRPr="00564FA1">
        <w:rPr>
          <w:rFonts w:cs="Arial"/>
          <w:rtl/>
        </w:rPr>
        <w:t>ן מדברי הרשב"א ז"ל</w:t>
      </w:r>
      <w:r>
        <w:rPr>
          <w:rFonts w:cs="Arial" w:hint="cs"/>
          <w:rtl/>
        </w:rPr>
        <w:t>, ב"י.</w:t>
      </w:r>
    </w:p>
  </w:footnote>
  <w:footnote w:id="1513">
    <w:p w14:paraId="4B3E5D1E" w14:textId="77777777" w:rsidR="0013116F" w:rsidRDefault="0013116F" w:rsidP="004B607F">
      <w:pPr>
        <w:pStyle w:val="a9"/>
        <w:rPr>
          <w:rtl/>
        </w:rPr>
      </w:pPr>
      <w:r>
        <w:rPr>
          <w:rStyle w:val="ab"/>
        </w:rPr>
        <w:footnoteRef/>
      </w:r>
      <w:r>
        <w:rPr>
          <w:rtl/>
        </w:rPr>
        <w:t xml:space="preserve"> </w:t>
      </w:r>
      <w:r>
        <w:rPr>
          <w:rFonts w:hint="cs"/>
          <w:rtl/>
        </w:rPr>
        <w:t xml:space="preserve">וכ' הדרכ"מ </w:t>
      </w:r>
      <w:r w:rsidRPr="001128A9">
        <w:rPr>
          <w:rFonts w:hint="cs"/>
          <w:sz w:val="16"/>
          <w:szCs w:val="16"/>
          <w:rtl/>
        </w:rPr>
        <w:t xml:space="preserve">(אות ט) </w:t>
      </w:r>
      <w:r>
        <w:rPr>
          <w:rFonts w:cs="Arial" w:hint="cs"/>
          <w:rtl/>
        </w:rPr>
        <w:t>ד</w:t>
      </w:r>
      <w:r w:rsidRPr="00475DBF">
        <w:rPr>
          <w:rFonts w:cs="Arial"/>
          <w:rtl/>
        </w:rPr>
        <w:t>כן משמע קצת מתשובת הרשב"א שכתב ב</w:t>
      </w:r>
      <w:r>
        <w:rPr>
          <w:rFonts w:cs="Arial" w:hint="cs"/>
          <w:rtl/>
        </w:rPr>
        <w:t>"</w:t>
      </w:r>
      <w:r w:rsidRPr="00475DBF">
        <w:rPr>
          <w:rFonts w:cs="Arial"/>
          <w:rtl/>
        </w:rPr>
        <w:t>י בסי</w:t>
      </w:r>
      <w:r>
        <w:rPr>
          <w:rFonts w:cs="Arial" w:hint="cs"/>
          <w:rtl/>
        </w:rPr>
        <w:t>'</w:t>
      </w:r>
      <w:r w:rsidRPr="00475DBF">
        <w:rPr>
          <w:rFonts w:cs="Arial"/>
          <w:rtl/>
        </w:rPr>
        <w:t xml:space="preserve"> זה </w:t>
      </w:r>
      <w:r w:rsidRPr="001128A9">
        <w:rPr>
          <w:rFonts w:cs="Arial"/>
          <w:sz w:val="16"/>
          <w:szCs w:val="16"/>
          <w:rtl/>
        </w:rPr>
        <w:t>(סכ"ב)</w:t>
      </w:r>
      <w:r w:rsidRPr="00475DBF">
        <w:rPr>
          <w:rFonts w:cs="Arial"/>
          <w:rtl/>
        </w:rPr>
        <w:t xml:space="preserve">. וצ"ע </w:t>
      </w:r>
      <w:r>
        <w:rPr>
          <w:rFonts w:cs="Arial" w:hint="cs"/>
          <w:rtl/>
        </w:rPr>
        <w:t>ב</w:t>
      </w:r>
      <w:r w:rsidRPr="00475DBF">
        <w:rPr>
          <w:rFonts w:cs="Arial"/>
          <w:rtl/>
        </w:rPr>
        <w:t xml:space="preserve">פרק המפקיד </w:t>
      </w:r>
      <w:r w:rsidRPr="001128A9">
        <w:rPr>
          <w:rFonts w:cs="Arial"/>
          <w:sz w:val="16"/>
          <w:szCs w:val="16"/>
          <w:rtl/>
        </w:rPr>
        <w:t>(לט</w:t>
      </w:r>
      <w:r w:rsidRPr="001128A9">
        <w:rPr>
          <w:rFonts w:cs="Arial" w:hint="cs"/>
          <w:sz w:val="16"/>
          <w:szCs w:val="16"/>
          <w:rtl/>
        </w:rPr>
        <w:t>:</w:t>
      </w:r>
      <w:r w:rsidRPr="001128A9">
        <w:rPr>
          <w:rFonts w:cs="Arial"/>
          <w:sz w:val="16"/>
          <w:szCs w:val="16"/>
          <w:rtl/>
        </w:rPr>
        <w:t xml:space="preserve">) </w:t>
      </w:r>
      <w:r w:rsidRPr="00475DBF">
        <w:rPr>
          <w:rFonts w:cs="Arial"/>
          <w:rtl/>
        </w:rPr>
        <w:t>ופ</w:t>
      </w:r>
      <w:r>
        <w:rPr>
          <w:rFonts w:cs="Arial" w:hint="cs"/>
          <w:rtl/>
        </w:rPr>
        <w:t>"</w:t>
      </w:r>
      <w:r w:rsidRPr="00475DBF">
        <w:rPr>
          <w:rFonts w:cs="Arial"/>
          <w:rtl/>
        </w:rPr>
        <w:t xml:space="preserve">ב דכתובות </w:t>
      </w:r>
      <w:r w:rsidRPr="001128A9">
        <w:rPr>
          <w:rFonts w:cs="Arial"/>
          <w:sz w:val="16"/>
          <w:szCs w:val="16"/>
          <w:rtl/>
        </w:rPr>
        <w:t>(כ</w:t>
      </w:r>
      <w:r w:rsidRPr="001128A9">
        <w:rPr>
          <w:rFonts w:cs="Arial" w:hint="cs"/>
          <w:sz w:val="16"/>
          <w:szCs w:val="16"/>
          <w:rtl/>
        </w:rPr>
        <w:t>ז:</w:t>
      </w:r>
      <w:r w:rsidRPr="001128A9">
        <w:rPr>
          <w:rFonts w:cs="Arial"/>
          <w:sz w:val="16"/>
          <w:szCs w:val="16"/>
          <w:rtl/>
        </w:rPr>
        <w:t xml:space="preserve">) </w:t>
      </w:r>
      <w:r w:rsidRPr="00475DBF">
        <w:rPr>
          <w:rFonts w:cs="Arial"/>
          <w:rtl/>
        </w:rPr>
        <w:t>בעובדא דמרי בר איסק דהאלם צריך להביא עדים וכמו שכתב רבינו לעיל ר</w:t>
      </w:r>
      <w:r>
        <w:rPr>
          <w:rFonts w:cs="Arial" w:hint="cs"/>
          <w:rtl/>
        </w:rPr>
        <w:t>"</w:t>
      </w:r>
      <w:r w:rsidRPr="00475DBF">
        <w:rPr>
          <w:rFonts w:cs="Arial"/>
          <w:rtl/>
        </w:rPr>
        <w:t>ס זה</w:t>
      </w:r>
      <w:r w:rsidRPr="001128A9">
        <w:rPr>
          <w:rFonts w:cs="Arial"/>
          <w:sz w:val="16"/>
          <w:szCs w:val="16"/>
          <w:rtl/>
        </w:rPr>
        <w:t xml:space="preserve"> (ס"ו) </w:t>
      </w:r>
      <w:r w:rsidRPr="00475DBF">
        <w:rPr>
          <w:rFonts w:cs="Arial"/>
          <w:rtl/>
        </w:rPr>
        <w:t>ולא אמר ליה שיעידו העדים שלא בפני האלם</w:t>
      </w:r>
      <w:r>
        <w:rPr>
          <w:rFonts w:cs="Arial" w:hint="cs"/>
          <w:rtl/>
        </w:rPr>
        <w:t>,</w:t>
      </w:r>
      <w:r w:rsidRPr="00475DBF">
        <w:rPr>
          <w:rFonts w:cs="Arial"/>
          <w:rtl/>
        </w:rPr>
        <w:t xml:space="preserve"> ואפשר דשם היו יראים להגיד אפילו שלא בפניו</w:t>
      </w:r>
      <w:r>
        <w:rPr>
          <w:rFonts w:cs="Arial" w:hint="cs"/>
          <w:rtl/>
        </w:rPr>
        <w:t>,</w:t>
      </w:r>
      <w:r w:rsidRPr="00475DBF">
        <w:rPr>
          <w:rFonts w:cs="Arial"/>
          <w:rtl/>
        </w:rPr>
        <w:t xml:space="preserve"> א</w:t>
      </w:r>
      <w:r>
        <w:rPr>
          <w:rFonts w:cs="Arial" w:hint="cs"/>
          <w:rtl/>
        </w:rPr>
        <w:t>"</w:t>
      </w:r>
      <w:r w:rsidRPr="00475DBF">
        <w:rPr>
          <w:rFonts w:cs="Arial"/>
          <w:rtl/>
        </w:rPr>
        <w:t>נ דאם אפשר לכוף האלם שהוא יביא העדים עדיף טפי</w:t>
      </w:r>
      <w:r>
        <w:rPr>
          <w:rFonts w:cs="Arial" w:hint="cs"/>
          <w:rtl/>
        </w:rPr>
        <w:t>.</w:t>
      </w:r>
      <w:r>
        <w:rPr>
          <w:rFonts w:hint="cs"/>
          <w:rtl/>
        </w:rPr>
        <w:t xml:space="preserve"> </w:t>
      </w:r>
      <w:r>
        <w:rPr>
          <w:rFonts w:hint="cs"/>
          <w:color w:val="00B0F0"/>
          <w:rtl/>
        </w:rPr>
        <w:t>(</w:t>
      </w:r>
      <w:r w:rsidRPr="001128A9">
        <w:rPr>
          <w:rFonts w:hint="cs"/>
          <w:color w:val="00B0F0"/>
          <w:rtl/>
        </w:rPr>
        <w:t>וכ"פ בהגה)</w:t>
      </w:r>
    </w:p>
  </w:footnote>
  <w:footnote w:id="1514">
    <w:p w14:paraId="32871EBE" w14:textId="77777777" w:rsidR="0013116F" w:rsidRDefault="0013116F" w:rsidP="004B607F">
      <w:pPr>
        <w:pStyle w:val="a9"/>
      </w:pPr>
      <w:r>
        <w:rPr>
          <w:rStyle w:val="ab"/>
        </w:rPr>
        <w:footnoteRef/>
      </w:r>
      <w:r>
        <w:rPr>
          <w:rtl/>
        </w:rPr>
        <w:t xml:space="preserve"> </w:t>
      </w:r>
      <w:r>
        <w:rPr>
          <w:rFonts w:cs="Arial" w:hint="cs"/>
          <w:rtl/>
        </w:rPr>
        <w:t xml:space="preserve">וכתב הדרכ"מ </w:t>
      </w:r>
      <w:r>
        <w:rPr>
          <w:rFonts w:cs="Arial" w:hint="cs"/>
          <w:sz w:val="16"/>
          <w:szCs w:val="16"/>
          <w:rtl/>
        </w:rPr>
        <w:t>(אות ט)</w:t>
      </w:r>
      <w:r>
        <w:rPr>
          <w:rFonts w:cs="Arial" w:hint="cs"/>
          <w:rtl/>
        </w:rPr>
        <w:t xml:space="preserve">- </w:t>
      </w:r>
      <w:r w:rsidRPr="00475DBF">
        <w:rPr>
          <w:rFonts w:cs="Arial"/>
          <w:rtl/>
        </w:rPr>
        <w:t>ונראה דלא מיירי הג"ה זו אלא בדבר שדנין ב</w:t>
      </w:r>
      <w:r>
        <w:rPr>
          <w:rFonts w:cs="Arial" w:hint="cs"/>
          <w:rtl/>
        </w:rPr>
        <w:t>"</w:t>
      </w:r>
      <w:r w:rsidRPr="00475DBF">
        <w:rPr>
          <w:rFonts w:cs="Arial"/>
          <w:rtl/>
        </w:rPr>
        <w:t>ד כדי להשקיט קטטות ומריבות או משום לעשות שלום מותר לקבל עדות שלא בפני בע"ד ולקנוס החייב בדרך קנס</w:t>
      </w:r>
      <w:r>
        <w:rPr>
          <w:rFonts w:cs="Arial" w:hint="cs"/>
          <w:rtl/>
        </w:rPr>
        <w:t>,</w:t>
      </w:r>
      <w:r w:rsidRPr="00475DBF">
        <w:rPr>
          <w:rFonts w:cs="Arial"/>
          <w:rtl/>
        </w:rPr>
        <w:t xml:space="preserve"> אבל לדון בין שני בעלי דינים לא נראה שתיקנו בזו הגאונים לקבל עדות שלא כדין</w:t>
      </w:r>
      <w:r>
        <w:rPr>
          <w:rFonts w:cs="Arial" w:hint="cs"/>
          <w:rtl/>
        </w:rPr>
        <w:t>,</w:t>
      </w:r>
      <w:r w:rsidRPr="00475DBF">
        <w:rPr>
          <w:rFonts w:cs="Arial"/>
          <w:rtl/>
        </w:rPr>
        <w:t xml:space="preserve"> ואם תיקנו לא נתפשטה תקנתן</w:t>
      </w:r>
      <w:r>
        <w:rPr>
          <w:rFonts w:cs="Arial" w:hint="cs"/>
          <w:rtl/>
        </w:rPr>
        <w:t>,</w:t>
      </w:r>
      <w:r w:rsidRPr="00475DBF">
        <w:rPr>
          <w:rFonts w:cs="Arial"/>
          <w:rtl/>
        </w:rPr>
        <w:t xml:space="preserve"> ואין לסמוך בזו על דברי יחיד נגד כל הפוסקים כנ"ל</w:t>
      </w:r>
      <w:r>
        <w:rPr>
          <w:rFonts w:hint="cs"/>
          <w:rtl/>
        </w:rPr>
        <w:t xml:space="preserve">. </w:t>
      </w:r>
      <w:r>
        <w:rPr>
          <w:rFonts w:hint="cs"/>
          <w:color w:val="00B0F0"/>
          <w:rtl/>
        </w:rPr>
        <w:t>(</w:t>
      </w:r>
      <w:r w:rsidRPr="001128A9">
        <w:rPr>
          <w:rFonts w:hint="cs"/>
          <w:color w:val="00B0F0"/>
          <w:rtl/>
        </w:rPr>
        <w:t>וכ"פ בהגה)</w:t>
      </w:r>
      <w:r>
        <w:rPr>
          <w:rFonts w:hint="cs"/>
          <w:rtl/>
        </w:rPr>
        <w:t xml:space="preserve">. וכ"כ מהרש"ל </w:t>
      </w:r>
      <w:r>
        <w:rPr>
          <w:rFonts w:hint="cs"/>
          <w:sz w:val="16"/>
          <w:szCs w:val="16"/>
          <w:rtl/>
        </w:rPr>
        <w:t>(יש"ש ב"ק פ"י ד"ה ודבר פשוט הוא, וכן בשו"ת</w:t>
      </w:r>
      <w:r w:rsidRPr="00B807AD">
        <w:rPr>
          <w:rtl/>
        </w:rPr>
        <w:t xml:space="preserve"> </w:t>
      </w:r>
      <w:r w:rsidRPr="00B807AD">
        <w:rPr>
          <w:rFonts w:cs="Arial"/>
          <w:sz w:val="16"/>
          <w:szCs w:val="16"/>
          <w:rtl/>
        </w:rPr>
        <w:t>מהרש"ל סי</w:t>
      </w:r>
      <w:r>
        <w:rPr>
          <w:rFonts w:cs="Arial" w:hint="cs"/>
          <w:sz w:val="16"/>
          <w:szCs w:val="16"/>
          <w:rtl/>
        </w:rPr>
        <w:t>'</w:t>
      </w:r>
      <w:r w:rsidRPr="00B807AD">
        <w:rPr>
          <w:rFonts w:cs="Arial"/>
          <w:sz w:val="16"/>
          <w:szCs w:val="16"/>
          <w:rtl/>
        </w:rPr>
        <w:t xml:space="preserve"> יא</w:t>
      </w:r>
      <w:r>
        <w:rPr>
          <w:rFonts w:hint="cs"/>
          <w:sz w:val="16"/>
          <w:szCs w:val="16"/>
          <w:rtl/>
        </w:rPr>
        <w:t xml:space="preserve">) </w:t>
      </w:r>
      <w:r>
        <w:rPr>
          <w:rFonts w:hint="cs"/>
          <w:rtl/>
        </w:rPr>
        <w:t xml:space="preserve">על הג"ה זו, וז"ל- </w:t>
      </w:r>
      <w:r w:rsidRPr="004530F9">
        <w:rPr>
          <w:rFonts w:cs="Arial"/>
          <w:rtl/>
        </w:rPr>
        <w:t>וחלילה שיעשו הגאונים תקנה זו, שלא כדין תורתינו. היכא דלא שייך הפקר ב"ד הפקר, כגון בממון. ועוד, הלא כתב, אבל על עסק ממון מקבלין דוקא בפני ב"ד. וכ"ש שאר עניינים החמורים. ועוד, אין לך קטטות יותר מזה אם תבא אח"כ לחתוך הדין ע</w:t>
      </w:r>
      <w:r>
        <w:rPr>
          <w:rFonts w:cs="Arial" w:hint="cs"/>
          <w:rtl/>
        </w:rPr>
        <w:t>"</w:t>
      </w:r>
      <w:r w:rsidRPr="004530F9">
        <w:rPr>
          <w:rFonts w:cs="Arial"/>
          <w:rtl/>
        </w:rPr>
        <w:t>פ אותה העדות. אלא איירי בדיין שבא לישב ולדון דברי ריבות וקטטות בין איש לחבירו, או בין משפחה למשפחה, בענין ריב שאין בו דררא דממונא</w:t>
      </w:r>
      <w:r>
        <w:rPr>
          <w:rFonts w:cs="Arial" w:hint="cs"/>
          <w:rtl/>
        </w:rPr>
        <w:t>,</w:t>
      </w:r>
      <w:r w:rsidRPr="004530F9">
        <w:rPr>
          <w:rFonts w:cs="Arial"/>
          <w:rtl/>
        </w:rPr>
        <w:t xml:space="preserve"> וכ"ש שאין בו דברים האוסרים והפוסלים</w:t>
      </w:r>
      <w:r>
        <w:rPr>
          <w:rFonts w:cs="Arial" w:hint="cs"/>
          <w:rtl/>
        </w:rPr>
        <w:t>,</w:t>
      </w:r>
      <w:r w:rsidRPr="004530F9">
        <w:rPr>
          <w:rFonts w:cs="Arial"/>
          <w:rtl/>
        </w:rPr>
        <w:t xml:space="preserve"> אלא ענייני חרופי וגדופי, ביתר ריב ומצה, חירחור הלשון. אז יכול הדיין לגבות העדות כדי לראות מי הוא הפושע וכדי שידע באיך ומה לפשר הענין. ומי שיחויב בדין יותר צריך יותר לבקש את חבירו ולפייסו, כדי להשקיט הריב</w:t>
      </w:r>
      <w:r>
        <w:rPr>
          <w:rFonts w:cs="Arial" w:hint="cs"/>
          <w:rtl/>
        </w:rPr>
        <w:t>.</w:t>
      </w:r>
      <w:r w:rsidRPr="004530F9">
        <w:rPr>
          <w:rFonts w:cs="Arial"/>
          <w:rtl/>
        </w:rPr>
        <w:t xml:space="preserve"> אבל לא בענין אחר כלל</w:t>
      </w:r>
      <w:r>
        <w:rPr>
          <w:rFonts w:hint="cs"/>
          <w:rtl/>
        </w:rPr>
        <w:t>.</w:t>
      </w:r>
    </w:p>
  </w:footnote>
  <w:footnote w:id="1515">
    <w:p w14:paraId="04B32682" w14:textId="77777777" w:rsidR="0013116F" w:rsidRDefault="0013116F" w:rsidP="004B607F">
      <w:pPr>
        <w:pStyle w:val="a9"/>
        <w:rPr>
          <w:rtl/>
        </w:rPr>
      </w:pPr>
      <w:r>
        <w:rPr>
          <w:rStyle w:val="ab"/>
        </w:rPr>
        <w:footnoteRef/>
      </w:r>
      <w:r>
        <w:rPr>
          <w:rtl/>
        </w:rPr>
        <w:t xml:space="preserve"> </w:t>
      </w:r>
      <w:r w:rsidRPr="00074524">
        <w:rPr>
          <w:rFonts w:cs="Arial"/>
          <w:rtl/>
        </w:rPr>
        <w:t>משום שנאמר [שמות כ"א כ"ט] והועד בבעליו, ודרשינן [ב"ק קיב</w:t>
      </w:r>
      <w:r>
        <w:rPr>
          <w:rFonts w:cs="Arial" w:hint="cs"/>
          <w:rtl/>
        </w:rPr>
        <w:t>:</w:t>
      </w:r>
      <w:r w:rsidRPr="00074524">
        <w:rPr>
          <w:rFonts w:cs="Arial"/>
          <w:rtl/>
        </w:rPr>
        <w:t>] יבוא בעל השור ויעמוד על שורו. ועיין לקמן סימן ק"י סעיף ט' בהג"ה, דבדבר ברור מקבלין שלא בפניו. ועיין עוד מדין קבלת עדות שלא בפניו בסימן ק"</w:t>
      </w:r>
      <w:r>
        <w:rPr>
          <w:rFonts w:cs="Arial" w:hint="cs"/>
          <w:rtl/>
        </w:rPr>
        <w:t>מ</w:t>
      </w:r>
      <w:r w:rsidRPr="00074524">
        <w:rPr>
          <w:rFonts w:cs="Arial"/>
          <w:rtl/>
        </w:rPr>
        <w:t xml:space="preserve"> סעיף </w:t>
      </w:r>
      <w:r>
        <w:rPr>
          <w:rFonts w:cs="Arial" w:hint="cs"/>
          <w:rtl/>
        </w:rPr>
        <w:t>י</w:t>
      </w:r>
      <w:r w:rsidRPr="00074524">
        <w:rPr>
          <w:rFonts w:cs="Arial"/>
          <w:rtl/>
        </w:rPr>
        <w:t>'</w:t>
      </w:r>
      <w:r>
        <w:rPr>
          <w:rFonts w:hint="cs"/>
          <w:rtl/>
        </w:rPr>
        <w:t>, סמ"ע (סקמ"ז).</w:t>
      </w:r>
    </w:p>
  </w:footnote>
  <w:footnote w:id="1516">
    <w:p w14:paraId="67D907A4" w14:textId="77777777" w:rsidR="0013116F" w:rsidRDefault="0013116F" w:rsidP="004B607F">
      <w:pPr>
        <w:pStyle w:val="a9"/>
      </w:pPr>
      <w:r>
        <w:rPr>
          <w:rStyle w:val="ab"/>
        </w:rPr>
        <w:footnoteRef/>
      </w:r>
      <w:r>
        <w:rPr>
          <w:rtl/>
        </w:rPr>
        <w:t xml:space="preserve"> </w:t>
      </w:r>
      <w:r w:rsidRPr="00074524">
        <w:rPr>
          <w:rFonts w:cs="Arial"/>
          <w:rtl/>
        </w:rPr>
        <w:t>פירוש, והוה אמינא השתא דמשנין בעדות נמצא דנשבעו לשקר ופסולים הן לעדות, קמ"ל דלא, שכל שלא בפניו אין מדקדקין כל כך בעדותן. ה"ה אם הגידו בראשונה על פי השבועה רבי מנחם שם. ועיין ד"מ [סעיף כ'] מה שכתב עוד מזה</w:t>
      </w:r>
      <w:r>
        <w:rPr>
          <w:rFonts w:cs="Arial" w:hint="cs"/>
          <w:rtl/>
        </w:rPr>
        <w:t>, סמ"ע (סקמ"ח).</w:t>
      </w:r>
    </w:p>
  </w:footnote>
  <w:footnote w:id="1517">
    <w:p w14:paraId="0C07042F" w14:textId="77777777" w:rsidR="0013116F" w:rsidRDefault="0013116F" w:rsidP="004B607F">
      <w:pPr>
        <w:pStyle w:val="a9"/>
        <w:rPr>
          <w:rtl/>
        </w:rPr>
      </w:pPr>
      <w:r>
        <w:rPr>
          <w:rStyle w:val="ab"/>
        </w:rPr>
        <w:footnoteRef/>
      </w:r>
      <w:r>
        <w:rPr>
          <w:rtl/>
        </w:rPr>
        <w:t xml:space="preserve"> </w:t>
      </w:r>
      <w:r w:rsidRPr="005F6D6E">
        <w:rPr>
          <w:rFonts w:cs="Arial"/>
          <w:rtl/>
        </w:rPr>
        <w:t>ולכן אין יכול לחזור ולהגיד בע</w:t>
      </w:r>
      <w:r>
        <w:rPr>
          <w:rFonts w:cs="Arial" w:hint="cs"/>
          <w:rtl/>
        </w:rPr>
        <w:t xml:space="preserve">ניין </w:t>
      </w:r>
      <w:r w:rsidRPr="005F6D6E">
        <w:rPr>
          <w:rFonts w:cs="Arial"/>
          <w:rtl/>
        </w:rPr>
        <w:t>א</w:t>
      </w:r>
      <w:r>
        <w:rPr>
          <w:rFonts w:cs="Arial" w:hint="cs"/>
          <w:rtl/>
        </w:rPr>
        <w:t>חר</w:t>
      </w:r>
      <w:r>
        <w:rPr>
          <w:rFonts w:hint="cs"/>
          <w:rtl/>
        </w:rPr>
        <w:t>, ש"ך (סק"כ).</w:t>
      </w:r>
    </w:p>
  </w:footnote>
  <w:footnote w:id="1518">
    <w:p w14:paraId="04383E3E" w14:textId="77777777" w:rsidR="0013116F" w:rsidRDefault="0013116F" w:rsidP="004B607F">
      <w:pPr>
        <w:pStyle w:val="a9"/>
        <w:rPr>
          <w:rtl/>
        </w:rPr>
      </w:pPr>
      <w:r>
        <w:rPr>
          <w:rStyle w:val="ab"/>
        </w:rPr>
        <w:footnoteRef/>
      </w:r>
      <w:r>
        <w:rPr>
          <w:rtl/>
        </w:rPr>
        <w:t xml:space="preserve"> </w:t>
      </w:r>
      <w:r w:rsidRPr="00074524">
        <w:rPr>
          <w:rFonts w:cs="Arial"/>
          <w:rtl/>
        </w:rPr>
        <w:t>פירוש, לכן כיון דאין מדקדקים בזה כ"כ מקילינן ג"כ בהא</w:t>
      </w:r>
      <w:r>
        <w:rPr>
          <w:rFonts w:hint="cs"/>
          <w:rtl/>
        </w:rPr>
        <w:t>, סמ"ע (סקמ"ט).</w:t>
      </w:r>
    </w:p>
  </w:footnote>
  <w:footnote w:id="1519">
    <w:p w14:paraId="7CB888B7" w14:textId="77777777" w:rsidR="0013116F" w:rsidRDefault="0013116F" w:rsidP="004B607F">
      <w:pPr>
        <w:pStyle w:val="a9"/>
      </w:pPr>
      <w:r>
        <w:rPr>
          <w:rStyle w:val="ab"/>
        </w:rPr>
        <w:footnoteRef/>
      </w:r>
      <w:r>
        <w:rPr>
          <w:rtl/>
        </w:rPr>
        <w:t xml:space="preserve"> </w:t>
      </w:r>
      <w:r>
        <w:rPr>
          <w:rFonts w:hint="cs"/>
          <w:rtl/>
        </w:rPr>
        <w:t xml:space="preserve">סימן </w:t>
      </w:r>
      <w:r>
        <w:rPr>
          <w:rtl/>
        </w:rPr>
        <w:t>–</w:t>
      </w:r>
      <w:r>
        <w:rPr>
          <w:rFonts w:hint="cs"/>
          <w:rtl/>
        </w:rPr>
        <w:t xml:space="preserve"> קבלת יריביו בלעדיו. </w:t>
      </w:r>
    </w:p>
  </w:footnote>
  <w:footnote w:id="1520">
    <w:p w14:paraId="4E61DD86" w14:textId="77777777" w:rsidR="0013116F" w:rsidRDefault="0013116F" w:rsidP="004B607F">
      <w:pPr>
        <w:pStyle w:val="a9"/>
        <w:rPr>
          <w:rtl/>
        </w:rPr>
      </w:pPr>
      <w:r>
        <w:rPr>
          <w:rStyle w:val="ab"/>
        </w:rPr>
        <w:footnoteRef/>
      </w:r>
      <w:r>
        <w:rPr>
          <w:rtl/>
        </w:rPr>
        <w:t xml:space="preserve"> </w:t>
      </w:r>
      <w:r w:rsidRPr="002960D7">
        <w:rPr>
          <w:rFonts w:cs="Arial"/>
          <w:rtl/>
        </w:rPr>
        <w:t>מסוכנים למות ואם לא עכשיו אימתי</w:t>
      </w:r>
      <w:r>
        <w:rPr>
          <w:rFonts w:cs="Arial" w:hint="cs"/>
          <w:rtl/>
        </w:rPr>
        <w:t>, רש"י</w:t>
      </w:r>
      <w:r w:rsidRPr="002960D7">
        <w:rPr>
          <w:rFonts w:cs="Arial"/>
          <w:rtl/>
        </w:rPr>
        <w:t>.</w:t>
      </w:r>
    </w:p>
  </w:footnote>
  <w:footnote w:id="1521">
    <w:p w14:paraId="1B7C4010" w14:textId="77777777" w:rsidR="0013116F" w:rsidRDefault="0013116F" w:rsidP="004B607F">
      <w:pPr>
        <w:pStyle w:val="a9"/>
      </w:pPr>
      <w:r>
        <w:rPr>
          <w:rStyle w:val="ab"/>
        </w:rPr>
        <w:footnoteRef/>
      </w:r>
      <w:r>
        <w:rPr>
          <w:rtl/>
        </w:rPr>
        <w:t xml:space="preserve"> </w:t>
      </w:r>
      <w:r w:rsidRPr="00344C36">
        <w:rPr>
          <w:rFonts w:cs="Arial"/>
          <w:rtl/>
        </w:rPr>
        <w:t>בעל דין חבירו</w:t>
      </w:r>
      <w:r>
        <w:rPr>
          <w:rFonts w:cs="Arial" w:hint="cs"/>
          <w:rtl/>
        </w:rPr>
        <w:t>, רש"י</w:t>
      </w:r>
      <w:r w:rsidRPr="00344C36">
        <w:rPr>
          <w:rFonts w:cs="Arial"/>
          <w:rtl/>
        </w:rPr>
        <w:t>.</w:t>
      </w:r>
    </w:p>
  </w:footnote>
  <w:footnote w:id="1522">
    <w:p w14:paraId="08B26C40" w14:textId="77777777" w:rsidR="0013116F" w:rsidRDefault="0013116F" w:rsidP="004B607F">
      <w:pPr>
        <w:pStyle w:val="a9"/>
      </w:pPr>
      <w:r>
        <w:rPr>
          <w:rStyle w:val="ab"/>
        </w:rPr>
        <w:footnoteRef/>
      </w:r>
      <w:r>
        <w:rPr>
          <w:rtl/>
        </w:rPr>
        <w:t xml:space="preserve"> </w:t>
      </w:r>
      <w:r w:rsidRPr="00344C36">
        <w:rPr>
          <w:rFonts w:cs="Arial"/>
          <w:rtl/>
        </w:rPr>
        <w:t>אגרת מב"ד הגדול ששלחו לב"ד של כאן לכופו</w:t>
      </w:r>
      <w:r>
        <w:rPr>
          <w:rFonts w:cs="Arial" w:hint="cs"/>
          <w:rtl/>
        </w:rPr>
        <w:t>, רש"י</w:t>
      </w:r>
      <w:r w:rsidRPr="00344C36">
        <w:rPr>
          <w:rFonts w:cs="Arial"/>
          <w:rtl/>
        </w:rPr>
        <w:t>.</w:t>
      </w:r>
    </w:p>
  </w:footnote>
  <w:footnote w:id="1523">
    <w:p w14:paraId="3FEF7CD6" w14:textId="77777777" w:rsidR="0013116F" w:rsidRDefault="0013116F" w:rsidP="004B607F">
      <w:pPr>
        <w:pStyle w:val="a9"/>
        <w:rPr>
          <w:rtl/>
        </w:rPr>
      </w:pPr>
      <w:r>
        <w:rPr>
          <w:rStyle w:val="ab"/>
        </w:rPr>
        <w:footnoteRef/>
      </w:r>
      <w:r>
        <w:rPr>
          <w:rtl/>
        </w:rPr>
        <w:t xml:space="preserve"> </w:t>
      </w:r>
      <w:r>
        <w:rPr>
          <w:rFonts w:hint="cs"/>
          <w:rtl/>
        </w:rPr>
        <w:t xml:space="preserve">ז"ל התוס'- </w:t>
      </w:r>
      <w:r>
        <w:rPr>
          <w:rFonts w:cs="Arial" w:hint="cs"/>
          <w:rtl/>
        </w:rPr>
        <w:t xml:space="preserve">ושלחו לו ולא בא </w:t>
      </w:r>
      <w:r w:rsidRPr="00545B9A">
        <w:rPr>
          <w:rFonts w:cs="Arial"/>
          <w:rtl/>
        </w:rPr>
        <w:t>אומר ר"י דמשמע דבעינן שלחו לו ולא בא בהדי שהיו עדיו חולים או שמבקשים לילך למדינת הים מדלא קאמר או שלחו כדקאמר או שהיו עדיו חולים או שהיו וכו'</w:t>
      </w:r>
      <w:r>
        <w:rPr>
          <w:rFonts w:cs="Arial" w:hint="cs"/>
          <w:rtl/>
        </w:rPr>
        <w:t xml:space="preserve">, </w:t>
      </w:r>
      <w:r w:rsidRPr="008056CE">
        <w:rPr>
          <w:rFonts w:cs="Arial"/>
          <w:rtl/>
        </w:rPr>
        <w:t>ומיהו בסמוך משמע דבעי למימר או ושלחו לו דקאמר כגון דפתחו ליה בדיניה ושלחו ליה ולא אתא משמע דמשום האי מילתא לחודה דשלחו ליה ולא אתא מקבלין עדים שלא בפני בעל דין ויש לדחות דשאני התם דפתחו ליה בדיניה ודין גדול הוא זה וצ"ע בספרים ישנים ובפירוש ר</w:t>
      </w:r>
      <w:r>
        <w:rPr>
          <w:rFonts w:cs="Arial" w:hint="cs"/>
          <w:rtl/>
        </w:rPr>
        <w:t>"</w:t>
      </w:r>
      <w:r w:rsidRPr="008056CE">
        <w:rPr>
          <w:rFonts w:cs="Arial"/>
          <w:rtl/>
        </w:rPr>
        <w:t>ח ובספר ישן נמצא כתוב ושלחו לו</w:t>
      </w:r>
      <w:r>
        <w:rPr>
          <w:rFonts w:hint="cs"/>
          <w:rtl/>
        </w:rPr>
        <w:t>.</w:t>
      </w:r>
    </w:p>
  </w:footnote>
  <w:footnote w:id="1524">
    <w:p w14:paraId="6194F050" w14:textId="77777777" w:rsidR="0013116F" w:rsidRDefault="0013116F" w:rsidP="004B607F">
      <w:pPr>
        <w:pStyle w:val="a9"/>
        <w:rPr>
          <w:rtl/>
        </w:rPr>
      </w:pPr>
      <w:r>
        <w:rPr>
          <w:rStyle w:val="ab"/>
        </w:rPr>
        <w:footnoteRef/>
      </w:r>
      <w:r>
        <w:rPr>
          <w:rtl/>
        </w:rPr>
        <w:t xml:space="preserve"> </w:t>
      </w:r>
      <w:r w:rsidRPr="00545B9A">
        <w:rPr>
          <w:rFonts w:cs="Arial"/>
          <w:rtl/>
        </w:rPr>
        <w:t>ונראה דסובר המרדכי דשמואל מוסיף אדרבי יוסי בר חנינא</w:t>
      </w:r>
      <w:r>
        <w:rPr>
          <w:rFonts w:cs="Arial" w:hint="cs"/>
          <w:rtl/>
        </w:rPr>
        <w:t>,</w:t>
      </w:r>
      <w:r w:rsidRPr="00545B9A">
        <w:rPr>
          <w:rFonts w:cs="Arial"/>
          <w:rtl/>
        </w:rPr>
        <w:t xml:space="preserve"> דלרבי יוסי בר חנינא אע</w:t>
      </w:r>
      <w:r w:rsidRPr="00545B9A">
        <w:rPr>
          <w:rFonts w:cs="Arial" w:hint="cs"/>
          <w:rtl/>
        </w:rPr>
        <w:t>"</w:t>
      </w:r>
      <w:r w:rsidRPr="00545B9A">
        <w:rPr>
          <w:rFonts w:cs="Arial"/>
          <w:rtl/>
        </w:rPr>
        <w:t>ג דלא פתחו בדיניה בהוא חולה וכו' סגי</w:t>
      </w:r>
      <w:r>
        <w:rPr>
          <w:rFonts w:cs="Arial" w:hint="cs"/>
          <w:rtl/>
        </w:rPr>
        <w:t>,</w:t>
      </w:r>
      <w:r w:rsidRPr="00545B9A">
        <w:rPr>
          <w:rFonts w:cs="Arial"/>
          <w:rtl/>
        </w:rPr>
        <w:t xml:space="preserve"> ורב יהודה אמר שמואל בא להוסיף דבעינן נמי פתחו ליה בדיניה בהדי עדיו חולים</w:t>
      </w:r>
      <w:r>
        <w:rPr>
          <w:rFonts w:cs="Arial" w:hint="cs"/>
          <w:rtl/>
        </w:rPr>
        <w:t>,</w:t>
      </w:r>
      <w:r w:rsidRPr="00545B9A">
        <w:rPr>
          <w:rFonts w:cs="Arial"/>
          <w:rtl/>
        </w:rPr>
        <w:t xml:space="preserve"> וסבירא ליה דהלכה כשמואל לגביה רבי יוסי בר חנינא</w:t>
      </w:r>
      <w:r>
        <w:rPr>
          <w:rFonts w:cs="Arial" w:hint="cs"/>
          <w:rtl/>
        </w:rPr>
        <w:t>, ב"י</w:t>
      </w:r>
      <w:r w:rsidRPr="00545B9A">
        <w:rPr>
          <w:rFonts w:cs="Arial"/>
          <w:rtl/>
        </w:rPr>
        <w:t>.</w:t>
      </w:r>
    </w:p>
  </w:footnote>
  <w:footnote w:id="1525">
    <w:p w14:paraId="29D40D59" w14:textId="77777777" w:rsidR="0013116F" w:rsidRDefault="0013116F" w:rsidP="004B607F">
      <w:pPr>
        <w:pStyle w:val="a9"/>
        <w:rPr>
          <w:rtl/>
        </w:rPr>
      </w:pPr>
      <w:r>
        <w:rPr>
          <w:rStyle w:val="ab"/>
        </w:rPr>
        <w:footnoteRef/>
      </w:r>
      <w:r>
        <w:rPr>
          <w:rtl/>
        </w:rPr>
        <w:t xml:space="preserve"> </w:t>
      </w:r>
      <w:r>
        <w:rPr>
          <w:rFonts w:cs="Arial" w:hint="cs"/>
          <w:rtl/>
        </w:rPr>
        <w:t>בהעי"ט</w:t>
      </w:r>
      <w:r w:rsidRPr="00545B9A">
        <w:rPr>
          <w:rFonts w:cs="Arial"/>
          <w:rtl/>
        </w:rPr>
        <w:t xml:space="preserve"> </w:t>
      </w:r>
      <w:r w:rsidRPr="00456254">
        <w:rPr>
          <w:rFonts w:cs="Arial"/>
          <w:sz w:val="16"/>
          <w:szCs w:val="16"/>
          <w:rtl/>
        </w:rPr>
        <w:t>(אות ק קבלת עדות נו:)</w:t>
      </w:r>
      <w:r>
        <w:rPr>
          <w:rFonts w:cs="Arial" w:hint="cs"/>
          <w:rtl/>
        </w:rPr>
        <w:t xml:space="preserve"> ורשב"א </w:t>
      </w:r>
      <w:r w:rsidRPr="00B9674B">
        <w:rPr>
          <w:rFonts w:cs="Arial" w:hint="cs"/>
          <w:sz w:val="16"/>
          <w:szCs w:val="16"/>
          <w:rtl/>
        </w:rPr>
        <w:t>(ח"ד סי' ר, ובחידו' ב"ק קיב. ד"ה משום סומכוס)</w:t>
      </w:r>
      <w:r>
        <w:rPr>
          <w:rFonts w:hint="cs"/>
          <w:rtl/>
        </w:rPr>
        <w:t>.</w:t>
      </w:r>
    </w:p>
  </w:footnote>
  <w:footnote w:id="1526">
    <w:p w14:paraId="4710D278" w14:textId="77777777" w:rsidR="0013116F" w:rsidRDefault="0013116F" w:rsidP="004B607F">
      <w:pPr>
        <w:pStyle w:val="a9"/>
      </w:pPr>
      <w:r>
        <w:rPr>
          <w:rStyle w:val="ab"/>
        </w:rPr>
        <w:footnoteRef/>
      </w:r>
      <w:r>
        <w:rPr>
          <w:rtl/>
        </w:rPr>
        <w:t xml:space="preserve"> </w:t>
      </w:r>
      <w:r>
        <w:rPr>
          <w:rFonts w:hint="cs"/>
          <w:rtl/>
        </w:rPr>
        <w:t xml:space="preserve">אמנם בהעי"ט לא פירש כן </w:t>
      </w:r>
      <w:r w:rsidRPr="009C370B">
        <w:rPr>
          <w:rFonts w:hint="cs"/>
          <w:sz w:val="16"/>
          <w:szCs w:val="16"/>
          <w:rtl/>
        </w:rPr>
        <w:t xml:space="preserve">(אלא כתב </w:t>
      </w:r>
      <w:r w:rsidRPr="009C370B">
        <w:rPr>
          <w:rFonts w:cs="Arial" w:hint="cs"/>
          <w:sz w:val="16"/>
          <w:szCs w:val="16"/>
          <w:rtl/>
        </w:rPr>
        <w:t>ד</w:t>
      </w:r>
      <w:r w:rsidRPr="009C370B">
        <w:rPr>
          <w:rFonts w:cs="Arial"/>
          <w:sz w:val="16"/>
          <w:szCs w:val="16"/>
          <w:rtl/>
        </w:rPr>
        <w:t>מסתברא הא דשמואל אשלחו לו ולא בא קאי</w:t>
      </w:r>
      <w:r w:rsidRPr="009C370B">
        <w:rPr>
          <w:rFonts w:cs="Arial" w:hint="cs"/>
          <w:sz w:val="16"/>
          <w:szCs w:val="16"/>
          <w:rtl/>
        </w:rPr>
        <w:t>,</w:t>
      </w:r>
      <w:r w:rsidRPr="009C370B">
        <w:rPr>
          <w:rFonts w:cs="Arial"/>
          <w:sz w:val="16"/>
          <w:szCs w:val="16"/>
          <w:rtl/>
        </w:rPr>
        <w:t xml:space="preserve"> ולא פליגי אהדדי</w:t>
      </w:r>
      <w:r w:rsidRPr="009C370B">
        <w:rPr>
          <w:rFonts w:cs="Arial" w:hint="cs"/>
          <w:sz w:val="16"/>
          <w:szCs w:val="16"/>
          <w:rtl/>
        </w:rPr>
        <w:t>,</w:t>
      </w:r>
      <w:r w:rsidRPr="009C370B">
        <w:rPr>
          <w:rFonts w:cs="Arial"/>
          <w:sz w:val="16"/>
          <w:szCs w:val="16"/>
          <w:rtl/>
        </w:rPr>
        <w:t xml:space="preserve"> ומודה שמואל כשהיה הוא חולה או עדיו חולים או שהיו מבקשים וכו'</w:t>
      </w:r>
      <w:r w:rsidRPr="009C370B">
        <w:rPr>
          <w:rFonts w:hint="cs"/>
          <w:sz w:val="16"/>
          <w:szCs w:val="16"/>
          <w:rtl/>
        </w:rPr>
        <w:t>. עכ"ל. היינו ששמואל לא מצריך שלחו ליה ולא בא, דמספיק חד מנייהו)</w:t>
      </w:r>
      <w:r>
        <w:rPr>
          <w:rFonts w:hint="cs"/>
          <w:rtl/>
        </w:rPr>
        <w:t xml:space="preserve"> אבל מסקנתם אחת. וכמש"כ הרשב"א בשם בהעי"ט.</w:t>
      </w:r>
    </w:p>
  </w:footnote>
  <w:footnote w:id="1527">
    <w:p w14:paraId="6B6715D7" w14:textId="77777777" w:rsidR="0013116F" w:rsidRDefault="0013116F" w:rsidP="004B607F">
      <w:pPr>
        <w:pStyle w:val="a9"/>
      </w:pPr>
      <w:r>
        <w:rPr>
          <w:rStyle w:val="ab"/>
        </w:rPr>
        <w:footnoteRef/>
      </w:r>
      <w:r>
        <w:rPr>
          <w:rtl/>
        </w:rPr>
        <w:t xml:space="preserve"> </w:t>
      </w:r>
      <w:r>
        <w:rPr>
          <w:rFonts w:hint="cs"/>
          <w:rtl/>
        </w:rPr>
        <w:t xml:space="preserve">והוסיף בהעי"ט </w:t>
      </w:r>
      <w:r>
        <w:rPr>
          <w:rFonts w:cs="Arial" w:hint="cs"/>
          <w:rtl/>
        </w:rPr>
        <w:t>ד</w:t>
      </w:r>
      <w:r w:rsidRPr="00545B9A">
        <w:rPr>
          <w:rFonts w:cs="Arial"/>
          <w:rtl/>
        </w:rPr>
        <w:t>הוא הדין לעדים שאין יודעים לחתום</w:t>
      </w:r>
      <w:r>
        <w:rPr>
          <w:rFonts w:cs="Arial" w:hint="cs"/>
          <w:rtl/>
        </w:rPr>
        <w:t>, וגם על זה כתב שהסכימו הגאונים ור"ת.</w:t>
      </w:r>
      <w:r w:rsidRPr="00545B9A">
        <w:rPr>
          <w:rFonts w:cs="Arial"/>
          <w:rtl/>
        </w:rPr>
        <w:t xml:space="preserve"> </w:t>
      </w:r>
      <w:r w:rsidRPr="009C370B">
        <w:rPr>
          <w:rFonts w:cs="Arial" w:hint="cs"/>
          <w:sz w:val="16"/>
          <w:szCs w:val="16"/>
          <w:rtl/>
        </w:rPr>
        <w:t>(</w:t>
      </w:r>
      <w:r>
        <w:rPr>
          <w:rFonts w:cs="Arial" w:hint="cs"/>
          <w:sz w:val="16"/>
          <w:szCs w:val="16"/>
          <w:rtl/>
        </w:rPr>
        <w:t>ו</w:t>
      </w:r>
      <w:r w:rsidRPr="009C370B">
        <w:rPr>
          <w:rFonts w:cs="Arial"/>
          <w:sz w:val="16"/>
          <w:szCs w:val="16"/>
          <w:rtl/>
        </w:rPr>
        <w:t xml:space="preserve">טעמא </w:t>
      </w:r>
      <w:r>
        <w:rPr>
          <w:rFonts w:cs="Arial" w:hint="cs"/>
          <w:sz w:val="16"/>
          <w:szCs w:val="16"/>
          <w:rtl/>
        </w:rPr>
        <w:t xml:space="preserve">דמקבלין עדים שאינם יודעים לחתום </w:t>
      </w:r>
      <w:r w:rsidRPr="009C370B">
        <w:rPr>
          <w:rFonts w:cs="Arial"/>
          <w:sz w:val="16"/>
          <w:szCs w:val="16"/>
          <w:rtl/>
        </w:rPr>
        <w:t>הו</w:t>
      </w:r>
      <w:r>
        <w:rPr>
          <w:rFonts w:cs="Arial" w:hint="cs"/>
          <w:sz w:val="16"/>
          <w:szCs w:val="16"/>
          <w:rtl/>
        </w:rPr>
        <w:t>א</w:t>
      </w:r>
      <w:r w:rsidRPr="009C370B">
        <w:rPr>
          <w:rFonts w:cs="Arial"/>
          <w:sz w:val="16"/>
          <w:szCs w:val="16"/>
          <w:rtl/>
        </w:rPr>
        <w:t xml:space="preserve"> </w:t>
      </w:r>
      <w:r>
        <w:rPr>
          <w:rFonts w:cs="Arial" w:hint="cs"/>
          <w:sz w:val="16"/>
          <w:szCs w:val="16"/>
          <w:rtl/>
        </w:rPr>
        <w:t>ד</w:t>
      </w:r>
      <w:r w:rsidRPr="009C370B">
        <w:rPr>
          <w:rFonts w:cs="Arial"/>
          <w:sz w:val="16"/>
          <w:szCs w:val="16"/>
          <w:rtl/>
        </w:rPr>
        <w:t xml:space="preserve">כיון שקנו מיד הבע"ד ויש עליהם לכתוב שטר </w:t>
      </w:r>
      <w:r>
        <w:rPr>
          <w:rFonts w:cs="Arial" w:hint="cs"/>
          <w:sz w:val="16"/>
          <w:szCs w:val="16"/>
          <w:rtl/>
        </w:rPr>
        <w:t xml:space="preserve">- </w:t>
      </w:r>
      <w:r w:rsidRPr="009C370B">
        <w:rPr>
          <w:rFonts w:cs="Arial"/>
          <w:sz w:val="16"/>
          <w:szCs w:val="16"/>
          <w:rtl/>
        </w:rPr>
        <w:t>מה שאין יודעין לחתום הוי אונס כהיו עידיו חולים וכו'</w:t>
      </w:r>
      <w:r>
        <w:rPr>
          <w:rFonts w:cs="Arial" w:hint="cs"/>
          <w:sz w:val="16"/>
          <w:szCs w:val="16"/>
          <w:rtl/>
        </w:rPr>
        <w:t>)</w:t>
      </w:r>
    </w:p>
  </w:footnote>
  <w:footnote w:id="1528">
    <w:p w14:paraId="6CBDC78C" w14:textId="77777777" w:rsidR="0013116F" w:rsidRDefault="0013116F" w:rsidP="004B607F">
      <w:pPr>
        <w:pStyle w:val="a9"/>
        <w:rPr>
          <w:rtl/>
        </w:rPr>
      </w:pPr>
      <w:r>
        <w:rPr>
          <w:rStyle w:val="ab"/>
        </w:rPr>
        <w:footnoteRef/>
      </w:r>
      <w:r>
        <w:rPr>
          <w:rtl/>
        </w:rPr>
        <w:t xml:space="preserve"> </w:t>
      </w:r>
      <w:r w:rsidRPr="005E6946">
        <w:rPr>
          <w:rFonts w:cs="Arial"/>
          <w:rtl/>
        </w:rPr>
        <w:t>ו</w:t>
      </w:r>
      <w:r>
        <w:rPr>
          <w:rFonts w:cs="Arial" w:hint="cs"/>
          <w:rtl/>
        </w:rPr>
        <w:t>כתב הב"י דה</w:t>
      </w:r>
      <w:r w:rsidRPr="005E6946">
        <w:rPr>
          <w:rFonts w:cs="Arial"/>
          <w:rtl/>
        </w:rPr>
        <w:t>נמוק</w:t>
      </w:r>
      <w:r>
        <w:rPr>
          <w:rFonts w:cs="Arial" w:hint="cs"/>
          <w:rtl/>
        </w:rPr>
        <w:t>"</w:t>
      </w:r>
      <w:r w:rsidRPr="005E6946">
        <w:rPr>
          <w:rFonts w:cs="Arial"/>
          <w:rtl/>
        </w:rPr>
        <w:t>י (לט:) כתב פירוש זה בלשון אחר וז"ל מדלא קאמר או שלחו לו דקדקו התוספות דקאי אדסליק מיניה שאם היו עדיו מבקשים לילך צריך להודיע לו שיבא קודם שיקבלו כיון שיש שהות ואם לא בא מקבלין עדותן שלא בפניו ואין סברא לומר דקאי נמי אהוא חולה או עדיו חולים דכיון שהדבר נחוץ ודאי מקבלין העדים ואין צריך לשלוח לו דאם לא עכשיו אימתי דסתם חולים לסכנה חיישינן להו עכ"ל. ולפי פירוש זה איפשר לומר דהוא הדין אם היה במקום רחוק והיו עדיו מבקשים לילך למדינת הים דאין אומרים נמתין עד שישלחו לו דבין כך ובין כך ילכו העדים וכ"כ המרדכי (שם) בשם ראב"ן (ב"ק קיב. ד"ה חמיו) שאם אינו בעיר ואין שהות לשלוח אחריו מקבלין עכ"ל. גם רבינו ירוחם נ"ב ח"א (יא.) כתב כן לפי פירוש זה.</w:t>
      </w:r>
      <w:r>
        <w:rPr>
          <w:rFonts w:hint="cs"/>
          <w:rtl/>
        </w:rPr>
        <w:t xml:space="preserve"> עכ"ל הב"י.</w:t>
      </w:r>
    </w:p>
  </w:footnote>
  <w:footnote w:id="1529">
    <w:p w14:paraId="479D3C2C" w14:textId="77777777" w:rsidR="0013116F" w:rsidRDefault="0013116F" w:rsidP="004B607F">
      <w:pPr>
        <w:pStyle w:val="a9"/>
      </w:pPr>
      <w:r>
        <w:rPr>
          <w:rStyle w:val="ab"/>
        </w:rPr>
        <w:footnoteRef/>
      </w:r>
      <w:r>
        <w:rPr>
          <w:rtl/>
        </w:rPr>
        <w:t xml:space="preserve"> </w:t>
      </w:r>
      <w:r>
        <w:rPr>
          <w:rFonts w:hint="cs"/>
          <w:rtl/>
        </w:rPr>
        <w:t xml:space="preserve">ז"ל הראב"ד- </w:t>
      </w:r>
      <w:r w:rsidRPr="00302D98">
        <w:rPr>
          <w:rFonts w:cs="Arial"/>
          <w:rtl/>
        </w:rPr>
        <w:t>יש מפרשים או שלחו לו ולא בא כגון שהוזקקו לו בית דין וכשהביא זה עדים שלחו לו ולא בא</w:t>
      </w:r>
      <w:r>
        <w:rPr>
          <w:rFonts w:cs="Arial" w:hint="cs"/>
          <w:rtl/>
        </w:rPr>
        <w:t>,</w:t>
      </w:r>
      <w:r w:rsidRPr="00302D98">
        <w:rPr>
          <w:rFonts w:cs="Arial"/>
          <w:rtl/>
        </w:rPr>
        <w:t xml:space="preserve"> והיינו דשמואל דפתחו ליה בדיניה ולא אתא</w:t>
      </w:r>
      <w:r>
        <w:rPr>
          <w:rFonts w:cs="Arial" w:hint="cs"/>
          <w:rtl/>
        </w:rPr>
        <w:t>,</w:t>
      </w:r>
      <w:r w:rsidRPr="00302D98">
        <w:rPr>
          <w:rFonts w:cs="Arial"/>
          <w:rtl/>
        </w:rPr>
        <w:t xml:space="preserve"> ויש מפרשים דאכולהו נמי בעינן שלחו לו ולא בא ופליג אדשמואל</w:t>
      </w:r>
      <w:r>
        <w:rPr>
          <w:rFonts w:cs="Arial" w:hint="cs"/>
          <w:rtl/>
        </w:rPr>
        <w:t>,</w:t>
      </w:r>
      <w:r w:rsidRPr="00302D98">
        <w:rPr>
          <w:rFonts w:cs="Arial"/>
          <w:rtl/>
        </w:rPr>
        <w:t xml:space="preserve"> ומסתברא כפירוש קמא דאי הוי חולה וכו' אין ממתינין עד שילך השליח וכו'</w:t>
      </w:r>
      <w:r>
        <w:rPr>
          <w:rFonts w:cs="Arial" w:hint="cs"/>
          <w:rtl/>
        </w:rPr>
        <w:t>,</w:t>
      </w:r>
      <w:r w:rsidRPr="00302D98">
        <w:rPr>
          <w:rFonts w:cs="Arial"/>
          <w:rtl/>
        </w:rPr>
        <w:t xml:space="preserve"> ואם איתא להא מילתא לא משכחת לה אלא כשהוא בעיר אבל אם אינו בעיר אין ממתינין לו ואין שולחין בשבילו</w:t>
      </w:r>
      <w:r>
        <w:rPr>
          <w:rFonts w:cs="Arial" w:hint="cs"/>
          <w:rtl/>
        </w:rPr>
        <w:t>,</w:t>
      </w:r>
      <w:r w:rsidRPr="00302D98">
        <w:rPr>
          <w:rFonts w:cs="Arial"/>
          <w:rtl/>
        </w:rPr>
        <w:t xml:space="preserve"> והרי"ף לא הביא דברי שמואל</w:t>
      </w:r>
      <w:r>
        <w:rPr>
          <w:rFonts w:cs="Arial" w:hint="cs"/>
          <w:rtl/>
        </w:rPr>
        <w:t>,</w:t>
      </w:r>
      <w:r w:rsidRPr="00302D98">
        <w:rPr>
          <w:rFonts w:cs="Arial"/>
          <w:rtl/>
        </w:rPr>
        <w:t xml:space="preserve"> ולא נדע אם הוא סובר כפירוש ראשון ודברי שמואל ורבי יוסי בר חנינא אחד הם ועל כן סמך על דברי רבי יוסי בר חנינא או שמא כפירוש האחרון ודחה דברי שמואל מפני רבי יוסי בר חנינא</w:t>
      </w:r>
      <w:r>
        <w:rPr>
          <w:rFonts w:cs="Arial" w:hint="cs"/>
          <w:rtl/>
        </w:rPr>
        <w:t>,</w:t>
      </w:r>
      <w:r w:rsidRPr="00302D98">
        <w:rPr>
          <w:rFonts w:cs="Arial"/>
          <w:rtl/>
        </w:rPr>
        <w:t xml:space="preserve"> ולא ידעתי על מה</w:t>
      </w:r>
      <w:r>
        <w:rPr>
          <w:rFonts w:cs="Arial" w:hint="cs"/>
          <w:rtl/>
        </w:rPr>
        <w:t>,</w:t>
      </w:r>
      <w:r w:rsidRPr="00302D98">
        <w:rPr>
          <w:rFonts w:cs="Arial"/>
          <w:rtl/>
        </w:rPr>
        <w:t xml:space="preserve"> דרבינא דהוא בתרא מפרש דברי שמואל</w:t>
      </w:r>
      <w:r>
        <w:rPr>
          <w:rFonts w:cs="Arial" w:hint="cs"/>
          <w:rtl/>
        </w:rPr>
        <w:t>,</w:t>
      </w:r>
      <w:r w:rsidRPr="00302D98">
        <w:rPr>
          <w:rFonts w:cs="Arial"/>
          <w:rtl/>
        </w:rPr>
        <w:t xml:space="preserve"> ואף אם הרב סובר כפירוש הראשון הוה ליה להביא דברי שמואל ולהפריש בין פתחו בדיניה ללא פתחו בדיניה</w:t>
      </w:r>
      <w:r>
        <w:rPr>
          <w:rFonts w:cs="Arial" w:hint="cs"/>
          <w:rtl/>
        </w:rPr>
        <w:t>,</w:t>
      </w:r>
      <w:r w:rsidRPr="00302D98">
        <w:rPr>
          <w:rFonts w:cs="Arial"/>
          <w:rtl/>
        </w:rPr>
        <w:t xml:space="preserve"> אבל דומה שהוא דוחה אותם מאיזה טעם</w:t>
      </w:r>
      <w:r>
        <w:rPr>
          <w:rFonts w:cs="Arial" w:hint="cs"/>
          <w:rtl/>
        </w:rPr>
        <w:t>.</w:t>
      </w:r>
    </w:p>
  </w:footnote>
  <w:footnote w:id="1530">
    <w:p w14:paraId="761A36A1" w14:textId="77777777" w:rsidR="0013116F" w:rsidRDefault="0013116F" w:rsidP="004B607F">
      <w:pPr>
        <w:pStyle w:val="a9"/>
        <w:rPr>
          <w:rtl/>
        </w:rPr>
      </w:pPr>
      <w:r>
        <w:rPr>
          <w:rStyle w:val="ab"/>
        </w:rPr>
        <w:footnoteRef/>
      </w:r>
      <w:r>
        <w:rPr>
          <w:rtl/>
        </w:rPr>
        <w:t xml:space="preserve"> </w:t>
      </w:r>
      <w:r>
        <w:rPr>
          <w:rFonts w:hint="cs"/>
          <w:rtl/>
        </w:rPr>
        <w:t>וז"ל-</w:t>
      </w:r>
      <w:r w:rsidRPr="00504669">
        <w:rPr>
          <w:rFonts w:cs="Arial"/>
          <w:rtl/>
        </w:rPr>
        <w:t xml:space="preserve"> </w:t>
      </w:r>
      <w:r w:rsidRPr="00545B9A">
        <w:rPr>
          <w:rFonts w:cs="Arial"/>
          <w:rtl/>
        </w:rPr>
        <w:t>כל כי הא שאין בעל דין בעיר למה נמתין ומאי שנא מהיה חולה שמקבלים שלא בפניו וכן כשהיו העדים רדופים ללכת למדינת הים שמקבלין ואע</w:t>
      </w:r>
      <w:r>
        <w:rPr>
          <w:rFonts w:cs="Arial" w:hint="cs"/>
          <w:rtl/>
        </w:rPr>
        <w:t>"</w:t>
      </w:r>
      <w:r w:rsidRPr="00545B9A">
        <w:rPr>
          <w:rFonts w:cs="Arial"/>
          <w:rtl/>
        </w:rPr>
        <w:t>ג דלא שלחו ליה</w:t>
      </w:r>
      <w:r>
        <w:rPr>
          <w:rFonts w:cs="Arial" w:hint="cs"/>
          <w:sz w:val="16"/>
          <w:szCs w:val="16"/>
          <w:rtl/>
        </w:rPr>
        <w:t xml:space="preserve"> (ל' הרשב"א </w:t>
      </w:r>
      <w:r w:rsidRPr="001172C1">
        <w:rPr>
          <w:rFonts w:cs="Arial" w:hint="cs"/>
          <w:sz w:val="14"/>
          <w:szCs w:val="14"/>
          <w:rtl/>
        </w:rPr>
        <w:t>[בח"ב סי' שסב]</w:t>
      </w:r>
      <w:r>
        <w:rPr>
          <w:rFonts w:cs="Arial" w:hint="cs"/>
          <w:sz w:val="16"/>
          <w:szCs w:val="16"/>
          <w:rtl/>
        </w:rPr>
        <w:t>)</w:t>
      </w:r>
      <w:r>
        <w:rPr>
          <w:rFonts w:hint="cs"/>
          <w:rtl/>
        </w:rPr>
        <w:t xml:space="preserve">. </w:t>
      </w:r>
      <w:r w:rsidRPr="00302D98">
        <w:rPr>
          <w:rFonts w:cs="Arial"/>
          <w:rtl/>
        </w:rPr>
        <w:t>ולא עוד אלא שנראה שכל שאין בעל דין מצוי כאן משמע דמקבלין</w:t>
      </w:r>
      <w:r>
        <w:rPr>
          <w:rFonts w:cs="Arial" w:hint="cs"/>
          <w:rtl/>
        </w:rPr>
        <w:t>,</w:t>
      </w:r>
      <w:r w:rsidRPr="00302D98">
        <w:rPr>
          <w:rFonts w:cs="Arial"/>
          <w:rtl/>
        </w:rPr>
        <w:t xml:space="preserve"> שלא אמרו אין מקבלין אלא בזמן שהבעל דין כאן</w:t>
      </w:r>
      <w:r>
        <w:rPr>
          <w:rFonts w:cs="Arial" w:hint="cs"/>
          <w:rtl/>
        </w:rPr>
        <w:t>,</w:t>
      </w:r>
      <w:r>
        <w:rPr>
          <w:rFonts w:cs="Arial" w:hint="cs"/>
          <w:sz w:val="16"/>
          <w:szCs w:val="16"/>
          <w:rtl/>
        </w:rPr>
        <w:t xml:space="preserve"> </w:t>
      </w:r>
      <w:r w:rsidRPr="00302D98">
        <w:rPr>
          <w:rFonts w:cs="Arial"/>
          <w:rtl/>
        </w:rPr>
        <w:t xml:space="preserve">וכן נראה לי מהירושלמי </w:t>
      </w:r>
      <w:r w:rsidRPr="0049525D">
        <w:rPr>
          <w:rFonts w:cs="Arial"/>
          <w:sz w:val="16"/>
          <w:szCs w:val="16"/>
          <w:rtl/>
        </w:rPr>
        <w:t>(סנהדרין פ"ג ה"ט</w:t>
      </w:r>
      <w:r>
        <w:rPr>
          <w:rFonts w:cs="Arial" w:hint="cs"/>
          <w:sz w:val="16"/>
          <w:szCs w:val="16"/>
          <w:rtl/>
        </w:rPr>
        <w:t>, הבאתיו לעיל סע' טו</w:t>
      </w:r>
      <w:r w:rsidRPr="0049525D">
        <w:rPr>
          <w:rFonts w:cs="Arial"/>
          <w:sz w:val="16"/>
          <w:szCs w:val="16"/>
          <w:rtl/>
        </w:rPr>
        <w:t xml:space="preserve">) </w:t>
      </w:r>
      <w:r w:rsidRPr="00302D98">
        <w:rPr>
          <w:rFonts w:cs="Arial"/>
          <w:rtl/>
        </w:rPr>
        <w:t>דגרסינן התם רבי ירמיה הוה ליה דין עם חד בר נש קבלון סהדי שלא באנפוי דרבי ירמיה וכו' דחק רב הונא ועאל ואשכח רבי ירמיה יתיב ומצטער ואמר איפשר מקבלין עדות שלא בפני בעל דין ואפילו עמהם באותה שעה ע"כ</w:t>
      </w:r>
      <w:r>
        <w:rPr>
          <w:rFonts w:cs="Arial" w:hint="cs"/>
          <w:rtl/>
        </w:rPr>
        <w:t>,</w:t>
      </w:r>
      <w:r w:rsidRPr="00302D98">
        <w:rPr>
          <w:rFonts w:cs="Arial"/>
          <w:rtl/>
        </w:rPr>
        <w:t xml:space="preserve"> אלמא לא היה תמה רבי ירמיה אילו לא היה מצוי כאן</w:t>
      </w:r>
      <w:r>
        <w:rPr>
          <w:rFonts w:cs="Arial" w:hint="cs"/>
          <w:rtl/>
        </w:rPr>
        <w:t>,</w:t>
      </w:r>
      <w:r w:rsidRPr="00302D98">
        <w:rPr>
          <w:rFonts w:cs="Arial"/>
          <w:rtl/>
        </w:rPr>
        <w:t xml:space="preserve"> דבכי הא מודה שמקבלין</w:t>
      </w:r>
      <w:r>
        <w:rPr>
          <w:rFonts w:cs="Arial" w:hint="cs"/>
          <w:rtl/>
        </w:rPr>
        <w:t xml:space="preserve">, רשב"א </w:t>
      </w:r>
      <w:r>
        <w:rPr>
          <w:rFonts w:cs="Arial" w:hint="cs"/>
          <w:sz w:val="16"/>
          <w:szCs w:val="16"/>
          <w:rtl/>
        </w:rPr>
        <w:t>(</w:t>
      </w:r>
      <w:r w:rsidRPr="00B9674B">
        <w:rPr>
          <w:rFonts w:cs="Arial"/>
          <w:sz w:val="16"/>
          <w:szCs w:val="16"/>
          <w:rtl/>
        </w:rPr>
        <w:t>ח"ד סי' ר</w:t>
      </w:r>
      <w:r>
        <w:rPr>
          <w:rFonts w:cs="Arial" w:hint="cs"/>
          <w:sz w:val="16"/>
          <w:szCs w:val="16"/>
          <w:rtl/>
        </w:rPr>
        <w:t>)</w:t>
      </w:r>
      <w:r w:rsidRPr="00302D98">
        <w:rPr>
          <w:rFonts w:cs="Arial"/>
          <w:rtl/>
        </w:rPr>
        <w:t>.</w:t>
      </w:r>
    </w:p>
  </w:footnote>
  <w:footnote w:id="1531">
    <w:p w14:paraId="66AEA5BD" w14:textId="77777777" w:rsidR="0013116F" w:rsidRDefault="0013116F" w:rsidP="004B607F">
      <w:pPr>
        <w:pStyle w:val="a9"/>
        <w:rPr>
          <w:rtl/>
        </w:rPr>
      </w:pPr>
      <w:r>
        <w:rPr>
          <w:rStyle w:val="ab"/>
        </w:rPr>
        <w:footnoteRef/>
      </w:r>
      <w:r>
        <w:rPr>
          <w:rtl/>
        </w:rPr>
        <w:t xml:space="preserve"> </w:t>
      </w:r>
      <w:r w:rsidRPr="00302D98">
        <w:rPr>
          <w:rFonts w:cs="Arial"/>
          <w:rtl/>
        </w:rPr>
        <w:t xml:space="preserve">ראב"ד </w:t>
      </w:r>
      <w:r w:rsidRPr="0049525D">
        <w:rPr>
          <w:rFonts w:cs="Arial"/>
          <w:sz w:val="16"/>
          <w:szCs w:val="16"/>
          <w:rtl/>
        </w:rPr>
        <w:t>(ב"ק שם ד"ה יש</w:t>
      </w:r>
      <w:r w:rsidRPr="001172C1">
        <w:rPr>
          <w:rFonts w:cs="Arial"/>
          <w:sz w:val="16"/>
          <w:szCs w:val="16"/>
          <w:rtl/>
        </w:rPr>
        <w:t xml:space="preserve"> </w:t>
      </w:r>
      <w:r w:rsidRPr="00630C2B">
        <w:rPr>
          <w:rFonts w:cs="Arial"/>
          <w:sz w:val="16"/>
          <w:szCs w:val="16"/>
          <w:rtl/>
        </w:rPr>
        <w:t>ד"ה תהי</w:t>
      </w:r>
      <w:r>
        <w:rPr>
          <w:rFonts w:cs="Arial" w:hint="cs"/>
          <w:sz w:val="16"/>
          <w:szCs w:val="16"/>
          <w:rtl/>
        </w:rPr>
        <w:t>, וכ"כ הרשב"א בשמו</w:t>
      </w:r>
      <w:r w:rsidRPr="0049525D">
        <w:rPr>
          <w:rFonts w:cs="Arial"/>
          <w:sz w:val="16"/>
          <w:szCs w:val="16"/>
          <w:rtl/>
        </w:rPr>
        <w:t>)</w:t>
      </w:r>
      <w:r w:rsidRPr="0049525D">
        <w:rPr>
          <w:rFonts w:cs="Arial"/>
          <w:rtl/>
        </w:rPr>
        <w:t xml:space="preserve"> </w:t>
      </w:r>
      <w:r w:rsidRPr="00302D98">
        <w:rPr>
          <w:rFonts w:cs="Arial"/>
          <w:rtl/>
        </w:rPr>
        <w:t xml:space="preserve">רשב"א </w:t>
      </w:r>
      <w:r w:rsidRPr="00B9674B">
        <w:rPr>
          <w:rFonts w:cs="Arial"/>
          <w:sz w:val="16"/>
          <w:szCs w:val="16"/>
          <w:rtl/>
        </w:rPr>
        <w:t>(ח"ד סי' ר</w:t>
      </w:r>
      <w:r>
        <w:rPr>
          <w:rFonts w:cs="Arial" w:hint="cs"/>
          <w:sz w:val="16"/>
          <w:szCs w:val="16"/>
          <w:rtl/>
        </w:rPr>
        <w:t>, וכן ב</w:t>
      </w:r>
      <w:r w:rsidRPr="00D44B19">
        <w:rPr>
          <w:rFonts w:cs="Arial"/>
          <w:sz w:val="16"/>
          <w:szCs w:val="16"/>
          <w:rtl/>
        </w:rPr>
        <w:t>ח"ב סי' שסב</w:t>
      </w:r>
      <w:r w:rsidRPr="00B9674B">
        <w:rPr>
          <w:rFonts w:cs="Arial"/>
          <w:sz w:val="16"/>
          <w:szCs w:val="16"/>
          <w:rtl/>
        </w:rPr>
        <w:t>)</w:t>
      </w:r>
      <w:r w:rsidRPr="0049525D">
        <w:rPr>
          <w:rFonts w:cs="Arial"/>
          <w:rtl/>
        </w:rPr>
        <w:t xml:space="preserve"> </w:t>
      </w:r>
      <w:r w:rsidRPr="00302D98">
        <w:rPr>
          <w:rFonts w:cs="Arial"/>
          <w:rtl/>
        </w:rPr>
        <w:t>או</w:t>
      </w:r>
      <w:r>
        <w:rPr>
          <w:rFonts w:cs="Arial" w:hint="cs"/>
          <w:rtl/>
        </w:rPr>
        <w:t>"</w:t>
      </w:r>
      <w:r w:rsidRPr="00302D98">
        <w:rPr>
          <w:rFonts w:cs="Arial"/>
          <w:rtl/>
        </w:rPr>
        <w:t xml:space="preserve">ז </w:t>
      </w:r>
      <w:r w:rsidRPr="0049525D">
        <w:rPr>
          <w:rFonts w:cs="Arial"/>
          <w:sz w:val="16"/>
          <w:szCs w:val="16"/>
          <w:rtl/>
        </w:rPr>
        <w:t>(ב"ק סי' תלט)</w:t>
      </w:r>
      <w:r>
        <w:rPr>
          <w:rFonts w:cs="Arial" w:hint="cs"/>
          <w:rtl/>
        </w:rPr>
        <w:t xml:space="preserve"> ו</w:t>
      </w:r>
      <w:r w:rsidRPr="00302D98">
        <w:rPr>
          <w:rFonts w:cs="Arial"/>
          <w:rtl/>
        </w:rPr>
        <w:t xml:space="preserve">ריב"ש </w:t>
      </w:r>
      <w:r w:rsidRPr="0049525D">
        <w:rPr>
          <w:rFonts w:cs="Arial" w:hint="cs"/>
          <w:sz w:val="16"/>
          <w:szCs w:val="16"/>
          <w:rtl/>
        </w:rPr>
        <w:t>(</w:t>
      </w:r>
      <w:r w:rsidRPr="0049525D">
        <w:rPr>
          <w:rFonts w:cs="Arial"/>
          <w:sz w:val="16"/>
          <w:szCs w:val="16"/>
          <w:rtl/>
        </w:rPr>
        <w:t>בתשובה</w:t>
      </w:r>
      <w:r w:rsidRPr="0049525D">
        <w:rPr>
          <w:rFonts w:cs="Arial" w:hint="cs"/>
          <w:sz w:val="16"/>
          <w:szCs w:val="16"/>
          <w:rtl/>
        </w:rPr>
        <w:t>, כ"כ הב"י בשמו</w:t>
      </w:r>
      <w:r>
        <w:rPr>
          <w:rFonts w:cs="Arial" w:hint="cs"/>
          <w:sz w:val="14"/>
          <w:szCs w:val="14"/>
          <w:rtl/>
        </w:rPr>
        <w:t xml:space="preserve"> [ס"ס יז]</w:t>
      </w:r>
      <w:r w:rsidRPr="0049525D">
        <w:rPr>
          <w:rFonts w:cs="Arial" w:hint="cs"/>
          <w:sz w:val="16"/>
          <w:szCs w:val="16"/>
          <w:rtl/>
        </w:rPr>
        <w:t>)</w:t>
      </w:r>
      <w:r>
        <w:rPr>
          <w:rFonts w:hint="cs"/>
          <w:rtl/>
        </w:rPr>
        <w:t>.</w:t>
      </w:r>
    </w:p>
  </w:footnote>
  <w:footnote w:id="1532">
    <w:p w14:paraId="55192930" w14:textId="77777777" w:rsidR="0013116F" w:rsidRDefault="0013116F" w:rsidP="004B607F">
      <w:pPr>
        <w:pStyle w:val="a9"/>
        <w:rPr>
          <w:rtl/>
        </w:rPr>
      </w:pPr>
      <w:r>
        <w:rPr>
          <w:rStyle w:val="ab"/>
        </w:rPr>
        <w:footnoteRef/>
      </w:r>
      <w:r>
        <w:rPr>
          <w:rtl/>
        </w:rPr>
        <w:t xml:space="preserve"> </w:t>
      </w:r>
      <w:r>
        <w:rPr>
          <w:rFonts w:cs="Arial"/>
          <w:rtl/>
        </w:rPr>
        <w:t>ו</w:t>
      </w:r>
      <w:r>
        <w:rPr>
          <w:rFonts w:cs="Arial" w:hint="cs"/>
          <w:rtl/>
        </w:rPr>
        <w:t xml:space="preserve">כ' הדרכ"מ </w:t>
      </w:r>
      <w:r w:rsidRPr="0053254E">
        <w:rPr>
          <w:rFonts w:cs="Arial" w:hint="cs"/>
          <w:sz w:val="16"/>
          <w:szCs w:val="16"/>
          <w:rtl/>
        </w:rPr>
        <w:t>(אות י)</w:t>
      </w:r>
      <w:r>
        <w:rPr>
          <w:rFonts w:cs="Arial" w:hint="cs"/>
          <w:rtl/>
        </w:rPr>
        <w:t xml:space="preserve">- </w:t>
      </w:r>
      <w:r>
        <w:rPr>
          <w:rFonts w:cs="Arial"/>
          <w:rtl/>
        </w:rPr>
        <w:t xml:space="preserve">נראה דהרשב"א והראב"ד לטעמייהו אזלי דסבירא להו כדעת יש מפרשים דסבירא להו דאם הוא אנוס א"צ לשלוח אחריו כמו שכתבתי </w:t>
      </w:r>
      <w:r w:rsidRPr="006E2245">
        <w:rPr>
          <w:rFonts w:cs="Arial"/>
          <w:sz w:val="16"/>
          <w:szCs w:val="16"/>
          <w:rtl/>
        </w:rPr>
        <w:t xml:space="preserve">(דמה"א ד"ה אבל) </w:t>
      </w:r>
      <w:r>
        <w:rPr>
          <w:rFonts w:cs="Arial"/>
          <w:rtl/>
        </w:rPr>
        <w:t>ודלא כדברי הרא"ש</w:t>
      </w:r>
      <w:r>
        <w:rPr>
          <w:rFonts w:cs="Arial" w:hint="cs"/>
          <w:rtl/>
        </w:rPr>
        <w:t>,</w:t>
      </w:r>
      <w:r>
        <w:rPr>
          <w:rFonts w:cs="Arial"/>
          <w:rtl/>
        </w:rPr>
        <w:t xml:space="preserve"> אבל לדעת התוס</w:t>
      </w:r>
      <w:r>
        <w:rPr>
          <w:rFonts w:cs="Arial" w:hint="cs"/>
          <w:rtl/>
        </w:rPr>
        <w:t>'</w:t>
      </w:r>
      <w:r>
        <w:rPr>
          <w:rFonts w:cs="Arial"/>
          <w:rtl/>
        </w:rPr>
        <w:t xml:space="preserve"> ורא"ש לא מקבלין ב</w:t>
      </w:r>
      <w:r>
        <w:rPr>
          <w:rFonts w:cs="Arial" w:hint="cs"/>
          <w:rtl/>
        </w:rPr>
        <w:t>כ</w:t>
      </w:r>
      <w:r>
        <w:rPr>
          <w:rFonts w:cs="Arial"/>
          <w:rtl/>
        </w:rPr>
        <w:t>ה</w:t>
      </w:r>
      <w:r>
        <w:rPr>
          <w:rFonts w:cs="Arial" w:hint="cs"/>
          <w:rtl/>
        </w:rPr>
        <w:t>"ג</w:t>
      </w:r>
      <w:r>
        <w:rPr>
          <w:rFonts w:cs="Arial"/>
          <w:rtl/>
        </w:rPr>
        <w:t xml:space="preserve"> וה</w:t>
      </w:r>
      <w:r>
        <w:rPr>
          <w:rFonts w:cs="Arial" w:hint="cs"/>
          <w:rtl/>
        </w:rPr>
        <w:t>ו"</w:t>
      </w:r>
      <w:r>
        <w:rPr>
          <w:rFonts w:cs="Arial"/>
          <w:rtl/>
        </w:rPr>
        <w:t>ל לב</w:t>
      </w:r>
      <w:r>
        <w:rPr>
          <w:rFonts w:cs="Arial" w:hint="cs"/>
          <w:rtl/>
        </w:rPr>
        <w:t>"</w:t>
      </w:r>
      <w:r>
        <w:rPr>
          <w:rFonts w:cs="Arial"/>
          <w:rtl/>
        </w:rPr>
        <w:t>י לפרש</w:t>
      </w:r>
      <w:r>
        <w:rPr>
          <w:rFonts w:cs="Arial" w:hint="cs"/>
          <w:rtl/>
        </w:rPr>
        <w:t>.</w:t>
      </w:r>
    </w:p>
  </w:footnote>
  <w:footnote w:id="1533">
    <w:p w14:paraId="414DF4FF" w14:textId="77777777" w:rsidR="0013116F" w:rsidRDefault="0013116F" w:rsidP="004B607F">
      <w:pPr>
        <w:pStyle w:val="a9"/>
        <w:rPr>
          <w:rtl/>
        </w:rPr>
      </w:pPr>
      <w:r>
        <w:rPr>
          <w:rStyle w:val="ab"/>
        </w:rPr>
        <w:footnoteRef/>
      </w:r>
      <w:r>
        <w:rPr>
          <w:rtl/>
        </w:rPr>
        <w:t xml:space="preserve"> </w:t>
      </w:r>
      <w:r w:rsidRPr="00545B9A">
        <w:rPr>
          <w:rFonts w:cs="Arial"/>
          <w:rtl/>
        </w:rPr>
        <w:t>דהא תרי בעינן הפסד התובע והתרו בנתבע והכא הרי לא התרו בנתב</w:t>
      </w:r>
      <w:r>
        <w:rPr>
          <w:rFonts w:cs="Arial" w:hint="cs"/>
          <w:rtl/>
        </w:rPr>
        <w:t>ע, ב"י בשם הרא"ש.</w:t>
      </w:r>
    </w:p>
  </w:footnote>
  <w:footnote w:id="1534">
    <w:p w14:paraId="66BCBD51" w14:textId="77777777" w:rsidR="0013116F" w:rsidRDefault="0013116F" w:rsidP="004B607F">
      <w:pPr>
        <w:pStyle w:val="a9"/>
        <w:rPr>
          <w:rtl/>
        </w:rPr>
      </w:pPr>
      <w:r>
        <w:rPr>
          <w:rStyle w:val="ab"/>
        </w:rPr>
        <w:footnoteRef/>
      </w:r>
      <w:r>
        <w:rPr>
          <w:rtl/>
        </w:rPr>
        <w:t xml:space="preserve"> </w:t>
      </w:r>
      <w:r w:rsidRPr="00421A1A">
        <w:rPr>
          <w:rFonts w:cs="Arial"/>
          <w:rtl/>
        </w:rPr>
        <w:t>דפשיטא שמקבלים כיון שהודיעוהו הדיינים ולא בא</w:t>
      </w:r>
      <w:r>
        <w:rPr>
          <w:rFonts w:cs="Arial" w:hint="cs"/>
          <w:rtl/>
        </w:rPr>
        <w:t>,</w:t>
      </w:r>
      <w:r w:rsidRPr="00421A1A">
        <w:rPr>
          <w:rFonts w:cs="Arial"/>
          <w:rtl/>
        </w:rPr>
        <w:t xml:space="preserve"> דברצונו לא יבא לשמוע העדות</w:t>
      </w:r>
      <w:r>
        <w:rPr>
          <w:rFonts w:cs="Arial" w:hint="cs"/>
          <w:rtl/>
        </w:rPr>
        <w:t>,</w:t>
      </w:r>
      <w:r w:rsidRPr="00421A1A">
        <w:rPr>
          <w:rFonts w:cs="Arial"/>
          <w:rtl/>
        </w:rPr>
        <w:t xml:space="preserve"> ולא פליג שמואל אהא דר' יוחנן דאיירי בדלא פתח בדיניה אלא שהיה הוא חולה או עדיו חולין או מבקשים לילך למדינת הים והושיב התובע דיינין לקבל עדות. אבל לא פתחו ליה בדיניה מצי אמר לבית דין הגדול קאתינא. פי' יאמר איני רוצה שתקבלו עדות עד שאבא לדין. אי הכי כי פתחו ליה בדיניה נמי יכול לומר לב"ד הגדול קאזלינן</w:t>
      </w:r>
      <w:r>
        <w:rPr>
          <w:rFonts w:cs="Arial" w:hint="cs"/>
          <w:rtl/>
        </w:rPr>
        <w:t>, רא"ש.</w:t>
      </w:r>
      <w:r>
        <w:rPr>
          <w:rFonts w:cs="Arial"/>
          <w:rtl/>
        </w:rPr>
        <w:t xml:space="preserve"> </w:t>
      </w:r>
      <w:r w:rsidRPr="00A560F6">
        <w:rPr>
          <w:rFonts w:cs="Arial" w:hint="cs"/>
          <w:sz w:val="16"/>
          <w:szCs w:val="16"/>
          <w:rtl/>
        </w:rPr>
        <w:t>(</w:t>
      </w:r>
      <w:r w:rsidRPr="00A560F6">
        <w:rPr>
          <w:rFonts w:cs="Arial"/>
          <w:sz w:val="16"/>
          <w:szCs w:val="16"/>
          <w:rtl/>
        </w:rPr>
        <w:t>והשמיט הרא"ש הא דאמר רבינא כגון דנקיט דיסקא</w:t>
      </w:r>
      <w:r>
        <w:rPr>
          <w:rFonts w:cs="Arial" w:hint="cs"/>
          <w:sz w:val="16"/>
          <w:szCs w:val="16"/>
          <w:rtl/>
        </w:rPr>
        <w:t>, ב"י)</w:t>
      </w:r>
    </w:p>
  </w:footnote>
  <w:footnote w:id="1535">
    <w:p w14:paraId="71B7AEBB" w14:textId="77777777" w:rsidR="0013116F" w:rsidRDefault="0013116F" w:rsidP="004B607F">
      <w:pPr>
        <w:pStyle w:val="a9"/>
        <w:rPr>
          <w:rtl/>
        </w:rPr>
      </w:pPr>
      <w:r>
        <w:rPr>
          <w:rStyle w:val="ab"/>
        </w:rPr>
        <w:footnoteRef/>
      </w:r>
      <w:r>
        <w:rPr>
          <w:rtl/>
        </w:rPr>
        <w:t xml:space="preserve"> </w:t>
      </w:r>
      <w:r>
        <w:rPr>
          <w:rFonts w:hint="cs"/>
          <w:rtl/>
        </w:rPr>
        <w:t xml:space="preserve">וז"ל הב"י- הרי"ף והרמב"ם </w:t>
      </w:r>
      <w:r>
        <w:rPr>
          <w:rFonts w:cs="Arial"/>
          <w:rtl/>
        </w:rPr>
        <w:t>השמיטו מימרא זו דפתחו ליה בדיניה</w:t>
      </w:r>
      <w:r>
        <w:rPr>
          <w:rFonts w:cs="Arial" w:hint="cs"/>
          <w:rtl/>
        </w:rPr>
        <w:t>,</w:t>
      </w:r>
      <w:r>
        <w:rPr>
          <w:rFonts w:cs="Arial"/>
          <w:rtl/>
        </w:rPr>
        <w:t xml:space="preserve"> ונראה לי דטעמא משום דסבירא להו דפליג ארבי יוחנן דאמר לעיל שאם היה הוא חולה או עדיו חולים או מבקשים לילך למדינת הים ומשמע דוקא בהני אבל בפתחו לו לא</w:t>
      </w:r>
      <w:r>
        <w:rPr>
          <w:rFonts w:cs="Arial" w:hint="cs"/>
          <w:rtl/>
        </w:rPr>
        <w:t>.</w:t>
      </w:r>
      <w:r>
        <w:rPr>
          <w:rFonts w:cs="Arial"/>
          <w:rtl/>
        </w:rPr>
        <w:t xml:space="preserve"> והלכה כרבי יוחנן לגביה שמואל [בדק הבית] וכל שכן הכא דרבי יוסי בר חנינא פליג אדשמואל [עד כאן].</w:t>
      </w:r>
    </w:p>
  </w:footnote>
  <w:footnote w:id="1536">
    <w:p w14:paraId="2EB721C3" w14:textId="77777777" w:rsidR="0013116F" w:rsidRDefault="0013116F" w:rsidP="004B607F">
      <w:pPr>
        <w:pStyle w:val="a9"/>
      </w:pPr>
      <w:r>
        <w:rPr>
          <w:rStyle w:val="ab"/>
        </w:rPr>
        <w:footnoteRef/>
      </w:r>
      <w:r>
        <w:rPr>
          <w:rtl/>
        </w:rPr>
        <w:t xml:space="preserve"> </w:t>
      </w:r>
      <w:r>
        <w:rPr>
          <w:rFonts w:cs="Arial" w:hint="cs"/>
          <w:rtl/>
        </w:rPr>
        <w:t xml:space="preserve">וכתב הראב"ד </w:t>
      </w:r>
      <w:r w:rsidRPr="009D280A">
        <w:rPr>
          <w:rFonts w:cs="Arial"/>
          <w:rtl/>
        </w:rPr>
        <w:t>אפילו אם אומר התובע לדיינין הרי עדי לפניכם אלא שאינכם רוצים לקבלם לכל הפחות קחו ממון הקטנים בידכם שלא יכלוהו הקטנים אין שומעין לו</w:t>
      </w:r>
      <w:r>
        <w:rPr>
          <w:rFonts w:cs="Arial" w:hint="cs"/>
          <w:rtl/>
        </w:rPr>
        <w:t xml:space="preserve">, טור. </w:t>
      </w:r>
      <w:r w:rsidRPr="006A1674">
        <w:rPr>
          <w:rFonts w:cs="Arial"/>
          <w:rtl/>
        </w:rPr>
        <w:t>כך כתב הרא"ש שם בפסקיו וכתב שכן משמע מתוך פירוש ריב"א</w:t>
      </w:r>
      <w:r>
        <w:rPr>
          <w:rFonts w:cs="Arial" w:hint="cs"/>
          <w:rtl/>
        </w:rPr>
        <w:t>, ב"י.</w:t>
      </w:r>
    </w:p>
  </w:footnote>
  <w:footnote w:id="1537">
    <w:p w14:paraId="429709FC" w14:textId="77777777" w:rsidR="0013116F" w:rsidRDefault="0013116F" w:rsidP="004B607F">
      <w:pPr>
        <w:pStyle w:val="a9"/>
      </w:pPr>
      <w:r>
        <w:rPr>
          <w:rStyle w:val="ab"/>
        </w:rPr>
        <w:footnoteRef/>
      </w:r>
      <w:r>
        <w:rPr>
          <w:rtl/>
        </w:rPr>
        <w:t xml:space="preserve"> </w:t>
      </w:r>
      <w:r w:rsidRPr="00D168CF">
        <w:rPr>
          <w:rFonts w:cs="Arial"/>
          <w:rtl/>
        </w:rPr>
        <w:t xml:space="preserve">בזה לא כתב המחבר דבעי דשלחו אליו ולא בא, והיינו כדעת היש מפרשים שכתב הטור </w:t>
      </w:r>
      <w:r w:rsidRPr="00D168CF">
        <w:rPr>
          <w:rFonts w:cs="Arial"/>
          <w:sz w:val="16"/>
          <w:szCs w:val="16"/>
          <w:rtl/>
        </w:rPr>
        <w:t xml:space="preserve">[סעיף כ"א] </w:t>
      </w:r>
      <w:r w:rsidRPr="00D168CF">
        <w:rPr>
          <w:rFonts w:cs="Arial"/>
          <w:rtl/>
        </w:rPr>
        <w:t xml:space="preserve">שחילקו בין חולה שיש לחוש שימות פתאום להולך למדינת הים שיש שהות לשלוח אחריו. אבל כשאינו בעיר מסתמא לא ימתינו העדים מלילך למדינת הים עד שישלחו אחריו ויבוא. וז"ש המחבר או שאינו מצוי בעיר כו'. </w:t>
      </w:r>
      <w:r w:rsidRPr="00D168CF">
        <w:rPr>
          <w:rFonts w:cs="Arial"/>
          <w:sz w:val="16"/>
          <w:szCs w:val="16"/>
          <w:rtl/>
        </w:rPr>
        <w:t>[ובחנם האריך מור"ם אחר זה במה שחזר וכתב ז"ל, ודוקא שאין לחוש שילכו כו'. ועוד כתב אח"כ, וכן אם היה הדבר נחוץ כו', עד ואין העדים יכולין להמתין. דכל זה בכלל דברי המחבר המה]</w:t>
      </w:r>
      <w:r w:rsidRPr="00D168CF">
        <w:rPr>
          <w:rFonts w:cs="Arial"/>
          <w:rtl/>
        </w:rPr>
        <w:t>. אבל התוס'</w:t>
      </w:r>
      <w:r w:rsidRPr="00D168CF">
        <w:rPr>
          <w:rFonts w:cs="Arial"/>
          <w:sz w:val="16"/>
          <w:szCs w:val="16"/>
          <w:rtl/>
        </w:rPr>
        <w:t xml:space="preserve"> [ב"ק קיב</w:t>
      </w:r>
      <w:r w:rsidRPr="00D168CF">
        <w:rPr>
          <w:rFonts w:cs="Arial" w:hint="cs"/>
          <w:sz w:val="16"/>
          <w:szCs w:val="16"/>
          <w:rtl/>
        </w:rPr>
        <w:t>:</w:t>
      </w:r>
      <w:r w:rsidRPr="00D168CF">
        <w:rPr>
          <w:rFonts w:cs="Arial"/>
          <w:sz w:val="16"/>
          <w:szCs w:val="16"/>
          <w:rtl/>
        </w:rPr>
        <w:t xml:space="preserve"> ד"ה ושלחו]</w:t>
      </w:r>
      <w:r w:rsidRPr="00D168CF">
        <w:rPr>
          <w:rFonts w:cs="Arial"/>
          <w:rtl/>
        </w:rPr>
        <w:t xml:space="preserve"> והרא"ש </w:t>
      </w:r>
      <w:r w:rsidRPr="00D168CF">
        <w:rPr>
          <w:rFonts w:cs="Arial"/>
          <w:sz w:val="16"/>
          <w:szCs w:val="16"/>
          <w:rtl/>
        </w:rPr>
        <w:t>[שם פ"י סי' ג']</w:t>
      </w:r>
      <w:r w:rsidRPr="00D168CF">
        <w:rPr>
          <w:rFonts w:cs="Arial"/>
          <w:rtl/>
        </w:rPr>
        <w:t xml:space="preserve"> והטור ס"ל דגם בחולה בעינן שישלחו, ע"ש. וז"ש מור"ם אח"כ בסוף סעיף י"ז אע</w:t>
      </w:r>
      <w:r>
        <w:rPr>
          <w:rFonts w:cs="Arial" w:hint="cs"/>
          <w:rtl/>
        </w:rPr>
        <w:t>"</w:t>
      </w:r>
      <w:r w:rsidRPr="00D168CF">
        <w:rPr>
          <w:rFonts w:cs="Arial"/>
          <w:rtl/>
        </w:rPr>
        <w:t>פ שיש חולקים</w:t>
      </w:r>
      <w:r>
        <w:rPr>
          <w:rFonts w:hint="cs"/>
          <w:rtl/>
        </w:rPr>
        <w:t xml:space="preserve">, סמ"ע </w:t>
      </w:r>
      <w:r w:rsidRPr="00D168CF">
        <w:rPr>
          <w:rFonts w:hint="cs"/>
          <w:sz w:val="16"/>
          <w:szCs w:val="16"/>
          <w:rtl/>
        </w:rPr>
        <w:t>(סק"נ)</w:t>
      </w:r>
      <w:r>
        <w:rPr>
          <w:rFonts w:hint="cs"/>
          <w:rtl/>
        </w:rPr>
        <w:t>.</w:t>
      </w:r>
    </w:p>
  </w:footnote>
  <w:footnote w:id="1538">
    <w:p w14:paraId="3766E1B6" w14:textId="77777777" w:rsidR="0013116F" w:rsidRDefault="0013116F" w:rsidP="004B607F">
      <w:pPr>
        <w:pStyle w:val="a9"/>
      </w:pPr>
      <w:r>
        <w:rPr>
          <w:rStyle w:val="ab"/>
        </w:rPr>
        <w:footnoteRef/>
      </w:r>
      <w:r>
        <w:rPr>
          <w:rtl/>
        </w:rPr>
        <w:t xml:space="preserve"> </w:t>
      </w:r>
      <w:r w:rsidRPr="00D168CF">
        <w:rPr>
          <w:rFonts w:cs="Arial"/>
          <w:rtl/>
        </w:rPr>
        <w:t>דדוקא בתובע שחולה הקילו משום שיאמר אני רוצה להזכיר העדים לכוין את העדות ואם אמות תשתכח העדות ויפסיד כל החוב. משא"כ בחולה הנתבע דאז יכול לגבות החוב כשיגדלו היתומים, וגם משום שבכאן לא פשע במה שלא בא כיון שהוא חולה ולא היה יכול לבוא, ועיין פרישה</w:t>
      </w:r>
      <w:r>
        <w:rPr>
          <w:rFonts w:cs="Arial" w:hint="cs"/>
          <w:rtl/>
        </w:rPr>
        <w:t>, סמ"ע (סקנ"א).</w:t>
      </w:r>
      <w:r w:rsidRPr="006A1674">
        <w:rPr>
          <w:rFonts w:hint="cs"/>
          <w:rtl/>
        </w:rPr>
        <w:t xml:space="preserve"> </w:t>
      </w:r>
      <w:r>
        <w:rPr>
          <w:rFonts w:hint="cs"/>
          <w:rtl/>
        </w:rPr>
        <w:t>והא דאין ב"ד מחזיקים בנתיים הממון ע"מ שלא יכלוהו הקטנים הוא משום</w:t>
      </w:r>
      <w:r w:rsidRPr="0098225F">
        <w:rPr>
          <w:rFonts w:cs="Arial"/>
          <w:rtl/>
        </w:rPr>
        <w:t xml:space="preserve"> דדוקא כשאדם ודאי חייב לחבירו ויש לחוש שיכלה ממונו קודם שיגיע זמן הפרעון אמרו דלוקחין הב"ד ממונו מידו, וכמו שכתבו הטור והמחבר לקמן בסימן ע"ג [טור סעיף י"ז ומחבר סעיף י'], ולא בכהאי גוונא דעדיין לא נתברר דחייבין לו</w:t>
      </w:r>
      <w:r>
        <w:rPr>
          <w:rFonts w:cs="Arial" w:hint="cs"/>
          <w:rtl/>
        </w:rPr>
        <w:t>.</w:t>
      </w:r>
    </w:p>
  </w:footnote>
  <w:footnote w:id="1539">
    <w:p w14:paraId="00EDE2CE" w14:textId="77777777" w:rsidR="0013116F" w:rsidRDefault="0013116F" w:rsidP="004B607F">
      <w:pPr>
        <w:pStyle w:val="a9"/>
      </w:pPr>
      <w:r>
        <w:rPr>
          <w:rStyle w:val="ab"/>
        </w:rPr>
        <w:footnoteRef/>
      </w:r>
      <w:r>
        <w:rPr>
          <w:rtl/>
        </w:rPr>
        <w:t xml:space="preserve"> </w:t>
      </w:r>
      <w:r>
        <w:rPr>
          <w:rFonts w:cs="Arial" w:hint="cs"/>
          <w:rtl/>
        </w:rPr>
        <w:t>פירוש, ש</w:t>
      </w:r>
      <w:r w:rsidRPr="00D168CF">
        <w:rPr>
          <w:rFonts w:cs="Arial"/>
          <w:rtl/>
        </w:rPr>
        <w:t>התובע חולה ומבקש שיקבלו העדות בחייו כי הוא יזכיר לעדים לכוין את העדות</w:t>
      </w:r>
      <w:r>
        <w:rPr>
          <w:rFonts w:hint="cs"/>
          <w:rtl/>
        </w:rPr>
        <w:t>, ע"פ הטור ובאה"ג (אות פ*).</w:t>
      </w:r>
    </w:p>
  </w:footnote>
  <w:footnote w:id="1540">
    <w:p w14:paraId="4122AA97" w14:textId="77777777" w:rsidR="0013116F" w:rsidRDefault="0013116F" w:rsidP="004B607F">
      <w:pPr>
        <w:pStyle w:val="a9"/>
      </w:pPr>
      <w:r>
        <w:rPr>
          <w:rStyle w:val="ab"/>
        </w:rPr>
        <w:footnoteRef/>
      </w:r>
      <w:r>
        <w:rPr>
          <w:rtl/>
        </w:rPr>
        <w:t xml:space="preserve"> </w:t>
      </w:r>
      <w:r>
        <w:rPr>
          <w:rFonts w:hint="cs"/>
          <w:rtl/>
        </w:rPr>
        <w:t>בציונים כאן נכתב או"ז, אך דעת האו"ז שאין שולחין לו אע"פ שיש שהות, כיון שאינו בעיר, ואין דעת הרמ"א כן, אלא כמו שכתב הנמוק"י והיש מפרשים שהביא הרא"ש.</w:t>
      </w:r>
    </w:p>
  </w:footnote>
  <w:footnote w:id="1541">
    <w:p w14:paraId="69F72DB5" w14:textId="77777777" w:rsidR="0013116F" w:rsidRDefault="0013116F" w:rsidP="004B607F">
      <w:pPr>
        <w:pStyle w:val="a9"/>
        <w:rPr>
          <w:rtl/>
        </w:rPr>
      </w:pPr>
      <w:r>
        <w:rPr>
          <w:rStyle w:val="ab"/>
        </w:rPr>
        <w:footnoteRef/>
      </w:r>
      <w:r>
        <w:rPr>
          <w:rtl/>
        </w:rPr>
        <w:t xml:space="preserve"> </w:t>
      </w:r>
      <w:r w:rsidRPr="008A4067">
        <w:rPr>
          <w:rFonts w:cs="Arial"/>
          <w:rtl/>
        </w:rPr>
        <w:t>ועיין שם ובמישרים נתיב י"א ח"ב (לח ע"ד)</w:t>
      </w:r>
      <w:r>
        <w:rPr>
          <w:rFonts w:cs="Arial" w:hint="cs"/>
          <w:rtl/>
        </w:rPr>
        <w:t xml:space="preserve">, </w:t>
      </w:r>
      <w:r>
        <w:rPr>
          <w:rFonts w:hint="cs"/>
          <w:rtl/>
        </w:rPr>
        <w:t>דרכ"מ. וגם הב"י שלח לעיין במקורות אלו לגבי שאלה זו.</w:t>
      </w:r>
    </w:p>
  </w:footnote>
  <w:footnote w:id="1542">
    <w:p w14:paraId="4AA16FAA" w14:textId="77777777" w:rsidR="0013116F" w:rsidRDefault="0013116F" w:rsidP="004B607F">
      <w:pPr>
        <w:pStyle w:val="a9"/>
        <w:rPr>
          <w:rtl/>
        </w:rPr>
      </w:pPr>
      <w:r>
        <w:rPr>
          <w:rStyle w:val="ab"/>
        </w:rPr>
        <w:footnoteRef/>
      </w:r>
      <w:r>
        <w:rPr>
          <w:rtl/>
        </w:rPr>
        <w:t xml:space="preserve"> </w:t>
      </w:r>
      <w:r w:rsidRPr="0060694B">
        <w:rPr>
          <w:rFonts w:cs="Arial"/>
          <w:rtl/>
        </w:rPr>
        <w:t xml:space="preserve">דדוקא במקום שבאין </w:t>
      </w:r>
      <w:r w:rsidRPr="007A14C3">
        <w:rPr>
          <w:rFonts w:cs="Arial"/>
          <w:b/>
          <w:bCs/>
          <w:rtl/>
        </w:rPr>
        <w:t>להוציא</w:t>
      </w:r>
      <w:r w:rsidRPr="0060694B">
        <w:rPr>
          <w:rFonts w:cs="Arial"/>
          <w:rtl/>
        </w:rPr>
        <w:t xml:space="preserve"> ממון ע</w:t>
      </w:r>
      <w:r>
        <w:rPr>
          <w:rFonts w:cs="Arial" w:hint="cs"/>
          <w:rtl/>
        </w:rPr>
        <w:t>"</w:t>
      </w:r>
      <w:r w:rsidRPr="0060694B">
        <w:rPr>
          <w:rFonts w:cs="Arial"/>
          <w:rtl/>
        </w:rPr>
        <w:t>י עדים בעינן לפניו</w:t>
      </w:r>
      <w:r>
        <w:rPr>
          <w:rFonts w:hint="cs"/>
          <w:rtl/>
        </w:rPr>
        <w:t>, סמ"ע (סקנ"ו).</w:t>
      </w:r>
      <w:r w:rsidRPr="00D279D9">
        <w:rPr>
          <w:rFonts w:cs="Arial"/>
          <w:rtl/>
        </w:rPr>
        <w:t xml:space="preserve"> </w:t>
      </w:r>
      <w:r>
        <w:rPr>
          <w:rFonts w:cs="Arial" w:hint="cs"/>
          <w:rtl/>
        </w:rPr>
        <w:t>ו</w:t>
      </w:r>
      <w:r w:rsidRPr="0060694B">
        <w:rPr>
          <w:rFonts w:cs="Arial"/>
          <w:rtl/>
        </w:rPr>
        <w:t>עיין לקמן סימן ק"ח סעיף ט"ז, כתב המחבר יורש קטן שהיה שטר חוב לאביו</w:t>
      </w:r>
      <w:r>
        <w:rPr>
          <w:rFonts w:cs="Arial" w:hint="cs"/>
          <w:rtl/>
        </w:rPr>
        <w:t>,</w:t>
      </w:r>
      <w:r w:rsidRPr="0060694B">
        <w:rPr>
          <w:rFonts w:cs="Arial"/>
          <w:rtl/>
        </w:rPr>
        <w:t xml:space="preserve"> ויצא עליו שובר אחר מיתת אביו, אין קורעין את השטר ואין מגבין בו עד שיגדלו היתומים וכו', ואפילו יש עדים שמעידים שזוכרים הפרעון </w:t>
      </w:r>
      <w:r>
        <w:rPr>
          <w:rFonts w:cs="Arial" w:hint="cs"/>
          <w:rtl/>
        </w:rPr>
        <w:t xml:space="preserve">- </w:t>
      </w:r>
      <w:r w:rsidRPr="0060694B">
        <w:rPr>
          <w:rFonts w:cs="Arial"/>
          <w:rtl/>
        </w:rPr>
        <w:t>אין עדותן עדות לפי שאין מקבלין עדות שלא בפני בעל די</w:t>
      </w:r>
      <w:r>
        <w:rPr>
          <w:rFonts w:cs="Arial" w:hint="cs"/>
          <w:rtl/>
        </w:rPr>
        <w:t>ן,</w:t>
      </w:r>
      <w:r w:rsidRPr="0060694B">
        <w:rPr>
          <w:rFonts w:cs="Arial"/>
          <w:rtl/>
        </w:rPr>
        <w:t xml:space="preserve"> ואע</w:t>
      </w:r>
      <w:r>
        <w:rPr>
          <w:rFonts w:cs="Arial" w:hint="cs"/>
          <w:rtl/>
        </w:rPr>
        <w:t>"</w:t>
      </w:r>
      <w:r w:rsidRPr="0060694B">
        <w:rPr>
          <w:rFonts w:cs="Arial"/>
          <w:rtl/>
        </w:rPr>
        <w:t>ג שמביא עדים לפטור, שאני התם דחשב להוציא</w:t>
      </w:r>
      <w:r>
        <w:rPr>
          <w:rFonts w:cs="Arial" w:hint="cs"/>
          <w:rtl/>
        </w:rPr>
        <w:t>,</w:t>
      </w:r>
      <w:r w:rsidRPr="0060694B">
        <w:rPr>
          <w:rFonts w:cs="Arial"/>
          <w:rtl/>
        </w:rPr>
        <w:t xml:space="preserve"> שהרי רוצה להוציא השטר ולקרעו, דלא כספר גדו</w:t>
      </w:r>
      <w:r>
        <w:rPr>
          <w:rFonts w:cs="Arial" w:hint="cs"/>
          <w:rtl/>
        </w:rPr>
        <w:t>"</w:t>
      </w:r>
      <w:r w:rsidRPr="0060694B">
        <w:rPr>
          <w:rFonts w:cs="Arial"/>
          <w:rtl/>
        </w:rPr>
        <w:t xml:space="preserve">ת </w:t>
      </w:r>
      <w:r>
        <w:rPr>
          <w:rFonts w:cs="Arial" w:hint="cs"/>
          <w:rtl/>
        </w:rPr>
        <w:t>(</w:t>
      </w:r>
      <w:r w:rsidRPr="0060694B">
        <w:rPr>
          <w:rFonts w:cs="Arial"/>
          <w:rtl/>
        </w:rPr>
        <w:t>שער לא חב</w:t>
      </w:r>
      <w:r>
        <w:rPr>
          <w:rFonts w:cs="Arial" w:hint="cs"/>
          <w:rtl/>
        </w:rPr>
        <w:t>)</w:t>
      </w:r>
      <w:r w:rsidRPr="0060694B">
        <w:rPr>
          <w:rFonts w:cs="Arial"/>
          <w:rtl/>
        </w:rPr>
        <w:t xml:space="preserve"> שהניח בקושיא. [הג"ה. ומהרי"ט בתשו</w:t>
      </w:r>
      <w:r>
        <w:rPr>
          <w:rFonts w:cs="Arial" w:hint="cs"/>
          <w:rtl/>
        </w:rPr>
        <w:t>'</w:t>
      </w:r>
      <w:r w:rsidRPr="0060694B">
        <w:rPr>
          <w:rFonts w:cs="Arial"/>
          <w:rtl/>
        </w:rPr>
        <w:t xml:space="preserve"> </w:t>
      </w:r>
      <w:r w:rsidRPr="007A14C3">
        <w:rPr>
          <w:rFonts w:cs="Arial" w:hint="cs"/>
          <w:sz w:val="16"/>
          <w:szCs w:val="16"/>
          <w:rtl/>
        </w:rPr>
        <w:t>(</w:t>
      </w:r>
      <w:r w:rsidRPr="007A14C3">
        <w:rPr>
          <w:rFonts w:cs="Arial"/>
          <w:sz w:val="16"/>
          <w:szCs w:val="16"/>
          <w:rtl/>
        </w:rPr>
        <w:t>ח"ג חו"מ שאלה לב</w:t>
      </w:r>
      <w:r>
        <w:rPr>
          <w:rFonts w:cs="Arial" w:hint="cs"/>
          <w:sz w:val="16"/>
          <w:szCs w:val="16"/>
          <w:rtl/>
        </w:rPr>
        <w:t>)</w:t>
      </w:r>
      <w:r w:rsidRPr="0060694B">
        <w:rPr>
          <w:rFonts w:cs="Arial"/>
          <w:rtl/>
        </w:rPr>
        <w:t xml:space="preserve"> כתב וז"ל</w:t>
      </w:r>
      <w:r>
        <w:rPr>
          <w:rFonts w:cs="Arial" w:hint="cs"/>
          <w:rtl/>
        </w:rPr>
        <w:t>-</w:t>
      </w:r>
      <w:r w:rsidRPr="0060694B">
        <w:rPr>
          <w:rFonts w:cs="Arial"/>
          <w:rtl/>
        </w:rPr>
        <w:t xml:space="preserve"> ודברי הר"ן ז"ל אינם אלא היכא שבאים להוציא מהלוה שלא בפני המלוה, דלפטור עצמו מהתביעה יכול להביא עדים שלא בפני התובע וכו', אבל כשאין המלוה תובעו</w:t>
      </w:r>
      <w:r>
        <w:rPr>
          <w:rFonts w:cs="Arial" w:hint="cs"/>
          <w:rtl/>
        </w:rPr>
        <w:t xml:space="preserve"> -</w:t>
      </w:r>
      <w:r w:rsidRPr="0060694B">
        <w:rPr>
          <w:rFonts w:cs="Arial"/>
          <w:rtl/>
        </w:rPr>
        <w:t xml:space="preserve"> ודאי שלא יקבלו העדות אלא בפניו, עכ"ל. </w:t>
      </w:r>
      <w:r w:rsidRPr="007A14C3">
        <w:rPr>
          <w:rFonts w:cs="Arial" w:hint="cs"/>
          <w:sz w:val="16"/>
          <w:szCs w:val="16"/>
          <w:rtl/>
        </w:rPr>
        <w:t>(</w:t>
      </w:r>
      <w:r w:rsidRPr="007A14C3">
        <w:rPr>
          <w:rFonts w:cs="Arial"/>
          <w:sz w:val="16"/>
          <w:szCs w:val="16"/>
          <w:rtl/>
        </w:rPr>
        <w:t>וע</w:t>
      </w:r>
      <w:r w:rsidRPr="007A14C3">
        <w:rPr>
          <w:rFonts w:cs="Arial" w:hint="cs"/>
          <w:sz w:val="16"/>
          <w:szCs w:val="16"/>
          <w:rtl/>
        </w:rPr>
        <w:t>"</w:t>
      </w:r>
      <w:r w:rsidRPr="007A14C3">
        <w:rPr>
          <w:rFonts w:cs="Arial"/>
          <w:sz w:val="16"/>
          <w:szCs w:val="16"/>
          <w:rtl/>
        </w:rPr>
        <w:t>ש שמביא ראיה מהא דלקמן סי</w:t>
      </w:r>
      <w:r w:rsidRPr="007A14C3">
        <w:rPr>
          <w:rFonts w:cs="Arial" w:hint="cs"/>
          <w:sz w:val="16"/>
          <w:szCs w:val="16"/>
          <w:rtl/>
        </w:rPr>
        <w:t>'</w:t>
      </w:r>
      <w:r w:rsidRPr="007A14C3">
        <w:rPr>
          <w:rFonts w:cs="Arial"/>
          <w:sz w:val="16"/>
          <w:szCs w:val="16"/>
          <w:rtl/>
        </w:rPr>
        <w:t xml:space="preserve"> ק"ח שהוא מדברי הרמב"ן ז"ל, ומביא עוד ראיות לדבריו ע"ש. ועוד ראיה לזה ממה שכתב המחבר לקמן סע</w:t>
      </w:r>
      <w:r w:rsidRPr="007A14C3">
        <w:rPr>
          <w:rFonts w:cs="Arial" w:hint="cs"/>
          <w:sz w:val="16"/>
          <w:szCs w:val="16"/>
          <w:rtl/>
        </w:rPr>
        <w:t xml:space="preserve">' </w:t>
      </w:r>
      <w:r w:rsidRPr="007A14C3">
        <w:rPr>
          <w:rFonts w:cs="Arial"/>
          <w:sz w:val="16"/>
          <w:szCs w:val="16"/>
          <w:rtl/>
        </w:rPr>
        <w:t>כ"ה</w:t>
      </w:r>
      <w:r>
        <w:rPr>
          <w:rFonts w:cs="Arial" w:hint="cs"/>
          <w:sz w:val="16"/>
          <w:szCs w:val="16"/>
          <w:rtl/>
        </w:rPr>
        <w:t>)</w:t>
      </w:r>
      <w:r>
        <w:rPr>
          <w:rFonts w:cs="Arial" w:hint="cs"/>
          <w:rtl/>
        </w:rPr>
        <w:t>], ש"ך (סקכ"ט).</w:t>
      </w:r>
    </w:p>
  </w:footnote>
  <w:footnote w:id="1543">
    <w:p w14:paraId="2E45B0B7" w14:textId="77777777" w:rsidR="0013116F" w:rsidRDefault="0013116F" w:rsidP="004B607F">
      <w:pPr>
        <w:pStyle w:val="a9"/>
        <w:rPr>
          <w:rtl/>
        </w:rPr>
      </w:pPr>
      <w:r>
        <w:rPr>
          <w:rStyle w:val="ab"/>
        </w:rPr>
        <w:footnoteRef/>
      </w:r>
      <w:r>
        <w:rPr>
          <w:rtl/>
        </w:rPr>
        <w:t xml:space="preserve"> </w:t>
      </w:r>
      <w:r w:rsidRPr="00BE0913">
        <w:rPr>
          <w:rFonts w:cs="Arial"/>
          <w:rtl/>
        </w:rPr>
        <w:t>עיין בטור [סע</w:t>
      </w:r>
      <w:r>
        <w:rPr>
          <w:rFonts w:cs="Arial" w:hint="cs"/>
          <w:rtl/>
        </w:rPr>
        <w:t>'</w:t>
      </w:r>
      <w:r w:rsidRPr="00BE0913">
        <w:rPr>
          <w:rFonts w:cs="Arial"/>
          <w:rtl/>
        </w:rPr>
        <w:t xml:space="preserve"> יט] ופרישה שמבואר שם שאפילו אם הוא ידוע שהקטן הוציא לפלוני בעבדיו בחזקה מהשדה או מהבית, מ</w:t>
      </w:r>
      <w:r>
        <w:rPr>
          <w:rFonts w:cs="Arial" w:hint="cs"/>
          <w:rtl/>
        </w:rPr>
        <w:t>"</w:t>
      </w:r>
      <w:r w:rsidRPr="00BE0913">
        <w:rPr>
          <w:rFonts w:cs="Arial"/>
          <w:rtl/>
        </w:rPr>
        <w:t>מ כיון שיש לו בו חזקת אבות אין מקבלין עדות של הדר בו שטוען שקנהו מאביו ושיש לו עדים שהחזיק בו ג' שנים, אלא ימתין עד שיגדיל. והיינו דוקא אם הקטן כבר הוציאו וזה שהוציא מידו בא לתובעו. אבל אם הקטן בא להוציאו בדין אין שומעין לו להקטן, אלא מעמידין לו אפוטרופוס ומקבלין עדותו של זה הדר בו בפניו ודנין ביניהן, או ממתין עד שיגדל ואז תובע לזה שדר בו. ועיין לקמן סימן קמ"ט סעיף כ' מזה, ועוד בסימן ק"י סעיף ט' דבקטן בדבר ברור מקבלין, וכן בצואה</w:t>
      </w:r>
      <w:r>
        <w:rPr>
          <w:rFonts w:hint="cs"/>
          <w:rtl/>
        </w:rPr>
        <w:t>, סמ"ע (סקנ"ז).</w:t>
      </w:r>
      <w:r w:rsidRPr="00BE0913">
        <w:rPr>
          <w:rFonts w:cs="Arial"/>
          <w:rtl/>
        </w:rPr>
        <w:t xml:space="preserve"> ועיין לקמן </w:t>
      </w:r>
      <w:r>
        <w:rPr>
          <w:rFonts w:cs="Arial" w:hint="cs"/>
          <w:rtl/>
        </w:rPr>
        <w:t>ב</w:t>
      </w:r>
      <w:r w:rsidRPr="00BE0913">
        <w:rPr>
          <w:rFonts w:cs="Arial"/>
          <w:rtl/>
        </w:rPr>
        <w:t>סמ"ע סימן ק"י סקי"ד</w:t>
      </w:r>
      <w:r>
        <w:rPr>
          <w:rFonts w:cs="Arial" w:hint="cs"/>
          <w:rtl/>
        </w:rPr>
        <w:t>,</w:t>
      </w:r>
      <w:r w:rsidRPr="00BE0913">
        <w:rPr>
          <w:rFonts w:cs="Arial"/>
          <w:rtl/>
        </w:rPr>
        <w:t xml:space="preserve"> ומה שכתבתי שם סקט"ו</w:t>
      </w:r>
      <w:r>
        <w:rPr>
          <w:rFonts w:cs="Arial" w:hint="cs"/>
          <w:rtl/>
        </w:rPr>
        <w:t>, ש"ך (סק"ל).</w:t>
      </w:r>
    </w:p>
  </w:footnote>
  <w:footnote w:id="1544">
    <w:p w14:paraId="42991BCC" w14:textId="77777777" w:rsidR="0013116F" w:rsidRDefault="0013116F" w:rsidP="004B607F">
      <w:pPr>
        <w:pStyle w:val="a9"/>
        <w:rPr>
          <w:rtl/>
        </w:rPr>
      </w:pPr>
      <w:r>
        <w:rPr>
          <w:rStyle w:val="ab"/>
        </w:rPr>
        <w:footnoteRef/>
      </w:r>
      <w:r>
        <w:rPr>
          <w:rtl/>
        </w:rPr>
        <w:t xml:space="preserve"> </w:t>
      </w:r>
      <w:r>
        <w:rPr>
          <w:rFonts w:hint="cs"/>
          <w:rtl/>
        </w:rPr>
        <w:t>וכ"כ ה</w:t>
      </w:r>
      <w:r w:rsidRPr="00EB4441">
        <w:rPr>
          <w:rFonts w:cs="Arial"/>
          <w:rtl/>
        </w:rPr>
        <w:t xml:space="preserve">מרדכי </w:t>
      </w:r>
      <w:r w:rsidRPr="006D7298">
        <w:rPr>
          <w:rFonts w:cs="Arial" w:hint="cs"/>
          <w:sz w:val="16"/>
          <w:szCs w:val="16"/>
          <w:rtl/>
        </w:rPr>
        <w:t>(</w:t>
      </w:r>
      <w:r w:rsidRPr="006D7298">
        <w:rPr>
          <w:rFonts w:cs="Arial"/>
          <w:sz w:val="16"/>
          <w:szCs w:val="16"/>
          <w:rtl/>
        </w:rPr>
        <w:t>פרק בתרא דב</w:t>
      </w:r>
      <w:r w:rsidRPr="006D7298">
        <w:rPr>
          <w:rFonts w:cs="Arial" w:hint="cs"/>
          <w:sz w:val="16"/>
          <w:szCs w:val="16"/>
          <w:rtl/>
        </w:rPr>
        <w:t>ב"ק</w:t>
      </w:r>
      <w:r w:rsidRPr="006D7298">
        <w:rPr>
          <w:rFonts w:cs="Arial"/>
          <w:sz w:val="16"/>
          <w:szCs w:val="16"/>
          <w:rtl/>
        </w:rPr>
        <w:t xml:space="preserve"> סי' קמז)</w:t>
      </w:r>
      <w:r>
        <w:rPr>
          <w:rFonts w:cs="Arial" w:hint="cs"/>
          <w:rtl/>
        </w:rPr>
        <w:t>- ד</w:t>
      </w:r>
      <w:r w:rsidRPr="00EB4441">
        <w:rPr>
          <w:rFonts w:cs="Arial"/>
          <w:rtl/>
        </w:rPr>
        <w:t>כל קבלת עדות בפני שלשה שלא יהא עד מפי עד</w:t>
      </w:r>
      <w:r>
        <w:rPr>
          <w:rFonts w:cs="Arial" w:hint="cs"/>
          <w:rtl/>
        </w:rPr>
        <w:t>. עכ"ל.</w:t>
      </w:r>
    </w:p>
  </w:footnote>
  <w:footnote w:id="1545">
    <w:p w14:paraId="06CC273F" w14:textId="77777777" w:rsidR="0013116F" w:rsidRDefault="0013116F" w:rsidP="004B607F">
      <w:pPr>
        <w:pStyle w:val="a9"/>
      </w:pPr>
      <w:r>
        <w:rPr>
          <w:rStyle w:val="ab"/>
        </w:rPr>
        <w:footnoteRef/>
      </w:r>
      <w:r>
        <w:rPr>
          <w:rtl/>
        </w:rPr>
        <w:t xml:space="preserve"> </w:t>
      </w:r>
      <w:r w:rsidRPr="001E3B86">
        <w:rPr>
          <w:rFonts w:cs="Arial"/>
          <w:rtl/>
        </w:rPr>
        <w:t>דהו"ל כעד מפי עד</w:t>
      </w:r>
      <w:r>
        <w:rPr>
          <w:rFonts w:cs="Arial" w:hint="cs"/>
          <w:rtl/>
        </w:rPr>
        <w:t>, סמ"ע (סקנ"ח).</w:t>
      </w:r>
    </w:p>
  </w:footnote>
  <w:footnote w:id="1546">
    <w:p w14:paraId="610A4FF6" w14:textId="77777777" w:rsidR="0013116F" w:rsidRDefault="0013116F" w:rsidP="004B607F">
      <w:pPr>
        <w:pStyle w:val="a9"/>
        <w:rPr>
          <w:rtl/>
        </w:rPr>
      </w:pPr>
      <w:r>
        <w:rPr>
          <w:rStyle w:val="ab"/>
        </w:rPr>
        <w:footnoteRef/>
      </w:r>
      <w:r>
        <w:rPr>
          <w:rtl/>
        </w:rPr>
        <w:t xml:space="preserve"> </w:t>
      </w:r>
      <w:r w:rsidRPr="005A5D3E">
        <w:rPr>
          <w:rFonts w:cs="Arial"/>
          <w:rtl/>
        </w:rPr>
        <w:t>פירוש, כשאינם דנים על פי העדות שהעידו לפניהן אלא מקבלין עדותן ושולחין העדות לב"ד אחר לדון עליו, וכמ"ש לפני זה בסעיף י"ז. ולקמן בסימן מ"ו יתבאר הדין כן בדין עדי הקיום ע"ש, וסיים שם בטעמא כיון דבית דין בתר בית דין לא דייקי. ועיין לעיל סימן י"ט [סק"ב] מה שכתבתי מזה</w:t>
      </w:r>
      <w:r>
        <w:rPr>
          <w:rFonts w:hint="cs"/>
          <w:rtl/>
        </w:rPr>
        <w:t>, סמ"ע (סקנ"ט).</w:t>
      </w:r>
    </w:p>
  </w:footnote>
  <w:footnote w:id="1547">
    <w:p w14:paraId="63AA736C" w14:textId="77777777" w:rsidR="0013116F" w:rsidRDefault="0013116F" w:rsidP="004B607F">
      <w:pPr>
        <w:pStyle w:val="a9"/>
      </w:pPr>
      <w:r>
        <w:rPr>
          <w:rStyle w:val="ab"/>
        </w:rPr>
        <w:footnoteRef/>
      </w:r>
      <w:r>
        <w:rPr>
          <w:rtl/>
        </w:rPr>
        <w:t xml:space="preserve"> </w:t>
      </w:r>
      <w:r w:rsidRPr="005A5D3E">
        <w:rPr>
          <w:rFonts w:cs="Arial"/>
          <w:rtl/>
        </w:rPr>
        <w:t>ומפורש שם בתשובה [להרשב"א], שהסופר צריך לכתוב בשטר שיודע שנמסרה העדות בתחילה לו עם עוד אחר ששמו פב"פ ושאותו פלוני נפטר לעולמו, ושהוא כתב וחתם השטר לבדו אחר פטירת העד חבירו כתקנת הקהל, ע"ש</w:t>
      </w:r>
      <w:r>
        <w:rPr>
          <w:rFonts w:cs="Arial" w:hint="cs"/>
          <w:rtl/>
        </w:rPr>
        <w:t>, סמ"ע (סעיף קטן ס).</w:t>
      </w:r>
    </w:p>
  </w:footnote>
  <w:footnote w:id="1548">
    <w:p w14:paraId="1D1AD505" w14:textId="77777777" w:rsidR="0013116F" w:rsidRDefault="0013116F" w:rsidP="004B607F">
      <w:pPr>
        <w:pStyle w:val="a9"/>
      </w:pPr>
      <w:r>
        <w:rPr>
          <w:rStyle w:val="ab"/>
        </w:rPr>
        <w:footnoteRef/>
      </w:r>
      <w:r>
        <w:rPr>
          <w:rtl/>
        </w:rPr>
        <w:t xml:space="preserve"> </w:t>
      </w:r>
      <w:r w:rsidRPr="00624454">
        <w:rPr>
          <w:rFonts w:cs="Arial"/>
          <w:rtl/>
        </w:rPr>
        <w:t>שאמר בעל דין בפנינו: יש לי שתי כיתי עדים בדבר זה, הביא כת ראשונה, ועמד הלוה ואחר ואמר: פסולין הן, דהשתא לאו כנוגע בעדות הוא שהרי אמר מלוה שיש לו כת אחרת, ואם ביקש ולא מצא - יפסיד, דקסבר ר' מאיר צריך בעל דין לברר ולהעמיד על האמת כל דבריו שטוען בבית דין, והני מיפסלי אף לעדיות אחרות, ואם ביקש ומצא כת אחרת כשירה, אע</w:t>
      </w:r>
      <w:r>
        <w:rPr>
          <w:rFonts w:cs="Arial" w:hint="cs"/>
          <w:rtl/>
        </w:rPr>
        <w:t>"</w:t>
      </w:r>
      <w:r w:rsidRPr="00624454">
        <w:rPr>
          <w:rFonts w:cs="Arial"/>
          <w:rtl/>
        </w:rPr>
        <w:t>פ שראשונה נפסלה הרי בירר דבריו שאמר להביאם והביא, והוא לא דק דסבור שכשרים היו</w:t>
      </w:r>
      <w:r>
        <w:rPr>
          <w:rFonts w:cs="Arial" w:hint="cs"/>
          <w:rtl/>
        </w:rPr>
        <w:t>, רש"י.</w:t>
      </w:r>
    </w:p>
  </w:footnote>
  <w:footnote w:id="1549">
    <w:p w14:paraId="296AF20A" w14:textId="77777777" w:rsidR="0013116F" w:rsidRDefault="0013116F" w:rsidP="004B607F">
      <w:pPr>
        <w:pStyle w:val="a9"/>
      </w:pPr>
      <w:r>
        <w:rPr>
          <w:rStyle w:val="ab"/>
        </w:rPr>
        <w:footnoteRef/>
      </w:r>
      <w:r>
        <w:rPr>
          <w:rtl/>
        </w:rPr>
        <w:t xml:space="preserve"> </w:t>
      </w:r>
      <w:r w:rsidRPr="00624454">
        <w:rPr>
          <w:rFonts w:cs="Arial"/>
          <w:rtl/>
        </w:rPr>
        <w:t>ויכול לומר: אין לי עוד, ונמצא זה נוגע בעדותו הוא, ולא מיפסלי אפילו בעדות זו</w:t>
      </w:r>
      <w:r>
        <w:rPr>
          <w:rFonts w:cs="Arial" w:hint="cs"/>
          <w:rtl/>
        </w:rPr>
        <w:t>, רש"י</w:t>
      </w:r>
      <w:r w:rsidRPr="00624454">
        <w:rPr>
          <w:rFonts w:cs="Arial"/>
          <w:rtl/>
        </w:rPr>
        <w:t>.</w:t>
      </w:r>
    </w:p>
  </w:footnote>
  <w:footnote w:id="1550">
    <w:p w14:paraId="06D43F94" w14:textId="77777777" w:rsidR="0013116F" w:rsidRDefault="0013116F" w:rsidP="004B607F">
      <w:pPr>
        <w:pStyle w:val="a9"/>
        <w:rPr>
          <w:rtl/>
        </w:rPr>
      </w:pPr>
      <w:r>
        <w:rPr>
          <w:rStyle w:val="ab"/>
        </w:rPr>
        <w:footnoteRef/>
      </w:r>
      <w:r>
        <w:rPr>
          <w:rtl/>
        </w:rPr>
        <w:t xml:space="preserve"> </w:t>
      </w:r>
      <w:r w:rsidRPr="00254C2E">
        <w:rPr>
          <w:rFonts w:cs="Arial"/>
          <w:rtl/>
        </w:rPr>
        <w:t>ואף שהביא כת אחת אינו מועיל</w:t>
      </w:r>
      <w:r>
        <w:rPr>
          <w:rFonts w:cs="Arial" w:hint="cs"/>
          <w:rtl/>
        </w:rPr>
        <w:t>, תומים (סי' צב סק"א ד"ה והנה עוד בדרך)</w:t>
      </w:r>
      <w:r>
        <w:rPr>
          <w:rFonts w:hint="cs"/>
          <w:rtl/>
        </w:rPr>
        <w:t>.</w:t>
      </w:r>
    </w:p>
  </w:footnote>
  <w:footnote w:id="1551">
    <w:p w14:paraId="1797D15B" w14:textId="77777777" w:rsidR="0013116F" w:rsidRDefault="0013116F" w:rsidP="004B607F">
      <w:pPr>
        <w:pStyle w:val="a9"/>
        <w:rPr>
          <w:rtl/>
        </w:rPr>
      </w:pPr>
      <w:r>
        <w:rPr>
          <w:rStyle w:val="ab"/>
        </w:rPr>
        <w:footnoteRef/>
      </w:r>
      <w:r>
        <w:rPr>
          <w:rtl/>
        </w:rPr>
        <w:t xml:space="preserve"> </w:t>
      </w:r>
      <w:r w:rsidRPr="00425AE0">
        <w:rPr>
          <w:rFonts w:cs="Arial"/>
          <w:rtl/>
        </w:rPr>
        <w:t xml:space="preserve">ועיין בתוספות הגוזל </w:t>
      </w:r>
      <w:r w:rsidRPr="00425AE0">
        <w:rPr>
          <w:rFonts w:cs="Arial"/>
          <w:sz w:val="16"/>
          <w:szCs w:val="16"/>
          <w:rtl/>
        </w:rPr>
        <w:t>(צח: ד"ה נכתוב)</w:t>
      </w:r>
      <w:r w:rsidRPr="00425AE0">
        <w:rPr>
          <w:rFonts w:cs="Arial"/>
          <w:rtl/>
        </w:rPr>
        <w:t xml:space="preserve"> ובפסקי תוספות פרק ב' דכתובות </w:t>
      </w:r>
      <w:r w:rsidRPr="00425AE0">
        <w:rPr>
          <w:rFonts w:cs="Arial"/>
          <w:sz w:val="16"/>
          <w:szCs w:val="16"/>
          <w:rtl/>
        </w:rPr>
        <w:t>(סי' עו)</w:t>
      </w:r>
      <w:r>
        <w:rPr>
          <w:rFonts w:hint="cs"/>
          <w:rtl/>
        </w:rPr>
        <w:t>.</w:t>
      </w:r>
    </w:p>
  </w:footnote>
  <w:footnote w:id="1552">
    <w:p w14:paraId="36475990" w14:textId="77777777" w:rsidR="0013116F" w:rsidRDefault="0013116F" w:rsidP="004B607F">
      <w:pPr>
        <w:pStyle w:val="a9"/>
      </w:pPr>
      <w:r>
        <w:rPr>
          <w:rStyle w:val="ab"/>
        </w:rPr>
        <w:footnoteRef/>
      </w:r>
      <w:r>
        <w:rPr>
          <w:rtl/>
        </w:rPr>
        <w:t xml:space="preserve"> </w:t>
      </w:r>
      <w:r w:rsidRPr="00FB3387">
        <w:rPr>
          <w:rFonts w:cs="Arial"/>
          <w:rtl/>
        </w:rPr>
        <w:t>דין הנוטל שכר להעיד עדותו בטלה עיין במישרים נתיב ב' ח"ז (יד.) ובסוף פ"ב דקדושין בהר"ן (כג. ד"ה ומדתנן)</w:t>
      </w:r>
      <w:r>
        <w:rPr>
          <w:rFonts w:cs="Arial" w:hint="cs"/>
          <w:rtl/>
        </w:rPr>
        <w:t>, ב"י.</w:t>
      </w:r>
    </w:p>
  </w:footnote>
  <w:footnote w:id="1553">
    <w:p w14:paraId="6A43CA6B" w14:textId="77777777" w:rsidR="0013116F" w:rsidRDefault="0013116F" w:rsidP="004B607F">
      <w:pPr>
        <w:pStyle w:val="a9"/>
        <w:rPr>
          <w:rtl/>
        </w:rPr>
      </w:pPr>
      <w:r>
        <w:rPr>
          <w:rStyle w:val="ab"/>
        </w:rPr>
        <w:footnoteRef/>
      </w:r>
      <w:r>
        <w:rPr>
          <w:rtl/>
        </w:rPr>
        <w:t xml:space="preserve"> </w:t>
      </w:r>
      <w:r w:rsidRPr="00B059B0">
        <w:rPr>
          <w:rFonts w:cs="Arial"/>
          <w:rtl/>
        </w:rPr>
        <w:t>ו</w:t>
      </w:r>
      <w:r>
        <w:rPr>
          <w:rFonts w:cs="Arial" w:hint="cs"/>
          <w:rtl/>
        </w:rPr>
        <w:t>כתב הב"י ל</w:t>
      </w:r>
      <w:r w:rsidRPr="00B059B0">
        <w:rPr>
          <w:rFonts w:cs="Arial"/>
          <w:rtl/>
        </w:rPr>
        <w:t xml:space="preserve">עיין בסמ"ג </w:t>
      </w:r>
      <w:r w:rsidRPr="00B059B0">
        <w:rPr>
          <w:rFonts w:cs="Arial"/>
          <w:sz w:val="16"/>
          <w:szCs w:val="16"/>
          <w:rtl/>
        </w:rPr>
        <w:t>(עשין צז)</w:t>
      </w:r>
      <w:r w:rsidRPr="00B059B0">
        <w:rPr>
          <w:rFonts w:cs="Arial" w:hint="cs"/>
          <w:rtl/>
        </w:rPr>
        <w:t>.</w:t>
      </w:r>
      <w:r>
        <w:rPr>
          <w:rFonts w:cs="Arial" w:hint="cs"/>
          <w:rtl/>
        </w:rPr>
        <w:t xml:space="preserve"> עכ"ד הב"י. ושם כתב הסמ"ג וז"ל- </w:t>
      </w:r>
      <w:r w:rsidRPr="00425AE0">
        <w:rPr>
          <w:rFonts w:cs="Arial"/>
          <w:rtl/>
        </w:rPr>
        <w:t>אין מקבלין עדות ואין מקיימין שטרות בלילה מפני שהוא תחילת דין (ע"פ רמב"ם ה"ד). וגרסינן בירושלמי (סנהדרין דף כב</w:t>
      </w:r>
      <w:r>
        <w:rPr>
          <w:rFonts w:cs="Arial" w:hint="cs"/>
          <w:rtl/>
        </w:rPr>
        <w:t>.</w:t>
      </w:r>
      <w:r w:rsidRPr="00425AE0">
        <w:rPr>
          <w:rFonts w:cs="Arial"/>
          <w:rtl/>
        </w:rPr>
        <w:t xml:space="preserve">) מנין לדיינין שטעו ודנו בלילה שדיניהם דין </w:t>
      </w:r>
      <w:r>
        <w:rPr>
          <w:rFonts w:cs="Arial" w:hint="cs"/>
          <w:rtl/>
        </w:rPr>
        <w:t xml:space="preserve">- </w:t>
      </w:r>
      <w:r w:rsidRPr="00425AE0">
        <w:rPr>
          <w:rFonts w:cs="Arial"/>
          <w:rtl/>
        </w:rPr>
        <w:t>תלמוד לומר ושפטו את העם בכל עת. תניא בפרק יש נוחלין (ב"ב קיג</w:t>
      </w:r>
      <w:r>
        <w:rPr>
          <w:rFonts w:cs="Arial" w:hint="cs"/>
          <w:rtl/>
        </w:rPr>
        <w:t>:</w:t>
      </w:r>
      <w:r w:rsidRPr="00425AE0">
        <w:rPr>
          <w:rFonts w:cs="Arial"/>
          <w:rtl/>
        </w:rPr>
        <w:t>) והיתה לבני ישראל לחקת משפט</w:t>
      </w:r>
      <w:r>
        <w:rPr>
          <w:rFonts w:cs="Arial" w:hint="cs"/>
          <w:rtl/>
        </w:rPr>
        <w:t>,</w:t>
      </w:r>
      <w:r w:rsidRPr="00425AE0">
        <w:rPr>
          <w:rFonts w:cs="Arial"/>
          <w:rtl/>
        </w:rPr>
        <w:t xml:space="preserve"> אורעה כל הפרשה כולה להיות דין</w:t>
      </w:r>
      <w:r>
        <w:rPr>
          <w:rFonts w:cs="Arial" w:hint="cs"/>
          <w:rtl/>
        </w:rPr>
        <w:t>,</w:t>
      </w:r>
      <w:r w:rsidRPr="00425AE0">
        <w:rPr>
          <w:rFonts w:cs="Arial"/>
          <w:rtl/>
        </w:rPr>
        <w:t xml:space="preserve"> וכתיב והיה ביום הנחילו את בניו</w:t>
      </w:r>
      <w:r>
        <w:rPr>
          <w:rFonts w:cs="Arial" w:hint="cs"/>
          <w:rtl/>
        </w:rPr>
        <w:t>,</w:t>
      </w:r>
      <w:r w:rsidRPr="00425AE0">
        <w:rPr>
          <w:rFonts w:cs="Arial"/>
          <w:rtl/>
        </w:rPr>
        <w:t xml:space="preserve"> לומר לך </w:t>
      </w:r>
      <w:r>
        <w:rPr>
          <w:rFonts w:cs="Arial" w:hint="cs"/>
          <w:rtl/>
        </w:rPr>
        <w:t xml:space="preserve">- </w:t>
      </w:r>
      <w:r w:rsidRPr="00425AE0">
        <w:rPr>
          <w:rFonts w:cs="Arial"/>
          <w:rtl/>
        </w:rPr>
        <w:t>ביום אתה מפיל משפט נחלות ולא בלילה</w:t>
      </w:r>
      <w:r>
        <w:rPr>
          <w:rFonts w:cs="Arial" w:hint="cs"/>
          <w:rtl/>
        </w:rPr>
        <w:t>,</w:t>
      </w:r>
      <w:r w:rsidRPr="00425AE0">
        <w:rPr>
          <w:rFonts w:cs="Arial"/>
          <w:rtl/>
        </w:rPr>
        <w:t xml:space="preserve"> כדרב יהודה אמר רב דאמר שלשה שנכנסו לבקר את החולה רצו כותבין רצו עושין דין</w:t>
      </w:r>
      <w:r>
        <w:rPr>
          <w:rFonts w:cs="Arial" w:hint="cs"/>
          <w:rtl/>
        </w:rPr>
        <w:t>.</w:t>
      </w:r>
      <w:r w:rsidRPr="00425AE0">
        <w:rPr>
          <w:rFonts w:cs="Arial"/>
          <w:rtl/>
        </w:rPr>
        <w:t xml:space="preserve"> שנים כותבין ואין עושין דין</w:t>
      </w:r>
      <w:r>
        <w:rPr>
          <w:rFonts w:cs="Arial" w:hint="cs"/>
          <w:rtl/>
        </w:rPr>
        <w:t>.</w:t>
      </w:r>
      <w:r w:rsidRPr="00425AE0">
        <w:rPr>
          <w:rFonts w:cs="Arial"/>
          <w:rtl/>
        </w:rPr>
        <w:t xml:space="preserve"> ואמר רב חסדא לא שנו אלא ביום</w:t>
      </w:r>
      <w:r>
        <w:rPr>
          <w:rFonts w:cs="Arial" w:hint="cs"/>
          <w:rtl/>
        </w:rPr>
        <w:t>,</w:t>
      </w:r>
      <w:r w:rsidRPr="00425AE0">
        <w:rPr>
          <w:rFonts w:cs="Arial"/>
          <w:rtl/>
        </w:rPr>
        <w:t xml:space="preserve"> אבל בלילה כותבין ואין עושין דין</w:t>
      </w:r>
      <w:r>
        <w:rPr>
          <w:rFonts w:cs="Arial" w:hint="cs"/>
          <w:rtl/>
        </w:rPr>
        <w:t>,</w:t>
      </w:r>
      <w:r w:rsidRPr="00425AE0">
        <w:rPr>
          <w:rFonts w:cs="Arial"/>
          <w:rtl/>
        </w:rPr>
        <w:t xml:space="preserve"> דהוו להו עדים ואין עד נעשה דיין</w:t>
      </w:r>
      <w:r>
        <w:rPr>
          <w:rFonts w:cs="Arial" w:hint="cs"/>
          <w:rtl/>
        </w:rPr>
        <w:t>.</w:t>
      </w:r>
    </w:p>
  </w:footnote>
  <w:footnote w:id="1554">
    <w:p w14:paraId="45B9544C" w14:textId="77777777" w:rsidR="0013116F" w:rsidRDefault="0013116F" w:rsidP="004B607F">
      <w:pPr>
        <w:pStyle w:val="a9"/>
      </w:pPr>
      <w:r>
        <w:rPr>
          <w:rStyle w:val="ab"/>
        </w:rPr>
        <w:footnoteRef/>
      </w:r>
      <w:r>
        <w:rPr>
          <w:rtl/>
        </w:rPr>
        <w:t xml:space="preserve"> </w:t>
      </w:r>
      <w:r w:rsidRPr="0040787F">
        <w:rPr>
          <w:rFonts w:cs="Arial"/>
          <w:rtl/>
        </w:rPr>
        <w:t>וה"ה בכת אחר כת והוכחשו. ועיין לקמן סימן ל"א בסופו</w:t>
      </w:r>
      <w:r>
        <w:rPr>
          <w:rFonts w:cs="Arial" w:hint="cs"/>
          <w:rtl/>
        </w:rPr>
        <w:t>, סמ"ע (ס"ק סא).</w:t>
      </w:r>
    </w:p>
  </w:footnote>
  <w:footnote w:id="1555">
    <w:p w14:paraId="71E3B0E3" w14:textId="77777777" w:rsidR="0013116F" w:rsidRDefault="0013116F" w:rsidP="004B607F">
      <w:pPr>
        <w:pStyle w:val="a9"/>
        <w:rPr>
          <w:rtl/>
        </w:rPr>
      </w:pPr>
      <w:r>
        <w:rPr>
          <w:rStyle w:val="ab"/>
        </w:rPr>
        <w:footnoteRef/>
      </w:r>
      <w:r>
        <w:rPr>
          <w:rtl/>
        </w:rPr>
        <w:t xml:space="preserve"> </w:t>
      </w:r>
      <w:r w:rsidRPr="0040787F">
        <w:rPr>
          <w:rFonts w:cs="Arial"/>
          <w:rtl/>
        </w:rPr>
        <w:t>משום דה</w:t>
      </w:r>
      <w:r>
        <w:rPr>
          <w:rFonts w:cs="Arial" w:hint="cs"/>
          <w:rtl/>
        </w:rPr>
        <w:t>"</w:t>
      </w:r>
      <w:r w:rsidRPr="0040787F">
        <w:rPr>
          <w:rFonts w:cs="Arial"/>
          <w:rtl/>
        </w:rPr>
        <w:t>ל כדין. וגם בדין אם קיבלו הבעלי דין עליהם לדון בלילה מותר לדונם בלילה וכמ</w:t>
      </w:r>
      <w:r>
        <w:rPr>
          <w:rFonts w:cs="Arial" w:hint="cs"/>
          <w:rtl/>
        </w:rPr>
        <w:t>"</w:t>
      </w:r>
      <w:r w:rsidRPr="0040787F">
        <w:rPr>
          <w:rFonts w:cs="Arial"/>
          <w:rtl/>
        </w:rPr>
        <w:t>ש לעיל בסי</w:t>
      </w:r>
      <w:r>
        <w:rPr>
          <w:rFonts w:cs="Arial" w:hint="cs"/>
          <w:rtl/>
        </w:rPr>
        <w:t>'</w:t>
      </w:r>
      <w:r w:rsidRPr="0040787F">
        <w:rPr>
          <w:rFonts w:cs="Arial"/>
          <w:rtl/>
        </w:rPr>
        <w:t xml:space="preserve"> ה סק"ז</w:t>
      </w:r>
      <w:r>
        <w:rPr>
          <w:rFonts w:hint="cs"/>
          <w:rtl/>
        </w:rPr>
        <w:t>, סמ"ע</w:t>
      </w:r>
      <w:r w:rsidRPr="0040787F">
        <w:rPr>
          <w:rFonts w:hint="cs"/>
          <w:sz w:val="16"/>
          <w:szCs w:val="16"/>
          <w:rtl/>
        </w:rPr>
        <w:t xml:space="preserve"> (ס"ק סב)</w:t>
      </w:r>
      <w:r>
        <w:rPr>
          <w:rFonts w:hint="cs"/>
          <w:rtl/>
        </w:rPr>
        <w:t>.</w:t>
      </w:r>
    </w:p>
  </w:footnote>
  <w:footnote w:id="1556">
    <w:p w14:paraId="4705E708" w14:textId="77777777" w:rsidR="0013116F" w:rsidRDefault="0013116F" w:rsidP="004B607F">
      <w:pPr>
        <w:pStyle w:val="a9"/>
      </w:pPr>
      <w:r>
        <w:rPr>
          <w:rStyle w:val="ab"/>
        </w:rPr>
        <w:footnoteRef/>
      </w:r>
      <w:r>
        <w:rPr>
          <w:rtl/>
        </w:rPr>
        <w:t xml:space="preserve"> </w:t>
      </w:r>
      <w:r w:rsidRPr="0040787F">
        <w:rPr>
          <w:rFonts w:cs="Arial"/>
          <w:rtl/>
        </w:rPr>
        <w:t>ולא דמי למ"ש מור"ם בהג"ה לעיל בסימן ה' סוף סעיף ב' דיש אומרים דאם דנו בלילה דדיניהם דין. דהתם הו"ל דיעבד ממש, משא"כ הכא דרוצים לדון על העדות לכתחילה לא מיקרי דיעבד ממש</w:t>
      </w:r>
      <w:r>
        <w:rPr>
          <w:rFonts w:cs="Arial" w:hint="cs"/>
          <w:rtl/>
        </w:rPr>
        <w:t>..., סמ"ע (ס"ק סג).</w:t>
      </w:r>
    </w:p>
  </w:footnote>
  <w:footnote w:id="1557">
    <w:p w14:paraId="487CED68" w14:textId="77777777" w:rsidR="0013116F" w:rsidRDefault="0013116F" w:rsidP="004B607F">
      <w:pPr>
        <w:pStyle w:val="a9"/>
        <w:rPr>
          <w:rtl/>
        </w:rPr>
      </w:pPr>
      <w:r>
        <w:rPr>
          <w:rStyle w:val="ab"/>
        </w:rPr>
        <w:footnoteRef/>
      </w:r>
      <w:r>
        <w:rPr>
          <w:rtl/>
        </w:rPr>
        <w:t xml:space="preserve"> </w:t>
      </w:r>
      <w:r w:rsidRPr="0040787F">
        <w:rPr>
          <w:rFonts w:cs="Arial"/>
          <w:rtl/>
        </w:rPr>
        <w:t>ויכולין העדים לחזור בהן, כ"כ בשלט</w:t>
      </w:r>
      <w:r>
        <w:rPr>
          <w:rFonts w:cs="Arial" w:hint="cs"/>
          <w:rtl/>
        </w:rPr>
        <w:t>"</w:t>
      </w:r>
      <w:r w:rsidRPr="0040787F">
        <w:rPr>
          <w:rFonts w:cs="Arial"/>
          <w:rtl/>
        </w:rPr>
        <w:t xml:space="preserve">ג </w:t>
      </w:r>
      <w:r>
        <w:rPr>
          <w:rFonts w:cs="Arial" w:hint="cs"/>
          <w:rtl/>
        </w:rPr>
        <w:t>(</w:t>
      </w:r>
      <w:r w:rsidRPr="0040787F">
        <w:rPr>
          <w:rFonts w:cs="Arial"/>
          <w:rtl/>
        </w:rPr>
        <w:t>פ"ק דסנהדרין</w:t>
      </w:r>
      <w:r>
        <w:rPr>
          <w:rFonts w:cs="Arial" w:hint="cs"/>
          <w:rtl/>
        </w:rPr>
        <w:t xml:space="preserve"> </w:t>
      </w:r>
      <w:r w:rsidRPr="0040787F">
        <w:rPr>
          <w:rFonts w:cs="Arial"/>
          <w:rtl/>
        </w:rPr>
        <w:t>ב</w:t>
      </w:r>
      <w:r>
        <w:rPr>
          <w:rFonts w:cs="Arial" w:hint="cs"/>
          <w:rtl/>
        </w:rPr>
        <w:t>.</w:t>
      </w:r>
      <w:r w:rsidRPr="0040787F">
        <w:rPr>
          <w:rFonts w:cs="Arial"/>
          <w:rtl/>
        </w:rPr>
        <w:t xml:space="preserve"> מדפ</w:t>
      </w:r>
      <w:r>
        <w:rPr>
          <w:rFonts w:cs="Arial" w:hint="cs"/>
          <w:rtl/>
        </w:rPr>
        <w:t>ה"ר)</w:t>
      </w:r>
      <w:r w:rsidRPr="0040787F">
        <w:rPr>
          <w:rFonts w:cs="Arial"/>
          <w:rtl/>
        </w:rPr>
        <w:t xml:space="preserve"> וכן עיקר, ודלא כהב"ח [סעיף כ"ב]</w:t>
      </w:r>
      <w:r>
        <w:rPr>
          <w:rFonts w:hint="cs"/>
          <w:rtl/>
        </w:rPr>
        <w:t>, ש"ך (סקל"א).</w:t>
      </w:r>
    </w:p>
  </w:footnote>
  <w:footnote w:id="1558">
    <w:p w14:paraId="7BAC7DE7" w14:textId="77777777" w:rsidR="0013116F" w:rsidRDefault="0013116F" w:rsidP="004B607F">
      <w:pPr>
        <w:pStyle w:val="a9"/>
      </w:pPr>
      <w:r>
        <w:rPr>
          <w:rStyle w:val="ab"/>
        </w:rPr>
        <w:footnoteRef/>
      </w:r>
      <w:r>
        <w:rPr>
          <w:rtl/>
        </w:rPr>
        <w:t xml:space="preserve"> </w:t>
      </w:r>
      <w:r>
        <w:rPr>
          <w:rFonts w:cs="Arial" w:hint="cs"/>
          <w:rtl/>
        </w:rPr>
        <w:t>ו</w:t>
      </w:r>
      <w:r w:rsidRPr="00512D85">
        <w:rPr>
          <w:rFonts w:cs="Arial"/>
          <w:rtl/>
        </w:rPr>
        <w:t>בסימן י"ז סעיף א' כתב מור"ם בהג"ה דעמידה ע"י סמיכה כזה הו"ל עמידה לענין עדים ובע"ד שצריכים לעמוד. וכתבתי שם סק"ו דהיינו טעמא, כיון דקרא אסמכתא בעלמא הוא אזלינן בתרווייהו לקולא. גם כתבתי שם דנראה, אם תרווייהו כחדא דהיינו שהעדים או הבעלי דינים נסמכין, וגם הדיינים הפוסקים אותו הדין נסמכין, דאינו מותר לכתחילה, דממ"נ אי מחשב ישיבה גבי דיינים לא מחשב עמידה לגבי עדים</w:t>
      </w:r>
      <w:r>
        <w:rPr>
          <w:rFonts w:cs="Arial" w:hint="cs"/>
          <w:rtl/>
        </w:rPr>
        <w:t xml:space="preserve">, סמ"ע (ס"ק סד). </w:t>
      </w:r>
      <w:r w:rsidRPr="00512D85">
        <w:rPr>
          <w:rFonts w:cs="Arial"/>
          <w:rtl/>
        </w:rPr>
        <w:t>והב"ח חולק שם [בסוף סעיף כ"ב] על זה, ועיין שם</w:t>
      </w:r>
      <w:r>
        <w:rPr>
          <w:rFonts w:cs="Arial" w:hint="cs"/>
          <w:rtl/>
        </w:rPr>
        <w:t>.</w:t>
      </w:r>
    </w:p>
  </w:footnote>
  <w:footnote w:id="1559">
    <w:p w14:paraId="2366FFEE" w14:textId="77777777" w:rsidR="0013116F" w:rsidRDefault="0013116F" w:rsidP="004B607F">
      <w:pPr>
        <w:pStyle w:val="a9"/>
        <w:rPr>
          <w:rtl/>
        </w:rPr>
      </w:pPr>
      <w:r>
        <w:rPr>
          <w:rStyle w:val="ab"/>
        </w:rPr>
        <w:footnoteRef/>
      </w:r>
      <w:r>
        <w:rPr>
          <w:rtl/>
        </w:rPr>
        <w:t xml:space="preserve"> </w:t>
      </w:r>
      <w:r>
        <w:rPr>
          <w:rFonts w:hint="cs"/>
          <w:rtl/>
        </w:rPr>
        <w:t xml:space="preserve">וכן </w:t>
      </w:r>
      <w:r w:rsidRPr="00405919">
        <w:rPr>
          <w:rFonts w:cs="Arial"/>
          <w:rtl/>
        </w:rPr>
        <w:t>בתוספתא דסנהדרין (פ"ו ה"ו)</w:t>
      </w:r>
      <w:r>
        <w:rPr>
          <w:rFonts w:cs="Arial" w:hint="cs"/>
          <w:rtl/>
        </w:rPr>
        <w:t>.</w:t>
      </w:r>
    </w:p>
  </w:footnote>
  <w:footnote w:id="1560">
    <w:p w14:paraId="41750E6D" w14:textId="77777777" w:rsidR="0013116F" w:rsidRDefault="0013116F" w:rsidP="004B607F">
      <w:pPr>
        <w:pStyle w:val="a9"/>
      </w:pPr>
      <w:r>
        <w:rPr>
          <w:rStyle w:val="ab"/>
        </w:rPr>
        <w:footnoteRef/>
      </w:r>
      <w:r>
        <w:rPr>
          <w:rtl/>
        </w:rPr>
        <w:t xml:space="preserve"> </w:t>
      </w:r>
      <w:r>
        <w:rPr>
          <w:rFonts w:hint="cs"/>
          <w:rtl/>
        </w:rPr>
        <w:t xml:space="preserve">סימן </w:t>
      </w:r>
      <w:r>
        <w:rPr>
          <w:rtl/>
        </w:rPr>
        <w:t>–</w:t>
      </w:r>
      <w:r>
        <w:rPr>
          <w:rFonts w:hint="cs"/>
          <w:rtl/>
        </w:rPr>
        <w:t xml:space="preserve"> חתימת יראים/ילדים.</w:t>
      </w:r>
    </w:p>
  </w:footnote>
  <w:footnote w:id="1561">
    <w:p w14:paraId="42B73195" w14:textId="77777777" w:rsidR="0013116F" w:rsidRDefault="0013116F" w:rsidP="004B607F">
      <w:pPr>
        <w:pStyle w:val="a9"/>
      </w:pPr>
      <w:r>
        <w:rPr>
          <w:rStyle w:val="ab"/>
        </w:rPr>
        <w:footnoteRef/>
      </w:r>
      <w:r>
        <w:rPr>
          <w:rtl/>
        </w:rPr>
        <w:t xml:space="preserve"> </w:t>
      </w:r>
      <w:r>
        <w:rPr>
          <w:rFonts w:hint="cs"/>
          <w:rtl/>
        </w:rPr>
        <w:t xml:space="preserve">סימן </w:t>
      </w:r>
      <w:r>
        <w:rPr>
          <w:rtl/>
        </w:rPr>
        <w:t>–</w:t>
      </w:r>
      <w:r>
        <w:rPr>
          <w:rFonts w:hint="cs"/>
          <w:rtl/>
        </w:rPr>
        <w:t xml:space="preserve"> לחזור אינם.</w:t>
      </w:r>
    </w:p>
  </w:footnote>
  <w:footnote w:id="1562">
    <w:p w14:paraId="08F5EDA2" w14:textId="77777777" w:rsidR="0013116F" w:rsidRDefault="0013116F" w:rsidP="004B607F">
      <w:pPr>
        <w:pStyle w:val="a9"/>
      </w:pPr>
      <w:r>
        <w:rPr>
          <w:rStyle w:val="ab"/>
        </w:rPr>
        <w:footnoteRef/>
      </w:r>
      <w:r>
        <w:rPr>
          <w:rtl/>
        </w:rPr>
        <w:t xml:space="preserve"> </w:t>
      </w:r>
      <w:r>
        <w:rPr>
          <w:rFonts w:hint="cs"/>
          <w:rtl/>
        </w:rPr>
        <w:t xml:space="preserve">סימן </w:t>
      </w:r>
      <w:r>
        <w:rPr>
          <w:rtl/>
        </w:rPr>
        <w:t>–</w:t>
      </w:r>
      <w:r>
        <w:rPr>
          <w:rFonts w:hint="cs"/>
          <w:rtl/>
        </w:rPr>
        <w:t xml:space="preserve"> משנה דברו. וכן - מעשה דבעיא. וכן </w:t>
      </w:r>
      <w:r>
        <w:rPr>
          <w:rtl/>
        </w:rPr>
        <w:t>–</w:t>
      </w:r>
      <w:r>
        <w:rPr>
          <w:rFonts w:hint="cs"/>
          <w:rtl/>
        </w:rPr>
        <w:t xml:space="preserve"> עלילת </w:t>
      </w:r>
      <w:r w:rsidRPr="00296149">
        <w:rPr>
          <w:rFonts w:hint="cs"/>
          <w:b/>
          <w:bCs/>
          <w:rtl/>
        </w:rPr>
        <w:t>ד</w:t>
      </w:r>
      <w:r>
        <w:rPr>
          <w:rFonts w:hint="cs"/>
          <w:b/>
          <w:bCs/>
          <w:rtl/>
        </w:rPr>
        <w:t>"</w:t>
      </w:r>
      <w:r w:rsidRPr="00296149">
        <w:rPr>
          <w:rFonts w:hint="cs"/>
          <w:b/>
          <w:bCs/>
          <w:rtl/>
        </w:rPr>
        <w:t>מ</w:t>
      </w:r>
      <w:r>
        <w:rPr>
          <w:rFonts w:hint="cs"/>
          <w:rtl/>
        </w:rPr>
        <w:t xml:space="preserve">. וכן </w:t>
      </w:r>
      <w:r>
        <w:rPr>
          <w:rtl/>
        </w:rPr>
        <w:t>–</w:t>
      </w:r>
      <w:r>
        <w:rPr>
          <w:rFonts w:hint="cs"/>
          <w:rtl/>
        </w:rPr>
        <w:t xml:space="preserve"> מטעימים דבריהם.</w:t>
      </w:r>
    </w:p>
  </w:footnote>
  <w:footnote w:id="1563">
    <w:p w14:paraId="5DAA24C9" w14:textId="77777777" w:rsidR="0013116F" w:rsidRDefault="0013116F" w:rsidP="004B607F">
      <w:pPr>
        <w:pStyle w:val="a9"/>
        <w:rPr>
          <w:rtl/>
        </w:rPr>
      </w:pPr>
      <w:r>
        <w:rPr>
          <w:rStyle w:val="ab"/>
        </w:rPr>
        <w:footnoteRef/>
      </w:r>
      <w:r>
        <w:rPr>
          <w:rtl/>
        </w:rPr>
        <w:t xml:space="preserve"> </w:t>
      </w:r>
      <w:r>
        <w:rPr>
          <w:rFonts w:hint="cs"/>
          <w:rtl/>
        </w:rPr>
        <w:t xml:space="preserve">סימן </w:t>
      </w:r>
      <w:r>
        <w:rPr>
          <w:rtl/>
        </w:rPr>
        <w:t>–</w:t>
      </w:r>
      <w:r>
        <w:rPr>
          <w:rFonts w:hint="cs"/>
          <w:rtl/>
        </w:rPr>
        <w:t xml:space="preserve"> כת לחובתו. חזרתם כֵּנָה. </w:t>
      </w:r>
    </w:p>
  </w:footnote>
  <w:footnote w:id="1564">
    <w:p w14:paraId="6352110D" w14:textId="77777777" w:rsidR="0013116F" w:rsidRDefault="0013116F" w:rsidP="004B607F">
      <w:pPr>
        <w:pStyle w:val="a9"/>
        <w:rPr>
          <w:rtl/>
        </w:rPr>
      </w:pPr>
      <w:r>
        <w:rPr>
          <w:rStyle w:val="ab"/>
        </w:rPr>
        <w:footnoteRef/>
      </w:r>
      <w:r>
        <w:rPr>
          <w:rtl/>
        </w:rPr>
        <w:t xml:space="preserve"> </w:t>
      </w:r>
      <w:r w:rsidRPr="008F352A">
        <w:rPr>
          <w:rFonts w:cs="Arial"/>
          <w:rtl/>
        </w:rPr>
        <w:t>כסבורין שאמר להן ידעיתון ביה דלאו רמאי הוא, שכך היה לו לשואלן</w:t>
      </w:r>
      <w:r>
        <w:rPr>
          <w:rFonts w:cs="Arial" w:hint="cs"/>
          <w:rtl/>
        </w:rPr>
        <w:t>, רש"י</w:t>
      </w:r>
      <w:r w:rsidRPr="008F352A">
        <w:rPr>
          <w:rFonts w:cs="Arial"/>
          <w:rtl/>
        </w:rPr>
        <w:t>.</w:t>
      </w:r>
    </w:p>
  </w:footnote>
  <w:footnote w:id="1565">
    <w:p w14:paraId="5E651E5A" w14:textId="77777777" w:rsidR="0013116F" w:rsidRDefault="0013116F" w:rsidP="004B607F">
      <w:pPr>
        <w:pStyle w:val="a9"/>
      </w:pPr>
      <w:r>
        <w:rPr>
          <w:rStyle w:val="ab"/>
        </w:rPr>
        <w:footnoteRef/>
      </w:r>
      <w:r>
        <w:rPr>
          <w:rtl/>
        </w:rPr>
        <w:t xml:space="preserve"> </w:t>
      </w:r>
      <w:r w:rsidRPr="008F352A">
        <w:rPr>
          <w:rFonts w:cs="Arial"/>
          <w:rtl/>
        </w:rPr>
        <w:t>שזה היה דעתן מתחילה, ואין כאן משום מגיד וחוזר ומגיד</w:t>
      </w:r>
      <w:r>
        <w:rPr>
          <w:rFonts w:cs="Arial" w:hint="cs"/>
          <w:rtl/>
        </w:rPr>
        <w:t>, רש"י</w:t>
      </w:r>
      <w:r w:rsidRPr="008F352A">
        <w:rPr>
          <w:rFonts w:cs="Arial"/>
          <w:rtl/>
        </w:rPr>
        <w:t>.</w:t>
      </w:r>
    </w:p>
  </w:footnote>
  <w:footnote w:id="1566">
    <w:p w14:paraId="684A3B7C" w14:textId="77777777" w:rsidR="0013116F" w:rsidRDefault="0013116F" w:rsidP="004B607F">
      <w:pPr>
        <w:pStyle w:val="a9"/>
        <w:rPr>
          <w:rtl/>
        </w:rPr>
      </w:pPr>
      <w:r>
        <w:rPr>
          <w:rStyle w:val="ab"/>
        </w:rPr>
        <w:footnoteRef/>
      </w:r>
      <w:r>
        <w:rPr>
          <w:rtl/>
        </w:rPr>
        <w:t xml:space="preserve"> </w:t>
      </w:r>
      <w:r w:rsidRPr="008F352A">
        <w:rPr>
          <w:rFonts w:cs="Arial"/>
          <w:rtl/>
        </w:rPr>
        <w:t>וכשהביאן לבית דין - בטוח היה שלא יעידו חובתו</w:t>
      </w:r>
      <w:r>
        <w:rPr>
          <w:rFonts w:cs="Arial" w:hint="cs"/>
          <w:rtl/>
        </w:rPr>
        <w:t>, רש"י</w:t>
      </w:r>
      <w:r w:rsidRPr="008F352A">
        <w:rPr>
          <w:rFonts w:cs="Arial"/>
          <w:rtl/>
        </w:rPr>
        <w:t>.</w:t>
      </w:r>
    </w:p>
  </w:footnote>
  <w:footnote w:id="1567">
    <w:p w14:paraId="02D8E742" w14:textId="77777777" w:rsidR="0013116F" w:rsidRDefault="0013116F" w:rsidP="004B607F">
      <w:pPr>
        <w:pStyle w:val="a9"/>
        <w:rPr>
          <w:rtl/>
        </w:rPr>
      </w:pPr>
      <w:r>
        <w:rPr>
          <w:rStyle w:val="ab"/>
        </w:rPr>
        <w:footnoteRef/>
      </w:r>
      <w:r>
        <w:rPr>
          <w:rtl/>
        </w:rPr>
        <w:t xml:space="preserve"> </w:t>
      </w:r>
      <w:r w:rsidRPr="00024C15">
        <w:rPr>
          <w:rFonts w:cs="Arial"/>
          <w:rtl/>
        </w:rPr>
        <w:t>דסתמא אין אדם מביא עד להעיד חובתו</w:t>
      </w:r>
      <w:r>
        <w:rPr>
          <w:rFonts w:cs="Arial" w:hint="cs"/>
          <w:rtl/>
        </w:rPr>
        <w:t>, טור</w:t>
      </w:r>
      <w:r w:rsidRPr="00024C15">
        <w:rPr>
          <w:rFonts w:cs="Arial" w:hint="cs"/>
          <w:rtl/>
        </w:rPr>
        <w:t>.</w:t>
      </w:r>
      <w:r w:rsidRPr="00024C15">
        <w:rPr>
          <w:rFonts w:cs="Arial"/>
          <w:rtl/>
        </w:rPr>
        <w:t xml:space="preserve"> </w:t>
      </w:r>
    </w:p>
  </w:footnote>
  <w:footnote w:id="1568">
    <w:p w14:paraId="562C6EF8" w14:textId="77777777" w:rsidR="0013116F" w:rsidRDefault="0013116F" w:rsidP="004B607F">
      <w:pPr>
        <w:pStyle w:val="a9"/>
        <w:rPr>
          <w:rtl/>
        </w:rPr>
      </w:pPr>
      <w:r w:rsidRPr="00D44E48">
        <w:rPr>
          <w:rStyle w:val="ab"/>
        </w:rPr>
        <w:footnoteRef/>
      </w:r>
      <w:r w:rsidRPr="00D44E48">
        <w:rPr>
          <w:rtl/>
        </w:rPr>
        <w:t xml:space="preserve"> </w:t>
      </w:r>
      <w:r>
        <w:rPr>
          <w:rFonts w:hint="cs"/>
          <w:rtl/>
        </w:rPr>
        <w:t>וכתב ה</w:t>
      </w:r>
      <w:r w:rsidRPr="00D44E48">
        <w:rPr>
          <w:rFonts w:cs="Arial"/>
          <w:rtl/>
        </w:rPr>
        <w:t>ריטב"א (ב"מ שם ד"ה מסתברא</w:t>
      </w:r>
      <w:r>
        <w:rPr>
          <w:rFonts w:cs="Arial" w:hint="cs"/>
          <w:rtl/>
        </w:rPr>
        <w:t>, הביאו הב"י בבדה"ב</w:t>
      </w:r>
      <w:r w:rsidRPr="00D44E48">
        <w:rPr>
          <w:rFonts w:cs="Arial" w:hint="cs"/>
          <w:rtl/>
        </w:rPr>
        <w:t xml:space="preserve">)- וקשה לי, </w:t>
      </w:r>
      <w:r w:rsidRPr="00D44E48">
        <w:rPr>
          <w:rFonts w:cs="Arial"/>
          <w:rtl/>
        </w:rPr>
        <w:t>ואפילו חוזרין ומגידין מאי הוי</w:t>
      </w:r>
      <w:r w:rsidRPr="00D44E48">
        <w:rPr>
          <w:rFonts w:cs="Arial" w:hint="cs"/>
          <w:rtl/>
        </w:rPr>
        <w:t>?</w:t>
      </w:r>
      <w:r w:rsidRPr="00D44E48">
        <w:rPr>
          <w:rFonts w:cs="Arial"/>
          <w:rtl/>
        </w:rPr>
        <w:t xml:space="preserve"> כיון דתוך כדי דיבור הדרי בהו והא קי"ל שהעדים שאמרו תוך כדי דיבור מבדין היינו נאמנין, וי"ל דהתם שחזרו מעצמן, אבל הכא שחזרו מחמת אימתו של זה שאמר להם אנא רמאה אנא יש לנו לומר שאינם חוזרין ומגידין</w:t>
      </w:r>
      <w:r w:rsidRPr="00D44E48">
        <w:rPr>
          <w:rFonts w:cs="Arial" w:hint="cs"/>
          <w:rtl/>
        </w:rPr>
        <w:t>.</w:t>
      </w:r>
      <w:r>
        <w:rPr>
          <w:rFonts w:cs="Arial" w:hint="cs"/>
          <w:rtl/>
        </w:rPr>
        <w:t xml:space="preserve"> עכ"ל.</w:t>
      </w:r>
      <w:r w:rsidRPr="00D44E48">
        <w:rPr>
          <w:rFonts w:cs="Arial" w:hint="cs"/>
          <w:rtl/>
        </w:rPr>
        <w:t xml:space="preserve"> </w:t>
      </w:r>
      <w:r w:rsidRPr="00D44E48">
        <w:rPr>
          <w:rFonts w:cs="Arial"/>
          <w:rtl/>
        </w:rPr>
        <w:t>כלומר אי לאו דמסתבר דלא מייתי אינש חובה לנפשיה</w:t>
      </w:r>
      <w:r w:rsidRPr="00D44E48">
        <w:rPr>
          <w:rFonts w:cs="Arial" w:hint="cs"/>
          <w:rtl/>
        </w:rPr>
        <w:t xml:space="preserve">, ב"י (בבדה"ב). </w:t>
      </w:r>
      <w:r w:rsidRPr="00D44E48">
        <w:rPr>
          <w:rFonts w:hint="cs"/>
          <w:rtl/>
        </w:rPr>
        <w:t>וכתב התומים (סק"ג)</w:t>
      </w:r>
      <w:r w:rsidRPr="00D44E48">
        <w:rPr>
          <w:rtl/>
        </w:rPr>
        <w:t xml:space="preserve"> </w:t>
      </w:r>
      <w:r w:rsidRPr="00D44E48">
        <w:rPr>
          <w:rFonts w:cs="Arial" w:hint="cs"/>
          <w:rtl/>
        </w:rPr>
        <w:t>ש</w:t>
      </w:r>
      <w:r w:rsidRPr="00D44E48">
        <w:rPr>
          <w:rFonts w:cs="Arial"/>
          <w:rtl/>
        </w:rPr>
        <w:t>מדברי</w:t>
      </w:r>
      <w:r w:rsidRPr="00D44E48">
        <w:rPr>
          <w:rFonts w:cs="Arial" w:hint="cs"/>
          <w:rtl/>
        </w:rPr>
        <w:t xml:space="preserve"> הריטב"א</w:t>
      </w:r>
      <w:r w:rsidRPr="00D44E48">
        <w:rPr>
          <w:rFonts w:cs="Arial"/>
          <w:rtl/>
        </w:rPr>
        <w:t xml:space="preserve"> נלמד</w:t>
      </w:r>
      <w:r>
        <w:rPr>
          <w:rFonts w:cs="Arial"/>
          <w:rtl/>
        </w:rPr>
        <w:t xml:space="preserve"> דאם העדים באים מעצמם להעיד בכח הכרוז וחרם וכדומה, דאם כן לא שייך הך לא מייתי חובתא לנפשיה, אפילו בתוך כדי דבור אין יכול לחזור בכהאי גוונא, דיש לומר מחמת אימתו חזרו, כמו שכתב להדיא</w:t>
      </w:r>
      <w:r>
        <w:rPr>
          <w:rFonts w:cs="Arial" w:hint="cs"/>
          <w:rtl/>
        </w:rPr>
        <w:t>.</w:t>
      </w:r>
      <w:r>
        <w:rPr>
          <w:rFonts w:cs="Arial"/>
          <w:rtl/>
        </w:rPr>
        <w:t xml:space="preserve"> ועוד לדבריו הך עובדא היה בתוך כדי דבור, ואם כן יש לומר דכי אמרינן מסתברא לא מייתי אינשי חובתא וכו', היינו כשחזרו תוך כדי דבור, דבלאו הכי רשות בידם לחזור לולי הך חששא דאולי מחמת פחד חזרו, אבל לאחר כדי דבור בשביל הך סברא גרידא לא נימא דיהיו העדים חוזרים מעדותן מה שכבר העידו, וכיון שהגיד וכו'.</w:t>
      </w:r>
      <w:r>
        <w:rPr>
          <w:rFonts w:hint="cs"/>
          <w:rtl/>
        </w:rPr>
        <w:t xml:space="preserve"> </w:t>
      </w:r>
      <w:r>
        <w:rPr>
          <w:rFonts w:cs="Arial"/>
          <w:rtl/>
        </w:rPr>
        <w:t>אלא דצריך עיון כי סתימת הרא"ש (ב"מ פ"ב סי' טו) והטור ומחבר לא משמע כן, ונראה בעין דלא סבירא להו הך דריטב"א, כי בלאו הכי יש לפקפק על קושייתו, דהא מלישנא דגמרא משמע דשני עדים אמרו כן שהוא רמאי, וקשה בממה נפשך, הא לא העידו בפעם אחת רק בזה אחר זה, ואם כן כשהעיד עד ראשון ואמר רמאי איך שתק מרי בר איסק, ואי באמת צעק וכי אנא רמאי וכו', והעד חזר בו ואמר לאו רמאי אמרתי, ואם כן איך העיד השני גם כן שהוא רמאי מה דכבר הזכיר לראשון וחזר בו, ולישנא דגמרא משמע דתרתי העידו כן, אלא צריך לומר דעדות זו נתקבל שלא בפני בעל דין כי מחל על כך, ומה שהוא לטובתו יכול למחול, והם העידו שניהם בשוה היותו רמאי, וכשבא אחר כך מרי לבי"ד ואמרו לו כך העידו, שאל לעדים בפני בי"ד וכי אנא רמאי, וחזרו ואמרו דכוונו שאינו רמאי, ומחמת הוכחת לא מייתי אינש וכו', האמינו חז"ל לדבריהם וחזרתן, ואתי שפיר. ולא קשיא קושית הריטב"א דכאשר בא מרי בר איסק לבי"ד כבר נגמר העדות ועברו כדי דבור טובי, ומכל מקום מחמת הוכחת דלא מייתי אינש וכו' האמינו חז"ל לחזרתם, אבל בתוך כדי דבור פשיטא דלעולם חוזרין, ולכן דינו של ריטב"א צריך עיון דלא נראה להלכה כדבריו.</w:t>
      </w:r>
    </w:p>
  </w:footnote>
  <w:footnote w:id="1569">
    <w:p w14:paraId="01AA0F72" w14:textId="77777777" w:rsidR="0013116F" w:rsidRDefault="0013116F" w:rsidP="004B607F">
      <w:pPr>
        <w:pStyle w:val="a9"/>
      </w:pPr>
      <w:r>
        <w:rPr>
          <w:rStyle w:val="ab"/>
        </w:rPr>
        <w:footnoteRef/>
      </w:r>
      <w:r>
        <w:rPr>
          <w:rtl/>
        </w:rPr>
        <w:t xml:space="preserve"> </w:t>
      </w:r>
      <w:r w:rsidRPr="00A7552D">
        <w:rPr>
          <w:rFonts w:cs="Arial"/>
          <w:rtl/>
        </w:rPr>
        <w:t xml:space="preserve">נראה לי שמה שכתב </w:t>
      </w:r>
      <w:r>
        <w:rPr>
          <w:rFonts w:cs="Arial" w:hint="cs"/>
          <w:rtl/>
        </w:rPr>
        <w:t>'</w:t>
      </w:r>
      <w:r w:rsidRPr="00A7552D">
        <w:rPr>
          <w:rFonts w:cs="Arial"/>
          <w:rtl/>
        </w:rPr>
        <w:t>הואיל והיא מכחישתן</w:t>
      </w:r>
      <w:r>
        <w:rPr>
          <w:rFonts w:cs="Arial" w:hint="cs"/>
          <w:rtl/>
        </w:rPr>
        <w:t>'</w:t>
      </w:r>
      <w:r w:rsidRPr="00A7552D">
        <w:rPr>
          <w:rFonts w:cs="Arial"/>
          <w:rtl/>
        </w:rPr>
        <w:t xml:space="preserve"> לאו למימרא דבדיני נפשות הודאת בעל דין מילתא היא</w:t>
      </w:r>
      <w:r>
        <w:rPr>
          <w:rFonts w:cs="Arial" w:hint="cs"/>
          <w:rtl/>
        </w:rPr>
        <w:t>,</w:t>
      </w:r>
      <w:r w:rsidRPr="00A7552D">
        <w:rPr>
          <w:rFonts w:cs="Arial"/>
          <w:rtl/>
        </w:rPr>
        <w:t xml:space="preserve"> אלא לומר דאילו לא הכחישתן הא שויא נפשה חתיכה דאיסורא ובעיא גט</w:t>
      </w:r>
      <w:r>
        <w:rPr>
          <w:rFonts w:cs="Arial" w:hint="cs"/>
          <w:rtl/>
        </w:rPr>
        <w:t>, ב"י.</w:t>
      </w:r>
    </w:p>
  </w:footnote>
  <w:footnote w:id="1570">
    <w:p w14:paraId="741F2961" w14:textId="77777777" w:rsidR="0013116F" w:rsidRDefault="0013116F" w:rsidP="004B607F">
      <w:pPr>
        <w:pStyle w:val="a9"/>
        <w:rPr>
          <w:rtl/>
        </w:rPr>
      </w:pPr>
      <w:r>
        <w:rPr>
          <w:rStyle w:val="ab"/>
        </w:rPr>
        <w:footnoteRef/>
      </w:r>
      <w:r>
        <w:rPr>
          <w:rtl/>
        </w:rPr>
        <w:t xml:space="preserve"> </w:t>
      </w:r>
      <w:r>
        <w:rPr>
          <w:rFonts w:hint="cs"/>
          <w:rtl/>
        </w:rPr>
        <w:t>כתב הב"י ד</w:t>
      </w:r>
      <w:r w:rsidRPr="00A7552D">
        <w:rPr>
          <w:rFonts w:cs="Arial"/>
          <w:rtl/>
        </w:rPr>
        <w:t>צ"ע אם העידו בדיני ממונות שאין צריך דרישה וחקירה אם יכולין לחזור בהם כיון שעדיין לא נחקרה עדותן</w:t>
      </w:r>
      <w:r>
        <w:rPr>
          <w:rFonts w:cs="Arial" w:hint="cs"/>
          <w:rtl/>
        </w:rPr>
        <w:t>,</w:t>
      </w:r>
      <w:r w:rsidRPr="00A7552D">
        <w:rPr>
          <w:rFonts w:cs="Arial"/>
          <w:rtl/>
        </w:rPr>
        <w:t xml:space="preserve"> או דילמא כיון דבדיני ממונות לא בעינן דרישה וחקירה הגדתן בפני בית דין הויא כחקירה בדיני נפשות</w:t>
      </w:r>
      <w:r>
        <w:rPr>
          <w:rFonts w:cs="Arial" w:hint="cs"/>
          <w:rtl/>
        </w:rPr>
        <w:t>.</w:t>
      </w:r>
      <w:r w:rsidRPr="00A7552D">
        <w:rPr>
          <w:rFonts w:cs="Arial"/>
          <w:rtl/>
        </w:rPr>
        <w:t xml:space="preserve"> ומתוך לשון ר"י שכתב כי עדים הבאים לאוסרה צריך דרישה וחקירה וכל זמן שלא נחקרה עדותן יכולין לומר מבודין היינו </w:t>
      </w:r>
      <w:r>
        <w:rPr>
          <w:rFonts w:cs="Arial" w:hint="cs"/>
          <w:rtl/>
        </w:rPr>
        <w:t xml:space="preserve">- </w:t>
      </w:r>
      <w:r w:rsidRPr="00A7552D">
        <w:rPr>
          <w:rFonts w:cs="Arial"/>
          <w:rtl/>
        </w:rPr>
        <w:t>אלמא דוקא משום דבעו דרישה הוא דכשלא נחקרה עדותן יכולין לומר מבודין היינו</w:t>
      </w:r>
      <w:r>
        <w:rPr>
          <w:rFonts w:cs="Arial" w:hint="cs"/>
          <w:rtl/>
        </w:rPr>
        <w:t>,</w:t>
      </w:r>
      <w:r w:rsidRPr="00A7552D">
        <w:rPr>
          <w:rFonts w:cs="Arial"/>
          <w:rtl/>
        </w:rPr>
        <w:t xml:space="preserve"> הא אי לא הוו בעו דרישה וחקירה אע</w:t>
      </w:r>
      <w:r>
        <w:rPr>
          <w:rFonts w:cs="Arial" w:hint="cs"/>
          <w:rtl/>
        </w:rPr>
        <w:t>"</w:t>
      </w:r>
      <w:r w:rsidRPr="00A7552D">
        <w:rPr>
          <w:rFonts w:cs="Arial"/>
          <w:rtl/>
        </w:rPr>
        <w:t>פ שלא נחקרה עדותן לא היו יכולין לומר מבודין היינו</w:t>
      </w:r>
      <w:r>
        <w:rPr>
          <w:rFonts w:cs="Arial" w:hint="cs"/>
          <w:rtl/>
        </w:rPr>
        <w:t>,</w:t>
      </w:r>
      <w:r w:rsidRPr="00A7552D">
        <w:rPr>
          <w:rFonts w:cs="Arial"/>
          <w:rtl/>
        </w:rPr>
        <w:t xml:space="preserve"> משום דהגדתן בבית דין הויא כחקירה בדיני נפשות</w:t>
      </w:r>
      <w:r>
        <w:rPr>
          <w:rFonts w:cs="Arial" w:hint="cs"/>
          <w:rtl/>
        </w:rPr>
        <w:t>,</w:t>
      </w:r>
      <w:r w:rsidRPr="00A7552D">
        <w:rPr>
          <w:rFonts w:cs="Arial"/>
          <w:rtl/>
        </w:rPr>
        <w:t xml:space="preserve"> כנ"ל</w:t>
      </w:r>
      <w:r>
        <w:rPr>
          <w:rFonts w:cs="Arial" w:hint="cs"/>
          <w:rtl/>
        </w:rPr>
        <w:t>,</w:t>
      </w:r>
      <w:r w:rsidRPr="00A7552D">
        <w:rPr>
          <w:rFonts w:cs="Arial"/>
          <w:rtl/>
        </w:rPr>
        <w:t xml:space="preserve"> ולקמן בסימן זה גבי אם אמרו תנאי היו דברינו משמע הכי</w:t>
      </w:r>
      <w:r>
        <w:rPr>
          <w:rFonts w:cs="Arial" w:hint="cs"/>
          <w:rtl/>
        </w:rPr>
        <w:t>,</w:t>
      </w:r>
      <w:r w:rsidRPr="00A7552D">
        <w:rPr>
          <w:rFonts w:cs="Arial"/>
          <w:rtl/>
        </w:rPr>
        <w:t xml:space="preserve"> וכמו שאכתוב שם.</w:t>
      </w:r>
      <w:r>
        <w:rPr>
          <w:rFonts w:cs="Arial" w:hint="cs"/>
          <w:rtl/>
        </w:rPr>
        <w:t xml:space="preserve"> וכ"כ ה</w:t>
      </w:r>
      <w:r w:rsidRPr="00D44E48">
        <w:rPr>
          <w:rFonts w:cs="Arial"/>
          <w:rtl/>
        </w:rPr>
        <w:t xml:space="preserve">ר"ן </w:t>
      </w:r>
      <w:r w:rsidRPr="00D44E48">
        <w:rPr>
          <w:rFonts w:cs="Arial" w:hint="cs"/>
          <w:sz w:val="16"/>
          <w:szCs w:val="16"/>
          <w:rtl/>
        </w:rPr>
        <w:t>(</w:t>
      </w:r>
      <w:r w:rsidRPr="00D44E48">
        <w:rPr>
          <w:rFonts w:cs="Arial"/>
          <w:sz w:val="16"/>
          <w:szCs w:val="16"/>
          <w:rtl/>
        </w:rPr>
        <w:t>בתשובה</w:t>
      </w:r>
      <w:r w:rsidRPr="00D44E48">
        <w:rPr>
          <w:rFonts w:cs="Arial" w:hint="cs"/>
          <w:sz w:val="16"/>
          <w:szCs w:val="16"/>
          <w:rtl/>
        </w:rPr>
        <w:t xml:space="preserve"> </w:t>
      </w:r>
      <w:r w:rsidRPr="00D44E48">
        <w:rPr>
          <w:rFonts w:cs="Arial"/>
          <w:sz w:val="16"/>
          <w:szCs w:val="16"/>
          <w:rtl/>
        </w:rPr>
        <w:t>סי</w:t>
      </w:r>
      <w:r w:rsidRPr="00D44E48">
        <w:rPr>
          <w:rFonts w:cs="Arial" w:hint="cs"/>
          <w:sz w:val="16"/>
          <w:szCs w:val="16"/>
          <w:rtl/>
        </w:rPr>
        <w:t xml:space="preserve">' </w:t>
      </w:r>
      <w:r w:rsidRPr="00D44E48">
        <w:rPr>
          <w:rFonts w:cs="Arial"/>
          <w:sz w:val="16"/>
          <w:szCs w:val="16"/>
          <w:rtl/>
        </w:rPr>
        <w:t>לד</w:t>
      </w:r>
      <w:r w:rsidRPr="00D44E48">
        <w:rPr>
          <w:rFonts w:cs="Arial" w:hint="cs"/>
          <w:sz w:val="16"/>
          <w:szCs w:val="16"/>
          <w:rtl/>
        </w:rPr>
        <w:t>)</w:t>
      </w:r>
      <w:r>
        <w:rPr>
          <w:rFonts w:cs="Arial" w:hint="cs"/>
          <w:rtl/>
        </w:rPr>
        <w:t xml:space="preserve"> וז"ל</w:t>
      </w:r>
      <w:r w:rsidRPr="00D44E48">
        <w:rPr>
          <w:rFonts w:cs="Arial" w:hint="cs"/>
          <w:rtl/>
        </w:rPr>
        <w:t>-</w:t>
      </w:r>
      <w:r w:rsidRPr="00D44E48">
        <w:rPr>
          <w:rFonts w:cs="Arial"/>
          <w:rtl/>
        </w:rPr>
        <w:t xml:space="preserve"> אל תחשוב שכשתפסו זה הלשון </w:t>
      </w:r>
      <w:r w:rsidRPr="00D44E48">
        <w:rPr>
          <w:rFonts w:cs="Arial" w:hint="cs"/>
          <w:rtl/>
        </w:rPr>
        <w:t>'</w:t>
      </w:r>
      <w:r w:rsidRPr="00D44E48">
        <w:rPr>
          <w:rFonts w:cs="Arial"/>
          <w:rtl/>
        </w:rPr>
        <w:t>אם עד שלא נחקרה עדותן</w:t>
      </w:r>
      <w:r w:rsidRPr="00D44E48">
        <w:rPr>
          <w:rFonts w:cs="Arial" w:hint="cs"/>
          <w:rtl/>
        </w:rPr>
        <w:t>'</w:t>
      </w:r>
      <w:r w:rsidRPr="00D44E48">
        <w:rPr>
          <w:rFonts w:cs="Arial"/>
          <w:rtl/>
        </w:rPr>
        <w:t xml:space="preserve"> ו</w:t>
      </w:r>
      <w:r w:rsidRPr="00D44E48">
        <w:rPr>
          <w:rFonts w:cs="Arial" w:hint="cs"/>
          <w:rtl/>
        </w:rPr>
        <w:t>-'</w:t>
      </w:r>
      <w:r w:rsidRPr="00D44E48">
        <w:rPr>
          <w:rFonts w:cs="Arial"/>
          <w:rtl/>
        </w:rPr>
        <w:t>משנחקרה</w:t>
      </w:r>
      <w:r w:rsidRPr="00D44E48">
        <w:rPr>
          <w:rFonts w:cs="Arial" w:hint="cs"/>
          <w:rtl/>
        </w:rPr>
        <w:t>'</w:t>
      </w:r>
      <w:r w:rsidRPr="00D44E48">
        <w:rPr>
          <w:rFonts w:cs="Arial"/>
          <w:rtl/>
        </w:rPr>
        <w:t xml:space="preserve"> שבא בדקדוק גמור ותלמוד ממנו שאף בדיני ממונות דלא בעי חקירה ודרישה אחר שנתקבל עדותן יכולין לחזור בהם כיון שלא נחקרה עדות</w:t>
      </w:r>
      <w:r w:rsidRPr="00D44E48">
        <w:rPr>
          <w:rFonts w:cs="Arial" w:hint="cs"/>
          <w:rtl/>
        </w:rPr>
        <w:t>ן</w:t>
      </w:r>
      <w:r w:rsidRPr="00D44E48">
        <w:rPr>
          <w:rFonts w:cs="Arial"/>
          <w:rtl/>
        </w:rPr>
        <w:t xml:space="preserve"> </w:t>
      </w:r>
      <w:r w:rsidRPr="00D44E48">
        <w:rPr>
          <w:rFonts w:cs="Arial" w:hint="cs"/>
          <w:rtl/>
        </w:rPr>
        <w:t xml:space="preserve">- </w:t>
      </w:r>
      <w:r w:rsidRPr="00D44E48">
        <w:rPr>
          <w:rFonts w:cs="Arial"/>
          <w:rtl/>
        </w:rPr>
        <w:t>שזה בודאי אינו</w:t>
      </w:r>
      <w:r w:rsidRPr="00D44E48">
        <w:rPr>
          <w:rFonts w:cs="Arial" w:hint="cs"/>
          <w:rtl/>
        </w:rPr>
        <w:t>,</w:t>
      </w:r>
      <w:r w:rsidRPr="00D44E48">
        <w:rPr>
          <w:rFonts w:cs="Arial"/>
          <w:rtl/>
        </w:rPr>
        <w:t xml:space="preserve"> שכיון שנגמר עדותו ואין אנו צריכים עוד לדבריו הרי הגיד ושוב אינו חוזר ומגיד</w:t>
      </w:r>
      <w:r w:rsidRPr="00D44E48">
        <w:rPr>
          <w:rFonts w:cs="Arial" w:hint="cs"/>
          <w:rtl/>
        </w:rPr>
        <w:t>.</w:t>
      </w:r>
    </w:p>
  </w:footnote>
  <w:footnote w:id="1571">
    <w:p w14:paraId="6A836B71" w14:textId="77777777" w:rsidR="0013116F" w:rsidRDefault="0013116F" w:rsidP="004B607F">
      <w:pPr>
        <w:pStyle w:val="a9"/>
        <w:rPr>
          <w:rtl/>
        </w:rPr>
      </w:pPr>
      <w:r>
        <w:rPr>
          <w:rStyle w:val="ab"/>
        </w:rPr>
        <w:footnoteRef/>
      </w:r>
      <w:r>
        <w:rPr>
          <w:rtl/>
        </w:rPr>
        <w:t xml:space="preserve"> </w:t>
      </w:r>
      <w:r w:rsidRPr="00405919">
        <w:rPr>
          <w:rFonts w:cs="Arial"/>
          <w:rtl/>
        </w:rPr>
        <w:t>ועיין בתשובות הרא"ש כלל נ"ט סימן א' ועיין בתשובות הרשב"א סימן אלף וי"ב: ועיין במה שכתבתי בסימן שקודם זה (מחודש יא) בשם ה"ר מנחם הארוך</w:t>
      </w:r>
      <w:r>
        <w:rPr>
          <w:rFonts w:cs="Arial" w:hint="cs"/>
          <w:rtl/>
        </w:rPr>
        <w:t>, ב"י.</w:t>
      </w:r>
    </w:p>
  </w:footnote>
  <w:footnote w:id="1572">
    <w:p w14:paraId="4EBDC782" w14:textId="77777777" w:rsidR="0013116F" w:rsidRDefault="0013116F" w:rsidP="004B607F">
      <w:pPr>
        <w:pStyle w:val="a9"/>
        <w:rPr>
          <w:rtl/>
        </w:rPr>
      </w:pPr>
      <w:r>
        <w:rPr>
          <w:rStyle w:val="ab"/>
        </w:rPr>
        <w:footnoteRef/>
      </w:r>
      <w:r>
        <w:rPr>
          <w:rtl/>
        </w:rPr>
        <w:t xml:space="preserve"> </w:t>
      </w:r>
      <w:r>
        <w:rPr>
          <w:rFonts w:hint="cs"/>
          <w:rtl/>
        </w:rPr>
        <w:t xml:space="preserve">סימן </w:t>
      </w:r>
      <w:r>
        <w:rPr>
          <w:rtl/>
        </w:rPr>
        <w:t>–</w:t>
      </w:r>
      <w:r>
        <w:rPr>
          <w:rFonts w:hint="cs"/>
          <w:rtl/>
        </w:rPr>
        <w:t xml:space="preserve"> קדוש סטה בזיהוי. וכן </w:t>
      </w:r>
      <w:r>
        <w:rPr>
          <w:rtl/>
        </w:rPr>
        <w:t>–</w:t>
      </w:r>
      <w:r>
        <w:rPr>
          <w:rFonts w:hint="cs"/>
          <w:rtl/>
        </w:rPr>
        <w:t xml:space="preserve"> קדוש סבר וחמא. וכן </w:t>
      </w:r>
      <w:r>
        <w:rPr>
          <w:rtl/>
        </w:rPr>
        <w:t>–</w:t>
      </w:r>
      <w:r>
        <w:rPr>
          <w:rFonts w:hint="cs"/>
          <w:rtl/>
        </w:rPr>
        <w:t xml:space="preserve"> קדוש חוזר בסהדותו.</w:t>
      </w:r>
    </w:p>
  </w:footnote>
  <w:footnote w:id="1573">
    <w:p w14:paraId="619BB0EC" w14:textId="77777777" w:rsidR="0013116F" w:rsidRDefault="0013116F" w:rsidP="004B607F">
      <w:pPr>
        <w:pStyle w:val="a9"/>
        <w:rPr>
          <w:rtl/>
        </w:rPr>
      </w:pPr>
      <w:r>
        <w:rPr>
          <w:rStyle w:val="ab"/>
        </w:rPr>
        <w:footnoteRef/>
      </w:r>
      <w:r>
        <w:rPr>
          <w:rtl/>
        </w:rPr>
        <w:t xml:space="preserve"> </w:t>
      </w:r>
      <w:r w:rsidRPr="00405919">
        <w:rPr>
          <w:rFonts w:cs="Arial"/>
          <w:rtl/>
        </w:rPr>
        <w:t>שובר אשה מכתובתה שהוציא הבעל על אשתו והיא כופרת</w:t>
      </w:r>
      <w:r>
        <w:rPr>
          <w:rFonts w:cs="Arial" w:hint="cs"/>
          <w:rtl/>
        </w:rPr>
        <w:t>, ב"י</w:t>
      </w:r>
      <w:r w:rsidRPr="00405919">
        <w:rPr>
          <w:rFonts w:cs="Arial"/>
          <w:rtl/>
        </w:rPr>
        <w:t>.</w:t>
      </w:r>
    </w:p>
  </w:footnote>
  <w:footnote w:id="1574">
    <w:p w14:paraId="2CDF40C0" w14:textId="77777777" w:rsidR="0013116F" w:rsidRDefault="0013116F" w:rsidP="004B607F">
      <w:pPr>
        <w:pStyle w:val="a9"/>
        <w:rPr>
          <w:rtl/>
        </w:rPr>
      </w:pPr>
      <w:r>
        <w:rPr>
          <w:rStyle w:val="ab"/>
        </w:rPr>
        <w:footnoteRef/>
      </w:r>
      <w:r>
        <w:rPr>
          <w:rtl/>
        </w:rPr>
        <w:t xml:space="preserve"> </w:t>
      </w:r>
      <w:r w:rsidRPr="00405919">
        <w:rPr>
          <w:rFonts w:cs="Arial"/>
          <w:rtl/>
        </w:rPr>
        <w:t>מעולם לא חתמת על שוברי שמא אשה אחרת היתה ששמה כשמי</w:t>
      </w:r>
      <w:r>
        <w:rPr>
          <w:rFonts w:cs="Arial" w:hint="cs"/>
          <w:rtl/>
        </w:rPr>
        <w:t>, ב"י.</w:t>
      </w:r>
    </w:p>
  </w:footnote>
  <w:footnote w:id="1575">
    <w:p w14:paraId="0BC3D8A0" w14:textId="77777777" w:rsidR="0013116F" w:rsidRDefault="0013116F" w:rsidP="004B607F">
      <w:pPr>
        <w:pStyle w:val="a9"/>
        <w:rPr>
          <w:rtl/>
        </w:rPr>
      </w:pPr>
      <w:r>
        <w:rPr>
          <w:rStyle w:val="ab"/>
        </w:rPr>
        <w:footnoteRef/>
      </w:r>
      <w:r>
        <w:rPr>
          <w:rtl/>
        </w:rPr>
        <w:t xml:space="preserve"> </w:t>
      </w:r>
      <w:r w:rsidRPr="00405919">
        <w:rPr>
          <w:rFonts w:cs="Arial"/>
          <w:rtl/>
        </w:rPr>
        <w:t xml:space="preserve">אמר לה </w:t>
      </w:r>
      <w:r>
        <w:rPr>
          <w:rFonts w:cs="Arial" w:hint="cs"/>
          <w:rtl/>
        </w:rPr>
        <w:t>[רב ירמיה בר אבא]</w:t>
      </w:r>
      <w:r w:rsidRPr="00405919">
        <w:rPr>
          <w:rFonts w:cs="Arial"/>
          <w:rtl/>
        </w:rPr>
        <w:t xml:space="preserve"> אני כך אמרתי לתלמידים אלא שאמרו לי מיקש הוא דקשא כלומר בשביל שהזקינה נתחלפה קולה מכמות שהיתה בימי בחורתה ומשום הכי אין אתה מכיר אותה</w:t>
      </w:r>
      <w:r>
        <w:rPr>
          <w:rFonts w:hint="cs"/>
          <w:rtl/>
        </w:rPr>
        <w:t>, ב"י.</w:t>
      </w:r>
    </w:p>
  </w:footnote>
  <w:footnote w:id="1576">
    <w:p w14:paraId="735A218D" w14:textId="77777777" w:rsidR="0013116F" w:rsidRDefault="0013116F" w:rsidP="004B607F">
      <w:pPr>
        <w:pStyle w:val="a9"/>
        <w:rPr>
          <w:rtl/>
        </w:rPr>
      </w:pPr>
      <w:r>
        <w:rPr>
          <w:rStyle w:val="ab"/>
        </w:rPr>
        <w:footnoteRef/>
      </w:r>
      <w:r>
        <w:rPr>
          <w:rtl/>
        </w:rPr>
        <w:t xml:space="preserve"> </w:t>
      </w:r>
      <w:r>
        <w:rPr>
          <w:rFonts w:cs="Arial" w:hint="cs"/>
          <w:rtl/>
        </w:rPr>
        <w:t xml:space="preserve">כיון </w:t>
      </w:r>
      <w:r w:rsidRPr="00405919">
        <w:rPr>
          <w:rFonts w:cs="Arial"/>
          <w:rtl/>
        </w:rPr>
        <w:t>שאומר דקדקתי ואני מכירה נאמן</w:t>
      </w:r>
      <w:r>
        <w:rPr>
          <w:rFonts w:hint="cs"/>
          <w:rtl/>
        </w:rPr>
        <w:t>, ב"י.</w:t>
      </w:r>
    </w:p>
  </w:footnote>
  <w:footnote w:id="1577">
    <w:p w14:paraId="63C61D99" w14:textId="77777777" w:rsidR="0013116F" w:rsidRPr="00845316" w:rsidRDefault="0013116F" w:rsidP="004B607F">
      <w:pPr>
        <w:pStyle w:val="a9"/>
        <w:spacing w:after="60"/>
        <w:rPr>
          <w:rFonts w:asciiTheme="minorBidi" w:hAnsiTheme="minorBidi"/>
          <w:rtl/>
        </w:rPr>
      </w:pPr>
      <w:r w:rsidRPr="00845316">
        <w:rPr>
          <w:rStyle w:val="ab"/>
          <w:rFonts w:asciiTheme="minorBidi" w:hAnsiTheme="minorBidi"/>
        </w:rPr>
        <w:footnoteRef/>
      </w:r>
      <w:r w:rsidRPr="00845316">
        <w:rPr>
          <w:rFonts w:asciiTheme="minorBidi" w:hAnsiTheme="minorBidi"/>
          <w:rtl/>
        </w:rPr>
        <w:t xml:space="preserve"> ונראה מדבריו שבכל העניינים לאו אורחיה למידק</w:t>
      </w:r>
      <w:r>
        <w:rPr>
          <w:rFonts w:asciiTheme="minorBidi" w:hAnsiTheme="minorBidi" w:hint="cs"/>
          <w:rtl/>
        </w:rPr>
        <w:t>, ב"י</w:t>
      </w:r>
      <w:r w:rsidRPr="00845316">
        <w:rPr>
          <w:rFonts w:asciiTheme="minorBidi" w:hAnsiTheme="minorBidi"/>
          <w:rtl/>
        </w:rPr>
        <w:t>.</w:t>
      </w:r>
    </w:p>
  </w:footnote>
  <w:footnote w:id="1578">
    <w:p w14:paraId="426A6EB1" w14:textId="77777777" w:rsidR="0013116F" w:rsidRPr="00845316" w:rsidRDefault="0013116F" w:rsidP="004B607F">
      <w:pPr>
        <w:pStyle w:val="a9"/>
        <w:spacing w:after="60"/>
        <w:rPr>
          <w:rFonts w:asciiTheme="minorBidi" w:hAnsiTheme="minorBidi"/>
        </w:rPr>
      </w:pPr>
      <w:r w:rsidRPr="00845316">
        <w:rPr>
          <w:rStyle w:val="ab"/>
          <w:rFonts w:asciiTheme="minorBidi" w:hAnsiTheme="minorBidi"/>
        </w:rPr>
        <w:footnoteRef/>
      </w:r>
      <w:r w:rsidRPr="00845316">
        <w:rPr>
          <w:rFonts w:asciiTheme="minorBidi" w:hAnsiTheme="minorBidi"/>
          <w:rtl/>
        </w:rPr>
        <w:t xml:space="preserve"> (רשב"ם בעל התרומות</w:t>
      </w:r>
      <w:r w:rsidRPr="00845316">
        <w:rPr>
          <w:rFonts w:asciiTheme="minorBidi" w:hAnsiTheme="minorBidi"/>
          <w:sz w:val="16"/>
          <w:szCs w:val="16"/>
          <w:rtl/>
        </w:rPr>
        <w:t xml:space="preserve"> </w:t>
      </w:r>
      <w:r w:rsidRPr="00845316">
        <w:rPr>
          <w:rFonts w:asciiTheme="minorBidi" w:hAnsiTheme="minorBidi"/>
          <w:sz w:val="12"/>
          <w:szCs w:val="12"/>
          <w:rtl/>
        </w:rPr>
        <w:t>[שער לג ח"ג סי' ב]</w:t>
      </w:r>
      <w:r w:rsidRPr="00845316">
        <w:rPr>
          <w:rFonts w:asciiTheme="minorBidi" w:hAnsiTheme="minorBidi"/>
          <w:sz w:val="14"/>
          <w:szCs w:val="14"/>
          <w:rtl/>
        </w:rPr>
        <w:t xml:space="preserve"> </w:t>
      </w:r>
      <w:r w:rsidRPr="00845316">
        <w:rPr>
          <w:rFonts w:asciiTheme="minorBidi" w:hAnsiTheme="minorBidi"/>
          <w:rtl/>
        </w:rPr>
        <w:t>בשם הראב"ד וטור</w:t>
      </w:r>
      <w:r w:rsidRPr="00845316">
        <w:rPr>
          <w:rFonts w:asciiTheme="minorBidi" w:hAnsiTheme="minorBidi"/>
          <w:sz w:val="16"/>
          <w:szCs w:val="16"/>
          <w:rtl/>
        </w:rPr>
        <w:t xml:space="preserve"> </w:t>
      </w:r>
      <w:r w:rsidRPr="00845316">
        <w:rPr>
          <w:rFonts w:asciiTheme="minorBidi" w:hAnsiTheme="minorBidi"/>
          <w:sz w:val="14"/>
          <w:szCs w:val="14"/>
          <w:rtl/>
        </w:rPr>
        <w:t>[אעה"ז סי' קי]</w:t>
      </w:r>
      <w:r w:rsidRPr="00845316">
        <w:rPr>
          <w:rFonts w:asciiTheme="minorBidi" w:hAnsiTheme="minorBidi"/>
          <w:sz w:val="16"/>
          <w:szCs w:val="16"/>
          <w:rtl/>
        </w:rPr>
        <w:t xml:space="preserve"> להב' ב"י </w:t>
      </w:r>
      <w:r w:rsidRPr="00845316">
        <w:rPr>
          <w:rFonts w:asciiTheme="minorBidi" w:hAnsiTheme="minorBidi"/>
          <w:sz w:val="14"/>
          <w:szCs w:val="14"/>
          <w:rtl/>
        </w:rPr>
        <w:t>[חו"מ סי' כט סע' א</w:t>
      </w:r>
      <w:r w:rsidRPr="00845316">
        <w:rPr>
          <w:rFonts w:asciiTheme="minorBidi" w:hAnsiTheme="minorBidi"/>
          <w:sz w:val="10"/>
          <w:szCs w:val="10"/>
          <w:rtl/>
        </w:rPr>
        <w:t>(ב)</w:t>
      </w:r>
      <w:r w:rsidRPr="00845316">
        <w:rPr>
          <w:rFonts w:asciiTheme="minorBidi" w:hAnsiTheme="minorBidi"/>
          <w:sz w:val="16"/>
          <w:szCs w:val="16"/>
          <w:rtl/>
        </w:rPr>
        <w:t xml:space="preserve">] מבי"ט </w:t>
      </w:r>
      <w:r w:rsidRPr="00845316">
        <w:rPr>
          <w:rFonts w:asciiTheme="minorBidi" w:hAnsiTheme="minorBidi"/>
          <w:sz w:val="14"/>
          <w:szCs w:val="14"/>
          <w:rtl/>
        </w:rPr>
        <w:t>[ח"ג סי' לג]</w:t>
      </w:r>
      <w:r w:rsidRPr="00845316">
        <w:rPr>
          <w:rFonts w:asciiTheme="minorBidi" w:hAnsiTheme="minorBidi"/>
          <w:sz w:val="16"/>
          <w:szCs w:val="16"/>
          <w:rtl/>
        </w:rPr>
        <w:t xml:space="preserve"> ש"ך </w:t>
      </w:r>
      <w:r w:rsidRPr="00845316">
        <w:rPr>
          <w:rFonts w:asciiTheme="minorBidi" w:hAnsiTheme="minorBidi"/>
          <w:sz w:val="14"/>
          <w:szCs w:val="14"/>
          <w:rtl/>
        </w:rPr>
        <w:t>[</w:t>
      </w:r>
      <w:r>
        <w:rPr>
          <w:rFonts w:asciiTheme="minorBidi" w:hAnsiTheme="minorBidi" w:hint="cs"/>
          <w:sz w:val="14"/>
          <w:szCs w:val="14"/>
          <w:rtl/>
        </w:rPr>
        <w:t xml:space="preserve">סי', מט </w:t>
      </w:r>
      <w:r w:rsidRPr="00845316">
        <w:rPr>
          <w:rFonts w:asciiTheme="minorBidi" w:hAnsiTheme="minorBidi"/>
          <w:sz w:val="14"/>
          <w:szCs w:val="14"/>
          <w:rtl/>
        </w:rPr>
        <w:t>סק"ד]</w:t>
      </w:r>
      <w:r w:rsidRPr="00845316">
        <w:rPr>
          <w:rFonts w:asciiTheme="minorBidi" w:hAnsiTheme="minorBidi"/>
          <w:sz w:val="16"/>
          <w:szCs w:val="16"/>
          <w:rtl/>
        </w:rPr>
        <w:t xml:space="preserve"> ואורים</w:t>
      </w:r>
      <w:r w:rsidRPr="00845316">
        <w:rPr>
          <w:rFonts w:asciiTheme="minorBidi" w:hAnsiTheme="minorBidi"/>
          <w:sz w:val="14"/>
          <w:szCs w:val="14"/>
          <w:rtl/>
        </w:rPr>
        <w:t xml:space="preserve"> [</w:t>
      </w:r>
      <w:r>
        <w:rPr>
          <w:rFonts w:asciiTheme="minorBidi" w:hAnsiTheme="minorBidi" w:hint="cs"/>
          <w:sz w:val="14"/>
          <w:szCs w:val="14"/>
          <w:rtl/>
        </w:rPr>
        <w:t xml:space="preserve">סי' מט, </w:t>
      </w:r>
      <w:r w:rsidRPr="00845316">
        <w:rPr>
          <w:rFonts w:asciiTheme="minorBidi" w:hAnsiTheme="minorBidi"/>
          <w:sz w:val="14"/>
          <w:szCs w:val="14"/>
          <w:rtl/>
        </w:rPr>
        <w:t>סק"ו]</w:t>
      </w:r>
      <w:r w:rsidRPr="00845316">
        <w:rPr>
          <w:rFonts w:asciiTheme="minorBidi" w:hAnsiTheme="minorBidi"/>
          <w:rtl/>
        </w:rPr>
        <w:t xml:space="preserve">). </w:t>
      </w:r>
    </w:p>
  </w:footnote>
  <w:footnote w:id="1579">
    <w:p w14:paraId="08255CAA" w14:textId="77777777" w:rsidR="0013116F" w:rsidRPr="00845316" w:rsidRDefault="0013116F" w:rsidP="004B607F">
      <w:pPr>
        <w:pStyle w:val="a9"/>
        <w:spacing w:after="60"/>
        <w:rPr>
          <w:rFonts w:asciiTheme="minorBidi" w:hAnsiTheme="minorBidi"/>
        </w:rPr>
      </w:pPr>
      <w:r w:rsidRPr="00845316">
        <w:rPr>
          <w:rStyle w:val="ab"/>
          <w:rFonts w:asciiTheme="minorBidi" w:hAnsiTheme="minorBidi"/>
        </w:rPr>
        <w:footnoteRef/>
      </w:r>
      <w:r w:rsidRPr="00845316">
        <w:rPr>
          <w:rFonts w:asciiTheme="minorBidi" w:hAnsiTheme="minorBidi"/>
          <w:rtl/>
        </w:rPr>
        <w:t xml:space="preserve"> וכ' ה</w:t>
      </w:r>
      <w:r>
        <w:rPr>
          <w:rFonts w:asciiTheme="minorBidi" w:hAnsiTheme="minorBidi" w:hint="cs"/>
          <w:rtl/>
        </w:rPr>
        <w:t>ב"י ד</w:t>
      </w:r>
      <w:r w:rsidRPr="00845316">
        <w:rPr>
          <w:rFonts w:asciiTheme="minorBidi" w:hAnsiTheme="minorBidi"/>
          <w:rtl/>
        </w:rPr>
        <w:t>הכי מסתבר. וכ' עוד ש</w:t>
      </w:r>
      <w:r>
        <w:rPr>
          <w:rFonts w:asciiTheme="minorBidi" w:hAnsiTheme="minorBidi" w:hint="cs"/>
          <w:rtl/>
        </w:rPr>
        <w:t>אפשר ש</w:t>
      </w:r>
      <w:r w:rsidRPr="00845316">
        <w:rPr>
          <w:rFonts w:asciiTheme="minorBidi" w:hAnsiTheme="minorBidi"/>
          <w:rtl/>
        </w:rPr>
        <w:t xml:space="preserve">גם רי"ו הכי קאמר </w:t>
      </w:r>
      <w:r>
        <w:rPr>
          <w:rFonts w:asciiTheme="minorBidi" w:hAnsiTheme="minorBidi" w:hint="cs"/>
          <w:rtl/>
        </w:rPr>
        <w:t>ד</w:t>
      </w:r>
      <w:r w:rsidRPr="00845316">
        <w:rPr>
          <w:rFonts w:asciiTheme="minorBidi" w:hAnsiTheme="minorBidi"/>
          <w:rtl/>
        </w:rPr>
        <w:t>אע"פ שהגיד חוזר ומגיד במילתא דלאו אורחיה למידק כלומר כי עדות היכר אשה.</w:t>
      </w:r>
      <w:r w:rsidRPr="00845316">
        <w:rPr>
          <w:rFonts w:asciiTheme="minorBidi" w:hAnsiTheme="minorBidi"/>
          <w:sz w:val="16"/>
          <w:szCs w:val="16"/>
          <w:rtl/>
        </w:rPr>
        <w:t xml:space="preserve"> </w:t>
      </w:r>
    </w:p>
  </w:footnote>
  <w:footnote w:id="1580">
    <w:p w14:paraId="1C608980" w14:textId="77777777" w:rsidR="0013116F" w:rsidRPr="00845316" w:rsidRDefault="0013116F" w:rsidP="004B607F">
      <w:pPr>
        <w:pStyle w:val="a9"/>
        <w:spacing w:after="60"/>
        <w:rPr>
          <w:rFonts w:asciiTheme="minorBidi" w:hAnsiTheme="minorBidi"/>
          <w:rtl/>
        </w:rPr>
      </w:pPr>
      <w:r w:rsidRPr="00845316">
        <w:rPr>
          <w:rStyle w:val="ab"/>
          <w:rFonts w:asciiTheme="minorBidi" w:hAnsiTheme="minorBidi"/>
        </w:rPr>
        <w:footnoteRef/>
      </w:r>
      <w:r w:rsidRPr="00845316">
        <w:rPr>
          <w:rFonts w:asciiTheme="minorBidi" w:hAnsiTheme="minorBidi"/>
          <w:rtl/>
        </w:rPr>
        <w:t xml:space="preserve"> הסמ"ע </w:t>
      </w:r>
      <w:r w:rsidRPr="00845316">
        <w:rPr>
          <w:rFonts w:asciiTheme="minorBidi" w:hAnsiTheme="minorBidi"/>
          <w:sz w:val="14"/>
          <w:szCs w:val="14"/>
          <w:rtl/>
        </w:rPr>
        <w:t>(</w:t>
      </w:r>
      <w:r>
        <w:rPr>
          <w:rFonts w:asciiTheme="minorBidi" w:hAnsiTheme="minorBidi" w:hint="cs"/>
          <w:sz w:val="14"/>
          <w:szCs w:val="14"/>
          <w:rtl/>
        </w:rPr>
        <w:t xml:space="preserve">סי' מט, </w:t>
      </w:r>
      <w:r w:rsidRPr="00845316">
        <w:rPr>
          <w:rFonts w:asciiTheme="minorBidi" w:hAnsiTheme="minorBidi"/>
          <w:sz w:val="14"/>
          <w:szCs w:val="14"/>
          <w:rtl/>
        </w:rPr>
        <w:t xml:space="preserve">סק"ו) </w:t>
      </w:r>
      <w:r w:rsidRPr="00845316">
        <w:rPr>
          <w:rFonts w:asciiTheme="minorBidi" w:hAnsiTheme="minorBidi"/>
          <w:rtl/>
        </w:rPr>
        <w:t xml:space="preserve">מפרש שהרשב"ם והטור סוברים </w:t>
      </w:r>
      <w:r w:rsidRPr="00845316">
        <w:rPr>
          <w:rFonts w:asciiTheme="minorBidi" w:hAnsiTheme="minorBidi"/>
          <w:u w:val="single"/>
          <w:rtl/>
        </w:rPr>
        <w:t>שת"ח</w:t>
      </w:r>
      <w:r w:rsidRPr="00845316">
        <w:rPr>
          <w:rFonts w:asciiTheme="minorBidi" w:hAnsiTheme="minorBidi"/>
          <w:rtl/>
        </w:rPr>
        <w:t xml:space="preserve"> יכול לסמוך על אחרים ואח"כ לומר טעיתי ונקבל דבריו בשנית משום שהוא טרוד בגירסתו, משא"כ </w:t>
      </w:r>
      <w:r w:rsidRPr="00845316">
        <w:rPr>
          <w:rFonts w:asciiTheme="minorBidi" w:hAnsiTheme="minorBidi"/>
          <w:u w:val="single"/>
          <w:rtl/>
        </w:rPr>
        <w:t>דיין</w:t>
      </w:r>
      <w:r w:rsidRPr="00845316">
        <w:rPr>
          <w:rFonts w:asciiTheme="minorBidi" w:hAnsiTheme="minorBidi"/>
          <w:rtl/>
        </w:rPr>
        <w:t xml:space="preserve"> שאינו ת"ח שלא סומך על מי שאומר לו לבד אלא דורש וחוקר בעצמו שאז אינו יכול לומר "הטעוני", והא דכתב רשב"ם שאין דרכו להסתכל באשה כו', ללמדנו דבאשה אף שאין צריך לבטל לימודו בדרישה וחקירה, והיינו שהאשה עומדת לפניו ואם הסתכל בה היה מכירה, אפ"ה מקבלין מיניה כשאומר לא רציתי להסתכל בה. </w:t>
      </w:r>
      <w:r w:rsidRPr="00845316">
        <w:rPr>
          <w:rFonts w:asciiTheme="minorBidi" w:hAnsiTheme="minorBidi"/>
          <w:sz w:val="16"/>
          <w:szCs w:val="16"/>
          <w:rtl/>
        </w:rPr>
        <w:t>(משא"כ כשיש לפניו איש, דבכה"ג אינו נאמן לומר לא רציתי להסתכל בו וסמכתי על אחרים והטעוני, כי אם כשאינו מכיר אותו אף אם הסתכל בו, דבזה מאמינים לו ואמרינן שמכח טרדתו בגירסא לא היה רוצה לבטל לעשות דרישה וחקירה)</w:t>
      </w:r>
      <w:r w:rsidRPr="00845316">
        <w:rPr>
          <w:rFonts w:asciiTheme="minorBidi" w:hAnsiTheme="minorBidi"/>
          <w:rtl/>
        </w:rPr>
        <w:t xml:space="preserve">. וכ' עוד שכן דעת הב"י </w:t>
      </w:r>
      <w:r w:rsidRPr="00845316">
        <w:rPr>
          <w:rFonts w:asciiTheme="minorBidi" w:hAnsiTheme="minorBidi"/>
          <w:sz w:val="16"/>
          <w:szCs w:val="16"/>
          <w:rtl/>
        </w:rPr>
        <w:t xml:space="preserve">(מזה שהב"י </w:t>
      </w:r>
      <w:r w:rsidRPr="00717045">
        <w:rPr>
          <w:rFonts w:asciiTheme="minorBidi" w:hAnsiTheme="minorBidi" w:hint="cs"/>
          <w:sz w:val="14"/>
          <w:szCs w:val="14"/>
          <w:rtl/>
        </w:rPr>
        <w:t>[כאן]</w:t>
      </w:r>
      <w:r w:rsidRPr="00845316">
        <w:rPr>
          <w:rFonts w:asciiTheme="minorBidi" w:hAnsiTheme="minorBidi"/>
          <w:sz w:val="16"/>
          <w:szCs w:val="16"/>
          <w:rtl/>
        </w:rPr>
        <w:t xml:space="preserve"> הביא ראיה לדבריו מדכתבו רבינו באה"ע סימן ק"י אעדות אשה, ובסימן </w:t>
      </w:r>
      <w:r>
        <w:rPr>
          <w:rFonts w:asciiTheme="minorBidi" w:hAnsiTheme="minorBidi" w:hint="cs"/>
          <w:sz w:val="16"/>
          <w:szCs w:val="16"/>
          <w:rtl/>
        </w:rPr>
        <w:t>מט</w:t>
      </w:r>
      <w:r w:rsidRPr="00845316">
        <w:rPr>
          <w:rFonts w:asciiTheme="minorBidi" w:hAnsiTheme="minorBidi"/>
          <w:sz w:val="16"/>
          <w:szCs w:val="16"/>
          <w:rtl/>
        </w:rPr>
        <w:t xml:space="preserve"> [מחודש א'] דכתב הב"י דגם בשאר דברים נאמן הת"ח לומר שהטעוהו הביא ג"כ ההיא דכתב רבינו באה"ע, ולא עוד אלא שהזכיר הב"י </w:t>
      </w:r>
      <w:r>
        <w:rPr>
          <w:rFonts w:asciiTheme="minorBidi" w:hAnsiTheme="minorBidi" w:hint="cs"/>
          <w:sz w:val="16"/>
          <w:szCs w:val="16"/>
          <w:rtl/>
        </w:rPr>
        <w:t>בסי' מט</w:t>
      </w:r>
      <w:r w:rsidRPr="00845316">
        <w:rPr>
          <w:rFonts w:asciiTheme="minorBidi" w:hAnsiTheme="minorBidi"/>
          <w:sz w:val="16"/>
          <w:szCs w:val="16"/>
          <w:rtl/>
        </w:rPr>
        <w:t xml:space="preserve"> מ"ש בסימן </w:t>
      </w:r>
      <w:r>
        <w:rPr>
          <w:rFonts w:asciiTheme="minorBidi" w:hAnsiTheme="minorBidi" w:hint="cs"/>
          <w:sz w:val="16"/>
          <w:szCs w:val="16"/>
          <w:rtl/>
        </w:rPr>
        <w:t>זה</w:t>
      </w:r>
      <w:r w:rsidRPr="00845316">
        <w:rPr>
          <w:rFonts w:asciiTheme="minorBidi" w:hAnsiTheme="minorBidi"/>
          <w:sz w:val="16"/>
          <w:szCs w:val="16"/>
          <w:rtl/>
        </w:rPr>
        <w:t>, הרי לפנינו דבשעה שכתב הב"י דבריו שב</w:t>
      </w:r>
      <w:r>
        <w:rPr>
          <w:rFonts w:asciiTheme="minorBidi" w:hAnsiTheme="minorBidi" w:hint="cs"/>
          <w:sz w:val="16"/>
          <w:szCs w:val="16"/>
          <w:rtl/>
        </w:rPr>
        <w:t>סי'</w:t>
      </w:r>
      <w:r w:rsidRPr="00845316">
        <w:rPr>
          <w:rFonts w:asciiTheme="minorBidi" w:hAnsiTheme="minorBidi"/>
          <w:sz w:val="16"/>
          <w:szCs w:val="16"/>
          <w:rtl/>
        </w:rPr>
        <w:t xml:space="preserve"> </w:t>
      </w:r>
      <w:r>
        <w:rPr>
          <w:rFonts w:asciiTheme="minorBidi" w:hAnsiTheme="minorBidi" w:hint="cs"/>
          <w:sz w:val="16"/>
          <w:szCs w:val="16"/>
          <w:rtl/>
        </w:rPr>
        <w:t xml:space="preserve">מט </w:t>
      </w:r>
      <w:r w:rsidRPr="00845316">
        <w:rPr>
          <w:rFonts w:asciiTheme="minorBidi" w:hAnsiTheme="minorBidi"/>
          <w:sz w:val="16"/>
          <w:szCs w:val="16"/>
          <w:rtl/>
        </w:rPr>
        <w:t xml:space="preserve">זכר מ"ש בסימן </w:t>
      </w:r>
      <w:r>
        <w:rPr>
          <w:rFonts w:asciiTheme="minorBidi" w:hAnsiTheme="minorBidi" w:hint="cs"/>
          <w:sz w:val="16"/>
          <w:szCs w:val="16"/>
          <w:rtl/>
        </w:rPr>
        <w:t>זה</w:t>
      </w:r>
      <w:r w:rsidRPr="00845316">
        <w:rPr>
          <w:rFonts w:asciiTheme="minorBidi" w:hAnsiTheme="minorBidi"/>
          <w:sz w:val="16"/>
          <w:szCs w:val="16"/>
          <w:rtl/>
        </w:rPr>
        <w:t>)</w:t>
      </w:r>
      <w:r w:rsidRPr="00845316">
        <w:rPr>
          <w:rFonts w:asciiTheme="minorBidi" w:hAnsiTheme="minorBidi"/>
          <w:rtl/>
        </w:rPr>
        <w:t xml:space="preserve"> אך לא הצלחתי להבין איך אומר כן בדעת הב"י והרי הב"י </w:t>
      </w:r>
      <w:r w:rsidRPr="00845316">
        <w:rPr>
          <w:rFonts w:asciiTheme="minorBidi" w:hAnsiTheme="minorBidi"/>
          <w:sz w:val="16"/>
          <w:szCs w:val="16"/>
          <w:rtl/>
        </w:rPr>
        <w:t>(</w:t>
      </w:r>
      <w:r>
        <w:rPr>
          <w:rFonts w:asciiTheme="minorBidi" w:hAnsiTheme="minorBidi" w:hint="cs"/>
          <w:sz w:val="16"/>
          <w:szCs w:val="16"/>
          <w:rtl/>
        </w:rPr>
        <w:t>כאן</w:t>
      </w:r>
      <w:r w:rsidRPr="00845316">
        <w:rPr>
          <w:rFonts w:asciiTheme="minorBidi" w:hAnsiTheme="minorBidi"/>
          <w:sz w:val="16"/>
          <w:szCs w:val="16"/>
          <w:rtl/>
        </w:rPr>
        <w:t xml:space="preserve">) </w:t>
      </w:r>
      <w:r w:rsidRPr="00845316">
        <w:rPr>
          <w:rFonts w:asciiTheme="minorBidi" w:hAnsiTheme="minorBidi"/>
          <w:rtl/>
        </w:rPr>
        <w:t>כ' שעיקר כפ' רשב"ם שרק בעדות היכר אשה אומרים כן, והיא גופא קושייתו של הרמ"א. וכן תמה הש"ך</w:t>
      </w:r>
      <w:r w:rsidRPr="00845316">
        <w:rPr>
          <w:rFonts w:asciiTheme="minorBidi" w:hAnsiTheme="minorBidi"/>
          <w:sz w:val="16"/>
          <w:szCs w:val="16"/>
          <w:rtl/>
        </w:rPr>
        <w:t xml:space="preserve"> (</w:t>
      </w:r>
      <w:r>
        <w:rPr>
          <w:rFonts w:asciiTheme="minorBidi" w:hAnsiTheme="minorBidi" w:hint="cs"/>
          <w:sz w:val="16"/>
          <w:szCs w:val="16"/>
          <w:rtl/>
        </w:rPr>
        <w:t xml:space="preserve">שם </w:t>
      </w:r>
      <w:r w:rsidRPr="00845316">
        <w:rPr>
          <w:rFonts w:asciiTheme="minorBidi" w:hAnsiTheme="minorBidi"/>
          <w:sz w:val="16"/>
          <w:szCs w:val="16"/>
          <w:rtl/>
        </w:rPr>
        <w:t>סק"ד)</w:t>
      </w:r>
      <w:r w:rsidRPr="00845316">
        <w:rPr>
          <w:rFonts w:asciiTheme="minorBidi" w:hAnsiTheme="minorBidi"/>
          <w:rtl/>
        </w:rPr>
        <w:t xml:space="preserve"> על דבריו.</w:t>
      </w:r>
    </w:p>
  </w:footnote>
  <w:footnote w:id="1581">
    <w:p w14:paraId="3E87BFA1" w14:textId="77777777" w:rsidR="0013116F" w:rsidRPr="00845316" w:rsidRDefault="0013116F" w:rsidP="004B607F">
      <w:pPr>
        <w:pStyle w:val="a9"/>
        <w:spacing w:after="60"/>
        <w:rPr>
          <w:rFonts w:asciiTheme="minorBidi" w:hAnsiTheme="minorBidi"/>
          <w:rtl/>
        </w:rPr>
      </w:pPr>
      <w:r w:rsidRPr="00845316">
        <w:rPr>
          <w:rStyle w:val="ab"/>
          <w:rFonts w:asciiTheme="minorBidi" w:hAnsiTheme="minorBidi"/>
        </w:rPr>
        <w:footnoteRef/>
      </w:r>
      <w:r w:rsidRPr="00845316">
        <w:rPr>
          <w:rFonts w:asciiTheme="minorBidi" w:hAnsiTheme="minorBidi"/>
          <w:rtl/>
        </w:rPr>
        <w:t xml:space="preserve"> כגון שהצורבא מרבנן היה טרוד בלימודו ולא בירר די את שם המלוה- כיון שסמך על עדות קרוב או אשה שוב לאו חוזר ומגיד הוא דהגדה ראשונה לאו מפיהו הוה, וה"ה שלא רצה להסתכל על האשה וכ' את שמה שאמרה לו היא, שיכול לחזור ולומר טעיתי.</w:t>
      </w:r>
    </w:p>
  </w:footnote>
  <w:footnote w:id="1582">
    <w:p w14:paraId="78CF4BF1" w14:textId="77777777" w:rsidR="0013116F" w:rsidRDefault="0013116F" w:rsidP="004B607F">
      <w:pPr>
        <w:pStyle w:val="a9"/>
        <w:rPr>
          <w:rtl/>
        </w:rPr>
      </w:pPr>
      <w:r>
        <w:rPr>
          <w:rStyle w:val="ab"/>
        </w:rPr>
        <w:footnoteRef/>
      </w:r>
      <w:r>
        <w:rPr>
          <w:rtl/>
        </w:rPr>
        <w:t xml:space="preserve"> </w:t>
      </w:r>
      <w:r w:rsidRPr="009C5CA7">
        <w:rPr>
          <w:rFonts w:cs="Arial"/>
          <w:rtl/>
        </w:rPr>
        <w:t>מהא דגט פשוט</w:t>
      </w:r>
      <w:r>
        <w:rPr>
          <w:rFonts w:cs="Arial" w:hint="cs"/>
          <w:sz w:val="16"/>
          <w:szCs w:val="16"/>
          <w:rtl/>
        </w:rPr>
        <w:t xml:space="preserve"> (ב"ב קסז:)</w:t>
      </w:r>
      <w:r w:rsidRPr="009C5CA7">
        <w:rPr>
          <w:rFonts w:cs="Arial"/>
          <w:rtl/>
        </w:rPr>
        <w:t xml:space="preserve"> ומלשון הירושלמי שכתב </w:t>
      </w:r>
      <w:r>
        <w:rPr>
          <w:rFonts w:cs="Arial" w:hint="cs"/>
          <w:rtl/>
        </w:rPr>
        <w:t>'</w:t>
      </w:r>
      <w:r w:rsidRPr="009C5CA7">
        <w:rPr>
          <w:rFonts w:cs="Arial"/>
          <w:rtl/>
        </w:rPr>
        <w:t>העדים שהעידו</w:t>
      </w:r>
      <w:r>
        <w:rPr>
          <w:rFonts w:cs="Arial" w:hint="cs"/>
          <w:rtl/>
        </w:rPr>
        <w:t>'</w:t>
      </w:r>
      <w:r w:rsidRPr="009C5CA7">
        <w:rPr>
          <w:rFonts w:cs="Arial"/>
          <w:rtl/>
        </w:rPr>
        <w:t xml:space="preserve"> גם מלשון רבינו ולשון הרמב"ם </w:t>
      </w:r>
      <w:r w:rsidRPr="0092095D">
        <w:rPr>
          <w:rFonts w:cs="Arial" w:hint="cs"/>
          <w:sz w:val="16"/>
          <w:szCs w:val="16"/>
          <w:rtl/>
        </w:rPr>
        <w:t>(</w:t>
      </w:r>
      <w:r w:rsidRPr="0092095D">
        <w:rPr>
          <w:rFonts w:cs="Arial"/>
          <w:sz w:val="16"/>
          <w:szCs w:val="16"/>
          <w:rtl/>
        </w:rPr>
        <w:t xml:space="preserve">פ"ג מהלכות עדות ה"ה) </w:t>
      </w:r>
      <w:r w:rsidRPr="009C5CA7">
        <w:rPr>
          <w:rFonts w:cs="Arial"/>
          <w:rtl/>
        </w:rPr>
        <w:t>שכתב שאינו יכול העד לחזור ולומר דבר שסותר עדותו משמע לי ד</w:t>
      </w:r>
      <w:r>
        <w:rPr>
          <w:rFonts w:hint="cs"/>
          <w:rtl/>
        </w:rPr>
        <w:t>-...</w:t>
      </w:r>
    </w:p>
  </w:footnote>
  <w:footnote w:id="1583">
    <w:p w14:paraId="43A14F31" w14:textId="77777777" w:rsidR="0013116F" w:rsidRDefault="0013116F" w:rsidP="004B607F">
      <w:pPr>
        <w:pStyle w:val="a9"/>
        <w:rPr>
          <w:rtl/>
        </w:rPr>
      </w:pPr>
      <w:r>
        <w:rPr>
          <w:rStyle w:val="ab"/>
        </w:rPr>
        <w:footnoteRef/>
      </w:r>
      <w:r>
        <w:rPr>
          <w:rtl/>
        </w:rPr>
        <w:t xml:space="preserve"> </w:t>
      </w:r>
      <w:r w:rsidRPr="009C5CA7">
        <w:rPr>
          <w:rFonts w:cs="Arial"/>
          <w:rtl/>
        </w:rPr>
        <w:t>ועוד דכשהעיד אינו יכול לחזור בו משום דמשוי נפשיה רשיעא משום דלא דק מלהעיד עדות שקר</w:t>
      </w:r>
      <w:r w:rsidRPr="009C5CA7">
        <w:rPr>
          <w:rFonts w:cs="Arial" w:hint="cs"/>
          <w:rtl/>
        </w:rPr>
        <w:t>,</w:t>
      </w:r>
      <w:r w:rsidRPr="009C5CA7">
        <w:rPr>
          <w:rFonts w:cs="Arial"/>
          <w:rtl/>
        </w:rPr>
        <w:t xml:space="preserve"> אבל כי אמר אינו יודע מפני פחד או מפני טענה אחרת לא משוי נפשיה רשיעא שהרי לא עבר שום עבירה</w:t>
      </w:r>
      <w:r w:rsidRPr="009C5CA7">
        <w:rPr>
          <w:rFonts w:cs="Arial" w:hint="cs"/>
          <w:rtl/>
        </w:rPr>
        <w:t>,</w:t>
      </w:r>
      <w:r w:rsidRPr="009C5CA7">
        <w:rPr>
          <w:rFonts w:cs="Arial"/>
          <w:rtl/>
        </w:rPr>
        <w:t xml:space="preserve"> ואע</w:t>
      </w:r>
      <w:r w:rsidRPr="009C5CA7">
        <w:rPr>
          <w:rFonts w:cs="Arial" w:hint="cs"/>
          <w:rtl/>
        </w:rPr>
        <w:t>"</w:t>
      </w:r>
      <w:r w:rsidRPr="009C5CA7">
        <w:rPr>
          <w:rFonts w:cs="Arial"/>
          <w:rtl/>
        </w:rPr>
        <w:t xml:space="preserve">פ שנושא עון דאם לא יגיד </w:t>
      </w:r>
      <w:r w:rsidRPr="0092095D">
        <w:rPr>
          <w:rFonts w:cs="Arial"/>
          <w:sz w:val="16"/>
          <w:szCs w:val="16"/>
          <w:rtl/>
        </w:rPr>
        <w:t xml:space="preserve">(ויקרא ה א) </w:t>
      </w:r>
      <w:r w:rsidRPr="009C5CA7">
        <w:rPr>
          <w:rFonts w:cs="Arial"/>
          <w:rtl/>
        </w:rPr>
        <w:t>מכל מקום שב ואל תעשה הוא</w:t>
      </w:r>
      <w:r w:rsidRPr="009C5CA7">
        <w:rPr>
          <w:rFonts w:cs="Arial" w:hint="cs"/>
          <w:rtl/>
        </w:rPr>
        <w:t>,</w:t>
      </w:r>
      <w:r w:rsidRPr="009C5CA7">
        <w:rPr>
          <w:rFonts w:cs="Arial"/>
          <w:rtl/>
        </w:rPr>
        <w:t xml:space="preserve"> וכן משמע מפירוש רש"י</w:t>
      </w:r>
      <w:r>
        <w:rPr>
          <w:rFonts w:cs="Arial" w:hint="cs"/>
          <w:rtl/>
        </w:rPr>
        <w:t xml:space="preserve"> </w:t>
      </w:r>
      <w:r w:rsidRPr="009C5CA7">
        <w:rPr>
          <w:rFonts w:cs="Arial"/>
          <w:rtl/>
        </w:rPr>
        <w:t>פרק המפקיד (לט:) ופ"ב דכתובות (כז:) גבי הא דמרי בר איסק אתא ליה אחא מבי חוזאה דאמרינן התם דמשום דאלמא הוא חדא עבדי תרתי לא עבדי. ומשמע מדבריו דהכי קאמר חדא דשתקי מלהעיד האמת וחדא דמסהדי שיקרא לא עבדי</w:t>
      </w:r>
      <w:r w:rsidRPr="009C5CA7">
        <w:rPr>
          <w:rFonts w:cs="Arial" w:hint="cs"/>
          <w:rtl/>
        </w:rPr>
        <w:t>,</w:t>
      </w:r>
      <w:r w:rsidRPr="009C5CA7">
        <w:rPr>
          <w:rFonts w:cs="Arial"/>
          <w:rtl/>
        </w:rPr>
        <w:t xml:space="preserve"> הרי מפורש דאע</w:t>
      </w:r>
      <w:r w:rsidRPr="009C5CA7">
        <w:rPr>
          <w:rFonts w:cs="Arial" w:hint="cs"/>
          <w:rtl/>
        </w:rPr>
        <w:t>"</w:t>
      </w:r>
      <w:r w:rsidRPr="009C5CA7">
        <w:rPr>
          <w:rFonts w:cs="Arial"/>
          <w:rtl/>
        </w:rPr>
        <w:t>ג דלא חשדינן להו באסהודי שיקרא חשדינן להו בשישתקו מלהעיד האמת מפני פחדו של זה</w:t>
      </w:r>
      <w:r w:rsidRPr="009C5CA7">
        <w:rPr>
          <w:rFonts w:cs="Arial" w:hint="cs"/>
          <w:rtl/>
        </w:rPr>
        <w:t>,</w:t>
      </w:r>
      <w:r w:rsidRPr="009C5CA7">
        <w:rPr>
          <w:rFonts w:cs="Arial"/>
          <w:rtl/>
        </w:rPr>
        <w:t xml:space="preserve"> וטעמא כדפרישית</w:t>
      </w:r>
      <w:r>
        <w:rPr>
          <w:rFonts w:hint="cs"/>
          <w:rtl/>
        </w:rPr>
        <w:t>.</w:t>
      </w:r>
      <w:r w:rsidRPr="00B0187B">
        <w:rPr>
          <w:rFonts w:cs="Arial"/>
          <w:rtl/>
        </w:rPr>
        <w:t xml:space="preserve"> </w:t>
      </w:r>
      <w:r w:rsidRPr="009C5CA7">
        <w:rPr>
          <w:rFonts w:cs="Arial"/>
          <w:rtl/>
        </w:rPr>
        <w:t>ועוד דאל</w:t>
      </w:r>
      <w:r w:rsidRPr="009C5CA7">
        <w:rPr>
          <w:rFonts w:cs="Arial" w:hint="cs"/>
          <w:rtl/>
        </w:rPr>
        <w:t>"</w:t>
      </w:r>
      <w:r w:rsidRPr="009C5CA7">
        <w:rPr>
          <w:rFonts w:cs="Arial"/>
          <w:rtl/>
        </w:rPr>
        <w:t xml:space="preserve">כ למה ליה למיתני </w:t>
      </w:r>
      <w:r w:rsidRPr="0092095D">
        <w:rPr>
          <w:rFonts w:cs="Arial"/>
          <w:sz w:val="16"/>
          <w:szCs w:val="16"/>
          <w:rtl/>
        </w:rPr>
        <w:t xml:space="preserve">(שבועות לא:) </w:t>
      </w:r>
      <w:r w:rsidRPr="009C5CA7">
        <w:rPr>
          <w:rFonts w:cs="Arial"/>
          <w:rtl/>
        </w:rPr>
        <w:t>השביע עליהם חמשה פעמים בפני בית דין וכפרו אינם חייבים אלא אחד</w:t>
      </w:r>
      <w:r w:rsidRPr="009C5CA7">
        <w:rPr>
          <w:rFonts w:cs="Arial" w:hint="cs"/>
          <w:rtl/>
        </w:rPr>
        <w:t>?</w:t>
      </w:r>
      <w:r w:rsidRPr="009C5CA7">
        <w:rPr>
          <w:rFonts w:cs="Arial"/>
          <w:rtl/>
        </w:rPr>
        <w:t xml:space="preserve"> ליתני תבעם בפני בית דין</w:t>
      </w:r>
      <w:r>
        <w:rPr>
          <w:rFonts w:cs="Arial" w:hint="cs"/>
          <w:rtl/>
        </w:rPr>
        <w:t>,</w:t>
      </w:r>
      <w:r w:rsidRPr="009C5CA7">
        <w:rPr>
          <w:rFonts w:cs="Arial"/>
          <w:rtl/>
        </w:rPr>
        <w:t xml:space="preserve"> כלומר בלא שבועה</w:t>
      </w:r>
      <w:r>
        <w:rPr>
          <w:rFonts w:cs="Arial" w:hint="cs"/>
          <w:rtl/>
        </w:rPr>
        <w:t>,</w:t>
      </w:r>
      <w:r w:rsidRPr="009C5CA7">
        <w:rPr>
          <w:rFonts w:cs="Arial"/>
          <w:rtl/>
        </w:rPr>
        <w:t xml:space="preserve"> וכפרו וחזר ותבעם חמשה פעמים והשביעם פטורים</w:t>
      </w:r>
      <w:r w:rsidRPr="009C5CA7">
        <w:rPr>
          <w:rFonts w:cs="Arial" w:hint="cs"/>
          <w:rtl/>
        </w:rPr>
        <w:t>,</w:t>
      </w:r>
      <w:r w:rsidRPr="009C5CA7">
        <w:rPr>
          <w:rFonts w:cs="Arial"/>
          <w:rtl/>
        </w:rPr>
        <w:t xml:space="preserve"> לפי שכשהשביעם שבועה ראשונה כבר לא היו יכולין לחזור ולהודות</w:t>
      </w:r>
      <w:r>
        <w:rPr>
          <w:rFonts w:cs="Arial" w:hint="cs"/>
          <w:rtl/>
        </w:rPr>
        <w:t>,</w:t>
      </w:r>
      <w:r>
        <w:rPr>
          <w:rFonts w:hint="cs"/>
          <w:rtl/>
        </w:rPr>
        <w:t xml:space="preserve"> ב"י.</w:t>
      </w:r>
    </w:p>
  </w:footnote>
  <w:footnote w:id="1584">
    <w:p w14:paraId="1E67E158" w14:textId="77777777" w:rsidR="0013116F" w:rsidRDefault="0013116F" w:rsidP="004B607F">
      <w:pPr>
        <w:pStyle w:val="a9"/>
        <w:rPr>
          <w:rtl/>
        </w:rPr>
      </w:pPr>
      <w:r>
        <w:rPr>
          <w:rStyle w:val="ab"/>
        </w:rPr>
        <w:footnoteRef/>
      </w:r>
      <w:r>
        <w:rPr>
          <w:rtl/>
        </w:rPr>
        <w:t xml:space="preserve"> </w:t>
      </w:r>
      <w:r>
        <w:rPr>
          <w:rFonts w:cs="Arial" w:hint="cs"/>
          <w:rtl/>
        </w:rPr>
        <w:t xml:space="preserve">וכתב הב"י- </w:t>
      </w:r>
      <w:r w:rsidRPr="00647ABD">
        <w:rPr>
          <w:rFonts w:cs="Arial"/>
          <w:rtl/>
        </w:rPr>
        <w:t>ולפי דעתו נראה דאפילו לא נתן טעם לדבריו למה אמר בתחלה איני יודע מקבלין עדותו</w:t>
      </w:r>
      <w:r>
        <w:rPr>
          <w:rFonts w:cs="Arial" w:hint="cs"/>
          <w:rtl/>
        </w:rPr>
        <w:t>,</w:t>
      </w:r>
      <w:r w:rsidRPr="00647ABD">
        <w:rPr>
          <w:rFonts w:cs="Arial"/>
          <w:rtl/>
        </w:rPr>
        <w:t xml:space="preserve"> אבל במרדכי</w:t>
      </w:r>
      <w:r>
        <w:rPr>
          <w:rFonts w:hint="cs"/>
          <w:rtl/>
        </w:rPr>
        <w:t>-...</w:t>
      </w:r>
    </w:p>
  </w:footnote>
  <w:footnote w:id="1585">
    <w:p w14:paraId="123CBEF2" w14:textId="77777777" w:rsidR="0013116F" w:rsidRDefault="0013116F" w:rsidP="004B607F">
      <w:pPr>
        <w:pStyle w:val="a9"/>
      </w:pPr>
      <w:r>
        <w:rPr>
          <w:rStyle w:val="ab"/>
        </w:rPr>
        <w:footnoteRef/>
      </w:r>
      <w:r>
        <w:rPr>
          <w:rtl/>
        </w:rPr>
        <w:t xml:space="preserve"> </w:t>
      </w:r>
      <w:r w:rsidRPr="00764873">
        <w:rPr>
          <w:rFonts w:cs="Arial"/>
          <w:rtl/>
        </w:rPr>
        <w:t xml:space="preserve">גם התוספות פרק הכונס </w:t>
      </w:r>
      <w:r w:rsidRPr="00764873">
        <w:rPr>
          <w:rFonts w:cs="Arial"/>
          <w:sz w:val="16"/>
          <w:szCs w:val="16"/>
          <w:rtl/>
        </w:rPr>
        <w:t xml:space="preserve">(ב"ק נו. ד"ה פשיטא) </w:t>
      </w:r>
      <w:r w:rsidRPr="00764873">
        <w:rPr>
          <w:rFonts w:cs="Arial"/>
          <w:rtl/>
        </w:rPr>
        <w:t>כתבו דכשאומרים בבית דין אין אנו יודעין שוב אינם יכולין להעיד דאינו חוזר ומגיד והיינו אם לא יגיד דקרא</w:t>
      </w:r>
      <w:r>
        <w:rPr>
          <w:rFonts w:hint="cs"/>
          <w:rtl/>
        </w:rPr>
        <w:t>.</w:t>
      </w:r>
      <w:r w:rsidRPr="00764873">
        <w:rPr>
          <w:rFonts w:cs="Arial"/>
          <w:rtl/>
        </w:rPr>
        <w:t xml:space="preserve"> </w:t>
      </w:r>
      <w:r w:rsidRPr="00647ABD">
        <w:rPr>
          <w:rFonts w:cs="Arial"/>
          <w:rtl/>
        </w:rPr>
        <w:t>אלמא דסבירא להו ז"ל</w:t>
      </w:r>
      <w:r>
        <w:rPr>
          <w:rFonts w:cs="Arial" w:hint="cs"/>
          <w:sz w:val="16"/>
          <w:szCs w:val="16"/>
          <w:rtl/>
        </w:rPr>
        <w:t xml:space="preserve"> {למרדכי ולתוס'}</w:t>
      </w:r>
      <w:r w:rsidRPr="00647ABD">
        <w:rPr>
          <w:rFonts w:cs="Arial"/>
          <w:rtl/>
        </w:rPr>
        <w:t xml:space="preserve"> דטעמא דאינו יכול לחזור ולהודות </w:t>
      </w:r>
      <w:r>
        <w:rPr>
          <w:rFonts w:cs="Arial" w:hint="cs"/>
          <w:sz w:val="16"/>
          <w:szCs w:val="16"/>
          <w:rtl/>
        </w:rPr>
        <w:t>{לאחר שאמר בב"ד שאינו יודע עדות לבע"ד}</w:t>
      </w:r>
      <w:r>
        <w:rPr>
          <w:rFonts w:cs="Arial" w:hint="cs"/>
          <w:rtl/>
        </w:rPr>
        <w:t xml:space="preserve"> - </w:t>
      </w:r>
      <w:r w:rsidRPr="00647ABD">
        <w:rPr>
          <w:rFonts w:cs="Arial"/>
          <w:rtl/>
        </w:rPr>
        <w:t>משום שאינו חוזר ומגיד הוא</w:t>
      </w:r>
      <w:r>
        <w:rPr>
          <w:rFonts w:cs="Arial" w:hint="cs"/>
          <w:rtl/>
        </w:rPr>
        <w:t>,</w:t>
      </w:r>
      <w:r w:rsidRPr="00647ABD">
        <w:rPr>
          <w:rFonts w:cs="Arial"/>
          <w:rtl/>
        </w:rPr>
        <w:t xml:space="preserve"> ודלא כהר"ן</w:t>
      </w:r>
      <w:r>
        <w:rPr>
          <w:rFonts w:cs="Arial" w:hint="cs"/>
          <w:rtl/>
        </w:rPr>
        <w:t>.</w:t>
      </w:r>
      <w:r w:rsidRPr="00647ABD">
        <w:rPr>
          <w:rFonts w:cs="Arial"/>
          <w:rtl/>
        </w:rPr>
        <w:t xml:space="preserve"> ומ</w:t>
      </w:r>
      <w:r>
        <w:rPr>
          <w:rFonts w:cs="Arial" w:hint="cs"/>
          <w:rtl/>
        </w:rPr>
        <w:t>"מ</w:t>
      </w:r>
      <w:r w:rsidRPr="00647ABD">
        <w:rPr>
          <w:rFonts w:cs="Arial"/>
          <w:rtl/>
        </w:rPr>
        <w:t xml:space="preserve"> כבר אפשר שיחלקו בין נותן טעם למה אמר שאינו יודע לאינו נותן</w:t>
      </w:r>
      <w:r>
        <w:rPr>
          <w:rFonts w:cs="Arial" w:hint="cs"/>
          <w:rtl/>
        </w:rPr>
        <w:t>,</w:t>
      </w:r>
      <w:r w:rsidRPr="00647ABD">
        <w:rPr>
          <w:rFonts w:cs="Arial"/>
          <w:rtl/>
        </w:rPr>
        <w:t xml:space="preserve"> וכמו שכתבתי בסמוך</w:t>
      </w:r>
      <w:r>
        <w:rPr>
          <w:rFonts w:hint="cs"/>
          <w:rtl/>
        </w:rPr>
        <w:t>, ב"י. והדרכ"מ</w:t>
      </w:r>
      <w:r w:rsidRPr="00024C15">
        <w:rPr>
          <w:rFonts w:hint="cs"/>
          <w:sz w:val="16"/>
          <w:szCs w:val="16"/>
          <w:rtl/>
        </w:rPr>
        <w:t xml:space="preserve"> (אות א) </w:t>
      </w:r>
      <w:r>
        <w:rPr>
          <w:rFonts w:hint="cs"/>
          <w:rtl/>
        </w:rPr>
        <w:t xml:space="preserve">העתיק את דברי הב"י הנ"ל </w:t>
      </w:r>
      <w:r>
        <w:rPr>
          <w:rFonts w:cs="Arial"/>
          <w:rtl/>
        </w:rPr>
        <w:t>ו</w:t>
      </w:r>
      <w:r>
        <w:rPr>
          <w:rFonts w:cs="Arial" w:hint="cs"/>
          <w:rtl/>
        </w:rPr>
        <w:t xml:space="preserve">הביא את דברי </w:t>
      </w:r>
      <w:r>
        <w:rPr>
          <w:rFonts w:cs="Arial"/>
          <w:rtl/>
        </w:rPr>
        <w:t>ה</w:t>
      </w:r>
      <w:r>
        <w:rPr>
          <w:rFonts w:cs="Arial" w:hint="cs"/>
          <w:rtl/>
        </w:rPr>
        <w:t>רא"ש</w:t>
      </w:r>
      <w:r w:rsidRPr="00764873">
        <w:rPr>
          <w:rFonts w:cs="Arial" w:hint="cs"/>
          <w:sz w:val="16"/>
          <w:szCs w:val="16"/>
          <w:rtl/>
        </w:rPr>
        <w:t xml:space="preserve"> (בתשו' כלל נט) </w:t>
      </w:r>
      <w:r>
        <w:rPr>
          <w:rFonts w:cs="Arial" w:hint="cs"/>
          <w:rtl/>
        </w:rPr>
        <w:t>שכתב וז"ל-</w:t>
      </w:r>
      <w:r>
        <w:rPr>
          <w:rFonts w:cs="Arial"/>
          <w:rtl/>
        </w:rPr>
        <w:t xml:space="preserve"> אחד שהעיד שראובן היה דר בבית שמעון אבל אינו זוכר אם הוא שני חזקה</w:t>
      </w:r>
      <w:r>
        <w:rPr>
          <w:rFonts w:cs="Arial" w:hint="cs"/>
          <w:rtl/>
        </w:rPr>
        <w:t>,</w:t>
      </w:r>
      <w:r>
        <w:rPr>
          <w:rFonts w:cs="Arial"/>
          <w:rtl/>
        </w:rPr>
        <w:t xml:space="preserve"> ולאחר זמן אמר שנתן אל לבו והוי שני חזקה </w:t>
      </w:r>
      <w:r>
        <w:rPr>
          <w:rFonts w:cs="Arial" w:hint="cs"/>
          <w:rtl/>
        </w:rPr>
        <w:t xml:space="preserve">- </w:t>
      </w:r>
      <w:r>
        <w:rPr>
          <w:rFonts w:cs="Arial"/>
          <w:rtl/>
        </w:rPr>
        <w:t>הוי חוזר ומגיד</w:t>
      </w:r>
      <w:r>
        <w:rPr>
          <w:rFonts w:cs="Arial" w:hint="cs"/>
          <w:rtl/>
        </w:rPr>
        <w:t>,</w:t>
      </w:r>
      <w:r>
        <w:rPr>
          <w:rFonts w:cs="Arial"/>
          <w:rtl/>
        </w:rPr>
        <w:t xml:space="preserve"> ואינו מועיל כיון דבתחלה אמר שאינו זוכר</w:t>
      </w:r>
      <w:r>
        <w:rPr>
          <w:rFonts w:cs="Arial" w:hint="cs"/>
          <w:rtl/>
        </w:rPr>
        <w:t>.</w:t>
      </w:r>
      <w:r>
        <w:rPr>
          <w:rFonts w:cs="Arial"/>
          <w:rtl/>
        </w:rPr>
        <w:t xml:space="preserve"> אבל אם אמר מתחלה איני זוכר </w:t>
      </w:r>
      <w:r w:rsidRPr="00CE5F7E">
        <w:rPr>
          <w:rFonts w:cs="Arial"/>
          <w:b/>
          <w:bCs/>
          <w:rtl/>
        </w:rPr>
        <w:t>עתה</w:t>
      </w:r>
      <w:r>
        <w:rPr>
          <w:rFonts w:cs="Arial"/>
          <w:rtl/>
        </w:rPr>
        <w:t xml:space="preserve"> כמה דר </w:t>
      </w:r>
      <w:r>
        <w:rPr>
          <w:rFonts w:cs="Arial" w:hint="cs"/>
          <w:rtl/>
        </w:rPr>
        <w:t xml:space="preserve">- </w:t>
      </w:r>
      <w:r>
        <w:rPr>
          <w:rFonts w:cs="Arial"/>
          <w:rtl/>
        </w:rPr>
        <w:t>יכול לומר אח</w:t>
      </w:r>
      <w:r>
        <w:rPr>
          <w:rFonts w:cs="Arial" w:hint="cs"/>
          <w:rtl/>
        </w:rPr>
        <w:t>"</w:t>
      </w:r>
      <w:r>
        <w:rPr>
          <w:rFonts w:cs="Arial"/>
          <w:rtl/>
        </w:rPr>
        <w:t>כ נתתי אל לבי וזכרתי</w:t>
      </w:r>
      <w:r>
        <w:rPr>
          <w:rFonts w:cs="Arial" w:hint="cs"/>
          <w:rtl/>
        </w:rPr>
        <w:t>.</w:t>
      </w:r>
    </w:p>
  </w:footnote>
  <w:footnote w:id="1586">
    <w:p w14:paraId="3F75F273" w14:textId="77777777" w:rsidR="0013116F" w:rsidRPr="001F7869" w:rsidRDefault="0013116F" w:rsidP="004B607F">
      <w:pPr>
        <w:pStyle w:val="a9"/>
      </w:pPr>
      <w:r w:rsidRPr="001F7869">
        <w:rPr>
          <w:rStyle w:val="ab"/>
        </w:rPr>
        <w:footnoteRef/>
      </w:r>
      <w:r w:rsidRPr="001F7869">
        <w:rPr>
          <w:rtl/>
        </w:rPr>
        <w:t xml:space="preserve"> </w:t>
      </w:r>
      <w:r w:rsidRPr="001F7869">
        <w:rPr>
          <w:rFonts w:cs="Arial" w:hint="cs"/>
          <w:rtl/>
        </w:rPr>
        <w:t>ו</w:t>
      </w:r>
      <w:r w:rsidRPr="001F7869">
        <w:rPr>
          <w:rFonts w:cs="Arial"/>
          <w:rtl/>
        </w:rPr>
        <w:t>כגון שאותו שמבקש שיתנו לו חרם הוא בבית הכנסת וגם העדים שיודעים עדות הם בבית הכנסת וכגון שאמר תנו לי חרם על כל אותם שבבית הכנסת</w:t>
      </w:r>
      <w:r w:rsidRPr="001F7869">
        <w:rPr>
          <w:rFonts w:cs="Arial" w:hint="cs"/>
          <w:rtl/>
        </w:rPr>
        <w:t>,</w:t>
      </w:r>
      <w:r w:rsidRPr="001F7869">
        <w:rPr>
          <w:rFonts w:cs="Arial"/>
          <w:rtl/>
        </w:rPr>
        <w:t xml:space="preserve"> שאם לא אמר כך אין החרם חל על העדים</w:t>
      </w:r>
      <w:r w:rsidRPr="001F7869">
        <w:rPr>
          <w:rFonts w:cs="Arial" w:hint="cs"/>
          <w:rtl/>
        </w:rPr>
        <w:t>, הג"א</w:t>
      </w:r>
      <w:r>
        <w:rPr>
          <w:rFonts w:cs="Arial" w:hint="cs"/>
          <w:rtl/>
        </w:rPr>
        <w:t xml:space="preserve"> מאו"ז</w:t>
      </w:r>
      <w:r w:rsidRPr="001F7869">
        <w:rPr>
          <w:rFonts w:cs="Arial" w:hint="cs"/>
          <w:rtl/>
        </w:rPr>
        <w:t>.</w:t>
      </w:r>
    </w:p>
  </w:footnote>
  <w:footnote w:id="1587">
    <w:p w14:paraId="2AE309E2" w14:textId="77777777" w:rsidR="0013116F" w:rsidRDefault="0013116F" w:rsidP="004B607F">
      <w:pPr>
        <w:pStyle w:val="a9"/>
        <w:rPr>
          <w:rtl/>
        </w:rPr>
      </w:pPr>
      <w:r>
        <w:rPr>
          <w:rStyle w:val="ab"/>
        </w:rPr>
        <w:footnoteRef/>
      </w:r>
      <w:r>
        <w:rPr>
          <w:rtl/>
        </w:rPr>
        <w:t xml:space="preserve"> </w:t>
      </w:r>
      <w:r>
        <w:rPr>
          <w:rFonts w:hint="cs"/>
          <w:rtl/>
        </w:rPr>
        <w:t xml:space="preserve">סימן </w:t>
      </w:r>
      <w:r>
        <w:rPr>
          <w:rtl/>
        </w:rPr>
        <w:t>–</w:t>
      </w:r>
      <w:r>
        <w:rPr>
          <w:rFonts w:hint="cs"/>
          <w:rtl/>
        </w:rPr>
        <w:t xml:space="preserve"> יש תנאי. וכן </w:t>
      </w:r>
      <w:r>
        <w:rPr>
          <w:rtl/>
        </w:rPr>
        <w:t>–</w:t>
      </w:r>
      <w:r>
        <w:rPr>
          <w:rFonts w:hint="cs"/>
          <w:rtl/>
        </w:rPr>
        <w:t xml:space="preserve"> ירחון בתנאי. </w:t>
      </w:r>
    </w:p>
  </w:footnote>
  <w:footnote w:id="1588">
    <w:p w14:paraId="62FEF05A" w14:textId="77777777" w:rsidR="0013116F" w:rsidRDefault="0013116F" w:rsidP="004B607F">
      <w:pPr>
        <w:pStyle w:val="a9"/>
      </w:pPr>
      <w:r>
        <w:rPr>
          <w:rStyle w:val="ab"/>
        </w:rPr>
        <w:footnoteRef/>
      </w:r>
      <w:r>
        <w:rPr>
          <w:rtl/>
        </w:rPr>
        <w:t xml:space="preserve"> </w:t>
      </w:r>
      <w:r w:rsidRPr="00DF433A">
        <w:rPr>
          <w:rFonts w:cs="Arial"/>
          <w:rtl/>
        </w:rPr>
        <w:t>על תנאי מכרה לו שיעשה לו כך וכך ולא ראינו שקיים לו תנאו וזה אומר לא קיים לי ואינו מכר</w:t>
      </w:r>
      <w:r>
        <w:rPr>
          <w:rFonts w:cs="Arial" w:hint="cs"/>
          <w:rtl/>
        </w:rPr>
        <w:t>, רש"י</w:t>
      </w:r>
      <w:r w:rsidRPr="00DF433A">
        <w:rPr>
          <w:rFonts w:cs="Arial"/>
          <w:rtl/>
        </w:rPr>
        <w:t>.</w:t>
      </w:r>
    </w:p>
  </w:footnote>
  <w:footnote w:id="1589">
    <w:p w14:paraId="695790F2" w14:textId="77777777" w:rsidR="0013116F" w:rsidRDefault="0013116F" w:rsidP="004B607F">
      <w:pPr>
        <w:pStyle w:val="a9"/>
      </w:pPr>
      <w:r>
        <w:rPr>
          <w:rStyle w:val="ab"/>
        </w:rPr>
        <w:footnoteRef/>
      </w:r>
      <w:r>
        <w:rPr>
          <w:rtl/>
        </w:rPr>
        <w:t xml:space="preserve"> </w:t>
      </w:r>
      <w:r w:rsidRPr="00DF433A">
        <w:rPr>
          <w:rFonts w:cs="Arial"/>
          <w:rtl/>
        </w:rPr>
        <w:t>טעמא מאי קאמר מר אין נאמנין</w:t>
      </w:r>
      <w:r>
        <w:rPr>
          <w:rFonts w:cs="Arial" w:hint="cs"/>
          <w:rtl/>
        </w:rPr>
        <w:t>, רש"י</w:t>
      </w:r>
      <w:r w:rsidRPr="00DF433A">
        <w:rPr>
          <w:rFonts w:cs="Arial"/>
          <w:rtl/>
        </w:rPr>
        <w:t>.</w:t>
      </w:r>
    </w:p>
  </w:footnote>
  <w:footnote w:id="1590">
    <w:p w14:paraId="5F609577" w14:textId="77777777" w:rsidR="0013116F" w:rsidRDefault="0013116F" w:rsidP="004B607F">
      <w:pPr>
        <w:pStyle w:val="a9"/>
        <w:rPr>
          <w:rtl/>
        </w:rPr>
      </w:pPr>
      <w:r>
        <w:rPr>
          <w:rStyle w:val="ab"/>
        </w:rPr>
        <w:footnoteRef/>
      </w:r>
      <w:r>
        <w:rPr>
          <w:rtl/>
        </w:rPr>
        <w:t xml:space="preserve"> </w:t>
      </w:r>
      <w:r w:rsidRPr="00DF433A">
        <w:rPr>
          <w:rFonts w:cs="Arial"/>
          <w:rtl/>
        </w:rPr>
        <w:t>בעדותן זה ולא אתי על פה ומרע לשטרא הכא נמי כו'</w:t>
      </w:r>
      <w:r>
        <w:rPr>
          <w:rFonts w:cs="Arial" w:hint="cs"/>
          <w:rtl/>
        </w:rPr>
        <w:t>, רש"י</w:t>
      </w:r>
      <w:r w:rsidRPr="00DF433A">
        <w:rPr>
          <w:rFonts w:cs="Arial"/>
          <w:rtl/>
        </w:rPr>
        <w:t>.</w:t>
      </w:r>
    </w:p>
  </w:footnote>
  <w:footnote w:id="1591">
    <w:p w14:paraId="1752D23F" w14:textId="77777777" w:rsidR="0013116F" w:rsidRDefault="0013116F" w:rsidP="004B607F">
      <w:pPr>
        <w:pStyle w:val="a9"/>
      </w:pPr>
      <w:r>
        <w:rPr>
          <w:rStyle w:val="ab"/>
        </w:rPr>
        <w:footnoteRef/>
      </w:r>
      <w:r>
        <w:rPr>
          <w:rtl/>
        </w:rPr>
        <w:t xml:space="preserve"> </w:t>
      </w:r>
      <w:r w:rsidRPr="00DF433A">
        <w:rPr>
          <w:rFonts w:cs="Arial"/>
          <w:rtl/>
        </w:rPr>
        <w:t>הא לא עקרתא דשטרא הוא דמודים הם שהשטר אמת אלא שתנאי היה ביניהם וזו עדות אחרת היא ושטרא ממילא מיעקר לאחר זמן ביום שלא קיים תנאו בזמנו</w:t>
      </w:r>
      <w:r>
        <w:rPr>
          <w:rFonts w:cs="Arial" w:hint="cs"/>
          <w:rtl/>
        </w:rPr>
        <w:t>, רש"י</w:t>
      </w:r>
      <w:r w:rsidRPr="00DF433A">
        <w:rPr>
          <w:rFonts w:cs="Arial"/>
          <w:rtl/>
        </w:rPr>
        <w:t>.</w:t>
      </w:r>
    </w:p>
  </w:footnote>
  <w:footnote w:id="1592">
    <w:p w14:paraId="5F587075" w14:textId="77777777" w:rsidR="0013116F" w:rsidRDefault="0013116F" w:rsidP="004B607F">
      <w:pPr>
        <w:pStyle w:val="a9"/>
        <w:rPr>
          <w:rtl/>
        </w:rPr>
      </w:pPr>
      <w:r>
        <w:rPr>
          <w:rStyle w:val="ab"/>
        </w:rPr>
        <w:footnoteRef/>
      </w:r>
      <w:r>
        <w:rPr>
          <w:rtl/>
        </w:rPr>
        <w:t xml:space="preserve"> </w:t>
      </w:r>
      <w:r w:rsidRPr="00DF433A">
        <w:rPr>
          <w:rFonts w:cs="Arial"/>
          <w:rtl/>
        </w:rPr>
        <w:t>לקוחות שעידיהם מעידים שתנאי היו דבריהם</w:t>
      </w:r>
      <w:r>
        <w:rPr>
          <w:rFonts w:cs="Arial" w:hint="cs"/>
          <w:rtl/>
        </w:rPr>
        <w:t>, רש"י</w:t>
      </w:r>
      <w:r w:rsidRPr="00DF433A">
        <w:rPr>
          <w:rFonts w:cs="Arial"/>
          <w:rtl/>
        </w:rPr>
        <w:t>.</w:t>
      </w:r>
    </w:p>
  </w:footnote>
  <w:footnote w:id="1593">
    <w:p w14:paraId="5EDF33D6" w14:textId="77777777" w:rsidR="0013116F" w:rsidRDefault="0013116F" w:rsidP="004B607F">
      <w:pPr>
        <w:pStyle w:val="a9"/>
        <w:rPr>
          <w:rtl/>
        </w:rPr>
      </w:pPr>
      <w:r>
        <w:rPr>
          <w:rStyle w:val="ab"/>
        </w:rPr>
        <w:footnoteRef/>
      </w:r>
      <w:r>
        <w:rPr>
          <w:rtl/>
        </w:rPr>
        <w:t xml:space="preserve"> </w:t>
      </w:r>
      <w:r w:rsidRPr="00DF433A">
        <w:rPr>
          <w:rFonts w:cs="Arial"/>
          <w:rtl/>
        </w:rPr>
        <w:t>לבעלים</w:t>
      </w:r>
      <w:r>
        <w:rPr>
          <w:rFonts w:cs="Arial" w:hint="cs"/>
          <w:rtl/>
        </w:rPr>
        <w:t>, רש"י</w:t>
      </w:r>
      <w:r w:rsidRPr="00DF433A">
        <w:rPr>
          <w:rFonts w:cs="Arial"/>
          <w:rtl/>
        </w:rPr>
        <w:t>.</w:t>
      </w:r>
    </w:p>
  </w:footnote>
  <w:footnote w:id="1594">
    <w:p w14:paraId="33D471D5" w14:textId="77777777" w:rsidR="0013116F" w:rsidRDefault="0013116F" w:rsidP="004B607F">
      <w:pPr>
        <w:pStyle w:val="a9"/>
      </w:pPr>
      <w:r>
        <w:rPr>
          <w:rStyle w:val="ab"/>
        </w:rPr>
        <w:footnoteRef/>
      </w:r>
      <w:r>
        <w:rPr>
          <w:rtl/>
        </w:rPr>
        <w:t xml:space="preserve"> </w:t>
      </w:r>
      <w:r w:rsidRPr="00DF433A">
        <w:rPr>
          <w:rFonts w:cs="Arial"/>
          <w:rtl/>
        </w:rPr>
        <w:t>אם יעכב שוב הקרקע</w:t>
      </w:r>
      <w:r>
        <w:rPr>
          <w:rFonts w:cs="Arial" w:hint="cs"/>
          <w:rtl/>
        </w:rPr>
        <w:t>, רש"י</w:t>
      </w:r>
      <w:r w:rsidRPr="00DF433A">
        <w:rPr>
          <w:rFonts w:cs="Arial"/>
          <w:rtl/>
        </w:rPr>
        <w:t>.</w:t>
      </w:r>
    </w:p>
  </w:footnote>
  <w:footnote w:id="1595">
    <w:p w14:paraId="781FD117" w14:textId="77777777" w:rsidR="0013116F" w:rsidRDefault="0013116F" w:rsidP="004B607F">
      <w:pPr>
        <w:pStyle w:val="a9"/>
      </w:pPr>
      <w:r>
        <w:rPr>
          <w:rStyle w:val="ab"/>
        </w:rPr>
        <w:footnoteRef/>
      </w:r>
      <w:r>
        <w:rPr>
          <w:rtl/>
        </w:rPr>
        <w:t xml:space="preserve"> </w:t>
      </w:r>
      <w:r w:rsidRPr="00DF433A">
        <w:rPr>
          <w:rFonts w:cs="Arial"/>
          <w:rtl/>
        </w:rPr>
        <w:t>שניהם מעידים שהשטר אמת וכמות שהוא כתוב בלא תנאי חתמוהו</w:t>
      </w:r>
      <w:r>
        <w:rPr>
          <w:rFonts w:cs="Arial" w:hint="cs"/>
          <w:rtl/>
        </w:rPr>
        <w:t>, רש"י</w:t>
      </w:r>
      <w:r w:rsidRPr="00DF433A">
        <w:rPr>
          <w:rFonts w:cs="Arial"/>
          <w:rtl/>
        </w:rPr>
        <w:t>.</w:t>
      </w:r>
    </w:p>
  </w:footnote>
  <w:footnote w:id="1596">
    <w:p w14:paraId="77A561F4" w14:textId="77777777" w:rsidR="0013116F" w:rsidRDefault="0013116F" w:rsidP="004B607F">
      <w:pPr>
        <w:pStyle w:val="a9"/>
      </w:pPr>
      <w:r>
        <w:rPr>
          <w:rStyle w:val="ab"/>
        </w:rPr>
        <w:footnoteRef/>
      </w:r>
      <w:r>
        <w:rPr>
          <w:rtl/>
        </w:rPr>
        <w:t xml:space="preserve"> </w:t>
      </w:r>
      <w:r w:rsidRPr="00DF433A">
        <w:rPr>
          <w:rFonts w:cs="Arial"/>
          <w:rtl/>
        </w:rPr>
        <w:t>ואינו נאמן לעקור שטר ששניהם חתומים בו</w:t>
      </w:r>
      <w:r>
        <w:rPr>
          <w:rFonts w:cs="Arial" w:hint="cs"/>
          <w:rtl/>
        </w:rPr>
        <w:t>, רש"י</w:t>
      </w:r>
      <w:r w:rsidRPr="00DF433A">
        <w:rPr>
          <w:rFonts w:cs="Arial"/>
          <w:rtl/>
        </w:rPr>
        <w:t>.</w:t>
      </w:r>
    </w:p>
  </w:footnote>
  <w:footnote w:id="1597">
    <w:p w14:paraId="1EABBE8F" w14:textId="77777777" w:rsidR="0013116F" w:rsidRDefault="0013116F" w:rsidP="004B607F">
      <w:pPr>
        <w:pStyle w:val="a9"/>
      </w:pPr>
      <w:r>
        <w:rPr>
          <w:rStyle w:val="ab"/>
        </w:rPr>
        <w:footnoteRef/>
      </w:r>
      <w:r>
        <w:rPr>
          <w:rtl/>
        </w:rPr>
        <w:t xml:space="preserve"> </w:t>
      </w:r>
      <w:r w:rsidRPr="00594035">
        <w:rPr>
          <w:rFonts w:cs="Arial"/>
          <w:rtl/>
        </w:rPr>
        <w:t>אי הכי דכיון שהעיד על כתב ידו עשית לזה אחד ממקיימי השטר כמות שהוא כתוב בלא תנאי והוי להו עדיו שנים ועדות אחרונה דברי אחד במקום שנים</w:t>
      </w:r>
      <w:r>
        <w:rPr>
          <w:rFonts w:cs="Arial" w:hint="cs"/>
          <w:rtl/>
        </w:rPr>
        <w:t>, רש"י</w:t>
      </w:r>
      <w:r w:rsidRPr="00594035">
        <w:rPr>
          <w:rFonts w:cs="Arial"/>
          <w:rtl/>
        </w:rPr>
        <w:t>.</w:t>
      </w:r>
    </w:p>
  </w:footnote>
  <w:footnote w:id="1598">
    <w:p w14:paraId="3DBA4399" w14:textId="77777777" w:rsidR="0013116F" w:rsidRDefault="0013116F" w:rsidP="004B607F">
      <w:pPr>
        <w:pStyle w:val="a9"/>
        <w:rPr>
          <w:rtl/>
        </w:rPr>
      </w:pPr>
      <w:r>
        <w:rPr>
          <w:rStyle w:val="ab"/>
        </w:rPr>
        <w:footnoteRef/>
      </w:r>
      <w:r>
        <w:rPr>
          <w:rtl/>
        </w:rPr>
        <w:t xml:space="preserve"> </w:t>
      </w:r>
      <w:r w:rsidRPr="00DF433A">
        <w:rPr>
          <w:rFonts w:cs="Arial"/>
          <w:rtl/>
        </w:rPr>
        <w:t>אמרי תנאי היו דברינו לא ליתהימנו</w:t>
      </w:r>
      <w:r>
        <w:rPr>
          <w:rFonts w:cs="Arial" w:hint="cs"/>
          <w:rtl/>
        </w:rPr>
        <w:t>,</w:t>
      </w:r>
      <w:r w:rsidRPr="00DF433A">
        <w:rPr>
          <w:rFonts w:cs="Arial"/>
          <w:rtl/>
        </w:rPr>
        <w:t xml:space="preserve"> דכיון שהעידו על כתב ידן קיימו השטר כמות שהוא כתוב</w:t>
      </w:r>
      <w:r>
        <w:rPr>
          <w:rFonts w:cs="Arial" w:hint="cs"/>
          <w:rtl/>
        </w:rPr>
        <w:t>,</w:t>
      </w:r>
      <w:r w:rsidRPr="00DF433A">
        <w:rPr>
          <w:rFonts w:cs="Arial"/>
          <w:rtl/>
        </w:rPr>
        <w:t xml:space="preserve"> וכי אמרי תנאי היו דברינו הוו להו מגידים וחוזרים ומגידים</w:t>
      </w:r>
      <w:r>
        <w:rPr>
          <w:rFonts w:cs="Arial" w:hint="cs"/>
          <w:rtl/>
        </w:rPr>
        <w:t>,</w:t>
      </w:r>
      <w:r w:rsidRPr="00DF433A">
        <w:rPr>
          <w:rFonts w:cs="Arial"/>
          <w:rtl/>
        </w:rPr>
        <w:t xml:space="preserve"> ואמאי אמר רב נחמן קיימו תנאייכו כו'</w:t>
      </w:r>
      <w:r>
        <w:rPr>
          <w:rFonts w:cs="Arial" w:hint="cs"/>
          <w:rtl/>
        </w:rPr>
        <w:t>, רש"י</w:t>
      </w:r>
      <w:r w:rsidRPr="00DF433A">
        <w:rPr>
          <w:rFonts w:cs="Arial"/>
          <w:rtl/>
        </w:rPr>
        <w:t>.</w:t>
      </w:r>
    </w:p>
  </w:footnote>
  <w:footnote w:id="1599">
    <w:p w14:paraId="2DC021A5" w14:textId="77777777" w:rsidR="0013116F" w:rsidRDefault="0013116F" w:rsidP="004B607F">
      <w:pPr>
        <w:pStyle w:val="a9"/>
      </w:pPr>
      <w:r>
        <w:rPr>
          <w:rStyle w:val="ab"/>
        </w:rPr>
        <w:footnoteRef/>
      </w:r>
      <w:r>
        <w:rPr>
          <w:rtl/>
        </w:rPr>
        <w:t xml:space="preserve"> </w:t>
      </w:r>
      <w:r w:rsidRPr="00DF433A">
        <w:rPr>
          <w:rFonts w:cs="Arial"/>
          <w:rtl/>
        </w:rPr>
        <w:t>על כרחך לאו חתימה מקויימת הוא</w:t>
      </w:r>
      <w:r>
        <w:rPr>
          <w:rFonts w:cs="Arial" w:hint="cs"/>
          <w:rtl/>
        </w:rPr>
        <w:t>,</w:t>
      </w:r>
      <w:r w:rsidRPr="00DF433A">
        <w:rPr>
          <w:rFonts w:cs="Arial"/>
          <w:rtl/>
        </w:rPr>
        <w:t xml:space="preserve"> דכיון דתוך כדי דבור מסקי דבורייהו ואמרי </w:t>
      </w:r>
      <w:r>
        <w:rPr>
          <w:rFonts w:cs="Arial" w:hint="cs"/>
          <w:rtl/>
        </w:rPr>
        <w:t>'</w:t>
      </w:r>
      <w:r w:rsidRPr="00DF433A">
        <w:rPr>
          <w:rFonts w:cs="Arial"/>
          <w:rtl/>
        </w:rPr>
        <w:t>אבל תנאי היה ביניהן</w:t>
      </w:r>
      <w:r>
        <w:rPr>
          <w:rFonts w:cs="Arial" w:hint="cs"/>
          <w:rtl/>
        </w:rPr>
        <w:t>'</w:t>
      </w:r>
      <w:r w:rsidRPr="00DF433A">
        <w:rPr>
          <w:rFonts w:cs="Arial"/>
          <w:rtl/>
        </w:rPr>
        <w:t xml:space="preserve"> אמרינן הני למיעקר סהדותייהו שאמרו כתב ידינו הוא קאתו ולומר לא חתמנו אלא ע"מ שיקיים את התנאי</w:t>
      </w:r>
      <w:r>
        <w:rPr>
          <w:rFonts w:cs="Arial" w:hint="cs"/>
          <w:rtl/>
        </w:rPr>
        <w:t>,</w:t>
      </w:r>
      <w:r w:rsidRPr="00DF433A">
        <w:rPr>
          <w:rFonts w:cs="Arial"/>
          <w:rtl/>
        </w:rPr>
        <w:t xml:space="preserve"> וכיון דתנאי מלתא אחריתי היא שאינה עוקרתו אלא לאחר זמן לא דמיא למודעא ואמנה </w:t>
      </w:r>
      <w:r>
        <w:rPr>
          <w:rFonts w:cs="Arial" w:hint="cs"/>
          <w:rtl/>
        </w:rPr>
        <w:t xml:space="preserve">- </w:t>
      </w:r>
      <w:r w:rsidRPr="00DF433A">
        <w:rPr>
          <w:rFonts w:cs="Arial"/>
          <w:rtl/>
        </w:rPr>
        <w:t>ומהימני</w:t>
      </w:r>
      <w:r>
        <w:rPr>
          <w:rFonts w:cs="Arial" w:hint="cs"/>
          <w:rtl/>
        </w:rPr>
        <w:t>,</w:t>
      </w:r>
      <w:r w:rsidRPr="00DF433A">
        <w:rPr>
          <w:rFonts w:cs="Arial"/>
          <w:rtl/>
        </w:rPr>
        <w:t xml:space="preserve"> דעדות בפני עצמה היא</w:t>
      </w:r>
      <w:r>
        <w:rPr>
          <w:rFonts w:cs="Arial" w:hint="cs"/>
          <w:rtl/>
        </w:rPr>
        <w:t>, רש"י</w:t>
      </w:r>
      <w:r w:rsidRPr="00DF433A">
        <w:rPr>
          <w:rFonts w:cs="Arial"/>
          <w:rtl/>
        </w:rPr>
        <w:t>.</w:t>
      </w:r>
    </w:p>
  </w:footnote>
  <w:footnote w:id="1600">
    <w:p w14:paraId="3ED78158" w14:textId="77777777" w:rsidR="0013116F" w:rsidRDefault="0013116F" w:rsidP="004B607F">
      <w:pPr>
        <w:pStyle w:val="a9"/>
      </w:pPr>
      <w:r>
        <w:rPr>
          <w:rStyle w:val="ab"/>
        </w:rPr>
        <w:footnoteRef/>
      </w:r>
      <w:r>
        <w:rPr>
          <w:rtl/>
        </w:rPr>
        <w:t xml:space="preserve"> </w:t>
      </w:r>
      <w:r w:rsidRPr="00594035">
        <w:rPr>
          <w:rFonts w:cs="Arial"/>
          <w:rtl/>
        </w:rPr>
        <w:t>כי סיים ואמר תנאי הוה עקר לחתימת ידיה לומר לא חתמתי אלא על מנת כן וכיון דאית לן דמלתא אחריתי היא ושטרא ממילא מיעקר אישתכח דאין בשטר חתום אלא ע"א</w:t>
      </w:r>
      <w:r>
        <w:rPr>
          <w:rFonts w:cs="Arial" w:hint="cs"/>
          <w:rtl/>
        </w:rPr>
        <w:t>, רש"י</w:t>
      </w:r>
      <w:r w:rsidRPr="00594035">
        <w:rPr>
          <w:rFonts w:cs="Arial"/>
          <w:rtl/>
        </w:rPr>
        <w:t>.</w:t>
      </w:r>
    </w:p>
  </w:footnote>
  <w:footnote w:id="1601">
    <w:p w14:paraId="6C89F4F8" w14:textId="77777777" w:rsidR="0013116F" w:rsidRDefault="0013116F" w:rsidP="004B607F">
      <w:pPr>
        <w:pStyle w:val="a9"/>
        <w:rPr>
          <w:rtl/>
        </w:rPr>
      </w:pPr>
      <w:r>
        <w:rPr>
          <w:rStyle w:val="ab"/>
        </w:rPr>
        <w:footnoteRef/>
      </w:r>
      <w:r>
        <w:rPr>
          <w:rtl/>
        </w:rPr>
        <w:t xml:space="preserve"> </w:t>
      </w:r>
      <w:r>
        <w:rPr>
          <w:rFonts w:cs="Arial"/>
          <w:rtl/>
        </w:rPr>
        <w:t xml:space="preserve">דעת הרמב"ם שכיון שנחקרה עדותם וגמרו דבריהם ובתנאי זה שאומרים מתבטל עדותן כל שלא נתקיים התנאי </w:t>
      </w:r>
      <w:r>
        <w:rPr>
          <w:rFonts w:cs="Arial" w:hint="cs"/>
          <w:rtl/>
        </w:rPr>
        <w:t xml:space="preserve">- </w:t>
      </w:r>
      <w:r>
        <w:rPr>
          <w:rFonts w:cs="Arial"/>
          <w:rtl/>
        </w:rPr>
        <w:t>הוה להו חוזרים ומגידים ולא מהימני</w:t>
      </w:r>
      <w:r>
        <w:rPr>
          <w:rFonts w:cs="Arial" w:hint="cs"/>
          <w:rtl/>
        </w:rPr>
        <w:t>.</w:t>
      </w:r>
      <w:r>
        <w:rPr>
          <w:rFonts w:cs="Arial"/>
          <w:rtl/>
        </w:rPr>
        <w:t xml:space="preserve"> ואע</w:t>
      </w:r>
      <w:r>
        <w:rPr>
          <w:rFonts w:cs="Arial" w:hint="cs"/>
          <w:rtl/>
        </w:rPr>
        <w:t>"</w:t>
      </w:r>
      <w:r>
        <w:rPr>
          <w:rFonts w:cs="Arial"/>
          <w:rtl/>
        </w:rPr>
        <w:t>ג דאפילו בעד אחד אומר תנאי ועד אחד אומר אינו תנאי אמרינן בפ"ב דכתובות</w:t>
      </w:r>
      <w:r w:rsidRPr="008A1134">
        <w:rPr>
          <w:rFonts w:cs="Arial"/>
          <w:sz w:val="16"/>
          <w:szCs w:val="16"/>
          <w:rtl/>
        </w:rPr>
        <w:t xml:space="preserve"> (יט:)</w:t>
      </w:r>
      <w:r>
        <w:rPr>
          <w:rFonts w:cs="Arial"/>
          <w:rtl/>
        </w:rPr>
        <w:t xml:space="preserve"> ששומעין לעד שאמר תנאי היה</w:t>
      </w:r>
      <w:r>
        <w:rPr>
          <w:rFonts w:cs="Arial" w:hint="cs"/>
          <w:rtl/>
        </w:rPr>
        <w:t xml:space="preserve"> -</w:t>
      </w:r>
      <w:r>
        <w:rPr>
          <w:rFonts w:cs="Arial"/>
          <w:rtl/>
        </w:rPr>
        <w:t xml:space="preserve"> הא אוקמא הרמב"ם</w:t>
      </w:r>
      <w:r w:rsidRPr="008A1134">
        <w:rPr>
          <w:rFonts w:cs="Arial"/>
          <w:sz w:val="16"/>
          <w:szCs w:val="16"/>
          <w:rtl/>
        </w:rPr>
        <w:t xml:space="preserve"> (עדות פ"ג ה"ט-י)</w:t>
      </w:r>
      <w:r>
        <w:rPr>
          <w:rFonts w:cs="Arial"/>
          <w:rtl/>
        </w:rPr>
        <w:t xml:space="preserve"> וסיעתו דוקא בשאין כתב ידם יוצא ממקום אחר ומשום דהוה להו כאילו מסהדי השתא ולא גמרו עדותן וכיון שבדבריהם האחרונים אינם סותרים לגמרי לראשונים מהימני</w:t>
      </w:r>
      <w:r>
        <w:rPr>
          <w:rFonts w:cs="Arial" w:hint="cs"/>
          <w:rtl/>
        </w:rPr>
        <w:t>,</w:t>
      </w:r>
      <w:r>
        <w:rPr>
          <w:rFonts w:cs="Arial"/>
          <w:rtl/>
        </w:rPr>
        <w:t xml:space="preserve"> אבל אם כתב ידם יוצא ממקום אחר הרי נחקרה עדותן ושוב אינם יכולין לחזור ולהגיד</w:t>
      </w:r>
      <w:r>
        <w:rPr>
          <w:rFonts w:cs="Arial" w:hint="cs"/>
          <w:rtl/>
        </w:rPr>
        <w:t>,</w:t>
      </w:r>
      <w:r>
        <w:rPr>
          <w:rFonts w:cs="Arial"/>
          <w:rtl/>
        </w:rPr>
        <w:t xml:space="preserve"> וה</w:t>
      </w:r>
      <w:r>
        <w:rPr>
          <w:rFonts w:cs="Arial" w:hint="cs"/>
          <w:rtl/>
        </w:rPr>
        <w:t>"ה</w:t>
      </w:r>
      <w:r>
        <w:rPr>
          <w:rFonts w:cs="Arial"/>
          <w:rtl/>
        </w:rPr>
        <w:t xml:space="preserve"> בעדות על פה אחר שנחקרה עדותן דלא מהימני לומר תנאי היו דברינו</w:t>
      </w:r>
      <w:r>
        <w:rPr>
          <w:rFonts w:cs="Arial" w:hint="cs"/>
          <w:rtl/>
        </w:rPr>
        <w:t>, ב"י</w:t>
      </w:r>
      <w:r>
        <w:rPr>
          <w:rFonts w:cs="Arial"/>
          <w:rtl/>
        </w:rPr>
        <w:t>.</w:t>
      </w:r>
    </w:p>
  </w:footnote>
  <w:footnote w:id="1602">
    <w:p w14:paraId="0387AC6F" w14:textId="77777777" w:rsidR="0013116F" w:rsidRDefault="0013116F" w:rsidP="004B607F">
      <w:pPr>
        <w:pStyle w:val="a9"/>
      </w:pPr>
      <w:r>
        <w:rPr>
          <w:rStyle w:val="ab"/>
        </w:rPr>
        <w:footnoteRef/>
      </w:r>
      <w:r>
        <w:rPr>
          <w:rtl/>
        </w:rPr>
        <w:t xml:space="preserve"> </w:t>
      </w:r>
      <w:r w:rsidRPr="00EC4706">
        <w:rPr>
          <w:rFonts w:cs="Arial" w:hint="cs"/>
          <w:rtl/>
        </w:rPr>
        <w:t>כיון ד-'</w:t>
      </w:r>
      <w:r w:rsidRPr="00EC4706">
        <w:rPr>
          <w:rFonts w:cs="Arial"/>
          <w:rtl/>
        </w:rPr>
        <w:t>ההיא דתנאי היו דברינו נאמנים בשאין כתב ידן יוצא ממקום אחר דוקא היא</w:t>
      </w:r>
      <w:r>
        <w:rPr>
          <w:rFonts w:hint="cs"/>
          <w:rtl/>
        </w:rPr>
        <w:t>, רשב"א. שאז כשבאים להעיד שחתימתן היא ממשיכים להעיד שגם תנאי היה שם והוי תוך כדי דיבור לעדותן. אבל אם לא הוסיפו את התנאי תוך כדי דיבור אין שומעין להם דכיון שהגיד שוב אינו חוזר ומגיד, ע"פ סמ"ע (סק"ה) וש"ך (סק"ב).</w:t>
      </w:r>
    </w:p>
  </w:footnote>
  <w:footnote w:id="1603">
    <w:p w14:paraId="06EEC5D1" w14:textId="77777777" w:rsidR="0013116F" w:rsidRDefault="0013116F" w:rsidP="004B607F">
      <w:pPr>
        <w:pStyle w:val="a9"/>
      </w:pPr>
      <w:r>
        <w:rPr>
          <w:rStyle w:val="ab"/>
        </w:rPr>
        <w:footnoteRef/>
      </w:r>
      <w:r>
        <w:rPr>
          <w:rtl/>
        </w:rPr>
        <w:t xml:space="preserve"> </w:t>
      </w:r>
      <w:r>
        <w:rPr>
          <w:rFonts w:cs="Arial"/>
          <w:rtl/>
        </w:rPr>
        <w:t>כבר כתבתי בסמוך דהכי איתא בפ</w:t>
      </w:r>
      <w:r>
        <w:rPr>
          <w:rFonts w:cs="Arial" w:hint="cs"/>
          <w:rtl/>
        </w:rPr>
        <w:t>"</w:t>
      </w:r>
      <w:r>
        <w:rPr>
          <w:rFonts w:cs="Arial"/>
          <w:rtl/>
        </w:rPr>
        <w:t>ב דכתובות ומדהביא הרא"ש (סי' יב) דברי הגמרא סתם ולא חילק בין כתב ידם יוצא ממקום אחר לאינו יוצא משמע לרבינו דבכל גוונא מיירי</w:t>
      </w:r>
      <w:r>
        <w:rPr>
          <w:rFonts w:cs="Arial" w:hint="cs"/>
          <w:rtl/>
        </w:rPr>
        <w:t>, ב"י</w:t>
      </w:r>
      <w:r>
        <w:rPr>
          <w:rFonts w:cs="Arial"/>
          <w:rtl/>
        </w:rPr>
        <w:t>.</w:t>
      </w:r>
      <w:r>
        <w:rPr>
          <w:rFonts w:hint="cs"/>
          <w:rtl/>
        </w:rPr>
        <w:t xml:space="preserve"> וכתב הש"ך (סק"ב)</w:t>
      </w:r>
      <w:r w:rsidRPr="007A5C61">
        <w:rPr>
          <w:rtl/>
        </w:rPr>
        <w:t xml:space="preserve"> </w:t>
      </w:r>
      <w:r>
        <w:rPr>
          <w:rFonts w:cs="Arial" w:hint="cs"/>
          <w:rtl/>
        </w:rPr>
        <w:t>ד</w:t>
      </w:r>
      <w:r w:rsidRPr="007A5C61">
        <w:rPr>
          <w:rFonts w:cs="Arial"/>
          <w:rtl/>
        </w:rPr>
        <w:t>אין מזה הכרח דלא יפרש כפירוש רש"י [שם יט</w:t>
      </w:r>
      <w:r>
        <w:rPr>
          <w:rFonts w:cs="Arial" w:hint="cs"/>
          <w:rtl/>
        </w:rPr>
        <w:t>:</w:t>
      </w:r>
      <w:r w:rsidRPr="007A5C61">
        <w:rPr>
          <w:rFonts w:cs="Arial"/>
          <w:rtl/>
        </w:rPr>
        <w:t>], והכי אשכחן בדוכתי טובא עצמו מספר, דהרא"ש מביא הש"ס בסתם ולא פירש, וס"ל כפירוש רש"י</w:t>
      </w:r>
      <w:r>
        <w:rPr>
          <w:rFonts w:cs="Arial" w:hint="cs"/>
          <w:rtl/>
        </w:rPr>
        <w:t>.</w:t>
      </w:r>
    </w:p>
  </w:footnote>
  <w:footnote w:id="1604">
    <w:p w14:paraId="11278BD7" w14:textId="77777777" w:rsidR="0013116F" w:rsidRDefault="0013116F" w:rsidP="004B607F">
      <w:pPr>
        <w:pStyle w:val="a9"/>
        <w:rPr>
          <w:rtl/>
        </w:rPr>
      </w:pPr>
      <w:r>
        <w:rPr>
          <w:rStyle w:val="ab"/>
        </w:rPr>
        <w:footnoteRef/>
      </w:r>
      <w:r>
        <w:rPr>
          <w:rtl/>
        </w:rPr>
        <w:t xml:space="preserve"> </w:t>
      </w:r>
      <w:r>
        <w:rPr>
          <w:rFonts w:cs="Arial" w:hint="cs"/>
          <w:rtl/>
        </w:rPr>
        <w:t xml:space="preserve">רב האי גאון </w:t>
      </w:r>
      <w:r>
        <w:rPr>
          <w:rFonts w:cs="Arial" w:hint="cs"/>
          <w:sz w:val="16"/>
          <w:szCs w:val="16"/>
          <w:rtl/>
        </w:rPr>
        <w:t>(כ"כ הר"ן בשמו)</w:t>
      </w:r>
      <w:r>
        <w:rPr>
          <w:rFonts w:cs="Arial" w:hint="cs"/>
          <w:rtl/>
        </w:rPr>
        <w:t xml:space="preserve"> ו</w:t>
      </w:r>
      <w:r w:rsidRPr="009A576F">
        <w:rPr>
          <w:rFonts w:cs="Arial"/>
          <w:rtl/>
        </w:rPr>
        <w:t xml:space="preserve">ר"ן </w:t>
      </w:r>
      <w:r w:rsidRPr="001246BE">
        <w:rPr>
          <w:rFonts w:cs="Arial"/>
          <w:sz w:val="16"/>
          <w:szCs w:val="16"/>
          <w:rtl/>
        </w:rPr>
        <w:t>(</w:t>
      </w:r>
      <w:r w:rsidRPr="001246BE">
        <w:rPr>
          <w:rFonts w:cs="Arial" w:hint="cs"/>
          <w:sz w:val="16"/>
          <w:szCs w:val="16"/>
          <w:rtl/>
        </w:rPr>
        <w:t xml:space="preserve">פ"ב דכתובות </w:t>
      </w:r>
      <w:r w:rsidRPr="001246BE">
        <w:rPr>
          <w:rFonts w:cs="Arial"/>
          <w:sz w:val="16"/>
          <w:szCs w:val="16"/>
          <w:rtl/>
        </w:rPr>
        <w:t>ו: ד"ה והא דתנאי)</w:t>
      </w:r>
      <w:r>
        <w:rPr>
          <w:rFonts w:hint="cs"/>
          <w:rtl/>
        </w:rPr>
        <w:t>.</w:t>
      </w:r>
      <w:r w:rsidRPr="00FE47A1">
        <w:rPr>
          <w:rFonts w:cs="Arial" w:hint="cs"/>
          <w:rtl/>
        </w:rPr>
        <w:t xml:space="preserve"> </w:t>
      </w:r>
      <w:r>
        <w:rPr>
          <w:rFonts w:cs="Arial" w:hint="cs"/>
          <w:rtl/>
        </w:rPr>
        <w:t xml:space="preserve">וכ"כ הר"ן בשם </w:t>
      </w:r>
      <w:r w:rsidRPr="009A576F">
        <w:rPr>
          <w:rFonts w:cs="Arial"/>
          <w:rtl/>
        </w:rPr>
        <w:t>כת מן ה</w:t>
      </w:r>
      <w:r>
        <w:rPr>
          <w:rFonts w:cs="Arial" w:hint="cs"/>
          <w:rtl/>
        </w:rPr>
        <w:t>ראש</w:t>
      </w:r>
      <w:r w:rsidRPr="009A576F">
        <w:rPr>
          <w:rFonts w:cs="Arial"/>
          <w:rtl/>
        </w:rPr>
        <w:t>ונים</w:t>
      </w:r>
      <w:r>
        <w:rPr>
          <w:rFonts w:cs="Arial" w:hint="cs"/>
          <w:rtl/>
        </w:rPr>
        <w:t>.</w:t>
      </w:r>
    </w:p>
  </w:footnote>
  <w:footnote w:id="1605">
    <w:p w14:paraId="352C7153" w14:textId="77777777" w:rsidR="0013116F" w:rsidRDefault="0013116F" w:rsidP="004B607F">
      <w:pPr>
        <w:pStyle w:val="a9"/>
      </w:pPr>
      <w:r>
        <w:rPr>
          <w:rStyle w:val="ab"/>
        </w:rPr>
        <w:footnoteRef/>
      </w:r>
      <w:r>
        <w:rPr>
          <w:rtl/>
        </w:rPr>
        <w:t xml:space="preserve"> </w:t>
      </w:r>
      <w:r>
        <w:rPr>
          <w:rFonts w:cs="Arial"/>
          <w:rtl/>
        </w:rPr>
        <w:t>וטעמו משום דסבירא ליה כשם שעד אחד מחייב שבועה (שבועות מ.) כך פוטר משבועה</w:t>
      </w:r>
      <w:r>
        <w:rPr>
          <w:rFonts w:cs="Arial" w:hint="cs"/>
          <w:rtl/>
        </w:rPr>
        <w:t>,</w:t>
      </w:r>
      <w:r>
        <w:rPr>
          <w:rFonts w:cs="Arial"/>
          <w:rtl/>
        </w:rPr>
        <w:t xml:space="preserve"> והכא אוקי חד סהדא להדי חד סהדא וליכא שבועה דאורייתא והוי ליה כאילו היא תביעה על פה וישבע הנתבע היסת ויפטר. ורבינו סימן מ"ו (סל"ו) כתב בשם הרמ"ה שאם הם מטלטלין נשבע הנתבע שבועה דאורייתא</w:t>
      </w:r>
      <w:r>
        <w:rPr>
          <w:rFonts w:cs="Arial" w:hint="cs"/>
          <w:rtl/>
        </w:rPr>
        <w:t>,</w:t>
      </w:r>
      <w:r>
        <w:rPr>
          <w:rFonts w:cs="Arial"/>
          <w:rtl/>
        </w:rPr>
        <w:t xml:space="preserve"> וטעמו משום דסבירא ליה דאין עד אחד המסייעו פוטר משבועה</w:t>
      </w:r>
      <w:r>
        <w:rPr>
          <w:rFonts w:cs="Arial" w:hint="cs"/>
          <w:rtl/>
        </w:rPr>
        <w:t>,</w:t>
      </w:r>
      <w:r>
        <w:rPr>
          <w:rFonts w:cs="Arial"/>
          <w:rtl/>
        </w:rPr>
        <w:t xml:space="preserve"> ורבינו לא חש לכתוב כאן אלא דברי רב מתתיה שהם כסברתו. ודע שדעת רבינו שפטור אף משבועת היסת כמבואר בסימן פ"ד (ס"ז)</w:t>
      </w:r>
      <w:r>
        <w:rPr>
          <w:rFonts w:cs="Arial" w:hint="cs"/>
          <w:rtl/>
        </w:rPr>
        <w:t>.</w:t>
      </w:r>
      <w:r>
        <w:rPr>
          <w:rFonts w:cs="Arial"/>
          <w:rtl/>
        </w:rPr>
        <w:t xml:space="preserve"> ובעל התרומות כתב בשער כ"א (שם) דכיון שהעדים מכחישין זה את זה לא אלימא ההוא סהדותא לחיובי עלה שבועת עד אחד וכתבו רבינו בסימן פ"ב (סכ"א)</w:t>
      </w:r>
      <w:r>
        <w:rPr>
          <w:rFonts w:cs="Arial" w:hint="cs"/>
          <w:rtl/>
        </w:rPr>
        <w:t>, ב"י.</w:t>
      </w:r>
    </w:p>
  </w:footnote>
  <w:footnote w:id="1606">
    <w:p w14:paraId="05045C2A" w14:textId="77777777" w:rsidR="0013116F" w:rsidRPr="004D4813" w:rsidRDefault="0013116F" w:rsidP="004B607F">
      <w:pPr>
        <w:pStyle w:val="a9"/>
        <w:rPr>
          <w:rtl/>
        </w:rPr>
      </w:pPr>
      <w:r>
        <w:rPr>
          <w:rStyle w:val="ab"/>
        </w:rPr>
        <w:footnoteRef/>
      </w:r>
      <w:r>
        <w:rPr>
          <w:rtl/>
        </w:rPr>
        <w:t xml:space="preserve"> </w:t>
      </w:r>
      <w:r w:rsidRPr="008A1134">
        <w:rPr>
          <w:rFonts w:cs="Arial"/>
          <w:rtl/>
        </w:rPr>
        <w:t>דבפרק שבועת העדות (לב:) אמרינן שאם השביעום וכפרו וחזר והודה אחד מהם תוך כדי דיבור</w:t>
      </w:r>
      <w:r>
        <w:rPr>
          <w:rFonts w:cs="Arial" w:hint="cs"/>
          <w:rtl/>
        </w:rPr>
        <w:t>,</w:t>
      </w:r>
      <w:r w:rsidRPr="008A1134">
        <w:rPr>
          <w:rFonts w:cs="Arial"/>
          <w:rtl/>
        </w:rPr>
        <w:t xml:space="preserve"> והא קמ</w:t>
      </w:r>
      <w:r>
        <w:rPr>
          <w:rFonts w:cs="Arial" w:hint="cs"/>
          <w:rtl/>
        </w:rPr>
        <w:t>"</w:t>
      </w:r>
      <w:r w:rsidRPr="008A1134">
        <w:rPr>
          <w:rFonts w:cs="Arial"/>
          <w:rtl/>
        </w:rPr>
        <w:t>ל דתוך כדי דיבור כדיבור דמי. וכתב הרי"ף (טו.) וקדם אחד מהם והודה בתוך כדי דיבור של חברו</w:t>
      </w:r>
      <w:r>
        <w:rPr>
          <w:rFonts w:cs="Arial" w:hint="cs"/>
          <w:rtl/>
        </w:rPr>
        <w:t>,</w:t>
      </w:r>
      <w:r w:rsidRPr="008A1134">
        <w:rPr>
          <w:rFonts w:cs="Arial"/>
          <w:rtl/>
        </w:rPr>
        <w:t xml:space="preserve"> וכתב הר"ן (ד"ה השתא) והכא קמ</w:t>
      </w:r>
      <w:r>
        <w:rPr>
          <w:rFonts w:cs="Arial" w:hint="cs"/>
          <w:rtl/>
        </w:rPr>
        <w:t>"</w:t>
      </w:r>
      <w:r w:rsidRPr="008A1134">
        <w:rPr>
          <w:rFonts w:cs="Arial"/>
          <w:rtl/>
        </w:rPr>
        <w:t>ל כגון שכפרו שניהם בזה אחר זה וחזר הראשון והודה תוך כדי דיבור של כפירת השני</w:t>
      </w:r>
      <w:r>
        <w:rPr>
          <w:rFonts w:cs="Arial" w:hint="cs"/>
          <w:rtl/>
        </w:rPr>
        <w:t>,</w:t>
      </w:r>
      <w:r w:rsidRPr="008A1134">
        <w:rPr>
          <w:rFonts w:cs="Arial"/>
          <w:rtl/>
        </w:rPr>
        <w:t xml:space="preserve"> וקמ</w:t>
      </w:r>
      <w:r>
        <w:rPr>
          <w:rFonts w:cs="Arial" w:hint="cs"/>
          <w:rtl/>
        </w:rPr>
        <w:t>"</w:t>
      </w:r>
      <w:r w:rsidRPr="008A1134">
        <w:rPr>
          <w:rFonts w:cs="Arial"/>
          <w:rtl/>
        </w:rPr>
        <w:t>ל דכפירה והודאה אפילו בשני עדים חדא מילתא היא ולזה נתכוון הרי"ף שכתב תוך כדי דיבור של חבירו עכ"ל. ועיין ב</w:t>
      </w:r>
      <w:r>
        <w:rPr>
          <w:rFonts w:cs="Arial" w:hint="cs"/>
          <w:rtl/>
        </w:rPr>
        <w:t>רי"ו</w:t>
      </w:r>
      <w:r w:rsidRPr="008A1134">
        <w:rPr>
          <w:rFonts w:cs="Arial"/>
          <w:rtl/>
        </w:rPr>
        <w:t xml:space="preserve"> נ"ב ח"ב (יא:)</w:t>
      </w:r>
      <w:r>
        <w:rPr>
          <w:rFonts w:cs="Arial" w:hint="cs"/>
          <w:rtl/>
        </w:rPr>
        <w:t>.</w:t>
      </w:r>
      <w:r w:rsidRPr="008A1134">
        <w:rPr>
          <w:rFonts w:cs="Arial"/>
          <w:rtl/>
        </w:rPr>
        <w:t xml:space="preserve"> ומשמע לי דחוזר ומגיד ושבועת העדות דינם שוה </w:t>
      </w:r>
      <w:r>
        <w:rPr>
          <w:rFonts w:cs="Arial" w:hint="cs"/>
          <w:sz w:val="16"/>
          <w:szCs w:val="16"/>
          <w:rtl/>
        </w:rPr>
        <w:t>(</w:t>
      </w:r>
      <w:r w:rsidRPr="00EA6D7D">
        <w:rPr>
          <w:rFonts w:cs="Arial"/>
          <w:sz w:val="16"/>
          <w:szCs w:val="16"/>
          <w:rtl/>
        </w:rPr>
        <w:t>אע</w:t>
      </w:r>
      <w:r w:rsidRPr="00EA6D7D">
        <w:rPr>
          <w:rFonts w:cs="Arial" w:hint="cs"/>
          <w:sz w:val="16"/>
          <w:szCs w:val="16"/>
          <w:rtl/>
        </w:rPr>
        <w:t>"</w:t>
      </w:r>
      <w:r w:rsidRPr="00EA6D7D">
        <w:rPr>
          <w:rFonts w:cs="Arial"/>
          <w:sz w:val="16"/>
          <w:szCs w:val="16"/>
          <w:rtl/>
        </w:rPr>
        <w:t>פ שדעת הר"ן דהא דאין יכולין לחזור ולהודות לאו מטעם חוזר ומגיד וכמו שנתבאר בסמוך (מחו' ח) מ</w:t>
      </w:r>
      <w:r w:rsidRPr="00EA6D7D">
        <w:rPr>
          <w:rFonts w:cs="Arial" w:hint="cs"/>
          <w:sz w:val="16"/>
          <w:szCs w:val="16"/>
          <w:rtl/>
        </w:rPr>
        <w:t>"מ</w:t>
      </w:r>
      <w:r w:rsidRPr="00EA6D7D">
        <w:rPr>
          <w:rFonts w:cs="Arial"/>
          <w:sz w:val="16"/>
          <w:szCs w:val="16"/>
          <w:rtl/>
        </w:rPr>
        <w:t xml:space="preserve"> כיון דמהני לפטרם מקרבן משמע דהוי טעמא משום דמהניא חזרתן</w:t>
      </w:r>
      <w:r>
        <w:rPr>
          <w:rFonts w:cs="Arial" w:hint="cs"/>
          <w:sz w:val="16"/>
          <w:szCs w:val="16"/>
          <w:rtl/>
        </w:rPr>
        <w:t>)</w:t>
      </w:r>
      <w:r>
        <w:rPr>
          <w:rFonts w:cs="Arial" w:hint="cs"/>
          <w:rtl/>
        </w:rPr>
        <w:t>, ב"י</w:t>
      </w:r>
      <w:r w:rsidRPr="008A1134">
        <w:rPr>
          <w:rFonts w:cs="Arial"/>
          <w:rtl/>
        </w:rPr>
        <w:t>.</w:t>
      </w:r>
      <w:r>
        <w:rPr>
          <w:rFonts w:hint="cs"/>
          <w:rtl/>
        </w:rPr>
        <w:t xml:space="preserve"> וכ"כ </w:t>
      </w:r>
      <w:r w:rsidRPr="004D4813">
        <w:rPr>
          <w:rFonts w:cs="Arial" w:hint="cs"/>
          <w:rtl/>
        </w:rPr>
        <w:t>ה</w:t>
      </w:r>
      <w:r w:rsidRPr="004D4813">
        <w:rPr>
          <w:rFonts w:cs="Arial"/>
          <w:rtl/>
        </w:rPr>
        <w:t>ריטב"א</w:t>
      </w:r>
      <w:r w:rsidRPr="00024C15">
        <w:rPr>
          <w:rFonts w:cs="Arial"/>
          <w:sz w:val="16"/>
          <w:szCs w:val="16"/>
          <w:rtl/>
        </w:rPr>
        <w:t xml:space="preserve"> </w:t>
      </w:r>
      <w:r w:rsidRPr="00024C15">
        <w:rPr>
          <w:rFonts w:cs="Arial"/>
          <w:sz w:val="14"/>
          <w:szCs w:val="14"/>
          <w:rtl/>
        </w:rPr>
        <w:t>(חי' החדשים ב"מ שם ד"ה מסתברא</w:t>
      </w:r>
      <w:r>
        <w:rPr>
          <w:rFonts w:cs="Arial" w:hint="cs"/>
          <w:sz w:val="14"/>
          <w:szCs w:val="14"/>
          <w:rtl/>
        </w:rPr>
        <w:t>)</w:t>
      </w:r>
      <w:r w:rsidRPr="00024C15">
        <w:rPr>
          <w:rFonts w:cs="Arial" w:hint="cs"/>
          <w:sz w:val="14"/>
          <w:szCs w:val="14"/>
          <w:rtl/>
        </w:rPr>
        <w:t xml:space="preserve"> </w:t>
      </w:r>
      <w:r w:rsidRPr="004D4813">
        <w:rPr>
          <w:rFonts w:cs="Arial" w:hint="cs"/>
          <w:rtl/>
        </w:rPr>
        <w:t>הביאו הב"י</w:t>
      </w:r>
      <w:r>
        <w:rPr>
          <w:rFonts w:cs="Arial" w:hint="cs"/>
          <w:rtl/>
        </w:rPr>
        <w:t xml:space="preserve"> לעיל</w:t>
      </w:r>
      <w:r w:rsidRPr="00024C15">
        <w:rPr>
          <w:rFonts w:cs="Arial" w:hint="cs"/>
          <w:sz w:val="14"/>
          <w:szCs w:val="14"/>
          <w:rtl/>
        </w:rPr>
        <w:t xml:space="preserve"> </w:t>
      </w:r>
      <w:r>
        <w:rPr>
          <w:rFonts w:cs="Arial" w:hint="cs"/>
          <w:sz w:val="14"/>
          <w:szCs w:val="14"/>
          <w:rtl/>
        </w:rPr>
        <w:t>(</w:t>
      </w:r>
      <w:r w:rsidRPr="00024C15">
        <w:rPr>
          <w:rFonts w:cs="Arial" w:hint="cs"/>
          <w:sz w:val="14"/>
          <w:szCs w:val="14"/>
          <w:rtl/>
        </w:rPr>
        <w:t>בבדה"ב</w:t>
      </w:r>
      <w:r>
        <w:rPr>
          <w:rFonts w:cs="Arial" w:hint="cs"/>
          <w:sz w:val="14"/>
          <w:szCs w:val="14"/>
          <w:rtl/>
        </w:rPr>
        <w:t>)</w:t>
      </w:r>
      <w:r>
        <w:rPr>
          <w:rFonts w:cs="Arial" w:hint="cs"/>
          <w:rtl/>
        </w:rPr>
        <w:t>.</w:t>
      </w:r>
    </w:p>
  </w:footnote>
  <w:footnote w:id="1607">
    <w:p w14:paraId="13507706" w14:textId="77777777" w:rsidR="0013116F" w:rsidRDefault="0013116F" w:rsidP="004B607F">
      <w:pPr>
        <w:pStyle w:val="a9"/>
        <w:rPr>
          <w:rtl/>
        </w:rPr>
      </w:pPr>
      <w:r>
        <w:rPr>
          <w:rStyle w:val="ab"/>
        </w:rPr>
        <w:footnoteRef/>
      </w:r>
      <w:r>
        <w:rPr>
          <w:rtl/>
        </w:rPr>
        <w:t xml:space="preserve"> </w:t>
      </w:r>
      <w:r w:rsidRPr="008A1134">
        <w:rPr>
          <w:rFonts w:cs="Arial"/>
          <w:rtl/>
        </w:rPr>
        <w:t>והריב"ש בסימן רס"ו (ד"ה אבל) הרחיב הדיבור בדין חוזר בו תוך כדי דיבור של חבירו עיין עליו</w:t>
      </w:r>
      <w:r>
        <w:rPr>
          <w:rFonts w:cs="Arial" w:hint="cs"/>
          <w:rtl/>
        </w:rPr>
        <w:t>, ב"י</w:t>
      </w:r>
      <w:r w:rsidRPr="008A1134">
        <w:rPr>
          <w:rFonts w:cs="Arial" w:hint="cs"/>
          <w:rtl/>
        </w:rPr>
        <w:t>.</w:t>
      </w:r>
    </w:p>
  </w:footnote>
  <w:footnote w:id="1608">
    <w:p w14:paraId="10F2EAC3" w14:textId="77777777" w:rsidR="0013116F" w:rsidRDefault="0013116F" w:rsidP="004B607F">
      <w:pPr>
        <w:pStyle w:val="a9"/>
        <w:rPr>
          <w:rtl/>
        </w:rPr>
      </w:pPr>
      <w:r>
        <w:rPr>
          <w:rStyle w:val="ab"/>
        </w:rPr>
        <w:footnoteRef/>
      </w:r>
      <w:r>
        <w:rPr>
          <w:rtl/>
        </w:rPr>
        <w:t xml:space="preserve"> </w:t>
      </w:r>
      <w:r w:rsidRPr="009A576F">
        <w:rPr>
          <w:rFonts w:cs="Arial"/>
          <w:rtl/>
        </w:rPr>
        <w:t>ואין זה חולק על דברי התשובה הראשונה דשאני הכא שעדים אחרים הם המעידים על התנאי</w:t>
      </w:r>
      <w:r>
        <w:rPr>
          <w:rFonts w:cs="Arial" w:hint="cs"/>
          <w:rtl/>
        </w:rPr>
        <w:t xml:space="preserve">. </w:t>
      </w:r>
      <w:r w:rsidRPr="009A576F">
        <w:rPr>
          <w:rFonts w:cs="Arial"/>
          <w:rtl/>
        </w:rPr>
        <w:t>עיין בתשובות הרשב"א דפוס ווינעציא סימן אלף י"ב</w:t>
      </w:r>
      <w:r>
        <w:rPr>
          <w:rFonts w:hint="cs"/>
          <w:rtl/>
        </w:rPr>
        <w:t>, ב"י.</w:t>
      </w:r>
    </w:p>
  </w:footnote>
  <w:footnote w:id="1609">
    <w:p w14:paraId="5224FC8D" w14:textId="77777777" w:rsidR="0013116F" w:rsidRDefault="0013116F" w:rsidP="004B607F">
      <w:pPr>
        <w:pStyle w:val="a9"/>
        <w:rPr>
          <w:rtl/>
        </w:rPr>
      </w:pPr>
      <w:r>
        <w:rPr>
          <w:rStyle w:val="ab"/>
        </w:rPr>
        <w:footnoteRef/>
      </w:r>
      <w:r>
        <w:rPr>
          <w:rtl/>
        </w:rPr>
        <w:t xml:space="preserve"> </w:t>
      </w:r>
      <w:r w:rsidRPr="00893C87">
        <w:rPr>
          <w:rFonts w:cs="Arial"/>
          <w:rtl/>
        </w:rPr>
        <w:t>ועיין בתשובותיו דפוס ווינעציא סי</w:t>
      </w:r>
      <w:r>
        <w:rPr>
          <w:rFonts w:cs="Arial" w:hint="cs"/>
          <w:rtl/>
        </w:rPr>
        <w:t>'</w:t>
      </w:r>
      <w:r w:rsidRPr="00893C87">
        <w:rPr>
          <w:rFonts w:cs="Arial"/>
          <w:rtl/>
        </w:rPr>
        <w:t xml:space="preserve"> תתקע"ב</w:t>
      </w:r>
      <w:r>
        <w:rPr>
          <w:rFonts w:cs="Arial" w:hint="cs"/>
          <w:rtl/>
        </w:rPr>
        <w:t xml:space="preserve">. </w:t>
      </w:r>
      <w:r w:rsidRPr="00893C87">
        <w:rPr>
          <w:rFonts w:cs="Arial" w:hint="cs"/>
          <w:rtl/>
        </w:rPr>
        <w:t>ובתשוב</w:t>
      </w:r>
      <w:r>
        <w:rPr>
          <w:rFonts w:cs="Arial" w:hint="cs"/>
          <w:rtl/>
        </w:rPr>
        <w:t>ה</w:t>
      </w:r>
      <w:r w:rsidRPr="00893C87">
        <w:rPr>
          <w:rFonts w:cs="Arial" w:hint="cs"/>
          <w:rtl/>
        </w:rPr>
        <w:t xml:space="preserve"> אחרת </w:t>
      </w:r>
      <w:r w:rsidRPr="00893C87">
        <w:rPr>
          <w:rFonts w:cs="Arial"/>
          <w:sz w:val="16"/>
          <w:szCs w:val="16"/>
          <w:rtl/>
        </w:rPr>
        <w:t>(ח"ג סי' יג)</w:t>
      </w:r>
      <w:r w:rsidRPr="00893C87">
        <w:rPr>
          <w:rFonts w:cs="Arial" w:hint="cs"/>
          <w:rtl/>
        </w:rPr>
        <w:t xml:space="preserve"> כתב על </w:t>
      </w:r>
      <w:r w:rsidRPr="00893C87">
        <w:rPr>
          <w:rFonts w:cs="Arial"/>
          <w:rtl/>
        </w:rPr>
        <w:t>שטר שכתוב בו שלא יוכל לפדות משכונא זו והעדים אומרים שלא היה תנאי זה אלא לזמן פלוני וכתבתיה בסי</w:t>
      </w:r>
      <w:r>
        <w:rPr>
          <w:rFonts w:cs="Arial" w:hint="cs"/>
          <w:rtl/>
        </w:rPr>
        <w:t>'</w:t>
      </w:r>
      <w:r w:rsidRPr="00893C87">
        <w:rPr>
          <w:rFonts w:cs="Arial"/>
          <w:rtl/>
        </w:rPr>
        <w:t xml:space="preserve"> מ"ט </w:t>
      </w:r>
      <w:r w:rsidRPr="00893C87">
        <w:rPr>
          <w:rFonts w:cs="Arial"/>
          <w:sz w:val="16"/>
          <w:szCs w:val="16"/>
          <w:rtl/>
        </w:rPr>
        <w:t>(מחודש ג)</w:t>
      </w:r>
      <w:r w:rsidRPr="00893C87">
        <w:rPr>
          <w:rFonts w:cs="Arial"/>
          <w:rtl/>
        </w:rPr>
        <w:t xml:space="preserve"> ועי</w:t>
      </w:r>
      <w:r>
        <w:rPr>
          <w:rFonts w:cs="Arial" w:hint="cs"/>
          <w:rtl/>
        </w:rPr>
        <w:t>'</w:t>
      </w:r>
      <w:r w:rsidRPr="00893C87">
        <w:rPr>
          <w:rFonts w:cs="Arial"/>
          <w:rtl/>
        </w:rPr>
        <w:t xml:space="preserve"> בתשו</w:t>
      </w:r>
      <w:r>
        <w:rPr>
          <w:rFonts w:cs="Arial" w:hint="cs"/>
          <w:rtl/>
        </w:rPr>
        <w:t>'</w:t>
      </w:r>
      <w:r w:rsidRPr="00893C87">
        <w:rPr>
          <w:rFonts w:cs="Arial"/>
          <w:rtl/>
        </w:rPr>
        <w:t xml:space="preserve"> הרא"ש שכתבתי בסי</w:t>
      </w:r>
      <w:r>
        <w:rPr>
          <w:rFonts w:cs="Arial" w:hint="cs"/>
          <w:rtl/>
        </w:rPr>
        <w:t>'</w:t>
      </w:r>
      <w:r w:rsidRPr="00893C87">
        <w:rPr>
          <w:rFonts w:cs="Arial"/>
          <w:rtl/>
        </w:rPr>
        <w:t xml:space="preserve"> ס"א </w:t>
      </w:r>
      <w:r w:rsidRPr="00893C87">
        <w:rPr>
          <w:rFonts w:cs="Arial"/>
          <w:sz w:val="16"/>
          <w:szCs w:val="16"/>
          <w:rtl/>
        </w:rPr>
        <w:t>(סי"ח)</w:t>
      </w:r>
      <w:r>
        <w:rPr>
          <w:rFonts w:hint="cs"/>
          <w:rtl/>
        </w:rPr>
        <w:t>, ב"י.</w:t>
      </w:r>
    </w:p>
  </w:footnote>
  <w:footnote w:id="1610">
    <w:p w14:paraId="6FF99286" w14:textId="77777777" w:rsidR="0013116F" w:rsidRDefault="0013116F" w:rsidP="004B607F">
      <w:pPr>
        <w:pStyle w:val="a9"/>
        <w:rPr>
          <w:rtl/>
        </w:rPr>
      </w:pPr>
      <w:r>
        <w:rPr>
          <w:rStyle w:val="ab"/>
        </w:rPr>
        <w:footnoteRef/>
      </w:r>
      <w:r>
        <w:rPr>
          <w:rtl/>
        </w:rPr>
        <w:t xml:space="preserve"> </w:t>
      </w:r>
      <w:r>
        <w:rPr>
          <w:rFonts w:cs="Arial" w:hint="cs"/>
          <w:rtl/>
        </w:rPr>
        <w:t xml:space="preserve">וכעין זה כתב רי"ו </w:t>
      </w:r>
      <w:r w:rsidRPr="00103518">
        <w:rPr>
          <w:rFonts w:cs="Arial" w:hint="cs"/>
          <w:sz w:val="16"/>
          <w:szCs w:val="16"/>
          <w:rtl/>
        </w:rPr>
        <w:t>(</w:t>
      </w:r>
      <w:r w:rsidRPr="00103518">
        <w:rPr>
          <w:rFonts w:cs="Arial"/>
          <w:sz w:val="16"/>
          <w:szCs w:val="16"/>
          <w:rtl/>
        </w:rPr>
        <w:t>נ"ב ח"ב יב.)</w:t>
      </w:r>
      <w:r>
        <w:rPr>
          <w:rFonts w:cs="Arial" w:hint="cs"/>
          <w:rtl/>
        </w:rPr>
        <w:t xml:space="preserve"> וז"ל- </w:t>
      </w:r>
      <w:r w:rsidRPr="00103518">
        <w:rPr>
          <w:rFonts w:cs="Arial"/>
          <w:rtl/>
        </w:rPr>
        <w:t xml:space="preserve">שטר שכתוב בו נשבע פלוני ואינו אומר בשטר אם בהזכרת השם יתברך אם בתורה </w:t>
      </w:r>
      <w:r>
        <w:rPr>
          <w:rFonts w:cs="Arial" w:hint="cs"/>
          <w:rtl/>
        </w:rPr>
        <w:t xml:space="preserve">- </w:t>
      </w:r>
      <w:r w:rsidRPr="00103518">
        <w:rPr>
          <w:rFonts w:cs="Arial"/>
          <w:rtl/>
        </w:rPr>
        <w:t>שואלים לעדים</w:t>
      </w:r>
      <w:r>
        <w:rPr>
          <w:rFonts w:cs="Arial" w:hint="cs"/>
          <w:rtl/>
        </w:rPr>
        <w:t>.</w:t>
      </w:r>
    </w:p>
  </w:footnote>
  <w:footnote w:id="1611">
    <w:p w14:paraId="54770EB2" w14:textId="77777777" w:rsidR="0013116F" w:rsidRDefault="0013116F" w:rsidP="004B607F">
      <w:pPr>
        <w:pStyle w:val="a9"/>
        <w:rPr>
          <w:rtl/>
        </w:rPr>
      </w:pPr>
      <w:r>
        <w:rPr>
          <w:rStyle w:val="ab"/>
        </w:rPr>
        <w:footnoteRef/>
      </w:r>
      <w:r>
        <w:rPr>
          <w:rtl/>
        </w:rPr>
        <w:t xml:space="preserve"> </w:t>
      </w:r>
      <w:r>
        <w:rPr>
          <w:rFonts w:cs="Arial"/>
          <w:rtl/>
        </w:rPr>
        <w:t>ועיין בתשובות הריב"ש סימן קס"ז ורס"ו</w:t>
      </w:r>
      <w:r>
        <w:rPr>
          <w:rFonts w:hint="cs"/>
          <w:rtl/>
        </w:rPr>
        <w:t>, ב"י.</w:t>
      </w:r>
    </w:p>
  </w:footnote>
  <w:footnote w:id="1612">
    <w:p w14:paraId="767BB1C8" w14:textId="77777777" w:rsidR="0013116F" w:rsidRDefault="0013116F" w:rsidP="004B607F">
      <w:pPr>
        <w:pStyle w:val="a9"/>
        <w:rPr>
          <w:rtl/>
        </w:rPr>
      </w:pPr>
      <w:r>
        <w:rPr>
          <w:rStyle w:val="ab"/>
        </w:rPr>
        <w:footnoteRef/>
      </w:r>
      <w:r>
        <w:rPr>
          <w:rtl/>
        </w:rPr>
        <w:t xml:space="preserve"> </w:t>
      </w:r>
      <w:r w:rsidRPr="00A26924">
        <w:rPr>
          <w:rFonts w:cs="Arial"/>
          <w:rtl/>
        </w:rPr>
        <w:t>אבל בתוך כדי דיבור יכולין לחזור, ואפילו עד הראשון בתוך כדי דיבור של השני, כגון שבאו שנים לבית דין להעיד והעיד האחד ואח"כ השני, יכול הראשון לחזור בו תוך כדי דיבור של עדות השני, דחד עדות הוא. כ"כ ר"ן [שבועות ט"ו ע"א מדפי הרי"ף ד"ה השתא]. ועיין ד"מ [סעיף א'] דכתב עוד, אף אם הפסיקוהו בעלי דין וחזר ואמר שרוצה להשלים אלא שהפסיקוהו, יכול להשלים דבריו ונאמן, ובלבד שלא יסתור עדותו לגמרי, עכ"ל</w:t>
      </w:r>
      <w:r>
        <w:rPr>
          <w:rFonts w:hint="cs"/>
          <w:rtl/>
        </w:rPr>
        <w:t>, סמ"ע (סק"ב).</w:t>
      </w:r>
    </w:p>
  </w:footnote>
  <w:footnote w:id="1613">
    <w:p w14:paraId="02602DD0" w14:textId="77777777" w:rsidR="0013116F" w:rsidRDefault="0013116F" w:rsidP="004B607F">
      <w:pPr>
        <w:pStyle w:val="a9"/>
        <w:rPr>
          <w:rtl/>
        </w:rPr>
      </w:pPr>
      <w:r>
        <w:rPr>
          <w:rStyle w:val="ab"/>
        </w:rPr>
        <w:footnoteRef/>
      </w:r>
      <w:r>
        <w:rPr>
          <w:rtl/>
        </w:rPr>
        <w:t xml:space="preserve"> </w:t>
      </w:r>
      <w:r w:rsidRPr="00BF6ECB">
        <w:rPr>
          <w:rFonts w:cs="Arial"/>
          <w:rtl/>
        </w:rPr>
        <w:t>פירוש, שמודה שלא היה מוטעה ושוגג, אלא אומר שהוכרח מכח פחד להעיד שקר במזיד</w:t>
      </w:r>
      <w:r>
        <w:rPr>
          <w:rFonts w:hint="cs"/>
          <w:rtl/>
        </w:rPr>
        <w:t>, ע"פ סמ"ע (סק"ג).</w:t>
      </w:r>
    </w:p>
  </w:footnote>
  <w:footnote w:id="1614">
    <w:p w14:paraId="3ECA2442" w14:textId="77777777" w:rsidR="0013116F" w:rsidRDefault="0013116F" w:rsidP="004B607F">
      <w:pPr>
        <w:pStyle w:val="a9"/>
      </w:pPr>
      <w:r>
        <w:rPr>
          <w:rStyle w:val="ab"/>
        </w:rPr>
        <w:footnoteRef/>
      </w:r>
      <w:r>
        <w:rPr>
          <w:rtl/>
        </w:rPr>
        <w:t xml:space="preserve"> </w:t>
      </w:r>
      <w:r w:rsidRPr="00BF6ECB">
        <w:rPr>
          <w:rFonts w:cs="Arial"/>
          <w:rtl/>
        </w:rPr>
        <w:t>דגם בזה סותר דבריו הראשונים שהעיד בראשונה סתם, דמשמע דבכל ענין הוה אותו הדבר, והיינו דוקא כשמעידין על פה לפני הב"ד, או בשטר וכתיבת ידם ניכר ויכולין לקיים חתימתן זולתן, דאל"כ הוה ליה הפה שאסר הוא הפה שהתיר</w:t>
      </w:r>
      <w:r>
        <w:rPr>
          <w:rFonts w:cs="Arial" w:hint="cs"/>
          <w:rtl/>
        </w:rPr>
        <w:t>..., סמ"ע (סק"ה).</w:t>
      </w:r>
    </w:p>
  </w:footnote>
  <w:footnote w:id="1615">
    <w:p w14:paraId="6BDDCB72" w14:textId="77777777" w:rsidR="0013116F" w:rsidRDefault="0013116F" w:rsidP="004B607F">
      <w:pPr>
        <w:pStyle w:val="a9"/>
        <w:rPr>
          <w:rtl/>
        </w:rPr>
      </w:pPr>
      <w:r>
        <w:rPr>
          <w:rStyle w:val="ab"/>
        </w:rPr>
        <w:footnoteRef/>
      </w:r>
      <w:r>
        <w:rPr>
          <w:rtl/>
        </w:rPr>
        <w:t xml:space="preserve"> </w:t>
      </w:r>
      <w:r w:rsidRPr="00BF6ECB">
        <w:rPr>
          <w:rFonts w:cs="Arial"/>
          <w:rtl/>
        </w:rPr>
        <w:t>פירוש, אפילו בביאור משמעו</w:t>
      </w:r>
      <w:r w:rsidRPr="006C380F">
        <w:rPr>
          <w:rFonts w:cs="Arial"/>
          <w:color w:val="000000" w:themeColor="text1"/>
          <w:rtl/>
        </w:rPr>
        <w:t>ת הרחוקה. וכ</w:t>
      </w:r>
      <w:r w:rsidRPr="006C380F">
        <w:rPr>
          <w:rFonts w:cs="Arial" w:hint="cs"/>
          <w:color w:val="000000" w:themeColor="text1"/>
          <w:rtl/>
        </w:rPr>
        <w:t>"</w:t>
      </w:r>
      <w:r w:rsidRPr="006C380F">
        <w:rPr>
          <w:rFonts w:cs="Arial"/>
          <w:color w:val="000000" w:themeColor="text1"/>
          <w:rtl/>
        </w:rPr>
        <w:t>כ ריב"ש סי</w:t>
      </w:r>
      <w:r w:rsidRPr="006C380F">
        <w:rPr>
          <w:rFonts w:cs="Arial" w:hint="cs"/>
          <w:color w:val="000000" w:themeColor="text1"/>
          <w:rtl/>
        </w:rPr>
        <w:t>'</w:t>
      </w:r>
      <w:r w:rsidRPr="006C380F">
        <w:rPr>
          <w:rFonts w:cs="Arial"/>
          <w:color w:val="000000" w:themeColor="text1"/>
          <w:rtl/>
        </w:rPr>
        <w:t xml:space="preserve"> תע"ו </w:t>
      </w:r>
      <w:r w:rsidRPr="006C380F">
        <w:rPr>
          <w:rFonts w:cs="Arial" w:hint="cs"/>
          <w:color w:val="000000" w:themeColor="text1"/>
          <w:sz w:val="16"/>
          <w:szCs w:val="16"/>
          <w:rtl/>
        </w:rPr>
        <w:t>(</w:t>
      </w:r>
      <w:r w:rsidRPr="006C380F">
        <w:rPr>
          <w:rFonts w:cs="Arial"/>
          <w:color w:val="000000" w:themeColor="text1"/>
          <w:sz w:val="16"/>
          <w:szCs w:val="16"/>
          <w:rtl/>
        </w:rPr>
        <w:t>בעד אחד שמעיד שהיה תנאי בע"פ בין החזן והקהל, ועדים אחרים מעידין שכל התנאים נכתבו בשטר אבל אמת שכל הדברים שנדברו בעל פה לא נכתבו בשטר, שזה לא מיקרי הכחשה לעד ההוא שאומר תנאי היה, דיש לומר שמא חשבו שהדברים שבע"פ אינם חשובים תנאי</w:t>
      </w:r>
      <w:r w:rsidRPr="006C380F">
        <w:rPr>
          <w:rFonts w:cs="Arial" w:hint="cs"/>
          <w:color w:val="000000" w:themeColor="text1"/>
          <w:sz w:val="16"/>
          <w:szCs w:val="16"/>
          <w:rtl/>
        </w:rPr>
        <w:t>)</w:t>
      </w:r>
      <w:r w:rsidRPr="00BF6ECB">
        <w:rPr>
          <w:rFonts w:cs="Arial"/>
          <w:rtl/>
        </w:rPr>
        <w:t>, עכ"ל</w:t>
      </w:r>
      <w:r>
        <w:rPr>
          <w:rFonts w:hint="cs"/>
          <w:rtl/>
        </w:rPr>
        <w:t>, סמ"ע (סק"ו).</w:t>
      </w:r>
    </w:p>
  </w:footnote>
  <w:footnote w:id="1616">
    <w:p w14:paraId="36D2D298" w14:textId="77777777" w:rsidR="0013116F" w:rsidRDefault="0013116F" w:rsidP="004B607F">
      <w:pPr>
        <w:pStyle w:val="a9"/>
        <w:rPr>
          <w:rtl/>
        </w:rPr>
      </w:pPr>
      <w:r>
        <w:rPr>
          <w:rStyle w:val="ab"/>
        </w:rPr>
        <w:footnoteRef/>
      </w:r>
      <w:r>
        <w:rPr>
          <w:rtl/>
        </w:rPr>
        <w:t xml:space="preserve"> </w:t>
      </w:r>
      <w:r w:rsidRPr="00BF6ECB">
        <w:rPr>
          <w:rFonts w:cs="Arial"/>
          <w:rtl/>
        </w:rPr>
        <w:t>כגון אחד אומר בשני בחודש נעשה המעשה והשני אומר בשלישי בחודש, דאמרינן האי ידע בקביעא דירחא והאי לא ידע, וכמ"ש הטור והמחבר בסימן שאחר זה בסעיף ז' ע"ש</w:t>
      </w:r>
      <w:r>
        <w:rPr>
          <w:rFonts w:hint="cs"/>
          <w:rtl/>
        </w:rPr>
        <w:t>, סמ"ע (סק"ז).</w:t>
      </w:r>
    </w:p>
  </w:footnote>
  <w:footnote w:id="1617">
    <w:p w14:paraId="50E5E690" w14:textId="77777777" w:rsidR="0013116F" w:rsidRDefault="0013116F" w:rsidP="004B607F">
      <w:pPr>
        <w:pStyle w:val="a9"/>
        <w:rPr>
          <w:rtl/>
        </w:rPr>
      </w:pPr>
      <w:r>
        <w:rPr>
          <w:rStyle w:val="ab"/>
        </w:rPr>
        <w:footnoteRef/>
      </w:r>
      <w:r>
        <w:rPr>
          <w:rtl/>
        </w:rPr>
        <w:t xml:space="preserve"> </w:t>
      </w:r>
      <w:r w:rsidRPr="00BF6ECB">
        <w:rPr>
          <w:rFonts w:cs="Arial"/>
          <w:rtl/>
        </w:rPr>
        <w:t>ה"ה כשאמר תחילה איני זוכר עתה יכול לחזור ולומר נתתי אל לבי וזכרתי. משא"כ כשאומר תחילה סתם איני זוכר דאינו חוזר ומגיד, כ"כ הרא"ש בתשובה כלל נ"ט סימן א'. ד"מ א'</w:t>
      </w:r>
      <w:r>
        <w:rPr>
          <w:rFonts w:hint="cs"/>
          <w:rtl/>
        </w:rPr>
        <w:t>, סמ"ע (סק"ח).</w:t>
      </w:r>
    </w:p>
  </w:footnote>
  <w:footnote w:id="1618">
    <w:p w14:paraId="1ECAF7E2" w14:textId="77777777" w:rsidR="0013116F" w:rsidRDefault="0013116F" w:rsidP="004B607F">
      <w:pPr>
        <w:pStyle w:val="a9"/>
      </w:pPr>
      <w:r>
        <w:rPr>
          <w:rStyle w:val="ab"/>
        </w:rPr>
        <w:footnoteRef/>
      </w:r>
      <w:r>
        <w:rPr>
          <w:rtl/>
        </w:rPr>
        <w:t xml:space="preserve"> </w:t>
      </w:r>
      <w:r w:rsidRPr="00BF6ECB">
        <w:rPr>
          <w:rFonts w:cs="Arial"/>
          <w:rtl/>
        </w:rPr>
        <w:t>ומ"ש המחבר בריש הסימן דאין שומעין לו אפילו נתן טעם לדבריו, שם איירי דאמר היפך דבריו הראשונים</w:t>
      </w:r>
      <w:r>
        <w:rPr>
          <w:rFonts w:cs="Arial" w:hint="cs"/>
          <w:rtl/>
        </w:rPr>
        <w:t>, סמ"ע (סק"י).</w:t>
      </w:r>
    </w:p>
  </w:footnote>
  <w:footnote w:id="1619">
    <w:p w14:paraId="6B945D36" w14:textId="77777777" w:rsidR="0013116F" w:rsidRDefault="0013116F" w:rsidP="004B607F">
      <w:pPr>
        <w:pStyle w:val="a9"/>
      </w:pPr>
      <w:r>
        <w:rPr>
          <w:rStyle w:val="ab"/>
        </w:rPr>
        <w:footnoteRef/>
      </w:r>
      <w:r>
        <w:rPr>
          <w:rtl/>
        </w:rPr>
        <w:t xml:space="preserve"> </w:t>
      </w:r>
      <w:r>
        <w:rPr>
          <w:rFonts w:hint="cs"/>
          <w:rtl/>
        </w:rPr>
        <w:t xml:space="preserve">סימן </w:t>
      </w:r>
      <w:r>
        <w:rPr>
          <w:rtl/>
        </w:rPr>
        <w:t>–</w:t>
      </w:r>
      <w:r>
        <w:rPr>
          <w:rFonts w:hint="cs"/>
          <w:rtl/>
        </w:rPr>
        <w:t xml:space="preserve"> זה מדמיין.</w:t>
      </w:r>
    </w:p>
  </w:footnote>
  <w:footnote w:id="1620">
    <w:p w14:paraId="35C8BEBA" w14:textId="77777777" w:rsidR="0013116F" w:rsidRDefault="0013116F" w:rsidP="004B607F">
      <w:pPr>
        <w:pStyle w:val="a9"/>
        <w:rPr>
          <w:rtl/>
        </w:rPr>
      </w:pPr>
      <w:r>
        <w:rPr>
          <w:rStyle w:val="ab"/>
        </w:rPr>
        <w:footnoteRef/>
      </w:r>
      <w:r>
        <w:rPr>
          <w:rtl/>
        </w:rPr>
        <w:t xml:space="preserve"> </w:t>
      </w:r>
      <w:r>
        <w:rPr>
          <w:rFonts w:hint="cs"/>
          <w:rtl/>
        </w:rPr>
        <w:t>לפנינו הגירסא 'ראית', הילכך אין הוכחה משם. ומ"מ הכי הכי איתא במשנה בירושלמי (סוטה פ"ט ה"ח).</w:t>
      </w:r>
    </w:p>
  </w:footnote>
  <w:footnote w:id="1621">
    <w:p w14:paraId="7149C4CD" w14:textId="77777777" w:rsidR="0013116F" w:rsidRDefault="0013116F" w:rsidP="004B607F">
      <w:pPr>
        <w:pStyle w:val="a9"/>
        <w:rPr>
          <w:rtl/>
        </w:rPr>
      </w:pPr>
      <w:r w:rsidRPr="006C380F">
        <w:rPr>
          <w:rStyle w:val="ab"/>
          <w:color w:val="000000" w:themeColor="text1"/>
        </w:rPr>
        <w:footnoteRef/>
      </w:r>
      <w:r w:rsidRPr="006C380F">
        <w:rPr>
          <w:color w:val="000000" w:themeColor="text1"/>
          <w:rtl/>
        </w:rPr>
        <w:t xml:space="preserve"> </w:t>
      </w:r>
      <w:r w:rsidRPr="006C380F">
        <w:rPr>
          <w:rFonts w:cs="Arial"/>
          <w:color w:val="000000" w:themeColor="text1"/>
          <w:rtl/>
        </w:rPr>
        <w:t>ונראה לי דהיינו כדאמרינן בכמה דוכתי (יבמות פח.) כשאמרו עדים לא זזה ידינו מתוך ידו</w:t>
      </w:r>
      <w:r w:rsidRPr="006C380F">
        <w:rPr>
          <w:rFonts w:cs="Arial" w:hint="cs"/>
          <w:color w:val="000000" w:themeColor="text1"/>
          <w:rtl/>
        </w:rPr>
        <w:t>, ב"י.</w:t>
      </w:r>
      <w:r w:rsidRPr="006C380F">
        <w:rPr>
          <w:rFonts w:hint="cs"/>
          <w:color w:val="000000" w:themeColor="text1"/>
          <w:rtl/>
        </w:rPr>
        <w:t xml:space="preserve"> וכתב הדרכ"מ (סי' ל אות ז) על דבריו וז"ל- </w:t>
      </w:r>
      <w:r w:rsidRPr="006C380F">
        <w:rPr>
          <w:rFonts w:cs="Arial"/>
          <w:color w:val="000000" w:themeColor="text1"/>
          <w:rtl/>
        </w:rPr>
        <w:t>ואין נראה</w:t>
      </w:r>
      <w:r>
        <w:rPr>
          <w:rFonts w:cs="Arial" w:hint="cs"/>
          <w:color w:val="000000" w:themeColor="text1"/>
          <w:rtl/>
        </w:rPr>
        <w:t>,</w:t>
      </w:r>
      <w:r w:rsidRPr="006C380F">
        <w:rPr>
          <w:rFonts w:cs="Arial"/>
          <w:color w:val="000000" w:themeColor="text1"/>
          <w:rtl/>
        </w:rPr>
        <w:t xml:space="preserve"> אלא כל שהיה במעמד אחד</w:t>
      </w:r>
      <w:r w:rsidRPr="006C380F">
        <w:rPr>
          <w:rFonts w:cs="Arial" w:hint="cs"/>
          <w:color w:val="000000" w:themeColor="text1"/>
          <w:rtl/>
        </w:rPr>
        <w:t>,</w:t>
      </w:r>
      <w:r w:rsidRPr="006C380F">
        <w:rPr>
          <w:rFonts w:cs="Arial"/>
          <w:color w:val="000000" w:themeColor="text1"/>
          <w:rtl/>
        </w:rPr>
        <w:t xml:space="preserve"> לא ראינו –</w:t>
      </w:r>
      <w:r w:rsidRPr="006C380F">
        <w:rPr>
          <w:rFonts w:cs="Arial" w:hint="cs"/>
          <w:color w:val="000000" w:themeColor="text1"/>
          <w:rtl/>
        </w:rPr>
        <w:t xml:space="preserve"> </w:t>
      </w:r>
      <w:r w:rsidRPr="006C380F">
        <w:rPr>
          <w:rFonts w:cs="Arial"/>
          <w:color w:val="000000" w:themeColor="text1"/>
          <w:rtl/>
        </w:rPr>
        <w:t>ראיה</w:t>
      </w:r>
      <w:r w:rsidRPr="006C380F">
        <w:rPr>
          <w:rFonts w:cs="Arial" w:hint="cs"/>
          <w:color w:val="000000" w:themeColor="text1"/>
          <w:rtl/>
        </w:rPr>
        <w:t>,</w:t>
      </w:r>
      <w:r w:rsidRPr="006C380F">
        <w:rPr>
          <w:rFonts w:cs="Arial"/>
          <w:color w:val="000000" w:themeColor="text1"/>
          <w:rtl/>
        </w:rPr>
        <w:t xml:space="preserve"> וכמ"ש באהע</w:t>
      </w:r>
      <w:r>
        <w:rPr>
          <w:rFonts w:cs="Arial" w:hint="cs"/>
          <w:color w:val="000000" w:themeColor="text1"/>
          <w:rtl/>
        </w:rPr>
        <w:t>"</w:t>
      </w:r>
      <w:r w:rsidRPr="006C380F">
        <w:rPr>
          <w:rFonts w:cs="Arial"/>
          <w:color w:val="000000" w:themeColor="text1"/>
          <w:rtl/>
        </w:rPr>
        <w:t>ז סי</w:t>
      </w:r>
      <w:r>
        <w:rPr>
          <w:rFonts w:cs="Arial" w:hint="cs"/>
          <w:color w:val="000000" w:themeColor="text1"/>
          <w:rtl/>
        </w:rPr>
        <w:t>'</w:t>
      </w:r>
      <w:r w:rsidRPr="006C380F">
        <w:rPr>
          <w:rFonts w:cs="Arial"/>
          <w:color w:val="000000" w:themeColor="text1"/>
          <w:rtl/>
        </w:rPr>
        <w:t xml:space="preserve"> מ"ז וע</w:t>
      </w:r>
      <w:r>
        <w:rPr>
          <w:rFonts w:cs="Arial" w:hint="cs"/>
          <w:color w:val="000000" w:themeColor="text1"/>
          <w:rtl/>
        </w:rPr>
        <w:t>"</w:t>
      </w:r>
      <w:r w:rsidRPr="006C380F">
        <w:rPr>
          <w:rFonts w:cs="Arial"/>
          <w:color w:val="000000" w:themeColor="text1"/>
          <w:rtl/>
        </w:rPr>
        <w:t>ש</w:t>
      </w:r>
      <w:r w:rsidRPr="006C380F">
        <w:rPr>
          <w:rFonts w:cs="Arial" w:hint="cs"/>
          <w:color w:val="000000" w:themeColor="text1"/>
          <w:rtl/>
        </w:rPr>
        <w:t>.</w:t>
      </w:r>
      <w:r w:rsidRPr="006C380F">
        <w:rPr>
          <w:rFonts w:cs="Arial"/>
          <w:color w:val="000000" w:themeColor="text1"/>
          <w:rtl/>
        </w:rPr>
        <w:t xml:space="preserve"> </w:t>
      </w:r>
      <w:r w:rsidRPr="006C380F">
        <w:rPr>
          <w:rFonts w:hint="cs"/>
          <w:color w:val="000000" w:themeColor="text1"/>
          <w:rtl/>
        </w:rPr>
        <w:t xml:space="preserve">וכתב הסמ"ע (סקי"ב) </w:t>
      </w:r>
      <w:r w:rsidRPr="006C380F">
        <w:rPr>
          <w:rFonts w:cs="Arial" w:hint="cs"/>
          <w:color w:val="000000" w:themeColor="text1"/>
          <w:rtl/>
        </w:rPr>
        <w:t>ד</w:t>
      </w:r>
      <w:r w:rsidRPr="006C380F">
        <w:rPr>
          <w:rFonts w:cs="Arial"/>
          <w:color w:val="000000" w:themeColor="text1"/>
          <w:rtl/>
        </w:rPr>
        <w:t>המחבר עצמו סתם דבריו כאן</w:t>
      </w:r>
      <w:r w:rsidRPr="006C380F">
        <w:rPr>
          <w:rFonts w:cs="Arial" w:hint="cs"/>
          <w:color w:val="000000" w:themeColor="text1"/>
          <w:sz w:val="16"/>
          <w:szCs w:val="16"/>
          <w:rtl/>
        </w:rPr>
        <w:t xml:space="preserve"> {בשו"ע}</w:t>
      </w:r>
      <w:r>
        <w:rPr>
          <w:rFonts w:cs="Arial" w:hint="cs"/>
          <w:color w:val="000000" w:themeColor="text1"/>
          <w:rtl/>
        </w:rPr>
        <w:t xml:space="preserve">, </w:t>
      </w:r>
      <w:r w:rsidRPr="006C380F">
        <w:rPr>
          <w:rFonts w:cs="Arial"/>
          <w:color w:val="000000" w:themeColor="text1"/>
          <w:rtl/>
        </w:rPr>
        <w:t>והיינו כדברי מור"ם</w:t>
      </w:r>
      <w:r w:rsidRPr="006C380F">
        <w:rPr>
          <w:rFonts w:cs="Arial" w:hint="cs"/>
          <w:color w:val="000000" w:themeColor="text1"/>
          <w:rtl/>
        </w:rPr>
        <w:t>.</w:t>
      </w:r>
    </w:p>
  </w:footnote>
  <w:footnote w:id="1622">
    <w:p w14:paraId="360FE781" w14:textId="77777777" w:rsidR="0013116F" w:rsidRDefault="0013116F" w:rsidP="004B607F">
      <w:pPr>
        <w:pStyle w:val="a9"/>
        <w:rPr>
          <w:rtl/>
        </w:rPr>
      </w:pPr>
      <w:r>
        <w:rPr>
          <w:rStyle w:val="ab"/>
        </w:rPr>
        <w:footnoteRef/>
      </w:r>
      <w:r>
        <w:rPr>
          <w:rtl/>
        </w:rPr>
        <w:t xml:space="preserve"> </w:t>
      </w:r>
      <w:r>
        <w:rPr>
          <w:rFonts w:hint="cs"/>
          <w:rtl/>
        </w:rPr>
        <w:t>תוספת הבא"ג, ועיין באות ל.</w:t>
      </w:r>
    </w:p>
  </w:footnote>
  <w:footnote w:id="1623">
    <w:p w14:paraId="1B312398" w14:textId="77777777" w:rsidR="0013116F" w:rsidRDefault="0013116F" w:rsidP="004B607F">
      <w:pPr>
        <w:pStyle w:val="a9"/>
      </w:pPr>
      <w:r>
        <w:rPr>
          <w:rStyle w:val="ab"/>
        </w:rPr>
        <w:footnoteRef/>
      </w:r>
      <w:r>
        <w:rPr>
          <w:rtl/>
        </w:rPr>
        <w:t xml:space="preserve"> </w:t>
      </w:r>
      <w:r w:rsidRPr="007265BE">
        <w:rPr>
          <w:rFonts w:cs="Arial"/>
          <w:rtl/>
        </w:rPr>
        <w:t>בסימן ל' סעיף ד' כתב כן ג"כ המחבר, ע"ש</w:t>
      </w:r>
      <w:r>
        <w:rPr>
          <w:rFonts w:cs="Arial" w:hint="cs"/>
          <w:rtl/>
        </w:rPr>
        <w:t>, סמ"ע (סקי"ג).</w:t>
      </w:r>
    </w:p>
  </w:footnote>
  <w:footnote w:id="1624">
    <w:p w14:paraId="472F4EFE" w14:textId="77777777" w:rsidR="0013116F" w:rsidRDefault="0013116F" w:rsidP="004B607F">
      <w:pPr>
        <w:pStyle w:val="a9"/>
      </w:pPr>
      <w:r>
        <w:rPr>
          <w:rStyle w:val="ab"/>
        </w:rPr>
        <w:footnoteRef/>
      </w:r>
      <w:r>
        <w:rPr>
          <w:rtl/>
        </w:rPr>
        <w:t xml:space="preserve"> </w:t>
      </w:r>
      <w:r>
        <w:rPr>
          <w:rFonts w:hint="cs"/>
          <w:rtl/>
        </w:rPr>
        <w:t>סימן - לא בעינן לדרוש/לחקור בדין.</w:t>
      </w:r>
    </w:p>
  </w:footnote>
  <w:footnote w:id="1625">
    <w:p w14:paraId="7CF638C4" w14:textId="77777777" w:rsidR="0013116F" w:rsidRDefault="0013116F" w:rsidP="004B607F">
      <w:pPr>
        <w:pStyle w:val="a9"/>
      </w:pPr>
      <w:r>
        <w:rPr>
          <w:rStyle w:val="ab"/>
        </w:rPr>
        <w:footnoteRef/>
      </w:r>
      <w:r>
        <w:rPr>
          <w:rtl/>
        </w:rPr>
        <w:t xml:space="preserve"> </w:t>
      </w:r>
      <w:r w:rsidRPr="00DC14C0">
        <w:rPr>
          <w:rFonts w:cs="Arial"/>
          <w:rtl/>
        </w:rPr>
        <w:t>אמר שמא איחרוהו</w:t>
      </w:r>
      <w:r>
        <w:rPr>
          <w:rFonts w:cs="Arial" w:hint="cs"/>
          <w:rtl/>
        </w:rPr>
        <w:t>?</w:t>
      </w:r>
      <w:r w:rsidRPr="00DC14C0">
        <w:rPr>
          <w:rFonts w:cs="Arial"/>
          <w:rtl/>
        </w:rPr>
        <w:t xml:space="preserve"> מכדי דרישה וחקירה לאכחושי קא אתיא, והיכא דקא מיתכחשו קמן ניקו אנן מתרצינן למילתייהו בשמא</w:t>
      </w:r>
      <w:r>
        <w:rPr>
          <w:rFonts w:cs="Arial" w:hint="cs"/>
          <w:rtl/>
        </w:rPr>
        <w:t>?, רש"י</w:t>
      </w:r>
      <w:r w:rsidRPr="00DC14C0">
        <w:rPr>
          <w:rFonts w:cs="Arial"/>
          <w:rtl/>
        </w:rPr>
        <w:t>.</w:t>
      </w:r>
    </w:p>
  </w:footnote>
  <w:footnote w:id="1626">
    <w:p w14:paraId="0CECB6E2" w14:textId="77777777" w:rsidR="0013116F" w:rsidRDefault="0013116F" w:rsidP="004B607F">
      <w:pPr>
        <w:pStyle w:val="a9"/>
      </w:pPr>
      <w:r>
        <w:rPr>
          <w:rStyle w:val="ab"/>
        </w:rPr>
        <w:footnoteRef/>
      </w:r>
      <w:r>
        <w:rPr>
          <w:rtl/>
        </w:rPr>
        <w:t xml:space="preserve"> </w:t>
      </w:r>
      <w:r w:rsidRPr="004144C9">
        <w:rPr>
          <w:rFonts w:cs="Arial"/>
          <w:rtl/>
        </w:rPr>
        <w:t>דמותבת מברייתא אותיב ממתניתין, דאלימא ומצויה בפי כל</w:t>
      </w:r>
      <w:r>
        <w:rPr>
          <w:rFonts w:cs="Arial" w:hint="cs"/>
          <w:rtl/>
        </w:rPr>
        <w:t>, רש"י.</w:t>
      </w:r>
    </w:p>
  </w:footnote>
  <w:footnote w:id="1627">
    <w:p w14:paraId="7030C35B" w14:textId="77777777" w:rsidR="0013116F" w:rsidRDefault="0013116F" w:rsidP="004B607F">
      <w:pPr>
        <w:pStyle w:val="a9"/>
      </w:pPr>
      <w:r>
        <w:rPr>
          <w:rStyle w:val="ab"/>
        </w:rPr>
        <w:footnoteRef/>
      </w:r>
      <w:r>
        <w:rPr>
          <w:rtl/>
        </w:rPr>
        <w:t xml:space="preserve"> </w:t>
      </w:r>
      <w:r>
        <w:rPr>
          <w:rFonts w:hint="cs"/>
          <w:rtl/>
        </w:rPr>
        <w:t>שביעית פ"י מ"ה.</w:t>
      </w:r>
    </w:p>
  </w:footnote>
  <w:footnote w:id="1628">
    <w:p w14:paraId="19C3704C" w14:textId="77777777" w:rsidR="0013116F" w:rsidRDefault="0013116F" w:rsidP="004B607F">
      <w:pPr>
        <w:pStyle w:val="a9"/>
      </w:pPr>
      <w:r>
        <w:rPr>
          <w:rStyle w:val="ab"/>
        </w:rPr>
        <w:footnoteRef/>
      </w:r>
      <w:r>
        <w:rPr>
          <w:rtl/>
        </w:rPr>
        <w:t xml:space="preserve"> </w:t>
      </w:r>
      <w:r w:rsidRPr="004144C9">
        <w:rPr>
          <w:rFonts w:cs="Arial"/>
          <w:rtl/>
        </w:rPr>
        <w:t>דמעליותא היא דקא מחיל ליה לשיעבודא עד השתא, אלמא לא בעינן דרישה וחקירה, דאם כן היכי מתרצינן למילתא דשטרא נימא זיופא הוא ולא ראו עדים החתומים בו את המלוה הזאת, ואי משום הנך סהדי אחריני - תהוי כמלוה על פה ולא יטרוף לקוחות, דמלוה על פה לא טרפא ממשעבדי, דלית לה קלא</w:t>
      </w:r>
      <w:r>
        <w:rPr>
          <w:rFonts w:cs="Arial" w:hint="cs"/>
          <w:rtl/>
        </w:rPr>
        <w:t>, רש"י</w:t>
      </w:r>
      <w:r w:rsidRPr="004144C9">
        <w:rPr>
          <w:rFonts w:cs="Arial"/>
          <w:rtl/>
        </w:rPr>
        <w:t>.</w:t>
      </w:r>
    </w:p>
  </w:footnote>
  <w:footnote w:id="1629">
    <w:p w14:paraId="79B7DF5C" w14:textId="77777777" w:rsidR="0013116F" w:rsidRDefault="0013116F" w:rsidP="004B607F">
      <w:pPr>
        <w:pStyle w:val="a9"/>
      </w:pPr>
      <w:r>
        <w:rPr>
          <w:rStyle w:val="ab"/>
        </w:rPr>
        <w:footnoteRef/>
      </w:r>
      <w:r>
        <w:rPr>
          <w:rtl/>
        </w:rPr>
        <w:t xml:space="preserve"> </w:t>
      </w:r>
      <w:r w:rsidRPr="00CE2D83">
        <w:rPr>
          <w:rFonts w:cs="Arial"/>
          <w:rtl/>
        </w:rPr>
        <w:t>מתניתין קשיין אהדדי</w:t>
      </w:r>
      <w:r>
        <w:rPr>
          <w:rFonts w:cs="Arial" w:hint="cs"/>
          <w:rtl/>
        </w:rPr>
        <w:t>, רש"י</w:t>
      </w:r>
      <w:r w:rsidRPr="00CE2D83">
        <w:rPr>
          <w:rFonts w:cs="Arial"/>
          <w:rtl/>
        </w:rPr>
        <w:t>.</w:t>
      </w:r>
    </w:p>
  </w:footnote>
  <w:footnote w:id="1630">
    <w:p w14:paraId="1E00BEC4" w14:textId="77777777" w:rsidR="0013116F" w:rsidRDefault="0013116F" w:rsidP="004B607F">
      <w:pPr>
        <w:pStyle w:val="a9"/>
      </w:pPr>
      <w:r>
        <w:rPr>
          <w:rStyle w:val="ab"/>
        </w:rPr>
        <w:footnoteRef/>
      </w:r>
      <w:r>
        <w:rPr>
          <w:rtl/>
        </w:rPr>
        <w:t xml:space="preserve"> </w:t>
      </w:r>
      <w:r>
        <w:rPr>
          <w:rFonts w:hint="cs"/>
          <w:rtl/>
        </w:rPr>
        <w:t xml:space="preserve">חנינא, רבא, פפא, אשי (רב אשי כתב </w:t>
      </w:r>
      <w:r>
        <w:rPr>
          <w:rtl/>
        </w:rPr>
        <w:t>–</w:t>
      </w:r>
      <w:r>
        <w:rPr>
          <w:rFonts w:hint="cs"/>
          <w:rtl/>
        </w:rPr>
        <w:t xml:space="preserve"> אחד לדין ואחד לפשרה, והב"י לא הביא את דברי רב אשי משום שאין כאן מקומם).</w:t>
      </w:r>
    </w:p>
  </w:footnote>
  <w:footnote w:id="1631">
    <w:p w14:paraId="1DA31FE0" w14:textId="77777777" w:rsidR="0013116F" w:rsidRDefault="0013116F" w:rsidP="004B607F">
      <w:pPr>
        <w:pStyle w:val="a9"/>
        <w:rPr>
          <w:rtl/>
        </w:rPr>
      </w:pPr>
      <w:r>
        <w:rPr>
          <w:rStyle w:val="ab"/>
        </w:rPr>
        <w:footnoteRef/>
      </w:r>
      <w:r>
        <w:rPr>
          <w:rtl/>
        </w:rPr>
        <w:t xml:space="preserve"> </w:t>
      </w:r>
      <w:r w:rsidRPr="00A21CB5">
        <w:rPr>
          <w:rFonts w:cs="Arial"/>
          <w:rtl/>
        </w:rPr>
        <w:t xml:space="preserve"> ומתניתין - דאורייתא, קמי תקנתא, וברייתא - דרבנן, בתר תקנתא</w:t>
      </w:r>
      <w:r>
        <w:rPr>
          <w:rFonts w:cs="Arial" w:hint="cs"/>
          <w:rtl/>
        </w:rPr>
        <w:t>, רש"י</w:t>
      </w:r>
      <w:r w:rsidRPr="00A21CB5">
        <w:rPr>
          <w:rFonts w:cs="Arial"/>
          <w:rtl/>
        </w:rPr>
        <w:t>.</w:t>
      </w:r>
    </w:p>
  </w:footnote>
  <w:footnote w:id="1632">
    <w:p w14:paraId="160A9078" w14:textId="77777777" w:rsidR="0013116F" w:rsidRDefault="0013116F" w:rsidP="004B607F">
      <w:pPr>
        <w:pStyle w:val="a9"/>
        <w:rPr>
          <w:rtl/>
        </w:rPr>
      </w:pPr>
      <w:r>
        <w:rPr>
          <w:rStyle w:val="ab"/>
        </w:rPr>
        <w:footnoteRef/>
      </w:r>
      <w:r>
        <w:rPr>
          <w:rtl/>
        </w:rPr>
        <w:t xml:space="preserve"> </w:t>
      </w:r>
      <w:r w:rsidRPr="00A21CB5">
        <w:rPr>
          <w:rFonts w:cs="Arial"/>
          <w:rtl/>
        </w:rPr>
        <w:t>בית דין בדיני ממונות - לא ישלמו, דדילמא אי שבקת להו לדרוש ולחקור הוה רווחא למילתא, ולא הוו טעו</w:t>
      </w:r>
      <w:r>
        <w:rPr>
          <w:rFonts w:cs="Arial" w:hint="cs"/>
          <w:rtl/>
        </w:rPr>
        <w:t>, רש"י</w:t>
      </w:r>
      <w:r w:rsidRPr="00A21CB5">
        <w:rPr>
          <w:rFonts w:cs="Arial"/>
          <w:rtl/>
        </w:rPr>
        <w:t>.</w:t>
      </w:r>
    </w:p>
  </w:footnote>
  <w:footnote w:id="1633">
    <w:p w14:paraId="2E5518FF" w14:textId="77777777" w:rsidR="0013116F" w:rsidRDefault="0013116F" w:rsidP="004B607F">
      <w:pPr>
        <w:pStyle w:val="a9"/>
      </w:pPr>
      <w:r>
        <w:rPr>
          <w:rStyle w:val="ab"/>
        </w:rPr>
        <w:footnoteRef/>
      </w:r>
      <w:r>
        <w:rPr>
          <w:rtl/>
        </w:rPr>
        <w:t xml:space="preserve"> </w:t>
      </w:r>
      <w:r w:rsidRPr="00A21CB5">
        <w:rPr>
          <w:rFonts w:cs="Arial"/>
          <w:rtl/>
        </w:rPr>
        <w:t>דמתייראין להפסיד על ידי בית דין טועין</w:t>
      </w:r>
      <w:r>
        <w:rPr>
          <w:rFonts w:cs="Arial" w:hint="cs"/>
          <w:rtl/>
        </w:rPr>
        <w:t>, רש"י</w:t>
      </w:r>
      <w:r w:rsidRPr="00A21CB5">
        <w:rPr>
          <w:rFonts w:cs="Arial"/>
          <w:rtl/>
        </w:rPr>
        <w:t>.</w:t>
      </w:r>
    </w:p>
  </w:footnote>
  <w:footnote w:id="1634">
    <w:p w14:paraId="11ACBA78" w14:textId="77777777" w:rsidR="0013116F" w:rsidRDefault="0013116F" w:rsidP="004B607F">
      <w:pPr>
        <w:pStyle w:val="a9"/>
      </w:pPr>
      <w:r>
        <w:rPr>
          <w:rStyle w:val="ab"/>
        </w:rPr>
        <w:footnoteRef/>
      </w:r>
      <w:r>
        <w:rPr>
          <w:rtl/>
        </w:rPr>
        <w:t xml:space="preserve"> </w:t>
      </w:r>
      <w:r w:rsidRPr="00A21CB5">
        <w:rPr>
          <w:rFonts w:cs="Arial"/>
          <w:rtl/>
        </w:rPr>
        <w:t>תרווייהו בתר תקנתא דרבנן, ומתניתין בדיני קנסות, דליכא למיחש לנעילת דלת, אבל בהודאות והלוואות דאיכא למיחש לנעילת דלת בהודאות והלוואות בדיני מלוה, וזה בא לידון בעדי הודאה שהודה לו בפניהם, או בעדי הלוואה שהלווהו בפניהם, דאיכא למיחש לנעילת דלת</w:t>
      </w:r>
      <w:r>
        <w:rPr>
          <w:rFonts w:cs="Arial" w:hint="cs"/>
          <w:rtl/>
        </w:rPr>
        <w:t>, רש"י</w:t>
      </w:r>
      <w:r w:rsidRPr="00A21CB5">
        <w:rPr>
          <w:rFonts w:cs="Arial"/>
          <w:rtl/>
        </w:rPr>
        <w:t>.</w:t>
      </w:r>
    </w:p>
  </w:footnote>
  <w:footnote w:id="1635">
    <w:p w14:paraId="2A7A3A2D" w14:textId="77777777" w:rsidR="0013116F" w:rsidRDefault="0013116F" w:rsidP="004B607F">
      <w:pPr>
        <w:pStyle w:val="a9"/>
        <w:rPr>
          <w:rtl/>
        </w:rPr>
      </w:pPr>
      <w:r>
        <w:rPr>
          <w:rStyle w:val="ab"/>
        </w:rPr>
        <w:footnoteRef/>
      </w:r>
      <w:r>
        <w:rPr>
          <w:rtl/>
        </w:rPr>
        <w:t xml:space="preserve"> </w:t>
      </w:r>
      <w:r w:rsidRPr="00CF3B0B">
        <w:rPr>
          <w:rFonts w:cs="Arial"/>
          <w:rtl/>
        </w:rPr>
        <w:t>שבית דין מכירין בתובע זה שהוא רמאי, או מבינים טענת רמאי בדבריו</w:t>
      </w:r>
      <w:r>
        <w:rPr>
          <w:rFonts w:cs="Arial" w:hint="cs"/>
          <w:rtl/>
        </w:rPr>
        <w:t>, רש"י</w:t>
      </w:r>
      <w:r w:rsidRPr="00CF3B0B">
        <w:rPr>
          <w:rFonts w:cs="Arial"/>
          <w:rtl/>
        </w:rPr>
        <w:t>.</w:t>
      </w:r>
      <w:r w:rsidRPr="00272A98">
        <w:rPr>
          <w:rtl/>
        </w:rPr>
        <w:t xml:space="preserve"> </w:t>
      </w:r>
      <w:r>
        <w:rPr>
          <w:rFonts w:cs="Arial" w:hint="cs"/>
          <w:rtl/>
        </w:rPr>
        <w:t>אבל ל</w:t>
      </w:r>
      <w:r w:rsidRPr="00272A98">
        <w:rPr>
          <w:rFonts w:cs="Arial"/>
          <w:rtl/>
        </w:rPr>
        <w:t>א שיודעים בו שהוא מרומה דא"כ אין לדונו כלל כדדרשינן בפרק שבועות העדות (שבועות ל:) מדבר שקר תרחק</w:t>
      </w:r>
      <w:r>
        <w:rPr>
          <w:rFonts w:cs="Arial" w:hint="cs"/>
          <w:rtl/>
        </w:rPr>
        <w:t>, תוס' (ד"ה כאן בדין מרומה)</w:t>
      </w:r>
      <w:r w:rsidRPr="00272A98">
        <w:rPr>
          <w:rFonts w:cs="Arial"/>
          <w:rtl/>
        </w:rPr>
        <w:t>.</w:t>
      </w:r>
    </w:p>
  </w:footnote>
  <w:footnote w:id="1636">
    <w:p w14:paraId="2E16AD1C" w14:textId="77777777" w:rsidR="0013116F" w:rsidRDefault="0013116F" w:rsidP="004B607F">
      <w:pPr>
        <w:pStyle w:val="a9"/>
        <w:rPr>
          <w:rtl/>
        </w:rPr>
      </w:pPr>
      <w:r>
        <w:rPr>
          <w:rStyle w:val="ab"/>
        </w:rPr>
        <w:footnoteRef/>
      </w:r>
      <w:r>
        <w:rPr>
          <w:rtl/>
        </w:rPr>
        <w:t xml:space="preserve"> </w:t>
      </w:r>
      <w:r>
        <w:rPr>
          <w:rFonts w:cs="Arial" w:hint="cs"/>
          <w:rtl/>
        </w:rPr>
        <w:t>כתב הרא"ש (שם, והם העתק מדברי התוס') ד</w:t>
      </w:r>
      <w:r>
        <w:rPr>
          <w:rFonts w:cs="Arial"/>
          <w:rtl/>
        </w:rPr>
        <w:t>הוא הדין דכתובת אשה ירושות ומתנות לא בעו דרישה וחקירה כדי שתנעול דלת בפני עושי עולה</w:t>
      </w:r>
      <w:r>
        <w:rPr>
          <w:rFonts w:cs="Arial" w:hint="cs"/>
          <w:rtl/>
        </w:rPr>
        <w:t>,</w:t>
      </w:r>
      <w:r>
        <w:rPr>
          <w:rFonts w:cs="Arial"/>
          <w:rtl/>
        </w:rPr>
        <w:t xml:space="preserve"> שלא יסמוך זה על שמא לא יכוונו עדים עדותם</w:t>
      </w:r>
      <w:r>
        <w:rPr>
          <w:rFonts w:cs="Arial" w:hint="cs"/>
          <w:rtl/>
        </w:rPr>
        <w:t>,</w:t>
      </w:r>
      <w:r>
        <w:rPr>
          <w:rFonts w:cs="Arial"/>
          <w:rtl/>
        </w:rPr>
        <w:t xml:space="preserve"> אבל גזילות וחבלות בעו דרישה וחקירה</w:t>
      </w:r>
      <w:r>
        <w:rPr>
          <w:rFonts w:cs="Arial" w:hint="cs"/>
          <w:rtl/>
        </w:rPr>
        <w:t>.</w:t>
      </w:r>
      <w:r>
        <w:rPr>
          <w:rFonts w:cs="Arial"/>
          <w:rtl/>
        </w:rPr>
        <w:t xml:space="preserve"> והא דבפרק אחד דיני ממונות (לב:) אוקי רבא מתניתין דמצרכא דרישה וחקירה בדיני קנסות </w:t>
      </w:r>
      <w:r>
        <w:rPr>
          <w:rFonts w:cs="Arial" w:hint="cs"/>
          <w:rtl/>
        </w:rPr>
        <w:t xml:space="preserve">- </w:t>
      </w:r>
      <w:r>
        <w:rPr>
          <w:rFonts w:cs="Arial"/>
          <w:rtl/>
        </w:rPr>
        <w:t>לאו דוקא דיני קנסות</w:t>
      </w:r>
      <w:r>
        <w:rPr>
          <w:rFonts w:cs="Arial" w:hint="cs"/>
          <w:rtl/>
        </w:rPr>
        <w:t>,</w:t>
      </w:r>
      <w:r>
        <w:rPr>
          <w:rFonts w:cs="Arial"/>
          <w:rtl/>
        </w:rPr>
        <w:t xml:space="preserve"> דכל מאי דצריך מומחין דרך התלמוד לכוללו עם דיני קנסות</w:t>
      </w:r>
      <w:r>
        <w:rPr>
          <w:rFonts w:cs="Arial" w:hint="cs"/>
          <w:rtl/>
        </w:rPr>
        <w:t>.</w:t>
      </w:r>
      <w:r>
        <w:rPr>
          <w:rFonts w:cs="Arial"/>
          <w:rtl/>
        </w:rPr>
        <w:t xml:space="preserve"> ובפרק החובל (ב"ק פד:) מסיק דבכל מידי דשכיח עבדינן שליחותייהו וגובין אותו בבבל מידי דהוה אהודאות והלואות</w:t>
      </w:r>
      <w:r>
        <w:rPr>
          <w:rFonts w:cs="Arial" w:hint="cs"/>
          <w:rtl/>
        </w:rPr>
        <w:t>,</w:t>
      </w:r>
      <w:r>
        <w:rPr>
          <w:rFonts w:cs="Arial"/>
          <w:rtl/>
        </w:rPr>
        <w:t xml:space="preserve"> וקאמר התם דחבלות לא שכיח</w:t>
      </w:r>
      <w:r>
        <w:rPr>
          <w:rFonts w:cs="Arial" w:hint="cs"/>
          <w:rtl/>
        </w:rPr>
        <w:t>,</w:t>
      </w:r>
      <w:r>
        <w:rPr>
          <w:rFonts w:cs="Arial"/>
          <w:rtl/>
        </w:rPr>
        <w:t xml:space="preserve"> משמע דכל שאר מילי שכיח אפילו גזילות</w:t>
      </w:r>
      <w:r>
        <w:rPr>
          <w:rFonts w:cs="Arial" w:hint="cs"/>
          <w:rtl/>
        </w:rPr>
        <w:t>,</w:t>
      </w:r>
      <w:r>
        <w:rPr>
          <w:rFonts w:cs="Arial"/>
          <w:rtl/>
        </w:rPr>
        <w:t xml:space="preserve"> הלכך</w:t>
      </w:r>
      <w:r>
        <w:rPr>
          <w:rFonts w:hint="cs"/>
          <w:rtl/>
        </w:rPr>
        <w:t>-...</w:t>
      </w:r>
    </w:p>
  </w:footnote>
  <w:footnote w:id="1637">
    <w:p w14:paraId="36FBE011" w14:textId="77777777" w:rsidR="0013116F" w:rsidRPr="009B5576" w:rsidRDefault="0013116F" w:rsidP="004B607F">
      <w:pPr>
        <w:pStyle w:val="a9"/>
        <w:rPr>
          <w:color w:val="FF0000"/>
        </w:rPr>
      </w:pPr>
      <w:r>
        <w:rPr>
          <w:rStyle w:val="ab"/>
        </w:rPr>
        <w:footnoteRef/>
      </w:r>
      <w:r>
        <w:rPr>
          <w:rtl/>
        </w:rPr>
        <w:t xml:space="preserve"> </w:t>
      </w:r>
      <w:r>
        <w:rPr>
          <w:rFonts w:hint="cs"/>
          <w:rtl/>
        </w:rPr>
        <w:t xml:space="preserve">והתוס' (סנהדרין ג. ד"ה שלא תנעול) כתבו וז"ל- </w:t>
      </w:r>
      <w:r w:rsidRPr="002D7362">
        <w:rPr>
          <w:rFonts w:cs="Arial"/>
          <w:rtl/>
        </w:rPr>
        <w:t>ואם תאמר והא אשכחן בכמה דוכתין שהיו דנין בבבל גזילות וחבלות בפ"ב דב"ק (כא.) גבי ההוא גברא דבנה אפדנא אקילקלתא דיתמי וחנן בישא (שם</w:t>
      </w:r>
      <w:r>
        <w:rPr>
          <w:rFonts w:cs="Arial" w:hint="cs"/>
          <w:rtl/>
        </w:rPr>
        <w:t xml:space="preserve"> </w:t>
      </w:r>
      <w:r w:rsidRPr="002D7362">
        <w:rPr>
          <w:rFonts w:cs="Arial"/>
          <w:rtl/>
        </w:rPr>
        <w:t>לז.) דתקע ליה לחבריה וכן בכמה מקומות</w:t>
      </w:r>
      <w:r>
        <w:rPr>
          <w:rFonts w:cs="Arial" w:hint="cs"/>
          <w:rtl/>
        </w:rPr>
        <w:t>,</w:t>
      </w:r>
      <w:r w:rsidRPr="002D7362">
        <w:rPr>
          <w:rFonts w:cs="Arial"/>
          <w:rtl/>
        </w:rPr>
        <w:t xml:space="preserve"> וי</w:t>
      </w:r>
      <w:r>
        <w:rPr>
          <w:rFonts w:cs="Arial" w:hint="cs"/>
          <w:rtl/>
        </w:rPr>
        <w:t>"ל</w:t>
      </w:r>
      <w:r w:rsidRPr="002D7362">
        <w:rPr>
          <w:rFonts w:cs="Arial"/>
          <w:rtl/>
        </w:rPr>
        <w:t xml:space="preserve"> דבכל הנהו אפשר שדחקו זה את זה ע"י דתפסי או דאמר אקבעיה לדינא בארץ ישראל כדאיתא בספ</w:t>
      </w:r>
      <w:r>
        <w:rPr>
          <w:rFonts w:cs="Arial" w:hint="cs"/>
          <w:rtl/>
        </w:rPr>
        <w:t>"</w:t>
      </w:r>
      <w:r w:rsidRPr="002D7362">
        <w:rPr>
          <w:rFonts w:cs="Arial"/>
          <w:rtl/>
        </w:rPr>
        <w:t>ק דב"ק (טו.)</w:t>
      </w:r>
      <w:r>
        <w:rPr>
          <w:rFonts w:cs="Arial" w:hint="cs"/>
          <w:rtl/>
        </w:rPr>
        <w:t>.</w:t>
      </w:r>
      <w:r w:rsidRPr="002D7362">
        <w:rPr>
          <w:rFonts w:cs="Arial"/>
          <w:rtl/>
        </w:rPr>
        <w:t xml:space="preserve"> </w:t>
      </w:r>
      <w:r>
        <w:rPr>
          <w:rFonts w:cs="Arial" w:hint="cs"/>
          <w:rtl/>
        </w:rPr>
        <w:t>ו</w:t>
      </w:r>
      <w:r w:rsidRPr="00E80748">
        <w:rPr>
          <w:rFonts w:cs="Arial"/>
          <w:rtl/>
        </w:rPr>
        <w:t>י"מ דוקא גזילות שע</w:t>
      </w:r>
      <w:r>
        <w:rPr>
          <w:rFonts w:cs="Arial" w:hint="cs"/>
          <w:rtl/>
        </w:rPr>
        <w:t>"</w:t>
      </w:r>
      <w:r w:rsidRPr="00E80748">
        <w:rPr>
          <w:rFonts w:cs="Arial"/>
          <w:rtl/>
        </w:rPr>
        <w:t>י חבלות</w:t>
      </w:r>
      <w:r>
        <w:rPr>
          <w:rFonts w:cs="Arial" w:hint="cs"/>
          <w:rtl/>
        </w:rPr>
        <w:t>,</w:t>
      </w:r>
      <w:r w:rsidRPr="00E80748">
        <w:rPr>
          <w:rFonts w:cs="Arial"/>
          <w:rtl/>
        </w:rPr>
        <w:t xml:space="preserve"> כמו דמינצו בי תרי ומחו אהדדי עד שתוקף אחד וגוזל את חבירו</w:t>
      </w:r>
      <w:r>
        <w:rPr>
          <w:rFonts w:cs="Arial" w:hint="cs"/>
          <w:rtl/>
        </w:rPr>
        <w:t>,</w:t>
      </w:r>
      <w:r w:rsidRPr="00E80748">
        <w:rPr>
          <w:rFonts w:cs="Arial"/>
          <w:rtl/>
        </w:rPr>
        <w:t xml:space="preserve"> ד</w:t>
      </w:r>
      <w:r>
        <w:rPr>
          <w:rFonts w:cs="Arial" w:hint="cs"/>
          <w:rtl/>
        </w:rPr>
        <w:t>כ</w:t>
      </w:r>
      <w:r w:rsidRPr="00E80748">
        <w:rPr>
          <w:rFonts w:cs="Arial"/>
          <w:rtl/>
        </w:rPr>
        <w:t>ה</w:t>
      </w:r>
      <w:r>
        <w:rPr>
          <w:rFonts w:cs="Arial" w:hint="cs"/>
          <w:rtl/>
        </w:rPr>
        <w:t>"</w:t>
      </w:r>
      <w:r w:rsidRPr="00E80748">
        <w:rPr>
          <w:rFonts w:cs="Arial"/>
          <w:rtl/>
        </w:rPr>
        <w:t>ג לא שכיח ולא עבדינא שליחותייהו</w:t>
      </w:r>
      <w:r>
        <w:rPr>
          <w:rFonts w:cs="Arial" w:hint="cs"/>
          <w:rtl/>
        </w:rPr>
        <w:t>. עכ"ל. והביא הב"י את סוף דבריהם (היינו דגזילות ע"י חבלות לא שכיח). ומשמע מדברי התוס' שגזילות גרידא וחבלות גרידא כן עבדינן שליחותייהו, ולא בעינן בהם דרישה וחקירה. ובתוספות הרא"ש</w:t>
      </w:r>
      <w:r w:rsidRPr="002D7362">
        <w:rPr>
          <w:rFonts w:cs="Arial" w:hint="cs"/>
          <w:sz w:val="16"/>
          <w:szCs w:val="16"/>
          <w:rtl/>
        </w:rPr>
        <w:t xml:space="preserve"> (גיטין פח: ד"ה אי הכי) </w:t>
      </w:r>
      <w:r>
        <w:rPr>
          <w:rFonts w:cs="Arial" w:hint="cs"/>
          <w:rtl/>
        </w:rPr>
        <w:t xml:space="preserve">כתב וז"ל- </w:t>
      </w:r>
      <w:r w:rsidRPr="002D7362">
        <w:rPr>
          <w:rFonts w:cs="Arial"/>
          <w:rtl/>
        </w:rPr>
        <w:t xml:space="preserve">נראה לפרש דגזלות אין דנין בבבל </w:t>
      </w:r>
      <w:r>
        <w:rPr>
          <w:rFonts w:cs="Arial" w:hint="cs"/>
          <w:rtl/>
        </w:rPr>
        <w:t xml:space="preserve">- </w:t>
      </w:r>
      <w:r w:rsidRPr="002D7362">
        <w:rPr>
          <w:rFonts w:cs="Arial"/>
          <w:rtl/>
        </w:rPr>
        <w:t>היינו שעל ידי חבלות</w:t>
      </w:r>
      <w:r>
        <w:rPr>
          <w:rFonts w:cs="Arial" w:hint="cs"/>
          <w:rtl/>
        </w:rPr>
        <w:t>,</w:t>
      </w:r>
      <w:r w:rsidRPr="002D7362">
        <w:rPr>
          <w:rFonts w:cs="Arial"/>
          <w:rtl/>
        </w:rPr>
        <w:t xml:space="preserve"> כגון שמכהו עד שמניח את שלו</w:t>
      </w:r>
      <w:r>
        <w:rPr>
          <w:rFonts w:cs="Arial" w:hint="cs"/>
          <w:rtl/>
        </w:rPr>
        <w:t>,</w:t>
      </w:r>
      <w:r w:rsidRPr="002D7362">
        <w:rPr>
          <w:rFonts w:cs="Arial"/>
          <w:rtl/>
        </w:rPr>
        <w:t xml:space="preserve"> דגזילה כי האי לא שכיחא.</w:t>
      </w:r>
      <w:r>
        <w:rPr>
          <w:rFonts w:cs="Arial" w:hint="cs"/>
          <w:rtl/>
        </w:rPr>
        <w:t xml:space="preserve"> עכ"ל. משמע מדבריו הנ"ל וכן ממש"כ בפסקים שגם חבלות וגם גזילות שע"י חבלות לא עבדינן שליחותייהו. אמנם בתוס' פרק החובל (ב"ק פד: ד"ה אי נמי) משמע כדברי הרא"ש.</w:t>
      </w:r>
      <w:r w:rsidRPr="002D7362">
        <w:rPr>
          <w:rFonts w:cs="Arial" w:hint="cs"/>
          <w:rtl/>
        </w:rPr>
        <w:t xml:space="preserve"> </w:t>
      </w:r>
      <w:r>
        <w:rPr>
          <w:rFonts w:hint="cs"/>
          <w:color w:val="FF0000"/>
          <w:rtl/>
        </w:rPr>
        <w:t>וצל"ע האם הדברים באמת כך, וצריך לעיין בגר"א בסימן א.</w:t>
      </w:r>
    </w:p>
  </w:footnote>
  <w:footnote w:id="1638">
    <w:p w14:paraId="77CFBE4B" w14:textId="77777777" w:rsidR="0013116F" w:rsidRDefault="0013116F" w:rsidP="004B607F">
      <w:pPr>
        <w:pStyle w:val="a9"/>
        <w:rPr>
          <w:rtl/>
        </w:rPr>
      </w:pPr>
      <w:r>
        <w:rPr>
          <w:rStyle w:val="ab"/>
        </w:rPr>
        <w:footnoteRef/>
      </w:r>
      <w:r>
        <w:rPr>
          <w:rtl/>
        </w:rPr>
        <w:t xml:space="preserve"> </w:t>
      </w:r>
      <w:r w:rsidRPr="007F5BE9">
        <w:rPr>
          <w:rFonts w:cs="Arial"/>
          <w:rtl/>
        </w:rPr>
        <w:t>ואין בדבריו הכרע לומר מה סובר</w:t>
      </w:r>
      <w:r>
        <w:rPr>
          <w:rFonts w:hint="cs"/>
          <w:rtl/>
        </w:rPr>
        <w:t>, ב"י.</w:t>
      </w:r>
    </w:p>
  </w:footnote>
  <w:footnote w:id="1639">
    <w:p w14:paraId="77C44671" w14:textId="77777777" w:rsidR="0013116F" w:rsidRDefault="0013116F" w:rsidP="004B607F">
      <w:pPr>
        <w:pStyle w:val="a9"/>
        <w:rPr>
          <w:rtl/>
        </w:rPr>
      </w:pPr>
      <w:r>
        <w:rPr>
          <w:rStyle w:val="ab"/>
        </w:rPr>
        <w:footnoteRef/>
      </w:r>
      <w:r>
        <w:rPr>
          <w:rtl/>
        </w:rPr>
        <w:t xml:space="preserve"> </w:t>
      </w:r>
      <w:r>
        <w:rPr>
          <w:rFonts w:hint="cs"/>
          <w:rtl/>
        </w:rPr>
        <w:t>סימן - בדיקת כת קידושין.</w:t>
      </w:r>
    </w:p>
  </w:footnote>
  <w:footnote w:id="1640">
    <w:p w14:paraId="3FCF5F5A" w14:textId="77777777" w:rsidR="0013116F" w:rsidRPr="00461359" w:rsidRDefault="0013116F" w:rsidP="004B607F">
      <w:pPr>
        <w:pStyle w:val="a9"/>
        <w:rPr>
          <w:rFonts w:cs="Arial"/>
        </w:rPr>
      </w:pPr>
      <w:r>
        <w:rPr>
          <w:rStyle w:val="ab"/>
        </w:rPr>
        <w:footnoteRef/>
      </w:r>
      <w:r w:rsidRPr="006C380F">
        <w:rPr>
          <w:rFonts w:cs="Arial"/>
          <w:rtl/>
        </w:rPr>
        <w:t xml:space="preserve"> </w:t>
      </w:r>
      <w:r w:rsidRPr="00461359">
        <w:rPr>
          <w:rFonts w:cs="Arial"/>
          <w:rtl/>
        </w:rPr>
        <w:t>ועיין במה שכתבתי בטור אהע</w:t>
      </w:r>
      <w:r>
        <w:rPr>
          <w:rFonts w:cs="Arial" w:hint="cs"/>
          <w:rtl/>
        </w:rPr>
        <w:t>"</w:t>
      </w:r>
      <w:r w:rsidRPr="00461359">
        <w:rPr>
          <w:rFonts w:cs="Arial"/>
          <w:rtl/>
        </w:rPr>
        <w:t>ז בסי</w:t>
      </w:r>
      <w:r>
        <w:rPr>
          <w:rFonts w:cs="Arial" w:hint="cs"/>
          <w:rtl/>
        </w:rPr>
        <w:t>'</w:t>
      </w:r>
      <w:r w:rsidRPr="00461359">
        <w:rPr>
          <w:rFonts w:cs="Arial"/>
          <w:rtl/>
        </w:rPr>
        <w:t xml:space="preserve"> י"א </w:t>
      </w:r>
      <w:r w:rsidRPr="00461359">
        <w:rPr>
          <w:rFonts w:cs="Arial"/>
          <w:sz w:val="16"/>
          <w:szCs w:val="16"/>
          <w:rtl/>
        </w:rPr>
        <w:t xml:space="preserve">(כב: ד"ה מ"כ) </w:t>
      </w:r>
      <w:r w:rsidRPr="00461359">
        <w:rPr>
          <w:rFonts w:cs="Arial"/>
          <w:rtl/>
        </w:rPr>
        <w:t>וסי</w:t>
      </w:r>
      <w:r>
        <w:rPr>
          <w:rFonts w:cs="Arial" w:hint="cs"/>
          <w:rtl/>
        </w:rPr>
        <w:t>'</w:t>
      </w:r>
      <w:r w:rsidRPr="00461359">
        <w:rPr>
          <w:rFonts w:cs="Arial"/>
          <w:rtl/>
        </w:rPr>
        <w:t xml:space="preserve"> מ"ב </w:t>
      </w:r>
      <w:r w:rsidRPr="00461359">
        <w:rPr>
          <w:rFonts w:cs="Arial"/>
          <w:sz w:val="16"/>
          <w:szCs w:val="16"/>
          <w:rtl/>
        </w:rPr>
        <w:t>(עז. ד"ה כתב הרשב"</w:t>
      </w:r>
      <w:r>
        <w:rPr>
          <w:rFonts w:cs="Arial" w:hint="cs"/>
          <w:sz w:val="16"/>
          <w:szCs w:val="16"/>
          <w:rtl/>
        </w:rPr>
        <w:t xml:space="preserve">א </w:t>
      </w:r>
      <w:r w:rsidRPr="00461359">
        <w:rPr>
          <w:rFonts w:cs="Arial"/>
          <w:sz w:val="16"/>
          <w:szCs w:val="16"/>
          <w:rtl/>
        </w:rPr>
        <w:t>-</w:t>
      </w:r>
      <w:r>
        <w:rPr>
          <w:rFonts w:cs="Arial" w:hint="cs"/>
          <w:sz w:val="16"/>
          <w:szCs w:val="16"/>
          <w:rtl/>
        </w:rPr>
        <w:t xml:space="preserve"> </w:t>
      </w:r>
      <w:r w:rsidRPr="00461359">
        <w:rPr>
          <w:rFonts w:cs="Arial"/>
          <w:sz w:val="16"/>
          <w:szCs w:val="16"/>
          <w:rtl/>
        </w:rPr>
        <w:t>כתב המרדכי)</w:t>
      </w:r>
      <w:r>
        <w:rPr>
          <w:rFonts w:cs="Arial" w:hint="cs"/>
          <w:rtl/>
        </w:rPr>
        <w:t xml:space="preserve">, ב"י </w:t>
      </w:r>
      <w:r w:rsidRPr="00461359">
        <w:rPr>
          <w:rFonts w:cs="Arial" w:hint="cs"/>
          <w:sz w:val="16"/>
          <w:szCs w:val="16"/>
          <w:rtl/>
        </w:rPr>
        <w:t>(בבדה"ב)</w:t>
      </w:r>
      <w:r>
        <w:rPr>
          <w:rFonts w:cs="Arial" w:hint="cs"/>
          <w:rtl/>
        </w:rPr>
        <w:t>.</w:t>
      </w:r>
    </w:p>
  </w:footnote>
  <w:footnote w:id="1641">
    <w:p w14:paraId="1189D4BE" w14:textId="77777777" w:rsidR="0013116F" w:rsidRDefault="0013116F" w:rsidP="004B607F">
      <w:pPr>
        <w:pStyle w:val="a9"/>
      </w:pPr>
      <w:r>
        <w:rPr>
          <w:rStyle w:val="ab"/>
        </w:rPr>
        <w:footnoteRef/>
      </w:r>
      <w:r>
        <w:rPr>
          <w:rtl/>
        </w:rPr>
        <w:t xml:space="preserve"> </w:t>
      </w:r>
      <w:r>
        <w:rPr>
          <w:rFonts w:hint="cs"/>
          <w:rtl/>
        </w:rPr>
        <w:t xml:space="preserve">וז"ל- </w:t>
      </w:r>
      <w:r w:rsidRPr="00D41B7D">
        <w:rPr>
          <w:rFonts w:cs="Arial"/>
          <w:rtl/>
        </w:rPr>
        <w:t>לעיקר הדין ולהלכה למעשה כך נ"ל באמת דעידי קדושין אין צריכין דרישה וחקירה דהשתא מיהא לאו אדיני נפשות קא מסהדי מה שאין כן אף לרבי עקיבא בעידי מיתה דהיא אסורה לכל והבא עליה במיתה והשתא על פי עד זה שרינן לה לעלמא ואף על גב דבקדושין איפשר דאתי לידי נפשות השתא מיהא לאו אנפשות קא מסהדי וכולהו סוגיות משמע ודאי דלא בעי דרישה וחקירה בעידי גיטין וקדושין ולפיכך ישנן בב"ד הדיוטות וכדאמרינן בהמגרש (פח:) אנן שליחותייהו עבדינן מידי דהוה אהודאות והלואות וכן כתבו כל רבותי מורי ה"ר יונה גם מורנו הרמב"ן ז"ל</w:t>
      </w:r>
      <w:r>
        <w:rPr>
          <w:rFonts w:cs="Arial" w:hint="cs"/>
          <w:rtl/>
        </w:rPr>
        <w:t>.</w:t>
      </w:r>
    </w:p>
  </w:footnote>
  <w:footnote w:id="1642">
    <w:p w14:paraId="6FB336B7" w14:textId="77777777" w:rsidR="0013116F" w:rsidRDefault="0013116F" w:rsidP="004B607F">
      <w:pPr>
        <w:pStyle w:val="a9"/>
        <w:rPr>
          <w:rtl/>
        </w:rPr>
      </w:pPr>
      <w:r>
        <w:rPr>
          <w:rStyle w:val="ab"/>
        </w:rPr>
        <w:footnoteRef/>
      </w:r>
      <w:r>
        <w:rPr>
          <w:rtl/>
        </w:rPr>
        <w:t xml:space="preserve"> </w:t>
      </w:r>
      <w:r>
        <w:rPr>
          <w:rFonts w:cs="Arial" w:hint="cs"/>
          <w:rtl/>
        </w:rPr>
        <w:t xml:space="preserve">וז"ל- </w:t>
      </w:r>
      <w:r w:rsidRPr="00093C5C">
        <w:rPr>
          <w:rFonts w:cs="Arial"/>
          <w:rtl/>
        </w:rPr>
        <w:t xml:space="preserve">פסקו הגאונים בשלהי יבמות דאין בודקין עדי נשים בדרישה וחקירה דלדיני ממונות מדמינן להו </w:t>
      </w:r>
      <w:r w:rsidRPr="009B5576">
        <w:rPr>
          <w:rFonts w:cs="Arial"/>
          <w:rtl/>
        </w:rPr>
        <w:t>כל שכן לכל דיני קדושין וגרושין</w:t>
      </w:r>
      <w:r>
        <w:rPr>
          <w:rFonts w:cs="Arial" w:hint="cs"/>
          <w:rtl/>
        </w:rPr>
        <w:t>,</w:t>
      </w:r>
      <w:r w:rsidRPr="009B5576">
        <w:rPr>
          <w:rFonts w:cs="Arial"/>
          <w:rtl/>
        </w:rPr>
        <w:t xml:space="preserve"> דהא טעמא דשלא תנעול דלת בפני לווין איתיה נמי בגטין וקדושין כדאמרינן לענין בית דין של הדיוטות דטעמא דלא בעינן מומחין משום דלא תנעול דלת כדאיתא פרק קמא דסנהדרין (ג.) ואמרינן בפרק המגרש (גיטין פח:) אביי אשכחיה לרב יוסף דמעשי אגיטי אמר ליה שליחותייהו עבדינן מידי דהוה אהודאות והלואות עכ"ל.</w:t>
      </w:r>
    </w:p>
  </w:footnote>
  <w:footnote w:id="1643">
    <w:p w14:paraId="49470570" w14:textId="77777777" w:rsidR="0013116F" w:rsidRDefault="0013116F" w:rsidP="004B607F">
      <w:pPr>
        <w:pStyle w:val="a9"/>
        <w:rPr>
          <w:rtl/>
        </w:rPr>
      </w:pPr>
      <w:r>
        <w:rPr>
          <w:rStyle w:val="ab"/>
        </w:rPr>
        <w:footnoteRef/>
      </w:r>
      <w:r>
        <w:rPr>
          <w:rtl/>
        </w:rPr>
        <w:t xml:space="preserve"> </w:t>
      </w:r>
      <w:r>
        <w:rPr>
          <w:rFonts w:cs="Arial" w:hint="cs"/>
          <w:rtl/>
        </w:rPr>
        <w:t xml:space="preserve">גאונים </w:t>
      </w:r>
      <w:r w:rsidRPr="00C01040">
        <w:rPr>
          <w:rFonts w:cs="Arial" w:hint="cs"/>
          <w:sz w:val="16"/>
          <w:szCs w:val="16"/>
          <w:rtl/>
        </w:rPr>
        <w:t xml:space="preserve">(כ"כ הנמוק"י בשמם </w:t>
      </w:r>
      <w:r w:rsidRPr="00C01040">
        <w:rPr>
          <w:rFonts w:cs="Arial" w:hint="cs"/>
          <w:sz w:val="14"/>
          <w:szCs w:val="14"/>
          <w:rtl/>
        </w:rPr>
        <w:t>[</w:t>
      </w:r>
      <w:r w:rsidRPr="00C01040">
        <w:rPr>
          <w:rFonts w:cs="Arial"/>
          <w:sz w:val="14"/>
          <w:szCs w:val="14"/>
          <w:rtl/>
        </w:rPr>
        <w:t>יבמות מז. ד"ה גרסינן</w:t>
      </w:r>
      <w:r w:rsidRPr="00C01040">
        <w:rPr>
          <w:rFonts w:cs="Arial" w:hint="cs"/>
          <w:sz w:val="14"/>
          <w:szCs w:val="14"/>
          <w:rtl/>
        </w:rPr>
        <w:t>]</w:t>
      </w:r>
      <w:r w:rsidRPr="00C01040">
        <w:rPr>
          <w:rFonts w:cs="Arial"/>
          <w:sz w:val="16"/>
          <w:szCs w:val="16"/>
          <w:rtl/>
        </w:rPr>
        <w:t>)</w:t>
      </w:r>
      <w:r w:rsidRPr="00C01040">
        <w:rPr>
          <w:rFonts w:cs="Arial" w:hint="cs"/>
          <w:sz w:val="16"/>
          <w:szCs w:val="16"/>
          <w:rtl/>
        </w:rPr>
        <w:t xml:space="preserve"> </w:t>
      </w:r>
      <w:r w:rsidRPr="009B5576">
        <w:rPr>
          <w:rFonts w:cs="Arial"/>
          <w:rtl/>
        </w:rPr>
        <w:t>תוס</w:t>
      </w:r>
      <w:r>
        <w:rPr>
          <w:rFonts w:cs="Arial" w:hint="cs"/>
          <w:rtl/>
        </w:rPr>
        <w:t>'</w:t>
      </w:r>
      <w:r w:rsidRPr="009B5576">
        <w:rPr>
          <w:rFonts w:cs="Arial"/>
          <w:rtl/>
        </w:rPr>
        <w:t xml:space="preserve"> </w:t>
      </w:r>
      <w:r w:rsidRPr="00C01040">
        <w:rPr>
          <w:rFonts w:cs="Arial"/>
          <w:sz w:val="16"/>
          <w:szCs w:val="16"/>
          <w:rtl/>
        </w:rPr>
        <w:t>(ד"ה אין בודקין)</w:t>
      </w:r>
      <w:r w:rsidRPr="000D4B31">
        <w:rPr>
          <w:rFonts w:cs="Arial"/>
          <w:rtl/>
        </w:rPr>
        <w:t xml:space="preserve"> </w:t>
      </w:r>
      <w:r>
        <w:rPr>
          <w:rFonts w:cs="Arial" w:hint="cs"/>
          <w:rtl/>
        </w:rPr>
        <w:t xml:space="preserve">רמב"ם </w:t>
      </w:r>
      <w:r w:rsidRPr="00D41B7D">
        <w:rPr>
          <w:rFonts w:cs="Arial"/>
          <w:sz w:val="16"/>
          <w:szCs w:val="16"/>
          <w:rtl/>
        </w:rPr>
        <w:t xml:space="preserve">(פי"ג מגירושין הכ"ח) </w:t>
      </w:r>
      <w:r w:rsidRPr="00D41B7D">
        <w:rPr>
          <w:rFonts w:cs="Arial"/>
          <w:rtl/>
        </w:rPr>
        <w:t xml:space="preserve">רמב"ן </w:t>
      </w:r>
      <w:r w:rsidRPr="00D41B7D">
        <w:rPr>
          <w:rFonts w:cs="Arial"/>
          <w:sz w:val="16"/>
          <w:szCs w:val="16"/>
          <w:rtl/>
        </w:rPr>
        <w:t>(</w:t>
      </w:r>
      <w:r>
        <w:rPr>
          <w:rFonts w:cs="Arial" w:hint="cs"/>
          <w:sz w:val="16"/>
          <w:szCs w:val="16"/>
          <w:rtl/>
        </w:rPr>
        <w:t xml:space="preserve">יבמות קכב: </w:t>
      </w:r>
      <w:r w:rsidRPr="00D41B7D">
        <w:rPr>
          <w:rFonts w:cs="Arial"/>
          <w:sz w:val="16"/>
          <w:szCs w:val="16"/>
          <w:rtl/>
        </w:rPr>
        <w:t xml:space="preserve">ד"ה הא) </w:t>
      </w:r>
      <w:r w:rsidRPr="009B5576">
        <w:rPr>
          <w:rFonts w:cs="Arial"/>
          <w:rtl/>
        </w:rPr>
        <w:t xml:space="preserve">רשב"א </w:t>
      </w:r>
      <w:r w:rsidRPr="000D4B31">
        <w:rPr>
          <w:rFonts w:cs="Arial"/>
          <w:sz w:val="16"/>
          <w:szCs w:val="16"/>
          <w:rtl/>
        </w:rPr>
        <w:t>(ח"א סי' תקסו, ח"ב סי' לב, ח"ג סי' קיא)</w:t>
      </w:r>
      <w:r w:rsidRPr="00461359">
        <w:rPr>
          <w:rFonts w:cs="Arial"/>
          <w:rtl/>
        </w:rPr>
        <w:t xml:space="preserve"> </w:t>
      </w:r>
      <w:r>
        <w:rPr>
          <w:rFonts w:cs="Arial" w:hint="cs"/>
          <w:rtl/>
        </w:rPr>
        <w:t>ו</w:t>
      </w:r>
      <w:r w:rsidRPr="009B5576">
        <w:rPr>
          <w:rFonts w:cs="Arial"/>
          <w:rtl/>
        </w:rPr>
        <w:t xml:space="preserve">ריב"ש </w:t>
      </w:r>
      <w:r w:rsidRPr="000D4B31">
        <w:rPr>
          <w:rFonts w:cs="Arial"/>
          <w:sz w:val="16"/>
          <w:szCs w:val="16"/>
          <w:rtl/>
        </w:rPr>
        <w:t xml:space="preserve">(סי' קצג, </w:t>
      </w:r>
      <w:r>
        <w:rPr>
          <w:rFonts w:cs="Arial" w:hint="cs"/>
          <w:sz w:val="16"/>
          <w:szCs w:val="16"/>
          <w:rtl/>
        </w:rPr>
        <w:t>ו</w:t>
      </w:r>
      <w:r w:rsidRPr="000D4B31">
        <w:rPr>
          <w:rFonts w:cs="Arial"/>
          <w:sz w:val="16"/>
          <w:szCs w:val="16"/>
          <w:rtl/>
        </w:rPr>
        <w:t>סי</w:t>
      </w:r>
      <w:r>
        <w:rPr>
          <w:rFonts w:cs="Arial" w:hint="cs"/>
          <w:sz w:val="16"/>
          <w:szCs w:val="16"/>
          <w:rtl/>
        </w:rPr>
        <w:t>'</w:t>
      </w:r>
      <w:r w:rsidRPr="000D4B31">
        <w:rPr>
          <w:rFonts w:cs="Arial"/>
          <w:sz w:val="16"/>
          <w:szCs w:val="16"/>
          <w:rtl/>
        </w:rPr>
        <w:t xml:space="preserve"> רסו)</w:t>
      </w:r>
      <w:r>
        <w:rPr>
          <w:rFonts w:hint="cs"/>
          <w:rtl/>
        </w:rPr>
        <w:t>.</w:t>
      </w:r>
    </w:p>
  </w:footnote>
  <w:footnote w:id="1644">
    <w:p w14:paraId="44A87660" w14:textId="77777777" w:rsidR="0013116F" w:rsidRDefault="0013116F" w:rsidP="004B607F">
      <w:pPr>
        <w:pStyle w:val="a9"/>
        <w:rPr>
          <w:rtl/>
        </w:rPr>
      </w:pPr>
      <w:r>
        <w:rPr>
          <w:rStyle w:val="ab"/>
        </w:rPr>
        <w:footnoteRef/>
      </w:r>
      <w:r>
        <w:rPr>
          <w:rtl/>
        </w:rPr>
        <w:t xml:space="preserve"> </w:t>
      </w:r>
      <w:r w:rsidRPr="009B5576">
        <w:rPr>
          <w:rFonts w:cs="Arial"/>
          <w:rtl/>
        </w:rPr>
        <w:t>ואע</w:t>
      </w:r>
      <w:r>
        <w:rPr>
          <w:rFonts w:cs="Arial" w:hint="cs"/>
          <w:rtl/>
        </w:rPr>
        <w:t>"</w:t>
      </w:r>
      <w:r w:rsidRPr="009B5576">
        <w:rPr>
          <w:rFonts w:cs="Arial"/>
          <w:rtl/>
        </w:rPr>
        <w:t>ג דיהיב טעמא משום דכיון דאיכא למישקל כתובה כדיני ממונות דמיא</w:t>
      </w:r>
      <w:r>
        <w:rPr>
          <w:rFonts w:cs="Arial" w:hint="cs"/>
          <w:rtl/>
        </w:rPr>
        <w:t>,</w:t>
      </w:r>
      <w:r w:rsidRPr="009B5576">
        <w:rPr>
          <w:rFonts w:cs="Arial"/>
          <w:rtl/>
        </w:rPr>
        <w:t xml:space="preserve"> בעדי זנות הא נפ</w:t>
      </w:r>
      <w:r>
        <w:rPr>
          <w:rFonts w:cs="Arial" w:hint="cs"/>
          <w:rtl/>
        </w:rPr>
        <w:t>"</w:t>
      </w:r>
      <w:r w:rsidRPr="009B5576">
        <w:rPr>
          <w:rFonts w:cs="Arial"/>
          <w:rtl/>
        </w:rPr>
        <w:t>מ נמי לענין אי מפסדא כתובה</w:t>
      </w:r>
      <w:r>
        <w:rPr>
          <w:rFonts w:cs="Arial" w:hint="cs"/>
          <w:rtl/>
        </w:rPr>
        <w:t>,</w:t>
      </w:r>
      <w:r w:rsidRPr="009B5576">
        <w:rPr>
          <w:rFonts w:cs="Arial"/>
          <w:rtl/>
        </w:rPr>
        <w:t xml:space="preserve"> וכן לענין גטין אם היא מגורשת תגבה כתובה</w:t>
      </w:r>
      <w:r>
        <w:rPr>
          <w:rFonts w:cs="Arial" w:hint="cs"/>
          <w:rtl/>
        </w:rPr>
        <w:t>,</w:t>
      </w:r>
      <w:r w:rsidRPr="009B5576">
        <w:rPr>
          <w:rFonts w:cs="Arial"/>
          <w:rtl/>
        </w:rPr>
        <w:t xml:space="preserve"> ואפילו אם היא ארוסה כבר כתב שם נימוק</w:t>
      </w:r>
      <w:r>
        <w:rPr>
          <w:rFonts w:cs="Arial" w:hint="cs"/>
          <w:rtl/>
        </w:rPr>
        <w:t>"</w:t>
      </w:r>
      <w:r w:rsidRPr="009B5576">
        <w:rPr>
          <w:rFonts w:cs="Arial"/>
          <w:rtl/>
        </w:rPr>
        <w:t>י בשם הרמב"ן (שם) דכיון דדיני נפשות ליתנהו בזמה</w:t>
      </w:r>
      <w:r>
        <w:rPr>
          <w:rFonts w:cs="Arial" w:hint="cs"/>
          <w:rtl/>
        </w:rPr>
        <w:t>"</w:t>
      </w:r>
      <w:r w:rsidRPr="009B5576">
        <w:rPr>
          <w:rFonts w:cs="Arial"/>
          <w:rtl/>
        </w:rPr>
        <w:t>ז טפי דמיא לדיני ממונות ולא מפלגינן בארוסה וע</w:t>
      </w:r>
      <w:r>
        <w:rPr>
          <w:rFonts w:cs="Arial" w:hint="cs"/>
          <w:rtl/>
        </w:rPr>
        <w:t>"</w:t>
      </w:r>
      <w:r w:rsidRPr="009B5576">
        <w:rPr>
          <w:rFonts w:cs="Arial"/>
          <w:rtl/>
        </w:rPr>
        <w:t>ש</w:t>
      </w:r>
      <w:r>
        <w:rPr>
          <w:rFonts w:cs="Arial" w:hint="cs"/>
          <w:rtl/>
        </w:rPr>
        <w:t>,</w:t>
      </w:r>
      <w:r w:rsidRPr="009B5576">
        <w:rPr>
          <w:rFonts w:cs="Arial"/>
          <w:rtl/>
        </w:rPr>
        <w:t xml:space="preserve"> אך בעדי קידושין כיון דק</w:t>
      </w:r>
      <w:r>
        <w:rPr>
          <w:rFonts w:cs="Arial" w:hint="cs"/>
          <w:rtl/>
        </w:rPr>
        <w:t>יי"</w:t>
      </w:r>
      <w:r w:rsidRPr="009B5576">
        <w:rPr>
          <w:rFonts w:cs="Arial"/>
          <w:rtl/>
        </w:rPr>
        <w:t>ל דארוסה לית לה כתובה היה נראה שצריך לבדקן בדרו</w:t>
      </w:r>
      <w:r>
        <w:rPr>
          <w:rFonts w:cs="Arial" w:hint="cs"/>
          <w:rtl/>
        </w:rPr>
        <w:t>"</w:t>
      </w:r>
      <w:r w:rsidRPr="009B5576">
        <w:rPr>
          <w:rFonts w:cs="Arial"/>
          <w:rtl/>
        </w:rPr>
        <w:t>ח</w:t>
      </w:r>
      <w:r>
        <w:rPr>
          <w:rFonts w:cs="Arial" w:hint="cs"/>
          <w:rtl/>
        </w:rPr>
        <w:t>,</w:t>
      </w:r>
      <w:r w:rsidRPr="009B5576">
        <w:rPr>
          <w:rFonts w:cs="Arial"/>
          <w:rtl/>
        </w:rPr>
        <w:t xml:space="preserve"> ו</w:t>
      </w:r>
      <w:r>
        <w:rPr>
          <w:rFonts w:cs="Arial" w:hint="cs"/>
          <w:rtl/>
        </w:rPr>
        <w:t>מ"מ</w:t>
      </w:r>
      <w:r w:rsidRPr="009B5576">
        <w:rPr>
          <w:rFonts w:cs="Arial"/>
          <w:rtl/>
        </w:rPr>
        <w:t xml:space="preserve"> אע</w:t>
      </w:r>
      <w:r>
        <w:rPr>
          <w:rFonts w:cs="Arial" w:hint="cs"/>
          <w:rtl/>
        </w:rPr>
        <w:t>"</w:t>
      </w:r>
      <w:r w:rsidRPr="009B5576">
        <w:rPr>
          <w:rFonts w:cs="Arial"/>
          <w:rtl/>
        </w:rPr>
        <w:t>פ שלא נבדקו בדרישה וחקירה צריכה גט מפני הלעז</w:t>
      </w:r>
      <w:r>
        <w:rPr>
          <w:rFonts w:cs="Arial" w:hint="cs"/>
          <w:rtl/>
        </w:rPr>
        <w:t>,</w:t>
      </w:r>
      <w:r w:rsidRPr="009B5576">
        <w:rPr>
          <w:rFonts w:cs="Arial"/>
          <w:rtl/>
        </w:rPr>
        <w:t xml:space="preserve"> כמ</w:t>
      </w:r>
      <w:r>
        <w:rPr>
          <w:rFonts w:cs="Arial" w:hint="cs"/>
          <w:rtl/>
        </w:rPr>
        <w:t>"ש</w:t>
      </w:r>
      <w:r w:rsidRPr="009B5576">
        <w:rPr>
          <w:rFonts w:cs="Arial"/>
          <w:rtl/>
        </w:rPr>
        <w:t xml:space="preserve"> המרדכי</w:t>
      </w:r>
      <w:r w:rsidRPr="00C01040">
        <w:rPr>
          <w:rFonts w:cs="Arial"/>
          <w:sz w:val="16"/>
          <w:szCs w:val="16"/>
          <w:rtl/>
        </w:rPr>
        <w:t xml:space="preserve"> </w:t>
      </w:r>
      <w:r w:rsidRPr="00C01040">
        <w:rPr>
          <w:rFonts w:cs="Arial" w:hint="cs"/>
          <w:sz w:val="16"/>
          <w:szCs w:val="16"/>
          <w:rtl/>
        </w:rPr>
        <w:t>(</w:t>
      </w:r>
      <w:r w:rsidRPr="00C01040">
        <w:rPr>
          <w:rFonts w:cs="Arial"/>
          <w:sz w:val="16"/>
          <w:szCs w:val="16"/>
          <w:rtl/>
        </w:rPr>
        <w:t>ר</w:t>
      </w:r>
      <w:r w:rsidRPr="00C01040">
        <w:rPr>
          <w:rFonts w:cs="Arial" w:hint="cs"/>
          <w:sz w:val="16"/>
          <w:szCs w:val="16"/>
          <w:rtl/>
        </w:rPr>
        <w:t>"פ</w:t>
      </w:r>
      <w:r w:rsidRPr="00C01040">
        <w:rPr>
          <w:rFonts w:cs="Arial"/>
          <w:sz w:val="16"/>
          <w:szCs w:val="16"/>
          <w:rtl/>
        </w:rPr>
        <w:t xml:space="preserve"> אד</w:t>
      </w:r>
      <w:r w:rsidRPr="00C01040">
        <w:rPr>
          <w:rFonts w:cs="Arial" w:hint="cs"/>
          <w:sz w:val="16"/>
          <w:szCs w:val="16"/>
          <w:rtl/>
        </w:rPr>
        <w:t>"</w:t>
      </w:r>
      <w:r w:rsidRPr="00C01040">
        <w:rPr>
          <w:rFonts w:cs="Arial"/>
          <w:sz w:val="16"/>
          <w:szCs w:val="16"/>
          <w:rtl/>
        </w:rPr>
        <w:t>מ</w:t>
      </w:r>
      <w:r w:rsidRPr="00C01040">
        <w:rPr>
          <w:rFonts w:hint="cs"/>
          <w:sz w:val="16"/>
          <w:szCs w:val="16"/>
          <w:rtl/>
        </w:rPr>
        <w:t>)</w:t>
      </w:r>
      <w:r>
        <w:rPr>
          <w:rFonts w:hint="cs"/>
          <w:rtl/>
        </w:rPr>
        <w:t>, ב"י.</w:t>
      </w:r>
    </w:p>
  </w:footnote>
  <w:footnote w:id="1645">
    <w:p w14:paraId="0DD20ECE" w14:textId="77777777" w:rsidR="0013116F" w:rsidRDefault="0013116F" w:rsidP="004B607F">
      <w:pPr>
        <w:pStyle w:val="a9"/>
      </w:pPr>
      <w:r>
        <w:rPr>
          <w:rStyle w:val="ab"/>
        </w:rPr>
        <w:footnoteRef/>
      </w:r>
      <w:r>
        <w:rPr>
          <w:rtl/>
        </w:rPr>
        <w:t xml:space="preserve"> </w:t>
      </w:r>
      <w:r>
        <w:rPr>
          <w:rFonts w:hint="cs"/>
          <w:rtl/>
        </w:rPr>
        <w:t xml:space="preserve">וז"ל התוס'- </w:t>
      </w:r>
      <w:r w:rsidRPr="008122DD">
        <w:rPr>
          <w:rFonts w:cs="Arial"/>
          <w:rtl/>
        </w:rPr>
        <w:t>ויש ללמוד מכאן</w:t>
      </w:r>
      <w:r>
        <w:rPr>
          <w:rFonts w:cs="Arial" w:hint="cs"/>
          <w:sz w:val="16"/>
          <w:szCs w:val="16"/>
          <w:rtl/>
        </w:rPr>
        <w:t xml:space="preserve"> {מדברי ר"ת שדנו בהם התוס'}</w:t>
      </w:r>
      <w:r w:rsidRPr="008122DD">
        <w:rPr>
          <w:rFonts w:cs="Arial"/>
          <w:rtl/>
        </w:rPr>
        <w:t xml:space="preserve"> דאי אתו עדים ואמרו אשת פלוני זנתה דבעי דרישה וחקירה לאוסרה על בעלה</w:t>
      </w:r>
      <w:r>
        <w:rPr>
          <w:rFonts w:cs="Arial" w:hint="cs"/>
          <w:rtl/>
        </w:rPr>
        <w:t>,</w:t>
      </w:r>
      <w:r w:rsidRPr="008122DD">
        <w:rPr>
          <w:rFonts w:cs="Arial"/>
          <w:rtl/>
        </w:rPr>
        <w:t xml:space="preserve"> וסברא הוא דלא גרע מגזלות וחבלות</w:t>
      </w:r>
      <w:r>
        <w:rPr>
          <w:rFonts w:cs="Arial" w:hint="cs"/>
          <w:rtl/>
        </w:rPr>
        <w:t>.</w:t>
      </w:r>
    </w:p>
  </w:footnote>
  <w:footnote w:id="1646">
    <w:p w14:paraId="4E8EA4B7" w14:textId="77777777" w:rsidR="0013116F" w:rsidRDefault="0013116F" w:rsidP="004B607F">
      <w:pPr>
        <w:pStyle w:val="a9"/>
      </w:pPr>
      <w:r>
        <w:rPr>
          <w:rStyle w:val="ab"/>
        </w:rPr>
        <w:footnoteRef/>
      </w:r>
      <w:r>
        <w:rPr>
          <w:rtl/>
        </w:rPr>
        <w:t xml:space="preserve"> </w:t>
      </w:r>
      <w:r>
        <w:rPr>
          <w:rFonts w:hint="cs"/>
          <w:rtl/>
        </w:rPr>
        <w:t>וז"ל-</w:t>
      </w:r>
      <w:r w:rsidRPr="00D41B7D">
        <w:rPr>
          <w:rFonts w:cs="Arial"/>
          <w:rtl/>
        </w:rPr>
        <w:t xml:space="preserve"> לאסור אשה על בעלה הכל מודים דבעינן דרישה וחקירה</w:t>
      </w:r>
      <w:r>
        <w:rPr>
          <w:rFonts w:cs="Arial" w:hint="cs"/>
          <w:rtl/>
        </w:rPr>
        <w:t>.</w:t>
      </w:r>
    </w:p>
  </w:footnote>
  <w:footnote w:id="1647">
    <w:p w14:paraId="5151DCF1" w14:textId="77777777" w:rsidR="0013116F" w:rsidRPr="00117EAE" w:rsidRDefault="0013116F" w:rsidP="004B607F">
      <w:pPr>
        <w:pStyle w:val="a9"/>
      </w:pPr>
      <w:r>
        <w:rPr>
          <w:rStyle w:val="ab"/>
        </w:rPr>
        <w:footnoteRef/>
      </w:r>
      <w:r>
        <w:rPr>
          <w:rtl/>
        </w:rPr>
        <w:t xml:space="preserve"> </w:t>
      </w:r>
      <w:r>
        <w:rPr>
          <w:rFonts w:hint="cs"/>
          <w:rtl/>
        </w:rPr>
        <w:t xml:space="preserve">וכ"כ </w:t>
      </w:r>
      <w:r>
        <w:rPr>
          <w:rFonts w:cs="Arial" w:hint="cs"/>
          <w:rtl/>
        </w:rPr>
        <w:t>ה</w:t>
      </w:r>
      <w:r w:rsidRPr="00E406FF">
        <w:rPr>
          <w:rFonts w:cs="Arial"/>
          <w:rtl/>
        </w:rPr>
        <w:t xml:space="preserve">סמ"ג </w:t>
      </w:r>
      <w:r w:rsidRPr="00C01040">
        <w:rPr>
          <w:rFonts w:cs="Arial" w:hint="cs"/>
          <w:sz w:val="16"/>
          <w:szCs w:val="16"/>
          <w:rtl/>
        </w:rPr>
        <w:t>(</w:t>
      </w:r>
      <w:r w:rsidRPr="00C01040">
        <w:rPr>
          <w:rFonts w:cs="Arial"/>
          <w:sz w:val="16"/>
          <w:szCs w:val="16"/>
          <w:rtl/>
        </w:rPr>
        <w:t>עשין סי</w:t>
      </w:r>
      <w:r w:rsidRPr="00C01040">
        <w:rPr>
          <w:rFonts w:cs="Arial" w:hint="cs"/>
          <w:sz w:val="16"/>
          <w:szCs w:val="16"/>
          <w:rtl/>
        </w:rPr>
        <w:t>'</w:t>
      </w:r>
      <w:r w:rsidRPr="00C01040">
        <w:rPr>
          <w:rFonts w:cs="Arial"/>
          <w:sz w:val="16"/>
          <w:szCs w:val="16"/>
          <w:rtl/>
        </w:rPr>
        <w:t xml:space="preserve"> מח קכח:)</w:t>
      </w:r>
      <w:r w:rsidRPr="00C01040">
        <w:rPr>
          <w:rFonts w:cs="Arial" w:hint="cs"/>
          <w:sz w:val="16"/>
          <w:szCs w:val="16"/>
          <w:rtl/>
        </w:rPr>
        <w:t xml:space="preserve"> </w:t>
      </w:r>
      <w:r>
        <w:rPr>
          <w:rFonts w:cs="Arial" w:hint="cs"/>
          <w:rtl/>
        </w:rPr>
        <w:t>ו</w:t>
      </w:r>
      <w:r w:rsidRPr="00E406FF">
        <w:rPr>
          <w:rFonts w:cs="Arial"/>
          <w:rtl/>
        </w:rPr>
        <w:t>הגה</w:t>
      </w:r>
      <w:r w:rsidRPr="00E406FF">
        <w:rPr>
          <w:rFonts w:cs="Arial" w:hint="cs"/>
          <w:rtl/>
        </w:rPr>
        <w:t>"מ</w:t>
      </w:r>
      <w:r w:rsidRPr="00E406FF">
        <w:rPr>
          <w:rFonts w:cs="Arial"/>
          <w:rtl/>
        </w:rPr>
        <w:t xml:space="preserve"> </w:t>
      </w:r>
      <w:r w:rsidRPr="00C01040">
        <w:rPr>
          <w:rFonts w:cs="Arial" w:hint="cs"/>
          <w:sz w:val="16"/>
          <w:szCs w:val="16"/>
          <w:rtl/>
        </w:rPr>
        <w:t>(</w:t>
      </w:r>
      <w:r w:rsidRPr="00C01040">
        <w:rPr>
          <w:rFonts w:cs="Arial"/>
          <w:sz w:val="16"/>
          <w:szCs w:val="16"/>
          <w:rtl/>
        </w:rPr>
        <w:t>פכ"ד מהל</w:t>
      </w:r>
      <w:r w:rsidRPr="00C01040">
        <w:rPr>
          <w:rFonts w:cs="Arial" w:hint="cs"/>
          <w:sz w:val="16"/>
          <w:szCs w:val="16"/>
          <w:rtl/>
        </w:rPr>
        <w:t>'</w:t>
      </w:r>
      <w:r w:rsidRPr="00C01040">
        <w:rPr>
          <w:rFonts w:cs="Arial"/>
          <w:sz w:val="16"/>
          <w:szCs w:val="16"/>
          <w:rtl/>
        </w:rPr>
        <w:t xml:space="preserve"> אישות אות כ)</w:t>
      </w:r>
      <w:r>
        <w:rPr>
          <w:rFonts w:hint="cs"/>
          <w:rtl/>
        </w:rPr>
        <w:t xml:space="preserve"> בשם ר"ת.</w:t>
      </w:r>
      <w:r w:rsidRPr="00117EAE">
        <w:rPr>
          <w:rFonts w:cs="Arial"/>
          <w:rtl/>
        </w:rPr>
        <w:t xml:space="preserve"> </w:t>
      </w:r>
      <w:r>
        <w:rPr>
          <w:rFonts w:cs="Arial" w:hint="cs"/>
          <w:rtl/>
        </w:rPr>
        <w:t>וכ"כ ה</w:t>
      </w:r>
      <w:r w:rsidRPr="00E406FF">
        <w:rPr>
          <w:rFonts w:cs="Arial"/>
          <w:rtl/>
        </w:rPr>
        <w:t>מרדכי</w:t>
      </w:r>
      <w:r>
        <w:rPr>
          <w:rFonts w:cs="Arial" w:hint="cs"/>
          <w:rtl/>
        </w:rPr>
        <w:t xml:space="preserve"> </w:t>
      </w:r>
      <w:r w:rsidRPr="00C01040">
        <w:rPr>
          <w:rFonts w:cs="Arial" w:hint="cs"/>
          <w:sz w:val="16"/>
          <w:szCs w:val="16"/>
          <w:rtl/>
        </w:rPr>
        <w:t>(</w:t>
      </w:r>
      <w:r w:rsidRPr="00C01040">
        <w:rPr>
          <w:rFonts w:cs="Arial"/>
          <w:sz w:val="16"/>
          <w:szCs w:val="16"/>
          <w:rtl/>
        </w:rPr>
        <w:t>ר</w:t>
      </w:r>
      <w:r w:rsidRPr="00C01040">
        <w:rPr>
          <w:rFonts w:cs="Arial" w:hint="cs"/>
          <w:sz w:val="16"/>
          <w:szCs w:val="16"/>
          <w:rtl/>
        </w:rPr>
        <w:t xml:space="preserve">"פ אד"מ </w:t>
      </w:r>
      <w:r w:rsidRPr="00C01040">
        <w:rPr>
          <w:rFonts w:cs="Arial"/>
          <w:sz w:val="16"/>
          <w:szCs w:val="16"/>
          <w:rtl/>
        </w:rPr>
        <w:t>סי' תשיא</w:t>
      </w:r>
      <w:r w:rsidRPr="00C01040">
        <w:rPr>
          <w:rFonts w:cs="Arial" w:hint="cs"/>
          <w:sz w:val="16"/>
          <w:szCs w:val="16"/>
          <w:rtl/>
        </w:rPr>
        <w:t>)</w:t>
      </w:r>
      <w:r>
        <w:rPr>
          <w:rFonts w:cs="Arial" w:hint="cs"/>
          <w:rtl/>
        </w:rPr>
        <w:t xml:space="preserve"> בשם ר"י. </w:t>
      </w:r>
    </w:p>
  </w:footnote>
  <w:footnote w:id="1648">
    <w:p w14:paraId="4C95E8EF" w14:textId="77777777" w:rsidR="0013116F" w:rsidRDefault="0013116F" w:rsidP="004B607F">
      <w:pPr>
        <w:pStyle w:val="a9"/>
      </w:pPr>
      <w:r>
        <w:rPr>
          <w:rStyle w:val="ab"/>
        </w:rPr>
        <w:footnoteRef/>
      </w:r>
      <w:r>
        <w:rPr>
          <w:rtl/>
        </w:rPr>
        <w:t xml:space="preserve"> </w:t>
      </w:r>
      <w:r w:rsidRPr="009D3BA7">
        <w:rPr>
          <w:rFonts w:cs="Arial"/>
          <w:rtl/>
        </w:rPr>
        <w:t>אע</w:t>
      </w:r>
      <w:r>
        <w:rPr>
          <w:rFonts w:cs="Arial" w:hint="cs"/>
          <w:rtl/>
        </w:rPr>
        <w:t>"</w:t>
      </w:r>
      <w:r w:rsidRPr="009D3BA7">
        <w:rPr>
          <w:rFonts w:cs="Arial"/>
          <w:rtl/>
        </w:rPr>
        <w:t>ג דכתיב [ויקרא כד כב] משפט אחד יהיה לכם, לדיני ממונות ולדיני נפשות, ובדיני נפשות כתיב [דברים יג טו] ודרשת וחקרת ושאלת היטב, מ"מ חכמים תיקנו משום שלא תנעול דלת בפני לווין שלא ילוו, דיאמרו שמא יכפרו, ועדי הלואה יתכחשו ע"י דרישה וחקירה. וגם כדי לנעול דלת בפני עושי עולה, שלא יסמכו עושי עולה לומר נעשה עול ולא יתעבד בנו דינא כי העדים יתכחשו ע"י דרישה וחקירה. או יאמרו על קצת דרישה שאינן יודעין, שגם בזה עדותן בטלה בדיני נפשות. משום הכי תיקנו דלא יצטרכו דרישה בדיני ממונות השכיחין. ובכלל דיני ממונות הוא ג"כ ירושות ומתנות וכל הני דקחשיב הטור והמחבר בר</w:t>
      </w:r>
      <w:r>
        <w:rPr>
          <w:rFonts w:cs="Arial" w:hint="cs"/>
          <w:rtl/>
        </w:rPr>
        <w:t>"</w:t>
      </w:r>
      <w:r w:rsidRPr="009D3BA7">
        <w:rPr>
          <w:rFonts w:cs="Arial"/>
          <w:rtl/>
        </w:rPr>
        <w:t>ס א' דדנין אותן בזמן הזה דליכא מומחין משום נעילת דלת כיון דהן שכיחין ואית בהו חסרון כיס</w:t>
      </w:r>
      <w:r>
        <w:rPr>
          <w:rFonts w:cs="Arial" w:hint="cs"/>
          <w:rtl/>
        </w:rPr>
        <w:t>.</w:t>
      </w:r>
      <w:r w:rsidRPr="009D3BA7">
        <w:rPr>
          <w:rFonts w:cs="Arial"/>
          <w:rtl/>
        </w:rPr>
        <w:t xml:space="preserve"> מה"ט נמי תיקנו דלא בעינן דרישה וחקירה אפילו לדיינים מומחים ובזמן המקדש, אבל בעדי חבלות והדומה לו הנזכרים בסי</w:t>
      </w:r>
      <w:r>
        <w:rPr>
          <w:rFonts w:cs="Arial" w:hint="cs"/>
          <w:rtl/>
        </w:rPr>
        <w:t>'</w:t>
      </w:r>
      <w:r w:rsidRPr="009D3BA7">
        <w:rPr>
          <w:rFonts w:cs="Arial"/>
          <w:rtl/>
        </w:rPr>
        <w:t xml:space="preserve"> א' דלא שכיחין ולית בהו חסרון כיס, הניחוהו על דין תורה לדרוש ולחקור העדים. והטור [סע</w:t>
      </w:r>
      <w:r>
        <w:rPr>
          <w:rFonts w:cs="Arial" w:hint="cs"/>
          <w:rtl/>
        </w:rPr>
        <w:t>'</w:t>
      </w:r>
      <w:r w:rsidRPr="009D3BA7">
        <w:rPr>
          <w:rFonts w:cs="Arial"/>
          <w:rtl/>
        </w:rPr>
        <w:t xml:space="preserve"> א'] והמחבר שכתבו חוץ מעדי חבלות, חדא מינייהו נקטי וה"ה כל דכוותיה וכמו שכתבתי, דזיל בתר טעמא ודו"ק, ועיין פרישה</w:t>
      </w:r>
      <w:r>
        <w:rPr>
          <w:rFonts w:cs="Arial" w:hint="cs"/>
          <w:rtl/>
        </w:rPr>
        <w:t>, סמ"ע (סק"א).</w:t>
      </w:r>
      <w:r>
        <w:rPr>
          <w:rFonts w:hint="cs"/>
          <w:rtl/>
        </w:rPr>
        <w:t xml:space="preserve"> וכתב הש"ך (סק"א, וביתר ביאור בסי' לג סקט"ז) </w:t>
      </w:r>
      <w:r w:rsidRPr="009D3BA7">
        <w:rPr>
          <w:rFonts w:cs="Arial"/>
          <w:rtl/>
        </w:rPr>
        <w:t>דאף אם הדיין ירצה להחמיר לדרוש ולחקור בהשבע חקירות שהזמה תלויה בהן, לא יעשה כן.</w:t>
      </w:r>
    </w:p>
  </w:footnote>
  <w:footnote w:id="1649">
    <w:p w14:paraId="2E15FB6E" w14:textId="77777777" w:rsidR="0013116F" w:rsidRDefault="0013116F" w:rsidP="004B607F">
      <w:pPr>
        <w:pStyle w:val="a9"/>
        <w:rPr>
          <w:rtl/>
        </w:rPr>
      </w:pPr>
      <w:r>
        <w:rPr>
          <w:rStyle w:val="ab"/>
        </w:rPr>
        <w:footnoteRef/>
      </w:r>
      <w:r>
        <w:rPr>
          <w:rtl/>
        </w:rPr>
        <w:t xml:space="preserve"> </w:t>
      </w:r>
      <w:r w:rsidRPr="009D3BA7">
        <w:rPr>
          <w:rFonts w:cs="Arial"/>
          <w:rtl/>
        </w:rPr>
        <w:t>פירוש, בין אם אומר עד אחד בניסן היתה ההלואה והשני אומר באייר, והתובע תבע שני מנין. בין אם אמר האחד בניסן והשני אומר איני יודע אימת היתה, דאז מצרפין עדותן אף על גב דהתובע אינו תובע אלא מנה. ונראה דמזה דאומר השני איני יודע מיירי הטור והמחבר כאן, מדסתמי בטענות התובע, וגם דומיא מ"ש "ולא המנה אם היה ממטבע פלוני" כו', דפירושו דאומר איני יודע. וכן הוא ביאור דמ"ש "ולא המקום", וק"ל. עיין פרישה</w:t>
      </w:r>
      <w:r>
        <w:rPr>
          <w:rFonts w:hint="cs"/>
          <w:rtl/>
        </w:rPr>
        <w:t>, סמ"ע (סק"ב).</w:t>
      </w:r>
    </w:p>
  </w:footnote>
  <w:footnote w:id="1650">
    <w:p w14:paraId="1C5B864D" w14:textId="77777777" w:rsidR="0013116F" w:rsidRDefault="0013116F" w:rsidP="004B607F">
      <w:pPr>
        <w:pStyle w:val="a9"/>
        <w:rPr>
          <w:rtl/>
        </w:rPr>
      </w:pPr>
      <w:r>
        <w:rPr>
          <w:rStyle w:val="ab"/>
        </w:rPr>
        <w:footnoteRef/>
      </w:r>
      <w:r>
        <w:rPr>
          <w:rtl/>
        </w:rPr>
        <w:t xml:space="preserve"> </w:t>
      </w:r>
      <w:r w:rsidRPr="009D3BA7">
        <w:rPr>
          <w:rFonts w:cs="Arial"/>
          <w:rtl/>
        </w:rPr>
        <w:t>ב' כיתי עדים המכחישים זה את זה אע</w:t>
      </w:r>
      <w:r>
        <w:rPr>
          <w:rFonts w:cs="Arial" w:hint="cs"/>
          <w:rtl/>
        </w:rPr>
        <w:t>"</w:t>
      </w:r>
      <w:r w:rsidRPr="009D3BA7">
        <w:rPr>
          <w:rFonts w:cs="Arial"/>
          <w:rtl/>
        </w:rPr>
        <w:t>פ שכת א' הוזמנה לקנין וכת אחרת היתה אצל הקנין, אין אלו נאמנין יותר מאלו. כן דייק הב"ח לעיל סוף סימן כ"ג מדברי תשובות הרא"ש [כלל נ"ו סי' ו']</w:t>
      </w:r>
      <w:r>
        <w:rPr>
          <w:rFonts w:hint="cs"/>
          <w:rtl/>
        </w:rPr>
        <w:t>, ש"ך (סק"ג).</w:t>
      </w:r>
    </w:p>
  </w:footnote>
  <w:footnote w:id="1651">
    <w:p w14:paraId="7E3BFB8E" w14:textId="77777777" w:rsidR="0013116F" w:rsidRDefault="0013116F" w:rsidP="004B607F">
      <w:pPr>
        <w:pStyle w:val="a9"/>
      </w:pPr>
      <w:r>
        <w:rPr>
          <w:rStyle w:val="ab"/>
        </w:rPr>
        <w:footnoteRef/>
      </w:r>
      <w:r>
        <w:rPr>
          <w:rtl/>
        </w:rPr>
        <w:t xml:space="preserve"> </w:t>
      </w:r>
      <w:r>
        <w:rPr>
          <w:rFonts w:hint="cs"/>
          <w:rtl/>
        </w:rPr>
        <w:t xml:space="preserve">סימן </w:t>
      </w:r>
      <w:r>
        <w:rPr>
          <w:rtl/>
        </w:rPr>
        <w:t>–</w:t>
      </w:r>
      <w:r>
        <w:rPr>
          <w:rFonts w:hint="cs"/>
          <w:rtl/>
        </w:rPr>
        <w:t xml:space="preserve"> מרבה במבדק/מחקר משובח.</w:t>
      </w:r>
    </w:p>
  </w:footnote>
  <w:footnote w:id="1652">
    <w:p w14:paraId="5E2E70A5" w14:textId="77777777" w:rsidR="0013116F" w:rsidRDefault="0013116F" w:rsidP="004B607F">
      <w:pPr>
        <w:pStyle w:val="a9"/>
        <w:rPr>
          <w:rtl/>
        </w:rPr>
      </w:pPr>
      <w:r>
        <w:rPr>
          <w:rStyle w:val="ab"/>
        </w:rPr>
        <w:footnoteRef/>
      </w:r>
      <w:r>
        <w:rPr>
          <w:rtl/>
        </w:rPr>
        <w:t xml:space="preserve"> </w:t>
      </w:r>
      <w:r>
        <w:rPr>
          <w:rFonts w:cs="Arial"/>
          <w:rtl/>
        </w:rPr>
        <w:t>ועיין בתשובת הריב"ש סימן רס"ו (עג.)</w:t>
      </w:r>
      <w:r>
        <w:rPr>
          <w:rFonts w:cs="Arial" w:hint="cs"/>
          <w:rtl/>
        </w:rPr>
        <w:t xml:space="preserve">, ב"י. </w:t>
      </w:r>
    </w:p>
  </w:footnote>
  <w:footnote w:id="1653">
    <w:p w14:paraId="36A43FBC" w14:textId="77777777" w:rsidR="0013116F" w:rsidRDefault="0013116F" w:rsidP="004B607F">
      <w:pPr>
        <w:pStyle w:val="a9"/>
      </w:pPr>
      <w:r>
        <w:rPr>
          <w:rStyle w:val="ab"/>
        </w:rPr>
        <w:footnoteRef/>
      </w:r>
      <w:r>
        <w:rPr>
          <w:rtl/>
        </w:rPr>
        <w:t xml:space="preserve"> </w:t>
      </w:r>
      <w:r>
        <w:rPr>
          <w:rFonts w:hint="cs"/>
          <w:rtl/>
        </w:rPr>
        <w:t xml:space="preserve">סימן </w:t>
      </w:r>
      <w:r>
        <w:rPr>
          <w:rtl/>
        </w:rPr>
        <w:t>–</w:t>
      </w:r>
      <w:r>
        <w:rPr>
          <w:rFonts w:hint="cs"/>
          <w:rtl/>
        </w:rPr>
        <w:t xml:space="preserve"> לשון לא אחידה. </w:t>
      </w:r>
    </w:p>
  </w:footnote>
  <w:footnote w:id="1654">
    <w:p w14:paraId="562DE850" w14:textId="77777777" w:rsidR="0013116F" w:rsidRDefault="0013116F" w:rsidP="004B607F">
      <w:pPr>
        <w:pStyle w:val="a9"/>
      </w:pPr>
      <w:r>
        <w:rPr>
          <w:rStyle w:val="ab"/>
        </w:rPr>
        <w:footnoteRef/>
      </w:r>
      <w:r>
        <w:rPr>
          <w:rtl/>
        </w:rPr>
        <w:t xml:space="preserve"> </w:t>
      </w:r>
      <w:r w:rsidRPr="00715D6B">
        <w:rPr>
          <w:rFonts w:cs="Arial"/>
          <w:rtl/>
        </w:rPr>
        <w:t>שאינה משבע חקירות באיזו יום באיזו שעה שהזמה תלויה בהן, אבל בכליו שחורין וכליו לבנים, שאין דין הזמה תלויה בהן</w:t>
      </w:r>
      <w:r>
        <w:rPr>
          <w:rFonts w:cs="Arial" w:hint="cs"/>
          <w:rtl/>
        </w:rPr>
        <w:t>, רש"י</w:t>
      </w:r>
      <w:r w:rsidRPr="00715D6B">
        <w:rPr>
          <w:rFonts w:cs="Arial"/>
          <w:rtl/>
        </w:rPr>
        <w:t>.</w:t>
      </w:r>
    </w:p>
  </w:footnote>
  <w:footnote w:id="1655">
    <w:p w14:paraId="3A3616CF" w14:textId="77777777" w:rsidR="0013116F" w:rsidRPr="004206BC" w:rsidRDefault="0013116F" w:rsidP="004B607F">
      <w:pPr>
        <w:pStyle w:val="a9"/>
      </w:pPr>
      <w:r w:rsidRPr="004206BC">
        <w:rPr>
          <w:rStyle w:val="ab"/>
        </w:rPr>
        <w:footnoteRef/>
      </w:r>
      <w:r w:rsidRPr="004206BC">
        <w:rPr>
          <w:rtl/>
        </w:rPr>
        <w:t xml:space="preserve"> </w:t>
      </w:r>
      <w:r w:rsidRPr="004206BC">
        <w:rPr>
          <w:rFonts w:cs="Arial"/>
          <w:rtl/>
        </w:rPr>
        <w:t>משמע הא אם הוכחשו בחקירות ודרישות פסולה</w:t>
      </w:r>
      <w:r w:rsidRPr="004206BC">
        <w:rPr>
          <w:rFonts w:cs="Arial" w:hint="cs"/>
          <w:rtl/>
        </w:rPr>
        <w:t>, ב"י.</w:t>
      </w:r>
      <w:r w:rsidRPr="0098044D">
        <w:rPr>
          <w:rFonts w:cs="Arial"/>
          <w:rtl/>
        </w:rPr>
        <w:t xml:space="preserve"> </w:t>
      </w:r>
      <w:r>
        <w:rPr>
          <w:rFonts w:cs="Arial" w:hint="cs"/>
          <w:rtl/>
        </w:rPr>
        <w:t xml:space="preserve">וכתב </w:t>
      </w:r>
      <w:r>
        <w:rPr>
          <w:rFonts w:cs="Arial"/>
          <w:rtl/>
        </w:rPr>
        <w:t>בעל התרומות</w:t>
      </w:r>
      <w:r w:rsidRPr="0098044D">
        <w:rPr>
          <w:rFonts w:cs="Arial"/>
          <w:sz w:val="16"/>
          <w:szCs w:val="16"/>
          <w:rtl/>
        </w:rPr>
        <w:t xml:space="preserve"> </w:t>
      </w:r>
      <w:r w:rsidRPr="0098044D">
        <w:rPr>
          <w:rFonts w:cs="Arial" w:hint="cs"/>
          <w:sz w:val="16"/>
          <w:szCs w:val="16"/>
          <w:rtl/>
        </w:rPr>
        <w:t>(</w:t>
      </w:r>
      <w:r w:rsidRPr="0098044D">
        <w:rPr>
          <w:rFonts w:cs="Arial"/>
          <w:sz w:val="16"/>
          <w:szCs w:val="16"/>
          <w:rtl/>
        </w:rPr>
        <w:t xml:space="preserve">שער </w:t>
      </w:r>
      <w:r w:rsidRPr="0098044D">
        <w:rPr>
          <w:rFonts w:cs="Arial" w:hint="cs"/>
          <w:sz w:val="16"/>
          <w:szCs w:val="16"/>
          <w:rtl/>
        </w:rPr>
        <w:t>כ</w:t>
      </w:r>
      <w:r w:rsidRPr="0098044D">
        <w:rPr>
          <w:rFonts w:cs="Arial"/>
          <w:sz w:val="16"/>
          <w:szCs w:val="16"/>
          <w:rtl/>
        </w:rPr>
        <w:t>ט ח"ד סי' א</w:t>
      </w:r>
      <w:r w:rsidRPr="0098044D">
        <w:rPr>
          <w:rFonts w:cs="Arial" w:hint="cs"/>
          <w:sz w:val="16"/>
          <w:szCs w:val="16"/>
          <w:rtl/>
        </w:rPr>
        <w:t>, הביאו הב"י</w:t>
      </w:r>
      <w:r w:rsidRPr="0098044D">
        <w:rPr>
          <w:rFonts w:cs="Arial"/>
          <w:sz w:val="16"/>
          <w:szCs w:val="16"/>
          <w:rtl/>
        </w:rPr>
        <w:t>)</w:t>
      </w:r>
      <w:r>
        <w:rPr>
          <w:rFonts w:cs="Arial" w:hint="cs"/>
          <w:rtl/>
        </w:rPr>
        <w:t xml:space="preserve">- </w:t>
      </w:r>
      <w:r>
        <w:rPr>
          <w:rFonts w:cs="Arial"/>
          <w:rtl/>
        </w:rPr>
        <w:t xml:space="preserve">יש אומרים </w:t>
      </w:r>
      <w:r w:rsidRPr="000A3BFF">
        <w:rPr>
          <w:rFonts w:cs="Arial" w:hint="cs"/>
          <w:sz w:val="16"/>
          <w:szCs w:val="16"/>
          <w:rtl/>
        </w:rPr>
        <w:t>(</w:t>
      </w:r>
      <w:r w:rsidRPr="000A3BFF">
        <w:rPr>
          <w:rFonts w:cs="Arial"/>
          <w:sz w:val="16"/>
          <w:szCs w:val="16"/>
          <w:rtl/>
        </w:rPr>
        <w:t>ראב"ן סי' מג</w:t>
      </w:r>
      <w:r>
        <w:rPr>
          <w:rFonts w:cs="Arial" w:hint="cs"/>
          <w:sz w:val="16"/>
          <w:szCs w:val="16"/>
          <w:rtl/>
        </w:rPr>
        <w:t>, ועי' ש"ך סק"ו</w:t>
      </w:r>
      <w:r w:rsidRPr="000A3BFF">
        <w:rPr>
          <w:rFonts w:cs="Arial" w:hint="cs"/>
          <w:sz w:val="16"/>
          <w:szCs w:val="16"/>
          <w:rtl/>
        </w:rPr>
        <w:t>)</w:t>
      </w:r>
      <w:r>
        <w:rPr>
          <w:rFonts w:cs="Arial" w:hint="cs"/>
          <w:rtl/>
        </w:rPr>
        <w:t xml:space="preserve"> </w:t>
      </w:r>
      <w:r>
        <w:rPr>
          <w:rFonts w:cs="Arial"/>
          <w:rtl/>
        </w:rPr>
        <w:t>דעדים המכחישים זה את זה בחקירות כשר בדיני ממונות והאי דנקט בדיקות משום דקיימא לן דהודאות והלואות אין דנין אותן בדרישה וחקירה</w:t>
      </w:r>
      <w:r>
        <w:rPr>
          <w:rFonts w:cs="Arial" w:hint="cs"/>
          <w:rtl/>
        </w:rPr>
        <w:t>,</w:t>
      </w:r>
      <w:r>
        <w:rPr>
          <w:rFonts w:cs="Arial"/>
          <w:rtl/>
        </w:rPr>
        <w:t xml:space="preserve"> והרמב"ם חולק והכריעו חכמי לוני"ל כהרמב"ם ולא מטעמיה</w:t>
      </w:r>
      <w:r>
        <w:rPr>
          <w:rFonts w:cs="Arial" w:hint="cs"/>
          <w:rtl/>
        </w:rPr>
        <w:t>, עכ"ל.</w:t>
      </w:r>
      <w:r w:rsidRPr="000A3BFF">
        <w:rPr>
          <w:rtl/>
        </w:rPr>
        <w:t xml:space="preserve"> </w:t>
      </w:r>
    </w:p>
  </w:footnote>
  <w:footnote w:id="1656">
    <w:p w14:paraId="4815E38F" w14:textId="77777777" w:rsidR="0013116F" w:rsidRDefault="0013116F" w:rsidP="004B607F">
      <w:pPr>
        <w:pStyle w:val="a9"/>
      </w:pPr>
      <w:r>
        <w:rPr>
          <w:rStyle w:val="ab"/>
        </w:rPr>
        <w:footnoteRef/>
      </w:r>
      <w:r>
        <w:rPr>
          <w:rtl/>
        </w:rPr>
        <w:t xml:space="preserve"> </w:t>
      </w:r>
      <w:r w:rsidRPr="003B4ABF">
        <w:rPr>
          <w:rFonts w:cs="Arial"/>
          <w:rtl/>
        </w:rPr>
        <w:t>סלע ישנה</w:t>
      </w:r>
      <w:r>
        <w:rPr>
          <w:rFonts w:cs="Arial" w:hint="cs"/>
          <w:rtl/>
        </w:rPr>
        <w:t>, רש"י</w:t>
      </w:r>
      <w:r w:rsidRPr="003B4ABF">
        <w:rPr>
          <w:rFonts w:cs="Arial"/>
          <w:rtl/>
        </w:rPr>
        <w:t>.</w:t>
      </w:r>
    </w:p>
  </w:footnote>
  <w:footnote w:id="1657">
    <w:p w14:paraId="0AC7AF0F" w14:textId="77777777" w:rsidR="0013116F" w:rsidRDefault="0013116F" w:rsidP="004B607F">
      <w:pPr>
        <w:pStyle w:val="a9"/>
      </w:pPr>
      <w:r>
        <w:rPr>
          <w:rStyle w:val="ab"/>
        </w:rPr>
        <w:footnoteRef/>
      </w:r>
      <w:r>
        <w:rPr>
          <w:rtl/>
        </w:rPr>
        <w:t xml:space="preserve"> </w:t>
      </w:r>
      <w:r w:rsidRPr="003B4ABF">
        <w:rPr>
          <w:rFonts w:cs="Arial"/>
          <w:rtl/>
        </w:rPr>
        <w:t>הואיל ובעיקר גוף העדות מתכחשי</w:t>
      </w:r>
      <w:r>
        <w:rPr>
          <w:rFonts w:cs="Arial" w:hint="cs"/>
          <w:rtl/>
        </w:rPr>
        <w:t>, רש"י.</w:t>
      </w:r>
    </w:p>
  </w:footnote>
  <w:footnote w:id="1658">
    <w:p w14:paraId="29937837" w14:textId="77777777" w:rsidR="0013116F" w:rsidRDefault="0013116F" w:rsidP="004B607F">
      <w:pPr>
        <w:pStyle w:val="a9"/>
      </w:pPr>
      <w:r>
        <w:rPr>
          <w:rStyle w:val="ab"/>
        </w:rPr>
        <w:footnoteRef/>
      </w:r>
      <w:r>
        <w:rPr>
          <w:rtl/>
        </w:rPr>
        <w:t xml:space="preserve"> </w:t>
      </w:r>
      <w:r w:rsidRPr="00923BBC">
        <w:rPr>
          <w:rFonts w:cs="Arial"/>
          <w:rtl/>
        </w:rPr>
        <w:t>נהרדעי אמרו כי האי תנא דאמר, זה אומר: מנה, וזה אומר: מאתים, דמכחישין זה את זה, - מצטרפין למנה, שיש בכלל מאתים מנה, ולא אמרינן שתיהן שקרו, אלא הלך אחר הפחות שבהם</w:t>
      </w:r>
      <w:r>
        <w:rPr>
          <w:rFonts w:cs="Arial" w:hint="cs"/>
          <w:rtl/>
        </w:rPr>
        <w:t>, רש"י</w:t>
      </w:r>
      <w:r w:rsidRPr="00923BBC">
        <w:rPr>
          <w:rFonts w:cs="Arial"/>
          <w:rtl/>
        </w:rPr>
        <w:t>.</w:t>
      </w:r>
    </w:p>
  </w:footnote>
  <w:footnote w:id="1659">
    <w:p w14:paraId="19779E70" w14:textId="77777777" w:rsidR="0013116F" w:rsidRDefault="0013116F" w:rsidP="004B607F">
      <w:pPr>
        <w:pStyle w:val="a9"/>
      </w:pPr>
      <w:r>
        <w:rPr>
          <w:rStyle w:val="ab"/>
        </w:rPr>
        <w:footnoteRef/>
      </w:r>
      <w:r>
        <w:rPr>
          <w:rtl/>
        </w:rPr>
        <w:t xml:space="preserve"> </w:t>
      </w:r>
      <w:r w:rsidRPr="00923BBC">
        <w:rPr>
          <w:rFonts w:cs="Arial"/>
          <w:rtl/>
        </w:rPr>
        <w:t>כיון שהאחד שקרן שוב אין כאן עדות</w:t>
      </w:r>
      <w:r>
        <w:rPr>
          <w:rFonts w:cs="Arial" w:hint="cs"/>
          <w:rtl/>
        </w:rPr>
        <w:t>, רש"י</w:t>
      </w:r>
      <w:r w:rsidRPr="00923BBC">
        <w:rPr>
          <w:rFonts w:cs="Arial"/>
          <w:rtl/>
        </w:rPr>
        <w:t>.</w:t>
      </w:r>
    </w:p>
  </w:footnote>
  <w:footnote w:id="1660">
    <w:p w14:paraId="1D05FAF8" w14:textId="77777777" w:rsidR="0013116F" w:rsidRDefault="0013116F" w:rsidP="004B607F">
      <w:pPr>
        <w:pStyle w:val="a9"/>
        <w:rPr>
          <w:rtl/>
        </w:rPr>
      </w:pPr>
      <w:r>
        <w:rPr>
          <w:rStyle w:val="ab"/>
        </w:rPr>
        <w:footnoteRef/>
      </w:r>
      <w:r>
        <w:rPr>
          <w:rtl/>
        </w:rPr>
        <w:t xml:space="preserve"> </w:t>
      </w:r>
      <w:r w:rsidRPr="00923BBC">
        <w:rPr>
          <w:rFonts w:cs="Arial"/>
          <w:rtl/>
        </w:rPr>
        <w:t>שניהם מעידין על מנה, ובאותו מנה אין מכחישין זה את זה</w:t>
      </w:r>
      <w:r>
        <w:rPr>
          <w:rFonts w:cs="Arial" w:hint="cs"/>
          <w:rtl/>
        </w:rPr>
        <w:t>, רש"י</w:t>
      </w:r>
      <w:r w:rsidRPr="00923BBC">
        <w:rPr>
          <w:rFonts w:cs="Arial"/>
          <w:rtl/>
        </w:rPr>
        <w:t>.</w:t>
      </w:r>
      <w:r>
        <w:rPr>
          <w:rFonts w:hint="cs"/>
          <w:rtl/>
        </w:rPr>
        <w:t xml:space="preserve"> וכתב הב"י </w:t>
      </w:r>
      <w:r>
        <w:rPr>
          <w:rFonts w:cs="Arial" w:hint="cs"/>
          <w:rtl/>
        </w:rPr>
        <w:t>ש</w:t>
      </w:r>
      <w:r>
        <w:rPr>
          <w:rFonts w:cs="Arial"/>
          <w:rtl/>
        </w:rPr>
        <w:t>בפרק חזקת</w:t>
      </w:r>
      <w:r w:rsidRPr="003B4ABF">
        <w:rPr>
          <w:rFonts w:cs="Arial"/>
          <w:sz w:val="16"/>
          <w:szCs w:val="16"/>
          <w:rtl/>
        </w:rPr>
        <w:t xml:space="preserve"> (ב</w:t>
      </w:r>
      <w:r w:rsidRPr="003B4ABF">
        <w:rPr>
          <w:rFonts w:cs="Arial" w:hint="cs"/>
          <w:sz w:val="16"/>
          <w:szCs w:val="16"/>
          <w:rtl/>
        </w:rPr>
        <w:t>"ב</w:t>
      </w:r>
      <w:r w:rsidRPr="003B4ABF">
        <w:rPr>
          <w:rFonts w:cs="Arial"/>
          <w:sz w:val="16"/>
          <w:szCs w:val="16"/>
          <w:rtl/>
        </w:rPr>
        <w:t xml:space="preserve"> מא:) </w:t>
      </w:r>
      <w:r>
        <w:rPr>
          <w:rFonts w:cs="Arial"/>
          <w:rtl/>
        </w:rPr>
        <w:t>אמרינן דעבד רב יהודה עובדא כר' שמעון בן אלעזר אליבא דבית הלל אלמא הכי סבירא ליה</w:t>
      </w:r>
      <w:r>
        <w:rPr>
          <w:rFonts w:cs="Arial" w:hint="cs"/>
          <w:rtl/>
        </w:rPr>
        <w:t>,</w:t>
      </w:r>
      <w:r>
        <w:rPr>
          <w:rFonts w:cs="Arial"/>
          <w:rtl/>
        </w:rPr>
        <w:t xml:space="preserve"> וכן פסקו הפוסקים</w:t>
      </w:r>
      <w:r>
        <w:rPr>
          <w:rFonts w:cs="Arial" w:hint="cs"/>
          <w:rtl/>
        </w:rPr>
        <w:t>,</w:t>
      </w:r>
      <w:r>
        <w:rPr>
          <w:rFonts w:cs="Arial"/>
          <w:rtl/>
        </w:rPr>
        <w:t xml:space="preserve"> וטעמא משום דמנה שחור ומנה לבן תרווייהו כמין אחד הם</w:t>
      </w:r>
      <w:r>
        <w:rPr>
          <w:rFonts w:cs="Arial" w:hint="cs"/>
          <w:rtl/>
        </w:rPr>
        <w:t>,</w:t>
      </w:r>
      <w:r>
        <w:rPr>
          <w:rFonts w:cs="Arial"/>
          <w:rtl/>
        </w:rPr>
        <w:t xml:space="preserve"> ולא דמי לאחד אומר חבית של יין ואחד אומר חבית של שמן</w:t>
      </w:r>
      <w:r>
        <w:rPr>
          <w:rFonts w:cs="Arial" w:hint="cs"/>
          <w:rtl/>
        </w:rPr>
        <w:t>,</w:t>
      </w:r>
      <w:r>
        <w:rPr>
          <w:rFonts w:cs="Arial"/>
          <w:rtl/>
        </w:rPr>
        <w:t xml:space="preserve"> וכ</w:t>
      </w:r>
      <w:r>
        <w:rPr>
          <w:rFonts w:cs="Arial" w:hint="cs"/>
          <w:rtl/>
        </w:rPr>
        <w:t>"</w:t>
      </w:r>
      <w:r>
        <w:rPr>
          <w:rFonts w:cs="Arial"/>
          <w:rtl/>
        </w:rPr>
        <w:t>כ נמוק</w:t>
      </w:r>
      <w:r>
        <w:rPr>
          <w:rFonts w:cs="Arial" w:hint="cs"/>
          <w:rtl/>
        </w:rPr>
        <w:t>"</w:t>
      </w:r>
      <w:r>
        <w:rPr>
          <w:rFonts w:cs="Arial"/>
          <w:rtl/>
        </w:rPr>
        <w:t xml:space="preserve">י </w:t>
      </w:r>
      <w:r w:rsidRPr="003B4ABF">
        <w:rPr>
          <w:rFonts w:cs="Arial"/>
          <w:sz w:val="16"/>
          <w:szCs w:val="16"/>
          <w:rtl/>
        </w:rPr>
        <w:t>(סנהדרין ט. ד"ה נהרדעי)</w:t>
      </w:r>
      <w:r>
        <w:rPr>
          <w:rFonts w:cs="Arial" w:hint="cs"/>
          <w:rtl/>
        </w:rPr>
        <w:t>.</w:t>
      </w:r>
      <w:r>
        <w:rPr>
          <w:rFonts w:hint="cs"/>
          <w:rtl/>
        </w:rPr>
        <w:t xml:space="preserve"> </w:t>
      </w:r>
    </w:p>
  </w:footnote>
  <w:footnote w:id="1661">
    <w:p w14:paraId="0979AC20" w14:textId="77777777" w:rsidR="0013116F" w:rsidRDefault="0013116F" w:rsidP="004B607F">
      <w:pPr>
        <w:pStyle w:val="a9"/>
        <w:rPr>
          <w:rtl/>
        </w:rPr>
      </w:pPr>
      <w:r>
        <w:rPr>
          <w:rStyle w:val="ab"/>
        </w:rPr>
        <w:footnoteRef/>
      </w:r>
      <w:r>
        <w:rPr>
          <w:rtl/>
        </w:rPr>
        <w:t xml:space="preserve"> </w:t>
      </w:r>
      <w:r w:rsidRPr="00923BBC">
        <w:rPr>
          <w:rFonts w:cs="Arial"/>
          <w:rtl/>
        </w:rPr>
        <w:t>דתרי מיני נינהו, וכולי האי מיכחשי הדדי מי אמר?</w:t>
      </w:r>
      <w:r>
        <w:rPr>
          <w:rFonts w:cs="Arial" w:hint="cs"/>
          <w:rtl/>
        </w:rPr>
        <w:t>, רש"י.</w:t>
      </w:r>
      <w:r w:rsidRPr="00923BBC">
        <w:rPr>
          <w:rFonts w:cs="Arial" w:hint="cs"/>
          <w:sz w:val="16"/>
          <w:szCs w:val="16"/>
          <w:rtl/>
        </w:rPr>
        <w:t xml:space="preserve"> (</w:t>
      </w:r>
      <w:r>
        <w:rPr>
          <w:rFonts w:cs="Arial" w:hint="cs"/>
          <w:sz w:val="16"/>
          <w:szCs w:val="16"/>
          <w:rtl/>
        </w:rPr>
        <w:t xml:space="preserve">וכתב הב"י- </w:t>
      </w:r>
      <w:r w:rsidRPr="00923BBC">
        <w:rPr>
          <w:rFonts w:cs="Arial"/>
          <w:sz w:val="16"/>
          <w:szCs w:val="16"/>
          <w:rtl/>
        </w:rPr>
        <w:t>ונ"ל דמיכחשי דנקט רש"י לאו דוקא</w:t>
      </w:r>
      <w:r>
        <w:rPr>
          <w:rFonts w:cs="Arial" w:hint="cs"/>
          <w:sz w:val="16"/>
          <w:szCs w:val="16"/>
          <w:rtl/>
        </w:rPr>
        <w:t>,</w:t>
      </w:r>
      <w:r w:rsidRPr="00923BBC">
        <w:rPr>
          <w:rFonts w:cs="Arial"/>
          <w:sz w:val="16"/>
          <w:szCs w:val="16"/>
          <w:rtl/>
        </w:rPr>
        <w:t xml:space="preserve"> שאין זו מכלל החקירות והדרישות</w:t>
      </w:r>
      <w:r>
        <w:rPr>
          <w:rFonts w:cs="Arial" w:hint="cs"/>
          <w:sz w:val="16"/>
          <w:szCs w:val="16"/>
          <w:rtl/>
        </w:rPr>
        <w:t>,</w:t>
      </w:r>
      <w:r w:rsidRPr="00923BBC">
        <w:rPr>
          <w:rFonts w:cs="Arial"/>
          <w:sz w:val="16"/>
          <w:szCs w:val="16"/>
          <w:rtl/>
        </w:rPr>
        <w:t xml:space="preserve"> אבל עדותן בטלה לפי שאין על כל חבית אלא עד אחד ולכן עדותן בטלה מלחייבו לשלם</w:t>
      </w:r>
      <w:r>
        <w:rPr>
          <w:rFonts w:cs="Arial" w:hint="cs"/>
          <w:sz w:val="16"/>
          <w:szCs w:val="16"/>
          <w:rtl/>
        </w:rPr>
        <w:t>,</w:t>
      </w:r>
      <w:r w:rsidRPr="00923BBC">
        <w:rPr>
          <w:rFonts w:cs="Arial"/>
          <w:sz w:val="16"/>
          <w:szCs w:val="16"/>
          <w:rtl/>
        </w:rPr>
        <w:t xml:space="preserve"> אבל חייב לישבע שבועת התורה שעד אחד מחייבו שבועה (שבועות מ.). וכפי דעת הרמב"ם פ</w:t>
      </w:r>
      <w:r>
        <w:rPr>
          <w:rFonts w:cs="Arial" w:hint="cs"/>
          <w:sz w:val="16"/>
          <w:szCs w:val="16"/>
          <w:rtl/>
        </w:rPr>
        <w:t>"ג</w:t>
      </w:r>
      <w:r w:rsidRPr="00923BBC">
        <w:rPr>
          <w:rFonts w:cs="Arial"/>
          <w:sz w:val="16"/>
          <w:szCs w:val="16"/>
          <w:rtl/>
        </w:rPr>
        <w:t xml:space="preserve"> מהל</w:t>
      </w:r>
      <w:r>
        <w:rPr>
          <w:rFonts w:cs="Arial" w:hint="cs"/>
          <w:sz w:val="16"/>
          <w:szCs w:val="16"/>
          <w:rtl/>
        </w:rPr>
        <w:t>'</w:t>
      </w:r>
      <w:r w:rsidRPr="00923BBC">
        <w:rPr>
          <w:rFonts w:cs="Arial"/>
          <w:sz w:val="16"/>
          <w:szCs w:val="16"/>
          <w:rtl/>
        </w:rPr>
        <w:t xml:space="preserve"> עדות (ה"ג) מיכחשי דוקא הוא שכן כתב </w:t>
      </w:r>
      <w:r>
        <w:rPr>
          <w:rFonts w:cs="Arial" w:hint="cs"/>
          <w:sz w:val="16"/>
          <w:szCs w:val="16"/>
          <w:rtl/>
        </w:rPr>
        <w:t>'</w:t>
      </w:r>
      <w:r w:rsidRPr="00923BBC">
        <w:rPr>
          <w:rFonts w:cs="Arial"/>
          <w:sz w:val="16"/>
          <w:szCs w:val="16"/>
          <w:rtl/>
        </w:rPr>
        <w:t>וכן אם אמר האחד חבית של יין הלוהו וכו' עדותן בטלה שהרי הכחישו בדרישה</w:t>
      </w:r>
      <w:r>
        <w:rPr>
          <w:rFonts w:cs="Arial" w:hint="cs"/>
          <w:sz w:val="16"/>
          <w:szCs w:val="16"/>
          <w:rtl/>
        </w:rPr>
        <w:t>'</w:t>
      </w:r>
      <w:r w:rsidRPr="00923BBC">
        <w:rPr>
          <w:rFonts w:cs="Arial"/>
          <w:sz w:val="16"/>
          <w:szCs w:val="16"/>
          <w:rtl/>
        </w:rPr>
        <w:t>. ומה שקשה על דברי הרמב"ם כתבתי בבאורי פ</w:t>
      </w:r>
      <w:r>
        <w:rPr>
          <w:rFonts w:cs="Arial" w:hint="cs"/>
          <w:sz w:val="16"/>
          <w:szCs w:val="16"/>
          <w:rtl/>
        </w:rPr>
        <w:t>"</w:t>
      </w:r>
      <w:r w:rsidRPr="00923BBC">
        <w:rPr>
          <w:rFonts w:cs="Arial"/>
          <w:sz w:val="16"/>
          <w:szCs w:val="16"/>
          <w:rtl/>
        </w:rPr>
        <w:t>ב מהל</w:t>
      </w:r>
      <w:r>
        <w:rPr>
          <w:rFonts w:cs="Arial" w:hint="cs"/>
          <w:sz w:val="16"/>
          <w:szCs w:val="16"/>
          <w:rtl/>
        </w:rPr>
        <w:t>'</w:t>
      </w:r>
      <w:r w:rsidRPr="00923BBC">
        <w:rPr>
          <w:rFonts w:cs="Arial"/>
          <w:sz w:val="16"/>
          <w:szCs w:val="16"/>
          <w:rtl/>
        </w:rPr>
        <w:t xml:space="preserve"> עדות (ה"א)</w:t>
      </w:r>
      <w:r>
        <w:rPr>
          <w:rFonts w:cs="Arial" w:hint="cs"/>
          <w:sz w:val="16"/>
          <w:szCs w:val="16"/>
          <w:rtl/>
        </w:rPr>
        <w:t>)</w:t>
      </w:r>
    </w:p>
  </w:footnote>
  <w:footnote w:id="1662">
    <w:p w14:paraId="1BCD0BAA" w14:textId="77777777" w:rsidR="0013116F" w:rsidRDefault="0013116F" w:rsidP="004B607F">
      <w:pPr>
        <w:pStyle w:val="a9"/>
        <w:rPr>
          <w:rtl/>
        </w:rPr>
      </w:pPr>
      <w:r>
        <w:rPr>
          <w:rStyle w:val="ab"/>
        </w:rPr>
        <w:footnoteRef/>
      </w:r>
      <w:r>
        <w:rPr>
          <w:rtl/>
        </w:rPr>
        <w:t xml:space="preserve"> </w:t>
      </w:r>
      <w:r w:rsidRPr="00923BBC">
        <w:rPr>
          <w:rFonts w:cs="Arial"/>
          <w:rtl/>
        </w:rPr>
        <w:t>זה אומר: בפני הודה לו דמי חבית של יין, וזה אומר: בפני הודה דמי חבית של שמן, דתרווייהו מסהדי אדמי חבית יין</w:t>
      </w:r>
      <w:r>
        <w:rPr>
          <w:rFonts w:cs="Arial" w:hint="cs"/>
          <w:rtl/>
        </w:rPr>
        <w:t>, רש"י</w:t>
      </w:r>
      <w:r w:rsidRPr="00923BBC">
        <w:rPr>
          <w:rFonts w:cs="Arial"/>
          <w:rtl/>
        </w:rPr>
        <w:t>.</w:t>
      </w:r>
    </w:p>
  </w:footnote>
  <w:footnote w:id="1663">
    <w:p w14:paraId="2445298A" w14:textId="77777777" w:rsidR="0013116F" w:rsidRPr="00FA6E12" w:rsidRDefault="0013116F" w:rsidP="004B607F">
      <w:pPr>
        <w:pStyle w:val="a9"/>
        <w:rPr>
          <w:rtl/>
        </w:rPr>
      </w:pPr>
      <w:r w:rsidRPr="00FA6E12">
        <w:rPr>
          <w:rStyle w:val="ab"/>
        </w:rPr>
        <w:footnoteRef/>
      </w:r>
      <w:r w:rsidRPr="00FA6E12">
        <w:rPr>
          <w:rtl/>
        </w:rPr>
        <w:t xml:space="preserve"> </w:t>
      </w:r>
      <w:r w:rsidRPr="00FA6E12">
        <w:rPr>
          <w:rFonts w:cs="Arial"/>
          <w:rtl/>
        </w:rPr>
        <w:t>הלוהו מנה</w:t>
      </w:r>
      <w:r w:rsidRPr="00FA6E12">
        <w:rPr>
          <w:rFonts w:cs="Arial" w:hint="cs"/>
          <w:rtl/>
        </w:rPr>
        <w:t>, רש"י</w:t>
      </w:r>
      <w:r w:rsidRPr="00FA6E12">
        <w:rPr>
          <w:rFonts w:cs="Arial"/>
          <w:rtl/>
        </w:rPr>
        <w:t>.</w:t>
      </w:r>
      <w:r>
        <w:rPr>
          <w:rFonts w:hint="cs"/>
          <w:rtl/>
        </w:rPr>
        <w:t xml:space="preserve"> וכ"פ הטור. </w:t>
      </w:r>
      <w:r w:rsidRPr="003A2D2F">
        <w:rPr>
          <w:rFonts w:hint="cs"/>
          <w:color w:val="E36C0A" w:themeColor="accent6" w:themeShade="BF"/>
          <w:rtl/>
        </w:rPr>
        <w:t>וכ"פ בשו"ע</w:t>
      </w:r>
      <w:r>
        <w:rPr>
          <w:rFonts w:hint="cs"/>
          <w:rtl/>
        </w:rPr>
        <w:t xml:space="preserve">. אבל </w:t>
      </w:r>
      <w:r w:rsidRPr="003A2D2F">
        <w:rPr>
          <w:rFonts w:cs="Arial"/>
          <w:rtl/>
        </w:rPr>
        <w:t>ה"ר אפרים</w:t>
      </w:r>
      <w:r>
        <w:rPr>
          <w:rFonts w:cs="Arial" w:hint="cs"/>
          <w:rtl/>
        </w:rPr>
        <w:t xml:space="preserve"> פירש- </w:t>
      </w:r>
      <w:r w:rsidRPr="003A2D2F">
        <w:rPr>
          <w:rFonts w:cs="Arial"/>
          <w:rtl/>
        </w:rPr>
        <w:t>אחד אומר חבית של יין ואחד אומר חבית של שמן והנתבע אומר לא היו דברים מעולם</w:t>
      </w:r>
      <w:r>
        <w:rPr>
          <w:rFonts w:cs="Arial" w:hint="cs"/>
          <w:rtl/>
        </w:rPr>
        <w:t>,</w:t>
      </w:r>
      <w:r w:rsidRPr="003A2D2F">
        <w:rPr>
          <w:rFonts w:cs="Arial"/>
          <w:rtl/>
        </w:rPr>
        <w:t xml:space="preserve"> ואוקימנא לדמי</w:t>
      </w:r>
      <w:r>
        <w:rPr>
          <w:rFonts w:cs="Arial" w:hint="cs"/>
          <w:rtl/>
        </w:rPr>
        <w:t>,</w:t>
      </w:r>
      <w:r w:rsidRPr="003A2D2F">
        <w:rPr>
          <w:rFonts w:cs="Arial"/>
          <w:rtl/>
        </w:rPr>
        <w:t xml:space="preserve"> כלומר לא חבית ממש חייבוהו אלא לדמי צירף עדותן</w:t>
      </w:r>
      <w:r>
        <w:rPr>
          <w:rFonts w:cs="Arial" w:hint="cs"/>
          <w:rtl/>
        </w:rPr>
        <w:t>,</w:t>
      </w:r>
      <w:r w:rsidRPr="003A2D2F">
        <w:rPr>
          <w:rFonts w:cs="Arial"/>
          <w:rtl/>
        </w:rPr>
        <w:t xml:space="preserve"> דהוי ליה כאחד אומר מנה שחור ואחד אומר מנה לבן</w:t>
      </w:r>
      <w:r>
        <w:rPr>
          <w:rFonts w:cs="Arial" w:hint="cs"/>
          <w:rtl/>
        </w:rPr>
        <w:t>,</w:t>
      </w:r>
      <w:r w:rsidRPr="003A2D2F">
        <w:rPr>
          <w:rFonts w:cs="Arial"/>
          <w:rtl/>
        </w:rPr>
        <w:t xml:space="preserve"> דקא מכחיש מלוה לאידך</w:t>
      </w:r>
      <w:r>
        <w:rPr>
          <w:rFonts w:cs="Arial" w:hint="cs"/>
          <w:rtl/>
        </w:rPr>
        <w:t>,</w:t>
      </w:r>
      <w:r w:rsidRPr="003A2D2F">
        <w:rPr>
          <w:rFonts w:cs="Arial"/>
          <w:rtl/>
        </w:rPr>
        <w:t xml:space="preserve"> דהא אמר להו אנא לא אוזיפתיה מנה שחור מעולם</w:t>
      </w:r>
      <w:r>
        <w:rPr>
          <w:rFonts w:cs="Arial" w:hint="cs"/>
          <w:rtl/>
        </w:rPr>
        <w:t>,</w:t>
      </w:r>
      <w:r w:rsidRPr="003A2D2F">
        <w:rPr>
          <w:rFonts w:cs="Arial"/>
          <w:rtl/>
        </w:rPr>
        <w:t xml:space="preserve"> דבודאי לא סגיא דלא אמר תובע כחד מינייהו</w:t>
      </w:r>
      <w:r>
        <w:rPr>
          <w:rFonts w:cs="Arial" w:hint="cs"/>
          <w:rtl/>
        </w:rPr>
        <w:t>,</w:t>
      </w:r>
      <w:r w:rsidRPr="003A2D2F">
        <w:rPr>
          <w:rFonts w:cs="Arial"/>
          <w:rtl/>
        </w:rPr>
        <w:t xml:space="preserve"> ואפילו הכי כיון דמדברי שניהם אית ליה גביה כלום</w:t>
      </w:r>
      <w:r>
        <w:rPr>
          <w:rFonts w:cs="Arial" w:hint="cs"/>
          <w:rtl/>
        </w:rPr>
        <w:t xml:space="preserve"> -</w:t>
      </w:r>
      <w:r w:rsidRPr="003A2D2F">
        <w:rPr>
          <w:rFonts w:cs="Arial"/>
          <w:rtl/>
        </w:rPr>
        <w:t xml:space="preserve"> מפקינן מיניה</w:t>
      </w:r>
      <w:r>
        <w:rPr>
          <w:rFonts w:cs="Arial" w:hint="cs"/>
          <w:rtl/>
        </w:rPr>
        <w:t>,</w:t>
      </w:r>
      <w:r w:rsidRPr="003A2D2F">
        <w:rPr>
          <w:rFonts w:cs="Arial"/>
          <w:rtl/>
        </w:rPr>
        <w:t xml:space="preserve"> הכי נמי מדברי שניהם אית ליה גביה ולא בציר מחמשין זוז</w:t>
      </w:r>
      <w:r>
        <w:rPr>
          <w:rFonts w:cs="Arial" w:hint="cs"/>
          <w:rtl/>
        </w:rPr>
        <w:t>,</w:t>
      </w:r>
      <w:r w:rsidRPr="003A2D2F">
        <w:rPr>
          <w:rFonts w:cs="Arial"/>
          <w:rtl/>
        </w:rPr>
        <w:t xml:space="preserve"> דחשיב דמי משחא מאה זוזי ודמי חמרא חמשים זוזי</w:t>
      </w:r>
      <w:r>
        <w:rPr>
          <w:rFonts w:cs="Arial" w:hint="cs"/>
          <w:rtl/>
        </w:rPr>
        <w:t>,</w:t>
      </w:r>
      <w:r w:rsidRPr="003A2D2F">
        <w:rPr>
          <w:rFonts w:cs="Arial"/>
          <w:rtl/>
        </w:rPr>
        <w:t xml:space="preserve"> ומפקינן מיניה חמשים זוזי</w:t>
      </w:r>
      <w:r>
        <w:rPr>
          <w:rFonts w:cs="Arial" w:hint="cs"/>
          <w:rtl/>
        </w:rPr>
        <w:t>,</w:t>
      </w:r>
      <w:r w:rsidRPr="003A2D2F">
        <w:rPr>
          <w:rFonts w:cs="Arial"/>
          <w:rtl/>
        </w:rPr>
        <w:t xml:space="preserve"> ולא תיקשי לך טענו חטים והודה לו בשעורים דפטור לגמרי </w:t>
      </w:r>
      <w:r w:rsidRPr="003A2D2F">
        <w:rPr>
          <w:rFonts w:cs="Arial"/>
          <w:sz w:val="16"/>
          <w:szCs w:val="16"/>
          <w:rtl/>
        </w:rPr>
        <w:t xml:space="preserve">(ב"ק לה: שבועות מ.) </w:t>
      </w:r>
      <w:r w:rsidRPr="003A2D2F">
        <w:rPr>
          <w:rFonts w:cs="Arial"/>
          <w:rtl/>
        </w:rPr>
        <w:t>דהתם לא אמר לא לויתי</w:t>
      </w:r>
      <w:r>
        <w:rPr>
          <w:rFonts w:cs="Arial" w:hint="cs"/>
          <w:rtl/>
        </w:rPr>
        <w:t>,</w:t>
      </w:r>
      <w:r w:rsidRPr="003A2D2F">
        <w:rPr>
          <w:rFonts w:cs="Arial"/>
          <w:rtl/>
        </w:rPr>
        <w:t xml:space="preserve"> ולא מכחיש סהדי</w:t>
      </w:r>
      <w:r>
        <w:rPr>
          <w:rFonts w:cs="Arial" w:hint="cs"/>
          <w:rtl/>
        </w:rPr>
        <w:t>,</w:t>
      </w:r>
      <w:r w:rsidRPr="003A2D2F">
        <w:rPr>
          <w:rFonts w:cs="Arial"/>
          <w:rtl/>
        </w:rPr>
        <w:t xml:space="preserve"> הכא לא לויתי קאמר.</w:t>
      </w:r>
      <w:r>
        <w:rPr>
          <w:rFonts w:cs="Arial" w:hint="cs"/>
          <w:rtl/>
        </w:rPr>
        <w:t xml:space="preserve"> עכ"ל בעל התרומות </w:t>
      </w:r>
      <w:r>
        <w:rPr>
          <w:rFonts w:cs="Arial" w:hint="cs"/>
          <w:sz w:val="16"/>
          <w:szCs w:val="16"/>
          <w:rtl/>
        </w:rPr>
        <w:t>(</w:t>
      </w:r>
      <w:r w:rsidRPr="003A2D2F">
        <w:rPr>
          <w:rFonts w:cs="Arial"/>
          <w:sz w:val="16"/>
          <w:szCs w:val="16"/>
          <w:rtl/>
        </w:rPr>
        <w:t>שער סו ח"ב סי' ה</w:t>
      </w:r>
      <w:r>
        <w:rPr>
          <w:rFonts w:cs="Arial" w:hint="cs"/>
          <w:sz w:val="16"/>
          <w:szCs w:val="16"/>
          <w:rtl/>
        </w:rPr>
        <w:t>, הביאו הב"י)</w:t>
      </w:r>
      <w:r>
        <w:rPr>
          <w:rFonts w:cs="Arial" w:hint="cs"/>
          <w:rtl/>
        </w:rPr>
        <w:t xml:space="preserve"> בשם ה"ר אפרים. וכתב עוד</w:t>
      </w:r>
      <w:r w:rsidRPr="003A2D2F">
        <w:rPr>
          <w:rFonts w:cs="Arial"/>
          <w:rtl/>
        </w:rPr>
        <w:t xml:space="preserve"> </w:t>
      </w:r>
      <w:r>
        <w:rPr>
          <w:rFonts w:cs="Arial" w:hint="cs"/>
          <w:sz w:val="16"/>
          <w:szCs w:val="16"/>
          <w:rtl/>
        </w:rPr>
        <w:t xml:space="preserve">(בעל התרומות) </w:t>
      </w:r>
      <w:r>
        <w:rPr>
          <w:rFonts w:cs="Arial" w:hint="cs"/>
          <w:rtl/>
        </w:rPr>
        <w:t>ד</w:t>
      </w:r>
      <w:r w:rsidRPr="003A2D2F">
        <w:rPr>
          <w:rFonts w:cs="Arial"/>
          <w:rtl/>
        </w:rPr>
        <w:t>איכא מאן דפריש עיקר טענה בדמי הוות</w:t>
      </w:r>
      <w:r>
        <w:rPr>
          <w:rFonts w:cs="Arial" w:hint="cs"/>
          <w:sz w:val="16"/>
          <w:szCs w:val="16"/>
          <w:rtl/>
        </w:rPr>
        <w:t xml:space="preserve"> {היינו כפירוש רש"י}</w:t>
      </w:r>
      <w:r>
        <w:rPr>
          <w:rFonts w:cs="Arial" w:hint="cs"/>
          <w:rtl/>
        </w:rPr>
        <w:t>,</w:t>
      </w:r>
      <w:r w:rsidRPr="003A2D2F">
        <w:rPr>
          <w:rFonts w:cs="Arial"/>
          <w:rtl/>
        </w:rPr>
        <w:t xml:space="preserve"> </w:t>
      </w:r>
      <w:r>
        <w:rPr>
          <w:rFonts w:cs="Arial" w:hint="cs"/>
          <w:rtl/>
        </w:rPr>
        <w:t>וסיים ד</w:t>
      </w:r>
      <w:r w:rsidRPr="003A2D2F">
        <w:rPr>
          <w:rFonts w:cs="Arial"/>
          <w:rtl/>
        </w:rPr>
        <w:t>צ"ע</w:t>
      </w:r>
      <w:r>
        <w:rPr>
          <w:rFonts w:hint="cs"/>
          <w:rtl/>
        </w:rPr>
        <w:t>.</w:t>
      </w:r>
    </w:p>
  </w:footnote>
  <w:footnote w:id="1664">
    <w:p w14:paraId="0C575021" w14:textId="77777777" w:rsidR="0013116F" w:rsidRPr="00FA6E12" w:rsidRDefault="0013116F" w:rsidP="004B607F">
      <w:pPr>
        <w:pStyle w:val="a9"/>
        <w:rPr>
          <w:rtl/>
        </w:rPr>
      </w:pPr>
      <w:r w:rsidRPr="00FA6E12">
        <w:rPr>
          <w:rStyle w:val="ab"/>
        </w:rPr>
        <w:footnoteRef/>
      </w:r>
      <w:r w:rsidRPr="00FA6E12">
        <w:rPr>
          <w:rtl/>
        </w:rPr>
        <w:t xml:space="preserve"> </w:t>
      </w:r>
      <w:r w:rsidRPr="00FA6E12">
        <w:rPr>
          <w:rFonts w:cs="Arial"/>
          <w:rtl/>
        </w:rPr>
        <w:t>עלייה הבולטת לרשות הרבים על פני רוחב הבית, ובני רשות הרבים עוברים תחתיה</w:t>
      </w:r>
      <w:r w:rsidRPr="00FA6E12">
        <w:rPr>
          <w:rFonts w:cs="Arial" w:hint="cs"/>
          <w:rtl/>
        </w:rPr>
        <w:t>, רש"י</w:t>
      </w:r>
      <w:r w:rsidRPr="00FA6E12">
        <w:rPr>
          <w:rFonts w:cs="Arial"/>
          <w:rtl/>
        </w:rPr>
        <w:t>.</w:t>
      </w:r>
    </w:p>
  </w:footnote>
  <w:footnote w:id="1665">
    <w:p w14:paraId="0CA9AFEC" w14:textId="77777777" w:rsidR="0013116F" w:rsidRDefault="0013116F" w:rsidP="004B607F">
      <w:pPr>
        <w:spacing w:after="0" w:line="240" w:lineRule="auto"/>
        <w:rPr>
          <w:rFonts w:cs="Arial"/>
          <w:sz w:val="20"/>
          <w:szCs w:val="20"/>
          <w:rtl/>
        </w:rPr>
      </w:pPr>
      <w:r w:rsidRPr="00FA6E12">
        <w:rPr>
          <w:rStyle w:val="ab"/>
        </w:rPr>
        <w:footnoteRef/>
      </w:r>
      <w:r w:rsidRPr="00FA6E12">
        <w:rPr>
          <w:sz w:val="20"/>
          <w:szCs w:val="20"/>
          <w:rtl/>
        </w:rPr>
        <w:t xml:space="preserve"> </w:t>
      </w:r>
      <w:r w:rsidRPr="00FA6E12">
        <w:rPr>
          <w:rFonts w:cs="Arial" w:hint="cs"/>
          <w:sz w:val="20"/>
          <w:szCs w:val="20"/>
          <w:u w:val="single"/>
          <w:rtl/>
        </w:rPr>
        <w:t>לכאורה קשה, דהרי מקום - בכלל</w:t>
      </w:r>
      <w:r w:rsidRPr="00FA6E12">
        <w:rPr>
          <w:rFonts w:cs="Arial"/>
          <w:sz w:val="20"/>
          <w:szCs w:val="20"/>
          <w:u w:val="single"/>
          <w:rtl/>
        </w:rPr>
        <w:t xml:space="preserve"> חקירות הוא</w:t>
      </w:r>
      <w:r w:rsidRPr="00FA6E12">
        <w:rPr>
          <w:rFonts w:cs="Arial" w:hint="cs"/>
          <w:sz w:val="20"/>
          <w:szCs w:val="20"/>
          <w:u w:val="single"/>
          <w:rtl/>
        </w:rPr>
        <w:t>,</w:t>
      </w:r>
      <w:r w:rsidRPr="00FA6E12">
        <w:rPr>
          <w:rFonts w:cs="Arial"/>
          <w:sz w:val="20"/>
          <w:szCs w:val="20"/>
          <w:u w:val="single"/>
          <w:rtl/>
        </w:rPr>
        <w:t xml:space="preserve"> ועדות המוכחשת בחקירות אפילו בדיני ממונות פסולה</w:t>
      </w:r>
      <w:r w:rsidRPr="00FA6E12">
        <w:rPr>
          <w:rFonts w:cs="Arial" w:hint="cs"/>
          <w:sz w:val="20"/>
          <w:szCs w:val="20"/>
          <w:u w:val="single"/>
          <w:rtl/>
        </w:rPr>
        <w:t>:</w:t>
      </w:r>
      <w:r w:rsidRPr="00FA6E12">
        <w:rPr>
          <w:rFonts w:cs="Arial"/>
          <w:sz w:val="20"/>
          <w:szCs w:val="20"/>
          <w:rtl/>
        </w:rPr>
        <w:t xml:space="preserve"> </w:t>
      </w:r>
    </w:p>
    <w:p w14:paraId="64CEB178" w14:textId="77777777" w:rsidR="0013116F" w:rsidRPr="00FA6E12" w:rsidRDefault="0013116F" w:rsidP="004B0475">
      <w:pPr>
        <w:pStyle w:val="ac"/>
        <w:numPr>
          <w:ilvl w:val="0"/>
          <w:numId w:val="87"/>
        </w:numPr>
        <w:spacing w:after="0" w:line="240" w:lineRule="auto"/>
        <w:rPr>
          <w:sz w:val="20"/>
          <w:szCs w:val="20"/>
        </w:rPr>
      </w:pPr>
      <w:r w:rsidRPr="00FA6E12">
        <w:rPr>
          <w:rFonts w:cs="Arial"/>
          <w:sz w:val="20"/>
          <w:szCs w:val="20"/>
          <w:rtl/>
        </w:rPr>
        <w:t>נמוק</w:t>
      </w:r>
      <w:r w:rsidRPr="00FA6E12">
        <w:rPr>
          <w:rFonts w:cs="Arial" w:hint="cs"/>
          <w:sz w:val="20"/>
          <w:szCs w:val="20"/>
          <w:rtl/>
        </w:rPr>
        <w:t>"</w:t>
      </w:r>
      <w:r w:rsidRPr="00FA6E12">
        <w:rPr>
          <w:rFonts w:cs="Arial"/>
          <w:sz w:val="20"/>
          <w:szCs w:val="20"/>
          <w:rtl/>
        </w:rPr>
        <w:t xml:space="preserve">י </w:t>
      </w:r>
      <w:r w:rsidRPr="00FA6E12">
        <w:rPr>
          <w:rFonts w:cs="Arial"/>
          <w:sz w:val="14"/>
          <w:szCs w:val="14"/>
          <w:rtl/>
        </w:rPr>
        <w:t>(שם)</w:t>
      </w:r>
      <w:r w:rsidRPr="00FA6E12">
        <w:rPr>
          <w:rFonts w:cs="Arial" w:hint="cs"/>
          <w:sz w:val="20"/>
          <w:szCs w:val="20"/>
          <w:rtl/>
        </w:rPr>
        <w:t xml:space="preserve">- </w:t>
      </w:r>
      <w:r w:rsidRPr="00FA6E12">
        <w:rPr>
          <w:rFonts w:cs="Arial"/>
          <w:sz w:val="20"/>
          <w:szCs w:val="20"/>
          <w:rtl/>
        </w:rPr>
        <w:t xml:space="preserve">י"ל דבין דיוטא העליונה לדיוטא תחתונה כיון דבחד מקום הוא כבדיקות חשיבי לגבי דיני ממונות אבל דיני נפשות לא. </w:t>
      </w:r>
    </w:p>
    <w:p w14:paraId="687B4665" w14:textId="77777777" w:rsidR="0013116F" w:rsidRPr="00FA6E12" w:rsidRDefault="0013116F" w:rsidP="004B0475">
      <w:pPr>
        <w:pStyle w:val="ac"/>
        <w:numPr>
          <w:ilvl w:val="0"/>
          <w:numId w:val="87"/>
        </w:numPr>
        <w:spacing w:after="0" w:line="240" w:lineRule="auto"/>
        <w:rPr>
          <w:sz w:val="20"/>
          <w:szCs w:val="20"/>
        </w:rPr>
      </w:pPr>
      <w:r>
        <w:rPr>
          <w:rFonts w:cs="Arial" w:hint="cs"/>
          <w:sz w:val="20"/>
          <w:szCs w:val="20"/>
          <w:rtl/>
        </w:rPr>
        <w:t xml:space="preserve">ב"י- </w:t>
      </w:r>
      <w:r w:rsidRPr="00FA6E12">
        <w:rPr>
          <w:rFonts w:cs="Arial"/>
          <w:sz w:val="20"/>
          <w:szCs w:val="20"/>
          <w:rtl/>
        </w:rPr>
        <w:t>דברי</w:t>
      </w:r>
      <w:r>
        <w:rPr>
          <w:rFonts w:cs="Arial" w:hint="cs"/>
          <w:sz w:val="20"/>
          <w:szCs w:val="20"/>
          <w:rtl/>
        </w:rPr>
        <w:t xml:space="preserve"> הנמוק"י</w:t>
      </w:r>
      <w:r w:rsidRPr="00FA6E12">
        <w:rPr>
          <w:rFonts w:cs="Arial"/>
          <w:sz w:val="20"/>
          <w:szCs w:val="20"/>
          <w:rtl/>
        </w:rPr>
        <w:t xml:space="preserve"> סתומים ודברי רבינו מבוארים יותר דהכא במאי עסקינן בשאפשר לראות מזה לזה</w:t>
      </w:r>
      <w:r>
        <w:rPr>
          <w:rFonts w:cs="Arial" w:hint="cs"/>
          <w:sz w:val="20"/>
          <w:szCs w:val="20"/>
          <w:rtl/>
        </w:rPr>
        <w:t>,</w:t>
      </w:r>
      <w:r w:rsidRPr="00FA6E12">
        <w:rPr>
          <w:rFonts w:cs="Arial"/>
          <w:sz w:val="20"/>
          <w:szCs w:val="20"/>
          <w:rtl/>
        </w:rPr>
        <w:t xml:space="preserve"> וכיון שכן ליכא הכחשה בחקירות </w:t>
      </w:r>
      <w:r w:rsidRPr="00787B9E">
        <w:rPr>
          <w:rFonts w:cs="Arial" w:hint="cs"/>
          <w:sz w:val="16"/>
          <w:szCs w:val="16"/>
          <w:rtl/>
        </w:rPr>
        <w:t>(</w:t>
      </w:r>
      <w:r w:rsidRPr="00787B9E">
        <w:rPr>
          <w:rFonts w:cs="Arial"/>
          <w:sz w:val="16"/>
          <w:szCs w:val="16"/>
          <w:rtl/>
        </w:rPr>
        <w:t xml:space="preserve">דטעמא דבדיני נפשות אמר אחד איני יודע בחקירות עדותן בטלה </w:t>
      </w:r>
      <w:r w:rsidRPr="00787B9E">
        <w:rPr>
          <w:rFonts w:cs="Arial" w:hint="cs"/>
          <w:sz w:val="16"/>
          <w:szCs w:val="16"/>
          <w:rtl/>
        </w:rPr>
        <w:t xml:space="preserve">- </w:t>
      </w:r>
      <w:r w:rsidRPr="00787B9E">
        <w:rPr>
          <w:rFonts w:cs="Arial"/>
          <w:sz w:val="16"/>
          <w:szCs w:val="16"/>
          <w:rtl/>
        </w:rPr>
        <w:t>משום דה</w:t>
      </w:r>
      <w:r w:rsidRPr="00787B9E">
        <w:rPr>
          <w:rFonts w:cs="Arial" w:hint="cs"/>
          <w:sz w:val="16"/>
          <w:szCs w:val="16"/>
          <w:rtl/>
        </w:rPr>
        <w:t>ו"</w:t>
      </w:r>
      <w:r w:rsidRPr="00787B9E">
        <w:rPr>
          <w:rFonts w:cs="Arial"/>
          <w:sz w:val="16"/>
          <w:szCs w:val="16"/>
          <w:rtl/>
        </w:rPr>
        <w:t>ל עדות שאי אתה יכול להזימה (סנהדרין מא:)</w:t>
      </w:r>
      <w:r w:rsidRPr="00787B9E">
        <w:rPr>
          <w:rFonts w:cs="Arial" w:hint="cs"/>
          <w:sz w:val="16"/>
          <w:szCs w:val="16"/>
          <w:rtl/>
        </w:rPr>
        <w:t>,</w:t>
      </w:r>
      <w:r w:rsidRPr="00787B9E">
        <w:rPr>
          <w:rFonts w:cs="Arial"/>
          <w:sz w:val="16"/>
          <w:szCs w:val="16"/>
          <w:rtl/>
        </w:rPr>
        <w:t xml:space="preserve"> שאם עד אחד אומר שאינו יודע באיזה מקום היה כשהרג פלוני את הנפש היאך יזימוהו ב</w:t>
      </w:r>
      <w:r w:rsidRPr="00787B9E">
        <w:rPr>
          <w:rFonts w:cs="Arial" w:hint="cs"/>
          <w:sz w:val="16"/>
          <w:szCs w:val="16"/>
          <w:rtl/>
        </w:rPr>
        <w:t>-'</w:t>
      </w:r>
      <w:r w:rsidRPr="00787B9E">
        <w:rPr>
          <w:rFonts w:cs="Arial"/>
          <w:sz w:val="16"/>
          <w:szCs w:val="16"/>
          <w:rtl/>
        </w:rPr>
        <w:t>עמנו היית באותה שעה במקום פלוני ש</w:t>
      </w:r>
      <w:r w:rsidRPr="00787B9E">
        <w:rPr>
          <w:rFonts w:cs="Arial" w:hint="cs"/>
          <w:sz w:val="16"/>
          <w:szCs w:val="16"/>
          <w:rtl/>
        </w:rPr>
        <w:t>א"</w:t>
      </w:r>
      <w:r w:rsidRPr="00787B9E">
        <w:rPr>
          <w:rFonts w:cs="Arial"/>
          <w:sz w:val="16"/>
          <w:szCs w:val="16"/>
          <w:rtl/>
        </w:rPr>
        <w:t>א לראות משם את העומד באותו מקום שאתה אומר</w:t>
      </w:r>
      <w:r w:rsidRPr="00787B9E">
        <w:rPr>
          <w:rFonts w:cs="Arial" w:hint="cs"/>
          <w:sz w:val="16"/>
          <w:szCs w:val="16"/>
          <w:rtl/>
        </w:rPr>
        <w:t>',</w:t>
      </w:r>
      <w:r w:rsidRPr="00787B9E">
        <w:rPr>
          <w:rFonts w:cs="Arial"/>
          <w:sz w:val="16"/>
          <w:szCs w:val="16"/>
          <w:rtl/>
        </w:rPr>
        <w:t xml:space="preserve"> וכיון דבאחד אומר איני יודע עדותן בטלה כ</w:t>
      </w:r>
      <w:r w:rsidRPr="00787B9E">
        <w:rPr>
          <w:rFonts w:cs="Arial" w:hint="cs"/>
          <w:sz w:val="16"/>
          <w:szCs w:val="16"/>
          <w:rtl/>
        </w:rPr>
        <w:t>"</w:t>
      </w:r>
      <w:r w:rsidRPr="00787B9E">
        <w:rPr>
          <w:rFonts w:cs="Arial"/>
          <w:sz w:val="16"/>
          <w:szCs w:val="16"/>
          <w:rtl/>
        </w:rPr>
        <w:t>ש באחד אומר במקום פלוני ואחד אומר במקום פלוני שהם מכחישים זה את זה</w:t>
      </w:r>
      <w:r w:rsidRPr="00787B9E">
        <w:rPr>
          <w:rFonts w:cs="Arial" w:hint="cs"/>
          <w:sz w:val="16"/>
          <w:szCs w:val="16"/>
          <w:rtl/>
        </w:rPr>
        <w:t>,</w:t>
      </w:r>
      <w:r w:rsidRPr="00787B9E">
        <w:rPr>
          <w:rFonts w:cs="Arial"/>
          <w:sz w:val="16"/>
          <w:szCs w:val="16"/>
          <w:rtl/>
        </w:rPr>
        <w:t xml:space="preserve"> אבל כשאפשר לראות מזה לזה אין זו הכחשה בחקירות אלא בבדיקות ועדותן כשרה בדיני ממונות כרב יהודה</w:t>
      </w:r>
      <w:r>
        <w:rPr>
          <w:rFonts w:cs="Arial" w:hint="cs"/>
          <w:sz w:val="16"/>
          <w:szCs w:val="16"/>
          <w:rtl/>
        </w:rPr>
        <w:t>.</w:t>
      </w:r>
      <w:r w:rsidRPr="00787B9E">
        <w:rPr>
          <w:rFonts w:cs="Arial"/>
          <w:sz w:val="16"/>
          <w:szCs w:val="16"/>
          <w:rtl/>
        </w:rPr>
        <w:t xml:space="preserve"> וכ</w:t>
      </w:r>
      <w:r w:rsidRPr="00787B9E">
        <w:rPr>
          <w:rFonts w:cs="Arial" w:hint="cs"/>
          <w:sz w:val="16"/>
          <w:szCs w:val="16"/>
          <w:rtl/>
        </w:rPr>
        <w:t>"כ</w:t>
      </w:r>
      <w:r w:rsidRPr="00787B9E">
        <w:rPr>
          <w:rFonts w:cs="Arial"/>
          <w:sz w:val="16"/>
          <w:szCs w:val="16"/>
          <w:rtl/>
        </w:rPr>
        <w:t xml:space="preserve"> במישרים נ"ב ח"ב כדברי רבינו</w:t>
      </w:r>
      <w:r w:rsidRPr="00787B9E">
        <w:rPr>
          <w:rFonts w:cs="Arial" w:hint="cs"/>
          <w:sz w:val="16"/>
          <w:szCs w:val="16"/>
          <w:rtl/>
        </w:rPr>
        <w:t>)</w:t>
      </w:r>
      <w:r w:rsidRPr="00FA6E12">
        <w:rPr>
          <w:rFonts w:cs="Arial"/>
          <w:sz w:val="20"/>
          <w:szCs w:val="20"/>
          <w:rtl/>
        </w:rPr>
        <w:t xml:space="preserve">. </w:t>
      </w:r>
    </w:p>
    <w:p w14:paraId="5C488FEB" w14:textId="77777777" w:rsidR="0013116F" w:rsidRPr="00FA6E12" w:rsidRDefault="0013116F" w:rsidP="004B0475">
      <w:pPr>
        <w:pStyle w:val="ac"/>
        <w:numPr>
          <w:ilvl w:val="0"/>
          <w:numId w:val="87"/>
        </w:numPr>
        <w:spacing w:after="0" w:line="240" w:lineRule="auto"/>
        <w:rPr>
          <w:sz w:val="20"/>
          <w:szCs w:val="20"/>
          <w:rtl/>
        </w:rPr>
      </w:pPr>
      <w:r w:rsidRPr="00FA6E12">
        <w:rPr>
          <w:rFonts w:cs="Arial"/>
          <w:sz w:val="20"/>
          <w:szCs w:val="20"/>
          <w:rtl/>
        </w:rPr>
        <w:t xml:space="preserve">ריב"ש </w:t>
      </w:r>
      <w:r w:rsidRPr="00FA6E12">
        <w:rPr>
          <w:rFonts w:cs="Arial" w:hint="cs"/>
          <w:sz w:val="16"/>
          <w:szCs w:val="16"/>
          <w:rtl/>
        </w:rPr>
        <w:t>(</w:t>
      </w:r>
      <w:r w:rsidRPr="00FA6E12">
        <w:rPr>
          <w:rFonts w:cs="Arial"/>
          <w:sz w:val="16"/>
          <w:szCs w:val="16"/>
          <w:rtl/>
        </w:rPr>
        <w:t>סי</w:t>
      </w:r>
      <w:r w:rsidRPr="00FA6E12">
        <w:rPr>
          <w:rFonts w:cs="Arial" w:hint="cs"/>
          <w:sz w:val="16"/>
          <w:szCs w:val="16"/>
          <w:rtl/>
        </w:rPr>
        <w:t>'</w:t>
      </w:r>
      <w:r w:rsidRPr="00FA6E12">
        <w:rPr>
          <w:rFonts w:cs="Arial"/>
          <w:sz w:val="16"/>
          <w:szCs w:val="16"/>
          <w:rtl/>
        </w:rPr>
        <w:t xml:space="preserve"> רסו</w:t>
      </w:r>
      <w:r>
        <w:rPr>
          <w:rFonts w:cs="Arial" w:hint="cs"/>
          <w:sz w:val="16"/>
          <w:szCs w:val="16"/>
          <w:rtl/>
        </w:rPr>
        <w:t>,</w:t>
      </w:r>
      <w:r w:rsidRPr="00FA6E12">
        <w:rPr>
          <w:rFonts w:cs="Arial"/>
          <w:sz w:val="16"/>
          <w:szCs w:val="16"/>
          <w:rtl/>
        </w:rPr>
        <w:t xml:space="preserve"> וע</w:t>
      </w:r>
      <w:r>
        <w:rPr>
          <w:rFonts w:cs="Arial" w:hint="cs"/>
          <w:sz w:val="16"/>
          <w:szCs w:val="16"/>
          <w:rtl/>
        </w:rPr>
        <w:t>"ע</w:t>
      </w:r>
      <w:r w:rsidRPr="00FA6E12">
        <w:rPr>
          <w:rFonts w:cs="Arial"/>
          <w:sz w:val="16"/>
          <w:szCs w:val="16"/>
          <w:rtl/>
        </w:rPr>
        <w:t xml:space="preserve"> בתשו</w:t>
      </w:r>
      <w:r w:rsidRPr="00FA6E12">
        <w:rPr>
          <w:rFonts w:cs="Arial" w:hint="cs"/>
          <w:sz w:val="16"/>
          <w:szCs w:val="16"/>
          <w:rtl/>
        </w:rPr>
        <w:t>'</w:t>
      </w:r>
      <w:r w:rsidRPr="00FA6E12">
        <w:rPr>
          <w:rFonts w:cs="Arial"/>
          <w:sz w:val="16"/>
          <w:szCs w:val="16"/>
          <w:rtl/>
        </w:rPr>
        <w:t xml:space="preserve"> סי</w:t>
      </w:r>
      <w:r w:rsidRPr="00FA6E12">
        <w:rPr>
          <w:rFonts w:cs="Arial" w:hint="cs"/>
          <w:sz w:val="16"/>
          <w:szCs w:val="16"/>
          <w:rtl/>
        </w:rPr>
        <w:t>'</w:t>
      </w:r>
      <w:r w:rsidRPr="00FA6E12">
        <w:rPr>
          <w:rFonts w:cs="Arial"/>
          <w:sz w:val="16"/>
          <w:szCs w:val="16"/>
          <w:rtl/>
        </w:rPr>
        <w:t xml:space="preserve"> ק</w:t>
      </w:r>
      <w:r w:rsidRPr="00FA6E12">
        <w:rPr>
          <w:rFonts w:cs="Arial" w:hint="cs"/>
          <w:sz w:val="16"/>
          <w:szCs w:val="16"/>
          <w:rtl/>
        </w:rPr>
        <w:t>צ</w:t>
      </w:r>
      <w:r w:rsidRPr="00FA6E12">
        <w:rPr>
          <w:rFonts w:cs="Arial"/>
          <w:sz w:val="16"/>
          <w:szCs w:val="16"/>
          <w:rtl/>
        </w:rPr>
        <w:t>ג</w:t>
      </w:r>
      <w:r w:rsidRPr="00FA6E12">
        <w:rPr>
          <w:rFonts w:cs="Arial" w:hint="cs"/>
          <w:sz w:val="16"/>
          <w:szCs w:val="16"/>
          <w:rtl/>
        </w:rPr>
        <w:t>)</w:t>
      </w:r>
      <w:r>
        <w:rPr>
          <w:rFonts w:cs="Arial" w:hint="cs"/>
          <w:sz w:val="20"/>
          <w:szCs w:val="20"/>
          <w:rtl/>
        </w:rPr>
        <w:t xml:space="preserve">- </w:t>
      </w:r>
      <w:r w:rsidRPr="00FA6E12">
        <w:rPr>
          <w:rFonts w:cs="Arial"/>
          <w:sz w:val="20"/>
          <w:szCs w:val="20"/>
          <w:rtl/>
        </w:rPr>
        <w:t>טעמא משום דכיון דתרווייהו אמרי בדיוטא</w:t>
      </w:r>
      <w:r>
        <w:rPr>
          <w:rFonts w:cs="Arial" w:hint="cs"/>
          <w:sz w:val="20"/>
          <w:szCs w:val="20"/>
          <w:rtl/>
        </w:rPr>
        <w:t>,</w:t>
      </w:r>
      <w:r w:rsidRPr="00FA6E12">
        <w:rPr>
          <w:rFonts w:cs="Arial"/>
          <w:sz w:val="20"/>
          <w:szCs w:val="20"/>
          <w:rtl/>
        </w:rPr>
        <w:t xml:space="preserve"> בין עליונה לתחתונה לא דכירי אינשי. </w:t>
      </w:r>
    </w:p>
  </w:footnote>
  <w:footnote w:id="1666">
    <w:p w14:paraId="66C6148B" w14:textId="77777777" w:rsidR="0013116F" w:rsidRDefault="0013116F" w:rsidP="004B607F">
      <w:pPr>
        <w:pStyle w:val="a9"/>
        <w:rPr>
          <w:rtl/>
        </w:rPr>
      </w:pPr>
      <w:r w:rsidRPr="00FA6E12">
        <w:rPr>
          <w:rStyle w:val="ab"/>
        </w:rPr>
        <w:footnoteRef/>
      </w:r>
      <w:r w:rsidRPr="00FA6E12">
        <w:rPr>
          <w:rtl/>
        </w:rPr>
        <w:t xml:space="preserve"> </w:t>
      </w:r>
      <w:r w:rsidRPr="00FA6E12">
        <w:rPr>
          <w:rFonts w:cs="Arial"/>
          <w:rtl/>
        </w:rPr>
        <w:t>כר' יהושע</w:t>
      </w:r>
      <w:r w:rsidRPr="00923BBC">
        <w:rPr>
          <w:rFonts w:cs="Arial"/>
          <w:rtl/>
        </w:rPr>
        <w:t xml:space="preserve"> בן קרחה, דתרווייהו מנה מחייבי, ואף על גב דמתכחשי בבדיקות כדרב יהודה</w:t>
      </w:r>
      <w:bookmarkStart w:id="234" w:name="_Hlk527878433"/>
      <w:r>
        <w:rPr>
          <w:rFonts w:cs="Arial" w:hint="cs"/>
          <w:rtl/>
        </w:rPr>
        <w:t>, רש"י</w:t>
      </w:r>
      <w:bookmarkEnd w:id="234"/>
      <w:r w:rsidRPr="00923BBC">
        <w:rPr>
          <w:rFonts w:cs="Arial"/>
          <w:rtl/>
        </w:rPr>
        <w:t>.</w:t>
      </w:r>
    </w:p>
  </w:footnote>
  <w:footnote w:id="1667">
    <w:p w14:paraId="580F0118" w14:textId="77777777" w:rsidR="0013116F" w:rsidRDefault="0013116F" w:rsidP="004B607F">
      <w:pPr>
        <w:pStyle w:val="a9"/>
      </w:pPr>
      <w:r>
        <w:rPr>
          <w:rStyle w:val="ab"/>
        </w:rPr>
        <w:footnoteRef/>
      </w:r>
      <w:r>
        <w:rPr>
          <w:rtl/>
        </w:rPr>
        <w:t xml:space="preserve"> </w:t>
      </w:r>
      <w:r>
        <w:rPr>
          <w:rFonts w:cs="Arial"/>
          <w:rtl/>
        </w:rPr>
        <w:t>דבר פשוט הוא דלא קאי לאחד אומר בבית דהתם לא שייך לומר נותן לו הפחות אלא לאחד אומר מנה שחור קאי</w:t>
      </w:r>
      <w:r>
        <w:rPr>
          <w:rFonts w:cs="Arial" w:hint="cs"/>
          <w:rtl/>
        </w:rPr>
        <w:t>, ב"י.</w:t>
      </w:r>
    </w:p>
  </w:footnote>
  <w:footnote w:id="1668">
    <w:p w14:paraId="52A9E570" w14:textId="77777777" w:rsidR="0013116F" w:rsidRDefault="0013116F" w:rsidP="004B607F">
      <w:pPr>
        <w:pStyle w:val="a9"/>
      </w:pPr>
      <w:r>
        <w:rPr>
          <w:rStyle w:val="ab"/>
        </w:rPr>
        <w:footnoteRef/>
      </w:r>
      <w:r>
        <w:rPr>
          <w:rtl/>
        </w:rPr>
        <w:t xml:space="preserve"> </w:t>
      </w:r>
      <w:r>
        <w:rPr>
          <w:rFonts w:cs="Arial"/>
          <w:rtl/>
        </w:rPr>
        <w:t>מה שכתב רבינו כאן וגבי אחד אומר מנה שחור כו' והוא תבעו שניהם הוא ממה שכתב רבינו להלן בסימן זה (ס"ז) בשם הרמ"ה ושם יתבאר</w:t>
      </w:r>
      <w:r>
        <w:rPr>
          <w:rFonts w:cs="Arial" w:hint="cs"/>
          <w:rtl/>
        </w:rPr>
        <w:t>, ב"י.</w:t>
      </w:r>
    </w:p>
  </w:footnote>
  <w:footnote w:id="1669">
    <w:p w14:paraId="5AD3CCDB" w14:textId="77777777" w:rsidR="0013116F" w:rsidRDefault="0013116F" w:rsidP="004B607F">
      <w:pPr>
        <w:pStyle w:val="a9"/>
        <w:rPr>
          <w:rtl/>
        </w:rPr>
      </w:pPr>
      <w:r>
        <w:rPr>
          <w:rStyle w:val="ab"/>
        </w:rPr>
        <w:footnoteRef/>
      </w:r>
      <w:r>
        <w:rPr>
          <w:rtl/>
        </w:rPr>
        <w:t xml:space="preserve"> </w:t>
      </w:r>
      <w:r>
        <w:rPr>
          <w:rFonts w:hint="cs"/>
          <w:rtl/>
        </w:rPr>
        <w:t>וכתב הב"י</w:t>
      </w:r>
      <w:r>
        <w:rPr>
          <w:rFonts w:cs="Arial" w:hint="cs"/>
          <w:rtl/>
        </w:rPr>
        <w:t xml:space="preserve"> </w:t>
      </w:r>
      <w:r>
        <w:rPr>
          <w:rFonts w:cs="Arial" w:hint="cs"/>
          <w:sz w:val="16"/>
          <w:szCs w:val="16"/>
          <w:rtl/>
        </w:rPr>
        <w:t xml:space="preserve">(בסע' ז) </w:t>
      </w:r>
      <w:r w:rsidRPr="007675C0">
        <w:rPr>
          <w:rFonts w:cs="Arial"/>
          <w:rtl/>
        </w:rPr>
        <w:t>דס</w:t>
      </w:r>
      <w:r>
        <w:rPr>
          <w:rFonts w:cs="Arial" w:hint="cs"/>
          <w:rtl/>
        </w:rPr>
        <w:t xml:space="preserve">"ל </w:t>
      </w:r>
      <w:r>
        <w:rPr>
          <w:rFonts w:cs="Arial" w:hint="cs"/>
          <w:sz w:val="16"/>
          <w:szCs w:val="16"/>
          <w:rtl/>
        </w:rPr>
        <w:t xml:space="preserve">{לרי"ו} </w:t>
      </w:r>
      <w:r w:rsidRPr="007675C0">
        <w:rPr>
          <w:rFonts w:cs="Arial"/>
          <w:rtl/>
        </w:rPr>
        <w:t>דכיון דתרווייהו אחד מנה קא מסהדי אע</w:t>
      </w:r>
      <w:r>
        <w:rPr>
          <w:rFonts w:cs="Arial" w:hint="cs"/>
          <w:rtl/>
        </w:rPr>
        <w:t>"</w:t>
      </w:r>
      <w:r w:rsidRPr="007675C0">
        <w:rPr>
          <w:rFonts w:cs="Arial"/>
          <w:rtl/>
        </w:rPr>
        <w:t>ג דהאי קאמר שחור והאי קאמר לבן אין דרך לדקדק בכך והוי ליה הכחשה בבדיקות וכשרה</w:t>
      </w:r>
      <w:r>
        <w:rPr>
          <w:rFonts w:cs="Arial" w:hint="cs"/>
          <w:rtl/>
        </w:rPr>
        <w:t>,</w:t>
      </w:r>
      <w:r w:rsidRPr="007675C0">
        <w:rPr>
          <w:rFonts w:cs="Arial"/>
          <w:rtl/>
        </w:rPr>
        <w:t xml:space="preserve"> והכי אמרינן בפרק חזקת (</w:t>
      </w:r>
      <w:r>
        <w:rPr>
          <w:rFonts w:cs="Arial" w:hint="cs"/>
          <w:rtl/>
        </w:rPr>
        <w:t>ב"ב</w:t>
      </w:r>
      <w:r w:rsidRPr="007675C0">
        <w:rPr>
          <w:rFonts w:cs="Arial"/>
          <w:rtl/>
        </w:rPr>
        <w:t xml:space="preserve"> נו:) זה אומר אכלה חטים וזה אומר אכלה שעורים מצטרפי דאשתא דמסהיד האי מסהיד האי מאי איכא בין חטי לשערי לא דייקי והכי נמי במנה שחור ומנה לבן לא דייקי אינשי</w:t>
      </w:r>
      <w:r>
        <w:rPr>
          <w:rFonts w:cs="Arial" w:hint="cs"/>
          <w:rtl/>
        </w:rPr>
        <w:t>,</w:t>
      </w:r>
      <w:r w:rsidRPr="007675C0">
        <w:rPr>
          <w:rFonts w:cs="Arial"/>
          <w:rtl/>
        </w:rPr>
        <w:t xml:space="preserve"> וכ</w:t>
      </w:r>
      <w:r>
        <w:rPr>
          <w:rFonts w:cs="Arial" w:hint="cs"/>
          <w:rtl/>
        </w:rPr>
        <w:t>"כ נמוק"י</w:t>
      </w:r>
      <w:r w:rsidRPr="007675C0">
        <w:rPr>
          <w:rFonts w:cs="Arial"/>
          <w:rtl/>
        </w:rPr>
        <w:t xml:space="preserve"> (ט. ד"ה נהרדעי)</w:t>
      </w:r>
      <w:r>
        <w:rPr>
          <w:rFonts w:cs="Arial" w:hint="cs"/>
          <w:rtl/>
        </w:rPr>
        <w:t>.</w:t>
      </w:r>
      <w:r w:rsidRPr="007675C0">
        <w:rPr>
          <w:rFonts w:cs="Arial"/>
          <w:rtl/>
        </w:rPr>
        <w:t xml:space="preserve"> ועד כאן לא פליג ר</w:t>
      </w:r>
      <w:r>
        <w:rPr>
          <w:rFonts w:cs="Arial" w:hint="cs"/>
          <w:rtl/>
        </w:rPr>
        <w:t>י"ו</w:t>
      </w:r>
      <w:r w:rsidRPr="007675C0">
        <w:rPr>
          <w:rFonts w:cs="Arial"/>
          <w:rtl/>
        </w:rPr>
        <w:t xml:space="preserve"> אלא במנה שחור ולבן אבל בשאר החלוקות כולם מודה דבעינן שיתבענו שני מנים</w:t>
      </w:r>
      <w:r>
        <w:rPr>
          <w:rFonts w:hint="cs"/>
          <w:rtl/>
        </w:rPr>
        <w:t>.</w:t>
      </w:r>
      <w:r w:rsidRPr="005C355E">
        <w:rPr>
          <w:rtl/>
        </w:rPr>
        <w:t xml:space="preserve"> </w:t>
      </w:r>
      <w:r w:rsidRPr="005C355E">
        <w:rPr>
          <w:rFonts w:cs="Arial"/>
          <w:rtl/>
        </w:rPr>
        <w:t>ולכן קשה לי עליו ועל רבינו מה שהוכחתי לעיל דבשום חלוקה לא שייך קושיא דבהדי סהדי שקרי למה לי אלא בהלואה אחר הלואה דוקא ואם כן אין אנו צריכין לומר שתובע שני מנים אלא בהלואה אחר הלואה לחוד. וכבר אפשר ליישב דרבינו ירוחם סובר דלא קאי הרמ"ה אלא אהלואה אחר הלואה ומשום דבמנה שחור ומנה לבן הוו עדי הלואה דהא דאמרינן בין מנה שחור ללבן עבידי אינשי דטעו היינו כשראו ההלואה דאילו בעדי הודאה אינו מצוי לטעות בין אם הודה לו מנה שחור ללבן לכך איצטריך לפלוגי ביה דאפילו אינו תובע אלא מנה</w:t>
      </w:r>
      <w:r>
        <w:rPr>
          <w:rFonts w:cs="Arial" w:hint="cs"/>
          <w:rtl/>
        </w:rPr>
        <w:t>.</w:t>
      </w:r>
      <w:r w:rsidRPr="005C355E">
        <w:rPr>
          <w:rFonts w:cs="Arial"/>
          <w:rtl/>
        </w:rPr>
        <w:t xml:space="preserve"> וגם רבינו סבר דקאי להלואה אחר הלואה ואפילו למנה שחור ומנה לבן</w:t>
      </w:r>
      <w:r>
        <w:rPr>
          <w:rFonts w:cs="Arial" w:hint="cs"/>
          <w:rtl/>
        </w:rPr>
        <w:t>,</w:t>
      </w:r>
      <w:r w:rsidRPr="005C355E">
        <w:rPr>
          <w:rFonts w:cs="Arial"/>
          <w:rtl/>
        </w:rPr>
        <w:t xml:space="preserve"> אבל לשאר חלוקות לא קאי</w:t>
      </w:r>
      <w:r>
        <w:rPr>
          <w:rFonts w:cs="Arial" w:hint="cs"/>
          <w:rtl/>
        </w:rPr>
        <w:t xml:space="preserve"> </w:t>
      </w:r>
      <w:r w:rsidRPr="005C355E">
        <w:rPr>
          <w:rFonts w:cs="Arial"/>
          <w:rtl/>
        </w:rPr>
        <w:t>ומה שכתב בדמי חבית והוא תבעו שניהם היינו דוקא בעדי הלואה</w:t>
      </w:r>
      <w:r>
        <w:rPr>
          <w:rFonts w:cs="Arial" w:hint="cs"/>
          <w:rtl/>
        </w:rPr>
        <w:t>,</w:t>
      </w:r>
      <w:r w:rsidRPr="005C355E">
        <w:rPr>
          <w:rFonts w:cs="Arial"/>
          <w:rtl/>
        </w:rPr>
        <w:t xml:space="preserve"> ודוחק.</w:t>
      </w:r>
      <w:r>
        <w:rPr>
          <w:rFonts w:cs="Arial" w:hint="cs"/>
          <w:rtl/>
        </w:rPr>
        <w:t xml:space="preserve"> עכ"ל הב"י.</w:t>
      </w:r>
    </w:p>
  </w:footnote>
  <w:footnote w:id="1670">
    <w:p w14:paraId="0A66DF3A" w14:textId="77777777" w:rsidR="0013116F" w:rsidRDefault="0013116F" w:rsidP="004B607F">
      <w:pPr>
        <w:pStyle w:val="a9"/>
      </w:pPr>
      <w:r>
        <w:rPr>
          <w:rStyle w:val="ab"/>
        </w:rPr>
        <w:footnoteRef/>
      </w:r>
      <w:r>
        <w:rPr>
          <w:rtl/>
        </w:rPr>
        <w:t xml:space="preserve"> </w:t>
      </w:r>
      <w:r>
        <w:rPr>
          <w:rFonts w:hint="cs"/>
          <w:rtl/>
        </w:rPr>
        <w:t xml:space="preserve">וז"ל- </w:t>
      </w:r>
      <w:r w:rsidRPr="00F23D50">
        <w:rPr>
          <w:rFonts w:cs="Arial"/>
          <w:rtl/>
        </w:rPr>
        <w:t>שיש בכלל וכו'. ולא אמרינן שתיהן שקרניות אלא הלך אחר פחותה שבהם ואיכא למידק והלא עדות המוכחשת פסולה ולדברי הכל אין מצטרפים אלו עם אלו להעיד אלא כשזו באה בפני עצמה ומעידה לרב חסדא ויש לומר דשאני הכא דבין מנה שחור ומנה לבן עבידי אינשי דטעו בהכי ולאו עדות מוכחשת היא דלא דייקינן למבדק עדים בהכי אבל במילתא דודאי מכחשי אהדדי ולא עבידי דטעו אין מצטרפין והיינו דאמרינן בפרק חזקת הבתים [דף נו ב] זה אומר אכלה חטים וזה אומר שעורים מצטרפין דהשתא מאי דמסהיד האי מסהיד האי. מאי איכא בין חטי לשערי לא דייקי אינשי כלומר שאין עיקר החזקה תלויה בכך כמו מנה שחור או לבן שאין הדבר תלוי בזה הלכך מכשרינן להו. ולא מיבעיא ב' כתי עדים אלא אפי' בכת אחת אמרי ב"ה דכשרים ואפי' בשאין הלוה תובע אלא מנה תליא בטעותא ואין הכחשה בין התובע והעדים</w:t>
      </w:r>
      <w:r>
        <w:rPr>
          <w:rFonts w:cs="Arial" w:hint="cs"/>
          <w:rtl/>
        </w:rPr>
        <w:t>.</w:t>
      </w:r>
    </w:p>
  </w:footnote>
  <w:footnote w:id="1671">
    <w:p w14:paraId="278E7C9A" w14:textId="77777777" w:rsidR="0013116F" w:rsidRDefault="0013116F" w:rsidP="004B607F">
      <w:pPr>
        <w:pStyle w:val="a9"/>
      </w:pPr>
      <w:r>
        <w:rPr>
          <w:rStyle w:val="ab"/>
        </w:rPr>
        <w:footnoteRef/>
      </w:r>
      <w:r>
        <w:rPr>
          <w:rtl/>
        </w:rPr>
        <w:t xml:space="preserve"> </w:t>
      </w:r>
      <w:r>
        <w:rPr>
          <w:rFonts w:hint="cs"/>
          <w:rtl/>
        </w:rPr>
        <w:t xml:space="preserve">וז"ל- </w:t>
      </w:r>
      <w:r w:rsidRPr="008B2D86">
        <w:rPr>
          <w:rFonts w:cs="Arial"/>
          <w:rtl/>
        </w:rPr>
        <w:t>דעת נמוק</w:t>
      </w:r>
      <w:r>
        <w:rPr>
          <w:rFonts w:cs="Arial" w:hint="cs"/>
          <w:rtl/>
        </w:rPr>
        <w:t>"</w:t>
      </w:r>
      <w:r w:rsidRPr="008B2D86">
        <w:rPr>
          <w:rFonts w:cs="Arial"/>
          <w:rtl/>
        </w:rPr>
        <w:t xml:space="preserve">י </w:t>
      </w:r>
      <w:r>
        <w:rPr>
          <w:rFonts w:cs="Arial" w:hint="cs"/>
          <w:sz w:val="16"/>
          <w:szCs w:val="16"/>
          <w:rtl/>
        </w:rPr>
        <w:t>(</w:t>
      </w:r>
      <w:r w:rsidRPr="008B2D86">
        <w:rPr>
          <w:rFonts w:cs="Arial"/>
          <w:sz w:val="16"/>
          <w:szCs w:val="16"/>
          <w:rtl/>
        </w:rPr>
        <w:t>סנהדרין ט</w:t>
      </w:r>
      <w:r w:rsidRPr="008B2D86">
        <w:rPr>
          <w:rFonts w:cs="Arial" w:hint="cs"/>
          <w:sz w:val="16"/>
          <w:szCs w:val="16"/>
          <w:rtl/>
        </w:rPr>
        <w:t>.</w:t>
      </w:r>
      <w:r>
        <w:rPr>
          <w:rFonts w:cs="Arial" w:hint="cs"/>
          <w:sz w:val="16"/>
          <w:szCs w:val="16"/>
          <w:rtl/>
        </w:rPr>
        <w:t>)</w:t>
      </w:r>
      <w:r w:rsidRPr="008B2D86">
        <w:rPr>
          <w:rFonts w:cs="Arial"/>
          <w:sz w:val="16"/>
          <w:szCs w:val="16"/>
          <w:rtl/>
        </w:rPr>
        <w:t xml:space="preserve"> </w:t>
      </w:r>
      <w:r w:rsidRPr="008B2D86">
        <w:rPr>
          <w:rFonts w:cs="Arial"/>
          <w:rtl/>
        </w:rPr>
        <w:t>דס"ל דבאחד אומר מנה שחור ואחד מנה לבן א"צ לתבוע שניהן. וכ</w:t>
      </w:r>
      <w:r>
        <w:rPr>
          <w:rFonts w:cs="Arial" w:hint="cs"/>
          <w:rtl/>
        </w:rPr>
        <w:t>"כ</w:t>
      </w:r>
      <w:r w:rsidRPr="008B2D86">
        <w:rPr>
          <w:rFonts w:cs="Arial"/>
          <w:rtl/>
        </w:rPr>
        <w:t xml:space="preserve"> ר</w:t>
      </w:r>
      <w:r>
        <w:rPr>
          <w:rFonts w:cs="Arial" w:hint="cs"/>
          <w:rtl/>
        </w:rPr>
        <w:t>י"ו</w:t>
      </w:r>
      <w:r w:rsidRPr="008B2D86">
        <w:rPr>
          <w:rFonts w:cs="Arial"/>
          <w:rtl/>
        </w:rPr>
        <w:t xml:space="preserve"> </w:t>
      </w:r>
      <w:r w:rsidRPr="008B2D86">
        <w:rPr>
          <w:rFonts w:cs="Arial" w:hint="cs"/>
          <w:sz w:val="16"/>
          <w:szCs w:val="16"/>
          <w:rtl/>
        </w:rPr>
        <w:t>(</w:t>
      </w:r>
      <w:r w:rsidRPr="008B2D86">
        <w:rPr>
          <w:rFonts w:cs="Arial"/>
          <w:sz w:val="16"/>
          <w:szCs w:val="16"/>
          <w:rtl/>
        </w:rPr>
        <w:t>נ"ב ח"ב. ד"מ</w:t>
      </w:r>
      <w:r w:rsidRPr="008B2D86">
        <w:rPr>
          <w:rFonts w:cs="Arial" w:hint="cs"/>
          <w:sz w:val="16"/>
          <w:szCs w:val="16"/>
          <w:rtl/>
        </w:rPr>
        <w:t xml:space="preserve"> </w:t>
      </w:r>
      <w:r w:rsidRPr="008B2D86">
        <w:rPr>
          <w:rFonts w:cs="Arial"/>
          <w:sz w:val="16"/>
          <w:szCs w:val="16"/>
          <w:rtl/>
        </w:rPr>
        <w:t>ד</w:t>
      </w:r>
      <w:r w:rsidRPr="008B2D86">
        <w:rPr>
          <w:rFonts w:cs="Arial" w:hint="cs"/>
          <w:sz w:val="16"/>
          <w:szCs w:val="16"/>
          <w:rtl/>
        </w:rPr>
        <w:t>)</w:t>
      </w:r>
      <w:r w:rsidRPr="008B2D86">
        <w:rPr>
          <w:rFonts w:cs="Arial"/>
          <w:rtl/>
        </w:rPr>
        <w:t>. ולפי דעתו נראה פשוט דה"ה באומר אחד ק' והשני ר' דאין צריך לתבוע שניהן, אם לא שמעידים בפירוש על זמנים מתחלפים. ולא כמ"ש בע</w:t>
      </w:r>
      <w:r>
        <w:rPr>
          <w:rFonts w:cs="Arial" w:hint="cs"/>
          <w:rtl/>
        </w:rPr>
        <w:t>"</w:t>
      </w:r>
      <w:r w:rsidRPr="008B2D86">
        <w:rPr>
          <w:rFonts w:cs="Arial"/>
          <w:rtl/>
        </w:rPr>
        <w:t>ש [סע</w:t>
      </w:r>
      <w:r>
        <w:rPr>
          <w:rFonts w:cs="Arial" w:hint="cs"/>
          <w:rtl/>
        </w:rPr>
        <w:t>'</w:t>
      </w:r>
      <w:r w:rsidRPr="008B2D86">
        <w:rPr>
          <w:rFonts w:cs="Arial"/>
          <w:rtl/>
        </w:rPr>
        <w:t xml:space="preserve"> ב] דמחלק ביניהן, דבמנה שחור ולבן ודיוטא עליונה ותחתונה כתב דאין צריך לתבוע שניהן, ובמנה ובמאתים כתב דצריך לתבוע שניהן, דזהו דלא כמאן. ואף שמדברי ב"י בסי</w:t>
      </w:r>
      <w:r>
        <w:rPr>
          <w:rFonts w:cs="Arial" w:hint="cs"/>
          <w:rtl/>
        </w:rPr>
        <w:t>'</w:t>
      </w:r>
      <w:r w:rsidRPr="008B2D86">
        <w:rPr>
          <w:rFonts w:cs="Arial"/>
          <w:rtl/>
        </w:rPr>
        <w:t xml:space="preserve"> זה בסע</w:t>
      </w:r>
      <w:r>
        <w:rPr>
          <w:rFonts w:cs="Arial" w:hint="cs"/>
          <w:rtl/>
        </w:rPr>
        <w:t>'</w:t>
      </w:r>
      <w:r w:rsidRPr="008B2D86">
        <w:rPr>
          <w:rFonts w:cs="Arial"/>
          <w:rtl/>
        </w:rPr>
        <w:t xml:space="preserve"> ז' נראה שדעתו ג"כ לחלק ביניהן, כבר כתבתי ודקדקתי שם</w:t>
      </w:r>
      <w:r>
        <w:rPr>
          <w:rFonts w:cs="Arial" w:hint="cs"/>
          <w:rtl/>
        </w:rPr>
        <w:t xml:space="preserve"> </w:t>
      </w:r>
      <w:r>
        <w:rPr>
          <w:rFonts w:cs="Arial" w:hint="cs"/>
          <w:sz w:val="16"/>
          <w:szCs w:val="16"/>
          <w:rtl/>
        </w:rPr>
        <w:t>{בדרישה}</w:t>
      </w:r>
      <w:r w:rsidRPr="008B2D86">
        <w:rPr>
          <w:rFonts w:cs="Arial"/>
          <w:rtl/>
        </w:rPr>
        <w:t xml:space="preserve"> עליו והוכחתי שאין חילוק ביניהן</w:t>
      </w:r>
      <w:r>
        <w:rPr>
          <w:rFonts w:hint="cs"/>
          <w:rtl/>
        </w:rPr>
        <w:t>.</w:t>
      </w:r>
    </w:p>
  </w:footnote>
  <w:footnote w:id="1672">
    <w:p w14:paraId="204EF331" w14:textId="77777777" w:rsidR="0013116F" w:rsidRDefault="0013116F" w:rsidP="004B607F">
      <w:pPr>
        <w:pStyle w:val="a9"/>
      </w:pPr>
      <w:r>
        <w:rPr>
          <w:rStyle w:val="ab"/>
        </w:rPr>
        <w:footnoteRef/>
      </w:r>
      <w:r>
        <w:rPr>
          <w:rtl/>
        </w:rPr>
        <w:t xml:space="preserve"> </w:t>
      </w:r>
      <w:r w:rsidRPr="00055DC1">
        <w:rPr>
          <w:rFonts w:cs="Arial"/>
          <w:rtl/>
        </w:rPr>
        <w:t>עיין מה שכתבתי לקמן סי</w:t>
      </w:r>
      <w:r>
        <w:rPr>
          <w:rFonts w:cs="Arial" w:hint="cs"/>
          <w:rtl/>
        </w:rPr>
        <w:t>'</w:t>
      </w:r>
      <w:r w:rsidRPr="00055DC1">
        <w:rPr>
          <w:rFonts w:cs="Arial"/>
          <w:rtl/>
        </w:rPr>
        <w:t xml:space="preserve"> ל"ג סע</w:t>
      </w:r>
      <w:r>
        <w:rPr>
          <w:rFonts w:cs="Arial" w:hint="cs"/>
          <w:rtl/>
        </w:rPr>
        <w:t>'</w:t>
      </w:r>
      <w:r w:rsidRPr="00055DC1">
        <w:rPr>
          <w:rFonts w:cs="Arial"/>
          <w:rtl/>
        </w:rPr>
        <w:t xml:space="preserve"> ט"ז [סקט"ז], דה"ה אם אירע שחקר הדיין או בקנסות או בדין מרומה ואמר אחד מהן איני יודע עדותן בטילה, דהו"ל כעדות שאי אתה יכול להזימה, ודלא כהריב"ש סי' רס"ו וע"ש. והב"י [מחו</w:t>
      </w:r>
      <w:r>
        <w:rPr>
          <w:rFonts w:cs="Arial" w:hint="cs"/>
          <w:rtl/>
        </w:rPr>
        <w:t>'</w:t>
      </w:r>
      <w:r w:rsidRPr="00055DC1">
        <w:rPr>
          <w:rFonts w:cs="Arial"/>
          <w:rtl/>
        </w:rPr>
        <w:t xml:space="preserve"> ב] והב"ח [ס</w:t>
      </w:r>
      <w:r>
        <w:rPr>
          <w:rFonts w:cs="Arial" w:hint="cs"/>
          <w:rtl/>
        </w:rPr>
        <w:t>ע'</w:t>
      </w:r>
      <w:r w:rsidRPr="00055DC1">
        <w:rPr>
          <w:rFonts w:cs="Arial"/>
          <w:rtl/>
        </w:rPr>
        <w:t xml:space="preserve"> א] הביאו דברי הריב"ש בסתם. ולפעד"נ כמ"ש, וצ"ע</w:t>
      </w:r>
      <w:r>
        <w:rPr>
          <w:rFonts w:cs="Arial" w:hint="cs"/>
          <w:rtl/>
        </w:rPr>
        <w:t>, ש"ך (סק"ה).</w:t>
      </w:r>
    </w:p>
  </w:footnote>
  <w:footnote w:id="1673">
    <w:p w14:paraId="0FD47113" w14:textId="77777777" w:rsidR="0013116F" w:rsidRDefault="0013116F" w:rsidP="004B607F">
      <w:pPr>
        <w:pStyle w:val="a9"/>
        <w:rPr>
          <w:rtl/>
        </w:rPr>
      </w:pPr>
      <w:r>
        <w:rPr>
          <w:rStyle w:val="ab"/>
        </w:rPr>
        <w:footnoteRef/>
      </w:r>
      <w:r>
        <w:rPr>
          <w:rtl/>
        </w:rPr>
        <w:t xml:space="preserve"> </w:t>
      </w:r>
      <w:r w:rsidRPr="00B66951">
        <w:rPr>
          <w:rFonts w:cs="Arial"/>
          <w:rtl/>
        </w:rPr>
        <w:t>ס</w:t>
      </w:r>
      <w:r>
        <w:rPr>
          <w:rFonts w:cs="Arial" w:hint="cs"/>
          <w:rtl/>
        </w:rPr>
        <w:t>"</w:t>
      </w:r>
      <w:r w:rsidRPr="00B66951">
        <w:rPr>
          <w:rFonts w:cs="Arial"/>
          <w:rtl/>
        </w:rPr>
        <w:t>ל</w:t>
      </w:r>
      <w:r>
        <w:rPr>
          <w:rFonts w:cs="Arial" w:hint="cs"/>
          <w:rtl/>
        </w:rPr>
        <w:t xml:space="preserve"> ד</w:t>
      </w:r>
      <w:r w:rsidRPr="00B66951">
        <w:rPr>
          <w:rFonts w:cs="Arial"/>
          <w:rtl/>
        </w:rPr>
        <w:t xml:space="preserve">אפילו לא אמר השני </w:t>
      </w:r>
      <w:r>
        <w:rPr>
          <w:rFonts w:cs="Arial" w:hint="cs"/>
          <w:rtl/>
        </w:rPr>
        <w:t>'</w:t>
      </w:r>
      <w:r w:rsidRPr="00B66951">
        <w:rPr>
          <w:rFonts w:cs="Arial"/>
          <w:rtl/>
        </w:rPr>
        <w:t>לא כי</w:t>
      </w:r>
      <w:r>
        <w:rPr>
          <w:rFonts w:cs="Arial" w:hint="cs"/>
          <w:rtl/>
        </w:rPr>
        <w:t>' -</w:t>
      </w:r>
      <w:r w:rsidRPr="00B66951">
        <w:rPr>
          <w:rFonts w:cs="Arial"/>
          <w:rtl/>
        </w:rPr>
        <w:t xml:space="preserve"> מיקרי הכחשה, דכל שמעידין סתמא אמרינן דאזמן אחד העידו, וכאילו אמר השני </w:t>
      </w:r>
      <w:r>
        <w:rPr>
          <w:rFonts w:cs="Arial" w:hint="cs"/>
          <w:rtl/>
        </w:rPr>
        <w:t>'</w:t>
      </w:r>
      <w:r w:rsidRPr="00B66951">
        <w:rPr>
          <w:rFonts w:cs="Arial"/>
          <w:rtl/>
        </w:rPr>
        <w:t>אותה הלואה שאתה אומר דיין היתה אני אומר דשמן היתה</w:t>
      </w:r>
      <w:r>
        <w:rPr>
          <w:rFonts w:cs="Arial" w:hint="cs"/>
          <w:rtl/>
        </w:rPr>
        <w:t>'</w:t>
      </w:r>
      <w:r w:rsidRPr="00B66951">
        <w:rPr>
          <w:rFonts w:cs="Arial"/>
          <w:rtl/>
        </w:rPr>
        <w:t xml:space="preserve"> </w:t>
      </w:r>
      <w:r w:rsidRPr="00CD386C">
        <w:rPr>
          <w:rFonts w:cs="Arial" w:hint="cs"/>
          <w:sz w:val="16"/>
          <w:szCs w:val="16"/>
          <w:rtl/>
        </w:rPr>
        <w:t>(</w:t>
      </w:r>
      <w:r w:rsidRPr="00CD386C">
        <w:rPr>
          <w:rFonts w:cs="Arial"/>
          <w:sz w:val="16"/>
          <w:szCs w:val="16"/>
          <w:rtl/>
        </w:rPr>
        <w:t>וכמ"ש הטור [סע</w:t>
      </w:r>
      <w:r w:rsidRPr="00CD386C">
        <w:rPr>
          <w:rFonts w:cs="Arial" w:hint="cs"/>
          <w:sz w:val="16"/>
          <w:szCs w:val="16"/>
          <w:rtl/>
        </w:rPr>
        <w:t>'</w:t>
      </w:r>
      <w:r w:rsidRPr="00CD386C">
        <w:rPr>
          <w:rFonts w:cs="Arial"/>
          <w:sz w:val="16"/>
          <w:szCs w:val="16"/>
          <w:rtl/>
        </w:rPr>
        <w:t xml:space="preserve"> ו] והמחבר בסמוך בסע</w:t>
      </w:r>
      <w:r>
        <w:rPr>
          <w:rFonts w:cs="Arial" w:hint="cs"/>
          <w:sz w:val="16"/>
          <w:szCs w:val="16"/>
          <w:rtl/>
        </w:rPr>
        <w:t>'</w:t>
      </w:r>
      <w:r w:rsidRPr="00CD386C">
        <w:rPr>
          <w:rFonts w:cs="Arial"/>
          <w:sz w:val="16"/>
          <w:szCs w:val="16"/>
          <w:rtl/>
        </w:rPr>
        <w:t xml:space="preserve"> ג כה"ג, ז"ל</w:t>
      </w:r>
      <w:r>
        <w:rPr>
          <w:rFonts w:cs="Arial" w:hint="cs"/>
          <w:sz w:val="16"/>
          <w:szCs w:val="16"/>
          <w:rtl/>
        </w:rPr>
        <w:t>-</w:t>
      </w:r>
      <w:r w:rsidRPr="00CD386C">
        <w:rPr>
          <w:rFonts w:cs="Arial"/>
          <w:sz w:val="16"/>
          <w:szCs w:val="16"/>
          <w:rtl/>
        </w:rPr>
        <w:t xml:space="preserve"> וכן אם העידו סתם כו</w:t>
      </w:r>
      <w:r>
        <w:rPr>
          <w:rFonts w:cs="Arial" w:hint="cs"/>
          <w:sz w:val="16"/>
          <w:szCs w:val="16"/>
          <w:rtl/>
        </w:rPr>
        <w:t xml:space="preserve">'... </w:t>
      </w:r>
      <w:r w:rsidRPr="00CD386C">
        <w:rPr>
          <w:rFonts w:cs="Arial"/>
          <w:sz w:val="16"/>
          <w:szCs w:val="16"/>
          <w:rtl/>
        </w:rPr>
        <w:t>שהמוציא מחבירו עליו הראיה</w:t>
      </w:r>
      <w:r>
        <w:rPr>
          <w:rFonts w:cs="Arial" w:hint="cs"/>
          <w:sz w:val="16"/>
          <w:szCs w:val="16"/>
          <w:rtl/>
        </w:rPr>
        <w:t>)</w:t>
      </w:r>
      <w:r w:rsidRPr="00B66951">
        <w:rPr>
          <w:rFonts w:cs="Arial"/>
          <w:rtl/>
        </w:rPr>
        <w:t xml:space="preserve">. ואם האחד העיד על חבית יין בניסן והשני על חבית שמן באייר, והוא תבע את שתיהן, ולא אמר </w:t>
      </w:r>
      <w:r>
        <w:rPr>
          <w:rFonts w:cs="Arial" w:hint="cs"/>
          <w:rtl/>
        </w:rPr>
        <w:t>'</w:t>
      </w:r>
      <w:r w:rsidRPr="00B66951">
        <w:rPr>
          <w:rFonts w:cs="Arial"/>
          <w:rtl/>
        </w:rPr>
        <w:t>לא כי</w:t>
      </w:r>
      <w:r>
        <w:rPr>
          <w:rFonts w:cs="Arial" w:hint="cs"/>
          <w:rtl/>
        </w:rPr>
        <w:t>' -</w:t>
      </w:r>
      <w:r w:rsidRPr="00B66951">
        <w:rPr>
          <w:rFonts w:cs="Arial"/>
          <w:rtl/>
        </w:rPr>
        <w:t xml:space="preserve"> חייב ליתן לו הפחות. ובאומר </w:t>
      </w:r>
      <w:r>
        <w:rPr>
          <w:rFonts w:cs="Arial" w:hint="cs"/>
          <w:rtl/>
        </w:rPr>
        <w:t>'</w:t>
      </w:r>
      <w:r w:rsidRPr="00B66951">
        <w:rPr>
          <w:rFonts w:cs="Arial"/>
          <w:rtl/>
        </w:rPr>
        <w:t>לא כי</w:t>
      </w:r>
      <w:r>
        <w:rPr>
          <w:rFonts w:cs="Arial" w:hint="cs"/>
          <w:rtl/>
        </w:rPr>
        <w:t>'</w:t>
      </w:r>
      <w:r w:rsidRPr="00B66951">
        <w:rPr>
          <w:rFonts w:cs="Arial"/>
          <w:rtl/>
        </w:rPr>
        <w:t xml:space="preserve">, פשיטא דעדותן בטלה </w:t>
      </w:r>
      <w:r w:rsidRPr="00CD386C">
        <w:rPr>
          <w:rFonts w:cs="Arial" w:hint="cs"/>
          <w:sz w:val="16"/>
          <w:szCs w:val="16"/>
          <w:rtl/>
        </w:rPr>
        <w:t>(</w:t>
      </w:r>
      <w:r w:rsidRPr="00CD386C">
        <w:rPr>
          <w:rFonts w:cs="Arial"/>
          <w:sz w:val="16"/>
          <w:szCs w:val="16"/>
          <w:rtl/>
        </w:rPr>
        <w:t>ק"ו מאחד אומר מנה בניסן והשני אמר לא כי אלא מנה באייר, דמה התם דעדות שניהן בשוה אמנה, עדותם בטלה מכח לא כי, ק"ו באחד אמר חבית יין ואחד אומר שמן דאין תביעתן שוה</w:t>
      </w:r>
      <w:r>
        <w:rPr>
          <w:rFonts w:cs="Arial" w:hint="cs"/>
          <w:sz w:val="16"/>
          <w:szCs w:val="16"/>
          <w:rtl/>
        </w:rPr>
        <w:t>)</w:t>
      </w:r>
      <w:r>
        <w:rPr>
          <w:rFonts w:hint="cs"/>
          <w:rtl/>
        </w:rPr>
        <w:t>, סמ"ע (סק"ח).</w:t>
      </w:r>
    </w:p>
  </w:footnote>
  <w:footnote w:id="1674">
    <w:p w14:paraId="6402AA4F" w14:textId="77777777" w:rsidR="0013116F" w:rsidRDefault="0013116F" w:rsidP="004B607F">
      <w:pPr>
        <w:pStyle w:val="a9"/>
      </w:pPr>
      <w:r>
        <w:rPr>
          <w:rStyle w:val="ab"/>
        </w:rPr>
        <w:footnoteRef/>
      </w:r>
      <w:r>
        <w:rPr>
          <w:rtl/>
        </w:rPr>
        <w:t xml:space="preserve"> </w:t>
      </w:r>
      <w:r w:rsidRPr="00B66951">
        <w:rPr>
          <w:rFonts w:cs="Arial"/>
          <w:rtl/>
        </w:rPr>
        <w:t>ר"ל ואפילו שבועה נגד העד אין צריך. ואע</w:t>
      </w:r>
      <w:r>
        <w:rPr>
          <w:rFonts w:cs="Arial" w:hint="cs"/>
          <w:rtl/>
        </w:rPr>
        <w:t>"</w:t>
      </w:r>
      <w:r w:rsidRPr="00B66951">
        <w:rPr>
          <w:rFonts w:cs="Arial"/>
          <w:rtl/>
        </w:rPr>
        <w:t>ג דתובעו התובע שתיהן חבית של יין ושל שמן, מ"מ כיון דמיחשב הכחשה בדרישה עדותן בטלה לגמרי</w:t>
      </w:r>
      <w:r>
        <w:rPr>
          <w:rFonts w:cs="Arial" w:hint="cs"/>
          <w:rtl/>
        </w:rPr>
        <w:t>..., סמ"ע (סק"ט).</w:t>
      </w:r>
    </w:p>
  </w:footnote>
  <w:footnote w:id="1675">
    <w:p w14:paraId="554C92AE" w14:textId="77777777" w:rsidR="0013116F" w:rsidRDefault="0013116F" w:rsidP="004B607F">
      <w:pPr>
        <w:pStyle w:val="a9"/>
        <w:rPr>
          <w:rtl/>
        </w:rPr>
      </w:pPr>
      <w:r>
        <w:rPr>
          <w:rStyle w:val="ab"/>
        </w:rPr>
        <w:footnoteRef/>
      </w:r>
      <w:r>
        <w:rPr>
          <w:rtl/>
        </w:rPr>
        <w:t xml:space="preserve"> </w:t>
      </w:r>
      <w:r>
        <w:rPr>
          <w:rFonts w:cs="Arial"/>
          <w:rtl/>
        </w:rPr>
        <w:t xml:space="preserve">כן הוא לשון הרמב"ם </w:t>
      </w:r>
      <w:r>
        <w:rPr>
          <w:rFonts w:cs="Arial" w:hint="cs"/>
          <w:rtl/>
        </w:rPr>
        <w:t>(</w:t>
      </w:r>
      <w:r>
        <w:rPr>
          <w:rFonts w:cs="Arial"/>
          <w:rtl/>
        </w:rPr>
        <w:t>שם פ"ג ה"ג</w:t>
      </w:r>
      <w:r>
        <w:rPr>
          <w:rFonts w:cs="Arial" w:hint="cs"/>
          <w:rtl/>
        </w:rPr>
        <w:t>)</w:t>
      </w:r>
      <w:r>
        <w:rPr>
          <w:rFonts w:cs="Arial"/>
          <w:rtl/>
        </w:rPr>
        <w:t xml:space="preserve">, דס"ל שכל שהכחישו בגוף הענין </w:t>
      </w:r>
      <w:r>
        <w:rPr>
          <w:rFonts w:cs="Arial" w:hint="cs"/>
          <w:rtl/>
        </w:rPr>
        <w:t xml:space="preserve">- </w:t>
      </w:r>
      <w:r>
        <w:rPr>
          <w:rFonts w:cs="Arial"/>
          <w:rtl/>
        </w:rPr>
        <w:t>דרישה מיקרי,</w:t>
      </w:r>
      <w:r>
        <w:rPr>
          <w:rFonts w:cs="Arial" w:hint="cs"/>
          <w:rtl/>
        </w:rPr>
        <w:t xml:space="preserve"> דכתב ב</w:t>
      </w:r>
      <w:r>
        <w:rPr>
          <w:rFonts w:cs="Arial"/>
          <w:rtl/>
        </w:rPr>
        <w:t>פ</w:t>
      </w:r>
      <w:r>
        <w:rPr>
          <w:rFonts w:cs="Arial" w:hint="cs"/>
          <w:rtl/>
        </w:rPr>
        <w:t>"</w:t>
      </w:r>
      <w:r>
        <w:rPr>
          <w:rFonts w:cs="Arial"/>
          <w:rtl/>
        </w:rPr>
        <w:t xml:space="preserve">א </w:t>
      </w:r>
      <w:r>
        <w:rPr>
          <w:rFonts w:cs="Arial" w:hint="cs"/>
          <w:rtl/>
        </w:rPr>
        <w:t>(</w:t>
      </w:r>
      <w:r>
        <w:rPr>
          <w:rFonts w:cs="Arial"/>
          <w:rtl/>
        </w:rPr>
        <w:t>מעדות ה"ד</w:t>
      </w:r>
      <w:r>
        <w:rPr>
          <w:rFonts w:cs="Arial" w:hint="cs"/>
          <w:rtl/>
        </w:rPr>
        <w:t>)</w:t>
      </w:r>
      <w:r>
        <w:rPr>
          <w:rFonts w:cs="Arial"/>
          <w:rtl/>
        </w:rPr>
        <w:t xml:space="preserve"> שהדבר שגוף העדות והענין תלוי בו </w:t>
      </w:r>
      <w:r>
        <w:rPr>
          <w:rFonts w:cs="Arial" w:hint="cs"/>
          <w:rtl/>
        </w:rPr>
        <w:t xml:space="preserve">- </w:t>
      </w:r>
      <w:r>
        <w:rPr>
          <w:rFonts w:cs="Arial"/>
          <w:rtl/>
        </w:rPr>
        <w:t>ג"כ בכלל דרישה הוא בדיני נפשות, כגון במה הרגו בסייף או בארירן</w:t>
      </w:r>
      <w:r>
        <w:rPr>
          <w:rFonts w:cs="Arial" w:hint="cs"/>
          <w:rtl/>
        </w:rPr>
        <w:t>,</w:t>
      </w:r>
      <w:r>
        <w:rPr>
          <w:rFonts w:cs="Arial"/>
          <w:rtl/>
        </w:rPr>
        <w:t xml:space="preserve"> </w:t>
      </w:r>
      <w:r>
        <w:rPr>
          <w:rFonts w:cs="Arial" w:hint="cs"/>
          <w:rtl/>
        </w:rPr>
        <w:t xml:space="preserve">הלכך </w:t>
      </w:r>
      <w:r>
        <w:rPr>
          <w:rFonts w:cs="Arial"/>
          <w:rtl/>
        </w:rPr>
        <w:t>בדיני ממונות</w:t>
      </w:r>
      <w:r>
        <w:rPr>
          <w:rFonts w:cs="Arial" w:hint="cs"/>
          <w:rtl/>
        </w:rPr>
        <w:t xml:space="preserve"> כתב (פ"ג ה"ג)</w:t>
      </w:r>
      <w:r>
        <w:rPr>
          <w:rFonts w:cs="Arial"/>
          <w:rtl/>
        </w:rPr>
        <w:t xml:space="preserve"> </w:t>
      </w:r>
      <w:r>
        <w:rPr>
          <w:rFonts w:cs="Arial" w:hint="cs"/>
          <w:rtl/>
        </w:rPr>
        <w:t>ד</w:t>
      </w:r>
      <w:r>
        <w:rPr>
          <w:rFonts w:cs="Arial"/>
          <w:rtl/>
        </w:rPr>
        <w:t xml:space="preserve">מה </w:t>
      </w:r>
      <w:r>
        <w:rPr>
          <w:rFonts w:cs="Arial" w:hint="cs"/>
          <w:rtl/>
        </w:rPr>
        <w:t>ש</w:t>
      </w:r>
      <w:r>
        <w:rPr>
          <w:rFonts w:cs="Arial"/>
          <w:rtl/>
        </w:rPr>
        <w:t>נתחייב לו אם חבית יין או חבית שמן</w:t>
      </w:r>
      <w:r>
        <w:rPr>
          <w:rFonts w:cs="Arial" w:hint="cs"/>
          <w:rtl/>
        </w:rPr>
        <w:t xml:space="preserve"> הוי ג"כ בכלל דרישה, ע"פ סמ"ע (סק"ה וסק"ז).</w:t>
      </w:r>
      <w:r>
        <w:rPr>
          <w:rFonts w:cs="Arial"/>
          <w:rtl/>
        </w:rPr>
        <w:t xml:space="preserve"> </w:t>
      </w:r>
    </w:p>
    <w:p w14:paraId="75A41252" w14:textId="77777777" w:rsidR="0013116F" w:rsidRDefault="0013116F" w:rsidP="004B607F">
      <w:pPr>
        <w:pStyle w:val="a9"/>
        <w:rPr>
          <w:rtl/>
        </w:rPr>
      </w:pPr>
      <w:r>
        <w:rPr>
          <w:rFonts w:cs="Arial"/>
          <w:rtl/>
        </w:rPr>
        <w:t>ו] כיצד אחד אומר בניסן כו' או שאמר האחד בירושלים כו'. טעמו נתבאר ממ"ש דזמן ומקום הן הכחשה דחקירה שתלוי בהן הזמה, משום הכי עדותן בטלה ואפילו תבע את שניהן:</w:t>
      </w:r>
    </w:p>
    <w:p w14:paraId="325FD052" w14:textId="77777777" w:rsidR="0013116F" w:rsidRDefault="0013116F" w:rsidP="004B607F">
      <w:pPr>
        <w:pStyle w:val="a9"/>
      </w:pPr>
      <w:r>
        <w:rPr>
          <w:rFonts w:cs="Arial"/>
          <w:rtl/>
        </w:rPr>
        <w:t xml:space="preserve">ז] ומ"ש וכן אם אמר האחד חבית של יין כו' עד שהרי הכחישו בדרישה. </w:t>
      </w:r>
    </w:p>
  </w:footnote>
  <w:footnote w:id="1676">
    <w:p w14:paraId="20C7AF6F" w14:textId="77777777" w:rsidR="0013116F" w:rsidRDefault="0013116F" w:rsidP="004B607F">
      <w:pPr>
        <w:pStyle w:val="a9"/>
      </w:pPr>
      <w:r>
        <w:rPr>
          <w:rStyle w:val="ab"/>
        </w:rPr>
        <w:footnoteRef/>
      </w:r>
      <w:r>
        <w:rPr>
          <w:rtl/>
        </w:rPr>
        <w:t xml:space="preserve"> </w:t>
      </w:r>
      <w:r w:rsidRPr="008B2D86">
        <w:rPr>
          <w:rFonts w:cs="Arial"/>
          <w:rtl/>
        </w:rPr>
        <w:t>כל הני דקחשיב מכאן והלאה בדיקות מיקרי, שאין הזמה תלוי בהן, וגם אינן מחולקין בגוף הענין, שהרי שניהן אשם מטבע מסהדי. וגם בדיוטא עליונה ותחתונה כל שיכולין לראות מזה לזה אינו מיקרי הכחשה דחקירות התלויים במקום</w:t>
      </w:r>
      <w:r>
        <w:rPr>
          <w:rFonts w:cs="Arial" w:hint="cs"/>
          <w:rtl/>
        </w:rPr>
        <w:t>, סמ"ע (סק"י).</w:t>
      </w:r>
    </w:p>
  </w:footnote>
  <w:footnote w:id="1677">
    <w:p w14:paraId="27A20067" w14:textId="77777777" w:rsidR="0013116F" w:rsidRDefault="0013116F" w:rsidP="004B607F">
      <w:pPr>
        <w:pStyle w:val="a9"/>
        <w:rPr>
          <w:rtl/>
        </w:rPr>
      </w:pPr>
      <w:r>
        <w:rPr>
          <w:rStyle w:val="ab"/>
        </w:rPr>
        <w:footnoteRef/>
      </w:r>
      <w:r>
        <w:rPr>
          <w:rtl/>
        </w:rPr>
        <w:t xml:space="preserve"> </w:t>
      </w:r>
      <w:r w:rsidRPr="008B2D86">
        <w:rPr>
          <w:rFonts w:cs="Arial"/>
          <w:rtl/>
        </w:rPr>
        <w:t>דאילו לא תבע לשניהן אז העד האחד מוכחש מפיו, ותו אין סברא לגבות על ידו בצירוף. אבל כשתבע כדברי שניהן, אף שהעדים מכחישים נפשם זה את זה, כיון דאין הכחשתן אלא בבדיקות מוציאין מידו כדברי הפחות, דבכלל מאתים מנה, והו"ל כאילו שניהם העידו אמנה</w:t>
      </w:r>
      <w:r>
        <w:rPr>
          <w:rFonts w:cs="Arial" w:hint="cs"/>
          <w:rtl/>
        </w:rPr>
        <w:t>...</w:t>
      </w:r>
      <w:r>
        <w:rPr>
          <w:rFonts w:hint="cs"/>
          <w:rtl/>
        </w:rPr>
        <w:t xml:space="preserve">, סמ"ע </w:t>
      </w:r>
      <w:r w:rsidRPr="008B2D86">
        <w:rPr>
          <w:rFonts w:hint="cs"/>
          <w:sz w:val="16"/>
          <w:szCs w:val="16"/>
          <w:rtl/>
        </w:rPr>
        <w:t>(סקי"א)</w:t>
      </w:r>
      <w:r>
        <w:rPr>
          <w:rFonts w:hint="cs"/>
          <w:rtl/>
        </w:rPr>
        <w:t>. אמנם דעת הסמ"ע אינה כן. וכמו שנתבאר לעיל.</w:t>
      </w:r>
    </w:p>
  </w:footnote>
  <w:footnote w:id="1678">
    <w:p w14:paraId="0CF64969" w14:textId="77777777" w:rsidR="0013116F" w:rsidRDefault="0013116F" w:rsidP="004B607F">
      <w:pPr>
        <w:pStyle w:val="a9"/>
        <w:rPr>
          <w:rtl/>
        </w:rPr>
      </w:pPr>
      <w:r>
        <w:rPr>
          <w:rStyle w:val="ab"/>
        </w:rPr>
        <w:footnoteRef/>
      </w:r>
      <w:r>
        <w:rPr>
          <w:rtl/>
        </w:rPr>
        <w:t xml:space="preserve"> </w:t>
      </w:r>
      <w:r>
        <w:rPr>
          <w:rFonts w:hint="cs"/>
          <w:rtl/>
        </w:rPr>
        <w:t>בעל התרומות הביא שאלה שנשאלה לגבי מעשה שאירע בעבר, והעלה ב' אפשרויות לפתרון השאלה, וכתב וז"ל-</w:t>
      </w:r>
      <w:r>
        <w:rPr>
          <w:rFonts w:cs="Arial" w:hint="cs"/>
          <w:rtl/>
        </w:rPr>
        <w:t xml:space="preserve"> </w:t>
      </w:r>
      <w:r w:rsidRPr="007F4A1F">
        <w:rPr>
          <w:rFonts w:cs="Arial"/>
          <w:rtl/>
        </w:rPr>
        <w:t>ושאלתי בזה הרמב"ן ז"ל והשיב לי, עיקר הדין הוא</w:t>
      </w:r>
      <w:r>
        <w:rPr>
          <w:rFonts w:cs="Arial" w:hint="cs"/>
          <w:rtl/>
        </w:rPr>
        <w:t>-...</w:t>
      </w:r>
      <w:r>
        <w:rPr>
          <w:rFonts w:hint="cs"/>
          <w:rtl/>
        </w:rPr>
        <w:t xml:space="preserve"> </w:t>
      </w:r>
    </w:p>
  </w:footnote>
  <w:footnote w:id="1679">
    <w:p w14:paraId="5F6AFA63" w14:textId="77777777" w:rsidR="0013116F" w:rsidRDefault="0013116F" w:rsidP="004B607F">
      <w:pPr>
        <w:pStyle w:val="a9"/>
        <w:rPr>
          <w:rtl/>
        </w:rPr>
      </w:pPr>
      <w:r>
        <w:rPr>
          <w:rStyle w:val="ab"/>
        </w:rPr>
        <w:footnoteRef/>
      </w:r>
      <w:r>
        <w:rPr>
          <w:rtl/>
        </w:rPr>
        <w:t xml:space="preserve"> </w:t>
      </w:r>
      <w:r w:rsidRPr="003F5172">
        <w:rPr>
          <w:rFonts w:cs="Arial"/>
          <w:rtl/>
        </w:rPr>
        <w:t>ועד של המאה אין לו צירוף וזוקק לשבועת התורה על הק'</w:t>
      </w:r>
      <w:r>
        <w:rPr>
          <w:rFonts w:cs="Arial" w:hint="cs"/>
          <w:rtl/>
        </w:rPr>
        <w:t>,</w:t>
      </w:r>
      <w:r w:rsidRPr="003F5172">
        <w:rPr>
          <w:rFonts w:cs="Arial"/>
          <w:rtl/>
        </w:rPr>
        <w:t xml:space="preserve"> ויגלגלו על הת"ש שנשארו</w:t>
      </w:r>
      <w:r>
        <w:rPr>
          <w:rFonts w:cs="Arial" w:hint="cs"/>
          <w:rtl/>
        </w:rPr>
        <w:t xml:space="preserve">, טור. </w:t>
      </w:r>
      <w:r w:rsidRPr="007F4A1F">
        <w:rPr>
          <w:rFonts w:cs="Arial" w:hint="cs"/>
          <w:color w:val="E36C0A" w:themeColor="accent6" w:themeShade="BF"/>
          <w:rtl/>
        </w:rPr>
        <w:t>(וכ"פ בשו"ע)</w:t>
      </w:r>
      <w:r>
        <w:rPr>
          <w:rFonts w:cs="Arial" w:hint="cs"/>
          <w:rtl/>
        </w:rPr>
        <w:t xml:space="preserve">. והטור כתב כן בתוך דברי בעל התרומות כאילו זה חלק מדבריו, אך לפנינו ליתא דברים אלו בדברי בעל התרומות וכן העיר הש"ך </w:t>
      </w:r>
      <w:r w:rsidRPr="003350A3">
        <w:rPr>
          <w:rFonts w:cs="Arial" w:hint="cs"/>
          <w:sz w:val="16"/>
          <w:szCs w:val="16"/>
          <w:rtl/>
        </w:rPr>
        <w:t>(סק"י)</w:t>
      </w:r>
      <w:r>
        <w:rPr>
          <w:rFonts w:cs="Arial" w:hint="cs"/>
          <w:rtl/>
        </w:rPr>
        <w:t xml:space="preserve">, ועי' לקמן בדברי הש"ך. היינו </w:t>
      </w:r>
      <w:r w:rsidRPr="00A3785E">
        <w:rPr>
          <w:rFonts w:cs="Arial"/>
          <w:rtl/>
        </w:rPr>
        <w:t>וכשבא לישבע על הק' צריך לישבע ג"כ על הת"ש הנשארים כדין גלגול שבועה. אבל אי לא נשאר עד לא הוה מחייבים שבועה על המאה הנשארת שאין לה צירוף, דעד המביאו לידי חיוב ממון ע"י צירוף אינו מביאו עוד גם לידי שבועה</w:t>
      </w:r>
      <w:r>
        <w:rPr>
          <w:rFonts w:hint="cs"/>
          <w:rtl/>
        </w:rPr>
        <w:t>, סמ"ע</w:t>
      </w:r>
      <w:r w:rsidRPr="00A3785E">
        <w:rPr>
          <w:rFonts w:hint="cs"/>
          <w:sz w:val="16"/>
          <w:szCs w:val="16"/>
          <w:rtl/>
        </w:rPr>
        <w:t xml:space="preserve"> (סקט"ו)</w:t>
      </w:r>
      <w:r>
        <w:rPr>
          <w:rFonts w:hint="cs"/>
          <w:rtl/>
        </w:rPr>
        <w:t>.</w:t>
      </w:r>
    </w:p>
  </w:footnote>
  <w:footnote w:id="1680">
    <w:p w14:paraId="26149F7A" w14:textId="77777777" w:rsidR="0013116F" w:rsidRDefault="0013116F" w:rsidP="004B607F">
      <w:pPr>
        <w:pStyle w:val="a9"/>
      </w:pPr>
      <w:r>
        <w:rPr>
          <w:rStyle w:val="ab"/>
        </w:rPr>
        <w:footnoteRef/>
      </w:r>
      <w:r>
        <w:rPr>
          <w:rtl/>
        </w:rPr>
        <w:t xml:space="preserve"> </w:t>
      </w:r>
      <w:r w:rsidRPr="009B0D03">
        <w:rPr>
          <w:rFonts w:cs="Arial"/>
          <w:rtl/>
        </w:rPr>
        <w:t>משמע הא אם העידו סתמא ולא הזכירו שום זמן, דנין אותם כמוכחשים ואומרים דכונתן היתה לזמן אחד, וזהו שמסיק המחבר וכ</w:t>
      </w:r>
      <w:r>
        <w:rPr>
          <w:rFonts w:cs="Arial" w:hint="cs"/>
          <w:rtl/>
        </w:rPr>
        <w:t>'</w:t>
      </w:r>
      <w:r w:rsidRPr="009B0D03">
        <w:rPr>
          <w:rFonts w:cs="Arial"/>
          <w:rtl/>
        </w:rPr>
        <w:t xml:space="preserve"> ז"ל</w:t>
      </w:r>
      <w:r>
        <w:rPr>
          <w:rFonts w:cs="Arial" w:hint="cs"/>
          <w:rtl/>
        </w:rPr>
        <w:t>-</w:t>
      </w:r>
      <w:r w:rsidRPr="009B0D03">
        <w:rPr>
          <w:rFonts w:cs="Arial"/>
          <w:rtl/>
        </w:rPr>
        <w:t xml:space="preserve"> וכן אם העידו סתם כו', וכ</w:t>
      </w:r>
      <w:r>
        <w:rPr>
          <w:rFonts w:cs="Arial" w:hint="cs"/>
          <w:rtl/>
        </w:rPr>
        <w:t>מ</w:t>
      </w:r>
      <w:r w:rsidRPr="009B0D03">
        <w:rPr>
          <w:rFonts w:cs="Arial"/>
          <w:rtl/>
        </w:rPr>
        <w:t>ש</w:t>
      </w:r>
      <w:r>
        <w:rPr>
          <w:rFonts w:cs="Arial" w:hint="cs"/>
          <w:rtl/>
        </w:rPr>
        <w:t>"</w:t>
      </w:r>
      <w:r w:rsidRPr="009B0D03">
        <w:rPr>
          <w:rFonts w:cs="Arial"/>
          <w:rtl/>
        </w:rPr>
        <w:t>כ לעי</w:t>
      </w:r>
      <w:r>
        <w:rPr>
          <w:rFonts w:cs="Arial" w:hint="cs"/>
          <w:rtl/>
        </w:rPr>
        <w:t>ל</w:t>
      </w:r>
      <w:r w:rsidRPr="009B0D03">
        <w:rPr>
          <w:rFonts w:cs="Arial"/>
          <w:rtl/>
        </w:rPr>
        <w:t xml:space="preserve"> </w:t>
      </w:r>
      <w:r w:rsidRPr="009B0D03">
        <w:rPr>
          <w:rFonts w:cs="Arial" w:hint="cs"/>
          <w:sz w:val="16"/>
          <w:szCs w:val="16"/>
          <w:rtl/>
        </w:rPr>
        <w:t>(</w:t>
      </w:r>
      <w:r w:rsidRPr="009B0D03">
        <w:rPr>
          <w:rFonts w:cs="Arial"/>
          <w:sz w:val="16"/>
          <w:szCs w:val="16"/>
          <w:rtl/>
        </w:rPr>
        <w:t>בסמ"ע סק</w:t>
      </w:r>
      <w:r w:rsidRPr="009B0D03">
        <w:rPr>
          <w:rFonts w:cs="Arial" w:hint="cs"/>
          <w:sz w:val="16"/>
          <w:szCs w:val="16"/>
          <w:rtl/>
        </w:rPr>
        <w:t>"</w:t>
      </w:r>
      <w:r w:rsidRPr="009B0D03">
        <w:rPr>
          <w:rFonts w:cs="Arial"/>
          <w:sz w:val="16"/>
          <w:szCs w:val="16"/>
          <w:rtl/>
        </w:rPr>
        <w:t>ח</w:t>
      </w:r>
      <w:r>
        <w:rPr>
          <w:rFonts w:cs="Arial" w:hint="cs"/>
          <w:sz w:val="16"/>
          <w:szCs w:val="16"/>
          <w:rtl/>
        </w:rPr>
        <w:t>)</w:t>
      </w:r>
      <w:r w:rsidRPr="009B0D03">
        <w:rPr>
          <w:rFonts w:cs="Arial"/>
          <w:rtl/>
        </w:rPr>
        <w:t>, ופשוט הוא בעיני ולא כתבתיה אלא לאפוקי ממ"ש בע</w:t>
      </w:r>
      <w:r>
        <w:rPr>
          <w:rFonts w:cs="Arial" w:hint="cs"/>
          <w:rtl/>
        </w:rPr>
        <w:t>"</w:t>
      </w:r>
      <w:r w:rsidRPr="009B0D03">
        <w:rPr>
          <w:rFonts w:cs="Arial"/>
          <w:rtl/>
        </w:rPr>
        <w:t>ש</w:t>
      </w:r>
      <w:r>
        <w:rPr>
          <w:rFonts w:cs="Arial" w:hint="cs"/>
          <w:rtl/>
        </w:rPr>
        <w:t>, סמ"ע</w:t>
      </w:r>
      <w:r w:rsidRPr="009B0D03">
        <w:rPr>
          <w:rFonts w:cs="Arial" w:hint="cs"/>
          <w:sz w:val="16"/>
          <w:szCs w:val="16"/>
          <w:rtl/>
        </w:rPr>
        <w:t xml:space="preserve"> (סקי"ד)</w:t>
      </w:r>
      <w:r>
        <w:rPr>
          <w:rFonts w:cs="Arial" w:hint="cs"/>
          <w:rtl/>
        </w:rPr>
        <w:t>.</w:t>
      </w:r>
    </w:p>
  </w:footnote>
  <w:footnote w:id="1681">
    <w:p w14:paraId="0036DA4D" w14:textId="4F0F65D3" w:rsidR="0013116F" w:rsidRDefault="0013116F" w:rsidP="004B607F">
      <w:pPr>
        <w:pStyle w:val="a9"/>
      </w:pPr>
      <w:r>
        <w:rPr>
          <w:rStyle w:val="ab"/>
        </w:rPr>
        <w:footnoteRef/>
      </w:r>
      <w:r>
        <w:rPr>
          <w:rtl/>
        </w:rPr>
        <w:t xml:space="preserve"> </w:t>
      </w:r>
      <w:r w:rsidRPr="00A3785E">
        <w:rPr>
          <w:rFonts w:cs="Arial"/>
          <w:rtl/>
        </w:rPr>
        <w:t>והא דלא משתבע על הכל מכח דר' חייא</w:t>
      </w:r>
      <w:r>
        <w:rPr>
          <w:rFonts w:cs="Arial" w:hint="cs"/>
          <w:rtl/>
        </w:rPr>
        <w:t xml:space="preserve"> (</w:t>
      </w:r>
      <w:r w:rsidRPr="00A3785E">
        <w:rPr>
          <w:rFonts w:cs="Arial"/>
          <w:rtl/>
        </w:rPr>
        <w:t>ב"מ ג</w:t>
      </w:r>
      <w:r>
        <w:rPr>
          <w:rFonts w:cs="Arial" w:hint="cs"/>
          <w:rtl/>
        </w:rPr>
        <w:t>.)</w:t>
      </w:r>
      <w:r w:rsidRPr="00A3785E">
        <w:rPr>
          <w:rFonts w:cs="Arial"/>
          <w:rtl/>
        </w:rPr>
        <w:t xml:space="preserve"> כדלקמן סימן ע"ה סעיף ד'</w:t>
      </w:r>
      <w:r>
        <w:rPr>
          <w:rFonts w:cs="Arial" w:hint="cs"/>
          <w:rtl/>
        </w:rPr>
        <w:t>,</w:t>
      </w:r>
      <w:r w:rsidRPr="00A3785E">
        <w:rPr>
          <w:rFonts w:cs="Arial"/>
          <w:rtl/>
        </w:rPr>
        <w:t xml:space="preserve"> צריך לומר דהכא כיון דאין כאן עדים אלא ע"י צירוף לא אמרינן הכי. וכן משמע מדברי הסמ"ע לקמן סקי"ט</w:t>
      </w:r>
      <w:r>
        <w:rPr>
          <w:rFonts w:cs="Arial" w:hint="cs"/>
          <w:rtl/>
        </w:rPr>
        <w:t>,</w:t>
      </w:r>
      <w:r w:rsidRPr="00A3785E">
        <w:rPr>
          <w:rFonts w:cs="Arial"/>
          <w:rtl/>
        </w:rPr>
        <w:t xml:space="preserve"> ודו"ק. והב"ח </w:t>
      </w:r>
      <w:r>
        <w:rPr>
          <w:rFonts w:cs="Arial" w:hint="cs"/>
          <w:rtl/>
        </w:rPr>
        <w:t>(</w:t>
      </w:r>
      <w:r w:rsidRPr="00A3785E">
        <w:rPr>
          <w:rFonts w:cs="Arial"/>
          <w:rtl/>
        </w:rPr>
        <w:t>סוף סעיף ה'</w:t>
      </w:r>
      <w:r>
        <w:rPr>
          <w:rFonts w:cs="Arial" w:hint="cs"/>
          <w:rtl/>
        </w:rPr>
        <w:t>)</w:t>
      </w:r>
      <w:r w:rsidRPr="00A3785E">
        <w:rPr>
          <w:rFonts w:cs="Arial"/>
          <w:rtl/>
        </w:rPr>
        <w:t xml:space="preserve"> תירץ דשאני הכא כיון דיש צירוף כתות הרבה, ובתשובות הרא"ש [סוף כלל צ"ד] לא היה שם אלא צירוף כת א' שני עדים. ודבריו תמוהים דדל מהכא צירוף כתות השנים מ"מ יתחייב מצירוף כת הא', וכי בשביל שיש עוד עדים יגרע</w:t>
      </w:r>
      <w:r>
        <w:rPr>
          <w:rFonts w:cs="Arial" w:hint="cs"/>
          <w:rtl/>
        </w:rPr>
        <w:t>.</w:t>
      </w:r>
      <w:r w:rsidRPr="007F4A1F">
        <w:rPr>
          <w:rtl/>
        </w:rPr>
        <w:t xml:space="preserve"> </w:t>
      </w:r>
      <w:r w:rsidRPr="007F4A1F">
        <w:rPr>
          <w:rFonts w:cs="Arial"/>
          <w:rtl/>
        </w:rPr>
        <w:t>ולענין עיקר הדין, באמת המעיין בבעל התרומות [שער ס"ו ח"ב ס"ד] יראה שלא הוזכר שם בתשובת הרמב"ן שבועה על ק', ואפשר דלענין שבועה ס"ל להרמב"ן דבאמת נשבע על הכל מדר' חייא, רק בלשון השאלה הוזכר שבועה דעד אחד אגב שיטפא. וא"כ צ"ע לדינא בזה, דלא אשכחן בשום דוכתא לחלק בין עדות סתם לעדות ע</w:t>
      </w:r>
      <w:r>
        <w:rPr>
          <w:rFonts w:cs="Arial" w:hint="cs"/>
          <w:rtl/>
        </w:rPr>
        <w:t>"</w:t>
      </w:r>
      <w:r w:rsidRPr="007F4A1F">
        <w:rPr>
          <w:rFonts w:cs="Arial"/>
          <w:rtl/>
        </w:rPr>
        <w:t>י צירוף. גם מה שנראה מדברי הטור [סע</w:t>
      </w:r>
      <w:r>
        <w:rPr>
          <w:rFonts w:cs="Arial" w:hint="cs"/>
          <w:rtl/>
        </w:rPr>
        <w:t>'</w:t>
      </w:r>
      <w:r w:rsidRPr="007F4A1F">
        <w:rPr>
          <w:rFonts w:cs="Arial"/>
          <w:rtl/>
        </w:rPr>
        <w:t xml:space="preserve"> ה'] דהיכא דכבר נצטרף עד אחד לממון לא מחייבים שבועה על פיו בהנשאר</w:t>
      </w:r>
      <w:r>
        <w:rPr>
          <w:rFonts w:cs="Arial" w:hint="cs"/>
          <w:rtl/>
        </w:rPr>
        <w:t xml:space="preserve"> -</w:t>
      </w:r>
      <w:r w:rsidRPr="007F4A1F">
        <w:rPr>
          <w:rFonts w:cs="Arial"/>
          <w:rtl/>
        </w:rPr>
        <w:t xml:space="preserve"> לא הוזכר שם בבעל התרומות דבר מזה, וג"כ צ"ע לדינא </w:t>
      </w:r>
      <w:r w:rsidRPr="0035098B">
        <w:rPr>
          <w:rFonts w:cs="Arial" w:hint="cs"/>
          <w:sz w:val="16"/>
          <w:szCs w:val="16"/>
          <w:rtl/>
        </w:rPr>
        <w:t>(</w:t>
      </w:r>
      <w:r w:rsidRPr="0035098B">
        <w:rPr>
          <w:rFonts w:cs="Arial"/>
          <w:sz w:val="16"/>
          <w:szCs w:val="16"/>
          <w:rtl/>
        </w:rPr>
        <w:t>ונפקא מינא אפילו תימא דחייב בלא עד אחד מדר' חייא, מ"מ נפקא מינה אי התובע אינו טוען ברי כמה הלוה לו, רק שטוען ברי ע</w:t>
      </w:r>
      <w:r w:rsidRPr="0035098B">
        <w:rPr>
          <w:rFonts w:cs="Arial" w:hint="cs"/>
          <w:sz w:val="16"/>
          <w:szCs w:val="16"/>
          <w:rtl/>
        </w:rPr>
        <w:t>"</w:t>
      </w:r>
      <w:r w:rsidRPr="0035098B">
        <w:rPr>
          <w:rFonts w:cs="Arial"/>
          <w:sz w:val="16"/>
          <w:szCs w:val="16"/>
          <w:rtl/>
        </w:rPr>
        <w:t>פ העדים, כגון שאומר שכחתי כמה הלויתי לו, רק אני ת</w:t>
      </w:r>
      <w:r w:rsidRPr="0035098B">
        <w:rPr>
          <w:rFonts w:cs="Arial" w:hint="cs"/>
          <w:sz w:val="16"/>
          <w:szCs w:val="16"/>
          <w:rtl/>
        </w:rPr>
        <w:t>ו</w:t>
      </w:r>
      <w:r w:rsidRPr="0035098B">
        <w:rPr>
          <w:rFonts w:cs="Arial"/>
          <w:sz w:val="16"/>
          <w:szCs w:val="16"/>
          <w:rtl/>
        </w:rPr>
        <w:t>בעו מה שיעידו העדים, וכדלקמן סימן ע"ה סעיף כ"ג בטוענו ספק על פי העד, דאז לא מצינן משבעינן ליה מדר' חייא, ומכח ע"א משבעינן ליה אפילו נצטרף כבר לממון, כגון אחד מעיד שהלוהו ר' ואחד מעיד שהלוהו ש' והתובע שכח כמה הלוהו, משלם ר' ונשבע על ק' הנשארים מכח שבועה דעד אחד, ואילו להטור לא היה צריך לישבע בכה"ג, ודו"ק היטב בכל זה</w:t>
      </w:r>
      <w:r>
        <w:rPr>
          <w:rFonts w:cs="Arial" w:hint="cs"/>
          <w:sz w:val="16"/>
          <w:szCs w:val="16"/>
          <w:rtl/>
        </w:rPr>
        <w:t>)</w:t>
      </w:r>
      <w:r>
        <w:rPr>
          <w:rFonts w:cs="Arial" w:hint="cs"/>
          <w:rtl/>
        </w:rPr>
        <w:t>,</w:t>
      </w:r>
      <w:r w:rsidRPr="007F4A1F">
        <w:rPr>
          <w:rFonts w:cs="Arial"/>
          <w:rtl/>
        </w:rPr>
        <w:t xml:space="preserve"> </w:t>
      </w:r>
      <w:r>
        <w:rPr>
          <w:rFonts w:cs="Arial" w:hint="cs"/>
          <w:rtl/>
        </w:rPr>
        <w:t>ש"ך (סק"י). ולא הבנתי מדוע לא לתרץ שבמקרה שעליו דיבר בעלת התרומות לא כפר הנתבע אלא אמר איני זוכר. וצל"ע.</w:t>
      </w:r>
    </w:p>
  </w:footnote>
  <w:footnote w:id="1682">
    <w:p w14:paraId="53615A51" w14:textId="77777777" w:rsidR="0013116F" w:rsidRDefault="0013116F" w:rsidP="004B607F">
      <w:pPr>
        <w:pStyle w:val="a9"/>
      </w:pPr>
      <w:r>
        <w:rPr>
          <w:rStyle w:val="ab"/>
        </w:rPr>
        <w:footnoteRef/>
      </w:r>
      <w:r>
        <w:rPr>
          <w:rtl/>
        </w:rPr>
        <w:t xml:space="preserve"> </w:t>
      </w:r>
      <w:r w:rsidRPr="00A3785E">
        <w:rPr>
          <w:rFonts w:cs="Arial"/>
          <w:rtl/>
        </w:rPr>
        <w:t>הא דכתב בהכחשה כאן ולא בבבא שאחר זו בהעידו סתם, י"ל דקמ"ל כאן דאפילו אמר אחד להשני לא כי, ויש לפנינו הכחשה גדולה מפורסמת, אפ"ה משלם ק"ק.</w:t>
      </w:r>
      <w:r>
        <w:rPr>
          <w:rFonts w:cs="Arial" w:hint="cs"/>
          <w:rtl/>
        </w:rPr>
        <w:t xml:space="preserve"> </w:t>
      </w:r>
      <w:r w:rsidRPr="00A3785E">
        <w:rPr>
          <w:rFonts w:cs="Arial"/>
          <w:rtl/>
        </w:rPr>
        <w:t>ובמ"ש אחר זה, ז"ל</w:t>
      </w:r>
      <w:r>
        <w:rPr>
          <w:rFonts w:cs="Arial" w:hint="cs"/>
          <w:rtl/>
        </w:rPr>
        <w:t>-</w:t>
      </w:r>
      <w:r w:rsidRPr="00A3785E">
        <w:rPr>
          <w:rFonts w:cs="Arial"/>
          <w:rtl/>
        </w:rPr>
        <w:t xml:space="preserve"> וכן אם העידו סתם כו', גם כן קמ"ל רבותא דאע"ג דלא העידו בפירוש על יום אחד, וג"כ אינן אומרים לא כי בהכחשה, אפ"ה אינו משלם יותר מק"ק</w:t>
      </w:r>
      <w:r>
        <w:rPr>
          <w:rFonts w:cs="Arial" w:hint="cs"/>
          <w:rtl/>
        </w:rPr>
        <w:t>, סמ"ע (סקט"ז).</w:t>
      </w:r>
    </w:p>
  </w:footnote>
  <w:footnote w:id="1683">
    <w:p w14:paraId="58D2C4EB" w14:textId="77777777" w:rsidR="0013116F" w:rsidRDefault="0013116F" w:rsidP="004B607F">
      <w:pPr>
        <w:pStyle w:val="a9"/>
      </w:pPr>
      <w:r>
        <w:rPr>
          <w:rStyle w:val="ab"/>
        </w:rPr>
        <w:footnoteRef/>
      </w:r>
      <w:r w:rsidRPr="006C380F">
        <w:rPr>
          <w:rFonts w:cs="Arial"/>
          <w:rtl/>
        </w:rPr>
        <w:t xml:space="preserve"> וכן כתבתי לקמן סימן ל"ח (אות ב)</w:t>
      </w:r>
      <w:r>
        <w:rPr>
          <w:rFonts w:cs="Arial" w:hint="cs"/>
          <w:rtl/>
        </w:rPr>
        <w:t xml:space="preserve">, דרכ"מ </w:t>
      </w:r>
      <w:r w:rsidRPr="006C380F">
        <w:rPr>
          <w:rFonts w:cs="Arial"/>
          <w:rtl/>
        </w:rPr>
        <w:t>(</w:t>
      </w:r>
      <w:r>
        <w:rPr>
          <w:rFonts w:cs="Arial" w:hint="cs"/>
          <w:rtl/>
        </w:rPr>
        <w:t xml:space="preserve">אות </w:t>
      </w:r>
      <w:r w:rsidRPr="006C380F">
        <w:rPr>
          <w:rFonts w:cs="Arial"/>
          <w:rtl/>
        </w:rPr>
        <w:t>ב*)</w:t>
      </w:r>
      <w:r>
        <w:rPr>
          <w:rFonts w:cs="Arial" w:hint="cs"/>
          <w:rtl/>
        </w:rPr>
        <w:t>.</w:t>
      </w:r>
    </w:p>
  </w:footnote>
  <w:footnote w:id="1684">
    <w:p w14:paraId="28D95E63" w14:textId="77777777" w:rsidR="0013116F" w:rsidRDefault="0013116F" w:rsidP="004B607F">
      <w:pPr>
        <w:pStyle w:val="a9"/>
      </w:pPr>
      <w:r>
        <w:rPr>
          <w:rStyle w:val="ab"/>
        </w:rPr>
        <w:footnoteRef/>
      </w:r>
      <w:r>
        <w:rPr>
          <w:rtl/>
        </w:rPr>
        <w:t xml:space="preserve"> </w:t>
      </w:r>
      <w:r>
        <w:rPr>
          <w:rFonts w:hint="cs"/>
          <w:rtl/>
        </w:rPr>
        <w:t xml:space="preserve">סימן </w:t>
      </w:r>
      <w:r>
        <w:rPr>
          <w:rtl/>
        </w:rPr>
        <w:t>–</w:t>
      </w:r>
      <w:r>
        <w:rPr>
          <w:rFonts w:hint="cs"/>
          <w:rtl/>
        </w:rPr>
        <w:t xml:space="preserve"> גדוד גדול מגרונו.</w:t>
      </w:r>
    </w:p>
  </w:footnote>
  <w:footnote w:id="1685">
    <w:p w14:paraId="3606CED6" w14:textId="77777777" w:rsidR="0013116F" w:rsidRDefault="0013116F" w:rsidP="004B607F">
      <w:pPr>
        <w:pStyle w:val="a9"/>
        <w:rPr>
          <w:rtl/>
        </w:rPr>
      </w:pPr>
      <w:r>
        <w:rPr>
          <w:rStyle w:val="ab"/>
        </w:rPr>
        <w:footnoteRef/>
      </w:r>
      <w:r>
        <w:rPr>
          <w:rtl/>
        </w:rPr>
        <w:t xml:space="preserve"> </w:t>
      </w:r>
      <w:r w:rsidRPr="008160E9">
        <w:rPr>
          <w:rFonts w:cs="Arial"/>
          <w:rtl/>
        </w:rPr>
        <w:t>כדין מודה מקצת הטענה, שאמרה תורה ישבע, כדילפינן בשבועות (לט</w:t>
      </w:r>
      <w:r>
        <w:rPr>
          <w:rFonts w:cs="Arial" w:hint="cs"/>
          <w:rtl/>
        </w:rPr>
        <w:t>:</w:t>
      </w:r>
      <w:r w:rsidRPr="008160E9">
        <w:rPr>
          <w:rFonts w:cs="Arial"/>
          <w:rtl/>
        </w:rPr>
        <w:t>) מכי הוא זה, ואע</w:t>
      </w:r>
      <w:r>
        <w:rPr>
          <w:rFonts w:cs="Arial" w:hint="cs"/>
          <w:rtl/>
        </w:rPr>
        <w:t>"</w:t>
      </w:r>
      <w:r w:rsidRPr="008160E9">
        <w:rPr>
          <w:rFonts w:cs="Arial"/>
          <w:rtl/>
        </w:rPr>
        <w:t>ג דזה לא הודה - הרי יש עדים במקצת, ולא תהא הודאת פיו גדולה לחייבו על השאר שבועה מהעדאת עדים</w:t>
      </w:r>
      <w:r>
        <w:rPr>
          <w:rFonts w:cs="Arial" w:hint="cs"/>
          <w:rtl/>
        </w:rPr>
        <w:t>, רש"י</w:t>
      </w:r>
      <w:r w:rsidRPr="008160E9">
        <w:rPr>
          <w:rFonts w:cs="Arial"/>
          <w:rtl/>
        </w:rPr>
        <w:t>.</w:t>
      </w:r>
    </w:p>
  </w:footnote>
  <w:footnote w:id="1686">
    <w:p w14:paraId="3E39BD89" w14:textId="77777777" w:rsidR="0013116F" w:rsidRDefault="0013116F" w:rsidP="004B607F">
      <w:pPr>
        <w:pStyle w:val="a9"/>
        <w:rPr>
          <w:rtl/>
        </w:rPr>
      </w:pPr>
      <w:r>
        <w:rPr>
          <w:rStyle w:val="ab"/>
        </w:rPr>
        <w:footnoteRef/>
      </w:r>
      <w:r>
        <w:rPr>
          <w:rtl/>
        </w:rPr>
        <w:t xml:space="preserve"> </w:t>
      </w:r>
      <w:r w:rsidRPr="00604FF6">
        <w:rPr>
          <w:rFonts w:cs="Arial"/>
          <w:rtl/>
        </w:rPr>
        <w:t>ואע</w:t>
      </w:r>
      <w:r>
        <w:rPr>
          <w:rFonts w:cs="Arial" w:hint="cs"/>
          <w:rtl/>
        </w:rPr>
        <w:t>"</w:t>
      </w:r>
      <w:r w:rsidRPr="00604FF6">
        <w:rPr>
          <w:rFonts w:cs="Arial"/>
          <w:rtl/>
        </w:rPr>
        <w:t>ג דלהשביחם ניתנו לו וניתנו ג"כ להוציאם, מ"מ הוה ליה למימר הוצאתים להשביחם דהא נתנם להוציאם לטובת המפקיד ולא היה לו לכפור, משא"כ במלוה שאילו הודה היו כופין אותו לשלם מיד, ואין לו במה לשלם שהוציאם לטובתו,</w:t>
      </w:r>
      <w:r w:rsidRPr="00604FF6">
        <w:rPr>
          <w:rtl/>
        </w:rPr>
        <w:t xml:space="preserve"> </w:t>
      </w:r>
      <w:r w:rsidRPr="00604FF6">
        <w:rPr>
          <w:rFonts w:cs="Arial"/>
          <w:rtl/>
        </w:rPr>
        <w:t>ועיין לקמן סי</w:t>
      </w:r>
      <w:r>
        <w:rPr>
          <w:rFonts w:cs="Arial" w:hint="cs"/>
          <w:rtl/>
        </w:rPr>
        <w:t>'</w:t>
      </w:r>
      <w:r w:rsidRPr="00604FF6">
        <w:rPr>
          <w:rFonts w:cs="Arial"/>
          <w:rtl/>
        </w:rPr>
        <w:t xml:space="preserve"> ע"ה [סעיף ד' ובסמ"ע סקי"ד - ט"ו]</w:t>
      </w:r>
      <w:r>
        <w:rPr>
          <w:rFonts w:hint="cs"/>
          <w:rtl/>
        </w:rPr>
        <w:t>, סמ"ע (סקי"ח).</w:t>
      </w:r>
    </w:p>
  </w:footnote>
  <w:footnote w:id="1687">
    <w:p w14:paraId="482909C9" w14:textId="77777777" w:rsidR="0013116F" w:rsidRDefault="0013116F" w:rsidP="004B607F">
      <w:pPr>
        <w:pStyle w:val="a9"/>
      </w:pPr>
      <w:r>
        <w:rPr>
          <w:rStyle w:val="ab"/>
        </w:rPr>
        <w:footnoteRef/>
      </w:r>
      <w:r>
        <w:rPr>
          <w:rtl/>
        </w:rPr>
        <w:t xml:space="preserve"> </w:t>
      </w:r>
      <w:r w:rsidRPr="00351E33">
        <w:rPr>
          <w:rFonts w:cs="Arial"/>
          <w:rtl/>
        </w:rPr>
        <w:t>כאן לא מיירי אלא מדין צירוף והלכך הוחזק כפרן בנ', אבל מדין שבועה לא איירי כאן, וסמך עצמו אמ"ש לקמן סימן ע"ה סעיף ד' דהתובע צריך לישבע, וכן כתבתי לקמן סימן ע"ה [סקי"ח] ע"ש, וק"ל</w:t>
      </w:r>
      <w:r>
        <w:rPr>
          <w:rFonts w:cs="Arial" w:hint="cs"/>
          <w:rtl/>
        </w:rPr>
        <w:t>, ש"ך (סקי"א).</w:t>
      </w:r>
    </w:p>
  </w:footnote>
  <w:footnote w:id="1688">
    <w:p w14:paraId="696935C4" w14:textId="77777777" w:rsidR="0013116F" w:rsidRDefault="0013116F" w:rsidP="004B607F">
      <w:pPr>
        <w:pStyle w:val="a9"/>
        <w:rPr>
          <w:rtl/>
        </w:rPr>
      </w:pPr>
      <w:r>
        <w:rPr>
          <w:rStyle w:val="ab"/>
        </w:rPr>
        <w:footnoteRef/>
      </w:r>
      <w:r>
        <w:rPr>
          <w:rtl/>
        </w:rPr>
        <w:t xml:space="preserve"> </w:t>
      </w:r>
      <w:r w:rsidRPr="00351E33">
        <w:rPr>
          <w:rFonts w:cs="Arial"/>
          <w:rtl/>
        </w:rPr>
        <w:t>בכאן אין שייך לומר איך העדים שע</w:t>
      </w:r>
      <w:r>
        <w:rPr>
          <w:rFonts w:cs="Arial" w:hint="cs"/>
          <w:rtl/>
        </w:rPr>
        <w:t>"</w:t>
      </w:r>
      <w:r w:rsidRPr="00351E33">
        <w:rPr>
          <w:rFonts w:cs="Arial"/>
          <w:rtl/>
        </w:rPr>
        <w:t>י צירוף יחייבו ממון ושבועה, כמ"ש לפני זה בסקט"ו, דשאני התם דכל אחד העיד על הלואה מיוחדת, לאחד לוה בניסן ולאחד לוה באייר, משא"כ בפקדון זה דכל אחד העיד ששמע מהנפקד שהופקד בידו, זה שמע נ' וזה שמע ק"נ, אף ששמעו ממנו בזמנים מתחלפים, מ"מ יכול להיות דאפקדון אחד הודה לפניהן בזמנים מתחלפים, משום הכי לא מיקרי זה עדות ע"י צירוף, וק"ל</w:t>
      </w:r>
      <w:r>
        <w:rPr>
          <w:rFonts w:hint="cs"/>
          <w:rtl/>
        </w:rPr>
        <w:t>, סמ"ע (סקי"ט).</w:t>
      </w:r>
    </w:p>
  </w:footnote>
  <w:footnote w:id="1689">
    <w:p w14:paraId="04408091" w14:textId="77777777" w:rsidR="0013116F" w:rsidRDefault="0013116F" w:rsidP="004B607F">
      <w:pPr>
        <w:pStyle w:val="a9"/>
      </w:pPr>
      <w:r>
        <w:rPr>
          <w:rStyle w:val="ab"/>
        </w:rPr>
        <w:footnoteRef/>
      </w:r>
      <w:r>
        <w:rPr>
          <w:rtl/>
        </w:rPr>
        <w:t xml:space="preserve"> </w:t>
      </w:r>
      <w:r>
        <w:rPr>
          <w:rFonts w:hint="cs"/>
          <w:rtl/>
        </w:rPr>
        <w:t xml:space="preserve">סימן </w:t>
      </w:r>
      <w:r>
        <w:rPr>
          <w:rtl/>
        </w:rPr>
        <w:t>–</w:t>
      </w:r>
      <w:r>
        <w:rPr>
          <w:rFonts w:hint="cs"/>
          <w:rtl/>
        </w:rPr>
        <w:t xml:space="preserve"> לשון לבדה. וכן </w:t>
      </w:r>
      <w:r>
        <w:rPr>
          <w:rtl/>
        </w:rPr>
        <w:t>–</w:t>
      </w:r>
      <w:r>
        <w:rPr>
          <w:rFonts w:hint="cs"/>
          <w:rtl/>
        </w:rPr>
        <w:t xml:space="preserve"> ליפוף לשונות.</w:t>
      </w:r>
    </w:p>
  </w:footnote>
  <w:footnote w:id="1690">
    <w:p w14:paraId="3990DE6B" w14:textId="77777777" w:rsidR="0013116F" w:rsidRDefault="0013116F" w:rsidP="004B607F">
      <w:pPr>
        <w:pStyle w:val="a9"/>
        <w:rPr>
          <w:rtl/>
        </w:rPr>
      </w:pPr>
      <w:r>
        <w:rPr>
          <w:rStyle w:val="ab"/>
        </w:rPr>
        <w:footnoteRef/>
      </w:r>
      <w:r>
        <w:rPr>
          <w:rtl/>
        </w:rPr>
        <w:t xml:space="preserve"> </w:t>
      </w:r>
      <w:r w:rsidRPr="006C380F">
        <w:rPr>
          <w:rFonts w:cs="Arial"/>
          <w:rtl/>
        </w:rPr>
        <w:t>רבינו כתב הג' חלוקות</w:t>
      </w:r>
      <w:r>
        <w:rPr>
          <w:rFonts w:cs="Arial" w:hint="cs"/>
          <w:rtl/>
        </w:rPr>
        <w:t>,</w:t>
      </w:r>
      <w:r w:rsidRPr="006C380F">
        <w:rPr>
          <w:rFonts w:cs="Arial"/>
          <w:rtl/>
        </w:rPr>
        <w:t xml:space="preserve"> והד' שהיא הודאה אחר הודאה לא חשש לכותבה דכל שכן הוא כמו שיתבאר בסמוך</w:t>
      </w:r>
      <w:r>
        <w:rPr>
          <w:rFonts w:cs="Arial" w:hint="cs"/>
          <w:rtl/>
        </w:rPr>
        <w:t>, ב"י. וכתב עוד הב"י</w:t>
      </w:r>
      <w:r w:rsidRPr="006C380F">
        <w:rPr>
          <w:rFonts w:cs="Arial"/>
          <w:rtl/>
        </w:rPr>
        <w:t xml:space="preserve"> </w:t>
      </w:r>
      <w:r>
        <w:rPr>
          <w:rFonts w:cs="Arial" w:hint="cs"/>
          <w:rtl/>
        </w:rPr>
        <w:t>ל</w:t>
      </w:r>
      <w:r w:rsidRPr="006C380F">
        <w:rPr>
          <w:rFonts w:cs="Arial"/>
          <w:rtl/>
        </w:rPr>
        <w:t>עיין בתשובת הריב"ש סימן תע"ט</w:t>
      </w:r>
      <w:r>
        <w:rPr>
          <w:rFonts w:cs="Arial" w:hint="cs"/>
          <w:rtl/>
        </w:rPr>
        <w:t>.</w:t>
      </w:r>
    </w:p>
  </w:footnote>
  <w:footnote w:id="1691">
    <w:p w14:paraId="05B17B01" w14:textId="77777777" w:rsidR="0013116F" w:rsidRDefault="0013116F" w:rsidP="004B607F">
      <w:pPr>
        <w:pStyle w:val="a9"/>
      </w:pPr>
      <w:r>
        <w:rPr>
          <w:rStyle w:val="ab"/>
        </w:rPr>
        <w:footnoteRef/>
      </w:r>
      <w:r>
        <w:rPr>
          <w:rtl/>
        </w:rPr>
        <w:t xml:space="preserve"> </w:t>
      </w:r>
      <w:r w:rsidRPr="00515DE4">
        <w:rPr>
          <w:rFonts w:hint="cs"/>
          <w:color w:val="FF0000"/>
          <w:rtl/>
        </w:rPr>
        <w:t>אולי צ"ל ר"ת</w:t>
      </w:r>
      <w:r>
        <w:rPr>
          <w:rFonts w:hint="cs"/>
          <w:color w:val="FF0000"/>
          <w:rtl/>
        </w:rPr>
        <w:t>, או ר"י</w:t>
      </w:r>
      <w:r w:rsidRPr="00515DE4">
        <w:rPr>
          <w:rFonts w:hint="cs"/>
          <w:color w:val="FF0000"/>
          <w:rtl/>
        </w:rPr>
        <w:t>, ש</w:t>
      </w:r>
      <w:r>
        <w:rPr>
          <w:rFonts w:hint="cs"/>
          <w:color w:val="FF0000"/>
          <w:rtl/>
        </w:rPr>
        <w:t xml:space="preserve">הרי </w:t>
      </w:r>
      <w:r w:rsidRPr="00515DE4">
        <w:rPr>
          <w:rFonts w:hint="cs"/>
          <w:color w:val="FF0000"/>
          <w:rtl/>
        </w:rPr>
        <w:t>הר"ח פסק כנהרדעי בסנהדרין ל ע"ב</w:t>
      </w:r>
      <w:r>
        <w:rPr>
          <w:rFonts w:hint="cs"/>
          <w:rtl/>
        </w:rPr>
        <w:t>.</w:t>
      </w:r>
    </w:p>
  </w:footnote>
  <w:footnote w:id="1692">
    <w:p w14:paraId="04C87776" w14:textId="77777777" w:rsidR="0013116F" w:rsidRDefault="0013116F" w:rsidP="004B607F">
      <w:pPr>
        <w:pStyle w:val="a9"/>
      </w:pPr>
      <w:r>
        <w:rPr>
          <w:rStyle w:val="ab"/>
        </w:rPr>
        <w:footnoteRef/>
      </w:r>
      <w:r>
        <w:rPr>
          <w:rtl/>
        </w:rPr>
        <w:t xml:space="preserve"> </w:t>
      </w:r>
      <w:r>
        <w:rPr>
          <w:rFonts w:hint="cs"/>
          <w:rtl/>
        </w:rPr>
        <w:t>הב"י כתב רשב"ם, אך לפנינו בהגה"מ ובמרדכי איתא רשב"ט.</w:t>
      </w:r>
    </w:p>
  </w:footnote>
  <w:footnote w:id="1693">
    <w:p w14:paraId="199B8FC9" w14:textId="77777777" w:rsidR="0013116F" w:rsidRDefault="0013116F" w:rsidP="004B607F">
      <w:pPr>
        <w:pStyle w:val="a9"/>
      </w:pPr>
      <w:r>
        <w:rPr>
          <w:rStyle w:val="ab"/>
        </w:rPr>
        <w:footnoteRef/>
      </w:r>
      <w:r>
        <w:rPr>
          <w:rtl/>
        </w:rPr>
        <w:t xml:space="preserve"> </w:t>
      </w:r>
      <w:r>
        <w:rPr>
          <w:rFonts w:hint="cs"/>
          <w:rtl/>
        </w:rPr>
        <w:t xml:space="preserve">וכתב הב"י דאפשר שכן דעת </w:t>
      </w:r>
      <w:r>
        <w:rPr>
          <w:rFonts w:cs="Arial" w:hint="cs"/>
          <w:rtl/>
        </w:rPr>
        <w:t>ה</w:t>
      </w:r>
      <w:r w:rsidRPr="006C380F">
        <w:rPr>
          <w:rFonts w:cs="Arial"/>
          <w:rtl/>
        </w:rPr>
        <w:t>סמ"ג (עשין ק"ט קצ:)</w:t>
      </w:r>
      <w:r>
        <w:rPr>
          <w:rFonts w:cs="Arial" w:hint="cs"/>
          <w:rtl/>
        </w:rPr>
        <w:t>, ודחה ראייתו.</w:t>
      </w:r>
    </w:p>
  </w:footnote>
  <w:footnote w:id="1694">
    <w:p w14:paraId="7FE7C20C" w14:textId="77777777" w:rsidR="0013116F" w:rsidRDefault="0013116F" w:rsidP="004B607F">
      <w:pPr>
        <w:pStyle w:val="a9"/>
        <w:rPr>
          <w:rtl/>
        </w:rPr>
      </w:pPr>
      <w:r>
        <w:rPr>
          <w:rStyle w:val="ab"/>
        </w:rPr>
        <w:footnoteRef/>
      </w:r>
      <w:r>
        <w:rPr>
          <w:rtl/>
        </w:rPr>
        <w:t xml:space="preserve"> </w:t>
      </w:r>
      <w:r>
        <w:rPr>
          <w:rFonts w:hint="cs"/>
          <w:rtl/>
        </w:rPr>
        <w:t xml:space="preserve">סימן </w:t>
      </w:r>
      <w:r>
        <w:rPr>
          <w:rtl/>
        </w:rPr>
        <w:t>–</w:t>
      </w:r>
      <w:r>
        <w:rPr>
          <w:rFonts w:hint="cs"/>
          <w:rtl/>
        </w:rPr>
        <w:t xml:space="preserve"> וואן ויוו </w:t>
      </w:r>
      <w:r>
        <w:rPr>
          <w:rFonts w:hint="cs"/>
          <w:sz w:val="16"/>
          <w:szCs w:val="16"/>
          <w:rtl/>
        </w:rPr>
        <w:t>(</w:t>
      </w:r>
      <w:r>
        <w:rPr>
          <w:sz w:val="16"/>
          <w:szCs w:val="16"/>
        </w:rPr>
        <w:t>one view</w:t>
      </w:r>
      <w:r>
        <w:rPr>
          <w:rFonts w:hint="cs"/>
          <w:sz w:val="16"/>
          <w:szCs w:val="16"/>
          <w:rtl/>
        </w:rPr>
        <w:t>)</w:t>
      </w:r>
      <w:r>
        <w:rPr>
          <w:rFonts w:hint="cs"/>
          <w:rtl/>
        </w:rPr>
        <w:t>.</w:t>
      </w:r>
    </w:p>
  </w:footnote>
  <w:footnote w:id="1695">
    <w:p w14:paraId="790C30C1" w14:textId="77777777" w:rsidR="0013116F" w:rsidRDefault="0013116F" w:rsidP="004B607F">
      <w:pPr>
        <w:pStyle w:val="a9"/>
      </w:pPr>
      <w:r>
        <w:rPr>
          <w:rStyle w:val="ab"/>
        </w:rPr>
        <w:footnoteRef/>
      </w:r>
      <w:r>
        <w:rPr>
          <w:rtl/>
        </w:rPr>
        <w:t xml:space="preserve"> </w:t>
      </w:r>
      <w:r w:rsidRPr="006C380F">
        <w:rPr>
          <w:rFonts w:cs="Arial"/>
          <w:rtl/>
        </w:rPr>
        <w:t>אחד רואה אותו מחלון זה ואחד רואה אותו מחלון זה ואין העדים רואים זה את זה</w:t>
      </w:r>
      <w:r>
        <w:rPr>
          <w:rFonts w:cs="Arial" w:hint="cs"/>
          <w:rtl/>
        </w:rPr>
        <w:t>, רש"י.</w:t>
      </w:r>
    </w:p>
  </w:footnote>
  <w:footnote w:id="1696">
    <w:p w14:paraId="63B7599E" w14:textId="77777777" w:rsidR="0013116F" w:rsidRPr="001C620D" w:rsidRDefault="0013116F" w:rsidP="004B607F">
      <w:pPr>
        <w:pStyle w:val="a9"/>
        <w:rPr>
          <w:sz w:val="18"/>
          <w:szCs w:val="18"/>
        </w:rPr>
      </w:pPr>
      <w:r>
        <w:rPr>
          <w:rStyle w:val="ab"/>
        </w:rPr>
        <w:footnoteRef/>
      </w:r>
      <w:r>
        <w:rPr>
          <w:rtl/>
        </w:rPr>
        <w:t xml:space="preserve"> </w:t>
      </w:r>
      <w:r>
        <w:rPr>
          <w:rFonts w:hint="cs"/>
          <w:rtl/>
        </w:rPr>
        <w:t xml:space="preserve">סימן </w:t>
      </w:r>
      <w:r>
        <w:rPr>
          <w:rtl/>
        </w:rPr>
        <w:t>–</w:t>
      </w:r>
      <w:r>
        <w:rPr>
          <w:rFonts w:hint="cs"/>
          <w:rtl/>
        </w:rPr>
        <w:t xml:space="preserve"> גרה עמו? עדים גם! </w:t>
      </w:r>
      <w:r>
        <w:rPr>
          <w:rFonts w:hint="cs"/>
          <w:sz w:val="16"/>
          <w:szCs w:val="16"/>
          <w:rtl/>
        </w:rPr>
        <w:t>(הסימן הוא לדף עג שבו עיקר ענייננו)</w:t>
      </w:r>
      <w:r>
        <w:rPr>
          <w:rFonts w:hint="cs"/>
          <w:rtl/>
        </w:rPr>
        <w:t>.</w:t>
      </w:r>
    </w:p>
  </w:footnote>
  <w:footnote w:id="1697">
    <w:p w14:paraId="0BF5E5D5" w14:textId="77777777" w:rsidR="0013116F" w:rsidRDefault="0013116F" w:rsidP="004B607F">
      <w:pPr>
        <w:pStyle w:val="a9"/>
        <w:rPr>
          <w:rtl/>
        </w:rPr>
      </w:pPr>
      <w:r>
        <w:rPr>
          <w:rStyle w:val="ab"/>
        </w:rPr>
        <w:footnoteRef/>
      </w:r>
      <w:r>
        <w:rPr>
          <w:rtl/>
        </w:rPr>
        <w:t xml:space="preserve"> </w:t>
      </w:r>
      <w:r w:rsidRPr="00036563">
        <w:rPr>
          <w:rFonts w:cs="Arial"/>
          <w:rtl/>
        </w:rPr>
        <w:t>זה שנתן גט ואמר לה מהיום אם מתי לא תתייחד עמו שמא יבא עליה דאיכא למ"ד חיישינן שמא בעל לשם קדושין וצריכה גט שני</w:t>
      </w:r>
      <w:r>
        <w:rPr>
          <w:rFonts w:cs="Arial" w:hint="cs"/>
          <w:rtl/>
        </w:rPr>
        <w:t>,</w:t>
      </w:r>
      <w:r w:rsidRPr="00036563">
        <w:rPr>
          <w:rFonts w:cs="Arial"/>
          <w:rtl/>
        </w:rPr>
        <w:t xml:space="preserve"> ולמאן דלא חייש נמי מ"מ פנויה היא ואסור להתייחד עם הפנויה</w:t>
      </w:r>
      <w:r>
        <w:rPr>
          <w:rFonts w:cs="Arial" w:hint="cs"/>
          <w:rtl/>
        </w:rPr>
        <w:t>, רש"י</w:t>
      </w:r>
      <w:r w:rsidRPr="00036563">
        <w:rPr>
          <w:rFonts w:cs="Arial"/>
          <w:rtl/>
        </w:rPr>
        <w:t>.</w:t>
      </w:r>
    </w:p>
  </w:footnote>
  <w:footnote w:id="1698">
    <w:p w14:paraId="737ED147" w14:textId="77777777" w:rsidR="0013116F" w:rsidRDefault="0013116F" w:rsidP="004B607F">
      <w:pPr>
        <w:pStyle w:val="a9"/>
        <w:rPr>
          <w:rtl/>
        </w:rPr>
      </w:pPr>
      <w:r>
        <w:rPr>
          <w:rStyle w:val="ab"/>
        </w:rPr>
        <w:footnoteRef/>
      </w:r>
      <w:r>
        <w:rPr>
          <w:rtl/>
        </w:rPr>
        <w:t xml:space="preserve"> </w:t>
      </w:r>
      <w:r>
        <w:rPr>
          <w:rFonts w:hint="cs"/>
          <w:rtl/>
        </w:rPr>
        <w:t>כגון דיני אישות.</w:t>
      </w:r>
    </w:p>
  </w:footnote>
  <w:footnote w:id="1699">
    <w:p w14:paraId="632F73C5" w14:textId="77777777" w:rsidR="0013116F" w:rsidRDefault="0013116F" w:rsidP="004B607F">
      <w:pPr>
        <w:pStyle w:val="a9"/>
        <w:rPr>
          <w:rtl/>
        </w:rPr>
      </w:pPr>
      <w:r>
        <w:rPr>
          <w:rStyle w:val="ab"/>
        </w:rPr>
        <w:footnoteRef/>
      </w:r>
      <w:r>
        <w:rPr>
          <w:rtl/>
        </w:rPr>
        <w:t xml:space="preserve"> </w:t>
      </w:r>
      <w:r w:rsidRPr="006C380F">
        <w:rPr>
          <w:rFonts w:cs="Arial"/>
          <w:rtl/>
        </w:rPr>
        <w:t>ואין מצרפין אותם</w:t>
      </w:r>
      <w:r>
        <w:rPr>
          <w:rFonts w:hint="cs"/>
          <w:rtl/>
        </w:rPr>
        <w:t>.</w:t>
      </w:r>
    </w:p>
  </w:footnote>
  <w:footnote w:id="1700">
    <w:p w14:paraId="2E794AD2" w14:textId="77777777" w:rsidR="0013116F" w:rsidRDefault="0013116F" w:rsidP="004B607F">
      <w:pPr>
        <w:pStyle w:val="a9"/>
        <w:rPr>
          <w:rtl/>
        </w:rPr>
      </w:pPr>
      <w:r>
        <w:rPr>
          <w:rStyle w:val="ab"/>
        </w:rPr>
        <w:footnoteRef/>
      </w:r>
      <w:r>
        <w:rPr>
          <w:rtl/>
        </w:rPr>
        <w:t xml:space="preserve"> </w:t>
      </w:r>
      <w:r w:rsidRPr="006C380F">
        <w:rPr>
          <w:rFonts w:cs="Arial"/>
          <w:rtl/>
        </w:rPr>
        <w:t>ומצרפין אותם</w:t>
      </w:r>
      <w:r>
        <w:rPr>
          <w:rFonts w:hint="cs"/>
          <w:rtl/>
        </w:rPr>
        <w:t>.</w:t>
      </w:r>
    </w:p>
  </w:footnote>
  <w:footnote w:id="1701">
    <w:p w14:paraId="7E383699" w14:textId="77777777" w:rsidR="0013116F" w:rsidRDefault="0013116F" w:rsidP="004B607F">
      <w:pPr>
        <w:pStyle w:val="a9"/>
        <w:rPr>
          <w:rtl/>
        </w:rPr>
      </w:pPr>
      <w:r>
        <w:rPr>
          <w:rStyle w:val="ab"/>
        </w:rPr>
        <w:footnoteRef/>
      </w:r>
      <w:r w:rsidRPr="00FD01EC">
        <w:rPr>
          <w:rFonts w:cs="Arial"/>
          <w:rtl/>
        </w:rPr>
        <w:t xml:space="preserve"> </w:t>
      </w:r>
      <w:r w:rsidRPr="000872FF">
        <w:rPr>
          <w:rFonts w:cs="Arial"/>
          <w:rtl/>
        </w:rPr>
        <w:t>ואע</w:t>
      </w:r>
      <w:r>
        <w:rPr>
          <w:rFonts w:cs="Arial" w:hint="cs"/>
          <w:rtl/>
        </w:rPr>
        <w:t>"</w:t>
      </w:r>
      <w:r w:rsidRPr="000872FF">
        <w:rPr>
          <w:rFonts w:cs="Arial"/>
          <w:rtl/>
        </w:rPr>
        <w:t>ג דכיעור דחזא האי לא חזא האי קיי</w:t>
      </w:r>
      <w:r>
        <w:rPr>
          <w:rFonts w:cs="Arial" w:hint="cs"/>
          <w:rtl/>
        </w:rPr>
        <w:t>"</w:t>
      </w:r>
      <w:r w:rsidRPr="000872FF">
        <w:rPr>
          <w:rFonts w:cs="Arial"/>
          <w:rtl/>
        </w:rPr>
        <w:t>ל בהלואה אחר הלואה דמצטרפין</w:t>
      </w:r>
      <w:r>
        <w:rPr>
          <w:rFonts w:cs="Arial" w:hint="cs"/>
          <w:rtl/>
        </w:rPr>
        <w:t>,</w:t>
      </w:r>
      <w:r w:rsidRPr="000872FF">
        <w:rPr>
          <w:rFonts w:cs="Arial"/>
          <w:rtl/>
        </w:rPr>
        <w:t xml:space="preserve"> ואע</w:t>
      </w:r>
      <w:r>
        <w:rPr>
          <w:rFonts w:cs="Arial" w:hint="cs"/>
          <w:rtl/>
        </w:rPr>
        <w:t>"</w:t>
      </w:r>
      <w:r w:rsidRPr="000872FF">
        <w:rPr>
          <w:rFonts w:cs="Arial"/>
          <w:rtl/>
        </w:rPr>
        <w:t>ג דאמנה דמסהיד האי לא מסהיד האי</w:t>
      </w:r>
      <w:r>
        <w:rPr>
          <w:rFonts w:cs="Arial" w:hint="cs"/>
          <w:rtl/>
        </w:rPr>
        <w:t>,</w:t>
      </w:r>
      <w:r w:rsidRPr="000872FF">
        <w:rPr>
          <w:rFonts w:cs="Arial"/>
          <w:rtl/>
        </w:rPr>
        <w:t xml:space="preserve"> מיהו אחד מנה מסהדי תרוייהו </w:t>
      </w:r>
      <w:r>
        <w:rPr>
          <w:rFonts w:cs="Arial" w:hint="cs"/>
          <w:rtl/>
        </w:rPr>
        <w:t xml:space="preserve">- </w:t>
      </w:r>
      <w:r w:rsidRPr="000872FF">
        <w:rPr>
          <w:rFonts w:cs="Arial"/>
          <w:rtl/>
        </w:rPr>
        <w:t>הכי נמי תרוייהו אדבר כיעור מסהדי</w:t>
      </w:r>
      <w:r>
        <w:rPr>
          <w:rFonts w:cs="Arial" w:hint="cs"/>
          <w:rtl/>
        </w:rPr>
        <w:t>,</w:t>
      </w:r>
      <w:r w:rsidRPr="000872FF">
        <w:rPr>
          <w:rFonts w:cs="Arial"/>
          <w:rtl/>
        </w:rPr>
        <w:t xml:space="preserve"> וכן משמע בירושלמי פ</w:t>
      </w:r>
      <w:r>
        <w:rPr>
          <w:rFonts w:cs="Arial" w:hint="cs"/>
          <w:rtl/>
        </w:rPr>
        <w:t>"</w:t>
      </w:r>
      <w:r w:rsidRPr="000872FF">
        <w:rPr>
          <w:rFonts w:cs="Arial"/>
          <w:rtl/>
        </w:rPr>
        <w:t xml:space="preserve">ק דסוטה </w:t>
      </w:r>
      <w:r w:rsidRPr="000872FF">
        <w:rPr>
          <w:rFonts w:cs="Arial"/>
          <w:sz w:val="16"/>
          <w:szCs w:val="16"/>
          <w:rtl/>
        </w:rPr>
        <w:t xml:space="preserve">(ה"א) </w:t>
      </w:r>
      <w:r w:rsidRPr="000872FF">
        <w:rPr>
          <w:rFonts w:cs="Arial"/>
          <w:rtl/>
        </w:rPr>
        <w:t>נסתרה בעד אחד שחרית ועד אחד בין הערבים זה היה מעשה ושאל רבי אלעזר לחכמים ואמרו אין זה יחוד או יבא כהדה אין מקבלין העדים אא</w:t>
      </w:r>
      <w:r>
        <w:rPr>
          <w:rFonts w:cs="Arial" w:hint="cs"/>
          <w:rtl/>
        </w:rPr>
        <w:t>"</w:t>
      </w:r>
      <w:r w:rsidRPr="000872FF">
        <w:rPr>
          <w:rFonts w:cs="Arial"/>
          <w:rtl/>
        </w:rPr>
        <w:t>כ ראו שניהם כאחד רבי יהושע בן קרחה אומר אפילו בראו שניהם זה אחר זה</w:t>
      </w:r>
      <w:r>
        <w:rPr>
          <w:rFonts w:cs="Arial" w:hint="cs"/>
          <w:rtl/>
        </w:rPr>
        <w:t>.</w:t>
      </w:r>
      <w:r w:rsidRPr="000872FF">
        <w:rPr>
          <w:rFonts w:cs="Arial"/>
          <w:rtl/>
        </w:rPr>
        <w:t xml:space="preserve"> אלמא דרבי יהושע בן קרחה אפילו בכה</w:t>
      </w:r>
      <w:r>
        <w:rPr>
          <w:rFonts w:cs="Arial" w:hint="cs"/>
          <w:rtl/>
        </w:rPr>
        <w:t>"</w:t>
      </w:r>
      <w:r w:rsidRPr="000872FF">
        <w:rPr>
          <w:rFonts w:cs="Arial"/>
          <w:rtl/>
        </w:rPr>
        <w:t>ג אומר דמצטרפין וקי</w:t>
      </w:r>
      <w:r>
        <w:rPr>
          <w:rFonts w:cs="Arial" w:hint="cs"/>
          <w:rtl/>
        </w:rPr>
        <w:t>י"</w:t>
      </w:r>
      <w:r w:rsidRPr="000872FF">
        <w:rPr>
          <w:rFonts w:cs="Arial"/>
          <w:rtl/>
        </w:rPr>
        <w:t>ל כותיה</w:t>
      </w:r>
      <w:r>
        <w:rPr>
          <w:rFonts w:cs="Arial" w:hint="cs"/>
          <w:rtl/>
        </w:rPr>
        <w:t>, מרדכי. וכ"כ ה</w:t>
      </w:r>
      <w:r w:rsidRPr="00FD01EC">
        <w:rPr>
          <w:rFonts w:cs="Arial"/>
          <w:rtl/>
        </w:rPr>
        <w:t xml:space="preserve">ריב"ש </w:t>
      </w:r>
      <w:r w:rsidRPr="00127736">
        <w:rPr>
          <w:rFonts w:cs="Arial" w:hint="cs"/>
          <w:sz w:val="16"/>
          <w:szCs w:val="16"/>
          <w:rtl/>
        </w:rPr>
        <w:t>(</w:t>
      </w:r>
      <w:r w:rsidRPr="00127736">
        <w:rPr>
          <w:rFonts w:cs="Arial"/>
          <w:sz w:val="16"/>
          <w:szCs w:val="16"/>
          <w:rtl/>
        </w:rPr>
        <w:t>סי</w:t>
      </w:r>
      <w:r w:rsidRPr="00127736">
        <w:rPr>
          <w:rFonts w:cs="Arial" w:hint="cs"/>
          <w:sz w:val="16"/>
          <w:szCs w:val="16"/>
          <w:rtl/>
        </w:rPr>
        <w:t>'</w:t>
      </w:r>
      <w:r w:rsidRPr="00127736">
        <w:rPr>
          <w:rFonts w:cs="Arial"/>
          <w:sz w:val="16"/>
          <w:szCs w:val="16"/>
          <w:rtl/>
        </w:rPr>
        <w:t xml:space="preserve"> קצג</w:t>
      </w:r>
      <w:r w:rsidRPr="00127736">
        <w:rPr>
          <w:rFonts w:cs="Arial" w:hint="cs"/>
          <w:sz w:val="16"/>
          <w:szCs w:val="16"/>
          <w:rtl/>
        </w:rPr>
        <w:t xml:space="preserve"> וסי' רסו, הביאו הדרכ"מ [אות ב***])</w:t>
      </w:r>
      <w:r>
        <w:rPr>
          <w:rFonts w:cs="Arial" w:hint="cs"/>
          <w:rtl/>
        </w:rPr>
        <w:t xml:space="preserve"> ד</w:t>
      </w:r>
      <w:r w:rsidRPr="00FD01EC">
        <w:rPr>
          <w:rFonts w:cs="Arial"/>
          <w:rtl/>
        </w:rPr>
        <w:t>עדי קידושין וגירושין יש לו דין עדי ממונות</w:t>
      </w:r>
      <w:r>
        <w:rPr>
          <w:rFonts w:cs="Arial" w:hint="cs"/>
          <w:rtl/>
        </w:rPr>
        <w:t>.</w:t>
      </w:r>
    </w:p>
  </w:footnote>
  <w:footnote w:id="1702">
    <w:p w14:paraId="4D938364" w14:textId="77777777" w:rsidR="0013116F" w:rsidRPr="00770694" w:rsidRDefault="0013116F" w:rsidP="004B607F">
      <w:pPr>
        <w:pStyle w:val="a9"/>
        <w:rPr>
          <w:rFonts w:cs="Arial"/>
        </w:rPr>
      </w:pPr>
      <w:r>
        <w:rPr>
          <w:rStyle w:val="ab"/>
        </w:rPr>
        <w:footnoteRef/>
      </w:r>
      <w:r>
        <w:rPr>
          <w:rtl/>
        </w:rPr>
        <w:t xml:space="preserve"> </w:t>
      </w:r>
      <w:r w:rsidRPr="000872FF">
        <w:rPr>
          <w:rFonts w:cs="Arial"/>
          <w:rtl/>
        </w:rPr>
        <w:t>ובגמרא דידן פ</w:t>
      </w:r>
      <w:r>
        <w:rPr>
          <w:rFonts w:cs="Arial" w:hint="cs"/>
          <w:rtl/>
        </w:rPr>
        <w:t>"ב</w:t>
      </w:r>
      <w:r w:rsidRPr="000872FF">
        <w:rPr>
          <w:rFonts w:cs="Arial"/>
          <w:rtl/>
        </w:rPr>
        <w:t xml:space="preserve"> דכתובות (כו:) משמע קצת כדברי המרדכי</w:t>
      </w:r>
      <w:r>
        <w:rPr>
          <w:rFonts w:cs="Arial" w:hint="cs"/>
          <w:rtl/>
        </w:rPr>
        <w:t>,</w:t>
      </w:r>
      <w:r w:rsidRPr="000872FF">
        <w:rPr>
          <w:rFonts w:cs="Arial"/>
          <w:rtl/>
        </w:rPr>
        <w:t xml:space="preserve"> דכי היכי דמצטרפי לעדות ממון מצטרפי לענין איסור</w:t>
      </w:r>
      <w:r>
        <w:rPr>
          <w:rFonts w:cs="Arial" w:hint="cs"/>
          <w:rtl/>
        </w:rPr>
        <w:t>,</w:t>
      </w:r>
      <w:r w:rsidRPr="000872FF">
        <w:rPr>
          <w:rFonts w:cs="Arial"/>
          <w:rtl/>
        </w:rPr>
        <w:t xml:space="preserve"> דמוקי התם דפליגי רשב</w:t>
      </w:r>
      <w:r>
        <w:rPr>
          <w:rFonts w:cs="Arial" w:hint="cs"/>
          <w:rtl/>
        </w:rPr>
        <w:t>"</w:t>
      </w:r>
      <w:r w:rsidRPr="000872FF">
        <w:rPr>
          <w:rFonts w:cs="Arial"/>
          <w:rtl/>
        </w:rPr>
        <w:t>ג ורבי אלעזר אי מצטרפין שני העדים להאכילו תרומה על פיהם</w:t>
      </w:r>
      <w:r>
        <w:rPr>
          <w:rFonts w:cs="Arial" w:hint="cs"/>
          <w:rtl/>
        </w:rPr>
        <w:t>,</w:t>
      </w:r>
      <w:r w:rsidRPr="000872FF">
        <w:rPr>
          <w:rFonts w:cs="Arial"/>
          <w:rtl/>
        </w:rPr>
        <w:t xml:space="preserve"> וקאמר דפליגי בפלוגתא דרבי יהושע בן קרחה ורבנן</w:t>
      </w:r>
      <w:r>
        <w:rPr>
          <w:rFonts w:cs="Arial" w:hint="cs"/>
          <w:rtl/>
        </w:rPr>
        <w:t>,</w:t>
      </w:r>
      <w:r w:rsidRPr="000872FF">
        <w:rPr>
          <w:rFonts w:cs="Arial"/>
          <w:rtl/>
        </w:rPr>
        <w:t xml:space="preserve"> והרי אכילת תרומה דאיסורא הוא</w:t>
      </w:r>
      <w:r>
        <w:rPr>
          <w:rFonts w:cs="Arial" w:hint="cs"/>
          <w:rtl/>
        </w:rPr>
        <w:t>,</w:t>
      </w:r>
      <w:r w:rsidRPr="000872FF">
        <w:rPr>
          <w:rFonts w:cs="Arial"/>
          <w:rtl/>
        </w:rPr>
        <w:t xml:space="preserve"> ואמרינן דלרבי יהושע בן קרחה מצטרפין</w:t>
      </w:r>
      <w:r>
        <w:rPr>
          <w:rFonts w:cs="Arial" w:hint="cs"/>
          <w:rtl/>
        </w:rPr>
        <w:t>.</w:t>
      </w:r>
      <w:r w:rsidRPr="000872FF">
        <w:rPr>
          <w:rFonts w:cs="Arial"/>
          <w:rtl/>
        </w:rPr>
        <w:t xml:space="preserve"> ובהשולח (גיטין לג:) נמי אמרינן דלרבי יהושע בן קרחה אי אמר לעד אחד לחתום גט לאשתו ואח"כ אמר לחבירו </w:t>
      </w:r>
      <w:r>
        <w:rPr>
          <w:rFonts w:cs="Arial" w:hint="cs"/>
          <w:rtl/>
        </w:rPr>
        <w:t xml:space="preserve">- </w:t>
      </w:r>
      <w:r w:rsidRPr="000872FF">
        <w:rPr>
          <w:rFonts w:cs="Arial"/>
          <w:rtl/>
        </w:rPr>
        <w:t>מצטרפין אע</w:t>
      </w:r>
      <w:r>
        <w:rPr>
          <w:rFonts w:cs="Arial" w:hint="cs"/>
          <w:rtl/>
        </w:rPr>
        <w:t>"</w:t>
      </w:r>
      <w:r w:rsidRPr="000872FF">
        <w:rPr>
          <w:rFonts w:cs="Arial"/>
          <w:rtl/>
        </w:rPr>
        <w:t>פ שלא צוה לשניהם כאחד</w:t>
      </w:r>
      <w:r>
        <w:rPr>
          <w:rFonts w:cs="Arial" w:hint="cs"/>
          <w:rtl/>
        </w:rPr>
        <w:t>,</w:t>
      </w:r>
      <w:r w:rsidRPr="000872FF">
        <w:rPr>
          <w:rFonts w:cs="Arial"/>
          <w:rtl/>
        </w:rPr>
        <w:t xml:space="preserve"> והרי גט דנפקא מיניה לדיני נפשות כיון דלאו למידן דיני נפשות הוא דאתינן אהאי סהדותא</w:t>
      </w:r>
      <w:r>
        <w:rPr>
          <w:rFonts w:cs="Arial" w:hint="cs"/>
          <w:rtl/>
        </w:rPr>
        <w:t xml:space="preserve"> -</w:t>
      </w:r>
      <w:r w:rsidRPr="000872FF">
        <w:rPr>
          <w:rFonts w:cs="Arial"/>
          <w:rtl/>
        </w:rPr>
        <w:t xml:space="preserve"> מצטרפין</w:t>
      </w:r>
      <w:r>
        <w:rPr>
          <w:rFonts w:cs="Arial" w:hint="cs"/>
          <w:rtl/>
        </w:rPr>
        <w:t xml:space="preserve">. </w:t>
      </w:r>
      <w:r w:rsidRPr="000872FF">
        <w:rPr>
          <w:rFonts w:cs="Arial"/>
          <w:rtl/>
        </w:rPr>
        <w:t xml:space="preserve">והירושלמי שכתבו הרי"ף והרא"ש ז"ל במי שאחזו </w:t>
      </w:r>
      <w:r>
        <w:rPr>
          <w:rFonts w:cs="Arial" w:hint="cs"/>
          <w:rtl/>
        </w:rPr>
        <w:t xml:space="preserve">(ירוש' גיטין פ"ז ה"ד) </w:t>
      </w:r>
      <w:r w:rsidRPr="000872FF">
        <w:rPr>
          <w:rFonts w:cs="Arial"/>
          <w:rtl/>
        </w:rPr>
        <w:t xml:space="preserve">בראה שנתייחדה עד אחד שחרית ועד אחד בין הערבים אין מצטרפין </w:t>
      </w:r>
      <w:r>
        <w:rPr>
          <w:rFonts w:cs="Arial" w:hint="cs"/>
          <w:rtl/>
        </w:rPr>
        <w:t xml:space="preserve">- </w:t>
      </w:r>
      <w:r w:rsidRPr="000872FF">
        <w:rPr>
          <w:rFonts w:cs="Arial"/>
          <w:rtl/>
        </w:rPr>
        <w:t>אפשר לפרש דטעמא משום דכיון שהבעל והאשה ראו שאין שם אלא עד אחד לא נתכוונו לשם קדושין אלא לשם זנות וכמו שכתב הרשב"א בפרק הזורק (גיטין פא: ד"ה אלא)</w:t>
      </w:r>
      <w:r>
        <w:rPr>
          <w:rFonts w:cs="Arial" w:hint="cs"/>
          <w:rtl/>
        </w:rPr>
        <w:t>,</w:t>
      </w:r>
      <w:r w:rsidRPr="000872FF">
        <w:rPr>
          <w:rFonts w:cs="Arial"/>
          <w:rtl/>
        </w:rPr>
        <w:t xml:space="preserve"> אבל בשאר דברים דלא שייך למימר הכי אין הכי נמי דמצטרפין. כך היה נ"ל</w:t>
      </w:r>
      <w:r>
        <w:rPr>
          <w:rFonts w:cs="Arial" w:hint="cs"/>
          <w:rtl/>
        </w:rPr>
        <w:t>,</w:t>
      </w:r>
      <w:r w:rsidRPr="000872FF">
        <w:rPr>
          <w:rFonts w:cs="Arial"/>
          <w:rtl/>
        </w:rPr>
        <w:t xml:space="preserve"> אבל בירושלמי פ</w:t>
      </w:r>
      <w:r>
        <w:rPr>
          <w:rFonts w:cs="Arial" w:hint="cs"/>
          <w:rtl/>
        </w:rPr>
        <w:t>"</w:t>
      </w:r>
      <w:r w:rsidRPr="000872FF">
        <w:rPr>
          <w:rFonts w:cs="Arial"/>
          <w:rtl/>
        </w:rPr>
        <w:t>ק דסוטה נראה שמשוה דין נתייחדה עמו לשאר דברים ולפיכך הדבר ספק</w:t>
      </w:r>
      <w:r>
        <w:rPr>
          <w:rFonts w:cs="Arial" w:hint="cs"/>
          <w:rtl/>
        </w:rPr>
        <w:t>,</w:t>
      </w:r>
      <w:r w:rsidRPr="000872FF">
        <w:rPr>
          <w:rFonts w:cs="Arial"/>
          <w:rtl/>
        </w:rPr>
        <w:t xml:space="preserve"> ומשמע דהירושלמי דפ</w:t>
      </w:r>
      <w:r>
        <w:rPr>
          <w:rFonts w:cs="Arial" w:hint="cs"/>
          <w:rtl/>
        </w:rPr>
        <w:t>"</w:t>
      </w:r>
      <w:r w:rsidRPr="000872FF">
        <w:rPr>
          <w:rFonts w:cs="Arial"/>
          <w:rtl/>
        </w:rPr>
        <w:t>ק דסוטה נמי מספקא ליה שכך כתוב שם</w:t>
      </w:r>
      <w:r>
        <w:rPr>
          <w:rFonts w:cs="Arial" w:hint="cs"/>
          <w:rtl/>
        </w:rPr>
        <w:t>:</w:t>
      </w:r>
      <w:r w:rsidRPr="000872FF">
        <w:rPr>
          <w:rFonts w:cs="Arial"/>
          <w:rtl/>
        </w:rPr>
        <w:t xml:space="preserve"> נסתרה בעד אחד שחרית ועד אחד בין הערבים</w:t>
      </w:r>
      <w:r>
        <w:rPr>
          <w:rFonts w:cs="Arial" w:hint="cs"/>
          <w:rtl/>
        </w:rPr>
        <w:t>,</w:t>
      </w:r>
      <w:r w:rsidRPr="000872FF">
        <w:rPr>
          <w:rFonts w:cs="Arial"/>
          <w:rtl/>
        </w:rPr>
        <w:t xml:space="preserve"> ייבא כהדה</w:t>
      </w:r>
      <w:r>
        <w:rPr>
          <w:rFonts w:cs="Arial" w:hint="cs"/>
          <w:rtl/>
        </w:rPr>
        <w:t xml:space="preserve"> -</w:t>
      </w:r>
      <w:r w:rsidRPr="000872FF">
        <w:rPr>
          <w:rFonts w:cs="Arial"/>
          <w:rtl/>
        </w:rPr>
        <w:t xml:space="preserve"> נתייחדה עמו בפני שנים צריכה גט שני ממנו</w:t>
      </w:r>
      <w:r>
        <w:rPr>
          <w:rFonts w:cs="Arial" w:hint="cs"/>
          <w:rtl/>
        </w:rPr>
        <w:t>,</w:t>
      </w:r>
      <w:r w:rsidRPr="000872FF">
        <w:rPr>
          <w:rFonts w:cs="Arial"/>
          <w:rtl/>
        </w:rPr>
        <w:t xml:space="preserve"> אחד בשחרית ואחד בין הערבים זה היה מעשה ושאל רבי אלעזר לחכמים כן ואמרו אין זה יחוד</w:t>
      </w:r>
      <w:r>
        <w:rPr>
          <w:rFonts w:cs="Arial" w:hint="cs"/>
          <w:rtl/>
        </w:rPr>
        <w:t>,</w:t>
      </w:r>
      <w:r w:rsidRPr="000872FF">
        <w:rPr>
          <w:rFonts w:cs="Arial"/>
          <w:rtl/>
        </w:rPr>
        <w:t xml:space="preserve"> קינא לה בעד אחד שחרית ואחד בין הערבים מאחר שהוא איש והיא אשה אין קינויין קינוי</w:t>
      </w:r>
      <w:r>
        <w:rPr>
          <w:rFonts w:cs="Arial" w:hint="cs"/>
          <w:rtl/>
        </w:rPr>
        <w:t>,</w:t>
      </w:r>
      <w:r w:rsidRPr="000872FF">
        <w:rPr>
          <w:rFonts w:cs="Arial"/>
          <w:rtl/>
        </w:rPr>
        <w:t xml:space="preserve"> או יבא כהדה </w:t>
      </w:r>
      <w:r>
        <w:rPr>
          <w:rFonts w:cs="Arial" w:hint="cs"/>
          <w:rtl/>
        </w:rPr>
        <w:t xml:space="preserve">- </w:t>
      </w:r>
      <w:r w:rsidRPr="000872FF">
        <w:rPr>
          <w:rFonts w:cs="Arial"/>
          <w:rtl/>
        </w:rPr>
        <w:t>אין מקבלין מן העד אא</w:t>
      </w:r>
      <w:r>
        <w:rPr>
          <w:rFonts w:cs="Arial" w:hint="cs"/>
          <w:rtl/>
        </w:rPr>
        <w:t>"</w:t>
      </w:r>
      <w:r w:rsidRPr="000872FF">
        <w:rPr>
          <w:rFonts w:cs="Arial"/>
          <w:rtl/>
        </w:rPr>
        <w:t>כ ראו שניהם כאחד</w:t>
      </w:r>
      <w:r>
        <w:rPr>
          <w:rFonts w:cs="Arial" w:hint="cs"/>
          <w:rtl/>
        </w:rPr>
        <w:t>,</w:t>
      </w:r>
      <w:r w:rsidRPr="000872FF">
        <w:rPr>
          <w:rFonts w:cs="Arial"/>
          <w:rtl/>
        </w:rPr>
        <w:t xml:space="preserve"> רבי יהושע בן קרחה אומר אפילו ראו זה אחר זה עכ"ל הירושלמי. ומשמע לי דהכי קאמר נסתרה בעד אחד שחרית ואחד בין הערבים</w:t>
      </w:r>
      <w:r>
        <w:rPr>
          <w:rFonts w:cs="Arial" w:hint="cs"/>
          <w:rtl/>
        </w:rPr>
        <w:t>,</w:t>
      </w:r>
      <w:r w:rsidRPr="000872FF">
        <w:rPr>
          <w:rFonts w:cs="Arial"/>
          <w:rtl/>
        </w:rPr>
        <w:t xml:space="preserve"> ייבא כהדה </w:t>
      </w:r>
      <w:r>
        <w:rPr>
          <w:rFonts w:cs="Arial" w:hint="cs"/>
          <w:rtl/>
        </w:rPr>
        <w:t xml:space="preserve">- </w:t>
      </w:r>
      <w:r w:rsidRPr="000872FF">
        <w:rPr>
          <w:rFonts w:cs="Arial"/>
          <w:rtl/>
        </w:rPr>
        <w:t>כלומר נאמר דאתיא כההיא דנתיחדה וכו' ואמרו אין זה יחוד</w:t>
      </w:r>
      <w:r>
        <w:rPr>
          <w:rFonts w:cs="Arial" w:hint="cs"/>
          <w:rtl/>
        </w:rPr>
        <w:t>,</w:t>
      </w:r>
      <w:r w:rsidRPr="000872FF">
        <w:rPr>
          <w:rFonts w:cs="Arial"/>
          <w:rtl/>
        </w:rPr>
        <w:t xml:space="preserve"> והכי נמי אין זו סתירה</w:t>
      </w:r>
      <w:r>
        <w:rPr>
          <w:rFonts w:cs="Arial" w:hint="cs"/>
          <w:rtl/>
        </w:rPr>
        <w:t>,</w:t>
      </w:r>
      <w:r w:rsidRPr="000872FF">
        <w:rPr>
          <w:rFonts w:cs="Arial"/>
          <w:rtl/>
        </w:rPr>
        <w:t xml:space="preserve"> או ייבא כהדה </w:t>
      </w:r>
      <w:r>
        <w:rPr>
          <w:rFonts w:cs="Arial" w:hint="cs"/>
          <w:rtl/>
        </w:rPr>
        <w:t xml:space="preserve">- </w:t>
      </w:r>
      <w:r w:rsidRPr="000872FF">
        <w:rPr>
          <w:rFonts w:cs="Arial"/>
          <w:rtl/>
        </w:rPr>
        <w:t>כלומר או נאמר דאתיא כהדה דתניא אין מקבלין וכו' רבי יהושע בן קרחה אומר אפילו ראו זה אחר זה</w:t>
      </w:r>
      <w:r>
        <w:rPr>
          <w:rFonts w:cs="Arial" w:hint="cs"/>
          <w:rtl/>
        </w:rPr>
        <w:t>,</w:t>
      </w:r>
      <w:r w:rsidRPr="000872FF">
        <w:rPr>
          <w:rFonts w:cs="Arial"/>
          <w:rtl/>
        </w:rPr>
        <w:t xml:space="preserve"> וקיימא לן כרבי יהושע בן קרחה. וטעמא דמספקא לירושלמי הוא אם נאמר דיחוד וסתירה דינם שוה</w:t>
      </w:r>
      <w:r>
        <w:rPr>
          <w:rFonts w:cs="Arial" w:hint="cs"/>
          <w:rtl/>
        </w:rPr>
        <w:t>,</w:t>
      </w:r>
      <w:r w:rsidRPr="000872FF">
        <w:rPr>
          <w:rFonts w:cs="Arial"/>
          <w:rtl/>
        </w:rPr>
        <w:t xml:space="preserve"> וכי היכי דאין זה יחוד הכי נמי אין זה סתירה</w:t>
      </w:r>
      <w:r>
        <w:rPr>
          <w:rFonts w:cs="Arial" w:hint="cs"/>
          <w:rtl/>
        </w:rPr>
        <w:t>,</w:t>
      </w:r>
      <w:r w:rsidRPr="000872FF">
        <w:rPr>
          <w:rFonts w:cs="Arial"/>
          <w:rtl/>
        </w:rPr>
        <w:t xml:space="preserve"> ואע</w:t>
      </w:r>
      <w:r>
        <w:rPr>
          <w:rFonts w:cs="Arial" w:hint="cs"/>
          <w:rtl/>
        </w:rPr>
        <w:t>"</w:t>
      </w:r>
      <w:r w:rsidRPr="000872FF">
        <w:rPr>
          <w:rFonts w:cs="Arial"/>
          <w:rtl/>
        </w:rPr>
        <w:t>ג דקיימא לן כרבי יהושע בן קרחה היינו בדיני ממונות אבל במידי דאיסורא אמרינן דאין מצטרפין</w:t>
      </w:r>
      <w:r>
        <w:rPr>
          <w:rFonts w:cs="Arial" w:hint="cs"/>
          <w:rtl/>
        </w:rPr>
        <w:t>,</w:t>
      </w:r>
      <w:r w:rsidRPr="000872FF">
        <w:rPr>
          <w:rFonts w:cs="Arial"/>
          <w:rtl/>
        </w:rPr>
        <w:t xml:space="preserve"> או דילמא דמצטרפין וההיא דיחוד שאני מטעמא דפרישית דאנן סהדי דכיון דהאיש והאשה אינם רואים אלא עד אחד לא לשם קדושין נתכוונו אלא לשם זנות הילכך אין מצטרפין אבל בסתירה וקינוי אין הכי נמי דמצטרפין. ונ"ל שיש בלשון הירושלמי טעות שבמקום </w:t>
      </w:r>
      <w:r>
        <w:rPr>
          <w:rFonts w:cs="Arial" w:hint="cs"/>
          <w:rtl/>
        </w:rPr>
        <w:t>'</w:t>
      </w:r>
      <w:r w:rsidRPr="000872FF">
        <w:rPr>
          <w:rFonts w:cs="Arial"/>
          <w:rtl/>
        </w:rPr>
        <w:t>אפילו</w:t>
      </w:r>
      <w:r>
        <w:rPr>
          <w:rFonts w:cs="Arial" w:hint="cs"/>
          <w:rtl/>
        </w:rPr>
        <w:t>'</w:t>
      </w:r>
      <w:r w:rsidRPr="000872FF">
        <w:rPr>
          <w:rFonts w:cs="Arial"/>
          <w:rtl/>
        </w:rPr>
        <w:t xml:space="preserve"> כתבו </w:t>
      </w:r>
      <w:r>
        <w:rPr>
          <w:rFonts w:cs="Arial" w:hint="cs"/>
          <w:rtl/>
        </w:rPr>
        <w:t>'</w:t>
      </w:r>
      <w:r w:rsidRPr="000872FF">
        <w:rPr>
          <w:rFonts w:cs="Arial"/>
          <w:rtl/>
        </w:rPr>
        <w:t>מאחר</w:t>
      </w:r>
      <w:r>
        <w:rPr>
          <w:rFonts w:cs="Arial" w:hint="cs"/>
          <w:rtl/>
        </w:rPr>
        <w:t>',</w:t>
      </w:r>
      <w:r w:rsidRPr="000872FF">
        <w:rPr>
          <w:rFonts w:cs="Arial"/>
          <w:rtl/>
        </w:rPr>
        <w:t xml:space="preserve"> והכי קאמר</w:t>
      </w:r>
      <w:r>
        <w:rPr>
          <w:rFonts w:cs="Arial" w:hint="cs"/>
          <w:rtl/>
        </w:rPr>
        <w:t xml:space="preserve"> </w:t>
      </w:r>
      <w:r>
        <w:rPr>
          <w:rFonts w:cs="Arial"/>
          <w:rtl/>
        </w:rPr>
        <w:t>–</w:t>
      </w:r>
      <w:r w:rsidRPr="000872FF">
        <w:rPr>
          <w:rFonts w:cs="Arial"/>
          <w:rtl/>
        </w:rPr>
        <w:t xml:space="preserve"> אע</w:t>
      </w:r>
      <w:r>
        <w:rPr>
          <w:rFonts w:cs="Arial" w:hint="cs"/>
          <w:rtl/>
        </w:rPr>
        <w:t>"</w:t>
      </w:r>
      <w:r w:rsidRPr="000872FF">
        <w:rPr>
          <w:rFonts w:cs="Arial"/>
          <w:rtl/>
        </w:rPr>
        <w:t>פ שעל האיש שקינא שחרית קינא ערבית ולאשה שקינא שחרית קינא ערבית אין מצטרפין</w:t>
      </w:r>
      <w:r>
        <w:rPr>
          <w:rFonts w:cs="Arial" w:hint="cs"/>
          <w:rtl/>
        </w:rPr>
        <w:t>.</w:t>
      </w:r>
      <w:r w:rsidRPr="000872FF">
        <w:rPr>
          <w:rFonts w:cs="Arial"/>
          <w:rtl/>
        </w:rPr>
        <w:t xml:space="preserve"> ויישוב המשך לשונו כך הוא </w:t>
      </w:r>
      <w:r>
        <w:rPr>
          <w:rFonts w:cs="Arial" w:hint="cs"/>
          <w:rtl/>
        </w:rPr>
        <w:t xml:space="preserve">- </w:t>
      </w:r>
      <w:r w:rsidRPr="000872FF">
        <w:rPr>
          <w:rFonts w:cs="Arial"/>
          <w:rtl/>
        </w:rPr>
        <w:t>נסתרה בעד אחד שחרית וכו' ייבא כהדא וכו'</w:t>
      </w:r>
      <w:r>
        <w:rPr>
          <w:rFonts w:cs="Arial" w:hint="cs"/>
          <w:rtl/>
        </w:rPr>
        <w:t>,</w:t>
      </w:r>
      <w:r w:rsidRPr="000872FF">
        <w:rPr>
          <w:rFonts w:cs="Arial"/>
          <w:rtl/>
        </w:rPr>
        <w:t xml:space="preserve"> ואמרו אין זה יחוד כלומר והכי נמי אין זו סתירה וה</w:t>
      </w:r>
      <w:r>
        <w:rPr>
          <w:rFonts w:cs="Arial" w:hint="cs"/>
          <w:rtl/>
        </w:rPr>
        <w:t>"ה</w:t>
      </w:r>
      <w:r w:rsidRPr="000872FF">
        <w:rPr>
          <w:rFonts w:cs="Arial"/>
          <w:rtl/>
        </w:rPr>
        <w:t xml:space="preserve"> לקינא לה בעד אחד שחרית כו' דאין זה קינוי</w:t>
      </w:r>
      <w:r>
        <w:rPr>
          <w:rFonts w:cs="Arial" w:hint="cs"/>
          <w:rtl/>
        </w:rPr>
        <w:t>,</w:t>
      </w:r>
      <w:r w:rsidRPr="000872FF">
        <w:rPr>
          <w:rFonts w:cs="Arial"/>
          <w:rtl/>
        </w:rPr>
        <w:t xml:space="preserve"> או ייבא כהדה וכו' וקי</w:t>
      </w:r>
      <w:r>
        <w:rPr>
          <w:rFonts w:cs="Arial" w:hint="cs"/>
          <w:rtl/>
        </w:rPr>
        <w:t>י"</w:t>
      </w:r>
      <w:r w:rsidRPr="000872FF">
        <w:rPr>
          <w:rFonts w:cs="Arial"/>
          <w:rtl/>
        </w:rPr>
        <w:t>ל כרבי יהושע בן קרחה והוי ליה סתירה וכן נמי הוי ליה קינוי</w:t>
      </w:r>
      <w:r>
        <w:rPr>
          <w:rFonts w:cs="Arial" w:hint="cs"/>
          <w:rtl/>
        </w:rPr>
        <w:t>,</w:t>
      </w:r>
      <w:r w:rsidRPr="000872FF">
        <w:rPr>
          <w:rFonts w:cs="Arial"/>
          <w:rtl/>
        </w:rPr>
        <w:t xml:space="preserve"> כנ"ל. והרי"ף והרא"ש כתבו דין יחוד דבין מהאי טעמא ובין מהאי טעמא דינא הכי הוא דאין זה יחוד</w:t>
      </w:r>
      <w:r>
        <w:rPr>
          <w:rFonts w:cs="Arial" w:hint="cs"/>
          <w:rtl/>
        </w:rPr>
        <w:t xml:space="preserve">. ולענין </w:t>
      </w:r>
      <w:r w:rsidRPr="000872FF">
        <w:rPr>
          <w:rFonts w:cs="Arial"/>
          <w:rtl/>
        </w:rPr>
        <w:t>נדון שלפנינו נ"ל ד</w:t>
      </w:r>
      <w:r>
        <w:rPr>
          <w:rFonts w:cs="Arial" w:hint="cs"/>
          <w:rtl/>
        </w:rPr>
        <w:t>-..</w:t>
      </w:r>
    </w:p>
  </w:footnote>
  <w:footnote w:id="1703">
    <w:p w14:paraId="2F247E41" w14:textId="77777777" w:rsidR="0013116F" w:rsidRDefault="0013116F" w:rsidP="004B607F">
      <w:pPr>
        <w:pStyle w:val="a9"/>
      </w:pPr>
      <w:r>
        <w:rPr>
          <w:rStyle w:val="ab"/>
        </w:rPr>
        <w:footnoteRef/>
      </w:r>
      <w:r>
        <w:rPr>
          <w:rtl/>
        </w:rPr>
        <w:t xml:space="preserve"> </w:t>
      </w:r>
      <w:r w:rsidRPr="005D0DD2">
        <w:rPr>
          <w:rFonts w:cs="Arial"/>
          <w:rtl/>
        </w:rPr>
        <w:t>פירוש, אלא כל אחד ראה המעשה או שמע הודאה מפי הנתבע, מה שלא ראה או שמע השני, מ"מ כיון דלעדות דכל אחד חייב לו מנה מצטרפין. ואם מעידין על מעשה אחד ולא היו יחד בראייתן אותו, אלא זה ראה מבית שלו וזה מבית שלו, גם כן איתא בגמרא [מכות ו' ע"ב] דמצטרפין. ונקרא בלשון הגמרא עדות מיוחדת, והטור והמחבר לא כתבוהו, דכ"ש הוא מדין זה דהעידו כל אחד על מעשה בפני עצמו</w:t>
      </w:r>
      <w:r>
        <w:rPr>
          <w:rFonts w:cs="Arial" w:hint="cs"/>
          <w:rtl/>
        </w:rPr>
        <w:t>, סמ"ע (סק"כ).</w:t>
      </w:r>
    </w:p>
  </w:footnote>
  <w:footnote w:id="1704">
    <w:p w14:paraId="260C3ECF" w14:textId="77777777" w:rsidR="0013116F" w:rsidRDefault="0013116F" w:rsidP="004B607F">
      <w:pPr>
        <w:pStyle w:val="a9"/>
      </w:pPr>
      <w:r>
        <w:rPr>
          <w:rStyle w:val="ab"/>
        </w:rPr>
        <w:footnoteRef/>
      </w:r>
      <w:r>
        <w:rPr>
          <w:rtl/>
        </w:rPr>
        <w:t xml:space="preserve"> </w:t>
      </w:r>
      <w:r>
        <w:rPr>
          <w:rFonts w:hint="cs"/>
          <w:rtl/>
        </w:rPr>
        <w:t>וז"ל -</w:t>
      </w:r>
      <w:r w:rsidRPr="00093C92">
        <w:rPr>
          <w:rFonts w:cs="Arial" w:hint="cs"/>
          <w:rtl/>
        </w:rPr>
        <w:t xml:space="preserve"> </w:t>
      </w:r>
      <w:r>
        <w:rPr>
          <w:rFonts w:cs="Arial" w:hint="cs"/>
          <w:rtl/>
        </w:rPr>
        <w:t>ב</w:t>
      </w:r>
      <w:r w:rsidRPr="005A63E1">
        <w:rPr>
          <w:rFonts w:cs="Arial"/>
          <w:rtl/>
        </w:rPr>
        <w:t>הלואה אחר הלואה איכא למידק היאך אתה מצרף שתי עדויות הללו</w:t>
      </w:r>
      <w:r>
        <w:rPr>
          <w:rFonts w:cs="Arial" w:hint="cs"/>
          <w:rtl/>
        </w:rPr>
        <w:t>,</w:t>
      </w:r>
      <w:r w:rsidRPr="005A63E1">
        <w:rPr>
          <w:rFonts w:cs="Arial"/>
          <w:rtl/>
        </w:rPr>
        <w:t xml:space="preserve"> והלא תובע מכחיש את אחד מהם</w:t>
      </w:r>
      <w:r>
        <w:rPr>
          <w:rFonts w:cs="Arial" w:hint="cs"/>
          <w:rtl/>
        </w:rPr>
        <w:t>,</w:t>
      </w:r>
      <w:r w:rsidRPr="005A63E1">
        <w:rPr>
          <w:rFonts w:cs="Arial"/>
          <w:rtl/>
        </w:rPr>
        <w:t xml:space="preserve"> שהוא אינו תובע אלא מנה אחד</w:t>
      </w:r>
      <w:r>
        <w:rPr>
          <w:rFonts w:cs="Arial" w:hint="cs"/>
          <w:rtl/>
        </w:rPr>
        <w:t>,</w:t>
      </w:r>
      <w:r w:rsidRPr="005A63E1">
        <w:rPr>
          <w:rFonts w:cs="Arial"/>
          <w:rtl/>
        </w:rPr>
        <w:t xml:space="preserve"> והם מעידים על שני מנים</w:t>
      </w:r>
      <w:r>
        <w:rPr>
          <w:rFonts w:cs="Arial" w:hint="cs"/>
          <w:rtl/>
        </w:rPr>
        <w:t>,</w:t>
      </w:r>
      <w:r w:rsidRPr="005A63E1">
        <w:rPr>
          <w:rFonts w:cs="Arial"/>
          <w:rtl/>
        </w:rPr>
        <w:t xml:space="preserve"> ועל כרחך אחד מהם שקר לפי דברי התובע</w:t>
      </w:r>
      <w:r>
        <w:rPr>
          <w:rFonts w:cs="Arial" w:hint="cs"/>
          <w:rtl/>
        </w:rPr>
        <w:t>,</w:t>
      </w:r>
      <w:r w:rsidRPr="005A63E1">
        <w:rPr>
          <w:rFonts w:cs="Arial"/>
          <w:rtl/>
        </w:rPr>
        <w:t xml:space="preserve"> והוא נאמן על עצמו</w:t>
      </w:r>
      <w:r>
        <w:rPr>
          <w:rFonts w:cs="Arial" w:hint="cs"/>
          <w:rtl/>
        </w:rPr>
        <w:t>,</w:t>
      </w:r>
      <w:r w:rsidRPr="005A63E1">
        <w:rPr>
          <w:rFonts w:cs="Arial"/>
          <w:rtl/>
        </w:rPr>
        <w:t xml:space="preserve"> ואם כן בהדי סהדי שקרי למה לי</w:t>
      </w:r>
      <w:r>
        <w:rPr>
          <w:rFonts w:cs="Arial" w:hint="cs"/>
          <w:rtl/>
        </w:rPr>
        <w:t>.</w:t>
      </w:r>
      <w:r w:rsidRPr="005A63E1">
        <w:rPr>
          <w:rFonts w:cs="Arial"/>
          <w:rtl/>
        </w:rPr>
        <w:t xml:space="preserve"> ויש בזה דברים הרבה בספר הריבות להראב"ד ולהרז"ה ז"ל</w:t>
      </w:r>
      <w:r>
        <w:rPr>
          <w:rFonts w:cs="Arial" w:hint="cs"/>
          <w:rtl/>
        </w:rPr>
        <w:t>,</w:t>
      </w:r>
      <w:r w:rsidRPr="005A63E1">
        <w:rPr>
          <w:rFonts w:cs="Arial"/>
          <w:rtl/>
        </w:rPr>
        <w:t xml:space="preserve"> ומסתבר דהכא במאי עסקינן</w:t>
      </w:r>
      <w:r>
        <w:rPr>
          <w:rFonts w:cs="Arial" w:hint="cs"/>
          <w:rtl/>
        </w:rPr>
        <w:t>-</w:t>
      </w:r>
      <w:r w:rsidRPr="005A63E1">
        <w:rPr>
          <w:rFonts w:cs="Arial"/>
          <w:rtl/>
        </w:rPr>
        <w:t xml:space="preserve"> כגון שזה תובע שני מנין</w:t>
      </w:r>
      <w:r>
        <w:rPr>
          <w:rFonts w:cs="Arial" w:hint="cs"/>
          <w:rtl/>
        </w:rPr>
        <w:t>,</w:t>
      </w:r>
      <w:r w:rsidRPr="005A63E1">
        <w:rPr>
          <w:rFonts w:cs="Arial"/>
          <w:rtl/>
        </w:rPr>
        <w:t xml:space="preserve"> אחד מניסן ואחד מתשרי</w:t>
      </w:r>
      <w:r>
        <w:rPr>
          <w:rFonts w:cs="Arial" w:hint="cs"/>
          <w:rtl/>
        </w:rPr>
        <w:t>,</w:t>
      </w:r>
      <w:r w:rsidRPr="005A63E1">
        <w:rPr>
          <w:rFonts w:cs="Arial"/>
          <w:rtl/>
        </w:rPr>
        <w:t xml:space="preserve"> ויש לו עד על כל אחד מהמנים</w:t>
      </w:r>
      <w:r>
        <w:rPr>
          <w:rFonts w:cs="Arial" w:hint="cs"/>
          <w:rtl/>
        </w:rPr>
        <w:t>,</w:t>
      </w:r>
      <w:r w:rsidRPr="005A63E1">
        <w:rPr>
          <w:rFonts w:cs="Arial"/>
          <w:rtl/>
        </w:rPr>
        <w:t xml:space="preserve"> שאין הכחשה ביניהם כלל</w:t>
      </w:r>
      <w:r>
        <w:rPr>
          <w:rFonts w:cs="Arial" w:hint="cs"/>
          <w:rtl/>
        </w:rPr>
        <w:t>,</w:t>
      </w:r>
      <w:r w:rsidRPr="005A63E1">
        <w:rPr>
          <w:rFonts w:cs="Arial"/>
          <w:rtl/>
        </w:rPr>
        <w:t xml:space="preserve"> לפיכך אנו מגבין לו המנה האחד מתוך דברי שניהם</w:t>
      </w:r>
      <w:r>
        <w:rPr>
          <w:rFonts w:cs="Arial" w:hint="cs"/>
          <w:rtl/>
        </w:rPr>
        <w:t>,</w:t>
      </w:r>
      <w:r w:rsidRPr="005A63E1">
        <w:rPr>
          <w:rFonts w:cs="Arial"/>
          <w:rtl/>
        </w:rPr>
        <w:t xml:space="preserve"> אבל היכא שהוא עצמו מכחישן שאינו תובע אלא מנה </w:t>
      </w:r>
      <w:r>
        <w:rPr>
          <w:rFonts w:cs="Arial" w:hint="cs"/>
          <w:rtl/>
        </w:rPr>
        <w:t xml:space="preserve">- </w:t>
      </w:r>
      <w:r w:rsidRPr="005A63E1">
        <w:rPr>
          <w:rFonts w:cs="Arial"/>
          <w:rtl/>
        </w:rPr>
        <w:t>אין נאמנין כלל שהוא נאמן על עצמו לחובתו.</w:t>
      </w:r>
    </w:p>
  </w:footnote>
  <w:footnote w:id="1705">
    <w:p w14:paraId="3ED251B5" w14:textId="77777777" w:rsidR="0013116F" w:rsidRDefault="0013116F" w:rsidP="004B607F">
      <w:pPr>
        <w:pStyle w:val="a9"/>
        <w:rPr>
          <w:rtl/>
        </w:rPr>
      </w:pPr>
      <w:r>
        <w:rPr>
          <w:rStyle w:val="ab"/>
        </w:rPr>
        <w:footnoteRef/>
      </w:r>
      <w:r>
        <w:rPr>
          <w:rtl/>
        </w:rPr>
        <w:t xml:space="preserve"> </w:t>
      </w:r>
      <w:r>
        <w:rPr>
          <w:rFonts w:cs="Arial"/>
          <w:rtl/>
        </w:rPr>
        <w:t>כבר כתבתי לעיל (ס"ב) דהיינו עד חצות החדש אבל אם אחד אומר בי"ו בחדש ואחד אומר בי"ז לא מצטרפי</w:t>
      </w:r>
      <w:r>
        <w:rPr>
          <w:rFonts w:hint="cs"/>
          <w:rtl/>
        </w:rPr>
        <w:t>, ב"י.</w:t>
      </w:r>
    </w:p>
  </w:footnote>
  <w:footnote w:id="1706">
    <w:p w14:paraId="259563AC" w14:textId="77777777" w:rsidR="0013116F" w:rsidRDefault="0013116F" w:rsidP="004B607F">
      <w:pPr>
        <w:pStyle w:val="a9"/>
        <w:rPr>
          <w:rtl/>
        </w:rPr>
      </w:pPr>
      <w:r>
        <w:rPr>
          <w:rStyle w:val="ab"/>
        </w:rPr>
        <w:footnoteRef/>
      </w:r>
      <w:r>
        <w:rPr>
          <w:rtl/>
        </w:rPr>
        <w:t xml:space="preserve"> </w:t>
      </w:r>
      <w:r>
        <w:rPr>
          <w:rFonts w:cs="Arial"/>
          <w:rtl/>
        </w:rPr>
        <w:t>מה שכתב הרמ"ה דמשתבע שבועה דאורייתא</w:t>
      </w:r>
      <w:r>
        <w:rPr>
          <w:rFonts w:cs="Arial" w:hint="cs"/>
          <w:rtl/>
        </w:rPr>
        <w:t>,</w:t>
      </w:r>
      <w:r>
        <w:rPr>
          <w:rFonts w:cs="Arial"/>
          <w:rtl/>
        </w:rPr>
        <w:t xml:space="preserve"> כתב הרא"ש (סנהדרין פ"ג סי' לד) דאין זו עדות מוכחשת שיבטל כל העדות ולא ישבע שבועה דאורייתא</w:t>
      </w:r>
      <w:r>
        <w:rPr>
          <w:rFonts w:cs="Arial" w:hint="cs"/>
          <w:rtl/>
        </w:rPr>
        <w:t>.</w:t>
      </w:r>
      <w:r>
        <w:rPr>
          <w:rFonts w:cs="Arial"/>
          <w:rtl/>
        </w:rPr>
        <w:t xml:space="preserve"> דהתם ששניהם מעידים על דבר אחד</w:t>
      </w:r>
      <w:r>
        <w:rPr>
          <w:rFonts w:cs="Arial" w:hint="cs"/>
          <w:rtl/>
        </w:rPr>
        <w:t>,</w:t>
      </w:r>
      <w:r>
        <w:rPr>
          <w:rFonts w:cs="Arial"/>
          <w:rtl/>
        </w:rPr>
        <w:t xml:space="preserve"> כגון שזה אומר הרג וזה אמר לא הרג ומכחיש האחד את חבירו</w:t>
      </w:r>
      <w:r>
        <w:rPr>
          <w:rFonts w:cs="Arial" w:hint="cs"/>
          <w:rtl/>
        </w:rPr>
        <w:t>.</w:t>
      </w:r>
      <w:r>
        <w:rPr>
          <w:rFonts w:cs="Arial"/>
          <w:rtl/>
        </w:rPr>
        <w:t xml:space="preserve"> אבל כאן הם שני דברים</w:t>
      </w:r>
      <w:r>
        <w:rPr>
          <w:rFonts w:cs="Arial" w:hint="cs"/>
          <w:rtl/>
        </w:rPr>
        <w:t>,</w:t>
      </w:r>
      <w:r>
        <w:rPr>
          <w:rFonts w:cs="Arial"/>
          <w:rtl/>
        </w:rPr>
        <w:t xml:space="preserve"> ואין אחד מכחיש את חבירו</w:t>
      </w:r>
      <w:r>
        <w:rPr>
          <w:rFonts w:cs="Arial" w:hint="cs"/>
          <w:rtl/>
        </w:rPr>
        <w:t>,</w:t>
      </w:r>
      <w:r>
        <w:rPr>
          <w:rFonts w:cs="Arial"/>
          <w:rtl/>
        </w:rPr>
        <w:t xml:space="preserve"> ולדברי המלוה אחד מהם אומר אמת ומחייב שבועה</w:t>
      </w:r>
      <w:r>
        <w:rPr>
          <w:rFonts w:hint="cs"/>
          <w:rtl/>
        </w:rPr>
        <w:t>, ב"י.</w:t>
      </w:r>
    </w:p>
  </w:footnote>
  <w:footnote w:id="1707">
    <w:p w14:paraId="6F1D8BEF" w14:textId="77777777" w:rsidR="0013116F" w:rsidRDefault="0013116F" w:rsidP="004B607F">
      <w:pPr>
        <w:pStyle w:val="a9"/>
        <w:rPr>
          <w:rtl/>
        </w:rPr>
      </w:pPr>
      <w:r>
        <w:rPr>
          <w:rStyle w:val="ab"/>
        </w:rPr>
        <w:footnoteRef/>
      </w:r>
      <w:r>
        <w:rPr>
          <w:rtl/>
        </w:rPr>
        <w:t xml:space="preserve"> </w:t>
      </w:r>
      <w:r>
        <w:rPr>
          <w:rFonts w:cs="Arial" w:hint="cs"/>
          <w:rtl/>
        </w:rPr>
        <w:t>וכתב הב"י דנראה מהטור</w:t>
      </w:r>
      <w:r>
        <w:rPr>
          <w:rFonts w:cs="Arial"/>
          <w:rtl/>
        </w:rPr>
        <w:t xml:space="preserve"> ו</w:t>
      </w:r>
      <w:r>
        <w:rPr>
          <w:rFonts w:cs="Arial" w:hint="cs"/>
          <w:rtl/>
        </w:rPr>
        <w:t>מ</w:t>
      </w:r>
      <w:r>
        <w:rPr>
          <w:rFonts w:cs="Arial"/>
          <w:rtl/>
        </w:rPr>
        <w:t>ר</w:t>
      </w:r>
      <w:r>
        <w:rPr>
          <w:rFonts w:cs="Arial" w:hint="cs"/>
          <w:rtl/>
        </w:rPr>
        <w:t>י"ו</w:t>
      </w:r>
      <w:r w:rsidRPr="007675C0">
        <w:rPr>
          <w:rFonts w:cs="Arial"/>
          <w:sz w:val="16"/>
          <w:szCs w:val="16"/>
          <w:rtl/>
        </w:rPr>
        <w:t xml:space="preserve"> (נ"ב ח"ב יא ע"ג) </w:t>
      </w:r>
      <w:r>
        <w:rPr>
          <w:rFonts w:cs="Arial"/>
          <w:rtl/>
        </w:rPr>
        <w:t xml:space="preserve">דמשמע להו דהרמ"ה לכל החלוקות קאי </w:t>
      </w:r>
      <w:r>
        <w:rPr>
          <w:rFonts w:cs="Arial" w:hint="cs"/>
          <w:rtl/>
        </w:rPr>
        <w:t>מד</w:t>
      </w:r>
      <w:r>
        <w:rPr>
          <w:rFonts w:cs="Arial"/>
          <w:rtl/>
        </w:rPr>
        <w:t>כתבו חילוק זה סתם</w:t>
      </w:r>
      <w:r>
        <w:rPr>
          <w:rFonts w:cs="Arial" w:hint="cs"/>
          <w:rtl/>
        </w:rPr>
        <w:t>.</w:t>
      </w:r>
      <w:r>
        <w:rPr>
          <w:rFonts w:cs="Arial"/>
          <w:rtl/>
        </w:rPr>
        <w:t xml:space="preserve"> </w:t>
      </w:r>
      <w:r>
        <w:rPr>
          <w:rFonts w:cs="Arial" w:hint="cs"/>
          <w:rtl/>
        </w:rPr>
        <w:t xml:space="preserve">וכתב הב"י ליישב את דברי רי"ו שגם הוא מסכים למה שכתב למעלה </w:t>
      </w:r>
      <w:r w:rsidRPr="007675C0">
        <w:rPr>
          <w:rFonts w:cs="Arial" w:hint="cs"/>
          <w:sz w:val="16"/>
          <w:szCs w:val="16"/>
          <w:rtl/>
        </w:rPr>
        <w:t>(</w:t>
      </w:r>
      <w:r>
        <w:rPr>
          <w:rFonts w:cs="Arial" w:hint="cs"/>
          <w:sz w:val="16"/>
          <w:szCs w:val="16"/>
          <w:rtl/>
        </w:rPr>
        <w:t xml:space="preserve">שדברי הרמ"ה הם דוקא </w:t>
      </w:r>
      <w:r w:rsidRPr="007675C0">
        <w:rPr>
          <w:rFonts w:cs="Arial"/>
          <w:sz w:val="16"/>
          <w:szCs w:val="16"/>
          <w:rtl/>
        </w:rPr>
        <w:t>בהלואה אחר הלואה</w:t>
      </w:r>
      <w:r>
        <w:rPr>
          <w:rFonts w:cs="Arial" w:hint="cs"/>
          <w:sz w:val="16"/>
          <w:szCs w:val="16"/>
          <w:rtl/>
        </w:rPr>
        <w:t>)</w:t>
      </w:r>
      <w:r>
        <w:rPr>
          <w:rFonts w:cs="Arial" w:hint="cs"/>
          <w:rtl/>
        </w:rPr>
        <w:t>, אך סיים שזה יישוב דחוק.</w:t>
      </w:r>
      <w:r>
        <w:rPr>
          <w:rFonts w:cs="Arial"/>
          <w:rtl/>
        </w:rPr>
        <w:t xml:space="preserve"> </w:t>
      </w:r>
    </w:p>
  </w:footnote>
  <w:footnote w:id="1708">
    <w:p w14:paraId="5B8E307B" w14:textId="77777777" w:rsidR="0013116F" w:rsidRDefault="0013116F" w:rsidP="004B607F">
      <w:pPr>
        <w:pStyle w:val="a9"/>
      </w:pPr>
      <w:r>
        <w:rPr>
          <w:rStyle w:val="ab"/>
        </w:rPr>
        <w:footnoteRef/>
      </w:r>
      <w:r>
        <w:rPr>
          <w:rtl/>
        </w:rPr>
        <w:t xml:space="preserve"> </w:t>
      </w:r>
      <w:r>
        <w:rPr>
          <w:rFonts w:cs="Arial"/>
          <w:rtl/>
        </w:rPr>
        <w:t>ונראה לי דהא דשני כיתי עדים מיירי באינו תובע אלא מנה</w:t>
      </w:r>
      <w:r>
        <w:rPr>
          <w:rFonts w:cs="Arial" w:hint="cs"/>
          <w:rtl/>
        </w:rPr>
        <w:t>,</w:t>
      </w:r>
      <w:r>
        <w:rPr>
          <w:rFonts w:cs="Arial"/>
          <w:rtl/>
        </w:rPr>
        <w:t xml:space="preserve"> א</w:t>
      </w:r>
      <w:r>
        <w:rPr>
          <w:rFonts w:cs="Arial" w:hint="cs"/>
          <w:rtl/>
        </w:rPr>
        <w:t>"</w:t>
      </w:r>
      <w:r>
        <w:rPr>
          <w:rFonts w:cs="Arial"/>
          <w:rtl/>
        </w:rPr>
        <w:t>נ בששתי כיתי עדים מכחישות זו את זו בבדיקות הילכך אינו משלם אלא מנה</w:t>
      </w:r>
      <w:r>
        <w:rPr>
          <w:rFonts w:cs="Arial" w:hint="cs"/>
          <w:rtl/>
        </w:rPr>
        <w:t xml:space="preserve"> </w:t>
      </w:r>
      <w:r>
        <w:rPr>
          <w:rFonts w:cs="Arial" w:hint="cs"/>
          <w:sz w:val="16"/>
          <w:szCs w:val="16"/>
          <w:rtl/>
        </w:rPr>
        <w:t>{שאע"פ שהמכחישים זא"ז בבדיקות עדותם קיימת, מ"מ משלם הבע"ד את הפחות, כמש"כ השו"ע בסע' ב}</w:t>
      </w:r>
      <w:r>
        <w:rPr>
          <w:rFonts w:cs="Arial" w:hint="cs"/>
          <w:rtl/>
        </w:rPr>
        <w:t>.</w:t>
      </w:r>
      <w:r>
        <w:rPr>
          <w:rFonts w:cs="Arial"/>
          <w:rtl/>
        </w:rPr>
        <w:t xml:space="preserve"> אבל אם הוא תובע ק"ק ואין הכחשה בין העדים אלא שאלו אומרים ק"ק הודה לו ביום פלוני ואלו אומרים מאה הודה לו ביום פלוני </w:t>
      </w:r>
      <w:r>
        <w:rPr>
          <w:rFonts w:cs="Arial" w:hint="cs"/>
          <w:rtl/>
        </w:rPr>
        <w:t xml:space="preserve">- </w:t>
      </w:r>
      <w:r>
        <w:rPr>
          <w:rFonts w:cs="Arial"/>
          <w:rtl/>
        </w:rPr>
        <w:t>משלם ק"ק על פי שני העדים</w:t>
      </w:r>
      <w:r>
        <w:rPr>
          <w:rFonts w:cs="Arial" w:hint="cs"/>
          <w:rtl/>
        </w:rPr>
        <w:t>.</w:t>
      </w:r>
      <w:r>
        <w:rPr>
          <w:rFonts w:cs="Arial"/>
          <w:rtl/>
        </w:rPr>
        <w:t xml:space="preserve"> ואם תבעו ש' נראה דאפ</w:t>
      </w:r>
      <w:r>
        <w:rPr>
          <w:rFonts w:cs="Arial" w:hint="cs"/>
          <w:rtl/>
        </w:rPr>
        <w:t>"</w:t>
      </w:r>
      <w:r>
        <w:rPr>
          <w:rFonts w:cs="Arial"/>
          <w:rtl/>
        </w:rPr>
        <w:t>ה אינו משלם אלא ק"ק שהרי אפשר שהמאה מכלל הק"ק שמעידים אלו הם</w:t>
      </w:r>
      <w:r>
        <w:rPr>
          <w:rFonts w:cs="Arial" w:hint="cs"/>
          <w:rtl/>
        </w:rPr>
        <w:t>, ב"י.</w:t>
      </w:r>
    </w:p>
  </w:footnote>
  <w:footnote w:id="1709">
    <w:p w14:paraId="78E6C4CF" w14:textId="77777777" w:rsidR="0013116F" w:rsidRDefault="0013116F" w:rsidP="004B607F">
      <w:pPr>
        <w:pStyle w:val="a9"/>
        <w:rPr>
          <w:rtl/>
        </w:rPr>
      </w:pPr>
      <w:r>
        <w:rPr>
          <w:rStyle w:val="ab"/>
        </w:rPr>
        <w:footnoteRef/>
      </w:r>
      <w:r>
        <w:rPr>
          <w:rtl/>
        </w:rPr>
        <w:t xml:space="preserve"> </w:t>
      </w:r>
      <w:r>
        <w:rPr>
          <w:rFonts w:cs="Arial"/>
          <w:rtl/>
        </w:rPr>
        <w:t>ודברים תמוהים הם</w:t>
      </w:r>
      <w:r>
        <w:rPr>
          <w:rFonts w:cs="Arial" w:hint="cs"/>
          <w:rtl/>
        </w:rPr>
        <w:t xml:space="preserve">, ב"י. וכתב הדרכ"מ </w:t>
      </w:r>
      <w:r w:rsidRPr="00FD01EC">
        <w:rPr>
          <w:rFonts w:cs="Arial"/>
          <w:rtl/>
        </w:rPr>
        <w:t>(</w:t>
      </w:r>
      <w:r>
        <w:rPr>
          <w:rFonts w:cs="Arial" w:hint="cs"/>
          <w:rtl/>
        </w:rPr>
        <w:t xml:space="preserve">אות </w:t>
      </w:r>
      <w:r w:rsidRPr="00FD01EC">
        <w:rPr>
          <w:rFonts w:cs="Arial"/>
          <w:rtl/>
        </w:rPr>
        <w:t>ג)</w:t>
      </w:r>
      <w:r>
        <w:rPr>
          <w:rFonts w:cs="Arial" w:hint="cs"/>
          <w:rtl/>
        </w:rPr>
        <w:t xml:space="preserve"> ש</w:t>
      </w:r>
      <w:r w:rsidRPr="00FD01EC">
        <w:rPr>
          <w:rFonts w:cs="Arial"/>
          <w:rtl/>
        </w:rPr>
        <w:t>אינ</w:t>
      </w:r>
      <w:r>
        <w:rPr>
          <w:rFonts w:cs="Arial" w:hint="cs"/>
          <w:rtl/>
        </w:rPr>
        <w:t>ו</w:t>
      </w:r>
      <w:r w:rsidRPr="00FD01EC">
        <w:rPr>
          <w:rFonts w:cs="Arial"/>
          <w:rtl/>
        </w:rPr>
        <w:t xml:space="preserve"> יודע למה</w:t>
      </w:r>
      <w:r>
        <w:rPr>
          <w:rFonts w:cs="Arial" w:hint="cs"/>
          <w:rtl/>
        </w:rPr>
        <w:t>,</w:t>
      </w:r>
      <w:r w:rsidRPr="00FD01EC">
        <w:rPr>
          <w:rFonts w:cs="Arial"/>
          <w:rtl/>
        </w:rPr>
        <w:t xml:space="preserve"> כי לפי הנראה דינא הכי</w:t>
      </w:r>
      <w:r>
        <w:rPr>
          <w:rFonts w:cs="Arial" w:hint="cs"/>
          <w:rtl/>
        </w:rPr>
        <w:t>,</w:t>
      </w:r>
      <w:r w:rsidRPr="00FD01EC">
        <w:rPr>
          <w:rFonts w:cs="Arial"/>
          <w:rtl/>
        </w:rPr>
        <w:t xml:space="preserve"> דהא המקבל מתנה מודה דעדות אחת שקר וא</w:t>
      </w:r>
      <w:r>
        <w:rPr>
          <w:rFonts w:cs="Arial" w:hint="cs"/>
          <w:rtl/>
        </w:rPr>
        <w:t>"</w:t>
      </w:r>
      <w:r w:rsidRPr="00FD01EC">
        <w:rPr>
          <w:rFonts w:cs="Arial"/>
          <w:rtl/>
        </w:rPr>
        <w:t>א להיות שני העדויות אמת</w:t>
      </w:r>
      <w:r>
        <w:rPr>
          <w:rFonts w:cs="Arial" w:hint="cs"/>
          <w:rtl/>
        </w:rPr>
        <w:t>,</w:t>
      </w:r>
      <w:r w:rsidRPr="00FD01EC">
        <w:rPr>
          <w:rFonts w:cs="Arial"/>
          <w:rtl/>
        </w:rPr>
        <w:t xml:space="preserve"> ואם כן אין במתנה אחרונה רק עד אחד</w:t>
      </w:r>
      <w:r>
        <w:rPr>
          <w:rFonts w:cs="Arial" w:hint="cs"/>
          <w:rtl/>
        </w:rPr>
        <w:t>,</w:t>
      </w:r>
      <w:r w:rsidRPr="00FD01EC">
        <w:rPr>
          <w:rFonts w:cs="Arial"/>
          <w:rtl/>
        </w:rPr>
        <w:t xml:space="preserve"> וגם הוא מוכחש מן העד הראשון</w:t>
      </w:r>
      <w:r>
        <w:rPr>
          <w:rFonts w:cs="Arial" w:hint="cs"/>
          <w:rtl/>
        </w:rPr>
        <w:t>,</w:t>
      </w:r>
      <w:r w:rsidRPr="00FD01EC">
        <w:rPr>
          <w:rFonts w:cs="Arial"/>
          <w:rtl/>
        </w:rPr>
        <w:t xml:space="preserve"> ודמיא להא דכתב הרמ"ה בסמוך (ס"ז) דאם אין המלוה תובע רק מנה אחד וכו'</w:t>
      </w:r>
      <w:r>
        <w:rPr>
          <w:rFonts w:cs="Arial" w:hint="cs"/>
          <w:rtl/>
        </w:rPr>
        <w:t>.</w:t>
      </w:r>
      <w:r>
        <w:rPr>
          <w:rFonts w:hint="cs"/>
          <w:rtl/>
        </w:rPr>
        <w:t xml:space="preserve"> עכ"ל. והסכים הסמ"ע (סקכ"ו) לדבריו.</w:t>
      </w:r>
    </w:p>
  </w:footnote>
  <w:footnote w:id="1710">
    <w:p w14:paraId="48192924" w14:textId="77777777" w:rsidR="0013116F" w:rsidRDefault="0013116F" w:rsidP="004B607F">
      <w:pPr>
        <w:pStyle w:val="a9"/>
      </w:pPr>
      <w:r>
        <w:rPr>
          <w:rStyle w:val="ab"/>
        </w:rPr>
        <w:footnoteRef/>
      </w:r>
      <w:r>
        <w:rPr>
          <w:rtl/>
        </w:rPr>
        <w:t xml:space="preserve"> </w:t>
      </w:r>
      <w:r w:rsidRPr="007675C0">
        <w:rPr>
          <w:rFonts w:cs="Arial"/>
          <w:rtl/>
        </w:rPr>
        <w:t>נראה דה"ה אם תבעו סתם בשני מנין, ואומר ששכח אימת הלוהו, אם הלוהו יחד או בזה אחר זה, גם כן אין הכחשה, שהרי סיימו הטור [סע</w:t>
      </w:r>
      <w:r>
        <w:rPr>
          <w:rFonts w:cs="Arial" w:hint="cs"/>
          <w:rtl/>
        </w:rPr>
        <w:t>'</w:t>
      </w:r>
      <w:r w:rsidRPr="007675C0">
        <w:rPr>
          <w:rFonts w:cs="Arial"/>
          <w:rtl/>
        </w:rPr>
        <w:t xml:space="preserve"> ז] והמחבר בזה וכתבו ז"ל, אבל אם המלוה מודה שלא הלוהו אלא חד מנה כו', משמע דוקא בכהאי גוונא, הא אם תבעו ב' מנים, אף שלא תבעו בפירוש לאותן הזמנים שאמרו העדים, ג"כ מצטרפין לשלם לו מנה,</w:t>
      </w:r>
      <w:r>
        <w:rPr>
          <w:rFonts w:cs="Arial" w:hint="cs"/>
          <w:rtl/>
        </w:rPr>
        <w:t xml:space="preserve"> סמ"ע </w:t>
      </w:r>
      <w:r w:rsidRPr="007675C0">
        <w:rPr>
          <w:rFonts w:cs="Arial" w:hint="cs"/>
          <w:sz w:val="16"/>
          <w:szCs w:val="16"/>
          <w:rtl/>
        </w:rPr>
        <w:t>(סקכ"ב)</w:t>
      </w:r>
      <w:r w:rsidRPr="007675C0">
        <w:rPr>
          <w:rFonts w:cs="Arial"/>
          <w:rtl/>
        </w:rPr>
        <w:t xml:space="preserve">. </w:t>
      </w:r>
      <w:r>
        <w:rPr>
          <w:rFonts w:cs="Arial" w:hint="cs"/>
          <w:rtl/>
        </w:rPr>
        <w:t>וכתב ב</w:t>
      </w:r>
      <w:r w:rsidRPr="007675C0">
        <w:rPr>
          <w:rFonts w:cs="Arial"/>
          <w:rtl/>
        </w:rPr>
        <w:t>הגה</w:t>
      </w:r>
      <w:r>
        <w:rPr>
          <w:rFonts w:cs="Arial" w:hint="cs"/>
          <w:rtl/>
        </w:rPr>
        <w:t>' הסמ"ע (סקכ"ב)</w:t>
      </w:r>
      <w:r w:rsidRPr="007675C0">
        <w:rPr>
          <w:rFonts w:cs="Arial"/>
          <w:rtl/>
        </w:rPr>
        <w:t xml:space="preserve"> </w:t>
      </w:r>
      <w:r>
        <w:rPr>
          <w:rFonts w:cs="Arial" w:hint="cs"/>
          <w:rtl/>
        </w:rPr>
        <w:t>וז"ל- כתב ה</w:t>
      </w:r>
      <w:r w:rsidRPr="007675C0">
        <w:rPr>
          <w:rFonts w:cs="Arial"/>
          <w:rtl/>
        </w:rPr>
        <w:t>ב"י</w:t>
      </w:r>
      <w:r>
        <w:rPr>
          <w:rFonts w:cs="Arial" w:hint="cs"/>
          <w:rtl/>
        </w:rPr>
        <w:t xml:space="preserve"> </w:t>
      </w:r>
      <w:r w:rsidRPr="007675C0">
        <w:rPr>
          <w:rFonts w:cs="Arial" w:hint="cs"/>
          <w:sz w:val="16"/>
          <w:szCs w:val="16"/>
          <w:rtl/>
        </w:rPr>
        <w:t>(</w:t>
      </w:r>
      <w:r w:rsidRPr="007675C0">
        <w:rPr>
          <w:rFonts w:cs="Arial"/>
          <w:sz w:val="16"/>
          <w:szCs w:val="16"/>
          <w:rtl/>
        </w:rPr>
        <w:t>סימן כ"ח סעיף ט"ו</w:t>
      </w:r>
      <w:r w:rsidRPr="007675C0">
        <w:rPr>
          <w:rFonts w:cs="Arial" w:hint="cs"/>
          <w:sz w:val="16"/>
          <w:szCs w:val="16"/>
          <w:rtl/>
        </w:rPr>
        <w:t>)</w:t>
      </w:r>
      <w:r w:rsidRPr="007675C0">
        <w:rPr>
          <w:rFonts w:cs="Arial"/>
          <w:rtl/>
        </w:rPr>
        <w:t xml:space="preserve"> וז"ל ואע</w:t>
      </w:r>
      <w:r>
        <w:rPr>
          <w:rFonts w:cs="Arial" w:hint="cs"/>
          <w:rtl/>
        </w:rPr>
        <w:t>"</w:t>
      </w:r>
      <w:r w:rsidRPr="007675C0">
        <w:rPr>
          <w:rFonts w:cs="Arial"/>
          <w:rtl/>
        </w:rPr>
        <w:t>ג דע"א היכא דאחר מכחישו לאו כלום הוא, מ"מ אם הוא דבר שיכול להתברר נאמן, כ"כ מהרי"ק שורש א', עכ"ל. ור"ל עד השני אומר אני אברר דברי, כל זמן שאינו מברר, עד הראשון נאמן</w:t>
      </w:r>
      <w:r>
        <w:rPr>
          <w:rFonts w:cs="Arial" w:hint="cs"/>
          <w:rtl/>
        </w:rPr>
        <w:t xml:space="preserve"> </w:t>
      </w:r>
      <w:r w:rsidRPr="007675C0">
        <w:rPr>
          <w:rFonts w:cs="Arial" w:hint="cs"/>
          <w:sz w:val="16"/>
          <w:szCs w:val="16"/>
          <w:rtl/>
        </w:rPr>
        <w:t>(</w:t>
      </w:r>
      <w:r w:rsidRPr="007675C0">
        <w:rPr>
          <w:rFonts w:cs="Arial"/>
          <w:sz w:val="16"/>
          <w:szCs w:val="16"/>
          <w:rtl/>
        </w:rPr>
        <w:t>וע</w:t>
      </w:r>
      <w:r>
        <w:rPr>
          <w:rFonts w:cs="Arial" w:hint="cs"/>
          <w:sz w:val="16"/>
          <w:szCs w:val="16"/>
          <w:rtl/>
        </w:rPr>
        <w:t>"ל</w:t>
      </w:r>
      <w:r w:rsidRPr="007675C0">
        <w:rPr>
          <w:rFonts w:cs="Arial"/>
          <w:sz w:val="16"/>
          <w:szCs w:val="16"/>
          <w:rtl/>
        </w:rPr>
        <w:t xml:space="preserve"> סי</w:t>
      </w:r>
      <w:r>
        <w:rPr>
          <w:rFonts w:cs="Arial" w:hint="cs"/>
          <w:sz w:val="16"/>
          <w:szCs w:val="16"/>
          <w:rtl/>
        </w:rPr>
        <w:t>'</w:t>
      </w:r>
      <w:r w:rsidRPr="007675C0">
        <w:rPr>
          <w:rFonts w:cs="Arial"/>
          <w:sz w:val="16"/>
          <w:szCs w:val="16"/>
          <w:rtl/>
        </w:rPr>
        <w:t xml:space="preserve"> ע סע</w:t>
      </w:r>
      <w:r>
        <w:rPr>
          <w:rFonts w:cs="Arial" w:hint="cs"/>
          <w:sz w:val="16"/>
          <w:szCs w:val="16"/>
          <w:rtl/>
        </w:rPr>
        <w:t>'</w:t>
      </w:r>
      <w:r w:rsidRPr="007675C0">
        <w:rPr>
          <w:rFonts w:cs="Arial"/>
          <w:sz w:val="16"/>
          <w:szCs w:val="16"/>
          <w:rtl/>
        </w:rPr>
        <w:t xml:space="preserve"> ב ור</w:t>
      </w:r>
      <w:r>
        <w:rPr>
          <w:rFonts w:cs="Arial" w:hint="cs"/>
          <w:sz w:val="16"/>
          <w:szCs w:val="16"/>
          <w:rtl/>
        </w:rPr>
        <w:t>"</w:t>
      </w:r>
      <w:r w:rsidRPr="007675C0">
        <w:rPr>
          <w:rFonts w:cs="Arial"/>
          <w:sz w:val="16"/>
          <w:szCs w:val="16"/>
          <w:rtl/>
        </w:rPr>
        <w:t>ס ע"ה, בדין אי צריך התובע לברר דבריו</w:t>
      </w:r>
      <w:r>
        <w:rPr>
          <w:rFonts w:cs="Arial" w:hint="cs"/>
          <w:sz w:val="16"/>
          <w:szCs w:val="16"/>
          <w:rtl/>
        </w:rPr>
        <w:t>)</w:t>
      </w:r>
      <w:r>
        <w:rPr>
          <w:rFonts w:cs="Arial" w:hint="cs"/>
          <w:rtl/>
        </w:rPr>
        <w:t>. עכ"ל ההגה.</w:t>
      </w:r>
      <w:r w:rsidRPr="007675C0">
        <w:rPr>
          <w:rtl/>
        </w:rPr>
        <w:t xml:space="preserve"> </w:t>
      </w:r>
      <w:r>
        <w:rPr>
          <w:rFonts w:hint="cs"/>
          <w:rtl/>
        </w:rPr>
        <w:t xml:space="preserve">וכתב הש"ך (סקי"ג) </w:t>
      </w:r>
      <w:r>
        <w:rPr>
          <w:rFonts w:cs="Arial" w:hint="cs"/>
          <w:rtl/>
        </w:rPr>
        <w:t>ד</w:t>
      </w:r>
      <w:r w:rsidRPr="007675C0">
        <w:rPr>
          <w:rFonts w:cs="Arial"/>
          <w:rtl/>
        </w:rPr>
        <w:t>לא נהירא</w:t>
      </w:r>
      <w:r>
        <w:rPr>
          <w:rFonts w:cs="Arial" w:hint="cs"/>
          <w:rtl/>
        </w:rPr>
        <w:t>,</w:t>
      </w:r>
      <w:r w:rsidRPr="007675C0">
        <w:rPr>
          <w:rFonts w:cs="Arial"/>
          <w:rtl/>
        </w:rPr>
        <w:t xml:space="preserve"> דלמה יהא הראשון נאמן יותר מהשני, אלא מיירי שהראשון אומר אני אברר את דברי והשני אינו רוצה לברר. וכ</w:t>
      </w:r>
      <w:r>
        <w:rPr>
          <w:rFonts w:cs="Arial" w:hint="cs"/>
          <w:rtl/>
        </w:rPr>
        <w:t>"</w:t>
      </w:r>
      <w:r w:rsidRPr="007675C0">
        <w:rPr>
          <w:rFonts w:cs="Arial"/>
          <w:rtl/>
        </w:rPr>
        <w:t xml:space="preserve">ה להדיא בקידושין </w:t>
      </w:r>
      <w:r>
        <w:rPr>
          <w:rFonts w:cs="Arial" w:hint="cs"/>
          <w:rtl/>
        </w:rPr>
        <w:t>(סו:)</w:t>
      </w:r>
      <w:r w:rsidRPr="007675C0">
        <w:rPr>
          <w:rFonts w:cs="Arial"/>
          <w:rtl/>
        </w:rPr>
        <w:t xml:space="preserve"> גבי שלח ואחוי בתוס' </w:t>
      </w:r>
      <w:r w:rsidRPr="000C7F26">
        <w:rPr>
          <w:rFonts w:cs="Arial" w:hint="cs"/>
          <w:sz w:val="16"/>
          <w:szCs w:val="16"/>
          <w:rtl/>
        </w:rPr>
        <w:t>(</w:t>
      </w:r>
      <w:r w:rsidRPr="000C7F26">
        <w:rPr>
          <w:rFonts w:cs="Arial"/>
          <w:sz w:val="16"/>
          <w:szCs w:val="16"/>
          <w:rtl/>
        </w:rPr>
        <w:t>שם ד"ה שלח</w:t>
      </w:r>
      <w:r>
        <w:rPr>
          <w:rFonts w:cs="Arial" w:hint="cs"/>
          <w:sz w:val="16"/>
          <w:szCs w:val="16"/>
          <w:rtl/>
        </w:rPr>
        <w:t>)</w:t>
      </w:r>
      <w:r w:rsidRPr="007675C0">
        <w:rPr>
          <w:rFonts w:cs="Arial"/>
          <w:rtl/>
        </w:rPr>
        <w:t>. ומהרי"ק שם מייתי ראיה, דכיון דיכול להתברר והשני אינו מברר הראשון נאמן ולא השני, ע"ש ודו"ק. ומ"מ אני תמה בעיקר הדין שהעתיק הב"י בסי' כ"ח כן בשם מהרי"ק ותוס</w:t>
      </w:r>
      <w:r>
        <w:rPr>
          <w:rFonts w:cs="Arial" w:hint="cs"/>
          <w:rtl/>
        </w:rPr>
        <w:t>'</w:t>
      </w:r>
      <w:r w:rsidRPr="007675C0">
        <w:rPr>
          <w:rFonts w:cs="Arial"/>
          <w:rtl/>
        </w:rPr>
        <w:t xml:space="preserve"> בקידושין פרק האומר, וכ"כ הד"מ [סע</w:t>
      </w:r>
      <w:r>
        <w:rPr>
          <w:rFonts w:cs="Arial" w:hint="cs"/>
          <w:rtl/>
        </w:rPr>
        <w:t>'</w:t>
      </w:r>
      <w:r w:rsidRPr="007675C0">
        <w:rPr>
          <w:rFonts w:cs="Arial"/>
          <w:rtl/>
        </w:rPr>
        <w:t xml:space="preserve"> יג] והסמ"ע כאן בסימן זה [סקכ"ב] בשם מהרי"ק, שהרי לא נאמר דין זה בקידושין שם רק גבי איסורין משום דע"א נאמן באיסורין, אלא היכא דאחר מכחישו אינו נאמן, והלכך בדבר שיכול להתברר אומרין דנאמן להחמיר בדבר איסור, אבל בממון לא שמענו דין זה מעולם, ולא אישתמיט חד מהפוסקים דלכתוב כן. וגם מהרי"ק שם לא כ</w:t>
      </w:r>
      <w:r>
        <w:rPr>
          <w:rFonts w:cs="Arial" w:hint="cs"/>
          <w:rtl/>
        </w:rPr>
        <w:t>"</w:t>
      </w:r>
      <w:r w:rsidRPr="007675C0">
        <w:rPr>
          <w:rFonts w:cs="Arial"/>
          <w:rtl/>
        </w:rPr>
        <w:t>כ לדינא לענין ממון, רק מייתי שם דוגמא דמצינו בדבר שיכול להתברר לא סמכינן על הדיחוי</w:t>
      </w:r>
      <w:r>
        <w:rPr>
          <w:rFonts w:cs="Arial" w:hint="cs"/>
          <w:rtl/>
        </w:rPr>
        <w:t>..</w:t>
      </w:r>
      <w:r w:rsidRPr="007675C0">
        <w:rPr>
          <w:rFonts w:cs="Arial"/>
          <w:rtl/>
        </w:rPr>
        <w:t>. וכן נראה לי עיקר לדינא דלענין ממון אין חילוק בין דבר שיכול להתברר או לא. ודברי הב"י והד"מ והסמ"ע בזה צל"ע</w:t>
      </w:r>
      <w:r>
        <w:rPr>
          <w:rFonts w:hint="cs"/>
          <w:rtl/>
        </w:rPr>
        <w:t>.</w:t>
      </w:r>
    </w:p>
  </w:footnote>
  <w:footnote w:id="1711">
    <w:p w14:paraId="084C324F" w14:textId="77777777" w:rsidR="0013116F" w:rsidRDefault="0013116F" w:rsidP="004B607F">
      <w:pPr>
        <w:pStyle w:val="a9"/>
        <w:rPr>
          <w:rtl/>
        </w:rPr>
      </w:pPr>
      <w:r>
        <w:rPr>
          <w:rStyle w:val="ab"/>
        </w:rPr>
        <w:footnoteRef/>
      </w:r>
      <w:r>
        <w:rPr>
          <w:rtl/>
        </w:rPr>
        <w:t xml:space="preserve"> </w:t>
      </w:r>
      <w:r w:rsidRPr="007675C0">
        <w:rPr>
          <w:rFonts w:cs="Arial"/>
          <w:rtl/>
        </w:rPr>
        <w:t>כגון שזה מעיד שנעשה ב' בחודש, והשני מעיד שנעשה ד' ימים בחודש, דכל שמחולקים בב' ימים וכ"ש יותר ליכא למיתלי בטעות זה. א</w:t>
      </w:r>
      <w:r>
        <w:rPr>
          <w:rFonts w:cs="Arial" w:hint="cs"/>
          <w:rtl/>
        </w:rPr>
        <w:t>"</w:t>
      </w:r>
      <w:r w:rsidRPr="007675C0">
        <w:rPr>
          <w:rFonts w:cs="Arial"/>
          <w:rtl/>
        </w:rPr>
        <w:t>נ</w:t>
      </w:r>
      <w:r>
        <w:rPr>
          <w:rFonts w:cs="Arial" w:hint="cs"/>
          <w:rtl/>
        </w:rPr>
        <w:t xml:space="preserve"> </w:t>
      </w:r>
      <w:r w:rsidRPr="007675C0">
        <w:rPr>
          <w:rFonts w:cs="Arial"/>
          <w:rtl/>
        </w:rPr>
        <w:t xml:space="preserve">אינן מחולקים אלא ביום אחד והוא אחר חצי החודש, שזה אומר שנעשה ט"ז ימים לחודש והשני אומר י"ז לחודש, שכל שאחר חצי חודש כבר ידעו הבריות שנתעבר החודש ולא טעו בהכי. גמ' </w:t>
      </w:r>
      <w:r>
        <w:rPr>
          <w:rFonts w:cs="Arial" w:hint="cs"/>
          <w:sz w:val="16"/>
          <w:szCs w:val="16"/>
          <w:rtl/>
        </w:rPr>
        <w:t>(</w:t>
      </w:r>
      <w:r w:rsidRPr="007675C0">
        <w:rPr>
          <w:rFonts w:cs="Arial"/>
          <w:sz w:val="16"/>
          <w:szCs w:val="16"/>
          <w:rtl/>
        </w:rPr>
        <w:t>סנהדרין מא</w:t>
      </w:r>
      <w:r w:rsidRPr="007675C0">
        <w:rPr>
          <w:rFonts w:cs="Arial" w:hint="cs"/>
          <w:sz w:val="16"/>
          <w:szCs w:val="16"/>
          <w:rtl/>
        </w:rPr>
        <w:t>:)</w:t>
      </w:r>
      <w:r w:rsidRPr="007675C0">
        <w:rPr>
          <w:rFonts w:cs="Arial"/>
          <w:rtl/>
        </w:rPr>
        <w:t>. וכן אם עד אחד אומר קודם הנץ החמה ואחד אומר בהנץ החמה, אע</w:t>
      </w:r>
      <w:r>
        <w:rPr>
          <w:rFonts w:cs="Arial" w:hint="cs"/>
          <w:rtl/>
        </w:rPr>
        <w:t>"</w:t>
      </w:r>
      <w:r w:rsidRPr="007675C0">
        <w:rPr>
          <w:rFonts w:cs="Arial"/>
          <w:rtl/>
        </w:rPr>
        <w:t>פ שהוא בשעה אחת הדבר ניכר לכל. וכן אם נחלקו בשקיעתה. ב"י וד"מ ב'</w:t>
      </w:r>
      <w:r>
        <w:rPr>
          <w:rFonts w:hint="cs"/>
          <w:rtl/>
        </w:rPr>
        <w:t>, סמ"ע (סקכ"ג).</w:t>
      </w:r>
    </w:p>
  </w:footnote>
  <w:footnote w:id="1712">
    <w:p w14:paraId="6E32A736" w14:textId="77777777" w:rsidR="0013116F" w:rsidRDefault="0013116F" w:rsidP="004B607F">
      <w:pPr>
        <w:pStyle w:val="a9"/>
        <w:rPr>
          <w:rtl/>
        </w:rPr>
      </w:pPr>
      <w:r>
        <w:rPr>
          <w:rStyle w:val="ab"/>
        </w:rPr>
        <w:footnoteRef/>
      </w:r>
      <w:r>
        <w:rPr>
          <w:rtl/>
        </w:rPr>
        <w:t xml:space="preserve"> </w:t>
      </w:r>
      <w:r w:rsidRPr="007675C0">
        <w:rPr>
          <w:rFonts w:cs="Arial"/>
          <w:rtl/>
        </w:rPr>
        <w:t>ולא אמרינן שאלו עדים יחשבו כמוכחשין ותהיה עדותן בטלה כמ"ש הטור והמחבר בסימן שאחר זה [סעיף א'], דלא מחשבינן למוכחשין אלא כשזה אומר לוה וזה אומר לא לוה, אבל כאן דכל אחד מעיד שלוה ממנו בזמנים מתחלפים, מצד העדים יכול להיות דשניהן אומרים אמת [משא"כ לעיל סעיף ב' דמכחישין זה את זה בלא כי, או כיוצא בו], אלא שמצד התובע שאינו תובע אלא מנה אחד נתברר שחד מינייהו משקר, מ"מ אחד מהן אומר אמת גם לפי דברי התובע, וצריך לישבע שבועה דאורייתא נגד אותו העד. אשר"י [סנהדרין פ"ג סי' ל"ד]</w:t>
      </w:r>
      <w:r>
        <w:rPr>
          <w:rFonts w:hint="cs"/>
          <w:rtl/>
        </w:rPr>
        <w:t>, סמ"ע (סקכ"ה).</w:t>
      </w:r>
    </w:p>
  </w:footnote>
  <w:footnote w:id="1713">
    <w:p w14:paraId="2845AA65" w14:textId="77777777" w:rsidR="0013116F" w:rsidRDefault="0013116F" w:rsidP="004B607F">
      <w:pPr>
        <w:pStyle w:val="a9"/>
        <w:rPr>
          <w:rtl/>
        </w:rPr>
      </w:pPr>
      <w:r>
        <w:rPr>
          <w:rStyle w:val="ab"/>
        </w:rPr>
        <w:footnoteRef/>
      </w:r>
      <w:r>
        <w:rPr>
          <w:rtl/>
        </w:rPr>
        <w:t xml:space="preserve"> </w:t>
      </w:r>
      <w:r>
        <w:rPr>
          <w:rFonts w:cs="Arial"/>
          <w:rtl/>
        </w:rPr>
        <w:t>כלומר</w:t>
      </w:r>
      <w:r>
        <w:rPr>
          <w:rFonts w:cs="Arial" w:hint="cs"/>
          <w:rtl/>
        </w:rPr>
        <w:t>,</w:t>
      </w:r>
      <w:r>
        <w:rPr>
          <w:rFonts w:cs="Arial"/>
          <w:rtl/>
        </w:rPr>
        <w:t xml:space="preserve"> דאילו נעשה בתר ניסן זה שאומר בניסן פרעו מנה לאו אהאי שטרא קא מסהיד</w:t>
      </w:r>
      <w:r>
        <w:rPr>
          <w:rFonts w:cs="Arial" w:hint="cs"/>
          <w:rtl/>
        </w:rPr>
        <w:t>,</w:t>
      </w:r>
      <w:r>
        <w:rPr>
          <w:rFonts w:cs="Arial"/>
          <w:rtl/>
        </w:rPr>
        <w:t xml:space="preserve"> דהא אכתי שטרא לא הוה</w:t>
      </w:r>
      <w:r>
        <w:rPr>
          <w:rFonts w:cs="Arial" w:hint="cs"/>
          <w:rtl/>
        </w:rPr>
        <w:t>,</w:t>
      </w:r>
      <w:r>
        <w:rPr>
          <w:rFonts w:cs="Arial"/>
          <w:rtl/>
        </w:rPr>
        <w:t xml:space="preserve"> וה</w:t>
      </w:r>
      <w:r>
        <w:rPr>
          <w:rFonts w:cs="Arial" w:hint="cs"/>
          <w:rtl/>
        </w:rPr>
        <w:t>"</w:t>
      </w:r>
      <w:r>
        <w:rPr>
          <w:rFonts w:cs="Arial"/>
          <w:rtl/>
        </w:rPr>
        <w:t>ה אם נעשה השטר בט"ו בניסן וזה מודה שפרעו מנה ביום שאחריו או בו ביום דעדותו כשרה</w:t>
      </w:r>
      <w:r>
        <w:rPr>
          <w:rFonts w:cs="Arial" w:hint="cs"/>
          <w:rtl/>
        </w:rPr>
        <w:t>,</w:t>
      </w:r>
      <w:r>
        <w:rPr>
          <w:rFonts w:cs="Arial"/>
          <w:rtl/>
        </w:rPr>
        <w:t xml:space="preserve"> לא נתמעט אלא היכא שמעיד שפרעו מנה קודם עשיית השטר</w:t>
      </w:r>
      <w:r>
        <w:rPr>
          <w:rFonts w:hint="cs"/>
          <w:rtl/>
        </w:rPr>
        <w:t>, ב"י.</w:t>
      </w:r>
    </w:p>
  </w:footnote>
  <w:footnote w:id="1714">
    <w:p w14:paraId="13A6AE33" w14:textId="77777777" w:rsidR="0013116F" w:rsidRDefault="0013116F" w:rsidP="004B607F">
      <w:pPr>
        <w:pStyle w:val="a9"/>
        <w:rPr>
          <w:rtl/>
        </w:rPr>
      </w:pPr>
      <w:r>
        <w:rPr>
          <w:rStyle w:val="ab"/>
        </w:rPr>
        <w:footnoteRef/>
      </w:r>
      <w:r>
        <w:rPr>
          <w:rtl/>
        </w:rPr>
        <w:t xml:space="preserve"> </w:t>
      </w:r>
      <w:r>
        <w:rPr>
          <w:rFonts w:cs="Arial"/>
          <w:rtl/>
        </w:rPr>
        <w:t>היינו לפי שזה מביא עדי פרעון נגד שטרו של זה</w:t>
      </w:r>
      <w:r>
        <w:rPr>
          <w:rFonts w:cs="Arial" w:hint="cs"/>
          <w:rtl/>
        </w:rPr>
        <w:t>,</w:t>
      </w:r>
      <w:r>
        <w:rPr>
          <w:rFonts w:cs="Arial"/>
          <w:rtl/>
        </w:rPr>
        <w:t xml:space="preserve"> והאי דקאמר סטראי נינהו היא טענה על פה ולא מהימן</w:t>
      </w:r>
      <w:r>
        <w:rPr>
          <w:rFonts w:hint="cs"/>
          <w:rtl/>
        </w:rPr>
        <w:t>, ב"י.</w:t>
      </w:r>
    </w:p>
  </w:footnote>
  <w:footnote w:id="1715">
    <w:p w14:paraId="7C759545" w14:textId="77777777" w:rsidR="0013116F" w:rsidRDefault="0013116F" w:rsidP="004B607F">
      <w:pPr>
        <w:pStyle w:val="a9"/>
        <w:rPr>
          <w:rtl/>
        </w:rPr>
      </w:pPr>
      <w:r>
        <w:rPr>
          <w:rStyle w:val="ab"/>
        </w:rPr>
        <w:footnoteRef/>
      </w:r>
      <w:r>
        <w:rPr>
          <w:rtl/>
        </w:rPr>
        <w:t xml:space="preserve"> </w:t>
      </w:r>
      <w:r w:rsidRPr="00E62139">
        <w:rPr>
          <w:rFonts w:cs="Arial"/>
          <w:rtl/>
        </w:rPr>
        <w:t>פירוש, ופטור ממנו ממנה כדמסיק, דאע"ג דאמנה דמסהיד האי שראה שפרעו אינו מסהיד האי, שהרי על שני זמנים מתחלפים מעידין, מ"מ שניהם מעידים שראו שפרעו מנה, והוא טוען שפרעו ק"ק כדברי שני העדים, וכמו שכתב בסעיף ו' בעדי הלואה המעידין על שני זמנים. ומינה דאם הלוה בעצמו אינו אומר שפרעו שני מנים אלא מנה אחד, דאין מצטרפין, ויכול המלוה לישבע שבועה דאורייתא נגד העד אחד וגובה בשטרו כל הק"ק, וק"ל</w:t>
      </w:r>
      <w:r>
        <w:rPr>
          <w:rFonts w:hint="cs"/>
          <w:rtl/>
        </w:rPr>
        <w:t>, סמ"ע (סקכ"ז).</w:t>
      </w:r>
    </w:p>
  </w:footnote>
  <w:footnote w:id="1716">
    <w:p w14:paraId="45EC617E" w14:textId="77777777" w:rsidR="0013116F" w:rsidRDefault="0013116F" w:rsidP="004B607F">
      <w:pPr>
        <w:pStyle w:val="a9"/>
        <w:rPr>
          <w:rtl/>
        </w:rPr>
      </w:pPr>
      <w:r>
        <w:rPr>
          <w:rStyle w:val="ab"/>
        </w:rPr>
        <w:footnoteRef/>
      </w:r>
      <w:r>
        <w:rPr>
          <w:rtl/>
        </w:rPr>
        <w:t xml:space="preserve"> </w:t>
      </w:r>
      <w:r w:rsidRPr="00E62139">
        <w:rPr>
          <w:rFonts w:cs="Arial"/>
          <w:rtl/>
        </w:rPr>
        <w:t>בפרישה כתבתי דנראה דלאו דוקא קאמר "קודם", דה"ה אם נכתב בשטר שהלוה לו בניסן סתם והוא הביא עדים שפרעו ביום שני דניסן, דאמרינן דהשטר נעשה בר"ח ניסן והפרעון היה ביום שאחריו, דיד בעל השטר על התחתונה, אלא שמילתא פסיקא נקט הטור והמחבר, ולא בא אלא לאפוקי אם זמן עשיית השטר הוא אחר היום שאמר העד שראה שפרעו הלוה,</w:t>
      </w:r>
      <w:r>
        <w:rPr>
          <w:rFonts w:cs="Arial" w:hint="cs"/>
          <w:rtl/>
        </w:rPr>
        <w:t xml:space="preserve"> </w:t>
      </w:r>
      <w:r>
        <w:rPr>
          <w:rFonts w:hint="cs"/>
          <w:rtl/>
        </w:rPr>
        <w:t>סמ"ע (סקכ"ח).</w:t>
      </w:r>
      <w:r w:rsidRPr="00E62139">
        <w:rPr>
          <w:rtl/>
        </w:rPr>
        <w:t xml:space="preserve"> </w:t>
      </w:r>
      <w:r>
        <w:rPr>
          <w:rFonts w:hint="cs"/>
          <w:rtl/>
        </w:rPr>
        <w:t xml:space="preserve">וכתב הש"ך (סקט"ז) </w:t>
      </w:r>
      <w:r>
        <w:rPr>
          <w:rFonts w:cs="Arial" w:hint="cs"/>
          <w:rtl/>
        </w:rPr>
        <w:t>ד</w:t>
      </w:r>
      <w:r w:rsidRPr="00E62139">
        <w:rPr>
          <w:rFonts w:cs="Arial"/>
          <w:rtl/>
        </w:rPr>
        <w:t>כן נראה עיקר, ודלא כהב"ח [סעיף ח'] שהשיג על</w:t>
      </w:r>
      <w:r>
        <w:rPr>
          <w:rFonts w:cs="Arial" w:hint="cs"/>
          <w:rtl/>
        </w:rPr>
        <w:t xml:space="preserve"> הסמ"ע.</w:t>
      </w:r>
    </w:p>
  </w:footnote>
  <w:footnote w:id="1717">
    <w:p w14:paraId="1864E822" w14:textId="77777777" w:rsidR="0013116F" w:rsidRDefault="0013116F" w:rsidP="004B607F">
      <w:pPr>
        <w:pStyle w:val="a9"/>
      </w:pPr>
      <w:r>
        <w:rPr>
          <w:rStyle w:val="ab"/>
        </w:rPr>
        <w:footnoteRef/>
      </w:r>
      <w:r>
        <w:rPr>
          <w:rtl/>
        </w:rPr>
        <w:t xml:space="preserve"> </w:t>
      </w:r>
      <w:r>
        <w:rPr>
          <w:rFonts w:hint="cs"/>
          <w:rtl/>
        </w:rPr>
        <w:t xml:space="preserve">סימן </w:t>
      </w:r>
      <w:r>
        <w:rPr>
          <w:rtl/>
        </w:rPr>
        <w:t>–</w:t>
      </w:r>
      <w:r>
        <w:rPr>
          <w:rFonts w:hint="cs"/>
          <w:rtl/>
        </w:rPr>
        <w:t xml:space="preserve"> לשון לבד, לשון לבד. </w:t>
      </w:r>
    </w:p>
  </w:footnote>
  <w:footnote w:id="1718">
    <w:p w14:paraId="722A0D28" w14:textId="77777777" w:rsidR="0013116F" w:rsidRDefault="0013116F" w:rsidP="004B607F">
      <w:pPr>
        <w:pStyle w:val="a9"/>
      </w:pPr>
      <w:r>
        <w:rPr>
          <w:rStyle w:val="ab"/>
        </w:rPr>
        <w:footnoteRef/>
      </w:r>
      <w:r>
        <w:rPr>
          <w:rtl/>
        </w:rPr>
        <w:t xml:space="preserve"> </w:t>
      </w:r>
      <w:r w:rsidRPr="00E62139">
        <w:rPr>
          <w:rFonts w:cs="Arial"/>
          <w:rtl/>
        </w:rPr>
        <w:t>כרבי נתן</w:t>
      </w:r>
      <w:r w:rsidRPr="00E62139">
        <w:rPr>
          <w:rFonts w:cs="Arial" w:hint="cs"/>
          <w:rtl/>
        </w:rPr>
        <w:t>,</w:t>
      </w:r>
      <w:r w:rsidRPr="00E62139">
        <w:rPr>
          <w:rFonts w:cs="Arial"/>
          <w:rtl/>
        </w:rPr>
        <w:t xml:space="preserve"> מדאמרינן בגמרא דמודה רבי יהושע בן קרחה לרבי נתן</w:t>
      </w:r>
      <w:r>
        <w:rPr>
          <w:rFonts w:cs="Arial" w:hint="cs"/>
          <w:rtl/>
        </w:rPr>
        <w:t>,</w:t>
      </w:r>
      <w:r w:rsidRPr="00E62139">
        <w:rPr>
          <w:rFonts w:cs="Arial"/>
          <w:rtl/>
        </w:rPr>
        <w:t xml:space="preserve"> וכיון דקיי</w:t>
      </w:r>
      <w:r>
        <w:rPr>
          <w:rFonts w:cs="Arial" w:hint="cs"/>
          <w:rtl/>
        </w:rPr>
        <w:t>"</w:t>
      </w:r>
      <w:r w:rsidRPr="00E62139">
        <w:rPr>
          <w:rFonts w:cs="Arial"/>
          <w:rtl/>
        </w:rPr>
        <w:t>ל כרבי יהושע בן קרחה ממילא קי</w:t>
      </w:r>
      <w:r>
        <w:rPr>
          <w:rFonts w:cs="Arial" w:hint="cs"/>
          <w:rtl/>
        </w:rPr>
        <w:t>י"</w:t>
      </w:r>
      <w:r w:rsidRPr="00E62139">
        <w:rPr>
          <w:rFonts w:cs="Arial"/>
          <w:rtl/>
        </w:rPr>
        <w:t>ל כרבי נתן</w:t>
      </w:r>
      <w:r>
        <w:rPr>
          <w:rFonts w:cs="Arial" w:hint="cs"/>
          <w:rtl/>
        </w:rPr>
        <w:t>.</w:t>
      </w:r>
      <w:r w:rsidRPr="00E62139">
        <w:rPr>
          <w:rFonts w:cs="Arial"/>
          <w:rtl/>
        </w:rPr>
        <w:t xml:space="preserve"> ועוד דדחקינן התם לאוקמי מתניתין כוותיה</w:t>
      </w:r>
      <w:r>
        <w:rPr>
          <w:rFonts w:cs="Arial" w:hint="cs"/>
          <w:rtl/>
        </w:rPr>
        <w:t>.</w:t>
      </w:r>
      <w:r w:rsidRPr="00E62139">
        <w:rPr>
          <w:rFonts w:cs="Arial"/>
          <w:rtl/>
        </w:rPr>
        <w:t xml:space="preserve"> ועוד דרבי נתן דיינא הוא </w:t>
      </w:r>
      <w:r w:rsidRPr="00E62139">
        <w:rPr>
          <w:rFonts w:cs="Arial"/>
          <w:sz w:val="16"/>
          <w:szCs w:val="16"/>
          <w:rtl/>
        </w:rPr>
        <w:t>(ב"ק נג.)</w:t>
      </w:r>
      <w:r>
        <w:rPr>
          <w:rFonts w:cs="Arial" w:hint="cs"/>
          <w:rtl/>
        </w:rPr>
        <w:t xml:space="preserve">. </w:t>
      </w:r>
      <w:r w:rsidRPr="00E62139">
        <w:rPr>
          <w:rFonts w:cs="Arial"/>
          <w:rtl/>
        </w:rPr>
        <w:t xml:space="preserve">ועוד רבן שמעון בן גמליאל דמתניתין דפ"ב דכתובות </w:t>
      </w:r>
      <w:r w:rsidRPr="00E62139">
        <w:rPr>
          <w:rFonts w:cs="Arial"/>
          <w:sz w:val="16"/>
          <w:szCs w:val="16"/>
          <w:rtl/>
        </w:rPr>
        <w:t xml:space="preserve">(כו:) </w:t>
      </w:r>
      <w:r w:rsidRPr="00E62139">
        <w:rPr>
          <w:rFonts w:cs="Arial"/>
          <w:rtl/>
        </w:rPr>
        <w:t>כרבי נתן סבירא ליה</w:t>
      </w:r>
      <w:r>
        <w:rPr>
          <w:rFonts w:cs="Arial" w:hint="cs"/>
          <w:rtl/>
        </w:rPr>
        <w:t>, ב"י.</w:t>
      </w:r>
    </w:p>
  </w:footnote>
  <w:footnote w:id="1719">
    <w:p w14:paraId="5247A932" w14:textId="77777777" w:rsidR="0013116F" w:rsidRDefault="0013116F" w:rsidP="004B607F">
      <w:pPr>
        <w:pStyle w:val="a9"/>
      </w:pPr>
      <w:r>
        <w:rPr>
          <w:rStyle w:val="ab"/>
        </w:rPr>
        <w:footnoteRef/>
      </w:r>
      <w:r>
        <w:rPr>
          <w:rtl/>
        </w:rPr>
        <w:t xml:space="preserve"> </w:t>
      </w:r>
      <w:r>
        <w:rPr>
          <w:rFonts w:hint="cs"/>
          <w:rtl/>
        </w:rPr>
        <w:t xml:space="preserve">סימן </w:t>
      </w:r>
      <w:r>
        <w:rPr>
          <w:rtl/>
        </w:rPr>
        <w:t>–</w:t>
      </w:r>
      <w:r>
        <w:rPr>
          <w:rFonts w:hint="cs"/>
          <w:rtl/>
        </w:rPr>
        <w:t xml:space="preserve"> קיבוץ סהדותא.</w:t>
      </w:r>
    </w:p>
  </w:footnote>
  <w:footnote w:id="1720">
    <w:p w14:paraId="2232D223" w14:textId="77777777" w:rsidR="0013116F" w:rsidRDefault="0013116F" w:rsidP="004B607F">
      <w:pPr>
        <w:pStyle w:val="a9"/>
      </w:pPr>
      <w:r>
        <w:rPr>
          <w:rStyle w:val="ab"/>
        </w:rPr>
        <w:footnoteRef/>
      </w:r>
      <w:r>
        <w:rPr>
          <w:rtl/>
        </w:rPr>
        <w:t xml:space="preserve"> </w:t>
      </w:r>
      <w:r>
        <w:rPr>
          <w:rFonts w:cs="Arial" w:hint="cs"/>
          <w:rtl/>
        </w:rPr>
        <w:t xml:space="preserve">וז"ל- </w:t>
      </w:r>
      <w:r w:rsidRPr="00DB5C49">
        <w:rPr>
          <w:rFonts w:cs="Arial"/>
          <w:rtl/>
        </w:rPr>
        <w:t>ונראה בעיני דלגמרי מכשיר אפילו לטרוף מלקוחות כאילו נחתמו שני עדים דעד אחד בשטר ועד אחד בעל פה מפקי ליה לקלא ונראים הדברים כן דסתם מכשיר לגמרי משמע.</w:t>
      </w:r>
    </w:p>
  </w:footnote>
  <w:footnote w:id="1721">
    <w:p w14:paraId="12B43C91" w14:textId="77777777" w:rsidR="0013116F" w:rsidRDefault="0013116F" w:rsidP="004B607F">
      <w:pPr>
        <w:pStyle w:val="a9"/>
        <w:rPr>
          <w:rtl/>
        </w:rPr>
      </w:pPr>
      <w:r>
        <w:rPr>
          <w:rStyle w:val="ab"/>
        </w:rPr>
        <w:footnoteRef/>
      </w:r>
      <w:r>
        <w:rPr>
          <w:rtl/>
        </w:rPr>
        <w:t xml:space="preserve"> </w:t>
      </w:r>
      <w:r>
        <w:rPr>
          <w:rFonts w:cs="Arial" w:hint="cs"/>
          <w:rtl/>
        </w:rPr>
        <w:t xml:space="preserve">רבנו גרשום </w:t>
      </w:r>
      <w:r>
        <w:rPr>
          <w:rFonts w:cs="Arial" w:hint="cs"/>
          <w:sz w:val="16"/>
          <w:szCs w:val="16"/>
          <w:rtl/>
        </w:rPr>
        <w:t>(קסה.-קסה: ד"ה אמימר מכשר)</w:t>
      </w:r>
      <w:r>
        <w:rPr>
          <w:rFonts w:cs="Arial" w:hint="cs"/>
          <w:rtl/>
        </w:rPr>
        <w:t xml:space="preserve"> </w:t>
      </w:r>
      <w:r w:rsidRPr="00DB5C49">
        <w:rPr>
          <w:rFonts w:cs="Arial"/>
          <w:rtl/>
        </w:rPr>
        <w:t>רשב"ם</w:t>
      </w:r>
      <w:r>
        <w:rPr>
          <w:rFonts w:cs="Arial" w:hint="cs"/>
          <w:sz w:val="16"/>
          <w:szCs w:val="16"/>
          <w:rtl/>
        </w:rPr>
        <w:t xml:space="preserve"> (ד"ה אמימר אכשר)</w:t>
      </w:r>
      <w:r>
        <w:rPr>
          <w:rFonts w:cs="Arial" w:hint="cs"/>
          <w:rtl/>
        </w:rPr>
        <w:t xml:space="preserve"> בהעי"ט</w:t>
      </w:r>
      <w:r>
        <w:rPr>
          <w:rFonts w:cs="Arial" w:hint="cs"/>
          <w:sz w:val="16"/>
          <w:szCs w:val="16"/>
          <w:rtl/>
        </w:rPr>
        <w:t xml:space="preserve"> (כ"כ הרשב"א [בחידו' שם] בשמו)</w:t>
      </w:r>
      <w:r w:rsidRPr="00D002C7">
        <w:rPr>
          <w:rFonts w:cs="Arial"/>
          <w:rtl/>
        </w:rPr>
        <w:t xml:space="preserve"> </w:t>
      </w:r>
      <w:r>
        <w:rPr>
          <w:rFonts w:cs="Arial" w:hint="cs"/>
          <w:rtl/>
        </w:rPr>
        <w:t>ו</w:t>
      </w:r>
      <w:r w:rsidRPr="00DB5C49">
        <w:rPr>
          <w:rFonts w:cs="Arial"/>
          <w:rtl/>
        </w:rPr>
        <w:t>נמוק</w:t>
      </w:r>
      <w:r w:rsidRPr="00DB5C49">
        <w:rPr>
          <w:rFonts w:cs="Arial" w:hint="cs"/>
          <w:rtl/>
        </w:rPr>
        <w:t>"</w:t>
      </w:r>
      <w:r w:rsidRPr="00DB5C49">
        <w:rPr>
          <w:rFonts w:cs="Arial"/>
          <w:rtl/>
        </w:rPr>
        <w:t xml:space="preserve">י </w:t>
      </w:r>
      <w:r w:rsidRPr="00DB5C49">
        <w:rPr>
          <w:rFonts w:cs="Arial"/>
          <w:sz w:val="16"/>
          <w:szCs w:val="16"/>
          <w:rtl/>
        </w:rPr>
        <w:t>(עו</w:t>
      </w:r>
      <w:r w:rsidRPr="00DB5C49">
        <w:rPr>
          <w:rFonts w:cs="Arial" w:hint="cs"/>
          <w:sz w:val="16"/>
          <w:szCs w:val="16"/>
          <w:rtl/>
        </w:rPr>
        <w:t>.</w:t>
      </w:r>
      <w:r w:rsidRPr="00DB5C49">
        <w:rPr>
          <w:rFonts w:cs="Arial"/>
          <w:sz w:val="16"/>
          <w:szCs w:val="16"/>
          <w:rtl/>
        </w:rPr>
        <w:t>)</w:t>
      </w:r>
      <w:r>
        <w:rPr>
          <w:rFonts w:hint="cs"/>
          <w:rtl/>
        </w:rPr>
        <w:t>.</w:t>
      </w:r>
    </w:p>
  </w:footnote>
  <w:footnote w:id="1722">
    <w:p w14:paraId="278454D4" w14:textId="77777777" w:rsidR="0013116F" w:rsidRDefault="0013116F" w:rsidP="004B607F">
      <w:pPr>
        <w:pStyle w:val="a9"/>
        <w:rPr>
          <w:rtl/>
        </w:rPr>
      </w:pPr>
      <w:r>
        <w:rPr>
          <w:rStyle w:val="ab"/>
        </w:rPr>
        <w:footnoteRef/>
      </w:r>
      <w:r>
        <w:rPr>
          <w:rtl/>
        </w:rPr>
        <w:t xml:space="preserve"> </w:t>
      </w:r>
      <w:r>
        <w:rPr>
          <w:rFonts w:cs="Arial" w:hint="cs"/>
          <w:rtl/>
        </w:rPr>
        <w:t>וכתבו ה</w:t>
      </w:r>
      <w:r w:rsidRPr="00DB5C49">
        <w:rPr>
          <w:rFonts w:cs="Arial"/>
          <w:rtl/>
        </w:rPr>
        <w:t xml:space="preserve">רמב"ן </w:t>
      </w:r>
      <w:r w:rsidRPr="00DB5C49">
        <w:rPr>
          <w:rFonts w:cs="Arial"/>
          <w:sz w:val="16"/>
          <w:szCs w:val="16"/>
          <w:rtl/>
        </w:rPr>
        <w:t xml:space="preserve">(שם ד"ה לא נצרכה) </w:t>
      </w:r>
      <w:r w:rsidRPr="00DB5C49">
        <w:rPr>
          <w:rFonts w:cs="Arial"/>
          <w:rtl/>
        </w:rPr>
        <w:t xml:space="preserve">ורבינו יונה </w:t>
      </w:r>
      <w:r w:rsidRPr="00DB5C49">
        <w:rPr>
          <w:rFonts w:cs="Arial"/>
          <w:sz w:val="16"/>
          <w:szCs w:val="16"/>
          <w:rtl/>
        </w:rPr>
        <w:t xml:space="preserve">(שם ד"ה אלא) </w:t>
      </w:r>
      <w:r w:rsidRPr="00DB5C49">
        <w:rPr>
          <w:rFonts w:cs="Arial"/>
          <w:rtl/>
        </w:rPr>
        <w:t>דלא מסתבר כלל האי פירושא</w:t>
      </w:r>
      <w:r>
        <w:rPr>
          <w:rFonts w:cs="Arial" w:hint="cs"/>
          <w:rtl/>
        </w:rPr>
        <w:t>,</w:t>
      </w:r>
      <w:r w:rsidRPr="00DB5C49">
        <w:rPr>
          <w:rFonts w:cs="Arial"/>
          <w:rtl/>
        </w:rPr>
        <w:t xml:space="preserve"> דאין זה מלוה בשטר</w:t>
      </w:r>
      <w:r>
        <w:rPr>
          <w:rFonts w:cs="Arial" w:hint="cs"/>
          <w:rtl/>
        </w:rPr>
        <w:t>,</w:t>
      </w:r>
      <w:r w:rsidRPr="00DB5C49">
        <w:rPr>
          <w:rFonts w:cs="Arial"/>
          <w:rtl/>
        </w:rPr>
        <w:t xml:space="preserve"> דלית ליה קלא כיון דבשטר ליכא תרי סהדי</w:t>
      </w:r>
      <w:r>
        <w:rPr>
          <w:rFonts w:cs="Arial" w:hint="cs"/>
          <w:rtl/>
        </w:rPr>
        <w:t>,</w:t>
      </w:r>
      <w:r w:rsidRPr="00DB5C49">
        <w:rPr>
          <w:rFonts w:cs="Arial"/>
          <w:rtl/>
        </w:rPr>
        <w:t xml:space="preserve"> שלקוחות לא נשמע להם עדות של העד שמעיד על פה</w:t>
      </w:r>
      <w:r>
        <w:rPr>
          <w:rFonts w:cs="Arial" w:hint="cs"/>
          <w:rtl/>
        </w:rPr>
        <w:t>,</w:t>
      </w:r>
      <w:r w:rsidRPr="00DB5C49">
        <w:rPr>
          <w:rFonts w:cs="Arial"/>
          <w:rtl/>
        </w:rPr>
        <w:t xml:space="preserve"> ובשביל השטר שחתום עליו אחד לא ימנעו מליקח</w:t>
      </w:r>
      <w:r>
        <w:rPr>
          <w:rFonts w:cs="Arial" w:hint="cs"/>
          <w:rtl/>
        </w:rPr>
        <w:t>,</w:t>
      </w:r>
      <w:r w:rsidRPr="00DB5C49">
        <w:rPr>
          <w:rFonts w:cs="Arial"/>
          <w:rtl/>
        </w:rPr>
        <w:t xml:space="preserve"> ועוד דלא עדיף קלא דעד אחד מקלא דכתב ידו דגובה מבני חרי </w:t>
      </w:r>
      <w:r w:rsidRPr="00DB5C49">
        <w:rPr>
          <w:rFonts w:cs="Arial"/>
          <w:sz w:val="16"/>
          <w:szCs w:val="16"/>
          <w:rtl/>
        </w:rPr>
        <w:t>(ב"ב קעה:)</w:t>
      </w:r>
      <w:r>
        <w:rPr>
          <w:rFonts w:cs="Arial" w:hint="cs"/>
          <w:rtl/>
        </w:rPr>
        <w:t>,</w:t>
      </w:r>
      <w:r w:rsidRPr="00DB5C49">
        <w:rPr>
          <w:rFonts w:cs="Arial"/>
          <w:rtl/>
        </w:rPr>
        <w:t xml:space="preserve"> ועוד האריך בראיות</w:t>
      </w:r>
      <w:r>
        <w:rPr>
          <w:rFonts w:cs="Arial" w:hint="cs"/>
          <w:rtl/>
        </w:rPr>
        <w:t>, ב"י.</w:t>
      </w:r>
    </w:p>
  </w:footnote>
  <w:footnote w:id="1723">
    <w:p w14:paraId="1AB70DCD" w14:textId="77777777" w:rsidR="0013116F" w:rsidRDefault="0013116F" w:rsidP="004B607F">
      <w:pPr>
        <w:pStyle w:val="a9"/>
        <w:rPr>
          <w:rtl/>
        </w:rPr>
      </w:pPr>
      <w:r>
        <w:rPr>
          <w:rStyle w:val="ab"/>
        </w:rPr>
        <w:footnoteRef/>
      </w:r>
      <w:r>
        <w:rPr>
          <w:rtl/>
        </w:rPr>
        <w:t xml:space="preserve"> </w:t>
      </w:r>
      <w:r>
        <w:rPr>
          <w:rFonts w:hint="cs"/>
          <w:rtl/>
        </w:rPr>
        <w:t>וכתב הב"י ד</w:t>
      </w:r>
      <w:r w:rsidRPr="00FD01EC">
        <w:rPr>
          <w:rFonts w:cs="Arial"/>
          <w:rtl/>
        </w:rPr>
        <w:t>מתוך דברי רבינו סימן נ"א (ס"א) משמע דהכי סבירא ליה</w:t>
      </w:r>
      <w:r>
        <w:rPr>
          <w:rFonts w:cs="Arial" w:hint="cs"/>
          <w:rtl/>
        </w:rPr>
        <w:t>,</w:t>
      </w:r>
      <w:r w:rsidRPr="00FD01EC">
        <w:rPr>
          <w:rFonts w:cs="Arial"/>
          <w:rtl/>
        </w:rPr>
        <w:t xml:space="preserve"> וטעמא</w:t>
      </w:r>
      <w:r>
        <w:rPr>
          <w:rFonts w:cs="Arial" w:hint="cs"/>
          <w:rtl/>
        </w:rPr>
        <w:t xml:space="preserve"> -</w:t>
      </w:r>
      <w:r w:rsidRPr="00FD01EC">
        <w:rPr>
          <w:rFonts w:cs="Arial"/>
          <w:rtl/>
        </w:rPr>
        <w:t xml:space="preserve"> דהא סתם קנין לכתיבה עומד (ב"ב מ.). ומ</w:t>
      </w:r>
      <w:r>
        <w:rPr>
          <w:rFonts w:cs="Arial" w:hint="cs"/>
          <w:rtl/>
        </w:rPr>
        <w:t>"</w:t>
      </w:r>
      <w:r w:rsidRPr="00FD01EC">
        <w:rPr>
          <w:rFonts w:cs="Arial"/>
          <w:rtl/>
        </w:rPr>
        <w:t>מ אפילו לדעת הרמב"ם יש להסתפק אם מצטרפין לעשות המלוה בשטר לגמרי אפילו לגבות מן היורשים או מן הלקוחות</w:t>
      </w:r>
      <w:r>
        <w:rPr>
          <w:rFonts w:cs="Arial" w:hint="cs"/>
          <w:rtl/>
        </w:rPr>
        <w:t>,</w:t>
      </w:r>
      <w:r w:rsidRPr="00FD01EC">
        <w:rPr>
          <w:rFonts w:cs="Arial"/>
          <w:rtl/>
        </w:rPr>
        <w:t xml:space="preserve"> או דוקא לענין שאינו יכול לומר פרעתי הוא דמצטרפין לעשותו מלוה בשטר לא לדבר אחר</w:t>
      </w:r>
      <w:r>
        <w:rPr>
          <w:rFonts w:cs="Arial" w:hint="cs"/>
          <w:rtl/>
        </w:rPr>
        <w:t>,</w:t>
      </w:r>
      <w:r w:rsidRPr="00FD01EC">
        <w:rPr>
          <w:rFonts w:cs="Arial"/>
          <w:rtl/>
        </w:rPr>
        <w:t xml:space="preserve"> דהא כיון שלא נכתב בשני עדים לית ליה קלא לשיפרע מן הלקוחות</w:t>
      </w:r>
      <w:r>
        <w:rPr>
          <w:rFonts w:cs="Arial" w:hint="cs"/>
          <w:rtl/>
        </w:rPr>
        <w:t>,</w:t>
      </w:r>
      <w:r w:rsidRPr="00FD01EC">
        <w:rPr>
          <w:rFonts w:cs="Arial"/>
          <w:rtl/>
        </w:rPr>
        <w:t xml:space="preserve"> והכי דייק לשון הרמב"ם שכתב </w:t>
      </w:r>
      <w:r>
        <w:rPr>
          <w:rFonts w:cs="Arial" w:hint="cs"/>
          <w:rtl/>
        </w:rPr>
        <w:t>'</w:t>
      </w:r>
      <w:r w:rsidRPr="00FD01EC">
        <w:rPr>
          <w:rFonts w:cs="Arial"/>
          <w:rtl/>
        </w:rPr>
        <w:t>מצטרפים לעשות המלוה בשטר ואינו יכול לומר פרעתי</w:t>
      </w:r>
      <w:r>
        <w:rPr>
          <w:rFonts w:cs="Arial" w:hint="cs"/>
          <w:rtl/>
        </w:rPr>
        <w:t>',</w:t>
      </w:r>
      <w:r w:rsidRPr="00FD01EC">
        <w:rPr>
          <w:rFonts w:cs="Arial"/>
          <w:rtl/>
        </w:rPr>
        <w:t xml:space="preserve"> דמשמע לעשות המלוה בשטר לענין שאינו יכול לומר פרעתי דוקא לא לענין אחר. ורבינו סימן נ"א כתב דעת הרמב"ם ולא סיים בלשונו </w:t>
      </w:r>
      <w:r>
        <w:rPr>
          <w:rFonts w:cs="Arial" w:hint="cs"/>
          <w:rtl/>
        </w:rPr>
        <w:t>'</w:t>
      </w:r>
      <w:r w:rsidRPr="00FD01EC">
        <w:rPr>
          <w:rFonts w:cs="Arial"/>
          <w:rtl/>
        </w:rPr>
        <w:t>ואינו יכול לומר פרעתי</w:t>
      </w:r>
      <w:r>
        <w:rPr>
          <w:rFonts w:cs="Arial" w:hint="cs"/>
          <w:rtl/>
        </w:rPr>
        <w:t>',</w:t>
      </w:r>
      <w:r w:rsidRPr="00FD01EC">
        <w:rPr>
          <w:rFonts w:cs="Arial"/>
          <w:rtl/>
        </w:rPr>
        <w:t xml:space="preserve"> אלמא דסבירא ליה דלהרמב"ם כיון דקיי</w:t>
      </w:r>
      <w:r>
        <w:rPr>
          <w:rFonts w:cs="Arial" w:hint="cs"/>
          <w:rtl/>
        </w:rPr>
        <w:t>"</w:t>
      </w:r>
      <w:r w:rsidRPr="00FD01EC">
        <w:rPr>
          <w:rFonts w:cs="Arial"/>
          <w:rtl/>
        </w:rPr>
        <w:t>ל סתם קנין לכתיבה עומד הו</w:t>
      </w:r>
      <w:r>
        <w:rPr>
          <w:rFonts w:cs="Arial" w:hint="cs"/>
          <w:rtl/>
        </w:rPr>
        <w:t>"</w:t>
      </w:r>
      <w:r w:rsidRPr="00FD01EC">
        <w:rPr>
          <w:rFonts w:cs="Arial"/>
          <w:rtl/>
        </w:rPr>
        <w:t>ל כאילו יש שני עדים בשטר וגבי מן היורשים ומן הלקוחות</w:t>
      </w:r>
      <w:r>
        <w:rPr>
          <w:rFonts w:cs="Arial" w:hint="cs"/>
          <w:rtl/>
        </w:rPr>
        <w:t>.</w:t>
      </w:r>
      <w:r w:rsidRPr="00FD01EC">
        <w:rPr>
          <w:rFonts w:cs="Arial"/>
          <w:rtl/>
        </w:rPr>
        <w:t xml:space="preserve"> וא</w:t>
      </w:r>
      <w:r>
        <w:rPr>
          <w:rFonts w:cs="Arial" w:hint="cs"/>
          <w:rtl/>
        </w:rPr>
        <w:t>"</w:t>
      </w:r>
      <w:r w:rsidRPr="00FD01EC">
        <w:rPr>
          <w:rFonts w:cs="Arial"/>
          <w:rtl/>
        </w:rPr>
        <w:t>כ דברי הרא"ש בשם הרמב"ן ורבינו יונה כשלא קנו מידו הוא</w:t>
      </w:r>
      <w:r>
        <w:rPr>
          <w:rFonts w:cs="Arial" w:hint="cs"/>
          <w:rtl/>
        </w:rPr>
        <w:t>,</w:t>
      </w:r>
      <w:r w:rsidRPr="00FD01EC">
        <w:rPr>
          <w:rFonts w:cs="Arial"/>
          <w:rtl/>
        </w:rPr>
        <w:t xml:space="preserve"> דהא משמע שרבינו פוסק כהרא"ש גם פוסק כהרמב"ם. ויש עוד חילוף דינים בעד אחד ושם כתבם רבינו</w:t>
      </w:r>
      <w:r>
        <w:rPr>
          <w:rFonts w:cs="Arial" w:hint="cs"/>
          <w:rtl/>
        </w:rPr>
        <w:t>,</w:t>
      </w:r>
      <w:r w:rsidRPr="00FD01EC">
        <w:rPr>
          <w:rFonts w:cs="Arial"/>
          <w:rtl/>
        </w:rPr>
        <w:t xml:space="preserve"> וכאן לא חש רק להעיר דעד אחד בכתב ועד אחד על פה מצטרפין</w:t>
      </w:r>
      <w:r>
        <w:rPr>
          <w:rFonts w:cs="Arial" w:hint="cs"/>
          <w:rtl/>
        </w:rPr>
        <w:t>.</w:t>
      </w:r>
    </w:p>
  </w:footnote>
  <w:footnote w:id="1724">
    <w:p w14:paraId="7B994191" w14:textId="77777777" w:rsidR="0013116F" w:rsidRDefault="0013116F" w:rsidP="004B607F">
      <w:pPr>
        <w:pStyle w:val="a9"/>
        <w:rPr>
          <w:rtl/>
        </w:rPr>
      </w:pPr>
      <w:r>
        <w:rPr>
          <w:rStyle w:val="ab"/>
        </w:rPr>
        <w:footnoteRef/>
      </w:r>
      <w:r>
        <w:rPr>
          <w:rtl/>
        </w:rPr>
        <w:t xml:space="preserve"> </w:t>
      </w:r>
      <w:r>
        <w:rPr>
          <w:rFonts w:hint="cs"/>
          <w:rtl/>
        </w:rPr>
        <w:t>וכתב הב"י- ו</w:t>
      </w:r>
      <w:r w:rsidRPr="00FD01EC">
        <w:rPr>
          <w:rFonts w:cs="Arial"/>
          <w:rtl/>
        </w:rPr>
        <w:t>ביאור דבריו דבירושלמי פ"ב דכתובות (ה"ד) אמרינן דעד אחד לבדו חתום בכתב ועד אחד על פה לאו כלום הוא לא לחייב ממון ולא לחייב שבועה</w:t>
      </w:r>
      <w:r>
        <w:rPr>
          <w:rFonts w:cs="Arial" w:hint="cs"/>
          <w:rtl/>
        </w:rPr>
        <w:t>,</w:t>
      </w:r>
      <w:r w:rsidRPr="00FD01EC">
        <w:rPr>
          <w:rFonts w:cs="Arial"/>
          <w:rtl/>
        </w:rPr>
        <w:t xml:space="preserve"> וסובר דלא חיישינן לאותו ירושלמי כיון דבגמרא דילן לא חילקו בכך </w:t>
      </w:r>
      <w:r>
        <w:rPr>
          <w:rFonts w:cs="Arial" w:hint="cs"/>
          <w:rtl/>
        </w:rPr>
        <w:t xml:space="preserve">- </w:t>
      </w:r>
      <w:r w:rsidRPr="00FD01EC">
        <w:rPr>
          <w:rFonts w:cs="Arial"/>
          <w:rtl/>
        </w:rPr>
        <w:t>כתלמודא דידן נקטינן</w:t>
      </w:r>
      <w:r>
        <w:rPr>
          <w:rFonts w:cs="Arial" w:hint="cs"/>
          <w:rtl/>
        </w:rPr>
        <w:t>,</w:t>
      </w:r>
      <w:r w:rsidRPr="00FD01EC">
        <w:rPr>
          <w:rFonts w:cs="Arial"/>
          <w:rtl/>
        </w:rPr>
        <w:t xml:space="preserve"> וכ</w:t>
      </w:r>
      <w:r>
        <w:rPr>
          <w:rFonts w:cs="Arial" w:hint="cs"/>
          <w:rtl/>
        </w:rPr>
        <w:t>"</w:t>
      </w:r>
      <w:r w:rsidRPr="00FD01EC">
        <w:rPr>
          <w:rFonts w:cs="Arial"/>
          <w:rtl/>
        </w:rPr>
        <w:t>כ הרא"ש שם דלא קיימא לן כירושלמי</w:t>
      </w:r>
      <w:r>
        <w:rPr>
          <w:rFonts w:cs="Arial" w:hint="cs"/>
          <w:rtl/>
        </w:rPr>
        <w:t>.</w:t>
      </w:r>
      <w:r w:rsidRPr="00FD01EC">
        <w:rPr>
          <w:rFonts w:cs="Arial"/>
          <w:rtl/>
        </w:rPr>
        <w:t xml:space="preserve"> אך בא"ז נראה שמסכים הירושלמי עם תלמודא דידן כמ"ש בסמוך. וקשה לי מאי טעמא דכשר לחייב שבועה הא קיי</w:t>
      </w:r>
      <w:r>
        <w:rPr>
          <w:rFonts w:cs="Arial" w:hint="cs"/>
          <w:rtl/>
        </w:rPr>
        <w:t>"</w:t>
      </w:r>
      <w:r w:rsidRPr="00FD01EC">
        <w:rPr>
          <w:rFonts w:cs="Arial"/>
          <w:rtl/>
        </w:rPr>
        <w:t>ל (כתובות כ., גיטין עא.) מפיהם ולא מפי כתבם לרש"י והרמב"ם (עדות פ"ח ה"ה) כמ"ש בסימן כ"ח (סט"ו). וי"ל דכשם ששני עדים החתומים על השטר מחייבים אותו ממון כך עד אחד חתום על השטר מחייבו שבועה</w:t>
      </w:r>
      <w:r>
        <w:rPr>
          <w:rFonts w:cs="Arial" w:hint="cs"/>
          <w:rtl/>
        </w:rPr>
        <w:t>.</w:t>
      </w:r>
    </w:p>
  </w:footnote>
  <w:footnote w:id="1725">
    <w:p w14:paraId="41755E8C" w14:textId="77777777" w:rsidR="0013116F" w:rsidRDefault="0013116F" w:rsidP="004B607F">
      <w:pPr>
        <w:pStyle w:val="a9"/>
        <w:rPr>
          <w:rtl/>
        </w:rPr>
      </w:pPr>
      <w:r>
        <w:rPr>
          <w:rStyle w:val="ab"/>
        </w:rPr>
        <w:footnoteRef/>
      </w:r>
      <w:r>
        <w:rPr>
          <w:rtl/>
        </w:rPr>
        <w:t xml:space="preserve"> </w:t>
      </w:r>
      <w:r w:rsidRPr="00DB5C49">
        <w:rPr>
          <w:rFonts w:cs="Arial"/>
          <w:rtl/>
        </w:rPr>
        <w:t>פירוש, ואינו יכול לישבע נגד כל עד בפני עצמו ולומר להד"ם, דהרי יש שני עדים נגדו יחד ע"י הצירוף. ולענין טענת פרעתי תלוי בפלוגתא, כמ"ש בסימן נ"א סעיף ב'</w:t>
      </w:r>
      <w:r>
        <w:rPr>
          <w:rFonts w:hint="cs"/>
          <w:rtl/>
        </w:rPr>
        <w:t>, סמ"ע (סקל"ב).</w:t>
      </w:r>
    </w:p>
  </w:footnote>
  <w:footnote w:id="1726">
    <w:p w14:paraId="4EB8F8E6" w14:textId="77777777" w:rsidR="0013116F" w:rsidRDefault="0013116F" w:rsidP="004B607F">
      <w:pPr>
        <w:pStyle w:val="a9"/>
      </w:pPr>
      <w:r>
        <w:rPr>
          <w:rStyle w:val="ab"/>
        </w:rPr>
        <w:footnoteRef/>
      </w:r>
      <w:r>
        <w:rPr>
          <w:rtl/>
        </w:rPr>
        <w:t xml:space="preserve"> </w:t>
      </w:r>
      <w:r w:rsidRPr="00DB5C49">
        <w:rPr>
          <w:rFonts w:cs="Arial"/>
          <w:rtl/>
        </w:rPr>
        <w:t>היינו שיכול לגבות בו ממשעבדי, ועיין לקמן ר</w:t>
      </w:r>
      <w:r>
        <w:rPr>
          <w:rFonts w:cs="Arial" w:hint="cs"/>
          <w:rtl/>
        </w:rPr>
        <w:t>"</w:t>
      </w:r>
      <w:r w:rsidRPr="00DB5C49">
        <w:rPr>
          <w:rFonts w:cs="Arial"/>
          <w:rtl/>
        </w:rPr>
        <w:t>ס נ"א [סק"ב] שהארכתי בזה,</w:t>
      </w:r>
      <w:r>
        <w:rPr>
          <w:rFonts w:cs="Arial" w:hint="cs"/>
          <w:rtl/>
        </w:rPr>
        <w:t xml:space="preserve"> סמ"ע (סקל"ד).</w:t>
      </w:r>
      <w:r>
        <w:rPr>
          <w:rFonts w:hint="cs"/>
          <w:rtl/>
        </w:rPr>
        <w:t xml:space="preserve"> אך הש"ך (סקי"ז) השיג עליו וכתב ל</w:t>
      </w:r>
      <w:r w:rsidRPr="00DB5C49">
        <w:rPr>
          <w:rFonts w:cs="Arial"/>
          <w:rtl/>
        </w:rPr>
        <w:t xml:space="preserve">עיין </w:t>
      </w:r>
      <w:r>
        <w:rPr>
          <w:rFonts w:cs="Arial" w:hint="cs"/>
          <w:rtl/>
        </w:rPr>
        <w:t>ב</w:t>
      </w:r>
      <w:r w:rsidRPr="00DB5C49">
        <w:rPr>
          <w:rFonts w:cs="Arial"/>
          <w:rtl/>
        </w:rPr>
        <w:t>מ</w:t>
      </w:r>
      <w:r>
        <w:rPr>
          <w:rFonts w:cs="Arial" w:hint="cs"/>
          <w:rtl/>
        </w:rPr>
        <w:t>ש"כ</w:t>
      </w:r>
      <w:r w:rsidRPr="00DB5C49">
        <w:rPr>
          <w:rFonts w:cs="Arial"/>
          <w:rtl/>
        </w:rPr>
        <w:t xml:space="preserve"> לקמן ריש סימן נ"א ש</w:t>
      </w:r>
      <w:r>
        <w:rPr>
          <w:rFonts w:cs="Arial" w:hint="cs"/>
          <w:rtl/>
        </w:rPr>
        <w:t xml:space="preserve">שם </w:t>
      </w:r>
      <w:r w:rsidRPr="00DB5C49">
        <w:rPr>
          <w:rFonts w:cs="Arial"/>
          <w:rtl/>
        </w:rPr>
        <w:t>האר</w:t>
      </w:r>
      <w:r>
        <w:rPr>
          <w:rFonts w:cs="Arial" w:hint="cs"/>
          <w:rtl/>
        </w:rPr>
        <w:t>יך</w:t>
      </w:r>
      <w:r w:rsidRPr="00DB5C49">
        <w:rPr>
          <w:rFonts w:cs="Arial"/>
          <w:rtl/>
        </w:rPr>
        <w:t xml:space="preserve"> להשיג עליו בזה</w:t>
      </w:r>
      <w:r>
        <w:rPr>
          <w:rFonts w:cs="Arial" w:hint="cs"/>
          <w:rtl/>
        </w:rPr>
        <w:t>.</w:t>
      </w:r>
    </w:p>
  </w:footnote>
  <w:footnote w:id="1727">
    <w:p w14:paraId="293179CE" w14:textId="77777777" w:rsidR="0013116F" w:rsidRDefault="0013116F" w:rsidP="004B607F">
      <w:pPr>
        <w:pStyle w:val="a9"/>
      </w:pPr>
      <w:r>
        <w:rPr>
          <w:rStyle w:val="ab"/>
        </w:rPr>
        <w:footnoteRef/>
      </w:r>
      <w:r>
        <w:rPr>
          <w:rtl/>
        </w:rPr>
        <w:t xml:space="preserve"> </w:t>
      </w:r>
      <w:r>
        <w:rPr>
          <w:rFonts w:hint="cs"/>
          <w:rtl/>
        </w:rPr>
        <w:t xml:space="preserve">סימן </w:t>
      </w:r>
      <w:r>
        <w:rPr>
          <w:rtl/>
        </w:rPr>
        <w:t>–</w:t>
      </w:r>
      <w:r>
        <w:rPr>
          <w:rFonts w:hint="cs"/>
          <w:rtl/>
        </w:rPr>
        <w:t xml:space="preserve"> קיבוץ סהדותא.</w:t>
      </w:r>
    </w:p>
  </w:footnote>
  <w:footnote w:id="1728">
    <w:p w14:paraId="6A1A9D0A" w14:textId="77777777" w:rsidR="0013116F" w:rsidRDefault="0013116F" w:rsidP="004B607F">
      <w:pPr>
        <w:pStyle w:val="a9"/>
        <w:rPr>
          <w:rtl/>
        </w:rPr>
      </w:pPr>
      <w:r>
        <w:rPr>
          <w:rStyle w:val="ab"/>
        </w:rPr>
        <w:footnoteRef/>
      </w:r>
      <w:r>
        <w:rPr>
          <w:rtl/>
        </w:rPr>
        <w:t xml:space="preserve"> </w:t>
      </w:r>
      <w:r w:rsidRPr="009C219E">
        <w:rPr>
          <w:rFonts w:cs="Arial"/>
          <w:rtl/>
        </w:rPr>
        <w:t>למעלה פירשתיה ובשראו שניהם כאחד אפס לא העידו בבית דין כאחד בהכי פליגי רבי נתן ורבנן</w:t>
      </w:r>
      <w:r>
        <w:rPr>
          <w:rFonts w:hint="cs"/>
          <w:rtl/>
        </w:rPr>
        <w:t>, רשב"ם.</w:t>
      </w:r>
    </w:p>
  </w:footnote>
  <w:footnote w:id="1729">
    <w:p w14:paraId="1A07743C" w14:textId="77777777" w:rsidR="0013116F" w:rsidRDefault="0013116F" w:rsidP="004B607F">
      <w:pPr>
        <w:pStyle w:val="a9"/>
      </w:pPr>
      <w:r>
        <w:rPr>
          <w:rStyle w:val="ab"/>
        </w:rPr>
        <w:footnoteRef/>
      </w:r>
      <w:r>
        <w:rPr>
          <w:rtl/>
        </w:rPr>
        <w:t xml:space="preserve"> </w:t>
      </w:r>
      <w:r w:rsidRPr="00FD01EC">
        <w:rPr>
          <w:rFonts w:cs="Arial"/>
          <w:rtl/>
        </w:rPr>
        <w:t>וענין צירוף זה שיבא בית דין אצל בית דין וידונו על פי מה שהעידו בפניהם שני העדים</w:t>
      </w:r>
      <w:r>
        <w:rPr>
          <w:rFonts w:cs="Arial" w:hint="cs"/>
          <w:rtl/>
        </w:rPr>
        <w:t>, ב"י.</w:t>
      </w:r>
    </w:p>
  </w:footnote>
  <w:footnote w:id="1730">
    <w:p w14:paraId="2B02CEFB" w14:textId="77777777" w:rsidR="0013116F" w:rsidRDefault="0013116F" w:rsidP="004B607F">
      <w:pPr>
        <w:pStyle w:val="a9"/>
        <w:rPr>
          <w:rtl/>
        </w:rPr>
      </w:pPr>
      <w:r>
        <w:rPr>
          <w:rStyle w:val="ab"/>
        </w:rPr>
        <w:footnoteRef/>
      </w:r>
      <w:r>
        <w:rPr>
          <w:rtl/>
        </w:rPr>
        <w:t xml:space="preserve"> </w:t>
      </w:r>
      <w:r w:rsidRPr="009C219E">
        <w:rPr>
          <w:rFonts w:cs="Arial"/>
          <w:rtl/>
        </w:rPr>
        <w:t xml:space="preserve">דוקא כל שני הבתי דינים מצטרפין, אבל מקצת מבית דין האחד ומקצת מב"ד השני אינן יכולין להצטרף ולהעשות ב"ד חדש ולדון על עדותן, כיון דלא העיד אלא אחד מהעדים בכל ב"ד, והוה ליה </w:t>
      </w:r>
      <w:r>
        <w:rPr>
          <w:rFonts w:cs="Arial" w:hint="cs"/>
          <w:rtl/>
        </w:rPr>
        <w:t>[</w:t>
      </w:r>
      <w:r w:rsidRPr="009C219E">
        <w:rPr>
          <w:rFonts w:cs="Arial"/>
          <w:rtl/>
        </w:rPr>
        <w:t>ג"כ</w:t>
      </w:r>
      <w:r>
        <w:rPr>
          <w:rFonts w:cs="Arial" w:hint="cs"/>
          <w:sz w:val="16"/>
          <w:szCs w:val="16"/>
          <w:rtl/>
        </w:rPr>
        <w:t xml:space="preserve"> </w:t>
      </w:r>
      <w:r>
        <w:rPr>
          <w:rFonts w:cs="Arial" w:hint="cs"/>
          <w:sz w:val="14"/>
          <w:szCs w:val="14"/>
          <w:rtl/>
        </w:rPr>
        <w:t>{כ"ה בסמ"ע אך האורים והבאה"ט הורידו תיבות אלו}</w:t>
      </w:r>
      <w:r>
        <w:rPr>
          <w:rFonts w:cs="Arial" w:hint="cs"/>
          <w:rtl/>
        </w:rPr>
        <w:t>]</w:t>
      </w:r>
      <w:r w:rsidRPr="009C219E">
        <w:rPr>
          <w:rFonts w:cs="Arial"/>
          <w:rtl/>
        </w:rPr>
        <w:t xml:space="preserve"> כעד מפי עד, משא"כ בסעיף שאחר זה דמיירי שהעידו שני העדים בכל הבתי דינים</w:t>
      </w:r>
      <w:r>
        <w:rPr>
          <w:rFonts w:hint="cs"/>
          <w:rtl/>
        </w:rPr>
        <w:t>, סמ"ע (סקל"ד). וכ"כ הבאה"ט (סקכ"א) והאורים (סקכ"ט). אמנם בנתיבות (</w:t>
      </w:r>
      <w:r w:rsidRPr="009C219E">
        <w:rPr>
          <w:rFonts w:cs="Arial"/>
          <w:rtl/>
        </w:rPr>
        <w:t>ביאורים סק"ח</w:t>
      </w:r>
      <w:r>
        <w:rPr>
          <w:rFonts w:cs="Arial" w:hint="cs"/>
          <w:rtl/>
        </w:rPr>
        <w:t>, חידושים סק"כ) כתב</w:t>
      </w:r>
      <w:r w:rsidRPr="009C219E">
        <w:rPr>
          <w:rFonts w:cs="Arial"/>
          <w:rtl/>
        </w:rPr>
        <w:t xml:space="preserve"> </w:t>
      </w:r>
      <w:r>
        <w:rPr>
          <w:rFonts w:cs="Arial" w:hint="cs"/>
          <w:rtl/>
        </w:rPr>
        <w:t>ד</w:t>
      </w:r>
      <w:r w:rsidRPr="00816AC8">
        <w:rPr>
          <w:rFonts w:cs="Arial"/>
          <w:rtl/>
        </w:rPr>
        <w:t xml:space="preserve">נראה דוקא אחד מכל בית דין אינם יכולים להצטרף אבל שנים מכל בית דין מצטרפין, דכל שנשאר שנים עדיין תורת בית דין עליהן </w:t>
      </w:r>
      <w:r w:rsidRPr="00816AC8">
        <w:rPr>
          <w:rFonts w:cs="Arial" w:hint="cs"/>
          <w:sz w:val="16"/>
          <w:szCs w:val="16"/>
          <w:rtl/>
        </w:rPr>
        <w:t>(</w:t>
      </w:r>
      <w:r w:rsidRPr="00816AC8">
        <w:rPr>
          <w:rFonts w:cs="Arial"/>
          <w:sz w:val="16"/>
          <w:szCs w:val="16"/>
          <w:rtl/>
        </w:rPr>
        <w:t>תדע, דהא יכולין לכתוב קבלת עדותן בתורת בית דין ולכתוב בו וחד ליתוהי, ובית דין השני דנין על פי כתבם כמו על פי מעשה בית דין, וכמ"ש בסימן כ"ט סעיף ה', מה שאין כן אחד מכל בית דין</w:t>
      </w:r>
      <w:r>
        <w:rPr>
          <w:rFonts w:cs="Arial" w:hint="cs"/>
          <w:sz w:val="16"/>
          <w:szCs w:val="16"/>
          <w:rtl/>
        </w:rPr>
        <w:t>)</w:t>
      </w:r>
      <w:r w:rsidRPr="00816AC8">
        <w:rPr>
          <w:rFonts w:cs="Arial"/>
          <w:rtl/>
        </w:rPr>
        <w:t xml:space="preserve">. </w:t>
      </w:r>
    </w:p>
  </w:footnote>
  <w:footnote w:id="1731">
    <w:p w14:paraId="25CB3AF8" w14:textId="77777777" w:rsidR="0013116F" w:rsidRDefault="0013116F" w:rsidP="004B607F">
      <w:pPr>
        <w:pStyle w:val="a9"/>
      </w:pPr>
      <w:r>
        <w:rPr>
          <w:rStyle w:val="ab"/>
        </w:rPr>
        <w:footnoteRef/>
      </w:r>
      <w:r>
        <w:rPr>
          <w:rtl/>
        </w:rPr>
        <w:t xml:space="preserve"> </w:t>
      </w:r>
      <w:r>
        <w:rPr>
          <w:rFonts w:hint="cs"/>
          <w:rtl/>
        </w:rPr>
        <w:t>והוסיף התומים (סקט"ז)</w:t>
      </w:r>
      <w:r w:rsidRPr="00BC2053">
        <w:rPr>
          <w:rFonts w:cs="Arial"/>
          <w:rtl/>
        </w:rPr>
        <w:t xml:space="preserve"> </w:t>
      </w:r>
      <w:r>
        <w:rPr>
          <w:rFonts w:cs="Arial" w:hint="cs"/>
          <w:rtl/>
        </w:rPr>
        <w:t>שמזה נלמד ש</w:t>
      </w:r>
      <w:r w:rsidRPr="00BC2053">
        <w:rPr>
          <w:rFonts w:cs="Arial"/>
          <w:rtl/>
        </w:rPr>
        <w:t>שטר שחתום עליו רק ע"א ונשרף, אין העדים יכולים להעיד בב"ד שכך היה כתוב בשטר לגבות בו</w:t>
      </w:r>
      <w:r>
        <w:rPr>
          <w:rFonts w:cs="Arial" w:hint="cs"/>
          <w:rtl/>
        </w:rPr>
        <w:t xml:space="preserve">. </w:t>
      </w:r>
      <w:r>
        <w:rPr>
          <w:rFonts w:hint="cs"/>
          <w:rtl/>
        </w:rPr>
        <w:t>והעתיק הנתיבות (חידושים סקכ"א) את דבריו.</w:t>
      </w:r>
    </w:p>
  </w:footnote>
  <w:footnote w:id="1732">
    <w:p w14:paraId="00A1F006" w14:textId="77777777" w:rsidR="0013116F" w:rsidRDefault="0013116F" w:rsidP="004B607F">
      <w:pPr>
        <w:pStyle w:val="a9"/>
      </w:pPr>
      <w:r>
        <w:rPr>
          <w:rStyle w:val="ab"/>
        </w:rPr>
        <w:footnoteRef/>
      </w:r>
      <w:r>
        <w:rPr>
          <w:rtl/>
        </w:rPr>
        <w:t xml:space="preserve"> </w:t>
      </w:r>
      <w:r>
        <w:rPr>
          <w:rFonts w:hint="cs"/>
          <w:rtl/>
        </w:rPr>
        <w:t xml:space="preserve">סימן </w:t>
      </w:r>
      <w:r>
        <w:rPr>
          <w:rtl/>
        </w:rPr>
        <w:t>–</w:t>
      </w:r>
      <w:r>
        <w:rPr>
          <w:rFonts w:hint="cs"/>
          <w:rtl/>
        </w:rPr>
        <w:t xml:space="preserve"> קיבוץ סהדותא הנאמרת בב"ד</w:t>
      </w:r>
      <w:r>
        <w:rPr>
          <w:rFonts w:hint="cs"/>
          <w:sz w:val="14"/>
          <w:szCs w:val="14"/>
          <w:rtl/>
        </w:rPr>
        <w:t xml:space="preserve"> </w:t>
      </w:r>
      <w:r w:rsidRPr="00781246">
        <w:rPr>
          <w:rFonts w:hint="cs"/>
          <w:sz w:val="16"/>
          <w:szCs w:val="16"/>
          <w:rtl/>
        </w:rPr>
        <w:t xml:space="preserve">(קסה </w:t>
      </w:r>
      <w:r>
        <w:rPr>
          <w:rFonts w:hint="cs"/>
          <w:sz w:val="16"/>
          <w:szCs w:val="16"/>
          <w:rtl/>
        </w:rPr>
        <w:t>ב)</w:t>
      </w:r>
      <w:r>
        <w:rPr>
          <w:rFonts w:hint="cs"/>
          <w:rtl/>
        </w:rPr>
        <w:t>.</w:t>
      </w:r>
    </w:p>
  </w:footnote>
  <w:footnote w:id="1733">
    <w:p w14:paraId="5F81C4EF" w14:textId="77777777" w:rsidR="0013116F" w:rsidRDefault="0013116F" w:rsidP="004B607F">
      <w:pPr>
        <w:pStyle w:val="a9"/>
        <w:rPr>
          <w:rtl/>
        </w:rPr>
      </w:pPr>
      <w:r>
        <w:rPr>
          <w:rStyle w:val="ab"/>
        </w:rPr>
        <w:footnoteRef/>
      </w:r>
      <w:r>
        <w:rPr>
          <w:rtl/>
        </w:rPr>
        <w:t xml:space="preserve"> </w:t>
      </w:r>
      <w:r w:rsidRPr="009C219E">
        <w:rPr>
          <w:rFonts w:cs="Arial"/>
          <w:rtl/>
        </w:rPr>
        <w:t xml:space="preserve">ופירש רשב"ם </w:t>
      </w:r>
      <w:r w:rsidRPr="009C219E">
        <w:rPr>
          <w:rFonts w:cs="Arial" w:hint="cs"/>
          <w:sz w:val="16"/>
          <w:szCs w:val="16"/>
          <w:rtl/>
        </w:rPr>
        <w:t>(כ"כ הב"י בשמו, ולפנינו ליתא ברשב"ם</w:t>
      </w:r>
      <w:r w:rsidRPr="009C219E">
        <w:rPr>
          <w:rFonts w:hint="cs"/>
          <w:sz w:val="16"/>
          <w:szCs w:val="16"/>
          <w:rtl/>
        </w:rPr>
        <w:t>)</w:t>
      </w:r>
      <w:r>
        <w:rPr>
          <w:rFonts w:hint="cs"/>
          <w:sz w:val="16"/>
          <w:szCs w:val="16"/>
          <w:rtl/>
        </w:rPr>
        <w:t xml:space="preserve"> </w:t>
      </w:r>
      <w:r w:rsidRPr="009C219E">
        <w:rPr>
          <w:rFonts w:cs="Arial"/>
          <w:rtl/>
        </w:rPr>
        <w:t>שנים שהעידו בב</w:t>
      </w:r>
      <w:r>
        <w:rPr>
          <w:rFonts w:cs="Arial" w:hint="cs"/>
          <w:rtl/>
        </w:rPr>
        <w:t>"</w:t>
      </w:r>
      <w:r w:rsidRPr="009C219E">
        <w:rPr>
          <w:rFonts w:cs="Arial"/>
          <w:rtl/>
        </w:rPr>
        <w:t>ד על חתימת יד שני העדים</w:t>
      </w:r>
      <w:r>
        <w:rPr>
          <w:rFonts w:cs="Arial" w:hint="cs"/>
          <w:rtl/>
        </w:rPr>
        <w:t>.</w:t>
      </w:r>
      <w:r w:rsidRPr="009C219E">
        <w:rPr>
          <w:rFonts w:cs="Arial"/>
          <w:rtl/>
        </w:rPr>
        <w:t xml:space="preserve"> והלכו להם שנים מאותן שלשה ב"ד למדינת הים</w:t>
      </w:r>
      <w:r>
        <w:rPr>
          <w:rFonts w:cs="Arial" w:hint="cs"/>
          <w:rtl/>
        </w:rPr>
        <w:t>,</w:t>
      </w:r>
      <w:r w:rsidRPr="009C219E">
        <w:rPr>
          <w:rFonts w:cs="Arial"/>
          <w:rtl/>
        </w:rPr>
        <w:t xml:space="preserve"> דהשתא לא מצי הוי חד ב</w:t>
      </w:r>
      <w:r>
        <w:rPr>
          <w:rFonts w:cs="Arial" w:hint="cs"/>
          <w:rtl/>
        </w:rPr>
        <w:t>"</w:t>
      </w:r>
      <w:r w:rsidRPr="009C219E">
        <w:rPr>
          <w:rFonts w:cs="Arial"/>
          <w:rtl/>
        </w:rPr>
        <w:t>ד</w:t>
      </w:r>
      <w:r>
        <w:rPr>
          <w:rFonts w:cs="Arial" w:hint="cs"/>
          <w:rtl/>
        </w:rPr>
        <w:t>.</w:t>
      </w:r>
      <w:r w:rsidRPr="009C219E">
        <w:rPr>
          <w:rFonts w:cs="Arial"/>
          <w:rtl/>
        </w:rPr>
        <w:t xml:space="preserve"> וחזרו והעידו בב</w:t>
      </w:r>
      <w:r>
        <w:rPr>
          <w:rFonts w:cs="Arial" w:hint="cs"/>
          <w:rtl/>
        </w:rPr>
        <w:t>"</w:t>
      </w:r>
      <w:r w:rsidRPr="009C219E">
        <w:rPr>
          <w:rFonts w:cs="Arial"/>
          <w:rtl/>
        </w:rPr>
        <w:t>ד אחר</w:t>
      </w:r>
      <w:r>
        <w:rPr>
          <w:rFonts w:cs="Arial" w:hint="cs"/>
          <w:rtl/>
        </w:rPr>
        <w:t>,</w:t>
      </w:r>
      <w:r w:rsidRPr="009C219E">
        <w:rPr>
          <w:rFonts w:cs="Arial"/>
          <w:rtl/>
        </w:rPr>
        <w:t xml:space="preserve"> והלכו להם שנים מהם</w:t>
      </w:r>
      <w:r>
        <w:rPr>
          <w:rFonts w:cs="Arial" w:hint="cs"/>
          <w:rtl/>
        </w:rPr>
        <w:t>.</w:t>
      </w:r>
      <w:r w:rsidRPr="009C219E">
        <w:rPr>
          <w:rFonts w:cs="Arial"/>
          <w:rtl/>
        </w:rPr>
        <w:t xml:space="preserve"> וחזרו העדים והעידו בב</w:t>
      </w:r>
      <w:r>
        <w:rPr>
          <w:rFonts w:cs="Arial" w:hint="cs"/>
          <w:rtl/>
        </w:rPr>
        <w:t>"</w:t>
      </w:r>
      <w:r w:rsidRPr="009C219E">
        <w:rPr>
          <w:rFonts w:cs="Arial"/>
          <w:rtl/>
        </w:rPr>
        <w:t>ד אחר</w:t>
      </w:r>
      <w:r>
        <w:rPr>
          <w:rFonts w:cs="Arial" w:hint="cs"/>
          <w:rtl/>
        </w:rPr>
        <w:t>,</w:t>
      </w:r>
      <w:r w:rsidRPr="009C219E">
        <w:rPr>
          <w:rFonts w:cs="Arial"/>
          <w:rtl/>
        </w:rPr>
        <w:t xml:space="preserve"> והלכו להם שנים</w:t>
      </w:r>
      <w:r>
        <w:rPr>
          <w:rFonts w:cs="Arial" w:hint="cs"/>
          <w:rtl/>
        </w:rPr>
        <w:t>.</w:t>
      </w:r>
      <w:r w:rsidRPr="009C219E">
        <w:rPr>
          <w:rFonts w:cs="Arial"/>
          <w:rtl/>
        </w:rPr>
        <w:t xml:space="preserve"> ונשתייר אחד מכל בית דין ובית דין</w:t>
      </w:r>
      <w:r>
        <w:rPr>
          <w:rFonts w:cs="Arial" w:hint="cs"/>
          <w:rtl/>
        </w:rPr>
        <w:t>,</w:t>
      </w:r>
      <w:r w:rsidRPr="009C219E">
        <w:rPr>
          <w:rFonts w:cs="Arial"/>
          <w:rtl/>
        </w:rPr>
        <w:t xml:space="preserve"> מהו שיבא אותו אחד שנשתייר מכל בית דין ובית דין דהויין שלשה בתי דינים ויצטרפו לקיים השטר בעדותן עכ"ל. והא דנקט רשב"ם שהעידו על חתימת יד שני עדים </w:t>
      </w:r>
      <w:r>
        <w:rPr>
          <w:rFonts w:cs="Arial" w:hint="cs"/>
          <w:rtl/>
        </w:rPr>
        <w:t xml:space="preserve">- </w:t>
      </w:r>
      <w:r w:rsidRPr="009C219E">
        <w:rPr>
          <w:rFonts w:cs="Arial"/>
          <w:rtl/>
        </w:rPr>
        <w:t>לדוגמא נקט</w:t>
      </w:r>
      <w:r>
        <w:rPr>
          <w:rFonts w:cs="Arial" w:hint="cs"/>
          <w:rtl/>
        </w:rPr>
        <w:t>,</w:t>
      </w:r>
      <w:r w:rsidRPr="009C219E">
        <w:rPr>
          <w:rFonts w:cs="Arial"/>
          <w:rtl/>
        </w:rPr>
        <w:t xml:space="preserve"> וה</w:t>
      </w:r>
      <w:r>
        <w:rPr>
          <w:rFonts w:cs="Arial" w:hint="cs"/>
          <w:rtl/>
        </w:rPr>
        <w:t>"</w:t>
      </w:r>
      <w:r w:rsidRPr="009C219E">
        <w:rPr>
          <w:rFonts w:cs="Arial"/>
          <w:rtl/>
        </w:rPr>
        <w:t>ה לכל עדות</w:t>
      </w:r>
      <w:r>
        <w:rPr>
          <w:rFonts w:cs="Arial" w:hint="cs"/>
          <w:rtl/>
        </w:rPr>
        <w:t>.</w:t>
      </w:r>
      <w:r w:rsidRPr="009C219E">
        <w:rPr>
          <w:rFonts w:cs="Arial"/>
          <w:rtl/>
        </w:rPr>
        <w:t xml:space="preserve"> וכן נראה מדברי רבינו והרמב"ם (פ"ד ה"ו) שסתמו דבריהם</w:t>
      </w:r>
      <w:r>
        <w:rPr>
          <w:rFonts w:cs="Arial" w:hint="cs"/>
          <w:rtl/>
        </w:rPr>
        <w:t>.</w:t>
      </w:r>
      <w:r w:rsidRPr="009C219E">
        <w:rPr>
          <w:rFonts w:cs="Arial"/>
          <w:rtl/>
        </w:rPr>
        <w:t xml:space="preserve"> ודקדק רשב"ם במה שכתב והלכו להם וכו' שאל</w:t>
      </w:r>
      <w:r>
        <w:rPr>
          <w:rFonts w:cs="Arial" w:hint="cs"/>
          <w:rtl/>
        </w:rPr>
        <w:t>"</w:t>
      </w:r>
      <w:r w:rsidRPr="009C219E">
        <w:rPr>
          <w:rFonts w:cs="Arial"/>
          <w:rtl/>
        </w:rPr>
        <w:t>כ לא היינו צריכים לשאול אם מצטרף</w:t>
      </w:r>
      <w:r>
        <w:rPr>
          <w:rFonts w:cs="Arial" w:hint="cs"/>
          <w:rtl/>
        </w:rPr>
        <w:t>,</w:t>
      </w:r>
      <w:r w:rsidRPr="009C219E">
        <w:rPr>
          <w:rFonts w:cs="Arial"/>
          <w:rtl/>
        </w:rPr>
        <w:t xml:space="preserve"> שכל ב</w:t>
      </w:r>
      <w:r>
        <w:rPr>
          <w:rFonts w:cs="Arial" w:hint="cs"/>
          <w:rtl/>
        </w:rPr>
        <w:t>"</w:t>
      </w:r>
      <w:r w:rsidRPr="009C219E">
        <w:rPr>
          <w:rFonts w:cs="Arial"/>
          <w:rtl/>
        </w:rPr>
        <w:t>ד מהם יכול לדונו כיון שהעדים העידו בפניהם</w:t>
      </w:r>
      <w:r>
        <w:rPr>
          <w:rFonts w:cs="Arial" w:hint="cs"/>
          <w:rtl/>
        </w:rPr>
        <w:t>.</w:t>
      </w:r>
      <w:r w:rsidRPr="009C219E">
        <w:rPr>
          <w:rFonts w:cs="Arial"/>
          <w:rtl/>
        </w:rPr>
        <w:t xml:space="preserve"> וכ"כ במישרים ח"ב נ"ב (יא ע"ג)</w:t>
      </w:r>
      <w:r>
        <w:rPr>
          <w:rFonts w:cs="Arial" w:hint="cs"/>
          <w:rtl/>
        </w:rPr>
        <w:t>, ב"י</w:t>
      </w:r>
      <w:r w:rsidRPr="009C219E">
        <w:rPr>
          <w:rFonts w:cs="Arial"/>
          <w:rtl/>
        </w:rPr>
        <w:t>.</w:t>
      </w:r>
      <w:r>
        <w:rPr>
          <w:rFonts w:cs="Arial" w:hint="cs"/>
          <w:rtl/>
        </w:rPr>
        <w:t xml:space="preserve"> </w:t>
      </w:r>
    </w:p>
  </w:footnote>
  <w:footnote w:id="1734">
    <w:p w14:paraId="106CEBDB" w14:textId="77777777" w:rsidR="0013116F" w:rsidRDefault="0013116F" w:rsidP="004B607F">
      <w:pPr>
        <w:pStyle w:val="a9"/>
      </w:pPr>
      <w:r>
        <w:rPr>
          <w:rStyle w:val="ab"/>
        </w:rPr>
        <w:footnoteRef/>
      </w:r>
      <w:r>
        <w:rPr>
          <w:rtl/>
        </w:rPr>
        <w:t xml:space="preserve"> </w:t>
      </w:r>
      <w:r>
        <w:rPr>
          <w:rFonts w:hint="cs"/>
          <w:rtl/>
        </w:rPr>
        <w:t xml:space="preserve">סימן </w:t>
      </w:r>
      <w:r>
        <w:rPr>
          <w:rtl/>
        </w:rPr>
        <w:t>–</w:t>
      </w:r>
      <w:r>
        <w:rPr>
          <w:rFonts w:hint="cs"/>
          <w:rtl/>
        </w:rPr>
        <w:t xml:space="preserve"> כת ואלהים כאחד.</w:t>
      </w:r>
    </w:p>
  </w:footnote>
  <w:footnote w:id="1735">
    <w:p w14:paraId="3DA0E622" w14:textId="77777777" w:rsidR="0013116F" w:rsidRDefault="0013116F" w:rsidP="004B607F">
      <w:pPr>
        <w:pStyle w:val="a9"/>
        <w:rPr>
          <w:rtl/>
        </w:rPr>
      </w:pPr>
      <w:r>
        <w:rPr>
          <w:rStyle w:val="ab"/>
        </w:rPr>
        <w:footnoteRef/>
      </w:r>
      <w:r>
        <w:rPr>
          <w:rtl/>
        </w:rPr>
        <w:t xml:space="preserve"> </w:t>
      </w:r>
      <w:r w:rsidRPr="00EB008E">
        <w:rPr>
          <w:rFonts w:cs="Arial"/>
          <w:rtl/>
        </w:rPr>
        <w:t>שטר שכתוב בו הנפק וחתמו הדיינין על הנפק שלו ולאחר זמן כשהוציאו המלוה לגבות ערער הלוה לומר מזוייף הוא ובא אחד מעדי השטר והעיד על כתב ידו ואחד מן הדיינים העיד על כתב ידו מצטרפין להכשירו</w:t>
      </w:r>
      <w:r>
        <w:rPr>
          <w:rFonts w:cs="Arial" w:hint="cs"/>
          <w:rtl/>
        </w:rPr>
        <w:t>, רש"י</w:t>
      </w:r>
      <w:r w:rsidRPr="00EB008E">
        <w:rPr>
          <w:rFonts w:cs="Arial"/>
          <w:rtl/>
        </w:rPr>
        <w:t>.</w:t>
      </w:r>
    </w:p>
  </w:footnote>
  <w:footnote w:id="1736">
    <w:p w14:paraId="60A97B52" w14:textId="77777777" w:rsidR="0013116F" w:rsidRDefault="0013116F" w:rsidP="004B607F">
      <w:pPr>
        <w:pStyle w:val="a9"/>
        <w:rPr>
          <w:rtl/>
        </w:rPr>
      </w:pPr>
      <w:r>
        <w:rPr>
          <w:rStyle w:val="ab"/>
        </w:rPr>
        <w:footnoteRef/>
      </w:r>
      <w:r>
        <w:rPr>
          <w:rtl/>
        </w:rPr>
        <w:t xml:space="preserve"> </w:t>
      </w:r>
      <w:r w:rsidRPr="00EB008E">
        <w:rPr>
          <w:rFonts w:cs="Arial"/>
          <w:rtl/>
        </w:rPr>
        <w:t>עדי השטר מעידין על מנה שבשטר כרבנן והדיינין מעידין בפנינו נתקיים</w:t>
      </w:r>
      <w:r>
        <w:rPr>
          <w:rFonts w:cs="Arial" w:hint="cs"/>
          <w:rtl/>
        </w:rPr>
        <w:t>, רש"י</w:t>
      </w:r>
      <w:r w:rsidRPr="00EB008E">
        <w:rPr>
          <w:rFonts w:cs="Arial"/>
          <w:rtl/>
        </w:rPr>
        <w:t>.</w:t>
      </w:r>
    </w:p>
  </w:footnote>
  <w:footnote w:id="1737">
    <w:p w14:paraId="60ECD1E1" w14:textId="77777777" w:rsidR="0013116F" w:rsidRDefault="0013116F" w:rsidP="004B607F">
      <w:pPr>
        <w:pStyle w:val="a9"/>
        <w:rPr>
          <w:rtl/>
        </w:rPr>
      </w:pPr>
      <w:r>
        <w:rPr>
          <w:rStyle w:val="ab"/>
        </w:rPr>
        <w:footnoteRef/>
      </w:r>
      <w:r>
        <w:rPr>
          <w:rtl/>
        </w:rPr>
        <w:t xml:space="preserve"> </w:t>
      </w:r>
      <w:r w:rsidRPr="00FD01EC">
        <w:rPr>
          <w:rFonts w:cs="Arial"/>
          <w:rtl/>
        </w:rPr>
        <w:t>ודע דדוקא משום שהעידו שני העדים בכל בית דין</w:t>
      </w:r>
      <w:r>
        <w:rPr>
          <w:rFonts w:cs="Arial" w:hint="cs"/>
          <w:rtl/>
        </w:rPr>
        <w:t>,</w:t>
      </w:r>
      <w:r w:rsidRPr="00FD01EC">
        <w:rPr>
          <w:rFonts w:cs="Arial"/>
          <w:rtl/>
        </w:rPr>
        <w:t xml:space="preserve"> אבל אם העיד עד אחד בבית דין זה ועד אחד בבית דין זה</w:t>
      </w:r>
      <w:r>
        <w:rPr>
          <w:rFonts w:cs="Arial" w:hint="cs"/>
          <w:rtl/>
        </w:rPr>
        <w:t xml:space="preserve"> -</w:t>
      </w:r>
      <w:r w:rsidRPr="00FD01EC">
        <w:rPr>
          <w:rFonts w:cs="Arial"/>
          <w:rtl/>
        </w:rPr>
        <w:t xml:space="preserve"> אין אחד מבית דין זה ואחד מבית דין זה מצטרפין</w:t>
      </w:r>
      <w:r>
        <w:rPr>
          <w:rFonts w:cs="Arial" w:hint="cs"/>
          <w:rtl/>
        </w:rPr>
        <w:t>,</w:t>
      </w:r>
      <w:r w:rsidRPr="00FD01EC">
        <w:rPr>
          <w:rFonts w:cs="Arial"/>
          <w:rtl/>
        </w:rPr>
        <w:t xml:space="preserve"> וכ</w:t>
      </w:r>
      <w:r>
        <w:rPr>
          <w:rFonts w:cs="Arial" w:hint="cs"/>
          <w:rtl/>
        </w:rPr>
        <w:t>"</w:t>
      </w:r>
      <w:r w:rsidRPr="00FD01EC">
        <w:rPr>
          <w:rFonts w:cs="Arial"/>
          <w:rtl/>
        </w:rPr>
        <w:t>כ בהג</w:t>
      </w:r>
      <w:r>
        <w:rPr>
          <w:rFonts w:cs="Arial" w:hint="cs"/>
          <w:rtl/>
        </w:rPr>
        <w:t>"א</w:t>
      </w:r>
      <w:r w:rsidRPr="00FD01EC">
        <w:rPr>
          <w:rFonts w:cs="Arial"/>
          <w:rtl/>
        </w:rPr>
        <w:t xml:space="preserve"> </w:t>
      </w:r>
      <w:r w:rsidRPr="00EB008E">
        <w:rPr>
          <w:rFonts w:cs="Arial"/>
          <w:sz w:val="16"/>
          <w:szCs w:val="16"/>
          <w:rtl/>
        </w:rPr>
        <w:t>(סי' ח)</w:t>
      </w:r>
      <w:r>
        <w:rPr>
          <w:rFonts w:cs="Arial" w:hint="cs"/>
          <w:rtl/>
        </w:rPr>
        <w:t>, ב"י.</w:t>
      </w:r>
      <w:r w:rsidRPr="00FD01EC">
        <w:rPr>
          <w:rFonts w:cs="Arial"/>
          <w:rtl/>
        </w:rPr>
        <w:t xml:space="preserve"> </w:t>
      </w:r>
      <w:r>
        <w:rPr>
          <w:rFonts w:cs="Arial" w:hint="cs"/>
          <w:rtl/>
        </w:rPr>
        <w:t xml:space="preserve">וכתב הדרכ"מ </w:t>
      </w:r>
      <w:r w:rsidRPr="00EB008E">
        <w:rPr>
          <w:rFonts w:cs="Arial"/>
          <w:sz w:val="16"/>
          <w:szCs w:val="16"/>
          <w:rtl/>
        </w:rPr>
        <w:t>(</w:t>
      </w:r>
      <w:r w:rsidRPr="00EB008E">
        <w:rPr>
          <w:rFonts w:cs="Arial" w:hint="cs"/>
          <w:sz w:val="16"/>
          <w:szCs w:val="16"/>
          <w:rtl/>
        </w:rPr>
        <w:t>א</w:t>
      </w:r>
      <w:r>
        <w:rPr>
          <w:rFonts w:cs="Arial" w:hint="cs"/>
          <w:sz w:val="16"/>
          <w:szCs w:val="16"/>
          <w:rtl/>
        </w:rPr>
        <w:t>ו</w:t>
      </w:r>
      <w:r w:rsidRPr="00EB008E">
        <w:rPr>
          <w:rFonts w:cs="Arial" w:hint="cs"/>
          <w:sz w:val="16"/>
          <w:szCs w:val="16"/>
          <w:rtl/>
        </w:rPr>
        <w:t xml:space="preserve">ת </w:t>
      </w:r>
      <w:r w:rsidRPr="00EB008E">
        <w:rPr>
          <w:rFonts w:cs="Arial"/>
          <w:sz w:val="16"/>
          <w:szCs w:val="16"/>
          <w:rtl/>
        </w:rPr>
        <w:t xml:space="preserve">ה) </w:t>
      </w:r>
      <w:r>
        <w:rPr>
          <w:rFonts w:cs="Arial" w:hint="cs"/>
          <w:rtl/>
        </w:rPr>
        <w:t>ש</w:t>
      </w:r>
      <w:r w:rsidRPr="00FD01EC">
        <w:rPr>
          <w:rFonts w:cs="Arial"/>
          <w:rtl/>
        </w:rPr>
        <w:t>בהג</w:t>
      </w:r>
      <w:r>
        <w:rPr>
          <w:rFonts w:cs="Arial" w:hint="cs"/>
          <w:rtl/>
        </w:rPr>
        <w:t>"</w:t>
      </w:r>
      <w:r w:rsidRPr="00FD01EC">
        <w:rPr>
          <w:rFonts w:cs="Arial"/>
          <w:rtl/>
        </w:rPr>
        <w:t xml:space="preserve">א שם </w:t>
      </w:r>
      <w:r w:rsidRPr="00EB008E">
        <w:rPr>
          <w:rFonts w:cs="Arial"/>
          <w:sz w:val="16"/>
          <w:szCs w:val="16"/>
          <w:rtl/>
        </w:rPr>
        <w:t>(ב"ב פ"י סי' ח)</w:t>
      </w:r>
      <w:r w:rsidRPr="00FD01EC">
        <w:rPr>
          <w:rFonts w:cs="Arial"/>
          <w:rtl/>
        </w:rPr>
        <w:t xml:space="preserve"> כ</w:t>
      </w:r>
      <w:r>
        <w:rPr>
          <w:rFonts w:cs="Arial" w:hint="cs"/>
          <w:rtl/>
        </w:rPr>
        <w:t>'</w:t>
      </w:r>
      <w:r w:rsidRPr="00FD01EC">
        <w:rPr>
          <w:rFonts w:cs="Arial"/>
          <w:rtl/>
        </w:rPr>
        <w:t xml:space="preserve"> דאף הבתי דינים אינם מצטרפין אלא כשהעידו שני עדים בכל בית דין אבל אם העיד עד אחד בבית דין זה ועד אחד בבית דין זה אין אחד מבית דין זה ואחד מבית דין זה מצטרפין וכ"נ מדברי ב</w:t>
      </w:r>
      <w:r>
        <w:rPr>
          <w:rFonts w:cs="Arial" w:hint="cs"/>
          <w:rtl/>
        </w:rPr>
        <w:t>"י</w:t>
      </w:r>
      <w:r w:rsidRPr="00FD01EC">
        <w:rPr>
          <w:rFonts w:cs="Arial"/>
          <w:rtl/>
        </w:rPr>
        <w:t xml:space="preserve"> דס</w:t>
      </w:r>
      <w:r>
        <w:rPr>
          <w:rFonts w:cs="Arial" w:hint="cs"/>
          <w:rtl/>
        </w:rPr>
        <w:t>"</w:t>
      </w:r>
      <w:r w:rsidRPr="00FD01EC">
        <w:rPr>
          <w:rFonts w:cs="Arial"/>
          <w:rtl/>
        </w:rPr>
        <w:t>ל הכי ומדברי ה"ר אברהם דלעיל לא משמע כן גם דברי רבינו אינו כן</w:t>
      </w:r>
      <w:r>
        <w:rPr>
          <w:rFonts w:cs="Arial" w:hint="cs"/>
          <w:rtl/>
        </w:rPr>
        <w:t>.</w:t>
      </w:r>
    </w:p>
  </w:footnote>
  <w:footnote w:id="1738">
    <w:p w14:paraId="783C7D73" w14:textId="77777777" w:rsidR="0013116F" w:rsidRDefault="0013116F" w:rsidP="004B607F">
      <w:pPr>
        <w:pStyle w:val="a9"/>
        <w:rPr>
          <w:rtl/>
        </w:rPr>
      </w:pPr>
      <w:r>
        <w:rPr>
          <w:rStyle w:val="ab"/>
        </w:rPr>
        <w:footnoteRef/>
      </w:r>
      <w:r>
        <w:rPr>
          <w:rtl/>
        </w:rPr>
        <w:t xml:space="preserve"> </w:t>
      </w:r>
      <w:r w:rsidRPr="00FD01EC">
        <w:rPr>
          <w:rFonts w:cs="Arial"/>
          <w:rtl/>
        </w:rPr>
        <w:t>ודע דלדידן דקיי</w:t>
      </w:r>
      <w:r>
        <w:rPr>
          <w:rFonts w:cs="Arial" w:hint="cs"/>
          <w:rtl/>
        </w:rPr>
        <w:t>"</w:t>
      </w:r>
      <w:r w:rsidRPr="00FD01EC">
        <w:rPr>
          <w:rFonts w:cs="Arial"/>
          <w:rtl/>
        </w:rPr>
        <w:t>ל כרבי נתן לא היה צריך לפוסקים לכתוב דין זה</w:t>
      </w:r>
      <w:r>
        <w:rPr>
          <w:rFonts w:cs="Arial" w:hint="cs"/>
          <w:rtl/>
        </w:rPr>
        <w:t>,</w:t>
      </w:r>
      <w:r w:rsidRPr="00FD01EC">
        <w:rPr>
          <w:rFonts w:cs="Arial"/>
          <w:rtl/>
        </w:rPr>
        <w:t xml:space="preserve"> דהא אמרינן בגמרא דלא איבעיא לן אלא אליבא דתנא קמא דרבי נתן</w:t>
      </w:r>
      <w:r>
        <w:rPr>
          <w:rFonts w:cs="Arial" w:hint="cs"/>
          <w:rtl/>
        </w:rPr>
        <w:t>,</w:t>
      </w:r>
      <w:r w:rsidRPr="00FD01EC">
        <w:rPr>
          <w:rFonts w:cs="Arial"/>
          <w:rtl/>
        </w:rPr>
        <w:t xml:space="preserve"> דאילו לרבי נתן כיון דאמר העדים מצטרפין כל שכן דיינים</w:t>
      </w:r>
      <w:r>
        <w:rPr>
          <w:rFonts w:cs="Arial" w:hint="cs"/>
          <w:rtl/>
        </w:rPr>
        <w:t>,</w:t>
      </w:r>
      <w:r w:rsidRPr="00FD01EC">
        <w:rPr>
          <w:rFonts w:cs="Arial"/>
          <w:rtl/>
        </w:rPr>
        <w:t xml:space="preserve"> דהשתא עדים דלא בקיאי מצטרפי דיינים דבקיאי מיבעיא</w:t>
      </w:r>
      <w:r>
        <w:rPr>
          <w:rFonts w:cs="Arial" w:hint="cs"/>
          <w:rtl/>
        </w:rPr>
        <w:t>,</w:t>
      </w:r>
      <w:r w:rsidRPr="00FD01EC">
        <w:rPr>
          <w:rFonts w:cs="Arial"/>
          <w:rtl/>
        </w:rPr>
        <w:t xml:space="preserve"> ולא כתבוה אלא לומר החלוקה ד</w:t>
      </w:r>
      <w:r>
        <w:rPr>
          <w:rFonts w:cs="Arial" w:hint="cs"/>
          <w:rtl/>
        </w:rPr>
        <w:t>-'</w:t>
      </w:r>
      <w:r w:rsidRPr="00FD01EC">
        <w:rPr>
          <w:rFonts w:cs="Arial"/>
          <w:rtl/>
        </w:rPr>
        <w:t>אבל דיין שהעידו שנים לפניו</w:t>
      </w:r>
      <w:r>
        <w:rPr>
          <w:rFonts w:cs="Arial" w:hint="cs"/>
          <w:rtl/>
        </w:rPr>
        <w:t>...</w:t>
      </w:r>
      <w:r w:rsidRPr="00FD01EC">
        <w:rPr>
          <w:rFonts w:cs="Arial"/>
          <w:rtl/>
        </w:rPr>
        <w:t>' כדאסיקנא פ"ב דכתובות (כא:) דעד ודיין לא מצטרפי וטעמא משום דמאי דאסהיד סהדא לא מסהיד דיינא ומאי דמסהיד דיינא לא מסהיד סהדא</w:t>
      </w:r>
      <w:r>
        <w:rPr>
          <w:rFonts w:cs="Arial" w:hint="cs"/>
          <w:rtl/>
        </w:rPr>
        <w:t>.</w:t>
      </w:r>
      <w:r w:rsidRPr="00FD01EC">
        <w:rPr>
          <w:rFonts w:cs="Arial"/>
          <w:rtl/>
        </w:rPr>
        <w:t xml:space="preserve"> ופירש רש"י (שם. ד"ה מאי) עדי השטר מעידים על מנה שבשטר והדיינים מעידים בפנינו נתקיים עכ"ל</w:t>
      </w:r>
      <w:r>
        <w:rPr>
          <w:rFonts w:cs="Arial" w:hint="cs"/>
          <w:rtl/>
        </w:rPr>
        <w:t>.</w:t>
      </w:r>
      <w:r w:rsidRPr="00FD01EC">
        <w:rPr>
          <w:rFonts w:cs="Arial"/>
          <w:rtl/>
        </w:rPr>
        <w:t xml:space="preserve"> והוא הדין בשאר עדיות שהעד מעיד על ההודאה או ההלואה והדיין מעיד שהעידו בפניו שחוב זה אמת</w:t>
      </w:r>
      <w:r>
        <w:rPr>
          <w:rFonts w:cs="Arial" w:hint="cs"/>
          <w:rtl/>
        </w:rPr>
        <w:t>,</w:t>
      </w:r>
      <w:r w:rsidRPr="00FD01EC">
        <w:rPr>
          <w:rFonts w:cs="Arial"/>
          <w:rtl/>
        </w:rPr>
        <w:t xml:space="preserve"> והיאך ידונו זה על פי ראייתו ההלואה או שמיעתו ההודאה מפי הלוה</w:t>
      </w:r>
      <w:r>
        <w:rPr>
          <w:rFonts w:cs="Arial" w:hint="cs"/>
          <w:rtl/>
        </w:rPr>
        <w:t>,</w:t>
      </w:r>
      <w:r w:rsidRPr="00FD01EC">
        <w:rPr>
          <w:rFonts w:cs="Arial"/>
          <w:rtl/>
        </w:rPr>
        <w:t xml:space="preserve"> וזה על פי מה שהעידו העדים בפניו</w:t>
      </w:r>
      <w:r>
        <w:rPr>
          <w:rFonts w:cs="Arial" w:hint="cs"/>
          <w:rtl/>
        </w:rPr>
        <w:t>.</w:t>
      </w:r>
      <w:r w:rsidRPr="00FD01EC">
        <w:rPr>
          <w:rFonts w:cs="Arial"/>
          <w:rtl/>
        </w:rPr>
        <w:t xml:space="preserve"> ופרטי דיני אין עד נעשה דיין עיין בסימן ז' (ס"ו)</w:t>
      </w:r>
      <w:r>
        <w:rPr>
          <w:rFonts w:cs="Arial" w:hint="cs"/>
          <w:rtl/>
        </w:rPr>
        <w:t>, ב"י.</w:t>
      </w:r>
    </w:p>
  </w:footnote>
  <w:footnote w:id="1739">
    <w:p w14:paraId="43A5A761" w14:textId="77777777" w:rsidR="0013116F" w:rsidRDefault="0013116F" w:rsidP="004B607F">
      <w:pPr>
        <w:pStyle w:val="a9"/>
        <w:rPr>
          <w:rtl/>
        </w:rPr>
      </w:pPr>
      <w:r>
        <w:rPr>
          <w:rStyle w:val="ab"/>
        </w:rPr>
        <w:footnoteRef/>
      </w:r>
      <w:r>
        <w:rPr>
          <w:rtl/>
        </w:rPr>
        <w:t xml:space="preserve"> </w:t>
      </w:r>
      <w:r w:rsidRPr="00FD01EC">
        <w:rPr>
          <w:rFonts w:cs="Arial"/>
          <w:rtl/>
        </w:rPr>
        <w:t>וצריך להעמיד דבריו כשישבו השלשה לדיינים לקבל אותו עדות</w:t>
      </w:r>
      <w:r>
        <w:rPr>
          <w:rFonts w:cs="Arial" w:hint="cs"/>
          <w:rtl/>
        </w:rPr>
        <w:t>.</w:t>
      </w:r>
      <w:r w:rsidRPr="00FD01EC">
        <w:rPr>
          <w:rFonts w:cs="Arial"/>
          <w:rtl/>
        </w:rPr>
        <w:t xml:space="preserve"> דאל</w:t>
      </w:r>
      <w:r>
        <w:rPr>
          <w:rFonts w:cs="Arial" w:hint="cs"/>
          <w:rtl/>
        </w:rPr>
        <w:t>"</w:t>
      </w:r>
      <w:r w:rsidRPr="00FD01EC">
        <w:rPr>
          <w:rFonts w:cs="Arial"/>
          <w:rtl/>
        </w:rPr>
        <w:t>כ בשמיעה בעלמא ששמעו היאך תעלה לקבלת עדות</w:t>
      </w:r>
      <w:r>
        <w:rPr>
          <w:rFonts w:hint="cs"/>
          <w:rtl/>
        </w:rPr>
        <w:t xml:space="preserve">, ב"י (בבדה"ב). וכן מוכח שם בדברי הנמוק"י </w:t>
      </w:r>
      <w:r w:rsidRPr="001B2126">
        <w:rPr>
          <w:rFonts w:hint="cs"/>
          <w:sz w:val="16"/>
          <w:szCs w:val="16"/>
          <w:rtl/>
        </w:rPr>
        <w:t>(דמיירי התם בקיום, ואמר ששנים אינם יכולים לעשות קיום, אבל שלשה כן</w:t>
      </w:r>
      <w:r>
        <w:rPr>
          <w:rFonts w:hint="cs"/>
          <w:sz w:val="16"/>
          <w:szCs w:val="16"/>
          <w:rtl/>
        </w:rPr>
        <w:t>)</w:t>
      </w:r>
      <w:r>
        <w:rPr>
          <w:rFonts w:hint="cs"/>
          <w:rtl/>
        </w:rPr>
        <w:t>.</w:t>
      </w:r>
    </w:p>
  </w:footnote>
  <w:footnote w:id="1740">
    <w:p w14:paraId="4512FECB" w14:textId="77777777" w:rsidR="0013116F" w:rsidRDefault="0013116F" w:rsidP="004B607F">
      <w:pPr>
        <w:pStyle w:val="a9"/>
        <w:rPr>
          <w:rtl/>
        </w:rPr>
      </w:pPr>
      <w:r>
        <w:rPr>
          <w:rStyle w:val="ab"/>
        </w:rPr>
        <w:footnoteRef/>
      </w:r>
      <w:r>
        <w:rPr>
          <w:rtl/>
        </w:rPr>
        <w:t xml:space="preserve"> </w:t>
      </w:r>
      <w:r w:rsidRPr="00844F87">
        <w:rPr>
          <w:rFonts w:cs="Arial"/>
          <w:rtl/>
        </w:rPr>
        <w:t>פירוש, כשהדין היה במותב תלתא וקיבלו כדת עדות של שני העדים, והלכו להן שני הדיינים, אין יכול להצטרף דיין הנשאר עם אחד מהעדים להעיד לפני ב"ד אחר, ושאותו ב"ד אחר ידונו ע"פ עדותן. ואע</w:t>
      </w:r>
      <w:r>
        <w:rPr>
          <w:rFonts w:cs="Arial" w:hint="cs"/>
          <w:rtl/>
        </w:rPr>
        <w:t>"</w:t>
      </w:r>
      <w:r w:rsidRPr="00844F87">
        <w:rPr>
          <w:rFonts w:cs="Arial"/>
          <w:rtl/>
        </w:rPr>
        <w:t>פ דאין זה בכלל עד מפי עד, דהרי הדיין כדין קיבלו ושם דיין עליו ולא עד, מ"מ על מאי דמסהיד האי לא מסהיד האי, הדיין מעיד שנתקבלה עדות זו במותב תלתא לפניו, והעד מעיד שראה המעשה. ועיין פרישה מ"ש עוד מזה, והוכחתי דגם הטור [סעיף י"ג] איירי מזה שבאין להצטרף להעיד לפני ב"ד אחר. ולא כמ"ש עיר שושן [סעיף י"ב] דמיירי שיצטרפו לענין לדון הן עצמן. דזה אינו כמו שהוכחתי, ע"ש</w:t>
      </w:r>
      <w:r>
        <w:rPr>
          <w:rFonts w:hint="cs"/>
          <w:rtl/>
        </w:rPr>
        <w:t>, סמ"ע (סקל"ז).</w:t>
      </w:r>
    </w:p>
  </w:footnote>
  <w:footnote w:id="1741">
    <w:p w14:paraId="04C58153" w14:textId="77777777" w:rsidR="0013116F" w:rsidRDefault="0013116F" w:rsidP="004B607F">
      <w:pPr>
        <w:pStyle w:val="a9"/>
        <w:rPr>
          <w:rtl/>
        </w:rPr>
      </w:pPr>
      <w:r>
        <w:rPr>
          <w:rStyle w:val="ab"/>
        </w:rPr>
        <w:footnoteRef/>
      </w:r>
      <w:r>
        <w:rPr>
          <w:rtl/>
        </w:rPr>
        <w:t xml:space="preserve"> </w:t>
      </w:r>
      <w:r w:rsidRPr="00844F87">
        <w:rPr>
          <w:rFonts w:cs="Arial"/>
          <w:rtl/>
        </w:rPr>
        <w:t>לאו דוקא קאמר, דה"ה דאינו מצטרף עם עד אחד שראה המעשה ולא העיד לפניו ולא לפני ב"ד אחר, דזיל בתר טעמא הנ"ל, אלא אורחא דמילתא נקט</w:t>
      </w:r>
      <w:r>
        <w:rPr>
          <w:rFonts w:hint="cs"/>
          <w:rtl/>
        </w:rPr>
        <w:t>, סמ"ע (סקל"ח).</w:t>
      </w:r>
    </w:p>
  </w:footnote>
  <w:footnote w:id="1742">
    <w:p w14:paraId="27FEFCE2" w14:textId="77777777" w:rsidR="0013116F" w:rsidRDefault="0013116F" w:rsidP="004B607F">
      <w:pPr>
        <w:pStyle w:val="a9"/>
      </w:pPr>
      <w:r>
        <w:rPr>
          <w:rStyle w:val="ab"/>
        </w:rPr>
        <w:footnoteRef/>
      </w:r>
      <w:r>
        <w:rPr>
          <w:rtl/>
        </w:rPr>
        <w:t xml:space="preserve"> </w:t>
      </w:r>
      <w:r>
        <w:rPr>
          <w:rFonts w:hint="cs"/>
          <w:rtl/>
        </w:rPr>
        <w:t xml:space="preserve">סימן </w:t>
      </w:r>
      <w:r>
        <w:rPr>
          <w:rtl/>
        </w:rPr>
        <w:t>–</w:t>
      </w:r>
      <w:r>
        <w:rPr>
          <w:rFonts w:hint="cs"/>
          <w:rtl/>
        </w:rPr>
        <w:t xml:space="preserve"> נחצתה ומתקבלת. וכן </w:t>
      </w:r>
      <w:r>
        <w:rPr>
          <w:rFonts w:cs="Arial" w:hint="cs"/>
          <w:rtl/>
        </w:rPr>
        <w:t>איתא ב</w:t>
      </w:r>
      <w:r w:rsidRPr="00844F87">
        <w:rPr>
          <w:rFonts w:cs="Arial" w:hint="cs"/>
          <w:rtl/>
        </w:rPr>
        <w:t xml:space="preserve">בבא קמא </w:t>
      </w:r>
      <w:r w:rsidRPr="00844F87">
        <w:rPr>
          <w:rFonts w:cs="Arial" w:hint="cs"/>
          <w:sz w:val="16"/>
          <w:szCs w:val="16"/>
          <w:rtl/>
        </w:rPr>
        <w:t>(פרק מרובה)</w:t>
      </w:r>
      <w:r w:rsidRPr="00844F87">
        <w:rPr>
          <w:rFonts w:cs="Arial" w:hint="cs"/>
          <w:rtl/>
        </w:rPr>
        <w:t xml:space="preserve"> ע ע"ב</w:t>
      </w:r>
      <w:r>
        <w:rPr>
          <w:rFonts w:hint="cs"/>
          <w:rtl/>
        </w:rPr>
        <w:t>.</w:t>
      </w:r>
    </w:p>
  </w:footnote>
  <w:footnote w:id="1743">
    <w:p w14:paraId="7C3838A0" w14:textId="77777777" w:rsidR="0013116F" w:rsidRDefault="0013116F" w:rsidP="004B607F">
      <w:pPr>
        <w:pStyle w:val="a9"/>
      </w:pPr>
      <w:r>
        <w:rPr>
          <w:rStyle w:val="ab"/>
        </w:rPr>
        <w:footnoteRef/>
      </w:r>
      <w:r>
        <w:rPr>
          <w:rtl/>
        </w:rPr>
        <w:t xml:space="preserve"> </w:t>
      </w:r>
      <w:r>
        <w:rPr>
          <w:rFonts w:hint="cs"/>
          <w:rtl/>
        </w:rPr>
        <w:t xml:space="preserve">את המוחזק, שאכל מהקרקע שלש שנים, ובכך הוי חזקה </w:t>
      </w:r>
      <w:r w:rsidRPr="00844F87">
        <w:rPr>
          <w:rFonts w:hint="cs"/>
          <w:sz w:val="16"/>
          <w:szCs w:val="16"/>
          <w:rtl/>
        </w:rPr>
        <w:t>(ולכן אם הוזמו ישלמו לתובע את מה שרצו להפסידו)</w:t>
      </w:r>
      <w:r>
        <w:rPr>
          <w:rFonts w:hint="cs"/>
          <w:rtl/>
        </w:rPr>
        <w:t>.</w:t>
      </w:r>
    </w:p>
  </w:footnote>
  <w:footnote w:id="1744">
    <w:p w14:paraId="13E139C1" w14:textId="77777777" w:rsidR="0013116F" w:rsidRDefault="0013116F" w:rsidP="004B607F">
      <w:pPr>
        <w:pStyle w:val="a9"/>
        <w:rPr>
          <w:rtl/>
        </w:rPr>
      </w:pPr>
      <w:r>
        <w:rPr>
          <w:rStyle w:val="ab"/>
        </w:rPr>
        <w:footnoteRef/>
      </w:r>
      <w:r>
        <w:rPr>
          <w:rtl/>
        </w:rPr>
        <w:t xml:space="preserve"> </w:t>
      </w:r>
      <w:r>
        <w:rPr>
          <w:rFonts w:hint="cs"/>
          <w:rtl/>
        </w:rPr>
        <w:t>הרי לנו דמצטרפת עדותן.</w:t>
      </w:r>
    </w:p>
  </w:footnote>
  <w:footnote w:id="1745">
    <w:p w14:paraId="42715CAE" w14:textId="77777777" w:rsidR="0013116F" w:rsidRDefault="0013116F" w:rsidP="004B607F">
      <w:pPr>
        <w:pStyle w:val="a9"/>
      </w:pPr>
      <w:r>
        <w:rPr>
          <w:rStyle w:val="ab"/>
        </w:rPr>
        <w:footnoteRef/>
      </w:r>
      <w:r>
        <w:rPr>
          <w:rtl/>
        </w:rPr>
        <w:t xml:space="preserve"> </w:t>
      </w:r>
      <w:r w:rsidRPr="00FD01EC">
        <w:rPr>
          <w:rFonts w:cs="Arial"/>
          <w:rtl/>
        </w:rPr>
        <w:t>וה</w:t>
      </w:r>
      <w:r>
        <w:rPr>
          <w:rFonts w:cs="Arial" w:hint="cs"/>
          <w:rtl/>
        </w:rPr>
        <w:t>"ה</w:t>
      </w:r>
      <w:r w:rsidRPr="00FD01EC">
        <w:rPr>
          <w:rFonts w:cs="Arial"/>
          <w:rtl/>
        </w:rPr>
        <w:t xml:space="preserve"> לאחד מעיד שאכלה שנה אחת</w:t>
      </w:r>
      <w:r>
        <w:rPr>
          <w:rFonts w:cs="Arial" w:hint="cs"/>
          <w:rtl/>
        </w:rPr>
        <w:t>,</w:t>
      </w:r>
      <w:r w:rsidRPr="00FD01EC">
        <w:rPr>
          <w:rFonts w:cs="Arial"/>
          <w:rtl/>
        </w:rPr>
        <w:t xml:space="preserve"> ואחד מעיד שאכלה שנה שנייה</w:t>
      </w:r>
      <w:r>
        <w:rPr>
          <w:rFonts w:cs="Arial" w:hint="cs"/>
          <w:rtl/>
        </w:rPr>
        <w:t>,</w:t>
      </w:r>
      <w:r w:rsidRPr="00FD01EC">
        <w:rPr>
          <w:rFonts w:cs="Arial"/>
          <w:rtl/>
        </w:rPr>
        <w:t xml:space="preserve"> ואחד מעיד שאכלה שנה שלישית</w:t>
      </w:r>
      <w:r>
        <w:rPr>
          <w:rFonts w:cs="Arial" w:hint="cs"/>
          <w:rtl/>
        </w:rPr>
        <w:t>,</w:t>
      </w:r>
      <w:r w:rsidRPr="00FD01EC">
        <w:rPr>
          <w:rFonts w:cs="Arial"/>
          <w:rtl/>
        </w:rPr>
        <w:t xml:space="preserve"> </w:t>
      </w:r>
      <w:r>
        <w:rPr>
          <w:rFonts w:cs="Arial" w:hint="cs"/>
          <w:rtl/>
        </w:rPr>
        <w:t xml:space="preserve">ב"י. </w:t>
      </w:r>
    </w:p>
  </w:footnote>
  <w:footnote w:id="1746">
    <w:p w14:paraId="11FD6890" w14:textId="77777777" w:rsidR="0013116F" w:rsidRDefault="0013116F" w:rsidP="004B607F">
      <w:pPr>
        <w:pStyle w:val="a9"/>
        <w:rPr>
          <w:rtl/>
        </w:rPr>
      </w:pPr>
      <w:r>
        <w:rPr>
          <w:rStyle w:val="ab"/>
        </w:rPr>
        <w:footnoteRef/>
      </w:r>
      <w:r>
        <w:rPr>
          <w:rtl/>
        </w:rPr>
        <w:t xml:space="preserve"> </w:t>
      </w:r>
      <w:r w:rsidRPr="00844F87">
        <w:rPr>
          <w:rFonts w:hint="cs"/>
          <w:u w:val="single"/>
          <w:rtl/>
        </w:rPr>
        <w:t xml:space="preserve">וקשה דהרי תנן לעיל </w:t>
      </w:r>
      <w:r w:rsidRPr="00844F87">
        <w:rPr>
          <w:rFonts w:cs="Arial"/>
          <w:u w:val="single"/>
          <w:rtl/>
        </w:rPr>
        <w:t>אם היו שנים מעידים על שנה אחת</w:t>
      </w:r>
      <w:r w:rsidRPr="00844F87">
        <w:rPr>
          <w:rFonts w:cs="Arial" w:hint="cs"/>
          <w:u w:val="single"/>
          <w:rtl/>
        </w:rPr>
        <w:t>,</w:t>
      </w:r>
      <w:r w:rsidRPr="00844F87">
        <w:rPr>
          <w:rFonts w:cs="Arial"/>
          <w:u w:val="single"/>
          <w:rtl/>
        </w:rPr>
        <w:t xml:space="preserve"> ושנים מעידים על שנה שנייה</w:t>
      </w:r>
      <w:r w:rsidRPr="00844F87">
        <w:rPr>
          <w:rFonts w:cs="Arial" w:hint="cs"/>
          <w:u w:val="single"/>
          <w:rtl/>
        </w:rPr>
        <w:t>,</w:t>
      </w:r>
      <w:r w:rsidRPr="00844F87">
        <w:rPr>
          <w:rFonts w:cs="Arial"/>
          <w:u w:val="single"/>
          <w:rtl/>
        </w:rPr>
        <w:t xml:space="preserve"> ושנים על שנה שלישית</w:t>
      </w:r>
      <w:r w:rsidRPr="00844F87">
        <w:rPr>
          <w:rFonts w:cs="Arial" w:hint="cs"/>
          <w:u w:val="single"/>
          <w:rtl/>
        </w:rPr>
        <w:t xml:space="preserve"> </w:t>
      </w:r>
      <w:r w:rsidRPr="00844F87">
        <w:rPr>
          <w:rFonts w:cs="Arial"/>
          <w:u w:val="single"/>
          <w:rtl/>
        </w:rPr>
        <w:t>–</w:t>
      </w:r>
      <w:r w:rsidRPr="00844F87">
        <w:rPr>
          <w:rFonts w:cs="Arial" w:hint="cs"/>
          <w:u w:val="single"/>
          <w:rtl/>
        </w:rPr>
        <w:t xml:space="preserve"> </w:t>
      </w:r>
      <w:r w:rsidRPr="00844F87">
        <w:rPr>
          <w:rFonts w:cs="Arial"/>
          <w:u w:val="single"/>
          <w:rtl/>
        </w:rPr>
        <w:t>מצטרפין</w:t>
      </w:r>
      <w:r w:rsidRPr="00844F87">
        <w:rPr>
          <w:rFonts w:cs="Arial" w:hint="cs"/>
          <w:u w:val="single"/>
          <w:rtl/>
        </w:rPr>
        <w:t>, א"כ גם כאן היו צריכים להצטרף</w:t>
      </w:r>
      <w:r>
        <w:rPr>
          <w:rFonts w:cs="Arial" w:hint="cs"/>
          <w:rtl/>
        </w:rPr>
        <w:t>:</w:t>
      </w:r>
    </w:p>
    <w:p w14:paraId="41A11EA0" w14:textId="77777777" w:rsidR="0013116F" w:rsidRPr="00844F87" w:rsidRDefault="0013116F" w:rsidP="004B0475">
      <w:pPr>
        <w:pStyle w:val="a9"/>
        <w:numPr>
          <w:ilvl w:val="0"/>
          <w:numId w:val="91"/>
        </w:numPr>
      </w:pPr>
      <w:r w:rsidRPr="00FD01EC">
        <w:rPr>
          <w:rFonts w:cs="Arial"/>
          <w:rtl/>
        </w:rPr>
        <w:t xml:space="preserve">רי"ף </w:t>
      </w:r>
      <w:r w:rsidRPr="00844F87">
        <w:rPr>
          <w:rFonts w:cs="Arial" w:hint="cs"/>
          <w:sz w:val="14"/>
          <w:szCs w:val="14"/>
          <w:rtl/>
        </w:rPr>
        <w:t>(</w:t>
      </w:r>
      <w:r w:rsidRPr="00844F87">
        <w:rPr>
          <w:rFonts w:cs="Arial"/>
          <w:sz w:val="14"/>
          <w:szCs w:val="14"/>
          <w:rtl/>
        </w:rPr>
        <w:t>פרק חזקת ל.)</w:t>
      </w:r>
      <w:r>
        <w:rPr>
          <w:rFonts w:cs="Arial" w:hint="cs"/>
          <w:rtl/>
        </w:rPr>
        <w:t xml:space="preserve"> ותוס' </w:t>
      </w:r>
      <w:r>
        <w:rPr>
          <w:rFonts w:cs="Arial" w:hint="cs"/>
          <w:sz w:val="16"/>
          <w:szCs w:val="16"/>
          <w:rtl/>
        </w:rPr>
        <w:t>(ב"ב נו: ד"ה אלא)</w:t>
      </w:r>
      <w:r>
        <w:rPr>
          <w:rFonts w:cs="Arial" w:hint="cs"/>
          <w:rtl/>
        </w:rPr>
        <w:t>-</w:t>
      </w:r>
      <w:r w:rsidRPr="00FD01EC">
        <w:rPr>
          <w:rFonts w:cs="Arial"/>
          <w:rtl/>
        </w:rPr>
        <w:t xml:space="preserve"> משום דגבי חזקה מגו דמהני סהדותייהו לענין פירות שאכל בשנה ראשונה</w:t>
      </w:r>
      <w:r>
        <w:rPr>
          <w:rFonts w:cs="Arial" w:hint="cs"/>
          <w:rtl/>
        </w:rPr>
        <w:t>,</w:t>
      </w:r>
      <w:r w:rsidRPr="00FD01EC">
        <w:rPr>
          <w:rFonts w:cs="Arial"/>
          <w:rtl/>
        </w:rPr>
        <w:t xml:space="preserve"> שחייב לשלם אם לא ימצא עדים יותר</w:t>
      </w:r>
      <w:r>
        <w:rPr>
          <w:rFonts w:cs="Arial" w:hint="cs"/>
          <w:rtl/>
        </w:rPr>
        <w:t>,</w:t>
      </w:r>
      <w:r w:rsidRPr="00FD01EC">
        <w:rPr>
          <w:rFonts w:cs="Arial"/>
          <w:rtl/>
        </w:rPr>
        <w:t xml:space="preserve"> מהני היכא דמצא עדים יותר והויא חזקה. </w:t>
      </w:r>
    </w:p>
    <w:p w14:paraId="5D20B072" w14:textId="77777777" w:rsidR="0013116F" w:rsidRDefault="0013116F" w:rsidP="004B0475">
      <w:pPr>
        <w:pStyle w:val="a9"/>
        <w:numPr>
          <w:ilvl w:val="0"/>
          <w:numId w:val="91"/>
        </w:numPr>
      </w:pPr>
      <w:r>
        <w:rPr>
          <w:rFonts w:cs="Arial" w:hint="cs"/>
          <w:rtl/>
        </w:rPr>
        <w:t>ר"י</w:t>
      </w:r>
      <w:r w:rsidRPr="00FD01EC">
        <w:rPr>
          <w:rFonts w:cs="Arial"/>
          <w:rtl/>
        </w:rPr>
        <w:t xml:space="preserve"> </w:t>
      </w:r>
      <w:r w:rsidRPr="00844F87">
        <w:rPr>
          <w:rFonts w:cs="Arial" w:hint="cs"/>
          <w:sz w:val="14"/>
          <w:szCs w:val="14"/>
          <w:rtl/>
        </w:rPr>
        <w:t xml:space="preserve">(פ' </w:t>
      </w:r>
      <w:r w:rsidRPr="00844F87">
        <w:rPr>
          <w:rFonts w:cs="Arial"/>
          <w:sz w:val="14"/>
          <w:szCs w:val="14"/>
          <w:rtl/>
        </w:rPr>
        <w:t>מרובה</w:t>
      </w:r>
      <w:r w:rsidRPr="00844F87">
        <w:rPr>
          <w:rFonts w:cs="Arial" w:hint="cs"/>
          <w:sz w:val="14"/>
          <w:szCs w:val="14"/>
          <w:rtl/>
        </w:rPr>
        <w:t xml:space="preserve"> [ב"ק ע:</w:t>
      </w:r>
      <w:r w:rsidRPr="00844F87">
        <w:rPr>
          <w:rFonts w:cs="Arial"/>
          <w:sz w:val="14"/>
          <w:szCs w:val="14"/>
          <w:rtl/>
        </w:rPr>
        <w:t xml:space="preserve"> ד"ה למעוטי</w:t>
      </w:r>
      <w:r w:rsidRPr="00844F87">
        <w:rPr>
          <w:rFonts w:cs="Arial" w:hint="cs"/>
          <w:sz w:val="14"/>
          <w:szCs w:val="14"/>
          <w:rtl/>
        </w:rPr>
        <w:t>]</w:t>
      </w:r>
      <w:r w:rsidRPr="00844F87">
        <w:rPr>
          <w:rFonts w:cs="Arial"/>
          <w:sz w:val="14"/>
          <w:szCs w:val="14"/>
          <w:rtl/>
        </w:rPr>
        <w:t>)</w:t>
      </w:r>
      <w:r>
        <w:rPr>
          <w:rFonts w:cs="Arial" w:hint="cs"/>
          <w:rtl/>
        </w:rPr>
        <w:t xml:space="preserve">- </w:t>
      </w:r>
      <w:r w:rsidRPr="00FD01EC">
        <w:rPr>
          <w:rFonts w:cs="Arial"/>
          <w:rtl/>
        </w:rPr>
        <w:t>חזקה שאני</w:t>
      </w:r>
      <w:r>
        <w:rPr>
          <w:rFonts w:cs="Arial" w:hint="cs"/>
          <w:rtl/>
        </w:rPr>
        <w:t>,</w:t>
      </w:r>
      <w:r w:rsidRPr="00FD01EC">
        <w:rPr>
          <w:rFonts w:cs="Arial"/>
          <w:rtl/>
        </w:rPr>
        <w:t xml:space="preserve"> שראו כל מה שהיו יכולים לראות באותה שנה</w:t>
      </w:r>
      <w:r>
        <w:rPr>
          <w:rFonts w:cs="Arial" w:hint="cs"/>
          <w:rtl/>
        </w:rPr>
        <w:t>.</w:t>
      </w:r>
      <w:r>
        <w:rPr>
          <w:rFonts w:hint="cs"/>
          <w:rtl/>
        </w:rPr>
        <w:t xml:space="preserve"> (וכ"כ הסמ"ע</w:t>
      </w:r>
      <w:r>
        <w:rPr>
          <w:rFonts w:hint="cs"/>
          <w:sz w:val="16"/>
          <w:szCs w:val="16"/>
          <w:rtl/>
        </w:rPr>
        <w:t xml:space="preserve"> [סקל"ט]</w:t>
      </w:r>
      <w:r>
        <w:rPr>
          <w:rFonts w:hint="cs"/>
          <w:rtl/>
        </w:rPr>
        <w:t>)</w:t>
      </w:r>
    </w:p>
  </w:footnote>
  <w:footnote w:id="1747">
    <w:p w14:paraId="4A1DFAD4" w14:textId="77777777" w:rsidR="0013116F" w:rsidRDefault="0013116F" w:rsidP="004B607F">
      <w:pPr>
        <w:pStyle w:val="a9"/>
        <w:rPr>
          <w:rtl/>
        </w:rPr>
      </w:pPr>
      <w:r>
        <w:rPr>
          <w:rStyle w:val="ab"/>
        </w:rPr>
        <w:footnoteRef/>
      </w:r>
      <w:r>
        <w:rPr>
          <w:rtl/>
        </w:rPr>
        <w:t xml:space="preserve"> </w:t>
      </w:r>
      <w:r w:rsidRPr="00FD01EC">
        <w:rPr>
          <w:rFonts w:cs="Arial"/>
          <w:rtl/>
        </w:rPr>
        <w:t>ומפרש רבינו גבה וכריסה צד ימין וצד שמאל</w:t>
      </w:r>
      <w:r>
        <w:rPr>
          <w:rFonts w:cs="Arial" w:hint="cs"/>
          <w:rtl/>
        </w:rPr>
        <w:t>,</w:t>
      </w:r>
      <w:r w:rsidRPr="00FD01EC">
        <w:rPr>
          <w:rFonts w:cs="Arial"/>
          <w:rtl/>
        </w:rPr>
        <w:t xml:space="preserve"> וכן דעת הרמב"ם פ"ד מהל</w:t>
      </w:r>
      <w:r>
        <w:rPr>
          <w:rFonts w:cs="Arial" w:hint="cs"/>
          <w:rtl/>
        </w:rPr>
        <w:t>'</w:t>
      </w:r>
      <w:r w:rsidRPr="00FD01EC">
        <w:rPr>
          <w:rFonts w:cs="Arial"/>
          <w:rtl/>
        </w:rPr>
        <w:t xml:space="preserve"> עדות (ה"ז)</w:t>
      </w:r>
      <w:r>
        <w:rPr>
          <w:rFonts w:cs="Arial" w:hint="cs"/>
          <w:rtl/>
        </w:rPr>
        <w:t>, ב"י</w:t>
      </w:r>
      <w:r w:rsidRPr="00FD01EC">
        <w:rPr>
          <w:rFonts w:cs="Arial"/>
          <w:rtl/>
        </w:rPr>
        <w:t>.</w:t>
      </w:r>
    </w:p>
  </w:footnote>
  <w:footnote w:id="1748">
    <w:p w14:paraId="7B2C62B1" w14:textId="77777777" w:rsidR="0013116F" w:rsidRDefault="0013116F" w:rsidP="004B607F">
      <w:pPr>
        <w:pStyle w:val="a9"/>
        <w:rPr>
          <w:rtl/>
        </w:rPr>
      </w:pPr>
      <w:r>
        <w:rPr>
          <w:rStyle w:val="ab"/>
        </w:rPr>
        <w:footnoteRef/>
      </w:r>
      <w:r>
        <w:rPr>
          <w:rtl/>
        </w:rPr>
        <w:t xml:space="preserve"> </w:t>
      </w:r>
      <w:r>
        <w:rPr>
          <w:rFonts w:cs="Arial" w:hint="cs"/>
          <w:rtl/>
        </w:rPr>
        <w:t xml:space="preserve">וכתב הב"י- </w:t>
      </w:r>
      <w:r w:rsidRPr="00FD01EC">
        <w:rPr>
          <w:rFonts w:cs="Arial"/>
          <w:rtl/>
        </w:rPr>
        <w:t xml:space="preserve">ונ"ל דהא דמכשירים אם העיד אחד שראה שתי שערות בימינו וכו' </w:t>
      </w:r>
      <w:r>
        <w:rPr>
          <w:rFonts w:cs="Arial" w:hint="cs"/>
          <w:rtl/>
        </w:rPr>
        <w:t>ו</w:t>
      </w:r>
      <w:r w:rsidRPr="00FD01EC">
        <w:rPr>
          <w:rFonts w:cs="Arial"/>
          <w:rtl/>
        </w:rPr>
        <w:t>היינו דוקא לענין דיני ממונות</w:t>
      </w:r>
      <w:r>
        <w:rPr>
          <w:rFonts w:cs="Arial" w:hint="cs"/>
          <w:rtl/>
        </w:rPr>
        <w:t>,</w:t>
      </w:r>
      <w:r w:rsidRPr="00FD01EC">
        <w:rPr>
          <w:rFonts w:cs="Arial"/>
          <w:rtl/>
        </w:rPr>
        <w:t xml:space="preserve"> כגון לענין אם עדותו עדות בדיני ממונות או לענין מקח וממכר</w:t>
      </w:r>
      <w:r>
        <w:rPr>
          <w:rFonts w:cs="Arial" w:hint="cs"/>
          <w:rtl/>
        </w:rPr>
        <w:t>,</w:t>
      </w:r>
      <w:r w:rsidRPr="00FD01EC">
        <w:rPr>
          <w:rFonts w:cs="Arial"/>
          <w:rtl/>
        </w:rPr>
        <w:t xml:space="preserve"> דהא קיי</w:t>
      </w:r>
      <w:r>
        <w:rPr>
          <w:rFonts w:cs="Arial" w:hint="cs"/>
          <w:rtl/>
        </w:rPr>
        <w:t>"</w:t>
      </w:r>
      <w:r w:rsidRPr="00FD01EC">
        <w:rPr>
          <w:rFonts w:cs="Arial"/>
          <w:rtl/>
        </w:rPr>
        <w:t>ל (לעיל ס"ז) דעדותן מצטרפת אע</w:t>
      </w:r>
      <w:r>
        <w:rPr>
          <w:rFonts w:cs="Arial" w:hint="cs"/>
          <w:rtl/>
        </w:rPr>
        <w:t>"</w:t>
      </w:r>
      <w:r w:rsidRPr="00FD01EC">
        <w:rPr>
          <w:rFonts w:cs="Arial"/>
          <w:rtl/>
        </w:rPr>
        <w:t>ג דאמנה דמסהיד האי לא מסהיד</w:t>
      </w:r>
      <w:r>
        <w:rPr>
          <w:rFonts w:cs="Arial" w:hint="cs"/>
          <w:rtl/>
        </w:rPr>
        <w:t>,</w:t>
      </w:r>
      <w:r w:rsidRPr="00FD01EC">
        <w:rPr>
          <w:rFonts w:cs="Arial"/>
          <w:rtl/>
        </w:rPr>
        <w:t xml:space="preserve"> האי אבל בגטין וקידושין </w:t>
      </w:r>
      <w:r>
        <w:rPr>
          <w:rFonts w:cs="Arial" w:hint="cs"/>
          <w:rtl/>
        </w:rPr>
        <w:t xml:space="preserve">- </w:t>
      </w:r>
      <w:r w:rsidRPr="00FD01EC">
        <w:rPr>
          <w:rFonts w:cs="Arial"/>
          <w:rtl/>
        </w:rPr>
        <w:t>בדיני נפשות שייכי</w:t>
      </w:r>
      <w:r>
        <w:rPr>
          <w:rFonts w:cs="Arial" w:hint="cs"/>
          <w:rtl/>
        </w:rPr>
        <w:t>,</w:t>
      </w:r>
      <w:r w:rsidRPr="00FD01EC">
        <w:rPr>
          <w:rFonts w:cs="Arial"/>
          <w:rtl/>
        </w:rPr>
        <w:t xml:space="preserve"> ואין דנין על פי עדותן</w:t>
      </w:r>
      <w:r>
        <w:rPr>
          <w:rFonts w:cs="Arial" w:hint="cs"/>
          <w:rtl/>
        </w:rPr>
        <w:t>,</w:t>
      </w:r>
      <w:r w:rsidRPr="00FD01EC">
        <w:rPr>
          <w:rFonts w:cs="Arial"/>
          <w:rtl/>
        </w:rPr>
        <w:t xml:space="preserve"> דהוי ליה עדות המיוחדת</w:t>
      </w:r>
      <w:r>
        <w:rPr>
          <w:rFonts w:cs="Arial" w:hint="cs"/>
          <w:rtl/>
        </w:rPr>
        <w:t>,</w:t>
      </w:r>
      <w:r w:rsidRPr="00FD01EC">
        <w:rPr>
          <w:rFonts w:cs="Arial"/>
          <w:rtl/>
        </w:rPr>
        <w:t xml:space="preserve"> ואמרינן בפ</w:t>
      </w:r>
      <w:r>
        <w:rPr>
          <w:rFonts w:cs="Arial" w:hint="cs"/>
          <w:rtl/>
        </w:rPr>
        <w:t>"</w:t>
      </w:r>
      <w:r w:rsidRPr="00FD01EC">
        <w:rPr>
          <w:rFonts w:cs="Arial"/>
          <w:rtl/>
        </w:rPr>
        <w:t xml:space="preserve">ק דמכות </w:t>
      </w:r>
      <w:r w:rsidRPr="00844F87">
        <w:rPr>
          <w:rFonts w:cs="Arial"/>
          <w:sz w:val="16"/>
          <w:szCs w:val="16"/>
          <w:rtl/>
        </w:rPr>
        <w:t xml:space="preserve">(ו:) </w:t>
      </w:r>
      <w:r w:rsidRPr="00FD01EC">
        <w:rPr>
          <w:rFonts w:cs="Arial"/>
          <w:rtl/>
        </w:rPr>
        <w:t>דפסולה בדיני נפשות</w:t>
      </w:r>
      <w:r>
        <w:rPr>
          <w:rFonts w:cs="Arial" w:hint="cs"/>
          <w:rtl/>
        </w:rPr>
        <w:t>.</w:t>
      </w:r>
      <w:r w:rsidRPr="00FD01EC">
        <w:rPr>
          <w:rFonts w:cs="Arial"/>
          <w:rtl/>
        </w:rPr>
        <w:t xml:space="preserve"> וכן נראה מדברי הרמב"ם </w:t>
      </w:r>
      <w:r>
        <w:rPr>
          <w:rFonts w:cs="Arial" w:hint="cs"/>
          <w:rtl/>
        </w:rPr>
        <w:t>פ"</w:t>
      </w:r>
      <w:r w:rsidRPr="00FD01EC">
        <w:rPr>
          <w:rFonts w:cs="Arial"/>
          <w:rtl/>
        </w:rPr>
        <w:t>ד מהל</w:t>
      </w:r>
      <w:r>
        <w:rPr>
          <w:rFonts w:cs="Arial" w:hint="cs"/>
          <w:rtl/>
        </w:rPr>
        <w:t>'</w:t>
      </w:r>
      <w:r w:rsidRPr="00FD01EC">
        <w:rPr>
          <w:rFonts w:cs="Arial"/>
          <w:rtl/>
        </w:rPr>
        <w:t xml:space="preserve"> עדות</w:t>
      </w:r>
      <w:r w:rsidRPr="00844F87">
        <w:rPr>
          <w:rFonts w:cs="Arial"/>
          <w:sz w:val="16"/>
          <w:szCs w:val="16"/>
          <w:rtl/>
        </w:rPr>
        <w:t xml:space="preserve"> (ה"ז)</w:t>
      </w:r>
      <w:r w:rsidRPr="00FD01EC">
        <w:rPr>
          <w:rFonts w:cs="Arial"/>
          <w:rtl/>
        </w:rPr>
        <w:t xml:space="preserve"> דבדיני ממונות דוקא עסקינן. [בדק הבית] ומיהו לפי מה שכתבתי לעיל בסימן זה (מחו' א, ס"ז) דיני גטין וקדושין כדיני ממונות [עד כאן]</w:t>
      </w:r>
      <w:r>
        <w:rPr>
          <w:rFonts w:cs="Arial" w:hint="cs"/>
          <w:rtl/>
        </w:rPr>
        <w:t>.</w:t>
      </w:r>
    </w:p>
  </w:footnote>
  <w:footnote w:id="1749">
    <w:p w14:paraId="70D30BAC" w14:textId="77777777" w:rsidR="0013116F" w:rsidRDefault="0013116F" w:rsidP="004B607F">
      <w:pPr>
        <w:pStyle w:val="a9"/>
        <w:rPr>
          <w:rtl/>
        </w:rPr>
      </w:pPr>
      <w:r>
        <w:rPr>
          <w:rStyle w:val="ab"/>
        </w:rPr>
        <w:footnoteRef/>
      </w:r>
      <w:r>
        <w:rPr>
          <w:rtl/>
        </w:rPr>
        <w:t xml:space="preserve"> </w:t>
      </w:r>
      <w:r w:rsidRPr="00844F87">
        <w:rPr>
          <w:rFonts w:cs="Arial"/>
          <w:rtl/>
        </w:rPr>
        <w:t>ע"ש בסוף הסימן דכתב הטור שם [סעיף כג-כד] וגם המחבר [סעיף ו' וטז], אם נגנב ממנו החפץ וידוע בעדים שהיה לו כלי בבית, ולא היה שם איש אחר אלא זה, דדנין אותו כאילו ראוהו שהוא גנבו. וכן אם ראו עדים שנכנס אצלו חבירו שלם ויוצא משם חבול ולא היה שם איש אחר לומר שהוא חבלו, תלינן הדבר דבודאי זה הנמצא בבית חבלו</w:t>
      </w:r>
      <w:r>
        <w:rPr>
          <w:rFonts w:hint="cs"/>
          <w:rtl/>
        </w:rPr>
        <w:t>, סמ"ע (סק"מ).</w:t>
      </w:r>
    </w:p>
  </w:footnote>
  <w:footnote w:id="1750">
    <w:p w14:paraId="6B73AA8F" w14:textId="77777777" w:rsidR="0013116F" w:rsidRDefault="0013116F" w:rsidP="004B607F">
      <w:pPr>
        <w:pStyle w:val="a9"/>
      </w:pPr>
      <w:r>
        <w:rPr>
          <w:rStyle w:val="ab"/>
        </w:rPr>
        <w:footnoteRef/>
      </w:r>
      <w:r>
        <w:rPr>
          <w:rtl/>
        </w:rPr>
        <w:t xml:space="preserve"> </w:t>
      </w:r>
      <w:r w:rsidRPr="00844F87">
        <w:rPr>
          <w:rFonts w:cs="Arial"/>
          <w:rtl/>
        </w:rPr>
        <w:t>צריך לומר דאין עד אחד נאמן משום דעבידא לגלויי, דדוקא בעדות נשים להתיר לעלמא נאמן ע"א משום דעבידי לגלויי. ועיין באה"ע סימן י"ז</w:t>
      </w:r>
      <w:r>
        <w:rPr>
          <w:rFonts w:cs="Arial" w:hint="cs"/>
          <w:rtl/>
        </w:rPr>
        <w:t>, סמ"ע (סקמ"א).</w:t>
      </w:r>
    </w:p>
  </w:footnote>
  <w:footnote w:id="1751">
    <w:p w14:paraId="4F633180" w14:textId="77777777" w:rsidR="0013116F" w:rsidRDefault="0013116F" w:rsidP="004B607F">
      <w:pPr>
        <w:pStyle w:val="a9"/>
      </w:pPr>
      <w:r>
        <w:rPr>
          <w:rStyle w:val="ab"/>
        </w:rPr>
        <w:footnoteRef/>
      </w:r>
      <w:r>
        <w:rPr>
          <w:rtl/>
        </w:rPr>
        <w:t xml:space="preserve"> </w:t>
      </w:r>
      <w:r>
        <w:rPr>
          <w:rFonts w:hint="cs"/>
          <w:rtl/>
        </w:rPr>
        <w:t xml:space="preserve">סימן </w:t>
      </w:r>
      <w:r>
        <w:rPr>
          <w:rtl/>
        </w:rPr>
        <w:t>–</w:t>
      </w:r>
      <w:r>
        <w:rPr>
          <w:rFonts w:hint="cs"/>
          <w:rtl/>
        </w:rPr>
        <w:t xml:space="preserve"> מכחישות זו </w:t>
      </w:r>
      <w:r>
        <w:rPr>
          <w:rFonts w:hint="cs"/>
          <w:sz w:val="16"/>
          <w:szCs w:val="16"/>
          <w:rtl/>
        </w:rPr>
        <w:t>(</w:t>
      </w:r>
      <w:r w:rsidRPr="008D6BAA">
        <w:rPr>
          <w:rFonts w:hint="cs"/>
          <w:sz w:val="16"/>
          <w:szCs w:val="16"/>
          <w:rtl/>
        </w:rPr>
        <w:t>את זו)</w:t>
      </w:r>
      <w:r>
        <w:rPr>
          <w:rFonts w:hint="cs"/>
          <w:rtl/>
        </w:rPr>
        <w:t xml:space="preserve">. וכן </w:t>
      </w:r>
      <w:r>
        <w:rPr>
          <w:rtl/>
        </w:rPr>
        <w:t>–</w:t>
      </w:r>
      <w:r>
        <w:rPr>
          <w:rFonts w:hint="cs"/>
          <w:rtl/>
        </w:rPr>
        <w:t xml:space="preserve"> מכחישה זו מכחישה זו.</w:t>
      </w:r>
    </w:p>
  </w:footnote>
  <w:footnote w:id="1752">
    <w:p w14:paraId="2B6ED797" w14:textId="77777777" w:rsidR="0013116F" w:rsidRDefault="0013116F" w:rsidP="004B607F">
      <w:pPr>
        <w:pStyle w:val="a9"/>
      </w:pPr>
      <w:r>
        <w:rPr>
          <w:rStyle w:val="ab"/>
        </w:rPr>
        <w:footnoteRef/>
      </w:r>
      <w:r>
        <w:rPr>
          <w:rtl/>
        </w:rPr>
        <w:t xml:space="preserve"> </w:t>
      </w:r>
      <w:r>
        <w:rPr>
          <w:rFonts w:cs="Arial"/>
          <w:rtl/>
        </w:rPr>
        <w:t>בעדות אחרת</w:t>
      </w:r>
      <w:r>
        <w:rPr>
          <w:rFonts w:cs="Arial" w:hint="cs"/>
          <w:rtl/>
        </w:rPr>
        <w:t>,</w:t>
      </w:r>
      <w:r>
        <w:rPr>
          <w:rFonts w:cs="Arial"/>
          <w:rtl/>
        </w:rPr>
        <w:t xml:space="preserve"> וכן זו</w:t>
      </w:r>
      <w:r>
        <w:rPr>
          <w:rFonts w:cs="Arial" w:hint="cs"/>
          <w:rtl/>
        </w:rPr>
        <w:t>,</w:t>
      </w:r>
      <w:r>
        <w:rPr>
          <w:rFonts w:cs="Arial"/>
          <w:rtl/>
        </w:rPr>
        <w:t xml:space="preserve"> ואע</w:t>
      </w:r>
      <w:r>
        <w:rPr>
          <w:rFonts w:cs="Arial" w:hint="cs"/>
          <w:rtl/>
        </w:rPr>
        <w:t>"</w:t>
      </w:r>
      <w:r>
        <w:rPr>
          <w:rFonts w:cs="Arial"/>
          <w:rtl/>
        </w:rPr>
        <w:t xml:space="preserve">פ שהאחת פסולה </w:t>
      </w:r>
      <w:r>
        <w:rPr>
          <w:rFonts w:cs="Arial" w:hint="cs"/>
          <w:rtl/>
        </w:rPr>
        <w:t xml:space="preserve">- </w:t>
      </w:r>
      <w:r>
        <w:rPr>
          <w:rFonts w:cs="Arial"/>
          <w:rtl/>
        </w:rPr>
        <w:t>אין לך לפסול לא זו ולא זו הואיל ואינך יודע איזו מהם פסולה</w:t>
      </w:r>
      <w:r>
        <w:rPr>
          <w:rFonts w:cs="Arial" w:hint="cs"/>
          <w:rtl/>
        </w:rPr>
        <w:t>.</w:t>
      </w:r>
      <w:r>
        <w:rPr>
          <w:rFonts w:cs="Arial"/>
          <w:rtl/>
        </w:rPr>
        <w:t xml:space="preserve"> אבל אחד מכת זו ואחד מכת זו </w:t>
      </w:r>
      <w:r>
        <w:rPr>
          <w:rFonts w:cs="Arial" w:hint="cs"/>
          <w:rtl/>
        </w:rPr>
        <w:t xml:space="preserve">- </w:t>
      </w:r>
      <w:r>
        <w:rPr>
          <w:rFonts w:cs="Arial"/>
          <w:rtl/>
        </w:rPr>
        <w:t>אין נאמנין בעדות אחת</w:t>
      </w:r>
      <w:r>
        <w:rPr>
          <w:rFonts w:cs="Arial" w:hint="cs"/>
          <w:rtl/>
        </w:rPr>
        <w:t>,</w:t>
      </w:r>
      <w:r>
        <w:rPr>
          <w:rFonts w:cs="Arial"/>
          <w:rtl/>
        </w:rPr>
        <w:t xml:space="preserve"> דמה נפשך אחד פסול</w:t>
      </w:r>
      <w:r>
        <w:rPr>
          <w:rFonts w:cs="Arial" w:hint="cs"/>
          <w:rtl/>
        </w:rPr>
        <w:t>,</w:t>
      </w:r>
      <w:r>
        <w:rPr>
          <w:rFonts w:cs="Arial"/>
          <w:rtl/>
        </w:rPr>
        <w:t xml:space="preserve"> והיינו דנקט האי לישנא באה בפני עצמה ומעידה</w:t>
      </w:r>
      <w:r>
        <w:rPr>
          <w:rFonts w:cs="Arial" w:hint="cs"/>
          <w:rtl/>
        </w:rPr>
        <w:t>, רש"י.</w:t>
      </w:r>
    </w:p>
  </w:footnote>
  <w:footnote w:id="1753">
    <w:p w14:paraId="56517866" w14:textId="77777777" w:rsidR="0013116F" w:rsidRDefault="0013116F" w:rsidP="004B607F">
      <w:pPr>
        <w:pStyle w:val="a9"/>
      </w:pPr>
      <w:r>
        <w:rPr>
          <w:rStyle w:val="ab"/>
        </w:rPr>
        <w:footnoteRef/>
      </w:r>
      <w:r>
        <w:rPr>
          <w:rtl/>
        </w:rPr>
        <w:t xml:space="preserve"> </w:t>
      </w:r>
      <w:r w:rsidRPr="005076FE">
        <w:rPr>
          <w:rFonts w:cs="Arial"/>
          <w:rtl/>
        </w:rPr>
        <w:t>הואיל והאחת פסולה אין אחת מהן נאמנת לשום עדות</w:t>
      </w:r>
      <w:r>
        <w:rPr>
          <w:rFonts w:cs="Arial" w:hint="cs"/>
          <w:rtl/>
        </w:rPr>
        <w:t>, רש"י</w:t>
      </w:r>
      <w:r w:rsidRPr="005076FE">
        <w:rPr>
          <w:rFonts w:cs="Arial"/>
          <w:rtl/>
        </w:rPr>
        <w:t>.</w:t>
      </w:r>
    </w:p>
  </w:footnote>
  <w:footnote w:id="1754">
    <w:p w14:paraId="0E84B1E8" w14:textId="77777777" w:rsidR="0013116F" w:rsidRDefault="0013116F" w:rsidP="004B607F">
      <w:pPr>
        <w:pStyle w:val="a9"/>
      </w:pPr>
      <w:r>
        <w:rPr>
          <w:rStyle w:val="ab"/>
        </w:rPr>
        <w:footnoteRef/>
      </w:r>
      <w:r>
        <w:rPr>
          <w:rtl/>
        </w:rPr>
        <w:t xml:space="preserve"> </w:t>
      </w:r>
      <w:r>
        <w:rPr>
          <w:rFonts w:cs="Arial"/>
          <w:rtl/>
        </w:rPr>
        <w:t>ואחת משתי כתות הללו חתומה על זה ואחרת חתומה על זה לרב הונא שני השטרות כשרים ולרב חסדא שניהם פסולים</w:t>
      </w:r>
      <w:r>
        <w:rPr>
          <w:rFonts w:cs="Arial" w:hint="cs"/>
          <w:rtl/>
        </w:rPr>
        <w:t>, רש"י</w:t>
      </w:r>
      <w:r>
        <w:rPr>
          <w:rFonts w:cs="Arial"/>
          <w:rtl/>
        </w:rPr>
        <w:t>.</w:t>
      </w:r>
    </w:p>
  </w:footnote>
  <w:footnote w:id="1755">
    <w:p w14:paraId="13A9C463" w14:textId="77777777" w:rsidR="0013116F" w:rsidRDefault="0013116F" w:rsidP="004B607F">
      <w:pPr>
        <w:pStyle w:val="a9"/>
      </w:pPr>
      <w:r>
        <w:rPr>
          <w:rStyle w:val="ab"/>
        </w:rPr>
        <w:footnoteRef/>
      </w:r>
      <w:r>
        <w:rPr>
          <w:rtl/>
        </w:rPr>
        <w:t xml:space="preserve"> </w:t>
      </w:r>
      <w:r>
        <w:rPr>
          <w:rFonts w:cs="Arial"/>
          <w:rtl/>
        </w:rPr>
        <w:t>כלומר שאומרים לא זזה ידינו מתוך ידו כל אותו יום וראינו שלא הלוה לו</w:t>
      </w:r>
      <w:r>
        <w:rPr>
          <w:rFonts w:cs="Arial" w:hint="cs"/>
          <w:rtl/>
        </w:rPr>
        <w:t>.</w:t>
      </w:r>
      <w:r>
        <w:rPr>
          <w:rFonts w:cs="Arial"/>
          <w:rtl/>
        </w:rPr>
        <w:t xml:space="preserve"> </w:t>
      </w:r>
      <w:r w:rsidRPr="00B13506">
        <w:rPr>
          <w:rFonts w:cs="Arial"/>
          <w:rtl/>
        </w:rPr>
        <w:t>ושם רבינו משל זה דלא נימא מכחישות היינו שאומרים להם עמנו הייתם במקום פלוני</w:t>
      </w:r>
      <w:r>
        <w:rPr>
          <w:rFonts w:cs="Arial" w:hint="cs"/>
          <w:rtl/>
        </w:rPr>
        <w:t>,</w:t>
      </w:r>
      <w:r w:rsidRPr="00B13506">
        <w:rPr>
          <w:rFonts w:cs="Arial"/>
          <w:rtl/>
        </w:rPr>
        <w:t xml:space="preserve"> וליתא</w:t>
      </w:r>
      <w:r>
        <w:rPr>
          <w:rFonts w:cs="Arial" w:hint="cs"/>
          <w:rtl/>
        </w:rPr>
        <w:t>,</w:t>
      </w:r>
      <w:r w:rsidRPr="00B13506">
        <w:rPr>
          <w:rFonts w:cs="Arial"/>
          <w:rtl/>
        </w:rPr>
        <w:t xml:space="preserve"> דהיינו זוממין ולבתראי מהימנינן כמו שיתבאר בסייעתא דשמיא</w:t>
      </w:r>
      <w:r>
        <w:rPr>
          <w:rFonts w:cs="Arial" w:hint="cs"/>
          <w:rtl/>
        </w:rPr>
        <w:t xml:space="preserve"> </w:t>
      </w:r>
      <w:r w:rsidRPr="00B13506">
        <w:rPr>
          <w:rFonts w:cs="Arial" w:hint="cs"/>
          <w:sz w:val="16"/>
          <w:szCs w:val="16"/>
          <w:rtl/>
        </w:rPr>
        <w:t>{בסי' לח}</w:t>
      </w:r>
      <w:r>
        <w:rPr>
          <w:rFonts w:cs="Arial" w:hint="cs"/>
          <w:rtl/>
        </w:rPr>
        <w:t>.</w:t>
      </w:r>
      <w:r w:rsidRPr="00B13506">
        <w:rPr>
          <w:rFonts w:cs="Arial"/>
          <w:rtl/>
        </w:rPr>
        <w:t xml:space="preserve"> וכן לאפוקי אחת אומרת ק"ק ואחת אומרת מנה או אחת אומרת מנה שחור ואחת אומרת מנה לבן דכה</w:t>
      </w:r>
      <w:r>
        <w:rPr>
          <w:rFonts w:cs="Arial" w:hint="cs"/>
          <w:rtl/>
        </w:rPr>
        <w:t>"</w:t>
      </w:r>
      <w:r w:rsidRPr="00B13506">
        <w:rPr>
          <w:rFonts w:cs="Arial"/>
          <w:rtl/>
        </w:rPr>
        <w:t>ג ליכא הכחשה</w:t>
      </w:r>
      <w:r>
        <w:rPr>
          <w:rFonts w:cs="Arial" w:hint="cs"/>
          <w:rtl/>
        </w:rPr>
        <w:t>, ב"י.</w:t>
      </w:r>
      <w:r>
        <w:rPr>
          <w:rFonts w:hint="cs"/>
          <w:rtl/>
        </w:rPr>
        <w:t xml:space="preserve"> </w:t>
      </w:r>
    </w:p>
  </w:footnote>
  <w:footnote w:id="1756">
    <w:p w14:paraId="72DFB8CB" w14:textId="77777777" w:rsidR="0013116F" w:rsidRDefault="0013116F" w:rsidP="004B607F">
      <w:pPr>
        <w:pStyle w:val="a9"/>
      </w:pPr>
      <w:r>
        <w:rPr>
          <w:rStyle w:val="ab"/>
        </w:rPr>
        <w:footnoteRef/>
      </w:r>
      <w:r>
        <w:rPr>
          <w:rtl/>
        </w:rPr>
        <w:t xml:space="preserve"> </w:t>
      </w:r>
      <w:r>
        <w:rPr>
          <w:rFonts w:cs="Arial"/>
          <w:rtl/>
        </w:rPr>
        <w:t>מדאמרינן בכמה דוכתי מהם בפרק ב' דכתובות (כ.) אוקי תרי לבהדי תרי ואוקי ממונא בחזקת מריה</w:t>
      </w:r>
      <w:r>
        <w:rPr>
          <w:rFonts w:cs="Arial" w:hint="cs"/>
          <w:rtl/>
        </w:rPr>
        <w:t>, ב"י.</w:t>
      </w:r>
    </w:p>
  </w:footnote>
  <w:footnote w:id="1757">
    <w:p w14:paraId="0BC131BF" w14:textId="77777777" w:rsidR="0013116F" w:rsidRDefault="0013116F" w:rsidP="004B607F">
      <w:pPr>
        <w:pStyle w:val="a9"/>
        <w:rPr>
          <w:rtl/>
        </w:rPr>
      </w:pPr>
      <w:r>
        <w:rPr>
          <w:rStyle w:val="ab"/>
        </w:rPr>
        <w:footnoteRef/>
      </w:r>
      <w:r>
        <w:rPr>
          <w:rtl/>
        </w:rPr>
        <w:t xml:space="preserve"> </w:t>
      </w:r>
      <w:r w:rsidRPr="00545B3B">
        <w:rPr>
          <w:rFonts w:cs="Arial"/>
          <w:rtl/>
        </w:rPr>
        <w:t>ואע</w:t>
      </w:r>
      <w:r>
        <w:rPr>
          <w:rFonts w:cs="Arial" w:hint="cs"/>
          <w:rtl/>
        </w:rPr>
        <w:t>"</w:t>
      </w:r>
      <w:r w:rsidRPr="00545B3B">
        <w:rPr>
          <w:rFonts w:cs="Arial"/>
          <w:rtl/>
        </w:rPr>
        <w:t>ג דאית בהו חד דכשר אין צריך לישבע נגדו שבועה דאורייתא, וכמ"ש הרשב"א בתשובה [ח"ב סי' קי] הביאוה ב"י וד"מ סימן ל"ו [סעיף ה']</w:t>
      </w:r>
      <w:r>
        <w:rPr>
          <w:rFonts w:cs="Arial" w:hint="cs"/>
          <w:rtl/>
        </w:rPr>
        <w:t>..</w:t>
      </w:r>
      <w:r w:rsidRPr="00545B3B">
        <w:rPr>
          <w:rFonts w:cs="Arial"/>
          <w:rtl/>
        </w:rPr>
        <w:t>. ומ"מ צריך הנתבע לישבע לו היסת על תביעתו כאילו תבעו בעל פה</w:t>
      </w:r>
      <w:r>
        <w:rPr>
          <w:rFonts w:cs="Arial" w:hint="cs"/>
          <w:rtl/>
        </w:rPr>
        <w:t>...</w:t>
      </w:r>
      <w:r>
        <w:rPr>
          <w:rFonts w:hint="cs"/>
          <w:rtl/>
        </w:rPr>
        <w:t>, סמ"ע (סק"ב).</w:t>
      </w:r>
    </w:p>
  </w:footnote>
  <w:footnote w:id="1758">
    <w:p w14:paraId="0D9E1261" w14:textId="77777777" w:rsidR="0013116F" w:rsidRDefault="0013116F" w:rsidP="004B607F">
      <w:pPr>
        <w:pStyle w:val="a9"/>
      </w:pPr>
      <w:r>
        <w:rPr>
          <w:rStyle w:val="ab"/>
        </w:rPr>
        <w:footnoteRef/>
      </w:r>
      <w:r>
        <w:rPr>
          <w:rtl/>
        </w:rPr>
        <w:t xml:space="preserve"> </w:t>
      </w:r>
      <w:r>
        <w:rPr>
          <w:rFonts w:hint="cs"/>
          <w:rtl/>
        </w:rPr>
        <w:t xml:space="preserve">סימן </w:t>
      </w:r>
      <w:r>
        <w:rPr>
          <w:rtl/>
        </w:rPr>
        <w:t>–</w:t>
      </w:r>
      <w:r>
        <w:rPr>
          <w:rFonts w:hint="cs"/>
          <w:rtl/>
        </w:rPr>
        <w:t xml:space="preserve"> מכחישות זו </w:t>
      </w:r>
      <w:r>
        <w:rPr>
          <w:rFonts w:hint="cs"/>
          <w:sz w:val="16"/>
          <w:szCs w:val="16"/>
          <w:rtl/>
        </w:rPr>
        <w:t>(</w:t>
      </w:r>
      <w:r w:rsidRPr="008D6BAA">
        <w:rPr>
          <w:rFonts w:hint="cs"/>
          <w:sz w:val="16"/>
          <w:szCs w:val="16"/>
          <w:rtl/>
        </w:rPr>
        <w:t>את זו)</w:t>
      </w:r>
      <w:r>
        <w:rPr>
          <w:rFonts w:hint="cs"/>
          <w:rtl/>
        </w:rPr>
        <w:t xml:space="preserve">. וכן </w:t>
      </w:r>
      <w:r>
        <w:rPr>
          <w:rtl/>
        </w:rPr>
        <w:t>–</w:t>
      </w:r>
      <w:r>
        <w:rPr>
          <w:rFonts w:hint="cs"/>
          <w:rtl/>
        </w:rPr>
        <w:t xml:space="preserve"> מכחישה זו מכחישה זו.</w:t>
      </w:r>
    </w:p>
  </w:footnote>
  <w:footnote w:id="1759">
    <w:p w14:paraId="0433CA3D" w14:textId="77777777" w:rsidR="0013116F" w:rsidRDefault="0013116F" w:rsidP="004B607F">
      <w:pPr>
        <w:pStyle w:val="a9"/>
      </w:pPr>
      <w:r>
        <w:rPr>
          <w:rStyle w:val="ab"/>
        </w:rPr>
        <w:footnoteRef/>
      </w:r>
      <w:r>
        <w:rPr>
          <w:rtl/>
        </w:rPr>
        <w:t xml:space="preserve"> </w:t>
      </w:r>
      <w:r w:rsidRPr="00F21BF6">
        <w:rPr>
          <w:rFonts w:cs="Arial"/>
          <w:rtl/>
        </w:rPr>
        <w:t>שיש לו לאדם אחד שני שטרות על שתי הלואות על חבירו וא' מהן חתומה על זה וא' על זה</w:t>
      </w:r>
      <w:r>
        <w:rPr>
          <w:rFonts w:cs="Arial" w:hint="cs"/>
          <w:rtl/>
        </w:rPr>
        <w:t>, רש"י</w:t>
      </w:r>
      <w:r>
        <w:rPr>
          <w:rFonts w:cs="Arial"/>
          <w:rtl/>
        </w:rPr>
        <w:t>.</w:t>
      </w:r>
    </w:p>
  </w:footnote>
  <w:footnote w:id="1760">
    <w:p w14:paraId="51E24613" w14:textId="77777777" w:rsidR="0013116F" w:rsidRDefault="0013116F" w:rsidP="004B607F">
      <w:pPr>
        <w:pStyle w:val="a9"/>
      </w:pPr>
      <w:r>
        <w:rPr>
          <w:rStyle w:val="ab"/>
        </w:rPr>
        <w:footnoteRef/>
      </w:r>
      <w:r>
        <w:rPr>
          <w:rtl/>
        </w:rPr>
        <w:t xml:space="preserve"> </w:t>
      </w:r>
      <w:r w:rsidRPr="00F21BF6">
        <w:rPr>
          <w:rFonts w:cs="Arial"/>
          <w:rtl/>
        </w:rPr>
        <w:t>בין לרב הונא בין לרב חסדא אין חולקין בזו</w:t>
      </w:r>
      <w:r>
        <w:rPr>
          <w:rFonts w:cs="Arial" w:hint="cs"/>
          <w:rtl/>
        </w:rPr>
        <w:t>,</w:t>
      </w:r>
      <w:r w:rsidRPr="00F21BF6">
        <w:rPr>
          <w:rFonts w:cs="Arial"/>
          <w:rtl/>
        </w:rPr>
        <w:t xml:space="preserve"> שהרי זה בא עליו מכח שתי כיתות אחת כשירה ואחת פסולה אין אתה יכול לפסול את שניהן ולא להכשיר את שניהן </w:t>
      </w:r>
      <w:r>
        <w:rPr>
          <w:rFonts w:cs="Arial" w:hint="cs"/>
          <w:rtl/>
        </w:rPr>
        <w:t xml:space="preserve">- </w:t>
      </w:r>
      <w:r w:rsidRPr="00F21BF6">
        <w:rPr>
          <w:rFonts w:cs="Arial"/>
          <w:rtl/>
        </w:rPr>
        <w:t>הלכך שטר קטן שבהם גובה הימנו והגדול יפסיד</w:t>
      </w:r>
      <w:r>
        <w:rPr>
          <w:rFonts w:cs="Arial" w:hint="cs"/>
          <w:rtl/>
        </w:rPr>
        <w:t>,</w:t>
      </w:r>
      <w:r w:rsidRPr="00F21BF6">
        <w:rPr>
          <w:rFonts w:cs="Arial"/>
          <w:rtl/>
        </w:rPr>
        <w:t xml:space="preserve"> לפי שאומר לו זו היא הפסולה דמספיקא לא מפקינן ממונא מיניה</w:t>
      </w:r>
      <w:r>
        <w:rPr>
          <w:rFonts w:cs="Arial" w:hint="cs"/>
          <w:rtl/>
        </w:rPr>
        <w:t>.</w:t>
      </w:r>
      <w:r w:rsidRPr="00F21BF6">
        <w:rPr>
          <w:rFonts w:cs="Arial"/>
          <w:rtl/>
        </w:rPr>
        <w:t xml:space="preserve"> אבל ממה נפשך הקטן גובה דיש בכלל מאתים מנה</w:t>
      </w:r>
      <w:r>
        <w:rPr>
          <w:rFonts w:cs="Arial" w:hint="cs"/>
          <w:rtl/>
        </w:rPr>
        <w:t>, רש"י</w:t>
      </w:r>
      <w:r>
        <w:rPr>
          <w:rFonts w:cs="Arial"/>
          <w:rtl/>
        </w:rPr>
        <w:t>.</w:t>
      </w:r>
    </w:p>
  </w:footnote>
  <w:footnote w:id="1761">
    <w:p w14:paraId="70A71E6A" w14:textId="77777777" w:rsidR="0013116F" w:rsidRPr="00497AA2" w:rsidRDefault="0013116F" w:rsidP="004B607F">
      <w:pPr>
        <w:pStyle w:val="a9"/>
        <w:rPr>
          <w:rtl/>
        </w:rPr>
      </w:pPr>
      <w:r>
        <w:rPr>
          <w:rStyle w:val="ab"/>
        </w:rPr>
        <w:footnoteRef/>
      </w:r>
      <w:r>
        <w:rPr>
          <w:rtl/>
        </w:rPr>
        <w:t xml:space="preserve"> </w:t>
      </w:r>
      <w:r>
        <w:rPr>
          <w:rFonts w:cs="Arial" w:hint="cs"/>
          <w:rtl/>
        </w:rPr>
        <w:t xml:space="preserve">וז"ל- </w:t>
      </w:r>
      <w:r w:rsidRPr="001D6779">
        <w:rPr>
          <w:rFonts w:cs="Arial"/>
          <w:rtl/>
        </w:rPr>
        <w:t>הא דאמרינן יד בעל השטר על התחתונה מיירי שהוציא שניהם כאחד בפני בית דין</w:t>
      </w:r>
      <w:r>
        <w:rPr>
          <w:rFonts w:cs="Arial" w:hint="cs"/>
          <w:rtl/>
        </w:rPr>
        <w:t>,</w:t>
      </w:r>
      <w:r w:rsidRPr="001D6779">
        <w:rPr>
          <w:rFonts w:cs="Arial"/>
          <w:rtl/>
        </w:rPr>
        <w:t xml:space="preserve"> אז מגבין לו הקטן ומוציאין מידו הגדול ושורפין אותו</w:t>
      </w:r>
      <w:r w:rsidRPr="001D6779">
        <w:rPr>
          <w:rFonts w:cs="Arial" w:hint="cs"/>
          <w:rtl/>
        </w:rPr>
        <w:t>,</w:t>
      </w:r>
      <w:r w:rsidRPr="001D6779">
        <w:rPr>
          <w:rFonts w:cs="Arial"/>
          <w:rtl/>
        </w:rPr>
        <w:t xml:space="preserve"> אבל לרב הונא יכול הוא להוציא השטר הגדול ולומר אין לי שטר אחר ובפני בית דין אחר יוציא השטר האחר ויגבה בו</w:t>
      </w:r>
      <w:r>
        <w:rPr>
          <w:rFonts w:cs="Arial" w:hint="cs"/>
          <w:rtl/>
        </w:rPr>
        <w:t>.</w:t>
      </w:r>
      <w:r w:rsidRPr="001D6779">
        <w:rPr>
          <w:rFonts w:cs="Arial"/>
          <w:rtl/>
        </w:rPr>
        <w:t xml:space="preserve"> ובהאי איכא לאסתפוקי </w:t>
      </w:r>
      <w:r w:rsidRPr="001D6779">
        <w:rPr>
          <w:rFonts w:cs="Arial" w:hint="cs"/>
          <w:rtl/>
        </w:rPr>
        <w:t xml:space="preserve">- </w:t>
      </w:r>
      <w:r w:rsidRPr="001D6779">
        <w:rPr>
          <w:rFonts w:cs="Arial"/>
          <w:rtl/>
        </w:rPr>
        <w:t>אם יוכל להשביעו שאין בידו שטר אחר שחתום בו כת אחרת מאותן שתי כתות</w:t>
      </w:r>
      <w:r w:rsidRPr="001D6779">
        <w:rPr>
          <w:rFonts w:cs="Arial" w:hint="cs"/>
          <w:rtl/>
        </w:rPr>
        <w:t>,</w:t>
      </w:r>
      <w:r w:rsidRPr="001D6779">
        <w:rPr>
          <w:rFonts w:cs="Arial"/>
          <w:rtl/>
        </w:rPr>
        <w:t xml:space="preserve"> ואפילו ללשון שני דרב נחמן </w:t>
      </w:r>
      <w:r w:rsidRPr="001D6779">
        <w:rPr>
          <w:rFonts w:cs="Arial"/>
          <w:sz w:val="16"/>
          <w:szCs w:val="16"/>
          <w:rtl/>
        </w:rPr>
        <w:t xml:space="preserve">(שבועות מ:) </w:t>
      </w:r>
      <w:r w:rsidRPr="001D6779">
        <w:rPr>
          <w:rFonts w:cs="Arial"/>
          <w:rtl/>
        </w:rPr>
        <w:t>דשמא לא חשיב הכא כלל דררא דממונא</w:t>
      </w:r>
      <w:r>
        <w:rPr>
          <w:rFonts w:cs="Arial" w:hint="cs"/>
          <w:rtl/>
        </w:rPr>
        <w:t xml:space="preserve"> </w:t>
      </w:r>
      <w:r>
        <w:rPr>
          <w:rFonts w:cs="Arial" w:hint="cs"/>
          <w:sz w:val="16"/>
          <w:szCs w:val="16"/>
          <w:rtl/>
        </w:rPr>
        <w:t>{</w:t>
      </w:r>
      <w:r w:rsidRPr="00497AA2">
        <w:rPr>
          <w:rFonts w:cs="Arial"/>
          <w:sz w:val="16"/>
          <w:szCs w:val="16"/>
          <w:rtl/>
        </w:rPr>
        <w:t>מה שכתב דשמא לא חשיב כלל דררא דממונא הוא משום דהוה ליה כאומר זכות יש לי בשטרך והלה אומר אין בידי שום שטר שאינו יכול להשביע. וקשה שהרי בית דין כופין אותו להראות לבית דין שטר שיש לחבירו זכות בו כמבואר בסימן י"ו (ס"ב-ג)</w:t>
      </w:r>
      <w:r w:rsidRPr="00497AA2">
        <w:rPr>
          <w:rFonts w:hint="cs"/>
          <w:sz w:val="16"/>
          <w:szCs w:val="16"/>
          <w:rtl/>
        </w:rPr>
        <w:t>, ב"י</w:t>
      </w:r>
      <w:r>
        <w:rPr>
          <w:rFonts w:cs="Arial" w:hint="cs"/>
          <w:sz w:val="16"/>
          <w:szCs w:val="16"/>
          <w:rtl/>
        </w:rPr>
        <w:t>}</w:t>
      </w:r>
      <w:r>
        <w:rPr>
          <w:rFonts w:cs="Arial" w:hint="cs"/>
          <w:rtl/>
        </w:rPr>
        <w:t>,</w:t>
      </w:r>
      <w:r w:rsidRPr="001D6779">
        <w:rPr>
          <w:rFonts w:cs="Arial"/>
          <w:rtl/>
        </w:rPr>
        <w:t xml:space="preserve"> או אם כבר גבה באחת מן השטרות ובא לגבות גם בשני אם יכול להשביעו שלא גבה כבר באחת מן הכתות</w:t>
      </w:r>
      <w:r>
        <w:rPr>
          <w:rFonts w:cs="Arial" w:hint="cs"/>
          <w:rtl/>
        </w:rPr>
        <w:t>.</w:t>
      </w:r>
      <w:r w:rsidRPr="001D6779">
        <w:rPr>
          <w:rFonts w:cs="Arial"/>
          <w:rtl/>
        </w:rPr>
        <w:t xml:space="preserve"> וממה נפשך אם רוצה לשרוף את הקטן קודם שיבא לבית דין גובה את הגדול</w:t>
      </w:r>
      <w:r>
        <w:rPr>
          <w:rFonts w:cs="Arial" w:hint="cs"/>
          <w:rtl/>
        </w:rPr>
        <w:t>. עכ"ל הרא"ש</w:t>
      </w:r>
      <w:r>
        <w:rPr>
          <w:rFonts w:hint="cs"/>
          <w:rtl/>
        </w:rPr>
        <w:t>.</w:t>
      </w:r>
      <w:r w:rsidRPr="00497AA2">
        <w:rPr>
          <w:rFonts w:cs="Arial"/>
          <w:sz w:val="16"/>
          <w:szCs w:val="16"/>
          <w:rtl/>
        </w:rPr>
        <w:t xml:space="preserve"> </w:t>
      </w:r>
      <w:r>
        <w:rPr>
          <w:rFonts w:cs="Arial" w:hint="cs"/>
          <w:sz w:val="16"/>
          <w:szCs w:val="16"/>
          <w:rtl/>
        </w:rPr>
        <w:t>(</w:t>
      </w:r>
      <w:r w:rsidRPr="00497AA2">
        <w:rPr>
          <w:rFonts w:cs="Arial"/>
          <w:sz w:val="16"/>
          <w:szCs w:val="16"/>
          <w:rtl/>
        </w:rPr>
        <w:t>ותימה למה לא יחרים חרם סתם אם שרף שטר אחר שחתומים עליו אחת משתי כתות</w:t>
      </w:r>
      <w:r w:rsidRPr="00497AA2">
        <w:rPr>
          <w:rFonts w:cs="Arial" w:hint="cs"/>
          <w:sz w:val="16"/>
          <w:szCs w:val="16"/>
          <w:rtl/>
        </w:rPr>
        <w:t>, ב"י. וכ</w:t>
      </w:r>
      <w:r>
        <w:rPr>
          <w:rFonts w:cs="Arial" w:hint="cs"/>
          <w:sz w:val="16"/>
          <w:szCs w:val="16"/>
          <w:rtl/>
        </w:rPr>
        <w:t>'</w:t>
      </w:r>
      <w:r w:rsidRPr="00497AA2">
        <w:rPr>
          <w:rFonts w:cs="Arial" w:hint="cs"/>
          <w:sz w:val="16"/>
          <w:szCs w:val="16"/>
          <w:rtl/>
        </w:rPr>
        <w:t xml:space="preserve"> הדרכ"מ </w:t>
      </w:r>
      <w:r w:rsidRPr="00497AA2">
        <w:rPr>
          <w:rFonts w:cs="Arial"/>
          <w:sz w:val="16"/>
          <w:szCs w:val="16"/>
          <w:rtl/>
        </w:rPr>
        <w:t>(</w:t>
      </w:r>
      <w:r w:rsidRPr="00497AA2">
        <w:rPr>
          <w:rFonts w:cs="Arial" w:hint="cs"/>
          <w:sz w:val="16"/>
          <w:szCs w:val="16"/>
          <w:rtl/>
        </w:rPr>
        <w:t xml:space="preserve">אות </w:t>
      </w:r>
      <w:r w:rsidRPr="00497AA2">
        <w:rPr>
          <w:rFonts w:cs="Arial"/>
          <w:sz w:val="16"/>
          <w:szCs w:val="16"/>
          <w:rtl/>
        </w:rPr>
        <w:t>א)</w:t>
      </w:r>
      <w:r w:rsidRPr="00497AA2">
        <w:rPr>
          <w:rFonts w:cs="Arial" w:hint="cs"/>
          <w:sz w:val="16"/>
          <w:szCs w:val="16"/>
          <w:rtl/>
        </w:rPr>
        <w:t>-</w:t>
      </w:r>
      <w:r w:rsidRPr="00497AA2">
        <w:rPr>
          <w:rFonts w:cs="Arial"/>
          <w:sz w:val="16"/>
          <w:szCs w:val="16"/>
          <w:rtl/>
        </w:rPr>
        <w:t xml:space="preserve"> ולא ידעתי מאי קשיא ליה</w:t>
      </w:r>
      <w:r w:rsidRPr="00497AA2">
        <w:rPr>
          <w:rFonts w:cs="Arial" w:hint="cs"/>
          <w:sz w:val="16"/>
          <w:szCs w:val="16"/>
          <w:rtl/>
        </w:rPr>
        <w:t>,</w:t>
      </w:r>
      <w:r w:rsidRPr="00497AA2">
        <w:rPr>
          <w:rFonts w:cs="Arial"/>
          <w:sz w:val="16"/>
          <w:szCs w:val="16"/>
          <w:rtl/>
        </w:rPr>
        <w:t xml:space="preserve"> דנראה דאף אם הודה ששרפו יכול לגבות השני שמוציא עכשיו מאחר שלא יוכל לבא לידי גביות שני השטרות</w:t>
      </w:r>
      <w:r w:rsidRPr="00497AA2">
        <w:rPr>
          <w:rFonts w:cs="Arial" w:hint="cs"/>
          <w:sz w:val="16"/>
          <w:szCs w:val="16"/>
          <w:rtl/>
        </w:rPr>
        <w:t>,</w:t>
      </w:r>
      <w:r w:rsidRPr="00497AA2">
        <w:rPr>
          <w:rFonts w:cs="Arial"/>
          <w:sz w:val="16"/>
          <w:szCs w:val="16"/>
          <w:rtl/>
        </w:rPr>
        <w:t xml:space="preserve"> ובשעה שבא לבית דין כבר נשרף האחד הוה כאלו לא היה לו רק האחד</w:t>
      </w:r>
      <w:r w:rsidRPr="00497AA2">
        <w:rPr>
          <w:rFonts w:cs="Arial" w:hint="cs"/>
          <w:sz w:val="16"/>
          <w:szCs w:val="16"/>
          <w:rtl/>
        </w:rPr>
        <w:t>,</w:t>
      </w:r>
      <w:r w:rsidRPr="00497AA2">
        <w:rPr>
          <w:rFonts w:cs="Arial"/>
          <w:sz w:val="16"/>
          <w:szCs w:val="16"/>
          <w:rtl/>
        </w:rPr>
        <w:t xml:space="preserve"> והוא כשר דהא כל אחת באה בפני עצמה ומעידה</w:t>
      </w:r>
      <w:r>
        <w:rPr>
          <w:rFonts w:cs="Arial" w:hint="cs"/>
          <w:sz w:val="16"/>
          <w:szCs w:val="16"/>
          <w:rtl/>
        </w:rPr>
        <w:t>)</w:t>
      </w:r>
    </w:p>
  </w:footnote>
  <w:footnote w:id="1762">
    <w:p w14:paraId="5646CEB4" w14:textId="77777777" w:rsidR="0013116F" w:rsidRDefault="0013116F" w:rsidP="004B607F">
      <w:pPr>
        <w:pStyle w:val="a9"/>
        <w:rPr>
          <w:rtl/>
        </w:rPr>
      </w:pPr>
      <w:r>
        <w:rPr>
          <w:rStyle w:val="ab"/>
        </w:rPr>
        <w:footnoteRef/>
      </w:r>
      <w:r>
        <w:rPr>
          <w:rtl/>
        </w:rPr>
        <w:t xml:space="preserve"> </w:t>
      </w:r>
      <w:r>
        <w:rPr>
          <w:rFonts w:cs="Arial"/>
          <w:rtl/>
        </w:rPr>
        <w:t>כ"כ בעל התרומות בשער כ"ט (ח"ג סי' ב) וז"ל</w:t>
      </w:r>
      <w:r>
        <w:rPr>
          <w:rFonts w:cs="Arial" w:hint="cs"/>
          <w:rtl/>
        </w:rPr>
        <w:t>-</w:t>
      </w:r>
      <w:r>
        <w:rPr>
          <w:rFonts w:cs="Arial"/>
          <w:rtl/>
        </w:rPr>
        <w:t xml:space="preserve"> ומסתברא דכיון דמשבעינן ליה אאידך שטרא ומפטר הלוה</w:t>
      </w:r>
      <w:r>
        <w:rPr>
          <w:rFonts w:cs="Arial" w:hint="cs"/>
          <w:rtl/>
        </w:rPr>
        <w:t>,</w:t>
      </w:r>
      <w:r>
        <w:rPr>
          <w:rFonts w:cs="Arial"/>
          <w:rtl/>
        </w:rPr>
        <w:t xml:space="preserve"> ושטרא ריעא הוי</w:t>
      </w:r>
      <w:r>
        <w:rPr>
          <w:rFonts w:cs="Arial" w:hint="cs"/>
          <w:rtl/>
        </w:rPr>
        <w:t>,</w:t>
      </w:r>
      <w:r>
        <w:rPr>
          <w:rFonts w:cs="Arial"/>
          <w:rtl/>
        </w:rPr>
        <w:t xml:space="preserve"> אמרינן ליה דליקרעיה או דלהדריה ללוה</w:t>
      </w:r>
      <w:r>
        <w:rPr>
          <w:rFonts w:cs="Arial" w:hint="cs"/>
          <w:rtl/>
        </w:rPr>
        <w:t>,</w:t>
      </w:r>
      <w:r>
        <w:rPr>
          <w:rFonts w:cs="Arial"/>
          <w:rtl/>
        </w:rPr>
        <w:t xml:space="preserve"> ואיכא דפליג</w:t>
      </w:r>
      <w:r>
        <w:rPr>
          <w:rFonts w:cs="Arial" w:hint="cs"/>
          <w:rtl/>
        </w:rPr>
        <w:t xml:space="preserve"> -</w:t>
      </w:r>
      <w:r>
        <w:rPr>
          <w:rFonts w:cs="Arial"/>
          <w:rtl/>
        </w:rPr>
        <w:t xml:space="preserve"> ולא נהירא</w:t>
      </w:r>
      <w:r>
        <w:rPr>
          <w:rFonts w:hint="cs"/>
          <w:rtl/>
        </w:rPr>
        <w:t>. עכ"ל</w:t>
      </w:r>
      <w:r>
        <w:rPr>
          <w:rFonts w:hint="cs"/>
          <w:sz w:val="16"/>
          <w:szCs w:val="16"/>
          <w:rtl/>
        </w:rPr>
        <w:t xml:space="preserve"> [בעל התרומות] </w:t>
      </w:r>
      <w:r>
        <w:rPr>
          <w:rFonts w:hint="cs"/>
          <w:rtl/>
        </w:rPr>
        <w:t>, ב"י.</w:t>
      </w:r>
    </w:p>
  </w:footnote>
  <w:footnote w:id="1763">
    <w:p w14:paraId="7574B584" w14:textId="77777777" w:rsidR="0013116F" w:rsidRDefault="0013116F" w:rsidP="004B607F">
      <w:pPr>
        <w:pStyle w:val="a9"/>
      </w:pPr>
      <w:r>
        <w:rPr>
          <w:rStyle w:val="ab"/>
        </w:rPr>
        <w:footnoteRef/>
      </w:r>
      <w:r>
        <w:rPr>
          <w:rtl/>
        </w:rPr>
        <w:t xml:space="preserve"> </w:t>
      </w:r>
      <w:r>
        <w:rPr>
          <w:rFonts w:cs="Arial" w:hint="cs"/>
          <w:rtl/>
        </w:rPr>
        <w:t>ו</w:t>
      </w:r>
      <w:r>
        <w:rPr>
          <w:rFonts w:cs="Arial"/>
          <w:rtl/>
        </w:rPr>
        <w:t>גם הראב"ד ה</w:t>
      </w:r>
      <w:r>
        <w:rPr>
          <w:rFonts w:cs="Arial" w:hint="cs"/>
          <w:rtl/>
        </w:rPr>
        <w:t xml:space="preserve">קשה שם על דברי הרמב"ם </w:t>
      </w:r>
      <w:r>
        <w:rPr>
          <w:rFonts w:cs="Arial" w:hint="cs"/>
          <w:sz w:val="16"/>
          <w:szCs w:val="16"/>
          <w:rtl/>
        </w:rPr>
        <w:t>(אמנם לא חלק עליו בפירוש אלא רק הקשה)</w:t>
      </w:r>
      <w:r>
        <w:rPr>
          <w:rFonts w:cs="Arial" w:hint="cs"/>
          <w:rtl/>
        </w:rPr>
        <w:t>.</w:t>
      </w:r>
      <w:r>
        <w:rPr>
          <w:rFonts w:cs="Arial"/>
          <w:rtl/>
        </w:rPr>
        <w:t xml:space="preserve"> </w:t>
      </w:r>
      <w:r>
        <w:rPr>
          <w:rFonts w:cs="Arial" w:hint="cs"/>
          <w:rtl/>
        </w:rPr>
        <w:t xml:space="preserve">וכתב הב"י- </w:t>
      </w:r>
      <w:r>
        <w:rPr>
          <w:rFonts w:cs="Arial"/>
          <w:rtl/>
        </w:rPr>
        <w:t>ובביאורי להרמב"ם הלצתי בעדו</w:t>
      </w:r>
      <w:r>
        <w:rPr>
          <w:rFonts w:cs="Arial" w:hint="cs"/>
          <w:rtl/>
        </w:rPr>
        <w:t xml:space="preserve">. </w:t>
      </w:r>
    </w:p>
  </w:footnote>
  <w:footnote w:id="1764">
    <w:p w14:paraId="196478E6" w14:textId="77777777" w:rsidR="0013116F" w:rsidRDefault="0013116F" w:rsidP="004B607F">
      <w:pPr>
        <w:pStyle w:val="a9"/>
        <w:rPr>
          <w:rtl/>
        </w:rPr>
      </w:pPr>
      <w:r>
        <w:rPr>
          <w:rStyle w:val="ab"/>
        </w:rPr>
        <w:footnoteRef/>
      </w:r>
      <w:r>
        <w:rPr>
          <w:rtl/>
        </w:rPr>
        <w:t xml:space="preserve"> </w:t>
      </w:r>
      <w:r>
        <w:rPr>
          <w:rFonts w:cs="Arial"/>
          <w:rtl/>
        </w:rPr>
        <w:t>ואע</w:t>
      </w:r>
      <w:r>
        <w:rPr>
          <w:rFonts w:cs="Arial" w:hint="cs"/>
          <w:rtl/>
        </w:rPr>
        <w:t>"</w:t>
      </w:r>
      <w:r>
        <w:rPr>
          <w:rFonts w:cs="Arial"/>
          <w:rtl/>
        </w:rPr>
        <w:t>פ שהרא"ש נסתפק אם יוכל להשביעו שאין בידו שטר אחר שחתום בו כת אחת מאותן שתי כתות כתב רבינו שמשביעו משום דהמוציא מחבירו עליו הראיה</w:t>
      </w:r>
      <w:r>
        <w:rPr>
          <w:rFonts w:cs="Arial" w:hint="cs"/>
          <w:rtl/>
        </w:rPr>
        <w:t>, ב"י</w:t>
      </w:r>
      <w:r>
        <w:rPr>
          <w:rFonts w:cs="Arial"/>
          <w:rtl/>
        </w:rPr>
        <w:t>.</w:t>
      </w:r>
    </w:p>
  </w:footnote>
  <w:footnote w:id="1765">
    <w:p w14:paraId="3E7ED16B" w14:textId="77777777" w:rsidR="0013116F" w:rsidRDefault="0013116F" w:rsidP="004B607F">
      <w:pPr>
        <w:pStyle w:val="a9"/>
        <w:rPr>
          <w:rtl/>
        </w:rPr>
      </w:pPr>
      <w:r>
        <w:rPr>
          <w:rStyle w:val="ab"/>
        </w:rPr>
        <w:footnoteRef/>
      </w:r>
      <w:r>
        <w:rPr>
          <w:rtl/>
        </w:rPr>
        <w:t xml:space="preserve"> </w:t>
      </w:r>
      <w:r>
        <w:rPr>
          <w:rFonts w:cs="Arial"/>
          <w:rtl/>
        </w:rPr>
        <w:t>הרי שלא חייבו להשבע שאין בידו שטר אחר שחתומה בו אחת מאלו הכתות</w:t>
      </w:r>
      <w:r>
        <w:rPr>
          <w:rFonts w:cs="Arial" w:hint="cs"/>
          <w:rtl/>
        </w:rPr>
        <w:t xml:space="preserve"> </w:t>
      </w:r>
      <w:r w:rsidRPr="00566744">
        <w:rPr>
          <w:rFonts w:cs="Arial" w:hint="cs"/>
          <w:sz w:val="16"/>
          <w:szCs w:val="16"/>
          <w:rtl/>
        </w:rPr>
        <w:t>{ולא כמש</w:t>
      </w:r>
      <w:r>
        <w:rPr>
          <w:rFonts w:cs="Arial" w:hint="cs"/>
          <w:sz w:val="16"/>
          <w:szCs w:val="16"/>
          <w:rtl/>
        </w:rPr>
        <w:t>"</w:t>
      </w:r>
      <w:r w:rsidRPr="00566744">
        <w:rPr>
          <w:rFonts w:cs="Arial" w:hint="cs"/>
          <w:sz w:val="16"/>
          <w:szCs w:val="16"/>
          <w:rtl/>
        </w:rPr>
        <w:t>כ הטור שמשביעו}</w:t>
      </w:r>
      <w:r>
        <w:rPr>
          <w:rFonts w:cs="Arial" w:hint="cs"/>
          <w:rtl/>
        </w:rPr>
        <w:t>.</w:t>
      </w:r>
      <w:r>
        <w:rPr>
          <w:rFonts w:cs="Arial"/>
          <w:rtl/>
        </w:rPr>
        <w:t xml:space="preserve"> ומשמע עוד מדבריו שאין צריך להוציא השטר השני בבית דין אחר</w:t>
      </w:r>
      <w:r>
        <w:rPr>
          <w:rFonts w:cs="Arial" w:hint="cs"/>
          <w:rtl/>
        </w:rPr>
        <w:t>,</w:t>
      </w:r>
      <w:r>
        <w:rPr>
          <w:rFonts w:cs="Arial"/>
          <w:rtl/>
        </w:rPr>
        <w:t xml:space="preserve"> אלא אפילו הוציאו באותו בית דין עצמו גובה מאחר שלא הוציא השטרות כאחת</w:t>
      </w:r>
      <w:r>
        <w:rPr>
          <w:rFonts w:cs="Arial" w:hint="cs"/>
          <w:rtl/>
        </w:rPr>
        <w:t>.</w:t>
      </w:r>
      <w:r>
        <w:rPr>
          <w:rFonts w:cs="Arial"/>
          <w:rtl/>
        </w:rPr>
        <w:t xml:space="preserve"> ויש לתמוה על רבינו שכתב לקמן בסמוך גבי מלוה אחד ושני לווין כלשון הרמב"ם כאן שכל אחת באה בפני עצמה ומעידה לא שנא על לוה אחד לא שנא על שני לווין</w:t>
      </w:r>
      <w:r>
        <w:rPr>
          <w:rFonts w:cs="Arial" w:hint="cs"/>
          <w:rtl/>
        </w:rPr>
        <w:t>,</w:t>
      </w:r>
      <w:r>
        <w:rPr>
          <w:rFonts w:cs="Arial"/>
          <w:rtl/>
        </w:rPr>
        <w:t xml:space="preserve"> ומה לו להזכיר שם על לוה אחד שאינו ענין לשם וכאן שהיה לו להזכירו סתם דברי</w:t>
      </w:r>
      <w:r>
        <w:rPr>
          <w:rFonts w:cs="Arial" w:hint="cs"/>
          <w:rtl/>
        </w:rPr>
        <w:t xml:space="preserve">ו, ב"י </w:t>
      </w:r>
      <w:r w:rsidRPr="00FE3E3A">
        <w:rPr>
          <w:rFonts w:cs="Arial" w:hint="cs"/>
          <w:sz w:val="16"/>
          <w:szCs w:val="16"/>
          <w:rtl/>
        </w:rPr>
        <w:t>(בבדה"ב)</w:t>
      </w:r>
      <w:r>
        <w:rPr>
          <w:rFonts w:cs="Arial" w:hint="cs"/>
          <w:rtl/>
        </w:rPr>
        <w:t xml:space="preserve">. </w:t>
      </w:r>
    </w:p>
  </w:footnote>
  <w:footnote w:id="1766">
    <w:p w14:paraId="2234C2C0" w14:textId="77777777" w:rsidR="0013116F" w:rsidRDefault="0013116F" w:rsidP="004B607F">
      <w:pPr>
        <w:pStyle w:val="a9"/>
      </w:pPr>
      <w:r>
        <w:rPr>
          <w:rStyle w:val="ab"/>
        </w:rPr>
        <w:footnoteRef/>
      </w:r>
      <w:r>
        <w:rPr>
          <w:rtl/>
        </w:rPr>
        <w:t xml:space="preserve"> </w:t>
      </w:r>
      <w:r>
        <w:rPr>
          <w:rFonts w:hint="cs"/>
          <w:rtl/>
        </w:rPr>
        <w:t xml:space="preserve">סימן </w:t>
      </w:r>
      <w:r>
        <w:rPr>
          <w:rtl/>
        </w:rPr>
        <w:t>–</w:t>
      </w:r>
      <w:r>
        <w:rPr>
          <w:rFonts w:hint="cs"/>
          <w:rtl/>
        </w:rPr>
        <w:t xml:space="preserve"> מכחישות זו</w:t>
      </w:r>
      <w:r>
        <w:rPr>
          <w:rFonts w:hint="cs"/>
          <w:sz w:val="16"/>
          <w:szCs w:val="16"/>
          <w:rtl/>
        </w:rPr>
        <w:t xml:space="preserve"> (את זו)</w:t>
      </w:r>
      <w:r>
        <w:rPr>
          <w:rFonts w:hint="cs"/>
          <w:rtl/>
        </w:rPr>
        <w:t>.</w:t>
      </w:r>
      <w:r>
        <w:rPr>
          <w:rFonts w:hint="cs"/>
          <w:sz w:val="16"/>
          <w:szCs w:val="16"/>
          <w:rtl/>
        </w:rPr>
        <w:t xml:space="preserve"> (הסימן לדף מז ע"ב שבו עיקר ענייננו)</w:t>
      </w:r>
      <w:r>
        <w:rPr>
          <w:rFonts w:hint="cs"/>
          <w:rtl/>
        </w:rPr>
        <w:t>.</w:t>
      </w:r>
    </w:p>
  </w:footnote>
  <w:footnote w:id="1767">
    <w:p w14:paraId="5D200129" w14:textId="77777777" w:rsidR="0013116F" w:rsidRDefault="0013116F" w:rsidP="004B607F">
      <w:pPr>
        <w:pStyle w:val="a9"/>
        <w:rPr>
          <w:rtl/>
        </w:rPr>
      </w:pPr>
      <w:r>
        <w:rPr>
          <w:rStyle w:val="ab"/>
        </w:rPr>
        <w:footnoteRef/>
      </w:r>
      <w:r>
        <w:rPr>
          <w:rtl/>
        </w:rPr>
        <w:t xml:space="preserve"> </w:t>
      </w:r>
      <w:r w:rsidRPr="00EA44E7">
        <w:rPr>
          <w:rFonts w:cs="Arial"/>
          <w:rtl/>
        </w:rPr>
        <w:t>אלא בזמן שיש רגלים לדבר</w:t>
      </w:r>
      <w:r>
        <w:rPr>
          <w:rFonts w:cs="Arial" w:hint="cs"/>
          <w:rtl/>
        </w:rPr>
        <w:t>,</w:t>
      </w:r>
      <w:r w:rsidRPr="00EA44E7">
        <w:rPr>
          <w:rFonts w:cs="Arial"/>
          <w:rtl/>
        </w:rPr>
        <w:t xml:space="preserve"> שבעל הבית מודה שאמר לו</w:t>
      </w:r>
      <w:r>
        <w:rPr>
          <w:rFonts w:cs="Arial" w:hint="cs"/>
          <w:rtl/>
        </w:rPr>
        <w:t>-</w:t>
      </w:r>
      <w:r w:rsidRPr="00EA44E7">
        <w:rPr>
          <w:rFonts w:cs="Arial"/>
          <w:rtl/>
        </w:rPr>
        <w:t xml:space="preserve"> תן כו'</w:t>
      </w:r>
      <w:r>
        <w:rPr>
          <w:rFonts w:hint="cs"/>
          <w:rtl/>
        </w:rPr>
        <w:t xml:space="preserve">, רש"י </w:t>
      </w:r>
      <w:r w:rsidRPr="00EA44E7">
        <w:rPr>
          <w:rFonts w:hint="cs"/>
          <w:sz w:val="16"/>
          <w:szCs w:val="16"/>
          <w:rtl/>
        </w:rPr>
        <w:t>(ד"ה מתני' לא שאמר לו [בדף מז: אבל הוא שייך למשנה</w:t>
      </w:r>
      <w:r>
        <w:rPr>
          <w:rFonts w:hint="cs"/>
          <w:sz w:val="16"/>
          <w:szCs w:val="16"/>
          <w:rtl/>
        </w:rPr>
        <w:t>]</w:t>
      </w:r>
      <w:r w:rsidRPr="00EA44E7">
        <w:rPr>
          <w:rFonts w:hint="cs"/>
          <w:sz w:val="16"/>
          <w:szCs w:val="16"/>
          <w:rtl/>
        </w:rPr>
        <w:t>)</w:t>
      </w:r>
      <w:r>
        <w:rPr>
          <w:rFonts w:hint="cs"/>
          <w:rtl/>
        </w:rPr>
        <w:t>.</w:t>
      </w:r>
    </w:p>
  </w:footnote>
  <w:footnote w:id="1768">
    <w:p w14:paraId="2FD971B0" w14:textId="77777777" w:rsidR="0013116F" w:rsidRDefault="0013116F" w:rsidP="004B607F">
      <w:pPr>
        <w:pStyle w:val="a9"/>
        <w:rPr>
          <w:rtl/>
        </w:rPr>
      </w:pPr>
      <w:r>
        <w:rPr>
          <w:rStyle w:val="ab"/>
        </w:rPr>
        <w:footnoteRef/>
      </w:r>
      <w:r>
        <w:rPr>
          <w:rtl/>
        </w:rPr>
        <w:t xml:space="preserve"> </w:t>
      </w:r>
      <w:r>
        <w:rPr>
          <w:rFonts w:hint="cs"/>
          <w:rtl/>
        </w:rPr>
        <w:t xml:space="preserve">היינו שהפועלים עבדו אצל בעל הבית, ובמקום לשלם להם מעות אמר להם לכו ותקחו מהחנווני מצרכים בסלע ואני אשלם לו.  </w:t>
      </w:r>
    </w:p>
  </w:footnote>
  <w:footnote w:id="1769">
    <w:p w14:paraId="43EB4714" w14:textId="77777777" w:rsidR="0013116F" w:rsidRDefault="0013116F" w:rsidP="004B607F">
      <w:pPr>
        <w:pStyle w:val="a9"/>
      </w:pPr>
      <w:r>
        <w:rPr>
          <w:rStyle w:val="ab"/>
        </w:rPr>
        <w:footnoteRef/>
      </w:r>
      <w:r>
        <w:rPr>
          <w:rtl/>
        </w:rPr>
        <w:t xml:space="preserve"> </w:t>
      </w:r>
      <w:r w:rsidRPr="00EA44E7">
        <w:rPr>
          <w:rFonts w:cs="Arial"/>
          <w:rtl/>
        </w:rPr>
        <w:t>שניהם נשבעין ונוטלין מבעל הבית</w:t>
      </w:r>
      <w:r>
        <w:rPr>
          <w:rFonts w:cs="Arial" w:hint="cs"/>
          <w:sz w:val="16"/>
          <w:szCs w:val="16"/>
          <w:rtl/>
        </w:rPr>
        <w:t xml:space="preserve"> {היינו, החנווני נשבע שלא קיבל תמורה למה שנתן לבן/לפועל, והפועל נשבע שלא קיבל את שכר עבודתו מהחנווני}</w:t>
      </w:r>
      <w:r>
        <w:rPr>
          <w:rFonts w:cs="Arial" w:hint="cs"/>
          <w:rtl/>
        </w:rPr>
        <w:t xml:space="preserve">. </w:t>
      </w:r>
      <w:r w:rsidRPr="00EA44E7">
        <w:rPr>
          <w:rFonts w:cs="Arial"/>
          <w:rtl/>
        </w:rPr>
        <w:t>דאמר ליה פועלים לא מהימנו לי בשבועה את האמנתינהו דלא אמרת לי בסהדי הב להו</w:t>
      </w:r>
      <w:r>
        <w:rPr>
          <w:rFonts w:cs="Arial" w:hint="cs"/>
          <w:rtl/>
        </w:rPr>
        <w:t>,</w:t>
      </w:r>
      <w:r w:rsidRPr="00EA44E7">
        <w:rPr>
          <w:rFonts w:cs="Arial"/>
          <w:rtl/>
        </w:rPr>
        <w:t xml:space="preserve"> וכן פועלין אמרי ליה לא מהימן לן חנוני בשבועה</w:t>
      </w:r>
      <w:r>
        <w:rPr>
          <w:rFonts w:cs="Arial" w:hint="cs"/>
          <w:rtl/>
        </w:rPr>
        <w:t>, רש"י</w:t>
      </w:r>
      <w:r>
        <w:rPr>
          <w:rFonts w:hint="cs"/>
          <w:sz w:val="16"/>
          <w:szCs w:val="16"/>
          <w:rtl/>
        </w:rPr>
        <w:t xml:space="preserve"> </w:t>
      </w:r>
      <w:r w:rsidRPr="00EA44E7">
        <w:rPr>
          <w:rFonts w:hint="cs"/>
          <w:sz w:val="16"/>
          <w:szCs w:val="16"/>
          <w:rtl/>
        </w:rPr>
        <w:t xml:space="preserve">(ד"ה </w:t>
      </w:r>
      <w:r>
        <w:rPr>
          <w:rFonts w:hint="cs"/>
          <w:sz w:val="16"/>
          <w:szCs w:val="16"/>
          <w:rtl/>
        </w:rPr>
        <w:t>שניהם נשבעין ונוטלין</w:t>
      </w:r>
      <w:r w:rsidRPr="00EA44E7">
        <w:rPr>
          <w:rFonts w:hint="cs"/>
          <w:sz w:val="16"/>
          <w:szCs w:val="16"/>
          <w:rtl/>
        </w:rPr>
        <w:t xml:space="preserve"> [בדף מז: אבל הוא שייך למשנה</w:t>
      </w:r>
      <w:r>
        <w:rPr>
          <w:rFonts w:hint="cs"/>
          <w:sz w:val="16"/>
          <w:szCs w:val="16"/>
          <w:rtl/>
        </w:rPr>
        <w:t>]</w:t>
      </w:r>
      <w:r w:rsidRPr="00EA44E7">
        <w:rPr>
          <w:rFonts w:hint="cs"/>
          <w:sz w:val="16"/>
          <w:szCs w:val="16"/>
          <w:rtl/>
        </w:rPr>
        <w:t>)</w:t>
      </w:r>
      <w:r w:rsidRPr="00EA44E7">
        <w:rPr>
          <w:rFonts w:cs="Arial"/>
          <w:rtl/>
        </w:rPr>
        <w:t>.</w:t>
      </w:r>
    </w:p>
  </w:footnote>
  <w:footnote w:id="1770">
    <w:p w14:paraId="34129173" w14:textId="77777777" w:rsidR="0013116F" w:rsidRDefault="0013116F" w:rsidP="004B607F">
      <w:pPr>
        <w:pStyle w:val="a9"/>
        <w:rPr>
          <w:rtl/>
        </w:rPr>
      </w:pPr>
      <w:r>
        <w:rPr>
          <w:rStyle w:val="ab"/>
        </w:rPr>
        <w:footnoteRef/>
      </w:r>
      <w:r>
        <w:rPr>
          <w:rtl/>
        </w:rPr>
        <w:t xml:space="preserve"> </w:t>
      </w:r>
      <w:r w:rsidRPr="00EA44E7">
        <w:rPr>
          <w:rFonts w:cs="Arial"/>
          <w:rtl/>
        </w:rPr>
        <w:t>ששניהן באין לבית דין שתצא שבועת שוא מביניהם</w:t>
      </w:r>
      <w:r>
        <w:rPr>
          <w:rFonts w:cs="Arial" w:hint="cs"/>
          <w:rtl/>
        </w:rPr>
        <w:t>.</w:t>
      </w:r>
      <w:r w:rsidRPr="00EA44E7">
        <w:rPr>
          <w:rFonts w:cs="Arial"/>
          <w:rtl/>
        </w:rPr>
        <w:t xml:space="preserve"> ולא פירש (לי) רבי מאי סבירא ליה</w:t>
      </w:r>
      <w:r>
        <w:rPr>
          <w:rFonts w:cs="Arial" w:hint="cs"/>
          <w:rtl/>
        </w:rPr>
        <w:t>,</w:t>
      </w:r>
      <w:r w:rsidRPr="00EA44E7">
        <w:rPr>
          <w:rFonts w:cs="Arial"/>
          <w:rtl/>
        </w:rPr>
        <w:t xml:space="preserve"> אי נוטלין בלא שבועה כבן ננס</w:t>
      </w:r>
      <w:r>
        <w:rPr>
          <w:rFonts w:cs="Arial" w:hint="cs"/>
          <w:rtl/>
        </w:rPr>
        <w:t>,</w:t>
      </w:r>
      <w:r w:rsidRPr="00EA44E7">
        <w:rPr>
          <w:rFonts w:cs="Arial"/>
          <w:rtl/>
        </w:rPr>
        <w:t xml:space="preserve"> או יפסיד חנוני בשבועת פועלים</w:t>
      </w:r>
      <w:r>
        <w:rPr>
          <w:rFonts w:cs="Arial" w:hint="cs"/>
          <w:rtl/>
        </w:rPr>
        <w:t>, רש"י</w:t>
      </w:r>
      <w:r w:rsidRPr="00EA44E7">
        <w:rPr>
          <w:rFonts w:cs="Arial"/>
          <w:rtl/>
        </w:rPr>
        <w:t>.</w:t>
      </w:r>
    </w:p>
  </w:footnote>
  <w:footnote w:id="1771">
    <w:p w14:paraId="4762B1AF" w14:textId="77777777" w:rsidR="0013116F" w:rsidRDefault="0013116F" w:rsidP="004B607F">
      <w:pPr>
        <w:pStyle w:val="a9"/>
      </w:pPr>
      <w:r>
        <w:rPr>
          <w:rStyle w:val="ab"/>
        </w:rPr>
        <w:footnoteRef/>
      </w:r>
      <w:r>
        <w:rPr>
          <w:rtl/>
        </w:rPr>
        <w:t xml:space="preserve"> </w:t>
      </w:r>
      <w:r w:rsidRPr="00EA44E7">
        <w:rPr>
          <w:rFonts w:cs="Arial"/>
          <w:rtl/>
        </w:rPr>
        <w:t>כבר שנית לנו וסתמת במשנה שניהן נשבעין ונוטלין</w:t>
      </w:r>
      <w:r>
        <w:rPr>
          <w:rFonts w:cs="Arial" w:hint="cs"/>
          <w:rtl/>
        </w:rPr>
        <w:t>, רש"י.</w:t>
      </w:r>
    </w:p>
  </w:footnote>
  <w:footnote w:id="1772">
    <w:p w14:paraId="3047564D" w14:textId="77777777" w:rsidR="0013116F" w:rsidRDefault="0013116F" w:rsidP="004B607F">
      <w:pPr>
        <w:pStyle w:val="a9"/>
      </w:pPr>
      <w:r>
        <w:rPr>
          <w:rStyle w:val="ab"/>
        </w:rPr>
        <w:footnoteRef/>
      </w:r>
      <w:r>
        <w:rPr>
          <w:rFonts w:cs="Arial" w:hint="cs"/>
          <w:rtl/>
        </w:rPr>
        <w:t xml:space="preserve"> </w:t>
      </w:r>
      <w:r w:rsidRPr="00EA44E7">
        <w:rPr>
          <w:rFonts w:cs="Arial"/>
          <w:rtl/>
        </w:rPr>
        <w:t>רבי מר' חייא והדר ביה או לא</w:t>
      </w:r>
      <w:r>
        <w:rPr>
          <w:rFonts w:cs="Arial" w:hint="cs"/>
          <w:rtl/>
        </w:rPr>
        <w:t>, רש"י</w:t>
      </w:r>
      <w:r w:rsidRPr="00EA44E7">
        <w:rPr>
          <w:rFonts w:cs="Arial"/>
          <w:rtl/>
        </w:rPr>
        <w:t>.</w:t>
      </w:r>
    </w:p>
  </w:footnote>
  <w:footnote w:id="1773">
    <w:p w14:paraId="3BC685A4" w14:textId="77777777" w:rsidR="0013116F" w:rsidRDefault="0013116F" w:rsidP="004B607F">
      <w:pPr>
        <w:pStyle w:val="a9"/>
      </w:pPr>
      <w:r>
        <w:rPr>
          <w:rStyle w:val="ab"/>
        </w:rPr>
        <w:footnoteRef/>
      </w:r>
      <w:r>
        <w:rPr>
          <w:rtl/>
        </w:rPr>
        <w:t xml:space="preserve"> </w:t>
      </w:r>
      <w:r w:rsidRPr="00EA44E7">
        <w:rPr>
          <w:rFonts w:cs="Arial"/>
          <w:rtl/>
        </w:rPr>
        <w:t xml:space="preserve">כי פריש רבי מאי סבירא ליה בגווה קאמר </w:t>
      </w:r>
      <w:r>
        <w:rPr>
          <w:rFonts w:cs="Arial" w:hint="cs"/>
          <w:rtl/>
        </w:rPr>
        <w:t xml:space="preserve">- </w:t>
      </w:r>
      <w:r w:rsidRPr="00EA44E7">
        <w:rPr>
          <w:rFonts w:cs="Arial"/>
          <w:rtl/>
        </w:rPr>
        <w:t>פועלים נשבעים לחנוני שלא קבלו ממנו כלום</w:t>
      </w:r>
      <w:r>
        <w:rPr>
          <w:rFonts w:cs="Arial" w:hint="cs"/>
          <w:rtl/>
        </w:rPr>
        <w:t>,</w:t>
      </w:r>
      <w:r w:rsidRPr="00EA44E7">
        <w:rPr>
          <w:rFonts w:cs="Arial"/>
          <w:rtl/>
        </w:rPr>
        <w:t xml:space="preserve"> אלמא לא קיבלה וסבירא ליה חנוני יפסיד שהיה לו לתת להם בעדים</w:t>
      </w:r>
      <w:r>
        <w:rPr>
          <w:rFonts w:cs="Arial" w:hint="cs"/>
          <w:rtl/>
        </w:rPr>
        <w:t>, רש"י</w:t>
      </w:r>
      <w:r w:rsidRPr="00EA44E7">
        <w:rPr>
          <w:rFonts w:cs="Arial"/>
          <w:rtl/>
        </w:rPr>
        <w:t>.</w:t>
      </w:r>
    </w:p>
  </w:footnote>
  <w:footnote w:id="1774">
    <w:p w14:paraId="4A01AADC" w14:textId="77777777" w:rsidR="0013116F" w:rsidRDefault="0013116F" w:rsidP="004B607F">
      <w:pPr>
        <w:pStyle w:val="a9"/>
      </w:pPr>
      <w:r>
        <w:rPr>
          <w:rStyle w:val="ab"/>
        </w:rPr>
        <w:footnoteRef/>
      </w:r>
      <w:r>
        <w:rPr>
          <w:rtl/>
        </w:rPr>
        <w:t xml:space="preserve"> </w:t>
      </w:r>
      <w:r w:rsidRPr="00EA44E7">
        <w:rPr>
          <w:rFonts w:cs="Arial"/>
          <w:rtl/>
        </w:rPr>
        <w:t>דקיבלה נשבעין לבעל הבית מיבעי ליה דמה להן אצל חנוני לשבועה הואיל וחוזר וגובה מבעל הבית</w:t>
      </w:r>
      <w:r>
        <w:rPr>
          <w:rFonts w:cs="Arial" w:hint="cs"/>
          <w:rtl/>
        </w:rPr>
        <w:t>, רש"י</w:t>
      </w:r>
      <w:r w:rsidRPr="00EA44E7">
        <w:rPr>
          <w:rFonts w:cs="Arial"/>
          <w:rtl/>
        </w:rPr>
        <w:t>.</w:t>
      </w:r>
    </w:p>
  </w:footnote>
  <w:footnote w:id="1775">
    <w:p w14:paraId="3D04A24C" w14:textId="77777777" w:rsidR="0013116F" w:rsidRDefault="0013116F" w:rsidP="004B607F">
      <w:pPr>
        <w:pStyle w:val="a9"/>
      </w:pPr>
      <w:r>
        <w:rPr>
          <w:rStyle w:val="ab"/>
        </w:rPr>
        <w:footnoteRef/>
      </w:r>
      <w:r>
        <w:rPr>
          <w:rtl/>
        </w:rPr>
        <w:t xml:space="preserve"> </w:t>
      </w:r>
      <w:r w:rsidRPr="00EA44E7">
        <w:rPr>
          <w:rFonts w:cs="Arial"/>
          <w:rtl/>
        </w:rPr>
        <w:t>לעולם קיבלה מיניה והכי קאמר פועלין נשבעין לבעל הבית במעמד חנוני כלומר לפני חנוני כדמפרש ואזיל</w:t>
      </w:r>
      <w:r>
        <w:rPr>
          <w:rFonts w:cs="Arial" w:hint="cs"/>
          <w:rtl/>
        </w:rPr>
        <w:t>, רש"י</w:t>
      </w:r>
      <w:r w:rsidRPr="00EA44E7">
        <w:rPr>
          <w:rFonts w:cs="Arial"/>
          <w:rtl/>
        </w:rPr>
        <w:t>.</w:t>
      </w:r>
    </w:p>
  </w:footnote>
  <w:footnote w:id="1776">
    <w:p w14:paraId="75D3186B" w14:textId="77777777" w:rsidR="0013116F" w:rsidRDefault="0013116F" w:rsidP="004B607F">
      <w:pPr>
        <w:pStyle w:val="a9"/>
      </w:pPr>
      <w:r>
        <w:rPr>
          <w:rStyle w:val="ab"/>
        </w:rPr>
        <w:footnoteRef/>
      </w:r>
      <w:r>
        <w:rPr>
          <w:rtl/>
        </w:rPr>
        <w:t xml:space="preserve"> </w:t>
      </w:r>
      <w:r>
        <w:rPr>
          <w:rFonts w:cs="Arial"/>
          <w:rtl/>
        </w:rPr>
        <w:t>כלומר דקתני דינא דחנוני על פנקסו דכל אחד נשבע ונוטל והכא נמי כל אחד נשבע ונוטל</w:t>
      </w:r>
      <w:r>
        <w:rPr>
          <w:rFonts w:cs="Arial" w:hint="cs"/>
          <w:rtl/>
        </w:rPr>
        <w:t>, ב"י. ופירש רש"י וז"ל-</w:t>
      </w:r>
      <w:r w:rsidRPr="003945E2">
        <w:rPr>
          <w:rFonts w:cs="Arial"/>
          <w:rtl/>
        </w:rPr>
        <w:t xml:space="preserve"> </w:t>
      </w:r>
      <w:r w:rsidRPr="00F041B5">
        <w:rPr>
          <w:rFonts w:cs="Arial"/>
          <w:rtl/>
        </w:rPr>
        <w:t>שני מלוים ולוה אחד - היינו מתני' שני מלוין הוציאו איש שטרו על לוה אחד ואחת משתי כיתות הללו אחת חתומה בזה ואחת בזה לא קמבעיא לן מאי קאמר רב הונא בה דהיינו מתניתין דקתני נשבעין ונוטלין מבעל הבית ואף על פי שאנו יודעין שאחד מהן שקר אין אנו יכולין להפסיד את אחד מהן ונזקקין להן ב"ד להגבותן והכי נמי לרב הונא דאית ליה גבי שני מלוין ושני לווין זו באה ומעידה וזו באה ומעידה הוא הדין לשני מלוין ולוה אחד ואף על פי שממה נפשך הלוה העני הזה לוקה באחד מן השטרות הללו על ידי עדות פסולה אין אתה יכול להפסיד את אחד מן המלוין שאינך יודע איזה הפסולה</w:t>
      </w:r>
      <w:r>
        <w:rPr>
          <w:rFonts w:cs="Arial" w:hint="cs"/>
          <w:rtl/>
        </w:rPr>
        <w:t>.</w:t>
      </w:r>
    </w:p>
  </w:footnote>
  <w:footnote w:id="1777">
    <w:p w14:paraId="3E5CC6C5" w14:textId="77777777" w:rsidR="0013116F" w:rsidRDefault="0013116F" w:rsidP="004B607F">
      <w:pPr>
        <w:pStyle w:val="a9"/>
        <w:rPr>
          <w:rtl/>
        </w:rPr>
      </w:pPr>
      <w:r>
        <w:rPr>
          <w:rStyle w:val="ab"/>
        </w:rPr>
        <w:footnoteRef/>
      </w:r>
      <w:r>
        <w:rPr>
          <w:rtl/>
        </w:rPr>
        <w:t xml:space="preserve"> </w:t>
      </w:r>
      <w:r>
        <w:rPr>
          <w:rFonts w:cs="Arial" w:hint="cs"/>
          <w:rtl/>
        </w:rPr>
        <w:t>כתב ה</w:t>
      </w:r>
      <w:r w:rsidRPr="00195871">
        <w:rPr>
          <w:rFonts w:cs="Arial"/>
          <w:rtl/>
        </w:rPr>
        <w:t xml:space="preserve">ר"ן </w:t>
      </w:r>
      <w:r w:rsidRPr="00195871">
        <w:rPr>
          <w:rFonts w:cs="Arial"/>
          <w:sz w:val="16"/>
          <w:szCs w:val="16"/>
          <w:rtl/>
        </w:rPr>
        <w:t>(ל: ד"ה שני)</w:t>
      </w:r>
      <w:r w:rsidRPr="00195871">
        <w:rPr>
          <w:rFonts w:cs="Arial" w:hint="cs"/>
          <w:rtl/>
        </w:rPr>
        <w:t xml:space="preserve"> </w:t>
      </w:r>
      <w:r>
        <w:rPr>
          <w:rFonts w:cs="Arial" w:hint="cs"/>
          <w:rtl/>
        </w:rPr>
        <w:t>ד</w:t>
      </w:r>
      <w:r w:rsidRPr="00195871">
        <w:rPr>
          <w:rFonts w:cs="Arial"/>
          <w:rtl/>
        </w:rPr>
        <w:t>לפי דברי רש"י</w:t>
      </w:r>
      <w:r w:rsidRPr="00A901BD">
        <w:rPr>
          <w:rFonts w:cs="Arial"/>
          <w:sz w:val="16"/>
          <w:szCs w:val="16"/>
          <w:rtl/>
        </w:rPr>
        <w:t xml:space="preserve"> </w:t>
      </w:r>
      <w:r>
        <w:rPr>
          <w:rFonts w:cs="Arial" w:hint="cs"/>
          <w:sz w:val="16"/>
          <w:szCs w:val="16"/>
          <w:rtl/>
        </w:rPr>
        <w:t>(ד"ה שני מלוים ולוה אחד)</w:t>
      </w:r>
      <w:r w:rsidRPr="00195871">
        <w:rPr>
          <w:rFonts w:cs="Arial"/>
          <w:rtl/>
        </w:rPr>
        <w:t xml:space="preserve"> נראה שלא למדנו שישבע אא</w:t>
      </w:r>
      <w:r w:rsidRPr="00195871">
        <w:rPr>
          <w:rFonts w:cs="Arial" w:hint="cs"/>
          <w:rtl/>
        </w:rPr>
        <w:t>"</w:t>
      </w:r>
      <w:r w:rsidRPr="00195871">
        <w:rPr>
          <w:rFonts w:cs="Arial"/>
          <w:rtl/>
        </w:rPr>
        <w:t xml:space="preserve">כ אמר ליה </w:t>
      </w:r>
      <w:r>
        <w:rPr>
          <w:rFonts w:cs="Arial" w:hint="cs"/>
          <w:rtl/>
        </w:rPr>
        <w:t>'</w:t>
      </w:r>
      <w:r w:rsidRPr="00195871">
        <w:rPr>
          <w:rFonts w:cs="Arial"/>
          <w:rtl/>
        </w:rPr>
        <w:t>אישתבע לי</w:t>
      </w:r>
      <w:r>
        <w:rPr>
          <w:rFonts w:cs="Arial" w:hint="cs"/>
          <w:rtl/>
        </w:rPr>
        <w:t>',</w:t>
      </w:r>
      <w:r w:rsidRPr="00195871">
        <w:rPr>
          <w:rFonts w:cs="Arial"/>
          <w:rtl/>
        </w:rPr>
        <w:t xml:space="preserve"> כשאר שטרות</w:t>
      </w:r>
      <w:r w:rsidRPr="00195871">
        <w:rPr>
          <w:rFonts w:cs="Arial" w:hint="cs"/>
          <w:rtl/>
        </w:rPr>
        <w:t>,</w:t>
      </w:r>
      <w:r w:rsidRPr="00195871">
        <w:rPr>
          <w:rFonts w:cs="Arial"/>
          <w:rtl/>
        </w:rPr>
        <w:t xml:space="preserve"> דלא אמרינן </w:t>
      </w:r>
      <w:r>
        <w:rPr>
          <w:rFonts w:cs="Arial" w:hint="cs"/>
          <w:rtl/>
        </w:rPr>
        <w:t>'</w:t>
      </w:r>
      <w:r w:rsidRPr="00195871">
        <w:rPr>
          <w:rFonts w:cs="Arial"/>
          <w:rtl/>
        </w:rPr>
        <w:t>היינו מתניתין</w:t>
      </w:r>
      <w:r>
        <w:rPr>
          <w:rFonts w:cs="Arial" w:hint="cs"/>
          <w:rtl/>
        </w:rPr>
        <w:t>'</w:t>
      </w:r>
      <w:r w:rsidRPr="00195871">
        <w:rPr>
          <w:rFonts w:cs="Arial"/>
          <w:rtl/>
        </w:rPr>
        <w:t xml:space="preserve"> אלא לענין שאע</w:t>
      </w:r>
      <w:r w:rsidRPr="00195871">
        <w:rPr>
          <w:rFonts w:cs="Arial" w:hint="cs"/>
          <w:rtl/>
        </w:rPr>
        <w:t>"</w:t>
      </w:r>
      <w:r w:rsidRPr="00195871">
        <w:rPr>
          <w:rFonts w:cs="Arial"/>
          <w:rtl/>
        </w:rPr>
        <w:t>פ שבידוע שלוה נפסד שלא כדין</w:t>
      </w:r>
      <w:r>
        <w:rPr>
          <w:rFonts w:cs="Arial" w:hint="cs"/>
          <w:rtl/>
        </w:rPr>
        <w:t>,</w:t>
      </w:r>
      <w:r w:rsidRPr="00195871">
        <w:rPr>
          <w:rFonts w:cs="Arial"/>
          <w:rtl/>
        </w:rPr>
        <w:t xml:space="preserve"> נזקקין להם</w:t>
      </w:r>
      <w:r w:rsidRPr="00195871">
        <w:rPr>
          <w:rFonts w:cs="Arial" w:hint="cs"/>
          <w:rtl/>
        </w:rPr>
        <w:t>,</w:t>
      </w:r>
      <w:r w:rsidRPr="00195871">
        <w:rPr>
          <w:rFonts w:cs="Arial"/>
          <w:rtl/>
        </w:rPr>
        <w:t xml:space="preserve"> כמתניתין דבעל הבית נפסד שלא כדין</w:t>
      </w:r>
      <w:r w:rsidRPr="00195871">
        <w:rPr>
          <w:rFonts w:cs="Arial" w:hint="cs"/>
          <w:rtl/>
        </w:rPr>
        <w:t>,</w:t>
      </w:r>
      <w:r w:rsidRPr="00195871">
        <w:rPr>
          <w:rFonts w:cs="Arial"/>
          <w:rtl/>
        </w:rPr>
        <w:t xml:space="preserve"> אבל הרי"ף ז"ל פירש ד</w:t>
      </w:r>
      <w:r>
        <w:rPr>
          <w:rFonts w:cs="Arial" w:hint="cs"/>
          <w:rtl/>
        </w:rPr>
        <w:t>'</w:t>
      </w:r>
      <w:r w:rsidRPr="00195871">
        <w:rPr>
          <w:rFonts w:cs="Arial"/>
          <w:rtl/>
        </w:rPr>
        <w:t>היינו מתניתין</w:t>
      </w:r>
      <w:r>
        <w:rPr>
          <w:rFonts w:cs="Arial" w:hint="cs"/>
          <w:rtl/>
        </w:rPr>
        <w:t xml:space="preserve">' </w:t>
      </w:r>
      <w:r>
        <w:rPr>
          <w:rFonts w:cs="Arial"/>
          <w:rtl/>
        </w:rPr>
        <w:t>–</w:t>
      </w:r>
      <w:r w:rsidRPr="00195871">
        <w:rPr>
          <w:rFonts w:cs="Arial"/>
          <w:rtl/>
        </w:rPr>
        <w:t xml:space="preserve"> לגמרי</w:t>
      </w:r>
      <w:r>
        <w:rPr>
          <w:rFonts w:cs="Arial" w:hint="cs"/>
          <w:rtl/>
        </w:rPr>
        <w:t>,</w:t>
      </w:r>
      <w:r w:rsidRPr="00195871">
        <w:rPr>
          <w:rFonts w:cs="Arial"/>
          <w:rtl/>
        </w:rPr>
        <w:t xml:space="preserve"> דנשבעין מלוין ונוטלין</w:t>
      </w:r>
      <w:r>
        <w:rPr>
          <w:rFonts w:cs="Arial" w:hint="cs"/>
          <w:rtl/>
        </w:rPr>
        <w:t>,</w:t>
      </w:r>
      <w:r w:rsidRPr="00195871">
        <w:rPr>
          <w:rFonts w:cs="Arial"/>
          <w:rtl/>
        </w:rPr>
        <w:t xml:space="preserve"> ולפי זה אפילו כתוב בשטר נאמנות אינו גובה אלא בשבועה. </w:t>
      </w:r>
      <w:r>
        <w:rPr>
          <w:rFonts w:cs="Arial" w:hint="cs"/>
          <w:rtl/>
        </w:rPr>
        <w:t xml:space="preserve">עכ"ל הר"ן. </w:t>
      </w:r>
      <w:r w:rsidRPr="00A901BD">
        <w:rPr>
          <w:rFonts w:cs="Arial"/>
          <w:rtl/>
        </w:rPr>
        <w:t xml:space="preserve">והרא"ש </w:t>
      </w:r>
      <w:r w:rsidRPr="00A901BD">
        <w:rPr>
          <w:rFonts w:cs="Arial"/>
          <w:sz w:val="16"/>
          <w:szCs w:val="16"/>
          <w:rtl/>
        </w:rPr>
        <w:t xml:space="preserve">(סי' י) </w:t>
      </w:r>
      <w:r w:rsidRPr="00A901BD">
        <w:rPr>
          <w:rFonts w:cs="Arial"/>
          <w:rtl/>
        </w:rPr>
        <w:t xml:space="preserve">כתב כהרי"ף והכי משמע מלשון הרמב"ם </w:t>
      </w:r>
      <w:r>
        <w:rPr>
          <w:rFonts w:cs="Arial" w:hint="cs"/>
          <w:sz w:val="16"/>
          <w:szCs w:val="16"/>
          <w:rtl/>
        </w:rPr>
        <w:t>(</w:t>
      </w:r>
      <w:r w:rsidRPr="00A901BD">
        <w:rPr>
          <w:rFonts w:cs="Arial"/>
          <w:sz w:val="16"/>
          <w:szCs w:val="16"/>
          <w:rtl/>
        </w:rPr>
        <w:t xml:space="preserve">בפכ"ב ה"ג) </w:t>
      </w:r>
      <w:r w:rsidRPr="00A901BD">
        <w:rPr>
          <w:rFonts w:cs="Arial"/>
          <w:rtl/>
        </w:rPr>
        <w:t>ו</w:t>
      </w:r>
      <w:r>
        <w:rPr>
          <w:rFonts w:cs="Arial" w:hint="cs"/>
          <w:rtl/>
        </w:rPr>
        <w:t>כ"</w:t>
      </w:r>
      <w:r w:rsidRPr="00A901BD">
        <w:rPr>
          <w:rFonts w:cs="Arial"/>
          <w:rtl/>
        </w:rPr>
        <w:t>כ רבינו</w:t>
      </w:r>
      <w:r>
        <w:rPr>
          <w:rFonts w:cs="Arial" w:hint="cs"/>
          <w:rtl/>
        </w:rPr>
        <w:t>, ב"י</w:t>
      </w:r>
      <w:r w:rsidRPr="00A901BD">
        <w:rPr>
          <w:rFonts w:cs="Arial" w:hint="cs"/>
          <w:rtl/>
        </w:rPr>
        <w:t>.</w:t>
      </w:r>
    </w:p>
  </w:footnote>
  <w:footnote w:id="1778">
    <w:p w14:paraId="08423DD3" w14:textId="77777777" w:rsidR="0013116F" w:rsidRDefault="0013116F" w:rsidP="004B607F">
      <w:pPr>
        <w:pStyle w:val="a9"/>
      </w:pPr>
      <w:r>
        <w:rPr>
          <w:rStyle w:val="ab"/>
        </w:rPr>
        <w:footnoteRef/>
      </w:r>
      <w:r>
        <w:rPr>
          <w:rtl/>
        </w:rPr>
        <w:t xml:space="preserve"> </w:t>
      </w:r>
      <w:r w:rsidRPr="00433A31">
        <w:rPr>
          <w:rFonts w:cs="Arial"/>
          <w:rtl/>
        </w:rPr>
        <w:t>דכיון שהבית דין אינן יודעין איזהו פסול, יד בעל השטר על התחתונה ואמרינן הגדול של מאתים הוא הפסול, לכך מוציאין אותו מידו ושורפין אותו שלא יצא מכשול מתחת ידם לתבוע אותו בו בב"ד אחר. אבל כשמוציא השני אחר שגבה הראשון, חוזר וגובה השני אפילו באותו בית דין כיון דאינם לפנינו בפעם אחת. וגם זהו בכלל כל אחת באה בפני עצמה ומעידה. כן נראה שהיא דעת המחבר ועל פי מה שכתב הרמב"ם [פכ"ב מעדות ה"ד]. ועיין מה שכתבתי עוד מזה בסמוך [סק"ו]</w:t>
      </w:r>
      <w:r>
        <w:rPr>
          <w:rFonts w:cs="Arial" w:hint="cs"/>
          <w:rtl/>
        </w:rPr>
        <w:t>, סמ"ע (סק"ד).</w:t>
      </w:r>
    </w:p>
  </w:footnote>
  <w:footnote w:id="1779">
    <w:p w14:paraId="704A7B5A" w14:textId="77777777" w:rsidR="0013116F" w:rsidRDefault="0013116F" w:rsidP="004B607F">
      <w:pPr>
        <w:pStyle w:val="a9"/>
      </w:pPr>
      <w:r>
        <w:rPr>
          <w:rStyle w:val="ab"/>
        </w:rPr>
        <w:footnoteRef/>
      </w:r>
      <w:r>
        <w:rPr>
          <w:rtl/>
        </w:rPr>
        <w:t xml:space="preserve"> </w:t>
      </w:r>
      <w:r w:rsidRPr="00433A31">
        <w:rPr>
          <w:rFonts w:cs="Arial"/>
          <w:rtl/>
        </w:rPr>
        <w:t>כ"כ הרמב"ם [שם ה"ב] והטור [סעיף ב']. וטעמייהו משום דהו"ל כמודה במקצת, דהיינו המנה שמשלם על פי השטר האחד, דלא תהא גדולה הודאת פיו מהעדאת עדים. ואף על גב דאין כפירה והודאה בשטר מביאה לידי שבועה דאורייתא, וכמ"ש הטור והמחבר לקמן סימן פ"ח [טור סע</w:t>
      </w:r>
      <w:r>
        <w:rPr>
          <w:rFonts w:cs="Arial" w:hint="cs"/>
          <w:rtl/>
        </w:rPr>
        <w:t>'</w:t>
      </w:r>
      <w:r w:rsidRPr="00433A31">
        <w:rPr>
          <w:rFonts w:cs="Arial"/>
          <w:rtl/>
        </w:rPr>
        <w:t xml:space="preserve"> ל ומחבר סע</w:t>
      </w:r>
      <w:r>
        <w:rPr>
          <w:rFonts w:cs="Arial" w:hint="cs"/>
          <w:rtl/>
        </w:rPr>
        <w:t>'</w:t>
      </w:r>
      <w:r w:rsidRPr="00433A31">
        <w:rPr>
          <w:rFonts w:cs="Arial"/>
          <w:rtl/>
        </w:rPr>
        <w:t xml:space="preserve"> כח], הני מילי אשטר שהוא ודאי כשר, משא"כ זה שאינו כשר ודאי, והו"ל כתביעה והודאה דעל פה. אבל הראב"ד [שם] והר"ן [שבועות ל</w:t>
      </w:r>
      <w:r>
        <w:rPr>
          <w:rFonts w:cs="Arial" w:hint="cs"/>
          <w:rtl/>
        </w:rPr>
        <w:t>:</w:t>
      </w:r>
      <w:r w:rsidRPr="00433A31">
        <w:rPr>
          <w:rFonts w:cs="Arial"/>
          <w:rtl/>
        </w:rPr>
        <w:t xml:space="preserve"> מדפ</w:t>
      </w:r>
      <w:r>
        <w:rPr>
          <w:rFonts w:cs="Arial" w:hint="cs"/>
          <w:rtl/>
        </w:rPr>
        <w:t>ה"ר</w:t>
      </w:r>
      <w:r w:rsidRPr="00433A31">
        <w:rPr>
          <w:rFonts w:cs="Arial"/>
          <w:rtl/>
        </w:rPr>
        <w:t>] חולקין וסבירא להו דאינו נשבע אלא היסת</w:t>
      </w:r>
      <w:r>
        <w:rPr>
          <w:rFonts w:cs="Arial" w:hint="cs"/>
          <w:rtl/>
        </w:rPr>
        <w:t>, סמ"ע (סק"ה).</w:t>
      </w:r>
    </w:p>
  </w:footnote>
  <w:footnote w:id="1780">
    <w:p w14:paraId="746B1245" w14:textId="77777777" w:rsidR="0013116F" w:rsidRDefault="0013116F" w:rsidP="004B607F">
      <w:pPr>
        <w:pStyle w:val="a9"/>
      </w:pPr>
      <w:r>
        <w:rPr>
          <w:rStyle w:val="ab"/>
        </w:rPr>
        <w:footnoteRef/>
      </w:r>
      <w:r>
        <w:rPr>
          <w:rtl/>
        </w:rPr>
        <w:t xml:space="preserve"> </w:t>
      </w:r>
      <w:r w:rsidRPr="0022242A">
        <w:rPr>
          <w:rFonts w:cs="Arial"/>
          <w:rtl/>
        </w:rPr>
        <w:t xml:space="preserve">צ"ע למה כתב מור"ם ויש אומרים בלשון פלוגתא אדבר שהוא עצה טובה להתובע, ואפשר לומר דהכל מודים בעצה טובה כזו. ונראה דמה שכתב וי"א כו', הו"ל כאילו כתב וי"א שיכול הלוה להשביעו אם יש לו ב' שטרות. והשתא אתי שפיר דקאי אלשון המחבר דכתב, ואם אח"כ הוציא השטר השני גובה אותו ג"כ, ומדסתם דבריו משמע דס"ל הכי אפילו כשהוציאן בב"ד אחד </w:t>
      </w:r>
      <w:r w:rsidRPr="0022242A">
        <w:rPr>
          <w:rFonts w:cs="Arial" w:hint="cs"/>
          <w:sz w:val="16"/>
          <w:szCs w:val="16"/>
          <w:rtl/>
        </w:rPr>
        <w:t>(</w:t>
      </w:r>
      <w:r w:rsidRPr="0022242A">
        <w:rPr>
          <w:rFonts w:cs="Arial"/>
          <w:sz w:val="16"/>
          <w:szCs w:val="16"/>
          <w:rtl/>
        </w:rPr>
        <w:t>ואע</w:t>
      </w:r>
      <w:r w:rsidRPr="0022242A">
        <w:rPr>
          <w:rFonts w:cs="Arial" w:hint="cs"/>
          <w:sz w:val="16"/>
          <w:szCs w:val="16"/>
          <w:rtl/>
        </w:rPr>
        <w:t>"</w:t>
      </w:r>
      <w:r w:rsidRPr="0022242A">
        <w:rPr>
          <w:rFonts w:cs="Arial"/>
          <w:sz w:val="16"/>
          <w:szCs w:val="16"/>
          <w:rtl/>
        </w:rPr>
        <w:t>פ שהבית דין יודעין שכבר גבה בהראשון תחילה, דהו"ל בכלל כל אחת באה בפני עצמה ומעידה וכמ"ש לעיל [סק"ד]</w:t>
      </w:r>
      <w:r>
        <w:rPr>
          <w:rFonts w:cs="Arial" w:hint="cs"/>
          <w:sz w:val="16"/>
          <w:szCs w:val="16"/>
          <w:rtl/>
        </w:rPr>
        <w:t>)</w:t>
      </w:r>
      <w:r>
        <w:rPr>
          <w:rFonts w:cs="Arial" w:hint="cs"/>
          <w:rtl/>
        </w:rPr>
        <w:t>,</w:t>
      </w:r>
      <w:r w:rsidRPr="0022242A">
        <w:rPr>
          <w:rFonts w:cs="Arial"/>
          <w:rtl/>
        </w:rPr>
        <w:t xml:space="preserve"> ולפ"ז מסתבר לומר, כשבא מתחילה לגבות בהראשון לבד, דאינו יכול הנתבע אפילו להשביעו אם אין בידו שטר אחר מאלו, והוא גם כן בכלל </w:t>
      </w:r>
      <w:r>
        <w:rPr>
          <w:rFonts w:cs="Arial" w:hint="cs"/>
          <w:rtl/>
        </w:rPr>
        <w:t>'</w:t>
      </w:r>
      <w:r w:rsidRPr="0022242A">
        <w:rPr>
          <w:rFonts w:cs="Arial"/>
          <w:rtl/>
        </w:rPr>
        <w:t>זו באה בפני עצמה ומעידה</w:t>
      </w:r>
      <w:r>
        <w:rPr>
          <w:rFonts w:cs="Arial" w:hint="cs"/>
          <w:rtl/>
        </w:rPr>
        <w:t>...'</w:t>
      </w:r>
      <w:r w:rsidRPr="0022242A">
        <w:rPr>
          <w:rFonts w:cs="Arial"/>
          <w:rtl/>
        </w:rPr>
        <w:t>, דאי ס</w:t>
      </w:r>
      <w:r>
        <w:rPr>
          <w:rFonts w:cs="Arial" w:hint="cs"/>
          <w:rtl/>
        </w:rPr>
        <w:t>"</w:t>
      </w:r>
      <w:r w:rsidRPr="0022242A">
        <w:rPr>
          <w:rFonts w:cs="Arial"/>
          <w:rtl/>
        </w:rPr>
        <w:t>ל להרמב"ם [שם ה"ד] דהנתבע יכול להשביעו מתחילה, א</w:t>
      </w:r>
      <w:r>
        <w:rPr>
          <w:rFonts w:cs="Arial" w:hint="cs"/>
          <w:rtl/>
        </w:rPr>
        <w:t>"</w:t>
      </w:r>
      <w:r w:rsidRPr="0022242A">
        <w:rPr>
          <w:rFonts w:cs="Arial"/>
          <w:rtl/>
        </w:rPr>
        <w:t>כ איך יגבהו הב</w:t>
      </w:r>
      <w:r>
        <w:rPr>
          <w:rFonts w:cs="Arial" w:hint="cs"/>
          <w:rtl/>
        </w:rPr>
        <w:t>"ד</w:t>
      </w:r>
      <w:r w:rsidRPr="0022242A">
        <w:rPr>
          <w:rFonts w:cs="Arial"/>
          <w:rtl/>
        </w:rPr>
        <w:t xml:space="preserve"> אפילו בלא טענת הנתבע מאחר שהן יודעין שכבר גבה בהראשון, והלוה עכ"פ טוען שאינו חייב לו כלום, ואף שכבר נגבה הראשון ואינו, מ"מ כל שהוא בבית דין אחד והמלוה אחד והלוה אחד, הוה ליה כאילו הוציאן יחד. ועל זה כתב מור"ם דיש חולקין ואומרים דיכול הלוה להשביעו כו', ומשום הכי טוב לו שישרוף תחילה הקטן</w:t>
      </w:r>
      <w:r>
        <w:rPr>
          <w:rFonts w:cs="Arial" w:hint="cs"/>
          <w:rtl/>
        </w:rPr>
        <w:t>, סמ"ע (סק"ו).</w:t>
      </w:r>
    </w:p>
  </w:footnote>
  <w:footnote w:id="1781">
    <w:p w14:paraId="4AA8D488" w14:textId="77777777" w:rsidR="0013116F" w:rsidRDefault="0013116F" w:rsidP="004B607F">
      <w:pPr>
        <w:pStyle w:val="a9"/>
        <w:rPr>
          <w:rtl/>
        </w:rPr>
      </w:pPr>
      <w:r>
        <w:rPr>
          <w:rStyle w:val="ab"/>
        </w:rPr>
        <w:footnoteRef/>
      </w:r>
      <w:r>
        <w:rPr>
          <w:rtl/>
        </w:rPr>
        <w:t xml:space="preserve"> </w:t>
      </w:r>
      <w:r w:rsidRPr="0022242A">
        <w:rPr>
          <w:rFonts w:cs="Arial"/>
          <w:rtl/>
        </w:rPr>
        <w:t>אבל כששרפו אין שייך לומר שישביעוהו אם שרף שטר אחד, דהא אף אם מודה שהיה לו שטר אחר ושרפו יכול לגבות השני שמוציא עכשיו, מאחר שלא יוכל לבוא לידי גביית ב' השטרות, והוי כאילו לא היה רק אחד והוא כשר. כ"כ בד"מ [סעיף ב'], לאפוקי ב"י</w:t>
      </w:r>
      <w:r>
        <w:rPr>
          <w:rFonts w:hint="cs"/>
          <w:rtl/>
        </w:rPr>
        <w:t>, סמ"ע (סק"ח).</w:t>
      </w:r>
    </w:p>
  </w:footnote>
  <w:footnote w:id="1782">
    <w:p w14:paraId="49EE3BCC" w14:textId="77777777" w:rsidR="0013116F" w:rsidRDefault="0013116F" w:rsidP="004B607F">
      <w:pPr>
        <w:pStyle w:val="a9"/>
      </w:pPr>
      <w:r>
        <w:rPr>
          <w:rStyle w:val="ab"/>
        </w:rPr>
        <w:footnoteRef/>
      </w:r>
      <w:r>
        <w:rPr>
          <w:rtl/>
        </w:rPr>
        <w:t xml:space="preserve"> </w:t>
      </w:r>
      <w:r>
        <w:rPr>
          <w:rFonts w:hint="cs"/>
          <w:rtl/>
        </w:rPr>
        <w:t>ממהדורת הסמ"ע.</w:t>
      </w:r>
    </w:p>
  </w:footnote>
  <w:footnote w:id="1783">
    <w:p w14:paraId="5378EB82" w14:textId="77777777" w:rsidR="0013116F" w:rsidRDefault="0013116F" w:rsidP="004B607F">
      <w:pPr>
        <w:pStyle w:val="a9"/>
      </w:pPr>
      <w:r>
        <w:rPr>
          <w:rStyle w:val="ab"/>
        </w:rPr>
        <w:footnoteRef/>
      </w:r>
      <w:r>
        <w:rPr>
          <w:rtl/>
        </w:rPr>
        <w:t xml:space="preserve"> </w:t>
      </w:r>
      <w:r w:rsidRPr="0022242A">
        <w:rPr>
          <w:rFonts w:cs="Arial"/>
          <w:rtl/>
        </w:rPr>
        <w:t>פירוש, כל אחד נשבע שבועה בנקיטת חפץ שחייב לו ונוטל, ואף על פי שהאחד מוציא ממנו בשטר פסול, מ"מ דינייהו של אלו הב' מלוים כדין חנוני ופועלים שיתבאר לקמן בטור ובדברי המחבר בסימן צ"א [סעיף א'] דשניהן נשבעין ונוטלין, אף על פי שגם שם האחד ודאי משקר</w:t>
      </w:r>
      <w:r>
        <w:rPr>
          <w:rFonts w:cs="Arial" w:hint="cs"/>
          <w:rtl/>
        </w:rPr>
        <w:t>, סמ"ע (סק"ט).</w:t>
      </w:r>
    </w:p>
  </w:footnote>
  <w:footnote w:id="1784">
    <w:p w14:paraId="60EFB15E" w14:textId="77777777" w:rsidR="0013116F" w:rsidRDefault="0013116F" w:rsidP="004B607F">
      <w:pPr>
        <w:pStyle w:val="a9"/>
      </w:pPr>
      <w:r>
        <w:rPr>
          <w:rStyle w:val="ab"/>
        </w:rPr>
        <w:footnoteRef/>
      </w:r>
      <w:r>
        <w:rPr>
          <w:rtl/>
        </w:rPr>
        <w:t xml:space="preserve"> </w:t>
      </w:r>
      <w:r w:rsidRPr="0022242A">
        <w:rPr>
          <w:rFonts w:cs="Arial"/>
          <w:rtl/>
        </w:rPr>
        <w:t>היינו טעמא, דכיון דכת אחת מהן פסולה, שטר שחתומין עליו שיש בו נאמנות ג"כ פסול, אלא שקי"ל שבב' מלוין כל אחד יכול להוציא בשטרו, מ"מ אין הולכין אחר הנאמנות</w:t>
      </w:r>
      <w:r>
        <w:rPr>
          <w:rFonts w:cs="Arial" w:hint="cs"/>
          <w:rtl/>
        </w:rPr>
        <w:t>, סמ"ע (סק"י).</w:t>
      </w:r>
    </w:p>
  </w:footnote>
  <w:footnote w:id="1785">
    <w:p w14:paraId="66744680" w14:textId="77777777" w:rsidR="0013116F" w:rsidRDefault="0013116F" w:rsidP="004B607F">
      <w:pPr>
        <w:pStyle w:val="a9"/>
      </w:pPr>
      <w:r>
        <w:rPr>
          <w:rStyle w:val="ab"/>
        </w:rPr>
        <w:footnoteRef/>
      </w:r>
      <w:r>
        <w:rPr>
          <w:rtl/>
        </w:rPr>
        <w:t xml:space="preserve"> </w:t>
      </w:r>
      <w:r>
        <w:rPr>
          <w:rFonts w:hint="cs"/>
          <w:rtl/>
        </w:rPr>
        <w:t xml:space="preserve">סימן </w:t>
      </w:r>
      <w:r>
        <w:rPr>
          <w:rtl/>
        </w:rPr>
        <w:t>–</w:t>
      </w:r>
      <w:r>
        <w:rPr>
          <w:rFonts w:hint="cs"/>
          <w:rtl/>
        </w:rPr>
        <w:t xml:space="preserve"> מכחישות זו</w:t>
      </w:r>
      <w:r>
        <w:rPr>
          <w:rFonts w:hint="cs"/>
          <w:sz w:val="16"/>
          <w:szCs w:val="16"/>
          <w:rtl/>
        </w:rPr>
        <w:t xml:space="preserve"> (את זו)</w:t>
      </w:r>
      <w:r>
        <w:rPr>
          <w:rFonts w:hint="cs"/>
          <w:rtl/>
        </w:rPr>
        <w:t>.</w:t>
      </w:r>
    </w:p>
  </w:footnote>
  <w:footnote w:id="1786">
    <w:p w14:paraId="15C19729" w14:textId="77777777" w:rsidR="0013116F" w:rsidRDefault="0013116F" w:rsidP="004B607F">
      <w:pPr>
        <w:pStyle w:val="a9"/>
        <w:rPr>
          <w:rtl/>
        </w:rPr>
      </w:pPr>
      <w:r>
        <w:rPr>
          <w:rStyle w:val="ab"/>
        </w:rPr>
        <w:footnoteRef/>
      </w:r>
      <w:r>
        <w:rPr>
          <w:rtl/>
        </w:rPr>
        <w:t xml:space="preserve"> </w:t>
      </w:r>
      <w:r w:rsidRPr="00C0078B">
        <w:rPr>
          <w:rFonts w:cs="Arial"/>
          <w:rtl/>
        </w:rPr>
        <w:t>הוציא מלוה זה שני שטרות זו חתומה בזה וזו חתומה בזה</w:t>
      </w:r>
      <w:r>
        <w:rPr>
          <w:rFonts w:cs="Arial" w:hint="cs"/>
          <w:rtl/>
        </w:rPr>
        <w:t>, רש"י</w:t>
      </w:r>
      <w:r w:rsidRPr="00C0078B">
        <w:rPr>
          <w:rFonts w:cs="Arial"/>
          <w:rtl/>
        </w:rPr>
        <w:t>.</w:t>
      </w:r>
    </w:p>
  </w:footnote>
  <w:footnote w:id="1787">
    <w:p w14:paraId="3ED0C0A2" w14:textId="77777777" w:rsidR="0013116F" w:rsidRDefault="0013116F" w:rsidP="004B607F">
      <w:pPr>
        <w:pStyle w:val="a9"/>
        <w:rPr>
          <w:rtl/>
        </w:rPr>
      </w:pPr>
      <w:r>
        <w:rPr>
          <w:rStyle w:val="ab"/>
        </w:rPr>
        <w:footnoteRef/>
      </w:r>
      <w:r>
        <w:rPr>
          <w:rtl/>
        </w:rPr>
        <w:t xml:space="preserve"> </w:t>
      </w:r>
      <w:r>
        <w:rPr>
          <w:rFonts w:cs="Arial" w:hint="cs"/>
          <w:rtl/>
        </w:rPr>
        <w:t xml:space="preserve">מאי </w:t>
      </w:r>
      <w:r w:rsidRPr="00C0078B">
        <w:rPr>
          <w:rFonts w:cs="Arial"/>
          <w:rtl/>
        </w:rPr>
        <w:t>אמר רב הונא בזה</w:t>
      </w:r>
      <w:r>
        <w:rPr>
          <w:rFonts w:cs="Arial" w:hint="cs"/>
          <w:rtl/>
        </w:rPr>
        <w:t>,</w:t>
      </w:r>
      <w:r w:rsidRPr="00C0078B">
        <w:rPr>
          <w:rFonts w:cs="Arial"/>
          <w:rtl/>
        </w:rPr>
        <w:t xml:space="preserve"> מי אמרינן כיון דחד גברא הוא דמייתי להו לקמן לא מזדקקינן ליה דמה נפשך בשטר פסול בא לפנינו</w:t>
      </w:r>
      <w:r>
        <w:rPr>
          <w:rFonts w:cs="Arial" w:hint="cs"/>
          <w:rtl/>
        </w:rPr>
        <w:t>,</w:t>
      </w:r>
      <w:r w:rsidRPr="00C0078B">
        <w:rPr>
          <w:rFonts w:cs="Arial"/>
          <w:rtl/>
        </w:rPr>
        <w:t xml:space="preserve"> זה דוחה אצל זה וזה אצל זה ויפסיד</w:t>
      </w:r>
      <w:r>
        <w:rPr>
          <w:rFonts w:cs="Arial" w:hint="cs"/>
          <w:rtl/>
        </w:rPr>
        <w:t>,</w:t>
      </w:r>
      <w:r w:rsidRPr="00C0078B">
        <w:rPr>
          <w:rFonts w:cs="Arial"/>
          <w:rtl/>
        </w:rPr>
        <w:t xml:space="preserve"> או דלמא כיון דעל שני לווין הוא מוציא</w:t>
      </w:r>
      <w:r>
        <w:rPr>
          <w:rFonts w:cs="Arial" w:hint="cs"/>
          <w:rtl/>
        </w:rPr>
        <w:t>,</w:t>
      </w:r>
      <w:r w:rsidRPr="00C0078B">
        <w:rPr>
          <w:rFonts w:cs="Arial"/>
          <w:rtl/>
        </w:rPr>
        <w:t xml:space="preserve"> זו באה ומעידה וזו באה ומעידה</w:t>
      </w:r>
      <w:r>
        <w:rPr>
          <w:rFonts w:cs="Arial" w:hint="cs"/>
          <w:rtl/>
        </w:rPr>
        <w:t>?.</w:t>
      </w:r>
      <w:r w:rsidRPr="00C0078B">
        <w:rPr>
          <w:rFonts w:cs="Arial"/>
          <w:rtl/>
        </w:rPr>
        <w:t xml:space="preserve"> לרב חסדא לא מיבעיא ליה דהא אפי' בשני מלוין ושני לווין ושני שטרות פסול וכל שכן בשני לווין ומלוה אחד</w:t>
      </w:r>
      <w:r>
        <w:rPr>
          <w:rFonts w:cs="Arial" w:hint="cs"/>
          <w:rtl/>
        </w:rPr>
        <w:t>, רש"י</w:t>
      </w:r>
      <w:r w:rsidRPr="00C0078B">
        <w:rPr>
          <w:rFonts w:cs="Arial"/>
          <w:rtl/>
        </w:rPr>
        <w:t>.</w:t>
      </w:r>
    </w:p>
  </w:footnote>
  <w:footnote w:id="1788">
    <w:p w14:paraId="697ADE4A" w14:textId="77777777" w:rsidR="0013116F" w:rsidRDefault="0013116F" w:rsidP="004B607F">
      <w:pPr>
        <w:pStyle w:val="a9"/>
      </w:pPr>
      <w:r>
        <w:rPr>
          <w:rStyle w:val="ab"/>
        </w:rPr>
        <w:footnoteRef/>
      </w:r>
      <w:r>
        <w:rPr>
          <w:rtl/>
        </w:rPr>
        <w:t xml:space="preserve"> </w:t>
      </w:r>
      <w:r>
        <w:rPr>
          <w:rFonts w:cs="Arial"/>
          <w:rtl/>
        </w:rPr>
        <w:t>פשוט הוא דהא שטר אין כאן דליגבי ממשעבדי דהא דילמא שטרות פסולים הם שאם זה מכחיש אינו גובה בהם כלום</w:t>
      </w:r>
      <w:r>
        <w:rPr>
          <w:rFonts w:cs="Arial" w:hint="cs"/>
          <w:rtl/>
        </w:rPr>
        <w:t>, ב"י.</w:t>
      </w:r>
    </w:p>
  </w:footnote>
  <w:footnote w:id="1789">
    <w:p w14:paraId="29AEBC1D" w14:textId="77777777" w:rsidR="0013116F" w:rsidRDefault="0013116F" w:rsidP="004B607F">
      <w:pPr>
        <w:pStyle w:val="a9"/>
        <w:rPr>
          <w:rtl/>
        </w:rPr>
      </w:pPr>
      <w:r>
        <w:rPr>
          <w:rStyle w:val="ab"/>
        </w:rPr>
        <w:footnoteRef/>
      </w:r>
      <w:r>
        <w:rPr>
          <w:rtl/>
        </w:rPr>
        <w:t xml:space="preserve"> </w:t>
      </w:r>
      <w:r>
        <w:rPr>
          <w:rFonts w:hint="cs"/>
          <w:rtl/>
        </w:rPr>
        <w:t>וכתב הב"י ד</w:t>
      </w:r>
      <w:r w:rsidRPr="00195871">
        <w:rPr>
          <w:rFonts w:cs="Arial"/>
          <w:rtl/>
        </w:rPr>
        <w:t>לא שבקינן כל הנך רבוותא מקמיה</w:t>
      </w:r>
      <w:r>
        <w:rPr>
          <w:rFonts w:cs="Arial" w:hint="cs"/>
          <w:rtl/>
        </w:rPr>
        <w:t>.</w:t>
      </w:r>
    </w:p>
  </w:footnote>
  <w:footnote w:id="1790">
    <w:p w14:paraId="2F736859" w14:textId="77777777" w:rsidR="0013116F" w:rsidRDefault="0013116F" w:rsidP="004B607F">
      <w:pPr>
        <w:pStyle w:val="a9"/>
      </w:pPr>
      <w:r>
        <w:rPr>
          <w:rStyle w:val="ab"/>
        </w:rPr>
        <w:footnoteRef/>
      </w:r>
      <w:r>
        <w:rPr>
          <w:rtl/>
        </w:rPr>
        <w:t xml:space="preserve"> </w:t>
      </w:r>
      <w:r w:rsidRPr="00BC1E5F">
        <w:rPr>
          <w:rFonts w:cs="Arial"/>
          <w:rtl/>
        </w:rPr>
        <w:t>טעמו, כיון דהבית דין רואין ביד מלוה אחד ביחד אלו שני השטרות שחד מינייהו פסול, וכל אחד טוען ברי שאינו חייב ושטר שהוציאו עליו הוא פסול</w:t>
      </w:r>
      <w:r>
        <w:rPr>
          <w:rFonts w:cs="Arial" w:hint="cs"/>
          <w:rtl/>
        </w:rPr>
        <w:t>, סמ"ע (סקי"א).</w:t>
      </w:r>
    </w:p>
  </w:footnote>
  <w:footnote w:id="1791">
    <w:p w14:paraId="7976E091" w14:textId="77777777" w:rsidR="0013116F" w:rsidRDefault="0013116F" w:rsidP="004B607F">
      <w:pPr>
        <w:pStyle w:val="a9"/>
      </w:pPr>
      <w:r>
        <w:rPr>
          <w:rStyle w:val="ab"/>
        </w:rPr>
        <w:footnoteRef/>
      </w:r>
      <w:r>
        <w:rPr>
          <w:rtl/>
        </w:rPr>
        <w:t xml:space="preserve"> </w:t>
      </w:r>
      <w:r w:rsidRPr="00BC1E5F">
        <w:rPr>
          <w:rFonts w:cs="Arial"/>
          <w:rtl/>
        </w:rPr>
        <w:t>פירוש, ולא ממשעבדי. והיינו טעמא, כיון דאין תורת שטר עליו, שהרי אם כפר לא היה יכול לגבות ממנו, אין נאמן בהודאתו לחוב לאחרים דחיישינן לקנוניא כמ"ש לקמן בסימן ע"א [סעיף כ"א]</w:t>
      </w:r>
      <w:r>
        <w:rPr>
          <w:rFonts w:cs="Arial" w:hint="cs"/>
          <w:rtl/>
        </w:rPr>
        <w:t>, סמ"ע (סקי"ב).</w:t>
      </w:r>
    </w:p>
  </w:footnote>
  <w:footnote w:id="1792">
    <w:p w14:paraId="60920A64" w14:textId="77777777" w:rsidR="0013116F" w:rsidRDefault="0013116F" w:rsidP="004B607F">
      <w:pPr>
        <w:pStyle w:val="a9"/>
        <w:rPr>
          <w:rtl/>
        </w:rPr>
      </w:pPr>
      <w:r>
        <w:rPr>
          <w:rStyle w:val="ab"/>
        </w:rPr>
        <w:footnoteRef/>
      </w:r>
      <w:r>
        <w:rPr>
          <w:rtl/>
        </w:rPr>
        <w:t xml:space="preserve"> </w:t>
      </w:r>
      <w:r w:rsidRPr="00BC1E5F">
        <w:rPr>
          <w:rFonts w:cs="Arial"/>
          <w:rtl/>
        </w:rPr>
        <w:t>נראה דאפילו להיש אומרים דכתב מור"ם לעיל סעיף ב' בהג"ה, מודה בהא דאפילו בבית דין אחד יכול לגבות שניהן בזה אחר זה כיון שהן שני לווין, משא"כ לעיל דמיירי בלוה אחד. ומשום הכי נמי כתב לשון ואח"כ מוציא השטר, דמשמע דהדין נותן דיעשה כן לכתחילה</w:t>
      </w:r>
      <w:r>
        <w:rPr>
          <w:rFonts w:hint="cs"/>
          <w:rtl/>
        </w:rPr>
        <w:t>, סמ"ע (סקי"ג).</w:t>
      </w:r>
    </w:p>
  </w:footnote>
  <w:footnote w:id="1793">
    <w:p w14:paraId="5DA597EF" w14:textId="77777777" w:rsidR="0013116F" w:rsidRDefault="0013116F" w:rsidP="004B607F">
      <w:pPr>
        <w:pStyle w:val="a9"/>
        <w:rPr>
          <w:rtl/>
        </w:rPr>
      </w:pPr>
      <w:r>
        <w:rPr>
          <w:rStyle w:val="ab"/>
        </w:rPr>
        <w:footnoteRef/>
      </w:r>
      <w:r>
        <w:rPr>
          <w:rtl/>
        </w:rPr>
        <w:t xml:space="preserve"> </w:t>
      </w:r>
      <w:r>
        <w:rPr>
          <w:rFonts w:hint="cs"/>
          <w:rtl/>
        </w:rPr>
        <w:t xml:space="preserve">סימן </w:t>
      </w:r>
      <w:r>
        <w:rPr>
          <w:rtl/>
        </w:rPr>
        <w:t>–</w:t>
      </w:r>
      <w:r>
        <w:rPr>
          <w:rFonts w:hint="cs"/>
          <w:rtl/>
        </w:rPr>
        <w:t xml:space="preserve"> היא הוחזקה, העדים הוכשרו.</w:t>
      </w:r>
    </w:p>
  </w:footnote>
  <w:footnote w:id="1794">
    <w:p w14:paraId="34C2A476" w14:textId="77777777" w:rsidR="0013116F" w:rsidRDefault="0013116F" w:rsidP="004B607F">
      <w:pPr>
        <w:pStyle w:val="a9"/>
        <w:rPr>
          <w:rtl/>
        </w:rPr>
      </w:pPr>
      <w:r>
        <w:rPr>
          <w:rStyle w:val="ab"/>
        </w:rPr>
        <w:footnoteRef/>
      </w:r>
      <w:r>
        <w:rPr>
          <w:rtl/>
        </w:rPr>
        <w:t xml:space="preserve"> </w:t>
      </w:r>
      <w:r>
        <w:rPr>
          <w:rFonts w:hint="cs"/>
          <w:rtl/>
        </w:rPr>
        <w:t xml:space="preserve">סימן </w:t>
      </w:r>
      <w:r>
        <w:rPr>
          <w:rtl/>
        </w:rPr>
        <w:t>–</w:t>
      </w:r>
      <w:r>
        <w:rPr>
          <w:rFonts w:hint="cs"/>
          <w:rtl/>
        </w:rPr>
        <w:t xml:space="preserve"> ליקט/ליבעי לאייר וויטנס </w:t>
      </w:r>
      <w:r>
        <w:rPr>
          <w:sz w:val="16"/>
          <w:szCs w:val="16"/>
        </w:rPr>
        <w:t>(liar witnesses)</w:t>
      </w:r>
      <w:r>
        <w:rPr>
          <w:rFonts w:hint="cs"/>
          <w:rtl/>
        </w:rPr>
        <w:t>.</w:t>
      </w:r>
    </w:p>
  </w:footnote>
  <w:footnote w:id="1795">
    <w:p w14:paraId="2A2C0747" w14:textId="77777777" w:rsidR="0013116F" w:rsidRDefault="0013116F" w:rsidP="004B607F">
      <w:pPr>
        <w:pStyle w:val="a9"/>
      </w:pPr>
      <w:r>
        <w:rPr>
          <w:rStyle w:val="ab"/>
        </w:rPr>
        <w:footnoteRef/>
      </w:r>
      <w:r>
        <w:rPr>
          <w:rtl/>
        </w:rPr>
        <w:t xml:space="preserve"> </w:t>
      </w:r>
      <w:r w:rsidRPr="001517EA">
        <w:rPr>
          <w:rFonts w:cs="Arial"/>
          <w:rtl/>
        </w:rPr>
        <w:t>והוא מימרא דרב פפא פרק אלו נערות (כתובות לו:)</w:t>
      </w:r>
      <w:r>
        <w:rPr>
          <w:rFonts w:cs="Arial" w:hint="cs"/>
          <w:rtl/>
        </w:rPr>
        <w:t>...</w:t>
      </w:r>
      <w:r w:rsidRPr="00D512FC">
        <w:rPr>
          <w:rFonts w:cs="Arial"/>
          <w:rtl/>
        </w:rPr>
        <w:t xml:space="preserve"> </w:t>
      </w:r>
      <w:r w:rsidRPr="001517EA">
        <w:rPr>
          <w:rFonts w:cs="Arial"/>
          <w:rtl/>
        </w:rPr>
        <w:t>ועיין שם בהר"ן ז"ל (יג:)</w:t>
      </w:r>
      <w:r>
        <w:rPr>
          <w:rFonts w:cs="Arial" w:hint="cs"/>
          <w:rtl/>
        </w:rPr>
        <w:t>, ב"י.</w:t>
      </w:r>
    </w:p>
  </w:footnote>
  <w:footnote w:id="1796">
    <w:p w14:paraId="76200269" w14:textId="77777777" w:rsidR="0013116F" w:rsidRDefault="0013116F" w:rsidP="004B607F">
      <w:pPr>
        <w:pStyle w:val="a9"/>
      </w:pPr>
      <w:r>
        <w:rPr>
          <w:rStyle w:val="ab"/>
        </w:rPr>
        <w:footnoteRef/>
      </w:r>
      <w:r>
        <w:rPr>
          <w:rtl/>
        </w:rPr>
        <w:t xml:space="preserve"> </w:t>
      </w:r>
      <w:r>
        <w:rPr>
          <w:rFonts w:hint="cs"/>
          <w:rtl/>
        </w:rPr>
        <w:t xml:space="preserve">סימן </w:t>
      </w:r>
      <w:r>
        <w:rPr>
          <w:rtl/>
        </w:rPr>
        <w:t>–</w:t>
      </w:r>
      <w:r>
        <w:rPr>
          <w:rFonts w:hint="cs"/>
          <w:rtl/>
        </w:rPr>
        <w:t xml:space="preserve"> לא אשקר אפילו לך.</w:t>
      </w:r>
    </w:p>
  </w:footnote>
  <w:footnote w:id="1797">
    <w:p w14:paraId="45096B42" w14:textId="77777777" w:rsidR="0013116F" w:rsidRPr="0068323C" w:rsidRDefault="0013116F" w:rsidP="004B607F">
      <w:pPr>
        <w:pStyle w:val="a9"/>
        <w:rPr>
          <w:color w:val="000000" w:themeColor="text1"/>
        </w:rPr>
      </w:pPr>
      <w:r w:rsidRPr="0068323C">
        <w:rPr>
          <w:rStyle w:val="ab"/>
          <w:color w:val="000000" w:themeColor="text1"/>
        </w:rPr>
        <w:footnoteRef/>
      </w:r>
      <w:r w:rsidRPr="0068323C">
        <w:rPr>
          <w:color w:val="000000" w:themeColor="text1"/>
          <w:rtl/>
        </w:rPr>
        <w:t xml:space="preserve"> </w:t>
      </w:r>
      <w:r w:rsidRPr="0068323C">
        <w:rPr>
          <w:rFonts w:hint="cs"/>
          <w:color w:val="000000" w:themeColor="text1"/>
          <w:rtl/>
        </w:rPr>
        <w:t>הב"י לא ציין מקור לדברי הרמב"ם הללו. ונחלקו המפרשים על הרמב"ם מאין הוציא דבריו. הכס"מ ציין לגמרא בסנהדרין דף לז ע"א, הרדב"ז ציין לגמרא בשבועות לא ע"א, והלח"מ ציין לגמרא בשבועות דף לג ע"ב</w:t>
      </w:r>
      <w:r w:rsidRPr="0068323C">
        <w:rPr>
          <w:color w:val="000000" w:themeColor="text1"/>
          <w:rtl/>
        </w:rPr>
        <w:t xml:space="preserve"> </w:t>
      </w:r>
      <w:r w:rsidRPr="0068323C">
        <w:rPr>
          <w:rFonts w:cs="Arial" w:hint="cs"/>
          <w:color w:val="000000" w:themeColor="text1"/>
          <w:rtl/>
        </w:rPr>
        <w:t>(</w:t>
      </w:r>
      <w:r w:rsidRPr="0068323C">
        <w:rPr>
          <w:rFonts w:cs="Arial"/>
          <w:color w:val="000000" w:themeColor="text1"/>
          <w:rtl/>
        </w:rPr>
        <w:t>ת"ר מנין שאין הכתוב מדבר אלא בתביעת ממון</w:t>
      </w:r>
      <w:r w:rsidRPr="0068323C">
        <w:rPr>
          <w:rFonts w:cs="Arial" w:hint="cs"/>
          <w:color w:val="000000" w:themeColor="text1"/>
          <w:rtl/>
        </w:rPr>
        <w:t>... ריה"ג אומר... זו היא ידיעה בלא ראיה)</w:t>
      </w:r>
      <w:r>
        <w:rPr>
          <w:rFonts w:cs="Arial" w:hint="cs"/>
          <w:color w:val="000000" w:themeColor="text1"/>
          <w:rtl/>
        </w:rPr>
        <w:t>.</w:t>
      </w:r>
    </w:p>
  </w:footnote>
  <w:footnote w:id="1798">
    <w:p w14:paraId="15649939" w14:textId="77777777" w:rsidR="0013116F" w:rsidRDefault="0013116F" w:rsidP="004B607F">
      <w:pPr>
        <w:pStyle w:val="a9"/>
      </w:pPr>
      <w:r>
        <w:rPr>
          <w:rStyle w:val="ab"/>
        </w:rPr>
        <w:footnoteRef/>
      </w:r>
      <w:r>
        <w:rPr>
          <w:rtl/>
        </w:rPr>
        <w:t xml:space="preserve"> </w:t>
      </w:r>
      <w:r w:rsidRPr="006248D1">
        <w:rPr>
          <w:rFonts w:cs="Arial"/>
          <w:rtl/>
        </w:rPr>
        <w:t xml:space="preserve">כן הוא ג"כ לשון הטור </w:t>
      </w:r>
      <w:r>
        <w:rPr>
          <w:rFonts w:cs="Arial" w:hint="cs"/>
          <w:rtl/>
        </w:rPr>
        <w:t>'</w:t>
      </w:r>
      <w:r w:rsidRPr="006248D1">
        <w:rPr>
          <w:rFonts w:cs="Arial"/>
          <w:rtl/>
        </w:rPr>
        <w:t>והוכחשו</w:t>
      </w:r>
      <w:r>
        <w:rPr>
          <w:rFonts w:cs="Arial" w:hint="cs"/>
          <w:rtl/>
        </w:rPr>
        <w:t>'</w:t>
      </w:r>
      <w:r w:rsidRPr="006248D1">
        <w:rPr>
          <w:rFonts w:cs="Arial"/>
          <w:rtl/>
        </w:rPr>
        <w:t>, ושינה מלשון הרמב"ם [</w:t>
      </w:r>
      <w:r>
        <w:rPr>
          <w:rFonts w:cs="Arial" w:hint="cs"/>
          <w:rtl/>
        </w:rPr>
        <w:t>שם</w:t>
      </w:r>
      <w:r w:rsidRPr="006248D1">
        <w:rPr>
          <w:rFonts w:cs="Arial"/>
          <w:rtl/>
        </w:rPr>
        <w:t>] דכתב והוזמו, משום דהזמה אינה שכיחא כל כך</w:t>
      </w:r>
      <w:r>
        <w:rPr>
          <w:rFonts w:cs="Arial" w:hint="cs"/>
          <w:rtl/>
        </w:rPr>
        <w:t>, סמ"ע (סקי"ד).</w:t>
      </w:r>
    </w:p>
  </w:footnote>
  <w:footnote w:id="1799">
    <w:p w14:paraId="4F56D5CE" w14:textId="77777777" w:rsidR="0013116F" w:rsidRDefault="0013116F" w:rsidP="004B607F">
      <w:pPr>
        <w:pStyle w:val="a9"/>
      </w:pPr>
      <w:r>
        <w:rPr>
          <w:rStyle w:val="ab"/>
        </w:rPr>
        <w:footnoteRef/>
      </w:r>
      <w:r>
        <w:rPr>
          <w:rtl/>
        </w:rPr>
        <w:t xml:space="preserve"> </w:t>
      </w:r>
      <w:r w:rsidRPr="006248D1">
        <w:rPr>
          <w:rFonts w:cs="Arial"/>
          <w:rtl/>
        </w:rPr>
        <w:t>בב"י לקמן סימן ס"ג [סעיף א'] פירש</w:t>
      </w:r>
      <w:r>
        <w:rPr>
          <w:rFonts w:cs="Arial" w:hint="cs"/>
          <w:rtl/>
        </w:rPr>
        <w:t xml:space="preserve"> את דברי הרמב"ם</w:t>
      </w:r>
      <w:r w:rsidRPr="006248D1">
        <w:rPr>
          <w:rFonts w:cs="Arial"/>
          <w:rtl/>
        </w:rPr>
        <w:t>, דהיינו שכתב ידם יוצא ממקום אחר, דאל"כ כיון שאין זוכרין ההלואה אין עדותן עדות כמ"ש הרמב"ם בפ"ח מהלכות עדות [ה"א], ונתבאר לקמן סימן מ"ו סעיף י', עכ"ל. ולא נהירא, דמה בכך שכתב ידם יוצא ממקום אחר, כיון דאנן לא מקיימי שטר זה משום שטר אחר. עוד כתב הב"י בכס</w:t>
      </w:r>
      <w:r>
        <w:rPr>
          <w:rFonts w:cs="Arial" w:hint="cs"/>
          <w:rtl/>
        </w:rPr>
        <w:t>"מ</w:t>
      </w:r>
      <w:r w:rsidRPr="006248D1">
        <w:rPr>
          <w:rFonts w:cs="Arial"/>
          <w:rtl/>
        </w:rPr>
        <w:t xml:space="preserve"> [פכ"ב מעדות ה"ה] פירוש אחר, דמיירי שזוכרין ההלואה, אלא דאשמועינן דאי לאו שזכרו ההלואה הוי חיישינן דילמא העדים טועים בעצמם וסוברים שהוא חתימתן ולא ליהוי אלא מלוה על פה, אבל כל שזוכרין ההלואה רגלים לדבר דקושטא הוא והוי מלוה בשטר. וכ</w:t>
      </w:r>
      <w:r>
        <w:rPr>
          <w:rFonts w:cs="Arial" w:hint="cs"/>
          <w:rtl/>
        </w:rPr>
        <w:t>ה"ג</w:t>
      </w:r>
      <w:r w:rsidRPr="006248D1">
        <w:rPr>
          <w:rFonts w:cs="Arial"/>
          <w:rtl/>
        </w:rPr>
        <w:t xml:space="preserve"> פירש בב"י לקמן סימן ס"ג דברי הרמ"ה. וגם זה לא נהירא, דאם איתא שיש חשש שהם טועין מאי מהניא כשזוכרין ההלואה לעשותו מלוה בשטר. אלא נראה דהרמב"ם ס</w:t>
      </w:r>
      <w:r>
        <w:rPr>
          <w:rFonts w:cs="Arial" w:hint="cs"/>
          <w:rtl/>
        </w:rPr>
        <w:t>"</w:t>
      </w:r>
      <w:r w:rsidRPr="006248D1">
        <w:rPr>
          <w:rFonts w:cs="Arial"/>
          <w:rtl/>
        </w:rPr>
        <w:t>ל כשהעדים עצמם מכירים חתימת ידם לא חיישינן שהם טועים. וכן משמע בר"ן פרק אלו נערות [כתובות יג</w:t>
      </w:r>
      <w:r>
        <w:rPr>
          <w:rFonts w:cs="Arial" w:hint="cs"/>
          <w:rtl/>
        </w:rPr>
        <w:t>:</w:t>
      </w:r>
      <w:r w:rsidRPr="006248D1">
        <w:rPr>
          <w:rFonts w:cs="Arial"/>
          <w:rtl/>
        </w:rPr>
        <w:t xml:space="preserve"> מדפ</w:t>
      </w:r>
      <w:r>
        <w:rPr>
          <w:rFonts w:cs="Arial" w:hint="cs"/>
          <w:rtl/>
        </w:rPr>
        <w:t>ה"ר</w:t>
      </w:r>
      <w:r w:rsidRPr="006248D1">
        <w:rPr>
          <w:rFonts w:cs="Arial"/>
          <w:rtl/>
        </w:rPr>
        <w:t>] לדעת הרמב"ם, מיהו בעינן שזוכרין הלואה, דאל"כ לא עדיף שטר זה מכל שטר דעלמא, ובסתם אמרינן שזוכרין ההלואה. והרמ"ה חולק וס"ל כהר"ן ויתבאר דעתו לקמן סימן ס"ג [סק"ג]</w:t>
      </w:r>
      <w:r>
        <w:rPr>
          <w:rFonts w:hint="cs"/>
          <w:rtl/>
        </w:rPr>
        <w:t>, ש"ך (סק"ד).</w:t>
      </w:r>
      <w:r w:rsidRPr="00DC50F9">
        <w:rPr>
          <w:rFonts w:cs="Arial"/>
          <w:rtl/>
        </w:rPr>
        <w:t xml:space="preserve"> </w:t>
      </w:r>
      <w:r w:rsidRPr="006248D1">
        <w:rPr>
          <w:rFonts w:cs="Arial"/>
          <w:rtl/>
        </w:rPr>
        <w:t>ומור"ם כתב שם [</w:t>
      </w:r>
      <w:r>
        <w:rPr>
          <w:rFonts w:cs="Arial" w:hint="cs"/>
          <w:rtl/>
        </w:rPr>
        <w:t xml:space="preserve">סי' סג </w:t>
      </w:r>
      <w:r w:rsidRPr="006248D1">
        <w:rPr>
          <w:rFonts w:cs="Arial"/>
          <w:rtl/>
        </w:rPr>
        <w:t>ס</w:t>
      </w:r>
      <w:r>
        <w:rPr>
          <w:rFonts w:cs="Arial" w:hint="cs"/>
          <w:rtl/>
        </w:rPr>
        <w:t>"</w:t>
      </w:r>
      <w:r w:rsidRPr="006248D1">
        <w:rPr>
          <w:rFonts w:cs="Arial"/>
          <w:rtl/>
        </w:rPr>
        <w:t>א] דעה זו החולקת, וכאן לא כתב כלום משום דסמך אמ"ש שם במקומו</w:t>
      </w:r>
      <w:r>
        <w:rPr>
          <w:rFonts w:cs="Arial" w:hint="cs"/>
          <w:rtl/>
        </w:rPr>
        <w:t>, סמ"ע (סק"ז).</w:t>
      </w:r>
    </w:p>
  </w:footnote>
  <w:footnote w:id="1800">
    <w:p w14:paraId="51551F38" w14:textId="77777777" w:rsidR="0013116F" w:rsidRDefault="0013116F" w:rsidP="004B607F">
      <w:pPr>
        <w:pStyle w:val="a9"/>
      </w:pPr>
      <w:r>
        <w:rPr>
          <w:rStyle w:val="ab"/>
        </w:rPr>
        <w:footnoteRef/>
      </w:r>
      <w:r>
        <w:rPr>
          <w:rtl/>
        </w:rPr>
        <w:t xml:space="preserve"> </w:t>
      </w:r>
      <w:r>
        <w:rPr>
          <w:rFonts w:hint="cs"/>
          <w:rtl/>
        </w:rPr>
        <w:t xml:space="preserve">סימן </w:t>
      </w:r>
      <w:r>
        <w:rPr>
          <w:rtl/>
        </w:rPr>
        <w:t>–</w:t>
      </w:r>
      <w:r>
        <w:rPr>
          <w:rFonts w:hint="cs"/>
          <w:rtl/>
        </w:rPr>
        <w:t xml:space="preserve"> טענת כסיל</w:t>
      </w:r>
      <w:r>
        <w:rPr>
          <w:rFonts w:hint="cs"/>
          <w:sz w:val="16"/>
          <w:szCs w:val="16"/>
          <w:rtl/>
        </w:rPr>
        <w:t xml:space="preserve"> {משטה אני}</w:t>
      </w:r>
      <w:r>
        <w:rPr>
          <w:rFonts w:hint="cs"/>
          <w:rtl/>
        </w:rPr>
        <w:t>/כזב/כְּדִי/כרס</w:t>
      </w:r>
      <w:r>
        <w:rPr>
          <w:rFonts w:hint="cs"/>
          <w:sz w:val="16"/>
          <w:szCs w:val="16"/>
          <w:rtl/>
        </w:rPr>
        <w:t xml:space="preserve"> {שלא להשביע}</w:t>
      </w:r>
      <w:r>
        <w:rPr>
          <w:rFonts w:hint="cs"/>
          <w:rtl/>
        </w:rPr>
        <w:t>.</w:t>
      </w:r>
    </w:p>
  </w:footnote>
  <w:footnote w:id="1801">
    <w:p w14:paraId="499B89F3" w14:textId="77777777" w:rsidR="0013116F" w:rsidRDefault="0013116F" w:rsidP="004B607F">
      <w:pPr>
        <w:pStyle w:val="a9"/>
        <w:rPr>
          <w:rtl/>
        </w:rPr>
      </w:pPr>
      <w:r>
        <w:rPr>
          <w:rStyle w:val="ab"/>
        </w:rPr>
        <w:footnoteRef/>
      </w:r>
      <w:r>
        <w:rPr>
          <w:rtl/>
        </w:rPr>
        <w:t xml:space="preserve"> </w:t>
      </w:r>
      <w:r>
        <w:rPr>
          <w:rFonts w:hint="cs"/>
          <w:rtl/>
        </w:rPr>
        <w:t xml:space="preserve">בפנינו </w:t>
      </w:r>
      <w:r>
        <w:rPr>
          <w:rtl/>
        </w:rPr>
        <w:t>–</w:t>
      </w:r>
      <w:r>
        <w:rPr>
          <w:rFonts w:hint="cs"/>
          <w:rtl/>
        </w:rPr>
        <w:t xml:space="preserve"> משמע שעשאונו עדים, רש"י.</w:t>
      </w:r>
    </w:p>
  </w:footnote>
  <w:footnote w:id="1802">
    <w:p w14:paraId="6F080A9D" w14:textId="77777777" w:rsidR="0013116F" w:rsidRDefault="0013116F" w:rsidP="004B607F">
      <w:pPr>
        <w:pStyle w:val="a9"/>
        <w:rPr>
          <w:rtl/>
        </w:rPr>
      </w:pPr>
      <w:r>
        <w:rPr>
          <w:rStyle w:val="ab"/>
        </w:rPr>
        <w:footnoteRef/>
      </w:r>
      <w:r>
        <w:rPr>
          <w:rtl/>
        </w:rPr>
        <w:t xml:space="preserve"> </w:t>
      </w:r>
      <w:r w:rsidRPr="00A2382F">
        <w:rPr>
          <w:rFonts w:cs="Arial"/>
          <w:rtl/>
        </w:rPr>
        <w:t>שוחק הייתי בך בשביל שהיית שואלני מה שלא היה</w:t>
      </w:r>
      <w:r>
        <w:rPr>
          <w:rFonts w:cs="Arial" w:hint="cs"/>
          <w:rtl/>
        </w:rPr>
        <w:t>, רש"י.</w:t>
      </w:r>
    </w:p>
  </w:footnote>
  <w:footnote w:id="1803">
    <w:p w14:paraId="228C12FC" w14:textId="77777777" w:rsidR="0013116F" w:rsidRDefault="0013116F" w:rsidP="004B607F">
      <w:pPr>
        <w:pStyle w:val="a9"/>
      </w:pPr>
      <w:r>
        <w:rPr>
          <w:rStyle w:val="ab"/>
        </w:rPr>
        <w:footnoteRef/>
      </w:r>
      <w:r>
        <w:rPr>
          <w:rtl/>
        </w:rPr>
        <w:t xml:space="preserve"> </w:t>
      </w:r>
      <w:r>
        <w:rPr>
          <w:rFonts w:cs="Arial"/>
          <w:rtl/>
        </w:rPr>
        <w:t>ואם לא טען משטה הייתי בך כשהודיתי אלא אמר לא אתן לך הבא עדים שהלוית לי אין טוענין בשבילו אלא אומרין לו הואיל והודית לך שלם</w:t>
      </w:r>
      <w:r>
        <w:rPr>
          <w:rFonts w:cs="Arial" w:hint="cs"/>
          <w:rtl/>
        </w:rPr>
        <w:t>, רש"י</w:t>
      </w:r>
      <w:r>
        <w:rPr>
          <w:rFonts w:cs="Arial"/>
          <w:rtl/>
        </w:rPr>
        <w:t>.</w:t>
      </w:r>
      <w:r w:rsidRPr="00E27436">
        <w:rPr>
          <w:rFonts w:cs="Arial"/>
          <w:rtl/>
        </w:rPr>
        <w:t xml:space="preserve"> </w:t>
      </w:r>
      <w:r>
        <w:rPr>
          <w:rFonts w:cs="Arial"/>
          <w:rtl/>
        </w:rPr>
        <w:t>וכתב נמוק</w:t>
      </w:r>
      <w:r>
        <w:rPr>
          <w:rFonts w:cs="Arial" w:hint="cs"/>
          <w:rtl/>
        </w:rPr>
        <w:t>"</w:t>
      </w:r>
      <w:r>
        <w:rPr>
          <w:rFonts w:cs="Arial"/>
          <w:rtl/>
        </w:rPr>
        <w:t>י (ח.) שכ</w:t>
      </w:r>
      <w:r>
        <w:rPr>
          <w:rFonts w:cs="Arial" w:hint="cs"/>
          <w:rtl/>
        </w:rPr>
        <w:t>"</w:t>
      </w:r>
      <w:r>
        <w:rPr>
          <w:rFonts w:cs="Arial"/>
          <w:rtl/>
        </w:rPr>
        <w:t>כ ר</w:t>
      </w:r>
      <w:r>
        <w:rPr>
          <w:rFonts w:cs="Arial" w:hint="cs"/>
          <w:rtl/>
        </w:rPr>
        <w:t>"ח,</w:t>
      </w:r>
      <w:r>
        <w:rPr>
          <w:rFonts w:cs="Arial"/>
          <w:rtl/>
        </w:rPr>
        <w:t xml:space="preserve"> אבל רי"ף (שם) והרמב"ם פירשו דהא דאמרינן דקא טעין איהו אף בדלא אהדר משטה אני בך מיירי אלא אפילו אמר ליה לא היו דברים מעולם פטור</w:t>
      </w:r>
      <w:r>
        <w:rPr>
          <w:rFonts w:cs="Arial" w:hint="cs"/>
          <w:rtl/>
        </w:rPr>
        <w:t>,</w:t>
      </w:r>
      <w:r>
        <w:rPr>
          <w:rFonts w:cs="Arial"/>
          <w:rtl/>
        </w:rPr>
        <w:t xml:space="preserve"> והא דאמרינן אבל אנן לא טענינן ליה היינו לומר שאם מודה שהודה לו אלא שכופר בעיקר החוב –</w:t>
      </w:r>
      <w:r>
        <w:rPr>
          <w:rFonts w:cs="Arial" w:hint="cs"/>
          <w:rtl/>
        </w:rPr>
        <w:t xml:space="preserve"> </w:t>
      </w:r>
      <w:r>
        <w:rPr>
          <w:rFonts w:cs="Arial"/>
          <w:rtl/>
        </w:rPr>
        <w:t>חייב</w:t>
      </w:r>
      <w:r>
        <w:rPr>
          <w:rFonts w:cs="Arial" w:hint="cs"/>
          <w:rtl/>
        </w:rPr>
        <w:t>,</w:t>
      </w:r>
      <w:r>
        <w:rPr>
          <w:rFonts w:cs="Arial"/>
          <w:rtl/>
        </w:rPr>
        <w:t xml:space="preserve"> דכיון שהוא מודה בהודאה צריך ליתן טעם לדבריו למה הודה</w:t>
      </w:r>
      <w:r>
        <w:rPr>
          <w:rFonts w:cs="Arial" w:hint="cs"/>
          <w:rtl/>
        </w:rPr>
        <w:t>,</w:t>
      </w:r>
      <w:r>
        <w:rPr>
          <w:rFonts w:cs="Arial"/>
          <w:rtl/>
        </w:rPr>
        <w:t xml:space="preserve"> ואם לא טען אין טוענין לו</w:t>
      </w:r>
      <w:r>
        <w:rPr>
          <w:rFonts w:cs="Arial" w:hint="cs"/>
          <w:rtl/>
        </w:rPr>
        <w:t>,</w:t>
      </w:r>
      <w:r>
        <w:rPr>
          <w:rFonts w:cs="Arial"/>
          <w:rtl/>
        </w:rPr>
        <w:t xml:space="preserve"> עכ"ל נמוק</w:t>
      </w:r>
      <w:r>
        <w:rPr>
          <w:rFonts w:cs="Arial" w:hint="cs"/>
          <w:rtl/>
        </w:rPr>
        <w:t>"</w:t>
      </w:r>
      <w:r>
        <w:rPr>
          <w:rFonts w:cs="Arial"/>
          <w:rtl/>
        </w:rPr>
        <w:t xml:space="preserve">י. </w:t>
      </w:r>
      <w:r>
        <w:rPr>
          <w:rFonts w:cs="Arial" w:hint="cs"/>
          <w:rtl/>
        </w:rPr>
        <w:t xml:space="preserve">וכתב הב"י- </w:t>
      </w:r>
      <w:r>
        <w:rPr>
          <w:rFonts w:cs="Arial"/>
          <w:rtl/>
        </w:rPr>
        <w:t>ולי נראה שאין חילוק בין שני הפירושים</w:t>
      </w:r>
      <w:r>
        <w:rPr>
          <w:rFonts w:cs="Arial" w:hint="cs"/>
          <w:rtl/>
        </w:rPr>
        <w:t>,</w:t>
      </w:r>
      <w:r>
        <w:rPr>
          <w:rFonts w:cs="Arial"/>
          <w:rtl/>
        </w:rPr>
        <w:t xml:space="preserve"> דלדברי שניהם אם מודה שהודה צריך ליתן טעם לדבריו</w:t>
      </w:r>
      <w:r>
        <w:rPr>
          <w:rFonts w:cs="Arial" w:hint="cs"/>
          <w:rtl/>
        </w:rPr>
        <w:t>,</w:t>
      </w:r>
      <w:r>
        <w:rPr>
          <w:rFonts w:cs="Arial"/>
          <w:rtl/>
        </w:rPr>
        <w:t xml:space="preserve"> ואם אינו מודה שהודה גמרא ערוכה היא דפטור </w:t>
      </w:r>
      <w:r w:rsidRPr="00E27436">
        <w:rPr>
          <w:rFonts w:cs="Arial" w:hint="cs"/>
          <w:sz w:val="16"/>
          <w:szCs w:val="16"/>
          <w:rtl/>
        </w:rPr>
        <w:t>(</w:t>
      </w:r>
      <w:r w:rsidRPr="00E27436">
        <w:rPr>
          <w:rFonts w:cs="Arial"/>
          <w:sz w:val="16"/>
          <w:szCs w:val="16"/>
          <w:rtl/>
        </w:rPr>
        <w:t xml:space="preserve">כדאיתא נמי התם </w:t>
      </w:r>
      <w:r>
        <w:rPr>
          <w:rFonts w:cs="Arial" w:hint="cs"/>
          <w:sz w:val="16"/>
          <w:szCs w:val="16"/>
          <w:rtl/>
        </w:rPr>
        <w:t xml:space="preserve">המחלוקת בין אביי לרבא, </w:t>
      </w:r>
      <w:r w:rsidRPr="00E27436">
        <w:rPr>
          <w:rFonts w:cs="Arial"/>
          <w:sz w:val="16"/>
          <w:szCs w:val="16"/>
          <w:rtl/>
        </w:rPr>
        <w:t>וידוע דאביי ורבא הלכה כרבא</w:t>
      </w:r>
      <w:r>
        <w:rPr>
          <w:rFonts w:cs="Arial" w:hint="cs"/>
          <w:sz w:val="16"/>
          <w:szCs w:val="16"/>
          <w:rtl/>
        </w:rPr>
        <w:t>)</w:t>
      </w:r>
      <w:r>
        <w:rPr>
          <w:rFonts w:cs="Arial" w:hint="cs"/>
          <w:rtl/>
        </w:rPr>
        <w:t>.</w:t>
      </w:r>
    </w:p>
  </w:footnote>
  <w:footnote w:id="1804">
    <w:p w14:paraId="72C12164" w14:textId="77777777" w:rsidR="0013116F" w:rsidRDefault="0013116F" w:rsidP="004B607F">
      <w:pPr>
        <w:pStyle w:val="a9"/>
      </w:pPr>
      <w:r>
        <w:rPr>
          <w:rStyle w:val="ab"/>
        </w:rPr>
        <w:footnoteRef/>
      </w:r>
      <w:r>
        <w:rPr>
          <w:rtl/>
        </w:rPr>
        <w:t xml:space="preserve"> </w:t>
      </w:r>
      <w:r w:rsidRPr="00705A02">
        <w:rPr>
          <w:rFonts w:cs="Arial"/>
          <w:rtl/>
        </w:rPr>
        <w:t>לא הודיתי לך, והרי עדים ששמעו</w:t>
      </w:r>
      <w:r>
        <w:rPr>
          <w:rFonts w:cs="Arial" w:hint="cs"/>
          <w:rtl/>
        </w:rPr>
        <w:t>, רש"י</w:t>
      </w:r>
      <w:r w:rsidRPr="00705A02">
        <w:rPr>
          <w:rFonts w:cs="Arial"/>
          <w:rtl/>
        </w:rPr>
        <w:t>.</w:t>
      </w:r>
    </w:p>
  </w:footnote>
  <w:footnote w:id="1805">
    <w:p w14:paraId="762ADCFB" w14:textId="77777777" w:rsidR="0013116F" w:rsidRDefault="0013116F" w:rsidP="004B607F">
      <w:pPr>
        <w:pStyle w:val="a9"/>
        <w:rPr>
          <w:rtl/>
        </w:rPr>
      </w:pPr>
      <w:r>
        <w:rPr>
          <w:rStyle w:val="ab"/>
        </w:rPr>
        <w:footnoteRef/>
      </w:r>
      <w:r>
        <w:rPr>
          <w:rtl/>
        </w:rPr>
        <w:t xml:space="preserve"> </w:t>
      </w:r>
      <w:r w:rsidRPr="00705A02">
        <w:rPr>
          <w:rFonts w:cs="Arial"/>
          <w:rtl/>
        </w:rPr>
        <w:t>ואינו נאמן עליו בשבועה</w:t>
      </w:r>
      <w:r>
        <w:rPr>
          <w:rFonts w:cs="Arial" w:hint="cs"/>
          <w:rtl/>
        </w:rPr>
        <w:t>, רש"י</w:t>
      </w:r>
      <w:r w:rsidRPr="00705A02">
        <w:rPr>
          <w:rFonts w:cs="Arial"/>
          <w:rtl/>
        </w:rPr>
        <w:t>.</w:t>
      </w:r>
    </w:p>
  </w:footnote>
  <w:footnote w:id="1806">
    <w:p w14:paraId="656C7980" w14:textId="77777777" w:rsidR="0013116F" w:rsidRDefault="0013116F" w:rsidP="004B607F">
      <w:pPr>
        <w:pStyle w:val="a9"/>
      </w:pPr>
      <w:r>
        <w:rPr>
          <w:rStyle w:val="ab"/>
        </w:rPr>
        <w:footnoteRef/>
      </w:r>
      <w:r>
        <w:rPr>
          <w:rtl/>
        </w:rPr>
        <w:t xml:space="preserve"> </w:t>
      </w:r>
      <w:r w:rsidRPr="00705A02">
        <w:rPr>
          <w:rFonts w:cs="Arial"/>
          <w:rtl/>
        </w:rPr>
        <w:t>דברים של חנם, כלומר: הואיל ואותה הודאה דברי רוח היו, שהשטה בו, לא דכירי אינשי ושכח אותה הודאה</w:t>
      </w:r>
      <w:r>
        <w:rPr>
          <w:rFonts w:cs="Arial" w:hint="cs"/>
          <w:rtl/>
        </w:rPr>
        <w:t>, רש"י</w:t>
      </w:r>
      <w:r w:rsidRPr="00705A02">
        <w:rPr>
          <w:rFonts w:cs="Arial"/>
          <w:rtl/>
        </w:rPr>
        <w:t>.</w:t>
      </w:r>
    </w:p>
  </w:footnote>
  <w:footnote w:id="1807">
    <w:p w14:paraId="0D7E0822" w14:textId="77777777" w:rsidR="0013116F" w:rsidRDefault="0013116F" w:rsidP="004B607F">
      <w:pPr>
        <w:pStyle w:val="a9"/>
      </w:pPr>
      <w:r>
        <w:rPr>
          <w:rStyle w:val="ab"/>
        </w:rPr>
        <w:footnoteRef/>
      </w:r>
      <w:r>
        <w:rPr>
          <w:rtl/>
        </w:rPr>
        <w:t xml:space="preserve"> </w:t>
      </w:r>
      <w:r>
        <w:rPr>
          <w:rFonts w:cs="Arial" w:hint="cs"/>
          <w:rtl/>
        </w:rPr>
        <w:t>וז"ל-</w:t>
      </w:r>
      <w:r>
        <w:rPr>
          <w:rFonts w:cs="Arial"/>
          <w:rtl/>
        </w:rPr>
        <w:t xml:space="preserve"> אם טען משטה הייתי בך ואין לך בידי כלום פטור ונשבע היסת שאין בידו כלום.</w:t>
      </w:r>
    </w:p>
  </w:footnote>
  <w:footnote w:id="1808">
    <w:p w14:paraId="370AB1A8" w14:textId="77777777" w:rsidR="0013116F" w:rsidRDefault="0013116F" w:rsidP="004B607F">
      <w:pPr>
        <w:pStyle w:val="a9"/>
      </w:pPr>
      <w:r>
        <w:rPr>
          <w:rStyle w:val="ab"/>
        </w:rPr>
        <w:footnoteRef/>
      </w:r>
      <w:r>
        <w:rPr>
          <w:rtl/>
        </w:rPr>
        <w:t xml:space="preserve"> </w:t>
      </w:r>
      <w:r>
        <w:rPr>
          <w:rFonts w:hint="cs"/>
          <w:rtl/>
        </w:rPr>
        <w:t xml:space="preserve">וז"ל- </w:t>
      </w:r>
      <w:r>
        <w:rPr>
          <w:rFonts w:cs="Arial"/>
          <w:rtl/>
        </w:rPr>
        <w:t>ישבע היסת שאין בידו כלום ונפטר</w:t>
      </w:r>
      <w:r>
        <w:rPr>
          <w:rFonts w:cs="Arial" w:hint="cs"/>
          <w:rtl/>
        </w:rPr>
        <w:t>.</w:t>
      </w:r>
    </w:p>
  </w:footnote>
  <w:footnote w:id="1809">
    <w:p w14:paraId="304E4170" w14:textId="77777777" w:rsidR="0013116F" w:rsidRDefault="0013116F" w:rsidP="004B607F">
      <w:pPr>
        <w:pStyle w:val="a9"/>
        <w:rPr>
          <w:rtl/>
        </w:rPr>
      </w:pPr>
      <w:r>
        <w:rPr>
          <w:rStyle w:val="ab"/>
        </w:rPr>
        <w:footnoteRef/>
      </w:r>
      <w:r>
        <w:rPr>
          <w:rtl/>
        </w:rPr>
        <w:t xml:space="preserve"> </w:t>
      </w:r>
      <w:r>
        <w:rPr>
          <w:rFonts w:cs="Arial"/>
          <w:rtl/>
        </w:rPr>
        <w:t>וכ"כ המרדכי (סי' תשב) בשם רב סעדיה</w:t>
      </w:r>
      <w:r>
        <w:rPr>
          <w:rFonts w:cs="Arial" w:hint="cs"/>
          <w:rtl/>
        </w:rPr>
        <w:t>,</w:t>
      </w:r>
      <w:r>
        <w:rPr>
          <w:rFonts w:cs="Arial"/>
          <w:rtl/>
        </w:rPr>
        <w:t xml:space="preserve"> וכ</w:t>
      </w:r>
      <w:r>
        <w:rPr>
          <w:rFonts w:cs="Arial" w:hint="cs"/>
          <w:rtl/>
        </w:rPr>
        <w:t>"</w:t>
      </w:r>
      <w:r>
        <w:rPr>
          <w:rFonts w:cs="Arial"/>
          <w:rtl/>
        </w:rPr>
        <w:t>כ הגהות פ"ו מטוען ונטען (אות ט)</w:t>
      </w:r>
      <w:r>
        <w:rPr>
          <w:rFonts w:hint="cs"/>
          <w:rtl/>
        </w:rPr>
        <w:t>, ב"י. ונ"ל שמקור דברי כולם הוא במהר"ם (ד"פ סי' תתקצ) שכתב שם שכן כתב מורו בשם רבינו סעדיה.</w:t>
      </w:r>
    </w:p>
  </w:footnote>
  <w:footnote w:id="1810">
    <w:p w14:paraId="4531437F" w14:textId="77777777" w:rsidR="0013116F" w:rsidRDefault="0013116F" w:rsidP="004B607F">
      <w:pPr>
        <w:pStyle w:val="a9"/>
        <w:rPr>
          <w:rtl/>
        </w:rPr>
      </w:pPr>
      <w:r>
        <w:rPr>
          <w:rStyle w:val="ab"/>
        </w:rPr>
        <w:footnoteRef/>
      </w:r>
      <w:r>
        <w:rPr>
          <w:rtl/>
        </w:rPr>
        <w:t xml:space="preserve"> </w:t>
      </w:r>
      <w:r>
        <w:rPr>
          <w:rFonts w:cs="Arial"/>
          <w:rtl/>
        </w:rPr>
        <w:t>וכתב המרדכי פסק ר"י דאי לא טעין טענינן ליה עכ"ל</w:t>
      </w:r>
      <w:r>
        <w:rPr>
          <w:rFonts w:cs="Arial" w:hint="cs"/>
          <w:rtl/>
        </w:rPr>
        <w:t>,</w:t>
      </w:r>
      <w:r>
        <w:rPr>
          <w:rFonts w:cs="Arial"/>
          <w:rtl/>
        </w:rPr>
        <w:t xml:space="preserve"> כלומר דאי לא טעין שישבע לו שנתכוון להשטות טענינן ליה</w:t>
      </w:r>
      <w:r>
        <w:rPr>
          <w:rFonts w:cs="Arial" w:hint="cs"/>
          <w:rtl/>
        </w:rPr>
        <w:t>, ב"י.</w:t>
      </w:r>
    </w:p>
  </w:footnote>
  <w:footnote w:id="1811">
    <w:p w14:paraId="0DF748DD" w14:textId="77777777" w:rsidR="0013116F" w:rsidRDefault="0013116F" w:rsidP="004B607F">
      <w:pPr>
        <w:pStyle w:val="a9"/>
        <w:rPr>
          <w:rtl/>
        </w:rPr>
      </w:pPr>
      <w:r>
        <w:rPr>
          <w:rStyle w:val="ab"/>
        </w:rPr>
        <w:footnoteRef/>
      </w:r>
      <w:r>
        <w:rPr>
          <w:rtl/>
        </w:rPr>
        <w:t xml:space="preserve"> </w:t>
      </w:r>
      <w:r>
        <w:rPr>
          <w:rFonts w:cs="Arial"/>
          <w:rtl/>
        </w:rPr>
        <w:t>ופירוש דבריו כגון שאחד הלוה לחבירו מאתים</w:t>
      </w:r>
      <w:r>
        <w:rPr>
          <w:rFonts w:cs="Arial" w:hint="cs"/>
          <w:rtl/>
        </w:rPr>
        <w:t>,</w:t>
      </w:r>
      <w:r>
        <w:rPr>
          <w:rFonts w:cs="Arial"/>
          <w:rtl/>
        </w:rPr>
        <w:t xml:space="preserve"> ואמרו לו יש לך ק"ק ביד פלוני</w:t>
      </w:r>
      <w:r>
        <w:rPr>
          <w:rFonts w:cs="Arial" w:hint="cs"/>
          <w:rtl/>
        </w:rPr>
        <w:t>.</w:t>
      </w:r>
      <w:r>
        <w:rPr>
          <w:rFonts w:cs="Arial"/>
          <w:rtl/>
        </w:rPr>
        <w:t xml:space="preserve"> והשיב אין לי בידו אלא ק'</w:t>
      </w:r>
      <w:r>
        <w:rPr>
          <w:rFonts w:cs="Arial" w:hint="cs"/>
          <w:rtl/>
        </w:rPr>
        <w:t>,</w:t>
      </w:r>
      <w:r>
        <w:rPr>
          <w:rFonts w:cs="Arial"/>
          <w:rtl/>
        </w:rPr>
        <w:t xml:space="preserve"> או שהוא מעצמו אמר כלום יש לי אלא מנה שביד פלוני</w:t>
      </w:r>
      <w:r>
        <w:rPr>
          <w:rFonts w:cs="Arial" w:hint="cs"/>
          <w:rtl/>
        </w:rPr>
        <w:t>.</w:t>
      </w:r>
      <w:r>
        <w:rPr>
          <w:rFonts w:cs="Arial"/>
          <w:rtl/>
        </w:rPr>
        <w:t xml:space="preserve"> ואח"כ תבעו מאתים</w:t>
      </w:r>
      <w:r>
        <w:rPr>
          <w:rFonts w:cs="Arial" w:hint="cs"/>
          <w:rtl/>
        </w:rPr>
        <w:t>,</w:t>
      </w:r>
      <w:r>
        <w:rPr>
          <w:rFonts w:cs="Arial"/>
          <w:rtl/>
        </w:rPr>
        <w:t xml:space="preserve"> והביא זה עדים שהודה בפניהם שאינו חייב לו אלא מנה</w:t>
      </w:r>
      <w:r>
        <w:rPr>
          <w:rFonts w:cs="Arial" w:hint="cs"/>
          <w:rtl/>
        </w:rPr>
        <w:t>,</w:t>
      </w:r>
      <w:r>
        <w:rPr>
          <w:rFonts w:cs="Arial"/>
          <w:rtl/>
        </w:rPr>
        <w:t xml:space="preserve"> אינו משלם אלא מנה ונשבע על השאר שבועת מודה במקצת</w:t>
      </w:r>
      <w:r>
        <w:rPr>
          <w:rFonts w:cs="Arial" w:hint="cs"/>
          <w:rtl/>
        </w:rPr>
        <w:t>, ב"י.</w:t>
      </w:r>
    </w:p>
  </w:footnote>
  <w:footnote w:id="1812">
    <w:p w14:paraId="62B30513" w14:textId="77777777" w:rsidR="0013116F" w:rsidRDefault="0013116F" w:rsidP="004B607F">
      <w:pPr>
        <w:pStyle w:val="a9"/>
        <w:rPr>
          <w:rtl/>
        </w:rPr>
      </w:pPr>
      <w:r>
        <w:rPr>
          <w:rStyle w:val="ab"/>
        </w:rPr>
        <w:footnoteRef/>
      </w:r>
      <w:r>
        <w:rPr>
          <w:rtl/>
        </w:rPr>
        <w:t xml:space="preserve"> </w:t>
      </w:r>
      <w:r>
        <w:rPr>
          <w:rFonts w:hint="cs"/>
          <w:rtl/>
        </w:rPr>
        <w:t xml:space="preserve">וכתב הב"י </w:t>
      </w:r>
      <w:r>
        <w:rPr>
          <w:rFonts w:cs="Arial" w:hint="cs"/>
          <w:rtl/>
        </w:rPr>
        <w:t>ש</w:t>
      </w:r>
      <w:r>
        <w:rPr>
          <w:rFonts w:cs="Arial"/>
          <w:rtl/>
        </w:rPr>
        <w:t xml:space="preserve">כיוצא בזה כתוב בספר התרומות </w:t>
      </w:r>
      <w:r w:rsidRPr="005379FF">
        <w:rPr>
          <w:rFonts w:cs="Arial" w:hint="cs"/>
          <w:sz w:val="16"/>
          <w:szCs w:val="16"/>
          <w:rtl/>
        </w:rPr>
        <w:t>(</w:t>
      </w:r>
      <w:r w:rsidRPr="005379FF">
        <w:rPr>
          <w:rFonts w:cs="Arial"/>
          <w:sz w:val="16"/>
          <w:szCs w:val="16"/>
          <w:rtl/>
        </w:rPr>
        <w:t>שער מב ח"ה סי' ד</w:t>
      </w:r>
      <w:r w:rsidRPr="005379FF">
        <w:rPr>
          <w:rFonts w:cs="Arial" w:hint="cs"/>
          <w:sz w:val="16"/>
          <w:szCs w:val="16"/>
          <w:rtl/>
        </w:rPr>
        <w:t>,</w:t>
      </w:r>
      <w:r w:rsidRPr="005379FF">
        <w:rPr>
          <w:rFonts w:cs="Arial"/>
          <w:sz w:val="16"/>
          <w:szCs w:val="16"/>
          <w:rtl/>
        </w:rPr>
        <w:t xml:space="preserve"> וכתבו רבינו בסי</w:t>
      </w:r>
      <w:r w:rsidRPr="005379FF">
        <w:rPr>
          <w:rFonts w:cs="Arial" w:hint="cs"/>
          <w:sz w:val="16"/>
          <w:szCs w:val="16"/>
          <w:rtl/>
        </w:rPr>
        <w:t>'</w:t>
      </w:r>
      <w:r w:rsidRPr="005379FF">
        <w:rPr>
          <w:rFonts w:cs="Arial"/>
          <w:sz w:val="16"/>
          <w:szCs w:val="16"/>
          <w:rtl/>
        </w:rPr>
        <w:t xml:space="preserve"> פא </w:t>
      </w:r>
      <w:r w:rsidRPr="005379FF">
        <w:rPr>
          <w:rFonts w:cs="Arial" w:hint="cs"/>
          <w:sz w:val="16"/>
          <w:szCs w:val="16"/>
          <w:rtl/>
        </w:rPr>
        <w:t>[</w:t>
      </w:r>
      <w:r w:rsidRPr="005379FF">
        <w:rPr>
          <w:rFonts w:cs="Arial"/>
          <w:sz w:val="16"/>
          <w:szCs w:val="16"/>
          <w:rtl/>
        </w:rPr>
        <w:t>סל"ב</w:t>
      </w:r>
      <w:r w:rsidRPr="005379FF">
        <w:rPr>
          <w:rFonts w:cs="Arial" w:hint="cs"/>
          <w:sz w:val="16"/>
          <w:szCs w:val="16"/>
          <w:rtl/>
        </w:rPr>
        <w:t>]</w:t>
      </w:r>
      <w:r w:rsidRPr="005379FF">
        <w:rPr>
          <w:rFonts w:cs="Arial"/>
          <w:sz w:val="16"/>
          <w:szCs w:val="16"/>
          <w:rtl/>
        </w:rPr>
        <w:t>)</w:t>
      </w:r>
      <w:r>
        <w:rPr>
          <w:rFonts w:cs="Arial" w:hint="cs"/>
          <w:rtl/>
        </w:rPr>
        <w:t>-</w:t>
      </w:r>
      <w:r>
        <w:rPr>
          <w:rFonts w:cs="Arial"/>
          <w:rtl/>
        </w:rPr>
        <w:t xml:space="preserve"> המודה לחבירו בפני עדים קבלתי מהחוב שיש לי אצלך כך וכך</w:t>
      </w:r>
      <w:r>
        <w:rPr>
          <w:rFonts w:cs="Arial" w:hint="cs"/>
          <w:rtl/>
        </w:rPr>
        <w:t>,</w:t>
      </w:r>
      <w:r>
        <w:rPr>
          <w:rFonts w:cs="Arial"/>
          <w:rtl/>
        </w:rPr>
        <w:t xml:space="preserve"> אע</w:t>
      </w:r>
      <w:r>
        <w:rPr>
          <w:rFonts w:cs="Arial" w:hint="cs"/>
          <w:rtl/>
        </w:rPr>
        <w:t>"</w:t>
      </w:r>
      <w:r>
        <w:rPr>
          <w:rFonts w:cs="Arial"/>
          <w:rtl/>
        </w:rPr>
        <w:t xml:space="preserve">פ שהחוב בשטר </w:t>
      </w:r>
      <w:r>
        <w:rPr>
          <w:rFonts w:cs="Arial" w:hint="cs"/>
          <w:rtl/>
        </w:rPr>
        <w:t xml:space="preserve">- </w:t>
      </w:r>
      <w:r>
        <w:rPr>
          <w:rFonts w:cs="Arial"/>
          <w:rtl/>
        </w:rPr>
        <w:t>אין צריך לומר אתם עדי. וכן הודאה שהיה פוטר בה את חבירו אין צריך לומר אתם עדי לפי שאינו מחוסר כלום</w:t>
      </w:r>
      <w:r>
        <w:rPr>
          <w:rFonts w:cs="Arial" w:hint="cs"/>
          <w:rtl/>
        </w:rPr>
        <w:t>.</w:t>
      </w:r>
    </w:p>
  </w:footnote>
  <w:footnote w:id="1813">
    <w:p w14:paraId="08D68BFD" w14:textId="77777777" w:rsidR="0013116F" w:rsidRDefault="0013116F" w:rsidP="004B607F">
      <w:pPr>
        <w:pStyle w:val="a9"/>
      </w:pPr>
      <w:r>
        <w:rPr>
          <w:rStyle w:val="ab"/>
        </w:rPr>
        <w:footnoteRef/>
      </w:r>
      <w:r>
        <w:rPr>
          <w:rtl/>
        </w:rPr>
        <w:t xml:space="preserve"> </w:t>
      </w:r>
      <w:r>
        <w:rPr>
          <w:rFonts w:hint="cs"/>
          <w:rtl/>
        </w:rPr>
        <w:t xml:space="preserve">סימן </w:t>
      </w:r>
      <w:r>
        <w:rPr>
          <w:rtl/>
        </w:rPr>
        <w:t>–</w:t>
      </w:r>
      <w:r>
        <w:rPr>
          <w:rFonts w:hint="cs"/>
          <w:rtl/>
        </w:rPr>
        <w:t xml:space="preserve"> קרובה ערשו הודה/השטאה.</w:t>
      </w:r>
    </w:p>
  </w:footnote>
  <w:footnote w:id="1814">
    <w:p w14:paraId="29C51379" w14:textId="77777777" w:rsidR="0013116F" w:rsidRDefault="0013116F" w:rsidP="004B607F">
      <w:pPr>
        <w:pStyle w:val="a9"/>
      </w:pPr>
      <w:r>
        <w:rPr>
          <w:rStyle w:val="ab"/>
        </w:rPr>
        <w:footnoteRef/>
      </w:r>
      <w:r>
        <w:rPr>
          <w:rtl/>
        </w:rPr>
        <w:t xml:space="preserve"> </w:t>
      </w:r>
      <w:r w:rsidRPr="00377E81">
        <w:rPr>
          <w:rFonts w:cs="Arial"/>
          <w:rtl/>
        </w:rPr>
        <w:t>ומילתא דפשיטא היא דאי הוה אבוהון קיים דילמא הוה טעין משטה אני בך</w:t>
      </w:r>
      <w:r>
        <w:rPr>
          <w:rFonts w:cs="Arial" w:hint="cs"/>
          <w:rtl/>
        </w:rPr>
        <w:t>, רא"ש.</w:t>
      </w:r>
    </w:p>
  </w:footnote>
  <w:footnote w:id="1815">
    <w:p w14:paraId="0888C308" w14:textId="77777777" w:rsidR="0013116F" w:rsidRDefault="0013116F" w:rsidP="004B607F">
      <w:pPr>
        <w:pStyle w:val="a9"/>
      </w:pPr>
      <w:r>
        <w:rPr>
          <w:rStyle w:val="ab"/>
        </w:rPr>
        <w:footnoteRef/>
      </w:r>
      <w:r>
        <w:rPr>
          <w:rtl/>
        </w:rPr>
        <w:t xml:space="preserve"> </w:t>
      </w:r>
      <w:r>
        <w:rPr>
          <w:rFonts w:hint="cs"/>
          <w:rtl/>
        </w:rPr>
        <w:t xml:space="preserve">סימן </w:t>
      </w:r>
      <w:r>
        <w:rPr>
          <w:rtl/>
        </w:rPr>
        <w:t>–</w:t>
      </w:r>
      <w:r>
        <w:rPr>
          <w:rFonts w:hint="cs"/>
          <w:rtl/>
        </w:rPr>
        <w:t xml:space="preserve"> כְּדִי טוען.</w:t>
      </w:r>
    </w:p>
  </w:footnote>
  <w:footnote w:id="1816">
    <w:p w14:paraId="01AEB49F" w14:textId="77777777" w:rsidR="0013116F" w:rsidRDefault="0013116F" w:rsidP="004B607F">
      <w:pPr>
        <w:pStyle w:val="a9"/>
      </w:pPr>
      <w:r>
        <w:rPr>
          <w:rStyle w:val="ab"/>
        </w:rPr>
        <w:footnoteRef/>
      </w:r>
      <w:r>
        <w:rPr>
          <w:rtl/>
        </w:rPr>
        <w:t xml:space="preserve"> </w:t>
      </w:r>
      <w:r w:rsidRPr="008A4067">
        <w:rPr>
          <w:rFonts w:cs="Arial"/>
          <w:rtl/>
        </w:rPr>
        <w:t>הלוה אמר לי</w:t>
      </w:r>
      <w:r>
        <w:rPr>
          <w:rFonts w:hint="cs"/>
          <w:rtl/>
        </w:rPr>
        <w:t>, רש"י.</w:t>
      </w:r>
    </w:p>
  </w:footnote>
  <w:footnote w:id="1817">
    <w:p w14:paraId="2653D968" w14:textId="77777777" w:rsidR="0013116F" w:rsidRDefault="0013116F" w:rsidP="004B607F">
      <w:pPr>
        <w:pStyle w:val="a9"/>
      </w:pPr>
      <w:r>
        <w:rPr>
          <w:rStyle w:val="ab"/>
        </w:rPr>
        <w:footnoteRef/>
      </w:r>
      <w:r>
        <w:rPr>
          <w:rtl/>
        </w:rPr>
        <w:t xml:space="preserve"> </w:t>
      </w:r>
      <w:r w:rsidRPr="008A4067">
        <w:rPr>
          <w:rFonts w:cs="Arial"/>
          <w:rtl/>
        </w:rPr>
        <w:t>דעביד איניש דאמר פלוני נושה בי כדי שלא יחזיקוהו עשיר</w:t>
      </w:r>
      <w:r>
        <w:rPr>
          <w:rFonts w:cs="Arial" w:hint="cs"/>
          <w:rtl/>
        </w:rPr>
        <w:t>, רש"י.</w:t>
      </w:r>
    </w:p>
  </w:footnote>
  <w:footnote w:id="1818">
    <w:p w14:paraId="79C8339C" w14:textId="77777777" w:rsidR="0013116F" w:rsidRDefault="0013116F" w:rsidP="004B607F">
      <w:pPr>
        <w:pStyle w:val="a9"/>
      </w:pPr>
      <w:r>
        <w:rPr>
          <w:rStyle w:val="ab"/>
        </w:rPr>
        <w:footnoteRef/>
      </w:r>
      <w:r>
        <w:rPr>
          <w:rtl/>
        </w:rPr>
        <w:t xml:space="preserve"> </w:t>
      </w:r>
      <w:r>
        <w:rPr>
          <w:rFonts w:cs="Arial"/>
          <w:rtl/>
        </w:rPr>
        <w:t xml:space="preserve">כלומר דמדקתני </w:t>
      </w:r>
      <w:r>
        <w:rPr>
          <w:rFonts w:cs="Arial" w:hint="cs"/>
          <w:rtl/>
        </w:rPr>
        <w:t>'</w:t>
      </w:r>
      <w:r>
        <w:rPr>
          <w:rFonts w:cs="Arial"/>
          <w:rtl/>
        </w:rPr>
        <w:t>בפנינו הודה לו</w:t>
      </w:r>
      <w:r>
        <w:rPr>
          <w:rFonts w:cs="Arial" w:hint="cs"/>
          <w:rtl/>
        </w:rPr>
        <w:t>'</w:t>
      </w:r>
      <w:r>
        <w:rPr>
          <w:rFonts w:cs="Arial"/>
          <w:rtl/>
        </w:rPr>
        <w:t xml:space="preserve"> ולא קתני </w:t>
      </w:r>
      <w:r>
        <w:rPr>
          <w:rFonts w:cs="Arial" w:hint="cs"/>
          <w:rtl/>
        </w:rPr>
        <w:t>'</w:t>
      </w:r>
      <w:r>
        <w:rPr>
          <w:rFonts w:cs="Arial"/>
          <w:rtl/>
        </w:rPr>
        <w:t>שמענו שהודה לו בפנינו</w:t>
      </w:r>
      <w:r>
        <w:rPr>
          <w:rFonts w:cs="Arial" w:hint="cs"/>
          <w:rtl/>
        </w:rPr>
        <w:t>'</w:t>
      </w:r>
      <w:r>
        <w:rPr>
          <w:rFonts w:cs="Arial"/>
          <w:rtl/>
        </w:rPr>
        <w:t xml:space="preserve"> משמע שייחד אותנו לעדים</w:t>
      </w:r>
      <w:r>
        <w:rPr>
          <w:rFonts w:cs="Arial" w:hint="cs"/>
          <w:rtl/>
        </w:rPr>
        <w:t>, ב"י.</w:t>
      </w:r>
    </w:p>
  </w:footnote>
  <w:footnote w:id="1819">
    <w:p w14:paraId="1070EDCC" w14:textId="77777777" w:rsidR="0013116F" w:rsidRDefault="0013116F" w:rsidP="004B607F">
      <w:pPr>
        <w:pStyle w:val="a9"/>
      </w:pPr>
      <w:r>
        <w:rPr>
          <w:rStyle w:val="ab"/>
        </w:rPr>
        <w:footnoteRef/>
      </w:r>
      <w:r>
        <w:rPr>
          <w:rtl/>
        </w:rPr>
        <w:t xml:space="preserve"> </w:t>
      </w:r>
      <w:r>
        <w:rPr>
          <w:rFonts w:cs="Arial"/>
          <w:rtl/>
        </w:rPr>
        <w:t>מלא קב שטרות יש עליו</w:t>
      </w:r>
      <w:r>
        <w:rPr>
          <w:rFonts w:hint="cs"/>
          <w:rtl/>
        </w:rPr>
        <w:t>, רש"י.</w:t>
      </w:r>
    </w:p>
  </w:footnote>
  <w:footnote w:id="1820">
    <w:p w14:paraId="575F63FB" w14:textId="77777777" w:rsidR="0013116F" w:rsidRDefault="0013116F" w:rsidP="004B607F">
      <w:pPr>
        <w:pStyle w:val="a9"/>
        <w:rPr>
          <w:rtl/>
        </w:rPr>
      </w:pPr>
      <w:r>
        <w:rPr>
          <w:rStyle w:val="ab"/>
        </w:rPr>
        <w:footnoteRef/>
      </w:r>
      <w:r>
        <w:rPr>
          <w:rtl/>
        </w:rPr>
        <w:t xml:space="preserve"> </w:t>
      </w:r>
      <w:r>
        <w:rPr>
          <w:rFonts w:cs="Arial"/>
          <w:rtl/>
        </w:rPr>
        <w:t>למי אני חייב כלום</w:t>
      </w:r>
      <w:r>
        <w:rPr>
          <w:rFonts w:hint="cs"/>
          <w:rtl/>
        </w:rPr>
        <w:t>, רש"י.</w:t>
      </w:r>
    </w:p>
  </w:footnote>
  <w:footnote w:id="1821">
    <w:p w14:paraId="018B68DB" w14:textId="77777777" w:rsidR="0013116F" w:rsidRDefault="0013116F" w:rsidP="004B607F">
      <w:pPr>
        <w:pStyle w:val="a9"/>
      </w:pPr>
      <w:r>
        <w:rPr>
          <w:rStyle w:val="ab"/>
        </w:rPr>
        <w:footnoteRef/>
      </w:r>
      <w:r>
        <w:rPr>
          <w:rtl/>
        </w:rPr>
        <w:t xml:space="preserve"> </w:t>
      </w:r>
      <w:r>
        <w:rPr>
          <w:rFonts w:cs="Arial"/>
          <w:rtl/>
        </w:rPr>
        <w:t>לומר לבריות חייב אני מעות לפלוני להתרחק מעין הרע</w:t>
      </w:r>
      <w:r>
        <w:rPr>
          <w:rFonts w:hint="cs"/>
          <w:rtl/>
        </w:rPr>
        <w:t>, רש"י.</w:t>
      </w:r>
    </w:p>
  </w:footnote>
  <w:footnote w:id="1822">
    <w:p w14:paraId="5C4256C6" w14:textId="77777777" w:rsidR="0013116F" w:rsidRDefault="0013116F" w:rsidP="004B607F">
      <w:pPr>
        <w:pStyle w:val="a9"/>
        <w:rPr>
          <w:rtl/>
        </w:rPr>
      </w:pPr>
      <w:r>
        <w:rPr>
          <w:rStyle w:val="ab"/>
        </w:rPr>
        <w:footnoteRef/>
      </w:r>
      <w:r>
        <w:rPr>
          <w:rtl/>
        </w:rPr>
        <w:t xml:space="preserve"> </w:t>
      </w:r>
      <w:r>
        <w:rPr>
          <w:rFonts w:cs="Arial"/>
          <w:rtl/>
        </w:rPr>
        <w:t>שלא ליראות שבע מממון</w:t>
      </w:r>
      <w:r>
        <w:rPr>
          <w:rFonts w:hint="cs"/>
          <w:rtl/>
        </w:rPr>
        <w:t>, רש"י.</w:t>
      </w:r>
    </w:p>
  </w:footnote>
  <w:footnote w:id="1823">
    <w:p w14:paraId="7807D321" w14:textId="77777777" w:rsidR="0013116F" w:rsidRDefault="0013116F" w:rsidP="004B607F">
      <w:pPr>
        <w:pStyle w:val="a9"/>
      </w:pPr>
      <w:r>
        <w:rPr>
          <w:rStyle w:val="ab"/>
        </w:rPr>
        <w:footnoteRef/>
      </w:r>
      <w:r>
        <w:rPr>
          <w:rtl/>
        </w:rPr>
        <w:t xml:space="preserve"> </w:t>
      </w:r>
      <w:r w:rsidRPr="0086776C">
        <w:rPr>
          <w:rFonts w:cs="Arial"/>
          <w:rtl/>
        </w:rPr>
        <w:t>עשיר שלא נהנה מממונו כעכבר זה ששוכב על דינרי זהב ואינו נהנה מהן</w:t>
      </w:r>
      <w:r>
        <w:rPr>
          <w:rFonts w:cs="Arial" w:hint="cs"/>
          <w:rtl/>
        </w:rPr>
        <w:t>, רש"י</w:t>
      </w:r>
      <w:r w:rsidRPr="0086776C">
        <w:rPr>
          <w:rFonts w:cs="Arial"/>
          <w:rtl/>
        </w:rPr>
        <w:t>.</w:t>
      </w:r>
    </w:p>
  </w:footnote>
  <w:footnote w:id="1824">
    <w:p w14:paraId="5F3B7F30" w14:textId="77777777" w:rsidR="0013116F" w:rsidRDefault="0013116F" w:rsidP="004B607F">
      <w:pPr>
        <w:pStyle w:val="a9"/>
      </w:pPr>
      <w:r>
        <w:rPr>
          <w:rStyle w:val="ab"/>
        </w:rPr>
        <w:footnoteRef/>
      </w:r>
      <w:r>
        <w:rPr>
          <w:rtl/>
        </w:rPr>
        <w:t xml:space="preserve"> </w:t>
      </w:r>
      <w:r w:rsidRPr="0086776C">
        <w:rPr>
          <w:rFonts w:cs="Arial"/>
          <w:rtl/>
        </w:rPr>
        <w:t>נשלם החצי שקיבלנו</w:t>
      </w:r>
      <w:r>
        <w:rPr>
          <w:rFonts w:cs="Arial" w:hint="cs"/>
          <w:rtl/>
        </w:rPr>
        <w:t>, רש"י</w:t>
      </w:r>
      <w:r w:rsidRPr="0086776C">
        <w:rPr>
          <w:rFonts w:cs="Arial"/>
          <w:rtl/>
        </w:rPr>
        <w:t>.</w:t>
      </w:r>
      <w:r>
        <w:rPr>
          <w:rFonts w:hint="cs"/>
          <w:rtl/>
        </w:rPr>
        <w:t xml:space="preserve"> אך הרי"ף והרמ"ה פירשו שהיורשים הם אלו שדיברו, </w:t>
      </w:r>
      <w:r w:rsidRPr="00AA69EC">
        <w:rPr>
          <w:rFonts w:hint="cs"/>
          <w:rtl/>
        </w:rPr>
        <w:t>ורצונם לומר 'נלך להוציא מהתובעים את החצי ששילמנו'</w:t>
      </w:r>
      <w:r>
        <w:rPr>
          <w:rFonts w:hint="cs"/>
          <w:rtl/>
        </w:rPr>
        <w:t xml:space="preserve">. </w:t>
      </w:r>
    </w:p>
  </w:footnote>
  <w:footnote w:id="1825">
    <w:p w14:paraId="088B4B5A" w14:textId="77777777" w:rsidR="0013116F" w:rsidRDefault="0013116F" w:rsidP="004B607F">
      <w:pPr>
        <w:pStyle w:val="a9"/>
        <w:rPr>
          <w:rtl/>
        </w:rPr>
      </w:pPr>
      <w:r>
        <w:rPr>
          <w:rStyle w:val="ab"/>
        </w:rPr>
        <w:footnoteRef/>
      </w:r>
      <w:r>
        <w:rPr>
          <w:rtl/>
        </w:rPr>
        <w:t xml:space="preserve"> </w:t>
      </w:r>
      <w:r w:rsidRPr="0086776C">
        <w:rPr>
          <w:rFonts w:cs="Arial"/>
          <w:rtl/>
        </w:rPr>
        <w:t>ר' ישמעאל שקיבלתם על פיו, ולא אחלוק על מה שעשה</w:t>
      </w:r>
      <w:r>
        <w:rPr>
          <w:rFonts w:cs="Arial" w:hint="cs"/>
          <w:rtl/>
        </w:rPr>
        <w:t>, רש"י</w:t>
      </w:r>
      <w:r w:rsidRPr="0086776C">
        <w:rPr>
          <w:rFonts w:cs="Arial"/>
          <w:rtl/>
        </w:rPr>
        <w:t>.</w:t>
      </w:r>
    </w:p>
  </w:footnote>
  <w:footnote w:id="1826">
    <w:p w14:paraId="62D67949" w14:textId="77777777" w:rsidR="0013116F" w:rsidRDefault="0013116F" w:rsidP="004B607F">
      <w:pPr>
        <w:pStyle w:val="a9"/>
        <w:rPr>
          <w:rtl/>
        </w:rPr>
      </w:pPr>
      <w:r>
        <w:rPr>
          <w:rStyle w:val="ab"/>
        </w:rPr>
        <w:footnoteRef/>
      </w:r>
      <w:r>
        <w:rPr>
          <w:rtl/>
        </w:rPr>
        <w:t xml:space="preserve"> </w:t>
      </w:r>
      <w:r>
        <w:rPr>
          <w:rFonts w:cs="Arial"/>
          <w:rtl/>
        </w:rPr>
        <w:t xml:space="preserve">רש"י </w:t>
      </w:r>
      <w:r w:rsidRPr="00A2382F">
        <w:rPr>
          <w:rFonts w:cs="Arial"/>
          <w:sz w:val="16"/>
          <w:szCs w:val="16"/>
          <w:rtl/>
        </w:rPr>
        <w:t xml:space="preserve">(כט. ד"ה משטה) </w:t>
      </w:r>
      <w:r>
        <w:rPr>
          <w:rFonts w:cs="Arial"/>
          <w:rtl/>
        </w:rPr>
        <w:t>ר"י</w:t>
      </w:r>
      <w:r>
        <w:rPr>
          <w:rFonts w:cs="Arial" w:hint="cs"/>
          <w:sz w:val="16"/>
          <w:szCs w:val="16"/>
          <w:rtl/>
        </w:rPr>
        <w:t xml:space="preserve"> (כ"כ המרדכי [סי' תשו] בשמו)</w:t>
      </w:r>
      <w:r>
        <w:rPr>
          <w:rFonts w:cs="Arial" w:hint="cs"/>
          <w:rtl/>
        </w:rPr>
        <w:t xml:space="preserve"> </w:t>
      </w:r>
      <w:r w:rsidRPr="00CE49F5">
        <w:rPr>
          <w:rFonts w:cs="Arial"/>
          <w:rtl/>
        </w:rPr>
        <w:t>תוס</w:t>
      </w:r>
      <w:r>
        <w:rPr>
          <w:rFonts w:cs="Arial" w:hint="cs"/>
          <w:rtl/>
        </w:rPr>
        <w:t xml:space="preserve">' </w:t>
      </w:r>
      <w:r w:rsidRPr="00CE49F5">
        <w:rPr>
          <w:rFonts w:cs="Arial" w:hint="cs"/>
          <w:sz w:val="16"/>
          <w:szCs w:val="16"/>
          <w:rtl/>
        </w:rPr>
        <w:t xml:space="preserve">(כ"כ הנמוק"י בשמו) </w:t>
      </w:r>
      <w:r w:rsidRPr="00CE49F5">
        <w:rPr>
          <w:rFonts w:cs="Arial"/>
          <w:rtl/>
        </w:rPr>
        <w:t xml:space="preserve">מרדכי </w:t>
      </w:r>
      <w:r w:rsidRPr="00CE49F5">
        <w:rPr>
          <w:rFonts w:cs="Arial"/>
          <w:sz w:val="16"/>
          <w:szCs w:val="16"/>
          <w:rtl/>
        </w:rPr>
        <w:t xml:space="preserve">(סי' תשו) </w:t>
      </w:r>
      <w:r w:rsidRPr="00CE49F5">
        <w:rPr>
          <w:rFonts w:cs="Arial"/>
          <w:rtl/>
        </w:rPr>
        <w:t>הגה</w:t>
      </w:r>
      <w:r>
        <w:rPr>
          <w:rFonts w:cs="Arial" w:hint="cs"/>
          <w:rtl/>
        </w:rPr>
        <w:t xml:space="preserve">"מ </w:t>
      </w:r>
      <w:r w:rsidRPr="00CE49F5">
        <w:rPr>
          <w:rFonts w:cs="Arial" w:hint="cs"/>
          <w:sz w:val="16"/>
          <w:szCs w:val="16"/>
          <w:rtl/>
        </w:rPr>
        <w:t>(</w:t>
      </w:r>
      <w:r w:rsidRPr="00CE49F5">
        <w:rPr>
          <w:rFonts w:cs="Arial"/>
          <w:sz w:val="16"/>
          <w:szCs w:val="16"/>
          <w:rtl/>
        </w:rPr>
        <w:t>פ</w:t>
      </w:r>
      <w:r w:rsidRPr="00CE49F5">
        <w:rPr>
          <w:rFonts w:cs="Arial" w:hint="cs"/>
          <w:sz w:val="16"/>
          <w:szCs w:val="16"/>
          <w:rtl/>
        </w:rPr>
        <w:t>"</w:t>
      </w:r>
      <w:r w:rsidRPr="00CE49F5">
        <w:rPr>
          <w:rFonts w:cs="Arial"/>
          <w:sz w:val="16"/>
          <w:szCs w:val="16"/>
          <w:rtl/>
        </w:rPr>
        <w:t>ו מהל</w:t>
      </w:r>
      <w:r w:rsidRPr="00CE49F5">
        <w:rPr>
          <w:rFonts w:cs="Arial" w:hint="cs"/>
          <w:sz w:val="16"/>
          <w:szCs w:val="16"/>
          <w:rtl/>
        </w:rPr>
        <w:t>'</w:t>
      </w:r>
      <w:r w:rsidRPr="00CE49F5">
        <w:rPr>
          <w:rFonts w:cs="Arial"/>
          <w:sz w:val="16"/>
          <w:szCs w:val="16"/>
          <w:rtl/>
        </w:rPr>
        <w:t xml:space="preserve"> טוען אות מ)</w:t>
      </w:r>
      <w:r w:rsidRPr="00CE49F5">
        <w:rPr>
          <w:rFonts w:cs="Arial" w:hint="cs"/>
          <w:sz w:val="16"/>
          <w:szCs w:val="16"/>
          <w:rtl/>
        </w:rPr>
        <w:t xml:space="preserve"> </w:t>
      </w:r>
      <w:r w:rsidRPr="00CE49F5">
        <w:rPr>
          <w:rFonts w:cs="Arial"/>
          <w:rtl/>
        </w:rPr>
        <w:t xml:space="preserve">רא"ש </w:t>
      </w:r>
      <w:r w:rsidRPr="00CE49F5">
        <w:rPr>
          <w:rFonts w:cs="Arial"/>
          <w:sz w:val="16"/>
          <w:szCs w:val="16"/>
          <w:rtl/>
        </w:rPr>
        <w:t>(סי' כה)</w:t>
      </w:r>
      <w:r w:rsidRPr="00CE49F5">
        <w:rPr>
          <w:rFonts w:cs="Arial" w:hint="cs"/>
          <w:sz w:val="16"/>
          <w:szCs w:val="16"/>
          <w:rtl/>
        </w:rPr>
        <w:t xml:space="preserve"> </w:t>
      </w:r>
      <w:r w:rsidRPr="00CE49F5">
        <w:rPr>
          <w:rFonts w:cs="Arial" w:hint="cs"/>
          <w:rtl/>
        </w:rPr>
        <w:t xml:space="preserve">טור ונמוק"י </w:t>
      </w:r>
      <w:r w:rsidRPr="00CE49F5">
        <w:rPr>
          <w:rFonts w:cs="Arial"/>
          <w:sz w:val="16"/>
          <w:szCs w:val="16"/>
          <w:rtl/>
        </w:rPr>
        <w:t>(ח. ד"ה ההוא דהוו)</w:t>
      </w:r>
      <w:r>
        <w:rPr>
          <w:rFonts w:hint="cs"/>
          <w:rtl/>
        </w:rPr>
        <w:t>.</w:t>
      </w:r>
    </w:p>
  </w:footnote>
  <w:footnote w:id="1827">
    <w:p w14:paraId="58F7CB32" w14:textId="77777777" w:rsidR="0013116F" w:rsidRDefault="0013116F" w:rsidP="004B607F">
      <w:pPr>
        <w:pStyle w:val="a9"/>
        <w:rPr>
          <w:rtl/>
        </w:rPr>
      </w:pPr>
      <w:r>
        <w:rPr>
          <w:rStyle w:val="ab"/>
        </w:rPr>
        <w:footnoteRef/>
      </w:r>
      <w:r>
        <w:rPr>
          <w:rtl/>
        </w:rPr>
        <w:t xml:space="preserve"> </w:t>
      </w:r>
      <w:r>
        <w:rPr>
          <w:rFonts w:cs="Arial" w:hint="cs"/>
          <w:rtl/>
        </w:rPr>
        <w:t xml:space="preserve">כ"כ </w:t>
      </w:r>
      <w:r>
        <w:rPr>
          <w:rFonts w:cs="Arial"/>
          <w:rtl/>
        </w:rPr>
        <w:t>ר"י</w:t>
      </w:r>
      <w:r>
        <w:rPr>
          <w:rFonts w:cs="Arial" w:hint="cs"/>
          <w:sz w:val="16"/>
          <w:szCs w:val="16"/>
          <w:rtl/>
        </w:rPr>
        <w:t xml:space="preserve"> (כ"כ המרדכי [סי' תשו] בשמו)</w:t>
      </w:r>
      <w:r>
        <w:rPr>
          <w:rFonts w:cs="Arial" w:hint="cs"/>
          <w:rtl/>
        </w:rPr>
        <w:t xml:space="preserve"> וז"ל- </w:t>
      </w:r>
      <w:r w:rsidRPr="00C02147">
        <w:rPr>
          <w:rFonts w:cs="Arial"/>
          <w:rtl/>
        </w:rPr>
        <w:t xml:space="preserve">בהודה מעצמו אפילו אמר אתם עדי </w:t>
      </w:r>
      <w:r>
        <w:rPr>
          <w:rFonts w:cs="Arial" w:hint="cs"/>
          <w:rtl/>
        </w:rPr>
        <w:t xml:space="preserve">- </w:t>
      </w:r>
      <w:r w:rsidRPr="00C02147">
        <w:rPr>
          <w:rFonts w:cs="Arial"/>
          <w:rtl/>
        </w:rPr>
        <w:t>יכול לחזור בו</w:t>
      </w:r>
      <w:r w:rsidRPr="00C02147">
        <w:rPr>
          <w:rFonts w:cs="Arial" w:hint="cs"/>
          <w:sz w:val="16"/>
          <w:szCs w:val="16"/>
          <w:rtl/>
        </w:rPr>
        <w:t xml:space="preserve"> </w:t>
      </w:r>
      <w:r>
        <w:rPr>
          <w:rFonts w:cs="Arial" w:hint="cs"/>
          <w:sz w:val="16"/>
          <w:szCs w:val="16"/>
          <w:rtl/>
        </w:rPr>
        <w:t>{ולומר שלא להשביע...}</w:t>
      </w:r>
      <w:r>
        <w:rPr>
          <w:rFonts w:cs="Arial" w:hint="cs"/>
          <w:rtl/>
        </w:rPr>
        <w:t>.</w:t>
      </w:r>
      <w:r w:rsidRPr="00C02147">
        <w:rPr>
          <w:rFonts w:cs="Arial"/>
          <w:rtl/>
        </w:rPr>
        <w:t xml:space="preserve"> וה"מ שלא בפני מלוה אי נמי בפניו ושותק</w:t>
      </w:r>
      <w:r>
        <w:rPr>
          <w:rFonts w:cs="Arial" w:hint="cs"/>
          <w:rtl/>
        </w:rPr>
        <w:t>,</w:t>
      </w:r>
      <w:r w:rsidRPr="00C02147">
        <w:rPr>
          <w:rFonts w:cs="Arial"/>
          <w:rtl/>
        </w:rPr>
        <w:t xml:space="preserve"> אבל אם אמר מלוה אתם עדי ולוה שותק חייב היינו טענו</w:t>
      </w:r>
      <w:r>
        <w:rPr>
          <w:rFonts w:cs="Arial" w:hint="cs"/>
          <w:rtl/>
        </w:rPr>
        <w:t>. עכ"ל המרדכי בשמו.</w:t>
      </w:r>
      <w:r>
        <w:rPr>
          <w:rFonts w:cs="Arial"/>
          <w:rtl/>
        </w:rPr>
        <w:t xml:space="preserve"> וכן כתב רבינו סימן פ"א (סכ"א) בשם הראב"ד ורבינו חלק עליו</w:t>
      </w:r>
      <w:r>
        <w:rPr>
          <w:rFonts w:hint="cs"/>
          <w:rtl/>
        </w:rPr>
        <w:t>, ב"י. והב"ח תמה על הב"י, דהרי דברי ר"י ברורים. וכן פשוט בגמ' (סנהדרין כט:) מהא דאמר רבינא ואיתימא רב פפא. ואפשר שגם הטור מודה בזה.</w:t>
      </w:r>
    </w:p>
  </w:footnote>
  <w:footnote w:id="1828">
    <w:p w14:paraId="353B29A9" w14:textId="77777777" w:rsidR="0013116F" w:rsidRDefault="0013116F" w:rsidP="004B607F">
      <w:pPr>
        <w:pStyle w:val="a9"/>
        <w:rPr>
          <w:rtl/>
        </w:rPr>
      </w:pPr>
      <w:r>
        <w:rPr>
          <w:rStyle w:val="ab"/>
        </w:rPr>
        <w:footnoteRef/>
      </w:r>
      <w:r>
        <w:rPr>
          <w:rtl/>
        </w:rPr>
        <w:t xml:space="preserve"> </w:t>
      </w:r>
      <w:r>
        <w:rPr>
          <w:rFonts w:cs="Arial" w:hint="cs"/>
          <w:rtl/>
        </w:rPr>
        <w:t xml:space="preserve">וכ"כ הנמוק"י </w:t>
      </w:r>
      <w:r w:rsidRPr="00CE49F5">
        <w:rPr>
          <w:rFonts w:cs="Arial" w:hint="cs"/>
          <w:sz w:val="16"/>
          <w:szCs w:val="16"/>
          <w:rtl/>
        </w:rPr>
        <w:t>(ח.</w:t>
      </w:r>
      <w:r>
        <w:rPr>
          <w:rFonts w:cs="Arial" w:hint="cs"/>
          <w:sz w:val="16"/>
          <w:szCs w:val="16"/>
          <w:rtl/>
        </w:rPr>
        <w:t xml:space="preserve">) </w:t>
      </w:r>
      <w:r>
        <w:rPr>
          <w:rFonts w:cs="Arial" w:hint="cs"/>
          <w:rtl/>
        </w:rPr>
        <w:t>בשם יש מי שאומר</w:t>
      </w:r>
      <w:r>
        <w:rPr>
          <w:rFonts w:cs="Arial" w:hint="cs"/>
          <w:sz w:val="16"/>
          <w:szCs w:val="16"/>
          <w:rtl/>
        </w:rPr>
        <w:t xml:space="preserve"> (וז"ל- </w:t>
      </w:r>
      <w:r w:rsidRPr="002E2D5A">
        <w:rPr>
          <w:rFonts w:cs="Arial"/>
          <w:sz w:val="16"/>
          <w:szCs w:val="16"/>
          <w:rtl/>
        </w:rPr>
        <w:t>כל היכא שהודה לבעל דבר עצמו שלא ע</w:t>
      </w:r>
      <w:r w:rsidRPr="002E2D5A">
        <w:rPr>
          <w:rFonts w:cs="Arial" w:hint="cs"/>
          <w:sz w:val="16"/>
          <w:szCs w:val="16"/>
          <w:rtl/>
        </w:rPr>
        <w:t>"</w:t>
      </w:r>
      <w:r w:rsidRPr="002E2D5A">
        <w:rPr>
          <w:rFonts w:cs="Arial"/>
          <w:sz w:val="16"/>
          <w:szCs w:val="16"/>
          <w:rtl/>
        </w:rPr>
        <w:t>י תביעה לא בעינן שיאמר אתם עדי</w:t>
      </w:r>
      <w:r w:rsidRPr="002E2D5A">
        <w:rPr>
          <w:rFonts w:cs="Arial" w:hint="cs"/>
          <w:sz w:val="16"/>
          <w:szCs w:val="16"/>
          <w:rtl/>
        </w:rPr>
        <w:t>,</w:t>
      </w:r>
      <w:r w:rsidRPr="002E2D5A">
        <w:rPr>
          <w:rFonts w:cs="Arial"/>
          <w:sz w:val="16"/>
          <w:szCs w:val="16"/>
          <w:rtl/>
        </w:rPr>
        <w:t xml:space="preserve"> דלא אמרינן טעמא דאדם עשוי שלא להשביע את עצמו אלא בעדים אבל בבעל דבר עצמו </w:t>
      </w:r>
      <w:r w:rsidRPr="002E2D5A">
        <w:rPr>
          <w:rFonts w:cs="Arial" w:hint="cs"/>
          <w:sz w:val="16"/>
          <w:szCs w:val="16"/>
          <w:rtl/>
        </w:rPr>
        <w:t xml:space="preserve">– </w:t>
      </w:r>
      <w:r w:rsidRPr="002E2D5A">
        <w:rPr>
          <w:rFonts w:cs="Arial"/>
          <w:sz w:val="16"/>
          <w:szCs w:val="16"/>
          <w:rtl/>
        </w:rPr>
        <w:t>לא</w:t>
      </w:r>
      <w:r w:rsidRPr="002E2D5A">
        <w:rPr>
          <w:rFonts w:cs="Arial" w:hint="cs"/>
          <w:sz w:val="16"/>
          <w:szCs w:val="16"/>
          <w:rtl/>
        </w:rPr>
        <w:t>,</w:t>
      </w:r>
      <w:r w:rsidRPr="002E2D5A">
        <w:rPr>
          <w:rFonts w:cs="Arial"/>
          <w:sz w:val="16"/>
          <w:szCs w:val="16"/>
          <w:rtl/>
        </w:rPr>
        <w:t xml:space="preserve"> שאין אדם עשוי להודות לחבירו שהוא חייב לו אם אינו אמת משום טעמא דשלא להשביע</w:t>
      </w:r>
      <w:r w:rsidRPr="00CE49F5">
        <w:rPr>
          <w:rFonts w:cs="Arial" w:hint="cs"/>
          <w:sz w:val="16"/>
          <w:szCs w:val="16"/>
          <w:rtl/>
        </w:rPr>
        <w:t>)</w:t>
      </w:r>
      <w:r>
        <w:rPr>
          <w:rFonts w:cs="Arial" w:hint="cs"/>
          <w:rtl/>
        </w:rPr>
        <w:t xml:space="preserve"> ונראה שכוונתו לרמב"ם. אך כתב הנמוק"י על דבריו וז"ל- </w:t>
      </w:r>
      <w:r w:rsidRPr="00CE49F5">
        <w:rPr>
          <w:rFonts w:cs="Arial"/>
          <w:rtl/>
        </w:rPr>
        <w:t>ומיהו לישנא דמתניתין לא דייק הכי</w:t>
      </w:r>
      <w:r w:rsidRPr="00CE49F5">
        <w:rPr>
          <w:rFonts w:cs="Arial" w:hint="cs"/>
          <w:rtl/>
        </w:rPr>
        <w:t>,</w:t>
      </w:r>
      <w:r w:rsidRPr="00CE49F5">
        <w:rPr>
          <w:rFonts w:cs="Arial"/>
          <w:rtl/>
        </w:rPr>
        <w:t xml:space="preserve"> דקתני לא אמר כלום עד שיאמר בפנינו הודה לו</w:t>
      </w:r>
      <w:r w:rsidRPr="00CE49F5">
        <w:rPr>
          <w:rFonts w:cs="Arial" w:hint="cs"/>
          <w:rtl/>
        </w:rPr>
        <w:t>,</w:t>
      </w:r>
      <w:r w:rsidRPr="00CE49F5">
        <w:rPr>
          <w:rFonts w:cs="Arial"/>
          <w:rtl/>
        </w:rPr>
        <w:t xml:space="preserve"> ומתניתין כללא כייל דלעולם לא מהני אפילו במודה לבעל דבר עד שיאמר בפנינו הודה דהיינו אתם עדי</w:t>
      </w:r>
      <w:r w:rsidRPr="00CE49F5">
        <w:rPr>
          <w:rFonts w:cs="Arial" w:hint="cs"/>
          <w:rtl/>
        </w:rPr>
        <w:t>,</w:t>
      </w:r>
      <w:r w:rsidRPr="00CE49F5">
        <w:rPr>
          <w:rFonts w:cs="Arial"/>
          <w:rtl/>
        </w:rPr>
        <w:t xml:space="preserve"> וכ</w:t>
      </w:r>
      <w:r>
        <w:rPr>
          <w:rFonts w:cs="Arial" w:hint="cs"/>
          <w:rtl/>
        </w:rPr>
        <w:t>"כ</w:t>
      </w:r>
      <w:r w:rsidRPr="00CE49F5">
        <w:rPr>
          <w:rFonts w:cs="Arial"/>
          <w:rtl/>
        </w:rPr>
        <w:t xml:space="preserve"> התוס</w:t>
      </w:r>
      <w:r>
        <w:rPr>
          <w:rFonts w:cs="Arial" w:hint="cs"/>
          <w:rtl/>
        </w:rPr>
        <w:t>'</w:t>
      </w:r>
      <w:r w:rsidRPr="00CE49F5">
        <w:rPr>
          <w:rFonts w:cs="Arial"/>
          <w:rtl/>
        </w:rPr>
        <w:t xml:space="preserve"> ע</w:t>
      </w:r>
      <w:r>
        <w:rPr>
          <w:rFonts w:cs="Arial" w:hint="cs"/>
          <w:rtl/>
        </w:rPr>
        <w:t>כ"</w:t>
      </w:r>
      <w:r w:rsidRPr="00CE49F5">
        <w:rPr>
          <w:rFonts w:cs="Arial"/>
          <w:rtl/>
        </w:rPr>
        <w:t xml:space="preserve">ד </w:t>
      </w:r>
      <w:r>
        <w:rPr>
          <w:rFonts w:cs="Arial" w:hint="cs"/>
          <w:rtl/>
        </w:rPr>
        <w:t>הנמוק"י</w:t>
      </w:r>
      <w:r w:rsidRPr="00CE49F5">
        <w:rPr>
          <w:rFonts w:cs="Arial"/>
          <w:rtl/>
        </w:rPr>
        <w:t xml:space="preserve">. </w:t>
      </w:r>
      <w:r>
        <w:rPr>
          <w:rFonts w:cs="Arial" w:hint="cs"/>
          <w:rtl/>
        </w:rPr>
        <w:t>וכתב הב"י שכ"כ</w:t>
      </w:r>
      <w:r w:rsidRPr="00CE49F5">
        <w:rPr>
          <w:rFonts w:cs="Arial"/>
          <w:rtl/>
        </w:rPr>
        <w:t xml:space="preserve"> הרא"ש (סי' כה) והמרדכי (סי' תשו) </w:t>
      </w:r>
      <w:r>
        <w:rPr>
          <w:rFonts w:cs="Arial" w:hint="cs"/>
          <w:rtl/>
        </w:rPr>
        <w:t>ו</w:t>
      </w:r>
      <w:r w:rsidRPr="00CE49F5">
        <w:rPr>
          <w:rFonts w:cs="Arial"/>
          <w:rtl/>
        </w:rPr>
        <w:t>הגה</w:t>
      </w:r>
      <w:r>
        <w:rPr>
          <w:rFonts w:cs="Arial" w:hint="cs"/>
          <w:rtl/>
        </w:rPr>
        <w:t>"מ (פ"ו</w:t>
      </w:r>
      <w:r w:rsidRPr="00CE49F5">
        <w:rPr>
          <w:rFonts w:cs="Arial"/>
          <w:rtl/>
        </w:rPr>
        <w:t xml:space="preserve"> מהל</w:t>
      </w:r>
      <w:r>
        <w:rPr>
          <w:rFonts w:cs="Arial" w:hint="cs"/>
          <w:rtl/>
        </w:rPr>
        <w:t>'</w:t>
      </w:r>
      <w:r w:rsidRPr="00CE49F5">
        <w:rPr>
          <w:rFonts w:cs="Arial"/>
          <w:rtl/>
        </w:rPr>
        <w:t xml:space="preserve"> טוען אות מ)</w:t>
      </w:r>
      <w:r w:rsidRPr="00CE49F5">
        <w:rPr>
          <w:rFonts w:cs="Arial" w:hint="cs"/>
          <w:rtl/>
        </w:rPr>
        <w:t>.</w:t>
      </w:r>
    </w:p>
  </w:footnote>
  <w:footnote w:id="1829">
    <w:p w14:paraId="39BA12D5" w14:textId="77777777" w:rsidR="0013116F" w:rsidRDefault="0013116F" w:rsidP="004B607F">
      <w:pPr>
        <w:pStyle w:val="a9"/>
      </w:pPr>
      <w:r>
        <w:rPr>
          <w:rStyle w:val="ab"/>
        </w:rPr>
        <w:footnoteRef/>
      </w:r>
      <w:r>
        <w:rPr>
          <w:rtl/>
        </w:rPr>
        <w:t xml:space="preserve"> </w:t>
      </w:r>
      <w:r>
        <w:rPr>
          <w:rFonts w:cs="Arial"/>
          <w:rtl/>
        </w:rPr>
        <w:t>כן משמע ממה שכתב (סי' כד) אהא דאמר רבי יוחנן (סנהדרין כט.) צריך שיאמר אתם עדי וכן משמע לישנא דמתניתין בפנינו הודה לו משמע שייחד לנו לעדים שאמר לנו הלוה מודה אני בפניכם ואתם העידו עלי לו או שאמר המלוה אתם עדי ואמר הלוה כן תהיו עדים או ששתק הלוה אבל בענין אחר לא עכ"ל. וכן משמע ממה שכתב בתשובה כלל ס"ה</w:t>
      </w:r>
      <w:r>
        <w:rPr>
          <w:rFonts w:cs="Arial" w:hint="cs"/>
          <w:rtl/>
        </w:rPr>
        <w:t xml:space="preserve"> (</w:t>
      </w:r>
      <w:r>
        <w:rPr>
          <w:rFonts w:cs="Arial"/>
          <w:rtl/>
        </w:rPr>
        <w:t>סי' ג)</w:t>
      </w:r>
      <w:r>
        <w:rPr>
          <w:rFonts w:cs="Arial" w:hint="cs"/>
          <w:rtl/>
        </w:rPr>
        <w:t>, ב"י</w:t>
      </w:r>
      <w:r>
        <w:rPr>
          <w:rFonts w:cs="Arial"/>
          <w:rtl/>
        </w:rPr>
        <w:t>.</w:t>
      </w:r>
    </w:p>
  </w:footnote>
  <w:footnote w:id="1830">
    <w:p w14:paraId="3271586F" w14:textId="77777777" w:rsidR="0013116F" w:rsidRDefault="0013116F" w:rsidP="004B607F">
      <w:pPr>
        <w:pStyle w:val="a9"/>
      </w:pPr>
      <w:r>
        <w:rPr>
          <w:rStyle w:val="ab"/>
        </w:rPr>
        <w:footnoteRef/>
      </w:r>
      <w:r>
        <w:rPr>
          <w:rtl/>
        </w:rPr>
        <w:t xml:space="preserve"> </w:t>
      </w:r>
      <w:r>
        <w:rPr>
          <w:rFonts w:hint="cs"/>
          <w:rtl/>
        </w:rPr>
        <w:t xml:space="preserve">וז"ל הטור בשמו- </w:t>
      </w:r>
      <w:r w:rsidRPr="005D6AE1">
        <w:rPr>
          <w:rFonts w:cs="Arial"/>
          <w:rtl/>
        </w:rPr>
        <w:t>אם אמר הריני מודה לפניכם אין צריך לומר אתם עדי דעד כאן לא קאמרי' שצריך לומר אתם עדי אלא בשלא אמר לוה בלשון הודאה אבל אם אמר בלשון הודאה א"צ לומר אתם עדי דתו לא מצי לומר משטה הייתי בך</w:t>
      </w:r>
      <w:r>
        <w:rPr>
          <w:rFonts w:cs="Arial" w:hint="cs"/>
          <w:rtl/>
        </w:rPr>
        <w:t>.</w:t>
      </w:r>
    </w:p>
  </w:footnote>
  <w:footnote w:id="1831">
    <w:p w14:paraId="415A791C" w14:textId="77777777" w:rsidR="0013116F" w:rsidRDefault="0013116F" w:rsidP="004B607F">
      <w:pPr>
        <w:pStyle w:val="a9"/>
        <w:rPr>
          <w:rtl/>
        </w:rPr>
      </w:pPr>
      <w:r>
        <w:rPr>
          <w:rStyle w:val="ab"/>
        </w:rPr>
        <w:footnoteRef/>
      </w:r>
      <w:r>
        <w:rPr>
          <w:rtl/>
        </w:rPr>
        <w:t xml:space="preserve"> </w:t>
      </w:r>
      <w:r w:rsidRPr="005D6AE1">
        <w:rPr>
          <w:rFonts w:cs="Arial"/>
          <w:rtl/>
        </w:rPr>
        <w:t xml:space="preserve">רמב"ם </w:t>
      </w:r>
      <w:r w:rsidRPr="005D6AE1">
        <w:rPr>
          <w:rFonts w:cs="Arial" w:hint="cs"/>
          <w:sz w:val="16"/>
          <w:szCs w:val="16"/>
          <w:rtl/>
        </w:rPr>
        <w:t>(פ"ז מהל' טוען ונטען ה"א)</w:t>
      </w:r>
      <w:r w:rsidRPr="005D6AE1">
        <w:rPr>
          <w:rFonts w:cs="Arial" w:hint="cs"/>
          <w:rtl/>
        </w:rPr>
        <w:t xml:space="preserve"> </w:t>
      </w:r>
      <w:r>
        <w:rPr>
          <w:rFonts w:cs="Arial" w:hint="cs"/>
          <w:rtl/>
        </w:rPr>
        <w:t xml:space="preserve">רמ"ה </w:t>
      </w:r>
      <w:r w:rsidRPr="005D6AE1">
        <w:rPr>
          <w:rFonts w:cs="Arial" w:hint="cs"/>
          <w:sz w:val="16"/>
          <w:szCs w:val="16"/>
          <w:rtl/>
        </w:rPr>
        <w:t>(</w:t>
      </w:r>
      <w:r>
        <w:rPr>
          <w:rFonts w:cs="Arial" w:hint="cs"/>
          <w:sz w:val="16"/>
          <w:szCs w:val="16"/>
          <w:rtl/>
        </w:rPr>
        <w:t xml:space="preserve">כט. ד"ה פיסקא אם אמר, </w:t>
      </w:r>
      <w:r w:rsidRPr="005D6AE1">
        <w:rPr>
          <w:rFonts w:cs="Arial" w:hint="cs"/>
          <w:sz w:val="16"/>
          <w:szCs w:val="16"/>
          <w:rtl/>
        </w:rPr>
        <w:t>כ"כ בשמו הטור</w:t>
      </w:r>
      <w:r>
        <w:rPr>
          <w:rFonts w:cs="Arial" w:hint="cs"/>
          <w:sz w:val="16"/>
          <w:szCs w:val="16"/>
          <w:rtl/>
        </w:rPr>
        <w:t xml:space="preserve"> [כאן ובסי' פא סי"ב-יד]</w:t>
      </w:r>
      <w:r w:rsidRPr="005D6AE1">
        <w:rPr>
          <w:rFonts w:cs="Arial" w:hint="cs"/>
          <w:sz w:val="16"/>
          <w:szCs w:val="16"/>
          <w:rtl/>
        </w:rPr>
        <w:t>)</w:t>
      </w:r>
      <w:r>
        <w:rPr>
          <w:rFonts w:cs="Arial" w:hint="cs"/>
          <w:rtl/>
        </w:rPr>
        <w:t xml:space="preserve"> ו</w:t>
      </w:r>
      <w:r>
        <w:rPr>
          <w:rFonts w:cs="Arial"/>
          <w:rtl/>
        </w:rPr>
        <w:t xml:space="preserve">בעל התרומות </w:t>
      </w:r>
      <w:r w:rsidRPr="005D6AE1">
        <w:rPr>
          <w:rFonts w:cs="Arial" w:hint="cs"/>
          <w:sz w:val="16"/>
          <w:szCs w:val="16"/>
          <w:rtl/>
        </w:rPr>
        <w:t>(</w:t>
      </w:r>
      <w:r w:rsidRPr="005D6AE1">
        <w:rPr>
          <w:rFonts w:cs="Arial"/>
          <w:sz w:val="16"/>
          <w:szCs w:val="16"/>
          <w:rtl/>
        </w:rPr>
        <w:t>שער מב ח"א סי' ח וסי' י</w:t>
      </w:r>
      <w:r w:rsidRPr="005D6AE1">
        <w:rPr>
          <w:rFonts w:cs="Arial" w:hint="cs"/>
          <w:sz w:val="16"/>
          <w:szCs w:val="16"/>
          <w:rtl/>
        </w:rPr>
        <w:t>, כ"כ הב"י בשמו</w:t>
      </w:r>
      <w:r w:rsidRPr="005D6AE1">
        <w:rPr>
          <w:rFonts w:cs="Arial"/>
          <w:sz w:val="16"/>
          <w:szCs w:val="16"/>
          <w:rtl/>
        </w:rPr>
        <w:t>)</w:t>
      </w:r>
      <w:r>
        <w:rPr>
          <w:rFonts w:hint="cs"/>
          <w:rtl/>
        </w:rPr>
        <w:t>.</w:t>
      </w:r>
    </w:p>
  </w:footnote>
  <w:footnote w:id="1832">
    <w:p w14:paraId="46E4F865" w14:textId="77777777" w:rsidR="0013116F" w:rsidRDefault="0013116F" w:rsidP="004B607F">
      <w:pPr>
        <w:pStyle w:val="a9"/>
      </w:pPr>
      <w:r>
        <w:rPr>
          <w:rStyle w:val="ab"/>
        </w:rPr>
        <w:footnoteRef/>
      </w:r>
      <w:r>
        <w:rPr>
          <w:rtl/>
        </w:rPr>
        <w:t xml:space="preserve"> </w:t>
      </w:r>
      <w:r>
        <w:rPr>
          <w:rFonts w:cs="Arial" w:hint="cs"/>
          <w:rtl/>
        </w:rPr>
        <w:t xml:space="preserve">מ"ש חייב </w:t>
      </w:r>
      <w:r>
        <w:rPr>
          <w:rFonts w:cs="Arial"/>
          <w:rtl/>
        </w:rPr>
        <w:t>היינו לומר שאינו יכול לטעון טענת משטה</w:t>
      </w:r>
      <w:r>
        <w:rPr>
          <w:rFonts w:cs="Arial" w:hint="cs"/>
          <w:rtl/>
        </w:rPr>
        <w:t>]</w:t>
      </w:r>
      <w:r>
        <w:rPr>
          <w:rFonts w:cs="Arial"/>
          <w:rtl/>
        </w:rPr>
        <w:t xml:space="preserve"> אבל טענת שלא להשביע יכול לטעון אא</w:t>
      </w:r>
      <w:r>
        <w:rPr>
          <w:rFonts w:cs="Arial" w:hint="cs"/>
          <w:rtl/>
        </w:rPr>
        <w:t>"</w:t>
      </w:r>
      <w:r>
        <w:rPr>
          <w:rFonts w:cs="Arial"/>
          <w:rtl/>
        </w:rPr>
        <w:t>כ הודה כן בפני התובע</w:t>
      </w:r>
      <w:r>
        <w:rPr>
          <w:rFonts w:cs="Arial" w:hint="cs"/>
          <w:rtl/>
        </w:rPr>
        <w:t>.</w:t>
      </w:r>
      <w:r>
        <w:rPr>
          <w:rFonts w:cs="Arial"/>
          <w:rtl/>
        </w:rPr>
        <w:t xml:space="preserve"> וכך מבואר שם בדברי הרמב"ם</w:t>
      </w:r>
      <w:r>
        <w:rPr>
          <w:rFonts w:cs="Arial" w:hint="cs"/>
          <w:rtl/>
        </w:rPr>
        <w:t>.</w:t>
      </w:r>
      <w:r>
        <w:rPr>
          <w:rFonts w:cs="Arial"/>
          <w:rtl/>
        </w:rPr>
        <w:t xml:space="preserve"> וכבר השתדל המגיד למצוא מהיכן למד הרמב"ם לכתוב כן</w:t>
      </w:r>
      <w:r>
        <w:rPr>
          <w:rFonts w:cs="Arial" w:hint="cs"/>
          <w:rtl/>
        </w:rPr>
        <w:t>,</w:t>
      </w:r>
      <w:r>
        <w:rPr>
          <w:rFonts w:cs="Arial"/>
          <w:rtl/>
        </w:rPr>
        <w:t xml:space="preserve"> ואני אומר שלמד כן מדגרסינן בירושלמי פ</w:t>
      </w:r>
      <w:r>
        <w:rPr>
          <w:rFonts w:cs="Arial" w:hint="cs"/>
          <w:rtl/>
        </w:rPr>
        <w:t>'</w:t>
      </w:r>
      <w:r>
        <w:rPr>
          <w:rFonts w:cs="Arial"/>
          <w:rtl/>
        </w:rPr>
        <w:t xml:space="preserve"> זה בורר</w:t>
      </w:r>
      <w:r w:rsidRPr="005D6AE1">
        <w:rPr>
          <w:rFonts w:cs="Arial"/>
          <w:sz w:val="16"/>
          <w:szCs w:val="16"/>
          <w:rtl/>
        </w:rPr>
        <w:t xml:space="preserve"> (ה"ח) </w:t>
      </w:r>
      <w:r>
        <w:rPr>
          <w:rFonts w:cs="Arial"/>
          <w:rtl/>
        </w:rPr>
        <w:t xml:space="preserve">אהא דתנן שאם אמרו העדים </w:t>
      </w:r>
      <w:r>
        <w:rPr>
          <w:rFonts w:cs="Arial" w:hint="cs"/>
          <w:rtl/>
        </w:rPr>
        <w:t>'</w:t>
      </w:r>
      <w:r>
        <w:rPr>
          <w:rFonts w:cs="Arial"/>
          <w:rtl/>
        </w:rPr>
        <w:t>הוא אמר לנו שהוא חייב לו</w:t>
      </w:r>
      <w:r>
        <w:rPr>
          <w:rFonts w:cs="Arial" w:hint="cs"/>
          <w:rtl/>
        </w:rPr>
        <w:t>'</w:t>
      </w:r>
      <w:r>
        <w:rPr>
          <w:rFonts w:cs="Arial"/>
          <w:rtl/>
        </w:rPr>
        <w:t xml:space="preserve"> אינו כלום עד שיאמרו בפנינו הודה שהוא חייב לו ק"ק זוז</w:t>
      </w:r>
      <w:r>
        <w:rPr>
          <w:rFonts w:cs="Arial" w:hint="cs"/>
          <w:rtl/>
        </w:rPr>
        <w:t>,</w:t>
      </w:r>
      <w:r>
        <w:rPr>
          <w:rFonts w:cs="Arial"/>
          <w:rtl/>
        </w:rPr>
        <w:t xml:space="preserve"> רבי יוסא בשם רבי יוחנן אמר אם היה מתכוין למסור לו עדות עדותו מתקיימת</w:t>
      </w:r>
      <w:r>
        <w:rPr>
          <w:rFonts w:cs="Arial" w:hint="cs"/>
          <w:rtl/>
        </w:rPr>
        <w:t>.</w:t>
      </w:r>
      <w:r>
        <w:rPr>
          <w:rFonts w:cs="Arial"/>
          <w:rtl/>
        </w:rPr>
        <w:t xml:space="preserve"> והוא ז"ל מפרש אם כמוסר דבריו דהיינו שאומר כן דרך הודייה לא דרך שיחה ודלא כדפירש הרא"ש בפ</w:t>
      </w:r>
      <w:r>
        <w:rPr>
          <w:rFonts w:cs="Arial" w:hint="cs"/>
          <w:rtl/>
        </w:rPr>
        <w:t>'</w:t>
      </w:r>
      <w:r>
        <w:rPr>
          <w:rFonts w:cs="Arial"/>
          <w:rtl/>
        </w:rPr>
        <w:t xml:space="preserve"> חזקת </w:t>
      </w:r>
      <w:r w:rsidRPr="005D6AE1">
        <w:rPr>
          <w:rFonts w:cs="Arial"/>
          <w:sz w:val="16"/>
          <w:szCs w:val="16"/>
          <w:rtl/>
        </w:rPr>
        <w:t>(סי</w:t>
      </w:r>
      <w:r w:rsidRPr="005D6AE1">
        <w:rPr>
          <w:rFonts w:cs="Arial" w:hint="cs"/>
          <w:sz w:val="16"/>
          <w:szCs w:val="16"/>
          <w:rtl/>
        </w:rPr>
        <w:t>'</w:t>
      </w:r>
      <w:r w:rsidRPr="005D6AE1">
        <w:rPr>
          <w:rFonts w:cs="Arial"/>
          <w:sz w:val="16"/>
          <w:szCs w:val="16"/>
          <w:rtl/>
        </w:rPr>
        <w:t xml:space="preserve"> לא) </w:t>
      </w:r>
      <w:r>
        <w:rPr>
          <w:rFonts w:cs="Arial"/>
          <w:rtl/>
        </w:rPr>
        <w:t>דאם כמוסר דבריו היינו אם אמר לו אתה עד</w:t>
      </w:r>
      <w:r>
        <w:rPr>
          <w:rFonts w:cs="Arial" w:hint="cs"/>
          <w:rtl/>
        </w:rPr>
        <w:t>...</w:t>
      </w:r>
      <w:r>
        <w:rPr>
          <w:rFonts w:cs="Arial"/>
          <w:rtl/>
        </w:rPr>
        <w:t xml:space="preserve"> וכ</w:t>
      </w:r>
      <w:r>
        <w:rPr>
          <w:rFonts w:cs="Arial" w:hint="cs"/>
          <w:rtl/>
        </w:rPr>
        <w:t>'</w:t>
      </w:r>
      <w:r>
        <w:rPr>
          <w:rFonts w:cs="Arial"/>
          <w:rtl/>
        </w:rPr>
        <w:t xml:space="preserve"> נמוק</w:t>
      </w:r>
      <w:r>
        <w:rPr>
          <w:rFonts w:cs="Arial" w:hint="cs"/>
          <w:rtl/>
        </w:rPr>
        <w:t>"</w:t>
      </w:r>
      <w:r>
        <w:rPr>
          <w:rFonts w:cs="Arial"/>
          <w:rtl/>
        </w:rPr>
        <w:t xml:space="preserve">י </w:t>
      </w:r>
      <w:r w:rsidRPr="005D6AE1">
        <w:rPr>
          <w:rFonts w:cs="Arial"/>
          <w:sz w:val="16"/>
          <w:szCs w:val="16"/>
          <w:rtl/>
        </w:rPr>
        <w:t xml:space="preserve">(ח.) </w:t>
      </w:r>
      <w:r>
        <w:rPr>
          <w:rFonts w:cs="Arial"/>
          <w:rtl/>
        </w:rPr>
        <w:t>על זה הירושלמי</w:t>
      </w:r>
      <w:r>
        <w:rPr>
          <w:rFonts w:cs="Arial" w:hint="cs"/>
          <w:rtl/>
        </w:rPr>
        <w:t>-</w:t>
      </w:r>
      <w:r>
        <w:rPr>
          <w:rFonts w:cs="Arial"/>
          <w:rtl/>
        </w:rPr>
        <w:t xml:space="preserve"> משמע דאפי</w:t>
      </w:r>
      <w:r>
        <w:rPr>
          <w:rFonts w:cs="Arial" w:hint="cs"/>
          <w:rtl/>
        </w:rPr>
        <w:t>'</w:t>
      </w:r>
      <w:r>
        <w:rPr>
          <w:rFonts w:cs="Arial"/>
          <w:rtl/>
        </w:rPr>
        <w:t xml:space="preserve"> ע</w:t>
      </w:r>
      <w:r>
        <w:rPr>
          <w:rFonts w:cs="Arial" w:hint="cs"/>
          <w:rtl/>
        </w:rPr>
        <w:t>"</w:t>
      </w:r>
      <w:r>
        <w:rPr>
          <w:rFonts w:cs="Arial"/>
          <w:rtl/>
        </w:rPr>
        <w:t>י תביעה מהני</w:t>
      </w:r>
      <w:r>
        <w:rPr>
          <w:rFonts w:cs="Arial" w:hint="cs"/>
          <w:rtl/>
        </w:rPr>
        <w:t>,</w:t>
      </w:r>
      <w:r>
        <w:rPr>
          <w:rFonts w:cs="Arial"/>
          <w:rtl/>
        </w:rPr>
        <w:t xml:space="preserve"> כמוסר</w:t>
      </w:r>
      <w:r>
        <w:rPr>
          <w:rFonts w:cs="Arial" w:hint="cs"/>
          <w:rtl/>
        </w:rPr>
        <w:t>,</w:t>
      </w:r>
      <w:r>
        <w:rPr>
          <w:rFonts w:cs="Arial"/>
          <w:rtl/>
        </w:rPr>
        <w:t xml:space="preserve"> שכיון שמסר להם עדות אין זו השטאה</w:t>
      </w:r>
      <w:r>
        <w:rPr>
          <w:rFonts w:cs="Arial" w:hint="cs"/>
          <w:rtl/>
        </w:rPr>
        <w:t>,</w:t>
      </w:r>
      <w:r>
        <w:rPr>
          <w:rFonts w:cs="Arial"/>
          <w:rtl/>
        </w:rPr>
        <w:t xml:space="preserve"> אבל שלא ע</w:t>
      </w:r>
      <w:r>
        <w:rPr>
          <w:rFonts w:cs="Arial" w:hint="cs"/>
          <w:rtl/>
        </w:rPr>
        <w:t>"</w:t>
      </w:r>
      <w:r>
        <w:rPr>
          <w:rFonts w:cs="Arial"/>
          <w:rtl/>
        </w:rPr>
        <w:t>י תביעה דליכא למיחש להשטות אלא משום שאין אדם עשוי להשביע את עצמו</w:t>
      </w:r>
      <w:r>
        <w:rPr>
          <w:rFonts w:cs="Arial" w:hint="cs"/>
          <w:rtl/>
        </w:rPr>
        <w:t>,</w:t>
      </w:r>
      <w:r>
        <w:rPr>
          <w:rFonts w:cs="Arial"/>
          <w:rtl/>
        </w:rPr>
        <w:t xml:space="preserve"> כל שהוא כמוסר דבריו בין לבע</w:t>
      </w:r>
      <w:r>
        <w:rPr>
          <w:rFonts w:cs="Arial" w:hint="cs"/>
          <w:rtl/>
        </w:rPr>
        <w:t>"</w:t>
      </w:r>
      <w:r>
        <w:rPr>
          <w:rFonts w:cs="Arial"/>
          <w:rtl/>
        </w:rPr>
        <w:t>ד בין לעדים –</w:t>
      </w:r>
      <w:r>
        <w:rPr>
          <w:rFonts w:cs="Arial" w:hint="cs"/>
          <w:rtl/>
        </w:rPr>
        <w:t xml:space="preserve"> </w:t>
      </w:r>
      <w:r>
        <w:rPr>
          <w:rFonts w:cs="Arial"/>
          <w:rtl/>
        </w:rPr>
        <w:t>מהני</w:t>
      </w:r>
      <w:r>
        <w:rPr>
          <w:rFonts w:cs="Arial" w:hint="cs"/>
          <w:rtl/>
        </w:rPr>
        <w:t>.</w:t>
      </w:r>
      <w:r>
        <w:rPr>
          <w:rFonts w:cs="Arial"/>
          <w:rtl/>
        </w:rPr>
        <w:t xml:space="preserve"> עכ"ל</w:t>
      </w:r>
      <w:r>
        <w:rPr>
          <w:rFonts w:cs="Arial" w:hint="cs"/>
          <w:rtl/>
        </w:rPr>
        <w:t>, ב"י.</w:t>
      </w:r>
    </w:p>
  </w:footnote>
  <w:footnote w:id="1833">
    <w:p w14:paraId="591A10A2" w14:textId="77777777" w:rsidR="0013116F" w:rsidRDefault="0013116F" w:rsidP="004B607F">
      <w:pPr>
        <w:pStyle w:val="a9"/>
        <w:rPr>
          <w:rtl/>
        </w:rPr>
      </w:pPr>
      <w:r>
        <w:rPr>
          <w:rStyle w:val="ab"/>
        </w:rPr>
        <w:footnoteRef/>
      </w:r>
      <w:r>
        <w:rPr>
          <w:rtl/>
        </w:rPr>
        <w:t xml:space="preserve"> </w:t>
      </w:r>
      <w:r>
        <w:rPr>
          <w:rFonts w:cs="Arial"/>
          <w:rtl/>
        </w:rPr>
        <w:t>וטעם הדבר לפי שבחלוקה ראשונה זה תובע לו מנה שחייב לו ולכן חייב לישבע לו היסת</w:t>
      </w:r>
      <w:r>
        <w:rPr>
          <w:rFonts w:cs="Arial" w:hint="cs"/>
          <w:rtl/>
        </w:rPr>
        <w:t>,</w:t>
      </w:r>
      <w:r>
        <w:rPr>
          <w:rFonts w:cs="Arial"/>
          <w:rtl/>
        </w:rPr>
        <w:t xml:space="preserve"> אבל בחלוקה שניה אינו תובע לו מנה שחייב לו אלא מנה שהודה לו בפני עדים</w:t>
      </w:r>
      <w:r>
        <w:rPr>
          <w:rFonts w:cs="Arial" w:hint="cs"/>
          <w:rtl/>
        </w:rPr>
        <w:t>,</w:t>
      </w:r>
      <w:r>
        <w:rPr>
          <w:rFonts w:cs="Arial"/>
          <w:rtl/>
        </w:rPr>
        <w:t xml:space="preserve"> ואותה הודאה אינה כלום ולכן אינו צריך לישבע</w:t>
      </w:r>
      <w:r>
        <w:rPr>
          <w:rFonts w:cs="Arial" w:hint="cs"/>
          <w:rtl/>
        </w:rPr>
        <w:t xml:space="preserve">, </w:t>
      </w:r>
      <w:r>
        <w:rPr>
          <w:rFonts w:cs="Arial"/>
          <w:rtl/>
        </w:rPr>
        <w:t xml:space="preserve">רא"ש </w:t>
      </w:r>
      <w:r>
        <w:rPr>
          <w:rFonts w:cs="Arial" w:hint="cs"/>
          <w:rtl/>
        </w:rPr>
        <w:t>(</w:t>
      </w:r>
      <w:r>
        <w:rPr>
          <w:rFonts w:cs="Arial"/>
          <w:rtl/>
        </w:rPr>
        <w:t>פרק זה בורר שם)</w:t>
      </w:r>
      <w:r>
        <w:rPr>
          <w:rFonts w:cs="Arial" w:hint="cs"/>
          <w:rtl/>
        </w:rPr>
        <w:t>.</w:t>
      </w:r>
    </w:p>
  </w:footnote>
  <w:footnote w:id="1834">
    <w:p w14:paraId="57FCFDCD" w14:textId="77777777" w:rsidR="0013116F" w:rsidRDefault="0013116F" w:rsidP="004B607F">
      <w:pPr>
        <w:pStyle w:val="a9"/>
        <w:rPr>
          <w:rtl/>
        </w:rPr>
      </w:pPr>
      <w:r>
        <w:rPr>
          <w:rStyle w:val="ab"/>
        </w:rPr>
        <w:footnoteRef/>
      </w:r>
      <w:r>
        <w:rPr>
          <w:rtl/>
        </w:rPr>
        <w:t xml:space="preserve"> </w:t>
      </w:r>
      <w:r w:rsidRPr="000B78C5">
        <w:rPr>
          <w:rFonts w:cs="Arial"/>
          <w:rtl/>
        </w:rPr>
        <w:t>שהרי רב נחמן אמר אדם עשוי שלא להשביע את עצמו א</w:t>
      </w:r>
      <w:r>
        <w:rPr>
          <w:rFonts w:cs="Arial" w:hint="cs"/>
          <w:rtl/>
        </w:rPr>
        <w:t>ע"פ</w:t>
      </w:r>
      <w:r w:rsidRPr="000B78C5">
        <w:rPr>
          <w:rFonts w:cs="Arial"/>
          <w:rtl/>
        </w:rPr>
        <w:t xml:space="preserve"> שהנתבע לא טען כן</w:t>
      </w:r>
      <w:r>
        <w:rPr>
          <w:rFonts w:cs="Arial" w:hint="cs"/>
          <w:rtl/>
        </w:rPr>
        <w:t>, ב"י</w:t>
      </w:r>
      <w:r w:rsidRPr="000B78C5">
        <w:rPr>
          <w:rFonts w:cs="Arial"/>
          <w:rtl/>
        </w:rPr>
        <w:t>.</w:t>
      </w:r>
    </w:p>
  </w:footnote>
  <w:footnote w:id="1835">
    <w:p w14:paraId="1FA19158" w14:textId="77777777" w:rsidR="0013116F" w:rsidRDefault="0013116F" w:rsidP="004B607F">
      <w:pPr>
        <w:pStyle w:val="a9"/>
        <w:rPr>
          <w:rtl/>
        </w:rPr>
      </w:pPr>
      <w:r>
        <w:rPr>
          <w:rStyle w:val="ab"/>
        </w:rPr>
        <w:footnoteRef/>
      </w:r>
      <w:r>
        <w:rPr>
          <w:rtl/>
        </w:rPr>
        <w:t xml:space="preserve"> </w:t>
      </w:r>
      <w:r w:rsidRPr="000B78C5">
        <w:rPr>
          <w:rFonts w:cs="Arial"/>
          <w:rtl/>
        </w:rPr>
        <w:t>וכדכתיבנא בטענת משטה אני בך</w:t>
      </w:r>
      <w:r>
        <w:rPr>
          <w:rFonts w:cs="Arial" w:hint="cs"/>
          <w:rtl/>
        </w:rPr>
        <w:t>,</w:t>
      </w:r>
      <w:r w:rsidRPr="000B78C5">
        <w:rPr>
          <w:rFonts w:cs="Arial"/>
          <w:rtl/>
        </w:rPr>
        <w:t xml:space="preserve"> והא דאמר רב נחמן אדם עשוי וכו' איפשר לומר שהבעל דין טען כן אלא שהתלמוד לא חשש להזכיר זה שלא בא אלא לומר שרב נחמן פסק כן</w:t>
      </w:r>
      <w:r>
        <w:rPr>
          <w:rFonts w:cs="Arial" w:hint="cs"/>
          <w:rtl/>
        </w:rPr>
        <w:t>,</w:t>
      </w:r>
      <w:r w:rsidRPr="000B78C5">
        <w:rPr>
          <w:rFonts w:cs="Arial"/>
          <w:rtl/>
        </w:rPr>
        <w:t xml:space="preserve"> וכן נראה מדברי הר"מ ז"ל בפ</w:t>
      </w:r>
      <w:r>
        <w:rPr>
          <w:rFonts w:cs="Arial" w:hint="cs"/>
          <w:rtl/>
        </w:rPr>
        <w:t>"</w:t>
      </w:r>
      <w:r w:rsidRPr="000B78C5">
        <w:rPr>
          <w:rFonts w:cs="Arial"/>
          <w:rtl/>
        </w:rPr>
        <w:t>ו מהל</w:t>
      </w:r>
      <w:r>
        <w:rPr>
          <w:rFonts w:cs="Arial" w:hint="cs"/>
          <w:rtl/>
        </w:rPr>
        <w:t>'</w:t>
      </w:r>
      <w:r w:rsidRPr="000B78C5">
        <w:rPr>
          <w:rFonts w:cs="Arial"/>
          <w:rtl/>
        </w:rPr>
        <w:t xml:space="preserve"> טוען ונטען </w:t>
      </w:r>
      <w:r w:rsidRPr="000B78C5">
        <w:rPr>
          <w:rFonts w:cs="Arial"/>
          <w:sz w:val="16"/>
          <w:szCs w:val="16"/>
          <w:rtl/>
        </w:rPr>
        <w:t xml:space="preserve">(ה"ח) </w:t>
      </w:r>
      <w:r w:rsidRPr="000B78C5">
        <w:rPr>
          <w:rFonts w:cs="Arial"/>
          <w:rtl/>
        </w:rPr>
        <w:t>שאף בטענת שלא להשביע בעינן דטעין איהו</w:t>
      </w:r>
      <w:r>
        <w:rPr>
          <w:rFonts w:cs="Arial" w:hint="cs"/>
          <w:rtl/>
        </w:rPr>
        <w:t>,</w:t>
      </w:r>
      <w:r w:rsidRPr="000B78C5">
        <w:rPr>
          <w:rFonts w:cs="Arial"/>
          <w:rtl/>
        </w:rPr>
        <w:t xml:space="preserve"> ואע</w:t>
      </w:r>
      <w:r>
        <w:rPr>
          <w:rFonts w:cs="Arial" w:hint="cs"/>
          <w:rtl/>
        </w:rPr>
        <w:t>"</w:t>
      </w:r>
      <w:r w:rsidRPr="000B78C5">
        <w:rPr>
          <w:rFonts w:cs="Arial"/>
          <w:rtl/>
        </w:rPr>
        <w:t xml:space="preserve">פ שדעת בעל המאור </w:t>
      </w:r>
      <w:r w:rsidRPr="000B78C5">
        <w:rPr>
          <w:rFonts w:cs="Arial"/>
          <w:sz w:val="16"/>
          <w:szCs w:val="16"/>
          <w:rtl/>
        </w:rPr>
        <w:t xml:space="preserve">(ז: ד"ה עד שיאמר) </w:t>
      </w:r>
      <w:r w:rsidRPr="000B78C5">
        <w:rPr>
          <w:rFonts w:cs="Arial"/>
          <w:rtl/>
        </w:rPr>
        <w:t>דטענינן ליה</w:t>
      </w:r>
      <w:r>
        <w:rPr>
          <w:rFonts w:cs="Arial" w:hint="cs"/>
          <w:rtl/>
        </w:rPr>
        <w:t xml:space="preserve">, נמוק"י. </w:t>
      </w:r>
      <w:r w:rsidRPr="000B78C5">
        <w:rPr>
          <w:rFonts w:cs="Arial"/>
          <w:rtl/>
        </w:rPr>
        <w:t>ועיין במה שכתב רבינו בסימן פ"א (סכ"ד - כה) בשם הראב"ד והרא"ש ועיין בהריב"ש סימן שצ"ב (קיט.)</w:t>
      </w:r>
      <w:r>
        <w:rPr>
          <w:rFonts w:hint="cs"/>
          <w:rtl/>
        </w:rPr>
        <w:t>, ב"י.</w:t>
      </w:r>
    </w:p>
  </w:footnote>
  <w:footnote w:id="1836">
    <w:p w14:paraId="145197B7" w14:textId="77777777" w:rsidR="0013116F" w:rsidRDefault="0013116F" w:rsidP="004B607F">
      <w:pPr>
        <w:pStyle w:val="a9"/>
      </w:pPr>
      <w:r>
        <w:rPr>
          <w:rStyle w:val="ab"/>
        </w:rPr>
        <w:footnoteRef/>
      </w:r>
      <w:r>
        <w:rPr>
          <w:rtl/>
        </w:rPr>
        <w:t xml:space="preserve"> </w:t>
      </w:r>
      <w:r>
        <w:rPr>
          <w:rFonts w:cs="Arial" w:hint="cs"/>
          <w:rtl/>
        </w:rPr>
        <w:t>וכ' הב"י שהוא כד</w:t>
      </w:r>
      <w:r>
        <w:rPr>
          <w:rFonts w:cs="Arial"/>
          <w:rtl/>
        </w:rPr>
        <w:t xml:space="preserve">אסיק רבי חייא </w:t>
      </w:r>
      <w:r w:rsidRPr="00AE33AD">
        <w:rPr>
          <w:rFonts w:cs="Arial" w:hint="cs"/>
          <w:sz w:val="16"/>
          <w:szCs w:val="16"/>
          <w:rtl/>
        </w:rPr>
        <w:t xml:space="preserve">(פ' זה בורר שם) </w:t>
      </w:r>
      <w:r>
        <w:rPr>
          <w:rFonts w:cs="Arial"/>
          <w:rtl/>
        </w:rPr>
        <w:t>דכשם שאדם עשוי שלא להשביע את עצמו כך עשוי שלא להשביע את בניו. וכתבו התוס</w:t>
      </w:r>
      <w:r>
        <w:rPr>
          <w:rFonts w:cs="Arial" w:hint="cs"/>
          <w:rtl/>
        </w:rPr>
        <w:t>'</w:t>
      </w:r>
      <w:r>
        <w:rPr>
          <w:rFonts w:cs="Arial"/>
          <w:rtl/>
        </w:rPr>
        <w:t xml:space="preserve"> </w:t>
      </w:r>
      <w:r w:rsidRPr="00AE33AD">
        <w:rPr>
          <w:rFonts w:cs="Arial"/>
          <w:sz w:val="16"/>
          <w:szCs w:val="16"/>
          <w:rtl/>
        </w:rPr>
        <w:t xml:space="preserve">(ד"ה כך) </w:t>
      </w:r>
      <w:r>
        <w:rPr>
          <w:rFonts w:cs="Arial"/>
          <w:rtl/>
        </w:rPr>
        <w:t>והא דאמרינן בפרק גט פשוט שכיב מרע שהודה אין צריך לומר אתם עדי משום דאין אדם משטה בשעת מיתה</w:t>
      </w:r>
      <w:r>
        <w:rPr>
          <w:rFonts w:cs="Arial" w:hint="cs"/>
          <w:rtl/>
        </w:rPr>
        <w:t>,</w:t>
      </w:r>
      <w:r>
        <w:rPr>
          <w:rFonts w:cs="Arial"/>
          <w:rtl/>
        </w:rPr>
        <w:t xml:space="preserve"> ואמאי לא אמרינן דאמר הכי שלא להשביע את בניו</w:t>
      </w:r>
      <w:r>
        <w:rPr>
          <w:rFonts w:cs="Arial" w:hint="cs"/>
          <w:rtl/>
        </w:rPr>
        <w:t>?</w:t>
      </w:r>
      <w:r>
        <w:rPr>
          <w:rFonts w:cs="Arial"/>
          <w:rtl/>
        </w:rPr>
        <w:t xml:space="preserve"> וי"ל דהתם שתבעו והודה לו</w:t>
      </w:r>
      <w:r>
        <w:rPr>
          <w:rFonts w:cs="Arial" w:hint="cs"/>
          <w:rtl/>
        </w:rPr>
        <w:t>,</w:t>
      </w:r>
      <w:r>
        <w:rPr>
          <w:rFonts w:cs="Arial"/>
          <w:rtl/>
        </w:rPr>
        <w:t xml:space="preserve"> דלא שייך טענת שלא להשביע אלא טענת משטה.</w:t>
      </w:r>
    </w:p>
  </w:footnote>
  <w:footnote w:id="1837">
    <w:p w14:paraId="19360A8B" w14:textId="77777777" w:rsidR="0013116F" w:rsidRDefault="0013116F" w:rsidP="004B607F">
      <w:pPr>
        <w:pStyle w:val="a9"/>
        <w:rPr>
          <w:rtl/>
        </w:rPr>
      </w:pPr>
      <w:r w:rsidRPr="004E5144">
        <w:rPr>
          <w:rStyle w:val="ab"/>
        </w:rPr>
        <w:footnoteRef/>
      </w:r>
      <w:r w:rsidRPr="004E5144">
        <w:rPr>
          <w:rtl/>
        </w:rPr>
        <w:t xml:space="preserve"> </w:t>
      </w:r>
      <w:r w:rsidRPr="004E5144">
        <w:rPr>
          <w:rFonts w:cs="Arial"/>
          <w:rtl/>
        </w:rPr>
        <w:t>בספר התרומות שער מ"ב (ח"א סי' יא) כתב כן בשמו</w:t>
      </w:r>
      <w:r>
        <w:rPr>
          <w:rFonts w:cs="Arial" w:hint="cs"/>
          <w:rtl/>
        </w:rPr>
        <w:t xml:space="preserve"> של בעל המאור</w:t>
      </w:r>
      <w:r w:rsidRPr="004E5144">
        <w:rPr>
          <w:rFonts w:cs="Arial" w:hint="cs"/>
          <w:rtl/>
        </w:rPr>
        <w:t>,</w:t>
      </w:r>
      <w:r w:rsidRPr="004E5144">
        <w:rPr>
          <w:rFonts w:cs="Arial"/>
          <w:rtl/>
        </w:rPr>
        <w:t xml:space="preserve"> וכתב שכן פסק </w:t>
      </w:r>
      <w:r w:rsidRPr="004E5144">
        <w:rPr>
          <w:rFonts w:cs="Arial" w:hint="cs"/>
          <w:rtl/>
        </w:rPr>
        <w:t>ה</w:t>
      </w:r>
      <w:r w:rsidRPr="004E5144">
        <w:rPr>
          <w:rFonts w:cs="Arial"/>
          <w:rtl/>
        </w:rPr>
        <w:t xml:space="preserve">ראב"ד </w:t>
      </w:r>
      <w:r w:rsidRPr="004E5144">
        <w:rPr>
          <w:rFonts w:cs="Arial" w:hint="cs"/>
          <w:rtl/>
        </w:rPr>
        <w:t>(</w:t>
      </w:r>
      <w:r w:rsidRPr="004E5144">
        <w:rPr>
          <w:rFonts w:cs="Arial"/>
          <w:rtl/>
        </w:rPr>
        <w:t>בספר כתוב שם עמ' סב) ושהדבר מחלוקת בין הגאונים</w:t>
      </w:r>
      <w:r w:rsidRPr="004E5144">
        <w:rPr>
          <w:rFonts w:cs="Arial" w:hint="cs"/>
          <w:rtl/>
        </w:rPr>
        <w:t>,</w:t>
      </w:r>
      <w:r w:rsidRPr="004E5144">
        <w:rPr>
          <w:rFonts w:cs="Arial"/>
          <w:rtl/>
        </w:rPr>
        <w:t xml:space="preserve"> שגאון אחד כתב דמחוייב שבועה ע</w:t>
      </w:r>
      <w:r w:rsidRPr="004E5144">
        <w:rPr>
          <w:rFonts w:cs="Arial" w:hint="cs"/>
          <w:rtl/>
        </w:rPr>
        <w:t>"י</w:t>
      </w:r>
      <w:r w:rsidRPr="004E5144">
        <w:rPr>
          <w:rFonts w:cs="Arial"/>
          <w:rtl/>
        </w:rPr>
        <w:t xml:space="preserve"> עד אחד אי כפר ביה</w:t>
      </w:r>
      <w:r w:rsidRPr="004E5144">
        <w:rPr>
          <w:rFonts w:cs="Arial" w:hint="cs"/>
          <w:rtl/>
        </w:rPr>
        <w:t>,</w:t>
      </w:r>
      <w:r w:rsidRPr="004E5144">
        <w:rPr>
          <w:rFonts w:cs="Arial"/>
          <w:rtl/>
        </w:rPr>
        <w:t xml:space="preserve"> וגאון אחר כתב דלא מהני ואפילו מודה וכל שכן</w:t>
      </w:r>
      <w:r>
        <w:rPr>
          <w:rFonts w:cs="Arial"/>
          <w:rtl/>
        </w:rPr>
        <w:t xml:space="preserve"> אם כופר</w:t>
      </w:r>
      <w:r>
        <w:rPr>
          <w:rFonts w:cs="Arial" w:hint="cs"/>
          <w:rtl/>
        </w:rPr>
        <w:t>,</w:t>
      </w:r>
      <w:r>
        <w:rPr>
          <w:rFonts w:cs="Arial"/>
          <w:rtl/>
        </w:rPr>
        <w:t xml:space="preserve"> ורבינו יצחק סבר כמאן דאמר מהני וחייב שבועה על כפירתו</w:t>
      </w:r>
      <w:r>
        <w:rPr>
          <w:rFonts w:cs="Arial" w:hint="cs"/>
          <w:rtl/>
        </w:rPr>
        <w:t>,</w:t>
      </w:r>
      <w:r>
        <w:rPr>
          <w:rFonts w:cs="Arial"/>
          <w:rtl/>
        </w:rPr>
        <w:t xml:space="preserve"> וקשיא לן טובא ולא איתברר טעמא דידיה ואסיקנא דכל קנין וכל הודאה בעד אחד לא מהני ומאן דאמר מהני טועה הוא</w:t>
      </w:r>
      <w:r>
        <w:rPr>
          <w:rFonts w:cs="Arial" w:hint="cs"/>
          <w:rtl/>
        </w:rPr>
        <w:t>,</w:t>
      </w:r>
      <w:r>
        <w:rPr>
          <w:rFonts w:cs="Arial"/>
          <w:rtl/>
        </w:rPr>
        <w:t xml:space="preserve"> ודייקינן לה מדתנן (שם) אם אמר הוא אמר לי שהוא חייב לו לא אמר כלום עד שיאמר בפנינו הודה לו</w:t>
      </w:r>
      <w:r>
        <w:rPr>
          <w:rFonts w:cs="Arial" w:hint="cs"/>
          <w:rtl/>
        </w:rPr>
        <w:t>,</w:t>
      </w:r>
      <w:r>
        <w:rPr>
          <w:rFonts w:cs="Arial"/>
          <w:rtl/>
        </w:rPr>
        <w:t xml:space="preserve"> ונקט רישא לישנא דחד וסיפא לישנא דתרי שמע מיניה דהודאת עד אחד לאו כלום היא</w:t>
      </w:r>
      <w:r>
        <w:rPr>
          <w:rFonts w:cs="Arial" w:hint="cs"/>
          <w:rtl/>
        </w:rPr>
        <w:t>,</w:t>
      </w:r>
      <w:r>
        <w:rPr>
          <w:rFonts w:cs="Arial"/>
          <w:rtl/>
        </w:rPr>
        <w:t xml:space="preserve"> ומההיא דפרק חזקת (ב"ב מ.) הודאה בפני שנים. ולולי כי דעתם רחבה מדעתנו יש קושיא על סברתם</w:t>
      </w:r>
      <w:r>
        <w:rPr>
          <w:rFonts w:cs="Arial" w:hint="cs"/>
          <w:rtl/>
        </w:rPr>
        <w:t>,</w:t>
      </w:r>
      <w:r>
        <w:rPr>
          <w:rFonts w:cs="Arial"/>
          <w:rtl/>
        </w:rPr>
        <w:t xml:space="preserve"> דמשנתינו לאו דוקא שנים</w:t>
      </w:r>
      <w:r>
        <w:rPr>
          <w:rFonts w:cs="Arial" w:hint="cs"/>
          <w:rtl/>
        </w:rPr>
        <w:t>,</w:t>
      </w:r>
      <w:r>
        <w:rPr>
          <w:rFonts w:cs="Arial"/>
          <w:rtl/>
        </w:rPr>
        <w:t xml:space="preserve"> דודאי כל מקום ששנים מחייבין אותו ממון אחד מחייבו שבועה וכללא הוא בכולא תלמודא (שבועות מ.). ותו דגרסינן בפרק זה בורר (ל:) אמר רבא הודאה אחר הודאה והודאה אחר הלואה מצטרפין אלמא דהודאה בעד אחד עדות הוא ואם יש שנים מצטרפים</w:t>
      </w:r>
      <w:r>
        <w:rPr>
          <w:rFonts w:cs="Arial" w:hint="cs"/>
          <w:rtl/>
        </w:rPr>
        <w:t>,</w:t>
      </w:r>
      <w:r>
        <w:rPr>
          <w:rFonts w:cs="Arial"/>
          <w:rtl/>
        </w:rPr>
        <w:t xml:space="preserve"> ואי לא</w:t>
      </w:r>
      <w:r>
        <w:rPr>
          <w:rFonts w:cs="Arial" w:hint="cs"/>
          <w:rtl/>
        </w:rPr>
        <w:t xml:space="preserve"> -</w:t>
      </w:r>
      <w:r>
        <w:rPr>
          <w:rFonts w:cs="Arial"/>
          <w:rtl/>
        </w:rPr>
        <w:t xml:space="preserve"> מייתי ליה לידי שבועה דאורייתא</w:t>
      </w:r>
      <w:r>
        <w:rPr>
          <w:rFonts w:cs="Arial" w:hint="cs"/>
          <w:rtl/>
        </w:rPr>
        <w:t>,</w:t>
      </w:r>
      <w:r>
        <w:rPr>
          <w:rFonts w:cs="Arial"/>
          <w:rtl/>
        </w:rPr>
        <w:t xml:space="preserve"> והכי מסתברא כדכתיבנא עכ"ל</w:t>
      </w:r>
      <w:r>
        <w:rPr>
          <w:rFonts w:cs="Arial" w:hint="cs"/>
          <w:rtl/>
        </w:rPr>
        <w:t xml:space="preserve"> בעל התרומות</w:t>
      </w:r>
      <w:r>
        <w:rPr>
          <w:rFonts w:cs="Arial"/>
          <w:rtl/>
        </w:rPr>
        <w:t>.</w:t>
      </w:r>
    </w:p>
  </w:footnote>
  <w:footnote w:id="1838">
    <w:p w14:paraId="493F3FC7" w14:textId="77777777" w:rsidR="0013116F" w:rsidRDefault="0013116F" w:rsidP="004B607F">
      <w:pPr>
        <w:pStyle w:val="a9"/>
      </w:pPr>
      <w:r>
        <w:rPr>
          <w:rStyle w:val="ab"/>
        </w:rPr>
        <w:footnoteRef/>
      </w:r>
      <w:r>
        <w:rPr>
          <w:rtl/>
        </w:rPr>
        <w:t xml:space="preserve"> </w:t>
      </w:r>
      <w:r>
        <w:rPr>
          <w:rFonts w:cs="Arial" w:hint="cs"/>
          <w:rtl/>
        </w:rPr>
        <w:t xml:space="preserve">וז"ל- </w:t>
      </w:r>
      <w:r w:rsidRPr="00657698">
        <w:rPr>
          <w:rFonts w:cs="Arial"/>
          <w:rtl/>
        </w:rPr>
        <w:t>אם היה עד אחד</w:t>
      </w:r>
      <w:r>
        <w:rPr>
          <w:rFonts w:cs="Arial" w:hint="cs"/>
          <w:rtl/>
        </w:rPr>
        <w:t>,</w:t>
      </w:r>
      <w:r w:rsidRPr="00657698">
        <w:rPr>
          <w:rFonts w:cs="Arial"/>
          <w:rtl/>
        </w:rPr>
        <w:t xml:space="preserve"> נשבע</w:t>
      </w:r>
      <w:r>
        <w:rPr>
          <w:rFonts w:cs="Arial" w:hint="cs"/>
          <w:rtl/>
        </w:rPr>
        <w:t>,</w:t>
      </w:r>
      <w:r w:rsidRPr="00657698">
        <w:rPr>
          <w:rFonts w:cs="Arial"/>
          <w:rtl/>
        </w:rPr>
        <w:t xml:space="preserve"> הואיל ואמר דרך הודייה.</w:t>
      </w:r>
      <w:r>
        <w:rPr>
          <w:rFonts w:cs="Arial" w:hint="cs"/>
          <w:rtl/>
        </w:rPr>
        <w:t xml:space="preserve"> עכ"ל.</w:t>
      </w:r>
      <w:r w:rsidRPr="00657698">
        <w:rPr>
          <w:rFonts w:cs="Arial"/>
          <w:rtl/>
        </w:rPr>
        <w:t xml:space="preserve"> כלומר שנשבע אם הודה כך בפניו שאם מודה שהודה בפניו חייב לשלם דהוי ליה כאילו הודה שלוה בפני אותו עד. אבל אין לפרש שנשבע אם לוה שאין העד מעיד שלוה לשישבע זה להכחישו כלל</w:t>
      </w:r>
      <w:r>
        <w:rPr>
          <w:rFonts w:cs="Arial" w:hint="cs"/>
          <w:rtl/>
        </w:rPr>
        <w:t>, ב"י</w:t>
      </w:r>
      <w:r w:rsidRPr="00657698">
        <w:rPr>
          <w:rFonts w:cs="Arial"/>
          <w:rtl/>
        </w:rPr>
        <w:t>.</w:t>
      </w:r>
    </w:p>
  </w:footnote>
  <w:footnote w:id="1839">
    <w:p w14:paraId="1A7E817F" w14:textId="77777777" w:rsidR="0013116F" w:rsidRDefault="0013116F" w:rsidP="004B607F">
      <w:pPr>
        <w:pStyle w:val="a9"/>
      </w:pPr>
      <w:r w:rsidRPr="00657698">
        <w:rPr>
          <w:rStyle w:val="ab"/>
        </w:rPr>
        <w:footnoteRef/>
      </w:r>
      <w:r w:rsidRPr="00657698">
        <w:rPr>
          <w:rtl/>
        </w:rPr>
        <w:t xml:space="preserve"> </w:t>
      </w:r>
      <w:r w:rsidRPr="00657698">
        <w:rPr>
          <w:rFonts w:cs="Arial"/>
          <w:rtl/>
        </w:rPr>
        <w:t>רי"ף</w:t>
      </w:r>
      <w:r w:rsidRPr="00657698">
        <w:rPr>
          <w:rFonts w:cs="Arial" w:hint="cs"/>
          <w:rtl/>
        </w:rPr>
        <w:t xml:space="preserve"> </w:t>
      </w:r>
      <w:r w:rsidRPr="00657698">
        <w:rPr>
          <w:rFonts w:cs="Arial" w:hint="cs"/>
          <w:sz w:val="16"/>
          <w:szCs w:val="16"/>
          <w:rtl/>
        </w:rPr>
        <w:t xml:space="preserve">(כ"כ בשמו הטור [בסי' פא סט"ו]) </w:t>
      </w:r>
      <w:r w:rsidRPr="00657698">
        <w:rPr>
          <w:rFonts w:cs="Arial"/>
          <w:rtl/>
        </w:rPr>
        <w:t xml:space="preserve">רמב"ם </w:t>
      </w:r>
      <w:r w:rsidRPr="00657698">
        <w:rPr>
          <w:rFonts w:cs="Arial" w:hint="cs"/>
          <w:sz w:val="16"/>
          <w:szCs w:val="16"/>
          <w:rtl/>
        </w:rPr>
        <w:t>(</w:t>
      </w:r>
      <w:r w:rsidRPr="00657698">
        <w:rPr>
          <w:rFonts w:cs="Arial"/>
          <w:sz w:val="16"/>
          <w:szCs w:val="16"/>
          <w:rtl/>
        </w:rPr>
        <w:t>פ"ז מהל</w:t>
      </w:r>
      <w:r w:rsidRPr="00657698">
        <w:rPr>
          <w:rFonts w:cs="Arial" w:hint="cs"/>
          <w:sz w:val="16"/>
          <w:szCs w:val="16"/>
          <w:rtl/>
        </w:rPr>
        <w:t>'</w:t>
      </w:r>
      <w:r w:rsidRPr="00657698">
        <w:rPr>
          <w:rFonts w:cs="Arial"/>
          <w:sz w:val="16"/>
          <w:szCs w:val="16"/>
          <w:rtl/>
        </w:rPr>
        <w:t xml:space="preserve"> טוען ה"א)</w:t>
      </w:r>
      <w:r w:rsidRPr="00657698">
        <w:rPr>
          <w:rFonts w:cs="Arial" w:hint="cs"/>
          <w:sz w:val="16"/>
          <w:szCs w:val="16"/>
          <w:rtl/>
        </w:rPr>
        <w:t xml:space="preserve"> </w:t>
      </w:r>
      <w:r w:rsidRPr="00657698">
        <w:rPr>
          <w:rFonts w:cs="Arial"/>
          <w:rtl/>
        </w:rPr>
        <w:t xml:space="preserve">רמב"ן </w:t>
      </w:r>
      <w:r w:rsidRPr="00657698">
        <w:rPr>
          <w:rFonts w:cs="Arial"/>
          <w:sz w:val="16"/>
          <w:szCs w:val="16"/>
          <w:rtl/>
        </w:rPr>
        <w:t>(ב"ב לט: ד"ה מחאה)</w:t>
      </w:r>
      <w:r w:rsidRPr="00657698">
        <w:rPr>
          <w:rFonts w:cs="Arial" w:hint="cs"/>
          <w:sz w:val="16"/>
          <w:szCs w:val="16"/>
          <w:rtl/>
        </w:rPr>
        <w:t xml:space="preserve"> </w:t>
      </w:r>
      <w:r>
        <w:rPr>
          <w:rFonts w:cs="Arial" w:hint="cs"/>
          <w:rtl/>
        </w:rPr>
        <w:t>בעל</w:t>
      </w:r>
      <w:r w:rsidRPr="00657698">
        <w:rPr>
          <w:rFonts w:cs="Arial"/>
          <w:rtl/>
        </w:rPr>
        <w:t xml:space="preserve"> התרומות </w:t>
      </w:r>
      <w:r w:rsidRPr="00657698">
        <w:rPr>
          <w:rFonts w:cs="Arial" w:hint="cs"/>
          <w:sz w:val="16"/>
          <w:szCs w:val="16"/>
          <w:rtl/>
        </w:rPr>
        <w:t>(</w:t>
      </w:r>
      <w:r w:rsidRPr="00657698">
        <w:rPr>
          <w:rFonts w:cs="Arial"/>
          <w:sz w:val="16"/>
          <w:szCs w:val="16"/>
          <w:rtl/>
        </w:rPr>
        <w:t>שער מב ח"א סי' יא)</w:t>
      </w:r>
      <w:r w:rsidRPr="00657698">
        <w:rPr>
          <w:rFonts w:cs="Arial" w:hint="cs"/>
          <w:sz w:val="16"/>
          <w:szCs w:val="16"/>
          <w:rtl/>
        </w:rPr>
        <w:t xml:space="preserve"> </w:t>
      </w:r>
      <w:r w:rsidRPr="00657698">
        <w:rPr>
          <w:rFonts w:cs="Arial"/>
          <w:rtl/>
        </w:rPr>
        <w:t xml:space="preserve">רשב"א </w:t>
      </w:r>
      <w:r w:rsidRPr="00657698">
        <w:rPr>
          <w:rFonts w:cs="Arial"/>
          <w:sz w:val="16"/>
          <w:szCs w:val="16"/>
          <w:rtl/>
        </w:rPr>
        <w:t xml:space="preserve">(ב"ב מ. ד"ה והא) </w:t>
      </w:r>
      <w:r w:rsidRPr="00657698">
        <w:rPr>
          <w:rFonts w:cs="Arial"/>
          <w:rtl/>
        </w:rPr>
        <w:t xml:space="preserve">רא"ש </w:t>
      </w:r>
      <w:r w:rsidRPr="00657698">
        <w:rPr>
          <w:rFonts w:cs="Arial"/>
          <w:sz w:val="16"/>
          <w:szCs w:val="16"/>
          <w:rtl/>
        </w:rPr>
        <w:t>(ב"ב פ"ג סי' ל-לא</w:t>
      </w:r>
      <w:r w:rsidRPr="00657698">
        <w:rPr>
          <w:rFonts w:cs="Arial" w:hint="cs"/>
          <w:sz w:val="16"/>
          <w:szCs w:val="16"/>
          <w:rtl/>
        </w:rPr>
        <w:t>, ובתשו' [כ"כ בשמו הטור {בסי' פא סט"ו}]</w:t>
      </w:r>
      <w:r w:rsidRPr="00657698">
        <w:rPr>
          <w:rFonts w:cs="Arial"/>
          <w:sz w:val="16"/>
          <w:szCs w:val="16"/>
          <w:rtl/>
        </w:rPr>
        <w:t xml:space="preserve">) </w:t>
      </w:r>
      <w:r w:rsidRPr="00657698">
        <w:rPr>
          <w:rFonts w:cs="Arial"/>
          <w:rtl/>
        </w:rPr>
        <w:t xml:space="preserve">ר"ן </w:t>
      </w:r>
      <w:r w:rsidRPr="00657698">
        <w:rPr>
          <w:rFonts w:cs="Arial"/>
          <w:sz w:val="16"/>
          <w:szCs w:val="16"/>
          <w:rtl/>
        </w:rPr>
        <w:t>(</w:t>
      </w:r>
      <w:r w:rsidRPr="00657698">
        <w:rPr>
          <w:rFonts w:cs="Arial" w:hint="cs"/>
          <w:sz w:val="16"/>
          <w:szCs w:val="16"/>
          <w:rtl/>
        </w:rPr>
        <w:t xml:space="preserve">פרק חזקת </w:t>
      </w:r>
      <w:r w:rsidRPr="00657698">
        <w:rPr>
          <w:rFonts w:cs="Arial"/>
          <w:sz w:val="16"/>
          <w:szCs w:val="16"/>
          <w:rtl/>
        </w:rPr>
        <w:t xml:space="preserve">לט: ד"ה הודאה) </w:t>
      </w:r>
      <w:r>
        <w:rPr>
          <w:rFonts w:cs="Arial" w:hint="cs"/>
          <w:rtl/>
        </w:rPr>
        <w:t>ו</w:t>
      </w:r>
      <w:r w:rsidRPr="00657698">
        <w:rPr>
          <w:rFonts w:cs="Arial"/>
          <w:rtl/>
        </w:rPr>
        <w:t xml:space="preserve">ריב"ש </w:t>
      </w:r>
      <w:r w:rsidRPr="00657698">
        <w:rPr>
          <w:rFonts w:cs="Arial" w:hint="cs"/>
          <w:sz w:val="16"/>
          <w:szCs w:val="16"/>
          <w:rtl/>
        </w:rPr>
        <w:t>(</w:t>
      </w:r>
      <w:r w:rsidRPr="00657698">
        <w:rPr>
          <w:rFonts w:cs="Arial"/>
          <w:sz w:val="16"/>
          <w:szCs w:val="16"/>
          <w:rtl/>
        </w:rPr>
        <w:t>סי</w:t>
      </w:r>
      <w:r w:rsidRPr="00657698">
        <w:rPr>
          <w:rFonts w:cs="Arial" w:hint="cs"/>
          <w:sz w:val="16"/>
          <w:szCs w:val="16"/>
          <w:rtl/>
        </w:rPr>
        <w:t xml:space="preserve">' </w:t>
      </w:r>
      <w:r w:rsidRPr="00657698">
        <w:rPr>
          <w:rFonts w:cs="Arial"/>
          <w:sz w:val="16"/>
          <w:szCs w:val="16"/>
          <w:rtl/>
        </w:rPr>
        <w:t>תעו ד"ה ועתה)</w:t>
      </w:r>
      <w:r>
        <w:rPr>
          <w:rFonts w:cs="Arial" w:hint="cs"/>
          <w:rtl/>
        </w:rPr>
        <w:t>.</w:t>
      </w:r>
      <w:r w:rsidRPr="00657698">
        <w:rPr>
          <w:rFonts w:cs="Arial"/>
          <w:rtl/>
        </w:rPr>
        <w:t xml:space="preserve"> וכ</w:t>
      </w:r>
      <w:r>
        <w:rPr>
          <w:rFonts w:cs="Arial" w:hint="cs"/>
          <w:rtl/>
        </w:rPr>
        <w:t>"כ</w:t>
      </w:r>
      <w:r w:rsidRPr="00657698">
        <w:rPr>
          <w:rFonts w:cs="Arial"/>
          <w:rtl/>
        </w:rPr>
        <w:t xml:space="preserve"> נמוק</w:t>
      </w:r>
      <w:r>
        <w:rPr>
          <w:rFonts w:cs="Arial" w:hint="cs"/>
          <w:rtl/>
        </w:rPr>
        <w:t>"</w:t>
      </w:r>
      <w:r w:rsidRPr="00657698">
        <w:rPr>
          <w:rFonts w:cs="Arial"/>
          <w:rtl/>
        </w:rPr>
        <w:t xml:space="preserve">י בפרק זה בורר </w:t>
      </w:r>
      <w:r w:rsidRPr="00657698">
        <w:rPr>
          <w:rFonts w:cs="Arial"/>
          <w:sz w:val="16"/>
          <w:szCs w:val="16"/>
          <w:rtl/>
        </w:rPr>
        <w:t xml:space="preserve">(ח. ד"ה ההוא) </w:t>
      </w:r>
      <w:r w:rsidRPr="00657698">
        <w:rPr>
          <w:rFonts w:cs="Arial"/>
          <w:rtl/>
        </w:rPr>
        <w:t>גבי הודה בפני שנים וקנו מידו שהסכמת מפרשים שלא כדברי בעל המאור</w:t>
      </w:r>
      <w:r w:rsidRPr="00657698">
        <w:rPr>
          <w:rFonts w:cs="Arial" w:hint="cs"/>
          <w:rtl/>
        </w:rPr>
        <w:t>.</w:t>
      </w:r>
    </w:p>
  </w:footnote>
  <w:footnote w:id="1840">
    <w:p w14:paraId="023AB491" w14:textId="77777777" w:rsidR="0013116F" w:rsidRDefault="0013116F" w:rsidP="004B607F">
      <w:pPr>
        <w:pStyle w:val="a9"/>
        <w:rPr>
          <w:rtl/>
        </w:rPr>
      </w:pPr>
      <w:r>
        <w:rPr>
          <w:rStyle w:val="ab"/>
        </w:rPr>
        <w:footnoteRef/>
      </w:r>
      <w:r>
        <w:rPr>
          <w:rtl/>
        </w:rPr>
        <w:t xml:space="preserve"> </w:t>
      </w:r>
      <w:r>
        <w:rPr>
          <w:rFonts w:cs="Arial"/>
          <w:rtl/>
        </w:rPr>
        <w:t>ונראה לי דהוא הדין אם תבעו השכיב מרע שחייב לו מנה והודה לו</w:t>
      </w:r>
      <w:r>
        <w:rPr>
          <w:rFonts w:cs="Arial" w:hint="cs"/>
          <w:rtl/>
        </w:rPr>
        <w:t xml:space="preserve"> -</w:t>
      </w:r>
      <w:r>
        <w:rPr>
          <w:rFonts w:cs="Arial"/>
          <w:rtl/>
        </w:rPr>
        <w:t xml:space="preserve"> שאינו יכול לטעון משטה אני בך</w:t>
      </w:r>
      <w:r>
        <w:rPr>
          <w:rFonts w:cs="Arial" w:hint="cs"/>
          <w:rtl/>
        </w:rPr>
        <w:t>,</w:t>
      </w:r>
      <w:r>
        <w:rPr>
          <w:rFonts w:cs="Arial"/>
          <w:rtl/>
        </w:rPr>
        <w:t xml:space="preserve"> שאין דרך להשטות עם הנוטים למות</w:t>
      </w:r>
      <w:r>
        <w:rPr>
          <w:rFonts w:hint="cs"/>
          <w:rtl/>
        </w:rPr>
        <w:t>, ב"י (בבדה"ב).</w:t>
      </w:r>
      <w:r w:rsidRPr="00DF3378">
        <w:rPr>
          <w:rFonts w:cs="Arial" w:hint="cs"/>
          <w:color w:val="00B0F0"/>
          <w:rtl/>
        </w:rPr>
        <w:t xml:space="preserve"> </w:t>
      </w:r>
      <w:r w:rsidRPr="00504D94">
        <w:rPr>
          <w:rFonts w:cs="Arial" w:hint="cs"/>
          <w:color w:val="00B0F0"/>
          <w:rtl/>
        </w:rPr>
        <w:t>(וכ"פ הרמ"א</w:t>
      </w:r>
      <w:r w:rsidRPr="00504D94">
        <w:rPr>
          <w:rFonts w:cs="Arial" w:hint="cs"/>
          <w:color w:val="00B0F0"/>
          <w:sz w:val="16"/>
          <w:szCs w:val="16"/>
          <w:rtl/>
        </w:rPr>
        <w:t xml:space="preserve"> </w:t>
      </w:r>
      <w:r>
        <w:rPr>
          <w:rFonts w:cs="Arial" w:hint="cs"/>
          <w:sz w:val="16"/>
          <w:szCs w:val="16"/>
          <w:rtl/>
        </w:rPr>
        <w:t>[סי' פא סע' ב]</w:t>
      </w:r>
      <w:r w:rsidRPr="00504D94">
        <w:rPr>
          <w:rFonts w:cs="Arial" w:hint="cs"/>
          <w:color w:val="00B0F0"/>
          <w:rtl/>
        </w:rPr>
        <w:t>)</w:t>
      </w:r>
    </w:p>
  </w:footnote>
  <w:footnote w:id="1841">
    <w:p w14:paraId="212DC078" w14:textId="77777777" w:rsidR="0013116F" w:rsidRDefault="0013116F" w:rsidP="004B607F">
      <w:pPr>
        <w:pStyle w:val="a9"/>
        <w:rPr>
          <w:rtl/>
        </w:rPr>
      </w:pPr>
      <w:r>
        <w:rPr>
          <w:rStyle w:val="ab"/>
        </w:rPr>
        <w:footnoteRef/>
      </w:r>
      <w:r>
        <w:rPr>
          <w:rtl/>
        </w:rPr>
        <w:t xml:space="preserve"> </w:t>
      </w:r>
      <w:r>
        <w:rPr>
          <w:rFonts w:cs="Arial"/>
          <w:rtl/>
        </w:rPr>
        <w:t>ועיין לקמן סימן פ"א</w:t>
      </w:r>
      <w:r>
        <w:rPr>
          <w:rFonts w:cs="Arial" w:hint="cs"/>
          <w:rtl/>
        </w:rPr>
        <w:t>, ב"י.</w:t>
      </w:r>
      <w:r w:rsidRPr="00396CE2">
        <w:rPr>
          <w:rFonts w:cs="Arial"/>
          <w:rtl/>
        </w:rPr>
        <w:t xml:space="preserve"> </w:t>
      </w:r>
      <w:r>
        <w:rPr>
          <w:rFonts w:cs="Arial" w:hint="cs"/>
          <w:rtl/>
        </w:rPr>
        <w:t>וכתב עוד ש</w:t>
      </w:r>
      <w:r>
        <w:rPr>
          <w:rFonts w:cs="Arial"/>
          <w:rtl/>
        </w:rPr>
        <w:t>תשלום דינים דשייכי לסימן זה כתב רבינו בסימן פ"א</w:t>
      </w:r>
      <w:r>
        <w:rPr>
          <w:rFonts w:cs="Arial" w:hint="cs"/>
          <w:rtl/>
        </w:rPr>
        <w:t>.</w:t>
      </w:r>
    </w:p>
  </w:footnote>
  <w:footnote w:id="1842">
    <w:p w14:paraId="733D925C" w14:textId="77777777" w:rsidR="0013116F" w:rsidRDefault="0013116F" w:rsidP="004B607F">
      <w:pPr>
        <w:pStyle w:val="a9"/>
        <w:rPr>
          <w:rtl/>
        </w:rPr>
      </w:pPr>
      <w:r>
        <w:rPr>
          <w:rStyle w:val="ab"/>
        </w:rPr>
        <w:footnoteRef/>
      </w:r>
      <w:r>
        <w:rPr>
          <w:rtl/>
        </w:rPr>
        <w:t xml:space="preserve"> </w:t>
      </w:r>
      <w:r>
        <w:rPr>
          <w:rFonts w:cs="Arial"/>
          <w:rtl/>
        </w:rPr>
        <w:t>וקשר הדברים לא מבעיא כשהודה בפני עדים שיכול לומר משטה הייתי אלא אפילו אמר ירא אני שמא תכפני וכו' אפילו הכי יכול לומר משטה היית</w:t>
      </w:r>
      <w:r>
        <w:rPr>
          <w:rFonts w:cs="Arial" w:hint="cs"/>
          <w:rtl/>
        </w:rPr>
        <w:t>י, ב"י.</w:t>
      </w:r>
    </w:p>
  </w:footnote>
  <w:footnote w:id="1843">
    <w:p w14:paraId="1C24D14E" w14:textId="77777777" w:rsidR="0013116F" w:rsidRDefault="0013116F" w:rsidP="004B607F">
      <w:pPr>
        <w:pStyle w:val="a9"/>
      </w:pPr>
      <w:r>
        <w:rPr>
          <w:rStyle w:val="ab"/>
        </w:rPr>
        <w:footnoteRef/>
      </w:r>
      <w:r>
        <w:rPr>
          <w:rtl/>
        </w:rPr>
        <w:t xml:space="preserve"> </w:t>
      </w:r>
      <w:r w:rsidRPr="00D34F43">
        <w:rPr>
          <w:rFonts w:cs="Arial"/>
          <w:rtl/>
        </w:rPr>
        <w:t>יריעה הפרוסה סביבות המטה</w:t>
      </w:r>
      <w:r>
        <w:rPr>
          <w:rFonts w:cs="Arial" w:hint="cs"/>
          <w:rtl/>
        </w:rPr>
        <w:t>, רש"י</w:t>
      </w:r>
      <w:r w:rsidRPr="00D34F43">
        <w:rPr>
          <w:rFonts w:cs="Arial"/>
          <w:rtl/>
        </w:rPr>
        <w:t>.</w:t>
      </w:r>
    </w:p>
  </w:footnote>
  <w:footnote w:id="1844">
    <w:p w14:paraId="4B7E56CE" w14:textId="77777777" w:rsidR="0013116F" w:rsidRDefault="0013116F" w:rsidP="004B607F">
      <w:pPr>
        <w:pStyle w:val="a9"/>
      </w:pPr>
      <w:r>
        <w:rPr>
          <w:rStyle w:val="ab"/>
        </w:rPr>
        <w:footnoteRef/>
      </w:r>
      <w:r>
        <w:rPr>
          <w:rtl/>
        </w:rPr>
        <w:t xml:space="preserve"> </w:t>
      </w:r>
      <w:r w:rsidRPr="00D34F43">
        <w:rPr>
          <w:rFonts w:cs="Arial"/>
          <w:rtl/>
        </w:rPr>
        <w:t>רוצה אתה שיהו כל השומעין מעידין בין ניעורין בין ישינים, שהיה מכיר זה בו שלא יודה בפני עדים, אמר בלבו: שמא יהא סבור שכולם ישינים ויאמר הן</w:t>
      </w:r>
      <w:r>
        <w:rPr>
          <w:rFonts w:cs="Arial" w:hint="cs"/>
          <w:rtl/>
        </w:rPr>
        <w:t>, רש"י</w:t>
      </w:r>
      <w:r w:rsidRPr="00D34F43">
        <w:rPr>
          <w:rFonts w:cs="Arial"/>
          <w:rtl/>
        </w:rPr>
        <w:t>.</w:t>
      </w:r>
    </w:p>
  </w:footnote>
  <w:footnote w:id="1845">
    <w:p w14:paraId="48D502E3" w14:textId="77777777" w:rsidR="0013116F" w:rsidRDefault="0013116F" w:rsidP="004B607F">
      <w:pPr>
        <w:pStyle w:val="a9"/>
      </w:pPr>
      <w:r>
        <w:rPr>
          <w:rStyle w:val="ab"/>
        </w:rPr>
        <w:footnoteRef/>
      </w:r>
      <w:r>
        <w:rPr>
          <w:rtl/>
        </w:rPr>
        <w:t xml:space="preserve"> </w:t>
      </w:r>
      <w:r>
        <w:rPr>
          <w:rFonts w:cs="Arial"/>
          <w:rtl/>
        </w:rPr>
        <w:t>משמע דאי הוה שתק הוה מחייב</w:t>
      </w:r>
      <w:r>
        <w:rPr>
          <w:rFonts w:cs="Arial" w:hint="cs"/>
          <w:rtl/>
        </w:rPr>
        <w:t>, ב"י.</w:t>
      </w:r>
    </w:p>
  </w:footnote>
  <w:footnote w:id="1846">
    <w:p w14:paraId="2EDCA771" w14:textId="77777777" w:rsidR="0013116F" w:rsidRDefault="0013116F" w:rsidP="004B607F">
      <w:pPr>
        <w:pStyle w:val="a9"/>
        <w:rPr>
          <w:rtl/>
        </w:rPr>
      </w:pPr>
      <w:r>
        <w:rPr>
          <w:rStyle w:val="ab"/>
        </w:rPr>
        <w:footnoteRef/>
      </w:r>
      <w:r>
        <w:rPr>
          <w:rtl/>
        </w:rPr>
        <w:t xml:space="preserve"> </w:t>
      </w:r>
      <w:r>
        <w:rPr>
          <w:rFonts w:cs="Arial"/>
          <w:rtl/>
        </w:rPr>
        <w:t>ומפרש רבינו שהחילוק שבין דין זה לאומר מתיירא אני שמא תכפני וכו' דהתם לא הוה ליה לאסוקי אדעתיה שיש שם עדים אבל הכא דא</w:t>
      </w:r>
      <w:r>
        <w:rPr>
          <w:rFonts w:cs="Arial" w:hint="cs"/>
          <w:rtl/>
        </w:rPr>
        <w:t>"</w:t>
      </w:r>
      <w:r>
        <w:rPr>
          <w:rFonts w:cs="Arial"/>
          <w:rtl/>
        </w:rPr>
        <w:t>ל עירי ושכבי ליהוו עלך סהדי ה</w:t>
      </w:r>
      <w:r>
        <w:rPr>
          <w:rFonts w:cs="Arial" w:hint="cs"/>
          <w:rtl/>
        </w:rPr>
        <w:t>"</w:t>
      </w:r>
      <w:r>
        <w:rPr>
          <w:rFonts w:cs="Arial"/>
          <w:rtl/>
        </w:rPr>
        <w:t>ל לאסוקי אדעתיה שיש שם עדים וכיון ששתק נתכוון להודות. ונראה לי שעירי ושכבי ליהוו עלך סהדי אמר ליה בניחותא דאילו בתמיה אע</w:t>
      </w:r>
      <w:r>
        <w:rPr>
          <w:rFonts w:cs="Arial" w:hint="cs"/>
          <w:rtl/>
        </w:rPr>
        <w:t>"</w:t>
      </w:r>
      <w:r>
        <w:rPr>
          <w:rFonts w:cs="Arial"/>
          <w:rtl/>
        </w:rPr>
        <w:t>פ ששתק הלוה אין זו הודאה שזה שאל את פיו וזה לא השיב לו דבר</w:t>
      </w:r>
      <w:r>
        <w:rPr>
          <w:rFonts w:hint="cs"/>
          <w:rtl/>
        </w:rPr>
        <w:t>, ב"י.</w:t>
      </w:r>
    </w:p>
  </w:footnote>
  <w:footnote w:id="1847">
    <w:p w14:paraId="62105FE2" w14:textId="77777777" w:rsidR="0013116F" w:rsidRDefault="0013116F" w:rsidP="004B607F">
      <w:pPr>
        <w:pStyle w:val="a9"/>
      </w:pPr>
      <w:r>
        <w:rPr>
          <w:rStyle w:val="ab"/>
        </w:rPr>
        <w:footnoteRef/>
      </w:r>
      <w:r>
        <w:rPr>
          <w:rtl/>
        </w:rPr>
        <w:t xml:space="preserve"> </w:t>
      </w:r>
      <w:r>
        <w:rPr>
          <w:rFonts w:cs="Arial" w:hint="cs"/>
          <w:rtl/>
        </w:rPr>
        <w:t>מ</w:t>
      </w:r>
      <w:r>
        <w:rPr>
          <w:rFonts w:cs="Arial"/>
          <w:rtl/>
        </w:rPr>
        <w:t xml:space="preserve">ההוא דאכמין עדים בקיברא לחבריה </w:t>
      </w:r>
      <w:r>
        <w:rPr>
          <w:rFonts w:cs="Arial" w:hint="cs"/>
          <w:rtl/>
        </w:rPr>
        <w:t>דהתם</w:t>
      </w:r>
      <w:r>
        <w:rPr>
          <w:rFonts w:cs="Arial"/>
          <w:rtl/>
        </w:rPr>
        <w:t xml:space="preserve"> נמי כיון דאמר חיי ומיתי ליהוו עלך סהדי הוה ליה לאסוקי אדעתיה שהיו שם עדים וכיון שכן אם שתק הודה וזהו שכתב רבינו וכן כל כיוצא בזה</w:t>
      </w:r>
      <w:r>
        <w:rPr>
          <w:rFonts w:cs="Arial" w:hint="cs"/>
          <w:rtl/>
        </w:rPr>
        <w:t>, ב"י.</w:t>
      </w:r>
    </w:p>
  </w:footnote>
  <w:footnote w:id="1848">
    <w:p w14:paraId="293B4608" w14:textId="77777777" w:rsidR="0013116F" w:rsidRDefault="0013116F" w:rsidP="004B607F">
      <w:pPr>
        <w:pStyle w:val="a9"/>
        <w:rPr>
          <w:rtl/>
        </w:rPr>
      </w:pPr>
      <w:r>
        <w:rPr>
          <w:rStyle w:val="ab"/>
        </w:rPr>
        <w:footnoteRef/>
      </w:r>
      <w:r>
        <w:rPr>
          <w:rtl/>
        </w:rPr>
        <w:t xml:space="preserve"> </w:t>
      </w:r>
      <w:r w:rsidRPr="00CA6828">
        <w:rPr>
          <w:rFonts w:cs="Arial"/>
          <w:rtl/>
        </w:rPr>
        <w:t>הטור כתב דינים הללו ג"כ בסימן זה ללמד לעדים בהלכות עדות איך יתנהגו בעדותם, וחזר וכתבם בארוכה בסימן פ"א ששם איירי בהלכות טוען ונטען, ללמד לדיינים איך יפסקו על עדות כזו הבאה לפניהן, וכמ"ש בפרישה. והמחבר סמך אמ"ש לקמן בסימן פ"א בהל' טוען ונטען</w:t>
      </w:r>
      <w:r>
        <w:rPr>
          <w:rFonts w:hint="cs"/>
          <w:rtl/>
        </w:rPr>
        <w:t>, סמ"ע (סק"ב).</w:t>
      </w:r>
    </w:p>
  </w:footnote>
  <w:footnote w:id="1849">
    <w:p w14:paraId="61FA6E15" w14:textId="77777777" w:rsidR="0013116F" w:rsidRDefault="0013116F" w:rsidP="004B607F">
      <w:pPr>
        <w:pStyle w:val="a9"/>
        <w:rPr>
          <w:rtl/>
        </w:rPr>
      </w:pPr>
      <w:r>
        <w:rPr>
          <w:rStyle w:val="ab"/>
        </w:rPr>
        <w:footnoteRef/>
      </w:r>
      <w:r>
        <w:rPr>
          <w:rtl/>
        </w:rPr>
        <w:t xml:space="preserve"> </w:t>
      </w:r>
      <w:r w:rsidRPr="00CA6828">
        <w:rPr>
          <w:rFonts w:cs="Arial"/>
          <w:rtl/>
        </w:rPr>
        <w:t>המחבר שינה מלשון הטור [סעיף א'], שהטור כתב, לא יעידו שחייב לו מנה, ואליביה מותר להם להעיד סתם איך שהודה בפניהם שהוא חייב לו. והטעם, דלהרא"ש [סנהדרין פ"ג סי' כ"ה] והטור אין מועיל הודאה גמורה שהודה לפניהן, אם לא שיאמר אתם עדי, כמו שכתב בפירוש בסימן זה [סע</w:t>
      </w:r>
      <w:r>
        <w:rPr>
          <w:rFonts w:cs="Arial" w:hint="cs"/>
          <w:rtl/>
        </w:rPr>
        <w:t>'</w:t>
      </w:r>
      <w:r w:rsidRPr="00CA6828">
        <w:rPr>
          <w:rFonts w:cs="Arial"/>
          <w:rtl/>
        </w:rPr>
        <w:t xml:space="preserve"> יד] ובסימן פ"א [סע</w:t>
      </w:r>
      <w:r>
        <w:rPr>
          <w:rFonts w:cs="Arial" w:hint="cs"/>
          <w:rtl/>
        </w:rPr>
        <w:t>'</w:t>
      </w:r>
      <w:r w:rsidRPr="00CA6828">
        <w:rPr>
          <w:rFonts w:cs="Arial"/>
          <w:rtl/>
        </w:rPr>
        <w:t xml:space="preserve"> יד] ע"ש. ולכך דקדקו וכתבו שלא יעידו שחייב לו, שמשמעותו שיודעין בבירור שחייב לו. אבל המחבר פסק לקמן בסימן פ"א [סע</w:t>
      </w:r>
      <w:r>
        <w:rPr>
          <w:rFonts w:cs="Arial" w:hint="cs"/>
          <w:rtl/>
        </w:rPr>
        <w:t>'</w:t>
      </w:r>
      <w:r w:rsidRPr="00CA6828">
        <w:rPr>
          <w:rFonts w:cs="Arial"/>
          <w:rtl/>
        </w:rPr>
        <w:t xml:space="preserve"> ח] סתם כהרמב"ם [פ"ז מטוען ונטען ה"א] והרמ"ה [סנהדרין כט</w:t>
      </w:r>
      <w:r>
        <w:rPr>
          <w:rFonts w:cs="Arial" w:hint="cs"/>
          <w:rtl/>
        </w:rPr>
        <w:t>.,</w:t>
      </w:r>
      <w:r w:rsidRPr="00CA6828">
        <w:rPr>
          <w:rFonts w:cs="Arial"/>
          <w:rtl/>
        </w:rPr>
        <w:t xml:space="preserve"> הובא כאן בטור סע</w:t>
      </w:r>
      <w:r>
        <w:rPr>
          <w:rFonts w:cs="Arial" w:hint="cs"/>
          <w:rtl/>
        </w:rPr>
        <w:t>'</w:t>
      </w:r>
      <w:r w:rsidRPr="00CA6828">
        <w:rPr>
          <w:rFonts w:cs="Arial"/>
          <w:rtl/>
        </w:rPr>
        <w:t xml:space="preserve"> יז], דס"ל דאם הודה בפני עדים בהודאה גמורה אין צריך שיאמר להם אתם עדי, משום הכי כתב דלא יעידו סתם איך שהודה בפניהן, דמשמעותו שהודה לפניהן בהודאה גמורה, אלא יאמרו דברים כהוויתן, דהיינו איך שאמר לפניהן שחייב לו מנה, ובית דין יבחנו הדברים אם היתה הודאה גמורה או שאר ענינים שיתחייב על ידם או לא</w:t>
      </w:r>
      <w:r>
        <w:rPr>
          <w:rFonts w:hint="cs"/>
          <w:rtl/>
        </w:rPr>
        <w:t>, סמ"ע (סק"א).</w:t>
      </w:r>
    </w:p>
  </w:footnote>
  <w:footnote w:id="1850">
    <w:p w14:paraId="5F5DF8EA" w14:textId="77777777" w:rsidR="0013116F" w:rsidRDefault="0013116F" w:rsidP="004B607F">
      <w:pPr>
        <w:pStyle w:val="a9"/>
        <w:rPr>
          <w:rtl/>
        </w:rPr>
      </w:pPr>
      <w:r>
        <w:rPr>
          <w:rStyle w:val="ab"/>
        </w:rPr>
        <w:footnoteRef/>
      </w:r>
      <w:r>
        <w:rPr>
          <w:rtl/>
        </w:rPr>
        <w:t xml:space="preserve"> </w:t>
      </w:r>
      <w:r>
        <w:rPr>
          <w:rFonts w:hint="cs"/>
          <w:rtl/>
        </w:rPr>
        <w:t xml:space="preserve">סימן - היזקי נבלות. וכן </w:t>
      </w:r>
      <w:r>
        <w:rPr>
          <w:rtl/>
        </w:rPr>
        <w:t>–</w:t>
      </w:r>
      <w:r>
        <w:rPr>
          <w:rFonts w:hint="cs"/>
          <w:rtl/>
        </w:rPr>
        <w:t xml:space="preserve"> העושם נבל. וכן </w:t>
      </w:r>
      <w:r>
        <w:rPr>
          <w:rtl/>
        </w:rPr>
        <w:t>–</w:t>
      </w:r>
      <w:r>
        <w:rPr>
          <w:rFonts w:hint="cs"/>
          <w:rtl/>
        </w:rPr>
        <w:t xml:space="preserve"> הוא נבל. </w:t>
      </w:r>
    </w:p>
  </w:footnote>
  <w:footnote w:id="1851">
    <w:p w14:paraId="33230851" w14:textId="77777777" w:rsidR="0013116F" w:rsidRDefault="0013116F" w:rsidP="004B607F">
      <w:pPr>
        <w:pStyle w:val="a9"/>
      </w:pPr>
      <w:r>
        <w:rPr>
          <w:rStyle w:val="ab"/>
        </w:rPr>
        <w:footnoteRef/>
      </w:r>
      <w:r>
        <w:rPr>
          <w:rtl/>
        </w:rPr>
        <w:t xml:space="preserve"> </w:t>
      </w:r>
      <w:r w:rsidRPr="00396CE2">
        <w:rPr>
          <w:rFonts w:cs="Arial"/>
          <w:rtl/>
        </w:rPr>
        <w:t>אותו ממון שהוציא חייב להחזיר</w:t>
      </w:r>
      <w:r>
        <w:rPr>
          <w:rFonts w:cs="Arial" w:hint="cs"/>
          <w:rtl/>
        </w:rPr>
        <w:t>, רש"י.</w:t>
      </w:r>
    </w:p>
  </w:footnote>
  <w:footnote w:id="1852">
    <w:p w14:paraId="6202E710" w14:textId="77777777" w:rsidR="0013116F" w:rsidRDefault="0013116F" w:rsidP="004B607F">
      <w:pPr>
        <w:pStyle w:val="a9"/>
      </w:pPr>
      <w:r>
        <w:rPr>
          <w:rStyle w:val="ab"/>
        </w:rPr>
        <w:footnoteRef/>
      </w:r>
      <w:r>
        <w:rPr>
          <w:rtl/>
        </w:rPr>
        <w:t xml:space="preserve"> </w:t>
      </w:r>
      <w:r w:rsidRPr="00396CE2">
        <w:rPr>
          <w:rFonts w:cs="Arial"/>
          <w:rtl/>
        </w:rPr>
        <w:t>שכר עידי שקר להוציא מנה מראובן לשמעון</w:t>
      </w:r>
      <w:r>
        <w:rPr>
          <w:rFonts w:cs="Arial" w:hint="cs"/>
          <w:rtl/>
        </w:rPr>
        <w:t>, רש"י.</w:t>
      </w:r>
      <w:r w:rsidRPr="00CA6828">
        <w:rPr>
          <w:rFonts w:cs="Arial"/>
          <w:rtl/>
        </w:rPr>
        <w:t xml:space="preserve"> </w:t>
      </w:r>
      <w:r w:rsidRPr="00396CE2">
        <w:rPr>
          <w:rFonts w:cs="Arial"/>
          <w:rtl/>
        </w:rPr>
        <w:t>כגון שאין לחבריה מה לשלם או שהלך למדינת הים</w:t>
      </w:r>
      <w:r>
        <w:rPr>
          <w:rFonts w:cs="Arial" w:hint="cs"/>
          <w:rtl/>
        </w:rPr>
        <w:t>,</w:t>
      </w:r>
      <w:r w:rsidRPr="00C51F67">
        <w:rPr>
          <w:rFonts w:cs="Arial"/>
          <w:rtl/>
        </w:rPr>
        <w:t xml:space="preserve"> </w:t>
      </w:r>
      <w:r w:rsidRPr="00396CE2">
        <w:rPr>
          <w:rFonts w:cs="Arial"/>
          <w:rtl/>
        </w:rPr>
        <w:t>תוס</w:t>
      </w:r>
      <w:r>
        <w:rPr>
          <w:rFonts w:cs="Arial" w:hint="cs"/>
          <w:rtl/>
        </w:rPr>
        <w:t>'</w:t>
      </w:r>
      <w:r w:rsidRPr="00396CE2">
        <w:rPr>
          <w:rFonts w:cs="Arial"/>
          <w:rtl/>
        </w:rPr>
        <w:t xml:space="preserve"> (ד"ה אלא)</w:t>
      </w:r>
      <w:r>
        <w:rPr>
          <w:rFonts w:cs="Arial" w:hint="cs"/>
          <w:rtl/>
        </w:rPr>
        <w:t>.</w:t>
      </w:r>
      <w:r w:rsidRPr="00396CE2">
        <w:rPr>
          <w:rFonts w:cs="Arial"/>
          <w:rtl/>
        </w:rPr>
        <w:t xml:space="preserve"> </w:t>
      </w:r>
    </w:p>
  </w:footnote>
  <w:footnote w:id="1853">
    <w:p w14:paraId="24673046" w14:textId="77777777" w:rsidR="0013116F" w:rsidRDefault="0013116F" w:rsidP="004B607F">
      <w:pPr>
        <w:pStyle w:val="a9"/>
        <w:rPr>
          <w:rtl/>
        </w:rPr>
      </w:pPr>
      <w:r>
        <w:rPr>
          <w:rStyle w:val="ab"/>
        </w:rPr>
        <w:footnoteRef/>
      </w:r>
      <w:r>
        <w:rPr>
          <w:rtl/>
        </w:rPr>
        <w:t xml:space="preserve"> </w:t>
      </w:r>
      <w:r w:rsidRPr="00396CE2">
        <w:rPr>
          <w:rFonts w:cs="Arial"/>
          <w:rtl/>
        </w:rPr>
        <w:t>וכתב רבינו כל זה לומר שצריך לצאת ידי שמים אע</w:t>
      </w:r>
      <w:r>
        <w:rPr>
          <w:rFonts w:cs="Arial" w:hint="cs"/>
          <w:rtl/>
        </w:rPr>
        <w:t>"</w:t>
      </w:r>
      <w:r w:rsidRPr="00396CE2">
        <w:rPr>
          <w:rFonts w:cs="Arial"/>
          <w:rtl/>
        </w:rPr>
        <w:t>פ שאין בית דין מחייבין אותו</w:t>
      </w:r>
      <w:r>
        <w:rPr>
          <w:rFonts w:hint="cs"/>
          <w:rtl/>
        </w:rPr>
        <w:t>, ב"י.</w:t>
      </w:r>
    </w:p>
  </w:footnote>
  <w:footnote w:id="1854">
    <w:p w14:paraId="25B3B0A4" w14:textId="77777777" w:rsidR="0013116F" w:rsidRDefault="0013116F" w:rsidP="004B607F">
      <w:pPr>
        <w:pStyle w:val="a9"/>
        <w:rPr>
          <w:rtl/>
        </w:rPr>
      </w:pPr>
      <w:r>
        <w:rPr>
          <w:rStyle w:val="ab"/>
        </w:rPr>
        <w:footnoteRef/>
      </w:r>
      <w:r>
        <w:rPr>
          <w:rtl/>
        </w:rPr>
        <w:t xml:space="preserve"> </w:t>
      </w:r>
      <w:r>
        <w:rPr>
          <w:rFonts w:hint="cs"/>
          <w:rtl/>
        </w:rPr>
        <w:t>וכן שאין</w:t>
      </w:r>
      <w:r w:rsidRPr="00C51F67">
        <w:rPr>
          <w:rFonts w:cs="Arial"/>
          <w:rtl/>
        </w:rPr>
        <w:t xml:space="preserve"> </w:t>
      </w:r>
      <w:r w:rsidRPr="00396CE2">
        <w:rPr>
          <w:rFonts w:cs="Arial"/>
          <w:rtl/>
        </w:rPr>
        <w:t xml:space="preserve">עדים מעידין עליהם </w:t>
      </w:r>
      <w:r>
        <w:rPr>
          <w:rFonts w:cs="Arial" w:hint="cs"/>
          <w:sz w:val="16"/>
          <w:szCs w:val="16"/>
          <w:rtl/>
        </w:rPr>
        <w:t>{שהעידו שקר}</w:t>
      </w:r>
      <w:r>
        <w:rPr>
          <w:rFonts w:cs="Arial" w:hint="cs"/>
          <w:rtl/>
        </w:rPr>
        <w:t xml:space="preserve">, </w:t>
      </w:r>
      <w:r w:rsidRPr="00396CE2">
        <w:rPr>
          <w:rFonts w:cs="Arial"/>
          <w:rtl/>
        </w:rPr>
        <w:t>דאם כן אפילו מכחישים הן חייבים לשלם</w:t>
      </w:r>
      <w:r>
        <w:rPr>
          <w:rFonts w:cs="Arial" w:hint="cs"/>
          <w:rtl/>
        </w:rPr>
        <w:t>, ב"י.</w:t>
      </w:r>
    </w:p>
  </w:footnote>
  <w:footnote w:id="1855">
    <w:p w14:paraId="798C5ACB" w14:textId="77777777" w:rsidR="0013116F" w:rsidRPr="009E619F" w:rsidRDefault="0013116F" w:rsidP="004B607F">
      <w:pPr>
        <w:pStyle w:val="a9"/>
        <w:rPr>
          <w:rFonts w:cs="Arial"/>
          <w:rtl/>
        </w:rPr>
      </w:pPr>
      <w:r>
        <w:rPr>
          <w:rStyle w:val="ab"/>
        </w:rPr>
        <w:footnoteRef/>
      </w:r>
      <w:r>
        <w:rPr>
          <w:rtl/>
        </w:rPr>
        <w:t xml:space="preserve"> </w:t>
      </w:r>
      <w:r w:rsidRPr="00396CE2">
        <w:rPr>
          <w:rFonts w:cs="Arial"/>
          <w:rtl/>
        </w:rPr>
        <w:t>ונ"ל שדברי הרא"ה הם כשאין לחבריה מה לשלם לו</w:t>
      </w:r>
      <w:r>
        <w:rPr>
          <w:rFonts w:cs="Arial" w:hint="cs"/>
          <w:rtl/>
        </w:rPr>
        <w:t>,</w:t>
      </w:r>
      <w:r w:rsidRPr="00396CE2">
        <w:rPr>
          <w:rFonts w:cs="Arial"/>
          <w:rtl/>
        </w:rPr>
        <w:t xml:space="preserve"> או הלך למדינת הים</w:t>
      </w:r>
      <w:r>
        <w:rPr>
          <w:rFonts w:cs="Arial" w:hint="cs"/>
          <w:rtl/>
        </w:rPr>
        <w:t xml:space="preserve"> -</w:t>
      </w:r>
      <w:r w:rsidRPr="00396CE2">
        <w:rPr>
          <w:rFonts w:cs="Arial"/>
          <w:rtl/>
        </w:rPr>
        <w:t xml:space="preserve"> ואז העדים חייבים לשלם</w:t>
      </w:r>
      <w:r>
        <w:rPr>
          <w:rFonts w:cs="Arial" w:hint="cs"/>
          <w:rtl/>
        </w:rPr>
        <w:t>,</w:t>
      </w:r>
      <w:r w:rsidRPr="00396CE2">
        <w:rPr>
          <w:rFonts w:cs="Arial"/>
          <w:rtl/>
        </w:rPr>
        <w:t xml:space="preserve"> אבל אי איתיה קמן מוציאין הגזילה מידו</w:t>
      </w:r>
      <w:r>
        <w:rPr>
          <w:rFonts w:cs="Arial" w:hint="cs"/>
          <w:rtl/>
        </w:rPr>
        <w:t>, ב"י. וכן נראה לי מדברי התוס'</w:t>
      </w:r>
      <w:r>
        <w:rPr>
          <w:rFonts w:cs="Arial" w:hint="cs"/>
          <w:sz w:val="16"/>
          <w:szCs w:val="16"/>
          <w:rtl/>
        </w:rPr>
        <w:t xml:space="preserve"> (</w:t>
      </w:r>
      <w:r w:rsidRPr="0064393E">
        <w:rPr>
          <w:rFonts w:cs="Arial" w:hint="cs"/>
          <w:sz w:val="16"/>
          <w:szCs w:val="16"/>
          <w:rtl/>
        </w:rPr>
        <w:t>שם ד"ה אלא לחבריה</w:t>
      </w:r>
      <w:r>
        <w:rPr>
          <w:rFonts w:cs="Arial" w:hint="cs"/>
          <w:sz w:val="16"/>
          <w:szCs w:val="16"/>
          <w:rtl/>
        </w:rPr>
        <w:t>, וכן הבין מהר"ם מלובלין [שם בהערה על התוס'] את דבריהם)</w:t>
      </w:r>
      <w:r w:rsidRPr="00396CE2">
        <w:rPr>
          <w:rFonts w:cs="Arial"/>
          <w:rtl/>
        </w:rPr>
        <w:t xml:space="preserve">. </w:t>
      </w:r>
      <w:r>
        <w:rPr>
          <w:rFonts w:cs="Arial" w:hint="cs"/>
          <w:rtl/>
        </w:rPr>
        <w:t xml:space="preserve">אך הדרכ"מ </w:t>
      </w:r>
      <w:r w:rsidRPr="00396CE2">
        <w:rPr>
          <w:rFonts w:cs="Arial"/>
          <w:rtl/>
        </w:rPr>
        <w:t>(</w:t>
      </w:r>
      <w:r>
        <w:rPr>
          <w:rFonts w:cs="Arial" w:hint="cs"/>
          <w:rtl/>
        </w:rPr>
        <w:t xml:space="preserve">אות </w:t>
      </w:r>
      <w:r w:rsidRPr="00396CE2">
        <w:rPr>
          <w:rFonts w:cs="Arial"/>
          <w:rtl/>
        </w:rPr>
        <w:t xml:space="preserve">ב) </w:t>
      </w:r>
      <w:r>
        <w:rPr>
          <w:rFonts w:cs="Arial" w:hint="cs"/>
          <w:rtl/>
        </w:rPr>
        <w:t xml:space="preserve">כתב- </w:t>
      </w:r>
      <w:r w:rsidRPr="00396CE2">
        <w:rPr>
          <w:rFonts w:cs="Arial"/>
          <w:rtl/>
        </w:rPr>
        <w:t>ולי נראה שאע</w:t>
      </w:r>
      <w:r>
        <w:rPr>
          <w:rFonts w:cs="Arial" w:hint="cs"/>
          <w:rtl/>
        </w:rPr>
        <w:t>"</w:t>
      </w:r>
      <w:r w:rsidRPr="00396CE2">
        <w:rPr>
          <w:rFonts w:cs="Arial"/>
          <w:rtl/>
        </w:rPr>
        <w:t>פ שהוא כאן ויש לו לשלם אין צריך להחזיר מאחר שהוא אומר שהעדים כדין העידו</w:t>
      </w:r>
      <w:r>
        <w:rPr>
          <w:rFonts w:cs="Arial" w:hint="cs"/>
          <w:rtl/>
        </w:rPr>
        <w:t>,</w:t>
      </w:r>
      <w:r w:rsidRPr="00396CE2">
        <w:rPr>
          <w:rFonts w:cs="Arial"/>
          <w:rtl/>
        </w:rPr>
        <w:t xml:space="preserve"> והעדים אינם נאמנים בהודאתן דכיון שהעידו אינם חוזרים ומגידים</w:t>
      </w:r>
      <w:r>
        <w:rPr>
          <w:rFonts w:cs="Arial" w:hint="cs"/>
          <w:rtl/>
        </w:rPr>
        <w:t>,</w:t>
      </w:r>
      <w:r w:rsidRPr="00396CE2">
        <w:rPr>
          <w:rFonts w:cs="Arial"/>
          <w:rtl/>
        </w:rPr>
        <w:t xml:space="preserve"> ועוד דלפי דבריהם רשעים הם ואינם נאמנים עליו אבל על עצמן נאמנים והם צריכים לשלם</w:t>
      </w:r>
      <w:r>
        <w:rPr>
          <w:rFonts w:cs="Arial" w:hint="cs"/>
          <w:rtl/>
        </w:rPr>
        <w:t>.</w:t>
      </w:r>
      <w:r w:rsidRPr="00396CE2">
        <w:rPr>
          <w:rFonts w:cs="Arial"/>
          <w:rtl/>
        </w:rPr>
        <w:t xml:space="preserve"> </w:t>
      </w:r>
      <w:r>
        <w:rPr>
          <w:rFonts w:cs="Arial" w:hint="cs"/>
          <w:rtl/>
        </w:rPr>
        <w:t>עכ"ל הדרכ"מ.</w:t>
      </w:r>
      <w:r w:rsidRPr="00C91388">
        <w:rPr>
          <w:rFonts w:cs="Arial" w:hint="cs"/>
          <w:color w:val="00B0F0"/>
          <w:rtl/>
        </w:rPr>
        <w:t xml:space="preserve"> </w:t>
      </w:r>
      <w:r w:rsidRPr="00C51F67">
        <w:rPr>
          <w:rFonts w:cs="Arial" w:hint="cs"/>
          <w:color w:val="00B0F0"/>
          <w:rtl/>
        </w:rPr>
        <w:t xml:space="preserve">(וכ"פ </w:t>
      </w:r>
      <w:r>
        <w:rPr>
          <w:rFonts w:cs="Arial" w:hint="cs"/>
          <w:color w:val="00B0F0"/>
          <w:rtl/>
        </w:rPr>
        <w:t>בהגה</w:t>
      </w:r>
      <w:r w:rsidRPr="00C51F67">
        <w:rPr>
          <w:rFonts w:cs="Arial" w:hint="cs"/>
          <w:color w:val="00B0F0"/>
          <w:rtl/>
        </w:rPr>
        <w:t>)</w:t>
      </w:r>
      <w:r>
        <w:rPr>
          <w:rFonts w:cs="Arial" w:hint="cs"/>
          <w:rtl/>
        </w:rPr>
        <w:t>. וכ"כ הסמ"ע (סק"ח) והש"ך (סק"ד). ואולי הב"י והדרכ"מ לא חולקים, אלא הב"י מדבר כשהבעל דין והעדים מודים, והדרכ"מ דיבר כשרק העדים הודו, כדפירש להדיא. וכתב עוד הדרכ"מ ל</w:t>
      </w:r>
      <w:r w:rsidRPr="00396CE2">
        <w:rPr>
          <w:rFonts w:cs="Arial"/>
          <w:rtl/>
        </w:rPr>
        <w:t>עיין בתשו</w:t>
      </w:r>
      <w:r>
        <w:rPr>
          <w:rFonts w:cs="Arial" w:hint="cs"/>
          <w:rtl/>
        </w:rPr>
        <w:t>'</w:t>
      </w:r>
      <w:r w:rsidRPr="00396CE2">
        <w:rPr>
          <w:rFonts w:cs="Arial"/>
          <w:rtl/>
        </w:rPr>
        <w:t xml:space="preserve"> הרא"ש כלל ל"ה סימן ד'</w:t>
      </w:r>
      <w:r>
        <w:rPr>
          <w:rFonts w:cs="Arial" w:hint="cs"/>
          <w:rtl/>
        </w:rPr>
        <w:t>,</w:t>
      </w:r>
      <w:r w:rsidRPr="00396CE2">
        <w:rPr>
          <w:rFonts w:cs="Arial"/>
          <w:rtl/>
        </w:rPr>
        <w:t xml:space="preserve"> ו</w:t>
      </w:r>
      <w:r>
        <w:rPr>
          <w:rFonts w:cs="Arial" w:hint="cs"/>
          <w:rtl/>
        </w:rPr>
        <w:t>כן ל</w:t>
      </w:r>
      <w:r w:rsidRPr="00396CE2">
        <w:rPr>
          <w:rFonts w:cs="Arial"/>
          <w:rtl/>
        </w:rPr>
        <w:t>עיין לקמן סימן ל"ח (ס"ה)</w:t>
      </w:r>
      <w:r>
        <w:rPr>
          <w:rFonts w:cs="Arial" w:hint="cs"/>
          <w:rtl/>
        </w:rPr>
        <w:t xml:space="preserve">. וגם הב"י הפנה לעיין בדברי הרא"ש. </w:t>
      </w:r>
    </w:p>
  </w:footnote>
  <w:footnote w:id="1856">
    <w:p w14:paraId="18840812" w14:textId="77777777" w:rsidR="0013116F" w:rsidRDefault="0013116F" w:rsidP="004B607F">
      <w:pPr>
        <w:pStyle w:val="a9"/>
      </w:pPr>
      <w:r>
        <w:rPr>
          <w:rStyle w:val="ab"/>
        </w:rPr>
        <w:footnoteRef/>
      </w:r>
      <w:r>
        <w:rPr>
          <w:rtl/>
        </w:rPr>
        <w:t xml:space="preserve"> </w:t>
      </w:r>
      <w:r w:rsidRPr="00C91388">
        <w:rPr>
          <w:rFonts w:cs="Arial"/>
          <w:rtl/>
        </w:rPr>
        <w:t>מיירי ששכרן לחבריה</w:t>
      </w:r>
      <w:r>
        <w:rPr>
          <w:rFonts w:cs="Arial" w:hint="cs"/>
          <w:rtl/>
        </w:rPr>
        <w:t>,</w:t>
      </w:r>
      <w:r w:rsidRPr="00C91388">
        <w:rPr>
          <w:rFonts w:cs="Arial"/>
          <w:rtl/>
        </w:rPr>
        <w:t xml:space="preserve"> וכמ"ש מור"ם בהג"ה, ומשום הכי אף אם השוכר מודה בזה</w:t>
      </w:r>
      <w:r>
        <w:rPr>
          <w:rFonts w:cs="Arial" w:hint="cs"/>
          <w:rtl/>
        </w:rPr>
        <w:t xml:space="preserve"> -</w:t>
      </w:r>
      <w:r w:rsidRPr="00C91388">
        <w:rPr>
          <w:rFonts w:cs="Arial"/>
          <w:rtl/>
        </w:rPr>
        <w:t xml:space="preserve"> פטור השוכר מדיני אדם הואיל ואין הגזילה בידו, אף דקי"ל [סי</w:t>
      </w:r>
      <w:r>
        <w:rPr>
          <w:rFonts w:cs="Arial" w:hint="cs"/>
          <w:rtl/>
        </w:rPr>
        <w:t>'</w:t>
      </w:r>
      <w:r w:rsidRPr="00C91388">
        <w:rPr>
          <w:rFonts w:cs="Arial"/>
          <w:rtl/>
        </w:rPr>
        <w:t xml:space="preserve"> שפו ס</w:t>
      </w:r>
      <w:r>
        <w:rPr>
          <w:rFonts w:cs="Arial" w:hint="cs"/>
          <w:rtl/>
        </w:rPr>
        <w:t>"</w:t>
      </w:r>
      <w:r w:rsidRPr="00C91388">
        <w:rPr>
          <w:rFonts w:cs="Arial"/>
          <w:rtl/>
        </w:rPr>
        <w:t>א] כמאן דדאין דינא דגרמי, מ"מ הואיל שהוא לא העיד אלא ששכר עדים, יכול לומר דברי הרב ודברי התלמיד דברי מי שומעין. ועוד, העדים הן עיקר הגרמא ולא השוכר. ומיירי דהעדים ואותו שהוציא הממון אינם מודים שהעידו שקר, וכמ"ש מור"ם בהג"ה זו. וה"ה אם אין להם במה לשלם, או שהלכו למדינת הים</w:t>
      </w:r>
      <w:r>
        <w:rPr>
          <w:rFonts w:cs="Arial" w:hint="cs"/>
          <w:rtl/>
        </w:rPr>
        <w:t>, סמ"ע (סק"ג).</w:t>
      </w:r>
    </w:p>
  </w:footnote>
  <w:footnote w:id="1857">
    <w:p w14:paraId="1C366ACA" w14:textId="77777777" w:rsidR="0013116F" w:rsidRDefault="0013116F" w:rsidP="004B607F">
      <w:pPr>
        <w:pStyle w:val="a9"/>
        <w:rPr>
          <w:rtl/>
        </w:rPr>
      </w:pPr>
      <w:r>
        <w:rPr>
          <w:rStyle w:val="ab"/>
        </w:rPr>
        <w:footnoteRef/>
      </w:r>
      <w:r>
        <w:rPr>
          <w:rtl/>
        </w:rPr>
        <w:t xml:space="preserve"> </w:t>
      </w:r>
      <w:r w:rsidRPr="00591595">
        <w:rPr>
          <w:rFonts w:cs="Arial"/>
          <w:rtl/>
        </w:rPr>
        <w:t>ואינו יוצא ידי שמים עד שישלם לו הזיקו</w:t>
      </w:r>
      <w:r>
        <w:rPr>
          <w:rFonts w:hint="cs"/>
          <w:rtl/>
        </w:rPr>
        <w:t>, ש"ך (סק"ב).</w:t>
      </w:r>
    </w:p>
  </w:footnote>
  <w:footnote w:id="1858">
    <w:p w14:paraId="6EAB8F76" w14:textId="77777777" w:rsidR="0013116F" w:rsidRDefault="0013116F" w:rsidP="004B607F">
      <w:pPr>
        <w:pStyle w:val="a9"/>
      </w:pPr>
      <w:r>
        <w:rPr>
          <w:rStyle w:val="ab"/>
        </w:rPr>
        <w:footnoteRef/>
      </w:r>
      <w:r>
        <w:rPr>
          <w:rtl/>
        </w:rPr>
        <w:t xml:space="preserve"> </w:t>
      </w:r>
      <w:r>
        <w:rPr>
          <w:rFonts w:hint="cs"/>
          <w:rtl/>
        </w:rPr>
        <w:t xml:space="preserve">וכתב הש"ך (סק"ג) דאע"ג דמדברי התוס' שם </w:t>
      </w:r>
      <w:r w:rsidRPr="007827E4">
        <w:rPr>
          <w:rFonts w:hint="cs"/>
          <w:sz w:val="16"/>
          <w:szCs w:val="16"/>
          <w:rtl/>
        </w:rPr>
        <w:t xml:space="preserve">(נו. ד"ה אלא) </w:t>
      </w:r>
      <w:r w:rsidRPr="00591595">
        <w:rPr>
          <w:rFonts w:cs="Arial"/>
          <w:rtl/>
        </w:rPr>
        <w:t>משמע ד</w:t>
      </w:r>
      <w:r>
        <w:rPr>
          <w:rFonts w:cs="Arial" w:hint="cs"/>
          <w:rtl/>
        </w:rPr>
        <w:t>ה</w:t>
      </w:r>
      <w:r w:rsidRPr="00591595">
        <w:rPr>
          <w:rFonts w:cs="Arial"/>
          <w:rtl/>
        </w:rPr>
        <w:t xml:space="preserve">שולח </w:t>
      </w:r>
      <w:r>
        <w:rPr>
          <w:rFonts w:cs="Arial" w:hint="cs"/>
          <w:rtl/>
        </w:rPr>
        <w:t xml:space="preserve">פקח להזיק </w:t>
      </w:r>
      <w:r>
        <w:rPr>
          <w:rFonts w:cs="Arial" w:hint="cs"/>
          <w:sz w:val="16"/>
          <w:szCs w:val="16"/>
          <w:rtl/>
        </w:rPr>
        <w:t xml:space="preserve">{כגון השוכר עדי שקר} </w:t>
      </w:r>
      <w:r w:rsidRPr="00591595">
        <w:rPr>
          <w:rFonts w:cs="Arial"/>
          <w:rtl/>
        </w:rPr>
        <w:t>פטור אף מדיני שמים</w:t>
      </w:r>
      <w:r>
        <w:rPr>
          <w:rFonts w:cs="Arial" w:hint="cs"/>
          <w:rtl/>
        </w:rPr>
        <w:t>,</w:t>
      </w:r>
      <w:r w:rsidRPr="00591595">
        <w:rPr>
          <w:rFonts w:cs="Arial"/>
          <w:rtl/>
        </w:rPr>
        <w:t xml:space="preserve"> מ"מ נראה לי עיקר דלעולם חייב בדיני שמים היכא דגורם היזק לחבירו אפילו לא שכרן.</w:t>
      </w:r>
    </w:p>
  </w:footnote>
  <w:footnote w:id="1859">
    <w:p w14:paraId="46AB9807" w14:textId="77777777" w:rsidR="0013116F" w:rsidRDefault="0013116F" w:rsidP="004B607F">
      <w:pPr>
        <w:pStyle w:val="a9"/>
      </w:pPr>
      <w:r>
        <w:rPr>
          <w:rStyle w:val="ab"/>
        </w:rPr>
        <w:footnoteRef/>
      </w:r>
      <w:r>
        <w:rPr>
          <w:rtl/>
        </w:rPr>
        <w:t xml:space="preserve"> </w:t>
      </w:r>
      <w:r w:rsidRPr="00591595">
        <w:rPr>
          <w:rFonts w:cs="Arial"/>
          <w:rtl/>
        </w:rPr>
        <w:t>פירוש, זה ששכרן לו אינו מודה, אבל השוכר עצמו מודה</w:t>
      </w:r>
      <w:r>
        <w:rPr>
          <w:rFonts w:cs="Arial" w:hint="cs"/>
          <w:rtl/>
        </w:rPr>
        <w:t>, סמ"ע (סק"ד).</w:t>
      </w:r>
    </w:p>
  </w:footnote>
  <w:footnote w:id="1860">
    <w:p w14:paraId="3FF42F9E" w14:textId="77777777" w:rsidR="0013116F" w:rsidRDefault="0013116F" w:rsidP="004B607F">
      <w:pPr>
        <w:pStyle w:val="a9"/>
      </w:pPr>
      <w:r>
        <w:rPr>
          <w:rStyle w:val="ab"/>
        </w:rPr>
        <w:footnoteRef/>
      </w:r>
      <w:r>
        <w:rPr>
          <w:rtl/>
        </w:rPr>
        <w:t xml:space="preserve"> </w:t>
      </w:r>
      <w:r w:rsidRPr="00591595">
        <w:rPr>
          <w:rFonts w:cs="Arial"/>
          <w:rtl/>
        </w:rPr>
        <w:t>פירוש, והוא מודה בזה</w:t>
      </w:r>
      <w:r>
        <w:rPr>
          <w:rFonts w:cs="Arial" w:hint="cs"/>
          <w:rtl/>
        </w:rPr>
        <w:t>,</w:t>
      </w:r>
      <w:r w:rsidRPr="00591595">
        <w:rPr>
          <w:rtl/>
        </w:rPr>
        <w:t xml:space="preserve"> </w:t>
      </w:r>
      <w:r w:rsidRPr="00591595">
        <w:rPr>
          <w:rFonts w:cs="Arial"/>
          <w:rtl/>
        </w:rPr>
        <w:t>ולא הוצרך לכתבו משום דקאי אדברי המחבר דאיירי כשהשוכר מודה,</w:t>
      </w:r>
      <w:r>
        <w:rPr>
          <w:rFonts w:cs="Arial" w:hint="cs"/>
          <w:rtl/>
        </w:rPr>
        <w:t xml:space="preserve"> סמ"ע (סק"ו).</w:t>
      </w:r>
    </w:p>
  </w:footnote>
  <w:footnote w:id="1861">
    <w:p w14:paraId="15D38988" w14:textId="77777777" w:rsidR="0013116F" w:rsidRDefault="0013116F" w:rsidP="004B607F">
      <w:pPr>
        <w:pStyle w:val="a9"/>
      </w:pPr>
      <w:r>
        <w:rPr>
          <w:rStyle w:val="ab"/>
        </w:rPr>
        <w:footnoteRef/>
      </w:r>
      <w:r>
        <w:rPr>
          <w:rtl/>
        </w:rPr>
        <w:t xml:space="preserve"> </w:t>
      </w:r>
      <w:r w:rsidRPr="00591595">
        <w:rPr>
          <w:rFonts w:cs="Arial"/>
          <w:rtl/>
        </w:rPr>
        <w:t>פירוש, או ששכרן לחבריה, ואותו החבר מודה ששלא כדין הוציא הממון</w:t>
      </w:r>
      <w:r>
        <w:rPr>
          <w:rFonts w:cs="Arial" w:hint="cs"/>
          <w:rtl/>
        </w:rPr>
        <w:t>, סמ"ע (סק"ז).</w:t>
      </w:r>
    </w:p>
  </w:footnote>
  <w:footnote w:id="1862">
    <w:p w14:paraId="6F4FE4AB" w14:textId="77777777" w:rsidR="0013116F" w:rsidRDefault="0013116F" w:rsidP="004B607F">
      <w:pPr>
        <w:pStyle w:val="a9"/>
      </w:pPr>
      <w:r>
        <w:rPr>
          <w:rStyle w:val="ab"/>
        </w:rPr>
        <w:footnoteRef/>
      </w:r>
      <w:r>
        <w:rPr>
          <w:rtl/>
        </w:rPr>
        <w:t xml:space="preserve"> </w:t>
      </w:r>
      <w:r w:rsidRPr="00591595">
        <w:rPr>
          <w:rFonts w:cs="Arial"/>
          <w:rtl/>
        </w:rPr>
        <w:t>אבל לא זה שהוציא הממון על ידן כיון שהוא אינו מודה, ואין העדים נאמנים עליו דכיון שהגידו מתחילה שוב אינם יכולים לחזור ולהגיד בענין אחר, אבל לגבי עצמן נאמנים לחייב נפשם. וכ"כ הטור בשם הרא"ש [בתשובות כלל נ"ח סי' ו'] בהדיא סימן מ"ו סעיף ל"ד, והמחבר כתב כן שם בסוף סעיף ל"ז ובסימן כ"ט סעיף ב' ע"ש</w:t>
      </w:r>
      <w:r>
        <w:rPr>
          <w:rFonts w:cs="Arial" w:hint="cs"/>
          <w:rtl/>
        </w:rPr>
        <w:t>, סמ"ע (סק"ח).</w:t>
      </w:r>
    </w:p>
  </w:footnote>
  <w:footnote w:id="1863">
    <w:p w14:paraId="67047226" w14:textId="77777777" w:rsidR="0013116F" w:rsidRDefault="0013116F" w:rsidP="004B607F">
      <w:pPr>
        <w:pStyle w:val="a9"/>
        <w:rPr>
          <w:rtl/>
        </w:rPr>
      </w:pPr>
      <w:r>
        <w:rPr>
          <w:rStyle w:val="ab"/>
        </w:rPr>
        <w:footnoteRef/>
      </w:r>
      <w:r>
        <w:rPr>
          <w:rtl/>
        </w:rPr>
        <w:t xml:space="preserve"> </w:t>
      </w:r>
      <w:r w:rsidRPr="00F97063">
        <w:rPr>
          <w:rFonts w:cs="Arial"/>
          <w:rtl/>
        </w:rPr>
        <w:t>ובאמת אין דברי מהרש"ל מחוורים כלל דכיון שכבר גבה המעות אמאי לא מהימנינן להו במיגו דאי בעי שתקי, בשלמא קודם שגבו המעות הוה ליה מיגו להוציא משא"כ לאחר גביית המעות הוה ליה מיגו מעליא, ודברי מהרש"ל ביש"ש בזה הם דברים שאין בהם טעם וכבר השיג עליו הש"ך בעצמו בסי' ע"ז סקט"ו</w:t>
      </w:r>
      <w:r>
        <w:rPr>
          <w:rFonts w:cs="Arial" w:hint="cs"/>
          <w:rtl/>
        </w:rPr>
        <w:t>.</w:t>
      </w:r>
      <w:r w:rsidRPr="00F97063">
        <w:rPr>
          <w:rFonts w:cs="Arial"/>
          <w:rtl/>
        </w:rPr>
        <w:t xml:space="preserve"> ועי' סי' ל"ז ס"ג</w:t>
      </w:r>
      <w:r>
        <w:rPr>
          <w:rFonts w:cs="Arial" w:hint="cs"/>
          <w:rtl/>
        </w:rPr>
        <w:t>,</w:t>
      </w:r>
      <w:r>
        <w:rPr>
          <w:rFonts w:hint="cs"/>
          <w:rtl/>
        </w:rPr>
        <w:t xml:space="preserve"> שער משפט (סק"ג). וגם שאר האחרנים השאירו דבריו בצ"ע.</w:t>
      </w:r>
    </w:p>
  </w:footnote>
  <w:footnote w:id="1864">
    <w:p w14:paraId="309C09BA" w14:textId="77777777" w:rsidR="0013116F" w:rsidRDefault="0013116F" w:rsidP="004B607F">
      <w:pPr>
        <w:pStyle w:val="a9"/>
      </w:pPr>
      <w:r>
        <w:rPr>
          <w:rStyle w:val="ab"/>
        </w:rPr>
        <w:footnoteRef/>
      </w:r>
      <w:r>
        <w:rPr>
          <w:rtl/>
        </w:rPr>
        <w:t xml:space="preserve"> </w:t>
      </w:r>
      <w:r>
        <w:rPr>
          <w:rFonts w:hint="cs"/>
          <w:rtl/>
        </w:rPr>
        <w:t xml:space="preserve">סימן - </w:t>
      </w:r>
      <w:r w:rsidRPr="00044D87">
        <w:rPr>
          <w:b/>
          <w:bCs/>
          <w:rtl/>
        </w:rPr>
        <w:t>מ</w:t>
      </w:r>
      <w:r w:rsidRPr="00044D87">
        <w:rPr>
          <w:rtl/>
        </w:rPr>
        <w:t>י ש</w:t>
      </w:r>
      <w:r w:rsidRPr="00044D87">
        <w:rPr>
          <w:b/>
          <w:bCs/>
          <w:rtl/>
        </w:rPr>
        <w:t>ט</w:t>
      </w:r>
      <w:r w:rsidRPr="00044D87">
        <w:rPr>
          <w:rtl/>
        </w:rPr>
        <w:t xml:space="preserve">וב טוב. </w:t>
      </w:r>
      <w:r>
        <w:rPr>
          <w:rFonts w:hint="cs"/>
          <w:rtl/>
        </w:rPr>
        <w:t xml:space="preserve">וכן - </w:t>
      </w:r>
      <w:r w:rsidRPr="00044D87">
        <w:rPr>
          <w:rtl/>
        </w:rPr>
        <w:t>מעיד? תדון</w:t>
      </w:r>
      <w:r w:rsidRPr="00044D87">
        <w:rPr>
          <w:rFonts w:hint="cs"/>
          <w:rtl/>
        </w:rPr>
        <w:t>!</w:t>
      </w:r>
      <w:bookmarkStart w:id="261" w:name="_Hlk18402384"/>
      <w:r>
        <w:rPr>
          <w:rFonts w:hint="cs"/>
          <w:rtl/>
        </w:rPr>
        <w:t xml:space="preserve"> . וכן - </w:t>
      </w:r>
      <w:r w:rsidRPr="00044D87">
        <w:rPr>
          <w:rFonts w:hint="cs"/>
          <w:rtl/>
        </w:rPr>
        <w:t xml:space="preserve">מעיד טוב </w:t>
      </w:r>
      <w:r w:rsidRPr="00044D87">
        <w:rPr>
          <w:rtl/>
        </w:rPr>
        <w:t>–</w:t>
      </w:r>
      <w:r w:rsidRPr="00044D87">
        <w:rPr>
          <w:rFonts w:hint="cs"/>
          <w:rtl/>
        </w:rPr>
        <w:t xml:space="preserve"> מידן טוב</w:t>
      </w:r>
      <w:bookmarkEnd w:id="261"/>
      <w:r>
        <w:rPr>
          <w:rFonts w:hint="cs"/>
          <w:rtl/>
        </w:rPr>
        <w:t>.</w:t>
      </w:r>
    </w:p>
  </w:footnote>
  <w:footnote w:id="1865">
    <w:p w14:paraId="6D2DE9F4" w14:textId="77777777" w:rsidR="0013116F" w:rsidRDefault="0013116F" w:rsidP="004B607F">
      <w:pPr>
        <w:pStyle w:val="a9"/>
        <w:rPr>
          <w:rtl/>
        </w:rPr>
      </w:pPr>
      <w:r>
        <w:rPr>
          <w:rStyle w:val="ab"/>
        </w:rPr>
        <w:footnoteRef/>
      </w:r>
      <w:r>
        <w:rPr>
          <w:rtl/>
        </w:rPr>
        <w:t xml:space="preserve"> </w:t>
      </w:r>
      <w:r>
        <w:rPr>
          <w:rFonts w:hint="cs"/>
          <w:rtl/>
        </w:rPr>
        <w:t xml:space="preserve">סימן - </w:t>
      </w:r>
      <w:r w:rsidRPr="00D45C4F">
        <w:rPr>
          <w:rtl/>
        </w:rPr>
        <w:t xml:space="preserve">כוונתו </w:t>
      </w:r>
      <w:r>
        <w:rPr>
          <w:rFonts w:hint="cs"/>
          <w:rtl/>
        </w:rPr>
        <w:t>זכה</w:t>
      </w:r>
      <w:r w:rsidRPr="00D45C4F">
        <w:rPr>
          <w:rtl/>
        </w:rPr>
        <w:t xml:space="preserve">. כוונתו </w:t>
      </w:r>
      <w:r>
        <w:rPr>
          <w:rFonts w:hint="cs"/>
          <w:rtl/>
        </w:rPr>
        <w:t>זרה/זדונית.</w:t>
      </w:r>
    </w:p>
  </w:footnote>
  <w:footnote w:id="1866">
    <w:p w14:paraId="15751720" w14:textId="77777777" w:rsidR="0013116F" w:rsidRPr="00845316" w:rsidRDefault="0013116F" w:rsidP="004B607F">
      <w:pPr>
        <w:pStyle w:val="a9"/>
        <w:spacing w:after="60"/>
        <w:rPr>
          <w:rFonts w:asciiTheme="minorBidi" w:hAnsiTheme="minorBidi"/>
          <w:rtl/>
        </w:rPr>
      </w:pPr>
      <w:r w:rsidRPr="00845316">
        <w:rPr>
          <w:rStyle w:val="ab"/>
          <w:rFonts w:asciiTheme="minorBidi" w:hAnsiTheme="minorBidi"/>
        </w:rPr>
        <w:footnoteRef/>
      </w:r>
      <w:r w:rsidRPr="00845316">
        <w:rPr>
          <w:rFonts w:asciiTheme="minorBidi" w:hAnsiTheme="minorBidi"/>
          <w:rtl/>
        </w:rPr>
        <w:t xml:space="preserve"> פסול לו בימי חופתו, רש"י.</w:t>
      </w:r>
    </w:p>
  </w:footnote>
  <w:footnote w:id="1867">
    <w:p w14:paraId="4804E63D" w14:textId="77777777" w:rsidR="0013116F" w:rsidRPr="00845316" w:rsidRDefault="0013116F" w:rsidP="004B607F">
      <w:pPr>
        <w:pStyle w:val="a9"/>
        <w:spacing w:after="60"/>
        <w:rPr>
          <w:rFonts w:asciiTheme="minorBidi" w:hAnsiTheme="minorBidi"/>
        </w:rPr>
      </w:pPr>
      <w:r w:rsidRPr="00845316">
        <w:rPr>
          <w:rStyle w:val="ab"/>
          <w:rFonts w:asciiTheme="minorBidi" w:hAnsiTheme="minorBidi"/>
        </w:rPr>
        <w:footnoteRef/>
      </w:r>
      <w:r w:rsidRPr="00845316">
        <w:rPr>
          <w:rFonts w:asciiTheme="minorBidi" w:hAnsiTheme="minorBidi"/>
          <w:rtl/>
        </w:rPr>
        <w:t xml:space="preserve"> להעיד שקר משום איבה ואהבה, ודווקא בעדות פליגי, אבל בדין מודו רבנן דפסול לו לדון, דכיון דסני ליה ולא מצי להפוכי בזכותיה, רש"י.</w:t>
      </w:r>
    </w:p>
  </w:footnote>
  <w:footnote w:id="1868">
    <w:p w14:paraId="7F01942A" w14:textId="77777777" w:rsidR="0013116F" w:rsidRPr="00845316" w:rsidRDefault="0013116F" w:rsidP="004B607F">
      <w:pPr>
        <w:pStyle w:val="a9"/>
        <w:spacing w:after="60"/>
        <w:rPr>
          <w:rFonts w:asciiTheme="minorBidi" w:hAnsiTheme="minorBidi"/>
          <w:rtl/>
        </w:rPr>
      </w:pPr>
      <w:r w:rsidRPr="00845316">
        <w:rPr>
          <w:rStyle w:val="ab"/>
          <w:rFonts w:asciiTheme="minorBidi" w:hAnsiTheme="minorBidi"/>
        </w:rPr>
        <w:footnoteRef/>
      </w:r>
      <w:r w:rsidRPr="00845316">
        <w:rPr>
          <w:rFonts w:asciiTheme="minorBidi" w:hAnsiTheme="minorBidi"/>
          <w:rtl/>
        </w:rPr>
        <w:t xml:space="preserve"> הטעם, דבעדות, המעשה כאשר היה לפניו הוא מעיד, ולא חשדינן ליה שישנה בכיוון בשביל אהבתו או שנאתו, משא"כ בדין שתולה בסברא, והמחשבה נשתנה מחמת אהבתו או שנאתו אפילו בלא כוונת רשע, סמ"ע (סק"א).</w:t>
      </w:r>
    </w:p>
  </w:footnote>
  <w:footnote w:id="1869">
    <w:p w14:paraId="7A9DFF92" w14:textId="77777777" w:rsidR="0013116F" w:rsidRPr="00845316" w:rsidRDefault="0013116F" w:rsidP="004B607F">
      <w:pPr>
        <w:pStyle w:val="a9"/>
        <w:spacing w:after="60"/>
        <w:rPr>
          <w:rFonts w:asciiTheme="minorBidi" w:hAnsiTheme="minorBidi"/>
          <w:rtl/>
        </w:rPr>
      </w:pPr>
      <w:r w:rsidRPr="00845316">
        <w:rPr>
          <w:rStyle w:val="ab"/>
          <w:rFonts w:asciiTheme="minorBidi" w:hAnsiTheme="minorBidi"/>
        </w:rPr>
        <w:footnoteRef/>
      </w:r>
      <w:r w:rsidRPr="00845316">
        <w:rPr>
          <w:rFonts w:asciiTheme="minorBidi" w:hAnsiTheme="minorBidi"/>
          <w:rtl/>
        </w:rPr>
        <w:t xml:space="preserve"> שהוא לו כאחד מן הרודפים ומבקש להתנקם ממנו.</w:t>
      </w:r>
    </w:p>
  </w:footnote>
  <w:footnote w:id="1870">
    <w:p w14:paraId="1A628F09" w14:textId="77777777" w:rsidR="0013116F" w:rsidRPr="00845316" w:rsidRDefault="0013116F" w:rsidP="004B607F">
      <w:pPr>
        <w:pStyle w:val="a9"/>
        <w:spacing w:after="60"/>
        <w:rPr>
          <w:rFonts w:asciiTheme="minorBidi" w:hAnsiTheme="minorBidi"/>
        </w:rPr>
      </w:pPr>
      <w:r w:rsidRPr="00845316">
        <w:rPr>
          <w:rStyle w:val="ab"/>
          <w:rFonts w:asciiTheme="minorBidi" w:hAnsiTheme="minorBidi"/>
        </w:rPr>
        <w:footnoteRef/>
      </w:r>
      <w:r w:rsidRPr="00845316">
        <w:rPr>
          <w:rFonts w:asciiTheme="minorBidi" w:hAnsiTheme="minorBidi"/>
          <w:rtl/>
        </w:rPr>
        <w:t xml:space="preserve"> ר' שמואל קאידנובר מחבר ספר ברכת הזבח על קדשים ותפארת שמואל על הרא"ש, תלמיד הט"ז, הובא בט"ז בתחילת הסימן.</w:t>
      </w:r>
    </w:p>
  </w:footnote>
  <w:footnote w:id="1871">
    <w:p w14:paraId="5215FDA6" w14:textId="77777777" w:rsidR="0013116F" w:rsidRPr="00845316" w:rsidRDefault="0013116F" w:rsidP="004B607F">
      <w:pPr>
        <w:pStyle w:val="a9"/>
        <w:spacing w:after="60"/>
        <w:rPr>
          <w:rFonts w:asciiTheme="minorBidi" w:hAnsiTheme="minorBidi"/>
        </w:rPr>
      </w:pPr>
      <w:r w:rsidRPr="00845316">
        <w:rPr>
          <w:rStyle w:val="ab"/>
          <w:rFonts w:asciiTheme="minorBidi" w:hAnsiTheme="minorBidi"/>
        </w:rPr>
        <w:footnoteRef/>
      </w:r>
      <w:r w:rsidRPr="00845316">
        <w:rPr>
          <w:rFonts w:asciiTheme="minorBidi" w:hAnsiTheme="minorBidi"/>
          <w:rtl/>
        </w:rPr>
        <w:t xml:space="preserve"> הרדב"ז התייחס לעניין זה בכמה מקומות, ודבריו סותרים זה את זה, בח"א סי' צ"ו </w:t>
      </w:r>
      <w:r w:rsidRPr="00845316">
        <w:rPr>
          <w:rFonts w:asciiTheme="minorBidi" w:hAnsiTheme="minorBidi"/>
          <w:sz w:val="16"/>
          <w:szCs w:val="16"/>
          <w:rtl/>
        </w:rPr>
        <w:t>(בדפוס סדילקאב הוא בח"ד סוף סי' נ"ו [אלף קכ"ח])</w:t>
      </w:r>
      <w:r w:rsidRPr="00845316">
        <w:rPr>
          <w:rFonts w:asciiTheme="minorBidi" w:hAnsiTheme="minorBidi"/>
          <w:rtl/>
        </w:rPr>
        <w:t xml:space="preserve">, כ' שמשרתי הבית כשרים להעיד וכתב שם הטעם דלא יהא משרת הבית גדול מאוהב שהוא כשר, אבל בח"ב סימן כ"ד </w:t>
      </w:r>
      <w:r w:rsidRPr="00845316">
        <w:rPr>
          <w:rFonts w:asciiTheme="minorBidi" w:hAnsiTheme="minorBidi"/>
          <w:sz w:val="16"/>
          <w:szCs w:val="16"/>
          <w:rtl/>
        </w:rPr>
        <w:t>(בדפוס הנ"ל הוא בח"א סי' שי"ב)</w:t>
      </w:r>
      <w:r w:rsidRPr="00845316">
        <w:rPr>
          <w:rFonts w:asciiTheme="minorBidi" w:hAnsiTheme="minorBidi"/>
          <w:rtl/>
        </w:rPr>
        <w:t xml:space="preserve"> כתב דנוגעים בעדות הם. וכ' עוד שם דיש לפסול עדות נעריו של שמעון על הקדושין כי הם נוגעים בעדות, דניחא להו שתהא בתו של ראובן אשת שמעון אדונם לפי שראובן עשיר, ויש לדיין להעמיק לדעת אם נמצא שיש לזה העד צד הנאה בעדות זו אפילו בדרך רחוקה כו', ע"ש.</w:t>
      </w:r>
    </w:p>
  </w:footnote>
  <w:footnote w:id="1872">
    <w:p w14:paraId="30B097AE" w14:textId="77777777" w:rsidR="0013116F" w:rsidRPr="00845316" w:rsidRDefault="0013116F" w:rsidP="004B607F">
      <w:pPr>
        <w:pStyle w:val="a9"/>
        <w:spacing w:after="60"/>
        <w:rPr>
          <w:rFonts w:asciiTheme="minorBidi" w:hAnsiTheme="minorBidi"/>
          <w:rtl/>
        </w:rPr>
      </w:pPr>
      <w:r w:rsidRPr="00845316">
        <w:rPr>
          <w:rStyle w:val="ab"/>
          <w:rFonts w:asciiTheme="minorBidi" w:hAnsiTheme="minorBidi"/>
        </w:rPr>
        <w:footnoteRef/>
      </w:r>
      <w:r w:rsidRPr="00845316">
        <w:rPr>
          <w:rFonts w:asciiTheme="minorBidi" w:hAnsiTheme="minorBidi"/>
          <w:rtl/>
        </w:rPr>
        <w:t xml:space="preserve"> וכמש"כ הרמב"ם </w:t>
      </w:r>
      <w:r w:rsidRPr="00845316">
        <w:rPr>
          <w:rFonts w:asciiTheme="minorBidi" w:hAnsiTheme="minorBidi"/>
          <w:sz w:val="16"/>
          <w:szCs w:val="16"/>
          <w:rtl/>
        </w:rPr>
        <w:t>(הל' עדות פט"ז ה"ד, והובא בשו"ע סי' לז סכ"א)</w:t>
      </w:r>
      <w:r w:rsidRPr="00845316">
        <w:rPr>
          <w:rFonts w:asciiTheme="minorBidi" w:hAnsiTheme="minorBidi"/>
          <w:rtl/>
        </w:rPr>
        <w:t>- "דברים אלו תלויים בדעת הדיין ועוצם בינתו וכו' ויעמיק לראות אם ימצא לזה העד צד הנאה בעדות זו אפילו בדרך רחוקה ונפלאה הרי זה לא יעיד בה וגו'. וכן מבואר להדיא ברדב"ז</w:t>
      </w:r>
      <w:r w:rsidRPr="00845316">
        <w:rPr>
          <w:rFonts w:asciiTheme="minorBidi" w:hAnsiTheme="minorBidi"/>
          <w:sz w:val="16"/>
          <w:szCs w:val="16"/>
          <w:rtl/>
        </w:rPr>
        <w:t xml:space="preserve"> (ח"ב סימן כ"ד)</w:t>
      </w:r>
      <w:r w:rsidRPr="00845316">
        <w:rPr>
          <w:rFonts w:asciiTheme="minorBidi" w:hAnsiTheme="minorBidi"/>
          <w:rtl/>
        </w:rPr>
        <w:t>.</w:t>
      </w:r>
    </w:p>
  </w:footnote>
  <w:footnote w:id="1873">
    <w:p w14:paraId="01B7C7E7" w14:textId="77777777" w:rsidR="0013116F" w:rsidRPr="00845316" w:rsidRDefault="0013116F" w:rsidP="004B607F">
      <w:pPr>
        <w:pStyle w:val="a9"/>
        <w:spacing w:after="60"/>
        <w:rPr>
          <w:rFonts w:asciiTheme="minorBidi" w:hAnsiTheme="minorBidi"/>
        </w:rPr>
      </w:pPr>
      <w:r w:rsidRPr="00845316">
        <w:rPr>
          <w:rStyle w:val="ab"/>
          <w:rFonts w:asciiTheme="minorBidi" w:hAnsiTheme="minorBidi"/>
        </w:rPr>
        <w:footnoteRef/>
      </w:r>
      <w:r w:rsidRPr="00845316">
        <w:rPr>
          <w:rFonts w:asciiTheme="minorBidi" w:hAnsiTheme="minorBidi"/>
          <w:rtl/>
        </w:rPr>
        <w:t xml:space="preserve"> סק"א, וראיתו מדברי הרמב"ם</w:t>
      </w:r>
      <w:r w:rsidRPr="00845316">
        <w:rPr>
          <w:rFonts w:asciiTheme="minorBidi" w:hAnsiTheme="minorBidi"/>
          <w:sz w:val="14"/>
          <w:szCs w:val="14"/>
          <w:rtl/>
        </w:rPr>
        <w:t xml:space="preserve"> (הל' גזילה פ"ד ה"ז) </w:t>
      </w:r>
      <w:r w:rsidRPr="00845316">
        <w:rPr>
          <w:rFonts w:asciiTheme="minorBidi" w:hAnsiTheme="minorBidi"/>
          <w:rtl/>
        </w:rPr>
        <w:t>דשכירו ולקיטו כשרים להעיד, וכ' דזו ראיה שאין עליה תשובה ושכן עמא דבר.</w:t>
      </w:r>
    </w:p>
  </w:footnote>
  <w:footnote w:id="1874">
    <w:p w14:paraId="027CACA8" w14:textId="77777777" w:rsidR="0013116F" w:rsidRPr="00845316" w:rsidRDefault="0013116F" w:rsidP="004B607F">
      <w:pPr>
        <w:pStyle w:val="a9"/>
        <w:spacing w:after="60"/>
        <w:rPr>
          <w:rFonts w:asciiTheme="minorBidi" w:hAnsiTheme="minorBidi"/>
          <w:rtl/>
        </w:rPr>
      </w:pPr>
      <w:r w:rsidRPr="00845316">
        <w:rPr>
          <w:rStyle w:val="ab"/>
          <w:rFonts w:asciiTheme="minorBidi" w:hAnsiTheme="minorBidi"/>
        </w:rPr>
        <w:footnoteRef/>
      </w:r>
      <w:r w:rsidRPr="00845316">
        <w:rPr>
          <w:rFonts w:asciiTheme="minorBidi" w:hAnsiTheme="minorBidi"/>
          <w:rtl/>
        </w:rPr>
        <w:t xml:space="preserve"> (רמב"ם</w:t>
      </w:r>
      <w:r w:rsidRPr="00845316">
        <w:rPr>
          <w:rFonts w:asciiTheme="minorBidi" w:hAnsiTheme="minorBidi"/>
          <w:sz w:val="16"/>
          <w:szCs w:val="16"/>
          <w:rtl/>
        </w:rPr>
        <w:t xml:space="preserve"> להב' התומים [סק"א]</w:t>
      </w:r>
      <w:r w:rsidRPr="00845316">
        <w:rPr>
          <w:rFonts w:asciiTheme="minorBidi" w:hAnsiTheme="minorBidi"/>
          <w:rtl/>
        </w:rPr>
        <w:t xml:space="preserve">) וכנה"ג </w:t>
      </w:r>
      <w:r w:rsidRPr="00845316">
        <w:rPr>
          <w:rFonts w:asciiTheme="minorBidi" w:hAnsiTheme="minorBidi"/>
          <w:sz w:val="16"/>
          <w:szCs w:val="16"/>
          <w:rtl/>
        </w:rPr>
        <w:t>(אות ב)</w:t>
      </w:r>
      <w:r w:rsidRPr="00845316">
        <w:rPr>
          <w:rFonts w:asciiTheme="minorBidi" w:hAnsiTheme="minorBidi"/>
          <w:rtl/>
        </w:rPr>
        <w:t>.</w:t>
      </w:r>
    </w:p>
  </w:footnote>
  <w:footnote w:id="1875">
    <w:p w14:paraId="03F8644E" w14:textId="77777777" w:rsidR="0013116F" w:rsidRPr="00845316" w:rsidRDefault="0013116F" w:rsidP="004B607F">
      <w:pPr>
        <w:pStyle w:val="a9"/>
        <w:spacing w:after="60"/>
        <w:rPr>
          <w:rFonts w:asciiTheme="minorBidi" w:hAnsiTheme="minorBidi"/>
          <w:rtl/>
        </w:rPr>
      </w:pPr>
      <w:r w:rsidRPr="00845316">
        <w:rPr>
          <w:rStyle w:val="ab"/>
          <w:rFonts w:asciiTheme="minorBidi" w:hAnsiTheme="minorBidi"/>
        </w:rPr>
        <w:footnoteRef/>
      </w:r>
      <w:r w:rsidRPr="00845316">
        <w:rPr>
          <w:rFonts w:asciiTheme="minorBidi" w:hAnsiTheme="minorBidi"/>
          <w:rtl/>
        </w:rPr>
        <w:t xml:space="preserve"> טעם זה כתבו הרדב"ז</w:t>
      </w:r>
      <w:r w:rsidRPr="00845316">
        <w:rPr>
          <w:rFonts w:asciiTheme="minorBidi" w:hAnsiTheme="minorBidi"/>
          <w:sz w:val="16"/>
          <w:szCs w:val="16"/>
          <w:rtl/>
        </w:rPr>
        <w:t xml:space="preserve"> (ח"א סי' צו)</w:t>
      </w:r>
      <w:r w:rsidRPr="00845316">
        <w:rPr>
          <w:rFonts w:asciiTheme="minorBidi" w:hAnsiTheme="minorBidi"/>
          <w:rtl/>
        </w:rPr>
        <w:t>.</w:t>
      </w:r>
    </w:p>
  </w:footnote>
  <w:footnote w:id="1876">
    <w:p w14:paraId="6B2CC272" w14:textId="77777777" w:rsidR="0013116F" w:rsidRDefault="0013116F" w:rsidP="004B607F">
      <w:pPr>
        <w:pStyle w:val="a9"/>
      </w:pPr>
      <w:r>
        <w:rPr>
          <w:rStyle w:val="ab"/>
        </w:rPr>
        <w:footnoteRef/>
      </w:r>
      <w:r>
        <w:rPr>
          <w:rtl/>
        </w:rPr>
        <w:t xml:space="preserve"> </w:t>
      </w:r>
      <w:r>
        <w:rPr>
          <w:rFonts w:hint="cs"/>
          <w:rtl/>
        </w:rPr>
        <w:t xml:space="preserve">סימן </w:t>
      </w:r>
      <w:r>
        <w:rPr>
          <w:rtl/>
        </w:rPr>
        <w:t>–</w:t>
      </w:r>
      <w:r>
        <w:rPr>
          <w:rFonts w:hint="cs"/>
          <w:rtl/>
        </w:rPr>
        <w:t xml:space="preserve"> קרוב כשר חלק.</w:t>
      </w:r>
    </w:p>
  </w:footnote>
  <w:footnote w:id="1877">
    <w:p w14:paraId="2F2C77E1" w14:textId="77777777" w:rsidR="0013116F" w:rsidRPr="00845316" w:rsidRDefault="0013116F" w:rsidP="004B607F">
      <w:pPr>
        <w:pStyle w:val="a9"/>
        <w:spacing w:after="60"/>
        <w:rPr>
          <w:rFonts w:asciiTheme="minorBidi" w:hAnsiTheme="minorBidi"/>
        </w:rPr>
      </w:pPr>
      <w:r w:rsidRPr="00845316">
        <w:rPr>
          <w:rStyle w:val="ab"/>
          <w:rFonts w:asciiTheme="minorBidi" w:hAnsiTheme="minorBidi"/>
        </w:rPr>
        <w:footnoteRef/>
      </w:r>
      <w:r w:rsidRPr="00845316">
        <w:rPr>
          <w:rFonts w:asciiTheme="minorBidi" w:hAnsiTheme="minorBidi"/>
          <w:rtl/>
        </w:rPr>
        <w:t xml:space="preserve"> להעיד בקרובו שני, כגון בן חנוך שכשר להעיד בימואל בן שמעון, דבנו של חנוך שלישי לראובן</w:t>
      </w:r>
      <w:r w:rsidRPr="00845316">
        <w:rPr>
          <w:rFonts w:asciiTheme="minorBidi" w:hAnsiTheme="minorBidi"/>
          <w:sz w:val="16"/>
          <w:szCs w:val="16"/>
          <w:rtl/>
        </w:rPr>
        <w:t xml:space="preserve"> {שהוא אביו של חנוך}</w:t>
      </w:r>
      <w:r w:rsidRPr="00845316">
        <w:rPr>
          <w:rFonts w:asciiTheme="minorBidi" w:hAnsiTheme="minorBidi"/>
          <w:rtl/>
        </w:rPr>
        <w:t>, וימואל בן שמעון שני הוא, וראובן ושמעון ראשונים, אבל שני בשני פסול, כגון בן ראובן לבן שמעון כדנפקא לן בסנהדרין מלא יומתו אבות על בנים דבנים להדדי נמי מיפסלי, אבות היינו ראובן ושמעון, ובנים היינו חנוך וימואל, אבל שלישי בשני לא אשכחן דפסול, ומשום דאיכא למ"ד בפרק זה בורר בסנהדרין דשלישי בשני פסול להכי אצטריך למימר הכא דכשר, רשב"ם.</w:t>
      </w:r>
    </w:p>
  </w:footnote>
  <w:footnote w:id="1878">
    <w:p w14:paraId="57FFC515" w14:textId="77777777" w:rsidR="0013116F" w:rsidRPr="00845316" w:rsidRDefault="0013116F" w:rsidP="004B607F">
      <w:pPr>
        <w:pStyle w:val="a9"/>
        <w:spacing w:after="60"/>
        <w:rPr>
          <w:rFonts w:asciiTheme="minorBidi" w:hAnsiTheme="minorBidi"/>
          <w:rtl/>
        </w:rPr>
      </w:pPr>
      <w:r w:rsidRPr="00845316">
        <w:rPr>
          <w:rStyle w:val="ab"/>
          <w:rFonts w:asciiTheme="minorBidi" w:hAnsiTheme="minorBidi"/>
        </w:rPr>
        <w:footnoteRef/>
      </w:r>
      <w:r w:rsidRPr="00845316">
        <w:rPr>
          <w:rFonts w:asciiTheme="minorBidi" w:hAnsiTheme="minorBidi"/>
          <w:rtl/>
        </w:rPr>
        <w:t xml:space="preserve"> כגון בנו של חנוך בן ראובן מעיד לשמעון אחי ראובן והכי הלכתא מדאמרינן לקמן מוסיף הוא, ומדפסיק לקמיה- "ולית הלכתא כמר בר רב אשי" מכלל דהלכתא מיהא כרבא, רשב"ם.</w:t>
      </w:r>
    </w:p>
  </w:footnote>
  <w:footnote w:id="1879">
    <w:p w14:paraId="0A38A860" w14:textId="77777777" w:rsidR="0013116F" w:rsidRPr="00044D87" w:rsidRDefault="0013116F" w:rsidP="004B607F">
      <w:pPr>
        <w:spacing w:after="60" w:line="240" w:lineRule="auto"/>
        <w:rPr>
          <w:rFonts w:asciiTheme="minorBidi" w:hAnsiTheme="minorBidi"/>
          <w:sz w:val="20"/>
          <w:szCs w:val="20"/>
          <w:u w:val="single"/>
        </w:rPr>
      </w:pPr>
      <w:r w:rsidRPr="00044D87">
        <w:rPr>
          <w:rStyle w:val="ab"/>
          <w:rFonts w:asciiTheme="minorBidi" w:hAnsiTheme="minorBidi"/>
          <w:sz w:val="20"/>
          <w:szCs w:val="20"/>
        </w:rPr>
        <w:footnoteRef/>
      </w:r>
      <w:r w:rsidRPr="00044D87">
        <w:rPr>
          <w:rFonts w:asciiTheme="minorBidi" w:hAnsiTheme="minorBidi"/>
          <w:sz w:val="20"/>
          <w:szCs w:val="20"/>
          <w:rtl/>
        </w:rPr>
        <w:t xml:space="preserve"> היינו שיעיד הנכד לסבו, דקסבר מר בר רב אשי דאבא דאבא שלישי בראשון הוא ומשום הכי קא מכשר ביה, רי"ף.</w:t>
      </w:r>
      <w:r w:rsidRPr="00044D87">
        <w:rPr>
          <w:rFonts w:asciiTheme="minorBidi" w:hAnsiTheme="minorBidi"/>
          <w:color w:val="E36C0A" w:themeColor="accent6" w:themeShade="BF"/>
          <w:sz w:val="20"/>
          <w:szCs w:val="20"/>
          <w:rtl/>
        </w:rPr>
        <w:t xml:space="preserve"> </w:t>
      </w:r>
    </w:p>
  </w:footnote>
  <w:footnote w:id="1880">
    <w:p w14:paraId="3AA01403" w14:textId="77777777" w:rsidR="0013116F" w:rsidRPr="00845316" w:rsidRDefault="0013116F" w:rsidP="004B607F">
      <w:pPr>
        <w:pStyle w:val="a9"/>
        <w:spacing w:after="60"/>
        <w:rPr>
          <w:rFonts w:asciiTheme="minorBidi" w:hAnsiTheme="minorBidi"/>
        </w:rPr>
      </w:pPr>
      <w:r w:rsidRPr="00845316">
        <w:rPr>
          <w:rStyle w:val="ab"/>
          <w:rFonts w:asciiTheme="minorBidi" w:hAnsiTheme="minorBidi"/>
        </w:rPr>
        <w:footnoteRef/>
      </w:r>
      <w:r w:rsidRPr="00845316">
        <w:rPr>
          <w:rFonts w:asciiTheme="minorBidi" w:hAnsiTheme="minorBidi"/>
          <w:rtl/>
        </w:rPr>
        <w:t xml:space="preserve"> דאב ובנו ראשון בראשון הוא כמו אח ואחיו שהוא ראשון בראשון, והוה ליה אבא דאבא שני בראשון. רי"ף רמב"ם ורא"ש</w:t>
      </w:r>
      <w:r w:rsidRPr="00845316">
        <w:rPr>
          <w:rFonts w:asciiTheme="minorBidi" w:hAnsiTheme="minorBidi"/>
          <w:sz w:val="16"/>
          <w:szCs w:val="16"/>
          <w:rtl/>
        </w:rPr>
        <w:t xml:space="preserve"> (סי' כג)</w:t>
      </w:r>
      <w:r w:rsidRPr="00845316">
        <w:rPr>
          <w:rFonts w:asciiTheme="minorBidi" w:hAnsiTheme="minorBidi"/>
          <w:rtl/>
        </w:rPr>
        <w:t>. וכ' הטור- מדאבי אמו פסול לו הוא פסול גם לאם אמו. וכ' על זה הב"י- לא מצאתי מפורש אבל רבינו כ' דינא בטעמא דכיון דאבי אמו פסול לו דהוי ליה במקום אבא דאבא ה"ה דפסול לאם אמו.</w:t>
      </w:r>
    </w:p>
  </w:footnote>
  <w:footnote w:id="1881">
    <w:p w14:paraId="2A2C8637" w14:textId="77777777" w:rsidR="0013116F" w:rsidRPr="00845316" w:rsidRDefault="0013116F" w:rsidP="004B607F">
      <w:pPr>
        <w:pStyle w:val="a9"/>
        <w:spacing w:after="60"/>
        <w:rPr>
          <w:rFonts w:asciiTheme="minorBidi" w:hAnsiTheme="minorBidi"/>
        </w:rPr>
      </w:pPr>
      <w:r w:rsidRPr="00845316">
        <w:rPr>
          <w:rStyle w:val="ab"/>
          <w:rFonts w:asciiTheme="minorBidi" w:hAnsiTheme="minorBidi"/>
        </w:rPr>
        <w:footnoteRef/>
      </w:r>
      <w:r w:rsidRPr="00845316">
        <w:rPr>
          <w:rFonts w:asciiTheme="minorBidi" w:hAnsiTheme="minorBidi"/>
          <w:rtl/>
        </w:rPr>
        <w:t xml:space="preserve"> דאמר אף בראשון והלא מוסיף הוא על דברי ר' אבא דאמר שלישי בשני כשר ואתא איהו למימר דאף בראשון ואיכא למימר דאפי' ר' אבא מודה והיא גופה אצטריך לר' אבא לאשמועי' דשלישי בשני כשר דאיכא למ"ד בסנהדרין פסול בפרק זה בורר (דף כח) ולאו למידק מינה הא שלישי בראשון פסול דדלמא עובדא הוה בשלישי בשני ושלח ליה דכשר, רשב"ם.</w:t>
      </w:r>
    </w:p>
  </w:footnote>
  <w:footnote w:id="1882">
    <w:p w14:paraId="0925BEA1" w14:textId="77777777" w:rsidR="0013116F" w:rsidRPr="00845316" w:rsidRDefault="0013116F" w:rsidP="004B607F">
      <w:pPr>
        <w:pStyle w:val="a9"/>
        <w:spacing w:after="60"/>
        <w:rPr>
          <w:rFonts w:asciiTheme="minorBidi" w:hAnsiTheme="minorBidi"/>
          <w:rtl/>
        </w:rPr>
      </w:pPr>
      <w:r w:rsidRPr="00845316">
        <w:rPr>
          <w:rStyle w:val="ab"/>
          <w:rFonts w:asciiTheme="minorBidi" w:hAnsiTheme="minorBidi"/>
        </w:rPr>
        <w:footnoteRef/>
      </w:r>
      <w:r w:rsidRPr="00845316">
        <w:rPr>
          <w:rFonts w:asciiTheme="minorBidi" w:hAnsiTheme="minorBidi"/>
          <w:rtl/>
        </w:rPr>
        <w:t xml:space="preserve"> מדמיבעיא ליה באשת פנחס משמע דלפנחס פסול והיינו שלישי בראשון, והא דלא אמרינן אשה כבעלה כדאמרינן (כח:) באשת חורגו משום דאתפלג דרא, תוס' (כח. ד"ה רב).</w:t>
      </w:r>
    </w:p>
  </w:footnote>
  <w:footnote w:id="1883">
    <w:p w14:paraId="080EE761" w14:textId="77777777" w:rsidR="0013116F" w:rsidRPr="00845316" w:rsidRDefault="0013116F" w:rsidP="004B607F">
      <w:pPr>
        <w:pStyle w:val="a9"/>
        <w:spacing w:after="60"/>
        <w:rPr>
          <w:rFonts w:asciiTheme="minorBidi" w:hAnsiTheme="minorBidi"/>
        </w:rPr>
      </w:pPr>
      <w:r w:rsidRPr="00845316">
        <w:rPr>
          <w:rStyle w:val="ab"/>
          <w:rFonts w:asciiTheme="minorBidi" w:hAnsiTheme="minorBidi"/>
        </w:rPr>
        <w:footnoteRef/>
      </w:r>
      <w:r w:rsidRPr="00845316">
        <w:rPr>
          <w:rFonts w:asciiTheme="minorBidi" w:hAnsiTheme="minorBidi"/>
          <w:rtl/>
        </w:rPr>
        <w:t xml:space="preserve"> וגם הרא"ש כ' כן בבבא בתרא (סי' כג), אך בסנהדרין (סי' יח-יט) כ' את סברת ר"ת וסברת החולקים ולא הכריע ביניהם. (ומזה הסיק הדרכ"מ (אות ב) דממילא משמע דעתו דאזלינן לחומרא)  </w:t>
      </w:r>
    </w:p>
  </w:footnote>
  <w:footnote w:id="1884">
    <w:p w14:paraId="3ECF3341" w14:textId="77777777" w:rsidR="0013116F" w:rsidRPr="00845316" w:rsidRDefault="0013116F" w:rsidP="004B607F">
      <w:pPr>
        <w:pStyle w:val="a9"/>
        <w:spacing w:after="60"/>
        <w:rPr>
          <w:rFonts w:asciiTheme="minorBidi" w:hAnsiTheme="minorBidi"/>
        </w:rPr>
      </w:pPr>
      <w:r w:rsidRPr="00845316">
        <w:rPr>
          <w:rStyle w:val="ab"/>
          <w:rFonts w:asciiTheme="minorBidi" w:hAnsiTheme="minorBidi"/>
        </w:rPr>
        <w:footnoteRef/>
      </w:r>
      <w:r w:rsidRPr="00845316">
        <w:rPr>
          <w:rFonts w:asciiTheme="minorBidi" w:hAnsiTheme="minorBidi"/>
          <w:rtl/>
        </w:rPr>
        <w:t xml:space="preserve"> דרבא בתרא הוא וכוותיה נקטינן, ובמרדכי ישן כ' עוד הכרע מדלא פסל במתני' (כז:) אלא שני בראשון ושני בשני ותו לא, ב"י.</w:t>
      </w:r>
    </w:p>
  </w:footnote>
  <w:footnote w:id="1885">
    <w:p w14:paraId="2DEE153D" w14:textId="77777777" w:rsidR="0013116F" w:rsidRPr="00845316" w:rsidRDefault="0013116F" w:rsidP="004B607F">
      <w:pPr>
        <w:pStyle w:val="a9"/>
        <w:spacing w:after="60"/>
        <w:rPr>
          <w:rFonts w:asciiTheme="minorBidi" w:hAnsiTheme="minorBidi"/>
        </w:rPr>
      </w:pPr>
      <w:r w:rsidRPr="00845316">
        <w:rPr>
          <w:rStyle w:val="ab"/>
          <w:rFonts w:asciiTheme="minorBidi" w:hAnsiTheme="minorBidi"/>
        </w:rPr>
        <w:footnoteRef/>
      </w:r>
      <w:r w:rsidRPr="00845316">
        <w:rPr>
          <w:rFonts w:asciiTheme="minorBidi" w:hAnsiTheme="minorBidi"/>
          <w:rtl/>
        </w:rPr>
        <w:t xml:space="preserve"> בה"ג כ' דשלישי בראשון פסול מדרבנן. וכ' הר"מ מקוצי (לאוין רטו סו ע"ד) ונראה דהאי מדרבנן ט"ס הוא אלא כתוב היה שם-</w:t>
      </w:r>
      <w:r w:rsidRPr="00845316">
        <w:rPr>
          <w:rFonts w:asciiTheme="minorBidi" w:hAnsiTheme="minorBidi"/>
          <w:rtl/>
        </w:rPr>
        <w:br/>
        <w:t>"מדרב" שדורש זה מיתורא דוי"ו דובנים כדאיתא בגמרא (שם.) עכ"ל. אך הב"י כ' דאינו כן, אלא פסול מדרבנן, והוכיח כן מהמרדכי בסנהדרין (סי' תרחצ - תרצט) בשם רב שמואל בן חפני, דקרובים הם ארבע מעלות זו למעלה מזו, שלש מעלות מן התורה ואחת מדרבנן וכו' ושכן נראה מהא דפסקו שכל טוב בה"ג (שם) ורבינו שמחה גבי הצרכת גט.</w:t>
      </w:r>
    </w:p>
  </w:footnote>
  <w:footnote w:id="1886">
    <w:p w14:paraId="21B189B9" w14:textId="77777777" w:rsidR="0013116F" w:rsidRPr="00845316" w:rsidRDefault="0013116F" w:rsidP="004B607F">
      <w:pPr>
        <w:pStyle w:val="a9"/>
        <w:spacing w:after="60"/>
        <w:rPr>
          <w:rFonts w:asciiTheme="minorBidi" w:hAnsiTheme="minorBidi"/>
        </w:rPr>
      </w:pPr>
      <w:r w:rsidRPr="00845316">
        <w:rPr>
          <w:rStyle w:val="ab"/>
          <w:rFonts w:asciiTheme="minorBidi" w:hAnsiTheme="minorBidi"/>
        </w:rPr>
        <w:footnoteRef/>
      </w:r>
      <w:r w:rsidRPr="00845316">
        <w:rPr>
          <w:rFonts w:asciiTheme="minorBidi" w:hAnsiTheme="minorBidi"/>
          <w:rtl/>
        </w:rPr>
        <w:t xml:space="preserve"> באות ב, אך הב"י (אות ג) כ' דהרא"ש לא הכריע היינו דמתוך זה שהזכיר הרא"ש את ב' הדעות א"א לדעת כמי מהם פסק. </w:t>
      </w:r>
    </w:p>
  </w:footnote>
  <w:footnote w:id="1887">
    <w:p w14:paraId="32FD3967" w14:textId="77777777" w:rsidR="0013116F" w:rsidRPr="00845316" w:rsidRDefault="0013116F" w:rsidP="004B607F">
      <w:pPr>
        <w:pStyle w:val="a9"/>
        <w:spacing w:after="60"/>
        <w:rPr>
          <w:rFonts w:asciiTheme="minorBidi" w:hAnsiTheme="minorBidi"/>
        </w:rPr>
      </w:pPr>
      <w:r w:rsidRPr="00845316">
        <w:rPr>
          <w:rStyle w:val="ab"/>
          <w:rFonts w:asciiTheme="minorBidi" w:hAnsiTheme="minorBidi"/>
        </w:rPr>
        <w:footnoteRef/>
      </w:r>
      <w:r w:rsidRPr="00845316">
        <w:rPr>
          <w:rFonts w:asciiTheme="minorBidi" w:hAnsiTheme="minorBidi"/>
          <w:rtl/>
        </w:rPr>
        <w:t xml:space="preserve"> גאונים</w:t>
      </w:r>
      <w:r w:rsidRPr="00845316">
        <w:rPr>
          <w:rFonts w:asciiTheme="minorBidi" w:hAnsiTheme="minorBidi"/>
          <w:sz w:val="16"/>
          <w:szCs w:val="16"/>
          <w:rtl/>
        </w:rPr>
        <w:t xml:space="preserve"> (הביאם המרדכי בסנהדרין)</w:t>
      </w:r>
      <w:r w:rsidRPr="00845316">
        <w:rPr>
          <w:rFonts w:asciiTheme="minorBidi" w:hAnsiTheme="minorBidi"/>
          <w:rtl/>
        </w:rPr>
        <w:t xml:space="preserve"> בה"ג </w:t>
      </w:r>
      <w:r w:rsidRPr="00845316">
        <w:rPr>
          <w:rFonts w:asciiTheme="minorBidi" w:hAnsiTheme="minorBidi"/>
          <w:sz w:val="16"/>
          <w:szCs w:val="16"/>
          <w:rtl/>
        </w:rPr>
        <w:t xml:space="preserve">(סי' נא הל' עדות קיד.)  </w:t>
      </w:r>
      <w:r w:rsidRPr="00845316">
        <w:rPr>
          <w:rFonts w:asciiTheme="minorBidi" w:hAnsiTheme="minorBidi"/>
          <w:rtl/>
        </w:rPr>
        <w:t xml:space="preserve">ר"ת </w:t>
      </w:r>
      <w:r w:rsidRPr="00845316">
        <w:rPr>
          <w:rFonts w:asciiTheme="minorBidi" w:hAnsiTheme="minorBidi"/>
          <w:sz w:val="16"/>
          <w:szCs w:val="16"/>
          <w:rtl/>
        </w:rPr>
        <w:t xml:space="preserve">(הובא בתוס' ב"ב קכט. ד"ה אי) </w:t>
      </w:r>
      <w:r w:rsidRPr="00845316">
        <w:rPr>
          <w:rFonts w:asciiTheme="minorBidi" w:hAnsiTheme="minorBidi"/>
          <w:rtl/>
        </w:rPr>
        <w:t xml:space="preserve">סמ"ג </w:t>
      </w:r>
      <w:r w:rsidRPr="00845316">
        <w:rPr>
          <w:rFonts w:asciiTheme="minorBidi" w:hAnsiTheme="minorBidi"/>
          <w:sz w:val="16"/>
          <w:szCs w:val="16"/>
          <w:rtl/>
        </w:rPr>
        <w:t>(לאוין רטו)</w:t>
      </w:r>
      <w:r w:rsidRPr="00845316">
        <w:rPr>
          <w:rFonts w:asciiTheme="minorBidi" w:hAnsiTheme="minorBidi"/>
          <w:rtl/>
        </w:rPr>
        <w:t xml:space="preserve"> (ורא"ש</w:t>
      </w:r>
      <w:r w:rsidRPr="00845316">
        <w:rPr>
          <w:rFonts w:asciiTheme="minorBidi" w:hAnsiTheme="minorBidi"/>
          <w:sz w:val="16"/>
          <w:szCs w:val="16"/>
          <w:rtl/>
        </w:rPr>
        <w:t xml:space="preserve"> </w:t>
      </w:r>
      <w:r w:rsidRPr="00845316">
        <w:rPr>
          <w:rFonts w:asciiTheme="minorBidi" w:hAnsiTheme="minorBidi"/>
          <w:sz w:val="14"/>
          <w:szCs w:val="14"/>
          <w:rtl/>
        </w:rPr>
        <w:t xml:space="preserve">[סנהדרין סי' יח-יט] </w:t>
      </w:r>
      <w:r w:rsidRPr="00845316">
        <w:rPr>
          <w:rFonts w:asciiTheme="minorBidi" w:hAnsiTheme="minorBidi"/>
          <w:sz w:val="16"/>
          <w:szCs w:val="16"/>
          <w:rtl/>
        </w:rPr>
        <w:t>להב' הדרכ"מ [אות ב]</w:t>
      </w:r>
      <w:r w:rsidRPr="00845316">
        <w:rPr>
          <w:rFonts w:asciiTheme="minorBidi" w:hAnsiTheme="minorBidi"/>
          <w:rtl/>
        </w:rPr>
        <w:t>).</w:t>
      </w:r>
    </w:p>
  </w:footnote>
  <w:footnote w:id="1888">
    <w:p w14:paraId="378FEAED" w14:textId="77777777" w:rsidR="0013116F" w:rsidRPr="00845316" w:rsidRDefault="0013116F" w:rsidP="004B607F">
      <w:pPr>
        <w:pStyle w:val="a9"/>
        <w:spacing w:after="60"/>
        <w:rPr>
          <w:rFonts w:asciiTheme="minorBidi" w:hAnsiTheme="minorBidi"/>
          <w:rtl/>
        </w:rPr>
      </w:pPr>
      <w:r w:rsidRPr="00845316">
        <w:rPr>
          <w:rStyle w:val="ab"/>
          <w:rFonts w:asciiTheme="minorBidi" w:hAnsiTheme="minorBidi"/>
        </w:rPr>
        <w:footnoteRef/>
      </w:r>
      <w:r w:rsidRPr="00845316">
        <w:rPr>
          <w:rFonts w:asciiTheme="minorBidi" w:hAnsiTheme="minorBidi"/>
          <w:rtl/>
        </w:rPr>
        <w:t xml:space="preserve"> ופירש ר"ת- "מוסיף הוא" ולא פליג אלא אדיוקא דרבי אבא </w:t>
      </w:r>
      <w:r w:rsidRPr="00845316">
        <w:rPr>
          <w:rFonts w:asciiTheme="minorBidi" w:hAnsiTheme="minorBidi"/>
          <w:sz w:val="16"/>
          <w:szCs w:val="16"/>
          <w:rtl/>
        </w:rPr>
        <w:t>(שלישי בשני כשר הא בראשון פסול)</w:t>
      </w:r>
      <w:r w:rsidRPr="00845316">
        <w:rPr>
          <w:rFonts w:asciiTheme="minorBidi" w:hAnsiTheme="minorBidi"/>
          <w:rtl/>
        </w:rPr>
        <w:t>, ואתא רבא לאוסופי דאף בראשון כשר, והו"ל למימר אין הלכה כרבא. וכ' הב"י דמה שהביא ר"ת ראיה מדאמרינן "אי לאפוקי מדרבא מוסיף הוא", יתכן לפרש כמו שפירש רשב"ם</w:t>
      </w:r>
      <w:r w:rsidRPr="00845316">
        <w:rPr>
          <w:rFonts w:asciiTheme="minorBidi" w:hAnsiTheme="minorBidi"/>
          <w:sz w:val="16"/>
          <w:szCs w:val="16"/>
          <w:rtl/>
        </w:rPr>
        <w:t xml:space="preserve"> (שכ' שאפ"ל שאינם חולקים </w:t>
      </w:r>
      <w:r w:rsidRPr="00845316">
        <w:rPr>
          <w:rFonts w:asciiTheme="minorBidi" w:hAnsiTheme="minorBidi"/>
          <w:sz w:val="14"/>
          <w:szCs w:val="14"/>
          <w:rtl/>
        </w:rPr>
        <w:t>[מובאת לשונו בהערה על הגמ']</w:t>
      </w:r>
      <w:r w:rsidRPr="00845316">
        <w:rPr>
          <w:rFonts w:asciiTheme="minorBidi" w:hAnsiTheme="minorBidi"/>
          <w:sz w:val="16"/>
          <w:szCs w:val="16"/>
          <w:rtl/>
        </w:rPr>
        <w:t>)</w:t>
      </w:r>
      <w:r w:rsidRPr="00845316">
        <w:rPr>
          <w:rFonts w:asciiTheme="minorBidi" w:hAnsiTheme="minorBidi"/>
          <w:rtl/>
        </w:rPr>
        <w:t>, ואע"פ שהירושלמי מוכיח כדברי ר"ת אנן בתר גמרא דידן אזלינן.</w:t>
      </w:r>
    </w:p>
  </w:footnote>
  <w:footnote w:id="1889">
    <w:p w14:paraId="27345D04" w14:textId="77777777" w:rsidR="0013116F" w:rsidRPr="00845316" w:rsidRDefault="0013116F" w:rsidP="004B607F">
      <w:pPr>
        <w:pStyle w:val="a9"/>
        <w:spacing w:after="60"/>
        <w:rPr>
          <w:rFonts w:asciiTheme="minorBidi" w:hAnsiTheme="minorBidi"/>
          <w:rtl/>
        </w:rPr>
      </w:pPr>
      <w:r w:rsidRPr="00845316">
        <w:rPr>
          <w:rStyle w:val="ab"/>
          <w:rFonts w:asciiTheme="minorBidi" w:hAnsiTheme="minorBidi"/>
        </w:rPr>
        <w:footnoteRef/>
      </w:r>
      <w:r w:rsidRPr="00845316">
        <w:rPr>
          <w:rFonts w:asciiTheme="minorBidi" w:hAnsiTheme="minorBidi"/>
          <w:rtl/>
        </w:rPr>
        <w:t xml:space="preserve"> וחלקו עליו התוס' (קכח. ד"ה ולית) והרא"ש (סי' כג), וכן מוכח מדברי הרי"ף והרמב"ם. וכ' הב"י דליכא מאן דמסייע לרשב"ם. אך המאירי כ' שגדולי הצרפתים פירשו כרשב"ם.</w:t>
      </w:r>
    </w:p>
  </w:footnote>
  <w:footnote w:id="1890">
    <w:p w14:paraId="1EE130E8" w14:textId="77777777" w:rsidR="0013116F" w:rsidRDefault="0013116F" w:rsidP="004B607F">
      <w:pPr>
        <w:pStyle w:val="a9"/>
      </w:pPr>
      <w:r>
        <w:rPr>
          <w:rStyle w:val="ab"/>
        </w:rPr>
        <w:footnoteRef/>
      </w:r>
      <w:r>
        <w:rPr>
          <w:rtl/>
        </w:rPr>
        <w:t xml:space="preserve"> </w:t>
      </w:r>
      <w:r>
        <w:rPr>
          <w:rFonts w:hint="cs"/>
          <w:rtl/>
        </w:rPr>
        <w:t xml:space="preserve">סימן </w:t>
      </w:r>
      <w:r>
        <w:rPr>
          <w:rtl/>
        </w:rPr>
        <w:t>–</w:t>
      </w:r>
      <w:r>
        <w:rPr>
          <w:rFonts w:hint="cs"/>
          <w:rtl/>
        </w:rPr>
        <w:t xml:space="preserve"> כיתתו זרה.</w:t>
      </w:r>
    </w:p>
  </w:footnote>
  <w:footnote w:id="1891">
    <w:p w14:paraId="401DEE93" w14:textId="77777777" w:rsidR="0013116F" w:rsidRPr="00845316" w:rsidRDefault="0013116F" w:rsidP="004B607F">
      <w:pPr>
        <w:pStyle w:val="a9"/>
        <w:spacing w:after="60"/>
        <w:rPr>
          <w:rFonts w:asciiTheme="minorBidi" w:hAnsiTheme="minorBidi"/>
          <w:rtl/>
        </w:rPr>
      </w:pPr>
      <w:r w:rsidRPr="00845316">
        <w:rPr>
          <w:rStyle w:val="ab"/>
          <w:rFonts w:asciiTheme="minorBidi" w:hAnsiTheme="minorBidi"/>
        </w:rPr>
        <w:footnoteRef/>
      </w:r>
      <w:r w:rsidRPr="00845316">
        <w:rPr>
          <w:rFonts w:asciiTheme="minorBidi" w:hAnsiTheme="minorBidi"/>
          <w:rtl/>
        </w:rPr>
        <w:t xml:space="preserve"> בן אשתו, רש"י.</w:t>
      </w:r>
    </w:p>
  </w:footnote>
  <w:footnote w:id="1892">
    <w:p w14:paraId="57566361" w14:textId="77777777" w:rsidR="0013116F" w:rsidRPr="00845316" w:rsidRDefault="0013116F" w:rsidP="004B607F">
      <w:pPr>
        <w:pStyle w:val="a9"/>
        <w:spacing w:after="60"/>
        <w:rPr>
          <w:rFonts w:asciiTheme="minorBidi" w:hAnsiTheme="minorBidi"/>
          <w:rtl/>
        </w:rPr>
      </w:pPr>
      <w:r w:rsidRPr="00845316">
        <w:rPr>
          <w:rStyle w:val="ab"/>
          <w:rFonts w:asciiTheme="minorBidi" w:hAnsiTheme="minorBidi"/>
        </w:rPr>
        <w:footnoteRef/>
      </w:r>
      <w:r w:rsidRPr="00845316">
        <w:rPr>
          <w:rFonts w:asciiTheme="minorBidi" w:hAnsiTheme="minorBidi"/>
          <w:rtl/>
        </w:rPr>
        <w:t xml:space="preserve"> שני אבות בעדות בניהם, ועל כרחיך הני שני אבות באחין קא מישתעי שהן קרובין מן הכל, דבאב ובנו לא מצי למימר דאם כן לא הוה קרי להו אבות, דחד אב וחד בן סגי, ולקמן מפרש כוליה מיניה, רש"י.</w:t>
      </w:r>
    </w:p>
  </w:footnote>
  <w:footnote w:id="1893">
    <w:p w14:paraId="282F623F" w14:textId="77777777" w:rsidR="0013116F" w:rsidRPr="00845316" w:rsidRDefault="0013116F" w:rsidP="004B607F">
      <w:pPr>
        <w:pStyle w:val="a9"/>
        <w:spacing w:after="60"/>
        <w:rPr>
          <w:rFonts w:asciiTheme="minorBidi" w:hAnsiTheme="minorBidi"/>
          <w:rtl/>
        </w:rPr>
      </w:pPr>
      <w:r w:rsidRPr="00845316">
        <w:rPr>
          <w:rStyle w:val="ab"/>
          <w:rFonts w:asciiTheme="minorBidi" w:hAnsiTheme="minorBidi"/>
        </w:rPr>
        <w:footnoteRef/>
      </w:r>
      <w:r w:rsidRPr="00845316">
        <w:rPr>
          <w:rFonts w:asciiTheme="minorBidi" w:hAnsiTheme="minorBidi"/>
          <w:rtl/>
        </w:rPr>
        <w:t xml:space="preserve"> דקתני במתניתין, בן אחי אביו פסול לו, רש"י. </w:t>
      </w:r>
    </w:p>
  </w:footnote>
  <w:footnote w:id="1894">
    <w:p w14:paraId="3CD8D4D7" w14:textId="77777777" w:rsidR="0013116F" w:rsidRPr="00845316" w:rsidRDefault="0013116F" w:rsidP="004B607F">
      <w:pPr>
        <w:pStyle w:val="a9"/>
        <w:spacing w:after="60"/>
        <w:rPr>
          <w:rFonts w:asciiTheme="minorBidi" w:hAnsiTheme="minorBidi"/>
        </w:rPr>
      </w:pPr>
      <w:r w:rsidRPr="00845316">
        <w:rPr>
          <w:rStyle w:val="ab"/>
          <w:rFonts w:asciiTheme="minorBidi" w:hAnsiTheme="minorBidi"/>
        </w:rPr>
        <w:footnoteRef/>
      </w:r>
      <w:r w:rsidRPr="00845316">
        <w:rPr>
          <w:rFonts w:asciiTheme="minorBidi" w:hAnsiTheme="minorBidi"/>
          <w:rtl/>
        </w:rPr>
        <w:t xml:space="preserve"> שיהו שנים קרובים פסולין להעיד על אדם מן השוק, רש"י.</w:t>
      </w:r>
    </w:p>
  </w:footnote>
  <w:footnote w:id="1895">
    <w:p w14:paraId="656A20A8" w14:textId="77777777" w:rsidR="0013116F" w:rsidRPr="00845316" w:rsidRDefault="0013116F" w:rsidP="004B607F">
      <w:pPr>
        <w:pStyle w:val="a9"/>
        <w:spacing w:after="60"/>
        <w:rPr>
          <w:rFonts w:asciiTheme="minorBidi" w:hAnsiTheme="minorBidi"/>
          <w:rtl/>
        </w:rPr>
      </w:pPr>
      <w:r w:rsidRPr="00845316">
        <w:rPr>
          <w:rStyle w:val="ab"/>
          <w:rFonts w:asciiTheme="minorBidi" w:hAnsiTheme="minorBidi"/>
        </w:rPr>
        <w:footnoteRef/>
      </w:r>
      <w:r w:rsidRPr="00845316">
        <w:rPr>
          <w:rFonts w:asciiTheme="minorBidi" w:hAnsiTheme="minorBidi"/>
          <w:rtl/>
        </w:rPr>
        <w:t xml:space="preserve"> להב' הה"מ (הל' אישות פ"ד ה"ו) ב"י (אות ז) רמ"א (כאן) ובא"ט (סק"ב, וסתר שם הבאה"ט את ראיות הש"ך). </w:t>
      </w:r>
    </w:p>
  </w:footnote>
  <w:footnote w:id="1896">
    <w:p w14:paraId="3373C418" w14:textId="77777777" w:rsidR="0013116F" w:rsidRPr="00845316" w:rsidRDefault="0013116F" w:rsidP="004B607F">
      <w:pPr>
        <w:pStyle w:val="a9"/>
        <w:spacing w:after="60"/>
        <w:rPr>
          <w:rFonts w:asciiTheme="minorBidi" w:hAnsiTheme="minorBidi"/>
          <w:rtl/>
        </w:rPr>
      </w:pPr>
      <w:r w:rsidRPr="00845316">
        <w:rPr>
          <w:rStyle w:val="ab"/>
          <w:rFonts w:asciiTheme="minorBidi" w:hAnsiTheme="minorBidi"/>
        </w:rPr>
        <w:footnoteRef/>
      </w:r>
      <w:r w:rsidRPr="00845316">
        <w:rPr>
          <w:rFonts w:asciiTheme="minorBidi" w:hAnsiTheme="minorBidi"/>
          <w:rtl/>
        </w:rPr>
        <w:t xml:space="preserve"> אפילו למאן דפסליה</w:t>
      </w:r>
      <w:r w:rsidRPr="00845316">
        <w:rPr>
          <w:rFonts w:asciiTheme="minorBidi" w:hAnsiTheme="minorBidi"/>
          <w:sz w:val="16"/>
          <w:szCs w:val="16"/>
          <w:rtl/>
        </w:rPr>
        <w:t xml:space="preserve"> (היינו לר"ת וסיעתו)</w:t>
      </w:r>
      <w:r w:rsidRPr="00845316">
        <w:rPr>
          <w:rFonts w:asciiTheme="minorBidi" w:hAnsiTheme="minorBidi"/>
          <w:rtl/>
        </w:rPr>
        <w:t>, סמ"ע (סק"ה).</w:t>
      </w:r>
    </w:p>
  </w:footnote>
  <w:footnote w:id="1897">
    <w:p w14:paraId="7B36983E" w14:textId="77777777" w:rsidR="0013116F" w:rsidRPr="00845316" w:rsidRDefault="0013116F" w:rsidP="004B607F">
      <w:pPr>
        <w:pStyle w:val="a9"/>
        <w:spacing w:after="60"/>
        <w:rPr>
          <w:rFonts w:asciiTheme="minorBidi" w:hAnsiTheme="minorBidi"/>
          <w:rtl/>
        </w:rPr>
      </w:pPr>
      <w:r w:rsidRPr="00845316">
        <w:rPr>
          <w:rStyle w:val="ab"/>
          <w:rFonts w:asciiTheme="minorBidi" w:hAnsiTheme="minorBidi"/>
        </w:rPr>
        <w:footnoteRef/>
      </w:r>
      <w:r w:rsidRPr="00845316">
        <w:rPr>
          <w:rFonts w:asciiTheme="minorBidi" w:hAnsiTheme="minorBidi"/>
          <w:rtl/>
        </w:rPr>
        <w:t xml:space="preserve"> ואפשר דהיינו טעמא כיון דבקרא כתיב בהדיא אבות ש"מ דדקדק הקרא דוקא אקורבה דהאב. ואע"ג דבגמ' (סנהדרין כח.) קאמר בהדיא דמדכתיב אבות אבות תרי זימני אם אינו ענין לקרובי האב תנהו לקרובי האם- ס"ל דזהו אסמכתא, סמ"ע (סק"ז).</w:t>
      </w:r>
    </w:p>
  </w:footnote>
  <w:footnote w:id="1898">
    <w:p w14:paraId="787B8652" w14:textId="77777777" w:rsidR="0013116F" w:rsidRPr="00845316" w:rsidRDefault="0013116F" w:rsidP="004B607F">
      <w:pPr>
        <w:pStyle w:val="a9"/>
        <w:spacing w:after="60"/>
        <w:rPr>
          <w:rFonts w:asciiTheme="minorBidi" w:hAnsiTheme="minorBidi"/>
          <w:rtl/>
        </w:rPr>
      </w:pPr>
      <w:r w:rsidRPr="00845316">
        <w:rPr>
          <w:rStyle w:val="ab"/>
          <w:rFonts w:asciiTheme="minorBidi" w:hAnsiTheme="minorBidi"/>
        </w:rPr>
        <w:footnoteRef/>
      </w:r>
      <w:r w:rsidRPr="00845316">
        <w:rPr>
          <w:rFonts w:asciiTheme="minorBidi" w:hAnsiTheme="minorBidi"/>
          <w:rtl/>
        </w:rPr>
        <w:t xml:space="preserve"> קלפים, רש"י.</w:t>
      </w:r>
    </w:p>
  </w:footnote>
  <w:footnote w:id="1899">
    <w:p w14:paraId="35DCE51C" w14:textId="77777777" w:rsidR="0013116F" w:rsidRPr="00845316" w:rsidRDefault="0013116F" w:rsidP="004B607F">
      <w:pPr>
        <w:pStyle w:val="a9"/>
        <w:spacing w:after="60"/>
        <w:rPr>
          <w:rFonts w:asciiTheme="minorBidi" w:hAnsiTheme="minorBidi"/>
          <w:rtl/>
        </w:rPr>
      </w:pPr>
      <w:r w:rsidRPr="00845316">
        <w:rPr>
          <w:rStyle w:val="ab"/>
          <w:rFonts w:asciiTheme="minorBidi" w:hAnsiTheme="minorBidi"/>
        </w:rPr>
        <w:footnoteRef/>
      </w:r>
      <w:r w:rsidRPr="00845316">
        <w:rPr>
          <w:rFonts w:asciiTheme="minorBidi" w:hAnsiTheme="minorBidi"/>
          <w:rtl/>
        </w:rPr>
        <w:t xml:space="preserve"> על נכסי מלוג שלה בהשפטה עם אדם מן השוק, ובנשי שאר קרובים לא איבעי להו, דכיון דבניהם פסולין לו והוא להם - פסול אף לנשים, לפי שהבנים ראויין לירש את אמן, אבל חורגו דבנו כשר מיבעיא לן באשתו, רש"י.</w:t>
      </w:r>
    </w:p>
  </w:footnote>
  <w:footnote w:id="1900">
    <w:p w14:paraId="764E3D9B" w14:textId="77777777" w:rsidR="0013116F" w:rsidRPr="00845316" w:rsidRDefault="0013116F" w:rsidP="004B607F">
      <w:pPr>
        <w:pStyle w:val="a9"/>
        <w:spacing w:after="60"/>
        <w:rPr>
          <w:rFonts w:asciiTheme="minorBidi" w:hAnsiTheme="minorBidi"/>
          <w:rtl/>
        </w:rPr>
      </w:pPr>
      <w:r w:rsidRPr="00845316">
        <w:rPr>
          <w:rStyle w:val="ab"/>
          <w:rFonts w:asciiTheme="minorBidi" w:hAnsiTheme="minorBidi"/>
        </w:rPr>
        <w:footnoteRef/>
      </w:r>
      <w:r w:rsidRPr="00845316">
        <w:rPr>
          <w:rFonts w:asciiTheme="minorBidi" w:hAnsiTheme="minorBidi"/>
          <w:rtl/>
        </w:rPr>
        <w:t xml:space="preserve"> ואשה כבעלה, והרי הוא כאילו חמיה ותנן (כז:) חמיו פסול, קרוב הוא, רש"י.</w:t>
      </w:r>
    </w:p>
  </w:footnote>
  <w:footnote w:id="1901">
    <w:p w14:paraId="329E6CBA" w14:textId="77777777" w:rsidR="0013116F" w:rsidRPr="00845316" w:rsidRDefault="0013116F" w:rsidP="004B607F">
      <w:pPr>
        <w:pStyle w:val="a9"/>
        <w:spacing w:after="60"/>
        <w:rPr>
          <w:rFonts w:asciiTheme="minorBidi" w:hAnsiTheme="minorBidi"/>
          <w:rtl/>
        </w:rPr>
      </w:pPr>
      <w:r w:rsidRPr="00845316">
        <w:rPr>
          <w:rStyle w:val="ab"/>
          <w:rFonts w:asciiTheme="minorBidi" w:hAnsiTheme="minorBidi"/>
        </w:rPr>
        <w:footnoteRef/>
      </w:r>
      <w:r w:rsidRPr="00845316">
        <w:rPr>
          <w:rFonts w:asciiTheme="minorBidi" w:hAnsiTheme="minorBidi"/>
          <w:rtl/>
        </w:rPr>
        <w:t xml:space="preserve"> רמב"ם </w:t>
      </w:r>
      <w:r w:rsidRPr="00845316">
        <w:rPr>
          <w:rFonts w:asciiTheme="minorBidi" w:hAnsiTheme="minorBidi"/>
          <w:sz w:val="16"/>
          <w:szCs w:val="16"/>
          <w:rtl/>
        </w:rPr>
        <w:t>(עדות פי"ג ה"ו)</w:t>
      </w:r>
      <w:r w:rsidRPr="00845316">
        <w:rPr>
          <w:rFonts w:asciiTheme="minorBidi" w:hAnsiTheme="minorBidi"/>
          <w:rtl/>
        </w:rPr>
        <w:t xml:space="preserve"> ונמוק"י </w:t>
      </w:r>
      <w:r w:rsidRPr="00845316">
        <w:rPr>
          <w:rFonts w:asciiTheme="minorBidi" w:hAnsiTheme="minorBidi"/>
          <w:sz w:val="16"/>
          <w:szCs w:val="16"/>
          <w:rtl/>
        </w:rPr>
        <w:t>(ו: דיבור ראשון)</w:t>
      </w:r>
      <w:r w:rsidRPr="00845316">
        <w:rPr>
          <w:rFonts w:asciiTheme="minorBidi" w:hAnsiTheme="minorBidi"/>
          <w:rtl/>
        </w:rPr>
        <w:t>. וכן נ"ל מדברי רש"י</w:t>
      </w:r>
      <w:r w:rsidRPr="00845316">
        <w:rPr>
          <w:rFonts w:asciiTheme="minorBidi" w:hAnsiTheme="minorBidi"/>
          <w:sz w:val="16"/>
          <w:szCs w:val="16"/>
          <w:rtl/>
        </w:rPr>
        <w:t xml:space="preserve"> (שאחרי דברי הגמ' "בסורא אמרי בעל כאשתו" כ'- "ואשה כבעלה")</w:t>
      </w:r>
    </w:p>
  </w:footnote>
  <w:footnote w:id="1902">
    <w:p w14:paraId="02BDFA82" w14:textId="77777777" w:rsidR="0013116F" w:rsidRPr="00845316" w:rsidRDefault="0013116F" w:rsidP="004B607F">
      <w:pPr>
        <w:pStyle w:val="a9"/>
        <w:spacing w:after="60"/>
        <w:rPr>
          <w:rFonts w:asciiTheme="minorBidi" w:hAnsiTheme="minorBidi"/>
          <w:rtl/>
        </w:rPr>
      </w:pPr>
      <w:r w:rsidRPr="00845316">
        <w:rPr>
          <w:rStyle w:val="ab"/>
          <w:rFonts w:asciiTheme="minorBidi" w:hAnsiTheme="minorBidi"/>
        </w:rPr>
        <w:footnoteRef/>
      </w:r>
      <w:r w:rsidRPr="00845316">
        <w:rPr>
          <w:rFonts w:asciiTheme="minorBidi" w:hAnsiTheme="minorBidi"/>
          <w:rtl/>
        </w:rPr>
        <w:t xml:space="preserve"> הביאו המרדכי בסי' תרצז, רק שלפני הב"י היה כנראה כ'- ריב"ן, אך לפנינו במרדכי כ'- ריב"א.</w:t>
      </w:r>
      <w:r w:rsidRPr="00845316">
        <w:rPr>
          <w:rFonts w:asciiTheme="minorBidi" w:hAnsiTheme="minorBidi"/>
          <w:sz w:val="16"/>
          <w:szCs w:val="16"/>
          <w:rtl/>
        </w:rPr>
        <w:t xml:space="preserve"> </w:t>
      </w:r>
    </w:p>
  </w:footnote>
  <w:footnote w:id="1903">
    <w:p w14:paraId="4D400606" w14:textId="77777777" w:rsidR="0013116F" w:rsidRPr="00845316" w:rsidRDefault="0013116F" w:rsidP="004B607F">
      <w:pPr>
        <w:pStyle w:val="a9"/>
        <w:spacing w:after="60"/>
        <w:rPr>
          <w:rFonts w:asciiTheme="minorBidi" w:hAnsiTheme="minorBidi"/>
          <w:rtl/>
        </w:rPr>
      </w:pPr>
      <w:r w:rsidRPr="00845316">
        <w:rPr>
          <w:rStyle w:val="ab"/>
          <w:rFonts w:asciiTheme="minorBidi" w:hAnsiTheme="minorBidi"/>
        </w:rPr>
        <w:footnoteRef/>
      </w:r>
      <w:r w:rsidRPr="00845316">
        <w:rPr>
          <w:rFonts w:asciiTheme="minorBidi" w:hAnsiTheme="minorBidi"/>
          <w:rtl/>
        </w:rPr>
        <w:t xml:space="preserve"> משום דבכל מקום </w:t>
      </w:r>
      <w:r w:rsidRPr="00845316">
        <w:rPr>
          <w:rFonts w:asciiTheme="minorBidi" w:hAnsiTheme="minorBidi"/>
          <w:sz w:val="16"/>
          <w:szCs w:val="16"/>
          <w:rtl/>
        </w:rPr>
        <w:t xml:space="preserve">(שם עא.) </w:t>
      </w:r>
      <w:r w:rsidRPr="00845316">
        <w:rPr>
          <w:rFonts w:asciiTheme="minorBidi" w:hAnsiTheme="minorBidi"/>
          <w:rtl/>
        </w:rPr>
        <w:t xml:space="preserve">אמרינן מה שקנתה אשה קנה בעלה אבל מה שקנה בעל לא קנתה אשתו, ועוד דנפיק מקרא </w:t>
      </w:r>
      <w:r w:rsidRPr="00845316">
        <w:rPr>
          <w:rFonts w:asciiTheme="minorBidi" w:hAnsiTheme="minorBidi"/>
          <w:sz w:val="16"/>
          <w:szCs w:val="16"/>
          <w:rtl/>
        </w:rPr>
        <w:t>("ערות דודתך היא וכו")</w:t>
      </w:r>
      <w:r w:rsidRPr="00845316">
        <w:rPr>
          <w:rFonts w:asciiTheme="minorBidi" w:hAnsiTheme="minorBidi"/>
          <w:rtl/>
        </w:rPr>
        <w:t xml:space="preserve"> דאשה כבעלה אבל לא מפיק דבעל כאשה, מרדכי. והא דאמרינן (כח:) בסורא אמרי בעל כאשתו בפומבדיתא אמרי אשה כבעלה סבירא ליה דתרי לישני פליגי אהדדי וקיי"ל כלישנא דאמר אשה כבעלה, ב"י.</w:t>
      </w:r>
    </w:p>
  </w:footnote>
  <w:footnote w:id="1904">
    <w:p w14:paraId="2C33E1E2" w14:textId="77777777" w:rsidR="0013116F" w:rsidRPr="00845316" w:rsidRDefault="0013116F" w:rsidP="004B607F">
      <w:pPr>
        <w:pStyle w:val="a9"/>
        <w:spacing w:after="60"/>
        <w:rPr>
          <w:rFonts w:asciiTheme="minorBidi" w:hAnsiTheme="minorBidi"/>
          <w:rtl/>
        </w:rPr>
      </w:pPr>
      <w:r w:rsidRPr="00845316">
        <w:rPr>
          <w:rStyle w:val="ab"/>
          <w:rFonts w:asciiTheme="minorBidi" w:hAnsiTheme="minorBidi"/>
        </w:rPr>
        <w:footnoteRef/>
      </w:r>
      <w:r w:rsidRPr="00845316">
        <w:rPr>
          <w:rFonts w:asciiTheme="minorBidi" w:hAnsiTheme="minorBidi"/>
          <w:rtl/>
        </w:rPr>
        <w:t xml:space="preserve"> בהגהות הרמ"א על המרדכי</w:t>
      </w:r>
      <w:r w:rsidRPr="00845316">
        <w:rPr>
          <w:rFonts w:asciiTheme="minorBidi" w:hAnsiTheme="minorBidi"/>
          <w:sz w:val="16"/>
          <w:szCs w:val="16"/>
          <w:rtl/>
        </w:rPr>
        <w:t xml:space="preserve"> </w:t>
      </w:r>
      <w:r w:rsidRPr="00845316">
        <w:rPr>
          <w:rFonts w:asciiTheme="minorBidi" w:hAnsiTheme="minorBidi"/>
          <w:sz w:val="14"/>
          <w:szCs w:val="14"/>
          <w:rtl/>
        </w:rPr>
        <w:t>(המיוחסות לרמ"א, אך רובן נכתבו ע"י תלמידו המובהק ר' נפתלי צבי הירש שור על פי תשובות שענה לו הרמ"א)</w:t>
      </w:r>
      <w:r w:rsidRPr="00845316">
        <w:rPr>
          <w:rFonts w:asciiTheme="minorBidi" w:hAnsiTheme="minorBidi"/>
          <w:rtl/>
        </w:rPr>
        <w:t xml:space="preserve"> סי' תרצז.</w:t>
      </w:r>
    </w:p>
  </w:footnote>
  <w:footnote w:id="1905">
    <w:p w14:paraId="5D6D7371" w14:textId="77777777" w:rsidR="0013116F" w:rsidRPr="00845316" w:rsidRDefault="0013116F" w:rsidP="004B607F">
      <w:pPr>
        <w:pStyle w:val="a9"/>
        <w:spacing w:after="60"/>
        <w:rPr>
          <w:rFonts w:asciiTheme="minorBidi" w:hAnsiTheme="minorBidi"/>
          <w:rtl/>
        </w:rPr>
      </w:pPr>
      <w:r w:rsidRPr="00845316">
        <w:rPr>
          <w:rStyle w:val="ab"/>
          <w:rFonts w:asciiTheme="minorBidi" w:hAnsiTheme="minorBidi"/>
        </w:rPr>
        <w:footnoteRef/>
      </w:r>
      <w:r w:rsidRPr="00845316">
        <w:rPr>
          <w:rFonts w:asciiTheme="minorBidi" w:hAnsiTheme="minorBidi"/>
          <w:rtl/>
        </w:rPr>
        <w:t xml:space="preserve"> ולפי זה הא דקאמר בגמרא "בסורא אמרי בעל כאשתו בפומבדיתא אמרי אשה כבעלה" ס"ל לריב"א דלא פליגי אהדדי וריב"א פסק כב' הלשונות גבי ראשון בראשון כגון גבי אשת חורגו ובעל חורגתו, הגהות הרמ"א על המרדכי.</w:t>
      </w:r>
    </w:p>
  </w:footnote>
  <w:footnote w:id="1906">
    <w:p w14:paraId="4AF295CF" w14:textId="77777777" w:rsidR="0013116F" w:rsidRPr="00845316" w:rsidRDefault="0013116F" w:rsidP="004B607F">
      <w:pPr>
        <w:pStyle w:val="a9"/>
        <w:spacing w:after="60"/>
        <w:rPr>
          <w:rFonts w:asciiTheme="minorBidi" w:hAnsiTheme="minorBidi"/>
          <w:rtl/>
        </w:rPr>
      </w:pPr>
      <w:r w:rsidRPr="00845316">
        <w:rPr>
          <w:rStyle w:val="ab"/>
          <w:rFonts w:asciiTheme="minorBidi" w:hAnsiTheme="minorBidi"/>
        </w:rPr>
        <w:footnoteRef/>
      </w:r>
      <w:r w:rsidRPr="00845316">
        <w:rPr>
          <w:rFonts w:asciiTheme="minorBidi" w:hAnsiTheme="minorBidi"/>
          <w:rtl/>
        </w:rPr>
        <w:t xml:space="preserve"> מחמת קורבה (עד שני בשני), סמ"ע (סק"ח).</w:t>
      </w:r>
    </w:p>
  </w:footnote>
  <w:footnote w:id="1907">
    <w:p w14:paraId="576A0548" w14:textId="77777777" w:rsidR="0013116F" w:rsidRPr="00845316" w:rsidRDefault="0013116F" w:rsidP="004B607F">
      <w:pPr>
        <w:pStyle w:val="a9"/>
        <w:spacing w:after="60"/>
        <w:rPr>
          <w:rFonts w:asciiTheme="minorBidi" w:hAnsiTheme="minorBidi"/>
          <w:rtl/>
        </w:rPr>
      </w:pPr>
      <w:r w:rsidRPr="00845316">
        <w:rPr>
          <w:rStyle w:val="ab"/>
          <w:rFonts w:asciiTheme="minorBidi" w:hAnsiTheme="minorBidi"/>
        </w:rPr>
        <w:footnoteRef/>
      </w:r>
      <w:r w:rsidRPr="00845316">
        <w:rPr>
          <w:rFonts w:asciiTheme="minorBidi" w:hAnsiTheme="minorBidi"/>
          <w:rtl/>
        </w:rPr>
        <w:t xml:space="preserve"> משא"כ בפסול מחמת חיתון דאתה פסול לבן אחי אבי אשתך וכשר לאשתו דהו"ל שני בשני ותרי בעל כאשתו, סמ"ע (סק"ח).</w:t>
      </w:r>
    </w:p>
  </w:footnote>
  <w:footnote w:id="1908">
    <w:p w14:paraId="19598841" w14:textId="77777777" w:rsidR="0013116F" w:rsidRPr="00845316" w:rsidRDefault="0013116F" w:rsidP="004B607F">
      <w:pPr>
        <w:pStyle w:val="a9"/>
        <w:spacing w:after="60"/>
        <w:rPr>
          <w:rFonts w:asciiTheme="minorBidi" w:hAnsiTheme="minorBidi"/>
          <w:rtl/>
        </w:rPr>
      </w:pPr>
      <w:r w:rsidRPr="00845316">
        <w:rPr>
          <w:rStyle w:val="ab"/>
          <w:rFonts w:asciiTheme="minorBidi" w:hAnsiTheme="minorBidi"/>
        </w:rPr>
        <w:footnoteRef/>
      </w:r>
      <w:r w:rsidRPr="00845316">
        <w:rPr>
          <w:rFonts w:asciiTheme="minorBidi" w:hAnsiTheme="minorBidi"/>
          <w:rtl/>
        </w:rPr>
        <w:t xml:space="preserve"> היינו ביש לה נכסים שאין לבעלה רשות בהן, סמ"ע (סק"י).</w:t>
      </w:r>
    </w:p>
  </w:footnote>
  <w:footnote w:id="1909">
    <w:p w14:paraId="1ACCEB13" w14:textId="77777777" w:rsidR="0013116F" w:rsidRPr="00845316" w:rsidRDefault="0013116F" w:rsidP="004B607F">
      <w:pPr>
        <w:pStyle w:val="a9"/>
        <w:spacing w:after="60"/>
        <w:rPr>
          <w:rFonts w:asciiTheme="minorBidi" w:hAnsiTheme="minorBidi"/>
        </w:rPr>
      </w:pPr>
      <w:r w:rsidRPr="00845316">
        <w:rPr>
          <w:rStyle w:val="ab"/>
          <w:rFonts w:asciiTheme="minorBidi" w:hAnsiTheme="minorBidi"/>
        </w:rPr>
        <w:footnoteRef/>
      </w:r>
      <w:r w:rsidRPr="00845316">
        <w:rPr>
          <w:rFonts w:asciiTheme="minorBidi" w:hAnsiTheme="minorBidi"/>
          <w:rtl/>
        </w:rPr>
        <w:t xml:space="preserve"> כלומר, דוקא בקורבה הנ"ל דאין בקורבה איתפלגא דרא, בהו דוקא אמרינן חד בעל כאשתו, אבל בזה דאיתפליג דרא, אפילו חד בעל כאשתו לא אמרינן, סמ"ע (סק"ט).</w:t>
      </w:r>
    </w:p>
  </w:footnote>
  <w:footnote w:id="1910">
    <w:p w14:paraId="4262F9FD" w14:textId="77777777" w:rsidR="0013116F" w:rsidRPr="00845316" w:rsidRDefault="0013116F" w:rsidP="004B607F">
      <w:pPr>
        <w:pStyle w:val="a9"/>
        <w:spacing w:after="60"/>
        <w:rPr>
          <w:rFonts w:asciiTheme="minorBidi" w:hAnsiTheme="minorBidi"/>
          <w:rtl/>
        </w:rPr>
      </w:pPr>
      <w:r w:rsidRPr="00845316">
        <w:rPr>
          <w:rStyle w:val="ab"/>
          <w:rFonts w:asciiTheme="minorBidi" w:hAnsiTheme="minorBidi"/>
        </w:rPr>
        <w:footnoteRef/>
      </w:r>
      <w:r w:rsidRPr="00845316">
        <w:rPr>
          <w:rFonts w:asciiTheme="minorBidi" w:hAnsiTheme="minorBidi"/>
          <w:rtl/>
        </w:rPr>
        <w:t xml:space="preserve"> דקתני בן וחתן בגיסו, רש"י.</w:t>
      </w:r>
    </w:p>
  </w:footnote>
  <w:footnote w:id="1911">
    <w:p w14:paraId="6A1D40B0" w14:textId="77777777" w:rsidR="0013116F" w:rsidRPr="00845316" w:rsidRDefault="0013116F" w:rsidP="004B607F">
      <w:pPr>
        <w:pStyle w:val="a9"/>
        <w:spacing w:after="60"/>
        <w:rPr>
          <w:rFonts w:asciiTheme="minorBidi" w:hAnsiTheme="minorBidi"/>
          <w:rtl/>
        </w:rPr>
      </w:pPr>
      <w:r w:rsidRPr="00845316">
        <w:rPr>
          <w:rStyle w:val="ab"/>
          <w:rFonts w:asciiTheme="minorBidi" w:hAnsiTheme="minorBidi"/>
        </w:rPr>
        <w:footnoteRef/>
      </w:r>
      <w:r w:rsidRPr="00845316">
        <w:rPr>
          <w:rFonts w:asciiTheme="minorBidi" w:hAnsiTheme="minorBidi"/>
          <w:rtl/>
        </w:rPr>
        <w:t xml:space="preserve"> רש"י כ</w:t>
      </w:r>
      <w:r>
        <w:rPr>
          <w:rFonts w:asciiTheme="minorBidi" w:hAnsiTheme="minorBidi" w:hint="cs"/>
          <w:rtl/>
        </w:rPr>
        <w:t>תב</w:t>
      </w:r>
      <w:r w:rsidRPr="00845316">
        <w:rPr>
          <w:rFonts w:asciiTheme="minorBidi" w:hAnsiTheme="minorBidi"/>
          <w:rtl/>
        </w:rPr>
        <w:t xml:space="preserve"> דהבנתם לא מיתוקמא שפיר, דכל בניהם דמתניתין מאותה אשה קאמר, ועוד אי מאשה אחרת מכשיר ר' יוסי, מכלל דתנא דידן מאשה אחרת נמי פסול משום קרוב מחמת קרוב- תיקשי לרב חסדא דאכשר באחי האח, דהשתא בן גיסו פסול משום אחי בן אחות אשתו, אחי האח מיבעיא.</w:t>
      </w:r>
    </w:p>
  </w:footnote>
  <w:footnote w:id="1912">
    <w:p w14:paraId="7F47A1B6" w14:textId="77777777" w:rsidR="0013116F" w:rsidRPr="00845316" w:rsidRDefault="0013116F" w:rsidP="004B607F">
      <w:pPr>
        <w:pStyle w:val="a9"/>
        <w:spacing w:after="60"/>
        <w:rPr>
          <w:rFonts w:asciiTheme="minorBidi" w:hAnsiTheme="minorBidi"/>
          <w:rtl/>
        </w:rPr>
      </w:pPr>
      <w:r w:rsidRPr="00845316">
        <w:rPr>
          <w:rStyle w:val="ab"/>
          <w:rFonts w:asciiTheme="minorBidi" w:hAnsiTheme="minorBidi"/>
        </w:rPr>
        <w:footnoteRef/>
      </w:r>
      <w:r w:rsidRPr="00845316">
        <w:rPr>
          <w:rFonts w:asciiTheme="minorBidi" w:hAnsiTheme="minorBidi"/>
          <w:rtl/>
        </w:rPr>
        <w:t xml:space="preserve"> רב האי רש"י </w:t>
      </w:r>
      <w:r w:rsidRPr="00845316">
        <w:rPr>
          <w:rFonts w:asciiTheme="minorBidi" w:hAnsiTheme="minorBidi"/>
          <w:sz w:val="16"/>
          <w:szCs w:val="16"/>
          <w:rtl/>
        </w:rPr>
        <w:t>(כ"כ הרשב"א בשמם [מיוחסות סי' קי])</w:t>
      </w:r>
      <w:r w:rsidRPr="00845316">
        <w:rPr>
          <w:rFonts w:asciiTheme="minorBidi" w:hAnsiTheme="minorBidi"/>
          <w:rtl/>
        </w:rPr>
        <w:t xml:space="preserve"> תוס' </w:t>
      </w:r>
      <w:r w:rsidRPr="00845316">
        <w:rPr>
          <w:rFonts w:asciiTheme="minorBidi" w:hAnsiTheme="minorBidi"/>
          <w:sz w:val="16"/>
          <w:szCs w:val="16"/>
          <w:rtl/>
        </w:rPr>
        <w:t xml:space="preserve">(ד"ה גיסו) </w:t>
      </w:r>
      <w:r w:rsidRPr="00845316">
        <w:rPr>
          <w:rFonts w:asciiTheme="minorBidi" w:hAnsiTheme="minorBidi"/>
          <w:rtl/>
        </w:rPr>
        <w:t xml:space="preserve">רז"ה </w:t>
      </w:r>
      <w:r w:rsidRPr="00845316">
        <w:rPr>
          <w:rFonts w:asciiTheme="minorBidi" w:hAnsiTheme="minorBidi"/>
          <w:sz w:val="16"/>
          <w:szCs w:val="16"/>
          <w:rtl/>
        </w:rPr>
        <w:t>(כ"כ הרשב"א בשמו [שם])</w:t>
      </w:r>
      <w:r w:rsidRPr="00845316">
        <w:rPr>
          <w:rFonts w:asciiTheme="minorBidi" w:hAnsiTheme="minorBidi"/>
          <w:rtl/>
        </w:rPr>
        <w:t xml:space="preserve"> ראב"ד </w:t>
      </w:r>
      <w:r w:rsidRPr="00845316">
        <w:rPr>
          <w:rFonts w:asciiTheme="minorBidi" w:hAnsiTheme="minorBidi"/>
          <w:sz w:val="16"/>
          <w:szCs w:val="16"/>
          <w:rtl/>
        </w:rPr>
        <w:t>(כתוב שם עמ' סא)</w:t>
      </w:r>
      <w:r w:rsidRPr="00845316">
        <w:rPr>
          <w:rFonts w:asciiTheme="minorBidi" w:hAnsiTheme="minorBidi"/>
          <w:rtl/>
        </w:rPr>
        <w:t xml:space="preserve"> ורא"ש </w:t>
      </w:r>
      <w:r w:rsidRPr="00845316">
        <w:rPr>
          <w:rFonts w:asciiTheme="minorBidi" w:hAnsiTheme="minorBidi"/>
          <w:sz w:val="16"/>
          <w:szCs w:val="16"/>
          <w:rtl/>
        </w:rPr>
        <w:t>(סי' כ)</w:t>
      </w:r>
      <w:r w:rsidRPr="00845316">
        <w:rPr>
          <w:rFonts w:asciiTheme="minorBidi" w:hAnsiTheme="minorBidi"/>
          <w:rtl/>
        </w:rPr>
        <w:t>.</w:t>
      </w:r>
    </w:p>
  </w:footnote>
  <w:footnote w:id="1913">
    <w:p w14:paraId="7A13B408" w14:textId="77777777" w:rsidR="0013116F" w:rsidRPr="00845316" w:rsidRDefault="0013116F" w:rsidP="004B607F">
      <w:pPr>
        <w:pStyle w:val="a9"/>
        <w:spacing w:after="60"/>
        <w:rPr>
          <w:rFonts w:asciiTheme="minorBidi" w:hAnsiTheme="minorBidi"/>
        </w:rPr>
      </w:pPr>
      <w:r w:rsidRPr="00845316">
        <w:rPr>
          <w:rStyle w:val="ab"/>
          <w:rFonts w:asciiTheme="minorBidi" w:hAnsiTheme="minorBidi"/>
        </w:rPr>
        <w:footnoteRef/>
      </w:r>
      <w:r w:rsidRPr="00845316">
        <w:rPr>
          <w:rFonts w:asciiTheme="minorBidi" w:hAnsiTheme="minorBidi"/>
          <w:rtl/>
        </w:rPr>
        <w:t xml:space="preserve"> ולא מצד זה שהוא בן גיסו אלא מצד זה שהוא לו בעל אחות אמו, ע"פ רש"י ותוס'.</w:t>
      </w:r>
    </w:p>
  </w:footnote>
  <w:footnote w:id="1914">
    <w:p w14:paraId="60EE8CEB" w14:textId="77777777" w:rsidR="0013116F" w:rsidRPr="00845316" w:rsidRDefault="0013116F" w:rsidP="004B607F">
      <w:pPr>
        <w:pStyle w:val="a9"/>
        <w:spacing w:after="60"/>
        <w:rPr>
          <w:rFonts w:asciiTheme="minorBidi" w:hAnsiTheme="minorBidi"/>
          <w:rtl/>
        </w:rPr>
      </w:pPr>
      <w:r w:rsidRPr="00845316">
        <w:rPr>
          <w:rStyle w:val="ab"/>
          <w:rFonts w:asciiTheme="minorBidi" w:hAnsiTheme="minorBidi"/>
        </w:rPr>
        <w:footnoteRef/>
      </w:r>
      <w:r w:rsidRPr="00845316">
        <w:rPr>
          <w:rFonts w:asciiTheme="minorBidi" w:hAnsiTheme="minorBidi"/>
          <w:rtl/>
        </w:rPr>
        <w:t xml:space="preserve"> וכ' הרא"ש </w:t>
      </w:r>
      <w:r w:rsidRPr="00845316">
        <w:rPr>
          <w:rFonts w:asciiTheme="minorBidi" w:hAnsiTheme="minorBidi"/>
          <w:sz w:val="14"/>
          <w:szCs w:val="14"/>
          <w:rtl/>
        </w:rPr>
        <w:t xml:space="preserve">(כלל נז סי' ג) </w:t>
      </w:r>
      <w:r w:rsidRPr="00845316">
        <w:rPr>
          <w:rFonts w:asciiTheme="minorBidi" w:hAnsiTheme="minorBidi"/>
          <w:rtl/>
        </w:rPr>
        <w:t>שההכרעה שהכריעו נגד הרי"ף היא הכרעה מוכרחת שאין להשיב עליה, וכן דנין כל חכמי אשכנז וצרפת.</w:t>
      </w:r>
    </w:p>
  </w:footnote>
  <w:footnote w:id="1915">
    <w:p w14:paraId="3AA0F082" w14:textId="77777777" w:rsidR="0013116F" w:rsidRPr="00845316" w:rsidRDefault="0013116F" w:rsidP="004B607F">
      <w:pPr>
        <w:pStyle w:val="a9"/>
        <w:spacing w:after="60"/>
        <w:rPr>
          <w:rFonts w:asciiTheme="minorBidi" w:hAnsiTheme="minorBidi"/>
        </w:rPr>
      </w:pPr>
      <w:r w:rsidRPr="00845316">
        <w:rPr>
          <w:rStyle w:val="ab"/>
          <w:rFonts w:asciiTheme="minorBidi" w:hAnsiTheme="minorBidi"/>
        </w:rPr>
        <w:footnoteRef/>
      </w:r>
      <w:r w:rsidRPr="00845316">
        <w:rPr>
          <w:rFonts w:asciiTheme="minorBidi" w:hAnsiTheme="minorBidi"/>
          <w:rtl/>
        </w:rPr>
        <w:t xml:space="preserve"> משום דיש לחוש לבית דין טועין שיסברו פסולין הן</w:t>
      </w:r>
      <w:r w:rsidRPr="00845316">
        <w:rPr>
          <w:rFonts w:asciiTheme="minorBidi" w:hAnsiTheme="minorBidi"/>
          <w:sz w:val="14"/>
          <w:szCs w:val="14"/>
          <w:rtl/>
        </w:rPr>
        <w:t xml:space="preserve"> </w:t>
      </w:r>
      <w:r w:rsidRPr="00845316">
        <w:rPr>
          <w:rFonts w:asciiTheme="minorBidi" w:hAnsiTheme="minorBidi"/>
          <w:sz w:val="16"/>
          <w:szCs w:val="16"/>
          <w:rtl/>
        </w:rPr>
        <w:t>(ויפסלו את השטר בחינם, סמ"ע)</w:t>
      </w:r>
      <w:r w:rsidRPr="00845316">
        <w:rPr>
          <w:rFonts w:asciiTheme="minorBidi" w:hAnsiTheme="minorBidi"/>
          <w:rtl/>
        </w:rPr>
        <w:t>, תרוה"ד (סי' רכו, הובא בדרכ"מ אות ד).</w:t>
      </w:r>
    </w:p>
  </w:footnote>
  <w:footnote w:id="1916">
    <w:p w14:paraId="4B377C99" w14:textId="77777777" w:rsidR="0013116F" w:rsidRPr="00845316" w:rsidRDefault="0013116F" w:rsidP="004B607F">
      <w:pPr>
        <w:pStyle w:val="a9"/>
        <w:spacing w:after="60"/>
        <w:rPr>
          <w:rFonts w:asciiTheme="minorBidi" w:hAnsiTheme="minorBidi"/>
          <w:rtl/>
        </w:rPr>
      </w:pPr>
      <w:r w:rsidRPr="00845316">
        <w:rPr>
          <w:rStyle w:val="ab"/>
          <w:rFonts w:asciiTheme="minorBidi" w:hAnsiTheme="minorBidi"/>
        </w:rPr>
        <w:footnoteRef/>
      </w:r>
      <w:r w:rsidRPr="00845316">
        <w:rPr>
          <w:rFonts w:asciiTheme="minorBidi" w:hAnsiTheme="minorBidi"/>
          <w:rtl/>
        </w:rPr>
        <w:t xml:space="preserve"> שמוזכר בתחילת המשנה.</w:t>
      </w:r>
    </w:p>
  </w:footnote>
  <w:footnote w:id="1917">
    <w:p w14:paraId="2AB3DD77" w14:textId="77777777" w:rsidR="0013116F" w:rsidRPr="00845316" w:rsidRDefault="0013116F" w:rsidP="004B607F">
      <w:pPr>
        <w:pStyle w:val="a9"/>
        <w:spacing w:after="60"/>
        <w:rPr>
          <w:rFonts w:asciiTheme="minorBidi" w:hAnsiTheme="minorBidi"/>
          <w:rtl/>
        </w:rPr>
      </w:pPr>
      <w:r w:rsidRPr="00845316">
        <w:rPr>
          <w:rStyle w:val="ab"/>
          <w:rFonts w:asciiTheme="minorBidi" w:hAnsiTheme="minorBidi"/>
        </w:rPr>
        <w:footnoteRef/>
      </w:r>
      <w:r w:rsidRPr="00845316">
        <w:rPr>
          <w:rFonts w:asciiTheme="minorBidi" w:hAnsiTheme="minorBidi"/>
          <w:rtl/>
        </w:rPr>
        <w:t xml:space="preserve"> בן שיש לבעל אמו מאשה אחרת, פסול לו, מפני שהוא אחי אחיו, רש"י.</w:t>
      </w:r>
    </w:p>
  </w:footnote>
  <w:footnote w:id="1918">
    <w:p w14:paraId="5143D693" w14:textId="77777777" w:rsidR="0013116F" w:rsidRPr="00845316" w:rsidRDefault="0013116F" w:rsidP="004B607F">
      <w:pPr>
        <w:pStyle w:val="a9"/>
        <w:spacing w:after="60"/>
        <w:rPr>
          <w:rFonts w:asciiTheme="minorBidi" w:hAnsiTheme="minorBidi"/>
          <w:rtl/>
        </w:rPr>
      </w:pPr>
      <w:r w:rsidRPr="00845316">
        <w:rPr>
          <w:rStyle w:val="ab"/>
          <w:rFonts w:asciiTheme="minorBidi" w:hAnsiTheme="minorBidi"/>
        </w:rPr>
        <w:footnoteRef/>
      </w:r>
      <w:r w:rsidRPr="00845316">
        <w:rPr>
          <w:rFonts w:asciiTheme="minorBidi" w:hAnsiTheme="minorBidi"/>
          <w:rtl/>
        </w:rPr>
        <w:t xml:space="preserve"> ז"א- איך אתה מתרץ את כפילות המשמעות "אחיו" במשנה. </w:t>
      </w:r>
    </w:p>
  </w:footnote>
  <w:footnote w:id="1919">
    <w:p w14:paraId="328BB605" w14:textId="77777777" w:rsidR="0013116F" w:rsidRPr="00845316" w:rsidRDefault="0013116F" w:rsidP="004B607F">
      <w:pPr>
        <w:pStyle w:val="a9"/>
        <w:spacing w:after="60"/>
        <w:rPr>
          <w:rFonts w:asciiTheme="minorBidi" w:hAnsiTheme="minorBidi"/>
        </w:rPr>
      </w:pPr>
      <w:r w:rsidRPr="00845316">
        <w:rPr>
          <w:rStyle w:val="ab"/>
          <w:rFonts w:asciiTheme="minorBidi" w:hAnsiTheme="minorBidi"/>
        </w:rPr>
        <w:footnoteRef/>
      </w:r>
      <w:r w:rsidRPr="00845316">
        <w:rPr>
          <w:rFonts w:asciiTheme="minorBidi" w:hAnsiTheme="minorBidi"/>
          <w:rtl/>
        </w:rPr>
        <w:t xml:space="preserve"> שנה בפעם הראשונה "אחיו" והכונה היא לאחיו מן האב.</w:t>
      </w:r>
    </w:p>
  </w:footnote>
  <w:footnote w:id="1920">
    <w:p w14:paraId="34D2B7E2" w14:textId="77777777" w:rsidR="0013116F" w:rsidRPr="00845316" w:rsidRDefault="0013116F" w:rsidP="004B607F">
      <w:pPr>
        <w:pStyle w:val="a9"/>
        <w:spacing w:after="60"/>
        <w:rPr>
          <w:rFonts w:asciiTheme="minorBidi" w:hAnsiTheme="minorBidi"/>
          <w:rtl/>
        </w:rPr>
      </w:pPr>
      <w:r w:rsidRPr="00845316">
        <w:rPr>
          <w:rStyle w:val="ab"/>
          <w:rFonts w:asciiTheme="minorBidi" w:hAnsiTheme="minorBidi"/>
        </w:rPr>
        <w:footnoteRef/>
      </w:r>
      <w:r w:rsidRPr="00845316">
        <w:rPr>
          <w:rFonts w:asciiTheme="minorBidi" w:hAnsiTheme="minorBidi"/>
          <w:rtl/>
        </w:rPr>
        <w:t xml:space="preserve"> וחזר ושנה אחיו מן האם, ובגלל ששניהם נצרכים ללמד על אחיו, נותר לנו להבין שאחי אחיו כשרים להעיד.</w:t>
      </w:r>
    </w:p>
  </w:footnote>
  <w:footnote w:id="1921">
    <w:p w14:paraId="12E51951" w14:textId="77777777" w:rsidR="0013116F" w:rsidRPr="00845316" w:rsidRDefault="0013116F" w:rsidP="004B607F">
      <w:pPr>
        <w:pStyle w:val="a9"/>
        <w:spacing w:after="60"/>
        <w:rPr>
          <w:rFonts w:asciiTheme="minorBidi" w:hAnsiTheme="minorBidi"/>
        </w:rPr>
      </w:pPr>
      <w:r w:rsidRPr="00845316">
        <w:rPr>
          <w:rStyle w:val="ab"/>
          <w:rFonts w:asciiTheme="minorBidi" w:hAnsiTheme="minorBidi"/>
        </w:rPr>
        <w:footnoteRef/>
      </w:r>
      <w:r w:rsidRPr="00845316">
        <w:rPr>
          <w:rFonts w:asciiTheme="minorBidi" w:hAnsiTheme="minorBidi"/>
          <w:rtl/>
        </w:rPr>
        <w:t xml:space="preserve"> בן ראובן שנשא בת שמעון לא נתקרבו ראובן ושמעון בכך - וכשרין להעיד זה לזה בכל עדיות, ולא אמרינן בשביל בנו שנתקרב ראובן לשמעון נפסל ראובן לשמעון, רש"י.</w:t>
      </w:r>
    </w:p>
  </w:footnote>
  <w:footnote w:id="1922">
    <w:p w14:paraId="7A090573" w14:textId="77777777" w:rsidR="0013116F" w:rsidRPr="00845316" w:rsidRDefault="0013116F" w:rsidP="004B607F">
      <w:pPr>
        <w:pStyle w:val="a9"/>
        <w:spacing w:after="60"/>
        <w:rPr>
          <w:rFonts w:asciiTheme="minorBidi" w:hAnsiTheme="minorBidi"/>
          <w:rtl/>
        </w:rPr>
      </w:pPr>
      <w:r w:rsidRPr="00845316">
        <w:rPr>
          <w:rStyle w:val="ab"/>
          <w:rFonts w:asciiTheme="minorBidi" w:hAnsiTheme="minorBidi"/>
        </w:rPr>
        <w:footnoteRef/>
      </w:r>
      <w:r w:rsidRPr="00845316">
        <w:rPr>
          <w:rFonts w:asciiTheme="minorBidi" w:hAnsiTheme="minorBidi"/>
          <w:rtl/>
        </w:rPr>
        <w:t xml:space="preserve"> ראובן ושמעון להדדי, רש"י.</w:t>
      </w:r>
    </w:p>
  </w:footnote>
  <w:footnote w:id="1923">
    <w:p w14:paraId="4723027D" w14:textId="77777777" w:rsidR="0013116F" w:rsidRPr="00845316" w:rsidRDefault="0013116F" w:rsidP="004B607F">
      <w:pPr>
        <w:pStyle w:val="a9"/>
        <w:spacing w:after="60"/>
        <w:rPr>
          <w:rFonts w:asciiTheme="minorBidi" w:hAnsiTheme="minorBidi"/>
          <w:rtl/>
        </w:rPr>
      </w:pPr>
      <w:r w:rsidRPr="00845316">
        <w:rPr>
          <w:rStyle w:val="ab"/>
          <w:rFonts w:asciiTheme="minorBidi" w:hAnsiTheme="minorBidi"/>
        </w:rPr>
        <w:footnoteRef/>
      </w:r>
      <w:r w:rsidRPr="00845316">
        <w:rPr>
          <w:rFonts w:asciiTheme="minorBidi" w:hAnsiTheme="minorBidi"/>
          <w:rtl/>
        </w:rPr>
        <w:t xml:space="preserve"> כמגופה שאינה דומה לחבית, רש"י.</w:t>
      </w:r>
    </w:p>
  </w:footnote>
  <w:footnote w:id="1924">
    <w:p w14:paraId="25235D0A" w14:textId="77777777" w:rsidR="0013116F" w:rsidRPr="00845316" w:rsidRDefault="0013116F" w:rsidP="004B607F">
      <w:pPr>
        <w:pStyle w:val="a9"/>
        <w:spacing w:after="60"/>
        <w:rPr>
          <w:rFonts w:asciiTheme="minorBidi" w:hAnsiTheme="minorBidi"/>
          <w:rtl/>
        </w:rPr>
      </w:pPr>
      <w:r w:rsidRPr="00845316">
        <w:rPr>
          <w:rStyle w:val="ab"/>
          <w:rFonts w:asciiTheme="minorBidi" w:hAnsiTheme="minorBidi"/>
        </w:rPr>
        <w:footnoteRef/>
      </w:r>
      <w:r w:rsidRPr="00845316">
        <w:rPr>
          <w:rFonts w:asciiTheme="minorBidi" w:hAnsiTheme="minorBidi"/>
          <w:rtl/>
        </w:rPr>
        <w:t xml:space="preserve"> נט ע"א, הובא בהגהות מרדכי סי' תשכא.</w:t>
      </w:r>
    </w:p>
  </w:footnote>
  <w:footnote w:id="1925">
    <w:p w14:paraId="58B50420" w14:textId="77777777" w:rsidR="0013116F" w:rsidRPr="00845316" w:rsidRDefault="0013116F" w:rsidP="004B607F">
      <w:pPr>
        <w:pStyle w:val="a9"/>
        <w:spacing w:after="60"/>
        <w:rPr>
          <w:rFonts w:asciiTheme="minorBidi" w:hAnsiTheme="minorBidi"/>
        </w:rPr>
      </w:pPr>
      <w:r w:rsidRPr="00845316">
        <w:rPr>
          <w:rStyle w:val="ab"/>
          <w:rFonts w:asciiTheme="minorBidi" w:hAnsiTheme="minorBidi"/>
        </w:rPr>
        <w:footnoteRef/>
      </w:r>
      <w:r w:rsidRPr="00845316">
        <w:rPr>
          <w:rFonts w:asciiTheme="minorBidi" w:hAnsiTheme="minorBidi"/>
          <w:rtl/>
        </w:rPr>
        <w:t xml:space="preserve"> וכ' הדרכ"מ </w:t>
      </w:r>
      <w:r w:rsidRPr="00845316">
        <w:rPr>
          <w:rFonts w:asciiTheme="minorBidi" w:hAnsiTheme="minorBidi"/>
          <w:sz w:val="16"/>
          <w:szCs w:val="16"/>
          <w:rtl/>
        </w:rPr>
        <w:t>(סי' ז סק"ד)</w:t>
      </w:r>
      <w:r w:rsidRPr="00845316">
        <w:rPr>
          <w:rFonts w:asciiTheme="minorBidi" w:hAnsiTheme="minorBidi"/>
          <w:rtl/>
        </w:rPr>
        <w:t xml:space="preserve"> וז"ל- ול"נ דאף בהעי"ט לא קאמר אלא דיש לפסלו לכתחלה, דלא גרע מאוהב ושונא דפסול דוקא לכתח' לדעת או"ז וכמשמעות המיימוני שהבאתי לעיל (דמה"א ס"ט) אבל בדיעבד כשר, וכדברי מהרי"ק, ועי' לקמן ס"ס ל"ג (דמה"א ס"א) מדין דיינים שקבלו עליהם בני העיר אם יכולין לדון אע"פ שהן פסולים. (עוד כתב מהרי"ק דאין בעל דין יכול לפוסלו בשביל שהוא אוהבו של חבירו שאינו אלא מדת חסידות), עכ"ל הדרכ"מ.</w:t>
      </w:r>
    </w:p>
  </w:footnote>
  <w:footnote w:id="1926">
    <w:p w14:paraId="336C2202" w14:textId="77777777" w:rsidR="0013116F" w:rsidRPr="00845316" w:rsidRDefault="0013116F" w:rsidP="004B607F">
      <w:pPr>
        <w:spacing w:after="60" w:line="240" w:lineRule="auto"/>
        <w:rPr>
          <w:rFonts w:asciiTheme="minorBidi" w:hAnsiTheme="minorBidi"/>
          <w:sz w:val="20"/>
          <w:szCs w:val="20"/>
          <w:rtl/>
        </w:rPr>
      </w:pPr>
      <w:r w:rsidRPr="00931171">
        <w:rPr>
          <w:rStyle w:val="ab"/>
          <w:rFonts w:asciiTheme="minorBidi" w:hAnsiTheme="minorBidi"/>
          <w:sz w:val="20"/>
          <w:szCs w:val="20"/>
        </w:rPr>
        <w:footnoteRef/>
      </w:r>
      <w:r w:rsidRPr="00931171">
        <w:rPr>
          <w:rFonts w:asciiTheme="minorBidi" w:hAnsiTheme="minorBidi"/>
          <w:sz w:val="20"/>
          <w:szCs w:val="20"/>
          <w:rtl/>
        </w:rPr>
        <w:t xml:space="preserve"> הביאו תלמיד</w:t>
      </w:r>
      <w:r w:rsidRPr="00845316">
        <w:rPr>
          <w:rFonts w:asciiTheme="minorBidi" w:hAnsiTheme="minorBidi"/>
          <w:sz w:val="20"/>
          <w:szCs w:val="20"/>
          <w:rtl/>
        </w:rPr>
        <w:t xml:space="preserve"> הרמ"א בהגהותיו על המרדכי, וכ' עליו- "ואין לסמוך עליו כי לא ראה דברי הגאון שכתב כאן שפסולים לדון זה את זה מדלא הביא דברי הגאון לסתרו". </w:t>
      </w:r>
      <w:r w:rsidRPr="00845316">
        <w:rPr>
          <w:rFonts w:asciiTheme="minorBidi" w:hAnsiTheme="minorBidi"/>
          <w:color w:val="FF0000"/>
          <w:sz w:val="20"/>
          <w:szCs w:val="20"/>
          <w:rtl/>
        </w:rPr>
        <w:t>ונראה שהרמ"א לא סובר כמותו שהרי מוכיח שכן דעת בהעי"ט בדיעבד.</w:t>
      </w:r>
    </w:p>
  </w:footnote>
  <w:footnote w:id="1927">
    <w:p w14:paraId="56616D28" w14:textId="77777777" w:rsidR="0013116F" w:rsidRPr="00845316" w:rsidRDefault="0013116F" w:rsidP="004B607F">
      <w:pPr>
        <w:pStyle w:val="a9"/>
        <w:spacing w:after="60"/>
        <w:rPr>
          <w:rFonts w:asciiTheme="minorBidi" w:hAnsiTheme="minorBidi"/>
        </w:rPr>
      </w:pPr>
      <w:r w:rsidRPr="00845316">
        <w:rPr>
          <w:rStyle w:val="ab"/>
          <w:rFonts w:asciiTheme="minorBidi" w:hAnsiTheme="minorBidi"/>
        </w:rPr>
        <w:footnoteRef/>
      </w:r>
      <w:r w:rsidRPr="00845316">
        <w:rPr>
          <w:rFonts w:asciiTheme="minorBidi" w:hAnsiTheme="minorBidi"/>
          <w:rtl/>
        </w:rPr>
        <w:t xml:space="preserve"> אף לאחר החתונה של בניהם, ט"ז (על הסעיף).</w:t>
      </w:r>
    </w:p>
  </w:footnote>
  <w:footnote w:id="1928">
    <w:p w14:paraId="72A58DD7" w14:textId="77777777" w:rsidR="0013116F" w:rsidRPr="00845316" w:rsidRDefault="0013116F" w:rsidP="004B607F">
      <w:pPr>
        <w:pStyle w:val="a9"/>
        <w:spacing w:after="60"/>
        <w:rPr>
          <w:rFonts w:asciiTheme="minorBidi" w:hAnsiTheme="minorBidi"/>
          <w:rtl/>
        </w:rPr>
      </w:pPr>
      <w:r w:rsidRPr="00845316">
        <w:rPr>
          <w:rStyle w:val="ab"/>
          <w:rFonts w:asciiTheme="minorBidi" w:hAnsiTheme="minorBidi"/>
        </w:rPr>
        <w:footnoteRef/>
      </w:r>
      <w:r w:rsidRPr="00845316">
        <w:rPr>
          <w:rFonts w:asciiTheme="minorBidi" w:hAnsiTheme="minorBidi"/>
          <w:rtl/>
        </w:rPr>
        <w:t xml:space="preserve"> בעל דינו.</w:t>
      </w:r>
    </w:p>
  </w:footnote>
  <w:footnote w:id="1929">
    <w:p w14:paraId="543F6A0A" w14:textId="77777777" w:rsidR="0013116F" w:rsidRPr="00845316" w:rsidRDefault="0013116F" w:rsidP="004B607F">
      <w:pPr>
        <w:pStyle w:val="a9"/>
        <w:spacing w:after="60"/>
        <w:rPr>
          <w:rFonts w:asciiTheme="minorBidi" w:hAnsiTheme="minorBidi"/>
          <w:color w:val="FF0000"/>
        </w:rPr>
      </w:pPr>
      <w:r w:rsidRPr="00845316">
        <w:rPr>
          <w:rStyle w:val="ab"/>
          <w:rFonts w:asciiTheme="minorBidi" w:hAnsiTheme="minorBidi"/>
        </w:rPr>
        <w:footnoteRef/>
      </w:r>
      <w:r w:rsidRPr="00845316">
        <w:rPr>
          <w:rFonts w:asciiTheme="minorBidi" w:hAnsiTheme="minorBidi"/>
          <w:rtl/>
        </w:rPr>
        <w:t xml:space="preserve"> והיינו משום דאינו אוהב ממש, סמ"ע </w:t>
      </w:r>
      <w:r w:rsidRPr="00845316">
        <w:rPr>
          <w:rFonts w:asciiTheme="minorBidi" w:hAnsiTheme="minorBidi"/>
          <w:sz w:val="14"/>
          <w:szCs w:val="14"/>
          <w:rtl/>
        </w:rPr>
        <w:t>(סקי"ג)</w:t>
      </w:r>
      <w:r w:rsidRPr="00845316">
        <w:rPr>
          <w:rFonts w:asciiTheme="minorBidi" w:hAnsiTheme="minorBidi"/>
          <w:rtl/>
        </w:rPr>
        <w:t xml:space="preserve">. </w:t>
      </w:r>
      <w:r w:rsidRPr="00845316">
        <w:rPr>
          <w:rFonts w:asciiTheme="minorBidi" w:hAnsiTheme="minorBidi"/>
          <w:color w:val="FF0000"/>
          <w:rtl/>
        </w:rPr>
        <w:t xml:space="preserve">וצל"ע </w:t>
      </w:r>
      <w:r>
        <w:rPr>
          <w:rFonts w:asciiTheme="minorBidi" w:hAnsiTheme="minorBidi" w:hint="cs"/>
          <w:color w:val="FF0000"/>
          <w:rtl/>
        </w:rPr>
        <w:t xml:space="preserve">מדוע כתב כן, </w:t>
      </w:r>
      <w:r w:rsidRPr="00845316">
        <w:rPr>
          <w:rFonts w:asciiTheme="minorBidi" w:hAnsiTheme="minorBidi"/>
          <w:color w:val="FF0000"/>
          <w:rtl/>
        </w:rPr>
        <w:t xml:space="preserve">שהרי הדרכ"מ </w:t>
      </w:r>
      <w:r w:rsidRPr="00845316">
        <w:rPr>
          <w:rFonts w:asciiTheme="minorBidi" w:hAnsiTheme="minorBidi"/>
          <w:color w:val="FF0000"/>
          <w:sz w:val="16"/>
          <w:szCs w:val="16"/>
          <w:rtl/>
        </w:rPr>
        <w:t xml:space="preserve">(סי' ז סק"ד) </w:t>
      </w:r>
      <w:r w:rsidRPr="00845316">
        <w:rPr>
          <w:rFonts w:asciiTheme="minorBidi" w:hAnsiTheme="minorBidi"/>
          <w:color w:val="FF0000"/>
          <w:rtl/>
        </w:rPr>
        <w:t>כ' שהטעם הוא משום דאוהב ושונא פסולים לדון לכתחילה אבל כשרים בדיעבד</w:t>
      </w:r>
      <w:r w:rsidRPr="00845316">
        <w:rPr>
          <w:rFonts w:asciiTheme="minorBidi" w:hAnsiTheme="minorBidi"/>
          <w:color w:val="FF0000"/>
          <w:sz w:val="16"/>
          <w:szCs w:val="16"/>
          <w:rtl/>
        </w:rPr>
        <w:t xml:space="preserve"> (לד' האו"ז)</w:t>
      </w:r>
      <w:r>
        <w:rPr>
          <w:rFonts w:asciiTheme="minorBidi" w:hAnsiTheme="minorBidi" w:hint="cs"/>
          <w:color w:val="FF0000"/>
          <w:rtl/>
        </w:rPr>
        <w:t>.</w:t>
      </w:r>
    </w:p>
  </w:footnote>
  <w:footnote w:id="1930">
    <w:p w14:paraId="1FD3E211" w14:textId="77777777" w:rsidR="0013116F" w:rsidRPr="00845316" w:rsidRDefault="0013116F" w:rsidP="004B607F">
      <w:pPr>
        <w:pStyle w:val="a9"/>
        <w:spacing w:after="60"/>
        <w:rPr>
          <w:rFonts w:asciiTheme="minorBidi" w:hAnsiTheme="minorBidi"/>
          <w:rtl/>
        </w:rPr>
      </w:pPr>
      <w:r w:rsidRPr="00845316">
        <w:rPr>
          <w:rStyle w:val="ab"/>
          <w:rFonts w:asciiTheme="minorBidi" w:hAnsiTheme="minorBidi"/>
        </w:rPr>
        <w:footnoteRef/>
      </w:r>
      <w:r w:rsidRPr="00845316">
        <w:rPr>
          <w:rFonts w:asciiTheme="minorBidi" w:hAnsiTheme="minorBidi"/>
          <w:rtl/>
        </w:rPr>
        <w:t xml:space="preserve"> שמוזכר בתחילת המשנה.</w:t>
      </w:r>
    </w:p>
  </w:footnote>
  <w:footnote w:id="1931">
    <w:p w14:paraId="1E947740" w14:textId="77777777" w:rsidR="0013116F" w:rsidRPr="00845316" w:rsidRDefault="0013116F" w:rsidP="004B607F">
      <w:pPr>
        <w:pStyle w:val="a9"/>
        <w:spacing w:after="60"/>
        <w:rPr>
          <w:rFonts w:asciiTheme="minorBidi" w:hAnsiTheme="minorBidi"/>
          <w:rtl/>
        </w:rPr>
      </w:pPr>
      <w:r w:rsidRPr="00845316">
        <w:rPr>
          <w:rStyle w:val="ab"/>
          <w:rFonts w:asciiTheme="minorBidi" w:hAnsiTheme="minorBidi"/>
        </w:rPr>
        <w:footnoteRef/>
      </w:r>
      <w:r w:rsidRPr="00845316">
        <w:rPr>
          <w:rFonts w:asciiTheme="minorBidi" w:hAnsiTheme="minorBidi"/>
          <w:rtl/>
        </w:rPr>
        <w:t xml:space="preserve"> בן שיש לבעל אמו מאשה אחרת, פסול לו, מפני שהוא אחי אחיו, רש"י.</w:t>
      </w:r>
    </w:p>
  </w:footnote>
  <w:footnote w:id="1932">
    <w:p w14:paraId="40AF9A42" w14:textId="77777777" w:rsidR="0013116F" w:rsidRPr="00845316" w:rsidRDefault="0013116F" w:rsidP="004B607F">
      <w:pPr>
        <w:pStyle w:val="a9"/>
        <w:spacing w:after="60"/>
        <w:rPr>
          <w:rFonts w:asciiTheme="minorBidi" w:hAnsiTheme="minorBidi"/>
          <w:rtl/>
        </w:rPr>
      </w:pPr>
      <w:r w:rsidRPr="00845316">
        <w:rPr>
          <w:rStyle w:val="ab"/>
          <w:rFonts w:asciiTheme="minorBidi" w:hAnsiTheme="minorBidi"/>
        </w:rPr>
        <w:footnoteRef/>
      </w:r>
      <w:r w:rsidRPr="00845316">
        <w:rPr>
          <w:rFonts w:asciiTheme="minorBidi" w:hAnsiTheme="minorBidi"/>
          <w:rtl/>
        </w:rPr>
        <w:t xml:space="preserve"> ז"א- איך אתה מתרץ את כפילות המשמעות "אחיו" במשנה. </w:t>
      </w:r>
    </w:p>
  </w:footnote>
  <w:footnote w:id="1933">
    <w:p w14:paraId="2BBD9ECF" w14:textId="77777777" w:rsidR="0013116F" w:rsidRPr="00845316" w:rsidRDefault="0013116F" w:rsidP="004B607F">
      <w:pPr>
        <w:pStyle w:val="a9"/>
        <w:spacing w:after="60"/>
        <w:rPr>
          <w:rFonts w:asciiTheme="minorBidi" w:hAnsiTheme="minorBidi"/>
        </w:rPr>
      </w:pPr>
      <w:r w:rsidRPr="00845316">
        <w:rPr>
          <w:rStyle w:val="ab"/>
          <w:rFonts w:asciiTheme="minorBidi" w:hAnsiTheme="minorBidi"/>
        </w:rPr>
        <w:footnoteRef/>
      </w:r>
      <w:r w:rsidRPr="00845316">
        <w:rPr>
          <w:rFonts w:asciiTheme="minorBidi" w:hAnsiTheme="minorBidi"/>
          <w:rtl/>
        </w:rPr>
        <w:t xml:space="preserve"> שנה בפעם הראשונה "אחיו" והכונה היא לאחיו מן האב.</w:t>
      </w:r>
    </w:p>
  </w:footnote>
  <w:footnote w:id="1934">
    <w:p w14:paraId="248233F5" w14:textId="77777777" w:rsidR="0013116F" w:rsidRPr="00845316" w:rsidRDefault="0013116F" w:rsidP="004B607F">
      <w:pPr>
        <w:pStyle w:val="a9"/>
        <w:spacing w:after="60"/>
        <w:rPr>
          <w:rFonts w:asciiTheme="minorBidi" w:hAnsiTheme="minorBidi"/>
          <w:rtl/>
        </w:rPr>
      </w:pPr>
      <w:r w:rsidRPr="00845316">
        <w:rPr>
          <w:rStyle w:val="ab"/>
          <w:rFonts w:asciiTheme="minorBidi" w:hAnsiTheme="minorBidi"/>
        </w:rPr>
        <w:footnoteRef/>
      </w:r>
      <w:r w:rsidRPr="00845316">
        <w:rPr>
          <w:rFonts w:asciiTheme="minorBidi" w:hAnsiTheme="minorBidi"/>
          <w:rtl/>
        </w:rPr>
        <w:t xml:space="preserve"> וחזר ושנה אחיו מן האם, ובגלל ששניהם נצרכים ללמוד על אחיו, נותר לנו להבין שאחי אחיו כשרים להעיד.</w:t>
      </w:r>
    </w:p>
  </w:footnote>
  <w:footnote w:id="1935">
    <w:p w14:paraId="320FFFCB" w14:textId="77777777" w:rsidR="0013116F" w:rsidRPr="00845316" w:rsidRDefault="0013116F" w:rsidP="004B607F">
      <w:pPr>
        <w:pStyle w:val="a9"/>
        <w:spacing w:after="60"/>
        <w:rPr>
          <w:rFonts w:asciiTheme="minorBidi" w:hAnsiTheme="minorBidi"/>
        </w:rPr>
      </w:pPr>
      <w:r w:rsidRPr="00845316">
        <w:rPr>
          <w:rStyle w:val="ab"/>
          <w:rFonts w:asciiTheme="minorBidi" w:hAnsiTheme="minorBidi"/>
        </w:rPr>
        <w:footnoteRef/>
      </w:r>
      <w:r w:rsidRPr="00845316">
        <w:rPr>
          <w:rFonts w:asciiTheme="minorBidi" w:hAnsiTheme="minorBidi"/>
          <w:rtl/>
        </w:rPr>
        <w:t xml:space="preserve"> כגון ראובן נשא רחל וילדה לו את ימין, והיה לו בן מאשה אחרת ושמו נמואל שהוא אחי ימין מן האב, ומת ראובן ונשאת רחל לשמעון וילדה לו את אוהד הוא אחי ימין מן האם, נמואל ואוהד כשרין זה לזה אע"פ שימין הוא אח לשניהם, טור (אות ל).</w:t>
      </w:r>
    </w:p>
  </w:footnote>
  <w:footnote w:id="1936">
    <w:p w14:paraId="2AD4D4A8" w14:textId="77777777" w:rsidR="0013116F" w:rsidRPr="00845316" w:rsidRDefault="0013116F" w:rsidP="004B607F">
      <w:pPr>
        <w:pStyle w:val="a9"/>
        <w:spacing w:after="60"/>
        <w:rPr>
          <w:rFonts w:asciiTheme="minorBidi" w:hAnsiTheme="minorBidi"/>
          <w:rtl/>
        </w:rPr>
      </w:pPr>
      <w:r w:rsidRPr="00845316">
        <w:rPr>
          <w:rStyle w:val="ab"/>
          <w:rFonts w:asciiTheme="minorBidi" w:hAnsiTheme="minorBidi"/>
        </w:rPr>
        <w:footnoteRef/>
      </w:r>
      <w:r w:rsidRPr="00845316">
        <w:rPr>
          <w:rFonts w:asciiTheme="minorBidi" w:hAnsiTheme="minorBidi"/>
          <w:rtl/>
        </w:rPr>
        <w:t xml:space="preserve"> בן אשתו, רש"י.</w:t>
      </w:r>
    </w:p>
  </w:footnote>
  <w:footnote w:id="1937">
    <w:p w14:paraId="41EEF691" w14:textId="77777777" w:rsidR="0013116F" w:rsidRPr="00845316" w:rsidRDefault="0013116F" w:rsidP="004B607F">
      <w:pPr>
        <w:pStyle w:val="a9"/>
        <w:spacing w:after="60"/>
        <w:rPr>
          <w:rFonts w:asciiTheme="minorBidi" w:hAnsiTheme="minorBidi"/>
          <w:rtl/>
        </w:rPr>
      </w:pPr>
      <w:r w:rsidRPr="00845316">
        <w:rPr>
          <w:rStyle w:val="ab"/>
          <w:rFonts w:asciiTheme="minorBidi" w:hAnsiTheme="minorBidi"/>
        </w:rPr>
        <w:footnoteRef/>
      </w:r>
      <w:r w:rsidRPr="00845316">
        <w:rPr>
          <w:rFonts w:asciiTheme="minorBidi" w:hAnsiTheme="minorBidi"/>
          <w:rtl/>
        </w:rPr>
        <w:t xml:space="preserve"> בכתבי יד תמניים של היד החזקה הנוסחא היא "כראשון", וכן ה</w:t>
      </w:r>
      <w:r>
        <w:rPr>
          <w:rFonts w:asciiTheme="minorBidi" w:hAnsiTheme="minorBidi" w:hint="cs"/>
          <w:rtl/>
        </w:rPr>
        <w:t>גירסא ב</w:t>
      </w:r>
      <w:r w:rsidRPr="00845316">
        <w:rPr>
          <w:rFonts w:asciiTheme="minorBidi" w:hAnsiTheme="minorBidi"/>
          <w:rtl/>
        </w:rPr>
        <w:t>מהדורת פרנקל (בכת"י) ומקבילי, אך בשאר המהדורות כתבו "ראשון", ונוסחא זו כנראה הייתה לפני הטור והב"י.</w:t>
      </w:r>
    </w:p>
  </w:footnote>
  <w:footnote w:id="1938">
    <w:p w14:paraId="0775E1BC" w14:textId="77777777" w:rsidR="0013116F" w:rsidRPr="00845316" w:rsidRDefault="0013116F" w:rsidP="004B607F">
      <w:pPr>
        <w:pStyle w:val="af4"/>
        <w:spacing w:after="60"/>
        <w:rPr>
          <w:rFonts w:asciiTheme="minorBidi" w:hAnsiTheme="minorBidi"/>
          <w:color w:val="FF0000"/>
          <w:sz w:val="20"/>
          <w:szCs w:val="20"/>
          <w:rtl/>
        </w:rPr>
      </w:pPr>
      <w:r w:rsidRPr="00FB1A6B">
        <w:rPr>
          <w:rStyle w:val="ab"/>
          <w:rFonts w:asciiTheme="minorBidi" w:hAnsiTheme="minorBidi"/>
          <w:sz w:val="20"/>
          <w:szCs w:val="20"/>
        </w:rPr>
        <w:footnoteRef/>
      </w:r>
      <w:r w:rsidRPr="00FB1A6B">
        <w:rPr>
          <w:rFonts w:asciiTheme="minorBidi" w:hAnsiTheme="minorBidi"/>
          <w:sz w:val="20"/>
          <w:szCs w:val="20"/>
          <w:rtl/>
        </w:rPr>
        <w:t xml:space="preserve">  סנהדרין</w:t>
      </w:r>
      <w:r w:rsidRPr="00845316">
        <w:rPr>
          <w:rFonts w:asciiTheme="minorBidi" w:hAnsiTheme="minorBidi"/>
          <w:sz w:val="20"/>
          <w:szCs w:val="20"/>
          <w:rtl/>
        </w:rPr>
        <w:t xml:space="preserve"> פ"ג מ"ד, וז"ל שם- "והעמד את האיש במקום אשתו ואשתו במקום בעלה לעניני העדות, למשל, האדם עם בעל אחותו ראשון בראשון לפי שהבעל כאשתו". וכ"כ ביד החזקה פי"ג מהל' עדות סע' ו' (וז"ל-"כגוף אחד")</w:t>
      </w:r>
      <w:r w:rsidRPr="00845316">
        <w:rPr>
          <w:rFonts w:asciiTheme="minorBidi" w:hAnsiTheme="minorBidi"/>
          <w:sz w:val="20"/>
          <w:szCs w:val="20"/>
          <w:rtl/>
        </w:rPr>
        <w:softHyphen/>
        <w:t>, ומש"כ שם בסע' י"ג "וכראשון בראשון" צריך לגרוס "כראשון" כמהדו' פרנקל (בכת"י) ומקבילי ואז משמע שאינו ראשון בראשון ממש אלא "כראשון בראשון".</w:t>
      </w:r>
    </w:p>
  </w:footnote>
  <w:footnote w:id="1939">
    <w:p w14:paraId="5061A098" w14:textId="77777777" w:rsidR="0013116F" w:rsidRPr="00845316" w:rsidRDefault="0013116F" w:rsidP="004B607F">
      <w:pPr>
        <w:pStyle w:val="a9"/>
        <w:spacing w:after="60"/>
        <w:rPr>
          <w:rFonts w:asciiTheme="minorBidi" w:hAnsiTheme="minorBidi"/>
          <w:rtl/>
        </w:rPr>
      </w:pPr>
      <w:r w:rsidRPr="00845316">
        <w:rPr>
          <w:rStyle w:val="ab"/>
          <w:rFonts w:asciiTheme="minorBidi" w:hAnsiTheme="minorBidi"/>
        </w:rPr>
        <w:footnoteRef/>
      </w:r>
      <w:r w:rsidRPr="00845316">
        <w:rPr>
          <w:rFonts w:asciiTheme="minorBidi" w:hAnsiTheme="minorBidi"/>
          <w:rtl/>
        </w:rPr>
        <w:t xml:space="preserve"> סנהדרין </w:t>
      </w:r>
      <w:r w:rsidRPr="00845316">
        <w:rPr>
          <w:rFonts w:asciiTheme="minorBidi" w:hAnsiTheme="minorBidi"/>
          <w:sz w:val="16"/>
          <w:szCs w:val="16"/>
          <w:rtl/>
        </w:rPr>
        <w:t xml:space="preserve">(כז:) </w:t>
      </w:r>
      <w:r w:rsidRPr="00845316">
        <w:rPr>
          <w:rFonts w:asciiTheme="minorBidi" w:hAnsiTheme="minorBidi"/>
          <w:rtl/>
        </w:rPr>
        <w:t>וז"ל- "ואע"פ שהבעל כאשתו לגמרי להיות ראשוניה ראשונים לו ושנייה שניים לו שמא לא נאמר אלא באחיה ואחותה שהם בזמן א' וגדלים כאחד אבל בנו של חורג ברוב הפעמים כבר נזדקן האישות ובטל חנו ואין קורבת הדעת מצויה שם".</w:t>
      </w:r>
    </w:p>
  </w:footnote>
  <w:footnote w:id="1940">
    <w:p w14:paraId="4C5AC301" w14:textId="77777777" w:rsidR="0013116F" w:rsidRPr="00845316" w:rsidRDefault="0013116F" w:rsidP="004B607F">
      <w:pPr>
        <w:pStyle w:val="a9"/>
        <w:spacing w:after="60"/>
        <w:rPr>
          <w:rFonts w:asciiTheme="minorBidi" w:hAnsiTheme="minorBidi"/>
          <w:rtl/>
        </w:rPr>
      </w:pPr>
      <w:r w:rsidRPr="00845316">
        <w:rPr>
          <w:rStyle w:val="ab"/>
          <w:rFonts w:asciiTheme="minorBidi" w:hAnsiTheme="minorBidi"/>
        </w:rPr>
        <w:footnoteRef/>
      </w:r>
      <w:r w:rsidRPr="00845316">
        <w:rPr>
          <w:rFonts w:asciiTheme="minorBidi" w:hAnsiTheme="minorBidi"/>
          <w:rtl/>
        </w:rPr>
        <w:t xml:space="preserve"> רמב"ם </w:t>
      </w:r>
      <w:r w:rsidRPr="00845316">
        <w:rPr>
          <w:rFonts w:asciiTheme="minorBidi" w:hAnsiTheme="minorBidi"/>
          <w:sz w:val="16"/>
          <w:szCs w:val="16"/>
          <w:rtl/>
        </w:rPr>
        <w:t xml:space="preserve">(סנהדרין פ"ג מ"ד) </w:t>
      </w:r>
      <w:r w:rsidRPr="00845316">
        <w:rPr>
          <w:rFonts w:asciiTheme="minorBidi" w:hAnsiTheme="minorBidi"/>
          <w:rtl/>
        </w:rPr>
        <w:t xml:space="preserve">מאירי </w:t>
      </w:r>
      <w:r w:rsidRPr="00845316">
        <w:rPr>
          <w:rFonts w:asciiTheme="minorBidi" w:hAnsiTheme="minorBidi"/>
          <w:sz w:val="16"/>
          <w:szCs w:val="16"/>
          <w:rtl/>
        </w:rPr>
        <w:t xml:space="preserve">(סנהדרין כז:) </w:t>
      </w:r>
      <w:r w:rsidRPr="00845316">
        <w:rPr>
          <w:rFonts w:asciiTheme="minorBidi" w:hAnsiTheme="minorBidi"/>
          <w:rtl/>
        </w:rPr>
        <w:t xml:space="preserve">ט"ז </w:t>
      </w:r>
      <w:r w:rsidRPr="00845316">
        <w:rPr>
          <w:rFonts w:asciiTheme="minorBidi" w:hAnsiTheme="minorBidi"/>
          <w:sz w:val="16"/>
          <w:szCs w:val="16"/>
          <w:rtl/>
        </w:rPr>
        <w:t xml:space="preserve">(ד"ה ולא לאביה) </w:t>
      </w:r>
      <w:r w:rsidRPr="00845316">
        <w:rPr>
          <w:rFonts w:asciiTheme="minorBidi" w:hAnsiTheme="minorBidi"/>
          <w:rtl/>
        </w:rPr>
        <w:t xml:space="preserve">רעק"א </w:t>
      </w:r>
      <w:r w:rsidRPr="00845316">
        <w:rPr>
          <w:rFonts w:asciiTheme="minorBidi" w:hAnsiTheme="minorBidi"/>
          <w:sz w:val="16"/>
          <w:szCs w:val="16"/>
          <w:rtl/>
        </w:rPr>
        <w:t xml:space="preserve">(בחידוש' על הסמ"ע [סקט"ו]) </w:t>
      </w:r>
      <w:r w:rsidRPr="00845316">
        <w:rPr>
          <w:rFonts w:asciiTheme="minorBidi" w:hAnsiTheme="minorBidi"/>
          <w:rtl/>
        </w:rPr>
        <w:t xml:space="preserve">אורים </w:t>
      </w:r>
      <w:r w:rsidRPr="00845316">
        <w:rPr>
          <w:rFonts w:asciiTheme="minorBidi" w:hAnsiTheme="minorBidi"/>
          <w:sz w:val="16"/>
          <w:szCs w:val="16"/>
          <w:rtl/>
        </w:rPr>
        <w:t xml:space="preserve">(סקי"ג) </w:t>
      </w:r>
      <w:r w:rsidRPr="00845316">
        <w:rPr>
          <w:rFonts w:asciiTheme="minorBidi" w:hAnsiTheme="minorBidi"/>
          <w:rtl/>
        </w:rPr>
        <w:t>ונתיבות</w:t>
      </w:r>
      <w:r w:rsidRPr="00845316">
        <w:rPr>
          <w:rFonts w:asciiTheme="minorBidi" w:hAnsiTheme="minorBidi"/>
          <w:sz w:val="16"/>
          <w:szCs w:val="16"/>
          <w:rtl/>
        </w:rPr>
        <w:t xml:space="preserve"> (סק"ח)</w:t>
      </w:r>
      <w:r w:rsidRPr="00845316">
        <w:rPr>
          <w:rFonts w:asciiTheme="minorBidi" w:hAnsiTheme="minorBidi"/>
          <w:rtl/>
        </w:rPr>
        <w:t>.</w:t>
      </w:r>
    </w:p>
  </w:footnote>
  <w:footnote w:id="1941">
    <w:p w14:paraId="50F7EAC2" w14:textId="77777777" w:rsidR="0013116F" w:rsidRPr="00845316" w:rsidRDefault="0013116F" w:rsidP="004B607F">
      <w:pPr>
        <w:pStyle w:val="a9"/>
        <w:spacing w:after="60"/>
        <w:rPr>
          <w:rFonts w:asciiTheme="minorBidi" w:hAnsiTheme="minorBidi"/>
        </w:rPr>
      </w:pPr>
      <w:r w:rsidRPr="00845316">
        <w:rPr>
          <w:rStyle w:val="ab"/>
          <w:rFonts w:asciiTheme="minorBidi" w:hAnsiTheme="minorBidi"/>
        </w:rPr>
        <w:footnoteRef/>
      </w:r>
      <w:r w:rsidRPr="00845316">
        <w:rPr>
          <w:rFonts w:asciiTheme="minorBidi" w:hAnsiTheme="minorBidi"/>
          <w:rtl/>
        </w:rPr>
        <w:t xml:space="preserve"> וכן נ"ל דעת השו"ע, חדא שכן סובר בפשיטות בב"י </w:t>
      </w:r>
      <w:r w:rsidRPr="00845316">
        <w:rPr>
          <w:rFonts w:asciiTheme="minorBidi" w:hAnsiTheme="minorBidi"/>
          <w:sz w:val="16"/>
          <w:szCs w:val="16"/>
          <w:rtl/>
        </w:rPr>
        <w:t>(עי' במה שכ' על דברי הטור באות כג שצריך לגרוס "אחי אבי חמיו כשר לו" ולא כמו הגירסא בטור "אבי חמיו כשר לו", ואם אשתו היא ראשון בראשון מדוע צריך להגיה?, וכעין זה כ' הדרכ"מ [אות ז])</w:t>
      </w:r>
      <w:r w:rsidRPr="00845316">
        <w:rPr>
          <w:rFonts w:asciiTheme="minorBidi" w:hAnsiTheme="minorBidi"/>
          <w:rtl/>
        </w:rPr>
        <w:t xml:space="preserve">, ועוד שבסע' ג כ' וז"ל- כל אשה שאתה פסול לה אתה פסול לבעלה שהבעל כאשתו, וכל בעל שאתה פסול לו כך אתה פסול לאשתו שהאשה כבעלה, ולדעת הפוסלים שלישי בראשון מכשירים באשתו מפני שהוא מופלג, עכ"ל. ואם נאמר שדעתו להחשיבם כראשון בראשון מדוע כ' כן והרי אם האשה/הבעל הם ראשון בשני אז היה לו להכשיר משום שעתה הבן זוג הוא שלישי בראשון, וכן מדוע </w:t>
      </w:r>
      <w:r w:rsidRPr="00845316">
        <w:rPr>
          <w:rFonts w:asciiTheme="minorBidi" w:hAnsiTheme="minorBidi"/>
          <w:sz w:val="16"/>
          <w:szCs w:val="16"/>
          <w:rtl/>
        </w:rPr>
        <w:t xml:space="preserve">(לדעת הפוסלים שלישי בראשון) </w:t>
      </w:r>
      <w:r w:rsidRPr="00845316">
        <w:rPr>
          <w:rFonts w:asciiTheme="minorBidi" w:hAnsiTheme="minorBidi"/>
          <w:rtl/>
        </w:rPr>
        <w:t xml:space="preserve">נתן טעם להכשר אשת שלישי בראשון מפני שהוא מופלג </w:t>
      </w:r>
      <w:r w:rsidRPr="00845316">
        <w:rPr>
          <w:rFonts w:asciiTheme="minorBidi" w:hAnsiTheme="minorBidi"/>
          <w:sz w:val="16"/>
          <w:szCs w:val="16"/>
          <w:rtl/>
        </w:rPr>
        <w:t>(כדברי הירושלמי)</w:t>
      </w:r>
      <w:r w:rsidRPr="00845316">
        <w:rPr>
          <w:rFonts w:asciiTheme="minorBidi" w:hAnsiTheme="minorBidi"/>
          <w:rtl/>
        </w:rPr>
        <w:t xml:space="preserve">, שיכתוב מפני שזה כבר רביעי בראשון שכשר לכו"ע, וכן מוכח מהרבה מקומות שמחשיבים את האשה כגוף הבעל ממש </w:t>
      </w:r>
      <w:r w:rsidRPr="00845316">
        <w:rPr>
          <w:rFonts w:asciiTheme="minorBidi" w:hAnsiTheme="minorBidi"/>
          <w:sz w:val="16"/>
          <w:szCs w:val="16"/>
          <w:rtl/>
        </w:rPr>
        <w:t>(עי' בשו"ע סע' ד שכ'- "ואף בראשון בשני אמרינן בהו תרי בעל כאשתו שכשם שהוא פסול להעיד לבן אחות אשתו...", מוכח דבן אחות אשתו הוא ראשון בשני וזה אפשר רק כשבעל ואשתו הם א' ממש)</w:t>
      </w:r>
      <w:r w:rsidRPr="00845316">
        <w:rPr>
          <w:rFonts w:asciiTheme="minorBidi" w:hAnsiTheme="minorBidi"/>
          <w:rtl/>
        </w:rPr>
        <w:t xml:space="preserve">.  </w:t>
      </w:r>
    </w:p>
  </w:footnote>
  <w:footnote w:id="1942">
    <w:p w14:paraId="51F5F5CF" w14:textId="77777777" w:rsidR="0013116F" w:rsidRPr="00845316" w:rsidRDefault="0013116F" w:rsidP="004B607F">
      <w:pPr>
        <w:pStyle w:val="a9"/>
        <w:spacing w:after="60"/>
        <w:rPr>
          <w:rFonts w:asciiTheme="minorBidi" w:hAnsiTheme="minorBidi"/>
          <w:rtl/>
        </w:rPr>
      </w:pPr>
      <w:r w:rsidRPr="00845316">
        <w:rPr>
          <w:rStyle w:val="ab"/>
          <w:rFonts w:asciiTheme="minorBidi" w:hAnsiTheme="minorBidi"/>
        </w:rPr>
        <w:footnoteRef/>
      </w:r>
      <w:r w:rsidRPr="00845316">
        <w:rPr>
          <w:rFonts w:asciiTheme="minorBidi" w:hAnsiTheme="minorBidi"/>
          <w:rtl/>
        </w:rPr>
        <w:t xml:space="preserve"> וטעמם משום דסברי שבעל ואשתו הרי הם ראשון בראשון, וא"כ הא דכ' הטור אות כ"ג- "אבל אבי חמיו כשר להעיד לו", הוא משום דהוא ראשון בשלישי ואתפלג דרא. וקס"ד דסתם הטור נגד הרא"ש ור"ת? אלא ודאי מודי בזה.</w:t>
      </w:r>
    </w:p>
  </w:footnote>
  <w:footnote w:id="1943">
    <w:p w14:paraId="63E3DE2A" w14:textId="77777777" w:rsidR="0013116F" w:rsidRPr="00845316" w:rsidRDefault="0013116F" w:rsidP="004B607F">
      <w:pPr>
        <w:pStyle w:val="a9"/>
        <w:spacing w:after="60"/>
        <w:rPr>
          <w:rFonts w:asciiTheme="minorBidi" w:hAnsiTheme="minorBidi"/>
          <w:rtl/>
        </w:rPr>
      </w:pPr>
      <w:r w:rsidRPr="00845316">
        <w:rPr>
          <w:rStyle w:val="ab"/>
          <w:rFonts w:asciiTheme="minorBidi" w:hAnsiTheme="minorBidi"/>
        </w:rPr>
        <w:footnoteRef/>
      </w:r>
      <w:r w:rsidRPr="00845316">
        <w:rPr>
          <w:rFonts w:asciiTheme="minorBidi" w:hAnsiTheme="minorBidi"/>
          <w:rtl/>
        </w:rPr>
        <w:t xml:space="preserve"> דבעל כאשתו אינו נמנין 'ראשון בראשון', ובטור נגיה כמו שהגיה הב"י </w:t>
      </w:r>
      <w:r w:rsidRPr="00845316">
        <w:rPr>
          <w:rFonts w:asciiTheme="minorBidi" w:hAnsiTheme="minorBidi"/>
          <w:sz w:val="16"/>
          <w:szCs w:val="16"/>
          <w:rtl/>
        </w:rPr>
        <w:t xml:space="preserve">(שם) </w:t>
      </w:r>
      <w:r w:rsidRPr="00845316">
        <w:rPr>
          <w:rFonts w:asciiTheme="minorBidi" w:hAnsiTheme="minorBidi"/>
          <w:rtl/>
        </w:rPr>
        <w:t xml:space="preserve">"אחי אבי חמיו", או כהדרכ"מ </w:t>
      </w:r>
      <w:r w:rsidRPr="00845316">
        <w:rPr>
          <w:rFonts w:asciiTheme="minorBidi" w:hAnsiTheme="minorBidi"/>
          <w:sz w:val="16"/>
          <w:szCs w:val="16"/>
          <w:rtl/>
        </w:rPr>
        <w:t xml:space="preserve">(אות ז) </w:t>
      </w:r>
      <w:r w:rsidRPr="00845316">
        <w:rPr>
          <w:rFonts w:asciiTheme="minorBidi" w:hAnsiTheme="minorBidi"/>
          <w:rtl/>
        </w:rPr>
        <w:t>"אבי אבי חמיו" (וכ' הדרכ"מ שאין נפקותא איך נגיה, העיקר שלא יהיה ראשון בשני).</w:t>
      </w:r>
    </w:p>
  </w:footnote>
  <w:footnote w:id="1944">
    <w:p w14:paraId="37CED48A" w14:textId="77777777" w:rsidR="0013116F" w:rsidRDefault="0013116F" w:rsidP="004B607F">
      <w:pPr>
        <w:pStyle w:val="a9"/>
      </w:pPr>
      <w:r>
        <w:rPr>
          <w:rStyle w:val="ab"/>
        </w:rPr>
        <w:footnoteRef/>
      </w:r>
      <w:r>
        <w:rPr>
          <w:rtl/>
        </w:rPr>
        <w:t xml:space="preserve"> </w:t>
      </w:r>
      <w:r>
        <w:rPr>
          <w:rFonts w:hint="cs"/>
          <w:rtl/>
        </w:rPr>
        <w:t xml:space="preserve">סימן </w:t>
      </w:r>
      <w:r>
        <w:rPr>
          <w:rtl/>
        </w:rPr>
        <w:t>–</w:t>
      </w:r>
      <w:r>
        <w:rPr>
          <w:rFonts w:hint="cs"/>
          <w:rtl/>
        </w:rPr>
        <w:t xml:space="preserve"> כת חיתון.</w:t>
      </w:r>
    </w:p>
  </w:footnote>
  <w:footnote w:id="1945">
    <w:p w14:paraId="14BC7F76" w14:textId="77777777" w:rsidR="0013116F" w:rsidRPr="00845316" w:rsidRDefault="0013116F" w:rsidP="004B607F">
      <w:pPr>
        <w:pStyle w:val="a9"/>
        <w:spacing w:after="60"/>
        <w:rPr>
          <w:rFonts w:asciiTheme="minorBidi" w:hAnsiTheme="minorBidi"/>
        </w:rPr>
      </w:pPr>
      <w:r w:rsidRPr="00845316">
        <w:rPr>
          <w:rStyle w:val="ab"/>
          <w:rFonts w:asciiTheme="minorBidi" w:hAnsiTheme="minorBidi"/>
        </w:rPr>
        <w:footnoteRef/>
      </w:r>
      <w:r w:rsidRPr="00845316">
        <w:rPr>
          <w:rFonts w:asciiTheme="minorBidi" w:hAnsiTheme="minorBidi"/>
          <w:rtl/>
        </w:rPr>
        <w:t xml:space="preserve"> לחוב לה ולזכות לבעל דינה, דקרוב לא הוי כל זמן שלא נשאה, ומיהו לעיולי לה לא מהימן, דאדעתא דידיה קעביד, רש"י.</w:t>
      </w:r>
    </w:p>
  </w:footnote>
  <w:footnote w:id="1946">
    <w:p w14:paraId="1E7296BB" w14:textId="77777777" w:rsidR="0013116F" w:rsidRPr="00845316" w:rsidRDefault="0013116F" w:rsidP="004B607F">
      <w:pPr>
        <w:pStyle w:val="a9"/>
        <w:spacing w:after="60"/>
        <w:rPr>
          <w:rFonts w:asciiTheme="minorBidi" w:hAnsiTheme="minorBidi"/>
        </w:rPr>
      </w:pPr>
      <w:r w:rsidRPr="00845316">
        <w:rPr>
          <w:rStyle w:val="ab"/>
          <w:rFonts w:asciiTheme="minorBidi" w:hAnsiTheme="minorBidi"/>
        </w:rPr>
        <w:footnoteRef/>
      </w:r>
      <w:r w:rsidRPr="00845316">
        <w:rPr>
          <w:rFonts w:asciiTheme="minorBidi" w:hAnsiTheme="minorBidi"/>
          <w:rtl/>
        </w:rPr>
        <w:t xml:space="preserve"> דלא חשבת ליה קרוב, רש"י.</w:t>
      </w:r>
    </w:p>
  </w:footnote>
  <w:footnote w:id="1947">
    <w:p w14:paraId="2D0D34A3" w14:textId="77777777" w:rsidR="0013116F" w:rsidRPr="00845316" w:rsidRDefault="0013116F" w:rsidP="004B607F">
      <w:pPr>
        <w:pStyle w:val="a9"/>
        <w:spacing w:after="60"/>
        <w:rPr>
          <w:rFonts w:asciiTheme="minorBidi" w:hAnsiTheme="minorBidi"/>
        </w:rPr>
      </w:pPr>
      <w:r w:rsidRPr="00845316">
        <w:rPr>
          <w:rStyle w:val="ab"/>
          <w:rFonts w:asciiTheme="minorBidi" w:hAnsiTheme="minorBidi"/>
        </w:rPr>
        <w:footnoteRef/>
      </w:r>
      <w:r w:rsidRPr="00845316">
        <w:rPr>
          <w:rFonts w:asciiTheme="minorBidi" w:hAnsiTheme="minorBidi"/>
          <w:rtl/>
        </w:rPr>
        <w:t xml:space="preserve"> בדכתב לה מן האירוסין מוקמינן לה (ב"מ יח.), ואהא דקתני לא מטמא לה קא סמכת ואמרת לאו קרוב הוא?, רש"י.</w:t>
      </w:r>
    </w:p>
  </w:footnote>
  <w:footnote w:id="1948">
    <w:p w14:paraId="6EA92D99" w14:textId="77777777" w:rsidR="0013116F" w:rsidRPr="00845316" w:rsidRDefault="0013116F" w:rsidP="004B607F">
      <w:pPr>
        <w:pStyle w:val="a9"/>
        <w:spacing w:after="60"/>
        <w:rPr>
          <w:rFonts w:asciiTheme="minorBidi" w:hAnsiTheme="minorBidi"/>
          <w:rtl/>
        </w:rPr>
      </w:pPr>
      <w:r w:rsidRPr="00845316">
        <w:rPr>
          <w:rStyle w:val="ab"/>
          <w:rFonts w:asciiTheme="minorBidi" w:hAnsiTheme="minorBidi"/>
        </w:rPr>
        <w:footnoteRef/>
      </w:r>
      <w:r w:rsidRPr="00845316">
        <w:rPr>
          <w:rFonts w:asciiTheme="minorBidi" w:hAnsiTheme="minorBidi"/>
          <w:rtl/>
        </w:rPr>
        <w:t xml:space="preserve"> גבי טומאה וירושה, רש"י.</w:t>
      </w:r>
    </w:p>
  </w:footnote>
  <w:footnote w:id="1949">
    <w:p w14:paraId="6B47455C" w14:textId="77777777" w:rsidR="0013116F" w:rsidRPr="00845316" w:rsidRDefault="0013116F" w:rsidP="004B607F">
      <w:pPr>
        <w:pStyle w:val="a9"/>
        <w:spacing w:after="60"/>
        <w:rPr>
          <w:rFonts w:asciiTheme="minorBidi" w:hAnsiTheme="minorBidi"/>
          <w:rtl/>
        </w:rPr>
      </w:pPr>
      <w:r w:rsidRPr="00845316">
        <w:rPr>
          <w:rStyle w:val="ab"/>
          <w:rFonts w:asciiTheme="minorBidi" w:hAnsiTheme="minorBidi"/>
        </w:rPr>
        <w:footnoteRef/>
      </w:r>
      <w:r w:rsidRPr="00845316">
        <w:rPr>
          <w:rFonts w:asciiTheme="minorBidi" w:hAnsiTheme="minorBidi"/>
          <w:rtl/>
        </w:rPr>
        <w:t xml:space="preserve"> כדכתיב (ויקרא כא) כי אם לשארו הקרוב, ואמר מר (יבמות כב, ב): שארו - זו אשתו, וכן בירושת הבעל לשארו הקרוב אליו ממשפחתו וירש אותה - מיכן שהבעל יורש את אשתו ביש נוחלין (בבא בתרא קט, ב) , רש"י.</w:t>
      </w:r>
    </w:p>
  </w:footnote>
  <w:footnote w:id="1950">
    <w:p w14:paraId="283CC126" w14:textId="77777777" w:rsidR="0013116F" w:rsidRPr="00845316" w:rsidRDefault="0013116F" w:rsidP="004B607F">
      <w:pPr>
        <w:pStyle w:val="a9"/>
        <w:spacing w:after="60"/>
        <w:rPr>
          <w:rFonts w:asciiTheme="minorBidi" w:hAnsiTheme="minorBidi"/>
        </w:rPr>
      </w:pPr>
      <w:r w:rsidRPr="00845316">
        <w:rPr>
          <w:rStyle w:val="ab"/>
          <w:rFonts w:asciiTheme="minorBidi" w:hAnsiTheme="minorBidi"/>
        </w:rPr>
        <w:footnoteRef/>
      </w:r>
      <w:r w:rsidRPr="00845316">
        <w:rPr>
          <w:rFonts w:asciiTheme="minorBidi" w:hAnsiTheme="minorBidi"/>
          <w:rtl/>
        </w:rPr>
        <w:t xml:space="preserve"> רי"ף </w:t>
      </w:r>
      <w:r w:rsidRPr="00845316">
        <w:rPr>
          <w:rFonts w:asciiTheme="minorBidi" w:hAnsiTheme="minorBidi"/>
          <w:sz w:val="16"/>
          <w:szCs w:val="16"/>
          <w:rtl/>
        </w:rPr>
        <w:t xml:space="preserve">(בתשו' סי' כט, הביאוהו העיטור </w:t>
      </w:r>
      <w:r w:rsidRPr="00845316">
        <w:rPr>
          <w:rFonts w:asciiTheme="minorBidi" w:hAnsiTheme="minorBidi"/>
          <w:sz w:val="14"/>
          <w:szCs w:val="14"/>
          <w:rtl/>
        </w:rPr>
        <w:t xml:space="preserve">[אות ק קבלת עדות נט.] </w:t>
      </w:r>
      <w:r w:rsidRPr="00845316">
        <w:rPr>
          <w:rFonts w:asciiTheme="minorBidi" w:hAnsiTheme="minorBidi"/>
          <w:sz w:val="16"/>
          <w:szCs w:val="16"/>
          <w:rtl/>
        </w:rPr>
        <w:t xml:space="preserve">והמרדכי </w:t>
      </w:r>
      <w:r w:rsidRPr="00845316">
        <w:rPr>
          <w:rFonts w:asciiTheme="minorBidi" w:hAnsiTheme="minorBidi"/>
          <w:sz w:val="14"/>
          <w:szCs w:val="14"/>
          <w:rtl/>
        </w:rPr>
        <w:t>[סנהדרין סי' תשכא]</w:t>
      </w:r>
      <w:r w:rsidRPr="00845316">
        <w:rPr>
          <w:rFonts w:asciiTheme="minorBidi" w:hAnsiTheme="minorBidi"/>
          <w:sz w:val="16"/>
          <w:szCs w:val="16"/>
          <w:rtl/>
        </w:rPr>
        <w:t>)</w:t>
      </w:r>
      <w:r w:rsidRPr="00845316">
        <w:rPr>
          <w:rFonts w:asciiTheme="minorBidi" w:hAnsiTheme="minorBidi"/>
          <w:rtl/>
        </w:rPr>
        <w:t xml:space="preserve"> ורמב"ם</w:t>
      </w:r>
      <w:r w:rsidRPr="00845316">
        <w:rPr>
          <w:rFonts w:asciiTheme="minorBidi" w:hAnsiTheme="minorBidi"/>
          <w:sz w:val="14"/>
          <w:szCs w:val="14"/>
          <w:rtl/>
        </w:rPr>
        <w:t xml:space="preserve"> </w:t>
      </w:r>
      <w:r w:rsidRPr="00845316">
        <w:rPr>
          <w:rFonts w:asciiTheme="minorBidi" w:hAnsiTheme="minorBidi"/>
          <w:sz w:val="16"/>
          <w:szCs w:val="16"/>
          <w:rtl/>
        </w:rPr>
        <w:t>(פי"ג הי"ד)</w:t>
      </w:r>
      <w:r w:rsidRPr="00845316">
        <w:rPr>
          <w:rFonts w:asciiTheme="minorBidi" w:hAnsiTheme="minorBidi"/>
          <w:rtl/>
        </w:rPr>
        <w:t>.</w:t>
      </w:r>
    </w:p>
  </w:footnote>
  <w:footnote w:id="1951">
    <w:p w14:paraId="3DCAA9D8" w14:textId="77777777" w:rsidR="0013116F" w:rsidRDefault="0013116F" w:rsidP="004B607F">
      <w:pPr>
        <w:pStyle w:val="a9"/>
      </w:pPr>
      <w:r>
        <w:rPr>
          <w:rStyle w:val="ab"/>
        </w:rPr>
        <w:footnoteRef/>
      </w:r>
      <w:r>
        <w:rPr>
          <w:rtl/>
        </w:rPr>
        <w:t xml:space="preserve"> </w:t>
      </w:r>
      <w:r>
        <w:rPr>
          <w:rFonts w:hint="cs"/>
          <w:rtl/>
        </w:rPr>
        <w:t xml:space="preserve">סימן </w:t>
      </w:r>
      <w:r>
        <w:rPr>
          <w:rtl/>
        </w:rPr>
        <w:t>–</w:t>
      </w:r>
      <w:r>
        <w:rPr>
          <w:rFonts w:hint="cs"/>
          <w:rtl/>
        </w:rPr>
        <w:t xml:space="preserve"> טרם נעשה קרובו.</w:t>
      </w:r>
    </w:p>
  </w:footnote>
  <w:footnote w:id="1952">
    <w:p w14:paraId="22E2918C" w14:textId="77777777" w:rsidR="0013116F" w:rsidRDefault="0013116F" w:rsidP="004B607F">
      <w:pPr>
        <w:pStyle w:val="a9"/>
      </w:pPr>
      <w:r>
        <w:rPr>
          <w:rStyle w:val="ab"/>
        </w:rPr>
        <w:footnoteRef/>
      </w:r>
      <w:r>
        <w:rPr>
          <w:rtl/>
        </w:rPr>
        <w:t xml:space="preserve"> </w:t>
      </w:r>
      <w:r>
        <w:rPr>
          <w:rFonts w:hint="cs"/>
          <w:rtl/>
        </w:rPr>
        <w:t xml:space="preserve">סימן - כת באים. וכן </w:t>
      </w:r>
      <w:r>
        <w:rPr>
          <w:rtl/>
        </w:rPr>
        <w:t>–</w:t>
      </w:r>
      <w:r>
        <w:rPr>
          <w:rFonts w:hint="cs"/>
          <w:rtl/>
        </w:rPr>
        <w:t xml:space="preserve"> כת בבלים.</w:t>
      </w:r>
    </w:p>
  </w:footnote>
  <w:footnote w:id="1953">
    <w:p w14:paraId="68F665AC" w14:textId="77777777" w:rsidR="0013116F" w:rsidRPr="00845316" w:rsidRDefault="0013116F" w:rsidP="004B607F">
      <w:pPr>
        <w:pStyle w:val="a9"/>
        <w:spacing w:after="60"/>
        <w:rPr>
          <w:rFonts w:asciiTheme="minorBidi" w:hAnsiTheme="minorBidi"/>
        </w:rPr>
      </w:pPr>
      <w:r w:rsidRPr="00845316">
        <w:rPr>
          <w:rStyle w:val="ab"/>
          <w:rFonts w:asciiTheme="minorBidi" w:hAnsiTheme="minorBidi"/>
        </w:rPr>
        <w:footnoteRef/>
      </w:r>
      <w:r w:rsidRPr="00845316">
        <w:rPr>
          <w:rFonts w:asciiTheme="minorBidi" w:hAnsiTheme="minorBidi"/>
          <w:rtl/>
        </w:rPr>
        <w:t xml:space="preserve"> לכתחלה, דקורבת אם בגרים קורבה היא, דהא ודאי אמו היא, רש"י. </w:t>
      </w:r>
      <w:r w:rsidRPr="00845316">
        <w:rPr>
          <w:rFonts w:asciiTheme="minorBidi" w:hAnsiTheme="minorBidi"/>
          <w:sz w:val="16"/>
          <w:szCs w:val="16"/>
          <w:rtl/>
        </w:rPr>
        <w:t>(ואע"ג דגר שנתגייר כקטן שנולד דמי- כדי שלא יגידו באנו מקדושה חמורה לקדושה קלה גזרי בהו רבנן שלא ישאו נשים שהם שאר בשר מצד אמו, אבל מצד אב לא גזרו דרחמנא אפקריה לזרעיה)</w:t>
      </w:r>
      <w:r w:rsidRPr="00845316">
        <w:rPr>
          <w:rFonts w:asciiTheme="minorBidi" w:hAnsiTheme="minorBidi"/>
          <w:rtl/>
        </w:rPr>
        <w:t xml:space="preserve"> </w:t>
      </w:r>
    </w:p>
  </w:footnote>
  <w:footnote w:id="1954">
    <w:p w14:paraId="4FA77211" w14:textId="77777777" w:rsidR="0013116F" w:rsidRPr="00845316" w:rsidRDefault="0013116F" w:rsidP="004B607F">
      <w:pPr>
        <w:pStyle w:val="a9"/>
        <w:spacing w:after="60"/>
        <w:rPr>
          <w:rFonts w:asciiTheme="minorBidi" w:hAnsiTheme="minorBidi"/>
          <w:rtl/>
        </w:rPr>
      </w:pPr>
      <w:r w:rsidRPr="00845316">
        <w:rPr>
          <w:rStyle w:val="ab"/>
          <w:rFonts w:asciiTheme="minorBidi" w:hAnsiTheme="minorBidi"/>
        </w:rPr>
        <w:footnoteRef/>
      </w:r>
      <w:r w:rsidRPr="00845316">
        <w:rPr>
          <w:rFonts w:asciiTheme="minorBidi" w:hAnsiTheme="minorBidi"/>
          <w:rtl/>
        </w:rPr>
        <w:t xml:space="preserve"> דכקטן שנולד דמי, רש"י.</w:t>
      </w:r>
    </w:p>
  </w:footnote>
  <w:footnote w:id="1955">
    <w:p w14:paraId="65CFD64F" w14:textId="77777777" w:rsidR="0013116F" w:rsidRPr="00845316" w:rsidRDefault="0013116F" w:rsidP="004B607F">
      <w:pPr>
        <w:pStyle w:val="a9"/>
        <w:spacing w:after="60"/>
        <w:rPr>
          <w:rFonts w:asciiTheme="minorBidi" w:hAnsiTheme="minorBidi"/>
        </w:rPr>
      </w:pPr>
      <w:r w:rsidRPr="00845316">
        <w:rPr>
          <w:rStyle w:val="ab"/>
          <w:rFonts w:asciiTheme="minorBidi" w:hAnsiTheme="minorBidi"/>
        </w:rPr>
        <w:footnoteRef/>
      </w:r>
      <w:r w:rsidRPr="00845316">
        <w:rPr>
          <w:rFonts w:asciiTheme="minorBidi" w:hAnsiTheme="minorBidi"/>
          <w:rtl/>
        </w:rPr>
        <w:t xml:space="preserve"> דרחמנא אפקריה לזרע מצרי דכתיב זרמת סוסים זרמתם (יחזקאל כג) הלכך קורבת אב אינה קורבה, רש"י.</w:t>
      </w:r>
    </w:p>
  </w:footnote>
  <w:footnote w:id="1956">
    <w:p w14:paraId="715D7042" w14:textId="77777777" w:rsidR="0013116F" w:rsidRPr="00845316" w:rsidRDefault="0013116F" w:rsidP="004B607F">
      <w:pPr>
        <w:pStyle w:val="a9"/>
        <w:spacing w:after="60"/>
        <w:rPr>
          <w:rFonts w:asciiTheme="minorBidi" w:hAnsiTheme="minorBidi"/>
        </w:rPr>
      </w:pPr>
      <w:r w:rsidRPr="00845316">
        <w:rPr>
          <w:rStyle w:val="ab"/>
          <w:rFonts w:asciiTheme="minorBidi" w:hAnsiTheme="minorBidi"/>
        </w:rPr>
        <w:footnoteRef/>
      </w:r>
      <w:r w:rsidRPr="00845316">
        <w:rPr>
          <w:rFonts w:asciiTheme="minorBidi" w:hAnsiTheme="minorBidi"/>
          <w:rtl/>
        </w:rPr>
        <w:t xml:space="preserve"> עדות מעריות, דאמר לקמן בפרק נושאין (יבמות צח) גר שהיה נשוי אחותו מן האם יוציא, רש"י.</w:t>
      </w:r>
    </w:p>
  </w:footnote>
  <w:footnote w:id="1957">
    <w:p w14:paraId="28A892D5" w14:textId="77777777" w:rsidR="0013116F" w:rsidRPr="00845316" w:rsidRDefault="0013116F" w:rsidP="004B607F">
      <w:pPr>
        <w:pStyle w:val="a9"/>
        <w:spacing w:after="60"/>
        <w:rPr>
          <w:rFonts w:asciiTheme="minorBidi" w:hAnsiTheme="minorBidi"/>
        </w:rPr>
      </w:pPr>
      <w:r w:rsidRPr="00845316">
        <w:rPr>
          <w:rStyle w:val="ab"/>
          <w:rFonts w:asciiTheme="minorBidi" w:hAnsiTheme="minorBidi"/>
        </w:rPr>
        <w:footnoteRef/>
      </w:r>
      <w:r w:rsidRPr="00845316">
        <w:rPr>
          <w:rFonts w:asciiTheme="minorBidi" w:hAnsiTheme="minorBidi"/>
          <w:rtl/>
        </w:rPr>
        <w:t xml:space="preserve"> הכל נושאין נשים הלכך אי שרית לקיומה אתי נמי למישרי ערוה בישראל דכו"ע לא ידעי דטעמא דגר משום דכקטן שנולד דמי, רש"י.</w:t>
      </w:r>
    </w:p>
  </w:footnote>
  <w:footnote w:id="1958">
    <w:p w14:paraId="6615BCC9" w14:textId="77777777" w:rsidR="0013116F" w:rsidRPr="00845316" w:rsidRDefault="0013116F" w:rsidP="004B607F">
      <w:pPr>
        <w:pStyle w:val="a9"/>
        <w:spacing w:after="60"/>
        <w:rPr>
          <w:rFonts w:asciiTheme="minorBidi" w:hAnsiTheme="minorBidi"/>
          <w:rtl/>
        </w:rPr>
      </w:pPr>
      <w:r w:rsidRPr="00845316">
        <w:rPr>
          <w:rStyle w:val="ab"/>
          <w:rFonts w:asciiTheme="minorBidi" w:hAnsiTheme="minorBidi"/>
        </w:rPr>
        <w:footnoteRef/>
      </w:r>
      <w:r w:rsidRPr="00845316">
        <w:rPr>
          <w:rFonts w:asciiTheme="minorBidi" w:hAnsiTheme="minorBidi"/>
          <w:rtl/>
        </w:rPr>
        <w:t xml:space="preserve"> ואי נמי מכשרת עדות אחים גרים לא אתיא לאכשורי אחין ישראל דבית דין ידעי דגר שנתגייר כקטן שנולד דמי, רש"י.</w:t>
      </w:r>
    </w:p>
  </w:footnote>
  <w:footnote w:id="1959">
    <w:p w14:paraId="6AF848D4" w14:textId="77777777" w:rsidR="0013116F" w:rsidRDefault="0013116F" w:rsidP="004B607F">
      <w:pPr>
        <w:pStyle w:val="a9"/>
      </w:pPr>
      <w:r>
        <w:rPr>
          <w:rStyle w:val="ab"/>
        </w:rPr>
        <w:footnoteRef/>
      </w:r>
      <w:r>
        <w:rPr>
          <w:rtl/>
        </w:rPr>
        <w:t xml:space="preserve"> </w:t>
      </w:r>
      <w:r>
        <w:rPr>
          <w:rFonts w:hint="cs"/>
          <w:rtl/>
        </w:rPr>
        <w:t xml:space="preserve">סימן </w:t>
      </w:r>
      <w:r>
        <w:rPr>
          <w:rtl/>
        </w:rPr>
        <w:t>–</w:t>
      </w:r>
      <w:r>
        <w:rPr>
          <w:rFonts w:hint="cs"/>
          <w:rtl/>
        </w:rPr>
        <w:t xml:space="preserve"> צאצאי זרים.</w:t>
      </w:r>
    </w:p>
  </w:footnote>
  <w:footnote w:id="1960">
    <w:p w14:paraId="520ED6BD" w14:textId="77777777" w:rsidR="0013116F" w:rsidRPr="00845316" w:rsidRDefault="0013116F" w:rsidP="004B607F">
      <w:pPr>
        <w:pStyle w:val="a9"/>
        <w:spacing w:after="60"/>
        <w:rPr>
          <w:rFonts w:asciiTheme="minorBidi" w:hAnsiTheme="minorBidi"/>
        </w:rPr>
      </w:pPr>
      <w:r w:rsidRPr="00845316">
        <w:rPr>
          <w:rStyle w:val="ab"/>
          <w:rFonts w:asciiTheme="minorBidi" w:hAnsiTheme="minorBidi"/>
        </w:rPr>
        <w:footnoteRef/>
      </w:r>
      <w:r w:rsidRPr="00845316">
        <w:rPr>
          <w:rFonts w:asciiTheme="minorBidi" w:hAnsiTheme="minorBidi"/>
          <w:rtl/>
        </w:rPr>
        <w:t xml:space="preserve"> ואפילו היכא דליכא למימר כקטן שנולד דמי כגון הורתו שלא בקדושה ולידתו בקדושה דיש לו שאר מן האם כשאר ישראל גמור ואין לו שאר מן האב, רש"י.</w:t>
      </w:r>
    </w:p>
  </w:footnote>
  <w:footnote w:id="1961">
    <w:p w14:paraId="1E50F5E4" w14:textId="77777777" w:rsidR="0013116F" w:rsidRPr="00845316" w:rsidRDefault="0013116F" w:rsidP="004B607F">
      <w:pPr>
        <w:pStyle w:val="a9"/>
        <w:spacing w:after="60"/>
        <w:rPr>
          <w:rFonts w:asciiTheme="minorBidi" w:hAnsiTheme="minorBidi"/>
        </w:rPr>
      </w:pPr>
      <w:r w:rsidRPr="00845316">
        <w:rPr>
          <w:rStyle w:val="ab"/>
          <w:rFonts w:asciiTheme="minorBidi" w:hAnsiTheme="minorBidi"/>
        </w:rPr>
        <w:footnoteRef/>
      </w:r>
      <w:r w:rsidRPr="00845316">
        <w:rPr>
          <w:rFonts w:asciiTheme="minorBidi" w:hAnsiTheme="minorBidi"/>
          <w:rtl/>
        </w:rPr>
        <w:t xml:space="preserve"> אבוה מנו אבל היכא דידיע כגון היו אביו ואמו חבושים בבית האסורים דלא נבעלה לאחר חיישינן ואי נולד בקדושה דליכא למימר כקטן שנולד ליהוי ליה נמי שאר אב דהא ודאי אבוה הוא, רש"י.</w:t>
      </w:r>
      <w:r w:rsidRPr="00845316">
        <w:rPr>
          <w:rFonts w:asciiTheme="minorBidi" w:hAnsiTheme="minorBidi"/>
          <w:rtl/>
        </w:rPr>
        <w:tab/>
      </w:r>
    </w:p>
  </w:footnote>
  <w:footnote w:id="1962">
    <w:p w14:paraId="22F5EE84" w14:textId="77777777" w:rsidR="0013116F" w:rsidRPr="00845316" w:rsidRDefault="0013116F" w:rsidP="004B607F">
      <w:pPr>
        <w:pStyle w:val="a9"/>
        <w:spacing w:after="60"/>
        <w:rPr>
          <w:rFonts w:asciiTheme="minorBidi" w:hAnsiTheme="minorBidi"/>
          <w:rtl/>
        </w:rPr>
      </w:pPr>
      <w:r w:rsidRPr="00845316">
        <w:rPr>
          <w:rStyle w:val="ab"/>
          <w:rFonts w:asciiTheme="minorBidi" w:hAnsiTheme="minorBidi"/>
        </w:rPr>
        <w:footnoteRef/>
      </w:r>
      <w:r w:rsidRPr="00845316">
        <w:rPr>
          <w:rFonts w:asciiTheme="minorBidi" w:hAnsiTheme="minorBidi"/>
          <w:rtl/>
        </w:rPr>
        <w:t xml:space="preserve"> ומסיפא יליף טעמא, דאי מרישא לא מצי למילף, דאפילו שאר האם אין לו, דטעמא לאו משום דזרמת סוסים הוא אלא משום דכקטן שנולד דמי, רש"י.</w:t>
      </w:r>
    </w:p>
  </w:footnote>
  <w:footnote w:id="1963">
    <w:p w14:paraId="4FCC0AC1" w14:textId="77777777" w:rsidR="0013116F" w:rsidRPr="00845316" w:rsidRDefault="0013116F" w:rsidP="004B607F">
      <w:pPr>
        <w:pStyle w:val="a9"/>
        <w:spacing w:after="60"/>
        <w:rPr>
          <w:rFonts w:asciiTheme="minorBidi" w:hAnsiTheme="minorBidi"/>
          <w:rtl/>
        </w:rPr>
      </w:pPr>
      <w:r w:rsidRPr="00845316">
        <w:rPr>
          <w:rStyle w:val="ab"/>
          <w:rFonts w:asciiTheme="minorBidi" w:hAnsiTheme="minorBidi"/>
        </w:rPr>
        <w:footnoteRef/>
      </w:r>
      <w:r w:rsidRPr="00845316">
        <w:rPr>
          <w:rFonts w:asciiTheme="minorBidi" w:hAnsiTheme="minorBidi"/>
          <w:rtl/>
        </w:rPr>
        <w:t xml:space="preserve"> וכן שני אחים אחד הורתו ולידתו שלא בקדושה והשני הורתו ולידתו בקדושה- מעידין זה לזה, ב"י. וכ"כ סמ"ע (סקי"ט).</w:t>
      </w:r>
    </w:p>
  </w:footnote>
  <w:footnote w:id="1964">
    <w:p w14:paraId="61C56EEB" w14:textId="77777777" w:rsidR="0013116F" w:rsidRPr="00845316" w:rsidRDefault="0013116F" w:rsidP="004B607F">
      <w:pPr>
        <w:pStyle w:val="a9"/>
        <w:spacing w:after="60"/>
        <w:rPr>
          <w:rFonts w:asciiTheme="minorBidi" w:hAnsiTheme="minorBidi"/>
        </w:rPr>
      </w:pPr>
      <w:r w:rsidRPr="00845316">
        <w:rPr>
          <w:rStyle w:val="ab"/>
          <w:rFonts w:asciiTheme="minorBidi" w:hAnsiTheme="minorBidi"/>
        </w:rPr>
        <w:footnoteRef/>
      </w:r>
      <w:r w:rsidRPr="00845316">
        <w:rPr>
          <w:rFonts w:asciiTheme="minorBidi" w:hAnsiTheme="minorBidi"/>
          <w:rtl/>
        </w:rPr>
        <w:t xml:space="preserve"> נ"ל ע"פ דברי הב"י דה"ה לאחים גרים שהורת אחד מהם שלא בקדושה ולידתו בקדושה והשני הורתו ולידתו בקדושה.</w:t>
      </w:r>
    </w:p>
  </w:footnote>
  <w:footnote w:id="1965">
    <w:p w14:paraId="6E3D2148" w14:textId="77777777" w:rsidR="0013116F" w:rsidRPr="00845316" w:rsidRDefault="0013116F" w:rsidP="004B607F">
      <w:pPr>
        <w:pStyle w:val="a9"/>
        <w:spacing w:after="60"/>
        <w:rPr>
          <w:rFonts w:asciiTheme="minorBidi" w:hAnsiTheme="minorBidi"/>
        </w:rPr>
      </w:pPr>
      <w:r w:rsidRPr="00845316">
        <w:rPr>
          <w:rStyle w:val="ab"/>
          <w:rFonts w:asciiTheme="minorBidi" w:hAnsiTheme="minorBidi"/>
        </w:rPr>
        <w:footnoteRef/>
      </w:r>
      <w:r w:rsidRPr="00845316">
        <w:rPr>
          <w:rFonts w:asciiTheme="minorBidi" w:hAnsiTheme="minorBidi"/>
          <w:rtl/>
        </w:rPr>
        <w:t xml:space="preserve"> אחרי שציטט (בדרכ"מ הארוך) את דברי הב"י כ' וז"ל- ובפירוש רבינו שמשון סוף מסכת שביעית (מ"ט) מוכח בהדיא דלשון נתגיירו לא משמע אלא בגר שהיתה לידתו שלא בקדושה.</w:t>
      </w:r>
    </w:p>
  </w:footnote>
  <w:footnote w:id="1966">
    <w:p w14:paraId="3A32C749" w14:textId="77777777" w:rsidR="0013116F" w:rsidRPr="00845316" w:rsidRDefault="0013116F" w:rsidP="004B607F">
      <w:pPr>
        <w:pStyle w:val="a9"/>
        <w:spacing w:after="60"/>
        <w:rPr>
          <w:rFonts w:asciiTheme="minorBidi" w:hAnsiTheme="minorBidi"/>
          <w:rtl/>
        </w:rPr>
      </w:pPr>
      <w:r w:rsidRPr="00845316">
        <w:rPr>
          <w:rStyle w:val="ab"/>
          <w:rFonts w:asciiTheme="minorBidi" w:hAnsiTheme="minorBidi"/>
        </w:rPr>
        <w:footnoteRef/>
      </w:r>
      <w:r w:rsidRPr="00845316">
        <w:rPr>
          <w:rFonts w:asciiTheme="minorBidi" w:hAnsiTheme="minorBidi"/>
          <w:rtl/>
        </w:rPr>
        <w:t xml:space="preserve"> דרכ"מ</w:t>
      </w:r>
      <w:r w:rsidRPr="00845316">
        <w:rPr>
          <w:rFonts w:asciiTheme="minorBidi" w:hAnsiTheme="minorBidi"/>
          <w:sz w:val="16"/>
          <w:szCs w:val="16"/>
          <w:rtl/>
        </w:rPr>
        <w:t xml:space="preserve"> (אות ח)</w:t>
      </w:r>
      <w:r w:rsidRPr="00845316">
        <w:rPr>
          <w:rFonts w:asciiTheme="minorBidi" w:hAnsiTheme="minorBidi"/>
          <w:rtl/>
        </w:rPr>
        <w:t xml:space="preserve"> מהרש"ק </w:t>
      </w:r>
      <w:r w:rsidRPr="00845316">
        <w:rPr>
          <w:rFonts w:asciiTheme="minorBidi" w:hAnsiTheme="minorBidi"/>
          <w:sz w:val="16"/>
          <w:szCs w:val="16"/>
          <w:rtl/>
        </w:rPr>
        <w:t>(בט"ז על הסעיף)</w:t>
      </w:r>
      <w:r w:rsidRPr="00845316">
        <w:rPr>
          <w:rFonts w:asciiTheme="minorBidi" w:hAnsiTheme="minorBidi"/>
          <w:rtl/>
        </w:rPr>
        <w:t xml:space="preserve"> וש"ך</w:t>
      </w:r>
      <w:r w:rsidRPr="00845316">
        <w:rPr>
          <w:rFonts w:asciiTheme="minorBidi" w:hAnsiTheme="minorBidi"/>
          <w:sz w:val="16"/>
          <w:szCs w:val="16"/>
          <w:rtl/>
        </w:rPr>
        <w:t xml:space="preserve"> (סקי"א)</w:t>
      </w:r>
      <w:r w:rsidRPr="00845316">
        <w:rPr>
          <w:rFonts w:asciiTheme="minorBidi" w:hAnsiTheme="minorBidi"/>
          <w:rtl/>
        </w:rPr>
        <w:t>.</w:t>
      </w:r>
    </w:p>
  </w:footnote>
  <w:footnote w:id="1967">
    <w:p w14:paraId="4914065F" w14:textId="77777777" w:rsidR="0013116F" w:rsidRPr="00845316" w:rsidRDefault="0013116F" w:rsidP="004B607F">
      <w:pPr>
        <w:pStyle w:val="a9"/>
        <w:spacing w:after="60"/>
        <w:rPr>
          <w:rFonts w:asciiTheme="minorBidi" w:hAnsiTheme="minorBidi"/>
          <w:rtl/>
        </w:rPr>
      </w:pPr>
      <w:r w:rsidRPr="00845316">
        <w:rPr>
          <w:rStyle w:val="ab"/>
          <w:rFonts w:asciiTheme="minorBidi" w:hAnsiTheme="minorBidi"/>
        </w:rPr>
        <w:footnoteRef/>
      </w:r>
      <w:r w:rsidRPr="00845316">
        <w:rPr>
          <w:rFonts w:asciiTheme="minorBidi" w:hAnsiTheme="minorBidi"/>
          <w:rtl/>
        </w:rPr>
        <w:t xml:space="preserve"> וז"ל הגמ'- "היתה הורתן שלא בקדושה ולידתן בקדושה </w:t>
      </w:r>
      <w:r w:rsidRPr="00845316">
        <w:rPr>
          <w:rFonts w:asciiTheme="minorBidi" w:hAnsiTheme="minorBidi"/>
          <w:u w:val="single"/>
          <w:rtl/>
        </w:rPr>
        <w:t>חייבין כרת משום אשת אח</w:t>
      </w:r>
      <w:r w:rsidRPr="00845316">
        <w:rPr>
          <w:rFonts w:asciiTheme="minorBidi" w:hAnsiTheme="minorBidi"/>
          <w:rtl/>
        </w:rPr>
        <w:t>"</w:t>
      </w:r>
      <w:r>
        <w:rPr>
          <w:rFonts w:asciiTheme="minorBidi" w:hAnsiTheme="minorBidi" w:hint="cs"/>
          <w:rtl/>
        </w:rPr>
        <w:t>.</w:t>
      </w:r>
      <w:r w:rsidRPr="00845316">
        <w:rPr>
          <w:rFonts w:asciiTheme="minorBidi" w:hAnsiTheme="minorBidi"/>
          <w:rtl/>
        </w:rPr>
        <w:t xml:space="preserve"> והרי"ף </w:t>
      </w:r>
      <w:r w:rsidRPr="00845316">
        <w:rPr>
          <w:rFonts w:asciiTheme="minorBidi" w:hAnsiTheme="minorBidi"/>
          <w:sz w:val="16"/>
          <w:szCs w:val="16"/>
          <w:rtl/>
        </w:rPr>
        <w:t xml:space="preserve">(לב ע"א) </w:t>
      </w:r>
      <w:r w:rsidRPr="00845316">
        <w:rPr>
          <w:rFonts w:asciiTheme="minorBidi" w:hAnsiTheme="minorBidi"/>
          <w:rtl/>
        </w:rPr>
        <w:t xml:space="preserve">והרא"ש שם </w:t>
      </w:r>
      <w:r w:rsidRPr="00845316">
        <w:rPr>
          <w:rFonts w:asciiTheme="minorBidi" w:hAnsiTheme="minorBidi"/>
          <w:sz w:val="16"/>
          <w:szCs w:val="16"/>
          <w:rtl/>
        </w:rPr>
        <w:t xml:space="preserve">(פי"א סי' ב') </w:t>
      </w:r>
      <w:r w:rsidRPr="00845316">
        <w:rPr>
          <w:rFonts w:asciiTheme="minorBidi" w:hAnsiTheme="minorBidi"/>
          <w:rtl/>
        </w:rPr>
        <w:t xml:space="preserve">כתבוה, וכ"כ הרמב"ם </w:t>
      </w:r>
      <w:r w:rsidRPr="00845316">
        <w:rPr>
          <w:rFonts w:asciiTheme="minorBidi" w:hAnsiTheme="minorBidi"/>
          <w:sz w:val="16"/>
          <w:szCs w:val="16"/>
          <w:rtl/>
        </w:rPr>
        <w:t>(פי"ד הי"ד מהל' אי"ב)</w:t>
      </w:r>
      <w:r w:rsidRPr="00845316">
        <w:rPr>
          <w:rFonts w:asciiTheme="minorBidi" w:hAnsiTheme="minorBidi"/>
          <w:rtl/>
        </w:rPr>
        <w:t xml:space="preserve">, והוא פשוט ומוסכם מכל הפוסקים וכמו שנתבאר ביו"ד </w:t>
      </w:r>
      <w:r w:rsidRPr="00845316">
        <w:rPr>
          <w:rFonts w:asciiTheme="minorBidi" w:hAnsiTheme="minorBidi"/>
          <w:sz w:val="16"/>
          <w:szCs w:val="16"/>
          <w:rtl/>
        </w:rPr>
        <w:t>(סי' רסט סע' ד)</w:t>
      </w:r>
      <w:r w:rsidRPr="00845316">
        <w:rPr>
          <w:rFonts w:asciiTheme="minorBidi" w:hAnsiTheme="minorBidi"/>
          <w:rtl/>
        </w:rPr>
        <w:t>, א"כ פשיטא דפסולים להעיד כיון דפסולים מדאו'. ומאי דאמרינן ביבמות</w:t>
      </w:r>
      <w:r w:rsidRPr="00845316">
        <w:rPr>
          <w:rFonts w:asciiTheme="minorBidi" w:hAnsiTheme="minorBidi"/>
          <w:sz w:val="14"/>
          <w:szCs w:val="14"/>
          <w:rtl/>
        </w:rPr>
        <w:t xml:space="preserve"> (כב.) </w:t>
      </w:r>
      <w:r w:rsidRPr="00845316">
        <w:rPr>
          <w:rFonts w:asciiTheme="minorBidi" w:hAnsiTheme="minorBidi"/>
          <w:rtl/>
        </w:rPr>
        <w:t>"עדות לבית דין מסורה"- היינו בפסולי דרבנן, וזה ברור, ש"ך.</w:t>
      </w:r>
    </w:p>
  </w:footnote>
  <w:footnote w:id="1968">
    <w:p w14:paraId="204555F6" w14:textId="77777777" w:rsidR="0013116F" w:rsidRPr="00845316" w:rsidRDefault="0013116F" w:rsidP="004B607F">
      <w:pPr>
        <w:pStyle w:val="a9"/>
        <w:spacing w:after="60"/>
        <w:rPr>
          <w:rFonts w:asciiTheme="minorBidi" w:hAnsiTheme="minorBidi"/>
        </w:rPr>
      </w:pPr>
      <w:r w:rsidRPr="00845316">
        <w:rPr>
          <w:rStyle w:val="ab"/>
          <w:rFonts w:asciiTheme="minorBidi" w:hAnsiTheme="minorBidi"/>
        </w:rPr>
        <w:footnoteRef/>
      </w:r>
      <w:r w:rsidRPr="00845316">
        <w:rPr>
          <w:rFonts w:asciiTheme="minorBidi" w:hAnsiTheme="minorBidi"/>
          <w:rtl/>
        </w:rPr>
        <w:t xml:space="preserve"> נראה דה"ה נתגרשה, ש"ך (סק"ח).</w:t>
      </w:r>
    </w:p>
  </w:footnote>
  <w:footnote w:id="1969">
    <w:p w14:paraId="1EFF83FA" w14:textId="77777777" w:rsidR="0013116F" w:rsidRPr="00845316" w:rsidRDefault="0013116F" w:rsidP="004B607F">
      <w:pPr>
        <w:pStyle w:val="a9"/>
        <w:spacing w:after="60"/>
        <w:rPr>
          <w:rFonts w:asciiTheme="minorBidi" w:hAnsiTheme="minorBidi"/>
          <w:rtl/>
        </w:rPr>
      </w:pPr>
      <w:r w:rsidRPr="00845316">
        <w:rPr>
          <w:rStyle w:val="ab"/>
          <w:rFonts w:asciiTheme="minorBidi" w:hAnsiTheme="minorBidi"/>
        </w:rPr>
        <w:footnoteRef/>
      </w:r>
      <w:r w:rsidRPr="00845316">
        <w:rPr>
          <w:rFonts w:asciiTheme="minorBidi" w:hAnsiTheme="minorBidi"/>
          <w:rtl/>
        </w:rPr>
        <w:t xml:space="preserve"> פירוש, אף שראה העדות מקודם כשהיה רחוק ועתה שנעשה קרוב פסקו לו על תביעתו כמי שאין לו עדים, לא יוכל לחזור ולתבעו אחר שנתרחק, אף שהיה תחילתו וסופו בכשרות, הואיל שכבר נפסק הדין. אבל אם היה קרוב כשראה העדות בלאו הכי פסול כמו שפסק בסעיף שאחר זה, סמ"ע (סק"כ).</w:t>
      </w:r>
    </w:p>
  </w:footnote>
  <w:footnote w:id="1970">
    <w:p w14:paraId="4B76DDD8" w14:textId="77777777" w:rsidR="0013116F" w:rsidRPr="00845316" w:rsidRDefault="0013116F" w:rsidP="004B607F">
      <w:pPr>
        <w:pStyle w:val="a9"/>
        <w:spacing w:after="60"/>
        <w:rPr>
          <w:rFonts w:asciiTheme="minorBidi" w:hAnsiTheme="minorBidi"/>
        </w:rPr>
      </w:pPr>
      <w:r w:rsidRPr="00845316">
        <w:rPr>
          <w:rStyle w:val="ab"/>
          <w:rFonts w:asciiTheme="minorBidi" w:hAnsiTheme="minorBidi"/>
        </w:rPr>
        <w:footnoteRef/>
      </w:r>
      <w:r w:rsidRPr="00845316">
        <w:rPr>
          <w:rFonts w:asciiTheme="minorBidi" w:hAnsiTheme="minorBidi"/>
          <w:rtl/>
        </w:rPr>
        <w:t xml:space="preserve"> אבל אם לא נפסק הדין, הבינו הב"י הרמ"א והש"ך בד' בהעי"ט </w:t>
      </w:r>
      <w:r w:rsidRPr="00845316">
        <w:rPr>
          <w:rFonts w:asciiTheme="minorBidi" w:hAnsiTheme="minorBidi"/>
          <w:sz w:val="16"/>
          <w:szCs w:val="16"/>
          <w:rtl/>
        </w:rPr>
        <w:t>(אות ק קבלת עדות נט)</w:t>
      </w:r>
      <w:r w:rsidRPr="00845316">
        <w:rPr>
          <w:rFonts w:asciiTheme="minorBidi" w:hAnsiTheme="minorBidi"/>
          <w:rtl/>
        </w:rPr>
        <w:t xml:space="preserve"> דכשר להעיד כיון שהיה רחוק בתחילה וגם עתה הוא רחוק </w:t>
      </w:r>
      <w:r w:rsidRPr="00845316">
        <w:rPr>
          <w:rFonts w:asciiTheme="minorBidi" w:hAnsiTheme="minorBidi"/>
          <w:sz w:val="16"/>
          <w:szCs w:val="16"/>
          <w:rtl/>
        </w:rPr>
        <w:t xml:space="preserve">(וכ"כ הקצות </w:t>
      </w:r>
      <w:r w:rsidRPr="00845316">
        <w:rPr>
          <w:rFonts w:asciiTheme="minorBidi" w:hAnsiTheme="minorBidi"/>
          <w:sz w:val="12"/>
          <w:szCs w:val="12"/>
          <w:rtl/>
        </w:rPr>
        <w:t>[סק"ב]</w:t>
      </w:r>
      <w:r w:rsidRPr="00845316">
        <w:rPr>
          <w:rFonts w:asciiTheme="minorBidi" w:hAnsiTheme="minorBidi"/>
          <w:sz w:val="16"/>
          <w:szCs w:val="16"/>
          <w:rtl/>
        </w:rPr>
        <w:t>)</w:t>
      </w:r>
      <w:r w:rsidRPr="00845316">
        <w:rPr>
          <w:rFonts w:asciiTheme="minorBidi" w:hAnsiTheme="minorBidi"/>
          <w:rtl/>
        </w:rPr>
        <w:t xml:space="preserve">. אך </w:t>
      </w:r>
      <w:r>
        <w:rPr>
          <w:rFonts w:asciiTheme="minorBidi" w:hAnsiTheme="minorBidi" w:hint="cs"/>
          <w:rtl/>
        </w:rPr>
        <w:t>כתב</w:t>
      </w:r>
      <w:r w:rsidRPr="00845316">
        <w:rPr>
          <w:rFonts w:asciiTheme="minorBidi" w:hAnsiTheme="minorBidi"/>
          <w:sz w:val="16"/>
          <w:szCs w:val="16"/>
          <w:rtl/>
        </w:rPr>
        <w:t xml:space="preserve"> </w:t>
      </w:r>
      <w:r w:rsidRPr="00845316">
        <w:rPr>
          <w:rFonts w:asciiTheme="minorBidi" w:hAnsiTheme="minorBidi"/>
          <w:rtl/>
        </w:rPr>
        <w:t xml:space="preserve">הש"ך </w:t>
      </w:r>
      <w:r w:rsidRPr="00845316">
        <w:rPr>
          <w:rFonts w:asciiTheme="minorBidi" w:hAnsiTheme="minorBidi"/>
          <w:sz w:val="16"/>
          <w:szCs w:val="16"/>
          <w:rtl/>
        </w:rPr>
        <w:t>(ובזה חלק על הב"י והרמ"א)</w:t>
      </w:r>
      <w:r w:rsidRPr="00845316">
        <w:rPr>
          <w:rFonts w:asciiTheme="minorBidi" w:hAnsiTheme="minorBidi"/>
          <w:rtl/>
        </w:rPr>
        <w:t xml:space="preserve"> דמקבלין עדותו אפי' נפסק הדין, ואינו פסול להעיד אלא רק אם </w:t>
      </w:r>
      <w:r w:rsidRPr="00845316">
        <w:rPr>
          <w:rFonts w:asciiTheme="minorBidi" w:hAnsiTheme="minorBidi"/>
          <w:u w:val="single"/>
          <w:rtl/>
        </w:rPr>
        <w:t>כבר העיד</w:t>
      </w:r>
      <w:r w:rsidRPr="00845316">
        <w:rPr>
          <w:rFonts w:asciiTheme="minorBidi" w:hAnsiTheme="minorBidi"/>
          <w:rtl/>
        </w:rPr>
        <w:t xml:space="preserve"> </w:t>
      </w:r>
      <w:r w:rsidRPr="00845316">
        <w:rPr>
          <w:rFonts w:asciiTheme="minorBidi" w:hAnsiTheme="minorBidi"/>
          <w:sz w:val="16"/>
          <w:szCs w:val="16"/>
          <w:rtl/>
        </w:rPr>
        <w:t>(כגון שהב"ד לא ידע שהוא פסול)</w:t>
      </w:r>
      <w:r w:rsidRPr="00845316">
        <w:rPr>
          <w:rFonts w:asciiTheme="minorBidi" w:hAnsiTheme="minorBidi"/>
          <w:rtl/>
        </w:rPr>
        <w:t xml:space="preserve"> ופסלו עדותו </w:t>
      </w:r>
      <w:r w:rsidRPr="00845316">
        <w:rPr>
          <w:rFonts w:asciiTheme="minorBidi" w:hAnsiTheme="minorBidi"/>
          <w:sz w:val="16"/>
          <w:szCs w:val="16"/>
          <w:rtl/>
        </w:rPr>
        <w:t>(כיון שנתגלה שהוא קרוב)</w:t>
      </w:r>
      <w:r w:rsidRPr="00845316">
        <w:rPr>
          <w:rFonts w:asciiTheme="minorBidi" w:hAnsiTheme="minorBidi"/>
          <w:rtl/>
        </w:rPr>
        <w:t xml:space="preserve">, דאז אינו יכול לחזור ולהעיד כיון שבודאי יאמר כדבריו הראשונים שלא יהא כשקרן. </w:t>
      </w:r>
      <w:r w:rsidRPr="00845316">
        <w:rPr>
          <w:rFonts w:asciiTheme="minorBidi" w:hAnsiTheme="minorBidi"/>
          <w:sz w:val="16"/>
          <w:szCs w:val="16"/>
          <w:rtl/>
        </w:rPr>
        <w:t xml:space="preserve">(היינו צריך ב' תנאים כדי לפוסלו מלהעיד, א- שנפסק הדין, ב- שכבר העיד. הא אם חסר חד מהני מקבלין עדותו לאחר שנתרחק, וכן הבין הנו"ב </w:t>
      </w:r>
      <w:r w:rsidRPr="00845316">
        <w:rPr>
          <w:rFonts w:asciiTheme="minorBidi" w:hAnsiTheme="minorBidi"/>
          <w:sz w:val="14"/>
          <w:szCs w:val="14"/>
          <w:rtl/>
        </w:rPr>
        <w:t>[קמא אה"ע סי' כז, ד"ה והנה ההפרש, הביאו הפת"ש סק"ה]</w:t>
      </w:r>
      <w:r w:rsidRPr="00845316">
        <w:rPr>
          <w:rFonts w:asciiTheme="minorBidi" w:hAnsiTheme="minorBidi"/>
          <w:sz w:val="16"/>
          <w:szCs w:val="16"/>
          <w:rtl/>
        </w:rPr>
        <w:t xml:space="preserve"> את דברי הש"ך)</w:t>
      </w:r>
    </w:p>
  </w:footnote>
  <w:footnote w:id="1971">
    <w:p w14:paraId="2A298102" w14:textId="77777777" w:rsidR="0013116F" w:rsidRPr="000F4C73" w:rsidRDefault="0013116F" w:rsidP="004B607F">
      <w:pPr>
        <w:pStyle w:val="a9"/>
        <w:rPr>
          <w:rFonts w:ascii="Arial" w:hAnsi="Arial" w:cs="Arial"/>
          <w:rtl/>
        </w:rPr>
      </w:pPr>
      <w:r w:rsidRPr="000F4C73">
        <w:rPr>
          <w:rStyle w:val="ab"/>
          <w:rFonts w:ascii="Arial" w:hAnsi="Arial" w:cs="Arial"/>
        </w:rPr>
        <w:footnoteRef/>
      </w:r>
      <w:r w:rsidRPr="000F4C73">
        <w:rPr>
          <w:rFonts w:ascii="Arial" w:hAnsi="Arial" w:cs="Arial"/>
          <w:rtl/>
        </w:rPr>
        <w:t xml:space="preserve"> סימן – טרם נעשה קרובו.</w:t>
      </w:r>
    </w:p>
  </w:footnote>
  <w:footnote w:id="1972">
    <w:p w14:paraId="154705E4" w14:textId="77777777" w:rsidR="0013116F" w:rsidRPr="000F4C73" w:rsidRDefault="0013116F" w:rsidP="004B607F">
      <w:pPr>
        <w:spacing w:after="60" w:line="240" w:lineRule="auto"/>
        <w:rPr>
          <w:rFonts w:ascii="Arial" w:hAnsi="Arial" w:cs="Arial"/>
          <w:sz w:val="20"/>
          <w:szCs w:val="20"/>
          <w:rtl/>
        </w:rPr>
      </w:pPr>
      <w:r w:rsidRPr="000F4C73">
        <w:rPr>
          <w:rStyle w:val="ab"/>
          <w:rFonts w:ascii="Arial" w:hAnsi="Arial" w:cs="Arial"/>
          <w:sz w:val="20"/>
          <w:szCs w:val="20"/>
        </w:rPr>
        <w:footnoteRef/>
      </w:r>
      <w:r w:rsidRPr="000F4C73">
        <w:rPr>
          <w:rFonts w:ascii="Arial" w:hAnsi="Arial" w:cs="Arial"/>
          <w:sz w:val="20"/>
          <w:szCs w:val="20"/>
          <w:rtl/>
        </w:rPr>
        <w:t xml:space="preserve"> אף על פי שתחלתו בכשרות, רשב"ם.</w:t>
      </w:r>
    </w:p>
  </w:footnote>
  <w:footnote w:id="1973">
    <w:p w14:paraId="60B9BF56" w14:textId="77777777" w:rsidR="0013116F" w:rsidRPr="00845316" w:rsidRDefault="0013116F" w:rsidP="004B607F">
      <w:pPr>
        <w:pStyle w:val="a9"/>
        <w:spacing w:after="60"/>
        <w:rPr>
          <w:rFonts w:asciiTheme="minorBidi" w:hAnsiTheme="minorBidi"/>
          <w:rtl/>
        </w:rPr>
      </w:pPr>
      <w:r w:rsidRPr="00845316">
        <w:rPr>
          <w:rStyle w:val="ab"/>
          <w:rFonts w:asciiTheme="minorBidi" w:hAnsiTheme="minorBidi"/>
        </w:rPr>
        <w:footnoteRef/>
      </w:r>
      <w:r w:rsidRPr="00845316">
        <w:rPr>
          <w:rFonts w:asciiTheme="minorBidi" w:hAnsiTheme="minorBidi"/>
          <w:rtl/>
        </w:rPr>
        <w:t xml:space="preserve"> כלומר כל שתחלתו בפסלות שעת ראיית העדות והשתא סופו בכשרות פסול דמעיקרא לא היה ראוי לעדות זו וקרא כתיב (ויקרא ה) והוא עד או ראה דבשעת ראיית המעשה יהא ראוי לעדות זו, רשב"ם.</w:t>
      </w:r>
    </w:p>
  </w:footnote>
  <w:footnote w:id="1974">
    <w:p w14:paraId="50EE3955" w14:textId="77777777" w:rsidR="0013116F" w:rsidRPr="00845316" w:rsidRDefault="0013116F" w:rsidP="004B607F">
      <w:pPr>
        <w:pStyle w:val="a9"/>
        <w:spacing w:after="60"/>
        <w:rPr>
          <w:rFonts w:asciiTheme="minorBidi" w:hAnsiTheme="minorBidi"/>
          <w:rtl/>
        </w:rPr>
      </w:pPr>
      <w:r w:rsidRPr="00845316">
        <w:rPr>
          <w:rStyle w:val="ab"/>
          <w:rFonts w:asciiTheme="minorBidi" w:hAnsiTheme="minorBidi"/>
        </w:rPr>
        <w:footnoteRef/>
      </w:r>
      <w:r w:rsidRPr="00845316">
        <w:rPr>
          <w:rFonts w:asciiTheme="minorBidi" w:hAnsiTheme="minorBidi"/>
          <w:rtl/>
        </w:rPr>
        <w:t xml:space="preserve"> תוס' </w:t>
      </w:r>
      <w:r w:rsidRPr="00845316">
        <w:rPr>
          <w:rFonts w:asciiTheme="minorBidi" w:hAnsiTheme="minorBidi"/>
          <w:sz w:val="16"/>
          <w:szCs w:val="16"/>
          <w:rtl/>
        </w:rPr>
        <w:t>(ד"ה ואע</w:t>
      </w:r>
      <w:r>
        <w:rPr>
          <w:rFonts w:asciiTheme="minorBidi" w:hAnsiTheme="minorBidi" w:hint="cs"/>
          <w:sz w:val="16"/>
          <w:szCs w:val="16"/>
          <w:rtl/>
        </w:rPr>
        <w:t>"</w:t>
      </w:r>
      <w:r w:rsidRPr="00845316">
        <w:rPr>
          <w:rFonts w:asciiTheme="minorBidi" w:hAnsiTheme="minorBidi"/>
          <w:sz w:val="16"/>
          <w:szCs w:val="16"/>
          <w:rtl/>
        </w:rPr>
        <w:t>פ)</w:t>
      </w:r>
      <w:r w:rsidRPr="00845316">
        <w:rPr>
          <w:rFonts w:asciiTheme="minorBidi" w:hAnsiTheme="minorBidi"/>
          <w:rtl/>
        </w:rPr>
        <w:t xml:space="preserve"> רמב"ם </w:t>
      </w:r>
      <w:r w:rsidRPr="00845316">
        <w:rPr>
          <w:rFonts w:asciiTheme="minorBidi" w:hAnsiTheme="minorBidi"/>
          <w:sz w:val="16"/>
          <w:szCs w:val="16"/>
          <w:rtl/>
        </w:rPr>
        <w:t>(פי"ד ה"ה)</w:t>
      </w:r>
      <w:r w:rsidRPr="00845316">
        <w:rPr>
          <w:rFonts w:asciiTheme="minorBidi" w:hAnsiTheme="minorBidi"/>
          <w:rtl/>
        </w:rPr>
        <w:t xml:space="preserve"> בהעי"ט </w:t>
      </w:r>
      <w:r w:rsidRPr="00845316">
        <w:rPr>
          <w:rFonts w:asciiTheme="minorBidi" w:hAnsiTheme="minorBidi"/>
          <w:sz w:val="16"/>
          <w:szCs w:val="16"/>
          <w:rtl/>
        </w:rPr>
        <w:t xml:space="preserve">(קבלת עדות נט ע"ד) </w:t>
      </w:r>
      <w:r w:rsidRPr="00845316">
        <w:rPr>
          <w:rFonts w:asciiTheme="minorBidi" w:hAnsiTheme="minorBidi"/>
          <w:rtl/>
        </w:rPr>
        <w:t xml:space="preserve">טור </w:t>
      </w:r>
      <w:r w:rsidRPr="00845316">
        <w:rPr>
          <w:rFonts w:asciiTheme="minorBidi" w:hAnsiTheme="minorBidi"/>
          <w:sz w:val="16"/>
          <w:szCs w:val="16"/>
          <w:rtl/>
        </w:rPr>
        <w:t>(סי' מו סע' ל)</w:t>
      </w:r>
      <w:r w:rsidRPr="00845316">
        <w:rPr>
          <w:rFonts w:asciiTheme="minorBidi" w:hAnsiTheme="minorBidi"/>
          <w:rtl/>
        </w:rPr>
        <w:t xml:space="preserve"> ו</w:t>
      </w:r>
      <w:r>
        <w:rPr>
          <w:rFonts w:asciiTheme="minorBidi" w:hAnsiTheme="minorBidi"/>
          <w:rtl/>
        </w:rPr>
        <w:t>הג"א</w:t>
      </w:r>
      <w:r w:rsidRPr="00845316">
        <w:rPr>
          <w:rFonts w:asciiTheme="minorBidi" w:hAnsiTheme="minorBidi"/>
          <w:sz w:val="16"/>
          <w:szCs w:val="16"/>
          <w:rtl/>
        </w:rPr>
        <w:t xml:space="preserve"> (ב"ב סי' לח)</w:t>
      </w:r>
      <w:r w:rsidRPr="00845316">
        <w:rPr>
          <w:rFonts w:asciiTheme="minorBidi" w:hAnsiTheme="minorBidi"/>
          <w:rtl/>
        </w:rPr>
        <w:t>.</w:t>
      </w:r>
    </w:p>
  </w:footnote>
  <w:footnote w:id="1975">
    <w:p w14:paraId="5E1A4BB7" w14:textId="77777777" w:rsidR="0013116F" w:rsidRPr="00845316" w:rsidRDefault="0013116F" w:rsidP="004B607F">
      <w:pPr>
        <w:pStyle w:val="a9"/>
        <w:spacing w:after="60"/>
        <w:rPr>
          <w:rFonts w:asciiTheme="minorBidi" w:hAnsiTheme="minorBidi"/>
          <w:rtl/>
        </w:rPr>
      </w:pPr>
      <w:r w:rsidRPr="00845316">
        <w:rPr>
          <w:rStyle w:val="ab"/>
          <w:rFonts w:asciiTheme="minorBidi" w:hAnsiTheme="minorBidi"/>
        </w:rPr>
        <w:footnoteRef/>
      </w:r>
      <w:r w:rsidRPr="00845316">
        <w:rPr>
          <w:rFonts w:asciiTheme="minorBidi" w:hAnsiTheme="minorBidi"/>
          <w:rtl/>
        </w:rPr>
        <w:t xml:space="preserve"> כיון שנעשו העדים החתומים כמי שנחקרה עדותן בב"ד </w:t>
      </w:r>
      <w:r w:rsidRPr="00845316">
        <w:rPr>
          <w:rFonts w:asciiTheme="minorBidi" w:hAnsiTheme="minorBidi"/>
          <w:sz w:val="16"/>
          <w:szCs w:val="16"/>
          <w:rtl/>
        </w:rPr>
        <w:t xml:space="preserve">(יח:) </w:t>
      </w:r>
      <w:r w:rsidRPr="00845316">
        <w:rPr>
          <w:rFonts w:asciiTheme="minorBidi" w:hAnsiTheme="minorBidi"/>
          <w:rtl/>
        </w:rPr>
        <w:t>כיון דאחרים מעידים על כתב ידם והרי הוא כאלו העיד קודם שנעשה חתנו, ב"י.</w:t>
      </w:r>
    </w:p>
  </w:footnote>
  <w:footnote w:id="1976">
    <w:p w14:paraId="31D7A384" w14:textId="77777777" w:rsidR="0013116F" w:rsidRPr="00845316" w:rsidRDefault="0013116F" w:rsidP="004B607F">
      <w:pPr>
        <w:pStyle w:val="a9"/>
        <w:spacing w:after="60"/>
        <w:rPr>
          <w:rFonts w:asciiTheme="minorBidi" w:hAnsiTheme="minorBidi"/>
          <w:rtl/>
        </w:rPr>
      </w:pPr>
      <w:r w:rsidRPr="00845316">
        <w:rPr>
          <w:rStyle w:val="ab"/>
          <w:rFonts w:asciiTheme="minorBidi" w:hAnsiTheme="minorBidi"/>
        </w:rPr>
        <w:footnoteRef/>
      </w:r>
      <w:r w:rsidRPr="00845316">
        <w:rPr>
          <w:rFonts w:asciiTheme="minorBidi" w:hAnsiTheme="minorBidi"/>
          <w:rtl/>
        </w:rPr>
        <w:t xml:space="preserve"> וכ"כ הגה' הרמ"א על המרדכי בהגהתיו על המרדכי סי' תרצו. </w:t>
      </w:r>
    </w:p>
  </w:footnote>
  <w:footnote w:id="1977">
    <w:p w14:paraId="38A8D858" w14:textId="77777777" w:rsidR="0013116F" w:rsidRPr="00845316" w:rsidRDefault="0013116F" w:rsidP="004B607F">
      <w:pPr>
        <w:pStyle w:val="a9"/>
        <w:spacing w:after="60"/>
        <w:rPr>
          <w:rFonts w:asciiTheme="minorBidi" w:hAnsiTheme="minorBidi"/>
          <w:rtl/>
        </w:rPr>
      </w:pPr>
      <w:r w:rsidRPr="00845316">
        <w:rPr>
          <w:rStyle w:val="ab"/>
          <w:rFonts w:asciiTheme="minorBidi" w:hAnsiTheme="minorBidi"/>
        </w:rPr>
        <w:footnoteRef/>
      </w:r>
      <w:r w:rsidRPr="00845316">
        <w:rPr>
          <w:rFonts w:asciiTheme="minorBidi" w:hAnsiTheme="minorBidi"/>
          <w:rtl/>
        </w:rPr>
        <w:t xml:space="preserve"> לפני המהר"ם הייתה גירסא אחרת בתוספתא וכך היה כ'- "חתום על השטר ונעשה חתנו אח"כ אחרים מעידין עליו ולא הוא", ולפי גירסתו באמת לא מובן על מה צריכים להעיד, ולכן פירש שהם צריכים לעיד גם על זה שהוא חתם לפני שנעשה חותנו וגם שזוהי חתימתו, אבל לפי גירסתנו מובן כמו פירוש הב"י שאינם צריכים להעיד אלא שזוהי חתימתו.</w:t>
      </w:r>
    </w:p>
  </w:footnote>
  <w:footnote w:id="1978">
    <w:p w14:paraId="40807632" w14:textId="77777777" w:rsidR="0013116F" w:rsidRPr="00845316" w:rsidRDefault="0013116F" w:rsidP="004B607F">
      <w:pPr>
        <w:pStyle w:val="a9"/>
        <w:spacing w:after="60"/>
        <w:rPr>
          <w:rFonts w:asciiTheme="minorBidi" w:hAnsiTheme="minorBidi"/>
          <w:rtl/>
        </w:rPr>
      </w:pPr>
      <w:r w:rsidRPr="00845316">
        <w:rPr>
          <w:rStyle w:val="ab"/>
          <w:rFonts w:asciiTheme="minorBidi" w:hAnsiTheme="minorBidi"/>
        </w:rPr>
        <w:footnoteRef/>
      </w:r>
      <w:r w:rsidRPr="00845316">
        <w:rPr>
          <w:rFonts w:asciiTheme="minorBidi" w:hAnsiTheme="minorBidi"/>
          <w:rtl/>
        </w:rPr>
        <w:t xml:space="preserve"> דהיינו קיום השטר בבית הדין.</w:t>
      </w:r>
    </w:p>
  </w:footnote>
  <w:footnote w:id="1979">
    <w:p w14:paraId="1B4327EB" w14:textId="77777777" w:rsidR="0013116F" w:rsidRPr="00845316" w:rsidRDefault="0013116F" w:rsidP="004B607F">
      <w:pPr>
        <w:pStyle w:val="a9"/>
        <w:spacing w:after="60"/>
        <w:rPr>
          <w:rFonts w:asciiTheme="minorBidi" w:hAnsiTheme="minorBidi"/>
        </w:rPr>
      </w:pPr>
      <w:r w:rsidRPr="00845316">
        <w:rPr>
          <w:rStyle w:val="ab"/>
          <w:rFonts w:asciiTheme="minorBidi" w:hAnsiTheme="minorBidi"/>
        </w:rPr>
        <w:footnoteRef/>
      </w:r>
      <w:r w:rsidRPr="00845316">
        <w:rPr>
          <w:rFonts w:asciiTheme="minorBidi" w:hAnsiTheme="minorBidi"/>
          <w:rtl/>
        </w:rPr>
        <w:t xml:space="preserve"> כלומר וכבר אפשר שאחר שנעשה חתנו נכתב, ב"י. ותמה הב"י מדוע פסל מהר"ם שטר זה משום שמא זייף, דהרי אחזוקי אינשי ברשיעי לא מחזקינן, ופיסול הקרובים גזירת מלך הוא, וא"כ כיון דעדים מעידים על כתב ידו הו"ל כאלו העיד קודם שנעשה חתנו וכשר.</w:t>
      </w:r>
    </w:p>
  </w:footnote>
  <w:footnote w:id="1980">
    <w:p w14:paraId="7A5F2E58" w14:textId="77777777" w:rsidR="0013116F" w:rsidRPr="000F4C73" w:rsidRDefault="0013116F" w:rsidP="004B607F">
      <w:pPr>
        <w:spacing w:after="60" w:line="240" w:lineRule="auto"/>
        <w:rPr>
          <w:rFonts w:asciiTheme="minorBidi" w:hAnsiTheme="minorBidi"/>
          <w:sz w:val="20"/>
          <w:szCs w:val="20"/>
        </w:rPr>
      </w:pPr>
      <w:r w:rsidRPr="000F4C73">
        <w:rPr>
          <w:rStyle w:val="ab"/>
          <w:rFonts w:asciiTheme="minorBidi" w:hAnsiTheme="minorBidi"/>
          <w:sz w:val="20"/>
          <w:szCs w:val="20"/>
        </w:rPr>
        <w:footnoteRef/>
      </w:r>
      <w:r w:rsidRPr="000F4C73">
        <w:rPr>
          <w:rFonts w:asciiTheme="minorBidi" w:hAnsiTheme="minorBidi"/>
          <w:sz w:val="20"/>
          <w:szCs w:val="20"/>
          <w:rtl/>
        </w:rPr>
        <w:t xml:space="preserve"> ואין לו עדים אלא אלו ונמצא שהפסידוהו בכפירתן, רש"י.</w:t>
      </w:r>
    </w:p>
  </w:footnote>
  <w:footnote w:id="1981">
    <w:p w14:paraId="3081ED37" w14:textId="77777777" w:rsidR="0013116F" w:rsidRPr="00845316" w:rsidRDefault="0013116F" w:rsidP="004B607F">
      <w:pPr>
        <w:pStyle w:val="a9"/>
        <w:spacing w:after="60"/>
        <w:rPr>
          <w:rFonts w:asciiTheme="minorBidi" w:hAnsiTheme="minorBidi"/>
        </w:rPr>
      </w:pPr>
      <w:r w:rsidRPr="00845316">
        <w:rPr>
          <w:rStyle w:val="ab"/>
          <w:rFonts w:asciiTheme="minorBidi" w:hAnsiTheme="minorBidi"/>
        </w:rPr>
        <w:footnoteRef/>
      </w:r>
      <w:r w:rsidRPr="00845316">
        <w:rPr>
          <w:rFonts w:asciiTheme="minorBidi" w:hAnsiTheme="minorBidi"/>
          <w:rtl/>
        </w:rPr>
        <w:t xml:space="preserve"> ומה הפסידוהו הראשונים, רש"י.</w:t>
      </w:r>
    </w:p>
  </w:footnote>
  <w:footnote w:id="1982">
    <w:p w14:paraId="03762B94" w14:textId="77777777" w:rsidR="0013116F" w:rsidRPr="00845316" w:rsidRDefault="0013116F" w:rsidP="004B607F">
      <w:pPr>
        <w:pStyle w:val="a9"/>
        <w:spacing w:after="60"/>
        <w:rPr>
          <w:rFonts w:asciiTheme="minorBidi" w:hAnsiTheme="minorBidi"/>
        </w:rPr>
      </w:pPr>
      <w:r w:rsidRPr="00845316">
        <w:rPr>
          <w:rStyle w:val="ab"/>
          <w:rFonts w:asciiTheme="minorBidi" w:hAnsiTheme="minorBidi"/>
        </w:rPr>
        <w:footnoteRef/>
      </w:r>
      <w:r w:rsidRPr="00845316">
        <w:rPr>
          <w:rFonts w:asciiTheme="minorBidi" w:hAnsiTheme="minorBidi"/>
          <w:rtl/>
        </w:rPr>
        <w:t xml:space="preserve"> נשאו שתי אחיות ואינן כשירין בעדות אחד נמצא שלא היה לו עדות כשכפרה ראשונה אלא הם לבדם וכי תימא למה לי למתנייה איצטריך כגון ששתי האחיות הללו גוססות, רש"י.</w:t>
      </w:r>
    </w:p>
  </w:footnote>
  <w:footnote w:id="1983">
    <w:p w14:paraId="67728303" w14:textId="77777777" w:rsidR="0013116F" w:rsidRPr="00845316" w:rsidRDefault="0013116F" w:rsidP="004B607F">
      <w:pPr>
        <w:pStyle w:val="a9"/>
        <w:spacing w:after="60"/>
        <w:rPr>
          <w:rFonts w:asciiTheme="minorBidi" w:hAnsiTheme="minorBidi"/>
        </w:rPr>
      </w:pPr>
      <w:r w:rsidRPr="00845316">
        <w:rPr>
          <w:rStyle w:val="ab"/>
          <w:rFonts w:asciiTheme="minorBidi" w:hAnsiTheme="minorBidi"/>
        </w:rPr>
        <w:footnoteRef/>
      </w:r>
      <w:r w:rsidRPr="00845316">
        <w:rPr>
          <w:rFonts w:asciiTheme="minorBidi" w:hAnsiTheme="minorBidi"/>
          <w:rtl/>
        </w:rPr>
        <w:t xml:space="preserve"> הוו להו כאילו מתו ותפטר כת ראשונה דהא קיימא כת שניה, רש"י.</w:t>
      </w:r>
    </w:p>
  </w:footnote>
  <w:footnote w:id="1984">
    <w:p w14:paraId="2F18F769" w14:textId="77777777" w:rsidR="0013116F" w:rsidRPr="00845316" w:rsidRDefault="0013116F" w:rsidP="004B607F">
      <w:pPr>
        <w:pStyle w:val="a9"/>
        <w:spacing w:after="60"/>
        <w:rPr>
          <w:rFonts w:asciiTheme="minorBidi" w:hAnsiTheme="minorBidi"/>
        </w:rPr>
      </w:pPr>
      <w:r w:rsidRPr="00845316">
        <w:rPr>
          <w:rStyle w:val="ab"/>
          <w:rFonts w:asciiTheme="minorBidi" w:hAnsiTheme="minorBidi"/>
        </w:rPr>
        <w:footnoteRef/>
      </w:r>
      <w:r w:rsidRPr="00845316">
        <w:rPr>
          <w:rFonts w:asciiTheme="minorBidi" w:hAnsiTheme="minorBidi"/>
          <w:rtl/>
        </w:rPr>
        <w:t xml:space="preserve"> ולימדך שהגוסס הרי הוא כחי לכל דבריו ואף על פי שרובן למיתה, רש"י.</w:t>
      </w:r>
    </w:p>
  </w:footnote>
  <w:footnote w:id="1985">
    <w:p w14:paraId="6BD85181" w14:textId="77777777" w:rsidR="0013116F" w:rsidRPr="00845316" w:rsidRDefault="0013116F" w:rsidP="004B607F">
      <w:pPr>
        <w:pStyle w:val="a9"/>
        <w:spacing w:after="60"/>
        <w:rPr>
          <w:rFonts w:asciiTheme="minorBidi" w:hAnsiTheme="minorBidi"/>
        </w:rPr>
      </w:pPr>
      <w:r w:rsidRPr="00845316">
        <w:rPr>
          <w:rStyle w:val="ab"/>
          <w:rFonts w:asciiTheme="minorBidi" w:hAnsiTheme="minorBidi"/>
        </w:rPr>
        <w:footnoteRef/>
      </w:r>
      <w:r w:rsidRPr="00845316">
        <w:rPr>
          <w:rFonts w:asciiTheme="minorBidi" w:hAnsiTheme="minorBidi"/>
          <w:rtl/>
        </w:rPr>
        <w:t xml:space="preserve"> לקט פסקים מאת ראשוני אשכנז (תוספות, הראבי"ה, אור זרוע, 'מהרי"ח' - ר' יחזקיה ממגדינבורג ועוד), המשלימים את דברי הרא"ש. מלקט 'הגהות אשרי' הוא ר' ישראל מקרמז' (אוסטריה, המאה הי"ד), אבי-סבו של ר' ישראל איסרלין בעל תרוה"ד.</w:t>
      </w:r>
    </w:p>
  </w:footnote>
  <w:footnote w:id="1986">
    <w:p w14:paraId="64BBC450" w14:textId="77777777" w:rsidR="0013116F" w:rsidRPr="00845316" w:rsidRDefault="0013116F" w:rsidP="004B607F">
      <w:pPr>
        <w:pStyle w:val="a9"/>
        <w:spacing w:after="60"/>
        <w:rPr>
          <w:rFonts w:asciiTheme="minorBidi" w:hAnsiTheme="minorBidi"/>
          <w:rtl/>
        </w:rPr>
      </w:pPr>
      <w:r w:rsidRPr="00845316">
        <w:rPr>
          <w:rStyle w:val="ab"/>
          <w:rFonts w:asciiTheme="minorBidi" w:hAnsiTheme="minorBidi"/>
        </w:rPr>
        <w:footnoteRef/>
      </w:r>
      <w:r w:rsidRPr="00845316">
        <w:rPr>
          <w:rFonts w:asciiTheme="minorBidi" w:hAnsiTheme="minorBidi"/>
          <w:rtl/>
        </w:rPr>
        <w:t xml:space="preserve"> ילפינן לה [ערכין י"ח ע"א] מדכתיב [ויקרא ה' א'] והוא עד או ראה או ידע גו', אם לא יגיד, ש"מ דבעינן שיהא ראוי להעיד הן בשעת ראיה הן בשעת הגדה, אבל אנפסל בינתיים לא מצינו שקפיד קרא, סמ"ע (סקכ"א).</w:t>
      </w:r>
    </w:p>
  </w:footnote>
  <w:footnote w:id="1987">
    <w:p w14:paraId="1267140C" w14:textId="77777777" w:rsidR="0013116F" w:rsidRPr="00845316" w:rsidRDefault="0013116F" w:rsidP="004B607F">
      <w:pPr>
        <w:pStyle w:val="a9"/>
        <w:spacing w:after="60"/>
        <w:rPr>
          <w:rFonts w:asciiTheme="minorBidi" w:hAnsiTheme="minorBidi"/>
          <w:rtl/>
        </w:rPr>
      </w:pPr>
      <w:r w:rsidRPr="00845316">
        <w:rPr>
          <w:rStyle w:val="ab"/>
          <w:rFonts w:asciiTheme="minorBidi" w:hAnsiTheme="minorBidi"/>
        </w:rPr>
        <w:footnoteRef/>
      </w:r>
      <w:r w:rsidRPr="00845316">
        <w:rPr>
          <w:rFonts w:asciiTheme="minorBidi" w:hAnsiTheme="minorBidi"/>
          <w:rtl/>
        </w:rPr>
        <w:t xml:space="preserve">  וה"ה במי שגירש את אשתו אינו כשר להעיד לה רק בעדות שראה לה קודם שנשאת לו, אבל בעדות שראה לה אחר שנשאת- לא, ש"ך (סק"י).</w:t>
      </w:r>
    </w:p>
  </w:footnote>
  <w:footnote w:id="1988">
    <w:p w14:paraId="1778C1D1" w14:textId="77777777" w:rsidR="0013116F" w:rsidRPr="00845316" w:rsidRDefault="0013116F" w:rsidP="004B607F">
      <w:pPr>
        <w:pStyle w:val="a9"/>
        <w:spacing w:after="60"/>
        <w:rPr>
          <w:rFonts w:asciiTheme="minorBidi" w:hAnsiTheme="minorBidi"/>
        </w:rPr>
      </w:pPr>
      <w:r w:rsidRPr="00845316">
        <w:rPr>
          <w:rStyle w:val="ab"/>
          <w:rFonts w:asciiTheme="minorBidi" w:hAnsiTheme="minorBidi"/>
        </w:rPr>
        <w:footnoteRef/>
      </w:r>
      <w:r w:rsidRPr="00845316">
        <w:rPr>
          <w:rFonts w:asciiTheme="minorBidi" w:hAnsiTheme="minorBidi"/>
          <w:rtl/>
        </w:rPr>
        <w:t xml:space="preserve"> הואיל דבצוואה </w:t>
      </w:r>
      <w:r w:rsidRPr="00845316">
        <w:rPr>
          <w:rFonts w:asciiTheme="minorBidi" w:hAnsiTheme="minorBidi"/>
          <w:u w:val="single"/>
          <w:rtl/>
        </w:rPr>
        <w:t>לא היתה תועלת</w:t>
      </w:r>
      <w:r w:rsidRPr="00845316">
        <w:rPr>
          <w:rFonts w:asciiTheme="minorBidi" w:hAnsiTheme="minorBidi"/>
          <w:rtl/>
        </w:rPr>
        <w:t xml:space="preserve"> לשכיב מרע כי אם לבניו, והם רחוקים עמו אף בשעה שנמסרה להן העדות, סמ"ע </w:t>
      </w:r>
      <w:r w:rsidRPr="00845316">
        <w:rPr>
          <w:rFonts w:asciiTheme="minorBidi" w:hAnsiTheme="minorBidi"/>
          <w:sz w:val="16"/>
          <w:szCs w:val="16"/>
          <w:rtl/>
        </w:rPr>
        <w:t>(סקכ"ב)</w:t>
      </w:r>
      <w:r w:rsidRPr="00845316">
        <w:rPr>
          <w:rFonts w:asciiTheme="minorBidi" w:hAnsiTheme="minorBidi"/>
          <w:rtl/>
        </w:rPr>
        <w:t xml:space="preserve">. אך הט"ז ס"ל דלא די בטעם זה וצ"ל דהוא משום דהשכ"מ </w:t>
      </w:r>
      <w:r w:rsidRPr="00845316">
        <w:rPr>
          <w:rFonts w:asciiTheme="minorBidi" w:hAnsiTheme="minorBidi"/>
          <w:u w:val="single"/>
          <w:rtl/>
        </w:rPr>
        <w:t>מצי למהדר ביה</w:t>
      </w:r>
      <w:r w:rsidRPr="00845316">
        <w:rPr>
          <w:rFonts w:asciiTheme="minorBidi" w:hAnsiTheme="minorBidi"/>
          <w:rtl/>
        </w:rPr>
        <w:t xml:space="preserve">, נמצא דאין לו נפקותא בעדות זו אלא לבניו אחר מיתה ולגבי דידהו הו"ל מעיקרא רחוק. וכ' עוד דלפ"ז אם מתנת שכיב מרע במקצת היא, דבעי קנין </w:t>
      </w:r>
      <w:r w:rsidRPr="00845316">
        <w:rPr>
          <w:rFonts w:asciiTheme="minorBidi" w:hAnsiTheme="minorBidi"/>
          <w:sz w:val="16"/>
          <w:szCs w:val="16"/>
          <w:rtl/>
        </w:rPr>
        <w:t>(כמ"ש סי' רנ סע' ד)</w:t>
      </w:r>
      <w:r w:rsidRPr="00845316">
        <w:rPr>
          <w:rFonts w:asciiTheme="minorBidi" w:hAnsiTheme="minorBidi"/>
          <w:rtl/>
        </w:rPr>
        <w:t xml:space="preserve"> הוה פסול לכו"ע כיון דהעדות נוגע בו, דהא אין יכול לחזור בו אח"כ, עכ"ל, ולגבי זה ישנה מחלוקת אחרונים</w:t>
      </w:r>
      <w:r w:rsidRPr="00845316">
        <w:rPr>
          <w:rFonts w:asciiTheme="minorBidi" w:hAnsiTheme="minorBidi"/>
          <w:sz w:val="16"/>
          <w:szCs w:val="16"/>
          <w:rtl/>
        </w:rPr>
        <w:t xml:space="preserve"> (עי' תומים סק"ט, קצות סק"ג, שעהמ"ש סק"ד)</w:t>
      </w:r>
      <w:r w:rsidRPr="00845316">
        <w:rPr>
          <w:rFonts w:asciiTheme="minorBidi" w:hAnsiTheme="minorBidi"/>
          <w:rtl/>
        </w:rPr>
        <w:t>.</w:t>
      </w:r>
    </w:p>
  </w:footnote>
  <w:footnote w:id="1989">
    <w:p w14:paraId="0EB01DE9" w14:textId="77777777" w:rsidR="0013116F" w:rsidRPr="00845316" w:rsidRDefault="0013116F" w:rsidP="004B607F">
      <w:pPr>
        <w:pStyle w:val="a9"/>
        <w:spacing w:after="60"/>
        <w:rPr>
          <w:rFonts w:asciiTheme="minorBidi" w:hAnsiTheme="minorBidi"/>
        </w:rPr>
      </w:pPr>
      <w:r w:rsidRPr="00845316">
        <w:rPr>
          <w:rStyle w:val="ab"/>
          <w:rFonts w:asciiTheme="minorBidi" w:hAnsiTheme="minorBidi"/>
        </w:rPr>
        <w:footnoteRef/>
      </w:r>
      <w:r w:rsidRPr="00845316">
        <w:rPr>
          <w:rFonts w:asciiTheme="minorBidi" w:hAnsiTheme="minorBidi"/>
          <w:rtl/>
        </w:rPr>
        <w:t xml:space="preserve"> והוסיף הפת"ש וז"ל- ולכאורה יש לומר דאם חתימות עדים הפסולים מחמת קורבה קדמו לחתימת עצמו, והיה באופן הכתוב בשו"ע כאן שהיו קרובים לו ורחוקים מבניו, לכו"ע כשר שטר זה, כיון דבשעה שנמסרה להם העדות קיבלם עליו ככשרים ואחר שמת לא יכלו היורשים לומר אין אנו מאמינים להם, דהא עתה להם הם כשרים, וצ"ע.</w:t>
      </w:r>
    </w:p>
  </w:footnote>
  <w:footnote w:id="1990">
    <w:p w14:paraId="157822DA" w14:textId="77777777" w:rsidR="0013116F" w:rsidRDefault="0013116F" w:rsidP="004B607F">
      <w:pPr>
        <w:pStyle w:val="a9"/>
      </w:pPr>
      <w:r>
        <w:rPr>
          <w:rStyle w:val="ab"/>
        </w:rPr>
        <w:footnoteRef/>
      </w:r>
      <w:r>
        <w:rPr>
          <w:rtl/>
        </w:rPr>
        <w:t xml:space="preserve"> </w:t>
      </w:r>
      <w:r>
        <w:rPr>
          <w:rFonts w:hint="cs"/>
          <w:rtl/>
        </w:rPr>
        <w:t xml:space="preserve">סימן </w:t>
      </w:r>
      <w:r>
        <w:rPr>
          <w:rtl/>
        </w:rPr>
        <w:t>–</w:t>
      </w:r>
      <w:r>
        <w:rPr>
          <w:rFonts w:hint="cs"/>
          <w:rtl/>
        </w:rPr>
        <w:t xml:space="preserve"> מסלק גרמיה. וכן - </w:t>
      </w:r>
      <w:r w:rsidRPr="004F62F0">
        <w:rPr>
          <w:b/>
          <w:bCs/>
          <w:rtl/>
        </w:rPr>
        <w:t>ג</w:t>
      </w:r>
      <w:r w:rsidRPr="004F62F0">
        <w:rPr>
          <w:rtl/>
        </w:rPr>
        <w:t xml:space="preserve">דור </w:t>
      </w:r>
      <w:r w:rsidRPr="004F62F0">
        <w:rPr>
          <w:b/>
          <w:bCs/>
          <w:rtl/>
        </w:rPr>
        <w:t>מ</w:t>
      </w:r>
      <w:r w:rsidRPr="004F62F0">
        <w:rPr>
          <w:rtl/>
        </w:rPr>
        <w:t>הנאה</w:t>
      </w:r>
      <w:r>
        <w:rPr>
          <w:rFonts w:hint="cs"/>
          <w:rtl/>
        </w:rPr>
        <w:t xml:space="preserve"> </w:t>
      </w:r>
      <w:r w:rsidRPr="004F62F0">
        <w:rPr>
          <w:b/>
          <w:bCs/>
          <w:rtl/>
        </w:rPr>
        <w:t>מ</w:t>
      </w:r>
      <w:r w:rsidRPr="004F62F0">
        <w:rPr>
          <w:rtl/>
        </w:rPr>
        <w:t>עיד</w:t>
      </w:r>
      <w:r>
        <w:rPr>
          <w:rFonts w:hint="cs"/>
          <w:rtl/>
        </w:rPr>
        <w:t>/</w:t>
      </w:r>
      <w:r w:rsidRPr="004F62F0">
        <w:rPr>
          <w:rFonts w:hint="cs"/>
          <w:b/>
          <w:bCs/>
          <w:rtl/>
        </w:rPr>
        <w:t>מ</w:t>
      </w:r>
      <w:r>
        <w:rPr>
          <w:rFonts w:hint="cs"/>
          <w:rtl/>
        </w:rPr>
        <w:t>ידן.</w:t>
      </w:r>
    </w:p>
  </w:footnote>
  <w:footnote w:id="1991">
    <w:p w14:paraId="3CDDC94E" w14:textId="77777777" w:rsidR="0013116F" w:rsidRPr="00845316" w:rsidRDefault="0013116F" w:rsidP="004B607F">
      <w:pPr>
        <w:pStyle w:val="a9"/>
        <w:spacing w:after="60"/>
        <w:rPr>
          <w:rFonts w:asciiTheme="minorBidi" w:hAnsiTheme="minorBidi"/>
          <w:rtl/>
        </w:rPr>
      </w:pPr>
      <w:r w:rsidRPr="00845316">
        <w:rPr>
          <w:rStyle w:val="ab"/>
          <w:rFonts w:asciiTheme="minorBidi" w:hAnsiTheme="minorBidi"/>
        </w:rPr>
        <w:footnoteRef/>
      </w:r>
      <w:r w:rsidRPr="00845316">
        <w:rPr>
          <w:rFonts w:asciiTheme="minorBidi" w:hAnsiTheme="minorBidi"/>
          <w:rtl/>
        </w:rPr>
        <w:t xml:space="preserve"> הגנב, והוא טוען לקחתיו בדמים או שום טענה, רשב"ם.</w:t>
      </w:r>
    </w:p>
  </w:footnote>
  <w:footnote w:id="1992">
    <w:p w14:paraId="23809373" w14:textId="77777777" w:rsidR="0013116F" w:rsidRPr="00845316" w:rsidRDefault="0013116F" w:rsidP="004B607F">
      <w:pPr>
        <w:pStyle w:val="a9"/>
        <w:spacing w:after="60"/>
        <w:rPr>
          <w:rFonts w:asciiTheme="minorBidi" w:hAnsiTheme="minorBidi"/>
        </w:rPr>
      </w:pPr>
      <w:r w:rsidRPr="00845316">
        <w:rPr>
          <w:rStyle w:val="ab"/>
          <w:rFonts w:asciiTheme="minorBidi" w:hAnsiTheme="minorBidi"/>
        </w:rPr>
        <w:footnoteRef/>
      </w:r>
      <w:r w:rsidRPr="00845316">
        <w:rPr>
          <w:rFonts w:asciiTheme="minorBidi" w:hAnsiTheme="minorBidi"/>
          <w:rtl/>
        </w:rPr>
        <w:t xml:space="preserve">  עדים שראוהו שגנבו או שמעידין שזהו ס"ת של אותה העיר דכולן שותפין ונוגעין בעדותן, רשב"ם.</w:t>
      </w:r>
    </w:p>
  </w:footnote>
  <w:footnote w:id="1993">
    <w:p w14:paraId="16A55BA7" w14:textId="77777777" w:rsidR="0013116F" w:rsidRPr="00845316" w:rsidRDefault="0013116F" w:rsidP="004B607F">
      <w:pPr>
        <w:pStyle w:val="a9"/>
        <w:spacing w:after="60"/>
        <w:rPr>
          <w:rFonts w:asciiTheme="minorBidi" w:hAnsiTheme="minorBidi"/>
          <w:rtl/>
        </w:rPr>
      </w:pPr>
      <w:r w:rsidRPr="00845316">
        <w:rPr>
          <w:rStyle w:val="ab"/>
          <w:rFonts w:asciiTheme="minorBidi" w:hAnsiTheme="minorBidi"/>
        </w:rPr>
        <w:footnoteRef/>
      </w:r>
      <w:r w:rsidRPr="00845316">
        <w:rPr>
          <w:rFonts w:asciiTheme="minorBidi" w:hAnsiTheme="minorBidi"/>
          <w:rtl/>
        </w:rPr>
        <w:t xml:space="preserve"> יכתבו דין ודברים אין לי על ספר תורה זה ויקנו מידם, רשב"ם. </w:t>
      </w:r>
    </w:p>
  </w:footnote>
  <w:footnote w:id="1994">
    <w:p w14:paraId="60B9C3F9" w14:textId="77777777" w:rsidR="0013116F" w:rsidRPr="00845316" w:rsidRDefault="0013116F" w:rsidP="004B607F">
      <w:pPr>
        <w:pStyle w:val="a9"/>
        <w:spacing w:after="60"/>
        <w:rPr>
          <w:rFonts w:asciiTheme="minorBidi" w:hAnsiTheme="minorBidi"/>
          <w:rtl/>
        </w:rPr>
      </w:pPr>
      <w:r w:rsidRPr="00845316">
        <w:rPr>
          <w:rStyle w:val="ab"/>
          <w:rFonts w:asciiTheme="minorBidi" w:hAnsiTheme="minorBidi"/>
        </w:rPr>
        <w:footnoteRef/>
      </w:r>
      <w:r w:rsidRPr="00845316">
        <w:rPr>
          <w:rFonts w:asciiTheme="minorBidi" w:hAnsiTheme="minorBidi"/>
          <w:rtl/>
        </w:rPr>
        <w:t xml:space="preserve"> ואין יכול לסלק עצמו שלא יהא נוגע בעדות שהרי נהנה בו ויוצא בשמיעתו אלא אם כן ילך לו לדור בעיר אחרת שלא יהנה בקריאתו, רשב"ם.</w:t>
      </w:r>
    </w:p>
  </w:footnote>
  <w:footnote w:id="1995">
    <w:p w14:paraId="51A00B09" w14:textId="77777777" w:rsidR="0013116F" w:rsidRPr="00845316" w:rsidRDefault="0013116F" w:rsidP="004B607F">
      <w:pPr>
        <w:pStyle w:val="a9"/>
        <w:spacing w:after="60"/>
        <w:rPr>
          <w:rFonts w:asciiTheme="minorBidi" w:hAnsiTheme="minorBidi"/>
          <w:rtl/>
        </w:rPr>
      </w:pPr>
      <w:r w:rsidRPr="00845316">
        <w:rPr>
          <w:rStyle w:val="ab"/>
          <w:rFonts w:asciiTheme="minorBidi" w:hAnsiTheme="minorBidi"/>
        </w:rPr>
        <w:footnoteRef/>
      </w:r>
      <w:r w:rsidRPr="00845316">
        <w:rPr>
          <w:rFonts w:asciiTheme="minorBidi" w:hAnsiTheme="minorBidi"/>
          <w:rtl/>
        </w:rPr>
        <w:t xml:space="preserve"> ר"י </w:t>
      </w:r>
      <w:r>
        <w:rPr>
          <w:rFonts w:asciiTheme="minorBidi" w:hAnsiTheme="minorBidi"/>
          <w:rtl/>
        </w:rPr>
        <w:t>מיגאש</w:t>
      </w:r>
      <w:r w:rsidRPr="00845316">
        <w:rPr>
          <w:rFonts w:asciiTheme="minorBidi" w:hAnsiTheme="minorBidi"/>
          <w:rtl/>
        </w:rPr>
        <w:t xml:space="preserve"> </w:t>
      </w:r>
      <w:r w:rsidRPr="00845316">
        <w:rPr>
          <w:rFonts w:asciiTheme="minorBidi" w:hAnsiTheme="minorBidi"/>
          <w:sz w:val="16"/>
          <w:szCs w:val="16"/>
          <w:rtl/>
        </w:rPr>
        <w:t xml:space="preserve">(מב: ד"ה ומעידים, הביאו בעהי"ט) </w:t>
      </w:r>
      <w:r w:rsidRPr="00845316">
        <w:rPr>
          <w:rFonts w:asciiTheme="minorBidi" w:hAnsiTheme="minorBidi"/>
          <w:rtl/>
        </w:rPr>
        <w:t>ר"י</w:t>
      </w:r>
      <w:r w:rsidRPr="00845316">
        <w:rPr>
          <w:rFonts w:asciiTheme="minorBidi" w:hAnsiTheme="minorBidi"/>
          <w:sz w:val="16"/>
          <w:szCs w:val="16"/>
          <w:rtl/>
        </w:rPr>
        <w:t xml:space="preserve"> (תוס' ד"ה וליסלקו)</w:t>
      </w:r>
      <w:r w:rsidRPr="00845316">
        <w:rPr>
          <w:rFonts w:asciiTheme="minorBidi" w:hAnsiTheme="minorBidi"/>
          <w:rtl/>
        </w:rPr>
        <w:t xml:space="preserve"> רמב"ם</w:t>
      </w:r>
      <w:r w:rsidRPr="00845316">
        <w:rPr>
          <w:rFonts w:asciiTheme="minorBidi" w:hAnsiTheme="minorBidi"/>
          <w:sz w:val="16"/>
          <w:szCs w:val="16"/>
          <w:rtl/>
        </w:rPr>
        <w:t xml:space="preserve"> (פי"ד ה"ה)</w:t>
      </w:r>
      <w:r w:rsidRPr="00845316">
        <w:rPr>
          <w:rFonts w:asciiTheme="minorBidi" w:hAnsiTheme="minorBidi"/>
          <w:rtl/>
        </w:rPr>
        <w:t xml:space="preserve"> רמב"ן </w:t>
      </w:r>
      <w:r w:rsidRPr="00845316">
        <w:rPr>
          <w:rFonts w:asciiTheme="minorBidi" w:hAnsiTheme="minorBidi"/>
          <w:sz w:val="16"/>
          <w:szCs w:val="16"/>
          <w:rtl/>
        </w:rPr>
        <w:t xml:space="preserve">(מג. ד"ה ואמאי)  </w:t>
      </w:r>
      <w:r w:rsidRPr="00845316">
        <w:rPr>
          <w:rFonts w:asciiTheme="minorBidi" w:hAnsiTheme="minorBidi"/>
          <w:rtl/>
        </w:rPr>
        <w:t xml:space="preserve">מרדכי </w:t>
      </w:r>
      <w:r w:rsidRPr="00845316">
        <w:rPr>
          <w:rFonts w:asciiTheme="minorBidi" w:hAnsiTheme="minorBidi"/>
          <w:sz w:val="16"/>
          <w:szCs w:val="16"/>
          <w:rtl/>
        </w:rPr>
        <w:t>(סנהדרין סי' תרצט, וב"ב סי' תקלט)</w:t>
      </w:r>
      <w:r w:rsidRPr="00845316">
        <w:rPr>
          <w:rFonts w:asciiTheme="minorBidi" w:hAnsiTheme="minorBidi"/>
          <w:rtl/>
        </w:rPr>
        <w:t xml:space="preserve"> רא"ש </w:t>
      </w:r>
      <w:r w:rsidRPr="00845316">
        <w:rPr>
          <w:rFonts w:asciiTheme="minorBidi" w:hAnsiTheme="minorBidi"/>
          <w:sz w:val="16"/>
          <w:szCs w:val="16"/>
          <w:rtl/>
        </w:rPr>
        <w:t>(סי' מ)</w:t>
      </w:r>
      <w:r w:rsidRPr="00845316">
        <w:rPr>
          <w:rFonts w:asciiTheme="minorBidi" w:hAnsiTheme="minorBidi"/>
          <w:rtl/>
        </w:rPr>
        <w:t xml:space="preserve"> טור ונמוק"י </w:t>
      </w:r>
      <w:r w:rsidRPr="00845316">
        <w:rPr>
          <w:rFonts w:asciiTheme="minorBidi" w:hAnsiTheme="minorBidi"/>
          <w:sz w:val="16"/>
          <w:szCs w:val="16"/>
          <w:rtl/>
        </w:rPr>
        <w:t>(כג. ד"ה גרסי' בגמ' ומעידין)</w:t>
      </w:r>
      <w:r w:rsidRPr="00845316">
        <w:rPr>
          <w:rFonts w:asciiTheme="minorBidi" w:hAnsiTheme="minorBidi"/>
          <w:rtl/>
        </w:rPr>
        <w:t>.</w:t>
      </w:r>
    </w:p>
  </w:footnote>
  <w:footnote w:id="1996">
    <w:p w14:paraId="03D44179" w14:textId="77777777" w:rsidR="0013116F" w:rsidRPr="00845316" w:rsidRDefault="0013116F" w:rsidP="004B607F">
      <w:pPr>
        <w:pStyle w:val="a9"/>
        <w:spacing w:after="60"/>
        <w:rPr>
          <w:rFonts w:asciiTheme="minorBidi" w:hAnsiTheme="minorBidi"/>
          <w:rtl/>
        </w:rPr>
      </w:pPr>
      <w:r w:rsidRPr="00845316">
        <w:rPr>
          <w:rStyle w:val="ab"/>
          <w:rFonts w:asciiTheme="minorBidi" w:hAnsiTheme="minorBidi"/>
        </w:rPr>
        <w:footnoteRef/>
      </w:r>
      <w:r w:rsidRPr="00845316">
        <w:rPr>
          <w:rFonts w:asciiTheme="minorBidi" w:hAnsiTheme="minorBidi"/>
          <w:rtl/>
        </w:rPr>
        <w:t xml:space="preserve"> תוס' </w:t>
      </w:r>
      <w:r w:rsidRPr="00845316">
        <w:rPr>
          <w:rFonts w:asciiTheme="minorBidi" w:hAnsiTheme="minorBidi"/>
          <w:sz w:val="16"/>
          <w:szCs w:val="16"/>
          <w:rtl/>
        </w:rPr>
        <w:t xml:space="preserve">(נדה נ. ד"ה ורבי מאיר) </w:t>
      </w:r>
      <w:r w:rsidRPr="00845316">
        <w:rPr>
          <w:rFonts w:asciiTheme="minorBidi" w:hAnsiTheme="minorBidi"/>
          <w:rtl/>
        </w:rPr>
        <w:t>סה"ת</w:t>
      </w:r>
      <w:r w:rsidRPr="00845316">
        <w:rPr>
          <w:rFonts w:asciiTheme="minorBidi" w:hAnsiTheme="minorBidi"/>
          <w:sz w:val="16"/>
          <w:szCs w:val="16"/>
          <w:rtl/>
        </w:rPr>
        <w:t xml:space="preserve"> (הוא רבינו ברוך, הובא בהגה"מ) </w:t>
      </w:r>
      <w:r w:rsidRPr="00845316">
        <w:rPr>
          <w:rFonts w:asciiTheme="minorBidi" w:hAnsiTheme="minorBidi"/>
          <w:rtl/>
        </w:rPr>
        <w:t xml:space="preserve">מהר"ם </w:t>
      </w:r>
      <w:r w:rsidRPr="00845316">
        <w:rPr>
          <w:rFonts w:asciiTheme="minorBidi" w:hAnsiTheme="minorBidi"/>
          <w:sz w:val="16"/>
          <w:szCs w:val="16"/>
          <w:rtl/>
        </w:rPr>
        <w:t xml:space="preserve">(ד"פ סי' תתקצה) </w:t>
      </w:r>
      <w:r w:rsidRPr="00845316">
        <w:rPr>
          <w:rFonts w:asciiTheme="minorBidi" w:hAnsiTheme="minorBidi"/>
          <w:rtl/>
        </w:rPr>
        <w:t xml:space="preserve">הגה"מ </w:t>
      </w:r>
      <w:r w:rsidRPr="00845316">
        <w:rPr>
          <w:rFonts w:asciiTheme="minorBidi" w:hAnsiTheme="minorBidi"/>
          <w:sz w:val="16"/>
          <w:szCs w:val="16"/>
          <w:rtl/>
        </w:rPr>
        <w:t xml:space="preserve">(פט"ו מהל' עדות אות א, הובא בש"ך סי' לז סקל"ב) </w:t>
      </w:r>
      <w:r w:rsidRPr="00845316">
        <w:rPr>
          <w:rFonts w:asciiTheme="minorBidi" w:hAnsiTheme="minorBidi"/>
          <w:rtl/>
        </w:rPr>
        <w:t>מהרי"ט</w:t>
      </w:r>
      <w:r w:rsidRPr="00845316">
        <w:rPr>
          <w:rFonts w:asciiTheme="minorBidi" w:hAnsiTheme="minorBidi"/>
          <w:sz w:val="16"/>
          <w:szCs w:val="16"/>
          <w:rtl/>
        </w:rPr>
        <w:t xml:space="preserve"> (ח"א סי' כו)</w:t>
      </w:r>
      <w:r w:rsidRPr="00845316">
        <w:rPr>
          <w:rFonts w:asciiTheme="minorBidi" w:hAnsiTheme="minorBidi"/>
          <w:rtl/>
        </w:rPr>
        <w:t>.</w:t>
      </w:r>
    </w:p>
  </w:footnote>
  <w:footnote w:id="1997">
    <w:p w14:paraId="00E07356" w14:textId="77777777" w:rsidR="0013116F" w:rsidRPr="00845316" w:rsidRDefault="0013116F" w:rsidP="004B607F">
      <w:pPr>
        <w:pStyle w:val="a9"/>
        <w:spacing w:after="60"/>
        <w:rPr>
          <w:rFonts w:asciiTheme="minorBidi" w:hAnsiTheme="minorBidi"/>
        </w:rPr>
      </w:pPr>
      <w:r w:rsidRPr="00845316">
        <w:rPr>
          <w:rStyle w:val="ab"/>
          <w:rFonts w:asciiTheme="minorBidi" w:hAnsiTheme="minorBidi"/>
        </w:rPr>
        <w:footnoteRef/>
      </w:r>
      <w:r w:rsidRPr="00845316">
        <w:rPr>
          <w:rFonts w:asciiTheme="minorBidi" w:hAnsiTheme="minorBidi"/>
          <w:rtl/>
        </w:rPr>
        <w:t xml:space="preserve"> וראייתם ממתניתין </w:t>
      </w:r>
      <w:r w:rsidRPr="00845316">
        <w:rPr>
          <w:rFonts w:asciiTheme="minorBidi" w:hAnsiTheme="minorBidi"/>
          <w:sz w:val="16"/>
          <w:szCs w:val="16"/>
          <w:rtl/>
        </w:rPr>
        <w:t xml:space="preserve">(נדה מט:) </w:t>
      </w:r>
      <w:r w:rsidRPr="00845316">
        <w:rPr>
          <w:rFonts w:asciiTheme="minorBidi" w:hAnsiTheme="minorBidi"/>
          <w:rtl/>
        </w:rPr>
        <w:t xml:space="preserve">דכל הכשר לדון כשר להעיד, וכ' התוס' </w:t>
      </w:r>
      <w:r w:rsidRPr="00845316">
        <w:rPr>
          <w:rFonts w:asciiTheme="minorBidi" w:hAnsiTheme="minorBidi"/>
          <w:sz w:val="16"/>
          <w:szCs w:val="16"/>
          <w:rtl/>
        </w:rPr>
        <w:t xml:space="preserve">(נ. בד"ה ורבי מאיר) </w:t>
      </w:r>
      <w:r w:rsidRPr="00845316">
        <w:rPr>
          <w:rFonts w:asciiTheme="minorBidi" w:hAnsiTheme="minorBidi"/>
          <w:rtl/>
        </w:rPr>
        <w:t xml:space="preserve">דמתניתין מיירי בלהבא כל הכשר לדון להבא כשר להעיד מה שיראה מכאן ולהבא </w:t>
      </w:r>
      <w:r w:rsidRPr="00845316">
        <w:rPr>
          <w:rFonts w:asciiTheme="minorBidi" w:hAnsiTheme="minorBidi"/>
          <w:sz w:val="16"/>
          <w:szCs w:val="16"/>
          <w:rtl/>
        </w:rPr>
        <w:t>(כלומר אבל נוגע בדבר ונסתלק דהוי מידי דעבר כשר לדון ופסול להעיד, ב"י)</w:t>
      </w:r>
      <w:r w:rsidRPr="00845316">
        <w:rPr>
          <w:rFonts w:asciiTheme="minorBidi" w:hAnsiTheme="minorBidi"/>
          <w:rtl/>
        </w:rPr>
        <w:t xml:space="preserve">, ועוד משמע כן מדפריך כמה זימני וליסלקו בי תרי מינייהו ולידיינו ולא אישתמיט חדא זימנא למימר וליסלקו בי תרי וליסהדו </w:t>
      </w:r>
      <w:r w:rsidRPr="00845316">
        <w:rPr>
          <w:rFonts w:asciiTheme="minorBidi" w:hAnsiTheme="minorBidi"/>
          <w:sz w:val="16"/>
          <w:szCs w:val="16"/>
          <w:rtl/>
        </w:rPr>
        <w:t>(מהר"ם ד"פ סי' תתקצה)</w:t>
      </w:r>
      <w:r w:rsidRPr="00845316">
        <w:rPr>
          <w:rFonts w:asciiTheme="minorBidi" w:hAnsiTheme="minorBidi"/>
          <w:rtl/>
        </w:rPr>
        <w:t xml:space="preserve">. והב"י תמה על הכרעת מהר"ם דהא שותף שנסתלק מהשדה מעיד </w:t>
      </w:r>
      <w:r w:rsidRPr="00845316">
        <w:rPr>
          <w:rFonts w:asciiTheme="minorBidi" w:hAnsiTheme="minorBidi"/>
          <w:sz w:val="16"/>
          <w:szCs w:val="16"/>
          <w:rtl/>
        </w:rPr>
        <w:t>(ב"ב מג.)</w:t>
      </w:r>
      <w:r w:rsidRPr="00845316">
        <w:rPr>
          <w:rFonts w:asciiTheme="minorBidi" w:hAnsiTheme="minorBidi"/>
          <w:rtl/>
        </w:rPr>
        <w:t xml:space="preserve">, וכן העיר הרא"ש </w:t>
      </w:r>
      <w:r w:rsidRPr="00845316">
        <w:rPr>
          <w:rFonts w:asciiTheme="minorBidi" w:hAnsiTheme="minorBidi"/>
          <w:sz w:val="16"/>
          <w:szCs w:val="16"/>
          <w:rtl/>
        </w:rPr>
        <w:t>(בתשו' כלל נ"ח סי' א)</w:t>
      </w:r>
      <w:r w:rsidRPr="00845316">
        <w:rPr>
          <w:rFonts w:asciiTheme="minorBidi" w:hAnsiTheme="minorBidi"/>
          <w:rtl/>
        </w:rPr>
        <w:t xml:space="preserve"> על דברי מהר"ם.</w:t>
      </w:r>
    </w:p>
  </w:footnote>
  <w:footnote w:id="1998">
    <w:p w14:paraId="3DB55C72" w14:textId="77777777" w:rsidR="0013116F" w:rsidRPr="00845316" w:rsidRDefault="0013116F" w:rsidP="004B607F">
      <w:pPr>
        <w:pStyle w:val="a9"/>
        <w:spacing w:after="60"/>
        <w:rPr>
          <w:rFonts w:asciiTheme="minorBidi" w:hAnsiTheme="minorBidi"/>
        </w:rPr>
      </w:pPr>
      <w:r w:rsidRPr="00845316">
        <w:rPr>
          <w:rStyle w:val="ab"/>
          <w:rFonts w:asciiTheme="minorBidi" w:hAnsiTheme="minorBidi"/>
        </w:rPr>
        <w:footnoteRef/>
      </w:r>
      <w:r w:rsidRPr="00845316">
        <w:rPr>
          <w:rFonts w:asciiTheme="minorBidi" w:hAnsiTheme="minorBidi"/>
          <w:rtl/>
        </w:rPr>
        <w:t xml:space="preserve"> רשב"א </w:t>
      </w:r>
      <w:r w:rsidRPr="00845316">
        <w:rPr>
          <w:rFonts w:asciiTheme="minorBidi" w:hAnsiTheme="minorBidi"/>
          <w:sz w:val="16"/>
          <w:szCs w:val="16"/>
          <w:rtl/>
        </w:rPr>
        <w:t xml:space="preserve">(סי' תתסח) </w:t>
      </w:r>
      <w:r w:rsidRPr="00845316">
        <w:rPr>
          <w:rFonts w:asciiTheme="minorBidi" w:hAnsiTheme="minorBidi"/>
          <w:rtl/>
        </w:rPr>
        <w:t xml:space="preserve">מרדכי </w:t>
      </w:r>
      <w:r w:rsidRPr="00845316">
        <w:rPr>
          <w:rFonts w:asciiTheme="minorBidi" w:hAnsiTheme="minorBidi"/>
          <w:sz w:val="16"/>
          <w:szCs w:val="16"/>
          <w:rtl/>
        </w:rPr>
        <w:t>(סי' תרפח)</w:t>
      </w:r>
      <w:r w:rsidRPr="00845316">
        <w:rPr>
          <w:rFonts w:asciiTheme="minorBidi" w:hAnsiTheme="minorBidi"/>
          <w:rtl/>
        </w:rPr>
        <w:t xml:space="preserve"> וריב"ש </w:t>
      </w:r>
      <w:r w:rsidRPr="00845316">
        <w:rPr>
          <w:rFonts w:asciiTheme="minorBidi" w:hAnsiTheme="minorBidi"/>
          <w:sz w:val="16"/>
          <w:szCs w:val="16"/>
          <w:rtl/>
        </w:rPr>
        <w:t>(סי' תצ, כך כ' הב"י [סע' א] בשמו)</w:t>
      </w:r>
      <w:r w:rsidRPr="00845316">
        <w:rPr>
          <w:rFonts w:asciiTheme="minorBidi" w:hAnsiTheme="minorBidi"/>
          <w:rtl/>
        </w:rPr>
        <w:t>.</w:t>
      </w:r>
    </w:p>
  </w:footnote>
  <w:footnote w:id="1999">
    <w:p w14:paraId="71A84FB6" w14:textId="77777777" w:rsidR="0013116F" w:rsidRPr="00845316" w:rsidRDefault="0013116F" w:rsidP="004B607F">
      <w:pPr>
        <w:pStyle w:val="a9"/>
        <w:spacing w:after="60"/>
        <w:rPr>
          <w:rFonts w:asciiTheme="minorBidi" w:hAnsiTheme="minorBidi"/>
          <w:rtl/>
        </w:rPr>
      </w:pPr>
      <w:r w:rsidRPr="00845316">
        <w:rPr>
          <w:rStyle w:val="ab"/>
          <w:rFonts w:asciiTheme="minorBidi" w:hAnsiTheme="minorBidi"/>
        </w:rPr>
        <w:footnoteRef/>
      </w:r>
      <w:r w:rsidRPr="00845316">
        <w:rPr>
          <w:rFonts w:asciiTheme="minorBidi" w:hAnsiTheme="minorBidi"/>
          <w:rtl/>
        </w:rPr>
        <w:t xml:space="preserve"> הטעם דדוקא בפסול קורבה- דאף דנתרחק ממנו מ"מ זה שיעיד לו הוא זה שנפסל להעיד לו בראשונה, משום הכי נשאר בפיסול, משא"כ בפסול התלוי בנגיעת ממון כיון שנסתלק מאותה הנאה ונכנס אחר תחתיו לאותה הנאה הרי הוא כאילו לא היתה לו הנאה ממנו מעולם, וגם בפסול ממון לא חל עליו שם פסול מחמת נגיעה מעיקרא כיון שהיה יכול לסלק נפשו מיד, משא"כ בפסול קורבה, סמ"ע (סקכ"ג).</w:t>
      </w:r>
    </w:p>
  </w:footnote>
  <w:footnote w:id="2000">
    <w:p w14:paraId="6106FDAA" w14:textId="77777777" w:rsidR="0013116F" w:rsidRPr="00845316" w:rsidRDefault="0013116F" w:rsidP="004B607F">
      <w:pPr>
        <w:pStyle w:val="a9"/>
        <w:spacing w:after="60"/>
        <w:rPr>
          <w:rFonts w:asciiTheme="minorBidi" w:hAnsiTheme="minorBidi"/>
        </w:rPr>
      </w:pPr>
      <w:r w:rsidRPr="00845316">
        <w:rPr>
          <w:rStyle w:val="ab"/>
          <w:rFonts w:asciiTheme="minorBidi" w:hAnsiTheme="minorBidi"/>
        </w:rPr>
        <w:footnoteRef/>
      </w:r>
      <w:r w:rsidRPr="00845316">
        <w:rPr>
          <w:rFonts w:asciiTheme="minorBidi" w:hAnsiTheme="minorBidi"/>
          <w:rtl/>
        </w:rPr>
        <w:t xml:space="preserve"> וכ' הש"ך (סי' לז סקל"ב) דכיון דקי"ל דרק במקום שהמסייע הוא יחיד אינו יכול לומר קים לי, בנדון דידן דאיכא הר"מ ז"ל ותוס' דנדה וה"ר ברוך, ודאי דיכול המוחזק לומר קים לי (והביאוהו החת"ס והפת"ש).</w:t>
      </w:r>
    </w:p>
  </w:footnote>
  <w:footnote w:id="2001">
    <w:p w14:paraId="643E4908" w14:textId="77777777" w:rsidR="0013116F" w:rsidRPr="00845316" w:rsidRDefault="0013116F" w:rsidP="004B607F">
      <w:pPr>
        <w:pStyle w:val="a9"/>
        <w:spacing w:after="60"/>
        <w:rPr>
          <w:rFonts w:asciiTheme="minorBidi" w:hAnsiTheme="minorBidi"/>
        </w:rPr>
      </w:pPr>
      <w:r w:rsidRPr="00845316">
        <w:rPr>
          <w:rStyle w:val="ab"/>
          <w:rFonts w:asciiTheme="minorBidi" w:hAnsiTheme="minorBidi"/>
        </w:rPr>
        <w:footnoteRef/>
      </w:r>
      <w:r w:rsidRPr="00845316">
        <w:rPr>
          <w:rFonts w:asciiTheme="minorBidi" w:hAnsiTheme="minorBidi"/>
          <w:rtl/>
        </w:rPr>
        <w:t xml:space="preserve"> ועיין לקמן סי' לד סע' כט שהר"ר העשיל תומים באה"ט נתיבות ב"ש בית מאיר מראות הצובאות נו"ב ופת"ש חולקים ומצריכים גם בפסול מחמת עברה תחילתו וסופו בכשרות.</w:t>
      </w:r>
    </w:p>
  </w:footnote>
  <w:footnote w:id="2002">
    <w:p w14:paraId="4484B5C9" w14:textId="77777777" w:rsidR="0013116F" w:rsidRDefault="0013116F" w:rsidP="004B607F">
      <w:pPr>
        <w:pStyle w:val="a9"/>
        <w:rPr>
          <w:rtl/>
        </w:rPr>
      </w:pPr>
      <w:r>
        <w:rPr>
          <w:rStyle w:val="ab"/>
        </w:rPr>
        <w:footnoteRef/>
      </w:r>
      <w:r>
        <w:rPr>
          <w:rtl/>
        </w:rPr>
        <w:t xml:space="preserve"> </w:t>
      </w:r>
      <w:r>
        <w:rPr>
          <w:rFonts w:hint="cs"/>
          <w:rtl/>
        </w:rPr>
        <w:t xml:space="preserve">סימן </w:t>
      </w:r>
      <w:r>
        <w:rPr>
          <w:rtl/>
        </w:rPr>
        <w:t>–</w:t>
      </w:r>
      <w:r>
        <w:rPr>
          <w:rFonts w:hint="cs"/>
          <w:rtl/>
        </w:rPr>
        <w:t xml:space="preserve"> זוג בזוזים.</w:t>
      </w:r>
    </w:p>
  </w:footnote>
  <w:footnote w:id="2003">
    <w:p w14:paraId="323EBFDB" w14:textId="77777777" w:rsidR="0013116F" w:rsidRPr="00845316" w:rsidRDefault="0013116F" w:rsidP="004B607F">
      <w:pPr>
        <w:pStyle w:val="a9"/>
        <w:spacing w:after="60"/>
        <w:rPr>
          <w:rFonts w:asciiTheme="minorBidi" w:hAnsiTheme="minorBidi"/>
        </w:rPr>
      </w:pPr>
      <w:r w:rsidRPr="00845316">
        <w:rPr>
          <w:rStyle w:val="ab"/>
          <w:rFonts w:asciiTheme="minorBidi" w:hAnsiTheme="minorBidi"/>
        </w:rPr>
        <w:footnoteRef/>
      </w:r>
      <w:r w:rsidRPr="00845316">
        <w:rPr>
          <w:rFonts w:asciiTheme="minorBidi" w:hAnsiTheme="minorBidi"/>
          <w:rtl/>
        </w:rPr>
        <w:t xml:space="preserve"> </w:t>
      </w:r>
      <w:r w:rsidRPr="00957ABA">
        <w:rPr>
          <w:rFonts w:asciiTheme="minorBidi" w:hAnsiTheme="minorBidi" w:cs="Arial"/>
          <w:rtl/>
        </w:rPr>
        <w:t>פרש"י דעדי הלוואה הוו</w:t>
      </w:r>
      <w:r>
        <w:rPr>
          <w:rFonts w:asciiTheme="minorBidi" w:hAnsiTheme="minorBidi" w:cs="Arial" w:hint="cs"/>
          <w:rtl/>
        </w:rPr>
        <w:t>,</w:t>
      </w:r>
      <w:r w:rsidRPr="00957ABA">
        <w:rPr>
          <w:rFonts w:asciiTheme="minorBidi" w:hAnsiTheme="minorBidi" w:cs="Arial"/>
          <w:rtl/>
        </w:rPr>
        <w:t xml:space="preserve"> ודמיא להא דירושלמי כתב נכסיו לשני בני אדם והעדים כשרים לזה ופסולין לזה הכא נמי כיון דאי לית ליה ללוה אזיל בתר ערבא א"כ נכתב השטר על הלוה ועל הערב וכיון דפסולין לערב פסולין אף ללוה. והראב"ד כתב שטענותיהן על עיסקי פירעון כגון שאמר לוה למלוה פרעתיך</w:t>
      </w:r>
      <w:r>
        <w:rPr>
          <w:rFonts w:asciiTheme="minorBidi" w:hAnsiTheme="minorBidi" w:cs="Arial" w:hint="cs"/>
          <w:rtl/>
        </w:rPr>
        <w:t>,</w:t>
      </w:r>
      <w:r w:rsidRPr="00957ABA">
        <w:rPr>
          <w:rFonts w:asciiTheme="minorBidi" w:hAnsiTheme="minorBidi" w:cs="Arial"/>
          <w:rtl/>
        </w:rPr>
        <w:t xml:space="preserve"> ובטענה זו נפטר הערב והביא עדים שלא פרעו ונמצא הערב מתחייב</w:t>
      </w:r>
      <w:r>
        <w:rPr>
          <w:rFonts w:asciiTheme="minorBidi" w:hAnsiTheme="minorBidi" w:hint="cs"/>
          <w:rtl/>
        </w:rPr>
        <w:t>, רא"ש</w:t>
      </w:r>
      <w:r w:rsidRPr="00957ABA">
        <w:rPr>
          <w:rFonts w:asciiTheme="minorBidi" w:hAnsiTheme="minorBidi" w:hint="cs"/>
          <w:sz w:val="16"/>
          <w:szCs w:val="16"/>
          <w:rtl/>
        </w:rPr>
        <w:t xml:space="preserve"> (סי' יג)</w:t>
      </w:r>
      <w:r>
        <w:rPr>
          <w:rFonts w:asciiTheme="minorBidi" w:hAnsiTheme="minorBidi" w:hint="cs"/>
          <w:rtl/>
        </w:rPr>
        <w:t>.</w:t>
      </w:r>
      <w:r w:rsidRPr="001B6B52">
        <w:rPr>
          <w:rFonts w:asciiTheme="minorBidi" w:hAnsiTheme="minorBidi" w:hint="cs"/>
          <w:rtl/>
        </w:rPr>
        <w:t xml:space="preserve"> </w:t>
      </w:r>
      <w:r>
        <w:rPr>
          <w:rFonts w:asciiTheme="minorBidi" w:hAnsiTheme="minorBidi" w:hint="cs"/>
          <w:color w:val="E36C0A" w:themeColor="accent6" w:themeShade="BF"/>
          <w:rtl/>
        </w:rPr>
        <w:t>ופסק בשו"ע</w:t>
      </w:r>
      <w:r w:rsidRPr="001B6B52">
        <w:rPr>
          <w:rFonts w:asciiTheme="minorBidi" w:hAnsiTheme="minorBidi" w:hint="cs"/>
          <w:color w:val="000000" w:themeColor="text1"/>
          <w:rtl/>
        </w:rPr>
        <w:t xml:space="preserve"> כשני הפירושים</w:t>
      </w:r>
      <w:r>
        <w:rPr>
          <w:rFonts w:asciiTheme="minorBidi" w:hAnsiTheme="minorBidi" w:hint="cs"/>
          <w:color w:val="000000" w:themeColor="text1"/>
          <w:rtl/>
        </w:rPr>
        <w:t xml:space="preserve">, </w:t>
      </w:r>
      <w:r>
        <w:rPr>
          <w:rFonts w:asciiTheme="minorBidi" w:hAnsiTheme="minorBidi" w:hint="cs"/>
          <w:rtl/>
        </w:rPr>
        <w:t>דאין נפ"מ בין הפירושים אלא משמעות דורשין בלבד</w:t>
      </w:r>
      <w:r>
        <w:rPr>
          <w:rFonts w:asciiTheme="minorBidi" w:hAnsiTheme="minorBidi" w:hint="cs"/>
          <w:color w:val="000000" w:themeColor="text1"/>
          <w:rtl/>
        </w:rPr>
        <w:t xml:space="preserve">. </w:t>
      </w:r>
      <w:r>
        <w:rPr>
          <w:rFonts w:asciiTheme="minorBidi" w:hAnsiTheme="minorBidi" w:hint="cs"/>
          <w:rtl/>
        </w:rPr>
        <w:t>וה</w:t>
      </w:r>
      <w:r w:rsidRPr="00845316">
        <w:rPr>
          <w:rFonts w:asciiTheme="minorBidi" w:hAnsiTheme="minorBidi"/>
          <w:rtl/>
        </w:rPr>
        <w:t xml:space="preserve">רמב"ן </w:t>
      </w:r>
      <w:r w:rsidRPr="00845316">
        <w:rPr>
          <w:rFonts w:asciiTheme="minorBidi" w:hAnsiTheme="minorBidi"/>
          <w:sz w:val="16"/>
          <w:szCs w:val="16"/>
          <w:rtl/>
        </w:rPr>
        <w:t xml:space="preserve">(מלחמות ג.) </w:t>
      </w:r>
      <w:r w:rsidRPr="00845316">
        <w:rPr>
          <w:rFonts w:asciiTheme="minorBidi" w:hAnsiTheme="minorBidi"/>
          <w:rtl/>
        </w:rPr>
        <w:t>ורי"ו</w:t>
      </w:r>
      <w:r w:rsidRPr="00845316">
        <w:rPr>
          <w:rFonts w:asciiTheme="minorBidi" w:hAnsiTheme="minorBidi"/>
          <w:sz w:val="16"/>
          <w:szCs w:val="16"/>
          <w:rtl/>
        </w:rPr>
        <w:t xml:space="preserve"> (מישרים נ"ב ח"ג יב:)</w:t>
      </w:r>
      <w:r w:rsidRPr="00845316">
        <w:rPr>
          <w:rFonts w:asciiTheme="minorBidi" w:hAnsiTheme="minorBidi"/>
          <w:rtl/>
        </w:rPr>
        <w:t xml:space="preserve"> </w:t>
      </w:r>
      <w:r>
        <w:rPr>
          <w:rFonts w:asciiTheme="minorBidi" w:hAnsiTheme="minorBidi" w:hint="cs"/>
          <w:rtl/>
        </w:rPr>
        <w:t>פירשו ש</w:t>
      </w:r>
      <w:r w:rsidRPr="00845316">
        <w:rPr>
          <w:rFonts w:asciiTheme="minorBidi" w:hAnsiTheme="minorBidi"/>
          <w:rtl/>
        </w:rPr>
        <w:t xml:space="preserve">טענותיהן על עיסקי פירעון, והשטר ביד המלוה, והלוה מביא עדים </w:t>
      </w:r>
      <w:r w:rsidRPr="00845316">
        <w:rPr>
          <w:rFonts w:asciiTheme="minorBidi" w:hAnsiTheme="minorBidi"/>
          <w:sz w:val="16"/>
          <w:szCs w:val="16"/>
          <w:rtl/>
        </w:rPr>
        <w:t>(שקרובים לערב)</w:t>
      </w:r>
      <w:r w:rsidRPr="00845316">
        <w:rPr>
          <w:rFonts w:asciiTheme="minorBidi" w:hAnsiTheme="minorBidi"/>
          <w:rtl/>
        </w:rPr>
        <w:t xml:space="preserve"> שפרע השטר.</w:t>
      </w:r>
      <w:r>
        <w:rPr>
          <w:rFonts w:asciiTheme="minorBidi" w:hAnsiTheme="minorBidi" w:hint="cs"/>
          <w:rtl/>
        </w:rPr>
        <w:t xml:space="preserve"> </w:t>
      </w:r>
    </w:p>
  </w:footnote>
  <w:footnote w:id="2004">
    <w:p w14:paraId="2C52F440" w14:textId="77777777" w:rsidR="0013116F" w:rsidRPr="00845316" w:rsidRDefault="0013116F" w:rsidP="004B607F">
      <w:pPr>
        <w:pStyle w:val="a9"/>
        <w:spacing w:after="60"/>
        <w:rPr>
          <w:rFonts w:asciiTheme="minorBidi" w:hAnsiTheme="minorBidi"/>
        </w:rPr>
      </w:pPr>
      <w:r w:rsidRPr="00845316">
        <w:rPr>
          <w:rStyle w:val="ab"/>
          <w:rFonts w:asciiTheme="minorBidi" w:hAnsiTheme="minorBidi"/>
        </w:rPr>
        <w:footnoteRef/>
      </w:r>
      <w:r w:rsidRPr="00845316">
        <w:rPr>
          <w:rFonts w:asciiTheme="minorBidi" w:hAnsiTheme="minorBidi"/>
          <w:rtl/>
        </w:rPr>
        <w:t xml:space="preserve"> סנהדרין (כה.)- "בר ביניתוס אסהידו ביה תרי סהדי, חד אמר: קמי דידי אוזיף ברביתא, וחד אמר: לדידי אוזפי ברביתא. פסליה רבא לבר ביניתוס. והא רבא הוא דאמר: לוה ברבית פסול לעדות והוה ליה רשע, והתורה אמרה אל תשת רשע עד! רבא לטעמיה, דאמר רבא: אדם קרוב אצל עצמו ואין אדם משים עצמו רשע".</w:t>
      </w:r>
    </w:p>
  </w:footnote>
  <w:footnote w:id="2005">
    <w:p w14:paraId="0570FDDD" w14:textId="77777777" w:rsidR="0013116F" w:rsidRPr="00845316" w:rsidRDefault="0013116F" w:rsidP="004B607F">
      <w:pPr>
        <w:pStyle w:val="a9"/>
        <w:spacing w:after="60"/>
        <w:rPr>
          <w:rFonts w:asciiTheme="minorBidi" w:hAnsiTheme="minorBidi"/>
          <w:rtl/>
        </w:rPr>
      </w:pPr>
      <w:r w:rsidRPr="00845316">
        <w:rPr>
          <w:rStyle w:val="ab"/>
          <w:rFonts w:asciiTheme="minorBidi" w:hAnsiTheme="minorBidi"/>
        </w:rPr>
        <w:footnoteRef/>
      </w:r>
      <w:r w:rsidRPr="00845316">
        <w:rPr>
          <w:rFonts w:asciiTheme="minorBidi" w:hAnsiTheme="minorBidi"/>
          <w:rtl/>
        </w:rPr>
        <w:t xml:space="preserve"> הש"ך </w:t>
      </w:r>
      <w:r w:rsidRPr="00845316">
        <w:rPr>
          <w:rFonts w:asciiTheme="minorBidi" w:hAnsiTheme="minorBidi"/>
          <w:sz w:val="16"/>
          <w:szCs w:val="16"/>
          <w:rtl/>
        </w:rPr>
        <w:t xml:space="preserve">(סקט"ו) </w:t>
      </w:r>
      <w:r w:rsidRPr="00845316">
        <w:rPr>
          <w:rFonts w:asciiTheme="minorBidi" w:hAnsiTheme="minorBidi"/>
          <w:rtl/>
        </w:rPr>
        <w:t xml:space="preserve">הבין שהב"י הסביר את דברי הראב"ד כיש מתרצים שהביא הרא"ש, </w:t>
      </w:r>
      <w:r w:rsidRPr="00845316">
        <w:rPr>
          <w:rFonts w:asciiTheme="minorBidi" w:hAnsiTheme="minorBidi"/>
          <w:sz w:val="16"/>
          <w:szCs w:val="16"/>
          <w:rtl/>
        </w:rPr>
        <w:t xml:space="preserve">(ובאמת כך משמע מדברי הב"י, שכ' שהראב"ד סובר שבגמ' במכות מדובר בעיסקי פרעון ואז הביא הסבר לדבריו כיש מתרצים שהביא הרא"ש, ורק אח"כ כ' בשורה אחת את דברי הראב"ד בתשו' וסיים את דברי הרא"ש ולא הזכיר את שאר דברי הראב"ד, ולאחמ"כ הביא את דברי הריטב"א בלא להזכיר את דעת הראב"ד, והמעיין בדברי הראב"ד בתשו' ובדברי הריטב"א יראה שהם עניין אחד, </w:t>
      </w:r>
      <w:r w:rsidRPr="00845316">
        <w:rPr>
          <w:rFonts w:asciiTheme="minorBidi" w:hAnsiTheme="minorBidi"/>
          <w:color w:val="FF0000"/>
          <w:sz w:val="16"/>
          <w:szCs w:val="16"/>
          <w:rtl/>
        </w:rPr>
        <w:t>וצל"ע בדברי הב"י שמא אפשר להבין אחרת את דבריו</w:t>
      </w:r>
      <w:r w:rsidRPr="00845316">
        <w:rPr>
          <w:rFonts w:asciiTheme="minorBidi" w:hAnsiTheme="minorBidi"/>
          <w:sz w:val="16"/>
          <w:szCs w:val="16"/>
          <w:rtl/>
        </w:rPr>
        <w:t>)</w:t>
      </w:r>
      <w:r w:rsidRPr="00845316">
        <w:rPr>
          <w:rFonts w:asciiTheme="minorBidi" w:hAnsiTheme="minorBidi"/>
          <w:rtl/>
        </w:rPr>
        <w:t>, ותמה על הבנה זו, והדעות כאן מסודרות לפי דברי הש"ך.</w:t>
      </w:r>
    </w:p>
  </w:footnote>
  <w:footnote w:id="2006">
    <w:p w14:paraId="5AC7CD1E" w14:textId="77777777" w:rsidR="0013116F" w:rsidRPr="00845316" w:rsidRDefault="0013116F" w:rsidP="004B607F">
      <w:pPr>
        <w:pStyle w:val="a9"/>
        <w:spacing w:after="60"/>
        <w:rPr>
          <w:rFonts w:asciiTheme="minorBidi" w:hAnsiTheme="minorBidi"/>
          <w:rtl/>
        </w:rPr>
      </w:pPr>
      <w:r w:rsidRPr="00845316">
        <w:rPr>
          <w:rStyle w:val="ab"/>
          <w:rFonts w:asciiTheme="minorBidi" w:hAnsiTheme="minorBidi"/>
        </w:rPr>
        <w:footnoteRef/>
      </w:r>
      <w:r w:rsidRPr="00845316">
        <w:rPr>
          <w:rFonts w:asciiTheme="minorBidi" w:hAnsiTheme="minorBidi"/>
          <w:rtl/>
        </w:rPr>
        <w:t xml:space="preserve"> ונראה שסובר עיקר כתירוץ זה משום שכ' דמוכח כדבריו, וגם משום שממשיך לדון בסברתו בארוכה.</w:t>
      </w:r>
    </w:p>
  </w:footnote>
  <w:footnote w:id="2007">
    <w:p w14:paraId="3E14DCD4" w14:textId="77777777" w:rsidR="0013116F" w:rsidRPr="00845316" w:rsidRDefault="0013116F" w:rsidP="004B607F">
      <w:pPr>
        <w:pStyle w:val="a9"/>
        <w:spacing w:after="60"/>
        <w:rPr>
          <w:rFonts w:asciiTheme="minorBidi" w:hAnsiTheme="minorBidi"/>
        </w:rPr>
      </w:pPr>
      <w:r w:rsidRPr="00845316">
        <w:rPr>
          <w:rStyle w:val="ab"/>
          <w:rFonts w:asciiTheme="minorBidi" w:hAnsiTheme="minorBidi"/>
        </w:rPr>
        <w:footnoteRef/>
      </w:r>
      <w:r w:rsidRPr="00845316">
        <w:rPr>
          <w:rFonts w:asciiTheme="minorBidi" w:hAnsiTheme="minorBidi"/>
          <w:rtl/>
        </w:rPr>
        <w:t xml:space="preserve"> דרחמנא לא פליג בהו אלא מה שנים נמצא אחד מהן קרוב או פסול עדותם בטילה אף שלשה עדותם בטילה ולא פלגינן עדותם, ע"פ ראב"ד שם.</w:t>
      </w:r>
    </w:p>
  </w:footnote>
  <w:footnote w:id="2008">
    <w:p w14:paraId="41687E31" w14:textId="77777777" w:rsidR="0013116F" w:rsidRPr="00845316" w:rsidRDefault="0013116F" w:rsidP="004B607F">
      <w:pPr>
        <w:pStyle w:val="a9"/>
        <w:spacing w:after="60"/>
        <w:rPr>
          <w:rFonts w:asciiTheme="minorBidi" w:hAnsiTheme="minorBidi"/>
        </w:rPr>
      </w:pPr>
      <w:r w:rsidRPr="00845316">
        <w:rPr>
          <w:rStyle w:val="ab"/>
          <w:rFonts w:asciiTheme="minorBidi" w:hAnsiTheme="minorBidi"/>
        </w:rPr>
        <w:footnoteRef/>
      </w:r>
      <w:r w:rsidRPr="00845316">
        <w:rPr>
          <w:rFonts w:asciiTheme="minorBidi" w:hAnsiTheme="minorBidi"/>
          <w:rtl/>
        </w:rPr>
        <w:t xml:space="preserve"> דאם הטריפה יוזם אין הורגין אותו דכהרוג דמי.</w:t>
      </w:r>
    </w:p>
  </w:footnote>
  <w:footnote w:id="2009">
    <w:p w14:paraId="60BDFB16" w14:textId="77777777" w:rsidR="0013116F" w:rsidRPr="00845316" w:rsidRDefault="0013116F" w:rsidP="004B607F">
      <w:pPr>
        <w:pStyle w:val="a9"/>
        <w:spacing w:after="60"/>
        <w:rPr>
          <w:rFonts w:asciiTheme="minorBidi" w:hAnsiTheme="minorBidi"/>
        </w:rPr>
      </w:pPr>
      <w:r w:rsidRPr="00845316">
        <w:rPr>
          <w:rStyle w:val="ab"/>
          <w:rFonts w:asciiTheme="minorBidi" w:hAnsiTheme="minorBidi"/>
        </w:rPr>
        <w:footnoteRef/>
      </w:r>
      <w:r w:rsidRPr="00845316">
        <w:rPr>
          <w:rFonts w:asciiTheme="minorBidi" w:hAnsiTheme="minorBidi"/>
          <w:rtl/>
        </w:rPr>
        <w:t xml:space="preserve"> דלכתח' אין מדקדקין בית הדין בדרישה וחקירה משום שלא תנעול דלת בפני לווין, דאמרינן מסתמא יודעים באיזה יום ובאיזה שעה הוא, ולא בעינן שיעידו בפירוש בענין שתהא ראויה להזמה, אבל אם ידעינן בודאי שאין יודעים באיזה יום ובאיזה שעה והו"ל עדות שאי אתה יכול להזימה ודאי דלאו עדות הוא, ש"ך (סקט"ז).</w:t>
      </w:r>
    </w:p>
  </w:footnote>
  <w:footnote w:id="2010">
    <w:p w14:paraId="73565A4C" w14:textId="77777777" w:rsidR="0013116F" w:rsidRPr="00845316" w:rsidRDefault="0013116F" w:rsidP="004B607F">
      <w:pPr>
        <w:pStyle w:val="a9"/>
        <w:spacing w:after="60"/>
        <w:rPr>
          <w:rFonts w:asciiTheme="minorBidi" w:hAnsiTheme="minorBidi"/>
          <w:rtl/>
        </w:rPr>
      </w:pPr>
      <w:r w:rsidRPr="00845316">
        <w:rPr>
          <w:rStyle w:val="ab"/>
          <w:rFonts w:asciiTheme="minorBidi" w:hAnsiTheme="minorBidi"/>
        </w:rPr>
        <w:footnoteRef/>
      </w:r>
      <w:r w:rsidRPr="00845316">
        <w:rPr>
          <w:rFonts w:asciiTheme="minorBidi" w:hAnsiTheme="minorBidi"/>
          <w:rtl/>
        </w:rPr>
        <w:t xml:space="preserve"> וכ"כ ההג"א </w:t>
      </w:r>
      <w:r w:rsidRPr="00D44C31">
        <w:rPr>
          <w:rFonts w:asciiTheme="minorBidi" w:hAnsiTheme="minorBidi"/>
          <w:sz w:val="16"/>
          <w:szCs w:val="16"/>
          <w:rtl/>
        </w:rPr>
        <w:t>(</w:t>
      </w:r>
      <w:r w:rsidRPr="00D44C31">
        <w:rPr>
          <w:rFonts w:asciiTheme="minorBidi" w:hAnsiTheme="minorBidi" w:hint="cs"/>
          <w:sz w:val="16"/>
          <w:szCs w:val="16"/>
          <w:rtl/>
        </w:rPr>
        <w:t xml:space="preserve">סנהדרין </w:t>
      </w:r>
      <w:r w:rsidRPr="00D44C31">
        <w:rPr>
          <w:rFonts w:asciiTheme="minorBidi" w:hAnsiTheme="minorBidi"/>
          <w:sz w:val="16"/>
          <w:szCs w:val="16"/>
          <w:rtl/>
        </w:rPr>
        <w:t xml:space="preserve">פ"ג סי' א </w:t>
      </w:r>
      <w:r w:rsidRPr="00D44C31">
        <w:rPr>
          <w:rFonts w:asciiTheme="minorBidi" w:hAnsiTheme="minorBidi" w:hint="cs"/>
          <w:sz w:val="16"/>
          <w:szCs w:val="16"/>
          <w:rtl/>
        </w:rPr>
        <w:t xml:space="preserve">סוף </w:t>
      </w:r>
      <w:r w:rsidRPr="00D44C31">
        <w:rPr>
          <w:rFonts w:asciiTheme="minorBidi" w:hAnsiTheme="minorBidi"/>
          <w:sz w:val="16"/>
          <w:szCs w:val="16"/>
          <w:rtl/>
        </w:rPr>
        <w:t xml:space="preserve">הגהה ד) </w:t>
      </w:r>
      <w:r w:rsidRPr="00845316">
        <w:rPr>
          <w:rFonts w:asciiTheme="minorBidi" w:hAnsiTheme="minorBidi"/>
          <w:rtl/>
        </w:rPr>
        <w:t>בשם האו"ז, והוסיף דקרובי המוכה מעידים על המכה לגרשו מבית הכנסת.</w:t>
      </w:r>
      <w:r>
        <w:rPr>
          <w:rFonts w:asciiTheme="minorBidi" w:hAnsiTheme="minorBidi" w:hint="cs"/>
          <w:rtl/>
        </w:rPr>
        <w:t xml:space="preserve"> </w:t>
      </w:r>
      <w:r w:rsidRPr="001B6B52">
        <w:rPr>
          <w:rFonts w:asciiTheme="minorBidi" w:hAnsiTheme="minorBidi" w:hint="cs"/>
          <w:color w:val="00B0F0"/>
          <w:rtl/>
        </w:rPr>
        <w:t>(וכ"פ הרמ"א)</w:t>
      </w:r>
    </w:p>
  </w:footnote>
  <w:footnote w:id="2011">
    <w:p w14:paraId="52D3179C" w14:textId="77777777" w:rsidR="0013116F" w:rsidRPr="00845316" w:rsidRDefault="0013116F" w:rsidP="004B607F">
      <w:pPr>
        <w:spacing w:after="60" w:line="240" w:lineRule="auto"/>
        <w:rPr>
          <w:rFonts w:asciiTheme="minorBidi" w:hAnsiTheme="minorBidi"/>
          <w:sz w:val="20"/>
          <w:szCs w:val="20"/>
        </w:rPr>
      </w:pPr>
      <w:r w:rsidRPr="001B6B52">
        <w:rPr>
          <w:rStyle w:val="ab"/>
          <w:rFonts w:asciiTheme="minorBidi" w:hAnsiTheme="minorBidi"/>
          <w:sz w:val="20"/>
          <w:szCs w:val="20"/>
        </w:rPr>
        <w:footnoteRef/>
      </w:r>
      <w:r w:rsidRPr="001B6B52">
        <w:rPr>
          <w:rFonts w:asciiTheme="minorBidi" w:hAnsiTheme="minorBidi"/>
          <w:sz w:val="20"/>
          <w:szCs w:val="20"/>
          <w:rtl/>
        </w:rPr>
        <w:t xml:space="preserve"> ונראה</w:t>
      </w:r>
      <w:r w:rsidRPr="00845316">
        <w:rPr>
          <w:rFonts w:asciiTheme="minorBidi" w:hAnsiTheme="minorBidi"/>
          <w:sz w:val="20"/>
          <w:szCs w:val="20"/>
          <w:rtl/>
        </w:rPr>
        <w:t xml:space="preserve"> דדקדק לומר הנרצח, ללמדנו דמיירי שבשעה שבאנו לדון הרוצח, כבר מת המוכה, אלא שמעיקרא בשעה שהעיד הוה חי ולא הוה טריפה ואח"כ מת, ומקבלין עדותו להמיתו או לחייבו גלות על פיו, ובכה"ג דוקא מותר, משום דאין לו הנאה גם להנרצח בהמיתה או בהגלות. אבל אם נשאר חי, פשיטא דלא מקבלין עדותו לענוש המכה על פיו בשבת וריפוי ואינך. ומור"ם קיצר בזה, משום דדין מיתה וגלות אין נוהגים בינינו, ולא כתב דין דקרובי הנרצח אלא ללמד ממנו דין קרובי המוכה, סמ"ע (סקכ"ה).</w:t>
      </w:r>
    </w:p>
  </w:footnote>
  <w:footnote w:id="2012">
    <w:p w14:paraId="073D9B36" w14:textId="77777777" w:rsidR="0013116F" w:rsidRPr="00845316" w:rsidRDefault="0013116F" w:rsidP="004B607F">
      <w:pPr>
        <w:pStyle w:val="a9"/>
        <w:spacing w:after="60"/>
        <w:rPr>
          <w:rFonts w:asciiTheme="minorBidi" w:hAnsiTheme="minorBidi"/>
        </w:rPr>
      </w:pPr>
      <w:r w:rsidRPr="00845316">
        <w:rPr>
          <w:rStyle w:val="ab"/>
          <w:rFonts w:asciiTheme="minorBidi" w:hAnsiTheme="minorBidi"/>
        </w:rPr>
        <w:footnoteRef/>
      </w:r>
      <w:r w:rsidRPr="00845316">
        <w:rPr>
          <w:rFonts w:asciiTheme="minorBidi" w:hAnsiTheme="minorBidi"/>
          <w:rtl/>
        </w:rPr>
        <w:t xml:space="preserve"> פירוש, לא מיבעיא אם הלוה טוען להד"מ שלויתי, פשיטא דפסולין ללוה, כיון דהן קרובין לערב ויש הנאה לערב בעדותם, די"ל משום דידעו העדים שהערב הוא איש טוב ולא יכפור בדבר שנעשה עליו ערב ויודה להמלוה ויהנה הודאתו לחייב נפשו ולא לחייב הלוה, מש"ה באו להעיד, דבעדותן שמעידין שלוה מכניסין הן הלוה במקום הערב שצריך להתפרע תחילה מהלוה, סמ"ע </w:t>
      </w:r>
      <w:r w:rsidRPr="00845316">
        <w:rPr>
          <w:rFonts w:asciiTheme="minorBidi" w:hAnsiTheme="minorBidi"/>
          <w:sz w:val="16"/>
          <w:szCs w:val="16"/>
          <w:rtl/>
        </w:rPr>
        <w:t>(סקכ"ד)</w:t>
      </w:r>
      <w:r w:rsidRPr="00845316">
        <w:rPr>
          <w:rFonts w:asciiTheme="minorBidi" w:hAnsiTheme="minorBidi"/>
          <w:rtl/>
        </w:rPr>
        <w:t>.</w:t>
      </w:r>
    </w:p>
  </w:footnote>
  <w:footnote w:id="2013">
    <w:p w14:paraId="61780A6E" w14:textId="77777777" w:rsidR="0013116F" w:rsidRPr="00845316" w:rsidRDefault="0013116F" w:rsidP="004B607F">
      <w:pPr>
        <w:pStyle w:val="a9"/>
        <w:spacing w:after="60"/>
        <w:rPr>
          <w:rFonts w:asciiTheme="minorBidi" w:hAnsiTheme="minorBidi"/>
        </w:rPr>
      </w:pPr>
      <w:r w:rsidRPr="00845316">
        <w:rPr>
          <w:rStyle w:val="ab"/>
          <w:rFonts w:asciiTheme="minorBidi" w:hAnsiTheme="minorBidi"/>
        </w:rPr>
        <w:footnoteRef/>
      </w:r>
      <w:r w:rsidRPr="00845316">
        <w:rPr>
          <w:rFonts w:asciiTheme="minorBidi" w:hAnsiTheme="minorBidi"/>
          <w:rtl/>
        </w:rPr>
        <w:t xml:space="preserve"> אלא אפילו טען הלוה 'אין, לויתי, אבל פרעתיו אח"כ', דבטענה זו נפטר גם הערב מהמלוה, נמצא כשעדים הללו מעידים שלא פרע אין הנאה לערב מזה, קמ"ל דאפ"ה פסולין הן גם להלוה מטעם דאי לית ליה ללוה בתר ערבא אזיל, משום הכי כל מה דמעידין על הלוה כאילו מעידין אותו על הערב, סמ"ע </w:t>
      </w:r>
      <w:r w:rsidRPr="00845316">
        <w:rPr>
          <w:rFonts w:asciiTheme="minorBidi" w:hAnsiTheme="minorBidi"/>
          <w:sz w:val="16"/>
          <w:szCs w:val="16"/>
          <w:rtl/>
        </w:rPr>
        <w:t>(סקכ"ד)</w:t>
      </w:r>
      <w:r w:rsidRPr="00845316">
        <w:rPr>
          <w:rFonts w:asciiTheme="minorBidi" w:hAnsiTheme="minorBidi"/>
          <w:rtl/>
        </w:rPr>
        <w:t xml:space="preserve">. </w:t>
      </w:r>
    </w:p>
  </w:footnote>
  <w:footnote w:id="2014">
    <w:p w14:paraId="5535176B" w14:textId="77777777" w:rsidR="0013116F" w:rsidRPr="00845316" w:rsidRDefault="0013116F" w:rsidP="004B607F">
      <w:pPr>
        <w:pStyle w:val="a9"/>
        <w:spacing w:after="60"/>
        <w:rPr>
          <w:rFonts w:asciiTheme="minorBidi" w:hAnsiTheme="minorBidi"/>
        </w:rPr>
      </w:pPr>
      <w:r w:rsidRPr="00845316">
        <w:rPr>
          <w:rStyle w:val="ab"/>
          <w:rFonts w:asciiTheme="minorBidi" w:hAnsiTheme="minorBidi"/>
        </w:rPr>
        <w:footnoteRef/>
      </w:r>
      <w:r w:rsidRPr="00845316">
        <w:rPr>
          <w:rFonts w:asciiTheme="minorBidi" w:hAnsiTheme="minorBidi"/>
          <w:rtl/>
        </w:rPr>
        <w:t xml:space="preserve"> וכן בשבועות פ"ד ה"א.</w:t>
      </w:r>
    </w:p>
  </w:footnote>
  <w:footnote w:id="2015">
    <w:p w14:paraId="70D04E91" w14:textId="77777777" w:rsidR="0013116F" w:rsidRPr="00845316" w:rsidRDefault="0013116F" w:rsidP="004B607F">
      <w:pPr>
        <w:pStyle w:val="a9"/>
        <w:spacing w:after="60"/>
        <w:rPr>
          <w:rFonts w:asciiTheme="minorBidi" w:hAnsiTheme="minorBidi"/>
          <w:rtl/>
        </w:rPr>
      </w:pPr>
      <w:r w:rsidRPr="00845316">
        <w:rPr>
          <w:rStyle w:val="ab"/>
          <w:rFonts w:asciiTheme="minorBidi" w:hAnsiTheme="minorBidi"/>
        </w:rPr>
        <w:footnoteRef/>
      </w:r>
      <w:r w:rsidRPr="00845316">
        <w:rPr>
          <w:rFonts w:asciiTheme="minorBidi" w:hAnsiTheme="minorBidi"/>
          <w:rtl/>
        </w:rPr>
        <w:t xml:space="preserve"> שהרי הדיינים מקבלין הזמה עליהן ונמצאו נהרגין על פי קרוביהן, פני משה.</w:t>
      </w:r>
    </w:p>
  </w:footnote>
  <w:footnote w:id="2016">
    <w:p w14:paraId="026303B2" w14:textId="77777777" w:rsidR="0013116F" w:rsidRPr="00845316" w:rsidRDefault="0013116F" w:rsidP="004B607F">
      <w:pPr>
        <w:spacing w:after="60" w:line="240" w:lineRule="auto"/>
        <w:rPr>
          <w:rFonts w:asciiTheme="minorBidi" w:hAnsiTheme="minorBidi"/>
          <w:sz w:val="20"/>
          <w:szCs w:val="20"/>
          <w:rtl/>
        </w:rPr>
      </w:pPr>
      <w:r w:rsidRPr="001B6B52">
        <w:rPr>
          <w:rStyle w:val="ab"/>
          <w:rFonts w:asciiTheme="minorBidi" w:hAnsiTheme="minorBidi"/>
          <w:sz w:val="20"/>
          <w:szCs w:val="20"/>
        </w:rPr>
        <w:footnoteRef/>
      </w:r>
      <w:r w:rsidRPr="001B6B52">
        <w:rPr>
          <w:rFonts w:asciiTheme="minorBidi" w:hAnsiTheme="minorBidi"/>
          <w:sz w:val="20"/>
          <w:szCs w:val="20"/>
          <w:rtl/>
        </w:rPr>
        <w:t xml:space="preserve"> בתמיה</w:t>
      </w:r>
      <w:r w:rsidRPr="00845316">
        <w:rPr>
          <w:rFonts w:asciiTheme="minorBidi" w:hAnsiTheme="minorBidi"/>
          <w:sz w:val="20"/>
          <w:szCs w:val="20"/>
          <w:rtl/>
        </w:rPr>
        <w:t>. (ולקמן יתבאר למה אסור שהעדים יהיו קרובים לדיינים)</w:t>
      </w:r>
    </w:p>
  </w:footnote>
  <w:footnote w:id="2017">
    <w:p w14:paraId="2B91703F" w14:textId="77777777" w:rsidR="0013116F" w:rsidRPr="00845316" w:rsidRDefault="0013116F" w:rsidP="004B607F">
      <w:pPr>
        <w:pStyle w:val="a9"/>
        <w:spacing w:after="60"/>
        <w:rPr>
          <w:rFonts w:asciiTheme="minorBidi" w:hAnsiTheme="minorBidi"/>
          <w:rtl/>
        </w:rPr>
      </w:pPr>
      <w:r w:rsidRPr="00845316">
        <w:rPr>
          <w:rStyle w:val="ab"/>
          <w:rFonts w:asciiTheme="minorBidi" w:hAnsiTheme="minorBidi"/>
        </w:rPr>
        <w:footnoteRef/>
      </w:r>
      <w:r w:rsidRPr="00845316">
        <w:rPr>
          <w:rFonts w:asciiTheme="minorBidi" w:hAnsiTheme="minorBidi"/>
          <w:rtl/>
        </w:rPr>
        <w:t xml:space="preserve"> בגירסתנו </w:t>
      </w:r>
      <w:r w:rsidRPr="00845316">
        <w:rPr>
          <w:rFonts w:asciiTheme="minorBidi" w:hAnsiTheme="minorBidi"/>
          <w:sz w:val="16"/>
          <w:szCs w:val="16"/>
          <w:rtl/>
        </w:rPr>
        <w:t>(וילנא)</w:t>
      </w:r>
      <w:r w:rsidRPr="00845316">
        <w:rPr>
          <w:rFonts w:asciiTheme="minorBidi" w:hAnsiTheme="minorBidi"/>
          <w:rtl/>
        </w:rPr>
        <w:t xml:space="preserve"> כ'- "ומניין שלא יהו העדים קרובין זה לזה. הגע עצמך שאם הוזמו לא מפיהן נהרגין. ומניין שלא יהו העדים קרובין של דיינין הגע עצמך שאם הוזם אחד מהן כלום נהרג עד שיוזם חבירו. אם את אומר כן לא היה נהרג על פיו?", והבאתי רק את גירסתם של הרי"ף הרא"ש והר"ן, שכן מעירים הפני משה רידב"ז ואמרי ברוך</w:t>
      </w:r>
      <w:r w:rsidRPr="00845316">
        <w:rPr>
          <w:rFonts w:asciiTheme="minorBidi" w:hAnsiTheme="minorBidi"/>
          <w:sz w:val="16"/>
          <w:szCs w:val="16"/>
          <w:rtl/>
        </w:rPr>
        <w:t xml:space="preserve"> (פרשנים על הירושלמי)</w:t>
      </w:r>
      <w:r w:rsidRPr="00845316">
        <w:rPr>
          <w:rFonts w:asciiTheme="minorBidi" w:hAnsiTheme="minorBidi"/>
          <w:rtl/>
        </w:rPr>
        <w:t xml:space="preserve"> בירושלמי שלפנינו שצריך לגרוס כגיר' הרי"ף.</w:t>
      </w:r>
    </w:p>
  </w:footnote>
  <w:footnote w:id="2018">
    <w:p w14:paraId="058BFDA7" w14:textId="77777777" w:rsidR="0013116F" w:rsidRPr="00845316" w:rsidRDefault="0013116F" w:rsidP="004B607F">
      <w:pPr>
        <w:pStyle w:val="a9"/>
        <w:spacing w:after="60"/>
        <w:rPr>
          <w:rFonts w:asciiTheme="minorBidi" w:hAnsiTheme="minorBidi"/>
        </w:rPr>
      </w:pPr>
      <w:r w:rsidRPr="00845316">
        <w:rPr>
          <w:rStyle w:val="ab"/>
          <w:rFonts w:asciiTheme="minorBidi" w:hAnsiTheme="minorBidi"/>
        </w:rPr>
        <w:footnoteRef/>
      </w:r>
      <w:r w:rsidRPr="00845316">
        <w:rPr>
          <w:rFonts w:asciiTheme="minorBidi" w:hAnsiTheme="minorBidi"/>
          <w:rtl/>
        </w:rPr>
        <w:t xml:space="preserve"> שיהו שנים קרובים פסולין להעיד על אדם מן השוק, רש"י.</w:t>
      </w:r>
    </w:p>
  </w:footnote>
  <w:footnote w:id="2019">
    <w:p w14:paraId="668EB533" w14:textId="77777777" w:rsidR="0013116F" w:rsidRPr="00845316" w:rsidRDefault="0013116F" w:rsidP="004B607F">
      <w:pPr>
        <w:pStyle w:val="a9"/>
        <w:spacing w:after="60"/>
        <w:rPr>
          <w:rFonts w:asciiTheme="minorBidi" w:hAnsiTheme="minorBidi"/>
        </w:rPr>
      </w:pPr>
      <w:r w:rsidRPr="00845316">
        <w:rPr>
          <w:rStyle w:val="ab"/>
          <w:rFonts w:asciiTheme="minorBidi" w:hAnsiTheme="minorBidi"/>
        </w:rPr>
        <w:footnoteRef/>
      </w:r>
      <w:r w:rsidRPr="00845316">
        <w:rPr>
          <w:rFonts w:asciiTheme="minorBidi" w:hAnsiTheme="minorBidi"/>
          <w:rtl/>
        </w:rPr>
        <w:t xml:space="preserve"> דאי לאו דאסהיד האי קרובו בהדיה, לא הוה מיקטל, נמצא בנים מתים זה על זה, רש"י.</w:t>
      </w:r>
    </w:p>
  </w:footnote>
  <w:footnote w:id="2020">
    <w:p w14:paraId="0BCA54F3" w14:textId="77777777" w:rsidR="0013116F" w:rsidRPr="00845316" w:rsidRDefault="0013116F" w:rsidP="004B607F">
      <w:pPr>
        <w:pStyle w:val="a9"/>
        <w:spacing w:after="60"/>
        <w:rPr>
          <w:rFonts w:asciiTheme="minorBidi" w:hAnsiTheme="minorBidi"/>
        </w:rPr>
      </w:pPr>
      <w:r w:rsidRPr="00845316">
        <w:rPr>
          <w:rStyle w:val="ab"/>
          <w:rFonts w:asciiTheme="minorBidi" w:hAnsiTheme="minorBidi"/>
        </w:rPr>
        <w:footnoteRef/>
      </w:r>
      <w:r w:rsidRPr="00845316">
        <w:rPr>
          <w:rFonts w:asciiTheme="minorBidi" w:hAnsiTheme="minorBidi"/>
          <w:rtl/>
        </w:rPr>
        <w:t xml:space="preserve"> מן השוק, עם כל אחד ואחד מעידים על אכילת שני חזקה של קרקע של אדם מן השוק, ומעיד אחד מן האחין והבא מן השוק על שנה ראשונה, ואחד מן האחין והבא מן השוק על שנה שניה, והשלישי על השלישית, והרי אלו שלש עדיות והחזקה קיימת, ולא אמרינן עדות אחת היא והרי העדים קרובים, אלא שלש עדיות נינהו, דאשתא דקא מסהיד האי לא מסהיד האי, רש"י.</w:t>
      </w:r>
    </w:p>
  </w:footnote>
  <w:footnote w:id="2021">
    <w:p w14:paraId="6C29A592" w14:textId="77777777" w:rsidR="0013116F" w:rsidRPr="00845316" w:rsidRDefault="0013116F" w:rsidP="004B607F">
      <w:pPr>
        <w:pStyle w:val="a9"/>
        <w:spacing w:after="60"/>
        <w:rPr>
          <w:rFonts w:asciiTheme="minorBidi" w:hAnsiTheme="minorBidi"/>
        </w:rPr>
      </w:pPr>
      <w:r w:rsidRPr="00845316">
        <w:rPr>
          <w:rStyle w:val="ab"/>
          <w:rFonts w:asciiTheme="minorBidi" w:hAnsiTheme="minorBidi"/>
        </w:rPr>
        <w:footnoteRef/>
      </w:r>
      <w:r w:rsidRPr="00845316">
        <w:rPr>
          <w:rFonts w:asciiTheme="minorBidi" w:hAnsiTheme="minorBidi"/>
          <w:rtl/>
        </w:rPr>
        <w:t xml:space="preserve"> דעד דמתזמי כולהו לא משלמי ממונא, דהא לא הוה מתוקמא בידא דלוקח אלא בסהדותא דכולהו, רש"י.</w:t>
      </w:r>
    </w:p>
  </w:footnote>
  <w:footnote w:id="2022">
    <w:p w14:paraId="14C1D431" w14:textId="77777777" w:rsidR="0013116F" w:rsidRPr="00845316" w:rsidRDefault="0013116F" w:rsidP="004B607F">
      <w:pPr>
        <w:pStyle w:val="a9"/>
        <w:spacing w:after="60"/>
        <w:rPr>
          <w:rFonts w:asciiTheme="minorBidi" w:hAnsiTheme="minorBidi"/>
          <w:rtl/>
        </w:rPr>
      </w:pPr>
      <w:r w:rsidRPr="00845316">
        <w:rPr>
          <w:rStyle w:val="ab"/>
          <w:rFonts w:asciiTheme="minorBidi" w:hAnsiTheme="minorBidi"/>
        </w:rPr>
        <w:footnoteRef/>
      </w:r>
      <w:r w:rsidRPr="00845316">
        <w:rPr>
          <w:rFonts w:asciiTheme="minorBidi" w:hAnsiTheme="minorBidi"/>
          <w:rtl/>
        </w:rPr>
        <w:t xml:space="preserve"> על ידי המזימין אותן הן משלמים, ולא זה על יד זה, רש"י.</w:t>
      </w:r>
    </w:p>
  </w:footnote>
  <w:footnote w:id="2023">
    <w:p w14:paraId="6AF622E8" w14:textId="77777777" w:rsidR="0013116F" w:rsidRPr="00845316" w:rsidRDefault="0013116F" w:rsidP="004B607F">
      <w:pPr>
        <w:pStyle w:val="a9"/>
        <w:spacing w:after="60"/>
        <w:rPr>
          <w:rFonts w:asciiTheme="minorBidi" w:hAnsiTheme="minorBidi"/>
          <w:rtl/>
        </w:rPr>
      </w:pPr>
      <w:r w:rsidRPr="00845316">
        <w:rPr>
          <w:rStyle w:val="ab"/>
          <w:rFonts w:asciiTheme="minorBidi" w:hAnsiTheme="minorBidi"/>
        </w:rPr>
        <w:footnoteRef/>
      </w:r>
      <w:r w:rsidRPr="00845316">
        <w:rPr>
          <w:rFonts w:asciiTheme="minorBidi" w:hAnsiTheme="minorBidi"/>
          <w:rtl/>
        </w:rPr>
        <w:t xml:space="preserve"> רי"ף </w:t>
      </w:r>
      <w:r w:rsidRPr="00845316">
        <w:rPr>
          <w:rFonts w:asciiTheme="minorBidi" w:hAnsiTheme="minorBidi"/>
          <w:sz w:val="16"/>
          <w:szCs w:val="16"/>
          <w:rtl/>
        </w:rPr>
        <w:t>(ח:)</w:t>
      </w:r>
      <w:r w:rsidRPr="00845316">
        <w:rPr>
          <w:rFonts w:asciiTheme="minorBidi" w:hAnsiTheme="minorBidi"/>
          <w:rtl/>
        </w:rPr>
        <w:t xml:space="preserve"> רשב"א </w:t>
      </w:r>
      <w:r w:rsidRPr="00845316">
        <w:rPr>
          <w:rFonts w:asciiTheme="minorBidi" w:hAnsiTheme="minorBidi"/>
          <w:sz w:val="16"/>
          <w:szCs w:val="16"/>
          <w:rtl/>
        </w:rPr>
        <w:t>(בתשו' ח"ב סי' קנו)</w:t>
      </w:r>
      <w:r w:rsidRPr="00845316">
        <w:rPr>
          <w:rFonts w:asciiTheme="minorBidi" w:hAnsiTheme="minorBidi"/>
          <w:rtl/>
        </w:rPr>
        <w:t xml:space="preserve"> מרדכי</w:t>
      </w:r>
      <w:r w:rsidRPr="00845316">
        <w:rPr>
          <w:rFonts w:asciiTheme="minorBidi" w:hAnsiTheme="minorBidi"/>
          <w:sz w:val="16"/>
          <w:szCs w:val="16"/>
          <w:rtl/>
        </w:rPr>
        <w:t xml:space="preserve"> (סי' תרצו)</w:t>
      </w:r>
      <w:r w:rsidRPr="00845316">
        <w:rPr>
          <w:rFonts w:asciiTheme="minorBidi" w:hAnsiTheme="minorBidi"/>
          <w:rtl/>
        </w:rPr>
        <w:t xml:space="preserve"> רא"ש</w:t>
      </w:r>
      <w:r w:rsidRPr="00845316">
        <w:rPr>
          <w:rFonts w:asciiTheme="minorBidi" w:hAnsiTheme="minorBidi"/>
          <w:sz w:val="16"/>
          <w:szCs w:val="16"/>
          <w:rtl/>
        </w:rPr>
        <w:t xml:space="preserve"> (פ"ג סי' לב)</w:t>
      </w:r>
      <w:r w:rsidRPr="00845316">
        <w:rPr>
          <w:rFonts w:asciiTheme="minorBidi" w:hAnsiTheme="minorBidi"/>
          <w:rtl/>
        </w:rPr>
        <w:t xml:space="preserve"> ור"ן</w:t>
      </w:r>
      <w:r w:rsidRPr="00845316">
        <w:rPr>
          <w:rFonts w:asciiTheme="minorBidi" w:hAnsiTheme="minorBidi"/>
          <w:sz w:val="16"/>
          <w:szCs w:val="16"/>
          <w:rtl/>
        </w:rPr>
        <w:t xml:space="preserve"> (כתובות יב: ד"ה דכיון)</w:t>
      </w:r>
      <w:r w:rsidRPr="00845316">
        <w:rPr>
          <w:rFonts w:asciiTheme="minorBidi" w:hAnsiTheme="minorBidi"/>
          <w:rtl/>
        </w:rPr>
        <w:t>.</w:t>
      </w:r>
    </w:p>
  </w:footnote>
  <w:footnote w:id="2024">
    <w:p w14:paraId="7FA60694" w14:textId="77777777" w:rsidR="0013116F" w:rsidRPr="00845316" w:rsidRDefault="0013116F" w:rsidP="004B607F">
      <w:pPr>
        <w:pStyle w:val="a9"/>
        <w:spacing w:after="60"/>
        <w:rPr>
          <w:rFonts w:asciiTheme="minorBidi" w:hAnsiTheme="minorBidi"/>
          <w:color w:val="FF0000"/>
          <w:rtl/>
        </w:rPr>
      </w:pPr>
      <w:r w:rsidRPr="00845316">
        <w:rPr>
          <w:rStyle w:val="ab"/>
          <w:rFonts w:asciiTheme="minorBidi" w:hAnsiTheme="minorBidi"/>
        </w:rPr>
        <w:footnoteRef/>
      </w:r>
      <w:r w:rsidRPr="00845316">
        <w:rPr>
          <w:rFonts w:asciiTheme="minorBidi" w:hAnsiTheme="minorBidi"/>
          <w:rtl/>
        </w:rPr>
        <w:t xml:space="preserve"> עכ"ל הרי"ף </w:t>
      </w:r>
      <w:r w:rsidRPr="00845316">
        <w:rPr>
          <w:rFonts w:asciiTheme="minorBidi" w:hAnsiTheme="minorBidi"/>
          <w:sz w:val="16"/>
          <w:szCs w:val="16"/>
          <w:rtl/>
        </w:rPr>
        <w:t>(והרא"ש כ' כעין זה, וז"ל- "עדים לא יהיו קרובים זה לזה ולא קרובים לדיינים")</w:t>
      </w:r>
      <w:r w:rsidRPr="00845316">
        <w:rPr>
          <w:rFonts w:asciiTheme="minorBidi" w:hAnsiTheme="minorBidi"/>
          <w:rtl/>
        </w:rPr>
        <w:t>. ומכאן והלאה אלו דברי הרשב"א והמרדכי, ואע"פ שרי"ף רא"ש ור"ן לא הזכירו מה הדין בדיעבד, מ"מ מדבריהם משמע שפסולים אף בדיעבד, וכ"מ מהשו"ע.</w:t>
      </w:r>
    </w:p>
  </w:footnote>
  <w:footnote w:id="2025">
    <w:p w14:paraId="1F5755FA" w14:textId="77777777" w:rsidR="0013116F" w:rsidRPr="00845316" w:rsidRDefault="0013116F" w:rsidP="004B607F">
      <w:pPr>
        <w:spacing w:after="60" w:line="240" w:lineRule="auto"/>
        <w:rPr>
          <w:rFonts w:asciiTheme="minorBidi" w:hAnsiTheme="minorBidi"/>
          <w:sz w:val="20"/>
          <w:szCs w:val="20"/>
          <w:rtl/>
        </w:rPr>
      </w:pPr>
      <w:r w:rsidRPr="00045463">
        <w:rPr>
          <w:rStyle w:val="ab"/>
          <w:rFonts w:asciiTheme="minorBidi" w:hAnsiTheme="minorBidi"/>
          <w:sz w:val="20"/>
          <w:szCs w:val="20"/>
        </w:rPr>
        <w:footnoteRef/>
      </w:r>
      <w:r w:rsidRPr="00845316">
        <w:rPr>
          <w:rFonts w:asciiTheme="minorBidi" w:hAnsiTheme="minorBidi"/>
          <w:sz w:val="20"/>
          <w:szCs w:val="20"/>
          <w:rtl/>
        </w:rPr>
        <w:t xml:space="preserve"> </w:t>
      </w:r>
      <w:r w:rsidRPr="00845316">
        <w:rPr>
          <w:rFonts w:asciiTheme="minorBidi" w:hAnsiTheme="minorBidi"/>
          <w:sz w:val="20"/>
          <w:szCs w:val="20"/>
          <w:u w:val="single"/>
          <w:rtl/>
        </w:rPr>
        <w:t>ובטעם הפסול נזכרו כמה טעמים:</w:t>
      </w:r>
    </w:p>
    <w:p w14:paraId="748A152F" w14:textId="77777777" w:rsidR="0013116F" w:rsidRPr="00845316" w:rsidRDefault="0013116F" w:rsidP="004B0475">
      <w:pPr>
        <w:pStyle w:val="ac"/>
        <w:numPr>
          <w:ilvl w:val="0"/>
          <w:numId w:val="196"/>
        </w:numPr>
        <w:spacing w:after="60" w:line="240" w:lineRule="auto"/>
        <w:rPr>
          <w:rFonts w:asciiTheme="minorBidi" w:hAnsiTheme="minorBidi"/>
          <w:sz w:val="20"/>
          <w:szCs w:val="20"/>
          <w:rtl/>
        </w:rPr>
      </w:pPr>
      <w:r w:rsidRPr="00845316">
        <w:rPr>
          <w:rFonts w:asciiTheme="minorBidi" w:hAnsiTheme="minorBidi"/>
          <w:sz w:val="20"/>
          <w:szCs w:val="20"/>
          <w:rtl/>
        </w:rPr>
        <w:t xml:space="preserve">(רי"ף </w:t>
      </w:r>
      <w:r w:rsidRPr="00845316">
        <w:rPr>
          <w:rFonts w:asciiTheme="minorBidi" w:hAnsiTheme="minorBidi"/>
          <w:sz w:val="12"/>
          <w:szCs w:val="12"/>
          <w:rtl/>
        </w:rPr>
        <w:t xml:space="preserve">[ח:] </w:t>
      </w:r>
      <w:r w:rsidRPr="00845316">
        <w:rPr>
          <w:rFonts w:asciiTheme="minorBidi" w:hAnsiTheme="minorBidi"/>
          <w:sz w:val="14"/>
          <w:szCs w:val="14"/>
          <w:rtl/>
        </w:rPr>
        <w:t>להב' הר"ן</w:t>
      </w:r>
      <w:r w:rsidRPr="00845316">
        <w:rPr>
          <w:rFonts w:asciiTheme="minorBidi" w:hAnsiTheme="minorBidi"/>
          <w:sz w:val="20"/>
          <w:szCs w:val="20"/>
          <w:rtl/>
        </w:rPr>
        <w:t xml:space="preserve">) ור"ן </w:t>
      </w:r>
      <w:r w:rsidRPr="00845316">
        <w:rPr>
          <w:rFonts w:asciiTheme="minorBidi" w:hAnsiTheme="minorBidi"/>
          <w:sz w:val="14"/>
          <w:szCs w:val="14"/>
          <w:rtl/>
        </w:rPr>
        <w:t>(כתובות יב: ד"ה דכיון)</w:t>
      </w:r>
      <w:r w:rsidRPr="00845316">
        <w:rPr>
          <w:rFonts w:asciiTheme="minorBidi" w:hAnsiTheme="minorBidi"/>
          <w:sz w:val="20"/>
          <w:szCs w:val="20"/>
          <w:rtl/>
        </w:rPr>
        <w:t xml:space="preserve">- הגמ' דילן חולקת על הירושלמי, וכיון דנפקא לן בגמרא דילן מדכתיב בנים- שאין קרובים מעידין זה עם זה, מהאי טעמא נמי אין מעידין זה בפני זה, דכל שהדבר יוצא ע"פ קרובים דא ודא אחת היא. </w:t>
      </w:r>
    </w:p>
    <w:p w14:paraId="705BA335" w14:textId="77777777" w:rsidR="0013116F" w:rsidRPr="00845316" w:rsidRDefault="0013116F" w:rsidP="004B0475">
      <w:pPr>
        <w:pStyle w:val="ac"/>
        <w:numPr>
          <w:ilvl w:val="0"/>
          <w:numId w:val="196"/>
        </w:numPr>
        <w:spacing w:after="60" w:line="240" w:lineRule="auto"/>
        <w:rPr>
          <w:rFonts w:asciiTheme="minorBidi" w:hAnsiTheme="minorBidi"/>
          <w:sz w:val="20"/>
          <w:szCs w:val="20"/>
        </w:rPr>
      </w:pPr>
      <w:r w:rsidRPr="00845316">
        <w:rPr>
          <w:rFonts w:asciiTheme="minorBidi" w:hAnsiTheme="minorBidi"/>
          <w:sz w:val="20"/>
          <w:szCs w:val="20"/>
          <w:rtl/>
        </w:rPr>
        <w:t>(ירושלמי</w:t>
      </w:r>
      <w:r w:rsidRPr="00845316">
        <w:rPr>
          <w:rFonts w:asciiTheme="minorBidi" w:hAnsiTheme="minorBidi"/>
          <w:sz w:val="16"/>
          <w:szCs w:val="16"/>
          <w:rtl/>
        </w:rPr>
        <w:t xml:space="preserve"> </w:t>
      </w:r>
      <w:r w:rsidRPr="00845316">
        <w:rPr>
          <w:rFonts w:asciiTheme="minorBidi" w:hAnsiTheme="minorBidi"/>
          <w:sz w:val="14"/>
          <w:szCs w:val="14"/>
          <w:rtl/>
        </w:rPr>
        <w:t>להב' הש"ך</w:t>
      </w:r>
      <w:r w:rsidRPr="00845316">
        <w:rPr>
          <w:rFonts w:asciiTheme="minorBidi" w:hAnsiTheme="minorBidi"/>
          <w:sz w:val="12"/>
          <w:szCs w:val="12"/>
          <w:rtl/>
        </w:rPr>
        <w:t xml:space="preserve"> [סקי"ז]</w:t>
      </w:r>
      <w:r w:rsidRPr="00845316">
        <w:rPr>
          <w:rFonts w:asciiTheme="minorBidi" w:hAnsiTheme="minorBidi"/>
          <w:sz w:val="20"/>
          <w:szCs w:val="20"/>
          <w:rtl/>
        </w:rPr>
        <w:t>) רז"ה ופני משה- משום הזמה, היינו דאם יוזמו יוצא שהם יומתו ע"פ קרוביהם.</w:t>
      </w:r>
    </w:p>
    <w:p w14:paraId="06912144" w14:textId="77777777" w:rsidR="0013116F" w:rsidRPr="00845316" w:rsidRDefault="0013116F" w:rsidP="004B0475">
      <w:pPr>
        <w:pStyle w:val="ac"/>
        <w:numPr>
          <w:ilvl w:val="0"/>
          <w:numId w:val="196"/>
        </w:numPr>
        <w:spacing w:after="60" w:line="240" w:lineRule="auto"/>
        <w:rPr>
          <w:rFonts w:asciiTheme="minorBidi" w:hAnsiTheme="minorBidi"/>
          <w:sz w:val="20"/>
          <w:szCs w:val="20"/>
        </w:rPr>
      </w:pPr>
      <w:r w:rsidRPr="00845316">
        <w:rPr>
          <w:rFonts w:asciiTheme="minorBidi" w:hAnsiTheme="minorBidi"/>
          <w:sz w:val="20"/>
          <w:szCs w:val="20"/>
          <w:rtl/>
        </w:rPr>
        <w:t xml:space="preserve">סמ"ע </w:t>
      </w:r>
      <w:r w:rsidRPr="00845316">
        <w:rPr>
          <w:rFonts w:asciiTheme="minorBidi" w:hAnsiTheme="minorBidi"/>
          <w:sz w:val="16"/>
          <w:szCs w:val="16"/>
          <w:rtl/>
        </w:rPr>
        <w:t>(סקכ"ו)</w:t>
      </w:r>
      <w:r w:rsidRPr="00845316">
        <w:rPr>
          <w:rFonts w:asciiTheme="minorBidi" w:hAnsiTheme="minorBidi"/>
          <w:sz w:val="20"/>
          <w:szCs w:val="20"/>
          <w:rtl/>
        </w:rPr>
        <w:t xml:space="preserve">- משום שהדיינים לא יקבלו הזמה על קרוביהם, ובעינן עדות שאתה יכול להזימה. </w:t>
      </w:r>
      <w:r w:rsidRPr="00845316">
        <w:rPr>
          <w:rFonts w:asciiTheme="minorBidi" w:hAnsiTheme="minorBidi"/>
          <w:sz w:val="16"/>
          <w:szCs w:val="16"/>
          <w:rtl/>
        </w:rPr>
        <w:t>(ואפשר שפירש כן משום שגורס כגירסתנו בירושלמי, ומשום שקרא את סוף דברי הירושלמי בסימן קריאה, כך: "ומניין שלא יהו העדים קרובין של דיינין הגע עצמך שאם הוזם אחד מהן כלום נהרג עד שיוזם חבירו. אם את אומר כן לא היה נהרג על פיו!" ואם היה קורא בסימן שאלה היה יוצא לו משום "לא יומתו")</w:t>
      </w:r>
    </w:p>
  </w:footnote>
  <w:footnote w:id="2026">
    <w:p w14:paraId="08B5EEAB" w14:textId="77777777" w:rsidR="0013116F" w:rsidRPr="00845316" w:rsidRDefault="0013116F" w:rsidP="004B607F">
      <w:pPr>
        <w:pStyle w:val="a9"/>
        <w:spacing w:after="60"/>
        <w:rPr>
          <w:rFonts w:asciiTheme="minorBidi" w:hAnsiTheme="minorBidi"/>
          <w:rtl/>
        </w:rPr>
      </w:pPr>
      <w:r w:rsidRPr="00845316">
        <w:rPr>
          <w:rStyle w:val="ab"/>
          <w:rFonts w:asciiTheme="minorBidi" w:hAnsiTheme="minorBidi"/>
        </w:rPr>
        <w:footnoteRef/>
      </w:r>
      <w:r w:rsidRPr="00845316">
        <w:rPr>
          <w:rFonts w:asciiTheme="minorBidi" w:hAnsiTheme="minorBidi"/>
          <w:rtl/>
        </w:rPr>
        <w:t xml:space="preserve"> אלו דברי ר"י שם, וכ' התוס' בכתובות (כא: ד"ה הנח) ג"כ מסקנה זו. </w:t>
      </w:r>
    </w:p>
  </w:footnote>
  <w:footnote w:id="2027">
    <w:p w14:paraId="4691DC1B" w14:textId="77777777" w:rsidR="0013116F" w:rsidRPr="00845316" w:rsidRDefault="0013116F" w:rsidP="004B607F">
      <w:pPr>
        <w:pStyle w:val="a9"/>
        <w:spacing w:after="60"/>
        <w:rPr>
          <w:rFonts w:asciiTheme="minorBidi" w:hAnsiTheme="minorBidi"/>
        </w:rPr>
      </w:pPr>
      <w:r w:rsidRPr="00845316">
        <w:rPr>
          <w:rStyle w:val="ab"/>
          <w:rFonts w:asciiTheme="minorBidi" w:hAnsiTheme="minorBidi"/>
        </w:rPr>
        <w:footnoteRef/>
      </w:r>
      <w:r w:rsidRPr="00845316">
        <w:rPr>
          <w:rFonts w:asciiTheme="minorBidi" w:hAnsiTheme="minorBidi"/>
          <w:rtl/>
        </w:rPr>
        <w:t xml:space="preserve"> ולדעת הגה' פו"ד הכוונה כאן היא רק לקיום שטר (היינו כדברי הרשב"א ורי"ו כדלקמן).</w:t>
      </w:r>
    </w:p>
  </w:footnote>
  <w:footnote w:id="2028">
    <w:p w14:paraId="64B5C44F" w14:textId="77777777" w:rsidR="0013116F" w:rsidRPr="00845316" w:rsidRDefault="0013116F" w:rsidP="004B607F">
      <w:pPr>
        <w:pStyle w:val="a9"/>
        <w:spacing w:after="60"/>
        <w:rPr>
          <w:rFonts w:asciiTheme="minorBidi" w:hAnsiTheme="minorBidi"/>
        </w:rPr>
      </w:pPr>
      <w:r w:rsidRPr="00845316">
        <w:rPr>
          <w:rStyle w:val="ab"/>
          <w:rFonts w:asciiTheme="minorBidi" w:hAnsiTheme="minorBidi"/>
        </w:rPr>
        <w:footnoteRef/>
      </w:r>
      <w:r w:rsidRPr="00845316">
        <w:rPr>
          <w:rFonts w:asciiTheme="minorBidi" w:hAnsiTheme="minorBidi"/>
          <w:rtl/>
        </w:rPr>
        <w:t xml:space="preserve"> בתשו' כלל ס סי' ד, הביאו רי"ו (מישרים נ"ב ח"ג).</w:t>
      </w:r>
    </w:p>
  </w:footnote>
  <w:footnote w:id="2029">
    <w:p w14:paraId="2C38F600" w14:textId="77777777" w:rsidR="0013116F" w:rsidRPr="00845316" w:rsidRDefault="0013116F" w:rsidP="004B607F">
      <w:pPr>
        <w:pStyle w:val="a9"/>
        <w:spacing w:after="60"/>
        <w:rPr>
          <w:rFonts w:asciiTheme="minorBidi" w:hAnsiTheme="minorBidi"/>
        </w:rPr>
      </w:pPr>
      <w:r w:rsidRPr="00845316">
        <w:rPr>
          <w:rStyle w:val="ab"/>
          <w:rFonts w:asciiTheme="minorBidi" w:hAnsiTheme="minorBidi"/>
        </w:rPr>
        <w:footnoteRef/>
      </w:r>
      <w:r w:rsidRPr="00845316">
        <w:rPr>
          <w:rFonts w:asciiTheme="minorBidi" w:hAnsiTheme="minorBidi"/>
          <w:rtl/>
        </w:rPr>
        <w:t xml:space="preserve"> על הרי"ף כתובות יב ע"ב.</w:t>
      </w:r>
    </w:p>
  </w:footnote>
  <w:footnote w:id="2030">
    <w:p w14:paraId="204215AD" w14:textId="77777777" w:rsidR="0013116F" w:rsidRPr="00845316" w:rsidRDefault="0013116F" w:rsidP="004B607F">
      <w:pPr>
        <w:pStyle w:val="a9"/>
        <w:spacing w:after="60"/>
        <w:rPr>
          <w:rFonts w:asciiTheme="minorBidi" w:hAnsiTheme="minorBidi"/>
          <w:rtl/>
        </w:rPr>
      </w:pPr>
      <w:r w:rsidRPr="00845316">
        <w:rPr>
          <w:rStyle w:val="ab"/>
          <w:rFonts w:asciiTheme="minorBidi" w:hAnsiTheme="minorBidi"/>
        </w:rPr>
        <w:footnoteRef/>
      </w:r>
      <w:r w:rsidRPr="00845316">
        <w:rPr>
          <w:rFonts w:asciiTheme="minorBidi" w:hAnsiTheme="minorBidi"/>
          <w:rtl/>
        </w:rPr>
        <w:t xml:space="preserve"> רשב"א</w:t>
      </w:r>
      <w:r w:rsidRPr="00845316">
        <w:rPr>
          <w:rFonts w:asciiTheme="minorBidi" w:hAnsiTheme="minorBidi"/>
          <w:sz w:val="16"/>
          <w:szCs w:val="16"/>
          <w:rtl/>
        </w:rPr>
        <w:t xml:space="preserve"> (הביאו הר"ן שם)</w:t>
      </w:r>
      <w:r w:rsidRPr="00845316">
        <w:rPr>
          <w:rFonts w:asciiTheme="minorBidi" w:hAnsiTheme="minorBidi"/>
          <w:rtl/>
        </w:rPr>
        <w:t xml:space="preserve"> ורי"ו</w:t>
      </w:r>
      <w:r w:rsidRPr="00845316">
        <w:rPr>
          <w:rFonts w:asciiTheme="minorBidi" w:hAnsiTheme="minorBidi"/>
          <w:sz w:val="16"/>
          <w:szCs w:val="16"/>
          <w:rtl/>
        </w:rPr>
        <w:t xml:space="preserve"> (מישרים נ"ב ח"ח)</w:t>
      </w:r>
      <w:r w:rsidRPr="00845316">
        <w:rPr>
          <w:rFonts w:asciiTheme="minorBidi" w:hAnsiTheme="minorBidi"/>
          <w:rtl/>
        </w:rPr>
        <w:t>.</w:t>
      </w:r>
    </w:p>
  </w:footnote>
  <w:footnote w:id="2031">
    <w:p w14:paraId="22463FC1" w14:textId="77777777" w:rsidR="0013116F" w:rsidRPr="00845316" w:rsidRDefault="0013116F" w:rsidP="004B607F">
      <w:pPr>
        <w:pStyle w:val="a9"/>
        <w:spacing w:after="60"/>
        <w:rPr>
          <w:rFonts w:asciiTheme="minorBidi" w:hAnsiTheme="minorBidi"/>
        </w:rPr>
      </w:pPr>
      <w:r w:rsidRPr="00845316">
        <w:rPr>
          <w:rStyle w:val="ab"/>
          <w:rFonts w:asciiTheme="minorBidi" w:hAnsiTheme="minorBidi"/>
        </w:rPr>
        <w:footnoteRef/>
      </w:r>
      <w:r w:rsidRPr="00845316">
        <w:rPr>
          <w:rFonts w:asciiTheme="minorBidi" w:hAnsiTheme="minorBidi"/>
          <w:rtl/>
        </w:rPr>
        <w:t xml:space="preserve"> בתשו', הובא ברי"ו מישרים נ"ב ח"ח.</w:t>
      </w:r>
    </w:p>
  </w:footnote>
  <w:footnote w:id="2032">
    <w:p w14:paraId="7C088189" w14:textId="77777777" w:rsidR="0013116F" w:rsidRPr="00845316" w:rsidRDefault="0013116F" w:rsidP="004B607F">
      <w:pPr>
        <w:pStyle w:val="a9"/>
        <w:spacing w:after="60"/>
        <w:rPr>
          <w:rFonts w:asciiTheme="minorBidi" w:hAnsiTheme="minorBidi"/>
        </w:rPr>
      </w:pPr>
      <w:r w:rsidRPr="00845316">
        <w:rPr>
          <w:rStyle w:val="ab"/>
          <w:rFonts w:asciiTheme="minorBidi" w:hAnsiTheme="minorBidi"/>
        </w:rPr>
        <w:footnoteRef/>
      </w:r>
      <w:r w:rsidRPr="00845316">
        <w:rPr>
          <w:rFonts w:asciiTheme="minorBidi" w:hAnsiTheme="minorBidi"/>
          <w:rtl/>
        </w:rPr>
        <w:t xml:space="preserve"> כלל ס סי' ג.</w:t>
      </w:r>
    </w:p>
  </w:footnote>
  <w:footnote w:id="2033">
    <w:p w14:paraId="6D5E6E56" w14:textId="77777777" w:rsidR="0013116F" w:rsidRDefault="0013116F" w:rsidP="004B607F">
      <w:pPr>
        <w:pStyle w:val="a9"/>
      </w:pPr>
      <w:r>
        <w:rPr>
          <w:rStyle w:val="ab"/>
        </w:rPr>
        <w:footnoteRef/>
      </w:r>
      <w:r>
        <w:rPr>
          <w:rtl/>
        </w:rPr>
        <w:t xml:space="preserve"> </w:t>
      </w:r>
      <w:r>
        <w:rPr>
          <w:rFonts w:hint="cs"/>
          <w:rtl/>
        </w:rPr>
        <w:t xml:space="preserve">סימן </w:t>
      </w:r>
      <w:r>
        <w:rPr>
          <w:rtl/>
        </w:rPr>
        <w:t>–</w:t>
      </w:r>
      <w:r>
        <w:rPr>
          <w:rFonts w:hint="cs"/>
          <w:rtl/>
        </w:rPr>
        <w:t xml:space="preserve"> כולם דני</w:t>
      </w:r>
    </w:p>
  </w:footnote>
  <w:footnote w:id="2034">
    <w:p w14:paraId="5ABBC5F6" w14:textId="77777777" w:rsidR="0013116F" w:rsidRPr="00845316" w:rsidRDefault="0013116F" w:rsidP="004B607F">
      <w:pPr>
        <w:pStyle w:val="a9"/>
        <w:spacing w:after="60"/>
        <w:rPr>
          <w:rFonts w:asciiTheme="minorBidi" w:hAnsiTheme="minorBidi"/>
          <w:rtl/>
        </w:rPr>
      </w:pPr>
      <w:r w:rsidRPr="00845316">
        <w:rPr>
          <w:rStyle w:val="ab"/>
          <w:rFonts w:asciiTheme="minorBidi" w:hAnsiTheme="minorBidi"/>
        </w:rPr>
        <w:footnoteRef/>
      </w:r>
      <w:r w:rsidRPr="00845316">
        <w:rPr>
          <w:rFonts w:asciiTheme="minorBidi" w:hAnsiTheme="minorBidi"/>
          <w:rtl/>
        </w:rPr>
        <w:t xml:space="preserve"> להיות דיין, רש"י.</w:t>
      </w:r>
    </w:p>
  </w:footnote>
  <w:footnote w:id="2035">
    <w:p w14:paraId="70A65DC8" w14:textId="77777777" w:rsidR="0013116F" w:rsidRPr="00845316" w:rsidRDefault="0013116F" w:rsidP="004B607F">
      <w:pPr>
        <w:pStyle w:val="a9"/>
        <w:spacing w:after="60"/>
        <w:rPr>
          <w:rFonts w:asciiTheme="minorBidi" w:hAnsiTheme="minorBidi"/>
          <w:rtl/>
        </w:rPr>
      </w:pPr>
      <w:r w:rsidRPr="00845316">
        <w:rPr>
          <w:rStyle w:val="ab"/>
          <w:rFonts w:asciiTheme="minorBidi" w:hAnsiTheme="minorBidi"/>
        </w:rPr>
        <w:footnoteRef/>
      </w:r>
      <w:r w:rsidRPr="00845316">
        <w:rPr>
          <w:rFonts w:asciiTheme="minorBidi" w:hAnsiTheme="minorBidi"/>
          <w:rtl/>
        </w:rPr>
        <w:t xml:space="preserve"> פסול מן התורה לדונני, לא לזכות ולא לחיוב, דנפקא לן בסנהדרין (כז:) מלא יומתו אבות על בנים וגו', רש"י.</w:t>
      </w:r>
    </w:p>
  </w:footnote>
  <w:footnote w:id="2036">
    <w:p w14:paraId="3968C5AE" w14:textId="77777777" w:rsidR="0013116F" w:rsidRPr="00845316" w:rsidRDefault="0013116F" w:rsidP="004B607F">
      <w:pPr>
        <w:pStyle w:val="a9"/>
        <w:spacing w:after="60"/>
        <w:rPr>
          <w:rFonts w:asciiTheme="minorBidi" w:hAnsiTheme="minorBidi"/>
        </w:rPr>
      </w:pPr>
      <w:r w:rsidRPr="00845316">
        <w:rPr>
          <w:rStyle w:val="ab"/>
          <w:rFonts w:asciiTheme="minorBidi" w:hAnsiTheme="minorBidi"/>
        </w:rPr>
        <w:footnoteRef/>
      </w:r>
      <w:r w:rsidRPr="00845316">
        <w:rPr>
          <w:rFonts w:asciiTheme="minorBidi" w:hAnsiTheme="minorBidi"/>
          <w:rtl/>
        </w:rPr>
        <w:t xml:space="preserve"> וה"ה אם מינו דיינים ושלא ידון אחר זולתם, שו"ע סי' כב סע' א.</w:t>
      </w:r>
    </w:p>
  </w:footnote>
  <w:footnote w:id="2037">
    <w:p w14:paraId="03748027" w14:textId="77777777" w:rsidR="0013116F" w:rsidRPr="00845316" w:rsidRDefault="0013116F" w:rsidP="004B607F">
      <w:pPr>
        <w:pStyle w:val="a9"/>
        <w:spacing w:after="60"/>
        <w:rPr>
          <w:rFonts w:asciiTheme="minorBidi" w:hAnsiTheme="minorBidi"/>
          <w:rtl/>
        </w:rPr>
      </w:pPr>
      <w:r w:rsidRPr="00845316">
        <w:rPr>
          <w:rStyle w:val="ab"/>
          <w:rFonts w:asciiTheme="minorBidi" w:hAnsiTheme="minorBidi"/>
        </w:rPr>
        <w:footnoteRef/>
      </w:r>
      <w:r w:rsidRPr="00845316">
        <w:rPr>
          <w:rFonts w:asciiTheme="minorBidi" w:hAnsiTheme="minorBidi"/>
          <w:rtl/>
        </w:rPr>
        <w:t xml:space="preserve"> רא"ש </w:t>
      </w:r>
      <w:r w:rsidRPr="00845316">
        <w:rPr>
          <w:rFonts w:asciiTheme="minorBidi" w:hAnsiTheme="minorBidi"/>
          <w:sz w:val="16"/>
          <w:szCs w:val="16"/>
          <w:rtl/>
        </w:rPr>
        <w:t>(בתשו' כלל ו סי' טו)</w:t>
      </w:r>
      <w:r w:rsidRPr="00845316">
        <w:rPr>
          <w:rFonts w:asciiTheme="minorBidi" w:hAnsiTheme="minorBidi"/>
          <w:rtl/>
        </w:rPr>
        <w:t xml:space="preserve">. וכ"כ הרשב"א </w:t>
      </w:r>
      <w:r w:rsidRPr="00845316">
        <w:rPr>
          <w:rFonts w:asciiTheme="minorBidi" w:hAnsiTheme="minorBidi"/>
          <w:sz w:val="16"/>
          <w:szCs w:val="16"/>
          <w:rtl/>
        </w:rPr>
        <w:t>(ח"א סי' תשכט)</w:t>
      </w:r>
      <w:r w:rsidRPr="00845316">
        <w:rPr>
          <w:rFonts w:asciiTheme="minorBidi" w:hAnsiTheme="minorBidi"/>
          <w:rtl/>
        </w:rPr>
        <w:t xml:space="preserve">. </w:t>
      </w:r>
      <w:r w:rsidRPr="00845316">
        <w:rPr>
          <w:rFonts w:asciiTheme="minorBidi" w:hAnsiTheme="minorBidi"/>
          <w:sz w:val="16"/>
          <w:szCs w:val="16"/>
          <w:rtl/>
        </w:rPr>
        <w:t>(ועי' לקמן ס"ס לז בסע' כ"ב, ולעיל סי' כח סע' כ"ג, וסי' ח ס"ס א' בהג"ה)</w:t>
      </w:r>
      <w:r w:rsidRPr="00845316">
        <w:rPr>
          <w:rFonts w:asciiTheme="minorBidi" w:hAnsiTheme="minorBidi"/>
          <w:rtl/>
        </w:rPr>
        <w:t>.</w:t>
      </w:r>
    </w:p>
  </w:footnote>
  <w:footnote w:id="2038">
    <w:p w14:paraId="276506C6" w14:textId="77777777" w:rsidR="0013116F" w:rsidRPr="00845316" w:rsidRDefault="0013116F" w:rsidP="004B607F">
      <w:pPr>
        <w:pStyle w:val="a9"/>
        <w:spacing w:after="60"/>
        <w:rPr>
          <w:rFonts w:asciiTheme="minorBidi" w:hAnsiTheme="minorBidi"/>
        </w:rPr>
      </w:pPr>
      <w:r w:rsidRPr="00845316">
        <w:rPr>
          <w:rStyle w:val="ab"/>
          <w:rFonts w:asciiTheme="minorBidi" w:hAnsiTheme="minorBidi"/>
        </w:rPr>
        <w:footnoteRef/>
      </w:r>
      <w:r w:rsidRPr="00845316">
        <w:rPr>
          <w:rFonts w:asciiTheme="minorBidi" w:hAnsiTheme="minorBidi"/>
          <w:rtl/>
        </w:rPr>
        <w:t xml:space="preserve"> בסתם, אבל אם מינו אותם על מנת שלא ידון אחר זולתם גם כשיהיו קרובים לנידונים או לעדים וזה בהסכמת הקהל- כשרים.</w:t>
      </w:r>
    </w:p>
  </w:footnote>
  <w:footnote w:id="2039">
    <w:p w14:paraId="69C1B304" w14:textId="77777777" w:rsidR="0013116F" w:rsidRPr="00845316" w:rsidRDefault="0013116F" w:rsidP="004B607F">
      <w:pPr>
        <w:pStyle w:val="a9"/>
        <w:spacing w:after="60"/>
        <w:rPr>
          <w:rFonts w:asciiTheme="minorBidi" w:hAnsiTheme="minorBidi"/>
          <w:rtl/>
        </w:rPr>
      </w:pPr>
      <w:r w:rsidRPr="00845316">
        <w:rPr>
          <w:rStyle w:val="ab"/>
          <w:rFonts w:asciiTheme="minorBidi" w:hAnsiTheme="minorBidi"/>
        </w:rPr>
        <w:footnoteRef/>
      </w:r>
      <w:r w:rsidRPr="00845316">
        <w:rPr>
          <w:rFonts w:asciiTheme="minorBidi" w:hAnsiTheme="minorBidi"/>
          <w:rtl/>
        </w:rPr>
        <w:t xml:space="preserve"> ואפילו כבר התחיל לדונו טרם שנעשה החיתון וקודם גמר דין נתחתן, פסול לגמור, אע"פ שתחילת הדין היה בכשרות, חת"ס </w:t>
      </w:r>
      <w:r w:rsidRPr="00845316">
        <w:rPr>
          <w:rFonts w:asciiTheme="minorBidi" w:hAnsiTheme="minorBidi"/>
          <w:sz w:val="16"/>
          <w:szCs w:val="16"/>
          <w:rtl/>
        </w:rPr>
        <w:t>(סי' יז, הובא בפת"ש סקי"ב)</w:t>
      </w:r>
      <w:r w:rsidRPr="00845316">
        <w:rPr>
          <w:rFonts w:asciiTheme="minorBidi" w:hAnsiTheme="minorBidi"/>
          <w:rtl/>
        </w:rPr>
        <w:t>.</w:t>
      </w:r>
    </w:p>
  </w:footnote>
  <w:footnote w:id="2040">
    <w:p w14:paraId="46FD9F88" w14:textId="77777777" w:rsidR="0013116F" w:rsidRPr="00845316" w:rsidRDefault="0013116F" w:rsidP="004B607F">
      <w:pPr>
        <w:pStyle w:val="a9"/>
        <w:spacing w:after="60"/>
        <w:rPr>
          <w:rFonts w:asciiTheme="minorBidi" w:hAnsiTheme="minorBidi"/>
        </w:rPr>
      </w:pPr>
      <w:r w:rsidRPr="00845316">
        <w:rPr>
          <w:rStyle w:val="ab"/>
          <w:rFonts w:asciiTheme="minorBidi" w:hAnsiTheme="minorBidi"/>
        </w:rPr>
        <w:footnoteRef/>
      </w:r>
      <w:r w:rsidRPr="00845316">
        <w:rPr>
          <w:rFonts w:asciiTheme="minorBidi" w:hAnsiTheme="minorBidi"/>
          <w:rtl/>
        </w:rPr>
        <w:t xml:space="preserve"> </w:t>
      </w:r>
      <w:r>
        <w:rPr>
          <w:rFonts w:asciiTheme="minorBidi" w:hAnsiTheme="minorBidi" w:hint="cs"/>
          <w:rtl/>
        </w:rPr>
        <w:t xml:space="preserve">סימן </w:t>
      </w:r>
      <w:r>
        <w:rPr>
          <w:rFonts w:asciiTheme="minorBidi" w:hAnsiTheme="minorBidi"/>
          <w:rtl/>
        </w:rPr>
        <w:t>–</w:t>
      </w:r>
      <w:r>
        <w:rPr>
          <w:rFonts w:asciiTheme="minorBidi" w:hAnsiTheme="minorBidi" w:hint="cs"/>
          <w:rtl/>
        </w:rPr>
        <w:t xml:space="preserve"> כת זוממת. וכן </w:t>
      </w:r>
      <w:r>
        <w:rPr>
          <w:rFonts w:asciiTheme="minorBidi" w:hAnsiTheme="minorBidi"/>
          <w:rtl/>
        </w:rPr>
        <w:t>–</w:t>
      </w:r>
      <w:r>
        <w:rPr>
          <w:rFonts w:asciiTheme="minorBidi" w:hAnsiTheme="minorBidi" w:hint="cs"/>
          <w:rtl/>
        </w:rPr>
        <w:t xml:space="preserve"> כת זדים. </w:t>
      </w:r>
      <w:r w:rsidRPr="00845316">
        <w:rPr>
          <w:rFonts w:asciiTheme="minorBidi" w:hAnsiTheme="minorBidi"/>
          <w:rtl/>
        </w:rPr>
        <w:t xml:space="preserve">וכן </w:t>
      </w:r>
      <w:r>
        <w:rPr>
          <w:rFonts w:asciiTheme="minorBidi" w:hAnsiTheme="minorBidi" w:hint="cs"/>
          <w:rtl/>
        </w:rPr>
        <w:t xml:space="preserve">איתא </w:t>
      </w:r>
      <w:r w:rsidRPr="00845316">
        <w:rPr>
          <w:rFonts w:asciiTheme="minorBidi" w:hAnsiTheme="minorBidi"/>
          <w:rtl/>
        </w:rPr>
        <w:t>בבבא קמא עב ע"ב</w:t>
      </w:r>
      <w:r>
        <w:rPr>
          <w:rFonts w:asciiTheme="minorBidi" w:hAnsiTheme="minorBidi" w:hint="cs"/>
          <w:rtl/>
        </w:rPr>
        <w:t xml:space="preserve"> וסימן לשם </w:t>
      </w:r>
      <w:r>
        <w:rPr>
          <w:rFonts w:asciiTheme="minorBidi" w:hAnsiTheme="minorBidi"/>
          <w:rtl/>
        </w:rPr>
        <w:t>–</w:t>
      </w:r>
      <w:r>
        <w:rPr>
          <w:rFonts w:asciiTheme="minorBidi" w:hAnsiTheme="minorBidi" w:hint="cs"/>
          <w:rtl/>
        </w:rPr>
        <w:t xml:space="preserve"> עדות בוגדים</w:t>
      </w:r>
      <w:r w:rsidRPr="00845316">
        <w:rPr>
          <w:rFonts w:asciiTheme="minorBidi" w:hAnsiTheme="minorBidi"/>
          <w:rtl/>
        </w:rPr>
        <w:t>.</w:t>
      </w:r>
    </w:p>
  </w:footnote>
  <w:footnote w:id="2041">
    <w:p w14:paraId="0ADE00A6" w14:textId="77777777" w:rsidR="0013116F" w:rsidRPr="00845316" w:rsidRDefault="0013116F" w:rsidP="004B607F">
      <w:pPr>
        <w:pStyle w:val="a9"/>
        <w:spacing w:after="60"/>
        <w:rPr>
          <w:rFonts w:asciiTheme="minorBidi" w:hAnsiTheme="minorBidi"/>
        </w:rPr>
      </w:pPr>
      <w:r w:rsidRPr="00845316">
        <w:rPr>
          <w:rStyle w:val="ab"/>
          <w:rFonts w:asciiTheme="minorBidi" w:hAnsiTheme="minorBidi"/>
        </w:rPr>
        <w:footnoteRef/>
      </w:r>
      <w:r w:rsidRPr="00845316">
        <w:rPr>
          <w:rFonts w:asciiTheme="minorBidi" w:hAnsiTheme="minorBidi"/>
          <w:rtl/>
        </w:rPr>
        <w:t xml:space="preserve"> יאוש שלא מדעת באלו מציאות (ב"מ כא:), עד זומם הכא, לחי העומד מאיליו בפרק קמא דעירובין (טו.), קידושין שלא נמסרו לביאה בהאיש מקדש (קדושין נא.) גילוי דעת בגיטין בהשולח גט (גיטין לד.), מומר אוכל נבלות להכעיס לקמן, רש"י.</w:t>
      </w:r>
    </w:p>
  </w:footnote>
  <w:footnote w:id="2042">
    <w:p w14:paraId="01CB846D" w14:textId="77777777" w:rsidR="0013116F" w:rsidRPr="00845316" w:rsidRDefault="0013116F" w:rsidP="004B607F">
      <w:pPr>
        <w:pStyle w:val="a9"/>
        <w:spacing w:after="60"/>
        <w:rPr>
          <w:rFonts w:asciiTheme="minorBidi" w:hAnsiTheme="minorBidi"/>
        </w:rPr>
      </w:pPr>
      <w:r w:rsidRPr="00845316">
        <w:rPr>
          <w:rStyle w:val="ab"/>
          <w:rFonts w:asciiTheme="minorBidi" w:hAnsiTheme="minorBidi"/>
        </w:rPr>
        <w:footnoteRef/>
      </w:r>
      <w:r w:rsidRPr="00845316">
        <w:rPr>
          <w:rFonts w:asciiTheme="minorBidi" w:hAnsiTheme="minorBidi"/>
          <w:rtl/>
        </w:rPr>
        <w:t xml:space="preserve"> </w:t>
      </w:r>
      <w:r>
        <w:rPr>
          <w:rFonts w:asciiTheme="minorBidi" w:hAnsiTheme="minorBidi" w:hint="cs"/>
          <w:rtl/>
        </w:rPr>
        <w:t>סימן - לומר לדיין לא להצטרף</w:t>
      </w:r>
      <w:r w:rsidRPr="00845316">
        <w:rPr>
          <w:rFonts w:asciiTheme="minorBidi" w:hAnsiTheme="minorBidi"/>
          <w:rtl/>
        </w:rPr>
        <w:t>.</w:t>
      </w:r>
    </w:p>
  </w:footnote>
  <w:footnote w:id="2043">
    <w:p w14:paraId="77A3EBD6" w14:textId="77777777" w:rsidR="0013116F" w:rsidRPr="00845316" w:rsidRDefault="0013116F" w:rsidP="004B607F">
      <w:pPr>
        <w:pStyle w:val="a9"/>
        <w:spacing w:after="60"/>
        <w:rPr>
          <w:rFonts w:asciiTheme="minorBidi" w:hAnsiTheme="minorBidi"/>
          <w:rtl/>
        </w:rPr>
      </w:pPr>
      <w:r w:rsidRPr="00845316">
        <w:rPr>
          <w:rStyle w:val="ab"/>
          <w:rFonts w:asciiTheme="minorBidi" w:hAnsiTheme="minorBidi"/>
        </w:rPr>
        <w:footnoteRef/>
      </w:r>
      <w:r w:rsidRPr="00845316">
        <w:rPr>
          <w:rFonts w:asciiTheme="minorBidi" w:hAnsiTheme="minorBidi"/>
          <w:rtl/>
        </w:rPr>
        <w:t xml:space="preserve"> ואע"פ שהעדות אמת, רש"י.</w:t>
      </w:r>
    </w:p>
  </w:footnote>
  <w:footnote w:id="2044">
    <w:p w14:paraId="669B7152" w14:textId="77777777" w:rsidR="0013116F" w:rsidRPr="00845316" w:rsidRDefault="0013116F" w:rsidP="004B607F">
      <w:pPr>
        <w:pStyle w:val="a9"/>
        <w:spacing w:after="60"/>
        <w:rPr>
          <w:rFonts w:asciiTheme="minorBidi" w:hAnsiTheme="minorBidi"/>
          <w:rtl/>
        </w:rPr>
      </w:pPr>
      <w:r w:rsidRPr="00845316">
        <w:rPr>
          <w:rStyle w:val="ab"/>
          <w:rFonts w:asciiTheme="minorBidi" w:hAnsiTheme="minorBidi"/>
        </w:rPr>
        <w:footnoteRef/>
      </w:r>
      <w:r w:rsidRPr="00845316">
        <w:rPr>
          <w:rFonts w:asciiTheme="minorBidi" w:hAnsiTheme="minorBidi"/>
          <w:rtl/>
        </w:rPr>
        <w:t xml:space="preserve"> שגורם לפסוק דין על פי שנים עדים ואין כאן אלא עד אחד, רש"י. אך הרמב"ם והטור כתבו שאסור משום "אל תשת וכו" ותמה עליהם הב"י למה שינו מדברי הגמ', </w:t>
      </w:r>
      <w:r w:rsidRPr="00845316">
        <w:rPr>
          <w:rFonts w:asciiTheme="minorBidi" w:hAnsiTheme="minorBidi"/>
          <w:u w:val="single"/>
          <w:rtl/>
        </w:rPr>
        <w:t>ויש בזה כמה יישובים:</w:t>
      </w:r>
    </w:p>
    <w:p w14:paraId="74573C04" w14:textId="77777777" w:rsidR="0013116F" w:rsidRPr="00845316" w:rsidRDefault="0013116F" w:rsidP="004B0475">
      <w:pPr>
        <w:pStyle w:val="a9"/>
        <w:numPr>
          <w:ilvl w:val="0"/>
          <w:numId w:val="197"/>
        </w:numPr>
        <w:spacing w:after="60"/>
        <w:rPr>
          <w:rFonts w:asciiTheme="minorBidi" w:hAnsiTheme="minorBidi"/>
        </w:rPr>
      </w:pPr>
      <w:r w:rsidRPr="00845316">
        <w:rPr>
          <w:rFonts w:asciiTheme="minorBidi" w:hAnsiTheme="minorBidi"/>
          <w:rtl/>
        </w:rPr>
        <w:t xml:space="preserve">הגוה"ע </w:t>
      </w:r>
      <w:r w:rsidRPr="00845316">
        <w:rPr>
          <w:rFonts w:asciiTheme="minorBidi" w:hAnsiTheme="minorBidi"/>
          <w:sz w:val="16"/>
          <w:szCs w:val="16"/>
          <w:rtl/>
        </w:rPr>
        <w:t>(אות ג ע"פ מהר"ם שיק ועדות ביוסף)</w:t>
      </w:r>
      <w:r w:rsidRPr="00845316">
        <w:rPr>
          <w:rFonts w:asciiTheme="minorBidi" w:hAnsiTheme="minorBidi"/>
          <w:rtl/>
        </w:rPr>
        <w:t xml:space="preserve">- כך לומדת התוספתא </w:t>
      </w:r>
      <w:r w:rsidRPr="00845316">
        <w:rPr>
          <w:rFonts w:asciiTheme="minorBidi" w:hAnsiTheme="minorBidi"/>
          <w:sz w:val="16"/>
          <w:szCs w:val="16"/>
          <w:rtl/>
        </w:rPr>
        <w:t xml:space="preserve">(שבועות פ"ה ה"ב: היה טוענו מנה על פי עד אחד וכפר בו לא יאמר לאחר בוא אני ואתה ונעידני שנוציא גזילה מתחת ידו תל' לומ' אל תשת ידך עם רשע להיות עד חמס) </w:t>
      </w:r>
      <w:r w:rsidRPr="00845316">
        <w:rPr>
          <w:rFonts w:asciiTheme="minorBidi" w:hAnsiTheme="minorBidi"/>
          <w:rtl/>
        </w:rPr>
        <w:t xml:space="preserve">ונראה שמקור דברי הרמב"ם והטור הוא משם, והא דשבקי גמ' דידן הוא משום דס"ל דלא פליגי ורק לעניין דיין המצטרף </w:t>
      </w:r>
      <w:r w:rsidRPr="00845316">
        <w:rPr>
          <w:rFonts w:asciiTheme="minorBidi" w:hAnsiTheme="minorBidi"/>
          <w:sz w:val="16"/>
          <w:szCs w:val="16"/>
          <w:rtl/>
        </w:rPr>
        <w:t xml:space="preserve">{לדון} </w:t>
      </w:r>
      <w:r w:rsidRPr="00845316">
        <w:rPr>
          <w:rFonts w:asciiTheme="minorBidi" w:hAnsiTheme="minorBidi"/>
          <w:rtl/>
        </w:rPr>
        <w:t xml:space="preserve">עם רשע בעינן דווקא "מדבר שקר תרחק", והא דילפינן בגמ' גם בעד מ-"דבר שקר תרחק" היינו רק אגב גררא דאינך. </w:t>
      </w:r>
    </w:p>
    <w:p w14:paraId="51A64E80" w14:textId="77777777" w:rsidR="0013116F" w:rsidRPr="00845316" w:rsidRDefault="0013116F" w:rsidP="004B0475">
      <w:pPr>
        <w:pStyle w:val="a9"/>
        <w:numPr>
          <w:ilvl w:val="0"/>
          <w:numId w:val="197"/>
        </w:numPr>
        <w:spacing w:after="60"/>
        <w:rPr>
          <w:rFonts w:asciiTheme="minorBidi" w:hAnsiTheme="minorBidi"/>
        </w:rPr>
      </w:pPr>
      <w:r w:rsidRPr="00845316">
        <w:rPr>
          <w:rFonts w:asciiTheme="minorBidi" w:hAnsiTheme="minorBidi"/>
          <w:rtl/>
        </w:rPr>
        <w:t>מהר"י</w:t>
      </w:r>
      <w:r w:rsidRPr="00845316">
        <w:rPr>
          <w:rFonts w:asciiTheme="minorBidi" w:hAnsiTheme="minorBidi"/>
          <w:sz w:val="16"/>
          <w:szCs w:val="16"/>
          <w:rtl/>
        </w:rPr>
        <w:t xml:space="preserve"> (הובא בט"ז)</w:t>
      </w:r>
      <w:r w:rsidRPr="00845316">
        <w:rPr>
          <w:rFonts w:asciiTheme="minorBidi" w:hAnsiTheme="minorBidi"/>
          <w:rtl/>
        </w:rPr>
        <w:t xml:space="preserve">- הרמב"ם </w:t>
      </w:r>
      <w:r w:rsidRPr="00845316">
        <w:rPr>
          <w:rFonts w:asciiTheme="minorBidi" w:hAnsiTheme="minorBidi"/>
          <w:sz w:val="16"/>
          <w:szCs w:val="16"/>
          <w:rtl/>
        </w:rPr>
        <w:t xml:space="preserve">(פ"י ה"א) </w:t>
      </w:r>
      <w:r w:rsidRPr="00845316">
        <w:rPr>
          <w:rFonts w:asciiTheme="minorBidi" w:hAnsiTheme="minorBidi"/>
          <w:rtl/>
        </w:rPr>
        <w:t xml:space="preserve">הבין דהגמ' </w:t>
      </w:r>
      <w:r w:rsidRPr="00845316">
        <w:rPr>
          <w:rFonts w:asciiTheme="minorBidi" w:hAnsiTheme="minorBidi"/>
          <w:sz w:val="16"/>
          <w:szCs w:val="16"/>
          <w:rtl/>
        </w:rPr>
        <w:t xml:space="preserve">(שבועות ל:) </w:t>
      </w:r>
      <w:r w:rsidRPr="00845316">
        <w:rPr>
          <w:rFonts w:asciiTheme="minorBidi" w:hAnsiTheme="minorBidi"/>
          <w:rtl/>
        </w:rPr>
        <w:t>מיירי היכא שכבר העיד הרשע בפני ב"ד והעד הכשר אינו בא עמו ביחד לב"ד, אפ"ה אסור משום "מדבר שקר". אבל היכא שבא עם הרשע בחברה אחת לב"ד זה לא נפקא "מדבר שקר" אלא מפסוק החמור ממנו דהיינו "אל תשת ידך עם רשע", שהוא בלאו שעניינו אל תסייעו להיות אתו עמו עד, בין שראו המעשה יחד בין שלא ראו המעשה יחד.</w:t>
      </w:r>
    </w:p>
  </w:footnote>
  <w:footnote w:id="2045">
    <w:p w14:paraId="741E77D0" w14:textId="77777777" w:rsidR="0013116F" w:rsidRPr="00845316" w:rsidRDefault="0013116F" w:rsidP="004B607F">
      <w:pPr>
        <w:pStyle w:val="a9"/>
        <w:spacing w:after="60"/>
        <w:rPr>
          <w:rFonts w:asciiTheme="minorBidi" w:hAnsiTheme="minorBidi"/>
        </w:rPr>
      </w:pPr>
      <w:r w:rsidRPr="00845316">
        <w:rPr>
          <w:rStyle w:val="ab"/>
          <w:rFonts w:asciiTheme="minorBidi" w:hAnsiTheme="minorBidi"/>
        </w:rPr>
        <w:footnoteRef/>
      </w:r>
      <w:r w:rsidRPr="00845316">
        <w:rPr>
          <w:rFonts w:asciiTheme="minorBidi" w:hAnsiTheme="minorBidi"/>
          <w:rtl/>
        </w:rPr>
        <w:t xml:space="preserve"> והוא משום דכמו דקי"ל דשלשה עדים שהעידו ונמצא אחד מהן קרוב או פסול בטלה כל העדות כולה אף שנשארו שני עדים כשרים, כיון דגזירת הכתוב הוא- כשיש עד אחד פסול בטלה כל העדות, הכא נמי אע"פ שהענין אמת גזירת הכתוב הוא כיון שיש עד פסול העדות בטלה ואסור להעיד עמו, ש"ך (סק"ג, התרוץ שנראה יותר לש"ך מהתירוץ הראשון שהביא שם).</w:t>
      </w:r>
    </w:p>
  </w:footnote>
  <w:footnote w:id="2046">
    <w:p w14:paraId="4FE7554E" w14:textId="77777777" w:rsidR="0013116F" w:rsidRPr="00845316" w:rsidRDefault="0013116F" w:rsidP="004B607F">
      <w:pPr>
        <w:pStyle w:val="a9"/>
        <w:spacing w:after="60"/>
        <w:rPr>
          <w:rFonts w:asciiTheme="minorBidi" w:hAnsiTheme="minorBidi"/>
          <w:rtl/>
        </w:rPr>
      </w:pPr>
      <w:r w:rsidRPr="00845316">
        <w:rPr>
          <w:rStyle w:val="ab"/>
          <w:rFonts w:asciiTheme="minorBidi" w:hAnsiTheme="minorBidi"/>
        </w:rPr>
        <w:footnoteRef/>
      </w:r>
      <w:r w:rsidRPr="00845316">
        <w:rPr>
          <w:rFonts w:asciiTheme="minorBidi" w:hAnsiTheme="minorBidi"/>
          <w:rtl/>
        </w:rPr>
        <w:t xml:space="preserve"> פת"ש סק"א וסק"ב.</w:t>
      </w:r>
    </w:p>
  </w:footnote>
  <w:footnote w:id="2047">
    <w:p w14:paraId="78C07D28" w14:textId="77777777" w:rsidR="0013116F" w:rsidRPr="00845316" w:rsidRDefault="0013116F" w:rsidP="004B607F">
      <w:pPr>
        <w:pStyle w:val="a9"/>
        <w:spacing w:after="60"/>
        <w:rPr>
          <w:rFonts w:asciiTheme="minorBidi" w:hAnsiTheme="minorBidi"/>
        </w:rPr>
      </w:pPr>
      <w:r w:rsidRPr="00845316">
        <w:rPr>
          <w:rStyle w:val="ab"/>
          <w:rFonts w:asciiTheme="minorBidi" w:hAnsiTheme="minorBidi"/>
        </w:rPr>
        <w:footnoteRef/>
      </w:r>
      <w:r w:rsidRPr="00845316">
        <w:rPr>
          <w:rFonts w:asciiTheme="minorBidi" w:hAnsiTheme="minorBidi"/>
          <w:rtl/>
        </w:rPr>
        <w:t xml:space="preserve"> ומיהו אם בשעת ראיה נתכוין הוא והפסול להעיד הוא פלוגתא דרבוותא אם בטלה עדות </w:t>
      </w:r>
      <w:r w:rsidRPr="00845316">
        <w:rPr>
          <w:rFonts w:asciiTheme="minorBidi" w:hAnsiTheme="minorBidi"/>
          <w:u w:val="single"/>
          <w:rtl/>
        </w:rPr>
        <w:t>הכשר</w:t>
      </w:r>
      <w:r w:rsidRPr="00845316">
        <w:rPr>
          <w:rFonts w:asciiTheme="minorBidi" w:hAnsiTheme="minorBidi"/>
          <w:rtl/>
        </w:rPr>
        <w:t xml:space="preserve"> נמי </w:t>
      </w:r>
      <w:r w:rsidRPr="00845316">
        <w:rPr>
          <w:rFonts w:asciiTheme="minorBidi" w:hAnsiTheme="minorBidi"/>
          <w:sz w:val="16"/>
          <w:szCs w:val="16"/>
          <w:rtl/>
        </w:rPr>
        <w:t>(כמבואר בסי' ל"ו סע' א)</w:t>
      </w:r>
      <w:r w:rsidRPr="00845316">
        <w:rPr>
          <w:rFonts w:asciiTheme="minorBidi" w:hAnsiTheme="minorBidi"/>
          <w:rtl/>
        </w:rPr>
        <w:t>, ברכ"י.</w:t>
      </w:r>
    </w:p>
  </w:footnote>
  <w:footnote w:id="2048">
    <w:p w14:paraId="0B8E4FFC" w14:textId="77777777" w:rsidR="0013116F" w:rsidRPr="00845316" w:rsidRDefault="0013116F" w:rsidP="004B607F">
      <w:pPr>
        <w:pStyle w:val="a9"/>
        <w:spacing w:after="60"/>
        <w:rPr>
          <w:rFonts w:asciiTheme="minorBidi" w:hAnsiTheme="minorBidi"/>
        </w:rPr>
      </w:pPr>
      <w:r w:rsidRPr="00845316">
        <w:rPr>
          <w:rStyle w:val="ab"/>
          <w:rFonts w:asciiTheme="minorBidi" w:hAnsiTheme="minorBidi"/>
        </w:rPr>
        <w:footnoteRef/>
      </w:r>
      <w:r w:rsidRPr="00845316">
        <w:rPr>
          <w:rFonts w:asciiTheme="minorBidi" w:hAnsiTheme="minorBidi"/>
          <w:rtl/>
        </w:rPr>
        <w:t xml:space="preserve"> דהא מבואר לקמן </w:t>
      </w:r>
      <w:r w:rsidRPr="00845316">
        <w:rPr>
          <w:rFonts w:asciiTheme="minorBidi" w:hAnsiTheme="minorBidi"/>
          <w:sz w:val="16"/>
          <w:szCs w:val="16"/>
          <w:rtl/>
        </w:rPr>
        <w:t xml:space="preserve">(סע' כג) </w:t>
      </w:r>
      <w:r w:rsidRPr="00845316">
        <w:rPr>
          <w:rFonts w:asciiTheme="minorBidi" w:hAnsiTheme="minorBidi"/>
          <w:rtl/>
        </w:rPr>
        <w:t xml:space="preserve">דעבר עבירה דרבנן צריך הכרזה, וקודם שהכריזו עליו עדותו כשירה, וכ' הרמב"ם </w:t>
      </w:r>
      <w:r w:rsidRPr="00845316">
        <w:rPr>
          <w:rFonts w:asciiTheme="minorBidi" w:hAnsiTheme="minorBidi"/>
          <w:sz w:val="16"/>
          <w:szCs w:val="16"/>
          <w:rtl/>
        </w:rPr>
        <w:t xml:space="preserve">(פי"א מעדות ה"ו) </w:t>
      </w:r>
      <w:r w:rsidRPr="00845316">
        <w:rPr>
          <w:rFonts w:asciiTheme="minorBidi" w:hAnsiTheme="minorBidi"/>
          <w:rtl/>
        </w:rPr>
        <w:t>כדי שלא לאבד זכות העם שלא ידעו שהוא פסול. הרי דאף שנודע לבית דין שפסול מדבריהם, כל שלא הוכרז מקבלין עדותו, ה"ה דהכשר יכול לבוא ולהעיד עמו אף שהוא יודע שהוא פסול שהרי לא הוכרז, ברכ"י.</w:t>
      </w:r>
    </w:p>
  </w:footnote>
  <w:footnote w:id="2049">
    <w:p w14:paraId="6D9F321D" w14:textId="77777777" w:rsidR="0013116F" w:rsidRPr="00845316" w:rsidRDefault="0013116F" w:rsidP="004B607F">
      <w:pPr>
        <w:pStyle w:val="a9"/>
        <w:spacing w:after="60"/>
        <w:rPr>
          <w:rFonts w:asciiTheme="minorBidi" w:hAnsiTheme="minorBidi"/>
          <w:rtl/>
        </w:rPr>
      </w:pPr>
      <w:r w:rsidRPr="00845316">
        <w:rPr>
          <w:rStyle w:val="ab"/>
          <w:rFonts w:asciiTheme="minorBidi" w:hAnsiTheme="minorBidi"/>
        </w:rPr>
        <w:footnoteRef/>
      </w:r>
      <w:r w:rsidRPr="00845316">
        <w:rPr>
          <w:rFonts w:asciiTheme="minorBidi" w:hAnsiTheme="minorBidi"/>
          <w:rtl/>
        </w:rPr>
        <w:t xml:space="preserve"> וכ' הפת"ש </w:t>
      </w:r>
      <w:r w:rsidRPr="00845316">
        <w:rPr>
          <w:rFonts w:asciiTheme="minorBidi" w:hAnsiTheme="minorBidi"/>
          <w:sz w:val="16"/>
          <w:szCs w:val="16"/>
          <w:rtl/>
        </w:rPr>
        <w:t xml:space="preserve">(סק"ב) </w:t>
      </w:r>
      <w:r w:rsidRPr="00845316">
        <w:rPr>
          <w:rFonts w:asciiTheme="minorBidi" w:hAnsiTheme="minorBidi"/>
          <w:rtl/>
        </w:rPr>
        <w:t>וז"ל- ולעד"נ לכאורה לפי מ"ש הש"ך סק"ג בטעם הדבר דאסור להעיד עמו אע"פ שהענין אמת, כיון דקיי"ל דשלשה עדים שהעידו ונמצא אחד מהם קרוב או פסול בטלה כל העדות, ואף שנשארו ב' עדים כשרים מ"מ גזירת הכתוב הוא כו', ע"ש, לפי"ז הכא דאידך הוא רק פסול מדרבנן לא שייך טעם זה, דהא כתב בתשו' נו"ב</w:t>
      </w:r>
      <w:r w:rsidRPr="00845316">
        <w:rPr>
          <w:rFonts w:asciiTheme="minorBidi" w:hAnsiTheme="minorBidi"/>
          <w:sz w:val="16"/>
          <w:szCs w:val="16"/>
          <w:rtl/>
        </w:rPr>
        <w:t xml:space="preserve"> (תניינא אה"ע סי' ע"ו ד"ה ולדעת ב"י)</w:t>
      </w:r>
      <w:r w:rsidRPr="00845316">
        <w:rPr>
          <w:rFonts w:asciiTheme="minorBidi" w:hAnsiTheme="minorBidi"/>
          <w:rtl/>
        </w:rPr>
        <w:t xml:space="preserve"> בשם תשובת ב"י </w:t>
      </w:r>
      <w:r w:rsidRPr="00845316">
        <w:rPr>
          <w:rFonts w:asciiTheme="minorBidi" w:hAnsiTheme="minorBidi"/>
          <w:sz w:val="16"/>
          <w:szCs w:val="16"/>
          <w:rtl/>
        </w:rPr>
        <w:t>(דיני קדושין סימן י')</w:t>
      </w:r>
      <w:r w:rsidRPr="00845316">
        <w:rPr>
          <w:rFonts w:asciiTheme="minorBidi" w:hAnsiTheme="minorBidi"/>
          <w:rtl/>
        </w:rPr>
        <w:t>, דפסול מדרבנן לא אלים פיסולו לפסול הכשר שעמו כו', וכ"כ בכנה"ג בשמו לקמן ריש סי' ל"ו בהגה"ט אות ד' ע"ש. אכן בתומים שם סוף ס"ק י"א חולק על זה, ויובא בדברינו שם ס"ק א', ע"ש וצ"ע.</w:t>
      </w:r>
    </w:p>
  </w:footnote>
  <w:footnote w:id="2050">
    <w:p w14:paraId="0F526BE3" w14:textId="77777777" w:rsidR="0013116F" w:rsidRPr="00845316" w:rsidRDefault="0013116F" w:rsidP="004B607F">
      <w:pPr>
        <w:pStyle w:val="a9"/>
        <w:spacing w:after="60"/>
        <w:rPr>
          <w:rFonts w:asciiTheme="minorBidi" w:hAnsiTheme="minorBidi"/>
        </w:rPr>
      </w:pPr>
      <w:r w:rsidRPr="00845316">
        <w:rPr>
          <w:rStyle w:val="ab"/>
          <w:rFonts w:asciiTheme="minorBidi" w:hAnsiTheme="minorBidi"/>
        </w:rPr>
        <w:footnoteRef/>
      </w:r>
      <w:r w:rsidRPr="00845316">
        <w:rPr>
          <w:rFonts w:asciiTheme="minorBidi" w:hAnsiTheme="minorBidi"/>
          <w:rtl/>
        </w:rPr>
        <w:t xml:space="preserve"> </w:t>
      </w:r>
      <w:r>
        <w:rPr>
          <w:rFonts w:asciiTheme="minorBidi" w:hAnsiTheme="minorBidi" w:hint="cs"/>
          <w:rtl/>
        </w:rPr>
        <w:t xml:space="preserve">סימן </w:t>
      </w:r>
      <w:r>
        <w:rPr>
          <w:rFonts w:asciiTheme="minorBidi" w:hAnsiTheme="minorBidi"/>
          <w:rtl/>
        </w:rPr>
        <w:t>–</w:t>
      </w:r>
      <w:r>
        <w:rPr>
          <w:rFonts w:asciiTheme="minorBidi" w:hAnsiTheme="minorBidi" w:hint="cs"/>
          <w:rtl/>
        </w:rPr>
        <w:t xml:space="preserve"> כת זדים.</w:t>
      </w:r>
    </w:p>
  </w:footnote>
  <w:footnote w:id="2051">
    <w:p w14:paraId="6801A5ED" w14:textId="77777777" w:rsidR="0013116F" w:rsidRPr="00845316" w:rsidRDefault="0013116F" w:rsidP="004B607F">
      <w:pPr>
        <w:pStyle w:val="a9"/>
        <w:spacing w:after="60"/>
        <w:rPr>
          <w:rFonts w:asciiTheme="minorBidi" w:hAnsiTheme="minorBidi"/>
        </w:rPr>
      </w:pPr>
      <w:r w:rsidRPr="00845316">
        <w:rPr>
          <w:rStyle w:val="ab"/>
          <w:rFonts w:asciiTheme="minorBidi" w:hAnsiTheme="minorBidi"/>
        </w:rPr>
        <w:footnoteRef/>
      </w:r>
      <w:r w:rsidRPr="00845316">
        <w:rPr>
          <w:rFonts w:asciiTheme="minorBidi" w:hAnsiTheme="minorBidi"/>
          <w:rtl/>
        </w:rPr>
        <w:t xml:space="preserve"> דכיון דמשום ממון קעביד, דהא שכיחא בזול טפי מדהיתירא, הוה ליה כרשע דחמס ופסול לעדות, רש"י.</w:t>
      </w:r>
    </w:p>
  </w:footnote>
  <w:footnote w:id="2052">
    <w:p w14:paraId="2247535C" w14:textId="77777777" w:rsidR="0013116F" w:rsidRPr="00845316" w:rsidRDefault="0013116F" w:rsidP="004B607F">
      <w:pPr>
        <w:pStyle w:val="a9"/>
        <w:spacing w:after="60"/>
        <w:rPr>
          <w:rFonts w:asciiTheme="minorBidi" w:hAnsiTheme="minorBidi"/>
          <w:rtl/>
        </w:rPr>
      </w:pPr>
      <w:r w:rsidRPr="00845316">
        <w:rPr>
          <w:rStyle w:val="ab"/>
          <w:rFonts w:asciiTheme="minorBidi" w:hAnsiTheme="minorBidi"/>
        </w:rPr>
        <w:footnoteRef/>
      </w:r>
      <w:r w:rsidRPr="00845316">
        <w:rPr>
          <w:rFonts w:asciiTheme="minorBidi" w:hAnsiTheme="minorBidi"/>
          <w:rtl/>
        </w:rPr>
        <w:t xml:space="preserve"> ריב"ם </w:t>
      </w:r>
      <w:r w:rsidRPr="00845316">
        <w:rPr>
          <w:rFonts w:asciiTheme="minorBidi" w:hAnsiTheme="minorBidi"/>
          <w:sz w:val="16"/>
          <w:szCs w:val="16"/>
          <w:rtl/>
        </w:rPr>
        <w:t>(ב"מ עב. תוס' ד"ה שטר שכתב)</w:t>
      </w:r>
      <w:r w:rsidRPr="00845316">
        <w:rPr>
          <w:rFonts w:asciiTheme="minorBidi" w:hAnsiTheme="minorBidi"/>
          <w:rtl/>
        </w:rPr>
        <w:t xml:space="preserve"> מהרי"ט </w:t>
      </w:r>
      <w:r w:rsidRPr="00845316">
        <w:rPr>
          <w:rFonts w:asciiTheme="minorBidi" w:hAnsiTheme="minorBidi"/>
          <w:sz w:val="16"/>
          <w:szCs w:val="16"/>
          <w:rtl/>
        </w:rPr>
        <w:t>(אעה"ז סי' מג ד"ה אבל קשה)</w:t>
      </w:r>
      <w:r w:rsidRPr="00845316">
        <w:rPr>
          <w:rFonts w:asciiTheme="minorBidi" w:hAnsiTheme="minorBidi"/>
          <w:rtl/>
        </w:rPr>
        <w:t xml:space="preserve"> ומהר"י</w:t>
      </w:r>
      <w:r w:rsidRPr="00845316">
        <w:rPr>
          <w:rFonts w:asciiTheme="minorBidi" w:hAnsiTheme="minorBidi"/>
          <w:sz w:val="16"/>
          <w:szCs w:val="16"/>
          <w:rtl/>
        </w:rPr>
        <w:t xml:space="preserve"> (בביאורו לטור סע' י, הובא בט"ז על סע' ו)</w:t>
      </w:r>
      <w:r w:rsidRPr="00845316">
        <w:rPr>
          <w:rFonts w:asciiTheme="minorBidi" w:hAnsiTheme="minorBidi"/>
          <w:rtl/>
        </w:rPr>
        <w:t>.</w:t>
      </w:r>
    </w:p>
  </w:footnote>
  <w:footnote w:id="2053">
    <w:p w14:paraId="2555B73B" w14:textId="77777777" w:rsidR="0013116F" w:rsidRPr="00845316" w:rsidRDefault="0013116F" w:rsidP="004B607F">
      <w:pPr>
        <w:pStyle w:val="a9"/>
        <w:spacing w:after="60"/>
        <w:rPr>
          <w:rFonts w:asciiTheme="minorBidi" w:hAnsiTheme="minorBidi"/>
        </w:rPr>
      </w:pPr>
      <w:r w:rsidRPr="00845316">
        <w:rPr>
          <w:rStyle w:val="ab"/>
          <w:rFonts w:asciiTheme="minorBidi" w:hAnsiTheme="minorBidi"/>
        </w:rPr>
        <w:footnoteRef/>
      </w:r>
      <w:r w:rsidRPr="00845316">
        <w:rPr>
          <w:rFonts w:asciiTheme="minorBidi" w:hAnsiTheme="minorBidi"/>
          <w:rtl/>
        </w:rPr>
        <w:t xml:space="preserve"> הביאם רי"ו </w:t>
      </w:r>
      <w:r w:rsidRPr="00845316">
        <w:rPr>
          <w:rFonts w:asciiTheme="minorBidi" w:hAnsiTheme="minorBidi"/>
          <w:sz w:val="14"/>
          <w:szCs w:val="14"/>
          <w:rtl/>
        </w:rPr>
        <w:t>(מישרים נ"ב ח"ד)</w:t>
      </w:r>
      <w:r w:rsidRPr="00845316">
        <w:rPr>
          <w:rFonts w:asciiTheme="minorBidi" w:hAnsiTheme="minorBidi"/>
          <w:rtl/>
        </w:rPr>
        <w:t>, וז"ל- ויש מן הגאונים שכתבו שאם עבר עבירה של דבריה' שאינו פסו' כלל כיון דליכא חמוד ממון ואם היא מן התורה ואין בה מלקות ואינו פסול אלא מדרבנן.</w:t>
      </w:r>
    </w:p>
  </w:footnote>
  <w:footnote w:id="2054">
    <w:p w14:paraId="64631EDC" w14:textId="77777777" w:rsidR="0013116F" w:rsidRPr="00845316" w:rsidRDefault="0013116F" w:rsidP="004B607F">
      <w:pPr>
        <w:pStyle w:val="a9"/>
        <w:spacing w:after="60"/>
        <w:rPr>
          <w:rFonts w:asciiTheme="minorBidi" w:hAnsiTheme="minorBidi"/>
          <w:rtl/>
        </w:rPr>
      </w:pPr>
      <w:r w:rsidRPr="00845316">
        <w:rPr>
          <w:rStyle w:val="ab"/>
          <w:rFonts w:asciiTheme="minorBidi" w:hAnsiTheme="minorBidi"/>
        </w:rPr>
        <w:footnoteRef/>
      </w:r>
      <w:r w:rsidRPr="00845316">
        <w:rPr>
          <w:rFonts w:asciiTheme="minorBidi" w:hAnsiTheme="minorBidi"/>
          <w:rtl/>
        </w:rPr>
        <w:t xml:space="preserve"> דשם מיירי בחשוד על השבועה שאין בה מלקות ולכן פיסולו מדרבנן ואעפ"כ כ' בשו"ע דלא בעינן שיהא בשבועה עברת חמס.</w:t>
      </w:r>
    </w:p>
  </w:footnote>
  <w:footnote w:id="2055">
    <w:p w14:paraId="49A3C240" w14:textId="77777777" w:rsidR="0013116F" w:rsidRPr="00845316" w:rsidRDefault="0013116F" w:rsidP="004B607F">
      <w:pPr>
        <w:pStyle w:val="a9"/>
        <w:spacing w:after="60"/>
        <w:rPr>
          <w:rFonts w:asciiTheme="minorBidi" w:hAnsiTheme="minorBidi"/>
        </w:rPr>
      </w:pPr>
      <w:r w:rsidRPr="00845316">
        <w:rPr>
          <w:rStyle w:val="ab"/>
          <w:rFonts w:asciiTheme="minorBidi" w:hAnsiTheme="minorBidi"/>
        </w:rPr>
        <w:footnoteRef/>
      </w:r>
      <w:r w:rsidRPr="00845316">
        <w:rPr>
          <w:rFonts w:asciiTheme="minorBidi" w:hAnsiTheme="minorBidi"/>
          <w:rtl/>
        </w:rPr>
        <w:t xml:space="preserve"> הב"ח פירש להכעיס כגון שיש לפניו מאכל כשר ומאכל לא כשר שנקנים באותו מחיר ואז אותו מכעיס קונה בכוונה את המאכל הלא כשר. אך ההגוה"ע (אות ח) כ' שא"א לפרש כך דבזה גם רבא מודה שפסול שהרי הוא מין ואפיקורס, אלא, להכעיס פירושו שאין אצלו הבדל בין כשר ללא כשר אלא מה שמגיע לפניו- לוקח. </w:t>
      </w:r>
    </w:p>
  </w:footnote>
  <w:footnote w:id="2056">
    <w:p w14:paraId="2A5FF368" w14:textId="77777777" w:rsidR="0013116F" w:rsidRPr="00845316" w:rsidRDefault="0013116F" w:rsidP="004B607F">
      <w:pPr>
        <w:pStyle w:val="a9"/>
        <w:spacing w:after="60"/>
        <w:rPr>
          <w:rFonts w:asciiTheme="minorBidi" w:hAnsiTheme="minorBidi"/>
        </w:rPr>
      </w:pPr>
      <w:r w:rsidRPr="00845316">
        <w:rPr>
          <w:rStyle w:val="ab"/>
          <w:rFonts w:asciiTheme="minorBidi" w:hAnsiTheme="minorBidi"/>
        </w:rPr>
        <w:footnoteRef/>
      </w:r>
      <w:r w:rsidRPr="00845316">
        <w:rPr>
          <w:rFonts w:asciiTheme="minorBidi" w:hAnsiTheme="minorBidi"/>
          <w:rtl/>
        </w:rPr>
        <w:t xml:space="preserve"> דאורייתא, רי"ו שם, וכ"ה בדרכ"מ הארוך. (שהרי בעבירה דרבנן אין מלקות אלא מכות מרדות)</w:t>
      </w:r>
    </w:p>
  </w:footnote>
  <w:footnote w:id="2057">
    <w:p w14:paraId="3E09B4AC" w14:textId="77777777" w:rsidR="0013116F" w:rsidRPr="00845316" w:rsidRDefault="0013116F" w:rsidP="004B607F">
      <w:pPr>
        <w:pStyle w:val="a9"/>
        <w:spacing w:after="60"/>
        <w:rPr>
          <w:rFonts w:asciiTheme="minorBidi" w:hAnsiTheme="minorBidi"/>
          <w:rtl/>
        </w:rPr>
      </w:pPr>
      <w:r w:rsidRPr="00845316">
        <w:rPr>
          <w:rStyle w:val="ab"/>
          <w:rFonts w:asciiTheme="minorBidi" w:hAnsiTheme="minorBidi"/>
        </w:rPr>
        <w:footnoteRef/>
      </w:r>
      <w:r w:rsidRPr="00845316">
        <w:rPr>
          <w:rFonts w:asciiTheme="minorBidi" w:hAnsiTheme="minorBidi"/>
          <w:rtl/>
        </w:rPr>
        <w:t xml:space="preserve"> רש"י </w:t>
      </w:r>
      <w:r w:rsidRPr="00845316">
        <w:rPr>
          <w:rFonts w:asciiTheme="minorBidi" w:hAnsiTheme="minorBidi"/>
          <w:sz w:val="16"/>
          <w:szCs w:val="16"/>
          <w:rtl/>
        </w:rPr>
        <w:t>(כ"מ מדבריו בב"מ לב. ד"ה הו"א)</w:t>
      </w:r>
      <w:r w:rsidRPr="00845316">
        <w:rPr>
          <w:rFonts w:asciiTheme="minorBidi" w:hAnsiTheme="minorBidi"/>
          <w:rtl/>
        </w:rPr>
        <w:t xml:space="preserve"> וריב"א </w:t>
      </w:r>
      <w:r w:rsidRPr="00845316">
        <w:rPr>
          <w:rFonts w:asciiTheme="minorBidi" w:hAnsiTheme="minorBidi"/>
          <w:sz w:val="16"/>
          <w:szCs w:val="16"/>
          <w:rtl/>
        </w:rPr>
        <w:t>(תוס' חולין קמא. ד"ה לא)</w:t>
      </w:r>
      <w:r w:rsidRPr="00845316">
        <w:rPr>
          <w:rFonts w:asciiTheme="minorBidi" w:hAnsiTheme="minorBidi"/>
          <w:rtl/>
        </w:rPr>
        <w:t>.</w:t>
      </w:r>
    </w:p>
  </w:footnote>
  <w:footnote w:id="2058">
    <w:p w14:paraId="156506CD" w14:textId="77777777" w:rsidR="0013116F" w:rsidRDefault="0013116F" w:rsidP="004B607F">
      <w:pPr>
        <w:pStyle w:val="a9"/>
      </w:pPr>
      <w:r>
        <w:rPr>
          <w:rStyle w:val="ab"/>
        </w:rPr>
        <w:footnoteRef/>
      </w:r>
      <w:r>
        <w:rPr>
          <w:rtl/>
        </w:rPr>
        <w:t xml:space="preserve"> </w:t>
      </w:r>
      <w:r>
        <w:rPr>
          <w:rFonts w:hint="cs"/>
          <w:rtl/>
        </w:rPr>
        <w:t xml:space="preserve">סימן </w:t>
      </w:r>
      <w:r>
        <w:rPr>
          <w:rtl/>
        </w:rPr>
        <w:t>–</w:t>
      </w:r>
      <w:r>
        <w:rPr>
          <w:rFonts w:hint="cs"/>
          <w:rtl/>
        </w:rPr>
        <w:t xml:space="preserve"> כת בוגדים.</w:t>
      </w:r>
    </w:p>
  </w:footnote>
  <w:footnote w:id="2059">
    <w:p w14:paraId="5FC2918E" w14:textId="77777777" w:rsidR="0013116F" w:rsidRPr="00845316" w:rsidRDefault="0013116F" w:rsidP="004B607F">
      <w:pPr>
        <w:pStyle w:val="a9"/>
        <w:spacing w:after="60"/>
        <w:rPr>
          <w:rFonts w:asciiTheme="minorBidi" w:hAnsiTheme="minorBidi"/>
          <w:rtl/>
        </w:rPr>
      </w:pPr>
      <w:r w:rsidRPr="00845316">
        <w:rPr>
          <w:rStyle w:val="ab"/>
          <w:rFonts w:asciiTheme="minorBidi" w:hAnsiTheme="minorBidi"/>
        </w:rPr>
        <w:footnoteRef/>
      </w:r>
      <w:r w:rsidRPr="00845316">
        <w:rPr>
          <w:rFonts w:asciiTheme="minorBidi" w:hAnsiTheme="minorBidi"/>
          <w:rtl/>
        </w:rPr>
        <w:t xml:space="preserve"> להתירה להנשא, ודוקא גזלן דדבריהם אבל גזלן דאורייתא דחציף לעבור בפרהסיא- לא הכשירו חכמים לעדות אשה, ואף על פי שהכשירו את העבד ואת האשה דפסולי דאורייתא, רש"י.</w:t>
      </w:r>
    </w:p>
  </w:footnote>
  <w:footnote w:id="2060">
    <w:p w14:paraId="4656DF6F" w14:textId="77777777" w:rsidR="0013116F" w:rsidRPr="00845316" w:rsidRDefault="0013116F" w:rsidP="004B607F">
      <w:pPr>
        <w:pStyle w:val="a9"/>
        <w:spacing w:after="60"/>
        <w:rPr>
          <w:rFonts w:asciiTheme="minorBidi" w:hAnsiTheme="minorBidi"/>
        </w:rPr>
      </w:pPr>
      <w:r w:rsidRPr="00845316">
        <w:rPr>
          <w:rStyle w:val="ab"/>
          <w:rFonts w:asciiTheme="minorBidi" w:hAnsiTheme="minorBidi"/>
        </w:rPr>
        <w:footnoteRef/>
      </w:r>
      <w:r w:rsidRPr="00845316">
        <w:rPr>
          <w:rFonts w:asciiTheme="minorBidi" w:hAnsiTheme="minorBidi"/>
          <w:rtl/>
        </w:rPr>
        <w:t xml:space="preserve"> טעם זה כ' רי"ו בשם הגאונים, וכ' הב"י- " ולשונם תמוה בעיני... דאיזה חימוד איכא טפי באיסורי תורה מבאיסורי דרבנן". </w:t>
      </w:r>
    </w:p>
  </w:footnote>
  <w:footnote w:id="2061">
    <w:p w14:paraId="0DC67FEA" w14:textId="77777777" w:rsidR="0013116F" w:rsidRPr="00845316" w:rsidRDefault="0013116F" w:rsidP="004B607F">
      <w:pPr>
        <w:pStyle w:val="a9"/>
        <w:spacing w:after="60"/>
        <w:rPr>
          <w:rFonts w:asciiTheme="minorBidi" w:hAnsiTheme="minorBidi"/>
          <w:rtl/>
        </w:rPr>
      </w:pPr>
      <w:r w:rsidRPr="00845316">
        <w:rPr>
          <w:rStyle w:val="ab"/>
          <w:rFonts w:asciiTheme="minorBidi" w:hAnsiTheme="minorBidi"/>
        </w:rPr>
        <w:footnoteRef/>
      </w:r>
      <w:r w:rsidRPr="00845316">
        <w:rPr>
          <w:rFonts w:asciiTheme="minorBidi" w:hAnsiTheme="minorBidi"/>
          <w:rtl/>
        </w:rPr>
        <w:t xml:space="preserve"> יש שוני בין הגירסה שהעתיק הב"י </w:t>
      </w:r>
      <w:r w:rsidRPr="00845316">
        <w:rPr>
          <w:rFonts w:asciiTheme="minorBidi" w:hAnsiTheme="minorBidi"/>
          <w:sz w:val="16"/>
          <w:szCs w:val="16"/>
          <w:rtl/>
        </w:rPr>
        <w:t>("ויש מן הגאונים שכתבו שאם עבר עבירה של דבריהם שאינו פסול כלל כיון דליכא חימוד ממון")</w:t>
      </w:r>
      <w:r w:rsidRPr="00845316">
        <w:rPr>
          <w:rFonts w:asciiTheme="minorBidi" w:hAnsiTheme="minorBidi"/>
          <w:rtl/>
        </w:rPr>
        <w:t xml:space="preserve"> לגירסה שהעתיק הדרכ"מ </w:t>
      </w:r>
      <w:r w:rsidRPr="00845316">
        <w:rPr>
          <w:rFonts w:asciiTheme="minorBidi" w:hAnsiTheme="minorBidi"/>
          <w:sz w:val="16"/>
          <w:szCs w:val="16"/>
          <w:rtl/>
        </w:rPr>
        <w:t>("ויש מן הגאונים שכתבו דאם עבר עבירה של דבריהם שאינו משום חימוד ממון לא נפסל כלל")</w:t>
      </w:r>
      <w:r w:rsidRPr="00845316">
        <w:rPr>
          <w:rFonts w:asciiTheme="minorBidi" w:hAnsiTheme="minorBidi"/>
          <w:rtl/>
        </w:rPr>
        <w:t>, ולפי גי' הדרכ"מ מתיישבת תמיהת הב"י על לשון הגאונים, וידוע שכל הגיר' בדברי רי"ו מלאות טעויות ושיבושים, אפילו במהדורות האחרונות המתוקנות.</w:t>
      </w:r>
    </w:p>
  </w:footnote>
  <w:footnote w:id="2062">
    <w:p w14:paraId="1325FEA4" w14:textId="77777777" w:rsidR="0013116F" w:rsidRPr="00845316" w:rsidRDefault="0013116F" w:rsidP="004B607F">
      <w:pPr>
        <w:pStyle w:val="a9"/>
        <w:spacing w:after="60"/>
        <w:rPr>
          <w:rFonts w:asciiTheme="minorBidi" w:hAnsiTheme="minorBidi"/>
        </w:rPr>
      </w:pPr>
      <w:r w:rsidRPr="00845316">
        <w:rPr>
          <w:rStyle w:val="ab"/>
          <w:rFonts w:asciiTheme="minorBidi" w:hAnsiTheme="minorBidi"/>
        </w:rPr>
        <w:footnoteRef/>
      </w:r>
      <w:r w:rsidRPr="00845316">
        <w:rPr>
          <w:rFonts w:asciiTheme="minorBidi" w:hAnsiTheme="minorBidi"/>
          <w:rtl/>
        </w:rPr>
        <w:t xml:space="preserve"> (יש מן הגאונים </w:t>
      </w:r>
      <w:r w:rsidRPr="00845316">
        <w:rPr>
          <w:rFonts w:asciiTheme="minorBidi" w:hAnsiTheme="minorBidi"/>
          <w:sz w:val="16"/>
          <w:szCs w:val="16"/>
          <w:rtl/>
        </w:rPr>
        <w:t>(הביאם רי"ו) להב' הדרכ"מ</w:t>
      </w:r>
      <w:r w:rsidRPr="00845316">
        <w:rPr>
          <w:rFonts w:asciiTheme="minorBidi" w:hAnsiTheme="minorBidi"/>
          <w:rtl/>
        </w:rPr>
        <w:t>) תוס'</w:t>
      </w:r>
      <w:r w:rsidRPr="00845316">
        <w:rPr>
          <w:rFonts w:asciiTheme="minorBidi" w:hAnsiTheme="minorBidi"/>
          <w:sz w:val="16"/>
          <w:szCs w:val="16"/>
          <w:rtl/>
        </w:rPr>
        <w:t xml:space="preserve"> (ב"מ עב. ד"ה שטר, לאחד מן התרוצים שם)</w:t>
      </w:r>
      <w:r w:rsidRPr="00845316">
        <w:rPr>
          <w:rFonts w:asciiTheme="minorBidi" w:hAnsiTheme="minorBidi"/>
          <w:rtl/>
        </w:rPr>
        <w:t xml:space="preserve"> ובהעי"ט </w:t>
      </w:r>
      <w:r w:rsidRPr="00845316">
        <w:rPr>
          <w:rFonts w:asciiTheme="minorBidi" w:hAnsiTheme="minorBidi"/>
          <w:sz w:val="16"/>
          <w:szCs w:val="16"/>
          <w:rtl/>
        </w:rPr>
        <w:t>(אות ק קבלת עדות נז ע"ד)</w:t>
      </w:r>
      <w:r w:rsidRPr="00845316">
        <w:rPr>
          <w:rFonts w:asciiTheme="minorBidi" w:hAnsiTheme="minorBidi"/>
          <w:rtl/>
        </w:rPr>
        <w:t>.</w:t>
      </w:r>
    </w:p>
  </w:footnote>
  <w:footnote w:id="2063">
    <w:p w14:paraId="33A689C2" w14:textId="77777777" w:rsidR="0013116F" w:rsidRPr="00845316" w:rsidRDefault="0013116F" w:rsidP="004B607F">
      <w:pPr>
        <w:pStyle w:val="a9"/>
        <w:spacing w:after="60"/>
        <w:rPr>
          <w:rFonts w:asciiTheme="minorBidi" w:hAnsiTheme="minorBidi"/>
          <w:color w:val="FF0000"/>
        </w:rPr>
      </w:pPr>
      <w:r w:rsidRPr="00845316">
        <w:rPr>
          <w:rStyle w:val="ab"/>
          <w:rFonts w:asciiTheme="minorBidi" w:hAnsiTheme="minorBidi"/>
        </w:rPr>
        <w:footnoteRef/>
      </w:r>
      <w:r w:rsidRPr="00845316">
        <w:rPr>
          <w:rFonts w:asciiTheme="minorBidi" w:hAnsiTheme="minorBidi"/>
          <w:rtl/>
        </w:rPr>
        <w:t xml:space="preserve"> וכ' הב"י- "ולשונם תמוה בעיני שאמרו 'כיון דליכא חימוד ממון', דהא איפסיקא הלכתא כאביי דאמר דלא בעינן רשע דחמס" </w:t>
      </w:r>
      <w:r w:rsidRPr="00845316">
        <w:rPr>
          <w:rFonts w:asciiTheme="minorBidi" w:hAnsiTheme="minorBidi"/>
          <w:sz w:val="16"/>
          <w:szCs w:val="16"/>
          <w:rtl/>
        </w:rPr>
        <w:t>(ועל קושיא זו ענה הט"ז דשמא אביי ס"ל שרק בדאו' אין חילוק בין ממון לסתם עברה, אבל בעבירה דרבנן בעינן ממון, וכך מתרץ את הגאונים שהביא רי"ו)</w:t>
      </w:r>
      <w:r w:rsidRPr="00845316">
        <w:rPr>
          <w:rFonts w:asciiTheme="minorBidi" w:hAnsiTheme="minorBidi"/>
          <w:rtl/>
        </w:rPr>
        <w:t>.</w:t>
      </w:r>
    </w:p>
  </w:footnote>
  <w:footnote w:id="2064">
    <w:p w14:paraId="16FFA973" w14:textId="77777777" w:rsidR="0013116F" w:rsidRPr="00845316" w:rsidRDefault="0013116F" w:rsidP="004B607F">
      <w:pPr>
        <w:pStyle w:val="a9"/>
        <w:spacing w:after="60"/>
        <w:rPr>
          <w:rFonts w:asciiTheme="minorBidi" w:hAnsiTheme="minorBidi"/>
          <w:rtl/>
        </w:rPr>
      </w:pPr>
      <w:r w:rsidRPr="00845316">
        <w:rPr>
          <w:rStyle w:val="ab"/>
          <w:rFonts w:asciiTheme="minorBidi" w:hAnsiTheme="minorBidi"/>
          <w:color w:val="FF0000"/>
        </w:rPr>
        <w:footnoteRef/>
      </w:r>
      <w:r w:rsidRPr="00845316">
        <w:rPr>
          <w:rFonts w:asciiTheme="minorBidi" w:hAnsiTheme="minorBidi"/>
          <w:color w:val="FF0000"/>
          <w:rtl/>
        </w:rPr>
        <w:t xml:space="preserve"> צל"ע האם על כל עבירה דרבנן פסלינן או רק עברה שמקורה היא מן התורה וחייב עליה מלקות או כריתות וכו' </w:t>
      </w:r>
      <w:r w:rsidRPr="00845316">
        <w:rPr>
          <w:rFonts w:asciiTheme="minorBidi" w:hAnsiTheme="minorBidi"/>
          <w:color w:val="FF0000"/>
          <w:sz w:val="16"/>
          <w:szCs w:val="16"/>
          <w:rtl/>
        </w:rPr>
        <w:t>(כגון אכל בשר בהמה בחלב- דאו', אכל בשר עוף בחלב- דרבנן)</w:t>
      </w:r>
      <w:r w:rsidRPr="00845316">
        <w:rPr>
          <w:rFonts w:asciiTheme="minorBidi" w:hAnsiTheme="minorBidi"/>
          <w:color w:val="FF0000"/>
          <w:rtl/>
        </w:rPr>
        <w:t>, אבל מצווה דרבנן שאין לה מקור מדאו' אלא גזירת חכמים חדשה- לא פסלינן.</w:t>
      </w:r>
    </w:p>
  </w:footnote>
  <w:footnote w:id="2065">
    <w:p w14:paraId="69146FAD" w14:textId="77777777" w:rsidR="0013116F" w:rsidRPr="00845316" w:rsidRDefault="0013116F" w:rsidP="004B607F">
      <w:pPr>
        <w:pStyle w:val="a9"/>
        <w:spacing w:after="60"/>
        <w:rPr>
          <w:rFonts w:asciiTheme="minorBidi" w:hAnsiTheme="minorBidi"/>
        </w:rPr>
      </w:pPr>
      <w:r w:rsidRPr="00845316">
        <w:rPr>
          <w:rStyle w:val="ab"/>
          <w:rFonts w:asciiTheme="minorBidi" w:hAnsiTheme="minorBidi"/>
        </w:rPr>
        <w:footnoteRef/>
      </w:r>
      <w:r w:rsidRPr="00845316">
        <w:rPr>
          <w:rFonts w:asciiTheme="minorBidi" w:hAnsiTheme="minorBidi"/>
          <w:rtl/>
        </w:rPr>
        <w:t xml:space="preserve"> פתיחה כוללת או"ח (ח"א אות כד) וכ</w:t>
      </w:r>
      <w:r>
        <w:rPr>
          <w:rFonts w:asciiTheme="minorBidi" w:hAnsiTheme="minorBidi" w:hint="cs"/>
          <w:rtl/>
        </w:rPr>
        <w:t>ן</w:t>
      </w:r>
      <w:r w:rsidRPr="00845316">
        <w:rPr>
          <w:rFonts w:asciiTheme="minorBidi" w:hAnsiTheme="minorBidi"/>
          <w:rtl/>
        </w:rPr>
        <w:t xml:space="preserve"> הבין בדעת הרמב"ם (הל' עדות פ"י ה"ג).</w:t>
      </w:r>
    </w:p>
  </w:footnote>
  <w:footnote w:id="2066">
    <w:p w14:paraId="500D23F4" w14:textId="77777777" w:rsidR="0013116F" w:rsidRPr="00845316" w:rsidRDefault="0013116F" w:rsidP="004B607F">
      <w:pPr>
        <w:pStyle w:val="a9"/>
        <w:spacing w:after="60"/>
        <w:rPr>
          <w:rFonts w:asciiTheme="minorBidi" w:hAnsiTheme="minorBidi"/>
          <w:rtl/>
        </w:rPr>
      </w:pPr>
      <w:r w:rsidRPr="00845316">
        <w:rPr>
          <w:rStyle w:val="ab"/>
          <w:rFonts w:asciiTheme="minorBidi" w:hAnsiTheme="minorBidi"/>
        </w:rPr>
        <w:footnoteRef/>
      </w:r>
      <w:r w:rsidRPr="00845316">
        <w:rPr>
          <w:rFonts w:asciiTheme="minorBidi" w:hAnsiTheme="minorBidi"/>
          <w:rtl/>
        </w:rPr>
        <w:t xml:space="preserve"> ב"י </w:t>
      </w:r>
      <w:r w:rsidRPr="00845316">
        <w:rPr>
          <w:rFonts w:asciiTheme="minorBidi" w:hAnsiTheme="minorBidi"/>
          <w:sz w:val="16"/>
          <w:szCs w:val="16"/>
          <w:rtl/>
        </w:rPr>
        <w:t>(על סע' ח)</w:t>
      </w:r>
      <w:r w:rsidRPr="00845316">
        <w:rPr>
          <w:rFonts w:asciiTheme="minorBidi" w:hAnsiTheme="minorBidi"/>
          <w:rtl/>
        </w:rPr>
        <w:t xml:space="preserve"> (סמ"ע</w:t>
      </w:r>
      <w:r w:rsidRPr="00845316">
        <w:rPr>
          <w:rFonts w:asciiTheme="minorBidi" w:hAnsiTheme="minorBidi"/>
          <w:sz w:val="16"/>
          <w:szCs w:val="16"/>
          <w:rtl/>
        </w:rPr>
        <w:t xml:space="preserve">  [סק"ד] להב' באה"ג אות ז</w:t>
      </w:r>
      <w:r w:rsidRPr="00845316">
        <w:rPr>
          <w:rFonts w:asciiTheme="minorBidi" w:hAnsiTheme="minorBidi"/>
          <w:rtl/>
        </w:rPr>
        <w:t xml:space="preserve">) כנה"ג </w:t>
      </w:r>
      <w:r w:rsidRPr="00845316">
        <w:rPr>
          <w:rFonts w:asciiTheme="minorBidi" w:hAnsiTheme="minorBidi"/>
          <w:sz w:val="16"/>
          <w:szCs w:val="16"/>
          <w:rtl/>
        </w:rPr>
        <w:t>(אהע"ז סי' מב הגה"ט סקט"ו)</w:t>
      </w:r>
      <w:r w:rsidRPr="00845316">
        <w:rPr>
          <w:rFonts w:asciiTheme="minorBidi" w:hAnsiTheme="minorBidi"/>
          <w:rtl/>
        </w:rPr>
        <w:t xml:space="preserve"> ובאה"ג</w:t>
      </w:r>
      <w:r w:rsidRPr="00845316">
        <w:rPr>
          <w:rFonts w:asciiTheme="minorBidi" w:hAnsiTheme="minorBidi"/>
          <w:sz w:val="16"/>
          <w:szCs w:val="16"/>
          <w:rtl/>
        </w:rPr>
        <w:t xml:space="preserve"> (אות ז)</w:t>
      </w:r>
      <w:r w:rsidRPr="00845316">
        <w:rPr>
          <w:rFonts w:asciiTheme="minorBidi" w:hAnsiTheme="minorBidi"/>
          <w:rtl/>
        </w:rPr>
        <w:t>.</w:t>
      </w:r>
    </w:p>
  </w:footnote>
  <w:footnote w:id="2067">
    <w:p w14:paraId="232914E5" w14:textId="77777777" w:rsidR="0013116F" w:rsidRPr="00845316" w:rsidRDefault="0013116F" w:rsidP="004B607F">
      <w:pPr>
        <w:pStyle w:val="a9"/>
        <w:spacing w:after="60"/>
        <w:rPr>
          <w:rFonts w:asciiTheme="minorBidi" w:hAnsiTheme="minorBidi"/>
          <w:rtl/>
        </w:rPr>
      </w:pPr>
      <w:r w:rsidRPr="00845316">
        <w:rPr>
          <w:rStyle w:val="ab"/>
          <w:rFonts w:asciiTheme="minorBidi" w:hAnsiTheme="minorBidi"/>
        </w:rPr>
        <w:footnoteRef/>
      </w:r>
      <w:r w:rsidRPr="00845316">
        <w:rPr>
          <w:rFonts w:asciiTheme="minorBidi" w:hAnsiTheme="minorBidi"/>
          <w:rtl/>
        </w:rPr>
        <w:t xml:space="preserve"> אורים </w:t>
      </w:r>
      <w:r w:rsidRPr="00845316">
        <w:rPr>
          <w:rFonts w:asciiTheme="minorBidi" w:hAnsiTheme="minorBidi"/>
          <w:sz w:val="16"/>
          <w:szCs w:val="16"/>
          <w:rtl/>
        </w:rPr>
        <w:t>(סק"ב)</w:t>
      </w:r>
      <w:r w:rsidRPr="00845316">
        <w:rPr>
          <w:rFonts w:asciiTheme="minorBidi" w:hAnsiTheme="minorBidi"/>
          <w:rtl/>
        </w:rPr>
        <w:t xml:space="preserve"> תורת חיים</w:t>
      </w:r>
      <w:r w:rsidRPr="00845316">
        <w:rPr>
          <w:rFonts w:asciiTheme="minorBidi" w:hAnsiTheme="minorBidi"/>
          <w:sz w:val="16"/>
          <w:szCs w:val="16"/>
          <w:rtl/>
        </w:rPr>
        <w:t xml:space="preserve"> (סי' יט) </w:t>
      </w:r>
      <w:r w:rsidRPr="00845316">
        <w:rPr>
          <w:rFonts w:asciiTheme="minorBidi" w:hAnsiTheme="minorBidi"/>
          <w:rtl/>
        </w:rPr>
        <w:t>ונתה"מ</w:t>
      </w:r>
      <w:r w:rsidRPr="00845316">
        <w:rPr>
          <w:rFonts w:asciiTheme="minorBidi" w:hAnsiTheme="minorBidi"/>
          <w:sz w:val="16"/>
          <w:szCs w:val="16"/>
          <w:rtl/>
        </w:rPr>
        <w:t xml:space="preserve"> (משה"כ סק"ב)</w:t>
      </w:r>
      <w:r w:rsidRPr="00845316">
        <w:rPr>
          <w:rFonts w:asciiTheme="minorBidi" w:hAnsiTheme="minorBidi"/>
          <w:rtl/>
        </w:rPr>
        <w:t>.</w:t>
      </w:r>
    </w:p>
  </w:footnote>
  <w:footnote w:id="2068">
    <w:p w14:paraId="7A135314" w14:textId="77777777" w:rsidR="0013116F" w:rsidRPr="002533AF" w:rsidRDefault="0013116F" w:rsidP="004B607F">
      <w:pPr>
        <w:pStyle w:val="a9"/>
      </w:pPr>
      <w:r>
        <w:rPr>
          <w:rStyle w:val="ab"/>
        </w:rPr>
        <w:footnoteRef/>
      </w:r>
      <w:r>
        <w:rPr>
          <w:rtl/>
        </w:rPr>
        <w:t xml:space="preserve"> </w:t>
      </w:r>
      <w:r>
        <w:rPr>
          <w:rFonts w:hint="cs"/>
          <w:rtl/>
        </w:rPr>
        <w:t xml:space="preserve">וויטנס כרו </w:t>
      </w:r>
      <w:r w:rsidRPr="002533AF">
        <w:rPr>
          <w:rFonts w:hint="cs"/>
          <w:sz w:val="16"/>
          <w:szCs w:val="16"/>
          <w:rtl/>
        </w:rPr>
        <w:t>(קבר)</w:t>
      </w:r>
      <w:r>
        <w:rPr>
          <w:rFonts w:hint="cs"/>
          <w:rtl/>
        </w:rPr>
        <w:t>.</w:t>
      </w:r>
    </w:p>
  </w:footnote>
  <w:footnote w:id="2069">
    <w:p w14:paraId="526727D1" w14:textId="77777777" w:rsidR="0013116F" w:rsidRPr="00845316" w:rsidRDefault="0013116F" w:rsidP="004B607F">
      <w:pPr>
        <w:pStyle w:val="a9"/>
        <w:spacing w:after="60"/>
        <w:rPr>
          <w:rFonts w:asciiTheme="minorBidi" w:hAnsiTheme="minorBidi"/>
          <w:rtl/>
        </w:rPr>
      </w:pPr>
      <w:r w:rsidRPr="00845316">
        <w:rPr>
          <w:rStyle w:val="ab"/>
          <w:rFonts w:asciiTheme="minorBidi" w:hAnsiTheme="minorBidi"/>
        </w:rPr>
        <w:footnoteRef/>
      </w:r>
      <w:r w:rsidRPr="00845316">
        <w:rPr>
          <w:rFonts w:asciiTheme="minorBidi" w:hAnsiTheme="minorBidi"/>
          <w:rtl/>
        </w:rPr>
        <w:t xml:space="preserve"> דמשום שכר ממון עוברים על דת, והוו להו כרשע דחמס, רש"י.</w:t>
      </w:r>
    </w:p>
  </w:footnote>
  <w:footnote w:id="2070">
    <w:p w14:paraId="5A6F5903" w14:textId="77777777" w:rsidR="0013116F" w:rsidRPr="00845316" w:rsidRDefault="0013116F" w:rsidP="004B607F">
      <w:pPr>
        <w:pStyle w:val="a9"/>
        <w:spacing w:after="60"/>
        <w:rPr>
          <w:rFonts w:asciiTheme="minorBidi" w:hAnsiTheme="minorBidi"/>
          <w:rtl/>
        </w:rPr>
      </w:pPr>
      <w:r w:rsidRPr="00845316">
        <w:rPr>
          <w:rStyle w:val="ab"/>
          <w:rFonts w:asciiTheme="minorBidi" w:hAnsiTheme="minorBidi"/>
        </w:rPr>
        <w:footnoteRef/>
      </w:r>
      <w:r w:rsidRPr="00845316">
        <w:rPr>
          <w:rFonts w:asciiTheme="minorBidi" w:hAnsiTheme="minorBidi"/>
          <w:rtl/>
        </w:rPr>
        <w:t xml:space="preserve"> זוהי גירסתנו בגמ', אך הרי"ף גורס- "</w:t>
      </w:r>
      <w:r w:rsidRPr="00845316">
        <w:rPr>
          <w:rFonts w:asciiTheme="minorBidi" w:hAnsiTheme="minorBidi"/>
          <w:u w:val="single"/>
          <w:rtl/>
        </w:rPr>
        <w:t>סבר</w:t>
      </w:r>
      <w:r w:rsidRPr="00845316">
        <w:rPr>
          <w:rFonts w:asciiTheme="minorBidi" w:hAnsiTheme="minorBidi"/>
          <w:rtl/>
        </w:rPr>
        <w:t xml:space="preserve"> רב הונא בריה דרב יהושע לאכשורינהו".</w:t>
      </w:r>
    </w:p>
  </w:footnote>
  <w:footnote w:id="2071">
    <w:p w14:paraId="7CB6AAFE" w14:textId="77777777" w:rsidR="0013116F" w:rsidRPr="00845316" w:rsidRDefault="0013116F" w:rsidP="004B607F">
      <w:pPr>
        <w:pStyle w:val="a9"/>
        <w:spacing w:after="60"/>
        <w:rPr>
          <w:rFonts w:asciiTheme="minorBidi" w:hAnsiTheme="minorBidi"/>
          <w:rtl/>
        </w:rPr>
      </w:pPr>
      <w:r w:rsidRPr="00845316">
        <w:rPr>
          <w:rStyle w:val="ab"/>
          <w:rFonts w:asciiTheme="minorBidi" w:hAnsiTheme="minorBidi"/>
        </w:rPr>
        <w:footnoteRef/>
      </w:r>
      <w:r w:rsidRPr="00845316">
        <w:rPr>
          <w:rFonts w:asciiTheme="minorBidi" w:hAnsiTheme="minorBidi"/>
          <w:rtl/>
        </w:rPr>
        <w:t xml:space="preserve"> על הראשונה, וחוזרין ועוברין ושונין בעבירה, רש"י.</w:t>
      </w:r>
    </w:p>
  </w:footnote>
  <w:footnote w:id="2072">
    <w:p w14:paraId="06CAC97D" w14:textId="77777777" w:rsidR="0013116F" w:rsidRPr="00845316" w:rsidRDefault="0013116F" w:rsidP="004B607F">
      <w:pPr>
        <w:pStyle w:val="a9"/>
        <w:spacing w:after="60"/>
        <w:rPr>
          <w:rFonts w:asciiTheme="minorBidi" w:hAnsiTheme="minorBidi"/>
        </w:rPr>
      </w:pPr>
      <w:r w:rsidRPr="00845316">
        <w:rPr>
          <w:rStyle w:val="ab"/>
          <w:rFonts w:asciiTheme="minorBidi" w:hAnsiTheme="minorBidi"/>
        </w:rPr>
        <w:footnoteRef/>
      </w:r>
      <w:r w:rsidRPr="00845316">
        <w:rPr>
          <w:rFonts w:asciiTheme="minorBidi" w:hAnsiTheme="minorBidi"/>
          <w:rtl/>
        </w:rPr>
        <w:t xml:space="preserve"> האי דשמתינן משום כפרה הוא על שעברנו, ולא משום דנהדר בן, אלא מותר לחלל יו"ט בשביל המצוה, ונשב בנידוי משום כפרה, רש"י.</w:t>
      </w:r>
    </w:p>
  </w:footnote>
  <w:footnote w:id="2073">
    <w:p w14:paraId="2CA07396" w14:textId="77777777" w:rsidR="0013116F" w:rsidRPr="00845316" w:rsidRDefault="0013116F" w:rsidP="004B607F">
      <w:pPr>
        <w:pStyle w:val="a9"/>
        <w:spacing w:after="60"/>
        <w:rPr>
          <w:rFonts w:asciiTheme="minorBidi" w:hAnsiTheme="minorBidi"/>
        </w:rPr>
      </w:pPr>
      <w:r w:rsidRPr="00845316">
        <w:rPr>
          <w:rStyle w:val="ab"/>
          <w:rFonts w:asciiTheme="minorBidi" w:hAnsiTheme="minorBidi"/>
        </w:rPr>
        <w:footnoteRef/>
      </w:r>
      <w:r w:rsidRPr="00845316">
        <w:rPr>
          <w:rFonts w:asciiTheme="minorBidi" w:hAnsiTheme="minorBidi"/>
          <w:rtl/>
        </w:rPr>
        <w:t xml:space="preserve"> כ' הב"י- "בענין דעת הרי"ף איפשר לומר דאיהו נמי סבר דהלכתא כרב הונא ברד"י דאע"ג דרב פפא עבד עובדא כיון דאותביה רב הונא ואוקמיה הלכתא כרב הונא, והא דקאמר סבר רב הונא לאו למימרא דסבר למימר הכי והדר ביה דאדרבה חזינן דאיהו אותביה לרב פפא ואוקמיה, הילכך ע"כ לפרושי דהכי קאמר סבר רב הונא לאכשורינהו וקיימא לן הכי".</w:t>
      </w:r>
    </w:p>
  </w:footnote>
  <w:footnote w:id="2074">
    <w:p w14:paraId="227F1DA8" w14:textId="77777777" w:rsidR="0013116F" w:rsidRPr="00845316" w:rsidRDefault="0013116F" w:rsidP="004B607F">
      <w:pPr>
        <w:pStyle w:val="a9"/>
        <w:spacing w:after="60"/>
        <w:rPr>
          <w:rFonts w:asciiTheme="minorBidi" w:hAnsiTheme="minorBidi"/>
        </w:rPr>
      </w:pPr>
      <w:r w:rsidRPr="00845316">
        <w:rPr>
          <w:rStyle w:val="ab"/>
          <w:rFonts w:asciiTheme="minorBidi" w:hAnsiTheme="minorBidi"/>
        </w:rPr>
        <w:footnoteRef/>
      </w:r>
      <w:r w:rsidRPr="00845316">
        <w:rPr>
          <w:rFonts w:asciiTheme="minorBidi" w:hAnsiTheme="minorBidi"/>
          <w:rtl/>
        </w:rPr>
        <w:t xml:space="preserve"> וכ' שם דברים אלו בשם הרב אביגדור כהן, ופירוט דבריו שם הוא דאין אדם נעשה גזלן ליפסל לעדות ולשבועה אלא בממון שאין לו טענה כלל </w:t>
      </w:r>
      <w:r w:rsidRPr="00845316">
        <w:rPr>
          <w:rFonts w:asciiTheme="minorBidi" w:hAnsiTheme="minorBidi"/>
          <w:sz w:val="16"/>
          <w:szCs w:val="16"/>
          <w:rtl/>
        </w:rPr>
        <w:t>(משמע, אם יש לו טענה- כשר)</w:t>
      </w:r>
      <w:r w:rsidRPr="00845316">
        <w:rPr>
          <w:rFonts w:asciiTheme="minorBidi" w:hAnsiTheme="minorBidi"/>
          <w:rtl/>
        </w:rPr>
        <w:t>.</w:t>
      </w:r>
    </w:p>
  </w:footnote>
  <w:footnote w:id="2075">
    <w:p w14:paraId="01A1798C" w14:textId="77777777" w:rsidR="0013116F" w:rsidRPr="00845316" w:rsidRDefault="0013116F" w:rsidP="004B607F">
      <w:pPr>
        <w:pStyle w:val="a9"/>
        <w:spacing w:after="60"/>
        <w:rPr>
          <w:rFonts w:asciiTheme="minorBidi" w:hAnsiTheme="minorBidi"/>
          <w:rtl/>
        </w:rPr>
      </w:pPr>
      <w:r w:rsidRPr="00845316">
        <w:rPr>
          <w:rStyle w:val="ab"/>
          <w:rFonts w:asciiTheme="minorBidi" w:hAnsiTheme="minorBidi"/>
        </w:rPr>
        <w:footnoteRef/>
      </w:r>
      <w:r w:rsidRPr="00845316">
        <w:rPr>
          <w:rFonts w:asciiTheme="minorBidi" w:hAnsiTheme="minorBidi"/>
          <w:rtl/>
        </w:rPr>
        <w:t xml:space="preserve"> (רי"ף</w:t>
      </w:r>
      <w:r w:rsidRPr="00845316">
        <w:rPr>
          <w:rFonts w:asciiTheme="minorBidi" w:hAnsiTheme="minorBidi"/>
          <w:sz w:val="16"/>
          <w:szCs w:val="16"/>
          <w:rtl/>
        </w:rPr>
        <w:t xml:space="preserve"> [ה:] להב' הב"י</w:t>
      </w:r>
      <w:r w:rsidRPr="00845316">
        <w:rPr>
          <w:rFonts w:asciiTheme="minorBidi" w:hAnsiTheme="minorBidi"/>
          <w:rtl/>
        </w:rPr>
        <w:t xml:space="preserve">) רמב"ם </w:t>
      </w:r>
      <w:r w:rsidRPr="00845316">
        <w:rPr>
          <w:rFonts w:asciiTheme="minorBidi" w:hAnsiTheme="minorBidi"/>
          <w:sz w:val="16"/>
          <w:szCs w:val="16"/>
          <w:rtl/>
        </w:rPr>
        <w:t>([פי"ב ה"א] כן הבנו  הריב"ש [סי' יא] והב"י בדבריו</w:t>
      </w:r>
      <w:r w:rsidRPr="00845316">
        <w:rPr>
          <w:rFonts w:asciiTheme="minorBidi" w:hAnsiTheme="minorBidi"/>
          <w:rtl/>
        </w:rPr>
        <w:t xml:space="preserve">) הגה' מרדכי </w:t>
      </w:r>
      <w:r w:rsidRPr="00845316">
        <w:rPr>
          <w:rFonts w:asciiTheme="minorBidi" w:hAnsiTheme="minorBidi"/>
          <w:sz w:val="16"/>
          <w:szCs w:val="16"/>
          <w:rtl/>
        </w:rPr>
        <w:t>(כתובות סי' שי)</w:t>
      </w:r>
      <w:r w:rsidRPr="00845316">
        <w:rPr>
          <w:rFonts w:asciiTheme="minorBidi" w:hAnsiTheme="minorBidi"/>
          <w:rtl/>
        </w:rPr>
        <w:t xml:space="preserve"> ורא"ש</w:t>
      </w:r>
      <w:r w:rsidRPr="00845316">
        <w:rPr>
          <w:rFonts w:asciiTheme="minorBidi" w:hAnsiTheme="minorBidi"/>
          <w:sz w:val="16"/>
          <w:szCs w:val="16"/>
          <w:rtl/>
        </w:rPr>
        <w:t xml:space="preserve"> (סי' טו)</w:t>
      </w:r>
      <w:r w:rsidRPr="00845316">
        <w:rPr>
          <w:rFonts w:asciiTheme="minorBidi" w:hAnsiTheme="minorBidi"/>
          <w:rtl/>
        </w:rPr>
        <w:t>.</w:t>
      </w:r>
    </w:p>
  </w:footnote>
  <w:footnote w:id="2076">
    <w:p w14:paraId="2AC09639" w14:textId="77777777" w:rsidR="0013116F" w:rsidRPr="00845316" w:rsidRDefault="0013116F" w:rsidP="004B607F">
      <w:pPr>
        <w:pStyle w:val="a9"/>
        <w:spacing w:after="60"/>
        <w:rPr>
          <w:rFonts w:asciiTheme="minorBidi" w:hAnsiTheme="minorBidi"/>
          <w:rtl/>
        </w:rPr>
      </w:pPr>
      <w:r w:rsidRPr="00845316">
        <w:rPr>
          <w:rStyle w:val="ab"/>
          <w:rFonts w:asciiTheme="minorBidi" w:hAnsiTheme="minorBidi"/>
        </w:rPr>
        <w:footnoteRef/>
      </w:r>
      <w:r w:rsidRPr="00845316">
        <w:rPr>
          <w:rFonts w:asciiTheme="minorBidi" w:hAnsiTheme="minorBidi"/>
          <w:rtl/>
        </w:rPr>
        <w:t xml:space="preserve"> ותמה עליו הב"י למה פסק הפך דעת הרא"ש, ועוד שכ' פסולים מדרבנן, ואי פסילי- מדאו' הוא דפסילי לדידן דבקיאינן בקיבועא דירחא</w:t>
      </w:r>
      <w:r w:rsidRPr="00845316">
        <w:rPr>
          <w:rFonts w:asciiTheme="minorBidi" w:hAnsiTheme="minorBidi"/>
          <w:sz w:val="16"/>
          <w:szCs w:val="16"/>
          <w:rtl/>
        </w:rPr>
        <w:t xml:space="preserve"> (ועל קושיא זו ענה הט"ז דשמא לא התרו בהן וא"כ אינם מחוייבים מלקות, ומכיון שכן אינם פסולים אלא מדרבנן, אע"פ שהיו חייבים אילו התרו בהם)</w:t>
      </w:r>
      <w:r w:rsidRPr="00845316">
        <w:rPr>
          <w:rFonts w:asciiTheme="minorBidi" w:hAnsiTheme="minorBidi"/>
          <w:rtl/>
        </w:rPr>
        <w:t>.</w:t>
      </w:r>
    </w:p>
  </w:footnote>
  <w:footnote w:id="2077">
    <w:p w14:paraId="394FE28C" w14:textId="77777777" w:rsidR="0013116F" w:rsidRPr="00845316" w:rsidRDefault="0013116F" w:rsidP="004B607F">
      <w:pPr>
        <w:pStyle w:val="a9"/>
        <w:spacing w:after="60"/>
        <w:rPr>
          <w:rFonts w:asciiTheme="minorBidi" w:hAnsiTheme="minorBidi"/>
        </w:rPr>
      </w:pPr>
      <w:r w:rsidRPr="00845316">
        <w:rPr>
          <w:rStyle w:val="ab"/>
          <w:rFonts w:asciiTheme="minorBidi" w:hAnsiTheme="minorBidi"/>
        </w:rPr>
        <w:footnoteRef/>
      </w:r>
      <w:r w:rsidRPr="00845316">
        <w:rPr>
          <w:rFonts w:asciiTheme="minorBidi" w:hAnsiTheme="minorBidi"/>
          <w:rtl/>
        </w:rPr>
        <w:t xml:space="preserve"> וכ' הדרכ"מ (אות ה*) דמשמע דלא מקרי עד חמס אלא </w:t>
      </w:r>
      <w:r w:rsidRPr="00845316">
        <w:rPr>
          <w:rFonts w:asciiTheme="minorBidi" w:hAnsiTheme="minorBidi"/>
          <w:u w:val="single"/>
          <w:rtl/>
        </w:rPr>
        <w:t>שלוקח</w:t>
      </w:r>
      <w:r w:rsidRPr="00845316">
        <w:rPr>
          <w:rFonts w:asciiTheme="minorBidi" w:hAnsiTheme="minorBidi"/>
          <w:rtl/>
        </w:rPr>
        <w:t xml:space="preserve"> ממון שאינו שלו, אבל אם אינו רוצה לפרוע מה שחייב לא מיקרי עד חמס, מיהו לקמן סימן צ"ב (ס"ז) גבי כופר בפקדון לא משמע כן.</w:t>
      </w:r>
    </w:p>
  </w:footnote>
  <w:footnote w:id="2078">
    <w:p w14:paraId="48B2F208" w14:textId="77777777" w:rsidR="0013116F" w:rsidRPr="00845316" w:rsidRDefault="0013116F" w:rsidP="004B607F">
      <w:pPr>
        <w:pStyle w:val="a9"/>
        <w:spacing w:after="60"/>
        <w:rPr>
          <w:rFonts w:asciiTheme="minorBidi" w:hAnsiTheme="minorBidi"/>
          <w:rtl/>
        </w:rPr>
      </w:pPr>
      <w:r w:rsidRPr="00845316">
        <w:rPr>
          <w:rStyle w:val="ab"/>
          <w:rFonts w:asciiTheme="minorBidi" w:hAnsiTheme="minorBidi"/>
        </w:rPr>
        <w:footnoteRef/>
      </w:r>
      <w:r w:rsidRPr="00845316">
        <w:rPr>
          <w:rFonts w:asciiTheme="minorBidi" w:hAnsiTheme="minorBidi"/>
          <w:rtl/>
        </w:rPr>
        <w:t xml:space="preserve"> וישבע ראובן כמה חסרו שמעון ויטול ואם טענו עוד ראובן תביעות אחרות המוטלות על שמעון לישבע ישבע ראובן ויטול, ראב"ן.</w:t>
      </w:r>
    </w:p>
  </w:footnote>
  <w:footnote w:id="2079">
    <w:p w14:paraId="13FC04E9" w14:textId="77777777" w:rsidR="0013116F" w:rsidRPr="00845316" w:rsidRDefault="0013116F" w:rsidP="004B607F">
      <w:pPr>
        <w:pStyle w:val="a9"/>
        <w:spacing w:after="60"/>
        <w:rPr>
          <w:rFonts w:asciiTheme="minorBidi" w:hAnsiTheme="minorBidi"/>
          <w:rtl/>
        </w:rPr>
      </w:pPr>
      <w:r w:rsidRPr="00845316">
        <w:rPr>
          <w:rStyle w:val="ab"/>
          <w:rFonts w:asciiTheme="minorBidi" w:hAnsiTheme="minorBidi"/>
        </w:rPr>
        <w:footnoteRef/>
      </w:r>
      <w:r w:rsidRPr="00845316">
        <w:rPr>
          <w:rFonts w:asciiTheme="minorBidi" w:hAnsiTheme="minorBidi"/>
          <w:rtl/>
        </w:rPr>
        <w:t xml:space="preserve"> מתוך שיכול לומר לא למדתי בו נאמן נמי לומר שלא חסרו, ולהישבע על כך, ואינו נפסל בהודאת פיו (ששלח בו יד) משבועה דאין אדם משים עצמו רשע, ע"פ ראב"ן.</w:t>
      </w:r>
    </w:p>
  </w:footnote>
  <w:footnote w:id="2080">
    <w:p w14:paraId="4655169E" w14:textId="77777777" w:rsidR="0013116F" w:rsidRPr="00845316" w:rsidRDefault="0013116F" w:rsidP="004B607F">
      <w:pPr>
        <w:pStyle w:val="a9"/>
        <w:spacing w:after="60"/>
        <w:rPr>
          <w:rFonts w:asciiTheme="minorBidi" w:hAnsiTheme="minorBidi"/>
          <w:rtl/>
        </w:rPr>
      </w:pPr>
      <w:r w:rsidRPr="00845316">
        <w:rPr>
          <w:rStyle w:val="ab"/>
          <w:rFonts w:asciiTheme="minorBidi" w:hAnsiTheme="minorBidi"/>
        </w:rPr>
        <w:footnoteRef/>
      </w:r>
      <w:r w:rsidRPr="00845316">
        <w:rPr>
          <w:rFonts w:asciiTheme="minorBidi" w:hAnsiTheme="minorBidi"/>
          <w:rtl/>
        </w:rPr>
        <w:t xml:space="preserve"> היינו נכיון דמי פחיתת הספר (אם נפחת מדמיו).</w:t>
      </w:r>
    </w:p>
  </w:footnote>
  <w:footnote w:id="2081">
    <w:p w14:paraId="4951792C" w14:textId="77777777" w:rsidR="0013116F" w:rsidRPr="00845316" w:rsidRDefault="0013116F" w:rsidP="004B607F">
      <w:pPr>
        <w:pStyle w:val="a9"/>
        <w:spacing w:after="60"/>
        <w:rPr>
          <w:rFonts w:asciiTheme="minorBidi" w:hAnsiTheme="minorBidi"/>
          <w:rtl/>
        </w:rPr>
      </w:pPr>
      <w:r w:rsidRPr="00845316">
        <w:rPr>
          <w:rStyle w:val="ab"/>
          <w:rFonts w:asciiTheme="minorBidi" w:hAnsiTheme="minorBidi"/>
        </w:rPr>
        <w:footnoteRef/>
      </w:r>
      <w:r w:rsidRPr="00845316">
        <w:rPr>
          <w:rFonts w:asciiTheme="minorBidi" w:hAnsiTheme="minorBidi"/>
          <w:rtl/>
        </w:rPr>
        <w:t xml:space="preserve"> יש כמה טעמים שמחמתם לא פוסלים את העוברי עברה:</w:t>
      </w:r>
    </w:p>
    <w:p w14:paraId="55A27BA7" w14:textId="77777777" w:rsidR="0013116F" w:rsidRPr="00845316" w:rsidRDefault="0013116F" w:rsidP="004B0475">
      <w:pPr>
        <w:pStyle w:val="a9"/>
        <w:numPr>
          <w:ilvl w:val="0"/>
          <w:numId w:val="142"/>
        </w:numPr>
        <w:spacing w:after="60"/>
        <w:rPr>
          <w:rFonts w:asciiTheme="minorBidi" w:hAnsiTheme="minorBidi"/>
        </w:rPr>
      </w:pPr>
      <w:r w:rsidRPr="00845316">
        <w:rPr>
          <w:rFonts w:asciiTheme="minorBidi" w:hAnsiTheme="minorBidi"/>
          <w:rtl/>
        </w:rPr>
        <w:t xml:space="preserve">דבר שהשכחה מצויה בו (רמב"ם </w:t>
      </w:r>
      <w:r w:rsidRPr="00845316">
        <w:rPr>
          <w:rFonts w:asciiTheme="minorBidi" w:hAnsiTheme="minorBidi"/>
          <w:sz w:val="16"/>
          <w:szCs w:val="16"/>
          <w:rtl/>
        </w:rPr>
        <w:t>(פי"ב ה"א) "ראוהו עושה מלאכה בשבת או ביום טוב צריכין להודיעו שהיום שבת שמא שוכח הוא"</w:t>
      </w:r>
      <w:r w:rsidRPr="00845316">
        <w:rPr>
          <w:rFonts w:asciiTheme="minorBidi" w:hAnsiTheme="minorBidi"/>
          <w:rtl/>
        </w:rPr>
        <w:t>).</w:t>
      </w:r>
    </w:p>
    <w:p w14:paraId="556E9A5F" w14:textId="77777777" w:rsidR="0013116F" w:rsidRPr="00845316" w:rsidRDefault="0013116F" w:rsidP="004B0475">
      <w:pPr>
        <w:pStyle w:val="a9"/>
        <w:numPr>
          <w:ilvl w:val="0"/>
          <w:numId w:val="142"/>
        </w:numPr>
        <w:spacing w:after="60"/>
        <w:rPr>
          <w:rFonts w:asciiTheme="minorBidi" w:hAnsiTheme="minorBidi"/>
          <w:rtl/>
        </w:rPr>
      </w:pPr>
      <w:r w:rsidRPr="00845316">
        <w:rPr>
          <w:rFonts w:asciiTheme="minorBidi" w:hAnsiTheme="minorBidi"/>
          <w:rtl/>
        </w:rPr>
        <w:t>רוב העולם טועים בדבר זה וליבו אנסו (ריב"ש סי' שיא).</w:t>
      </w:r>
    </w:p>
  </w:footnote>
  <w:footnote w:id="2082">
    <w:p w14:paraId="0F250D26" w14:textId="77777777" w:rsidR="0013116F" w:rsidRPr="00845316" w:rsidRDefault="0013116F" w:rsidP="004B607F">
      <w:pPr>
        <w:spacing w:after="60" w:line="240" w:lineRule="auto"/>
        <w:rPr>
          <w:rFonts w:asciiTheme="minorBidi" w:hAnsiTheme="minorBidi"/>
          <w:sz w:val="20"/>
          <w:szCs w:val="20"/>
        </w:rPr>
      </w:pPr>
      <w:r w:rsidRPr="00BB744B">
        <w:rPr>
          <w:rStyle w:val="ab"/>
          <w:rFonts w:asciiTheme="minorBidi" w:hAnsiTheme="minorBidi"/>
          <w:sz w:val="20"/>
          <w:szCs w:val="20"/>
        </w:rPr>
        <w:footnoteRef/>
      </w:r>
      <w:r w:rsidRPr="00BB744B">
        <w:rPr>
          <w:rFonts w:asciiTheme="minorBidi" w:hAnsiTheme="minorBidi"/>
          <w:sz w:val="20"/>
          <w:szCs w:val="20"/>
          <w:rtl/>
        </w:rPr>
        <w:t xml:space="preserve"> אע"פ שהוא איסור דאורייתא מ"מ מאחר שאין בו מלקות אינו פסול אלא מדרבנן, ב"י (מחודשים ב). ובמרדכי (ב"ק סי' קב- קג) כ' דפסול</w:t>
      </w:r>
      <w:r w:rsidRPr="00845316">
        <w:rPr>
          <w:rFonts w:asciiTheme="minorBidi" w:hAnsiTheme="minorBidi"/>
          <w:sz w:val="20"/>
          <w:szCs w:val="20"/>
          <w:rtl/>
        </w:rPr>
        <w:t xml:space="preserve"> לעדות ולשבועה עד שישוב מרשעו ויקבל עליו דין אפילו לא תבעו זה אלא אחר </w:t>
      </w:r>
      <w:r w:rsidRPr="00845316">
        <w:rPr>
          <w:rFonts w:asciiTheme="minorBidi" w:hAnsiTheme="minorBidi"/>
          <w:sz w:val="16"/>
          <w:szCs w:val="16"/>
          <w:rtl/>
        </w:rPr>
        <w:t>(דרכמ"א ה')</w:t>
      </w:r>
      <w:r w:rsidRPr="00845316">
        <w:rPr>
          <w:rFonts w:asciiTheme="minorBidi" w:hAnsiTheme="minorBidi"/>
          <w:sz w:val="20"/>
          <w:szCs w:val="20"/>
          <w:rtl/>
        </w:rPr>
        <w:t xml:space="preserve">, סמ"ע. וכ' רעק"א </w:t>
      </w:r>
      <w:r w:rsidRPr="00845316">
        <w:rPr>
          <w:rFonts w:asciiTheme="minorBidi" w:hAnsiTheme="minorBidi"/>
          <w:sz w:val="16"/>
          <w:szCs w:val="16"/>
          <w:rtl/>
        </w:rPr>
        <w:t>(ע"פ הב"י בתשו' סי' ב)</w:t>
      </w:r>
      <w:r w:rsidRPr="00845316">
        <w:rPr>
          <w:rFonts w:asciiTheme="minorBidi" w:hAnsiTheme="minorBidi"/>
          <w:sz w:val="20"/>
          <w:szCs w:val="20"/>
          <w:rtl/>
        </w:rPr>
        <w:t xml:space="preserve"> דאם הכהו אף אם יש בה שוה פרוטה, דהדין דממונא משלם ומילקי לא לקי, מ"מ פסול דבר תורה, כיון דיש בלאו זה מלקות אם הכהו הכאה שאין בה שוה פרוטה</w:t>
      </w:r>
      <w:r w:rsidRPr="00845316">
        <w:rPr>
          <w:rFonts w:asciiTheme="minorBidi" w:hAnsiTheme="minorBidi"/>
          <w:sz w:val="16"/>
          <w:szCs w:val="16"/>
          <w:rtl/>
        </w:rPr>
        <w:t xml:space="preserve"> (כבסי' תכ סע' ב)</w:t>
      </w:r>
      <w:r w:rsidRPr="00845316">
        <w:rPr>
          <w:rFonts w:asciiTheme="minorBidi" w:hAnsiTheme="minorBidi"/>
          <w:sz w:val="20"/>
          <w:szCs w:val="20"/>
          <w:rtl/>
        </w:rPr>
        <w:t>, גם כשיש בה שוה פרוטה מיפסיל.</w:t>
      </w:r>
    </w:p>
  </w:footnote>
  <w:footnote w:id="2083">
    <w:p w14:paraId="1B762E18" w14:textId="77777777" w:rsidR="0013116F" w:rsidRPr="00845316" w:rsidRDefault="0013116F" w:rsidP="004B607F">
      <w:pPr>
        <w:pStyle w:val="a9"/>
        <w:spacing w:after="60"/>
        <w:rPr>
          <w:rFonts w:asciiTheme="minorBidi" w:hAnsiTheme="minorBidi"/>
          <w:rtl/>
        </w:rPr>
      </w:pPr>
      <w:r w:rsidRPr="00845316">
        <w:rPr>
          <w:rStyle w:val="ab"/>
          <w:rFonts w:asciiTheme="minorBidi" w:hAnsiTheme="minorBidi"/>
        </w:rPr>
        <w:footnoteRef/>
      </w:r>
      <w:r w:rsidRPr="00845316">
        <w:rPr>
          <w:rFonts w:asciiTheme="minorBidi" w:hAnsiTheme="minorBidi"/>
          <w:rtl/>
        </w:rPr>
        <w:t xml:space="preserve"> ומ"מ צל"ע אף אם הם עצמם טוענים כך באם הם יודעי ספר אי שומעין להו לומר דלא ידעו דבר משנה, חות יאיר (שם). אך המל"מ </w:t>
      </w:r>
      <w:r w:rsidRPr="00845316">
        <w:rPr>
          <w:rFonts w:asciiTheme="minorBidi" w:hAnsiTheme="minorBidi"/>
          <w:sz w:val="16"/>
          <w:szCs w:val="16"/>
          <w:rtl/>
        </w:rPr>
        <w:t xml:space="preserve">(הל' מלוה פ"ד ד"ו) </w:t>
      </w:r>
      <w:r w:rsidRPr="00845316">
        <w:rPr>
          <w:rFonts w:asciiTheme="minorBidi" w:hAnsiTheme="minorBidi"/>
          <w:rtl/>
        </w:rPr>
        <w:t xml:space="preserve">כ' וז"ל- כ' בעל כנה"ג </w:t>
      </w:r>
      <w:r w:rsidRPr="00845316">
        <w:rPr>
          <w:rFonts w:asciiTheme="minorBidi" w:hAnsiTheme="minorBidi"/>
          <w:sz w:val="16"/>
          <w:szCs w:val="16"/>
          <w:rtl/>
        </w:rPr>
        <w:t xml:space="preserve">(אות לז) </w:t>
      </w:r>
      <w:r w:rsidRPr="00845316">
        <w:rPr>
          <w:rFonts w:asciiTheme="minorBidi" w:hAnsiTheme="minorBidi"/>
          <w:rtl/>
        </w:rPr>
        <w:t xml:space="preserve">בשם שלט"ג </w:t>
      </w:r>
      <w:r w:rsidRPr="00845316">
        <w:rPr>
          <w:rFonts w:asciiTheme="minorBidi" w:hAnsiTheme="minorBidi"/>
          <w:sz w:val="16"/>
          <w:szCs w:val="16"/>
          <w:rtl/>
        </w:rPr>
        <w:t xml:space="preserve">(ב"מ מב:) </w:t>
      </w:r>
      <w:r w:rsidRPr="00845316">
        <w:rPr>
          <w:rFonts w:asciiTheme="minorBidi" w:hAnsiTheme="minorBidi"/>
          <w:rtl/>
        </w:rPr>
        <w:t>דאם העדים שחותמים יודעים שיש איסור בדבר פסולים הם אליבא דכו"ע, ע"כ, וזה פשוט.</w:t>
      </w:r>
    </w:p>
  </w:footnote>
  <w:footnote w:id="2084">
    <w:p w14:paraId="1FD3068B" w14:textId="77777777" w:rsidR="0013116F" w:rsidRPr="00845316" w:rsidRDefault="0013116F" w:rsidP="004B607F">
      <w:pPr>
        <w:pStyle w:val="a9"/>
        <w:spacing w:after="60"/>
        <w:rPr>
          <w:rFonts w:asciiTheme="minorBidi" w:hAnsiTheme="minorBidi"/>
          <w:color w:val="FF0000"/>
          <w:sz w:val="16"/>
          <w:szCs w:val="16"/>
          <w:rtl/>
        </w:rPr>
      </w:pPr>
      <w:r w:rsidRPr="00845316">
        <w:rPr>
          <w:rStyle w:val="ab"/>
          <w:rFonts w:asciiTheme="minorBidi" w:hAnsiTheme="minorBidi"/>
        </w:rPr>
        <w:footnoteRef/>
      </w:r>
      <w:r w:rsidRPr="00845316">
        <w:rPr>
          <w:rFonts w:asciiTheme="minorBidi" w:hAnsiTheme="minorBidi"/>
          <w:rtl/>
        </w:rPr>
        <w:t xml:space="preserve"> וכ' החות יאיר שכן משמע מלשון השו"ע. רעק"א כ' דבר זה גבי השחתה בתער, ותורף דבריו שם הם- דנתפשטה העברה בעוונותינו הרבים אצל הרבה, ואותו אדם לא חשב שזהו איסור כ"כ, ואף דלא התנצל עצמו כן לפני הב"ד, מ"מ זה אינו מגרע. וכ"כ המהרי"ט שם, דאפילו הודה אין אדם משים עצמו רשע כו'.</w:t>
      </w:r>
    </w:p>
  </w:footnote>
  <w:footnote w:id="2085">
    <w:p w14:paraId="7DAEC255" w14:textId="77777777" w:rsidR="0013116F" w:rsidRPr="00845316" w:rsidRDefault="0013116F" w:rsidP="004B607F">
      <w:pPr>
        <w:pStyle w:val="a9"/>
        <w:spacing w:after="60"/>
        <w:rPr>
          <w:rFonts w:asciiTheme="minorBidi" w:hAnsiTheme="minorBidi"/>
          <w:color w:val="FF0000"/>
          <w:sz w:val="16"/>
          <w:szCs w:val="16"/>
          <w:rtl/>
        </w:rPr>
      </w:pPr>
      <w:r w:rsidRPr="00845316">
        <w:rPr>
          <w:rStyle w:val="ab"/>
          <w:rFonts w:asciiTheme="minorBidi" w:hAnsiTheme="minorBidi"/>
        </w:rPr>
        <w:footnoteRef/>
      </w:r>
      <w:r w:rsidRPr="00845316">
        <w:rPr>
          <w:rFonts w:asciiTheme="minorBidi" w:hAnsiTheme="minorBidi"/>
          <w:rtl/>
        </w:rPr>
        <w:t xml:space="preserve"> </w:t>
      </w:r>
      <w:r>
        <w:rPr>
          <w:rFonts w:asciiTheme="minorBidi" w:hAnsiTheme="minorBidi" w:hint="cs"/>
          <w:rtl/>
        </w:rPr>
        <w:t>סימן - כת זדים</w:t>
      </w:r>
      <w:r w:rsidRPr="00845316">
        <w:rPr>
          <w:rFonts w:asciiTheme="minorBidi" w:hAnsiTheme="minorBidi"/>
          <w:rtl/>
        </w:rPr>
        <w:t>.</w:t>
      </w:r>
    </w:p>
  </w:footnote>
  <w:footnote w:id="2086">
    <w:p w14:paraId="34622DCB" w14:textId="77777777" w:rsidR="0013116F" w:rsidRPr="00845316" w:rsidRDefault="0013116F" w:rsidP="004B607F">
      <w:pPr>
        <w:pStyle w:val="a9"/>
        <w:spacing w:after="60"/>
        <w:rPr>
          <w:rFonts w:asciiTheme="minorBidi" w:hAnsiTheme="minorBidi"/>
          <w:rtl/>
        </w:rPr>
      </w:pPr>
      <w:r w:rsidRPr="00845316">
        <w:rPr>
          <w:rStyle w:val="ab"/>
          <w:rFonts w:asciiTheme="minorBidi" w:hAnsiTheme="minorBidi"/>
        </w:rPr>
        <w:footnoteRef/>
      </w:r>
      <w:r w:rsidRPr="00845316">
        <w:rPr>
          <w:rFonts w:asciiTheme="minorBidi" w:hAnsiTheme="minorBidi"/>
          <w:rtl/>
        </w:rPr>
        <w:t xml:space="preserve"> התובע שהנתבע שכנגדו חשוד על השבועה ונתחייב הנתבע שבועה מן התורה ע"י הודאה במקצת נשבע התובע ונוטל, רש"י.</w:t>
      </w:r>
    </w:p>
  </w:footnote>
  <w:footnote w:id="2087">
    <w:p w14:paraId="3583826A" w14:textId="77777777" w:rsidR="0013116F" w:rsidRPr="00845316" w:rsidRDefault="0013116F" w:rsidP="004B607F">
      <w:pPr>
        <w:pStyle w:val="a9"/>
        <w:spacing w:after="60"/>
        <w:rPr>
          <w:rFonts w:asciiTheme="minorBidi" w:hAnsiTheme="minorBidi"/>
          <w:rtl/>
        </w:rPr>
      </w:pPr>
      <w:r w:rsidRPr="00845316">
        <w:rPr>
          <w:rStyle w:val="ab"/>
          <w:rFonts w:asciiTheme="minorBidi" w:hAnsiTheme="minorBidi"/>
        </w:rPr>
        <w:footnoteRef/>
      </w:r>
      <w:r w:rsidRPr="00845316">
        <w:rPr>
          <w:rFonts w:asciiTheme="minorBidi" w:hAnsiTheme="minorBidi"/>
          <w:rtl/>
        </w:rPr>
        <w:t xml:space="preserve"> בין שנחשד על שבועת העדות בין שנחשד על שבועת הפקדון שכפר ונשבע על שקר, רש"י.</w:t>
      </w:r>
    </w:p>
  </w:footnote>
  <w:footnote w:id="2088">
    <w:p w14:paraId="112EE2CB" w14:textId="77777777" w:rsidR="0013116F" w:rsidRPr="00845316" w:rsidRDefault="0013116F" w:rsidP="004B607F">
      <w:pPr>
        <w:pStyle w:val="a9"/>
        <w:spacing w:after="60"/>
        <w:rPr>
          <w:rFonts w:asciiTheme="minorBidi" w:hAnsiTheme="minorBidi"/>
        </w:rPr>
      </w:pPr>
      <w:r w:rsidRPr="00845316">
        <w:rPr>
          <w:rStyle w:val="ab"/>
          <w:rFonts w:asciiTheme="minorBidi" w:hAnsiTheme="minorBidi"/>
        </w:rPr>
        <w:footnoteRef/>
      </w:r>
      <w:r w:rsidRPr="00845316">
        <w:rPr>
          <w:rFonts w:asciiTheme="minorBidi" w:hAnsiTheme="minorBidi"/>
          <w:rtl/>
        </w:rPr>
        <w:t xml:space="preserve"> שהוא רע לשמים עליה ולא לבריות אעפ"כ הוא נפסל על ידה לשבועה, רש"י.</w:t>
      </w:r>
    </w:p>
  </w:footnote>
  <w:footnote w:id="2089">
    <w:p w14:paraId="4EBF47C2" w14:textId="77777777" w:rsidR="0013116F" w:rsidRPr="00845316" w:rsidRDefault="0013116F" w:rsidP="004B607F">
      <w:pPr>
        <w:spacing w:after="60" w:line="240" w:lineRule="auto"/>
        <w:rPr>
          <w:rFonts w:asciiTheme="minorBidi" w:hAnsiTheme="minorBidi"/>
          <w:sz w:val="20"/>
          <w:szCs w:val="20"/>
          <w:rtl/>
        </w:rPr>
      </w:pPr>
      <w:r w:rsidRPr="00845316">
        <w:rPr>
          <w:rStyle w:val="ab"/>
          <w:rFonts w:asciiTheme="minorBidi" w:hAnsiTheme="minorBidi"/>
        </w:rPr>
        <w:footnoteRef/>
      </w:r>
      <w:r w:rsidRPr="00845316">
        <w:rPr>
          <w:rFonts w:asciiTheme="minorBidi" w:hAnsiTheme="minorBidi"/>
          <w:sz w:val="20"/>
          <w:szCs w:val="20"/>
          <w:rtl/>
        </w:rPr>
        <w:t xml:space="preserve"> היינו שבועה דלהבא. ועי' לקמן בפירושים על קטע זה. </w:t>
      </w:r>
    </w:p>
  </w:footnote>
  <w:footnote w:id="2090">
    <w:p w14:paraId="1B30B84B" w14:textId="77777777" w:rsidR="0013116F" w:rsidRPr="00845316" w:rsidRDefault="0013116F" w:rsidP="004B607F">
      <w:pPr>
        <w:pStyle w:val="a9"/>
        <w:spacing w:after="60"/>
        <w:rPr>
          <w:rFonts w:asciiTheme="minorBidi" w:hAnsiTheme="minorBidi"/>
          <w:rtl/>
        </w:rPr>
      </w:pPr>
      <w:r w:rsidRPr="00845316">
        <w:rPr>
          <w:rStyle w:val="ab"/>
          <w:rFonts w:asciiTheme="minorBidi" w:hAnsiTheme="minorBidi"/>
        </w:rPr>
        <w:footnoteRef/>
      </w:r>
      <w:r w:rsidRPr="00845316">
        <w:rPr>
          <w:rFonts w:asciiTheme="minorBidi" w:hAnsiTheme="minorBidi"/>
          <w:rtl/>
        </w:rPr>
        <w:t xml:space="preserve"> וראיה מפרק הכותב (כתובות פה.) דאמר ההיא איתתא דאיחייבא שבועה בבי דינא דרבא אמרה ליה בת רב חסדא ידענא בההיא איתתא דחשידא אשבועה ובה"ג (סי' נב קטו ע"ג) גריס ידענא בההיא איתתא דמפקא שם שמים לבטלה ופירושו שנשבעת ואינה מקיימת כגון שלא תאכל ואוכלת והפכה רבא אשכנגדה אע"ג דאיכא למימר בקושטא מישתבע חשיב לה חשודה.</w:t>
      </w:r>
    </w:p>
  </w:footnote>
  <w:footnote w:id="2091">
    <w:p w14:paraId="371ACE6B" w14:textId="77777777" w:rsidR="0013116F" w:rsidRPr="00845316" w:rsidRDefault="0013116F" w:rsidP="004B607F">
      <w:pPr>
        <w:pStyle w:val="a9"/>
        <w:spacing w:after="60"/>
        <w:rPr>
          <w:rFonts w:asciiTheme="minorBidi" w:hAnsiTheme="minorBidi"/>
        </w:rPr>
      </w:pPr>
      <w:r w:rsidRPr="00845316">
        <w:rPr>
          <w:rStyle w:val="ab"/>
          <w:rFonts w:asciiTheme="minorBidi" w:hAnsiTheme="minorBidi"/>
        </w:rPr>
        <w:footnoteRef/>
      </w:r>
      <w:r w:rsidRPr="00845316">
        <w:rPr>
          <w:rFonts w:asciiTheme="minorBidi" w:hAnsiTheme="minorBidi"/>
          <w:rtl/>
        </w:rPr>
        <w:t xml:space="preserve"> הטור (סי' צב) כ' שדעת הרמב"ם כדעת רש"י, אך בפ"ב מהל' טוען ונטען ה"ב מפורש להפך, וכ"כ הריב"ש והב"י. </w:t>
      </w:r>
    </w:p>
  </w:footnote>
  <w:footnote w:id="2092">
    <w:p w14:paraId="1A6DA90D" w14:textId="77777777" w:rsidR="0013116F" w:rsidRPr="00845316" w:rsidRDefault="0013116F" w:rsidP="004B607F">
      <w:pPr>
        <w:pStyle w:val="a9"/>
        <w:spacing w:after="60"/>
        <w:rPr>
          <w:rFonts w:asciiTheme="minorBidi" w:hAnsiTheme="minorBidi"/>
          <w:rtl/>
        </w:rPr>
      </w:pPr>
      <w:r w:rsidRPr="00845316">
        <w:rPr>
          <w:rStyle w:val="ab"/>
          <w:rFonts w:asciiTheme="minorBidi" w:hAnsiTheme="minorBidi"/>
        </w:rPr>
        <w:footnoteRef/>
      </w:r>
      <w:r w:rsidRPr="00845316">
        <w:rPr>
          <w:rFonts w:asciiTheme="minorBidi" w:hAnsiTheme="minorBidi"/>
          <w:rtl/>
        </w:rPr>
        <w:t xml:space="preserve"> רב האי </w:t>
      </w:r>
      <w:r w:rsidRPr="00845316">
        <w:rPr>
          <w:rFonts w:asciiTheme="minorBidi" w:hAnsiTheme="minorBidi"/>
          <w:sz w:val="16"/>
          <w:szCs w:val="16"/>
          <w:rtl/>
        </w:rPr>
        <w:t>(כ"כ בשמו הה"מ בהל' טוען פ"ב ה"ב)</w:t>
      </w:r>
      <w:r w:rsidRPr="00845316">
        <w:rPr>
          <w:rFonts w:asciiTheme="minorBidi" w:hAnsiTheme="minorBidi"/>
          <w:rtl/>
        </w:rPr>
        <w:t xml:space="preserve"> בה"ג </w:t>
      </w:r>
      <w:r w:rsidRPr="00845316">
        <w:rPr>
          <w:rFonts w:asciiTheme="minorBidi" w:hAnsiTheme="minorBidi"/>
          <w:sz w:val="16"/>
          <w:szCs w:val="16"/>
          <w:rtl/>
        </w:rPr>
        <w:t xml:space="preserve">(סי' נב קטו ע"ג) </w:t>
      </w:r>
      <w:r w:rsidRPr="00845316">
        <w:rPr>
          <w:rFonts w:asciiTheme="minorBidi" w:hAnsiTheme="minorBidi"/>
          <w:rtl/>
        </w:rPr>
        <w:t xml:space="preserve">ר"ת </w:t>
      </w:r>
      <w:r w:rsidRPr="00845316">
        <w:rPr>
          <w:rFonts w:asciiTheme="minorBidi" w:hAnsiTheme="minorBidi"/>
          <w:sz w:val="16"/>
          <w:szCs w:val="16"/>
          <w:rtl/>
        </w:rPr>
        <w:t xml:space="preserve">(תוס' שבועות מו: ד"ה אבל) </w:t>
      </w:r>
      <w:r w:rsidRPr="00845316">
        <w:rPr>
          <w:rFonts w:asciiTheme="minorBidi" w:hAnsiTheme="minorBidi"/>
          <w:rtl/>
        </w:rPr>
        <w:t>(רמב"ם</w:t>
      </w:r>
      <w:r w:rsidRPr="00845316">
        <w:rPr>
          <w:rFonts w:asciiTheme="minorBidi" w:hAnsiTheme="minorBidi"/>
          <w:sz w:val="16"/>
          <w:szCs w:val="16"/>
          <w:rtl/>
        </w:rPr>
        <w:t xml:space="preserve"> להב' ריב"ש [סי' שדמ] והב"י</w:t>
      </w:r>
      <w:r w:rsidRPr="00845316">
        <w:rPr>
          <w:rFonts w:asciiTheme="minorBidi" w:hAnsiTheme="minorBidi"/>
          <w:rtl/>
        </w:rPr>
        <w:t xml:space="preserve">) מהר"ם </w:t>
      </w:r>
      <w:r w:rsidRPr="00845316">
        <w:rPr>
          <w:rFonts w:asciiTheme="minorBidi" w:hAnsiTheme="minorBidi"/>
          <w:sz w:val="16"/>
          <w:szCs w:val="16"/>
          <w:rtl/>
        </w:rPr>
        <w:t xml:space="preserve">(בתוספותיו ד"ל סי' קג, הביאו המרדכי [שם]) </w:t>
      </w:r>
      <w:r w:rsidRPr="00845316">
        <w:rPr>
          <w:rFonts w:asciiTheme="minorBidi" w:hAnsiTheme="minorBidi"/>
          <w:rtl/>
        </w:rPr>
        <w:t xml:space="preserve">ורא"ש </w:t>
      </w:r>
      <w:r w:rsidRPr="00845316">
        <w:rPr>
          <w:rFonts w:asciiTheme="minorBidi" w:hAnsiTheme="minorBidi"/>
          <w:sz w:val="16"/>
          <w:szCs w:val="16"/>
          <w:rtl/>
        </w:rPr>
        <w:t>(כ"כ הטור [סי' צב ס"ג] בשמו)</w:t>
      </w:r>
      <w:r w:rsidRPr="00845316">
        <w:rPr>
          <w:rFonts w:asciiTheme="minorBidi" w:hAnsiTheme="minorBidi"/>
          <w:rtl/>
        </w:rPr>
        <w:t>.</w:t>
      </w:r>
      <w:r w:rsidRPr="00845316">
        <w:rPr>
          <w:rFonts w:asciiTheme="minorBidi" w:hAnsiTheme="minorBidi"/>
          <w:sz w:val="16"/>
          <w:szCs w:val="16"/>
          <w:rtl/>
        </w:rPr>
        <w:t xml:space="preserve"> </w:t>
      </w:r>
      <w:r w:rsidRPr="00845316">
        <w:rPr>
          <w:rFonts w:asciiTheme="minorBidi" w:hAnsiTheme="minorBidi"/>
          <w:rtl/>
        </w:rPr>
        <w:t>וכ"כ הטור.</w:t>
      </w:r>
    </w:p>
  </w:footnote>
  <w:footnote w:id="2093">
    <w:p w14:paraId="7BFB2AD1" w14:textId="77777777" w:rsidR="0013116F" w:rsidRPr="00845316" w:rsidRDefault="0013116F" w:rsidP="004B607F">
      <w:pPr>
        <w:pStyle w:val="a9"/>
        <w:spacing w:after="60"/>
        <w:rPr>
          <w:rFonts w:asciiTheme="minorBidi" w:hAnsiTheme="minorBidi"/>
        </w:rPr>
      </w:pPr>
      <w:r w:rsidRPr="00845316">
        <w:rPr>
          <w:rStyle w:val="ab"/>
          <w:rFonts w:asciiTheme="minorBidi" w:hAnsiTheme="minorBidi"/>
        </w:rPr>
        <w:footnoteRef/>
      </w:r>
      <w:r w:rsidRPr="00845316">
        <w:rPr>
          <w:rFonts w:asciiTheme="minorBidi" w:hAnsiTheme="minorBidi"/>
          <w:rtl/>
        </w:rPr>
        <w:t xml:space="preserve"> הביאוהו רא"ש טור ורי"ו, וכ' הב"י- "ולא ידעתי היכן כתב כן".</w:t>
      </w:r>
    </w:p>
  </w:footnote>
  <w:footnote w:id="2094">
    <w:p w14:paraId="6DA67E9F" w14:textId="77777777" w:rsidR="0013116F" w:rsidRPr="00845316" w:rsidRDefault="0013116F" w:rsidP="004B607F">
      <w:pPr>
        <w:pStyle w:val="a9"/>
        <w:spacing w:after="60"/>
        <w:rPr>
          <w:rFonts w:asciiTheme="minorBidi" w:hAnsiTheme="minorBidi"/>
          <w:rtl/>
        </w:rPr>
      </w:pPr>
      <w:r w:rsidRPr="00845316">
        <w:rPr>
          <w:rStyle w:val="ab"/>
          <w:rFonts w:asciiTheme="minorBidi" w:hAnsiTheme="minorBidi"/>
        </w:rPr>
        <w:footnoteRef/>
      </w:r>
      <w:r w:rsidRPr="00845316">
        <w:rPr>
          <w:rFonts w:asciiTheme="minorBidi" w:hAnsiTheme="minorBidi"/>
          <w:rtl/>
        </w:rPr>
        <w:t xml:space="preserve"> ר"ח</w:t>
      </w:r>
      <w:r w:rsidRPr="00845316">
        <w:rPr>
          <w:rFonts w:asciiTheme="minorBidi" w:hAnsiTheme="minorBidi"/>
          <w:sz w:val="16"/>
          <w:szCs w:val="16"/>
          <w:rtl/>
        </w:rPr>
        <w:t xml:space="preserve"> (הר"ן [בסנהדרין כח: ד"ה גמ'] כ"כ בשמו)</w:t>
      </w:r>
      <w:r w:rsidRPr="00845316">
        <w:rPr>
          <w:rFonts w:asciiTheme="minorBidi" w:hAnsiTheme="minorBidi"/>
          <w:rtl/>
        </w:rPr>
        <w:t xml:space="preserve"> (רי"ף </w:t>
      </w:r>
      <w:r w:rsidRPr="00845316">
        <w:rPr>
          <w:rFonts w:asciiTheme="minorBidi" w:hAnsiTheme="minorBidi"/>
          <w:sz w:val="16"/>
          <w:szCs w:val="16"/>
          <w:rtl/>
        </w:rPr>
        <w:t>הביאוהו רא"ש [שבועות סי' ז] טור [סי' צב ס"ג] ורי"ו [ח"ד נ"ב]</w:t>
      </w:r>
      <w:r w:rsidRPr="00845316">
        <w:rPr>
          <w:rFonts w:asciiTheme="minorBidi" w:hAnsiTheme="minorBidi"/>
          <w:rtl/>
        </w:rPr>
        <w:t>) רש"י (ר"י ראבי"ה ריב"א תוס'</w:t>
      </w:r>
      <w:r w:rsidRPr="00845316">
        <w:rPr>
          <w:rFonts w:asciiTheme="minorBidi" w:hAnsiTheme="minorBidi"/>
          <w:sz w:val="16"/>
          <w:szCs w:val="16"/>
          <w:rtl/>
        </w:rPr>
        <w:t xml:space="preserve"> מרדכי [בשבועות ז ע"ג] כ"כ בשמם</w:t>
      </w:r>
      <w:r w:rsidRPr="00845316">
        <w:rPr>
          <w:rFonts w:asciiTheme="minorBidi" w:hAnsiTheme="minorBidi"/>
          <w:rtl/>
        </w:rPr>
        <w:t>) (רמב"ם</w:t>
      </w:r>
      <w:r w:rsidRPr="00845316">
        <w:rPr>
          <w:rFonts w:asciiTheme="minorBidi" w:hAnsiTheme="minorBidi"/>
          <w:sz w:val="16"/>
          <w:szCs w:val="16"/>
          <w:rtl/>
        </w:rPr>
        <w:t xml:space="preserve"> להב' הטור [שם]</w:t>
      </w:r>
      <w:r w:rsidRPr="00845316">
        <w:rPr>
          <w:rFonts w:asciiTheme="minorBidi" w:hAnsiTheme="minorBidi"/>
          <w:rtl/>
        </w:rPr>
        <w:t xml:space="preserve">) (רמב"ן ורשב"א </w:t>
      </w:r>
      <w:r w:rsidRPr="00845316">
        <w:rPr>
          <w:rFonts w:asciiTheme="minorBidi" w:hAnsiTheme="minorBidi"/>
          <w:sz w:val="16"/>
          <w:szCs w:val="16"/>
          <w:rtl/>
        </w:rPr>
        <w:t>כ"כ בשמם הה"מ [בהל' טוען פ"ב ה"ב]</w:t>
      </w:r>
      <w:r w:rsidRPr="00845316">
        <w:rPr>
          <w:rFonts w:asciiTheme="minorBidi" w:hAnsiTheme="minorBidi"/>
          <w:rtl/>
        </w:rPr>
        <w:t>).</w:t>
      </w:r>
    </w:p>
  </w:footnote>
  <w:footnote w:id="2095">
    <w:p w14:paraId="27548CC7" w14:textId="77777777" w:rsidR="0013116F" w:rsidRPr="00845316" w:rsidRDefault="0013116F" w:rsidP="004B607F">
      <w:pPr>
        <w:pStyle w:val="a9"/>
        <w:spacing w:after="60"/>
        <w:rPr>
          <w:rFonts w:asciiTheme="minorBidi" w:hAnsiTheme="minorBidi"/>
        </w:rPr>
      </w:pPr>
      <w:r w:rsidRPr="00845316">
        <w:rPr>
          <w:rStyle w:val="ab"/>
          <w:rFonts w:asciiTheme="minorBidi" w:hAnsiTheme="minorBidi"/>
        </w:rPr>
        <w:footnoteRef/>
      </w:r>
      <w:r w:rsidRPr="00845316">
        <w:rPr>
          <w:rFonts w:asciiTheme="minorBidi" w:hAnsiTheme="minorBidi"/>
          <w:rtl/>
        </w:rPr>
        <w:t xml:space="preserve"> עיי"ש, דצ"ע מאי נפ"מ דלא עביד מעשה מ"מ עבירה זו חייבים עליה מלקות אלא שאין לוקין עליו ומ"מ חייב מלקות מיקרי, דרכ"מ (ב*).</w:t>
      </w:r>
    </w:p>
  </w:footnote>
  <w:footnote w:id="2096">
    <w:p w14:paraId="71A9813C" w14:textId="77777777" w:rsidR="0013116F" w:rsidRPr="00845316" w:rsidRDefault="0013116F" w:rsidP="004B607F">
      <w:pPr>
        <w:pStyle w:val="a9"/>
        <w:spacing w:after="60"/>
        <w:rPr>
          <w:rFonts w:asciiTheme="minorBidi" w:hAnsiTheme="minorBidi"/>
          <w:color w:val="FF0000"/>
        </w:rPr>
      </w:pPr>
      <w:r w:rsidRPr="00845316">
        <w:rPr>
          <w:rStyle w:val="ab"/>
          <w:rFonts w:asciiTheme="minorBidi" w:hAnsiTheme="minorBidi"/>
        </w:rPr>
        <w:footnoteRef/>
      </w:r>
      <w:r w:rsidRPr="00845316">
        <w:rPr>
          <w:rFonts w:asciiTheme="minorBidi" w:hAnsiTheme="minorBidi"/>
          <w:rtl/>
        </w:rPr>
        <w:t xml:space="preserve"> ובכנה"ג (הגב"י אות כו) ובתומים (סק"ג) מבואר דאף לדברי הריב"ש מדרבנן ודאי דנפסל. </w:t>
      </w:r>
      <w:r w:rsidRPr="00845316">
        <w:rPr>
          <w:rFonts w:asciiTheme="minorBidi" w:hAnsiTheme="minorBidi"/>
          <w:color w:val="FF0000"/>
          <w:rtl/>
        </w:rPr>
        <w:t>צ"ע אם יש חולקים.</w:t>
      </w:r>
    </w:p>
  </w:footnote>
  <w:footnote w:id="2097">
    <w:p w14:paraId="0ECFDDED" w14:textId="77777777" w:rsidR="0013116F" w:rsidRPr="00845316" w:rsidRDefault="0013116F" w:rsidP="004B607F">
      <w:pPr>
        <w:pStyle w:val="a9"/>
        <w:spacing w:after="60"/>
        <w:rPr>
          <w:rFonts w:asciiTheme="minorBidi" w:hAnsiTheme="minorBidi"/>
          <w:rtl/>
        </w:rPr>
      </w:pPr>
      <w:r w:rsidRPr="00845316">
        <w:rPr>
          <w:rStyle w:val="ab"/>
          <w:rFonts w:asciiTheme="minorBidi" w:hAnsiTheme="minorBidi"/>
        </w:rPr>
        <w:footnoteRef/>
      </w:r>
      <w:r w:rsidRPr="00845316">
        <w:rPr>
          <w:rFonts w:asciiTheme="minorBidi" w:hAnsiTheme="minorBidi"/>
          <w:rtl/>
        </w:rPr>
        <w:t xml:space="preserve"> שבכל מקום הלכה כדברי המכריע, משא"ב</w:t>
      </w:r>
      <w:r w:rsidRPr="00845316">
        <w:rPr>
          <w:rFonts w:asciiTheme="minorBidi" w:hAnsiTheme="minorBidi"/>
          <w:sz w:val="16"/>
          <w:szCs w:val="16"/>
          <w:rtl/>
        </w:rPr>
        <w:t xml:space="preserve"> (סי' נא)</w:t>
      </w:r>
      <w:r w:rsidRPr="00845316">
        <w:rPr>
          <w:rFonts w:asciiTheme="minorBidi" w:hAnsiTheme="minorBidi"/>
          <w:rtl/>
        </w:rPr>
        <w:t xml:space="preserve">. והביאו הש"ך </w:t>
      </w:r>
      <w:r w:rsidRPr="00845316">
        <w:rPr>
          <w:rFonts w:asciiTheme="minorBidi" w:hAnsiTheme="minorBidi"/>
          <w:sz w:val="14"/>
          <w:szCs w:val="14"/>
          <w:rtl/>
        </w:rPr>
        <w:t xml:space="preserve">(סק"ה) </w:t>
      </w:r>
      <w:r w:rsidRPr="00845316">
        <w:rPr>
          <w:rFonts w:asciiTheme="minorBidi" w:hAnsiTheme="minorBidi"/>
          <w:rtl/>
        </w:rPr>
        <w:t xml:space="preserve">אורים </w:t>
      </w:r>
      <w:r w:rsidRPr="00845316">
        <w:rPr>
          <w:rFonts w:asciiTheme="minorBidi" w:hAnsiTheme="minorBidi"/>
          <w:sz w:val="14"/>
          <w:szCs w:val="14"/>
          <w:rtl/>
        </w:rPr>
        <w:t xml:space="preserve">(סק"ז) </w:t>
      </w:r>
      <w:r w:rsidRPr="00845316">
        <w:rPr>
          <w:rFonts w:asciiTheme="minorBidi" w:hAnsiTheme="minorBidi"/>
          <w:rtl/>
        </w:rPr>
        <w:t xml:space="preserve">ונתיבות </w:t>
      </w:r>
      <w:r w:rsidRPr="00845316">
        <w:rPr>
          <w:rFonts w:asciiTheme="minorBidi" w:hAnsiTheme="minorBidi"/>
          <w:sz w:val="14"/>
          <w:szCs w:val="14"/>
          <w:rtl/>
        </w:rPr>
        <w:t xml:space="preserve">(סק"ה) </w:t>
      </w:r>
      <w:r w:rsidRPr="00845316">
        <w:rPr>
          <w:rFonts w:asciiTheme="minorBidi" w:hAnsiTheme="minorBidi"/>
          <w:rtl/>
        </w:rPr>
        <w:t>את דברי הריב"ש ומשא"ב.</w:t>
      </w:r>
    </w:p>
  </w:footnote>
  <w:footnote w:id="2098">
    <w:p w14:paraId="57817BC7" w14:textId="77777777" w:rsidR="0013116F" w:rsidRPr="00845316" w:rsidRDefault="0013116F" w:rsidP="004B607F">
      <w:pPr>
        <w:pStyle w:val="a9"/>
        <w:spacing w:after="60"/>
        <w:rPr>
          <w:rFonts w:asciiTheme="minorBidi" w:hAnsiTheme="minorBidi"/>
        </w:rPr>
      </w:pPr>
      <w:r w:rsidRPr="00845316">
        <w:rPr>
          <w:rStyle w:val="ab"/>
          <w:rFonts w:asciiTheme="minorBidi" w:hAnsiTheme="minorBidi"/>
          <w:color w:val="FF0000"/>
        </w:rPr>
        <w:footnoteRef/>
      </w:r>
      <w:r w:rsidRPr="00845316">
        <w:rPr>
          <w:rFonts w:asciiTheme="minorBidi" w:hAnsiTheme="minorBidi"/>
          <w:color w:val="FF0000"/>
          <w:rtl/>
        </w:rPr>
        <w:t xml:space="preserve"> צל"ע האם כן הוא, דהריב"ש אומר דבר זה בדעת רש"י, אבל נראה דה"ה לכל סיעת רש"י. וצ"ע האם יש עוד פוסקים שמחלקים בין עדות לשבועה דמי שנפסל בזה לא נפסל בזה</w:t>
      </w:r>
      <w:r w:rsidRPr="00845316">
        <w:rPr>
          <w:rFonts w:asciiTheme="minorBidi" w:hAnsiTheme="minorBidi"/>
          <w:rtl/>
        </w:rPr>
        <w:t>.</w:t>
      </w:r>
    </w:p>
  </w:footnote>
  <w:footnote w:id="2099">
    <w:p w14:paraId="1D76615A" w14:textId="77777777" w:rsidR="0013116F" w:rsidRPr="00845316" w:rsidRDefault="0013116F" w:rsidP="004B607F">
      <w:pPr>
        <w:pStyle w:val="a9"/>
        <w:spacing w:after="60"/>
        <w:rPr>
          <w:rFonts w:asciiTheme="minorBidi" w:hAnsiTheme="minorBidi"/>
          <w:rtl/>
        </w:rPr>
      </w:pPr>
      <w:r w:rsidRPr="00845316">
        <w:rPr>
          <w:rStyle w:val="ab"/>
          <w:rFonts w:asciiTheme="minorBidi" w:hAnsiTheme="minorBidi"/>
        </w:rPr>
        <w:footnoteRef/>
      </w:r>
      <w:r w:rsidRPr="00845316">
        <w:rPr>
          <w:rFonts w:asciiTheme="minorBidi" w:hAnsiTheme="minorBidi"/>
          <w:rtl/>
        </w:rPr>
        <w:t xml:space="preserve"> דאע"פ שעבר ועשה מה שנשבע עליו שלא לעשותו אינו חשוד לישבע בשקר לשעבר ולהוציא מפיו שבועה לשקר בשעת שבועתו, ריב"ש (שם).</w:t>
      </w:r>
    </w:p>
  </w:footnote>
  <w:footnote w:id="2100">
    <w:p w14:paraId="61818E4A" w14:textId="77777777" w:rsidR="0013116F" w:rsidRPr="00845316" w:rsidRDefault="0013116F" w:rsidP="004B607F">
      <w:pPr>
        <w:pStyle w:val="a9"/>
        <w:spacing w:after="60"/>
        <w:rPr>
          <w:rFonts w:asciiTheme="minorBidi" w:hAnsiTheme="minorBidi"/>
        </w:rPr>
      </w:pPr>
      <w:r w:rsidRPr="00845316">
        <w:rPr>
          <w:rStyle w:val="ab"/>
          <w:rFonts w:asciiTheme="minorBidi" w:hAnsiTheme="minorBidi"/>
        </w:rPr>
        <w:footnoteRef/>
      </w:r>
      <w:r w:rsidRPr="00845316">
        <w:rPr>
          <w:rFonts w:asciiTheme="minorBidi" w:hAnsiTheme="minorBidi"/>
          <w:rtl/>
        </w:rPr>
        <w:t xml:space="preserve"> רשב"א </w:t>
      </w:r>
      <w:r w:rsidRPr="00845316">
        <w:rPr>
          <w:rFonts w:asciiTheme="minorBidi" w:hAnsiTheme="minorBidi"/>
          <w:sz w:val="16"/>
          <w:szCs w:val="16"/>
          <w:rtl/>
        </w:rPr>
        <w:t>(ח"ד סי' קסו, ח"ז סי' סט ו-תסו)</w:t>
      </w:r>
      <w:r w:rsidRPr="00845316">
        <w:rPr>
          <w:rFonts w:asciiTheme="minorBidi" w:hAnsiTheme="minorBidi"/>
          <w:rtl/>
        </w:rPr>
        <w:t>.</w:t>
      </w:r>
    </w:p>
  </w:footnote>
  <w:footnote w:id="2101">
    <w:p w14:paraId="423C897F" w14:textId="77777777" w:rsidR="0013116F" w:rsidRPr="00845316" w:rsidRDefault="0013116F" w:rsidP="004B607F">
      <w:pPr>
        <w:pStyle w:val="a9"/>
        <w:spacing w:after="60"/>
        <w:rPr>
          <w:rFonts w:asciiTheme="minorBidi" w:hAnsiTheme="minorBidi"/>
          <w:rtl/>
        </w:rPr>
      </w:pPr>
      <w:r w:rsidRPr="00845316">
        <w:rPr>
          <w:rStyle w:val="ab"/>
          <w:rFonts w:asciiTheme="minorBidi" w:hAnsiTheme="minorBidi"/>
        </w:rPr>
        <w:footnoteRef/>
      </w:r>
      <w:r w:rsidRPr="00845316">
        <w:rPr>
          <w:rFonts w:asciiTheme="minorBidi" w:hAnsiTheme="minorBidi"/>
          <w:rtl/>
        </w:rPr>
        <w:t xml:space="preserve"> דתניא בפרק זה בורר (כז.) אל תשת חמס עד אלו הגזלנין ומועלין בשבועות ואוקימנא בשבועת ממון דהוי רשע דחמס. ומשמע מהא דסתם הרשב"א דבריו דהחשוד על שבועה אחרת אינו פסול, וכן הבין הב"י מדבריו, ותמהו עליו מהרי"ק והב"י שהרי כך הדין לרבא אבל לאביי כל רשע פסול אפילו דלאו חמס וקיי"ל כאביי. והמהרי"ט </w:t>
      </w:r>
      <w:r w:rsidRPr="00845316">
        <w:rPr>
          <w:rFonts w:asciiTheme="minorBidi" w:hAnsiTheme="minorBidi"/>
          <w:sz w:val="16"/>
          <w:szCs w:val="16"/>
          <w:rtl/>
        </w:rPr>
        <w:t>[אעה"ז סי' מג ד"ה אבל קשה]</w:t>
      </w:r>
      <w:r w:rsidRPr="00845316">
        <w:rPr>
          <w:rFonts w:asciiTheme="minorBidi" w:hAnsiTheme="minorBidi"/>
          <w:rtl/>
        </w:rPr>
        <w:t xml:space="preserve"> כ' את קושיית מהרי"ק ותירץ דהרשב"א אמר דברים אלו רק גבי שבועה שלא לוקין עליה </w:t>
      </w:r>
      <w:r w:rsidRPr="00845316">
        <w:rPr>
          <w:rFonts w:asciiTheme="minorBidi" w:hAnsiTheme="minorBidi"/>
          <w:sz w:val="16"/>
          <w:szCs w:val="16"/>
          <w:rtl/>
        </w:rPr>
        <w:t xml:space="preserve">{כגון שבועת העדות} </w:t>
      </w:r>
      <w:r w:rsidRPr="00845316">
        <w:rPr>
          <w:rFonts w:asciiTheme="minorBidi" w:hAnsiTheme="minorBidi"/>
          <w:rtl/>
        </w:rPr>
        <w:t>ולכן מצריך שיהא בשבועתו עברה דחמס</w:t>
      </w:r>
      <w:r w:rsidRPr="00845316">
        <w:rPr>
          <w:rFonts w:asciiTheme="minorBidi" w:hAnsiTheme="minorBidi"/>
          <w:sz w:val="16"/>
          <w:szCs w:val="16"/>
          <w:rtl/>
        </w:rPr>
        <w:t xml:space="preserve"> {ולד' השו"ע גם בשבועת העדות פסול אף שאין בה חמס}</w:t>
      </w:r>
      <w:r w:rsidRPr="00845316">
        <w:rPr>
          <w:rFonts w:asciiTheme="minorBidi" w:hAnsiTheme="minorBidi"/>
          <w:rtl/>
        </w:rPr>
        <w:t>.</w:t>
      </w:r>
    </w:p>
  </w:footnote>
  <w:footnote w:id="2102">
    <w:p w14:paraId="27739418" w14:textId="77777777" w:rsidR="0013116F" w:rsidRPr="00845316" w:rsidRDefault="0013116F" w:rsidP="004B607F">
      <w:pPr>
        <w:pStyle w:val="a9"/>
        <w:spacing w:after="60"/>
        <w:rPr>
          <w:rFonts w:asciiTheme="minorBidi" w:hAnsiTheme="minorBidi"/>
          <w:rtl/>
        </w:rPr>
      </w:pPr>
      <w:r w:rsidRPr="00845316">
        <w:rPr>
          <w:rStyle w:val="ab"/>
          <w:rFonts w:asciiTheme="minorBidi" w:hAnsiTheme="minorBidi"/>
        </w:rPr>
        <w:footnoteRef/>
      </w:r>
      <w:r w:rsidRPr="00845316">
        <w:rPr>
          <w:rFonts w:asciiTheme="minorBidi" w:hAnsiTheme="minorBidi"/>
          <w:rtl/>
        </w:rPr>
        <w:t xml:space="preserve"> והוסיף מהר"ם </w:t>
      </w:r>
      <w:r w:rsidRPr="00845316">
        <w:rPr>
          <w:rFonts w:asciiTheme="minorBidi" w:hAnsiTheme="minorBidi"/>
          <w:sz w:val="16"/>
          <w:szCs w:val="16"/>
          <w:rtl/>
        </w:rPr>
        <w:t>(ד"פ סי' תתקעח)</w:t>
      </w:r>
      <w:r w:rsidRPr="00845316">
        <w:rPr>
          <w:rFonts w:asciiTheme="minorBidi" w:hAnsiTheme="minorBidi"/>
          <w:rtl/>
        </w:rPr>
        <w:t xml:space="preserve"> דאדם זה "נפסל אפילו לדברי המפרשים שבועת ביטוי לא קתני דמיפסל בהכי, מ"מ איפסיל לכיוצא בה לשאר חרמות דלהבא, ואפילו אם יאמר אשבע לשעבר לא שבקינן ליה דסמכינן אה"ג ור"ח ור"ת ואפילו לעדות מיפסל מההיא שעתא ואע"ג דלא אסהידו עליה לפסלו אלא השתא </w:t>
      </w:r>
      <w:r w:rsidRPr="00845316">
        <w:rPr>
          <w:rFonts w:asciiTheme="minorBidi" w:hAnsiTheme="minorBidi"/>
          <w:sz w:val="16"/>
          <w:szCs w:val="16"/>
          <w:rtl/>
        </w:rPr>
        <w:t>(כאביי דאמר (ב"ק עב:) למפרע הוא נפסל)</w:t>
      </w:r>
      <w:r w:rsidRPr="00845316">
        <w:rPr>
          <w:rFonts w:asciiTheme="minorBidi" w:hAnsiTheme="minorBidi"/>
          <w:rtl/>
        </w:rPr>
        <w:t>".</w:t>
      </w:r>
    </w:p>
  </w:footnote>
  <w:footnote w:id="2103">
    <w:p w14:paraId="18053716" w14:textId="77777777" w:rsidR="0013116F" w:rsidRPr="00845316" w:rsidRDefault="0013116F" w:rsidP="004B607F">
      <w:pPr>
        <w:pStyle w:val="a9"/>
        <w:spacing w:after="60"/>
        <w:rPr>
          <w:rFonts w:asciiTheme="minorBidi" w:hAnsiTheme="minorBidi"/>
        </w:rPr>
      </w:pPr>
      <w:r w:rsidRPr="00845316">
        <w:rPr>
          <w:rStyle w:val="ab"/>
          <w:rFonts w:asciiTheme="minorBidi" w:hAnsiTheme="minorBidi"/>
        </w:rPr>
        <w:footnoteRef/>
      </w:r>
      <w:r w:rsidRPr="00845316">
        <w:rPr>
          <w:rFonts w:asciiTheme="minorBidi" w:hAnsiTheme="minorBidi"/>
          <w:rtl/>
        </w:rPr>
        <w:t xml:space="preserve"> (ר"י </w:t>
      </w:r>
      <w:r w:rsidRPr="00845316">
        <w:rPr>
          <w:rFonts w:asciiTheme="minorBidi" w:hAnsiTheme="minorBidi"/>
          <w:sz w:val="16"/>
          <w:szCs w:val="16"/>
          <w:rtl/>
        </w:rPr>
        <w:t>הגה"מ [הל' טוען ונטען פ"ב אות א] כ"כ בשמו</w:t>
      </w:r>
      <w:r w:rsidRPr="00845316">
        <w:rPr>
          <w:rFonts w:asciiTheme="minorBidi" w:hAnsiTheme="minorBidi"/>
          <w:rtl/>
        </w:rPr>
        <w:t xml:space="preserve">) ר"ת </w:t>
      </w:r>
      <w:r w:rsidRPr="00845316">
        <w:rPr>
          <w:rFonts w:asciiTheme="minorBidi" w:hAnsiTheme="minorBidi"/>
          <w:sz w:val="16"/>
          <w:szCs w:val="16"/>
          <w:rtl/>
        </w:rPr>
        <w:t xml:space="preserve">(תוס' שבועות מו: ד"ה אבל) </w:t>
      </w:r>
      <w:r w:rsidRPr="00845316">
        <w:rPr>
          <w:rFonts w:asciiTheme="minorBidi" w:hAnsiTheme="minorBidi"/>
          <w:rtl/>
        </w:rPr>
        <w:t xml:space="preserve">(סה"ת ר' יעקב בר ר' משולם </w:t>
      </w:r>
      <w:r w:rsidRPr="00845316">
        <w:rPr>
          <w:rFonts w:asciiTheme="minorBidi" w:hAnsiTheme="minorBidi"/>
          <w:sz w:val="16"/>
          <w:szCs w:val="16"/>
          <w:rtl/>
        </w:rPr>
        <w:t>הביאם הנמוק"י [ה:]</w:t>
      </w:r>
      <w:r w:rsidRPr="00845316">
        <w:rPr>
          <w:rFonts w:asciiTheme="minorBidi" w:hAnsiTheme="minorBidi"/>
          <w:rtl/>
        </w:rPr>
        <w:t>) מהר"ם (</w:t>
      </w:r>
      <w:r w:rsidRPr="00845316">
        <w:rPr>
          <w:rFonts w:asciiTheme="minorBidi" w:hAnsiTheme="minorBidi"/>
          <w:sz w:val="16"/>
          <w:szCs w:val="16"/>
          <w:rtl/>
        </w:rPr>
        <w:t>בתוספותיו [ד"ל סי' קג], הביאו המרדכי [בשבועות ז ע"ג]</w:t>
      </w:r>
      <w:r w:rsidRPr="00845316">
        <w:rPr>
          <w:rFonts w:asciiTheme="minorBidi" w:hAnsiTheme="minorBidi"/>
          <w:rtl/>
        </w:rPr>
        <w:t xml:space="preserve">) רשב"א </w:t>
      </w:r>
      <w:r w:rsidRPr="00845316">
        <w:rPr>
          <w:rFonts w:asciiTheme="minorBidi" w:hAnsiTheme="minorBidi"/>
          <w:sz w:val="16"/>
          <w:szCs w:val="16"/>
          <w:rtl/>
        </w:rPr>
        <w:t>(הובא בב"י ד</w:t>
      </w:r>
      <w:r w:rsidRPr="00845316">
        <w:rPr>
          <w:rFonts w:asciiTheme="minorBidi" w:hAnsiTheme="minorBidi"/>
          <w:sz w:val="14"/>
          <w:szCs w:val="14"/>
          <w:rtl/>
        </w:rPr>
        <w:t>[ב]</w:t>
      </w:r>
      <w:r w:rsidRPr="00845316">
        <w:rPr>
          <w:rFonts w:asciiTheme="minorBidi" w:hAnsiTheme="minorBidi"/>
          <w:sz w:val="16"/>
          <w:szCs w:val="16"/>
          <w:rtl/>
        </w:rPr>
        <w:t>)</w:t>
      </w:r>
      <w:r w:rsidRPr="00845316">
        <w:rPr>
          <w:rFonts w:asciiTheme="minorBidi" w:hAnsiTheme="minorBidi"/>
          <w:rtl/>
        </w:rPr>
        <w:t xml:space="preserve"> ורא"ש </w:t>
      </w:r>
      <w:r w:rsidRPr="00845316">
        <w:rPr>
          <w:rFonts w:asciiTheme="minorBidi" w:hAnsiTheme="minorBidi"/>
          <w:sz w:val="16"/>
          <w:szCs w:val="16"/>
          <w:rtl/>
        </w:rPr>
        <w:t>(כלל קז סי' ו ד"ה והנה)</w:t>
      </w:r>
      <w:r w:rsidRPr="00845316">
        <w:rPr>
          <w:rFonts w:asciiTheme="minorBidi" w:hAnsiTheme="minorBidi"/>
          <w:rtl/>
        </w:rPr>
        <w:t>. וההגה"מ כ"כ בשם ר"י, וכ' על זה הב"י וז"ל- ותמהני על ההגהות בפרק הנזכר שכתבו- "לפיכך אדם שעבר על חרמות שלנו חשוד על השבועה וכן פסק ר"י", וזה הפך מה שכתבו הפוסקים בשם ר"י.</w:t>
      </w:r>
    </w:p>
  </w:footnote>
  <w:footnote w:id="2104">
    <w:p w14:paraId="1B1EFCB8" w14:textId="77777777" w:rsidR="0013116F" w:rsidRPr="00845316" w:rsidRDefault="0013116F" w:rsidP="004B607F">
      <w:pPr>
        <w:pStyle w:val="a9"/>
        <w:spacing w:after="60"/>
        <w:rPr>
          <w:rFonts w:asciiTheme="minorBidi" w:hAnsiTheme="minorBidi"/>
        </w:rPr>
      </w:pPr>
      <w:r w:rsidRPr="00845316">
        <w:rPr>
          <w:rStyle w:val="ab"/>
          <w:rFonts w:asciiTheme="minorBidi" w:hAnsiTheme="minorBidi"/>
        </w:rPr>
        <w:footnoteRef/>
      </w:r>
      <w:r w:rsidRPr="00845316">
        <w:rPr>
          <w:rFonts w:asciiTheme="minorBidi" w:hAnsiTheme="minorBidi"/>
          <w:rtl/>
        </w:rPr>
        <w:t xml:space="preserve"> וכ' הרא"ש דמ"מ אין לפסלו אא"כ אמרו עדים ידענו בבירור שהיה פלוני שם כשנתנו החרם וידענו ג"כ בבירור שעבר על החרם.</w:t>
      </w:r>
    </w:p>
  </w:footnote>
  <w:footnote w:id="2105">
    <w:p w14:paraId="0ED1DB64" w14:textId="77777777" w:rsidR="0013116F" w:rsidRPr="00845316" w:rsidRDefault="0013116F" w:rsidP="004B607F">
      <w:pPr>
        <w:pStyle w:val="a9"/>
        <w:spacing w:after="60"/>
        <w:rPr>
          <w:rFonts w:asciiTheme="minorBidi" w:hAnsiTheme="minorBidi"/>
        </w:rPr>
      </w:pPr>
      <w:r w:rsidRPr="00845316">
        <w:rPr>
          <w:rStyle w:val="ab"/>
          <w:rFonts w:asciiTheme="minorBidi" w:hAnsiTheme="minorBidi"/>
        </w:rPr>
        <w:footnoteRef/>
      </w:r>
      <w:r w:rsidRPr="00845316">
        <w:rPr>
          <w:rFonts w:asciiTheme="minorBidi" w:hAnsiTheme="minorBidi"/>
          <w:rtl/>
        </w:rPr>
        <w:t xml:space="preserve"> (רש"י רמב"ן רשב"א</w:t>
      </w:r>
      <w:r w:rsidRPr="00845316">
        <w:rPr>
          <w:rFonts w:asciiTheme="minorBidi" w:hAnsiTheme="minorBidi"/>
          <w:sz w:val="16"/>
          <w:szCs w:val="16"/>
          <w:rtl/>
        </w:rPr>
        <w:t xml:space="preserve"> (סי' קח) להב' הריב"ש</w:t>
      </w:r>
      <w:r w:rsidRPr="00845316">
        <w:rPr>
          <w:rFonts w:asciiTheme="minorBidi" w:hAnsiTheme="minorBidi"/>
          <w:rtl/>
        </w:rPr>
        <w:t xml:space="preserve">) וראבי"ה </w:t>
      </w:r>
      <w:r w:rsidRPr="00845316">
        <w:rPr>
          <w:rFonts w:asciiTheme="minorBidi" w:hAnsiTheme="minorBidi"/>
          <w:sz w:val="16"/>
          <w:szCs w:val="16"/>
          <w:rtl/>
        </w:rPr>
        <w:t>(כ"כ האגודה [סי' כה] בשמו)</w:t>
      </w:r>
      <w:r w:rsidRPr="00845316">
        <w:rPr>
          <w:rFonts w:asciiTheme="minorBidi" w:hAnsiTheme="minorBidi"/>
          <w:rtl/>
        </w:rPr>
        <w:t>. וכ"כ התוס' (מו: ד"ה אבל) בשם יש אומרים.</w:t>
      </w:r>
    </w:p>
  </w:footnote>
  <w:footnote w:id="2106">
    <w:p w14:paraId="23DA35D1" w14:textId="77777777" w:rsidR="0013116F" w:rsidRPr="00845316" w:rsidRDefault="0013116F" w:rsidP="004B607F">
      <w:pPr>
        <w:pStyle w:val="a9"/>
        <w:spacing w:after="60"/>
        <w:rPr>
          <w:rFonts w:asciiTheme="minorBidi" w:hAnsiTheme="minorBidi"/>
          <w:rtl/>
        </w:rPr>
      </w:pPr>
      <w:r w:rsidRPr="00845316">
        <w:rPr>
          <w:rStyle w:val="ab"/>
          <w:rFonts w:asciiTheme="minorBidi" w:hAnsiTheme="minorBidi"/>
        </w:rPr>
        <w:footnoteRef/>
      </w:r>
      <w:r w:rsidRPr="00845316">
        <w:rPr>
          <w:rFonts w:asciiTheme="minorBidi" w:hAnsiTheme="minorBidi"/>
          <w:rtl/>
        </w:rPr>
        <w:t xml:space="preserve"> והעיר הש"ך (בסי' צב סק"א) דלדעת הרשב"א בכל ענין אינו יכול לטעון שכחתי.</w:t>
      </w:r>
    </w:p>
  </w:footnote>
  <w:footnote w:id="2107">
    <w:p w14:paraId="054F4608" w14:textId="77777777" w:rsidR="0013116F" w:rsidRPr="00845316" w:rsidRDefault="0013116F" w:rsidP="004B607F">
      <w:pPr>
        <w:pStyle w:val="a9"/>
        <w:spacing w:after="60"/>
        <w:rPr>
          <w:rFonts w:asciiTheme="minorBidi" w:hAnsiTheme="minorBidi"/>
          <w:rtl/>
        </w:rPr>
      </w:pPr>
      <w:r w:rsidRPr="00845316">
        <w:rPr>
          <w:rStyle w:val="ab"/>
          <w:rFonts w:asciiTheme="minorBidi" w:hAnsiTheme="minorBidi"/>
        </w:rPr>
        <w:footnoteRef/>
      </w:r>
      <w:r w:rsidRPr="00845316">
        <w:rPr>
          <w:rFonts w:asciiTheme="minorBidi" w:hAnsiTheme="minorBidi"/>
          <w:rtl/>
        </w:rPr>
        <w:t xml:space="preserve"> דבשעה שנשבע דעתו היתה לקיים שבועתו, ואח"כ יצרו ולבו אנסו לעבור על השבועה בזה דאינו איסור מצד עצמו אלא שהוא אסרו אנפשו בשבועתו, ומפני זה לא יעיד שקר שהוא איסור ועון פלילי מצד עצמו. משא"כ בשבועה דלשעבר דהשבועה עצמה יצאתה מפיו לשקר, סמ"ע (סקי"ב).</w:t>
      </w:r>
    </w:p>
  </w:footnote>
  <w:footnote w:id="2108">
    <w:p w14:paraId="4D3E4FBC" w14:textId="77777777" w:rsidR="0013116F" w:rsidRPr="00845316" w:rsidRDefault="0013116F" w:rsidP="004B607F">
      <w:pPr>
        <w:pStyle w:val="a9"/>
        <w:spacing w:after="60"/>
        <w:rPr>
          <w:rFonts w:asciiTheme="minorBidi" w:hAnsiTheme="minorBidi"/>
          <w:rtl/>
        </w:rPr>
      </w:pPr>
      <w:r w:rsidRPr="00845316">
        <w:rPr>
          <w:rStyle w:val="ab"/>
          <w:rFonts w:asciiTheme="minorBidi" w:hAnsiTheme="minorBidi"/>
        </w:rPr>
        <w:footnoteRef/>
      </w:r>
      <w:r w:rsidRPr="00845316">
        <w:rPr>
          <w:rFonts w:asciiTheme="minorBidi" w:hAnsiTheme="minorBidi"/>
          <w:rtl/>
        </w:rPr>
        <w:t xml:space="preserve"> וכ' הש"ך </w:t>
      </w:r>
      <w:r w:rsidRPr="00845316">
        <w:rPr>
          <w:rFonts w:asciiTheme="minorBidi" w:hAnsiTheme="minorBidi"/>
          <w:sz w:val="16"/>
          <w:szCs w:val="16"/>
          <w:rtl/>
        </w:rPr>
        <w:t>(סק"ה)</w:t>
      </w:r>
      <w:r w:rsidRPr="00845316">
        <w:rPr>
          <w:rFonts w:asciiTheme="minorBidi" w:hAnsiTheme="minorBidi"/>
          <w:rtl/>
        </w:rPr>
        <w:t xml:space="preserve"> דמש"כ הרמ"א לא מוזכר בשום מקום, וממש"כ הב"י ביו"ד</w:t>
      </w:r>
      <w:r w:rsidRPr="00845316">
        <w:rPr>
          <w:rFonts w:asciiTheme="minorBidi" w:hAnsiTheme="minorBidi"/>
          <w:sz w:val="16"/>
          <w:szCs w:val="16"/>
          <w:rtl/>
        </w:rPr>
        <w:t xml:space="preserve"> (סי' רכח)</w:t>
      </w:r>
      <w:r w:rsidRPr="00845316">
        <w:rPr>
          <w:rFonts w:asciiTheme="minorBidi" w:hAnsiTheme="minorBidi"/>
          <w:rtl/>
        </w:rPr>
        <w:t xml:space="preserve"> בשם הרשב"א</w:t>
      </w:r>
      <w:r w:rsidRPr="00845316">
        <w:rPr>
          <w:rFonts w:asciiTheme="minorBidi" w:hAnsiTheme="minorBidi"/>
          <w:sz w:val="16"/>
          <w:szCs w:val="16"/>
          <w:rtl/>
        </w:rPr>
        <w:t xml:space="preserve"> (ח"ד סי' קט)</w:t>
      </w:r>
      <w:r w:rsidRPr="00845316">
        <w:rPr>
          <w:rFonts w:asciiTheme="minorBidi" w:hAnsiTheme="minorBidi"/>
          <w:rtl/>
        </w:rPr>
        <w:t xml:space="preserve"> דלאחר שעבר על שבועתו אינו נאמן לומר אנוס הייתי </w:t>
      </w:r>
      <w:r w:rsidRPr="00845316">
        <w:rPr>
          <w:rFonts w:asciiTheme="minorBidi" w:hAnsiTheme="minorBidi"/>
          <w:sz w:val="16"/>
          <w:szCs w:val="16"/>
          <w:rtl/>
        </w:rPr>
        <w:t>(וכתבו הרמ"א שם סי' רלב סי"ב)</w:t>
      </w:r>
      <w:r w:rsidRPr="00845316">
        <w:rPr>
          <w:rFonts w:asciiTheme="minorBidi" w:hAnsiTheme="minorBidi"/>
          <w:rtl/>
        </w:rPr>
        <w:t>, אין ראיה, דהתם טוען אנוס הייתי על השבועה</w:t>
      </w:r>
      <w:r w:rsidRPr="00845316">
        <w:rPr>
          <w:rFonts w:asciiTheme="minorBidi" w:hAnsiTheme="minorBidi"/>
          <w:sz w:val="14"/>
          <w:szCs w:val="14"/>
          <w:rtl/>
        </w:rPr>
        <w:t xml:space="preserve"> (ולא על המעשה כדהכא)</w:t>
      </w:r>
      <w:r w:rsidRPr="00845316">
        <w:rPr>
          <w:rFonts w:asciiTheme="minorBidi" w:hAnsiTheme="minorBidi"/>
          <w:rtl/>
        </w:rPr>
        <w:t>. וגם ברשב"א מבואר שהתרו בו בשעת מעשה ולא אמר אנוס אני על השבועה, והלכך כיון שלא אמר כן בשעת מעשה אינו נאמן.</w:t>
      </w:r>
    </w:p>
  </w:footnote>
  <w:footnote w:id="2109">
    <w:p w14:paraId="6A85CD4A" w14:textId="77777777" w:rsidR="0013116F" w:rsidRPr="00845316" w:rsidRDefault="0013116F" w:rsidP="004B607F">
      <w:pPr>
        <w:pStyle w:val="a9"/>
        <w:spacing w:after="60"/>
        <w:rPr>
          <w:rFonts w:asciiTheme="minorBidi" w:hAnsiTheme="minorBidi"/>
        </w:rPr>
      </w:pPr>
      <w:r w:rsidRPr="00845316">
        <w:rPr>
          <w:rStyle w:val="ab"/>
          <w:rFonts w:asciiTheme="minorBidi" w:hAnsiTheme="minorBidi"/>
        </w:rPr>
        <w:footnoteRef/>
      </w:r>
      <w:r w:rsidRPr="00845316">
        <w:rPr>
          <w:rFonts w:asciiTheme="minorBidi" w:hAnsiTheme="minorBidi"/>
          <w:rtl/>
        </w:rPr>
        <w:t xml:space="preserve"> שא"כ אין לך חשוד אפילו בשבועת העדות, דיכול לטעון שכחתי וכו', רשב"א</w:t>
      </w:r>
      <w:r w:rsidRPr="00845316">
        <w:rPr>
          <w:rFonts w:asciiTheme="minorBidi" w:hAnsiTheme="minorBidi"/>
          <w:sz w:val="16"/>
          <w:szCs w:val="16"/>
          <w:rtl/>
        </w:rPr>
        <w:t xml:space="preserve"> (ח"א סי' תרע, ח"ג סי' שלג)</w:t>
      </w:r>
      <w:r w:rsidRPr="00845316">
        <w:rPr>
          <w:rFonts w:asciiTheme="minorBidi" w:hAnsiTheme="minorBidi"/>
          <w:rtl/>
        </w:rPr>
        <w:t>.</w:t>
      </w:r>
    </w:p>
  </w:footnote>
  <w:footnote w:id="2110">
    <w:p w14:paraId="2A21829A" w14:textId="77777777" w:rsidR="0013116F" w:rsidRPr="00845316" w:rsidRDefault="0013116F" w:rsidP="004B607F">
      <w:pPr>
        <w:pStyle w:val="a9"/>
        <w:spacing w:after="60"/>
        <w:rPr>
          <w:rFonts w:asciiTheme="minorBidi" w:hAnsiTheme="minorBidi"/>
          <w:rtl/>
        </w:rPr>
      </w:pPr>
      <w:r w:rsidRPr="00845316">
        <w:rPr>
          <w:rStyle w:val="ab"/>
          <w:rFonts w:asciiTheme="minorBidi" w:hAnsiTheme="minorBidi"/>
        </w:rPr>
        <w:footnoteRef/>
      </w:r>
      <w:r w:rsidRPr="00845316">
        <w:rPr>
          <w:rFonts w:asciiTheme="minorBidi" w:hAnsiTheme="minorBidi"/>
          <w:rtl/>
        </w:rPr>
        <w:t xml:space="preserve"> ועיי"ש בברכ"י (אות יז) דמשיג עליו בארוכה, ועוד שאפילו מדברי הרמ"א בתשו' שהביא לא נראה כן.</w:t>
      </w:r>
    </w:p>
  </w:footnote>
  <w:footnote w:id="2111">
    <w:p w14:paraId="629C04F1" w14:textId="77777777" w:rsidR="0013116F" w:rsidRPr="00845316" w:rsidRDefault="0013116F" w:rsidP="004B607F">
      <w:pPr>
        <w:pStyle w:val="a9"/>
        <w:spacing w:after="60"/>
        <w:rPr>
          <w:rFonts w:asciiTheme="minorBidi" w:hAnsiTheme="minorBidi"/>
          <w:rtl/>
        </w:rPr>
      </w:pPr>
      <w:r w:rsidRPr="00845316">
        <w:rPr>
          <w:rStyle w:val="ab"/>
          <w:rFonts w:asciiTheme="minorBidi" w:hAnsiTheme="minorBidi"/>
        </w:rPr>
        <w:footnoteRef/>
      </w:r>
      <w:r w:rsidRPr="00845316">
        <w:rPr>
          <w:rFonts w:asciiTheme="minorBidi" w:hAnsiTheme="minorBidi"/>
          <w:rtl/>
        </w:rPr>
        <w:t xml:space="preserve"> ואף דבשו"ע מבואר ב' דעות אי נפסלין לעדות בשבועה דלהבא, והריב"ש הכריע דאם עשה מעשה נפסל וכו', ובהאי דנידון דידן לאו שאין בו מעשה הוא, מ"מ הרי בכנה"ג ובאו"ת מבואר דאף לדברי הריב"ש מדרבנן ודאי דנפסל כו', ר' משה.</w:t>
      </w:r>
    </w:p>
  </w:footnote>
  <w:footnote w:id="2112">
    <w:p w14:paraId="167677D5" w14:textId="77777777" w:rsidR="0013116F" w:rsidRPr="00845316" w:rsidRDefault="0013116F" w:rsidP="004B607F">
      <w:pPr>
        <w:pStyle w:val="a9"/>
        <w:spacing w:after="60"/>
        <w:rPr>
          <w:rFonts w:asciiTheme="minorBidi" w:hAnsiTheme="minorBidi"/>
        </w:rPr>
      </w:pPr>
      <w:r w:rsidRPr="00845316">
        <w:rPr>
          <w:rStyle w:val="ab"/>
          <w:rFonts w:asciiTheme="minorBidi" w:hAnsiTheme="minorBidi"/>
        </w:rPr>
        <w:footnoteRef/>
      </w:r>
      <w:r w:rsidRPr="00845316">
        <w:rPr>
          <w:rFonts w:asciiTheme="minorBidi" w:hAnsiTheme="minorBidi"/>
          <w:rtl/>
        </w:rPr>
        <w:t xml:space="preserve"> דווקא לאחרים, דאילו בדק לעצמו ואז מכר לאחרים</w:t>
      </w:r>
      <w:r>
        <w:rPr>
          <w:rFonts w:asciiTheme="minorBidi" w:hAnsiTheme="minorBidi" w:hint="cs"/>
          <w:rtl/>
        </w:rPr>
        <w:t xml:space="preserve"> </w:t>
      </w:r>
      <w:r w:rsidRPr="00845316">
        <w:rPr>
          <w:rFonts w:asciiTheme="minorBidi" w:hAnsiTheme="minorBidi"/>
          <w:rtl/>
        </w:rPr>
        <w:t>- לכו"ע פסול, כרב נחמן.</w:t>
      </w:r>
    </w:p>
  </w:footnote>
  <w:footnote w:id="2113">
    <w:p w14:paraId="59DFD788" w14:textId="77777777" w:rsidR="0013116F" w:rsidRPr="00845316" w:rsidRDefault="0013116F" w:rsidP="004B607F">
      <w:pPr>
        <w:pStyle w:val="a9"/>
        <w:spacing w:after="60"/>
        <w:rPr>
          <w:rFonts w:asciiTheme="minorBidi" w:hAnsiTheme="minorBidi"/>
          <w:rtl/>
        </w:rPr>
      </w:pPr>
      <w:r w:rsidRPr="00845316">
        <w:rPr>
          <w:rStyle w:val="ab"/>
          <w:rFonts w:asciiTheme="minorBidi" w:hAnsiTheme="minorBidi"/>
        </w:rPr>
        <w:footnoteRef/>
      </w:r>
      <w:r w:rsidRPr="00845316">
        <w:rPr>
          <w:rFonts w:asciiTheme="minorBidi" w:hAnsiTheme="minorBidi"/>
          <w:rtl/>
        </w:rPr>
        <w:t xml:space="preserve"> דמכיון שהוא מאכיל הטריפות חזקה שגם הוא אוכל והוה ליה עובר על לאו דובשר בשדה טרפה, כס"מ (עדות פי"ב ה"ט).</w:t>
      </w:r>
    </w:p>
  </w:footnote>
  <w:footnote w:id="2114">
    <w:p w14:paraId="7B5C5C3C" w14:textId="77777777" w:rsidR="0013116F" w:rsidRPr="00845316" w:rsidRDefault="0013116F" w:rsidP="004B607F">
      <w:pPr>
        <w:pStyle w:val="a9"/>
        <w:spacing w:after="60"/>
        <w:rPr>
          <w:rFonts w:asciiTheme="minorBidi" w:hAnsiTheme="minorBidi"/>
        </w:rPr>
      </w:pPr>
      <w:r w:rsidRPr="00845316">
        <w:rPr>
          <w:rStyle w:val="ab"/>
          <w:rFonts w:asciiTheme="minorBidi" w:hAnsiTheme="minorBidi"/>
        </w:rPr>
        <w:footnoteRef/>
      </w:r>
      <w:r w:rsidRPr="00845316">
        <w:rPr>
          <w:rFonts w:asciiTheme="minorBidi" w:hAnsiTheme="minorBidi"/>
          <w:rtl/>
        </w:rPr>
        <w:t xml:space="preserve"> רי"ו </w:t>
      </w:r>
      <w:r w:rsidRPr="00845316">
        <w:rPr>
          <w:rFonts w:asciiTheme="minorBidi" w:hAnsiTheme="minorBidi"/>
          <w:sz w:val="14"/>
          <w:szCs w:val="14"/>
          <w:rtl/>
        </w:rPr>
        <w:t xml:space="preserve">(נ"ב ח"ד יב ע"ג) </w:t>
      </w:r>
      <w:r w:rsidRPr="00845316">
        <w:rPr>
          <w:rFonts w:asciiTheme="minorBidi" w:hAnsiTheme="minorBidi"/>
          <w:rtl/>
        </w:rPr>
        <w:t xml:space="preserve">הביא את התוס', והביאו הב"י </w:t>
      </w:r>
      <w:r w:rsidRPr="00845316">
        <w:rPr>
          <w:rFonts w:asciiTheme="minorBidi" w:hAnsiTheme="minorBidi"/>
          <w:sz w:val="14"/>
          <w:szCs w:val="14"/>
          <w:rtl/>
        </w:rPr>
        <w:t>(בעמ' רפה, ד"ה "ומה שכתב אבל שאר")</w:t>
      </w:r>
      <w:r w:rsidRPr="00845316">
        <w:rPr>
          <w:rFonts w:asciiTheme="minorBidi" w:hAnsiTheme="minorBidi"/>
          <w:rtl/>
        </w:rPr>
        <w:t>, וכ' הב"י דברים אלו בעמ' רפז ד"ה וחזרת טבח.</w:t>
      </w:r>
    </w:p>
  </w:footnote>
  <w:footnote w:id="2115">
    <w:p w14:paraId="214B7637" w14:textId="77777777" w:rsidR="0013116F" w:rsidRPr="00845316" w:rsidRDefault="0013116F" w:rsidP="004B607F">
      <w:pPr>
        <w:pStyle w:val="a9"/>
        <w:spacing w:after="60"/>
        <w:rPr>
          <w:rFonts w:asciiTheme="minorBidi" w:hAnsiTheme="minorBidi"/>
        </w:rPr>
      </w:pPr>
      <w:r w:rsidRPr="00845316">
        <w:rPr>
          <w:rStyle w:val="ab"/>
          <w:rFonts w:asciiTheme="minorBidi" w:hAnsiTheme="minorBidi"/>
        </w:rPr>
        <w:footnoteRef/>
      </w:r>
      <w:r w:rsidRPr="00845316">
        <w:rPr>
          <w:rFonts w:asciiTheme="minorBidi" w:hAnsiTheme="minorBidi"/>
          <w:rtl/>
        </w:rPr>
        <w:t xml:space="preserve"> ואע"ג דהיה להקשות- "והרי עובר בזה על לאו דלפני עיוור והוא לאו דלא לקי עליה ומדוע נפסל לעדות?", אלא לכך כ' הטור דפסול משום דהוי כאוכל נבילות לתיאבון היינו משום חימוד ממון, אבל בעלמא בלאו שלוקין עליו, אפילו היכא דליכא חימוד ממון הוא פסול, מהר"י (הובא בט"ז). ולשו"ע</w:t>
      </w:r>
      <w:r w:rsidRPr="00845316">
        <w:rPr>
          <w:rFonts w:asciiTheme="minorBidi" w:hAnsiTheme="minorBidi"/>
          <w:sz w:val="16"/>
          <w:szCs w:val="16"/>
          <w:rtl/>
        </w:rPr>
        <w:t xml:space="preserve"> (שסובר שאף בדרבנן לא בעינן חמס כדי להיפסל) </w:t>
      </w:r>
      <w:r w:rsidRPr="00845316">
        <w:rPr>
          <w:rFonts w:asciiTheme="minorBidi" w:hAnsiTheme="minorBidi"/>
          <w:rtl/>
        </w:rPr>
        <w:t xml:space="preserve">טעם אחר עיין לעיל בהבנתו בדברי הרמב"ם. </w:t>
      </w:r>
    </w:p>
  </w:footnote>
  <w:footnote w:id="2116">
    <w:p w14:paraId="6702DEBD" w14:textId="77777777" w:rsidR="0013116F" w:rsidRPr="00845316" w:rsidRDefault="0013116F" w:rsidP="004B607F">
      <w:pPr>
        <w:pStyle w:val="a9"/>
        <w:spacing w:after="60"/>
        <w:rPr>
          <w:rFonts w:asciiTheme="minorBidi" w:hAnsiTheme="minorBidi"/>
          <w:rtl/>
        </w:rPr>
      </w:pPr>
      <w:r w:rsidRPr="00845316">
        <w:rPr>
          <w:rStyle w:val="ab"/>
          <w:rFonts w:asciiTheme="minorBidi" w:hAnsiTheme="minorBidi"/>
        </w:rPr>
        <w:footnoteRef/>
      </w:r>
      <w:r w:rsidRPr="00845316">
        <w:rPr>
          <w:rFonts w:asciiTheme="minorBidi" w:hAnsiTheme="minorBidi"/>
          <w:rtl/>
        </w:rPr>
        <w:t xml:space="preserve"> ואע"פ דכ' הרמ"א </w:t>
      </w:r>
      <w:r w:rsidRPr="00845316">
        <w:rPr>
          <w:rFonts w:asciiTheme="minorBidi" w:hAnsiTheme="minorBidi"/>
          <w:sz w:val="16"/>
          <w:szCs w:val="16"/>
          <w:rtl/>
        </w:rPr>
        <w:t>(חו"מ סי' שו ס"ט וי"א)</w:t>
      </w:r>
      <w:r w:rsidRPr="00845316">
        <w:rPr>
          <w:rFonts w:asciiTheme="minorBidi" w:hAnsiTheme="minorBidi"/>
          <w:rtl/>
        </w:rPr>
        <w:t xml:space="preserve"> דטבח ומלמד אע"פ שאין צריכין התראה מ"מ בעינן חזקה דעד שיהיו מוחזקים או עד שיתרו בהם לא מסלקינן להו עכ"ל, כבר תירץ הריב"ש </w:t>
      </w:r>
      <w:r w:rsidRPr="00845316">
        <w:rPr>
          <w:rFonts w:asciiTheme="minorBidi" w:hAnsiTheme="minorBidi"/>
          <w:sz w:val="14"/>
          <w:szCs w:val="14"/>
          <w:rtl/>
        </w:rPr>
        <w:t xml:space="preserve">(סי' קיג) </w:t>
      </w:r>
      <w:r w:rsidRPr="00845316">
        <w:rPr>
          <w:rFonts w:asciiTheme="minorBidi" w:hAnsiTheme="minorBidi"/>
          <w:rtl/>
        </w:rPr>
        <w:t>וז"ל- זהו באותן המוזכרים שם שאינו אלא הפסד ממון וגם אפשר שהם מוטעים או שוגגים אבל בחשוד להאכיל האיסור מיד מסלקין אותו וכבר כתב הרשב"א ז"ל בתשובה דטבח שיצא טריפה מתחת ידו אין לו התנצלות לומר שוגג הייתי שא"כ לעולם יאמר כן עכ"ל, מיהו באדם שידוע שהוא ירא שמים ומדקדק במעשיו כתוב בתשו' מהרי"ו (סי' צז) דאין מעבירין אותו ואמרינן בודאי משגה הוא, ש"ך (יו"ד סי' קיט סק"ל ו-לג).</w:t>
      </w:r>
    </w:p>
  </w:footnote>
  <w:footnote w:id="2117">
    <w:p w14:paraId="7427F2CA" w14:textId="77777777" w:rsidR="0013116F" w:rsidRPr="00845316" w:rsidRDefault="0013116F" w:rsidP="004B607F">
      <w:pPr>
        <w:pStyle w:val="a9"/>
        <w:spacing w:after="60"/>
        <w:rPr>
          <w:rFonts w:asciiTheme="minorBidi" w:hAnsiTheme="minorBidi"/>
        </w:rPr>
      </w:pPr>
      <w:r w:rsidRPr="00845316">
        <w:rPr>
          <w:rStyle w:val="ab"/>
          <w:rFonts w:asciiTheme="minorBidi" w:hAnsiTheme="minorBidi"/>
        </w:rPr>
        <w:footnoteRef/>
      </w:r>
      <w:r w:rsidRPr="00845316">
        <w:rPr>
          <w:rFonts w:asciiTheme="minorBidi" w:hAnsiTheme="minorBidi"/>
          <w:rtl/>
        </w:rPr>
        <w:t xml:space="preserve"> מכאן כ' הרמב"ם (פ"י ה"ד)- "ועוד יש שם רשעים שהם פסולים לעדות אע"פ שהם בני תשלומין ואינן בני מלקות הואיל ולוקחים ממון שאינו שלהם בחמס פסולים שנאמר</w:t>
      </w:r>
      <w:r w:rsidRPr="00845316">
        <w:rPr>
          <w:rFonts w:asciiTheme="minorBidi" w:hAnsiTheme="minorBidi"/>
          <w:sz w:val="16"/>
          <w:szCs w:val="16"/>
          <w:rtl/>
        </w:rPr>
        <w:t xml:space="preserve"> </w:t>
      </w:r>
      <w:r w:rsidRPr="00845316">
        <w:rPr>
          <w:rFonts w:asciiTheme="minorBidi" w:hAnsiTheme="minorBidi"/>
          <w:rtl/>
        </w:rPr>
        <w:t>'כי יקום עד חמס באיש'- כגון הגנבים והחמסנין וכו'...". וכ"כ הטור, וכ' דהסיבה היא דכיון דחשיד אממונא אתי לאסהודי שיקרא, וגנב וגזלן חדא מילתא הוא שלוקחים ממון חבריהם שלא כדין.</w:t>
      </w:r>
    </w:p>
  </w:footnote>
  <w:footnote w:id="2118">
    <w:p w14:paraId="3B9A326F" w14:textId="77777777" w:rsidR="0013116F" w:rsidRPr="00845316" w:rsidRDefault="0013116F" w:rsidP="004B607F">
      <w:pPr>
        <w:pStyle w:val="a9"/>
        <w:spacing w:after="60"/>
        <w:rPr>
          <w:rFonts w:asciiTheme="minorBidi" w:hAnsiTheme="minorBidi"/>
        </w:rPr>
      </w:pPr>
      <w:r w:rsidRPr="00845316">
        <w:rPr>
          <w:rStyle w:val="ab"/>
          <w:rFonts w:asciiTheme="minorBidi" w:hAnsiTheme="minorBidi"/>
        </w:rPr>
        <w:footnoteRef/>
      </w:r>
      <w:r w:rsidRPr="00845316">
        <w:rPr>
          <w:rFonts w:asciiTheme="minorBidi" w:hAnsiTheme="minorBidi"/>
          <w:rtl/>
        </w:rPr>
        <w:t xml:space="preserve"> אל תשת רשע עד ובמ' גיטין </w:t>
      </w:r>
      <w:r w:rsidRPr="00845316">
        <w:rPr>
          <w:rFonts w:asciiTheme="minorBidi" w:hAnsiTheme="minorBidi"/>
          <w:sz w:val="16"/>
          <w:szCs w:val="16"/>
          <w:rtl/>
        </w:rPr>
        <w:t xml:space="preserve">(נט:) </w:t>
      </w:r>
      <w:r w:rsidRPr="00845316">
        <w:rPr>
          <w:rFonts w:asciiTheme="minorBidi" w:hAnsiTheme="minorBidi"/>
          <w:rtl/>
        </w:rPr>
        <w:t>תנן מציאת חרש שוטה וקטן יש בהן גזל מפני דרכי שלום שלא יתקוטט אביו או קרוביו, רש"י.</w:t>
      </w:r>
    </w:p>
  </w:footnote>
  <w:footnote w:id="2119">
    <w:p w14:paraId="258D9A54" w14:textId="77777777" w:rsidR="0013116F" w:rsidRPr="00845316" w:rsidRDefault="0013116F" w:rsidP="004B607F">
      <w:pPr>
        <w:pStyle w:val="a9"/>
        <w:spacing w:after="60"/>
        <w:rPr>
          <w:rFonts w:asciiTheme="minorBidi" w:hAnsiTheme="minorBidi"/>
          <w:rtl/>
        </w:rPr>
      </w:pPr>
      <w:r w:rsidRPr="00845316">
        <w:rPr>
          <w:rStyle w:val="ab"/>
          <w:rFonts w:asciiTheme="minorBidi" w:hAnsiTheme="minorBidi"/>
        </w:rPr>
        <w:footnoteRef/>
      </w:r>
      <w:r w:rsidRPr="00845316">
        <w:rPr>
          <w:rFonts w:asciiTheme="minorBidi" w:hAnsiTheme="minorBidi"/>
          <w:rtl/>
        </w:rPr>
        <w:t xml:space="preserve"> ועברי אתקנתא דרבנן מחמת חימוד ממון, רש"י.</w:t>
      </w:r>
    </w:p>
  </w:footnote>
  <w:footnote w:id="2120">
    <w:p w14:paraId="44663F5D" w14:textId="77777777" w:rsidR="0013116F" w:rsidRPr="00845316" w:rsidRDefault="0013116F" w:rsidP="004B607F">
      <w:pPr>
        <w:pStyle w:val="a9"/>
        <w:spacing w:after="60"/>
        <w:rPr>
          <w:rFonts w:asciiTheme="minorBidi" w:hAnsiTheme="minorBidi"/>
        </w:rPr>
      </w:pPr>
      <w:r w:rsidRPr="00845316">
        <w:rPr>
          <w:rStyle w:val="ab"/>
          <w:rFonts w:asciiTheme="minorBidi" w:hAnsiTheme="minorBidi"/>
        </w:rPr>
        <w:footnoteRef/>
      </w:r>
      <w:r w:rsidRPr="00845316">
        <w:rPr>
          <w:rFonts w:asciiTheme="minorBidi" w:hAnsiTheme="minorBidi"/>
          <w:rtl/>
        </w:rPr>
        <w:t xml:space="preserve"> דחשידי למשקל אגרא ואסהודי שקרא, רש"י.</w:t>
      </w:r>
    </w:p>
  </w:footnote>
  <w:footnote w:id="2121">
    <w:p w14:paraId="2199AB21" w14:textId="77777777" w:rsidR="0013116F" w:rsidRPr="00845316" w:rsidRDefault="0013116F" w:rsidP="004B607F">
      <w:pPr>
        <w:pStyle w:val="a9"/>
        <w:spacing w:after="60"/>
        <w:rPr>
          <w:rFonts w:asciiTheme="minorBidi" w:hAnsiTheme="minorBidi"/>
        </w:rPr>
      </w:pPr>
      <w:r w:rsidRPr="00845316">
        <w:rPr>
          <w:rStyle w:val="ab"/>
          <w:rFonts w:asciiTheme="minorBidi" w:hAnsiTheme="minorBidi"/>
        </w:rPr>
        <w:footnoteRef/>
      </w:r>
      <w:r w:rsidRPr="00845316">
        <w:rPr>
          <w:rFonts w:asciiTheme="minorBidi" w:hAnsiTheme="minorBidi"/>
          <w:rtl/>
        </w:rPr>
        <w:t xml:space="preserve"> ושקלי, כלומר דאפילו דמי קא יהבי אתי לידי גזלנות, כלומר: שהיה קשה לבעלים למכור ובעל כרחן חוטפין וזורקין המעות לפניהם, רש"י.</w:t>
      </w:r>
    </w:p>
  </w:footnote>
  <w:footnote w:id="2122">
    <w:p w14:paraId="1F46CA63" w14:textId="77777777" w:rsidR="0013116F" w:rsidRPr="00845316" w:rsidRDefault="0013116F" w:rsidP="004B607F">
      <w:pPr>
        <w:pStyle w:val="a9"/>
        <w:spacing w:after="60"/>
        <w:rPr>
          <w:rFonts w:asciiTheme="minorBidi" w:hAnsiTheme="minorBidi"/>
        </w:rPr>
      </w:pPr>
      <w:r w:rsidRPr="00845316">
        <w:rPr>
          <w:rStyle w:val="ab"/>
          <w:rFonts w:asciiTheme="minorBidi" w:hAnsiTheme="minorBidi"/>
        </w:rPr>
        <w:footnoteRef/>
      </w:r>
      <w:r w:rsidRPr="00845316">
        <w:rPr>
          <w:rFonts w:asciiTheme="minorBidi" w:hAnsiTheme="minorBidi"/>
          <w:rtl/>
        </w:rPr>
        <w:t xml:space="preserve"> פ"ג מהל' גזילה הט"ז- "החוטף משכון מיד הלוה שלא ברשות בית דין הרי זה גזלן אף על פי שהוא חייב לו, ואין צריך לומר אם נכנס לתוך בית חבירו ומשכנו שהוא גזלן שנאמר</w:t>
      </w:r>
      <w:r w:rsidRPr="00845316">
        <w:rPr>
          <w:rFonts w:asciiTheme="minorBidi" w:hAnsiTheme="minorBidi"/>
          <w:sz w:val="16"/>
          <w:szCs w:val="16"/>
          <w:rtl/>
        </w:rPr>
        <w:t xml:space="preserve"> (דברים פכ"ד פ"י)</w:t>
      </w:r>
      <w:r w:rsidRPr="00845316">
        <w:rPr>
          <w:rFonts w:asciiTheme="minorBidi" w:hAnsiTheme="minorBidi"/>
          <w:rtl/>
        </w:rPr>
        <w:t xml:space="preserve"> בחוץ תעמוד".</w:t>
      </w:r>
    </w:p>
  </w:footnote>
  <w:footnote w:id="2123">
    <w:p w14:paraId="79CEF0AF" w14:textId="77777777" w:rsidR="0013116F" w:rsidRPr="00845316" w:rsidRDefault="0013116F" w:rsidP="004B607F">
      <w:pPr>
        <w:pStyle w:val="a9"/>
        <w:spacing w:after="60"/>
        <w:rPr>
          <w:rFonts w:asciiTheme="minorBidi" w:hAnsiTheme="minorBidi"/>
          <w:rtl/>
        </w:rPr>
      </w:pPr>
      <w:r w:rsidRPr="00845316">
        <w:rPr>
          <w:rStyle w:val="ab"/>
          <w:rFonts w:asciiTheme="minorBidi" w:hAnsiTheme="minorBidi"/>
        </w:rPr>
        <w:footnoteRef/>
      </w:r>
      <w:r w:rsidRPr="00845316">
        <w:rPr>
          <w:rFonts w:asciiTheme="minorBidi" w:hAnsiTheme="minorBidi"/>
          <w:rtl/>
        </w:rPr>
        <w:t xml:space="preserve"> ומ"מ השיג עליו הראב"ד </w:t>
      </w:r>
      <w:r w:rsidRPr="00845316">
        <w:rPr>
          <w:rFonts w:asciiTheme="minorBidi" w:hAnsiTheme="minorBidi"/>
          <w:sz w:val="16"/>
          <w:szCs w:val="16"/>
          <w:rtl/>
        </w:rPr>
        <w:t>(סי' שנט)</w:t>
      </w:r>
      <w:r w:rsidRPr="00845316">
        <w:rPr>
          <w:rFonts w:asciiTheme="minorBidi" w:hAnsiTheme="minorBidi"/>
          <w:rtl/>
        </w:rPr>
        <w:t xml:space="preserve"> וכ' דלא הוי גזלן אלא בדאשתכח שאינו חייב לו </w:t>
      </w:r>
      <w:r w:rsidRPr="00845316">
        <w:rPr>
          <w:rFonts w:asciiTheme="minorBidi" w:hAnsiTheme="minorBidi"/>
          <w:sz w:val="16"/>
          <w:szCs w:val="16"/>
          <w:rtl/>
        </w:rPr>
        <w:t>(והביא הטור דברי הרמב"ם והשג' הראב"ד בקצרה)</w:t>
      </w:r>
      <w:r w:rsidRPr="00845316">
        <w:rPr>
          <w:rFonts w:asciiTheme="minorBidi" w:hAnsiTheme="minorBidi"/>
          <w:rtl/>
        </w:rPr>
        <w:t>.</w:t>
      </w:r>
    </w:p>
  </w:footnote>
  <w:footnote w:id="2124">
    <w:p w14:paraId="12F456AC" w14:textId="77777777" w:rsidR="0013116F" w:rsidRPr="00845316" w:rsidRDefault="0013116F" w:rsidP="004B607F">
      <w:pPr>
        <w:pStyle w:val="a9"/>
        <w:spacing w:after="60"/>
        <w:rPr>
          <w:rFonts w:asciiTheme="minorBidi" w:hAnsiTheme="minorBidi"/>
        </w:rPr>
      </w:pPr>
      <w:r w:rsidRPr="00845316">
        <w:rPr>
          <w:rStyle w:val="ab"/>
          <w:rFonts w:asciiTheme="minorBidi" w:hAnsiTheme="minorBidi"/>
        </w:rPr>
        <w:footnoteRef/>
      </w:r>
      <w:r w:rsidRPr="00845316">
        <w:rPr>
          <w:rFonts w:asciiTheme="minorBidi" w:hAnsiTheme="minorBidi"/>
          <w:rtl/>
        </w:rPr>
        <w:t xml:space="preserve"> היינו עד שיחזירו מרצונם. והוסיף הב"ח דכל זה אינו אלא במוחזק לגנב וגזלן אבל מי שלא גנב או גזל אלא פ"א, אע"פ שלא היתה ההשבה אלא ע"י כפיית ב"ד מיד כשהחזיר הגנבה או הגזלה הרי הוא כשר לעדות ולשבועה.</w:t>
      </w:r>
    </w:p>
  </w:footnote>
  <w:footnote w:id="2125">
    <w:p w14:paraId="42ADC9F1" w14:textId="77777777" w:rsidR="0013116F" w:rsidRPr="00845316" w:rsidRDefault="0013116F" w:rsidP="004B607F">
      <w:pPr>
        <w:pStyle w:val="a9"/>
        <w:spacing w:after="60"/>
        <w:rPr>
          <w:rFonts w:asciiTheme="minorBidi" w:hAnsiTheme="minorBidi"/>
        </w:rPr>
      </w:pPr>
      <w:r w:rsidRPr="00845316">
        <w:rPr>
          <w:rStyle w:val="ab"/>
          <w:rFonts w:asciiTheme="minorBidi" w:hAnsiTheme="minorBidi"/>
        </w:rPr>
        <w:footnoteRef/>
      </w:r>
      <w:r w:rsidRPr="00845316">
        <w:rPr>
          <w:rFonts w:asciiTheme="minorBidi" w:hAnsiTheme="minorBidi"/>
          <w:rtl/>
        </w:rPr>
        <w:t xml:space="preserve"> ונפקא ליה מדאמרינן</w:t>
      </w:r>
      <w:r w:rsidRPr="00845316">
        <w:rPr>
          <w:rFonts w:asciiTheme="minorBidi" w:hAnsiTheme="minorBidi"/>
          <w:sz w:val="16"/>
          <w:szCs w:val="16"/>
          <w:rtl/>
        </w:rPr>
        <w:t xml:space="preserve"> (סנהדרין כה:)</w:t>
      </w:r>
      <w:r w:rsidRPr="00845316">
        <w:rPr>
          <w:rFonts w:asciiTheme="minorBidi" w:hAnsiTheme="minorBidi"/>
          <w:rtl/>
        </w:rPr>
        <w:t xml:space="preserve"> "מלוה ברבית - אחד המלוה ואחד הלוה, ואימתי חזרתן - משיקרעו את שטריהן ויחזרו בהן חזרה גמורה, אפילו לנכרי לא מוזפי", ע"פ ב"י.</w:t>
      </w:r>
    </w:p>
  </w:footnote>
  <w:footnote w:id="2126">
    <w:p w14:paraId="20290B01" w14:textId="77777777" w:rsidR="0013116F" w:rsidRPr="00845316" w:rsidRDefault="0013116F" w:rsidP="004B607F">
      <w:pPr>
        <w:pStyle w:val="a9"/>
        <w:spacing w:after="60"/>
        <w:rPr>
          <w:rFonts w:asciiTheme="minorBidi" w:hAnsiTheme="minorBidi"/>
        </w:rPr>
      </w:pPr>
      <w:r w:rsidRPr="00845316">
        <w:rPr>
          <w:rStyle w:val="ab"/>
          <w:rFonts w:asciiTheme="minorBidi" w:hAnsiTheme="minorBidi"/>
        </w:rPr>
        <w:footnoteRef/>
      </w:r>
      <w:r w:rsidRPr="00845316">
        <w:rPr>
          <w:rFonts w:asciiTheme="minorBidi" w:hAnsiTheme="minorBidi"/>
          <w:rtl/>
        </w:rPr>
        <w:t xml:space="preserve"> זהו טעמו של הב"י. ומהר"י</w:t>
      </w:r>
      <w:r w:rsidRPr="00845316">
        <w:rPr>
          <w:rFonts w:asciiTheme="minorBidi" w:hAnsiTheme="minorBidi"/>
          <w:sz w:val="16"/>
          <w:szCs w:val="16"/>
          <w:rtl/>
        </w:rPr>
        <w:t xml:space="preserve"> (הובא בט"ז)</w:t>
      </w:r>
      <w:r w:rsidRPr="00845316">
        <w:rPr>
          <w:rFonts w:asciiTheme="minorBidi" w:hAnsiTheme="minorBidi"/>
          <w:rtl/>
        </w:rPr>
        <w:t xml:space="preserve"> הסכים למסקנת הב"י בדברי הרמב"ם אך כ' טעם והוא דעדיין פסולים משום דכתבו קרא לעד חמס לחידוש, דהיינו אעפ"י שאינן בני מלקות מ"מ הם פסולין</w:t>
      </w:r>
      <w:r w:rsidRPr="00845316">
        <w:rPr>
          <w:rFonts w:asciiTheme="minorBidi" w:hAnsiTheme="minorBidi"/>
          <w:sz w:val="16"/>
          <w:szCs w:val="16"/>
          <w:rtl/>
        </w:rPr>
        <w:t xml:space="preserve"> (כדלעיל סע' י"ב)</w:t>
      </w:r>
      <w:r w:rsidRPr="00845316">
        <w:rPr>
          <w:rFonts w:asciiTheme="minorBidi" w:hAnsiTheme="minorBidi"/>
          <w:rtl/>
        </w:rPr>
        <w:t>, ואי איירי בגזלן שלא החזיר עדיין גזילתו מאי רבותיה, הרי עדיין לא יצא מכלל מלקות, דזיל בתר טעמא, דמ"ט אינן בני מלקות משום דניתן להשבון, א"כ כל זמן שלא השיבו לא יצאו מכלל מלקות ומאי רבותייהו, אע"כ דיברה תורה אפילו שהחזירו, דפסולין הם עד שיעשו תשובה.</w:t>
      </w:r>
    </w:p>
  </w:footnote>
  <w:footnote w:id="2127">
    <w:p w14:paraId="6197E0C8" w14:textId="77777777" w:rsidR="0013116F" w:rsidRPr="00845316" w:rsidRDefault="0013116F" w:rsidP="004B607F">
      <w:pPr>
        <w:pStyle w:val="a9"/>
        <w:spacing w:after="60"/>
        <w:rPr>
          <w:rFonts w:asciiTheme="minorBidi" w:hAnsiTheme="minorBidi"/>
        </w:rPr>
      </w:pPr>
      <w:r w:rsidRPr="00845316">
        <w:rPr>
          <w:rStyle w:val="ab"/>
          <w:rFonts w:asciiTheme="minorBidi" w:hAnsiTheme="minorBidi"/>
        </w:rPr>
        <w:footnoteRef/>
      </w:r>
      <w:r w:rsidRPr="00845316">
        <w:rPr>
          <w:rFonts w:asciiTheme="minorBidi" w:hAnsiTheme="minorBidi"/>
          <w:rtl/>
        </w:rPr>
        <w:t xml:space="preserve"> הביאו הב"י סע' מג.</w:t>
      </w:r>
    </w:p>
  </w:footnote>
  <w:footnote w:id="2128">
    <w:p w14:paraId="1A973412" w14:textId="77777777" w:rsidR="0013116F" w:rsidRPr="00845316" w:rsidRDefault="0013116F" w:rsidP="004B607F">
      <w:pPr>
        <w:pStyle w:val="a9"/>
        <w:spacing w:after="60"/>
        <w:rPr>
          <w:rFonts w:asciiTheme="minorBidi" w:hAnsiTheme="minorBidi"/>
          <w:rtl/>
        </w:rPr>
      </w:pPr>
      <w:r w:rsidRPr="00845316">
        <w:rPr>
          <w:rStyle w:val="ab"/>
          <w:rFonts w:asciiTheme="minorBidi" w:hAnsiTheme="minorBidi"/>
        </w:rPr>
        <w:footnoteRef/>
      </w:r>
      <w:r w:rsidRPr="00845316">
        <w:rPr>
          <w:rFonts w:asciiTheme="minorBidi" w:hAnsiTheme="minorBidi"/>
          <w:rtl/>
        </w:rPr>
        <w:t xml:space="preserve"> תוספת הסמ"ע (סקי"ח).</w:t>
      </w:r>
    </w:p>
  </w:footnote>
  <w:footnote w:id="2129">
    <w:p w14:paraId="35B56118" w14:textId="77777777" w:rsidR="0013116F" w:rsidRPr="00845316" w:rsidRDefault="0013116F" w:rsidP="004B607F">
      <w:pPr>
        <w:pStyle w:val="a9"/>
        <w:spacing w:after="60"/>
        <w:rPr>
          <w:rFonts w:asciiTheme="minorBidi" w:hAnsiTheme="minorBidi"/>
          <w:rtl/>
        </w:rPr>
      </w:pPr>
      <w:r w:rsidRPr="00845316">
        <w:rPr>
          <w:rStyle w:val="ab"/>
          <w:rFonts w:asciiTheme="minorBidi" w:hAnsiTheme="minorBidi"/>
        </w:rPr>
        <w:footnoteRef/>
      </w:r>
      <w:r w:rsidRPr="00845316">
        <w:rPr>
          <w:rFonts w:asciiTheme="minorBidi" w:hAnsiTheme="minorBidi"/>
          <w:rtl/>
        </w:rPr>
        <w:t xml:space="preserve"> שלוקין, עידי בן גרושה או עידי גלות שפטרם הכתוב מדין הזמה, מנין שהן לוקין, ולקמיה פריך תיפוק ליה מלא תענה, רש"י.</w:t>
      </w:r>
    </w:p>
  </w:footnote>
  <w:footnote w:id="2130">
    <w:p w14:paraId="0A5AA54C" w14:textId="77777777" w:rsidR="0013116F" w:rsidRPr="00845316" w:rsidRDefault="0013116F" w:rsidP="004B607F">
      <w:pPr>
        <w:pStyle w:val="a9"/>
        <w:spacing w:after="60"/>
        <w:rPr>
          <w:rFonts w:asciiTheme="minorBidi" w:hAnsiTheme="minorBidi"/>
          <w:rtl/>
        </w:rPr>
      </w:pPr>
      <w:r w:rsidRPr="00845316">
        <w:rPr>
          <w:rStyle w:val="ab"/>
          <w:rFonts w:asciiTheme="minorBidi" w:hAnsiTheme="minorBidi"/>
        </w:rPr>
        <w:footnoteRef/>
      </w:r>
      <w:r w:rsidRPr="00845316">
        <w:rPr>
          <w:rFonts w:asciiTheme="minorBidi" w:hAnsiTheme="minorBidi"/>
          <w:rtl/>
        </w:rPr>
        <w:t xml:space="preserve"> בתמיה, אי והצדיקו והרשיעו בדיינין קאמר וצדיק ורשע בבעלי דינין למה לי והצדיקו צדיק כו' ליכתוב כי יהיה ריב בין אנשים ונגשו אל המשפט ושפטום והיה אם בן הכות, למה הוזכרה כאן צדקת צדיק וכי כל מקום שהצדיקו ב"ד את הזכאי וחייבו את החייב יש מלקות דאתא קרא למיתלי מלקות בוהצדיקו והרשיעו? אלא על כרחך בעדים משתעי, עדים שקרים שהרשיעו צדיק ובאו אחרים והזימום והצדיקו את הנדון שהוא צדיק, והרשיעו את העדים הרשעים, והיה אם בן הכות את הרשע אם הזמה זו בת מלקות היא שאינו יכול לקיים בה דין הזמה גמורה כגון בעידי בן גרושה או גלות- והפילו השופט והכהו, רש"י.</w:t>
      </w:r>
    </w:p>
  </w:footnote>
  <w:footnote w:id="2131">
    <w:p w14:paraId="52840457" w14:textId="77777777" w:rsidR="0013116F" w:rsidRPr="00845316" w:rsidRDefault="0013116F" w:rsidP="004B607F">
      <w:pPr>
        <w:pStyle w:val="a9"/>
        <w:spacing w:after="60"/>
        <w:rPr>
          <w:rFonts w:asciiTheme="minorBidi" w:hAnsiTheme="minorBidi"/>
        </w:rPr>
      </w:pPr>
      <w:r w:rsidRPr="00845316">
        <w:rPr>
          <w:rStyle w:val="ab"/>
          <w:rFonts w:asciiTheme="minorBidi" w:hAnsiTheme="minorBidi"/>
        </w:rPr>
        <w:footnoteRef/>
      </w:r>
      <w:r w:rsidRPr="00845316">
        <w:rPr>
          <w:rFonts w:asciiTheme="minorBidi" w:hAnsiTheme="minorBidi"/>
          <w:rtl/>
        </w:rPr>
        <w:t xml:space="preserve"> </w:t>
      </w:r>
      <w:r>
        <w:rPr>
          <w:rFonts w:asciiTheme="minorBidi" w:hAnsiTheme="minorBidi" w:hint="cs"/>
          <w:rtl/>
        </w:rPr>
        <w:t xml:space="preserve">סימן </w:t>
      </w:r>
      <w:r>
        <w:rPr>
          <w:rFonts w:asciiTheme="minorBidi" w:hAnsiTheme="minorBidi"/>
          <w:rtl/>
        </w:rPr>
        <w:t>–</w:t>
      </w:r>
      <w:r>
        <w:rPr>
          <w:rFonts w:asciiTheme="minorBidi" w:hAnsiTheme="minorBidi" w:hint="cs"/>
          <w:rtl/>
        </w:rPr>
        <w:t xml:space="preserve"> כת זוממת. </w:t>
      </w:r>
      <w:r w:rsidRPr="00845316">
        <w:rPr>
          <w:rFonts w:asciiTheme="minorBidi" w:hAnsiTheme="minorBidi"/>
          <w:rtl/>
        </w:rPr>
        <w:t xml:space="preserve">וכן </w:t>
      </w:r>
      <w:r>
        <w:rPr>
          <w:rFonts w:asciiTheme="minorBidi" w:hAnsiTheme="minorBidi" w:hint="cs"/>
          <w:rtl/>
        </w:rPr>
        <w:t xml:space="preserve">איתא </w:t>
      </w:r>
      <w:r w:rsidRPr="00845316">
        <w:rPr>
          <w:rFonts w:asciiTheme="minorBidi" w:hAnsiTheme="minorBidi"/>
          <w:rtl/>
        </w:rPr>
        <w:t>בבבא קמא עב ע"ב.</w:t>
      </w:r>
    </w:p>
  </w:footnote>
  <w:footnote w:id="2132">
    <w:p w14:paraId="2DA74C22" w14:textId="77777777" w:rsidR="0013116F" w:rsidRPr="00845316" w:rsidRDefault="0013116F" w:rsidP="004B607F">
      <w:pPr>
        <w:pStyle w:val="a9"/>
        <w:spacing w:after="60"/>
        <w:rPr>
          <w:rFonts w:asciiTheme="minorBidi" w:hAnsiTheme="minorBidi"/>
        </w:rPr>
      </w:pPr>
      <w:r w:rsidRPr="00845316">
        <w:rPr>
          <w:rStyle w:val="ab"/>
          <w:rFonts w:asciiTheme="minorBidi" w:hAnsiTheme="minorBidi"/>
        </w:rPr>
        <w:footnoteRef/>
      </w:r>
      <w:r w:rsidRPr="00845316">
        <w:rPr>
          <w:rFonts w:asciiTheme="minorBidi" w:hAnsiTheme="minorBidi"/>
          <w:rtl/>
        </w:rPr>
        <w:t xml:space="preserve"> העיד בניסן והוזם בתשרי על עדות זו, רש"י.</w:t>
      </w:r>
    </w:p>
  </w:footnote>
  <w:footnote w:id="2133">
    <w:p w14:paraId="0620759E" w14:textId="77777777" w:rsidR="0013116F" w:rsidRPr="00845316" w:rsidRDefault="0013116F" w:rsidP="004B607F">
      <w:pPr>
        <w:pStyle w:val="a9"/>
        <w:spacing w:after="60"/>
        <w:rPr>
          <w:rFonts w:asciiTheme="minorBidi" w:hAnsiTheme="minorBidi"/>
          <w:rtl/>
        </w:rPr>
      </w:pPr>
      <w:r w:rsidRPr="00845316">
        <w:rPr>
          <w:rStyle w:val="ab"/>
          <w:rFonts w:asciiTheme="minorBidi" w:hAnsiTheme="minorBidi"/>
        </w:rPr>
        <w:footnoteRef/>
      </w:r>
      <w:r w:rsidRPr="00845316">
        <w:rPr>
          <w:rFonts w:asciiTheme="minorBidi" w:hAnsiTheme="minorBidi"/>
          <w:rtl/>
        </w:rPr>
        <w:t xml:space="preserve"> כל עדויות שהעיד מניסן ואילך פסולין, שהרי משהעיד עדות זו הוא רשע, רש"י.</w:t>
      </w:r>
    </w:p>
  </w:footnote>
  <w:footnote w:id="2134">
    <w:p w14:paraId="264CE9E5" w14:textId="77777777" w:rsidR="0013116F" w:rsidRPr="00845316" w:rsidRDefault="0013116F" w:rsidP="004B607F">
      <w:pPr>
        <w:pStyle w:val="a9"/>
        <w:spacing w:after="60"/>
        <w:rPr>
          <w:rFonts w:asciiTheme="minorBidi" w:hAnsiTheme="minorBidi"/>
          <w:rtl/>
        </w:rPr>
      </w:pPr>
      <w:r w:rsidRPr="00845316">
        <w:rPr>
          <w:rStyle w:val="ab"/>
          <w:rFonts w:asciiTheme="minorBidi" w:hAnsiTheme="minorBidi"/>
        </w:rPr>
        <w:footnoteRef/>
      </w:r>
      <w:r w:rsidRPr="00845316">
        <w:rPr>
          <w:rFonts w:asciiTheme="minorBidi" w:hAnsiTheme="minorBidi"/>
          <w:rtl/>
        </w:rPr>
        <w:t xml:space="preserve"> משהוזם, רש"י.</w:t>
      </w:r>
    </w:p>
  </w:footnote>
  <w:footnote w:id="2135">
    <w:p w14:paraId="6FB5B235" w14:textId="77777777" w:rsidR="0013116F" w:rsidRPr="00845316" w:rsidRDefault="0013116F" w:rsidP="004B607F">
      <w:pPr>
        <w:pStyle w:val="a9"/>
        <w:spacing w:after="60"/>
        <w:rPr>
          <w:rFonts w:asciiTheme="minorBidi" w:hAnsiTheme="minorBidi"/>
        </w:rPr>
      </w:pPr>
      <w:r w:rsidRPr="00845316">
        <w:rPr>
          <w:rStyle w:val="ab"/>
          <w:rFonts w:asciiTheme="minorBidi" w:hAnsiTheme="minorBidi"/>
        </w:rPr>
        <w:footnoteRef/>
      </w:r>
      <w:r w:rsidRPr="00845316">
        <w:rPr>
          <w:rFonts w:asciiTheme="minorBidi" w:hAnsiTheme="minorBidi"/>
          <w:rtl/>
        </w:rPr>
        <w:t xml:space="preserve"> שנפסלין שנים בשביל שנים שאומרים עמנו הייתם, דמאי חזית דסמכת אהני, סמוך אהני - אלא גזירת הכתוב הוא, הלכך אין לך בו אלא משעת חידוש ואילך, משעה שהוזם, רש"י.</w:t>
      </w:r>
    </w:p>
  </w:footnote>
  <w:footnote w:id="2136">
    <w:p w14:paraId="2882880D" w14:textId="77777777" w:rsidR="0013116F" w:rsidRPr="00845316" w:rsidRDefault="0013116F" w:rsidP="004B607F">
      <w:pPr>
        <w:pStyle w:val="a9"/>
        <w:spacing w:after="60"/>
        <w:rPr>
          <w:rFonts w:asciiTheme="minorBidi" w:hAnsiTheme="minorBidi"/>
        </w:rPr>
      </w:pPr>
      <w:r w:rsidRPr="00845316">
        <w:rPr>
          <w:rStyle w:val="ab"/>
          <w:rFonts w:asciiTheme="minorBidi" w:hAnsiTheme="minorBidi"/>
        </w:rPr>
        <w:footnoteRef/>
      </w:r>
      <w:r w:rsidRPr="00845316">
        <w:rPr>
          <w:rFonts w:asciiTheme="minorBidi" w:hAnsiTheme="minorBidi"/>
          <w:rtl/>
        </w:rPr>
        <w:t xml:space="preserve"> שלקחו שדות על פיו וחתם בשטרא מניסן עד תשרי, ועדיין לא היה ידוע שהוא פסול, רש"י.</w:t>
      </w:r>
    </w:p>
  </w:footnote>
  <w:footnote w:id="2137">
    <w:p w14:paraId="32AA2AAC" w14:textId="77777777" w:rsidR="0013116F" w:rsidRPr="00845316" w:rsidRDefault="0013116F" w:rsidP="004B607F">
      <w:pPr>
        <w:spacing w:after="60" w:line="240" w:lineRule="auto"/>
        <w:rPr>
          <w:rFonts w:asciiTheme="minorBidi" w:hAnsiTheme="minorBidi"/>
          <w:sz w:val="20"/>
          <w:szCs w:val="20"/>
          <w:rtl/>
        </w:rPr>
      </w:pPr>
      <w:r w:rsidRPr="00845316">
        <w:rPr>
          <w:rStyle w:val="ab"/>
          <w:rFonts w:asciiTheme="minorBidi" w:hAnsiTheme="minorBidi"/>
        </w:rPr>
        <w:footnoteRef/>
      </w:r>
      <w:r w:rsidRPr="00845316">
        <w:rPr>
          <w:rFonts w:asciiTheme="minorBidi" w:hAnsiTheme="minorBidi"/>
          <w:sz w:val="20"/>
          <w:szCs w:val="20"/>
          <w:rtl/>
        </w:rPr>
        <w:t xml:space="preserve"> בין הני תרי טעמי דרבא, רש"י.</w:t>
      </w:r>
    </w:p>
  </w:footnote>
  <w:footnote w:id="2138">
    <w:p w14:paraId="4533DB0E" w14:textId="77777777" w:rsidR="0013116F" w:rsidRPr="00845316" w:rsidRDefault="0013116F" w:rsidP="004B607F">
      <w:pPr>
        <w:pStyle w:val="a9"/>
        <w:spacing w:after="60"/>
        <w:rPr>
          <w:rFonts w:asciiTheme="minorBidi" w:hAnsiTheme="minorBidi"/>
        </w:rPr>
      </w:pPr>
      <w:r w:rsidRPr="00845316">
        <w:rPr>
          <w:rStyle w:val="ab"/>
          <w:rFonts w:asciiTheme="minorBidi" w:hAnsiTheme="minorBidi"/>
        </w:rPr>
        <w:footnoteRef/>
      </w:r>
      <w:r w:rsidRPr="00845316">
        <w:rPr>
          <w:rFonts w:asciiTheme="minorBidi" w:hAnsiTheme="minorBidi"/>
          <w:rtl/>
        </w:rPr>
        <w:t xml:space="preserve"> תרי כיתות שהעידו בכת זו, שנים אמרו לכל אחד עמנו הייתם במקום פלוני, חידוש - ליכא, פסידא דלקוחות - איכא, רש"י.</w:t>
      </w:r>
    </w:p>
  </w:footnote>
  <w:footnote w:id="2139">
    <w:p w14:paraId="7167885E" w14:textId="77777777" w:rsidR="0013116F" w:rsidRPr="00845316" w:rsidRDefault="0013116F" w:rsidP="004B607F">
      <w:pPr>
        <w:pStyle w:val="a9"/>
        <w:spacing w:after="60"/>
        <w:rPr>
          <w:rFonts w:asciiTheme="minorBidi" w:hAnsiTheme="minorBidi"/>
          <w:rtl/>
        </w:rPr>
      </w:pPr>
      <w:r w:rsidRPr="00845316">
        <w:rPr>
          <w:rStyle w:val="ab"/>
          <w:rFonts w:asciiTheme="minorBidi" w:hAnsiTheme="minorBidi"/>
        </w:rPr>
        <w:footnoteRef/>
      </w:r>
      <w:r w:rsidRPr="00845316">
        <w:rPr>
          <w:rFonts w:asciiTheme="minorBidi" w:hAnsiTheme="minorBidi"/>
          <w:rtl/>
        </w:rPr>
        <w:t xml:space="preserve"> להני תרי, רש"י.</w:t>
      </w:r>
    </w:p>
  </w:footnote>
  <w:footnote w:id="2140">
    <w:p w14:paraId="2BE767A6" w14:textId="77777777" w:rsidR="0013116F" w:rsidRPr="00845316" w:rsidRDefault="0013116F" w:rsidP="004B607F">
      <w:pPr>
        <w:pStyle w:val="a9"/>
        <w:spacing w:after="60"/>
        <w:rPr>
          <w:rFonts w:asciiTheme="minorBidi" w:hAnsiTheme="minorBidi"/>
          <w:rtl/>
        </w:rPr>
      </w:pPr>
      <w:r w:rsidRPr="00845316">
        <w:rPr>
          <w:rStyle w:val="ab"/>
          <w:rFonts w:asciiTheme="minorBidi" w:hAnsiTheme="minorBidi"/>
        </w:rPr>
        <w:footnoteRef/>
      </w:r>
      <w:r w:rsidRPr="00845316">
        <w:rPr>
          <w:rFonts w:asciiTheme="minorBidi" w:hAnsiTheme="minorBidi"/>
          <w:rtl/>
        </w:rPr>
        <w:t xml:space="preserve"> שהעידו שגזלנין הם על גזילה שגזלו בניסן, חידוש - ליכא, דהא מילתא אחריני קמסהדי, אבל פסידא דלקוחות איכא, רש"י.</w:t>
      </w:r>
    </w:p>
  </w:footnote>
  <w:footnote w:id="2141">
    <w:p w14:paraId="67801B8D" w14:textId="77777777" w:rsidR="0013116F" w:rsidRPr="00845316" w:rsidRDefault="0013116F" w:rsidP="004B607F">
      <w:pPr>
        <w:pStyle w:val="a9"/>
        <w:spacing w:after="60"/>
        <w:rPr>
          <w:rFonts w:asciiTheme="minorBidi" w:hAnsiTheme="minorBidi"/>
        </w:rPr>
      </w:pPr>
      <w:r w:rsidRPr="00845316">
        <w:rPr>
          <w:rStyle w:val="ab"/>
          <w:rFonts w:asciiTheme="minorBidi" w:hAnsiTheme="minorBidi"/>
        </w:rPr>
        <w:footnoteRef/>
      </w:r>
      <w:r w:rsidRPr="00845316">
        <w:rPr>
          <w:rFonts w:asciiTheme="minorBidi" w:hAnsiTheme="minorBidi"/>
          <w:rtl/>
        </w:rPr>
        <w:t xml:space="preserve"> יאוש שלא מדעת באלו מציאות (ב"מ כא:), עד זומם הכא, לחי העומד מאיליו בפרק קמא דעירובין (טו.), קידושין שלא נמסרו לביאה בהאיש מקדש (קדושין נא.) גילוי דעת בגיטין בהשולח גט (גיטין לד.), מומר אוכל נבלות להכעיס לקמן, רש"י.</w:t>
      </w:r>
    </w:p>
  </w:footnote>
  <w:footnote w:id="2142">
    <w:p w14:paraId="38ADDEAB" w14:textId="77777777" w:rsidR="0013116F" w:rsidRPr="00845316" w:rsidRDefault="0013116F" w:rsidP="004B607F">
      <w:pPr>
        <w:pStyle w:val="a9"/>
        <w:spacing w:after="60"/>
        <w:rPr>
          <w:rFonts w:asciiTheme="minorBidi" w:hAnsiTheme="minorBidi"/>
          <w:rtl/>
        </w:rPr>
      </w:pPr>
      <w:r w:rsidRPr="00845316">
        <w:rPr>
          <w:rStyle w:val="ab"/>
          <w:rFonts w:asciiTheme="minorBidi" w:hAnsiTheme="minorBidi"/>
        </w:rPr>
        <w:footnoteRef/>
      </w:r>
      <w:r w:rsidRPr="00845316">
        <w:rPr>
          <w:rFonts w:asciiTheme="minorBidi" w:hAnsiTheme="minorBidi"/>
          <w:rtl/>
        </w:rPr>
        <w:t xml:space="preserve"> קמ"ל דאע"פ דמתחילה לא עיוות אלא בדבר דיש לו תשלומין וגם שילם לבסוף אפ"ה נפסל, ק"ו אם עיוות מתחילה להעיד בדבר שאין לו תשלומין, כגון לגרום מיתה או מלקות לחבירו, דנפסל, ואע"פ שהוזם קודם שנהרג חבירו, מ"מ מחשבתו היתה לרעה בדבר שאין לו תשלומין, סמ"ע (סקי"ט).</w:t>
      </w:r>
    </w:p>
  </w:footnote>
  <w:footnote w:id="2143">
    <w:p w14:paraId="014415ED" w14:textId="77777777" w:rsidR="0013116F" w:rsidRPr="00845316" w:rsidRDefault="0013116F" w:rsidP="004B607F">
      <w:pPr>
        <w:pStyle w:val="a9"/>
        <w:spacing w:after="60"/>
        <w:rPr>
          <w:rFonts w:asciiTheme="minorBidi" w:hAnsiTheme="minorBidi"/>
          <w:rtl/>
        </w:rPr>
      </w:pPr>
      <w:r w:rsidRPr="00845316">
        <w:rPr>
          <w:rStyle w:val="ab"/>
          <w:rFonts w:asciiTheme="minorBidi" w:hAnsiTheme="minorBidi"/>
        </w:rPr>
        <w:footnoteRef/>
      </w:r>
      <w:r w:rsidRPr="00845316">
        <w:rPr>
          <w:rFonts w:asciiTheme="minorBidi" w:hAnsiTheme="minorBidi"/>
          <w:rtl/>
        </w:rPr>
        <w:t xml:space="preserve"> וכ' הגר"א </w:t>
      </w:r>
      <w:r w:rsidRPr="00845316">
        <w:rPr>
          <w:rFonts w:asciiTheme="minorBidi" w:hAnsiTheme="minorBidi"/>
          <w:sz w:val="14"/>
          <w:szCs w:val="14"/>
          <w:rtl/>
        </w:rPr>
        <w:t xml:space="preserve">(סקי"א) </w:t>
      </w:r>
      <w:r w:rsidRPr="00845316">
        <w:rPr>
          <w:rFonts w:asciiTheme="minorBidi" w:hAnsiTheme="minorBidi"/>
          <w:rtl/>
        </w:rPr>
        <w:t xml:space="preserve">בשם הרשב"א </w:t>
      </w:r>
      <w:r w:rsidRPr="00845316">
        <w:rPr>
          <w:rFonts w:asciiTheme="minorBidi" w:hAnsiTheme="minorBidi"/>
          <w:sz w:val="14"/>
          <w:szCs w:val="14"/>
          <w:rtl/>
        </w:rPr>
        <w:t xml:space="preserve">(ב"ק עב:) </w:t>
      </w:r>
      <w:r w:rsidRPr="00845316">
        <w:rPr>
          <w:rFonts w:asciiTheme="minorBidi" w:hAnsiTheme="minorBidi"/>
          <w:rtl/>
        </w:rPr>
        <w:t xml:space="preserve">דדוקא מעת שהעיד אבל על אבל לא על שעה שהעיד, והוכיח כן מהירושלמי </w:t>
      </w:r>
      <w:r w:rsidRPr="00845316">
        <w:rPr>
          <w:rFonts w:asciiTheme="minorBidi" w:hAnsiTheme="minorBidi"/>
          <w:sz w:val="14"/>
          <w:szCs w:val="14"/>
          <w:rtl/>
        </w:rPr>
        <w:t>(ב"ק פ"ז ה"ג)</w:t>
      </w:r>
      <w:r w:rsidRPr="00845316">
        <w:rPr>
          <w:rFonts w:asciiTheme="minorBidi" w:hAnsiTheme="minorBidi"/>
          <w:rtl/>
        </w:rPr>
        <w:t>.</w:t>
      </w:r>
    </w:p>
  </w:footnote>
  <w:footnote w:id="2144">
    <w:p w14:paraId="2C09C35F" w14:textId="77777777" w:rsidR="0013116F" w:rsidRPr="00845316" w:rsidRDefault="0013116F" w:rsidP="004B607F">
      <w:pPr>
        <w:pStyle w:val="a9"/>
        <w:spacing w:after="60"/>
        <w:rPr>
          <w:rFonts w:asciiTheme="minorBidi" w:hAnsiTheme="minorBidi"/>
          <w:rtl/>
        </w:rPr>
      </w:pPr>
      <w:r w:rsidRPr="00845316">
        <w:rPr>
          <w:rStyle w:val="ab"/>
          <w:rFonts w:asciiTheme="minorBidi" w:hAnsiTheme="minorBidi"/>
        </w:rPr>
        <w:footnoteRef/>
      </w:r>
      <w:r w:rsidRPr="00845316">
        <w:rPr>
          <w:rFonts w:asciiTheme="minorBidi" w:hAnsiTheme="minorBidi"/>
          <w:rtl/>
        </w:rPr>
        <w:t xml:space="preserve"> זמנו הוכיח שנכתב באחד בניסן בשמיטה, והוציא בעל חוב על חבירו ע"י משכון או ע"י פרוזבול שלא משמטתו שביעית, או שהגיע זמנו לגבות קודם ראש השנה של שמינית, ושביעית בניסן אינה משמטת אלא בסופה דכתיב </w:t>
      </w:r>
      <w:r w:rsidRPr="00845316">
        <w:rPr>
          <w:rFonts w:asciiTheme="minorBidi" w:hAnsiTheme="minorBidi"/>
          <w:sz w:val="16"/>
          <w:szCs w:val="16"/>
          <w:rtl/>
        </w:rPr>
        <w:t xml:space="preserve">(דברים טו) </w:t>
      </w:r>
      <w:r w:rsidRPr="00845316">
        <w:rPr>
          <w:rFonts w:asciiTheme="minorBidi" w:hAnsiTheme="minorBidi"/>
          <w:rtl/>
        </w:rPr>
        <w:t>מקץ שבע שנים- לסוף שביעית, וזה קדם ותבעו, רש"י.</w:t>
      </w:r>
    </w:p>
  </w:footnote>
  <w:footnote w:id="2145">
    <w:p w14:paraId="0D98D5AE" w14:textId="77777777" w:rsidR="0013116F" w:rsidRPr="00845316" w:rsidRDefault="0013116F" w:rsidP="004B607F">
      <w:pPr>
        <w:pStyle w:val="a9"/>
        <w:spacing w:after="60"/>
        <w:rPr>
          <w:rFonts w:asciiTheme="minorBidi" w:hAnsiTheme="minorBidi"/>
          <w:rtl/>
        </w:rPr>
      </w:pPr>
      <w:r w:rsidRPr="00845316">
        <w:rPr>
          <w:rStyle w:val="ab"/>
          <w:rFonts w:asciiTheme="minorBidi" w:hAnsiTheme="minorBidi"/>
        </w:rPr>
        <w:footnoteRef/>
      </w:r>
      <w:r w:rsidRPr="00845316">
        <w:rPr>
          <w:rFonts w:asciiTheme="minorBidi" w:hAnsiTheme="minorBidi"/>
          <w:rtl/>
        </w:rPr>
        <w:t xml:space="preserve"> וקודם לכן ראו המלוה במקום הכתוב בשטר, והוטל עליהם לכתוב שטר, ואיחרוהו מלכותבו עד אחד בניסן, וכתבוהו במקום שאומרים המזימין, ולא כתבו שם המקום שנכתב בו השטר, אלא שם המקום שראו המלוה שם, ואף על גב דאמרינן בגיטין (פ, א) כי יתביתו בהיני כתובו בהיני, ואף על גב דמימסרן לכו מילי בשילי - מיהו אם כתבו בשילי - לא מיפסיל בהכי, וההיא- עצה טובה קמשמע לן, שלא יביאוהו לידי הזמה, דלא לימרו והלא ביום פלוני עמנו הייתם בהיני, רש"י.</w:t>
      </w:r>
    </w:p>
  </w:footnote>
  <w:footnote w:id="2146">
    <w:p w14:paraId="3B4A1BBC" w14:textId="77777777" w:rsidR="0013116F" w:rsidRPr="00845316" w:rsidRDefault="0013116F" w:rsidP="004B607F">
      <w:pPr>
        <w:pStyle w:val="a9"/>
        <w:spacing w:after="60"/>
        <w:rPr>
          <w:rFonts w:asciiTheme="minorBidi" w:hAnsiTheme="minorBidi"/>
        </w:rPr>
      </w:pPr>
      <w:r w:rsidRPr="00845316">
        <w:rPr>
          <w:rStyle w:val="ab"/>
          <w:rFonts w:asciiTheme="minorBidi" w:hAnsiTheme="minorBidi"/>
        </w:rPr>
        <w:footnoteRef/>
      </w:r>
      <w:r w:rsidRPr="00845316">
        <w:rPr>
          <w:rFonts w:asciiTheme="minorBidi" w:hAnsiTheme="minorBidi"/>
          <w:rtl/>
        </w:rPr>
        <w:t xml:space="preserve"> הואיל דעדים החתומים על השטר נעשו כמי שנחקרה עדותם בבית דין, רמב"ם (הל' עדות פי"ט ה"ג). </w:t>
      </w:r>
    </w:p>
  </w:footnote>
  <w:footnote w:id="2147">
    <w:p w14:paraId="2516E13D" w14:textId="77777777" w:rsidR="0013116F" w:rsidRPr="00845316" w:rsidRDefault="0013116F" w:rsidP="004B607F">
      <w:pPr>
        <w:pStyle w:val="a9"/>
        <w:spacing w:after="60"/>
        <w:rPr>
          <w:rFonts w:asciiTheme="minorBidi" w:hAnsiTheme="minorBidi"/>
          <w:rtl/>
        </w:rPr>
      </w:pPr>
      <w:r w:rsidRPr="00845316">
        <w:rPr>
          <w:rStyle w:val="ab"/>
          <w:rFonts w:asciiTheme="minorBidi" w:hAnsiTheme="minorBidi"/>
        </w:rPr>
        <w:footnoteRef/>
      </w:r>
      <w:r w:rsidRPr="00845316">
        <w:rPr>
          <w:rFonts w:asciiTheme="minorBidi" w:hAnsiTheme="minorBidi"/>
          <w:rtl/>
        </w:rPr>
        <w:t xml:space="preserve"> דנהי דהזמה לא הוי, הכחשה מיהא הוי (כתובות כ.), ב"ח.</w:t>
      </w:r>
    </w:p>
  </w:footnote>
  <w:footnote w:id="2148">
    <w:p w14:paraId="79CBAC89" w14:textId="77777777" w:rsidR="0013116F" w:rsidRPr="00845316" w:rsidRDefault="0013116F" w:rsidP="004B607F">
      <w:pPr>
        <w:pStyle w:val="a9"/>
        <w:spacing w:after="60"/>
        <w:rPr>
          <w:rFonts w:asciiTheme="minorBidi" w:hAnsiTheme="minorBidi"/>
        </w:rPr>
      </w:pPr>
      <w:r w:rsidRPr="00845316">
        <w:rPr>
          <w:rStyle w:val="ab"/>
          <w:rFonts w:asciiTheme="minorBidi" w:hAnsiTheme="minorBidi"/>
        </w:rPr>
        <w:footnoteRef/>
      </w:r>
      <w:r w:rsidRPr="00845316">
        <w:rPr>
          <w:rFonts w:asciiTheme="minorBidi" w:hAnsiTheme="minorBidi"/>
          <w:rtl/>
        </w:rPr>
        <w:t xml:space="preserve"> וכ' הש"ך (סקי"ג) דכן מוכח מלשון הרז"ה בספר המאור </w:t>
      </w:r>
      <w:r w:rsidRPr="00845316">
        <w:rPr>
          <w:rFonts w:asciiTheme="minorBidi" w:hAnsiTheme="minorBidi"/>
          <w:sz w:val="16"/>
          <w:szCs w:val="16"/>
          <w:rtl/>
        </w:rPr>
        <w:t>(שם ח' ע"ב מדפי הרי"ף)</w:t>
      </w:r>
      <w:r w:rsidRPr="00845316">
        <w:rPr>
          <w:rFonts w:asciiTheme="minorBidi" w:hAnsiTheme="minorBidi"/>
          <w:rtl/>
        </w:rPr>
        <w:t xml:space="preserve">, והוסיף דלפי"ז נראה דגם הרי"ף </w:t>
      </w:r>
      <w:r w:rsidRPr="00845316">
        <w:rPr>
          <w:rFonts w:asciiTheme="minorBidi" w:hAnsiTheme="minorBidi"/>
          <w:sz w:val="16"/>
          <w:szCs w:val="16"/>
          <w:rtl/>
        </w:rPr>
        <w:t>(ב"ק כח: מדפי הרי"ף)</w:t>
      </w:r>
      <w:r w:rsidRPr="00845316">
        <w:rPr>
          <w:rFonts w:asciiTheme="minorBidi" w:hAnsiTheme="minorBidi"/>
          <w:rtl/>
        </w:rPr>
        <w:t xml:space="preserve"> יכול לסבור כהרז"ה בזה, ולפ"ז דינו של הרז"ה אמת ואין חולק עליו.</w:t>
      </w:r>
    </w:p>
  </w:footnote>
  <w:footnote w:id="2149">
    <w:p w14:paraId="15A6F9A2" w14:textId="77777777" w:rsidR="0013116F" w:rsidRPr="00845316" w:rsidRDefault="0013116F" w:rsidP="004B607F">
      <w:pPr>
        <w:pStyle w:val="a9"/>
        <w:spacing w:after="60"/>
        <w:rPr>
          <w:rFonts w:asciiTheme="minorBidi" w:hAnsiTheme="minorBidi"/>
          <w:rtl/>
        </w:rPr>
      </w:pPr>
      <w:r w:rsidRPr="00845316">
        <w:rPr>
          <w:rStyle w:val="ab"/>
          <w:rFonts w:asciiTheme="minorBidi" w:hAnsiTheme="minorBidi"/>
        </w:rPr>
        <w:footnoteRef/>
      </w:r>
      <w:r w:rsidRPr="00845316">
        <w:rPr>
          <w:rFonts w:asciiTheme="minorBidi" w:hAnsiTheme="minorBidi"/>
          <w:rtl/>
        </w:rPr>
        <w:t xml:space="preserve"> או שיהיה כתוב כך בשטר, ר"ן (הובא בש"ך סקי"ב).</w:t>
      </w:r>
    </w:p>
  </w:footnote>
  <w:footnote w:id="2150">
    <w:p w14:paraId="41C38B0D" w14:textId="77777777" w:rsidR="0013116F" w:rsidRPr="00845316" w:rsidRDefault="0013116F" w:rsidP="004B607F">
      <w:pPr>
        <w:pStyle w:val="a9"/>
        <w:spacing w:after="60"/>
        <w:rPr>
          <w:rFonts w:asciiTheme="minorBidi" w:hAnsiTheme="minorBidi"/>
          <w:rtl/>
        </w:rPr>
      </w:pPr>
      <w:r w:rsidRPr="00845316">
        <w:rPr>
          <w:rStyle w:val="ab"/>
          <w:rFonts w:asciiTheme="minorBidi" w:hAnsiTheme="minorBidi"/>
        </w:rPr>
        <w:footnoteRef/>
      </w:r>
      <w:r w:rsidRPr="00845316">
        <w:rPr>
          <w:rFonts w:asciiTheme="minorBidi" w:hAnsiTheme="minorBidi"/>
          <w:rtl/>
        </w:rPr>
        <w:t xml:space="preserve"> שהרי שטר שזמנו מאוחר הוא כשר כשכתב בו "דאקני" </w:t>
      </w:r>
      <w:r w:rsidRPr="00845316">
        <w:rPr>
          <w:rFonts w:asciiTheme="minorBidi" w:hAnsiTheme="minorBidi"/>
          <w:sz w:val="16"/>
          <w:szCs w:val="16"/>
          <w:rtl/>
        </w:rPr>
        <w:t>(וכמש"כ הטו"ה בסי' מג סע' יב)</w:t>
      </w:r>
      <w:r w:rsidRPr="00845316">
        <w:rPr>
          <w:rFonts w:asciiTheme="minorBidi" w:hAnsiTheme="minorBidi"/>
          <w:rtl/>
        </w:rPr>
        <w:t>. ודוקא שטר הלואה, אבל שטר מכר מאוחר פסול הוא</w:t>
      </w:r>
      <w:r w:rsidRPr="00845316">
        <w:rPr>
          <w:rFonts w:asciiTheme="minorBidi" w:hAnsiTheme="minorBidi"/>
          <w:sz w:val="16"/>
          <w:szCs w:val="16"/>
          <w:rtl/>
        </w:rPr>
        <w:t xml:space="preserve"> (כמש"כ שם סעי"ג, ובסי' רלט סע"ב)</w:t>
      </w:r>
      <w:r w:rsidRPr="00845316">
        <w:rPr>
          <w:rFonts w:asciiTheme="minorBidi" w:hAnsiTheme="minorBidi"/>
          <w:rtl/>
        </w:rPr>
        <w:t>, סמ"ע (סקכ"א).</w:t>
      </w:r>
    </w:p>
  </w:footnote>
  <w:footnote w:id="2151">
    <w:p w14:paraId="05BA4B57" w14:textId="77777777" w:rsidR="0013116F" w:rsidRPr="00845316" w:rsidRDefault="0013116F" w:rsidP="004B607F">
      <w:pPr>
        <w:pStyle w:val="a9"/>
        <w:spacing w:after="60"/>
        <w:rPr>
          <w:rFonts w:asciiTheme="minorBidi" w:hAnsiTheme="minorBidi"/>
          <w:rtl/>
        </w:rPr>
      </w:pPr>
      <w:r w:rsidRPr="00845316">
        <w:rPr>
          <w:rStyle w:val="ab"/>
          <w:rFonts w:asciiTheme="minorBidi" w:hAnsiTheme="minorBidi"/>
        </w:rPr>
        <w:footnoteRef/>
      </w:r>
      <w:r w:rsidRPr="00845316">
        <w:rPr>
          <w:rFonts w:asciiTheme="minorBidi" w:hAnsiTheme="minorBidi"/>
          <w:rtl/>
        </w:rPr>
        <w:t xml:space="preserve"> </w:t>
      </w:r>
      <w:r w:rsidRPr="00845316">
        <w:rPr>
          <w:rFonts w:asciiTheme="minorBidi" w:hAnsiTheme="minorBidi"/>
          <w:u w:val="single"/>
          <w:rtl/>
        </w:rPr>
        <w:t>ומדוע לא נקראים עדים אלו עידי הזמה:</w:t>
      </w:r>
    </w:p>
    <w:p w14:paraId="56E9055F" w14:textId="77777777" w:rsidR="0013116F" w:rsidRPr="00845316" w:rsidRDefault="0013116F" w:rsidP="004B0475">
      <w:pPr>
        <w:pStyle w:val="a9"/>
        <w:numPr>
          <w:ilvl w:val="0"/>
          <w:numId w:val="153"/>
        </w:numPr>
        <w:spacing w:after="60"/>
        <w:rPr>
          <w:rFonts w:asciiTheme="minorBidi" w:hAnsiTheme="minorBidi"/>
        </w:rPr>
      </w:pPr>
      <w:r w:rsidRPr="00845316">
        <w:rPr>
          <w:rFonts w:asciiTheme="minorBidi" w:hAnsiTheme="minorBidi"/>
          <w:rtl/>
        </w:rPr>
        <w:t>סמ"ע</w:t>
      </w:r>
      <w:r w:rsidRPr="00845316">
        <w:rPr>
          <w:rFonts w:asciiTheme="minorBidi" w:hAnsiTheme="minorBidi"/>
          <w:sz w:val="16"/>
          <w:szCs w:val="16"/>
          <w:rtl/>
        </w:rPr>
        <w:t xml:space="preserve"> (סקכ"ב)</w:t>
      </w:r>
      <w:r w:rsidRPr="00845316">
        <w:rPr>
          <w:rFonts w:asciiTheme="minorBidi" w:hAnsiTheme="minorBidi"/>
          <w:rtl/>
        </w:rPr>
        <w:t>- משום  דאמרו דראו שחתמו ולא השגיחו אז בזמן ומקום הנכתב בשטר ההוא כלל.</w:t>
      </w:r>
    </w:p>
    <w:p w14:paraId="447FF344" w14:textId="77777777" w:rsidR="0013116F" w:rsidRPr="00845316" w:rsidRDefault="0013116F" w:rsidP="004B0475">
      <w:pPr>
        <w:pStyle w:val="a9"/>
        <w:numPr>
          <w:ilvl w:val="0"/>
          <w:numId w:val="153"/>
        </w:numPr>
        <w:spacing w:after="60"/>
        <w:rPr>
          <w:rFonts w:asciiTheme="minorBidi" w:hAnsiTheme="minorBidi"/>
        </w:rPr>
      </w:pPr>
      <w:r w:rsidRPr="00845316">
        <w:rPr>
          <w:rFonts w:asciiTheme="minorBidi" w:hAnsiTheme="minorBidi"/>
          <w:rtl/>
        </w:rPr>
        <w:t>ט"ז- משום דמיירי בשטר קנין וא"כ אף דראו שהשטר נכתב בניסן והם חתמו רק באייר י"ל דלמא הקנין נעשה בניסן וכתבו יום הקנין.</w:t>
      </w:r>
    </w:p>
    <w:p w14:paraId="7BA444CD" w14:textId="77777777" w:rsidR="0013116F" w:rsidRPr="00845316" w:rsidRDefault="0013116F" w:rsidP="004B0475">
      <w:pPr>
        <w:pStyle w:val="a9"/>
        <w:numPr>
          <w:ilvl w:val="0"/>
          <w:numId w:val="153"/>
        </w:numPr>
        <w:spacing w:after="60"/>
        <w:rPr>
          <w:rFonts w:asciiTheme="minorBidi" w:hAnsiTheme="minorBidi"/>
        </w:rPr>
      </w:pPr>
      <w:r w:rsidRPr="00845316">
        <w:rPr>
          <w:rFonts w:asciiTheme="minorBidi" w:hAnsiTheme="minorBidi"/>
          <w:rtl/>
        </w:rPr>
        <w:t>נתיבות</w:t>
      </w:r>
      <w:r w:rsidRPr="00845316">
        <w:rPr>
          <w:rFonts w:asciiTheme="minorBidi" w:hAnsiTheme="minorBidi"/>
          <w:sz w:val="16"/>
          <w:szCs w:val="16"/>
          <w:rtl/>
        </w:rPr>
        <w:t xml:space="preserve"> (סק"ז)</w:t>
      </w:r>
      <w:r w:rsidRPr="00845316">
        <w:rPr>
          <w:rFonts w:asciiTheme="minorBidi" w:hAnsiTheme="minorBidi"/>
          <w:rtl/>
        </w:rPr>
        <w:t>- משום שכדי להזים צריך שיעידו בגופן של עדים וכאן העדים רק מכחישים השטר.</w:t>
      </w:r>
    </w:p>
  </w:footnote>
  <w:footnote w:id="2152">
    <w:p w14:paraId="67F06927" w14:textId="77777777" w:rsidR="0013116F" w:rsidRPr="00845316" w:rsidRDefault="0013116F" w:rsidP="004B607F">
      <w:pPr>
        <w:pStyle w:val="a9"/>
        <w:spacing w:after="60"/>
        <w:rPr>
          <w:rFonts w:asciiTheme="minorBidi" w:hAnsiTheme="minorBidi"/>
        </w:rPr>
      </w:pPr>
      <w:r w:rsidRPr="00845316">
        <w:rPr>
          <w:rStyle w:val="ab"/>
          <w:rFonts w:asciiTheme="minorBidi" w:hAnsiTheme="minorBidi"/>
        </w:rPr>
        <w:footnoteRef/>
      </w:r>
      <w:r w:rsidRPr="00845316">
        <w:rPr>
          <w:rFonts w:asciiTheme="minorBidi" w:hAnsiTheme="minorBidi"/>
          <w:rtl/>
        </w:rPr>
        <w:t xml:space="preserve"> ולכן רק מאז נפסלת עדותן ולא לפי זמן החתימה שכתוב בשטר דאפשר דמשקרי נמי בהא, ע"פ סמ"ע (סקכ"ד).</w:t>
      </w:r>
    </w:p>
  </w:footnote>
  <w:footnote w:id="2153">
    <w:p w14:paraId="0CFEE09A" w14:textId="77777777" w:rsidR="0013116F" w:rsidRPr="00845316" w:rsidRDefault="0013116F" w:rsidP="004B607F">
      <w:pPr>
        <w:pStyle w:val="a9"/>
        <w:spacing w:after="60"/>
        <w:rPr>
          <w:rFonts w:asciiTheme="minorBidi" w:hAnsiTheme="minorBidi"/>
        </w:rPr>
      </w:pPr>
      <w:r w:rsidRPr="00845316">
        <w:rPr>
          <w:rStyle w:val="ab"/>
          <w:rFonts w:asciiTheme="minorBidi" w:hAnsiTheme="minorBidi"/>
        </w:rPr>
        <w:footnoteRef/>
      </w:r>
      <w:r w:rsidRPr="00845316">
        <w:rPr>
          <w:rFonts w:asciiTheme="minorBidi" w:hAnsiTheme="minorBidi"/>
          <w:rtl/>
        </w:rPr>
        <w:t xml:space="preserve"> פירוש, שיש לו שטר שזייף וכתב בו איך שנכתב לפני כמה שנים. א"נ שהיה בידו השטר כתוב בלא חתימת העדים והיה מונח בידו כמה שנים, והיום חתמו העדים, דהו"ל זמן כתיבתו מוקדם לחתימתו, סמ"ע (סקכ"ו).</w:t>
      </w:r>
    </w:p>
  </w:footnote>
  <w:footnote w:id="2154">
    <w:p w14:paraId="28FB28D9" w14:textId="77777777" w:rsidR="0013116F" w:rsidRPr="00845316" w:rsidRDefault="0013116F" w:rsidP="004B607F">
      <w:pPr>
        <w:pStyle w:val="a9"/>
        <w:spacing w:after="60"/>
        <w:rPr>
          <w:rFonts w:asciiTheme="minorBidi" w:hAnsiTheme="minorBidi"/>
          <w:rtl/>
        </w:rPr>
      </w:pPr>
      <w:r w:rsidRPr="00845316">
        <w:rPr>
          <w:rStyle w:val="ab"/>
          <w:rFonts w:asciiTheme="minorBidi" w:hAnsiTheme="minorBidi"/>
        </w:rPr>
        <w:footnoteRef/>
      </w:r>
      <w:r w:rsidRPr="00845316">
        <w:rPr>
          <w:rFonts w:asciiTheme="minorBidi" w:hAnsiTheme="minorBidi"/>
          <w:rtl/>
        </w:rPr>
        <w:t xml:space="preserve"> עד כאן לשון הרמב"ם (הל' עדות פי"ט ה"ג).</w:t>
      </w:r>
    </w:p>
  </w:footnote>
  <w:footnote w:id="2155">
    <w:p w14:paraId="465AC973" w14:textId="77777777" w:rsidR="0013116F" w:rsidRPr="00845316" w:rsidRDefault="0013116F" w:rsidP="004B607F">
      <w:pPr>
        <w:pStyle w:val="a9"/>
        <w:spacing w:after="60"/>
        <w:rPr>
          <w:rFonts w:asciiTheme="minorBidi" w:hAnsiTheme="minorBidi"/>
        </w:rPr>
      </w:pPr>
      <w:r w:rsidRPr="00845316">
        <w:rPr>
          <w:rStyle w:val="ab"/>
          <w:rFonts w:asciiTheme="minorBidi" w:hAnsiTheme="minorBidi"/>
        </w:rPr>
        <w:footnoteRef/>
      </w:r>
      <w:r w:rsidRPr="00845316">
        <w:rPr>
          <w:rFonts w:asciiTheme="minorBidi" w:hAnsiTheme="minorBidi"/>
          <w:rtl/>
        </w:rPr>
        <w:t xml:space="preserve"> כלומר א' מלוה וא' לוה, שגם הלוה מחמת חימוד ממון שהוא צריך למעות לעשות בהם צרכיו הוא עובר על לאו דלא תשיך, ב"י.</w:t>
      </w:r>
    </w:p>
  </w:footnote>
  <w:footnote w:id="2156">
    <w:p w14:paraId="23EF1898" w14:textId="77777777" w:rsidR="0013116F" w:rsidRPr="00845316" w:rsidRDefault="0013116F" w:rsidP="004B607F">
      <w:pPr>
        <w:pStyle w:val="a9"/>
        <w:spacing w:after="60"/>
        <w:rPr>
          <w:rFonts w:asciiTheme="minorBidi" w:hAnsiTheme="minorBidi"/>
          <w:rtl/>
        </w:rPr>
      </w:pPr>
      <w:r w:rsidRPr="00845316">
        <w:rPr>
          <w:rStyle w:val="ab"/>
          <w:rFonts w:asciiTheme="minorBidi" w:hAnsiTheme="minorBidi"/>
        </w:rPr>
        <w:footnoteRef/>
      </w:r>
      <w:r w:rsidRPr="00845316">
        <w:rPr>
          <w:rFonts w:asciiTheme="minorBidi" w:hAnsiTheme="minorBidi"/>
          <w:rtl/>
        </w:rPr>
        <w:t xml:space="preserve"> גאונים </w:t>
      </w:r>
      <w:r w:rsidRPr="00845316">
        <w:rPr>
          <w:rFonts w:asciiTheme="minorBidi" w:hAnsiTheme="minorBidi"/>
          <w:sz w:val="16"/>
          <w:szCs w:val="16"/>
          <w:rtl/>
        </w:rPr>
        <w:t xml:space="preserve">(הביאם הרא"ש [ב"ק </w:t>
      </w:r>
      <w:r>
        <w:rPr>
          <w:rFonts w:asciiTheme="minorBidi" w:hAnsiTheme="minorBidi" w:hint="cs"/>
          <w:sz w:val="16"/>
          <w:szCs w:val="16"/>
          <w:rtl/>
        </w:rPr>
        <w:t xml:space="preserve">פ"ג </w:t>
      </w:r>
      <w:r w:rsidRPr="00845316">
        <w:rPr>
          <w:rFonts w:asciiTheme="minorBidi" w:hAnsiTheme="minorBidi"/>
          <w:sz w:val="16"/>
          <w:szCs w:val="16"/>
          <w:rtl/>
        </w:rPr>
        <w:t>סי' ח])</w:t>
      </w:r>
      <w:r w:rsidRPr="00845316">
        <w:rPr>
          <w:rFonts w:asciiTheme="minorBidi" w:hAnsiTheme="minorBidi"/>
          <w:rtl/>
        </w:rPr>
        <w:t xml:space="preserve"> (רמב"ם</w:t>
      </w:r>
      <w:r w:rsidRPr="00845316">
        <w:rPr>
          <w:rFonts w:asciiTheme="minorBidi" w:hAnsiTheme="minorBidi"/>
          <w:sz w:val="14"/>
          <w:szCs w:val="14"/>
          <w:rtl/>
        </w:rPr>
        <w:t xml:space="preserve"> [פ"י ה"ב]</w:t>
      </w:r>
      <w:r w:rsidRPr="00845316">
        <w:rPr>
          <w:rFonts w:asciiTheme="minorBidi" w:hAnsiTheme="minorBidi"/>
          <w:sz w:val="16"/>
          <w:szCs w:val="16"/>
          <w:rtl/>
        </w:rPr>
        <w:t xml:space="preserve"> </w:t>
      </w:r>
      <w:r w:rsidRPr="00845316">
        <w:rPr>
          <w:rFonts w:asciiTheme="minorBidi" w:hAnsiTheme="minorBidi"/>
          <w:rtl/>
        </w:rPr>
        <w:t>ונמוק"י</w:t>
      </w:r>
      <w:r w:rsidRPr="00845316">
        <w:rPr>
          <w:rFonts w:asciiTheme="minorBidi" w:hAnsiTheme="minorBidi"/>
          <w:sz w:val="16"/>
          <w:szCs w:val="16"/>
          <w:rtl/>
        </w:rPr>
        <w:t xml:space="preserve"> </w:t>
      </w:r>
      <w:r w:rsidRPr="00845316">
        <w:rPr>
          <w:rFonts w:asciiTheme="minorBidi" w:hAnsiTheme="minorBidi"/>
          <w:sz w:val="14"/>
          <w:szCs w:val="14"/>
          <w:rtl/>
        </w:rPr>
        <w:t xml:space="preserve">[ד: ד"ה מתני'] </w:t>
      </w:r>
      <w:r w:rsidRPr="00845316">
        <w:rPr>
          <w:rFonts w:asciiTheme="minorBidi" w:hAnsiTheme="minorBidi"/>
          <w:sz w:val="16"/>
          <w:szCs w:val="16"/>
          <w:rtl/>
        </w:rPr>
        <w:t>להב' הב"י</w:t>
      </w:r>
      <w:r w:rsidRPr="00845316">
        <w:rPr>
          <w:rFonts w:asciiTheme="minorBidi" w:hAnsiTheme="minorBidi"/>
          <w:rtl/>
        </w:rPr>
        <w:t>).</w:t>
      </w:r>
    </w:p>
  </w:footnote>
  <w:footnote w:id="2157">
    <w:p w14:paraId="268F5490" w14:textId="77777777" w:rsidR="0013116F" w:rsidRPr="00845316" w:rsidRDefault="0013116F" w:rsidP="004B607F">
      <w:pPr>
        <w:pStyle w:val="a9"/>
        <w:spacing w:after="60"/>
        <w:rPr>
          <w:rFonts w:asciiTheme="minorBidi" w:hAnsiTheme="minorBidi"/>
        </w:rPr>
      </w:pPr>
      <w:r w:rsidRPr="00845316">
        <w:rPr>
          <w:rStyle w:val="ab"/>
          <w:rFonts w:asciiTheme="minorBidi" w:hAnsiTheme="minorBidi"/>
        </w:rPr>
        <w:footnoteRef/>
      </w:r>
      <w:r w:rsidRPr="00845316">
        <w:rPr>
          <w:rFonts w:asciiTheme="minorBidi" w:hAnsiTheme="minorBidi"/>
          <w:rtl/>
        </w:rPr>
        <w:t xml:space="preserve"> הנמוק"י פירש אחרת את דברי הגמ' דלעיל ואלו דבריו- מלוה הבאה ברבית קתני, ומשום לוה אצטריכא ליה למיתני דלא מיפסל אלא מדרבנן, דאע"ג דעבר אדאו' לא פסול מדאו' דלא משמע לאינשי איסורא אלא למלוה דאית ליה רווחא אבל ללוה דמפסיד לא, וכשהלוה ברבית דרבנן פסול, אבל לוה כשר, דאבק רבית ליכא איסורא אלא למאן דשקיל ליה לא למאן דיהיב ליה כדמשמע באיזהו נשך גבי בני רב עיליש, עכ"ד. ומכלל דבריו למד הב"י שמ"מ אינו פוסל את הערב והעדים.</w:t>
      </w:r>
    </w:p>
  </w:footnote>
  <w:footnote w:id="2158">
    <w:p w14:paraId="63ABEDE1" w14:textId="77777777" w:rsidR="0013116F" w:rsidRPr="00845316" w:rsidRDefault="0013116F" w:rsidP="004B607F">
      <w:pPr>
        <w:pStyle w:val="a9"/>
        <w:spacing w:after="60"/>
        <w:rPr>
          <w:rFonts w:asciiTheme="minorBidi" w:hAnsiTheme="minorBidi"/>
        </w:rPr>
      </w:pPr>
      <w:r w:rsidRPr="00845316">
        <w:rPr>
          <w:rStyle w:val="ab"/>
          <w:rFonts w:asciiTheme="minorBidi" w:hAnsiTheme="minorBidi"/>
        </w:rPr>
        <w:footnoteRef/>
      </w:r>
      <w:r w:rsidRPr="00845316">
        <w:rPr>
          <w:rFonts w:asciiTheme="minorBidi" w:hAnsiTheme="minorBidi"/>
          <w:rtl/>
        </w:rPr>
        <w:t xml:space="preserve"> ב"מ (עב. ד"ה שטר) וב"ק (ל: ד"ה וחכמים).</w:t>
      </w:r>
    </w:p>
  </w:footnote>
  <w:footnote w:id="2159">
    <w:p w14:paraId="55D1BB36" w14:textId="77777777" w:rsidR="0013116F" w:rsidRPr="00845316" w:rsidRDefault="0013116F" w:rsidP="004B607F">
      <w:pPr>
        <w:pStyle w:val="a9"/>
        <w:spacing w:after="60"/>
        <w:rPr>
          <w:rFonts w:asciiTheme="minorBidi" w:hAnsiTheme="minorBidi"/>
        </w:rPr>
      </w:pPr>
      <w:r w:rsidRPr="00845316">
        <w:rPr>
          <w:rStyle w:val="ab"/>
          <w:rFonts w:asciiTheme="minorBidi" w:hAnsiTheme="minorBidi"/>
        </w:rPr>
        <w:footnoteRef/>
      </w:r>
      <w:r w:rsidRPr="00845316">
        <w:rPr>
          <w:rFonts w:asciiTheme="minorBidi" w:hAnsiTheme="minorBidi"/>
          <w:rtl/>
        </w:rPr>
        <w:t xml:space="preserve"> זהו לשון התוס' בב"ק (ל:). אך בב"מ (עב.) לא הזכירו ערב, וז"ל- "דשמא לא תשימון לאינשי במלוה משמע להו ולא בעדים". ואפ"ל דלא פליגי, דהרי לשון התוס' בב"ק והסדר בו נכתבו הדברים דומה ממש לבב"מ ונראה שאותו פה אמרו.</w:t>
      </w:r>
    </w:p>
  </w:footnote>
  <w:footnote w:id="2160">
    <w:p w14:paraId="6A07E4BA" w14:textId="77777777" w:rsidR="0013116F" w:rsidRPr="00845316" w:rsidRDefault="0013116F" w:rsidP="004B607F">
      <w:pPr>
        <w:pStyle w:val="a9"/>
        <w:spacing w:after="60"/>
        <w:rPr>
          <w:rFonts w:asciiTheme="minorBidi" w:hAnsiTheme="minorBidi"/>
          <w:rtl/>
        </w:rPr>
      </w:pPr>
      <w:r w:rsidRPr="00845316">
        <w:rPr>
          <w:rStyle w:val="ab"/>
          <w:rFonts w:asciiTheme="minorBidi" w:hAnsiTheme="minorBidi"/>
        </w:rPr>
        <w:footnoteRef/>
      </w:r>
      <w:r w:rsidRPr="00845316">
        <w:rPr>
          <w:rFonts w:asciiTheme="minorBidi" w:hAnsiTheme="minorBidi"/>
          <w:rtl/>
        </w:rPr>
        <w:t xml:space="preserve"> רבי יואל הלוי</w:t>
      </w:r>
      <w:r w:rsidRPr="00845316">
        <w:rPr>
          <w:rFonts w:asciiTheme="minorBidi" w:hAnsiTheme="minorBidi"/>
          <w:sz w:val="16"/>
          <w:szCs w:val="16"/>
          <w:rtl/>
        </w:rPr>
        <w:t xml:space="preserve"> (המרדכי כ"כ בשמו בסי' תרצב)</w:t>
      </w:r>
      <w:r w:rsidRPr="00845316">
        <w:rPr>
          <w:rFonts w:asciiTheme="minorBidi" w:hAnsiTheme="minorBidi"/>
          <w:rtl/>
        </w:rPr>
        <w:t xml:space="preserve"> וטור</w:t>
      </w:r>
      <w:r w:rsidRPr="00845316">
        <w:rPr>
          <w:rFonts w:asciiTheme="minorBidi" w:hAnsiTheme="minorBidi"/>
          <w:sz w:val="16"/>
          <w:szCs w:val="16"/>
          <w:rtl/>
        </w:rPr>
        <w:t xml:space="preserve"> (סי נב ס"א, כן הבין הב"י מדבריו)</w:t>
      </w:r>
      <w:r w:rsidRPr="00845316">
        <w:rPr>
          <w:rFonts w:asciiTheme="minorBidi" w:hAnsiTheme="minorBidi"/>
          <w:rtl/>
        </w:rPr>
        <w:t>.</w:t>
      </w:r>
    </w:p>
  </w:footnote>
  <w:footnote w:id="2161">
    <w:p w14:paraId="4BDE92CE" w14:textId="77777777" w:rsidR="0013116F" w:rsidRPr="00845316" w:rsidRDefault="0013116F" w:rsidP="004B607F">
      <w:pPr>
        <w:pStyle w:val="a9"/>
        <w:spacing w:after="60"/>
        <w:rPr>
          <w:rFonts w:asciiTheme="minorBidi" w:hAnsiTheme="minorBidi"/>
          <w:rtl/>
        </w:rPr>
      </w:pPr>
      <w:r w:rsidRPr="00845316">
        <w:rPr>
          <w:rStyle w:val="ab"/>
          <w:rFonts w:asciiTheme="minorBidi" w:hAnsiTheme="minorBidi"/>
        </w:rPr>
        <w:footnoteRef/>
      </w:r>
      <w:r w:rsidRPr="00845316">
        <w:rPr>
          <w:rFonts w:asciiTheme="minorBidi" w:hAnsiTheme="minorBidi"/>
          <w:rtl/>
        </w:rPr>
        <w:t xml:space="preserve"> (נמוק"י</w:t>
      </w:r>
      <w:r w:rsidRPr="00845316">
        <w:rPr>
          <w:rFonts w:asciiTheme="minorBidi" w:hAnsiTheme="minorBidi"/>
          <w:sz w:val="16"/>
          <w:szCs w:val="16"/>
          <w:rtl/>
        </w:rPr>
        <w:t xml:space="preserve"> </w:t>
      </w:r>
      <w:r w:rsidRPr="00845316">
        <w:rPr>
          <w:rFonts w:asciiTheme="minorBidi" w:hAnsiTheme="minorBidi"/>
          <w:sz w:val="14"/>
          <w:szCs w:val="14"/>
          <w:rtl/>
        </w:rPr>
        <w:t xml:space="preserve">[ב"מ מב: ד"ה ת"ר] </w:t>
      </w:r>
      <w:r w:rsidRPr="00845316">
        <w:rPr>
          <w:rFonts w:asciiTheme="minorBidi" w:hAnsiTheme="minorBidi"/>
          <w:sz w:val="16"/>
          <w:szCs w:val="16"/>
          <w:rtl/>
        </w:rPr>
        <w:t xml:space="preserve">להב' מהרש"ק </w:t>
      </w:r>
      <w:r w:rsidRPr="00845316">
        <w:rPr>
          <w:rFonts w:asciiTheme="minorBidi" w:hAnsiTheme="minorBidi"/>
          <w:sz w:val="14"/>
          <w:szCs w:val="14"/>
          <w:rtl/>
        </w:rPr>
        <w:t>(הובא בט"ז)</w:t>
      </w:r>
      <w:r w:rsidRPr="00845316">
        <w:rPr>
          <w:rFonts w:asciiTheme="minorBidi" w:hAnsiTheme="minorBidi"/>
          <w:rtl/>
        </w:rPr>
        <w:t>).</w:t>
      </w:r>
    </w:p>
  </w:footnote>
  <w:footnote w:id="2162">
    <w:p w14:paraId="34B2BD82" w14:textId="77777777" w:rsidR="0013116F" w:rsidRPr="00845316" w:rsidRDefault="0013116F" w:rsidP="004B607F">
      <w:pPr>
        <w:pStyle w:val="a9"/>
        <w:spacing w:after="60"/>
        <w:rPr>
          <w:rFonts w:asciiTheme="minorBidi" w:hAnsiTheme="minorBidi"/>
          <w:rtl/>
        </w:rPr>
      </w:pPr>
      <w:r w:rsidRPr="00845316">
        <w:rPr>
          <w:rStyle w:val="ab"/>
          <w:rFonts w:asciiTheme="minorBidi" w:hAnsiTheme="minorBidi"/>
        </w:rPr>
        <w:footnoteRef/>
      </w:r>
      <w:r w:rsidRPr="00845316">
        <w:rPr>
          <w:rFonts w:asciiTheme="minorBidi" w:hAnsiTheme="minorBidi"/>
          <w:rtl/>
        </w:rPr>
        <w:t xml:space="preserve"> (רמב"ם </w:t>
      </w:r>
      <w:r w:rsidRPr="00845316">
        <w:rPr>
          <w:rFonts w:asciiTheme="minorBidi" w:hAnsiTheme="minorBidi"/>
          <w:sz w:val="14"/>
          <w:szCs w:val="14"/>
          <w:rtl/>
        </w:rPr>
        <w:t>[הל' מלוה ולוה פ"ד ה"ב]</w:t>
      </w:r>
      <w:r w:rsidRPr="00845316">
        <w:rPr>
          <w:rFonts w:asciiTheme="minorBidi" w:hAnsiTheme="minorBidi"/>
          <w:sz w:val="16"/>
          <w:szCs w:val="16"/>
          <w:rtl/>
        </w:rPr>
        <w:t xml:space="preserve"> להב' רי"ו</w:t>
      </w:r>
      <w:r w:rsidRPr="00845316">
        <w:rPr>
          <w:rFonts w:asciiTheme="minorBidi" w:hAnsiTheme="minorBidi"/>
          <w:sz w:val="14"/>
          <w:szCs w:val="14"/>
          <w:rtl/>
        </w:rPr>
        <w:t xml:space="preserve"> [מישרים נ"ב ח"ד יב טור ב]</w:t>
      </w:r>
      <w:r w:rsidRPr="00845316">
        <w:rPr>
          <w:rFonts w:asciiTheme="minorBidi" w:hAnsiTheme="minorBidi"/>
          <w:rtl/>
        </w:rPr>
        <w:t>).</w:t>
      </w:r>
    </w:p>
  </w:footnote>
  <w:footnote w:id="2163">
    <w:p w14:paraId="481CE171" w14:textId="77777777" w:rsidR="0013116F" w:rsidRPr="00845316" w:rsidRDefault="0013116F" w:rsidP="004B607F">
      <w:pPr>
        <w:pStyle w:val="a9"/>
        <w:spacing w:after="60"/>
        <w:rPr>
          <w:rFonts w:asciiTheme="minorBidi" w:hAnsiTheme="minorBidi"/>
        </w:rPr>
      </w:pPr>
      <w:r w:rsidRPr="00845316">
        <w:rPr>
          <w:rStyle w:val="ab"/>
          <w:rFonts w:asciiTheme="minorBidi" w:hAnsiTheme="minorBidi"/>
        </w:rPr>
        <w:footnoteRef/>
      </w:r>
      <w:r w:rsidRPr="00845316">
        <w:rPr>
          <w:rFonts w:asciiTheme="minorBidi" w:hAnsiTheme="minorBidi"/>
          <w:rtl/>
        </w:rPr>
        <w:t xml:space="preserve"> וכ' ע"ז הב"י- "ואני אומר שזה לשון המשנה בפרק איזהו נשך (עה:) ועוד מונה שם לאוין אחרים שעוברים עליהן ומה מדייק מלשון הרמב"ם יותר מלשון המשנה, ועם כל זה אין משם ראיה שהן פסולין אע"פ שעוברים בלא תשימון כיון דלאו בני מלקות נינהו וג"כ לא נטלו ממון כדי להעיד לא מיפסלי, וכ"כ הרמב"ם בפירוש </w:t>
      </w:r>
      <w:r w:rsidRPr="00845316">
        <w:rPr>
          <w:rFonts w:asciiTheme="minorBidi" w:hAnsiTheme="minorBidi"/>
          <w:sz w:val="16"/>
          <w:szCs w:val="16"/>
          <w:rtl/>
        </w:rPr>
        <w:t xml:space="preserve">(עדות פ"י ה"ב) </w:t>
      </w:r>
      <w:r w:rsidRPr="00845316">
        <w:rPr>
          <w:rFonts w:asciiTheme="minorBidi" w:hAnsiTheme="minorBidi"/>
          <w:rtl/>
        </w:rPr>
        <w:t>שמי שעבר עבירה שחייב עליה מלקות או מיתת בית דין הוא שנקרא רשע הא לאו הכי לא אא"כ הוא עד דחמס כמו שכתב באותו פרק (ה"ד) ועוד יש שם רשעים וכו' וכמו שכתבתי בסמוך".</w:t>
      </w:r>
      <w:r w:rsidRPr="00845316">
        <w:rPr>
          <w:rFonts w:asciiTheme="minorBidi" w:hAnsiTheme="minorBidi"/>
          <w:color w:val="FF0000"/>
          <w:rtl/>
        </w:rPr>
        <w:t xml:space="preserve"> וצל"ע על דברי הב"י שהרי לדעתו אף בעבירה דרבנן מיפסלי אף שאין בה חמס, ונ"ל שדעתו לפוסלן מדרבנן דהרי כ' "וכמו שכתבתי בסמוך".</w:t>
      </w:r>
    </w:p>
  </w:footnote>
  <w:footnote w:id="2164">
    <w:p w14:paraId="17019541" w14:textId="77777777" w:rsidR="0013116F" w:rsidRPr="00845316" w:rsidRDefault="0013116F" w:rsidP="004B607F">
      <w:pPr>
        <w:pStyle w:val="a9"/>
        <w:spacing w:after="60"/>
        <w:rPr>
          <w:rFonts w:asciiTheme="minorBidi" w:hAnsiTheme="minorBidi"/>
          <w:rtl/>
        </w:rPr>
      </w:pPr>
      <w:r w:rsidRPr="00845316">
        <w:rPr>
          <w:rStyle w:val="ab"/>
          <w:rFonts w:asciiTheme="minorBidi" w:hAnsiTheme="minorBidi"/>
        </w:rPr>
        <w:footnoteRef/>
      </w:r>
      <w:r w:rsidRPr="00845316">
        <w:rPr>
          <w:rFonts w:asciiTheme="minorBidi" w:hAnsiTheme="minorBidi"/>
          <w:rtl/>
        </w:rPr>
        <w:t xml:space="preserve"> תוס' </w:t>
      </w:r>
      <w:r w:rsidRPr="00845316">
        <w:rPr>
          <w:rFonts w:asciiTheme="minorBidi" w:hAnsiTheme="minorBidi"/>
          <w:sz w:val="16"/>
          <w:szCs w:val="16"/>
          <w:rtl/>
        </w:rPr>
        <w:t>(ב"מ עב. ד"ה שטר)</w:t>
      </w:r>
      <w:r w:rsidRPr="00845316">
        <w:rPr>
          <w:rFonts w:asciiTheme="minorBidi" w:hAnsiTheme="minorBidi"/>
          <w:rtl/>
        </w:rPr>
        <w:t xml:space="preserve"> נמוק"י</w:t>
      </w:r>
      <w:r w:rsidRPr="00845316">
        <w:rPr>
          <w:rFonts w:asciiTheme="minorBidi" w:hAnsiTheme="minorBidi"/>
          <w:sz w:val="16"/>
          <w:szCs w:val="16"/>
          <w:rtl/>
        </w:rPr>
        <w:t xml:space="preserve"> (ד: ד"ה מתני', ובב"מ לט: ד"ה גרסי')</w:t>
      </w:r>
      <w:r w:rsidRPr="00845316">
        <w:rPr>
          <w:rFonts w:asciiTheme="minorBidi" w:hAnsiTheme="minorBidi"/>
          <w:rtl/>
        </w:rPr>
        <w:t xml:space="preserve"> ורי"ו </w:t>
      </w:r>
      <w:r w:rsidRPr="00845316">
        <w:rPr>
          <w:rFonts w:asciiTheme="minorBidi" w:hAnsiTheme="minorBidi"/>
          <w:sz w:val="16"/>
          <w:szCs w:val="16"/>
          <w:rtl/>
        </w:rPr>
        <w:t>(נ"ח ח"א כז ע"א, הביאם הדרכ"מ [יו"ד סי'  קס אות ב])</w:t>
      </w:r>
      <w:r w:rsidRPr="00845316">
        <w:rPr>
          <w:rFonts w:asciiTheme="minorBidi" w:hAnsiTheme="minorBidi"/>
          <w:rtl/>
        </w:rPr>
        <w:t>.</w:t>
      </w:r>
    </w:p>
  </w:footnote>
  <w:footnote w:id="2165">
    <w:p w14:paraId="32C792FD" w14:textId="77777777" w:rsidR="0013116F" w:rsidRPr="00845316" w:rsidRDefault="0013116F" w:rsidP="004B607F">
      <w:pPr>
        <w:pStyle w:val="a9"/>
        <w:spacing w:after="60"/>
        <w:rPr>
          <w:rFonts w:asciiTheme="minorBidi" w:hAnsiTheme="minorBidi"/>
        </w:rPr>
      </w:pPr>
      <w:r w:rsidRPr="00845316">
        <w:rPr>
          <w:rStyle w:val="ab"/>
          <w:rFonts w:asciiTheme="minorBidi" w:hAnsiTheme="minorBidi"/>
        </w:rPr>
        <w:footnoteRef/>
      </w:r>
      <w:r w:rsidRPr="00845316">
        <w:rPr>
          <w:rFonts w:asciiTheme="minorBidi" w:hAnsiTheme="minorBidi"/>
          <w:rtl/>
        </w:rPr>
        <w:t xml:space="preserve"> בד"ר נשמט כאן ונכתב- "ואם ברבית פסולין מדבריהם". ובמהדורת של"ד נוספו המילים- "שאינה קצוצה". ובמהדורת הרמ"א של"ח- "ואם ברבית דרבנן", ציונים ומקורות שו"ע פריעדמאן.</w:t>
      </w:r>
    </w:p>
  </w:footnote>
  <w:footnote w:id="2166">
    <w:p w14:paraId="2D5ECC7A" w14:textId="77777777" w:rsidR="0013116F" w:rsidRPr="00845316" w:rsidRDefault="0013116F" w:rsidP="004B607F">
      <w:pPr>
        <w:pStyle w:val="a9"/>
        <w:spacing w:after="60"/>
        <w:rPr>
          <w:rFonts w:asciiTheme="minorBidi" w:hAnsiTheme="minorBidi"/>
          <w:rtl/>
        </w:rPr>
      </w:pPr>
      <w:r w:rsidRPr="00845316">
        <w:rPr>
          <w:rStyle w:val="ab"/>
          <w:rFonts w:asciiTheme="minorBidi" w:hAnsiTheme="minorBidi"/>
        </w:rPr>
        <w:footnoteRef/>
      </w:r>
      <w:r w:rsidRPr="00845316">
        <w:rPr>
          <w:rFonts w:asciiTheme="minorBidi" w:hAnsiTheme="minorBidi"/>
          <w:rtl/>
        </w:rPr>
        <w:t xml:space="preserve"> ולפי"ז ברבית דאו' פסול הלוה רק מדרבנן, רעק"א.</w:t>
      </w:r>
    </w:p>
  </w:footnote>
  <w:footnote w:id="2167">
    <w:p w14:paraId="28D7329F" w14:textId="77777777" w:rsidR="0013116F" w:rsidRPr="00845316" w:rsidRDefault="0013116F" w:rsidP="004B607F">
      <w:pPr>
        <w:pStyle w:val="a9"/>
        <w:spacing w:after="60"/>
        <w:rPr>
          <w:rFonts w:asciiTheme="minorBidi" w:hAnsiTheme="minorBidi"/>
          <w:rtl/>
        </w:rPr>
      </w:pPr>
      <w:r w:rsidRPr="00845316">
        <w:rPr>
          <w:rStyle w:val="ab"/>
          <w:rFonts w:asciiTheme="minorBidi" w:hAnsiTheme="minorBidi"/>
        </w:rPr>
        <w:footnoteRef/>
      </w:r>
      <w:r w:rsidRPr="00845316">
        <w:rPr>
          <w:rFonts w:asciiTheme="minorBidi" w:hAnsiTheme="minorBidi"/>
          <w:rtl/>
        </w:rPr>
        <w:t xml:space="preserve"> הביאו החות יאיר (סי' קז).</w:t>
      </w:r>
    </w:p>
  </w:footnote>
  <w:footnote w:id="2168">
    <w:p w14:paraId="62BDD07B" w14:textId="77777777" w:rsidR="0013116F" w:rsidRPr="00845316" w:rsidRDefault="0013116F" w:rsidP="004B607F">
      <w:pPr>
        <w:pStyle w:val="a9"/>
        <w:spacing w:after="60"/>
        <w:rPr>
          <w:rFonts w:asciiTheme="minorBidi" w:hAnsiTheme="minorBidi"/>
        </w:rPr>
      </w:pPr>
      <w:r w:rsidRPr="00845316">
        <w:rPr>
          <w:rStyle w:val="ab"/>
          <w:rFonts w:asciiTheme="minorBidi" w:hAnsiTheme="minorBidi"/>
        </w:rPr>
        <w:footnoteRef/>
      </w:r>
      <w:r w:rsidRPr="00845316">
        <w:rPr>
          <w:rFonts w:asciiTheme="minorBidi" w:hAnsiTheme="minorBidi"/>
          <w:rtl/>
        </w:rPr>
        <w:t xml:space="preserve"> ארעא דרבנן</w:t>
      </w:r>
      <w:r w:rsidRPr="00845316">
        <w:rPr>
          <w:rFonts w:asciiTheme="minorBidi" w:hAnsiTheme="minorBidi"/>
          <w:sz w:val="16"/>
          <w:szCs w:val="16"/>
          <w:rtl/>
        </w:rPr>
        <w:t xml:space="preserve"> </w:t>
      </w:r>
      <w:r w:rsidRPr="00845316">
        <w:rPr>
          <w:rFonts w:asciiTheme="minorBidi" w:hAnsiTheme="minorBidi"/>
          <w:sz w:val="14"/>
          <w:szCs w:val="14"/>
          <w:rtl/>
        </w:rPr>
        <w:t>(מערכת אות א' סוף אות יז)</w:t>
      </w:r>
      <w:r w:rsidRPr="00845316">
        <w:rPr>
          <w:rFonts w:asciiTheme="minorBidi" w:hAnsiTheme="minorBidi"/>
          <w:rtl/>
        </w:rPr>
        <w:t xml:space="preserve"> דברי אמת </w:t>
      </w:r>
      <w:r w:rsidRPr="00845316">
        <w:rPr>
          <w:rFonts w:asciiTheme="minorBidi" w:hAnsiTheme="minorBidi"/>
          <w:sz w:val="14"/>
          <w:szCs w:val="14"/>
          <w:rtl/>
        </w:rPr>
        <w:t>(בקונטרס חמישי בענין חשוד דף ל [למהר"י בכר דוד, הביאו הברכ"י אות לב])</w:t>
      </w:r>
      <w:r w:rsidRPr="00845316">
        <w:rPr>
          <w:rFonts w:asciiTheme="minorBidi" w:hAnsiTheme="minorBidi"/>
          <w:sz w:val="18"/>
          <w:szCs w:val="18"/>
          <w:rtl/>
        </w:rPr>
        <w:t xml:space="preserve"> </w:t>
      </w:r>
      <w:r w:rsidRPr="00845316">
        <w:rPr>
          <w:rFonts w:asciiTheme="minorBidi" w:hAnsiTheme="minorBidi"/>
          <w:rtl/>
        </w:rPr>
        <w:t xml:space="preserve">מהרי"ט </w:t>
      </w:r>
      <w:r w:rsidRPr="00845316">
        <w:rPr>
          <w:rFonts w:asciiTheme="minorBidi" w:hAnsiTheme="minorBidi"/>
          <w:sz w:val="14"/>
          <w:szCs w:val="14"/>
          <w:rtl/>
        </w:rPr>
        <w:t>(אה"ע סי' מג)</w:t>
      </w:r>
      <w:r w:rsidRPr="00845316">
        <w:rPr>
          <w:rFonts w:asciiTheme="minorBidi" w:hAnsiTheme="minorBidi"/>
          <w:sz w:val="16"/>
          <w:szCs w:val="16"/>
          <w:rtl/>
        </w:rPr>
        <w:t xml:space="preserve"> </w:t>
      </w:r>
      <w:r w:rsidRPr="00845316">
        <w:rPr>
          <w:rFonts w:asciiTheme="minorBidi" w:hAnsiTheme="minorBidi"/>
          <w:rtl/>
        </w:rPr>
        <w:t>ורעק"א.</w:t>
      </w:r>
    </w:p>
  </w:footnote>
  <w:footnote w:id="2169">
    <w:p w14:paraId="26F3ECE8" w14:textId="77777777" w:rsidR="0013116F" w:rsidRPr="00845316" w:rsidRDefault="0013116F" w:rsidP="004B607F">
      <w:pPr>
        <w:pStyle w:val="a9"/>
        <w:spacing w:after="60"/>
        <w:rPr>
          <w:rFonts w:asciiTheme="minorBidi" w:hAnsiTheme="minorBidi"/>
          <w:rtl/>
        </w:rPr>
      </w:pPr>
      <w:r w:rsidRPr="00845316">
        <w:rPr>
          <w:rStyle w:val="ab"/>
          <w:rFonts w:asciiTheme="minorBidi" w:hAnsiTheme="minorBidi"/>
        </w:rPr>
        <w:footnoteRef/>
      </w:r>
      <w:r w:rsidRPr="00845316">
        <w:rPr>
          <w:rFonts w:asciiTheme="minorBidi" w:hAnsiTheme="minorBidi"/>
          <w:rtl/>
        </w:rPr>
        <w:t xml:space="preserve"> ז"א דלא אמרו מעצמם "חטאנו" בלי שאף אחד ראה אותם, אלא ראו אותם אנשים בשעה שחטאו ויכלו לחשוב שעשו זאת בגלל שאינם יודעים שזה אסור, ואז באו ואמרו "ידענו ואעפ"כ חטאנו". </w:t>
      </w:r>
    </w:p>
  </w:footnote>
  <w:footnote w:id="2170">
    <w:p w14:paraId="76D43B2C" w14:textId="77777777" w:rsidR="0013116F" w:rsidRPr="00845316" w:rsidRDefault="0013116F" w:rsidP="004B607F">
      <w:pPr>
        <w:pStyle w:val="a9"/>
        <w:spacing w:after="60"/>
        <w:rPr>
          <w:rFonts w:asciiTheme="minorBidi" w:hAnsiTheme="minorBidi"/>
        </w:rPr>
      </w:pPr>
      <w:r w:rsidRPr="00845316">
        <w:rPr>
          <w:rStyle w:val="ab"/>
          <w:rFonts w:asciiTheme="minorBidi" w:hAnsiTheme="minorBidi"/>
        </w:rPr>
        <w:footnoteRef/>
      </w:r>
      <w:r w:rsidRPr="00845316">
        <w:rPr>
          <w:rFonts w:asciiTheme="minorBidi" w:hAnsiTheme="minorBidi"/>
          <w:rtl/>
        </w:rPr>
        <w:t xml:space="preserve"> והוכיח כן ספר ארעא דרבנן מב"מ (ג:) מהא דאמר לו אכלת חלב שהוא לא מהוה האיסור והעדים היו תולין לומר שאכל בשוגג, ואמרינן דמצי למימר מזיד הייתי, ואעפ"כ קשיא ליה לתוס' (ד"ה מה) דהא אין אדם משים עצמו רשע, משמע דקים להו לבעלי התוס' דאפילו דהוא לא מהוה האיסור אפ"ה איכא משום אין אדם משים עצמו רשע.</w:t>
      </w:r>
    </w:p>
  </w:footnote>
  <w:footnote w:id="2171">
    <w:p w14:paraId="46EEFE58" w14:textId="77777777" w:rsidR="0013116F" w:rsidRPr="00845316" w:rsidRDefault="0013116F" w:rsidP="004B607F">
      <w:pPr>
        <w:pStyle w:val="a9"/>
        <w:spacing w:after="60"/>
        <w:rPr>
          <w:rFonts w:asciiTheme="minorBidi" w:hAnsiTheme="minorBidi"/>
          <w:rtl/>
        </w:rPr>
      </w:pPr>
      <w:r w:rsidRPr="00845316">
        <w:rPr>
          <w:rStyle w:val="ab"/>
          <w:rFonts w:asciiTheme="minorBidi" w:hAnsiTheme="minorBidi"/>
        </w:rPr>
        <w:footnoteRef/>
      </w:r>
      <w:r w:rsidRPr="00845316">
        <w:rPr>
          <w:rFonts w:asciiTheme="minorBidi" w:hAnsiTheme="minorBidi"/>
          <w:rtl/>
        </w:rPr>
        <w:t xml:space="preserve"> ואפילו לדידן שלא נתפשט המנהג הזה לא נפסל משום דסבר מצוה קא עבידנא, ב"י.</w:t>
      </w:r>
    </w:p>
  </w:footnote>
  <w:footnote w:id="2172">
    <w:p w14:paraId="59A05D72" w14:textId="77777777" w:rsidR="0013116F" w:rsidRPr="00845316" w:rsidRDefault="0013116F" w:rsidP="004B607F">
      <w:pPr>
        <w:pStyle w:val="a9"/>
        <w:spacing w:after="60"/>
        <w:rPr>
          <w:rFonts w:asciiTheme="minorBidi" w:hAnsiTheme="minorBidi"/>
          <w:rtl/>
        </w:rPr>
      </w:pPr>
      <w:r w:rsidRPr="00845316">
        <w:rPr>
          <w:rStyle w:val="ab"/>
          <w:rFonts w:asciiTheme="minorBidi" w:hAnsiTheme="minorBidi"/>
        </w:rPr>
        <w:footnoteRef/>
      </w:r>
      <w:r w:rsidRPr="00845316">
        <w:rPr>
          <w:rFonts w:asciiTheme="minorBidi" w:hAnsiTheme="minorBidi"/>
          <w:rtl/>
        </w:rPr>
        <w:t xml:space="preserve"> הא דכ' "ברבית קצוצה" הוא משום דסבירא ליה כתוס' דפרק המניח שכתבתי דכל היכא שאינו מרויח הוא כלום לא מיפסיל ברבית דרבנן, ואפשר דמשום דמעות יתומים מותר להלוותן באבק רבית (ב"מ ע.) וזו נראה לי עיקר, ב"י.</w:t>
      </w:r>
    </w:p>
  </w:footnote>
  <w:footnote w:id="2173">
    <w:p w14:paraId="782DB255" w14:textId="77777777" w:rsidR="0013116F" w:rsidRDefault="0013116F" w:rsidP="004B607F">
      <w:pPr>
        <w:pStyle w:val="a9"/>
      </w:pPr>
      <w:r>
        <w:rPr>
          <w:rStyle w:val="ab"/>
        </w:rPr>
        <w:footnoteRef/>
      </w:r>
      <w:r>
        <w:rPr>
          <w:rtl/>
        </w:rPr>
        <w:t xml:space="preserve"> </w:t>
      </w:r>
      <w:r>
        <w:rPr>
          <w:rFonts w:hint="cs"/>
          <w:rtl/>
        </w:rPr>
        <w:t xml:space="preserve">סימן </w:t>
      </w:r>
      <w:r>
        <w:rPr>
          <w:rtl/>
        </w:rPr>
        <w:t>–</w:t>
      </w:r>
      <w:r>
        <w:rPr>
          <w:rFonts w:hint="cs"/>
          <w:rtl/>
        </w:rPr>
        <w:t xml:space="preserve"> </w:t>
      </w:r>
      <w:r>
        <w:rPr>
          <w:rFonts w:hint="cs"/>
          <w:sz w:val="14"/>
          <w:szCs w:val="14"/>
          <w:rtl/>
        </w:rPr>
        <w:t>(</w:t>
      </w:r>
      <w:r w:rsidRPr="009349BE">
        <w:rPr>
          <w:rFonts w:hint="cs"/>
          <w:sz w:val="14"/>
          <w:szCs w:val="14"/>
          <w:rtl/>
        </w:rPr>
        <w:t>צריך לדון לכף)</w:t>
      </w:r>
      <w:r>
        <w:rPr>
          <w:rFonts w:hint="cs"/>
          <w:rtl/>
        </w:rPr>
        <w:t xml:space="preserve"> '</w:t>
      </w:r>
      <w:r w:rsidRPr="009349BE">
        <w:rPr>
          <w:rFonts w:hint="cs"/>
          <w:b/>
          <w:bCs/>
          <w:rtl/>
        </w:rPr>
        <w:t>סח</w:t>
      </w:r>
      <w:r>
        <w:rPr>
          <w:rFonts w:hint="cs"/>
          <w:rtl/>
        </w:rPr>
        <w:t>וג'.</w:t>
      </w:r>
    </w:p>
  </w:footnote>
  <w:footnote w:id="2174">
    <w:p w14:paraId="0C1F5181" w14:textId="77777777" w:rsidR="0013116F" w:rsidRPr="00845316" w:rsidRDefault="0013116F" w:rsidP="004B607F">
      <w:pPr>
        <w:pStyle w:val="a9"/>
        <w:spacing w:after="60"/>
        <w:rPr>
          <w:rFonts w:asciiTheme="minorBidi" w:hAnsiTheme="minorBidi"/>
          <w:rtl/>
        </w:rPr>
      </w:pPr>
      <w:r w:rsidRPr="00845316">
        <w:rPr>
          <w:rStyle w:val="ab"/>
          <w:rFonts w:asciiTheme="minorBidi" w:hAnsiTheme="minorBidi"/>
        </w:rPr>
        <w:footnoteRef/>
      </w:r>
      <w:r w:rsidRPr="00845316">
        <w:rPr>
          <w:rFonts w:asciiTheme="minorBidi" w:hAnsiTheme="minorBidi"/>
          <w:rtl/>
        </w:rPr>
        <w:t xml:space="preserve">  שקיבל אביהם עסקא, פלגא באגר ופלגא בהפסד, רש"י. ומלשון זה היה נראה שרב עיליש קיבל את העסקה חציה במלוה וחציה בפקדון, ולכן אחריות חצי המלוה על רב עיליש, וגם חצי הרווחים מגיעים לו, כיון שהמעות במלוה אצלו </w:t>
      </w:r>
      <w:r w:rsidRPr="00845316">
        <w:rPr>
          <w:rFonts w:asciiTheme="minorBidi" w:hAnsiTheme="minorBidi"/>
          <w:sz w:val="16"/>
          <w:szCs w:val="16"/>
          <w:rtl/>
        </w:rPr>
        <w:t>(חברותא)</w:t>
      </w:r>
      <w:r w:rsidRPr="00845316">
        <w:rPr>
          <w:rFonts w:asciiTheme="minorBidi" w:hAnsiTheme="minorBidi"/>
          <w:rtl/>
        </w:rPr>
        <w:t>.</w:t>
      </w:r>
    </w:p>
  </w:footnote>
  <w:footnote w:id="2175">
    <w:p w14:paraId="288687A0" w14:textId="77777777" w:rsidR="0013116F" w:rsidRPr="00845316" w:rsidRDefault="0013116F" w:rsidP="004B607F">
      <w:pPr>
        <w:pStyle w:val="a9"/>
        <w:spacing w:after="60"/>
        <w:rPr>
          <w:rFonts w:asciiTheme="minorBidi" w:hAnsiTheme="minorBidi"/>
        </w:rPr>
      </w:pPr>
      <w:r w:rsidRPr="00845316">
        <w:rPr>
          <w:rStyle w:val="ab"/>
          <w:rFonts w:asciiTheme="minorBidi" w:hAnsiTheme="minorBidi"/>
        </w:rPr>
        <w:footnoteRef/>
      </w:r>
      <w:r w:rsidRPr="00845316">
        <w:rPr>
          <w:rFonts w:asciiTheme="minorBidi" w:hAnsiTheme="minorBidi"/>
          <w:rtl/>
        </w:rPr>
        <w:t xml:space="preserve"> לא היה מאכיל רבית לבעל הבית, דאי קביל עליה הכי - רביתא הוא, דקטרח בפלגא דפקדון משום פלגא דמלוה, אלא ודאי שטרא הכי מפרשינן ללישניה - שקיבל עליו איזו מהם שירצה, רש"י. </w:t>
      </w:r>
      <w:r w:rsidRPr="00845316">
        <w:rPr>
          <w:rFonts w:asciiTheme="minorBidi" w:hAnsiTheme="minorBidi"/>
          <w:sz w:val="16"/>
          <w:szCs w:val="16"/>
          <w:rtl/>
        </w:rPr>
        <w:t>(עיי"ש בהמשך הגמ' כיצד מפרשים את מש"כ בשטר של רב עיליש)</w:t>
      </w:r>
    </w:p>
  </w:footnote>
  <w:footnote w:id="2176">
    <w:p w14:paraId="4C0DBCB9" w14:textId="77777777" w:rsidR="0013116F" w:rsidRPr="00845316" w:rsidRDefault="0013116F" w:rsidP="004B607F">
      <w:pPr>
        <w:pStyle w:val="a9"/>
        <w:spacing w:after="60"/>
        <w:rPr>
          <w:rFonts w:asciiTheme="minorBidi" w:hAnsiTheme="minorBidi"/>
        </w:rPr>
      </w:pPr>
      <w:r w:rsidRPr="00845316">
        <w:rPr>
          <w:rStyle w:val="ab"/>
          <w:rFonts w:asciiTheme="minorBidi" w:hAnsiTheme="minorBidi"/>
        </w:rPr>
        <w:footnoteRef/>
      </w:r>
      <w:r w:rsidRPr="00845316">
        <w:rPr>
          <w:rFonts w:asciiTheme="minorBidi" w:hAnsiTheme="minorBidi"/>
          <w:rtl/>
        </w:rPr>
        <w:t xml:space="preserve"> עד כאן דברי הרשב"א (ח"ד סי' של).</w:t>
      </w:r>
    </w:p>
  </w:footnote>
  <w:footnote w:id="2177">
    <w:p w14:paraId="460DD681" w14:textId="77777777" w:rsidR="0013116F" w:rsidRPr="00845316" w:rsidRDefault="0013116F" w:rsidP="004B607F">
      <w:pPr>
        <w:pStyle w:val="a9"/>
        <w:spacing w:after="60"/>
        <w:rPr>
          <w:rFonts w:asciiTheme="minorBidi" w:hAnsiTheme="minorBidi"/>
          <w:rtl/>
        </w:rPr>
      </w:pPr>
      <w:r w:rsidRPr="00845316">
        <w:rPr>
          <w:rStyle w:val="ab"/>
          <w:rFonts w:asciiTheme="minorBidi" w:hAnsiTheme="minorBidi"/>
        </w:rPr>
        <w:footnoteRef/>
      </w:r>
      <w:r w:rsidRPr="00845316">
        <w:rPr>
          <w:rFonts w:asciiTheme="minorBidi" w:hAnsiTheme="minorBidi"/>
          <w:rtl/>
        </w:rPr>
        <w:t xml:space="preserve"> ריב"ש סי' תיג. וכ' הסמ"ע (סק"ל) דלא דמי למש"כ הרמ"א (סע' ה) דאינו נאמן לומר שוגג הייתי להכשיר עצמו. וכן בשבועת העדות דאינו נאמן לומר שכחתי כנ"ל בסקי"ד, דשאני התם דאיסור שבועה הוא ידוע לכל אלא שבא להתנצל ולומר שוגג הייתי ולא זכרתי שנשבעתי, ועל זה אמרו אדם מועד לעולם להיות רמיא אנפשיה להיזהר במה שקיבל עליו בשבועה, וכן בעדות שראה מתחילה רמיא אנפשיה לאדכורי כדי להעיד, משא"כ באומרו סברתי שאין איסור בדבר, דמהיכא תיתי לרמיא אנפשיה ליזהר, וכן הקושר ומתיר בשבת ואומר לא ידעתי שיש בו משום מלאכה, וכן באומרו לא ידעתי שהוא שבת, שאף שהוא מוזהר בו משמים, מ"מ כיון דמעלמא אתא עליה אינו עולה על זכרונו כ"כ כדבר שהאדם עצמו רמיא אנפשיה.</w:t>
      </w:r>
      <w:r w:rsidRPr="00845316">
        <w:rPr>
          <w:rFonts w:asciiTheme="minorBidi" w:hAnsiTheme="minorBidi"/>
          <w:color w:val="FF0000"/>
          <w:rtl/>
        </w:rPr>
        <w:t xml:space="preserve"> </w:t>
      </w:r>
      <w:r w:rsidRPr="00845316">
        <w:rPr>
          <w:rFonts w:asciiTheme="minorBidi" w:hAnsiTheme="minorBidi"/>
          <w:rtl/>
        </w:rPr>
        <w:t>(אך יש להעיר על דבריו שהריב"ש עצמו בסי' שדמ</w:t>
      </w:r>
      <w:r w:rsidRPr="00845316">
        <w:rPr>
          <w:rFonts w:asciiTheme="minorBidi" w:hAnsiTheme="minorBidi"/>
          <w:sz w:val="16"/>
          <w:szCs w:val="16"/>
          <w:rtl/>
        </w:rPr>
        <w:t xml:space="preserve"> (הביאו רעק"א)</w:t>
      </w:r>
      <w:r w:rsidRPr="00845316">
        <w:rPr>
          <w:rFonts w:asciiTheme="minorBidi" w:hAnsiTheme="minorBidi"/>
          <w:rtl/>
        </w:rPr>
        <w:t xml:space="preserve"> למד מדברי הרמב"ם </w:t>
      </w:r>
      <w:r w:rsidRPr="00845316">
        <w:rPr>
          <w:rFonts w:asciiTheme="minorBidi" w:hAnsiTheme="minorBidi"/>
          <w:sz w:val="16"/>
          <w:szCs w:val="16"/>
          <w:rtl/>
        </w:rPr>
        <w:t>(שהם דברי המחבר בסע' כד)</w:t>
      </w:r>
      <w:r w:rsidRPr="00845316">
        <w:rPr>
          <w:rFonts w:asciiTheme="minorBidi" w:hAnsiTheme="minorBidi"/>
          <w:rtl/>
        </w:rPr>
        <w:t xml:space="preserve">  דבעובר על השבועה, ועבר זמן מה מהשבועה, אפשר לומר שאינו זוכר ולא מיפסיל בעבור זה) </w:t>
      </w:r>
    </w:p>
  </w:footnote>
  <w:footnote w:id="2178">
    <w:p w14:paraId="1BEAEFC7" w14:textId="77777777" w:rsidR="0013116F" w:rsidRPr="00845316" w:rsidRDefault="0013116F" w:rsidP="004B607F">
      <w:pPr>
        <w:pStyle w:val="a9"/>
        <w:spacing w:after="60"/>
        <w:rPr>
          <w:rFonts w:asciiTheme="minorBidi" w:hAnsiTheme="minorBidi"/>
        </w:rPr>
      </w:pPr>
      <w:r w:rsidRPr="00845316">
        <w:rPr>
          <w:rStyle w:val="ab"/>
          <w:rFonts w:asciiTheme="minorBidi" w:hAnsiTheme="minorBidi"/>
        </w:rPr>
        <w:footnoteRef/>
      </w:r>
      <w:r w:rsidRPr="00845316">
        <w:rPr>
          <w:rFonts w:asciiTheme="minorBidi" w:hAnsiTheme="minorBidi"/>
          <w:rtl/>
        </w:rPr>
        <w:t xml:space="preserve"> אל תשת רשע עד</w:t>
      </w:r>
      <w:r>
        <w:rPr>
          <w:rFonts w:asciiTheme="minorBidi" w:hAnsiTheme="minorBidi" w:hint="cs"/>
          <w:rtl/>
        </w:rPr>
        <w:t>.</w:t>
      </w:r>
      <w:r w:rsidRPr="00845316">
        <w:rPr>
          <w:rFonts w:asciiTheme="minorBidi" w:hAnsiTheme="minorBidi"/>
          <w:rtl/>
        </w:rPr>
        <w:t xml:space="preserve"> ובמ' גיטין </w:t>
      </w:r>
      <w:r w:rsidRPr="00845316">
        <w:rPr>
          <w:rFonts w:asciiTheme="minorBidi" w:hAnsiTheme="minorBidi"/>
          <w:sz w:val="16"/>
          <w:szCs w:val="16"/>
          <w:rtl/>
        </w:rPr>
        <w:t xml:space="preserve">(נט:) </w:t>
      </w:r>
      <w:r w:rsidRPr="00845316">
        <w:rPr>
          <w:rFonts w:asciiTheme="minorBidi" w:hAnsiTheme="minorBidi"/>
          <w:rtl/>
        </w:rPr>
        <w:t>תנן מציאת חרש שוטה וקטן יש בהן גזל מפני דרכי שלום שלא יתקוטט אביו או קרוביו, רש"י.</w:t>
      </w:r>
    </w:p>
  </w:footnote>
  <w:footnote w:id="2179">
    <w:p w14:paraId="1EFD61C3" w14:textId="77777777" w:rsidR="0013116F" w:rsidRPr="00845316" w:rsidRDefault="0013116F" w:rsidP="004B607F">
      <w:pPr>
        <w:spacing w:after="60" w:line="240" w:lineRule="auto"/>
        <w:rPr>
          <w:rFonts w:asciiTheme="minorBidi" w:hAnsiTheme="minorBidi"/>
          <w:sz w:val="20"/>
          <w:szCs w:val="20"/>
          <w:rtl/>
        </w:rPr>
      </w:pPr>
      <w:r w:rsidRPr="00A27751">
        <w:rPr>
          <w:rStyle w:val="ab"/>
          <w:rFonts w:asciiTheme="minorBidi" w:hAnsiTheme="minorBidi"/>
          <w:sz w:val="20"/>
          <w:szCs w:val="20"/>
        </w:rPr>
        <w:footnoteRef/>
      </w:r>
      <w:r w:rsidRPr="00A27751">
        <w:rPr>
          <w:rFonts w:asciiTheme="minorBidi" w:hAnsiTheme="minorBidi"/>
          <w:sz w:val="20"/>
          <w:szCs w:val="20"/>
          <w:rtl/>
        </w:rPr>
        <w:t xml:space="preserve"> אע</w:t>
      </w:r>
      <w:r w:rsidRPr="00845316">
        <w:rPr>
          <w:rFonts w:asciiTheme="minorBidi" w:hAnsiTheme="minorBidi"/>
          <w:sz w:val="20"/>
          <w:szCs w:val="20"/>
          <w:rtl/>
        </w:rPr>
        <w:t>"פ שבתחלה (פ"י ה"ד) גבי פסולי דאו' כ'- "כגון הגנבים והחמסנין", הרצון בו הגזלנין, אלא דנקט לישנא דקרא, או שהנוסחא משובשת וצריך לגרוס כגון הגנבים והגזלנין, וסוף לשונו מוכיח שכתב אע"פ שהחזיר פסול עדות מעת שגנב או גזל, ב"י.</w:t>
      </w:r>
    </w:p>
  </w:footnote>
  <w:footnote w:id="2180">
    <w:p w14:paraId="799C3FB7" w14:textId="77777777" w:rsidR="0013116F" w:rsidRPr="00845316" w:rsidRDefault="0013116F" w:rsidP="004B607F">
      <w:pPr>
        <w:pStyle w:val="a9"/>
        <w:spacing w:after="60"/>
        <w:rPr>
          <w:rFonts w:asciiTheme="minorBidi" w:hAnsiTheme="minorBidi"/>
          <w:rtl/>
        </w:rPr>
      </w:pPr>
      <w:r w:rsidRPr="00845316">
        <w:rPr>
          <w:rStyle w:val="ab"/>
          <w:rFonts w:asciiTheme="minorBidi" w:hAnsiTheme="minorBidi"/>
        </w:rPr>
        <w:footnoteRef/>
      </w:r>
      <w:r w:rsidRPr="00845316">
        <w:rPr>
          <w:rFonts w:asciiTheme="minorBidi" w:hAnsiTheme="minorBidi"/>
          <w:rtl/>
        </w:rPr>
        <w:t xml:space="preserve"> וכ' עליו הב"י- "ולא ידעתי היאך יוכל לישב בעל סברא זו הא דתאנא הוסיפו עליהם החמסנין והגזלנין דהא משמע בהדיא דמדרבנן מיפסיל".</w:t>
      </w:r>
    </w:p>
  </w:footnote>
  <w:footnote w:id="2181">
    <w:p w14:paraId="7A45536D" w14:textId="77777777" w:rsidR="0013116F" w:rsidRPr="00845316" w:rsidRDefault="0013116F" w:rsidP="004B607F">
      <w:pPr>
        <w:pStyle w:val="a9"/>
        <w:spacing w:after="60"/>
        <w:rPr>
          <w:rFonts w:asciiTheme="minorBidi" w:hAnsiTheme="minorBidi"/>
          <w:rtl/>
        </w:rPr>
      </w:pPr>
      <w:r w:rsidRPr="00845316">
        <w:rPr>
          <w:rStyle w:val="ab"/>
          <w:rFonts w:asciiTheme="minorBidi" w:hAnsiTheme="minorBidi"/>
        </w:rPr>
        <w:footnoteRef/>
      </w:r>
      <w:r w:rsidRPr="00845316">
        <w:rPr>
          <w:rFonts w:asciiTheme="minorBidi" w:hAnsiTheme="minorBidi"/>
          <w:rtl/>
        </w:rPr>
        <w:t xml:space="preserve"> כ' הב"י דאע"ג דאמרינן </w:t>
      </w:r>
      <w:r w:rsidRPr="00845316">
        <w:rPr>
          <w:rFonts w:asciiTheme="minorBidi" w:hAnsiTheme="minorBidi"/>
          <w:sz w:val="16"/>
          <w:szCs w:val="16"/>
          <w:rtl/>
        </w:rPr>
        <w:t xml:space="preserve">(ב"מ ה:) </w:t>
      </w:r>
      <w:r w:rsidRPr="00845316">
        <w:rPr>
          <w:rFonts w:asciiTheme="minorBidi" w:hAnsiTheme="minorBidi"/>
          <w:rtl/>
        </w:rPr>
        <w:t xml:space="preserve">לא תחמוד לאינשי בלא דמי משמע להו, דמשמע דלאינשי משמע אבל קושטא לאו הכי הוי </w:t>
      </w:r>
      <w:r w:rsidRPr="00845316">
        <w:rPr>
          <w:rFonts w:asciiTheme="minorBidi" w:hAnsiTheme="minorBidi"/>
          <w:sz w:val="16"/>
          <w:szCs w:val="16"/>
          <w:rtl/>
        </w:rPr>
        <w:t>(היינו דקושטא דעובר על לא תחמוד גם כשמביא דמים)</w:t>
      </w:r>
      <w:r w:rsidRPr="00845316">
        <w:rPr>
          <w:rFonts w:asciiTheme="minorBidi" w:hAnsiTheme="minorBidi"/>
          <w:rtl/>
        </w:rPr>
        <w:t xml:space="preserve">, כ' התוס' </w:t>
      </w:r>
      <w:r w:rsidRPr="00845316">
        <w:rPr>
          <w:rFonts w:asciiTheme="minorBidi" w:hAnsiTheme="minorBidi"/>
          <w:sz w:val="16"/>
          <w:szCs w:val="16"/>
          <w:rtl/>
        </w:rPr>
        <w:t xml:space="preserve">(סנהדרין כה: ד"ה מעיקרא) </w:t>
      </w:r>
      <w:r w:rsidRPr="00845316">
        <w:rPr>
          <w:rFonts w:asciiTheme="minorBidi" w:hAnsiTheme="minorBidi"/>
          <w:rtl/>
        </w:rPr>
        <w:t xml:space="preserve">די"ל דמשמע להו דקאמר ר"ל נמי דכן הוא האמת, ע"כ דברי הב"י. וכ"כ הסמ"ע </w:t>
      </w:r>
      <w:r w:rsidRPr="00845316">
        <w:rPr>
          <w:rFonts w:asciiTheme="minorBidi" w:hAnsiTheme="minorBidi"/>
          <w:sz w:val="16"/>
          <w:szCs w:val="16"/>
          <w:rtl/>
        </w:rPr>
        <w:t>(סקל"ב)</w:t>
      </w:r>
      <w:r w:rsidRPr="00845316">
        <w:rPr>
          <w:rFonts w:asciiTheme="minorBidi" w:hAnsiTheme="minorBidi"/>
          <w:rtl/>
        </w:rPr>
        <w:t xml:space="preserve">. והפת"ש </w:t>
      </w:r>
      <w:r w:rsidRPr="00845316">
        <w:rPr>
          <w:rFonts w:asciiTheme="minorBidi" w:hAnsiTheme="minorBidi"/>
          <w:sz w:val="16"/>
          <w:szCs w:val="16"/>
          <w:rtl/>
        </w:rPr>
        <w:t xml:space="preserve">(סקכ"ג) </w:t>
      </w:r>
      <w:r w:rsidRPr="00845316">
        <w:rPr>
          <w:rFonts w:asciiTheme="minorBidi" w:hAnsiTheme="minorBidi"/>
          <w:rtl/>
        </w:rPr>
        <w:t xml:space="preserve">כ' שבתומים </w:t>
      </w:r>
      <w:r w:rsidRPr="00845316">
        <w:rPr>
          <w:rFonts w:asciiTheme="minorBidi" w:hAnsiTheme="minorBidi"/>
          <w:sz w:val="16"/>
          <w:szCs w:val="16"/>
          <w:rtl/>
        </w:rPr>
        <w:t xml:space="preserve">(סקי"ג) </w:t>
      </w:r>
      <w:r w:rsidRPr="00845316">
        <w:rPr>
          <w:rFonts w:asciiTheme="minorBidi" w:hAnsiTheme="minorBidi"/>
          <w:rtl/>
        </w:rPr>
        <w:t xml:space="preserve">השיג עליו שזה סותר דברי השו"ע לקמן </w:t>
      </w:r>
      <w:r w:rsidRPr="00845316">
        <w:rPr>
          <w:rFonts w:asciiTheme="minorBidi" w:hAnsiTheme="minorBidi"/>
          <w:sz w:val="16"/>
          <w:szCs w:val="16"/>
          <w:rtl/>
        </w:rPr>
        <w:t xml:space="preserve">(סי' שנט סע' י) </w:t>
      </w:r>
      <w:r w:rsidRPr="00845316">
        <w:rPr>
          <w:rFonts w:asciiTheme="minorBidi" w:hAnsiTheme="minorBidi"/>
          <w:rtl/>
        </w:rPr>
        <w:t xml:space="preserve">ודברי עצמו שם </w:t>
      </w:r>
      <w:r w:rsidRPr="00845316">
        <w:rPr>
          <w:rFonts w:asciiTheme="minorBidi" w:hAnsiTheme="minorBidi"/>
          <w:sz w:val="16"/>
          <w:szCs w:val="16"/>
          <w:rtl/>
        </w:rPr>
        <w:t>(סקי"ד)</w:t>
      </w:r>
      <w:r w:rsidRPr="00845316">
        <w:rPr>
          <w:rFonts w:asciiTheme="minorBidi" w:hAnsiTheme="minorBidi"/>
          <w:rtl/>
        </w:rPr>
        <w:t xml:space="preserve">, וכמו כן תמה על הכס"מ </w:t>
      </w:r>
      <w:r w:rsidRPr="00845316">
        <w:rPr>
          <w:rFonts w:asciiTheme="minorBidi" w:hAnsiTheme="minorBidi"/>
          <w:sz w:val="16"/>
          <w:szCs w:val="16"/>
          <w:rtl/>
        </w:rPr>
        <w:t>(פ"י מהל' עדות ה"ד)</w:t>
      </w:r>
      <w:r w:rsidRPr="00845316">
        <w:rPr>
          <w:rFonts w:asciiTheme="minorBidi" w:hAnsiTheme="minorBidi"/>
          <w:rtl/>
        </w:rPr>
        <w:t>, וכבר קדם ותמה כן הב"ש</w:t>
      </w:r>
      <w:r w:rsidRPr="00845316">
        <w:rPr>
          <w:rFonts w:asciiTheme="minorBidi" w:hAnsiTheme="minorBidi"/>
          <w:sz w:val="16"/>
          <w:szCs w:val="16"/>
          <w:rtl/>
        </w:rPr>
        <w:t xml:space="preserve"> (אה"ע סי' כח סק"ב)</w:t>
      </w:r>
      <w:r w:rsidRPr="00845316">
        <w:rPr>
          <w:rFonts w:asciiTheme="minorBidi" w:hAnsiTheme="minorBidi"/>
          <w:rtl/>
        </w:rPr>
        <w:t>.</w:t>
      </w:r>
    </w:p>
  </w:footnote>
  <w:footnote w:id="2182">
    <w:p w14:paraId="509E77DB" w14:textId="77777777" w:rsidR="0013116F" w:rsidRPr="00845316" w:rsidRDefault="0013116F" w:rsidP="004B607F">
      <w:pPr>
        <w:pStyle w:val="a9"/>
        <w:spacing w:after="60"/>
        <w:rPr>
          <w:rFonts w:asciiTheme="minorBidi" w:hAnsiTheme="minorBidi"/>
          <w:rtl/>
        </w:rPr>
      </w:pPr>
      <w:r w:rsidRPr="00845316">
        <w:rPr>
          <w:rStyle w:val="ab"/>
          <w:rFonts w:asciiTheme="minorBidi" w:hAnsiTheme="minorBidi"/>
        </w:rPr>
        <w:footnoteRef/>
      </w:r>
      <w:r w:rsidRPr="00845316">
        <w:rPr>
          <w:rFonts w:asciiTheme="minorBidi" w:hAnsiTheme="minorBidi"/>
          <w:rtl/>
        </w:rPr>
        <w:t xml:space="preserve"> ממונין שהעמידן מלך האומות לגבות מס, ומנת המלך, וכרגא, וארנונא, מישראל חבריהם, רש"י.</w:t>
      </w:r>
    </w:p>
  </w:footnote>
  <w:footnote w:id="2183">
    <w:p w14:paraId="6A68DEC1" w14:textId="77777777" w:rsidR="0013116F" w:rsidRPr="00845316" w:rsidRDefault="0013116F" w:rsidP="004B607F">
      <w:pPr>
        <w:pStyle w:val="a9"/>
        <w:spacing w:after="60"/>
        <w:rPr>
          <w:rFonts w:asciiTheme="minorBidi" w:hAnsiTheme="minorBidi"/>
        </w:rPr>
      </w:pPr>
      <w:r w:rsidRPr="00845316">
        <w:rPr>
          <w:rStyle w:val="ab"/>
          <w:rFonts w:asciiTheme="minorBidi" w:hAnsiTheme="minorBidi"/>
        </w:rPr>
        <w:footnoteRef/>
      </w:r>
      <w:r w:rsidRPr="00845316">
        <w:rPr>
          <w:rFonts w:asciiTheme="minorBidi" w:hAnsiTheme="minorBidi"/>
          <w:rtl/>
        </w:rPr>
        <w:t xml:space="preserve"> מה שהבהמה נכנסת לשדות של אחרים ורועה אקראי הוא, ואין הרועה מתכוין לכך, רש"י.</w:t>
      </w:r>
    </w:p>
  </w:footnote>
  <w:footnote w:id="2184">
    <w:p w14:paraId="543675EB" w14:textId="77777777" w:rsidR="0013116F" w:rsidRPr="00845316" w:rsidRDefault="0013116F" w:rsidP="004B607F">
      <w:pPr>
        <w:pStyle w:val="a9"/>
        <w:spacing w:after="60"/>
        <w:rPr>
          <w:rFonts w:asciiTheme="minorBidi" w:hAnsiTheme="minorBidi"/>
        </w:rPr>
      </w:pPr>
      <w:r w:rsidRPr="00845316">
        <w:rPr>
          <w:rStyle w:val="ab"/>
          <w:rFonts w:asciiTheme="minorBidi" w:hAnsiTheme="minorBidi"/>
        </w:rPr>
        <w:footnoteRef/>
      </w:r>
      <w:r w:rsidRPr="00845316">
        <w:rPr>
          <w:rFonts w:asciiTheme="minorBidi" w:hAnsiTheme="minorBidi"/>
          <w:rtl/>
        </w:rPr>
        <w:t xml:space="preserve"> חמירי טפי משום ישוב ארץ ישראל, רש"י.</w:t>
      </w:r>
    </w:p>
  </w:footnote>
  <w:footnote w:id="2185">
    <w:p w14:paraId="4856901D" w14:textId="77777777" w:rsidR="0013116F" w:rsidRPr="00845316" w:rsidRDefault="0013116F" w:rsidP="004B607F">
      <w:pPr>
        <w:pStyle w:val="a9"/>
        <w:spacing w:after="60"/>
        <w:rPr>
          <w:rFonts w:asciiTheme="minorBidi" w:hAnsiTheme="minorBidi"/>
        </w:rPr>
      </w:pPr>
      <w:r w:rsidRPr="00845316">
        <w:rPr>
          <w:rStyle w:val="ab"/>
          <w:rFonts w:asciiTheme="minorBidi" w:hAnsiTheme="minorBidi"/>
        </w:rPr>
        <w:footnoteRef/>
      </w:r>
      <w:r w:rsidRPr="00845316">
        <w:rPr>
          <w:rFonts w:asciiTheme="minorBidi" w:hAnsiTheme="minorBidi"/>
          <w:rtl/>
        </w:rPr>
        <w:t xml:space="preserve"> שמגדלין אותם בבתיהם, ואפילו הכי בארץ ישראל פסולין מגדלי בהמה דקה, דעבידא דמשמטא ורהטא לתוך השדות, אבל גסה לא משתמטא ואפשר לנוטרה, אבל רועה שמרען בחוץ באפר של ישוב אפילו בהמה גסה פסול, שנכנסת בשדה של אחרים, רש"י.</w:t>
      </w:r>
    </w:p>
  </w:footnote>
  <w:footnote w:id="2186">
    <w:p w14:paraId="3BE376E9" w14:textId="77777777" w:rsidR="0013116F" w:rsidRPr="00845316" w:rsidRDefault="0013116F" w:rsidP="004B607F">
      <w:pPr>
        <w:pStyle w:val="a9"/>
        <w:spacing w:after="60"/>
        <w:rPr>
          <w:rFonts w:asciiTheme="minorBidi" w:hAnsiTheme="minorBidi"/>
        </w:rPr>
      </w:pPr>
      <w:r w:rsidRPr="00845316">
        <w:rPr>
          <w:rStyle w:val="ab"/>
          <w:rFonts w:asciiTheme="minorBidi" w:hAnsiTheme="minorBidi"/>
        </w:rPr>
        <w:footnoteRef/>
      </w:r>
      <w:r w:rsidRPr="00845316">
        <w:rPr>
          <w:rFonts w:asciiTheme="minorBidi" w:hAnsiTheme="minorBidi"/>
          <w:rtl/>
        </w:rPr>
        <w:t xml:space="preserve"> דאכתי לא חזינן דעיילו בהמותיו בשדות אחרות, רש"י.</w:t>
      </w:r>
    </w:p>
  </w:footnote>
  <w:footnote w:id="2187">
    <w:p w14:paraId="2055A256" w14:textId="77777777" w:rsidR="0013116F" w:rsidRPr="00845316" w:rsidRDefault="0013116F" w:rsidP="004B607F">
      <w:pPr>
        <w:pStyle w:val="a9"/>
        <w:spacing w:after="60"/>
        <w:rPr>
          <w:rFonts w:asciiTheme="minorBidi" w:hAnsiTheme="minorBidi"/>
        </w:rPr>
      </w:pPr>
      <w:r w:rsidRPr="00845316">
        <w:rPr>
          <w:rStyle w:val="ab"/>
          <w:rFonts w:asciiTheme="minorBidi" w:hAnsiTheme="minorBidi"/>
        </w:rPr>
        <w:footnoteRef/>
      </w:r>
      <w:r w:rsidRPr="00845316">
        <w:rPr>
          <w:rFonts w:asciiTheme="minorBidi" w:hAnsiTheme="minorBidi"/>
          <w:rtl/>
        </w:rPr>
        <w:t xml:space="preserve"> בב"מ (ה:) אוקימנא להא דאמר רב יהודה סתם רועה פסול ברועה בהמות דידיה אבל ברועה בהמות דעלמא סתמיה כשר דאי לא תימא הכי אנן חיותא לרעיא היכי מסרינן והכתיב </w:t>
      </w:r>
      <w:r w:rsidRPr="00845316">
        <w:rPr>
          <w:rFonts w:asciiTheme="minorBidi" w:hAnsiTheme="minorBidi"/>
          <w:sz w:val="16"/>
          <w:szCs w:val="16"/>
          <w:rtl/>
        </w:rPr>
        <w:t>(ויקרא יט יד)</w:t>
      </w:r>
      <w:r w:rsidRPr="00845316">
        <w:rPr>
          <w:rFonts w:asciiTheme="minorBidi" w:hAnsiTheme="minorBidi"/>
          <w:rtl/>
        </w:rPr>
        <w:t xml:space="preserve"> ולפני עור לא תתן מכשול אלא חזקה אין אדם חוטא ולא לו, ב"י.</w:t>
      </w:r>
    </w:p>
  </w:footnote>
  <w:footnote w:id="2188">
    <w:p w14:paraId="104180FB" w14:textId="77777777" w:rsidR="0013116F" w:rsidRPr="00845316" w:rsidRDefault="0013116F" w:rsidP="004B607F">
      <w:pPr>
        <w:pStyle w:val="a9"/>
        <w:spacing w:after="60"/>
        <w:rPr>
          <w:rFonts w:asciiTheme="minorBidi" w:hAnsiTheme="minorBidi"/>
        </w:rPr>
      </w:pPr>
      <w:r w:rsidRPr="00845316">
        <w:rPr>
          <w:rStyle w:val="ab"/>
          <w:rFonts w:asciiTheme="minorBidi" w:hAnsiTheme="minorBidi"/>
        </w:rPr>
        <w:footnoteRef/>
      </w:r>
      <w:r w:rsidRPr="00845316">
        <w:rPr>
          <w:rFonts w:asciiTheme="minorBidi" w:hAnsiTheme="minorBidi"/>
          <w:rtl/>
        </w:rPr>
        <w:t xml:space="preserve"> עד דשמעינן ביה דשקיל יתירתא, רש"י.</w:t>
      </w:r>
    </w:p>
  </w:footnote>
  <w:footnote w:id="2189">
    <w:p w14:paraId="3BFDD874" w14:textId="77777777" w:rsidR="0013116F" w:rsidRPr="00845316" w:rsidRDefault="0013116F" w:rsidP="004B607F">
      <w:pPr>
        <w:pStyle w:val="a9"/>
        <w:spacing w:after="60"/>
        <w:rPr>
          <w:rFonts w:asciiTheme="minorBidi" w:hAnsiTheme="minorBidi"/>
          <w:rtl/>
        </w:rPr>
      </w:pPr>
      <w:r w:rsidRPr="00845316">
        <w:rPr>
          <w:rStyle w:val="ab"/>
          <w:rFonts w:asciiTheme="minorBidi" w:hAnsiTheme="minorBidi"/>
        </w:rPr>
        <w:footnoteRef/>
      </w:r>
      <w:r w:rsidRPr="00845316">
        <w:rPr>
          <w:rFonts w:asciiTheme="minorBidi" w:hAnsiTheme="minorBidi"/>
          <w:rtl/>
        </w:rPr>
        <w:t xml:space="preserve"> וגזילה זו אינה אלא מדרבנן מפני דרכי שלום, כמ"ש הטו"ה לקמן </w:t>
      </w:r>
      <w:r w:rsidRPr="00845316">
        <w:rPr>
          <w:rFonts w:asciiTheme="minorBidi" w:hAnsiTheme="minorBidi"/>
          <w:sz w:val="16"/>
          <w:szCs w:val="16"/>
          <w:rtl/>
        </w:rPr>
        <w:t>(סי' ער סע' א)</w:t>
      </w:r>
      <w:r w:rsidRPr="00845316">
        <w:rPr>
          <w:rFonts w:asciiTheme="minorBidi" w:hAnsiTheme="minorBidi"/>
          <w:rtl/>
        </w:rPr>
        <w:t xml:space="preserve">. ודוקא מציאה קאמר, דאין דעת אחרת מקנה להן וכמ"ש שם בהג"ה. והרמב"ם והמחבר השמיטו זה, וסמכו אמה שכתבו בהלכות גזילה ומציאה </w:t>
      </w:r>
      <w:r w:rsidRPr="00845316">
        <w:rPr>
          <w:rFonts w:asciiTheme="minorBidi" w:hAnsiTheme="minorBidi"/>
          <w:sz w:val="16"/>
          <w:szCs w:val="16"/>
          <w:rtl/>
        </w:rPr>
        <w:t>(פי"ז מגזילה הי"ב ומחבר שם)</w:t>
      </w:r>
      <w:r w:rsidRPr="00845316">
        <w:rPr>
          <w:rFonts w:asciiTheme="minorBidi" w:hAnsiTheme="minorBidi"/>
          <w:rtl/>
        </w:rPr>
        <w:t xml:space="preserve">. וגם י"ל שסמכו אמש"כ אחר זה </w:t>
      </w:r>
      <w:r w:rsidRPr="00845316">
        <w:rPr>
          <w:rFonts w:asciiTheme="minorBidi" w:hAnsiTheme="minorBidi"/>
          <w:sz w:val="16"/>
          <w:szCs w:val="16"/>
          <w:rtl/>
        </w:rPr>
        <w:t xml:space="preserve">(סע' טז) </w:t>
      </w:r>
      <w:r w:rsidRPr="00845316">
        <w:rPr>
          <w:rFonts w:asciiTheme="minorBidi" w:hAnsiTheme="minorBidi"/>
          <w:rtl/>
        </w:rPr>
        <w:t>פסול דמפריחי יונים להביא להן יונים אחרים, דג"כ אין בו אלא גזל דדרכי שלום, סמ"ע (סקל"א).</w:t>
      </w:r>
    </w:p>
  </w:footnote>
  <w:footnote w:id="2190">
    <w:p w14:paraId="1465A79F" w14:textId="77777777" w:rsidR="0013116F" w:rsidRPr="00845316" w:rsidRDefault="0013116F" w:rsidP="004B607F">
      <w:pPr>
        <w:pStyle w:val="a9"/>
        <w:spacing w:after="60"/>
        <w:rPr>
          <w:rFonts w:asciiTheme="minorBidi" w:hAnsiTheme="minorBidi"/>
        </w:rPr>
      </w:pPr>
      <w:r w:rsidRPr="00845316">
        <w:rPr>
          <w:rStyle w:val="ab"/>
          <w:rFonts w:asciiTheme="minorBidi" w:hAnsiTheme="minorBidi"/>
        </w:rPr>
        <w:footnoteRef/>
      </w:r>
      <w:r w:rsidRPr="00845316">
        <w:rPr>
          <w:rFonts w:asciiTheme="minorBidi" w:hAnsiTheme="minorBidi"/>
          <w:rtl/>
        </w:rPr>
        <w:t xml:space="preserve"> פירוש, וכל הנותנים דמים אינם עוברים אלאו דלא תחמוד, כי לא תחמוד בלא דמי משמע, וכן האמת (תוס' </w:t>
      </w:r>
      <w:r w:rsidRPr="00845316">
        <w:rPr>
          <w:rFonts w:asciiTheme="minorBidi" w:hAnsiTheme="minorBidi"/>
          <w:sz w:val="16"/>
          <w:szCs w:val="16"/>
          <w:rtl/>
        </w:rPr>
        <w:t>סנהדרין כה: ד"ה מעיקרא</w:t>
      </w:r>
      <w:r w:rsidRPr="00845316">
        <w:rPr>
          <w:rFonts w:asciiTheme="minorBidi" w:hAnsiTheme="minorBidi"/>
          <w:rtl/>
        </w:rPr>
        <w:t>) ואינם גוזלים בכח, אלא משתדלים מהבעלים עד דיהבי להו בלא דמים, סמ"ע (סקל"ב). (ועי' בפת"ש סקכ"ג שמשיג)</w:t>
      </w:r>
    </w:p>
  </w:footnote>
  <w:footnote w:id="2191">
    <w:p w14:paraId="1ADC2B32" w14:textId="77777777" w:rsidR="0013116F" w:rsidRPr="00845316" w:rsidRDefault="0013116F" w:rsidP="004B607F">
      <w:pPr>
        <w:pStyle w:val="a9"/>
        <w:spacing w:after="60"/>
        <w:rPr>
          <w:rFonts w:asciiTheme="minorBidi" w:hAnsiTheme="minorBidi"/>
        </w:rPr>
      </w:pPr>
      <w:r w:rsidRPr="00845316">
        <w:rPr>
          <w:rStyle w:val="ab"/>
          <w:rFonts w:asciiTheme="minorBidi" w:hAnsiTheme="minorBidi"/>
        </w:rPr>
        <w:footnoteRef/>
      </w:r>
      <w:r w:rsidRPr="00845316">
        <w:rPr>
          <w:rFonts w:asciiTheme="minorBidi" w:hAnsiTheme="minorBidi"/>
          <w:rtl/>
        </w:rPr>
        <w:t xml:space="preserve"> לקמן (ריש סי' תט) כ' הטו"ה חילוק במגדלי בהמה בבית, דבבהמה דקה אסור מפני שדרכה לקפוץ ולצאת מהבית אל השדות ואינו יכול לשומרה, משא"כ בהמה גסה. וקמ"ל הכא דכשרועין הבהמה בשדות, אין חילוק בין בהמה גסה לדקה. והא דלא כתבו הטור והמחבר דמגדל בהמה דקה אפילו בביתו הוא פסול, משום דפסול זה אינו אלא להמגדל בארץ ישראל או בבבל שהיה לרוב ישראלים שדות, משא"כ בזמנינו (וכמש"כ הטור בסי' תט) והוי כדבר שאינו נוהג. וכ"כ ב"י (מחודש י"ז), סמ"ע (סקל"ג).</w:t>
      </w:r>
    </w:p>
  </w:footnote>
  <w:footnote w:id="2192">
    <w:p w14:paraId="0B71EBFE" w14:textId="77777777" w:rsidR="0013116F" w:rsidRPr="00845316" w:rsidRDefault="0013116F" w:rsidP="004B607F">
      <w:pPr>
        <w:pStyle w:val="a9"/>
        <w:spacing w:after="60"/>
        <w:rPr>
          <w:rFonts w:asciiTheme="minorBidi" w:hAnsiTheme="minorBidi"/>
          <w:rtl/>
        </w:rPr>
      </w:pPr>
      <w:r w:rsidRPr="00845316">
        <w:rPr>
          <w:rStyle w:val="ab"/>
          <w:rFonts w:asciiTheme="minorBidi" w:hAnsiTheme="minorBidi"/>
        </w:rPr>
        <w:footnoteRef/>
      </w:r>
      <w:r w:rsidRPr="00845316">
        <w:rPr>
          <w:rFonts w:asciiTheme="minorBidi" w:hAnsiTheme="minorBidi"/>
          <w:rtl/>
        </w:rPr>
        <w:t xml:space="preserve"> יותר מן הקצבה, רש"י.</w:t>
      </w:r>
    </w:p>
  </w:footnote>
  <w:footnote w:id="2193">
    <w:p w14:paraId="2C77260C" w14:textId="77777777" w:rsidR="0013116F" w:rsidRPr="00845316" w:rsidRDefault="0013116F" w:rsidP="004B607F">
      <w:pPr>
        <w:pStyle w:val="a9"/>
        <w:spacing w:after="60"/>
        <w:rPr>
          <w:rFonts w:asciiTheme="minorBidi" w:hAnsiTheme="minorBidi"/>
        </w:rPr>
      </w:pPr>
      <w:r w:rsidRPr="00845316">
        <w:rPr>
          <w:rStyle w:val="ab"/>
          <w:rFonts w:asciiTheme="minorBidi" w:hAnsiTheme="minorBidi"/>
        </w:rPr>
        <w:footnoteRef/>
      </w:r>
      <w:r w:rsidRPr="00845316">
        <w:rPr>
          <w:rFonts w:asciiTheme="minorBidi" w:hAnsiTheme="minorBidi"/>
          <w:rtl/>
        </w:rPr>
        <w:t xml:space="preserve"> הרי"ף והרא"ש גורסים אחרת, ובגירסתם נאמר טעם זה</w:t>
      </w:r>
      <w:r w:rsidRPr="00845316">
        <w:rPr>
          <w:rFonts w:asciiTheme="minorBidi" w:hAnsiTheme="minorBidi"/>
          <w:sz w:val="16"/>
          <w:szCs w:val="16"/>
          <w:rtl/>
        </w:rPr>
        <w:t xml:space="preserve"> ("מעיקרא סבור...")</w:t>
      </w:r>
      <w:r w:rsidRPr="00845316">
        <w:rPr>
          <w:rFonts w:asciiTheme="minorBidi" w:hAnsiTheme="minorBidi"/>
          <w:rtl/>
        </w:rPr>
        <w:t xml:space="preserve"> רק לגבי גבאים, ולגבי המוכסין כ'- "מעיקרא סבור הא דינא דמלכותא דינא כיון דחזו דחטיפי ושקלי גזרו בהו רבנן". ומהרש"ק (הובא בט"ז) כ' על גיר' זו דמבואר דמוכסנים גם מעיקרא מסתמא שקלי טפי, אלא דהכשירום מטעם דדינא דמלכותא דינא, עד שהתברר להם שהם לוקחים בידם יותר ואז פסלו אותם אפילו בסתמא. וא"כ רב יהודה שאמר סתם גבאי כשר, דוקא בגבאי, כיון דמעיקרא סברי מאי דקיץ שקלי, אבל במוכסים אפילו בסתם פסול כדמעיקרא דהני מסתמא שקלי יותר. וזהו טעמם של הרמב"ם (פ"י ה"ד) והטור.</w:t>
      </w:r>
    </w:p>
  </w:footnote>
  <w:footnote w:id="2194">
    <w:p w14:paraId="71FB6BBB" w14:textId="77777777" w:rsidR="0013116F" w:rsidRPr="00845316" w:rsidRDefault="0013116F" w:rsidP="004B607F">
      <w:pPr>
        <w:pStyle w:val="a9"/>
        <w:spacing w:after="60"/>
        <w:rPr>
          <w:rFonts w:asciiTheme="minorBidi" w:hAnsiTheme="minorBidi"/>
        </w:rPr>
      </w:pPr>
      <w:r w:rsidRPr="00845316">
        <w:rPr>
          <w:rStyle w:val="ab"/>
          <w:rFonts w:asciiTheme="minorBidi" w:hAnsiTheme="minorBidi"/>
        </w:rPr>
        <w:footnoteRef/>
      </w:r>
      <w:r w:rsidRPr="00845316">
        <w:rPr>
          <w:rFonts w:asciiTheme="minorBidi" w:hAnsiTheme="minorBidi"/>
          <w:rtl/>
        </w:rPr>
        <w:t xml:space="preserve"> עד דשמעינן ביה דשקיל יתירתא, רש"י.</w:t>
      </w:r>
    </w:p>
  </w:footnote>
  <w:footnote w:id="2195">
    <w:p w14:paraId="5560C8D0" w14:textId="77777777" w:rsidR="0013116F" w:rsidRPr="00845316" w:rsidRDefault="0013116F" w:rsidP="004B607F">
      <w:pPr>
        <w:pStyle w:val="a9"/>
        <w:spacing w:after="60"/>
        <w:rPr>
          <w:rFonts w:asciiTheme="minorBidi" w:hAnsiTheme="minorBidi"/>
          <w:color w:val="FF0000"/>
        </w:rPr>
      </w:pPr>
      <w:r w:rsidRPr="00845316">
        <w:rPr>
          <w:rStyle w:val="ab"/>
          <w:rFonts w:asciiTheme="minorBidi" w:hAnsiTheme="minorBidi"/>
          <w:color w:val="FF0000"/>
        </w:rPr>
        <w:footnoteRef/>
      </w:r>
      <w:r w:rsidRPr="00845316">
        <w:rPr>
          <w:rFonts w:asciiTheme="minorBidi" w:hAnsiTheme="minorBidi"/>
          <w:color w:val="FF0000"/>
          <w:rtl/>
        </w:rPr>
        <w:t xml:space="preserve"> הב"י הבין כן גם בדעת רי"ו. צל"ע איך הבין הב"י כך בדעת רי"ו, שהרי כ' שם בפירוש כדברי ר"ח, וז"ל- "והמוכסין שלוקחין מאלו ולא מאלו". (ואולי כ' הב"י כך רק לגבי זה שסתם מוכס פסול, שאת זה כ' רי"ו בפירוש)</w:t>
      </w:r>
    </w:p>
  </w:footnote>
  <w:footnote w:id="2196">
    <w:p w14:paraId="7D04B258" w14:textId="77777777" w:rsidR="0013116F" w:rsidRPr="00845316" w:rsidRDefault="0013116F" w:rsidP="004B607F">
      <w:pPr>
        <w:pStyle w:val="a9"/>
        <w:spacing w:after="60"/>
        <w:rPr>
          <w:rFonts w:asciiTheme="minorBidi" w:hAnsiTheme="minorBidi"/>
          <w:rtl/>
        </w:rPr>
      </w:pPr>
      <w:r w:rsidRPr="00845316">
        <w:rPr>
          <w:rStyle w:val="ab"/>
          <w:rFonts w:asciiTheme="minorBidi" w:hAnsiTheme="minorBidi"/>
        </w:rPr>
        <w:footnoteRef/>
      </w:r>
      <w:r w:rsidRPr="00845316">
        <w:rPr>
          <w:rFonts w:asciiTheme="minorBidi" w:hAnsiTheme="minorBidi"/>
          <w:rtl/>
        </w:rPr>
        <w:t xml:space="preserve"> הילכך יש עליו מורא מלכות אם יטול יותר מקצבתו ויחזיק לעצמו, כי יהיה גונב כיס המלך, שהמלך מאמינו להביא לו מה שנוטל, והא ודאי לא חיישינן שיתן גם המותר למלך, דאין אדם חוטא ולא לו, ט"ז.</w:t>
      </w:r>
    </w:p>
  </w:footnote>
  <w:footnote w:id="2197">
    <w:p w14:paraId="383AD18E" w14:textId="77777777" w:rsidR="0013116F" w:rsidRPr="00845316" w:rsidRDefault="0013116F" w:rsidP="004B607F">
      <w:pPr>
        <w:pStyle w:val="a9"/>
        <w:spacing w:after="60"/>
        <w:rPr>
          <w:rFonts w:asciiTheme="minorBidi" w:hAnsiTheme="minorBidi"/>
        </w:rPr>
      </w:pPr>
      <w:r w:rsidRPr="00845316">
        <w:rPr>
          <w:rStyle w:val="ab"/>
          <w:rFonts w:asciiTheme="minorBidi" w:hAnsiTheme="minorBidi"/>
        </w:rPr>
        <w:footnoteRef/>
      </w:r>
      <w:r w:rsidRPr="00845316">
        <w:rPr>
          <w:rFonts w:asciiTheme="minorBidi" w:hAnsiTheme="minorBidi"/>
          <w:rtl/>
        </w:rPr>
        <w:t xml:space="preserve"> הילכך אין עליו כ"כ מורא מלכות אם לוקח יותר מקצבתו, ט"ז.</w:t>
      </w:r>
    </w:p>
  </w:footnote>
  <w:footnote w:id="2198">
    <w:p w14:paraId="43860A87" w14:textId="77777777" w:rsidR="0013116F" w:rsidRPr="00845316" w:rsidRDefault="0013116F" w:rsidP="004B607F">
      <w:pPr>
        <w:pStyle w:val="a9"/>
        <w:spacing w:after="60"/>
        <w:rPr>
          <w:rFonts w:asciiTheme="minorBidi" w:hAnsiTheme="minorBidi"/>
          <w:rtl/>
        </w:rPr>
      </w:pPr>
      <w:r w:rsidRPr="00845316">
        <w:rPr>
          <w:rStyle w:val="ab"/>
          <w:rFonts w:asciiTheme="minorBidi" w:hAnsiTheme="minorBidi"/>
        </w:rPr>
        <w:footnoteRef/>
      </w:r>
      <w:r w:rsidRPr="00845316">
        <w:rPr>
          <w:rFonts w:asciiTheme="minorBidi" w:hAnsiTheme="minorBidi"/>
          <w:rtl/>
        </w:rPr>
        <w:t xml:space="preserve"> וכ' הב"י דהכי נמי אמרינן בשבועות (לט.) אין לך משפחה שיש בה מוכס שאין כולם מוכסים </w:t>
      </w:r>
      <w:r w:rsidRPr="00845316">
        <w:rPr>
          <w:rFonts w:asciiTheme="minorBidi" w:hAnsiTheme="minorBidi"/>
          <w:sz w:val="16"/>
          <w:szCs w:val="16"/>
          <w:rtl/>
        </w:rPr>
        <w:t>(היינו דכל משפחתו נהנת מהממון העודף שלוקח לעצמו)</w:t>
      </w:r>
      <w:r w:rsidRPr="00845316">
        <w:rPr>
          <w:rFonts w:asciiTheme="minorBidi" w:hAnsiTheme="minorBidi"/>
          <w:rtl/>
        </w:rPr>
        <w:t>, ואילו משפחה שיש בה גבאי לא קתני.</w:t>
      </w:r>
    </w:p>
  </w:footnote>
  <w:footnote w:id="2199">
    <w:p w14:paraId="084EC400" w14:textId="77777777" w:rsidR="0013116F" w:rsidRPr="00845316" w:rsidRDefault="0013116F" w:rsidP="004B607F">
      <w:pPr>
        <w:pStyle w:val="a9"/>
        <w:spacing w:after="60"/>
        <w:rPr>
          <w:rFonts w:asciiTheme="minorBidi" w:hAnsiTheme="minorBidi"/>
          <w:rtl/>
        </w:rPr>
      </w:pPr>
      <w:r w:rsidRPr="00845316">
        <w:rPr>
          <w:rStyle w:val="ab"/>
          <w:rFonts w:asciiTheme="minorBidi" w:hAnsiTheme="minorBidi"/>
        </w:rPr>
        <w:footnoteRef/>
      </w:r>
      <w:r w:rsidRPr="00845316">
        <w:rPr>
          <w:rFonts w:asciiTheme="minorBidi" w:hAnsiTheme="minorBidi"/>
          <w:rtl/>
        </w:rPr>
        <w:t xml:space="preserve"> והא דפסולים רק מדרבנן הוא משום שהם רק חשודים ליקח לעצמם, אבל אם ידוע שלקחו לעצמם הרי הם פסולים מדאו'.</w:t>
      </w:r>
    </w:p>
  </w:footnote>
  <w:footnote w:id="2200">
    <w:p w14:paraId="50C1D724" w14:textId="77777777" w:rsidR="0013116F" w:rsidRPr="00845316" w:rsidRDefault="0013116F" w:rsidP="004B607F">
      <w:pPr>
        <w:pStyle w:val="a9"/>
        <w:spacing w:after="60"/>
        <w:rPr>
          <w:rFonts w:asciiTheme="minorBidi" w:hAnsiTheme="minorBidi"/>
          <w:rtl/>
        </w:rPr>
      </w:pPr>
      <w:r w:rsidRPr="00845316">
        <w:rPr>
          <w:rStyle w:val="ab"/>
          <w:rFonts w:asciiTheme="minorBidi" w:hAnsiTheme="minorBidi"/>
        </w:rPr>
        <w:footnoteRef/>
      </w:r>
      <w:r w:rsidRPr="00845316">
        <w:rPr>
          <w:rFonts w:asciiTheme="minorBidi" w:hAnsiTheme="minorBidi"/>
          <w:rtl/>
        </w:rPr>
        <w:t xml:space="preserve"> ר"ח </w:t>
      </w:r>
      <w:r w:rsidRPr="00845316">
        <w:rPr>
          <w:rFonts w:asciiTheme="minorBidi" w:hAnsiTheme="minorBidi"/>
          <w:sz w:val="16"/>
          <w:szCs w:val="16"/>
          <w:rtl/>
        </w:rPr>
        <w:t xml:space="preserve">(גליון כה:) </w:t>
      </w:r>
      <w:r w:rsidRPr="00845316">
        <w:rPr>
          <w:rFonts w:asciiTheme="minorBidi" w:hAnsiTheme="minorBidi"/>
          <w:rtl/>
        </w:rPr>
        <w:t xml:space="preserve">או"ז </w:t>
      </w:r>
      <w:r w:rsidRPr="00845316">
        <w:rPr>
          <w:rFonts w:asciiTheme="minorBidi" w:hAnsiTheme="minorBidi"/>
          <w:sz w:val="16"/>
          <w:szCs w:val="16"/>
          <w:rtl/>
        </w:rPr>
        <w:t>(סי' כו) (הביאם ה</w:t>
      </w:r>
      <w:r>
        <w:rPr>
          <w:rFonts w:asciiTheme="minorBidi" w:hAnsiTheme="minorBidi"/>
          <w:sz w:val="16"/>
          <w:szCs w:val="16"/>
          <w:rtl/>
        </w:rPr>
        <w:t>הג"א</w:t>
      </w:r>
      <w:r w:rsidRPr="00845316">
        <w:rPr>
          <w:rFonts w:asciiTheme="minorBidi" w:hAnsiTheme="minorBidi"/>
          <w:sz w:val="16"/>
          <w:szCs w:val="16"/>
          <w:rtl/>
        </w:rPr>
        <w:t xml:space="preserve"> [סי' יא])</w:t>
      </w:r>
      <w:r w:rsidRPr="00845316">
        <w:rPr>
          <w:rFonts w:asciiTheme="minorBidi" w:hAnsiTheme="minorBidi"/>
          <w:rtl/>
        </w:rPr>
        <w:t xml:space="preserve"> ודרכ"מ</w:t>
      </w:r>
      <w:r w:rsidRPr="00845316">
        <w:rPr>
          <w:rFonts w:asciiTheme="minorBidi" w:hAnsiTheme="minorBidi"/>
          <w:sz w:val="16"/>
          <w:szCs w:val="16"/>
          <w:rtl/>
        </w:rPr>
        <w:t xml:space="preserve"> (אות ח*)</w:t>
      </w:r>
      <w:r w:rsidRPr="00845316">
        <w:rPr>
          <w:rFonts w:asciiTheme="minorBidi" w:hAnsiTheme="minorBidi"/>
          <w:rtl/>
        </w:rPr>
        <w:t>. וכ' הדרכ"מ שם שכן היא דעת הב"י. וצל"ע שהרי מדברי הב"י כאן נראה היפך דבריו, וכבר העיר על הדרכ"מ הגהות פרישה ודרישה (אות ז) דלא מצא כן בשום מקום.</w:t>
      </w:r>
    </w:p>
  </w:footnote>
  <w:footnote w:id="2201">
    <w:p w14:paraId="37676130" w14:textId="77777777" w:rsidR="0013116F" w:rsidRPr="00845316" w:rsidRDefault="0013116F" w:rsidP="004B607F">
      <w:pPr>
        <w:pStyle w:val="a9"/>
        <w:spacing w:after="60"/>
        <w:rPr>
          <w:rFonts w:asciiTheme="minorBidi" w:hAnsiTheme="minorBidi"/>
          <w:rtl/>
        </w:rPr>
      </w:pPr>
      <w:r w:rsidRPr="00845316">
        <w:rPr>
          <w:rStyle w:val="ab"/>
          <w:rFonts w:asciiTheme="minorBidi" w:hAnsiTheme="minorBidi"/>
        </w:rPr>
        <w:footnoteRef/>
      </w:r>
      <w:r w:rsidRPr="00845316">
        <w:rPr>
          <w:rFonts w:asciiTheme="minorBidi" w:hAnsiTheme="minorBidi"/>
          <w:rtl/>
        </w:rPr>
        <w:t xml:space="preserve"> וסיים שם האו"ז- הילכך צריכין ליזהר ראשי הקהל כשמשימים מס מאומד הדעת על כל אחד ואחד לפי ממונו שלא יחניפו לאוהב ולא יכבידו לשונא כדי שלא יפסלו לעדות ולשבועה.</w:t>
      </w:r>
    </w:p>
  </w:footnote>
  <w:footnote w:id="2202">
    <w:p w14:paraId="14083180" w14:textId="77777777" w:rsidR="0013116F" w:rsidRPr="00845316" w:rsidRDefault="0013116F" w:rsidP="004B607F">
      <w:pPr>
        <w:pStyle w:val="a9"/>
        <w:spacing w:after="60"/>
        <w:rPr>
          <w:rFonts w:asciiTheme="minorBidi" w:hAnsiTheme="minorBidi"/>
          <w:rtl/>
        </w:rPr>
      </w:pPr>
      <w:r w:rsidRPr="00845316">
        <w:rPr>
          <w:rStyle w:val="ab"/>
          <w:rFonts w:asciiTheme="minorBidi" w:hAnsiTheme="minorBidi"/>
        </w:rPr>
        <w:footnoteRef/>
      </w:r>
      <w:r w:rsidRPr="00845316">
        <w:rPr>
          <w:rFonts w:asciiTheme="minorBidi" w:hAnsiTheme="minorBidi"/>
          <w:rtl/>
        </w:rPr>
        <w:t xml:space="preserve"> ומסיים שם- "דאי שקלי יתירא לעצמן גזלנין מדאורייתא הוו". </w:t>
      </w:r>
    </w:p>
  </w:footnote>
  <w:footnote w:id="2203">
    <w:p w14:paraId="195FC4C8" w14:textId="77777777" w:rsidR="0013116F" w:rsidRPr="00845316" w:rsidRDefault="0013116F" w:rsidP="004B607F">
      <w:pPr>
        <w:pStyle w:val="a9"/>
        <w:spacing w:after="60"/>
        <w:rPr>
          <w:rFonts w:asciiTheme="minorBidi" w:hAnsiTheme="minorBidi"/>
        </w:rPr>
      </w:pPr>
      <w:r w:rsidRPr="00845316">
        <w:rPr>
          <w:rStyle w:val="ab"/>
          <w:rFonts w:asciiTheme="minorBidi" w:hAnsiTheme="minorBidi"/>
        </w:rPr>
        <w:footnoteRef/>
      </w:r>
      <w:r w:rsidRPr="00845316">
        <w:rPr>
          <w:rFonts w:asciiTheme="minorBidi" w:hAnsiTheme="minorBidi"/>
          <w:rtl/>
        </w:rPr>
        <w:t xml:space="preserve"> </w:t>
      </w:r>
      <w:r w:rsidRPr="00845316">
        <w:rPr>
          <w:rFonts w:asciiTheme="minorBidi" w:hAnsiTheme="minorBidi"/>
          <w:sz w:val="16"/>
          <w:szCs w:val="16"/>
          <w:rtl/>
        </w:rPr>
        <w:t xml:space="preserve"> </w:t>
      </w:r>
      <w:r w:rsidRPr="00845316">
        <w:rPr>
          <w:rFonts w:asciiTheme="minorBidi" w:hAnsiTheme="minorBidi"/>
          <w:rtl/>
        </w:rPr>
        <w:t>וז"ל- "והמוכסין שלוקחין מאלו ולא מאלו והרועה בהמה שלו אחד בהמ' דקה וא' בהמה גסה מסתמא פסולין"</w:t>
      </w:r>
      <w:r w:rsidRPr="00845316">
        <w:rPr>
          <w:rFonts w:asciiTheme="minorBidi" w:hAnsiTheme="minorBidi"/>
          <w:sz w:val="16"/>
          <w:szCs w:val="16"/>
          <w:rtl/>
        </w:rPr>
        <w:t xml:space="preserve"> (נ"ב ח"ד דף יב ע"ד)</w:t>
      </w:r>
      <w:r w:rsidRPr="00845316">
        <w:rPr>
          <w:rFonts w:asciiTheme="minorBidi" w:hAnsiTheme="minorBidi"/>
          <w:rtl/>
        </w:rPr>
        <w:t>.</w:t>
      </w:r>
    </w:p>
  </w:footnote>
  <w:footnote w:id="2204">
    <w:p w14:paraId="0A0CF8DD" w14:textId="77777777" w:rsidR="0013116F" w:rsidRPr="00845316" w:rsidRDefault="0013116F" w:rsidP="004B607F">
      <w:pPr>
        <w:pStyle w:val="a9"/>
        <w:spacing w:after="60"/>
        <w:rPr>
          <w:rFonts w:asciiTheme="minorBidi" w:hAnsiTheme="minorBidi"/>
        </w:rPr>
      </w:pPr>
      <w:r w:rsidRPr="00845316">
        <w:rPr>
          <w:rStyle w:val="ab"/>
          <w:rFonts w:asciiTheme="minorBidi" w:hAnsiTheme="minorBidi"/>
        </w:rPr>
        <w:footnoteRef/>
      </w:r>
      <w:r w:rsidRPr="00845316">
        <w:rPr>
          <w:rFonts w:asciiTheme="minorBidi" w:hAnsiTheme="minorBidi"/>
          <w:rtl/>
        </w:rPr>
        <w:t xml:space="preserve"> כך משמע מלשון התוס' וז"ל- סתם גבאי כשר, פירש הקונטרס, והא דהוסיפו הגבאין והמוכסין בדחזו דשקלי יתירתא, וקא אתי לאשמועינן דאע"ג שהחזיר הגבאי והמוכס פסול דלא דמי לשאר גזלנים שהחזירו דכשרים דהאי לא ידע למאן נהדר, ועוד כיון דעדיין הם עוסקין בגבאות ובמכס חשודים לחזור לקלקולם.</w:t>
      </w:r>
    </w:p>
  </w:footnote>
  <w:footnote w:id="2205">
    <w:p w14:paraId="2EB3DF59" w14:textId="77777777" w:rsidR="0013116F" w:rsidRPr="00845316" w:rsidRDefault="0013116F" w:rsidP="004B607F">
      <w:pPr>
        <w:pStyle w:val="a9"/>
        <w:spacing w:after="60"/>
        <w:rPr>
          <w:rFonts w:asciiTheme="minorBidi" w:hAnsiTheme="minorBidi"/>
        </w:rPr>
      </w:pPr>
      <w:r w:rsidRPr="00845316">
        <w:rPr>
          <w:rStyle w:val="ab"/>
          <w:rFonts w:asciiTheme="minorBidi" w:hAnsiTheme="minorBidi"/>
        </w:rPr>
        <w:footnoteRef/>
      </w:r>
      <w:r w:rsidRPr="00845316">
        <w:rPr>
          <w:rFonts w:asciiTheme="minorBidi" w:hAnsiTheme="minorBidi"/>
          <w:rtl/>
        </w:rPr>
        <w:t xml:space="preserve"> ואפילו החזירו מה שלקחו יותר כ' התוס' </w:t>
      </w:r>
      <w:r w:rsidRPr="00845316">
        <w:rPr>
          <w:rFonts w:asciiTheme="minorBidi" w:hAnsiTheme="minorBidi"/>
          <w:sz w:val="16"/>
          <w:szCs w:val="16"/>
          <w:rtl/>
        </w:rPr>
        <w:t>(סנהדרין כה: ד"ה סתם)</w:t>
      </w:r>
      <w:r w:rsidRPr="00845316">
        <w:rPr>
          <w:rFonts w:asciiTheme="minorBidi" w:hAnsiTheme="minorBidi"/>
          <w:rtl/>
        </w:rPr>
        <w:t xml:space="preserve"> דפסולים כל זמן שעסוקין באותו ענין, שיש לחוש שיחזרו לסורן, ועוד שמסתמא אינן יודעין ממי לקחו שיחזירו לו, סמ"ע (סקל"ו).</w:t>
      </w:r>
    </w:p>
  </w:footnote>
  <w:footnote w:id="2206">
    <w:p w14:paraId="458C217D" w14:textId="77777777" w:rsidR="0013116F" w:rsidRPr="00845316" w:rsidRDefault="0013116F" w:rsidP="004B607F">
      <w:pPr>
        <w:pStyle w:val="a9"/>
        <w:spacing w:after="60"/>
        <w:rPr>
          <w:rFonts w:asciiTheme="minorBidi" w:hAnsiTheme="minorBidi"/>
          <w:rtl/>
        </w:rPr>
      </w:pPr>
      <w:r w:rsidRPr="00845316">
        <w:rPr>
          <w:rStyle w:val="ab"/>
          <w:rFonts w:asciiTheme="minorBidi" w:hAnsiTheme="minorBidi"/>
        </w:rPr>
        <w:footnoteRef/>
      </w:r>
      <w:r w:rsidRPr="00845316">
        <w:rPr>
          <w:rFonts w:asciiTheme="minorBidi" w:hAnsiTheme="minorBidi"/>
          <w:rtl/>
        </w:rPr>
        <w:t xml:space="preserve"> לשון זה תמוה לי דלמ"ל האי טעמא שיחשוש שיפסל לעדות, הא מצד עצמותו צריך ליזהר מצד העבירה, וצע"ג, רעק"א.</w:t>
      </w:r>
    </w:p>
  </w:footnote>
  <w:footnote w:id="2207">
    <w:p w14:paraId="2BED8F2E" w14:textId="77777777" w:rsidR="0013116F" w:rsidRDefault="0013116F" w:rsidP="004B607F">
      <w:pPr>
        <w:pStyle w:val="a9"/>
      </w:pPr>
      <w:r>
        <w:rPr>
          <w:rStyle w:val="ab"/>
        </w:rPr>
        <w:footnoteRef/>
      </w:r>
      <w:r>
        <w:rPr>
          <w:rtl/>
        </w:rPr>
        <w:t xml:space="preserve"> </w:t>
      </w:r>
      <w:r>
        <w:rPr>
          <w:rFonts w:hint="cs"/>
          <w:rtl/>
        </w:rPr>
        <w:t xml:space="preserve">סימן </w:t>
      </w:r>
      <w:r>
        <w:rPr>
          <w:rtl/>
        </w:rPr>
        <w:t>–</w:t>
      </w:r>
      <w:r>
        <w:rPr>
          <w:rFonts w:hint="cs"/>
          <w:rtl/>
        </w:rPr>
        <w:t xml:space="preserve"> כורת ואוכל.</w:t>
      </w:r>
    </w:p>
  </w:footnote>
  <w:footnote w:id="2208">
    <w:p w14:paraId="539A9839" w14:textId="77777777" w:rsidR="0013116F" w:rsidRPr="00845316" w:rsidRDefault="0013116F" w:rsidP="004B607F">
      <w:pPr>
        <w:pStyle w:val="a9"/>
        <w:spacing w:after="60"/>
        <w:rPr>
          <w:rFonts w:asciiTheme="minorBidi" w:hAnsiTheme="minorBidi"/>
          <w:rtl/>
        </w:rPr>
      </w:pPr>
      <w:r w:rsidRPr="00845316">
        <w:rPr>
          <w:rStyle w:val="ab"/>
          <w:rFonts w:asciiTheme="minorBidi" w:hAnsiTheme="minorBidi"/>
        </w:rPr>
        <w:footnoteRef/>
      </w:r>
      <w:r w:rsidRPr="00845316">
        <w:rPr>
          <w:rFonts w:asciiTheme="minorBidi" w:hAnsiTheme="minorBidi"/>
          <w:rtl/>
        </w:rPr>
        <w:t xml:space="preserve"> זמן קציר, תשרי זמן בציר ואסיף, רש"י.</w:t>
      </w:r>
    </w:p>
  </w:footnote>
  <w:footnote w:id="2209">
    <w:p w14:paraId="6CCEAB9B" w14:textId="77777777" w:rsidR="0013116F" w:rsidRPr="00845316" w:rsidRDefault="0013116F" w:rsidP="004B607F">
      <w:pPr>
        <w:pStyle w:val="a9"/>
        <w:spacing w:after="60"/>
        <w:rPr>
          <w:rFonts w:asciiTheme="minorBidi" w:hAnsiTheme="minorBidi"/>
        </w:rPr>
      </w:pPr>
      <w:r w:rsidRPr="00845316">
        <w:rPr>
          <w:rStyle w:val="ab"/>
          <w:rFonts w:asciiTheme="minorBidi" w:hAnsiTheme="minorBidi"/>
        </w:rPr>
        <w:footnoteRef/>
      </w:r>
      <w:r w:rsidRPr="00845316">
        <w:rPr>
          <w:rFonts w:asciiTheme="minorBidi" w:hAnsiTheme="minorBidi"/>
          <w:rtl/>
        </w:rPr>
        <w:t xml:space="preserve"> דטרח בה, ומורה היתירא ליטול דבר מועט יותר על חלקו מפני טרחו, רש"י.</w:t>
      </w:r>
    </w:p>
  </w:footnote>
  <w:footnote w:id="2210">
    <w:p w14:paraId="4F9A3E89" w14:textId="77777777" w:rsidR="0013116F" w:rsidRPr="00845316" w:rsidRDefault="0013116F" w:rsidP="004B607F">
      <w:pPr>
        <w:pStyle w:val="a9"/>
        <w:spacing w:after="60"/>
        <w:rPr>
          <w:rFonts w:asciiTheme="minorBidi" w:hAnsiTheme="minorBidi"/>
          <w:rtl/>
        </w:rPr>
      </w:pPr>
      <w:r w:rsidRPr="00845316">
        <w:rPr>
          <w:rStyle w:val="ab"/>
          <w:rFonts w:asciiTheme="minorBidi" w:hAnsiTheme="minorBidi"/>
        </w:rPr>
        <w:footnoteRef/>
      </w:r>
      <w:r w:rsidRPr="00845316">
        <w:rPr>
          <w:rFonts w:asciiTheme="minorBidi" w:hAnsiTheme="minorBidi"/>
          <w:rtl/>
        </w:rPr>
        <w:t xml:space="preserve"> דמשויה נפשיה כפועל, ומורי בה היתירא וסבר לא קפיד, רש"י . וכ' הב"י דזו היא גירסת ספרינו והיא גירסת הרא"ש </w:t>
      </w:r>
      <w:r w:rsidRPr="00845316">
        <w:rPr>
          <w:rFonts w:asciiTheme="minorBidi" w:hAnsiTheme="minorBidi"/>
          <w:sz w:val="16"/>
          <w:szCs w:val="16"/>
          <w:rtl/>
        </w:rPr>
        <w:t xml:space="preserve">(סי' יד) </w:t>
      </w:r>
      <w:r w:rsidRPr="00845316">
        <w:rPr>
          <w:rFonts w:asciiTheme="minorBidi" w:hAnsiTheme="minorBidi"/>
          <w:rtl/>
        </w:rPr>
        <w:t xml:space="preserve">העיטור </w:t>
      </w:r>
      <w:r w:rsidRPr="00845316">
        <w:rPr>
          <w:rFonts w:asciiTheme="minorBidi" w:hAnsiTheme="minorBidi"/>
          <w:sz w:val="16"/>
          <w:szCs w:val="16"/>
          <w:rtl/>
        </w:rPr>
        <w:t xml:space="preserve">(קבלת עדות נח.) </w:t>
      </w:r>
      <w:r w:rsidRPr="00845316">
        <w:rPr>
          <w:rFonts w:asciiTheme="minorBidi" w:hAnsiTheme="minorBidi"/>
          <w:rtl/>
        </w:rPr>
        <w:t xml:space="preserve">והסמ"ג </w:t>
      </w:r>
      <w:r w:rsidRPr="00845316">
        <w:rPr>
          <w:rFonts w:asciiTheme="minorBidi" w:hAnsiTheme="minorBidi"/>
          <w:sz w:val="16"/>
          <w:szCs w:val="16"/>
          <w:rtl/>
        </w:rPr>
        <w:t>(לאוין ריד סו:)</w:t>
      </w:r>
      <w:r w:rsidRPr="00845316">
        <w:rPr>
          <w:rFonts w:asciiTheme="minorBidi" w:hAnsiTheme="minorBidi"/>
          <w:rtl/>
        </w:rPr>
        <w:t>, אבל הרי"ף</w:t>
      </w:r>
      <w:r w:rsidRPr="00845316">
        <w:rPr>
          <w:rFonts w:asciiTheme="minorBidi" w:hAnsiTheme="minorBidi"/>
          <w:sz w:val="16"/>
          <w:szCs w:val="16"/>
          <w:rtl/>
        </w:rPr>
        <w:t xml:space="preserve"> (ה:)</w:t>
      </w:r>
      <w:r w:rsidRPr="00845316">
        <w:rPr>
          <w:rFonts w:asciiTheme="minorBidi" w:hAnsiTheme="minorBidi"/>
          <w:rtl/>
        </w:rPr>
        <w:t xml:space="preserve"> גורס- "ובדבר </w:t>
      </w:r>
      <w:r w:rsidRPr="00845316">
        <w:rPr>
          <w:rFonts w:asciiTheme="minorBidi" w:hAnsiTheme="minorBidi"/>
          <w:u w:val="single"/>
          <w:rtl/>
        </w:rPr>
        <w:t>שלא</w:t>
      </w:r>
      <w:r w:rsidRPr="00845316">
        <w:rPr>
          <w:rFonts w:asciiTheme="minorBidi" w:hAnsiTheme="minorBidi"/>
          <w:rtl/>
        </w:rPr>
        <w:t xml:space="preserve"> נגמרה מלאכתו", וכ"כ הרמב"ם </w:t>
      </w:r>
      <w:r w:rsidRPr="00845316">
        <w:rPr>
          <w:rFonts w:asciiTheme="minorBidi" w:hAnsiTheme="minorBidi"/>
          <w:sz w:val="16"/>
          <w:szCs w:val="16"/>
          <w:rtl/>
        </w:rPr>
        <w:t>(פ"י מהל' עדות ה"ה)</w:t>
      </w:r>
      <w:r w:rsidRPr="00845316">
        <w:rPr>
          <w:rFonts w:asciiTheme="minorBidi" w:hAnsiTheme="minorBidi"/>
          <w:rtl/>
        </w:rPr>
        <w:t xml:space="preserve">, ונראה דסבירא להו דכל זמן שלא נגמרה מלאכתו מורה ואמר כיון שאני עוסק במלאכה מותר אני ליקח דבר מועט, אבל כל שנגמרה מלאכתו אינו מורה אלא דרך גניבה הוא נוטל. </w:t>
      </w:r>
    </w:p>
  </w:footnote>
  <w:footnote w:id="2211">
    <w:p w14:paraId="6B5DF6E4" w14:textId="77777777" w:rsidR="0013116F" w:rsidRPr="00845316" w:rsidRDefault="0013116F" w:rsidP="004B607F">
      <w:pPr>
        <w:pStyle w:val="a9"/>
        <w:spacing w:after="60"/>
        <w:rPr>
          <w:rFonts w:asciiTheme="minorBidi" w:hAnsiTheme="minorBidi"/>
        </w:rPr>
      </w:pPr>
      <w:r w:rsidRPr="00845316">
        <w:rPr>
          <w:rStyle w:val="ab"/>
          <w:rFonts w:asciiTheme="minorBidi" w:hAnsiTheme="minorBidi"/>
        </w:rPr>
        <w:footnoteRef/>
      </w:r>
      <w:r w:rsidRPr="00845316">
        <w:rPr>
          <w:rFonts w:asciiTheme="minorBidi" w:hAnsiTheme="minorBidi"/>
          <w:rtl/>
        </w:rPr>
        <w:t xml:space="preserve"> לאו היינו אריס ואינו חולק בפירות, רש"י.</w:t>
      </w:r>
    </w:p>
  </w:footnote>
  <w:footnote w:id="2212">
    <w:p w14:paraId="0ED582F7" w14:textId="77777777" w:rsidR="0013116F" w:rsidRPr="00845316" w:rsidRDefault="0013116F" w:rsidP="004B607F">
      <w:pPr>
        <w:pStyle w:val="a9"/>
        <w:spacing w:after="60"/>
        <w:rPr>
          <w:rFonts w:asciiTheme="minorBidi" w:hAnsiTheme="minorBidi"/>
        </w:rPr>
      </w:pPr>
      <w:r w:rsidRPr="00845316">
        <w:rPr>
          <w:rStyle w:val="ab"/>
          <w:rFonts w:asciiTheme="minorBidi" w:hAnsiTheme="minorBidi"/>
        </w:rPr>
        <w:footnoteRef/>
      </w:r>
      <w:r w:rsidRPr="00845316">
        <w:rPr>
          <w:rFonts w:asciiTheme="minorBidi" w:hAnsiTheme="minorBidi"/>
          <w:rtl/>
        </w:rPr>
        <w:t xml:space="preserve"> כמין אשכול, יש תמרים הרבה בענף אחד, רש"י.</w:t>
      </w:r>
    </w:p>
  </w:footnote>
  <w:footnote w:id="2213">
    <w:p w14:paraId="300DF434" w14:textId="77777777" w:rsidR="0013116F" w:rsidRPr="00845316" w:rsidRDefault="0013116F" w:rsidP="004B607F">
      <w:pPr>
        <w:pStyle w:val="a9"/>
        <w:spacing w:after="60"/>
        <w:rPr>
          <w:rFonts w:asciiTheme="minorBidi" w:hAnsiTheme="minorBidi"/>
          <w:rtl/>
        </w:rPr>
      </w:pPr>
      <w:r w:rsidRPr="00845316">
        <w:rPr>
          <w:rStyle w:val="ab"/>
          <w:rFonts w:asciiTheme="minorBidi" w:hAnsiTheme="minorBidi"/>
        </w:rPr>
        <w:footnoteRef/>
      </w:r>
      <w:r w:rsidRPr="00845316">
        <w:rPr>
          <w:rFonts w:asciiTheme="minorBidi" w:hAnsiTheme="minorBidi"/>
          <w:rtl/>
        </w:rPr>
        <w:t xml:space="preserve"> זהו טעמו של הרמב"ם, וכ"כ בשו"ע, אך בב"י כ' טעם אחר והוא שהאריס אומר לעצמו "כיון שאני עוסק במלאכה מותר ליקח דבר מועט", אבל כל שנגמרה מלאכתו אינו מורה- אלא דרך גניבה הוא נוטל</w:t>
      </w:r>
      <w:r w:rsidRPr="00845316">
        <w:rPr>
          <w:rFonts w:asciiTheme="minorBidi" w:hAnsiTheme="minorBidi"/>
          <w:color w:val="FF0000"/>
          <w:rtl/>
        </w:rPr>
        <w:t>. וצל"ע מדוע לא כ' בב"י את טעמו של הרמב"ם, ואולי כתב כן לדעת הרי"ף שלא כתב טעם כלל, א"נ כ"כ ביחס לאישיותו של האריס דאע"פ שבעה"ב לא מקפיד מ"מ הוא לא מרשה לעשות כן ואם לא יביא האריס היתר זה לעצמו יהיה בעיני עצמו כגזלן ובדרך גניבה יטול, ואז לא נוכל לללמד עליו זכות, א"נ זהו אותו הטעם.</w:t>
      </w:r>
    </w:p>
  </w:footnote>
  <w:footnote w:id="2214">
    <w:p w14:paraId="225E4AC1" w14:textId="77777777" w:rsidR="0013116F" w:rsidRPr="00845316" w:rsidRDefault="0013116F" w:rsidP="004B607F">
      <w:pPr>
        <w:pStyle w:val="a9"/>
        <w:spacing w:after="60"/>
        <w:rPr>
          <w:rFonts w:asciiTheme="minorBidi" w:hAnsiTheme="minorBidi"/>
        </w:rPr>
      </w:pPr>
      <w:r w:rsidRPr="00845316">
        <w:rPr>
          <w:rStyle w:val="ab"/>
          <w:rFonts w:asciiTheme="minorBidi" w:hAnsiTheme="minorBidi"/>
        </w:rPr>
        <w:footnoteRef/>
      </w:r>
      <w:r w:rsidRPr="00845316">
        <w:rPr>
          <w:rFonts w:asciiTheme="minorBidi" w:hAnsiTheme="minorBidi"/>
          <w:rtl/>
        </w:rPr>
        <w:t xml:space="preserve"> רש"י בהעי"ט </w:t>
      </w:r>
      <w:r w:rsidRPr="00845316">
        <w:rPr>
          <w:rFonts w:asciiTheme="minorBidi" w:hAnsiTheme="minorBidi"/>
          <w:sz w:val="16"/>
          <w:szCs w:val="16"/>
          <w:rtl/>
        </w:rPr>
        <w:t xml:space="preserve">(קבלת עדות נח.) </w:t>
      </w:r>
      <w:r w:rsidRPr="00845316">
        <w:rPr>
          <w:rFonts w:asciiTheme="minorBidi" w:hAnsiTheme="minorBidi"/>
          <w:rtl/>
        </w:rPr>
        <w:t xml:space="preserve">סמ"ג </w:t>
      </w:r>
      <w:r w:rsidRPr="00845316">
        <w:rPr>
          <w:rFonts w:asciiTheme="minorBidi" w:hAnsiTheme="minorBidi"/>
          <w:sz w:val="16"/>
          <w:szCs w:val="16"/>
          <w:rtl/>
        </w:rPr>
        <w:t>(לאוין ריד סו:)</w:t>
      </w:r>
      <w:r w:rsidRPr="00845316">
        <w:rPr>
          <w:rFonts w:asciiTheme="minorBidi" w:hAnsiTheme="minorBidi"/>
          <w:rtl/>
        </w:rPr>
        <w:t xml:space="preserve"> רא"ש </w:t>
      </w:r>
      <w:r w:rsidRPr="00845316">
        <w:rPr>
          <w:rFonts w:asciiTheme="minorBidi" w:hAnsiTheme="minorBidi"/>
          <w:sz w:val="16"/>
          <w:szCs w:val="16"/>
          <w:rtl/>
        </w:rPr>
        <w:t xml:space="preserve">(סי' יד) </w:t>
      </w:r>
      <w:r w:rsidRPr="00845316">
        <w:rPr>
          <w:rFonts w:asciiTheme="minorBidi" w:hAnsiTheme="minorBidi"/>
          <w:rtl/>
        </w:rPr>
        <w:t>ונמוק"י.</w:t>
      </w:r>
    </w:p>
  </w:footnote>
  <w:footnote w:id="2215">
    <w:p w14:paraId="16669C1E" w14:textId="77777777" w:rsidR="0013116F" w:rsidRPr="00845316" w:rsidRDefault="0013116F" w:rsidP="004B607F">
      <w:pPr>
        <w:pStyle w:val="a9"/>
        <w:spacing w:after="60"/>
        <w:rPr>
          <w:rFonts w:asciiTheme="minorBidi" w:hAnsiTheme="minorBidi"/>
        </w:rPr>
      </w:pPr>
      <w:r w:rsidRPr="00845316">
        <w:rPr>
          <w:rStyle w:val="ab"/>
          <w:rFonts w:asciiTheme="minorBidi" w:hAnsiTheme="minorBidi"/>
        </w:rPr>
        <w:footnoteRef/>
      </w:r>
      <w:r w:rsidRPr="00845316">
        <w:rPr>
          <w:rFonts w:asciiTheme="minorBidi" w:hAnsiTheme="minorBidi"/>
          <w:rtl/>
        </w:rPr>
        <w:t xml:space="preserve"> כן הוא ברמב"ם, וכן הוא בשו"ע במהדורת הסמ"ע והבאה"ג, אבל בשאר מהדורות איתא "שבכרי".</w:t>
      </w:r>
    </w:p>
  </w:footnote>
  <w:footnote w:id="2216">
    <w:p w14:paraId="797FE1BE" w14:textId="77777777" w:rsidR="0013116F" w:rsidRPr="00845316" w:rsidRDefault="0013116F" w:rsidP="004B607F">
      <w:pPr>
        <w:pStyle w:val="a9"/>
        <w:spacing w:after="60"/>
        <w:rPr>
          <w:rFonts w:asciiTheme="minorBidi" w:hAnsiTheme="minorBidi"/>
          <w:rtl/>
        </w:rPr>
      </w:pPr>
      <w:r w:rsidRPr="00845316">
        <w:rPr>
          <w:rStyle w:val="ab"/>
          <w:rFonts w:asciiTheme="minorBidi" w:hAnsiTheme="minorBidi"/>
        </w:rPr>
        <w:footnoteRef/>
      </w:r>
      <w:r w:rsidRPr="00845316">
        <w:rPr>
          <w:rFonts w:asciiTheme="minorBidi" w:hAnsiTheme="minorBidi"/>
          <w:rtl/>
        </w:rPr>
        <w:t xml:space="preserve"> שאז מורה היתר שאכלו בטרחות עבודתו, ואינו כגזלן להיות נחשד ג"כ להעיד שקר, סמ"ע (סקל"ז).</w:t>
      </w:r>
    </w:p>
  </w:footnote>
  <w:footnote w:id="2217">
    <w:p w14:paraId="3A0434BA" w14:textId="77777777" w:rsidR="0013116F" w:rsidRPr="00845316" w:rsidRDefault="0013116F" w:rsidP="004B607F">
      <w:pPr>
        <w:pStyle w:val="a9"/>
        <w:spacing w:after="60"/>
        <w:rPr>
          <w:rFonts w:asciiTheme="minorBidi" w:hAnsiTheme="minorBidi"/>
        </w:rPr>
      </w:pPr>
      <w:r w:rsidRPr="00845316">
        <w:rPr>
          <w:rStyle w:val="ab"/>
          <w:rFonts w:asciiTheme="minorBidi" w:hAnsiTheme="minorBidi"/>
        </w:rPr>
        <w:footnoteRef/>
      </w:r>
      <w:r w:rsidRPr="00845316">
        <w:rPr>
          <w:rFonts w:asciiTheme="minorBidi" w:hAnsiTheme="minorBidi"/>
          <w:rtl/>
        </w:rPr>
        <w:t xml:space="preserve"> דאז מורה היתר ואומר שאינו מקפיד הבעל הבית, שהרי התורה התירה לפועל לאכול מדבר שנגמרה מלאכתו, כמ"ש (דברים כג כה) כי תבא בכרם רעך כו', סמ"ע (סקל"ח).</w:t>
      </w:r>
    </w:p>
  </w:footnote>
  <w:footnote w:id="2218">
    <w:p w14:paraId="4E67A367" w14:textId="77777777" w:rsidR="0013116F" w:rsidRPr="00845316" w:rsidRDefault="0013116F" w:rsidP="004B607F">
      <w:pPr>
        <w:pStyle w:val="a9"/>
        <w:spacing w:after="60"/>
        <w:rPr>
          <w:rFonts w:asciiTheme="minorBidi" w:hAnsiTheme="minorBidi"/>
          <w:rtl/>
        </w:rPr>
      </w:pPr>
      <w:r w:rsidRPr="00845316">
        <w:rPr>
          <w:rStyle w:val="ab"/>
          <w:rFonts w:asciiTheme="minorBidi" w:hAnsiTheme="minorBidi"/>
        </w:rPr>
        <w:footnoteRef/>
      </w:r>
      <w:r w:rsidRPr="00845316">
        <w:rPr>
          <w:rFonts w:asciiTheme="minorBidi" w:hAnsiTheme="minorBidi"/>
          <w:rtl/>
        </w:rPr>
        <w:t xml:space="preserve"> לדון ולהעיד, רש"י.</w:t>
      </w:r>
    </w:p>
  </w:footnote>
  <w:footnote w:id="2219">
    <w:p w14:paraId="78F48C78" w14:textId="77777777" w:rsidR="0013116F" w:rsidRPr="00845316" w:rsidRDefault="0013116F" w:rsidP="004B607F">
      <w:pPr>
        <w:pStyle w:val="a9"/>
        <w:spacing w:after="60"/>
        <w:rPr>
          <w:rFonts w:asciiTheme="minorBidi" w:hAnsiTheme="minorBidi"/>
        </w:rPr>
      </w:pPr>
      <w:r w:rsidRPr="00845316">
        <w:rPr>
          <w:rStyle w:val="ab"/>
          <w:rFonts w:asciiTheme="minorBidi" w:hAnsiTheme="minorBidi"/>
        </w:rPr>
        <w:footnoteRef/>
      </w:r>
      <w:r w:rsidRPr="00845316">
        <w:rPr>
          <w:rFonts w:asciiTheme="minorBidi" w:hAnsiTheme="minorBidi"/>
          <w:rtl/>
        </w:rPr>
        <w:t xml:space="preserve"> כולהו מפרש בגמרא, וכולן מעין גזלנין הן, והתורה אמרה (שמות כג) אל תשת רשע עד - וכל שכן דיין, רש"י.</w:t>
      </w:r>
    </w:p>
  </w:footnote>
  <w:footnote w:id="2220">
    <w:p w14:paraId="58BDC091" w14:textId="77777777" w:rsidR="0013116F" w:rsidRPr="00845316" w:rsidRDefault="0013116F" w:rsidP="004B607F">
      <w:pPr>
        <w:pStyle w:val="a9"/>
        <w:spacing w:after="60"/>
        <w:rPr>
          <w:rFonts w:asciiTheme="minorBidi" w:hAnsiTheme="minorBidi"/>
        </w:rPr>
      </w:pPr>
      <w:r w:rsidRPr="00845316">
        <w:rPr>
          <w:rStyle w:val="ab"/>
          <w:rFonts w:asciiTheme="minorBidi" w:hAnsiTheme="minorBidi"/>
        </w:rPr>
        <w:footnoteRef/>
      </w:r>
      <w:r w:rsidRPr="00845316">
        <w:rPr>
          <w:rFonts w:asciiTheme="minorBidi" w:hAnsiTheme="minorBidi"/>
          <w:rtl/>
        </w:rPr>
        <w:t xml:space="preserve"> הואיל וחימוד ממון מעבירו על דברי תורה הוה ליה כרשע דחמס, ופסול לדון ולהעיד שנוטה אחרי הבצע, רש"י.</w:t>
      </w:r>
    </w:p>
  </w:footnote>
  <w:footnote w:id="2221">
    <w:p w14:paraId="029166F4" w14:textId="77777777" w:rsidR="0013116F" w:rsidRPr="00845316" w:rsidRDefault="0013116F" w:rsidP="004B607F">
      <w:pPr>
        <w:pStyle w:val="a9"/>
        <w:spacing w:after="60"/>
        <w:rPr>
          <w:rFonts w:asciiTheme="minorBidi" w:hAnsiTheme="minorBidi"/>
        </w:rPr>
      </w:pPr>
      <w:r w:rsidRPr="00845316">
        <w:rPr>
          <w:rStyle w:val="ab"/>
          <w:rFonts w:asciiTheme="minorBidi" w:hAnsiTheme="minorBidi"/>
        </w:rPr>
        <w:footnoteRef/>
      </w:r>
      <w:r w:rsidRPr="00845316">
        <w:rPr>
          <w:rFonts w:asciiTheme="minorBidi" w:hAnsiTheme="minorBidi"/>
          <w:rtl/>
        </w:rPr>
        <w:t xml:space="preserve"> משחק בקוביא ומפריחי יונים פסולים? בזמן שאין.... ,רמב"ם טור וב"י. </w:t>
      </w:r>
      <w:r w:rsidRPr="00845316">
        <w:rPr>
          <w:rFonts w:asciiTheme="minorBidi" w:hAnsiTheme="minorBidi"/>
          <w:sz w:val="16"/>
          <w:szCs w:val="16"/>
          <w:rtl/>
        </w:rPr>
        <w:t>(וטעמא דאינך מיתסרי הוא משום גזל או משום פירות שביעית, ב"י)</w:t>
      </w:r>
    </w:p>
  </w:footnote>
  <w:footnote w:id="2222">
    <w:p w14:paraId="1F273DD0" w14:textId="77777777" w:rsidR="0013116F" w:rsidRPr="00845316" w:rsidRDefault="0013116F" w:rsidP="004B607F">
      <w:pPr>
        <w:pStyle w:val="a9"/>
        <w:spacing w:after="60"/>
        <w:rPr>
          <w:rFonts w:asciiTheme="minorBidi" w:hAnsiTheme="minorBidi"/>
        </w:rPr>
      </w:pPr>
      <w:r w:rsidRPr="00845316">
        <w:rPr>
          <w:rStyle w:val="ab"/>
          <w:rFonts w:asciiTheme="minorBidi" w:hAnsiTheme="minorBidi"/>
        </w:rPr>
        <w:footnoteRef/>
      </w:r>
      <w:r w:rsidRPr="00845316">
        <w:rPr>
          <w:rFonts w:asciiTheme="minorBidi" w:hAnsiTheme="minorBidi"/>
          <w:rtl/>
        </w:rPr>
        <w:t xml:space="preserve"> דהואיל ואין עסוקין ביישובו של עולם אינן בקיאין בטיב דינין ומשא ומתן, ואינן יראי חטא, רש"י.</w:t>
      </w:r>
    </w:p>
  </w:footnote>
  <w:footnote w:id="2223">
    <w:p w14:paraId="3F7B1D9F" w14:textId="77777777" w:rsidR="0013116F" w:rsidRPr="00845316" w:rsidRDefault="0013116F" w:rsidP="004B607F">
      <w:pPr>
        <w:pStyle w:val="a9"/>
        <w:spacing w:after="60"/>
        <w:rPr>
          <w:rFonts w:asciiTheme="minorBidi" w:hAnsiTheme="minorBidi"/>
        </w:rPr>
      </w:pPr>
      <w:r w:rsidRPr="00845316">
        <w:rPr>
          <w:rStyle w:val="ab"/>
          <w:rFonts w:asciiTheme="minorBidi" w:hAnsiTheme="minorBidi"/>
        </w:rPr>
        <w:footnoteRef/>
      </w:r>
      <w:r w:rsidRPr="00845316">
        <w:rPr>
          <w:rFonts w:asciiTheme="minorBidi" w:hAnsiTheme="minorBidi"/>
          <w:rtl/>
        </w:rPr>
        <w:t xml:space="preserve"> היינו דבר דאינו נותן לו מדעתו אלא סומך על דבר שאינו, דסבור שהוא יכול לנצח, ופעמים שמנצחין אותו, רש"י.</w:t>
      </w:r>
    </w:p>
  </w:footnote>
  <w:footnote w:id="2224">
    <w:p w14:paraId="712C2B0F" w14:textId="77777777" w:rsidR="0013116F" w:rsidRPr="00845316" w:rsidRDefault="0013116F" w:rsidP="004B607F">
      <w:pPr>
        <w:pStyle w:val="a9"/>
        <w:spacing w:after="60"/>
        <w:rPr>
          <w:rFonts w:asciiTheme="minorBidi" w:hAnsiTheme="minorBidi"/>
          <w:rtl/>
        </w:rPr>
      </w:pPr>
      <w:r w:rsidRPr="00845316">
        <w:rPr>
          <w:rStyle w:val="ab"/>
          <w:rFonts w:asciiTheme="minorBidi" w:hAnsiTheme="minorBidi"/>
        </w:rPr>
        <w:footnoteRef/>
      </w:r>
      <w:r w:rsidRPr="00845316">
        <w:rPr>
          <w:rFonts w:asciiTheme="minorBidi" w:hAnsiTheme="minorBidi"/>
          <w:rtl/>
        </w:rPr>
        <w:t xml:space="preserve"> והוה ליה כעין גזילה בידו, רש"י.</w:t>
      </w:r>
    </w:p>
  </w:footnote>
  <w:footnote w:id="2225">
    <w:p w14:paraId="467CD789" w14:textId="77777777" w:rsidR="0013116F" w:rsidRPr="00845316" w:rsidRDefault="0013116F" w:rsidP="004B607F">
      <w:pPr>
        <w:spacing w:after="60" w:line="240" w:lineRule="auto"/>
        <w:rPr>
          <w:rFonts w:asciiTheme="minorBidi" w:hAnsiTheme="minorBidi"/>
          <w:sz w:val="20"/>
          <w:szCs w:val="20"/>
          <w:rtl/>
        </w:rPr>
      </w:pPr>
      <w:r w:rsidRPr="00845316">
        <w:rPr>
          <w:rStyle w:val="ab"/>
          <w:rFonts w:asciiTheme="minorBidi" w:hAnsiTheme="minorBidi"/>
        </w:rPr>
        <w:footnoteRef/>
      </w:r>
      <w:r w:rsidRPr="00845316">
        <w:rPr>
          <w:rFonts w:asciiTheme="minorBidi" w:hAnsiTheme="minorBidi"/>
          <w:sz w:val="20"/>
          <w:szCs w:val="20"/>
          <w:rtl/>
        </w:rPr>
        <w:t xml:space="preserve"> והיכי דמי אסמכתא - כגון דאם אוביר ולא אעביד אשלם במיטבא (ב"מ עו.) וכגון משליש את שטרו דגט פשוט (ב"ב קסח.) דסומך על לא דבר, דסבור כל זה בידי לעשות, ומרישא כי מתני - אדעתא דלא יהיב ליה לאסמכתא קא מתני, דטועה וסבור לא יבא לידי כך, אבל הכא לא סמיך אמידי, דהא לא ידע אי נצח אי לא נצח, ואפילו הכי אתני - שמע מינה מספיקא אתני גמר ואקני, ולא גזילה היא, רש"י.</w:t>
      </w:r>
    </w:p>
  </w:footnote>
  <w:footnote w:id="2226">
    <w:p w14:paraId="3E656AA0" w14:textId="77777777" w:rsidR="0013116F" w:rsidRPr="00845316" w:rsidRDefault="0013116F" w:rsidP="004B607F">
      <w:pPr>
        <w:pStyle w:val="a9"/>
        <w:spacing w:after="60"/>
        <w:rPr>
          <w:rFonts w:asciiTheme="minorBidi" w:hAnsiTheme="minorBidi"/>
        </w:rPr>
      </w:pPr>
      <w:r w:rsidRPr="00845316">
        <w:rPr>
          <w:rStyle w:val="ab"/>
          <w:rFonts w:asciiTheme="minorBidi" w:hAnsiTheme="minorBidi"/>
        </w:rPr>
        <w:footnoteRef/>
      </w:r>
      <w:r w:rsidRPr="00845316">
        <w:rPr>
          <w:rFonts w:asciiTheme="minorBidi" w:hAnsiTheme="minorBidi"/>
          <w:rtl/>
        </w:rPr>
        <w:t xml:space="preserve"> וקרי ליה 'אבק גזל' משום דמיירי שמשחק עם גוי, א"נ משחק לא במעות עם ישראל </w:t>
      </w:r>
      <w:r w:rsidRPr="00845316">
        <w:rPr>
          <w:rFonts w:asciiTheme="minorBidi" w:hAnsiTheme="minorBidi"/>
          <w:sz w:val="16"/>
          <w:szCs w:val="16"/>
          <w:rtl/>
        </w:rPr>
        <w:t>(ואעפ"כ פסול שחזקתו שישחק עם ישראל במעות)</w:t>
      </w:r>
      <w:r w:rsidRPr="00845316">
        <w:rPr>
          <w:rFonts w:asciiTheme="minorBidi" w:hAnsiTheme="minorBidi"/>
          <w:rtl/>
        </w:rPr>
        <w:t>.</w:t>
      </w:r>
    </w:p>
  </w:footnote>
  <w:footnote w:id="2227">
    <w:p w14:paraId="53B85D62" w14:textId="77777777" w:rsidR="0013116F" w:rsidRPr="00845316" w:rsidRDefault="0013116F" w:rsidP="004B607F">
      <w:pPr>
        <w:pStyle w:val="a9"/>
        <w:spacing w:after="60"/>
        <w:rPr>
          <w:rFonts w:asciiTheme="minorBidi" w:hAnsiTheme="minorBidi"/>
          <w:rtl/>
        </w:rPr>
      </w:pPr>
      <w:r w:rsidRPr="00845316">
        <w:rPr>
          <w:rStyle w:val="ab"/>
          <w:rFonts w:asciiTheme="minorBidi" w:hAnsiTheme="minorBidi"/>
        </w:rPr>
        <w:footnoteRef/>
      </w:r>
      <w:r w:rsidRPr="00845316">
        <w:rPr>
          <w:rFonts w:asciiTheme="minorBidi" w:hAnsiTheme="minorBidi"/>
          <w:rtl/>
        </w:rPr>
        <w:t xml:space="preserve"> ליוני אתן לך כך וכך, רש"י.</w:t>
      </w:r>
    </w:p>
  </w:footnote>
  <w:footnote w:id="2228">
    <w:p w14:paraId="62E34999" w14:textId="77777777" w:rsidR="0013116F" w:rsidRPr="00845316" w:rsidRDefault="0013116F" w:rsidP="004B607F">
      <w:pPr>
        <w:pStyle w:val="a9"/>
        <w:spacing w:after="60"/>
        <w:rPr>
          <w:rFonts w:asciiTheme="minorBidi" w:hAnsiTheme="minorBidi"/>
        </w:rPr>
      </w:pPr>
      <w:r w:rsidRPr="00845316">
        <w:rPr>
          <w:rStyle w:val="ab"/>
          <w:rFonts w:asciiTheme="minorBidi" w:hAnsiTheme="minorBidi"/>
        </w:rPr>
        <w:footnoteRef/>
      </w:r>
      <w:r w:rsidRPr="00845316">
        <w:rPr>
          <w:rFonts w:asciiTheme="minorBidi" w:hAnsiTheme="minorBidi"/>
          <w:rtl/>
        </w:rPr>
        <w:t xml:space="preserve"> אשתליו"ן </w:t>
      </w:r>
      <w:r w:rsidRPr="00845316">
        <w:rPr>
          <w:rFonts w:asciiTheme="minorBidi" w:hAnsiTheme="minorBidi"/>
          <w:sz w:val="16"/>
          <w:szCs w:val="16"/>
          <w:rtl/>
        </w:rPr>
        <w:t>(אדם המתעה יונים לבוא אליו על ידי יונה מאולפת וכד')</w:t>
      </w:r>
      <w:r w:rsidRPr="00845316">
        <w:rPr>
          <w:rFonts w:asciiTheme="minorBidi" w:hAnsiTheme="minorBidi"/>
          <w:rtl/>
        </w:rPr>
        <w:t>, מלומד להביא יונים ממקומן לבית בעלים על כרחן, ויש בהן גזל, רש"י.</w:t>
      </w:r>
    </w:p>
  </w:footnote>
  <w:footnote w:id="2229">
    <w:p w14:paraId="448B59FC" w14:textId="77777777" w:rsidR="0013116F" w:rsidRPr="00845316" w:rsidRDefault="0013116F" w:rsidP="004B607F">
      <w:pPr>
        <w:pStyle w:val="a9"/>
        <w:spacing w:after="60"/>
        <w:rPr>
          <w:rFonts w:asciiTheme="minorBidi" w:hAnsiTheme="minorBidi"/>
          <w:rtl/>
        </w:rPr>
      </w:pPr>
      <w:r w:rsidRPr="00845316">
        <w:rPr>
          <w:rStyle w:val="ab"/>
          <w:rFonts w:asciiTheme="minorBidi" w:hAnsiTheme="minorBidi"/>
        </w:rPr>
        <w:footnoteRef/>
      </w:r>
      <w:r w:rsidRPr="00845316">
        <w:rPr>
          <w:rFonts w:asciiTheme="minorBidi" w:hAnsiTheme="minorBidi"/>
          <w:rtl/>
        </w:rPr>
        <w:t xml:space="preserve"> דתניא </w:t>
      </w:r>
      <w:r w:rsidRPr="00845316">
        <w:rPr>
          <w:rFonts w:asciiTheme="minorBidi" w:hAnsiTheme="minorBidi"/>
          <w:sz w:val="16"/>
          <w:szCs w:val="16"/>
          <w:rtl/>
        </w:rPr>
        <w:t>(חולין קלט:)</w:t>
      </w:r>
      <w:r w:rsidRPr="00845316">
        <w:rPr>
          <w:rFonts w:asciiTheme="minorBidi" w:hAnsiTheme="minorBidi"/>
          <w:rtl/>
        </w:rPr>
        <w:t xml:space="preserve">: יוני שובך ויוני עלייה יש בהן גזל מפני דרכי שלום, ולא גזל גמור, דלא זכה בהן בעל השובך, דממילא קאתו ורבו להתם, ובגמרא בב"מ (קב.) גרס לה, רש"י. </w:t>
      </w:r>
      <w:r w:rsidRPr="00845316">
        <w:rPr>
          <w:rFonts w:asciiTheme="minorBidi" w:hAnsiTheme="minorBidi"/>
          <w:sz w:val="16"/>
          <w:szCs w:val="16"/>
          <w:rtl/>
        </w:rPr>
        <w:t>(</w:t>
      </w:r>
      <w:r w:rsidRPr="00845316">
        <w:rPr>
          <w:rFonts w:asciiTheme="minorBidi" w:hAnsiTheme="minorBidi"/>
          <w:color w:val="FF0000"/>
          <w:sz w:val="16"/>
          <w:szCs w:val="16"/>
          <w:rtl/>
        </w:rPr>
        <w:t>ובט"ז כ' לדמ"ד ארא הוי גזל גמור מדרבנן, וממילא כך (להבנתו) סובר הרמב"ם שפסק כמ"ד ארא)</w:t>
      </w:r>
    </w:p>
  </w:footnote>
  <w:footnote w:id="2230">
    <w:p w14:paraId="3107E580" w14:textId="77777777" w:rsidR="0013116F" w:rsidRPr="00845316" w:rsidRDefault="0013116F" w:rsidP="004B607F">
      <w:pPr>
        <w:spacing w:after="60" w:line="240" w:lineRule="auto"/>
        <w:rPr>
          <w:rFonts w:asciiTheme="minorBidi" w:hAnsiTheme="minorBidi"/>
          <w:sz w:val="20"/>
          <w:szCs w:val="20"/>
          <w:rtl/>
        </w:rPr>
      </w:pPr>
      <w:r w:rsidRPr="00954190">
        <w:rPr>
          <w:rStyle w:val="ab"/>
          <w:rFonts w:asciiTheme="minorBidi" w:hAnsiTheme="minorBidi"/>
          <w:sz w:val="20"/>
          <w:szCs w:val="20"/>
        </w:rPr>
        <w:footnoteRef/>
      </w:r>
      <w:r w:rsidRPr="00954190">
        <w:rPr>
          <w:rFonts w:asciiTheme="minorBidi" w:hAnsiTheme="minorBidi"/>
          <w:sz w:val="20"/>
          <w:szCs w:val="20"/>
          <w:rtl/>
        </w:rPr>
        <w:t xml:space="preserve"> דהויא</w:t>
      </w:r>
      <w:r w:rsidRPr="00845316">
        <w:rPr>
          <w:rFonts w:asciiTheme="minorBidi" w:hAnsiTheme="minorBidi"/>
          <w:sz w:val="20"/>
          <w:szCs w:val="20"/>
          <w:rtl/>
        </w:rPr>
        <w:t xml:space="preserve"> אסמכתא, והדר תנא דתולה בדעת יונו, רש"י.</w:t>
      </w:r>
    </w:p>
  </w:footnote>
  <w:footnote w:id="2231">
    <w:p w14:paraId="16FC27E2" w14:textId="77777777" w:rsidR="0013116F" w:rsidRPr="00845316" w:rsidRDefault="0013116F" w:rsidP="004B607F">
      <w:pPr>
        <w:pStyle w:val="a9"/>
        <w:spacing w:after="60"/>
        <w:rPr>
          <w:rFonts w:asciiTheme="minorBidi" w:hAnsiTheme="minorBidi"/>
        </w:rPr>
      </w:pPr>
      <w:r w:rsidRPr="00845316">
        <w:rPr>
          <w:rStyle w:val="ab"/>
          <w:rFonts w:asciiTheme="minorBidi" w:hAnsiTheme="minorBidi"/>
        </w:rPr>
        <w:footnoteRef/>
      </w:r>
      <w:r w:rsidRPr="00845316">
        <w:rPr>
          <w:rFonts w:asciiTheme="minorBidi" w:hAnsiTheme="minorBidi"/>
          <w:rtl/>
        </w:rPr>
        <w:t xml:space="preserve"> דאפשר שמלמדה לרוץ כשתשמע קולו, רש"י.</w:t>
      </w:r>
    </w:p>
  </w:footnote>
  <w:footnote w:id="2232">
    <w:p w14:paraId="6292CE69" w14:textId="77777777" w:rsidR="0013116F" w:rsidRPr="00845316" w:rsidRDefault="0013116F" w:rsidP="004B607F">
      <w:pPr>
        <w:pStyle w:val="a9"/>
        <w:spacing w:after="60"/>
        <w:rPr>
          <w:rFonts w:asciiTheme="minorBidi" w:hAnsiTheme="minorBidi"/>
        </w:rPr>
      </w:pPr>
      <w:r w:rsidRPr="00845316">
        <w:rPr>
          <w:rStyle w:val="ab"/>
          <w:rFonts w:asciiTheme="minorBidi" w:hAnsiTheme="minorBidi"/>
        </w:rPr>
        <w:footnoteRef/>
      </w:r>
      <w:r w:rsidRPr="00845316">
        <w:rPr>
          <w:rFonts w:asciiTheme="minorBidi" w:hAnsiTheme="minorBidi"/>
          <w:rtl/>
        </w:rPr>
        <w:t xml:space="preserve"> שתביא בהמות הבר לביתה עמה והלא ירדפוה החיות!, רש"י.</w:t>
      </w:r>
    </w:p>
  </w:footnote>
  <w:footnote w:id="2233">
    <w:p w14:paraId="35056CA9" w14:textId="77777777" w:rsidR="0013116F" w:rsidRPr="00845316" w:rsidRDefault="0013116F" w:rsidP="004B607F">
      <w:pPr>
        <w:pStyle w:val="a9"/>
        <w:spacing w:after="60"/>
        <w:rPr>
          <w:rFonts w:asciiTheme="minorBidi" w:hAnsiTheme="minorBidi"/>
        </w:rPr>
      </w:pPr>
      <w:r w:rsidRPr="00845316">
        <w:rPr>
          <w:rStyle w:val="ab"/>
          <w:rFonts w:asciiTheme="minorBidi" w:hAnsiTheme="minorBidi"/>
        </w:rPr>
        <w:footnoteRef/>
      </w:r>
      <w:r w:rsidRPr="00845316">
        <w:rPr>
          <w:rFonts w:asciiTheme="minorBidi" w:hAnsiTheme="minorBidi"/>
          <w:rtl/>
        </w:rPr>
        <w:t xml:space="preserve"> דומה לחיה, ואם מגדלו בביתו - הולך למדברות ומטעה החיות לבא אחריו, ויש בהן גזל מפני דרכי שלום, שמביא אותן מן הביברין והא דקרי ליה בהמה - כמאן דאמר מין בהמה הוא, ופלוגתייהו לענין התרת חלבו וכיסוי הדם, רש"י.</w:t>
      </w:r>
    </w:p>
  </w:footnote>
  <w:footnote w:id="2234">
    <w:p w14:paraId="2C26530E" w14:textId="77777777" w:rsidR="0013116F" w:rsidRPr="00845316" w:rsidRDefault="0013116F" w:rsidP="004B607F">
      <w:pPr>
        <w:pStyle w:val="a9"/>
        <w:spacing w:after="60"/>
        <w:rPr>
          <w:rFonts w:asciiTheme="minorBidi" w:hAnsiTheme="minorBidi"/>
        </w:rPr>
      </w:pPr>
      <w:r w:rsidRPr="00845316">
        <w:rPr>
          <w:rStyle w:val="ab"/>
          <w:rFonts w:asciiTheme="minorBidi" w:hAnsiTheme="minorBidi"/>
        </w:rPr>
        <w:footnoteRef/>
      </w:r>
      <w:r w:rsidRPr="00845316">
        <w:rPr>
          <w:rFonts w:asciiTheme="minorBidi" w:hAnsiTheme="minorBidi"/>
          <w:rtl/>
        </w:rPr>
        <w:t xml:space="preserve"> רק שפיסולו של אי תקדמיה יונך ליון הוי משום משחק בקוביא כמו שאמרו בגמ', ע"פ הכס"מ (שם). היינו דגם ר' חמא בר אושעיא מסכים לבני בבל שהוא פסול רק שסבר שהוא כמשחק בקוביא ולכן אין זו כונת המשנה במה שכתבה "מפריחי יונים".</w:t>
      </w:r>
    </w:p>
  </w:footnote>
  <w:footnote w:id="2235">
    <w:p w14:paraId="554D1AC0" w14:textId="77777777" w:rsidR="0013116F" w:rsidRPr="00845316" w:rsidRDefault="0013116F" w:rsidP="004B607F">
      <w:pPr>
        <w:pStyle w:val="a9"/>
        <w:spacing w:after="60"/>
        <w:rPr>
          <w:rFonts w:asciiTheme="minorBidi" w:hAnsiTheme="minorBidi"/>
        </w:rPr>
      </w:pPr>
      <w:r w:rsidRPr="00845316">
        <w:rPr>
          <w:rStyle w:val="ab"/>
          <w:rFonts w:asciiTheme="minorBidi" w:hAnsiTheme="minorBidi"/>
        </w:rPr>
        <w:footnoteRef/>
      </w:r>
      <w:r w:rsidRPr="00845316">
        <w:rPr>
          <w:rFonts w:asciiTheme="minorBidi" w:hAnsiTheme="minorBidi"/>
          <w:rtl/>
        </w:rPr>
        <w:t xml:space="preserve"> אבל במדבר שרי, וזהו שכתב רבינו ביישוב.</w:t>
      </w:r>
    </w:p>
  </w:footnote>
  <w:footnote w:id="2236">
    <w:p w14:paraId="0A08095A" w14:textId="77777777" w:rsidR="0013116F" w:rsidRPr="00845316" w:rsidRDefault="0013116F" w:rsidP="004B607F">
      <w:pPr>
        <w:pStyle w:val="a9"/>
        <w:spacing w:after="60"/>
        <w:rPr>
          <w:rFonts w:asciiTheme="minorBidi" w:hAnsiTheme="minorBidi"/>
          <w:rtl/>
        </w:rPr>
      </w:pPr>
      <w:r w:rsidRPr="00845316">
        <w:rPr>
          <w:rStyle w:val="ab"/>
          <w:rFonts w:asciiTheme="minorBidi" w:hAnsiTheme="minorBidi"/>
        </w:rPr>
        <w:footnoteRef/>
      </w:r>
      <w:r w:rsidRPr="00845316">
        <w:rPr>
          <w:rFonts w:asciiTheme="minorBidi" w:hAnsiTheme="minorBidi"/>
          <w:rtl/>
        </w:rPr>
        <w:t xml:space="preserve"> עם עכו"ם, דאז לא הוי גזל.</w:t>
      </w:r>
    </w:p>
  </w:footnote>
  <w:footnote w:id="2237">
    <w:p w14:paraId="715B6DC0" w14:textId="77777777" w:rsidR="0013116F" w:rsidRPr="00845316" w:rsidRDefault="0013116F" w:rsidP="004B607F">
      <w:pPr>
        <w:pStyle w:val="a9"/>
        <w:spacing w:after="60"/>
        <w:rPr>
          <w:rFonts w:asciiTheme="minorBidi" w:hAnsiTheme="minorBidi"/>
        </w:rPr>
      </w:pPr>
      <w:r w:rsidRPr="00845316">
        <w:rPr>
          <w:rStyle w:val="ab"/>
          <w:rFonts w:asciiTheme="minorBidi" w:hAnsiTheme="minorBidi"/>
        </w:rPr>
        <w:footnoteRef/>
      </w:r>
      <w:r w:rsidRPr="00845316">
        <w:rPr>
          <w:rFonts w:asciiTheme="minorBidi" w:hAnsiTheme="minorBidi"/>
          <w:rtl/>
        </w:rPr>
        <w:t xml:space="preserve"> ז"א דאע"ג דגזל ממש אין כאן, מ"מ כיון שאינו עוסק ביישובו של עולם </w:t>
      </w:r>
      <w:r w:rsidRPr="00845316">
        <w:rPr>
          <w:rFonts w:asciiTheme="minorBidi" w:hAnsiTheme="minorBidi"/>
          <w:sz w:val="16"/>
          <w:szCs w:val="16"/>
          <w:rtl/>
        </w:rPr>
        <w:t xml:space="preserve">(כיון שאין לו אומנות אחרת) </w:t>
      </w:r>
      <w:r w:rsidRPr="00845316">
        <w:rPr>
          <w:rFonts w:asciiTheme="minorBidi" w:hAnsiTheme="minorBidi"/>
          <w:rtl/>
        </w:rPr>
        <w:t xml:space="preserve">הרי הוא בחזקת שמשחק עם ישראל והוא גזל, ואע"פ שלא ראינוהו סתמו כודאי. א"נ דהכא אפילו במשחק עם ישראל עסקינן אלא שאינו משחק במעות </w:t>
      </w:r>
      <w:r w:rsidRPr="00845316">
        <w:rPr>
          <w:rFonts w:asciiTheme="minorBidi" w:hAnsiTheme="minorBidi"/>
          <w:sz w:val="16"/>
          <w:szCs w:val="16"/>
          <w:rtl/>
        </w:rPr>
        <w:t>(ואם היה לו אומנות להתפרנס לא היינו חושדים אותו שדרך העשירים שבגמר מלאכתן שוחקים להעביר השעה שלא במעות)</w:t>
      </w:r>
      <w:r w:rsidRPr="00845316">
        <w:rPr>
          <w:rFonts w:asciiTheme="minorBidi" w:hAnsiTheme="minorBidi"/>
          <w:rtl/>
        </w:rPr>
        <w:t xml:space="preserve"> אבל כיון שאין לו אומנות סתמו שמשחק במעות ואע"פ שלא ראינו מעולם שמשחק במעות סתמו כודאי. ותדע דאילו היה פסולו משום ודאי גזל מאי איריא אין לו אומנות אפילו בפעם אחת לבד נפסל משום גזלן.</w:t>
      </w:r>
    </w:p>
  </w:footnote>
  <w:footnote w:id="2238">
    <w:p w14:paraId="5B8E5775" w14:textId="77777777" w:rsidR="0013116F" w:rsidRPr="00845316" w:rsidRDefault="0013116F" w:rsidP="004B607F">
      <w:pPr>
        <w:pStyle w:val="a9"/>
        <w:spacing w:after="60"/>
        <w:rPr>
          <w:rFonts w:asciiTheme="minorBidi" w:hAnsiTheme="minorBidi"/>
          <w:rtl/>
        </w:rPr>
      </w:pPr>
      <w:r w:rsidRPr="00845316">
        <w:rPr>
          <w:rStyle w:val="ab"/>
          <w:rFonts w:asciiTheme="minorBidi" w:hAnsiTheme="minorBidi"/>
        </w:rPr>
        <w:footnoteRef/>
      </w:r>
      <w:r w:rsidRPr="00845316">
        <w:rPr>
          <w:rFonts w:asciiTheme="minorBidi" w:hAnsiTheme="minorBidi"/>
          <w:rtl/>
        </w:rPr>
        <w:t xml:space="preserve"> ויש לתמוה שהרי משמע דס"ל כמ"ד אי תקדמיה יונך ליון, וא"כ היאך פסל ארא דהא מדקאמר </w:t>
      </w:r>
      <w:r w:rsidRPr="00845316">
        <w:rPr>
          <w:rFonts w:asciiTheme="minorBidi" w:hAnsiTheme="minorBidi"/>
          <w:sz w:val="16"/>
          <w:szCs w:val="16"/>
          <w:rtl/>
        </w:rPr>
        <w:t>(בגמ')</w:t>
      </w:r>
      <w:r w:rsidRPr="00845316">
        <w:rPr>
          <w:rFonts w:asciiTheme="minorBidi" w:hAnsiTheme="minorBidi"/>
          <w:rtl/>
        </w:rPr>
        <w:t xml:space="preserve"> משום דרכי שלום בעלמא הוא משמע דלא מיפסיל. וי"ל דס"ל דמפריחי יונים היינו ארא, וכמש"כ בתחילת דבריו, וכיון דארא פסול כ"ש אי תקדמיה יונך ליון ומשום פיסולא אי תקדמיה יונך ליון הוי משום משחק בקוביא, ואע"פ שהלשון דחוק קצת שכתב ולא יונים בלבד אמרו דמשמע שהזכיר כבר למעלה יונים בההוא גוונא דאי תקדמיה יונך ליון, י"ל שתפס לשון הברייתא ולא קאי למה שהזכיר.</w:t>
      </w:r>
    </w:p>
  </w:footnote>
  <w:footnote w:id="2239">
    <w:p w14:paraId="7EBE1551" w14:textId="77777777" w:rsidR="0013116F" w:rsidRPr="00845316" w:rsidRDefault="0013116F" w:rsidP="004B607F">
      <w:pPr>
        <w:pStyle w:val="a9"/>
        <w:spacing w:after="60"/>
        <w:rPr>
          <w:rFonts w:asciiTheme="minorBidi" w:hAnsiTheme="minorBidi"/>
          <w:rtl/>
        </w:rPr>
      </w:pPr>
      <w:r w:rsidRPr="00845316">
        <w:rPr>
          <w:rStyle w:val="ab"/>
          <w:rFonts w:asciiTheme="minorBidi" w:hAnsiTheme="minorBidi"/>
        </w:rPr>
        <w:footnoteRef/>
      </w:r>
      <w:r w:rsidRPr="00845316">
        <w:rPr>
          <w:rFonts w:asciiTheme="minorBidi" w:hAnsiTheme="minorBidi"/>
          <w:rtl/>
        </w:rPr>
        <w:t xml:space="preserve"> אפילו יש להם אומנות אחרת, והוא משום דהוי גזל גמור מדרבנן, משא"כ במפריחי יונים ע"מ שתקדם וכו' </w:t>
      </w:r>
      <w:r w:rsidRPr="00845316">
        <w:rPr>
          <w:rFonts w:asciiTheme="minorBidi" w:hAnsiTheme="minorBidi"/>
          <w:sz w:val="16"/>
          <w:szCs w:val="16"/>
          <w:rtl/>
        </w:rPr>
        <w:t>(שהוא בכלל משחק בקוביא)</w:t>
      </w:r>
      <w:r w:rsidRPr="00845316">
        <w:rPr>
          <w:rFonts w:asciiTheme="minorBidi" w:hAnsiTheme="minorBidi"/>
          <w:rtl/>
        </w:rPr>
        <w:t xml:space="preserve"> שאינם נפסלים אם יש להם אומנות אחרת, סמ"ע</w:t>
      </w:r>
      <w:r w:rsidRPr="00845316">
        <w:rPr>
          <w:rFonts w:asciiTheme="minorBidi" w:hAnsiTheme="minorBidi"/>
          <w:sz w:val="16"/>
          <w:szCs w:val="16"/>
          <w:rtl/>
        </w:rPr>
        <w:t xml:space="preserve"> (סקל"ט)</w:t>
      </w:r>
      <w:r w:rsidRPr="00845316">
        <w:rPr>
          <w:rFonts w:asciiTheme="minorBidi" w:hAnsiTheme="minorBidi"/>
          <w:rtl/>
        </w:rPr>
        <w:t xml:space="preserve"> ט"ז וגר"א </w:t>
      </w:r>
      <w:r w:rsidRPr="00845316">
        <w:rPr>
          <w:rFonts w:asciiTheme="minorBidi" w:hAnsiTheme="minorBidi"/>
          <w:sz w:val="16"/>
          <w:szCs w:val="16"/>
          <w:rtl/>
        </w:rPr>
        <w:t>(סקכ"ט)</w:t>
      </w:r>
      <w:r w:rsidRPr="00845316">
        <w:rPr>
          <w:rFonts w:asciiTheme="minorBidi" w:hAnsiTheme="minorBidi"/>
          <w:rtl/>
        </w:rPr>
        <w:t>.</w:t>
      </w:r>
    </w:p>
  </w:footnote>
  <w:footnote w:id="2240">
    <w:p w14:paraId="5D44C141" w14:textId="77777777" w:rsidR="0013116F" w:rsidRPr="00845316" w:rsidRDefault="0013116F" w:rsidP="004B607F">
      <w:pPr>
        <w:pStyle w:val="a9"/>
        <w:spacing w:after="60"/>
        <w:rPr>
          <w:rFonts w:asciiTheme="minorBidi" w:hAnsiTheme="minorBidi"/>
          <w:rtl/>
        </w:rPr>
      </w:pPr>
      <w:r w:rsidRPr="00845316">
        <w:rPr>
          <w:rStyle w:val="ab"/>
          <w:rFonts w:asciiTheme="minorBidi" w:hAnsiTheme="minorBidi"/>
        </w:rPr>
        <w:footnoteRef/>
      </w:r>
      <w:r w:rsidRPr="00845316">
        <w:rPr>
          <w:rFonts w:asciiTheme="minorBidi" w:hAnsiTheme="minorBidi"/>
          <w:rtl/>
        </w:rPr>
        <w:t xml:space="preserve"> ועי' בסי' רז סי"ז אימתי משחק בקוביא אסור ואימתי מותר.</w:t>
      </w:r>
    </w:p>
  </w:footnote>
  <w:footnote w:id="2241">
    <w:p w14:paraId="31B6CC21" w14:textId="77777777" w:rsidR="0013116F" w:rsidRPr="005D0857" w:rsidRDefault="0013116F" w:rsidP="004B607F">
      <w:pPr>
        <w:pStyle w:val="a9"/>
        <w:spacing w:after="60"/>
        <w:rPr>
          <w:rFonts w:asciiTheme="minorBidi" w:hAnsiTheme="minorBidi"/>
        </w:rPr>
      </w:pPr>
      <w:r w:rsidRPr="005D0857">
        <w:rPr>
          <w:rStyle w:val="ab"/>
          <w:rFonts w:asciiTheme="minorBidi" w:hAnsiTheme="minorBidi"/>
        </w:rPr>
        <w:footnoteRef/>
      </w:r>
      <w:r w:rsidRPr="005D0857">
        <w:rPr>
          <w:rFonts w:asciiTheme="minorBidi" w:hAnsiTheme="minorBidi"/>
          <w:rtl/>
        </w:rPr>
        <w:t xml:space="preserve"> וכן אם יש לו אומנות אחרת והיא אינה מספקת לו, כך שהוא משתמש בכסף זה שמרויח, סמ"ע (סק"מ) וט"ז.</w:t>
      </w:r>
    </w:p>
  </w:footnote>
  <w:footnote w:id="2242">
    <w:p w14:paraId="4CC1EEF2" w14:textId="77777777" w:rsidR="0013116F" w:rsidRDefault="0013116F" w:rsidP="004B607F">
      <w:pPr>
        <w:pStyle w:val="a9"/>
      </w:pPr>
      <w:r>
        <w:rPr>
          <w:rStyle w:val="ab"/>
        </w:rPr>
        <w:footnoteRef/>
      </w:r>
      <w:r>
        <w:rPr>
          <w:rtl/>
        </w:rPr>
        <w:t xml:space="preserve"> </w:t>
      </w:r>
      <w:r>
        <w:rPr>
          <w:rFonts w:hint="cs"/>
          <w:rtl/>
        </w:rPr>
        <w:t xml:space="preserve">סימן </w:t>
      </w:r>
      <w:r>
        <w:rPr>
          <w:rtl/>
        </w:rPr>
        <w:t>–</w:t>
      </w:r>
      <w:r>
        <w:rPr>
          <w:rFonts w:hint="cs"/>
          <w:rtl/>
        </w:rPr>
        <w:t xml:space="preserve"> מנוער ממקרא ממשנה ממצות וממעשים.</w:t>
      </w:r>
    </w:p>
  </w:footnote>
  <w:footnote w:id="2243">
    <w:p w14:paraId="46F89567" w14:textId="77777777" w:rsidR="0013116F" w:rsidRPr="005D0857" w:rsidRDefault="0013116F" w:rsidP="004B607F">
      <w:pPr>
        <w:spacing w:after="60" w:line="240" w:lineRule="auto"/>
        <w:rPr>
          <w:rFonts w:asciiTheme="minorBidi" w:hAnsiTheme="minorBidi"/>
          <w:sz w:val="20"/>
          <w:szCs w:val="20"/>
          <w:rtl/>
        </w:rPr>
      </w:pPr>
      <w:r w:rsidRPr="005D0857">
        <w:rPr>
          <w:rStyle w:val="ab"/>
          <w:rFonts w:asciiTheme="minorBidi" w:hAnsiTheme="minorBidi"/>
          <w:sz w:val="20"/>
          <w:szCs w:val="20"/>
        </w:rPr>
        <w:footnoteRef/>
      </w:r>
      <w:r w:rsidRPr="005D0857">
        <w:rPr>
          <w:rFonts w:asciiTheme="minorBidi" w:hAnsiTheme="minorBidi"/>
          <w:sz w:val="20"/>
          <w:szCs w:val="20"/>
          <w:rtl/>
        </w:rPr>
        <w:t xml:space="preserve"> דכיון שאינו מן היישוב אין מקפיד על עצמו ואין לו בושת פנים..., רש"י.</w:t>
      </w:r>
    </w:p>
  </w:footnote>
  <w:footnote w:id="2244">
    <w:p w14:paraId="498861F1" w14:textId="30AC7CA0" w:rsidR="0013116F" w:rsidRDefault="0013116F" w:rsidP="004B607F">
      <w:pPr>
        <w:pStyle w:val="a9"/>
      </w:pPr>
      <w:r>
        <w:rPr>
          <w:rStyle w:val="ab"/>
        </w:rPr>
        <w:footnoteRef/>
      </w:r>
      <w:r>
        <w:rPr>
          <w:rtl/>
        </w:rPr>
        <w:t xml:space="preserve"> </w:t>
      </w:r>
      <w:r>
        <w:rPr>
          <w:rFonts w:hint="cs"/>
          <w:rtl/>
        </w:rPr>
        <w:t>סימן - מנוער מטוב.</w:t>
      </w:r>
      <w:r w:rsidR="00A579CD">
        <w:rPr>
          <w:rFonts w:hint="cs"/>
          <w:rtl/>
        </w:rPr>
        <w:t xml:space="preserve"> וכן </w:t>
      </w:r>
      <w:r w:rsidR="00A579CD">
        <w:rPr>
          <w:rtl/>
        </w:rPr>
        <w:t>–</w:t>
      </w:r>
      <w:r w:rsidR="00A579CD">
        <w:rPr>
          <w:rFonts w:hint="cs"/>
          <w:rtl/>
        </w:rPr>
        <w:t xml:space="preserve"> מלא טינופת.</w:t>
      </w:r>
    </w:p>
  </w:footnote>
  <w:footnote w:id="2245">
    <w:p w14:paraId="10222602" w14:textId="77777777" w:rsidR="0013116F" w:rsidRPr="00845316" w:rsidRDefault="0013116F" w:rsidP="004B607F">
      <w:pPr>
        <w:pStyle w:val="a9"/>
        <w:spacing w:after="60"/>
        <w:rPr>
          <w:rFonts w:asciiTheme="minorBidi" w:hAnsiTheme="minorBidi"/>
        </w:rPr>
      </w:pPr>
      <w:r w:rsidRPr="005D0857">
        <w:rPr>
          <w:rStyle w:val="ab"/>
          <w:rFonts w:asciiTheme="minorBidi" w:hAnsiTheme="minorBidi"/>
        </w:rPr>
        <w:footnoteRef/>
      </w:r>
      <w:r w:rsidRPr="005D0857">
        <w:rPr>
          <w:rFonts w:asciiTheme="minorBidi" w:hAnsiTheme="minorBidi"/>
          <w:rtl/>
        </w:rPr>
        <w:t xml:space="preserve"> אין מזמנין</w:t>
      </w:r>
      <w:r w:rsidRPr="00845316">
        <w:rPr>
          <w:rFonts w:asciiTheme="minorBidi" w:hAnsiTheme="minorBidi"/>
          <w:rtl/>
        </w:rPr>
        <w:t xml:space="preserve"> אותו לשמוע דבר להעיד עליו, רש"י.</w:t>
      </w:r>
    </w:p>
  </w:footnote>
  <w:footnote w:id="2246">
    <w:p w14:paraId="0918CAD6" w14:textId="77777777" w:rsidR="0013116F" w:rsidRPr="00845316" w:rsidRDefault="0013116F" w:rsidP="004B607F">
      <w:pPr>
        <w:pStyle w:val="a9"/>
        <w:spacing w:after="60"/>
        <w:rPr>
          <w:rFonts w:asciiTheme="minorBidi" w:hAnsiTheme="minorBidi"/>
        </w:rPr>
      </w:pPr>
      <w:r w:rsidRPr="00845316">
        <w:rPr>
          <w:rStyle w:val="ab"/>
          <w:rFonts w:asciiTheme="minorBidi" w:hAnsiTheme="minorBidi"/>
        </w:rPr>
        <w:footnoteRef/>
      </w:r>
      <w:r w:rsidRPr="00845316">
        <w:rPr>
          <w:rFonts w:asciiTheme="minorBidi" w:hAnsiTheme="minorBidi"/>
          <w:rtl/>
        </w:rPr>
        <w:t xml:space="preserve"> מפני שאינו יודע לכוין, טור וב"י.</w:t>
      </w:r>
    </w:p>
  </w:footnote>
  <w:footnote w:id="2247">
    <w:p w14:paraId="172A1863" w14:textId="77777777" w:rsidR="0013116F" w:rsidRPr="00845316" w:rsidRDefault="0013116F" w:rsidP="004B607F">
      <w:pPr>
        <w:pStyle w:val="a9"/>
        <w:spacing w:after="60"/>
        <w:rPr>
          <w:rFonts w:asciiTheme="minorBidi" w:hAnsiTheme="minorBidi"/>
          <w:rtl/>
        </w:rPr>
      </w:pPr>
      <w:r w:rsidRPr="00845316">
        <w:rPr>
          <w:rStyle w:val="ab"/>
          <w:rFonts w:asciiTheme="minorBidi" w:hAnsiTheme="minorBidi"/>
        </w:rPr>
        <w:footnoteRef/>
      </w:r>
      <w:r w:rsidRPr="00845316">
        <w:rPr>
          <w:rFonts w:asciiTheme="minorBidi" w:hAnsiTheme="minorBidi"/>
          <w:rtl/>
        </w:rPr>
        <w:t xml:space="preserve"> היינו- "אם היינו מרחקים אותן ביותר היו עושים דת לעצמם וממנים להם דיינים מתוכם", רא"ש.</w:t>
      </w:r>
    </w:p>
  </w:footnote>
  <w:footnote w:id="2248">
    <w:p w14:paraId="44F63A9F" w14:textId="77777777" w:rsidR="0013116F" w:rsidRPr="00845316" w:rsidRDefault="0013116F" w:rsidP="004B607F">
      <w:pPr>
        <w:pStyle w:val="a9"/>
        <w:spacing w:after="60"/>
        <w:rPr>
          <w:rFonts w:asciiTheme="minorBidi" w:hAnsiTheme="minorBidi"/>
          <w:rtl/>
        </w:rPr>
      </w:pPr>
      <w:r w:rsidRPr="00845316">
        <w:rPr>
          <w:rStyle w:val="ab"/>
          <w:rFonts w:asciiTheme="minorBidi" w:hAnsiTheme="minorBidi"/>
        </w:rPr>
        <w:footnoteRef/>
      </w:r>
      <w:r w:rsidRPr="00845316">
        <w:rPr>
          <w:rFonts w:asciiTheme="minorBidi" w:hAnsiTheme="minorBidi"/>
          <w:rtl/>
        </w:rPr>
        <w:t xml:space="preserve"> דאילו לרבנן לא מקבלינן, כדאמר בפסחים בפרק אלו עוברין (מט:), רש"י.</w:t>
      </w:r>
    </w:p>
  </w:footnote>
  <w:footnote w:id="2249">
    <w:p w14:paraId="3533C97E" w14:textId="77777777" w:rsidR="0013116F" w:rsidRPr="00845316" w:rsidRDefault="0013116F" w:rsidP="004B607F">
      <w:pPr>
        <w:pStyle w:val="a9"/>
        <w:spacing w:after="60"/>
        <w:rPr>
          <w:rFonts w:asciiTheme="minorBidi" w:hAnsiTheme="minorBidi"/>
          <w:rtl/>
        </w:rPr>
      </w:pPr>
      <w:r w:rsidRPr="00845316">
        <w:rPr>
          <w:rStyle w:val="ab"/>
          <w:rFonts w:asciiTheme="minorBidi" w:hAnsiTheme="minorBidi"/>
        </w:rPr>
        <w:footnoteRef/>
      </w:r>
      <w:r w:rsidRPr="00845316">
        <w:rPr>
          <w:rFonts w:asciiTheme="minorBidi" w:hAnsiTheme="minorBidi"/>
          <w:rtl/>
        </w:rPr>
        <w:t xml:space="preserve"> מהגמ' בקידושין ברור שמי שאינו לא במקרא ולא במשנה ולא בדרך ארץ פסול לעדות, וזהו כנראה גדר עם הארץ גמור, אבל מכיון שיש עוד ב' מקומות בש"ס </w:t>
      </w:r>
      <w:r w:rsidRPr="00845316">
        <w:rPr>
          <w:rFonts w:asciiTheme="minorBidi" w:hAnsiTheme="minorBidi"/>
          <w:sz w:val="16"/>
          <w:szCs w:val="16"/>
          <w:rtl/>
        </w:rPr>
        <w:t xml:space="preserve">(פסחים וחגיגה) </w:t>
      </w:r>
      <w:r w:rsidRPr="00845316">
        <w:rPr>
          <w:rFonts w:asciiTheme="minorBidi" w:hAnsiTheme="minorBidi"/>
          <w:rtl/>
        </w:rPr>
        <w:t>שמוזכרים בהם עה"א לגבי עדות ומסקנותיהם חלוקות צריך לברר איזה עה"א פסול ואיזה כשר, לכן...</w:t>
      </w:r>
    </w:p>
  </w:footnote>
  <w:footnote w:id="2250">
    <w:p w14:paraId="1EC5B78C" w14:textId="77777777" w:rsidR="0013116F" w:rsidRPr="00845316" w:rsidRDefault="0013116F" w:rsidP="004B607F">
      <w:pPr>
        <w:pStyle w:val="a9"/>
        <w:spacing w:after="60"/>
        <w:rPr>
          <w:rFonts w:asciiTheme="minorBidi" w:hAnsiTheme="minorBidi"/>
        </w:rPr>
      </w:pPr>
      <w:r w:rsidRPr="00845316">
        <w:rPr>
          <w:rStyle w:val="ab"/>
          <w:rFonts w:asciiTheme="minorBidi" w:hAnsiTheme="minorBidi"/>
        </w:rPr>
        <w:footnoteRef/>
      </w:r>
      <w:r w:rsidRPr="00845316">
        <w:rPr>
          <w:rFonts w:asciiTheme="minorBidi" w:hAnsiTheme="minorBidi"/>
          <w:rtl/>
        </w:rPr>
        <w:t xml:space="preserve"> המשך לשון הרי"ף שם- "כגון דלא חשיד אשבועתא ואגזלנותא ולא חדא אנפא מאנפי פסלנותא". תיבת "ומצות" ליתא בחלק מהדפוסים אבל לפנינו נמצאת, וכן גרס הב"י (שכשהשווה בין הרי"ף לרמב"ם כ' שהרי"ף סובר שעה"א איתיה בדרך ארץ ומצות).</w:t>
      </w:r>
    </w:p>
  </w:footnote>
  <w:footnote w:id="2251">
    <w:p w14:paraId="221F485C" w14:textId="77777777" w:rsidR="0013116F" w:rsidRPr="00845316" w:rsidRDefault="0013116F" w:rsidP="004B607F">
      <w:pPr>
        <w:pStyle w:val="a9"/>
        <w:spacing w:after="60"/>
        <w:rPr>
          <w:rFonts w:asciiTheme="minorBidi" w:hAnsiTheme="minorBidi"/>
          <w:rtl/>
        </w:rPr>
      </w:pPr>
      <w:r w:rsidRPr="00845316">
        <w:rPr>
          <w:rStyle w:val="ab"/>
          <w:rFonts w:asciiTheme="minorBidi" w:hAnsiTheme="minorBidi"/>
        </w:rPr>
        <w:footnoteRef/>
      </w:r>
      <w:r w:rsidRPr="00845316">
        <w:rPr>
          <w:rFonts w:asciiTheme="minorBidi" w:hAnsiTheme="minorBidi"/>
          <w:rtl/>
        </w:rPr>
        <w:t xml:space="preserve"> כ' המאירי על דברי הרי"ף דמתוך דאינם במקרא ובמשנה אינם מדקדקים בדקדוקי מצות.</w:t>
      </w:r>
    </w:p>
  </w:footnote>
  <w:footnote w:id="2252">
    <w:p w14:paraId="2527A460" w14:textId="77777777" w:rsidR="0013116F" w:rsidRPr="00845316" w:rsidRDefault="0013116F" w:rsidP="004B607F">
      <w:pPr>
        <w:pStyle w:val="a9"/>
        <w:spacing w:after="60"/>
        <w:rPr>
          <w:rFonts w:asciiTheme="minorBidi" w:hAnsiTheme="minorBidi"/>
        </w:rPr>
      </w:pPr>
      <w:r w:rsidRPr="00845316">
        <w:rPr>
          <w:rStyle w:val="ab"/>
          <w:rFonts w:asciiTheme="minorBidi" w:hAnsiTheme="minorBidi"/>
        </w:rPr>
        <w:footnoteRef/>
      </w:r>
      <w:r w:rsidRPr="00845316">
        <w:rPr>
          <w:rFonts w:asciiTheme="minorBidi" w:hAnsiTheme="minorBidi"/>
          <w:rtl/>
        </w:rPr>
        <w:t xml:space="preserve"> ולפי דבריו צ"ל דכי קתני 'אין מקבלין ממנו עדות' דמשמע דקבולי לא מקבלינן אבל בדיעבד עדותו עדות- לאו דוקא, דהא עם הארץ כי האי פסול לעדות דהא אינו לא במקרא ולא במשנה ולא בדרך ארץ, ב"י.</w:t>
      </w:r>
    </w:p>
  </w:footnote>
  <w:footnote w:id="2253">
    <w:p w14:paraId="7CD9BE21" w14:textId="77777777" w:rsidR="0013116F" w:rsidRPr="00845316" w:rsidRDefault="0013116F" w:rsidP="004B607F">
      <w:pPr>
        <w:pStyle w:val="a9"/>
        <w:spacing w:after="60"/>
        <w:rPr>
          <w:rFonts w:asciiTheme="minorBidi" w:hAnsiTheme="minorBidi"/>
        </w:rPr>
      </w:pPr>
      <w:r w:rsidRPr="00845316">
        <w:rPr>
          <w:rStyle w:val="ab"/>
          <w:rFonts w:asciiTheme="minorBidi" w:hAnsiTheme="minorBidi"/>
        </w:rPr>
        <w:footnoteRef/>
      </w:r>
      <w:r w:rsidRPr="00845316">
        <w:rPr>
          <w:rFonts w:asciiTheme="minorBidi" w:hAnsiTheme="minorBidi"/>
          <w:rtl/>
        </w:rPr>
        <w:t xml:space="preserve"> פסחים </w:t>
      </w:r>
      <w:r w:rsidRPr="00845316">
        <w:rPr>
          <w:rFonts w:asciiTheme="minorBidi" w:hAnsiTheme="minorBidi"/>
          <w:sz w:val="16"/>
          <w:szCs w:val="16"/>
          <w:rtl/>
        </w:rPr>
        <w:t>(טז ע"א ד"ה גמ' בת)</w:t>
      </w:r>
      <w:r w:rsidRPr="00845316">
        <w:rPr>
          <w:rFonts w:asciiTheme="minorBidi" w:hAnsiTheme="minorBidi"/>
          <w:rtl/>
        </w:rPr>
        <w:t xml:space="preserve">. וכן הבין הב"י מדברי רש"י </w:t>
      </w:r>
      <w:r w:rsidRPr="00845316">
        <w:rPr>
          <w:rFonts w:asciiTheme="minorBidi" w:hAnsiTheme="minorBidi"/>
          <w:sz w:val="16"/>
          <w:szCs w:val="16"/>
          <w:rtl/>
        </w:rPr>
        <w:t>(חגיגה שם)</w:t>
      </w:r>
      <w:r w:rsidRPr="00845316">
        <w:rPr>
          <w:rFonts w:asciiTheme="minorBidi" w:hAnsiTheme="minorBidi"/>
          <w:rtl/>
        </w:rPr>
        <w:t>.</w:t>
      </w:r>
      <w:r w:rsidRPr="00845316">
        <w:rPr>
          <w:rFonts w:asciiTheme="minorBidi" w:hAnsiTheme="minorBidi"/>
          <w:sz w:val="16"/>
          <w:szCs w:val="16"/>
          <w:rtl/>
        </w:rPr>
        <w:t xml:space="preserve"> </w:t>
      </w:r>
      <w:r w:rsidRPr="00845316">
        <w:rPr>
          <w:rFonts w:asciiTheme="minorBidi" w:hAnsiTheme="minorBidi"/>
          <w:rtl/>
        </w:rPr>
        <w:t>אך יש להעיר שדבר זה</w:t>
      </w:r>
      <w:r w:rsidRPr="00845316">
        <w:rPr>
          <w:rFonts w:asciiTheme="minorBidi" w:hAnsiTheme="minorBidi"/>
          <w:sz w:val="16"/>
          <w:szCs w:val="16"/>
          <w:rtl/>
        </w:rPr>
        <w:t xml:space="preserve"> </w:t>
      </w:r>
      <w:r w:rsidRPr="00845316">
        <w:rPr>
          <w:rFonts w:asciiTheme="minorBidi" w:hAnsiTheme="minorBidi"/>
          <w:sz w:val="14"/>
          <w:szCs w:val="14"/>
          <w:rtl/>
        </w:rPr>
        <w:t>(שרש"י סובר דעה"א איתיה בד"א ומצות)</w:t>
      </w:r>
      <w:r w:rsidRPr="00845316">
        <w:rPr>
          <w:rFonts w:asciiTheme="minorBidi" w:hAnsiTheme="minorBidi"/>
          <w:rtl/>
        </w:rPr>
        <w:t xml:space="preserve"> לא מפורש ברש"י אצלנו </w:t>
      </w:r>
      <w:r w:rsidRPr="00845316">
        <w:rPr>
          <w:rFonts w:asciiTheme="minorBidi" w:hAnsiTheme="minorBidi"/>
          <w:sz w:val="16"/>
          <w:szCs w:val="16"/>
          <w:rtl/>
        </w:rPr>
        <w:t>(ולא מצאתי כן ולא דומה לו ברש"י בכל הש"ס)</w:t>
      </w:r>
      <w:r w:rsidRPr="00845316">
        <w:rPr>
          <w:rFonts w:asciiTheme="minorBidi" w:hAnsiTheme="minorBidi"/>
          <w:rtl/>
        </w:rPr>
        <w:t xml:space="preserve">, ואולי אפ"ל שהב"י לקח גדר זה מדברי הר"ן שכ' כן בפירוש. ומ"מ הגר"א </w:t>
      </w:r>
      <w:r w:rsidRPr="00845316">
        <w:rPr>
          <w:rFonts w:asciiTheme="minorBidi" w:hAnsiTheme="minorBidi"/>
          <w:sz w:val="16"/>
          <w:szCs w:val="16"/>
          <w:rtl/>
        </w:rPr>
        <w:t xml:space="preserve">(סקל"ט) </w:t>
      </w:r>
      <w:r w:rsidRPr="00845316">
        <w:rPr>
          <w:rFonts w:asciiTheme="minorBidi" w:hAnsiTheme="minorBidi"/>
          <w:rtl/>
        </w:rPr>
        <w:t>כ' בפירוש שדעת רש"י הוא כהרא"ש, היינו דעה"א ליתיה בתורה ובדר"א, וזה הוא היפך הב' הב"י בדברי רש"י.</w:t>
      </w:r>
    </w:p>
  </w:footnote>
  <w:footnote w:id="2254">
    <w:p w14:paraId="485FEE3A" w14:textId="77777777" w:rsidR="0013116F" w:rsidRPr="00845316" w:rsidRDefault="0013116F" w:rsidP="004B607F">
      <w:pPr>
        <w:pStyle w:val="a9"/>
        <w:spacing w:after="60"/>
        <w:rPr>
          <w:rFonts w:asciiTheme="minorBidi" w:hAnsiTheme="minorBidi"/>
          <w:rtl/>
        </w:rPr>
      </w:pPr>
      <w:r w:rsidRPr="00845316">
        <w:rPr>
          <w:rStyle w:val="ab"/>
          <w:rFonts w:asciiTheme="minorBidi" w:hAnsiTheme="minorBidi"/>
        </w:rPr>
        <w:footnoteRef/>
      </w:r>
      <w:r w:rsidRPr="00845316">
        <w:rPr>
          <w:rFonts w:asciiTheme="minorBidi" w:hAnsiTheme="minorBidi"/>
          <w:rtl/>
        </w:rPr>
        <w:t xml:space="preserve"> כך כתב הב"י שהטור הבין בד' הרא"ש (</w:t>
      </w:r>
      <w:r w:rsidRPr="00845316">
        <w:rPr>
          <w:rFonts w:asciiTheme="minorBidi" w:hAnsiTheme="minorBidi"/>
          <w:sz w:val="16"/>
          <w:szCs w:val="16"/>
          <w:rtl/>
        </w:rPr>
        <w:t>ולכך לא הביא הטור דעה חולקת על דברי הרמב"ם, משום שסתם עה"א ליתיה בתורה ובד"א, כהרמב"ם)</w:t>
      </w:r>
      <w:r w:rsidRPr="00845316">
        <w:rPr>
          <w:rFonts w:asciiTheme="minorBidi" w:hAnsiTheme="minorBidi"/>
          <w:rtl/>
        </w:rPr>
        <w:t xml:space="preserve">. </w:t>
      </w:r>
    </w:p>
  </w:footnote>
  <w:footnote w:id="2255">
    <w:p w14:paraId="2342F2D3" w14:textId="77777777" w:rsidR="0013116F" w:rsidRPr="00845316" w:rsidRDefault="0013116F" w:rsidP="004B607F">
      <w:pPr>
        <w:pStyle w:val="a9"/>
        <w:spacing w:after="60"/>
        <w:rPr>
          <w:rFonts w:asciiTheme="minorBidi" w:hAnsiTheme="minorBidi"/>
          <w:rtl/>
        </w:rPr>
      </w:pPr>
      <w:r w:rsidRPr="00845316">
        <w:rPr>
          <w:rStyle w:val="ab"/>
          <w:rFonts w:asciiTheme="minorBidi" w:hAnsiTheme="minorBidi"/>
        </w:rPr>
        <w:footnoteRef/>
      </w:r>
      <w:r w:rsidRPr="00845316">
        <w:rPr>
          <w:rFonts w:asciiTheme="minorBidi" w:hAnsiTheme="minorBidi"/>
          <w:rtl/>
        </w:rPr>
        <w:t xml:space="preserve"> היה קשה לרא"ש פירוש הרי"ף שלהבנתו בדברי הרי"ף יוצא שאין בעדים שום פסול, אך לפי דברי המאירי מתורץ דהרי אינם מדקדקים בדקדוקי מצות.</w:t>
      </w:r>
      <w:r w:rsidRPr="00845316">
        <w:rPr>
          <w:rFonts w:asciiTheme="minorBidi" w:hAnsiTheme="minorBidi"/>
          <w:color w:val="FF0000"/>
          <w:rtl/>
        </w:rPr>
        <w:t xml:space="preserve"> </w:t>
      </w:r>
      <w:r w:rsidRPr="00845316">
        <w:rPr>
          <w:rFonts w:asciiTheme="minorBidi" w:hAnsiTheme="minorBidi"/>
          <w:color w:val="FF0000"/>
          <w:sz w:val="16"/>
          <w:szCs w:val="16"/>
          <w:rtl/>
        </w:rPr>
        <w:t>(אך עדיין קשה לי להבין את דברי הרי"ף וכי עד ר' יוסי היו פוסלים עדים על זה שאינם מדקדקים בדקדוקי מצות, וצל"ע)</w:t>
      </w:r>
    </w:p>
  </w:footnote>
  <w:footnote w:id="2256">
    <w:p w14:paraId="5A6A54A1" w14:textId="77777777" w:rsidR="0013116F" w:rsidRPr="00845316" w:rsidRDefault="0013116F" w:rsidP="004B607F">
      <w:pPr>
        <w:pStyle w:val="a9"/>
        <w:spacing w:after="60"/>
        <w:rPr>
          <w:rFonts w:asciiTheme="minorBidi" w:hAnsiTheme="minorBidi"/>
        </w:rPr>
      </w:pPr>
      <w:r w:rsidRPr="00845316">
        <w:rPr>
          <w:rStyle w:val="ab"/>
          <w:rFonts w:asciiTheme="minorBidi" w:hAnsiTheme="minorBidi"/>
        </w:rPr>
        <w:footnoteRef/>
      </w:r>
      <w:r w:rsidRPr="00845316">
        <w:rPr>
          <w:rFonts w:asciiTheme="minorBidi" w:hAnsiTheme="minorBidi"/>
          <w:rtl/>
        </w:rPr>
        <w:t xml:space="preserve"> שכל מי שירד עד כך חזקה שהוא עובר על רוב העבירות שיבואו לידו, רמב"ם (פי"א ה"א). </w:t>
      </w:r>
    </w:p>
  </w:footnote>
  <w:footnote w:id="2257">
    <w:p w14:paraId="3C3D855F" w14:textId="77777777" w:rsidR="0013116F" w:rsidRPr="00845316" w:rsidRDefault="0013116F" w:rsidP="004B607F">
      <w:pPr>
        <w:pStyle w:val="a9"/>
        <w:spacing w:after="60"/>
        <w:rPr>
          <w:rFonts w:asciiTheme="minorBidi" w:hAnsiTheme="minorBidi"/>
        </w:rPr>
      </w:pPr>
      <w:r w:rsidRPr="00845316">
        <w:rPr>
          <w:rStyle w:val="ab"/>
          <w:rFonts w:asciiTheme="minorBidi" w:hAnsiTheme="minorBidi"/>
        </w:rPr>
        <w:footnoteRef/>
      </w:r>
      <w:r w:rsidRPr="00845316">
        <w:rPr>
          <w:rFonts w:asciiTheme="minorBidi" w:hAnsiTheme="minorBidi"/>
          <w:rtl/>
        </w:rPr>
        <w:t xml:space="preserve"> ואפשר דדוקא אחר הכרזה, תשב"ץ (ח"א סי' א דף ג ע"ד, הביאו רעק"א).</w:t>
      </w:r>
    </w:p>
  </w:footnote>
  <w:footnote w:id="2258">
    <w:p w14:paraId="1F326208" w14:textId="77777777" w:rsidR="0013116F" w:rsidRPr="00845316" w:rsidRDefault="0013116F" w:rsidP="004B607F">
      <w:pPr>
        <w:pStyle w:val="a9"/>
        <w:spacing w:after="60"/>
        <w:rPr>
          <w:rFonts w:asciiTheme="minorBidi" w:hAnsiTheme="minorBidi"/>
        </w:rPr>
      </w:pPr>
      <w:r w:rsidRPr="00845316">
        <w:rPr>
          <w:rStyle w:val="ab"/>
          <w:rFonts w:asciiTheme="minorBidi" w:hAnsiTheme="minorBidi"/>
        </w:rPr>
        <w:footnoteRef/>
      </w:r>
      <w:r w:rsidRPr="00845316">
        <w:rPr>
          <w:rFonts w:asciiTheme="minorBidi" w:hAnsiTheme="minorBidi"/>
          <w:rtl/>
        </w:rPr>
        <w:t xml:space="preserve"> פירוש, אין מיחדין אותו מתחילה לעד, ואם נעשה דיחדו לעד, מ"מ אין מקבלין הבית דין ממנו העדות, סמ"ע (סקמ"ג).</w:t>
      </w:r>
    </w:p>
  </w:footnote>
  <w:footnote w:id="2259">
    <w:p w14:paraId="6AE7A28C" w14:textId="77777777" w:rsidR="0013116F" w:rsidRPr="00845316" w:rsidRDefault="0013116F" w:rsidP="004B607F">
      <w:pPr>
        <w:pStyle w:val="a9"/>
        <w:spacing w:after="60"/>
        <w:rPr>
          <w:rFonts w:asciiTheme="minorBidi" w:hAnsiTheme="minorBidi"/>
        </w:rPr>
      </w:pPr>
      <w:r w:rsidRPr="00845316">
        <w:rPr>
          <w:rStyle w:val="ab"/>
          <w:rFonts w:asciiTheme="minorBidi" w:hAnsiTheme="minorBidi"/>
        </w:rPr>
        <w:footnoteRef/>
      </w:r>
      <w:r w:rsidRPr="00845316">
        <w:rPr>
          <w:rFonts w:asciiTheme="minorBidi" w:hAnsiTheme="minorBidi"/>
          <w:rtl/>
        </w:rPr>
        <w:t xml:space="preserve"> כל זה </w:t>
      </w:r>
      <w:r w:rsidRPr="00845316">
        <w:rPr>
          <w:rFonts w:asciiTheme="minorBidi" w:hAnsiTheme="minorBidi"/>
          <w:sz w:val="16"/>
          <w:szCs w:val="16"/>
          <w:rtl/>
        </w:rPr>
        <w:t>(היינו מש"כ השו"ע/רמב"ם- שעוסק במצות ובגמ"ח ונוהג בדרכי הישרים)</w:t>
      </w:r>
      <w:r w:rsidRPr="00845316">
        <w:rPr>
          <w:rFonts w:asciiTheme="minorBidi" w:hAnsiTheme="minorBidi"/>
          <w:rtl/>
        </w:rPr>
        <w:t xml:space="preserve"> נכלל בדרך ארץ, כמש"כ המפרשים, דלא כסמ"ע שדחק בזה, גר"א (סקל"ז). שהסמ"ע (סקמ"ב) כ' דלכאורה קשה, שהרי מתחילת הסע' משמע דאם יש לו אחד מן השלשה (מקרא משנה ודר"א) אינו נפסל, ואח"כ כ'- "לפיכך אין מוסרין... אלא אם כן הוחזק שעוסק במצות... ויש בו דר"א" (דמשמע אף שיש לו אחד דהיינו דר"א לא סגי ליה בהכי עד שיהיה ג"כ בר מצוות) לכן נ"ל דהעיקר הוא דצריך להיות בר מצוה והולך בדרך ישרים. וג' ענינים הן: </w:t>
      </w:r>
      <w:r w:rsidRPr="00845316">
        <w:rPr>
          <w:rFonts w:asciiTheme="minorBidi" w:hAnsiTheme="minorBidi"/>
          <w:u w:val="single"/>
          <w:rtl/>
        </w:rPr>
        <w:t>כשידוע שאינו בשלשתן</w:t>
      </w:r>
      <w:r w:rsidRPr="00845316">
        <w:rPr>
          <w:rFonts w:asciiTheme="minorBidi" w:hAnsiTheme="minorBidi"/>
          <w:rtl/>
        </w:rPr>
        <w:t xml:space="preserve">- פסול לגמרי אפילו בדיעבד. </w:t>
      </w:r>
      <w:r w:rsidRPr="00845316">
        <w:rPr>
          <w:rFonts w:asciiTheme="minorBidi" w:hAnsiTheme="minorBidi"/>
          <w:u w:val="single"/>
          <w:rtl/>
        </w:rPr>
        <w:t>וכשהוא בודאי בר שלשתן</w:t>
      </w:r>
      <w:r w:rsidRPr="00845316">
        <w:rPr>
          <w:rFonts w:asciiTheme="minorBidi" w:hAnsiTheme="minorBidi"/>
          <w:rtl/>
        </w:rPr>
        <w:t xml:space="preserve">- אף שאינו ידוע שעוסק במצוות, כשר הוא אפילו לכתחילה, דחזקתו שהוא בר מצוות. </w:t>
      </w:r>
      <w:r w:rsidRPr="00845316">
        <w:rPr>
          <w:rFonts w:asciiTheme="minorBidi" w:hAnsiTheme="minorBidi"/>
          <w:u w:val="single"/>
          <w:rtl/>
        </w:rPr>
        <w:t xml:space="preserve">וכשאין אנו יודעין בו </w:t>
      </w:r>
      <w:r w:rsidRPr="00845316">
        <w:rPr>
          <w:rFonts w:asciiTheme="minorBidi" w:hAnsiTheme="minorBidi"/>
          <w:sz w:val="16"/>
          <w:szCs w:val="16"/>
          <w:u w:val="single"/>
          <w:rtl/>
        </w:rPr>
        <w:t>(אם הוא בדר"א ומצוות)</w:t>
      </w:r>
      <w:r w:rsidRPr="00845316">
        <w:rPr>
          <w:rFonts w:asciiTheme="minorBidi" w:hAnsiTheme="minorBidi"/>
          <w:rtl/>
        </w:rPr>
        <w:t xml:space="preserve">- בזה אמרו דאין מוסרין לו עדות לכתחילה אא"כ ידוע שהוא מוחזק במצוות ובדר"א, אבל בדיעבד אין פוסלין עדותו. </w:t>
      </w:r>
    </w:p>
  </w:footnote>
  <w:footnote w:id="2260">
    <w:p w14:paraId="5353C64D" w14:textId="77777777" w:rsidR="0013116F" w:rsidRPr="00845316" w:rsidRDefault="0013116F" w:rsidP="004B607F">
      <w:pPr>
        <w:pStyle w:val="a9"/>
        <w:spacing w:after="60"/>
        <w:rPr>
          <w:rFonts w:asciiTheme="minorBidi" w:hAnsiTheme="minorBidi"/>
          <w:rtl/>
        </w:rPr>
      </w:pPr>
      <w:r w:rsidRPr="00845316">
        <w:rPr>
          <w:rStyle w:val="ab"/>
          <w:rFonts w:asciiTheme="minorBidi" w:hAnsiTheme="minorBidi"/>
        </w:rPr>
        <w:footnoteRef/>
      </w:r>
      <w:r w:rsidRPr="00845316">
        <w:rPr>
          <w:rFonts w:asciiTheme="minorBidi" w:hAnsiTheme="minorBidi"/>
          <w:rtl/>
        </w:rPr>
        <w:t xml:space="preserve"> ברמב"ם (מהדו' פרנקל) ובטור איתא- "בדרכי הכשרים".</w:t>
      </w:r>
    </w:p>
  </w:footnote>
  <w:footnote w:id="2261">
    <w:p w14:paraId="4FEB521C" w14:textId="77777777" w:rsidR="0013116F" w:rsidRPr="00845316" w:rsidRDefault="0013116F" w:rsidP="004B607F">
      <w:pPr>
        <w:pStyle w:val="a9"/>
        <w:spacing w:after="60"/>
        <w:rPr>
          <w:rFonts w:asciiTheme="minorBidi" w:hAnsiTheme="minorBidi"/>
          <w:rtl/>
        </w:rPr>
      </w:pPr>
      <w:r w:rsidRPr="00845316">
        <w:rPr>
          <w:rStyle w:val="ab"/>
          <w:rFonts w:asciiTheme="minorBidi" w:hAnsiTheme="minorBidi"/>
        </w:rPr>
        <w:footnoteRef/>
      </w:r>
      <w:r w:rsidRPr="00845316">
        <w:rPr>
          <w:rFonts w:asciiTheme="minorBidi" w:hAnsiTheme="minorBidi"/>
          <w:rtl/>
        </w:rPr>
        <w:t xml:space="preserve"> הב"י בסוף דבריו העתיק את דברי ההגמ"ר שהעתיק את דברי בהעי"ט, ומכיון שיש שוני רב בין גיר' ההגמ"ר בבהעי"ט לבין הגי' שלפנינו בבהעי"ט </w:t>
      </w:r>
      <w:r w:rsidRPr="00845316">
        <w:rPr>
          <w:rFonts w:asciiTheme="minorBidi" w:hAnsiTheme="minorBidi"/>
          <w:u w:val="single"/>
          <w:rtl/>
        </w:rPr>
        <w:t>אעתיק את שתי הגירסאות</w:t>
      </w:r>
      <w:r w:rsidRPr="00845316">
        <w:rPr>
          <w:rFonts w:asciiTheme="minorBidi" w:hAnsiTheme="minorBidi"/>
          <w:rtl/>
        </w:rPr>
        <w:t>:</w:t>
      </w:r>
    </w:p>
    <w:p w14:paraId="11B9E9B8" w14:textId="77777777" w:rsidR="0013116F" w:rsidRPr="00845316" w:rsidRDefault="0013116F" w:rsidP="004B0475">
      <w:pPr>
        <w:pStyle w:val="a9"/>
        <w:numPr>
          <w:ilvl w:val="0"/>
          <w:numId w:val="198"/>
        </w:numPr>
        <w:spacing w:after="60"/>
        <w:rPr>
          <w:rFonts w:asciiTheme="minorBidi" w:hAnsiTheme="minorBidi"/>
          <w:rtl/>
        </w:rPr>
      </w:pPr>
      <w:r w:rsidRPr="00845316">
        <w:rPr>
          <w:rFonts w:asciiTheme="minorBidi" w:hAnsiTheme="minorBidi"/>
          <w:u w:val="dotted"/>
          <w:rtl/>
        </w:rPr>
        <w:t xml:space="preserve">גי' ההגהות מרדכי </w:t>
      </w:r>
      <w:r w:rsidRPr="00845316">
        <w:rPr>
          <w:rFonts w:asciiTheme="minorBidi" w:hAnsiTheme="minorBidi"/>
          <w:sz w:val="16"/>
          <w:szCs w:val="16"/>
          <w:u w:val="dotted"/>
          <w:rtl/>
        </w:rPr>
        <w:t>(סנהדרין סי' תשכא)</w:t>
      </w:r>
      <w:r w:rsidRPr="00845316">
        <w:rPr>
          <w:rFonts w:asciiTheme="minorBidi" w:hAnsiTheme="minorBidi"/>
          <w:u w:val="dotted"/>
          <w:rtl/>
        </w:rPr>
        <w:t>-</w:t>
      </w:r>
      <w:r w:rsidRPr="00845316">
        <w:rPr>
          <w:rFonts w:asciiTheme="minorBidi" w:hAnsiTheme="minorBidi"/>
          <w:rtl/>
        </w:rPr>
        <w:t xml:space="preserve"> כתבו הגאונים מי שאינו זריז בתפלה ובמצות ואין בו דרך ארץ פסול לעדות, ועם הארץ </w:t>
      </w:r>
      <w:r w:rsidRPr="00845316">
        <w:rPr>
          <w:rFonts w:asciiTheme="minorBidi" w:hAnsiTheme="minorBidi"/>
          <w:u w:val="single"/>
          <w:rtl/>
        </w:rPr>
        <w:t>דפסחים</w:t>
      </w:r>
      <w:r w:rsidRPr="00845316">
        <w:rPr>
          <w:rFonts w:asciiTheme="minorBidi" w:hAnsiTheme="minorBidi"/>
          <w:rtl/>
        </w:rPr>
        <w:t xml:space="preserve"> שעוסק </w:t>
      </w:r>
      <w:r w:rsidRPr="00845316">
        <w:rPr>
          <w:rFonts w:asciiTheme="minorBidi" w:hAnsiTheme="minorBidi"/>
          <w:u w:val="single"/>
          <w:rtl/>
        </w:rPr>
        <w:t>בתורה ובמצות ובדרך ארץ</w:t>
      </w:r>
      <w:r w:rsidRPr="00845316">
        <w:rPr>
          <w:rFonts w:asciiTheme="minorBidi" w:hAnsiTheme="minorBidi"/>
          <w:rtl/>
        </w:rPr>
        <w:t xml:space="preserve"> ואינו בן תורה.</w:t>
      </w:r>
      <w:r w:rsidRPr="00845316">
        <w:rPr>
          <w:rFonts w:asciiTheme="minorBidi" w:hAnsiTheme="minorBidi"/>
          <w:sz w:val="16"/>
          <w:szCs w:val="16"/>
          <w:rtl/>
        </w:rPr>
        <w:t xml:space="preserve"> (וכך העתיק הב"י)</w:t>
      </w:r>
    </w:p>
    <w:p w14:paraId="244800C0" w14:textId="77777777" w:rsidR="0013116F" w:rsidRPr="00845316" w:rsidRDefault="0013116F" w:rsidP="004B0475">
      <w:pPr>
        <w:pStyle w:val="a9"/>
        <w:numPr>
          <w:ilvl w:val="0"/>
          <w:numId w:val="198"/>
        </w:numPr>
        <w:spacing w:after="60"/>
        <w:rPr>
          <w:rFonts w:asciiTheme="minorBidi" w:hAnsiTheme="minorBidi"/>
        </w:rPr>
      </w:pPr>
      <w:r w:rsidRPr="00845316">
        <w:rPr>
          <w:rFonts w:asciiTheme="minorBidi" w:hAnsiTheme="minorBidi"/>
          <w:u w:val="dotted"/>
          <w:rtl/>
        </w:rPr>
        <w:t xml:space="preserve">הגי' בבהעי"ט </w:t>
      </w:r>
      <w:r w:rsidRPr="00845316">
        <w:rPr>
          <w:rFonts w:asciiTheme="minorBidi" w:hAnsiTheme="minorBidi"/>
          <w:sz w:val="16"/>
          <w:szCs w:val="16"/>
          <w:u w:val="dotted"/>
          <w:rtl/>
        </w:rPr>
        <w:t>(קבלת עדות נח ע"ד)</w:t>
      </w:r>
      <w:r w:rsidRPr="00845316">
        <w:rPr>
          <w:rFonts w:asciiTheme="minorBidi" w:hAnsiTheme="minorBidi"/>
          <w:u w:val="dotted"/>
          <w:rtl/>
        </w:rPr>
        <w:t xml:space="preserve">- </w:t>
      </w:r>
      <w:r w:rsidRPr="00845316">
        <w:rPr>
          <w:rFonts w:asciiTheme="minorBidi" w:hAnsiTheme="minorBidi"/>
          <w:rtl/>
        </w:rPr>
        <w:t xml:space="preserve">ובתשובת הגאונים מי שאינו זריז בתפילה ובמצות ובד"א פסול לעדות, והא </w:t>
      </w:r>
      <w:r w:rsidRPr="00845316">
        <w:rPr>
          <w:rFonts w:asciiTheme="minorBidi" w:hAnsiTheme="minorBidi"/>
          <w:u w:val="single"/>
          <w:rtl/>
        </w:rPr>
        <w:t>דחגיגה</w:t>
      </w:r>
      <w:r w:rsidRPr="00845316">
        <w:rPr>
          <w:rFonts w:asciiTheme="minorBidi" w:hAnsiTheme="minorBidi"/>
          <w:rtl/>
        </w:rPr>
        <w:t xml:space="preserve"> עם הארץ שעוסק </w:t>
      </w:r>
      <w:r w:rsidRPr="00845316">
        <w:rPr>
          <w:rFonts w:asciiTheme="minorBidi" w:hAnsiTheme="minorBidi"/>
          <w:u w:val="single"/>
          <w:rtl/>
        </w:rPr>
        <w:t>בתפילה ובמצות</w:t>
      </w:r>
      <w:r w:rsidRPr="00845316">
        <w:rPr>
          <w:rFonts w:asciiTheme="minorBidi" w:hAnsiTheme="minorBidi"/>
          <w:rtl/>
        </w:rPr>
        <w:t xml:space="preserve"> אלא שאינו בן תורה. </w:t>
      </w:r>
      <w:r w:rsidRPr="00845316">
        <w:rPr>
          <w:rFonts w:asciiTheme="minorBidi" w:hAnsiTheme="minorBidi"/>
          <w:sz w:val="16"/>
          <w:szCs w:val="16"/>
          <w:rtl/>
        </w:rPr>
        <w:t xml:space="preserve">(וכן העתיק האורחות חיים </w:t>
      </w:r>
      <w:r w:rsidRPr="00845316">
        <w:rPr>
          <w:rFonts w:asciiTheme="minorBidi" w:hAnsiTheme="minorBidi"/>
          <w:sz w:val="14"/>
          <w:szCs w:val="14"/>
          <w:rtl/>
        </w:rPr>
        <w:t>[הלכות עדויות אות ג' ד"ה ואסור לעד]</w:t>
      </w:r>
      <w:r w:rsidRPr="00845316">
        <w:rPr>
          <w:rFonts w:asciiTheme="minorBidi" w:hAnsiTheme="minorBidi"/>
          <w:sz w:val="16"/>
          <w:szCs w:val="16"/>
          <w:rtl/>
        </w:rPr>
        <w:t>)</w:t>
      </w:r>
    </w:p>
    <w:p w14:paraId="79519578" w14:textId="77777777" w:rsidR="0013116F" w:rsidRPr="00845316" w:rsidRDefault="0013116F" w:rsidP="004B0475">
      <w:pPr>
        <w:pStyle w:val="a9"/>
        <w:numPr>
          <w:ilvl w:val="1"/>
          <w:numId w:val="198"/>
        </w:numPr>
        <w:spacing w:after="60"/>
        <w:rPr>
          <w:rFonts w:asciiTheme="minorBidi" w:hAnsiTheme="minorBidi"/>
          <w:rtl/>
        </w:rPr>
      </w:pPr>
      <w:r w:rsidRPr="00845316">
        <w:rPr>
          <w:rFonts w:asciiTheme="minorBidi" w:hAnsiTheme="minorBidi"/>
          <w:rtl/>
        </w:rPr>
        <w:t xml:space="preserve">ונ"ל שהגי' שלפנינו עיקר </w:t>
      </w:r>
      <w:r w:rsidRPr="00845316">
        <w:rPr>
          <w:rFonts w:asciiTheme="minorBidi" w:hAnsiTheme="minorBidi"/>
          <w:sz w:val="16"/>
          <w:szCs w:val="16"/>
          <w:rtl/>
        </w:rPr>
        <w:t>(דאם נגרוס כההגמ"ר קשיא רישא אסיפא, ואע"פ שיש ליישב- הוא בדוחק)</w:t>
      </w:r>
      <w:r w:rsidRPr="00845316">
        <w:rPr>
          <w:rFonts w:asciiTheme="minorBidi" w:hAnsiTheme="minorBidi"/>
          <w:rtl/>
        </w:rPr>
        <w:t>.</w:t>
      </w:r>
    </w:p>
  </w:footnote>
  <w:footnote w:id="2262">
    <w:p w14:paraId="49E026FC" w14:textId="77777777" w:rsidR="0013116F" w:rsidRPr="000F2218" w:rsidRDefault="0013116F" w:rsidP="004B607F">
      <w:pPr>
        <w:pStyle w:val="a9"/>
        <w:rPr>
          <w:rtl/>
        </w:rPr>
      </w:pPr>
      <w:r w:rsidRPr="000F2218">
        <w:rPr>
          <w:rStyle w:val="ab"/>
        </w:rPr>
        <w:footnoteRef/>
      </w:r>
      <w:r w:rsidRPr="000F2218">
        <w:rPr>
          <w:rtl/>
        </w:rPr>
        <w:t xml:space="preserve"> </w:t>
      </w:r>
      <w:r>
        <w:rPr>
          <w:rFonts w:hint="cs"/>
          <w:rtl/>
        </w:rPr>
        <w:t xml:space="preserve">סימן - מתנפל </w:t>
      </w:r>
      <w:r w:rsidRPr="000F2218">
        <w:rPr>
          <w:rFonts w:hint="cs"/>
          <w:sz w:val="14"/>
          <w:szCs w:val="14"/>
          <w:rtl/>
        </w:rPr>
        <w:t>(על)</w:t>
      </w:r>
      <w:r>
        <w:rPr>
          <w:rFonts w:hint="cs"/>
          <w:rtl/>
        </w:rPr>
        <w:t xml:space="preserve"> מנה.</w:t>
      </w:r>
    </w:p>
  </w:footnote>
  <w:footnote w:id="2263">
    <w:p w14:paraId="37447E45" w14:textId="77777777" w:rsidR="0013116F" w:rsidRPr="00845316" w:rsidRDefault="0013116F" w:rsidP="004B607F">
      <w:pPr>
        <w:spacing w:after="60" w:line="240" w:lineRule="auto"/>
        <w:rPr>
          <w:rFonts w:asciiTheme="minorBidi" w:hAnsiTheme="minorBidi"/>
          <w:sz w:val="20"/>
          <w:szCs w:val="20"/>
          <w:rtl/>
        </w:rPr>
      </w:pPr>
      <w:r w:rsidRPr="000F2218">
        <w:rPr>
          <w:rStyle w:val="ab"/>
          <w:rFonts w:asciiTheme="minorBidi" w:hAnsiTheme="minorBidi"/>
          <w:sz w:val="20"/>
          <w:szCs w:val="20"/>
        </w:rPr>
        <w:footnoteRef/>
      </w:r>
      <w:r w:rsidRPr="000F2218">
        <w:rPr>
          <w:rFonts w:asciiTheme="minorBidi" w:hAnsiTheme="minorBidi"/>
          <w:sz w:val="20"/>
          <w:szCs w:val="20"/>
          <w:rtl/>
        </w:rPr>
        <w:t xml:space="preserve"> הואיל </w:t>
      </w:r>
      <w:r w:rsidRPr="00845316">
        <w:rPr>
          <w:rFonts w:asciiTheme="minorBidi" w:hAnsiTheme="minorBidi"/>
          <w:sz w:val="20"/>
          <w:szCs w:val="20"/>
          <w:rtl/>
        </w:rPr>
        <w:t>ואין מקפיד על כבודו אינו בוש לזלזל בעצמו וליפסל, ע"פ רש"י (ד"ה ופסול לעדות).</w:t>
      </w:r>
    </w:p>
  </w:footnote>
  <w:footnote w:id="2264">
    <w:p w14:paraId="59ACE60C" w14:textId="77777777" w:rsidR="0013116F" w:rsidRPr="00845316" w:rsidRDefault="0013116F" w:rsidP="004B607F">
      <w:pPr>
        <w:pStyle w:val="a9"/>
        <w:spacing w:after="60"/>
        <w:rPr>
          <w:rFonts w:asciiTheme="minorBidi" w:hAnsiTheme="minorBidi"/>
        </w:rPr>
      </w:pPr>
      <w:r w:rsidRPr="00845316">
        <w:rPr>
          <w:rStyle w:val="ab"/>
          <w:rFonts w:asciiTheme="minorBidi" w:hAnsiTheme="minorBidi"/>
        </w:rPr>
        <w:footnoteRef/>
      </w:r>
      <w:r w:rsidRPr="00845316">
        <w:rPr>
          <w:rFonts w:asciiTheme="minorBidi" w:hAnsiTheme="minorBidi"/>
          <w:rtl/>
        </w:rPr>
        <w:t xml:space="preserve"> ראהו, פני משה.</w:t>
      </w:r>
    </w:p>
  </w:footnote>
  <w:footnote w:id="2265">
    <w:p w14:paraId="5902310D" w14:textId="77777777" w:rsidR="0013116F" w:rsidRPr="00845316" w:rsidRDefault="0013116F" w:rsidP="004B607F">
      <w:pPr>
        <w:pStyle w:val="a9"/>
        <w:spacing w:after="60"/>
        <w:rPr>
          <w:rFonts w:asciiTheme="minorBidi" w:hAnsiTheme="minorBidi"/>
        </w:rPr>
      </w:pPr>
      <w:r w:rsidRPr="00845316">
        <w:rPr>
          <w:rStyle w:val="ab"/>
          <w:rFonts w:asciiTheme="minorBidi" w:hAnsiTheme="minorBidi"/>
        </w:rPr>
        <w:footnoteRef/>
      </w:r>
      <w:r w:rsidRPr="00845316">
        <w:rPr>
          <w:rFonts w:asciiTheme="minorBidi" w:hAnsiTheme="minorBidi"/>
          <w:rtl/>
        </w:rPr>
        <w:t xml:space="preserve"> הפסיק ולא אכל עוד שם, פני משה. והמאירי כ' דיש גורסין </w:t>
      </w:r>
      <w:r w:rsidRPr="00845316">
        <w:rPr>
          <w:rFonts w:asciiTheme="minorBidi" w:hAnsiTheme="minorBidi"/>
          <w:sz w:val="16"/>
          <w:szCs w:val="16"/>
          <w:rtl/>
        </w:rPr>
        <w:t>(והוא רבינו ברוך, הובא בעיטור אות ק קבלת העדות דף נח)</w:t>
      </w:r>
      <w:r w:rsidRPr="00845316">
        <w:rPr>
          <w:rFonts w:asciiTheme="minorBidi" w:hAnsiTheme="minorBidi"/>
          <w:rtl/>
        </w:rPr>
        <w:t xml:space="preserve"> בה "בשל גרמיה" כלומר תירץ הוא שמשל עצמו היה אוכל.</w:t>
      </w:r>
    </w:p>
  </w:footnote>
  <w:footnote w:id="2266">
    <w:p w14:paraId="44209FA2" w14:textId="77777777" w:rsidR="0013116F" w:rsidRPr="00845316" w:rsidRDefault="0013116F" w:rsidP="004B607F">
      <w:pPr>
        <w:pStyle w:val="a9"/>
        <w:spacing w:after="60"/>
        <w:rPr>
          <w:rFonts w:asciiTheme="minorBidi" w:hAnsiTheme="minorBidi"/>
        </w:rPr>
      </w:pPr>
      <w:r w:rsidRPr="00845316">
        <w:rPr>
          <w:rStyle w:val="ab"/>
          <w:rFonts w:asciiTheme="minorBidi" w:hAnsiTheme="minorBidi"/>
        </w:rPr>
        <w:footnoteRef/>
      </w:r>
      <w:r w:rsidRPr="00845316">
        <w:rPr>
          <w:rFonts w:asciiTheme="minorBidi" w:hAnsiTheme="minorBidi"/>
          <w:rtl/>
        </w:rPr>
        <w:t xml:space="preserve"> היינו כשאוכל בשוק בפני כל העם אבל אם אוכל בשוק שאין בו רוב העם אלא קצת עוברים ושבים לא מיפסיל והיינו ההיא דירושלמי, ב"י.</w:t>
      </w:r>
    </w:p>
  </w:footnote>
  <w:footnote w:id="2267">
    <w:p w14:paraId="3298D083" w14:textId="77777777" w:rsidR="0013116F" w:rsidRPr="00845316" w:rsidRDefault="0013116F" w:rsidP="004B607F">
      <w:pPr>
        <w:pStyle w:val="a9"/>
        <w:spacing w:after="60"/>
        <w:rPr>
          <w:rFonts w:asciiTheme="minorBidi" w:hAnsiTheme="minorBidi"/>
        </w:rPr>
      </w:pPr>
      <w:r w:rsidRPr="00845316">
        <w:rPr>
          <w:rStyle w:val="ab"/>
          <w:rFonts w:asciiTheme="minorBidi" w:hAnsiTheme="minorBidi"/>
        </w:rPr>
        <w:footnoteRef/>
      </w:r>
      <w:r w:rsidRPr="00845316">
        <w:rPr>
          <w:rFonts w:asciiTheme="minorBidi" w:hAnsiTheme="minorBidi"/>
          <w:rtl/>
        </w:rPr>
        <w:t xml:space="preserve"> הקשו התוס' </w:t>
      </w:r>
      <w:r w:rsidRPr="00845316">
        <w:rPr>
          <w:rFonts w:asciiTheme="minorBidi" w:hAnsiTheme="minorBidi"/>
          <w:sz w:val="16"/>
          <w:szCs w:val="16"/>
          <w:rtl/>
        </w:rPr>
        <w:t xml:space="preserve">(הובא בתוס' ד"ה ויש) </w:t>
      </w:r>
      <w:r w:rsidRPr="00845316">
        <w:rPr>
          <w:rFonts w:asciiTheme="minorBidi" w:hAnsiTheme="minorBidi"/>
          <w:rtl/>
        </w:rPr>
        <w:t>שמהירושלמי (שהובא לעיל) נראה דלת"ח אין שבח לאכול בשוק, משמע דלאחר אין קפידא, לכן כדי ליישב את הגמ' שלנו (בקידושין) הביאו ג' תירוצים, ר"ח, הר"ר אליהו, ור"ת.</w:t>
      </w:r>
    </w:p>
  </w:footnote>
  <w:footnote w:id="2268">
    <w:p w14:paraId="2B83F015" w14:textId="77777777" w:rsidR="0013116F" w:rsidRPr="00845316" w:rsidRDefault="0013116F" w:rsidP="004B607F">
      <w:pPr>
        <w:pStyle w:val="a9"/>
        <w:spacing w:after="60"/>
        <w:rPr>
          <w:rFonts w:asciiTheme="minorBidi" w:hAnsiTheme="minorBidi"/>
          <w:rtl/>
        </w:rPr>
      </w:pPr>
      <w:r w:rsidRPr="00845316">
        <w:rPr>
          <w:rStyle w:val="ab"/>
          <w:rFonts w:asciiTheme="minorBidi" w:hAnsiTheme="minorBidi"/>
        </w:rPr>
        <w:footnoteRef/>
      </w:r>
      <w:r w:rsidRPr="00845316">
        <w:rPr>
          <w:rFonts w:asciiTheme="minorBidi" w:hAnsiTheme="minorBidi"/>
          <w:rtl/>
        </w:rPr>
        <w:t xml:space="preserve"> ואין הפסול כאן מחמת גזל דמדובר כאן בחוטף פחות משוה פרוטה</w:t>
      </w:r>
      <w:r w:rsidRPr="00845316">
        <w:rPr>
          <w:rFonts w:asciiTheme="minorBidi" w:hAnsiTheme="minorBidi"/>
          <w:sz w:val="16"/>
          <w:szCs w:val="16"/>
          <w:rtl/>
        </w:rPr>
        <w:t xml:space="preserve"> (וכ"כ </w:t>
      </w:r>
      <w:r>
        <w:rPr>
          <w:rFonts w:asciiTheme="minorBidi" w:hAnsiTheme="minorBidi"/>
          <w:sz w:val="16"/>
          <w:szCs w:val="16"/>
          <w:rtl/>
        </w:rPr>
        <w:t>הג"א</w:t>
      </w:r>
      <w:r w:rsidRPr="00845316">
        <w:rPr>
          <w:rFonts w:asciiTheme="minorBidi" w:hAnsiTheme="minorBidi"/>
          <w:sz w:val="16"/>
          <w:szCs w:val="16"/>
          <w:rtl/>
        </w:rPr>
        <w:t xml:space="preserve"> </w:t>
      </w:r>
      <w:r w:rsidRPr="00845316">
        <w:rPr>
          <w:rFonts w:asciiTheme="minorBidi" w:hAnsiTheme="minorBidi"/>
          <w:sz w:val="14"/>
          <w:szCs w:val="14"/>
          <w:rtl/>
        </w:rPr>
        <w:t xml:space="preserve">(פ"ג סי"ב) </w:t>
      </w:r>
      <w:r w:rsidRPr="00845316">
        <w:rPr>
          <w:rFonts w:asciiTheme="minorBidi" w:hAnsiTheme="minorBidi"/>
          <w:sz w:val="16"/>
          <w:szCs w:val="16"/>
          <w:rtl/>
        </w:rPr>
        <w:t>בשם או"ז)</w:t>
      </w:r>
      <w:r w:rsidRPr="00845316">
        <w:rPr>
          <w:rFonts w:asciiTheme="minorBidi" w:hAnsiTheme="minorBidi"/>
          <w:rtl/>
        </w:rPr>
        <w:t xml:space="preserve">, א"נ שגזל דבר שאינו מקפיד עליו, תוס' </w:t>
      </w:r>
      <w:r w:rsidRPr="00845316">
        <w:rPr>
          <w:rFonts w:asciiTheme="minorBidi" w:hAnsiTheme="minorBidi"/>
          <w:sz w:val="16"/>
          <w:szCs w:val="16"/>
          <w:rtl/>
        </w:rPr>
        <w:t>(ד"ה ויש)</w:t>
      </w:r>
      <w:r w:rsidRPr="00845316">
        <w:rPr>
          <w:rFonts w:asciiTheme="minorBidi" w:hAnsiTheme="minorBidi"/>
          <w:rtl/>
        </w:rPr>
        <w:t xml:space="preserve">. ז"א שפסולין משום שמבזין עצמם כ"כ, אבל משום אכילה בשוק לחודה לא יהיה פסול לעדות, רמ"ך </w:t>
      </w:r>
      <w:r w:rsidRPr="00845316">
        <w:rPr>
          <w:rFonts w:asciiTheme="minorBidi" w:hAnsiTheme="minorBidi"/>
          <w:sz w:val="16"/>
          <w:szCs w:val="16"/>
          <w:rtl/>
        </w:rPr>
        <w:t>(פי"א ה"ה)</w:t>
      </w:r>
      <w:r w:rsidRPr="00845316">
        <w:rPr>
          <w:rFonts w:asciiTheme="minorBidi" w:hAnsiTheme="minorBidi"/>
          <w:rtl/>
        </w:rPr>
        <w:t>.</w:t>
      </w:r>
    </w:p>
  </w:footnote>
  <w:footnote w:id="2269">
    <w:p w14:paraId="7F9E1BD5" w14:textId="77777777" w:rsidR="0013116F" w:rsidRPr="00845316" w:rsidRDefault="0013116F" w:rsidP="004B607F">
      <w:pPr>
        <w:pStyle w:val="a9"/>
        <w:spacing w:after="60"/>
        <w:rPr>
          <w:rFonts w:asciiTheme="minorBidi" w:hAnsiTheme="minorBidi"/>
          <w:rtl/>
        </w:rPr>
      </w:pPr>
      <w:r w:rsidRPr="00845316">
        <w:rPr>
          <w:rStyle w:val="ab"/>
          <w:rFonts w:asciiTheme="minorBidi" w:hAnsiTheme="minorBidi"/>
        </w:rPr>
        <w:footnoteRef/>
      </w:r>
      <w:r w:rsidRPr="00845316">
        <w:rPr>
          <w:rFonts w:asciiTheme="minorBidi" w:hAnsiTheme="minorBidi"/>
          <w:rtl/>
        </w:rPr>
        <w:t xml:space="preserve"> ד"ה ויש. וכ' רי"ו </w:t>
      </w:r>
      <w:r w:rsidRPr="00845316">
        <w:rPr>
          <w:rFonts w:asciiTheme="minorBidi" w:hAnsiTheme="minorBidi"/>
          <w:sz w:val="16"/>
          <w:szCs w:val="16"/>
          <w:rtl/>
        </w:rPr>
        <w:t>(מישרים נ"ב ח"ד)</w:t>
      </w:r>
      <w:r w:rsidRPr="00845316">
        <w:rPr>
          <w:rFonts w:asciiTheme="minorBidi" w:hAnsiTheme="minorBidi"/>
          <w:rtl/>
        </w:rPr>
        <w:t xml:space="preserve"> שדעת הרמב"ם כדעת ר"ת, וכ' עליו הב"י- "ולא ראיתי בדברי הרמב"ם הכרע לכך".</w:t>
      </w:r>
    </w:p>
  </w:footnote>
  <w:footnote w:id="2270">
    <w:p w14:paraId="6F9EC225" w14:textId="77777777" w:rsidR="0013116F" w:rsidRPr="00845316" w:rsidRDefault="0013116F" w:rsidP="004B607F">
      <w:pPr>
        <w:pStyle w:val="a9"/>
        <w:spacing w:after="60"/>
        <w:rPr>
          <w:rFonts w:asciiTheme="minorBidi" w:hAnsiTheme="minorBidi"/>
          <w:rtl/>
        </w:rPr>
      </w:pPr>
      <w:r w:rsidRPr="00845316">
        <w:rPr>
          <w:rStyle w:val="ab"/>
          <w:rFonts w:asciiTheme="minorBidi" w:hAnsiTheme="minorBidi"/>
        </w:rPr>
        <w:footnoteRef/>
      </w:r>
      <w:r w:rsidRPr="00845316">
        <w:rPr>
          <w:rFonts w:asciiTheme="minorBidi" w:hAnsiTheme="minorBidi"/>
          <w:rtl/>
        </w:rPr>
        <w:t xml:space="preserve"> הטור כ'- "קובע סעודתו", וכ"כ הב"י בשם הרא"ש, ונראה שאלו הן דברי הרא"ש וזו כוונתו.</w:t>
      </w:r>
    </w:p>
  </w:footnote>
  <w:footnote w:id="2271">
    <w:p w14:paraId="388B0ABD" w14:textId="77777777" w:rsidR="0013116F" w:rsidRPr="00845316" w:rsidRDefault="0013116F" w:rsidP="004B607F">
      <w:pPr>
        <w:pStyle w:val="a9"/>
        <w:spacing w:after="60"/>
        <w:rPr>
          <w:rFonts w:asciiTheme="minorBidi" w:hAnsiTheme="minorBidi"/>
        </w:rPr>
      </w:pPr>
      <w:r w:rsidRPr="00845316">
        <w:rPr>
          <w:rStyle w:val="ab"/>
          <w:rFonts w:asciiTheme="minorBidi" w:hAnsiTheme="minorBidi"/>
        </w:rPr>
        <w:footnoteRef/>
      </w:r>
      <w:r w:rsidRPr="00845316">
        <w:rPr>
          <w:rFonts w:asciiTheme="minorBidi" w:hAnsiTheme="minorBidi"/>
          <w:rtl/>
        </w:rPr>
        <w:t xml:space="preserve"> מקבלי צדקה מן הנכרים, רש"י. </w:t>
      </w:r>
    </w:p>
  </w:footnote>
  <w:footnote w:id="2272">
    <w:p w14:paraId="4927D3E5" w14:textId="77777777" w:rsidR="0013116F" w:rsidRDefault="0013116F" w:rsidP="004B607F">
      <w:pPr>
        <w:pStyle w:val="a9"/>
      </w:pPr>
      <w:r>
        <w:rPr>
          <w:rStyle w:val="ab"/>
        </w:rPr>
        <w:footnoteRef/>
      </w:r>
      <w:r>
        <w:rPr>
          <w:rtl/>
        </w:rPr>
        <w:t xml:space="preserve"> </w:t>
      </w:r>
      <w:r>
        <w:rPr>
          <w:rFonts w:hint="cs"/>
          <w:rtl/>
        </w:rPr>
        <w:t xml:space="preserve">סימן </w:t>
      </w:r>
      <w:r>
        <w:rPr>
          <w:rtl/>
        </w:rPr>
        <w:t>–</w:t>
      </w:r>
      <w:r>
        <w:rPr>
          <w:rFonts w:hint="cs"/>
          <w:rtl/>
        </w:rPr>
        <w:t xml:space="preserve"> זיכוי כרגא.</w:t>
      </w:r>
    </w:p>
  </w:footnote>
  <w:footnote w:id="2273">
    <w:p w14:paraId="17F8CCDD" w14:textId="77777777" w:rsidR="0013116F" w:rsidRPr="00845316" w:rsidRDefault="0013116F" w:rsidP="004B607F">
      <w:pPr>
        <w:pStyle w:val="a9"/>
        <w:spacing w:after="60"/>
        <w:rPr>
          <w:rFonts w:asciiTheme="minorBidi" w:hAnsiTheme="minorBidi"/>
          <w:rtl/>
        </w:rPr>
      </w:pPr>
      <w:r w:rsidRPr="00845316">
        <w:rPr>
          <w:rStyle w:val="ab"/>
          <w:rFonts w:asciiTheme="minorBidi" w:hAnsiTheme="minorBidi"/>
        </w:rPr>
        <w:footnoteRef/>
      </w:r>
      <w:r w:rsidRPr="00845316">
        <w:rPr>
          <w:rFonts w:asciiTheme="minorBidi" w:hAnsiTheme="minorBidi"/>
          <w:rtl/>
        </w:rPr>
        <w:t xml:space="preserve"> דכיון דחשידי אממון חשידי אעדות נפשות, רש"י.</w:t>
      </w:r>
    </w:p>
  </w:footnote>
  <w:footnote w:id="2274">
    <w:p w14:paraId="3ED7F781" w14:textId="77777777" w:rsidR="0013116F" w:rsidRPr="00845316" w:rsidRDefault="0013116F" w:rsidP="004B607F">
      <w:pPr>
        <w:pStyle w:val="a9"/>
        <w:spacing w:after="60"/>
        <w:rPr>
          <w:rFonts w:asciiTheme="minorBidi" w:hAnsiTheme="minorBidi"/>
        </w:rPr>
      </w:pPr>
      <w:r w:rsidRPr="00845316">
        <w:rPr>
          <w:rStyle w:val="ab"/>
          <w:rFonts w:asciiTheme="minorBidi" w:hAnsiTheme="minorBidi"/>
        </w:rPr>
        <w:footnoteRef/>
      </w:r>
      <w:r w:rsidRPr="00845316">
        <w:rPr>
          <w:rFonts w:asciiTheme="minorBidi" w:hAnsiTheme="minorBidi"/>
          <w:rtl/>
        </w:rPr>
        <w:t xml:space="preserve"> דרב פפי, שהיפך בזכותו, רש"י.</w:t>
      </w:r>
    </w:p>
  </w:footnote>
  <w:footnote w:id="2275">
    <w:p w14:paraId="7E3ED2B2" w14:textId="77777777" w:rsidR="0013116F" w:rsidRPr="00845316" w:rsidRDefault="0013116F" w:rsidP="004B607F">
      <w:pPr>
        <w:pStyle w:val="a9"/>
        <w:spacing w:after="60"/>
        <w:rPr>
          <w:rFonts w:asciiTheme="minorBidi" w:hAnsiTheme="minorBidi"/>
        </w:rPr>
      </w:pPr>
      <w:r w:rsidRPr="00845316">
        <w:rPr>
          <w:rStyle w:val="ab"/>
          <w:rFonts w:asciiTheme="minorBidi" w:hAnsiTheme="minorBidi"/>
        </w:rPr>
        <w:footnoteRef/>
      </w:r>
      <w:r w:rsidRPr="00845316">
        <w:rPr>
          <w:rFonts w:asciiTheme="minorBidi" w:hAnsiTheme="minorBidi"/>
          <w:rtl/>
        </w:rPr>
        <w:t xml:space="preserve"> להצילו כל ימיו ממנת המלך, רש"י.</w:t>
      </w:r>
    </w:p>
  </w:footnote>
  <w:footnote w:id="2276">
    <w:p w14:paraId="4B25F7C4" w14:textId="77777777" w:rsidR="0013116F" w:rsidRPr="00845316" w:rsidRDefault="0013116F" w:rsidP="004B607F">
      <w:pPr>
        <w:pStyle w:val="a9"/>
        <w:spacing w:after="60"/>
        <w:rPr>
          <w:rFonts w:asciiTheme="minorBidi" w:hAnsiTheme="minorBidi"/>
          <w:rtl/>
        </w:rPr>
      </w:pPr>
      <w:r w:rsidRPr="00845316">
        <w:rPr>
          <w:rStyle w:val="ab"/>
          <w:rFonts w:asciiTheme="minorBidi" w:hAnsiTheme="minorBidi"/>
        </w:rPr>
        <w:footnoteRef/>
      </w:r>
      <w:r w:rsidRPr="00845316">
        <w:rPr>
          <w:rFonts w:asciiTheme="minorBidi" w:hAnsiTheme="minorBidi"/>
          <w:rtl/>
        </w:rPr>
        <w:t xml:space="preserve"> ועיין מה שהקשה כנה"ג </w:t>
      </w:r>
      <w:r w:rsidRPr="00845316">
        <w:rPr>
          <w:rFonts w:asciiTheme="minorBidi" w:hAnsiTheme="minorBidi"/>
          <w:sz w:val="16"/>
          <w:szCs w:val="16"/>
          <w:rtl/>
        </w:rPr>
        <w:t xml:space="preserve">(סי' ט אות ח) </w:t>
      </w:r>
      <w:r w:rsidRPr="00845316">
        <w:rPr>
          <w:rFonts w:asciiTheme="minorBidi" w:hAnsiTheme="minorBidi"/>
          <w:rtl/>
        </w:rPr>
        <w:t xml:space="preserve">על זה, ומה שתירץ התומים </w:t>
      </w:r>
      <w:r w:rsidRPr="00845316">
        <w:rPr>
          <w:rFonts w:asciiTheme="minorBidi" w:hAnsiTheme="minorBidi"/>
          <w:sz w:val="16"/>
          <w:szCs w:val="16"/>
          <w:rtl/>
        </w:rPr>
        <w:t>(סקי"ח)</w:t>
      </w:r>
      <w:r w:rsidRPr="00845316">
        <w:rPr>
          <w:rFonts w:asciiTheme="minorBidi" w:hAnsiTheme="minorBidi"/>
          <w:rtl/>
        </w:rPr>
        <w:t>. אמנם התשב"ץ</w:t>
      </w:r>
      <w:r w:rsidRPr="00845316">
        <w:rPr>
          <w:rFonts w:asciiTheme="minorBidi" w:hAnsiTheme="minorBidi"/>
          <w:sz w:val="16"/>
          <w:szCs w:val="16"/>
          <w:rtl/>
        </w:rPr>
        <w:t xml:space="preserve"> (ח"א ססקמ"ה)</w:t>
      </w:r>
      <w:r w:rsidRPr="00845316">
        <w:rPr>
          <w:rFonts w:asciiTheme="minorBidi" w:hAnsiTheme="minorBidi"/>
          <w:rtl/>
        </w:rPr>
        <w:t xml:space="preserve"> והיד רמ"ה פירשו שרב פפי לאו דיינא הוה אלא רק היה שם ועיין בדינא בהדיה דיינא ולימד זכות על בר חמא, ולכן היה מותר לו לקבל שכר.</w:t>
      </w:r>
    </w:p>
  </w:footnote>
  <w:footnote w:id="2277">
    <w:p w14:paraId="0A9EF2D9" w14:textId="77777777" w:rsidR="0013116F" w:rsidRDefault="0013116F" w:rsidP="004B607F">
      <w:pPr>
        <w:pStyle w:val="a9"/>
      </w:pPr>
      <w:r>
        <w:rPr>
          <w:rStyle w:val="ab"/>
        </w:rPr>
        <w:footnoteRef/>
      </w:r>
      <w:r>
        <w:rPr>
          <w:rtl/>
        </w:rPr>
        <w:t xml:space="preserve"> </w:t>
      </w:r>
      <w:r>
        <w:rPr>
          <w:rFonts w:hint="cs"/>
          <w:rtl/>
        </w:rPr>
        <w:t xml:space="preserve">סימן </w:t>
      </w:r>
      <w:r>
        <w:rPr>
          <w:rtl/>
        </w:rPr>
        <w:t>–</w:t>
      </w:r>
      <w:r>
        <w:rPr>
          <w:rFonts w:hint="cs"/>
          <w:rtl/>
        </w:rPr>
        <w:t xml:space="preserve"> סרוט בגלוי.</w:t>
      </w:r>
    </w:p>
  </w:footnote>
  <w:footnote w:id="2278">
    <w:p w14:paraId="0ED71DBE" w14:textId="77777777" w:rsidR="0013116F" w:rsidRPr="00845316" w:rsidRDefault="0013116F" w:rsidP="004B607F">
      <w:pPr>
        <w:pStyle w:val="a9"/>
        <w:spacing w:after="60"/>
        <w:rPr>
          <w:rFonts w:asciiTheme="minorBidi" w:hAnsiTheme="minorBidi"/>
        </w:rPr>
      </w:pPr>
      <w:r w:rsidRPr="00845316">
        <w:rPr>
          <w:rStyle w:val="ab"/>
          <w:rFonts w:asciiTheme="minorBidi" w:hAnsiTheme="minorBidi"/>
        </w:rPr>
        <w:footnoteRef/>
      </w:r>
      <w:r w:rsidRPr="00845316">
        <w:rPr>
          <w:rFonts w:asciiTheme="minorBidi" w:hAnsiTheme="minorBidi"/>
          <w:rtl/>
        </w:rPr>
        <w:t xml:space="preserve"> מדרבנן </w:t>
      </w:r>
      <w:r w:rsidRPr="00845316">
        <w:rPr>
          <w:rFonts w:asciiTheme="minorBidi" w:hAnsiTheme="minorBidi"/>
          <w:sz w:val="16"/>
          <w:szCs w:val="16"/>
          <w:rtl/>
        </w:rPr>
        <w:t>(באופן שאינו נוגע)</w:t>
      </w:r>
      <w:r w:rsidRPr="00845316">
        <w:rPr>
          <w:rFonts w:asciiTheme="minorBidi" w:hAnsiTheme="minorBidi"/>
          <w:rtl/>
        </w:rPr>
        <w:t xml:space="preserve">, רעק"א נו"ב </w:t>
      </w:r>
      <w:r w:rsidRPr="00845316">
        <w:rPr>
          <w:rFonts w:asciiTheme="minorBidi" w:hAnsiTheme="minorBidi"/>
          <w:sz w:val="16"/>
          <w:szCs w:val="16"/>
          <w:rtl/>
        </w:rPr>
        <w:t xml:space="preserve">(אהע"ז סי' כט) </w:t>
      </w:r>
      <w:r w:rsidRPr="00845316">
        <w:rPr>
          <w:rFonts w:asciiTheme="minorBidi" w:hAnsiTheme="minorBidi"/>
          <w:rtl/>
        </w:rPr>
        <w:t xml:space="preserve">וב"מ. אך מהריב"ל </w:t>
      </w:r>
      <w:r w:rsidRPr="00845316">
        <w:rPr>
          <w:rFonts w:asciiTheme="minorBidi" w:hAnsiTheme="minorBidi"/>
          <w:sz w:val="16"/>
          <w:szCs w:val="16"/>
          <w:rtl/>
        </w:rPr>
        <w:t xml:space="preserve">(ח"א סי' יח) </w:t>
      </w:r>
      <w:r w:rsidRPr="00845316">
        <w:rPr>
          <w:rFonts w:asciiTheme="minorBidi" w:hAnsiTheme="minorBidi"/>
          <w:rtl/>
        </w:rPr>
        <w:t>מסתפק אם הוא דאו' או דרבנן,</w:t>
      </w:r>
      <w:r w:rsidRPr="00845316">
        <w:rPr>
          <w:rFonts w:asciiTheme="minorBidi" w:hAnsiTheme="minorBidi"/>
          <w:sz w:val="16"/>
          <w:szCs w:val="16"/>
          <w:rtl/>
        </w:rPr>
        <w:t xml:space="preserve"> </w:t>
      </w:r>
      <w:r w:rsidRPr="00845316">
        <w:rPr>
          <w:rFonts w:asciiTheme="minorBidi" w:hAnsiTheme="minorBidi"/>
          <w:rtl/>
        </w:rPr>
        <w:t xml:space="preserve">פת"ש </w:t>
      </w:r>
      <w:r w:rsidRPr="00845316">
        <w:rPr>
          <w:rFonts w:asciiTheme="minorBidi" w:hAnsiTheme="minorBidi"/>
          <w:sz w:val="16"/>
          <w:szCs w:val="16"/>
          <w:rtl/>
        </w:rPr>
        <w:t>(סקכ"ה)</w:t>
      </w:r>
      <w:r w:rsidRPr="00845316">
        <w:rPr>
          <w:rFonts w:asciiTheme="minorBidi" w:hAnsiTheme="minorBidi"/>
          <w:rtl/>
        </w:rPr>
        <w:t>.</w:t>
      </w:r>
    </w:p>
  </w:footnote>
  <w:footnote w:id="2279">
    <w:p w14:paraId="6D9CAA42" w14:textId="77777777" w:rsidR="0013116F" w:rsidRPr="00845316" w:rsidRDefault="0013116F" w:rsidP="004B607F">
      <w:pPr>
        <w:pStyle w:val="a9"/>
        <w:spacing w:after="60"/>
        <w:rPr>
          <w:rFonts w:asciiTheme="minorBidi" w:hAnsiTheme="minorBidi"/>
          <w:rtl/>
        </w:rPr>
      </w:pPr>
      <w:r w:rsidRPr="00845316">
        <w:rPr>
          <w:rStyle w:val="ab"/>
          <w:rFonts w:asciiTheme="minorBidi" w:hAnsiTheme="minorBidi"/>
        </w:rPr>
        <w:footnoteRef/>
      </w:r>
      <w:r w:rsidRPr="00845316">
        <w:rPr>
          <w:rFonts w:asciiTheme="minorBidi" w:hAnsiTheme="minorBidi"/>
          <w:rtl/>
        </w:rPr>
        <w:t xml:space="preserve"> ושם נלמד ממסכת בכורות (כט.) ממש"כ (דברים ד- ה) ראה למדתי אתכם חקים ומשפטים כאשר ציוני ה' אלקי, מה אני נצטויתי מהשי"ת בחנם שלא נתתי לו שכר, אף אתם נצטויתם ממני בחנם שלא נתתם לי שכר, וכן תעשו לדורות שעל זה אמר לו ראה למדתי כו', כלומר ממני תראו וכן תעשו אתם לדורות, ופירוש זה הוא שם באשר"י דבכורות (פ"ד סי' ה), סמ"ע (סקמ"ו).</w:t>
      </w:r>
    </w:p>
  </w:footnote>
  <w:footnote w:id="2280">
    <w:p w14:paraId="2E3C9492" w14:textId="77777777" w:rsidR="0013116F" w:rsidRPr="00845316" w:rsidRDefault="0013116F" w:rsidP="004B607F">
      <w:pPr>
        <w:pStyle w:val="a9"/>
        <w:spacing w:after="60"/>
        <w:rPr>
          <w:rFonts w:asciiTheme="minorBidi" w:hAnsiTheme="minorBidi"/>
          <w:rtl/>
        </w:rPr>
      </w:pPr>
      <w:r w:rsidRPr="00845316">
        <w:rPr>
          <w:rStyle w:val="ab"/>
          <w:rFonts w:asciiTheme="minorBidi" w:hAnsiTheme="minorBidi"/>
        </w:rPr>
        <w:footnoteRef/>
      </w:r>
      <w:r w:rsidRPr="00845316">
        <w:rPr>
          <w:rFonts w:asciiTheme="minorBidi" w:hAnsiTheme="minorBidi"/>
          <w:rtl/>
        </w:rPr>
        <w:t xml:space="preserve"> והחשוד בכך עדיותיו בטלין</w:t>
      </w:r>
      <w:r w:rsidRPr="00845316">
        <w:rPr>
          <w:rFonts w:asciiTheme="minorBidi" w:hAnsiTheme="minorBidi"/>
          <w:sz w:val="16"/>
          <w:szCs w:val="16"/>
          <w:rtl/>
        </w:rPr>
        <w:t xml:space="preserve"> (למפרע)</w:t>
      </w:r>
      <w:r w:rsidRPr="00845316">
        <w:rPr>
          <w:rFonts w:asciiTheme="minorBidi" w:hAnsiTheme="minorBidi"/>
          <w:rtl/>
        </w:rPr>
        <w:t xml:space="preserve"> עד שיודע לך שלא נטל שכר בעדות זו ובכך עדותו כשרה אע"פ שלא עשה תשובה, רמב"ן </w:t>
      </w:r>
      <w:r w:rsidRPr="00845316">
        <w:rPr>
          <w:rFonts w:asciiTheme="minorBidi" w:hAnsiTheme="minorBidi"/>
          <w:sz w:val="16"/>
          <w:szCs w:val="16"/>
          <w:rtl/>
        </w:rPr>
        <w:t>(הובא בר"ן קדושין כג ע"א, ומשם מקור דברי הרמ"א)</w:t>
      </w:r>
      <w:r w:rsidRPr="00845316">
        <w:rPr>
          <w:rFonts w:asciiTheme="minorBidi" w:hAnsiTheme="minorBidi"/>
          <w:rtl/>
        </w:rPr>
        <w:t>.</w:t>
      </w:r>
    </w:p>
  </w:footnote>
  <w:footnote w:id="2281">
    <w:p w14:paraId="651C82C6" w14:textId="77777777" w:rsidR="0013116F" w:rsidRPr="00845316" w:rsidRDefault="0013116F" w:rsidP="004B607F">
      <w:pPr>
        <w:pStyle w:val="a9"/>
        <w:spacing w:after="60"/>
        <w:rPr>
          <w:rFonts w:asciiTheme="minorBidi" w:hAnsiTheme="minorBidi"/>
          <w:rtl/>
        </w:rPr>
      </w:pPr>
      <w:r w:rsidRPr="00845316">
        <w:rPr>
          <w:rStyle w:val="ab"/>
          <w:rFonts w:asciiTheme="minorBidi" w:hAnsiTheme="minorBidi"/>
        </w:rPr>
        <w:footnoteRef/>
      </w:r>
      <w:r w:rsidRPr="00845316">
        <w:rPr>
          <w:rFonts w:asciiTheme="minorBidi" w:hAnsiTheme="minorBidi"/>
          <w:rtl/>
        </w:rPr>
        <w:t xml:space="preserve"> </w:t>
      </w:r>
      <w:r w:rsidRPr="00845316">
        <w:rPr>
          <w:rFonts w:asciiTheme="minorBidi" w:hAnsiTheme="minorBidi"/>
          <w:u w:val="single"/>
          <w:rtl/>
        </w:rPr>
        <w:t>ויש עוד כמה מקרים שמותר לקחת כסף על עדות, והם</w:t>
      </w:r>
      <w:r w:rsidRPr="00845316">
        <w:rPr>
          <w:rFonts w:asciiTheme="minorBidi" w:hAnsiTheme="minorBidi"/>
          <w:rtl/>
        </w:rPr>
        <w:t>:</w:t>
      </w:r>
    </w:p>
    <w:p w14:paraId="11D1C8B0" w14:textId="77777777" w:rsidR="0013116F" w:rsidRPr="00845316" w:rsidRDefault="0013116F" w:rsidP="004B0475">
      <w:pPr>
        <w:pStyle w:val="a9"/>
        <w:numPr>
          <w:ilvl w:val="0"/>
          <w:numId w:val="166"/>
        </w:numPr>
        <w:spacing w:after="60"/>
        <w:rPr>
          <w:rFonts w:asciiTheme="minorBidi" w:hAnsiTheme="minorBidi"/>
        </w:rPr>
      </w:pPr>
      <w:r w:rsidRPr="00845316">
        <w:rPr>
          <w:rFonts w:asciiTheme="minorBidi" w:hAnsiTheme="minorBidi"/>
          <w:rtl/>
        </w:rPr>
        <w:t xml:space="preserve">שו"ע </w:t>
      </w:r>
      <w:r w:rsidRPr="00845316">
        <w:rPr>
          <w:rFonts w:asciiTheme="minorBidi" w:hAnsiTheme="minorBidi"/>
          <w:sz w:val="16"/>
          <w:szCs w:val="16"/>
          <w:rtl/>
        </w:rPr>
        <w:t>(אהע"ז סי' קל סכ"א)</w:t>
      </w:r>
      <w:r w:rsidRPr="00845316">
        <w:rPr>
          <w:rFonts w:asciiTheme="minorBidi" w:hAnsiTheme="minorBidi"/>
          <w:rtl/>
        </w:rPr>
        <w:t>- מותר לקחת שכר בטלה דמוכחת.</w:t>
      </w:r>
    </w:p>
    <w:p w14:paraId="380CCAD9" w14:textId="77777777" w:rsidR="0013116F" w:rsidRPr="00845316" w:rsidRDefault="0013116F" w:rsidP="004B0475">
      <w:pPr>
        <w:pStyle w:val="a9"/>
        <w:numPr>
          <w:ilvl w:val="0"/>
          <w:numId w:val="166"/>
        </w:numPr>
        <w:spacing w:after="60"/>
        <w:rPr>
          <w:rFonts w:asciiTheme="minorBidi" w:hAnsiTheme="minorBidi"/>
        </w:rPr>
      </w:pPr>
      <w:r w:rsidRPr="00845316">
        <w:rPr>
          <w:rFonts w:asciiTheme="minorBidi" w:hAnsiTheme="minorBidi"/>
          <w:rtl/>
        </w:rPr>
        <w:t xml:space="preserve">מהרי"ק </w:t>
      </w:r>
      <w:r w:rsidRPr="00845316">
        <w:rPr>
          <w:rFonts w:asciiTheme="minorBidi" w:hAnsiTheme="minorBidi"/>
          <w:sz w:val="16"/>
          <w:szCs w:val="16"/>
          <w:rtl/>
        </w:rPr>
        <w:t>(הביאו הרמ"א אהע"ז סי' קל סכ"א)</w:t>
      </w:r>
      <w:r w:rsidRPr="00845316">
        <w:rPr>
          <w:rFonts w:asciiTheme="minorBidi" w:hAnsiTheme="minorBidi"/>
          <w:rtl/>
        </w:rPr>
        <w:t>- כשמתנים עם העדים שאם יקלקלו הגט שישלמו אותו או מטעם דהעדים אסורים לישא הגרושה- מותר להם לקבל שכר הרבה.</w:t>
      </w:r>
    </w:p>
    <w:p w14:paraId="5DCEC889" w14:textId="77777777" w:rsidR="0013116F" w:rsidRPr="00845316" w:rsidRDefault="0013116F" w:rsidP="004B0475">
      <w:pPr>
        <w:pStyle w:val="a9"/>
        <w:numPr>
          <w:ilvl w:val="0"/>
          <w:numId w:val="166"/>
        </w:numPr>
        <w:spacing w:after="60"/>
        <w:rPr>
          <w:rFonts w:asciiTheme="minorBidi" w:hAnsiTheme="minorBidi"/>
          <w:rtl/>
        </w:rPr>
      </w:pPr>
      <w:r w:rsidRPr="00845316">
        <w:rPr>
          <w:rFonts w:asciiTheme="minorBidi" w:hAnsiTheme="minorBidi"/>
          <w:rtl/>
        </w:rPr>
        <w:t>ט"ז- במקום שיש לו טירחא יכול ליטול שכר על ההליכה.</w:t>
      </w:r>
    </w:p>
  </w:footnote>
  <w:footnote w:id="2282">
    <w:p w14:paraId="60F02A93" w14:textId="77777777" w:rsidR="0013116F" w:rsidRPr="00845316" w:rsidRDefault="0013116F" w:rsidP="004B607F">
      <w:pPr>
        <w:pStyle w:val="a9"/>
        <w:spacing w:after="60"/>
        <w:rPr>
          <w:rFonts w:asciiTheme="minorBidi" w:hAnsiTheme="minorBidi"/>
          <w:color w:val="FF0000"/>
        </w:rPr>
      </w:pPr>
      <w:r w:rsidRPr="00845316">
        <w:rPr>
          <w:rStyle w:val="ab"/>
          <w:rFonts w:asciiTheme="minorBidi" w:hAnsiTheme="minorBidi"/>
        </w:rPr>
        <w:footnoteRef/>
      </w:r>
      <w:r w:rsidRPr="00845316">
        <w:rPr>
          <w:rFonts w:asciiTheme="minorBidi" w:hAnsiTheme="minorBidi"/>
          <w:rtl/>
        </w:rPr>
        <w:t xml:space="preserve"> ונראה דדוקא דיין אסור לקבל מתנה ממי שהפך בזכותו דנראה כשוחד מאוחר, אבל אם נתן בע"ד לעד מתנה לאחר שהעיד אפשר דמותר, דגבי עדות לא שייך שוחד, רק דנוטל שכר להעיד קנסו חכמים דלא אהני מעשיו, אבל לאחר שהעיד לא שייך זה, תפארת יעקב </w:t>
      </w:r>
      <w:r w:rsidRPr="00845316">
        <w:rPr>
          <w:rFonts w:asciiTheme="minorBidi" w:hAnsiTheme="minorBidi"/>
          <w:sz w:val="16"/>
          <w:szCs w:val="16"/>
          <w:rtl/>
        </w:rPr>
        <w:t>(סק"כ, הובא בפת"ש סקכ"ח)</w:t>
      </w:r>
      <w:r w:rsidRPr="00845316">
        <w:rPr>
          <w:rFonts w:asciiTheme="minorBidi" w:hAnsiTheme="minorBidi"/>
          <w:rtl/>
        </w:rPr>
        <w:t>.</w:t>
      </w:r>
    </w:p>
  </w:footnote>
  <w:footnote w:id="2283">
    <w:p w14:paraId="789E3E70" w14:textId="77777777" w:rsidR="0013116F" w:rsidRPr="00845316" w:rsidRDefault="0013116F" w:rsidP="004B607F">
      <w:pPr>
        <w:pStyle w:val="a9"/>
        <w:spacing w:after="60"/>
        <w:rPr>
          <w:rFonts w:asciiTheme="minorBidi" w:hAnsiTheme="minorBidi"/>
        </w:rPr>
      </w:pPr>
      <w:r w:rsidRPr="00845316">
        <w:rPr>
          <w:rStyle w:val="ab"/>
          <w:rFonts w:asciiTheme="minorBidi" w:hAnsiTheme="minorBidi"/>
        </w:rPr>
        <w:footnoteRef/>
      </w:r>
      <w:r w:rsidRPr="00845316">
        <w:rPr>
          <w:rFonts w:asciiTheme="minorBidi" w:hAnsiTheme="minorBidi"/>
          <w:rtl/>
        </w:rPr>
        <w:t xml:space="preserve"> מהרי"ק שורש סח. הביאו בדרכ"מ (אות יב***). </w:t>
      </w:r>
    </w:p>
  </w:footnote>
  <w:footnote w:id="2284">
    <w:p w14:paraId="69CE443F" w14:textId="77777777" w:rsidR="0013116F" w:rsidRPr="00845316" w:rsidRDefault="0013116F" w:rsidP="004B607F">
      <w:pPr>
        <w:pStyle w:val="a9"/>
        <w:spacing w:after="60"/>
        <w:rPr>
          <w:rFonts w:asciiTheme="minorBidi" w:hAnsiTheme="minorBidi"/>
          <w:color w:val="FF0000"/>
          <w:rtl/>
        </w:rPr>
      </w:pPr>
      <w:r w:rsidRPr="00845316">
        <w:rPr>
          <w:rStyle w:val="ab"/>
          <w:rFonts w:asciiTheme="minorBidi" w:hAnsiTheme="minorBidi"/>
          <w:color w:val="FF0000"/>
        </w:rPr>
        <w:footnoteRef/>
      </w:r>
      <w:r w:rsidRPr="00845316">
        <w:rPr>
          <w:rFonts w:asciiTheme="minorBidi" w:hAnsiTheme="minorBidi"/>
          <w:color w:val="FF0000"/>
          <w:rtl/>
        </w:rPr>
        <w:t xml:space="preserve"> וצ"ע אם הוא הדין בדיין שדן בשכר, דיש לשאול אם צריך לדון מחדש או שהדין כשר למפרע, ולכאורה מלשון הרמ"א משמע דדינם חד הוא שכ'- "ואם החזיר הממון </w:t>
      </w:r>
      <w:r w:rsidRPr="00845316">
        <w:rPr>
          <w:rFonts w:asciiTheme="minorBidi" w:hAnsiTheme="minorBidi"/>
          <w:color w:val="FF0000"/>
          <w:u w:val="single"/>
          <w:rtl/>
        </w:rPr>
        <w:t>דינו</w:t>
      </w:r>
      <w:r w:rsidRPr="00845316">
        <w:rPr>
          <w:rFonts w:asciiTheme="minorBidi" w:hAnsiTheme="minorBidi"/>
          <w:color w:val="FF0000"/>
          <w:rtl/>
        </w:rPr>
        <w:t xml:space="preserve"> </w:t>
      </w:r>
      <w:r w:rsidRPr="00845316">
        <w:rPr>
          <w:rFonts w:asciiTheme="minorBidi" w:hAnsiTheme="minorBidi"/>
          <w:color w:val="FF0000"/>
          <w:u w:val="single"/>
          <w:rtl/>
        </w:rPr>
        <w:t>ועדותיו</w:t>
      </w:r>
      <w:r w:rsidRPr="00845316">
        <w:rPr>
          <w:rFonts w:asciiTheme="minorBidi" w:hAnsiTheme="minorBidi"/>
          <w:color w:val="FF0000"/>
          <w:rtl/>
        </w:rPr>
        <w:t xml:space="preserve"> קיימים".</w:t>
      </w:r>
    </w:p>
  </w:footnote>
  <w:footnote w:id="2285">
    <w:p w14:paraId="291D24F1" w14:textId="77777777" w:rsidR="0013116F" w:rsidRDefault="0013116F" w:rsidP="004B607F">
      <w:pPr>
        <w:pStyle w:val="a9"/>
      </w:pPr>
      <w:r>
        <w:rPr>
          <w:rStyle w:val="ab"/>
        </w:rPr>
        <w:footnoteRef/>
      </w:r>
      <w:r>
        <w:rPr>
          <w:rtl/>
        </w:rPr>
        <w:t xml:space="preserve"> </w:t>
      </w:r>
      <w:r w:rsidRPr="00E92409">
        <w:rPr>
          <w:rFonts w:asciiTheme="minorBidi" w:hAnsiTheme="minorBidi" w:cs="Arial"/>
          <w:rtl/>
        </w:rPr>
        <w:t>ותדע מדתניא בפרק עד כמה (בכורות כט</w:t>
      </w:r>
      <w:r>
        <w:rPr>
          <w:rFonts w:asciiTheme="minorBidi" w:hAnsiTheme="minorBidi" w:cs="Arial" w:hint="cs"/>
          <w:rtl/>
        </w:rPr>
        <w:t>.</w:t>
      </w:r>
      <w:r w:rsidRPr="00E92409">
        <w:rPr>
          <w:rFonts w:asciiTheme="minorBidi" w:hAnsiTheme="minorBidi" w:cs="Arial"/>
          <w:rtl/>
        </w:rPr>
        <w:t>) מנין שאם לא מצא בחנם שילמוד בשכר תלמוד לומר (משלי כג כג) אמת קנה</w:t>
      </w:r>
      <w:r>
        <w:rPr>
          <w:rFonts w:asciiTheme="minorBidi" w:hAnsiTheme="minorBidi" w:cs="Arial" w:hint="cs"/>
          <w:rtl/>
        </w:rPr>
        <w:t>,</w:t>
      </w:r>
      <w:r w:rsidRPr="00E92409">
        <w:rPr>
          <w:rFonts w:asciiTheme="minorBidi" w:hAnsiTheme="minorBidi" w:cs="Arial"/>
          <w:rtl/>
        </w:rPr>
        <w:t xml:space="preserve"> ואי חייב להחזיר אף בשכר לא ימצא</w:t>
      </w:r>
      <w:r>
        <w:rPr>
          <w:rFonts w:asciiTheme="minorBidi" w:hAnsiTheme="minorBidi" w:cs="Arial" w:hint="cs"/>
          <w:rtl/>
        </w:rPr>
        <w:t>,</w:t>
      </w:r>
      <w:r w:rsidRPr="00E92409">
        <w:rPr>
          <w:rFonts w:asciiTheme="minorBidi" w:hAnsiTheme="minorBidi" w:cs="Arial"/>
          <w:rtl/>
        </w:rPr>
        <w:t xml:space="preserve"> ומאי אמת קנה</w:t>
      </w:r>
      <w:r>
        <w:rPr>
          <w:rFonts w:asciiTheme="minorBidi" w:hAnsiTheme="minorBidi" w:cs="Arial" w:hint="cs"/>
          <w:rtl/>
        </w:rPr>
        <w:t>, ב"ח.</w:t>
      </w:r>
      <w:r w:rsidRPr="00670BF3">
        <w:rPr>
          <w:rtl/>
        </w:rPr>
        <w:t xml:space="preserve"> </w:t>
      </w:r>
      <w:r w:rsidRPr="00670BF3">
        <w:rPr>
          <w:rFonts w:cs="Arial"/>
          <w:rtl/>
        </w:rPr>
        <w:t>והביאו ג"כ בתשו</w:t>
      </w:r>
      <w:r>
        <w:rPr>
          <w:rFonts w:cs="Arial" w:hint="cs"/>
          <w:rtl/>
        </w:rPr>
        <w:t>'</w:t>
      </w:r>
      <w:r w:rsidRPr="00670BF3">
        <w:rPr>
          <w:rFonts w:cs="Arial"/>
          <w:rtl/>
        </w:rPr>
        <w:t xml:space="preserve"> פנים מאירות ח"ב סי' קנ"ט, ומשמע דהסכים עמו. </w:t>
      </w:r>
    </w:p>
  </w:footnote>
  <w:footnote w:id="2286">
    <w:p w14:paraId="5E1EF549" w14:textId="77777777" w:rsidR="0013116F" w:rsidRDefault="0013116F" w:rsidP="004B607F">
      <w:pPr>
        <w:pStyle w:val="a9"/>
        <w:rPr>
          <w:rtl/>
        </w:rPr>
      </w:pPr>
      <w:r>
        <w:rPr>
          <w:rStyle w:val="ab"/>
        </w:rPr>
        <w:footnoteRef/>
      </w:r>
      <w:r>
        <w:rPr>
          <w:rtl/>
        </w:rPr>
        <w:t xml:space="preserve"> </w:t>
      </w:r>
      <w:r w:rsidRPr="00670BF3">
        <w:rPr>
          <w:rFonts w:asciiTheme="minorBidi" w:hAnsiTheme="minorBidi" w:cs="Arial"/>
          <w:rtl/>
        </w:rPr>
        <w:t>גם במל</w:t>
      </w:r>
      <w:r>
        <w:rPr>
          <w:rFonts w:asciiTheme="minorBidi" w:hAnsiTheme="minorBidi" w:cs="Arial" w:hint="cs"/>
          <w:rtl/>
        </w:rPr>
        <w:t>"מ</w:t>
      </w:r>
      <w:r w:rsidRPr="00670BF3">
        <w:rPr>
          <w:rFonts w:asciiTheme="minorBidi" w:hAnsiTheme="minorBidi" w:cs="Arial"/>
          <w:rtl/>
        </w:rPr>
        <w:t xml:space="preserve"> פכ"ג מהלכות סנהדרין דין ה' הביא הרב (המגיה) דברי הב"ח הנ"ל, וכתב עליו דמדברי הריטב"א סופ"ב דקדושין [נ"ח ע"ב] מוכח דס"ל דחייב להחזיר, ע"ש. ועיין במחנה אפרים ה' שכירות סי' ט"ז שהשיג ג"כ על הב"ח מכח דברי הריטב"א, וכתב דאע"פ שיש לדחות דאין ראיה מדברי הריטב"א, דהתם שאני דכיון דלא אהני לה מידי במאי מקדשה, מ"מ נ"ל דצריך להחזיר השכר דהוי נתינה בטעות כו', ע"ש. גם בספר ברכי יוסף אות י"ח האריך בזה, ומסיק דודאי הריטב"א ס"ל דלא כהב"ח, והכי נמי מסתברא, דמהיכא תיתי שיזכה מאחר דמעשיו בטלים והנותן שכר לא יהיב אלא דליהני ליה, ע"ש. ועיין בספר שער משפט [סק"ב] האריך לקיים דברי הב"ח הנ"ל דאין חייב להחזיר, כיון דמד"ת דינו דין זכה בו</w:t>
      </w:r>
      <w:r>
        <w:rPr>
          <w:rFonts w:asciiTheme="minorBidi" w:hAnsiTheme="minorBidi" w:cs="Arial" w:hint="cs"/>
          <w:rtl/>
        </w:rPr>
        <w:t>..</w:t>
      </w:r>
      <w:r w:rsidRPr="00670BF3">
        <w:rPr>
          <w:rFonts w:asciiTheme="minorBidi" w:hAnsiTheme="minorBidi" w:cs="Arial"/>
          <w:rtl/>
        </w:rPr>
        <w:t>. אולם בספר דברי חיים הלכות דיינים סי' ג' השיג עליו דאין דמיון זה עולה יפה, דשם עכ"פ מדאורייתא קיים המצוה כו'. אך הוא ז"ל כתב אופן אחר לקיים דברי הב"ח, דאפשר דכונת הב"ח באם הבעלי דינים רוצים לקיים הפסק ואינם חוזרים ממה שפסק להם לפי שפסק כדת, ולזה יכול הדיין לומר מאחר דאהנו מעשי ואתם רוצים בפסקי אין אני מחזיר השכר כו', ע"ש וצ"ע</w:t>
      </w:r>
      <w:r>
        <w:rPr>
          <w:rFonts w:asciiTheme="minorBidi" w:hAnsiTheme="minorBidi" w:cs="Arial" w:hint="cs"/>
          <w:rtl/>
        </w:rPr>
        <w:t>, פת"ש (סי' ט סק"ט).</w:t>
      </w:r>
    </w:p>
  </w:footnote>
  <w:footnote w:id="2287">
    <w:p w14:paraId="64B4D326" w14:textId="77777777" w:rsidR="0013116F" w:rsidRPr="00845316" w:rsidRDefault="0013116F" w:rsidP="004B607F">
      <w:pPr>
        <w:pStyle w:val="a9"/>
        <w:spacing w:after="60"/>
        <w:rPr>
          <w:rFonts w:asciiTheme="minorBidi" w:hAnsiTheme="minorBidi"/>
          <w:rtl/>
        </w:rPr>
      </w:pPr>
      <w:r w:rsidRPr="00845316">
        <w:rPr>
          <w:rStyle w:val="ab"/>
          <w:rFonts w:asciiTheme="minorBidi" w:hAnsiTheme="minorBidi"/>
        </w:rPr>
        <w:footnoteRef/>
      </w:r>
      <w:r w:rsidRPr="00845316">
        <w:rPr>
          <w:rFonts w:asciiTheme="minorBidi" w:hAnsiTheme="minorBidi"/>
          <w:rtl/>
        </w:rPr>
        <w:t xml:space="preserve"> וכ' התוס' (ב"ק פח. ד"ה יהא) דמהכא ילפינן דגוי פסול לעדות, דגוי לאו "אחיו" הוא.</w:t>
      </w:r>
    </w:p>
  </w:footnote>
  <w:footnote w:id="2288">
    <w:p w14:paraId="08154CA6" w14:textId="77777777" w:rsidR="0013116F" w:rsidRDefault="0013116F" w:rsidP="004B607F">
      <w:pPr>
        <w:pStyle w:val="a9"/>
      </w:pPr>
      <w:r>
        <w:rPr>
          <w:rStyle w:val="ab"/>
        </w:rPr>
        <w:footnoteRef/>
      </w:r>
      <w:r>
        <w:rPr>
          <w:rtl/>
        </w:rPr>
        <w:t xml:space="preserve"> </w:t>
      </w:r>
      <w:r>
        <w:rPr>
          <w:rFonts w:hint="cs"/>
          <w:rtl/>
        </w:rPr>
        <w:t xml:space="preserve">סימן </w:t>
      </w:r>
      <w:r>
        <w:rPr>
          <w:rtl/>
        </w:rPr>
        <w:t>–</w:t>
      </w:r>
      <w:r>
        <w:rPr>
          <w:rFonts w:hint="cs"/>
          <w:rtl/>
        </w:rPr>
        <w:t xml:space="preserve"> ידיעות בדין </w:t>
      </w:r>
      <w:r>
        <w:rPr>
          <w:rFonts w:hint="cs"/>
          <w:sz w:val="16"/>
          <w:szCs w:val="16"/>
          <w:rtl/>
        </w:rPr>
        <w:t>(רק מ-)</w:t>
      </w:r>
      <w:r>
        <w:rPr>
          <w:rFonts w:hint="cs"/>
          <w:rtl/>
        </w:rPr>
        <w:t xml:space="preserve"> ישראל בדרור.</w:t>
      </w:r>
    </w:p>
  </w:footnote>
  <w:footnote w:id="2289">
    <w:p w14:paraId="342A28BD" w14:textId="77777777" w:rsidR="0013116F" w:rsidRPr="00845316" w:rsidRDefault="0013116F" w:rsidP="004B607F">
      <w:pPr>
        <w:pStyle w:val="a9"/>
        <w:spacing w:after="60"/>
        <w:rPr>
          <w:rFonts w:asciiTheme="minorBidi" w:hAnsiTheme="minorBidi"/>
          <w:rtl/>
        </w:rPr>
      </w:pPr>
      <w:r w:rsidRPr="00845316">
        <w:rPr>
          <w:rStyle w:val="ab"/>
          <w:rFonts w:asciiTheme="minorBidi" w:hAnsiTheme="minorBidi"/>
        </w:rPr>
        <w:footnoteRef/>
      </w:r>
      <w:r w:rsidRPr="00845316">
        <w:rPr>
          <w:rFonts w:asciiTheme="minorBidi" w:hAnsiTheme="minorBidi"/>
          <w:rtl/>
        </w:rPr>
        <w:t xml:space="preserve"> דאמרינן בפרק הבא על יבמתו </w:t>
      </w:r>
      <w:r w:rsidRPr="00845316">
        <w:rPr>
          <w:rFonts w:asciiTheme="minorBidi" w:hAnsiTheme="minorBidi"/>
          <w:sz w:val="16"/>
          <w:szCs w:val="16"/>
          <w:rtl/>
        </w:rPr>
        <w:t xml:space="preserve">(יבמות סב) </w:t>
      </w:r>
      <w:r w:rsidRPr="00845316">
        <w:rPr>
          <w:rFonts w:asciiTheme="minorBidi" w:hAnsiTheme="minorBidi"/>
          <w:rtl/>
        </w:rPr>
        <w:t>הכל מודים בעבד שאין לו יחס כדכתיב עם החמור עם הדומין לחמור, רש"י.</w:t>
      </w:r>
    </w:p>
  </w:footnote>
  <w:footnote w:id="2290">
    <w:p w14:paraId="5069A97C" w14:textId="77777777" w:rsidR="0013116F" w:rsidRPr="00845316" w:rsidRDefault="0013116F" w:rsidP="004B607F">
      <w:pPr>
        <w:pStyle w:val="a9"/>
        <w:spacing w:after="60"/>
        <w:rPr>
          <w:rFonts w:asciiTheme="minorBidi" w:hAnsiTheme="minorBidi"/>
        </w:rPr>
      </w:pPr>
      <w:r w:rsidRPr="00845316">
        <w:rPr>
          <w:rStyle w:val="ab"/>
          <w:rFonts w:asciiTheme="minorBidi" w:hAnsiTheme="minorBidi"/>
        </w:rPr>
        <w:footnoteRef/>
      </w:r>
      <w:r w:rsidRPr="00845316">
        <w:rPr>
          <w:rFonts w:asciiTheme="minorBidi" w:hAnsiTheme="minorBidi"/>
          <w:rtl/>
        </w:rPr>
        <w:t xml:space="preserve"> כדמפרש התם דכתיב הדרימון בן טברימון בן חזאל, רש"י.</w:t>
      </w:r>
    </w:p>
  </w:footnote>
  <w:footnote w:id="2291">
    <w:p w14:paraId="0097D730" w14:textId="77777777" w:rsidR="0013116F" w:rsidRPr="00845316" w:rsidRDefault="0013116F" w:rsidP="004B607F">
      <w:pPr>
        <w:pStyle w:val="a9"/>
        <w:spacing w:after="60"/>
        <w:rPr>
          <w:rFonts w:asciiTheme="minorBidi" w:hAnsiTheme="minorBidi"/>
          <w:rtl/>
        </w:rPr>
      </w:pPr>
      <w:r w:rsidRPr="00845316">
        <w:rPr>
          <w:rStyle w:val="ab"/>
          <w:rFonts w:asciiTheme="minorBidi" w:hAnsiTheme="minorBidi"/>
        </w:rPr>
        <w:footnoteRef/>
      </w:r>
      <w:r w:rsidRPr="00845316">
        <w:rPr>
          <w:rFonts w:asciiTheme="minorBidi" w:hAnsiTheme="minorBidi"/>
          <w:rtl/>
        </w:rPr>
        <w:t xml:space="preserve"> אך הב"ח (אות לב) כ' דסברת רבנו יקר אינה אלא לומר דבכלל תקנת חכמים שתקנו בשטרות העולים בערכאות של גוים דכשרים כיון דלא מרעי נפשייהו הוי נמי הא דהיכא דידוע דהני גוים מוחזקים ואינם שקרנים סמכינן עלייהו לאפוקי ממונא כיון דאי אפשר בעדי ישראל, אבל ודאי מודה דמן התורה גוי פסול לעדות, ולפיכך אסור לכתחלה לעשות הלואה או מקח בפני גוים שיהיו עדים בדבר אלא דאם נעשה הדבר בפני גוים ולא היו שם עדי ישראל סובר ה"ר יקר דיש לסמוך עליהם אם הם מוחזקים שאינן שקרנים ומתקנת חכמים הם כשרים. והכי משמע מלישנא דתוס' בגטין (דף ט</w:t>
      </w:r>
      <w:r w:rsidRPr="00845316">
        <w:rPr>
          <w:rFonts w:asciiTheme="minorBidi" w:hAnsiTheme="minorBidi"/>
        </w:rPr>
        <w:t>:</w:t>
      </w:r>
      <w:r w:rsidRPr="00845316">
        <w:rPr>
          <w:rFonts w:asciiTheme="minorBidi" w:hAnsiTheme="minorBidi"/>
          <w:rtl/>
        </w:rPr>
        <w:t>), מיהו לא נהגו בדין זה כה"ר יקר.</w:t>
      </w:r>
    </w:p>
  </w:footnote>
  <w:footnote w:id="2292">
    <w:p w14:paraId="5C26F772" w14:textId="77777777" w:rsidR="0013116F" w:rsidRDefault="0013116F" w:rsidP="004B607F">
      <w:pPr>
        <w:pStyle w:val="a9"/>
        <w:rPr>
          <w:rtl/>
        </w:rPr>
      </w:pPr>
      <w:r>
        <w:rPr>
          <w:rStyle w:val="ab"/>
        </w:rPr>
        <w:footnoteRef/>
      </w:r>
      <w:r>
        <w:rPr>
          <w:rtl/>
        </w:rPr>
        <w:t xml:space="preserve"> </w:t>
      </w:r>
      <w:r>
        <w:rPr>
          <w:rFonts w:hint="cs"/>
          <w:rtl/>
        </w:rPr>
        <w:t xml:space="preserve">סימן </w:t>
      </w:r>
      <w:r>
        <w:rPr>
          <w:rtl/>
        </w:rPr>
        <w:t>–</w:t>
      </w:r>
      <w:r>
        <w:rPr>
          <w:rFonts w:hint="cs"/>
          <w:rtl/>
        </w:rPr>
        <w:t xml:space="preserve"> קחו מישראל זה.</w:t>
      </w:r>
    </w:p>
  </w:footnote>
  <w:footnote w:id="2293">
    <w:p w14:paraId="5DEFB44B" w14:textId="77777777" w:rsidR="0013116F" w:rsidRPr="00845316" w:rsidRDefault="0013116F" w:rsidP="004B607F">
      <w:pPr>
        <w:pStyle w:val="a9"/>
        <w:spacing w:after="60"/>
        <w:rPr>
          <w:rFonts w:asciiTheme="minorBidi" w:hAnsiTheme="minorBidi"/>
        </w:rPr>
      </w:pPr>
      <w:r w:rsidRPr="00845316">
        <w:rPr>
          <w:rStyle w:val="ab"/>
          <w:rFonts w:asciiTheme="minorBidi" w:hAnsiTheme="minorBidi"/>
        </w:rPr>
        <w:footnoteRef/>
      </w:r>
      <w:r w:rsidRPr="00845316">
        <w:rPr>
          <w:rFonts w:asciiTheme="minorBidi" w:hAnsiTheme="minorBidi"/>
          <w:rtl/>
        </w:rPr>
        <w:t xml:space="preserve"> שרצה להראות לצבא העכו"ם את התבן שיש לישראל חברו ע"מ שיהיה לסוסיהם למאכל.</w:t>
      </w:r>
    </w:p>
  </w:footnote>
  <w:footnote w:id="2294">
    <w:p w14:paraId="4FE48B6B" w14:textId="77777777" w:rsidR="0013116F" w:rsidRPr="00845316" w:rsidRDefault="0013116F" w:rsidP="004B607F">
      <w:pPr>
        <w:pStyle w:val="a9"/>
        <w:spacing w:after="60"/>
        <w:rPr>
          <w:rFonts w:asciiTheme="minorBidi" w:hAnsiTheme="minorBidi"/>
        </w:rPr>
      </w:pPr>
      <w:r w:rsidRPr="00845316">
        <w:rPr>
          <w:rStyle w:val="ab"/>
          <w:rFonts w:asciiTheme="minorBidi" w:hAnsiTheme="minorBidi"/>
        </w:rPr>
        <w:footnoteRef/>
      </w:r>
      <w:r w:rsidRPr="00845316">
        <w:rPr>
          <w:rFonts w:asciiTheme="minorBidi" w:hAnsiTheme="minorBidi"/>
          <w:rtl/>
        </w:rPr>
        <w:t xml:space="preserve"> לצואריה, שבר מפרקתו, רש"י.</w:t>
      </w:r>
    </w:p>
  </w:footnote>
  <w:footnote w:id="2295">
    <w:p w14:paraId="0DC57079" w14:textId="77777777" w:rsidR="0013116F" w:rsidRPr="00845316" w:rsidRDefault="0013116F" w:rsidP="004B607F">
      <w:pPr>
        <w:pStyle w:val="a9"/>
        <w:spacing w:after="60"/>
        <w:rPr>
          <w:rFonts w:asciiTheme="minorBidi" w:hAnsiTheme="minorBidi"/>
        </w:rPr>
      </w:pPr>
      <w:r w:rsidRPr="00845316">
        <w:rPr>
          <w:rStyle w:val="ab"/>
          <w:rFonts w:asciiTheme="minorBidi" w:hAnsiTheme="minorBidi"/>
        </w:rPr>
        <w:footnoteRef/>
      </w:r>
      <w:r w:rsidRPr="00845316">
        <w:rPr>
          <w:rFonts w:asciiTheme="minorBidi" w:hAnsiTheme="minorBidi"/>
          <w:rtl/>
        </w:rPr>
        <w:t xml:space="preserve"> הובא בתשובות הגאונים, קובץ שערי צדק </w:t>
      </w:r>
      <w:r w:rsidRPr="00845316">
        <w:rPr>
          <w:rFonts w:asciiTheme="minorBidi" w:hAnsiTheme="minorBidi"/>
          <w:sz w:val="16"/>
          <w:szCs w:val="16"/>
          <w:rtl/>
        </w:rPr>
        <w:t xml:space="preserve">(חלק ד שער א סי' ט </w:t>
      </w:r>
      <w:r w:rsidRPr="00845316">
        <w:rPr>
          <w:rFonts w:asciiTheme="minorBidi" w:hAnsiTheme="minorBidi"/>
          <w:sz w:val="14"/>
          <w:szCs w:val="14"/>
          <w:rtl/>
        </w:rPr>
        <w:t>[ובמודפסות בקיצור נמצא בסי' ער"ה]</w:t>
      </w:r>
      <w:r w:rsidRPr="00845316">
        <w:rPr>
          <w:rFonts w:asciiTheme="minorBidi" w:hAnsiTheme="minorBidi"/>
          <w:sz w:val="16"/>
          <w:szCs w:val="16"/>
          <w:rtl/>
        </w:rPr>
        <w:t>)</w:t>
      </w:r>
      <w:r w:rsidRPr="00845316">
        <w:rPr>
          <w:rFonts w:asciiTheme="minorBidi" w:hAnsiTheme="minorBidi"/>
          <w:rtl/>
        </w:rPr>
        <w:t xml:space="preserve">, תשובות אלו מקורן מהמרכז הרוחני היהודי הגדול שבבבל שלשם נשלחו בתקופת הגאונים תשובות רבות לשאלות בהלכה, אשר הופנו לגאוני בבל וחכמי ישיבותיה. תשובות אלה נפוצו בקרב הציבור, ובמשך הזמן נאספו בידי עורכים שונים במקומות שונים קבצים רבים של תשובות ופסקים של הגאונים, לעיתים בצירוף לפסקים ותשובות של חכמים קדומים אחרים. אחד הקבצים האלו שזכה לראות אור הוא הקובץ הנקרא 'שערי צדק'. הקובץ נדפס לראשונה ע"י ר' נסים ב"ר חיים מודעי בשאלוניקי בשנת תקנ"ב </w:t>
      </w:r>
      <w:r w:rsidRPr="00845316">
        <w:rPr>
          <w:rFonts w:asciiTheme="minorBidi" w:hAnsiTheme="minorBidi"/>
          <w:sz w:val="16"/>
          <w:szCs w:val="16"/>
          <w:rtl/>
        </w:rPr>
        <w:t>(1792)</w:t>
      </w:r>
      <w:r w:rsidRPr="00845316">
        <w:rPr>
          <w:rFonts w:asciiTheme="minorBidi" w:hAnsiTheme="minorBidi"/>
          <w:rtl/>
        </w:rPr>
        <w:t xml:space="preserve">, מתוך כתב יד אשר מצא המדפיס במצרים. שלא כבקבצי גאונים אחרים החומר מסודר לפי נושאים. עריכת הקובץ שבכתב היד נעשתה כנראה בספרד או בצפון אפריקה, ונמצאות בו גם תשובות מחכמי ספרד, כולל הרי"ף </w:t>
      </w:r>
      <w:r w:rsidRPr="00845316">
        <w:rPr>
          <w:rFonts w:asciiTheme="minorBidi" w:hAnsiTheme="minorBidi"/>
          <w:sz w:val="16"/>
          <w:szCs w:val="16"/>
          <w:rtl/>
        </w:rPr>
        <w:t>(ביוגרפיה, פרוייקט השו"ת)</w:t>
      </w:r>
      <w:r w:rsidRPr="00845316">
        <w:rPr>
          <w:rFonts w:asciiTheme="minorBidi" w:hAnsiTheme="minorBidi"/>
          <w:rtl/>
        </w:rPr>
        <w:t>.</w:t>
      </w:r>
    </w:p>
  </w:footnote>
  <w:footnote w:id="2296">
    <w:p w14:paraId="6A789B4F" w14:textId="77777777" w:rsidR="0013116F" w:rsidRPr="00845316" w:rsidRDefault="0013116F" w:rsidP="004B607F">
      <w:pPr>
        <w:pStyle w:val="a9"/>
        <w:spacing w:after="60"/>
        <w:rPr>
          <w:rFonts w:asciiTheme="minorBidi" w:hAnsiTheme="minorBidi"/>
        </w:rPr>
      </w:pPr>
      <w:r w:rsidRPr="00845316">
        <w:rPr>
          <w:rStyle w:val="ab"/>
          <w:rFonts w:asciiTheme="minorBidi" w:hAnsiTheme="minorBidi"/>
        </w:rPr>
        <w:footnoteRef/>
      </w:r>
      <w:r w:rsidRPr="00845316">
        <w:rPr>
          <w:rFonts w:asciiTheme="minorBidi" w:hAnsiTheme="minorBidi"/>
          <w:rtl/>
        </w:rPr>
        <w:t xml:space="preserve"> וכך היא לשון התשובה- "וששאלתם שאיים שמעון לראובן לפני נער המלך וגרם לו חבישה. כך נראה לי לפי עניות דעתי ששמעון זה משעה שאמר לראובן הריני מוסרך לשלטון אפילו לא היה ניזוק על ידו ראובן זה היה נפסל לעדות מדיבורו, שכך כתבו ממתיבתא הקדושה מוסר פסול לעדות. ולא מבעיא מוסר גופיה אלא איניש דאמר ליה לחבריה מסרנא לך איפסול ליה. כל שכן זה שעשה בדיבור פירוש וגרם לראובן חבישה וזלזל ודין הוא שיפרע לראובן כל מה שהפסיד בהוצאה לסרדיוטין ובכל דבר ויכתוב לו שום זלזולו שאם שנה לזלזל בו פעם שניה בין בעצמו בין במלכות </w:t>
      </w:r>
      <w:r w:rsidRPr="00845316">
        <w:rPr>
          <w:rFonts w:asciiTheme="minorBidi" w:hAnsiTheme="minorBidi"/>
          <w:sz w:val="16"/>
          <w:szCs w:val="16"/>
          <w:rtl/>
        </w:rPr>
        <w:t xml:space="preserve">(חסר כמו שלש תיבות) </w:t>
      </w:r>
      <w:r w:rsidRPr="00845316">
        <w:rPr>
          <w:rFonts w:asciiTheme="minorBidi" w:hAnsiTheme="minorBidi"/>
          <w:rtl/>
        </w:rPr>
        <w:t>כמו יהא לו רשות לגבותה ממנו".</w:t>
      </w:r>
    </w:p>
  </w:footnote>
  <w:footnote w:id="2297">
    <w:p w14:paraId="2FEB1F3C" w14:textId="77777777" w:rsidR="0013116F" w:rsidRPr="00845316" w:rsidRDefault="0013116F" w:rsidP="004B607F">
      <w:pPr>
        <w:pStyle w:val="a9"/>
        <w:spacing w:after="60"/>
        <w:rPr>
          <w:rFonts w:asciiTheme="minorBidi" w:hAnsiTheme="minorBidi"/>
        </w:rPr>
      </w:pPr>
      <w:r w:rsidRPr="00845316">
        <w:rPr>
          <w:rStyle w:val="ab"/>
          <w:rFonts w:asciiTheme="minorBidi" w:hAnsiTheme="minorBidi"/>
        </w:rPr>
        <w:footnoteRef/>
      </w:r>
      <w:r w:rsidRPr="00845316">
        <w:rPr>
          <w:rFonts w:asciiTheme="minorBidi" w:hAnsiTheme="minorBidi"/>
          <w:rtl/>
        </w:rPr>
        <w:t xml:space="preserve"> הל' חובל פ"ח ה"י. וז"ל- מותר להרוג המוסר בכל מקום ואפילו בזמן הזה שאין דנין דיני נפשות, ומותר להרגו קודם שימסור אלא כשאמר הריני מוסר פלוני בגופו או בממונו ואפילו ממון קל הרי התיר עצמו למיתה </w:t>
      </w:r>
      <w:r w:rsidRPr="00845316">
        <w:rPr>
          <w:rFonts w:asciiTheme="minorBidi" w:hAnsiTheme="minorBidi"/>
          <w:u w:val="single"/>
          <w:rtl/>
        </w:rPr>
        <w:t>ומתרין בו</w:t>
      </w:r>
      <w:r w:rsidRPr="00845316">
        <w:rPr>
          <w:rFonts w:asciiTheme="minorBidi" w:hAnsiTheme="minorBidi"/>
          <w:rtl/>
        </w:rPr>
        <w:t xml:space="preserve"> ואומרין לו אל תמסור, אם העיז פניו ואמר לא כי אלא אמסרנו- מצוה להרגו וכל הקודם להרגו זכה.</w:t>
      </w:r>
      <w:r w:rsidRPr="00845316">
        <w:rPr>
          <w:rFonts w:asciiTheme="minorBidi" w:hAnsiTheme="minorBidi"/>
          <w:sz w:val="16"/>
          <w:szCs w:val="16"/>
          <w:rtl/>
        </w:rPr>
        <w:t xml:space="preserve"> (ובהל' יא הוסיף דאם הוחזק למסור הרי זה יהרג אע"פ שברגע זה הוא לא בדרך למסור, שמא ימסור בעתיד)</w:t>
      </w:r>
    </w:p>
  </w:footnote>
  <w:footnote w:id="2298">
    <w:p w14:paraId="6A1A0C19" w14:textId="77777777" w:rsidR="0013116F" w:rsidRPr="00845316" w:rsidRDefault="0013116F" w:rsidP="004B607F">
      <w:pPr>
        <w:pStyle w:val="a9"/>
        <w:spacing w:after="60"/>
        <w:rPr>
          <w:rFonts w:asciiTheme="minorBidi" w:hAnsiTheme="minorBidi"/>
        </w:rPr>
      </w:pPr>
      <w:r w:rsidRPr="00845316">
        <w:rPr>
          <w:rStyle w:val="ab"/>
          <w:rFonts w:asciiTheme="minorBidi" w:hAnsiTheme="minorBidi"/>
        </w:rPr>
        <w:footnoteRef/>
      </w:r>
      <w:r w:rsidRPr="00845316">
        <w:rPr>
          <w:rFonts w:asciiTheme="minorBidi" w:hAnsiTheme="minorBidi"/>
          <w:rtl/>
        </w:rPr>
        <w:t xml:space="preserve">  סי' קכו. הב"י הפנה לעיין בו. ומדברי הפני מנחם</w:t>
      </w:r>
      <w:r w:rsidRPr="00845316">
        <w:rPr>
          <w:rFonts w:asciiTheme="minorBidi" w:hAnsiTheme="minorBidi"/>
          <w:sz w:val="16"/>
          <w:szCs w:val="16"/>
          <w:rtl/>
        </w:rPr>
        <w:t xml:space="preserve"> (בגליון הל' חובל ומזיק פ"ח ה"י)</w:t>
      </w:r>
      <w:r w:rsidRPr="00845316">
        <w:rPr>
          <w:rFonts w:asciiTheme="minorBidi" w:hAnsiTheme="minorBidi"/>
          <w:rtl/>
        </w:rPr>
        <w:t xml:space="preserve"> מוכח שסובר דלא כמהרי"ק בהב' הרמב"ם. </w:t>
      </w:r>
      <w:r w:rsidRPr="00845316">
        <w:rPr>
          <w:rFonts w:asciiTheme="minorBidi" w:hAnsiTheme="minorBidi"/>
          <w:color w:val="FF0000"/>
          <w:sz w:val="16"/>
          <w:szCs w:val="16"/>
          <w:rtl/>
        </w:rPr>
        <w:t xml:space="preserve">(וצל"ע בדברי מהרי"ק שהרי הרמב"ם כ' בפירוש שהוא מדבר במי </w:t>
      </w:r>
      <w:r w:rsidRPr="00845316">
        <w:rPr>
          <w:rFonts w:asciiTheme="minorBidi" w:hAnsiTheme="minorBidi"/>
          <w:color w:val="FF0000"/>
          <w:sz w:val="16"/>
          <w:szCs w:val="16"/>
          <w:u w:val="single"/>
          <w:rtl/>
        </w:rPr>
        <w:t>שרק אומר</w:t>
      </w:r>
      <w:r w:rsidRPr="00845316">
        <w:rPr>
          <w:rFonts w:asciiTheme="minorBidi" w:hAnsiTheme="minorBidi"/>
          <w:color w:val="FF0000"/>
          <w:sz w:val="16"/>
          <w:szCs w:val="16"/>
          <w:rtl/>
        </w:rPr>
        <w:t xml:space="preserve"> שהוא ילך וימסור, ומזה שקרא לו מסור לא קשיא שהרי סופו </w:t>
      </w:r>
      <w:r w:rsidRPr="00845316">
        <w:rPr>
          <w:rFonts w:asciiTheme="minorBidi" w:hAnsiTheme="minorBidi"/>
          <w:color w:val="FF0000"/>
          <w:sz w:val="14"/>
          <w:szCs w:val="14"/>
          <w:rtl/>
        </w:rPr>
        <w:t xml:space="preserve">{שנידון למיתה עקב רצונו למסור} </w:t>
      </w:r>
      <w:r w:rsidRPr="00845316">
        <w:rPr>
          <w:rFonts w:asciiTheme="minorBidi" w:hAnsiTheme="minorBidi"/>
          <w:color w:val="FF0000"/>
          <w:sz w:val="16"/>
          <w:szCs w:val="16"/>
          <w:rtl/>
        </w:rPr>
        <w:t xml:space="preserve">מעיד על תחילתו </w:t>
      </w:r>
      <w:r w:rsidRPr="00845316">
        <w:rPr>
          <w:rFonts w:asciiTheme="minorBidi" w:hAnsiTheme="minorBidi"/>
          <w:color w:val="FF0000"/>
          <w:sz w:val="14"/>
          <w:szCs w:val="14"/>
          <w:rtl/>
        </w:rPr>
        <w:t>{שהוא מסור}</w:t>
      </w:r>
      <w:r w:rsidRPr="00845316">
        <w:rPr>
          <w:rFonts w:asciiTheme="minorBidi" w:hAnsiTheme="minorBidi"/>
          <w:color w:val="FF0000"/>
          <w:sz w:val="16"/>
          <w:szCs w:val="16"/>
          <w:rtl/>
        </w:rPr>
        <w:t xml:space="preserve">, וז"ל הרמב"ם שם- "ומותר להרגו </w:t>
      </w:r>
      <w:r w:rsidRPr="00845316">
        <w:rPr>
          <w:rFonts w:asciiTheme="minorBidi" w:hAnsiTheme="minorBidi"/>
          <w:color w:val="FF0000"/>
          <w:sz w:val="16"/>
          <w:szCs w:val="16"/>
          <w:u w:val="single"/>
          <w:rtl/>
        </w:rPr>
        <w:t>קודם</w:t>
      </w:r>
      <w:r w:rsidRPr="00845316">
        <w:rPr>
          <w:rFonts w:asciiTheme="minorBidi" w:hAnsiTheme="minorBidi"/>
          <w:color w:val="FF0000"/>
          <w:sz w:val="16"/>
          <w:szCs w:val="16"/>
          <w:rtl/>
        </w:rPr>
        <w:t xml:space="preserve"> שימסור אלא </w:t>
      </w:r>
      <w:r w:rsidRPr="00845316">
        <w:rPr>
          <w:rFonts w:asciiTheme="minorBidi" w:hAnsiTheme="minorBidi"/>
          <w:color w:val="FF0000"/>
          <w:sz w:val="16"/>
          <w:szCs w:val="16"/>
          <w:u w:val="single"/>
          <w:rtl/>
        </w:rPr>
        <w:t>כשאמר</w:t>
      </w:r>
      <w:r w:rsidRPr="00845316">
        <w:rPr>
          <w:rFonts w:asciiTheme="minorBidi" w:hAnsiTheme="minorBidi"/>
          <w:color w:val="FF0000"/>
          <w:sz w:val="16"/>
          <w:szCs w:val="16"/>
          <w:rtl/>
        </w:rPr>
        <w:t xml:space="preserve"> הריני מוסר פלוני בגופו או בממונו... הרי התיר עצמו למיתה)</w:t>
      </w:r>
      <w:r w:rsidRPr="00845316">
        <w:rPr>
          <w:rFonts w:asciiTheme="minorBidi" w:hAnsiTheme="minorBidi"/>
          <w:color w:val="FF0000"/>
          <w:rtl/>
        </w:rPr>
        <w:t xml:space="preserve"> </w:t>
      </w:r>
    </w:p>
  </w:footnote>
  <w:footnote w:id="2299">
    <w:p w14:paraId="044F09FB" w14:textId="77777777" w:rsidR="0013116F" w:rsidRPr="00845316" w:rsidRDefault="0013116F" w:rsidP="004B607F">
      <w:pPr>
        <w:pStyle w:val="a9"/>
        <w:spacing w:after="60"/>
        <w:rPr>
          <w:rFonts w:asciiTheme="minorBidi" w:hAnsiTheme="minorBidi"/>
        </w:rPr>
      </w:pPr>
      <w:r w:rsidRPr="00845316">
        <w:rPr>
          <w:rStyle w:val="ab"/>
          <w:rFonts w:asciiTheme="minorBidi" w:hAnsiTheme="minorBidi"/>
        </w:rPr>
        <w:footnoteRef/>
      </w:r>
      <w:r w:rsidRPr="00845316">
        <w:rPr>
          <w:rFonts w:asciiTheme="minorBidi" w:hAnsiTheme="minorBidi"/>
          <w:rtl/>
        </w:rPr>
        <w:t xml:space="preserve"> דאל"כ לא הי' שתיק מיניה והוה אשמועינן אפי' באומר אלך ואמסו' וכ"ש מסור עצמו, ומאי אירי' מסור דנקט, ותדע דכן הוא שהרי תלה הטעם במסור שלא מנאוהו חכמים בפסולי עדות משום דמילתא דפשיט' להיותו גרוע מגוי (עע"ז), ומה יתרץ באומר אלך ואמסור דפשיט' דחידוש גדול הוא זה, מהרי"ק.</w:t>
      </w:r>
    </w:p>
  </w:footnote>
  <w:footnote w:id="2300">
    <w:p w14:paraId="673E8F10" w14:textId="77777777" w:rsidR="0013116F" w:rsidRPr="00845316" w:rsidRDefault="0013116F" w:rsidP="004B607F">
      <w:pPr>
        <w:pStyle w:val="a9"/>
        <w:spacing w:after="60"/>
        <w:rPr>
          <w:rFonts w:asciiTheme="minorBidi" w:hAnsiTheme="minorBidi"/>
          <w:rtl/>
        </w:rPr>
      </w:pPr>
      <w:r w:rsidRPr="00845316">
        <w:rPr>
          <w:rStyle w:val="ab"/>
          <w:rFonts w:asciiTheme="minorBidi" w:hAnsiTheme="minorBidi"/>
        </w:rPr>
        <w:footnoteRef/>
      </w:r>
      <w:r w:rsidRPr="00845316">
        <w:rPr>
          <w:rFonts w:asciiTheme="minorBidi" w:hAnsiTheme="minorBidi"/>
          <w:rtl/>
        </w:rPr>
        <w:t xml:space="preserve"> רב פלטוי גאון </w:t>
      </w:r>
      <w:r w:rsidRPr="00845316">
        <w:rPr>
          <w:rFonts w:asciiTheme="minorBidi" w:hAnsiTheme="minorBidi"/>
          <w:sz w:val="16"/>
          <w:szCs w:val="16"/>
          <w:rtl/>
        </w:rPr>
        <w:t xml:space="preserve">(הובא בכלבו ובהג"א) </w:t>
      </w:r>
      <w:r w:rsidRPr="00845316">
        <w:rPr>
          <w:rFonts w:asciiTheme="minorBidi" w:hAnsiTheme="minorBidi"/>
          <w:rtl/>
        </w:rPr>
        <w:t>מהרי"ח או"ז</w:t>
      </w:r>
      <w:r w:rsidRPr="00845316">
        <w:rPr>
          <w:rFonts w:asciiTheme="minorBidi" w:hAnsiTheme="minorBidi"/>
          <w:sz w:val="16"/>
          <w:szCs w:val="16"/>
          <w:rtl/>
        </w:rPr>
        <w:t xml:space="preserve"> (הובאו ב</w:t>
      </w:r>
      <w:r>
        <w:rPr>
          <w:rFonts w:asciiTheme="minorBidi" w:hAnsiTheme="minorBidi"/>
          <w:sz w:val="16"/>
          <w:szCs w:val="16"/>
          <w:rtl/>
        </w:rPr>
        <w:t>הג"א</w:t>
      </w:r>
      <w:r w:rsidRPr="00845316">
        <w:rPr>
          <w:rFonts w:asciiTheme="minorBidi" w:hAnsiTheme="minorBidi"/>
          <w:sz w:val="16"/>
          <w:szCs w:val="16"/>
          <w:rtl/>
        </w:rPr>
        <w:t>)</w:t>
      </w:r>
      <w:r w:rsidRPr="00845316">
        <w:rPr>
          <w:rFonts w:asciiTheme="minorBidi" w:hAnsiTheme="minorBidi"/>
          <w:rtl/>
        </w:rPr>
        <w:t xml:space="preserve"> כלבו</w:t>
      </w:r>
      <w:r w:rsidRPr="00845316">
        <w:rPr>
          <w:rFonts w:asciiTheme="minorBidi" w:hAnsiTheme="minorBidi"/>
          <w:sz w:val="16"/>
          <w:szCs w:val="16"/>
          <w:rtl/>
        </w:rPr>
        <w:t xml:space="preserve"> (קט ע"ג)</w:t>
      </w:r>
      <w:r w:rsidRPr="00845316">
        <w:rPr>
          <w:rFonts w:asciiTheme="minorBidi" w:hAnsiTheme="minorBidi"/>
          <w:rtl/>
        </w:rPr>
        <w:t xml:space="preserve"> ו</w:t>
      </w:r>
      <w:r>
        <w:rPr>
          <w:rFonts w:asciiTheme="minorBidi" w:hAnsiTheme="minorBidi"/>
          <w:rtl/>
        </w:rPr>
        <w:t>הג"א</w:t>
      </w:r>
      <w:r w:rsidRPr="00845316">
        <w:rPr>
          <w:rFonts w:asciiTheme="minorBidi" w:hAnsiTheme="minorBidi"/>
          <w:rtl/>
        </w:rPr>
        <w:t xml:space="preserve"> </w:t>
      </w:r>
      <w:r w:rsidRPr="00845316">
        <w:rPr>
          <w:rFonts w:asciiTheme="minorBidi" w:hAnsiTheme="minorBidi"/>
          <w:sz w:val="16"/>
          <w:szCs w:val="16"/>
          <w:rtl/>
        </w:rPr>
        <w:t>(</w:t>
      </w:r>
      <w:r>
        <w:rPr>
          <w:rFonts w:asciiTheme="minorBidi" w:hAnsiTheme="minorBidi" w:hint="cs"/>
          <w:sz w:val="16"/>
          <w:szCs w:val="16"/>
          <w:rtl/>
        </w:rPr>
        <w:t xml:space="preserve">סנהדרין פ"ג </w:t>
      </w:r>
      <w:r w:rsidRPr="00845316">
        <w:rPr>
          <w:rFonts w:asciiTheme="minorBidi" w:hAnsiTheme="minorBidi"/>
          <w:sz w:val="16"/>
          <w:szCs w:val="16"/>
          <w:rtl/>
        </w:rPr>
        <w:t>סי' יב</w:t>
      </w:r>
      <w:r>
        <w:rPr>
          <w:rFonts w:asciiTheme="minorBidi" w:hAnsiTheme="minorBidi" w:hint="cs"/>
          <w:sz w:val="16"/>
          <w:szCs w:val="16"/>
          <w:rtl/>
        </w:rPr>
        <w:t xml:space="preserve"> הגהה א</w:t>
      </w:r>
      <w:r w:rsidRPr="00845316">
        <w:rPr>
          <w:rFonts w:asciiTheme="minorBidi" w:hAnsiTheme="minorBidi"/>
          <w:sz w:val="16"/>
          <w:szCs w:val="16"/>
          <w:rtl/>
        </w:rPr>
        <w:t>)</w:t>
      </w:r>
      <w:r w:rsidRPr="00845316">
        <w:rPr>
          <w:rFonts w:asciiTheme="minorBidi" w:hAnsiTheme="minorBidi"/>
          <w:rtl/>
        </w:rPr>
        <w:t>.</w:t>
      </w:r>
    </w:p>
  </w:footnote>
  <w:footnote w:id="2301">
    <w:p w14:paraId="66035172" w14:textId="77777777" w:rsidR="0013116F" w:rsidRPr="00845316" w:rsidRDefault="0013116F" w:rsidP="004B607F">
      <w:pPr>
        <w:pStyle w:val="a9"/>
        <w:spacing w:after="60"/>
        <w:rPr>
          <w:rFonts w:asciiTheme="minorBidi" w:hAnsiTheme="minorBidi"/>
        </w:rPr>
      </w:pPr>
      <w:r w:rsidRPr="00845316">
        <w:rPr>
          <w:rStyle w:val="ab"/>
          <w:rFonts w:asciiTheme="minorBidi" w:hAnsiTheme="minorBidi"/>
        </w:rPr>
        <w:footnoteRef/>
      </w:r>
      <w:r w:rsidRPr="00845316">
        <w:rPr>
          <w:rFonts w:asciiTheme="minorBidi" w:hAnsiTheme="minorBidi"/>
          <w:rtl/>
        </w:rPr>
        <w:t xml:space="preserve"> בכל בו איתא- "ולא מיבעיא מוסר גמור אלא אפילו אדם </w:t>
      </w:r>
      <w:r w:rsidRPr="00845316">
        <w:rPr>
          <w:rFonts w:asciiTheme="minorBidi" w:hAnsiTheme="minorBidi"/>
          <w:u w:val="single"/>
          <w:rtl/>
        </w:rPr>
        <w:t>מפורסם</w:t>
      </w:r>
      <w:r w:rsidRPr="00845316">
        <w:rPr>
          <w:rFonts w:asciiTheme="minorBidi" w:hAnsiTheme="minorBidi"/>
          <w:rtl/>
        </w:rPr>
        <w:t xml:space="preserve">" </w:t>
      </w:r>
      <w:r w:rsidRPr="00845316">
        <w:rPr>
          <w:rFonts w:asciiTheme="minorBidi" w:hAnsiTheme="minorBidi"/>
          <w:sz w:val="16"/>
          <w:szCs w:val="16"/>
          <w:rtl/>
        </w:rPr>
        <w:t>(ואפשר שהכוונה שמפורסם בשנאתו לאדם זה דאל"כ מאי שייך להכא)</w:t>
      </w:r>
      <w:r w:rsidRPr="00845316">
        <w:rPr>
          <w:rFonts w:asciiTheme="minorBidi" w:hAnsiTheme="minorBidi"/>
          <w:rtl/>
        </w:rPr>
        <w:t>.</w:t>
      </w:r>
    </w:p>
  </w:footnote>
  <w:footnote w:id="2302">
    <w:p w14:paraId="28586D30" w14:textId="77777777" w:rsidR="0013116F" w:rsidRPr="00845316" w:rsidRDefault="0013116F" w:rsidP="004B607F">
      <w:pPr>
        <w:pStyle w:val="a9"/>
        <w:spacing w:after="60"/>
        <w:rPr>
          <w:rFonts w:asciiTheme="minorBidi" w:hAnsiTheme="minorBidi"/>
          <w:rtl/>
        </w:rPr>
      </w:pPr>
      <w:r w:rsidRPr="00845316">
        <w:rPr>
          <w:rStyle w:val="ab"/>
          <w:rFonts w:asciiTheme="minorBidi" w:hAnsiTheme="minorBidi"/>
        </w:rPr>
        <w:footnoteRef/>
      </w:r>
      <w:r w:rsidRPr="00845316">
        <w:rPr>
          <w:rFonts w:asciiTheme="minorBidi" w:hAnsiTheme="minorBidi"/>
          <w:rtl/>
        </w:rPr>
        <w:t xml:space="preserve"> בכל בו (קט ע"ג) כ' טעם לזה בשם רב פלטוי והוא ד-"הואיל ומעיז פניו בפרהסיא נחשב רשע ופסול לעדות והוא הדין לשבועה". וכ"כ הפני מנחם</w:t>
      </w:r>
      <w:r w:rsidRPr="00845316">
        <w:rPr>
          <w:rFonts w:asciiTheme="minorBidi" w:hAnsiTheme="minorBidi"/>
          <w:sz w:val="16"/>
          <w:szCs w:val="16"/>
          <w:rtl/>
        </w:rPr>
        <w:t xml:space="preserve"> (בגליון הל' חובל ומזיק פ"ח ה"י)</w:t>
      </w:r>
      <w:r w:rsidRPr="00845316">
        <w:rPr>
          <w:rFonts w:asciiTheme="minorBidi" w:hAnsiTheme="minorBidi"/>
          <w:rtl/>
        </w:rPr>
        <w:t xml:space="preserve"> דמיירי שאין חשש ודאי שימסור, אלא נפסל בגלל העזות, דהרי אי הוי מסור כבר כ' הרמב"ם דכל הקודם להרגו זכה ואין צריך לומר שפסול לעדות.</w:t>
      </w:r>
    </w:p>
  </w:footnote>
  <w:footnote w:id="2303">
    <w:p w14:paraId="63619E0E" w14:textId="77777777" w:rsidR="0013116F" w:rsidRPr="00845316" w:rsidRDefault="0013116F" w:rsidP="004B607F">
      <w:pPr>
        <w:spacing w:after="60" w:line="240" w:lineRule="auto"/>
        <w:rPr>
          <w:rFonts w:asciiTheme="minorBidi" w:hAnsiTheme="minorBidi"/>
          <w:sz w:val="20"/>
          <w:szCs w:val="20"/>
        </w:rPr>
      </w:pPr>
      <w:r w:rsidRPr="00845316">
        <w:rPr>
          <w:rStyle w:val="ab"/>
          <w:rFonts w:asciiTheme="minorBidi" w:hAnsiTheme="minorBidi"/>
        </w:rPr>
        <w:footnoteRef/>
      </w:r>
      <w:r w:rsidRPr="00845316">
        <w:rPr>
          <w:rFonts w:asciiTheme="minorBidi" w:hAnsiTheme="minorBidi"/>
          <w:sz w:val="20"/>
          <w:szCs w:val="20"/>
          <w:rtl/>
        </w:rPr>
        <w:t xml:space="preserve"> </w:t>
      </w:r>
      <w:r w:rsidRPr="00845316">
        <w:rPr>
          <w:rFonts w:asciiTheme="minorBidi" w:hAnsiTheme="minorBidi"/>
          <w:b/>
          <w:bCs/>
          <w:sz w:val="20"/>
          <w:szCs w:val="20"/>
          <w:rtl/>
        </w:rPr>
        <w:t xml:space="preserve">ברכות נח ע"א: </w:t>
      </w:r>
      <w:r w:rsidRPr="00845316">
        <w:rPr>
          <w:rFonts w:asciiTheme="minorBidi" w:hAnsiTheme="minorBidi"/>
          <w:sz w:val="20"/>
          <w:szCs w:val="20"/>
          <w:rtl/>
        </w:rPr>
        <w:t>רבי שילא נגדיה לההוא גברא דבעל נכרית. אזל אכל ביה קורצי בי מלכא, אמר: איכא חד גברא ביהודאי דקא דיין דינא בלא הרמנא דמלכא. שדר עליה פריסתקא, כי אתא אמרי ליה: מה טעמא נגדתיה להאי? אמר להו: דבא על חמרתא. אמרי ליה: אית לך סהדי? אמר להו: אין. אתא אליהו, אדמי ליה כאיניש, ואסהיד. אמרי ליה: אי הכי בר קטלא הוא! אמר להו: אנן מיומא דגלינן מארעין לית לן רשותא למקטל, אתון - מאי דבעיתון עבידו ביה. עד דמעייני ביה בדינא, פתח רבי שילא ואמר: לך ה' הגדלה והגבורה וגו'. אמרי ליה: מאי קאמרת? אמר להו הכי קאמינא- בריך רחמנא דיהיב מלכותא בארעא כעין מלכותא דרקיעא, ויהב לכו שולטנא ורחמי דינא. אמרו: חביבא עליה יקרא דמלכותא כולי האי! יהבי ליה קולפא, אמרו ליה: דון דינא. כי הוה נפיק, אמר ליה ההוא גברא: עביד רחמנא ניסא לשקרי הכי? אמר ליה: רשע! לאו חמרי איקרו? דכתיב אשר בשר חמורים בשרם. חזייה דקאזיל למימרא להו דקרינהו חמרי, אמר: האי רודף הוא, והתורה אמרה: אם בא להרגך השכם להרגו, מחייה בקולפא וקטליה.</w:t>
      </w:r>
    </w:p>
  </w:footnote>
  <w:footnote w:id="2304">
    <w:p w14:paraId="32F97433" w14:textId="77777777" w:rsidR="0013116F" w:rsidRPr="00845316" w:rsidRDefault="0013116F" w:rsidP="004B607F">
      <w:pPr>
        <w:pStyle w:val="a9"/>
        <w:spacing w:after="60"/>
        <w:rPr>
          <w:rFonts w:asciiTheme="minorBidi" w:hAnsiTheme="minorBidi"/>
        </w:rPr>
      </w:pPr>
      <w:r w:rsidRPr="00845316">
        <w:rPr>
          <w:rStyle w:val="ab"/>
          <w:rFonts w:asciiTheme="minorBidi" w:hAnsiTheme="minorBidi"/>
        </w:rPr>
        <w:footnoteRef/>
      </w:r>
      <w:r w:rsidRPr="00845316">
        <w:rPr>
          <w:rFonts w:asciiTheme="minorBidi" w:hAnsiTheme="minorBidi"/>
          <w:rtl/>
        </w:rPr>
        <w:t xml:space="preserve"> </w:t>
      </w:r>
      <w:r w:rsidRPr="00845316">
        <w:rPr>
          <w:rFonts w:asciiTheme="minorBidi" w:hAnsiTheme="minorBidi"/>
          <w:b/>
          <w:bCs/>
          <w:rtl/>
        </w:rPr>
        <w:t xml:space="preserve">שבועות מו ע"א: </w:t>
      </w:r>
      <w:r w:rsidRPr="00845316">
        <w:rPr>
          <w:rFonts w:asciiTheme="minorBidi" w:hAnsiTheme="minorBidi"/>
          <w:rtl/>
        </w:rPr>
        <w:t>האי מאן דנקיט נרגא בידיה, ואמר איזיל ואקטליה לדקלא דפלניא, ואשתכח דקטיל ושדי - לא אמרינן דהוא קטליה, אלמא עביד איניש דגזים ולא עביד, הכא נמי דגזים ולא עביד!</w:t>
      </w:r>
    </w:p>
  </w:footnote>
  <w:footnote w:id="2305">
    <w:p w14:paraId="26EB9EB2" w14:textId="77777777" w:rsidR="0013116F" w:rsidRPr="00845316" w:rsidRDefault="0013116F" w:rsidP="004B607F">
      <w:pPr>
        <w:pStyle w:val="a9"/>
        <w:spacing w:after="60"/>
        <w:rPr>
          <w:rFonts w:asciiTheme="minorBidi" w:hAnsiTheme="minorBidi"/>
          <w:rtl/>
        </w:rPr>
      </w:pPr>
      <w:r w:rsidRPr="00845316">
        <w:rPr>
          <w:rStyle w:val="ab"/>
          <w:rFonts w:asciiTheme="minorBidi" w:hAnsiTheme="minorBidi"/>
        </w:rPr>
        <w:footnoteRef/>
      </w:r>
      <w:r w:rsidRPr="00845316">
        <w:rPr>
          <w:rFonts w:asciiTheme="minorBidi" w:hAnsiTheme="minorBidi"/>
          <w:rtl/>
        </w:rPr>
        <w:t xml:space="preserve"> וסיים הב"י- "ומיהו לענין להרגו על ידי כך לא ברירא לי מילתא </w:t>
      </w:r>
      <w:r w:rsidRPr="00845316">
        <w:rPr>
          <w:rFonts w:asciiTheme="minorBidi" w:hAnsiTheme="minorBidi"/>
          <w:sz w:val="16"/>
          <w:szCs w:val="16"/>
          <w:rtl/>
        </w:rPr>
        <w:t xml:space="preserve">[בדק הבית] </w:t>
      </w:r>
      <w:r w:rsidRPr="00845316">
        <w:rPr>
          <w:rFonts w:asciiTheme="minorBidi" w:hAnsiTheme="minorBidi"/>
          <w:rtl/>
        </w:rPr>
        <w:t xml:space="preserve">ובפרט בזמן הזה שאף המוחזקים בכשרות אומרים כן ולא משמע להו דאיכא איסורא באמירה </w:t>
      </w:r>
      <w:r w:rsidRPr="00845316">
        <w:rPr>
          <w:rFonts w:asciiTheme="minorBidi" w:hAnsiTheme="minorBidi"/>
          <w:sz w:val="16"/>
          <w:szCs w:val="16"/>
          <w:rtl/>
        </w:rPr>
        <w:t>[עד כאן]</w:t>
      </w:r>
      <w:r w:rsidRPr="00845316">
        <w:rPr>
          <w:rFonts w:asciiTheme="minorBidi" w:hAnsiTheme="minorBidi"/>
          <w:rtl/>
        </w:rPr>
        <w:t>".</w:t>
      </w:r>
    </w:p>
  </w:footnote>
  <w:footnote w:id="2306">
    <w:p w14:paraId="3833E828" w14:textId="77777777" w:rsidR="0013116F" w:rsidRPr="00845316" w:rsidRDefault="0013116F" w:rsidP="004B607F">
      <w:pPr>
        <w:pStyle w:val="a9"/>
        <w:spacing w:after="60"/>
        <w:rPr>
          <w:rFonts w:asciiTheme="minorBidi" w:hAnsiTheme="minorBidi"/>
        </w:rPr>
      </w:pPr>
      <w:r w:rsidRPr="00845316">
        <w:rPr>
          <w:rStyle w:val="ab"/>
          <w:rFonts w:asciiTheme="minorBidi" w:hAnsiTheme="minorBidi"/>
        </w:rPr>
        <w:footnoteRef/>
      </w:r>
      <w:r w:rsidRPr="00845316">
        <w:rPr>
          <w:rFonts w:asciiTheme="minorBidi" w:hAnsiTheme="minorBidi"/>
          <w:rtl/>
        </w:rPr>
        <w:t xml:space="preserve"> ונ"ל דכ"ש שנפסל כשהתרו בו או שהוא מוחזק לעשות מעשה, כדמשמע מדבריו בב"י</w:t>
      </w:r>
      <w:r w:rsidRPr="00845316">
        <w:rPr>
          <w:rFonts w:asciiTheme="minorBidi" w:hAnsiTheme="minorBidi"/>
          <w:sz w:val="16"/>
          <w:szCs w:val="16"/>
          <w:rtl/>
        </w:rPr>
        <w:t xml:space="preserve"> (ממש"כ- "ואפשר דמשום הכי...")</w:t>
      </w:r>
      <w:r w:rsidRPr="00845316">
        <w:rPr>
          <w:rFonts w:asciiTheme="minorBidi" w:hAnsiTheme="minorBidi"/>
          <w:rtl/>
        </w:rPr>
        <w:t xml:space="preserve">. וכמש"כ הפני מנחם (שם) דאם להורגו שרי </w:t>
      </w:r>
      <w:r w:rsidRPr="00845316">
        <w:rPr>
          <w:rFonts w:asciiTheme="minorBidi" w:hAnsiTheme="minorBidi"/>
          <w:sz w:val="16"/>
          <w:szCs w:val="16"/>
          <w:rtl/>
        </w:rPr>
        <w:t xml:space="preserve">(את זה שהתרו בו או שמוחזק לכך) </w:t>
      </w:r>
      <w:r w:rsidRPr="00845316">
        <w:rPr>
          <w:rFonts w:asciiTheme="minorBidi" w:hAnsiTheme="minorBidi"/>
          <w:rtl/>
        </w:rPr>
        <w:t>כ"ש דפסול לעדות.</w:t>
      </w:r>
    </w:p>
  </w:footnote>
  <w:footnote w:id="2307">
    <w:p w14:paraId="3A5E2A09" w14:textId="77777777" w:rsidR="0013116F" w:rsidRPr="00845316" w:rsidRDefault="0013116F" w:rsidP="004B607F">
      <w:pPr>
        <w:pStyle w:val="a9"/>
        <w:spacing w:after="60"/>
        <w:rPr>
          <w:rFonts w:asciiTheme="minorBidi" w:hAnsiTheme="minorBidi"/>
        </w:rPr>
      </w:pPr>
      <w:r w:rsidRPr="00845316">
        <w:rPr>
          <w:rStyle w:val="ab"/>
          <w:rFonts w:asciiTheme="minorBidi" w:hAnsiTheme="minorBidi"/>
        </w:rPr>
        <w:footnoteRef/>
      </w:r>
      <w:r w:rsidRPr="00845316">
        <w:rPr>
          <w:rFonts w:asciiTheme="minorBidi" w:hAnsiTheme="minorBidi"/>
          <w:rtl/>
        </w:rPr>
        <w:t xml:space="preserve"> דוקא בשונאו חששו שמחמת שנאתו יעשה כן, ולא באחרים, סמ"ע (סקמ"ט).</w:t>
      </w:r>
    </w:p>
  </w:footnote>
  <w:footnote w:id="2308">
    <w:p w14:paraId="497F7D80" w14:textId="77777777" w:rsidR="0013116F" w:rsidRPr="00845316" w:rsidRDefault="0013116F" w:rsidP="004B607F">
      <w:pPr>
        <w:pStyle w:val="a9"/>
        <w:spacing w:after="60"/>
        <w:rPr>
          <w:rFonts w:asciiTheme="minorBidi" w:hAnsiTheme="minorBidi"/>
          <w:rtl/>
        </w:rPr>
      </w:pPr>
      <w:r w:rsidRPr="00845316">
        <w:rPr>
          <w:rStyle w:val="ab"/>
          <w:rFonts w:asciiTheme="minorBidi" w:hAnsiTheme="minorBidi"/>
        </w:rPr>
        <w:footnoteRef/>
      </w:r>
      <w:r w:rsidRPr="00845316">
        <w:rPr>
          <w:rFonts w:asciiTheme="minorBidi" w:hAnsiTheme="minorBidi"/>
          <w:rtl/>
        </w:rPr>
        <w:t xml:space="preserve"> מדרבנן, מהרי"ק (סי' קכו). ולגבי אדם שמוחזק למסור עיין במחלוקת לקמן סע' כב.</w:t>
      </w:r>
    </w:p>
  </w:footnote>
  <w:footnote w:id="2309">
    <w:p w14:paraId="3AFE765C" w14:textId="77777777" w:rsidR="0013116F" w:rsidRPr="00845316" w:rsidRDefault="0013116F" w:rsidP="004B607F">
      <w:pPr>
        <w:pStyle w:val="a9"/>
        <w:spacing w:after="60"/>
        <w:rPr>
          <w:rFonts w:asciiTheme="minorBidi" w:hAnsiTheme="minorBidi"/>
          <w:rtl/>
        </w:rPr>
      </w:pPr>
      <w:r w:rsidRPr="00845316">
        <w:rPr>
          <w:rStyle w:val="ab"/>
          <w:rFonts w:asciiTheme="minorBidi" w:hAnsiTheme="minorBidi"/>
        </w:rPr>
        <w:footnoteRef/>
      </w:r>
      <w:r w:rsidRPr="00845316">
        <w:rPr>
          <w:rFonts w:asciiTheme="minorBidi" w:hAnsiTheme="minorBidi"/>
          <w:rtl/>
        </w:rPr>
        <w:t xml:space="preserve"> אע"ג דפסולי קהל הם, מהרי"ח (הביאו ה</w:t>
      </w:r>
      <w:r>
        <w:rPr>
          <w:rFonts w:asciiTheme="minorBidi" w:hAnsiTheme="minorBidi"/>
          <w:rtl/>
        </w:rPr>
        <w:t>הג"א</w:t>
      </w:r>
      <w:r w:rsidRPr="00845316">
        <w:rPr>
          <w:rFonts w:asciiTheme="minorBidi" w:hAnsiTheme="minorBidi"/>
          <w:rtl/>
        </w:rPr>
        <w:t xml:space="preserve"> סי' ח). ואע"ג דאינם חייבים בכל המצות, תוס' (ב"ק פח. ד"ה אלא). </w:t>
      </w:r>
    </w:p>
  </w:footnote>
  <w:footnote w:id="2310">
    <w:p w14:paraId="4F0F7F9D" w14:textId="77777777" w:rsidR="0013116F" w:rsidRDefault="0013116F" w:rsidP="004B607F">
      <w:pPr>
        <w:pStyle w:val="a9"/>
        <w:rPr>
          <w:rtl/>
        </w:rPr>
      </w:pPr>
      <w:r>
        <w:rPr>
          <w:rStyle w:val="ab"/>
        </w:rPr>
        <w:footnoteRef/>
      </w:r>
      <w:r>
        <w:rPr>
          <w:rtl/>
        </w:rPr>
        <w:t xml:space="preserve"> </w:t>
      </w:r>
      <w:r>
        <w:rPr>
          <w:rFonts w:hint="cs"/>
          <w:rtl/>
        </w:rPr>
        <w:t xml:space="preserve">סימן </w:t>
      </w:r>
      <w:r>
        <w:rPr>
          <w:rtl/>
        </w:rPr>
        <w:t>–</w:t>
      </w:r>
      <w:r>
        <w:rPr>
          <w:rFonts w:hint="cs"/>
          <w:rtl/>
        </w:rPr>
        <w:t xml:space="preserve"> פסול חבורה.</w:t>
      </w:r>
    </w:p>
  </w:footnote>
  <w:footnote w:id="2311">
    <w:p w14:paraId="209F7BDC" w14:textId="77777777" w:rsidR="0013116F" w:rsidRDefault="0013116F" w:rsidP="004B607F">
      <w:pPr>
        <w:pStyle w:val="a9"/>
      </w:pPr>
      <w:r>
        <w:rPr>
          <w:rStyle w:val="ab"/>
        </w:rPr>
        <w:footnoteRef/>
      </w:r>
      <w:r>
        <w:rPr>
          <w:rtl/>
        </w:rPr>
        <w:t xml:space="preserve"> </w:t>
      </w:r>
      <w:r>
        <w:rPr>
          <w:rFonts w:hint="cs"/>
          <w:rtl/>
        </w:rPr>
        <w:t xml:space="preserve">סימן </w:t>
      </w:r>
      <w:r>
        <w:rPr>
          <w:rtl/>
        </w:rPr>
        <w:t>–</w:t>
      </w:r>
      <w:r>
        <w:rPr>
          <w:rFonts w:hint="cs"/>
          <w:rtl/>
        </w:rPr>
        <w:t xml:space="preserve"> וויטנס כופרים.</w:t>
      </w:r>
    </w:p>
  </w:footnote>
  <w:footnote w:id="2312">
    <w:p w14:paraId="215F67E3" w14:textId="77777777" w:rsidR="0013116F" w:rsidRPr="00845316" w:rsidRDefault="0013116F" w:rsidP="004B607F">
      <w:pPr>
        <w:pStyle w:val="a9"/>
        <w:spacing w:after="60"/>
        <w:rPr>
          <w:rFonts w:asciiTheme="minorBidi" w:hAnsiTheme="minorBidi"/>
          <w:rtl/>
        </w:rPr>
      </w:pPr>
      <w:r w:rsidRPr="00845316">
        <w:rPr>
          <w:rStyle w:val="ab"/>
          <w:rFonts w:asciiTheme="minorBidi" w:hAnsiTheme="minorBidi"/>
        </w:rPr>
        <w:footnoteRef/>
      </w:r>
      <w:r w:rsidRPr="00845316">
        <w:rPr>
          <w:rFonts w:asciiTheme="minorBidi" w:hAnsiTheme="minorBidi"/>
          <w:rtl/>
        </w:rPr>
        <w:t xml:space="preserve"> אותם מן הבור שנפלו שם ע"מ להצילם.</w:t>
      </w:r>
    </w:p>
  </w:footnote>
  <w:footnote w:id="2313">
    <w:p w14:paraId="64213572" w14:textId="77777777" w:rsidR="0013116F" w:rsidRPr="00845316" w:rsidRDefault="0013116F" w:rsidP="004B607F">
      <w:pPr>
        <w:pStyle w:val="a9"/>
        <w:spacing w:after="60"/>
        <w:rPr>
          <w:rFonts w:asciiTheme="minorBidi" w:hAnsiTheme="minorBidi"/>
          <w:rtl/>
        </w:rPr>
      </w:pPr>
      <w:r w:rsidRPr="00845316">
        <w:rPr>
          <w:rStyle w:val="ab"/>
          <w:rFonts w:asciiTheme="minorBidi" w:hAnsiTheme="minorBidi"/>
        </w:rPr>
        <w:footnoteRef/>
      </w:r>
      <w:r w:rsidRPr="00845316">
        <w:rPr>
          <w:rFonts w:asciiTheme="minorBidi" w:hAnsiTheme="minorBidi"/>
          <w:rtl/>
        </w:rPr>
        <w:t xml:space="preserve"> אותם לבור להמיתם בידים.</w:t>
      </w:r>
    </w:p>
  </w:footnote>
  <w:footnote w:id="2314">
    <w:p w14:paraId="690C4947" w14:textId="77777777" w:rsidR="0013116F" w:rsidRPr="00845316" w:rsidRDefault="0013116F" w:rsidP="004B607F">
      <w:pPr>
        <w:pStyle w:val="a9"/>
        <w:spacing w:after="60"/>
        <w:rPr>
          <w:rFonts w:asciiTheme="minorBidi" w:hAnsiTheme="minorBidi"/>
        </w:rPr>
      </w:pPr>
      <w:r w:rsidRPr="00845316">
        <w:rPr>
          <w:rStyle w:val="ab"/>
          <w:rFonts w:asciiTheme="minorBidi" w:hAnsiTheme="minorBidi"/>
        </w:rPr>
        <w:footnoteRef/>
      </w:r>
      <w:r w:rsidRPr="00845316">
        <w:rPr>
          <w:rFonts w:asciiTheme="minorBidi" w:hAnsiTheme="minorBidi"/>
          <w:rtl/>
        </w:rPr>
        <w:t xml:space="preserve"> כומרין לעבודת כוכבים, בין עובדי כוכבים בין ישראלים, רש"י.</w:t>
      </w:r>
    </w:p>
  </w:footnote>
  <w:footnote w:id="2315">
    <w:p w14:paraId="17641418" w14:textId="77777777" w:rsidR="0013116F" w:rsidRPr="00845316" w:rsidRDefault="0013116F" w:rsidP="004B607F">
      <w:pPr>
        <w:pStyle w:val="a9"/>
        <w:spacing w:after="60"/>
        <w:rPr>
          <w:rFonts w:asciiTheme="minorBidi" w:hAnsiTheme="minorBidi"/>
        </w:rPr>
      </w:pPr>
      <w:r w:rsidRPr="00845316">
        <w:rPr>
          <w:rStyle w:val="ab"/>
          <w:rFonts w:asciiTheme="minorBidi" w:hAnsiTheme="minorBidi"/>
        </w:rPr>
        <w:footnoteRef/>
      </w:r>
      <w:r w:rsidRPr="00845316">
        <w:rPr>
          <w:rFonts w:asciiTheme="minorBidi" w:hAnsiTheme="minorBidi"/>
          <w:rtl/>
        </w:rPr>
        <w:t xml:space="preserve"> מלשינים לשקר המוסרין ממון חבריהם ביד עובדי כוכבים אנסין, רש"י.</w:t>
      </w:r>
    </w:p>
  </w:footnote>
  <w:footnote w:id="2316">
    <w:p w14:paraId="75639463" w14:textId="77777777" w:rsidR="0013116F" w:rsidRPr="00845316" w:rsidRDefault="0013116F" w:rsidP="004B607F">
      <w:pPr>
        <w:pStyle w:val="a9"/>
        <w:spacing w:after="60"/>
        <w:rPr>
          <w:rFonts w:asciiTheme="minorBidi" w:hAnsiTheme="minorBidi"/>
          <w:rtl/>
        </w:rPr>
      </w:pPr>
      <w:r w:rsidRPr="00845316">
        <w:rPr>
          <w:rStyle w:val="ab"/>
          <w:rFonts w:asciiTheme="minorBidi" w:hAnsiTheme="minorBidi"/>
        </w:rPr>
        <w:footnoteRef/>
      </w:r>
      <w:r w:rsidRPr="00845316">
        <w:rPr>
          <w:rFonts w:asciiTheme="minorBidi" w:hAnsiTheme="minorBidi"/>
          <w:rtl/>
        </w:rPr>
        <w:t xml:space="preserve"> הסכים עמו ר' אבהו ואמר לו- סמי...</w:t>
      </w:r>
    </w:p>
  </w:footnote>
  <w:footnote w:id="2317">
    <w:p w14:paraId="08409899" w14:textId="77777777" w:rsidR="0013116F" w:rsidRPr="00845316" w:rsidRDefault="0013116F" w:rsidP="004B607F">
      <w:pPr>
        <w:pStyle w:val="a9"/>
        <w:spacing w:after="60"/>
        <w:rPr>
          <w:rFonts w:asciiTheme="minorBidi" w:hAnsiTheme="minorBidi"/>
          <w:rtl/>
        </w:rPr>
      </w:pPr>
      <w:r w:rsidRPr="00845316">
        <w:rPr>
          <w:rStyle w:val="ab"/>
          <w:rFonts w:asciiTheme="minorBidi" w:hAnsiTheme="minorBidi"/>
        </w:rPr>
        <w:footnoteRef/>
      </w:r>
      <w:r w:rsidRPr="00845316">
        <w:rPr>
          <w:rFonts w:asciiTheme="minorBidi" w:hAnsiTheme="minorBidi"/>
          <w:rtl/>
        </w:rPr>
        <w:t xml:space="preserve"> ותמהה הגמ' מדוע הוצרך ר' אבהו לתקן את נוסח הברייתא הרי היה לו לתרץ כך- כאן במומר...</w:t>
      </w:r>
    </w:p>
  </w:footnote>
  <w:footnote w:id="2318">
    <w:p w14:paraId="312AD829" w14:textId="77777777" w:rsidR="0013116F" w:rsidRPr="00845316" w:rsidRDefault="0013116F" w:rsidP="004B607F">
      <w:pPr>
        <w:pStyle w:val="a9"/>
        <w:spacing w:after="60"/>
        <w:rPr>
          <w:rFonts w:asciiTheme="minorBidi" w:hAnsiTheme="minorBidi"/>
          <w:rtl/>
        </w:rPr>
      </w:pPr>
      <w:r w:rsidRPr="00845316">
        <w:rPr>
          <w:rStyle w:val="ab"/>
          <w:rFonts w:asciiTheme="minorBidi" w:hAnsiTheme="minorBidi"/>
        </w:rPr>
        <w:footnoteRef/>
      </w:r>
      <w:r w:rsidRPr="00845316">
        <w:rPr>
          <w:rFonts w:asciiTheme="minorBidi" w:hAnsiTheme="minorBidi"/>
          <w:rtl/>
        </w:rPr>
        <w:t xml:space="preserve"> כשאין להם בשר, אבל אינו מופקר להיות איסור והיתר לפניו להניח היתר ולאכול איסור, ואם עושין כן זה להכעיס, רש"י.</w:t>
      </w:r>
    </w:p>
  </w:footnote>
  <w:footnote w:id="2319">
    <w:p w14:paraId="53B367AC" w14:textId="77777777" w:rsidR="0013116F" w:rsidRPr="00845316" w:rsidRDefault="0013116F" w:rsidP="004B607F">
      <w:pPr>
        <w:pStyle w:val="a9"/>
        <w:spacing w:after="60"/>
        <w:rPr>
          <w:rFonts w:asciiTheme="minorBidi" w:hAnsiTheme="minorBidi"/>
        </w:rPr>
      </w:pPr>
      <w:r w:rsidRPr="00845316">
        <w:rPr>
          <w:rStyle w:val="ab"/>
          <w:rFonts w:asciiTheme="minorBidi" w:hAnsiTheme="minorBidi"/>
        </w:rPr>
        <w:footnoteRef/>
      </w:r>
      <w:r w:rsidRPr="00845316">
        <w:rPr>
          <w:rFonts w:asciiTheme="minorBidi" w:hAnsiTheme="minorBidi"/>
          <w:rtl/>
        </w:rPr>
        <w:t xml:space="preserve"> והא תנא ליה רישא מינין! בכמה דברים מצינו חילוק בין מין למומר כגון ספר תורה שכתבו מין ישרף ודהכא, רש"י.</w:t>
      </w:r>
    </w:p>
  </w:footnote>
  <w:footnote w:id="2320">
    <w:p w14:paraId="249D15F7" w14:textId="77777777" w:rsidR="0013116F" w:rsidRPr="00845316" w:rsidRDefault="0013116F" w:rsidP="004B607F">
      <w:pPr>
        <w:pStyle w:val="a9"/>
        <w:spacing w:after="60"/>
        <w:rPr>
          <w:rFonts w:asciiTheme="minorBidi" w:hAnsiTheme="minorBidi"/>
        </w:rPr>
      </w:pPr>
      <w:r w:rsidRPr="00845316">
        <w:rPr>
          <w:rStyle w:val="ab"/>
          <w:rFonts w:asciiTheme="minorBidi" w:hAnsiTheme="minorBidi"/>
        </w:rPr>
        <w:footnoteRef/>
      </w:r>
      <w:r w:rsidRPr="00845316">
        <w:rPr>
          <w:rFonts w:asciiTheme="minorBidi" w:hAnsiTheme="minorBidi"/>
          <w:rtl/>
        </w:rPr>
        <w:t xml:space="preserve"> המשנה מונה כל מיני סוגים של כהנים שנפסלים לעבודה בגלל שעשו איסורי כהונה.</w:t>
      </w:r>
    </w:p>
  </w:footnote>
  <w:footnote w:id="2321">
    <w:p w14:paraId="39606E76" w14:textId="77777777" w:rsidR="0013116F" w:rsidRPr="00845316" w:rsidRDefault="0013116F" w:rsidP="004B607F">
      <w:pPr>
        <w:pStyle w:val="a9"/>
        <w:spacing w:after="60"/>
        <w:rPr>
          <w:rFonts w:asciiTheme="minorBidi" w:hAnsiTheme="minorBidi"/>
        </w:rPr>
      </w:pPr>
      <w:r w:rsidRPr="00845316">
        <w:rPr>
          <w:rStyle w:val="ab"/>
          <w:rFonts w:asciiTheme="minorBidi" w:hAnsiTheme="minorBidi"/>
        </w:rPr>
        <w:footnoteRef/>
      </w:r>
      <w:r w:rsidRPr="00845316">
        <w:rPr>
          <w:rFonts w:asciiTheme="minorBidi" w:hAnsiTheme="minorBidi"/>
          <w:rtl/>
        </w:rPr>
        <w:t xml:space="preserve"> גרושה וחלוצה, רש"י.</w:t>
      </w:r>
    </w:p>
  </w:footnote>
  <w:footnote w:id="2322">
    <w:p w14:paraId="437A7484" w14:textId="77777777" w:rsidR="0013116F" w:rsidRPr="00845316" w:rsidRDefault="0013116F" w:rsidP="004B607F">
      <w:pPr>
        <w:pStyle w:val="a9"/>
        <w:spacing w:after="60"/>
        <w:rPr>
          <w:rFonts w:asciiTheme="minorBidi" w:hAnsiTheme="minorBidi"/>
          <w:rtl/>
        </w:rPr>
      </w:pPr>
      <w:r w:rsidRPr="00845316">
        <w:rPr>
          <w:rStyle w:val="ab"/>
          <w:rFonts w:asciiTheme="minorBidi" w:hAnsiTheme="minorBidi"/>
        </w:rPr>
        <w:footnoteRef/>
      </w:r>
      <w:r w:rsidRPr="00845316">
        <w:rPr>
          <w:rFonts w:asciiTheme="minorBidi" w:hAnsiTheme="minorBidi"/>
          <w:rtl/>
        </w:rPr>
        <w:t xml:space="preserve"> שיאסור בנדר את הנאתו ממנה ואת הנאתה ממנו.</w:t>
      </w:r>
    </w:p>
  </w:footnote>
  <w:footnote w:id="2323">
    <w:p w14:paraId="4BD4C903" w14:textId="77777777" w:rsidR="0013116F" w:rsidRPr="00845316" w:rsidRDefault="0013116F" w:rsidP="004B607F">
      <w:pPr>
        <w:pStyle w:val="a9"/>
        <w:spacing w:after="60"/>
        <w:rPr>
          <w:rFonts w:asciiTheme="minorBidi" w:hAnsiTheme="minorBidi"/>
        </w:rPr>
      </w:pPr>
      <w:r w:rsidRPr="00845316">
        <w:rPr>
          <w:rStyle w:val="ab"/>
          <w:rFonts w:asciiTheme="minorBidi" w:hAnsiTheme="minorBidi"/>
        </w:rPr>
        <w:footnoteRef/>
      </w:r>
      <w:r w:rsidRPr="00845316">
        <w:rPr>
          <w:rFonts w:asciiTheme="minorBidi" w:hAnsiTheme="minorBidi"/>
          <w:rtl/>
        </w:rPr>
        <w:t xml:space="preserve"> אף על פי שעדיין לא גירש מותר לעבוד משנדר שלא תהנה ממנו והוא ממנה, רש"י.</w:t>
      </w:r>
    </w:p>
  </w:footnote>
  <w:footnote w:id="2324">
    <w:p w14:paraId="3D3068DB" w14:textId="77777777" w:rsidR="0013116F" w:rsidRPr="00845316" w:rsidRDefault="0013116F" w:rsidP="004B607F">
      <w:pPr>
        <w:spacing w:after="60" w:line="240" w:lineRule="auto"/>
        <w:rPr>
          <w:rFonts w:asciiTheme="minorBidi" w:hAnsiTheme="minorBidi"/>
          <w:sz w:val="20"/>
          <w:szCs w:val="20"/>
          <w:rtl/>
        </w:rPr>
      </w:pPr>
      <w:r w:rsidRPr="00845316">
        <w:rPr>
          <w:rStyle w:val="ab"/>
          <w:rFonts w:asciiTheme="minorBidi" w:hAnsiTheme="minorBidi"/>
        </w:rPr>
        <w:footnoteRef/>
      </w:r>
      <w:r w:rsidRPr="00845316">
        <w:rPr>
          <w:rFonts w:asciiTheme="minorBidi" w:hAnsiTheme="minorBidi"/>
          <w:sz w:val="20"/>
          <w:szCs w:val="20"/>
          <w:rtl/>
        </w:rPr>
        <w:t xml:space="preserve"> הואיל שהגוים לא מעלין ולא מורידין ויש לחסידיהן חלק לעולם הבא, ואלו מורידין ולא מעלין ואין להן חלק לעולם הבא. ולפיכך לא הצריכו חכמים למנותן בכלל פסולי עדות שלא מנו אלא רשעי ישראל, ואלו פחותין מהן, ע"פ רמב"ם (עדות פי"א ה"י).</w:t>
      </w:r>
    </w:p>
  </w:footnote>
  <w:footnote w:id="2325">
    <w:p w14:paraId="05338190" w14:textId="77777777" w:rsidR="0013116F" w:rsidRPr="00845316" w:rsidRDefault="0013116F" w:rsidP="004B607F">
      <w:pPr>
        <w:pStyle w:val="a9"/>
        <w:spacing w:after="60"/>
        <w:rPr>
          <w:rFonts w:asciiTheme="minorBidi" w:hAnsiTheme="minorBidi"/>
          <w:rtl/>
        </w:rPr>
      </w:pPr>
      <w:r w:rsidRPr="00845316">
        <w:rPr>
          <w:rStyle w:val="ab"/>
          <w:rFonts w:asciiTheme="minorBidi" w:hAnsiTheme="minorBidi"/>
        </w:rPr>
        <w:footnoteRef/>
      </w:r>
      <w:r w:rsidRPr="00845316">
        <w:rPr>
          <w:rFonts w:asciiTheme="minorBidi" w:hAnsiTheme="minorBidi"/>
          <w:rtl/>
        </w:rPr>
        <w:t xml:space="preserve"> לאו דוקא מומר לע"ז אלא כל מומר שקיבל עליו תשובה מיד כשר דמסתמא יקיים, ש"ך (סקכ"א). </w:t>
      </w:r>
      <w:r w:rsidRPr="00845316">
        <w:rPr>
          <w:rFonts w:asciiTheme="minorBidi" w:hAnsiTheme="minorBidi"/>
          <w:sz w:val="16"/>
          <w:szCs w:val="16"/>
          <w:rtl/>
        </w:rPr>
        <w:t>(שהרי דין זה למד מהרי"ק מכהן שנשא נשים בעבירה דנודר ועובד יורד ומגרש (בכורות מה:), וא"כ בכל מומר דינא הכי)</w:t>
      </w:r>
    </w:p>
  </w:footnote>
  <w:footnote w:id="2326">
    <w:p w14:paraId="23FE2949" w14:textId="77777777" w:rsidR="0013116F" w:rsidRPr="00845316" w:rsidRDefault="0013116F" w:rsidP="004B607F">
      <w:pPr>
        <w:pStyle w:val="a9"/>
        <w:spacing w:after="60"/>
        <w:rPr>
          <w:rFonts w:asciiTheme="minorBidi" w:hAnsiTheme="minorBidi"/>
          <w:rtl/>
        </w:rPr>
      </w:pPr>
      <w:r w:rsidRPr="00845316">
        <w:rPr>
          <w:rStyle w:val="ab"/>
          <w:rFonts w:asciiTheme="minorBidi" w:hAnsiTheme="minorBidi"/>
        </w:rPr>
        <w:footnoteRef/>
      </w:r>
      <w:r w:rsidRPr="00845316">
        <w:rPr>
          <w:rFonts w:asciiTheme="minorBidi" w:hAnsiTheme="minorBidi"/>
          <w:rtl/>
        </w:rPr>
        <w:t xml:space="preserve"> היינו דעכ"פ התחיל מעט עשיית תשובה כדמוכח ממהרי"ק עצמו, חמדת שלמה </w:t>
      </w:r>
      <w:r w:rsidRPr="00845316">
        <w:rPr>
          <w:rFonts w:asciiTheme="minorBidi" w:hAnsiTheme="minorBidi"/>
          <w:sz w:val="16"/>
          <w:szCs w:val="16"/>
          <w:rtl/>
        </w:rPr>
        <w:t>(אה"ע ס"ס ו)</w:t>
      </w:r>
      <w:r w:rsidRPr="00845316">
        <w:rPr>
          <w:rFonts w:asciiTheme="minorBidi" w:hAnsiTheme="minorBidi"/>
          <w:rtl/>
        </w:rPr>
        <w:t xml:space="preserve">. וכ"מ בתרוה"ד </w:t>
      </w:r>
      <w:r w:rsidRPr="00845316">
        <w:rPr>
          <w:rFonts w:asciiTheme="minorBidi" w:hAnsiTheme="minorBidi"/>
          <w:sz w:val="16"/>
          <w:szCs w:val="16"/>
          <w:rtl/>
        </w:rPr>
        <w:t xml:space="preserve">(סי' קצח) </w:t>
      </w:r>
      <w:r w:rsidRPr="00845316">
        <w:rPr>
          <w:rFonts w:asciiTheme="minorBidi" w:hAnsiTheme="minorBidi"/>
          <w:rtl/>
        </w:rPr>
        <w:t xml:space="preserve">דעכ"פ צריך סיגופים קצת, פת"ש </w:t>
      </w:r>
      <w:r w:rsidRPr="00845316">
        <w:rPr>
          <w:rFonts w:asciiTheme="minorBidi" w:hAnsiTheme="minorBidi"/>
          <w:sz w:val="16"/>
          <w:szCs w:val="16"/>
          <w:rtl/>
        </w:rPr>
        <w:t>(סקל"ב)</w:t>
      </w:r>
      <w:r w:rsidRPr="00845316">
        <w:rPr>
          <w:rFonts w:asciiTheme="minorBidi" w:hAnsiTheme="minorBidi"/>
          <w:rtl/>
        </w:rPr>
        <w:t xml:space="preserve">. וכן משמע מדבריו בדרכ"מ </w:t>
      </w:r>
      <w:r w:rsidRPr="00845316">
        <w:rPr>
          <w:rFonts w:asciiTheme="minorBidi" w:hAnsiTheme="minorBidi"/>
          <w:sz w:val="16"/>
          <w:szCs w:val="16"/>
          <w:rtl/>
        </w:rPr>
        <w:t>(אות ט)</w:t>
      </w:r>
      <w:r w:rsidRPr="00845316">
        <w:rPr>
          <w:rFonts w:asciiTheme="minorBidi" w:hAnsiTheme="minorBidi"/>
          <w:rtl/>
        </w:rPr>
        <w:t xml:space="preserve">. ומה שאין נראה כן בפירוש מדברי ההג"ה כאן אין להוכיח שאין צריך אפי' התחלה, דאינו מוכרח להוכיח כן מלשונו כאן יותר מלומר שהתכון להצריך התחלת מעשה, ולא נעזוב ברי </w:t>
      </w:r>
      <w:r w:rsidRPr="00845316">
        <w:rPr>
          <w:rFonts w:asciiTheme="minorBidi" w:hAnsiTheme="minorBidi"/>
          <w:sz w:val="16"/>
          <w:szCs w:val="16"/>
          <w:rtl/>
        </w:rPr>
        <w:t>(מהרי"ק תרוה"ד דרכ"מ וחמדת שלמה)</w:t>
      </w:r>
      <w:r w:rsidRPr="00845316">
        <w:rPr>
          <w:rFonts w:asciiTheme="minorBidi" w:hAnsiTheme="minorBidi"/>
          <w:rtl/>
        </w:rPr>
        <w:t xml:space="preserve"> לטובת שמא </w:t>
      </w:r>
      <w:r w:rsidRPr="00845316">
        <w:rPr>
          <w:rFonts w:asciiTheme="minorBidi" w:hAnsiTheme="minorBidi"/>
          <w:sz w:val="16"/>
          <w:szCs w:val="16"/>
          <w:rtl/>
        </w:rPr>
        <w:t>(שלא נראה כן במפורש מדברי ההג"ה כאן)</w:t>
      </w:r>
      <w:r w:rsidRPr="00845316">
        <w:rPr>
          <w:rFonts w:asciiTheme="minorBidi" w:hAnsiTheme="minorBidi"/>
          <w:rtl/>
        </w:rPr>
        <w:t>.</w:t>
      </w:r>
    </w:p>
  </w:footnote>
  <w:footnote w:id="2327">
    <w:p w14:paraId="6882A34B" w14:textId="77777777" w:rsidR="0013116F" w:rsidRPr="00845316" w:rsidRDefault="0013116F" w:rsidP="004B607F">
      <w:pPr>
        <w:pStyle w:val="a9"/>
        <w:spacing w:after="60"/>
        <w:rPr>
          <w:rFonts w:asciiTheme="minorBidi" w:hAnsiTheme="minorBidi"/>
          <w:rtl/>
        </w:rPr>
      </w:pPr>
      <w:r w:rsidRPr="00845316">
        <w:rPr>
          <w:rStyle w:val="ab"/>
          <w:rFonts w:asciiTheme="minorBidi" w:hAnsiTheme="minorBidi"/>
        </w:rPr>
        <w:footnoteRef/>
      </w:r>
      <w:r w:rsidRPr="00845316">
        <w:rPr>
          <w:rFonts w:asciiTheme="minorBidi" w:hAnsiTheme="minorBidi"/>
          <w:rtl/>
        </w:rPr>
        <w:t xml:space="preserve"> כמו כהן שנשא נשים בעבירה דנודר ועובד ויורד ומגרש, מהרי"ק </w:t>
      </w:r>
      <w:r w:rsidRPr="00845316">
        <w:rPr>
          <w:rFonts w:asciiTheme="minorBidi" w:hAnsiTheme="minorBidi"/>
          <w:sz w:val="16"/>
          <w:szCs w:val="16"/>
          <w:rtl/>
        </w:rPr>
        <w:t xml:space="preserve">(וכ"כ הש"ך </w:t>
      </w:r>
      <w:r w:rsidRPr="00845316">
        <w:rPr>
          <w:rFonts w:asciiTheme="minorBidi" w:hAnsiTheme="minorBidi"/>
          <w:sz w:val="14"/>
          <w:szCs w:val="14"/>
          <w:rtl/>
        </w:rPr>
        <w:t>[סקכ"א]</w:t>
      </w:r>
      <w:r w:rsidRPr="00845316">
        <w:rPr>
          <w:rFonts w:asciiTheme="minorBidi" w:hAnsiTheme="minorBidi"/>
          <w:sz w:val="12"/>
          <w:szCs w:val="12"/>
          <w:rtl/>
        </w:rPr>
        <w:t xml:space="preserve"> </w:t>
      </w:r>
      <w:r w:rsidRPr="00845316">
        <w:rPr>
          <w:rFonts w:asciiTheme="minorBidi" w:hAnsiTheme="minorBidi"/>
          <w:sz w:val="16"/>
          <w:szCs w:val="16"/>
          <w:rtl/>
        </w:rPr>
        <w:t xml:space="preserve">והגר"א </w:t>
      </w:r>
      <w:r w:rsidRPr="00845316">
        <w:rPr>
          <w:rFonts w:asciiTheme="minorBidi" w:hAnsiTheme="minorBidi"/>
          <w:sz w:val="14"/>
          <w:szCs w:val="14"/>
          <w:rtl/>
        </w:rPr>
        <w:t>[סק"נ]</w:t>
      </w:r>
      <w:r w:rsidRPr="00845316">
        <w:rPr>
          <w:rFonts w:asciiTheme="minorBidi" w:hAnsiTheme="minorBidi"/>
          <w:sz w:val="16"/>
          <w:szCs w:val="16"/>
          <w:rtl/>
        </w:rPr>
        <w:t>)</w:t>
      </w:r>
      <w:r w:rsidRPr="00845316">
        <w:rPr>
          <w:rFonts w:asciiTheme="minorBidi" w:hAnsiTheme="minorBidi"/>
          <w:rtl/>
        </w:rPr>
        <w:t xml:space="preserve">. אך תרוה"ד </w:t>
      </w:r>
      <w:r w:rsidRPr="00845316">
        <w:rPr>
          <w:rFonts w:asciiTheme="minorBidi" w:hAnsiTheme="minorBidi"/>
          <w:sz w:val="16"/>
          <w:szCs w:val="16"/>
          <w:rtl/>
        </w:rPr>
        <w:t xml:space="preserve">(סי' קצח) </w:t>
      </w:r>
      <w:r w:rsidRPr="00845316">
        <w:rPr>
          <w:rFonts w:asciiTheme="minorBidi" w:hAnsiTheme="minorBidi"/>
          <w:rtl/>
        </w:rPr>
        <w:t xml:space="preserve">כ' טעם אחר, והוא דמכיון שהמשומד היה מעורב בין הגוים שיש להם כל התאוות וזה בא להבדיל מכולן ולקבל תשובה לא החמירו עליו ומחזקינן שודאי יעשה תשובה שלימה </w:t>
      </w:r>
      <w:r w:rsidRPr="00845316">
        <w:rPr>
          <w:rFonts w:asciiTheme="minorBidi" w:hAnsiTheme="minorBidi"/>
          <w:sz w:val="16"/>
          <w:szCs w:val="16"/>
          <w:rtl/>
        </w:rPr>
        <w:t>(וכ"כ הסמ"ע</w:t>
      </w:r>
      <w:r w:rsidRPr="00845316">
        <w:rPr>
          <w:rFonts w:asciiTheme="minorBidi" w:hAnsiTheme="minorBidi"/>
          <w:sz w:val="12"/>
          <w:szCs w:val="12"/>
          <w:rtl/>
        </w:rPr>
        <w:t xml:space="preserve"> </w:t>
      </w:r>
      <w:r w:rsidRPr="00845316">
        <w:rPr>
          <w:rFonts w:asciiTheme="minorBidi" w:hAnsiTheme="minorBidi"/>
          <w:sz w:val="16"/>
          <w:szCs w:val="16"/>
          <w:rtl/>
        </w:rPr>
        <w:t>[סקנ"ד])</w:t>
      </w:r>
      <w:r w:rsidRPr="00845316">
        <w:rPr>
          <w:rFonts w:asciiTheme="minorBidi" w:hAnsiTheme="minorBidi"/>
          <w:rtl/>
        </w:rPr>
        <w:t xml:space="preserve">. וכ' הש"ך דאם נאמר כתרוה"ד יצא שרק כשהמיר לגמרי ונמצא בין הגוים וקיבל עליו תשובה כשר מיד, הא לאו הכי </w:t>
      </w:r>
      <w:r w:rsidRPr="00845316">
        <w:rPr>
          <w:rFonts w:asciiTheme="minorBidi" w:hAnsiTheme="minorBidi"/>
          <w:sz w:val="16"/>
          <w:szCs w:val="16"/>
          <w:rtl/>
        </w:rPr>
        <w:t xml:space="preserve">[כגון שהוא מומר וחי בין יהודים] </w:t>
      </w:r>
      <w:r w:rsidRPr="00845316">
        <w:rPr>
          <w:rFonts w:asciiTheme="minorBidi" w:hAnsiTheme="minorBidi"/>
          <w:rtl/>
        </w:rPr>
        <w:t>לא מקבלין תשובתו מיד, ולדעתו זה אינו שהרי נלמד דין זה מכהן שנשא בעבירה ומשם משמע דבכל גווני כשר מיד.</w:t>
      </w:r>
    </w:p>
  </w:footnote>
  <w:footnote w:id="2328">
    <w:p w14:paraId="76BF62EA" w14:textId="77777777" w:rsidR="0013116F" w:rsidRPr="00845316" w:rsidRDefault="0013116F" w:rsidP="004B607F">
      <w:pPr>
        <w:pStyle w:val="a9"/>
        <w:spacing w:after="60"/>
        <w:rPr>
          <w:rFonts w:asciiTheme="minorBidi" w:hAnsiTheme="minorBidi"/>
          <w:rtl/>
        </w:rPr>
      </w:pPr>
      <w:r w:rsidRPr="00845316">
        <w:rPr>
          <w:rStyle w:val="ab"/>
          <w:rFonts w:asciiTheme="minorBidi" w:hAnsiTheme="minorBidi"/>
        </w:rPr>
        <w:footnoteRef/>
      </w:r>
      <w:r w:rsidRPr="00845316">
        <w:rPr>
          <w:rFonts w:asciiTheme="minorBidi" w:hAnsiTheme="minorBidi"/>
          <w:rtl/>
        </w:rPr>
        <w:t xml:space="preserve"> סי' קכו. וכ"כ הרב השואל שם. וכן הבין מהרי"ק בדעת הרמב"ם </w:t>
      </w:r>
      <w:r w:rsidRPr="00845316">
        <w:rPr>
          <w:rFonts w:asciiTheme="minorBidi" w:hAnsiTheme="minorBidi"/>
          <w:sz w:val="16"/>
          <w:szCs w:val="16"/>
          <w:rtl/>
        </w:rPr>
        <w:t>(מזה שכ' דגריעי מוסרים מגוים, ומיירי התם במוסרים שמורידים לבור כדכתב שם- "הגוים לא מעלין ולא מורידים כו' ואלו מורידין ולא מעלין", וא"כ דוקא במוחזק מוסר מיירי דהיכא דעושה המוסר כאשר זמם)</w:t>
      </w:r>
      <w:r w:rsidRPr="00845316">
        <w:rPr>
          <w:rFonts w:asciiTheme="minorBidi" w:hAnsiTheme="minorBidi"/>
          <w:rtl/>
        </w:rPr>
        <w:t>.</w:t>
      </w:r>
    </w:p>
  </w:footnote>
  <w:footnote w:id="2329">
    <w:p w14:paraId="27428FB7" w14:textId="77777777" w:rsidR="0013116F" w:rsidRPr="00845316" w:rsidRDefault="0013116F" w:rsidP="004B607F">
      <w:pPr>
        <w:pStyle w:val="a9"/>
        <w:spacing w:after="60"/>
        <w:rPr>
          <w:rFonts w:asciiTheme="minorBidi" w:hAnsiTheme="minorBidi"/>
          <w:color w:val="FF0000"/>
          <w:rtl/>
        </w:rPr>
      </w:pPr>
      <w:r w:rsidRPr="00845316">
        <w:rPr>
          <w:rStyle w:val="ab"/>
          <w:rFonts w:asciiTheme="minorBidi" w:hAnsiTheme="minorBidi"/>
          <w:color w:val="FF0000"/>
        </w:rPr>
        <w:footnoteRef/>
      </w:r>
      <w:r w:rsidRPr="00845316">
        <w:rPr>
          <w:rFonts w:asciiTheme="minorBidi" w:hAnsiTheme="minorBidi"/>
          <w:color w:val="FF0000"/>
          <w:rtl/>
        </w:rPr>
        <w:t xml:space="preserve"> דבר זה לא ראיתי בפירוש בדברי הבית מאיר משום שאין לפני את הספר, אך נראה כן ממסקנת דבריו המובאים בפת"ש.</w:t>
      </w:r>
    </w:p>
  </w:footnote>
  <w:footnote w:id="2330">
    <w:p w14:paraId="3F9017C1" w14:textId="77777777" w:rsidR="0013116F" w:rsidRPr="00845316" w:rsidRDefault="0013116F" w:rsidP="004B607F">
      <w:pPr>
        <w:pStyle w:val="a9"/>
        <w:spacing w:after="60"/>
        <w:rPr>
          <w:rFonts w:asciiTheme="minorBidi" w:hAnsiTheme="minorBidi"/>
          <w:rtl/>
        </w:rPr>
      </w:pPr>
      <w:r w:rsidRPr="00845316">
        <w:rPr>
          <w:rStyle w:val="ab"/>
          <w:rFonts w:asciiTheme="minorBidi" w:hAnsiTheme="minorBidi"/>
        </w:rPr>
        <w:footnoteRef/>
      </w:r>
      <w:r w:rsidRPr="00845316">
        <w:rPr>
          <w:rFonts w:asciiTheme="minorBidi" w:hAnsiTheme="minorBidi"/>
          <w:rtl/>
        </w:rPr>
        <w:t xml:space="preserve"> ואחרי כל ההוכחות שכ' הבית מאיר שאין הלכה כהפנמ"א כ' הפת"ש- "נראה לישב דברי אא"ז הפנמ"א... כונתו דהא בעבירה שאינה של חמס אף שהוא איסור תורה אינו פסול מדאו' רק אם יש בה מלקות, ואם אין בה מלקות אינו פסול רק מדרבנן כדלעיל סע' ב... וכיון דאינו חייב בתשלומין אלא מדרבנן א"כ אינו רשע דחמס, והגם שעבר עבירה דאו', מ"מ כיון דאין מלקות בעבירה זו אינו אלא פסול מדרבנן ובעי הכרזה". </w:t>
      </w:r>
      <w:r w:rsidRPr="00845316">
        <w:rPr>
          <w:rFonts w:asciiTheme="minorBidi" w:hAnsiTheme="minorBidi"/>
          <w:sz w:val="16"/>
          <w:szCs w:val="16"/>
          <w:rtl/>
        </w:rPr>
        <w:t xml:space="preserve">(וכ"כ בספר שער משפט </w:t>
      </w:r>
      <w:r w:rsidRPr="00845316">
        <w:rPr>
          <w:rFonts w:asciiTheme="minorBidi" w:hAnsiTheme="minorBidi"/>
          <w:sz w:val="12"/>
          <w:szCs w:val="12"/>
          <w:rtl/>
        </w:rPr>
        <w:t xml:space="preserve">(סקי"ג) </w:t>
      </w:r>
      <w:r w:rsidRPr="00845316">
        <w:rPr>
          <w:rFonts w:asciiTheme="minorBidi" w:hAnsiTheme="minorBidi"/>
          <w:sz w:val="16"/>
          <w:szCs w:val="16"/>
          <w:rtl/>
        </w:rPr>
        <w:t xml:space="preserve">רק שהוסיף שם שא"א להוציא ממון ע"פ הכרעת הש"ך </w:t>
      </w:r>
      <w:r w:rsidRPr="00845316">
        <w:rPr>
          <w:rFonts w:asciiTheme="minorBidi" w:hAnsiTheme="minorBidi"/>
          <w:sz w:val="12"/>
          <w:szCs w:val="12"/>
          <w:rtl/>
        </w:rPr>
        <w:t>(דדינא דגרמי הוא דרבנן)</w:t>
      </w:r>
      <w:r w:rsidRPr="00845316">
        <w:rPr>
          <w:rFonts w:asciiTheme="minorBidi" w:hAnsiTheme="minorBidi"/>
          <w:sz w:val="16"/>
          <w:szCs w:val="16"/>
          <w:rtl/>
        </w:rPr>
        <w:t>, כיון דדעת רוב הפוסקים דדינא דגרמי דאו' וא"כ לא בעו הכרזה, אין להוציא ממון נגד דעתם. וחלק עליו הפת"ש וכ' דהפמ"א פסק שאפשר להוציא ממון מחמת צירוף טעם הב' שכתב ובפרט בדורות הללו כו', והשאיר הפת"ש דבר זה בצ"ע)</w:t>
      </w:r>
    </w:p>
  </w:footnote>
  <w:footnote w:id="2331">
    <w:p w14:paraId="15EC0A67" w14:textId="77777777" w:rsidR="0013116F" w:rsidRPr="00845316" w:rsidRDefault="0013116F" w:rsidP="004B607F">
      <w:pPr>
        <w:pStyle w:val="a9"/>
        <w:spacing w:after="60"/>
        <w:rPr>
          <w:rFonts w:asciiTheme="minorBidi" w:hAnsiTheme="minorBidi"/>
        </w:rPr>
      </w:pPr>
      <w:r w:rsidRPr="00845316">
        <w:rPr>
          <w:rStyle w:val="ab"/>
          <w:rFonts w:asciiTheme="minorBidi" w:hAnsiTheme="minorBidi"/>
        </w:rPr>
        <w:footnoteRef/>
      </w:r>
      <w:r w:rsidRPr="00845316">
        <w:rPr>
          <w:rFonts w:asciiTheme="minorBidi" w:hAnsiTheme="minorBidi"/>
          <w:rtl/>
        </w:rPr>
        <w:t xml:space="preserve"> וסיים שם- "ובפרט בדורות הללו שגברו בעלי עולה ולפעמים כשאדם מציל עצמו ע"י גוים נקרא אצל חבירו מסור ובאמת אינו כן, וצריכין הב"ד לחקור אחר זה, וכל זמן שלא נפסל על פי ב"ד אין לפסול השטר".</w:t>
      </w:r>
      <w:r w:rsidRPr="00845316">
        <w:rPr>
          <w:rFonts w:asciiTheme="minorBidi" w:hAnsiTheme="minorBidi"/>
          <w:color w:val="FF0000"/>
          <w:rtl/>
        </w:rPr>
        <w:t xml:space="preserve"> </w:t>
      </w:r>
    </w:p>
  </w:footnote>
  <w:footnote w:id="2332">
    <w:p w14:paraId="1B57C93E" w14:textId="77777777" w:rsidR="0013116F" w:rsidRPr="00845316" w:rsidRDefault="0013116F" w:rsidP="004B607F">
      <w:pPr>
        <w:pStyle w:val="a9"/>
        <w:spacing w:after="60"/>
        <w:rPr>
          <w:rFonts w:asciiTheme="minorBidi" w:hAnsiTheme="minorBidi"/>
          <w:rtl/>
        </w:rPr>
      </w:pPr>
      <w:r w:rsidRPr="00845316">
        <w:rPr>
          <w:rStyle w:val="ab"/>
          <w:rFonts w:asciiTheme="minorBidi" w:hAnsiTheme="minorBidi"/>
        </w:rPr>
        <w:footnoteRef/>
      </w:r>
      <w:r w:rsidRPr="00845316">
        <w:rPr>
          <w:rFonts w:asciiTheme="minorBidi" w:hAnsiTheme="minorBidi"/>
          <w:rtl/>
        </w:rPr>
        <w:t xml:space="preserve"> ואינן נפסלין לעדות עד שיכריזו בבית דין להודיע פסולן, רש"י.</w:t>
      </w:r>
    </w:p>
  </w:footnote>
  <w:footnote w:id="2333">
    <w:p w14:paraId="11D00F5E" w14:textId="77777777" w:rsidR="0013116F" w:rsidRPr="00845316" w:rsidRDefault="0013116F" w:rsidP="004B607F">
      <w:pPr>
        <w:pStyle w:val="a9"/>
        <w:spacing w:after="60"/>
        <w:rPr>
          <w:rFonts w:asciiTheme="minorBidi" w:hAnsiTheme="minorBidi"/>
        </w:rPr>
      </w:pPr>
      <w:r w:rsidRPr="00845316">
        <w:rPr>
          <w:rStyle w:val="ab"/>
          <w:rFonts w:asciiTheme="minorBidi" w:hAnsiTheme="minorBidi"/>
        </w:rPr>
        <w:footnoteRef/>
      </w:r>
      <w:r w:rsidRPr="00845316">
        <w:rPr>
          <w:rFonts w:asciiTheme="minorBidi" w:hAnsiTheme="minorBidi"/>
          <w:rtl/>
        </w:rPr>
        <w:t xml:space="preserve"> שעבירה שלו מפורסמת לכל, רש"י.</w:t>
      </w:r>
    </w:p>
  </w:footnote>
  <w:footnote w:id="2334">
    <w:p w14:paraId="75EA3355" w14:textId="77777777" w:rsidR="0013116F" w:rsidRPr="00845316" w:rsidRDefault="0013116F" w:rsidP="004B607F">
      <w:pPr>
        <w:pStyle w:val="a9"/>
        <w:spacing w:after="60"/>
        <w:rPr>
          <w:rFonts w:asciiTheme="minorBidi" w:hAnsiTheme="minorBidi"/>
        </w:rPr>
      </w:pPr>
      <w:r w:rsidRPr="00845316">
        <w:rPr>
          <w:rStyle w:val="ab"/>
          <w:rFonts w:asciiTheme="minorBidi" w:hAnsiTheme="minorBidi"/>
        </w:rPr>
        <w:footnoteRef/>
      </w:r>
      <w:r w:rsidRPr="00845316">
        <w:rPr>
          <w:rFonts w:asciiTheme="minorBidi" w:hAnsiTheme="minorBidi"/>
          <w:rtl/>
        </w:rPr>
        <w:t xml:space="preserve"> אף על פי שלא באו עדים שהכניס עדרו לשדה אחר, רש"י. </w:t>
      </w:r>
    </w:p>
  </w:footnote>
  <w:footnote w:id="2335">
    <w:p w14:paraId="34C027D6" w14:textId="77777777" w:rsidR="0013116F" w:rsidRPr="00845316" w:rsidRDefault="0013116F" w:rsidP="004B607F">
      <w:pPr>
        <w:pStyle w:val="a9"/>
        <w:spacing w:after="60"/>
        <w:rPr>
          <w:rFonts w:asciiTheme="minorBidi" w:hAnsiTheme="minorBidi"/>
          <w:rtl/>
        </w:rPr>
      </w:pPr>
      <w:r w:rsidRPr="00845316">
        <w:rPr>
          <w:rStyle w:val="ab"/>
          <w:rFonts w:asciiTheme="minorBidi" w:hAnsiTheme="minorBidi"/>
        </w:rPr>
        <w:footnoteRef/>
      </w:r>
      <w:r w:rsidRPr="00845316">
        <w:rPr>
          <w:rFonts w:asciiTheme="minorBidi" w:hAnsiTheme="minorBidi"/>
          <w:rtl/>
        </w:rPr>
        <w:t xml:space="preserve"> הנך דמתניתין </w:t>
      </w:r>
      <w:r w:rsidRPr="00845316">
        <w:rPr>
          <w:rFonts w:asciiTheme="minorBidi" w:hAnsiTheme="minorBidi"/>
          <w:sz w:val="16"/>
          <w:szCs w:val="16"/>
          <w:rtl/>
        </w:rPr>
        <w:t>(המשחק בקוביא ומפריחי יונים)</w:t>
      </w:r>
      <w:r w:rsidRPr="00845316">
        <w:rPr>
          <w:rFonts w:asciiTheme="minorBidi" w:hAnsiTheme="minorBidi"/>
          <w:rtl/>
        </w:rPr>
        <w:t>, רש"י. וכ' הרמב"ם (פי"א ה"ו) שהטעם שמקבלים כל עדות שהעיד קודם שהכריזו עליו הוא- "כדי שלא לאבד זכות העם שהרי לא ידעו שהוא פסול ואין פסולו אלא מדבריהם".</w:t>
      </w:r>
    </w:p>
  </w:footnote>
  <w:footnote w:id="2336">
    <w:p w14:paraId="4AC4FC35" w14:textId="77777777" w:rsidR="0013116F" w:rsidRPr="00845316" w:rsidRDefault="0013116F" w:rsidP="004B607F">
      <w:pPr>
        <w:pStyle w:val="a9"/>
        <w:spacing w:after="60"/>
        <w:rPr>
          <w:rFonts w:asciiTheme="minorBidi" w:hAnsiTheme="minorBidi"/>
        </w:rPr>
      </w:pPr>
      <w:r w:rsidRPr="00845316">
        <w:rPr>
          <w:rStyle w:val="ab"/>
          <w:rFonts w:asciiTheme="minorBidi" w:hAnsiTheme="minorBidi"/>
        </w:rPr>
        <w:footnoteRef/>
      </w:r>
      <w:r w:rsidRPr="00845316">
        <w:rPr>
          <w:rFonts w:asciiTheme="minorBidi" w:hAnsiTheme="minorBidi"/>
          <w:rtl/>
        </w:rPr>
        <w:t xml:space="preserve"> החוטף ממש, כגון בניהו בן יהוידע דכתיב (שמואל ב' כג) ויגזול את החנית מיד המצרי, הכי מפרש במרובה (ב"ק עט:), רש"י.</w:t>
      </w:r>
    </w:p>
  </w:footnote>
  <w:footnote w:id="2337">
    <w:p w14:paraId="020C5154" w14:textId="77777777" w:rsidR="0013116F" w:rsidRPr="00845316" w:rsidRDefault="0013116F" w:rsidP="004B607F">
      <w:pPr>
        <w:pStyle w:val="a9"/>
        <w:spacing w:after="60"/>
        <w:rPr>
          <w:rFonts w:asciiTheme="minorBidi" w:hAnsiTheme="minorBidi"/>
        </w:rPr>
      </w:pPr>
      <w:r w:rsidRPr="00845316">
        <w:rPr>
          <w:rStyle w:val="ab"/>
          <w:rFonts w:asciiTheme="minorBidi" w:hAnsiTheme="minorBidi"/>
        </w:rPr>
        <w:footnoteRef/>
      </w:r>
      <w:r w:rsidRPr="00845316">
        <w:rPr>
          <w:rFonts w:asciiTheme="minorBidi" w:hAnsiTheme="minorBidi"/>
          <w:rtl/>
        </w:rPr>
        <w:t xml:space="preserve"> ל' הנמוק"י. ואמנם הנמוק"י כ' כן כתירוץ שני לדברי המקשן בגמ' </w:t>
      </w:r>
      <w:r w:rsidRPr="00845316">
        <w:rPr>
          <w:rFonts w:asciiTheme="minorBidi" w:hAnsiTheme="minorBidi"/>
          <w:sz w:val="16"/>
          <w:szCs w:val="16"/>
          <w:rtl/>
        </w:rPr>
        <w:t xml:space="preserve">(לתרץ איך העד </w:t>
      </w:r>
      <w:r w:rsidRPr="00845316">
        <w:rPr>
          <w:rFonts w:asciiTheme="minorBidi" w:hAnsiTheme="minorBidi"/>
          <w:sz w:val="14"/>
          <w:szCs w:val="14"/>
          <w:rtl/>
        </w:rPr>
        <w:t>{שהעיד על בר בינתוס}</w:t>
      </w:r>
      <w:r w:rsidRPr="00845316">
        <w:rPr>
          <w:rFonts w:asciiTheme="minorBidi" w:hAnsiTheme="minorBidi"/>
          <w:sz w:val="16"/>
          <w:szCs w:val="16"/>
          <w:rtl/>
        </w:rPr>
        <w:t xml:space="preserve"> רשע ופסול לעדות, והרי הוא צריך הכרזה</w:t>
      </w:r>
      <w:r w:rsidRPr="00845316">
        <w:rPr>
          <w:rFonts w:asciiTheme="minorBidi" w:hAnsiTheme="minorBidi"/>
          <w:sz w:val="14"/>
          <w:szCs w:val="14"/>
          <w:rtl/>
        </w:rPr>
        <w:t xml:space="preserve"> {שהרי מדובר שם בריבית דרבנן כמו שמתפרשת המשנה}</w:t>
      </w:r>
      <w:r w:rsidRPr="00845316">
        <w:rPr>
          <w:rFonts w:asciiTheme="minorBidi" w:hAnsiTheme="minorBidi"/>
          <w:rtl/>
        </w:rPr>
        <w:t xml:space="preserve"> נראה דסבר שדין זה הוא דין אמת. ומ"מ הש"ך השאיר זה בצ"ע </w:t>
      </w:r>
      <w:r w:rsidRPr="00845316">
        <w:rPr>
          <w:rFonts w:asciiTheme="minorBidi" w:hAnsiTheme="minorBidi"/>
          <w:sz w:val="16"/>
          <w:szCs w:val="16"/>
          <w:rtl/>
        </w:rPr>
        <w:t xml:space="preserve">(וז"ל- "וקשה דבנמוק"י לא כתב כן אלא להמקשה דהוי ס"ל דפסול לעדות על פי עצמו, א"כ כשמעיד לדידי אוזיף בריביתא אינו נאמן דהו"ל פסול, אבל למאי דמשני דאין אדם משים עצמו רשע ופלגינן דיבוריה, לא משכחת לה להאי דינא, דאי מעידים עליו שהוא לוה בריבית [ואומרים מפלוני לוה </w:t>
      </w:r>
      <w:r w:rsidRPr="00845316">
        <w:rPr>
          <w:rFonts w:asciiTheme="minorBidi" w:hAnsiTheme="minorBidi"/>
          <w:sz w:val="14"/>
          <w:szCs w:val="14"/>
          <w:rtl/>
        </w:rPr>
        <w:t>(מכת"י הש"ך)</w:t>
      </w:r>
      <w:r w:rsidRPr="00845316">
        <w:rPr>
          <w:rFonts w:asciiTheme="minorBidi" w:hAnsiTheme="minorBidi"/>
          <w:sz w:val="16"/>
          <w:szCs w:val="16"/>
          <w:rtl/>
        </w:rPr>
        <w:t xml:space="preserve">] הו"ל עדות אחרת, וא"כ לאיזה צורך כתבו הב"י </w:t>
      </w:r>
      <w:r w:rsidRPr="00845316">
        <w:rPr>
          <w:rFonts w:asciiTheme="minorBidi" w:hAnsiTheme="minorBidi"/>
          <w:sz w:val="14"/>
          <w:szCs w:val="14"/>
          <w:rtl/>
        </w:rPr>
        <w:t>[מחודש כ"ה]</w:t>
      </w:r>
      <w:r w:rsidRPr="00845316">
        <w:rPr>
          <w:rFonts w:asciiTheme="minorBidi" w:hAnsiTheme="minorBidi"/>
          <w:sz w:val="16"/>
          <w:szCs w:val="16"/>
          <w:rtl/>
        </w:rPr>
        <w:t xml:space="preserve"> והד"מ </w:t>
      </w:r>
      <w:r w:rsidRPr="00845316">
        <w:rPr>
          <w:rFonts w:asciiTheme="minorBidi" w:hAnsiTheme="minorBidi"/>
          <w:sz w:val="14"/>
          <w:szCs w:val="14"/>
          <w:rtl/>
        </w:rPr>
        <w:t xml:space="preserve">[סעיף ל"ג] </w:t>
      </w:r>
      <w:r w:rsidRPr="00845316">
        <w:rPr>
          <w:rFonts w:asciiTheme="minorBidi" w:hAnsiTheme="minorBidi"/>
          <w:sz w:val="16"/>
          <w:szCs w:val="16"/>
          <w:rtl/>
        </w:rPr>
        <w:t>והסמ"ע דין זה, וצ"ע)</w:t>
      </w:r>
      <w:r w:rsidRPr="00845316">
        <w:rPr>
          <w:rFonts w:asciiTheme="minorBidi" w:hAnsiTheme="minorBidi"/>
          <w:rtl/>
        </w:rPr>
        <w:t xml:space="preserve"> ועי' בתומים </w:t>
      </w:r>
      <w:r w:rsidRPr="00845316">
        <w:rPr>
          <w:rFonts w:asciiTheme="minorBidi" w:hAnsiTheme="minorBidi"/>
          <w:sz w:val="16"/>
          <w:szCs w:val="16"/>
          <w:rtl/>
        </w:rPr>
        <w:t xml:space="preserve">(סקכ"ב) </w:t>
      </w:r>
      <w:r w:rsidRPr="00845316">
        <w:rPr>
          <w:rFonts w:asciiTheme="minorBidi" w:hAnsiTheme="minorBidi"/>
          <w:rtl/>
        </w:rPr>
        <w:t>שהבין כמו שכתבתי בתחילה ותמה על קושי' הש"ך</w:t>
      </w:r>
      <w:r w:rsidRPr="00845316">
        <w:rPr>
          <w:rFonts w:asciiTheme="minorBidi" w:hAnsiTheme="minorBidi"/>
          <w:sz w:val="16"/>
          <w:szCs w:val="16"/>
          <w:rtl/>
        </w:rPr>
        <w:t xml:space="preserve"> (וז"ל- כיון דבקושית הגמרא מוכרחין אנו לומר כן מהיכי תיתי נימא דבמסקנא חזר בו)</w:t>
      </w:r>
      <w:r w:rsidRPr="00845316">
        <w:rPr>
          <w:rFonts w:asciiTheme="minorBidi" w:hAnsiTheme="minorBidi"/>
          <w:rtl/>
        </w:rPr>
        <w:t xml:space="preserve">, ועיין בפת"ש </w:t>
      </w:r>
      <w:r w:rsidRPr="00845316">
        <w:rPr>
          <w:rFonts w:asciiTheme="minorBidi" w:hAnsiTheme="minorBidi"/>
          <w:sz w:val="16"/>
          <w:szCs w:val="16"/>
          <w:rtl/>
        </w:rPr>
        <w:t xml:space="preserve">(סקל"ד) </w:t>
      </w:r>
      <w:r w:rsidRPr="00845316">
        <w:rPr>
          <w:rFonts w:asciiTheme="minorBidi" w:hAnsiTheme="minorBidi"/>
          <w:rtl/>
        </w:rPr>
        <w:t>שתרץ את קושיית הש"ך.</w:t>
      </w:r>
    </w:p>
  </w:footnote>
  <w:footnote w:id="2338">
    <w:p w14:paraId="2D98AF5A" w14:textId="77777777" w:rsidR="0013116F" w:rsidRPr="00845316" w:rsidRDefault="0013116F" w:rsidP="004B607F">
      <w:pPr>
        <w:pStyle w:val="a9"/>
        <w:spacing w:after="60"/>
        <w:rPr>
          <w:rFonts w:asciiTheme="minorBidi" w:hAnsiTheme="minorBidi"/>
        </w:rPr>
      </w:pPr>
      <w:r w:rsidRPr="00845316">
        <w:rPr>
          <w:rStyle w:val="ab"/>
          <w:rFonts w:asciiTheme="minorBidi" w:hAnsiTheme="minorBidi"/>
        </w:rPr>
        <w:footnoteRef/>
      </w:r>
      <w:r w:rsidRPr="00845316">
        <w:rPr>
          <w:rFonts w:asciiTheme="minorBidi" w:hAnsiTheme="minorBidi"/>
          <w:rtl/>
        </w:rPr>
        <w:t xml:space="preserve"> דכיון דאין פסולו ידוע קודם שהכריזו עליו, לא רצו להפסיד ממון הבריות מאחר שכבר העידו ואין פסולין אלא מדרבנן (רמב"ם פי"א ה"ו), ואפילו ברועה ומוכסן שאמרו (סי"ג- י"ד) שהן פסולין מסתמא- בעינן הכרזה תחילה, אלא שמסתמא מכריזין על פסוליהן קאמר, סמ"ע (סקנ"ה- נ"ו).</w:t>
      </w:r>
    </w:p>
  </w:footnote>
  <w:footnote w:id="2339">
    <w:p w14:paraId="558BCD23" w14:textId="77777777" w:rsidR="0013116F" w:rsidRPr="00845316" w:rsidRDefault="0013116F" w:rsidP="004B607F">
      <w:pPr>
        <w:pStyle w:val="a9"/>
        <w:spacing w:after="60"/>
        <w:rPr>
          <w:rFonts w:asciiTheme="minorBidi" w:hAnsiTheme="minorBidi"/>
          <w:rtl/>
        </w:rPr>
      </w:pPr>
      <w:r w:rsidRPr="00845316">
        <w:rPr>
          <w:rStyle w:val="ab"/>
          <w:rFonts w:asciiTheme="minorBidi" w:hAnsiTheme="minorBidi"/>
        </w:rPr>
        <w:footnoteRef/>
      </w:r>
      <w:r w:rsidRPr="00845316">
        <w:rPr>
          <w:rFonts w:asciiTheme="minorBidi" w:hAnsiTheme="minorBidi"/>
          <w:rtl/>
        </w:rPr>
        <w:t xml:space="preserve"> סנהדרין ד: ד"ה והוה ליה. הנמוק"י כ' כן בתירוץ הראשון לקושיה על המקשן בגמ' עיי"ש</w:t>
      </w:r>
      <w:r w:rsidRPr="00845316">
        <w:rPr>
          <w:rFonts w:asciiTheme="minorBidi" w:hAnsiTheme="minorBidi"/>
          <w:sz w:val="16"/>
          <w:szCs w:val="16"/>
          <w:rtl/>
        </w:rPr>
        <w:t xml:space="preserve"> (וז"ל- י"ל דלא בעינן הכרזה אלא משום פסידא דלקוחות אבל מדינא פסול והכא דליכא פסידא דלקוחות אם כן הרי הוא פסול)</w:t>
      </w:r>
      <w:r w:rsidRPr="00845316">
        <w:rPr>
          <w:rFonts w:asciiTheme="minorBidi" w:hAnsiTheme="minorBidi"/>
          <w:rtl/>
        </w:rPr>
        <w:t>.</w:t>
      </w:r>
    </w:p>
  </w:footnote>
  <w:footnote w:id="2340">
    <w:p w14:paraId="6F49A675" w14:textId="77777777" w:rsidR="0013116F" w:rsidRPr="00845316" w:rsidRDefault="0013116F" w:rsidP="004B607F">
      <w:pPr>
        <w:pStyle w:val="a9"/>
        <w:spacing w:after="60"/>
        <w:rPr>
          <w:rFonts w:asciiTheme="minorBidi" w:hAnsiTheme="minorBidi"/>
          <w:rtl/>
        </w:rPr>
      </w:pPr>
      <w:r w:rsidRPr="00845316">
        <w:rPr>
          <w:rStyle w:val="ab"/>
          <w:rFonts w:asciiTheme="minorBidi" w:hAnsiTheme="minorBidi"/>
        </w:rPr>
        <w:footnoteRef/>
      </w:r>
      <w:r w:rsidRPr="00845316">
        <w:rPr>
          <w:rFonts w:asciiTheme="minorBidi" w:hAnsiTheme="minorBidi"/>
          <w:rtl/>
        </w:rPr>
        <w:t xml:space="preserve"> תשב"ץ </w:t>
      </w:r>
      <w:r w:rsidRPr="00845316">
        <w:rPr>
          <w:rFonts w:asciiTheme="minorBidi" w:hAnsiTheme="minorBidi"/>
          <w:sz w:val="16"/>
          <w:szCs w:val="16"/>
          <w:rtl/>
        </w:rPr>
        <w:t>(ח"א סי' א' סוף דף ג')</w:t>
      </w:r>
      <w:r w:rsidRPr="00845316">
        <w:rPr>
          <w:rFonts w:asciiTheme="minorBidi" w:hAnsiTheme="minorBidi"/>
          <w:rtl/>
        </w:rPr>
        <w:t xml:space="preserve"> מהריב"ל </w:t>
      </w:r>
      <w:r w:rsidRPr="00845316">
        <w:rPr>
          <w:rFonts w:asciiTheme="minorBidi" w:hAnsiTheme="minorBidi"/>
          <w:sz w:val="16"/>
          <w:szCs w:val="16"/>
          <w:rtl/>
        </w:rPr>
        <w:t xml:space="preserve">(ח"ד סי' ט') </w:t>
      </w:r>
      <w:r w:rsidRPr="00845316">
        <w:rPr>
          <w:rFonts w:asciiTheme="minorBidi" w:hAnsiTheme="minorBidi"/>
          <w:rtl/>
        </w:rPr>
        <w:t xml:space="preserve">ב"י </w:t>
      </w:r>
      <w:r w:rsidRPr="00845316">
        <w:rPr>
          <w:rFonts w:asciiTheme="minorBidi" w:hAnsiTheme="minorBidi"/>
          <w:sz w:val="16"/>
          <w:szCs w:val="16"/>
          <w:rtl/>
        </w:rPr>
        <w:t xml:space="preserve">(קדושין סי' י) </w:t>
      </w:r>
      <w:r w:rsidRPr="00845316">
        <w:rPr>
          <w:rFonts w:asciiTheme="minorBidi" w:hAnsiTheme="minorBidi"/>
          <w:rtl/>
        </w:rPr>
        <w:t xml:space="preserve">מבי"ט </w:t>
      </w:r>
      <w:r w:rsidRPr="00845316">
        <w:rPr>
          <w:rFonts w:asciiTheme="minorBidi" w:hAnsiTheme="minorBidi"/>
          <w:sz w:val="16"/>
          <w:szCs w:val="16"/>
          <w:rtl/>
        </w:rPr>
        <w:t>(ח"א סי' רפ"ז)</w:t>
      </w:r>
      <w:r w:rsidRPr="00845316">
        <w:rPr>
          <w:rFonts w:asciiTheme="minorBidi" w:hAnsiTheme="minorBidi"/>
          <w:rtl/>
        </w:rPr>
        <w:t xml:space="preserve"> מהרשד"ם </w:t>
      </w:r>
      <w:r w:rsidRPr="00845316">
        <w:rPr>
          <w:rFonts w:asciiTheme="minorBidi" w:hAnsiTheme="minorBidi"/>
          <w:sz w:val="16"/>
          <w:szCs w:val="16"/>
          <w:rtl/>
        </w:rPr>
        <w:t>(אה"ע סי' לו)</w:t>
      </w:r>
      <w:r w:rsidRPr="00845316">
        <w:rPr>
          <w:rFonts w:asciiTheme="minorBidi" w:hAnsiTheme="minorBidi"/>
          <w:rtl/>
        </w:rPr>
        <w:t xml:space="preserve"> ומהרח"ש </w:t>
      </w:r>
      <w:r w:rsidRPr="00845316">
        <w:rPr>
          <w:rFonts w:asciiTheme="minorBidi" w:hAnsiTheme="minorBidi"/>
          <w:sz w:val="16"/>
          <w:szCs w:val="16"/>
          <w:rtl/>
        </w:rPr>
        <w:t>(סי' יח)</w:t>
      </w:r>
      <w:r w:rsidRPr="00845316">
        <w:rPr>
          <w:rFonts w:asciiTheme="minorBidi" w:hAnsiTheme="minorBidi"/>
          <w:rtl/>
        </w:rPr>
        <w:t xml:space="preserve">. וכ"כ מהר"א בן נחמיאס </w:t>
      </w:r>
      <w:r w:rsidRPr="00845316">
        <w:rPr>
          <w:rFonts w:asciiTheme="minorBidi" w:hAnsiTheme="minorBidi"/>
          <w:sz w:val="16"/>
          <w:szCs w:val="16"/>
          <w:rtl/>
        </w:rPr>
        <w:t xml:space="preserve">(הובא בשו"ת ב"י סי' ט) </w:t>
      </w:r>
      <w:r w:rsidRPr="00845316">
        <w:rPr>
          <w:rFonts w:asciiTheme="minorBidi" w:hAnsiTheme="minorBidi"/>
          <w:rtl/>
        </w:rPr>
        <w:t xml:space="preserve">ועדות ביעקב </w:t>
      </w:r>
      <w:r w:rsidRPr="00845316">
        <w:rPr>
          <w:rFonts w:asciiTheme="minorBidi" w:hAnsiTheme="minorBidi"/>
          <w:sz w:val="16"/>
          <w:szCs w:val="16"/>
          <w:rtl/>
        </w:rPr>
        <w:t>(סי' י"ז, הביאו כנה"ג)</w:t>
      </w:r>
      <w:r w:rsidRPr="00845316">
        <w:rPr>
          <w:rFonts w:asciiTheme="minorBidi" w:hAnsiTheme="minorBidi"/>
          <w:rtl/>
        </w:rPr>
        <w:t xml:space="preserve">. </w:t>
      </w:r>
    </w:p>
  </w:footnote>
  <w:footnote w:id="2341">
    <w:p w14:paraId="7783C22C" w14:textId="77777777" w:rsidR="0013116F" w:rsidRPr="00845316" w:rsidRDefault="0013116F" w:rsidP="004B607F">
      <w:pPr>
        <w:pStyle w:val="a9"/>
        <w:spacing w:after="60"/>
        <w:rPr>
          <w:rFonts w:asciiTheme="minorBidi" w:hAnsiTheme="minorBidi"/>
          <w:rtl/>
        </w:rPr>
      </w:pPr>
      <w:r w:rsidRPr="00845316">
        <w:rPr>
          <w:rStyle w:val="ab"/>
          <w:rFonts w:asciiTheme="minorBidi" w:hAnsiTheme="minorBidi"/>
        </w:rPr>
        <w:footnoteRef/>
      </w:r>
      <w:r w:rsidRPr="00845316">
        <w:rPr>
          <w:rFonts w:asciiTheme="minorBidi" w:hAnsiTheme="minorBidi"/>
          <w:rtl/>
        </w:rPr>
        <w:t xml:space="preserve"> דמשום שכר ממון עוברים על דת, והוו להו כרשע דחמס, רש"י.</w:t>
      </w:r>
    </w:p>
  </w:footnote>
  <w:footnote w:id="2342">
    <w:p w14:paraId="14BD12F0" w14:textId="77777777" w:rsidR="0013116F" w:rsidRPr="00845316" w:rsidRDefault="0013116F" w:rsidP="004B607F">
      <w:pPr>
        <w:pStyle w:val="a9"/>
        <w:spacing w:after="60"/>
        <w:rPr>
          <w:rFonts w:asciiTheme="minorBidi" w:hAnsiTheme="minorBidi"/>
          <w:rtl/>
        </w:rPr>
      </w:pPr>
      <w:r w:rsidRPr="00845316">
        <w:rPr>
          <w:rStyle w:val="ab"/>
          <w:rFonts w:asciiTheme="minorBidi" w:hAnsiTheme="minorBidi"/>
        </w:rPr>
        <w:footnoteRef/>
      </w:r>
      <w:r w:rsidRPr="00845316">
        <w:rPr>
          <w:rFonts w:asciiTheme="minorBidi" w:hAnsiTheme="minorBidi"/>
          <w:rtl/>
        </w:rPr>
        <w:t xml:space="preserve"> על הראשונה, וחוזרין ועוברין ושונין בעבירה, רש"י.</w:t>
      </w:r>
    </w:p>
  </w:footnote>
  <w:footnote w:id="2343">
    <w:p w14:paraId="348C4BE4" w14:textId="77777777" w:rsidR="0013116F" w:rsidRPr="00845316" w:rsidRDefault="0013116F" w:rsidP="004B607F">
      <w:pPr>
        <w:pStyle w:val="a9"/>
        <w:spacing w:after="60"/>
        <w:rPr>
          <w:rFonts w:asciiTheme="minorBidi" w:hAnsiTheme="minorBidi"/>
        </w:rPr>
      </w:pPr>
      <w:r w:rsidRPr="00845316">
        <w:rPr>
          <w:rStyle w:val="ab"/>
          <w:rFonts w:asciiTheme="minorBidi" w:hAnsiTheme="minorBidi"/>
        </w:rPr>
        <w:footnoteRef/>
      </w:r>
      <w:r w:rsidRPr="00845316">
        <w:rPr>
          <w:rFonts w:asciiTheme="minorBidi" w:hAnsiTheme="minorBidi"/>
          <w:rtl/>
        </w:rPr>
        <w:t xml:space="preserve"> האי דשמתינן משום כפרה הוא על שעברנו, ולא משום דנהדר בן, אלא מותר לחלל יום טוב בשביל המצוה, ונשב בנידוי משום כפרה, רש"י.</w:t>
      </w:r>
    </w:p>
  </w:footnote>
  <w:footnote w:id="2344">
    <w:p w14:paraId="05484758" w14:textId="77777777" w:rsidR="0013116F" w:rsidRPr="00845316" w:rsidRDefault="0013116F" w:rsidP="004B607F">
      <w:pPr>
        <w:pStyle w:val="a9"/>
        <w:spacing w:after="60"/>
        <w:rPr>
          <w:rFonts w:asciiTheme="minorBidi" w:hAnsiTheme="minorBidi"/>
        </w:rPr>
      </w:pPr>
      <w:r w:rsidRPr="00845316">
        <w:rPr>
          <w:rStyle w:val="ab"/>
          <w:rFonts w:asciiTheme="minorBidi" w:hAnsiTheme="minorBidi"/>
        </w:rPr>
        <w:footnoteRef/>
      </w:r>
      <w:r w:rsidRPr="00845316">
        <w:rPr>
          <w:rFonts w:asciiTheme="minorBidi" w:hAnsiTheme="minorBidi"/>
          <w:rtl/>
        </w:rPr>
        <w:t xml:space="preserve"> אל תשת רשע עד ובמ' גיטין </w:t>
      </w:r>
      <w:r w:rsidRPr="00845316">
        <w:rPr>
          <w:rFonts w:asciiTheme="minorBidi" w:hAnsiTheme="minorBidi"/>
          <w:sz w:val="16"/>
          <w:szCs w:val="16"/>
          <w:rtl/>
        </w:rPr>
        <w:t xml:space="preserve">(נט:) </w:t>
      </w:r>
      <w:r w:rsidRPr="00845316">
        <w:rPr>
          <w:rFonts w:asciiTheme="minorBidi" w:hAnsiTheme="minorBidi"/>
          <w:rtl/>
        </w:rPr>
        <w:t>תנן מציאת חרש שוטה וקטן יש בהן גזל מפני דרכי שלום שלא יתקוטט אביו או קרוביו, רש"י.</w:t>
      </w:r>
    </w:p>
  </w:footnote>
  <w:footnote w:id="2345">
    <w:p w14:paraId="40E5A275" w14:textId="77777777" w:rsidR="0013116F" w:rsidRPr="00845316" w:rsidRDefault="0013116F" w:rsidP="004B607F">
      <w:pPr>
        <w:pStyle w:val="a9"/>
        <w:spacing w:after="60"/>
        <w:rPr>
          <w:rFonts w:asciiTheme="minorBidi" w:hAnsiTheme="minorBidi"/>
          <w:rtl/>
        </w:rPr>
      </w:pPr>
      <w:r w:rsidRPr="00845316">
        <w:rPr>
          <w:rStyle w:val="ab"/>
          <w:rFonts w:asciiTheme="minorBidi" w:hAnsiTheme="minorBidi"/>
        </w:rPr>
        <w:footnoteRef/>
      </w:r>
      <w:r w:rsidRPr="00845316">
        <w:rPr>
          <w:rFonts w:asciiTheme="minorBidi" w:hAnsiTheme="minorBidi"/>
          <w:rtl/>
        </w:rPr>
        <w:t xml:space="preserve"> ועברי אתקנתא דרבנן מחמת חימוד ממון, רש"י.</w:t>
      </w:r>
    </w:p>
  </w:footnote>
  <w:footnote w:id="2346">
    <w:p w14:paraId="449631C7" w14:textId="77777777" w:rsidR="0013116F" w:rsidRPr="00845316" w:rsidRDefault="0013116F" w:rsidP="004B607F">
      <w:pPr>
        <w:pStyle w:val="a9"/>
        <w:spacing w:after="60"/>
        <w:rPr>
          <w:rFonts w:asciiTheme="minorBidi" w:hAnsiTheme="minorBidi"/>
        </w:rPr>
      </w:pPr>
      <w:r w:rsidRPr="00845316">
        <w:rPr>
          <w:rStyle w:val="ab"/>
          <w:rFonts w:asciiTheme="minorBidi" w:hAnsiTheme="minorBidi"/>
        </w:rPr>
        <w:footnoteRef/>
      </w:r>
      <w:r w:rsidRPr="00845316">
        <w:rPr>
          <w:rFonts w:asciiTheme="minorBidi" w:hAnsiTheme="minorBidi"/>
          <w:rtl/>
        </w:rPr>
        <w:t xml:space="preserve"> דחשידי למשקל אגרא ואסהודי שקרא, רש"י.</w:t>
      </w:r>
    </w:p>
  </w:footnote>
  <w:footnote w:id="2347">
    <w:p w14:paraId="51007FE0" w14:textId="77777777" w:rsidR="0013116F" w:rsidRPr="00845316" w:rsidRDefault="0013116F" w:rsidP="004B607F">
      <w:pPr>
        <w:pStyle w:val="a9"/>
        <w:spacing w:after="60"/>
        <w:rPr>
          <w:rFonts w:asciiTheme="minorBidi" w:hAnsiTheme="minorBidi"/>
        </w:rPr>
      </w:pPr>
      <w:r w:rsidRPr="00845316">
        <w:rPr>
          <w:rStyle w:val="ab"/>
          <w:rFonts w:asciiTheme="minorBidi" w:hAnsiTheme="minorBidi"/>
        </w:rPr>
        <w:footnoteRef/>
      </w:r>
      <w:r w:rsidRPr="00845316">
        <w:rPr>
          <w:rFonts w:asciiTheme="minorBidi" w:hAnsiTheme="minorBidi"/>
          <w:rtl/>
        </w:rPr>
        <w:t xml:space="preserve"> ושקלי, כלומר דאפילו דמי קא יהבי אתי לידי גזלנות, כלומר: שהיה קשה לבעלים למכור ובעל כרחן חוטפין וזורקין המעות לפניהם, רש"י.</w:t>
      </w:r>
    </w:p>
  </w:footnote>
  <w:footnote w:id="2348">
    <w:p w14:paraId="1B369363" w14:textId="77777777" w:rsidR="0013116F" w:rsidRPr="00845316" w:rsidRDefault="0013116F" w:rsidP="004B607F">
      <w:pPr>
        <w:pStyle w:val="a9"/>
        <w:spacing w:after="60"/>
        <w:rPr>
          <w:rFonts w:asciiTheme="minorBidi" w:hAnsiTheme="minorBidi"/>
          <w:rtl/>
        </w:rPr>
      </w:pPr>
      <w:r w:rsidRPr="00845316">
        <w:rPr>
          <w:rStyle w:val="ab"/>
          <w:rFonts w:asciiTheme="minorBidi" w:hAnsiTheme="minorBidi"/>
        </w:rPr>
        <w:footnoteRef/>
      </w:r>
      <w:r w:rsidRPr="00845316">
        <w:rPr>
          <w:rFonts w:asciiTheme="minorBidi" w:hAnsiTheme="minorBidi"/>
          <w:rtl/>
        </w:rPr>
        <w:t xml:space="preserve"> אם זו עברה מדרבנן פסול מדרבנן, ואם זו עברה דאו' פסול מדאו' אע"ג דלא לוקה עליה. והקשה הש"ך (סקכ"ד) שהרי בהג"ה בסע' ב כ'- "עבר עבירה שאין בה מלקות פסול מדרבנן". וכ' בהגה' על הש"ך (שם) דיש ליישב דכאן באמת חייב מלקות על אותה עבירה, רק שלא התרו בו ולכן אינו לוקה, לכן, פסול מדאורייתא אע"ג דאינו לוקה. ושם לא חייב מלקות על אותה עברה מלקות אף אם היו מתרין בו. (וכעין זה חילק הדרכ"מ עצמו באות ב*)</w:t>
      </w:r>
    </w:p>
  </w:footnote>
  <w:footnote w:id="2349">
    <w:p w14:paraId="17C0FCBB" w14:textId="77777777" w:rsidR="0013116F" w:rsidRPr="00845316" w:rsidRDefault="0013116F" w:rsidP="004B607F">
      <w:pPr>
        <w:spacing w:after="60" w:line="240" w:lineRule="auto"/>
        <w:rPr>
          <w:rFonts w:asciiTheme="minorBidi" w:hAnsiTheme="minorBidi"/>
          <w:sz w:val="20"/>
          <w:szCs w:val="20"/>
          <w:rtl/>
        </w:rPr>
      </w:pPr>
      <w:r w:rsidRPr="00845316">
        <w:rPr>
          <w:rStyle w:val="ab"/>
          <w:rFonts w:asciiTheme="minorBidi" w:hAnsiTheme="minorBidi"/>
        </w:rPr>
        <w:footnoteRef/>
      </w:r>
      <w:r w:rsidRPr="00845316">
        <w:rPr>
          <w:rFonts w:asciiTheme="minorBidi" w:hAnsiTheme="minorBidi"/>
          <w:sz w:val="20"/>
          <w:szCs w:val="20"/>
          <w:rtl/>
        </w:rPr>
        <w:t xml:space="preserve"> וסיים הרמב"ם (פי"ב ה"א)- "כללו של דבר כל עבירה שהדברים מראים לעדים שזה ידע שהוא רשע ועבר בזדון אף על פי שלא התרו בו הרי זה פסול לעדות ואינו לוקה".</w:t>
      </w:r>
    </w:p>
  </w:footnote>
  <w:footnote w:id="2350">
    <w:p w14:paraId="61AC5B83" w14:textId="77777777" w:rsidR="0013116F" w:rsidRPr="00845316" w:rsidRDefault="0013116F" w:rsidP="004B607F">
      <w:pPr>
        <w:pStyle w:val="a9"/>
        <w:spacing w:after="60"/>
        <w:rPr>
          <w:rFonts w:asciiTheme="minorBidi" w:hAnsiTheme="minorBidi"/>
        </w:rPr>
      </w:pPr>
      <w:r w:rsidRPr="00845316">
        <w:rPr>
          <w:rStyle w:val="ab"/>
          <w:rFonts w:asciiTheme="minorBidi" w:hAnsiTheme="minorBidi"/>
        </w:rPr>
        <w:footnoteRef/>
      </w:r>
      <w:r w:rsidRPr="00845316">
        <w:rPr>
          <w:rFonts w:asciiTheme="minorBidi" w:hAnsiTheme="minorBidi"/>
          <w:rtl/>
        </w:rPr>
        <w:t xml:space="preserve"> דברים אלו לא כ' הסמ"ע בפירוש אבל כן משמע מדבריו, וכן דייק הנתיבות </w:t>
      </w:r>
      <w:r w:rsidRPr="00845316">
        <w:rPr>
          <w:rFonts w:asciiTheme="minorBidi" w:hAnsiTheme="minorBidi"/>
          <w:sz w:val="16"/>
          <w:szCs w:val="16"/>
          <w:rtl/>
        </w:rPr>
        <w:t xml:space="preserve">(סקט"ז) </w:t>
      </w:r>
      <w:r w:rsidRPr="00845316">
        <w:rPr>
          <w:rFonts w:asciiTheme="minorBidi" w:hAnsiTheme="minorBidi"/>
          <w:rtl/>
        </w:rPr>
        <w:t xml:space="preserve">והאבנ"מ </w:t>
      </w:r>
      <w:r w:rsidRPr="00845316">
        <w:rPr>
          <w:rFonts w:asciiTheme="minorBidi" w:hAnsiTheme="minorBidi"/>
          <w:sz w:val="16"/>
          <w:szCs w:val="16"/>
          <w:rtl/>
        </w:rPr>
        <w:t xml:space="preserve">(שו"ת סי' ח) </w:t>
      </w:r>
      <w:r w:rsidRPr="00845316">
        <w:rPr>
          <w:rFonts w:asciiTheme="minorBidi" w:hAnsiTheme="minorBidi"/>
          <w:rtl/>
        </w:rPr>
        <w:t xml:space="preserve">מדבריו. </w:t>
      </w:r>
      <w:r w:rsidRPr="00845316">
        <w:rPr>
          <w:rFonts w:asciiTheme="minorBidi" w:hAnsiTheme="minorBidi"/>
          <w:color w:val="FF0000"/>
          <w:sz w:val="16"/>
          <w:szCs w:val="16"/>
          <w:rtl/>
        </w:rPr>
        <w:t xml:space="preserve">(וקשה על ד' הסמ"ע ממש"כ הרמב"ם בתחילת דבריו </w:t>
      </w:r>
      <w:r w:rsidRPr="00845316">
        <w:rPr>
          <w:rFonts w:asciiTheme="minorBidi" w:hAnsiTheme="minorBidi"/>
          <w:color w:val="FF0000"/>
          <w:sz w:val="12"/>
          <w:szCs w:val="12"/>
          <w:rtl/>
        </w:rPr>
        <w:t xml:space="preserve">(פי"ב ה"א, והעתיק דבריו השו"ע בסע' זה) </w:t>
      </w:r>
      <w:r w:rsidRPr="00845316">
        <w:rPr>
          <w:rFonts w:asciiTheme="minorBidi" w:hAnsiTheme="minorBidi"/>
          <w:color w:val="FF0000"/>
          <w:sz w:val="16"/>
          <w:szCs w:val="16"/>
          <w:rtl/>
        </w:rPr>
        <w:t>דמשמע שאם יודע שהיא עבירה או שהמקרה מראה לעדים שהוא עבר בזדון- פסול, אך אינו לוקה משום שלא התרו)</w:t>
      </w:r>
    </w:p>
  </w:footnote>
  <w:footnote w:id="2351">
    <w:p w14:paraId="2C3F98AB" w14:textId="77777777" w:rsidR="0013116F" w:rsidRDefault="0013116F" w:rsidP="004B607F">
      <w:pPr>
        <w:pStyle w:val="a9"/>
      </w:pPr>
      <w:r>
        <w:rPr>
          <w:rStyle w:val="ab"/>
        </w:rPr>
        <w:footnoteRef/>
      </w:r>
      <w:r>
        <w:rPr>
          <w:rtl/>
        </w:rPr>
        <w:t xml:space="preserve"> </w:t>
      </w:r>
      <w:r>
        <w:rPr>
          <w:rFonts w:hint="cs"/>
          <w:rtl/>
        </w:rPr>
        <w:t xml:space="preserve">סימן </w:t>
      </w:r>
      <w:r>
        <w:rPr>
          <w:rtl/>
        </w:rPr>
        <w:t>–</w:t>
      </w:r>
      <w:r>
        <w:rPr>
          <w:rFonts w:hint="cs"/>
          <w:rtl/>
        </w:rPr>
        <w:t xml:space="preserve"> טמא לטעמו, טהור.</w:t>
      </w:r>
    </w:p>
  </w:footnote>
  <w:footnote w:id="2352">
    <w:p w14:paraId="1ED09710" w14:textId="77777777" w:rsidR="0013116F" w:rsidRPr="00845316" w:rsidRDefault="0013116F" w:rsidP="004B607F">
      <w:pPr>
        <w:pStyle w:val="a9"/>
        <w:spacing w:after="60"/>
        <w:rPr>
          <w:rFonts w:asciiTheme="minorBidi" w:hAnsiTheme="minorBidi"/>
        </w:rPr>
      </w:pPr>
      <w:r w:rsidRPr="00845316">
        <w:rPr>
          <w:rStyle w:val="ab"/>
          <w:rFonts w:asciiTheme="minorBidi" w:hAnsiTheme="minorBidi"/>
        </w:rPr>
        <w:footnoteRef/>
      </w:r>
      <w:r w:rsidRPr="00845316">
        <w:rPr>
          <w:rFonts w:asciiTheme="minorBidi" w:hAnsiTheme="minorBidi"/>
          <w:rtl/>
        </w:rPr>
        <w:t xml:space="preserve"> במשכב זכור, על כרחו.</w:t>
      </w:r>
    </w:p>
  </w:footnote>
  <w:footnote w:id="2353">
    <w:p w14:paraId="43400A78" w14:textId="77777777" w:rsidR="0013116F" w:rsidRPr="00845316" w:rsidRDefault="0013116F" w:rsidP="004B607F">
      <w:pPr>
        <w:pStyle w:val="a9"/>
        <w:spacing w:after="60"/>
        <w:rPr>
          <w:rFonts w:asciiTheme="minorBidi" w:hAnsiTheme="minorBidi"/>
          <w:rtl/>
        </w:rPr>
      </w:pPr>
      <w:r w:rsidRPr="00845316">
        <w:rPr>
          <w:rStyle w:val="ab"/>
          <w:rFonts w:asciiTheme="minorBidi" w:hAnsiTheme="minorBidi"/>
        </w:rPr>
        <w:footnoteRef/>
      </w:r>
      <w:r w:rsidRPr="00845316">
        <w:rPr>
          <w:rFonts w:asciiTheme="minorBidi" w:hAnsiTheme="minorBidi"/>
          <w:rtl/>
        </w:rPr>
        <w:t xml:space="preserve"> הנרבע הזה כשר להעיד עליו, ואם יש אחר עמו נהרג הרובע על פיהם, רש"י.</w:t>
      </w:r>
    </w:p>
  </w:footnote>
  <w:footnote w:id="2354">
    <w:p w14:paraId="0ADE6647" w14:textId="77777777" w:rsidR="0013116F" w:rsidRPr="00845316" w:rsidRDefault="0013116F" w:rsidP="004B607F">
      <w:pPr>
        <w:spacing w:after="60" w:line="240" w:lineRule="auto"/>
        <w:rPr>
          <w:rFonts w:asciiTheme="minorBidi" w:hAnsiTheme="minorBidi"/>
          <w:sz w:val="20"/>
          <w:szCs w:val="20"/>
          <w:rtl/>
        </w:rPr>
      </w:pPr>
      <w:r w:rsidRPr="00845316">
        <w:rPr>
          <w:rStyle w:val="ab"/>
          <w:rFonts w:asciiTheme="minorBidi" w:hAnsiTheme="minorBidi"/>
        </w:rPr>
        <w:footnoteRef/>
      </w:r>
      <w:r w:rsidRPr="00845316">
        <w:rPr>
          <w:rFonts w:asciiTheme="minorBidi" w:hAnsiTheme="minorBidi"/>
          <w:sz w:val="20"/>
          <w:szCs w:val="20"/>
          <w:rtl/>
        </w:rPr>
        <w:t xml:space="preserve"> אין אדם נפסל לעדות בהודאת פיו, דאדם קרוב אצל עצמו, הלכך אין אדם יכול לשום עצמו רשע, כלומר על עדות עצמו אינו נעשה רשע, שהרי תורה פסלה קרוב לעדות, ונהרג הרובע, דפלגינן דיבורא ומהימנינן ליה לגבי חבריה, ולא מהימנינן ליה לגבי דידיה לפסול לעדות, רש"י.</w:t>
      </w:r>
    </w:p>
  </w:footnote>
  <w:footnote w:id="2355">
    <w:p w14:paraId="11066C9D" w14:textId="77777777" w:rsidR="0013116F" w:rsidRPr="00845316" w:rsidRDefault="0013116F" w:rsidP="004B607F">
      <w:pPr>
        <w:pStyle w:val="a9"/>
        <w:spacing w:after="60"/>
        <w:rPr>
          <w:rFonts w:asciiTheme="minorBidi" w:hAnsiTheme="minorBidi"/>
        </w:rPr>
      </w:pPr>
      <w:r w:rsidRPr="00845316">
        <w:rPr>
          <w:rStyle w:val="ab"/>
          <w:rFonts w:asciiTheme="minorBidi" w:hAnsiTheme="minorBidi"/>
        </w:rPr>
        <w:footnoteRef/>
      </w:r>
      <w:r w:rsidRPr="00845316">
        <w:rPr>
          <w:rFonts w:asciiTheme="minorBidi" w:hAnsiTheme="minorBidi"/>
          <w:rtl/>
        </w:rPr>
        <w:t xml:space="preserve"> לפי שקרוב הוא אצלה, ואף על גב דמהימנינן ליה בהאי סהדותא לגבי חבריה, לא מהימנינן ליה לגבי אשתו, והיינו פלגינן דיבורא, דהא חד דיבורא הוא ולגבי האי מהימן, ולא מהימן לגבי האי, רש"י.</w:t>
      </w:r>
    </w:p>
  </w:footnote>
  <w:footnote w:id="2356">
    <w:p w14:paraId="3E818D11" w14:textId="77777777" w:rsidR="0013116F" w:rsidRPr="00845316" w:rsidRDefault="0013116F" w:rsidP="004B607F">
      <w:pPr>
        <w:pStyle w:val="a9"/>
        <w:spacing w:after="60"/>
        <w:rPr>
          <w:rFonts w:asciiTheme="minorBidi" w:hAnsiTheme="minorBidi"/>
          <w:rtl/>
        </w:rPr>
      </w:pPr>
      <w:r w:rsidRPr="00845316">
        <w:rPr>
          <w:rStyle w:val="ab"/>
          <w:rFonts w:asciiTheme="minorBidi" w:hAnsiTheme="minorBidi"/>
        </w:rPr>
        <w:footnoteRef/>
      </w:r>
      <w:r w:rsidRPr="00845316">
        <w:rPr>
          <w:rFonts w:asciiTheme="minorBidi" w:hAnsiTheme="minorBidi"/>
          <w:rtl/>
        </w:rPr>
        <w:t xml:space="preserve"> אדם קרוב לענין פלגינן דיבורא, והואיל ומהימן אההוא דיבורא למיקטליה לחבריה, ליקטלוה נמי לדידה - קא משמע לן, רש"י.</w:t>
      </w:r>
    </w:p>
  </w:footnote>
  <w:footnote w:id="2357">
    <w:p w14:paraId="1228D84C" w14:textId="77777777" w:rsidR="001032B2" w:rsidRPr="00351B7D" w:rsidRDefault="001032B2" w:rsidP="001032B2">
      <w:pPr>
        <w:pStyle w:val="a9"/>
        <w:rPr>
          <w:rFonts w:asciiTheme="minorBidi" w:hAnsiTheme="minorBidi"/>
        </w:rPr>
      </w:pPr>
      <w:r w:rsidRPr="00351B7D">
        <w:rPr>
          <w:rStyle w:val="ab"/>
          <w:rFonts w:asciiTheme="minorBidi" w:hAnsiTheme="minorBidi"/>
        </w:rPr>
        <w:footnoteRef/>
      </w:r>
      <w:r w:rsidRPr="00351B7D">
        <w:rPr>
          <w:rFonts w:asciiTheme="minorBidi" w:hAnsiTheme="minorBidi"/>
          <w:rtl/>
        </w:rPr>
        <w:t xml:space="preserve"> דבעינן רשע דחמס, כדכתיב (שמות כג) אל תשת וגו' עד חמס, רש"י.</w:t>
      </w:r>
    </w:p>
  </w:footnote>
  <w:footnote w:id="2358">
    <w:p w14:paraId="43FE839F" w14:textId="77777777" w:rsidR="001032B2" w:rsidRPr="00351B7D" w:rsidRDefault="001032B2" w:rsidP="001032B2">
      <w:pPr>
        <w:pStyle w:val="a9"/>
        <w:rPr>
          <w:rFonts w:asciiTheme="minorBidi" w:hAnsiTheme="minorBidi" w:hint="cs"/>
          <w:rtl/>
        </w:rPr>
      </w:pPr>
      <w:r w:rsidRPr="00351B7D">
        <w:rPr>
          <w:rStyle w:val="ab"/>
          <w:rFonts w:asciiTheme="minorBidi" w:hAnsiTheme="minorBidi"/>
        </w:rPr>
        <w:footnoteRef/>
      </w:r>
      <w:r>
        <w:rPr>
          <w:rFonts w:asciiTheme="minorBidi" w:hAnsiTheme="minorBidi"/>
        </w:rPr>
        <w:t xml:space="preserve"> </w:t>
      </w:r>
      <w:r w:rsidRPr="00351B7D">
        <w:rPr>
          <w:rFonts w:asciiTheme="minorBidi" w:hAnsiTheme="minorBidi"/>
          <w:rtl/>
        </w:rPr>
        <w:t>לומר מת בעלה או גירשה, דניחא ליה לשוויה פנויה, דתיהוי שכיחא ליה</w:t>
      </w:r>
      <w:r>
        <w:rPr>
          <w:rFonts w:asciiTheme="minorBidi" w:hAnsiTheme="minorBidi" w:hint="cs"/>
          <w:rtl/>
        </w:rPr>
        <w:t>, רש"י</w:t>
      </w:r>
      <w:r w:rsidRPr="00351B7D">
        <w:rPr>
          <w:rFonts w:asciiTheme="minorBidi" w:hAnsiTheme="minorBidi"/>
          <w:rtl/>
        </w:rPr>
        <w:t>.</w:t>
      </w:r>
      <w:r>
        <w:rPr>
          <w:rFonts w:asciiTheme="minorBidi" w:hAnsiTheme="minorBidi" w:hint="cs"/>
          <w:rtl/>
        </w:rPr>
        <w:t xml:space="preserve">    אך עיין בח"מ (סקט"ו) דכתב דדוקא </w:t>
      </w:r>
      <w:r w:rsidRPr="00351B7D">
        <w:rPr>
          <w:rFonts w:asciiTheme="minorBidi" w:hAnsiTheme="minorBidi"/>
          <w:rtl/>
        </w:rPr>
        <w:t>לגרשה, אבל להעיד לאשה שמת בעלה כשר להעיד דלא גרע מעבד ושפחה</w:t>
      </w:r>
      <w:r>
        <w:rPr>
          <w:rFonts w:asciiTheme="minorBidi" w:hAnsiTheme="minorBidi" w:hint="cs"/>
          <w:rtl/>
        </w:rPr>
        <w:t>.</w:t>
      </w:r>
    </w:p>
  </w:footnote>
  <w:footnote w:id="2359">
    <w:p w14:paraId="160C4474" w14:textId="77777777" w:rsidR="001032B2" w:rsidRPr="00351B7D" w:rsidRDefault="001032B2" w:rsidP="001032B2">
      <w:pPr>
        <w:pStyle w:val="a9"/>
        <w:rPr>
          <w:rFonts w:asciiTheme="minorBidi" w:hAnsiTheme="minorBidi"/>
        </w:rPr>
      </w:pPr>
      <w:r w:rsidRPr="00351B7D">
        <w:rPr>
          <w:rStyle w:val="ab"/>
          <w:rFonts w:asciiTheme="minorBidi" w:hAnsiTheme="minorBidi"/>
        </w:rPr>
        <w:footnoteRef/>
      </w:r>
      <w:r w:rsidRPr="00351B7D">
        <w:rPr>
          <w:rFonts w:asciiTheme="minorBidi" w:hAnsiTheme="minorBidi"/>
          <w:rtl/>
        </w:rPr>
        <w:t xml:space="preserve"> לומר פלוני קידשה, רש"י.</w:t>
      </w:r>
      <w:r w:rsidRPr="00351B7D">
        <w:rPr>
          <w:rFonts w:asciiTheme="minorBidi" w:hAnsiTheme="minorBidi"/>
          <w:sz w:val="16"/>
          <w:szCs w:val="16"/>
          <w:rtl/>
        </w:rPr>
        <w:t xml:space="preserve"> (ומוכח דרש"י גרס כגירסתנו, וע' בתשו' מהר"ם פדוואה (סי' לז) שמביא בשם תשובת רש"י (סי' קעא) כגרסת ספרים דידן דהחשוד מהימן לעיולי)</w:t>
      </w:r>
    </w:p>
  </w:footnote>
  <w:footnote w:id="2360">
    <w:p w14:paraId="6FAAD9E0" w14:textId="77777777" w:rsidR="001032B2" w:rsidRPr="00351B7D" w:rsidRDefault="001032B2" w:rsidP="001032B2">
      <w:pPr>
        <w:pStyle w:val="a9"/>
        <w:rPr>
          <w:rFonts w:asciiTheme="minorBidi" w:hAnsiTheme="minorBidi"/>
          <w:rtl/>
        </w:rPr>
      </w:pPr>
      <w:r w:rsidRPr="00351B7D">
        <w:rPr>
          <w:rStyle w:val="ab"/>
          <w:rFonts w:asciiTheme="minorBidi" w:hAnsiTheme="minorBidi"/>
        </w:rPr>
        <w:footnoteRef/>
      </w:r>
      <w:r w:rsidRPr="00351B7D">
        <w:rPr>
          <w:rFonts w:asciiTheme="minorBidi" w:hAnsiTheme="minorBidi"/>
          <w:rtl/>
        </w:rPr>
        <w:t xml:space="preserve"> דתיהוי אסורה עליה ולא תיהוי שכיחא ליה, רש"י.</w:t>
      </w:r>
    </w:p>
  </w:footnote>
  <w:footnote w:id="2361">
    <w:p w14:paraId="08754803" w14:textId="77777777" w:rsidR="001032B2" w:rsidRDefault="001032B2" w:rsidP="001032B2">
      <w:pPr>
        <w:pStyle w:val="a9"/>
        <w:rPr>
          <w:rFonts w:hint="cs"/>
          <w:rtl/>
        </w:rPr>
      </w:pPr>
      <w:r>
        <w:rPr>
          <w:rStyle w:val="ab"/>
        </w:rPr>
        <w:footnoteRef/>
      </w:r>
      <w:r>
        <w:rPr>
          <w:rtl/>
        </w:rPr>
        <w:t xml:space="preserve"> </w:t>
      </w:r>
      <w:r w:rsidRPr="00683C1E">
        <w:rPr>
          <w:rFonts w:asciiTheme="minorBidi" w:hAnsiTheme="minorBidi" w:cs="Arial"/>
          <w:rtl/>
        </w:rPr>
        <w:t>וכן מוכח מתוך פירוש רש"י שפירש ארבעין בכתפיה וכשר חייב מלקות הוא אע</w:t>
      </w:r>
      <w:r>
        <w:rPr>
          <w:rFonts w:asciiTheme="minorBidi" w:hAnsiTheme="minorBidi" w:cs="Arial" w:hint="cs"/>
          <w:rtl/>
        </w:rPr>
        <w:t>"</w:t>
      </w:r>
      <w:r w:rsidRPr="00683C1E">
        <w:rPr>
          <w:rFonts w:asciiTheme="minorBidi" w:hAnsiTheme="minorBidi" w:cs="Arial"/>
          <w:rtl/>
        </w:rPr>
        <w:t>פ שאין בו התראה דאמר מר מלקין על לא טובה השמועה</w:t>
      </w:r>
      <w:r>
        <w:rPr>
          <w:rFonts w:asciiTheme="minorBidi" w:hAnsiTheme="minorBidi" w:cs="Arial" w:hint="cs"/>
          <w:sz w:val="16"/>
          <w:szCs w:val="16"/>
          <w:rtl/>
        </w:rPr>
        <w:t xml:space="preserve"> {עכ"ל רש"י, ועי' בתוס' [סנהדרין ט: ד"ה לרצונו] שפירשו להפך את דעת רש"י}</w:t>
      </w:r>
      <w:r w:rsidRPr="00683C1E">
        <w:rPr>
          <w:rFonts w:asciiTheme="minorBidi" w:hAnsiTheme="minorBidi" w:cs="Arial"/>
          <w:rtl/>
        </w:rPr>
        <w:t>. ולא דמי לאוכלי נבילות דפסולים דהתם אין יצרו תוקפו כמו בערוה. והא דאמר בפ"ק (ט</w:t>
      </w:r>
      <w:r>
        <w:rPr>
          <w:rFonts w:asciiTheme="minorBidi" w:hAnsiTheme="minorBidi" w:cs="Arial" w:hint="cs"/>
          <w:rtl/>
        </w:rPr>
        <w:t>:</w:t>
      </w:r>
      <w:r w:rsidRPr="00683C1E">
        <w:rPr>
          <w:rFonts w:asciiTheme="minorBidi" w:hAnsiTheme="minorBidi" w:cs="Arial"/>
          <w:rtl/>
        </w:rPr>
        <w:t>) פלוני רבעו לרצונו רשע הוא ופסול לעדות התם אין יצרו תוקפו כל כך. אי נמי לההוא מילתא דוקא מיפסיל כדאמר בכורות (ל</w:t>
      </w:r>
      <w:r>
        <w:rPr>
          <w:rFonts w:asciiTheme="minorBidi" w:hAnsiTheme="minorBidi" w:cs="Arial" w:hint="cs"/>
          <w:rtl/>
        </w:rPr>
        <w:t>.</w:t>
      </w:r>
      <w:r w:rsidRPr="00683C1E">
        <w:rPr>
          <w:rFonts w:asciiTheme="minorBidi" w:hAnsiTheme="minorBidi" w:cs="Arial"/>
          <w:rtl/>
        </w:rPr>
        <w:t>) החשוד על הדבר לא דנו ולא מעידו אבל לעדות אחרת כשר. וכן משמע מתוך דכתב רב אלפס ז"ל דגריס אמר רב ששת ארבעים בכתפיה וכשר אמר ליה התם יצרו תוקפו</w:t>
      </w:r>
      <w:r>
        <w:rPr>
          <w:rFonts w:asciiTheme="minorBidi" w:hAnsiTheme="minorBidi" w:cs="Arial" w:hint="cs"/>
          <w:rtl/>
        </w:rPr>
        <w:t>, רא"ש (שם)</w:t>
      </w:r>
      <w:r w:rsidRPr="00683C1E">
        <w:rPr>
          <w:rFonts w:asciiTheme="minorBidi" w:hAnsiTheme="minorBidi" w:cs="Arial"/>
          <w:rtl/>
        </w:rPr>
        <w:t>.</w:t>
      </w:r>
      <w:r>
        <w:rPr>
          <w:rFonts w:asciiTheme="minorBidi" w:hAnsiTheme="minorBidi" w:cs="Arial" w:hint="cs"/>
          <w:rtl/>
        </w:rPr>
        <w:t xml:space="preserve"> ועיין לקמן שהרא"ש דוחה את הדברים.</w:t>
      </w:r>
    </w:p>
  </w:footnote>
  <w:footnote w:id="2362">
    <w:p w14:paraId="16584248" w14:textId="77777777" w:rsidR="001032B2" w:rsidRDefault="001032B2" w:rsidP="001032B2">
      <w:pPr>
        <w:pStyle w:val="a9"/>
        <w:rPr>
          <w:rFonts w:hint="cs"/>
        </w:rPr>
      </w:pPr>
      <w:r>
        <w:rPr>
          <w:rStyle w:val="ab"/>
        </w:rPr>
        <w:footnoteRef/>
      </w:r>
      <w:r>
        <w:rPr>
          <w:rtl/>
        </w:rPr>
        <w:t xml:space="preserve"> </w:t>
      </w:r>
      <w:r>
        <w:rPr>
          <w:rFonts w:asciiTheme="minorBidi" w:hAnsiTheme="minorBidi" w:cs="Arial" w:hint="cs"/>
          <w:rtl/>
        </w:rPr>
        <w:t>אחרי שכתב הרא"ש את כל היישובים הנ"ל לשיטת ר"ת כתב וז"ל:</w:t>
      </w:r>
      <w:r w:rsidRPr="00683C1E">
        <w:rPr>
          <w:rFonts w:asciiTheme="minorBidi" w:hAnsiTheme="minorBidi" w:cs="Arial"/>
          <w:rtl/>
        </w:rPr>
        <w:t xml:space="preserve"> ולישנא דחשוד לא משמע לפרושי הכי דהוה ליה למימר הבא על הערוה. ועוד דדוחק הוא לחלק בעריות ולומר דבמשכב זכור אין יצרו תוקפו כל כך ופסול. וגם לישנא דרשע הוא משמע שפסול לכל עדות. ונראה לפרש החשוד על העריות</w:t>
      </w:r>
      <w:r>
        <w:rPr>
          <w:rFonts w:asciiTheme="minorBidi" w:hAnsiTheme="minorBidi" w:cs="Arial" w:hint="cs"/>
          <w:rtl/>
        </w:rPr>
        <w:t>-...</w:t>
      </w:r>
    </w:p>
  </w:footnote>
  <w:footnote w:id="2363">
    <w:p w14:paraId="52F3778E" w14:textId="77777777" w:rsidR="001032B2" w:rsidRDefault="001032B2" w:rsidP="001032B2">
      <w:pPr>
        <w:pStyle w:val="a9"/>
        <w:rPr>
          <w:rFonts w:hint="cs"/>
          <w:rtl/>
        </w:rPr>
      </w:pPr>
      <w:r>
        <w:rPr>
          <w:rStyle w:val="ab"/>
        </w:rPr>
        <w:footnoteRef/>
      </w:r>
      <w:r>
        <w:rPr>
          <w:rtl/>
        </w:rPr>
        <w:t xml:space="preserve"> </w:t>
      </w:r>
      <w:r w:rsidRPr="00683C1E">
        <w:rPr>
          <w:rFonts w:asciiTheme="minorBidi" w:hAnsiTheme="minorBidi" w:cs="Arial"/>
          <w:rtl/>
        </w:rPr>
        <w:t>וארבעים בכתפיה דמלקין על היחוד (קדושין פא</w:t>
      </w:r>
      <w:r>
        <w:rPr>
          <w:rFonts w:asciiTheme="minorBidi" w:hAnsiTheme="minorBidi" w:cs="Arial" w:hint="cs"/>
          <w:rtl/>
        </w:rPr>
        <w:t>.</w:t>
      </w:r>
      <w:r w:rsidRPr="00683C1E">
        <w:rPr>
          <w:rFonts w:asciiTheme="minorBidi" w:hAnsiTheme="minorBidi" w:cs="Arial"/>
          <w:rtl/>
        </w:rPr>
        <w:t>) של כל עריות חוץ מאשת איש. ומלקין על לא טובה השמועה קלא דלא פסיק כשהמון עם מעבירים עליו קול</w:t>
      </w:r>
      <w:r>
        <w:rPr>
          <w:rFonts w:hint="cs"/>
          <w:rtl/>
        </w:rPr>
        <w:t>, רא"ש (שם).</w:t>
      </w:r>
    </w:p>
  </w:footnote>
  <w:footnote w:id="2364">
    <w:p w14:paraId="613E73A7" w14:textId="77777777" w:rsidR="001032B2" w:rsidRPr="00351B7D" w:rsidRDefault="001032B2" w:rsidP="001032B2">
      <w:pPr>
        <w:pStyle w:val="a9"/>
        <w:rPr>
          <w:rFonts w:asciiTheme="minorBidi" w:hAnsiTheme="minorBidi"/>
        </w:rPr>
      </w:pPr>
      <w:r w:rsidRPr="00351B7D">
        <w:rPr>
          <w:rStyle w:val="ab"/>
          <w:rFonts w:asciiTheme="minorBidi" w:hAnsiTheme="minorBidi"/>
        </w:rPr>
        <w:footnoteRef/>
      </w:r>
      <w:r w:rsidRPr="00351B7D">
        <w:rPr>
          <w:rFonts w:asciiTheme="minorBidi" w:hAnsiTheme="minorBidi"/>
          <w:rtl/>
        </w:rPr>
        <w:t xml:space="preserve"> דאי להרי"ף שפירש החשוד על העריות הבא על הערוה הרי פסק בהדיא כרב ששת דפסל</w:t>
      </w:r>
      <w:r>
        <w:rPr>
          <w:rFonts w:asciiTheme="minorBidi" w:hAnsiTheme="minorBidi" w:hint="cs"/>
          <w:rtl/>
        </w:rPr>
        <w:t>,</w:t>
      </w:r>
      <w:r w:rsidRPr="00351B7D">
        <w:rPr>
          <w:rFonts w:asciiTheme="minorBidi" w:hAnsiTheme="minorBidi"/>
          <w:rtl/>
        </w:rPr>
        <w:t xml:space="preserve"> ואי לרש"י הרי הוא ז"ל כתב (כו:) כשר לעדות דבעינן רשע דחמס</w:t>
      </w:r>
      <w:r>
        <w:rPr>
          <w:rFonts w:asciiTheme="minorBidi" w:hAnsiTheme="minorBidi" w:hint="cs"/>
          <w:rtl/>
        </w:rPr>
        <w:t>,</w:t>
      </w:r>
      <w:r w:rsidRPr="00351B7D">
        <w:rPr>
          <w:rFonts w:asciiTheme="minorBidi" w:hAnsiTheme="minorBidi"/>
          <w:rtl/>
        </w:rPr>
        <w:t xml:space="preserve"> וכיון דקיי</w:t>
      </w:r>
      <w:r>
        <w:rPr>
          <w:rFonts w:asciiTheme="minorBidi" w:hAnsiTheme="minorBidi" w:hint="cs"/>
          <w:rtl/>
        </w:rPr>
        <w:t>"</w:t>
      </w:r>
      <w:r w:rsidRPr="00351B7D">
        <w:rPr>
          <w:rFonts w:asciiTheme="minorBidi" w:hAnsiTheme="minorBidi"/>
          <w:rtl/>
        </w:rPr>
        <w:t>ל דלא בעינן רשע דחמס כמו שנתבאר בסימן זה (ס"ג) ממילא אידחי רב נחמן וקיי"ל כרב ששת דפסל, ב"י.</w:t>
      </w:r>
    </w:p>
  </w:footnote>
  <w:footnote w:id="2365">
    <w:p w14:paraId="03DFA406" w14:textId="77777777" w:rsidR="0013116F" w:rsidRPr="00845316" w:rsidRDefault="0013116F" w:rsidP="004B607F">
      <w:pPr>
        <w:pStyle w:val="a9"/>
        <w:spacing w:after="60"/>
        <w:rPr>
          <w:rFonts w:asciiTheme="minorBidi" w:hAnsiTheme="minorBidi"/>
        </w:rPr>
      </w:pPr>
      <w:r w:rsidRPr="00845316">
        <w:rPr>
          <w:rStyle w:val="ab"/>
          <w:rFonts w:asciiTheme="minorBidi" w:hAnsiTheme="minorBidi"/>
        </w:rPr>
        <w:footnoteRef/>
      </w:r>
      <w:r w:rsidRPr="00845316">
        <w:rPr>
          <w:rFonts w:asciiTheme="minorBidi" w:hAnsiTheme="minorBidi"/>
          <w:rtl/>
        </w:rPr>
        <w:t xml:space="preserve"> והעיר הב"י שבועל ארוסתו פסיל מדרבנן, אא"כ היא נדה. וכ' הדרכ"מ (אות ד) דה"ה הבא על הגויה דלא מיפסל אלא מדרבנן, דהא אינו אלא מגזירת בית דין של חשמונאי כמו שמפורש באהע"ז סי' ט"ז. (ונראה מדברי הב"י שפסול בועלי גויות הוא מדאו')</w:t>
      </w:r>
    </w:p>
  </w:footnote>
  <w:footnote w:id="2366">
    <w:p w14:paraId="35A435AC" w14:textId="77777777" w:rsidR="0013116F" w:rsidRPr="00845316" w:rsidRDefault="0013116F" w:rsidP="004B607F">
      <w:pPr>
        <w:pStyle w:val="a9"/>
        <w:spacing w:after="60"/>
        <w:rPr>
          <w:rFonts w:asciiTheme="minorBidi" w:hAnsiTheme="minorBidi"/>
        </w:rPr>
      </w:pPr>
      <w:r w:rsidRPr="00845316">
        <w:rPr>
          <w:rStyle w:val="ab"/>
          <w:rFonts w:asciiTheme="minorBidi" w:hAnsiTheme="minorBidi"/>
        </w:rPr>
        <w:footnoteRef/>
      </w:r>
      <w:r w:rsidRPr="00845316">
        <w:rPr>
          <w:rFonts w:asciiTheme="minorBidi" w:hAnsiTheme="minorBidi"/>
          <w:rtl/>
        </w:rPr>
        <w:t xml:space="preserve"> וכן נ"ל שפסק בדרכ"מ הארוך (אות ו).</w:t>
      </w:r>
    </w:p>
  </w:footnote>
  <w:footnote w:id="2367">
    <w:p w14:paraId="77ABE9DD" w14:textId="77777777" w:rsidR="0013116F" w:rsidRPr="00845316" w:rsidRDefault="0013116F" w:rsidP="004B607F">
      <w:pPr>
        <w:pStyle w:val="a9"/>
        <w:spacing w:after="60"/>
        <w:rPr>
          <w:rFonts w:asciiTheme="minorBidi" w:hAnsiTheme="minorBidi"/>
          <w:rtl/>
        </w:rPr>
      </w:pPr>
      <w:r w:rsidRPr="00845316">
        <w:rPr>
          <w:rStyle w:val="ab"/>
          <w:rFonts w:asciiTheme="minorBidi" w:hAnsiTheme="minorBidi"/>
        </w:rPr>
        <w:footnoteRef/>
      </w:r>
      <w:r w:rsidRPr="00845316">
        <w:rPr>
          <w:rFonts w:asciiTheme="minorBidi" w:hAnsiTheme="minorBidi"/>
          <w:rtl/>
        </w:rPr>
        <w:t xml:space="preserve"> שער כ"א ח"ב סי' ג (הובא בב"י), חיברו ר' שמואל הסרדי תלמיד הרמב"ן, נולד סביב ראשית האלף השישי (1240) וגר בברצלונה, ואין להחליפו ב'ספר התרומה' לרבי ברוך מוורמייזה.</w:t>
      </w:r>
    </w:p>
  </w:footnote>
  <w:footnote w:id="2368">
    <w:p w14:paraId="1937B015" w14:textId="77777777" w:rsidR="0013116F" w:rsidRPr="00845316" w:rsidRDefault="0013116F" w:rsidP="004B607F">
      <w:pPr>
        <w:pStyle w:val="a9"/>
        <w:spacing w:after="60"/>
        <w:rPr>
          <w:rFonts w:asciiTheme="minorBidi" w:hAnsiTheme="minorBidi"/>
        </w:rPr>
      </w:pPr>
      <w:r w:rsidRPr="00845316">
        <w:rPr>
          <w:rStyle w:val="ab"/>
          <w:rFonts w:asciiTheme="minorBidi" w:hAnsiTheme="minorBidi"/>
        </w:rPr>
        <w:footnoteRef/>
      </w:r>
      <w:r w:rsidRPr="00845316">
        <w:rPr>
          <w:rFonts w:asciiTheme="minorBidi" w:hAnsiTheme="minorBidi"/>
          <w:rtl/>
        </w:rPr>
        <w:t xml:space="preserve"> כגון אדם שמבקש מחברו שיחזיר לו את הרבית שלקח ממנו בעבור ההלוואה, ע"פ המהרש"ק (הובא בט"ז).</w:t>
      </w:r>
    </w:p>
  </w:footnote>
  <w:footnote w:id="2369">
    <w:p w14:paraId="086AE595" w14:textId="77777777" w:rsidR="0013116F" w:rsidRPr="00845316" w:rsidRDefault="0013116F" w:rsidP="004B607F">
      <w:pPr>
        <w:pStyle w:val="a9"/>
        <w:spacing w:after="60"/>
        <w:rPr>
          <w:rFonts w:asciiTheme="minorBidi" w:hAnsiTheme="minorBidi"/>
        </w:rPr>
      </w:pPr>
      <w:r w:rsidRPr="00845316">
        <w:rPr>
          <w:rStyle w:val="ab"/>
          <w:rFonts w:asciiTheme="minorBidi" w:hAnsiTheme="minorBidi"/>
        </w:rPr>
        <w:footnoteRef/>
      </w:r>
      <w:r w:rsidRPr="00845316">
        <w:rPr>
          <w:rFonts w:asciiTheme="minorBidi" w:hAnsiTheme="minorBidi"/>
          <w:rtl/>
        </w:rPr>
        <w:t xml:space="preserve"> דווקא שניים, אבל על פי עד אחד לא מיפסל כלל אפילו מדרבנן </w:t>
      </w:r>
      <w:r w:rsidRPr="00845316">
        <w:rPr>
          <w:rFonts w:asciiTheme="minorBidi" w:hAnsiTheme="minorBidi"/>
          <w:sz w:val="16"/>
          <w:szCs w:val="16"/>
          <w:rtl/>
        </w:rPr>
        <w:t>(ברכ"י [אות לא] ומהר"ש הלוי [אה"ע סי' יג])</w:t>
      </w:r>
      <w:r w:rsidRPr="00845316">
        <w:rPr>
          <w:rFonts w:asciiTheme="minorBidi" w:hAnsiTheme="minorBidi"/>
          <w:rtl/>
        </w:rPr>
        <w:t>, פת"ש (סקל"ח).</w:t>
      </w:r>
    </w:p>
  </w:footnote>
  <w:footnote w:id="2370">
    <w:p w14:paraId="07F63157" w14:textId="77777777" w:rsidR="0013116F" w:rsidRPr="00845316" w:rsidRDefault="0013116F" w:rsidP="004B607F">
      <w:pPr>
        <w:pStyle w:val="a9"/>
        <w:spacing w:after="60"/>
        <w:rPr>
          <w:rFonts w:asciiTheme="minorBidi" w:hAnsiTheme="minorBidi"/>
        </w:rPr>
      </w:pPr>
      <w:r w:rsidRPr="00845316">
        <w:rPr>
          <w:rStyle w:val="ab"/>
          <w:rFonts w:asciiTheme="minorBidi" w:hAnsiTheme="minorBidi"/>
        </w:rPr>
        <w:footnoteRef/>
      </w:r>
      <w:r w:rsidRPr="00845316">
        <w:rPr>
          <w:rFonts w:asciiTheme="minorBidi" w:hAnsiTheme="minorBidi"/>
          <w:rtl/>
        </w:rPr>
        <w:t xml:space="preserve"> ואפילו אם אמר אעשה תשובה ואוציא הריבית, דאערומי קמערים כדי שלא יעיד לחבירו, מרדכי (סי' תרצב). וכ"כ המחבר בסי' מ"ו סעל"ז באמרו העדים עשינו תשובה, סמ"ע (סע' קטן ס).</w:t>
      </w:r>
    </w:p>
  </w:footnote>
  <w:footnote w:id="2371">
    <w:p w14:paraId="0ACF9087" w14:textId="77777777" w:rsidR="0013116F" w:rsidRPr="00845316" w:rsidRDefault="0013116F" w:rsidP="004B607F">
      <w:pPr>
        <w:pStyle w:val="a9"/>
        <w:spacing w:after="60"/>
        <w:rPr>
          <w:rFonts w:asciiTheme="minorBidi" w:hAnsiTheme="minorBidi"/>
        </w:rPr>
      </w:pPr>
      <w:r w:rsidRPr="00845316">
        <w:rPr>
          <w:rStyle w:val="ab"/>
          <w:rFonts w:asciiTheme="minorBidi" w:hAnsiTheme="minorBidi"/>
        </w:rPr>
        <w:footnoteRef/>
      </w:r>
      <w:r w:rsidRPr="00845316">
        <w:rPr>
          <w:rFonts w:asciiTheme="minorBidi" w:hAnsiTheme="minorBidi"/>
          <w:rtl/>
        </w:rPr>
        <w:t xml:space="preserve"> רמב"ם הל' טוען ונטען פ"ב ה"ג. ופירוש "לכתחילה"- למסור לו עדות ולייחד אותו לעד, ע"פ ש"ך (סקכ"ז).</w:t>
      </w:r>
    </w:p>
  </w:footnote>
  <w:footnote w:id="2372">
    <w:p w14:paraId="57E84E2D" w14:textId="77777777" w:rsidR="0013116F" w:rsidRPr="00845316" w:rsidRDefault="0013116F" w:rsidP="004B607F">
      <w:pPr>
        <w:pStyle w:val="a9"/>
        <w:spacing w:after="60"/>
        <w:rPr>
          <w:rFonts w:asciiTheme="minorBidi" w:hAnsiTheme="minorBidi"/>
          <w:rtl/>
        </w:rPr>
      </w:pPr>
      <w:r w:rsidRPr="00845316">
        <w:rPr>
          <w:rStyle w:val="ab"/>
          <w:rFonts w:asciiTheme="minorBidi" w:hAnsiTheme="minorBidi"/>
        </w:rPr>
        <w:footnoteRef/>
      </w:r>
      <w:r w:rsidRPr="00845316">
        <w:rPr>
          <w:rFonts w:asciiTheme="minorBidi" w:hAnsiTheme="minorBidi"/>
          <w:rtl/>
        </w:rPr>
        <w:t xml:space="preserve"> אך הב"ח</w:t>
      </w:r>
      <w:r w:rsidRPr="00845316">
        <w:rPr>
          <w:rFonts w:asciiTheme="minorBidi" w:hAnsiTheme="minorBidi"/>
          <w:sz w:val="16"/>
          <w:szCs w:val="16"/>
          <w:rtl/>
        </w:rPr>
        <w:t xml:space="preserve"> (סע' ח) </w:t>
      </w:r>
      <w:r w:rsidRPr="00845316">
        <w:rPr>
          <w:rFonts w:asciiTheme="minorBidi" w:hAnsiTheme="minorBidi"/>
          <w:rtl/>
        </w:rPr>
        <w:t xml:space="preserve">כ' דלכתחלה יש להחמיר שלא להוציא ממון בעדות החשוד על העריות, וסיים שם- "וכדעת המרדכי ודלא כהרמ"א בהגהותיו בשו"ע בסימן זה סעיף כ"ה דמיקל". </w:t>
      </w:r>
      <w:r w:rsidRPr="00845316">
        <w:rPr>
          <w:rFonts w:asciiTheme="minorBidi" w:hAnsiTheme="minorBidi"/>
          <w:color w:val="FF0000"/>
          <w:sz w:val="16"/>
          <w:szCs w:val="16"/>
          <w:rtl/>
        </w:rPr>
        <w:t>(ויש להעיר שלפני שכ' דבר זה העתיק את לשון המרדכי (סי' תרצה) וז"ל- "חשוד על העריות כשר לעדות דוקא חשוד אבל בא על ערוה בודאי פסול לעדות לכו"ע וכו", ונראה מדבריו שהם כדברי הרמ"א לגבי חשוד על העריות, וגם בדין הבא על ערוה הרמ"א מודה, שהרי בכה"ג פסול לכו"ע, וא"כ קשה לי להבין איך כ' הב"ח שהמרדכי פוסל לעדות ממון את החשוד על העריות, וצל"ע)</w:t>
      </w:r>
    </w:p>
  </w:footnote>
  <w:footnote w:id="2373">
    <w:p w14:paraId="060C0AF7" w14:textId="77777777" w:rsidR="0013116F" w:rsidRPr="00845316" w:rsidRDefault="0013116F" w:rsidP="004B607F">
      <w:pPr>
        <w:pStyle w:val="a9"/>
        <w:spacing w:after="60"/>
        <w:rPr>
          <w:rFonts w:asciiTheme="minorBidi" w:hAnsiTheme="minorBidi"/>
          <w:rtl/>
        </w:rPr>
      </w:pPr>
      <w:r w:rsidRPr="00845316">
        <w:rPr>
          <w:rStyle w:val="ab"/>
          <w:rFonts w:asciiTheme="minorBidi" w:hAnsiTheme="minorBidi"/>
        </w:rPr>
        <w:footnoteRef/>
      </w:r>
      <w:r w:rsidRPr="00845316">
        <w:rPr>
          <w:rFonts w:asciiTheme="minorBidi" w:hAnsiTheme="minorBidi"/>
          <w:rtl/>
        </w:rPr>
        <w:t xml:space="preserve"> וכעין זה כ' הרמ"א </w:t>
      </w:r>
      <w:r w:rsidRPr="00845316">
        <w:rPr>
          <w:rFonts w:asciiTheme="minorBidi" w:hAnsiTheme="minorBidi"/>
          <w:sz w:val="16"/>
          <w:szCs w:val="16"/>
          <w:rtl/>
        </w:rPr>
        <w:t xml:space="preserve">(בשו"ת סי' ל) </w:t>
      </w:r>
      <w:r w:rsidRPr="00845316">
        <w:rPr>
          <w:rFonts w:asciiTheme="minorBidi" w:hAnsiTheme="minorBidi"/>
          <w:rtl/>
        </w:rPr>
        <w:t xml:space="preserve">בשם המרדכי </w:t>
      </w:r>
      <w:r w:rsidRPr="00845316">
        <w:rPr>
          <w:rFonts w:asciiTheme="minorBidi" w:hAnsiTheme="minorBidi"/>
          <w:sz w:val="16"/>
          <w:szCs w:val="16"/>
          <w:rtl/>
        </w:rPr>
        <w:t>(דאם בא להעיד לטובתו וע"י זה משים עצמו רשע נאמן)</w:t>
      </w:r>
      <w:r w:rsidRPr="00845316">
        <w:rPr>
          <w:rFonts w:asciiTheme="minorBidi" w:hAnsiTheme="minorBidi"/>
          <w:rtl/>
        </w:rPr>
        <w:t xml:space="preserve">, והביא כנה"ג </w:t>
      </w:r>
      <w:r w:rsidRPr="00845316">
        <w:rPr>
          <w:rFonts w:asciiTheme="minorBidi" w:hAnsiTheme="minorBidi"/>
          <w:sz w:val="16"/>
          <w:szCs w:val="16"/>
          <w:rtl/>
        </w:rPr>
        <w:t>(הגה"ט אות סב)</w:t>
      </w:r>
      <w:r w:rsidRPr="00845316">
        <w:rPr>
          <w:rFonts w:asciiTheme="minorBidi" w:hAnsiTheme="minorBidi"/>
          <w:rtl/>
        </w:rPr>
        <w:t xml:space="preserve"> את דברי הרמ"א וסיים על זה- "ובדקתי במרדכי דהחולץ ולא מצאתי".</w:t>
      </w:r>
    </w:p>
  </w:footnote>
  <w:footnote w:id="2374">
    <w:p w14:paraId="170D4773" w14:textId="77777777" w:rsidR="0013116F" w:rsidRPr="00845316" w:rsidRDefault="0013116F" w:rsidP="004B607F">
      <w:pPr>
        <w:pStyle w:val="a9"/>
        <w:spacing w:after="60"/>
        <w:rPr>
          <w:rFonts w:asciiTheme="minorBidi" w:hAnsiTheme="minorBidi"/>
          <w:rtl/>
        </w:rPr>
      </w:pPr>
      <w:r w:rsidRPr="00845316">
        <w:rPr>
          <w:rStyle w:val="ab"/>
          <w:rFonts w:asciiTheme="minorBidi" w:hAnsiTheme="minorBidi"/>
        </w:rPr>
        <w:footnoteRef/>
      </w:r>
      <w:r w:rsidRPr="00845316">
        <w:rPr>
          <w:rFonts w:asciiTheme="minorBidi" w:hAnsiTheme="minorBidi"/>
          <w:rtl/>
        </w:rPr>
        <w:t xml:space="preserve"> ראב"ן </w:t>
      </w:r>
      <w:r w:rsidRPr="00845316">
        <w:rPr>
          <w:rFonts w:asciiTheme="minorBidi" w:hAnsiTheme="minorBidi"/>
          <w:sz w:val="16"/>
          <w:szCs w:val="16"/>
          <w:rtl/>
        </w:rPr>
        <w:t>(הובא במרדכי דב"ב סי' תקכ"ח)</w:t>
      </w:r>
      <w:r w:rsidRPr="00845316">
        <w:rPr>
          <w:rFonts w:asciiTheme="minorBidi" w:hAnsiTheme="minorBidi"/>
          <w:rtl/>
        </w:rPr>
        <w:t xml:space="preserve"> רשב"א </w:t>
      </w:r>
      <w:r w:rsidRPr="00845316">
        <w:rPr>
          <w:rFonts w:asciiTheme="minorBidi" w:hAnsiTheme="minorBidi"/>
          <w:sz w:val="16"/>
          <w:szCs w:val="16"/>
          <w:rtl/>
        </w:rPr>
        <w:t>(בתשובה ח"א סי' תתל"ז)</w:t>
      </w:r>
      <w:r w:rsidRPr="00845316">
        <w:rPr>
          <w:rFonts w:asciiTheme="minorBidi" w:hAnsiTheme="minorBidi"/>
          <w:rtl/>
        </w:rPr>
        <w:t xml:space="preserve"> מהרי"ק </w:t>
      </w:r>
      <w:r w:rsidRPr="00845316">
        <w:rPr>
          <w:rFonts w:asciiTheme="minorBidi" w:hAnsiTheme="minorBidi"/>
          <w:sz w:val="16"/>
          <w:szCs w:val="16"/>
          <w:rtl/>
        </w:rPr>
        <w:t xml:space="preserve">(סי' לג) </w:t>
      </w:r>
      <w:r w:rsidRPr="00845316">
        <w:rPr>
          <w:rFonts w:asciiTheme="minorBidi" w:hAnsiTheme="minorBidi"/>
          <w:rtl/>
        </w:rPr>
        <w:t xml:space="preserve">רשד"ם </w:t>
      </w:r>
      <w:r w:rsidRPr="00845316">
        <w:rPr>
          <w:rFonts w:asciiTheme="minorBidi" w:hAnsiTheme="minorBidi"/>
          <w:sz w:val="16"/>
          <w:szCs w:val="16"/>
          <w:rtl/>
        </w:rPr>
        <w:t xml:space="preserve">(יו"ד סי' רטו) </w:t>
      </w:r>
      <w:r w:rsidRPr="00845316">
        <w:rPr>
          <w:rFonts w:asciiTheme="minorBidi" w:hAnsiTheme="minorBidi"/>
          <w:rtl/>
        </w:rPr>
        <w:t xml:space="preserve">ומשפטי צדק </w:t>
      </w:r>
      <w:r w:rsidRPr="00845316">
        <w:rPr>
          <w:rFonts w:asciiTheme="minorBidi" w:hAnsiTheme="minorBidi"/>
          <w:sz w:val="16"/>
          <w:szCs w:val="16"/>
          <w:rtl/>
        </w:rPr>
        <w:t>(ח"ב סי' מט)</w:t>
      </w:r>
      <w:r w:rsidRPr="00845316">
        <w:rPr>
          <w:rFonts w:asciiTheme="minorBidi" w:hAnsiTheme="minorBidi"/>
          <w:rtl/>
        </w:rPr>
        <w:t>.</w:t>
      </w:r>
    </w:p>
  </w:footnote>
  <w:footnote w:id="2375">
    <w:p w14:paraId="737AD693" w14:textId="77777777" w:rsidR="0013116F" w:rsidRPr="00845316" w:rsidRDefault="0013116F" w:rsidP="004B607F">
      <w:pPr>
        <w:pStyle w:val="a9"/>
        <w:spacing w:after="60"/>
        <w:rPr>
          <w:rFonts w:asciiTheme="minorBidi" w:hAnsiTheme="minorBidi"/>
          <w:rtl/>
        </w:rPr>
      </w:pPr>
      <w:r w:rsidRPr="00845316">
        <w:rPr>
          <w:rStyle w:val="ab"/>
          <w:rFonts w:asciiTheme="minorBidi" w:hAnsiTheme="minorBidi"/>
        </w:rPr>
        <w:footnoteRef/>
      </w:r>
      <w:r w:rsidRPr="00845316">
        <w:rPr>
          <w:rFonts w:asciiTheme="minorBidi" w:hAnsiTheme="minorBidi"/>
          <w:rtl/>
        </w:rPr>
        <w:t xml:space="preserve"> וא"כ הא מבואר במסכת יבמות (דף פח: ודף קיז:), דכל מקום דעד אחד נאמן, אף שתי נשים ופסולים ונוגעים ג"כ נאמנים, ואף לפי לישנא בתרא שם עכ"פ חשיבי ב' פסולים כעד אחד, שו"ת שמן רוקח (ח"א סי' ס"א).</w:t>
      </w:r>
    </w:p>
  </w:footnote>
  <w:footnote w:id="2376">
    <w:p w14:paraId="4A86B066" w14:textId="77777777" w:rsidR="0013116F" w:rsidRDefault="0013116F" w:rsidP="004B607F">
      <w:pPr>
        <w:pStyle w:val="a9"/>
      </w:pPr>
      <w:r>
        <w:rPr>
          <w:rStyle w:val="ab"/>
        </w:rPr>
        <w:footnoteRef/>
      </w:r>
      <w:r>
        <w:rPr>
          <w:rtl/>
        </w:rPr>
        <w:t xml:space="preserve"> </w:t>
      </w:r>
      <w:r>
        <w:rPr>
          <w:rFonts w:hint="cs"/>
          <w:rtl/>
        </w:rPr>
        <w:t xml:space="preserve">סימן </w:t>
      </w:r>
      <w:r>
        <w:rPr>
          <w:rtl/>
        </w:rPr>
        <w:t>–</w:t>
      </w:r>
      <w:r>
        <w:rPr>
          <w:rFonts w:hint="cs"/>
          <w:rtl/>
        </w:rPr>
        <w:t xml:space="preserve"> טמא לטעמו, טהור. וכן </w:t>
      </w:r>
      <w:r>
        <w:rPr>
          <w:rtl/>
        </w:rPr>
        <w:t>–</w:t>
      </w:r>
      <w:r>
        <w:rPr>
          <w:rFonts w:hint="cs"/>
          <w:rtl/>
        </w:rPr>
        <w:t xml:space="preserve"> טימא תורו.</w:t>
      </w:r>
    </w:p>
  </w:footnote>
  <w:footnote w:id="2377">
    <w:p w14:paraId="2C2A2195" w14:textId="77777777" w:rsidR="0013116F" w:rsidRPr="00845316" w:rsidRDefault="0013116F" w:rsidP="004B607F">
      <w:pPr>
        <w:pStyle w:val="a9"/>
        <w:spacing w:after="60"/>
        <w:rPr>
          <w:rFonts w:asciiTheme="minorBidi" w:hAnsiTheme="minorBidi"/>
        </w:rPr>
      </w:pPr>
      <w:r w:rsidRPr="00845316">
        <w:rPr>
          <w:rStyle w:val="ab"/>
          <w:rFonts w:asciiTheme="minorBidi" w:hAnsiTheme="minorBidi"/>
        </w:rPr>
        <w:footnoteRef/>
      </w:r>
      <w:r w:rsidRPr="00845316">
        <w:rPr>
          <w:rFonts w:asciiTheme="minorBidi" w:hAnsiTheme="minorBidi"/>
          <w:rtl/>
        </w:rPr>
        <w:t xml:space="preserve"> במשכב זכור, על כרחו.</w:t>
      </w:r>
    </w:p>
  </w:footnote>
  <w:footnote w:id="2378">
    <w:p w14:paraId="67571383" w14:textId="77777777" w:rsidR="0013116F" w:rsidRPr="00845316" w:rsidRDefault="0013116F" w:rsidP="004B607F">
      <w:pPr>
        <w:pStyle w:val="a9"/>
        <w:spacing w:after="60"/>
        <w:rPr>
          <w:rFonts w:asciiTheme="minorBidi" w:hAnsiTheme="minorBidi"/>
          <w:rtl/>
        </w:rPr>
      </w:pPr>
      <w:r w:rsidRPr="00845316">
        <w:rPr>
          <w:rStyle w:val="ab"/>
          <w:rFonts w:asciiTheme="minorBidi" w:hAnsiTheme="minorBidi"/>
        </w:rPr>
        <w:footnoteRef/>
      </w:r>
      <w:r w:rsidRPr="00845316">
        <w:rPr>
          <w:rFonts w:asciiTheme="minorBidi" w:hAnsiTheme="minorBidi"/>
          <w:rtl/>
        </w:rPr>
        <w:t xml:space="preserve"> הנרבע הזה כשר להעיד עליו, ואם יש אחר עמו נהרג הרובע על פיהם, רש"י.</w:t>
      </w:r>
    </w:p>
  </w:footnote>
  <w:footnote w:id="2379">
    <w:p w14:paraId="1294863F" w14:textId="77777777" w:rsidR="0013116F" w:rsidRPr="00845316" w:rsidRDefault="0013116F" w:rsidP="004B607F">
      <w:pPr>
        <w:spacing w:after="60" w:line="240" w:lineRule="auto"/>
        <w:rPr>
          <w:rFonts w:asciiTheme="minorBidi" w:hAnsiTheme="minorBidi"/>
          <w:sz w:val="20"/>
          <w:szCs w:val="20"/>
          <w:rtl/>
        </w:rPr>
      </w:pPr>
      <w:r w:rsidRPr="00845316">
        <w:rPr>
          <w:rStyle w:val="ab"/>
          <w:rFonts w:asciiTheme="minorBidi" w:hAnsiTheme="minorBidi"/>
        </w:rPr>
        <w:footnoteRef/>
      </w:r>
      <w:r w:rsidRPr="00845316">
        <w:rPr>
          <w:rFonts w:asciiTheme="minorBidi" w:hAnsiTheme="minorBidi"/>
          <w:sz w:val="20"/>
          <w:szCs w:val="20"/>
          <w:rtl/>
        </w:rPr>
        <w:t xml:space="preserve"> אין אדם נפסל לעדות בהודאת פיו, דאדם קרוב אצל עצמו, הלכך אין אדם יכול לשום עצמו רשע, כלומר על עדות עצמו אינו נעשה רשע, שהרי תורה פסלה קרוב לעדות, ונהרג הרובע, דפלגינן דיבורא ומהימנינן ליה לגבי חבריה, ולא מהימנינן ליה לגבי דידיה לפסול לעדות, רש"י.</w:t>
      </w:r>
    </w:p>
  </w:footnote>
  <w:footnote w:id="2380">
    <w:p w14:paraId="66EEE9D0" w14:textId="77777777" w:rsidR="0013116F" w:rsidRPr="00845316" w:rsidRDefault="0013116F" w:rsidP="004B607F">
      <w:pPr>
        <w:pStyle w:val="a9"/>
        <w:spacing w:after="60"/>
        <w:rPr>
          <w:rFonts w:asciiTheme="minorBidi" w:hAnsiTheme="minorBidi"/>
        </w:rPr>
      </w:pPr>
      <w:r w:rsidRPr="00845316">
        <w:rPr>
          <w:rStyle w:val="ab"/>
          <w:rFonts w:asciiTheme="minorBidi" w:hAnsiTheme="minorBidi"/>
        </w:rPr>
        <w:footnoteRef/>
      </w:r>
      <w:r w:rsidRPr="00845316">
        <w:rPr>
          <w:rFonts w:asciiTheme="minorBidi" w:hAnsiTheme="minorBidi"/>
          <w:rtl/>
        </w:rPr>
        <w:t xml:space="preserve"> לפי שקרוב הוא אצלה, ואף על גב דמהימנינן ליה בהאי סהדותא לגבי חבריה, לא מהימנינן ליה לגבי אשתו, והיינו פלגינן דיבורא, דהא חד דיבורא הוא ולגבי האי מהימן, ולא מהימן לגבי האי, רש"י.</w:t>
      </w:r>
    </w:p>
  </w:footnote>
  <w:footnote w:id="2381">
    <w:p w14:paraId="768CC2FA" w14:textId="77777777" w:rsidR="0013116F" w:rsidRPr="00845316" w:rsidRDefault="0013116F" w:rsidP="004B607F">
      <w:pPr>
        <w:pStyle w:val="a9"/>
        <w:spacing w:after="60"/>
        <w:rPr>
          <w:rFonts w:asciiTheme="minorBidi" w:hAnsiTheme="minorBidi"/>
          <w:rtl/>
        </w:rPr>
      </w:pPr>
      <w:r w:rsidRPr="00845316">
        <w:rPr>
          <w:rStyle w:val="ab"/>
          <w:rFonts w:asciiTheme="minorBidi" w:hAnsiTheme="minorBidi"/>
        </w:rPr>
        <w:footnoteRef/>
      </w:r>
      <w:r w:rsidRPr="00845316">
        <w:rPr>
          <w:rFonts w:asciiTheme="minorBidi" w:hAnsiTheme="minorBidi"/>
          <w:rtl/>
        </w:rPr>
        <w:t xml:space="preserve"> אדם קרוב לענין פלגינן דיבורא, והואיל ומהימן אההוא דיבורא למיקטליה לחבריה, ליקטלוה נמי לדידה - קא משמע לן, רש"י.</w:t>
      </w:r>
    </w:p>
  </w:footnote>
  <w:footnote w:id="2382">
    <w:p w14:paraId="1120D8AD" w14:textId="77777777" w:rsidR="0013116F" w:rsidRPr="00845316" w:rsidRDefault="0013116F" w:rsidP="004B607F">
      <w:pPr>
        <w:pStyle w:val="a9"/>
        <w:spacing w:after="60"/>
        <w:rPr>
          <w:rFonts w:asciiTheme="minorBidi" w:hAnsiTheme="minorBidi"/>
          <w:rtl/>
        </w:rPr>
      </w:pPr>
      <w:r w:rsidRPr="00845316">
        <w:rPr>
          <w:rStyle w:val="ab"/>
          <w:rFonts w:asciiTheme="minorBidi" w:hAnsiTheme="minorBidi"/>
        </w:rPr>
        <w:footnoteRef/>
      </w:r>
      <w:r w:rsidRPr="00845316">
        <w:rPr>
          <w:rFonts w:asciiTheme="minorBidi" w:hAnsiTheme="minorBidi"/>
          <w:rtl/>
        </w:rPr>
        <w:t xml:space="preserve"> הוא ואחר מצטרף עמו, רש"י. </w:t>
      </w:r>
    </w:p>
  </w:footnote>
  <w:footnote w:id="2383">
    <w:p w14:paraId="34250F09" w14:textId="77777777" w:rsidR="0013116F" w:rsidRPr="00845316" w:rsidRDefault="0013116F" w:rsidP="004B607F">
      <w:pPr>
        <w:pStyle w:val="a9"/>
        <w:spacing w:after="60"/>
        <w:rPr>
          <w:rFonts w:asciiTheme="minorBidi" w:hAnsiTheme="minorBidi"/>
        </w:rPr>
      </w:pPr>
      <w:r w:rsidRPr="00845316">
        <w:rPr>
          <w:rStyle w:val="ab"/>
          <w:rFonts w:asciiTheme="minorBidi" w:hAnsiTheme="minorBidi"/>
        </w:rPr>
        <w:footnoteRef/>
      </w:r>
      <w:r w:rsidRPr="00845316">
        <w:rPr>
          <w:rFonts w:asciiTheme="minorBidi" w:hAnsiTheme="minorBidi"/>
          <w:rtl/>
        </w:rPr>
        <w:t xml:space="preserve"> פלוני ודאי מיקטיל, אלא שור מי מיקטיל, רש"י.</w:t>
      </w:r>
    </w:p>
  </w:footnote>
  <w:footnote w:id="2384">
    <w:p w14:paraId="0CBE89DD" w14:textId="77777777" w:rsidR="0013116F" w:rsidRDefault="0013116F" w:rsidP="004B607F">
      <w:pPr>
        <w:pStyle w:val="a9"/>
        <w:rPr>
          <w:rtl/>
        </w:rPr>
      </w:pPr>
      <w:r>
        <w:rPr>
          <w:rStyle w:val="ab"/>
        </w:rPr>
        <w:footnoteRef/>
      </w:r>
      <w:r>
        <w:rPr>
          <w:rtl/>
        </w:rPr>
        <w:t xml:space="preserve"> </w:t>
      </w:r>
      <w:r w:rsidRPr="00663F97">
        <w:rPr>
          <w:rFonts w:asciiTheme="minorBidi" w:hAnsiTheme="minorBidi"/>
          <w:rtl/>
        </w:rPr>
        <w:t>ואע"פ שאין דיני נפשות נוהגים בזמן הזה כתב הטור דינים אלו שמהם נלמד שהוא נאמן לפסלו, ב"י</w:t>
      </w:r>
      <w:r>
        <w:rPr>
          <w:rFonts w:hint="cs"/>
          <w:rtl/>
        </w:rPr>
        <w:t>.</w:t>
      </w:r>
      <w:r w:rsidRPr="00C63634">
        <w:rPr>
          <w:rFonts w:hint="cs"/>
          <w:color w:val="E36C0A" w:themeColor="accent6" w:themeShade="BF"/>
          <w:rtl/>
        </w:rPr>
        <w:t xml:space="preserve"> (וכ"פ בשו"ע)</w:t>
      </w:r>
    </w:p>
  </w:footnote>
  <w:footnote w:id="2385">
    <w:p w14:paraId="04BBA29A" w14:textId="77777777" w:rsidR="0013116F" w:rsidRPr="00845316" w:rsidRDefault="0013116F" w:rsidP="004B607F">
      <w:pPr>
        <w:pStyle w:val="a9"/>
        <w:spacing w:after="60"/>
        <w:rPr>
          <w:rFonts w:asciiTheme="minorBidi" w:hAnsiTheme="minorBidi"/>
          <w:rtl/>
        </w:rPr>
      </w:pPr>
      <w:r w:rsidRPr="00845316">
        <w:rPr>
          <w:rStyle w:val="ab"/>
          <w:rFonts w:asciiTheme="minorBidi" w:hAnsiTheme="minorBidi"/>
        </w:rPr>
        <w:footnoteRef/>
      </w:r>
      <w:r w:rsidRPr="00845316">
        <w:rPr>
          <w:rFonts w:asciiTheme="minorBidi" w:hAnsiTheme="minorBidi"/>
          <w:rtl/>
        </w:rPr>
        <w:t xml:space="preserve"> וכ' מהרש"ק (הובא בט"ז) שדעת הרא"ש (מכות סי' יג) היא כהראב"ד וצ"ע על הטור למה סתם דעתו דלא כאביו.</w:t>
      </w:r>
    </w:p>
  </w:footnote>
  <w:footnote w:id="2386">
    <w:p w14:paraId="2D59B414" w14:textId="77777777" w:rsidR="0013116F" w:rsidRPr="00845316" w:rsidRDefault="0013116F" w:rsidP="004B607F">
      <w:pPr>
        <w:pStyle w:val="a9"/>
        <w:spacing w:after="60"/>
        <w:rPr>
          <w:rFonts w:asciiTheme="minorBidi" w:hAnsiTheme="minorBidi"/>
          <w:rtl/>
        </w:rPr>
      </w:pPr>
      <w:r w:rsidRPr="00845316">
        <w:rPr>
          <w:rStyle w:val="ab"/>
          <w:rFonts w:asciiTheme="minorBidi" w:hAnsiTheme="minorBidi"/>
        </w:rPr>
        <w:footnoteRef/>
      </w:r>
      <w:r w:rsidRPr="00845316">
        <w:rPr>
          <w:rFonts w:asciiTheme="minorBidi" w:hAnsiTheme="minorBidi"/>
          <w:rtl/>
        </w:rPr>
        <w:t xml:space="preserve"> מרדכי בשם ראבי"ה</w:t>
      </w:r>
      <w:r w:rsidRPr="00845316">
        <w:rPr>
          <w:rFonts w:asciiTheme="minorBidi" w:hAnsiTheme="minorBidi"/>
          <w:sz w:val="16"/>
          <w:szCs w:val="16"/>
          <w:rtl/>
        </w:rPr>
        <w:t xml:space="preserve"> (סנהדרין סי' תרצג)</w:t>
      </w:r>
      <w:r w:rsidRPr="00845316">
        <w:rPr>
          <w:rFonts w:asciiTheme="minorBidi" w:hAnsiTheme="minorBidi"/>
          <w:rtl/>
        </w:rPr>
        <w:t xml:space="preserve"> (רמב"ם</w:t>
      </w:r>
      <w:r w:rsidRPr="00845316">
        <w:rPr>
          <w:rFonts w:asciiTheme="minorBidi" w:hAnsiTheme="minorBidi"/>
          <w:sz w:val="16"/>
          <w:szCs w:val="16"/>
          <w:rtl/>
        </w:rPr>
        <w:t xml:space="preserve"> [פי"ב ה"ב]</w:t>
      </w:r>
      <w:r w:rsidRPr="00845316">
        <w:rPr>
          <w:rFonts w:asciiTheme="minorBidi" w:hAnsiTheme="minorBidi"/>
          <w:rtl/>
        </w:rPr>
        <w:t xml:space="preserve"> ושו"ע </w:t>
      </w:r>
      <w:r w:rsidRPr="00845316">
        <w:rPr>
          <w:rFonts w:asciiTheme="minorBidi" w:hAnsiTheme="minorBidi"/>
          <w:sz w:val="16"/>
          <w:szCs w:val="16"/>
          <w:rtl/>
        </w:rPr>
        <w:t>להב' הש"ך [סקכ"ח]</w:t>
      </w:r>
      <w:r w:rsidRPr="00845316">
        <w:rPr>
          <w:rFonts w:asciiTheme="minorBidi" w:hAnsiTheme="minorBidi"/>
          <w:rtl/>
        </w:rPr>
        <w:t>).</w:t>
      </w:r>
    </w:p>
  </w:footnote>
  <w:footnote w:id="2387">
    <w:p w14:paraId="655E3DB4" w14:textId="77777777" w:rsidR="0013116F" w:rsidRPr="00845316" w:rsidRDefault="0013116F" w:rsidP="004B607F">
      <w:pPr>
        <w:pStyle w:val="a9"/>
        <w:spacing w:after="60"/>
        <w:rPr>
          <w:rFonts w:asciiTheme="minorBidi" w:hAnsiTheme="minorBidi"/>
          <w:rtl/>
        </w:rPr>
      </w:pPr>
      <w:r w:rsidRPr="00845316">
        <w:rPr>
          <w:rStyle w:val="ab"/>
          <w:rFonts w:asciiTheme="minorBidi" w:hAnsiTheme="minorBidi"/>
        </w:rPr>
        <w:footnoteRef/>
      </w:r>
      <w:r w:rsidRPr="00845316">
        <w:rPr>
          <w:rFonts w:asciiTheme="minorBidi" w:hAnsiTheme="minorBidi"/>
          <w:rtl/>
        </w:rPr>
        <w:t xml:space="preserve"> דהרמ"א סתם כמרדכי וז"ל- "ה"ה שהנגזל יכול להעיד... כמו הלוה... ובלבד שלא יהא להם הנאה מעדותן". ואין מדברי המחבר שום ראיה דסבירא ליה דלא כמרדכי, דהא מעתיק רק לשון גמ', וכמו שיש לפרש לשון הגמ' כך יש לפרש בלשון הרמב"ם ומחבר, ש"ך</w:t>
      </w:r>
      <w:r w:rsidRPr="00845316">
        <w:rPr>
          <w:rFonts w:asciiTheme="minorBidi" w:hAnsiTheme="minorBidi"/>
          <w:sz w:val="16"/>
          <w:szCs w:val="16"/>
          <w:rtl/>
        </w:rPr>
        <w:t xml:space="preserve"> (סקכ"ח)</w:t>
      </w:r>
      <w:r w:rsidRPr="00845316">
        <w:rPr>
          <w:rFonts w:asciiTheme="minorBidi" w:hAnsiTheme="minorBidi"/>
          <w:rtl/>
        </w:rPr>
        <w:t xml:space="preserve"> ואורים </w:t>
      </w:r>
      <w:r w:rsidRPr="00845316">
        <w:rPr>
          <w:rFonts w:asciiTheme="minorBidi" w:hAnsiTheme="minorBidi"/>
          <w:sz w:val="16"/>
          <w:szCs w:val="16"/>
          <w:rtl/>
        </w:rPr>
        <w:t>(סקנ"ו)</w:t>
      </w:r>
      <w:r w:rsidRPr="00845316">
        <w:rPr>
          <w:rFonts w:asciiTheme="minorBidi" w:hAnsiTheme="minorBidi"/>
          <w:rtl/>
        </w:rPr>
        <w:t>.</w:t>
      </w:r>
      <w:r w:rsidRPr="00845316">
        <w:rPr>
          <w:rFonts w:asciiTheme="minorBidi" w:hAnsiTheme="minorBidi"/>
          <w:sz w:val="16"/>
          <w:szCs w:val="16"/>
          <w:rtl/>
        </w:rPr>
        <w:t xml:space="preserve"> (ועוד שהב"י </w:t>
      </w:r>
      <w:r w:rsidRPr="00845316">
        <w:rPr>
          <w:rFonts w:asciiTheme="minorBidi" w:hAnsiTheme="minorBidi"/>
          <w:sz w:val="14"/>
          <w:szCs w:val="14"/>
          <w:rtl/>
        </w:rPr>
        <w:t xml:space="preserve">(כו [א]) </w:t>
      </w:r>
      <w:r w:rsidRPr="00845316">
        <w:rPr>
          <w:rFonts w:asciiTheme="minorBidi" w:hAnsiTheme="minorBidi"/>
          <w:sz w:val="16"/>
          <w:szCs w:val="16"/>
          <w:rtl/>
        </w:rPr>
        <w:t>הביא את דברי המרדכי בשם הראבי"ה, ואולם, את דברי הריב"ש לא הביא אלא רק כ' לעיין בתשובותיו)</w:t>
      </w:r>
    </w:p>
  </w:footnote>
  <w:footnote w:id="2388">
    <w:p w14:paraId="6B720572" w14:textId="77777777" w:rsidR="0013116F" w:rsidRPr="00845316" w:rsidRDefault="0013116F" w:rsidP="004B607F">
      <w:pPr>
        <w:pStyle w:val="a9"/>
        <w:spacing w:after="60"/>
        <w:rPr>
          <w:rFonts w:asciiTheme="minorBidi" w:hAnsiTheme="minorBidi"/>
          <w:rtl/>
        </w:rPr>
      </w:pPr>
      <w:r w:rsidRPr="00845316">
        <w:rPr>
          <w:rStyle w:val="ab"/>
          <w:rFonts w:asciiTheme="minorBidi" w:hAnsiTheme="minorBidi"/>
        </w:rPr>
        <w:footnoteRef/>
      </w:r>
      <w:r w:rsidRPr="00845316">
        <w:rPr>
          <w:rFonts w:asciiTheme="minorBidi" w:hAnsiTheme="minorBidi"/>
          <w:rtl/>
        </w:rPr>
        <w:t xml:space="preserve"> דכשאומר פלוני הלוה לי בריבית הוא מעיד על חבירו שהלוה ועל עצמו שלוה, פלגינן דיבוריה, וכאילו אומר פלוני הלוה בריבית ולא אמר לי, סמ"ע (ס"ק ס"ג).</w:t>
      </w:r>
    </w:p>
  </w:footnote>
  <w:footnote w:id="2389">
    <w:p w14:paraId="1047C534" w14:textId="77777777" w:rsidR="0013116F" w:rsidRPr="00845316" w:rsidRDefault="0013116F" w:rsidP="004B607F">
      <w:pPr>
        <w:pStyle w:val="a9"/>
        <w:spacing w:after="60"/>
        <w:rPr>
          <w:rFonts w:asciiTheme="minorBidi" w:hAnsiTheme="minorBidi"/>
          <w:rtl/>
        </w:rPr>
      </w:pPr>
      <w:r w:rsidRPr="00845316">
        <w:rPr>
          <w:rStyle w:val="ab"/>
          <w:rFonts w:asciiTheme="minorBidi" w:hAnsiTheme="minorBidi"/>
        </w:rPr>
        <w:footnoteRef/>
      </w:r>
      <w:r w:rsidRPr="00845316">
        <w:rPr>
          <w:rFonts w:asciiTheme="minorBidi" w:hAnsiTheme="minorBidi"/>
          <w:rtl/>
        </w:rPr>
        <w:t xml:space="preserve"> ואם אותו האיש שבא על האשה בא בעצמו להעיד ג"כ פלגינן דיבורו, ומ"מ "דוקא כשאמר אשתך זנתה עמי פלגינן דבורא, אבל אם אמר אני זניתי עם אשתך לא פלגינן דבורא", רשב"א (סי' אלף רל"ז). </w:t>
      </w:r>
    </w:p>
  </w:footnote>
  <w:footnote w:id="2390">
    <w:p w14:paraId="2C6506D3" w14:textId="77777777" w:rsidR="0013116F" w:rsidRPr="00845316" w:rsidRDefault="0013116F" w:rsidP="004B607F">
      <w:pPr>
        <w:pStyle w:val="a9"/>
        <w:spacing w:after="60"/>
        <w:rPr>
          <w:rFonts w:asciiTheme="minorBidi" w:hAnsiTheme="minorBidi"/>
        </w:rPr>
      </w:pPr>
      <w:r w:rsidRPr="00845316">
        <w:rPr>
          <w:rStyle w:val="ab"/>
          <w:rFonts w:asciiTheme="minorBidi" w:hAnsiTheme="minorBidi"/>
        </w:rPr>
        <w:footnoteRef/>
      </w:r>
      <w:r w:rsidRPr="00845316">
        <w:rPr>
          <w:rFonts w:asciiTheme="minorBidi" w:hAnsiTheme="minorBidi"/>
          <w:rtl/>
        </w:rPr>
        <w:t xml:space="preserve"> אין זה דומה להראשונים, דשם פלגינן דיבוריה ואינו נאמן על עצמו ועל אשתו, ובזה נאמן גם על שורו להרגו, דהכי אמרינן בגמ' (סנהדרין י.) דאדם קרוב אצל אשתו ולא אצל ממונו. וכ"כ בטור. ומפני שבזמן הזה שאין דנין דיני מיתה אין סוקלין ג"כ השור, משום הכי לא דקדק המחבר לכתוב זה. ולא כתב הני דינים אלא משום פסולו דהאיש הרובע דנוהג גם בזמן הזה, סמ"ע</w:t>
      </w:r>
      <w:r w:rsidRPr="00845316">
        <w:rPr>
          <w:rFonts w:asciiTheme="minorBidi" w:hAnsiTheme="minorBidi"/>
          <w:sz w:val="16"/>
          <w:szCs w:val="16"/>
          <w:rtl/>
        </w:rPr>
        <w:t xml:space="preserve"> (ס"ק ס"ה)</w:t>
      </w:r>
      <w:r w:rsidRPr="00845316">
        <w:rPr>
          <w:rFonts w:asciiTheme="minorBidi" w:hAnsiTheme="minorBidi"/>
          <w:rtl/>
        </w:rPr>
        <w:t>.</w:t>
      </w:r>
    </w:p>
  </w:footnote>
  <w:footnote w:id="2391">
    <w:p w14:paraId="3AC3A990" w14:textId="77777777" w:rsidR="0013116F" w:rsidRPr="00845316" w:rsidRDefault="0013116F" w:rsidP="004B607F">
      <w:pPr>
        <w:pStyle w:val="a9"/>
        <w:spacing w:after="60"/>
        <w:rPr>
          <w:rFonts w:asciiTheme="minorBidi" w:hAnsiTheme="minorBidi"/>
        </w:rPr>
      </w:pPr>
      <w:r w:rsidRPr="00845316">
        <w:rPr>
          <w:rStyle w:val="ab"/>
          <w:rFonts w:asciiTheme="minorBidi" w:hAnsiTheme="minorBidi"/>
        </w:rPr>
        <w:footnoteRef/>
      </w:r>
      <w:r w:rsidRPr="00845316">
        <w:rPr>
          <w:rFonts w:asciiTheme="minorBidi" w:hAnsiTheme="minorBidi"/>
          <w:rtl/>
        </w:rPr>
        <w:t xml:space="preserve"> כלומר א' מלוה וא' לוה, שגם הלוה מחמת חימוד ממון שהוא צריך למעות לעשות בהם צרכיו הוא עובר על לאו דלא תשיך, ב"י.</w:t>
      </w:r>
    </w:p>
  </w:footnote>
  <w:footnote w:id="2392">
    <w:p w14:paraId="7F4CDC24" w14:textId="77777777" w:rsidR="0013116F" w:rsidRDefault="0013116F" w:rsidP="004B607F">
      <w:pPr>
        <w:pStyle w:val="a9"/>
      </w:pPr>
      <w:r>
        <w:rPr>
          <w:rStyle w:val="ab"/>
        </w:rPr>
        <w:footnoteRef/>
      </w:r>
      <w:r>
        <w:rPr>
          <w:rtl/>
        </w:rPr>
        <w:t xml:space="preserve"> </w:t>
      </w:r>
      <w:r>
        <w:rPr>
          <w:rFonts w:hint="cs"/>
          <w:rtl/>
        </w:rPr>
        <w:t xml:space="preserve">סימן </w:t>
      </w:r>
      <w:r>
        <w:rPr>
          <w:rtl/>
        </w:rPr>
        <w:t>–</w:t>
      </w:r>
      <w:r>
        <w:rPr>
          <w:rFonts w:hint="cs"/>
          <w:rtl/>
        </w:rPr>
        <w:t xml:space="preserve"> זיכוי כרגא.</w:t>
      </w:r>
    </w:p>
  </w:footnote>
  <w:footnote w:id="2393">
    <w:p w14:paraId="42A64152" w14:textId="77777777" w:rsidR="0013116F" w:rsidRPr="00845316" w:rsidRDefault="0013116F" w:rsidP="004B607F">
      <w:pPr>
        <w:pStyle w:val="a9"/>
        <w:spacing w:after="60"/>
        <w:rPr>
          <w:rFonts w:asciiTheme="minorBidi" w:hAnsiTheme="minorBidi"/>
          <w:rtl/>
        </w:rPr>
      </w:pPr>
      <w:r w:rsidRPr="00845316">
        <w:rPr>
          <w:rStyle w:val="ab"/>
          <w:rFonts w:asciiTheme="minorBidi" w:hAnsiTheme="minorBidi"/>
        </w:rPr>
        <w:footnoteRef/>
      </w:r>
      <w:r w:rsidRPr="00845316">
        <w:rPr>
          <w:rFonts w:asciiTheme="minorBidi" w:hAnsiTheme="minorBidi"/>
          <w:rtl/>
        </w:rPr>
        <w:t xml:space="preserve"> ה"ר יקר והריב"ש (סי' שלט) גרסו- "לדידי גנב", ט"ז. </w:t>
      </w:r>
    </w:p>
  </w:footnote>
  <w:footnote w:id="2394">
    <w:p w14:paraId="7F24C485" w14:textId="77777777" w:rsidR="0013116F" w:rsidRPr="00845316" w:rsidRDefault="0013116F" w:rsidP="004B607F">
      <w:pPr>
        <w:pStyle w:val="a9"/>
        <w:spacing w:after="60"/>
        <w:rPr>
          <w:rFonts w:asciiTheme="minorBidi" w:hAnsiTheme="minorBidi"/>
        </w:rPr>
      </w:pPr>
      <w:r w:rsidRPr="00845316">
        <w:rPr>
          <w:rStyle w:val="ab"/>
          <w:rFonts w:asciiTheme="minorBidi" w:hAnsiTheme="minorBidi"/>
        </w:rPr>
        <w:footnoteRef/>
      </w:r>
      <w:r w:rsidRPr="00845316">
        <w:rPr>
          <w:rFonts w:asciiTheme="minorBidi" w:hAnsiTheme="minorBidi"/>
          <w:rtl/>
        </w:rPr>
        <w:t xml:space="preserve"> דרב פפי, שהיפך בזכותו, רש"י.</w:t>
      </w:r>
    </w:p>
  </w:footnote>
  <w:footnote w:id="2395">
    <w:p w14:paraId="40942B6F" w14:textId="77777777" w:rsidR="0013116F" w:rsidRPr="00845316" w:rsidRDefault="0013116F" w:rsidP="004B607F">
      <w:pPr>
        <w:pStyle w:val="a9"/>
        <w:spacing w:after="60"/>
        <w:rPr>
          <w:rFonts w:asciiTheme="minorBidi" w:hAnsiTheme="minorBidi"/>
        </w:rPr>
      </w:pPr>
      <w:r w:rsidRPr="00845316">
        <w:rPr>
          <w:rStyle w:val="ab"/>
          <w:rFonts w:asciiTheme="minorBidi" w:hAnsiTheme="minorBidi"/>
        </w:rPr>
        <w:footnoteRef/>
      </w:r>
      <w:r w:rsidRPr="00845316">
        <w:rPr>
          <w:rFonts w:asciiTheme="minorBidi" w:hAnsiTheme="minorBidi"/>
          <w:rtl/>
        </w:rPr>
        <w:t xml:space="preserve"> להצילו כל ימיו ממנת המלך, רש"י.</w:t>
      </w:r>
    </w:p>
  </w:footnote>
  <w:footnote w:id="2396">
    <w:p w14:paraId="0F532AC0" w14:textId="77777777" w:rsidR="0013116F" w:rsidRPr="00845316" w:rsidRDefault="0013116F" w:rsidP="004B607F">
      <w:pPr>
        <w:pStyle w:val="a9"/>
        <w:spacing w:after="60"/>
        <w:rPr>
          <w:rFonts w:asciiTheme="minorBidi" w:hAnsiTheme="minorBidi"/>
          <w:rtl/>
        </w:rPr>
      </w:pPr>
      <w:r w:rsidRPr="00845316">
        <w:rPr>
          <w:rStyle w:val="ab"/>
          <w:rFonts w:asciiTheme="minorBidi" w:hAnsiTheme="minorBidi"/>
        </w:rPr>
        <w:footnoteRef/>
      </w:r>
      <w:r w:rsidRPr="00845316">
        <w:rPr>
          <w:rFonts w:asciiTheme="minorBidi" w:hAnsiTheme="minorBidi"/>
          <w:rtl/>
        </w:rPr>
        <w:t xml:space="preserve"> במיוחסות סי' קט, וכ' שם שכן דעת הר"י </w:t>
      </w:r>
      <w:r>
        <w:rPr>
          <w:rFonts w:asciiTheme="minorBidi" w:hAnsiTheme="minorBidi"/>
          <w:rtl/>
        </w:rPr>
        <w:t>מיגאש</w:t>
      </w:r>
      <w:r w:rsidRPr="00845316">
        <w:rPr>
          <w:rFonts w:asciiTheme="minorBidi" w:hAnsiTheme="minorBidi"/>
          <w:rtl/>
        </w:rPr>
        <w:t xml:space="preserve"> ה"ר משה בר יהודה והראב"ד </w:t>
      </w:r>
      <w:r w:rsidRPr="00845316">
        <w:rPr>
          <w:rFonts w:asciiTheme="minorBidi" w:hAnsiTheme="minorBidi"/>
          <w:sz w:val="16"/>
          <w:szCs w:val="16"/>
          <w:rtl/>
        </w:rPr>
        <w:t>(בהשג' על הרי"ף כתובות מח.)</w:t>
      </w:r>
      <w:r w:rsidRPr="00845316">
        <w:rPr>
          <w:rFonts w:asciiTheme="minorBidi" w:hAnsiTheme="minorBidi"/>
          <w:rtl/>
        </w:rPr>
        <w:t xml:space="preserve">. ולעומת זאת בחידושים כ' כדברי הר"ר יקר, והביאו רי"ו </w:t>
      </w:r>
      <w:r w:rsidRPr="00845316">
        <w:rPr>
          <w:rFonts w:asciiTheme="minorBidi" w:hAnsiTheme="minorBidi"/>
          <w:sz w:val="16"/>
          <w:szCs w:val="16"/>
          <w:rtl/>
        </w:rPr>
        <w:t>(נ"ב ח"ד יב ע"ג)</w:t>
      </w:r>
      <w:r w:rsidRPr="00845316">
        <w:rPr>
          <w:rFonts w:asciiTheme="minorBidi" w:hAnsiTheme="minorBidi"/>
          <w:rtl/>
        </w:rPr>
        <w:t xml:space="preserve"> והוסיף רי"ו שבתשובה כ' הרשב"א להפך, ותמה עליו. </w:t>
      </w:r>
    </w:p>
  </w:footnote>
  <w:footnote w:id="2397">
    <w:p w14:paraId="049BD109" w14:textId="77777777" w:rsidR="0013116F" w:rsidRPr="00845316" w:rsidRDefault="0013116F" w:rsidP="004B607F">
      <w:pPr>
        <w:pStyle w:val="a9"/>
        <w:spacing w:after="60"/>
        <w:rPr>
          <w:rFonts w:asciiTheme="minorBidi" w:hAnsiTheme="minorBidi"/>
          <w:rtl/>
        </w:rPr>
      </w:pPr>
      <w:r w:rsidRPr="00845316">
        <w:rPr>
          <w:rStyle w:val="ab"/>
          <w:rFonts w:asciiTheme="minorBidi" w:hAnsiTheme="minorBidi"/>
        </w:rPr>
        <w:footnoteRef/>
      </w:r>
      <w:r w:rsidRPr="00845316">
        <w:rPr>
          <w:rFonts w:asciiTheme="minorBidi" w:hAnsiTheme="minorBidi"/>
          <w:rtl/>
        </w:rPr>
        <w:t xml:space="preserve"> </w:t>
      </w:r>
      <w:r>
        <w:rPr>
          <w:rFonts w:asciiTheme="minorBidi" w:hAnsiTheme="minorBidi" w:hint="cs"/>
          <w:rtl/>
        </w:rPr>
        <w:t xml:space="preserve">וכ"פ בשו"ע </w:t>
      </w:r>
      <w:r w:rsidRPr="00845316">
        <w:rPr>
          <w:rFonts w:asciiTheme="minorBidi" w:hAnsiTheme="minorBidi"/>
          <w:rtl/>
        </w:rPr>
        <w:t>לפי גירסתנו שהמילים "ויש חולקים" הם מדברי השו"ע</w:t>
      </w:r>
      <w:r>
        <w:rPr>
          <w:rFonts w:asciiTheme="minorBidi" w:hAnsiTheme="minorBidi" w:hint="cs"/>
          <w:rtl/>
        </w:rPr>
        <w:t>.</w:t>
      </w:r>
      <w:r w:rsidRPr="00845316">
        <w:rPr>
          <w:rFonts w:asciiTheme="minorBidi" w:hAnsiTheme="minorBidi"/>
          <w:rtl/>
        </w:rPr>
        <w:t xml:space="preserve"> </w:t>
      </w:r>
      <w:r>
        <w:rPr>
          <w:rFonts w:asciiTheme="minorBidi" w:hAnsiTheme="minorBidi" w:hint="cs"/>
          <w:rtl/>
        </w:rPr>
        <w:t>ש</w:t>
      </w:r>
      <w:r w:rsidRPr="00845316">
        <w:rPr>
          <w:rFonts w:asciiTheme="minorBidi" w:hAnsiTheme="minorBidi"/>
          <w:rtl/>
        </w:rPr>
        <w:t>אז לפי הכלל די"א וי"א הלכה כי"א בתרא יוצא שהשו"ע פסק כ</w:t>
      </w:r>
      <w:r>
        <w:rPr>
          <w:rFonts w:asciiTheme="minorBidi" w:hAnsiTheme="minorBidi" w:hint="cs"/>
          <w:rtl/>
        </w:rPr>
        <w:t>ה</w:t>
      </w:r>
      <w:r w:rsidRPr="00845316">
        <w:rPr>
          <w:rFonts w:asciiTheme="minorBidi" w:hAnsiTheme="minorBidi"/>
          <w:rtl/>
        </w:rPr>
        <w:t>רשב"א.</w:t>
      </w:r>
      <w:r>
        <w:rPr>
          <w:rFonts w:asciiTheme="minorBidi" w:hAnsiTheme="minorBidi" w:hint="cs"/>
          <w:rtl/>
        </w:rPr>
        <w:t xml:space="preserve"> ואולי יש לחלק ולומר שה'יש חולקים' לא מיקרי כ-'יש אומרים' אלא בכוונה כתב 'ויש חולקים' כדי לומר שאין דעה זו עיקר. ומה שכתב דעה ראשונה ביש אומרים </w:t>
      </w:r>
      <w:r>
        <w:rPr>
          <w:rFonts w:asciiTheme="minorBidi" w:hAnsiTheme="minorBidi"/>
          <w:rtl/>
        </w:rPr>
        <w:t>–</w:t>
      </w:r>
      <w:r>
        <w:rPr>
          <w:rFonts w:asciiTheme="minorBidi" w:hAnsiTheme="minorBidi" w:hint="cs"/>
          <w:rtl/>
        </w:rPr>
        <w:t xml:space="preserve"> הוא משום שדרכו בכך בכל הלכה מחודשת שלא מצא הרבה שדיברו בה. </w:t>
      </w:r>
    </w:p>
  </w:footnote>
  <w:footnote w:id="2398">
    <w:p w14:paraId="68AEEC1B" w14:textId="77777777" w:rsidR="0013116F" w:rsidRPr="00845316" w:rsidRDefault="0013116F" w:rsidP="004B607F">
      <w:pPr>
        <w:pStyle w:val="a9"/>
        <w:spacing w:after="60"/>
        <w:rPr>
          <w:rFonts w:asciiTheme="minorBidi" w:hAnsiTheme="minorBidi"/>
        </w:rPr>
      </w:pPr>
      <w:r w:rsidRPr="00845316">
        <w:rPr>
          <w:rStyle w:val="ab"/>
          <w:rFonts w:asciiTheme="minorBidi" w:hAnsiTheme="minorBidi"/>
        </w:rPr>
        <w:footnoteRef/>
      </w:r>
      <w:r w:rsidRPr="00845316">
        <w:rPr>
          <w:rFonts w:asciiTheme="minorBidi" w:hAnsiTheme="minorBidi"/>
          <w:rtl/>
        </w:rPr>
        <w:t xml:space="preserve"> הביאו הטור בסתם, וכן הביאוהו הרא"ש (סנהדרין פ"ג סי' ח) והמרדכי (סי' תרצג) וכתבו שדקדק כן מהא דבר בנתיס.</w:t>
      </w:r>
      <w:r w:rsidRPr="00845316">
        <w:rPr>
          <w:rFonts w:asciiTheme="minorBidi" w:hAnsiTheme="minorBidi"/>
          <w:sz w:val="16"/>
          <w:szCs w:val="16"/>
          <w:rtl/>
        </w:rPr>
        <w:t xml:space="preserve"> (וכ' הב"י שמדברי הטור בסספ"ז סמ"ד נראה שהוא חולק על דברי ה"ר יקר ויש לתמוה עליו שכאן כ' דבריו סתם בלא חולק משמע דהכי ס"ל)</w:t>
      </w:r>
    </w:p>
  </w:footnote>
  <w:footnote w:id="2399">
    <w:p w14:paraId="19A4BD99" w14:textId="77777777" w:rsidR="0013116F" w:rsidRPr="00845316" w:rsidRDefault="0013116F" w:rsidP="004B607F">
      <w:pPr>
        <w:pStyle w:val="a9"/>
        <w:spacing w:after="60"/>
        <w:rPr>
          <w:rFonts w:asciiTheme="minorBidi" w:hAnsiTheme="minorBidi"/>
          <w:rtl/>
        </w:rPr>
      </w:pPr>
      <w:r w:rsidRPr="00845316">
        <w:rPr>
          <w:rStyle w:val="ab"/>
          <w:rFonts w:asciiTheme="minorBidi" w:hAnsiTheme="minorBidi"/>
        </w:rPr>
        <w:footnoteRef/>
      </w:r>
      <w:r w:rsidRPr="00845316">
        <w:rPr>
          <w:rFonts w:asciiTheme="minorBidi" w:hAnsiTheme="minorBidi"/>
          <w:rtl/>
        </w:rPr>
        <w:t xml:space="preserve"> </w:t>
      </w:r>
      <w:r>
        <w:rPr>
          <w:rFonts w:asciiTheme="minorBidi" w:hAnsiTheme="minorBidi" w:hint="cs"/>
          <w:rtl/>
        </w:rPr>
        <w:t xml:space="preserve">וכתב המרדכי דכן פסק </w:t>
      </w:r>
      <w:r w:rsidRPr="00845316">
        <w:rPr>
          <w:rFonts w:asciiTheme="minorBidi" w:hAnsiTheme="minorBidi"/>
          <w:rtl/>
        </w:rPr>
        <w:t xml:space="preserve">רבינו ברוך </w:t>
      </w:r>
      <w:r w:rsidRPr="00845316">
        <w:rPr>
          <w:rFonts w:asciiTheme="minorBidi" w:hAnsiTheme="minorBidi"/>
          <w:sz w:val="16"/>
          <w:szCs w:val="16"/>
          <w:rtl/>
        </w:rPr>
        <w:t>(בספר החכמה, ר' ברוך בר שמואל ממגנצא תלמידו של הרא"ם)</w:t>
      </w:r>
      <w:r>
        <w:rPr>
          <w:rFonts w:asciiTheme="minorBidi" w:hAnsiTheme="minorBidi" w:hint="cs"/>
          <w:rtl/>
        </w:rPr>
        <w:t>. וכ"פ</w:t>
      </w:r>
      <w:r w:rsidRPr="00845316">
        <w:rPr>
          <w:rFonts w:asciiTheme="minorBidi" w:hAnsiTheme="minorBidi"/>
          <w:rtl/>
        </w:rPr>
        <w:t xml:space="preserve"> תרוה"ד </w:t>
      </w:r>
      <w:r w:rsidRPr="00845316">
        <w:rPr>
          <w:rFonts w:asciiTheme="minorBidi" w:hAnsiTheme="minorBidi"/>
          <w:sz w:val="16"/>
          <w:szCs w:val="16"/>
          <w:rtl/>
        </w:rPr>
        <w:t>(סי' רלו)</w:t>
      </w:r>
      <w:r>
        <w:rPr>
          <w:rFonts w:asciiTheme="minorBidi" w:hAnsiTheme="minorBidi" w:hint="cs"/>
          <w:rtl/>
        </w:rPr>
        <w:t>.</w:t>
      </w:r>
    </w:p>
  </w:footnote>
  <w:footnote w:id="2400">
    <w:p w14:paraId="600A5EBD" w14:textId="77777777" w:rsidR="0013116F" w:rsidRPr="00845316" w:rsidRDefault="0013116F" w:rsidP="004B607F">
      <w:pPr>
        <w:pStyle w:val="a9"/>
        <w:spacing w:after="60"/>
        <w:rPr>
          <w:rFonts w:asciiTheme="minorBidi" w:hAnsiTheme="minorBidi"/>
          <w:rtl/>
        </w:rPr>
      </w:pPr>
      <w:r w:rsidRPr="00845316">
        <w:rPr>
          <w:rStyle w:val="ab"/>
          <w:rFonts w:asciiTheme="minorBidi" w:hAnsiTheme="minorBidi"/>
        </w:rPr>
        <w:footnoteRef/>
      </w:r>
      <w:r w:rsidRPr="00845316">
        <w:rPr>
          <w:rFonts w:asciiTheme="minorBidi" w:hAnsiTheme="minorBidi"/>
          <w:rtl/>
        </w:rPr>
        <w:t xml:space="preserve">  כך מובא בשם הרמ"ה בתשו' הרשב"א </w:t>
      </w:r>
      <w:r w:rsidRPr="00845316">
        <w:rPr>
          <w:rFonts w:asciiTheme="minorBidi" w:hAnsiTheme="minorBidi"/>
          <w:sz w:val="16"/>
          <w:szCs w:val="16"/>
          <w:rtl/>
        </w:rPr>
        <w:t>(במיוחסות סי קט)</w:t>
      </w:r>
      <w:r w:rsidRPr="00845316">
        <w:rPr>
          <w:rFonts w:asciiTheme="minorBidi" w:hAnsiTheme="minorBidi"/>
          <w:rtl/>
        </w:rPr>
        <w:t>.</w:t>
      </w:r>
    </w:p>
  </w:footnote>
  <w:footnote w:id="2401">
    <w:p w14:paraId="08E14F6E" w14:textId="77777777" w:rsidR="0013116F" w:rsidRPr="00845316" w:rsidRDefault="0013116F" w:rsidP="004B607F">
      <w:pPr>
        <w:pStyle w:val="a9"/>
        <w:spacing w:after="60"/>
        <w:rPr>
          <w:rFonts w:asciiTheme="minorBidi" w:hAnsiTheme="minorBidi"/>
          <w:rtl/>
        </w:rPr>
      </w:pPr>
      <w:r w:rsidRPr="00845316">
        <w:rPr>
          <w:rStyle w:val="ab"/>
          <w:rFonts w:asciiTheme="minorBidi" w:hAnsiTheme="minorBidi"/>
        </w:rPr>
        <w:footnoteRef/>
      </w:r>
      <w:r w:rsidRPr="00845316">
        <w:rPr>
          <w:rFonts w:asciiTheme="minorBidi" w:hAnsiTheme="minorBidi"/>
          <w:rtl/>
        </w:rPr>
        <w:t xml:space="preserve"> דלגבי מלוה דרך להשביע אם חייב לו, ושמא אותו היה חייב לו ממקום אחר ונשבע באמת, אבל גבי פקדון דרך להשביע אם הפקיד אצלו וכיון שאלו מעידים שהפקיד אצלו הרי מעידים שנשבע לשקר, ב"י.</w:t>
      </w:r>
    </w:p>
  </w:footnote>
  <w:footnote w:id="2402">
    <w:p w14:paraId="46B0EF79" w14:textId="77777777" w:rsidR="0013116F" w:rsidRPr="00845316" w:rsidRDefault="0013116F" w:rsidP="004B607F">
      <w:pPr>
        <w:pStyle w:val="a9"/>
        <w:spacing w:after="60"/>
        <w:rPr>
          <w:rFonts w:asciiTheme="minorBidi" w:hAnsiTheme="minorBidi"/>
        </w:rPr>
      </w:pPr>
      <w:r w:rsidRPr="00845316">
        <w:rPr>
          <w:rStyle w:val="ab"/>
          <w:rFonts w:asciiTheme="minorBidi" w:hAnsiTheme="minorBidi"/>
        </w:rPr>
        <w:footnoteRef/>
      </w:r>
      <w:r w:rsidRPr="00845316">
        <w:rPr>
          <w:rFonts w:asciiTheme="minorBidi" w:hAnsiTheme="minorBidi"/>
          <w:rtl/>
        </w:rPr>
        <w:t xml:space="preserve">  בתשו' כלל י"א סי' ב, וכלל ל"ח סי' ב.</w:t>
      </w:r>
    </w:p>
  </w:footnote>
  <w:footnote w:id="2403">
    <w:p w14:paraId="0CDFDDDC" w14:textId="77777777" w:rsidR="0013116F" w:rsidRPr="00845316" w:rsidRDefault="0013116F" w:rsidP="004B607F">
      <w:pPr>
        <w:pStyle w:val="a9"/>
        <w:spacing w:after="60"/>
        <w:rPr>
          <w:rFonts w:asciiTheme="minorBidi" w:hAnsiTheme="minorBidi"/>
          <w:rtl/>
        </w:rPr>
      </w:pPr>
      <w:r w:rsidRPr="00845316">
        <w:rPr>
          <w:rStyle w:val="ab"/>
          <w:rFonts w:asciiTheme="minorBidi" w:hAnsiTheme="minorBidi"/>
        </w:rPr>
        <w:footnoteRef/>
      </w:r>
      <w:r w:rsidRPr="00845316">
        <w:rPr>
          <w:rFonts w:asciiTheme="minorBidi" w:hAnsiTheme="minorBidi"/>
          <w:rtl/>
        </w:rPr>
        <w:t xml:space="preserve"> וכ' הב"י (בבדה"ב) וז"ל- ויש לתמוה על זה, דכיון דקיי"ל כאביי דאמר 'למפרע הוא נפסל'- כשהעידו עכשיו שבזמן עבר נשבע לשקר הרי הוא נפסל למפרע משעה שנשבע לשקר.</w:t>
      </w:r>
    </w:p>
  </w:footnote>
  <w:footnote w:id="2404">
    <w:p w14:paraId="034EFFCA" w14:textId="77777777" w:rsidR="0013116F" w:rsidRPr="00845316" w:rsidRDefault="0013116F" w:rsidP="004B607F">
      <w:pPr>
        <w:pStyle w:val="a9"/>
        <w:spacing w:after="60"/>
        <w:rPr>
          <w:rFonts w:asciiTheme="minorBidi" w:hAnsiTheme="minorBidi"/>
          <w:rtl/>
        </w:rPr>
      </w:pPr>
      <w:r w:rsidRPr="00845316">
        <w:rPr>
          <w:rStyle w:val="ab"/>
          <w:rFonts w:asciiTheme="minorBidi" w:hAnsiTheme="minorBidi"/>
        </w:rPr>
        <w:footnoteRef/>
      </w:r>
      <w:r w:rsidRPr="00845316">
        <w:rPr>
          <w:rFonts w:asciiTheme="minorBidi" w:hAnsiTheme="minorBidi"/>
          <w:rtl/>
        </w:rPr>
        <w:t xml:space="preserve"> בין נשבע לפטור עצמו בין נשבע ונוטל, בין שבועה דאורייתא בין שבועה דרבנן </w:t>
      </w:r>
      <w:r w:rsidRPr="00845316">
        <w:rPr>
          <w:rFonts w:asciiTheme="minorBidi" w:hAnsiTheme="minorBidi"/>
          <w:sz w:val="16"/>
          <w:szCs w:val="16"/>
          <w:rtl/>
        </w:rPr>
        <w:t>(מהרש"ל)</w:t>
      </w:r>
      <w:r w:rsidRPr="00845316">
        <w:rPr>
          <w:rFonts w:asciiTheme="minorBidi" w:hAnsiTheme="minorBidi"/>
          <w:rtl/>
        </w:rPr>
        <w:t>, ע"פ הש"ך (סקל"ב).</w:t>
      </w:r>
    </w:p>
  </w:footnote>
  <w:footnote w:id="2405">
    <w:p w14:paraId="08B7AB13" w14:textId="77777777" w:rsidR="0013116F" w:rsidRPr="00845316" w:rsidRDefault="0013116F" w:rsidP="004B607F">
      <w:pPr>
        <w:pStyle w:val="a9"/>
        <w:spacing w:after="60"/>
        <w:rPr>
          <w:rFonts w:asciiTheme="minorBidi" w:hAnsiTheme="minorBidi"/>
          <w:rtl/>
        </w:rPr>
      </w:pPr>
      <w:r w:rsidRPr="00845316">
        <w:rPr>
          <w:rStyle w:val="ab"/>
          <w:rFonts w:asciiTheme="minorBidi" w:hAnsiTheme="minorBidi"/>
        </w:rPr>
        <w:footnoteRef/>
      </w:r>
      <w:r w:rsidRPr="00845316">
        <w:rPr>
          <w:rFonts w:asciiTheme="minorBidi" w:hAnsiTheme="minorBidi"/>
          <w:rtl/>
        </w:rPr>
        <w:t xml:space="preserve"> לאחר גמר דינן, דאז באין מחדש זה שנשבע לו והעד ומעידין לפני ב"ד שנשבע לשקר, דמאחר שכבר נגמר דינו לא מחשב לנוגע (הרא"ש תשו' כלל יא סי' ב), סמ"ע (ס"ק סו) .</w:t>
      </w:r>
    </w:p>
  </w:footnote>
  <w:footnote w:id="2406">
    <w:p w14:paraId="092A9E59" w14:textId="77777777" w:rsidR="0013116F" w:rsidRPr="00845316" w:rsidRDefault="0013116F" w:rsidP="004B607F">
      <w:pPr>
        <w:pStyle w:val="a9"/>
        <w:spacing w:after="60"/>
        <w:rPr>
          <w:rFonts w:asciiTheme="minorBidi" w:hAnsiTheme="minorBidi"/>
          <w:rtl/>
        </w:rPr>
      </w:pPr>
      <w:r w:rsidRPr="00845316">
        <w:rPr>
          <w:rStyle w:val="ab"/>
          <w:rFonts w:asciiTheme="minorBidi" w:hAnsiTheme="minorBidi"/>
        </w:rPr>
        <w:footnoteRef/>
      </w:r>
      <w:r w:rsidRPr="00845316">
        <w:rPr>
          <w:rFonts w:asciiTheme="minorBidi" w:hAnsiTheme="minorBidi"/>
          <w:rtl/>
        </w:rPr>
        <w:t xml:space="preserve"> כ</w:t>
      </w:r>
      <w:r>
        <w:rPr>
          <w:rFonts w:asciiTheme="minorBidi" w:hAnsiTheme="minorBidi" w:hint="cs"/>
          <w:rtl/>
        </w:rPr>
        <w:t xml:space="preserve">ך הגירסא בדפוסים המתוקנים (עי' </w:t>
      </w:r>
      <w:r w:rsidRPr="00845316">
        <w:rPr>
          <w:rFonts w:asciiTheme="minorBidi" w:hAnsiTheme="minorBidi"/>
          <w:rtl/>
        </w:rPr>
        <w:t xml:space="preserve"> בשו"ע מהדו' פריעדמאן</w:t>
      </w:r>
      <w:r>
        <w:rPr>
          <w:rFonts w:asciiTheme="minorBidi" w:hAnsiTheme="minorBidi" w:hint="cs"/>
          <w:rtl/>
        </w:rPr>
        <w:t>). ובדפוסים אחרים</w:t>
      </w:r>
      <w:r w:rsidRPr="00845316">
        <w:rPr>
          <w:rFonts w:asciiTheme="minorBidi" w:hAnsiTheme="minorBidi"/>
          <w:rtl/>
        </w:rPr>
        <w:t xml:space="preserve"> </w:t>
      </w:r>
      <w:r>
        <w:rPr>
          <w:rFonts w:asciiTheme="minorBidi" w:hAnsiTheme="minorBidi" w:hint="cs"/>
          <w:rtl/>
        </w:rPr>
        <w:t>ה</w:t>
      </w:r>
      <w:r w:rsidRPr="00845316">
        <w:rPr>
          <w:rFonts w:asciiTheme="minorBidi" w:hAnsiTheme="minorBidi"/>
          <w:rtl/>
        </w:rPr>
        <w:t xml:space="preserve">תיבות "ויש חולקים" </w:t>
      </w:r>
      <w:r>
        <w:rPr>
          <w:rFonts w:asciiTheme="minorBidi" w:hAnsiTheme="minorBidi" w:hint="cs"/>
          <w:rtl/>
        </w:rPr>
        <w:t xml:space="preserve">כתובות בדברי </w:t>
      </w:r>
      <w:r w:rsidRPr="00845316">
        <w:rPr>
          <w:rFonts w:asciiTheme="minorBidi" w:hAnsiTheme="minorBidi"/>
          <w:rtl/>
        </w:rPr>
        <w:t>הרמ"א, וכ"ה בשו"ע המודפס עם האו"ת.</w:t>
      </w:r>
      <w:r>
        <w:rPr>
          <w:rFonts w:asciiTheme="minorBidi" w:hAnsiTheme="minorBidi" w:hint="cs"/>
          <w:rtl/>
        </w:rPr>
        <w:t xml:space="preserve"> אך גם לפי הקשר דברי הרמ"א וגם ע"פ הציונים שעליו משמע שתיבות אלו מדברי השו"ע.</w:t>
      </w:r>
    </w:p>
  </w:footnote>
  <w:footnote w:id="2407">
    <w:p w14:paraId="43096768" w14:textId="77777777" w:rsidR="0013116F" w:rsidRPr="00845316" w:rsidRDefault="0013116F" w:rsidP="004B607F">
      <w:pPr>
        <w:pStyle w:val="a9"/>
        <w:spacing w:after="60"/>
        <w:rPr>
          <w:rFonts w:asciiTheme="minorBidi" w:hAnsiTheme="minorBidi"/>
          <w:rtl/>
        </w:rPr>
      </w:pPr>
      <w:r w:rsidRPr="00845316">
        <w:rPr>
          <w:rStyle w:val="ab"/>
          <w:rFonts w:asciiTheme="minorBidi" w:hAnsiTheme="minorBidi"/>
        </w:rPr>
        <w:footnoteRef/>
      </w:r>
      <w:r w:rsidRPr="00845316">
        <w:rPr>
          <w:rFonts w:asciiTheme="minorBidi" w:hAnsiTheme="minorBidi"/>
          <w:rtl/>
        </w:rPr>
        <w:t xml:space="preserve"> שאחר שכבר נשבע להכחיש העד, אין העד ובעל הדין מצטרפין לפוסלו, והיא דעת הרשב"א (במיוחסות סי' קט).</w:t>
      </w:r>
    </w:p>
  </w:footnote>
  <w:footnote w:id="2408">
    <w:p w14:paraId="5AD0DC5F" w14:textId="77777777" w:rsidR="0013116F" w:rsidRPr="00845316" w:rsidRDefault="0013116F" w:rsidP="004B607F">
      <w:pPr>
        <w:pStyle w:val="a9"/>
        <w:spacing w:after="60"/>
        <w:rPr>
          <w:rFonts w:asciiTheme="minorBidi" w:hAnsiTheme="minorBidi"/>
        </w:rPr>
      </w:pPr>
      <w:r w:rsidRPr="00845316">
        <w:rPr>
          <w:rStyle w:val="ab"/>
          <w:rFonts w:asciiTheme="minorBidi" w:hAnsiTheme="minorBidi"/>
        </w:rPr>
        <w:footnoteRef/>
      </w:r>
      <w:r w:rsidRPr="00845316">
        <w:rPr>
          <w:rFonts w:asciiTheme="minorBidi" w:hAnsiTheme="minorBidi"/>
          <w:rtl/>
        </w:rPr>
        <w:t xml:space="preserve"> כגון שהעידו שניהם בבת אחת קודם שהכחיש הגזלן אחד מהם, או שהעידו שלא בפניו, דקיי"ל דיכולין העדים למיפסליה בגזלנותא אף שלא בפניו, זכרון יוסף </w:t>
      </w:r>
      <w:r w:rsidRPr="00845316">
        <w:rPr>
          <w:rFonts w:asciiTheme="minorBidi" w:hAnsiTheme="minorBidi"/>
          <w:sz w:val="16"/>
          <w:szCs w:val="16"/>
          <w:rtl/>
        </w:rPr>
        <w:t>(אה"ע ס"ס ז' אות כ"א, הובא בפת"ש סקמ"ב)</w:t>
      </w:r>
      <w:r w:rsidRPr="00845316">
        <w:rPr>
          <w:rFonts w:asciiTheme="minorBidi" w:hAnsiTheme="minorBidi"/>
          <w:rtl/>
        </w:rPr>
        <w:t>.</w:t>
      </w:r>
    </w:p>
  </w:footnote>
  <w:footnote w:id="2409">
    <w:p w14:paraId="19A3086C" w14:textId="77777777" w:rsidR="0013116F" w:rsidRPr="00845316" w:rsidRDefault="0013116F" w:rsidP="004B607F">
      <w:pPr>
        <w:pStyle w:val="a9"/>
        <w:spacing w:after="60"/>
        <w:rPr>
          <w:rFonts w:asciiTheme="minorBidi" w:hAnsiTheme="minorBidi"/>
          <w:rtl/>
        </w:rPr>
      </w:pPr>
      <w:r w:rsidRPr="00845316">
        <w:rPr>
          <w:rStyle w:val="ab"/>
          <w:rFonts w:asciiTheme="minorBidi" w:hAnsiTheme="minorBidi"/>
        </w:rPr>
        <w:footnoteRef/>
      </w:r>
      <w:r w:rsidRPr="00845316">
        <w:rPr>
          <w:rFonts w:asciiTheme="minorBidi" w:hAnsiTheme="minorBidi"/>
          <w:rtl/>
        </w:rPr>
        <w:t xml:space="preserve"> ואפי' שני הנגזלים יכולים להעיד בזה דפלגינן דיבוריה, וכגון דמעידין לענין שפסול לעדות אחרת</w:t>
      </w:r>
      <w:r w:rsidRPr="00845316">
        <w:rPr>
          <w:rFonts w:asciiTheme="minorBidi" w:hAnsiTheme="minorBidi"/>
          <w:sz w:val="16"/>
          <w:szCs w:val="16"/>
          <w:rtl/>
        </w:rPr>
        <w:t xml:space="preserve"> (כדי שלא תבוא להם הנאה מעדותן, כדכתב הרמ"א בסע' כו)</w:t>
      </w:r>
      <w:r w:rsidRPr="00845316">
        <w:rPr>
          <w:rFonts w:asciiTheme="minorBidi" w:hAnsiTheme="minorBidi"/>
          <w:rtl/>
        </w:rPr>
        <w:t xml:space="preserve">, ע"פ סמ"ע (ס"ק סח). </w:t>
      </w:r>
    </w:p>
  </w:footnote>
  <w:footnote w:id="2410">
    <w:p w14:paraId="1E86DDE5" w14:textId="77777777" w:rsidR="0013116F" w:rsidRDefault="0013116F" w:rsidP="004B607F">
      <w:pPr>
        <w:pStyle w:val="a9"/>
        <w:rPr>
          <w:rtl/>
        </w:rPr>
      </w:pPr>
      <w:r>
        <w:rPr>
          <w:rStyle w:val="ab"/>
        </w:rPr>
        <w:footnoteRef/>
      </w:r>
      <w:r>
        <w:rPr>
          <w:rtl/>
        </w:rPr>
        <w:t xml:space="preserve"> </w:t>
      </w:r>
      <w:r>
        <w:rPr>
          <w:rFonts w:hint="cs"/>
          <w:rtl/>
        </w:rPr>
        <w:t xml:space="preserve">סימן - אם כתב אלוהים </w:t>
      </w:r>
      <w:r>
        <w:rPr>
          <w:rtl/>
        </w:rPr>
        <w:t>–</w:t>
      </w:r>
      <w:r>
        <w:rPr>
          <w:rFonts w:hint="cs"/>
          <w:rtl/>
        </w:rPr>
        <w:t xml:space="preserve"> כתב.</w:t>
      </w:r>
    </w:p>
  </w:footnote>
  <w:footnote w:id="2411">
    <w:p w14:paraId="36FB58AF" w14:textId="77777777" w:rsidR="0013116F" w:rsidRPr="00845316" w:rsidRDefault="0013116F" w:rsidP="004B607F">
      <w:pPr>
        <w:pStyle w:val="a9"/>
        <w:spacing w:after="60"/>
        <w:rPr>
          <w:rFonts w:asciiTheme="minorBidi" w:hAnsiTheme="minorBidi"/>
          <w:rtl/>
        </w:rPr>
      </w:pPr>
      <w:r w:rsidRPr="00845316">
        <w:rPr>
          <w:rStyle w:val="ab"/>
          <w:rFonts w:asciiTheme="minorBidi" w:hAnsiTheme="minorBidi"/>
        </w:rPr>
        <w:footnoteRef/>
      </w:r>
      <w:r w:rsidRPr="00845316">
        <w:rPr>
          <w:rFonts w:asciiTheme="minorBidi" w:hAnsiTheme="minorBidi"/>
          <w:rtl/>
        </w:rPr>
        <w:t xml:space="preserve"> שהוא פסול, רש"י.</w:t>
      </w:r>
    </w:p>
  </w:footnote>
  <w:footnote w:id="2412">
    <w:p w14:paraId="6385F7C8" w14:textId="77777777" w:rsidR="0013116F" w:rsidRPr="00845316" w:rsidRDefault="0013116F" w:rsidP="004B607F">
      <w:pPr>
        <w:pStyle w:val="a9"/>
        <w:spacing w:after="60"/>
        <w:rPr>
          <w:rFonts w:asciiTheme="minorBidi" w:hAnsiTheme="minorBidi"/>
          <w:rtl/>
        </w:rPr>
      </w:pPr>
      <w:r w:rsidRPr="00845316">
        <w:rPr>
          <w:rStyle w:val="ab"/>
          <w:rFonts w:asciiTheme="minorBidi" w:hAnsiTheme="minorBidi"/>
        </w:rPr>
        <w:footnoteRef/>
      </w:r>
      <w:r w:rsidRPr="00845316">
        <w:rPr>
          <w:rFonts w:asciiTheme="minorBidi" w:hAnsiTheme="minorBidi"/>
          <w:rtl/>
        </w:rPr>
        <w:t xml:space="preserve"> השני דיינים על האשרתא, רש"י.</w:t>
      </w:r>
    </w:p>
  </w:footnote>
  <w:footnote w:id="2413">
    <w:p w14:paraId="257F9511" w14:textId="77777777" w:rsidR="0013116F" w:rsidRPr="00845316" w:rsidRDefault="0013116F" w:rsidP="004B607F">
      <w:pPr>
        <w:pStyle w:val="a9"/>
        <w:spacing w:after="60"/>
        <w:rPr>
          <w:rFonts w:asciiTheme="minorBidi" w:hAnsiTheme="minorBidi"/>
          <w:rtl/>
        </w:rPr>
      </w:pPr>
      <w:r w:rsidRPr="00845316">
        <w:rPr>
          <w:rStyle w:val="ab"/>
          <w:rFonts w:asciiTheme="minorBidi" w:hAnsiTheme="minorBidi"/>
        </w:rPr>
        <w:footnoteRef/>
      </w:r>
      <w:r w:rsidRPr="00845316">
        <w:rPr>
          <w:rFonts w:asciiTheme="minorBidi" w:hAnsiTheme="minorBidi"/>
          <w:rtl/>
        </w:rPr>
        <w:t xml:space="preserve"> על זה שהוא כשר, רש"י.</w:t>
      </w:r>
    </w:p>
  </w:footnote>
  <w:footnote w:id="2414">
    <w:p w14:paraId="2A8665C0" w14:textId="77777777" w:rsidR="0013116F" w:rsidRPr="00845316" w:rsidRDefault="0013116F" w:rsidP="004B607F">
      <w:pPr>
        <w:spacing w:after="60" w:line="240" w:lineRule="auto"/>
        <w:rPr>
          <w:rFonts w:asciiTheme="minorBidi" w:hAnsiTheme="minorBidi"/>
          <w:sz w:val="20"/>
          <w:szCs w:val="20"/>
          <w:rtl/>
        </w:rPr>
      </w:pPr>
      <w:r w:rsidRPr="00845316">
        <w:rPr>
          <w:rStyle w:val="ab"/>
          <w:rFonts w:asciiTheme="minorBidi" w:hAnsiTheme="minorBidi"/>
        </w:rPr>
        <w:footnoteRef/>
      </w:r>
      <w:r w:rsidRPr="00845316">
        <w:rPr>
          <w:rFonts w:asciiTheme="minorBidi" w:hAnsiTheme="minorBidi"/>
          <w:sz w:val="20"/>
          <w:szCs w:val="20"/>
          <w:rtl/>
        </w:rPr>
        <w:t xml:space="preserve"> הוו להו נוגעין בעדות שגנאי להם שישבו עם פסול בדין, רש"י. אבל לפירוש ר"ח והתוס' (ד"ה תרי ותרי) מדובר שבאו עדים אחרים ומעידים עליו שהוא כשר (ולא הדיינים שיושבים איתו מעידים עליו).</w:t>
      </w:r>
    </w:p>
  </w:footnote>
  <w:footnote w:id="2415">
    <w:p w14:paraId="00FA2F8D" w14:textId="77777777" w:rsidR="0013116F" w:rsidRPr="00845316" w:rsidRDefault="0013116F" w:rsidP="004B607F">
      <w:pPr>
        <w:pStyle w:val="a9"/>
        <w:spacing w:after="60"/>
        <w:rPr>
          <w:rFonts w:asciiTheme="minorBidi" w:hAnsiTheme="minorBidi"/>
        </w:rPr>
      </w:pPr>
      <w:r w:rsidRPr="00845316">
        <w:rPr>
          <w:rStyle w:val="ab"/>
          <w:rFonts w:asciiTheme="minorBidi" w:hAnsiTheme="minorBidi"/>
        </w:rPr>
        <w:footnoteRef/>
      </w:r>
      <w:r w:rsidRPr="00845316">
        <w:rPr>
          <w:rFonts w:asciiTheme="minorBidi" w:hAnsiTheme="minorBidi"/>
          <w:rtl/>
        </w:rPr>
        <w:t xml:space="preserve"> כי אמרי לא גזל הוו להו תרי ותרי ולא מתכשר בהכי דקי"ל לקמן בפרקין (דף כו) אין ערער פחות משנים, רש"י.</w:t>
      </w:r>
    </w:p>
  </w:footnote>
  <w:footnote w:id="2416">
    <w:p w14:paraId="18FEDB90" w14:textId="77777777" w:rsidR="0013116F" w:rsidRPr="00845316" w:rsidRDefault="0013116F" w:rsidP="004B607F">
      <w:pPr>
        <w:pStyle w:val="a9"/>
        <w:spacing w:after="60"/>
        <w:rPr>
          <w:rFonts w:asciiTheme="minorBidi" w:hAnsiTheme="minorBidi"/>
        </w:rPr>
      </w:pPr>
      <w:r w:rsidRPr="00845316">
        <w:rPr>
          <w:rStyle w:val="ab"/>
          <w:rFonts w:asciiTheme="minorBidi" w:hAnsiTheme="minorBidi"/>
        </w:rPr>
        <w:footnoteRef/>
      </w:r>
      <w:r w:rsidRPr="00845316">
        <w:rPr>
          <w:rFonts w:asciiTheme="minorBidi" w:hAnsiTheme="minorBidi"/>
          <w:rtl/>
        </w:rPr>
        <w:t xml:space="preserve"> והשיב את הגזלה, רש"י.</w:t>
      </w:r>
    </w:p>
  </w:footnote>
  <w:footnote w:id="2417">
    <w:p w14:paraId="0439E4A8" w14:textId="77777777" w:rsidR="0013116F" w:rsidRPr="00845316" w:rsidRDefault="0013116F" w:rsidP="004B607F">
      <w:pPr>
        <w:pStyle w:val="a9"/>
        <w:spacing w:after="60"/>
        <w:rPr>
          <w:rFonts w:asciiTheme="minorBidi" w:hAnsiTheme="minorBidi"/>
          <w:rtl/>
        </w:rPr>
      </w:pPr>
      <w:r w:rsidRPr="00845316">
        <w:rPr>
          <w:rStyle w:val="ab"/>
          <w:rFonts w:asciiTheme="minorBidi" w:hAnsiTheme="minorBidi"/>
        </w:rPr>
        <w:footnoteRef/>
      </w:r>
      <w:r w:rsidRPr="00845316">
        <w:rPr>
          <w:rFonts w:asciiTheme="minorBidi" w:hAnsiTheme="minorBidi"/>
          <w:rtl/>
        </w:rPr>
        <w:t xml:space="preserve"> היינו דב' כיתי העדים חלוקים, אלו אומרים "ראינוהו גוזל", ואלו אומרים "הוא לא גזל" </w:t>
      </w:r>
      <w:r w:rsidRPr="00845316">
        <w:rPr>
          <w:rFonts w:asciiTheme="minorBidi" w:hAnsiTheme="minorBidi"/>
          <w:sz w:val="16"/>
          <w:szCs w:val="16"/>
          <w:rtl/>
        </w:rPr>
        <w:t>(ולא מדובר כאן שהעדים האחרונים אומרים שהוא עשה תשובה, דאם אומרים כן אז הדין משתנה, כך שאם חתמו ב' הדיינים אינו חותם עימהם, ואם לא חתמו</w:t>
      </w:r>
      <w:r>
        <w:rPr>
          <w:rFonts w:asciiTheme="minorBidi" w:hAnsiTheme="minorBidi" w:hint="cs"/>
          <w:sz w:val="16"/>
          <w:szCs w:val="16"/>
          <w:rtl/>
        </w:rPr>
        <w:t xml:space="preserve"> </w:t>
      </w:r>
      <w:r w:rsidRPr="00845316">
        <w:rPr>
          <w:rFonts w:asciiTheme="minorBidi" w:hAnsiTheme="minorBidi"/>
          <w:sz w:val="16"/>
          <w:szCs w:val="16"/>
          <w:rtl/>
        </w:rPr>
        <w:t xml:space="preserve">- חותם עימהם, </w:t>
      </w:r>
      <w:r>
        <w:rPr>
          <w:rFonts w:asciiTheme="minorBidi" w:hAnsiTheme="minorBidi" w:hint="cs"/>
          <w:sz w:val="16"/>
          <w:szCs w:val="16"/>
          <w:rtl/>
        </w:rPr>
        <w:t xml:space="preserve">ע"פ </w:t>
      </w:r>
      <w:r w:rsidRPr="00845316">
        <w:rPr>
          <w:rFonts w:asciiTheme="minorBidi" w:hAnsiTheme="minorBidi"/>
          <w:sz w:val="16"/>
          <w:szCs w:val="16"/>
          <w:rtl/>
        </w:rPr>
        <w:t>שו"ע [סי' מו סע' כו])</w:t>
      </w:r>
      <w:r w:rsidRPr="00845316">
        <w:rPr>
          <w:rFonts w:asciiTheme="minorBidi" w:hAnsiTheme="minorBidi"/>
          <w:rtl/>
        </w:rPr>
        <w:t xml:space="preserve">.  </w:t>
      </w:r>
    </w:p>
  </w:footnote>
  <w:footnote w:id="2418">
    <w:p w14:paraId="3C05A8A2" w14:textId="77777777" w:rsidR="0013116F" w:rsidRPr="00845316" w:rsidRDefault="0013116F" w:rsidP="004B607F">
      <w:pPr>
        <w:pStyle w:val="a9"/>
        <w:spacing w:after="60"/>
        <w:rPr>
          <w:rFonts w:asciiTheme="minorBidi" w:hAnsiTheme="minorBidi"/>
          <w:rtl/>
        </w:rPr>
      </w:pPr>
      <w:r w:rsidRPr="00845316">
        <w:rPr>
          <w:rStyle w:val="ab"/>
          <w:rFonts w:asciiTheme="minorBidi" w:hAnsiTheme="minorBidi"/>
        </w:rPr>
        <w:footnoteRef/>
      </w:r>
      <w:r w:rsidRPr="00845316">
        <w:rPr>
          <w:rFonts w:asciiTheme="minorBidi" w:hAnsiTheme="minorBidi"/>
          <w:rtl/>
        </w:rPr>
        <w:t xml:space="preserve"> רי"ף </w:t>
      </w:r>
      <w:r w:rsidRPr="00845316">
        <w:rPr>
          <w:rFonts w:asciiTheme="minorBidi" w:hAnsiTheme="minorBidi"/>
          <w:sz w:val="16"/>
          <w:szCs w:val="16"/>
          <w:rtl/>
        </w:rPr>
        <w:t xml:space="preserve">(ט.) </w:t>
      </w:r>
      <w:r w:rsidRPr="00845316">
        <w:rPr>
          <w:rFonts w:asciiTheme="minorBidi" w:hAnsiTheme="minorBidi"/>
          <w:rtl/>
        </w:rPr>
        <w:t xml:space="preserve">רש"י רמב"ם </w:t>
      </w:r>
      <w:r w:rsidRPr="00845316">
        <w:rPr>
          <w:rFonts w:asciiTheme="minorBidi" w:hAnsiTheme="minorBidi"/>
          <w:sz w:val="16"/>
          <w:szCs w:val="16"/>
          <w:rtl/>
        </w:rPr>
        <w:t xml:space="preserve">(פי"ב ה"ג) </w:t>
      </w:r>
      <w:r w:rsidRPr="00845316">
        <w:rPr>
          <w:rFonts w:asciiTheme="minorBidi" w:hAnsiTheme="minorBidi"/>
          <w:rtl/>
        </w:rPr>
        <w:t xml:space="preserve">רא"ש </w:t>
      </w:r>
      <w:r w:rsidRPr="00845316">
        <w:rPr>
          <w:rFonts w:asciiTheme="minorBidi" w:hAnsiTheme="minorBidi"/>
          <w:sz w:val="16"/>
          <w:szCs w:val="16"/>
          <w:rtl/>
        </w:rPr>
        <w:t xml:space="preserve">(סי' כא) </w:t>
      </w:r>
      <w:r w:rsidRPr="00845316">
        <w:rPr>
          <w:rFonts w:asciiTheme="minorBidi" w:hAnsiTheme="minorBidi"/>
          <w:rtl/>
        </w:rPr>
        <w:t xml:space="preserve">ר"ן </w:t>
      </w:r>
      <w:r w:rsidRPr="00845316">
        <w:rPr>
          <w:rFonts w:asciiTheme="minorBidi" w:hAnsiTheme="minorBidi"/>
          <w:sz w:val="16"/>
          <w:szCs w:val="16"/>
          <w:rtl/>
        </w:rPr>
        <w:t xml:space="preserve">(ט.) </w:t>
      </w:r>
      <w:r w:rsidRPr="00845316">
        <w:rPr>
          <w:rFonts w:asciiTheme="minorBidi" w:hAnsiTheme="minorBidi"/>
          <w:rtl/>
        </w:rPr>
        <w:t xml:space="preserve">ורי"ו </w:t>
      </w:r>
      <w:r w:rsidRPr="00845316">
        <w:rPr>
          <w:rFonts w:asciiTheme="minorBidi" w:hAnsiTheme="minorBidi"/>
          <w:sz w:val="16"/>
          <w:szCs w:val="16"/>
          <w:rtl/>
        </w:rPr>
        <w:t>(נ"ב ח"ד יג.)</w:t>
      </w:r>
      <w:r w:rsidRPr="00845316">
        <w:rPr>
          <w:rFonts w:asciiTheme="minorBidi" w:hAnsiTheme="minorBidi"/>
          <w:rtl/>
        </w:rPr>
        <w:t>.</w:t>
      </w:r>
    </w:p>
  </w:footnote>
  <w:footnote w:id="2419">
    <w:p w14:paraId="40231566" w14:textId="77777777" w:rsidR="0013116F" w:rsidRPr="00845316" w:rsidRDefault="0013116F" w:rsidP="004B607F">
      <w:pPr>
        <w:pStyle w:val="a9"/>
        <w:spacing w:after="60"/>
        <w:rPr>
          <w:rFonts w:asciiTheme="minorBidi" w:hAnsiTheme="minorBidi"/>
          <w:rtl/>
        </w:rPr>
      </w:pPr>
      <w:r w:rsidRPr="00845316">
        <w:rPr>
          <w:rStyle w:val="ab"/>
          <w:rFonts w:asciiTheme="minorBidi" w:hAnsiTheme="minorBidi"/>
        </w:rPr>
        <w:footnoteRef/>
      </w:r>
      <w:r w:rsidRPr="00845316">
        <w:rPr>
          <w:rFonts w:asciiTheme="minorBidi" w:hAnsiTheme="minorBidi"/>
          <w:rtl/>
        </w:rPr>
        <w:t xml:space="preserve"> דאמרינן אוקי תרי בהדי תרי ואוקי מונא בחזקת מריה, ואע"ג דאיכא למימר אוקי גברא אחזקתיה- חזקת ממון אלימא טפי, ב"י.</w:t>
      </w:r>
    </w:p>
  </w:footnote>
  <w:footnote w:id="2420">
    <w:p w14:paraId="1CF8B13D" w14:textId="77777777" w:rsidR="0013116F" w:rsidRPr="00845316" w:rsidRDefault="0013116F" w:rsidP="004B607F">
      <w:pPr>
        <w:pStyle w:val="a9"/>
        <w:spacing w:after="60"/>
        <w:rPr>
          <w:rFonts w:asciiTheme="minorBidi" w:hAnsiTheme="minorBidi"/>
          <w:rtl/>
        </w:rPr>
      </w:pPr>
      <w:r w:rsidRPr="00845316">
        <w:rPr>
          <w:rStyle w:val="ab"/>
          <w:rFonts w:asciiTheme="minorBidi" w:hAnsiTheme="minorBidi"/>
        </w:rPr>
        <w:footnoteRef/>
      </w:r>
      <w:r w:rsidRPr="00845316">
        <w:rPr>
          <w:rFonts w:asciiTheme="minorBidi" w:hAnsiTheme="minorBidi"/>
          <w:rtl/>
        </w:rPr>
        <w:t xml:space="preserve"> ר"ח </w:t>
      </w:r>
      <w:r w:rsidRPr="00845316">
        <w:rPr>
          <w:rFonts w:asciiTheme="minorBidi" w:hAnsiTheme="minorBidi"/>
          <w:sz w:val="16"/>
          <w:szCs w:val="16"/>
          <w:rtl/>
        </w:rPr>
        <w:t>(הביאוהו התוס' והר"ן)</w:t>
      </w:r>
      <w:r w:rsidRPr="00845316">
        <w:rPr>
          <w:rFonts w:asciiTheme="minorBidi" w:hAnsiTheme="minorBidi"/>
          <w:rtl/>
        </w:rPr>
        <w:t xml:space="preserve"> תוס' </w:t>
      </w:r>
      <w:r w:rsidRPr="00845316">
        <w:rPr>
          <w:rFonts w:asciiTheme="minorBidi" w:hAnsiTheme="minorBidi"/>
          <w:sz w:val="16"/>
          <w:szCs w:val="16"/>
          <w:rtl/>
        </w:rPr>
        <w:t xml:space="preserve"> (ד"ה תרי ותרי)</w:t>
      </w:r>
      <w:r w:rsidRPr="00845316">
        <w:rPr>
          <w:rFonts w:asciiTheme="minorBidi" w:hAnsiTheme="minorBidi"/>
          <w:rtl/>
        </w:rPr>
        <w:t xml:space="preserve"> ורז"ה </w:t>
      </w:r>
      <w:r w:rsidRPr="00845316">
        <w:rPr>
          <w:rFonts w:asciiTheme="minorBidi" w:hAnsiTheme="minorBidi"/>
          <w:sz w:val="16"/>
          <w:szCs w:val="16"/>
          <w:rtl/>
        </w:rPr>
        <w:t>(ט. מדפי הרי"ף)</w:t>
      </w:r>
      <w:r w:rsidRPr="00845316">
        <w:rPr>
          <w:rFonts w:asciiTheme="minorBidi" w:hAnsiTheme="minorBidi"/>
          <w:rtl/>
        </w:rPr>
        <w:t>.</w:t>
      </w:r>
    </w:p>
  </w:footnote>
  <w:footnote w:id="2421">
    <w:p w14:paraId="0BB43A12" w14:textId="77777777" w:rsidR="0013116F" w:rsidRPr="00845316" w:rsidRDefault="0013116F" w:rsidP="004B607F">
      <w:pPr>
        <w:pStyle w:val="a9"/>
        <w:spacing w:after="60"/>
        <w:rPr>
          <w:rFonts w:asciiTheme="minorBidi" w:hAnsiTheme="minorBidi"/>
        </w:rPr>
      </w:pPr>
      <w:r w:rsidRPr="00845316">
        <w:rPr>
          <w:rStyle w:val="ab"/>
          <w:rFonts w:asciiTheme="minorBidi" w:hAnsiTheme="minorBidi"/>
        </w:rPr>
        <w:footnoteRef/>
      </w:r>
      <w:r w:rsidRPr="00845316">
        <w:rPr>
          <w:rFonts w:asciiTheme="minorBidi" w:hAnsiTheme="minorBidi"/>
          <w:rtl/>
        </w:rPr>
        <w:t xml:space="preserve"> שיישבו ג' דיינים לקיים שטר, ובאו ב' עדים והעידו על א' מהדיינים שגזל, ולאחמ"כ העידו ב' עדים/דיינים שחזר בתשובה.</w:t>
      </w:r>
    </w:p>
  </w:footnote>
  <w:footnote w:id="2422">
    <w:p w14:paraId="1C246DE7" w14:textId="77777777" w:rsidR="0013116F" w:rsidRPr="00845316" w:rsidRDefault="0013116F" w:rsidP="004B607F">
      <w:pPr>
        <w:pStyle w:val="a9"/>
        <w:spacing w:after="60"/>
        <w:rPr>
          <w:rFonts w:asciiTheme="minorBidi" w:hAnsiTheme="minorBidi"/>
        </w:rPr>
      </w:pPr>
      <w:r w:rsidRPr="00845316">
        <w:rPr>
          <w:rStyle w:val="ab"/>
          <w:rFonts w:asciiTheme="minorBidi" w:hAnsiTheme="minorBidi"/>
        </w:rPr>
        <w:footnoteRef/>
      </w:r>
      <w:r w:rsidRPr="00845316">
        <w:rPr>
          <w:rFonts w:asciiTheme="minorBidi" w:hAnsiTheme="minorBidi"/>
          <w:rtl/>
        </w:rPr>
        <w:t xml:space="preserve"> ואם תאמר כיון שהעידו עליו דעבד תשובה קודם ערעור של אלו הרי לא נתבטל הצירוף וכשר היה כשחתמו</w:t>
      </w:r>
      <w:r>
        <w:rPr>
          <w:rFonts w:asciiTheme="minorBidi" w:hAnsiTheme="minorBidi" w:hint="cs"/>
          <w:rtl/>
        </w:rPr>
        <w:t>.</w:t>
      </w:r>
      <w:r w:rsidRPr="00845316">
        <w:rPr>
          <w:rFonts w:asciiTheme="minorBidi" w:hAnsiTheme="minorBidi"/>
          <w:rtl/>
        </w:rPr>
        <w:t xml:space="preserve"> וי"ל דהא ליתא</w:t>
      </w:r>
      <w:r>
        <w:rPr>
          <w:rFonts w:asciiTheme="minorBidi" w:hAnsiTheme="minorBidi" w:hint="cs"/>
          <w:rtl/>
        </w:rPr>
        <w:t>,</w:t>
      </w:r>
      <w:r w:rsidRPr="00845316">
        <w:rPr>
          <w:rFonts w:asciiTheme="minorBidi" w:hAnsiTheme="minorBidi"/>
          <w:rtl/>
        </w:rPr>
        <w:t xml:space="preserve"> כי אין זה נכשר עד שיעידו בבית דין</w:t>
      </w:r>
      <w:r>
        <w:rPr>
          <w:rFonts w:asciiTheme="minorBidi" w:hAnsiTheme="minorBidi" w:hint="cs"/>
          <w:rtl/>
        </w:rPr>
        <w:t>.</w:t>
      </w:r>
      <w:r w:rsidRPr="00845316">
        <w:rPr>
          <w:rFonts w:asciiTheme="minorBidi" w:hAnsiTheme="minorBidi"/>
          <w:rtl/>
        </w:rPr>
        <w:t xml:space="preserve"> ועוד דאפילו הוא נכשר למפרע משום דעבד תשובה, כיון דלא נתברר הכשרו עד עכשיו דין הוא שיתבטל הצירוף, ריטב"א </w:t>
      </w:r>
      <w:r w:rsidRPr="00845316">
        <w:rPr>
          <w:rFonts w:asciiTheme="minorBidi" w:hAnsiTheme="minorBidi"/>
          <w:sz w:val="16"/>
          <w:szCs w:val="16"/>
          <w:rtl/>
        </w:rPr>
        <w:t>(כתובות כב. ד"ה אלא, הביאו הש"ך [סקל"ד])</w:t>
      </w:r>
      <w:r w:rsidRPr="00845316">
        <w:rPr>
          <w:rFonts w:asciiTheme="minorBidi" w:hAnsiTheme="minorBidi"/>
          <w:rtl/>
        </w:rPr>
        <w:t xml:space="preserve">. וכ' הש"ך דכן נראה שפסק השו"ע בסי' מו סע' כו. </w:t>
      </w:r>
    </w:p>
  </w:footnote>
  <w:footnote w:id="2423">
    <w:p w14:paraId="3C98F496" w14:textId="77777777" w:rsidR="0013116F" w:rsidRPr="00845316" w:rsidRDefault="0013116F" w:rsidP="004B607F">
      <w:pPr>
        <w:pStyle w:val="a9"/>
        <w:spacing w:after="60"/>
        <w:rPr>
          <w:rFonts w:asciiTheme="minorBidi" w:hAnsiTheme="minorBidi"/>
          <w:rtl/>
        </w:rPr>
      </w:pPr>
      <w:r w:rsidRPr="00845316">
        <w:rPr>
          <w:rStyle w:val="ab"/>
          <w:rFonts w:asciiTheme="minorBidi" w:hAnsiTheme="minorBidi"/>
        </w:rPr>
        <w:footnoteRef/>
      </w:r>
      <w:r w:rsidRPr="00845316">
        <w:rPr>
          <w:rFonts w:asciiTheme="minorBidi" w:hAnsiTheme="minorBidi"/>
          <w:rtl/>
        </w:rPr>
        <w:t xml:space="preserve"> וכ' הש"ך </w:t>
      </w:r>
      <w:r w:rsidRPr="00845316">
        <w:rPr>
          <w:rFonts w:asciiTheme="minorBidi" w:hAnsiTheme="minorBidi"/>
          <w:sz w:val="16"/>
          <w:szCs w:val="16"/>
          <w:rtl/>
        </w:rPr>
        <w:t xml:space="preserve">(סקל"ד) </w:t>
      </w:r>
      <w:r w:rsidRPr="00845316">
        <w:rPr>
          <w:rFonts w:asciiTheme="minorBidi" w:hAnsiTheme="minorBidi"/>
          <w:rtl/>
        </w:rPr>
        <w:t xml:space="preserve">בסוף דבריו דאפשר גם הרי"ף ור"ח והרמב"ם מודים ליה לדינא, אלא דס"ל כמו שהבאתי שם </w:t>
      </w:r>
      <w:r w:rsidRPr="00845316">
        <w:rPr>
          <w:rFonts w:asciiTheme="minorBidi" w:hAnsiTheme="minorBidi"/>
          <w:sz w:val="16"/>
          <w:szCs w:val="16"/>
          <w:rtl/>
        </w:rPr>
        <w:t xml:space="preserve">(סי' מו ס"ק סו) </w:t>
      </w:r>
      <w:r w:rsidRPr="00845316">
        <w:rPr>
          <w:rFonts w:asciiTheme="minorBidi" w:hAnsiTheme="minorBidi"/>
          <w:rtl/>
        </w:rPr>
        <w:t xml:space="preserve">בשם הריטב"א. </w:t>
      </w:r>
    </w:p>
  </w:footnote>
  <w:footnote w:id="2424">
    <w:p w14:paraId="52EBE4C6" w14:textId="77777777" w:rsidR="0013116F" w:rsidRDefault="0013116F" w:rsidP="004B607F">
      <w:pPr>
        <w:pStyle w:val="a9"/>
        <w:rPr>
          <w:rtl/>
        </w:rPr>
      </w:pPr>
      <w:r>
        <w:rPr>
          <w:rStyle w:val="ab"/>
        </w:rPr>
        <w:footnoteRef/>
      </w:r>
      <w:r>
        <w:rPr>
          <w:rtl/>
        </w:rPr>
        <w:t xml:space="preserve"> </w:t>
      </w:r>
      <w:r>
        <w:rPr>
          <w:rFonts w:hint="cs"/>
          <w:rtl/>
        </w:rPr>
        <w:t xml:space="preserve">סימן </w:t>
      </w:r>
      <w:r>
        <w:rPr>
          <w:rtl/>
        </w:rPr>
        <w:t>–</w:t>
      </w:r>
      <w:r>
        <w:rPr>
          <w:rFonts w:hint="cs"/>
          <w:rtl/>
        </w:rPr>
        <w:t xml:space="preserve"> זיכוי כרגא.</w:t>
      </w:r>
    </w:p>
  </w:footnote>
  <w:footnote w:id="2425">
    <w:p w14:paraId="3EB4684E" w14:textId="77777777" w:rsidR="0013116F" w:rsidRPr="00845316" w:rsidRDefault="0013116F" w:rsidP="004B607F">
      <w:pPr>
        <w:pStyle w:val="a9"/>
        <w:spacing w:after="60"/>
        <w:rPr>
          <w:rFonts w:asciiTheme="minorBidi" w:hAnsiTheme="minorBidi"/>
          <w:rtl/>
        </w:rPr>
      </w:pPr>
      <w:r w:rsidRPr="00845316">
        <w:rPr>
          <w:rStyle w:val="ab"/>
          <w:rFonts w:asciiTheme="minorBidi" w:hAnsiTheme="minorBidi"/>
        </w:rPr>
        <w:footnoteRef/>
      </w:r>
      <w:r w:rsidRPr="00845316">
        <w:rPr>
          <w:rFonts w:asciiTheme="minorBidi" w:hAnsiTheme="minorBidi"/>
          <w:rtl/>
        </w:rPr>
        <w:t xml:space="preserve"> ה"ר יקר והריב"ש (סי' שלט) גרסו- "לדידי גנב", ט"ז. </w:t>
      </w:r>
    </w:p>
  </w:footnote>
  <w:footnote w:id="2426">
    <w:p w14:paraId="2A125327" w14:textId="77777777" w:rsidR="0013116F" w:rsidRPr="00845316" w:rsidRDefault="0013116F" w:rsidP="004B607F">
      <w:pPr>
        <w:pStyle w:val="a9"/>
        <w:spacing w:after="60"/>
        <w:rPr>
          <w:rFonts w:asciiTheme="minorBidi" w:hAnsiTheme="minorBidi"/>
        </w:rPr>
      </w:pPr>
      <w:r w:rsidRPr="00845316">
        <w:rPr>
          <w:rStyle w:val="ab"/>
          <w:rFonts w:asciiTheme="minorBidi" w:hAnsiTheme="minorBidi"/>
        </w:rPr>
        <w:footnoteRef/>
      </w:r>
      <w:r w:rsidRPr="00845316">
        <w:rPr>
          <w:rFonts w:asciiTheme="minorBidi" w:hAnsiTheme="minorBidi"/>
          <w:rtl/>
        </w:rPr>
        <w:t xml:space="preserve"> דרב פפי, שהיפך בזכותו, רש"י.</w:t>
      </w:r>
    </w:p>
  </w:footnote>
  <w:footnote w:id="2427">
    <w:p w14:paraId="1C0CB857" w14:textId="77777777" w:rsidR="0013116F" w:rsidRPr="00845316" w:rsidRDefault="0013116F" w:rsidP="004B607F">
      <w:pPr>
        <w:pStyle w:val="a9"/>
        <w:spacing w:after="60"/>
        <w:rPr>
          <w:rFonts w:asciiTheme="minorBidi" w:hAnsiTheme="minorBidi"/>
        </w:rPr>
      </w:pPr>
      <w:r w:rsidRPr="00845316">
        <w:rPr>
          <w:rStyle w:val="ab"/>
          <w:rFonts w:asciiTheme="minorBidi" w:hAnsiTheme="minorBidi"/>
        </w:rPr>
        <w:footnoteRef/>
      </w:r>
      <w:r w:rsidRPr="00845316">
        <w:rPr>
          <w:rFonts w:asciiTheme="minorBidi" w:hAnsiTheme="minorBidi"/>
          <w:rtl/>
        </w:rPr>
        <w:t xml:space="preserve"> להצילו כל ימיו ממנת המלך, רש"י.</w:t>
      </w:r>
    </w:p>
  </w:footnote>
  <w:footnote w:id="2428">
    <w:p w14:paraId="2F08ABC9" w14:textId="77777777" w:rsidR="0013116F" w:rsidRPr="00845316" w:rsidRDefault="0013116F" w:rsidP="004B607F">
      <w:pPr>
        <w:pStyle w:val="a9"/>
        <w:spacing w:after="60"/>
        <w:rPr>
          <w:rFonts w:asciiTheme="minorBidi" w:hAnsiTheme="minorBidi"/>
          <w:rtl/>
        </w:rPr>
      </w:pPr>
      <w:r w:rsidRPr="00845316">
        <w:rPr>
          <w:rStyle w:val="ab"/>
          <w:rFonts w:asciiTheme="minorBidi" w:hAnsiTheme="minorBidi"/>
        </w:rPr>
        <w:footnoteRef/>
      </w:r>
      <w:r w:rsidRPr="00845316">
        <w:rPr>
          <w:rFonts w:asciiTheme="minorBidi" w:hAnsiTheme="minorBidi"/>
          <w:rtl/>
        </w:rPr>
        <w:t xml:space="preserve"> וכ' הזכר יצחק </w:t>
      </w:r>
      <w:r w:rsidRPr="00845316">
        <w:rPr>
          <w:rFonts w:asciiTheme="minorBidi" w:hAnsiTheme="minorBidi"/>
          <w:sz w:val="16"/>
          <w:szCs w:val="16"/>
          <w:rtl/>
        </w:rPr>
        <w:t>(סי' יח סק"ד, הובא בהגוה"ע אות קצו)</w:t>
      </w:r>
      <w:r w:rsidRPr="00845316">
        <w:rPr>
          <w:rFonts w:asciiTheme="minorBidi" w:hAnsiTheme="minorBidi"/>
          <w:rtl/>
        </w:rPr>
        <w:t xml:space="preserve"> דה"ה כשאחד העיד שגנב ואחד העיד שחילל שבת, דאע"ג דגנב פסול מטעם משקר ומחלל שבת מגזירת הכתוב דאל תשת רשע עד מ"מ גם בגזלן איכא פסולא דרשע ע"ש. </w:t>
      </w:r>
    </w:p>
  </w:footnote>
  <w:footnote w:id="2429">
    <w:p w14:paraId="7AB3111D" w14:textId="77777777" w:rsidR="0013116F" w:rsidRPr="00845316" w:rsidRDefault="0013116F" w:rsidP="004B607F">
      <w:pPr>
        <w:pStyle w:val="a9"/>
        <w:spacing w:after="60"/>
        <w:rPr>
          <w:rFonts w:asciiTheme="minorBidi" w:hAnsiTheme="minorBidi"/>
          <w:rtl/>
        </w:rPr>
      </w:pPr>
      <w:r w:rsidRPr="00845316">
        <w:rPr>
          <w:rStyle w:val="ab"/>
          <w:rFonts w:asciiTheme="minorBidi" w:hAnsiTheme="minorBidi"/>
        </w:rPr>
        <w:footnoteRef/>
      </w:r>
      <w:r w:rsidRPr="00845316">
        <w:rPr>
          <w:rFonts w:asciiTheme="minorBidi" w:hAnsiTheme="minorBidi"/>
          <w:rtl/>
        </w:rPr>
        <w:t xml:space="preserve"> לשון הרמב"ם (פי"ב ה"ג).</w:t>
      </w:r>
    </w:p>
  </w:footnote>
  <w:footnote w:id="2430">
    <w:p w14:paraId="42A4703C" w14:textId="77777777" w:rsidR="0013116F" w:rsidRDefault="0013116F" w:rsidP="004B607F">
      <w:pPr>
        <w:pStyle w:val="a9"/>
      </w:pPr>
      <w:r>
        <w:rPr>
          <w:rStyle w:val="ab"/>
        </w:rPr>
        <w:footnoteRef/>
      </w:r>
      <w:r>
        <w:rPr>
          <w:rtl/>
        </w:rPr>
        <w:t xml:space="preserve"> </w:t>
      </w:r>
      <w:r>
        <w:rPr>
          <w:rFonts w:hint="cs"/>
          <w:rtl/>
        </w:rPr>
        <w:t xml:space="preserve">סימן </w:t>
      </w:r>
      <w:r>
        <w:rPr>
          <w:rtl/>
        </w:rPr>
        <w:t>–</w:t>
      </w:r>
      <w:r>
        <w:rPr>
          <w:rFonts w:hint="cs"/>
          <w:rtl/>
        </w:rPr>
        <w:t xml:space="preserve"> כאב גרש כרת.</w:t>
      </w:r>
    </w:p>
  </w:footnote>
  <w:footnote w:id="2431">
    <w:p w14:paraId="39727A73" w14:textId="77777777" w:rsidR="0013116F" w:rsidRPr="00845316" w:rsidRDefault="0013116F" w:rsidP="004B607F">
      <w:pPr>
        <w:pStyle w:val="a9"/>
        <w:spacing w:after="60"/>
        <w:rPr>
          <w:rFonts w:asciiTheme="minorBidi" w:hAnsiTheme="minorBidi"/>
          <w:rtl/>
        </w:rPr>
      </w:pPr>
      <w:r w:rsidRPr="00845316">
        <w:rPr>
          <w:rStyle w:val="ab"/>
          <w:rFonts w:asciiTheme="minorBidi" w:hAnsiTheme="minorBidi"/>
        </w:rPr>
        <w:footnoteRef/>
      </w:r>
      <w:r w:rsidRPr="00845316">
        <w:rPr>
          <w:rFonts w:asciiTheme="minorBidi" w:hAnsiTheme="minorBidi"/>
          <w:rtl/>
        </w:rPr>
        <w:t xml:space="preserve"> ויגבה הקרן בעל פה לרבנן דאמרי (ב"מ עב.) אין קונסין אותו, רא"ש.</w:t>
      </w:r>
    </w:p>
  </w:footnote>
  <w:footnote w:id="2432">
    <w:p w14:paraId="77D060A5" w14:textId="77777777" w:rsidR="0013116F" w:rsidRPr="00845316" w:rsidRDefault="0013116F" w:rsidP="004B607F">
      <w:pPr>
        <w:pStyle w:val="a9"/>
        <w:spacing w:after="60"/>
        <w:rPr>
          <w:rFonts w:asciiTheme="minorBidi" w:hAnsiTheme="minorBidi"/>
        </w:rPr>
      </w:pPr>
      <w:r w:rsidRPr="00845316">
        <w:rPr>
          <w:rStyle w:val="ab"/>
          <w:rFonts w:asciiTheme="minorBidi" w:hAnsiTheme="minorBidi"/>
        </w:rPr>
        <w:footnoteRef/>
      </w:r>
      <w:r w:rsidRPr="00845316">
        <w:rPr>
          <w:rFonts w:asciiTheme="minorBidi" w:hAnsiTheme="minorBidi"/>
          <w:rtl/>
        </w:rPr>
        <w:t xml:space="preserve"> ומה שלא פירש שצריכים להחזיר הרבית שלקחו הוא משום דמלתא דפשיטא הוא דצריך להוציא גזילה מתחת ידו</w:t>
      </w:r>
      <w:r>
        <w:rPr>
          <w:rFonts w:asciiTheme="minorBidi" w:hAnsiTheme="minorBidi" w:hint="cs"/>
          <w:rtl/>
        </w:rPr>
        <w:t>.</w:t>
      </w:r>
      <w:r w:rsidRPr="00845316">
        <w:rPr>
          <w:rFonts w:asciiTheme="minorBidi" w:hAnsiTheme="minorBidi"/>
          <w:rtl/>
        </w:rPr>
        <w:t xml:space="preserve"> ואם אין יודע ממי נטל צריך לעשות בהם צרכי רבים, וכן בשאר כל עברות של ממון אם בא לידו באיסור ורוצה לעשות תשובה צריך להוציא הממון מידו, רא"ש (סי' י).</w:t>
      </w:r>
    </w:p>
  </w:footnote>
  <w:footnote w:id="2433">
    <w:p w14:paraId="1018961A" w14:textId="77777777" w:rsidR="0013116F" w:rsidRPr="00845316" w:rsidRDefault="0013116F" w:rsidP="004B607F">
      <w:pPr>
        <w:pStyle w:val="a9"/>
        <w:spacing w:after="60"/>
        <w:rPr>
          <w:rFonts w:asciiTheme="minorBidi" w:hAnsiTheme="minorBidi"/>
          <w:rtl/>
        </w:rPr>
      </w:pPr>
      <w:r w:rsidRPr="00845316">
        <w:rPr>
          <w:rStyle w:val="ab"/>
          <w:rFonts w:asciiTheme="minorBidi" w:hAnsiTheme="minorBidi"/>
        </w:rPr>
        <w:footnoteRef/>
      </w:r>
      <w:r w:rsidRPr="00845316">
        <w:rPr>
          <w:rFonts w:asciiTheme="minorBidi" w:hAnsiTheme="minorBidi"/>
          <w:rtl/>
        </w:rPr>
        <w:t xml:space="preserve"> שישתכח שם ריבית מפיהם, דתו לא הדרי לקלקולייהו, רש"י.</w:t>
      </w:r>
    </w:p>
  </w:footnote>
  <w:footnote w:id="2434">
    <w:p w14:paraId="1A43162D" w14:textId="77777777" w:rsidR="0013116F" w:rsidRPr="00845316" w:rsidRDefault="0013116F" w:rsidP="004B607F">
      <w:pPr>
        <w:pStyle w:val="a9"/>
        <w:spacing w:after="60"/>
        <w:rPr>
          <w:rFonts w:asciiTheme="minorBidi" w:hAnsiTheme="minorBidi"/>
          <w:rtl/>
        </w:rPr>
      </w:pPr>
      <w:r w:rsidRPr="00845316">
        <w:rPr>
          <w:rStyle w:val="ab"/>
          <w:rFonts w:asciiTheme="minorBidi" w:hAnsiTheme="minorBidi"/>
        </w:rPr>
        <w:footnoteRef/>
      </w:r>
      <w:r w:rsidRPr="00845316">
        <w:rPr>
          <w:rFonts w:asciiTheme="minorBidi" w:hAnsiTheme="minorBidi"/>
          <w:rtl/>
        </w:rPr>
        <w:t xml:space="preserve"> בהעי"ט </w:t>
      </w:r>
      <w:r w:rsidRPr="00845316">
        <w:rPr>
          <w:rFonts w:asciiTheme="minorBidi" w:hAnsiTheme="minorBidi"/>
          <w:sz w:val="16"/>
          <w:szCs w:val="16"/>
          <w:rtl/>
        </w:rPr>
        <w:t xml:space="preserve">(קבלת עדות נז:, כ"כ הדרכ"מ בשמו, הביאו הב"י סע' מג) </w:t>
      </w:r>
      <w:r w:rsidRPr="00845316">
        <w:rPr>
          <w:rFonts w:asciiTheme="minorBidi" w:hAnsiTheme="minorBidi"/>
          <w:rtl/>
        </w:rPr>
        <w:t>(טור</w:t>
      </w:r>
      <w:r w:rsidRPr="00845316">
        <w:rPr>
          <w:rFonts w:asciiTheme="minorBidi" w:hAnsiTheme="minorBidi"/>
          <w:sz w:val="16"/>
          <w:szCs w:val="16"/>
          <w:rtl/>
        </w:rPr>
        <w:t xml:space="preserve"> </w:t>
      </w:r>
      <w:r w:rsidRPr="00845316">
        <w:rPr>
          <w:rFonts w:asciiTheme="minorBidi" w:hAnsiTheme="minorBidi"/>
          <w:sz w:val="14"/>
          <w:szCs w:val="14"/>
          <w:rtl/>
        </w:rPr>
        <w:t xml:space="preserve">[סע' טו] </w:t>
      </w:r>
      <w:r w:rsidRPr="00845316">
        <w:rPr>
          <w:rFonts w:asciiTheme="minorBidi" w:hAnsiTheme="minorBidi"/>
          <w:sz w:val="16"/>
          <w:szCs w:val="16"/>
          <w:rtl/>
        </w:rPr>
        <w:t>להב' הדרכ"מ</w:t>
      </w:r>
      <w:r w:rsidRPr="00845316">
        <w:rPr>
          <w:rFonts w:asciiTheme="minorBidi" w:hAnsiTheme="minorBidi"/>
          <w:sz w:val="14"/>
          <w:szCs w:val="14"/>
          <w:rtl/>
        </w:rPr>
        <w:t xml:space="preserve"> [אות טז*]</w:t>
      </w:r>
      <w:r w:rsidRPr="00845316">
        <w:rPr>
          <w:rFonts w:asciiTheme="minorBidi" w:hAnsiTheme="minorBidi"/>
          <w:rtl/>
        </w:rPr>
        <w:t xml:space="preserve">) ודרכ"מ </w:t>
      </w:r>
      <w:r w:rsidRPr="00845316">
        <w:rPr>
          <w:rFonts w:asciiTheme="minorBidi" w:hAnsiTheme="minorBidi"/>
          <w:sz w:val="16"/>
          <w:szCs w:val="16"/>
          <w:rtl/>
        </w:rPr>
        <w:t>(אות טו)</w:t>
      </w:r>
      <w:r w:rsidRPr="00845316">
        <w:rPr>
          <w:rFonts w:asciiTheme="minorBidi" w:hAnsiTheme="minorBidi"/>
          <w:rtl/>
        </w:rPr>
        <w:t>.</w:t>
      </w:r>
    </w:p>
  </w:footnote>
  <w:footnote w:id="2435">
    <w:p w14:paraId="1AB66EB4" w14:textId="77777777" w:rsidR="0013116F" w:rsidRPr="00845316" w:rsidRDefault="0013116F" w:rsidP="004B607F">
      <w:pPr>
        <w:pStyle w:val="a9"/>
        <w:spacing w:after="60"/>
        <w:rPr>
          <w:rFonts w:asciiTheme="minorBidi" w:hAnsiTheme="minorBidi"/>
          <w:rtl/>
        </w:rPr>
      </w:pPr>
      <w:r w:rsidRPr="00845316">
        <w:rPr>
          <w:rStyle w:val="ab"/>
          <w:rFonts w:asciiTheme="minorBidi" w:hAnsiTheme="minorBidi"/>
        </w:rPr>
        <w:footnoteRef/>
      </w:r>
      <w:r w:rsidRPr="00845316">
        <w:rPr>
          <w:rFonts w:asciiTheme="minorBidi" w:hAnsiTheme="minorBidi"/>
          <w:rtl/>
        </w:rPr>
        <w:t xml:space="preserve"> היינו טעמא, דאף שהחזירו הממון שגזלו, עדיין לא סבלו שום עונש על שעברו אהלאו דלא תגזול או לא תגנוב, כמו בחייבי מלקות שנלקו בגופם על עוברם עבירה, סמ"ע (סקע"א).</w:t>
      </w:r>
    </w:p>
  </w:footnote>
  <w:footnote w:id="2436">
    <w:p w14:paraId="63C1A543" w14:textId="77777777" w:rsidR="0013116F" w:rsidRPr="00845316" w:rsidRDefault="0013116F" w:rsidP="004B607F">
      <w:pPr>
        <w:pStyle w:val="a9"/>
        <w:spacing w:after="60"/>
        <w:rPr>
          <w:rFonts w:asciiTheme="minorBidi" w:hAnsiTheme="minorBidi"/>
        </w:rPr>
      </w:pPr>
      <w:r w:rsidRPr="00845316">
        <w:rPr>
          <w:rStyle w:val="ab"/>
          <w:rFonts w:asciiTheme="minorBidi" w:hAnsiTheme="minorBidi"/>
        </w:rPr>
        <w:footnoteRef/>
      </w:r>
      <w:r w:rsidRPr="00845316">
        <w:rPr>
          <w:rFonts w:asciiTheme="minorBidi" w:hAnsiTheme="minorBidi"/>
          <w:rtl/>
        </w:rPr>
        <w:t xml:space="preserve"> פירוש, השטרות שכתוב בהן קרן וריבית קורעין, וגובין הקרן בעל פה, סמ"ע (סקע"ג).</w:t>
      </w:r>
    </w:p>
  </w:footnote>
  <w:footnote w:id="2437">
    <w:p w14:paraId="16EDEC2F" w14:textId="77777777" w:rsidR="0013116F" w:rsidRPr="00845316" w:rsidRDefault="0013116F" w:rsidP="004B607F">
      <w:pPr>
        <w:pStyle w:val="a9"/>
        <w:spacing w:after="60"/>
        <w:rPr>
          <w:rFonts w:asciiTheme="minorBidi" w:hAnsiTheme="minorBidi"/>
          <w:rtl/>
        </w:rPr>
      </w:pPr>
      <w:r w:rsidRPr="00845316">
        <w:rPr>
          <w:rStyle w:val="ab"/>
          <w:rFonts w:asciiTheme="minorBidi" w:hAnsiTheme="minorBidi"/>
        </w:rPr>
        <w:footnoteRef/>
      </w:r>
      <w:r w:rsidRPr="00845316">
        <w:rPr>
          <w:rFonts w:asciiTheme="minorBidi" w:hAnsiTheme="minorBidi"/>
          <w:rtl/>
        </w:rPr>
        <w:t xml:space="preserve"> וכן שלא יזיף מגוי, רי"ו </w:t>
      </w:r>
      <w:r w:rsidRPr="00845316">
        <w:rPr>
          <w:rFonts w:asciiTheme="minorBidi" w:hAnsiTheme="minorBidi"/>
          <w:sz w:val="16"/>
          <w:szCs w:val="16"/>
          <w:rtl/>
        </w:rPr>
        <w:t>(נ"ב ח"ד הביאו הסמ"ע סקע"ה)</w:t>
      </w:r>
      <w:r w:rsidRPr="00845316">
        <w:rPr>
          <w:rFonts w:asciiTheme="minorBidi" w:hAnsiTheme="minorBidi"/>
          <w:rtl/>
        </w:rPr>
        <w:t>. וכתב בהגה"מ (פי"ב אות ב) דהכא מיירי דקיבל עליו דאפילו בכדי חייו לא ילוה לגוי דשרי כו', דאי ביותר מכדי חייו בלאו הכי אסור (כמש"כ הטור ביו"ד סי' קנט), ושמא דאפילו בקיבלו עליו ביותר מכדי חייו הוה חזרה כיון שהוא (מודה באיסורו) [מוזהר מאיסורן], עכ"ל, והביאו בד"מ מ"ג, סמ"ע (סקע"ד).</w:t>
      </w:r>
    </w:p>
  </w:footnote>
  <w:footnote w:id="2438">
    <w:p w14:paraId="408A8FAE" w14:textId="77777777" w:rsidR="0013116F" w:rsidRPr="00845316" w:rsidRDefault="0013116F" w:rsidP="004B607F">
      <w:pPr>
        <w:pStyle w:val="a9"/>
        <w:spacing w:after="60"/>
        <w:rPr>
          <w:rFonts w:asciiTheme="minorBidi" w:hAnsiTheme="minorBidi"/>
          <w:color w:val="FF0000"/>
          <w:rtl/>
        </w:rPr>
      </w:pPr>
      <w:r w:rsidRPr="00845316">
        <w:rPr>
          <w:rStyle w:val="ab"/>
          <w:rFonts w:asciiTheme="minorBidi" w:hAnsiTheme="minorBidi"/>
        </w:rPr>
        <w:footnoteRef/>
      </w:r>
      <w:r w:rsidRPr="00845316">
        <w:rPr>
          <w:rFonts w:asciiTheme="minorBidi" w:hAnsiTheme="minorBidi"/>
          <w:rtl/>
        </w:rPr>
        <w:t xml:space="preserve"> ואע"ג דהנגזל צריך לא לקחת ממנו </w:t>
      </w:r>
      <w:r w:rsidRPr="00845316">
        <w:rPr>
          <w:rFonts w:asciiTheme="minorBidi" w:hAnsiTheme="minorBidi"/>
          <w:sz w:val="16"/>
          <w:szCs w:val="16"/>
          <w:rtl/>
        </w:rPr>
        <w:t>(כדאיתא בב"ק [צד:]- "הגזלנין ומלוי רביות שהחזירו אין מקבלין מהם והמקבל מהם אין רוח חכמים נוחה הימנו")</w:t>
      </w:r>
      <w:r w:rsidRPr="00845316">
        <w:rPr>
          <w:rFonts w:asciiTheme="minorBidi" w:hAnsiTheme="minorBidi"/>
          <w:rtl/>
        </w:rPr>
        <w:t xml:space="preserve"> צ"ל דמה שכתב כאן דצריך להחזיר הריבית והגזילה, היינו לענין שיעשה הוא המוטל עליו, והנגזל יעשה כדינו </w:t>
      </w:r>
      <w:r w:rsidRPr="00845316">
        <w:rPr>
          <w:rFonts w:asciiTheme="minorBidi" w:hAnsiTheme="minorBidi"/>
          <w:sz w:val="16"/>
          <w:szCs w:val="16"/>
          <w:rtl/>
        </w:rPr>
        <w:t>(והיינו דאם הוא גזלן הרגיל לגזול, לא יקבל ממנו אם הוא חושש שתהא רוח חכמים נוחה הימנו, ואם הוא גזלן באקראי, מקבלין ממנו)</w:t>
      </w:r>
      <w:r w:rsidRPr="00845316">
        <w:rPr>
          <w:rFonts w:asciiTheme="minorBidi" w:hAnsiTheme="minorBidi"/>
          <w:rtl/>
        </w:rPr>
        <w:t xml:space="preserve">, ואם רוצים לעשות תשובה </w:t>
      </w:r>
      <w:r w:rsidRPr="00845316">
        <w:rPr>
          <w:rFonts w:asciiTheme="minorBidi" w:hAnsiTheme="minorBidi"/>
          <w:color w:val="FF0000"/>
          <w:rtl/>
        </w:rPr>
        <w:t>מעליותא</w:t>
      </w:r>
      <w:r w:rsidRPr="00845316">
        <w:rPr>
          <w:rFonts w:asciiTheme="minorBidi" w:hAnsiTheme="minorBidi"/>
          <w:rtl/>
        </w:rPr>
        <w:t xml:space="preserve"> צריכין לצאת ידי שמים ולהוציא מידן מה שאינו שלהם, ע"פ סמ"ע</w:t>
      </w:r>
      <w:r w:rsidRPr="00845316">
        <w:rPr>
          <w:rFonts w:asciiTheme="minorBidi" w:hAnsiTheme="minorBidi"/>
          <w:sz w:val="16"/>
          <w:szCs w:val="16"/>
          <w:rtl/>
        </w:rPr>
        <w:t xml:space="preserve"> (סקע"ה)</w:t>
      </w:r>
      <w:r w:rsidRPr="00845316">
        <w:rPr>
          <w:rFonts w:asciiTheme="minorBidi" w:hAnsiTheme="minorBidi"/>
          <w:rtl/>
        </w:rPr>
        <w:t>.</w:t>
      </w:r>
      <w:r w:rsidRPr="00845316">
        <w:rPr>
          <w:rFonts w:asciiTheme="minorBidi" w:hAnsiTheme="minorBidi"/>
          <w:color w:val="FF0000"/>
          <w:sz w:val="16"/>
          <w:szCs w:val="16"/>
          <w:rtl/>
        </w:rPr>
        <w:t xml:space="preserve">(צל"ע מאי ל' מעליותא דנקט, דמדברי הרא"ש והב"י מוכח דחיוב הוא) </w:t>
      </w:r>
    </w:p>
  </w:footnote>
  <w:footnote w:id="2439">
    <w:p w14:paraId="1EB6E06D" w14:textId="77777777" w:rsidR="0013116F" w:rsidRPr="00845316" w:rsidRDefault="0013116F" w:rsidP="004B607F">
      <w:pPr>
        <w:pStyle w:val="a9"/>
        <w:spacing w:after="60"/>
        <w:rPr>
          <w:rFonts w:asciiTheme="minorBidi" w:hAnsiTheme="minorBidi"/>
          <w:rtl/>
        </w:rPr>
      </w:pPr>
      <w:r w:rsidRPr="00845316">
        <w:rPr>
          <w:rStyle w:val="ab"/>
          <w:rFonts w:asciiTheme="minorBidi" w:hAnsiTheme="minorBidi"/>
        </w:rPr>
        <w:footnoteRef/>
      </w:r>
      <w:r w:rsidRPr="00845316">
        <w:rPr>
          <w:rFonts w:asciiTheme="minorBidi" w:hAnsiTheme="minorBidi"/>
          <w:rtl/>
        </w:rPr>
        <w:t xml:space="preserve"> ואם עדיין לא עשה כן- פסול, שהיאך אפשר להכשירו ועדיין שרץ מעות האיסור בידו, ומ"מ נראה שאם הוציאם מידו ונתנם ביד בית דין לעשות מהם כפי הנראה בעיניהם בהכי מתכשר, ב"י.</w:t>
      </w:r>
    </w:p>
  </w:footnote>
  <w:footnote w:id="2440">
    <w:p w14:paraId="68CC83BF" w14:textId="77777777" w:rsidR="0013116F" w:rsidRPr="00845316" w:rsidRDefault="0013116F" w:rsidP="004B607F">
      <w:pPr>
        <w:pStyle w:val="a9"/>
        <w:spacing w:after="60"/>
        <w:rPr>
          <w:rFonts w:asciiTheme="minorBidi" w:hAnsiTheme="minorBidi"/>
          <w:rtl/>
        </w:rPr>
      </w:pPr>
      <w:r w:rsidRPr="00845316">
        <w:rPr>
          <w:rStyle w:val="ab"/>
          <w:rFonts w:asciiTheme="minorBidi" w:hAnsiTheme="minorBidi"/>
        </w:rPr>
        <w:footnoteRef/>
      </w:r>
      <w:r w:rsidRPr="00845316">
        <w:rPr>
          <w:rFonts w:asciiTheme="minorBidi" w:hAnsiTheme="minorBidi"/>
          <w:rtl/>
        </w:rPr>
        <w:t xml:space="preserve"> ר' אברהם יהושע השיל מקרקא היה אחד מגדולי ישראל בדורו. נולד בערך בשנת שנ"ה (1595) לאביו ר' יעקב, שהיה אז רב בבריסק, והיה לתלמידו המובהק. מגיל צעיר נודע כעילוי חריף באופן יוצא מהכלל. </w:t>
      </w:r>
      <w:r w:rsidRPr="00845316">
        <w:rPr>
          <w:rFonts w:asciiTheme="minorBidi" w:hAnsiTheme="minorBidi"/>
          <w:sz w:val="16"/>
          <w:szCs w:val="16"/>
          <w:rtl/>
        </w:rPr>
        <w:t>(יש להבדיל בינו לבין ר' יהושע השיל ב"ר יוסף בעל 'מגיני שלמה' ושו"ת פני יהושע, שהיה רבה של קרקא לפני בעל התויו"ט)</w:t>
      </w:r>
      <w:r w:rsidRPr="00845316">
        <w:rPr>
          <w:rFonts w:asciiTheme="minorBidi" w:hAnsiTheme="minorBidi"/>
          <w:rtl/>
        </w:rPr>
        <w:t>. היה רבם של רבים מגדולי הדור שאחריו, כמו למשל ר' שבתי כהן בעל הש"ך, ר' גרשון אשכנזי בעל שו"ת 'עבודת הגרשוני' ועוד, ביוגרפיה פרויקט השו"ת.</w:t>
      </w:r>
    </w:p>
  </w:footnote>
  <w:footnote w:id="2441">
    <w:p w14:paraId="08E7218A" w14:textId="77777777" w:rsidR="0013116F" w:rsidRPr="00845316" w:rsidRDefault="0013116F" w:rsidP="004B607F">
      <w:pPr>
        <w:pStyle w:val="a9"/>
        <w:spacing w:after="60"/>
        <w:rPr>
          <w:rFonts w:asciiTheme="minorBidi" w:hAnsiTheme="minorBidi"/>
        </w:rPr>
      </w:pPr>
      <w:r w:rsidRPr="00845316">
        <w:rPr>
          <w:rStyle w:val="ab"/>
          <w:rFonts w:asciiTheme="minorBidi" w:hAnsiTheme="minorBidi"/>
        </w:rPr>
        <w:footnoteRef/>
      </w:r>
      <w:r w:rsidRPr="00845316">
        <w:rPr>
          <w:rFonts w:asciiTheme="minorBidi" w:hAnsiTheme="minorBidi"/>
          <w:rtl/>
        </w:rPr>
        <w:t xml:space="preserve"> הר"ר העשיל </w:t>
      </w:r>
      <w:r w:rsidRPr="00845316">
        <w:rPr>
          <w:rFonts w:asciiTheme="minorBidi" w:hAnsiTheme="minorBidi"/>
          <w:sz w:val="16"/>
          <w:szCs w:val="16"/>
          <w:rtl/>
        </w:rPr>
        <w:t xml:space="preserve">(הביאו הנו"ב אהע"ז סי' עב ד"ה אפילו) </w:t>
      </w:r>
      <w:r w:rsidRPr="00845316">
        <w:rPr>
          <w:rFonts w:asciiTheme="minorBidi" w:hAnsiTheme="minorBidi"/>
          <w:rtl/>
        </w:rPr>
        <w:t xml:space="preserve">תומים </w:t>
      </w:r>
      <w:r w:rsidRPr="00845316">
        <w:rPr>
          <w:rFonts w:asciiTheme="minorBidi" w:hAnsiTheme="minorBidi"/>
          <w:sz w:val="16"/>
          <w:szCs w:val="16"/>
          <w:rtl/>
        </w:rPr>
        <w:t>(סקכ"ח)</w:t>
      </w:r>
      <w:r w:rsidRPr="00845316">
        <w:rPr>
          <w:rFonts w:asciiTheme="minorBidi" w:hAnsiTheme="minorBidi"/>
          <w:rtl/>
        </w:rPr>
        <w:t xml:space="preserve"> באה"ט</w:t>
      </w:r>
      <w:r w:rsidRPr="00845316">
        <w:rPr>
          <w:rFonts w:asciiTheme="minorBidi" w:hAnsiTheme="minorBidi"/>
          <w:sz w:val="16"/>
          <w:szCs w:val="16"/>
          <w:rtl/>
        </w:rPr>
        <w:t xml:space="preserve"> (סקל"ו)</w:t>
      </w:r>
      <w:r w:rsidRPr="00845316">
        <w:rPr>
          <w:rFonts w:asciiTheme="minorBidi" w:hAnsiTheme="minorBidi"/>
          <w:rtl/>
        </w:rPr>
        <w:t xml:space="preserve"> נתיבות ב"ש </w:t>
      </w:r>
      <w:r w:rsidRPr="00845316">
        <w:rPr>
          <w:rFonts w:asciiTheme="minorBidi" w:hAnsiTheme="minorBidi"/>
          <w:sz w:val="16"/>
          <w:szCs w:val="16"/>
          <w:rtl/>
        </w:rPr>
        <w:t>(אה"ע סי' קמא סע' לד סקמ"ח)</w:t>
      </w:r>
      <w:r w:rsidRPr="00845316">
        <w:rPr>
          <w:rFonts w:asciiTheme="minorBidi" w:hAnsiTheme="minorBidi"/>
          <w:rtl/>
        </w:rPr>
        <w:t xml:space="preserve"> בית מאיר מראות הצובאות </w:t>
      </w:r>
      <w:r w:rsidRPr="00845316">
        <w:rPr>
          <w:rFonts w:asciiTheme="minorBidi" w:hAnsiTheme="minorBidi"/>
          <w:sz w:val="16"/>
          <w:szCs w:val="16"/>
          <w:rtl/>
        </w:rPr>
        <w:t xml:space="preserve">(אהע"ז סי' יז סקכ"ח) </w:t>
      </w:r>
      <w:r w:rsidRPr="00845316">
        <w:rPr>
          <w:rFonts w:asciiTheme="minorBidi" w:hAnsiTheme="minorBidi"/>
          <w:rtl/>
        </w:rPr>
        <w:t xml:space="preserve">נו"ב </w:t>
      </w:r>
      <w:r w:rsidRPr="00845316">
        <w:rPr>
          <w:rFonts w:asciiTheme="minorBidi" w:hAnsiTheme="minorBidi"/>
          <w:sz w:val="16"/>
          <w:szCs w:val="16"/>
          <w:rtl/>
        </w:rPr>
        <w:t xml:space="preserve">(שם) </w:t>
      </w:r>
      <w:r w:rsidRPr="00845316">
        <w:rPr>
          <w:rFonts w:asciiTheme="minorBidi" w:hAnsiTheme="minorBidi"/>
          <w:rtl/>
        </w:rPr>
        <w:t xml:space="preserve">ופת"ש </w:t>
      </w:r>
      <w:r w:rsidRPr="00845316">
        <w:rPr>
          <w:rFonts w:asciiTheme="minorBidi" w:hAnsiTheme="minorBidi"/>
          <w:sz w:val="16"/>
          <w:szCs w:val="16"/>
          <w:rtl/>
        </w:rPr>
        <w:t>(סקמ"ה)</w:t>
      </w:r>
      <w:r w:rsidRPr="00845316">
        <w:rPr>
          <w:rFonts w:asciiTheme="minorBidi" w:hAnsiTheme="minorBidi"/>
          <w:rtl/>
        </w:rPr>
        <w:t>.</w:t>
      </w:r>
    </w:p>
  </w:footnote>
  <w:footnote w:id="2442">
    <w:p w14:paraId="25FE54DF" w14:textId="77777777" w:rsidR="0013116F" w:rsidRPr="00845316" w:rsidRDefault="0013116F" w:rsidP="004B607F">
      <w:pPr>
        <w:spacing w:after="60" w:line="240" w:lineRule="auto"/>
        <w:rPr>
          <w:rFonts w:asciiTheme="minorBidi" w:hAnsiTheme="minorBidi"/>
          <w:sz w:val="20"/>
          <w:szCs w:val="20"/>
          <w:rtl/>
        </w:rPr>
      </w:pPr>
      <w:r w:rsidRPr="00845316">
        <w:rPr>
          <w:rStyle w:val="ab"/>
          <w:rFonts w:asciiTheme="minorBidi" w:hAnsiTheme="minorBidi"/>
        </w:rPr>
        <w:footnoteRef/>
      </w:r>
      <w:r w:rsidRPr="00845316">
        <w:rPr>
          <w:rFonts w:asciiTheme="minorBidi" w:hAnsiTheme="minorBidi"/>
          <w:sz w:val="20"/>
          <w:szCs w:val="20"/>
          <w:rtl/>
        </w:rPr>
        <w:t xml:space="preserve"> וכתבו התומים ומראות הצובאות שהש"ך גופיה </w:t>
      </w:r>
      <w:r w:rsidRPr="00845316">
        <w:rPr>
          <w:rFonts w:asciiTheme="minorBidi" w:hAnsiTheme="minorBidi"/>
          <w:sz w:val="16"/>
          <w:szCs w:val="16"/>
          <w:rtl/>
        </w:rPr>
        <w:t xml:space="preserve">(ס"ס ל"ה סק"ז) </w:t>
      </w:r>
      <w:r w:rsidRPr="00845316">
        <w:rPr>
          <w:rFonts w:asciiTheme="minorBidi" w:hAnsiTheme="minorBidi"/>
          <w:sz w:val="20"/>
          <w:szCs w:val="20"/>
          <w:rtl/>
        </w:rPr>
        <w:t>חזר בו ודעתו נוטה דפסול רשעות בעינן תחילתו וסופו בכשרות. ועיין בחת"ס</w:t>
      </w:r>
      <w:r w:rsidRPr="00845316">
        <w:rPr>
          <w:rFonts w:asciiTheme="minorBidi" w:hAnsiTheme="minorBidi"/>
          <w:sz w:val="16"/>
          <w:szCs w:val="16"/>
          <w:rtl/>
        </w:rPr>
        <w:t xml:space="preserve"> (חו"מ סי' ל"ו) </w:t>
      </w:r>
      <w:r w:rsidRPr="00845316">
        <w:rPr>
          <w:rFonts w:asciiTheme="minorBidi" w:hAnsiTheme="minorBidi"/>
          <w:sz w:val="20"/>
          <w:szCs w:val="20"/>
          <w:rtl/>
        </w:rPr>
        <w:t xml:space="preserve">שתרץ את הסתירה שלכאורה יש בדברי הש"ך, ונראה מדבריו שדעתו לקיים דינו של הש"ך בכאן, אבל כ' שלא אמר הש"ך כן אלא בפסול עבירה שאינו חמס וחימוד ממון, אבל בפסול חמס לא אמרו. ומדברי הדגמ"ר </w:t>
      </w:r>
      <w:r w:rsidRPr="00845316">
        <w:rPr>
          <w:rFonts w:asciiTheme="minorBidi" w:hAnsiTheme="minorBidi"/>
          <w:sz w:val="16"/>
          <w:szCs w:val="16"/>
          <w:rtl/>
        </w:rPr>
        <w:t xml:space="preserve">(סי' לה) </w:t>
      </w:r>
      <w:r w:rsidRPr="00845316">
        <w:rPr>
          <w:rFonts w:asciiTheme="minorBidi" w:hAnsiTheme="minorBidi"/>
          <w:sz w:val="20"/>
          <w:szCs w:val="20"/>
          <w:rtl/>
        </w:rPr>
        <w:t>נראה ג"כ שבא לקיים דינו של הש"ך בכאן, וגדול' מזו דאפילו ברשע דחמס כשר. וסיים הפת"ש כאן דמ"מ בפסול מחמת עבירה שאינו חמס וחימוד ממון, אפשר דמצי המוחזק לומר קים לי כהש"ך והמחזיקים בידו</w:t>
      </w:r>
      <w:r w:rsidRPr="00845316">
        <w:rPr>
          <w:rFonts w:asciiTheme="minorBidi" w:hAnsiTheme="minorBidi"/>
          <w:sz w:val="16"/>
          <w:szCs w:val="16"/>
          <w:rtl/>
        </w:rPr>
        <w:t xml:space="preserve"> (דגמ"ר וחת"ס) </w:t>
      </w:r>
      <w:r w:rsidRPr="00845316">
        <w:rPr>
          <w:rFonts w:asciiTheme="minorBidi" w:hAnsiTheme="minorBidi"/>
          <w:sz w:val="20"/>
          <w:szCs w:val="20"/>
          <w:rtl/>
        </w:rPr>
        <w:t>דלא בעינן בזה תחילתו וסופו בכשרות, וצ"ע.</w:t>
      </w:r>
    </w:p>
  </w:footnote>
  <w:footnote w:id="2443">
    <w:p w14:paraId="290AA928" w14:textId="77777777" w:rsidR="0013116F" w:rsidRPr="00845316" w:rsidRDefault="0013116F" w:rsidP="004B607F">
      <w:pPr>
        <w:pStyle w:val="a9"/>
        <w:spacing w:after="60"/>
        <w:rPr>
          <w:rFonts w:asciiTheme="minorBidi" w:hAnsiTheme="minorBidi"/>
        </w:rPr>
      </w:pPr>
      <w:r w:rsidRPr="00845316">
        <w:rPr>
          <w:rStyle w:val="ab"/>
          <w:rFonts w:asciiTheme="minorBidi" w:hAnsiTheme="minorBidi"/>
        </w:rPr>
        <w:footnoteRef/>
      </w:r>
      <w:r w:rsidRPr="00845316">
        <w:rPr>
          <w:rFonts w:asciiTheme="minorBidi" w:hAnsiTheme="minorBidi"/>
          <w:rtl/>
        </w:rPr>
        <w:t xml:space="preserve"> שברי עצים, והן מרלי"ש בלעז (חלוקי אבן או גזרי עץ העשויים למשחק), רש"י.</w:t>
      </w:r>
    </w:p>
  </w:footnote>
  <w:footnote w:id="2444">
    <w:p w14:paraId="19083B93" w14:textId="77777777" w:rsidR="0013116F" w:rsidRPr="00845316" w:rsidRDefault="0013116F" w:rsidP="004B607F">
      <w:pPr>
        <w:pStyle w:val="a9"/>
        <w:spacing w:after="60"/>
        <w:rPr>
          <w:rFonts w:asciiTheme="minorBidi" w:hAnsiTheme="minorBidi"/>
          <w:rtl/>
        </w:rPr>
      </w:pPr>
      <w:r w:rsidRPr="00845316">
        <w:rPr>
          <w:rStyle w:val="ab"/>
          <w:rFonts w:asciiTheme="minorBidi" w:hAnsiTheme="minorBidi"/>
        </w:rPr>
        <w:footnoteRef/>
      </w:r>
      <w:r w:rsidRPr="00845316">
        <w:rPr>
          <w:rFonts w:asciiTheme="minorBidi" w:hAnsiTheme="minorBidi"/>
          <w:rtl/>
        </w:rPr>
        <w:t xml:space="preserve"> שאין עשויין לכך ואקראי בעלמא הוא, רש"י.</w:t>
      </w:r>
    </w:p>
  </w:footnote>
  <w:footnote w:id="2445">
    <w:p w14:paraId="6BE23A49" w14:textId="77777777" w:rsidR="0013116F" w:rsidRPr="00845316" w:rsidRDefault="0013116F" w:rsidP="004B607F">
      <w:pPr>
        <w:pStyle w:val="a9"/>
        <w:spacing w:after="60"/>
        <w:rPr>
          <w:rFonts w:asciiTheme="minorBidi" w:hAnsiTheme="minorBidi"/>
        </w:rPr>
      </w:pPr>
      <w:r w:rsidRPr="00845316">
        <w:rPr>
          <w:rStyle w:val="ab"/>
          <w:rFonts w:asciiTheme="minorBidi" w:hAnsiTheme="minorBidi"/>
        </w:rPr>
        <w:footnoteRef/>
      </w:r>
      <w:r w:rsidRPr="00845316">
        <w:rPr>
          <w:rFonts w:asciiTheme="minorBidi" w:hAnsiTheme="minorBidi"/>
          <w:rtl/>
        </w:rPr>
        <w:t xml:space="preserve"> מרגיזים אותן זה על זה להלחם, רש"י.</w:t>
      </w:r>
    </w:p>
  </w:footnote>
  <w:footnote w:id="2446">
    <w:p w14:paraId="60E2F216" w14:textId="77777777" w:rsidR="0013116F" w:rsidRPr="00845316" w:rsidRDefault="0013116F" w:rsidP="004B607F">
      <w:pPr>
        <w:pStyle w:val="a9"/>
        <w:spacing w:after="60"/>
        <w:rPr>
          <w:rFonts w:asciiTheme="minorBidi" w:hAnsiTheme="minorBidi"/>
          <w:rtl/>
        </w:rPr>
      </w:pPr>
      <w:r w:rsidRPr="00845316">
        <w:rPr>
          <w:rStyle w:val="ab"/>
          <w:rFonts w:asciiTheme="minorBidi" w:hAnsiTheme="minorBidi"/>
        </w:rPr>
        <w:footnoteRef/>
      </w:r>
      <w:r w:rsidRPr="00845316">
        <w:rPr>
          <w:rFonts w:asciiTheme="minorBidi" w:hAnsiTheme="minorBidi"/>
          <w:rtl/>
        </w:rPr>
        <w:t xml:space="preserve"> דלאו מילתא דשכיחא הוא, רש"י.</w:t>
      </w:r>
    </w:p>
  </w:footnote>
  <w:footnote w:id="2447">
    <w:p w14:paraId="7D6E21A9" w14:textId="77777777" w:rsidR="0013116F" w:rsidRPr="00845316" w:rsidRDefault="0013116F" w:rsidP="004B607F">
      <w:pPr>
        <w:pStyle w:val="a9"/>
        <w:spacing w:after="60"/>
        <w:rPr>
          <w:rFonts w:asciiTheme="minorBidi" w:hAnsiTheme="minorBidi"/>
        </w:rPr>
      </w:pPr>
      <w:r w:rsidRPr="00845316">
        <w:rPr>
          <w:rStyle w:val="ab"/>
          <w:rFonts w:asciiTheme="minorBidi" w:hAnsiTheme="minorBidi"/>
        </w:rPr>
        <w:footnoteRef/>
      </w:r>
      <w:r w:rsidRPr="00845316">
        <w:rPr>
          <w:rFonts w:asciiTheme="minorBidi" w:hAnsiTheme="minorBidi"/>
          <w:rtl/>
        </w:rPr>
        <w:t xml:space="preserve"> אלו דפין שמזרזים בהן, רש"י.</w:t>
      </w:r>
    </w:p>
  </w:footnote>
  <w:footnote w:id="2448">
    <w:p w14:paraId="050E5146" w14:textId="77777777" w:rsidR="0013116F" w:rsidRPr="00845316" w:rsidRDefault="0013116F" w:rsidP="004B607F">
      <w:pPr>
        <w:pStyle w:val="a9"/>
        <w:spacing w:after="60"/>
        <w:rPr>
          <w:rFonts w:asciiTheme="minorBidi" w:hAnsiTheme="minorBidi"/>
          <w:rtl/>
        </w:rPr>
      </w:pPr>
      <w:r w:rsidRPr="00845316">
        <w:rPr>
          <w:rStyle w:val="ab"/>
          <w:rFonts w:asciiTheme="minorBidi" w:hAnsiTheme="minorBidi"/>
        </w:rPr>
        <w:footnoteRef/>
      </w:r>
      <w:r w:rsidRPr="00845316">
        <w:rPr>
          <w:rFonts w:asciiTheme="minorBidi" w:hAnsiTheme="minorBidi"/>
          <w:rtl/>
        </w:rPr>
        <w:t xml:space="preserve"> דלא שכיחי יונים דיישוב, והאי פירושא ללישנא דארא נקיט לה, ולא מגופא דברייתא היא, וללישנא דאי תקדמה יונך ליון איכא לפרושי: חזרה גמורה - דהא אפילו בחנם נמי לא עבדו, כדפרישית גבי קוביא, רש"י.</w:t>
      </w:r>
    </w:p>
  </w:footnote>
  <w:footnote w:id="2449">
    <w:p w14:paraId="1150AE18" w14:textId="77777777" w:rsidR="0013116F" w:rsidRPr="00845316" w:rsidRDefault="0013116F" w:rsidP="004B607F">
      <w:pPr>
        <w:pStyle w:val="a9"/>
        <w:spacing w:after="60"/>
        <w:rPr>
          <w:rFonts w:asciiTheme="minorBidi" w:hAnsiTheme="minorBidi"/>
          <w:rtl/>
        </w:rPr>
      </w:pPr>
      <w:r w:rsidRPr="00845316">
        <w:rPr>
          <w:rStyle w:val="ab"/>
          <w:rFonts w:asciiTheme="minorBidi" w:hAnsiTheme="minorBidi"/>
        </w:rPr>
        <w:footnoteRef/>
      </w:r>
      <w:r w:rsidRPr="00845316">
        <w:rPr>
          <w:rFonts w:asciiTheme="minorBidi" w:hAnsiTheme="minorBidi"/>
          <w:rtl/>
        </w:rPr>
        <w:t xml:space="preserve"> ובטור שינה מלשון הגמ' וכ'- "ולא יעשו עוד אפילו בחנם", והוא משום שסובר כמאן דאמר אי תקדמיה יונך ליון (סכ"ו).</w:t>
      </w:r>
    </w:p>
  </w:footnote>
  <w:footnote w:id="2450">
    <w:p w14:paraId="5F338304" w14:textId="77777777" w:rsidR="0013116F" w:rsidRPr="00845316" w:rsidRDefault="0013116F" w:rsidP="004B607F">
      <w:pPr>
        <w:pStyle w:val="a9"/>
        <w:spacing w:after="60"/>
        <w:rPr>
          <w:rFonts w:asciiTheme="minorBidi" w:hAnsiTheme="minorBidi"/>
          <w:rtl/>
        </w:rPr>
      </w:pPr>
      <w:r w:rsidRPr="00845316">
        <w:rPr>
          <w:rStyle w:val="ab"/>
          <w:rFonts w:asciiTheme="minorBidi" w:hAnsiTheme="minorBidi"/>
        </w:rPr>
        <w:footnoteRef/>
      </w:r>
      <w:r w:rsidRPr="00845316">
        <w:rPr>
          <w:rFonts w:asciiTheme="minorBidi" w:hAnsiTheme="minorBidi"/>
          <w:rtl/>
        </w:rPr>
        <w:t xml:space="preserve"> או מפריחי יונים למ"ד "אי תקדמיה...".</w:t>
      </w:r>
    </w:p>
  </w:footnote>
  <w:footnote w:id="2451">
    <w:p w14:paraId="5636286A" w14:textId="77777777" w:rsidR="0013116F" w:rsidRPr="00845316" w:rsidRDefault="0013116F" w:rsidP="004B607F">
      <w:pPr>
        <w:pStyle w:val="a9"/>
        <w:spacing w:after="60"/>
        <w:rPr>
          <w:rFonts w:asciiTheme="minorBidi" w:hAnsiTheme="minorBidi"/>
        </w:rPr>
      </w:pPr>
      <w:r w:rsidRPr="00845316">
        <w:rPr>
          <w:rStyle w:val="ab"/>
          <w:rFonts w:asciiTheme="minorBidi" w:hAnsiTheme="minorBidi"/>
        </w:rPr>
        <w:footnoteRef/>
      </w:r>
      <w:r w:rsidRPr="00845316">
        <w:rPr>
          <w:rFonts w:asciiTheme="minorBidi" w:hAnsiTheme="minorBidi"/>
          <w:rtl/>
        </w:rPr>
        <w:t xml:space="preserve"> הי"א</w:t>
      </w:r>
      <w:r w:rsidRPr="00845316">
        <w:rPr>
          <w:rFonts w:asciiTheme="minorBidi" w:hAnsiTheme="minorBidi"/>
          <w:sz w:val="16"/>
          <w:szCs w:val="16"/>
          <w:rtl/>
        </w:rPr>
        <w:t xml:space="preserve"> (שהביא רי"ו)</w:t>
      </w:r>
      <w:r w:rsidRPr="00845316">
        <w:rPr>
          <w:rFonts w:asciiTheme="minorBidi" w:hAnsiTheme="minorBidi"/>
          <w:rtl/>
        </w:rPr>
        <w:t xml:space="preserve"> דיברו רק לגבי משחק בקוביא וצ"ע אם מסכימים לב"י שהוא הדין למפריחי יונים. </w:t>
      </w:r>
    </w:p>
  </w:footnote>
  <w:footnote w:id="2452">
    <w:p w14:paraId="76B93CED" w14:textId="77777777" w:rsidR="0013116F" w:rsidRPr="00845316" w:rsidRDefault="0013116F" w:rsidP="004B607F">
      <w:pPr>
        <w:pStyle w:val="a9"/>
        <w:spacing w:after="60"/>
        <w:rPr>
          <w:rFonts w:asciiTheme="minorBidi" w:hAnsiTheme="minorBidi"/>
          <w:rtl/>
        </w:rPr>
      </w:pPr>
      <w:r w:rsidRPr="00845316">
        <w:rPr>
          <w:rStyle w:val="ab"/>
          <w:rFonts w:asciiTheme="minorBidi" w:hAnsiTheme="minorBidi"/>
        </w:rPr>
        <w:footnoteRef/>
      </w:r>
      <w:r w:rsidRPr="00845316">
        <w:rPr>
          <w:rFonts w:asciiTheme="minorBidi" w:hAnsiTheme="minorBidi"/>
          <w:rtl/>
        </w:rPr>
        <w:t xml:space="preserve"> אות יז. וטעמו הוא משום דהרא"ש סובר שנפסלים מחמת שאינם עוסקים ביישובו של עולם לכן אינם צריכים להחזיר.</w:t>
      </w:r>
    </w:p>
  </w:footnote>
  <w:footnote w:id="2453">
    <w:p w14:paraId="3B6348CF" w14:textId="77777777" w:rsidR="0013116F" w:rsidRPr="00845316" w:rsidRDefault="0013116F" w:rsidP="004B607F">
      <w:pPr>
        <w:pStyle w:val="a9"/>
        <w:spacing w:after="60"/>
        <w:rPr>
          <w:rFonts w:asciiTheme="minorBidi" w:hAnsiTheme="minorBidi"/>
        </w:rPr>
      </w:pPr>
      <w:r w:rsidRPr="00845316">
        <w:rPr>
          <w:rStyle w:val="ab"/>
          <w:rFonts w:asciiTheme="minorBidi" w:hAnsiTheme="minorBidi"/>
        </w:rPr>
        <w:footnoteRef/>
      </w:r>
      <w:r w:rsidRPr="00845316">
        <w:rPr>
          <w:rFonts w:asciiTheme="minorBidi" w:hAnsiTheme="minorBidi"/>
          <w:rtl/>
        </w:rPr>
        <w:t xml:space="preserve"> סקע"ח. וכ' שם דרק היכא דאיסור המעות הוא מדאו' צריך להחזיר, אבל הגר"א (ס"ק סו) חלק עליו וכ' דגם היכא דהמעות שאצלו אסורים מדרבנן ג"כ צריך להחזיר, כמו רבית דאיירי בדרבנן מדחשיב בהדי משחק בקוביא.</w:t>
      </w:r>
    </w:p>
  </w:footnote>
  <w:footnote w:id="2454">
    <w:p w14:paraId="6AECF8A6" w14:textId="77777777" w:rsidR="0013116F" w:rsidRPr="00845316" w:rsidRDefault="0013116F" w:rsidP="004B607F">
      <w:pPr>
        <w:pStyle w:val="a9"/>
        <w:spacing w:after="60"/>
        <w:rPr>
          <w:rFonts w:asciiTheme="minorBidi" w:hAnsiTheme="minorBidi"/>
        </w:rPr>
      </w:pPr>
      <w:r w:rsidRPr="00845316">
        <w:rPr>
          <w:rStyle w:val="ab"/>
          <w:rFonts w:asciiTheme="minorBidi" w:hAnsiTheme="minorBidi"/>
        </w:rPr>
        <w:footnoteRef/>
      </w:r>
      <w:r w:rsidRPr="00845316">
        <w:rPr>
          <w:rFonts w:asciiTheme="minorBidi" w:hAnsiTheme="minorBidi"/>
          <w:rtl/>
        </w:rPr>
        <w:t xml:space="preserve"> הביאו בהעי"ט </w:t>
      </w:r>
      <w:r w:rsidRPr="00845316">
        <w:rPr>
          <w:rFonts w:asciiTheme="minorBidi" w:hAnsiTheme="minorBidi"/>
          <w:sz w:val="16"/>
          <w:szCs w:val="16"/>
          <w:rtl/>
        </w:rPr>
        <w:t>(</w:t>
      </w:r>
      <w:r w:rsidRPr="00845316">
        <w:rPr>
          <w:rFonts w:asciiTheme="minorBidi" w:hAnsiTheme="minorBidi"/>
          <w:sz w:val="14"/>
          <w:szCs w:val="14"/>
          <w:rtl/>
        </w:rPr>
        <w:t>[קבלת עדות נז:]</w:t>
      </w:r>
      <w:r w:rsidRPr="00845316">
        <w:rPr>
          <w:rFonts w:asciiTheme="minorBidi" w:hAnsiTheme="minorBidi"/>
          <w:sz w:val="16"/>
          <w:szCs w:val="16"/>
          <w:rtl/>
        </w:rPr>
        <w:t>, הביאו הב"י)</w:t>
      </w:r>
      <w:r w:rsidRPr="00845316">
        <w:rPr>
          <w:rFonts w:asciiTheme="minorBidi" w:hAnsiTheme="minorBidi"/>
          <w:rtl/>
        </w:rPr>
        <w:t xml:space="preserve"> וז"ל- "לרי"ף חשוד על הגניבה אם החזירה בתשובה ולא על יראה ופחד, וקבל שלא לגנוב לישראל וגוי מקבלין עדותו".</w:t>
      </w:r>
    </w:p>
  </w:footnote>
  <w:footnote w:id="2455">
    <w:p w14:paraId="200BF523" w14:textId="77777777" w:rsidR="0013116F" w:rsidRPr="00845316" w:rsidRDefault="0013116F" w:rsidP="004B607F">
      <w:pPr>
        <w:pStyle w:val="a9"/>
        <w:spacing w:after="60"/>
        <w:rPr>
          <w:rFonts w:asciiTheme="minorBidi" w:hAnsiTheme="minorBidi"/>
        </w:rPr>
      </w:pPr>
      <w:r w:rsidRPr="00845316">
        <w:rPr>
          <w:rStyle w:val="ab"/>
          <w:rFonts w:asciiTheme="minorBidi" w:hAnsiTheme="minorBidi"/>
        </w:rPr>
        <w:footnoteRef/>
      </w:r>
      <w:r w:rsidRPr="00845316">
        <w:rPr>
          <w:rFonts w:asciiTheme="minorBidi" w:hAnsiTheme="minorBidi"/>
          <w:rtl/>
        </w:rPr>
        <w:t xml:space="preserve"> כלל נ"ח סי' ד. וז"ל- "צריכין כל עיקרי התשובה שיהו מעצמו של אדם ומעין העבירה שעשה".</w:t>
      </w:r>
    </w:p>
  </w:footnote>
  <w:footnote w:id="2456">
    <w:p w14:paraId="05C80ADF" w14:textId="77777777" w:rsidR="0013116F" w:rsidRPr="00845316" w:rsidRDefault="0013116F" w:rsidP="004B607F">
      <w:pPr>
        <w:pStyle w:val="a9"/>
        <w:spacing w:after="60"/>
        <w:rPr>
          <w:rFonts w:asciiTheme="minorBidi" w:hAnsiTheme="minorBidi"/>
          <w:rtl/>
        </w:rPr>
      </w:pPr>
      <w:r w:rsidRPr="00845316">
        <w:rPr>
          <w:rStyle w:val="ab"/>
          <w:rFonts w:asciiTheme="minorBidi" w:hAnsiTheme="minorBidi"/>
        </w:rPr>
        <w:footnoteRef/>
      </w:r>
      <w:r w:rsidRPr="00845316">
        <w:rPr>
          <w:rFonts w:asciiTheme="minorBidi" w:hAnsiTheme="minorBidi"/>
          <w:rtl/>
        </w:rPr>
        <w:t xml:space="preserve"> שלא ישאו ויתנו בפירותיהן, ויפקרו גנותיהן לעניים, רש"י. ומש"כ בגמ'- "ויבדלו" כן היא גיר' הרי"ף, אך הרמב"ם גורס "ויבדקו", וכ"כ בשו"ע.</w:t>
      </w:r>
    </w:p>
  </w:footnote>
  <w:footnote w:id="2457">
    <w:p w14:paraId="6655C79B" w14:textId="77777777" w:rsidR="0013116F" w:rsidRPr="00845316" w:rsidRDefault="0013116F" w:rsidP="004B607F">
      <w:pPr>
        <w:pStyle w:val="a9"/>
        <w:spacing w:after="60"/>
        <w:rPr>
          <w:rFonts w:asciiTheme="minorBidi" w:hAnsiTheme="minorBidi"/>
        </w:rPr>
      </w:pPr>
      <w:r w:rsidRPr="00845316">
        <w:rPr>
          <w:rStyle w:val="ab"/>
          <w:rFonts w:asciiTheme="minorBidi" w:hAnsiTheme="minorBidi"/>
        </w:rPr>
        <w:footnoteRef/>
      </w:r>
      <w:r w:rsidRPr="00845316">
        <w:rPr>
          <w:rFonts w:asciiTheme="minorBidi" w:hAnsiTheme="minorBidi"/>
          <w:rtl/>
        </w:rPr>
        <w:t xml:space="preserve"> לומר: לא נוסיף עוד, אלא חזרה הנכרת- שיפזרו פירות שביעית שבגנותיהן לעניים, רש"י.</w:t>
      </w:r>
    </w:p>
  </w:footnote>
  <w:footnote w:id="2458">
    <w:p w14:paraId="03D760CD" w14:textId="77777777" w:rsidR="0013116F" w:rsidRPr="00845316" w:rsidRDefault="0013116F" w:rsidP="004B607F">
      <w:pPr>
        <w:pStyle w:val="a9"/>
        <w:spacing w:after="60"/>
        <w:rPr>
          <w:rFonts w:asciiTheme="minorBidi" w:hAnsiTheme="minorBidi"/>
        </w:rPr>
      </w:pPr>
      <w:r w:rsidRPr="00845316">
        <w:rPr>
          <w:rStyle w:val="ab"/>
          <w:rFonts w:asciiTheme="minorBidi" w:hAnsiTheme="minorBidi"/>
        </w:rPr>
        <w:footnoteRef/>
      </w:r>
      <w:r w:rsidRPr="00845316">
        <w:rPr>
          <w:rFonts w:asciiTheme="minorBidi" w:hAnsiTheme="minorBidi"/>
          <w:rtl/>
        </w:rPr>
        <w:t xml:space="preserve"> בברייתא לא כתוב שכותב כן אלא שאומר כן. והרמב"ם והמחבר שכתבו כותב הוא ליתר קיום מה שקיבל אנפשו, סמ"ע</w:t>
      </w:r>
      <w:r w:rsidRPr="00845316">
        <w:rPr>
          <w:rFonts w:asciiTheme="minorBidi" w:hAnsiTheme="minorBidi"/>
          <w:sz w:val="16"/>
          <w:szCs w:val="16"/>
          <w:rtl/>
        </w:rPr>
        <w:t xml:space="preserve"> (סקע"ט)</w:t>
      </w:r>
      <w:r w:rsidRPr="00845316">
        <w:rPr>
          <w:rFonts w:asciiTheme="minorBidi" w:hAnsiTheme="minorBidi"/>
          <w:rtl/>
        </w:rPr>
        <w:t>.</w:t>
      </w:r>
    </w:p>
  </w:footnote>
  <w:footnote w:id="2459">
    <w:p w14:paraId="78A943A1" w14:textId="77777777" w:rsidR="0013116F" w:rsidRPr="00845316" w:rsidRDefault="0013116F" w:rsidP="004B607F">
      <w:pPr>
        <w:pStyle w:val="a9"/>
        <w:spacing w:after="60"/>
        <w:rPr>
          <w:rFonts w:asciiTheme="minorBidi" w:hAnsiTheme="minorBidi"/>
          <w:rtl/>
        </w:rPr>
      </w:pPr>
      <w:r w:rsidRPr="00845316">
        <w:rPr>
          <w:rStyle w:val="ab"/>
          <w:rFonts w:asciiTheme="minorBidi" w:hAnsiTheme="minorBidi"/>
        </w:rPr>
        <w:footnoteRef/>
      </w:r>
      <w:r w:rsidRPr="00845316">
        <w:rPr>
          <w:rFonts w:asciiTheme="minorBidi" w:hAnsiTheme="minorBidi"/>
          <w:rtl/>
        </w:rPr>
        <w:t xml:space="preserve"> אם בהוא עומד לפנינו ונתחייב לחבירו שבועה ואומר חשוד אני</w:t>
      </w:r>
      <w:r>
        <w:rPr>
          <w:rFonts w:asciiTheme="minorBidi" w:hAnsiTheme="minorBidi" w:hint="cs"/>
          <w:rtl/>
        </w:rPr>
        <w:t>,</w:t>
      </w:r>
      <w:r w:rsidRPr="00845316">
        <w:rPr>
          <w:rFonts w:asciiTheme="minorBidi" w:hAnsiTheme="minorBidi"/>
          <w:rtl/>
        </w:rPr>
        <w:t xml:space="preserve"> וכי ב"ד מוסרין שבועה לחשוד</w:t>
      </w:r>
      <w:r>
        <w:rPr>
          <w:rFonts w:asciiTheme="minorBidi" w:hAnsiTheme="minorBidi" w:hint="cs"/>
          <w:rtl/>
        </w:rPr>
        <w:t>,</w:t>
      </w:r>
      <w:r w:rsidRPr="00845316">
        <w:rPr>
          <w:rFonts w:asciiTheme="minorBidi" w:hAnsiTheme="minorBidi"/>
          <w:rtl/>
        </w:rPr>
        <w:t xml:space="preserve"> והלא אנו יודעין בו שהוא חשוד ומה מהני מה שאומר, פני משה.</w:t>
      </w:r>
    </w:p>
  </w:footnote>
  <w:footnote w:id="2460">
    <w:p w14:paraId="1094694F" w14:textId="77777777" w:rsidR="0013116F" w:rsidRPr="00845316" w:rsidRDefault="0013116F" w:rsidP="004B607F">
      <w:pPr>
        <w:pStyle w:val="a9"/>
        <w:spacing w:after="60"/>
        <w:rPr>
          <w:rFonts w:asciiTheme="minorBidi" w:hAnsiTheme="minorBidi"/>
        </w:rPr>
      </w:pPr>
      <w:r w:rsidRPr="00845316">
        <w:rPr>
          <w:rStyle w:val="ab"/>
          <w:rFonts w:asciiTheme="minorBidi" w:hAnsiTheme="minorBidi"/>
        </w:rPr>
        <w:footnoteRef/>
      </w:r>
      <w:r w:rsidRPr="00845316">
        <w:rPr>
          <w:rFonts w:asciiTheme="minorBidi" w:hAnsiTheme="minorBidi"/>
          <w:rtl/>
        </w:rPr>
        <w:t xml:space="preserve"> בשהולך לדון לפני בית דין שאין מכירין אותו, ונתחייב שבועה</w:t>
      </w:r>
      <w:r w:rsidRPr="00845316">
        <w:rPr>
          <w:rFonts w:asciiTheme="minorBidi" w:hAnsiTheme="minorBidi"/>
          <w:sz w:val="16"/>
          <w:szCs w:val="16"/>
          <w:rtl/>
        </w:rPr>
        <w:t xml:space="preserve"> (-דבר זה שנוי במחלוקת)</w:t>
      </w:r>
      <w:r w:rsidRPr="00845316">
        <w:rPr>
          <w:rFonts w:asciiTheme="minorBidi" w:hAnsiTheme="minorBidi"/>
          <w:rtl/>
        </w:rPr>
        <w:t>, והוא אומר להן מעצמו חשוד אני, פני משה.</w:t>
      </w:r>
    </w:p>
  </w:footnote>
  <w:footnote w:id="2461">
    <w:p w14:paraId="2898ABE1" w14:textId="77777777" w:rsidR="0013116F" w:rsidRPr="00845316" w:rsidRDefault="0013116F" w:rsidP="004B607F">
      <w:pPr>
        <w:pStyle w:val="a9"/>
        <w:spacing w:after="60"/>
        <w:rPr>
          <w:rFonts w:asciiTheme="minorBidi" w:hAnsiTheme="minorBidi"/>
        </w:rPr>
      </w:pPr>
      <w:r w:rsidRPr="00845316">
        <w:rPr>
          <w:rStyle w:val="ab"/>
          <w:rFonts w:asciiTheme="minorBidi" w:hAnsiTheme="minorBidi"/>
        </w:rPr>
        <w:footnoteRef/>
      </w:r>
      <w:r w:rsidRPr="00845316">
        <w:rPr>
          <w:rFonts w:asciiTheme="minorBidi" w:hAnsiTheme="minorBidi"/>
          <w:rtl/>
        </w:rPr>
        <w:t xml:space="preserve"> הרמב"ם מפרש שמדובר כאן שנתחייב "שבועה בבית דין </w:t>
      </w:r>
      <w:r w:rsidRPr="00845316">
        <w:rPr>
          <w:rFonts w:asciiTheme="minorBidi" w:hAnsiTheme="minorBidi"/>
          <w:u w:val="single"/>
          <w:rtl/>
        </w:rPr>
        <w:t>שאין</w:t>
      </w:r>
      <w:r w:rsidRPr="00845316">
        <w:rPr>
          <w:rFonts w:asciiTheme="minorBidi" w:hAnsiTheme="minorBidi"/>
          <w:rtl/>
        </w:rPr>
        <w:t xml:space="preserve"> מכירין אותו בממון חשוב ישלם ולא ירצה להשבע". וכ"כ המראה פנים, </w:t>
      </w:r>
      <w:r w:rsidRPr="00845316">
        <w:rPr>
          <w:rFonts w:asciiTheme="minorBidi" w:hAnsiTheme="minorBidi"/>
          <w:color w:val="E36C0A" w:themeColor="accent6" w:themeShade="BF"/>
          <w:rtl/>
        </w:rPr>
        <w:t>וכ"פ בשו"ע</w:t>
      </w:r>
      <w:r w:rsidRPr="00845316">
        <w:rPr>
          <w:rFonts w:asciiTheme="minorBidi" w:hAnsiTheme="minorBidi"/>
          <w:rtl/>
        </w:rPr>
        <w:t>. אך הפני משה פירש דאיכא גוונא שהלך למקום שכן מכירים אותו ואשכחן שנמנע מלחייב שבועה כגון שנתחייב לחבירו שבועה דהדין הוא שכנגדו נשבע ונוטל והוא מוחל לו השבועה ואומר והואיל וחשוד אני ואיני יכול לישבע אינני רוצה השבועה ממך ואשלם לך.</w:t>
      </w:r>
    </w:p>
  </w:footnote>
  <w:footnote w:id="2462">
    <w:p w14:paraId="0406A8B7" w14:textId="77777777" w:rsidR="0013116F" w:rsidRPr="00845316" w:rsidRDefault="0013116F" w:rsidP="004B607F">
      <w:pPr>
        <w:pStyle w:val="a9"/>
        <w:spacing w:after="60"/>
        <w:rPr>
          <w:rFonts w:asciiTheme="minorBidi" w:hAnsiTheme="minorBidi"/>
          <w:rtl/>
        </w:rPr>
      </w:pPr>
      <w:r w:rsidRPr="00845316">
        <w:rPr>
          <w:rStyle w:val="ab"/>
          <w:rFonts w:asciiTheme="minorBidi" w:hAnsiTheme="minorBidi"/>
        </w:rPr>
        <w:footnoteRef/>
      </w:r>
      <w:r w:rsidRPr="00845316">
        <w:rPr>
          <w:rFonts w:asciiTheme="minorBidi" w:hAnsiTheme="minorBidi"/>
          <w:rtl/>
        </w:rPr>
        <w:t xml:space="preserve"> שהרי הרי"ף רמב"ם סמ"ג רא"ש וטור כ'- "משיבא לב"ד שאין מכירין אותו ויאמר להם חשוד אני", ולא פירטו עוד.</w:t>
      </w:r>
    </w:p>
  </w:footnote>
  <w:footnote w:id="2463">
    <w:p w14:paraId="0E831D05" w14:textId="77777777" w:rsidR="0013116F" w:rsidRPr="00845316" w:rsidRDefault="0013116F" w:rsidP="004B607F">
      <w:pPr>
        <w:pStyle w:val="a9"/>
        <w:spacing w:after="60"/>
        <w:rPr>
          <w:rFonts w:asciiTheme="minorBidi" w:hAnsiTheme="minorBidi"/>
        </w:rPr>
      </w:pPr>
      <w:r w:rsidRPr="00845316">
        <w:rPr>
          <w:rStyle w:val="ab"/>
          <w:rFonts w:asciiTheme="minorBidi" w:hAnsiTheme="minorBidi"/>
        </w:rPr>
        <w:footnoteRef/>
      </w:r>
      <w:r w:rsidRPr="00845316">
        <w:rPr>
          <w:rFonts w:asciiTheme="minorBidi" w:hAnsiTheme="minorBidi"/>
          <w:rtl/>
        </w:rPr>
        <w:t xml:space="preserve"> וז"ל- כגון שנתחייב שבועה בבית דין שאין מכירין אותו ושלם ולא רצה לישבע לאחר שלבש שחורים ונתכסה שחורים, וכן מה שהוזם בעדותו תשובתו כדרך שאמר הירושלמי או כמו שאמרו בנשבע על שקר שחשדו אותו בממון חשוב להעיד עדותו ונמנע מפני יראת חטא. עכ"ל. ותשו' זו כנראה לא ראו האחרונים (הסמ"ע ועוד).</w:t>
      </w:r>
    </w:p>
  </w:footnote>
  <w:footnote w:id="2464">
    <w:p w14:paraId="56FD068E" w14:textId="77777777" w:rsidR="0013116F" w:rsidRPr="00845316" w:rsidRDefault="0013116F" w:rsidP="004B607F">
      <w:pPr>
        <w:pStyle w:val="a9"/>
        <w:spacing w:after="60"/>
        <w:rPr>
          <w:rFonts w:asciiTheme="minorBidi" w:hAnsiTheme="minorBidi"/>
        </w:rPr>
      </w:pPr>
      <w:r w:rsidRPr="00845316">
        <w:rPr>
          <w:rStyle w:val="ab"/>
          <w:rFonts w:asciiTheme="minorBidi" w:hAnsiTheme="minorBidi"/>
        </w:rPr>
        <w:footnoteRef/>
      </w:r>
      <w:r w:rsidRPr="00845316">
        <w:rPr>
          <w:rFonts w:asciiTheme="minorBidi" w:hAnsiTheme="minorBidi"/>
          <w:rtl/>
        </w:rPr>
        <w:t xml:space="preserve"> רי"ף </w:t>
      </w:r>
      <w:r w:rsidRPr="00845316">
        <w:rPr>
          <w:rFonts w:asciiTheme="minorBidi" w:hAnsiTheme="minorBidi"/>
          <w:sz w:val="16"/>
          <w:szCs w:val="16"/>
          <w:rtl/>
        </w:rPr>
        <w:t>(בתשו' סי' נה, דפוס בילגורי)</w:t>
      </w:r>
      <w:r w:rsidRPr="00845316">
        <w:rPr>
          <w:rFonts w:asciiTheme="minorBidi" w:hAnsiTheme="minorBidi"/>
          <w:rtl/>
        </w:rPr>
        <w:t xml:space="preserve"> </w:t>
      </w:r>
      <w:r w:rsidRPr="00845316">
        <w:rPr>
          <w:rFonts w:asciiTheme="minorBidi" w:hAnsiTheme="minorBidi"/>
          <w:sz w:val="22"/>
          <w:szCs w:val="22"/>
          <w:rtl/>
        </w:rPr>
        <w:t xml:space="preserve">(רמב"ם </w:t>
      </w:r>
      <w:r w:rsidRPr="00845316">
        <w:rPr>
          <w:rFonts w:asciiTheme="minorBidi" w:hAnsiTheme="minorBidi"/>
          <w:sz w:val="16"/>
          <w:szCs w:val="16"/>
          <w:rtl/>
        </w:rPr>
        <w:t>להב' המראה פנים</w:t>
      </w:r>
      <w:r w:rsidRPr="00845316">
        <w:rPr>
          <w:rFonts w:asciiTheme="minorBidi" w:hAnsiTheme="minorBidi"/>
          <w:sz w:val="22"/>
          <w:szCs w:val="22"/>
          <w:rtl/>
        </w:rPr>
        <w:t xml:space="preserve">) </w:t>
      </w:r>
      <w:r w:rsidRPr="00845316">
        <w:rPr>
          <w:rFonts w:asciiTheme="minorBidi" w:hAnsiTheme="minorBidi"/>
          <w:rtl/>
        </w:rPr>
        <w:t xml:space="preserve">רשב"א </w:t>
      </w:r>
      <w:r w:rsidRPr="00845316">
        <w:rPr>
          <w:rFonts w:asciiTheme="minorBidi" w:hAnsiTheme="minorBidi"/>
          <w:sz w:val="16"/>
          <w:szCs w:val="16"/>
          <w:rtl/>
        </w:rPr>
        <w:t>(ח"ד סי' קסו)</w:t>
      </w:r>
      <w:r w:rsidRPr="00845316">
        <w:rPr>
          <w:rFonts w:asciiTheme="minorBidi" w:hAnsiTheme="minorBidi"/>
          <w:rtl/>
        </w:rPr>
        <w:t xml:space="preserve"> נמוק"י </w:t>
      </w:r>
      <w:r w:rsidRPr="00845316">
        <w:rPr>
          <w:rFonts w:asciiTheme="minorBidi" w:hAnsiTheme="minorBidi"/>
          <w:sz w:val="16"/>
          <w:szCs w:val="16"/>
          <w:rtl/>
        </w:rPr>
        <w:t xml:space="preserve">(סנהדרין ה: ד"ה החשוד בשבועה, כן הבין הפלפולא חריפתא מדבריו, וכ"נ לי) </w:t>
      </w:r>
      <w:r w:rsidRPr="00845316">
        <w:rPr>
          <w:rFonts w:asciiTheme="minorBidi" w:hAnsiTheme="minorBidi"/>
          <w:rtl/>
        </w:rPr>
        <w:t xml:space="preserve">רי"ו </w:t>
      </w:r>
      <w:r w:rsidRPr="00845316">
        <w:rPr>
          <w:rFonts w:asciiTheme="minorBidi" w:hAnsiTheme="minorBidi"/>
          <w:sz w:val="16"/>
          <w:szCs w:val="16"/>
          <w:rtl/>
        </w:rPr>
        <w:t xml:space="preserve">(נ"ב ח"ד) </w:t>
      </w:r>
      <w:r w:rsidRPr="00845316">
        <w:rPr>
          <w:rFonts w:asciiTheme="minorBidi" w:hAnsiTheme="minorBidi"/>
          <w:rtl/>
        </w:rPr>
        <w:t xml:space="preserve">פלפולא חריפתא </w:t>
      </w:r>
      <w:r w:rsidRPr="00845316">
        <w:rPr>
          <w:rFonts w:asciiTheme="minorBidi" w:hAnsiTheme="minorBidi"/>
          <w:sz w:val="16"/>
          <w:szCs w:val="16"/>
          <w:rtl/>
        </w:rPr>
        <w:t>(סנהדרין פ"ג סי' טז אות צ, הרי הוא בעל התיו"ט)</w:t>
      </w:r>
      <w:r w:rsidRPr="00845316">
        <w:rPr>
          <w:rFonts w:asciiTheme="minorBidi" w:hAnsiTheme="minorBidi"/>
          <w:rtl/>
        </w:rPr>
        <w:t xml:space="preserve"> </w:t>
      </w:r>
      <w:r w:rsidRPr="00845316">
        <w:rPr>
          <w:rFonts w:asciiTheme="minorBidi" w:hAnsiTheme="minorBidi"/>
          <w:sz w:val="22"/>
          <w:szCs w:val="22"/>
          <w:rtl/>
        </w:rPr>
        <w:t>ופני משה.</w:t>
      </w:r>
    </w:p>
  </w:footnote>
  <w:footnote w:id="2465">
    <w:p w14:paraId="43F16933" w14:textId="77777777" w:rsidR="0013116F" w:rsidRPr="00845316" w:rsidRDefault="0013116F" w:rsidP="004B607F">
      <w:pPr>
        <w:pStyle w:val="a9"/>
        <w:spacing w:after="60"/>
        <w:rPr>
          <w:rFonts w:asciiTheme="minorBidi" w:hAnsiTheme="minorBidi"/>
          <w:rtl/>
        </w:rPr>
      </w:pPr>
      <w:r w:rsidRPr="00845316">
        <w:rPr>
          <w:rStyle w:val="ab"/>
          <w:rFonts w:asciiTheme="minorBidi" w:hAnsiTheme="minorBidi"/>
        </w:rPr>
        <w:footnoteRef/>
      </w:r>
      <w:r w:rsidRPr="00845316">
        <w:rPr>
          <w:rFonts w:asciiTheme="minorBidi" w:hAnsiTheme="minorBidi"/>
          <w:rtl/>
        </w:rPr>
        <w:t xml:space="preserve"> וכן נ"ל דעת הב"י שהרי הביא את פירוש רי"ו ולא הוסיף לכתוב על זה כלום, וכן נ"ל דמוכח מלשון הירושלמי </w:t>
      </w:r>
      <w:r w:rsidRPr="00845316">
        <w:rPr>
          <w:rFonts w:asciiTheme="minorBidi" w:hAnsiTheme="minorBidi"/>
          <w:sz w:val="16"/>
          <w:szCs w:val="16"/>
          <w:rtl/>
        </w:rPr>
        <w:t xml:space="preserve">(גיר' וילנא וגיר' ונציה) </w:t>
      </w:r>
      <w:r w:rsidRPr="00845316">
        <w:rPr>
          <w:rFonts w:asciiTheme="minorBidi" w:hAnsiTheme="minorBidi"/>
          <w:rtl/>
        </w:rPr>
        <w:t xml:space="preserve">שכתוב שם- "דאזל </w:t>
      </w:r>
      <w:r w:rsidRPr="00845316">
        <w:rPr>
          <w:rFonts w:asciiTheme="minorBidi" w:hAnsiTheme="minorBidi"/>
          <w:u w:val="single"/>
          <w:rtl/>
        </w:rPr>
        <w:t>מידון</w:t>
      </w:r>
      <w:r w:rsidRPr="00845316">
        <w:rPr>
          <w:rFonts w:asciiTheme="minorBidi" w:hAnsiTheme="minorBidi"/>
          <w:rtl/>
        </w:rPr>
        <w:t>" משמע שהלך להתדיין שם. אבל הגר"א</w:t>
      </w:r>
      <w:r w:rsidRPr="00845316">
        <w:rPr>
          <w:rFonts w:asciiTheme="minorBidi" w:hAnsiTheme="minorBidi"/>
          <w:sz w:val="22"/>
          <w:szCs w:val="22"/>
          <w:rtl/>
        </w:rPr>
        <w:t xml:space="preserve"> </w:t>
      </w:r>
      <w:r w:rsidRPr="00845316">
        <w:rPr>
          <w:rFonts w:asciiTheme="minorBidi" w:hAnsiTheme="minorBidi"/>
          <w:sz w:val="16"/>
          <w:szCs w:val="16"/>
          <w:rtl/>
        </w:rPr>
        <w:t>(ס"ק סז)</w:t>
      </w:r>
      <w:r w:rsidRPr="00845316">
        <w:rPr>
          <w:rFonts w:asciiTheme="minorBidi" w:hAnsiTheme="minorBidi"/>
          <w:rtl/>
        </w:rPr>
        <w:t xml:space="preserve"> הביא גירסא אחרת בירושלמי ושם כתוב "דאזל </w:t>
      </w:r>
      <w:r w:rsidRPr="00845316">
        <w:rPr>
          <w:rFonts w:asciiTheme="minorBidi" w:hAnsiTheme="minorBidi"/>
          <w:u w:val="single"/>
          <w:rtl/>
        </w:rPr>
        <w:t>מודה</w:t>
      </w:r>
      <w:r w:rsidRPr="00845316">
        <w:rPr>
          <w:rFonts w:asciiTheme="minorBidi" w:hAnsiTheme="minorBidi"/>
          <w:rtl/>
        </w:rPr>
        <w:t xml:space="preserve">", והיא מתאימה לדעת החולקים עי' לקמן. </w:t>
      </w:r>
    </w:p>
  </w:footnote>
  <w:footnote w:id="2466">
    <w:p w14:paraId="1F5DADC9" w14:textId="77777777" w:rsidR="0013116F" w:rsidRPr="00845316" w:rsidRDefault="0013116F" w:rsidP="004B607F">
      <w:pPr>
        <w:pStyle w:val="a9"/>
        <w:spacing w:after="60"/>
        <w:rPr>
          <w:rFonts w:asciiTheme="minorBidi" w:hAnsiTheme="minorBidi"/>
        </w:rPr>
      </w:pPr>
      <w:r w:rsidRPr="00845316">
        <w:rPr>
          <w:rStyle w:val="ab"/>
          <w:rFonts w:asciiTheme="minorBidi" w:hAnsiTheme="minorBidi"/>
        </w:rPr>
        <w:footnoteRef/>
      </w:r>
      <w:r w:rsidRPr="00845316">
        <w:rPr>
          <w:rFonts w:asciiTheme="minorBidi" w:hAnsiTheme="minorBidi"/>
          <w:rtl/>
        </w:rPr>
        <w:t xml:space="preserve"> סקפ"א, וז"ל- ויאמר להן חשוד אני. בכאן לא כתב שיאמר כן אדבר חשוב, דכיון דמרע נפשו באמרו שהוא חשוד, א"כ ממילא פסל נפשו אכל דבר, ואין לך דבר חשוב גדול מזה. עכ"ל. וכמו שכתבתי למעלה כן הבין הפלפולא חריפתא </w:t>
      </w:r>
      <w:r w:rsidRPr="00845316">
        <w:rPr>
          <w:rFonts w:asciiTheme="minorBidi" w:hAnsiTheme="minorBidi"/>
          <w:sz w:val="14"/>
          <w:szCs w:val="14"/>
          <w:rtl/>
        </w:rPr>
        <w:t xml:space="preserve">(סנהדרין פ"ג סי' טז צ) </w:t>
      </w:r>
      <w:r w:rsidRPr="00845316">
        <w:rPr>
          <w:rFonts w:asciiTheme="minorBidi" w:hAnsiTheme="minorBidi"/>
          <w:rtl/>
        </w:rPr>
        <w:t>דבריו.</w:t>
      </w:r>
    </w:p>
  </w:footnote>
  <w:footnote w:id="2467">
    <w:p w14:paraId="67E0ACD8" w14:textId="77777777" w:rsidR="0013116F" w:rsidRPr="00845316" w:rsidRDefault="0013116F" w:rsidP="004B607F">
      <w:pPr>
        <w:pStyle w:val="a9"/>
        <w:spacing w:after="60"/>
        <w:rPr>
          <w:rFonts w:asciiTheme="minorBidi" w:hAnsiTheme="minorBidi"/>
        </w:rPr>
      </w:pPr>
      <w:r w:rsidRPr="00845316">
        <w:rPr>
          <w:rStyle w:val="ab"/>
          <w:rFonts w:asciiTheme="minorBidi" w:hAnsiTheme="minorBidi"/>
        </w:rPr>
        <w:footnoteRef/>
      </w:r>
      <w:r w:rsidRPr="00845316">
        <w:rPr>
          <w:rFonts w:asciiTheme="minorBidi" w:hAnsiTheme="minorBidi"/>
          <w:rtl/>
        </w:rPr>
        <w:t xml:space="preserve"> רי"ף </w:t>
      </w:r>
      <w:r w:rsidRPr="00845316">
        <w:rPr>
          <w:rFonts w:asciiTheme="minorBidi" w:hAnsiTheme="minorBidi"/>
          <w:sz w:val="16"/>
          <w:szCs w:val="16"/>
          <w:rtl/>
        </w:rPr>
        <w:t>(ה:, ובתשו' סי' נה, דפוס בילגורי)</w:t>
      </w:r>
      <w:r w:rsidRPr="00845316">
        <w:rPr>
          <w:rFonts w:asciiTheme="minorBidi" w:hAnsiTheme="minorBidi"/>
          <w:rtl/>
        </w:rPr>
        <w:t xml:space="preserve"> רמב"ם</w:t>
      </w:r>
      <w:r w:rsidRPr="00845316">
        <w:rPr>
          <w:rFonts w:asciiTheme="minorBidi" w:hAnsiTheme="minorBidi"/>
          <w:sz w:val="16"/>
          <w:szCs w:val="16"/>
          <w:rtl/>
        </w:rPr>
        <w:t xml:space="preserve"> (פי"ב ה"ט)</w:t>
      </w:r>
      <w:r w:rsidRPr="00845316">
        <w:rPr>
          <w:rFonts w:asciiTheme="minorBidi" w:hAnsiTheme="minorBidi"/>
          <w:rtl/>
        </w:rPr>
        <w:t xml:space="preserve"> סמ"ג </w:t>
      </w:r>
      <w:r w:rsidRPr="00845316">
        <w:rPr>
          <w:rFonts w:asciiTheme="minorBidi" w:hAnsiTheme="minorBidi"/>
          <w:sz w:val="16"/>
          <w:szCs w:val="16"/>
          <w:rtl/>
        </w:rPr>
        <w:t>(לאוין סי' ריד)</w:t>
      </w:r>
      <w:r w:rsidRPr="00845316">
        <w:rPr>
          <w:rFonts w:asciiTheme="minorBidi" w:hAnsiTheme="minorBidi"/>
          <w:rtl/>
        </w:rPr>
        <w:t xml:space="preserve"> וטור.</w:t>
      </w:r>
    </w:p>
  </w:footnote>
  <w:footnote w:id="2468">
    <w:p w14:paraId="3153B67B" w14:textId="77777777" w:rsidR="0013116F" w:rsidRPr="00845316" w:rsidRDefault="0013116F" w:rsidP="004B607F">
      <w:pPr>
        <w:pStyle w:val="a9"/>
        <w:spacing w:after="60"/>
        <w:rPr>
          <w:rFonts w:asciiTheme="minorBidi" w:hAnsiTheme="minorBidi"/>
          <w:rtl/>
        </w:rPr>
      </w:pPr>
      <w:r w:rsidRPr="00845316">
        <w:rPr>
          <w:rStyle w:val="ab"/>
          <w:rFonts w:asciiTheme="minorBidi" w:hAnsiTheme="minorBidi"/>
        </w:rPr>
        <w:footnoteRef/>
      </w:r>
      <w:r w:rsidRPr="00845316">
        <w:rPr>
          <w:rFonts w:asciiTheme="minorBidi" w:hAnsiTheme="minorBidi"/>
          <w:rtl/>
        </w:rPr>
        <w:t xml:space="preserve"> וימסרו לו שם שבועה </w:t>
      </w:r>
      <w:r w:rsidRPr="00845316">
        <w:rPr>
          <w:rFonts w:asciiTheme="minorBidi" w:hAnsiTheme="minorBidi"/>
          <w:sz w:val="16"/>
          <w:szCs w:val="16"/>
          <w:rtl/>
        </w:rPr>
        <w:t>(לפי מה שנתבאר לעיל)</w:t>
      </w:r>
      <w:r w:rsidRPr="00845316">
        <w:rPr>
          <w:rFonts w:asciiTheme="minorBidi" w:hAnsiTheme="minorBidi"/>
          <w:rtl/>
        </w:rPr>
        <w:t>.</w:t>
      </w:r>
    </w:p>
  </w:footnote>
  <w:footnote w:id="2469">
    <w:p w14:paraId="738C689E" w14:textId="77777777" w:rsidR="0013116F" w:rsidRPr="00845316" w:rsidRDefault="0013116F" w:rsidP="004B607F">
      <w:pPr>
        <w:pStyle w:val="a9"/>
        <w:spacing w:after="60"/>
        <w:rPr>
          <w:rFonts w:asciiTheme="minorBidi" w:hAnsiTheme="minorBidi"/>
          <w:rtl/>
        </w:rPr>
      </w:pPr>
      <w:r w:rsidRPr="00845316">
        <w:rPr>
          <w:rStyle w:val="ab"/>
          <w:rFonts w:asciiTheme="minorBidi" w:hAnsiTheme="minorBidi"/>
        </w:rPr>
        <w:footnoteRef/>
      </w:r>
      <w:r w:rsidRPr="00845316">
        <w:rPr>
          <w:rFonts w:asciiTheme="minorBidi" w:hAnsiTheme="minorBidi"/>
          <w:rtl/>
        </w:rPr>
        <w:t xml:space="preserve"> וכ"כ הרא"ש </w:t>
      </w:r>
      <w:r w:rsidRPr="00845316">
        <w:rPr>
          <w:rFonts w:asciiTheme="minorBidi" w:hAnsiTheme="minorBidi"/>
          <w:sz w:val="16"/>
          <w:szCs w:val="16"/>
          <w:rtl/>
        </w:rPr>
        <w:t>(פ"ג סי' טז)</w:t>
      </w:r>
      <w:r w:rsidRPr="00845316">
        <w:rPr>
          <w:rFonts w:asciiTheme="minorBidi" w:hAnsiTheme="minorBidi"/>
          <w:rtl/>
        </w:rPr>
        <w:t>, אבל את האפשרות השניה הוא לא כתב.</w:t>
      </w:r>
    </w:p>
  </w:footnote>
  <w:footnote w:id="2470">
    <w:p w14:paraId="6C9670BA" w14:textId="77777777" w:rsidR="0013116F" w:rsidRPr="00845316" w:rsidRDefault="0013116F" w:rsidP="004B607F">
      <w:pPr>
        <w:pStyle w:val="a9"/>
        <w:spacing w:after="60"/>
        <w:rPr>
          <w:rFonts w:asciiTheme="minorBidi" w:hAnsiTheme="minorBidi"/>
          <w:color w:val="FF0000"/>
          <w:rtl/>
        </w:rPr>
      </w:pPr>
      <w:r w:rsidRPr="00845316">
        <w:rPr>
          <w:rStyle w:val="ab"/>
          <w:rFonts w:asciiTheme="minorBidi" w:hAnsiTheme="minorBidi"/>
        </w:rPr>
        <w:footnoteRef/>
      </w:r>
      <w:r w:rsidRPr="00845316">
        <w:rPr>
          <w:rFonts w:asciiTheme="minorBidi" w:hAnsiTheme="minorBidi"/>
          <w:rtl/>
        </w:rPr>
        <w:t xml:space="preserve"> היינו שעשה עברה שאין לוקין עליה או שעשה עברה שכן לוקין עליה אבל לא התרו בו </w:t>
      </w:r>
      <w:r w:rsidRPr="00845316">
        <w:rPr>
          <w:rFonts w:asciiTheme="minorBidi" w:hAnsiTheme="minorBidi"/>
          <w:sz w:val="16"/>
          <w:szCs w:val="16"/>
          <w:rtl/>
        </w:rPr>
        <w:t>(שאז ג"כ לא לוקין עליה)</w:t>
      </w:r>
      <w:r w:rsidRPr="00845316">
        <w:rPr>
          <w:rFonts w:asciiTheme="minorBidi" w:hAnsiTheme="minorBidi"/>
          <w:rtl/>
        </w:rPr>
        <w:t>, ב"י.</w:t>
      </w:r>
    </w:p>
  </w:footnote>
  <w:footnote w:id="2471">
    <w:p w14:paraId="626F8F2C" w14:textId="77777777" w:rsidR="0013116F" w:rsidRPr="00845316" w:rsidRDefault="0013116F" w:rsidP="004B607F">
      <w:pPr>
        <w:pStyle w:val="a9"/>
        <w:spacing w:after="60"/>
        <w:rPr>
          <w:rFonts w:asciiTheme="minorBidi" w:hAnsiTheme="minorBidi"/>
          <w:rtl/>
        </w:rPr>
      </w:pPr>
      <w:r w:rsidRPr="00845316">
        <w:rPr>
          <w:rStyle w:val="ab"/>
          <w:rFonts w:asciiTheme="minorBidi" w:hAnsiTheme="minorBidi"/>
        </w:rPr>
        <w:footnoteRef/>
      </w:r>
      <w:r w:rsidRPr="00845316">
        <w:rPr>
          <w:rFonts w:asciiTheme="minorBidi" w:hAnsiTheme="minorBidi"/>
          <w:rtl/>
        </w:rPr>
        <w:t xml:space="preserve"> בשו"ת משאת בנימין</w:t>
      </w:r>
      <w:r w:rsidRPr="00845316">
        <w:rPr>
          <w:rFonts w:asciiTheme="minorBidi" w:hAnsiTheme="minorBidi"/>
          <w:sz w:val="16"/>
          <w:szCs w:val="16"/>
          <w:rtl/>
        </w:rPr>
        <w:t xml:space="preserve"> (סי' נא, הביאו ההגוה"ע אות רו)</w:t>
      </w:r>
      <w:r w:rsidRPr="00845316">
        <w:rPr>
          <w:rFonts w:asciiTheme="minorBidi" w:hAnsiTheme="minorBidi"/>
          <w:rtl/>
        </w:rPr>
        <w:t xml:space="preserve"> כ' דהא דצריך לבוא לב"ד הוא דוקא היכא דלא עושה שום מעשה בחזרתו אלא מקבל עליו דברים בעלמא שלא לעשות או שאוסר עליו דבר המותר לו, אבל היכא דאיכא מעשה לא בעינן בפני ב"ד.</w:t>
      </w:r>
    </w:p>
  </w:footnote>
  <w:footnote w:id="2472">
    <w:p w14:paraId="6CD471B5" w14:textId="77777777" w:rsidR="0013116F" w:rsidRPr="00845316" w:rsidRDefault="0013116F" w:rsidP="004B607F">
      <w:pPr>
        <w:pStyle w:val="a9"/>
        <w:spacing w:after="60"/>
        <w:rPr>
          <w:rFonts w:asciiTheme="minorBidi" w:hAnsiTheme="minorBidi"/>
          <w:rtl/>
        </w:rPr>
      </w:pPr>
      <w:r w:rsidRPr="00845316">
        <w:rPr>
          <w:rStyle w:val="ab"/>
          <w:rFonts w:asciiTheme="minorBidi" w:hAnsiTheme="minorBidi"/>
        </w:rPr>
        <w:footnoteRef/>
      </w:r>
      <w:r w:rsidRPr="00845316">
        <w:rPr>
          <w:rFonts w:asciiTheme="minorBidi" w:hAnsiTheme="minorBidi"/>
          <w:rtl/>
        </w:rPr>
        <w:t xml:space="preserve"> היינו שבא לב"ד ע"מ להתדיין ואמרו לו להישבע....</w:t>
      </w:r>
    </w:p>
  </w:footnote>
  <w:footnote w:id="2473">
    <w:p w14:paraId="2D1B2E15" w14:textId="77777777" w:rsidR="0013116F" w:rsidRPr="00845316" w:rsidRDefault="0013116F" w:rsidP="004B607F">
      <w:pPr>
        <w:pStyle w:val="a9"/>
        <w:spacing w:after="60"/>
        <w:rPr>
          <w:rFonts w:asciiTheme="minorBidi" w:hAnsiTheme="minorBidi"/>
        </w:rPr>
      </w:pPr>
      <w:r w:rsidRPr="00845316">
        <w:rPr>
          <w:rStyle w:val="ab"/>
          <w:rFonts w:asciiTheme="minorBidi" w:hAnsiTheme="minorBidi"/>
        </w:rPr>
        <w:footnoteRef/>
      </w:r>
      <w:r w:rsidRPr="00845316">
        <w:rPr>
          <w:rFonts w:asciiTheme="minorBidi" w:hAnsiTheme="minorBidi"/>
          <w:rtl/>
        </w:rPr>
        <w:t xml:space="preserve"> היינו ששותק ומשלם, ולא דוקא שמודיע להם שחשוד על השבועה ומשלם, מראה הפנים (על הירושלמי).</w:t>
      </w:r>
    </w:p>
  </w:footnote>
  <w:footnote w:id="2474">
    <w:p w14:paraId="06C3A2E4" w14:textId="77777777" w:rsidR="0013116F" w:rsidRPr="00845316" w:rsidRDefault="0013116F" w:rsidP="004B607F">
      <w:pPr>
        <w:pStyle w:val="a9"/>
        <w:spacing w:after="60"/>
        <w:rPr>
          <w:rFonts w:asciiTheme="minorBidi" w:hAnsiTheme="minorBidi"/>
        </w:rPr>
      </w:pPr>
      <w:r w:rsidRPr="00845316">
        <w:rPr>
          <w:rStyle w:val="ab"/>
          <w:rFonts w:asciiTheme="minorBidi" w:hAnsiTheme="minorBidi"/>
        </w:rPr>
        <w:footnoteRef/>
      </w:r>
      <w:r w:rsidRPr="00845316">
        <w:rPr>
          <w:rFonts w:asciiTheme="minorBidi" w:hAnsiTheme="minorBidi"/>
          <w:rtl/>
        </w:rPr>
        <w:t xml:space="preserve"> חז"ל החמירו שיעשו תשובה בעיר אחרת במקרים בהם הפסולים שבים לאותו דבר שבו נפלו, כגון טבח שחטא בטבחות וחזר להיות טבח, ועד זומם שיחזור להיות כשר לעדות, וכן במועלי שבועות, משא"כ במלוה בריבית ומשחק בקוביא ומפריחי יונים דלא יוכשרו לחזור להתעסק באלו, דהא מפניהן פסלוהו, משום הכי הקילו להמצא להן תשובה בעירן, סמ"ע </w:t>
      </w:r>
      <w:r w:rsidRPr="00845316">
        <w:rPr>
          <w:rFonts w:asciiTheme="minorBidi" w:hAnsiTheme="minorBidi"/>
          <w:sz w:val="16"/>
          <w:szCs w:val="16"/>
          <w:rtl/>
        </w:rPr>
        <w:t>(סק"פ)</w:t>
      </w:r>
      <w:r w:rsidRPr="00845316">
        <w:rPr>
          <w:rFonts w:asciiTheme="minorBidi" w:hAnsiTheme="minorBidi"/>
          <w:rtl/>
        </w:rPr>
        <w:t>.</w:t>
      </w:r>
    </w:p>
  </w:footnote>
  <w:footnote w:id="2475">
    <w:p w14:paraId="1A4CAE57" w14:textId="77777777" w:rsidR="0013116F" w:rsidRPr="00845316" w:rsidRDefault="0013116F" w:rsidP="004B607F">
      <w:pPr>
        <w:pStyle w:val="a9"/>
        <w:spacing w:after="60"/>
        <w:rPr>
          <w:rFonts w:asciiTheme="minorBidi" w:hAnsiTheme="minorBidi"/>
          <w:rtl/>
        </w:rPr>
      </w:pPr>
      <w:r w:rsidRPr="00845316">
        <w:rPr>
          <w:rStyle w:val="ab"/>
          <w:rFonts w:asciiTheme="minorBidi" w:hAnsiTheme="minorBidi"/>
        </w:rPr>
        <w:footnoteRef/>
      </w:r>
      <w:r w:rsidRPr="00845316">
        <w:rPr>
          <w:rFonts w:asciiTheme="minorBidi" w:hAnsiTheme="minorBidi"/>
          <w:rtl/>
        </w:rPr>
        <w:t xml:space="preserve"> אמנם הב"י בסוף דבריו</w:t>
      </w:r>
      <w:r w:rsidRPr="00845316">
        <w:rPr>
          <w:rFonts w:asciiTheme="minorBidi" w:hAnsiTheme="minorBidi"/>
          <w:sz w:val="16"/>
          <w:szCs w:val="16"/>
          <w:rtl/>
        </w:rPr>
        <w:t xml:space="preserve"> ("ולדברי התוספות קשה לי..")</w:t>
      </w:r>
      <w:r w:rsidRPr="00845316">
        <w:rPr>
          <w:rFonts w:asciiTheme="minorBidi" w:hAnsiTheme="minorBidi"/>
          <w:rtl/>
        </w:rPr>
        <w:t xml:space="preserve"> השאיר חילוק זה בצ"ע, ונראה שאינו מחלק כך להלכה. וכ"כ בהג' דו"פ (אות טו) דאין ללמוד מטבח לכל שאר עברות. לכן צ"ע על ציון זה.</w:t>
      </w:r>
    </w:p>
  </w:footnote>
  <w:footnote w:id="2476">
    <w:p w14:paraId="0AC90B36" w14:textId="77777777" w:rsidR="0013116F" w:rsidRPr="00845316" w:rsidRDefault="0013116F" w:rsidP="004B607F">
      <w:pPr>
        <w:pStyle w:val="a9"/>
        <w:spacing w:after="60"/>
        <w:rPr>
          <w:rFonts w:asciiTheme="minorBidi" w:hAnsiTheme="minorBidi"/>
        </w:rPr>
      </w:pPr>
      <w:r w:rsidRPr="00845316">
        <w:rPr>
          <w:rStyle w:val="ab"/>
          <w:rFonts w:asciiTheme="minorBidi" w:hAnsiTheme="minorBidi"/>
        </w:rPr>
        <w:footnoteRef/>
      </w:r>
      <w:r w:rsidRPr="00845316">
        <w:rPr>
          <w:rFonts w:asciiTheme="minorBidi" w:hAnsiTheme="minorBidi"/>
          <w:rtl/>
        </w:rPr>
        <w:t xml:space="preserve"> הגדיל שערו וציפורניו לנוול עצמו לעשות תשובה, רש"י.</w:t>
      </w:r>
    </w:p>
  </w:footnote>
  <w:footnote w:id="2477">
    <w:p w14:paraId="5DBFD4A8" w14:textId="77777777" w:rsidR="0013116F" w:rsidRPr="00845316" w:rsidRDefault="0013116F" w:rsidP="004B607F">
      <w:pPr>
        <w:pStyle w:val="a9"/>
        <w:spacing w:after="60"/>
        <w:rPr>
          <w:rFonts w:asciiTheme="minorBidi" w:hAnsiTheme="minorBidi"/>
          <w:rtl/>
        </w:rPr>
      </w:pPr>
      <w:r w:rsidRPr="00845316">
        <w:rPr>
          <w:rStyle w:val="ab"/>
          <w:rFonts w:asciiTheme="minorBidi" w:hAnsiTheme="minorBidi"/>
        </w:rPr>
        <w:footnoteRef/>
      </w:r>
      <w:r w:rsidRPr="00845316">
        <w:rPr>
          <w:rFonts w:asciiTheme="minorBidi" w:hAnsiTheme="minorBidi"/>
          <w:rtl/>
        </w:rPr>
        <w:t xml:space="preserve"> דתשובה דהתם לאו עירומי הוא, רש"י.</w:t>
      </w:r>
    </w:p>
  </w:footnote>
  <w:footnote w:id="2478">
    <w:p w14:paraId="234E1A28" w14:textId="77777777" w:rsidR="0013116F" w:rsidRPr="00845316" w:rsidRDefault="0013116F" w:rsidP="004B607F">
      <w:pPr>
        <w:pStyle w:val="a9"/>
        <w:spacing w:after="60"/>
        <w:rPr>
          <w:rFonts w:asciiTheme="minorBidi" w:hAnsiTheme="minorBidi"/>
        </w:rPr>
      </w:pPr>
      <w:r w:rsidRPr="00845316">
        <w:rPr>
          <w:rStyle w:val="ab"/>
          <w:rFonts w:asciiTheme="minorBidi" w:hAnsiTheme="minorBidi"/>
        </w:rPr>
        <w:footnoteRef/>
      </w:r>
      <w:r w:rsidRPr="00845316">
        <w:rPr>
          <w:rFonts w:asciiTheme="minorBidi" w:hAnsiTheme="minorBidi"/>
          <w:rtl/>
        </w:rPr>
        <w:t xml:space="preserve"> אם ימצא אבידת חבירו, דכיון דמחזיר אבידה הוא, ודאי הדר ביה מחמדת ממון, רש"י.</w:t>
      </w:r>
    </w:p>
  </w:footnote>
  <w:footnote w:id="2479">
    <w:p w14:paraId="064E444E" w14:textId="77777777" w:rsidR="0013116F" w:rsidRPr="00845316" w:rsidRDefault="0013116F" w:rsidP="004B607F">
      <w:pPr>
        <w:pStyle w:val="a9"/>
        <w:spacing w:after="60"/>
        <w:rPr>
          <w:rFonts w:asciiTheme="minorBidi" w:hAnsiTheme="minorBidi"/>
        </w:rPr>
      </w:pPr>
      <w:r w:rsidRPr="00845316">
        <w:rPr>
          <w:rStyle w:val="ab"/>
          <w:rFonts w:asciiTheme="minorBidi" w:hAnsiTheme="minorBidi"/>
        </w:rPr>
        <w:footnoteRef/>
      </w:r>
      <w:r w:rsidRPr="00845316">
        <w:rPr>
          <w:rFonts w:asciiTheme="minorBidi" w:hAnsiTheme="minorBidi"/>
          <w:rtl/>
        </w:rPr>
        <w:t xml:space="preserve"> </w:t>
      </w:r>
      <w:r>
        <w:rPr>
          <w:rFonts w:asciiTheme="minorBidi" w:hAnsiTheme="minorBidi" w:hint="cs"/>
          <w:rtl/>
        </w:rPr>
        <w:t>(</w:t>
      </w:r>
      <w:r w:rsidRPr="00845316">
        <w:rPr>
          <w:rFonts w:asciiTheme="minorBidi" w:hAnsiTheme="minorBidi"/>
          <w:rtl/>
        </w:rPr>
        <w:t>רמב"ם</w:t>
      </w:r>
      <w:r w:rsidRPr="00845316">
        <w:rPr>
          <w:rFonts w:asciiTheme="minorBidi" w:hAnsiTheme="minorBidi"/>
          <w:sz w:val="16"/>
          <w:szCs w:val="16"/>
          <w:rtl/>
        </w:rPr>
        <w:t xml:space="preserve"> </w:t>
      </w:r>
      <w:r w:rsidRPr="00845316">
        <w:rPr>
          <w:rFonts w:asciiTheme="minorBidi" w:hAnsiTheme="minorBidi"/>
          <w:sz w:val="14"/>
          <w:szCs w:val="14"/>
          <w:rtl/>
        </w:rPr>
        <w:t>[פי"ב ה"ט]</w:t>
      </w:r>
      <w:r w:rsidRPr="00845316">
        <w:rPr>
          <w:rFonts w:asciiTheme="minorBidi" w:hAnsiTheme="minorBidi"/>
          <w:sz w:val="16"/>
          <w:szCs w:val="16"/>
          <w:rtl/>
        </w:rPr>
        <w:t xml:space="preserve"> </w:t>
      </w:r>
      <w:r w:rsidRPr="00845316">
        <w:rPr>
          <w:rFonts w:asciiTheme="minorBidi" w:hAnsiTheme="minorBidi"/>
          <w:rtl/>
        </w:rPr>
        <w:t xml:space="preserve">ורא"ש </w:t>
      </w:r>
      <w:r w:rsidRPr="00845316">
        <w:rPr>
          <w:rFonts w:asciiTheme="minorBidi" w:hAnsiTheme="minorBidi"/>
          <w:sz w:val="14"/>
          <w:szCs w:val="14"/>
          <w:rtl/>
        </w:rPr>
        <w:t>[סנהדרין סי' י]</w:t>
      </w:r>
      <w:r w:rsidRPr="00845316">
        <w:rPr>
          <w:rFonts w:asciiTheme="minorBidi" w:hAnsiTheme="minorBidi"/>
          <w:sz w:val="16"/>
          <w:szCs w:val="16"/>
          <w:rtl/>
        </w:rPr>
        <w:t xml:space="preserve"> להב' הב"י</w:t>
      </w:r>
      <w:r w:rsidRPr="00845316">
        <w:rPr>
          <w:rFonts w:asciiTheme="minorBidi" w:hAnsiTheme="minorBidi"/>
          <w:sz w:val="14"/>
          <w:szCs w:val="14"/>
          <w:rtl/>
        </w:rPr>
        <w:t xml:space="preserve"> [סי"א וסע' מג {ד"ה וכבר כתבתי לעיל}]</w:t>
      </w:r>
      <w:r w:rsidRPr="00845316">
        <w:rPr>
          <w:rFonts w:asciiTheme="minorBidi" w:hAnsiTheme="minorBidi"/>
          <w:rtl/>
        </w:rPr>
        <w:t>).</w:t>
      </w:r>
    </w:p>
  </w:footnote>
  <w:footnote w:id="2480">
    <w:p w14:paraId="039F1AAA" w14:textId="77777777" w:rsidR="0013116F" w:rsidRPr="00845316" w:rsidRDefault="0013116F" w:rsidP="004B607F">
      <w:pPr>
        <w:pStyle w:val="a9"/>
        <w:spacing w:after="60"/>
        <w:rPr>
          <w:rFonts w:asciiTheme="minorBidi" w:hAnsiTheme="minorBidi"/>
        </w:rPr>
      </w:pPr>
      <w:r w:rsidRPr="00845316">
        <w:rPr>
          <w:rStyle w:val="ab"/>
          <w:rFonts w:asciiTheme="minorBidi" w:hAnsiTheme="minorBidi"/>
        </w:rPr>
        <w:footnoteRef/>
      </w:r>
      <w:r w:rsidRPr="00845316">
        <w:rPr>
          <w:rFonts w:asciiTheme="minorBidi" w:hAnsiTheme="minorBidi"/>
          <w:rtl/>
        </w:rPr>
        <w:t xml:space="preserve"> הב"י חשב לחזור בו ולפרש את דברי הרמב"ם כפירוש הטור </w:t>
      </w:r>
      <w:r w:rsidRPr="00845316">
        <w:rPr>
          <w:rFonts w:asciiTheme="minorBidi" w:hAnsiTheme="minorBidi"/>
          <w:sz w:val="16"/>
          <w:szCs w:val="16"/>
          <w:rtl/>
        </w:rPr>
        <w:t>(וז"ל- ומיהו אפשר דטבח שיצא טריפה מתחת ידו אם אין לו בה הנאת ממון {כגון טבח שבודק לאחרים} לא מיפסל דכיון דאין לו בה הנאה לא חשדינן ליה במזיד אלא בשוגג, עכ"ל)</w:t>
      </w:r>
      <w:r w:rsidRPr="00845316">
        <w:rPr>
          <w:rFonts w:asciiTheme="minorBidi" w:hAnsiTheme="minorBidi"/>
          <w:rtl/>
        </w:rPr>
        <w:t xml:space="preserve"> מיהו מיד בסמוך כ' בבדה"ב- "אבל כתב </w:t>
      </w:r>
      <w:r w:rsidRPr="00845316">
        <w:rPr>
          <w:rFonts w:asciiTheme="minorBidi" w:hAnsiTheme="minorBidi"/>
          <w:sz w:val="16"/>
          <w:szCs w:val="16"/>
          <w:rtl/>
        </w:rPr>
        <w:t xml:space="preserve"> {הרשב"א}</w:t>
      </w:r>
      <w:r w:rsidRPr="00845316">
        <w:rPr>
          <w:rFonts w:asciiTheme="minorBidi" w:hAnsiTheme="minorBidi"/>
          <w:rtl/>
        </w:rPr>
        <w:t xml:space="preserve"> דאי אמר שוגג הייתי אינה טענה דאם כן פושע הוא" עכ"ל. ואע"פ שהיה אפשר לפרש את דבריו אלו</w:t>
      </w:r>
      <w:r w:rsidRPr="00845316">
        <w:rPr>
          <w:rFonts w:asciiTheme="minorBidi" w:hAnsiTheme="minorBidi"/>
          <w:sz w:val="16"/>
          <w:szCs w:val="16"/>
          <w:rtl/>
        </w:rPr>
        <w:t xml:space="preserve"> (בבדה"ב)</w:t>
      </w:r>
      <w:r w:rsidRPr="00845316">
        <w:rPr>
          <w:rFonts w:asciiTheme="minorBidi" w:hAnsiTheme="minorBidi"/>
          <w:rtl/>
        </w:rPr>
        <w:t xml:space="preserve"> שאינו בא לחלוק על פירוש הטור </w:t>
      </w:r>
      <w:r w:rsidRPr="00845316">
        <w:rPr>
          <w:rFonts w:asciiTheme="minorBidi" w:hAnsiTheme="minorBidi"/>
          <w:sz w:val="16"/>
          <w:szCs w:val="16"/>
          <w:rtl/>
        </w:rPr>
        <w:t>(אלא רק חוזר ומדגיש בזה שהטבח אינו יכול לומר ששוגג היה, אבל אנחנו יכולים להחזיק אותו כשוגג)</w:t>
      </w:r>
      <w:r w:rsidRPr="00845316">
        <w:rPr>
          <w:rFonts w:asciiTheme="minorBidi" w:hAnsiTheme="minorBidi"/>
          <w:rtl/>
        </w:rPr>
        <w:t xml:space="preserve"> מ"מ בסע' מג מוכח שכוונתו היא לפרש כפירושו בדברי הרמב"ם </w:t>
      </w:r>
      <w:r w:rsidRPr="00845316">
        <w:rPr>
          <w:rFonts w:asciiTheme="minorBidi" w:hAnsiTheme="minorBidi"/>
          <w:sz w:val="16"/>
          <w:szCs w:val="16"/>
          <w:rtl/>
        </w:rPr>
        <w:t>(וז"ל הב"י שם- וכבר כתבתי לעיל (סי"א) דלהרמב"ם והרא"ש דוקא בטבח שבודק לעצמו ומוכר לאחרים שיש לו הנאת ממון הוא דאמרינן דבעי כל הני מילי אבל אם לא היה בודק לעצמו אלא לאחרים לא בעי כל הנך מילי אלא בתשובה לחוד סגי ליה)</w:t>
      </w:r>
      <w:r w:rsidRPr="00845316">
        <w:rPr>
          <w:rFonts w:asciiTheme="minorBidi" w:hAnsiTheme="minorBidi"/>
          <w:rtl/>
        </w:rPr>
        <w:t>.</w:t>
      </w:r>
    </w:p>
  </w:footnote>
  <w:footnote w:id="2481">
    <w:p w14:paraId="09CE9353" w14:textId="77777777" w:rsidR="0013116F" w:rsidRPr="00845316" w:rsidRDefault="0013116F" w:rsidP="004B607F">
      <w:pPr>
        <w:pStyle w:val="a9"/>
        <w:spacing w:after="60"/>
        <w:rPr>
          <w:rFonts w:asciiTheme="minorBidi" w:hAnsiTheme="minorBidi"/>
          <w:rtl/>
        </w:rPr>
      </w:pPr>
      <w:r w:rsidRPr="00845316">
        <w:rPr>
          <w:rStyle w:val="ab"/>
          <w:rFonts w:asciiTheme="minorBidi" w:hAnsiTheme="minorBidi"/>
        </w:rPr>
        <w:footnoteRef/>
      </w:r>
      <w:r w:rsidRPr="00845316">
        <w:rPr>
          <w:rFonts w:asciiTheme="minorBidi" w:hAnsiTheme="minorBidi"/>
          <w:rtl/>
        </w:rPr>
        <w:t xml:space="preserve"> ל' הרמב"ם. וכ' הב"י וז"ל- ומ"מ הרמב"ם נראה דלא סבירא ליה שטעם חומרת הטבח הוא מפני שהעבירוהו מאומנותו בשביל עבירה שהרי בפי"ב מהל' עדות (ה"י) הצריך לעד זומם שילך למקום שאין מכירין אותו, ולדבריו צריך טעם מאי שנא הני דבעו מקום שאין מכירין טפי מאינך, ונ"ל לחלק דבהלואה ברבית ואינך דשייך בהו להכנס לפנים משורת הדין כיון שקבל כך בפני ב"ד שבעירו הוכשר, אבל בטבח אי אמרינן ליה אל תאכל בשר אפילו כשר א"כ נראה דעדיין פסול הוא, והאי טעמא שייך בחשוד על השבועה ובעד זומם, ועוד יש טעם אחר בעד זומם דמאי אמרינן ליה אל תעיד עוד אפילו באמת הא עבירה קא עביד דכתיב (ויקרא ה א) והוא עד וכו' לפיכך צריך בהני שילכו למקום שאין מכירין וכו'.</w:t>
      </w:r>
    </w:p>
  </w:footnote>
  <w:footnote w:id="2482">
    <w:p w14:paraId="54F68708" w14:textId="77777777" w:rsidR="0013116F" w:rsidRPr="00845316" w:rsidRDefault="0013116F" w:rsidP="004B607F">
      <w:pPr>
        <w:pStyle w:val="a9"/>
        <w:spacing w:after="60"/>
        <w:rPr>
          <w:rFonts w:asciiTheme="minorBidi" w:hAnsiTheme="minorBidi"/>
          <w:rtl/>
        </w:rPr>
      </w:pPr>
      <w:r w:rsidRPr="00845316">
        <w:rPr>
          <w:rStyle w:val="ab"/>
          <w:rFonts w:asciiTheme="minorBidi" w:hAnsiTheme="minorBidi"/>
        </w:rPr>
        <w:footnoteRef/>
      </w:r>
      <w:r w:rsidRPr="00845316">
        <w:rPr>
          <w:rFonts w:asciiTheme="minorBidi" w:hAnsiTheme="minorBidi"/>
          <w:rtl/>
        </w:rPr>
        <w:t xml:space="preserve"> ואע"ג דלא פירט בסעיף זה מה דינו של טבח שבודק לאחרים, מ"מ נתבארה דעת מרן בב"י בכמה מקומות</w:t>
      </w:r>
      <w:r w:rsidRPr="00845316">
        <w:rPr>
          <w:rFonts w:asciiTheme="minorBidi" w:hAnsiTheme="minorBidi"/>
          <w:sz w:val="16"/>
          <w:szCs w:val="16"/>
          <w:rtl/>
        </w:rPr>
        <w:t xml:space="preserve"> (סמ"ב, וגם כאן [סמ"ג] כשדיבר גבי טבח, ובעוד מקומות)</w:t>
      </w:r>
      <w:r w:rsidRPr="00845316">
        <w:rPr>
          <w:rFonts w:asciiTheme="minorBidi" w:hAnsiTheme="minorBidi"/>
          <w:rtl/>
        </w:rPr>
        <w:t xml:space="preserve"> שסובר כמש"כ רי"ו שעל עבירה כזו שאין בה חמדת ממון ולא לוקין עליה הולך לבית דין ומודיע שחטא כך וכך ושעשה תשובה ומתכפר לו.</w:t>
      </w:r>
    </w:p>
  </w:footnote>
  <w:footnote w:id="2483">
    <w:p w14:paraId="10A71A5F" w14:textId="77777777" w:rsidR="0013116F" w:rsidRPr="00845316" w:rsidRDefault="0013116F" w:rsidP="004B607F">
      <w:pPr>
        <w:pStyle w:val="a9"/>
        <w:spacing w:after="60"/>
        <w:rPr>
          <w:rFonts w:asciiTheme="minorBidi" w:hAnsiTheme="minorBidi"/>
        </w:rPr>
      </w:pPr>
      <w:r w:rsidRPr="00845316">
        <w:rPr>
          <w:rStyle w:val="ab"/>
          <w:rFonts w:asciiTheme="minorBidi" w:hAnsiTheme="minorBidi"/>
        </w:rPr>
        <w:footnoteRef/>
      </w:r>
      <w:r w:rsidRPr="00845316">
        <w:rPr>
          <w:rFonts w:asciiTheme="minorBidi" w:hAnsiTheme="minorBidi"/>
          <w:rtl/>
        </w:rPr>
        <w:t xml:space="preserve"> רי"ו </w:t>
      </w:r>
      <w:r w:rsidRPr="00845316">
        <w:rPr>
          <w:rFonts w:asciiTheme="minorBidi" w:hAnsiTheme="minorBidi"/>
          <w:sz w:val="16"/>
          <w:szCs w:val="16"/>
          <w:rtl/>
        </w:rPr>
        <w:t xml:space="preserve">(נ"ב ח"ד) </w:t>
      </w:r>
      <w:r w:rsidRPr="00845316">
        <w:rPr>
          <w:rFonts w:asciiTheme="minorBidi" w:hAnsiTheme="minorBidi"/>
          <w:rtl/>
        </w:rPr>
        <w:t xml:space="preserve">הביא את התוס', והביאו הב"י </w:t>
      </w:r>
      <w:r w:rsidRPr="00845316">
        <w:rPr>
          <w:rFonts w:asciiTheme="minorBidi" w:hAnsiTheme="minorBidi"/>
          <w:sz w:val="16"/>
          <w:szCs w:val="16"/>
          <w:rtl/>
        </w:rPr>
        <w:t>(סמ"ב, עמ' רפה, ד"ה "ומה שכתב אבל")</w:t>
      </w:r>
      <w:r w:rsidRPr="00845316">
        <w:rPr>
          <w:rFonts w:asciiTheme="minorBidi" w:hAnsiTheme="minorBidi"/>
          <w:rtl/>
        </w:rPr>
        <w:t>, וכ' הב"י דברים אלו בעמ' רפז ד"ה וחזרת טבח.</w:t>
      </w:r>
    </w:p>
  </w:footnote>
  <w:footnote w:id="2484">
    <w:p w14:paraId="75AB6787" w14:textId="77777777" w:rsidR="0013116F" w:rsidRPr="00845316" w:rsidRDefault="0013116F" w:rsidP="004B607F">
      <w:pPr>
        <w:pStyle w:val="a9"/>
        <w:spacing w:after="60"/>
        <w:rPr>
          <w:rFonts w:asciiTheme="minorBidi" w:hAnsiTheme="minorBidi"/>
        </w:rPr>
      </w:pPr>
      <w:r w:rsidRPr="00845316">
        <w:rPr>
          <w:rStyle w:val="ab"/>
          <w:rFonts w:asciiTheme="minorBidi" w:hAnsiTheme="minorBidi"/>
        </w:rPr>
        <w:footnoteRef/>
      </w:r>
      <w:r w:rsidRPr="00845316">
        <w:rPr>
          <w:rFonts w:asciiTheme="minorBidi" w:hAnsiTheme="minorBidi"/>
          <w:rtl/>
        </w:rPr>
        <w:t xml:space="preserve"> החמירו בטבח להלביש שחורים בשביל שהכשיל רבים וכדי שיכנע לבו כי השחרות משפיל הגאוה והזדון שבלבבו, סמ"ע </w:t>
      </w:r>
      <w:r w:rsidRPr="00845316">
        <w:rPr>
          <w:rFonts w:asciiTheme="minorBidi" w:hAnsiTheme="minorBidi"/>
          <w:sz w:val="14"/>
          <w:szCs w:val="14"/>
          <w:rtl/>
        </w:rPr>
        <w:t>(סקפ"ד)</w:t>
      </w:r>
      <w:r w:rsidRPr="00845316">
        <w:rPr>
          <w:rFonts w:asciiTheme="minorBidi" w:hAnsiTheme="minorBidi"/>
          <w:rtl/>
        </w:rPr>
        <w:t>.</w:t>
      </w:r>
    </w:p>
  </w:footnote>
  <w:footnote w:id="2485">
    <w:p w14:paraId="4BAFAF03" w14:textId="77777777" w:rsidR="0013116F" w:rsidRPr="00845316" w:rsidRDefault="0013116F" w:rsidP="004B607F">
      <w:pPr>
        <w:pStyle w:val="a9"/>
        <w:spacing w:after="60"/>
        <w:rPr>
          <w:rFonts w:asciiTheme="minorBidi" w:hAnsiTheme="minorBidi"/>
        </w:rPr>
      </w:pPr>
      <w:r w:rsidRPr="00845316">
        <w:rPr>
          <w:rStyle w:val="ab"/>
          <w:rFonts w:asciiTheme="minorBidi" w:hAnsiTheme="minorBidi"/>
        </w:rPr>
        <w:footnoteRef/>
      </w:r>
      <w:r w:rsidRPr="00845316">
        <w:rPr>
          <w:rFonts w:asciiTheme="minorBidi" w:hAnsiTheme="minorBidi"/>
          <w:rtl/>
        </w:rPr>
        <w:t xml:space="preserve"> כששחטה לעצמו מיירי דלאחרים אי אפשר דהא עברינן ליה והוא הלך לשם לשוב בתשובה ואיך יעבור גזירתם, נמוק"י </w:t>
      </w:r>
      <w:r w:rsidRPr="00845316">
        <w:rPr>
          <w:rFonts w:asciiTheme="minorBidi" w:hAnsiTheme="minorBidi"/>
          <w:sz w:val="16"/>
          <w:szCs w:val="16"/>
          <w:rtl/>
        </w:rPr>
        <w:t>(ה., הביאו הב"י והסכים עמו, והביא שם עוד הוכחה)</w:t>
      </w:r>
      <w:r w:rsidRPr="00845316">
        <w:rPr>
          <w:rFonts w:asciiTheme="minorBidi" w:hAnsiTheme="minorBidi"/>
          <w:rtl/>
        </w:rPr>
        <w:t>.</w:t>
      </w:r>
    </w:p>
  </w:footnote>
  <w:footnote w:id="2486">
    <w:p w14:paraId="2DD9E16E" w14:textId="77777777" w:rsidR="0013116F" w:rsidRPr="00845316" w:rsidRDefault="0013116F" w:rsidP="004B607F">
      <w:pPr>
        <w:pStyle w:val="a9"/>
        <w:spacing w:after="60"/>
        <w:rPr>
          <w:rFonts w:asciiTheme="minorBidi" w:hAnsiTheme="minorBidi"/>
          <w:rtl/>
        </w:rPr>
      </w:pPr>
      <w:r w:rsidRPr="00845316">
        <w:rPr>
          <w:rStyle w:val="ab"/>
          <w:rFonts w:asciiTheme="minorBidi" w:hAnsiTheme="minorBidi"/>
        </w:rPr>
        <w:footnoteRef/>
      </w:r>
      <w:r w:rsidRPr="00845316">
        <w:rPr>
          <w:rFonts w:asciiTheme="minorBidi" w:hAnsiTheme="minorBidi"/>
          <w:rtl/>
        </w:rPr>
        <w:t xml:space="preserve"> ברמב"ם ובטור נוסף כאן- "וכן כל כיוצא בזה" אך בשו"ע השמיט תיבות אלו, וצל"ע מדוע.</w:t>
      </w:r>
    </w:p>
  </w:footnote>
  <w:footnote w:id="2487">
    <w:p w14:paraId="1AA9FC8D" w14:textId="77777777" w:rsidR="0013116F" w:rsidRPr="00845316" w:rsidRDefault="0013116F" w:rsidP="004B607F">
      <w:pPr>
        <w:pStyle w:val="a9"/>
        <w:spacing w:after="60"/>
        <w:rPr>
          <w:rFonts w:asciiTheme="minorBidi" w:hAnsiTheme="minorBidi"/>
        </w:rPr>
      </w:pPr>
      <w:r w:rsidRPr="00845316">
        <w:rPr>
          <w:rStyle w:val="ab"/>
          <w:rFonts w:asciiTheme="minorBidi" w:hAnsiTheme="minorBidi"/>
        </w:rPr>
        <w:footnoteRef/>
      </w:r>
      <w:r w:rsidRPr="00845316">
        <w:rPr>
          <w:rFonts w:asciiTheme="minorBidi" w:hAnsiTheme="minorBidi"/>
          <w:rtl/>
        </w:rPr>
        <w:t xml:space="preserve"> טעם זה כ' הב"י. והדרכ"מ</w:t>
      </w:r>
      <w:r w:rsidRPr="00845316">
        <w:rPr>
          <w:rFonts w:asciiTheme="minorBidi" w:hAnsiTheme="minorBidi"/>
          <w:sz w:val="16"/>
          <w:szCs w:val="16"/>
          <w:rtl/>
        </w:rPr>
        <w:t xml:space="preserve"> (אות יז) </w:t>
      </w:r>
      <w:r w:rsidRPr="00845316">
        <w:rPr>
          <w:rFonts w:asciiTheme="minorBidi" w:hAnsiTheme="minorBidi"/>
          <w:rtl/>
        </w:rPr>
        <w:t>הקשה עליו, וכ' שטעם הרמב"ם להצריכו תשובה זו הוא משום שדינו כדין מועל בשבועה.</w:t>
      </w:r>
    </w:p>
  </w:footnote>
  <w:footnote w:id="2488">
    <w:p w14:paraId="064A5A8F" w14:textId="77777777" w:rsidR="0013116F" w:rsidRPr="00845316" w:rsidRDefault="0013116F" w:rsidP="004B607F">
      <w:pPr>
        <w:pStyle w:val="a9"/>
        <w:spacing w:after="60"/>
        <w:rPr>
          <w:rFonts w:asciiTheme="minorBidi" w:hAnsiTheme="minorBidi"/>
        </w:rPr>
      </w:pPr>
      <w:r w:rsidRPr="00845316">
        <w:rPr>
          <w:rStyle w:val="ab"/>
          <w:rFonts w:asciiTheme="minorBidi" w:hAnsiTheme="minorBidi"/>
        </w:rPr>
        <w:footnoteRef/>
      </w:r>
      <w:r w:rsidRPr="00845316">
        <w:rPr>
          <w:rFonts w:asciiTheme="minorBidi" w:hAnsiTheme="minorBidi"/>
          <w:rtl/>
        </w:rPr>
        <w:t xml:space="preserve"> רי"ו </w:t>
      </w:r>
      <w:r w:rsidRPr="00845316">
        <w:rPr>
          <w:rFonts w:asciiTheme="minorBidi" w:hAnsiTheme="minorBidi"/>
          <w:sz w:val="16"/>
          <w:szCs w:val="16"/>
          <w:rtl/>
        </w:rPr>
        <w:t xml:space="preserve">(נ"ב ח"ד) </w:t>
      </w:r>
      <w:r w:rsidRPr="00845316">
        <w:rPr>
          <w:rFonts w:asciiTheme="minorBidi" w:hAnsiTheme="minorBidi"/>
          <w:rtl/>
        </w:rPr>
        <w:t xml:space="preserve">הביא את התוס', והביאו הב"י </w:t>
      </w:r>
      <w:r w:rsidRPr="00845316">
        <w:rPr>
          <w:rFonts w:asciiTheme="minorBidi" w:hAnsiTheme="minorBidi"/>
          <w:sz w:val="16"/>
          <w:szCs w:val="16"/>
          <w:rtl/>
        </w:rPr>
        <w:t>(סמ"ב, עמ' רפה, ד"ה "ומה שכתב אבל")</w:t>
      </w:r>
      <w:r w:rsidRPr="00845316">
        <w:rPr>
          <w:rFonts w:asciiTheme="minorBidi" w:hAnsiTheme="minorBidi"/>
          <w:rtl/>
        </w:rPr>
        <w:t>, וכ' הב"י דברים אלו בעמ' רפז ד"ה וחזרת טבח.</w:t>
      </w:r>
    </w:p>
  </w:footnote>
  <w:footnote w:id="2489">
    <w:p w14:paraId="6D80CF4D" w14:textId="77777777" w:rsidR="0013116F" w:rsidRPr="00845316" w:rsidRDefault="0013116F" w:rsidP="004B607F">
      <w:pPr>
        <w:pStyle w:val="a9"/>
        <w:spacing w:after="60"/>
        <w:rPr>
          <w:rFonts w:asciiTheme="minorBidi" w:hAnsiTheme="minorBidi"/>
        </w:rPr>
      </w:pPr>
      <w:r w:rsidRPr="00845316">
        <w:rPr>
          <w:rStyle w:val="ab"/>
          <w:rFonts w:asciiTheme="minorBidi" w:hAnsiTheme="minorBidi"/>
        </w:rPr>
        <w:footnoteRef/>
      </w:r>
      <w:r w:rsidRPr="00845316">
        <w:rPr>
          <w:rFonts w:asciiTheme="minorBidi" w:hAnsiTheme="minorBidi"/>
          <w:rtl/>
        </w:rPr>
        <w:t xml:space="preserve"> ואין ללמוד מטבח להצריכו לילך לעיר וכו'  משום דטעמא דטבח הוא דילמא יערים כדי שיחזירוהו לאומנותו, ואין חשש זה בעד זומם, ע"פ הב"י בהב' התוס'.</w:t>
      </w:r>
    </w:p>
  </w:footnote>
  <w:footnote w:id="2490">
    <w:p w14:paraId="019DB563" w14:textId="77777777" w:rsidR="0013116F" w:rsidRDefault="0013116F" w:rsidP="004B607F">
      <w:pPr>
        <w:pStyle w:val="a9"/>
        <w:rPr>
          <w:rtl/>
        </w:rPr>
      </w:pPr>
      <w:r>
        <w:rPr>
          <w:rStyle w:val="ab"/>
        </w:rPr>
        <w:footnoteRef/>
      </w:r>
      <w:r>
        <w:rPr>
          <w:rtl/>
        </w:rPr>
        <w:t xml:space="preserve"> </w:t>
      </w:r>
      <w:r>
        <w:rPr>
          <w:rFonts w:hint="cs"/>
          <w:rtl/>
        </w:rPr>
        <w:t xml:space="preserve">סימן </w:t>
      </w:r>
      <w:r>
        <w:rPr>
          <w:rtl/>
        </w:rPr>
        <w:t>–</w:t>
      </w:r>
      <w:r>
        <w:rPr>
          <w:rFonts w:hint="cs"/>
          <w:rtl/>
        </w:rPr>
        <w:t xml:space="preserve"> קטן ניהול הנכסים. וכן </w:t>
      </w:r>
      <w:r>
        <w:rPr>
          <w:rtl/>
        </w:rPr>
        <w:t>–</w:t>
      </w:r>
      <w:r>
        <w:rPr>
          <w:rFonts w:hint="cs"/>
          <w:rtl/>
        </w:rPr>
        <w:t xml:space="preserve"> המוכר נכסים קטן.</w:t>
      </w:r>
    </w:p>
  </w:footnote>
  <w:footnote w:id="2491">
    <w:p w14:paraId="1A44468C" w14:textId="77777777" w:rsidR="0013116F" w:rsidRDefault="0013116F" w:rsidP="004B607F">
      <w:pPr>
        <w:pStyle w:val="a9"/>
      </w:pPr>
      <w:r>
        <w:rPr>
          <w:rStyle w:val="ab"/>
        </w:rPr>
        <w:footnoteRef/>
      </w:r>
      <w:r>
        <w:rPr>
          <w:rtl/>
        </w:rPr>
        <w:t xml:space="preserve"> </w:t>
      </w:r>
      <w:r w:rsidRPr="006C5FD2">
        <w:rPr>
          <w:rFonts w:cs="Arial"/>
          <w:rtl/>
        </w:rPr>
        <w:t>אף על פי שאמרנו בפחות מכ' שאינו יודע בטיב משא ומתן אינו מוכר בנכסי אביו אבל לעדות נאמן הוא להעיד מה שראה ושמע מבן י"ג ואילך שהביא שתי שערות הואיל ואינו שוטה</w:t>
      </w:r>
      <w:r>
        <w:rPr>
          <w:rFonts w:cs="Arial" w:hint="cs"/>
          <w:rtl/>
        </w:rPr>
        <w:t>, רשב"ם</w:t>
      </w:r>
      <w:r w:rsidRPr="006C5FD2">
        <w:rPr>
          <w:rFonts w:cs="Arial"/>
          <w:rtl/>
        </w:rPr>
        <w:t>.</w:t>
      </w:r>
    </w:p>
  </w:footnote>
  <w:footnote w:id="2492">
    <w:p w14:paraId="48532973" w14:textId="77777777" w:rsidR="0013116F" w:rsidRDefault="0013116F" w:rsidP="004B607F">
      <w:pPr>
        <w:pStyle w:val="a9"/>
      </w:pPr>
      <w:r>
        <w:rPr>
          <w:rStyle w:val="ab"/>
        </w:rPr>
        <w:footnoteRef/>
      </w:r>
      <w:r>
        <w:rPr>
          <w:rtl/>
        </w:rPr>
        <w:t xml:space="preserve"> </w:t>
      </w:r>
      <w:r w:rsidRPr="006C5FD2">
        <w:rPr>
          <w:rFonts w:cs="Arial"/>
          <w:rtl/>
        </w:rPr>
        <w:t>בעדות מטלטלי</w:t>
      </w:r>
      <w:r>
        <w:rPr>
          <w:rFonts w:cs="Arial" w:hint="cs"/>
          <w:rtl/>
        </w:rPr>
        <w:t>, רשב"ם</w:t>
      </w:r>
      <w:r w:rsidRPr="006C5FD2">
        <w:rPr>
          <w:rFonts w:cs="Arial"/>
          <w:rtl/>
        </w:rPr>
        <w:t>.</w:t>
      </w:r>
    </w:p>
  </w:footnote>
  <w:footnote w:id="2493">
    <w:p w14:paraId="3969F5C9" w14:textId="77777777" w:rsidR="0013116F" w:rsidRDefault="0013116F" w:rsidP="004B607F">
      <w:pPr>
        <w:pStyle w:val="a9"/>
      </w:pPr>
      <w:r>
        <w:rPr>
          <w:rStyle w:val="ab"/>
        </w:rPr>
        <w:footnoteRef/>
      </w:r>
      <w:r>
        <w:rPr>
          <w:rtl/>
        </w:rPr>
        <w:t xml:space="preserve"> </w:t>
      </w:r>
      <w:r w:rsidRPr="006C5FD2">
        <w:rPr>
          <w:rFonts w:cs="Arial"/>
          <w:rtl/>
        </w:rPr>
        <w:t>עדות מטלטלי דנאמן</w:t>
      </w:r>
      <w:r>
        <w:rPr>
          <w:rFonts w:cs="Arial" w:hint="cs"/>
          <w:rtl/>
        </w:rPr>
        <w:t>, רשב"ם</w:t>
      </w:r>
      <w:r w:rsidRPr="006C5FD2">
        <w:rPr>
          <w:rFonts w:cs="Arial"/>
          <w:rtl/>
        </w:rPr>
        <w:t>.</w:t>
      </w:r>
    </w:p>
  </w:footnote>
  <w:footnote w:id="2494">
    <w:p w14:paraId="3106E973" w14:textId="77777777" w:rsidR="0013116F" w:rsidRDefault="0013116F" w:rsidP="004B607F">
      <w:pPr>
        <w:pStyle w:val="a9"/>
        <w:rPr>
          <w:rtl/>
        </w:rPr>
      </w:pPr>
      <w:r>
        <w:rPr>
          <w:rStyle w:val="ab"/>
        </w:rPr>
        <w:footnoteRef/>
      </w:r>
      <w:r>
        <w:rPr>
          <w:rtl/>
        </w:rPr>
        <w:t xml:space="preserve"> </w:t>
      </w:r>
      <w:r w:rsidRPr="006C5FD2">
        <w:rPr>
          <w:rFonts w:cs="Arial"/>
          <w:rtl/>
        </w:rPr>
        <w:t>ומוקמינן לה בגיטין כבר שית כבר שבע</w:t>
      </w:r>
      <w:r>
        <w:rPr>
          <w:rFonts w:cs="Arial" w:hint="cs"/>
          <w:rtl/>
        </w:rPr>
        <w:t>, רשב"ם</w:t>
      </w:r>
      <w:r w:rsidRPr="006C5FD2">
        <w:rPr>
          <w:rFonts w:cs="Arial"/>
          <w:rtl/>
        </w:rPr>
        <w:t>.</w:t>
      </w:r>
    </w:p>
  </w:footnote>
  <w:footnote w:id="2495">
    <w:p w14:paraId="7136BAEA" w14:textId="77777777" w:rsidR="0013116F" w:rsidRDefault="0013116F" w:rsidP="004B607F">
      <w:pPr>
        <w:pStyle w:val="a9"/>
        <w:rPr>
          <w:rtl/>
        </w:rPr>
      </w:pPr>
      <w:r>
        <w:rPr>
          <w:rStyle w:val="ab"/>
        </w:rPr>
        <w:footnoteRef/>
      </w:r>
      <w:r>
        <w:rPr>
          <w:rtl/>
        </w:rPr>
        <w:t xml:space="preserve"> </w:t>
      </w:r>
      <w:r w:rsidRPr="006C5FD2">
        <w:rPr>
          <w:rFonts w:cs="Arial"/>
          <w:rtl/>
        </w:rPr>
        <w:t>בעדות מוקמינן לה במסכת שבועות (דף ל) ובעינן אנשים ולא קטנים</w:t>
      </w:r>
      <w:r>
        <w:rPr>
          <w:rFonts w:cs="Arial" w:hint="cs"/>
          <w:rtl/>
        </w:rPr>
        <w:t>, רשב"ם</w:t>
      </w:r>
      <w:r w:rsidRPr="006C5FD2">
        <w:rPr>
          <w:rFonts w:cs="Arial"/>
          <w:rtl/>
        </w:rPr>
        <w:t>.</w:t>
      </w:r>
    </w:p>
  </w:footnote>
  <w:footnote w:id="2496">
    <w:p w14:paraId="5BAD908D" w14:textId="77777777" w:rsidR="0013116F" w:rsidRDefault="0013116F" w:rsidP="004B607F">
      <w:pPr>
        <w:pStyle w:val="a9"/>
        <w:rPr>
          <w:rtl/>
        </w:rPr>
      </w:pPr>
      <w:r>
        <w:rPr>
          <w:rStyle w:val="ab"/>
        </w:rPr>
        <w:footnoteRef/>
      </w:r>
      <w:r>
        <w:rPr>
          <w:rtl/>
        </w:rPr>
        <w:t xml:space="preserve"> </w:t>
      </w:r>
      <w:r>
        <w:rPr>
          <w:rFonts w:cs="Arial"/>
          <w:rtl/>
        </w:rPr>
        <w:t>עד שיביא שתי שערות אחר שיהיה בן י"ג כלומר שאם הביאם קודם י"ג וגדל ולא נשרו לא הוו סימנים כדאמרינן בפרק יוצא דופן (נדה מו.) ובריש פרק בא סימן (שם מח:)</w:t>
      </w:r>
      <w:r>
        <w:rPr>
          <w:rFonts w:hint="cs"/>
          <w:rtl/>
        </w:rPr>
        <w:t>, ב"י.</w:t>
      </w:r>
    </w:p>
  </w:footnote>
  <w:footnote w:id="2497">
    <w:p w14:paraId="2C8F60A4" w14:textId="77777777" w:rsidR="0013116F" w:rsidRDefault="0013116F" w:rsidP="004B607F">
      <w:pPr>
        <w:pStyle w:val="a9"/>
      </w:pPr>
      <w:r>
        <w:rPr>
          <w:rStyle w:val="ab"/>
        </w:rPr>
        <w:footnoteRef/>
      </w:r>
      <w:r>
        <w:rPr>
          <w:rtl/>
        </w:rPr>
        <w:t xml:space="preserve"> </w:t>
      </w:r>
      <w:r w:rsidRPr="00AC56B5">
        <w:rPr>
          <w:rFonts w:cs="Arial"/>
          <w:rtl/>
        </w:rPr>
        <w:t>פי</w:t>
      </w:r>
      <w:r>
        <w:rPr>
          <w:rFonts w:cs="Arial" w:hint="cs"/>
          <w:rtl/>
        </w:rPr>
        <w:t>רוש,</w:t>
      </w:r>
      <w:r w:rsidRPr="00AC56B5">
        <w:rPr>
          <w:rFonts w:cs="Arial"/>
          <w:rtl/>
        </w:rPr>
        <w:t xml:space="preserve"> אם הגיע לכלל שניו</w:t>
      </w:r>
      <w:r>
        <w:rPr>
          <w:rFonts w:cs="Arial" w:hint="cs"/>
          <w:rtl/>
        </w:rPr>
        <w:t>,</w:t>
      </w:r>
      <w:r w:rsidRPr="00AC56B5">
        <w:rPr>
          <w:rFonts w:cs="Arial"/>
          <w:rtl/>
        </w:rPr>
        <w:t xml:space="preserve"> וק</w:t>
      </w:r>
      <w:r>
        <w:rPr>
          <w:rFonts w:cs="Arial" w:hint="cs"/>
          <w:rtl/>
        </w:rPr>
        <w:t>י</w:t>
      </w:r>
      <w:r w:rsidRPr="00AC56B5">
        <w:rPr>
          <w:rFonts w:cs="Arial"/>
          <w:rtl/>
        </w:rPr>
        <w:t>דש</w:t>
      </w:r>
      <w:r>
        <w:rPr>
          <w:rFonts w:cs="Arial" w:hint="cs"/>
          <w:rtl/>
        </w:rPr>
        <w:t>,</w:t>
      </w:r>
      <w:r w:rsidRPr="00AC56B5">
        <w:rPr>
          <w:rFonts w:cs="Arial"/>
          <w:rtl/>
        </w:rPr>
        <w:t xml:space="preserve"> בודקין אותו</w:t>
      </w:r>
      <w:r>
        <w:rPr>
          <w:rFonts w:cs="Arial" w:hint="cs"/>
          <w:rtl/>
        </w:rPr>
        <w:t>,</w:t>
      </w:r>
      <w:r w:rsidRPr="00AC56B5">
        <w:rPr>
          <w:rFonts w:cs="Arial"/>
          <w:rtl/>
        </w:rPr>
        <w:t xml:space="preserve"> אם הביא שערות </w:t>
      </w:r>
      <w:r>
        <w:rPr>
          <w:rFonts w:cs="Arial" w:hint="cs"/>
          <w:rtl/>
        </w:rPr>
        <w:t xml:space="preserve">- </w:t>
      </w:r>
      <w:r w:rsidRPr="00AC56B5">
        <w:rPr>
          <w:rFonts w:cs="Arial"/>
          <w:rtl/>
        </w:rPr>
        <w:t>קדושיו קדושין</w:t>
      </w:r>
      <w:r>
        <w:rPr>
          <w:rFonts w:cs="Arial" w:hint="cs"/>
          <w:rtl/>
        </w:rPr>
        <w:t>, רא"ש (כלל לג סי' ה)</w:t>
      </w:r>
      <w:r w:rsidRPr="00AC56B5">
        <w:rPr>
          <w:rFonts w:cs="Arial"/>
          <w:rtl/>
        </w:rPr>
        <w:t>.</w:t>
      </w:r>
    </w:p>
  </w:footnote>
  <w:footnote w:id="2498">
    <w:p w14:paraId="137B513E" w14:textId="77777777" w:rsidR="0013116F" w:rsidRDefault="0013116F" w:rsidP="004B607F">
      <w:pPr>
        <w:pStyle w:val="a9"/>
      </w:pPr>
      <w:r>
        <w:rPr>
          <w:rStyle w:val="ab"/>
        </w:rPr>
        <w:footnoteRef/>
      </w:r>
      <w:r>
        <w:rPr>
          <w:rtl/>
        </w:rPr>
        <w:t xml:space="preserve"> </w:t>
      </w:r>
      <w:r>
        <w:rPr>
          <w:rFonts w:hint="cs"/>
          <w:rtl/>
        </w:rPr>
        <w:t xml:space="preserve">סימן </w:t>
      </w:r>
      <w:r>
        <w:rPr>
          <w:rtl/>
        </w:rPr>
        <w:t>–</w:t>
      </w:r>
      <w:r>
        <w:rPr>
          <w:rFonts w:hint="cs"/>
          <w:rtl/>
        </w:rPr>
        <w:t xml:space="preserve"> וויו למוסתר. וכן - מסתכלים לוודא מצד לוטייב</w:t>
      </w:r>
      <w:r>
        <w:rPr>
          <w:rFonts w:hint="cs"/>
          <w:sz w:val="16"/>
          <w:szCs w:val="16"/>
          <w:rtl/>
        </w:rPr>
        <w:t xml:space="preserve"> (אבר הזכר)</w:t>
      </w:r>
      <w:r>
        <w:rPr>
          <w:rFonts w:hint="cs"/>
          <w:rtl/>
        </w:rPr>
        <w:t>.</w:t>
      </w:r>
    </w:p>
  </w:footnote>
  <w:footnote w:id="2499">
    <w:p w14:paraId="7CE86CF2" w14:textId="77777777" w:rsidR="0013116F" w:rsidRDefault="0013116F" w:rsidP="004B607F">
      <w:pPr>
        <w:pStyle w:val="a9"/>
      </w:pPr>
      <w:r>
        <w:rPr>
          <w:rStyle w:val="ab"/>
        </w:rPr>
        <w:footnoteRef/>
      </w:r>
      <w:r>
        <w:rPr>
          <w:rtl/>
        </w:rPr>
        <w:t xml:space="preserve"> </w:t>
      </w:r>
      <w:r>
        <w:rPr>
          <w:rFonts w:hint="cs"/>
          <w:rtl/>
        </w:rPr>
        <w:t xml:space="preserve">סימן </w:t>
      </w:r>
      <w:r>
        <w:rPr>
          <w:rtl/>
        </w:rPr>
        <w:t>–</w:t>
      </w:r>
      <w:r>
        <w:rPr>
          <w:rFonts w:hint="cs"/>
          <w:rtl/>
        </w:rPr>
        <w:t xml:space="preserve"> מסתכלות בחרפתה מתי חל</w:t>
      </w:r>
      <w:r>
        <w:rPr>
          <w:rFonts w:hint="cs"/>
          <w:sz w:val="16"/>
          <w:szCs w:val="16"/>
          <w:rtl/>
        </w:rPr>
        <w:t xml:space="preserve"> (מתי התחיל גדילת השיער)</w:t>
      </w:r>
      <w:r>
        <w:rPr>
          <w:rFonts w:hint="cs"/>
          <w:rtl/>
        </w:rPr>
        <w:t>.</w:t>
      </w:r>
    </w:p>
  </w:footnote>
  <w:footnote w:id="2500">
    <w:p w14:paraId="7BA86D4E" w14:textId="77777777" w:rsidR="0013116F" w:rsidRDefault="0013116F" w:rsidP="004B607F">
      <w:pPr>
        <w:pStyle w:val="a9"/>
      </w:pPr>
      <w:r>
        <w:rPr>
          <w:rStyle w:val="ab"/>
        </w:rPr>
        <w:footnoteRef/>
      </w:r>
      <w:r>
        <w:rPr>
          <w:rtl/>
        </w:rPr>
        <w:t xml:space="preserve"> </w:t>
      </w:r>
      <w:r w:rsidRPr="00915E1C">
        <w:rPr>
          <w:rFonts w:cs="Arial"/>
          <w:rtl/>
        </w:rPr>
        <w:t>ורוא"ה בלע"ז</w:t>
      </w:r>
      <w:r>
        <w:rPr>
          <w:rFonts w:cs="Arial" w:hint="cs"/>
          <w:rtl/>
        </w:rPr>
        <w:t>,</w:t>
      </w:r>
      <w:r w:rsidRPr="00915E1C">
        <w:rPr>
          <w:rFonts w:cs="Arial"/>
          <w:rtl/>
        </w:rPr>
        <w:t xml:space="preserve"> ודרכה ליגדל שער בה</w:t>
      </w:r>
      <w:r>
        <w:rPr>
          <w:rFonts w:cs="Arial" w:hint="cs"/>
          <w:rtl/>
        </w:rPr>
        <w:t>, רש"י (מדף מו. ד"ה שומא)</w:t>
      </w:r>
      <w:r w:rsidRPr="00915E1C">
        <w:rPr>
          <w:rFonts w:cs="Arial"/>
          <w:rtl/>
        </w:rPr>
        <w:t>.</w:t>
      </w:r>
    </w:p>
  </w:footnote>
  <w:footnote w:id="2501">
    <w:p w14:paraId="07765109" w14:textId="77777777" w:rsidR="0013116F" w:rsidRDefault="0013116F" w:rsidP="004B607F">
      <w:pPr>
        <w:pStyle w:val="a9"/>
        <w:rPr>
          <w:rtl/>
        </w:rPr>
      </w:pPr>
      <w:r>
        <w:rPr>
          <w:rStyle w:val="ab"/>
        </w:rPr>
        <w:footnoteRef/>
      </w:r>
      <w:r>
        <w:rPr>
          <w:rtl/>
        </w:rPr>
        <w:t xml:space="preserve"> </w:t>
      </w:r>
      <w:r w:rsidRPr="00915E1C">
        <w:rPr>
          <w:rFonts w:cs="Arial"/>
          <w:rtl/>
        </w:rPr>
        <w:t>השתא אמרינן נמי לאחר הפרק שומא נינהו ולא חלצה אי לא אתו בה אחריני ולהכי הוא דמהימני למיאון להחמיר שלא תמאן</w:t>
      </w:r>
      <w:r>
        <w:rPr>
          <w:rFonts w:cs="Arial" w:hint="cs"/>
          <w:rtl/>
        </w:rPr>
        <w:t>, רש"י</w:t>
      </w:r>
      <w:r w:rsidRPr="00915E1C">
        <w:rPr>
          <w:rFonts w:cs="Arial"/>
          <w:rtl/>
        </w:rPr>
        <w:t>.</w:t>
      </w:r>
    </w:p>
  </w:footnote>
  <w:footnote w:id="2502">
    <w:p w14:paraId="610F77F2" w14:textId="77777777" w:rsidR="0013116F" w:rsidRDefault="0013116F" w:rsidP="004B607F">
      <w:pPr>
        <w:pStyle w:val="a9"/>
        <w:rPr>
          <w:rtl/>
        </w:rPr>
      </w:pPr>
      <w:r>
        <w:rPr>
          <w:rStyle w:val="ab"/>
        </w:rPr>
        <w:footnoteRef/>
      </w:r>
      <w:r>
        <w:rPr>
          <w:rtl/>
        </w:rPr>
        <w:t xml:space="preserve"> </w:t>
      </w:r>
      <w:r>
        <w:rPr>
          <w:rFonts w:hint="cs"/>
          <w:rtl/>
        </w:rPr>
        <w:t>כתב הב"י ד</w:t>
      </w:r>
      <w:r>
        <w:rPr>
          <w:rFonts w:cs="Arial"/>
          <w:rtl/>
        </w:rPr>
        <w:t>נראה שלמד כן ממה שכתבו התוס</w:t>
      </w:r>
      <w:r>
        <w:rPr>
          <w:rFonts w:cs="Arial" w:hint="cs"/>
          <w:rtl/>
        </w:rPr>
        <w:t>'</w:t>
      </w:r>
      <w:r>
        <w:rPr>
          <w:rFonts w:cs="Arial"/>
          <w:rtl/>
        </w:rPr>
        <w:t xml:space="preserve"> בסוף פרק הערל (יבמות פ: ד"ה דהביא) דנתמלא זקנו חשוב גדול</w:t>
      </w:r>
      <w:r>
        <w:rPr>
          <w:rFonts w:cs="Arial" w:hint="cs"/>
          <w:rtl/>
        </w:rPr>
        <w:t>,</w:t>
      </w:r>
      <w:r>
        <w:rPr>
          <w:rFonts w:cs="Arial"/>
          <w:rtl/>
        </w:rPr>
        <w:t xml:space="preserve"> וכתבו רבינו בטור אהע</w:t>
      </w:r>
      <w:r>
        <w:rPr>
          <w:rFonts w:cs="Arial" w:hint="cs"/>
          <w:rtl/>
        </w:rPr>
        <w:t>"</w:t>
      </w:r>
      <w:r>
        <w:rPr>
          <w:rFonts w:cs="Arial"/>
          <w:rtl/>
        </w:rPr>
        <w:t>ז סי</w:t>
      </w:r>
      <w:r>
        <w:rPr>
          <w:rFonts w:cs="Arial" w:hint="cs"/>
          <w:rtl/>
        </w:rPr>
        <w:t>'</w:t>
      </w:r>
      <w:r>
        <w:rPr>
          <w:rFonts w:cs="Arial"/>
          <w:rtl/>
        </w:rPr>
        <w:t xml:space="preserve"> קס"ט (צה.)</w:t>
      </w:r>
      <w:r>
        <w:rPr>
          <w:rFonts w:cs="Arial" w:hint="cs"/>
          <w:rtl/>
        </w:rPr>
        <w:t>,</w:t>
      </w:r>
      <w:r>
        <w:rPr>
          <w:rFonts w:cs="Arial"/>
          <w:rtl/>
        </w:rPr>
        <w:t xml:space="preserve"> וצמח זקנו דנקט היינו נתמלא זקנו</w:t>
      </w:r>
      <w:r>
        <w:rPr>
          <w:rFonts w:cs="Arial" w:hint="cs"/>
          <w:rtl/>
        </w:rPr>
        <w:t>,</w:t>
      </w:r>
      <w:r>
        <w:rPr>
          <w:rFonts w:cs="Arial"/>
          <w:rtl/>
        </w:rPr>
        <w:t xml:space="preserve"> אלא שקשה לי למה שינה הלשון מכאן לשם</w:t>
      </w:r>
      <w:r>
        <w:rPr>
          <w:rFonts w:cs="Arial" w:hint="cs"/>
          <w:sz w:val="14"/>
          <w:szCs w:val="14"/>
          <w:rtl/>
        </w:rPr>
        <w:t xml:space="preserve"> (והסמ"ע [סק"ד] כתב כעין אפשרות זו, וז"ל- באמת </w:t>
      </w:r>
      <w:r w:rsidRPr="008146C9">
        <w:rPr>
          <w:rFonts w:cs="Arial"/>
          <w:sz w:val="14"/>
          <w:szCs w:val="14"/>
          <w:rtl/>
        </w:rPr>
        <w:t>חד ענינא הוא, ו"נתמלא" הוא לשון התלמוד [עיין חולין כד</w:t>
      </w:r>
      <w:r>
        <w:rPr>
          <w:rFonts w:cs="Arial" w:hint="cs"/>
          <w:sz w:val="14"/>
          <w:szCs w:val="14"/>
          <w:rtl/>
        </w:rPr>
        <w:t>:</w:t>
      </w:r>
      <w:r w:rsidRPr="008146C9">
        <w:rPr>
          <w:rFonts w:cs="Arial"/>
          <w:sz w:val="14"/>
          <w:szCs w:val="14"/>
          <w:rtl/>
        </w:rPr>
        <w:t>], ו"צמח" הוא לשון הטור. ולא קאמר הגמרא נתמלא זקנו אלא ללמדנו דבב' שערות לא סגי בזקן דלמעלה, ונתמלא, בריבוי שערות קאמר, ולא בגדולתן, דבשיש לו הרבה שערות אז בצמיחתן סגי, ולא בעינן שיהא שערות גדולות כדבעינן בשתי שערות דבזקן תחתון, כמבואר באה"ע ע"ש בסימן קנ"ה [סעיף י"ח]</w:t>
      </w:r>
      <w:r>
        <w:rPr>
          <w:rFonts w:cs="Arial" w:hint="cs"/>
          <w:sz w:val="14"/>
          <w:szCs w:val="14"/>
          <w:rtl/>
        </w:rPr>
        <w:t>)</w:t>
      </w:r>
      <w:r>
        <w:rPr>
          <w:rFonts w:cs="Arial" w:hint="cs"/>
          <w:rtl/>
        </w:rPr>
        <w:t>,</w:t>
      </w:r>
      <w:r>
        <w:rPr>
          <w:rFonts w:cs="Arial"/>
          <w:rtl/>
        </w:rPr>
        <w:t xml:space="preserve"> ושמא י"ל דדוקא התם לענין חליצה הצריך נתמלא זקנו לחומרא</w:t>
      </w:r>
      <w:r>
        <w:rPr>
          <w:rFonts w:cs="Arial" w:hint="cs"/>
          <w:rtl/>
        </w:rPr>
        <w:t>,</w:t>
      </w:r>
      <w:r>
        <w:rPr>
          <w:rFonts w:cs="Arial"/>
          <w:rtl/>
        </w:rPr>
        <w:t xml:space="preserve"> אבל לענין עדות בצמח זקנו סגי להחשיבו גדול</w:t>
      </w:r>
      <w:r>
        <w:rPr>
          <w:rFonts w:cs="Arial" w:hint="cs"/>
          <w:rtl/>
        </w:rPr>
        <w:t>.</w:t>
      </w:r>
      <w:r>
        <w:rPr>
          <w:rFonts w:cs="Arial"/>
          <w:rtl/>
        </w:rPr>
        <w:t xml:space="preserve"> אלא שצריך תלמוד מנין לו לחלק כך. והרמב"ם כתב בפ"ט (עדות ה"ח) קטן שהגיע לכלל שנותיו שנראו בו סימני בגרות מלמעלה אינו צריך בדיקה ואם לאו אין מקבלים עדותו עד שיבדק</w:t>
      </w:r>
      <w:r>
        <w:rPr>
          <w:rFonts w:cs="Arial" w:hint="cs"/>
          <w:rtl/>
        </w:rPr>
        <w:t>.</w:t>
      </w:r>
      <w:r>
        <w:rPr>
          <w:rFonts w:cs="Arial"/>
          <w:rtl/>
        </w:rPr>
        <w:t xml:space="preserve"> ולטעמיה אזיל שהוא סבור שיש באיש סימנין מלמעלה כמו שכתב בפ"ב מהלכות אישות (הט"ו)</w:t>
      </w:r>
      <w:r>
        <w:rPr>
          <w:rFonts w:cs="Arial" w:hint="cs"/>
          <w:rtl/>
        </w:rPr>
        <w:t>,</w:t>
      </w:r>
      <w:r>
        <w:rPr>
          <w:rFonts w:cs="Arial"/>
          <w:rtl/>
        </w:rPr>
        <w:t xml:space="preserve"> והראב"ד השיגו שם</w:t>
      </w:r>
      <w:r>
        <w:rPr>
          <w:rFonts w:cs="Arial" w:hint="cs"/>
          <w:rtl/>
        </w:rPr>
        <w:t>,</w:t>
      </w:r>
      <w:r>
        <w:rPr>
          <w:rFonts w:cs="Arial"/>
          <w:rtl/>
        </w:rPr>
        <w:t xml:space="preserve"> והרב המגיד הניח הדבר בצ"ע</w:t>
      </w:r>
      <w:r>
        <w:rPr>
          <w:rFonts w:cs="Arial" w:hint="cs"/>
          <w:rtl/>
        </w:rPr>
        <w:t>.</w:t>
      </w:r>
    </w:p>
  </w:footnote>
  <w:footnote w:id="2503">
    <w:p w14:paraId="2979692A" w14:textId="77777777" w:rsidR="0013116F" w:rsidRDefault="0013116F" w:rsidP="004B607F">
      <w:pPr>
        <w:pStyle w:val="a9"/>
        <w:rPr>
          <w:rtl/>
        </w:rPr>
      </w:pPr>
      <w:r>
        <w:rPr>
          <w:rStyle w:val="ab"/>
        </w:rPr>
        <w:footnoteRef/>
      </w:r>
      <w:r>
        <w:rPr>
          <w:rtl/>
        </w:rPr>
        <w:t xml:space="preserve"> </w:t>
      </w:r>
      <w:r w:rsidRPr="008146C9">
        <w:rPr>
          <w:rFonts w:cs="Arial"/>
          <w:rtl/>
        </w:rPr>
        <w:t>פירוש, י"ג שנים שלמות. ולא תימא כשהוא שלשים יום בשנת י"ג הרי הוא כשנה ויחשב כגדול. ועיין מה שכתבתי בסמוך בסק</w:t>
      </w:r>
      <w:r>
        <w:rPr>
          <w:rFonts w:cs="Arial" w:hint="cs"/>
          <w:rtl/>
        </w:rPr>
        <w:t>"</w:t>
      </w:r>
      <w:r w:rsidRPr="008146C9">
        <w:rPr>
          <w:rFonts w:cs="Arial"/>
          <w:rtl/>
        </w:rPr>
        <w:t>ה. ולענין דיינות כתבו הטור והמחבר בסימן ז' סעיף ג', דיש אומרים שהוא כשר כשהוא בן י"ג שנים אפילו לא הביא ב' שערות. והיינו טעמא, דס"ל דלענין דיינות הכל תלוי במה שהוא מבין, ולא הושוו דיינות ועדות אהדדי לאמר דהפסול לזה פסול לזה ג"כ, אלא לענין זה דבשניהן שם קטנות פוסל בהן, מיהו כל חד לפי סברתו, וכמו שכתבתי שם בסימן ז' [סק"ט] ע"ש. וכתבתי שם ג"כ, דמה"ט י"א דלדון פסול עד שיהא בן י"ח שנים והביא ב' שערות, דס"ל דגדלותו לענין דין, דבעינן שיהא איש, אינו עד שיהיה בן י"ח שנים, ע"ש</w:t>
      </w:r>
      <w:r>
        <w:rPr>
          <w:rFonts w:hint="cs"/>
          <w:rtl/>
        </w:rPr>
        <w:t>, סמ"ע (סק"ב).</w:t>
      </w:r>
    </w:p>
  </w:footnote>
  <w:footnote w:id="2504">
    <w:p w14:paraId="31C43977" w14:textId="77777777" w:rsidR="0013116F" w:rsidRDefault="0013116F" w:rsidP="004B607F">
      <w:pPr>
        <w:pStyle w:val="a9"/>
      </w:pPr>
      <w:r>
        <w:rPr>
          <w:rStyle w:val="ab"/>
        </w:rPr>
        <w:footnoteRef/>
      </w:r>
      <w:r>
        <w:rPr>
          <w:rtl/>
        </w:rPr>
        <w:t xml:space="preserve"> </w:t>
      </w:r>
      <w:r w:rsidRPr="008146C9">
        <w:rPr>
          <w:rFonts w:cs="Arial"/>
          <w:rtl/>
        </w:rPr>
        <w:t>נראה דה"ה וכל שכן למ"ד דאין דן עד שיהא בן י"ח שנים והביא ב' שערות כנ"ל [סק"ב], דאם לא בדקוהו כשהוא בן י"ח שנה ודן ובדקוהו לאחר זמן, דינו דין</w:t>
      </w:r>
      <w:r>
        <w:rPr>
          <w:rFonts w:cs="Arial" w:hint="cs"/>
          <w:rtl/>
        </w:rPr>
        <w:t>, סמ"ע (סק"ג).</w:t>
      </w:r>
    </w:p>
  </w:footnote>
  <w:footnote w:id="2505">
    <w:p w14:paraId="4FDD4F77" w14:textId="77777777" w:rsidR="0013116F" w:rsidRDefault="0013116F" w:rsidP="004B607F">
      <w:pPr>
        <w:pStyle w:val="a9"/>
      </w:pPr>
      <w:r>
        <w:rPr>
          <w:rStyle w:val="ab"/>
        </w:rPr>
        <w:footnoteRef/>
      </w:r>
      <w:r>
        <w:rPr>
          <w:rtl/>
        </w:rPr>
        <w:t xml:space="preserve"> </w:t>
      </w:r>
      <w:r>
        <w:rPr>
          <w:rFonts w:hint="cs"/>
          <w:rtl/>
        </w:rPr>
        <w:t xml:space="preserve">סימן </w:t>
      </w:r>
      <w:r>
        <w:rPr>
          <w:rtl/>
        </w:rPr>
        <w:t>–</w:t>
      </w:r>
      <w:r>
        <w:rPr>
          <w:rFonts w:hint="cs"/>
          <w:rtl/>
        </w:rPr>
        <w:t xml:space="preserve"> מחכים לזקן. וכן - זקנו מאחר.</w:t>
      </w:r>
    </w:p>
  </w:footnote>
  <w:footnote w:id="2506">
    <w:p w14:paraId="783E5BC6" w14:textId="77777777" w:rsidR="0013116F" w:rsidRDefault="0013116F" w:rsidP="004B607F">
      <w:pPr>
        <w:pStyle w:val="a9"/>
      </w:pPr>
      <w:r>
        <w:rPr>
          <w:rStyle w:val="ab"/>
        </w:rPr>
        <w:footnoteRef/>
      </w:r>
      <w:r>
        <w:rPr>
          <w:rtl/>
        </w:rPr>
        <w:t xml:space="preserve"> </w:t>
      </w:r>
      <w:r w:rsidRPr="00553D28">
        <w:rPr>
          <w:rFonts w:cs="Arial"/>
          <w:rtl/>
        </w:rPr>
        <w:t>המפורשים בפרק הערל (יבמות פ:) שאין בשרו מוציא הבל כשהוא רוחץ ושערו לקוי ובשרו מחליק</w:t>
      </w:r>
      <w:r>
        <w:rPr>
          <w:rFonts w:cs="Arial" w:hint="cs"/>
          <w:rtl/>
        </w:rPr>
        <w:t>, רש"י.</w:t>
      </w:r>
    </w:p>
  </w:footnote>
  <w:footnote w:id="2507">
    <w:p w14:paraId="0B53A914" w14:textId="77777777" w:rsidR="0013116F" w:rsidRDefault="0013116F" w:rsidP="004B607F">
      <w:pPr>
        <w:pStyle w:val="a9"/>
      </w:pPr>
      <w:r>
        <w:rPr>
          <w:rStyle w:val="ab"/>
        </w:rPr>
        <w:footnoteRef/>
      </w:r>
      <w:r>
        <w:rPr>
          <w:rtl/>
        </w:rPr>
        <w:t xml:space="preserve"> </w:t>
      </w:r>
      <w:r w:rsidRPr="00553D28">
        <w:rPr>
          <w:rFonts w:cs="Arial"/>
          <w:rtl/>
        </w:rPr>
        <w:t>ומכאן ואילך גדול הוא והוי ודאי סריס</w:t>
      </w:r>
      <w:r>
        <w:rPr>
          <w:rFonts w:cs="Arial" w:hint="cs"/>
          <w:rtl/>
        </w:rPr>
        <w:t>, תוס' (ד"ה עד רוב שנותיו).</w:t>
      </w:r>
      <w:r w:rsidRPr="00553D28">
        <w:rPr>
          <w:rFonts w:cs="Arial"/>
          <w:rtl/>
        </w:rPr>
        <w:t xml:space="preserve"> הרי שכל זמן שאינו חולץ ואינו מייבם לא חשיב גדול</w:t>
      </w:r>
      <w:r>
        <w:rPr>
          <w:rFonts w:cs="Arial" w:hint="cs"/>
          <w:rtl/>
        </w:rPr>
        <w:t>, ב"י.</w:t>
      </w:r>
    </w:p>
  </w:footnote>
  <w:footnote w:id="2508">
    <w:p w14:paraId="238A1858" w14:textId="77777777" w:rsidR="0013116F" w:rsidRPr="00D640DE" w:rsidRDefault="0013116F" w:rsidP="004B607F">
      <w:pPr>
        <w:pStyle w:val="a9"/>
        <w:rPr>
          <w:color w:val="FF0000"/>
          <w:rtl/>
        </w:rPr>
      </w:pPr>
      <w:r>
        <w:rPr>
          <w:rStyle w:val="ab"/>
        </w:rPr>
        <w:footnoteRef/>
      </w:r>
      <w:r>
        <w:rPr>
          <w:rtl/>
        </w:rPr>
        <w:t xml:space="preserve"> </w:t>
      </w:r>
      <w:r w:rsidRPr="00553D28">
        <w:rPr>
          <w:rFonts w:cs="Arial"/>
          <w:rtl/>
        </w:rPr>
        <w:t>ופירש הרמב"ם פ"ב מהל</w:t>
      </w:r>
      <w:r>
        <w:rPr>
          <w:rFonts w:cs="Arial" w:hint="cs"/>
          <w:rtl/>
        </w:rPr>
        <w:t>'</w:t>
      </w:r>
      <w:r w:rsidRPr="00553D28">
        <w:rPr>
          <w:rFonts w:cs="Arial"/>
          <w:rtl/>
        </w:rPr>
        <w:t xml:space="preserve"> אישות </w:t>
      </w:r>
      <w:r w:rsidRPr="003A03B1">
        <w:rPr>
          <w:rFonts w:cs="Arial"/>
          <w:sz w:val="16"/>
          <w:szCs w:val="16"/>
          <w:rtl/>
        </w:rPr>
        <w:t xml:space="preserve">(הי"א-יב) </w:t>
      </w:r>
      <w:r w:rsidRPr="00553D28">
        <w:rPr>
          <w:rFonts w:cs="Arial"/>
          <w:rtl/>
        </w:rPr>
        <w:t xml:space="preserve">שיצאו </w:t>
      </w:r>
      <w:r>
        <w:rPr>
          <w:rFonts w:cs="Arial" w:hint="cs"/>
          <w:rtl/>
        </w:rPr>
        <w:t xml:space="preserve">- </w:t>
      </w:r>
      <w:r w:rsidRPr="00553D28">
        <w:rPr>
          <w:rFonts w:cs="Arial"/>
          <w:rtl/>
        </w:rPr>
        <w:t>שעתידין לצאת עדיין דכיון דאינה חסרה אלא שלשים יום הרי היא כאילו נשלמה</w:t>
      </w:r>
      <w:r>
        <w:rPr>
          <w:rFonts w:cs="Arial" w:hint="cs"/>
          <w:rtl/>
        </w:rPr>
        <w:t>.</w:t>
      </w:r>
      <w:r w:rsidRPr="00553D28">
        <w:rPr>
          <w:rFonts w:cs="Arial"/>
          <w:rtl/>
        </w:rPr>
        <w:t xml:space="preserve"> אבל שאר כל המפרשים פירשו שיצאו כבר </w:t>
      </w:r>
      <w:r>
        <w:rPr>
          <w:rFonts w:cs="Arial" w:hint="cs"/>
          <w:rtl/>
        </w:rPr>
        <w:t xml:space="preserve">- </w:t>
      </w:r>
      <w:r w:rsidRPr="00553D28">
        <w:rPr>
          <w:rFonts w:cs="Arial"/>
          <w:rtl/>
        </w:rPr>
        <w:t xml:space="preserve">דכיון שהוא בן י"ט שנה ושלשים יום משנת עשרים הרי הן חשובים שנה וכאלו נשלמו לעשרים. וזה דעת רבינו שכתב </w:t>
      </w:r>
      <w:r>
        <w:rPr>
          <w:rFonts w:cs="Arial" w:hint="cs"/>
          <w:rtl/>
        </w:rPr>
        <w:t>'</w:t>
      </w:r>
      <w:r w:rsidRPr="00553D28">
        <w:rPr>
          <w:rFonts w:cs="Arial"/>
          <w:rtl/>
        </w:rPr>
        <w:t>ואם הגיע לעשרים שנה</w:t>
      </w:r>
      <w:r>
        <w:rPr>
          <w:rFonts w:cs="Arial" w:hint="cs"/>
          <w:rtl/>
        </w:rPr>
        <w:t>'</w:t>
      </w:r>
      <w:r w:rsidRPr="00553D28">
        <w:rPr>
          <w:rFonts w:cs="Arial"/>
          <w:rtl/>
        </w:rPr>
        <w:t xml:space="preserve"> כלומר כיון שהגיע לעשרים ונכנס בה שלשים יום</w:t>
      </w:r>
      <w:r>
        <w:rPr>
          <w:rFonts w:cs="Arial" w:hint="cs"/>
          <w:rtl/>
        </w:rPr>
        <w:t>,</w:t>
      </w:r>
      <w:r w:rsidRPr="00553D28">
        <w:rPr>
          <w:rFonts w:cs="Arial"/>
          <w:rtl/>
        </w:rPr>
        <w:t xml:space="preserve"> ולאפוקי מהרמב"ם</w:t>
      </w:r>
      <w:r>
        <w:rPr>
          <w:rFonts w:cs="Arial" w:hint="cs"/>
          <w:rtl/>
        </w:rPr>
        <w:t>, ב"י</w:t>
      </w:r>
      <w:r w:rsidRPr="00553D28">
        <w:rPr>
          <w:rFonts w:cs="Arial"/>
          <w:rtl/>
        </w:rPr>
        <w:t>.</w:t>
      </w:r>
      <w:r>
        <w:rPr>
          <w:rFonts w:hint="cs"/>
          <w:rtl/>
        </w:rPr>
        <w:t xml:space="preserve"> </w:t>
      </w:r>
      <w:r w:rsidRPr="00D640DE">
        <w:rPr>
          <w:rFonts w:hint="cs"/>
          <w:color w:val="E36C0A" w:themeColor="accent6" w:themeShade="BF"/>
          <w:rtl/>
        </w:rPr>
        <w:t>(וכ"ס בשו"ע</w:t>
      </w:r>
      <w:r w:rsidRPr="00D640DE">
        <w:rPr>
          <w:rFonts w:hint="cs"/>
          <w:color w:val="E36C0A" w:themeColor="accent6" w:themeShade="BF"/>
          <w:sz w:val="16"/>
          <w:szCs w:val="16"/>
          <w:rtl/>
        </w:rPr>
        <w:t xml:space="preserve"> </w:t>
      </w:r>
      <w:r>
        <w:rPr>
          <w:rFonts w:hint="cs"/>
          <w:sz w:val="16"/>
          <w:szCs w:val="16"/>
          <w:rtl/>
        </w:rPr>
        <w:t>[אהע"ז סי' קנה סי"ב]</w:t>
      </w:r>
      <w:r w:rsidRPr="00D640DE">
        <w:rPr>
          <w:rFonts w:hint="cs"/>
          <w:color w:val="E36C0A" w:themeColor="accent6" w:themeShade="BF"/>
          <w:rtl/>
        </w:rPr>
        <w:t xml:space="preserve">) </w:t>
      </w:r>
      <w:r>
        <w:rPr>
          <w:rFonts w:hint="cs"/>
          <w:rtl/>
        </w:rPr>
        <w:t xml:space="preserve">(וכ"פ הסמ"ע </w:t>
      </w:r>
      <w:r>
        <w:rPr>
          <w:rFonts w:hint="cs"/>
          <w:sz w:val="16"/>
          <w:szCs w:val="16"/>
          <w:rtl/>
        </w:rPr>
        <w:t>[סק"ה]</w:t>
      </w:r>
      <w:r>
        <w:rPr>
          <w:rFonts w:hint="cs"/>
          <w:rtl/>
        </w:rPr>
        <w:t xml:space="preserve">) </w:t>
      </w:r>
    </w:p>
  </w:footnote>
  <w:footnote w:id="2509">
    <w:p w14:paraId="03D4A4AA" w14:textId="77777777" w:rsidR="0013116F" w:rsidRDefault="0013116F" w:rsidP="004B607F">
      <w:pPr>
        <w:pStyle w:val="a9"/>
        <w:rPr>
          <w:rtl/>
        </w:rPr>
      </w:pPr>
      <w:r>
        <w:rPr>
          <w:rStyle w:val="ab"/>
        </w:rPr>
        <w:footnoteRef/>
      </w:r>
      <w:r>
        <w:rPr>
          <w:rtl/>
        </w:rPr>
        <w:t xml:space="preserve"> </w:t>
      </w:r>
      <w:r w:rsidRPr="00553D28">
        <w:rPr>
          <w:rFonts w:cs="Arial"/>
          <w:rtl/>
        </w:rPr>
        <w:t>להחזיקם בגדולים</w:t>
      </w:r>
      <w:r>
        <w:rPr>
          <w:rFonts w:hint="cs"/>
          <w:rtl/>
        </w:rPr>
        <w:t>, רש"י.</w:t>
      </w:r>
    </w:p>
  </w:footnote>
  <w:footnote w:id="2510">
    <w:p w14:paraId="0FBDC62F" w14:textId="77777777" w:rsidR="0013116F" w:rsidRDefault="0013116F" w:rsidP="004B607F">
      <w:pPr>
        <w:pStyle w:val="a9"/>
        <w:rPr>
          <w:rtl/>
        </w:rPr>
      </w:pPr>
      <w:r>
        <w:rPr>
          <w:rStyle w:val="ab"/>
        </w:rPr>
        <w:footnoteRef/>
      </w:r>
      <w:r>
        <w:rPr>
          <w:rtl/>
        </w:rPr>
        <w:t xml:space="preserve"> </w:t>
      </w:r>
      <w:r>
        <w:rPr>
          <w:rFonts w:cs="Arial" w:hint="cs"/>
          <w:rtl/>
        </w:rPr>
        <w:t xml:space="preserve">וכן </w:t>
      </w:r>
      <w:r w:rsidRPr="00D640DE">
        <w:rPr>
          <w:rFonts w:cs="Arial"/>
          <w:rtl/>
        </w:rPr>
        <w:t>כשהוא בן י"ט שנים ול' יום משנת העשרים שנים, אזי הגיע לעשרים שנים מיקרי, דל' יום בשנה חשוב כשנה</w:t>
      </w:r>
      <w:r>
        <w:rPr>
          <w:rFonts w:cs="Arial" w:hint="cs"/>
          <w:rtl/>
        </w:rPr>
        <w:t>..., סמ"ע (סק"ה)</w:t>
      </w:r>
      <w:r w:rsidRPr="00D640DE">
        <w:rPr>
          <w:rFonts w:cs="Arial"/>
          <w:rtl/>
        </w:rPr>
        <w:t>.</w:t>
      </w:r>
      <w:r>
        <w:rPr>
          <w:rFonts w:hint="cs"/>
          <w:rtl/>
        </w:rPr>
        <w:t xml:space="preserve"> וכן סתם בשו"ע אעה"ז סי' קנה סי"ב.</w:t>
      </w:r>
    </w:p>
  </w:footnote>
  <w:footnote w:id="2511">
    <w:p w14:paraId="7E68A3EE" w14:textId="77777777" w:rsidR="0013116F" w:rsidRDefault="0013116F" w:rsidP="004B607F">
      <w:pPr>
        <w:pStyle w:val="a9"/>
      </w:pPr>
      <w:r>
        <w:rPr>
          <w:rStyle w:val="ab"/>
        </w:rPr>
        <w:footnoteRef/>
      </w:r>
      <w:r>
        <w:rPr>
          <w:rtl/>
        </w:rPr>
        <w:t xml:space="preserve"> </w:t>
      </w:r>
      <w:r>
        <w:rPr>
          <w:rFonts w:hint="cs"/>
          <w:rtl/>
        </w:rPr>
        <w:t>ו</w:t>
      </w:r>
      <w:r w:rsidRPr="006E724A">
        <w:rPr>
          <w:rFonts w:cs="Arial"/>
          <w:rtl/>
        </w:rPr>
        <w:t>אפילו נולדו לו סימני סריס קודם שהגיע לבן עשרים דלא נעשה גדול על ידם, מ"מ כשמגיע אח"כ לעשרים שנה נעשה גדול על ידם להבא. וכן מוכח באה"ע סימן קע"ב, ע"ש, גם בסוף סימן קנ"ה</w:t>
      </w:r>
      <w:r>
        <w:rPr>
          <w:rFonts w:cs="Arial" w:hint="cs"/>
          <w:rtl/>
        </w:rPr>
        <w:t>, סמ"ע (סק"ו).</w:t>
      </w:r>
    </w:p>
  </w:footnote>
  <w:footnote w:id="2512">
    <w:p w14:paraId="0F65DDC5" w14:textId="77777777" w:rsidR="0013116F" w:rsidRDefault="0013116F" w:rsidP="004B607F">
      <w:pPr>
        <w:pStyle w:val="a9"/>
        <w:rPr>
          <w:rtl/>
        </w:rPr>
      </w:pPr>
      <w:r>
        <w:rPr>
          <w:rStyle w:val="ab"/>
        </w:rPr>
        <w:footnoteRef/>
      </w:r>
      <w:r>
        <w:rPr>
          <w:rtl/>
        </w:rPr>
        <w:t xml:space="preserve"> </w:t>
      </w:r>
      <w:r w:rsidRPr="00D640DE">
        <w:rPr>
          <w:rFonts w:cs="Arial"/>
          <w:rtl/>
        </w:rPr>
        <w:t>והיינו שיהיה בן ל"ו שנה, דימי שנותיו של אדם שבעים שנה</w:t>
      </w:r>
      <w:r>
        <w:rPr>
          <w:rFonts w:hint="cs"/>
          <w:rtl/>
        </w:rPr>
        <w:t>, סמ"ע (סק"ז).</w:t>
      </w:r>
    </w:p>
  </w:footnote>
  <w:footnote w:id="2513">
    <w:p w14:paraId="51F98F3B" w14:textId="77777777" w:rsidR="0013116F" w:rsidRDefault="0013116F" w:rsidP="004B607F">
      <w:pPr>
        <w:pStyle w:val="a9"/>
        <w:rPr>
          <w:rtl/>
        </w:rPr>
      </w:pPr>
      <w:r>
        <w:rPr>
          <w:rStyle w:val="ab"/>
        </w:rPr>
        <w:footnoteRef/>
      </w:r>
      <w:r>
        <w:rPr>
          <w:rtl/>
        </w:rPr>
        <w:t xml:space="preserve"> </w:t>
      </w:r>
      <w:r>
        <w:rPr>
          <w:rFonts w:hint="cs"/>
          <w:rtl/>
        </w:rPr>
        <w:t xml:space="preserve">סימן </w:t>
      </w:r>
      <w:r>
        <w:rPr>
          <w:rtl/>
        </w:rPr>
        <w:t>–</w:t>
      </w:r>
      <w:r>
        <w:rPr>
          <w:rFonts w:hint="cs"/>
          <w:rtl/>
        </w:rPr>
        <w:t xml:space="preserve"> קטן ניהול הנכסים. וכן </w:t>
      </w:r>
      <w:r>
        <w:rPr>
          <w:rtl/>
        </w:rPr>
        <w:t>–</w:t>
      </w:r>
      <w:r>
        <w:rPr>
          <w:rFonts w:hint="cs"/>
          <w:rtl/>
        </w:rPr>
        <w:t xml:space="preserve"> המוכר נכסים קטן.</w:t>
      </w:r>
    </w:p>
  </w:footnote>
  <w:footnote w:id="2514">
    <w:p w14:paraId="6DF89AE7" w14:textId="77777777" w:rsidR="0013116F" w:rsidRDefault="0013116F" w:rsidP="004B607F">
      <w:pPr>
        <w:pStyle w:val="a9"/>
      </w:pPr>
      <w:r>
        <w:rPr>
          <w:rStyle w:val="ab"/>
        </w:rPr>
        <w:footnoteRef/>
      </w:r>
      <w:r>
        <w:rPr>
          <w:rtl/>
        </w:rPr>
        <w:t xml:space="preserve"> </w:t>
      </w:r>
      <w:r w:rsidRPr="00700F1A">
        <w:rPr>
          <w:rFonts w:cs="Arial"/>
          <w:rtl/>
        </w:rPr>
        <w:t>כלומר בן שלש עשרה שנה ויום אחד שהביא שתי שערות ואינו יודע בטיב מקח וממכר אף על פי שאין מקחו מקח וממכרו ממכר לענין עדות עדותו עדות</w:t>
      </w:r>
      <w:r>
        <w:rPr>
          <w:rFonts w:cs="Arial" w:hint="cs"/>
          <w:rtl/>
        </w:rPr>
        <w:t>, רי"ף (עג:). וכן פירש הרשב"ם</w:t>
      </w:r>
      <w:r w:rsidRPr="006C5FD2">
        <w:rPr>
          <w:rFonts w:cs="Arial"/>
          <w:rtl/>
        </w:rPr>
        <w:t>.</w:t>
      </w:r>
    </w:p>
  </w:footnote>
  <w:footnote w:id="2515">
    <w:p w14:paraId="755B9344" w14:textId="77777777" w:rsidR="0013116F" w:rsidRDefault="0013116F" w:rsidP="004B607F">
      <w:pPr>
        <w:pStyle w:val="a9"/>
      </w:pPr>
      <w:r>
        <w:rPr>
          <w:rStyle w:val="ab"/>
        </w:rPr>
        <w:footnoteRef/>
      </w:r>
      <w:r>
        <w:rPr>
          <w:rtl/>
        </w:rPr>
        <w:t xml:space="preserve"> </w:t>
      </w:r>
      <w:r w:rsidRPr="006C5FD2">
        <w:rPr>
          <w:rFonts w:cs="Arial"/>
          <w:rtl/>
        </w:rPr>
        <w:t>בעדות מטלטלי</w:t>
      </w:r>
      <w:r>
        <w:rPr>
          <w:rFonts w:cs="Arial" w:hint="cs"/>
          <w:rtl/>
        </w:rPr>
        <w:t>, רשב"ם</w:t>
      </w:r>
      <w:r w:rsidRPr="006C5FD2">
        <w:rPr>
          <w:rFonts w:cs="Arial"/>
          <w:rtl/>
        </w:rPr>
        <w:t>.</w:t>
      </w:r>
    </w:p>
  </w:footnote>
  <w:footnote w:id="2516">
    <w:p w14:paraId="552D8193" w14:textId="77777777" w:rsidR="0013116F" w:rsidRDefault="0013116F" w:rsidP="004B607F">
      <w:pPr>
        <w:pStyle w:val="a9"/>
      </w:pPr>
      <w:r>
        <w:rPr>
          <w:rStyle w:val="ab"/>
        </w:rPr>
        <w:footnoteRef/>
      </w:r>
      <w:r>
        <w:rPr>
          <w:rtl/>
        </w:rPr>
        <w:t xml:space="preserve"> </w:t>
      </w:r>
      <w:r w:rsidRPr="006C5FD2">
        <w:rPr>
          <w:rFonts w:cs="Arial"/>
          <w:rtl/>
        </w:rPr>
        <w:t>עדות מטלטלי דנאמן</w:t>
      </w:r>
      <w:r>
        <w:rPr>
          <w:rFonts w:cs="Arial" w:hint="cs"/>
          <w:rtl/>
        </w:rPr>
        <w:t>, רשב"ם</w:t>
      </w:r>
      <w:r w:rsidRPr="006C5FD2">
        <w:rPr>
          <w:rFonts w:cs="Arial"/>
          <w:rtl/>
        </w:rPr>
        <w:t>.</w:t>
      </w:r>
    </w:p>
  </w:footnote>
  <w:footnote w:id="2517">
    <w:p w14:paraId="4DD0D791" w14:textId="77777777" w:rsidR="0013116F" w:rsidRDefault="0013116F" w:rsidP="004B607F">
      <w:pPr>
        <w:pStyle w:val="a9"/>
        <w:rPr>
          <w:rtl/>
        </w:rPr>
      </w:pPr>
      <w:r>
        <w:rPr>
          <w:rStyle w:val="ab"/>
        </w:rPr>
        <w:footnoteRef/>
      </w:r>
      <w:r>
        <w:rPr>
          <w:rtl/>
        </w:rPr>
        <w:t xml:space="preserve"> </w:t>
      </w:r>
      <w:r>
        <w:rPr>
          <w:rFonts w:cs="Arial" w:hint="cs"/>
          <w:rtl/>
        </w:rPr>
        <w:t>ד</w:t>
      </w:r>
      <w:r w:rsidRPr="00553D28">
        <w:rPr>
          <w:rFonts w:cs="Arial"/>
          <w:rtl/>
        </w:rPr>
        <w:t>א</w:t>
      </w:r>
      <w:r>
        <w:rPr>
          <w:rFonts w:cs="Arial" w:hint="cs"/>
          <w:rtl/>
        </w:rPr>
        <w:t>י</w:t>
      </w:r>
      <w:r w:rsidRPr="00553D28">
        <w:rPr>
          <w:rFonts w:cs="Arial"/>
          <w:rtl/>
        </w:rPr>
        <w:t>לו היה מפרש כדברי התוספות הוה ליה לכתוב דין זה בדיני שומא ולא בדיני עדות אלא ודאי כהרמב"ם סבירא ליה כנ"ל</w:t>
      </w:r>
      <w:r>
        <w:rPr>
          <w:rFonts w:hint="cs"/>
          <w:rtl/>
        </w:rPr>
        <w:t>, ב"י.</w:t>
      </w:r>
    </w:p>
  </w:footnote>
  <w:footnote w:id="2518">
    <w:p w14:paraId="5FEAB67B" w14:textId="77777777" w:rsidR="0013116F" w:rsidRDefault="0013116F" w:rsidP="004B607F">
      <w:pPr>
        <w:pStyle w:val="a9"/>
        <w:rPr>
          <w:rtl/>
        </w:rPr>
      </w:pPr>
      <w:r>
        <w:rPr>
          <w:rStyle w:val="ab"/>
        </w:rPr>
        <w:footnoteRef/>
      </w:r>
      <w:r>
        <w:rPr>
          <w:rtl/>
        </w:rPr>
        <w:t xml:space="preserve"> </w:t>
      </w:r>
      <w:r>
        <w:rPr>
          <w:rFonts w:hint="cs"/>
          <w:rtl/>
        </w:rPr>
        <w:t xml:space="preserve">לפנינו איתא 'במקרקעי כמו במטלטלי'. ומה שכתבתי למעלה הוא לפי נוסחאות תוספות ישנים, וכתב מהרש"א (ד"ה בא"ד וגם) דיותר נכון לגרוס כנוסחת התוס' ישנים. </w:t>
      </w:r>
    </w:p>
  </w:footnote>
  <w:footnote w:id="2519">
    <w:p w14:paraId="4A678099" w14:textId="77777777" w:rsidR="0013116F" w:rsidRDefault="0013116F" w:rsidP="004B607F">
      <w:pPr>
        <w:pStyle w:val="a9"/>
        <w:rPr>
          <w:rtl/>
        </w:rPr>
      </w:pPr>
      <w:r>
        <w:rPr>
          <w:rStyle w:val="ab"/>
        </w:rPr>
        <w:footnoteRef/>
      </w:r>
      <w:r>
        <w:rPr>
          <w:rtl/>
        </w:rPr>
        <w:t xml:space="preserve"> </w:t>
      </w:r>
      <w:r>
        <w:rPr>
          <w:rFonts w:hint="cs"/>
          <w:rtl/>
        </w:rPr>
        <w:t xml:space="preserve">וכתב </w:t>
      </w:r>
      <w:r w:rsidRPr="00854B72">
        <w:rPr>
          <w:rFonts w:cs="Arial"/>
          <w:rtl/>
        </w:rPr>
        <w:t>שגם דעת הרמב"ם [פ"ט מעדות ה"ח] וטור [סע</w:t>
      </w:r>
      <w:r>
        <w:rPr>
          <w:rFonts w:cs="Arial" w:hint="cs"/>
          <w:rtl/>
        </w:rPr>
        <w:t>'</w:t>
      </w:r>
      <w:r w:rsidRPr="00854B72">
        <w:rPr>
          <w:rFonts w:cs="Arial"/>
          <w:rtl/>
        </w:rPr>
        <w:t xml:space="preserve"> ו] כן, ודלא כב"י וב"ח [שם] לדעתם. ומ"ש ב"י, דאם כן הו"ל לכתוב דין זה בדיני שומא ולא בדיני עדות. לא קשה מידי, דמ"מ כיון שמעיד שכך היתה שוה, שייך בדיני עדות. והא בגמ' [שם] נמי נקיט עדות, וכן עיקר. דהא קושית התוספות ומרדכי נכונה היא ודו"ק. וכ"פ באגודה [ב"ב סי' ר"י]</w:t>
      </w:r>
      <w:r>
        <w:rPr>
          <w:rFonts w:hint="cs"/>
          <w:rtl/>
        </w:rPr>
        <w:t>. עכ"ל הש"ך.</w:t>
      </w:r>
    </w:p>
  </w:footnote>
  <w:footnote w:id="2520">
    <w:p w14:paraId="7FBD4758" w14:textId="77777777" w:rsidR="0013116F" w:rsidRDefault="0013116F" w:rsidP="004B607F">
      <w:pPr>
        <w:pStyle w:val="a9"/>
        <w:rPr>
          <w:rtl/>
        </w:rPr>
      </w:pPr>
      <w:r>
        <w:rPr>
          <w:rStyle w:val="ab"/>
        </w:rPr>
        <w:footnoteRef/>
      </w:r>
      <w:r>
        <w:rPr>
          <w:rtl/>
        </w:rPr>
        <w:t xml:space="preserve"> </w:t>
      </w:r>
      <w:r>
        <w:rPr>
          <w:rFonts w:hint="cs"/>
          <w:rtl/>
        </w:rPr>
        <w:t xml:space="preserve">סימן </w:t>
      </w:r>
      <w:r>
        <w:rPr>
          <w:rtl/>
        </w:rPr>
        <w:t>–</w:t>
      </w:r>
      <w:r>
        <w:rPr>
          <w:rFonts w:hint="cs"/>
          <w:rtl/>
        </w:rPr>
        <w:t xml:space="preserve"> כתב חרוט. כלה חרוטה. כהן חרוט. וכן </w:t>
      </w:r>
      <w:r>
        <w:rPr>
          <w:rtl/>
        </w:rPr>
        <w:t>–</w:t>
      </w:r>
      <w:r>
        <w:rPr>
          <w:rFonts w:hint="cs"/>
          <w:rtl/>
        </w:rPr>
        <w:t xml:space="preserve"> כך חזיתי.</w:t>
      </w:r>
    </w:p>
  </w:footnote>
  <w:footnote w:id="2521">
    <w:p w14:paraId="1B66EC0A" w14:textId="77777777" w:rsidR="0013116F" w:rsidRDefault="0013116F" w:rsidP="004B607F">
      <w:pPr>
        <w:pStyle w:val="a9"/>
      </w:pPr>
      <w:r>
        <w:rPr>
          <w:rStyle w:val="ab"/>
        </w:rPr>
        <w:footnoteRef/>
      </w:r>
      <w:r>
        <w:rPr>
          <w:rtl/>
        </w:rPr>
        <w:t xml:space="preserve"> </w:t>
      </w:r>
      <w:r w:rsidRPr="00D2669E">
        <w:rPr>
          <w:rFonts w:cs="Arial"/>
          <w:rtl/>
        </w:rPr>
        <w:t xml:space="preserve"> ומקיימין השטר על פיו אע</w:t>
      </w:r>
      <w:r>
        <w:rPr>
          <w:rFonts w:cs="Arial" w:hint="cs"/>
          <w:rtl/>
        </w:rPr>
        <w:t>"</w:t>
      </w:r>
      <w:r w:rsidRPr="00D2669E">
        <w:rPr>
          <w:rFonts w:cs="Arial"/>
          <w:rtl/>
        </w:rPr>
        <w:t>פ שמת אביו בעוד זה קטן</w:t>
      </w:r>
      <w:r>
        <w:rPr>
          <w:rFonts w:cs="Arial" w:hint="cs"/>
          <w:rtl/>
        </w:rPr>
        <w:t>, רש"י</w:t>
      </w:r>
      <w:r w:rsidRPr="00D2669E">
        <w:rPr>
          <w:rFonts w:cs="Arial"/>
          <w:rtl/>
        </w:rPr>
        <w:t>.</w:t>
      </w:r>
    </w:p>
  </w:footnote>
  <w:footnote w:id="2522">
    <w:p w14:paraId="5679F2DB" w14:textId="77777777" w:rsidR="0013116F" w:rsidRDefault="0013116F" w:rsidP="004B607F">
      <w:pPr>
        <w:pStyle w:val="a9"/>
        <w:rPr>
          <w:rtl/>
        </w:rPr>
      </w:pPr>
      <w:r>
        <w:rPr>
          <w:rStyle w:val="ab"/>
        </w:rPr>
        <w:footnoteRef/>
      </w:r>
      <w:r>
        <w:rPr>
          <w:rtl/>
        </w:rPr>
        <w:t xml:space="preserve"> </w:t>
      </w:r>
      <w:r>
        <w:rPr>
          <w:rFonts w:cs="Arial" w:hint="cs"/>
          <w:rtl/>
        </w:rPr>
        <w:t xml:space="preserve">וכ' </w:t>
      </w:r>
      <w:r>
        <w:rPr>
          <w:rFonts w:cs="Arial"/>
          <w:rtl/>
        </w:rPr>
        <w:t xml:space="preserve">הרא"ש </w:t>
      </w:r>
      <w:r w:rsidRPr="00D00280">
        <w:rPr>
          <w:rFonts w:cs="Arial"/>
          <w:sz w:val="16"/>
          <w:szCs w:val="16"/>
          <w:rtl/>
        </w:rPr>
        <w:t>(סי' לד)</w:t>
      </w:r>
      <w:r>
        <w:rPr>
          <w:rFonts w:cs="Arial"/>
          <w:rtl/>
        </w:rPr>
        <w:t xml:space="preserve"> דדוקא באביו ואחיו ורבו הוא דמהימן משום דשכיח גבייהו אבל על אחר לא</w:t>
      </w:r>
      <w:r>
        <w:rPr>
          <w:rFonts w:hint="cs"/>
          <w:rtl/>
        </w:rPr>
        <w:t xml:space="preserve"> עכ"ל. </w:t>
      </w:r>
      <w:r w:rsidRPr="00D00280">
        <w:rPr>
          <w:rFonts w:hint="cs"/>
          <w:sz w:val="16"/>
          <w:szCs w:val="16"/>
          <w:rtl/>
        </w:rPr>
        <w:t>(ויש מח' כיצד פסק בשו"ע ע"ש</w:t>
      </w:r>
      <w:r>
        <w:rPr>
          <w:rFonts w:hint="cs"/>
          <w:sz w:val="16"/>
          <w:szCs w:val="16"/>
          <w:rtl/>
        </w:rPr>
        <w:t>)</w:t>
      </w:r>
      <w:r>
        <w:rPr>
          <w:rFonts w:hint="cs"/>
          <w:rtl/>
        </w:rPr>
        <w:t xml:space="preserve"> </w:t>
      </w:r>
    </w:p>
  </w:footnote>
  <w:footnote w:id="2523">
    <w:p w14:paraId="1F669061" w14:textId="77777777" w:rsidR="0013116F" w:rsidRDefault="0013116F" w:rsidP="004B607F">
      <w:pPr>
        <w:pStyle w:val="a9"/>
      </w:pPr>
      <w:r>
        <w:rPr>
          <w:rStyle w:val="ab"/>
        </w:rPr>
        <w:footnoteRef/>
      </w:r>
      <w:r>
        <w:rPr>
          <w:rtl/>
        </w:rPr>
        <w:t xml:space="preserve"> </w:t>
      </w:r>
      <w:r w:rsidRPr="00D2669E">
        <w:rPr>
          <w:rFonts w:cs="Arial"/>
          <w:rtl/>
        </w:rPr>
        <w:t>והוא סימן שניסת בתולה וכתובתה מאתים כדאמרינן בריש פירקין</w:t>
      </w:r>
      <w:r>
        <w:rPr>
          <w:rFonts w:cs="Arial" w:hint="cs"/>
          <w:rtl/>
        </w:rPr>
        <w:t>, רש"י</w:t>
      </w:r>
      <w:r w:rsidRPr="00D2669E">
        <w:rPr>
          <w:rFonts w:cs="Arial"/>
          <w:rtl/>
        </w:rPr>
        <w:t>.</w:t>
      </w:r>
    </w:p>
  </w:footnote>
  <w:footnote w:id="2524">
    <w:p w14:paraId="3CBDA464" w14:textId="77777777" w:rsidR="0013116F" w:rsidRDefault="0013116F" w:rsidP="004B607F">
      <w:pPr>
        <w:pStyle w:val="a9"/>
      </w:pPr>
      <w:r>
        <w:rPr>
          <w:rStyle w:val="ab"/>
        </w:rPr>
        <w:footnoteRef/>
      </w:r>
      <w:r>
        <w:rPr>
          <w:rtl/>
        </w:rPr>
        <w:t xml:space="preserve"> </w:t>
      </w:r>
      <w:r w:rsidRPr="005376BD">
        <w:rPr>
          <w:rFonts w:cs="Arial"/>
          <w:rtl/>
        </w:rPr>
        <w:t>כשהיינו למידין תינוקות בבית רבן ובכולהו מפרש טעמא בגמרא</w:t>
      </w:r>
      <w:r>
        <w:rPr>
          <w:rFonts w:cs="Arial" w:hint="cs"/>
          <w:rtl/>
        </w:rPr>
        <w:t>, רש"י</w:t>
      </w:r>
      <w:r w:rsidRPr="005376BD">
        <w:rPr>
          <w:rFonts w:cs="Arial"/>
          <w:rtl/>
        </w:rPr>
        <w:t>.</w:t>
      </w:r>
    </w:p>
  </w:footnote>
  <w:footnote w:id="2525">
    <w:p w14:paraId="52587149" w14:textId="77777777" w:rsidR="0013116F" w:rsidRDefault="0013116F" w:rsidP="004B607F">
      <w:pPr>
        <w:pStyle w:val="a9"/>
      </w:pPr>
      <w:r>
        <w:rPr>
          <w:rStyle w:val="ab"/>
        </w:rPr>
        <w:footnoteRef/>
      </w:r>
      <w:r>
        <w:rPr>
          <w:rtl/>
        </w:rPr>
        <w:t xml:space="preserve"> </w:t>
      </w:r>
      <w:r w:rsidRPr="00D2669E">
        <w:rPr>
          <w:rFonts w:cs="Arial"/>
          <w:rtl/>
        </w:rPr>
        <w:t>מקום היה לו כאן להספיד מתיו כשמוליכן לבית קברות שלו ולעשות שם מעמדות ומושבות שהיו עושין שבעה למת</w:t>
      </w:r>
      <w:r>
        <w:rPr>
          <w:rFonts w:cs="Arial" w:hint="cs"/>
          <w:rtl/>
        </w:rPr>
        <w:t>, רש"י</w:t>
      </w:r>
      <w:r w:rsidRPr="00D2669E">
        <w:rPr>
          <w:rFonts w:cs="Arial"/>
          <w:rtl/>
        </w:rPr>
        <w:t>.</w:t>
      </w:r>
    </w:p>
  </w:footnote>
  <w:footnote w:id="2526">
    <w:p w14:paraId="25FED902" w14:textId="77777777" w:rsidR="0013116F" w:rsidRPr="00F36995" w:rsidRDefault="0013116F" w:rsidP="004B607F">
      <w:pPr>
        <w:pStyle w:val="a9"/>
        <w:rPr>
          <w:rFonts w:cs="Arial"/>
          <w:rtl/>
        </w:rPr>
      </w:pPr>
      <w:r>
        <w:rPr>
          <w:rStyle w:val="ab"/>
        </w:rPr>
        <w:footnoteRef/>
      </w:r>
      <w:r>
        <w:rPr>
          <w:rtl/>
        </w:rPr>
        <w:t xml:space="preserve"> </w:t>
      </w:r>
      <w:r>
        <w:rPr>
          <w:rFonts w:cs="Arial" w:hint="cs"/>
          <w:rtl/>
        </w:rPr>
        <w:t xml:space="preserve">היינו כשבא להעיד </w:t>
      </w:r>
      <w:r>
        <w:rPr>
          <w:rFonts w:cs="Arial"/>
          <w:rtl/>
        </w:rPr>
        <w:t>זה כתב ידו של אבא</w:t>
      </w:r>
      <w:r>
        <w:rPr>
          <w:rFonts w:cs="Arial" w:hint="cs"/>
          <w:rtl/>
        </w:rPr>
        <w:t xml:space="preserve">/רבו/אחיו, רא"ש </w:t>
      </w:r>
      <w:r w:rsidRPr="00A84E4D">
        <w:rPr>
          <w:rFonts w:cs="Arial" w:hint="cs"/>
          <w:sz w:val="14"/>
          <w:szCs w:val="14"/>
          <w:rtl/>
        </w:rPr>
        <w:t xml:space="preserve">(כ"כ הב"י בשמו) </w:t>
      </w:r>
      <w:r>
        <w:rPr>
          <w:rFonts w:cs="Arial" w:hint="cs"/>
          <w:rtl/>
        </w:rPr>
        <w:t>טור</w:t>
      </w:r>
      <w:r w:rsidRPr="00A84E4D">
        <w:rPr>
          <w:rFonts w:cs="Arial"/>
          <w:sz w:val="14"/>
          <w:szCs w:val="14"/>
          <w:rtl/>
        </w:rPr>
        <w:t xml:space="preserve"> </w:t>
      </w:r>
      <w:r>
        <w:rPr>
          <w:rFonts w:cs="Arial"/>
          <w:rtl/>
        </w:rPr>
        <w:t xml:space="preserve">ר"ן </w:t>
      </w:r>
      <w:r w:rsidRPr="00A84E4D">
        <w:rPr>
          <w:rFonts w:cs="Arial"/>
          <w:sz w:val="14"/>
          <w:szCs w:val="14"/>
          <w:rtl/>
        </w:rPr>
        <w:t>(יב: ד"ה גמ')</w:t>
      </w:r>
      <w:r>
        <w:rPr>
          <w:rFonts w:cs="Arial"/>
          <w:rtl/>
        </w:rPr>
        <w:t xml:space="preserve"> </w:t>
      </w:r>
      <w:r>
        <w:rPr>
          <w:rFonts w:cs="Arial" w:hint="cs"/>
          <w:rtl/>
        </w:rPr>
        <w:t xml:space="preserve">והה"מ </w:t>
      </w:r>
      <w:r w:rsidRPr="00A84E4D">
        <w:rPr>
          <w:rFonts w:cs="Arial" w:hint="cs"/>
          <w:sz w:val="14"/>
          <w:szCs w:val="14"/>
          <w:rtl/>
        </w:rPr>
        <w:t>(</w:t>
      </w:r>
      <w:r w:rsidRPr="00A84E4D">
        <w:rPr>
          <w:rFonts w:cs="Arial"/>
          <w:sz w:val="14"/>
          <w:szCs w:val="14"/>
          <w:rtl/>
        </w:rPr>
        <w:t>פ</w:t>
      </w:r>
      <w:r w:rsidRPr="00A84E4D">
        <w:rPr>
          <w:rFonts w:cs="Arial" w:hint="cs"/>
          <w:sz w:val="14"/>
          <w:szCs w:val="14"/>
          <w:rtl/>
        </w:rPr>
        <w:t>ט</w:t>
      </w:r>
      <w:r w:rsidRPr="00A84E4D">
        <w:rPr>
          <w:rFonts w:cs="Arial"/>
          <w:sz w:val="14"/>
          <w:szCs w:val="14"/>
          <w:rtl/>
        </w:rPr>
        <w:t>"</w:t>
      </w:r>
      <w:r w:rsidRPr="00A84E4D">
        <w:rPr>
          <w:rFonts w:cs="Arial" w:hint="cs"/>
          <w:sz w:val="14"/>
          <w:szCs w:val="14"/>
          <w:rtl/>
        </w:rPr>
        <w:t>ז</w:t>
      </w:r>
      <w:r w:rsidRPr="00A84E4D">
        <w:rPr>
          <w:rFonts w:cs="Arial"/>
          <w:sz w:val="14"/>
          <w:szCs w:val="14"/>
          <w:rtl/>
        </w:rPr>
        <w:t xml:space="preserve"> מהל</w:t>
      </w:r>
      <w:r w:rsidRPr="00A84E4D">
        <w:rPr>
          <w:rFonts w:cs="Arial" w:hint="cs"/>
          <w:sz w:val="14"/>
          <w:szCs w:val="14"/>
          <w:rtl/>
        </w:rPr>
        <w:t>'</w:t>
      </w:r>
      <w:r w:rsidRPr="00A84E4D">
        <w:rPr>
          <w:rFonts w:cs="Arial"/>
          <w:sz w:val="14"/>
          <w:szCs w:val="14"/>
          <w:rtl/>
        </w:rPr>
        <w:t xml:space="preserve"> אישות הכ"ה) </w:t>
      </w:r>
      <w:r>
        <w:rPr>
          <w:rFonts w:cs="Arial" w:hint="cs"/>
          <w:rtl/>
        </w:rPr>
        <w:t>בשם ה</w:t>
      </w:r>
      <w:r>
        <w:rPr>
          <w:rFonts w:cs="Arial"/>
          <w:rtl/>
        </w:rPr>
        <w:t xml:space="preserve">רמב"ם </w:t>
      </w:r>
      <w:r w:rsidRPr="00A84E4D">
        <w:rPr>
          <w:rFonts w:cs="Arial"/>
          <w:sz w:val="14"/>
          <w:szCs w:val="14"/>
          <w:rtl/>
        </w:rPr>
        <w:t>(עדות פ"ז ה"ב)</w:t>
      </w:r>
      <w:r>
        <w:rPr>
          <w:rFonts w:cs="Arial" w:hint="cs"/>
          <w:rtl/>
        </w:rPr>
        <w:t xml:space="preserve">. </w:t>
      </w:r>
      <w:r w:rsidRPr="006E5B54">
        <w:rPr>
          <w:rFonts w:cs="Arial" w:hint="cs"/>
          <w:color w:val="E36C0A" w:themeColor="accent6" w:themeShade="BF"/>
          <w:rtl/>
        </w:rPr>
        <w:t>(וכ"</w:t>
      </w:r>
      <w:r>
        <w:rPr>
          <w:rFonts w:cs="Arial" w:hint="cs"/>
          <w:color w:val="E36C0A" w:themeColor="accent6" w:themeShade="BF"/>
          <w:rtl/>
        </w:rPr>
        <w:t>פ</w:t>
      </w:r>
      <w:r w:rsidRPr="006E5B54">
        <w:rPr>
          <w:rFonts w:cs="Arial" w:hint="cs"/>
          <w:color w:val="E36C0A" w:themeColor="accent6" w:themeShade="BF"/>
          <w:rtl/>
        </w:rPr>
        <w:t xml:space="preserve"> בשו"ע</w:t>
      </w:r>
      <w:r>
        <w:rPr>
          <w:rFonts w:cs="Arial" w:hint="cs"/>
          <w:sz w:val="16"/>
          <w:szCs w:val="16"/>
          <w:rtl/>
        </w:rPr>
        <w:t xml:space="preserve"> [אהע"ז סי' צו סט"ו]</w:t>
      </w:r>
      <w:r w:rsidRPr="006E5B54">
        <w:rPr>
          <w:rFonts w:cs="Arial" w:hint="cs"/>
          <w:color w:val="E36C0A" w:themeColor="accent6" w:themeShade="BF"/>
          <w:rtl/>
        </w:rPr>
        <w:t>)</w:t>
      </w:r>
      <w:r>
        <w:rPr>
          <w:rFonts w:cs="Arial" w:hint="cs"/>
          <w:rtl/>
        </w:rPr>
        <w:t xml:space="preserve">. ולקמן יתבאר שנחלקו הראשונים אם דברי רב הונא חוזרים גם לגבי עדות קטן על היוצאת בהינומא. </w:t>
      </w:r>
    </w:p>
  </w:footnote>
  <w:footnote w:id="2527">
    <w:p w14:paraId="3CD7F340" w14:textId="77777777" w:rsidR="0013116F" w:rsidRDefault="0013116F" w:rsidP="004B607F">
      <w:pPr>
        <w:pStyle w:val="a9"/>
      </w:pPr>
      <w:r>
        <w:rPr>
          <w:rStyle w:val="ab"/>
        </w:rPr>
        <w:footnoteRef/>
      </w:r>
      <w:r>
        <w:rPr>
          <w:rtl/>
        </w:rPr>
        <w:t xml:space="preserve"> </w:t>
      </w:r>
      <w:r w:rsidRPr="00056108">
        <w:rPr>
          <w:rFonts w:hint="cs"/>
          <w:color w:val="FF0000"/>
          <w:rtl/>
        </w:rPr>
        <w:t xml:space="preserve">השו"ע בסימן זה לא הזכיר תנאי זה שצריך שיהא אחר גדול עמו. אמנם באבן העזר סי' צו סע' טו כתב כן </w:t>
      </w:r>
      <w:r w:rsidRPr="00056108">
        <w:rPr>
          <w:rFonts w:hint="cs"/>
          <w:color w:val="FF0000"/>
          <w:sz w:val="16"/>
          <w:szCs w:val="16"/>
          <w:rtl/>
        </w:rPr>
        <w:t>(לגבי עדות על בתולה)</w:t>
      </w:r>
      <w:r w:rsidRPr="00056108">
        <w:rPr>
          <w:rFonts w:hint="cs"/>
          <w:color w:val="FF0000"/>
          <w:rtl/>
        </w:rPr>
        <w:t>. וצל"ע מדוע</w:t>
      </w:r>
      <w:r>
        <w:rPr>
          <w:rFonts w:hint="cs"/>
          <w:rtl/>
        </w:rPr>
        <w:t>.</w:t>
      </w:r>
    </w:p>
  </w:footnote>
  <w:footnote w:id="2528">
    <w:p w14:paraId="439BA9B4" w14:textId="77777777" w:rsidR="0013116F" w:rsidRDefault="0013116F" w:rsidP="004B607F">
      <w:pPr>
        <w:pStyle w:val="a9"/>
      </w:pPr>
      <w:r>
        <w:rPr>
          <w:rStyle w:val="ab"/>
        </w:rPr>
        <w:footnoteRef/>
      </w:r>
      <w:r>
        <w:rPr>
          <w:rtl/>
        </w:rPr>
        <w:t xml:space="preserve"> </w:t>
      </w:r>
      <w:r>
        <w:rPr>
          <w:rFonts w:hint="cs"/>
          <w:rtl/>
        </w:rPr>
        <w:t xml:space="preserve">הב"י לא הביא את דברי הרמב"ם בזה, אמנם לפי מה שיתבאר לקמן יראה שהב"י חולק על דברי הטור </w:t>
      </w:r>
      <w:r w:rsidRPr="006E5B54">
        <w:rPr>
          <w:rFonts w:hint="cs"/>
          <w:sz w:val="16"/>
          <w:szCs w:val="16"/>
          <w:rtl/>
        </w:rPr>
        <w:t>(שהכשיר עדותו דוקא בג' המנויים במשנה ובגמ</w:t>
      </w:r>
      <w:r>
        <w:rPr>
          <w:rFonts w:hint="cs"/>
          <w:sz w:val="16"/>
          <w:szCs w:val="16"/>
          <w:rtl/>
        </w:rPr>
        <w:t>'</w:t>
      </w:r>
      <w:r w:rsidRPr="006E5B54">
        <w:rPr>
          <w:rFonts w:hint="cs"/>
          <w:sz w:val="16"/>
          <w:szCs w:val="16"/>
          <w:rtl/>
        </w:rPr>
        <w:t xml:space="preserve">, והב"י ס"ל דכל ככוותיה </w:t>
      </w:r>
      <w:r>
        <w:rPr>
          <w:rFonts w:hint="cs"/>
          <w:sz w:val="16"/>
          <w:szCs w:val="16"/>
          <w:rtl/>
        </w:rPr>
        <w:t xml:space="preserve">שמכיר את כתב ידו </w:t>
      </w:r>
      <w:r w:rsidRPr="006E5B54">
        <w:rPr>
          <w:rFonts w:hint="cs"/>
          <w:sz w:val="16"/>
          <w:szCs w:val="16"/>
          <w:rtl/>
        </w:rPr>
        <w:t xml:space="preserve">סומכים על עדותו) </w:t>
      </w:r>
      <w:r>
        <w:rPr>
          <w:rFonts w:hint="cs"/>
          <w:rtl/>
        </w:rPr>
        <w:t>לכן הבאתי את דברי הרמב"ם שסתם דבריו ואפשר שכן הבין הב"י בדבריו.</w:t>
      </w:r>
    </w:p>
  </w:footnote>
  <w:footnote w:id="2529">
    <w:p w14:paraId="45CA34DC" w14:textId="77777777" w:rsidR="0013116F" w:rsidRDefault="0013116F" w:rsidP="004B607F">
      <w:pPr>
        <w:pStyle w:val="a9"/>
        <w:rPr>
          <w:rtl/>
        </w:rPr>
      </w:pPr>
      <w:r>
        <w:rPr>
          <w:rStyle w:val="ab"/>
        </w:rPr>
        <w:footnoteRef/>
      </w:r>
      <w:r>
        <w:rPr>
          <w:rtl/>
        </w:rPr>
        <w:t xml:space="preserve"> </w:t>
      </w:r>
      <w:r>
        <w:rPr>
          <w:rFonts w:cs="Arial" w:hint="cs"/>
          <w:rtl/>
        </w:rPr>
        <w:t>בתנאי שיש אחר כשר שמצטרף לעדותו, שו"ע</w:t>
      </w:r>
      <w:r w:rsidRPr="0059549F">
        <w:rPr>
          <w:rFonts w:cs="Arial" w:hint="cs"/>
          <w:sz w:val="16"/>
          <w:szCs w:val="16"/>
          <w:rtl/>
        </w:rPr>
        <w:t xml:space="preserve"> (סי' מו סי"ז)</w:t>
      </w:r>
      <w:r>
        <w:rPr>
          <w:rFonts w:cs="Arial" w:hint="cs"/>
          <w:rtl/>
        </w:rPr>
        <w:t xml:space="preserve">. </w:t>
      </w:r>
      <w:r>
        <w:rPr>
          <w:rFonts w:hint="cs"/>
          <w:rtl/>
        </w:rPr>
        <w:t xml:space="preserve">כתב הסמ"ע </w:t>
      </w:r>
      <w:r w:rsidRPr="0059549F">
        <w:rPr>
          <w:rFonts w:hint="cs"/>
          <w:sz w:val="16"/>
          <w:szCs w:val="16"/>
          <w:rtl/>
        </w:rPr>
        <w:t>(סק"ט)</w:t>
      </w:r>
      <w:r>
        <w:rPr>
          <w:rFonts w:cs="Arial" w:hint="cs"/>
          <w:rtl/>
        </w:rPr>
        <w:t xml:space="preserve">- </w:t>
      </w:r>
      <w:r w:rsidRPr="003714DE">
        <w:rPr>
          <w:rFonts w:cs="Arial"/>
          <w:rtl/>
        </w:rPr>
        <w:t>בגמ</w:t>
      </w:r>
      <w:r>
        <w:rPr>
          <w:rFonts w:cs="Arial" w:hint="cs"/>
          <w:rtl/>
        </w:rPr>
        <w:t>'</w:t>
      </w:r>
      <w:r w:rsidRPr="003714DE">
        <w:rPr>
          <w:rFonts w:cs="Arial"/>
          <w:rtl/>
        </w:rPr>
        <w:t xml:space="preserve"> </w:t>
      </w:r>
      <w:r w:rsidRPr="0059549F">
        <w:rPr>
          <w:rFonts w:cs="Arial" w:hint="cs"/>
          <w:sz w:val="16"/>
          <w:szCs w:val="16"/>
          <w:rtl/>
        </w:rPr>
        <w:t>(</w:t>
      </w:r>
      <w:r w:rsidRPr="0059549F">
        <w:rPr>
          <w:rFonts w:cs="Arial"/>
          <w:sz w:val="16"/>
          <w:szCs w:val="16"/>
          <w:rtl/>
        </w:rPr>
        <w:t>כתובות כח</w:t>
      </w:r>
      <w:r w:rsidRPr="0059549F">
        <w:rPr>
          <w:rFonts w:cs="Arial" w:hint="cs"/>
          <w:sz w:val="16"/>
          <w:szCs w:val="16"/>
          <w:rtl/>
        </w:rPr>
        <w:t>.</w:t>
      </w:r>
      <w:r>
        <w:rPr>
          <w:rFonts w:cs="Arial" w:hint="cs"/>
          <w:sz w:val="16"/>
          <w:szCs w:val="16"/>
          <w:rtl/>
        </w:rPr>
        <w:t>)</w:t>
      </w:r>
      <w:r w:rsidRPr="003714DE">
        <w:rPr>
          <w:rFonts w:cs="Arial"/>
          <w:rtl/>
        </w:rPr>
        <w:t xml:space="preserve"> אמרו, ובטור הביאו, דהיינו דוקא כשיש עוד אחד עמו שראה כתיבת יד אביו בגדלותו, אז הימנוהו לזה הקטן שהגדיל להצטרף עמו אע</w:t>
      </w:r>
      <w:r>
        <w:rPr>
          <w:rFonts w:cs="Arial" w:hint="cs"/>
          <w:rtl/>
        </w:rPr>
        <w:t>"</w:t>
      </w:r>
      <w:r w:rsidRPr="003714DE">
        <w:rPr>
          <w:rFonts w:cs="Arial"/>
          <w:rtl/>
        </w:rPr>
        <w:t>פ שלא ראה כתיבת יד אביו או אחיו או רבו מעולם בגדלותו, כגון שמתו בעוד שהיה קטן. מיהו גם אותו גדול</w:t>
      </w:r>
      <w:r>
        <w:rPr>
          <w:rFonts w:cs="Arial" w:hint="cs"/>
          <w:rtl/>
        </w:rPr>
        <w:t>,</w:t>
      </w:r>
      <w:r w:rsidRPr="003714DE">
        <w:rPr>
          <w:rFonts w:cs="Arial"/>
          <w:rtl/>
        </w:rPr>
        <w:t xml:space="preserve"> אף שהוא קרוב לעדי השטר</w:t>
      </w:r>
      <w:r>
        <w:rPr>
          <w:rFonts w:cs="Arial" w:hint="cs"/>
          <w:rtl/>
        </w:rPr>
        <w:t xml:space="preserve"> -</w:t>
      </w:r>
      <w:r w:rsidRPr="003714DE">
        <w:rPr>
          <w:rFonts w:cs="Arial"/>
          <w:rtl/>
        </w:rPr>
        <w:t xml:space="preserve"> מקיימין על פיו, רק שלא יהיו עדי הקיום קרובים זה לזה, עיין פרישה. ודוקא כשאביו ואינך חתומים בעדים על השטר, דמן התורה הו"ל כנחקרה עדותן בב"ד ורבנן הצריכו לקיים השטר, בזה דוקא הימנוהו אפילו להוציא ממון על ידו, אבל כשאביו או אחיו הם בעלי דבר שהתחייבו נפשם בכתיבת ידם לשלם לפלוני סך ממון או ענין אחר, אז ודאי אין בנו נאמן להעיד על חתימת אביו או אחיו, לא מיבעיא קטן שהגדיל, אלא אפילו אמר שראה חתימת אביו זו בגדלותו, אינו נאמן, דהו"ל בכלל לא יומתו אבות בעדות בנים, כמ"ש בסימן ל"ג [סעיף ב' ובסמ"ע שם סק"ב], דכיון דאין חתימתו ניכרת הו"ל כמעיד עליו בעל פה והכתב יד כמאן דליתא דמי</w:t>
      </w:r>
      <w:r>
        <w:rPr>
          <w:rFonts w:hint="cs"/>
          <w:rtl/>
        </w:rPr>
        <w:t>.</w:t>
      </w:r>
    </w:p>
  </w:footnote>
  <w:footnote w:id="2530">
    <w:p w14:paraId="795AA6EC" w14:textId="77777777" w:rsidR="0013116F" w:rsidRPr="00094049" w:rsidRDefault="0013116F" w:rsidP="004B607F">
      <w:pPr>
        <w:pStyle w:val="a9"/>
        <w:rPr>
          <w:rFonts w:cs="Arial"/>
        </w:rPr>
      </w:pPr>
      <w:r>
        <w:rPr>
          <w:rStyle w:val="ab"/>
        </w:rPr>
        <w:footnoteRef/>
      </w:r>
      <w:r>
        <w:rPr>
          <w:rtl/>
        </w:rPr>
        <w:t xml:space="preserve"> </w:t>
      </w:r>
      <w:r>
        <w:rPr>
          <w:rFonts w:hint="cs"/>
          <w:rtl/>
        </w:rPr>
        <w:t xml:space="preserve">זו דעת הרא"ש, וכתב הסמ"ע </w:t>
      </w:r>
      <w:r w:rsidRPr="00D00280">
        <w:rPr>
          <w:rFonts w:hint="cs"/>
          <w:sz w:val="16"/>
          <w:szCs w:val="16"/>
          <w:rtl/>
        </w:rPr>
        <w:t>(סק"י, ובסי' טז סק"ח)</w:t>
      </w:r>
      <w:r>
        <w:rPr>
          <w:rFonts w:hint="cs"/>
          <w:rtl/>
        </w:rPr>
        <w:t xml:space="preserve"> </w:t>
      </w:r>
      <w:r w:rsidRPr="00D00280">
        <w:rPr>
          <w:rFonts w:cs="Arial"/>
          <w:rtl/>
        </w:rPr>
        <w:t>דאף שכתב המחבר בלשון ויש מי שאומר, אין בו פלוגתא</w:t>
      </w:r>
      <w:r>
        <w:rPr>
          <w:rFonts w:cs="Arial" w:hint="cs"/>
          <w:rtl/>
        </w:rPr>
        <w:t>.</w:t>
      </w:r>
      <w:r>
        <w:rPr>
          <w:rFonts w:hint="cs"/>
          <w:rtl/>
        </w:rPr>
        <w:t xml:space="preserve"> עכ"ל. אך הש"ך (סק"ד) כתב </w:t>
      </w:r>
      <w:r>
        <w:rPr>
          <w:rFonts w:cs="Arial" w:hint="cs"/>
          <w:rtl/>
        </w:rPr>
        <w:t>ד</w:t>
      </w:r>
      <w:r w:rsidRPr="006B2553">
        <w:rPr>
          <w:rFonts w:cs="Arial"/>
          <w:rtl/>
        </w:rPr>
        <w:t>אישתמיטתיה דברי הרב בבדק הבית סי</w:t>
      </w:r>
      <w:r>
        <w:rPr>
          <w:rFonts w:cs="Arial" w:hint="cs"/>
          <w:rtl/>
        </w:rPr>
        <w:t>'</w:t>
      </w:r>
      <w:r w:rsidRPr="006B2553">
        <w:rPr>
          <w:rFonts w:cs="Arial"/>
          <w:rtl/>
        </w:rPr>
        <w:t xml:space="preserve"> מ</w:t>
      </w:r>
      <w:r>
        <w:rPr>
          <w:rFonts w:cs="Arial" w:hint="cs"/>
          <w:rtl/>
        </w:rPr>
        <w:t>"</w:t>
      </w:r>
      <w:r w:rsidRPr="006B2553">
        <w:rPr>
          <w:rFonts w:cs="Arial"/>
          <w:rtl/>
        </w:rPr>
        <w:t>ו סל</w:t>
      </w:r>
      <w:r>
        <w:rPr>
          <w:rFonts w:cs="Arial" w:hint="cs"/>
          <w:rtl/>
        </w:rPr>
        <w:t>"</w:t>
      </w:r>
      <w:r w:rsidRPr="006B2553">
        <w:rPr>
          <w:rFonts w:cs="Arial"/>
          <w:rtl/>
        </w:rPr>
        <w:t>ב</w:t>
      </w:r>
      <w:r>
        <w:rPr>
          <w:rFonts w:cs="Arial" w:hint="cs"/>
          <w:rtl/>
        </w:rPr>
        <w:t xml:space="preserve">. דשם בסי' מ"ו כתב הטור כמו שכתב כאן </w:t>
      </w:r>
      <w:r w:rsidRPr="006E5B54">
        <w:rPr>
          <w:rFonts w:cs="Arial" w:hint="cs"/>
          <w:sz w:val="16"/>
          <w:szCs w:val="16"/>
          <w:rtl/>
        </w:rPr>
        <w:t>(וז"ל הטור שם-</w:t>
      </w:r>
      <w:r>
        <w:rPr>
          <w:rFonts w:cs="Arial" w:hint="cs"/>
          <w:sz w:val="16"/>
          <w:szCs w:val="16"/>
          <w:rtl/>
        </w:rPr>
        <w:t xml:space="preserve"> </w:t>
      </w:r>
      <w:r w:rsidRPr="006E5B54">
        <w:rPr>
          <w:rFonts w:cs="Arial"/>
          <w:sz w:val="16"/>
          <w:szCs w:val="16"/>
          <w:rtl/>
        </w:rPr>
        <w:t>אפילו מת האב בעוד הבן קטן יכול להעיד על חתימת אביו אחר שיגדיל להצטרף עם אחר כשר וכן יכול להעיד על כתב יד אחיו או על כתב יד רבו שהכיר בקטנותו ודוקא אלו</w:t>
      </w:r>
      <w:r>
        <w:rPr>
          <w:rFonts w:cs="Arial" w:hint="cs"/>
          <w:sz w:val="16"/>
          <w:szCs w:val="16"/>
          <w:rtl/>
        </w:rPr>
        <w:t>,</w:t>
      </w:r>
      <w:r w:rsidRPr="006E5B54">
        <w:rPr>
          <w:rFonts w:cs="Arial"/>
          <w:sz w:val="16"/>
          <w:szCs w:val="16"/>
          <w:rtl/>
        </w:rPr>
        <w:t xml:space="preserve"> שרגיל עמהן</w:t>
      </w:r>
      <w:r>
        <w:rPr>
          <w:rFonts w:cs="Arial" w:hint="cs"/>
          <w:sz w:val="16"/>
          <w:szCs w:val="16"/>
          <w:rtl/>
        </w:rPr>
        <w:t>,</w:t>
      </w:r>
      <w:r w:rsidRPr="006E5B54">
        <w:rPr>
          <w:rFonts w:cs="Arial"/>
          <w:sz w:val="16"/>
          <w:szCs w:val="16"/>
          <w:rtl/>
        </w:rPr>
        <w:t xml:space="preserve"> אבל על כתב יד אחר אינו נאמן להעיד בגדלו שהכיר אותו בקטנותו</w:t>
      </w:r>
      <w:r w:rsidRPr="006E5B54">
        <w:rPr>
          <w:rFonts w:cs="Arial" w:hint="cs"/>
          <w:sz w:val="16"/>
          <w:szCs w:val="16"/>
          <w:rtl/>
        </w:rPr>
        <w:t>)</w:t>
      </w:r>
      <w:r>
        <w:rPr>
          <w:rFonts w:cs="Arial" w:hint="cs"/>
          <w:rtl/>
        </w:rPr>
        <w:t xml:space="preserve"> וכתב הב"י שם על דבריו וז"ל- </w:t>
      </w:r>
      <w:r w:rsidRPr="00094049">
        <w:rPr>
          <w:rFonts w:cs="Arial"/>
          <w:rtl/>
        </w:rPr>
        <w:t>ומ"ש רבינו ודוקא אלו שרגיל עמהם וכו'</w:t>
      </w:r>
      <w:r>
        <w:rPr>
          <w:rFonts w:cs="Arial" w:hint="cs"/>
          <w:rtl/>
        </w:rPr>
        <w:t xml:space="preserve"> -</w:t>
      </w:r>
      <w:r w:rsidRPr="00094049">
        <w:rPr>
          <w:rFonts w:cs="Arial"/>
          <w:rtl/>
        </w:rPr>
        <w:t xml:space="preserve"> כך כתב הרא"ש בפרק הנזכר (סי' לד)</w:t>
      </w:r>
      <w:r>
        <w:rPr>
          <w:rFonts w:cs="Arial" w:hint="cs"/>
          <w:rtl/>
        </w:rPr>
        <w:t>,</w:t>
      </w:r>
      <w:r w:rsidRPr="00094049">
        <w:rPr>
          <w:rFonts w:cs="Arial"/>
          <w:rtl/>
        </w:rPr>
        <w:t xml:space="preserve"> והכי נמי אמרינן בירושלמי (שם ה"י) תני ובלבד דברים שרגילים בהם</w:t>
      </w:r>
      <w:r>
        <w:rPr>
          <w:rFonts w:cs="Arial" w:hint="cs"/>
          <w:rtl/>
        </w:rPr>
        <w:t>,</w:t>
      </w:r>
      <w:r w:rsidRPr="00094049">
        <w:rPr>
          <w:rFonts w:cs="Arial"/>
          <w:rtl/>
        </w:rPr>
        <w:t xml:space="preserve"> כלומר דאלו השלשה שהוא תמיד מצוי ורגיל אצלם</w:t>
      </w:r>
      <w:r>
        <w:rPr>
          <w:rFonts w:cs="Arial" w:hint="cs"/>
          <w:rtl/>
        </w:rPr>
        <w:t>,</w:t>
      </w:r>
      <w:r w:rsidRPr="00094049">
        <w:rPr>
          <w:rFonts w:cs="Arial"/>
          <w:rtl/>
        </w:rPr>
        <w:t xml:space="preserve"> אבל באיניש דעלמא אפילו אם היה רגיל אצלו אינו חשוב רגילות</w:t>
      </w:r>
      <w:r>
        <w:rPr>
          <w:rFonts w:cs="Arial" w:hint="cs"/>
          <w:rtl/>
        </w:rPr>
        <w:t>,</w:t>
      </w:r>
      <w:r w:rsidRPr="00094049">
        <w:rPr>
          <w:rFonts w:cs="Arial"/>
          <w:rtl/>
        </w:rPr>
        <w:t xml:space="preserve"> ע</w:t>
      </w:r>
      <w:r>
        <w:rPr>
          <w:rFonts w:cs="Arial" w:hint="cs"/>
          <w:rtl/>
        </w:rPr>
        <w:t>כ"ל</w:t>
      </w:r>
      <w:r w:rsidRPr="00094049">
        <w:rPr>
          <w:rFonts w:cs="Arial"/>
          <w:rtl/>
        </w:rPr>
        <w:t xml:space="preserve"> הרא"ש ז"ל</w:t>
      </w:r>
      <w:r>
        <w:rPr>
          <w:rFonts w:cs="Arial" w:hint="cs"/>
          <w:rtl/>
        </w:rPr>
        <w:t>.</w:t>
      </w:r>
      <w:r w:rsidRPr="00094049">
        <w:rPr>
          <w:rFonts w:cs="Arial"/>
          <w:rtl/>
        </w:rPr>
        <w:t xml:space="preserve"> [בדק הבית] והפוסקים השמיטו זה הירושלמי משום דבתלמודא דידן לא חילק בכך אלמא לא סבירא ליה הכי</w:t>
      </w:r>
      <w:r>
        <w:rPr>
          <w:rFonts w:cs="Arial" w:hint="cs"/>
          <w:rtl/>
        </w:rPr>
        <w:t>,</w:t>
      </w:r>
      <w:r w:rsidRPr="00094049">
        <w:rPr>
          <w:rFonts w:cs="Arial"/>
          <w:rtl/>
        </w:rPr>
        <w:t xml:space="preserve"> או שהם מפרשים זה הירושלמי בענין אחר [עד כאן]</w:t>
      </w:r>
      <w:r>
        <w:rPr>
          <w:rFonts w:cs="Arial" w:hint="cs"/>
          <w:rtl/>
        </w:rPr>
        <w:t>. עכ"ל הב"י. משמע מדבריו דלא סבירא ליה כדברי הרא"ש והטור.</w:t>
      </w:r>
    </w:p>
  </w:footnote>
  <w:footnote w:id="2531">
    <w:p w14:paraId="25C2A51F" w14:textId="77777777" w:rsidR="0013116F" w:rsidRDefault="0013116F" w:rsidP="004B607F">
      <w:pPr>
        <w:pStyle w:val="a9"/>
        <w:rPr>
          <w:rtl/>
        </w:rPr>
      </w:pPr>
      <w:r>
        <w:rPr>
          <w:rStyle w:val="ab"/>
        </w:rPr>
        <w:footnoteRef/>
      </w:r>
      <w:r>
        <w:rPr>
          <w:rtl/>
        </w:rPr>
        <w:t xml:space="preserve"> </w:t>
      </w:r>
      <w:r>
        <w:rPr>
          <w:rFonts w:hint="cs"/>
          <w:rtl/>
        </w:rPr>
        <w:t xml:space="preserve">סימן </w:t>
      </w:r>
      <w:r>
        <w:rPr>
          <w:rtl/>
        </w:rPr>
        <w:t>–</w:t>
      </w:r>
      <w:r>
        <w:rPr>
          <w:rFonts w:hint="cs"/>
          <w:rtl/>
        </w:rPr>
        <w:t xml:space="preserve"> כתב חרוט. כלה חרוטה. כהן חרוט. וכן </w:t>
      </w:r>
      <w:r>
        <w:rPr>
          <w:rtl/>
        </w:rPr>
        <w:t>–</w:t>
      </w:r>
      <w:r>
        <w:rPr>
          <w:rFonts w:hint="cs"/>
          <w:rtl/>
        </w:rPr>
        <w:t xml:space="preserve"> כשהוא חרג'וק</w:t>
      </w:r>
      <w:r>
        <w:rPr>
          <w:rFonts w:hint="cs"/>
          <w:sz w:val="16"/>
          <w:szCs w:val="16"/>
          <w:rtl/>
        </w:rPr>
        <w:t xml:space="preserve"> {היינו קטן}</w:t>
      </w:r>
      <w:r>
        <w:rPr>
          <w:rFonts w:hint="cs"/>
          <w:rtl/>
        </w:rPr>
        <w:t>.</w:t>
      </w:r>
    </w:p>
  </w:footnote>
  <w:footnote w:id="2532">
    <w:p w14:paraId="374553A1" w14:textId="77777777" w:rsidR="0013116F" w:rsidRDefault="0013116F" w:rsidP="004B607F">
      <w:pPr>
        <w:pStyle w:val="a9"/>
      </w:pPr>
      <w:r>
        <w:rPr>
          <w:rStyle w:val="ab"/>
        </w:rPr>
        <w:footnoteRef/>
      </w:r>
      <w:r>
        <w:rPr>
          <w:rtl/>
        </w:rPr>
        <w:t xml:space="preserve"> </w:t>
      </w:r>
      <w:r w:rsidRPr="00D2669E">
        <w:rPr>
          <w:rFonts w:cs="Arial"/>
          <w:rtl/>
        </w:rPr>
        <w:t>והוא סימן שניסת בתולה וכתובתה מאתים כדאמרינן בריש פירקין</w:t>
      </w:r>
      <w:r>
        <w:rPr>
          <w:rFonts w:cs="Arial" w:hint="cs"/>
          <w:rtl/>
        </w:rPr>
        <w:t>, רש"י</w:t>
      </w:r>
      <w:r w:rsidRPr="00D2669E">
        <w:rPr>
          <w:rFonts w:cs="Arial"/>
          <w:rtl/>
        </w:rPr>
        <w:t>.</w:t>
      </w:r>
    </w:p>
  </w:footnote>
  <w:footnote w:id="2533">
    <w:p w14:paraId="79A61842" w14:textId="77777777" w:rsidR="0013116F" w:rsidRDefault="0013116F" w:rsidP="004B607F">
      <w:pPr>
        <w:pStyle w:val="a9"/>
        <w:rPr>
          <w:rFonts w:cs="Arial"/>
          <w:rtl/>
        </w:rPr>
      </w:pPr>
      <w:r>
        <w:rPr>
          <w:rStyle w:val="ab"/>
        </w:rPr>
        <w:footnoteRef/>
      </w:r>
      <w:r>
        <w:rPr>
          <w:rtl/>
        </w:rPr>
        <w:t xml:space="preserve"> </w:t>
      </w:r>
      <w:r w:rsidRPr="00A84E4D">
        <w:rPr>
          <w:rFonts w:hint="cs"/>
          <w:u w:val="single"/>
          <w:rtl/>
        </w:rPr>
        <w:t>על מה דברי רב הונא חוזרים:</w:t>
      </w:r>
    </w:p>
    <w:p w14:paraId="73FD94D5" w14:textId="77777777" w:rsidR="0013116F" w:rsidRPr="00A84E4D" w:rsidRDefault="0013116F" w:rsidP="004B0475">
      <w:pPr>
        <w:pStyle w:val="a9"/>
        <w:numPr>
          <w:ilvl w:val="0"/>
          <w:numId w:val="98"/>
        </w:numPr>
      </w:pPr>
      <w:r>
        <w:rPr>
          <w:rFonts w:cs="Arial" w:hint="cs"/>
          <w:rtl/>
        </w:rPr>
        <w:t xml:space="preserve">רא"ש </w:t>
      </w:r>
      <w:r w:rsidRPr="00A84E4D">
        <w:rPr>
          <w:rFonts w:cs="Arial" w:hint="cs"/>
          <w:sz w:val="14"/>
          <w:szCs w:val="14"/>
          <w:rtl/>
        </w:rPr>
        <w:t xml:space="preserve">(כ"כ הב"י בשמו) </w:t>
      </w:r>
      <w:r>
        <w:rPr>
          <w:rFonts w:cs="Arial" w:hint="cs"/>
          <w:rtl/>
        </w:rPr>
        <w:t>טור ו</w:t>
      </w:r>
      <w:r>
        <w:rPr>
          <w:rFonts w:cs="Arial"/>
          <w:rtl/>
        </w:rPr>
        <w:t xml:space="preserve">ר"ן </w:t>
      </w:r>
      <w:r w:rsidRPr="00A84E4D">
        <w:rPr>
          <w:rFonts w:cs="Arial"/>
          <w:sz w:val="14"/>
          <w:szCs w:val="14"/>
          <w:rtl/>
        </w:rPr>
        <w:t>(יב: ד"ה גמ')</w:t>
      </w:r>
      <w:r>
        <w:rPr>
          <w:rFonts w:cs="Arial" w:hint="cs"/>
          <w:rtl/>
        </w:rPr>
        <w:t xml:space="preserve">- </w:t>
      </w:r>
      <w:r>
        <w:rPr>
          <w:rFonts w:cs="Arial"/>
          <w:rtl/>
        </w:rPr>
        <w:t>לאו אכולה מתניתין קאי אלא אזה כתב ידו של אבא ויצאת בהינומא</w:t>
      </w:r>
      <w:r>
        <w:rPr>
          <w:rFonts w:cs="Arial" w:hint="cs"/>
          <w:sz w:val="14"/>
          <w:szCs w:val="14"/>
          <w:rtl/>
        </w:rPr>
        <w:t xml:space="preserve"> (ל' הר"ן)</w:t>
      </w:r>
      <w:r>
        <w:rPr>
          <w:rFonts w:cs="Arial" w:hint="cs"/>
          <w:rtl/>
        </w:rPr>
        <w:t>.</w:t>
      </w:r>
      <w:r>
        <w:rPr>
          <w:rFonts w:cs="Arial"/>
          <w:rtl/>
        </w:rPr>
        <w:t xml:space="preserve"> </w:t>
      </w:r>
      <w:r w:rsidRPr="006E5B54">
        <w:rPr>
          <w:rFonts w:cs="Arial" w:hint="cs"/>
          <w:color w:val="E36C0A" w:themeColor="accent6" w:themeShade="BF"/>
          <w:rtl/>
        </w:rPr>
        <w:t>(וכ"</w:t>
      </w:r>
      <w:r>
        <w:rPr>
          <w:rFonts w:cs="Arial" w:hint="cs"/>
          <w:color w:val="E36C0A" w:themeColor="accent6" w:themeShade="BF"/>
          <w:rtl/>
        </w:rPr>
        <w:t>פ</w:t>
      </w:r>
      <w:r w:rsidRPr="006E5B54">
        <w:rPr>
          <w:rFonts w:cs="Arial" w:hint="cs"/>
          <w:color w:val="E36C0A" w:themeColor="accent6" w:themeShade="BF"/>
          <w:rtl/>
        </w:rPr>
        <w:t xml:space="preserve"> בשו"ע</w:t>
      </w:r>
      <w:r>
        <w:rPr>
          <w:rFonts w:cs="Arial" w:hint="cs"/>
          <w:sz w:val="16"/>
          <w:szCs w:val="16"/>
          <w:rtl/>
        </w:rPr>
        <w:t xml:space="preserve"> [אהע"ז סי' צו סט"ו]</w:t>
      </w:r>
      <w:r w:rsidRPr="006E5B54">
        <w:rPr>
          <w:rFonts w:cs="Arial" w:hint="cs"/>
          <w:color w:val="E36C0A" w:themeColor="accent6" w:themeShade="BF"/>
          <w:rtl/>
        </w:rPr>
        <w:t>)</w:t>
      </w:r>
    </w:p>
    <w:p w14:paraId="6243AF21" w14:textId="77777777" w:rsidR="0013116F" w:rsidRDefault="0013116F" w:rsidP="004B0475">
      <w:pPr>
        <w:pStyle w:val="a9"/>
        <w:numPr>
          <w:ilvl w:val="0"/>
          <w:numId w:val="98"/>
        </w:numPr>
        <w:rPr>
          <w:rtl/>
        </w:rPr>
      </w:pPr>
      <w:r>
        <w:rPr>
          <w:rFonts w:cs="Arial"/>
          <w:rtl/>
        </w:rPr>
        <w:t xml:space="preserve">רמב"ם </w:t>
      </w:r>
      <w:r w:rsidRPr="00A84E4D">
        <w:rPr>
          <w:rFonts w:cs="Arial"/>
          <w:sz w:val="14"/>
          <w:szCs w:val="14"/>
          <w:rtl/>
        </w:rPr>
        <w:t>(עדות פ"ז ה"ב</w:t>
      </w:r>
      <w:r>
        <w:rPr>
          <w:rFonts w:cs="Arial" w:hint="cs"/>
          <w:sz w:val="14"/>
          <w:szCs w:val="14"/>
          <w:rtl/>
        </w:rPr>
        <w:t>, כ"כ הה"מ בשמו [</w:t>
      </w:r>
      <w:r w:rsidRPr="00A84E4D">
        <w:rPr>
          <w:rFonts w:cs="Arial"/>
          <w:sz w:val="14"/>
          <w:szCs w:val="14"/>
          <w:rtl/>
        </w:rPr>
        <w:t>פ</w:t>
      </w:r>
      <w:r w:rsidRPr="00A84E4D">
        <w:rPr>
          <w:rFonts w:cs="Arial" w:hint="cs"/>
          <w:sz w:val="14"/>
          <w:szCs w:val="14"/>
          <w:rtl/>
        </w:rPr>
        <w:t>ט</w:t>
      </w:r>
      <w:r w:rsidRPr="00A84E4D">
        <w:rPr>
          <w:rFonts w:cs="Arial"/>
          <w:sz w:val="14"/>
          <w:szCs w:val="14"/>
          <w:rtl/>
        </w:rPr>
        <w:t>"</w:t>
      </w:r>
      <w:r w:rsidRPr="00A84E4D">
        <w:rPr>
          <w:rFonts w:cs="Arial" w:hint="cs"/>
          <w:sz w:val="14"/>
          <w:szCs w:val="14"/>
          <w:rtl/>
        </w:rPr>
        <w:t>ז</w:t>
      </w:r>
      <w:r w:rsidRPr="00A84E4D">
        <w:rPr>
          <w:rFonts w:cs="Arial"/>
          <w:sz w:val="14"/>
          <w:szCs w:val="14"/>
          <w:rtl/>
        </w:rPr>
        <w:t xml:space="preserve"> מהל</w:t>
      </w:r>
      <w:r w:rsidRPr="00A84E4D">
        <w:rPr>
          <w:rFonts w:cs="Arial" w:hint="cs"/>
          <w:sz w:val="14"/>
          <w:szCs w:val="14"/>
          <w:rtl/>
        </w:rPr>
        <w:t>'</w:t>
      </w:r>
      <w:r w:rsidRPr="00A84E4D">
        <w:rPr>
          <w:rFonts w:cs="Arial"/>
          <w:sz w:val="14"/>
          <w:szCs w:val="14"/>
          <w:rtl/>
        </w:rPr>
        <w:t xml:space="preserve"> אישות הכ"ה</w:t>
      </w:r>
      <w:r>
        <w:rPr>
          <w:rFonts w:cs="Arial" w:hint="cs"/>
          <w:sz w:val="14"/>
          <w:szCs w:val="14"/>
          <w:rtl/>
        </w:rPr>
        <w:t>]</w:t>
      </w:r>
      <w:r w:rsidRPr="00A84E4D">
        <w:rPr>
          <w:rFonts w:cs="Arial"/>
          <w:sz w:val="14"/>
          <w:szCs w:val="14"/>
          <w:rtl/>
        </w:rPr>
        <w:t>)</w:t>
      </w:r>
      <w:r>
        <w:rPr>
          <w:rFonts w:cs="Arial" w:hint="cs"/>
          <w:rtl/>
        </w:rPr>
        <w:t>-</w:t>
      </w:r>
      <w:r>
        <w:rPr>
          <w:rFonts w:cs="Arial"/>
          <w:rtl/>
        </w:rPr>
        <w:t xml:space="preserve"> לא קאי אלא אזה כתב ידו של אבא</w:t>
      </w:r>
      <w:r>
        <w:rPr>
          <w:rFonts w:cs="Arial" w:hint="cs"/>
          <w:rtl/>
        </w:rPr>
        <w:t>.</w:t>
      </w:r>
    </w:p>
  </w:footnote>
  <w:footnote w:id="2534">
    <w:p w14:paraId="59A279A6" w14:textId="77777777" w:rsidR="0013116F" w:rsidRDefault="0013116F" w:rsidP="004B607F">
      <w:pPr>
        <w:pStyle w:val="a9"/>
      </w:pPr>
      <w:r>
        <w:rPr>
          <w:rStyle w:val="ab"/>
        </w:rPr>
        <w:footnoteRef/>
      </w:r>
      <w:r>
        <w:rPr>
          <w:rtl/>
        </w:rPr>
        <w:t xml:space="preserve"> </w:t>
      </w:r>
      <w:r w:rsidRPr="00D2669E">
        <w:rPr>
          <w:rFonts w:cs="Arial"/>
          <w:rtl/>
        </w:rPr>
        <w:t>כלומר אין הדבר צריך עדות אלא לפרסם שיצא הדין לאור בלא גמגום</w:t>
      </w:r>
      <w:r>
        <w:rPr>
          <w:rFonts w:cs="Arial" w:hint="cs"/>
          <w:rtl/>
        </w:rPr>
        <w:t>, רש"י</w:t>
      </w:r>
      <w:r w:rsidRPr="00D2669E">
        <w:rPr>
          <w:rFonts w:cs="Arial"/>
          <w:rtl/>
        </w:rPr>
        <w:t>.</w:t>
      </w:r>
    </w:p>
  </w:footnote>
  <w:footnote w:id="2535">
    <w:p w14:paraId="4921CE63" w14:textId="77777777" w:rsidR="0013116F" w:rsidRDefault="0013116F" w:rsidP="004B607F">
      <w:pPr>
        <w:pStyle w:val="a9"/>
      </w:pPr>
      <w:r>
        <w:rPr>
          <w:rStyle w:val="ab"/>
        </w:rPr>
        <w:footnoteRef/>
      </w:r>
      <w:r>
        <w:rPr>
          <w:rtl/>
        </w:rPr>
        <w:t xml:space="preserve"> </w:t>
      </w:r>
      <w:r w:rsidRPr="00D2669E">
        <w:rPr>
          <w:rFonts w:cs="Arial"/>
          <w:rtl/>
        </w:rPr>
        <w:t>החורש את הקבר הרי זה עושה בית הפרס מאה אמה שכך שיערו שהמחרישה מולכת את עצמות המת ודלמא נגע או הסיט המהלך בו את עצם כשעורה שמטמא במגע ובמשא</w:t>
      </w:r>
      <w:r>
        <w:rPr>
          <w:rFonts w:cs="Arial" w:hint="cs"/>
          <w:rtl/>
        </w:rPr>
        <w:t>, רש"י</w:t>
      </w:r>
      <w:r w:rsidRPr="00D2669E">
        <w:rPr>
          <w:rFonts w:cs="Arial"/>
          <w:rtl/>
        </w:rPr>
        <w:t>.</w:t>
      </w:r>
    </w:p>
  </w:footnote>
  <w:footnote w:id="2536">
    <w:p w14:paraId="30F79A30" w14:textId="77777777" w:rsidR="0013116F" w:rsidRDefault="0013116F" w:rsidP="004B607F">
      <w:pPr>
        <w:pStyle w:val="a9"/>
      </w:pPr>
      <w:r>
        <w:rPr>
          <w:rStyle w:val="ab"/>
        </w:rPr>
        <w:footnoteRef/>
      </w:r>
      <w:r>
        <w:rPr>
          <w:rtl/>
        </w:rPr>
        <w:t xml:space="preserve"> </w:t>
      </w:r>
      <w:r w:rsidRPr="00D2669E">
        <w:rPr>
          <w:rFonts w:cs="Arial"/>
          <w:rtl/>
        </w:rPr>
        <w:t>וסומך על כך שאם יש עצם רואהו</w:t>
      </w:r>
      <w:r>
        <w:rPr>
          <w:rFonts w:cs="Arial" w:hint="cs"/>
          <w:rtl/>
        </w:rPr>
        <w:t>,</w:t>
      </w:r>
      <w:r w:rsidRPr="00D2669E">
        <w:rPr>
          <w:rFonts w:cs="Arial"/>
          <w:rtl/>
        </w:rPr>
        <w:t xml:space="preserve"> ואע</w:t>
      </w:r>
      <w:r>
        <w:rPr>
          <w:rFonts w:cs="Arial" w:hint="cs"/>
          <w:rtl/>
        </w:rPr>
        <w:t>"</w:t>
      </w:r>
      <w:r w:rsidRPr="00D2669E">
        <w:rPr>
          <w:rFonts w:cs="Arial"/>
          <w:rtl/>
        </w:rPr>
        <w:t xml:space="preserve">ג דמאהיל </w:t>
      </w:r>
      <w:r>
        <w:rPr>
          <w:rFonts w:cs="Arial" w:hint="cs"/>
          <w:rtl/>
        </w:rPr>
        <w:t xml:space="preserve">- </w:t>
      </w:r>
      <w:r w:rsidRPr="00D2669E">
        <w:rPr>
          <w:rFonts w:cs="Arial"/>
          <w:rtl/>
        </w:rPr>
        <w:t>לא חיישינן</w:t>
      </w:r>
      <w:r>
        <w:rPr>
          <w:rFonts w:cs="Arial" w:hint="cs"/>
          <w:rtl/>
        </w:rPr>
        <w:t>,</w:t>
      </w:r>
      <w:r w:rsidRPr="00D2669E">
        <w:rPr>
          <w:rFonts w:cs="Arial"/>
          <w:rtl/>
        </w:rPr>
        <w:t xml:space="preserve"> דאין עצם כשעורה מטמא באהל עד דאיכא שדרה או גולגולת שלמה או רוב בנין או רוב מנין</w:t>
      </w:r>
      <w:r>
        <w:rPr>
          <w:rFonts w:cs="Arial" w:hint="cs"/>
          <w:rtl/>
        </w:rPr>
        <w:t>, רש"י</w:t>
      </w:r>
      <w:r w:rsidRPr="00D2669E">
        <w:rPr>
          <w:rFonts w:cs="Arial"/>
          <w:rtl/>
        </w:rPr>
        <w:t>.</w:t>
      </w:r>
    </w:p>
  </w:footnote>
  <w:footnote w:id="2537">
    <w:p w14:paraId="25E2DE55" w14:textId="77777777" w:rsidR="0013116F" w:rsidRDefault="0013116F" w:rsidP="004B607F">
      <w:pPr>
        <w:pStyle w:val="a9"/>
      </w:pPr>
      <w:r>
        <w:rPr>
          <w:rStyle w:val="ab"/>
        </w:rPr>
        <w:footnoteRef/>
      </w:r>
      <w:r>
        <w:rPr>
          <w:rtl/>
        </w:rPr>
        <w:t xml:space="preserve"> </w:t>
      </w:r>
      <w:r w:rsidRPr="00D2669E">
        <w:rPr>
          <w:rFonts w:cs="Arial"/>
          <w:rtl/>
        </w:rPr>
        <w:t>דישה רבה ברגלים הרבה</w:t>
      </w:r>
      <w:r>
        <w:rPr>
          <w:rFonts w:cs="Arial" w:hint="cs"/>
          <w:rtl/>
        </w:rPr>
        <w:t>, רש"י</w:t>
      </w:r>
      <w:r w:rsidRPr="00D2669E">
        <w:rPr>
          <w:rFonts w:cs="Arial"/>
          <w:rtl/>
        </w:rPr>
        <w:t>.</w:t>
      </w:r>
    </w:p>
  </w:footnote>
  <w:footnote w:id="2538">
    <w:p w14:paraId="0B7833E1" w14:textId="77777777" w:rsidR="0013116F" w:rsidRDefault="0013116F" w:rsidP="004B607F">
      <w:pPr>
        <w:pStyle w:val="a9"/>
        <w:rPr>
          <w:rtl/>
        </w:rPr>
      </w:pPr>
      <w:r>
        <w:rPr>
          <w:rStyle w:val="ab"/>
        </w:rPr>
        <w:footnoteRef/>
      </w:r>
      <w:r>
        <w:rPr>
          <w:rtl/>
        </w:rPr>
        <w:t xml:space="preserve"> </w:t>
      </w:r>
      <w:r w:rsidRPr="00D2669E">
        <w:rPr>
          <w:rFonts w:cs="Arial"/>
          <w:rtl/>
        </w:rPr>
        <w:t>דתלינן לקולא ואמרינן כל העצמות נכתתו לפחות מכשיעור אלמא חששא דרבנן בעלמא הוא</w:t>
      </w:r>
      <w:r>
        <w:rPr>
          <w:rFonts w:cs="Arial" w:hint="cs"/>
          <w:rtl/>
        </w:rPr>
        <w:t>, רש"י</w:t>
      </w:r>
      <w:r w:rsidRPr="00D2669E">
        <w:rPr>
          <w:rFonts w:cs="Arial"/>
          <w:rtl/>
        </w:rPr>
        <w:t>.</w:t>
      </w:r>
    </w:p>
  </w:footnote>
  <w:footnote w:id="2539">
    <w:p w14:paraId="1D6AFFC7" w14:textId="77777777" w:rsidR="0013116F" w:rsidRDefault="0013116F" w:rsidP="004B607F">
      <w:pPr>
        <w:pStyle w:val="a9"/>
        <w:rPr>
          <w:rtl/>
        </w:rPr>
      </w:pPr>
      <w:r>
        <w:rPr>
          <w:rStyle w:val="ab"/>
        </w:rPr>
        <w:footnoteRef/>
      </w:r>
      <w:r>
        <w:rPr>
          <w:rtl/>
        </w:rPr>
        <w:t xml:space="preserve"> </w:t>
      </w:r>
      <w:r>
        <w:rPr>
          <w:rFonts w:cs="Arial" w:hint="cs"/>
          <w:rtl/>
        </w:rPr>
        <w:t xml:space="preserve">כיון </w:t>
      </w:r>
      <w:r w:rsidRPr="00CD6516">
        <w:rPr>
          <w:rFonts w:cs="Arial"/>
          <w:rtl/>
        </w:rPr>
        <w:t xml:space="preserve">שאחר שכתב </w:t>
      </w:r>
      <w:r>
        <w:rPr>
          <w:rFonts w:cs="Arial" w:hint="cs"/>
          <w:rtl/>
        </w:rPr>
        <w:t xml:space="preserve">הטור </w:t>
      </w:r>
      <w:r w:rsidRPr="00CD6516">
        <w:rPr>
          <w:rFonts w:cs="Arial"/>
          <w:rtl/>
        </w:rPr>
        <w:t xml:space="preserve">שנאמן לומר שיצאת בהינומא כתב </w:t>
      </w:r>
      <w:r>
        <w:rPr>
          <w:rFonts w:cs="Arial" w:hint="cs"/>
          <w:rtl/>
        </w:rPr>
        <w:t>'</w:t>
      </w:r>
      <w:r w:rsidRPr="00CD6516">
        <w:rPr>
          <w:rFonts w:cs="Arial"/>
          <w:rtl/>
        </w:rPr>
        <w:t>וכן נאמן לומר אפילו הוא לבדו</w:t>
      </w:r>
      <w:r>
        <w:rPr>
          <w:rFonts w:cs="Arial" w:hint="cs"/>
          <w:rtl/>
        </w:rPr>
        <w:t>'</w:t>
      </w:r>
      <w:r w:rsidRPr="00CD6516">
        <w:rPr>
          <w:rFonts w:cs="Arial"/>
          <w:rtl/>
        </w:rPr>
        <w:t xml:space="preserve"> </w:t>
      </w:r>
      <w:r>
        <w:rPr>
          <w:rFonts w:cs="Arial" w:hint="cs"/>
          <w:rtl/>
        </w:rPr>
        <w:t xml:space="preserve">יוצא שדעתו כדעת </w:t>
      </w:r>
      <w:r w:rsidRPr="00CD6516">
        <w:rPr>
          <w:rFonts w:cs="Arial"/>
          <w:rtl/>
        </w:rPr>
        <w:t>הר"ן (יב: ד"ה גמ')</w:t>
      </w:r>
      <w:r>
        <w:rPr>
          <w:rFonts w:cs="Arial" w:hint="cs"/>
          <w:rtl/>
        </w:rPr>
        <w:t xml:space="preserve"> דהא דהצריכה הגמ' שיהיה גדול עמו הוא גם על כתב יד אביו ואינך וגם על ה</w:t>
      </w:r>
      <w:r w:rsidRPr="00CD6516">
        <w:rPr>
          <w:rFonts w:cs="Arial"/>
          <w:rtl/>
        </w:rPr>
        <w:t>י</w:t>
      </w:r>
      <w:r>
        <w:rPr>
          <w:rFonts w:cs="Arial" w:hint="cs"/>
          <w:rtl/>
        </w:rPr>
        <w:t>ו</w:t>
      </w:r>
      <w:r w:rsidRPr="00CD6516">
        <w:rPr>
          <w:rFonts w:cs="Arial"/>
          <w:rtl/>
        </w:rPr>
        <w:t>צאת בהינומא</w:t>
      </w:r>
      <w:r>
        <w:rPr>
          <w:rFonts w:cs="Arial" w:hint="cs"/>
          <w:rtl/>
        </w:rPr>
        <w:t>, ע"פ ב"י.</w:t>
      </w:r>
      <w:r w:rsidRPr="00CD6516">
        <w:rPr>
          <w:rFonts w:cs="Arial"/>
          <w:rtl/>
        </w:rPr>
        <w:t xml:space="preserve"> </w:t>
      </w:r>
    </w:p>
  </w:footnote>
  <w:footnote w:id="2540">
    <w:p w14:paraId="2CE3423F" w14:textId="77777777" w:rsidR="0013116F" w:rsidRDefault="0013116F" w:rsidP="004B607F">
      <w:pPr>
        <w:pStyle w:val="a9"/>
      </w:pPr>
      <w:r>
        <w:rPr>
          <w:rStyle w:val="ab"/>
        </w:rPr>
        <w:footnoteRef/>
      </w:r>
      <w:r>
        <w:rPr>
          <w:rtl/>
        </w:rPr>
        <w:t xml:space="preserve"> </w:t>
      </w:r>
      <w:r w:rsidRPr="009A0902">
        <w:rPr>
          <w:rFonts w:cs="Arial"/>
          <w:rtl/>
        </w:rPr>
        <w:t>הריב"ש</w:t>
      </w:r>
      <w:r w:rsidRPr="009A0902">
        <w:rPr>
          <w:rFonts w:cs="Arial"/>
          <w:sz w:val="16"/>
          <w:szCs w:val="16"/>
          <w:rtl/>
        </w:rPr>
        <w:t xml:space="preserve"> </w:t>
      </w:r>
      <w:r w:rsidRPr="009A0902">
        <w:rPr>
          <w:rFonts w:cs="Arial" w:hint="cs"/>
          <w:sz w:val="16"/>
          <w:szCs w:val="16"/>
          <w:rtl/>
        </w:rPr>
        <w:t>(הביאו בכס"מ שם)</w:t>
      </w:r>
      <w:r>
        <w:rPr>
          <w:rFonts w:cs="Arial" w:hint="cs"/>
          <w:rtl/>
        </w:rPr>
        <w:t xml:space="preserve"> כתב </w:t>
      </w:r>
      <w:r w:rsidRPr="009A0902">
        <w:rPr>
          <w:rFonts w:cs="Arial"/>
          <w:rtl/>
        </w:rPr>
        <w:t xml:space="preserve">על </w:t>
      </w:r>
      <w:r>
        <w:rPr>
          <w:rFonts w:cs="Arial" w:hint="cs"/>
          <w:rtl/>
        </w:rPr>
        <w:t>דברי הרמב"ם</w:t>
      </w:r>
      <w:r w:rsidRPr="009A0902">
        <w:rPr>
          <w:rFonts w:cs="Arial"/>
          <w:rtl/>
        </w:rPr>
        <w:t xml:space="preserve"> </w:t>
      </w:r>
      <w:r>
        <w:rPr>
          <w:rFonts w:cs="Arial" w:hint="cs"/>
          <w:rtl/>
        </w:rPr>
        <w:t>ד</w:t>
      </w:r>
      <w:r w:rsidRPr="009A0902">
        <w:rPr>
          <w:rFonts w:cs="Arial"/>
          <w:rtl/>
        </w:rPr>
        <w:t>צריך עד אחד שיעיד עמו</w:t>
      </w:r>
      <w:r>
        <w:rPr>
          <w:rFonts w:cs="Arial" w:hint="cs"/>
          <w:rtl/>
        </w:rPr>
        <w:t>,</w:t>
      </w:r>
      <w:r w:rsidRPr="009A0902">
        <w:rPr>
          <w:rFonts w:cs="Arial"/>
          <w:rtl/>
        </w:rPr>
        <w:t xml:space="preserve"> דהא מתניתין בהדיא קתני אם יש עדים. </w:t>
      </w:r>
      <w:r>
        <w:rPr>
          <w:rFonts w:cs="Arial" w:hint="cs"/>
          <w:rtl/>
        </w:rPr>
        <w:t xml:space="preserve">אך הכס"מ </w:t>
      </w:r>
      <w:r w:rsidRPr="002421C7">
        <w:rPr>
          <w:rFonts w:cs="Arial" w:hint="cs"/>
          <w:sz w:val="16"/>
          <w:szCs w:val="16"/>
          <w:rtl/>
        </w:rPr>
        <w:t xml:space="preserve">(שם) </w:t>
      </w:r>
      <w:r>
        <w:rPr>
          <w:rFonts w:cs="Arial" w:hint="cs"/>
          <w:rtl/>
        </w:rPr>
        <w:t xml:space="preserve">כתב דמלשון </w:t>
      </w:r>
      <w:r w:rsidRPr="009A0902">
        <w:rPr>
          <w:rFonts w:cs="Arial"/>
          <w:rtl/>
        </w:rPr>
        <w:t xml:space="preserve">הרמב"ם </w:t>
      </w:r>
      <w:r w:rsidRPr="009A0902">
        <w:rPr>
          <w:rFonts w:cs="Arial" w:hint="cs"/>
          <w:sz w:val="16"/>
          <w:szCs w:val="16"/>
          <w:rtl/>
        </w:rPr>
        <w:t>(ש</w:t>
      </w:r>
      <w:r w:rsidRPr="009A0902">
        <w:rPr>
          <w:rFonts w:cs="Arial"/>
          <w:sz w:val="16"/>
          <w:szCs w:val="16"/>
          <w:rtl/>
        </w:rPr>
        <w:t xml:space="preserve">כתב </w:t>
      </w:r>
      <w:r w:rsidRPr="009A0902">
        <w:rPr>
          <w:rFonts w:cs="Arial" w:hint="cs"/>
          <w:sz w:val="16"/>
          <w:szCs w:val="16"/>
          <w:rtl/>
        </w:rPr>
        <w:t>'</w:t>
      </w:r>
      <w:r w:rsidRPr="009A0902">
        <w:rPr>
          <w:rFonts w:cs="Arial"/>
          <w:sz w:val="16"/>
          <w:szCs w:val="16"/>
          <w:rtl/>
        </w:rPr>
        <w:t>אם יש עדים שעשו לה המנהגות וכו' וכתב אח"כ ונאמן הקטן להעיד בגודלו</w:t>
      </w:r>
      <w:r w:rsidRPr="009A0902">
        <w:rPr>
          <w:rFonts w:cs="Arial" w:hint="cs"/>
          <w:sz w:val="16"/>
          <w:szCs w:val="16"/>
          <w:rtl/>
        </w:rPr>
        <w:t>'</w:t>
      </w:r>
      <w:r>
        <w:rPr>
          <w:rFonts w:cs="Arial" w:hint="cs"/>
          <w:sz w:val="16"/>
          <w:szCs w:val="16"/>
          <w:rtl/>
        </w:rPr>
        <w:t>)</w:t>
      </w:r>
      <w:r>
        <w:rPr>
          <w:rFonts w:cs="Arial" w:hint="cs"/>
          <w:rtl/>
        </w:rPr>
        <w:t xml:space="preserve"> </w:t>
      </w:r>
      <w:r w:rsidRPr="009A0902">
        <w:rPr>
          <w:rFonts w:cs="Arial"/>
          <w:rtl/>
        </w:rPr>
        <w:t>אין להכריח אם ר"ל על עד אחד מן העדים אבל העד צריך שיעיד שראה בגדלו או אם כל אחד מהם יכול להעיד על מה שראה בקטנו</w:t>
      </w:r>
      <w:r>
        <w:rPr>
          <w:rFonts w:hint="cs"/>
          <w:rtl/>
        </w:rPr>
        <w:t xml:space="preserve"> </w:t>
      </w:r>
      <w:r w:rsidRPr="002421C7">
        <w:rPr>
          <w:rFonts w:hint="cs"/>
          <w:sz w:val="16"/>
          <w:szCs w:val="16"/>
          <w:rtl/>
        </w:rPr>
        <w:t>(עכ"ל הכס"מ</w:t>
      </w:r>
      <w:r>
        <w:rPr>
          <w:rFonts w:hint="cs"/>
          <w:sz w:val="16"/>
          <w:szCs w:val="16"/>
          <w:rtl/>
        </w:rPr>
        <w:t>)</w:t>
      </w:r>
      <w:r>
        <w:rPr>
          <w:rFonts w:hint="cs"/>
          <w:rtl/>
        </w:rPr>
        <w:t>. אך הה"מ הבין שמדסתם הרמב"ם משמע דלא צריך בזה עוד עד אחד שיעיד עמו. ונראה שלכן פסק השו"ע (באעה"ז סי' צו סט"ו) כדברי הרא"ש הטור והר"ן, דלא שביק מה דברירא להם ממה שאי אפשר להבין מלשון הרמב"ם.</w:t>
      </w:r>
    </w:p>
  </w:footnote>
  <w:footnote w:id="2541">
    <w:p w14:paraId="25713345" w14:textId="77777777" w:rsidR="0013116F" w:rsidRDefault="0013116F" w:rsidP="004B607F">
      <w:pPr>
        <w:pStyle w:val="a9"/>
      </w:pPr>
      <w:r>
        <w:rPr>
          <w:rStyle w:val="ab"/>
        </w:rPr>
        <w:footnoteRef/>
      </w:r>
      <w:r>
        <w:rPr>
          <w:rtl/>
        </w:rPr>
        <w:t xml:space="preserve"> </w:t>
      </w:r>
      <w:r w:rsidRPr="00695E0A">
        <w:rPr>
          <w:rFonts w:cs="Arial"/>
          <w:rtl/>
        </w:rPr>
        <w:t>בסוף פ"ב דכתובות [כח</w:t>
      </w:r>
      <w:r>
        <w:rPr>
          <w:rFonts w:cs="Arial" w:hint="cs"/>
          <w:rtl/>
        </w:rPr>
        <w:t>:</w:t>
      </w:r>
      <w:r w:rsidRPr="00695E0A">
        <w:rPr>
          <w:rFonts w:cs="Arial"/>
          <w:rtl/>
        </w:rPr>
        <w:t>] פירש רש"י [ד"ה בית הפרס], ז"ל</w:t>
      </w:r>
      <w:r>
        <w:rPr>
          <w:rFonts w:cs="Arial" w:hint="cs"/>
          <w:rtl/>
        </w:rPr>
        <w:t>-</w:t>
      </w:r>
      <w:r w:rsidRPr="00695E0A">
        <w:rPr>
          <w:rFonts w:cs="Arial"/>
          <w:rtl/>
        </w:rPr>
        <w:t xml:space="preserve"> החורש את הקבר הרי זה עושה בית הפרס מאה אמה, שכך שיערו שהמחרישה מולכת עצמות המת ודילמא נגע וכו', עכ"ל. ופירש הר"ן [שם יב</w:t>
      </w:r>
      <w:r>
        <w:rPr>
          <w:rFonts w:cs="Arial" w:hint="cs"/>
          <w:rtl/>
        </w:rPr>
        <w:t>.</w:t>
      </w:r>
      <w:r w:rsidRPr="00695E0A">
        <w:rPr>
          <w:rFonts w:cs="Arial"/>
          <w:rtl/>
        </w:rPr>
        <w:t xml:space="preserve"> מד</w:t>
      </w:r>
      <w:r>
        <w:rPr>
          <w:rFonts w:cs="Arial" w:hint="cs"/>
          <w:rtl/>
        </w:rPr>
        <w:t>פה"ר</w:t>
      </w:r>
      <w:r w:rsidRPr="00695E0A">
        <w:rPr>
          <w:rFonts w:cs="Arial"/>
          <w:rtl/>
        </w:rPr>
        <w:t xml:space="preserve"> ד"ה ושהמקום] דאי איכא בקעה שמוחזק לנו שיש שם בית הפרס והבקעה כולה בספק טומאה, כי מסהיד שהמקום הזה בית הפרס ושכל מה שהוא חוץ ממנו טהור, מהימן. והראב"ד פירש בענין אחר, ועיין בר"ן שם שהביאו</w:t>
      </w:r>
      <w:r>
        <w:rPr>
          <w:rFonts w:cs="Arial" w:hint="cs"/>
          <w:rtl/>
        </w:rPr>
        <w:t>, סמ"ע (סקי"ב).</w:t>
      </w:r>
    </w:p>
  </w:footnote>
  <w:footnote w:id="2542">
    <w:p w14:paraId="02C8A361" w14:textId="77777777" w:rsidR="0013116F" w:rsidRDefault="0013116F" w:rsidP="004B607F">
      <w:pPr>
        <w:pStyle w:val="a9"/>
        <w:rPr>
          <w:rtl/>
        </w:rPr>
      </w:pPr>
      <w:r>
        <w:rPr>
          <w:rStyle w:val="ab"/>
        </w:rPr>
        <w:footnoteRef/>
      </w:r>
      <w:r>
        <w:rPr>
          <w:rtl/>
        </w:rPr>
        <w:t xml:space="preserve"> </w:t>
      </w:r>
      <w:r>
        <w:rPr>
          <w:rFonts w:hint="cs"/>
          <w:rtl/>
        </w:rPr>
        <w:t xml:space="preserve">סימן </w:t>
      </w:r>
      <w:r>
        <w:rPr>
          <w:rtl/>
        </w:rPr>
        <w:t>–</w:t>
      </w:r>
      <w:r>
        <w:rPr>
          <w:rFonts w:hint="cs"/>
          <w:rtl/>
        </w:rPr>
        <w:t xml:space="preserve"> כתב חרוט</w:t>
      </w:r>
      <w:r>
        <w:rPr>
          <w:rFonts w:hint="cs"/>
          <w:sz w:val="16"/>
          <w:szCs w:val="16"/>
          <w:rtl/>
        </w:rPr>
        <w:t xml:space="preserve"> {בזיכרון}</w:t>
      </w:r>
      <w:r>
        <w:rPr>
          <w:rFonts w:hint="cs"/>
          <w:rtl/>
        </w:rPr>
        <w:t xml:space="preserve">. כלה חרוטה. כהן חרוט. וכן </w:t>
      </w:r>
      <w:r>
        <w:rPr>
          <w:rtl/>
        </w:rPr>
        <w:t>–</w:t>
      </w:r>
      <w:r>
        <w:rPr>
          <w:rFonts w:hint="cs"/>
          <w:rtl/>
        </w:rPr>
        <w:t xml:space="preserve"> כשהוא חרג'וק</w:t>
      </w:r>
      <w:r>
        <w:rPr>
          <w:rFonts w:hint="cs"/>
          <w:sz w:val="16"/>
          <w:szCs w:val="16"/>
          <w:rtl/>
        </w:rPr>
        <w:t xml:space="preserve"> {היינו קטן}</w:t>
      </w:r>
      <w:r>
        <w:rPr>
          <w:rFonts w:hint="cs"/>
          <w:rtl/>
        </w:rPr>
        <w:t>.</w:t>
      </w:r>
    </w:p>
  </w:footnote>
  <w:footnote w:id="2543">
    <w:p w14:paraId="66307463" w14:textId="77777777" w:rsidR="0013116F" w:rsidRDefault="0013116F" w:rsidP="004B607F">
      <w:pPr>
        <w:pStyle w:val="a9"/>
      </w:pPr>
      <w:r>
        <w:rPr>
          <w:rStyle w:val="ab"/>
        </w:rPr>
        <w:footnoteRef/>
      </w:r>
      <w:r>
        <w:rPr>
          <w:rtl/>
        </w:rPr>
        <w:t xml:space="preserve"> </w:t>
      </w:r>
      <w:r w:rsidRPr="005376BD">
        <w:rPr>
          <w:rFonts w:cs="Arial"/>
          <w:rtl/>
        </w:rPr>
        <w:t>כשהיינו למידין תינוקות בבית רבן ובכולהו מפרש טעמא בגמרא</w:t>
      </w:r>
      <w:r>
        <w:rPr>
          <w:rFonts w:cs="Arial" w:hint="cs"/>
          <w:rtl/>
        </w:rPr>
        <w:t>, רש"י</w:t>
      </w:r>
      <w:r w:rsidRPr="005376BD">
        <w:rPr>
          <w:rFonts w:cs="Arial"/>
          <w:rtl/>
        </w:rPr>
        <w:t>.</w:t>
      </w:r>
    </w:p>
  </w:footnote>
  <w:footnote w:id="2544">
    <w:p w14:paraId="6BEDE3FD" w14:textId="77777777" w:rsidR="0013116F" w:rsidRDefault="0013116F" w:rsidP="004B607F">
      <w:pPr>
        <w:pStyle w:val="a9"/>
      </w:pPr>
      <w:r>
        <w:rPr>
          <w:rStyle w:val="ab"/>
        </w:rPr>
        <w:footnoteRef/>
      </w:r>
      <w:r>
        <w:rPr>
          <w:rtl/>
        </w:rPr>
        <w:t xml:space="preserve"> </w:t>
      </w:r>
      <w:r w:rsidRPr="00D2669E">
        <w:rPr>
          <w:rFonts w:cs="Arial"/>
          <w:rtl/>
        </w:rPr>
        <w:t>מקום היה לו כאן להספיד מתיו כשמוליכן לבית קברות שלו ולעשות שם מעמדות ומושבות שהיו עושין שבעה למת</w:t>
      </w:r>
      <w:r>
        <w:rPr>
          <w:rFonts w:cs="Arial" w:hint="cs"/>
          <w:rtl/>
        </w:rPr>
        <w:t>, רש"י</w:t>
      </w:r>
      <w:r w:rsidRPr="00D2669E">
        <w:rPr>
          <w:rFonts w:cs="Arial"/>
          <w:rtl/>
        </w:rPr>
        <w:t>.</w:t>
      </w:r>
    </w:p>
  </w:footnote>
  <w:footnote w:id="2545">
    <w:p w14:paraId="20505294" w14:textId="77777777" w:rsidR="0013116F" w:rsidRDefault="0013116F" w:rsidP="004B607F">
      <w:pPr>
        <w:pStyle w:val="a9"/>
        <w:rPr>
          <w:rtl/>
        </w:rPr>
      </w:pPr>
      <w:r>
        <w:rPr>
          <w:rStyle w:val="ab"/>
        </w:rPr>
        <w:footnoteRef/>
      </w:r>
      <w:r>
        <w:rPr>
          <w:rtl/>
        </w:rPr>
        <w:t xml:space="preserve"> </w:t>
      </w:r>
      <w:r w:rsidRPr="00053873">
        <w:rPr>
          <w:rFonts w:cs="Arial"/>
          <w:rtl/>
        </w:rPr>
        <w:t>כגון תרומת חוצה לארץ או פירות המנינהו להני להאכילו על פיהם</w:t>
      </w:r>
      <w:r>
        <w:rPr>
          <w:rFonts w:cs="Arial" w:hint="cs"/>
          <w:rtl/>
        </w:rPr>
        <w:t>, רש"י</w:t>
      </w:r>
      <w:r w:rsidRPr="00053873">
        <w:rPr>
          <w:rFonts w:cs="Arial"/>
          <w:rtl/>
        </w:rPr>
        <w:t>.</w:t>
      </w:r>
    </w:p>
  </w:footnote>
  <w:footnote w:id="2546">
    <w:p w14:paraId="447CC05F" w14:textId="77777777" w:rsidR="0013116F" w:rsidRDefault="0013116F" w:rsidP="004B607F">
      <w:pPr>
        <w:pStyle w:val="a9"/>
        <w:rPr>
          <w:rtl/>
        </w:rPr>
      </w:pPr>
      <w:r>
        <w:rPr>
          <w:rStyle w:val="ab"/>
        </w:rPr>
        <w:footnoteRef/>
      </w:r>
      <w:r>
        <w:rPr>
          <w:rtl/>
        </w:rPr>
        <w:t xml:space="preserve"> </w:t>
      </w:r>
      <w:r>
        <w:rPr>
          <w:rFonts w:cs="Arial" w:hint="cs"/>
          <w:rtl/>
        </w:rPr>
        <w:t>להעיד בגודלו מה שראה בקוטנו, רש"י</w:t>
      </w:r>
      <w:r w:rsidRPr="00053873">
        <w:rPr>
          <w:rFonts w:cs="Arial"/>
          <w:rtl/>
        </w:rPr>
        <w:t>.</w:t>
      </w:r>
      <w:r>
        <w:rPr>
          <w:rFonts w:hint="cs"/>
          <w:rtl/>
        </w:rPr>
        <w:t xml:space="preserve"> וכ"כ הרמב"ם (פי"ד מעדות ה"ג) והטור. </w:t>
      </w:r>
      <w:r w:rsidRPr="00840402">
        <w:rPr>
          <w:rFonts w:hint="cs"/>
          <w:color w:val="E36C0A" w:themeColor="accent6" w:themeShade="BF"/>
          <w:rtl/>
        </w:rPr>
        <w:t>וכ"פ בשו"ע</w:t>
      </w:r>
      <w:r>
        <w:rPr>
          <w:rFonts w:hint="cs"/>
          <w:rtl/>
        </w:rPr>
        <w:t>. אבל הראב"ד (הביאו הר"ן יג. ד"ה כיון) פירש ד</w:t>
      </w:r>
      <w:r w:rsidRPr="00DF768C">
        <w:rPr>
          <w:rFonts w:cs="Arial"/>
          <w:rtl/>
        </w:rPr>
        <w:t xml:space="preserve">הנך דברייתא אפילו </w:t>
      </w:r>
      <w:r w:rsidRPr="00571361">
        <w:rPr>
          <w:rFonts w:cs="Arial"/>
          <w:b/>
          <w:bCs/>
          <w:rtl/>
        </w:rPr>
        <w:t>כשהוא קטן</w:t>
      </w:r>
      <w:r w:rsidRPr="00DF768C">
        <w:rPr>
          <w:rFonts w:cs="Arial"/>
          <w:rtl/>
        </w:rPr>
        <w:t xml:space="preserve"> ואע</w:t>
      </w:r>
      <w:r>
        <w:rPr>
          <w:rFonts w:cs="Arial" w:hint="cs"/>
          <w:rtl/>
        </w:rPr>
        <w:t>"</w:t>
      </w:r>
      <w:r w:rsidRPr="00DF768C">
        <w:rPr>
          <w:rFonts w:cs="Arial"/>
          <w:rtl/>
        </w:rPr>
        <w:t>פ שאין גדול עמו</w:t>
      </w:r>
      <w:r>
        <w:rPr>
          <w:rFonts w:cs="Arial" w:hint="cs"/>
          <w:rtl/>
        </w:rPr>
        <w:t>,</w:t>
      </w:r>
      <w:r w:rsidRPr="00DF768C">
        <w:rPr>
          <w:rFonts w:cs="Arial"/>
          <w:rtl/>
        </w:rPr>
        <w:t xml:space="preserve"> משום דאית להו קלא יתירא ומפרסמא ליה מלתא ולא מחלפא ליה</w:t>
      </w:r>
      <w:r>
        <w:rPr>
          <w:rFonts w:cs="Arial" w:hint="cs"/>
          <w:rtl/>
        </w:rPr>
        <w:t>.</w:t>
      </w:r>
      <w:r>
        <w:rPr>
          <w:rFonts w:hint="cs"/>
          <w:rtl/>
        </w:rPr>
        <w:t xml:space="preserve"> </w:t>
      </w:r>
    </w:p>
  </w:footnote>
  <w:footnote w:id="2547">
    <w:p w14:paraId="00ECD6BB" w14:textId="77777777" w:rsidR="0013116F" w:rsidRDefault="0013116F" w:rsidP="004B607F">
      <w:pPr>
        <w:pStyle w:val="a9"/>
      </w:pPr>
      <w:r>
        <w:rPr>
          <w:rStyle w:val="ab"/>
        </w:rPr>
        <w:footnoteRef/>
      </w:r>
      <w:r>
        <w:rPr>
          <w:rtl/>
        </w:rPr>
        <w:t xml:space="preserve"> </w:t>
      </w:r>
      <w:r w:rsidRPr="00840402">
        <w:rPr>
          <w:rFonts w:cs="Arial"/>
          <w:rtl/>
        </w:rPr>
        <w:t xml:space="preserve">אם כך העיד התינוק </w:t>
      </w:r>
      <w:r>
        <w:rPr>
          <w:rFonts w:cs="Arial" w:hint="cs"/>
          <w:rtl/>
        </w:rPr>
        <w:t>- '</w:t>
      </w:r>
      <w:r w:rsidRPr="00840402">
        <w:rPr>
          <w:rFonts w:cs="Arial"/>
          <w:rtl/>
        </w:rPr>
        <w:t>על ידי היה אבא שולח לו חלה ומתנות</w:t>
      </w:r>
      <w:r>
        <w:rPr>
          <w:rFonts w:cs="Arial" w:hint="cs"/>
          <w:rtl/>
        </w:rPr>
        <w:t>', רש"י.</w:t>
      </w:r>
    </w:p>
  </w:footnote>
  <w:footnote w:id="2548">
    <w:p w14:paraId="18F66BB9" w14:textId="77777777" w:rsidR="0013116F" w:rsidRDefault="0013116F" w:rsidP="004B607F">
      <w:pPr>
        <w:pStyle w:val="a9"/>
      </w:pPr>
      <w:r>
        <w:rPr>
          <w:rStyle w:val="ab"/>
        </w:rPr>
        <w:footnoteRef/>
      </w:r>
      <w:r>
        <w:rPr>
          <w:rtl/>
        </w:rPr>
        <w:t xml:space="preserve"> </w:t>
      </w:r>
      <w:r w:rsidRPr="00553D28">
        <w:rPr>
          <w:rFonts w:cs="Arial"/>
          <w:rtl/>
        </w:rPr>
        <w:t>ובהגהות אלפסי פ"ב דכתובות (שלט</w:t>
      </w:r>
      <w:r>
        <w:rPr>
          <w:rFonts w:cs="Arial" w:hint="cs"/>
          <w:rtl/>
        </w:rPr>
        <w:t xml:space="preserve">"ג </w:t>
      </w:r>
      <w:r w:rsidRPr="00553D28">
        <w:rPr>
          <w:rFonts w:cs="Arial"/>
          <w:rtl/>
        </w:rPr>
        <w:t>יב. אות ב) כתב דהוא הדין בכל איסור דרבנן וכו'</w:t>
      </w:r>
      <w:r>
        <w:rPr>
          <w:rFonts w:cs="Arial" w:hint="cs"/>
          <w:rtl/>
        </w:rPr>
        <w:t>, דרכ"מ (אות א).</w:t>
      </w:r>
    </w:p>
  </w:footnote>
  <w:footnote w:id="2549">
    <w:p w14:paraId="408F5CFE" w14:textId="77777777" w:rsidR="0013116F" w:rsidRDefault="0013116F" w:rsidP="004B607F">
      <w:pPr>
        <w:pStyle w:val="a9"/>
        <w:rPr>
          <w:rtl/>
        </w:rPr>
      </w:pPr>
      <w:r>
        <w:rPr>
          <w:rStyle w:val="ab"/>
        </w:rPr>
        <w:footnoteRef/>
      </w:r>
      <w:r>
        <w:rPr>
          <w:rtl/>
        </w:rPr>
        <w:t xml:space="preserve"> </w:t>
      </w:r>
      <w:r>
        <w:rPr>
          <w:rFonts w:cs="Arial" w:hint="cs"/>
          <w:rtl/>
        </w:rPr>
        <w:t>הטור לא כתב</w:t>
      </w:r>
      <w:r>
        <w:rPr>
          <w:rFonts w:cs="Arial"/>
          <w:rtl/>
        </w:rPr>
        <w:t xml:space="preserve"> </w:t>
      </w:r>
      <w:r>
        <w:rPr>
          <w:rFonts w:cs="Arial" w:hint="cs"/>
          <w:rtl/>
        </w:rPr>
        <w:t xml:space="preserve">עוד דברים המנויים במשנה </w:t>
      </w:r>
      <w:r>
        <w:rPr>
          <w:rFonts w:cs="Arial"/>
          <w:rtl/>
        </w:rPr>
        <w:t>לפי שאינם נהוגים</w:t>
      </w:r>
      <w:r>
        <w:rPr>
          <w:rFonts w:cs="Arial" w:hint="cs"/>
          <w:rtl/>
        </w:rPr>
        <w:t>, ע"פ ב"י.</w:t>
      </w:r>
    </w:p>
  </w:footnote>
  <w:footnote w:id="2550">
    <w:p w14:paraId="56EF57DF" w14:textId="77777777" w:rsidR="0013116F" w:rsidRDefault="0013116F" w:rsidP="004B607F">
      <w:pPr>
        <w:pStyle w:val="a9"/>
      </w:pPr>
      <w:r>
        <w:rPr>
          <w:rStyle w:val="ab"/>
        </w:rPr>
        <w:footnoteRef/>
      </w:r>
      <w:r>
        <w:rPr>
          <w:rtl/>
        </w:rPr>
        <w:t xml:space="preserve"> </w:t>
      </w:r>
      <w:r>
        <w:rPr>
          <w:rFonts w:hint="cs"/>
          <w:rtl/>
        </w:rPr>
        <w:t xml:space="preserve">כדי להבין הערה זו יש לקרוא אותה לאחר קריאת דברי הראב"ד ודברי הר"ן. </w:t>
      </w:r>
      <w:r>
        <w:rPr>
          <w:rFonts w:cs="Arial" w:hint="cs"/>
          <w:rtl/>
        </w:rPr>
        <w:t xml:space="preserve">כתב הב"י על דברי הטור </w:t>
      </w:r>
      <w:r>
        <w:rPr>
          <w:rFonts w:cs="Arial" w:hint="cs"/>
          <w:sz w:val="16"/>
          <w:szCs w:val="16"/>
          <w:rtl/>
        </w:rPr>
        <w:t>(</w:t>
      </w:r>
      <w:r w:rsidRPr="005A61CD">
        <w:rPr>
          <w:rFonts w:cs="Arial" w:hint="cs"/>
          <w:sz w:val="16"/>
          <w:szCs w:val="16"/>
          <w:rtl/>
        </w:rPr>
        <w:t>שסתם כלשון הברייתא ולא פירש מה דעתו)</w:t>
      </w:r>
      <w:r>
        <w:rPr>
          <w:rFonts w:cs="Arial" w:hint="cs"/>
          <w:rtl/>
        </w:rPr>
        <w:t xml:space="preserve"> וז"ל- </w:t>
      </w:r>
      <w:r w:rsidRPr="00DF768C">
        <w:rPr>
          <w:rFonts w:cs="Arial"/>
          <w:rtl/>
        </w:rPr>
        <w:t>ורבינו כיון שאין דרכו לכתוב דבר בלתי נוהג</w:t>
      </w:r>
      <w:r>
        <w:rPr>
          <w:rFonts w:cs="Arial" w:hint="cs"/>
          <w:rtl/>
        </w:rPr>
        <w:t>,</w:t>
      </w:r>
      <w:r w:rsidRPr="00DF768C">
        <w:rPr>
          <w:rFonts w:cs="Arial"/>
          <w:rtl/>
        </w:rPr>
        <w:t xml:space="preserve"> אי הוה סבירא ליה דלענין תרומה מיתנייה </w:t>
      </w:r>
      <w:r>
        <w:rPr>
          <w:rFonts w:cs="Arial" w:hint="cs"/>
          <w:rtl/>
        </w:rPr>
        <w:t xml:space="preserve">- </w:t>
      </w:r>
      <w:r w:rsidRPr="00DF768C">
        <w:rPr>
          <w:rFonts w:cs="Arial"/>
          <w:rtl/>
        </w:rPr>
        <w:t>לא היה כותבה</w:t>
      </w:r>
      <w:r>
        <w:rPr>
          <w:rFonts w:cs="Arial" w:hint="cs"/>
          <w:rtl/>
        </w:rPr>
        <w:t>.</w:t>
      </w:r>
      <w:r w:rsidRPr="00DF768C">
        <w:rPr>
          <w:rFonts w:cs="Arial"/>
          <w:rtl/>
        </w:rPr>
        <w:t xml:space="preserve"> אלא ודאי סבירא ליה דלענין כשרות משפחה ופיסולה איתניא</w:t>
      </w:r>
      <w:r>
        <w:rPr>
          <w:rFonts w:cs="Arial" w:hint="cs"/>
          <w:rtl/>
        </w:rPr>
        <w:t>,</w:t>
      </w:r>
      <w:r w:rsidRPr="00DF768C">
        <w:rPr>
          <w:rFonts w:cs="Arial"/>
          <w:rtl/>
        </w:rPr>
        <w:t xml:space="preserve"> דכשהגדיל נאמן להעיד שאמר ליה אביו שמשפחה זו עמדה בדין והוכשרה</w:t>
      </w:r>
      <w:r>
        <w:rPr>
          <w:rFonts w:cs="Arial" w:hint="cs"/>
          <w:rtl/>
        </w:rPr>
        <w:t>,</w:t>
      </w:r>
      <w:r w:rsidRPr="00DF768C">
        <w:rPr>
          <w:rFonts w:cs="Arial"/>
          <w:rtl/>
        </w:rPr>
        <w:t xml:space="preserve"> או פסלוה בית דין</w:t>
      </w:r>
      <w:r>
        <w:rPr>
          <w:rFonts w:cs="Arial" w:hint="cs"/>
          <w:rtl/>
        </w:rPr>
        <w:t>,</w:t>
      </w:r>
      <w:r w:rsidRPr="00DF768C">
        <w:rPr>
          <w:rFonts w:cs="Arial"/>
          <w:rtl/>
        </w:rPr>
        <w:t xml:space="preserve"> ואי הוו תרי מכשרינן או פסלינן לה אפומייהו</w:t>
      </w:r>
      <w:r>
        <w:rPr>
          <w:rFonts w:cs="Arial" w:hint="cs"/>
          <w:rtl/>
        </w:rPr>
        <w:t>,</w:t>
      </w:r>
      <w:r w:rsidRPr="00DF768C">
        <w:rPr>
          <w:rFonts w:cs="Arial"/>
          <w:rtl/>
        </w:rPr>
        <w:t xml:space="preserve"> ואי חד הוא חיישינן לפיסולייהו משום דמילתא דמפרסא הוא וכגלוי מלתא בעלמא הוא. וקציצה נמי כהעמדה בדין הוא כנ"ל לדעת רבינו</w:t>
      </w:r>
      <w:r w:rsidRPr="00DF768C">
        <w:rPr>
          <w:rFonts w:cs="Arial" w:hint="cs"/>
          <w:rtl/>
        </w:rPr>
        <w:t>.</w:t>
      </w:r>
      <w:r>
        <w:rPr>
          <w:rFonts w:cs="Arial" w:hint="cs"/>
          <w:rtl/>
        </w:rPr>
        <w:t xml:space="preserve"> עכ"ל הב"י. וכיון שגם בשו"ע לא כותב אלא דברים הנוהגים משמע שדעתו כדברי הראב"ד. וכן פירש באה"ג (אות ס*) את דברי השו"ע. </w:t>
      </w:r>
    </w:p>
  </w:footnote>
  <w:footnote w:id="2551">
    <w:p w14:paraId="370AF535" w14:textId="77777777" w:rsidR="0013116F" w:rsidRDefault="0013116F" w:rsidP="004B607F">
      <w:pPr>
        <w:pStyle w:val="a9"/>
        <w:rPr>
          <w:rtl/>
        </w:rPr>
      </w:pPr>
      <w:r>
        <w:rPr>
          <w:rStyle w:val="ab"/>
        </w:rPr>
        <w:footnoteRef/>
      </w:r>
      <w:r>
        <w:rPr>
          <w:rtl/>
        </w:rPr>
        <w:t xml:space="preserve"> </w:t>
      </w:r>
      <w:r>
        <w:rPr>
          <w:rFonts w:hint="cs"/>
          <w:rtl/>
        </w:rPr>
        <w:t xml:space="preserve">לאחר שהר"ן הביא את דברי הראב"ד כתב עליו- </w:t>
      </w:r>
      <w:r w:rsidRPr="00DF768C">
        <w:rPr>
          <w:rFonts w:cs="Arial"/>
          <w:rtl/>
        </w:rPr>
        <w:t>ולפי דעתי שזו חומרא יתירא ונראה לי ד</w:t>
      </w:r>
      <w:r>
        <w:rPr>
          <w:rFonts w:cs="Arial" w:hint="cs"/>
          <w:rtl/>
        </w:rPr>
        <w:t>-...</w:t>
      </w:r>
    </w:p>
  </w:footnote>
  <w:footnote w:id="2552">
    <w:p w14:paraId="3A6DBB03" w14:textId="77777777" w:rsidR="0013116F" w:rsidRDefault="0013116F" w:rsidP="004B607F">
      <w:pPr>
        <w:pStyle w:val="a9"/>
        <w:rPr>
          <w:rtl/>
        </w:rPr>
      </w:pPr>
      <w:r>
        <w:rPr>
          <w:rStyle w:val="ab"/>
        </w:rPr>
        <w:footnoteRef/>
      </w:r>
      <w:r>
        <w:rPr>
          <w:rtl/>
        </w:rPr>
        <w:t xml:space="preserve"> </w:t>
      </w:r>
      <w:r w:rsidRPr="00DF768C">
        <w:rPr>
          <w:rFonts w:cs="Arial"/>
          <w:rtl/>
        </w:rPr>
        <w:t xml:space="preserve">ולא נקט באומר </w:t>
      </w:r>
      <w:r>
        <w:rPr>
          <w:rFonts w:cs="Arial" w:hint="cs"/>
          <w:rtl/>
        </w:rPr>
        <w:t>'</w:t>
      </w:r>
      <w:r w:rsidRPr="00DF768C">
        <w:rPr>
          <w:rFonts w:cs="Arial"/>
          <w:rtl/>
        </w:rPr>
        <w:t>משפחה זו כשירה</w:t>
      </w:r>
      <w:r>
        <w:rPr>
          <w:rFonts w:cs="Arial" w:hint="cs"/>
          <w:rtl/>
        </w:rPr>
        <w:t>'</w:t>
      </w:r>
      <w:r w:rsidRPr="00DF768C">
        <w:rPr>
          <w:rFonts w:cs="Arial"/>
          <w:rtl/>
        </w:rPr>
        <w:t xml:space="preserve"> לבד</w:t>
      </w:r>
      <w:r>
        <w:rPr>
          <w:rFonts w:cs="Arial" w:hint="cs"/>
          <w:rtl/>
        </w:rPr>
        <w:t>,</w:t>
      </w:r>
      <w:r w:rsidRPr="00DF768C">
        <w:rPr>
          <w:rFonts w:cs="Arial"/>
          <w:rtl/>
        </w:rPr>
        <w:t xml:space="preserve"> לפי שאם היינו מוחזקים באיסור משפחה אחת אין התינוק נאמן להכשירה אפילו לתרומה דרבנן. אבל כשאנו מוחזקים בכלל שיש פיסול באותה משפחה סתם ואין אנו יודעים בבירור אם על כולה אם על מקצתה נאמן התינוק לבד בשם אביו ולומר אותו פיסול על משפחת בית אב פלוני הוא ולא על משפחת בית אב פלוני</w:t>
      </w:r>
      <w:r>
        <w:rPr>
          <w:rFonts w:cs="Arial" w:hint="cs"/>
          <w:rtl/>
        </w:rPr>
        <w:t>,</w:t>
      </w:r>
      <w:r w:rsidRPr="00DF768C">
        <w:rPr>
          <w:rFonts w:cs="Arial"/>
          <w:rtl/>
        </w:rPr>
        <w:t xml:space="preserve"> וסומכין על עדות זו להאכיל אותו שהוא מכשיר תרומה דרבנן</w:t>
      </w:r>
      <w:r>
        <w:rPr>
          <w:rFonts w:cs="Arial" w:hint="cs"/>
          <w:rtl/>
        </w:rPr>
        <w:t>,</w:t>
      </w:r>
      <w:r w:rsidRPr="00DF768C">
        <w:rPr>
          <w:rFonts w:cs="Arial"/>
          <w:rtl/>
        </w:rPr>
        <w:t xml:space="preserve"> אבל ודאי אין התינוק נאמן לפסול וזה לא שמענו בשום מקום והיאך יהא נאמן במה שאומר בשם אביו</w:t>
      </w:r>
      <w:r>
        <w:rPr>
          <w:rFonts w:cs="Arial" w:hint="cs"/>
          <w:rtl/>
        </w:rPr>
        <w:t>,</w:t>
      </w:r>
      <w:r w:rsidRPr="00DF768C">
        <w:rPr>
          <w:rFonts w:cs="Arial"/>
          <w:rtl/>
        </w:rPr>
        <w:t xml:space="preserve"> והלא לא היה אביו נאמן</w:t>
      </w:r>
      <w:r>
        <w:rPr>
          <w:rFonts w:cs="Arial" w:hint="cs"/>
          <w:rtl/>
        </w:rPr>
        <w:t>,</w:t>
      </w:r>
      <w:r w:rsidRPr="00DF768C">
        <w:rPr>
          <w:rFonts w:cs="Arial"/>
          <w:rtl/>
        </w:rPr>
        <w:t xml:space="preserve"> דהא קיי</w:t>
      </w:r>
      <w:r>
        <w:rPr>
          <w:rFonts w:cs="Arial" w:hint="cs"/>
          <w:rtl/>
        </w:rPr>
        <w:t>"</w:t>
      </w:r>
      <w:r w:rsidRPr="00DF768C">
        <w:rPr>
          <w:rFonts w:cs="Arial"/>
          <w:rtl/>
        </w:rPr>
        <w:t xml:space="preserve">ל </w:t>
      </w:r>
      <w:r w:rsidRPr="00732BF4">
        <w:rPr>
          <w:rFonts w:cs="Arial"/>
          <w:sz w:val="16"/>
          <w:szCs w:val="16"/>
          <w:rtl/>
        </w:rPr>
        <w:t xml:space="preserve">(כתובות כו.) </w:t>
      </w:r>
      <w:r w:rsidRPr="00DF768C">
        <w:rPr>
          <w:rFonts w:cs="Arial"/>
          <w:rtl/>
        </w:rPr>
        <w:t>אין ערער פחות משנים</w:t>
      </w:r>
      <w:r>
        <w:rPr>
          <w:rFonts w:cs="Arial" w:hint="cs"/>
          <w:rtl/>
        </w:rPr>
        <w:t>,</w:t>
      </w:r>
      <w:r w:rsidRPr="00DF768C">
        <w:rPr>
          <w:rFonts w:cs="Arial"/>
          <w:rtl/>
        </w:rPr>
        <w:t xml:space="preserve"> אלא ודאי כדאמרן ומשפחה זו פסולה דקתני בשביל הכשר האחרת נקטה</w:t>
      </w:r>
      <w:r>
        <w:rPr>
          <w:rFonts w:hint="cs"/>
          <w:rtl/>
        </w:rPr>
        <w:t>, ר"ן.</w:t>
      </w:r>
    </w:p>
  </w:footnote>
  <w:footnote w:id="2553">
    <w:p w14:paraId="1EAC23E1" w14:textId="77777777" w:rsidR="0013116F" w:rsidRDefault="0013116F" w:rsidP="004B607F">
      <w:pPr>
        <w:pStyle w:val="a9"/>
        <w:rPr>
          <w:rtl/>
        </w:rPr>
      </w:pPr>
      <w:r>
        <w:rPr>
          <w:rStyle w:val="ab"/>
        </w:rPr>
        <w:footnoteRef/>
      </w:r>
      <w:r>
        <w:rPr>
          <w:rtl/>
        </w:rPr>
        <w:t xml:space="preserve"> </w:t>
      </w:r>
      <w:r>
        <w:rPr>
          <w:rFonts w:cs="Arial" w:hint="cs"/>
          <w:rtl/>
        </w:rPr>
        <w:t xml:space="preserve">וכ' עוד הר"ן- </w:t>
      </w:r>
      <w:r w:rsidRPr="00DF768C">
        <w:rPr>
          <w:rFonts w:cs="Arial"/>
          <w:rtl/>
        </w:rPr>
        <w:t>ודברי הרמב"ם מטים כדברי א</w:t>
      </w:r>
      <w:r>
        <w:rPr>
          <w:rFonts w:cs="Arial" w:hint="cs"/>
          <w:rtl/>
        </w:rPr>
        <w:t>ע"פ</w:t>
      </w:r>
      <w:r w:rsidRPr="00DF768C">
        <w:rPr>
          <w:rFonts w:cs="Arial"/>
          <w:rtl/>
        </w:rPr>
        <w:t xml:space="preserve"> שסתם דבריו</w:t>
      </w:r>
      <w:r>
        <w:rPr>
          <w:rFonts w:cs="Arial" w:hint="cs"/>
          <w:rtl/>
        </w:rPr>
        <w:t>,</w:t>
      </w:r>
      <w:r w:rsidRPr="00DF768C">
        <w:rPr>
          <w:rFonts w:cs="Arial"/>
          <w:rtl/>
        </w:rPr>
        <w:t xml:space="preserve"> וכך כתב פי"ד מהל</w:t>
      </w:r>
      <w:r>
        <w:rPr>
          <w:rFonts w:cs="Arial" w:hint="cs"/>
          <w:rtl/>
        </w:rPr>
        <w:t>'</w:t>
      </w:r>
      <w:r w:rsidRPr="00DF768C">
        <w:rPr>
          <w:rFonts w:cs="Arial"/>
          <w:rtl/>
        </w:rPr>
        <w:t xml:space="preserve"> עדות (ה"ג)</w:t>
      </w:r>
      <w:r>
        <w:rPr>
          <w:rFonts w:cs="Arial" w:hint="cs"/>
          <w:rtl/>
        </w:rPr>
        <w:t>-</w:t>
      </w:r>
      <w:r w:rsidRPr="00DF768C">
        <w:rPr>
          <w:rFonts w:cs="Arial"/>
          <w:rtl/>
        </w:rPr>
        <w:t xml:space="preserve"> ואמר לי אבא משפחה זו פסולה ומשפחה זו כשירה ואכלנו בקצצה של פלוני שהאכילוני אחיו כדי להודיע שאחיהם פלוני נשא אשה שאינה הוגנת לו שכל אלו הדברים להחזיק זה הכהן לאכול בתרומה של דבריהם או לדחותו ממנה ע"כ</w:t>
      </w:r>
      <w:r>
        <w:rPr>
          <w:rFonts w:cs="Arial" w:hint="cs"/>
          <w:rtl/>
        </w:rPr>
        <w:t>.</w:t>
      </w:r>
      <w:r w:rsidRPr="00DF768C">
        <w:rPr>
          <w:rFonts w:cs="Arial"/>
          <w:rtl/>
        </w:rPr>
        <w:t xml:space="preserve"> ונראה שר"ל שאין תלוי אם נאמינהו בעדות זו או לא נאמינהו אלא להאכילו בתרומה של דבריהם או לדחותו ממנה שאילו היה סובר הרב ז"ל שהתינוק היה נאמן לדחות את הכהן המוחזק בכשרות מתרומה של דבריהם כל שכן שהיה נאמן לדחותו משל תורה וא</w:t>
      </w:r>
      <w:r>
        <w:rPr>
          <w:rFonts w:cs="Arial" w:hint="cs"/>
          <w:rtl/>
        </w:rPr>
        <w:t>ע</w:t>
      </w:r>
      <w:r w:rsidRPr="00DF768C">
        <w:rPr>
          <w:rFonts w:cs="Arial"/>
          <w:rtl/>
        </w:rPr>
        <w:t>פ</w:t>
      </w:r>
      <w:r>
        <w:rPr>
          <w:rFonts w:cs="Arial" w:hint="cs"/>
          <w:rtl/>
        </w:rPr>
        <w:t>"</w:t>
      </w:r>
      <w:r w:rsidRPr="00DF768C">
        <w:rPr>
          <w:rFonts w:cs="Arial"/>
          <w:rtl/>
        </w:rPr>
        <w:t>כ סתם הדברים יותר מדאי</w:t>
      </w:r>
      <w:r>
        <w:rPr>
          <w:rFonts w:cs="Arial" w:hint="cs"/>
          <w:rtl/>
        </w:rPr>
        <w:t>.</w:t>
      </w:r>
      <w:r w:rsidRPr="00DF768C">
        <w:rPr>
          <w:rFonts w:cs="Arial"/>
          <w:rtl/>
        </w:rPr>
        <w:t xml:space="preserve"> עכ"ל הר"ן ז"ל.</w:t>
      </w:r>
    </w:p>
  </w:footnote>
  <w:footnote w:id="2554">
    <w:p w14:paraId="4CE934A5" w14:textId="77777777" w:rsidR="0013116F" w:rsidRDefault="0013116F" w:rsidP="004B607F">
      <w:pPr>
        <w:pStyle w:val="a9"/>
        <w:rPr>
          <w:rtl/>
        </w:rPr>
      </w:pPr>
      <w:r>
        <w:rPr>
          <w:rStyle w:val="ab"/>
        </w:rPr>
        <w:footnoteRef/>
      </w:r>
      <w:r>
        <w:rPr>
          <w:rtl/>
        </w:rPr>
        <w:t xml:space="preserve"> </w:t>
      </w:r>
      <w:r>
        <w:rPr>
          <w:rFonts w:hint="cs"/>
          <w:rtl/>
        </w:rPr>
        <w:t>לגבי קטע זה שבסוגריים מרובעות יש הרבה גירסאות. בדפוסים ראשונים אינו נמצא כלל. במהדורת הרמ"א (של"ד) נוסף הקטע באות המחבר. במהדורות הסמ"ע הש"ך ותנ"ב נדפס חלקו השני של הקטע בסוגריים באותיות רש"י (היינו אות הרמ"א). במהדורת באה"ג נדפס כל הקטע באות מרובעת. ויש עוד גירסאות. (ע"פ ההערות של שו"ע הוצאת פריעדמאן).</w:t>
      </w:r>
    </w:p>
  </w:footnote>
  <w:footnote w:id="2555">
    <w:p w14:paraId="299589D7" w14:textId="77777777" w:rsidR="0013116F" w:rsidRDefault="0013116F" w:rsidP="004B607F">
      <w:pPr>
        <w:pStyle w:val="a9"/>
      </w:pPr>
      <w:r>
        <w:rPr>
          <w:rStyle w:val="ab"/>
        </w:rPr>
        <w:footnoteRef/>
      </w:r>
      <w:r>
        <w:rPr>
          <w:rtl/>
        </w:rPr>
        <w:t xml:space="preserve"> </w:t>
      </w:r>
      <w:r w:rsidRPr="00695E0A">
        <w:rPr>
          <w:rFonts w:cs="Arial"/>
          <w:rtl/>
        </w:rPr>
        <w:t>פירוש, כל עיקרו אינו אלא דרבנן</w:t>
      </w:r>
      <w:r>
        <w:rPr>
          <w:rFonts w:cs="Arial" w:hint="cs"/>
          <w:rtl/>
        </w:rPr>
        <w:t>,</w:t>
      </w:r>
      <w:r w:rsidRPr="00695E0A">
        <w:rPr>
          <w:rFonts w:cs="Arial"/>
          <w:rtl/>
        </w:rPr>
        <w:t xml:space="preserve"> משא"כ קיום שטרות דאע"ג דגם הוא מדרבנן מ"מ הוצאת ממון יש בה צד דאו</w:t>
      </w:r>
      <w:r>
        <w:rPr>
          <w:rFonts w:cs="Arial" w:hint="cs"/>
          <w:rtl/>
        </w:rPr>
        <w:t>', סמ"ע</w:t>
      </w:r>
      <w:r w:rsidRPr="00695E0A">
        <w:rPr>
          <w:rFonts w:cs="Arial" w:hint="cs"/>
          <w:sz w:val="16"/>
          <w:szCs w:val="16"/>
          <w:rtl/>
        </w:rPr>
        <w:t xml:space="preserve"> (סקי"ד)</w:t>
      </w:r>
      <w:r>
        <w:rPr>
          <w:rFonts w:cs="Arial" w:hint="cs"/>
          <w:rtl/>
        </w:rPr>
        <w:t>.</w:t>
      </w:r>
    </w:p>
  </w:footnote>
  <w:footnote w:id="2556">
    <w:p w14:paraId="68D5C629" w14:textId="77777777" w:rsidR="0013116F" w:rsidRDefault="0013116F" w:rsidP="004B607F">
      <w:pPr>
        <w:pStyle w:val="a9"/>
      </w:pPr>
      <w:r>
        <w:rPr>
          <w:rStyle w:val="ab"/>
        </w:rPr>
        <w:footnoteRef/>
      </w:r>
      <w:r>
        <w:rPr>
          <w:rtl/>
        </w:rPr>
        <w:t xml:space="preserve"> </w:t>
      </w:r>
      <w:r>
        <w:rPr>
          <w:rFonts w:hint="cs"/>
          <w:rtl/>
        </w:rPr>
        <w:t xml:space="preserve">וכתב הש"ך (סק"ו) </w:t>
      </w:r>
      <w:r>
        <w:rPr>
          <w:rFonts w:cs="Arial" w:hint="cs"/>
          <w:rtl/>
        </w:rPr>
        <w:t>ל</w:t>
      </w:r>
      <w:r w:rsidRPr="00611A6F">
        <w:rPr>
          <w:rFonts w:cs="Arial"/>
          <w:rtl/>
        </w:rPr>
        <w:t>עיין ביו</w:t>
      </w:r>
      <w:r>
        <w:rPr>
          <w:rFonts w:cs="Arial" w:hint="cs"/>
          <w:rtl/>
        </w:rPr>
        <w:t>"ד</w:t>
      </w:r>
      <w:r w:rsidRPr="00611A6F">
        <w:rPr>
          <w:rFonts w:cs="Arial"/>
          <w:rtl/>
        </w:rPr>
        <w:t xml:space="preserve"> סי</w:t>
      </w:r>
      <w:r>
        <w:rPr>
          <w:rFonts w:cs="Arial" w:hint="cs"/>
          <w:rtl/>
        </w:rPr>
        <w:t>'</w:t>
      </w:r>
      <w:r w:rsidRPr="00611A6F">
        <w:rPr>
          <w:rFonts w:cs="Arial"/>
          <w:rtl/>
        </w:rPr>
        <w:t xml:space="preserve"> קכ"ז סע</w:t>
      </w:r>
      <w:r>
        <w:rPr>
          <w:rFonts w:cs="Arial" w:hint="cs"/>
          <w:rtl/>
        </w:rPr>
        <w:t>'</w:t>
      </w:r>
      <w:r w:rsidRPr="00611A6F">
        <w:rPr>
          <w:rFonts w:cs="Arial"/>
          <w:rtl/>
        </w:rPr>
        <w:t xml:space="preserve"> ג' בהג"ה</w:t>
      </w:r>
      <w:r>
        <w:rPr>
          <w:rFonts w:cs="Arial" w:hint="cs"/>
          <w:rtl/>
        </w:rPr>
        <w:t xml:space="preserve">. עכ"ל. ושם כתב הרמ"א וז"ל- </w:t>
      </w:r>
      <w:r w:rsidRPr="00611A6F">
        <w:rPr>
          <w:rFonts w:cs="Arial"/>
          <w:rtl/>
        </w:rPr>
        <w:t xml:space="preserve">קטן אין לו דין עד להיות נאמן באיסורין </w:t>
      </w:r>
      <w:r w:rsidRPr="005A61CD">
        <w:rPr>
          <w:rFonts w:cs="Arial"/>
          <w:sz w:val="16"/>
          <w:szCs w:val="16"/>
          <w:rtl/>
        </w:rPr>
        <w:t>(ריב"ש סי</w:t>
      </w:r>
      <w:r w:rsidRPr="005A61CD">
        <w:rPr>
          <w:rFonts w:cs="Arial" w:hint="cs"/>
          <w:sz w:val="16"/>
          <w:szCs w:val="16"/>
          <w:rtl/>
        </w:rPr>
        <w:t>'</w:t>
      </w:r>
      <w:r w:rsidRPr="005A61CD">
        <w:rPr>
          <w:rFonts w:cs="Arial"/>
          <w:sz w:val="16"/>
          <w:szCs w:val="16"/>
          <w:rtl/>
        </w:rPr>
        <w:t xml:space="preserve"> רמה)</w:t>
      </w:r>
      <w:r>
        <w:rPr>
          <w:rFonts w:cs="Arial" w:hint="cs"/>
          <w:rtl/>
        </w:rPr>
        <w:t>,</w:t>
      </w:r>
      <w:r w:rsidRPr="00611A6F">
        <w:rPr>
          <w:rFonts w:cs="Arial"/>
          <w:rtl/>
        </w:rPr>
        <w:t xml:space="preserve"> מ"מ בקטן חריף ובקי בדבר, ואיכא רגלים לדבריו, יש להחמיר אם מעיד על דבר איסור </w:t>
      </w:r>
      <w:r w:rsidRPr="005A61CD">
        <w:rPr>
          <w:rFonts w:cs="Arial"/>
          <w:sz w:val="16"/>
          <w:szCs w:val="16"/>
          <w:rtl/>
        </w:rPr>
        <w:t>(רשב"א סי</w:t>
      </w:r>
      <w:r w:rsidRPr="005A61CD">
        <w:rPr>
          <w:rFonts w:cs="Arial" w:hint="cs"/>
          <w:sz w:val="16"/>
          <w:szCs w:val="16"/>
          <w:rtl/>
        </w:rPr>
        <w:t xml:space="preserve">' </w:t>
      </w:r>
      <w:r w:rsidRPr="005A61CD">
        <w:rPr>
          <w:rFonts w:cs="Arial"/>
          <w:sz w:val="16"/>
          <w:szCs w:val="16"/>
          <w:rtl/>
        </w:rPr>
        <w:t>רד)</w:t>
      </w:r>
      <w:r w:rsidRPr="00611A6F">
        <w:rPr>
          <w:rFonts w:cs="Arial"/>
          <w:rtl/>
        </w:rPr>
        <w:t xml:space="preserve">. ואם מעיד על איסור דרבנן להקל, ולא אתחזק איסורא, כגון בדיקת חמץ, נאמן, דהימנוהו רבנן בדרבנן </w:t>
      </w:r>
      <w:r w:rsidRPr="005A61CD">
        <w:rPr>
          <w:rFonts w:cs="Arial"/>
          <w:sz w:val="16"/>
          <w:szCs w:val="16"/>
          <w:rtl/>
        </w:rPr>
        <w:t>(שם בריב"ש)</w:t>
      </w:r>
      <w:r>
        <w:rPr>
          <w:rFonts w:cs="Arial" w:hint="cs"/>
          <w:rtl/>
        </w:rPr>
        <w:t>.</w:t>
      </w:r>
      <w:r w:rsidRPr="00611A6F">
        <w:rPr>
          <w:rFonts w:cs="Arial"/>
          <w:rtl/>
        </w:rPr>
        <w:t xml:space="preserve"> אבל אם אתחזק איסורא אינו נאמן כלל</w:t>
      </w:r>
      <w:r>
        <w:rPr>
          <w:rFonts w:hint="cs"/>
          <w:rtl/>
        </w:rPr>
        <w:t>.</w:t>
      </w:r>
    </w:p>
  </w:footnote>
  <w:footnote w:id="2557">
    <w:p w14:paraId="6C1FF08D" w14:textId="77777777" w:rsidR="0013116F" w:rsidRDefault="0013116F" w:rsidP="004B607F">
      <w:pPr>
        <w:pStyle w:val="a9"/>
        <w:rPr>
          <w:rtl/>
        </w:rPr>
      </w:pPr>
      <w:r>
        <w:rPr>
          <w:rStyle w:val="ab"/>
        </w:rPr>
        <w:footnoteRef/>
      </w:r>
      <w:r>
        <w:rPr>
          <w:rtl/>
        </w:rPr>
        <w:t xml:space="preserve"> </w:t>
      </w:r>
      <w:r w:rsidRPr="00611A6F">
        <w:rPr>
          <w:rFonts w:cs="Arial"/>
          <w:rtl/>
        </w:rPr>
        <w:t>והא דצריך לומר שיצא מבית הספר, כדי שלא תאמר שמא עבד כהן הוא דאוכל תרומה בשביל רבו כהן, משא"כ השתא, דהא אסור לאדם שילמד את עבדו תורה. תוס' פ"ב דכתובות [כו</w:t>
      </w:r>
      <w:r>
        <w:rPr>
          <w:rFonts w:cs="Arial" w:hint="cs"/>
          <w:rtl/>
        </w:rPr>
        <w:t>.</w:t>
      </w:r>
      <w:r w:rsidRPr="00611A6F">
        <w:rPr>
          <w:rFonts w:cs="Arial"/>
          <w:rtl/>
        </w:rPr>
        <w:t xml:space="preserve"> ד"ה מבית], וכן איתא בגמרא שם [כח</w:t>
      </w:r>
      <w:r>
        <w:rPr>
          <w:rFonts w:cs="Arial" w:hint="cs"/>
          <w:rtl/>
        </w:rPr>
        <w:t>.</w:t>
      </w:r>
      <w:r w:rsidRPr="00611A6F">
        <w:rPr>
          <w:rFonts w:cs="Arial"/>
          <w:rtl/>
        </w:rPr>
        <w:t>]</w:t>
      </w:r>
      <w:r>
        <w:rPr>
          <w:rFonts w:cs="Arial" w:hint="cs"/>
          <w:rtl/>
        </w:rPr>
        <w:t>, סמ"ע (סקט"ו).</w:t>
      </w:r>
    </w:p>
  </w:footnote>
  <w:footnote w:id="2558">
    <w:p w14:paraId="205C5360" w14:textId="77777777" w:rsidR="0013116F" w:rsidRDefault="0013116F" w:rsidP="004B607F">
      <w:pPr>
        <w:pStyle w:val="a9"/>
      </w:pPr>
      <w:r>
        <w:rPr>
          <w:rStyle w:val="ab"/>
        </w:rPr>
        <w:footnoteRef/>
      </w:r>
      <w:r>
        <w:rPr>
          <w:rtl/>
        </w:rPr>
        <w:t xml:space="preserve"> </w:t>
      </w:r>
      <w:r w:rsidRPr="00611A6F">
        <w:rPr>
          <w:rFonts w:cs="Arial"/>
          <w:rtl/>
        </w:rPr>
        <w:t>אין לחשוש בזה שמא עבד כהן הוא, דאין עבד נוטל חלק בבית הגורן אלא אוכל מחלק רבו, או כשרבו עמו. גמרא שם [כח</w:t>
      </w:r>
      <w:r>
        <w:rPr>
          <w:rFonts w:cs="Arial" w:hint="cs"/>
          <w:rtl/>
        </w:rPr>
        <w:t>:</w:t>
      </w:r>
      <w:r w:rsidRPr="00611A6F">
        <w:rPr>
          <w:rFonts w:cs="Arial"/>
          <w:rtl/>
        </w:rPr>
        <w:t>]</w:t>
      </w:r>
      <w:r>
        <w:rPr>
          <w:rFonts w:cs="Arial" w:hint="cs"/>
          <w:rtl/>
        </w:rPr>
        <w:t>, סמ"ע (סקט"ז).</w:t>
      </w:r>
    </w:p>
  </w:footnote>
  <w:footnote w:id="2559">
    <w:p w14:paraId="10F750FC" w14:textId="77777777" w:rsidR="0013116F" w:rsidRDefault="0013116F" w:rsidP="004B607F">
      <w:pPr>
        <w:pStyle w:val="a9"/>
        <w:rPr>
          <w:rtl/>
        </w:rPr>
      </w:pPr>
      <w:r>
        <w:rPr>
          <w:rStyle w:val="ab"/>
        </w:rPr>
        <w:footnoteRef/>
      </w:r>
      <w:r>
        <w:rPr>
          <w:rtl/>
        </w:rPr>
        <w:t xml:space="preserve"> </w:t>
      </w:r>
      <w:r w:rsidRPr="00611A6F">
        <w:rPr>
          <w:rFonts w:cs="Arial"/>
          <w:rtl/>
        </w:rPr>
        <w:t>פירוש, כך העיד התינוק, על ידי היה אבי שולח לו חלה ומתנות. אבל אם אמר שהיה שולחם לו ע"י אחר, אינו נאמן, דדילמא לא דק, כ"כ בכסף משנה פי"ד מעדות [ה"ג]</w:t>
      </w:r>
      <w:r>
        <w:rPr>
          <w:rFonts w:hint="cs"/>
          <w:rtl/>
        </w:rPr>
        <w:t>, סמ"ע (סקי"ז).</w:t>
      </w:r>
    </w:p>
  </w:footnote>
  <w:footnote w:id="2560">
    <w:p w14:paraId="7AEA957B" w14:textId="77777777" w:rsidR="0013116F" w:rsidRDefault="0013116F" w:rsidP="004B607F">
      <w:pPr>
        <w:pStyle w:val="a9"/>
        <w:rPr>
          <w:rtl/>
        </w:rPr>
      </w:pPr>
      <w:r>
        <w:rPr>
          <w:rStyle w:val="ab"/>
        </w:rPr>
        <w:footnoteRef/>
      </w:r>
      <w:r>
        <w:rPr>
          <w:rtl/>
        </w:rPr>
        <w:t xml:space="preserve"> </w:t>
      </w:r>
      <w:r>
        <w:rPr>
          <w:rFonts w:hint="cs"/>
          <w:rtl/>
        </w:rPr>
        <w:t xml:space="preserve">סימן </w:t>
      </w:r>
      <w:r>
        <w:rPr>
          <w:rtl/>
        </w:rPr>
        <w:t>–</w:t>
      </w:r>
      <w:r>
        <w:rPr>
          <w:rFonts w:hint="cs"/>
          <w:rtl/>
        </w:rPr>
        <w:t xml:space="preserve"> כתב חרוט. כלה חרוטה. כהן חרוט. וכן </w:t>
      </w:r>
      <w:r>
        <w:rPr>
          <w:rtl/>
        </w:rPr>
        <w:t>–</w:t>
      </w:r>
      <w:r>
        <w:rPr>
          <w:rFonts w:hint="cs"/>
          <w:rtl/>
        </w:rPr>
        <w:t xml:space="preserve"> כשהוא חרג'וק</w:t>
      </w:r>
      <w:r>
        <w:rPr>
          <w:rFonts w:hint="cs"/>
          <w:sz w:val="16"/>
          <w:szCs w:val="16"/>
          <w:rtl/>
        </w:rPr>
        <w:t xml:space="preserve"> {היינו קטן}</w:t>
      </w:r>
      <w:r>
        <w:rPr>
          <w:rFonts w:hint="cs"/>
          <w:rtl/>
        </w:rPr>
        <w:t>.</w:t>
      </w:r>
    </w:p>
  </w:footnote>
  <w:footnote w:id="2561">
    <w:p w14:paraId="147589E5" w14:textId="77777777" w:rsidR="0013116F" w:rsidRDefault="0013116F" w:rsidP="004B607F">
      <w:pPr>
        <w:pStyle w:val="a9"/>
      </w:pPr>
      <w:r>
        <w:rPr>
          <w:rStyle w:val="ab"/>
        </w:rPr>
        <w:footnoteRef/>
      </w:r>
      <w:r>
        <w:rPr>
          <w:rtl/>
        </w:rPr>
        <w:t xml:space="preserve"> </w:t>
      </w:r>
      <w:r w:rsidRPr="00553D28">
        <w:rPr>
          <w:rFonts w:cs="Arial"/>
          <w:rtl/>
        </w:rPr>
        <w:t>ובעבד הוי טעמא דכיון דאין בידו להשתחרר לא דייק ואפילו אי הוה בידיה להשתחרר כיון דאינו חייב בכל המצות כישראל דינו כגוי</w:t>
      </w:r>
      <w:r>
        <w:rPr>
          <w:rFonts w:cs="Arial" w:hint="cs"/>
          <w:rtl/>
        </w:rPr>
        <w:t>, ב"י.</w:t>
      </w:r>
    </w:p>
  </w:footnote>
  <w:footnote w:id="2562">
    <w:p w14:paraId="7C37D38E" w14:textId="77777777" w:rsidR="0013116F" w:rsidRDefault="0013116F" w:rsidP="004B607F">
      <w:pPr>
        <w:pStyle w:val="a9"/>
        <w:rPr>
          <w:rtl/>
        </w:rPr>
      </w:pPr>
      <w:r>
        <w:rPr>
          <w:rStyle w:val="ab"/>
        </w:rPr>
        <w:footnoteRef/>
      </w:r>
      <w:r>
        <w:rPr>
          <w:rtl/>
        </w:rPr>
        <w:t xml:space="preserve"> </w:t>
      </w:r>
      <w:r w:rsidRPr="002F6317">
        <w:rPr>
          <w:rFonts w:cs="Arial"/>
          <w:rtl/>
        </w:rPr>
        <w:t>באו"ח ס</w:t>
      </w:r>
      <w:r>
        <w:rPr>
          <w:rFonts w:cs="Arial" w:hint="cs"/>
          <w:rtl/>
        </w:rPr>
        <w:t>"</w:t>
      </w:r>
      <w:r w:rsidRPr="002F6317">
        <w:rPr>
          <w:rFonts w:cs="Arial"/>
          <w:rtl/>
        </w:rPr>
        <w:t>ס שצ"ט כתבו הט</w:t>
      </w:r>
      <w:r>
        <w:rPr>
          <w:rFonts w:cs="Arial" w:hint="cs"/>
          <w:rtl/>
        </w:rPr>
        <w:t>ור והמחבר</w:t>
      </w:r>
      <w:r w:rsidRPr="002F6317">
        <w:rPr>
          <w:rFonts w:cs="Arial"/>
          <w:rtl/>
        </w:rPr>
        <w:t xml:space="preserve"> דאתחומין נאמנין עבד ושפחה אפילו קודם שנשתחררו, ומשום הכי כשכתב הטור [סע</w:t>
      </w:r>
      <w:r>
        <w:rPr>
          <w:rFonts w:cs="Arial" w:hint="cs"/>
          <w:rtl/>
        </w:rPr>
        <w:t xml:space="preserve">' </w:t>
      </w:r>
      <w:r w:rsidRPr="002F6317">
        <w:rPr>
          <w:rFonts w:cs="Arial"/>
          <w:rtl/>
        </w:rPr>
        <w:t>ח] האי דינא, דקדק וכתב ז"ל, וכל אלו "שמעיד" בהן הגדול כו'. וכתבתי בפרישה דמשום הכי כתב "שמעיד", מפני שלא איירי בכלל זה אלא בדברים הנ"ל שצריכין עדות, משא"כ נאמנות דתחומין דאינו נאמן משום תורת עדות, דא"כ לא היה נאמן עבד ושפחה דפסולין לעדות, אלא דהימנוהו משום דאינו אלא גילוי מילתא בעלמא. והמחבר ג"כ רמזו במה שכתב "והעיד" אחר שנתגייר כו', ללמדנו דדוקא במקום דבעינן עדות אין נאמנין, משא"כ בתחומין וכמ"ש</w:t>
      </w:r>
      <w:r>
        <w:rPr>
          <w:rFonts w:hint="cs"/>
          <w:rtl/>
        </w:rPr>
        <w:t>, סמ"ע (סקי"ח).</w:t>
      </w:r>
    </w:p>
  </w:footnote>
  <w:footnote w:id="2563">
    <w:p w14:paraId="04BBE5BA" w14:textId="77777777" w:rsidR="0013116F" w:rsidRDefault="0013116F" w:rsidP="004B607F">
      <w:pPr>
        <w:pStyle w:val="a9"/>
      </w:pPr>
      <w:r>
        <w:rPr>
          <w:rStyle w:val="ab"/>
        </w:rPr>
        <w:footnoteRef/>
      </w:r>
      <w:r>
        <w:rPr>
          <w:rtl/>
        </w:rPr>
        <w:t xml:space="preserve"> </w:t>
      </w:r>
      <w:r>
        <w:rPr>
          <w:rFonts w:hint="cs"/>
          <w:rtl/>
        </w:rPr>
        <w:t xml:space="preserve">סימן </w:t>
      </w:r>
      <w:r>
        <w:rPr>
          <w:rtl/>
        </w:rPr>
        <w:t>–</w:t>
      </w:r>
      <w:r>
        <w:rPr>
          <w:rFonts w:hint="cs"/>
          <w:rtl/>
        </w:rPr>
        <w:t xml:space="preserve"> גרון</w:t>
      </w:r>
      <w:r>
        <w:rPr>
          <w:rFonts w:hint="cs"/>
          <w:sz w:val="14"/>
          <w:szCs w:val="14"/>
          <w:rtl/>
        </w:rPr>
        <w:t xml:space="preserve"> </w:t>
      </w:r>
      <w:r w:rsidRPr="00434982">
        <w:rPr>
          <w:rFonts w:hint="cs"/>
          <w:sz w:val="16"/>
          <w:szCs w:val="16"/>
          <w:rtl/>
        </w:rPr>
        <w:t>(היינו עדות)</w:t>
      </w:r>
      <w:r>
        <w:rPr>
          <w:rFonts w:hint="cs"/>
          <w:rtl/>
        </w:rPr>
        <w:t xml:space="preserve"> גזוּר.</w:t>
      </w:r>
    </w:p>
  </w:footnote>
  <w:footnote w:id="2564">
    <w:p w14:paraId="3768BCDB" w14:textId="77777777" w:rsidR="0013116F" w:rsidRDefault="0013116F" w:rsidP="004B607F">
      <w:pPr>
        <w:pStyle w:val="a9"/>
        <w:rPr>
          <w:rtl/>
        </w:rPr>
      </w:pPr>
      <w:r>
        <w:rPr>
          <w:rStyle w:val="ab"/>
        </w:rPr>
        <w:footnoteRef/>
      </w:r>
      <w:r>
        <w:rPr>
          <w:rtl/>
        </w:rPr>
        <w:t xml:space="preserve"> </w:t>
      </w:r>
      <w:r>
        <w:rPr>
          <w:rFonts w:hint="cs"/>
          <w:rtl/>
        </w:rPr>
        <w:t>איך מתפרשים דבריו של רב הונא.</w:t>
      </w:r>
    </w:p>
  </w:footnote>
  <w:footnote w:id="2565">
    <w:p w14:paraId="4821DE72" w14:textId="77777777" w:rsidR="0013116F" w:rsidRDefault="0013116F" w:rsidP="004B607F">
      <w:pPr>
        <w:pStyle w:val="a9"/>
      </w:pPr>
      <w:r>
        <w:rPr>
          <w:rStyle w:val="ab"/>
        </w:rPr>
        <w:footnoteRef/>
      </w:r>
      <w:r>
        <w:rPr>
          <w:rtl/>
        </w:rPr>
        <w:t xml:space="preserve"> </w:t>
      </w:r>
      <w:r w:rsidRPr="00C4747B">
        <w:rPr>
          <w:rFonts w:cs="Arial"/>
          <w:rtl/>
        </w:rPr>
        <w:t xml:space="preserve">מדכתב </w:t>
      </w:r>
      <w:r>
        <w:rPr>
          <w:rFonts w:cs="Arial" w:hint="cs"/>
          <w:rtl/>
        </w:rPr>
        <w:t>'</w:t>
      </w:r>
      <w:r w:rsidRPr="00C4747B">
        <w:rPr>
          <w:rFonts w:cs="Arial"/>
          <w:rtl/>
        </w:rPr>
        <w:t>בדבר מן הדברים</w:t>
      </w:r>
      <w:r>
        <w:rPr>
          <w:rFonts w:cs="Arial" w:hint="cs"/>
          <w:rtl/>
        </w:rPr>
        <w:t>'</w:t>
      </w:r>
      <w:r w:rsidRPr="00C4747B">
        <w:rPr>
          <w:rFonts w:cs="Arial"/>
          <w:rtl/>
        </w:rPr>
        <w:t xml:space="preserve"> משמע בהדיא דכרבי יוחנן דאמר אפילו באחת מהן סבירא ליה</w:t>
      </w:r>
      <w:r>
        <w:rPr>
          <w:rFonts w:cs="Arial" w:hint="cs"/>
          <w:rtl/>
        </w:rPr>
        <w:t>, ב"י.</w:t>
      </w:r>
    </w:p>
  </w:footnote>
  <w:footnote w:id="2566">
    <w:p w14:paraId="565FA0CA" w14:textId="77777777" w:rsidR="0013116F" w:rsidRDefault="0013116F" w:rsidP="004B607F">
      <w:pPr>
        <w:pStyle w:val="a9"/>
        <w:rPr>
          <w:rtl/>
        </w:rPr>
      </w:pPr>
      <w:r>
        <w:rPr>
          <w:rStyle w:val="ab"/>
        </w:rPr>
        <w:footnoteRef/>
      </w:r>
      <w:r>
        <w:rPr>
          <w:rtl/>
        </w:rPr>
        <w:t xml:space="preserve"> </w:t>
      </w:r>
      <w:r>
        <w:rPr>
          <w:rFonts w:cs="Arial"/>
          <w:rtl/>
        </w:rPr>
        <w:t>זה פשוט דכיון דלאו בר דעת הוא לא סמכינן אסהדותיה</w:t>
      </w:r>
      <w:r>
        <w:rPr>
          <w:rFonts w:hint="cs"/>
          <w:rtl/>
        </w:rPr>
        <w:t>, ב"י.</w:t>
      </w:r>
    </w:p>
  </w:footnote>
  <w:footnote w:id="2567">
    <w:p w14:paraId="2DA85C5F" w14:textId="77777777" w:rsidR="0013116F" w:rsidRDefault="0013116F" w:rsidP="004B607F">
      <w:pPr>
        <w:pStyle w:val="a9"/>
        <w:rPr>
          <w:rtl/>
        </w:rPr>
      </w:pPr>
      <w:r>
        <w:rPr>
          <w:rStyle w:val="ab"/>
        </w:rPr>
        <w:footnoteRef/>
      </w:r>
      <w:r>
        <w:rPr>
          <w:rtl/>
        </w:rPr>
        <w:t xml:space="preserve"> </w:t>
      </w:r>
      <w:r>
        <w:rPr>
          <w:rFonts w:cs="Arial" w:hint="cs"/>
          <w:rtl/>
        </w:rPr>
        <w:t xml:space="preserve">וז"ל- </w:t>
      </w:r>
      <w:r w:rsidRPr="007D16A8">
        <w:rPr>
          <w:rFonts w:cs="Arial"/>
          <w:rtl/>
        </w:rPr>
        <w:t>השוטה פסול לעדות מן התורה לפי שאינו בן מצות</w:t>
      </w:r>
      <w:r>
        <w:rPr>
          <w:rFonts w:hint="cs"/>
          <w:rtl/>
        </w:rPr>
        <w:t>-...</w:t>
      </w:r>
    </w:p>
  </w:footnote>
  <w:footnote w:id="2568">
    <w:p w14:paraId="2EEC6D13" w14:textId="77777777" w:rsidR="0013116F" w:rsidRDefault="0013116F" w:rsidP="004B607F">
      <w:pPr>
        <w:pStyle w:val="a9"/>
        <w:rPr>
          <w:rtl/>
        </w:rPr>
      </w:pPr>
      <w:r>
        <w:rPr>
          <w:rStyle w:val="ab"/>
        </w:rPr>
        <w:footnoteRef/>
      </w:r>
      <w:r>
        <w:rPr>
          <w:rtl/>
        </w:rPr>
        <w:t xml:space="preserve"> </w:t>
      </w:r>
      <w:r w:rsidRPr="00F921C1">
        <w:rPr>
          <w:rFonts w:cs="Arial"/>
          <w:rtl/>
        </w:rPr>
        <w:t>אם מדבר ואינו יודע מה מדבר כדרך החולים הרי זה כשוטה גמור</w:t>
      </w:r>
      <w:r>
        <w:rPr>
          <w:rFonts w:cs="Arial" w:hint="cs"/>
          <w:rtl/>
        </w:rPr>
        <w:t>,</w:t>
      </w:r>
      <w:r w:rsidRPr="006341A4">
        <w:rPr>
          <w:rFonts w:cs="Arial" w:hint="cs"/>
          <w:rtl/>
        </w:rPr>
        <w:t xml:space="preserve"> </w:t>
      </w:r>
      <w:r w:rsidRPr="00F921C1">
        <w:rPr>
          <w:rFonts w:cs="Arial" w:hint="cs"/>
          <w:rtl/>
        </w:rPr>
        <w:t xml:space="preserve">דרכ"מ </w:t>
      </w:r>
      <w:r w:rsidRPr="006341A4">
        <w:rPr>
          <w:rFonts w:cs="Arial"/>
          <w:sz w:val="16"/>
          <w:szCs w:val="16"/>
          <w:rtl/>
        </w:rPr>
        <w:t>(</w:t>
      </w:r>
      <w:r w:rsidRPr="006341A4">
        <w:rPr>
          <w:rFonts w:cs="Arial" w:hint="cs"/>
          <w:sz w:val="16"/>
          <w:szCs w:val="16"/>
          <w:rtl/>
        </w:rPr>
        <w:t xml:space="preserve">סי' קכא אות </w:t>
      </w:r>
      <w:r w:rsidRPr="006341A4">
        <w:rPr>
          <w:rFonts w:cs="Arial"/>
          <w:sz w:val="16"/>
          <w:szCs w:val="16"/>
          <w:rtl/>
        </w:rPr>
        <w:t>ו</w:t>
      </w:r>
      <w:r w:rsidRPr="006341A4">
        <w:rPr>
          <w:rFonts w:cs="Arial" w:hint="cs"/>
          <w:sz w:val="16"/>
          <w:szCs w:val="16"/>
          <w:rtl/>
        </w:rPr>
        <w:t>, ו</w:t>
      </w:r>
      <w:r w:rsidRPr="006341A4">
        <w:rPr>
          <w:rFonts w:cs="Arial"/>
          <w:sz w:val="16"/>
          <w:szCs w:val="16"/>
          <w:rtl/>
        </w:rPr>
        <w:t>בד</w:t>
      </w:r>
      <w:r w:rsidRPr="006341A4">
        <w:rPr>
          <w:rFonts w:cs="Arial" w:hint="cs"/>
          <w:sz w:val="16"/>
          <w:szCs w:val="16"/>
          <w:rtl/>
        </w:rPr>
        <w:t>רכ</w:t>
      </w:r>
      <w:r w:rsidRPr="006341A4">
        <w:rPr>
          <w:rFonts w:cs="Arial"/>
          <w:sz w:val="16"/>
          <w:szCs w:val="16"/>
          <w:rtl/>
        </w:rPr>
        <w:t>"מ הארוך ס"ד ד"ה צריך לדקדק וכו')</w:t>
      </w:r>
      <w:r w:rsidRPr="00F921C1">
        <w:rPr>
          <w:rFonts w:cs="Arial"/>
          <w:rtl/>
        </w:rPr>
        <w:t>.</w:t>
      </w:r>
    </w:p>
  </w:footnote>
  <w:footnote w:id="2569">
    <w:p w14:paraId="3F212D19" w14:textId="77777777" w:rsidR="0013116F" w:rsidRDefault="0013116F" w:rsidP="004B607F">
      <w:pPr>
        <w:pStyle w:val="a9"/>
        <w:rPr>
          <w:rtl/>
        </w:rPr>
      </w:pPr>
      <w:r>
        <w:rPr>
          <w:rStyle w:val="ab"/>
        </w:rPr>
        <w:footnoteRef/>
      </w:r>
      <w:r>
        <w:rPr>
          <w:rtl/>
        </w:rPr>
        <w:t xml:space="preserve"> </w:t>
      </w:r>
      <w:r>
        <w:rPr>
          <w:rFonts w:hint="cs"/>
          <w:rtl/>
        </w:rPr>
        <w:t>וז"ל-</w:t>
      </w:r>
      <w:r>
        <w:rPr>
          <w:rFonts w:cs="Arial" w:hint="cs"/>
          <w:rtl/>
        </w:rPr>
        <w:t xml:space="preserve"> </w:t>
      </w:r>
      <w:r w:rsidRPr="00F921C1">
        <w:rPr>
          <w:rFonts w:cs="Arial"/>
          <w:rtl/>
        </w:rPr>
        <w:t>מי שהוא שוטה בשאר דברים אע</w:t>
      </w:r>
      <w:r>
        <w:rPr>
          <w:rFonts w:cs="Arial" w:hint="cs"/>
          <w:rtl/>
        </w:rPr>
        <w:t>"</w:t>
      </w:r>
      <w:r w:rsidRPr="00F921C1">
        <w:rPr>
          <w:rFonts w:cs="Arial"/>
          <w:rtl/>
        </w:rPr>
        <w:t>פ שאינו לן בבית הקברות או קורע כסותו אפילו הכי מיקרי שוטה</w:t>
      </w:r>
      <w:r>
        <w:rPr>
          <w:rFonts w:cs="Arial" w:hint="cs"/>
          <w:rtl/>
        </w:rPr>
        <w:t>.</w:t>
      </w:r>
    </w:p>
  </w:footnote>
  <w:footnote w:id="2570">
    <w:p w14:paraId="76CBDE96" w14:textId="77777777" w:rsidR="0013116F" w:rsidRDefault="0013116F" w:rsidP="004B607F">
      <w:pPr>
        <w:pStyle w:val="a9"/>
      </w:pPr>
      <w:r>
        <w:rPr>
          <w:rStyle w:val="ab"/>
        </w:rPr>
        <w:footnoteRef/>
      </w:r>
      <w:r>
        <w:rPr>
          <w:rtl/>
        </w:rPr>
        <w:t xml:space="preserve"> </w:t>
      </w:r>
      <w:r>
        <w:rPr>
          <w:rFonts w:cs="Arial" w:hint="cs"/>
          <w:rtl/>
        </w:rPr>
        <w:t xml:space="preserve">כתב הב"י וז"ל- </w:t>
      </w:r>
      <w:r w:rsidRPr="00F921C1">
        <w:rPr>
          <w:rFonts w:cs="Arial"/>
          <w:rtl/>
        </w:rPr>
        <w:t>לכאורה היה נראה דחד מהני ארבע דתניא בגמרא בעינן ליחשב שוטה אבל אי עביד שאר דברים אחרים דרך שטות אכתי בחזקת שפוי הוא כיון שאינו עושה דבר מד' דברים הללו אלא דמדברי הרמב"ם שלא הזכיר דברים הללו אלא סתם וכתב שנטרפה דעתו וכו' בדבר מן הדברים משמע ד</w:t>
      </w:r>
      <w:r>
        <w:rPr>
          <w:rFonts w:cs="Arial" w:hint="cs"/>
          <w:rtl/>
        </w:rPr>
        <w:t>-...</w:t>
      </w:r>
    </w:p>
  </w:footnote>
  <w:footnote w:id="2571">
    <w:p w14:paraId="06271DC7" w14:textId="77777777" w:rsidR="0013116F" w:rsidRDefault="0013116F" w:rsidP="004B607F">
      <w:pPr>
        <w:pStyle w:val="a9"/>
      </w:pPr>
      <w:r>
        <w:rPr>
          <w:rStyle w:val="ab"/>
        </w:rPr>
        <w:footnoteRef/>
      </w:r>
      <w:r>
        <w:rPr>
          <w:rtl/>
        </w:rPr>
        <w:t xml:space="preserve"> </w:t>
      </w:r>
      <w:r w:rsidRPr="00F921C1">
        <w:rPr>
          <w:rFonts w:cs="Arial"/>
          <w:rtl/>
        </w:rPr>
        <w:t>ונראה שהכריחו לפרש כן מדחזינן דבברייתא קמייתא קתני תלת ולא קתני מאבד מה שנותנין לו ובאידך ברייתא קתני מאבד מה שנותנין לו ולא קתני אינך תלתא ואם איתא דהני ד' דוקא קשיא על ברייתא קמייתא אמאי לא קתני מאבד מה שנותנין לו ובאידך ברייתא לא קתני הנך תלתא אלא ודאי הני לאו דוקא אלא לדוגמא נקטינהו והך ברייתא נקטה הנך לדוגמא ואידך ברייתא נקטה הך וזה שלא כדברי רבינו שמחה שכתבתי בסימן קי"ט (ב:)</w:t>
      </w:r>
      <w:r>
        <w:rPr>
          <w:rFonts w:cs="Arial" w:hint="cs"/>
          <w:rtl/>
        </w:rPr>
        <w:t>, ב"י.</w:t>
      </w:r>
    </w:p>
  </w:footnote>
  <w:footnote w:id="2572">
    <w:p w14:paraId="25AE0362" w14:textId="77777777" w:rsidR="0013116F" w:rsidRDefault="0013116F" w:rsidP="004B607F">
      <w:pPr>
        <w:pStyle w:val="a9"/>
      </w:pPr>
      <w:r>
        <w:rPr>
          <w:rStyle w:val="ab"/>
        </w:rPr>
        <w:footnoteRef/>
      </w:r>
      <w:r>
        <w:rPr>
          <w:rtl/>
        </w:rPr>
        <w:t xml:space="preserve"> </w:t>
      </w:r>
      <w:r>
        <w:rPr>
          <w:rFonts w:cs="Arial" w:hint="cs"/>
          <w:rtl/>
        </w:rPr>
        <w:t xml:space="preserve">וז"ל מהרי"ק- </w:t>
      </w:r>
      <w:r w:rsidRPr="00F921C1">
        <w:rPr>
          <w:rFonts w:cs="Arial"/>
          <w:rtl/>
        </w:rPr>
        <w:t>הלא ידע מר מה שהשיב רבינו אביגדור כהן לרבינו מאיר על אודות הגט שניתן בווירצבורק וז</w:t>
      </w:r>
      <w:r>
        <w:rPr>
          <w:rFonts w:cs="Arial" w:hint="cs"/>
          <w:rtl/>
        </w:rPr>
        <w:t>"</w:t>
      </w:r>
      <w:r w:rsidRPr="00F921C1">
        <w:rPr>
          <w:rFonts w:cs="Arial"/>
          <w:rtl/>
        </w:rPr>
        <w:t>ל</w:t>
      </w:r>
      <w:r>
        <w:rPr>
          <w:rFonts w:cs="Arial" w:hint="cs"/>
          <w:rtl/>
        </w:rPr>
        <w:t>-</w:t>
      </w:r>
      <w:r w:rsidRPr="00F921C1">
        <w:rPr>
          <w:rFonts w:cs="Arial"/>
          <w:rtl/>
        </w:rPr>
        <w:t xml:space="preserve"> אם לא הוחזק שוטה בדברים האמורים בפ</w:t>
      </w:r>
      <w:r>
        <w:rPr>
          <w:rFonts w:cs="Arial" w:hint="cs"/>
          <w:rtl/>
        </w:rPr>
        <w:t>"</w:t>
      </w:r>
      <w:r w:rsidRPr="00F921C1">
        <w:rPr>
          <w:rFonts w:cs="Arial"/>
          <w:rtl/>
        </w:rPr>
        <w:t xml:space="preserve">ק דחגיגה הרי הוא כפקח לכל דבריו </w:t>
      </w:r>
      <w:r>
        <w:rPr>
          <w:rFonts w:cs="Arial" w:hint="cs"/>
          <w:rtl/>
        </w:rPr>
        <w:t>ע</w:t>
      </w:r>
      <w:r w:rsidRPr="00F921C1">
        <w:rPr>
          <w:rFonts w:cs="Arial"/>
          <w:rtl/>
        </w:rPr>
        <w:t>כ</w:t>
      </w:r>
      <w:r>
        <w:rPr>
          <w:rFonts w:cs="Arial" w:hint="cs"/>
          <w:rtl/>
        </w:rPr>
        <w:t>"</w:t>
      </w:r>
      <w:r w:rsidRPr="00F921C1">
        <w:rPr>
          <w:rFonts w:cs="Arial"/>
          <w:rtl/>
        </w:rPr>
        <w:t>ל</w:t>
      </w:r>
      <w:r>
        <w:rPr>
          <w:rFonts w:cs="Arial" w:hint="cs"/>
          <w:rtl/>
        </w:rPr>
        <w:t>.</w:t>
      </w:r>
      <w:r w:rsidRPr="00F921C1">
        <w:rPr>
          <w:rFonts w:cs="Arial"/>
          <w:rtl/>
        </w:rPr>
        <w:t xml:space="preserve"> ואם יראה בעיני כבוד תורתו דלאו דוקא הני דפ</w:t>
      </w:r>
      <w:r>
        <w:rPr>
          <w:rFonts w:cs="Arial" w:hint="cs"/>
          <w:rtl/>
        </w:rPr>
        <w:t>"ק</w:t>
      </w:r>
      <w:r w:rsidRPr="00F921C1">
        <w:rPr>
          <w:rFonts w:cs="Arial"/>
          <w:rtl/>
        </w:rPr>
        <w:t xml:space="preserve"> דחגיגה אלא שדיברו חכמים בהווה אע</w:t>
      </w:r>
      <w:r>
        <w:rPr>
          <w:rFonts w:cs="Arial" w:hint="cs"/>
          <w:rtl/>
        </w:rPr>
        <w:t>"</w:t>
      </w:r>
      <w:r w:rsidRPr="00F921C1">
        <w:rPr>
          <w:rFonts w:cs="Arial"/>
          <w:rtl/>
        </w:rPr>
        <w:t>ג דמתוך לשון רבינו אביגדור לא משמע כן ויראה בעיני כבוד תורתו שהגיע זה לשטות גדול כמו הני דפ</w:t>
      </w:r>
      <w:r>
        <w:rPr>
          <w:rFonts w:cs="Arial" w:hint="cs"/>
          <w:rtl/>
        </w:rPr>
        <w:t>"ק</w:t>
      </w:r>
      <w:r w:rsidRPr="00F921C1">
        <w:rPr>
          <w:rFonts w:cs="Arial"/>
          <w:rtl/>
        </w:rPr>
        <w:t xml:space="preserve"> דחגיגה אז ודאי יש להשבי</w:t>
      </w:r>
      <w:r>
        <w:rPr>
          <w:rFonts w:cs="Arial" w:hint="cs"/>
          <w:rtl/>
        </w:rPr>
        <w:t>עה סתם וכו'</w:t>
      </w:r>
      <w:r w:rsidRPr="00F921C1">
        <w:rPr>
          <w:rFonts w:cs="Arial"/>
          <w:rtl/>
        </w:rPr>
        <w:t>.</w:t>
      </w:r>
    </w:p>
  </w:footnote>
  <w:footnote w:id="2573">
    <w:p w14:paraId="1FC480E6" w14:textId="77777777" w:rsidR="0013116F" w:rsidRDefault="0013116F" w:rsidP="004B607F">
      <w:pPr>
        <w:pStyle w:val="a9"/>
      </w:pPr>
      <w:r>
        <w:rPr>
          <w:rStyle w:val="ab"/>
        </w:rPr>
        <w:footnoteRef/>
      </w:r>
      <w:r>
        <w:rPr>
          <w:rtl/>
        </w:rPr>
        <w:t xml:space="preserve"> </w:t>
      </w:r>
      <w:r w:rsidRPr="00681348">
        <w:rPr>
          <w:rFonts w:cs="Arial"/>
          <w:rtl/>
        </w:rPr>
        <w:t>כתב "תמיד", לאפוקי באקראי בעלמא</w:t>
      </w:r>
      <w:r>
        <w:rPr>
          <w:rFonts w:cs="Arial" w:hint="cs"/>
          <w:rtl/>
        </w:rPr>
        <w:t>, סמ"ע (סק"כ).</w:t>
      </w:r>
    </w:p>
  </w:footnote>
  <w:footnote w:id="2574">
    <w:p w14:paraId="5091B72B" w14:textId="77777777" w:rsidR="0013116F" w:rsidRDefault="0013116F" w:rsidP="004B607F">
      <w:pPr>
        <w:pStyle w:val="a9"/>
      </w:pPr>
      <w:r>
        <w:rPr>
          <w:rStyle w:val="ab"/>
        </w:rPr>
        <w:footnoteRef/>
      </w:r>
      <w:r>
        <w:rPr>
          <w:rtl/>
        </w:rPr>
        <w:t xml:space="preserve"> </w:t>
      </w:r>
      <w:r>
        <w:rPr>
          <w:rFonts w:hint="cs"/>
          <w:rtl/>
        </w:rPr>
        <w:t xml:space="preserve">סימן </w:t>
      </w:r>
      <w:r>
        <w:rPr>
          <w:rtl/>
        </w:rPr>
        <w:t>–</w:t>
      </w:r>
      <w:r>
        <w:rPr>
          <w:rFonts w:hint="cs"/>
          <w:rtl/>
        </w:rPr>
        <w:t xml:space="preserve"> כשהוא חלים כשהוא חולה.</w:t>
      </w:r>
    </w:p>
  </w:footnote>
  <w:footnote w:id="2575">
    <w:p w14:paraId="012CCEA2" w14:textId="77777777" w:rsidR="0013116F" w:rsidRDefault="0013116F" w:rsidP="004B607F">
      <w:pPr>
        <w:pStyle w:val="a9"/>
      </w:pPr>
      <w:r>
        <w:rPr>
          <w:rStyle w:val="ab"/>
        </w:rPr>
        <w:footnoteRef/>
      </w:r>
      <w:r>
        <w:rPr>
          <w:rtl/>
        </w:rPr>
        <w:t xml:space="preserve"> </w:t>
      </w:r>
      <w:r>
        <w:rPr>
          <w:rFonts w:cs="Arial" w:hint="cs"/>
          <w:rtl/>
        </w:rPr>
        <w:t xml:space="preserve">וז"ל </w:t>
      </w:r>
      <w:r w:rsidRPr="001808A4">
        <w:rPr>
          <w:rFonts w:cs="Arial" w:hint="cs"/>
          <w:rtl/>
        </w:rPr>
        <w:t>-</w:t>
      </w:r>
      <w:r w:rsidRPr="001808A4">
        <w:rPr>
          <w:rFonts w:cs="Arial"/>
          <w:rtl/>
        </w:rPr>
        <w:t xml:space="preserve"> הפתאים והנחפזים ואנשים שאינם יודעים להבין עיקר דבריהם צריכין דרישה וחקירה לבית דין שאף הם בכלל שוטים דלאו בני דעת נינהו</w:t>
      </w:r>
      <w:r w:rsidRPr="001808A4">
        <w:rPr>
          <w:rFonts w:cs="Arial" w:hint="cs"/>
          <w:rtl/>
        </w:rPr>
        <w:t>.</w:t>
      </w:r>
    </w:p>
  </w:footnote>
  <w:footnote w:id="2576">
    <w:p w14:paraId="2EFFC072" w14:textId="77777777" w:rsidR="0013116F" w:rsidRDefault="0013116F" w:rsidP="004B607F">
      <w:pPr>
        <w:pStyle w:val="a9"/>
      </w:pPr>
      <w:r>
        <w:rPr>
          <w:rStyle w:val="ab"/>
        </w:rPr>
        <w:footnoteRef/>
      </w:r>
      <w:r>
        <w:rPr>
          <w:rtl/>
        </w:rPr>
        <w:t xml:space="preserve"> </w:t>
      </w:r>
      <w:r w:rsidRPr="00622CDE">
        <w:rPr>
          <w:rFonts w:cs="Arial"/>
          <w:rtl/>
        </w:rPr>
        <w:t>זהו החילוק בין פתי לשוטה, שהשוטה דעתו היא משובשת ומטורפת לגמרי בדבר מהדברים, משא"כ פתי שאינו מטורף לגמרי בשום דבר. אבל מצד אחד הוא גרע מהשוטה, שהשוטה בשאר דברים הוא חכם כשאר בני אדם. והפתי הוא שאין לו שכל גמור, ואינו מבין שום דבר בדרך שמבינין אותו שאר בני אדם, ומשום הכי סיים וכתב דבכלל שוטה "יחשב", והיינו לדין פסול, אבל לאו שם שוטה עליו</w:t>
      </w:r>
      <w:r>
        <w:rPr>
          <w:rFonts w:cs="Arial" w:hint="cs"/>
          <w:rtl/>
        </w:rPr>
        <w:t>, סמ"ע (סקכ"א).</w:t>
      </w:r>
    </w:p>
  </w:footnote>
  <w:footnote w:id="2577">
    <w:p w14:paraId="2486939C" w14:textId="77777777" w:rsidR="0013116F" w:rsidRDefault="0013116F" w:rsidP="004B607F">
      <w:pPr>
        <w:pStyle w:val="a9"/>
      </w:pPr>
      <w:r>
        <w:rPr>
          <w:rStyle w:val="ab"/>
        </w:rPr>
        <w:footnoteRef/>
      </w:r>
      <w:r>
        <w:rPr>
          <w:rtl/>
        </w:rPr>
        <w:t xml:space="preserve"> </w:t>
      </w:r>
      <w:r w:rsidRPr="00622CDE">
        <w:rPr>
          <w:rFonts w:cs="Arial"/>
          <w:rtl/>
        </w:rPr>
        <w:t>נראה שכל הני פירושם הוא שאינם מתונים בעניניהם, אלא כל מעשיהן עושין במהירות ולא מבינים לסוף הענין ולתכלית המעשה, מ</w:t>
      </w:r>
      <w:r>
        <w:rPr>
          <w:rFonts w:cs="Arial" w:hint="cs"/>
          <w:rtl/>
        </w:rPr>
        <w:t>ש</w:t>
      </w:r>
      <w:r w:rsidRPr="00622CDE">
        <w:rPr>
          <w:rFonts w:cs="Arial"/>
          <w:rtl/>
        </w:rPr>
        <w:t>"ה זה ג"כ בשם שגעון ושטות יחשב</w:t>
      </w:r>
      <w:r>
        <w:rPr>
          <w:rFonts w:cs="Arial" w:hint="cs"/>
          <w:rtl/>
        </w:rPr>
        <w:t>, סמ"ע (סקכ"ב).</w:t>
      </w:r>
    </w:p>
  </w:footnote>
  <w:footnote w:id="2578">
    <w:p w14:paraId="59D97D82" w14:textId="77777777" w:rsidR="0013116F" w:rsidRDefault="0013116F" w:rsidP="004B607F">
      <w:pPr>
        <w:pStyle w:val="a9"/>
      </w:pPr>
      <w:r>
        <w:rPr>
          <w:rStyle w:val="ab"/>
        </w:rPr>
        <w:footnoteRef/>
      </w:r>
      <w:r>
        <w:rPr>
          <w:rtl/>
        </w:rPr>
        <w:t xml:space="preserve"> </w:t>
      </w:r>
      <w:r>
        <w:rPr>
          <w:rFonts w:hint="cs"/>
          <w:rtl/>
        </w:rPr>
        <w:t xml:space="preserve">סימן </w:t>
      </w:r>
      <w:r>
        <w:rPr>
          <w:rtl/>
        </w:rPr>
        <w:t>–</w:t>
      </w:r>
      <w:r>
        <w:rPr>
          <w:rFonts w:hint="cs"/>
          <w:rtl/>
        </w:rPr>
        <w:t xml:space="preserve"> עדות אילם.</w:t>
      </w:r>
    </w:p>
  </w:footnote>
  <w:footnote w:id="2579">
    <w:p w14:paraId="07B0BE68" w14:textId="77777777" w:rsidR="0013116F" w:rsidRDefault="0013116F" w:rsidP="004B607F">
      <w:pPr>
        <w:pStyle w:val="a9"/>
      </w:pPr>
      <w:r>
        <w:rPr>
          <w:rStyle w:val="ab"/>
        </w:rPr>
        <w:footnoteRef/>
      </w:r>
      <w:r>
        <w:rPr>
          <w:rtl/>
        </w:rPr>
        <w:t xml:space="preserve"> </w:t>
      </w:r>
      <w:r>
        <w:rPr>
          <w:rFonts w:cs="Arial"/>
          <w:rtl/>
        </w:rPr>
        <w:t>וחרש הוא מתחלת ברייתו</w:t>
      </w:r>
      <w:r>
        <w:rPr>
          <w:rFonts w:cs="Arial" w:hint="cs"/>
          <w:rtl/>
        </w:rPr>
        <w:t>,</w:t>
      </w:r>
      <w:r>
        <w:rPr>
          <w:rFonts w:cs="Arial"/>
          <w:rtl/>
        </w:rPr>
        <w:t xml:space="preserve"> ונשתתק אינו כן</w:t>
      </w:r>
      <w:r>
        <w:rPr>
          <w:rFonts w:cs="Arial" w:hint="cs"/>
          <w:rtl/>
        </w:rPr>
        <w:t>,</w:t>
      </w:r>
      <w:r>
        <w:rPr>
          <w:rFonts w:cs="Arial"/>
          <w:rtl/>
        </w:rPr>
        <w:t xml:space="preserve"> ולהכי פלגינהו הרמב"ם (שם) בתרתי בבי</w:t>
      </w:r>
      <w:r>
        <w:rPr>
          <w:rFonts w:cs="Arial" w:hint="cs"/>
          <w:rtl/>
        </w:rPr>
        <w:t>.</w:t>
      </w:r>
      <w:r>
        <w:rPr>
          <w:rFonts w:cs="Arial"/>
          <w:rtl/>
        </w:rPr>
        <w:t xml:space="preserve"> ומשמע שדין נתחרש ע</w:t>
      </w:r>
      <w:r>
        <w:rPr>
          <w:rFonts w:cs="Arial" w:hint="cs"/>
          <w:rtl/>
        </w:rPr>
        <w:t>"</w:t>
      </w:r>
      <w:r>
        <w:rPr>
          <w:rFonts w:cs="Arial"/>
          <w:rtl/>
        </w:rPr>
        <w:t>י חולי הוי כדין נשתתק</w:t>
      </w:r>
      <w:r>
        <w:rPr>
          <w:rFonts w:cs="Arial" w:hint="cs"/>
          <w:rtl/>
        </w:rPr>
        <w:t>.</w:t>
      </w:r>
      <w:r>
        <w:rPr>
          <w:rFonts w:cs="Arial"/>
          <w:rtl/>
        </w:rPr>
        <w:t xml:space="preserve"> ובגמרא הזכירו נשתתק ומיניה ילפינן לנתחרש</w:t>
      </w:r>
      <w:r>
        <w:rPr>
          <w:rFonts w:cs="Arial" w:hint="cs"/>
          <w:rtl/>
        </w:rPr>
        <w:t>, ב"י.</w:t>
      </w:r>
    </w:p>
  </w:footnote>
  <w:footnote w:id="2580">
    <w:p w14:paraId="2285533B" w14:textId="77777777" w:rsidR="0013116F" w:rsidRDefault="0013116F" w:rsidP="004B607F">
      <w:pPr>
        <w:pStyle w:val="a9"/>
      </w:pPr>
      <w:r>
        <w:rPr>
          <w:rStyle w:val="ab"/>
        </w:rPr>
        <w:footnoteRef/>
      </w:r>
      <w:r>
        <w:rPr>
          <w:rtl/>
        </w:rPr>
        <w:t xml:space="preserve"> </w:t>
      </w:r>
      <w:r>
        <w:rPr>
          <w:rFonts w:hint="cs"/>
          <w:rtl/>
        </w:rPr>
        <w:t>אנשתתק דמיירי בו הגמ' לפנ"כ קאי.</w:t>
      </w:r>
    </w:p>
  </w:footnote>
  <w:footnote w:id="2581">
    <w:p w14:paraId="6FD6C1CB" w14:textId="77777777" w:rsidR="0013116F" w:rsidRDefault="0013116F" w:rsidP="004B607F">
      <w:pPr>
        <w:pStyle w:val="a9"/>
      </w:pPr>
      <w:r>
        <w:rPr>
          <w:rStyle w:val="ab"/>
        </w:rPr>
        <w:footnoteRef/>
      </w:r>
      <w:r>
        <w:rPr>
          <w:rtl/>
        </w:rPr>
        <w:t xml:space="preserve"> </w:t>
      </w:r>
      <w:r>
        <w:rPr>
          <w:rFonts w:hint="cs"/>
          <w:rtl/>
        </w:rPr>
        <w:t>להשיאה, רש"י.</w:t>
      </w:r>
    </w:p>
  </w:footnote>
  <w:footnote w:id="2582">
    <w:p w14:paraId="1CD56DE7" w14:textId="77777777" w:rsidR="0013116F" w:rsidRDefault="0013116F" w:rsidP="004B607F">
      <w:pPr>
        <w:pStyle w:val="a9"/>
        <w:rPr>
          <w:rtl/>
        </w:rPr>
      </w:pPr>
      <w:r>
        <w:rPr>
          <w:rStyle w:val="ab"/>
        </w:rPr>
        <w:footnoteRef/>
      </w:r>
      <w:r>
        <w:rPr>
          <w:rtl/>
        </w:rPr>
        <w:t xml:space="preserve"> </w:t>
      </w:r>
      <w:r w:rsidRPr="00DE7800">
        <w:rPr>
          <w:rFonts w:cs="Arial"/>
          <w:rtl/>
        </w:rPr>
        <w:t>בעד אחד קרוב ושפחה</w:t>
      </w:r>
      <w:r>
        <w:rPr>
          <w:rFonts w:cs="Arial" w:hint="cs"/>
          <w:rtl/>
        </w:rPr>
        <w:t>, רש"י</w:t>
      </w:r>
      <w:r w:rsidRPr="00DE7800">
        <w:rPr>
          <w:rFonts w:cs="Arial"/>
          <w:rtl/>
        </w:rPr>
        <w:t xml:space="preserve">. </w:t>
      </w:r>
      <w:r>
        <w:rPr>
          <w:rFonts w:cs="Arial"/>
          <w:rtl/>
        </w:rPr>
        <w:t>אבל בשאר עדויות לא</w:t>
      </w:r>
      <w:r>
        <w:rPr>
          <w:rFonts w:hint="cs"/>
          <w:rtl/>
        </w:rPr>
        <w:t>, ב"י.</w:t>
      </w:r>
    </w:p>
  </w:footnote>
  <w:footnote w:id="2583">
    <w:p w14:paraId="42E5F2C9" w14:textId="77777777" w:rsidR="0013116F" w:rsidRPr="00996A68" w:rsidRDefault="0013116F" w:rsidP="004B607F">
      <w:pPr>
        <w:pStyle w:val="a9"/>
        <w:rPr>
          <w:sz w:val="16"/>
          <w:szCs w:val="16"/>
        </w:rPr>
      </w:pPr>
      <w:r>
        <w:rPr>
          <w:rStyle w:val="ab"/>
        </w:rPr>
        <w:footnoteRef/>
      </w:r>
      <w:r>
        <w:rPr>
          <w:rtl/>
        </w:rPr>
        <w:t xml:space="preserve"> </w:t>
      </w:r>
      <w:r>
        <w:rPr>
          <w:rFonts w:cs="Arial" w:hint="cs"/>
          <w:rtl/>
        </w:rPr>
        <w:t xml:space="preserve">הטור כתב וז"ל- </w:t>
      </w:r>
      <w:r w:rsidRPr="0090430F">
        <w:rPr>
          <w:rFonts w:cs="Arial"/>
          <w:rtl/>
        </w:rPr>
        <w:t>חרש פסול</w:t>
      </w:r>
      <w:r>
        <w:rPr>
          <w:rFonts w:cs="Arial" w:hint="cs"/>
          <w:rtl/>
        </w:rPr>
        <w:t>.</w:t>
      </w:r>
      <w:r w:rsidRPr="0090430F">
        <w:rPr>
          <w:rFonts w:cs="Arial"/>
          <w:rtl/>
        </w:rPr>
        <w:t xml:space="preserve"> וחרש שאחז"ל בכל מקום זהו שאינו מדבר ואינו שומע</w:t>
      </w:r>
      <w:r>
        <w:rPr>
          <w:rFonts w:cs="Arial" w:hint="cs"/>
          <w:rtl/>
        </w:rPr>
        <w:t>.</w:t>
      </w:r>
      <w:r w:rsidRPr="0090430F">
        <w:rPr>
          <w:rFonts w:cs="Arial"/>
          <w:rtl/>
        </w:rPr>
        <w:t xml:space="preserve"> ולכאורה נראה שאם הוא מדבר ואינו שומע</w:t>
      </w:r>
      <w:r>
        <w:rPr>
          <w:rFonts w:cs="Arial" w:hint="cs"/>
          <w:sz w:val="16"/>
          <w:szCs w:val="16"/>
          <w:rtl/>
        </w:rPr>
        <w:t xml:space="preserve"> </w:t>
      </w:r>
      <w:r w:rsidRPr="004040CB">
        <w:rPr>
          <w:rFonts w:cs="Arial" w:hint="cs"/>
          <w:sz w:val="16"/>
          <w:szCs w:val="16"/>
          <w:rtl/>
        </w:rPr>
        <w:t>{</w:t>
      </w:r>
      <w:r w:rsidRPr="004040CB">
        <w:rPr>
          <w:rFonts w:cs="Arial"/>
          <w:sz w:val="16"/>
          <w:szCs w:val="16"/>
          <w:rtl/>
        </w:rPr>
        <w:t>לא הזכיר רבינו שומע ואינו מדבר לפי שזה דין מי שנשתתק כמו שיתבאר בסמוך</w:t>
      </w:r>
      <w:r w:rsidRPr="004040CB">
        <w:rPr>
          <w:rFonts w:cs="Arial" w:hint="cs"/>
          <w:sz w:val="16"/>
          <w:szCs w:val="16"/>
          <w:rtl/>
        </w:rPr>
        <w:t>, ב"י</w:t>
      </w:r>
      <w:r>
        <w:rPr>
          <w:rFonts w:cs="Arial" w:hint="cs"/>
          <w:sz w:val="16"/>
          <w:szCs w:val="16"/>
          <w:rtl/>
        </w:rPr>
        <w:t>}</w:t>
      </w:r>
      <w:r w:rsidRPr="0090430F">
        <w:rPr>
          <w:rFonts w:cs="Arial"/>
          <w:rtl/>
        </w:rPr>
        <w:t xml:space="preserve"> שכשר להעיד</w:t>
      </w:r>
      <w:r>
        <w:rPr>
          <w:rFonts w:cs="Arial" w:hint="cs"/>
          <w:rtl/>
        </w:rPr>
        <w:t>,</w:t>
      </w:r>
      <w:r w:rsidRPr="0090430F">
        <w:rPr>
          <w:rFonts w:cs="Arial"/>
          <w:rtl/>
        </w:rPr>
        <w:t xml:space="preserve"> אבל הרמב"ם</w:t>
      </w:r>
      <w:r>
        <w:rPr>
          <w:rFonts w:cs="Arial" w:hint="cs"/>
          <w:sz w:val="16"/>
          <w:szCs w:val="16"/>
          <w:rtl/>
        </w:rPr>
        <w:t xml:space="preserve"> </w:t>
      </w:r>
      <w:r w:rsidRPr="0090430F">
        <w:rPr>
          <w:rFonts w:cs="Arial"/>
          <w:rtl/>
        </w:rPr>
        <w:t>כתב</w:t>
      </w:r>
      <w:r>
        <w:rPr>
          <w:rFonts w:cs="Arial" w:hint="cs"/>
          <w:rtl/>
        </w:rPr>
        <w:t xml:space="preserve"> </w:t>
      </w:r>
      <w:r w:rsidRPr="0090430F">
        <w:rPr>
          <w:rFonts w:cs="Arial"/>
          <w:rtl/>
        </w:rPr>
        <w:t>אחד</w:t>
      </w:r>
      <w:r>
        <w:rPr>
          <w:rFonts w:cs="Arial" w:hint="cs"/>
          <w:rtl/>
        </w:rPr>
        <w:t xml:space="preserve"> חרש-...</w:t>
      </w:r>
      <w:r>
        <w:rPr>
          <w:rFonts w:hint="cs"/>
          <w:sz w:val="16"/>
          <w:szCs w:val="16"/>
          <w:rtl/>
        </w:rPr>
        <w:t xml:space="preserve"> {והעתיק את לשון הרמב"ם כמו שמובא למעלה}</w:t>
      </w:r>
    </w:p>
  </w:footnote>
  <w:footnote w:id="2584">
    <w:p w14:paraId="0A9FE7E2" w14:textId="77777777" w:rsidR="0013116F" w:rsidRDefault="0013116F" w:rsidP="004B607F">
      <w:pPr>
        <w:pStyle w:val="a9"/>
        <w:rPr>
          <w:rtl/>
        </w:rPr>
      </w:pPr>
      <w:r>
        <w:rPr>
          <w:rStyle w:val="ab"/>
        </w:rPr>
        <w:footnoteRef/>
      </w:r>
      <w:r>
        <w:rPr>
          <w:rtl/>
        </w:rPr>
        <w:t xml:space="preserve"> </w:t>
      </w:r>
      <w:r>
        <w:rPr>
          <w:rFonts w:cs="Arial"/>
          <w:rtl/>
        </w:rPr>
        <w:t>וטעמו מדתניא בריש מי שאחזו (גיטין עא.) אם לא יגיד (ויקרא ה א) פרט לאלם שאינו יכול להגיד</w:t>
      </w:r>
      <w:r>
        <w:rPr>
          <w:rFonts w:cs="Arial" w:hint="cs"/>
          <w:rtl/>
        </w:rPr>
        <w:t>.</w:t>
      </w:r>
      <w:r>
        <w:rPr>
          <w:rFonts w:cs="Arial"/>
          <w:rtl/>
        </w:rPr>
        <w:t xml:space="preserve"> ואמרינן התם שאע</w:t>
      </w:r>
      <w:r>
        <w:rPr>
          <w:rFonts w:cs="Arial" w:hint="cs"/>
          <w:rtl/>
        </w:rPr>
        <w:t>"</w:t>
      </w:r>
      <w:r>
        <w:rPr>
          <w:rFonts w:cs="Arial"/>
          <w:rtl/>
        </w:rPr>
        <w:t>פ שיכול להגיד מתוך הכתב פסול דרחמנא אמר (דברים יט טו) מפיהם ולא מפי כתבם</w:t>
      </w:r>
      <w:r>
        <w:rPr>
          <w:rFonts w:cs="Arial" w:hint="cs"/>
          <w:rtl/>
        </w:rPr>
        <w:t>.</w:t>
      </w:r>
      <w:r>
        <w:rPr>
          <w:rFonts w:cs="Arial"/>
          <w:rtl/>
        </w:rPr>
        <w:t xml:space="preserve"> ואפשר דמשמע להרמב"ם דהוא הדין למדבר ואינו שומע משום דכתיב (ויקרא שם) ושמע קול אלה</w:t>
      </w:r>
      <w:r>
        <w:rPr>
          <w:rFonts w:cs="Arial" w:hint="cs"/>
          <w:rtl/>
        </w:rPr>
        <w:t>,</w:t>
      </w:r>
      <w:r>
        <w:rPr>
          <w:rFonts w:cs="Arial"/>
          <w:rtl/>
        </w:rPr>
        <w:t xml:space="preserve"> פרט למי שאינו יכול לשמוע</w:t>
      </w:r>
      <w:r>
        <w:rPr>
          <w:rFonts w:hint="cs"/>
          <w:rtl/>
        </w:rPr>
        <w:t>, ב"י.</w:t>
      </w:r>
    </w:p>
  </w:footnote>
  <w:footnote w:id="2585">
    <w:p w14:paraId="338F7AEE" w14:textId="77777777" w:rsidR="0013116F" w:rsidRDefault="0013116F" w:rsidP="004B607F">
      <w:pPr>
        <w:pStyle w:val="a9"/>
      </w:pPr>
      <w:r>
        <w:rPr>
          <w:rStyle w:val="ab"/>
        </w:rPr>
        <w:footnoteRef/>
      </w:r>
      <w:r>
        <w:rPr>
          <w:rtl/>
        </w:rPr>
        <w:t xml:space="preserve"> </w:t>
      </w:r>
      <w:r w:rsidRPr="00C94E95">
        <w:rPr>
          <w:rFonts w:cs="Arial"/>
          <w:rtl/>
        </w:rPr>
        <w:t xml:space="preserve">כדכתיב </w:t>
      </w:r>
      <w:r>
        <w:rPr>
          <w:rFonts w:cs="Arial" w:hint="cs"/>
          <w:sz w:val="16"/>
          <w:szCs w:val="16"/>
          <w:rtl/>
        </w:rPr>
        <w:t>(</w:t>
      </w:r>
      <w:r w:rsidRPr="00C94E95">
        <w:rPr>
          <w:rFonts w:cs="Arial"/>
          <w:sz w:val="16"/>
          <w:szCs w:val="16"/>
          <w:rtl/>
        </w:rPr>
        <w:t>דברים יט טו</w:t>
      </w:r>
      <w:r>
        <w:rPr>
          <w:rFonts w:cs="Arial" w:hint="cs"/>
          <w:sz w:val="16"/>
          <w:szCs w:val="16"/>
          <w:rtl/>
        </w:rPr>
        <w:t>)</w:t>
      </w:r>
      <w:r w:rsidRPr="00C94E95">
        <w:rPr>
          <w:rFonts w:cs="Arial"/>
          <w:sz w:val="16"/>
          <w:szCs w:val="16"/>
          <w:rtl/>
        </w:rPr>
        <w:t xml:space="preserve"> </w:t>
      </w:r>
      <w:r w:rsidRPr="00C94E95">
        <w:rPr>
          <w:rFonts w:cs="Arial"/>
          <w:rtl/>
        </w:rPr>
        <w:t>על פי שני עדים</w:t>
      </w:r>
      <w:r>
        <w:rPr>
          <w:rFonts w:cs="Arial" w:hint="cs"/>
          <w:rtl/>
        </w:rPr>
        <w:t xml:space="preserve">, סמ"ע </w:t>
      </w:r>
      <w:r w:rsidRPr="00C94E95">
        <w:rPr>
          <w:rFonts w:cs="Arial" w:hint="cs"/>
          <w:sz w:val="16"/>
          <w:szCs w:val="16"/>
          <w:rtl/>
        </w:rPr>
        <w:t>(סקכ"ג)</w:t>
      </w:r>
      <w:r>
        <w:rPr>
          <w:rFonts w:cs="Arial" w:hint="cs"/>
          <w:rtl/>
        </w:rPr>
        <w:t>. וחז"ל</w:t>
      </w:r>
      <w:r w:rsidRPr="00C94E95">
        <w:rPr>
          <w:rFonts w:cs="Arial" w:hint="cs"/>
          <w:sz w:val="16"/>
          <w:szCs w:val="16"/>
          <w:rtl/>
        </w:rPr>
        <w:t xml:space="preserve"> (מדרש תנאים, וגיטין עא.)</w:t>
      </w:r>
      <w:r>
        <w:rPr>
          <w:rFonts w:cs="Arial" w:hint="cs"/>
          <w:rtl/>
        </w:rPr>
        <w:t xml:space="preserve"> למדו מהפסוק דבעינן מפיהם ולא מפי כתבם.</w:t>
      </w:r>
    </w:p>
  </w:footnote>
  <w:footnote w:id="2586">
    <w:p w14:paraId="226BCE49" w14:textId="77777777" w:rsidR="0013116F" w:rsidRDefault="0013116F" w:rsidP="004B607F">
      <w:pPr>
        <w:pStyle w:val="a9"/>
        <w:rPr>
          <w:rtl/>
        </w:rPr>
      </w:pPr>
      <w:r>
        <w:rPr>
          <w:rStyle w:val="ab"/>
        </w:rPr>
        <w:footnoteRef/>
      </w:r>
      <w:r>
        <w:rPr>
          <w:rtl/>
        </w:rPr>
        <w:t xml:space="preserve"> </w:t>
      </w:r>
      <w:r w:rsidRPr="00A96D69">
        <w:rPr>
          <w:rFonts w:cs="Arial"/>
          <w:rtl/>
        </w:rPr>
        <w:t>פירוש, שהיה יכול לדבר בתחילה ואח"כ נשתתק. וזהו שסיים וכתב בזה, והעיד בפנינו בכתב, דכיון דמתחילה היה יכול לדבר וגם יכול לשמוע לימד עצמו לכתוב. ומ"ש אע</w:t>
      </w:r>
      <w:r>
        <w:rPr>
          <w:rFonts w:cs="Arial" w:hint="cs"/>
          <w:rtl/>
        </w:rPr>
        <w:t>"</w:t>
      </w:r>
      <w:r w:rsidRPr="00A96D69">
        <w:rPr>
          <w:rFonts w:cs="Arial"/>
          <w:rtl/>
        </w:rPr>
        <w:t>פ שנבדק כדרך שבודקין לגיטין, גם אהמדבר ואינו שומע או איפכא קאי, וז"ש שם, ודעתו נכונה, ר"ל, נכונה בבדיקה זו. גם י"ל דכתב זה בנשתתק, משום דבגיטין דוקא בנשתתק הוא דצריכין לבדוק בבדיקה זו היכא שנשאה קודם שנשתתק דהוה קדושיו קדושין גמורין, ואח"כ נשתתק. משא"כ בשומע ואינו מדבר או איפכא כשהיה כן משנולד, דאפילו אינו עומד בבדיקה זו יכול לגרש, דאמרינן ככניסתו כן היא יציאתו, וכ</w:t>
      </w:r>
      <w:r>
        <w:rPr>
          <w:rFonts w:cs="Arial" w:hint="cs"/>
          <w:rtl/>
        </w:rPr>
        <w:t>מ</w:t>
      </w:r>
      <w:r w:rsidRPr="00A96D69">
        <w:rPr>
          <w:rFonts w:cs="Arial"/>
          <w:rtl/>
        </w:rPr>
        <w:t>ש</w:t>
      </w:r>
      <w:r>
        <w:rPr>
          <w:rFonts w:cs="Arial" w:hint="cs"/>
          <w:rtl/>
        </w:rPr>
        <w:t>"</w:t>
      </w:r>
      <w:r w:rsidRPr="00A96D69">
        <w:rPr>
          <w:rFonts w:cs="Arial"/>
          <w:rtl/>
        </w:rPr>
        <w:t>כ הט</w:t>
      </w:r>
      <w:r>
        <w:rPr>
          <w:rFonts w:cs="Arial" w:hint="cs"/>
          <w:rtl/>
        </w:rPr>
        <w:t>"</w:t>
      </w:r>
      <w:r w:rsidRPr="00A96D69">
        <w:rPr>
          <w:rFonts w:cs="Arial"/>
          <w:rtl/>
        </w:rPr>
        <w:t xml:space="preserve">ו </w:t>
      </w:r>
      <w:r w:rsidRPr="00C94E95">
        <w:rPr>
          <w:rFonts w:cs="Arial" w:hint="cs"/>
          <w:sz w:val="16"/>
          <w:szCs w:val="16"/>
          <w:rtl/>
        </w:rPr>
        <w:t>(</w:t>
      </w:r>
      <w:r w:rsidRPr="00C94E95">
        <w:rPr>
          <w:rFonts w:cs="Arial"/>
          <w:sz w:val="16"/>
          <w:szCs w:val="16"/>
          <w:rtl/>
        </w:rPr>
        <w:t>אהע</w:t>
      </w:r>
      <w:r w:rsidRPr="00C94E95">
        <w:rPr>
          <w:rFonts w:cs="Arial" w:hint="cs"/>
          <w:sz w:val="16"/>
          <w:szCs w:val="16"/>
          <w:rtl/>
        </w:rPr>
        <w:t>"ז</w:t>
      </w:r>
      <w:r w:rsidRPr="00C94E95">
        <w:rPr>
          <w:rFonts w:cs="Arial"/>
          <w:sz w:val="16"/>
          <w:szCs w:val="16"/>
          <w:rtl/>
        </w:rPr>
        <w:t xml:space="preserve"> סי</w:t>
      </w:r>
      <w:r w:rsidRPr="00C94E95">
        <w:rPr>
          <w:rFonts w:cs="Arial" w:hint="cs"/>
          <w:sz w:val="16"/>
          <w:szCs w:val="16"/>
          <w:rtl/>
        </w:rPr>
        <w:t>'</w:t>
      </w:r>
      <w:r w:rsidRPr="00C94E95">
        <w:rPr>
          <w:rFonts w:cs="Arial"/>
          <w:sz w:val="16"/>
          <w:szCs w:val="16"/>
          <w:rtl/>
        </w:rPr>
        <w:t xml:space="preserve"> קכא ס</w:t>
      </w:r>
      <w:r>
        <w:rPr>
          <w:rFonts w:cs="Arial" w:hint="cs"/>
          <w:sz w:val="16"/>
          <w:szCs w:val="16"/>
          <w:rtl/>
        </w:rPr>
        <w:t>"</w:t>
      </w:r>
      <w:r w:rsidRPr="00C94E95">
        <w:rPr>
          <w:rFonts w:cs="Arial"/>
          <w:sz w:val="16"/>
          <w:szCs w:val="16"/>
          <w:rtl/>
        </w:rPr>
        <w:t>ו</w:t>
      </w:r>
      <w:r>
        <w:rPr>
          <w:rFonts w:cs="Arial" w:hint="cs"/>
          <w:sz w:val="16"/>
          <w:szCs w:val="16"/>
          <w:rtl/>
        </w:rPr>
        <w:t>)</w:t>
      </w:r>
      <w:r>
        <w:rPr>
          <w:rFonts w:hint="cs"/>
          <w:rtl/>
        </w:rPr>
        <w:t>, סמ"ע</w:t>
      </w:r>
      <w:r w:rsidRPr="00C94E95">
        <w:rPr>
          <w:rFonts w:hint="cs"/>
          <w:sz w:val="16"/>
          <w:szCs w:val="16"/>
          <w:rtl/>
        </w:rPr>
        <w:t xml:space="preserve"> (סקכ"ד)</w:t>
      </w:r>
      <w:r>
        <w:rPr>
          <w:rFonts w:hint="cs"/>
          <w:rtl/>
        </w:rPr>
        <w:t>.</w:t>
      </w:r>
    </w:p>
  </w:footnote>
  <w:footnote w:id="2587">
    <w:p w14:paraId="1CD5877C" w14:textId="77777777" w:rsidR="0013116F" w:rsidRDefault="0013116F" w:rsidP="004B607F">
      <w:pPr>
        <w:pStyle w:val="a9"/>
      </w:pPr>
      <w:r>
        <w:rPr>
          <w:rStyle w:val="ab"/>
        </w:rPr>
        <w:footnoteRef/>
      </w:r>
      <w:r>
        <w:rPr>
          <w:rtl/>
        </w:rPr>
        <w:t xml:space="preserve"> </w:t>
      </w:r>
      <w:r w:rsidRPr="00C94E95">
        <w:rPr>
          <w:rFonts w:cs="Arial"/>
          <w:rtl/>
        </w:rPr>
        <w:t>וזהו שאינו יכול להעיד בפיו כלל פסול גם לר"ת [יבמות לא</w:t>
      </w:r>
      <w:r>
        <w:rPr>
          <w:rFonts w:cs="Arial" w:hint="cs"/>
          <w:rtl/>
        </w:rPr>
        <w:t>:</w:t>
      </w:r>
      <w:r w:rsidRPr="00C94E95">
        <w:rPr>
          <w:rFonts w:cs="Arial"/>
          <w:rtl/>
        </w:rPr>
        <w:t xml:space="preserve"> תוד"ה דחזו] דמתיר באחד שיכול לדבר להעיד לשלוח עדותו לבית דין בכתבו, משום דראוי הוא להעיד בפיו, כמ"ש הטור [שם סעיף ט"ו] בשמו, ע"ש</w:t>
      </w:r>
      <w:r>
        <w:rPr>
          <w:rFonts w:cs="Arial" w:hint="cs"/>
          <w:rtl/>
        </w:rPr>
        <w:t>, סמ"ע (סקכ"ה).</w:t>
      </w:r>
    </w:p>
  </w:footnote>
  <w:footnote w:id="2588">
    <w:p w14:paraId="46BB6608" w14:textId="77777777" w:rsidR="0013116F" w:rsidRDefault="0013116F" w:rsidP="004B607F">
      <w:pPr>
        <w:pStyle w:val="a9"/>
      </w:pPr>
      <w:r>
        <w:rPr>
          <w:rStyle w:val="ab"/>
        </w:rPr>
        <w:footnoteRef/>
      </w:r>
      <w:r>
        <w:rPr>
          <w:rtl/>
        </w:rPr>
        <w:t xml:space="preserve"> </w:t>
      </w:r>
      <w:r>
        <w:rPr>
          <w:rFonts w:hint="cs"/>
          <w:rtl/>
        </w:rPr>
        <w:t xml:space="preserve">סימן </w:t>
      </w:r>
      <w:r>
        <w:rPr>
          <w:rtl/>
        </w:rPr>
        <w:t>–</w:t>
      </w:r>
      <w:r>
        <w:rPr>
          <w:rFonts w:hint="cs"/>
          <w:rtl/>
        </w:rPr>
        <w:t xml:space="preserve"> מביט טיפה, מעיד טוב.</w:t>
      </w:r>
    </w:p>
  </w:footnote>
  <w:footnote w:id="2589">
    <w:p w14:paraId="1E460D69" w14:textId="77777777" w:rsidR="0013116F" w:rsidRDefault="0013116F" w:rsidP="004B607F">
      <w:pPr>
        <w:pStyle w:val="a9"/>
      </w:pPr>
      <w:r>
        <w:rPr>
          <w:rStyle w:val="ab"/>
        </w:rPr>
        <w:footnoteRef/>
      </w:r>
      <w:r>
        <w:rPr>
          <w:rtl/>
        </w:rPr>
        <w:t xml:space="preserve"> </w:t>
      </w:r>
      <w:r>
        <w:rPr>
          <w:rFonts w:hint="cs"/>
          <w:rtl/>
        </w:rPr>
        <w:t xml:space="preserve">סימן </w:t>
      </w:r>
      <w:r>
        <w:rPr>
          <w:rtl/>
        </w:rPr>
        <w:t>–</w:t>
      </w:r>
      <w:r>
        <w:rPr>
          <w:rFonts w:hint="cs"/>
          <w:rtl/>
        </w:rPr>
        <w:t xml:space="preserve"> חזר לכשרותו כקדם.</w:t>
      </w:r>
    </w:p>
  </w:footnote>
  <w:footnote w:id="2590">
    <w:p w14:paraId="007D3A15" w14:textId="77777777" w:rsidR="0013116F" w:rsidRDefault="0013116F" w:rsidP="004B607F">
      <w:pPr>
        <w:pStyle w:val="a9"/>
      </w:pPr>
      <w:r>
        <w:rPr>
          <w:rStyle w:val="ab"/>
        </w:rPr>
        <w:footnoteRef/>
      </w:r>
      <w:r>
        <w:rPr>
          <w:rtl/>
        </w:rPr>
        <w:t xml:space="preserve"> </w:t>
      </w:r>
      <w:r>
        <w:rPr>
          <w:rFonts w:cs="Arial"/>
          <w:rtl/>
        </w:rPr>
        <w:t>זה פשוט דכיון דכשר לדון כמבואר בדברי רבינו סימן ז' (ס"ד) כל שכן שכשר להעיד דאמרינן בפרק בא סימן (נ.) דאפילו לרבי מאיר דאמר פסול לדון מודה דכשר להעיד</w:t>
      </w:r>
      <w:r>
        <w:rPr>
          <w:rFonts w:cs="Arial" w:hint="cs"/>
          <w:rtl/>
        </w:rPr>
        <w:t>, ב"י.</w:t>
      </w:r>
    </w:p>
  </w:footnote>
  <w:footnote w:id="2591">
    <w:p w14:paraId="5F29EF4D" w14:textId="77777777" w:rsidR="0013116F" w:rsidRDefault="0013116F" w:rsidP="004B607F">
      <w:pPr>
        <w:pStyle w:val="a9"/>
      </w:pPr>
      <w:r>
        <w:rPr>
          <w:rStyle w:val="ab"/>
        </w:rPr>
        <w:footnoteRef/>
      </w:r>
      <w:r>
        <w:rPr>
          <w:rtl/>
        </w:rPr>
        <w:t xml:space="preserve"> </w:t>
      </w:r>
      <w:r>
        <w:rPr>
          <w:rFonts w:hint="cs"/>
          <w:rtl/>
        </w:rPr>
        <w:t xml:space="preserve">סימן </w:t>
      </w:r>
      <w:r>
        <w:rPr>
          <w:rtl/>
        </w:rPr>
        <w:t>–</w:t>
      </w:r>
      <w:r>
        <w:rPr>
          <w:rFonts w:hint="cs"/>
          <w:rtl/>
        </w:rPr>
        <w:t xml:space="preserve"> כשרות קמייתא חזרה. וכן - חזר לכשרותו כקדם.</w:t>
      </w:r>
    </w:p>
  </w:footnote>
  <w:footnote w:id="2592">
    <w:p w14:paraId="66CE353D" w14:textId="77777777" w:rsidR="0013116F" w:rsidRDefault="0013116F" w:rsidP="004B607F">
      <w:pPr>
        <w:pStyle w:val="a9"/>
      </w:pPr>
      <w:r>
        <w:rPr>
          <w:rStyle w:val="ab"/>
        </w:rPr>
        <w:footnoteRef/>
      </w:r>
      <w:r>
        <w:rPr>
          <w:rtl/>
        </w:rPr>
        <w:t xml:space="preserve"> </w:t>
      </w:r>
      <w:r>
        <w:rPr>
          <w:rFonts w:hint="cs"/>
          <w:rtl/>
        </w:rPr>
        <w:t xml:space="preserve">סימן </w:t>
      </w:r>
      <w:r>
        <w:rPr>
          <w:rtl/>
        </w:rPr>
        <w:t>–</w:t>
      </w:r>
      <w:r>
        <w:rPr>
          <w:rFonts w:hint="cs"/>
          <w:rtl/>
        </w:rPr>
        <w:t xml:space="preserve"> כת בנות.</w:t>
      </w:r>
    </w:p>
  </w:footnote>
  <w:footnote w:id="2593">
    <w:p w14:paraId="0FDD496B" w14:textId="77777777" w:rsidR="0013116F" w:rsidRDefault="0013116F" w:rsidP="004B607F">
      <w:pPr>
        <w:pStyle w:val="a9"/>
      </w:pPr>
      <w:r>
        <w:rPr>
          <w:rStyle w:val="ab"/>
        </w:rPr>
        <w:footnoteRef/>
      </w:r>
      <w:r>
        <w:rPr>
          <w:rtl/>
        </w:rPr>
        <w:t xml:space="preserve"> </w:t>
      </w:r>
      <w:r>
        <w:rPr>
          <w:rFonts w:hint="cs"/>
          <w:rtl/>
        </w:rPr>
        <w:t xml:space="preserve">סימן </w:t>
      </w:r>
      <w:r>
        <w:rPr>
          <w:rtl/>
        </w:rPr>
        <w:t>–</w:t>
      </w:r>
      <w:r>
        <w:rPr>
          <w:rFonts w:hint="cs"/>
          <w:rtl/>
        </w:rPr>
        <w:t xml:space="preserve"> פסול חשובה.</w:t>
      </w:r>
    </w:p>
  </w:footnote>
  <w:footnote w:id="2594">
    <w:p w14:paraId="375642B2" w14:textId="77777777" w:rsidR="0013116F" w:rsidRDefault="0013116F" w:rsidP="004B607F">
      <w:pPr>
        <w:pStyle w:val="a9"/>
      </w:pPr>
      <w:r>
        <w:rPr>
          <w:rStyle w:val="ab"/>
        </w:rPr>
        <w:footnoteRef/>
      </w:r>
      <w:r>
        <w:rPr>
          <w:rtl/>
        </w:rPr>
        <w:t xml:space="preserve"> </w:t>
      </w:r>
      <w:r>
        <w:rPr>
          <w:rFonts w:hint="cs"/>
          <w:rtl/>
        </w:rPr>
        <w:t xml:space="preserve">סימן </w:t>
      </w:r>
      <w:r>
        <w:rPr>
          <w:rtl/>
        </w:rPr>
        <w:t>–</w:t>
      </w:r>
      <w:r>
        <w:rPr>
          <w:rFonts w:hint="cs"/>
          <w:rtl/>
        </w:rPr>
        <w:t xml:space="preserve"> לומר לאשה לא להעיד.</w:t>
      </w:r>
    </w:p>
  </w:footnote>
  <w:footnote w:id="2595">
    <w:p w14:paraId="034982AE" w14:textId="77777777" w:rsidR="0013116F" w:rsidRDefault="0013116F" w:rsidP="004B607F">
      <w:pPr>
        <w:pStyle w:val="a9"/>
        <w:rPr>
          <w:rtl/>
        </w:rPr>
      </w:pPr>
      <w:r>
        <w:rPr>
          <w:rStyle w:val="ab"/>
        </w:rPr>
        <w:footnoteRef/>
      </w:r>
      <w:r>
        <w:rPr>
          <w:rtl/>
        </w:rPr>
        <w:t xml:space="preserve"> </w:t>
      </w:r>
      <w:r w:rsidRPr="0015395F">
        <w:rPr>
          <w:rFonts w:cs="Arial"/>
          <w:rtl/>
        </w:rPr>
        <w:t>דכתיב (ויקרא ה) והוא עד בראוי להעיד דבר הכתוב ואשה פסולה לעדות כדיליף בפירקין מועמדו שני האנשים</w:t>
      </w:r>
      <w:r>
        <w:rPr>
          <w:rFonts w:hint="cs"/>
          <w:rtl/>
        </w:rPr>
        <w:t>, רש"י.</w:t>
      </w:r>
    </w:p>
  </w:footnote>
  <w:footnote w:id="2596">
    <w:p w14:paraId="362702C9" w14:textId="77777777" w:rsidR="0013116F" w:rsidRDefault="0013116F" w:rsidP="004B607F">
      <w:pPr>
        <w:pStyle w:val="a9"/>
        <w:rPr>
          <w:rtl/>
        </w:rPr>
      </w:pPr>
      <w:r>
        <w:rPr>
          <w:rStyle w:val="ab"/>
        </w:rPr>
        <w:footnoteRef/>
      </w:r>
      <w:r>
        <w:rPr>
          <w:rtl/>
        </w:rPr>
        <w:t xml:space="preserve"> </w:t>
      </w:r>
      <w:r w:rsidRPr="0015395F">
        <w:rPr>
          <w:rFonts w:cs="Arial"/>
          <w:rtl/>
        </w:rPr>
        <w:t>דנשים פסולות לעדות</w:t>
      </w:r>
      <w:r>
        <w:rPr>
          <w:rFonts w:cs="Arial" w:hint="cs"/>
          <w:rtl/>
        </w:rPr>
        <w:t>, רש"י</w:t>
      </w:r>
      <w:r w:rsidRPr="0015395F">
        <w:rPr>
          <w:rFonts w:cs="Arial"/>
          <w:rtl/>
        </w:rPr>
        <w:t>.</w:t>
      </w:r>
    </w:p>
  </w:footnote>
  <w:footnote w:id="2597">
    <w:p w14:paraId="11A2ADFE" w14:textId="77777777" w:rsidR="0013116F" w:rsidRDefault="0013116F" w:rsidP="004B607F">
      <w:pPr>
        <w:pStyle w:val="a9"/>
        <w:rPr>
          <w:rtl/>
        </w:rPr>
      </w:pPr>
      <w:r>
        <w:rPr>
          <w:rStyle w:val="ab"/>
        </w:rPr>
        <w:footnoteRef/>
      </w:r>
      <w:r>
        <w:rPr>
          <w:rtl/>
        </w:rPr>
        <w:t xml:space="preserve"> </w:t>
      </w:r>
      <w:r w:rsidRPr="0015395F">
        <w:rPr>
          <w:rFonts w:cs="Arial"/>
          <w:rtl/>
        </w:rPr>
        <w:t>דבעדים משתעי קרא דכתיב לעיל מיניה כי יקום עד חמס באיש וסמיך ליה ועמדו</w:t>
      </w:r>
      <w:r>
        <w:rPr>
          <w:rFonts w:cs="Arial" w:hint="cs"/>
          <w:rtl/>
        </w:rPr>
        <w:t>, רש"י</w:t>
      </w:r>
      <w:r w:rsidRPr="0015395F">
        <w:rPr>
          <w:rFonts w:cs="Arial"/>
          <w:rtl/>
        </w:rPr>
        <w:t>.</w:t>
      </w:r>
    </w:p>
  </w:footnote>
  <w:footnote w:id="2598">
    <w:p w14:paraId="28F9B301" w14:textId="77777777" w:rsidR="0013116F" w:rsidRDefault="0013116F" w:rsidP="004B607F">
      <w:pPr>
        <w:pStyle w:val="a9"/>
        <w:rPr>
          <w:rtl/>
        </w:rPr>
      </w:pPr>
      <w:r>
        <w:rPr>
          <w:rStyle w:val="ab"/>
        </w:rPr>
        <w:footnoteRef/>
      </w:r>
      <w:r>
        <w:rPr>
          <w:rtl/>
        </w:rPr>
        <w:t xml:space="preserve"> </w:t>
      </w:r>
      <w:r w:rsidRPr="0015395F">
        <w:rPr>
          <w:rFonts w:cs="Arial"/>
          <w:rtl/>
        </w:rPr>
        <w:t>ללמדך שאין עדות בנשים</w:t>
      </w:r>
      <w:r>
        <w:rPr>
          <w:rFonts w:hint="cs"/>
          <w:rtl/>
        </w:rPr>
        <w:t>, רש"י.</w:t>
      </w:r>
    </w:p>
  </w:footnote>
  <w:footnote w:id="2599">
    <w:p w14:paraId="0E54FD04" w14:textId="77777777" w:rsidR="0013116F" w:rsidRDefault="0013116F" w:rsidP="004B607F">
      <w:pPr>
        <w:pStyle w:val="a9"/>
      </w:pPr>
      <w:r>
        <w:rPr>
          <w:rStyle w:val="ab"/>
        </w:rPr>
        <w:footnoteRef/>
      </w:r>
      <w:r>
        <w:rPr>
          <w:rtl/>
        </w:rPr>
        <w:t xml:space="preserve"> </w:t>
      </w:r>
      <w:r w:rsidRPr="00553D28">
        <w:rPr>
          <w:rFonts w:cs="Arial"/>
          <w:rtl/>
        </w:rPr>
        <w:t xml:space="preserve">ורבינו </w:t>
      </w:r>
      <w:r>
        <w:rPr>
          <w:rFonts w:cs="Arial" w:hint="cs"/>
          <w:sz w:val="16"/>
          <w:szCs w:val="16"/>
          <w:rtl/>
        </w:rPr>
        <w:t xml:space="preserve">{הטור} </w:t>
      </w:r>
      <w:r w:rsidRPr="00553D28">
        <w:rPr>
          <w:rFonts w:cs="Arial"/>
          <w:rtl/>
        </w:rPr>
        <w:t>לא חשש לכתוב פיסול אשה לעדות מפני שסמך על מה שכתב בראש סימן ל"ג (ס"א) כל הפסולים לדון פסולים להעיד ובסימן ז' (ס"ה) כתב אשה פסולה לדון</w:t>
      </w:r>
      <w:r>
        <w:rPr>
          <w:rFonts w:cs="Arial" w:hint="cs"/>
          <w:rtl/>
        </w:rPr>
        <w:t>, ב"י</w:t>
      </w:r>
      <w:r w:rsidRPr="00553D28">
        <w:rPr>
          <w:rFonts w:cs="Arial"/>
          <w:rtl/>
        </w:rPr>
        <w:t>.</w:t>
      </w:r>
    </w:p>
  </w:footnote>
  <w:footnote w:id="2600">
    <w:p w14:paraId="6D7B3926" w14:textId="77777777" w:rsidR="0013116F" w:rsidRDefault="0013116F" w:rsidP="004B607F">
      <w:pPr>
        <w:pStyle w:val="a9"/>
      </w:pPr>
      <w:r>
        <w:rPr>
          <w:rStyle w:val="ab"/>
        </w:rPr>
        <w:footnoteRef/>
      </w:r>
      <w:r>
        <w:rPr>
          <w:rtl/>
        </w:rPr>
        <w:t xml:space="preserve"> </w:t>
      </w:r>
      <w:r w:rsidRPr="00B06C77">
        <w:rPr>
          <w:rFonts w:cs="Arial"/>
          <w:rtl/>
        </w:rPr>
        <w:t>מוסכם בכל הגמ' דמספיקא לא מפקינן ממונא וכ"ש דאין עונשין</w:t>
      </w:r>
      <w:r>
        <w:rPr>
          <w:rFonts w:cs="Arial" w:hint="cs"/>
          <w:rtl/>
        </w:rPr>
        <w:t>, כס"מ (אות ג).</w:t>
      </w:r>
    </w:p>
  </w:footnote>
  <w:footnote w:id="2601">
    <w:p w14:paraId="2B4C5793" w14:textId="77777777" w:rsidR="0013116F" w:rsidRDefault="0013116F" w:rsidP="004B607F">
      <w:pPr>
        <w:pStyle w:val="a9"/>
        <w:rPr>
          <w:rtl/>
        </w:rPr>
      </w:pPr>
      <w:r>
        <w:rPr>
          <w:rStyle w:val="ab"/>
        </w:rPr>
        <w:footnoteRef/>
      </w:r>
      <w:r>
        <w:rPr>
          <w:rtl/>
        </w:rPr>
        <w:t xml:space="preserve"> </w:t>
      </w:r>
      <w:r>
        <w:rPr>
          <w:rFonts w:hint="cs"/>
          <w:rtl/>
        </w:rPr>
        <w:t xml:space="preserve">לפנינו ליתא כן לא במרדכי ולא סביב המרדכי אך נמצא כן בתשובות מהר"ם וחבריו (סי' שמט), רק שאין ידוע מי כתב תשובה זו. וז"ל התשובה שם- </w:t>
      </w:r>
      <w:r>
        <w:rPr>
          <w:rFonts w:cs="Arial"/>
          <w:rtl/>
        </w:rPr>
        <w:t>נשאל נשאלנו על דבר הריבות והמחלוקות וחרופי' אם הנשי' וקרובי' יכולי' להעיד. ודאי הוא דנאמנות ואפי' בדבר שיש בו ממון כדאמ' התם [קידושין עג</w:t>
      </w:r>
      <w:r>
        <w:rPr>
          <w:rFonts w:cs="Arial" w:hint="cs"/>
          <w:rtl/>
        </w:rPr>
        <w:t>:</w:t>
      </w:r>
      <w:r>
        <w:rPr>
          <w:rFonts w:cs="Arial"/>
          <w:rtl/>
        </w:rPr>
        <w:t>] החיה נאמנת לומ' זה בני בכור וזה בני פשוט, אפי' שיש בו ממון הוצאת חמש סלעי' לכהן וכו'. ועוד ראיה שנשים נאמנות על ניקור חלב וגיד שיש בו איסור מן התורה. ואי' להקשות דאמ' הספר התם בפר' שבועת העדות [שבועות ל</w:t>
      </w:r>
      <w:r>
        <w:rPr>
          <w:rFonts w:cs="Arial" w:hint="cs"/>
          <w:rtl/>
        </w:rPr>
        <w:t>.</w:t>
      </w:r>
      <w:r>
        <w:rPr>
          <w:rFonts w:cs="Arial"/>
          <w:rtl/>
        </w:rPr>
        <w:t>] נוהגת באנשים ולא בנשים, ר"ל נוהגת באנשים - דרך עדות באנשים אבל אין דרך עדות בנשים. ואם היה ר"ל לאפוקי נשים מכל וכל, ה"ל למנקט שבועת העדות באנשים ולא בנשי', אבל מדנקט נוהגת, ש"מ משום רגילות נקטי'. ועוד ראייה דאמרי' פ"ק דקדושי' [לה</w:t>
      </w:r>
      <w:r>
        <w:rPr>
          <w:rFonts w:cs="Arial" w:hint="cs"/>
          <w:rtl/>
        </w:rPr>
        <w:t>.</w:t>
      </w:r>
      <w:r>
        <w:rPr>
          <w:rFonts w:cs="Arial"/>
          <w:rtl/>
        </w:rPr>
        <w:t>] ובפ"ק דב"ק [טו</w:t>
      </w:r>
      <w:r>
        <w:rPr>
          <w:rFonts w:cs="Arial" w:hint="cs"/>
          <w:rtl/>
        </w:rPr>
        <w:t>.</w:t>
      </w:r>
      <w:r>
        <w:rPr>
          <w:rFonts w:cs="Arial"/>
          <w:rtl/>
        </w:rPr>
        <w:t>] אלה המשפטי' אשר תשים לפניהם השוה הכתוב אשה לאיש לכל דיני' שבתור'. ואי' להקשות מפר' בא סימן דאמ' [נדה מט</w:t>
      </w:r>
      <w:r>
        <w:rPr>
          <w:rFonts w:cs="Arial" w:hint="cs"/>
          <w:rtl/>
        </w:rPr>
        <w:t>:</w:t>
      </w:r>
      <w:r>
        <w:rPr>
          <w:rFonts w:cs="Arial"/>
          <w:rtl/>
        </w:rPr>
        <w:t>] כל הכשר לדון כשר להעיד, ואשה אינה כשרה לדון כדאמ' [שבועות שם] מועמדו שני האנשים, זה אינו דהא דאשה אינה כשרה לדון היינו משום כל כבודה בת מלך פנימה, דאי' עד מפי עד כשר. ודאי צריכא לבא לב"ד ועדותה עדות</w:t>
      </w:r>
      <w:r>
        <w:rPr>
          <w:rFonts w:cs="Arial" w:hint="cs"/>
          <w:rtl/>
        </w:rPr>
        <w:t>.</w:t>
      </w:r>
      <w:r>
        <w:rPr>
          <w:rFonts w:cs="Arial"/>
          <w:rtl/>
        </w:rPr>
        <w:t xml:space="preserve"> וראיה גדולה אפי' להיות דיינת לולי מפני כל כבודה כדאמרינן.</w:t>
      </w:r>
    </w:p>
  </w:footnote>
  <w:footnote w:id="2602">
    <w:p w14:paraId="2AC8641E" w14:textId="77777777" w:rsidR="0013116F" w:rsidRDefault="0013116F" w:rsidP="004B607F">
      <w:pPr>
        <w:pStyle w:val="a9"/>
        <w:rPr>
          <w:rtl/>
        </w:rPr>
      </w:pPr>
      <w:r>
        <w:rPr>
          <w:rStyle w:val="ab"/>
        </w:rPr>
        <w:footnoteRef/>
      </w:r>
      <w:r>
        <w:rPr>
          <w:rtl/>
        </w:rPr>
        <w:t xml:space="preserve"> </w:t>
      </w:r>
      <w:r w:rsidRPr="00005782">
        <w:rPr>
          <w:rFonts w:cs="Arial"/>
          <w:rtl/>
        </w:rPr>
        <w:t xml:space="preserve">וכ"כ הכלבו </w:t>
      </w:r>
      <w:r>
        <w:rPr>
          <w:rFonts w:cs="Arial" w:hint="cs"/>
          <w:rtl/>
        </w:rPr>
        <w:t>(</w:t>
      </w:r>
      <w:r w:rsidRPr="00005782">
        <w:rPr>
          <w:rFonts w:cs="Arial"/>
          <w:rtl/>
        </w:rPr>
        <w:t>סי</w:t>
      </w:r>
      <w:r>
        <w:rPr>
          <w:rFonts w:cs="Arial" w:hint="cs"/>
          <w:rtl/>
        </w:rPr>
        <w:t>'</w:t>
      </w:r>
      <w:r w:rsidRPr="00005782">
        <w:rPr>
          <w:rFonts w:cs="Arial"/>
          <w:rtl/>
        </w:rPr>
        <w:t xml:space="preserve"> ק</w:t>
      </w:r>
      <w:r>
        <w:rPr>
          <w:rFonts w:cs="Arial" w:hint="cs"/>
          <w:rtl/>
        </w:rPr>
        <w:t>טז)</w:t>
      </w:r>
      <w:r w:rsidRPr="00005782">
        <w:rPr>
          <w:rFonts w:cs="Arial"/>
          <w:rtl/>
        </w:rPr>
        <w:t xml:space="preserve"> מתקנות רבינו גרשום מאור הגולה</w:t>
      </w:r>
      <w:r>
        <w:rPr>
          <w:rFonts w:cs="Arial" w:hint="cs"/>
          <w:rtl/>
        </w:rPr>
        <w:t>,</w:t>
      </w:r>
      <w:r w:rsidRPr="00005782">
        <w:rPr>
          <w:rFonts w:cs="Arial"/>
          <w:rtl/>
        </w:rPr>
        <w:t xml:space="preserve"> וכ"כ בחידושי אגודה פרק עשרה יוחסין (סי' סד) דבכל מקום דאין אנשים רגילים להיות </w:t>
      </w:r>
      <w:r>
        <w:rPr>
          <w:rFonts w:cs="Arial" w:hint="cs"/>
          <w:rtl/>
        </w:rPr>
        <w:t xml:space="preserve">- </w:t>
      </w:r>
      <w:r w:rsidRPr="00005782">
        <w:rPr>
          <w:rFonts w:cs="Arial"/>
          <w:rtl/>
        </w:rPr>
        <w:t>נשים נאמנות</w:t>
      </w:r>
      <w:r>
        <w:rPr>
          <w:rFonts w:cs="Arial" w:hint="cs"/>
          <w:rtl/>
        </w:rPr>
        <w:t>.</w:t>
      </w:r>
      <w:r w:rsidRPr="00005782">
        <w:rPr>
          <w:rFonts w:cs="Arial"/>
          <w:rtl/>
        </w:rPr>
        <w:t xml:space="preserve"> וכן האריך בזה בתר</w:t>
      </w:r>
      <w:r>
        <w:rPr>
          <w:rFonts w:cs="Arial" w:hint="cs"/>
          <w:rtl/>
        </w:rPr>
        <w:t>וה"</w:t>
      </w:r>
      <w:r w:rsidRPr="00005782">
        <w:rPr>
          <w:rFonts w:cs="Arial"/>
          <w:rtl/>
        </w:rPr>
        <w:t>ד סי</w:t>
      </w:r>
      <w:r>
        <w:rPr>
          <w:rFonts w:cs="Arial" w:hint="cs"/>
          <w:rtl/>
        </w:rPr>
        <w:t>'</w:t>
      </w:r>
      <w:r w:rsidRPr="00005782">
        <w:rPr>
          <w:rFonts w:cs="Arial"/>
          <w:rtl/>
        </w:rPr>
        <w:t xml:space="preserve"> שנ"ג</w:t>
      </w:r>
      <w:r>
        <w:rPr>
          <w:rFonts w:cs="Arial" w:hint="cs"/>
          <w:rtl/>
        </w:rPr>
        <w:t>.</w:t>
      </w:r>
      <w:r w:rsidRPr="00005782">
        <w:rPr>
          <w:rFonts w:cs="Arial"/>
          <w:rtl/>
        </w:rPr>
        <w:t xml:space="preserve"> מיהו כתב דדוקא בדבר שהוא אקראי בעלמא</w:t>
      </w:r>
      <w:r>
        <w:rPr>
          <w:rFonts w:cs="Arial" w:hint="cs"/>
          <w:rtl/>
        </w:rPr>
        <w:t>,</w:t>
      </w:r>
      <w:r w:rsidRPr="00005782">
        <w:rPr>
          <w:rFonts w:cs="Arial"/>
          <w:rtl/>
        </w:rPr>
        <w:t xml:space="preserve"> כגון שמעידות על בגדי אלמנה שלבשה אותן בחיי בעלה דבדבר זה אין אנשים רגילים לדקדק</w:t>
      </w:r>
      <w:r>
        <w:rPr>
          <w:rFonts w:cs="Arial" w:hint="cs"/>
          <w:rtl/>
        </w:rPr>
        <w:t>.</w:t>
      </w:r>
      <w:r w:rsidRPr="00005782">
        <w:rPr>
          <w:rFonts w:cs="Arial"/>
          <w:rtl/>
        </w:rPr>
        <w:t xml:space="preserve"> וכן במקומות בבית הכנסת של נשים</w:t>
      </w:r>
      <w:r>
        <w:rPr>
          <w:rFonts w:cs="Arial" w:hint="cs"/>
          <w:rtl/>
        </w:rPr>
        <w:t>.</w:t>
      </w:r>
      <w:r w:rsidRPr="00005782">
        <w:rPr>
          <w:rFonts w:cs="Arial"/>
          <w:rtl/>
        </w:rPr>
        <w:t xml:space="preserve"> אבל בנזקין דשכיחי </w:t>
      </w:r>
      <w:r>
        <w:rPr>
          <w:rFonts w:cs="Arial" w:hint="cs"/>
          <w:rtl/>
        </w:rPr>
        <w:t xml:space="preserve">- </w:t>
      </w:r>
      <w:r w:rsidRPr="00005782">
        <w:rPr>
          <w:rFonts w:cs="Arial"/>
          <w:rtl/>
        </w:rPr>
        <w:t>אין נשים נאמנות כו'</w:t>
      </w:r>
      <w:r>
        <w:rPr>
          <w:rFonts w:cs="Arial" w:hint="cs"/>
          <w:sz w:val="16"/>
          <w:szCs w:val="16"/>
          <w:rtl/>
        </w:rPr>
        <w:t xml:space="preserve"> {וכתב הסמ"ע [סק"ל] דנראה דלכן לא הזכיר הרמ"א בסי' תח הא דנשים נאמנות מתקנת קדמונים וכו' משום דנזקין שכיחי}</w:t>
      </w:r>
      <w:r w:rsidRPr="00005782">
        <w:rPr>
          <w:rFonts w:cs="Arial"/>
          <w:rtl/>
        </w:rPr>
        <w:t>. מיהו נראה דבדבר הכאות וחבלות</w:t>
      </w:r>
      <w:r>
        <w:rPr>
          <w:rFonts w:cs="Arial" w:hint="cs"/>
          <w:rtl/>
        </w:rPr>
        <w:t xml:space="preserve"> -</w:t>
      </w:r>
      <w:r w:rsidRPr="00005782">
        <w:rPr>
          <w:rFonts w:cs="Arial"/>
          <w:rtl/>
        </w:rPr>
        <w:t xml:space="preserve"> נשים נאמנות</w:t>
      </w:r>
      <w:r>
        <w:rPr>
          <w:rFonts w:cs="Arial" w:hint="cs"/>
          <w:rtl/>
        </w:rPr>
        <w:t>,</w:t>
      </w:r>
      <w:r w:rsidRPr="00005782">
        <w:rPr>
          <w:rFonts w:cs="Arial"/>
          <w:rtl/>
        </w:rPr>
        <w:t xml:space="preserve"> וכדברי ר</w:t>
      </w:r>
      <w:r>
        <w:rPr>
          <w:rFonts w:cs="Arial" w:hint="cs"/>
          <w:rtl/>
        </w:rPr>
        <w:t>"</w:t>
      </w:r>
      <w:r w:rsidRPr="00005782">
        <w:rPr>
          <w:rFonts w:cs="Arial"/>
          <w:rtl/>
        </w:rPr>
        <w:t>ת</w:t>
      </w:r>
      <w:r>
        <w:rPr>
          <w:rFonts w:cs="Arial" w:hint="cs"/>
          <w:rtl/>
        </w:rPr>
        <w:t>,</w:t>
      </w:r>
      <w:r w:rsidRPr="00005782">
        <w:rPr>
          <w:rFonts w:cs="Arial"/>
          <w:rtl/>
        </w:rPr>
        <w:t xml:space="preserve"> דזה ג</w:t>
      </w:r>
      <w:r>
        <w:rPr>
          <w:rFonts w:cs="Arial" w:hint="cs"/>
          <w:rtl/>
        </w:rPr>
        <w:t>"</w:t>
      </w:r>
      <w:r w:rsidRPr="00005782">
        <w:rPr>
          <w:rFonts w:cs="Arial"/>
          <w:rtl/>
        </w:rPr>
        <w:t>כ לא שכיחי כדלקמן סי</w:t>
      </w:r>
      <w:r>
        <w:rPr>
          <w:rFonts w:cs="Arial" w:hint="cs"/>
          <w:rtl/>
        </w:rPr>
        <w:t>'</w:t>
      </w:r>
      <w:r w:rsidRPr="00005782">
        <w:rPr>
          <w:rFonts w:cs="Arial"/>
          <w:rtl/>
        </w:rPr>
        <w:t xml:space="preserve"> ת"ח (אות ב)</w:t>
      </w:r>
      <w:r>
        <w:rPr>
          <w:rFonts w:cs="Arial" w:hint="cs"/>
          <w:rtl/>
        </w:rPr>
        <w:t>.</w:t>
      </w:r>
      <w:r w:rsidRPr="00005782">
        <w:rPr>
          <w:rFonts w:cs="Arial"/>
          <w:rtl/>
        </w:rPr>
        <w:t xml:space="preserve"> ולכן נ"ל דאין לדחות דבריהם בלא ראיה ברורה</w:t>
      </w:r>
      <w:r>
        <w:rPr>
          <w:rFonts w:cs="Arial" w:hint="cs"/>
          <w:rtl/>
        </w:rPr>
        <w:t>, דרכ"מ (אות ג).</w:t>
      </w:r>
    </w:p>
  </w:footnote>
  <w:footnote w:id="2603">
    <w:p w14:paraId="64B591D6" w14:textId="77777777" w:rsidR="0013116F" w:rsidRDefault="0013116F" w:rsidP="004B607F">
      <w:pPr>
        <w:pStyle w:val="a9"/>
      </w:pPr>
      <w:r>
        <w:rPr>
          <w:rStyle w:val="ab"/>
        </w:rPr>
        <w:footnoteRef/>
      </w:r>
      <w:r>
        <w:rPr>
          <w:rtl/>
        </w:rPr>
        <w:t xml:space="preserve"> </w:t>
      </w:r>
      <w:r>
        <w:rPr>
          <w:rFonts w:hint="cs"/>
          <w:rtl/>
        </w:rPr>
        <w:t xml:space="preserve">וז"ל- </w:t>
      </w:r>
      <w:r w:rsidRPr="002A6147">
        <w:rPr>
          <w:rFonts w:cs="Arial"/>
          <w:rtl/>
        </w:rPr>
        <w:t>אין הנזקין משתלמין</w:t>
      </w:r>
      <w:r>
        <w:rPr>
          <w:rFonts w:cs="Arial" w:hint="cs"/>
          <w:rtl/>
        </w:rPr>
        <w:t>,</w:t>
      </w:r>
      <w:r w:rsidRPr="002A6147">
        <w:rPr>
          <w:rFonts w:cs="Arial"/>
          <w:rtl/>
        </w:rPr>
        <w:t xml:space="preserve"> ואין חייבין בכופר</w:t>
      </w:r>
      <w:r>
        <w:rPr>
          <w:rFonts w:cs="Arial" w:hint="cs"/>
          <w:rtl/>
        </w:rPr>
        <w:t>,</w:t>
      </w:r>
      <w:r w:rsidRPr="002A6147">
        <w:rPr>
          <w:rFonts w:cs="Arial"/>
          <w:rtl/>
        </w:rPr>
        <w:t xml:space="preserve"> ואין הבהמה נהרגת</w:t>
      </w:r>
      <w:r>
        <w:rPr>
          <w:rFonts w:cs="Arial" w:hint="cs"/>
          <w:rtl/>
        </w:rPr>
        <w:t xml:space="preserve"> -</w:t>
      </w:r>
      <w:r w:rsidRPr="002A6147">
        <w:rPr>
          <w:rFonts w:cs="Arial"/>
          <w:rtl/>
        </w:rPr>
        <w:t xml:space="preserve"> אלא בראיה ברורה ובעדים הכשרים להעיד</w:t>
      </w:r>
      <w:r>
        <w:rPr>
          <w:rFonts w:cs="Arial" w:hint="cs"/>
          <w:rtl/>
        </w:rPr>
        <w:t>.</w:t>
      </w:r>
      <w:r w:rsidRPr="002A6147">
        <w:rPr>
          <w:rFonts w:cs="Arial"/>
          <w:rtl/>
        </w:rPr>
        <w:t xml:space="preserve"> שלא תאמר הואיל ואין מצויין באוריות הסוסים וברפת הבקר וגדרות הצאן אלא העבדים והרועים וכיוצא בהן אם העידו שבהמה זו היא שהזיקה את זו שומעין להן</w:t>
      </w:r>
      <w:r>
        <w:rPr>
          <w:rFonts w:cs="Arial" w:hint="cs"/>
          <w:rtl/>
        </w:rPr>
        <w:t>,</w:t>
      </w:r>
      <w:r w:rsidRPr="002A6147">
        <w:rPr>
          <w:rFonts w:cs="Arial"/>
          <w:rtl/>
        </w:rPr>
        <w:t xml:space="preserve"> או אם העידו קטנים או נשים שאדם זה חבל את זה או העידו בשאר נזקין סומכין עליהן, אין הדבר כן, אלא לעולם אין מחייבין ממון על פי עדים עד שיהיו עדים הכשרים להעיד שאר עדיות</w:t>
      </w:r>
      <w:r>
        <w:rPr>
          <w:rFonts w:cs="Arial" w:hint="cs"/>
          <w:rtl/>
        </w:rPr>
        <w:t>,</w:t>
      </w:r>
      <w:r w:rsidRPr="002A6147">
        <w:rPr>
          <w:rFonts w:cs="Arial"/>
          <w:rtl/>
        </w:rPr>
        <w:t xml:space="preserve"> ויעידו בב</w:t>
      </w:r>
      <w:r>
        <w:rPr>
          <w:rFonts w:cs="Arial" w:hint="cs"/>
          <w:rtl/>
        </w:rPr>
        <w:t>"</w:t>
      </w:r>
      <w:r w:rsidRPr="002A6147">
        <w:rPr>
          <w:rFonts w:cs="Arial"/>
          <w:rtl/>
        </w:rPr>
        <w:t>ד ויחייבו בית דין המזיק לשלם.</w:t>
      </w:r>
    </w:p>
  </w:footnote>
  <w:footnote w:id="2604">
    <w:p w14:paraId="24A8AEC3" w14:textId="77777777" w:rsidR="0013116F" w:rsidRDefault="0013116F" w:rsidP="004B607F">
      <w:pPr>
        <w:pStyle w:val="a9"/>
        <w:rPr>
          <w:rtl/>
        </w:rPr>
      </w:pPr>
      <w:r>
        <w:rPr>
          <w:rStyle w:val="ab"/>
        </w:rPr>
        <w:footnoteRef/>
      </w:r>
      <w:r>
        <w:rPr>
          <w:rtl/>
        </w:rPr>
        <w:t xml:space="preserve"> </w:t>
      </w:r>
      <w:r w:rsidRPr="00553D28">
        <w:rPr>
          <w:rFonts w:cs="Arial"/>
          <w:rtl/>
        </w:rPr>
        <w:t>ולאפוקי מדברי מהרי"ק סימן קע"ט (ענף ג)</w:t>
      </w:r>
      <w:r>
        <w:rPr>
          <w:rFonts w:cs="Arial" w:hint="cs"/>
          <w:rtl/>
        </w:rPr>
        <w:t>.</w:t>
      </w:r>
      <w:r w:rsidRPr="00553D28">
        <w:rPr>
          <w:rFonts w:cs="Arial"/>
          <w:rtl/>
        </w:rPr>
        <w:t xml:space="preserve"> ובתרוה</w:t>
      </w:r>
      <w:r>
        <w:rPr>
          <w:rFonts w:cs="Arial" w:hint="cs"/>
          <w:rtl/>
        </w:rPr>
        <w:t>"</w:t>
      </w:r>
      <w:r w:rsidRPr="00553D28">
        <w:rPr>
          <w:rFonts w:cs="Arial"/>
          <w:rtl/>
        </w:rPr>
        <w:t>ד סימן שנ"ג האריך בזה ואין דבריו נראים בעיני</w:t>
      </w:r>
      <w:r>
        <w:rPr>
          <w:rFonts w:hint="cs"/>
          <w:rtl/>
        </w:rPr>
        <w:t>, ב"י.</w:t>
      </w:r>
    </w:p>
  </w:footnote>
  <w:footnote w:id="2605">
    <w:p w14:paraId="76453784" w14:textId="77777777" w:rsidR="0013116F" w:rsidRDefault="0013116F" w:rsidP="004B607F">
      <w:pPr>
        <w:pStyle w:val="a9"/>
      </w:pPr>
      <w:r>
        <w:rPr>
          <w:rStyle w:val="ab"/>
        </w:rPr>
        <w:footnoteRef/>
      </w:r>
      <w:r>
        <w:rPr>
          <w:rtl/>
        </w:rPr>
        <w:t xml:space="preserve"> </w:t>
      </w:r>
      <w:r w:rsidRPr="008007A2">
        <w:rPr>
          <w:rFonts w:cs="Arial"/>
          <w:rtl/>
        </w:rPr>
        <w:t>בסימן ל"ד סעיף כ"ח כתב, שנים שהעידו באחד שהוא פסול, ובאו שנים והכחישום, הרי זה ספק ופסול. והטעם, דכל עדות באה להוציא או לחייב ממון על ידן, והמוציא מחבירו עליו הראיה</w:t>
      </w:r>
      <w:r>
        <w:rPr>
          <w:rFonts w:cs="Arial" w:hint="cs"/>
          <w:rtl/>
        </w:rPr>
        <w:t>, סמ"ע (סקכ"ט).</w:t>
      </w:r>
    </w:p>
  </w:footnote>
  <w:footnote w:id="2606">
    <w:p w14:paraId="586FCA7F" w14:textId="77777777" w:rsidR="0013116F" w:rsidRDefault="0013116F" w:rsidP="004B607F">
      <w:pPr>
        <w:pStyle w:val="a9"/>
      </w:pPr>
      <w:r>
        <w:rPr>
          <w:rStyle w:val="ab"/>
        </w:rPr>
        <w:footnoteRef/>
      </w:r>
      <w:r>
        <w:rPr>
          <w:rtl/>
        </w:rPr>
        <w:t xml:space="preserve"> </w:t>
      </w:r>
      <w:r w:rsidRPr="006C6C05">
        <w:rPr>
          <w:rFonts w:cs="Arial"/>
          <w:rtl/>
        </w:rPr>
        <w:t>ומהרש"ל [יש"ש ב"ק פ"א סי' מ"א] פסק, דוקא שלא החזיק ג' שנים, אבל החזיק ג' שנים תו לא מפקעינן מיניה בעדות נשים, ולעולם עד אחד באנשים מהימן יותר מב' נשים ע"ש</w:t>
      </w:r>
      <w:r>
        <w:rPr>
          <w:rFonts w:cs="Arial" w:hint="cs"/>
          <w:rtl/>
        </w:rPr>
        <w:t>, ש"ך (סק"י).</w:t>
      </w:r>
    </w:p>
  </w:footnote>
  <w:footnote w:id="2607">
    <w:p w14:paraId="53B85A9A" w14:textId="77777777" w:rsidR="0013116F" w:rsidRDefault="0013116F" w:rsidP="004B607F">
      <w:pPr>
        <w:pStyle w:val="a9"/>
      </w:pPr>
      <w:r>
        <w:rPr>
          <w:rStyle w:val="ab"/>
        </w:rPr>
        <w:footnoteRef/>
      </w:r>
      <w:r>
        <w:rPr>
          <w:rtl/>
        </w:rPr>
        <w:t xml:space="preserve"> </w:t>
      </w:r>
      <w:r w:rsidRPr="006C6C05">
        <w:rPr>
          <w:rFonts w:cs="Arial"/>
          <w:rtl/>
        </w:rPr>
        <w:t>ומהרש"ל פסק דקרוב לעולם אינו נאמן, אם לא לחובתו נאמן. וע</w:t>
      </w:r>
      <w:r>
        <w:rPr>
          <w:rFonts w:cs="Arial" w:hint="cs"/>
          <w:rtl/>
        </w:rPr>
        <w:t>"</w:t>
      </w:r>
      <w:r w:rsidRPr="006C6C05">
        <w:rPr>
          <w:rFonts w:cs="Arial"/>
          <w:rtl/>
        </w:rPr>
        <w:t xml:space="preserve">ש </w:t>
      </w:r>
      <w:r w:rsidRPr="006C6C05">
        <w:rPr>
          <w:rFonts w:cs="Arial" w:hint="cs"/>
          <w:sz w:val="16"/>
          <w:szCs w:val="16"/>
          <w:rtl/>
        </w:rPr>
        <w:t>(</w:t>
      </w:r>
      <w:r w:rsidRPr="006C6C05">
        <w:rPr>
          <w:rFonts w:cs="Arial"/>
          <w:sz w:val="16"/>
          <w:szCs w:val="16"/>
          <w:rtl/>
        </w:rPr>
        <w:t>בב"ק פ</w:t>
      </w:r>
      <w:r w:rsidRPr="006C6C05">
        <w:rPr>
          <w:rFonts w:cs="Arial" w:hint="cs"/>
          <w:sz w:val="16"/>
          <w:szCs w:val="16"/>
          <w:rtl/>
        </w:rPr>
        <w:t>"</w:t>
      </w:r>
      <w:r w:rsidRPr="006C6C05">
        <w:rPr>
          <w:rFonts w:cs="Arial"/>
          <w:sz w:val="16"/>
          <w:szCs w:val="16"/>
          <w:rtl/>
        </w:rPr>
        <w:t>א סי</w:t>
      </w:r>
      <w:r w:rsidRPr="006C6C05">
        <w:rPr>
          <w:rFonts w:cs="Arial" w:hint="cs"/>
          <w:sz w:val="16"/>
          <w:szCs w:val="16"/>
          <w:rtl/>
        </w:rPr>
        <w:t>'</w:t>
      </w:r>
      <w:r w:rsidRPr="006C6C05">
        <w:rPr>
          <w:rFonts w:cs="Arial"/>
          <w:sz w:val="16"/>
          <w:szCs w:val="16"/>
          <w:rtl/>
        </w:rPr>
        <w:t xml:space="preserve"> מא</w:t>
      </w:r>
      <w:r>
        <w:rPr>
          <w:rFonts w:cs="Arial" w:hint="cs"/>
          <w:sz w:val="16"/>
          <w:szCs w:val="16"/>
          <w:rtl/>
        </w:rPr>
        <w:t>)</w:t>
      </w:r>
      <w:r w:rsidRPr="006C6C05">
        <w:rPr>
          <w:rFonts w:cs="Arial"/>
          <w:sz w:val="16"/>
          <w:szCs w:val="16"/>
          <w:rtl/>
        </w:rPr>
        <w:t xml:space="preserve"> </w:t>
      </w:r>
      <w:r w:rsidRPr="006C6C05">
        <w:rPr>
          <w:rFonts w:cs="Arial"/>
          <w:rtl/>
        </w:rPr>
        <w:t>שהאריך הרבה בדינים אלו</w:t>
      </w:r>
      <w:r>
        <w:rPr>
          <w:rFonts w:cs="Arial" w:hint="cs"/>
          <w:rtl/>
        </w:rPr>
        <w:t>, ש"ך (סקי"א).</w:t>
      </w:r>
    </w:p>
  </w:footnote>
  <w:footnote w:id="2608">
    <w:p w14:paraId="6278B86F" w14:textId="77777777" w:rsidR="0013116F" w:rsidRDefault="0013116F" w:rsidP="004B607F">
      <w:pPr>
        <w:pStyle w:val="a9"/>
      </w:pPr>
      <w:r>
        <w:rPr>
          <w:rStyle w:val="ab"/>
        </w:rPr>
        <w:footnoteRef/>
      </w:r>
      <w:r>
        <w:rPr>
          <w:rtl/>
        </w:rPr>
        <w:t xml:space="preserve"> </w:t>
      </w:r>
      <w:r w:rsidRPr="00B06C77">
        <w:rPr>
          <w:rFonts w:cs="Arial"/>
          <w:rtl/>
        </w:rPr>
        <w:t>וע"ל סכ"ח סט"ו בהג"ה</w:t>
      </w:r>
      <w:r>
        <w:rPr>
          <w:rFonts w:cs="Arial" w:hint="cs"/>
          <w:rtl/>
        </w:rPr>
        <w:t>, סמ"ע (סקל"א).</w:t>
      </w:r>
    </w:p>
  </w:footnote>
  <w:footnote w:id="2609">
    <w:p w14:paraId="4C486925" w14:textId="77777777" w:rsidR="0013116F" w:rsidRDefault="0013116F" w:rsidP="004B607F">
      <w:pPr>
        <w:pStyle w:val="a9"/>
      </w:pPr>
      <w:r>
        <w:rPr>
          <w:rStyle w:val="ab"/>
        </w:rPr>
        <w:footnoteRef/>
      </w:r>
      <w:r>
        <w:rPr>
          <w:rtl/>
        </w:rPr>
        <w:t xml:space="preserve"> </w:t>
      </w:r>
      <w:r>
        <w:rPr>
          <w:rFonts w:hint="cs"/>
          <w:rtl/>
        </w:rPr>
        <w:t xml:space="preserve">סימן </w:t>
      </w:r>
      <w:r>
        <w:rPr>
          <w:rtl/>
        </w:rPr>
        <w:t>–</w:t>
      </w:r>
      <w:r>
        <w:rPr>
          <w:rFonts w:hint="cs"/>
          <w:rtl/>
        </w:rPr>
        <w:t xml:space="preserve"> הדדיות.</w:t>
      </w:r>
    </w:p>
  </w:footnote>
  <w:footnote w:id="2610">
    <w:p w14:paraId="10F67CB9" w14:textId="77777777" w:rsidR="0013116F" w:rsidRDefault="0013116F" w:rsidP="004B607F">
      <w:pPr>
        <w:pStyle w:val="a9"/>
        <w:rPr>
          <w:rtl/>
        </w:rPr>
      </w:pPr>
      <w:r>
        <w:rPr>
          <w:rStyle w:val="ab"/>
        </w:rPr>
        <w:footnoteRef/>
      </w:r>
      <w:r>
        <w:rPr>
          <w:rtl/>
        </w:rPr>
        <w:t xml:space="preserve"> </w:t>
      </w:r>
      <w:r w:rsidRPr="00934562">
        <w:rPr>
          <w:rFonts w:cs="Arial"/>
          <w:rtl/>
        </w:rPr>
        <w:t>ובדיני נפשות כי אמרינן בטלה בזמן שהקרוב או הפסול נשתתף בעדות מתחלה להיות מן המתרין בעוברי עבירה</w:t>
      </w:r>
      <w:r>
        <w:rPr>
          <w:rFonts w:cs="Arial" w:hint="cs"/>
          <w:rtl/>
        </w:rPr>
        <w:t>, רש"י</w:t>
      </w:r>
      <w:r w:rsidRPr="00934562">
        <w:rPr>
          <w:rFonts w:cs="Arial"/>
          <w:rtl/>
        </w:rPr>
        <w:t>.</w:t>
      </w:r>
    </w:p>
  </w:footnote>
  <w:footnote w:id="2611">
    <w:p w14:paraId="5B1B753C" w14:textId="77777777" w:rsidR="0013116F" w:rsidRDefault="0013116F" w:rsidP="004B607F">
      <w:pPr>
        <w:pStyle w:val="a9"/>
        <w:rPr>
          <w:rtl/>
        </w:rPr>
      </w:pPr>
      <w:r>
        <w:rPr>
          <w:rStyle w:val="ab"/>
        </w:rPr>
        <w:footnoteRef/>
      </w:r>
      <w:r>
        <w:rPr>
          <w:rtl/>
        </w:rPr>
        <w:t xml:space="preserve"> </w:t>
      </w:r>
      <w:r w:rsidRPr="00934562">
        <w:rPr>
          <w:rFonts w:cs="Arial"/>
          <w:rtl/>
        </w:rPr>
        <w:t>ולא כוונו להיות עדים בדבר לא בטלה עדות האחרים בשביל ראייתן של אלו דמה יעשו שני אחין שראו עם שלישי מן השוק באחד שהרג את הנפש</w:t>
      </w:r>
      <w:r>
        <w:rPr>
          <w:rFonts w:cs="Arial" w:hint="cs"/>
          <w:rtl/>
        </w:rPr>
        <w:t>, רש"י</w:t>
      </w:r>
      <w:r w:rsidRPr="00934562">
        <w:rPr>
          <w:rFonts w:cs="Arial"/>
          <w:rtl/>
        </w:rPr>
        <w:t>.</w:t>
      </w:r>
    </w:p>
  </w:footnote>
  <w:footnote w:id="2612">
    <w:p w14:paraId="476D6932" w14:textId="77777777" w:rsidR="0013116F" w:rsidRDefault="0013116F" w:rsidP="004B607F">
      <w:pPr>
        <w:pStyle w:val="a9"/>
        <w:rPr>
          <w:rtl/>
        </w:rPr>
      </w:pPr>
      <w:r>
        <w:rPr>
          <w:rStyle w:val="ab"/>
        </w:rPr>
        <w:footnoteRef/>
      </w:r>
      <w:r>
        <w:rPr>
          <w:rtl/>
        </w:rPr>
        <w:t xml:space="preserve"> </w:t>
      </w:r>
      <w:r w:rsidRPr="00B35AC1">
        <w:rPr>
          <w:rFonts w:cs="Arial"/>
          <w:rtl/>
        </w:rPr>
        <w:t>התם קאמרה מתני' מאה כשנים אבל אם העידו השנים ולאחר זמן העידו האחרים הרי הן כשתי כתות לכל דבר</w:t>
      </w:r>
      <w:r>
        <w:rPr>
          <w:rFonts w:cs="Arial" w:hint="cs"/>
          <w:rtl/>
        </w:rPr>
        <w:t>, רש"י</w:t>
      </w:r>
      <w:r w:rsidRPr="00B35AC1">
        <w:rPr>
          <w:rFonts w:cs="Arial"/>
          <w:rtl/>
        </w:rPr>
        <w:t>.</w:t>
      </w:r>
      <w:r>
        <w:rPr>
          <w:rFonts w:cs="Arial" w:hint="cs"/>
          <w:rtl/>
        </w:rPr>
        <w:t xml:space="preserve"> וכתבו התוס' (ד"ה אמר רבא) ד</w:t>
      </w:r>
      <w:r w:rsidRPr="00B35AC1">
        <w:rPr>
          <w:rFonts w:cs="Arial"/>
          <w:rtl/>
        </w:rPr>
        <w:t xml:space="preserve">משמע </w:t>
      </w:r>
      <w:r>
        <w:rPr>
          <w:rFonts w:cs="Arial" w:hint="cs"/>
          <w:rtl/>
        </w:rPr>
        <w:t xml:space="preserve">מדבריו של רש"י </w:t>
      </w:r>
      <w:r w:rsidRPr="00B35AC1">
        <w:rPr>
          <w:rFonts w:cs="Arial"/>
          <w:rtl/>
        </w:rPr>
        <w:t>דקאי אף לענין קרוב או פסול</w:t>
      </w:r>
      <w:r>
        <w:rPr>
          <w:rFonts w:cs="Arial" w:hint="cs"/>
          <w:rtl/>
        </w:rPr>
        <w:t>,</w:t>
      </w:r>
      <w:r w:rsidRPr="00B35AC1">
        <w:rPr>
          <w:rFonts w:cs="Arial"/>
          <w:rtl/>
        </w:rPr>
        <w:t xml:space="preserve"> וקשה דהא משמע בסמוך דלענין דין דקרוב או פסול אינו תלוי בהעדאה בתוך כדי דיבור אלא בראיית מעשה גמרה עדותן אף כי העידו אחר תוך כדי דיבור דקאמר הרוג יציל</w:t>
      </w:r>
      <w:r>
        <w:rPr>
          <w:rFonts w:cs="Arial" w:hint="cs"/>
          <w:rtl/>
        </w:rPr>
        <w:t>,</w:t>
      </w:r>
      <w:r w:rsidRPr="00B35AC1">
        <w:rPr>
          <w:rFonts w:cs="Arial"/>
          <w:rtl/>
        </w:rPr>
        <w:t xml:space="preserve"> לכך נראה דלא קאי רק אדין דעדים זוממין דקאמר עד שיזומו כולם ובהא קאמר דוקא כי העידו כולם בתוך כדי דיבור דזה הוי עדות אחד ובעינן עד שיזומו כולם אבל העידו מקצתן בתוך כדי דיבור ומקצתן אחר כדי דיבור א"כ הוי שתי כתות ולא בעינן עד שיזומו כולם</w:t>
      </w:r>
      <w:r>
        <w:rPr>
          <w:rFonts w:cs="Arial" w:hint="cs"/>
          <w:rtl/>
        </w:rPr>
        <w:t>,</w:t>
      </w:r>
      <w:r w:rsidRPr="00B35AC1">
        <w:rPr>
          <w:rFonts w:cs="Arial"/>
          <w:rtl/>
        </w:rPr>
        <w:t xml:space="preserve"> אבל לענין נמצא אחד קרוב או פסול אף אם נמצא מהני שהעידו לאחר כדי דיבור עדותן בטלה</w:t>
      </w:r>
      <w:r>
        <w:rPr>
          <w:rFonts w:cs="Arial" w:hint="cs"/>
          <w:rtl/>
        </w:rPr>
        <w:t>..</w:t>
      </w:r>
      <w:r w:rsidRPr="00B35AC1">
        <w:rPr>
          <w:rFonts w:cs="Arial"/>
          <w:rtl/>
        </w:rPr>
        <w:t>.</w:t>
      </w:r>
      <w:r>
        <w:rPr>
          <w:rFonts w:hint="cs"/>
          <w:rtl/>
        </w:rPr>
        <w:t xml:space="preserve"> עכ"ל התוס'. והב"י (סע' א) הזכיר את מחלוקתם זו בסוף דבריו. אך הש"ך (סק"ו) </w:t>
      </w:r>
      <w:r>
        <w:rPr>
          <w:rFonts w:cs="Arial" w:hint="cs"/>
          <w:rtl/>
        </w:rPr>
        <w:t xml:space="preserve">כתב </w:t>
      </w:r>
      <w:r w:rsidRPr="00741FC5">
        <w:rPr>
          <w:rFonts w:cs="Arial"/>
          <w:rtl/>
        </w:rPr>
        <w:t>דאף שהבינו התוס' והב"י [כאן סעיף ב'] וכן הב"ח לקמן סימן ל"ח [סעיף י"ד ובב"י שם] ושאר אחרונים כן מפירש"י, מ"מ לפענ"ד אין כוונת רש"י כן</w:t>
      </w:r>
      <w:r>
        <w:rPr>
          <w:rFonts w:cs="Arial" w:hint="cs"/>
          <w:rtl/>
        </w:rPr>
        <w:t>... עכ"ל.</w:t>
      </w:r>
    </w:p>
  </w:footnote>
  <w:footnote w:id="2613">
    <w:p w14:paraId="4B697A4E" w14:textId="77777777" w:rsidR="0013116F" w:rsidRPr="00C83509" w:rsidRDefault="0013116F" w:rsidP="004B607F">
      <w:pPr>
        <w:pStyle w:val="a9"/>
        <w:rPr>
          <w:color w:val="000000" w:themeColor="text1"/>
          <w:rtl/>
        </w:rPr>
      </w:pPr>
      <w:r>
        <w:rPr>
          <w:rStyle w:val="ab"/>
        </w:rPr>
        <w:footnoteRef/>
      </w:r>
      <w:r>
        <w:rPr>
          <w:rtl/>
        </w:rPr>
        <w:t xml:space="preserve"> </w:t>
      </w:r>
      <w:r w:rsidRPr="00717EF0">
        <w:rPr>
          <w:rFonts w:cs="Arial"/>
          <w:rtl/>
        </w:rPr>
        <w:t>לקרוב ופסול למבדקינהו אם מתחלה לעדות נתכוונו</w:t>
      </w:r>
      <w:r>
        <w:rPr>
          <w:rFonts w:cs="Arial" w:hint="cs"/>
          <w:rtl/>
        </w:rPr>
        <w:t>, רש"י</w:t>
      </w:r>
      <w:r>
        <w:rPr>
          <w:rFonts w:hint="cs"/>
          <w:rtl/>
        </w:rPr>
        <w:t>.</w:t>
      </w:r>
      <w:r w:rsidRPr="00934562">
        <w:rPr>
          <w:rtl/>
        </w:rPr>
        <w:t xml:space="preserve"> </w:t>
      </w:r>
      <w:r>
        <w:rPr>
          <w:rFonts w:hint="cs"/>
          <w:rtl/>
        </w:rPr>
        <w:t>אך ה</w:t>
      </w:r>
      <w:r>
        <w:rPr>
          <w:rFonts w:cs="Arial" w:hint="cs"/>
          <w:rtl/>
        </w:rPr>
        <w:t>תוס'</w:t>
      </w:r>
      <w:r w:rsidRPr="00CB68FE">
        <w:rPr>
          <w:rFonts w:cs="Arial" w:hint="cs"/>
          <w:sz w:val="16"/>
          <w:szCs w:val="16"/>
          <w:rtl/>
        </w:rPr>
        <w:t xml:space="preserve"> (ד"ה</w:t>
      </w:r>
      <w:r w:rsidRPr="00CB68FE">
        <w:rPr>
          <w:sz w:val="16"/>
          <w:szCs w:val="16"/>
          <w:rtl/>
        </w:rPr>
        <w:t xml:space="preserve"> </w:t>
      </w:r>
      <w:r w:rsidRPr="00CB68FE">
        <w:rPr>
          <w:rFonts w:cs="Arial"/>
          <w:sz w:val="16"/>
          <w:szCs w:val="16"/>
          <w:rtl/>
        </w:rPr>
        <w:t>לאסהודי אתיתו</w:t>
      </w:r>
      <w:r w:rsidRPr="00CB68FE">
        <w:rPr>
          <w:rFonts w:cs="Arial" w:hint="cs"/>
          <w:sz w:val="16"/>
          <w:szCs w:val="16"/>
          <w:rtl/>
        </w:rPr>
        <w:t>)</w:t>
      </w:r>
      <w:r>
        <w:rPr>
          <w:rFonts w:cs="Arial" w:hint="cs"/>
          <w:sz w:val="16"/>
          <w:szCs w:val="16"/>
          <w:rtl/>
        </w:rPr>
        <w:t xml:space="preserve"> </w:t>
      </w:r>
      <w:r w:rsidRPr="00CB68FE">
        <w:rPr>
          <w:rFonts w:cs="Arial"/>
          <w:rtl/>
        </w:rPr>
        <w:t>פירש</w:t>
      </w:r>
      <w:r>
        <w:rPr>
          <w:rFonts w:cs="Arial" w:hint="cs"/>
          <w:rtl/>
        </w:rPr>
        <w:t>ו בשם</w:t>
      </w:r>
      <w:r w:rsidRPr="00CB68FE">
        <w:rPr>
          <w:rFonts w:cs="Arial"/>
          <w:rtl/>
        </w:rPr>
        <w:t xml:space="preserve"> רבינו חיים כהן דאמרינן לעדים כשרים לאסהודי עם הפסולין אתיתו או למיחזי אתיתו בלא הפסולין</w:t>
      </w:r>
      <w:r>
        <w:rPr>
          <w:rFonts w:cs="Arial" w:hint="cs"/>
          <w:rtl/>
        </w:rPr>
        <w:t xml:space="preserve">. וכתב הש"ך </w:t>
      </w:r>
      <w:r w:rsidRPr="00CF0BA6">
        <w:rPr>
          <w:rFonts w:cs="Arial" w:hint="cs"/>
          <w:sz w:val="16"/>
          <w:szCs w:val="16"/>
          <w:rtl/>
        </w:rPr>
        <w:t xml:space="preserve">(סק"ה) </w:t>
      </w:r>
      <w:r>
        <w:rPr>
          <w:rFonts w:cs="Arial" w:hint="cs"/>
          <w:rtl/>
        </w:rPr>
        <w:t>דכדברי רש"י כתבו גם</w:t>
      </w:r>
      <w:r w:rsidRPr="000A3E2B">
        <w:rPr>
          <w:rFonts w:cs="Arial"/>
          <w:rtl/>
        </w:rPr>
        <w:t xml:space="preserve"> הרמב"ן </w:t>
      </w:r>
      <w:r w:rsidRPr="00CF0BA6">
        <w:rPr>
          <w:rFonts w:cs="Arial"/>
          <w:sz w:val="16"/>
          <w:szCs w:val="16"/>
          <w:rtl/>
        </w:rPr>
        <w:t>[בחידושיו שם, הובא ברא"ש]</w:t>
      </w:r>
      <w:r w:rsidRPr="000A3E2B">
        <w:rPr>
          <w:rFonts w:cs="Arial"/>
          <w:rtl/>
        </w:rPr>
        <w:t xml:space="preserve"> והרא"ש </w:t>
      </w:r>
      <w:r w:rsidRPr="00CF0BA6">
        <w:rPr>
          <w:rFonts w:cs="Arial"/>
          <w:sz w:val="16"/>
          <w:szCs w:val="16"/>
          <w:rtl/>
        </w:rPr>
        <w:t xml:space="preserve">[שם פ"א סי' י"א] </w:t>
      </w:r>
      <w:r w:rsidRPr="000A3E2B">
        <w:rPr>
          <w:rFonts w:cs="Arial"/>
          <w:rtl/>
        </w:rPr>
        <w:t xml:space="preserve">והרמב"ם </w:t>
      </w:r>
      <w:r w:rsidRPr="00CF0BA6">
        <w:rPr>
          <w:rFonts w:cs="Arial"/>
          <w:sz w:val="16"/>
          <w:szCs w:val="16"/>
          <w:rtl/>
        </w:rPr>
        <w:t xml:space="preserve">[פ"ה מעדות ה"ה] </w:t>
      </w:r>
      <w:r w:rsidRPr="000A3E2B">
        <w:rPr>
          <w:rFonts w:cs="Arial"/>
          <w:rtl/>
        </w:rPr>
        <w:t xml:space="preserve">והטור </w:t>
      </w:r>
      <w:r w:rsidRPr="00CF0BA6">
        <w:rPr>
          <w:rFonts w:cs="Arial"/>
          <w:sz w:val="16"/>
          <w:szCs w:val="16"/>
          <w:rtl/>
        </w:rPr>
        <w:t>[סע</w:t>
      </w:r>
      <w:r>
        <w:rPr>
          <w:rFonts w:cs="Arial" w:hint="cs"/>
          <w:sz w:val="16"/>
          <w:szCs w:val="16"/>
          <w:rtl/>
        </w:rPr>
        <w:t>'</w:t>
      </w:r>
      <w:r w:rsidRPr="00CF0BA6">
        <w:rPr>
          <w:rFonts w:cs="Arial"/>
          <w:sz w:val="16"/>
          <w:szCs w:val="16"/>
          <w:rtl/>
        </w:rPr>
        <w:t xml:space="preserve"> א] </w:t>
      </w:r>
      <w:r w:rsidRPr="000A3E2B">
        <w:rPr>
          <w:rFonts w:cs="Arial"/>
          <w:rtl/>
        </w:rPr>
        <w:t xml:space="preserve">והמחבר ושאר כל </w:t>
      </w:r>
      <w:r w:rsidRPr="00C83509">
        <w:rPr>
          <w:rFonts w:cs="Arial"/>
          <w:color w:val="000000" w:themeColor="text1"/>
          <w:rtl/>
        </w:rPr>
        <w:t xml:space="preserve">הפוסקים. </w:t>
      </w:r>
      <w:r w:rsidRPr="00C83509">
        <w:rPr>
          <w:rFonts w:cs="Arial" w:hint="cs"/>
          <w:color w:val="000000" w:themeColor="text1"/>
          <w:rtl/>
        </w:rPr>
        <w:t>וכן נראה לו עיקר</w:t>
      </w:r>
      <w:r w:rsidRPr="00C83509">
        <w:rPr>
          <w:rFonts w:cs="Arial"/>
          <w:color w:val="000000" w:themeColor="text1"/>
          <w:rtl/>
        </w:rPr>
        <w:t>.</w:t>
      </w:r>
      <w:r w:rsidRPr="00C83509">
        <w:rPr>
          <w:rFonts w:hint="cs"/>
          <w:color w:val="000000" w:themeColor="text1"/>
          <w:rtl/>
        </w:rPr>
        <w:t xml:space="preserve"> </w:t>
      </w:r>
      <w:r>
        <w:rPr>
          <w:rFonts w:hint="cs"/>
          <w:color w:val="000000" w:themeColor="text1"/>
          <w:rtl/>
        </w:rPr>
        <w:t>וכתב עוד הש"ך</w:t>
      </w:r>
      <w:r w:rsidRPr="00CF0BA6">
        <w:rPr>
          <w:rFonts w:hint="cs"/>
          <w:color w:val="000000" w:themeColor="text1"/>
          <w:sz w:val="16"/>
          <w:szCs w:val="16"/>
          <w:rtl/>
        </w:rPr>
        <w:t xml:space="preserve"> (סק"ג)</w:t>
      </w:r>
      <w:r>
        <w:rPr>
          <w:rFonts w:hint="cs"/>
          <w:color w:val="000000" w:themeColor="text1"/>
          <w:rtl/>
        </w:rPr>
        <w:t xml:space="preserve"> </w:t>
      </w:r>
      <w:r w:rsidRPr="00C83509">
        <w:rPr>
          <w:rFonts w:hint="cs"/>
          <w:color w:val="000000" w:themeColor="text1"/>
          <w:rtl/>
        </w:rPr>
        <w:t xml:space="preserve">בשם הרמב"ם והשו"ע </w:t>
      </w:r>
      <w:r>
        <w:rPr>
          <w:rFonts w:hint="cs"/>
          <w:color w:val="000000" w:themeColor="text1"/>
          <w:rtl/>
        </w:rPr>
        <w:t>שלא שואלים רק לקרוב ולפסול בלחוד אלא שואלים לכולם והקרוב והפסול נכללים איתם.</w:t>
      </w:r>
    </w:p>
  </w:footnote>
  <w:footnote w:id="2614">
    <w:p w14:paraId="2885E5B1" w14:textId="77777777" w:rsidR="0013116F" w:rsidRDefault="0013116F" w:rsidP="004B607F">
      <w:pPr>
        <w:pStyle w:val="a9"/>
        <w:rPr>
          <w:rtl/>
        </w:rPr>
      </w:pPr>
      <w:r>
        <w:rPr>
          <w:rStyle w:val="ab"/>
        </w:rPr>
        <w:footnoteRef/>
      </w:r>
      <w:r>
        <w:rPr>
          <w:rtl/>
        </w:rPr>
        <w:t xml:space="preserve"> </w:t>
      </w:r>
      <w:r w:rsidRPr="00934562">
        <w:rPr>
          <w:rFonts w:cs="Arial"/>
          <w:rtl/>
        </w:rPr>
        <w:t>קאי אדיני ממונות</w:t>
      </w:r>
      <w:r>
        <w:rPr>
          <w:rFonts w:cs="Arial" w:hint="cs"/>
          <w:rtl/>
        </w:rPr>
        <w:t>.</w:t>
      </w:r>
      <w:r w:rsidRPr="00934562">
        <w:rPr>
          <w:rFonts w:cs="Arial"/>
          <w:rtl/>
        </w:rPr>
        <w:t xml:space="preserve"> בשלמא אדיני נפשות לא קשה היכי אמרינן כו' דניחזי אנן אם התרו בו הקרוב ופסול אם לאו</w:t>
      </w:r>
      <w:r>
        <w:rPr>
          <w:rFonts w:cs="Arial" w:hint="cs"/>
          <w:rtl/>
        </w:rPr>
        <w:t>,</w:t>
      </w:r>
      <w:r w:rsidRPr="00934562">
        <w:rPr>
          <w:rFonts w:cs="Arial"/>
          <w:rtl/>
        </w:rPr>
        <w:t xml:space="preserve"> אלא פריך בדיני ממונות דליכא התראה</w:t>
      </w:r>
      <w:r>
        <w:rPr>
          <w:rFonts w:cs="Arial" w:hint="cs"/>
          <w:rtl/>
        </w:rPr>
        <w:t>,</w:t>
      </w:r>
      <w:r w:rsidRPr="000A3E2B">
        <w:rPr>
          <w:rFonts w:cs="Arial" w:hint="cs"/>
          <w:rtl/>
        </w:rPr>
        <w:t xml:space="preserve"> </w:t>
      </w:r>
      <w:r>
        <w:rPr>
          <w:rFonts w:cs="Arial" w:hint="cs"/>
          <w:rtl/>
        </w:rPr>
        <w:t xml:space="preserve">תוס' </w:t>
      </w:r>
      <w:r>
        <w:rPr>
          <w:rFonts w:cs="Arial" w:hint="cs"/>
          <w:sz w:val="16"/>
          <w:szCs w:val="16"/>
          <w:rtl/>
        </w:rPr>
        <w:t>(ד"ה היכי אמרינן)</w:t>
      </w:r>
      <w:r w:rsidRPr="00934562">
        <w:rPr>
          <w:rFonts w:cs="Arial"/>
          <w:rtl/>
        </w:rPr>
        <w:t>.</w:t>
      </w:r>
    </w:p>
  </w:footnote>
  <w:footnote w:id="2615">
    <w:p w14:paraId="33C98B99" w14:textId="77777777" w:rsidR="0013116F" w:rsidRDefault="0013116F" w:rsidP="004B607F">
      <w:pPr>
        <w:pStyle w:val="a9"/>
      </w:pPr>
      <w:r>
        <w:rPr>
          <w:rStyle w:val="ab"/>
        </w:rPr>
        <w:footnoteRef/>
      </w:r>
      <w:r>
        <w:rPr>
          <w:rtl/>
        </w:rPr>
        <w:t xml:space="preserve"> </w:t>
      </w:r>
      <w:r>
        <w:rPr>
          <w:rFonts w:hint="cs"/>
          <w:rtl/>
        </w:rPr>
        <w:t xml:space="preserve">וז"ל- </w:t>
      </w:r>
      <w:r w:rsidRPr="00CB68FE">
        <w:rPr>
          <w:rFonts w:cs="Arial"/>
          <w:rtl/>
        </w:rPr>
        <w:t xml:space="preserve">עדים רבים שהעידו בעדות אחת ונמצא אחד מהם קרוב או פסול </w:t>
      </w:r>
      <w:r>
        <w:rPr>
          <w:rFonts w:cs="Arial" w:hint="cs"/>
          <w:rtl/>
        </w:rPr>
        <w:t xml:space="preserve">- </w:t>
      </w:r>
      <w:r w:rsidRPr="00CB68FE">
        <w:rPr>
          <w:rFonts w:cs="Arial"/>
          <w:rtl/>
        </w:rPr>
        <w:t xml:space="preserve">כל העדות בטילה. וכתב הרמב"ם </w:t>
      </w:r>
      <w:r w:rsidRPr="00390CAA">
        <w:rPr>
          <w:rFonts w:cs="Arial" w:hint="cs"/>
          <w:sz w:val="16"/>
          <w:szCs w:val="16"/>
          <w:rtl/>
        </w:rPr>
        <w:t>(פ"ה ה"ה)</w:t>
      </w:r>
      <w:r>
        <w:rPr>
          <w:rFonts w:cs="Arial" w:hint="cs"/>
          <w:rtl/>
        </w:rPr>
        <w:t xml:space="preserve"> </w:t>
      </w:r>
      <w:r w:rsidRPr="00CB68FE">
        <w:rPr>
          <w:rFonts w:cs="Arial"/>
          <w:rtl/>
        </w:rPr>
        <w:t>כיצד בודקין אותן אומרים להם כשראיתם המעשה לראות באתם או להעיד באתם</w:t>
      </w:r>
      <w:r w:rsidRPr="00CB68FE">
        <w:rPr>
          <w:rFonts w:cs="Arial" w:hint="cs"/>
          <w:rtl/>
        </w:rPr>
        <w:t>,</w:t>
      </w:r>
      <w:r w:rsidRPr="00CB68FE">
        <w:rPr>
          <w:rFonts w:cs="Arial"/>
          <w:rtl/>
        </w:rPr>
        <w:t xml:space="preserve"> אותו שאומר שבא להעיד פוסל כל העדות</w:t>
      </w:r>
      <w:r w:rsidRPr="00CB68FE">
        <w:rPr>
          <w:rFonts w:cs="Arial" w:hint="cs"/>
          <w:rtl/>
        </w:rPr>
        <w:t>,</w:t>
      </w:r>
      <w:r w:rsidRPr="00CB68FE">
        <w:rPr>
          <w:rFonts w:cs="Arial"/>
          <w:rtl/>
        </w:rPr>
        <w:t xml:space="preserve"> ואותו שאומר שבא לראות אינו פוסל</w:t>
      </w:r>
      <w:r w:rsidRPr="00CB68FE">
        <w:rPr>
          <w:rFonts w:cs="Arial" w:hint="cs"/>
          <w:rtl/>
        </w:rPr>
        <w:t xml:space="preserve">. </w:t>
      </w:r>
      <w:r w:rsidRPr="00CB68FE">
        <w:rPr>
          <w:rFonts w:cs="Arial"/>
          <w:rtl/>
        </w:rPr>
        <w:t>בד"א כשיש עמהם קרוב או פסול אבל אם כולם כשרים בין אותן שכיוונו להעיד בין אותן שלא כיוונו להעיד חותכין הדין על פיהם כיון שראה הדבר וכיון עדותם</w:t>
      </w:r>
      <w:r w:rsidRPr="00CB68FE">
        <w:rPr>
          <w:rFonts w:cs="Arial" w:hint="cs"/>
          <w:rtl/>
        </w:rPr>
        <w:t>.</w:t>
      </w:r>
    </w:p>
  </w:footnote>
  <w:footnote w:id="2616">
    <w:p w14:paraId="55FD2D52" w14:textId="77777777" w:rsidR="0013116F" w:rsidRDefault="0013116F" w:rsidP="004B607F">
      <w:pPr>
        <w:pStyle w:val="a9"/>
      </w:pPr>
      <w:r>
        <w:rPr>
          <w:rStyle w:val="ab"/>
        </w:rPr>
        <w:footnoteRef/>
      </w:r>
      <w:r>
        <w:rPr>
          <w:rtl/>
        </w:rPr>
        <w:t xml:space="preserve"> </w:t>
      </w:r>
      <w:r w:rsidRPr="00390CAA">
        <w:rPr>
          <w:rFonts w:cs="Arial" w:hint="cs"/>
          <w:sz w:val="16"/>
          <w:szCs w:val="16"/>
          <w:rtl/>
        </w:rPr>
        <w:t xml:space="preserve"> </w:t>
      </w:r>
      <w:r>
        <w:rPr>
          <w:rFonts w:cs="Arial" w:hint="cs"/>
          <w:rtl/>
        </w:rPr>
        <w:t>ודבר זה האחרון כתב גם ה</w:t>
      </w:r>
      <w:r w:rsidRPr="00390CAA">
        <w:rPr>
          <w:rFonts w:cs="Arial"/>
          <w:rtl/>
        </w:rPr>
        <w:t xml:space="preserve">רא"ש </w:t>
      </w:r>
      <w:r w:rsidRPr="00390CAA">
        <w:rPr>
          <w:rFonts w:cs="Arial"/>
          <w:sz w:val="16"/>
          <w:szCs w:val="16"/>
          <w:rtl/>
        </w:rPr>
        <w:t>(כלל ס סי' ג</w:t>
      </w:r>
      <w:r w:rsidRPr="00390CAA">
        <w:rPr>
          <w:rFonts w:cs="Arial" w:hint="cs"/>
          <w:sz w:val="16"/>
          <w:szCs w:val="16"/>
          <w:rtl/>
        </w:rPr>
        <w:t>,</w:t>
      </w:r>
      <w:r w:rsidRPr="00390CAA">
        <w:rPr>
          <w:rFonts w:cs="Arial"/>
          <w:sz w:val="16"/>
          <w:szCs w:val="16"/>
          <w:rtl/>
        </w:rPr>
        <w:t xml:space="preserve"> </w:t>
      </w:r>
      <w:r w:rsidRPr="00390CAA">
        <w:rPr>
          <w:rFonts w:cs="Arial" w:hint="cs"/>
          <w:sz w:val="16"/>
          <w:szCs w:val="16"/>
          <w:rtl/>
        </w:rPr>
        <w:t>הביאו הב"י, וכתבה הטור</w:t>
      </w:r>
      <w:r w:rsidRPr="00390CAA">
        <w:rPr>
          <w:rFonts w:cs="Arial"/>
          <w:sz w:val="16"/>
          <w:szCs w:val="16"/>
          <w:rtl/>
        </w:rPr>
        <w:t xml:space="preserve"> </w:t>
      </w:r>
      <w:r w:rsidRPr="00390CAA">
        <w:rPr>
          <w:rFonts w:cs="Arial" w:hint="cs"/>
          <w:sz w:val="16"/>
          <w:szCs w:val="16"/>
          <w:rtl/>
        </w:rPr>
        <w:t>ב</w:t>
      </w:r>
      <w:r w:rsidRPr="00390CAA">
        <w:rPr>
          <w:rFonts w:cs="Arial"/>
          <w:sz w:val="16"/>
          <w:szCs w:val="16"/>
          <w:rtl/>
        </w:rPr>
        <w:t>סי</w:t>
      </w:r>
      <w:r w:rsidRPr="00390CAA">
        <w:rPr>
          <w:rFonts w:cs="Arial" w:hint="cs"/>
          <w:sz w:val="16"/>
          <w:szCs w:val="16"/>
          <w:rtl/>
        </w:rPr>
        <w:t>'</w:t>
      </w:r>
      <w:r w:rsidRPr="00390CAA">
        <w:rPr>
          <w:rFonts w:cs="Arial"/>
          <w:sz w:val="16"/>
          <w:szCs w:val="16"/>
          <w:rtl/>
        </w:rPr>
        <w:t xml:space="preserve"> נא ס"ה)</w:t>
      </w:r>
      <w:r>
        <w:rPr>
          <w:rFonts w:hint="cs"/>
          <w:rtl/>
        </w:rPr>
        <w:t>.</w:t>
      </w:r>
    </w:p>
  </w:footnote>
  <w:footnote w:id="2617">
    <w:p w14:paraId="6CC07A3A" w14:textId="77777777" w:rsidR="0013116F" w:rsidRDefault="0013116F" w:rsidP="004B607F">
      <w:pPr>
        <w:pStyle w:val="a9"/>
      </w:pPr>
      <w:r>
        <w:rPr>
          <w:rStyle w:val="ab"/>
        </w:rPr>
        <w:footnoteRef/>
      </w:r>
      <w:r>
        <w:rPr>
          <w:rtl/>
        </w:rPr>
        <w:t xml:space="preserve"> </w:t>
      </w:r>
      <w:r>
        <w:rPr>
          <w:rFonts w:hint="cs"/>
          <w:rtl/>
        </w:rPr>
        <w:t>כן הבין הב"י מדבריהם. והסכים הש"ך כהבנת הב"י בדבריהם, ולא כהב"ח שלא הסכים עם הבנת הב"י בדבריהם.</w:t>
      </w:r>
    </w:p>
  </w:footnote>
  <w:footnote w:id="2618">
    <w:p w14:paraId="2F1E024D" w14:textId="77777777" w:rsidR="0013116F" w:rsidRDefault="0013116F" w:rsidP="004B607F">
      <w:pPr>
        <w:pStyle w:val="a9"/>
      </w:pPr>
      <w:r>
        <w:rPr>
          <w:rStyle w:val="ab"/>
        </w:rPr>
        <w:footnoteRef/>
      </w:r>
      <w:r>
        <w:rPr>
          <w:rtl/>
        </w:rPr>
        <w:t xml:space="preserve"> </w:t>
      </w:r>
      <w:r>
        <w:rPr>
          <w:rFonts w:hint="cs"/>
          <w:rtl/>
        </w:rPr>
        <w:t xml:space="preserve">על חילוק זה כתב הש"ך (סק"י) </w:t>
      </w:r>
      <w:r>
        <w:rPr>
          <w:rFonts w:cs="Arial" w:hint="cs"/>
          <w:rtl/>
        </w:rPr>
        <w:t xml:space="preserve">דכו"ע לא ס"ל הכי, אלא </w:t>
      </w:r>
      <w:r w:rsidRPr="00A1271C">
        <w:rPr>
          <w:rFonts w:cs="Arial"/>
          <w:rtl/>
        </w:rPr>
        <w:t>אם בא לב"ד והעיד ולא כיון מתחילה בשעת ראיה להעיד אינו פוסל לכו"ע. וכן מוכח להדיא בחידושי רמב"ן פרק יש נוחלין [קיג</w:t>
      </w:r>
      <w:r>
        <w:rPr>
          <w:rFonts w:cs="Arial" w:hint="cs"/>
          <w:rtl/>
        </w:rPr>
        <w:t>:</w:t>
      </w:r>
      <w:r w:rsidRPr="00A1271C">
        <w:rPr>
          <w:rFonts w:cs="Arial"/>
          <w:rtl/>
        </w:rPr>
        <w:t xml:space="preserve"> ד"ה שלשה] ובחידושי רשב"א [ד"ה ויש] והר"ן [ד"ה נמצאו] שם שמביא מהר"מ אלשקר בתשובה </w:t>
      </w:r>
      <w:r>
        <w:rPr>
          <w:rFonts w:cs="Arial" w:hint="cs"/>
          <w:rtl/>
        </w:rPr>
        <w:t>(</w:t>
      </w:r>
      <w:r w:rsidRPr="00A1271C">
        <w:rPr>
          <w:rFonts w:cs="Arial"/>
          <w:rtl/>
        </w:rPr>
        <w:t>סי' טז</w:t>
      </w:r>
      <w:r>
        <w:rPr>
          <w:rFonts w:cs="Arial" w:hint="cs"/>
          <w:rtl/>
        </w:rPr>
        <w:t>)</w:t>
      </w:r>
      <w:r w:rsidRPr="00A1271C">
        <w:rPr>
          <w:rFonts w:cs="Arial"/>
          <w:rtl/>
        </w:rPr>
        <w:t xml:space="preserve"> וב"י לעיל סימן ז' [סעיף ו'], והיינו שכתב הר"י בי רב שם, שלדעת הפוסקים כולם אם בשעת מעשה לא נתכוונו אלא לראות, אע</w:t>
      </w:r>
      <w:r>
        <w:rPr>
          <w:rFonts w:cs="Arial" w:hint="cs"/>
          <w:rtl/>
        </w:rPr>
        <w:t>"</w:t>
      </w:r>
      <w:r w:rsidRPr="00A1271C">
        <w:rPr>
          <w:rFonts w:cs="Arial"/>
          <w:rtl/>
        </w:rPr>
        <w:t>פ שאח"כ יעידו בב"ד, אפילו נמצא אחד מהן קרוב או פסול תתקיים העדות בכשרים.</w:t>
      </w:r>
      <w:r>
        <w:rPr>
          <w:rFonts w:cs="Arial" w:hint="cs"/>
          <w:rtl/>
        </w:rPr>
        <w:t xml:space="preserve">.. </w:t>
      </w:r>
      <w:r w:rsidRPr="00A1271C">
        <w:rPr>
          <w:rFonts w:cs="Arial"/>
          <w:rtl/>
        </w:rPr>
        <w:t>ודלא כמהר"ם אלשקר שם שהטיח הרבה דברים עליו שלא כדת, וכתב שדעת הרמב"ן והרשב"א והר"ן היא להפך, וכתב עליו ששגג בכמה שגגות כו'</w:t>
      </w:r>
      <w:r>
        <w:rPr>
          <w:rFonts w:cs="Arial" w:hint="cs"/>
          <w:rtl/>
        </w:rPr>
        <w:t>..</w:t>
      </w:r>
      <w:r w:rsidRPr="00A1271C">
        <w:rPr>
          <w:rFonts w:cs="Arial"/>
          <w:rtl/>
        </w:rPr>
        <w:t>. ובהיפוך הוא שהוא שגג בכמה שגגות</w:t>
      </w:r>
      <w:r>
        <w:rPr>
          <w:rFonts w:cs="Arial" w:hint="cs"/>
          <w:rtl/>
        </w:rPr>
        <w:t>...</w:t>
      </w:r>
    </w:p>
  </w:footnote>
  <w:footnote w:id="2619">
    <w:p w14:paraId="2D4B07EF" w14:textId="77777777" w:rsidR="0013116F" w:rsidRDefault="0013116F" w:rsidP="004B607F">
      <w:pPr>
        <w:pStyle w:val="a9"/>
      </w:pPr>
      <w:r>
        <w:rPr>
          <w:rFonts w:cs="Arial"/>
        </w:rPr>
        <w:t xml:space="preserve"> </w:t>
      </w:r>
      <w:r>
        <w:rPr>
          <w:rStyle w:val="ab"/>
        </w:rPr>
        <w:footnoteRef/>
      </w:r>
      <w:r>
        <w:rPr>
          <w:rFonts w:cs="Arial" w:hint="cs"/>
          <w:rtl/>
        </w:rPr>
        <w:t>וכתב עוד הרמ"ה ד</w:t>
      </w:r>
      <w:r w:rsidRPr="00EF2643">
        <w:rPr>
          <w:rFonts w:cs="Arial"/>
          <w:rtl/>
        </w:rPr>
        <w:t>הא דאמרינן כשאומר שבא לראות אינו פוסל זהו דווקא שלא העידו ביחד בב"ד בתוך כדי דבור</w:t>
      </w:r>
      <w:r w:rsidRPr="00EF2643">
        <w:rPr>
          <w:rFonts w:cs="Arial" w:hint="cs"/>
          <w:rtl/>
        </w:rPr>
        <w:t>,</w:t>
      </w:r>
      <w:r w:rsidRPr="00EF2643">
        <w:rPr>
          <w:rFonts w:cs="Arial"/>
          <w:rtl/>
        </w:rPr>
        <w:t xml:space="preserve"> אבל אם העידו יחד בתכ"ד אפילו אומרים שלא באו אלא לראות ואפילו לא ראו זה את זה ונמצא אחד מהם קרוב או פסול</w:t>
      </w:r>
      <w:r>
        <w:rPr>
          <w:rFonts w:cs="Arial" w:hint="cs"/>
          <w:rtl/>
        </w:rPr>
        <w:t xml:space="preserve"> -</w:t>
      </w:r>
      <w:r w:rsidRPr="00EF2643">
        <w:rPr>
          <w:rFonts w:cs="Arial"/>
          <w:rtl/>
        </w:rPr>
        <w:t xml:space="preserve"> עדותן בטילה</w:t>
      </w:r>
      <w:r w:rsidRPr="00EF2643">
        <w:rPr>
          <w:rFonts w:cs="Arial" w:hint="cs"/>
          <w:rtl/>
        </w:rPr>
        <w:t>,</w:t>
      </w:r>
      <w:r w:rsidRPr="00EF2643">
        <w:rPr>
          <w:rFonts w:cs="Arial"/>
          <w:rtl/>
        </w:rPr>
        <w:t xml:space="preserve"> דהא עיקר קרא בשעת הגדה</w:t>
      </w:r>
      <w:r>
        <w:rPr>
          <w:rFonts w:cs="Arial" w:hint="cs"/>
          <w:rtl/>
        </w:rPr>
        <w:t xml:space="preserve"> </w:t>
      </w:r>
      <w:r w:rsidRPr="00EF2643">
        <w:rPr>
          <w:rFonts w:cs="Arial"/>
          <w:rtl/>
        </w:rPr>
        <w:t>קאי</w:t>
      </w:r>
      <w:r>
        <w:rPr>
          <w:rFonts w:cs="Arial" w:hint="cs"/>
          <w:rtl/>
        </w:rPr>
        <w:t xml:space="preserve">. </w:t>
      </w:r>
      <w:r w:rsidRPr="00A1271C">
        <w:rPr>
          <w:rFonts w:cs="Arial" w:hint="cs"/>
          <w:sz w:val="16"/>
          <w:szCs w:val="16"/>
          <w:rtl/>
        </w:rPr>
        <w:t>(</w:t>
      </w:r>
      <w:r w:rsidRPr="00A1271C">
        <w:rPr>
          <w:rFonts w:cs="Arial"/>
          <w:sz w:val="16"/>
          <w:szCs w:val="16"/>
          <w:rtl/>
        </w:rPr>
        <w:t>ר</w:t>
      </w:r>
      <w:r w:rsidRPr="00A1271C">
        <w:rPr>
          <w:rFonts w:cs="Arial" w:hint="cs"/>
          <w:sz w:val="16"/>
          <w:szCs w:val="16"/>
          <w:rtl/>
        </w:rPr>
        <w:t>"</w:t>
      </w:r>
      <w:r w:rsidRPr="00A1271C">
        <w:rPr>
          <w:rFonts w:cs="Arial"/>
          <w:sz w:val="16"/>
          <w:szCs w:val="16"/>
          <w:rtl/>
        </w:rPr>
        <w:t>ל דעל פי שנים או שלשה דילפינן [מכות ה</w:t>
      </w:r>
      <w:r w:rsidRPr="00A1271C">
        <w:rPr>
          <w:rFonts w:cs="Arial" w:hint="cs"/>
          <w:sz w:val="16"/>
          <w:szCs w:val="16"/>
          <w:rtl/>
        </w:rPr>
        <w:t>:</w:t>
      </w:r>
      <w:r w:rsidRPr="00A1271C">
        <w:rPr>
          <w:rFonts w:cs="Arial"/>
          <w:sz w:val="16"/>
          <w:szCs w:val="16"/>
          <w:rtl/>
        </w:rPr>
        <w:t>] דאחד פסול פוסל כל העדים, בהגדה כתיב, והיינו מ"ש "על פי"</w:t>
      </w:r>
      <w:r w:rsidRPr="00A1271C">
        <w:rPr>
          <w:rFonts w:cs="Arial" w:hint="cs"/>
          <w:sz w:val="16"/>
          <w:szCs w:val="16"/>
          <w:rtl/>
        </w:rPr>
        <w:t xml:space="preserve">, סמ"ע </w:t>
      </w:r>
      <w:r>
        <w:rPr>
          <w:rFonts w:cs="Arial" w:hint="cs"/>
          <w:sz w:val="16"/>
          <w:szCs w:val="16"/>
          <w:rtl/>
        </w:rPr>
        <w:t>[</w:t>
      </w:r>
      <w:r w:rsidRPr="00A1271C">
        <w:rPr>
          <w:rFonts w:cs="Arial" w:hint="cs"/>
          <w:sz w:val="16"/>
          <w:szCs w:val="16"/>
          <w:rtl/>
        </w:rPr>
        <w:t>סק"ד</w:t>
      </w:r>
      <w:r>
        <w:rPr>
          <w:rFonts w:cs="Arial" w:hint="cs"/>
          <w:sz w:val="16"/>
          <w:szCs w:val="16"/>
          <w:rtl/>
        </w:rPr>
        <w:t>])</w:t>
      </w:r>
      <w:r w:rsidRPr="00A1271C">
        <w:rPr>
          <w:rFonts w:cs="Arial" w:hint="cs"/>
          <w:sz w:val="16"/>
          <w:szCs w:val="16"/>
          <w:rtl/>
        </w:rPr>
        <w:t>.</w:t>
      </w:r>
    </w:p>
  </w:footnote>
  <w:footnote w:id="2620">
    <w:p w14:paraId="327C2C00" w14:textId="77777777" w:rsidR="0013116F" w:rsidRPr="00EF2643" w:rsidRDefault="0013116F" w:rsidP="004B607F">
      <w:pPr>
        <w:pStyle w:val="a9"/>
      </w:pPr>
      <w:r>
        <w:rPr>
          <w:rStyle w:val="ab"/>
        </w:rPr>
        <w:footnoteRef/>
      </w:r>
      <w:r>
        <w:rPr>
          <w:rtl/>
        </w:rPr>
        <w:t xml:space="preserve"> </w:t>
      </w:r>
      <w:r>
        <w:rPr>
          <w:rFonts w:hint="cs"/>
          <w:rtl/>
        </w:rPr>
        <w:t xml:space="preserve">וכן מוכח מד"ה לאסהודי אתיתו </w:t>
      </w:r>
      <w:r w:rsidRPr="00EF2643">
        <w:rPr>
          <w:rFonts w:hint="cs"/>
          <w:sz w:val="16"/>
          <w:szCs w:val="16"/>
          <w:rtl/>
        </w:rPr>
        <w:t>(שכתבו שם התוס'- "</w:t>
      </w:r>
      <w:r w:rsidRPr="00EF2643">
        <w:rPr>
          <w:rFonts w:cs="Arial"/>
          <w:sz w:val="16"/>
          <w:szCs w:val="16"/>
          <w:rtl/>
        </w:rPr>
        <w:t>ומ</w:t>
      </w:r>
      <w:r>
        <w:rPr>
          <w:rFonts w:cs="Arial" w:hint="cs"/>
          <w:sz w:val="16"/>
          <w:szCs w:val="16"/>
          <w:rtl/>
        </w:rPr>
        <w:t>"מ</w:t>
      </w:r>
      <w:r w:rsidRPr="00EF2643">
        <w:rPr>
          <w:rFonts w:cs="Arial"/>
          <w:sz w:val="16"/>
          <w:szCs w:val="16"/>
          <w:rtl/>
        </w:rPr>
        <w:t xml:space="preserve"> תימה קצת היאך יהיו גם העדים כשרים נאמנים לומר לאסהודי אתינן כדי לבטל העדות הוו ליה כחוזר ומגיד </w:t>
      </w:r>
      <w:r w:rsidRPr="00EF2643">
        <w:rPr>
          <w:rFonts w:cs="Arial"/>
          <w:b/>
          <w:bCs/>
          <w:sz w:val="16"/>
          <w:szCs w:val="16"/>
          <w:rtl/>
        </w:rPr>
        <w:t>כיון שכבר העידו</w:t>
      </w:r>
      <w:r w:rsidRPr="00EF2643">
        <w:rPr>
          <w:rFonts w:cs="Arial" w:hint="cs"/>
          <w:sz w:val="16"/>
          <w:szCs w:val="16"/>
          <w:rtl/>
        </w:rPr>
        <w:t>")</w:t>
      </w:r>
      <w:r>
        <w:rPr>
          <w:rFonts w:cs="Arial" w:hint="cs"/>
          <w:rtl/>
        </w:rPr>
        <w:t>.</w:t>
      </w:r>
    </w:p>
  </w:footnote>
  <w:footnote w:id="2621">
    <w:p w14:paraId="60B0BD1C" w14:textId="77777777" w:rsidR="0013116F" w:rsidRDefault="0013116F" w:rsidP="004B607F">
      <w:pPr>
        <w:pStyle w:val="a9"/>
        <w:rPr>
          <w:rtl/>
        </w:rPr>
      </w:pPr>
      <w:r>
        <w:rPr>
          <w:rStyle w:val="ab"/>
        </w:rPr>
        <w:footnoteRef/>
      </w:r>
      <w:r>
        <w:rPr>
          <w:rtl/>
        </w:rPr>
        <w:t xml:space="preserve"> </w:t>
      </w:r>
      <w:r>
        <w:rPr>
          <w:rFonts w:hint="cs"/>
          <w:rtl/>
        </w:rPr>
        <w:t xml:space="preserve">וכתב הש"ך </w:t>
      </w:r>
      <w:r w:rsidRPr="00742D73">
        <w:rPr>
          <w:rFonts w:hint="cs"/>
          <w:sz w:val="16"/>
          <w:szCs w:val="16"/>
          <w:rtl/>
        </w:rPr>
        <w:t xml:space="preserve">(סק"ח) </w:t>
      </w:r>
      <w:r w:rsidRPr="00FA6F3D">
        <w:rPr>
          <w:rFonts w:cs="Arial"/>
          <w:rtl/>
        </w:rPr>
        <w:t xml:space="preserve">שכן נראה דעת הרשב"א </w:t>
      </w:r>
      <w:r w:rsidRPr="00742D73">
        <w:rPr>
          <w:rFonts w:cs="Arial"/>
          <w:sz w:val="16"/>
          <w:szCs w:val="16"/>
          <w:rtl/>
        </w:rPr>
        <w:t>[ב"ב קי</w:t>
      </w:r>
      <w:r w:rsidRPr="00742D73">
        <w:rPr>
          <w:rFonts w:cs="Arial" w:hint="cs"/>
          <w:sz w:val="16"/>
          <w:szCs w:val="16"/>
          <w:rtl/>
        </w:rPr>
        <w:t>ג:</w:t>
      </w:r>
      <w:r w:rsidRPr="00742D73">
        <w:rPr>
          <w:rFonts w:cs="Arial"/>
          <w:sz w:val="16"/>
          <w:szCs w:val="16"/>
          <w:rtl/>
        </w:rPr>
        <w:t xml:space="preserve"> ד"ה ויש מפרשים]</w:t>
      </w:r>
      <w:r w:rsidRPr="00FA6F3D">
        <w:rPr>
          <w:rFonts w:cs="Arial"/>
          <w:rtl/>
        </w:rPr>
        <w:t xml:space="preserve"> והר"ן </w:t>
      </w:r>
      <w:r w:rsidRPr="00742D73">
        <w:rPr>
          <w:rFonts w:cs="Arial"/>
          <w:sz w:val="16"/>
          <w:szCs w:val="16"/>
          <w:rtl/>
        </w:rPr>
        <w:t xml:space="preserve">[שם ד"ה נמצאו] </w:t>
      </w:r>
      <w:r w:rsidRPr="00FA6F3D">
        <w:rPr>
          <w:rFonts w:cs="Arial"/>
          <w:rtl/>
        </w:rPr>
        <w:t xml:space="preserve">ומביאם ב"י לעיל סימן ז' </w:t>
      </w:r>
      <w:r w:rsidRPr="00742D73">
        <w:rPr>
          <w:rFonts w:cs="Arial"/>
          <w:sz w:val="16"/>
          <w:szCs w:val="16"/>
          <w:rtl/>
        </w:rPr>
        <w:t xml:space="preserve">[סעיף ו] </w:t>
      </w:r>
      <w:r w:rsidRPr="00FA6F3D">
        <w:rPr>
          <w:rFonts w:cs="Arial"/>
          <w:rtl/>
        </w:rPr>
        <w:t>גבי אין עד נעשה דיין.</w:t>
      </w:r>
    </w:p>
  </w:footnote>
  <w:footnote w:id="2622">
    <w:p w14:paraId="7753D574" w14:textId="77777777" w:rsidR="0013116F" w:rsidRPr="00C51487" w:rsidRDefault="0013116F" w:rsidP="004B607F">
      <w:pPr>
        <w:pStyle w:val="a9"/>
      </w:pPr>
      <w:r>
        <w:rPr>
          <w:rStyle w:val="ab"/>
        </w:rPr>
        <w:footnoteRef/>
      </w:r>
      <w:r>
        <w:rPr>
          <w:rtl/>
        </w:rPr>
        <w:t xml:space="preserve"> </w:t>
      </w:r>
      <w:r w:rsidRPr="00C51487">
        <w:rPr>
          <w:rFonts w:cs="Arial"/>
          <w:rtl/>
        </w:rPr>
        <w:t>דאי לא תימא הכי אין לך גט כשר כשנותנין בפני קרובין או קדושין אם נתכוונו להעיד</w:t>
      </w:r>
      <w:r>
        <w:rPr>
          <w:rFonts w:cs="Arial" w:hint="cs"/>
          <w:rtl/>
        </w:rPr>
        <w:t xml:space="preserve">, תוס' </w:t>
      </w:r>
      <w:r w:rsidRPr="00C51487">
        <w:rPr>
          <w:rFonts w:cs="Arial" w:hint="cs"/>
          <w:sz w:val="16"/>
          <w:szCs w:val="16"/>
          <w:rtl/>
        </w:rPr>
        <w:t>(</w:t>
      </w:r>
      <w:r>
        <w:rPr>
          <w:rFonts w:cs="Arial" w:hint="cs"/>
          <w:sz w:val="16"/>
          <w:szCs w:val="16"/>
          <w:rtl/>
        </w:rPr>
        <w:t>פרק יש נוחלין שם</w:t>
      </w:r>
      <w:r w:rsidRPr="00C51487">
        <w:rPr>
          <w:rFonts w:cs="Arial" w:hint="cs"/>
          <w:sz w:val="16"/>
          <w:szCs w:val="16"/>
          <w:rtl/>
        </w:rPr>
        <w:t>)</w:t>
      </w:r>
      <w:r>
        <w:rPr>
          <w:rFonts w:cs="Arial" w:hint="cs"/>
          <w:rtl/>
        </w:rPr>
        <w:t>. וכ"כ הרא"ש</w:t>
      </w:r>
      <w:r>
        <w:rPr>
          <w:rFonts w:cs="Arial" w:hint="cs"/>
          <w:sz w:val="16"/>
          <w:szCs w:val="16"/>
          <w:rtl/>
        </w:rPr>
        <w:t xml:space="preserve"> (שם)</w:t>
      </w:r>
      <w:r>
        <w:rPr>
          <w:rFonts w:cs="Arial" w:hint="cs"/>
          <w:rtl/>
        </w:rPr>
        <w:t>.</w:t>
      </w:r>
    </w:p>
  </w:footnote>
  <w:footnote w:id="2623">
    <w:p w14:paraId="6630ADC3" w14:textId="77777777" w:rsidR="0013116F" w:rsidRDefault="0013116F" w:rsidP="004B607F">
      <w:pPr>
        <w:pStyle w:val="a9"/>
        <w:rPr>
          <w:rtl/>
        </w:rPr>
      </w:pPr>
      <w:r>
        <w:rPr>
          <w:rStyle w:val="ab"/>
        </w:rPr>
        <w:footnoteRef/>
      </w:r>
      <w:r>
        <w:rPr>
          <w:rtl/>
        </w:rPr>
        <w:t xml:space="preserve"> </w:t>
      </w:r>
      <w:r>
        <w:rPr>
          <w:rFonts w:cs="Arial"/>
          <w:rtl/>
        </w:rPr>
        <w:t>משמע מדבריו הא אם לא ראו כולם כאחד אע</w:t>
      </w:r>
      <w:r>
        <w:rPr>
          <w:rFonts w:cs="Arial" w:hint="cs"/>
          <w:rtl/>
        </w:rPr>
        <w:t>"</w:t>
      </w:r>
      <w:r>
        <w:rPr>
          <w:rFonts w:cs="Arial"/>
          <w:rtl/>
        </w:rPr>
        <w:t>פ שאמרו לאסהודי אתינן אין מצטרפין ודלא כהרמ"ה שפסל</w:t>
      </w:r>
      <w:r>
        <w:rPr>
          <w:rFonts w:cs="Arial" w:hint="cs"/>
          <w:rtl/>
        </w:rPr>
        <w:t>, ב"י</w:t>
      </w:r>
      <w:r>
        <w:rPr>
          <w:rFonts w:cs="Arial"/>
          <w:rtl/>
        </w:rPr>
        <w:t>.</w:t>
      </w:r>
      <w:r>
        <w:rPr>
          <w:rFonts w:hint="cs"/>
          <w:rtl/>
        </w:rPr>
        <w:t xml:space="preserve"> וכתב עוד הב"י שנראה מדברי רבינו ישעיה אלו שהיא סברא אחרת </w:t>
      </w:r>
      <w:r w:rsidRPr="00AD4424">
        <w:rPr>
          <w:rFonts w:hint="cs"/>
          <w:sz w:val="16"/>
          <w:szCs w:val="16"/>
          <w:rtl/>
        </w:rPr>
        <w:t>{היינו לא כדברי הרמ"</w:t>
      </w:r>
      <w:r>
        <w:rPr>
          <w:rFonts w:hint="cs"/>
          <w:sz w:val="16"/>
          <w:szCs w:val="16"/>
          <w:rtl/>
        </w:rPr>
        <w:t>ה</w:t>
      </w:r>
      <w:r w:rsidRPr="00AD4424">
        <w:rPr>
          <w:rFonts w:hint="cs"/>
          <w:sz w:val="16"/>
          <w:szCs w:val="16"/>
          <w:rtl/>
        </w:rPr>
        <w:t xml:space="preserve"> ולא כדברי התוס'}</w:t>
      </w:r>
      <w:r>
        <w:rPr>
          <w:rFonts w:hint="cs"/>
          <w:rtl/>
        </w:rPr>
        <w:t>. אך הדרכ"מ (אות ב) הבין שדעת רבינו ישעיה היא כדעת התוס', וכ"כ בהגהות פרישה ודרישה (אות ב).</w:t>
      </w:r>
    </w:p>
  </w:footnote>
  <w:footnote w:id="2624">
    <w:p w14:paraId="7486FDF5" w14:textId="77777777" w:rsidR="0013116F" w:rsidRDefault="0013116F" w:rsidP="004B607F">
      <w:pPr>
        <w:pStyle w:val="a9"/>
        <w:rPr>
          <w:rtl/>
        </w:rPr>
      </w:pPr>
      <w:r>
        <w:rPr>
          <w:rStyle w:val="ab"/>
        </w:rPr>
        <w:footnoteRef/>
      </w:r>
      <w:r>
        <w:rPr>
          <w:rtl/>
        </w:rPr>
        <w:t xml:space="preserve"> </w:t>
      </w:r>
      <w:r w:rsidRPr="00553E9A">
        <w:rPr>
          <w:rFonts w:hint="cs"/>
          <w:u w:val="single"/>
          <w:rtl/>
        </w:rPr>
        <w:t>ונחלקו הפוסקים האם דעת הטור כדעת רי"ו:</w:t>
      </w:r>
    </w:p>
    <w:p w14:paraId="79C9A453" w14:textId="77777777" w:rsidR="0013116F" w:rsidRDefault="0013116F" w:rsidP="004B0475">
      <w:pPr>
        <w:pStyle w:val="a9"/>
        <w:numPr>
          <w:ilvl w:val="0"/>
          <w:numId w:val="107"/>
        </w:numPr>
        <w:rPr>
          <w:rtl/>
        </w:rPr>
      </w:pPr>
      <w:r w:rsidRPr="004120C6">
        <w:rPr>
          <w:rFonts w:cs="Arial"/>
          <w:rtl/>
        </w:rPr>
        <w:t>ר"ש חכים</w:t>
      </w:r>
      <w:r>
        <w:rPr>
          <w:rFonts w:cs="Arial" w:hint="cs"/>
          <w:sz w:val="16"/>
          <w:szCs w:val="16"/>
          <w:rtl/>
        </w:rPr>
        <w:t xml:space="preserve"> (הביאו הב"י)</w:t>
      </w:r>
      <w:r w:rsidRPr="00552BB6">
        <w:rPr>
          <w:rFonts w:hint="cs"/>
          <w:rtl/>
        </w:rPr>
        <w:t xml:space="preserve"> </w:t>
      </w:r>
      <w:r>
        <w:rPr>
          <w:rFonts w:hint="cs"/>
          <w:rtl/>
        </w:rPr>
        <w:t>סמ"ע</w:t>
      </w:r>
      <w:r>
        <w:rPr>
          <w:rFonts w:hint="cs"/>
          <w:sz w:val="16"/>
          <w:szCs w:val="16"/>
          <w:rtl/>
        </w:rPr>
        <w:t xml:space="preserve"> (סק"ט)</w:t>
      </w:r>
      <w:r>
        <w:rPr>
          <w:rFonts w:hint="cs"/>
          <w:rtl/>
        </w:rPr>
        <w:t xml:space="preserve"> והש"ך</w:t>
      </w:r>
      <w:r>
        <w:rPr>
          <w:rFonts w:hint="cs"/>
          <w:sz w:val="16"/>
          <w:szCs w:val="16"/>
          <w:rtl/>
        </w:rPr>
        <w:t xml:space="preserve"> (סקט"ז)</w:t>
      </w:r>
      <w:r>
        <w:rPr>
          <w:rFonts w:cs="Arial" w:hint="cs"/>
          <w:rtl/>
        </w:rPr>
        <w:t>-</w:t>
      </w:r>
      <w:r w:rsidRPr="004120C6">
        <w:rPr>
          <w:rFonts w:cs="Arial"/>
          <w:rtl/>
        </w:rPr>
        <w:t xml:space="preserve"> </w:t>
      </w:r>
      <w:r>
        <w:rPr>
          <w:rFonts w:cs="Arial" w:hint="cs"/>
          <w:rtl/>
        </w:rPr>
        <w:t>אין דעת הטור כרי"ו, דלדעת הטור כשמזמין</w:t>
      </w:r>
      <w:r w:rsidRPr="008377D3">
        <w:rPr>
          <w:rFonts w:cs="Arial"/>
          <w:rtl/>
        </w:rPr>
        <w:t xml:space="preserve"> עדים בשעת מעשה בעינן שהוציא את האחרים</w:t>
      </w:r>
      <w:r>
        <w:rPr>
          <w:rFonts w:cs="Arial" w:hint="cs"/>
          <w:rtl/>
        </w:rPr>
        <w:t xml:space="preserve"> </w:t>
      </w:r>
      <w:r w:rsidRPr="008377D3">
        <w:rPr>
          <w:rFonts w:cs="Arial" w:hint="cs"/>
          <w:sz w:val="16"/>
          <w:szCs w:val="16"/>
          <w:rtl/>
        </w:rPr>
        <w:t>(ל</w:t>
      </w:r>
      <w:r>
        <w:rPr>
          <w:rFonts w:cs="Arial" w:hint="cs"/>
          <w:sz w:val="16"/>
          <w:szCs w:val="16"/>
          <w:rtl/>
        </w:rPr>
        <w:t>ר"ש חכים ול</w:t>
      </w:r>
      <w:r w:rsidRPr="008377D3">
        <w:rPr>
          <w:rFonts w:cs="Arial" w:hint="cs"/>
          <w:sz w:val="16"/>
          <w:szCs w:val="16"/>
          <w:rtl/>
        </w:rPr>
        <w:t xml:space="preserve">ש"ך צריך </w:t>
      </w:r>
      <w:r w:rsidRPr="008377D3">
        <w:rPr>
          <w:rFonts w:cs="Arial"/>
          <w:sz w:val="16"/>
          <w:szCs w:val="16"/>
          <w:rtl/>
        </w:rPr>
        <w:t xml:space="preserve">לפרש בשם את הכשרים ולומר </w:t>
      </w:r>
      <w:r>
        <w:rPr>
          <w:rFonts w:cs="Arial" w:hint="cs"/>
          <w:sz w:val="16"/>
          <w:szCs w:val="16"/>
          <w:rtl/>
        </w:rPr>
        <w:t>'</w:t>
      </w:r>
      <w:r w:rsidRPr="008377D3">
        <w:rPr>
          <w:rFonts w:cs="Arial"/>
          <w:sz w:val="16"/>
          <w:szCs w:val="16"/>
          <w:rtl/>
        </w:rPr>
        <w:t>אני מייחד אתכם פלוני ופלוני לעדים</w:t>
      </w:r>
      <w:r>
        <w:rPr>
          <w:rFonts w:cs="Arial" w:hint="cs"/>
          <w:sz w:val="16"/>
          <w:szCs w:val="16"/>
          <w:rtl/>
        </w:rPr>
        <w:t>'</w:t>
      </w:r>
      <w:r w:rsidRPr="008377D3">
        <w:rPr>
          <w:rFonts w:cs="Arial" w:hint="cs"/>
          <w:sz w:val="16"/>
          <w:szCs w:val="16"/>
          <w:rtl/>
        </w:rPr>
        <w:t xml:space="preserve">, ולסמ"ע די שיאמר </w:t>
      </w:r>
      <w:r>
        <w:rPr>
          <w:rFonts w:cs="Arial" w:hint="cs"/>
          <w:sz w:val="16"/>
          <w:szCs w:val="16"/>
          <w:rtl/>
        </w:rPr>
        <w:t>'</w:t>
      </w:r>
      <w:r w:rsidRPr="008377D3">
        <w:rPr>
          <w:rFonts w:cs="Arial"/>
          <w:sz w:val="16"/>
          <w:szCs w:val="16"/>
          <w:rtl/>
        </w:rPr>
        <w:t>שנים מכם תהיו לי עדים בדבר</w:t>
      </w:r>
      <w:r>
        <w:rPr>
          <w:rFonts w:cs="Arial" w:hint="cs"/>
          <w:sz w:val="16"/>
          <w:szCs w:val="16"/>
          <w:rtl/>
        </w:rPr>
        <w:t>'</w:t>
      </w:r>
      <w:r w:rsidRPr="008377D3">
        <w:rPr>
          <w:rFonts w:cs="Arial" w:hint="cs"/>
          <w:sz w:val="16"/>
          <w:szCs w:val="16"/>
          <w:rtl/>
        </w:rPr>
        <w:t>)</w:t>
      </w:r>
      <w:r>
        <w:rPr>
          <w:rFonts w:cs="Arial" w:hint="cs"/>
          <w:rtl/>
        </w:rPr>
        <w:t>,</w:t>
      </w:r>
      <w:r w:rsidRPr="008377D3">
        <w:rPr>
          <w:rFonts w:cs="Arial"/>
          <w:rtl/>
        </w:rPr>
        <w:t xml:space="preserve"> משא"כ במצוה להחרים על כל מי שיודע עדות, שאינו יכול לפרט בשם, שהרי אינו יודע את מי לפרט, ומסתמא דעתו על הכשרים.</w:t>
      </w:r>
    </w:p>
    <w:p w14:paraId="47B1FBF6" w14:textId="77777777" w:rsidR="0013116F" w:rsidRDefault="0013116F" w:rsidP="004B0475">
      <w:pPr>
        <w:pStyle w:val="a9"/>
        <w:numPr>
          <w:ilvl w:val="0"/>
          <w:numId w:val="107"/>
        </w:numPr>
      </w:pPr>
      <w:r>
        <w:rPr>
          <w:rFonts w:hint="cs"/>
          <w:rtl/>
        </w:rPr>
        <w:t>מהר"י בי רב</w:t>
      </w:r>
      <w:r w:rsidRPr="008D5828">
        <w:rPr>
          <w:rFonts w:cs="Arial"/>
          <w:rtl/>
        </w:rPr>
        <w:t xml:space="preserve"> </w:t>
      </w:r>
      <w:r w:rsidRPr="004120C6">
        <w:rPr>
          <w:rFonts w:cs="Arial" w:hint="cs"/>
          <w:sz w:val="16"/>
          <w:szCs w:val="16"/>
          <w:rtl/>
        </w:rPr>
        <w:t>(סי' נו)</w:t>
      </w:r>
      <w:r>
        <w:rPr>
          <w:rFonts w:cs="Arial" w:hint="cs"/>
          <w:rtl/>
        </w:rPr>
        <w:t xml:space="preserve"> </w:t>
      </w:r>
      <w:r w:rsidRPr="00742D73">
        <w:rPr>
          <w:rFonts w:cs="Arial"/>
          <w:color w:val="000000" w:themeColor="text1"/>
          <w:rtl/>
        </w:rPr>
        <w:t xml:space="preserve">מבי"ט </w:t>
      </w:r>
      <w:r w:rsidRPr="008377D3">
        <w:rPr>
          <w:rFonts w:cs="Arial" w:hint="cs"/>
          <w:color w:val="000000" w:themeColor="text1"/>
          <w:sz w:val="16"/>
          <w:szCs w:val="16"/>
          <w:rtl/>
        </w:rPr>
        <w:t>(</w:t>
      </w:r>
      <w:r w:rsidRPr="008377D3">
        <w:rPr>
          <w:rFonts w:cs="Arial"/>
          <w:color w:val="000000" w:themeColor="text1"/>
          <w:sz w:val="16"/>
          <w:szCs w:val="16"/>
          <w:rtl/>
        </w:rPr>
        <w:t>ח"ב סי' סז)</w:t>
      </w:r>
      <w:r>
        <w:rPr>
          <w:rFonts w:cs="Arial" w:hint="cs"/>
          <w:color w:val="000000" w:themeColor="text1"/>
          <w:rtl/>
        </w:rPr>
        <w:t xml:space="preserve"> ב"י </w:t>
      </w:r>
      <w:r>
        <w:rPr>
          <w:rFonts w:cs="Arial" w:hint="cs"/>
          <w:color w:val="000000" w:themeColor="text1"/>
          <w:sz w:val="16"/>
          <w:szCs w:val="16"/>
          <w:rtl/>
        </w:rPr>
        <w:t>(בבדה"ב)</w:t>
      </w:r>
      <w:r>
        <w:rPr>
          <w:rFonts w:cs="Arial" w:hint="cs"/>
          <w:color w:val="000000" w:themeColor="text1"/>
          <w:rtl/>
        </w:rPr>
        <w:t xml:space="preserve"> ודרכ"מ-</w:t>
      </w:r>
      <w:r w:rsidRPr="008377D3">
        <w:rPr>
          <w:rFonts w:cs="Arial" w:hint="cs"/>
          <w:rtl/>
        </w:rPr>
        <w:t xml:space="preserve"> </w:t>
      </w:r>
      <w:r>
        <w:rPr>
          <w:rFonts w:cs="Arial" w:hint="cs"/>
          <w:rtl/>
        </w:rPr>
        <w:t>דעת הטור כרי"ו</w:t>
      </w:r>
      <w:r>
        <w:rPr>
          <w:rFonts w:cs="Arial" w:hint="cs"/>
          <w:color w:val="000000" w:themeColor="text1"/>
          <w:rtl/>
        </w:rPr>
        <w:t>, ובין בשעת מעשה ובין בהכרזה שלאחר מעשה יכול להזמין בערבוביא דאין כוונתו רק לכשרים</w:t>
      </w:r>
      <w:r w:rsidRPr="00742D73">
        <w:rPr>
          <w:rFonts w:cs="Arial" w:hint="cs"/>
          <w:color w:val="000000" w:themeColor="text1"/>
          <w:rtl/>
        </w:rPr>
        <w:t>.</w:t>
      </w:r>
    </w:p>
    <w:p w14:paraId="121BF74B" w14:textId="77777777" w:rsidR="0013116F" w:rsidRPr="00AA6F14" w:rsidRDefault="0013116F" w:rsidP="004B607F">
      <w:pPr>
        <w:pStyle w:val="a9"/>
        <w:rPr>
          <w:rFonts w:cs="Arial"/>
          <w:u w:val="single"/>
          <w:rtl/>
        </w:rPr>
      </w:pPr>
      <w:r>
        <w:rPr>
          <w:rFonts w:cs="Arial" w:hint="cs"/>
          <w:rtl/>
        </w:rPr>
        <w:t xml:space="preserve"> </w:t>
      </w:r>
      <w:r w:rsidRPr="00AA6F14">
        <w:rPr>
          <w:rFonts w:cs="Arial" w:hint="cs"/>
          <w:rtl/>
        </w:rPr>
        <w:t xml:space="preserve"> </w:t>
      </w:r>
      <w:r w:rsidRPr="00AA6F14">
        <w:rPr>
          <w:rFonts w:cs="Arial"/>
          <w:u w:val="single"/>
          <w:rtl/>
        </w:rPr>
        <w:t>ו</w:t>
      </w:r>
      <w:r w:rsidRPr="00AA6F14">
        <w:rPr>
          <w:rFonts w:cs="Arial" w:hint="cs"/>
          <w:u w:val="single"/>
          <w:rtl/>
        </w:rPr>
        <w:t xml:space="preserve">כן </w:t>
      </w:r>
      <w:r w:rsidRPr="00AA6F14">
        <w:rPr>
          <w:rFonts w:cs="Arial"/>
          <w:u w:val="single"/>
          <w:rtl/>
        </w:rPr>
        <w:t xml:space="preserve">נחלקו הפוסקים </w:t>
      </w:r>
      <w:r w:rsidRPr="00AA6F14">
        <w:rPr>
          <w:rFonts w:cs="Arial" w:hint="cs"/>
          <w:u w:val="single"/>
          <w:rtl/>
        </w:rPr>
        <w:t>מה כוונת</w:t>
      </w:r>
      <w:r w:rsidRPr="00AA6F14">
        <w:rPr>
          <w:rFonts w:cs="Arial"/>
          <w:u w:val="single"/>
          <w:rtl/>
        </w:rPr>
        <w:t xml:space="preserve"> רי"ו</w:t>
      </w:r>
      <w:r w:rsidRPr="00AA6F14">
        <w:rPr>
          <w:rFonts w:cs="Arial" w:hint="cs"/>
          <w:u w:val="single"/>
          <w:rtl/>
        </w:rPr>
        <w:t xml:space="preserve"> </w:t>
      </w:r>
      <w:r>
        <w:rPr>
          <w:rFonts w:cs="Arial" w:hint="cs"/>
          <w:u w:val="single"/>
          <w:rtl/>
        </w:rPr>
        <w:t xml:space="preserve">באומרו </w:t>
      </w:r>
      <w:r w:rsidRPr="00AA6F14">
        <w:rPr>
          <w:rFonts w:cs="Arial" w:hint="cs"/>
          <w:u w:val="single"/>
          <w:rtl/>
        </w:rPr>
        <w:t xml:space="preserve">דמהני </w:t>
      </w:r>
      <w:r w:rsidRPr="00AA6F14">
        <w:rPr>
          <w:rFonts w:cs="Arial"/>
          <w:u w:val="single"/>
          <w:rtl/>
        </w:rPr>
        <w:t>אפילו הזמין בערבוביא:</w:t>
      </w:r>
    </w:p>
    <w:p w14:paraId="55EAB370" w14:textId="77777777" w:rsidR="0013116F" w:rsidRDefault="0013116F" w:rsidP="004B0475">
      <w:pPr>
        <w:pStyle w:val="a9"/>
        <w:numPr>
          <w:ilvl w:val="0"/>
          <w:numId w:val="108"/>
        </w:numPr>
        <w:rPr>
          <w:rtl/>
        </w:rPr>
      </w:pPr>
      <w:r>
        <w:rPr>
          <w:rFonts w:cs="Arial"/>
          <w:rtl/>
        </w:rPr>
        <w:t xml:space="preserve">ר"ש חכים </w:t>
      </w:r>
      <w:r w:rsidRPr="00AA6F14">
        <w:rPr>
          <w:rFonts w:cs="Arial"/>
          <w:sz w:val="16"/>
          <w:szCs w:val="16"/>
          <w:rtl/>
        </w:rPr>
        <w:t>(הביאו הב"י)</w:t>
      </w:r>
      <w:r>
        <w:rPr>
          <w:rFonts w:cs="Arial"/>
          <w:rtl/>
        </w:rPr>
        <w:t>- כוונתו שאומר לרוב עם 'שנים מכם יעידו על מעשה זה', ואע"פ שלא פרט אותם בשם.</w:t>
      </w:r>
    </w:p>
    <w:p w14:paraId="27F2BC8F" w14:textId="77777777" w:rsidR="0013116F" w:rsidRDefault="0013116F" w:rsidP="004B0475">
      <w:pPr>
        <w:pStyle w:val="a9"/>
        <w:numPr>
          <w:ilvl w:val="0"/>
          <w:numId w:val="108"/>
        </w:numPr>
        <w:rPr>
          <w:rtl/>
        </w:rPr>
      </w:pPr>
      <w:r>
        <w:rPr>
          <w:rFonts w:cs="Arial"/>
          <w:rtl/>
        </w:rPr>
        <w:t xml:space="preserve">דרכ"מ </w:t>
      </w:r>
      <w:r w:rsidRPr="00AA6F14">
        <w:rPr>
          <w:rFonts w:cs="Arial"/>
          <w:sz w:val="16"/>
          <w:szCs w:val="16"/>
          <w:rtl/>
        </w:rPr>
        <w:t>(אות ג)</w:t>
      </w:r>
      <w:r>
        <w:rPr>
          <w:rFonts w:cs="Arial"/>
          <w:rtl/>
        </w:rPr>
        <w:t>- כוונתו דאפילו אמר 'אני מייחד מכם עדים' בסתם - אפילו הכי אין כוונתו אלא לכשרים שבהם הואיל ויחדן, ואפילו לא יחדן אלא אומר 'כל מי שיודע עדות יבא ויעיד'</w:t>
      </w:r>
      <w:r>
        <w:rPr>
          <w:rFonts w:hint="cs"/>
          <w:rtl/>
        </w:rPr>
        <w:t>.</w:t>
      </w:r>
    </w:p>
  </w:footnote>
  <w:footnote w:id="2625">
    <w:p w14:paraId="263890DE" w14:textId="77777777" w:rsidR="0013116F" w:rsidRDefault="0013116F" w:rsidP="004B607F">
      <w:pPr>
        <w:pStyle w:val="a9"/>
      </w:pPr>
      <w:r>
        <w:rPr>
          <w:rStyle w:val="ab"/>
        </w:rPr>
        <w:footnoteRef/>
      </w:r>
      <w:r>
        <w:rPr>
          <w:rtl/>
        </w:rPr>
        <w:t xml:space="preserve"> </w:t>
      </w:r>
      <w:r w:rsidRPr="00AA46F3">
        <w:rPr>
          <w:rFonts w:hint="cs"/>
          <w:color w:val="00B0F0"/>
          <w:rtl/>
        </w:rPr>
        <w:t>וכ"פ הרמ"א</w:t>
      </w:r>
      <w:r>
        <w:rPr>
          <w:rFonts w:hint="cs"/>
          <w:color w:val="00B0F0"/>
          <w:rtl/>
        </w:rPr>
        <w:t>.</w:t>
      </w:r>
    </w:p>
  </w:footnote>
  <w:footnote w:id="2626">
    <w:p w14:paraId="631A6319" w14:textId="77777777" w:rsidR="0013116F" w:rsidRDefault="0013116F" w:rsidP="004B607F">
      <w:pPr>
        <w:pStyle w:val="a9"/>
      </w:pPr>
      <w:r>
        <w:rPr>
          <w:rStyle w:val="ab"/>
        </w:rPr>
        <w:footnoteRef/>
      </w:r>
      <w:r>
        <w:rPr>
          <w:rtl/>
        </w:rPr>
        <w:t xml:space="preserve"> </w:t>
      </w:r>
      <w:r>
        <w:rPr>
          <w:rFonts w:hint="cs"/>
          <w:rtl/>
        </w:rPr>
        <w:t xml:space="preserve">הסמ"ע </w:t>
      </w:r>
      <w:r w:rsidRPr="00C83509">
        <w:rPr>
          <w:rFonts w:hint="cs"/>
          <w:sz w:val="16"/>
          <w:szCs w:val="16"/>
          <w:rtl/>
        </w:rPr>
        <w:t>(סק"ב)</w:t>
      </w:r>
      <w:r>
        <w:rPr>
          <w:rFonts w:hint="cs"/>
          <w:rtl/>
        </w:rPr>
        <w:t xml:space="preserve"> כתב ש</w:t>
      </w:r>
      <w:r w:rsidRPr="006F4A3B">
        <w:rPr>
          <w:rFonts w:cs="Arial"/>
          <w:rtl/>
        </w:rPr>
        <w:t xml:space="preserve">מלשון הרמב"ם והמחבר </w:t>
      </w:r>
      <w:r>
        <w:rPr>
          <w:rFonts w:cs="Arial" w:hint="cs"/>
          <w:rtl/>
        </w:rPr>
        <w:t xml:space="preserve">משמע </w:t>
      </w:r>
      <w:r w:rsidRPr="006F4A3B">
        <w:rPr>
          <w:rFonts w:cs="Arial"/>
          <w:rtl/>
        </w:rPr>
        <w:t xml:space="preserve">דמיד שבאו כת אחת יחד לפני בית דין להעיד, אפילו קודם שידעו שנמצא ביניהן קרוב או פסול שואלין לכולם </w:t>
      </w:r>
      <w:r>
        <w:rPr>
          <w:rFonts w:cs="Arial" w:hint="cs"/>
          <w:rtl/>
        </w:rPr>
        <w:t>'</w:t>
      </w:r>
      <w:r w:rsidRPr="006F4A3B">
        <w:rPr>
          <w:rFonts w:cs="Arial"/>
          <w:rtl/>
        </w:rPr>
        <w:t>הלראות באתם מתחילה או להעיד</w:t>
      </w:r>
      <w:r>
        <w:rPr>
          <w:rFonts w:cs="Arial" w:hint="cs"/>
          <w:rtl/>
        </w:rPr>
        <w:t>'</w:t>
      </w:r>
      <w:r w:rsidRPr="006F4A3B">
        <w:rPr>
          <w:rFonts w:cs="Arial"/>
          <w:rtl/>
        </w:rPr>
        <w:t xml:space="preserve">, וכן משמע בגמרא </w:t>
      </w:r>
      <w:r w:rsidRPr="00C83509">
        <w:rPr>
          <w:rFonts w:cs="Arial"/>
          <w:sz w:val="16"/>
          <w:szCs w:val="16"/>
          <w:rtl/>
        </w:rPr>
        <w:t>[מכות ו</w:t>
      </w:r>
      <w:r w:rsidRPr="00C83509">
        <w:rPr>
          <w:rFonts w:cs="Arial" w:hint="cs"/>
          <w:sz w:val="16"/>
          <w:szCs w:val="16"/>
          <w:rtl/>
        </w:rPr>
        <w:t>.</w:t>
      </w:r>
      <w:r w:rsidRPr="00C83509">
        <w:rPr>
          <w:rFonts w:cs="Arial"/>
          <w:sz w:val="16"/>
          <w:szCs w:val="16"/>
          <w:rtl/>
        </w:rPr>
        <w:t>]</w:t>
      </w:r>
      <w:r>
        <w:rPr>
          <w:rFonts w:cs="Arial" w:hint="cs"/>
          <w:rtl/>
        </w:rPr>
        <w:t xml:space="preserve">. </w:t>
      </w:r>
      <w:r w:rsidRPr="007E1C78">
        <w:rPr>
          <w:rFonts w:cs="Arial"/>
          <w:rtl/>
        </w:rPr>
        <w:t xml:space="preserve">אבל מלשון רש"י </w:t>
      </w:r>
      <w:r w:rsidRPr="007E1C78">
        <w:rPr>
          <w:rFonts w:cs="Arial"/>
          <w:sz w:val="14"/>
          <w:szCs w:val="14"/>
          <w:rtl/>
        </w:rPr>
        <w:t xml:space="preserve">[שם ד"ה היכי] </w:t>
      </w:r>
      <w:r w:rsidRPr="007E1C78">
        <w:rPr>
          <w:rFonts w:cs="Arial"/>
          <w:rtl/>
        </w:rPr>
        <w:t xml:space="preserve">והטור </w:t>
      </w:r>
      <w:r w:rsidRPr="007E1C78">
        <w:rPr>
          <w:rFonts w:cs="Arial"/>
          <w:sz w:val="14"/>
          <w:szCs w:val="14"/>
          <w:rtl/>
        </w:rPr>
        <w:t xml:space="preserve">[סעיף א'] </w:t>
      </w:r>
      <w:r w:rsidRPr="007E1C78">
        <w:rPr>
          <w:rFonts w:cs="Arial"/>
          <w:rtl/>
        </w:rPr>
        <w:t>משמע דאין שואלין אלא להקרובים או הפסולים, וממילא כל זמן שלא נודע שיש ביניהן קרוב או פסול אין כאן שאלה כלל, וכן נלע"ד עיקר</w:t>
      </w:r>
      <w:r w:rsidRPr="007E1C78">
        <w:rPr>
          <w:rFonts w:cs="Arial" w:hint="cs"/>
          <w:rtl/>
        </w:rPr>
        <w:t>, עכ"ל</w:t>
      </w:r>
      <w:r>
        <w:rPr>
          <w:rFonts w:cs="Arial" w:hint="cs"/>
          <w:sz w:val="16"/>
          <w:szCs w:val="16"/>
          <w:rtl/>
        </w:rPr>
        <w:t xml:space="preserve"> {הסמ"ע}</w:t>
      </w:r>
      <w:r>
        <w:rPr>
          <w:rFonts w:cs="Arial" w:hint="cs"/>
          <w:rtl/>
        </w:rPr>
        <w:t xml:space="preserve">. </w:t>
      </w:r>
      <w:r>
        <w:rPr>
          <w:rFonts w:hint="cs"/>
          <w:rtl/>
        </w:rPr>
        <w:t xml:space="preserve">אך הש"ך </w:t>
      </w:r>
      <w:r w:rsidRPr="00061A78">
        <w:rPr>
          <w:rFonts w:hint="cs"/>
          <w:sz w:val="16"/>
          <w:szCs w:val="16"/>
          <w:rtl/>
        </w:rPr>
        <w:t>(סק"ג)</w:t>
      </w:r>
      <w:r>
        <w:rPr>
          <w:rFonts w:hint="cs"/>
          <w:rtl/>
        </w:rPr>
        <w:t xml:space="preserve"> חלק עליו וכתב</w:t>
      </w:r>
      <w:r w:rsidRPr="00D2209D">
        <w:rPr>
          <w:rtl/>
        </w:rPr>
        <w:t xml:space="preserve"> </w:t>
      </w:r>
      <w:r>
        <w:rPr>
          <w:rFonts w:hint="cs"/>
          <w:rtl/>
        </w:rPr>
        <w:t>ש</w:t>
      </w:r>
      <w:r w:rsidRPr="006F4A3B">
        <w:rPr>
          <w:rFonts w:cs="Arial"/>
          <w:rtl/>
        </w:rPr>
        <w:t>גם הרמב"ם והמחבר מיירי כשנודע שיש בהן קרוב או פסול</w:t>
      </w:r>
      <w:r>
        <w:rPr>
          <w:rFonts w:cs="Arial" w:hint="cs"/>
          <w:rtl/>
        </w:rPr>
        <w:t>.</w:t>
      </w:r>
    </w:p>
  </w:footnote>
  <w:footnote w:id="2627">
    <w:p w14:paraId="065896BE" w14:textId="77777777" w:rsidR="0013116F" w:rsidRDefault="0013116F" w:rsidP="004B607F">
      <w:pPr>
        <w:pStyle w:val="a9"/>
        <w:rPr>
          <w:rtl/>
        </w:rPr>
      </w:pPr>
      <w:r>
        <w:rPr>
          <w:rStyle w:val="ab"/>
        </w:rPr>
        <w:footnoteRef/>
      </w:r>
      <w:r>
        <w:rPr>
          <w:rtl/>
        </w:rPr>
        <w:t xml:space="preserve"> </w:t>
      </w:r>
      <w:r w:rsidRPr="00FC734B">
        <w:rPr>
          <w:rFonts w:cs="Arial"/>
          <w:rtl/>
        </w:rPr>
        <w:t xml:space="preserve">וכתב הרשב"א </w:t>
      </w:r>
      <w:r w:rsidRPr="00DD4E1D">
        <w:rPr>
          <w:rFonts w:cs="Arial" w:hint="cs"/>
          <w:sz w:val="16"/>
          <w:szCs w:val="16"/>
          <w:rtl/>
        </w:rPr>
        <w:t>(</w:t>
      </w:r>
      <w:r w:rsidRPr="00DD4E1D">
        <w:rPr>
          <w:rFonts w:cs="Arial"/>
          <w:sz w:val="16"/>
          <w:szCs w:val="16"/>
          <w:rtl/>
        </w:rPr>
        <w:t>סי' אלף קפט</w:t>
      </w:r>
      <w:r w:rsidRPr="00DD4E1D">
        <w:rPr>
          <w:rFonts w:cs="Arial" w:hint="cs"/>
          <w:sz w:val="16"/>
          <w:szCs w:val="16"/>
          <w:rtl/>
        </w:rPr>
        <w:t>, הביאו</w:t>
      </w:r>
      <w:r w:rsidRPr="00DD4E1D">
        <w:rPr>
          <w:rFonts w:cs="Arial"/>
          <w:sz w:val="16"/>
          <w:szCs w:val="16"/>
          <w:rtl/>
        </w:rPr>
        <w:t xml:space="preserve"> </w:t>
      </w:r>
      <w:r w:rsidRPr="00DD4E1D">
        <w:rPr>
          <w:rFonts w:cs="Arial" w:hint="cs"/>
          <w:sz w:val="16"/>
          <w:szCs w:val="16"/>
          <w:rtl/>
        </w:rPr>
        <w:t>ה</w:t>
      </w:r>
      <w:r w:rsidRPr="00DD4E1D">
        <w:rPr>
          <w:rFonts w:cs="Arial"/>
          <w:sz w:val="16"/>
          <w:szCs w:val="16"/>
          <w:rtl/>
        </w:rPr>
        <w:t>ד</w:t>
      </w:r>
      <w:r w:rsidRPr="00DD4E1D">
        <w:rPr>
          <w:rFonts w:cs="Arial" w:hint="cs"/>
          <w:sz w:val="16"/>
          <w:szCs w:val="16"/>
          <w:rtl/>
        </w:rPr>
        <w:t>רכ</w:t>
      </w:r>
      <w:r w:rsidRPr="00DD4E1D">
        <w:rPr>
          <w:rFonts w:cs="Arial"/>
          <w:sz w:val="16"/>
          <w:szCs w:val="16"/>
          <w:rtl/>
        </w:rPr>
        <w:t xml:space="preserve">"מ </w:t>
      </w:r>
      <w:r w:rsidRPr="00DD4E1D">
        <w:rPr>
          <w:rFonts w:cs="Arial" w:hint="cs"/>
          <w:sz w:val="16"/>
          <w:szCs w:val="16"/>
          <w:rtl/>
        </w:rPr>
        <w:t>אות ב)</w:t>
      </w:r>
      <w:r w:rsidRPr="00FC734B">
        <w:rPr>
          <w:rFonts w:cs="Arial"/>
          <w:rtl/>
        </w:rPr>
        <w:t>, דאם הראו בעצמן בשעת ראיה שכיונו להעיד, כגון שהתרו בו, כל העדות נפסלת בשבילן, עכ"ל</w:t>
      </w:r>
      <w:r>
        <w:rPr>
          <w:rFonts w:hint="cs"/>
          <w:rtl/>
        </w:rPr>
        <w:t xml:space="preserve">, סמ"ע (סק"ג). אך כתב הש"ך (סק"ד) </w:t>
      </w:r>
      <w:r>
        <w:rPr>
          <w:rFonts w:cs="Arial" w:hint="cs"/>
          <w:rtl/>
        </w:rPr>
        <w:t>ד</w:t>
      </w:r>
      <w:r w:rsidRPr="000A3E2B">
        <w:rPr>
          <w:rFonts w:cs="Arial"/>
          <w:rtl/>
        </w:rPr>
        <w:t>לח</w:t>
      </w:r>
      <w:r>
        <w:rPr>
          <w:rFonts w:cs="Arial" w:hint="cs"/>
          <w:rtl/>
        </w:rPr>
        <w:t>י</w:t>
      </w:r>
      <w:r w:rsidRPr="000A3E2B">
        <w:rPr>
          <w:rFonts w:cs="Arial"/>
          <w:rtl/>
        </w:rPr>
        <w:t>נם כתבו כן בשם תשובת רשב"א, שהוא משנה ערוכה [מכות ו</w:t>
      </w:r>
      <w:r>
        <w:rPr>
          <w:rFonts w:cs="Arial" w:hint="cs"/>
          <w:rtl/>
        </w:rPr>
        <w:t>.</w:t>
      </w:r>
      <w:r w:rsidRPr="000A3E2B">
        <w:rPr>
          <w:rFonts w:cs="Arial"/>
          <w:rtl/>
        </w:rPr>
        <w:t>] ואימתי בזמן שהתרו בהן וכו', וכן הוא בפירוש רש"י [ד"ה בזמן] ושאר מפרשים. גם לא הוה להו להביא דין זה, דהתראה לא שייכא רק בדיני נפשות, ודיני נפשות לא שייכי האידנא</w:t>
      </w:r>
      <w:r>
        <w:rPr>
          <w:rFonts w:hint="cs"/>
          <w:rtl/>
        </w:rPr>
        <w:t>.</w:t>
      </w:r>
    </w:p>
  </w:footnote>
  <w:footnote w:id="2628">
    <w:p w14:paraId="0F9BB6A4" w14:textId="77777777" w:rsidR="0013116F" w:rsidRDefault="0013116F" w:rsidP="004B607F">
      <w:pPr>
        <w:pStyle w:val="a9"/>
      </w:pPr>
      <w:r>
        <w:rPr>
          <w:rStyle w:val="ab"/>
        </w:rPr>
        <w:footnoteRef/>
      </w:r>
      <w:r>
        <w:rPr>
          <w:rtl/>
        </w:rPr>
        <w:t xml:space="preserve"> </w:t>
      </w:r>
      <w:r>
        <w:rPr>
          <w:rFonts w:cs="Arial" w:hint="cs"/>
          <w:rtl/>
        </w:rPr>
        <w:t>ו</w:t>
      </w:r>
      <w:r w:rsidRPr="00741FC5">
        <w:rPr>
          <w:rFonts w:cs="Arial"/>
          <w:rtl/>
        </w:rPr>
        <w:t xml:space="preserve">אין חילוק בין תוך כדי דיבור או לאחר כדי דיבור </w:t>
      </w:r>
      <w:r w:rsidRPr="00B01FE1">
        <w:rPr>
          <w:rFonts w:cs="Arial" w:hint="cs"/>
          <w:sz w:val="16"/>
          <w:szCs w:val="16"/>
          <w:rtl/>
        </w:rPr>
        <w:t>(</w:t>
      </w:r>
      <w:r w:rsidRPr="00B01FE1">
        <w:rPr>
          <w:rFonts w:cs="Arial"/>
          <w:sz w:val="16"/>
          <w:szCs w:val="16"/>
          <w:rtl/>
        </w:rPr>
        <w:t>וכדמוכח בש"ס [שם] גבי הא דפריך הרוג יציל כו', וכמ"ש התוס' [שם ד"ה אמר] והגה</w:t>
      </w:r>
      <w:r>
        <w:rPr>
          <w:rFonts w:cs="Arial" w:hint="cs"/>
          <w:sz w:val="16"/>
          <w:szCs w:val="16"/>
          <w:rtl/>
        </w:rPr>
        <w:t>"</w:t>
      </w:r>
      <w:r w:rsidRPr="00B01FE1">
        <w:rPr>
          <w:rFonts w:cs="Arial"/>
          <w:sz w:val="16"/>
          <w:szCs w:val="16"/>
          <w:rtl/>
        </w:rPr>
        <w:t>מ [פ"ה מעדות אות ג']. וכן מוכרח ממה שלא חילקו הרמב"ם והפוסקים והטור והמחבר כאן בכך</w:t>
      </w:r>
      <w:r>
        <w:rPr>
          <w:rFonts w:cs="Arial" w:hint="cs"/>
          <w:sz w:val="16"/>
          <w:szCs w:val="16"/>
          <w:rtl/>
        </w:rPr>
        <w:t>)</w:t>
      </w:r>
      <w:r w:rsidRPr="00741FC5">
        <w:rPr>
          <w:rFonts w:cs="Arial"/>
          <w:rtl/>
        </w:rPr>
        <w:t>, וכן עיקר</w:t>
      </w:r>
      <w:r>
        <w:rPr>
          <w:rFonts w:cs="Arial" w:hint="cs"/>
          <w:rtl/>
        </w:rPr>
        <w:t xml:space="preserve">, </w:t>
      </w:r>
      <w:r>
        <w:rPr>
          <w:rFonts w:hint="cs"/>
          <w:rtl/>
        </w:rPr>
        <w:t>ש"ך (סק"ו).</w:t>
      </w:r>
    </w:p>
  </w:footnote>
  <w:footnote w:id="2629">
    <w:p w14:paraId="63BA6D38" w14:textId="77777777" w:rsidR="0013116F" w:rsidRPr="00061A78" w:rsidRDefault="0013116F" w:rsidP="004B607F">
      <w:pPr>
        <w:pStyle w:val="a9"/>
        <w:rPr>
          <w:color w:val="000000" w:themeColor="text1"/>
        </w:rPr>
      </w:pPr>
      <w:r w:rsidRPr="00061A78">
        <w:rPr>
          <w:rStyle w:val="ab"/>
          <w:color w:val="000000" w:themeColor="text1"/>
        </w:rPr>
        <w:footnoteRef/>
      </w:r>
      <w:r w:rsidRPr="00061A78">
        <w:rPr>
          <w:color w:val="000000" w:themeColor="text1"/>
          <w:rtl/>
        </w:rPr>
        <w:t xml:space="preserve"> </w:t>
      </w:r>
      <w:r w:rsidRPr="00061A78">
        <w:rPr>
          <w:rFonts w:cs="Arial"/>
          <w:color w:val="000000" w:themeColor="text1"/>
          <w:rtl/>
        </w:rPr>
        <w:t>פירוש אם העידו אח"כ בב"ד בטלה עדותן לכו"ע אף שלא ידעו זה מזה. דלהרמב"ם [פ"ה מעדות ה"ה] פשיטא דפסול אפילו לא העידו אח"כ כלל, כיון שנצטרפו בראיית המעשה, ולהתוס' ג"כ פסולים כשהעידו אח"כ אפילו לא ידעי זה מזה</w:t>
      </w:r>
      <w:r>
        <w:rPr>
          <w:rFonts w:hint="cs"/>
          <w:color w:val="000000" w:themeColor="text1"/>
          <w:rtl/>
        </w:rPr>
        <w:t>...</w:t>
      </w:r>
      <w:r>
        <w:rPr>
          <w:rFonts w:cs="Arial" w:hint="cs"/>
          <w:rtl/>
        </w:rPr>
        <w:t xml:space="preserve"> </w:t>
      </w:r>
      <w:r>
        <w:rPr>
          <w:rFonts w:cs="Arial" w:hint="cs"/>
          <w:sz w:val="16"/>
          <w:szCs w:val="16"/>
          <w:rtl/>
        </w:rPr>
        <w:t>(</w:t>
      </w:r>
      <w:r w:rsidRPr="007C5120">
        <w:rPr>
          <w:rFonts w:cs="Arial"/>
          <w:sz w:val="16"/>
          <w:szCs w:val="16"/>
          <w:rtl/>
        </w:rPr>
        <w:t>ואפילו להרי"ף בעל סברא הראשונה דלקמן סעיף ב' דבעינן שידעו הכשרים בפסול הפסולים, היינו שידעו שהם פסולים, אבל אין צריכים לידע שהפסולים העידו אח"כ בב"ד, אלא כיון שנצטרפו מתחילה בשעת ראיה סגי</w:t>
      </w:r>
      <w:r w:rsidRPr="007C5120">
        <w:rPr>
          <w:rFonts w:cs="Arial" w:hint="cs"/>
          <w:sz w:val="16"/>
          <w:szCs w:val="16"/>
          <w:rtl/>
        </w:rPr>
        <w:t>)</w:t>
      </w:r>
      <w:r w:rsidRPr="00061A78">
        <w:rPr>
          <w:rFonts w:hint="cs"/>
          <w:color w:val="000000" w:themeColor="text1"/>
          <w:rtl/>
        </w:rPr>
        <w:t>, ש"ך (סק"ז).</w:t>
      </w:r>
    </w:p>
  </w:footnote>
  <w:footnote w:id="2630">
    <w:p w14:paraId="01FCEDAA" w14:textId="77777777" w:rsidR="0013116F" w:rsidRDefault="0013116F" w:rsidP="004B607F">
      <w:pPr>
        <w:pStyle w:val="a9"/>
      </w:pPr>
      <w:r w:rsidRPr="00061A78">
        <w:rPr>
          <w:rStyle w:val="ab"/>
          <w:color w:val="000000" w:themeColor="text1"/>
        </w:rPr>
        <w:footnoteRef/>
      </w:r>
      <w:r w:rsidRPr="00061A78">
        <w:rPr>
          <w:color w:val="000000" w:themeColor="text1"/>
          <w:rtl/>
        </w:rPr>
        <w:t xml:space="preserve"> </w:t>
      </w:r>
      <w:r w:rsidRPr="00061A78">
        <w:rPr>
          <w:rFonts w:cs="Arial"/>
          <w:color w:val="000000" w:themeColor="text1"/>
          <w:rtl/>
        </w:rPr>
        <w:t>ובכל דוכתי דפסלינן</w:t>
      </w:r>
      <w:r>
        <w:rPr>
          <w:rFonts w:cs="Arial" w:hint="cs"/>
          <w:color w:val="000000" w:themeColor="text1"/>
          <w:rtl/>
        </w:rPr>
        <w:t>,</w:t>
      </w:r>
      <w:r w:rsidRPr="00061A78">
        <w:rPr>
          <w:rFonts w:cs="Arial"/>
          <w:color w:val="000000" w:themeColor="text1"/>
          <w:rtl/>
        </w:rPr>
        <w:t xml:space="preserve"> כיונו להעיד </w:t>
      </w:r>
      <w:r>
        <w:rPr>
          <w:rFonts w:cs="Arial" w:hint="cs"/>
          <w:color w:val="000000" w:themeColor="text1"/>
          <w:rtl/>
        </w:rPr>
        <w:t xml:space="preserve">- </w:t>
      </w:r>
      <w:r w:rsidRPr="00061A78">
        <w:rPr>
          <w:rFonts w:cs="Arial"/>
          <w:color w:val="000000" w:themeColor="text1"/>
          <w:rtl/>
        </w:rPr>
        <w:t>היינו כשראו כאחד</w:t>
      </w:r>
      <w:r w:rsidRPr="00061A78">
        <w:rPr>
          <w:rFonts w:cs="Arial" w:hint="cs"/>
          <w:color w:val="000000" w:themeColor="text1"/>
          <w:rtl/>
        </w:rPr>
        <w:t xml:space="preserve">, ודלא כהב"ח שכתב דמכיון דיש לנו תרתי (כוונה ועדות בפועל) נפסלת </w:t>
      </w:r>
      <w:r>
        <w:rPr>
          <w:rFonts w:cs="Arial" w:hint="cs"/>
          <w:rtl/>
        </w:rPr>
        <w:t xml:space="preserve">עדותן אפילו לא ראו כאחד, דהרי בתוס' (סד"ה אמר רבא) מפורש דבעינן שיראו בבת אחת, ע"פ ש"ך (סק"ט). </w:t>
      </w:r>
    </w:p>
  </w:footnote>
  <w:footnote w:id="2631">
    <w:p w14:paraId="5F3650F2" w14:textId="77777777" w:rsidR="0013116F" w:rsidRDefault="0013116F" w:rsidP="004B607F">
      <w:pPr>
        <w:pStyle w:val="a9"/>
      </w:pPr>
      <w:r>
        <w:rPr>
          <w:rStyle w:val="ab"/>
        </w:rPr>
        <w:footnoteRef/>
      </w:r>
      <w:r>
        <w:rPr>
          <w:rtl/>
        </w:rPr>
        <w:t xml:space="preserve"> </w:t>
      </w:r>
      <w:r w:rsidRPr="00A1271C">
        <w:rPr>
          <w:rFonts w:cs="Arial"/>
          <w:rtl/>
        </w:rPr>
        <w:t>מיהו</w:t>
      </w:r>
      <w:r>
        <w:rPr>
          <w:rFonts w:cs="Arial" w:hint="cs"/>
          <w:rtl/>
        </w:rPr>
        <w:t>,</w:t>
      </w:r>
      <w:r w:rsidRPr="00A1271C">
        <w:rPr>
          <w:rFonts w:cs="Arial"/>
          <w:rtl/>
        </w:rPr>
        <w:t xml:space="preserve"> אפילו אחר שהעידו</w:t>
      </w:r>
      <w:r>
        <w:rPr>
          <w:rFonts w:cs="Arial" w:hint="cs"/>
          <w:rtl/>
        </w:rPr>
        <w:t>,</w:t>
      </w:r>
      <w:r w:rsidRPr="00A1271C">
        <w:rPr>
          <w:rFonts w:cs="Arial"/>
          <w:rtl/>
        </w:rPr>
        <w:t xml:space="preserve"> נאמנים הקרובים ופסולים לומר שלא כיונו בשעת ראיה להעיד. והכי מוכח בתוס' [</w:t>
      </w:r>
      <w:r>
        <w:rPr>
          <w:rFonts w:cs="Arial" w:hint="cs"/>
          <w:rtl/>
        </w:rPr>
        <w:t>ו.</w:t>
      </w:r>
      <w:r w:rsidRPr="00A1271C">
        <w:rPr>
          <w:rFonts w:cs="Arial"/>
          <w:rtl/>
        </w:rPr>
        <w:t xml:space="preserve"> ד"ה שמואל] והרא"ש [סי' יא] פ"ק דמכות</w:t>
      </w:r>
      <w:r>
        <w:rPr>
          <w:rFonts w:cs="Arial" w:hint="cs"/>
          <w:rtl/>
        </w:rPr>
        <w:t xml:space="preserve">... </w:t>
      </w:r>
      <w:r w:rsidRPr="00A1271C">
        <w:rPr>
          <w:rFonts w:cs="Arial"/>
          <w:rtl/>
        </w:rPr>
        <w:t>והכי מוכח להדיא מדברי הרמב"ן פרק יש נוחלין והרשב"א והר"ן דלעיל [סק"י]</w:t>
      </w:r>
      <w:r>
        <w:rPr>
          <w:rFonts w:cs="Arial" w:hint="cs"/>
          <w:rtl/>
        </w:rPr>
        <w:t>, ש"ך (סקי"א).</w:t>
      </w:r>
    </w:p>
  </w:footnote>
  <w:footnote w:id="2632">
    <w:p w14:paraId="41CC4AFA" w14:textId="77777777" w:rsidR="0013116F" w:rsidRDefault="0013116F" w:rsidP="004B607F">
      <w:pPr>
        <w:pStyle w:val="a9"/>
      </w:pPr>
      <w:r>
        <w:rPr>
          <w:rStyle w:val="ab"/>
        </w:rPr>
        <w:footnoteRef/>
      </w:r>
      <w:r>
        <w:rPr>
          <w:rtl/>
        </w:rPr>
        <w:t xml:space="preserve"> </w:t>
      </w:r>
      <w:r w:rsidRPr="00060B98">
        <w:rPr>
          <w:rFonts w:cs="Arial"/>
          <w:rtl/>
        </w:rPr>
        <w:t xml:space="preserve">היינו כשלא נצטרפו יחד </w:t>
      </w:r>
      <w:r>
        <w:rPr>
          <w:rFonts w:cs="Arial" w:hint="cs"/>
          <w:sz w:val="16"/>
          <w:szCs w:val="16"/>
          <w:rtl/>
        </w:rPr>
        <w:t xml:space="preserve">{הכשרים והפסול} </w:t>
      </w:r>
      <w:r w:rsidRPr="00060B98">
        <w:rPr>
          <w:rFonts w:cs="Arial"/>
          <w:rtl/>
        </w:rPr>
        <w:t>בראיית המעשה, וכמ"ש לקמן סימן מ"ה סע</w:t>
      </w:r>
      <w:r>
        <w:rPr>
          <w:rFonts w:cs="Arial" w:hint="cs"/>
          <w:rtl/>
        </w:rPr>
        <w:t>'</w:t>
      </w:r>
      <w:r w:rsidRPr="00060B98">
        <w:rPr>
          <w:rFonts w:cs="Arial"/>
          <w:rtl/>
        </w:rPr>
        <w:t xml:space="preserve"> יג סקכ"ד, וכן הוא להדיא בתשובות הרא"ש שם </w:t>
      </w:r>
      <w:r w:rsidRPr="00060B98">
        <w:rPr>
          <w:rFonts w:cs="Arial" w:hint="cs"/>
          <w:sz w:val="16"/>
          <w:szCs w:val="16"/>
          <w:rtl/>
        </w:rPr>
        <w:t>(</w:t>
      </w:r>
      <w:r w:rsidRPr="00060B98">
        <w:rPr>
          <w:rFonts w:cs="Arial"/>
          <w:sz w:val="16"/>
          <w:szCs w:val="16"/>
          <w:rtl/>
        </w:rPr>
        <w:t>כלל ס סי' ה</w:t>
      </w:r>
      <w:r w:rsidRPr="00060B98">
        <w:rPr>
          <w:rFonts w:cs="Arial" w:hint="cs"/>
          <w:sz w:val="16"/>
          <w:szCs w:val="16"/>
          <w:rtl/>
        </w:rPr>
        <w:t>)</w:t>
      </w:r>
      <w:r w:rsidRPr="00060B98">
        <w:rPr>
          <w:rFonts w:cs="Arial"/>
          <w:rtl/>
        </w:rPr>
        <w:t>. ולפי זה אין חילוק בין שטר לעדות בב"ד. ודלא כהעיר שושן [סע</w:t>
      </w:r>
      <w:r>
        <w:rPr>
          <w:rFonts w:cs="Arial" w:hint="cs"/>
          <w:rtl/>
        </w:rPr>
        <w:t>'</w:t>
      </w:r>
      <w:r w:rsidRPr="00060B98">
        <w:rPr>
          <w:rFonts w:cs="Arial"/>
          <w:rtl/>
        </w:rPr>
        <w:t xml:space="preserve"> א] והסמ"ע סק</w:t>
      </w:r>
      <w:r>
        <w:rPr>
          <w:rFonts w:cs="Arial" w:hint="cs"/>
          <w:rtl/>
        </w:rPr>
        <w:t>"</w:t>
      </w:r>
      <w:r w:rsidRPr="00060B98">
        <w:rPr>
          <w:rFonts w:cs="Arial"/>
          <w:rtl/>
        </w:rPr>
        <w:t>ז שמחלקין בכך</w:t>
      </w:r>
      <w:r>
        <w:rPr>
          <w:rFonts w:cs="Arial" w:hint="cs"/>
          <w:rtl/>
        </w:rPr>
        <w:t>, ש"ך (סקי"ב).</w:t>
      </w:r>
    </w:p>
  </w:footnote>
  <w:footnote w:id="2633">
    <w:p w14:paraId="55653B5A" w14:textId="77777777" w:rsidR="0013116F" w:rsidRDefault="0013116F" w:rsidP="004B607F">
      <w:pPr>
        <w:pStyle w:val="a9"/>
      </w:pPr>
      <w:r>
        <w:rPr>
          <w:rStyle w:val="ab"/>
        </w:rPr>
        <w:footnoteRef/>
      </w:r>
      <w:r>
        <w:rPr>
          <w:rtl/>
        </w:rPr>
        <w:t xml:space="preserve"> </w:t>
      </w:r>
      <w:r w:rsidRPr="00060B98">
        <w:rPr>
          <w:rFonts w:cs="Arial"/>
          <w:rtl/>
        </w:rPr>
        <w:t>דוקא ב"ד אבל הם עצמם לא, וכמ"ש לקמן סימן מ"ה ס"ק כ"ה. ועיין מ"ש עוד שם [סקכ"ד] מדינים השייכים לכאן</w:t>
      </w:r>
      <w:r>
        <w:rPr>
          <w:rFonts w:cs="Arial" w:hint="cs"/>
          <w:rtl/>
        </w:rPr>
        <w:t>, ש"ך (סקי"ג).</w:t>
      </w:r>
    </w:p>
  </w:footnote>
  <w:footnote w:id="2634">
    <w:p w14:paraId="27A2C011" w14:textId="77777777" w:rsidR="0013116F" w:rsidRDefault="0013116F" w:rsidP="004B607F">
      <w:pPr>
        <w:pStyle w:val="a9"/>
      </w:pPr>
      <w:r>
        <w:rPr>
          <w:rStyle w:val="ab"/>
        </w:rPr>
        <w:footnoteRef/>
      </w:r>
      <w:r>
        <w:rPr>
          <w:rtl/>
        </w:rPr>
        <w:t xml:space="preserve"> </w:t>
      </w:r>
      <w:r w:rsidRPr="00060B98">
        <w:rPr>
          <w:rFonts w:cs="Arial"/>
          <w:rtl/>
        </w:rPr>
        <w:t>דברי הר"ב צריכים ביאור. דהמעיין בריב"ש סי' קצ"ה וס"ס קס"ח יראה להדיא דבתקנת הקהל אפילו כולם פסולים כשר, מטעם שכבר נהגו כן, דאל"כ כל קהל יצטרכו להביא עדים אחרים על תקנתם. אלא שהריב"ש שם מכשיר בעובדא דיליה ג"כ מטעמא אחרינא, דאפילו בשטר שחתום עליו בע"ד עצמו כשר בהאחרים. ולפ"ז נ"ל דהר"ב לא כתב כאן אלא לפי הדין היכא שלא היה המנהג כן, וא"כ עד פסול שכתב הר"ב, ר"ל פסול מצד שהוא אחד מבני הקהל, דומיא דשטר שחתום עליו בע"ד. אבל לענין המנהג סמך הר"ב על מה שסתם לקמן סי</w:t>
      </w:r>
      <w:r>
        <w:rPr>
          <w:rFonts w:cs="Arial" w:hint="cs"/>
          <w:rtl/>
        </w:rPr>
        <w:t>'</w:t>
      </w:r>
      <w:r w:rsidRPr="00060B98">
        <w:rPr>
          <w:rFonts w:cs="Arial"/>
          <w:rtl/>
        </w:rPr>
        <w:t xml:space="preserve"> ל"ז סע</w:t>
      </w:r>
      <w:r>
        <w:rPr>
          <w:rFonts w:cs="Arial" w:hint="cs"/>
          <w:rtl/>
        </w:rPr>
        <w:t>'</w:t>
      </w:r>
      <w:r w:rsidRPr="00060B98">
        <w:rPr>
          <w:rFonts w:cs="Arial"/>
          <w:rtl/>
        </w:rPr>
        <w:t xml:space="preserve"> כ"ב כהמחבר שעכשיו נהגו לקבל עדים מהקהל על תקנתם והסכמתם כו' וכשרים אפילו לקרוביהם, ע</w:t>
      </w:r>
      <w:r>
        <w:rPr>
          <w:rFonts w:cs="Arial" w:hint="cs"/>
          <w:rtl/>
        </w:rPr>
        <w:t>"</w:t>
      </w:r>
      <w:r w:rsidRPr="00060B98">
        <w:rPr>
          <w:rFonts w:cs="Arial"/>
          <w:rtl/>
        </w:rPr>
        <w:t>ש</w:t>
      </w:r>
      <w:r>
        <w:rPr>
          <w:rFonts w:cs="Arial" w:hint="cs"/>
          <w:rtl/>
        </w:rPr>
        <w:t>, ש"ך (סקי"ד).</w:t>
      </w:r>
    </w:p>
  </w:footnote>
  <w:footnote w:id="2635">
    <w:p w14:paraId="29AF13E2" w14:textId="77777777" w:rsidR="0013116F" w:rsidRDefault="0013116F" w:rsidP="004B607F">
      <w:pPr>
        <w:pStyle w:val="a9"/>
      </w:pPr>
      <w:r>
        <w:rPr>
          <w:rStyle w:val="ab"/>
        </w:rPr>
        <w:footnoteRef/>
      </w:r>
      <w:r>
        <w:rPr>
          <w:rtl/>
        </w:rPr>
        <w:t xml:space="preserve"> </w:t>
      </w:r>
      <w:r w:rsidRPr="00060B98">
        <w:rPr>
          <w:rFonts w:cs="Arial"/>
          <w:rtl/>
        </w:rPr>
        <w:t>לשון זה מגומגם, דאפילו נתכוין להעיד אינו פוסל, כיון דהוא הבע"ד עצמו. וכן הוא בריב"ש שם דאין בע"ד פוסל כיון דאינו ראוי להעיד כלל, וכדאמרינן [מכות ו</w:t>
      </w:r>
      <w:r>
        <w:rPr>
          <w:rFonts w:cs="Arial" w:hint="cs"/>
          <w:rtl/>
        </w:rPr>
        <w:t>.</w:t>
      </w:r>
      <w:r w:rsidRPr="00060B98">
        <w:rPr>
          <w:rFonts w:cs="Arial"/>
          <w:rtl/>
        </w:rPr>
        <w:t>] הרוג יציל במקיימי דבר הכתוב מדבר ולא בעושי דבר. וכתב עוד בריב"ש שם [סי' קס"ח], דאם חתום שם נוגע ה"ל כבעל דבר דאינו פוסל, וע"ש</w:t>
      </w:r>
      <w:r>
        <w:rPr>
          <w:rFonts w:cs="Arial" w:hint="cs"/>
          <w:rtl/>
        </w:rPr>
        <w:t>, ש"ך (סקט"ו).</w:t>
      </w:r>
    </w:p>
  </w:footnote>
  <w:footnote w:id="2636">
    <w:p w14:paraId="3C9A986C" w14:textId="77777777" w:rsidR="0013116F" w:rsidRDefault="0013116F" w:rsidP="004B607F">
      <w:pPr>
        <w:pStyle w:val="a9"/>
      </w:pPr>
      <w:r>
        <w:rPr>
          <w:rStyle w:val="ab"/>
        </w:rPr>
        <w:footnoteRef/>
      </w:r>
      <w:r>
        <w:rPr>
          <w:rtl/>
        </w:rPr>
        <w:t xml:space="preserve"> </w:t>
      </w:r>
      <w:r>
        <w:rPr>
          <w:rFonts w:cs="Arial"/>
          <w:rtl/>
        </w:rPr>
        <w:t>אין לפרש דמיירי שידוע שהפסולים בשעת ראיה נתכוונו להעיד, דא"כ לא מסתבר לומר שלא נתבטלה עדות הכשרים מטעם שלא היתה כוונתו אלא בראויים להעיד, דמה לנו בכוונתו סוף סוף נצטרפו יחד בשעת ראיה והעידו אח"כ.</w:t>
      </w:r>
      <w:r>
        <w:rPr>
          <w:rFonts w:cs="Arial" w:hint="cs"/>
          <w:rtl/>
        </w:rPr>
        <w:t xml:space="preserve">.. </w:t>
      </w:r>
      <w:r>
        <w:rPr>
          <w:rFonts w:cs="Arial"/>
          <w:rtl/>
        </w:rPr>
        <w:t>אלא נראה דמיירי בסתם עדות דעלמא שראו המעשה, ומסתמא אין הקרובים ופסולים מכוונים להעיד, וא"צ לשאול אותם אא</w:t>
      </w:r>
      <w:r>
        <w:rPr>
          <w:rFonts w:cs="Arial" w:hint="cs"/>
          <w:rtl/>
        </w:rPr>
        <w:t>"</w:t>
      </w:r>
      <w:r>
        <w:rPr>
          <w:rFonts w:cs="Arial"/>
          <w:rtl/>
        </w:rPr>
        <w:t>כ באו אח</w:t>
      </w:r>
      <w:r>
        <w:rPr>
          <w:rFonts w:cs="Arial" w:hint="cs"/>
          <w:rtl/>
        </w:rPr>
        <w:t>"</w:t>
      </w:r>
      <w:r>
        <w:rPr>
          <w:rFonts w:cs="Arial"/>
          <w:rtl/>
        </w:rPr>
        <w:t>כ מעצמם לב"ד</w:t>
      </w:r>
      <w:r>
        <w:rPr>
          <w:rFonts w:cs="Arial" w:hint="cs"/>
          <w:rtl/>
        </w:rPr>
        <w:t xml:space="preserve">... </w:t>
      </w:r>
      <w:r>
        <w:rPr>
          <w:rFonts w:cs="Arial"/>
          <w:rtl/>
        </w:rPr>
        <w:t xml:space="preserve">וזהו דלא כנראה מדברי הר"י בי רב שהביא מהר"ם אלשקר </w:t>
      </w:r>
      <w:r>
        <w:rPr>
          <w:rFonts w:cs="Arial" w:hint="cs"/>
          <w:rtl/>
        </w:rPr>
        <w:t>(</w:t>
      </w:r>
      <w:r>
        <w:rPr>
          <w:rFonts w:cs="Arial"/>
          <w:rtl/>
        </w:rPr>
        <w:t>סי' טז</w:t>
      </w:r>
      <w:r>
        <w:rPr>
          <w:rFonts w:cs="Arial" w:hint="cs"/>
          <w:rtl/>
        </w:rPr>
        <w:t>)</w:t>
      </w:r>
      <w:r>
        <w:rPr>
          <w:rFonts w:cs="Arial"/>
          <w:rtl/>
        </w:rPr>
        <w:t>, שאפילו בכיונו בשעת ראיה להעיד אם לא העידו אלא מצד ההכרזה אינם מבטלים העדות</w:t>
      </w:r>
      <w:r>
        <w:rPr>
          <w:rFonts w:cs="Arial" w:hint="cs"/>
          <w:rtl/>
        </w:rPr>
        <w:t>, ש"ך (סקט"ז).</w:t>
      </w:r>
    </w:p>
  </w:footnote>
  <w:footnote w:id="2637">
    <w:p w14:paraId="11D6407A" w14:textId="77777777" w:rsidR="0013116F" w:rsidRDefault="0013116F" w:rsidP="004B607F">
      <w:pPr>
        <w:pStyle w:val="a9"/>
        <w:rPr>
          <w:rtl/>
        </w:rPr>
      </w:pPr>
      <w:r>
        <w:rPr>
          <w:rStyle w:val="ab"/>
        </w:rPr>
        <w:footnoteRef/>
      </w:r>
      <w:r>
        <w:rPr>
          <w:rtl/>
        </w:rPr>
        <w:t xml:space="preserve"> </w:t>
      </w:r>
      <w:r w:rsidRPr="004C7702">
        <w:rPr>
          <w:rFonts w:cs="Arial" w:hint="cs"/>
          <w:rtl/>
        </w:rPr>
        <w:t>כ"כ בתשו', הביאוהו</w:t>
      </w:r>
      <w:r w:rsidRPr="004C7702">
        <w:rPr>
          <w:rFonts w:cs="Arial"/>
          <w:rtl/>
        </w:rPr>
        <w:t xml:space="preserve"> </w:t>
      </w:r>
      <w:r w:rsidRPr="004C7702">
        <w:rPr>
          <w:rFonts w:cs="Arial" w:hint="cs"/>
          <w:rtl/>
        </w:rPr>
        <w:t xml:space="preserve">הרמב"ן (מכות ו.) </w:t>
      </w:r>
      <w:r w:rsidRPr="004C7702">
        <w:rPr>
          <w:rFonts w:cs="Arial"/>
          <w:rtl/>
        </w:rPr>
        <w:t xml:space="preserve">הרא"ש </w:t>
      </w:r>
      <w:r w:rsidRPr="004C7702">
        <w:rPr>
          <w:rFonts w:cs="Arial" w:hint="cs"/>
          <w:rtl/>
        </w:rPr>
        <w:t>(</w:t>
      </w:r>
      <w:r w:rsidRPr="004C7702">
        <w:rPr>
          <w:rFonts w:cs="Arial"/>
          <w:rtl/>
        </w:rPr>
        <w:t>פ</w:t>
      </w:r>
      <w:r w:rsidRPr="004C7702">
        <w:rPr>
          <w:rFonts w:cs="Arial" w:hint="cs"/>
          <w:rtl/>
        </w:rPr>
        <w:t>"ק</w:t>
      </w:r>
      <w:r w:rsidRPr="004C7702">
        <w:rPr>
          <w:rFonts w:cs="Arial"/>
          <w:rtl/>
        </w:rPr>
        <w:t xml:space="preserve"> דמכות סי' יא</w:t>
      </w:r>
      <w:r w:rsidRPr="004C7702">
        <w:rPr>
          <w:rFonts w:cs="Arial" w:hint="cs"/>
          <w:rtl/>
        </w:rPr>
        <w:t>)</w:t>
      </w:r>
      <w:r w:rsidRPr="004C7702">
        <w:rPr>
          <w:rFonts w:cs="Arial"/>
          <w:rtl/>
        </w:rPr>
        <w:t xml:space="preserve"> ונמוק</w:t>
      </w:r>
      <w:r w:rsidRPr="004C7702">
        <w:rPr>
          <w:rFonts w:cs="Arial" w:hint="cs"/>
          <w:rtl/>
        </w:rPr>
        <w:t>"</w:t>
      </w:r>
      <w:r w:rsidRPr="004C7702">
        <w:rPr>
          <w:rFonts w:cs="Arial"/>
          <w:rtl/>
        </w:rPr>
        <w:t xml:space="preserve">י </w:t>
      </w:r>
      <w:r w:rsidRPr="004C7702">
        <w:rPr>
          <w:rFonts w:cs="Arial" w:hint="cs"/>
          <w:rtl/>
        </w:rPr>
        <w:t>(</w:t>
      </w:r>
      <w:r w:rsidRPr="004C7702">
        <w:rPr>
          <w:rFonts w:cs="Arial"/>
          <w:rtl/>
        </w:rPr>
        <w:t>פרק זה בורר ז. ד"ה גרסי'</w:t>
      </w:r>
      <w:r w:rsidRPr="004C7702">
        <w:rPr>
          <w:rFonts w:cs="Arial" w:hint="cs"/>
          <w:rtl/>
        </w:rPr>
        <w:t>)</w:t>
      </w:r>
      <w:r>
        <w:rPr>
          <w:rFonts w:hint="cs"/>
          <w:rtl/>
        </w:rPr>
        <w:t>.</w:t>
      </w:r>
    </w:p>
  </w:footnote>
  <w:footnote w:id="2638">
    <w:p w14:paraId="6374489B" w14:textId="77777777" w:rsidR="0013116F" w:rsidRDefault="0013116F" w:rsidP="004B607F">
      <w:pPr>
        <w:pStyle w:val="a9"/>
      </w:pPr>
      <w:r>
        <w:rPr>
          <w:rStyle w:val="ab"/>
        </w:rPr>
        <w:footnoteRef/>
      </w:r>
      <w:r>
        <w:rPr>
          <w:rtl/>
        </w:rPr>
        <w:t xml:space="preserve"> </w:t>
      </w:r>
      <w:r>
        <w:rPr>
          <w:rFonts w:hint="cs"/>
          <w:rtl/>
        </w:rPr>
        <w:t xml:space="preserve">וז"ל- </w:t>
      </w:r>
      <w:r w:rsidRPr="008D5828">
        <w:rPr>
          <w:rFonts w:cs="Arial"/>
          <w:rtl/>
        </w:rPr>
        <w:t>מה שנסתפק לך בעדות שנמצא אחד מהם קרוב או פסול דאמרו דבטל כולה אם בטלה ואפילו כמלוה על פה אינה ואפילו אין משביעין על הכשרים או לא</w:t>
      </w:r>
      <w:r>
        <w:rPr>
          <w:rFonts w:cs="Arial" w:hint="cs"/>
          <w:rtl/>
        </w:rPr>
        <w:t>.</w:t>
      </w:r>
      <w:r w:rsidRPr="008D5828">
        <w:rPr>
          <w:rFonts w:cs="Arial"/>
          <w:rtl/>
        </w:rPr>
        <w:t xml:space="preserve"> נ"ל דודאי בטלה לגמרי קאמר</w:t>
      </w:r>
      <w:r>
        <w:rPr>
          <w:rFonts w:cs="Arial" w:hint="cs"/>
          <w:rtl/>
        </w:rPr>
        <w:t>,</w:t>
      </w:r>
      <w:r w:rsidRPr="008D5828">
        <w:rPr>
          <w:rFonts w:cs="Arial"/>
          <w:rtl/>
        </w:rPr>
        <w:t xml:space="preserve"> דכל שבאו להעיד ונצטרפו מדעת נפסלה ונתבטלה אותה עדות לגמרי</w:t>
      </w:r>
      <w:r>
        <w:rPr>
          <w:rFonts w:cs="Arial" w:hint="cs"/>
          <w:rtl/>
        </w:rPr>
        <w:t>.</w:t>
      </w:r>
      <w:r w:rsidRPr="008D5828">
        <w:rPr>
          <w:rFonts w:cs="Arial"/>
          <w:rtl/>
        </w:rPr>
        <w:t xml:space="preserve"> אבל במה שאמרת אם אמרו הכשרים לא הרגישו בפיסולם אם הם נאמנין אם לאו להיות כעדות על פה</w:t>
      </w:r>
      <w:r>
        <w:rPr>
          <w:rFonts w:cs="Arial" w:hint="cs"/>
          <w:rtl/>
        </w:rPr>
        <w:t xml:space="preserve"> -</w:t>
      </w:r>
      <w:r w:rsidRPr="008D5828">
        <w:rPr>
          <w:rFonts w:cs="Arial"/>
          <w:rtl/>
        </w:rPr>
        <w:t xml:space="preserve"> נראה לי שהם נאמנים</w:t>
      </w:r>
      <w:r>
        <w:rPr>
          <w:rFonts w:cs="Arial" w:hint="cs"/>
          <w:rtl/>
        </w:rPr>
        <w:t>,</w:t>
      </w:r>
      <w:r w:rsidRPr="008D5828">
        <w:rPr>
          <w:rFonts w:cs="Arial"/>
          <w:rtl/>
        </w:rPr>
        <w:t xml:space="preserve"> שאין פוסלין עדות העדים עד שנדע בפיסולם</w:t>
      </w:r>
      <w:r>
        <w:rPr>
          <w:rFonts w:cs="Arial" w:hint="cs"/>
          <w:rtl/>
        </w:rPr>
        <w:t>,</w:t>
      </w:r>
      <w:r w:rsidRPr="008D5828">
        <w:rPr>
          <w:rFonts w:cs="Arial"/>
          <w:rtl/>
        </w:rPr>
        <w:t xml:space="preserve"> ועל כן הכשיר הרי"ף כל שחתומים בשטר דשמא לא חתמו זה בפני זה</w:t>
      </w:r>
      <w:r>
        <w:rPr>
          <w:rFonts w:cs="Arial" w:hint="cs"/>
          <w:rtl/>
        </w:rPr>
        <w:t>,</w:t>
      </w:r>
      <w:r w:rsidRPr="008D5828">
        <w:rPr>
          <w:rFonts w:cs="Arial"/>
          <w:rtl/>
        </w:rPr>
        <w:t xml:space="preserve"> ואפילו לגבות ממשעבדי</w:t>
      </w:r>
      <w:r>
        <w:rPr>
          <w:rFonts w:cs="Arial" w:hint="cs"/>
          <w:rtl/>
        </w:rPr>
        <w:t>.</w:t>
      </w:r>
    </w:p>
  </w:footnote>
  <w:footnote w:id="2639">
    <w:p w14:paraId="7F125CAA" w14:textId="77777777" w:rsidR="0013116F" w:rsidRDefault="0013116F" w:rsidP="004B607F">
      <w:pPr>
        <w:pStyle w:val="a9"/>
        <w:rPr>
          <w:rtl/>
        </w:rPr>
      </w:pPr>
      <w:r>
        <w:rPr>
          <w:rStyle w:val="ab"/>
        </w:rPr>
        <w:footnoteRef/>
      </w:r>
      <w:r>
        <w:rPr>
          <w:rtl/>
        </w:rPr>
        <w:t xml:space="preserve"> </w:t>
      </w:r>
      <w:r>
        <w:rPr>
          <w:rFonts w:cs="Arial" w:hint="cs"/>
          <w:rtl/>
        </w:rPr>
        <w:t>ו</w:t>
      </w:r>
      <w:r>
        <w:rPr>
          <w:rFonts w:cs="Arial"/>
          <w:rtl/>
        </w:rPr>
        <w:t>הביא</w:t>
      </w:r>
      <w:r w:rsidRPr="00F7573E">
        <w:rPr>
          <w:rFonts w:cs="Arial"/>
          <w:rtl/>
        </w:rPr>
        <w:t xml:space="preserve"> הרמב"ן</w:t>
      </w:r>
      <w:r w:rsidRPr="00F7573E">
        <w:rPr>
          <w:rFonts w:cs="Arial" w:hint="cs"/>
          <w:rtl/>
        </w:rPr>
        <w:t xml:space="preserve"> (מכות ו. ד"ה הא)</w:t>
      </w:r>
      <w:r>
        <w:rPr>
          <w:rFonts w:cs="Arial" w:hint="cs"/>
          <w:rtl/>
        </w:rPr>
        <w:t xml:space="preserve"> </w:t>
      </w:r>
      <w:r>
        <w:rPr>
          <w:rFonts w:cs="Arial"/>
          <w:rtl/>
        </w:rPr>
        <w:t xml:space="preserve">ראיה </w:t>
      </w:r>
      <w:r>
        <w:rPr>
          <w:rFonts w:cs="Arial" w:hint="cs"/>
          <w:rtl/>
        </w:rPr>
        <w:t>לדברי הרי"ף</w:t>
      </w:r>
      <w:r>
        <w:rPr>
          <w:rFonts w:cs="Arial" w:hint="cs"/>
          <w:sz w:val="16"/>
          <w:szCs w:val="16"/>
          <w:rtl/>
        </w:rPr>
        <w:t xml:space="preserve"> </w:t>
      </w:r>
      <w:r>
        <w:rPr>
          <w:rFonts w:cs="Arial"/>
          <w:rtl/>
        </w:rPr>
        <w:t>מהתוספתא (מכות פ"א ה"ו)</w:t>
      </w:r>
      <w:r>
        <w:rPr>
          <w:rFonts w:cs="Arial" w:hint="cs"/>
          <w:rtl/>
        </w:rPr>
        <w:t xml:space="preserve">. וכתב עוד </w:t>
      </w:r>
      <w:r w:rsidRPr="00F7573E">
        <w:rPr>
          <w:rFonts w:cs="Arial"/>
          <w:rtl/>
        </w:rPr>
        <w:t>דכי היכי דתלינן בדעת הפסולין אי למיחזי קא אתו אי לאסהודי קא אתו הכי נמי תלינן בדעת הכשרים אם לא הכירו הפסולין</w:t>
      </w:r>
      <w:r>
        <w:rPr>
          <w:rFonts w:cs="Arial" w:hint="cs"/>
          <w:rtl/>
        </w:rPr>
        <w:t>.</w:t>
      </w:r>
      <w:r w:rsidRPr="00CC5EDF">
        <w:rPr>
          <w:rFonts w:cs="Arial" w:hint="cs"/>
          <w:rtl/>
        </w:rPr>
        <w:t xml:space="preserve"> </w:t>
      </w:r>
      <w:r>
        <w:rPr>
          <w:rFonts w:cs="Arial" w:hint="cs"/>
          <w:rtl/>
        </w:rPr>
        <w:t>וכתב מ</w:t>
      </w:r>
      <w:r w:rsidRPr="008D5828">
        <w:rPr>
          <w:rFonts w:cs="Arial"/>
          <w:rtl/>
        </w:rPr>
        <w:t xml:space="preserve">הר"י בי רב </w:t>
      </w:r>
      <w:r w:rsidRPr="00941330">
        <w:rPr>
          <w:rFonts w:cs="Arial" w:hint="cs"/>
          <w:sz w:val="16"/>
          <w:szCs w:val="16"/>
          <w:rtl/>
        </w:rPr>
        <w:t xml:space="preserve">(בשו"ת </w:t>
      </w:r>
      <w:r w:rsidRPr="00941330">
        <w:rPr>
          <w:rFonts w:cs="Arial"/>
          <w:sz w:val="16"/>
          <w:szCs w:val="16"/>
          <w:rtl/>
        </w:rPr>
        <w:t>סי' נו)</w:t>
      </w:r>
      <w:r>
        <w:rPr>
          <w:rFonts w:cs="Arial" w:hint="cs"/>
          <w:rtl/>
        </w:rPr>
        <w:t xml:space="preserve"> שכן דעת </w:t>
      </w:r>
      <w:r w:rsidRPr="008D5828">
        <w:rPr>
          <w:rFonts w:cs="Arial"/>
          <w:rtl/>
        </w:rPr>
        <w:t>בהעי</w:t>
      </w:r>
      <w:r>
        <w:rPr>
          <w:rFonts w:cs="Arial" w:hint="cs"/>
          <w:rtl/>
        </w:rPr>
        <w:t>"ט</w:t>
      </w:r>
      <w:r w:rsidRPr="008D5828">
        <w:rPr>
          <w:rFonts w:cs="Arial"/>
          <w:rtl/>
        </w:rPr>
        <w:t xml:space="preserve"> והמרדכי והר"ן</w:t>
      </w:r>
      <w:r>
        <w:rPr>
          <w:rFonts w:cs="Arial" w:hint="cs"/>
          <w:rtl/>
        </w:rPr>
        <w:t>...</w:t>
      </w:r>
      <w:r w:rsidRPr="008D5828">
        <w:rPr>
          <w:rFonts w:cs="Arial"/>
          <w:rtl/>
        </w:rPr>
        <w:t xml:space="preserve"> ואף </w:t>
      </w:r>
      <w:r>
        <w:rPr>
          <w:rFonts w:cs="Arial" w:hint="cs"/>
          <w:rtl/>
        </w:rPr>
        <w:t>ש</w:t>
      </w:r>
      <w:r w:rsidRPr="008D5828">
        <w:rPr>
          <w:rFonts w:cs="Arial"/>
          <w:rtl/>
        </w:rPr>
        <w:t>הרא"ש חולק עליהם</w:t>
      </w:r>
      <w:r>
        <w:rPr>
          <w:rFonts w:cs="Arial" w:hint="cs"/>
          <w:rtl/>
        </w:rPr>
        <w:t xml:space="preserve"> צירף מהר"י בי רב סברת הרי"ף להקל בנידון שהיה לפניו כיון שבהעי"ט ושא"פ שהביא שם מסכימים לדברי הרי"ף.</w:t>
      </w:r>
    </w:p>
  </w:footnote>
  <w:footnote w:id="2640">
    <w:p w14:paraId="7E79D758" w14:textId="77777777" w:rsidR="0013116F" w:rsidRDefault="0013116F" w:rsidP="004B607F">
      <w:pPr>
        <w:pStyle w:val="a9"/>
        <w:rPr>
          <w:rtl/>
        </w:rPr>
      </w:pPr>
      <w:r>
        <w:rPr>
          <w:rStyle w:val="ab"/>
        </w:rPr>
        <w:footnoteRef/>
      </w:r>
      <w:r>
        <w:rPr>
          <w:rtl/>
        </w:rPr>
        <w:t xml:space="preserve"> </w:t>
      </w:r>
      <w:r>
        <w:rPr>
          <w:rFonts w:hint="cs"/>
          <w:rtl/>
        </w:rPr>
        <w:t>הטור כתב את דברי הרי"ף אך לא העתיק את לשונו, שהרי"ף דיבר גבי עדים החתומים על שטר, והטור כתב בשם הרי"ף בסתם עדים. ועל דברי הטור העיר הב"י דדברי הרי"ף שייכים אפילו לגבי עדים החתומים על שטר. וכתב עוד הב"י ד</w:t>
      </w:r>
      <w:r>
        <w:rPr>
          <w:rFonts w:cs="Arial"/>
          <w:rtl/>
        </w:rPr>
        <w:t>לענין עדים החתומים על השטר ונמצא אחד מהם קרוב או פסול עיין בסימן מ"ה (סי"ח)</w:t>
      </w:r>
      <w:r>
        <w:rPr>
          <w:rFonts w:hint="cs"/>
          <w:rtl/>
        </w:rPr>
        <w:t>.</w:t>
      </w:r>
    </w:p>
  </w:footnote>
  <w:footnote w:id="2641">
    <w:p w14:paraId="23475942" w14:textId="77777777" w:rsidR="0013116F" w:rsidRDefault="0013116F" w:rsidP="004B607F">
      <w:pPr>
        <w:pStyle w:val="a9"/>
        <w:rPr>
          <w:rtl/>
        </w:rPr>
      </w:pPr>
      <w:r>
        <w:rPr>
          <w:rStyle w:val="ab"/>
        </w:rPr>
        <w:footnoteRef/>
      </w:r>
      <w:r>
        <w:rPr>
          <w:rtl/>
        </w:rPr>
        <w:t xml:space="preserve"> </w:t>
      </w:r>
      <w:r>
        <w:rPr>
          <w:rFonts w:hint="cs"/>
          <w:rtl/>
        </w:rPr>
        <w:t xml:space="preserve">לאחר שהביא הרא"ש את תשו' הרי"ף ואת דברי הרמב"ן כתב וז"ל- </w:t>
      </w:r>
      <w:r w:rsidRPr="00F7573E">
        <w:rPr>
          <w:rFonts w:cs="Arial"/>
          <w:rtl/>
        </w:rPr>
        <w:t>ולא מסתבר לי כלל ד</w:t>
      </w:r>
      <w:r>
        <w:rPr>
          <w:rFonts w:cs="Arial" w:hint="cs"/>
          <w:rtl/>
        </w:rPr>
        <w:t>-...</w:t>
      </w:r>
    </w:p>
  </w:footnote>
  <w:footnote w:id="2642">
    <w:p w14:paraId="0338106C" w14:textId="77777777" w:rsidR="0013116F" w:rsidRDefault="0013116F" w:rsidP="004B607F">
      <w:pPr>
        <w:pStyle w:val="a9"/>
        <w:rPr>
          <w:rtl/>
        </w:rPr>
      </w:pPr>
      <w:r>
        <w:rPr>
          <w:rStyle w:val="ab"/>
        </w:rPr>
        <w:footnoteRef/>
      </w:r>
      <w:r>
        <w:rPr>
          <w:rtl/>
        </w:rPr>
        <w:t xml:space="preserve"> </w:t>
      </w:r>
      <w:r w:rsidRPr="00F7573E">
        <w:rPr>
          <w:rFonts w:cs="Arial"/>
          <w:rtl/>
        </w:rPr>
        <w:t>כי לא נמצא זה בהש"ס דאי איתא שתלוי בהכרת העדים הוה ליה להש"ס למימר דשיילינן להו לכשירין אם הכירו בפסולתן של אלו</w:t>
      </w:r>
      <w:r>
        <w:rPr>
          <w:rFonts w:hint="cs"/>
          <w:rtl/>
        </w:rPr>
        <w:t>, רא"ש.</w:t>
      </w:r>
      <w:r w:rsidRPr="00F25EA1">
        <w:rPr>
          <w:rFonts w:cs="Arial"/>
          <w:rtl/>
        </w:rPr>
        <w:t xml:space="preserve"> </w:t>
      </w:r>
      <w:r>
        <w:rPr>
          <w:rFonts w:cs="Arial"/>
          <w:rtl/>
        </w:rPr>
        <w:t>ו</w:t>
      </w:r>
      <w:r>
        <w:rPr>
          <w:rFonts w:cs="Arial" w:hint="cs"/>
          <w:rtl/>
        </w:rPr>
        <w:t>ה</w:t>
      </w:r>
      <w:r>
        <w:rPr>
          <w:rFonts w:cs="Arial"/>
          <w:rtl/>
        </w:rPr>
        <w:t xml:space="preserve">תוספתא שהביא הרמב"ן ראיה ממנה פירשה הרא"ש בענין אחר וכתב שם הרא"ש שכן נראה מתוך לשון </w:t>
      </w:r>
      <w:r>
        <w:rPr>
          <w:rFonts w:cs="Arial" w:hint="cs"/>
          <w:rtl/>
        </w:rPr>
        <w:t>ב</w:t>
      </w:r>
      <w:r>
        <w:rPr>
          <w:rFonts w:cs="Arial"/>
          <w:rtl/>
        </w:rPr>
        <w:t>ה"ג (סי' נא הל' עדות קיד ע"ג)</w:t>
      </w:r>
      <w:r>
        <w:rPr>
          <w:rFonts w:cs="Arial" w:hint="cs"/>
          <w:rtl/>
        </w:rPr>
        <w:t>.</w:t>
      </w:r>
      <w:r>
        <w:rPr>
          <w:rFonts w:cs="Arial"/>
          <w:rtl/>
        </w:rPr>
        <w:t xml:space="preserve"> ו</w:t>
      </w:r>
      <w:r>
        <w:rPr>
          <w:rFonts w:cs="Arial" w:hint="cs"/>
          <w:rtl/>
        </w:rPr>
        <w:t xml:space="preserve">כתב הב"י דכדברי הרא"ש </w:t>
      </w:r>
      <w:r>
        <w:rPr>
          <w:rFonts w:cs="Arial"/>
          <w:rtl/>
        </w:rPr>
        <w:t>כ</w:t>
      </w:r>
      <w:r>
        <w:rPr>
          <w:rFonts w:cs="Arial" w:hint="cs"/>
          <w:rtl/>
        </w:rPr>
        <w:t>"</w:t>
      </w:r>
      <w:r>
        <w:rPr>
          <w:rFonts w:cs="Arial"/>
          <w:rtl/>
        </w:rPr>
        <w:t>כ בעל העיטור (אות ק קבלת עדות נט:) בשם בעל מתיבות</w:t>
      </w:r>
      <w:r>
        <w:rPr>
          <w:rFonts w:cs="Arial" w:hint="cs"/>
          <w:rtl/>
        </w:rPr>
        <w:t>.</w:t>
      </w:r>
    </w:p>
  </w:footnote>
  <w:footnote w:id="2643">
    <w:p w14:paraId="18DAB1BD" w14:textId="77777777" w:rsidR="0013116F" w:rsidRDefault="0013116F" w:rsidP="004B607F">
      <w:pPr>
        <w:pStyle w:val="a9"/>
        <w:rPr>
          <w:rtl/>
        </w:rPr>
      </w:pPr>
      <w:r>
        <w:rPr>
          <w:rStyle w:val="ab"/>
        </w:rPr>
        <w:footnoteRef/>
      </w:r>
      <w:r>
        <w:rPr>
          <w:rtl/>
        </w:rPr>
        <w:t xml:space="preserve"> </w:t>
      </w:r>
      <w:r w:rsidRPr="00AA6F14">
        <w:rPr>
          <w:rFonts w:cs="Arial"/>
          <w:rtl/>
        </w:rPr>
        <w:t>ודוקא כשאומר מעצמו שלא הכירו, אבל אין הבית דין שואלין אותו אם הכירו</w:t>
      </w:r>
      <w:r>
        <w:rPr>
          <w:rFonts w:hint="cs"/>
          <w:rtl/>
        </w:rPr>
        <w:t>, סמ"ע (סק"י).</w:t>
      </w:r>
    </w:p>
  </w:footnote>
  <w:footnote w:id="2644">
    <w:p w14:paraId="18E1637A" w14:textId="77777777" w:rsidR="0013116F" w:rsidRDefault="0013116F" w:rsidP="004B607F">
      <w:pPr>
        <w:pStyle w:val="a9"/>
      </w:pPr>
      <w:r>
        <w:rPr>
          <w:rStyle w:val="ab"/>
        </w:rPr>
        <w:footnoteRef/>
      </w:r>
      <w:r>
        <w:rPr>
          <w:rtl/>
        </w:rPr>
        <w:t xml:space="preserve"> </w:t>
      </w:r>
      <w:r w:rsidRPr="00022365">
        <w:rPr>
          <w:rFonts w:cs="Arial"/>
          <w:rtl/>
        </w:rPr>
        <w:t>היינו לדעת היש אומרים</w:t>
      </w:r>
      <w:r>
        <w:rPr>
          <w:rFonts w:cs="Arial" w:hint="cs"/>
          <w:sz w:val="16"/>
          <w:szCs w:val="16"/>
          <w:rtl/>
        </w:rPr>
        <w:t xml:space="preserve"> {היינו תוס' ורא"ש}</w:t>
      </w:r>
      <w:r w:rsidRPr="00022365">
        <w:rPr>
          <w:rFonts w:cs="Arial"/>
          <w:rtl/>
        </w:rPr>
        <w:t>, אבל לדעה קמייתא אפילו לא העיד בבית דין. ש"ך [סקכ"א]. ובתומים [סקי"א] כתב דהרמ"א כתב זה לכולי עלמא</w:t>
      </w:r>
      <w:r>
        <w:rPr>
          <w:rFonts w:cs="Arial" w:hint="cs"/>
          <w:rtl/>
        </w:rPr>
        <w:t>, נתיבות (חידושים סקי"ז)</w:t>
      </w:r>
      <w:r w:rsidRPr="00022365">
        <w:rPr>
          <w:rFonts w:cs="Arial"/>
          <w:rtl/>
        </w:rPr>
        <w:t>.</w:t>
      </w:r>
    </w:p>
  </w:footnote>
  <w:footnote w:id="2645">
    <w:p w14:paraId="19B1F233" w14:textId="77777777" w:rsidR="0013116F" w:rsidRDefault="0013116F" w:rsidP="004B607F">
      <w:pPr>
        <w:pStyle w:val="a9"/>
      </w:pPr>
      <w:r>
        <w:rPr>
          <w:rStyle w:val="ab"/>
        </w:rPr>
        <w:footnoteRef/>
      </w:r>
      <w:r>
        <w:rPr>
          <w:rtl/>
        </w:rPr>
        <w:t xml:space="preserve"> </w:t>
      </w:r>
      <w:r>
        <w:rPr>
          <w:rFonts w:hint="cs"/>
          <w:rtl/>
        </w:rPr>
        <w:t xml:space="preserve">סימן </w:t>
      </w:r>
      <w:r>
        <w:rPr>
          <w:rtl/>
        </w:rPr>
        <w:t>–</w:t>
      </w:r>
      <w:r>
        <w:rPr>
          <w:rFonts w:hint="cs"/>
          <w:rtl/>
        </w:rPr>
        <w:t xml:space="preserve"> בלי מגע. וכן - מעיד בשותפו. וכן - מעיד בעל בעלות. וכן </w:t>
      </w:r>
      <w:r>
        <w:rPr>
          <w:rtl/>
        </w:rPr>
        <w:t>–</w:t>
      </w:r>
      <w:r>
        <w:rPr>
          <w:rFonts w:hint="cs"/>
          <w:rtl/>
        </w:rPr>
        <w:t xml:space="preserve"> בעלים מעיד בבעלים.</w:t>
      </w:r>
    </w:p>
  </w:footnote>
  <w:footnote w:id="2646">
    <w:p w14:paraId="5AA54ED1" w14:textId="77777777" w:rsidR="0013116F" w:rsidRDefault="0013116F" w:rsidP="004B607F">
      <w:pPr>
        <w:pStyle w:val="a9"/>
      </w:pPr>
      <w:r>
        <w:rPr>
          <w:rStyle w:val="ab"/>
        </w:rPr>
        <w:footnoteRef/>
      </w:r>
      <w:r>
        <w:rPr>
          <w:rtl/>
        </w:rPr>
        <w:t xml:space="preserve"> </w:t>
      </w:r>
      <w:r>
        <w:rPr>
          <w:rFonts w:cs="Arial"/>
          <w:rtl/>
        </w:rPr>
        <w:t>דכל זמן שלא חלקו לגמרי אם יטול מערער מן השדה יפסידו שניהם</w:t>
      </w:r>
      <w:r>
        <w:rPr>
          <w:rFonts w:cs="Arial" w:hint="cs"/>
          <w:rtl/>
        </w:rPr>
        <w:t xml:space="preserve"> ונמצא דלעצמו מעיד, רשב"ם.</w:t>
      </w:r>
    </w:p>
  </w:footnote>
  <w:footnote w:id="2647">
    <w:p w14:paraId="12CD7BEC" w14:textId="77777777" w:rsidR="0013116F" w:rsidRDefault="0013116F" w:rsidP="004B607F">
      <w:pPr>
        <w:pStyle w:val="a9"/>
      </w:pPr>
      <w:r>
        <w:rPr>
          <w:rStyle w:val="ab"/>
        </w:rPr>
        <w:footnoteRef/>
      </w:r>
      <w:r>
        <w:rPr>
          <w:rtl/>
        </w:rPr>
        <w:t xml:space="preserve"> </w:t>
      </w:r>
      <w:r>
        <w:rPr>
          <w:rFonts w:cs="Arial" w:hint="cs"/>
          <w:rtl/>
        </w:rPr>
        <w:t xml:space="preserve">האי </w:t>
      </w:r>
      <w:r>
        <w:rPr>
          <w:rFonts w:cs="Arial"/>
          <w:rtl/>
        </w:rPr>
        <w:t>מעיד</w:t>
      </w:r>
      <w:r>
        <w:rPr>
          <w:rFonts w:cs="Arial" w:hint="cs"/>
          <w:rtl/>
        </w:rPr>
        <w:t xml:space="preserve"> </w:t>
      </w:r>
      <w:r>
        <w:rPr>
          <w:rFonts w:cs="Arial"/>
          <w:rtl/>
        </w:rPr>
        <w:t xml:space="preserve"> </w:t>
      </w:r>
      <w:r>
        <w:rPr>
          <w:rFonts w:cs="Arial" w:hint="cs"/>
          <w:rtl/>
        </w:rPr>
        <w:t>להאי מחזיק</w:t>
      </w:r>
      <w:r w:rsidRPr="003C4646">
        <w:rPr>
          <w:rtl/>
        </w:rPr>
        <w:t xml:space="preserve"> </w:t>
      </w:r>
      <w:r>
        <w:rPr>
          <w:rtl/>
        </w:rPr>
        <w:t>–</w:t>
      </w:r>
      <w:r>
        <w:rPr>
          <w:rFonts w:hint="cs"/>
          <w:rtl/>
        </w:rPr>
        <w:t xml:space="preserve"> '</w:t>
      </w:r>
      <w:r w:rsidRPr="003C4646">
        <w:rPr>
          <w:rFonts w:cs="Arial"/>
          <w:rtl/>
        </w:rPr>
        <w:t>דין ודברים אין לי עמך בכל השדה ואפילו על חלקי שהכל שלך</w:t>
      </w:r>
      <w:r>
        <w:rPr>
          <w:rFonts w:cs="Arial" w:hint="cs"/>
          <w:rtl/>
        </w:rPr>
        <w:t xml:space="preserve">'... </w:t>
      </w:r>
      <w:r w:rsidRPr="003C4646">
        <w:rPr>
          <w:rFonts w:cs="Arial"/>
          <w:rtl/>
        </w:rPr>
        <w:t>והלכך כיון דנתן לו חלקו מעיד עליה דלא נוגע בעדות הוא</w:t>
      </w:r>
      <w:r>
        <w:rPr>
          <w:rFonts w:cs="Arial" w:hint="cs"/>
          <w:rtl/>
        </w:rPr>
        <w:t>.</w:t>
      </w:r>
      <w:r w:rsidRPr="003C4646">
        <w:rPr>
          <w:rFonts w:cs="Arial"/>
          <w:rtl/>
        </w:rPr>
        <w:t xml:space="preserve"> והכי נמי הוה מצי לתרוצי כשהקנה לו חלקו אלא רבותא נקט לאשמועינן דבכה</w:t>
      </w:r>
      <w:r>
        <w:rPr>
          <w:rFonts w:cs="Arial" w:hint="cs"/>
          <w:rtl/>
        </w:rPr>
        <w:t>"</w:t>
      </w:r>
      <w:r w:rsidRPr="003C4646">
        <w:rPr>
          <w:rFonts w:cs="Arial"/>
          <w:rtl/>
        </w:rPr>
        <w:t>ג הוי לשון מתנה</w:t>
      </w:r>
      <w:r>
        <w:rPr>
          <w:rFonts w:cs="Arial" w:hint="cs"/>
          <w:rtl/>
        </w:rPr>
        <w:t>, רשב"ם.</w:t>
      </w:r>
    </w:p>
  </w:footnote>
  <w:footnote w:id="2648">
    <w:p w14:paraId="7017D7F6" w14:textId="77777777" w:rsidR="0013116F" w:rsidRDefault="0013116F" w:rsidP="004B607F">
      <w:pPr>
        <w:pStyle w:val="a9"/>
        <w:rPr>
          <w:rtl/>
        </w:rPr>
      </w:pPr>
      <w:r>
        <w:rPr>
          <w:rStyle w:val="ab"/>
        </w:rPr>
        <w:footnoteRef/>
      </w:r>
      <w:r>
        <w:rPr>
          <w:rtl/>
        </w:rPr>
        <w:t xml:space="preserve"> </w:t>
      </w:r>
      <w:r>
        <w:rPr>
          <w:rFonts w:cs="Arial" w:hint="cs"/>
          <w:rtl/>
        </w:rPr>
        <w:t>הרי אינו לשון מתנה ואכתי נוגע בעדות הוא</w:t>
      </w:r>
      <w:r>
        <w:rPr>
          <w:rFonts w:hint="cs"/>
          <w:rtl/>
        </w:rPr>
        <w:t>, רשב"ם.</w:t>
      </w:r>
    </w:p>
  </w:footnote>
  <w:footnote w:id="2649">
    <w:p w14:paraId="5DC4E04B" w14:textId="77777777" w:rsidR="0013116F" w:rsidRDefault="0013116F" w:rsidP="004B607F">
      <w:pPr>
        <w:pStyle w:val="a9"/>
      </w:pPr>
      <w:r>
        <w:rPr>
          <w:rStyle w:val="ab"/>
        </w:rPr>
        <w:footnoteRef/>
      </w:r>
      <w:r>
        <w:rPr>
          <w:rtl/>
        </w:rPr>
        <w:t xml:space="preserve"> </w:t>
      </w:r>
      <w:r>
        <w:rPr>
          <w:rFonts w:cs="Arial" w:hint="cs"/>
          <w:rtl/>
        </w:rPr>
        <w:t>שותף, רשב"ם.</w:t>
      </w:r>
    </w:p>
  </w:footnote>
  <w:footnote w:id="2650">
    <w:p w14:paraId="64DD74AF" w14:textId="77777777" w:rsidR="0013116F" w:rsidRDefault="0013116F" w:rsidP="004B607F">
      <w:pPr>
        <w:pStyle w:val="a9"/>
      </w:pPr>
      <w:r>
        <w:rPr>
          <w:rStyle w:val="ab"/>
        </w:rPr>
        <w:footnoteRef/>
      </w:r>
      <w:r>
        <w:rPr>
          <w:rtl/>
        </w:rPr>
        <w:t xml:space="preserve"> </w:t>
      </w:r>
      <w:r w:rsidRPr="008B6577">
        <w:rPr>
          <w:rFonts w:cs="Arial"/>
          <w:rtl/>
        </w:rPr>
        <w:t>שותף חבירו קנה מידו בקנין סודר והשתא דאיכא קנין מועיל התנאי</w:t>
      </w:r>
      <w:r>
        <w:rPr>
          <w:rFonts w:cs="Arial" w:hint="cs"/>
          <w:rtl/>
        </w:rPr>
        <w:t>, רשב"ם.</w:t>
      </w:r>
    </w:p>
  </w:footnote>
  <w:footnote w:id="2651">
    <w:p w14:paraId="1ED25CCE" w14:textId="77777777" w:rsidR="0013116F" w:rsidRDefault="0013116F" w:rsidP="004B607F">
      <w:pPr>
        <w:pStyle w:val="a9"/>
        <w:rPr>
          <w:rtl/>
        </w:rPr>
      </w:pPr>
      <w:r>
        <w:rPr>
          <w:rStyle w:val="ab"/>
        </w:rPr>
        <w:footnoteRef/>
      </w:r>
      <w:r>
        <w:rPr>
          <w:rtl/>
        </w:rPr>
        <w:t xml:space="preserve"> </w:t>
      </w:r>
      <w:r w:rsidRPr="008B6577">
        <w:rPr>
          <w:rFonts w:cs="Arial"/>
          <w:rtl/>
        </w:rPr>
        <w:t>אכתי אמאי מעיד להעמיד השדה בידו הרי נוגע הוא בעדות זו דניחא ליה שיהיה השדה ביד השותף מפני שמעמידו האי נותן לפני בעל חובו שאם יש לו שום בע"ח שהלוהו מעות קודם שהקנה לחבירו חלקו שהיה לו בשדה יבא בעל חוב ויטרוף אותה שהרי חציה משועבדת לו ויפטר זה הנותן מבעל חובו ולא יהיה לוה רשע ולא ישלם כדלקמן בשמעתין שאילו יטרפוה מזה בעדים שיאמרו שלא היה לאלו שותפין חלק בה לא יוכל בעל חוב שלו לגבות הימנה והו"ל לוה רשע ולא ישלם</w:t>
      </w:r>
      <w:r>
        <w:rPr>
          <w:rFonts w:hint="cs"/>
          <w:rtl/>
        </w:rPr>
        <w:t>, רשב"ם.</w:t>
      </w:r>
    </w:p>
  </w:footnote>
  <w:footnote w:id="2652">
    <w:p w14:paraId="073F0EA6" w14:textId="77777777" w:rsidR="0013116F" w:rsidRDefault="0013116F" w:rsidP="004B607F">
      <w:pPr>
        <w:pStyle w:val="a9"/>
      </w:pPr>
      <w:r>
        <w:rPr>
          <w:rStyle w:val="ab"/>
        </w:rPr>
        <w:footnoteRef/>
      </w:r>
      <w:r>
        <w:rPr>
          <w:rtl/>
        </w:rPr>
        <w:t xml:space="preserve"> </w:t>
      </w:r>
      <w:r w:rsidRPr="008B6577">
        <w:rPr>
          <w:rFonts w:cs="Arial"/>
          <w:rtl/>
        </w:rPr>
        <w:t>וכל שכן באחריות</w:t>
      </w:r>
      <w:r>
        <w:rPr>
          <w:rFonts w:cs="Arial" w:hint="cs"/>
          <w:rtl/>
        </w:rPr>
        <w:t>, רשב"ם.</w:t>
      </w:r>
    </w:p>
  </w:footnote>
  <w:footnote w:id="2653">
    <w:p w14:paraId="1921B88B" w14:textId="77777777" w:rsidR="0013116F" w:rsidRDefault="0013116F" w:rsidP="004B607F">
      <w:pPr>
        <w:pStyle w:val="a9"/>
      </w:pPr>
      <w:r>
        <w:rPr>
          <w:rStyle w:val="ab"/>
        </w:rPr>
        <w:footnoteRef/>
      </w:r>
      <w:r>
        <w:rPr>
          <w:rtl/>
        </w:rPr>
        <w:t xml:space="preserve"> </w:t>
      </w:r>
      <w:r w:rsidRPr="008B6577">
        <w:rPr>
          <w:rFonts w:cs="Arial"/>
          <w:rtl/>
        </w:rPr>
        <w:t>אין מצטרף עם עד אחר להעמידה בידו ואע</w:t>
      </w:r>
      <w:r>
        <w:rPr>
          <w:rFonts w:cs="Arial" w:hint="cs"/>
          <w:rtl/>
        </w:rPr>
        <w:t>"</w:t>
      </w:r>
      <w:r w:rsidRPr="008B6577">
        <w:rPr>
          <w:rFonts w:cs="Arial"/>
          <w:rtl/>
        </w:rPr>
        <w:t>ג דאי הוה מפסיד לוקח לא הדר עליה דמוכר</w:t>
      </w:r>
      <w:r>
        <w:rPr>
          <w:rFonts w:cs="Arial" w:hint="cs"/>
          <w:rtl/>
        </w:rPr>
        <w:t>, רשב"ם.</w:t>
      </w:r>
    </w:p>
  </w:footnote>
  <w:footnote w:id="2654">
    <w:p w14:paraId="3DB175DA" w14:textId="77777777" w:rsidR="0013116F" w:rsidRDefault="0013116F" w:rsidP="004B607F">
      <w:pPr>
        <w:pStyle w:val="a9"/>
      </w:pPr>
      <w:r>
        <w:rPr>
          <w:rStyle w:val="ab"/>
        </w:rPr>
        <w:footnoteRef/>
      </w:r>
      <w:r>
        <w:rPr>
          <w:rtl/>
        </w:rPr>
        <w:t xml:space="preserve"> </w:t>
      </w:r>
      <w:r w:rsidRPr="008B6577">
        <w:rPr>
          <w:rFonts w:cs="Arial"/>
          <w:rtl/>
        </w:rPr>
        <w:t>ובדלית ליה ארעא אחריתי מוקמינן לה לקמן בשמעתין דלא ניחא למיהוי לוה רשע ולא ישלם</w:t>
      </w:r>
      <w:r>
        <w:rPr>
          <w:rFonts w:cs="Arial" w:hint="cs"/>
          <w:rtl/>
        </w:rPr>
        <w:t>, רשב"ם.</w:t>
      </w:r>
    </w:p>
  </w:footnote>
  <w:footnote w:id="2655">
    <w:p w14:paraId="5C02FF5D" w14:textId="77777777" w:rsidR="0013116F" w:rsidRDefault="0013116F" w:rsidP="004B607F">
      <w:pPr>
        <w:pStyle w:val="a9"/>
      </w:pPr>
      <w:r>
        <w:rPr>
          <w:rStyle w:val="ab"/>
        </w:rPr>
        <w:footnoteRef/>
      </w:r>
      <w:r>
        <w:rPr>
          <w:rtl/>
        </w:rPr>
        <w:t xml:space="preserve"> </w:t>
      </w:r>
      <w:r w:rsidRPr="008B6577">
        <w:rPr>
          <w:rFonts w:cs="Arial"/>
          <w:rtl/>
        </w:rPr>
        <w:t>האי שותף לחבירו ממה שהקנה לו וכדמפרש ואזיל דהשתא אינו מעמידה לפני בעל חובו והלכך מעיד</w:t>
      </w:r>
      <w:r>
        <w:rPr>
          <w:rFonts w:cs="Arial" w:hint="cs"/>
          <w:rtl/>
        </w:rPr>
        <w:t>, רשב"ם.</w:t>
      </w:r>
    </w:p>
  </w:footnote>
  <w:footnote w:id="2656">
    <w:p w14:paraId="7A0B8473" w14:textId="77777777" w:rsidR="0013116F" w:rsidRDefault="0013116F" w:rsidP="004B607F">
      <w:pPr>
        <w:pStyle w:val="a9"/>
      </w:pPr>
      <w:r>
        <w:rPr>
          <w:rStyle w:val="ab"/>
        </w:rPr>
        <w:footnoteRef/>
      </w:r>
      <w:r>
        <w:rPr>
          <w:rtl/>
        </w:rPr>
        <w:t xml:space="preserve"> </w:t>
      </w:r>
      <w:r w:rsidRPr="008B6577">
        <w:rPr>
          <w:rFonts w:cs="Arial"/>
          <w:rtl/>
        </w:rPr>
        <w:t>שלא בשביל חוב חבירו אלא מערער לומר שדה זו של אבותי או שלי היא</w:t>
      </w:r>
      <w:r>
        <w:rPr>
          <w:rFonts w:cs="Arial" w:hint="cs"/>
          <w:rtl/>
        </w:rPr>
        <w:t>, רשב"ם.</w:t>
      </w:r>
    </w:p>
  </w:footnote>
  <w:footnote w:id="2657">
    <w:p w14:paraId="26E51EAC" w14:textId="77777777" w:rsidR="0013116F" w:rsidRDefault="0013116F" w:rsidP="004B607F">
      <w:pPr>
        <w:pStyle w:val="a9"/>
      </w:pPr>
      <w:r w:rsidRPr="008B6577">
        <w:rPr>
          <w:rStyle w:val="ab"/>
        </w:rPr>
        <w:footnoteRef/>
      </w:r>
      <w:r w:rsidRPr="008B6577">
        <w:rPr>
          <w:rtl/>
        </w:rPr>
        <w:t xml:space="preserve"> </w:t>
      </w:r>
      <w:r w:rsidRPr="008B6577">
        <w:rPr>
          <w:rFonts w:cs="Arial"/>
          <w:rtl/>
        </w:rPr>
        <w:t>דאינו מעיד - דנוגע בעדות הוא כשמעיד להעמידו ביד זה דניחא ליה דתיהוי בידו משום דאי מפיק מיניה עליה הדר</w:t>
      </w:r>
      <w:r>
        <w:rPr>
          <w:rFonts w:cs="Arial" w:hint="cs"/>
          <w:rtl/>
        </w:rPr>
        <w:t>, רשב"ם.</w:t>
      </w:r>
    </w:p>
  </w:footnote>
  <w:footnote w:id="2658">
    <w:p w14:paraId="3ED67FBB" w14:textId="77777777" w:rsidR="0013116F" w:rsidRDefault="0013116F" w:rsidP="004B607F">
      <w:pPr>
        <w:pStyle w:val="a9"/>
      </w:pPr>
      <w:r>
        <w:rPr>
          <w:rStyle w:val="ab"/>
        </w:rPr>
        <w:footnoteRef/>
      </w:r>
      <w:r>
        <w:rPr>
          <w:rtl/>
        </w:rPr>
        <w:t xml:space="preserve"> </w:t>
      </w:r>
      <w:r w:rsidRPr="008B6577">
        <w:rPr>
          <w:rFonts w:cs="Arial"/>
          <w:rtl/>
        </w:rPr>
        <w:t>אם יטרפוהו בשביל חובו שחייב לאחרים יחזיר לו הדמים הלכך מעיד עליה גבי ערער דעלמא להעמידה בידו שאינו מעמידו בפני בעל חובו דמה הנאה יש לו אם יטרפנה בעל חוב מיד זה ולא יהא כנגדו לוה רשע סוף סוף לוה רשע ולא ישלם הוא גבי חבירו שקיבל עליו אחריות וחייב לשלם ואין לו ונכנס בע"ח זה במקום בעל חוב ראשון וגם אם לא יעיד לו מה מפסיד הרי אחריות דעלמא לא קיבל וממ"נ בין יעיד בין לא יעיד בע"ח אחד הוא דיש לו דהוי כנגדו לוה רשע ולא ישלם ולקמן בשמעתין מוכח דמיקרי לוה רשע מוכר באחריות וטרפוה מן הלוקח ואינו משלם לו</w:t>
      </w:r>
      <w:r>
        <w:rPr>
          <w:rFonts w:cs="Arial" w:hint="cs"/>
          <w:rtl/>
        </w:rPr>
        <w:t>, רשב"ם.</w:t>
      </w:r>
    </w:p>
  </w:footnote>
  <w:footnote w:id="2659">
    <w:p w14:paraId="45EEFB34" w14:textId="77777777" w:rsidR="0013116F" w:rsidRDefault="0013116F" w:rsidP="004B607F">
      <w:pPr>
        <w:pStyle w:val="a9"/>
      </w:pPr>
      <w:r>
        <w:rPr>
          <w:rStyle w:val="ab"/>
        </w:rPr>
        <w:footnoteRef/>
      </w:r>
      <w:r>
        <w:rPr>
          <w:rtl/>
        </w:rPr>
        <w:t xml:space="preserve"> </w:t>
      </w:r>
      <w:r w:rsidRPr="00F1347E">
        <w:rPr>
          <w:rFonts w:cs="Arial"/>
          <w:rtl/>
        </w:rPr>
        <w:t>ועי</w:t>
      </w:r>
      <w:r>
        <w:rPr>
          <w:rFonts w:cs="Arial" w:hint="cs"/>
          <w:rtl/>
        </w:rPr>
        <w:t>'</w:t>
      </w:r>
      <w:r w:rsidRPr="00F1347E">
        <w:rPr>
          <w:rFonts w:cs="Arial"/>
          <w:rtl/>
        </w:rPr>
        <w:t xml:space="preserve"> בנמוק</w:t>
      </w:r>
      <w:r>
        <w:rPr>
          <w:rFonts w:cs="Arial" w:hint="cs"/>
          <w:rtl/>
        </w:rPr>
        <w:t>"</w:t>
      </w:r>
      <w:r w:rsidRPr="00F1347E">
        <w:rPr>
          <w:rFonts w:cs="Arial"/>
          <w:rtl/>
        </w:rPr>
        <w:t xml:space="preserve">י </w:t>
      </w:r>
      <w:r w:rsidRPr="00F1347E">
        <w:rPr>
          <w:rFonts w:cs="Arial"/>
          <w:sz w:val="16"/>
          <w:szCs w:val="16"/>
          <w:rtl/>
        </w:rPr>
        <w:t>(</w:t>
      </w:r>
      <w:r w:rsidRPr="00F1347E">
        <w:rPr>
          <w:rFonts w:cs="Arial" w:hint="cs"/>
          <w:sz w:val="16"/>
          <w:szCs w:val="16"/>
          <w:rtl/>
        </w:rPr>
        <w:t xml:space="preserve">שם </w:t>
      </w:r>
      <w:r w:rsidRPr="00F1347E">
        <w:rPr>
          <w:rFonts w:cs="Arial"/>
          <w:sz w:val="16"/>
          <w:szCs w:val="16"/>
          <w:rtl/>
        </w:rPr>
        <w:t xml:space="preserve">כג: ד"ה תנו) </w:t>
      </w:r>
      <w:r w:rsidRPr="00F1347E">
        <w:rPr>
          <w:rFonts w:cs="Arial"/>
          <w:rtl/>
        </w:rPr>
        <w:t>שהאריך בדין זה וכ</w:t>
      </w:r>
      <w:r>
        <w:rPr>
          <w:rFonts w:cs="Arial" w:hint="cs"/>
          <w:rtl/>
        </w:rPr>
        <w:t>תב</w:t>
      </w:r>
      <w:r w:rsidRPr="00F1347E">
        <w:rPr>
          <w:rFonts w:cs="Arial"/>
          <w:rtl/>
        </w:rPr>
        <w:t xml:space="preserve"> שם דנוגע בעדות יכול להעיד לחובה משא</w:t>
      </w:r>
      <w:r>
        <w:rPr>
          <w:rFonts w:cs="Arial" w:hint="cs"/>
          <w:rtl/>
        </w:rPr>
        <w:t>"</w:t>
      </w:r>
      <w:r w:rsidRPr="00F1347E">
        <w:rPr>
          <w:rFonts w:cs="Arial"/>
          <w:rtl/>
        </w:rPr>
        <w:t>כ בפסול קרובים</w:t>
      </w:r>
      <w:r>
        <w:rPr>
          <w:rFonts w:cs="Arial" w:hint="cs"/>
          <w:rtl/>
        </w:rPr>
        <w:t>, דרכ"מ</w:t>
      </w:r>
      <w:r w:rsidRPr="00F1347E">
        <w:rPr>
          <w:rFonts w:cs="Arial" w:hint="cs"/>
          <w:sz w:val="16"/>
          <w:szCs w:val="16"/>
          <w:rtl/>
        </w:rPr>
        <w:t xml:space="preserve"> (אות ב)</w:t>
      </w:r>
      <w:r>
        <w:rPr>
          <w:rFonts w:cs="Arial" w:hint="cs"/>
          <w:rtl/>
        </w:rPr>
        <w:t>.</w:t>
      </w:r>
    </w:p>
  </w:footnote>
  <w:footnote w:id="2660">
    <w:p w14:paraId="7C27E4A9" w14:textId="77777777" w:rsidR="0013116F" w:rsidRDefault="0013116F" w:rsidP="004B607F">
      <w:pPr>
        <w:pStyle w:val="a9"/>
      </w:pPr>
      <w:r>
        <w:rPr>
          <w:rStyle w:val="ab"/>
        </w:rPr>
        <w:footnoteRef/>
      </w:r>
      <w:r>
        <w:rPr>
          <w:rtl/>
        </w:rPr>
        <w:t xml:space="preserve"> </w:t>
      </w:r>
      <w:r>
        <w:rPr>
          <w:rFonts w:cs="Arial" w:hint="cs"/>
          <w:rtl/>
        </w:rPr>
        <w:t xml:space="preserve">כך פירוש הדברים- </w:t>
      </w:r>
      <w:r w:rsidRPr="00F1347E">
        <w:rPr>
          <w:rFonts w:cs="Arial"/>
          <w:rtl/>
        </w:rPr>
        <w:t xml:space="preserve">וגם צריך </w:t>
      </w:r>
      <w:r>
        <w:rPr>
          <w:rFonts w:cs="Arial" w:hint="cs"/>
          <w:sz w:val="16"/>
          <w:szCs w:val="16"/>
          <w:rtl/>
        </w:rPr>
        <w:t xml:space="preserve">{זה שרוצה להעיד} </w:t>
      </w:r>
      <w:r w:rsidRPr="00F1347E">
        <w:rPr>
          <w:rFonts w:cs="Arial"/>
          <w:rtl/>
        </w:rPr>
        <w:t>להתנות שאם יבא</w:t>
      </w:r>
      <w:r>
        <w:rPr>
          <w:rFonts w:cs="Arial" w:hint="cs"/>
          <w:rtl/>
        </w:rPr>
        <w:t xml:space="preserve"> </w:t>
      </w:r>
      <w:r>
        <w:rPr>
          <w:rFonts w:cs="Arial" w:hint="cs"/>
          <w:sz w:val="16"/>
          <w:szCs w:val="16"/>
          <w:rtl/>
        </w:rPr>
        <w:t>{המערער}</w:t>
      </w:r>
      <w:r w:rsidRPr="00F1347E">
        <w:rPr>
          <w:rFonts w:cs="Arial"/>
          <w:rtl/>
        </w:rPr>
        <w:t xml:space="preserve"> לחטפה ממנו </w:t>
      </w:r>
      <w:r>
        <w:rPr>
          <w:rFonts w:cs="Arial" w:hint="cs"/>
          <w:sz w:val="16"/>
          <w:szCs w:val="16"/>
          <w:rtl/>
        </w:rPr>
        <w:t>{מהשותף}</w:t>
      </w:r>
      <w:r>
        <w:rPr>
          <w:rFonts w:cs="Arial" w:hint="cs"/>
          <w:rtl/>
        </w:rPr>
        <w:t xml:space="preserve"> </w:t>
      </w:r>
      <w:r w:rsidRPr="00F1347E">
        <w:rPr>
          <w:rFonts w:cs="Arial"/>
          <w:rtl/>
        </w:rPr>
        <w:t xml:space="preserve">בטענות אחרות לומר שהיתה גזולה בידו </w:t>
      </w:r>
      <w:r>
        <w:rPr>
          <w:rFonts w:cs="Arial" w:hint="cs"/>
          <w:sz w:val="16"/>
          <w:szCs w:val="16"/>
          <w:rtl/>
        </w:rPr>
        <w:t>{ביד זה שהעיד}</w:t>
      </w:r>
      <w:r>
        <w:rPr>
          <w:rFonts w:cs="Arial" w:hint="cs"/>
          <w:rtl/>
        </w:rPr>
        <w:t xml:space="preserve"> </w:t>
      </w:r>
      <w:r w:rsidRPr="00F1347E">
        <w:rPr>
          <w:rFonts w:cs="Arial"/>
          <w:rtl/>
        </w:rPr>
        <w:t>וכיוצא באלו שאינו מקבל עליו אחריות</w:t>
      </w:r>
      <w:r>
        <w:rPr>
          <w:rFonts w:cs="Arial" w:hint="cs"/>
          <w:sz w:val="16"/>
          <w:szCs w:val="16"/>
          <w:rtl/>
        </w:rPr>
        <w:t xml:space="preserve"> {היינו שכשהתן לחברו את חלקו בשדה </w:t>
      </w:r>
      <w:r>
        <w:rPr>
          <w:rFonts w:cs="Arial"/>
          <w:sz w:val="16"/>
          <w:szCs w:val="16"/>
          <w:rtl/>
        </w:rPr>
        <w:t>–</w:t>
      </w:r>
      <w:r>
        <w:rPr>
          <w:rFonts w:cs="Arial" w:hint="cs"/>
          <w:sz w:val="16"/>
          <w:szCs w:val="16"/>
          <w:rtl/>
        </w:rPr>
        <w:t xml:space="preserve"> לא קיבל עליו אחריות. דאם קיבל עליו אחריות בנתינתו </w:t>
      </w:r>
      <w:r>
        <w:rPr>
          <w:rFonts w:cs="Arial"/>
          <w:sz w:val="16"/>
          <w:szCs w:val="16"/>
          <w:rtl/>
        </w:rPr>
        <w:t>–</w:t>
      </w:r>
      <w:r>
        <w:rPr>
          <w:rFonts w:cs="Arial" w:hint="cs"/>
          <w:sz w:val="16"/>
          <w:szCs w:val="16"/>
          <w:rtl/>
        </w:rPr>
        <w:t xml:space="preserve"> עדיין נוגע בעדות הוא, שהרי אם המערער יבוא ליקח מחברו, ירצה להעמידה ביד חברו כדי שלא יצטרך הוא לשלם לחברו}</w:t>
      </w:r>
      <w:r>
        <w:rPr>
          <w:rFonts w:cs="Arial" w:hint="cs"/>
          <w:rtl/>
        </w:rPr>
        <w:t>.</w:t>
      </w:r>
    </w:p>
  </w:footnote>
  <w:footnote w:id="2661">
    <w:p w14:paraId="217C2161" w14:textId="77777777" w:rsidR="0013116F" w:rsidRDefault="0013116F" w:rsidP="004B607F">
      <w:pPr>
        <w:pStyle w:val="a9"/>
        <w:rPr>
          <w:rtl/>
        </w:rPr>
      </w:pPr>
      <w:r>
        <w:rPr>
          <w:rStyle w:val="ab"/>
        </w:rPr>
        <w:footnoteRef/>
      </w:r>
      <w:r>
        <w:rPr>
          <w:rtl/>
        </w:rPr>
        <w:t xml:space="preserve"> </w:t>
      </w:r>
      <w:r>
        <w:rPr>
          <w:rFonts w:cs="Arial"/>
          <w:rtl/>
        </w:rPr>
        <w:t>ו</w:t>
      </w:r>
      <w:r>
        <w:rPr>
          <w:rFonts w:cs="Arial" w:hint="cs"/>
          <w:rtl/>
        </w:rPr>
        <w:t>כ' הב"י דמ</w:t>
      </w:r>
      <w:r>
        <w:rPr>
          <w:rFonts w:cs="Arial"/>
          <w:rtl/>
        </w:rPr>
        <w:t>לשון רשב"ם משמע דה</w:t>
      </w:r>
      <w:r>
        <w:rPr>
          <w:rFonts w:cs="Arial" w:hint="cs"/>
          <w:rtl/>
        </w:rPr>
        <w:t xml:space="preserve">כא </w:t>
      </w:r>
      <w:r>
        <w:rPr>
          <w:rFonts w:cs="Arial" w:hint="cs"/>
          <w:sz w:val="16"/>
          <w:szCs w:val="16"/>
          <w:rtl/>
        </w:rPr>
        <w:t xml:space="preserve">{בגמ'} </w:t>
      </w:r>
      <w:r>
        <w:rPr>
          <w:rFonts w:cs="Arial"/>
          <w:rtl/>
        </w:rPr>
        <w:t>ב</w:t>
      </w:r>
      <w:r>
        <w:rPr>
          <w:rFonts w:cs="Arial" w:hint="cs"/>
          <w:rtl/>
        </w:rPr>
        <w:t xml:space="preserve">מאי </w:t>
      </w:r>
      <w:r>
        <w:rPr>
          <w:rFonts w:cs="Arial"/>
          <w:rtl/>
        </w:rPr>
        <w:t>ע</w:t>
      </w:r>
      <w:r>
        <w:rPr>
          <w:rFonts w:cs="Arial" w:hint="cs"/>
          <w:rtl/>
        </w:rPr>
        <w:t>סקינן</w:t>
      </w:r>
      <w:r>
        <w:rPr>
          <w:rFonts w:cs="Arial"/>
          <w:rtl/>
        </w:rPr>
        <w:t xml:space="preserve"> בשלא חלקו לגמרי</w:t>
      </w:r>
      <w:r>
        <w:rPr>
          <w:rFonts w:cs="Arial" w:hint="cs"/>
          <w:rtl/>
        </w:rPr>
        <w:t>,</w:t>
      </w:r>
      <w:r>
        <w:rPr>
          <w:rFonts w:cs="Arial"/>
          <w:rtl/>
        </w:rPr>
        <w:t xml:space="preserve"> אבל כל אחד משתמש בחצי השדה</w:t>
      </w:r>
      <w:r>
        <w:rPr>
          <w:rFonts w:cs="Arial" w:hint="cs"/>
          <w:rtl/>
        </w:rPr>
        <w:t>.</w:t>
      </w:r>
      <w:r>
        <w:rPr>
          <w:rFonts w:cs="Arial"/>
          <w:rtl/>
        </w:rPr>
        <w:t xml:space="preserve"> דאילו חלקו </w:t>
      </w:r>
      <w:r>
        <w:rPr>
          <w:rFonts w:cs="Arial" w:hint="cs"/>
          <w:sz w:val="16"/>
          <w:szCs w:val="16"/>
          <w:rtl/>
        </w:rPr>
        <w:t xml:space="preserve">{במקרה שבגמ'} </w:t>
      </w:r>
      <w:r>
        <w:rPr>
          <w:rFonts w:cs="Arial" w:hint="cs"/>
          <w:rtl/>
        </w:rPr>
        <w:t xml:space="preserve">- </w:t>
      </w:r>
      <w:r>
        <w:rPr>
          <w:rFonts w:cs="Arial"/>
          <w:rtl/>
        </w:rPr>
        <w:t>משם ואילך כל אחד מפסיד לעצמו</w:t>
      </w:r>
      <w:r>
        <w:rPr>
          <w:rFonts w:cs="Arial" w:hint="cs"/>
          <w:rtl/>
        </w:rPr>
        <w:t>,</w:t>
      </w:r>
      <w:r>
        <w:rPr>
          <w:rFonts w:cs="Arial"/>
          <w:rtl/>
        </w:rPr>
        <w:t xml:space="preserve"> והילכך מעיד לו עליה</w:t>
      </w:r>
      <w:r>
        <w:rPr>
          <w:rFonts w:cs="Arial" w:hint="cs"/>
          <w:rtl/>
        </w:rPr>
        <w:t>,</w:t>
      </w:r>
      <w:r>
        <w:rPr>
          <w:rFonts w:cs="Arial"/>
          <w:rtl/>
        </w:rPr>
        <w:t xml:space="preserve"> וזהו שכתב רבינו אבל אם אין המערער טוען אלא על חלק השותף וכו'</w:t>
      </w:r>
      <w:r>
        <w:rPr>
          <w:rFonts w:hint="cs"/>
          <w:rtl/>
        </w:rPr>
        <w:t>.</w:t>
      </w:r>
    </w:p>
  </w:footnote>
  <w:footnote w:id="2662">
    <w:p w14:paraId="321954FD" w14:textId="77777777" w:rsidR="0013116F" w:rsidRDefault="0013116F" w:rsidP="004B607F">
      <w:pPr>
        <w:pStyle w:val="a9"/>
      </w:pPr>
      <w:r>
        <w:rPr>
          <w:rStyle w:val="ab"/>
        </w:rPr>
        <w:footnoteRef/>
      </w:r>
      <w:r>
        <w:rPr>
          <w:rtl/>
        </w:rPr>
        <w:t xml:space="preserve"> </w:t>
      </w:r>
      <w:r w:rsidRPr="006432BA">
        <w:rPr>
          <w:rFonts w:cs="Arial"/>
          <w:rtl/>
        </w:rPr>
        <w:t xml:space="preserve">בעיר שושן [סעיף א'] כתב בזה ז"ל, ולא משום דחשדינן ליה, אלא משום דאדם קרוב אצל עצמו, עכ"ל. ולא ידעתי מנין לו הא. ופשוט הוא בעיני דהטעם הוא משום דחשדינן ליה בדבר שיגיע לו הנאה ממנו, וכמ"ש הטור והמחבר בס"ס זה </w:t>
      </w:r>
      <w:r w:rsidRPr="006432BA">
        <w:rPr>
          <w:rFonts w:cs="Arial"/>
          <w:sz w:val="16"/>
          <w:szCs w:val="16"/>
          <w:rtl/>
        </w:rPr>
        <w:t>[טור סע</w:t>
      </w:r>
      <w:r w:rsidRPr="006432BA">
        <w:rPr>
          <w:rFonts w:cs="Arial" w:hint="cs"/>
          <w:sz w:val="16"/>
          <w:szCs w:val="16"/>
          <w:rtl/>
        </w:rPr>
        <w:t>'</w:t>
      </w:r>
      <w:r w:rsidRPr="006432BA">
        <w:rPr>
          <w:rFonts w:cs="Arial"/>
          <w:sz w:val="16"/>
          <w:szCs w:val="16"/>
          <w:rtl/>
        </w:rPr>
        <w:t xml:space="preserve"> טו ומחבר סע</w:t>
      </w:r>
      <w:r w:rsidRPr="006432BA">
        <w:rPr>
          <w:rFonts w:cs="Arial" w:hint="cs"/>
          <w:sz w:val="16"/>
          <w:szCs w:val="16"/>
          <w:rtl/>
        </w:rPr>
        <w:t>'</w:t>
      </w:r>
      <w:r w:rsidRPr="006432BA">
        <w:rPr>
          <w:rFonts w:cs="Arial"/>
          <w:sz w:val="16"/>
          <w:szCs w:val="16"/>
          <w:rtl/>
        </w:rPr>
        <w:t xml:space="preserve"> כא]</w:t>
      </w:r>
      <w:r>
        <w:rPr>
          <w:rFonts w:cs="Arial" w:hint="cs"/>
          <w:rtl/>
        </w:rPr>
        <w:t>...</w:t>
      </w:r>
      <w:r w:rsidRPr="006432BA">
        <w:rPr>
          <w:rFonts w:cs="Arial"/>
          <w:rtl/>
        </w:rPr>
        <w:t xml:space="preserve"> ולא אמרו דאדם קרוב אצל עצמו אלא היכא דבעדותו משים עצמו רשע, ולא בדבר של הנאת ממון, </w:t>
      </w:r>
      <w:r>
        <w:rPr>
          <w:rFonts w:cs="Arial" w:hint="cs"/>
          <w:rtl/>
        </w:rPr>
        <w:t>סמ"ע (סק"א).</w:t>
      </w:r>
    </w:p>
  </w:footnote>
  <w:footnote w:id="2663">
    <w:p w14:paraId="10DE4415" w14:textId="77777777" w:rsidR="0013116F" w:rsidRDefault="0013116F" w:rsidP="004B607F">
      <w:pPr>
        <w:pStyle w:val="a9"/>
      </w:pPr>
      <w:r>
        <w:rPr>
          <w:rStyle w:val="ab"/>
        </w:rPr>
        <w:footnoteRef/>
      </w:r>
      <w:r>
        <w:rPr>
          <w:rtl/>
        </w:rPr>
        <w:t xml:space="preserve"> </w:t>
      </w:r>
      <w:r w:rsidRPr="006432BA">
        <w:rPr>
          <w:rFonts w:cs="Arial"/>
          <w:rtl/>
        </w:rPr>
        <w:t>משמע דבא להוציא כל השדה בתביעה זו שתבע לאחד מהן, לומר שאותה שדה שקנה עם חבירו גזולה היא ממנו. וכן הדין בכל דבר שאינו מחוסר גוביינא, כמ"ש הטור בסימן קע"ו סעיף ל"א</w:t>
      </w:r>
      <w:r>
        <w:rPr>
          <w:rFonts w:cs="Arial" w:hint="cs"/>
          <w:rtl/>
        </w:rPr>
        <w:t>, סמ"ע (סק"ג).</w:t>
      </w:r>
    </w:p>
  </w:footnote>
  <w:footnote w:id="2664">
    <w:p w14:paraId="39E688C2" w14:textId="77777777" w:rsidR="0013116F" w:rsidRDefault="0013116F" w:rsidP="004B607F">
      <w:pPr>
        <w:pStyle w:val="a9"/>
      </w:pPr>
      <w:r>
        <w:rPr>
          <w:rStyle w:val="ab"/>
        </w:rPr>
        <w:footnoteRef/>
      </w:r>
      <w:r>
        <w:rPr>
          <w:rtl/>
        </w:rPr>
        <w:t xml:space="preserve"> </w:t>
      </w:r>
      <w:r w:rsidRPr="006432BA">
        <w:rPr>
          <w:rFonts w:cs="Arial"/>
          <w:rtl/>
        </w:rPr>
        <w:t>וה"ה אם מביא שטר חתום בעדים שאותו שמכרה לו הוא חייב לו ובא לגבות מידו בשטרו, וזה בא לפסול עדי השטר</w:t>
      </w:r>
      <w:r>
        <w:rPr>
          <w:rFonts w:cs="Arial" w:hint="cs"/>
          <w:rtl/>
        </w:rPr>
        <w:t>, סמ"ע</w:t>
      </w:r>
      <w:r w:rsidRPr="006432BA">
        <w:rPr>
          <w:rFonts w:cs="Arial" w:hint="cs"/>
          <w:sz w:val="16"/>
          <w:szCs w:val="16"/>
          <w:rtl/>
        </w:rPr>
        <w:t xml:space="preserve"> (סק"ד)</w:t>
      </w:r>
      <w:r>
        <w:rPr>
          <w:rFonts w:cs="Arial" w:hint="cs"/>
          <w:rtl/>
        </w:rPr>
        <w:t>.</w:t>
      </w:r>
    </w:p>
  </w:footnote>
  <w:footnote w:id="2665">
    <w:p w14:paraId="5C195DFB" w14:textId="77777777" w:rsidR="0013116F" w:rsidRDefault="0013116F" w:rsidP="004B607F">
      <w:pPr>
        <w:pStyle w:val="a9"/>
        <w:rPr>
          <w:rtl/>
        </w:rPr>
      </w:pPr>
      <w:r>
        <w:rPr>
          <w:rStyle w:val="ab"/>
        </w:rPr>
        <w:footnoteRef/>
      </w:r>
      <w:r>
        <w:rPr>
          <w:rtl/>
        </w:rPr>
        <w:t xml:space="preserve"> </w:t>
      </w:r>
      <w:r w:rsidRPr="006432BA">
        <w:rPr>
          <w:rFonts w:cs="Arial"/>
          <w:rtl/>
        </w:rPr>
        <w:t>הטעם, דמה שישאר ביד שותפו יהיה גם לו חלק בו כל זמן שלא חלק עמו לפני זה לגמרי. אבל אם חלק עמו לפני זה לגמרי, מעיד לו [וכ"כ רשב"ם בפרק חזקת [ב"ב מג</w:t>
      </w:r>
      <w:r>
        <w:rPr>
          <w:rFonts w:cs="Arial" w:hint="cs"/>
          <w:rtl/>
        </w:rPr>
        <w:t>.</w:t>
      </w:r>
      <w:r w:rsidRPr="006432BA">
        <w:rPr>
          <w:rFonts w:cs="Arial"/>
          <w:rtl/>
        </w:rPr>
        <w:t xml:space="preserve"> ד"ה נוגעין]], דאז אינו יכול לחזור ולומר חלוקתינו בטעות היתה מאחר שיצא חלקי מתחת ידי בתורת גזילה, וכדאמרינן בסימן</w:t>
      </w:r>
      <w:r>
        <w:rPr>
          <w:rFonts w:cs="Arial" w:hint="cs"/>
          <w:rtl/>
        </w:rPr>
        <w:t xml:space="preserve"> </w:t>
      </w:r>
      <w:r w:rsidRPr="006432BA">
        <w:rPr>
          <w:rFonts w:cs="Arial"/>
          <w:rtl/>
        </w:rPr>
        <w:t>קע"ה סעיף ג' באחין שחלקו ובא להן אח שלישי ממדינת הים, ודומה לזה הוא ג"כ לקמן בסימן קע"ו [סעיף י"ב] וקע"ז [סעיף א'], דשאני הכא כיון דהוא עצמו פוסל עדי המערער, אלא שאינו נאמן לגבי חלק שלו, אמרינן ליה דמזל דידך גרם לך שנסתחפה שדך</w:t>
      </w:r>
      <w:r>
        <w:rPr>
          <w:rFonts w:hint="cs"/>
          <w:rtl/>
        </w:rPr>
        <w:t>, סמ"ע (סק"ה).</w:t>
      </w:r>
    </w:p>
  </w:footnote>
  <w:footnote w:id="2666">
    <w:p w14:paraId="5437486A" w14:textId="77777777" w:rsidR="0013116F" w:rsidRDefault="0013116F" w:rsidP="004B607F">
      <w:pPr>
        <w:pStyle w:val="a9"/>
      </w:pPr>
      <w:r>
        <w:rPr>
          <w:rStyle w:val="ab"/>
        </w:rPr>
        <w:footnoteRef/>
      </w:r>
      <w:r>
        <w:rPr>
          <w:rtl/>
        </w:rPr>
        <w:t xml:space="preserve"> </w:t>
      </w:r>
      <w:r w:rsidRPr="00831306">
        <w:rPr>
          <w:rFonts w:cs="Arial"/>
          <w:rtl/>
        </w:rPr>
        <w:t>בגמ' [ב"ב שם] קאמר דסילק עצמו וכתב לשותפו דין ודברים אין לי בחלקך וקנו מידו על זה. אבל רוב הפוסקים ס"ל דהגמרא לאו דוקא קאמר, דלא סגי בהכי, דאכתי איכא למימר מדין ודברים סילק נפשו ולא מגוף השדה, ובעי שיפרשו לו בהקנין שסילק נפשו מגוף חלק שדהו שיש לו בשותפות. וכן משמע לשון הטור [סעיף א'] שכתב, אא"כ סילק וקנו מידו שלא נשאר לו שום זכות בו, וכן מוכח בד"מ [שם], ע"ש. וכאן קיצרו המחבר ומור"ם ז"ל</w:t>
      </w:r>
      <w:r>
        <w:rPr>
          <w:rFonts w:cs="Arial" w:hint="cs"/>
          <w:rtl/>
        </w:rPr>
        <w:t>, סמ"ע (סק"ז).</w:t>
      </w:r>
    </w:p>
  </w:footnote>
  <w:footnote w:id="2667">
    <w:p w14:paraId="67E1E95D" w14:textId="77777777" w:rsidR="0013116F" w:rsidRDefault="0013116F" w:rsidP="004B607F">
      <w:pPr>
        <w:pStyle w:val="a9"/>
        <w:rPr>
          <w:rtl/>
        </w:rPr>
      </w:pPr>
      <w:r>
        <w:rPr>
          <w:rStyle w:val="ab"/>
        </w:rPr>
        <w:footnoteRef/>
      </w:r>
      <w:r>
        <w:rPr>
          <w:rtl/>
        </w:rPr>
        <w:t xml:space="preserve"> </w:t>
      </w:r>
      <w:r w:rsidRPr="00831306">
        <w:rPr>
          <w:rFonts w:cs="Arial"/>
          <w:rtl/>
        </w:rPr>
        <w:t>ולא חיישינן לקנוניא היכא דאין ריעותא לפנינו, כההיא דשטר חוב שנפל דלא יחזירנו אפילו אמר הלוה להחזירו, כמ"ש הטור והמחבר לקמן ריש סימן ס"ה [טור סעיף ח' ומחבר סעיף ו'] ע"ש, דשם איכא ריעותא דנפילה</w:t>
      </w:r>
      <w:r>
        <w:rPr>
          <w:rFonts w:hint="cs"/>
          <w:rtl/>
        </w:rPr>
        <w:t>, סמ"ע (סק"ח). אך הש"ך (סק"ג)</w:t>
      </w:r>
      <w:r w:rsidRPr="00E124D9">
        <w:rPr>
          <w:rtl/>
        </w:rPr>
        <w:t xml:space="preserve"> </w:t>
      </w:r>
      <w:r>
        <w:rPr>
          <w:rFonts w:cs="Arial" w:hint="cs"/>
          <w:rtl/>
        </w:rPr>
        <w:t>כתב ל</w:t>
      </w:r>
      <w:r w:rsidRPr="00E124D9">
        <w:rPr>
          <w:rFonts w:cs="Arial"/>
          <w:rtl/>
        </w:rPr>
        <w:t xml:space="preserve">עיין לקמן סעיף י"ח סקל"ב </w:t>
      </w:r>
      <w:r>
        <w:rPr>
          <w:rFonts w:cs="Arial" w:hint="cs"/>
          <w:rtl/>
        </w:rPr>
        <w:t xml:space="preserve">דשם </w:t>
      </w:r>
      <w:r w:rsidRPr="00E124D9">
        <w:rPr>
          <w:rFonts w:cs="Arial"/>
          <w:rtl/>
        </w:rPr>
        <w:t>כתב דליש פוסקים לא מהני סילוק אא"כ שסילק עצמו קודם שראה העדות, משום דבעינן תחילתו וסופו בכשרות</w:t>
      </w:r>
      <w:r>
        <w:rPr>
          <w:rFonts w:cs="Arial" w:hint="cs"/>
          <w:rtl/>
        </w:rPr>
        <w:t xml:space="preserve"> </w:t>
      </w:r>
      <w:r>
        <w:rPr>
          <w:rFonts w:hint="cs"/>
          <w:sz w:val="16"/>
          <w:szCs w:val="16"/>
          <w:rtl/>
        </w:rPr>
        <w:t>{</w:t>
      </w:r>
      <w:r w:rsidRPr="00E124D9">
        <w:rPr>
          <w:rFonts w:hint="cs"/>
          <w:sz w:val="16"/>
          <w:szCs w:val="16"/>
          <w:rtl/>
        </w:rPr>
        <w:t>ועיין שם בסוף דבריו שכתב שיכול לומר קים לי</w:t>
      </w:r>
      <w:r>
        <w:rPr>
          <w:rFonts w:hint="cs"/>
          <w:sz w:val="16"/>
          <w:szCs w:val="16"/>
          <w:rtl/>
        </w:rPr>
        <w:t>, לפיכך אולי גם כאן הביא דבריהם למימר שיכול לומר קים לי</w:t>
      </w:r>
      <w:r w:rsidRPr="00E124D9">
        <w:rPr>
          <w:rFonts w:hint="cs"/>
          <w:sz w:val="16"/>
          <w:szCs w:val="16"/>
          <w:rtl/>
        </w:rPr>
        <w:t>}</w:t>
      </w:r>
      <w:r>
        <w:rPr>
          <w:rFonts w:hint="cs"/>
          <w:rtl/>
        </w:rPr>
        <w:t>.</w:t>
      </w:r>
    </w:p>
  </w:footnote>
  <w:footnote w:id="2668">
    <w:p w14:paraId="60C29356" w14:textId="77777777" w:rsidR="0013116F" w:rsidRDefault="0013116F" w:rsidP="004B607F">
      <w:pPr>
        <w:pStyle w:val="a9"/>
      </w:pPr>
      <w:r>
        <w:rPr>
          <w:rStyle w:val="ab"/>
        </w:rPr>
        <w:footnoteRef/>
      </w:r>
      <w:r>
        <w:rPr>
          <w:rtl/>
        </w:rPr>
        <w:t xml:space="preserve"> </w:t>
      </w:r>
      <w:r w:rsidRPr="00831306">
        <w:rPr>
          <w:rFonts w:cs="Arial"/>
          <w:rtl/>
        </w:rPr>
        <w:t>דאל</w:t>
      </w:r>
      <w:r>
        <w:rPr>
          <w:rFonts w:cs="Arial" w:hint="cs"/>
          <w:rtl/>
        </w:rPr>
        <w:t>"</w:t>
      </w:r>
      <w:r w:rsidRPr="00831306">
        <w:rPr>
          <w:rFonts w:cs="Arial"/>
          <w:rtl/>
        </w:rPr>
        <w:t>כ פשיטא דנחשב לנוגע בעדות זה, דהא אם לא יפסול עדי המערער הללו יצטרך לשלם לזה השותף כיון שקיבל עליו אחריות נגדו. ועיין פרישה [סעיף ג'] שם כתבתי דאין צריך להתנות תנאי זה אלא היכא שקיבל עליו אחריות סתם, אבל אם בשעת סילוק לא קיבל עליו אחריות סתם,אלא אמר אם יבוא בע"ח לטרוף מידך אשלם לך, איכא למימר דוקא זה קיבל עליו דבעל חוב בא מצידו, ומהיכא תיתי לומר שיתחייב לו באחריות דשאר ערעורים דאינם באים מצידו. ועוד כתבתי בפרישה [שם] דאפילו אינו מתנה אלא שלא ישלם לו אחריות דמערער זה, ג"כ מעיד לו, ע"ש</w:t>
      </w:r>
      <w:r>
        <w:rPr>
          <w:rFonts w:cs="Arial" w:hint="cs"/>
          <w:rtl/>
        </w:rPr>
        <w:t>, סמ"ע (סק"י).</w:t>
      </w:r>
    </w:p>
  </w:footnote>
  <w:footnote w:id="2669">
    <w:p w14:paraId="239B426E" w14:textId="77777777" w:rsidR="0013116F" w:rsidRDefault="0013116F" w:rsidP="004B607F">
      <w:pPr>
        <w:pStyle w:val="a9"/>
      </w:pPr>
      <w:r>
        <w:rPr>
          <w:rStyle w:val="ab"/>
        </w:rPr>
        <w:footnoteRef/>
      </w:r>
      <w:r>
        <w:rPr>
          <w:rtl/>
        </w:rPr>
        <w:t xml:space="preserve"> </w:t>
      </w:r>
      <w:r>
        <w:rPr>
          <w:rFonts w:hint="cs"/>
          <w:rtl/>
        </w:rPr>
        <w:t xml:space="preserve">סימן </w:t>
      </w:r>
      <w:r>
        <w:rPr>
          <w:rtl/>
        </w:rPr>
        <w:t>–</w:t>
      </w:r>
      <w:r>
        <w:rPr>
          <w:rFonts w:hint="cs"/>
          <w:rtl/>
        </w:rPr>
        <w:t xml:space="preserve"> </w:t>
      </w:r>
      <w:r w:rsidRPr="007C4133">
        <w:rPr>
          <w:rFonts w:hint="cs"/>
          <w:b/>
          <w:bCs/>
          <w:rtl/>
        </w:rPr>
        <w:t>מ</w:t>
      </w:r>
      <w:r>
        <w:rPr>
          <w:rFonts w:hint="cs"/>
          <w:rtl/>
        </w:rPr>
        <w:t xml:space="preserve">עיד </w:t>
      </w:r>
      <w:r w:rsidRPr="007C4133">
        <w:rPr>
          <w:rFonts w:hint="cs"/>
          <w:b/>
          <w:bCs/>
          <w:rtl/>
        </w:rPr>
        <w:t>ו</w:t>
      </w:r>
      <w:r>
        <w:rPr>
          <w:rFonts w:hint="cs"/>
          <w:rtl/>
        </w:rPr>
        <w:t>ליד</w:t>
      </w:r>
      <w:r>
        <w:rPr>
          <w:rFonts w:hint="cs"/>
          <w:sz w:val="16"/>
          <w:szCs w:val="16"/>
          <w:rtl/>
        </w:rPr>
        <w:t xml:space="preserve"> {שם של פועל}</w:t>
      </w:r>
      <w:r>
        <w:rPr>
          <w:rFonts w:hint="cs"/>
          <w:rtl/>
        </w:rPr>
        <w:t xml:space="preserve">. וכן </w:t>
      </w:r>
      <w:r>
        <w:rPr>
          <w:rtl/>
        </w:rPr>
        <w:t>–</w:t>
      </w:r>
      <w:r>
        <w:rPr>
          <w:rFonts w:hint="cs"/>
          <w:rtl/>
        </w:rPr>
        <w:t xml:space="preserve"> </w:t>
      </w:r>
      <w:r w:rsidRPr="007C4133">
        <w:rPr>
          <w:rFonts w:hint="cs"/>
          <w:b/>
          <w:bCs/>
          <w:rtl/>
        </w:rPr>
        <w:t>מו</w:t>
      </w:r>
      <w:r>
        <w:rPr>
          <w:rFonts w:hint="cs"/>
          <w:rtl/>
        </w:rPr>
        <w:t>עסק.</w:t>
      </w:r>
    </w:p>
  </w:footnote>
  <w:footnote w:id="2670">
    <w:p w14:paraId="165036ED" w14:textId="77777777" w:rsidR="0013116F" w:rsidRDefault="0013116F" w:rsidP="004B607F">
      <w:pPr>
        <w:pStyle w:val="a9"/>
      </w:pPr>
      <w:r>
        <w:rPr>
          <w:rStyle w:val="ab"/>
        </w:rPr>
        <w:footnoteRef/>
      </w:r>
      <w:r>
        <w:rPr>
          <w:rtl/>
        </w:rPr>
        <w:t xml:space="preserve"> </w:t>
      </w:r>
      <w:r w:rsidRPr="00B17F09">
        <w:rPr>
          <w:rFonts w:cs="Arial"/>
          <w:rtl/>
        </w:rPr>
        <w:t>שהורידהו ראובן ובא שמעון לערער עליו מי מצי אריס להעיד לו לראובן להעמיד בידו מי הוי נוגע בעדות משום דנהנה מן פירות השדה או לא</w:t>
      </w:r>
      <w:r>
        <w:rPr>
          <w:rFonts w:cs="Arial" w:hint="cs"/>
          <w:rtl/>
        </w:rPr>
        <w:t>, רשב"ם</w:t>
      </w:r>
      <w:r w:rsidRPr="00B17F09">
        <w:rPr>
          <w:rFonts w:cs="Arial"/>
          <w:rtl/>
        </w:rPr>
        <w:t>.</w:t>
      </w:r>
    </w:p>
  </w:footnote>
  <w:footnote w:id="2671">
    <w:p w14:paraId="1E57E815" w14:textId="77777777" w:rsidR="0013116F" w:rsidRDefault="0013116F" w:rsidP="004B607F">
      <w:pPr>
        <w:pStyle w:val="a9"/>
      </w:pPr>
      <w:r>
        <w:rPr>
          <w:rStyle w:val="ab"/>
        </w:rPr>
        <w:footnoteRef/>
      </w:r>
      <w:r>
        <w:rPr>
          <w:rtl/>
        </w:rPr>
        <w:t xml:space="preserve"> </w:t>
      </w:r>
      <w:r w:rsidRPr="00B17F09">
        <w:rPr>
          <w:rFonts w:cs="Arial"/>
          <w:rtl/>
        </w:rPr>
        <w:t>שעדיין לא נטל האריס חלקו אינו מעיד דניחא ליה דתיקו ביד ראובן דאי שקיל ליה שמעון יטול גם הפירות כדין נגזל</w:t>
      </w:r>
      <w:r>
        <w:rPr>
          <w:rFonts w:cs="Arial" w:hint="cs"/>
          <w:rtl/>
        </w:rPr>
        <w:t>, רשב"ם</w:t>
      </w:r>
      <w:r w:rsidRPr="00B17F09">
        <w:rPr>
          <w:rFonts w:cs="Arial"/>
          <w:rtl/>
        </w:rPr>
        <w:t>.</w:t>
      </w:r>
    </w:p>
  </w:footnote>
  <w:footnote w:id="2672">
    <w:p w14:paraId="2D6F3A22" w14:textId="77777777" w:rsidR="0013116F" w:rsidRDefault="0013116F" w:rsidP="004B607F">
      <w:pPr>
        <w:pStyle w:val="a9"/>
      </w:pPr>
      <w:r>
        <w:rPr>
          <w:rStyle w:val="ab"/>
        </w:rPr>
        <w:footnoteRef/>
      </w:r>
      <w:r>
        <w:rPr>
          <w:rtl/>
        </w:rPr>
        <w:t xml:space="preserve"> </w:t>
      </w:r>
      <w:r w:rsidRPr="00B17F09">
        <w:rPr>
          <w:rFonts w:cs="Arial"/>
          <w:rtl/>
        </w:rPr>
        <w:t>וגם לא טרח בה האריס כלום בשנה זו מצי להעיד דלא מרויח מידי בהאי עדות</w:t>
      </w:r>
      <w:r>
        <w:rPr>
          <w:rFonts w:cs="Arial" w:hint="cs"/>
          <w:rtl/>
        </w:rPr>
        <w:t>,</w:t>
      </w:r>
      <w:r w:rsidRPr="00B17F09">
        <w:rPr>
          <w:rFonts w:cs="Arial"/>
          <w:rtl/>
        </w:rPr>
        <w:t xml:space="preserve"> ואם משום שאם נשאר הקרקע ביד ראובן היה מורידו באריסות הרבה</w:t>
      </w:r>
      <w:r>
        <w:rPr>
          <w:rFonts w:cs="Arial" w:hint="cs"/>
          <w:rtl/>
        </w:rPr>
        <w:t>,</w:t>
      </w:r>
      <w:r w:rsidRPr="00B17F09">
        <w:rPr>
          <w:rFonts w:cs="Arial"/>
          <w:rtl/>
        </w:rPr>
        <w:t xml:space="preserve"> ימצא שדה באריסות</w:t>
      </w:r>
      <w:r>
        <w:rPr>
          <w:rFonts w:cs="Arial" w:hint="cs"/>
          <w:rtl/>
        </w:rPr>
        <w:t>,</w:t>
      </w:r>
      <w:r w:rsidRPr="00B17F09">
        <w:rPr>
          <w:rFonts w:cs="Arial"/>
          <w:rtl/>
        </w:rPr>
        <w:t xml:space="preserve"> וגם מי יודע אם יעשנו אריס שלו אם ירצה יעשה ואם ירצה יחדל</w:t>
      </w:r>
      <w:r>
        <w:rPr>
          <w:rFonts w:cs="Arial" w:hint="cs"/>
          <w:rtl/>
        </w:rPr>
        <w:t>, רשב"ם</w:t>
      </w:r>
      <w:r w:rsidRPr="00B17F09">
        <w:rPr>
          <w:rFonts w:cs="Arial"/>
          <w:rtl/>
        </w:rPr>
        <w:t>.</w:t>
      </w:r>
    </w:p>
  </w:footnote>
  <w:footnote w:id="2673">
    <w:p w14:paraId="1F15EF4A" w14:textId="77777777" w:rsidR="0013116F" w:rsidRDefault="0013116F" w:rsidP="004B607F">
      <w:pPr>
        <w:pStyle w:val="a9"/>
      </w:pPr>
      <w:r>
        <w:rPr>
          <w:rStyle w:val="ab"/>
        </w:rPr>
        <w:footnoteRef/>
      </w:r>
      <w:r>
        <w:rPr>
          <w:rtl/>
        </w:rPr>
        <w:t xml:space="preserve"> </w:t>
      </w:r>
      <w:r>
        <w:rPr>
          <w:rFonts w:cs="Arial"/>
          <w:rtl/>
        </w:rPr>
        <w:t>וכתבו התוס</w:t>
      </w:r>
      <w:r>
        <w:rPr>
          <w:rFonts w:cs="Arial" w:hint="cs"/>
          <w:rtl/>
        </w:rPr>
        <w:t>'</w:t>
      </w:r>
      <w:r w:rsidRPr="00E7304A">
        <w:rPr>
          <w:rFonts w:cs="Arial"/>
          <w:sz w:val="16"/>
          <w:szCs w:val="16"/>
          <w:rtl/>
        </w:rPr>
        <w:t xml:space="preserve"> (ד"ה הא)</w:t>
      </w:r>
      <w:r>
        <w:rPr>
          <w:rFonts w:cs="Arial"/>
          <w:rtl/>
        </w:rPr>
        <w:t xml:space="preserve"> הא דאית ליה פירא בארעא לא יעיד דנוגע בעדות הוא לפי שהיה נותן לו למחצה לשליש ולרביע ואם יזכה המערער הרי שלא ברשותו ירד וידו על התחתונה אבל לית ליה פירא בארעא לא חייש אם יסלקוהו דכמה שדות ימצא באריסות</w:t>
      </w:r>
      <w:r>
        <w:rPr>
          <w:rFonts w:cs="Arial" w:hint="cs"/>
          <w:rtl/>
        </w:rPr>
        <w:t>.</w:t>
      </w:r>
    </w:p>
  </w:footnote>
  <w:footnote w:id="2674">
    <w:p w14:paraId="2789A18E" w14:textId="77777777" w:rsidR="0013116F" w:rsidRDefault="0013116F" w:rsidP="004B607F">
      <w:pPr>
        <w:pStyle w:val="a9"/>
      </w:pPr>
      <w:r>
        <w:rPr>
          <w:rStyle w:val="ab"/>
        </w:rPr>
        <w:footnoteRef/>
      </w:r>
      <w:r>
        <w:rPr>
          <w:rtl/>
        </w:rPr>
        <w:t xml:space="preserve"> </w:t>
      </w:r>
      <w:r w:rsidRPr="000C7184">
        <w:rPr>
          <w:rFonts w:cs="Arial"/>
          <w:rtl/>
        </w:rPr>
        <w:t>דאם טרח</w:t>
      </w:r>
      <w:r>
        <w:rPr>
          <w:rFonts w:cs="Arial" w:hint="cs"/>
          <w:rtl/>
        </w:rPr>
        <w:t xml:space="preserve"> </w:t>
      </w:r>
      <w:r w:rsidRPr="000C7184">
        <w:rPr>
          <w:rFonts w:cs="Arial" w:hint="cs"/>
          <w:rtl/>
        </w:rPr>
        <w:t xml:space="preserve">- </w:t>
      </w:r>
      <w:r w:rsidRPr="000C7184">
        <w:rPr>
          <w:rFonts w:cs="Arial"/>
          <w:rtl/>
        </w:rPr>
        <w:t>לא</w:t>
      </w:r>
      <w:r w:rsidRPr="000C7184">
        <w:rPr>
          <w:rFonts w:cs="Arial" w:hint="cs"/>
          <w:rtl/>
        </w:rPr>
        <w:t>,</w:t>
      </w:r>
      <w:r w:rsidRPr="000C7184">
        <w:rPr>
          <w:rFonts w:cs="Arial"/>
          <w:rtl/>
        </w:rPr>
        <w:t xml:space="preserve"> דניחא ליה דתיקום ביד בעלה</w:t>
      </w:r>
      <w:r w:rsidRPr="000C7184">
        <w:rPr>
          <w:rFonts w:cs="Arial" w:hint="cs"/>
          <w:rtl/>
        </w:rPr>
        <w:t>,</w:t>
      </w:r>
      <w:r w:rsidRPr="000C7184">
        <w:rPr>
          <w:rFonts w:cs="Arial"/>
          <w:rtl/>
        </w:rPr>
        <w:t xml:space="preserve"> שאם יזכה המערער יטול הוא שבח ופירי הכל ולא יתן לאריס כלום</w:t>
      </w:r>
      <w:r w:rsidRPr="000C7184">
        <w:rPr>
          <w:rFonts w:cs="Arial" w:hint="cs"/>
          <w:rtl/>
        </w:rPr>
        <w:t>, טור בשם רשב"ם</w:t>
      </w:r>
      <w:r>
        <w:rPr>
          <w:rFonts w:cs="Arial" w:hint="cs"/>
          <w:rtl/>
        </w:rPr>
        <w:t>.</w:t>
      </w:r>
    </w:p>
  </w:footnote>
  <w:footnote w:id="2675">
    <w:p w14:paraId="66079CD9" w14:textId="77777777" w:rsidR="0013116F" w:rsidRDefault="0013116F" w:rsidP="004B607F">
      <w:pPr>
        <w:pStyle w:val="a9"/>
      </w:pPr>
      <w:r>
        <w:rPr>
          <w:rStyle w:val="ab"/>
        </w:rPr>
        <w:footnoteRef/>
      </w:r>
      <w:r>
        <w:rPr>
          <w:rtl/>
        </w:rPr>
        <w:t xml:space="preserve"> </w:t>
      </w:r>
      <w:r>
        <w:rPr>
          <w:rFonts w:cs="Arial"/>
          <w:rtl/>
        </w:rPr>
        <w:t>ו</w:t>
      </w:r>
      <w:r>
        <w:rPr>
          <w:rFonts w:cs="Arial" w:hint="cs"/>
          <w:rtl/>
        </w:rPr>
        <w:t>כתב הב"י ד</w:t>
      </w:r>
      <w:r>
        <w:rPr>
          <w:rFonts w:cs="Arial"/>
          <w:rtl/>
        </w:rPr>
        <w:t xml:space="preserve">מ"ש </w:t>
      </w:r>
      <w:r>
        <w:rPr>
          <w:rFonts w:cs="Arial" w:hint="cs"/>
          <w:rtl/>
        </w:rPr>
        <w:t xml:space="preserve">הטור </w:t>
      </w:r>
      <w:r>
        <w:rPr>
          <w:rFonts w:cs="Arial"/>
          <w:rtl/>
        </w:rPr>
        <w:t>בשם ה"ר יונה ור"י והרמ"ה והרא"</w:t>
      </w:r>
      <w:r>
        <w:rPr>
          <w:rFonts w:cs="Arial" w:hint="cs"/>
          <w:rtl/>
        </w:rPr>
        <w:t>ש</w:t>
      </w:r>
      <w:r>
        <w:rPr>
          <w:rFonts w:cs="Arial"/>
          <w:rtl/>
        </w:rPr>
        <w:t xml:space="preserve"> צ"ע היכא איתיה</w:t>
      </w:r>
      <w:r>
        <w:rPr>
          <w:rFonts w:cs="Arial" w:hint="cs"/>
          <w:rtl/>
        </w:rPr>
        <w:t>.</w:t>
      </w:r>
    </w:p>
  </w:footnote>
  <w:footnote w:id="2676">
    <w:p w14:paraId="4D192FFC" w14:textId="77777777" w:rsidR="0013116F" w:rsidRPr="002009F8" w:rsidRDefault="0013116F" w:rsidP="004B607F">
      <w:pPr>
        <w:pStyle w:val="a9"/>
        <w:rPr>
          <w:rtl/>
        </w:rPr>
      </w:pPr>
      <w:r>
        <w:rPr>
          <w:rStyle w:val="ab"/>
        </w:rPr>
        <w:footnoteRef/>
      </w:r>
      <w:r>
        <w:rPr>
          <w:rtl/>
        </w:rPr>
        <w:t xml:space="preserve"> </w:t>
      </w:r>
      <w:r w:rsidRPr="00E7304A">
        <w:rPr>
          <w:rFonts w:cs="Arial"/>
          <w:rtl/>
        </w:rPr>
        <w:t>עיין בטור כמה פירושים בזה</w:t>
      </w:r>
      <w:r>
        <w:rPr>
          <w:rFonts w:cs="Arial" w:hint="cs"/>
          <w:rtl/>
        </w:rPr>
        <w:t xml:space="preserve">, ש"ך (סק"ה). </w:t>
      </w:r>
      <w:r>
        <w:rPr>
          <w:rFonts w:hint="cs"/>
          <w:rtl/>
        </w:rPr>
        <w:t>היינו, דכל שיש לאריס צד הנאה בו לא יעיד, כל אחד לשיטתו, בין אם ההנאה היא מצד שמקבל יותר משאר אריסי העיר</w:t>
      </w:r>
      <w:r>
        <w:rPr>
          <w:rFonts w:hint="cs"/>
          <w:sz w:val="16"/>
          <w:szCs w:val="16"/>
          <w:rtl/>
        </w:rPr>
        <w:t xml:space="preserve"> {ר"י}</w:t>
      </w:r>
      <w:r>
        <w:rPr>
          <w:rFonts w:hint="cs"/>
          <w:rtl/>
        </w:rPr>
        <w:t>, בין אם מצד זה שהוא אריס בית אבות</w:t>
      </w:r>
      <w:r>
        <w:rPr>
          <w:rFonts w:hint="cs"/>
          <w:sz w:val="16"/>
          <w:szCs w:val="16"/>
          <w:rtl/>
        </w:rPr>
        <w:t xml:space="preserve"> {נמוק"י}</w:t>
      </w:r>
      <w:r>
        <w:rPr>
          <w:rFonts w:hint="cs"/>
          <w:rtl/>
        </w:rPr>
        <w:t>, בין אם מצד זה דאכל פירות בשנים קודמות</w:t>
      </w:r>
      <w:r>
        <w:rPr>
          <w:rFonts w:hint="cs"/>
          <w:sz w:val="16"/>
          <w:szCs w:val="16"/>
          <w:rtl/>
        </w:rPr>
        <w:t xml:space="preserve"> {ה"ר יונה}</w:t>
      </w:r>
      <w:r>
        <w:rPr>
          <w:rFonts w:hint="cs"/>
          <w:rtl/>
        </w:rPr>
        <w:t xml:space="preserve">. </w:t>
      </w:r>
    </w:p>
  </w:footnote>
  <w:footnote w:id="2677">
    <w:p w14:paraId="5A52B9C0" w14:textId="77777777" w:rsidR="0013116F" w:rsidRDefault="0013116F" w:rsidP="004B607F">
      <w:pPr>
        <w:pStyle w:val="a9"/>
      </w:pPr>
      <w:r>
        <w:rPr>
          <w:rStyle w:val="ab"/>
        </w:rPr>
        <w:footnoteRef/>
      </w:r>
      <w:r>
        <w:rPr>
          <w:rtl/>
        </w:rPr>
        <w:t xml:space="preserve"> </w:t>
      </w:r>
      <w:r w:rsidRPr="009E502B">
        <w:rPr>
          <w:rFonts w:cs="Arial"/>
          <w:rtl/>
        </w:rPr>
        <w:t>רבי משה די ברושליש, תלמיד הרא"ש, חיבר קיצור של תשובות נבחרות מאת רבו הרא"ש. ר' משה בא כנראה מברושליש שבבלגיה, כפי ששמו מרמז. ידוע עליו מעט מאד. מתשובה ר"ט שבשו"ת הריב"ש יוצא שהיה בן דורו של הריב"ש וישב בסיוויל, שם הוכר כחכם</w:t>
      </w:r>
      <w:r>
        <w:rPr>
          <w:rFonts w:cs="Arial" w:hint="cs"/>
          <w:rtl/>
        </w:rPr>
        <w:t>, ביוגרפיה (פרויקה"ש).</w:t>
      </w:r>
    </w:p>
  </w:footnote>
  <w:footnote w:id="2678">
    <w:p w14:paraId="32ACE779" w14:textId="77777777" w:rsidR="0013116F" w:rsidRDefault="0013116F" w:rsidP="004B607F">
      <w:pPr>
        <w:pStyle w:val="a9"/>
        <w:rPr>
          <w:rtl/>
        </w:rPr>
      </w:pPr>
      <w:r>
        <w:rPr>
          <w:rStyle w:val="ab"/>
        </w:rPr>
        <w:footnoteRef/>
      </w:r>
      <w:r>
        <w:rPr>
          <w:rtl/>
        </w:rPr>
        <w:t xml:space="preserve"> </w:t>
      </w:r>
      <w:r>
        <w:rPr>
          <w:rFonts w:hint="cs"/>
          <w:rtl/>
        </w:rPr>
        <w:t xml:space="preserve">סימן </w:t>
      </w:r>
      <w:r>
        <w:rPr>
          <w:rtl/>
        </w:rPr>
        <w:t>–</w:t>
      </w:r>
      <w:r>
        <w:rPr>
          <w:rFonts w:hint="cs"/>
          <w:rtl/>
        </w:rPr>
        <w:t xml:space="preserve"> הרחק כיעור.</w:t>
      </w:r>
    </w:p>
  </w:footnote>
  <w:footnote w:id="2679">
    <w:p w14:paraId="2E38D5F0" w14:textId="77777777" w:rsidR="0013116F" w:rsidRDefault="0013116F" w:rsidP="004B607F">
      <w:pPr>
        <w:pStyle w:val="a9"/>
        <w:rPr>
          <w:rtl/>
        </w:rPr>
      </w:pPr>
      <w:r>
        <w:rPr>
          <w:rStyle w:val="ab"/>
        </w:rPr>
        <w:footnoteRef/>
      </w:r>
      <w:r>
        <w:rPr>
          <w:rtl/>
        </w:rPr>
        <w:t xml:space="preserve"> </w:t>
      </w:r>
      <w:r w:rsidRPr="00390A15">
        <w:rPr>
          <w:rFonts w:cs="Arial"/>
          <w:rtl/>
        </w:rPr>
        <w:t>שנדרה הנאה מבעלה ולא הפר לה ובאתה לחכם להתיר לה ולא מצא פתח לחרטה</w:t>
      </w:r>
      <w:r>
        <w:rPr>
          <w:rFonts w:cs="Arial" w:hint="cs"/>
          <w:rtl/>
        </w:rPr>
        <w:t>, רש"י</w:t>
      </w:r>
      <w:r w:rsidRPr="00390A15">
        <w:rPr>
          <w:rFonts w:cs="Arial"/>
          <w:rtl/>
        </w:rPr>
        <w:t>.</w:t>
      </w:r>
    </w:p>
  </w:footnote>
  <w:footnote w:id="2680">
    <w:p w14:paraId="55742EE1" w14:textId="77777777" w:rsidR="0013116F" w:rsidRDefault="0013116F" w:rsidP="004B607F">
      <w:pPr>
        <w:pStyle w:val="a9"/>
        <w:rPr>
          <w:rtl/>
        </w:rPr>
      </w:pPr>
      <w:r>
        <w:rPr>
          <w:rStyle w:val="ab"/>
        </w:rPr>
        <w:footnoteRef/>
      </w:r>
      <w:r>
        <w:rPr>
          <w:rtl/>
        </w:rPr>
        <w:t xml:space="preserve"> </w:t>
      </w:r>
      <w:r w:rsidRPr="00390A15">
        <w:rPr>
          <w:rFonts w:cs="Arial"/>
          <w:rtl/>
        </w:rPr>
        <w:t>משום חשד</w:t>
      </w:r>
      <w:r>
        <w:rPr>
          <w:rFonts w:cs="Arial" w:hint="cs"/>
          <w:rtl/>
        </w:rPr>
        <w:t>, רש"י</w:t>
      </w:r>
      <w:r w:rsidRPr="00390A15">
        <w:rPr>
          <w:rFonts w:cs="Arial"/>
          <w:rtl/>
        </w:rPr>
        <w:t>.</w:t>
      </w:r>
    </w:p>
  </w:footnote>
  <w:footnote w:id="2681">
    <w:p w14:paraId="65374DA5" w14:textId="77777777" w:rsidR="0013116F" w:rsidRDefault="0013116F" w:rsidP="004B607F">
      <w:pPr>
        <w:pStyle w:val="a9"/>
        <w:rPr>
          <w:rtl/>
        </w:rPr>
      </w:pPr>
      <w:r>
        <w:rPr>
          <w:rStyle w:val="ab"/>
        </w:rPr>
        <w:footnoteRef/>
      </w:r>
      <w:r>
        <w:rPr>
          <w:rtl/>
        </w:rPr>
        <w:t xml:space="preserve"> </w:t>
      </w:r>
      <w:r w:rsidRPr="00390A15">
        <w:rPr>
          <w:rFonts w:cs="Arial"/>
          <w:rtl/>
        </w:rPr>
        <w:t>כלומר מיאון או חליצה לא עשה חכם זה ביחידי דקי"ל חליצה ומיאון בג' ותלתא לא חשידי</w:t>
      </w:r>
      <w:r>
        <w:rPr>
          <w:rFonts w:cs="Arial" w:hint="cs"/>
          <w:rtl/>
        </w:rPr>
        <w:t>, רש"י</w:t>
      </w:r>
      <w:r w:rsidRPr="00390A15">
        <w:rPr>
          <w:rFonts w:cs="Arial"/>
          <w:rtl/>
        </w:rPr>
        <w:t>.</w:t>
      </w:r>
    </w:p>
  </w:footnote>
  <w:footnote w:id="2682">
    <w:p w14:paraId="15AA9FF7" w14:textId="77777777" w:rsidR="0013116F" w:rsidRDefault="0013116F" w:rsidP="004B607F">
      <w:pPr>
        <w:pStyle w:val="a9"/>
      </w:pPr>
      <w:r>
        <w:rPr>
          <w:rStyle w:val="ab"/>
        </w:rPr>
        <w:footnoteRef/>
      </w:r>
      <w:r>
        <w:rPr>
          <w:rtl/>
        </w:rPr>
        <w:t xml:space="preserve"> </w:t>
      </w:r>
      <w:r w:rsidRPr="00390A15">
        <w:rPr>
          <w:rFonts w:cs="Arial"/>
          <w:rtl/>
        </w:rPr>
        <w:t>לומר לא יקחו שוב שדה זו מן הלוקח וכן העד של גט לא ישא את האשה</w:t>
      </w:r>
      <w:r>
        <w:rPr>
          <w:rFonts w:cs="Arial" w:hint="cs"/>
          <w:rtl/>
        </w:rPr>
        <w:t>, רש"י</w:t>
      </w:r>
      <w:r w:rsidRPr="00390A15">
        <w:rPr>
          <w:rFonts w:cs="Arial"/>
          <w:rtl/>
        </w:rPr>
        <w:t>.</w:t>
      </w:r>
    </w:p>
  </w:footnote>
  <w:footnote w:id="2683">
    <w:p w14:paraId="4DC78538" w14:textId="77777777" w:rsidR="0013116F" w:rsidRDefault="0013116F" w:rsidP="004B607F">
      <w:pPr>
        <w:pStyle w:val="a9"/>
        <w:rPr>
          <w:rtl/>
        </w:rPr>
      </w:pPr>
      <w:r>
        <w:rPr>
          <w:rStyle w:val="ab"/>
        </w:rPr>
        <w:footnoteRef/>
      </w:r>
      <w:r>
        <w:rPr>
          <w:rtl/>
        </w:rPr>
        <w:t xml:space="preserve"> </w:t>
      </w:r>
      <w:r w:rsidRPr="00E14E98">
        <w:rPr>
          <w:rFonts w:cs="Arial"/>
          <w:rtl/>
        </w:rPr>
        <w:t>כלומר ה"ה דתרי נמי לא חשידי והא דקתני שהוא ב"ד לאו משום לאפוקי מחשדא אלא לאשמועי' דאין מיאון בפחות מג' ולאפוקי ממאן דאמר בפ' ב</w:t>
      </w:r>
      <w:r>
        <w:rPr>
          <w:rFonts w:cs="Arial" w:hint="cs"/>
          <w:rtl/>
        </w:rPr>
        <w:t xml:space="preserve">ית </w:t>
      </w:r>
      <w:r w:rsidRPr="00E14E98">
        <w:rPr>
          <w:rFonts w:cs="Arial"/>
          <w:rtl/>
        </w:rPr>
        <w:t>ש</w:t>
      </w:r>
      <w:r>
        <w:rPr>
          <w:rFonts w:cs="Arial" w:hint="cs"/>
          <w:rtl/>
        </w:rPr>
        <w:t>מאי</w:t>
      </w:r>
      <w:r w:rsidRPr="00E14E98">
        <w:rPr>
          <w:rFonts w:cs="Arial"/>
          <w:rtl/>
        </w:rPr>
        <w:t xml:space="preserve"> (לקמן קז:) מיאון בשנים</w:t>
      </w:r>
      <w:r>
        <w:rPr>
          <w:rFonts w:hint="cs"/>
          <w:rtl/>
        </w:rPr>
        <w:t>, רש"י</w:t>
      </w:r>
    </w:p>
  </w:footnote>
  <w:footnote w:id="2684">
    <w:p w14:paraId="7A4EA1E9" w14:textId="77777777" w:rsidR="0013116F" w:rsidRDefault="0013116F" w:rsidP="004B607F">
      <w:pPr>
        <w:pStyle w:val="a9"/>
        <w:rPr>
          <w:rtl/>
        </w:rPr>
      </w:pPr>
      <w:r>
        <w:rPr>
          <w:rStyle w:val="ab"/>
        </w:rPr>
        <w:footnoteRef/>
      </w:r>
      <w:r>
        <w:rPr>
          <w:rtl/>
        </w:rPr>
        <w:t xml:space="preserve"> </w:t>
      </w:r>
      <w:r>
        <w:rPr>
          <w:rFonts w:hint="cs"/>
          <w:rtl/>
        </w:rPr>
        <w:t xml:space="preserve">סימן </w:t>
      </w:r>
      <w:r>
        <w:rPr>
          <w:rtl/>
        </w:rPr>
        <w:t>–</w:t>
      </w:r>
      <w:r>
        <w:rPr>
          <w:rFonts w:hint="cs"/>
          <w:rtl/>
        </w:rPr>
        <w:t xml:space="preserve"> מעיד ודורס. דן ומכניס.</w:t>
      </w:r>
    </w:p>
  </w:footnote>
  <w:footnote w:id="2685">
    <w:p w14:paraId="35A66F6A" w14:textId="77777777" w:rsidR="0013116F" w:rsidRDefault="0013116F" w:rsidP="004B607F">
      <w:pPr>
        <w:pStyle w:val="a9"/>
        <w:rPr>
          <w:rtl/>
        </w:rPr>
      </w:pPr>
      <w:r>
        <w:rPr>
          <w:rStyle w:val="ab"/>
        </w:rPr>
        <w:footnoteRef/>
      </w:r>
      <w:r>
        <w:rPr>
          <w:rtl/>
        </w:rPr>
        <w:t xml:space="preserve"> </w:t>
      </w:r>
      <w:r w:rsidRPr="000B1DE8">
        <w:rPr>
          <w:rFonts w:cs="Arial"/>
          <w:rtl/>
        </w:rPr>
        <w:t>דלא לימרו משום דשריא ניהליה מוזיל גביה ונראה כנוטל שכר על הוראתו</w:t>
      </w:r>
      <w:r>
        <w:rPr>
          <w:rFonts w:cs="Arial" w:hint="cs"/>
          <w:rtl/>
        </w:rPr>
        <w:t>, רש"י</w:t>
      </w:r>
      <w:r w:rsidRPr="000B1DE8">
        <w:rPr>
          <w:rFonts w:cs="Arial"/>
          <w:rtl/>
        </w:rPr>
        <w:t>.</w:t>
      </w:r>
    </w:p>
  </w:footnote>
  <w:footnote w:id="2686">
    <w:p w14:paraId="4D0D1471" w14:textId="77777777" w:rsidR="0013116F" w:rsidRDefault="0013116F" w:rsidP="004B607F">
      <w:pPr>
        <w:pStyle w:val="a9"/>
        <w:rPr>
          <w:rtl/>
        </w:rPr>
      </w:pPr>
      <w:r>
        <w:rPr>
          <w:rStyle w:val="ab"/>
        </w:rPr>
        <w:footnoteRef/>
      </w:r>
      <w:r>
        <w:rPr>
          <w:rtl/>
        </w:rPr>
        <w:t xml:space="preserve"> </w:t>
      </w:r>
      <w:r w:rsidRPr="000B1DE8">
        <w:rPr>
          <w:rFonts w:cs="Arial"/>
          <w:rtl/>
        </w:rPr>
        <w:t>על שדה או על טלית בין זה לזה</w:t>
      </w:r>
      <w:r>
        <w:rPr>
          <w:rFonts w:cs="Arial" w:hint="cs"/>
          <w:rtl/>
        </w:rPr>
        <w:t>, רש"י</w:t>
      </w:r>
      <w:r w:rsidRPr="000B1DE8">
        <w:rPr>
          <w:rFonts w:cs="Arial"/>
          <w:rtl/>
        </w:rPr>
        <w:t>.</w:t>
      </w:r>
    </w:p>
  </w:footnote>
  <w:footnote w:id="2687">
    <w:p w14:paraId="09D61237" w14:textId="77777777" w:rsidR="0013116F" w:rsidRDefault="0013116F" w:rsidP="004B607F">
      <w:pPr>
        <w:pStyle w:val="a9"/>
        <w:rPr>
          <w:rtl/>
        </w:rPr>
      </w:pPr>
      <w:r>
        <w:rPr>
          <w:rStyle w:val="ab"/>
        </w:rPr>
        <w:footnoteRef/>
      </w:r>
      <w:r>
        <w:rPr>
          <w:rtl/>
        </w:rPr>
        <w:t xml:space="preserve"> </w:t>
      </w:r>
      <w:r w:rsidRPr="000B1DE8">
        <w:rPr>
          <w:rFonts w:cs="Arial"/>
          <w:rtl/>
        </w:rPr>
        <w:t>על שדה או על טלית שהן של פלוני</w:t>
      </w:r>
      <w:r>
        <w:rPr>
          <w:rFonts w:cs="Arial" w:hint="cs"/>
          <w:rtl/>
        </w:rPr>
        <w:t>, רש"י</w:t>
      </w:r>
      <w:r w:rsidRPr="000B1DE8">
        <w:rPr>
          <w:rFonts w:cs="Arial"/>
          <w:rtl/>
        </w:rPr>
        <w:t>.</w:t>
      </w:r>
    </w:p>
  </w:footnote>
  <w:footnote w:id="2688">
    <w:p w14:paraId="74856F51" w14:textId="77777777" w:rsidR="0013116F" w:rsidRDefault="0013116F" w:rsidP="004B607F">
      <w:pPr>
        <w:pStyle w:val="a9"/>
        <w:rPr>
          <w:rtl/>
        </w:rPr>
      </w:pPr>
      <w:r>
        <w:rPr>
          <w:rStyle w:val="ab"/>
        </w:rPr>
        <w:footnoteRef/>
      </w:r>
      <w:r>
        <w:rPr>
          <w:rtl/>
        </w:rPr>
        <w:t xml:space="preserve"> </w:t>
      </w:r>
      <w:r w:rsidRPr="000B1DE8">
        <w:rPr>
          <w:rFonts w:cs="Arial"/>
          <w:rtl/>
        </w:rPr>
        <w:t>אותו חפץ</w:t>
      </w:r>
      <w:r>
        <w:rPr>
          <w:rFonts w:cs="Arial" w:hint="cs"/>
          <w:rtl/>
        </w:rPr>
        <w:t>, רש"י</w:t>
      </w:r>
      <w:r w:rsidRPr="000B1DE8">
        <w:rPr>
          <w:rFonts w:cs="Arial"/>
          <w:rtl/>
        </w:rPr>
        <w:t>.</w:t>
      </w:r>
    </w:p>
  </w:footnote>
  <w:footnote w:id="2689">
    <w:p w14:paraId="3E0C5E21" w14:textId="77777777" w:rsidR="0013116F" w:rsidRDefault="0013116F" w:rsidP="004B607F">
      <w:pPr>
        <w:pStyle w:val="a9"/>
        <w:rPr>
          <w:rtl/>
        </w:rPr>
      </w:pPr>
      <w:r>
        <w:rPr>
          <w:rStyle w:val="ab"/>
        </w:rPr>
        <w:footnoteRef/>
      </w:r>
      <w:r>
        <w:rPr>
          <w:rtl/>
        </w:rPr>
        <w:t xml:space="preserve"> </w:t>
      </w:r>
      <w:r w:rsidRPr="000B1DE8">
        <w:rPr>
          <w:rFonts w:cs="Arial"/>
          <w:rtl/>
        </w:rPr>
        <w:t>שלא יאמרו בשביל כך זיכהו לזה שיתננה לו בזול</w:t>
      </w:r>
      <w:r>
        <w:rPr>
          <w:rFonts w:cs="Arial" w:hint="cs"/>
          <w:rtl/>
        </w:rPr>
        <w:t>, רש"י</w:t>
      </w:r>
      <w:r w:rsidRPr="000B1DE8">
        <w:rPr>
          <w:rFonts w:cs="Arial"/>
          <w:rtl/>
        </w:rPr>
        <w:t>.</w:t>
      </w:r>
    </w:p>
  </w:footnote>
  <w:footnote w:id="2690">
    <w:p w14:paraId="7B83DA72" w14:textId="77777777" w:rsidR="0013116F" w:rsidRPr="007750F0" w:rsidRDefault="0013116F" w:rsidP="004B607F">
      <w:pPr>
        <w:pStyle w:val="a9"/>
      </w:pPr>
      <w:r>
        <w:rPr>
          <w:rStyle w:val="ab"/>
        </w:rPr>
        <w:footnoteRef/>
      </w:r>
      <w:r>
        <w:rPr>
          <w:rtl/>
        </w:rPr>
        <w:t xml:space="preserve"> </w:t>
      </w:r>
      <w:r w:rsidRPr="007750F0">
        <w:rPr>
          <w:rFonts w:cs="Arial"/>
          <w:rtl/>
        </w:rPr>
        <w:t>הני מילי שיש כיעור בדבר, אי הווי מידי דמזבין בשומא, שמעריכים אותו בשעת הקניה, ואין לו שער ידוע. דהתם איכא למיחש שיבואו לומר שהוזיל לו. אבל הכא, שקנה בשר במחיר שבו נמכר בשר, הרי מתקלא, ממשקל הבשר, מוכח שכך הוא מחירו, ולא הוזילו לו את המחיר. ותו ליכא לעז</w:t>
      </w:r>
      <w:r>
        <w:rPr>
          <w:rFonts w:cs="Arial" w:hint="cs"/>
          <w:rtl/>
        </w:rPr>
        <w:t xml:space="preserve"> </w:t>
      </w:r>
      <w:r>
        <w:rPr>
          <w:rFonts w:cs="Arial" w:hint="cs"/>
          <w:sz w:val="16"/>
          <w:szCs w:val="16"/>
          <w:rtl/>
        </w:rPr>
        <w:t>(חברותא)</w:t>
      </w:r>
      <w:r>
        <w:rPr>
          <w:rFonts w:cs="Arial" w:hint="cs"/>
          <w:rtl/>
        </w:rPr>
        <w:t>.</w:t>
      </w:r>
    </w:p>
  </w:footnote>
  <w:footnote w:id="2691">
    <w:p w14:paraId="0C604C0A" w14:textId="77777777" w:rsidR="0013116F" w:rsidRDefault="0013116F" w:rsidP="004B607F">
      <w:pPr>
        <w:pStyle w:val="a9"/>
        <w:rPr>
          <w:rtl/>
        </w:rPr>
      </w:pPr>
      <w:r>
        <w:rPr>
          <w:rStyle w:val="ab"/>
        </w:rPr>
        <w:footnoteRef/>
      </w:r>
      <w:r>
        <w:rPr>
          <w:rtl/>
        </w:rPr>
        <w:t xml:space="preserve"> </w:t>
      </w:r>
      <w:r w:rsidRPr="00723EA5">
        <w:rPr>
          <w:rFonts w:cs="Arial"/>
          <w:rtl/>
        </w:rPr>
        <w:t>ולא חיישינן לגומלים שזה יעיד בפטור של חבריו כדי שגם הם יעידו בפטורו</w:t>
      </w:r>
      <w:r>
        <w:rPr>
          <w:rFonts w:hint="cs"/>
          <w:rtl/>
        </w:rPr>
        <w:t>, סמ"ע (סקי"ז).</w:t>
      </w:r>
    </w:p>
  </w:footnote>
  <w:footnote w:id="2692">
    <w:p w14:paraId="6551E297" w14:textId="77777777" w:rsidR="0013116F" w:rsidRDefault="0013116F" w:rsidP="004B607F">
      <w:pPr>
        <w:pStyle w:val="a9"/>
        <w:rPr>
          <w:rtl/>
        </w:rPr>
      </w:pPr>
      <w:r>
        <w:rPr>
          <w:rStyle w:val="ab"/>
        </w:rPr>
        <w:footnoteRef/>
      </w:r>
      <w:r>
        <w:rPr>
          <w:rtl/>
        </w:rPr>
        <w:t xml:space="preserve"> </w:t>
      </w:r>
      <w:r w:rsidRPr="00022365">
        <w:rPr>
          <w:rFonts w:cs="Arial"/>
          <w:rtl/>
        </w:rPr>
        <w:t>וכיוצא בזה כתוב בהגהת מרדכי פ</w:t>
      </w:r>
      <w:r>
        <w:rPr>
          <w:rFonts w:cs="Arial" w:hint="cs"/>
          <w:rtl/>
        </w:rPr>
        <w:t>"</w:t>
      </w:r>
      <w:r w:rsidRPr="00022365">
        <w:rPr>
          <w:rFonts w:cs="Arial"/>
          <w:rtl/>
        </w:rPr>
        <w:t>י דכתובות</w:t>
      </w:r>
      <w:r>
        <w:rPr>
          <w:rFonts w:cs="Arial" w:hint="cs"/>
          <w:rtl/>
        </w:rPr>
        <w:t xml:space="preserve"> (סי' רצט)</w:t>
      </w:r>
      <w:r w:rsidRPr="00022365">
        <w:rPr>
          <w:rFonts w:cs="Arial"/>
          <w:rtl/>
        </w:rPr>
        <w:t xml:space="preserve"> ועיין בדברי רבינו סימן ע"ז (ס"ה - ז)</w:t>
      </w:r>
      <w:r>
        <w:rPr>
          <w:rFonts w:hint="cs"/>
          <w:rtl/>
        </w:rPr>
        <w:t>, ב"י.</w:t>
      </w:r>
    </w:p>
  </w:footnote>
  <w:footnote w:id="2693">
    <w:p w14:paraId="116E9539" w14:textId="77777777" w:rsidR="0013116F" w:rsidRDefault="0013116F" w:rsidP="004B607F">
      <w:pPr>
        <w:pStyle w:val="a9"/>
        <w:rPr>
          <w:rtl/>
        </w:rPr>
      </w:pPr>
      <w:r>
        <w:rPr>
          <w:rStyle w:val="ab"/>
        </w:rPr>
        <w:footnoteRef/>
      </w:r>
      <w:r>
        <w:rPr>
          <w:rtl/>
        </w:rPr>
        <w:t xml:space="preserve"> </w:t>
      </w:r>
      <w:r w:rsidRPr="00823DD8">
        <w:rPr>
          <w:rFonts w:cs="Arial"/>
          <w:rtl/>
        </w:rPr>
        <w:t>ר"ל שהם שותפים בדבר אחר, משא"כ בסע</w:t>
      </w:r>
      <w:r>
        <w:rPr>
          <w:rFonts w:cs="Arial" w:hint="cs"/>
          <w:rtl/>
        </w:rPr>
        <w:t>'</w:t>
      </w:r>
      <w:r w:rsidRPr="00823DD8">
        <w:rPr>
          <w:rFonts w:cs="Arial"/>
          <w:rtl/>
        </w:rPr>
        <w:t xml:space="preserve"> ד מיירי שהן שותפין בדבר זה, וע</w:t>
      </w:r>
      <w:r>
        <w:rPr>
          <w:rFonts w:cs="Arial" w:hint="cs"/>
          <w:rtl/>
        </w:rPr>
        <w:t>"ל</w:t>
      </w:r>
      <w:r w:rsidRPr="00823DD8">
        <w:rPr>
          <w:rFonts w:cs="Arial"/>
          <w:rtl/>
        </w:rPr>
        <w:t xml:space="preserve"> סי</w:t>
      </w:r>
      <w:r>
        <w:rPr>
          <w:rFonts w:cs="Arial" w:hint="cs"/>
          <w:rtl/>
        </w:rPr>
        <w:t>'</w:t>
      </w:r>
      <w:r w:rsidRPr="00823DD8">
        <w:rPr>
          <w:rFonts w:cs="Arial"/>
          <w:rtl/>
        </w:rPr>
        <w:t xml:space="preserve"> קעו סע</w:t>
      </w:r>
      <w:r>
        <w:rPr>
          <w:rFonts w:cs="Arial" w:hint="cs"/>
          <w:rtl/>
        </w:rPr>
        <w:t>'</w:t>
      </w:r>
      <w:r w:rsidRPr="00823DD8">
        <w:rPr>
          <w:rFonts w:cs="Arial"/>
          <w:rtl/>
        </w:rPr>
        <w:t xml:space="preserve"> לב</w:t>
      </w:r>
      <w:r w:rsidRPr="00823DD8">
        <w:rPr>
          <w:rFonts w:cs="Arial"/>
          <w:sz w:val="16"/>
          <w:szCs w:val="16"/>
          <w:rtl/>
        </w:rPr>
        <w:t xml:space="preserve"> </w:t>
      </w:r>
      <w:r>
        <w:rPr>
          <w:rFonts w:cs="Arial" w:hint="cs"/>
          <w:sz w:val="16"/>
          <w:szCs w:val="16"/>
          <w:rtl/>
        </w:rPr>
        <w:t>(</w:t>
      </w:r>
      <w:r w:rsidRPr="00823DD8">
        <w:rPr>
          <w:rFonts w:cs="Arial"/>
          <w:sz w:val="16"/>
          <w:szCs w:val="16"/>
          <w:rtl/>
        </w:rPr>
        <w:t>ובסמ"ע סקע"ד</w:t>
      </w:r>
      <w:r>
        <w:rPr>
          <w:rFonts w:cs="Arial" w:hint="cs"/>
          <w:sz w:val="16"/>
          <w:szCs w:val="16"/>
          <w:rtl/>
        </w:rPr>
        <w:t>)</w:t>
      </w:r>
      <w:r>
        <w:rPr>
          <w:rFonts w:hint="cs"/>
          <w:rtl/>
        </w:rPr>
        <w:t>, סמ"ע</w:t>
      </w:r>
      <w:r w:rsidRPr="00823DD8">
        <w:rPr>
          <w:rFonts w:hint="cs"/>
          <w:sz w:val="16"/>
          <w:szCs w:val="16"/>
          <w:rtl/>
        </w:rPr>
        <w:t xml:space="preserve"> (סקי"ח)</w:t>
      </w:r>
      <w:r>
        <w:rPr>
          <w:rFonts w:hint="cs"/>
          <w:rtl/>
        </w:rPr>
        <w:t>.</w:t>
      </w:r>
    </w:p>
  </w:footnote>
  <w:footnote w:id="2694">
    <w:p w14:paraId="5A5F616E" w14:textId="77777777" w:rsidR="0013116F" w:rsidRPr="00823DD8" w:rsidRDefault="0013116F" w:rsidP="004B607F">
      <w:pPr>
        <w:pStyle w:val="a9"/>
        <w:rPr>
          <w:rFonts w:cs="Arial"/>
        </w:rPr>
      </w:pPr>
      <w:r>
        <w:rPr>
          <w:rStyle w:val="ab"/>
        </w:rPr>
        <w:footnoteRef/>
      </w:r>
      <w:r>
        <w:rPr>
          <w:rtl/>
        </w:rPr>
        <w:t xml:space="preserve"> </w:t>
      </w:r>
      <w:r w:rsidRPr="00823DD8">
        <w:rPr>
          <w:rFonts w:cs="Arial"/>
          <w:rtl/>
        </w:rPr>
        <w:t xml:space="preserve">פירוש, או לפטור, והיינו כשאין לאותו המעיד הנאה במה שיתחייב חבירו או יפטר, וכ"כ המחבר בב"י </w:t>
      </w:r>
      <w:r w:rsidRPr="00823DD8">
        <w:rPr>
          <w:rFonts w:cs="Arial" w:hint="cs"/>
          <w:sz w:val="16"/>
          <w:szCs w:val="16"/>
          <w:rtl/>
        </w:rPr>
        <w:t>(</w:t>
      </w:r>
      <w:r w:rsidRPr="00823DD8">
        <w:rPr>
          <w:rFonts w:cs="Arial"/>
          <w:sz w:val="16"/>
          <w:szCs w:val="16"/>
          <w:rtl/>
        </w:rPr>
        <w:t>מחו</w:t>
      </w:r>
      <w:r w:rsidRPr="00823DD8">
        <w:rPr>
          <w:rFonts w:cs="Arial" w:hint="cs"/>
          <w:sz w:val="16"/>
          <w:szCs w:val="16"/>
          <w:rtl/>
        </w:rPr>
        <w:t>'</w:t>
      </w:r>
      <w:r w:rsidRPr="00823DD8">
        <w:rPr>
          <w:rFonts w:cs="Arial"/>
          <w:sz w:val="16"/>
          <w:szCs w:val="16"/>
          <w:rtl/>
        </w:rPr>
        <w:t xml:space="preserve"> סע</w:t>
      </w:r>
      <w:r w:rsidRPr="00823DD8">
        <w:rPr>
          <w:rFonts w:cs="Arial" w:hint="cs"/>
          <w:sz w:val="16"/>
          <w:szCs w:val="16"/>
          <w:rtl/>
        </w:rPr>
        <w:t>'</w:t>
      </w:r>
      <w:r w:rsidRPr="00823DD8">
        <w:rPr>
          <w:rFonts w:cs="Arial"/>
          <w:sz w:val="16"/>
          <w:szCs w:val="16"/>
          <w:rtl/>
        </w:rPr>
        <w:t xml:space="preserve"> ח</w:t>
      </w:r>
      <w:r>
        <w:rPr>
          <w:rFonts w:cs="Arial" w:hint="cs"/>
          <w:sz w:val="16"/>
          <w:szCs w:val="16"/>
          <w:rtl/>
        </w:rPr>
        <w:t>)</w:t>
      </w:r>
      <w:r>
        <w:rPr>
          <w:rFonts w:cs="Arial" w:hint="cs"/>
          <w:rtl/>
        </w:rPr>
        <w:t>, סמ"ע</w:t>
      </w:r>
      <w:r w:rsidRPr="00823DD8">
        <w:rPr>
          <w:rFonts w:cs="Arial" w:hint="cs"/>
          <w:sz w:val="16"/>
          <w:szCs w:val="16"/>
          <w:rtl/>
        </w:rPr>
        <w:t xml:space="preserve"> (סקי"ט)</w:t>
      </w:r>
      <w:r>
        <w:rPr>
          <w:rFonts w:cs="Arial" w:hint="cs"/>
          <w:rtl/>
        </w:rPr>
        <w:t>.</w:t>
      </w:r>
    </w:p>
  </w:footnote>
  <w:footnote w:id="2695">
    <w:p w14:paraId="18299BDE" w14:textId="77777777" w:rsidR="0013116F" w:rsidRDefault="0013116F" w:rsidP="004B607F">
      <w:pPr>
        <w:pStyle w:val="a9"/>
        <w:rPr>
          <w:rtl/>
        </w:rPr>
      </w:pPr>
      <w:r>
        <w:rPr>
          <w:rStyle w:val="ab"/>
        </w:rPr>
        <w:footnoteRef/>
      </w:r>
      <w:r>
        <w:rPr>
          <w:rtl/>
        </w:rPr>
        <w:t xml:space="preserve"> </w:t>
      </w:r>
      <w:r w:rsidRPr="0036252A">
        <w:rPr>
          <w:rFonts w:cs="Arial"/>
          <w:rtl/>
        </w:rPr>
        <w:t xml:space="preserve">וראיה ממה שכתב הרי"ף </w:t>
      </w:r>
      <w:r w:rsidRPr="007750F0">
        <w:rPr>
          <w:rFonts w:cs="Arial" w:hint="cs"/>
          <w:sz w:val="16"/>
          <w:szCs w:val="16"/>
          <w:rtl/>
        </w:rPr>
        <w:t>(</w:t>
      </w:r>
      <w:r w:rsidRPr="007750F0">
        <w:rPr>
          <w:rFonts w:cs="Arial"/>
          <w:sz w:val="16"/>
          <w:szCs w:val="16"/>
          <w:rtl/>
        </w:rPr>
        <w:t>פרק כיצד יבמות ז. גבי וכולן מותרות</w:t>
      </w:r>
      <w:r w:rsidRPr="007750F0">
        <w:rPr>
          <w:rFonts w:cs="Arial" w:hint="cs"/>
          <w:sz w:val="16"/>
          <w:szCs w:val="16"/>
          <w:rtl/>
        </w:rPr>
        <w:t>)</w:t>
      </w:r>
      <w:r w:rsidRPr="007750F0">
        <w:rPr>
          <w:rFonts w:cs="Arial"/>
          <w:sz w:val="16"/>
          <w:szCs w:val="16"/>
          <w:rtl/>
        </w:rPr>
        <w:t xml:space="preserve"> </w:t>
      </w:r>
      <w:r>
        <w:rPr>
          <w:rFonts w:cs="Arial" w:hint="cs"/>
          <w:rtl/>
        </w:rPr>
        <w:t xml:space="preserve">- </w:t>
      </w:r>
      <w:r w:rsidRPr="0036252A">
        <w:rPr>
          <w:rFonts w:cs="Arial"/>
          <w:rtl/>
        </w:rPr>
        <w:t>ודוקא חתמו שנעשה כמי שנחקרה עדותן בבית דין אבל שיבא ויעיד לא</w:t>
      </w:r>
      <w:r>
        <w:rPr>
          <w:rFonts w:cs="Arial" w:hint="cs"/>
          <w:rtl/>
        </w:rPr>
        <w:t>,</w:t>
      </w:r>
      <w:r w:rsidRPr="0036252A">
        <w:rPr>
          <w:rFonts w:cs="Arial"/>
          <w:rtl/>
        </w:rPr>
        <w:t xml:space="preserve"> ומינה דוקא מכרה לאחד מהם</w:t>
      </w:r>
      <w:r>
        <w:rPr>
          <w:rFonts w:cs="Arial" w:hint="cs"/>
          <w:rtl/>
        </w:rPr>
        <w:t>,</w:t>
      </w:r>
      <w:r w:rsidRPr="0036252A">
        <w:rPr>
          <w:rFonts w:cs="Arial"/>
          <w:rtl/>
        </w:rPr>
        <w:t xml:space="preserve"> אבל מכרה לשניהם איכא למיחש</w:t>
      </w:r>
      <w:r>
        <w:rPr>
          <w:rFonts w:cs="Arial" w:hint="cs"/>
          <w:rtl/>
        </w:rPr>
        <w:t>, בעל התרומות (שם).</w:t>
      </w:r>
      <w:r w:rsidRPr="00AF279E">
        <w:rPr>
          <w:rFonts w:hint="cs"/>
          <w:color w:val="00B0F0"/>
          <w:rtl/>
        </w:rPr>
        <w:t xml:space="preserve"> (וכ"כ הרמ"א</w:t>
      </w:r>
      <w:r>
        <w:rPr>
          <w:rFonts w:hint="cs"/>
          <w:color w:val="00B0F0"/>
          <w:rtl/>
        </w:rPr>
        <w:t xml:space="preserve"> </w:t>
      </w:r>
      <w:r>
        <w:rPr>
          <w:rFonts w:hint="cs"/>
          <w:color w:val="000000" w:themeColor="text1"/>
          <w:sz w:val="16"/>
          <w:szCs w:val="16"/>
          <w:rtl/>
        </w:rPr>
        <w:t>[בסי' סו סכ"א]</w:t>
      </w:r>
      <w:r w:rsidRPr="00AF279E">
        <w:rPr>
          <w:rFonts w:hint="cs"/>
          <w:color w:val="00B0F0"/>
          <w:rtl/>
        </w:rPr>
        <w:t>)</w:t>
      </w:r>
    </w:p>
  </w:footnote>
  <w:footnote w:id="2696">
    <w:p w14:paraId="0F4D6480" w14:textId="77777777" w:rsidR="0013116F" w:rsidRDefault="0013116F" w:rsidP="004B607F">
      <w:pPr>
        <w:pStyle w:val="a9"/>
        <w:rPr>
          <w:rtl/>
        </w:rPr>
      </w:pPr>
      <w:r>
        <w:rPr>
          <w:rStyle w:val="ab"/>
        </w:rPr>
        <w:footnoteRef/>
      </w:r>
      <w:r>
        <w:rPr>
          <w:rtl/>
        </w:rPr>
        <w:t xml:space="preserve"> </w:t>
      </w:r>
      <w:r>
        <w:rPr>
          <w:rFonts w:cs="Arial" w:hint="cs"/>
          <w:rtl/>
        </w:rPr>
        <w:t xml:space="preserve">הב"י כתב - </w:t>
      </w:r>
      <w:r w:rsidRPr="00022365">
        <w:rPr>
          <w:rFonts w:cs="Arial"/>
          <w:rtl/>
        </w:rPr>
        <w:t>עיין בסימן קכ"ג (סי"ב - יג) ובתרומת הדשן סימן שנ"ד עם היות כי אין דבריו נראה לי</w:t>
      </w:r>
      <w:r>
        <w:rPr>
          <w:rFonts w:cs="Arial" w:hint="cs"/>
          <w:rtl/>
        </w:rPr>
        <w:t>.</w:t>
      </w:r>
    </w:p>
  </w:footnote>
  <w:footnote w:id="2697">
    <w:p w14:paraId="2715359A" w14:textId="77777777" w:rsidR="0013116F" w:rsidRDefault="0013116F" w:rsidP="004B607F">
      <w:pPr>
        <w:pStyle w:val="a9"/>
      </w:pPr>
      <w:r>
        <w:rPr>
          <w:rStyle w:val="ab"/>
        </w:rPr>
        <w:footnoteRef/>
      </w:r>
      <w:r>
        <w:rPr>
          <w:rtl/>
        </w:rPr>
        <w:t xml:space="preserve"> </w:t>
      </w:r>
      <w:r w:rsidRPr="002B1EA8">
        <w:rPr>
          <w:rFonts w:cs="Arial"/>
          <w:rtl/>
        </w:rPr>
        <w:t>ר"ל לאחד, משא"כ לשנים החתומים, וכדלקמן סימן סו סעיף כא. וכבר השגתי על זה שם בסקע"א, והוכחתי דאפילו לשנים שפיר דמי בדיעבד, אלא דלכתחילה לא יקנוהו שנים משום חשדא</w:t>
      </w:r>
      <w:r>
        <w:rPr>
          <w:rFonts w:cs="Arial" w:hint="cs"/>
          <w:rtl/>
        </w:rPr>
        <w:t>, ש"ך (סק"ח).</w:t>
      </w:r>
    </w:p>
  </w:footnote>
  <w:footnote w:id="2698">
    <w:p w14:paraId="73B62A23" w14:textId="77777777" w:rsidR="0013116F" w:rsidRDefault="0013116F" w:rsidP="004B607F">
      <w:pPr>
        <w:pStyle w:val="a9"/>
        <w:rPr>
          <w:rtl/>
        </w:rPr>
      </w:pPr>
      <w:r>
        <w:rPr>
          <w:rStyle w:val="ab"/>
        </w:rPr>
        <w:footnoteRef/>
      </w:r>
      <w:r>
        <w:rPr>
          <w:rtl/>
        </w:rPr>
        <w:t xml:space="preserve"> </w:t>
      </w:r>
      <w:r w:rsidRPr="002B1EA8">
        <w:rPr>
          <w:rFonts w:cs="Arial"/>
          <w:rtl/>
        </w:rPr>
        <w:t>היינו לאחר שחתמו בשטר, אבל אם קודם שחתמו העדים בהשטר [אלא שחתמו בספר זכרונות של הסופר] הקנהו המלוה לאחד מעדיו, לא יוכל לחתום אח"כ אותו העד מחמת שנוגע בעדות לחתום לכתחילה. ריב"ש סי' רי, דרכ</w:t>
      </w:r>
      <w:r>
        <w:rPr>
          <w:rFonts w:cs="Arial" w:hint="cs"/>
          <w:rtl/>
        </w:rPr>
        <w:t>"</w:t>
      </w:r>
      <w:r w:rsidRPr="002B1EA8">
        <w:rPr>
          <w:rFonts w:cs="Arial"/>
          <w:rtl/>
        </w:rPr>
        <w:t>מ א'</w:t>
      </w:r>
      <w:r>
        <w:rPr>
          <w:rFonts w:hint="cs"/>
          <w:rtl/>
        </w:rPr>
        <w:t>, סמ"ע (סקכ"א).</w:t>
      </w:r>
    </w:p>
  </w:footnote>
  <w:footnote w:id="2699">
    <w:p w14:paraId="2E7B6EB6" w14:textId="77777777" w:rsidR="0013116F" w:rsidRDefault="0013116F" w:rsidP="004B607F">
      <w:pPr>
        <w:pStyle w:val="a9"/>
        <w:rPr>
          <w:rtl/>
        </w:rPr>
      </w:pPr>
      <w:r>
        <w:rPr>
          <w:rStyle w:val="ab"/>
        </w:rPr>
        <w:footnoteRef/>
      </w:r>
      <w:r>
        <w:rPr>
          <w:rtl/>
        </w:rPr>
        <w:t xml:space="preserve"> </w:t>
      </w:r>
      <w:r w:rsidRPr="000845F5">
        <w:rPr>
          <w:rFonts w:cs="Arial"/>
          <w:rtl/>
        </w:rPr>
        <w:t>ועיין בדברי רבינו סימן כ"ג (ס"ב)</w:t>
      </w:r>
      <w:r>
        <w:rPr>
          <w:rFonts w:hint="cs"/>
          <w:rtl/>
        </w:rPr>
        <w:t>, ב"י.</w:t>
      </w:r>
    </w:p>
  </w:footnote>
  <w:footnote w:id="2700">
    <w:p w14:paraId="50530878" w14:textId="77777777" w:rsidR="0013116F" w:rsidRDefault="0013116F" w:rsidP="004B607F">
      <w:pPr>
        <w:pStyle w:val="a9"/>
        <w:rPr>
          <w:rtl/>
        </w:rPr>
      </w:pPr>
      <w:r>
        <w:rPr>
          <w:rStyle w:val="ab"/>
        </w:rPr>
        <w:footnoteRef/>
      </w:r>
      <w:r>
        <w:rPr>
          <w:rtl/>
        </w:rPr>
        <w:t xml:space="preserve"> </w:t>
      </w:r>
      <w:r>
        <w:rPr>
          <w:rFonts w:hint="cs"/>
          <w:rtl/>
        </w:rPr>
        <w:t xml:space="preserve">סימן </w:t>
      </w:r>
      <w:r>
        <w:rPr>
          <w:rtl/>
        </w:rPr>
        <w:t>–</w:t>
      </w:r>
      <w:r>
        <w:rPr>
          <w:rFonts w:hint="cs"/>
          <w:rtl/>
        </w:rPr>
        <w:t xml:space="preserve"> מובילי גט מעידים גם. וכן </w:t>
      </w:r>
      <w:r>
        <w:rPr>
          <w:rtl/>
        </w:rPr>
        <w:t>–</w:t>
      </w:r>
      <w:r>
        <w:rPr>
          <w:rFonts w:hint="cs"/>
          <w:rtl/>
        </w:rPr>
        <w:t xml:space="preserve"> מובילים גרוניים. וכן </w:t>
      </w:r>
      <w:r>
        <w:rPr>
          <w:rtl/>
        </w:rPr>
        <w:t>–</w:t>
      </w:r>
      <w:r>
        <w:rPr>
          <w:rFonts w:hint="cs"/>
          <w:rtl/>
        </w:rPr>
        <w:t xml:space="preserve"> מוביל ג' </w:t>
      </w:r>
      <w:r w:rsidRPr="00D873E0">
        <w:rPr>
          <w:rFonts w:hint="cs"/>
          <w:sz w:val="16"/>
          <w:szCs w:val="16"/>
          <w:rtl/>
        </w:rPr>
        <w:t>(קידושין גירושין ממונות)</w:t>
      </w:r>
      <w:r>
        <w:rPr>
          <w:rFonts w:hint="cs"/>
          <w:sz w:val="16"/>
          <w:szCs w:val="16"/>
          <w:rtl/>
        </w:rPr>
        <w:t xml:space="preserve"> </w:t>
      </w:r>
      <w:r>
        <w:rPr>
          <w:rFonts w:hint="cs"/>
          <w:rtl/>
        </w:rPr>
        <w:t>מעיד גם.</w:t>
      </w:r>
    </w:p>
  </w:footnote>
  <w:footnote w:id="2701">
    <w:p w14:paraId="1C78C0F5" w14:textId="77777777" w:rsidR="0013116F" w:rsidRDefault="0013116F" w:rsidP="004B607F">
      <w:pPr>
        <w:pStyle w:val="a9"/>
        <w:rPr>
          <w:rtl/>
        </w:rPr>
      </w:pPr>
      <w:r>
        <w:rPr>
          <w:rStyle w:val="ab"/>
        </w:rPr>
        <w:footnoteRef/>
      </w:r>
      <w:r>
        <w:rPr>
          <w:rtl/>
        </w:rPr>
        <w:t xml:space="preserve"> </w:t>
      </w:r>
      <w:r w:rsidRPr="004335D9">
        <w:rPr>
          <w:rFonts w:cs="Arial"/>
          <w:rtl/>
        </w:rPr>
        <w:t>ר"נ דאמר וכן בדיני ממונות</w:t>
      </w:r>
      <w:r>
        <w:rPr>
          <w:rFonts w:cs="Arial" w:hint="cs"/>
          <w:rtl/>
        </w:rPr>
        <w:t>, רש"י</w:t>
      </w:r>
      <w:r w:rsidRPr="000B1DE8">
        <w:rPr>
          <w:rFonts w:cs="Arial"/>
          <w:rtl/>
        </w:rPr>
        <w:t>.</w:t>
      </w:r>
    </w:p>
  </w:footnote>
  <w:footnote w:id="2702">
    <w:p w14:paraId="5F8F36EB" w14:textId="77777777" w:rsidR="0013116F" w:rsidRDefault="0013116F" w:rsidP="004B607F">
      <w:pPr>
        <w:pStyle w:val="a9"/>
        <w:rPr>
          <w:rtl/>
        </w:rPr>
      </w:pPr>
      <w:r>
        <w:rPr>
          <w:rStyle w:val="ab"/>
        </w:rPr>
        <w:footnoteRef/>
      </w:r>
      <w:r w:rsidRPr="004335D9">
        <w:rPr>
          <w:rFonts w:cs="Arial"/>
          <w:rtl/>
        </w:rPr>
        <w:t xml:space="preserve"> למשלח ואין עליהם אפי' שבועה שהרי אין הודאה במקצת כאן</w:t>
      </w:r>
      <w:r>
        <w:rPr>
          <w:rFonts w:cs="Arial" w:hint="cs"/>
          <w:rtl/>
        </w:rPr>
        <w:t>, רש"י</w:t>
      </w:r>
      <w:r w:rsidRPr="000B1DE8">
        <w:rPr>
          <w:rFonts w:cs="Arial"/>
          <w:rtl/>
        </w:rPr>
        <w:t>.</w:t>
      </w:r>
    </w:p>
  </w:footnote>
  <w:footnote w:id="2703">
    <w:p w14:paraId="143AACE4" w14:textId="77777777" w:rsidR="0013116F" w:rsidRDefault="0013116F" w:rsidP="004B607F">
      <w:pPr>
        <w:pStyle w:val="a9"/>
        <w:rPr>
          <w:rtl/>
        </w:rPr>
      </w:pPr>
      <w:r>
        <w:rPr>
          <w:rStyle w:val="ab"/>
        </w:rPr>
        <w:footnoteRef/>
      </w:r>
      <w:r>
        <w:rPr>
          <w:rtl/>
        </w:rPr>
        <w:t xml:space="preserve"> </w:t>
      </w:r>
      <w:r w:rsidRPr="004335D9">
        <w:rPr>
          <w:rFonts w:cs="Arial"/>
          <w:rtl/>
        </w:rPr>
        <w:t>נמי יהיב יהבינא למלוה ודבריהן קיימין ובתורת עדות שאינם נוגעין בעדותן</w:t>
      </w:r>
      <w:r>
        <w:rPr>
          <w:rFonts w:cs="Arial" w:hint="cs"/>
          <w:rtl/>
        </w:rPr>
        <w:t>, רש"י</w:t>
      </w:r>
      <w:r w:rsidRPr="000B1DE8">
        <w:rPr>
          <w:rFonts w:cs="Arial"/>
          <w:rtl/>
        </w:rPr>
        <w:t>.</w:t>
      </w:r>
    </w:p>
  </w:footnote>
  <w:footnote w:id="2704">
    <w:p w14:paraId="2A07604D" w14:textId="77777777" w:rsidR="0013116F" w:rsidRDefault="0013116F" w:rsidP="004B607F">
      <w:pPr>
        <w:pStyle w:val="a9"/>
        <w:rPr>
          <w:rtl/>
        </w:rPr>
      </w:pPr>
      <w:r>
        <w:rPr>
          <w:rStyle w:val="ab"/>
        </w:rPr>
        <w:footnoteRef/>
      </w:r>
      <w:r w:rsidRPr="004335D9">
        <w:rPr>
          <w:rFonts w:cs="Arial"/>
          <w:rtl/>
        </w:rPr>
        <w:t xml:space="preserve"> שאפילו מי שאינו מודה במקצת הטילו עליו שבועה מהשתא אפי' סבירא לן המלוה את חבירו בעדים א</w:t>
      </w:r>
      <w:r>
        <w:rPr>
          <w:rFonts w:cs="Arial" w:hint="cs"/>
          <w:rtl/>
        </w:rPr>
        <w:t>"</w:t>
      </w:r>
      <w:r w:rsidRPr="004335D9">
        <w:rPr>
          <w:rFonts w:cs="Arial"/>
          <w:rtl/>
        </w:rPr>
        <w:t>צ לפורעו בעדים אפ"ה נוגעין בעדותן דאי אמרי אהדרינהו ניהלך בעי אשתבועי לפיכך הן מעידין שקבל מלוה מידם כדי שיפטרו מן השבועה ונוח הוא להם להפסיד הממון למלוה מלהשבע בשקר דאע"ג דחשידי אממונא לא חשידי אשבועתא הילכך בממון לא אמרינן הן הן עדיו וכיון דעדים לא הוו הרי הדין הזה כדין הקצוב בשבועות</w:t>
      </w:r>
      <w:r w:rsidRPr="006C5583">
        <w:rPr>
          <w:rFonts w:cs="Arial"/>
          <w:sz w:val="16"/>
          <w:szCs w:val="16"/>
          <w:rtl/>
        </w:rPr>
        <w:t xml:space="preserve"> (מד:) </w:t>
      </w:r>
      <w:r w:rsidRPr="004335D9">
        <w:rPr>
          <w:rFonts w:cs="Arial"/>
          <w:rtl/>
        </w:rPr>
        <w:t>גבי חנוני על פנקסו משתבעי אינהו דיהבו להו למלוה ונפטרין מן השולח דהוא האמינן בשבועה שמסר להן מעותיו אבל מלוה אומר שאין נאמנין לו בשבועה ומשתבע דלא שקיל מידייהו ופרע לוה למלוה</w:t>
      </w:r>
      <w:r>
        <w:rPr>
          <w:rFonts w:cs="Arial" w:hint="cs"/>
          <w:rtl/>
        </w:rPr>
        <w:t>, רש"י</w:t>
      </w:r>
      <w:r w:rsidRPr="000B1DE8">
        <w:rPr>
          <w:rFonts w:cs="Arial"/>
          <w:rtl/>
        </w:rPr>
        <w:t>.</w:t>
      </w:r>
    </w:p>
  </w:footnote>
  <w:footnote w:id="2705">
    <w:p w14:paraId="780629A9" w14:textId="77777777" w:rsidR="0013116F" w:rsidRDefault="0013116F" w:rsidP="004B607F">
      <w:pPr>
        <w:pStyle w:val="a9"/>
        <w:rPr>
          <w:rtl/>
        </w:rPr>
      </w:pPr>
      <w:r>
        <w:rPr>
          <w:rStyle w:val="ab"/>
        </w:rPr>
        <w:footnoteRef/>
      </w:r>
      <w:r>
        <w:rPr>
          <w:rtl/>
        </w:rPr>
        <w:t xml:space="preserve"> </w:t>
      </w:r>
      <w:r w:rsidRPr="005D54AD">
        <w:rPr>
          <w:rFonts w:hint="cs"/>
          <w:color w:val="FF0000"/>
          <w:rtl/>
        </w:rPr>
        <w:t xml:space="preserve">צל"ע מדוע הב"י כתב כך בלשון כוללת, וכי כל בעל דין שיש לו תרעומת על העד יפסל העד מלהעיד?? שהרי בסי' נה הטור כתב כן רק לגבי שליש שמתחילה קיבלוהו שני הבעלי דין, ולכן עדותו עדות אפילו הוא קרוב, וכלן אם נהייתה לאחד מהם תרעומת עליו הרי הוא נפסל מכיון שהוא קרוב. </w:t>
      </w:r>
      <w:r>
        <w:rPr>
          <w:rFonts w:hint="cs"/>
          <w:rtl/>
        </w:rPr>
        <w:t xml:space="preserve">וז"ל הטור- כתב </w:t>
      </w:r>
      <w:r w:rsidRPr="006C5583">
        <w:rPr>
          <w:rFonts w:cs="Arial"/>
          <w:rtl/>
        </w:rPr>
        <w:t>בהעי</w:t>
      </w:r>
      <w:r>
        <w:rPr>
          <w:rFonts w:cs="Arial" w:hint="cs"/>
          <w:rtl/>
        </w:rPr>
        <w:t>"</w:t>
      </w:r>
      <w:r w:rsidRPr="006C5583">
        <w:rPr>
          <w:rFonts w:cs="Arial"/>
          <w:rtl/>
        </w:rPr>
        <w:t>ט בשם ה"ר יהודה ברצלוני</w:t>
      </w:r>
      <w:r>
        <w:rPr>
          <w:rFonts w:cs="Arial" w:hint="cs"/>
          <w:rtl/>
        </w:rPr>
        <w:t xml:space="preserve"> </w:t>
      </w:r>
      <w:r w:rsidRPr="006C5583">
        <w:rPr>
          <w:rFonts w:cs="Arial"/>
          <w:rtl/>
        </w:rPr>
        <w:t xml:space="preserve">הא דחשיב </w:t>
      </w:r>
      <w:r>
        <w:rPr>
          <w:rFonts w:cs="Arial" w:hint="cs"/>
          <w:sz w:val="16"/>
          <w:szCs w:val="16"/>
          <w:rtl/>
        </w:rPr>
        <w:t xml:space="preserve">{השליש} </w:t>
      </w:r>
      <w:r w:rsidRPr="006C5583">
        <w:rPr>
          <w:rFonts w:cs="Arial"/>
          <w:rtl/>
        </w:rPr>
        <w:t xml:space="preserve">כעד אחד דוקא כששניהם </w:t>
      </w:r>
      <w:r>
        <w:rPr>
          <w:rFonts w:cs="Arial" w:hint="cs"/>
          <w:sz w:val="16"/>
          <w:szCs w:val="16"/>
          <w:rtl/>
        </w:rPr>
        <w:t xml:space="preserve">{שני הבעלי דין} </w:t>
      </w:r>
      <w:r w:rsidRPr="006C5583">
        <w:rPr>
          <w:rFonts w:cs="Arial"/>
          <w:rtl/>
        </w:rPr>
        <w:t>נסתלקו מעליו ואין להם עליו שום תרעומת אבל אם יש להם עליו שום תרעומת בענין השלישות הוה ליה נוגע בעדות ואין מקבלין עדותו</w:t>
      </w:r>
      <w:r>
        <w:rPr>
          <w:rFonts w:cs="Arial" w:hint="cs"/>
          <w:rtl/>
        </w:rPr>
        <w:t>.</w:t>
      </w:r>
    </w:p>
  </w:footnote>
  <w:footnote w:id="2706">
    <w:p w14:paraId="1F79215F" w14:textId="77777777" w:rsidR="0013116F" w:rsidRDefault="0013116F" w:rsidP="004B607F">
      <w:pPr>
        <w:pStyle w:val="a9"/>
      </w:pPr>
      <w:r>
        <w:rPr>
          <w:rStyle w:val="ab"/>
        </w:rPr>
        <w:footnoteRef/>
      </w:r>
      <w:r>
        <w:rPr>
          <w:rtl/>
        </w:rPr>
        <w:t xml:space="preserve"> </w:t>
      </w:r>
      <w:r w:rsidRPr="0027258B">
        <w:rPr>
          <w:rFonts w:cs="Arial"/>
          <w:rtl/>
        </w:rPr>
        <w:t>שאפילו תאמר שבטלה עדות העד לגבי אחיו</w:t>
      </w:r>
      <w:r>
        <w:rPr>
          <w:rFonts w:cs="Arial" w:hint="cs"/>
          <w:rtl/>
        </w:rPr>
        <w:t>,</w:t>
      </w:r>
      <w:r w:rsidRPr="0027258B">
        <w:rPr>
          <w:rFonts w:cs="Arial"/>
          <w:rtl/>
        </w:rPr>
        <w:t xml:space="preserve"> לא בטלה לגבי העניים</w:t>
      </w:r>
      <w:r>
        <w:rPr>
          <w:rFonts w:cs="Arial" w:hint="cs"/>
          <w:rtl/>
        </w:rPr>
        <w:t>,</w:t>
      </w:r>
      <w:r w:rsidRPr="0027258B">
        <w:rPr>
          <w:rFonts w:cs="Arial"/>
          <w:rtl/>
        </w:rPr>
        <w:t xml:space="preserve"> ואין אומרים עדות שבטלה מקצתה בטלה כולה </w:t>
      </w:r>
      <w:r w:rsidRPr="00BB06FB">
        <w:rPr>
          <w:rFonts w:cs="Arial"/>
          <w:sz w:val="16"/>
          <w:szCs w:val="16"/>
          <w:rtl/>
        </w:rPr>
        <w:t xml:space="preserve">(מכות ה:) </w:t>
      </w:r>
      <w:r w:rsidRPr="0027258B">
        <w:rPr>
          <w:rFonts w:cs="Arial"/>
          <w:rtl/>
        </w:rPr>
        <w:t>דהא קי</w:t>
      </w:r>
      <w:r>
        <w:rPr>
          <w:rFonts w:cs="Arial" w:hint="cs"/>
          <w:rtl/>
        </w:rPr>
        <w:t>י"</w:t>
      </w:r>
      <w:r w:rsidRPr="0027258B">
        <w:rPr>
          <w:rFonts w:cs="Arial"/>
          <w:rtl/>
        </w:rPr>
        <w:t xml:space="preserve">ל </w:t>
      </w:r>
      <w:r w:rsidRPr="00BB06FB">
        <w:rPr>
          <w:rFonts w:cs="Arial"/>
          <w:sz w:val="16"/>
          <w:szCs w:val="16"/>
          <w:rtl/>
        </w:rPr>
        <w:t xml:space="preserve">(ב"ב קלד:) </w:t>
      </w:r>
      <w:r w:rsidRPr="0027258B">
        <w:rPr>
          <w:rFonts w:cs="Arial"/>
          <w:rtl/>
        </w:rPr>
        <w:t>בתרי גופים פלגינן דיבורא. וא</w:t>
      </w:r>
      <w:r>
        <w:rPr>
          <w:rFonts w:cs="Arial" w:hint="cs"/>
          <w:rtl/>
        </w:rPr>
        <w:t>ע"</w:t>
      </w:r>
      <w:r w:rsidRPr="0027258B">
        <w:rPr>
          <w:rFonts w:cs="Arial"/>
          <w:rtl/>
        </w:rPr>
        <w:t xml:space="preserve">פ שאמרו בירושלמי </w:t>
      </w:r>
      <w:r w:rsidRPr="00BB06FB">
        <w:rPr>
          <w:rFonts w:cs="Arial"/>
          <w:sz w:val="16"/>
          <w:szCs w:val="16"/>
          <w:rtl/>
        </w:rPr>
        <w:t xml:space="preserve">(גיטין פ"א ה"א מכות פ"א ה"ז) </w:t>
      </w:r>
      <w:r w:rsidRPr="0027258B">
        <w:rPr>
          <w:rFonts w:cs="Arial"/>
          <w:rtl/>
        </w:rPr>
        <w:t>כתב כל נכסיו לשני בני אדם והעדים קרובים לזה ורחוקים לזה רבי יוחנן אמר מתוך שפסולים לזה פסולים לזה</w:t>
      </w:r>
      <w:r>
        <w:rPr>
          <w:rFonts w:cs="Arial" w:hint="cs"/>
          <w:rtl/>
        </w:rPr>
        <w:t>,</w:t>
      </w:r>
      <w:r w:rsidRPr="0027258B">
        <w:rPr>
          <w:rFonts w:cs="Arial"/>
          <w:rtl/>
        </w:rPr>
        <w:t xml:space="preserve"> התם בעדות בשטר</w:t>
      </w:r>
      <w:r>
        <w:rPr>
          <w:rFonts w:cs="Arial" w:hint="cs"/>
          <w:rtl/>
        </w:rPr>
        <w:t>,</w:t>
      </w:r>
      <w:r w:rsidRPr="0027258B">
        <w:rPr>
          <w:rFonts w:cs="Arial"/>
          <w:rtl/>
        </w:rPr>
        <w:t xml:space="preserve"> שכל החתום כעדות אחת</w:t>
      </w:r>
      <w:r>
        <w:rPr>
          <w:rFonts w:cs="Arial" w:hint="cs"/>
          <w:rtl/>
        </w:rPr>
        <w:t>,</w:t>
      </w:r>
      <w:r w:rsidRPr="0027258B">
        <w:rPr>
          <w:rFonts w:cs="Arial"/>
          <w:rtl/>
        </w:rPr>
        <w:t xml:space="preserve"> אבל בעדות על פה אינו כן</w:t>
      </w:r>
      <w:r>
        <w:rPr>
          <w:rFonts w:cs="Arial" w:hint="cs"/>
          <w:rtl/>
        </w:rPr>
        <w:t>,</w:t>
      </w:r>
      <w:r w:rsidRPr="0027258B">
        <w:rPr>
          <w:rFonts w:cs="Arial"/>
          <w:rtl/>
        </w:rPr>
        <w:t xml:space="preserve"> וכמו שכתבו התוס</w:t>
      </w:r>
      <w:r>
        <w:rPr>
          <w:rFonts w:cs="Arial" w:hint="cs"/>
          <w:rtl/>
        </w:rPr>
        <w:t>', ריטב"א.</w:t>
      </w:r>
    </w:p>
  </w:footnote>
  <w:footnote w:id="2707">
    <w:p w14:paraId="0501FF6C" w14:textId="77777777" w:rsidR="0013116F" w:rsidRDefault="0013116F" w:rsidP="004B607F">
      <w:pPr>
        <w:pStyle w:val="a9"/>
      </w:pPr>
      <w:r>
        <w:rPr>
          <w:rStyle w:val="ab"/>
        </w:rPr>
        <w:footnoteRef/>
      </w:r>
      <w:r>
        <w:rPr>
          <w:rtl/>
        </w:rPr>
        <w:t xml:space="preserve"> </w:t>
      </w:r>
      <w:r>
        <w:rPr>
          <w:rFonts w:cs="Arial" w:hint="cs"/>
          <w:rtl/>
        </w:rPr>
        <w:t>בתנאי ד</w:t>
      </w:r>
      <w:r w:rsidRPr="00272CD3">
        <w:rPr>
          <w:rFonts w:cs="Arial"/>
          <w:rtl/>
        </w:rPr>
        <w:t>לא היה ידוע ונראה לעינים מתחילה שיתנו לקרובו. אבל למ"ד דהוי ממון כבר נתבאר דאין עדותם עדות כלל אם העידו בבת אחת או שהיה ידוע, ואפילו לא היה ידוע והעידו כן זה אחר זה, מ"מ אינה עדות אלא לענין זה שהוא הקדש, אבל לא לענין שיחלק הגזבר למי שירצה. ומ"ש למ"ד טובת הנאה כו',</w:t>
      </w:r>
      <w:r>
        <w:rPr>
          <w:rFonts w:cs="Arial" w:hint="cs"/>
          <w:rtl/>
        </w:rPr>
        <w:t xml:space="preserve"> </w:t>
      </w:r>
      <w:r w:rsidRPr="00272CD3">
        <w:rPr>
          <w:rFonts w:cs="Arial"/>
          <w:rtl/>
        </w:rPr>
        <w:t>עיין לקמן בר</w:t>
      </w:r>
      <w:r>
        <w:rPr>
          <w:rFonts w:cs="Arial" w:hint="cs"/>
          <w:rtl/>
        </w:rPr>
        <w:t>"</w:t>
      </w:r>
      <w:r w:rsidRPr="00272CD3">
        <w:rPr>
          <w:rFonts w:cs="Arial"/>
          <w:rtl/>
        </w:rPr>
        <w:t>ס רג דכ</w:t>
      </w:r>
      <w:r>
        <w:rPr>
          <w:rFonts w:cs="Arial" w:hint="cs"/>
          <w:rtl/>
        </w:rPr>
        <w:t>"פ</w:t>
      </w:r>
      <w:r w:rsidRPr="00272CD3">
        <w:rPr>
          <w:rFonts w:cs="Arial"/>
          <w:rtl/>
        </w:rPr>
        <w:t xml:space="preserve"> מור"ם בהדיא, וכ</w:t>
      </w:r>
      <w:r>
        <w:rPr>
          <w:rFonts w:cs="Arial" w:hint="cs"/>
          <w:rtl/>
        </w:rPr>
        <w:t>"</w:t>
      </w:r>
      <w:r w:rsidRPr="00272CD3">
        <w:rPr>
          <w:rFonts w:cs="Arial"/>
          <w:rtl/>
        </w:rPr>
        <w:t>פ המחבר בסי</w:t>
      </w:r>
      <w:r>
        <w:rPr>
          <w:rFonts w:cs="Arial" w:hint="cs"/>
          <w:rtl/>
        </w:rPr>
        <w:t>'</w:t>
      </w:r>
      <w:r w:rsidRPr="00272CD3">
        <w:rPr>
          <w:rFonts w:cs="Arial"/>
          <w:rtl/>
        </w:rPr>
        <w:t xml:space="preserve"> פז סע</w:t>
      </w:r>
      <w:r>
        <w:rPr>
          <w:rFonts w:cs="Arial" w:hint="cs"/>
          <w:rtl/>
        </w:rPr>
        <w:t>'</w:t>
      </w:r>
      <w:r w:rsidRPr="00272CD3">
        <w:rPr>
          <w:rFonts w:cs="Arial"/>
          <w:rtl/>
        </w:rPr>
        <w:t xml:space="preserve"> לה, וכ</w:t>
      </w:r>
      <w:r>
        <w:rPr>
          <w:rFonts w:cs="Arial" w:hint="cs"/>
          <w:rtl/>
        </w:rPr>
        <w:t>"</w:t>
      </w:r>
      <w:r w:rsidRPr="00272CD3">
        <w:rPr>
          <w:rFonts w:cs="Arial"/>
          <w:rtl/>
        </w:rPr>
        <w:t>פ הטור ביו"ד סי</w:t>
      </w:r>
      <w:r>
        <w:rPr>
          <w:rFonts w:cs="Arial" w:hint="cs"/>
          <w:rtl/>
        </w:rPr>
        <w:t>'</w:t>
      </w:r>
      <w:r w:rsidRPr="00272CD3">
        <w:rPr>
          <w:rFonts w:cs="Arial"/>
          <w:rtl/>
        </w:rPr>
        <w:t xml:space="preserve"> שלא</w:t>
      </w:r>
      <w:r>
        <w:rPr>
          <w:rFonts w:cs="Arial" w:hint="cs"/>
          <w:rtl/>
        </w:rPr>
        <w:t>, סמ"ע</w:t>
      </w:r>
      <w:r w:rsidRPr="00725F42">
        <w:rPr>
          <w:rFonts w:cs="Arial" w:hint="cs"/>
          <w:sz w:val="16"/>
          <w:szCs w:val="16"/>
          <w:rtl/>
        </w:rPr>
        <w:t xml:space="preserve"> (סקכ"ג)</w:t>
      </w:r>
      <w:r>
        <w:rPr>
          <w:rFonts w:cs="Arial" w:hint="cs"/>
          <w:rtl/>
        </w:rPr>
        <w:t>.</w:t>
      </w:r>
      <w:r w:rsidRPr="00725F42">
        <w:rPr>
          <w:rFonts w:cs="Arial"/>
          <w:rtl/>
        </w:rPr>
        <w:t xml:space="preserve"> </w:t>
      </w:r>
      <w:r>
        <w:rPr>
          <w:rFonts w:cs="Arial" w:hint="cs"/>
          <w:rtl/>
        </w:rPr>
        <w:t>והש"ך</w:t>
      </w:r>
      <w:r w:rsidRPr="00725F42">
        <w:rPr>
          <w:rFonts w:cs="Arial" w:hint="cs"/>
          <w:sz w:val="16"/>
          <w:szCs w:val="16"/>
          <w:rtl/>
        </w:rPr>
        <w:t xml:space="preserve"> (סק"י)</w:t>
      </w:r>
      <w:r>
        <w:rPr>
          <w:rFonts w:cs="Arial" w:hint="cs"/>
          <w:rtl/>
        </w:rPr>
        <w:t xml:space="preserve"> חלק על הבנת הרמ"א בדרי הריטב"א וכתב שמ</w:t>
      </w:r>
      <w:r w:rsidRPr="00725F42">
        <w:rPr>
          <w:rFonts w:cs="Arial"/>
          <w:rtl/>
        </w:rPr>
        <w:t>תשו</w:t>
      </w:r>
      <w:r>
        <w:rPr>
          <w:rFonts w:cs="Arial" w:hint="cs"/>
          <w:rtl/>
        </w:rPr>
        <w:t>'</w:t>
      </w:r>
      <w:r w:rsidRPr="00725F42">
        <w:rPr>
          <w:rFonts w:cs="Arial"/>
          <w:rtl/>
        </w:rPr>
        <w:t xml:space="preserve"> ריטב"א ליתא דלמ"ד טובת הנאה אינה ממון כשר להעיד, אלא</w:t>
      </w:r>
      <w:r>
        <w:rPr>
          <w:rFonts w:cs="Arial" w:hint="cs"/>
          <w:rtl/>
        </w:rPr>
        <w:t xml:space="preserve"> </w:t>
      </w:r>
      <w:r w:rsidRPr="00725F42">
        <w:rPr>
          <w:rFonts w:cs="Arial"/>
          <w:rtl/>
        </w:rPr>
        <w:t xml:space="preserve">הריטב"א קושטא דמילתא קאמר, לפי דס"ל להלכה טובת הנאה ממון </w:t>
      </w:r>
      <w:r w:rsidRPr="00725F42">
        <w:rPr>
          <w:rFonts w:cs="Arial" w:hint="cs"/>
          <w:sz w:val="16"/>
          <w:szCs w:val="16"/>
          <w:rtl/>
        </w:rPr>
        <w:t>(</w:t>
      </w:r>
      <w:r w:rsidRPr="00725F42">
        <w:rPr>
          <w:rFonts w:cs="Arial"/>
          <w:sz w:val="16"/>
          <w:szCs w:val="16"/>
          <w:rtl/>
        </w:rPr>
        <w:t>וכמ"ש לקמן סי</w:t>
      </w:r>
      <w:r>
        <w:rPr>
          <w:rFonts w:cs="Arial" w:hint="cs"/>
          <w:sz w:val="16"/>
          <w:szCs w:val="16"/>
          <w:rtl/>
        </w:rPr>
        <w:t>'</w:t>
      </w:r>
      <w:r w:rsidRPr="00725F42">
        <w:rPr>
          <w:rFonts w:cs="Arial"/>
          <w:sz w:val="16"/>
          <w:szCs w:val="16"/>
          <w:rtl/>
        </w:rPr>
        <w:t xml:space="preserve"> ש"ן סק"א בשמו</w:t>
      </w:r>
      <w:r>
        <w:rPr>
          <w:rFonts w:cs="Arial" w:hint="cs"/>
          <w:sz w:val="16"/>
          <w:szCs w:val="16"/>
          <w:rtl/>
        </w:rPr>
        <w:t>)</w:t>
      </w:r>
      <w:r>
        <w:rPr>
          <w:rFonts w:cs="Arial" w:hint="cs"/>
          <w:rtl/>
        </w:rPr>
        <w:t>,</w:t>
      </w:r>
      <w:r w:rsidRPr="00725F42">
        <w:rPr>
          <w:rFonts w:cs="Arial"/>
          <w:rtl/>
        </w:rPr>
        <w:t xml:space="preserve"> דלא מסתבר לומר דלמ"ד טובת הנאה אינה ממון יכול להעיד, דעד כאן לא אמרינן טובת הנאה אינה ממון אלא לענין תשלומי כפל וקדושי אשה ושבועה וכה"ג, וכמ"ש לקמן סימן ש"ן, משום דהתם בעינן דבר של ממון, אבל לענין נגיעת עדות לא בעינן נגיעה של ממון, דנגיעה של שום הנאה נמי פסול, דהא חיישינן שמעיד להעמידה בפני בעל חובו, אע</w:t>
      </w:r>
      <w:r>
        <w:rPr>
          <w:rFonts w:cs="Arial" w:hint="cs"/>
          <w:rtl/>
        </w:rPr>
        <w:t>"</w:t>
      </w:r>
      <w:r w:rsidRPr="00725F42">
        <w:rPr>
          <w:rFonts w:cs="Arial"/>
          <w:rtl/>
        </w:rPr>
        <w:t>ג דלית ליה הנאת ממון רק דלא לקרוייה אינשי לוה רשע ולא ישלם, או שהראשון נוח לו והשני קשה הימנו, וכה"ג, או מפני הנאה שיתעשרו העניים וכיוצ</w:t>
      </w:r>
      <w:r>
        <w:rPr>
          <w:rFonts w:cs="Arial" w:hint="cs"/>
          <w:rtl/>
        </w:rPr>
        <w:t>"ב</w:t>
      </w:r>
      <w:r w:rsidRPr="00725F42">
        <w:rPr>
          <w:rFonts w:cs="Arial"/>
          <w:rtl/>
        </w:rPr>
        <w:t>, וכדלקמן סע</w:t>
      </w:r>
      <w:r>
        <w:rPr>
          <w:rFonts w:cs="Arial" w:hint="cs"/>
          <w:rtl/>
        </w:rPr>
        <w:t>'</w:t>
      </w:r>
      <w:r w:rsidRPr="00725F42">
        <w:rPr>
          <w:rFonts w:cs="Arial"/>
          <w:rtl/>
        </w:rPr>
        <w:t xml:space="preserve"> כ. ועוד דהרי לענין עדות כתבו הרמב"ם </w:t>
      </w:r>
      <w:r w:rsidRPr="004C7D8B">
        <w:rPr>
          <w:rFonts w:cs="Arial" w:hint="cs"/>
          <w:sz w:val="16"/>
          <w:szCs w:val="16"/>
          <w:rtl/>
        </w:rPr>
        <w:t>(</w:t>
      </w:r>
      <w:r w:rsidRPr="004C7D8B">
        <w:rPr>
          <w:rFonts w:cs="Arial"/>
          <w:sz w:val="16"/>
          <w:szCs w:val="16"/>
          <w:rtl/>
        </w:rPr>
        <w:t>פט"ז מעדות ה"ד</w:t>
      </w:r>
      <w:r>
        <w:rPr>
          <w:rFonts w:cs="Arial" w:hint="cs"/>
          <w:sz w:val="16"/>
          <w:szCs w:val="16"/>
          <w:rtl/>
        </w:rPr>
        <w:t>)</w:t>
      </w:r>
      <w:r w:rsidRPr="00725F42">
        <w:rPr>
          <w:rFonts w:cs="Arial"/>
          <w:rtl/>
        </w:rPr>
        <w:t xml:space="preserve"> והטור </w:t>
      </w:r>
      <w:r w:rsidRPr="004C7D8B">
        <w:rPr>
          <w:rFonts w:cs="Arial" w:hint="cs"/>
          <w:sz w:val="16"/>
          <w:szCs w:val="16"/>
          <w:rtl/>
        </w:rPr>
        <w:t xml:space="preserve">(סע' טו) </w:t>
      </w:r>
      <w:r w:rsidRPr="00725F42">
        <w:rPr>
          <w:rFonts w:cs="Arial"/>
          <w:rtl/>
        </w:rPr>
        <w:t xml:space="preserve">והשו"ע </w:t>
      </w:r>
      <w:r w:rsidRPr="004C7D8B">
        <w:rPr>
          <w:rFonts w:cs="Arial" w:hint="cs"/>
          <w:sz w:val="16"/>
          <w:szCs w:val="16"/>
          <w:rtl/>
        </w:rPr>
        <w:t>(סע' כא)</w:t>
      </w:r>
      <w:r w:rsidRPr="00725F42">
        <w:rPr>
          <w:rFonts w:cs="Arial"/>
          <w:rtl/>
        </w:rPr>
        <w:t xml:space="preserve"> דאפילו דבר הגורם לדבר אחר, אם יש צד הנאה בעדות זו אפילו בדרך רחוקה ונפלאה, לא יעיד. וא"כ כ"ש הכא שיש לחוש שמעיד כדי שיהיה להגזבר טובת הנאה לחלק למי שירצה, וק"ו היכא שידוע שהגזבר יחלק אח"כ לקרוביו, דבזה נראה אפילו תימא טובת הנאה אינה ממון אף לענין עדות, היינו דוקא כשיחלק אח"כ לשאר עניים שירצה שאינן קרוביו, אבל לקרוביו פשיטא דנוגע לפי שיש ביד הגזבר לחלקם לקרוביו, ולא שייך כאן לומר טובת הנאה, אלא הנאה של ממון ממש לקרוביו, כן נ"ל. ודברי הרב צל"ע</w:t>
      </w:r>
      <w:r>
        <w:rPr>
          <w:rFonts w:hint="cs"/>
          <w:rtl/>
        </w:rPr>
        <w:t>.</w:t>
      </w:r>
    </w:p>
  </w:footnote>
  <w:footnote w:id="2708">
    <w:p w14:paraId="38B097C5" w14:textId="77777777" w:rsidR="0013116F" w:rsidRDefault="0013116F" w:rsidP="004B607F">
      <w:pPr>
        <w:pStyle w:val="a9"/>
      </w:pPr>
      <w:r>
        <w:rPr>
          <w:rStyle w:val="ab"/>
        </w:rPr>
        <w:footnoteRef/>
      </w:r>
      <w:r>
        <w:rPr>
          <w:rtl/>
        </w:rPr>
        <w:t xml:space="preserve"> </w:t>
      </w:r>
      <w:r>
        <w:rPr>
          <w:rFonts w:hint="cs"/>
          <w:rtl/>
        </w:rPr>
        <w:t xml:space="preserve">סימן </w:t>
      </w:r>
      <w:r>
        <w:rPr>
          <w:rtl/>
        </w:rPr>
        <w:t>–</w:t>
      </w:r>
      <w:r>
        <w:rPr>
          <w:rFonts w:hint="cs"/>
          <w:rtl/>
        </w:rPr>
        <w:t xml:space="preserve"> מעיד דירתו.</w:t>
      </w:r>
    </w:p>
  </w:footnote>
  <w:footnote w:id="2709">
    <w:p w14:paraId="69BB299F" w14:textId="77777777" w:rsidR="0013116F" w:rsidRDefault="0013116F" w:rsidP="004B607F">
      <w:pPr>
        <w:pStyle w:val="a9"/>
        <w:rPr>
          <w:rtl/>
        </w:rPr>
      </w:pPr>
      <w:r>
        <w:rPr>
          <w:rStyle w:val="ab"/>
        </w:rPr>
        <w:footnoteRef/>
      </w:r>
      <w:r>
        <w:rPr>
          <w:rtl/>
        </w:rPr>
        <w:t xml:space="preserve"> </w:t>
      </w:r>
      <w:r w:rsidRPr="004B0249">
        <w:rPr>
          <w:rFonts w:cs="Arial"/>
          <w:rtl/>
        </w:rPr>
        <w:t>למוכר ארעא אחריתי בת חורין שיוכל בע"ח לגבות הימנה עליה הדר בעל חוב דאין נפרעים מנכסים משועבדים במקום שיש נכסים בני חורין ואפי' הן זבורית ואמאי אינו מעיד הרי אין מעמידה בפני בעל חובו ואין לו למוכר לא ריוח ולא הפסד אם תעמוד ביד הלוקח ואינו נוגע בעדות זו</w:t>
      </w:r>
      <w:r>
        <w:rPr>
          <w:rFonts w:hint="cs"/>
          <w:rtl/>
        </w:rPr>
        <w:t>, רשב"ם.</w:t>
      </w:r>
    </w:p>
  </w:footnote>
  <w:footnote w:id="2710">
    <w:p w14:paraId="4C38966C" w14:textId="77777777" w:rsidR="0013116F" w:rsidRDefault="0013116F" w:rsidP="004B607F">
      <w:pPr>
        <w:pStyle w:val="a9"/>
        <w:rPr>
          <w:rtl/>
        </w:rPr>
      </w:pPr>
      <w:r>
        <w:rPr>
          <w:rStyle w:val="ab"/>
        </w:rPr>
        <w:footnoteRef/>
      </w:r>
      <w:r>
        <w:rPr>
          <w:rtl/>
        </w:rPr>
        <w:t xml:space="preserve"> </w:t>
      </w:r>
      <w:r w:rsidRPr="004B0249">
        <w:rPr>
          <w:rFonts w:cs="Arial"/>
          <w:rtl/>
        </w:rPr>
        <w:t>אם תשאר ביד הלוקח הא אפילו אי מפיק לה מערער לא מצי גבי בעל חובו מיניה דמוכר מידי דהא לית ליה</w:t>
      </w:r>
      <w:r>
        <w:rPr>
          <w:rFonts w:hint="cs"/>
          <w:rtl/>
        </w:rPr>
        <w:t>, רשב"ם.</w:t>
      </w:r>
    </w:p>
  </w:footnote>
  <w:footnote w:id="2711">
    <w:p w14:paraId="31EF8906" w14:textId="77777777" w:rsidR="0013116F" w:rsidRDefault="0013116F" w:rsidP="004B607F">
      <w:pPr>
        <w:pStyle w:val="a9"/>
        <w:rPr>
          <w:rtl/>
        </w:rPr>
      </w:pPr>
      <w:r>
        <w:rPr>
          <w:rStyle w:val="ab"/>
        </w:rPr>
        <w:footnoteRef/>
      </w:r>
      <w:r>
        <w:rPr>
          <w:rtl/>
        </w:rPr>
        <w:t xml:space="preserve"> </w:t>
      </w:r>
      <w:r w:rsidRPr="004B0249">
        <w:rPr>
          <w:rFonts w:cs="Arial"/>
          <w:rtl/>
        </w:rPr>
        <w:t>ללוה דתיפוק ארעא מיד לוקח ולא ימצא בעל חוב ממה לגבות וקם ליה לוה בלוה רשע ולא ישלם והלכך נוגע בעדותו הוא</w:t>
      </w:r>
      <w:r>
        <w:rPr>
          <w:rFonts w:hint="cs"/>
          <w:rtl/>
        </w:rPr>
        <w:t>, רשב"ם.</w:t>
      </w:r>
    </w:p>
  </w:footnote>
  <w:footnote w:id="2712">
    <w:p w14:paraId="4D687236" w14:textId="77777777" w:rsidR="0013116F" w:rsidRDefault="0013116F" w:rsidP="004B607F">
      <w:pPr>
        <w:pStyle w:val="a9"/>
        <w:rPr>
          <w:rtl/>
        </w:rPr>
      </w:pPr>
      <w:r>
        <w:rPr>
          <w:rStyle w:val="ab"/>
        </w:rPr>
        <w:footnoteRef/>
      </w:r>
      <w:r>
        <w:rPr>
          <w:rtl/>
        </w:rPr>
        <w:t xml:space="preserve"> </w:t>
      </w:r>
      <w:r w:rsidRPr="004B0249">
        <w:rPr>
          <w:rFonts w:cs="Arial"/>
          <w:rtl/>
        </w:rPr>
        <w:t>מה הנאה יש לו בעדות זו דמוקי לה ביד לוקח והדר בעל חוב וגבי לה מיניה לגבי לוקח נמי הוה ליה לוה רשע שהרי הפסידו ולא הוי נוגע בעדות זו</w:t>
      </w:r>
      <w:r>
        <w:rPr>
          <w:rFonts w:hint="cs"/>
          <w:rtl/>
        </w:rPr>
        <w:t>, רשב"ם.</w:t>
      </w:r>
    </w:p>
  </w:footnote>
  <w:footnote w:id="2713">
    <w:p w14:paraId="3AF262F3" w14:textId="77777777" w:rsidR="0013116F" w:rsidRDefault="0013116F" w:rsidP="004B607F">
      <w:pPr>
        <w:pStyle w:val="a9"/>
        <w:rPr>
          <w:rtl/>
        </w:rPr>
      </w:pPr>
      <w:r>
        <w:rPr>
          <w:rStyle w:val="ab"/>
        </w:rPr>
        <w:footnoteRef/>
      </w:r>
      <w:r>
        <w:rPr>
          <w:rtl/>
        </w:rPr>
        <w:t xml:space="preserve"> </w:t>
      </w:r>
      <w:r w:rsidRPr="004B0249">
        <w:rPr>
          <w:rFonts w:cs="Arial"/>
          <w:rtl/>
        </w:rPr>
        <w:t>דאמר ליה להכי זבני לך שלא באחריות להפטר מכל אחריות שבעולם והלכך אינו מעיד שרוצה להעמידה בפני בעל חובו דלגביה הוא דהוה ליה לוה רשע אי לא פרע ליה</w:t>
      </w:r>
      <w:r>
        <w:rPr>
          <w:rFonts w:hint="cs"/>
          <w:rtl/>
        </w:rPr>
        <w:t>, רשב"ם.</w:t>
      </w:r>
    </w:p>
  </w:footnote>
  <w:footnote w:id="2714">
    <w:p w14:paraId="7FCADC3D" w14:textId="77777777" w:rsidR="0013116F" w:rsidRDefault="0013116F" w:rsidP="004B607F">
      <w:pPr>
        <w:pStyle w:val="a9"/>
      </w:pPr>
      <w:r>
        <w:rPr>
          <w:rStyle w:val="ab"/>
        </w:rPr>
        <w:footnoteRef/>
      </w:r>
      <w:r>
        <w:rPr>
          <w:rtl/>
        </w:rPr>
        <w:t xml:space="preserve"> </w:t>
      </w:r>
      <w:r w:rsidRPr="00FA0181">
        <w:rPr>
          <w:rFonts w:cs="Arial"/>
          <w:rtl/>
        </w:rPr>
        <w:t xml:space="preserve">בפרק חזקת הבתים </w:t>
      </w:r>
      <w:r>
        <w:rPr>
          <w:rFonts w:cs="Arial" w:hint="cs"/>
          <w:rtl/>
        </w:rPr>
        <w:t>(</w:t>
      </w:r>
      <w:r w:rsidRPr="00FA0181">
        <w:rPr>
          <w:rFonts w:cs="Arial"/>
          <w:rtl/>
        </w:rPr>
        <w:t>מד</w:t>
      </w:r>
      <w:r>
        <w:rPr>
          <w:rFonts w:cs="Arial" w:hint="cs"/>
          <w:rtl/>
        </w:rPr>
        <w:t>:)</w:t>
      </w:r>
      <w:r w:rsidRPr="00FA0181">
        <w:rPr>
          <w:rFonts w:cs="Arial"/>
          <w:rtl/>
        </w:rPr>
        <w:t xml:space="preserve"> אהא דקאמר שם משמיה דשמואל המוכר שדה לחבירו שלא באחריות אין מעיד לו עליה מפני שמעמידה בפני בעל חובו, פריך שם הגמרא היכי דמי, אי דאית ליה ארעא אחריתי עליה דידיה הדר, ואי דלית ליה ארעא אחריתי מאי נפקא ליה מיניה כו'. וכתבו שם התוס' [מ</w:t>
      </w:r>
      <w:r>
        <w:rPr>
          <w:rFonts w:cs="Arial" w:hint="cs"/>
          <w:rtl/>
        </w:rPr>
        <w:t>ה.</w:t>
      </w:r>
      <w:r w:rsidRPr="00FA0181">
        <w:rPr>
          <w:rFonts w:cs="Arial"/>
          <w:rtl/>
        </w:rPr>
        <w:t xml:space="preserve"> ד"ה מאי] ז"ל, תימה דנ"מ דנפטר אם יתעשר, ושמא בשביל כן אין לפוסלו לעדות כיון דהשתא לא מרויח מידי, עכ"ל. וזהו כמ"ש המחבר כאן. אלא שצ"ע דבגמרא משני שם קושיא דהיכי דמי הנ"ל, וקאמר ז"ל, לעולם דלית ליה ארעא אחריתי, דאמר דלא ניחא דלהוי לוה רשע ולא ישלם, וכ"כ הטור [סעיף ח'] והמחבר בסמוך סעיף ט"ו, וא"כ לפסול מה"ט. וצ"ל דהמחבר מיירי כאן בגוונא דלא שייך ביה האי טעמא כגון בגברא דאנן ידעינן ביה דלא קפיד אהא דקרינן עליה לוה רשע</w:t>
      </w:r>
      <w:r>
        <w:rPr>
          <w:rFonts w:cs="Arial" w:hint="cs"/>
          <w:rtl/>
        </w:rPr>
        <w:t>, סמ"ע</w:t>
      </w:r>
      <w:r w:rsidRPr="004B0249">
        <w:rPr>
          <w:rFonts w:cs="Arial" w:hint="cs"/>
          <w:sz w:val="16"/>
          <w:szCs w:val="16"/>
          <w:rtl/>
        </w:rPr>
        <w:t xml:space="preserve"> (סקכ"ד)</w:t>
      </w:r>
      <w:r>
        <w:rPr>
          <w:rFonts w:cs="Arial" w:hint="cs"/>
          <w:rtl/>
        </w:rPr>
        <w:t>.</w:t>
      </w:r>
      <w:r>
        <w:rPr>
          <w:rFonts w:hint="cs"/>
          <w:rtl/>
        </w:rPr>
        <w:t xml:space="preserve"> והסכים הש"ך </w:t>
      </w:r>
      <w:r w:rsidRPr="004B0249">
        <w:rPr>
          <w:rFonts w:hint="cs"/>
          <w:sz w:val="16"/>
          <w:szCs w:val="16"/>
          <w:rtl/>
        </w:rPr>
        <w:t xml:space="preserve">(סקי"א) </w:t>
      </w:r>
      <w:r>
        <w:rPr>
          <w:rFonts w:hint="cs"/>
          <w:rtl/>
        </w:rPr>
        <w:t xml:space="preserve">לדבריו אבל </w:t>
      </w:r>
      <w:r>
        <w:rPr>
          <w:rFonts w:cs="Arial" w:hint="cs"/>
          <w:rtl/>
        </w:rPr>
        <w:t xml:space="preserve">כתב וז"ל- </w:t>
      </w:r>
      <w:r w:rsidRPr="00FA0181">
        <w:rPr>
          <w:rFonts w:cs="Arial"/>
          <w:rtl/>
        </w:rPr>
        <w:t xml:space="preserve">מ"ש כגון בגברא דאנן ידעינן ביה כו', אני חוכך בזה, שהרי הדבר מסור ללב והיאך אפשר לן למיקם עלה דמילתא </w:t>
      </w:r>
      <w:r w:rsidRPr="00FA0181">
        <w:rPr>
          <w:rFonts w:cs="Arial" w:hint="cs"/>
          <w:sz w:val="16"/>
          <w:szCs w:val="16"/>
          <w:rtl/>
        </w:rPr>
        <w:t>(</w:t>
      </w:r>
      <w:r w:rsidRPr="00FA0181">
        <w:rPr>
          <w:rFonts w:cs="Arial"/>
          <w:sz w:val="16"/>
          <w:szCs w:val="16"/>
          <w:rtl/>
        </w:rPr>
        <w:t>וכן משמע בש"ס ופוסקים דלעולם איכא למיחש להא, דאל"כ כי פריך בש"ס שם</w:t>
      </w:r>
      <w:r w:rsidRPr="00FA0181">
        <w:rPr>
          <w:rFonts w:cs="Arial" w:hint="cs"/>
          <w:sz w:val="16"/>
          <w:szCs w:val="16"/>
          <w:rtl/>
        </w:rPr>
        <w:t xml:space="preserve"> (</w:t>
      </w:r>
      <w:r w:rsidRPr="00FA0181">
        <w:rPr>
          <w:rFonts w:cs="Arial"/>
          <w:sz w:val="16"/>
          <w:szCs w:val="16"/>
          <w:rtl/>
        </w:rPr>
        <w:t>מג</w:t>
      </w:r>
      <w:r w:rsidRPr="00FA0181">
        <w:rPr>
          <w:rFonts w:cs="Arial" w:hint="cs"/>
          <w:sz w:val="16"/>
          <w:szCs w:val="16"/>
          <w:rtl/>
        </w:rPr>
        <w:t>.)</w:t>
      </w:r>
      <w:r w:rsidRPr="00FA0181">
        <w:rPr>
          <w:rFonts w:cs="Arial"/>
          <w:sz w:val="16"/>
          <w:szCs w:val="16"/>
          <w:rtl/>
        </w:rPr>
        <w:t>, הרי מעמידה בפני בעל חובו, הוה ליה לשנויי בגברא דלא קפיד בכך. וכן משמע בפוסקים שלא חילקו בכך, וכתבו סתמא דלעולם פסול להעיד מהאי טעמא</w:t>
      </w:r>
      <w:r w:rsidRPr="00FA0181">
        <w:rPr>
          <w:rFonts w:cs="Arial" w:hint="cs"/>
          <w:sz w:val="16"/>
          <w:szCs w:val="16"/>
          <w:rtl/>
        </w:rPr>
        <w:t>)</w:t>
      </w:r>
      <w:r w:rsidRPr="00FA0181">
        <w:rPr>
          <w:rFonts w:cs="Arial"/>
          <w:rtl/>
        </w:rPr>
        <w:t>. אלא נראה דנפקא מינה בגוונא אחרינא, כגון שאותו שמכר שדה שלא באחריות ידוע שאין לו שום בעל חוב רק ניזקין, למ"ש יש פוסקים ומהרש"ל [ביש"ש] פ"ק דב"ק סי' ט"ז, דניזקין גובה ממשועבדים, א"כ יכול להעיד, דלא שייך לומר דלא ליהוי לוה רשע ולא ישלם, דהא לא לוה ממנו כלום, וליכא למיחש שמעיד שמא יתעשר כו'. א"נ משכחת לה בגווני אחריני טובי. וע</w:t>
      </w:r>
      <w:r>
        <w:rPr>
          <w:rFonts w:cs="Arial" w:hint="cs"/>
          <w:rtl/>
        </w:rPr>
        <w:t>"ל</w:t>
      </w:r>
      <w:r w:rsidRPr="00FA0181">
        <w:rPr>
          <w:rFonts w:cs="Arial"/>
          <w:rtl/>
        </w:rPr>
        <w:t xml:space="preserve"> ס</w:t>
      </w:r>
      <w:r>
        <w:rPr>
          <w:rFonts w:cs="Arial" w:hint="cs"/>
          <w:rtl/>
        </w:rPr>
        <w:t>י'</w:t>
      </w:r>
      <w:r w:rsidRPr="00FA0181">
        <w:rPr>
          <w:rFonts w:cs="Arial"/>
          <w:rtl/>
        </w:rPr>
        <w:t xml:space="preserve"> קכג סקכ"ד מזה</w:t>
      </w:r>
      <w:r>
        <w:rPr>
          <w:rFonts w:cs="Arial" w:hint="cs"/>
          <w:rtl/>
        </w:rPr>
        <w:t>.</w:t>
      </w:r>
    </w:p>
  </w:footnote>
  <w:footnote w:id="2715">
    <w:p w14:paraId="247019CE" w14:textId="77777777" w:rsidR="0013116F" w:rsidRDefault="0013116F" w:rsidP="004B607F">
      <w:pPr>
        <w:pStyle w:val="a9"/>
        <w:rPr>
          <w:rtl/>
        </w:rPr>
      </w:pPr>
      <w:r>
        <w:rPr>
          <w:rStyle w:val="ab"/>
        </w:rPr>
        <w:footnoteRef/>
      </w:r>
      <w:r>
        <w:rPr>
          <w:rtl/>
        </w:rPr>
        <w:t xml:space="preserve"> </w:t>
      </w:r>
      <w:r w:rsidRPr="00022365">
        <w:rPr>
          <w:rFonts w:cs="Arial"/>
          <w:rtl/>
        </w:rPr>
        <w:t>ומיהו נראה דיהודה לא קנאו דבעינן כתיבה ומסירה כדלקמן סימן ס"ו</w:t>
      </w:r>
      <w:r>
        <w:rPr>
          <w:rFonts w:cs="Arial" w:hint="cs"/>
          <w:rtl/>
        </w:rPr>
        <w:t>, דרכ"מ (אות ד).</w:t>
      </w:r>
    </w:p>
  </w:footnote>
  <w:footnote w:id="2716">
    <w:p w14:paraId="7B9AC13C" w14:textId="77777777" w:rsidR="0013116F" w:rsidRDefault="0013116F" w:rsidP="004B607F">
      <w:pPr>
        <w:pStyle w:val="a9"/>
      </w:pPr>
      <w:r>
        <w:rPr>
          <w:rStyle w:val="ab"/>
        </w:rPr>
        <w:footnoteRef/>
      </w:r>
      <w:r>
        <w:rPr>
          <w:rtl/>
        </w:rPr>
        <w:t xml:space="preserve"> </w:t>
      </w:r>
      <w:r w:rsidRPr="00F26B68">
        <w:rPr>
          <w:rFonts w:cs="Arial"/>
          <w:rtl/>
        </w:rPr>
        <w:t>פירוש, המתנה בטלה אף שיש עוד עד אחד עמו. והיינו אם ראובן רוצה לחזור מהמתנה, וטען ששמעון נוגע בעדות הוא שרוצה להעיד כדי שיפטר מבעל דינו שהשני נוח לו, כן הוא שם בטור</w:t>
      </w:r>
      <w:r>
        <w:rPr>
          <w:rFonts w:cs="Arial" w:hint="cs"/>
          <w:rtl/>
        </w:rPr>
        <w:t xml:space="preserve"> (סי' סו סכ"ב)</w:t>
      </w:r>
      <w:r w:rsidRPr="00F26B68">
        <w:rPr>
          <w:rFonts w:cs="Arial"/>
          <w:rtl/>
        </w:rPr>
        <w:t xml:space="preserve"> בהדיא. משום הכי כתב כאן תיבת פסול, משא"כ לעיל סעיף ז' בהמוכר שטר חוב לאחד מן החתומים, כתב שפיר דמי, ור"ל לענין שיכול לגבות בו מן הלוה, ואין הלוה יכול לומר שחתם שקר כדי שיגבה בו ממנו. וכ"כ בטור סימן ס"ו סעיף כ"א בהדיא, אבל המוכר אינו חוזר מהמקח ודו"ק. וזהו שמסיק מור"ם וכתב ז"ל, ועיין לקמן סי</w:t>
      </w:r>
      <w:r>
        <w:rPr>
          <w:rFonts w:cs="Arial" w:hint="cs"/>
          <w:rtl/>
        </w:rPr>
        <w:t>'</w:t>
      </w:r>
      <w:r w:rsidRPr="00F26B68">
        <w:rPr>
          <w:rFonts w:cs="Arial"/>
          <w:rtl/>
        </w:rPr>
        <w:t xml:space="preserve"> ס"ו סע</w:t>
      </w:r>
      <w:r>
        <w:rPr>
          <w:rFonts w:cs="Arial" w:hint="cs"/>
          <w:rtl/>
        </w:rPr>
        <w:t>'</w:t>
      </w:r>
      <w:r w:rsidRPr="00F26B68">
        <w:rPr>
          <w:rFonts w:cs="Arial"/>
          <w:rtl/>
        </w:rPr>
        <w:t xml:space="preserve"> כ"ב וסע</w:t>
      </w:r>
      <w:r>
        <w:rPr>
          <w:rFonts w:cs="Arial" w:hint="cs"/>
          <w:rtl/>
        </w:rPr>
        <w:t>'</w:t>
      </w:r>
      <w:r w:rsidRPr="00F26B68">
        <w:rPr>
          <w:rFonts w:cs="Arial"/>
          <w:rtl/>
        </w:rPr>
        <w:t xml:space="preserve"> כ"א אם עד החתום, ור"ל דשני הדינים מסודרים שם בטור ובשו"ע תכופים זא"ז ובכל אחד טעמו בצידו. ומש</w:t>
      </w:r>
      <w:r>
        <w:rPr>
          <w:rFonts w:cs="Arial" w:hint="cs"/>
          <w:rtl/>
        </w:rPr>
        <w:t>"</w:t>
      </w:r>
      <w:r w:rsidRPr="00F26B68">
        <w:rPr>
          <w:rFonts w:cs="Arial"/>
          <w:rtl/>
        </w:rPr>
        <w:t>ה חזר וכתב מור"ם, אם עד החתום כו', אע</w:t>
      </w:r>
      <w:r>
        <w:rPr>
          <w:rFonts w:cs="Arial" w:hint="cs"/>
          <w:rtl/>
        </w:rPr>
        <w:t>"</w:t>
      </w:r>
      <w:r w:rsidRPr="00F26B68">
        <w:rPr>
          <w:rFonts w:cs="Arial"/>
          <w:rtl/>
        </w:rPr>
        <w:t>פ שכבר כתבו המחבר בעצמו לפני זה בסע</w:t>
      </w:r>
      <w:r>
        <w:rPr>
          <w:rFonts w:cs="Arial" w:hint="cs"/>
          <w:rtl/>
        </w:rPr>
        <w:t>'</w:t>
      </w:r>
      <w:r w:rsidRPr="00F26B68">
        <w:rPr>
          <w:rFonts w:cs="Arial"/>
          <w:rtl/>
        </w:rPr>
        <w:t xml:space="preserve"> ז</w:t>
      </w:r>
      <w:r>
        <w:rPr>
          <w:rFonts w:cs="Arial" w:hint="cs"/>
          <w:rtl/>
        </w:rPr>
        <w:t xml:space="preserve">, סמ"ע </w:t>
      </w:r>
      <w:r w:rsidRPr="00CE2EF4">
        <w:rPr>
          <w:rFonts w:cs="Arial" w:hint="cs"/>
          <w:sz w:val="16"/>
          <w:szCs w:val="16"/>
          <w:rtl/>
        </w:rPr>
        <w:t>(סקכ"ה)</w:t>
      </w:r>
      <w:r>
        <w:rPr>
          <w:rFonts w:cs="Arial" w:hint="cs"/>
          <w:rtl/>
        </w:rPr>
        <w:t>.</w:t>
      </w:r>
    </w:p>
  </w:footnote>
  <w:footnote w:id="2717">
    <w:p w14:paraId="7AF40CFC" w14:textId="77777777" w:rsidR="0013116F" w:rsidRDefault="0013116F" w:rsidP="004B607F">
      <w:pPr>
        <w:pStyle w:val="a9"/>
      </w:pPr>
      <w:r>
        <w:rPr>
          <w:rStyle w:val="ab"/>
        </w:rPr>
        <w:footnoteRef/>
      </w:r>
      <w:r>
        <w:rPr>
          <w:rtl/>
        </w:rPr>
        <w:t xml:space="preserve"> </w:t>
      </w:r>
      <w:r>
        <w:rPr>
          <w:rFonts w:hint="cs"/>
          <w:rtl/>
        </w:rPr>
        <w:t xml:space="preserve">סימן </w:t>
      </w:r>
      <w:r>
        <w:rPr>
          <w:rtl/>
        </w:rPr>
        <w:t>–</w:t>
      </w:r>
      <w:r>
        <w:rPr>
          <w:rFonts w:hint="cs"/>
          <w:rtl/>
        </w:rPr>
        <w:t xml:space="preserve"> כח טירה</w:t>
      </w:r>
      <w:r>
        <w:rPr>
          <w:rFonts w:hint="cs"/>
          <w:sz w:val="16"/>
          <w:szCs w:val="16"/>
          <w:rtl/>
        </w:rPr>
        <w:t xml:space="preserve"> (הסימן לדף כט שבו עיקר ענייננו)</w:t>
      </w:r>
      <w:r>
        <w:rPr>
          <w:rFonts w:hint="cs"/>
          <w:rtl/>
        </w:rPr>
        <w:t>.</w:t>
      </w:r>
    </w:p>
  </w:footnote>
  <w:footnote w:id="2718">
    <w:p w14:paraId="7FA318DA" w14:textId="77777777" w:rsidR="0013116F" w:rsidRDefault="0013116F" w:rsidP="004B607F">
      <w:pPr>
        <w:pStyle w:val="a9"/>
        <w:rPr>
          <w:rtl/>
        </w:rPr>
      </w:pPr>
      <w:r>
        <w:rPr>
          <w:rStyle w:val="ab"/>
        </w:rPr>
        <w:footnoteRef/>
      </w:r>
      <w:r>
        <w:rPr>
          <w:rtl/>
        </w:rPr>
        <w:t xml:space="preserve"> </w:t>
      </w:r>
      <w:r w:rsidRPr="00B40C02">
        <w:rPr>
          <w:rFonts w:cs="Arial"/>
          <w:rtl/>
        </w:rPr>
        <w:t>שאינן בקיאין בדין דייני הכי לקבל עדות אלו אם כבר נתנו שכר הבית למשכיר ומעולם בכי האי גוונא לא איירי רבא</w:t>
      </w:r>
      <w:r>
        <w:rPr>
          <w:rFonts w:cs="Arial" w:hint="cs"/>
          <w:rtl/>
        </w:rPr>
        <w:t>, רשב"ם</w:t>
      </w:r>
      <w:r w:rsidRPr="00B40C02">
        <w:rPr>
          <w:rFonts w:cs="Arial"/>
          <w:rtl/>
        </w:rPr>
        <w:t>.</w:t>
      </w:r>
    </w:p>
  </w:footnote>
  <w:footnote w:id="2719">
    <w:p w14:paraId="2EFD6665" w14:textId="77777777" w:rsidR="0013116F" w:rsidRDefault="0013116F" w:rsidP="004B607F">
      <w:pPr>
        <w:pStyle w:val="a9"/>
        <w:rPr>
          <w:rtl/>
        </w:rPr>
      </w:pPr>
      <w:r>
        <w:rPr>
          <w:rStyle w:val="ab"/>
        </w:rPr>
        <w:footnoteRef/>
      </w:r>
      <w:r>
        <w:rPr>
          <w:rtl/>
        </w:rPr>
        <w:t xml:space="preserve"> </w:t>
      </w:r>
      <w:r w:rsidRPr="00022365">
        <w:rPr>
          <w:rFonts w:cs="Arial"/>
          <w:rtl/>
        </w:rPr>
        <w:t>וא"ת אמאי פסילי הא לאו נוגעים בעדות נינהו אפילו אם נתנו כבר השכירות למשכיר שאם תצא השדה למערער יתבעו אלו דמי השכירות שנתנו למשכיר שלא היה קרקע שלו ואפשר לומר דלא ניחא להו למיקם בדינא ודיינא</w:t>
      </w:r>
      <w:r w:rsidRPr="00B40C02">
        <w:rPr>
          <w:rFonts w:cs="Arial"/>
          <w:sz w:val="16"/>
          <w:szCs w:val="16"/>
          <w:rtl/>
        </w:rPr>
        <w:t xml:space="preserve"> (שבת קמח:) </w:t>
      </w:r>
      <w:r w:rsidRPr="00022365">
        <w:rPr>
          <w:rFonts w:cs="Arial"/>
          <w:rtl/>
        </w:rPr>
        <w:t>כדאמרינן גבי ערב בסמוך (ס"ו)</w:t>
      </w:r>
      <w:r>
        <w:rPr>
          <w:rFonts w:cs="Arial" w:hint="cs"/>
          <w:rtl/>
        </w:rPr>
        <w:t>, ב"י.</w:t>
      </w:r>
      <w:r w:rsidRPr="00F9368C">
        <w:rPr>
          <w:rtl/>
        </w:rPr>
        <w:t xml:space="preserve"> </w:t>
      </w:r>
      <w:r w:rsidRPr="00F9368C">
        <w:rPr>
          <w:rFonts w:cs="Arial"/>
          <w:rtl/>
        </w:rPr>
        <w:t xml:space="preserve">וכ"כ הרמב"ן בחידושיו </w:t>
      </w:r>
      <w:r>
        <w:rPr>
          <w:rFonts w:cs="Arial" w:hint="cs"/>
          <w:rtl/>
        </w:rPr>
        <w:t>(</w:t>
      </w:r>
      <w:r w:rsidRPr="00F9368C">
        <w:rPr>
          <w:rFonts w:cs="Arial"/>
          <w:rtl/>
        </w:rPr>
        <w:t>ב"ב כט</w:t>
      </w:r>
      <w:r>
        <w:rPr>
          <w:rFonts w:cs="Arial" w:hint="cs"/>
          <w:rtl/>
        </w:rPr>
        <w:t>., הביאו הש"ך [סקי"ג])</w:t>
      </w:r>
      <w:r>
        <w:rPr>
          <w:rFonts w:hint="cs"/>
          <w:rtl/>
        </w:rPr>
        <w:t>.</w:t>
      </w:r>
    </w:p>
  </w:footnote>
  <w:footnote w:id="2720">
    <w:p w14:paraId="4A4E0CA1" w14:textId="77777777" w:rsidR="0013116F" w:rsidRDefault="0013116F" w:rsidP="004B607F">
      <w:pPr>
        <w:pStyle w:val="a9"/>
        <w:rPr>
          <w:rtl/>
        </w:rPr>
      </w:pPr>
      <w:r>
        <w:rPr>
          <w:rStyle w:val="ab"/>
        </w:rPr>
        <w:footnoteRef/>
      </w:r>
      <w:r>
        <w:rPr>
          <w:rtl/>
        </w:rPr>
        <w:t xml:space="preserve"> </w:t>
      </w:r>
      <w:r>
        <w:rPr>
          <w:rFonts w:hint="cs"/>
          <w:rtl/>
        </w:rPr>
        <w:t xml:space="preserve">כן הוא במרדכי שלפני, ותיקנתי לפי הגהות הב"ח </w:t>
      </w:r>
      <w:r w:rsidRPr="00F9368C">
        <w:rPr>
          <w:rFonts w:hint="cs"/>
          <w:sz w:val="16"/>
          <w:szCs w:val="16"/>
          <w:rtl/>
        </w:rPr>
        <w:t>(על המרדכי אות ד)</w:t>
      </w:r>
      <w:r>
        <w:rPr>
          <w:rFonts w:hint="cs"/>
          <w:rtl/>
        </w:rPr>
        <w:t xml:space="preserve">, ולפני הב"י הייתה כנראה גירסא משובשת </w:t>
      </w:r>
      <w:r w:rsidRPr="00F9368C">
        <w:rPr>
          <w:rFonts w:hint="cs"/>
          <w:sz w:val="16"/>
          <w:szCs w:val="16"/>
          <w:rtl/>
        </w:rPr>
        <w:t>(עי' בדרכ"מ אות ה, ובחידושי הגהות אות ח, ובהגהות דו"פ אות ג</w:t>
      </w:r>
      <w:r>
        <w:rPr>
          <w:rFonts w:hint="cs"/>
          <w:sz w:val="16"/>
          <w:szCs w:val="16"/>
          <w:rtl/>
        </w:rPr>
        <w:t>)</w:t>
      </w:r>
      <w:r>
        <w:rPr>
          <w:rFonts w:hint="cs"/>
          <w:rtl/>
        </w:rPr>
        <w:t>.</w:t>
      </w:r>
    </w:p>
  </w:footnote>
  <w:footnote w:id="2721">
    <w:p w14:paraId="2F475175" w14:textId="77777777" w:rsidR="0013116F" w:rsidRDefault="0013116F" w:rsidP="004B607F">
      <w:pPr>
        <w:pStyle w:val="a9"/>
        <w:rPr>
          <w:rtl/>
        </w:rPr>
      </w:pPr>
      <w:r>
        <w:rPr>
          <w:rStyle w:val="ab"/>
        </w:rPr>
        <w:footnoteRef/>
      </w:r>
      <w:r>
        <w:rPr>
          <w:rtl/>
        </w:rPr>
        <w:t xml:space="preserve"> </w:t>
      </w:r>
      <w:r w:rsidRPr="00F9368C">
        <w:rPr>
          <w:rFonts w:cs="Arial"/>
          <w:rtl/>
        </w:rPr>
        <w:t>ולקמן סי</w:t>
      </w:r>
      <w:r>
        <w:rPr>
          <w:rFonts w:cs="Arial" w:hint="cs"/>
          <w:rtl/>
        </w:rPr>
        <w:t>'</w:t>
      </w:r>
      <w:r w:rsidRPr="00F9368C">
        <w:rPr>
          <w:rFonts w:cs="Arial"/>
          <w:rtl/>
        </w:rPr>
        <w:t xml:space="preserve"> ק"מ סע</w:t>
      </w:r>
      <w:r>
        <w:rPr>
          <w:rFonts w:cs="Arial" w:hint="cs"/>
          <w:rtl/>
        </w:rPr>
        <w:t>'</w:t>
      </w:r>
      <w:r w:rsidRPr="00F9368C">
        <w:rPr>
          <w:rFonts w:cs="Arial"/>
          <w:rtl/>
        </w:rPr>
        <w:t xml:space="preserve"> ט' הביא המחבר שיש מי שחולק. ו</w:t>
      </w:r>
      <w:r>
        <w:rPr>
          <w:rFonts w:cs="Arial" w:hint="cs"/>
          <w:rtl/>
        </w:rPr>
        <w:t xml:space="preserve">גם </w:t>
      </w:r>
      <w:r w:rsidRPr="00F9368C">
        <w:rPr>
          <w:rFonts w:cs="Arial"/>
          <w:rtl/>
        </w:rPr>
        <w:t xml:space="preserve">הב"ח </w:t>
      </w:r>
      <w:r w:rsidRPr="00F9368C">
        <w:rPr>
          <w:rFonts w:cs="Arial" w:hint="cs"/>
          <w:sz w:val="16"/>
          <w:szCs w:val="16"/>
          <w:rtl/>
        </w:rPr>
        <w:t>(</w:t>
      </w:r>
      <w:r w:rsidRPr="00F9368C">
        <w:rPr>
          <w:rFonts w:cs="Arial"/>
          <w:sz w:val="16"/>
          <w:szCs w:val="16"/>
          <w:rtl/>
        </w:rPr>
        <w:t>סי</w:t>
      </w:r>
      <w:r w:rsidRPr="00F9368C">
        <w:rPr>
          <w:rFonts w:cs="Arial" w:hint="cs"/>
          <w:sz w:val="16"/>
          <w:szCs w:val="16"/>
          <w:rtl/>
        </w:rPr>
        <w:t>'</w:t>
      </w:r>
      <w:r w:rsidRPr="00F9368C">
        <w:rPr>
          <w:rFonts w:cs="Arial"/>
          <w:sz w:val="16"/>
          <w:szCs w:val="16"/>
          <w:rtl/>
        </w:rPr>
        <w:t xml:space="preserve"> קכא סע</w:t>
      </w:r>
      <w:r w:rsidRPr="00F9368C">
        <w:rPr>
          <w:rFonts w:cs="Arial" w:hint="cs"/>
          <w:sz w:val="16"/>
          <w:szCs w:val="16"/>
          <w:rtl/>
        </w:rPr>
        <w:t>'</w:t>
      </w:r>
      <w:r w:rsidRPr="00F9368C">
        <w:rPr>
          <w:rFonts w:cs="Arial"/>
          <w:sz w:val="16"/>
          <w:szCs w:val="16"/>
          <w:rtl/>
        </w:rPr>
        <w:t xml:space="preserve"> יב וסי</w:t>
      </w:r>
      <w:r w:rsidRPr="00F9368C">
        <w:rPr>
          <w:rFonts w:cs="Arial" w:hint="cs"/>
          <w:sz w:val="16"/>
          <w:szCs w:val="16"/>
          <w:rtl/>
        </w:rPr>
        <w:t>'</w:t>
      </w:r>
      <w:r w:rsidRPr="00F9368C">
        <w:rPr>
          <w:rFonts w:cs="Arial"/>
          <w:sz w:val="16"/>
          <w:szCs w:val="16"/>
          <w:rtl/>
        </w:rPr>
        <w:t xml:space="preserve"> קמ סע</w:t>
      </w:r>
      <w:r w:rsidRPr="00F9368C">
        <w:rPr>
          <w:rFonts w:cs="Arial" w:hint="cs"/>
          <w:sz w:val="16"/>
          <w:szCs w:val="16"/>
          <w:rtl/>
        </w:rPr>
        <w:t>'</w:t>
      </w:r>
      <w:r w:rsidRPr="00F9368C">
        <w:rPr>
          <w:rFonts w:cs="Arial"/>
          <w:sz w:val="16"/>
          <w:szCs w:val="16"/>
          <w:rtl/>
        </w:rPr>
        <w:t xml:space="preserve"> ה</w:t>
      </w:r>
      <w:r w:rsidRPr="00F9368C">
        <w:rPr>
          <w:rFonts w:cs="Arial" w:hint="cs"/>
          <w:sz w:val="16"/>
          <w:szCs w:val="16"/>
          <w:rtl/>
        </w:rPr>
        <w:t>)</w:t>
      </w:r>
      <w:r w:rsidRPr="00F9368C">
        <w:rPr>
          <w:rFonts w:cs="Arial"/>
          <w:rtl/>
        </w:rPr>
        <w:t xml:space="preserve"> פסק כרבינו יונה </w:t>
      </w:r>
      <w:r>
        <w:rPr>
          <w:rFonts w:cs="Arial" w:hint="cs"/>
          <w:rtl/>
        </w:rPr>
        <w:t xml:space="preserve">והטור, </w:t>
      </w:r>
      <w:r w:rsidRPr="00F9368C">
        <w:rPr>
          <w:rFonts w:cs="Arial"/>
          <w:rtl/>
        </w:rPr>
        <w:t>וגם ר</w:t>
      </w:r>
      <w:r>
        <w:rPr>
          <w:rFonts w:cs="Arial" w:hint="cs"/>
          <w:rtl/>
        </w:rPr>
        <w:t xml:space="preserve">י"ו </w:t>
      </w:r>
      <w:r w:rsidRPr="00F9368C">
        <w:rPr>
          <w:rFonts w:cs="Arial" w:hint="cs"/>
          <w:sz w:val="16"/>
          <w:szCs w:val="16"/>
          <w:rtl/>
        </w:rPr>
        <w:t>(</w:t>
      </w:r>
      <w:r w:rsidRPr="00F9368C">
        <w:rPr>
          <w:rFonts w:cs="Arial"/>
          <w:sz w:val="16"/>
          <w:szCs w:val="16"/>
          <w:rtl/>
        </w:rPr>
        <w:t>מישרים ני"א ח"ב</w:t>
      </w:r>
      <w:r w:rsidRPr="00F9368C">
        <w:rPr>
          <w:rFonts w:cs="Arial" w:hint="cs"/>
          <w:sz w:val="16"/>
          <w:szCs w:val="16"/>
          <w:rtl/>
        </w:rPr>
        <w:t>)</w:t>
      </w:r>
      <w:r w:rsidRPr="00F9368C">
        <w:rPr>
          <w:rFonts w:cs="Arial"/>
          <w:rtl/>
        </w:rPr>
        <w:t xml:space="preserve"> כתב שיש מן הגדולים שנהגו כן ושכן עיקר</w:t>
      </w:r>
      <w:r>
        <w:rPr>
          <w:rFonts w:hint="cs"/>
          <w:rtl/>
        </w:rPr>
        <w:t>, ע"פ ש"ך (סקי"ד).</w:t>
      </w:r>
    </w:p>
  </w:footnote>
  <w:footnote w:id="2722">
    <w:p w14:paraId="5E0CCE98" w14:textId="77777777" w:rsidR="0013116F" w:rsidRDefault="0013116F" w:rsidP="004B607F">
      <w:pPr>
        <w:pStyle w:val="a9"/>
      </w:pPr>
      <w:r>
        <w:rPr>
          <w:rStyle w:val="ab"/>
        </w:rPr>
        <w:footnoteRef/>
      </w:r>
      <w:r>
        <w:rPr>
          <w:rtl/>
        </w:rPr>
        <w:t xml:space="preserve"> </w:t>
      </w:r>
      <w:r w:rsidRPr="009076F7">
        <w:rPr>
          <w:rFonts w:cs="Arial"/>
          <w:rtl/>
        </w:rPr>
        <w:t xml:space="preserve">וגם המערער אינו יודע כי אם על פיו </w:t>
      </w:r>
      <w:r w:rsidRPr="00564E39">
        <w:rPr>
          <w:rFonts w:cs="Arial" w:hint="cs"/>
          <w:rtl/>
        </w:rPr>
        <w:t>{של השוכר}</w:t>
      </w:r>
      <w:r>
        <w:rPr>
          <w:rFonts w:cs="Arial" w:hint="cs"/>
          <w:rtl/>
        </w:rPr>
        <w:t xml:space="preserve"> </w:t>
      </w:r>
      <w:r w:rsidRPr="009076F7">
        <w:rPr>
          <w:rFonts w:cs="Arial" w:hint="cs"/>
          <w:sz w:val="16"/>
          <w:szCs w:val="16"/>
          <w:rtl/>
        </w:rPr>
        <w:t>(</w:t>
      </w:r>
      <w:r w:rsidRPr="009076F7">
        <w:rPr>
          <w:rFonts w:cs="Arial"/>
          <w:sz w:val="16"/>
          <w:szCs w:val="16"/>
          <w:rtl/>
        </w:rPr>
        <w:t>כ"כ הטור לקמן סימן ק"מ [סעיף י'] בשם ר"ח, וכ"כ המחבר שם סעיף י"א</w:t>
      </w:r>
      <w:r>
        <w:rPr>
          <w:rFonts w:cs="Arial" w:hint="cs"/>
          <w:sz w:val="16"/>
          <w:szCs w:val="16"/>
          <w:rtl/>
        </w:rPr>
        <w:t>)</w:t>
      </w:r>
      <w:r w:rsidRPr="009076F7">
        <w:rPr>
          <w:rFonts w:cs="Arial"/>
          <w:rtl/>
        </w:rPr>
        <w:t>. אבל אי המערער יודע בלאו הכי שדר בו</w:t>
      </w:r>
      <w:r>
        <w:rPr>
          <w:rFonts w:cs="Arial" w:hint="cs"/>
          <w:rtl/>
        </w:rPr>
        <w:t xml:space="preserve"> </w:t>
      </w:r>
      <w:r w:rsidRPr="00564E39">
        <w:rPr>
          <w:rFonts w:cs="Arial" w:hint="cs"/>
          <w:sz w:val="16"/>
          <w:szCs w:val="16"/>
          <w:rtl/>
        </w:rPr>
        <w:t>{השוכר}</w:t>
      </w:r>
      <w:r w:rsidRPr="009076F7">
        <w:rPr>
          <w:rFonts w:cs="Arial"/>
          <w:rtl/>
        </w:rPr>
        <w:t>, נוגע בעדות הוא</w:t>
      </w:r>
      <w:r>
        <w:rPr>
          <w:rFonts w:cs="Arial" w:hint="cs"/>
          <w:sz w:val="16"/>
          <w:szCs w:val="16"/>
          <w:rtl/>
        </w:rPr>
        <w:t xml:space="preserve"> </w:t>
      </w:r>
      <w:r w:rsidRPr="00564E39">
        <w:rPr>
          <w:rFonts w:cs="Arial" w:hint="cs"/>
          <w:sz w:val="16"/>
          <w:szCs w:val="16"/>
          <w:rtl/>
        </w:rPr>
        <w:t>{השוכר}</w:t>
      </w:r>
      <w:r w:rsidRPr="009076F7">
        <w:rPr>
          <w:rFonts w:cs="Arial"/>
          <w:rtl/>
        </w:rPr>
        <w:t>, דאי הוה אמר לא דרתי בו היה צריך לישבע נגדו</w:t>
      </w:r>
      <w:r>
        <w:rPr>
          <w:rFonts w:cs="Arial" w:hint="cs"/>
          <w:sz w:val="16"/>
          <w:szCs w:val="16"/>
          <w:rtl/>
        </w:rPr>
        <w:t xml:space="preserve"> </w:t>
      </w:r>
      <w:r w:rsidRPr="00564E39">
        <w:rPr>
          <w:rFonts w:cs="Arial" w:hint="cs"/>
          <w:sz w:val="16"/>
          <w:szCs w:val="16"/>
          <w:rtl/>
        </w:rPr>
        <w:t>{</w:t>
      </w:r>
      <w:r>
        <w:rPr>
          <w:rFonts w:cs="Arial" w:hint="cs"/>
          <w:sz w:val="16"/>
          <w:szCs w:val="16"/>
          <w:rtl/>
        </w:rPr>
        <w:t>נגד המערער</w:t>
      </w:r>
      <w:r w:rsidRPr="00564E39">
        <w:rPr>
          <w:rFonts w:cs="Arial" w:hint="cs"/>
          <w:sz w:val="16"/>
          <w:szCs w:val="16"/>
          <w:rtl/>
        </w:rPr>
        <w:t>}</w:t>
      </w:r>
      <w:r w:rsidRPr="009076F7">
        <w:rPr>
          <w:rFonts w:cs="Arial"/>
          <w:rtl/>
        </w:rPr>
        <w:t xml:space="preserve">, וכל עד שצריך שבועה אינו עד </w:t>
      </w:r>
      <w:r w:rsidRPr="009076F7">
        <w:rPr>
          <w:rFonts w:cs="Arial" w:hint="cs"/>
          <w:sz w:val="16"/>
          <w:szCs w:val="16"/>
          <w:rtl/>
        </w:rPr>
        <w:t>(</w:t>
      </w:r>
      <w:r w:rsidRPr="009076F7">
        <w:rPr>
          <w:rFonts w:cs="Arial"/>
          <w:sz w:val="16"/>
          <w:szCs w:val="16"/>
          <w:rtl/>
        </w:rPr>
        <w:t>וכדלקמן סי</w:t>
      </w:r>
      <w:r>
        <w:rPr>
          <w:rFonts w:cs="Arial" w:hint="cs"/>
          <w:sz w:val="16"/>
          <w:szCs w:val="16"/>
          <w:rtl/>
        </w:rPr>
        <w:t>'</w:t>
      </w:r>
      <w:r w:rsidRPr="009076F7">
        <w:rPr>
          <w:rFonts w:cs="Arial"/>
          <w:sz w:val="16"/>
          <w:szCs w:val="16"/>
          <w:rtl/>
        </w:rPr>
        <w:t xml:space="preserve"> קכא סקנ"א, עיין שם. ועמ"ש עוד בסימן ק"מ [סקט"ו]</w:t>
      </w:r>
      <w:r>
        <w:rPr>
          <w:rFonts w:cs="Arial" w:hint="cs"/>
          <w:sz w:val="16"/>
          <w:szCs w:val="16"/>
          <w:rtl/>
        </w:rPr>
        <w:t>)</w:t>
      </w:r>
      <w:r>
        <w:rPr>
          <w:rFonts w:cs="Arial" w:hint="cs"/>
          <w:rtl/>
        </w:rPr>
        <w:t>, ש"ך (סקט"ו).</w:t>
      </w:r>
    </w:p>
  </w:footnote>
  <w:footnote w:id="2723">
    <w:p w14:paraId="2C5E75EF" w14:textId="77777777" w:rsidR="0013116F" w:rsidRDefault="0013116F" w:rsidP="004B607F">
      <w:pPr>
        <w:pStyle w:val="a9"/>
      </w:pPr>
      <w:r>
        <w:rPr>
          <w:rStyle w:val="ab"/>
        </w:rPr>
        <w:footnoteRef/>
      </w:r>
      <w:r>
        <w:rPr>
          <w:rtl/>
        </w:rPr>
        <w:t xml:space="preserve"> </w:t>
      </w:r>
      <w:r>
        <w:rPr>
          <w:rFonts w:hint="cs"/>
          <w:rtl/>
        </w:rPr>
        <w:t xml:space="preserve">סימן </w:t>
      </w:r>
      <w:r>
        <w:rPr>
          <w:rtl/>
        </w:rPr>
        <w:t>–</w:t>
      </w:r>
      <w:r>
        <w:rPr>
          <w:rFonts w:hint="cs"/>
          <w:rtl/>
        </w:rPr>
        <w:t xml:space="preserve"> </w:t>
      </w:r>
      <w:r>
        <w:t>without</w:t>
      </w:r>
      <w:r>
        <w:rPr>
          <w:rFonts w:hint="cs"/>
          <w:rtl/>
        </w:rPr>
        <w:t xml:space="preserve"> מגע.</w:t>
      </w:r>
    </w:p>
  </w:footnote>
  <w:footnote w:id="2724">
    <w:p w14:paraId="3EDF2E10" w14:textId="77777777" w:rsidR="0013116F" w:rsidRDefault="0013116F" w:rsidP="004B607F">
      <w:pPr>
        <w:pStyle w:val="a9"/>
        <w:rPr>
          <w:rtl/>
        </w:rPr>
      </w:pPr>
      <w:r>
        <w:rPr>
          <w:rStyle w:val="ab"/>
        </w:rPr>
        <w:footnoteRef/>
      </w:r>
      <w:r>
        <w:rPr>
          <w:rtl/>
        </w:rPr>
        <w:t xml:space="preserve"> </w:t>
      </w:r>
      <w:r w:rsidRPr="006835CC">
        <w:rPr>
          <w:rFonts w:cs="Arial"/>
          <w:rtl/>
        </w:rPr>
        <w:t>של לוה כנגד המלוה מעיד ללוה על קרקע שלו להוציאה מן המערער</w:t>
      </w:r>
      <w:r>
        <w:rPr>
          <w:rFonts w:cs="Arial" w:hint="cs"/>
          <w:rtl/>
        </w:rPr>
        <w:t>..., רשב"ם</w:t>
      </w:r>
      <w:r w:rsidRPr="006835CC">
        <w:rPr>
          <w:rFonts w:cs="Arial"/>
          <w:rtl/>
        </w:rPr>
        <w:t>.</w:t>
      </w:r>
    </w:p>
  </w:footnote>
  <w:footnote w:id="2725">
    <w:p w14:paraId="12F6E64B" w14:textId="77777777" w:rsidR="0013116F" w:rsidRDefault="0013116F" w:rsidP="004B607F">
      <w:pPr>
        <w:pStyle w:val="a9"/>
      </w:pPr>
      <w:r>
        <w:rPr>
          <w:rStyle w:val="ab"/>
        </w:rPr>
        <w:footnoteRef/>
      </w:r>
      <w:r>
        <w:rPr>
          <w:rtl/>
        </w:rPr>
        <w:t xml:space="preserve"> </w:t>
      </w:r>
      <w:r w:rsidRPr="006835CC">
        <w:rPr>
          <w:rFonts w:cs="Arial"/>
          <w:rtl/>
        </w:rPr>
        <w:t>ללוה</w:t>
      </w:r>
      <w:r>
        <w:rPr>
          <w:rFonts w:cs="Arial" w:hint="cs"/>
          <w:rtl/>
        </w:rPr>
        <w:t>, רשב"ם</w:t>
      </w:r>
      <w:r w:rsidRPr="006835CC">
        <w:rPr>
          <w:rFonts w:cs="Arial"/>
          <w:rtl/>
        </w:rPr>
        <w:t>.</w:t>
      </w:r>
    </w:p>
  </w:footnote>
  <w:footnote w:id="2726">
    <w:p w14:paraId="24ED93DB" w14:textId="77777777" w:rsidR="0013116F" w:rsidRDefault="0013116F" w:rsidP="004B607F">
      <w:pPr>
        <w:pStyle w:val="a9"/>
        <w:rPr>
          <w:rtl/>
        </w:rPr>
      </w:pPr>
      <w:r>
        <w:rPr>
          <w:rStyle w:val="ab"/>
        </w:rPr>
        <w:footnoteRef/>
      </w:r>
      <w:r>
        <w:t xml:space="preserve"> </w:t>
      </w:r>
      <w:r w:rsidRPr="006835CC">
        <w:rPr>
          <w:rFonts w:cs="Arial"/>
          <w:rtl/>
        </w:rPr>
        <w:t>שיוכל המלוה לגבות הימנה את חובו ויפטר הערב ונמצא שאין הערב מרויח כלום במה שמעמיד שדה זו ביד לוה</w:t>
      </w:r>
      <w:r>
        <w:rPr>
          <w:rFonts w:cs="Arial" w:hint="cs"/>
          <w:rtl/>
        </w:rPr>
        <w:t>, רשב"ם.</w:t>
      </w:r>
      <w:r w:rsidRPr="006835CC">
        <w:rPr>
          <w:rFonts w:cs="Arial"/>
          <w:rtl/>
        </w:rPr>
        <w:t xml:space="preserve"> </w:t>
      </w:r>
      <w:r>
        <w:rPr>
          <w:rFonts w:cs="Arial" w:hint="cs"/>
          <w:sz w:val="16"/>
          <w:szCs w:val="16"/>
          <w:rtl/>
        </w:rPr>
        <w:t xml:space="preserve">(וכתב עוד הרשב"ם שם- </w:t>
      </w:r>
      <w:r w:rsidRPr="006A2834">
        <w:rPr>
          <w:rFonts w:cs="Arial"/>
          <w:sz w:val="16"/>
          <w:szCs w:val="16"/>
          <w:rtl/>
        </w:rPr>
        <w:t>והא ליכא למימר דלכך מתכוין הערב דניחא ליה שיהו שדות הרבה ביד הלוה שאם חייב הלוה עדיין לבעל חוב אחר שיגבה תחלה קרקע האחת ויגבה הערב קרקע השנית ונוגע בעדותו הוא</w:t>
      </w:r>
      <w:r w:rsidRPr="006A2834">
        <w:rPr>
          <w:rFonts w:cs="Arial" w:hint="cs"/>
          <w:sz w:val="16"/>
          <w:szCs w:val="16"/>
          <w:rtl/>
        </w:rPr>
        <w:t>,</w:t>
      </w:r>
      <w:r w:rsidRPr="006A2834">
        <w:rPr>
          <w:rFonts w:cs="Arial"/>
          <w:sz w:val="16"/>
          <w:szCs w:val="16"/>
          <w:rtl/>
        </w:rPr>
        <w:t xml:space="preserve"> ליכא למימר הכי</w:t>
      </w:r>
      <w:r w:rsidRPr="006A2834">
        <w:rPr>
          <w:rFonts w:cs="Arial" w:hint="cs"/>
          <w:sz w:val="16"/>
          <w:szCs w:val="16"/>
          <w:rtl/>
        </w:rPr>
        <w:t>,</w:t>
      </w:r>
      <w:r w:rsidRPr="006A2834">
        <w:rPr>
          <w:rFonts w:cs="Arial"/>
          <w:sz w:val="16"/>
          <w:szCs w:val="16"/>
          <w:rtl/>
        </w:rPr>
        <w:t xml:space="preserve"> דכולי האי לא חייש שמא לא יפרע הלוה בזמנו</w:t>
      </w:r>
      <w:r w:rsidRPr="006A2834">
        <w:rPr>
          <w:rFonts w:cs="Arial" w:hint="cs"/>
          <w:sz w:val="16"/>
          <w:szCs w:val="16"/>
          <w:rtl/>
        </w:rPr>
        <w:t>.</w:t>
      </w:r>
      <w:r w:rsidRPr="006A2834">
        <w:rPr>
          <w:rFonts w:cs="Arial"/>
          <w:sz w:val="16"/>
          <w:szCs w:val="16"/>
          <w:rtl/>
        </w:rPr>
        <w:t xml:space="preserve"> ואת"ל לא יפרע שמא יבא מלוה אחר ויגבה ואח"כ יבא מלוה זה ויפרע ממנו</w:t>
      </w:r>
      <w:r w:rsidRPr="006A2834">
        <w:rPr>
          <w:rFonts w:cs="Arial" w:hint="cs"/>
          <w:sz w:val="16"/>
          <w:szCs w:val="16"/>
          <w:rtl/>
        </w:rPr>
        <w:t>,</w:t>
      </w:r>
      <w:r w:rsidRPr="006A2834">
        <w:rPr>
          <w:rFonts w:cs="Arial"/>
          <w:sz w:val="16"/>
          <w:szCs w:val="16"/>
          <w:rtl/>
        </w:rPr>
        <w:t xml:space="preserve"> שני חששות לא חייש</w:t>
      </w:r>
      <w:r w:rsidRPr="006A2834">
        <w:rPr>
          <w:rFonts w:cs="Arial" w:hint="cs"/>
          <w:sz w:val="16"/>
          <w:szCs w:val="16"/>
          <w:rtl/>
        </w:rPr>
        <w:t xml:space="preserve"> </w:t>
      </w:r>
      <w:r w:rsidRPr="001B494F">
        <w:rPr>
          <w:rFonts w:cs="Arial" w:hint="cs"/>
          <w:sz w:val="14"/>
          <w:szCs w:val="14"/>
          <w:rtl/>
        </w:rPr>
        <w:t xml:space="preserve">(והב"י כתב בשם רשב"ם [מהדו' י-ם] שהטעם הוא </w:t>
      </w:r>
      <w:r w:rsidRPr="001B494F">
        <w:rPr>
          <w:rFonts w:cs="Arial"/>
          <w:sz w:val="14"/>
          <w:szCs w:val="14"/>
          <w:rtl/>
        </w:rPr>
        <w:t>דאין לחוש אלא מה שהוא יודע</w:t>
      </w:r>
      <w:r w:rsidRPr="001B494F">
        <w:rPr>
          <w:rFonts w:cs="Arial" w:hint="cs"/>
          <w:sz w:val="14"/>
          <w:szCs w:val="14"/>
          <w:rtl/>
        </w:rPr>
        <w:t>. וכ"כ נמוק"י [כה:])</w:t>
      </w:r>
      <w:r w:rsidRPr="001B494F">
        <w:rPr>
          <w:rFonts w:cs="Arial"/>
          <w:sz w:val="14"/>
          <w:szCs w:val="14"/>
          <w:rtl/>
        </w:rPr>
        <w:t xml:space="preserve"> </w:t>
      </w:r>
      <w:r w:rsidRPr="006A2834">
        <w:rPr>
          <w:rFonts w:cs="Arial"/>
          <w:sz w:val="16"/>
          <w:szCs w:val="16"/>
          <w:rtl/>
        </w:rPr>
        <w:t>והלכך לאו נוגע בעדות הוא</w:t>
      </w:r>
      <w:r w:rsidRPr="006A2834">
        <w:rPr>
          <w:rFonts w:cs="Arial" w:hint="cs"/>
          <w:sz w:val="16"/>
          <w:szCs w:val="16"/>
          <w:rtl/>
        </w:rPr>
        <w:t>,</w:t>
      </w:r>
      <w:r w:rsidRPr="006A2834">
        <w:rPr>
          <w:rFonts w:cs="Arial"/>
          <w:sz w:val="16"/>
          <w:szCs w:val="16"/>
          <w:rtl/>
        </w:rPr>
        <w:t xml:space="preserve"> וכה</w:t>
      </w:r>
      <w:r w:rsidRPr="006A2834">
        <w:rPr>
          <w:rFonts w:cs="Arial" w:hint="cs"/>
          <w:sz w:val="16"/>
          <w:szCs w:val="16"/>
          <w:rtl/>
        </w:rPr>
        <w:t>"</w:t>
      </w:r>
      <w:r w:rsidRPr="006A2834">
        <w:rPr>
          <w:rFonts w:cs="Arial"/>
          <w:sz w:val="16"/>
          <w:szCs w:val="16"/>
          <w:rtl/>
        </w:rPr>
        <w:t>ג איכא לתרוצי גבי מלוה מעיד ללוה</w:t>
      </w:r>
      <w:r>
        <w:rPr>
          <w:rFonts w:cs="Arial" w:hint="cs"/>
          <w:sz w:val="16"/>
          <w:szCs w:val="16"/>
          <w:rtl/>
        </w:rPr>
        <w:t xml:space="preserve">. עכ"ל הרשב"ם. </w:t>
      </w:r>
      <w:r w:rsidRPr="006A2834">
        <w:rPr>
          <w:rFonts w:hint="cs"/>
          <w:sz w:val="16"/>
          <w:szCs w:val="16"/>
          <w:rtl/>
        </w:rPr>
        <w:t xml:space="preserve">וכעין </w:t>
      </w:r>
      <w:r>
        <w:rPr>
          <w:rFonts w:hint="cs"/>
          <w:sz w:val="16"/>
          <w:szCs w:val="16"/>
          <w:rtl/>
        </w:rPr>
        <w:t>זה</w:t>
      </w:r>
      <w:r w:rsidRPr="006A2834">
        <w:rPr>
          <w:rFonts w:hint="cs"/>
          <w:sz w:val="16"/>
          <w:szCs w:val="16"/>
          <w:rtl/>
        </w:rPr>
        <w:t xml:space="preserve"> כתבו </w:t>
      </w:r>
      <w:r w:rsidRPr="006A2834">
        <w:rPr>
          <w:rFonts w:cs="Arial" w:hint="cs"/>
          <w:sz w:val="16"/>
          <w:szCs w:val="16"/>
          <w:rtl/>
        </w:rPr>
        <w:t>התוס'</w:t>
      </w:r>
      <w:r w:rsidRPr="006A2834">
        <w:rPr>
          <w:rFonts w:cs="Arial"/>
          <w:sz w:val="16"/>
          <w:szCs w:val="16"/>
          <w:rtl/>
        </w:rPr>
        <w:t xml:space="preserve"> </w:t>
      </w:r>
      <w:r w:rsidRPr="001B494F">
        <w:rPr>
          <w:rFonts w:cs="Arial"/>
          <w:sz w:val="14"/>
          <w:szCs w:val="14"/>
          <w:rtl/>
        </w:rPr>
        <w:t xml:space="preserve">(מו: ד"ה לוקח) </w:t>
      </w:r>
      <w:r w:rsidRPr="006A2834">
        <w:rPr>
          <w:rFonts w:cs="Arial"/>
          <w:sz w:val="16"/>
          <w:szCs w:val="16"/>
          <w:rtl/>
        </w:rPr>
        <w:t>דלשמא יבא בעל חוב אחר ויוציאה ממנו לא חיישינן דמה הוא יודע אם יש לו שום בעל חוב ללוה</w:t>
      </w:r>
      <w:r w:rsidRPr="006A2834">
        <w:rPr>
          <w:rFonts w:cs="Arial" w:hint="cs"/>
          <w:sz w:val="16"/>
          <w:szCs w:val="16"/>
          <w:rtl/>
        </w:rPr>
        <w:t>,</w:t>
      </w:r>
      <w:r w:rsidRPr="006A2834">
        <w:rPr>
          <w:rFonts w:cs="Arial"/>
          <w:sz w:val="16"/>
          <w:szCs w:val="16"/>
          <w:rtl/>
        </w:rPr>
        <w:t xml:space="preserve"> דאי חיישינן לבעל חוב אפילו אית ליה ארעא אחריתי ניחוש לבעל חוב גדול</w:t>
      </w:r>
      <w:r w:rsidRPr="006A2834">
        <w:rPr>
          <w:rFonts w:cs="Arial" w:hint="cs"/>
          <w:sz w:val="16"/>
          <w:szCs w:val="16"/>
          <w:rtl/>
        </w:rPr>
        <w:t>,</w:t>
      </w:r>
      <w:r w:rsidRPr="006A2834">
        <w:rPr>
          <w:rFonts w:cs="Arial"/>
          <w:sz w:val="16"/>
          <w:szCs w:val="16"/>
          <w:rtl/>
        </w:rPr>
        <w:t xml:space="preserve"> דדוקא גבי מוכר שדהו שלא באחריות אין מעיד לו עליה דחיישינן שמא דעתו להעמידה בפני בעל חוב כי המוכר יודע שיש לו בעל חוב הלכך אפילו אי אית ליה ארעא אחריתי אין מעיד דחיישינן לבע</w:t>
      </w:r>
      <w:r>
        <w:rPr>
          <w:rFonts w:cs="Arial" w:hint="cs"/>
          <w:sz w:val="16"/>
          <w:szCs w:val="16"/>
          <w:rtl/>
        </w:rPr>
        <w:t xml:space="preserve">ל </w:t>
      </w:r>
      <w:r w:rsidRPr="006A2834">
        <w:rPr>
          <w:rFonts w:cs="Arial"/>
          <w:sz w:val="16"/>
          <w:szCs w:val="16"/>
          <w:rtl/>
        </w:rPr>
        <w:t>ח</w:t>
      </w:r>
      <w:r>
        <w:rPr>
          <w:rFonts w:cs="Arial" w:hint="cs"/>
          <w:sz w:val="16"/>
          <w:szCs w:val="16"/>
          <w:rtl/>
        </w:rPr>
        <w:t>וב</w:t>
      </w:r>
      <w:r w:rsidRPr="006A2834">
        <w:rPr>
          <w:rFonts w:cs="Arial"/>
          <w:sz w:val="16"/>
          <w:szCs w:val="16"/>
          <w:rtl/>
        </w:rPr>
        <w:t xml:space="preserve"> גדול</w:t>
      </w:r>
      <w:r>
        <w:rPr>
          <w:rFonts w:cs="Arial" w:hint="cs"/>
          <w:sz w:val="16"/>
          <w:szCs w:val="16"/>
          <w:rtl/>
        </w:rPr>
        <w:t>)</w:t>
      </w:r>
    </w:p>
  </w:footnote>
  <w:footnote w:id="2727">
    <w:p w14:paraId="494DEC69" w14:textId="77777777" w:rsidR="0013116F" w:rsidRDefault="0013116F" w:rsidP="004B607F">
      <w:pPr>
        <w:pStyle w:val="a9"/>
        <w:rPr>
          <w:rtl/>
        </w:rPr>
      </w:pPr>
      <w:r>
        <w:rPr>
          <w:rStyle w:val="ab"/>
        </w:rPr>
        <w:footnoteRef/>
      </w:r>
      <w:r>
        <w:rPr>
          <w:rtl/>
        </w:rPr>
        <w:t xml:space="preserve"> </w:t>
      </w:r>
      <w:r w:rsidRPr="006835CC">
        <w:rPr>
          <w:rFonts w:cs="Arial"/>
          <w:rtl/>
        </w:rPr>
        <w:t>ערב קבלן שקבל המעות מידו של מלוה ונתן לידו של לוה</w:t>
      </w:r>
      <w:r>
        <w:rPr>
          <w:rFonts w:cs="Arial" w:hint="cs"/>
          <w:rtl/>
        </w:rPr>
        <w:t>...</w:t>
      </w:r>
      <w:r w:rsidRPr="006835CC">
        <w:rPr>
          <w:rFonts w:cs="Arial"/>
          <w:rtl/>
        </w:rPr>
        <w:t xml:space="preserve"> אבל ערב סתמא אין תובעין לערב תחלה עד שיעמיד מלוה ללוה בדין ויחייבוהו לשלם ואין לו מה לפרוע ואז יגבה מן הערב</w:t>
      </w:r>
      <w:r>
        <w:rPr>
          <w:rFonts w:cs="Arial" w:hint="cs"/>
          <w:rtl/>
        </w:rPr>
        <w:t>, רשב"ם</w:t>
      </w:r>
      <w:r w:rsidRPr="006835CC">
        <w:rPr>
          <w:rFonts w:cs="Arial"/>
          <w:rtl/>
        </w:rPr>
        <w:t>.</w:t>
      </w:r>
      <w:r w:rsidRPr="00126D94">
        <w:rPr>
          <w:rFonts w:cs="Arial"/>
          <w:rtl/>
        </w:rPr>
        <w:t xml:space="preserve"> </w:t>
      </w:r>
      <w:r>
        <w:rPr>
          <w:rFonts w:cs="Arial" w:hint="cs"/>
          <w:rtl/>
        </w:rPr>
        <w:t xml:space="preserve">וכתב עוד רשב"ם בתוך דבריו דלעיל </w:t>
      </w:r>
      <w:r w:rsidRPr="006835CC">
        <w:rPr>
          <w:rFonts w:cs="Arial"/>
          <w:rtl/>
        </w:rPr>
        <w:t>ד</w:t>
      </w:r>
      <w:r>
        <w:rPr>
          <w:rFonts w:cs="Arial" w:hint="cs"/>
          <w:rtl/>
        </w:rPr>
        <w:t>ד</w:t>
      </w:r>
      <w:r w:rsidRPr="006835CC">
        <w:rPr>
          <w:rFonts w:cs="Arial"/>
          <w:rtl/>
        </w:rPr>
        <w:t>ינו</w:t>
      </w:r>
      <w:r>
        <w:rPr>
          <w:rFonts w:cs="Arial" w:hint="cs"/>
          <w:rtl/>
        </w:rPr>
        <w:t xml:space="preserve"> של ערב קבלן הוא -</w:t>
      </w:r>
      <w:r w:rsidRPr="006835CC">
        <w:rPr>
          <w:rFonts w:cs="Arial"/>
          <w:rtl/>
        </w:rPr>
        <w:t xml:space="preserve"> דממי שירצה המלוה יפרע תחלה</w:t>
      </w:r>
      <w:r>
        <w:rPr>
          <w:rFonts w:cs="Arial" w:hint="cs"/>
          <w:rtl/>
        </w:rPr>
        <w:t xml:space="preserve">. </w:t>
      </w:r>
      <w:r w:rsidRPr="00126D94">
        <w:rPr>
          <w:rFonts w:cs="Arial" w:hint="cs"/>
          <w:rtl/>
        </w:rPr>
        <w:t>וכתב הש"ך [סקט"ו]</w:t>
      </w:r>
      <w:r w:rsidRPr="00126D94">
        <w:rPr>
          <w:rFonts w:cs="Arial"/>
          <w:rtl/>
        </w:rPr>
        <w:t xml:space="preserve"> ותמה אני אם כתב רשב"ם </w:t>
      </w:r>
      <w:r>
        <w:rPr>
          <w:rFonts w:cs="Arial" w:hint="cs"/>
          <w:rtl/>
        </w:rPr>
        <w:t xml:space="preserve">זה </w:t>
      </w:r>
      <w:r w:rsidRPr="00126D94">
        <w:rPr>
          <w:rFonts w:cs="Arial" w:hint="cs"/>
          <w:sz w:val="16"/>
          <w:szCs w:val="16"/>
          <w:rtl/>
        </w:rPr>
        <w:t>{היינו דממי שירצה יפרע}</w:t>
      </w:r>
      <w:r w:rsidRPr="00126D94">
        <w:rPr>
          <w:rFonts w:cs="Arial"/>
          <w:rtl/>
        </w:rPr>
        <w:t>, דהא האי מפטר לוה מיניה דמלוה, וקבלן זה לוה הוא, וכדאיתא בש"ס ס</w:t>
      </w:r>
      <w:r w:rsidRPr="00126D94">
        <w:rPr>
          <w:rFonts w:cs="Arial" w:hint="cs"/>
          <w:rtl/>
        </w:rPr>
        <w:t>"</w:t>
      </w:r>
      <w:r w:rsidRPr="00126D94">
        <w:rPr>
          <w:rFonts w:cs="Arial"/>
          <w:rtl/>
        </w:rPr>
        <w:t xml:space="preserve">פ גט פשוט </w:t>
      </w:r>
      <w:r w:rsidRPr="00126D94">
        <w:rPr>
          <w:rFonts w:cs="Arial" w:hint="cs"/>
          <w:rtl/>
        </w:rPr>
        <w:t>[קעד.]</w:t>
      </w:r>
      <w:r w:rsidRPr="00126D94">
        <w:rPr>
          <w:rFonts w:cs="Arial"/>
          <w:rtl/>
        </w:rPr>
        <w:t>, והיכי דמי קבלן כגון דאמר תן לו ואני נותן, תן לו ואני פורע, וכדאיתא בש"ס שם ובכל הפוסקים, ונתבאר לקמן סימן קכ"ט סעיף י"ח וסעיף י"ט</w:t>
      </w:r>
      <w:r>
        <w:rPr>
          <w:rFonts w:cs="Arial" w:hint="cs"/>
          <w:rtl/>
        </w:rPr>
        <w:t>.</w:t>
      </w:r>
    </w:p>
  </w:footnote>
  <w:footnote w:id="2728">
    <w:p w14:paraId="4D73464B" w14:textId="77777777" w:rsidR="0013116F" w:rsidRDefault="0013116F" w:rsidP="004B607F">
      <w:pPr>
        <w:pStyle w:val="a9"/>
      </w:pPr>
      <w:r>
        <w:rPr>
          <w:rStyle w:val="ab"/>
        </w:rPr>
        <w:footnoteRef/>
      </w:r>
      <w:r>
        <w:rPr>
          <w:rtl/>
        </w:rPr>
        <w:t xml:space="preserve"> </w:t>
      </w:r>
      <w:r w:rsidRPr="006835CC">
        <w:rPr>
          <w:rFonts w:cs="Arial"/>
          <w:rtl/>
        </w:rPr>
        <w:t>כמו ערב</w:t>
      </w:r>
      <w:r>
        <w:rPr>
          <w:rFonts w:cs="Arial" w:hint="cs"/>
          <w:rtl/>
        </w:rPr>
        <w:t>, רשב"ם</w:t>
      </w:r>
      <w:r w:rsidRPr="006835CC">
        <w:rPr>
          <w:rFonts w:cs="Arial"/>
          <w:rtl/>
        </w:rPr>
        <w:t>.</w:t>
      </w:r>
    </w:p>
  </w:footnote>
  <w:footnote w:id="2729">
    <w:p w14:paraId="5A5C9664" w14:textId="77777777" w:rsidR="0013116F" w:rsidRDefault="0013116F" w:rsidP="004B607F">
      <w:pPr>
        <w:pStyle w:val="a9"/>
        <w:rPr>
          <w:rtl/>
        </w:rPr>
      </w:pPr>
      <w:r>
        <w:rPr>
          <w:rStyle w:val="ab"/>
        </w:rPr>
        <w:footnoteRef/>
      </w:r>
      <w:r>
        <w:rPr>
          <w:rtl/>
        </w:rPr>
        <w:t xml:space="preserve"> </w:t>
      </w:r>
      <w:r w:rsidRPr="002710F0">
        <w:rPr>
          <w:rFonts w:cs="Arial"/>
          <w:rtl/>
        </w:rPr>
        <w:t>ונראה דהיינו טעמא דקבלן אינו מעיד ללוה אע</w:t>
      </w:r>
      <w:r>
        <w:rPr>
          <w:rFonts w:cs="Arial" w:hint="cs"/>
          <w:rtl/>
        </w:rPr>
        <w:t>"</w:t>
      </w:r>
      <w:r w:rsidRPr="002710F0">
        <w:rPr>
          <w:rFonts w:cs="Arial"/>
          <w:rtl/>
        </w:rPr>
        <w:t>ג דאית ליה ארעא אחריתי משום דטריחא ליה מילתא למיקם עליה בדינא ודיינא וכשיהיו ללוה קרקעות הרבה לא יגבה המלוה מן הקבלן הואיל ויכול לגבות מן הלוה בהרווחה</w:t>
      </w:r>
      <w:r>
        <w:rPr>
          <w:rFonts w:cs="Arial" w:hint="cs"/>
          <w:rtl/>
        </w:rPr>
        <w:t>, תוס' (ד"ה קבלן)</w:t>
      </w:r>
      <w:r w:rsidRPr="006835CC">
        <w:rPr>
          <w:rFonts w:cs="Arial"/>
          <w:rtl/>
        </w:rPr>
        <w:t>.</w:t>
      </w:r>
    </w:p>
  </w:footnote>
  <w:footnote w:id="2730">
    <w:p w14:paraId="2D0270CB" w14:textId="77777777" w:rsidR="0013116F" w:rsidRDefault="0013116F" w:rsidP="004B607F">
      <w:pPr>
        <w:pStyle w:val="a9"/>
      </w:pPr>
      <w:r>
        <w:rPr>
          <w:rStyle w:val="ab"/>
        </w:rPr>
        <w:footnoteRef/>
      </w:r>
      <w:r>
        <w:rPr>
          <w:rtl/>
        </w:rPr>
        <w:t xml:space="preserve"> </w:t>
      </w:r>
      <w:r>
        <w:rPr>
          <w:rFonts w:cs="Arial" w:hint="cs"/>
          <w:rtl/>
        </w:rPr>
        <w:t xml:space="preserve">כן הבין הב"י מדבריו </w:t>
      </w:r>
      <w:r w:rsidRPr="00876BE6">
        <w:rPr>
          <w:rFonts w:cs="Arial"/>
          <w:rtl/>
        </w:rPr>
        <w:t>ש</w:t>
      </w:r>
      <w:r>
        <w:rPr>
          <w:rFonts w:cs="Arial" w:hint="cs"/>
          <w:rtl/>
        </w:rPr>
        <w:t xml:space="preserve">הרי הרמב"ם </w:t>
      </w:r>
      <w:r w:rsidRPr="00876BE6">
        <w:rPr>
          <w:rFonts w:cs="Arial"/>
          <w:rtl/>
        </w:rPr>
        <w:t>לא חילק בין קבלן לאינו קבלן</w:t>
      </w:r>
      <w:r>
        <w:rPr>
          <w:rFonts w:cs="Arial" w:hint="cs"/>
          <w:rtl/>
        </w:rPr>
        <w:t>.</w:t>
      </w:r>
      <w:r>
        <w:rPr>
          <w:rFonts w:hint="cs"/>
          <w:rtl/>
        </w:rPr>
        <w:t xml:space="preserve"> וכן הבין הש"ך (סקי"ז) מדברי הרמב"ם, וכתב </w:t>
      </w:r>
      <w:r>
        <w:rPr>
          <w:rFonts w:cs="Arial" w:hint="cs"/>
          <w:rtl/>
        </w:rPr>
        <w:t>דכן הבין</w:t>
      </w:r>
      <w:r w:rsidRPr="00B36056">
        <w:rPr>
          <w:rFonts w:cs="Arial"/>
          <w:rtl/>
        </w:rPr>
        <w:t xml:space="preserve"> רבינו ירוחם </w:t>
      </w:r>
      <w:r>
        <w:rPr>
          <w:rFonts w:cs="Arial" w:hint="cs"/>
          <w:rtl/>
        </w:rPr>
        <w:t>(</w:t>
      </w:r>
      <w:r w:rsidRPr="00B36056">
        <w:rPr>
          <w:rFonts w:cs="Arial"/>
          <w:rtl/>
        </w:rPr>
        <w:t>מישרים נ</w:t>
      </w:r>
      <w:r>
        <w:rPr>
          <w:rFonts w:cs="Arial" w:hint="cs"/>
          <w:rtl/>
        </w:rPr>
        <w:t>"</w:t>
      </w:r>
      <w:r w:rsidRPr="00B36056">
        <w:rPr>
          <w:rFonts w:cs="Arial"/>
          <w:rtl/>
        </w:rPr>
        <w:t>ב ח"ה</w:t>
      </w:r>
      <w:r>
        <w:rPr>
          <w:rFonts w:cs="Arial" w:hint="cs"/>
          <w:rtl/>
        </w:rPr>
        <w:t>)</w:t>
      </w:r>
      <w:r>
        <w:rPr>
          <w:rFonts w:hint="cs"/>
          <w:rtl/>
        </w:rPr>
        <w:t xml:space="preserve"> ברמב"ם.</w:t>
      </w:r>
    </w:p>
  </w:footnote>
  <w:footnote w:id="2731">
    <w:p w14:paraId="51ADD5E4" w14:textId="77777777" w:rsidR="0013116F" w:rsidRDefault="0013116F" w:rsidP="004B607F">
      <w:pPr>
        <w:pStyle w:val="a9"/>
        <w:rPr>
          <w:rtl/>
        </w:rPr>
      </w:pPr>
      <w:r>
        <w:rPr>
          <w:rStyle w:val="ab"/>
        </w:rPr>
        <w:footnoteRef/>
      </w:r>
      <w:r>
        <w:rPr>
          <w:rtl/>
        </w:rPr>
        <w:t xml:space="preserve"> </w:t>
      </w:r>
      <w:r w:rsidRPr="00B36056">
        <w:rPr>
          <w:rFonts w:cs="Arial"/>
          <w:rtl/>
        </w:rPr>
        <w:t>וכן נראה דעת בעל העיטור שכתב בסוף דף ל"ט [אות ק', קבלת העדות ערב, בתחילתו], (שכתב) אמרי לה מעיד ואמרי לה אינו מעיד ולקולא, ע"כ, משמע דר"ל ולקולא דהיכא דקיימא ארעא תיקום ומעיד דהמוציא מחבירו עליו הראיה</w:t>
      </w:r>
      <w:r>
        <w:rPr>
          <w:rFonts w:hint="cs"/>
          <w:rtl/>
        </w:rPr>
        <w:t>, ש"ך (סקי"ז).</w:t>
      </w:r>
    </w:p>
  </w:footnote>
  <w:footnote w:id="2732">
    <w:p w14:paraId="14F363DF" w14:textId="77777777" w:rsidR="0013116F" w:rsidRDefault="0013116F" w:rsidP="004B607F">
      <w:pPr>
        <w:pStyle w:val="a9"/>
      </w:pPr>
      <w:r>
        <w:rPr>
          <w:rStyle w:val="ab"/>
        </w:rPr>
        <w:footnoteRef/>
      </w:r>
      <w:r>
        <w:rPr>
          <w:rtl/>
        </w:rPr>
        <w:t xml:space="preserve"> </w:t>
      </w:r>
      <w:r w:rsidRPr="001A5D5F">
        <w:rPr>
          <w:rFonts w:cs="Arial"/>
          <w:rtl/>
        </w:rPr>
        <w:t>ונראה דכי איכא בידא דלוה תלת ארעתא עידית ובינונית וזיבורית כי מיהת דעידית יכול קבלן להעיד דהא תו ליכא למיחש ליה כיון דאמרן דלחובות שאינם ידועין לא חיישי מלוה ולא ערב ולא לוקח ותו לא מידי.</w:t>
      </w:r>
    </w:p>
  </w:footnote>
  <w:footnote w:id="2733">
    <w:p w14:paraId="584B25E5" w14:textId="77777777" w:rsidR="0013116F" w:rsidRDefault="0013116F" w:rsidP="004B607F">
      <w:pPr>
        <w:pStyle w:val="a9"/>
      </w:pPr>
      <w:r>
        <w:rPr>
          <w:rStyle w:val="ab"/>
        </w:rPr>
        <w:footnoteRef/>
      </w:r>
      <w:r>
        <w:rPr>
          <w:rtl/>
        </w:rPr>
        <w:t xml:space="preserve"> </w:t>
      </w:r>
      <w:r w:rsidRPr="00022365">
        <w:rPr>
          <w:rFonts w:cs="Arial"/>
          <w:rtl/>
        </w:rPr>
        <w:t>וכתבו התוספות (מז. שם) קבלן אמרי לה אינו מעיד אף על גב דאית ליה ארעא אחריתי תימה דמאי נפקא מינה דאי אתי מלוה וטריף את של קבלן אתי קבלן וטריף של לוה כיון דאית ליה ארעא אחריתי והעלו דהיינו טעמא משום דטריחא ליה מילתא למיקם בדינא ודיינא וכשיהיו ללוה קרקעות הרבה לא יגבה המלוה מן הקבלן הואיל ויכול לגבות מן הלוה בהרווחה אי נמי ארעא אחריתי דכולא שמעתין כיוצא בו קאמר עכ"ל התוספות. ובהג</w:t>
      </w:r>
      <w:r>
        <w:rPr>
          <w:rFonts w:cs="Arial" w:hint="cs"/>
          <w:rtl/>
        </w:rPr>
        <w:t>"</w:t>
      </w:r>
      <w:r w:rsidRPr="00022365">
        <w:rPr>
          <w:rFonts w:cs="Arial"/>
          <w:rtl/>
        </w:rPr>
        <w:t>א (סי' מט) כתב תירוץ ראשון ולא חשש לתירוץ שני וזה דעת רבינו</w:t>
      </w:r>
      <w:r>
        <w:rPr>
          <w:rFonts w:cs="Arial" w:hint="cs"/>
          <w:rtl/>
        </w:rPr>
        <w:t>, ב"י</w:t>
      </w:r>
      <w:r w:rsidRPr="00022365">
        <w:rPr>
          <w:rFonts w:cs="Arial"/>
          <w:rtl/>
        </w:rPr>
        <w:t>.</w:t>
      </w:r>
    </w:p>
  </w:footnote>
  <w:footnote w:id="2734">
    <w:p w14:paraId="55F9B1C2" w14:textId="77777777" w:rsidR="0013116F" w:rsidRDefault="0013116F" w:rsidP="004B607F">
      <w:pPr>
        <w:pStyle w:val="a9"/>
      </w:pPr>
      <w:r>
        <w:rPr>
          <w:rStyle w:val="ab"/>
        </w:rPr>
        <w:footnoteRef/>
      </w:r>
      <w:r>
        <w:rPr>
          <w:rtl/>
        </w:rPr>
        <w:t xml:space="preserve"> </w:t>
      </w:r>
      <w:r>
        <w:rPr>
          <w:rFonts w:hint="cs"/>
          <w:rtl/>
        </w:rPr>
        <w:t xml:space="preserve">סימן </w:t>
      </w:r>
      <w:r>
        <w:rPr>
          <w:rtl/>
        </w:rPr>
        <w:t>–</w:t>
      </w:r>
      <w:r>
        <w:rPr>
          <w:rFonts w:hint="cs"/>
          <w:rtl/>
        </w:rPr>
        <w:t xml:space="preserve"> מעיד ומשתלם.</w:t>
      </w:r>
    </w:p>
  </w:footnote>
  <w:footnote w:id="2735">
    <w:p w14:paraId="67254B12" w14:textId="77777777" w:rsidR="0013116F" w:rsidRDefault="0013116F" w:rsidP="004B607F">
      <w:pPr>
        <w:pStyle w:val="a9"/>
        <w:rPr>
          <w:rtl/>
        </w:rPr>
      </w:pPr>
      <w:r>
        <w:rPr>
          <w:rStyle w:val="ab"/>
        </w:rPr>
        <w:footnoteRef/>
      </w:r>
      <w:r>
        <w:rPr>
          <w:rtl/>
        </w:rPr>
        <w:t xml:space="preserve"> </w:t>
      </w:r>
      <w:r w:rsidRPr="00424B27">
        <w:rPr>
          <w:rFonts w:cs="Arial"/>
          <w:rtl/>
        </w:rPr>
        <w:t>כגון ראובן שמכר שדה אחת ללוי</w:t>
      </w:r>
      <w:r w:rsidRPr="00424B27">
        <w:rPr>
          <w:rFonts w:cs="Arial" w:hint="cs"/>
          <w:rtl/>
        </w:rPr>
        <w:t>,</w:t>
      </w:r>
      <w:r w:rsidRPr="00424B27">
        <w:rPr>
          <w:rFonts w:cs="Arial"/>
          <w:rtl/>
        </w:rPr>
        <w:t xml:space="preserve"> ואח</w:t>
      </w:r>
      <w:r w:rsidRPr="00424B27">
        <w:rPr>
          <w:rFonts w:cs="Arial" w:hint="cs"/>
          <w:rtl/>
        </w:rPr>
        <w:t>"</w:t>
      </w:r>
      <w:r w:rsidRPr="00424B27">
        <w:rPr>
          <w:rFonts w:cs="Arial"/>
          <w:rtl/>
        </w:rPr>
        <w:t>כ מכר שדה אחרת ליהודה</w:t>
      </w:r>
      <w:r w:rsidRPr="00424B27">
        <w:rPr>
          <w:rFonts w:cs="Arial" w:hint="cs"/>
          <w:rtl/>
        </w:rPr>
        <w:t>,</w:t>
      </w:r>
      <w:r w:rsidRPr="00424B27">
        <w:rPr>
          <w:rFonts w:cs="Arial"/>
          <w:rtl/>
        </w:rPr>
        <w:t xml:space="preserve"> ואתא איניש דעלמא ומערער על של יהודה לומר גזלה ראובן ממני</w:t>
      </w:r>
      <w:r w:rsidRPr="00424B27">
        <w:rPr>
          <w:rFonts w:cs="Arial" w:hint="cs"/>
          <w:rtl/>
        </w:rPr>
        <w:t>,</w:t>
      </w:r>
      <w:r w:rsidRPr="00424B27">
        <w:rPr>
          <w:rFonts w:cs="Arial"/>
          <w:rtl/>
        </w:rPr>
        <w:t xml:space="preserve"> מעיד לו לוי ליהודה דהיינו לוקח ראשון ללוקח שני שהיא שלו ולא של מערער</w:t>
      </w:r>
      <w:r w:rsidRPr="00424B27">
        <w:rPr>
          <w:rFonts w:cs="Arial" w:hint="cs"/>
          <w:rtl/>
        </w:rPr>
        <w:t>,</w:t>
      </w:r>
      <w:r w:rsidRPr="00424B27">
        <w:rPr>
          <w:rFonts w:cs="Arial"/>
          <w:rtl/>
        </w:rPr>
        <w:t xml:space="preserve"> והוא דאית ליה ליהודה עוד קרקע אחרת שלקח מראובן שיוכל בעל חוב דראובן לגבות חובו הימנה כדין בעל חוב שגובה מלוקח אחרון ואם אין לו גובה משלפניו </w:t>
      </w:r>
      <w:r w:rsidRPr="00424B27">
        <w:rPr>
          <w:rFonts w:cs="Arial"/>
          <w:sz w:val="16"/>
          <w:szCs w:val="16"/>
          <w:rtl/>
        </w:rPr>
        <w:t>(ב"ק ח.)</w:t>
      </w:r>
      <w:r w:rsidRPr="00424B27">
        <w:rPr>
          <w:rFonts w:cs="Arial" w:hint="cs"/>
          <w:rtl/>
        </w:rPr>
        <w:t>,</w:t>
      </w:r>
      <w:r w:rsidRPr="00424B27">
        <w:rPr>
          <w:rFonts w:cs="Arial"/>
          <w:rtl/>
        </w:rPr>
        <w:t xml:space="preserve"> והילכך כיון דאית ליהודה עוד קרקע אחרת המשועבד לבעל חוב דראובן א</w:t>
      </w:r>
      <w:r w:rsidRPr="00424B27">
        <w:rPr>
          <w:rFonts w:cs="Arial" w:hint="cs"/>
          <w:rtl/>
        </w:rPr>
        <w:t>"</w:t>
      </w:r>
      <w:r w:rsidRPr="00424B27">
        <w:rPr>
          <w:rFonts w:cs="Arial"/>
          <w:rtl/>
        </w:rPr>
        <w:t>נ יש לראובן קרקע אחרת בת חורין דלהדר עלה בעל חוב דידיה מצי לוי לאסהודי ליהודה אהך קרקע דלאו נוגע בעדותו הוא</w:t>
      </w:r>
      <w:r w:rsidRPr="00424B27">
        <w:rPr>
          <w:rFonts w:cs="Arial" w:hint="cs"/>
          <w:rtl/>
        </w:rPr>
        <w:t>,</w:t>
      </w:r>
      <w:r w:rsidRPr="00424B27">
        <w:rPr>
          <w:rFonts w:cs="Arial"/>
          <w:rtl/>
        </w:rPr>
        <w:t xml:space="preserve"> דהא אפילו מפיק ליה מערער מיהודה לא אתי בעל חוב דראובן וטריף מלוי אלא מהקרקע אחרת שיש לו ליהודה מראובן או מקרקע אחרת שיש לראובן עוד</w:t>
      </w:r>
      <w:r w:rsidRPr="00424B27">
        <w:rPr>
          <w:rFonts w:cs="Arial" w:hint="cs"/>
          <w:rtl/>
        </w:rPr>
        <w:t>.</w:t>
      </w:r>
      <w:r w:rsidRPr="00424B27">
        <w:rPr>
          <w:rFonts w:cs="Arial"/>
          <w:rtl/>
        </w:rPr>
        <w:t xml:space="preserve"> אבל אי ליכא קרקע אחרת לא מסהיד לוי ליהודה מפני שמעמידה לוי בפני בעל חוב דראובן פן יבא ויטרוף ממנו</w:t>
      </w:r>
      <w:r>
        <w:rPr>
          <w:rFonts w:hint="cs"/>
          <w:rtl/>
        </w:rPr>
        <w:t xml:space="preserve">, רשב"ם. נמצא לדעת רשב"ם שהסיבה שמצריכה הגמ' שיהיה לללוקח/למוכר קרקע אחרת הוא שמא יבוא בעל חוב לגבות חובו מהמוכר. אך ר"י </w:t>
      </w:r>
      <w:r w:rsidRPr="009A7967">
        <w:rPr>
          <w:rFonts w:cs="Arial"/>
          <w:sz w:val="16"/>
          <w:szCs w:val="16"/>
          <w:rtl/>
        </w:rPr>
        <w:t xml:space="preserve">(תוד"ה לוקח) </w:t>
      </w:r>
      <w:r w:rsidRPr="00D60C1E">
        <w:rPr>
          <w:rFonts w:cs="Arial"/>
          <w:rtl/>
        </w:rPr>
        <w:t>הקשה על</w:t>
      </w:r>
      <w:r>
        <w:rPr>
          <w:rFonts w:cs="Arial" w:hint="cs"/>
          <w:rtl/>
        </w:rPr>
        <w:t xml:space="preserve"> הסיבה שהביא רשב"ם וכתב</w:t>
      </w:r>
      <w:r w:rsidRPr="00D60C1E">
        <w:rPr>
          <w:rFonts w:cs="Arial"/>
          <w:rtl/>
        </w:rPr>
        <w:t xml:space="preserve"> </w:t>
      </w:r>
      <w:r w:rsidRPr="009A7967">
        <w:rPr>
          <w:rFonts w:cs="Arial" w:hint="cs"/>
          <w:sz w:val="16"/>
          <w:szCs w:val="16"/>
          <w:rtl/>
        </w:rPr>
        <w:t>(</w:t>
      </w:r>
      <w:r w:rsidRPr="009A7967">
        <w:rPr>
          <w:rFonts w:cs="Arial"/>
          <w:sz w:val="16"/>
          <w:szCs w:val="16"/>
          <w:rtl/>
        </w:rPr>
        <w:t>ד</w:t>
      </w:r>
      <w:r w:rsidRPr="009A7967">
        <w:rPr>
          <w:rFonts w:cs="Arial" w:hint="cs"/>
          <w:sz w:val="16"/>
          <w:szCs w:val="16"/>
          <w:rtl/>
        </w:rPr>
        <w:t xml:space="preserve">הרי </w:t>
      </w:r>
      <w:r w:rsidRPr="009A7967">
        <w:rPr>
          <w:rFonts w:cs="Arial"/>
          <w:sz w:val="16"/>
          <w:szCs w:val="16"/>
          <w:rtl/>
        </w:rPr>
        <w:t>אם כ</w:t>
      </w:r>
      <w:r w:rsidRPr="009A7967">
        <w:rPr>
          <w:rFonts w:cs="Arial" w:hint="cs"/>
          <w:sz w:val="16"/>
          <w:szCs w:val="16"/>
          <w:rtl/>
        </w:rPr>
        <w:t>דברי</w:t>
      </w:r>
      <w:r>
        <w:rPr>
          <w:rFonts w:cs="Arial" w:hint="cs"/>
          <w:sz w:val="16"/>
          <w:szCs w:val="16"/>
          <w:rtl/>
        </w:rPr>
        <w:t xml:space="preserve"> רשב"ם </w:t>
      </w:r>
      <w:r w:rsidRPr="009A7967">
        <w:rPr>
          <w:rFonts w:cs="Arial"/>
          <w:sz w:val="16"/>
          <w:szCs w:val="16"/>
          <w:rtl/>
        </w:rPr>
        <w:t>אפילו אית ליה ארעא אחריתי נמי דכי היכי דחייש לבעל חוב קטן הכי נמי יחוש לבעל חוב גדול שיהא חובו כנגד שני קרקעות</w:t>
      </w:r>
      <w:r w:rsidRPr="009A7967">
        <w:rPr>
          <w:rFonts w:cs="Arial" w:hint="cs"/>
          <w:sz w:val="16"/>
          <w:szCs w:val="16"/>
          <w:rtl/>
        </w:rPr>
        <w:t>,</w:t>
      </w:r>
      <w:r w:rsidRPr="009A7967">
        <w:rPr>
          <w:rFonts w:cs="Arial"/>
          <w:sz w:val="16"/>
          <w:szCs w:val="16"/>
          <w:rtl/>
        </w:rPr>
        <w:t xml:space="preserve"> אלא נראה לר"י דאע</w:t>
      </w:r>
      <w:r w:rsidRPr="009A7967">
        <w:rPr>
          <w:rFonts w:cs="Arial" w:hint="cs"/>
          <w:sz w:val="16"/>
          <w:szCs w:val="16"/>
          <w:rtl/>
        </w:rPr>
        <w:t>"</w:t>
      </w:r>
      <w:r w:rsidRPr="009A7967">
        <w:rPr>
          <w:rFonts w:cs="Arial"/>
          <w:sz w:val="16"/>
          <w:szCs w:val="16"/>
          <w:rtl/>
        </w:rPr>
        <w:t xml:space="preserve">ג דגבי מוכר שדה שלא באחריות </w:t>
      </w:r>
      <w:r w:rsidRPr="009A7967">
        <w:rPr>
          <w:rFonts w:cs="Arial"/>
          <w:sz w:val="12"/>
          <w:szCs w:val="12"/>
          <w:rtl/>
        </w:rPr>
        <w:t xml:space="preserve">(ב"ב מד.) </w:t>
      </w:r>
      <w:r w:rsidRPr="009A7967">
        <w:rPr>
          <w:rFonts w:cs="Arial"/>
          <w:sz w:val="16"/>
          <w:szCs w:val="16"/>
          <w:rtl/>
        </w:rPr>
        <w:t>אמרינן שאין מעיד לו עליה מפני שמעמידה בפני בעל חובו</w:t>
      </w:r>
      <w:r w:rsidRPr="009A7967">
        <w:rPr>
          <w:rFonts w:cs="Arial" w:hint="cs"/>
          <w:sz w:val="16"/>
          <w:szCs w:val="16"/>
          <w:rtl/>
        </w:rPr>
        <w:t>,</w:t>
      </w:r>
      <w:r w:rsidRPr="009A7967">
        <w:rPr>
          <w:rFonts w:cs="Arial"/>
          <w:sz w:val="16"/>
          <w:szCs w:val="16"/>
          <w:rtl/>
        </w:rPr>
        <w:t xml:space="preserve"> התם ודאי חיישינן לבעל חוב לפי שאדם יודע אם יש לו בעלי חובין אם לאו</w:t>
      </w:r>
      <w:r w:rsidRPr="009A7967">
        <w:rPr>
          <w:rFonts w:cs="Arial" w:hint="cs"/>
          <w:sz w:val="16"/>
          <w:szCs w:val="16"/>
          <w:rtl/>
        </w:rPr>
        <w:t>,</w:t>
      </w:r>
      <w:r w:rsidRPr="009A7967">
        <w:rPr>
          <w:rFonts w:cs="Arial"/>
          <w:sz w:val="16"/>
          <w:szCs w:val="16"/>
          <w:rtl/>
        </w:rPr>
        <w:t xml:space="preserve"> וכשאנו רואים שבא להעיד אנו חוששין שלכך מעיד לפי שרוצה להעמידה בפני בעל חוב</w:t>
      </w:r>
      <w:r w:rsidRPr="009A7967">
        <w:rPr>
          <w:rFonts w:cs="Arial" w:hint="cs"/>
          <w:sz w:val="16"/>
          <w:szCs w:val="16"/>
          <w:rtl/>
        </w:rPr>
        <w:t>,</w:t>
      </w:r>
      <w:r w:rsidRPr="009A7967">
        <w:rPr>
          <w:rFonts w:cs="Arial"/>
          <w:sz w:val="16"/>
          <w:szCs w:val="16"/>
          <w:rtl/>
        </w:rPr>
        <w:t xml:space="preserve"> והתם אפילו אית ליה ארעא אחריתי לא יעיד דחיישינן שמא יש לו בעל חוב גדול</w:t>
      </w:r>
      <w:r w:rsidRPr="009A7967">
        <w:rPr>
          <w:rFonts w:cs="Arial" w:hint="cs"/>
          <w:sz w:val="16"/>
          <w:szCs w:val="16"/>
          <w:rtl/>
        </w:rPr>
        <w:t>,</w:t>
      </w:r>
      <w:r w:rsidRPr="009A7967">
        <w:rPr>
          <w:rFonts w:cs="Arial"/>
          <w:sz w:val="16"/>
          <w:szCs w:val="16"/>
          <w:rtl/>
        </w:rPr>
        <w:t xml:space="preserve"> אבל אין לחוש שהלוקח מעיד לפי שיהיה לבעל חוב של מוכר ממה לגבות</w:t>
      </w:r>
      <w:r w:rsidRPr="009A7967">
        <w:rPr>
          <w:rFonts w:cs="Arial" w:hint="cs"/>
          <w:sz w:val="16"/>
          <w:szCs w:val="16"/>
          <w:rtl/>
        </w:rPr>
        <w:t>,</w:t>
      </w:r>
      <w:r w:rsidRPr="009A7967">
        <w:rPr>
          <w:rFonts w:cs="Arial"/>
          <w:sz w:val="16"/>
          <w:szCs w:val="16"/>
          <w:rtl/>
        </w:rPr>
        <w:t xml:space="preserve"> דאין הלוקח יודע אם יש למוכר שום בעל חוב</w:t>
      </w:r>
      <w:r>
        <w:rPr>
          <w:rFonts w:cs="Arial" w:hint="cs"/>
          <w:sz w:val="16"/>
          <w:szCs w:val="16"/>
          <w:rtl/>
        </w:rPr>
        <w:t>, אלא-)</w:t>
      </w:r>
      <w:r w:rsidRPr="00424B27">
        <w:rPr>
          <w:rFonts w:cs="Arial"/>
          <w:rtl/>
        </w:rPr>
        <w:t xml:space="preserve"> היינו טעמא דאין לוקח ראשון מעיד ללוקח שני אע</w:t>
      </w:r>
      <w:r w:rsidRPr="00424B27">
        <w:rPr>
          <w:rFonts w:cs="Arial" w:hint="cs"/>
          <w:rtl/>
        </w:rPr>
        <w:t>"</w:t>
      </w:r>
      <w:r w:rsidRPr="00424B27">
        <w:rPr>
          <w:rFonts w:cs="Arial"/>
          <w:rtl/>
        </w:rPr>
        <w:t>ג דלא חייש לבעל חוב מיהו חייש שמא קרקע גזולה היא והיום או למחר יבא הנגזל ויקחנה ולא יהיה לו ממה לחזור על המוכר היכא דלית ליה ארעא אחריתי למוכר</w:t>
      </w:r>
      <w:r>
        <w:rPr>
          <w:rFonts w:cs="Arial" w:hint="cs"/>
          <w:rtl/>
        </w:rPr>
        <w:t xml:space="preserve"> </w:t>
      </w:r>
      <w:r w:rsidRPr="00A2083E">
        <w:rPr>
          <w:rFonts w:cs="Arial" w:hint="cs"/>
          <w:sz w:val="16"/>
          <w:szCs w:val="16"/>
          <w:rtl/>
        </w:rPr>
        <w:t>(</w:t>
      </w:r>
      <w:r w:rsidRPr="00A2083E">
        <w:rPr>
          <w:rFonts w:cs="Arial"/>
          <w:sz w:val="16"/>
          <w:szCs w:val="16"/>
          <w:rtl/>
        </w:rPr>
        <w:t>וא"ת ומלוה וערב אמאי מעידין ללוה אע</w:t>
      </w:r>
      <w:r w:rsidRPr="00A2083E">
        <w:rPr>
          <w:rFonts w:cs="Arial" w:hint="cs"/>
          <w:sz w:val="16"/>
          <w:szCs w:val="16"/>
          <w:rtl/>
        </w:rPr>
        <w:t>"</w:t>
      </w:r>
      <w:r w:rsidRPr="00A2083E">
        <w:rPr>
          <w:rFonts w:cs="Arial"/>
          <w:sz w:val="16"/>
          <w:szCs w:val="16"/>
          <w:rtl/>
        </w:rPr>
        <w:t>ג דאית ליה ארעא אחריתי ניחוש שמא היא גזולה וכשיבא נגזל ויקחנה לא יהיה לו ממה לגבות כדחיישינן לגזולה גבי לוקח הכי נמי ניחוש גבי ערב ומלוה</w:t>
      </w:r>
      <w:r w:rsidRPr="00A2083E">
        <w:rPr>
          <w:rFonts w:cs="Arial" w:hint="cs"/>
          <w:sz w:val="16"/>
          <w:szCs w:val="16"/>
          <w:rtl/>
        </w:rPr>
        <w:t>,</w:t>
      </w:r>
      <w:r w:rsidRPr="00A2083E">
        <w:rPr>
          <w:rFonts w:cs="Arial"/>
          <w:sz w:val="16"/>
          <w:szCs w:val="16"/>
          <w:rtl/>
        </w:rPr>
        <w:t xml:space="preserve"> וי"ל דבשום מקום אין המלוה והערב והלוקח חוששין כל זמן שאחריות שלהם קיים</w:t>
      </w:r>
      <w:r>
        <w:rPr>
          <w:rFonts w:cs="Arial" w:hint="cs"/>
          <w:sz w:val="16"/>
          <w:szCs w:val="16"/>
          <w:rtl/>
        </w:rPr>
        <w:t>)</w:t>
      </w:r>
      <w:r>
        <w:rPr>
          <w:rFonts w:hint="cs"/>
          <w:rtl/>
        </w:rPr>
        <w:t xml:space="preserve">. </w:t>
      </w:r>
      <w:r w:rsidRPr="007C6B85">
        <w:rPr>
          <w:rFonts w:cs="Arial"/>
          <w:rtl/>
        </w:rPr>
        <w:t xml:space="preserve">והרא"ש </w:t>
      </w:r>
      <w:r w:rsidRPr="007C6B85">
        <w:rPr>
          <w:rFonts w:cs="Arial"/>
          <w:sz w:val="16"/>
          <w:szCs w:val="16"/>
          <w:rtl/>
        </w:rPr>
        <w:t>(סי' מט)</w:t>
      </w:r>
      <w:r w:rsidRPr="007C6B85">
        <w:rPr>
          <w:rFonts w:cs="Arial"/>
          <w:rtl/>
        </w:rPr>
        <w:t xml:space="preserve"> כתב כדברי התוס</w:t>
      </w:r>
      <w:r>
        <w:rPr>
          <w:rFonts w:cs="Arial" w:hint="cs"/>
          <w:rtl/>
        </w:rPr>
        <w:t>'.</w:t>
      </w:r>
      <w:r>
        <w:rPr>
          <w:rFonts w:hint="cs"/>
          <w:rtl/>
        </w:rPr>
        <w:t xml:space="preserve"> וכתב הש"ך</w:t>
      </w:r>
      <w:r w:rsidRPr="00037252">
        <w:rPr>
          <w:rFonts w:hint="cs"/>
          <w:sz w:val="16"/>
          <w:szCs w:val="16"/>
          <w:rtl/>
        </w:rPr>
        <w:t xml:space="preserve"> (סקי"ח) </w:t>
      </w:r>
      <w:r>
        <w:rPr>
          <w:rFonts w:hint="cs"/>
          <w:rtl/>
        </w:rPr>
        <w:t>דנראה דכן מפרשים הרמב"ם ושאר מפרשים.</w:t>
      </w:r>
    </w:p>
  </w:footnote>
  <w:footnote w:id="2736">
    <w:p w14:paraId="1CBDEB73" w14:textId="77777777" w:rsidR="0013116F" w:rsidRDefault="0013116F" w:rsidP="004B607F">
      <w:pPr>
        <w:pStyle w:val="a9"/>
      </w:pPr>
      <w:r>
        <w:rPr>
          <w:rStyle w:val="ab"/>
        </w:rPr>
        <w:footnoteRef/>
      </w:r>
      <w:r>
        <w:rPr>
          <w:rtl/>
        </w:rPr>
        <w:t xml:space="preserve"> </w:t>
      </w:r>
      <w:r w:rsidRPr="007C6B85">
        <w:rPr>
          <w:rFonts w:cs="Arial"/>
          <w:rtl/>
        </w:rPr>
        <w:t>ורבינו כתב וכן לוקח שני וכו' ולא חילק בין מכר לו באחריות לשלא באחריות מפני שסמך על מה שכתב אא</w:t>
      </w:r>
      <w:r>
        <w:rPr>
          <w:rFonts w:cs="Arial" w:hint="cs"/>
          <w:rtl/>
        </w:rPr>
        <w:t>"</w:t>
      </w:r>
      <w:r w:rsidRPr="007C6B85">
        <w:rPr>
          <w:rFonts w:cs="Arial"/>
          <w:rtl/>
        </w:rPr>
        <w:t>כ שתשאר ביד המוכר קרקע כדי חובו של לוקח ראשון ולא שייך למימר חובו של לוקח ראשון אא</w:t>
      </w:r>
      <w:r w:rsidRPr="007C6B85">
        <w:rPr>
          <w:rFonts w:cs="Arial" w:hint="cs"/>
          <w:rtl/>
        </w:rPr>
        <w:t>"</w:t>
      </w:r>
      <w:r w:rsidRPr="007C6B85">
        <w:rPr>
          <w:rFonts w:cs="Arial"/>
          <w:rtl/>
        </w:rPr>
        <w:t>כ שקבל עליו אחריות</w:t>
      </w:r>
      <w:r>
        <w:rPr>
          <w:rFonts w:cs="Arial" w:hint="cs"/>
          <w:rtl/>
        </w:rPr>
        <w:t>, ב"י</w:t>
      </w:r>
      <w:r w:rsidRPr="007C6B85">
        <w:rPr>
          <w:rFonts w:cs="Arial" w:hint="cs"/>
          <w:rtl/>
        </w:rPr>
        <w:t>.</w:t>
      </w:r>
    </w:p>
  </w:footnote>
  <w:footnote w:id="2737">
    <w:p w14:paraId="3CFE628F" w14:textId="77777777" w:rsidR="0013116F" w:rsidRDefault="0013116F" w:rsidP="004B607F">
      <w:pPr>
        <w:pStyle w:val="a9"/>
      </w:pPr>
      <w:r>
        <w:rPr>
          <w:rStyle w:val="ab"/>
        </w:rPr>
        <w:footnoteRef/>
      </w:r>
      <w:r>
        <w:rPr>
          <w:rtl/>
        </w:rPr>
        <w:t xml:space="preserve"> </w:t>
      </w:r>
      <w:r>
        <w:rPr>
          <w:rFonts w:hint="cs"/>
          <w:rtl/>
        </w:rPr>
        <w:t xml:space="preserve">סימן </w:t>
      </w:r>
      <w:r>
        <w:rPr>
          <w:rtl/>
        </w:rPr>
        <w:t>–</w:t>
      </w:r>
      <w:r>
        <w:rPr>
          <w:rFonts w:hint="cs"/>
          <w:rtl/>
        </w:rPr>
        <w:t xml:space="preserve"> מעיד דירתו.</w:t>
      </w:r>
    </w:p>
  </w:footnote>
  <w:footnote w:id="2738">
    <w:p w14:paraId="0617E23E" w14:textId="77777777" w:rsidR="0013116F" w:rsidRDefault="0013116F" w:rsidP="004B607F">
      <w:pPr>
        <w:pStyle w:val="a9"/>
        <w:rPr>
          <w:rtl/>
        </w:rPr>
      </w:pPr>
      <w:r>
        <w:rPr>
          <w:rStyle w:val="ab"/>
        </w:rPr>
        <w:footnoteRef/>
      </w:r>
      <w:r>
        <w:rPr>
          <w:rtl/>
        </w:rPr>
        <w:t xml:space="preserve"> </w:t>
      </w:r>
      <w:r w:rsidRPr="009F25CE">
        <w:rPr>
          <w:rFonts w:cs="Arial"/>
          <w:rtl/>
        </w:rPr>
        <w:t>וניחוש דלמא דאיקני אמר ליה - כלומר אכתי איכא למיחש דאקני ליה להך פרה וטלית למלוה אגב מקרקעי</w:t>
      </w:r>
      <w:r>
        <w:rPr>
          <w:rFonts w:cs="Arial" w:hint="cs"/>
          <w:rtl/>
        </w:rPr>
        <w:t>,</w:t>
      </w:r>
      <w:r w:rsidRPr="009F25CE">
        <w:rPr>
          <w:rFonts w:cs="Arial"/>
          <w:rtl/>
        </w:rPr>
        <w:t xml:space="preserve"> והיכי דמי</w:t>
      </w:r>
      <w:r>
        <w:rPr>
          <w:rFonts w:cs="Arial" w:hint="cs"/>
          <w:rtl/>
        </w:rPr>
        <w:t>,</w:t>
      </w:r>
      <w:r w:rsidRPr="009F25CE">
        <w:rPr>
          <w:rFonts w:cs="Arial"/>
          <w:rtl/>
        </w:rPr>
        <w:t xml:space="preserve"> כגון דמקמי הכי</w:t>
      </w:r>
      <w:r>
        <w:rPr>
          <w:rFonts w:cs="Arial" w:hint="cs"/>
          <w:rtl/>
        </w:rPr>
        <w:t>,</w:t>
      </w:r>
      <w:r w:rsidRPr="009F25CE">
        <w:rPr>
          <w:rFonts w:cs="Arial"/>
          <w:rtl/>
        </w:rPr>
        <w:t xml:space="preserve"> כשלוה</w:t>
      </w:r>
      <w:r>
        <w:rPr>
          <w:rFonts w:cs="Arial" w:hint="cs"/>
          <w:rtl/>
        </w:rPr>
        <w:t>,</w:t>
      </w:r>
      <w:r w:rsidRPr="009F25CE">
        <w:rPr>
          <w:rFonts w:cs="Arial"/>
          <w:rtl/>
        </w:rPr>
        <w:t xml:space="preserve"> כתב למלוה בשטר </w:t>
      </w:r>
      <w:r>
        <w:rPr>
          <w:rFonts w:cs="Arial" w:hint="cs"/>
          <w:rtl/>
        </w:rPr>
        <w:t>'</w:t>
      </w:r>
      <w:r w:rsidRPr="009F25CE">
        <w:rPr>
          <w:rFonts w:cs="Arial"/>
          <w:rtl/>
        </w:rPr>
        <w:t>משעבדנא לך אגב מקרקעי כל נכסי דקנאי ודעתיד אנא למיקני</w:t>
      </w:r>
      <w:r>
        <w:rPr>
          <w:rFonts w:cs="Arial" w:hint="cs"/>
          <w:rtl/>
        </w:rPr>
        <w:t>',</w:t>
      </w:r>
      <w:r w:rsidRPr="009F25CE">
        <w:rPr>
          <w:rFonts w:cs="Arial"/>
          <w:rtl/>
        </w:rPr>
        <w:t xml:space="preserve"> וכשלקח הפרה והטלית אחרי כן נשתעבדו לו מיד</w:t>
      </w:r>
      <w:r>
        <w:rPr>
          <w:rFonts w:cs="Arial" w:hint="cs"/>
          <w:rtl/>
        </w:rPr>
        <w:t>,</w:t>
      </w:r>
      <w:r w:rsidRPr="009F25CE">
        <w:rPr>
          <w:rFonts w:cs="Arial"/>
          <w:rtl/>
        </w:rPr>
        <w:t xml:space="preserve"> ואכתי אמאי מעיד אלא מדלא חיישת להכי איכא למשמע דמי שכותב כן דאקני האומר לחבירו נכסים שאני עתיד לקנות אני מוכר לך או משעבד לך ואחר כן קנה ומכר לאחרים או כתב לו דאיקני והוא קנה אחרי כן ומת והוריש לבניו לא משתעבד להאי שכתב לו דאין אדם מקנה לחבירו דבר שלא בא לידו אף על פי שעתיד לבא ובעיא היא לקמן בפרק מי שמת ולא איפשיטא ומשמע מהכא דלא משתעבד</w:t>
      </w:r>
      <w:r>
        <w:rPr>
          <w:rFonts w:hint="cs"/>
          <w:rtl/>
        </w:rPr>
        <w:t>, רשב"ם.</w:t>
      </w:r>
    </w:p>
  </w:footnote>
  <w:footnote w:id="2739">
    <w:p w14:paraId="5D4F1347" w14:textId="77777777" w:rsidR="0013116F" w:rsidRDefault="0013116F" w:rsidP="004B607F">
      <w:pPr>
        <w:pStyle w:val="a9"/>
      </w:pPr>
      <w:r>
        <w:rPr>
          <w:rStyle w:val="ab"/>
        </w:rPr>
        <w:footnoteRef/>
      </w:r>
      <w:r>
        <w:rPr>
          <w:rtl/>
        </w:rPr>
        <w:t xml:space="preserve"> </w:t>
      </w:r>
      <w:r w:rsidRPr="009F25CE">
        <w:rPr>
          <w:rFonts w:cs="Arial"/>
          <w:rtl/>
        </w:rPr>
        <w:t>הא דקאמרי מעיד ולא חיישינן לדלמא אקני ליה מטלטלי אגב מקרקעי כגון דקאמרי עדים ידענא ביה כו' והלכך לא אקני ליה מטלטלי אגב מקרקעי שהרי לא היו לו מקרקעי והלכך מעיד דכיון שמכר לו הך פרה וטלית בלא אחריות וגם אין מעמידה בפני בעל חובו לאו נוגע בעדותו הוא כלל והשתא מתוקמא אפילו בלא לקח ומכר לאלתר והא דלא קאמר אלא לא צריכא משום דאמורא לא תירץ הכי לעיל אלא סתם הגמרא תירץ כן ושיטה זו נוהגת ברוב המקומות</w:t>
      </w:r>
      <w:r>
        <w:rPr>
          <w:rFonts w:cs="Arial" w:hint="cs"/>
          <w:rtl/>
        </w:rPr>
        <w:t>..., רשב"ם.</w:t>
      </w:r>
    </w:p>
  </w:footnote>
  <w:footnote w:id="2740">
    <w:p w14:paraId="3DA371D2" w14:textId="77777777" w:rsidR="0013116F" w:rsidRDefault="0013116F" w:rsidP="004B607F">
      <w:pPr>
        <w:pStyle w:val="a9"/>
        <w:rPr>
          <w:rtl/>
        </w:rPr>
      </w:pPr>
      <w:r>
        <w:rPr>
          <w:rStyle w:val="ab"/>
        </w:rPr>
        <w:footnoteRef/>
      </w:r>
      <w:r>
        <w:rPr>
          <w:rtl/>
        </w:rPr>
        <w:t xml:space="preserve"> </w:t>
      </w:r>
      <w:r w:rsidRPr="00BD3B61">
        <w:rPr>
          <w:rFonts w:cs="Arial"/>
          <w:rtl/>
        </w:rPr>
        <w:t>וכי מה ריוח יש לו במה שתהיה הקרקע ביד הלוקח, והרי הוא בין כך ובין כך לא ישלם, שהרי אין לו, ומה נגיעה בעדות יש לו להעמידה בפני בעל חובו!?</w:t>
      </w:r>
      <w:r w:rsidRPr="00BD3B61">
        <w:rPr>
          <w:rFonts w:hint="cs"/>
          <w:sz w:val="16"/>
          <w:szCs w:val="16"/>
          <w:rtl/>
        </w:rPr>
        <w:t xml:space="preserve"> </w:t>
      </w:r>
      <w:r>
        <w:rPr>
          <w:rFonts w:hint="cs"/>
          <w:sz w:val="16"/>
          <w:szCs w:val="16"/>
          <w:rtl/>
        </w:rPr>
        <w:t>(</w:t>
      </w:r>
      <w:r w:rsidRPr="00BD3B61">
        <w:rPr>
          <w:rFonts w:hint="cs"/>
          <w:sz w:val="16"/>
          <w:szCs w:val="16"/>
          <w:rtl/>
        </w:rPr>
        <w:t>חברותא)</w:t>
      </w:r>
      <w:r>
        <w:rPr>
          <w:rFonts w:hint="cs"/>
          <w:rtl/>
        </w:rPr>
        <w:t>.</w:t>
      </w:r>
    </w:p>
  </w:footnote>
  <w:footnote w:id="2741">
    <w:p w14:paraId="425255C3" w14:textId="77777777" w:rsidR="0013116F" w:rsidRDefault="0013116F" w:rsidP="004B607F">
      <w:pPr>
        <w:pStyle w:val="a9"/>
      </w:pPr>
      <w:r>
        <w:rPr>
          <w:rStyle w:val="ab"/>
        </w:rPr>
        <w:footnoteRef/>
      </w:r>
      <w:r>
        <w:rPr>
          <w:rtl/>
        </w:rPr>
        <w:t xml:space="preserve"> </w:t>
      </w:r>
      <w:r w:rsidRPr="0052461E">
        <w:rPr>
          <w:rFonts w:cs="Arial"/>
          <w:rtl/>
        </w:rPr>
        <w:t>ללוה דתיפוק ארעא מיד לוקח ולא ימצא בעל חוב ממה לגבות וקם ליה לוה בלוה רשע ולא ישלם והלכך נוגע בעדותו הוא</w:t>
      </w:r>
      <w:r>
        <w:rPr>
          <w:rFonts w:cs="Arial" w:hint="cs"/>
          <w:rtl/>
        </w:rPr>
        <w:t>, רשב"ם</w:t>
      </w:r>
      <w:r w:rsidRPr="0052461E">
        <w:rPr>
          <w:rFonts w:cs="Arial"/>
          <w:rtl/>
        </w:rPr>
        <w:t>.</w:t>
      </w:r>
    </w:p>
  </w:footnote>
  <w:footnote w:id="2742">
    <w:p w14:paraId="6BB0F6D3" w14:textId="77777777" w:rsidR="0013116F" w:rsidRDefault="0013116F" w:rsidP="004B607F">
      <w:pPr>
        <w:pStyle w:val="a9"/>
        <w:rPr>
          <w:rtl/>
        </w:rPr>
      </w:pPr>
      <w:r>
        <w:rPr>
          <w:rStyle w:val="ab"/>
        </w:rPr>
        <w:footnoteRef/>
      </w:r>
      <w:r>
        <w:rPr>
          <w:rtl/>
        </w:rPr>
        <w:t xml:space="preserve"> </w:t>
      </w:r>
      <w:r>
        <w:rPr>
          <w:rFonts w:hint="cs"/>
          <w:rtl/>
        </w:rPr>
        <w:t xml:space="preserve">ברוב כתה"י ודפו"י הגירסא שלא באחריות "א"נ באחריות", ובטור הנדפס עם ב"י דפו"ר הגירסא "או באחריות", ובדפוסים מאוחרים הכניסו תיבות אלו בסוגריים ע"פ הפרישה שכתב שהוא ט"ס, הגוה"ע </w:t>
      </w:r>
      <w:r w:rsidRPr="00B63B26">
        <w:rPr>
          <w:rFonts w:hint="cs"/>
          <w:sz w:val="16"/>
          <w:szCs w:val="16"/>
          <w:rtl/>
        </w:rPr>
        <w:t>(הוצ' שירת דבורה)</w:t>
      </w:r>
      <w:r>
        <w:rPr>
          <w:rFonts w:hint="cs"/>
          <w:rtl/>
        </w:rPr>
        <w:t xml:space="preserve">. וגם בגירסה שהייתה לפני הב"י בטור ליתא להני תיבות, ולכן פירש את דבריו כמו שפירש. אך הש"ך </w:t>
      </w:r>
      <w:r w:rsidRPr="00B63B26">
        <w:rPr>
          <w:rFonts w:hint="cs"/>
          <w:sz w:val="16"/>
          <w:szCs w:val="16"/>
          <w:rtl/>
        </w:rPr>
        <w:t>(סקכ"א</w:t>
      </w:r>
      <w:r>
        <w:rPr>
          <w:rFonts w:hint="cs"/>
          <w:sz w:val="16"/>
          <w:szCs w:val="16"/>
          <w:rtl/>
        </w:rPr>
        <w:t>, כדאי לקרוא דבריו לאחר לימוד הסעיף</w:t>
      </w:r>
      <w:r w:rsidRPr="00B63B26">
        <w:rPr>
          <w:rFonts w:hint="cs"/>
          <w:sz w:val="16"/>
          <w:szCs w:val="16"/>
          <w:rtl/>
        </w:rPr>
        <w:t xml:space="preserve">) </w:t>
      </w:r>
      <w:r>
        <w:rPr>
          <w:rFonts w:hint="cs"/>
          <w:rtl/>
        </w:rPr>
        <w:t xml:space="preserve">כתב </w:t>
      </w:r>
      <w:r>
        <w:rPr>
          <w:rFonts w:cs="Arial" w:hint="cs"/>
          <w:rtl/>
        </w:rPr>
        <w:t>ד</w:t>
      </w:r>
      <w:r w:rsidRPr="00B63B26">
        <w:rPr>
          <w:rFonts w:cs="Arial"/>
          <w:rtl/>
        </w:rPr>
        <w:t xml:space="preserve">אין גירסא זו עיקר בטור, שהרי כתב הטור אח"כ </w:t>
      </w:r>
      <w:r w:rsidRPr="00B63B26">
        <w:rPr>
          <w:rFonts w:cs="Arial"/>
          <w:sz w:val="16"/>
          <w:szCs w:val="16"/>
          <w:rtl/>
        </w:rPr>
        <w:t>[סע</w:t>
      </w:r>
      <w:r>
        <w:rPr>
          <w:rFonts w:cs="Arial" w:hint="cs"/>
          <w:sz w:val="16"/>
          <w:szCs w:val="16"/>
          <w:rtl/>
        </w:rPr>
        <w:t>'</w:t>
      </w:r>
      <w:r w:rsidRPr="00B63B26">
        <w:rPr>
          <w:rFonts w:cs="Arial"/>
          <w:sz w:val="16"/>
          <w:szCs w:val="16"/>
          <w:rtl/>
        </w:rPr>
        <w:t xml:space="preserve"> ט] </w:t>
      </w:r>
      <w:r w:rsidRPr="00B63B26">
        <w:rPr>
          <w:rFonts w:cs="Arial"/>
          <w:rtl/>
        </w:rPr>
        <w:t xml:space="preserve">דקי"ל כרב זביד </w:t>
      </w:r>
      <w:r w:rsidRPr="00B63B26">
        <w:rPr>
          <w:rFonts w:cs="Arial"/>
          <w:sz w:val="16"/>
          <w:szCs w:val="16"/>
          <w:rtl/>
        </w:rPr>
        <w:t>[ב"ב מד</w:t>
      </w:r>
      <w:r w:rsidRPr="00B63B26">
        <w:rPr>
          <w:rFonts w:cs="Arial" w:hint="cs"/>
          <w:sz w:val="16"/>
          <w:szCs w:val="16"/>
          <w:rtl/>
        </w:rPr>
        <w:t>:</w:t>
      </w:r>
      <w:r w:rsidRPr="00B63B26">
        <w:rPr>
          <w:rFonts w:cs="Arial"/>
          <w:sz w:val="16"/>
          <w:szCs w:val="16"/>
          <w:rtl/>
        </w:rPr>
        <w:t xml:space="preserve">] </w:t>
      </w:r>
      <w:r w:rsidRPr="00B63B26">
        <w:rPr>
          <w:rFonts w:cs="Arial"/>
          <w:rtl/>
        </w:rPr>
        <w:t xml:space="preserve">דיכול להעיד לו אפילו אינו מכיר בה שהיא שלו כו', אלמא דלא חיישינן לתרעומת. ובספרים שלפנינו </w:t>
      </w:r>
      <w:r w:rsidRPr="00B63B26">
        <w:rPr>
          <w:rFonts w:cs="Arial"/>
          <w:sz w:val="16"/>
          <w:szCs w:val="16"/>
          <w:rtl/>
        </w:rPr>
        <w:t xml:space="preserve">[דפוס סביוניטה ושאר דפוסים] </w:t>
      </w:r>
      <w:r w:rsidRPr="00B63B26">
        <w:rPr>
          <w:rFonts w:cs="Arial"/>
          <w:rtl/>
        </w:rPr>
        <w:t>איתא</w:t>
      </w:r>
      <w:r>
        <w:rPr>
          <w:rFonts w:cs="Arial" w:hint="cs"/>
          <w:rtl/>
        </w:rPr>
        <w:t>-</w:t>
      </w:r>
      <w:r w:rsidRPr="00B63B26">
        <w:rPr>
          <w:rFonts w:cs="Arial"/>
          <w:rtl/>
        </w:rPr>
        <w:t xml:space="preserve"> אע</w:t>
      </w:r>
      <w:r>
        <w:rPr>
          <w:rFonts w:cs="Arial" w:hint="cs"/>
          <w:rtl/>
        </w:rPr>
        <w:t>"</w:t>
      </w:r>
      <w:r w:rsidRPr="00B63B26">
        <w:rPr>
          <w:rFonts w:cs="Arial"/>
          <w:rtl/>
        </w:rPr>
        <w:t>פ שמכרה לו שלא באחריות או באחריות ושמעון מכיר כו', וכ"כ הב"ח דגירסא זו עיקר, והיינו כשינויא קמא דתוס</w:t>
      </w:r>
      <w:r>
        <w:rPr>
          <w:rFonts w:cs="Arial" w:hint="cs"/>
          <w:rtl/>
        </w:rPr>
        <w:t>'</w:t>
      </w:r>
      <w:r w:rsidRPr="00B63B26">
        <w:rPr>
          <w:rFonts w:cs="Arial"/>
          <w:rtl/>
        </w:rPr>
        <w:t xml:space="preserve"> שם</w:t>
      </w:r>
      <w:r>
        <w:rPr>
          <w:rFonts w:cs="Arial" w:hint="cs"/>
          <w:rtl/>
        </w:rPr>
        <w:t xml:space="preserve"> </w:t>
      </w:r>
      <w:r w:rsidRPr="00B63B26">
        <w:rPr>
          <w:rFonts w:cs="Arial" w:hint="cs"/>
          <w:sz w:val="16"/>
          <w:szCs w:val="16"/>
          <w:rtl/>
        </w:rPr>
        <w:t>(</w:t>
      </w:r>
      <w:r w:rsidRPr="00B63B26">
        <w:rPr>
          <w:rFonts w:cs="Arial"/>
          <w:sz w:val="16"/>
          <w:szCs w:val="16"/>
          <w:rtl/>
        </w:rPr>
        <w:t>מג</w:t>
      </w:r>
      <w:r w:rsidRPr="00B63B26">
        <w:rPr>
          <w:rFonts w:cs="Arial" w:hint="cs"/>
          <w:sz w:val="16"/>
          <w:szCs w:val="16"/>
          <w:rtl/>
        </w:rPr>
        <w:t>.</w:t>
      </w:r>
      <w:r w:rsidRPr="00B63B26">
        <w:rPr>
          <w:rFonts w:cs="Arial"/>
          <w:sz w:val="16"/>
          <w:szCs w:val="16"/>
          <w:rtl/>
        </w:rPr>
        <w:t xml:space="preserve"> ד"ה מפני</w:t>
      </w:r>
      <w:r w:rsidRPr="00B63B26">
        <w:rPr>
          <w:rFonts w:cs="Arial" w:hint="cs"/>
          <w:sz w:val="16"/>
          <w:szCs w:val="16"/>
          <w:rtl/>
        </w:rPr>
        <w:t>)</w:t>
      </w:r>
      <w:r w:rsidRPr="00B63B26">
        <w:rPr>
          <w:rFonts w:cs="Arial"/>
          <w:sz w:val="16"/>
          <w:szCs w:val="16"/>
          <w:rtl/>
        </w:rPr>
        <w:t xml:space="preserve"> </w:t>
      </w:r>
      <w:r w:rsidRPr="00B63B26">
        <w:rPr>
          <w:rFonts w:cs="Arial"/>
          <w:rtl/>
        </w:rPr>
        <w:t xml:space="preserve">דמשום חשש תרעומת לא יעיד שקר </w:t>
      </w:r>
      <w:r w:rsidRPr="00B63B26">
        <w:rPr>
          <w:rFonts w:cs="Arial" w:hint="cs"/>
          <w:sz w:val="16"/>
          <w:szCs w:val="16"/>
          <w:rtl/>
        </w:rPr>
        <w:t>(</w:t>
      </w:r>
      <w:r w:rsidRPr="00B63B26">
        <w:rPr>
          <w:rFonts w:cs="Arial"/>
          <w:sz w:val="16"/>
          <w:szCs w:val="16"/>
          <w:rtl/>
        </w:rPr>
        <w:t>וגם נראה דמ"ש התוס' [שם] אי נמי כו', לא כתבו כן אלא לרווחא דמילתא, אבל לדינא ס"ל עיקר דאינו נפסל בשביל כך, דאל"כ תיקשי הא דפריך בש"ס [שם] סוף דף מ"ד והא אמר רב פפא כו', ה"ל לאקשויי בלאו הכי, דהא תרעומת אית ליה עליה כיון דלא אסיק אדעתיה שינויא דמכיר בה שהיא בת חמורו. אלא ודאי קושטא דמילתא דאינו נפסל בשביל כך</w:t>
      </w:r>
      <w:r>
        <w:rPr>
          <w:rFonts w:cs="Arial" w:hint="cs"/>
          <w:sz w:val="16"/>
          <w:szCs w:val="16"/>
          <w:rtl/>
        </w:rPr>
        <w:t>)</w:t>
      </w:r>
      <w:r>
        <w:rPr>
          <w:rFonts w:cs="Arial" w:hint="cs"/>
          <w:rtl/>
        </w:rPr>
        <w:t>.</w:t>
      </w:r>
      <w:r w:rsidRPr="00B63B26">
        <w:rPr>
          <w:rFonts w:cs="Arial"/>
          <w:rtl/>
        </w:rPr>
        <w:t xml:space="preserve"> וכ</w:t>
      </w:r>
      <w:r>
        <w:rPr>
          <w:rFonts w:cs="Arial" w:hint="cs"/>
          <w:rtl/>
        </w:rPr>
        <w:t>ן</w:t>
      </w:r>
      <w:r w:rsidRPr="00B63B26">
        <w:rPr>
          <w:rFonts w:cs="Arial"/>
          <w:rtl/>
        </w:rPr>
        <w:t xml:space="preserve"> פסק בהג</w:t>
      </w:r>
      <w:r>
        <w:rPr>
          <w:rFonts w:cs="Arial" w:hint="cs"/>
          <w:rtl/>
        </w:rPr>
        <w:t>"א</w:t>
      </w:r>
      <w:r w:rsidRPr="00B63B26">
        <w:rPr>
          <w:rFonts w:cs="Arial"/>
          <w:rtl/>
        </w:rPr>
        <w:t xml:space="preserve"> מא"ז </w:t>
      </w:r>
      <w:r w:rsidRPr="00B63B26">
        <w:rPr>
          <w:rFonts w:cs="Arial"/>
          <w:sz w:val="16"/>
          <w:szCs w:val="16"/>
          <w:rtl/>
        </w:rPr>
        <w:t>[ב"ב פ"ג סי' מב]</w:t>
      </w:r>
      <w:r w:rsidRPr="00B63B26">
        <w:rPr>
          <w:rFonts w:cs="Arial"/>
          <w:rtl/>
        </w:rPr>
        <w:t>. וכן מוכח דעת שאר כל הפוסקים שהבאתי לקמן סוף סקכ"ה שפסקו גבי פרה וטלית דמעיד אע</w:t>
      </w:r>
      <w:r>
        <w:rPr>
          <w:rFonts w:cs="Arial" w:hint="cs"/>
          <w:rtl/>
        </w:rPr>
        <w:t>"</w:t>
      </w:r>
      <w:r w:rsidRPr="00B63B26">
        <w:rPr>
          <w:rFonts w:cs="Arial"/>
          <w:rtl/>
        </w:rPr>
        <w:t>פ שאינו מכיר בה שהיא בת חמורו, אלמא דלא חיישינן שיעיד שקר משום חשש תרעומת, וכן עיקר</w:t>
      </w:r>
      <w:r>
        <w:rPr>
          <w:rFonts w:hint="cs"/>
          <w:rtl/>
        </w:rPr>
        <w:t>.</w:t>
      </w:r>
    </w:p>
  </w:footnote>
  <w:footnote w:id="2743">
    <w:p w14:paraId="7EF9E673" w14:textId="77777777" w:rsidR="0013116F" w:rsidRDefault="0013116F" w:rsidP="004B607F">
      <w:pPr>
        <w:pStyle w:val="a9"/>
        <w:rPr>
          <w:rtl/>
        </w:rPr>
      </w:pPr>
      <w:r>
        <w:rPr>
          <w:rStyle w:val="ab"/>
        </w:rPr>
        <w:footnoteRef/>
      </w:r>
      <w:r>
        <w:rPr>
          <w:rtl/>
        </w:rPr>
        <w:t xml:space="preserve"> </w:t>
      </w:r>
      <w:r>
        <w:rPr>
          <w:rFonts w:cs="Arial"/>
          <w:rtl/>
        </w:rPr>
        <w:t>הוא משום דקשיא ליה מאי פריך אי דאית ליה ארעא וכו' הא נפקא מינה דלא ניחא ליה דלהוי ליה תרעומת עילויה כדאמרינן פ</w:t>
      </w:r>
      <w:r>
        <w:rPr>
          <w:rFonts w:cs="Arial" w:hint="cs"/>
          <w:rtl/>
        </w:rPr>
        <w:t>"</w:t>
      </w:r>
      <w:r>
        <w:rPr>
          <w:rFonts w:cs="Arial"/>
          <w:rtl/>
        </w:rPr>
        <w:t>ק דבב</w:t>
      </w:r>
      <w:r>
        <w:rPr>
          <w:rFonts w:cs="Arial" w:hint="cs"/>
          <w:rtl/>
        </w:rPr>
        <w:t>"</w:t>
      </w:r>
      <w:r>
        <w:rPr>
          <w:rFonts w:cs="Arial"/>
          <w:rtl/>
        </w:rPr>
        <w:t>ק (ח:) ופרק קמא דבבא מציעא (יד.) ולכך מוקי לה רבינו במכיר בה שמעון שהיא שלו דליכא תרעומת</w:t>
      </w:r>
      <w:r>
        <w:rPr>
          <w:rFonts w:hint="cs"/>
          <w:rtl/>
        </w:rPr>
        <w:t>, ב"י.</w:t>
      </w:r>
    </w:p>
  </w:footnote>
  <w:footnote w:id="2744">
    <w:p w14:paraId="540AB5E6" w14:textId="77777777" w:rsidR="0013116F" w:rsidRDefault="0013116F" w:rsidP="004B607F">
      <w:pPr>
        <w:pStyle w:val="a9"/>
      </w:pPr>
      <w:r>
        <w:rPr>
          <w:rStyle w:val="ab"/>
        </w:rPr>
        <w:footnoteRef/>
      </w:r>
      <w:r>
        <w:rPr>
          <w:rtl/>
        </w:rPr>
        <w:t xml:space="preserve"> </w:t>
      </w:r>
      <w:r>
        <w:rPr>
          <w:rFonts w:cs="Arial"/>
          <w:rtl/>
        </w:rPr>
        <w:t>אינו מטעם ששמעון מכיר שזו השדה של ראובן אלא מטעם שמכרה לו שלא באחריות. ובתוס</w:t>
      </w:r>
      <w:r>
        <w:rPr>
          <w:rFonts w:cs="Arial" w:hint="cs"/>
          <w:rtl/>
        </w:rPr>
        <w:t>'</w:t>
      </w:r>
      <w:r>
        <w:rPr>
          <w:rFonts w:cs="Arial"/>
          <w:rtl/>
        </w:rPr>
        <w:t xml:space="preserve"> פרק חזקת</w:t>
      </w:r>
      <w:r w:rsidRPr="00BD3B61">
        <w:rPr>
          <w:rFonts w:cs="Arial"/>
          <w:sz w:val="16"/>
          <w:szCs w:val="16"/>
          <w:rtl/>
        </w:rPr>
        <w:t xml:space="preserve"> (מג. ד"ה מפני) </w:t>
      </w:r>
      <w:r>
        <w:rPr>
          <w:rFonts w:cs="Arial"/>
          <w:rtl/>
        </w:rPr>
        <w:t xml:space="preserve">הרגישו קושיא זו </w:t>
      </w:r>
      <w:r>
        <w:rPr>
          <w:rFonts w:cs="Arial" w:hint="cs"/>
          <w:sz w:val="16"/>
          <w:szCs w:val="16"/>
          <w:rtl/>
        </w:rPr>
        <w:t xml:space="preserve">{היינו דשאלו שם- וא"ת </w:t>
      </w:r>
      <w:r w:rsidRPr="0052461E">
        <w:rPr>
          <w:rFonts w:cs="Arial"/>
          <w:sz w:val="16"/>
          <w:szCs w:val="16"/>
          <w:rtl/>
        </w:rPr>
        <w:t>מאי איריא מפני שמעמידה תיפוק ליה משום דלא ניחא ליה דתיהוי תרעומת עליו</w:t>
      </w:r>
      <w:r>
        <w:rPr>
          <w:rFonts w:cs="Arial" w:hint="cs"/>
          <w:sz w:val="16"/>
          <w:szCs w:val="16"/>
          <w:rtl/>
        </w:rPr>
        <w:t>}</w:t>
      </w:r>
      <w:r w:rsidRPr="0052461E">
        <w:rPr>
          <w:rFonts w:cs="Arial"/>
          <w:sz w:val="16"/>
          <w:szCs w:val="16"/>
          <w:rtl/>
        </w:rPr>
        <w:t xml:space="preserve"> </w:t>
      </w:r>
      <w:r>
        <w:rPr>
          <w:rFonts w:cs="Arial"/>
          <w:rtl/>
        </w:rPr>
        <w:t>ותירצו</w:t>
      </w:r>
      <w:r>
        <w:rPr>
          <w:rFonts w:cs="Arial" w:hint="cs"/>
          <w:rtl/>
        </w:rPr>
        <w:t>-</w:t>
      </w:r>
      <w:r>
        <w:rPr>
          <w:rFonts w:cs="Arial"/>
          <w:rtl/>
        </w:rPr>
        <w:t xml:space="preserve"> וי"ל דלעדות אין לפסול משום כך</w:t>
      </w:r>
      <w:r>
        <w:rPr>
          <w:rFonts w:cs="Arial" w:hint="cs"/>
          <w:sz w:val="16"/>
          <w:szCs w:val="16"/>
          <w:rtl/>
        </w:rPr>
        <w:t xml:space="preserve"> {היינו משום תרעומת}</w:t>
      </w:r>
      <w:r>
        <w:rPr>
          <w:rFonts w:cs="Arial" w:hint="cs"/>
          <w:rtl/>
        </w:rPr>
        <w:t>,</w:t>
      </w:r>
      <w:r>
        <w:rPr>
          <w:rFonts w:cs="Arial"/>
          <w:rtl/>
        </w:rPr>
        <w:t xml:space="preserve"> א</w:t>
      </w:r>
      <w:r>
        <w:rPr>
          <w:rFonts w:cs="Arial" w:hint="cs"/>
          <w:rtl/>
        </w:rPr>
        <w:t>"נ</w:t>
      </w:r>
      <w:r>
        <w:rPr>
          <w:rFonts w:cs="Arial"/>
          <w:rtl/>
        </w:rPr>
        <w:t xml:space="preserve"> הכא איירי אפילו הכיר בה שהיא שלו דליכא תרעומת עכ</w:t>
      </w:r>
      <w:r>
        <w:rPr>
          <w:rFonts w:cs="Arial" w:hint="cs"/>
          <w:rtl/>
        </w:rPr>
        <w:t>"</w:t>
      </w:r>
      <w:r>
        <w:rPr>
          <w:rFonts w:cs="Arial"/>
          <w:rtl/>
        </w:rPr>
        <w:t>ל</w:t>
      </w:r>
      <w:r>
        <w:rPr>
          <w:rFonts w:cs="Arial" w:hint="cs"/>
          <w:rtl/>
        </w:rPr>
        <w:t xml:space="preserve">. </w:t>
      </w:r>
      <w:r>
        <w:rPr>
          <w:rFonts w:cs="Arial"/>
          <w:rtl/>
        </w:rPr>
        <w:t>ורבינו תפס לו תירוץ שני עיקר</w:t>
      </w:r>
      <w:r>
        <w:rPr>
          <w:rFonts w:cs="Arial" w:hint="cs"/>
          <w:rtl/>
        </w:rPr>
        <w:t>, ב"י.</w:t>
      </w:r>
    </w:p>
  </w:footnote>
  <w:footnote w:id="2745">
    <w:p w14:paraId="39F11697" w14:textId="77777777" w:rsidR="0013116F" w:rsidRDefault="0013116F" w:rsidP="004B607F">
      <w:pPr>
        <w:pStyle w:val="a9"/>
        <w:rPr>
          <w:rtl/>
        </w:rPr>
      </w:pPr>
      <w:r>
        <w:rPr>
          <w:rStyle w:val="ab"/>
        </w:rPr>
        <w:footnoteRef/>
      </w:r>
      <w:r>
        <w:rPr>
          <w:rtl/>
        </w:rPr>
        <w:t xml:space="preserve"> </w:t>
      </w:r>
      <w:r>
        <w:rPr>
          <w:rFonts w:cs="Arial"/>
          <w:rtl/>
        </w:rPr>
        <w:t>כבר כתבתי לעיל (ס"ז) שכך כתב הרא"ש</w:t>
      </w:r>
      <w:r>
        <w:rPr>
          <w:rFonts w:hint="cs"/>
          <w:rtl/>
        </w:rPr>
        <w:t>, ב"י.</w:t>
      </w:r>
    </w:p>
  </w:footnote>
  <w:footnote w:id="2746">
    <w:p w14:paraId="70FC771E" w14:textId="77777777" w:rsidR="0013116F" w:rsidRDefault="0013116F" w:rsidP="004B607F">
      <w:pPr>
        <w:pStyle w:val="a9"/>
        <w:rPr>
          <w:rtl/>
        </w:rPr>
      </w:pPr>
      <w:r>
        <w:rPr>
          <w:rStyle w:val="ab"/>
        </w:rPr>
        <w:footnoteRef/>
      </w:r>
      <w:r>
        <w:rPr>
          <w:rtl/>
        </w:rPr>
        <w:t xml:space="preserve"> </w:t>
      </w:r>
      <w:r>
        <w:rPr>
          <w:rFonts w:cs="Arial"/>
          <w:rtl/>
        </w:rPr>
        <w:t>כך כתבו שם התוס</w:t>
      </w:r>
      <w:r>
        <w:rPr>
          <w:rFonts w:cs="Arial" w:hint="cs"/>
          <w:rtl/>
        </w:rPr>
        <w:t>'</w:t>
      </w:r>
      <w:r w:rsidRPr="00F96D46">
        <w:rPr>
          <w:rFonts w:cs="Arial"/>
          <w:sz w:val="16"/>
          <w:szCs w:val="16"/>
          <w:rtl/>
        </w:rPr>
        <w:t xml:space="preserve"> (מה. ד"ה אי) </w:t>
      </w:r>
      <w:r>
        <w:rPr>
          <w:rFonts w:cs="Arial"/>
          <w:rtl/>
        </w:rPr>
        <w:t>אהא דאמרינן אי דאית ליה ארעא אחריתי עליה הדר הוה מצי לשנויי כגון שעשאו אפותיקי דאז לא הדר אארעא אחריתי דאית ליה ואם תפול ביד המערער יפרע לו אחרת ומשום הכי אינו מעיד עליה דנוגע בעדות הוא</w:t>
      </w:r>
      <w:r>
        <w:rPr>
          <w:rFonts w:hint="cs"/>
          <w:rtl/>
        </w:rPr>
        <w:t>, ב"י.</w:t>
      </w:r>
    </w:p>
  </w:footnote>
  <w:footnote w:id="2747">
    <w:p w14:paraId="2072B90E" w14:textId="77777777" w:rsidR="0013116F" w:rsidRDefault="0013116F" w:rsidP="004B607F">
      <w:pPr>
        <w:pStyle w:val="a9"/>
        <w:rPr>
          <w:rtl/>
        </w:rPr>
      </w:pPr>
      <w:r>
        <w:rPr>
          <w:rStyle w:val="ab"/>
        </w:rPr>
        <w:footnoteRef/>
      </w:r>
      <w:r>
        <w:rPr>
          <w:rtl/>
        </w:rPr>
        <w:t xml:space="preserve"> </w:t>
      </w:r>
      <w:r>
        <w:rPr>
          <w:rFonts w:cs="Arial"/>
          <w:rtl/>
        </w:rPr>
        <w:t>פשוט הוא ואהא דפריך מאי נפקא מינה כתבו התוספות (שם ד"ה מאי) תימה דנפקא מינה שיפטר אם יתעשר ושמא בשביל כן אין לפוסלו לעדות כיון דהשתא לא מרווח מידי</w:t>
      </w:r>
      <w:r>
        <w:rPr>
          <w:rFonts w:hint="cs"/>
          <w:rtl/>
        </w:rPr>
        <w:t>, ב"י.</w:t>
      </w:r>
    </w:p>
  </w:footnote>
  <w:footnote w:id="2748">
    <w:p w14:paraId="6C320B00" w14:textId="77777777" w:rsidR="0013116F" w:rsidRDefault="0013116F" w:rsidP="004B607F">
      <w:pPr>
        <w:pStyle w:val="a9"/>
        <w:rPr>
          <w:rtl/>
        </w:rPr>
      </w:pPr>
      <w:r>
        <w:rPr>
          <w:rStyle w:val="ab"/>
        </w:rPr>
        <w:footnoteRef/>
      </w:r>
      <w:r>
        <w:rPr>
          <w:rtl/>
        </w:rPr>
        <w:t xml:space="preserve"> </w:t>
      </w:r>
      <w:r w:rsidRPr="00B63B26">
        <w:rPr>
          <w:rFonts w:cs="Arial"/>
          <w:rtl/>
        </w:rPr>
        <w:t>ואפילו אית ליה למוכר ארעא אחריתי דיכול להיות שיודע שיש הרבה בעלי חובות עליו, או שמא עשה זה השדה אפותיקי מפורש לבעל חוב. טור [שם] וכן דעת התוס</w:t>
      </w:r>
      <w:r>
        <w:rPr>
          <w:rFonts w:cs="Arial" w:hint="cs"/>
          <w:rtl/>
        </w:rPr>
        <w:t>'</w:t>
      </w:r>
      <w:r w:rsidRPr="00B63B26">
        <w:rPr>
          <w:rFonts w:cs="Arial"/>
          <w:rtl/>
        </w:rPr>
        <w:t xml:space="preserve"> [שם מה</w:t>
      </w:r>
      <w:r>
        <w:rPr>
          <w:rFonts w:cs="Arial" w:hint="cs"/>
          <w:rtl/>
        </w:rPr>
        <w:t>.</w:t>
      </w:r>
      <w:r w:rsidRPr="00B63B26">
        <w:rPr>
          <w:rFonts w:cs="Arial"/>
          <w:rtl/>
        </w:rPr>
        <w:t xml:space="preserve"> ד"ה אי] ושאר פוסקים, וכן הסכימו האחרונים</w:t>
      </w:r>
      <w:r>
        <w:rPr>
          <w:rFonts w:hint="cs"/>
          <w:rtl/>
        </w:rPr>
        <w:t>, ש"ך (סקכ"ב).</w:t>
      </w:r>
    </w:p>
  </w:footnote>
  <w:footnote w:id="2749">
    <w:p w14:paraId="56DCF2B0" w14:textId="77777777" w:rsidR="0013116F" w:rsidRDefault="0013116F" w:rsidP="004B607F">
      <w:pPr>
        <w:pStyle w:val="a9"/>
      </w:pPr>
      <w:r>
        <w:rPr>
          <w:rStyle w:val="ab"/>
        </w:rPr>
        <w:footnoteRef/>
      </w:r>
      <w:r>
        <w:rPr>
          <w:rtl/>
        </w:rPr>
        <w:t xml:space="preserve"> </w:t>
      </w:r>
      <w:r>
        <w:rPr>
          <w:rFonts w:hint="cs"/>
          <w:rtl/>
        </w:rPr>
        <w:t xml:space="preserve">סימן </w:t>
      </w:r>
      <w:r>
        <w:rPr>
          <w:rtl/>
        </w:rPr>
        <w:t>–</w:t>
      </w:r>
      <w:r>
        <w:rPr>
          <w:rFonts w:hint="cs"/>
          <w:rtl/>
        </w:rPr>
        <w:t xml:space="preserve"> מגע. וכן - מעיד גמלו. מעיד דירתו. </w:t>
      </w:r>
      <w:r>
        <w:rPr>
          <w:rFonts w:hint="cs"/>
          <w:sz w:val="16"/>
          <w:szCs w:val="16"/>
          <w:rtl/>
        </w:rPr>
        <w:t>(הסימן הוא לשני הדפים שהסוגיא מתפרסת עליהם)</w:t>
      </w:r>
      <w:r>
        <w:rPr>
          <w:rFonts w:hint="cs"/>
          <w:rtl/>
        </w:rPr>
        <w:t>.</w:t>
      </w:r>
    </w:p>
  </w:footnote>
  <w:footnote w:id="2750">
    <w:p w14:paraId="75573528" w14:textId="77777777" w:rsidR="0013116F" w:rsidRDefault="0013116F" w:rsidP="004B607F">
      <w:pPr>
        <w:pStyle w:val="a9"/>
      </w:pPr>
      <w:r>
        <w:rPr>
          <w:rStyle w:val="ab"/>
        </w:rPr>
        <w:footnoteRef/>
      </w:r>
      <w:r>
        <w:rPr>
          <w:rtl/>
        </w:rPr>
        <w:t xml:space="preserve"> </w:t>
      </w:r>
      <w:r>
        <w:rPr>
          <w:rFonts w:cs="Arial"/>
          <w:rtl/>
        </w:rPr>
        <w:t>כלומר ואם כן נוגע בעדות הוא שאם יזכה המערער יחזור זה ויגבה ממנו מעותיו</w:t>
      </w:r>
      <w:r>
        <w:rPr>
          <w:rFonts w:cs="Arial" w:hint="cs"/>
          <w:rtl/>
        </w:rPr>
        <w:t>, ב"י.</w:t>
      </w:r>
    </w:p>
  </w:footnote>
  <w:footnote w:id="2751">
    <w:p w14:paraId="2D9F3CF6" w14:textId="77777777" w:rsidR="0013116F" w:rsidRDefault="0013116F" w:rsidP="004B607F">
      <w:pPr>
        <w:pStyle w:val="a9"/>
        <w:rPr>
          <w:rtl/>
        </w:rPr>
      </w:pPr>
      <w:r>
        <w:rPr>
          <w:rStyle w:val="ab"/>
        </w:rPr>
        <w:footnoteRef/>
      </w:r>
      <w:r>
        <w:rPr>
          <w:rtl/>
        </w:rPr>
        <w:t xml:space="preserve"> </w:t>
      </w:r>
      <w:r>
        <w:rPr>
          <w:rFonts w:cs="Arial"/>
          <w:rtl/>
        </w:rPr>
        <w:t>כלומר שמודה הלוקח בפני עדים שהפרה בת פרתו של מוכר ולא גזלה מעולם וכן הטלית נארג בביתו והודאת בעל דין כמאה עדים דמיא (ב"מ ג:) דהשתא אפילו יזכה המערער אין הלוקח חוזר על המוכר</w:t>
      </w:r>
      <w:r>
        <w:rPr>
          <w:rFonts w:hint="cs"/>
          <w:rtl/>
        </w:rPr>
        <w:t>, ב"י.</w:t>
      </w:r>
    </w:p>
  </w:footnote>
  <w:footnote w:id="2752">
    <w:p w14:paraId="50F285E7" w14:textId="77777777" w:rsidR="0013116F" w:rsidRDefault="0013116F" w:rsidP="004B607F">
      <w:pPr>
        <w:pStyle w:val="a9"/>
        <w:rPr>
          <w:rFonts w:cs="Arial"/>
          <w:rtl/>
        </w:rPr>
      </w:pPr>
      <w:r>
        <w:rPr>
          <w:rStyle w:val="ab"/>
        </w:rPr>
        <w:footnoteRef/>
      </w:r>
      <w:r>
        <w:rPr>
          <w:rtl/>
        </w:rPr>
        <w:t xml:space="preserve"> </w:t>
      </w:r>
      <w:r w:rsidRPr="00846A8B">
        <w:rPr>
          <w:rFonts w:cs="Arial" w:hint="cs"/>
          <w:u w:val="single"/>
          <w:rtl/>
        </w:rPr>
        <w:t xml:space="preserve">ונחלקו הפוסקים </w:t>
      </w:r>
      <w:r>
        <w:rPr>
          <w:rFonts w:cs="Arial" w:hint="cs"/>
          <w:u w:val="single"/>
          <w:rtl/>
        </w:rPr>
        <w:t xml:space="preserve">עד כמה </w:t>
      </w:r>
      <w:r w:rsidRPr="00846A8B">
        <w:rPr>
          <w:rFonts w:cs="Arial" w:hint="cs"/>
          <w:u w:val="single"/>
          <w:rtl/>
        </w:rPr>
        <w:t>צריך ש</w:t>
      </w:r>
      <w:r>
        <w:rPr>
          <w:rFonts w:cs="Arial" w:hint="cs"/>
          <w:u w:val="single"/>
          <w:rtl/>
        </w:rPr>
        <w:t>יכירו</w:t>
      </w:r>
      <w:r w:rsidRPr="00846A8B">
        <w:rPr>
          <w:rFonts w:cs="Arial" w:hint="cs"/>
          <w:u w:val="single"/>
          <w:rtl/>
        </w:rPr>
        <w:t xml:space="preserve"> </w:t>
      </w:r>
      <w:r>
        <w:rPr>
          <w:rFonts w:cs="Arial" w:hint="cs"/>
          <w:u w:val="single"/>
          <w:rtl/>
        </w:rPr>
        <w:t>ה</w:t>
      </w:r>
      <w:r w:rsidRPr="00846A8B">
        <w:rPr>
          <w:rFonts w:cs="Arial" w:hint="cs"/>
          <w:u w:val="single"/>
          <w:rtl/>
        </w:rPr>
        <w:t xml:space="preserve">עדים </w:t>
      </w:r>
      <w:r>
        <w:rPr>
          <w:rFonts w:cs="Arial" w:hint="cs"/>
          <w:u w:val="single"/>
          <w:rtl/>
        </w:rPr>
        <w:t>הללו את</w:t>
      </w:r>
      <w:r w:rsidRPr="00846A8B">
        <w:rPr>
          <w:rFonts w:cs="Arial" w:hint="cs"/>
          <w:u w:val="single"/>
          <w:rtl/>
        </w:rPr>
        <w:t xml:space="preserve"> </w:t>
      </w:r>
      <w:r>
        <w:rPr>
          <w:rFonts w:cs="Arial" w:hint="cs"/>
          <w:u w:val="single"/>
          <w:rtl/>
        </w:rPr>
        <w:t>המקרה של ראובן</w:t>
      </w:r>
      <w:r w:rsidRPr="00846A8B">
        <w:rPr>
          <w:rFonts w:cs="Arial" w:hint="cs"/>
          <w:u w:val="single"/>
          <w:rtl/>
        </w:rPr>
        <w:t>:</w:t>
      </w:r>
    </w:p>
    <w:p w14:paraId="0307D546" w14:textId="77777777" w:rsidR="0013116F" w:rsidRDefault="0013116F" w:rsidP="004B0475">
      <w:pPr>
        <w:pStyle w:val="a9"/>
        <w:numPr>
          <w:ilvl w:val="0"/>
          <w:numId w:val="115"/>
        </w:numPr>
        <w:rPr>
          <w:rFonts w:cs="Arial"/>
          <w:rtl/>
        </w:rPr>
      </w:pPr>
      <w:r w:rsidRPr="00D334DB">
        <w:rPr>
          <w:rFonts w:cs="Arial"/>
          <w:rtl/>
        </w:rPr>
        <w:t>ר"ח</w:t>
      </w:r>
      <w:r>
        <w:rPr>
          <w:rFonts w:cs="Arial" w:hint="cs"/>
          <w:rtl/>
        </w:rPr>
        <w:t xml:space="preserve">- </w:t>
      </w:r>
      <w:r w:rsidRPr="00D334DB">
        <w:rPr>
          <w:rFonts w:cs="Arial"/>
          <w:rtl/>
        </w:rPr>
        <w:t>צריכין להעיד שזה האיש לא נפרד ממנו מעולם וברור לנו במה שקנה וכי לא קנה קרקע מעולם לא בקנייה ולא במתנה אז יכול להעיד לו</w:t>
      </w:r>
      <w:r w:rsidRPr="00D334DB">
        <w:rPr>
          <w:rFonts w:cs="Arial" w:hint="cs"/>
          <w:rtl/>
        </w:rPr>
        <w:t>.</w:t>
      </w:r>
      <w:r w:rsidRPr="00D334DB">
        <w:rPr>
          <w:rFonts w:cs="Arial"/>
          <w:rtl/>
        </w:rPr>
        <w:t xml:space="preserve"> </w:t>
      </w:r>
    </w:p>
    <w:p w14:paraId="5E8D968D" w14:textId="77777777" w:rsidR="0013116F" w:rsidRDefault="0013116F" w:rsidP="004B0475">
      <w:pPr>
        <w:pStyle w:val="a9"/>
        <w:numPr>
          <w:ilvl w:val="0"/>
          <w:numId w:val="115"/>
        </w:numPr>
        <w:rPr>
          <w:rtl/>
        </w:rPr>
      </w:pPr>
      <w:r w:rsidRPr="00D334DB">
        <w:rPr>
          <w:rFonts w:cs="Arial"/>
          <w:rtl/>
        </w:rPr>
        <w:t xml:space="preserve">ה"ר יונה </w:t>
      </w:r>
      <w:r w:rsidRPr="00E9064F">
        <w:rPr>
          <w:rFonts w:cs="Arial"/>
          <w:sz w:val="16"/>
          <w:szCs w:val="16"/>
          <w:rtl/>
        </w:rPr>
        <w:t>(עליות דר"י מד: ד"ה לא צריכא)</w:t>
      </w:r>
      <w:r>
        <w:rPr>
          <w:rFonts w:cs="Arial" w:hint="cs"/>
          <w:rtl/>
        </w:rPr>
        <w:t xml:space="preserve">- </w:t>
      </w:r>
      <w:r w:rsidRPr="00D334DB">
        <w:rPr>
          <w:rFonts w:cs="Arial"/>
          <w:rtl/>
        </w:rPr>
        <w:t>אין צריכין להעיד שלא נפרד ממנו מעולם ולא עשה שום מעשה משהגדיל שלא בפניהם אלא כיון שדרו בעיר אחת והכירו בעסקיו והוחזק אצלם בעיר שלא היה לו קרקע מעולם תו לא חיישינן</w:t>
      </w:r>
      <w:r>
        <w:rPr>
          <w:rFonts w:cs="Arial" w:hint="cs"/>
          <w:rtl/>
        </w:rPr>
        <w:t xml:space="preserve">. </w:t>
      </w:r>
      <w:r w:rsidRPr="00846A8B">
        <w:rPr>
          <w:rFonts w:cs="Arial" w:hint="cs"/>
          <w:sz w:val="16"/>
          <w:szCs w:val="16"/>
          <w:rtl/>
        </w:rPr>
        <w:t>(ו</w:t>
      </w:r>
      <w:r w:rsidRPr="00846A8B">
        <w:rPr>
          <w:rFonts w:cs="Arial"/>
          <w:sz w:val="16"/>
          <w:szCs w:val="16"/>
          <w:rtl/>
        </w:rPr>
        <w:t>כ"כ ר</w:t>
      </w:r>
      <w:r>
        <w:rPr>
          <w:rFonts w:cs="Arial" w:hint="cs"/>
          <w:sz w:val="16"/>
          <w:szCs w:val="16"/>
          <w:rtl/>
        </w:rPr>
        <w:t>י"ו</w:t>
      </w:r>
      <w:r w:rsidRPr="00846A8B">
        <w:rPr>
          <w:rFonts w:cs="Arial"/>
          <w:sz w:val="16"/>
          <w:szCs w:val="16"/>
          <w:rtl/>
        </w:rPr>
        <w:t xml:space="preserve"> </w:t>
      </w:r>
      <w:r>
        <w:rPr>
          <w:rFonts w:cs="Arial" w:hint="cs"/>
          <w:sz w:val="16"/>
          <w:szCs w:val="16"/>
          <w:rtl/>
        </w:rPr>
        <w:t>(</w:t>
      </w:r>
      <w:r w:rsidRPr="00846A8B">
        <w:rPr>
          <w:rFonts w:cs="Arial"/>
          <w:sz w:val="16"/>
          <w:szCs w:val="16"/>
          <w:rtl/>
        </w:rPr>
        <w:t>נ"ב ח"ה יג:) ועיין בנמוק</w:t>
      </w:r>
      <w:r>
        <w:rPr>
          <w:rFonts w:cs="Arial" w:hint="cs"/>
          <w:sz w:val="16"/>
          <w:szCs w:val="16"/>
          <w:rtl/>
        </w:rPr>
        <w:t>"</w:t>
      </w:r>
      <w:r w:rsidRPr="00846A8B">
        <w:rPr>
          <w:rFonts w:cs="Arial"/>
          <w:sz w:val="16"/>
          <w:szCs w:val="16"/>
          <w:rtl/>
        </w:rPr>
        <w:t>י (כד. ד"ה וניחוש)</w:t>
      </w:r>
      <w:r w:rsidRPr="00846A8B">
        <w:rPr>
          <w:rFonts w:hint="cs"/>
          <w:sz w:val="16"/>
          <w:szCs w:val="16"/>
          <w:rtl/>
        </w:rPr>
        <w:t>, ב"י</w:t>
      </w:r>
      <w:r>
        <w:rPr>
          <w:rFonts w:hint="cs"/>
          <w:sz w:val="16"/>
          <w:szCs w:val="16"/>
          <w:rtl/>
        </w:rPr>
        <w:t>)</w:t>
      </w:r>
    </w:p>
  </w:footnote>
  <w:footnote w:id="2753">
    <w:p w14:paraId="78D57AEF" w14:textId="77777777" w:rsidR="0013116F" w:rsidRDefault="0013116F" w:rsidP="004B607F">
      <w:pPr>
        <w:pStyle w:val="a9"/>
      </w:pPr>
      <w:r>
        <w:rPr>
          <w:rStyle w:val="ab"/>
        </w:rPr>
        <w:footnoteRef/>
      </w:r>
      <w:r>
        <w:rPr>
          <w:rtl/>
        </w:rPr>
        <w:t xml:space="preserve"> </w:t>
      </w:r>
      <w:r>
        <w:rPr>
          <w:rFonts w:cs="Arial"/>
          <w:rtl/>
        </w:rPr>
        <w:t>וכתב בהג</w:t>
      </w:r>
      <w:r>
        <w:rPr>
          <w:rFonts w:cs="Arial" w:hint="cs"/>
          <w:rtl/>
        </w:rPr>
        <w:t>"</w:t>
      </w:r>
      <w:r>
        <w:rPr>
          <w:rFonts w:cs="Arial"/>
          <w:rtl/>
        </w:rPr>
        <w:t>א (סי' מג) ונראה לי דבזמן הזה אפילו איכא עדים דלא הוה ליה מקרקעי מעולם חיישינן דלמא אודי כמו שרגילין בזמן הזה לכתוב והקניתי לו ארבע אמות קרקע בחצרי אף על גב דקים לן דלית ליה שום חצר ובימי חכמי התלמוד דלא הורגלו לכתוב אם אין לו לכך לא הוו חיישינן ע</w:t>
      </w:r>
      <w:r>
        <w:rPr>
          <w:rFonts w:cs="Arial" w:hint="cs"/>
          <w:rtl/>
        </w:rPr>
        <w:t>כ"ל</w:t>
      </w:r>
      <w:r>
        <w:rPr>
          <w:rFonts w:cs="Arial"/>
          <w:rtl/>
        </w:rPr>
        <w:t xml:space="preserve"> הג"</w:t>
      </w:r>
      <w:r>
        <w:rPr>
          <w:rFonts w:cs="Arial" w:hint="cs"/>
          <w:rtl/>
        </w:rPr>
        <w:t xml:space="preserve">א. וכתב הדרכ"מ (אות </w:t>
      </w:r>
      <w:r w:rsidRPr="00D60C1E">
        <w:rPr>
          <w:rFonts w:cs="Arial"/>
          <w:rtl/>
        </w:rPr>
        <w:t>ו) מיהו בזמן הזה שאין גובין מטלטלין המשועבדים אע</w:t>
      </w:r>
      <w:r>
        <w:rPr>
          <w:rFonts w:cs="Arial" w:hint="cs"/>
          <w:rtl/>
        </w:rPr>
        <w:t>"</w:t>
      </w:r>
      <w:r w:rsidRPr="00D60C1E">
        <w:rPr>
          <w:rFonts w:cs="Arial"/>
          <w:rtl/>
        </w:rPr>
        <w:t>ג דכתב לו אגב קרקע ליכא למיחש למידי ועיין לקמן סימן ס' (ס"ד)</w:t>
      </w:r>
      <w:r>
        <w:rPr>
          <w:rFonts w:cs="Arial" w:hint="cs"/>
          <w:rtl/>
        </w:rPr>
        <w:t>.</w:t>
      </w:r>
    </w:p>
  </w:footnote>
  <w:footnote w:id="2754">
    <w:p w14:paraId="30DA2041" w14:textId="77777777" w:rsidR="0013116F" w:rsidRDefault="0013116F" w:rsidP="004B607F">
      <w:pPr>
        <w:pStyle w:val="a9"/>
        <w:rPr>
          <w:rtl/>
        </w:rPr>
      </w:pPr>
      <w:r>
        <w:rPr>
          <w:rStyle w:val="ab"/>
        </w:rPr>
        <w:footnoteRef/>
      </w:r>
      <w:r>
        <w:rPr>
          <w:rtl/>
        </w:rPr>
        <w:t xml:space="preserve"> </w:t>
      </w:r>
      <w:r>
        <w:rPr>
          <w:rFonts w:cs="Arial"/>
          <w:rtl/>
        </w:rPr>
        <w:t xml:space="preserve">והני מילי כשהודה שהיא בת חמורו </w:t>
      </w:r>
      <w:r>
        <w:rPr>
          <w:rFonts w:cs="Arial" w:hint="cs"/>
          <w:rtl/>
        </w:rPr>
        <w:t xml:space="preserve">- </w:t>
      </w:r>
      <w:r w:rsidRPr="00BC356A">
        <w:rPr>
          <w:rFonts w:cs="Arial"/>
          <w:b/>
          <w:bCs/>
          <w:rtl/>
        </w:rPr>
        <w:t>מעיקרא</w:t>
      </w:r>
      <w:r>
        <w:rPr>
          <w:rFonts w:cs="Arial" w:hint="cs"/>
          <w:rtl/>
        </w:rPr>
        <w:t>,</w:t>
      </w:r>
      <w:r>
        <w:rPr>
          <w:rFonts w:cs="Arial"/>
          <w:rtl/>
        </w:rPr>
        <w:t xml:space="preserve"> אבל אם הודה לו עכשיו כשבא מערער עליה –</w:t>
      </w:r>
      <w:r>
        <w:rPr>
          <w:rFonts w:cs="Arial" w:hint="cs"/>
          <w:rtl/>
        </w:rPr>
        <w:t xml:space="preserve"> </w:t>
      </w:r>
      <w:r>
        <w:rPr>
          <w:rFonts w:cs="Arial"/>
          <w:rtl/>
        </w:rPr>
        <w:t>לא</w:t>
      </w:r>
      <w:r>
        <w:rPr>
          <w:rFonts w:cs="Arial" w:hint="cs"/>
          <w:rtl/>
        </w:rPr>
        <w:t>,</w:t>
      </w:r>
      <w:r>
        <w:rPr>
          <w:rFonts w:cs="Arial"/>
          <w:rtl/>
        </w:rPr>
        <w:t xml:space="preserve"> דאיכא למיחש דמשום הכי מודה לו כדי שיעיד לו</w:t>
      </w:r>
      <w:r>
        <w:rPr>
          <w:rFonts w:cs="Arial" w:hint="cs"/>
          <w:rtl/>
        </w:rPr>
        <w:t>,</w:t>
      </w:r>
      <w:r>
        <w:rPr>
          <w:rFonts w:cs="Arial"/>
          <w:rtl/>
        </w:rPr>
        <w:t xml:space="preserve"> ומשום הכי נמי לא מוקי לה שהלוקח פוטר המוכר מאחריות דהשתא לא הוי נוגע בעדות משום דהיינו חוששין דבשביל אותה הנאה מעיד</w:t>
      </w:r>
      <w:r>
        <w:rPr>
          <w:rFonts w:cs="Arial" w:hint="cs"/>
          <w:rtl/>
        </w:rPr>
        <w:t>,</w:t>
      </w:r>
      <w:r w:rsidRPr="00E70E2D">
        <w:rPr>
          <w:rFonts w:cs="Arial"/>
          <w:rtl/>
        </w:rPr>
        <w:t xml:space="preserve"> </w:t>
      </w:r>
      <w:r>
        <w:rPr>
          <w:rFonts w:cs="Arial"/>
          <w:rtl/>
        </w:rPr>
        <w:t>נמוק</w:t>
      </w:r>
      <w:r>
        <w:rPr>
          <w:rFonts w:cs="Arial" w:hint="cs"/>
          <w:rtl/>
        </w:rPr>
        <w:t>"</w:t>
      </w:r>
      <w:r>
        <w:rPr>
          <w:rFonts w:cs="Arial"/>
          <w:rtl/>
        </w:rPr>
        <w:t>י (כד</w:t>
      </w:r>
      <w:r>
        <w:rPr>
          <w:rFonts w:cs="Arial" w:hint="cs"/>
          <w:rtl/>
        </w:rPr>
        <w:t>:</w:t>
      </w:r>
      <w:r>
        <w:rPr>
          <w:rFonts w:cs="Arial"/>
          <w:rtl/>
        </w:rPr>
        <w:t>) בשם המפרשים</w:t>
      </w:r>
      <w:r>
        <w:rPr>
          <w:rFonts w:cs="Arial" w:hint="cs"/>
          <w:rtl/>
        </w:rPr>
        <w:t xml:space="preserve">. </w:t>
      </w:r>
      <w:r w:rsidRPr="00E70E2D">
        <w:rPr>
          <w:rFonts w:cs="Arial" w:hint="cs"/>
          <w:sz w:val="16"/>
          <w:szCs w:val="16"/>
          <w:rtl/>
        </w:rPr>
        <w:t>(</w:t>
      </w:r>
      <w:r w:rsidRPr="00E70E2D">
        <w:rPr>
          <w:rFonts w:cs="Arial"/>
          <w:sz w:val="16"/>
          <w:szCs w:val="16"/>
          <w:rtl/>
        </w:rPr>
        <w:t>ו</w:t>
      </w:r>
      <w:r w:rsidRPr="00E70E2D">
        <w:rPr>
          <w:rFonts w:cs="Arial" w:hint="cs"/>
          <w:sz w:val="16"/>
          <w:szCs w:val="16"/>
          <w:rtl/>
        </w:rPr>
        <w:t>כתב הב"י ד</w:t>
      </w:r>
      <w:r w:rsidRPr="00E70E2D">
        <w:rPr>
          <w:rFonts w:cs="Arial"/>
          <w:sz w:val="16"/>
          <w:szCs w:val="16"/>
          <w:rtl/>
        </w:rPr>
        <w:t>אע</w:t>
      </w:r>
      <w:r w:rsidRPr="00E70E2D">
        <w:rPr>
          <w:rFonts w:cs="Arial" w:hint="cs"/>
          <w:sz w:val="16"/>
          <w:szCs w:val="16"/>
          <w:rtl/>
        </w:rPr>
        <w:t>"</w:t>
      </w:r>
      <w:r w:rsidRPr="00E70E2D">
        <w:rPr>
          <w:rFonts w:cs="Arial"/>
          <w:sz w:val="16"/>
          <w:szCs w:val="16"/>
          <w:rtl/>
        </w:rPr>
        <w:t>ג דלדעת רבינו והרא"ש לא נפקא לן מידי דהא פסקו דבכל גוונא אינו חוזר עליו מכל מקום נפקא מינה לדעת הרמב"ם שכתב דבעינן שיכיר שהיא בת חמורו</w:t>
      </w:r>
      <w:r>
        <w:rPr>
          <w:rFonts w:cs="Arial" w:hint="cs"/>
          <w:sz w:val="16"/>
          <w:szCs w:val="16"/>
          <w:rtl/>
        </w:rPr>
        <w:t>)</w:t>
      </w:r>
    </w:p>
  </w:footnote>
  <w:footnote w:id="2755">
    <w:p w14:paraId="3B143A26" w14:textId="77777777" w:rsidR="0013116F" w:rsidRPr="009C20BF" w:rsidRDefault="0013116F" w:rsidP="004B607F">
      <w:pPr>
        <w:pStyle w:val="a9"/>
        <w:rPr>
          <w:rFonts w:cs="Arial"/>
          <w:rtl/>
        </w:rPr>
      </w:pPr>
      <w:r>
        <w:rPr>
          <w:rStyle w:val="ab"/>
        </w:rPr>
        <w:footnoteRef/>
      </w:r>
      <w:r>
        <w:rPr>
          <w:rtl/>
        </w:rPr>
        <w:t xml:space="preserve"> </w:t>
      </w:r>
      <w:r>
        <w:rPr>
          <w:rFonts w:cs="Arial" w:hint="cs"/>
          <w:rtl/>
        </w:rPr>
        <w:t xml:space="preserve">וכתב הטור- </w:t>
      </w:r>
      <w:r w:rsidRPr="00D334DB">
        <w:rPr>
          <w:rFonts w:cs="Arial"/>
          <w:rtl/>
        </w:rPr>
        <w:t>יראה שפוסק כרב פפא דמוקי לה דמכיר בה שהיא בת חמורו</w:t>
      </w:r>
      <w:r>
        <w:rPr>
          <w:rFonts w:hint="cs"/>
          <w:rtl/>
        </w:rPr>
        <w:t>. עכ"ל.</w:t>
      </w:r>
      <w:r w:rsidRPr="00861CC6">
        <w:rPr>
          <w:rFonts w:cs="Arial"/>
          <w:rtl/>
        </w:rPr>
        <w:t xml:space="preserve"> </w:t>
      </w:r>
      <w:r>
        <w:rPr>
          <w:rFonts w:cs="Arial" w:hint="cs"/>
          <w:rtl/>
        </w:rPr>
        <w:t xml:space="preserve">וכתב הב"י על דבריו- </w:t>
      </w:r>
      <w:r>
        <w:rPr>
          <w:rFonts w:cs="Arial"/>
          <w:rtl/>
        </w:rPr>
        <w:t>חשב רבינו שהוא פוסק דלא כרב זביד וכן משמע פשט לשון הרמב"ם</w:t>
      </w:r>
      <w:r>
        <w:rPr>
          <w:rFonts w:cs="Arial" w:hint="cs"/>
          <w:rtl/>
        </w:rPr>
        <w:t>,</w:t>
      </w:r>
      <w:r>
        <w:rPr>
          <w:rFonts w:cs="Arial"/>
          <w:rtl/>
        </w:rPr>
        <w:t xml:space="preserve"> וא</w:t>
      </w:r>
      <w:r>
        <w:rPr>
          <w:rFonts w:cs="Arial" w:hint="cs"/>
          <w:rtl/>
        </w:rPr>
        <w:t>"</w:t>
      </w:r>
      <w:r>
        <w:rPr>
          <w:rFonts w:cs="Arial"/>
          <w:rtl/>
        </w:rPr>
        <w:t>א לומר כן</w:t>
      </w:r>
      <w:r>
        <w:rPr>
          <w:rFonts w:cs="Arial" w:hint="cs"/>
          <w:rtl/>
        </w:rPr>
        <w:t>,</w:t>
      </w:r>
      <w:r>
        <w:rPr>
          <w:rFonts w:cs="Arial"/>
          <w:rtl/>
        </w:rPr>
        <w:t xml:space="preserve"> שהרי הרמב"ם בפי"ט מהל</w:t>
      </w:r>
      <w:r>
        <w:rPr>
          <w:rFonts w:cs="Arial" w:hint="cs"/>
          <w:rtl/>
        </w:rPr>
        <w:t>'</w:t>
      </w:r>
      <w:r>
        <w:rPr>
          <w:rFonts w:cs="Arial"/>
          <w:rtl/>
        </w:rPr>
        <w:t xml:space="preserve"> מכירה (ה"ח) כתב המוכר קרקע וכו' אפילו נודע בודאי שזו הארץ גזולה ויצאה מיד הלוקח אין המוכר חייב כלום</w:t>
      </w:r>
      <w:r>
        <w:rPr>
          <w:rFonts w:cs="Arial" w:hint="cs"/>
          <w:rtl/>
        </w:rPr>
        <w:t>.</w:t>
      </w:r>
      <w:r>
        <w:rPr>
          <w:rFonts w:cs="Arial"/>
          <w:rtl/>
        </w:rPr>
        <w:t xml:space="preserve"> והיינו כרב זביד. ולכן נ"ל דהרמב"ם משמע ליה דבמוכר סתם אפילו לרב זביד בעינן שיכיר בה שהיא בת חמורו</w:t>
      </w:r>
      <w:r>
        <w:rPr>
          <w:rFonts w:cs="Arial" w:hint="cs"/>
          <w:rtl/>
        </w:rPr>
        <w:t>,</w:t>
      </w:r>
      <w:r>
        <w:rPr>
          <w:rFonts w:cs="Arial"/>
          <w:rtl/>
        </w:rPr>
        <w:t xml:space="preserve"> דעד כאן לא פליג ארב פפא אלא כשהתנה בפירוש שאין לו עליו אחריות</w:t>
      </w:r>
      <w:r>
        <w:rPr>
          <w:rFonts w:cs="Arial" w:hint="cs"/>
          <w:rtl/>
        </w:rPr>
        <w:t>,</w:t>
      </w:r>
      <w:r>
        <w:rPr>
          <w:rFonts w:cs="Arial"/>
          <w:rtl/>
        </w:rPr>
        <w:t xml:space="preserve"> והיינו דקאמר דאמר ליה להכי זבני לך שלא באחריות</w:t>
      </w:r>
      <w:r>
        <w:rPr>
          <w:rFonts w:cs="Arial" w:hint="cs"/>
          <w:rtl/>
        </w:rPr>
        <w:t>,</w:t>
      </w:r>
      <w:r>
        <w:rPr>
          <w:rFonts w:cs="Arial"/>
          <w:rtl/>
        </w:rPr>
        <w:t xml:space="preserve"> ועל כרחך היינו שהתנה כן בפירוש שאל</w:t>
      </w:r>
      <w:r>
        <w:rPr>
          <w:rFonts w:cs="Arial" w:hint="cs"/>
          <w:rtl/>
        </w:rPr>
        <w:t>"</w:t>
      </w:r>
      <w:r>
        <w:rPr>
          <w:rFonts w:cs="Arial"/>
          <w:rtl/>
        </w:rPr>
        <w:t>כ הא קיי</w:t>
      </w:r>
      <w:r>
        <w:rPr>
          <w:rFonts w:cs="Arial" w:hint="cs"/>
          <w:rtl/>
        </w:rPr>
        <w:t>"</w:t>
      </w:r>
      <w:r>
        <w:rPr>
          <w:rFonts w:cs="Arial"/>
          <w:rtl/>
        </w:rPr>
        <w:t>ל (ב"מ יד.) אחריות טעות סופר הוא</w:t>
      </w:r>
      <w:r>
        <w:rPr>
          <w:rFonts w:cs="Arial" w:hint="cs"/>
          <w:rtl/>
        </w:rPr>
        <w:t>,</w:t>
      </w:r>
      <w:r>
        <w:rPr>
          <w:rFonts w:cs="Arial"/>
          <w:rtl/>
        </w:rPr>
        <w:t xml:space="preserve"> וא</w:t>
      </w:r>
      <w:r>
        <w:rPr>
          <w:rFonts w:cs="Arial" w:hint="cs"/>
          <w:rtl/>
        </w:rPr>
        <w:t>"</w:t>
      </w:r>
      <w:r>
        <w:rPr>
          <w:rFonts w:cs="Arial"/>
          <w:rtl/>
        </w:rPr>
        <w:t xml:space="preserve">כ במכר לו פרה וטלית או שאר מטלטלין סתם </w:t>
      </w:r>
      <w:r>
        <w:rPr>
          <w:rFonts w:cs="Arial" w:hint="cs"/>
          <w:rtl/>
        </w:rPr>
        <w:t xml:space="preserve">- </w:t>
      </w:r>
      <w:r>
        <w:rPr>
          <w:rFonts w:cs="Arial"/>
          <w:rtl/>
        </w:rPr>
        <w:t>אפילו לרב זביד בעינן שיכיר שהיא בת חמורו לשיוכל להעיד לו עליה משום דאם אינו מכיר ונמצאת שאינה שלו חוזר עליו כיון שקנה סתם</w:t>
      </w:r>
      <w:r>
        <w:rPr>
          <w:rFonts w:cs="Arial" w:hint="cs"/>
          <w:rtl/>
        </w:rPr>
        <w:t>,</w:t>
      </w:r>
      <w:r>
        <w:rPr>
          <w:rFonts w:cs="Arial"/>
          <w:rtl/>
        </w:rPr>
        <w:t xml:space="preserve"> כן נראה לי לקיים דברי הרמב"ם.</w:t>
      </w:r>
      <w:r>
        <w:rPr>
          <w:rFonts w:cs="Arial" w:hint="cs"/>
          <w:rtl/>
        </w:rPr>
        <w:t xml:space="preserve"> עכ"ל הב"י. וגם הש"ך (סקכ"ה)</w:t>
      </w:r>
      <w:r w:rsidRPr="00F0212D">
        <w:rPr>
          <w:rFonts w:cs="Arial"/>
          <w:rtl/>
        </w:rPr>
        <w:t xml:space="preserve"> </w:t>
      </w:r>
      <w:r>
        <w:rPr>
          <w:rFonts w:cs="Arial" w:hint="cs"/>
          <w:rtl/>
        </w:rPr>
        <w:t xml:space="preserve">כתב </w:t>
      </w:r>
      <w:r w:rsidRPr="00F0212D">
        <w:rPr>
          <w:rFonts w:cs="Arial"/>
          <w:rtl/>
        </w:rPr>
        <w:t>דודאי הרמב"ם פסק כרב זביד</w:t>
      </w:r>
      <w:r>
        <w:rPr>
          <w:rFonts w:cs="Arial" w:hint="cs"/>
          <w:rtl/>
        </w:rPr>
        <w:t xml:space="preserve"> אך לא מטעמו של הב"י</w:t>
      </w:r>
      <w:r w:rsidRPr="00F0212D">
        <w:rPr>
          <w:rFonts w:cs="Arial"/>
          <w:rtl/>
        </w:rPr>
        <w:t xml:space="preserve"> </w:t>
      </w:r>
      <w:r>
        <w:rPr>
          <w:rFonts w:cs="Arial" w:hint="cs"/>
          <w:sz w:val="16"/>
          <w:szCs w:val="16"/>
          <w:rtl/>
        </w:rPr>
        <w:t>(</w:t>
      </w:r>
      <w:r w:rsidRPr="009C20BF">
        <w:rPr>
          <w:rFonts w:cs="Arial"/>
          <w:sz w:val="16"/>
          <w:szCs w:val="16"/>
          <w:rtl/>
        </w:rPr>
        <w:t>וכמ"ש ג"כ הה</w:t>
      </w:r>
      <w:r w:rsidRPr="009C20BF">
        <w:rPr>
          <w:rFonts w:cs="Arial" w:hint="cs"/>
          <w:sz w:val="16"/>
          <w:szCs w:val="16"/>
          <w:rtl/>
        </w:rPr>
        <w:t>"</w:t>
      </w:r>
      <w:r w:rsidRPr="009C20BF">
        <w:rPr>
          <w:rFonts w:cs="Arial"/>
          <w:sz w:val="16"/>
          <w:szCs w:val="16"/>
          <w:rtl/>
        </w:rPr>
        <w:t xml:space="preserve">מ </w:t>
      </w:r>
      <w:r w:rsidRPr="009C20BF">
        <w:rPr>
          <w:rFonts w:cs="Arial" w:hint="cs"/>
          <w:sz w:val="16"/>
          <w:szCs w:val="16"/>
          <w:rtl/>
        </w:rPr>
        <w:t>(</w:t>
      </w:r>
      <w:r w:rsidRPr="009C20BF">
        <w:rPr>
          <w:rFonts w:cs="Arial"/>
          <w:sz w:val="16"/>
          <w:szCs w:val="16"/>
          <w:rtl/>
        </w:rPr>
        <w:t>פי"ט מה</w:t>
      </w:r>
      <w:r w:rsidRPr="009C20BF">
        <w:rPr>
          <w:rFonts w:cs="Arial" w:hint="cs"/>
          <w:sz w:val="16"/>
          <w:szCs w:val="16"/>
          <w:rtl/>
        </w:rPr>
        <w:t>ל</w:t>
      </w:r>
      <w:r w:rsidRPr="009C20BF">
        <w:rPr>
          <w:rFonts w:cs="Arial"/>
          <w:sz w:val="16"/>
          <w:szCs w:val="16"/>
          <w:rtl/>
        </w:rPr>
        <w:t>' מכירה ה"ח</w:t>
      </w:r>
      <w:r w:rsidRPr="009C20BF">
        <w:rPr>
          <w:rFonts w:cs="Arial" w:hint="cs"/>
          <w:sz w:val="16"/>
          <w:szCs w:val="16"/>
          <w:rtl/>
        </w:rPr>
        <w:t>)</w:t>
      </w:r>
      <w:r w:rsidRPr="009C20BF">
        <w:rPr>
          <w:rFonts w:cs="Arial"/>
          <w:sz w:val="16"/>
          <w:szCs w:val="16"/>
          <w:rtl/>
        </w:rPr>
        <w:t>.</w:t>
      </w:r>
      <w:r w:rsidRPr="009C20BF">
        <w:rPr>
          <w:rFonts w:cs="Arial" w:hint="cs"/>
          <w:sz w:val="16"/>
          <w:szCs w:val="16"/>
          <w:rtl/>
        </w:rPr>
        <w:t>..</w:t>
      </w:r>
      <w:r w:rsidRPr="009C20BF">
        <w:rPr>
          <w:rFonts w:cs="Arial"/>
          <w:sz w:val="16"/>
          <w:szCs w:val="16"/>
          <w:rtl/>
        </w:rPr>
        <w:t xml:space="preserve"> </w:t>
      </w:r>
      <w:r w:rsidRPr="009C20BF">
        <w:rPr>
          <w:rFonts w:cs="Arial" w:hint="cs"/>
          <w:sz w:val="16"/>
          <w:szCs w:val="16"/>
          <w:rtl/>
        </w:rPr>
        <w:t>ד</w:t>
      </w:r>
      <w:r w:rsidRPr="009C20BF">
        <w:rPr>
          <w:rFonts w:cs="Arial"/>
          <w:sz w:val="16"/>
          <w:szCs w:val="16"/>
          <w:rtl/>
        </w:rPr>
        <w:t>משמע ליה להרמב"ם דדוקא בשדה פליג רב זביד, משום דעביד אינש דזבין ארעא ליומא, או טעמא אחריני, אבל במטלטלים מודה רב זביד.</w:t>
      </w:r>
      <w:r w:rsidRPr="009C20BF">
        <w:rPr>
          <w:rFonts w:cs="Arial" w:hint="cs"/>
          <w:sz w:val="16"/>
          <w:szCs w:val="16"/>
          <w:rtl/>
        </w:rPr>
        <w:t>..</w:t>
      </w:r>
      <w:r w:rsidRPr="009C20BF">
        <w:rPr>
          <w:rFonts w:cs="Arial"/>
          <w:sz w:val="16"/>
          <w:szCs w:val="16"/>
          <w:rtl/>
        </w:rPr>
        <w:t xml:space="preserve"> </w:t>
      </w:r>
      <w:r w:rsidRPr="009C20BF">
        <w:rPr>
          <w:rFonts w:cs="Arial" w:hint="cs"/>
          <w:sz w:val="16"/>
          <w:szCs w:val="16"/>
          <w:rtl/>
        </w:rPr>
        <w:t>ו</w:t>
      </w:r>
      <w:r w:rsidRPr="009C20BF">
        <w:rPr>
          <w:rFonts w:cs="Arial"/>
          <w:sz w:val="16"/>
          <w:szCs w:val="16"/>
          <w:rtl/>
        </w:rPr>
        <w:t xml:space="preserve">שוב מצאתי בספר גדולי תרומה </w:t>
      </w:r>
      <w:r w:rsidRPr="009C20BF">
        <w:rPr>
          <w:rFonts w:cs="Arial" w:hint="cs"/>
          <w:sz w:val="16"/>
          <w:szCs w:val="16"/>
          <w:rtl/>
        </w:rPr>
        <w:t>(</w:t>
      </w:r>
      <w:r w:rsidRPr="009C20BF">
        <w:rPr>
          <w:rFonts w:cs="Arial"/>
          <w:sz w:val="16"/>
          <w:szCs w:val="16"/>
          <w:rtl/>
        </w:rPr>
        <w:t>שער מ"ג ח"ב ס"ב</w:t>
      </w:r>
      <w:r w:rsidRPr="009C20BF">
        <w:rPr>
          <w:rFonts w:cs="Arial" w:hint="cs"/>
          <w:sz w:val="16"/>
          <w:szCs w:val="16"/>
          <w:rtl/>
        </w:rPr>
        <w:t>)</w:t>
      </w:r>
      <w:r w:rsidRPr="009C20BF">
        <w:rPr>
          <w:rFonts w:cs="Arial"/>
          <w:sz w:val="16"/>
          <w:szCs w:val="16"/>
          <w:rtl/>
        </w:rPr>
        <w:t xml:space="preserve"> שפירש דעת הרמב"ם כמ</w:t>
      </w:r>
      <w:r w:rsidRPr="009C20BF">
        <w:rPr>
          <w:rFonts w:cs="Arial" w:hint="cs"/>
          <w:sz w:val="16"/>
          <w:szCs w:val="16"/>
          <w:rtl/>
        </w:rPr>
        <w:t xml:space="preserve">ו </w:t>
      </w:r>
      <w:r w:rsidRPr="009C20BF">
        <w:rPr>
          <w:rFonts w:cs="Arial"/>
          <w:sz w:val="16"/>
          <w:szCs w:val="16"/>
          <w:rtl/>
        </w:rPr>
        <w:t>ש</w:t>
      </w:r>
      <w:r w:rsidRPr="009C20BF">
        <w:rPr>
          <w:rFonts w:cs="Arial" w:hint="cs"/>
          <w:sz w:val="16"/>
          <w:szCs w:val="16"/>
          <w:rtl/>
        </w:rPr>
        <w:t xml:space="preserve">פירשתי. </w:t>
      </w:r>
      <w:r w:rsidRPr="009C20BF">
        <w:rPr>
          <w:rFonts w:cs="Arial"/>
          <w:sz w:val="16"/>
          <w:szCs w:val="16"/>
          <w:rtl/>
        </w:rPr>
        <w:t xml:space="preserve">מיהו </w:t>
      </w:r>
      <w:r w:rsidRPr="009C20BF">
        <w:rPr>
          <w:rFonts w:cs="Arial" w:hint="cs"/>
          <w:sz w:val="16"/>
          <w:szCs w:val="16"/>
          <w:rtl/>
        </w:rPr>
        <w:t xml:space="preserve">מדברי </w:t>
      </w:r>
      <w:r w:rsidRPr="009C20BF">
        <w:rPr>
          <w:rFonts w:cs="Arial"/>
          <w:sz w:val="16"/>
          <w:szCs w:val="16"/>
          <w:rtl/>
        </w:rPr>
        <w:t xml:space="preserve">הרא"ש </w:t>
      </w:r>
      <w:r w:rsidRPr="009C20BF">
        <w:rPr>
          <w:rFonts w:cs="Arial" w:hint="cs"/>
          <w:sz w:val="16"/>
          <w:szCs w:val="16"/>
          <w:rtl/>
        </w:rPr>
        <w:t>(</w:t>
      </w:r>
      <w:r w:rsidRPr="009C20BF">
        <w:rPr>
          <w:rFonts w:cs="Arial"/>
          <w:sz w:val="16"/>
          <w:szCs w:val="16"/>
          <w:rtl/>
        </w:rPr>
        <w:t>סי' מד</w:t>
      </w:r>
      <w:r w:rsidRPr="009C20BF">
        <w:rPr>
          <w:rFonts w:cs="Arial" w:hint="cs"/>
          <w:sz w:val="16"/>
          <w:szCs w:val="16"/>
          <w:rtl/>
        </w:rPr>
        <w:t>)</w:t>
      </w:r>
      <w:r w:rsidRPr="009C20BF">
        <w:rPr>
          <w:rFonts w:cs="Arial"/>
          <w:sz w:val="16"/>
          <w:szCs w:val="16"/>
          <w:rtl/>
        </w:rPr>
        <w:t xml:space="preserve"> נראה דרב זביד אפרה וטלית נמי פליג, וכמ"ש הטור [סעיף ט'] דאפי' בפרה וטלית יכול להעיד כשמכר לו שלא באחריות. וכן פירש רשב"ם [שם מד</w:t>
      </w:r>
      <w:r w:rsidRPr="009C20BF">
        <w:rPr>
          <w:rFonts w:cs="Arial" w:hint="cs"/>
          <w:sz w:val="16"/>
          <w:szCs w:val="16"/>
          <w:rtl/>
        </w:rPr>
        <w:t>:</w:t>
      </w:r>
      <w:r w:rsidRPr="009C20BF">
        <w:rPr>
          <w:rFonts w:cs="Arial"/>
          <w:sz w:val="16"/>
          <w:szCs w:val="16"/>
          <w:rtl/>
        </w:rPr>
        <w:t xml:space="preserve"> ד"ה ורב זביד] להדיא, וכ"כ הנמוק</w:t>
      </w:r>
      <w:r w:rsidRPr="009C20BF">
        <w:rPr>
          <w:rFonts w:cs="Arial" w:hint="cs"/>
          <w:sz w:val="16"/>
          <w:szCs w:val="16"/>
          <w:rtl/>
        </w:rPr>
        <w:t>"</w:t>
      </w:r>
      <w:r w:rsidRPr="009C20BF">
        <w:rPr>
          <w:rFonts w:cs="Arial"/>
          <w:sz w:val="16"/>
          <w:szCs w:val="16"/>
          <w:rtl/>
        </w:rPr>
        <w:t>י [שם כד</w:t>
      </w:r>
      <w:r w:rsidRPr="009C20BF">
        <w:rPr>
          <w:rFonts w:cs="Arial" w:hint="cs"/>
          <w:sz w:val="16"/>
          <w:szCs w:val="16"/>
          <w:rtl/>
        </w:rPr>
        <w:t>:</w:t>
      </w:r>
      <w:r w:rsidRPr="009C20BF">
        <w:rPr>
          <w:rFonts w:cs="Arial"/>
          <w:sz w:val="16"/>
          <w:szCs w:val="16"/>
          <w:rtl/>
        </w:rPr>
        <w:t xml:space="preserve"> מדפ</w:t>
      </w:r>
      <w:r w:rsidRPr="009C20BF">
        <w:rPr>
          <w:rFonts w:cs="Arial" w:hint="cs"/>
          <w:sz w:val="16"/>
          <w:szCs w:val="16"/>
          <w:rtl/>
        </w:rPr>
        <w:t>ה"ר</w:t>
      </w:r>
      <w:r w:rsidRPr="009C20BF">
        <w:rPr>
          <w:rFonts w:cs="Arial"/>
          <w:sz w:val="16"/>
          <w:szCs w:val="16"/>
          <w:rtl/>
        </w:rPr>
        <w:t>], וכ"כ בהגה</w:t>
      </w:r>
      <w:r w:rsidRPr="009C20BF">
        <w:rPr>
          <w:rFonts w:cs="Arial" w:hint="cs"/>
          <w:sz w:val="16"/>
          <w:szCs w:val="16"/>
          <w:rtl/>
        </w:rPr>
        <w:t>"מ</w:t>
      </w:r>
      <w:r w:rsidRPr="009C20BF">
        <w:rPr>
          <w:rFonts w:cs="Arial"/>
          <w:sz w:val="16"/>
          <w:szCs w:val="16"/>
          <w:rtl/>
        </w:rPr>
        <w:t xml:space="preserve"> פט"ז מהל' עדות [אות א'] בשם אבי אסף. ומ"מ מדברי כולם נלמד דמשום חשש תרעומת לוקח אינו נפסל לעדות, ודלא כסמ"ע סקל"ו, וכבר השגתי עליו לעיל סקכ"א</w:t>
      </w:r>
      <w:r w:rsidRPr="009C20BF">
        <w:rPr>
          <w:rFonts w:cs="Arial" w:hint="cs"/>
          <w:sz w:val="16"/>
          <w:szCs w:val="16"/>
          <w:rtl/>
        </w:rPr>
        <w:t>)</w:t>
      </w:r>
      <w:r>
        <w:rPr>
          <w:rFonts w:cs="Arial" w:hint="cs"/>
          <w:rtl/>
        </w:rPr>
        <w:t>.</w:t>
      </w:r>
    </w:p>
  </w:footnote>
  <w:footnote w:id="2756">
    <w:p w14:paraId="1207AA29" w14:textId="77777777" w:rsidR="0013116F" w:rsidRDefault="0013116F" w:rsidP="004B607F">
      <w:pPr>
        <w:pStyle w:val="a9"/>
      </w:pPr>
      <w:r>
        <w:rPr>
          <w:rStyle w:val="ab"/>
        </w:rPr>
        <w:footnoteRef/>
      </w:r>
      <w:r>
        <w:rPr>
          <w:rtl/>
        </w:rPr>
        <w:t xml:space="preserve"> </w:t>
      </w:r>
      <w:r>
        <w:rPr>
          <w:rFonts w:cs="Arial"/>
          <w:rtl/>
        </w:rPr>
        <w:t>וכן פסק הרי"ף (כד:)</w:t>
      </w:r>
      <w:r>
        <w:rPr>
          <w:rFonts w:cs="Arial" w:hint="cs"/>
          <w:rtl/>
        </w:rPr>
        <w:t>, ב"י.</w:t>
      </w:r>
    </w:p>
  </w:footnote>
  <w:footnote w:id="2757">
    <w:p w14:paraId="4B179F04" w14:textId="77777777" w:rsidR="0013116F" w:rsidRDefault="0013116F" w:rsidP="004B607F">
      <w:pPr>
        <w:pStyle w:val="a9"/>
        <w:rPr>
          <w:rtl/>
        </w:rPr>
      </w:pPr>
      <w:r>
        <w:rPr>
          <w:rStyle w:val="ab"/>
        </w:rPr>
        <w:footnoteRef/>
      </w:r>
      <w:r>
        <w:rPr>
          <w:rtl/>
        </w:rPr>
        <w:t xml:space="preserve"> </w:t>
      </w:r>
      <w:r>
        <w:rPr>
          <w:rFonts w:cs="Arial"/>
          <w:rtl/>
        </w:rPr>
        <w:t>והם</w:t>
      </w:r>
      <w:r>
        <w:rPr>
          <w:rFonts w:cs="Arial" w:hint="cs"/>
          <w:rtl/>
        </w:rPr>
        <w:t xml:space="preserve"> -</w:t>
      </w:r>
      <w:r>
        <w:rPr>
          <w:rFonts w:cs="Arial"/>
          <w:rtl/>
        </w:rPr>
        <w:t xml:space="preserve"> אם גנב ופרע בחובו</w:t>
      </w:r>
      <w:r>
        <w:rPr>
          <w:rFonts w:cs="Arial" w:hint="cs"/>
          <w:rtl/>
        </w:rPr>
        <w:t>,</w:t>
      </w:r>
      <w:r>
        <w:rPr>
          <w:rFonts w:cs="Arial"/>
          <w:rtl/>
        </w:rPr>
        <w:t xml:space="preserve"> גנב ופרע בהיקפו</w:t>
      </w:r>
      <w:r>
        <w:rPr>
          <w:rFonts w:cs="Arial" w:hint="cs"/>
          <w:rtl/>
        </w:rPr>
        <w:t>,</w:t>
      </w:r>
      <w:r>
        <w:rPr>
          <w:rFonts w:cs="Arial"/>
          <w:rtl/>
        </w:rPr>
        <w:t xml:space="preserve"> כדאסיקנא בסוף קמא (קטו.)</w:t>
      </w:r>
      <w:r>
        <w:rPr>
          <w:rFonts w:cs="Arial" w:hint="cs"/>
          <w:rtl/>
        </w:rPr>
        <w:t>,</w:t>
      </w:r>
      <w:r>
        <w:rPr>
          <w:rFonts w:cs="Arial"/>
          <w:rtl/>
        </w:rPr>
        <w:t xml:space="preserve"> דאז לאו נוגע בעדות הוא</w:t>
      </w:r>
      <w:r>
        <w:rPr>
          <w:rFonts w:cs="Arial" w:hint="cs"/>
          <w:rtl/>
        </w:rPr>
        <w:t>,</w:t>
      </w:r>
      <w:r>
        <w:rPr>
          <w:rFonts w:cs="Arial"/>
          <w:rtl/>
        </w:rPr>
        <w:t xml:space="preserve"> שאם יזכה המערער נוטלו ואינו נותן כלום ללוקח דהא לא עשו בו תקנת השוק והלוקח אינו יכול לתובעו כרב זביד</w:t>
      </w:r>
      <w:r>
        <w:rPr>
          <w:rFonts w:cs="Arial" w:hint="cs"/>
          <w:rtl/>
        </w:rPr>
        <w:t>,</w:t>
      </w:r>
      <w:r>
        <w:rPr>
          <w:rFonts w:cs="Arial"/>
          <w:rtl/>
        </w:rPr>
        <w:t xml:space="preserve"> ואם לוקח זוכה אינו נהנה שאפילו היה מתחייב לא היה משלם לו כלום</w:t>
      </w:r>
      <w:r>
        <w:rPr>
          <w:rFonts w:hint="cs"/>
          <w:rtl/>
        </w:rPr>
        <w:t>, ב"י.</w:t>
      </w:r>
    </w:p>
  </w:footnote>
  <w:footnote w:id="2758">
    <w:p w14:paraId="643C382A" w14:textId="77777777" w:rsidR="0013116F" w:rsidRDefault="0013116F" w:rsidP="004B607F">
      <w:pPr>
        <w:pStyle w:val="a9"/>
        <w:rPr>
          <w:rtl/>
        </w:rPr>
      </w:pPr>
      <w:r>
        <w:rPr>
          <w:rStyle w:val="ab"/>
        </w:rPr>
        <w:footnoteRef/>
      </w:r>
      <w:r>
        <w:rPr>
          <w:rtl/>
        </w:rPr>
        <w:t xml:space="preserve"> </w:t>
      </w:r>
      <w:r w:rsidRPr="005B1730">
        <w:rPr>
          <w:rFonts w:cs="Arial"/>
          <w:rtl/>
        </w:rPr>
        <w:t xml:space="preserve">בפרישה </w:t>
      </w:r>
      <w:r>
        <w:rPr>
          <w:rFonts w:cs="Arial" w:hint="cs"/>
          <w:sz w:val="16"/>
          <w:szCs w:val="16"/>
          <w:rtl/>
        </w:rPr>
        <w:t>(</w:t>
      </w:r>
      <w:r w:rsidRPr="005B1730">
        <w:rPr>
          <w:rFonts w:cs="Arial"/>
          <w:sz w:val="16"/>
          <w:szCs w:val="16"/>
          <w:rtl/>
        </w:rPr>
        <w:t>סע</w:t>
      </w:r>
      <w:r w:rsidRPr="005B1730">
        <w:rPr>
          <w:rFonts w:cs="Arial" w:hint="cs"/>
          <w:sz w:val="16"/>
          <w:szCs w:val="16"/>
          <w:rtl/>
        </w:rPr>
        <w:t>' ט)</w:t>
      </w:r>
      <w:r w:rsidRPr="005B1730">
        <w:rPr>
          <w:rFonts w:cs="Arial"/>
          <w:rtl/>
        </w:rPr>
        <w:t xml:space="preserve"> כתבתי, דבזה אפילו טען המערער שראובן בעצמו גזלה, לא מחשב נוגע כדי דלא לקרויה גזלנא, דבמטלטלין לא מיקרי גזלן מכח עדותיו דמערער, דהא יכול ראובן לומר אני קניתיהו מאחר וסברתי שהוא שלו, משא"כ בקרקע דשם בעליה עליה</w:t>
      </w:r>
      <w:r>
        <w:rPr>
          <w:rFonts w:cs="Arial" w:hint="cs"/>
          <w:rtl/>
        </w:rPr>
        <w:t>, סמ"ע (סקמ"א). וכתב הש"ך (סקכ"ד) ד</w:t>
      </w:r>
      <w:r w:rsidRPr="00F0212D">
        <w:rPr>
          <w:rFonts w:cs="Arial"/>
          <w:rtl/>
        </w:rPr>
        <w:t>מדברי הב"ח [סעיף ט'] מבואר להדיא דאינו מחלק בכך, אלא ס"ל דלהטור אף במטלטלים מיקרי נוגע בשביל כך, ולהרמב"ן [ב"ב מד</w:t>
      </w:r>
      <w:r>
        <w:rPr>
          <w:rFonts w:cs="Arial" w:hint="cs"/>
          <w:rtl/>
        </w:rPr>
        <w:t>:</w:t>
      </w:r>
      <w:r w:rsidRPr="00F0212D">
        <w:rPr>
          <w:rFonts w:cs="Arial"/>
          <w:rtl/>
        </w:rPr>
        <w:t xml:space="preserve"> ד"ה אין אדם ומובא בטור סעיף ט'] אף בקרקע לא מיקרי נוגע בשביל כך, ע"ש</w:t>
      </w:r>
      <w:r>
        <w:rPr>
          <w:rFonts w:cs="Arial" w:hint="cs"/>
          <w:rtl/>
        </w:rPr>
        <w:t>.</w:t>
      </w:r>
    </w:p>
  </w:footnote>
  <w:footnote w:id="2759">
    <w:p w14:paraId="754389AF" w14:textId="77777777" w:rsidR="0013116F" w:rsidRDefault="0013116F" w:rsidP="004B607F">
      <w:pPr>
        <w:pStyle w:val="a9"/>
        <w:rPr>
          <w:rtl/>
        </w:rPr>
      </w:pPr>
      <w:r>
        <w:rPr>
          <w:rStyle w:val="ab"/>
        </w:rPr>
        <w:footnoteRef/>
      </w:r>
      <w:r>
        <w:rPr>
          <w:rtl/>
        </w:rPr>
        <w:t xml:space="preserve"> </w:t>
      </w:r>
      <w:r w:rsidRPr="00F0212D">
        <w:rPr>
          <w:rFonts w:cs="Arial"/>
          <w:rtl/>
        </w:rPr>
        <w:t>והרמב"ם כ</w:t>
      </w:r>
      <w:r>
        <w:rPr>
          <w:rFonts w:cs="Arial" w:hint="cs"/>
          <w:rtl/>
        </w:rPr>
        <w:t>'</w:t>
      </w:r>
      <w:r w:rsidRPr="00F0212D">
        <w:rPr>
          <w:rFonts w:cs="Arial"/>
          <w:rtl/>
        </w:rPr>
        <w:t xml:space="preserve"> </w:t>
      </w:r>
      <w:r w:rsidRPr="00F0212D">
        <w:rPr>
          <w:rFonts w:cs="Arial" w:hint="cs"/>
          <w:sz w:val="16"/>
          <w:szCs w:val="16"/>
          <w:rtl/>
        </w:rPr>
        <w:t>(</w:t>
      </w:r>
      <w:r w:rsidRPr="00F0212D">
        <w:rPr>
          <w:rFonts w:cs="Arial"/>
          <w:sz w:val="16"/>
          <w:szCs w:val="16"/>
          <w:rtl/>
        </w:rPr>
        <w:t>בפט"ז מהל' עדות ה"ד</w:t>
      </w:r>
      <w:r w:rsidRPr="00F0212D">
        <w:rPr>
          <w:rFonts w:cs="Arial" w:hint="cs"/>
          <w:sz w:val="16"/>
          <w:szCs w:val="16"/>
          <w:rtl/>
        </w:rPr>
        <w:t>)</w:t>
      </w:r>
      <w:r w:rsidRPr="00F0212D">
        <w:rPr>
          <w:rFonts w:cs="Arial"/>
          <w:sz w:val="16"/>
          <w:szCs w:val="16"/>
          <w:rtl/>
        </w:rPr>
        <w:t xml:space="preserve"> </w:t>
      </w:r>
      <w:r w:rsidRPr="00F0212D">
        <w:rPr>
          <w:rFonts w:cs="Arial"/>
          <w:rtl/>
        </w:rPr>
        <w:t xml:space="preserve">דהיינו דוקא כששמעון מכיר שהפרה והטלית הם של ראובן. והמחבר לא חילק בכך. </w:t>
      </w:r>
      <w:r w:rsidRPr="00F0212D">
        <w:rPr>
          <w:rFonts w:cs="Arial" w:hint="cs"/>
          <w:sz w:val="16"/>
          <w:szCs w:val="16"/>
          <w:rtl/>
        </w:rPr>
        <w:t>(</w:t>
      </w:r>
      <w:r w:rsidRPr="00F0212D">
        <w:rPr>
          <w:rFonts w:cs="Arial"/>
          <w:sz w:val="16"/>
          <w:szCs w:val="16"/>
          <w:rtl/>
        </w:rPr>
        <w:t>ואין לומר משום דהרי"ף והרא"ש פסקו כרב זביד [ב"ב מד</w:t>
      </w:r>
      <w:r w:rsidRPr="00F0212D">
        <w:rPr>
          <w:rFonts w:cs="Arial" w:hint="cs"/>
          <w:sz w:val="16"/>
          <w:szCs w:val="16"/>
          <w:rtl/>
        </w:rPr>
        <w:t>:</w:t>
      </w:r>
      <w:r w:rsidRPr="00F0212D">
        <w:rPr>
          <w:rFonts w:cs="Arial"/>
          <w:sz w:val="16"/>
          <w:szCs w:val="16"/>
          <w:rtl/>
        </w:rPr>
        <w:t>]. דהא לפי מ"ש בב"י [סעיף ט'] גם הרמב"ם פסק כרב זביד, והרי"ף והרא"ש לא פליגי עליה. אלא נראה</w:t>
      </w:r>
      <w:r>
        <w:rPr>
          <w:rFonts w:cs="Arial" w:hint="cs"/>
          <w:sz w:val="16"/>
          <w:szCs w:val="16"/>
          <w:rtl/>
        </w:rPr>
        <w:t xml:space="preserve"> -)</w:t>
      </w:r>
      <w:r w:rsidRPr="00F0212D">
        <w:rPr>
          <w:rFonts w:cs="Arial"/>
          <w:sz w:val="16"/>
          <w:szCs w:val="16"/>
          <w:rtl/>
        </w:rPr>
        <w:t xml:space="preserve"> </w:t>
      </w:r>
      <w:r w:rsidRPr="00F0212D">
        <w:rPr>
          <w:rFonts w:cs="Arial"/>
          <w:rtl/>
        </w:rPr>
        <w:t>משום דלפי מה שפירש בב"י, הרמב"ם מיירי במכר סתם, דבהא מודה רב זביד דבעינן שיהא מכיר בה שהיא בת חמורו, וזה דבר פשוט הוא, ופשיטא דכל הפוסקים מודו בזה, ולכך כאן שכתב המחבר ראובן שמכר כו' שלא באחריות כו', לא חילק במכיר בה שהיא בת חמורו</w:t>
      </w:r>
      <w:r>
        <w:rPr>
          <w:rFonts w:cs="Arial" w:hint="cs"/>
          <w:rtl/>
        </w:rPr>
        <w:t>..., ש"ך (סקכ"ה)</w:t>
      </w:r>
      <w:r w:rsidRPr="00F0212D">
        <w:rPr>
          <w:rFonts w:cs="Arial"/>
          <w:rtl/>
        </w:rPr>
        <w:t>.</w:t>
      </w:r>
    </w:p>
  </w:footnote>
  <w:footnote w:id="2760">
    <w:p w14:paraId="3B05E407" w14:textId="77777777" w:rsidR="0013116F" w:rsidRDefault="0013116F" w:rsidP="004B607F">
      <w:pPr>
        <w:pStyle w:val="a9"/>
        <w:rPr>
          <w:rtl/>
        </w:rPr>
      </w:pPr>
      <w:r>
        <w:rPr>
          <w:rStyle w:val="ab"/>
        </w:rPr>
        <w:footnoteRef/>
      </w:r>
      <w:r>
        <w:rPr>
          <w:rtl/>
        </w:rPr>
        <w:t xml:space="preserve"> </w:t>
      </w:r>
      <w:r w:rsidRPr="005B1730">
        <w:rPr>
          <w:rFonts w:cs="Arial"/>
          <w:rtl/>
        </w:rPr>
        <w:t>כ"כ הטו</w:t>
      </w:r>
      <w:r>
        <w:rPr>
          <w:rFonts w:cs="Arial" w:hint="cs"/>
          <w:rtl/>
        </w:rPr>
        <w:t>"</w:t>
      </w:r>
      <w:r w:rsidRPr="005B1730">
        <w:rPr>
          <w:rFonts w:cs="Arial"/>
          <w:rtl/>
        </w:rPr>
        <w:t>ה לקמן סי</w:t>
      </w:r>
      <w:r>
        <w:rPr>
          <w:rFonts w:cs="Arial" w:hint="cs"/>
          <w:rtl/>
        </w:rPr>
        <w:t>'</w:t>
      </w:r>
      <w:r w:rsidRPr="005B1730">
        <w:rPr>
          <w:rFonts w:cs="Arial"/>
          <w:rtl/>
        </w:rPr>
        <w:t xml:space="preserve"> קיז סע</w:t>
      </w:r>
      <w:r>
        <w:rPr>
          <w:rFonts w:cs="Arial" w:hint="cs"/>
          <w:rtl/>
        </w:rPr>
        <w:t xml:space="preserve">' </w:t>
      </w:r>
      <w:r w:rsidRPr="005B1730">
        <w:rPr>
          <w:rFonts w:cs="Arial"/>
          <w:rtl/>
        </w:rPr>
        <w:t>ג, מפני דבמטלטלים לא שייך לומר דלקוחות אינהו דאפסידו אנפשייהו דקנה דבר שהוא משועבד לחבירו, דלית למטלטלי קלא, ואפילו עשאם אפותיקי בשטר ואפילו ידע הלוקח דעשאם אפותיקי, דלא פלוג רבנן</w:t>
      </w:r>
      <w:r>
        <w:rPr>
          <w:rFonts w:hint="cs"/>
          <w:rtl/>
        </w:rPr>
        <w:t>, סמ"ע (סקמ"ב).</w:t>
      </w:r>
    </w:p>
  </w:footnote>
  <w:footnote w:id="2761">
    <w:p w14:paraId="6C09B848" w14:textId="77777777" w:rsidR="0013116F" w:rsidRDefault="0013116F" w:rsidP="004B607F">
      <w:pPr>
        <w:pStyle w:val="a9"/>
      </w:pPr>
      <w:r>
        <w:rPr>
          <w:rStyle w:val="ab"/>
        </w:rPr>
        <w:footnoteRef/>
      </w:r>
      <w:r>
        <w:rPr>
          <w:rtl/>
        </w:rPr>
        <w:t xml:space="preserve"> </w:t>
      </w:r>
      <w:r w:rsidRPr="009C20BF">
        <w:rPr>
          <w:rFonts w:cs="Arial"/>
          <w:rtl/>
        </w:rPr>
        <w:t>כ"כ המחבר על פי מ"ש בב</w:t>
      </w:r>
      <w:r>
        <w:rPr>
          <w:rFonts w:cs="Arial" w:hint="cs"/>
          <w:rtl/>
        </w:rPr>
        <w:t>ד</w:t>
      </w:r>
      <w:r w:rsidRPr="009C20BF">
        <w:rPr>
          <w:rFonts w:cs="Arial"/>
          <w:rtl/>
        </w:rPr>
        <w:t>ה</w:t>
      </w:r>
      <w:r>
        <w:rPr>
          <w:rFonts w:cs="Arial" w:hint="cs"/>
          <w:rtl/>
        </w:rPr>
        <w:t>"</w:t>
      </w:r>
      <w:r w:rsidRPr="009C20BF">
        <w:rPr>
          <w:rFonts w:cs="Arial"/>
          <w:rtl/>
        </w:rPr>
        <w:t>ב בשם הרא"ש [כלל עט סי' ד] וטור לקמן ר</w:t>
      </w:r>
      <w:r>
        <w:rPr>
          <w:rFonts w:cs="Arial" w:hint="cs"/>
          <w:rtl/>
        </w:rPr>
        <w:t>"</w:t>
      </w:r>
      <w:r w:rsidRPr="009C20BF">
        <w:rPr>
          <w:rFonts w:cs="Arial"/>
          <w:rtl/>
        </w:rPr>
        <w:t>ס</w:t>
      </w:r>
      <w:r>
        <w:rPr>
          <w:rFonts w:cs="Arial" w:hint="cs"/>
          <w:rtl/>
        </w:rPr>
        <w:t xml:space="preserve"> </w:t>
      </w:r>
      <w:r w:rsidRPr="009C20BF">
        <w:rPr>
          <w:rFonts w:cs="Arial"/>
          <w:rtl/>
        </w:rPr>
        <w:t>ס [סע</w:t>
      </w:r>
      <w:r>
        <w:rPr>
          <w:rFonts w:cs="Arial" w:hint="cs"/>
          <w:rtl/>
        </w:rPr>
        <w:t>'</w:t>
      </w:r>
      <w:r w:rsidRPr="009C20BF">
        <w:rPr>
          <w:rFonts w:cs="Arial"/>
          <w:rtl/>
        </w:rPr>
        <w:t xml:space="preserve"> ד]. אבל כבר תמהתי שם בסי</w:t>
      </w:r>
      <w:r>
        <w:rPr>
          <w:rFonts w:cs="Arial" w:hint="cs"/>
          <w:rtl/>
        </w:rPr>
        <w:t>'</w:t>
      </w:r>
      <w:r w:rsidRPr="009C20BF">
        <w:rPr>
          <w:rFonts w:cs="Arial"/>
          <w:rtl/>
        </w:rPr>
        <w:t xml:space="preserve"> ס' סק</w:t>
      </w:r>
      <w:r>
        <w:rPr>
          <w:rFonts w:cs="Arial" w:hint="cs"/>
          <w:rtl/>
        </w:rPr>
        <w:t>"</w:t>
      </w:r>
      <w:r w:rsidRPr="009C20BF">
        <w:rPr>
          <w:rFonts w:cs="Arial"/>
          <w:rtl/>
        </w:rPr>
        <w:t>ד על המחבר בזה, וכתבתי שתקנה זו של הרא"ש וטור לא הזכירוה שאר הפוסקים. ואדרבא כתבו שאר הפוסקים להדיא בכמה דוכתי הלכה למעשה שטורפים ממטלטלים. וגם הרא"ש וטור לא כתבו כן אלא לפי מנהג מקומות ההם הידוע להם שהיו נוהגין כן. וגם כאן כתבו התוס</w:t>
      </w:r>
      <w:r>
        <w:rPr>
          <w:rFonts w:cs="Arial" w:hint="cs"/>
          <w:rtl/>
        </w:rPr>
        <w:t xml:space="preserve">' </w:t>
      </w:r>
      <w:r w:rsidRPr="009C20BF">
        <w:rPr>
          <w:rFonts w:cs="Arial"/>
          <w:rtl/>
        </w:rPr>
        <w:t>[שם מד</w:t>
      </w:r>
      <w:r>
        <w:rPr>
          <w:rFonts w:cs="Arial" w:hint="cs"/>
          <w:rtl/>
        </w:rPr>
        <w:t>:</w:t>
      </w:r>
      <w:r w:rsidRPr="009C20BF">
        <w:rPr>
          <w:rFonts w:cs="Arial"/>
          <w:rtl/>
        </w:rPr>
        <w:t xml:space="preserve"> ד"ה דלא] והג</w:t>
      </w:r>
      <w:r>
        <w:rPr>
          <w:rFonts w:cs="Arial" w:hint="cs"/>
          <w:rtl/>
        </w:rPr>
        <w:t>"א</w:t>
      </w:r>
      <w:r w:rsidRPr="009C20BF">
        <w:rPr>
          <w:rFonts w:cs="Arial"/>
          <w:rtl/>
        </w:rPr>
        <w:t xml:space="preserve"> [שם סי' מג] דבזמן הזה שכיח שמודה שיש לו קרקע ואינו מעיד. אלמא דאפילו בזמנם היו טורפים ממטלטלים ואינו מעיד. וכן משמע בחידושי הרמב"ן [שם]. ומ"מ דין של המחבר אמת במקום שנהגו שאין טורפים ממטלטלים שמכר</w:t>
      </w:r>
      <w:r>
        <w:rPr>
          <w:rFonts w:cs="Arial" w:hint="cs"/>
          <w:rtl/>
        </w:rPr>
        <w:t>, ש"ך (סקכ"ו).</w:t>
      </w:r>
    </w:p>
  </w:footnote>
  <w:footnote w:id="2762">
    <w:p w14:paraId="4BEF96E5" w14:textId="77777777" w:rsidR="0013116F" w:rsidRDefault="0013116F" w:rsidP="004B607F">
      <w:pPr>
        <w:pStyle w:val="a9"/>
      </w:pPr>
      <w:r>
        <w:rPr>
          <w:rStyle w:val="ab"/>
        </w:rPr>
        <w:footnoteRef/>
      </w:r>
      <w:r>
        <w:rPr>
          <w:rtl/>
        </w:rPr>
        <w:t xml:space="preserve"> </w:t>
      </w:r>
      <w:r w:rsidRPr="00F0212D">
        <w:rPr>
          <w:rFonts w:cs="Arial"/>
          <w:rtl/>
        </w:rPr>
        <w:t>עיין בטור לקמן סי</w:t>
      </w:r>
      <w:r>
        <w:rPr>
          <w:rFonts w:cs="Arial" w:hint="cs"/>
          <w:rtl/>
        </w:rPr>
        <w:t>'</w:t>
      </w:r>
      <w:r w:rsidRPr="00F0212D">
        <w:rPr>
          <w:rFonts w:cs="Arial"/>
          <w:rtl/>
        </w:rPr>
        <w:t xml:space="preserve"> שנו </w:t>
      </w:r>
      <w:r w:rsidRPr="00F0212D">
        <w:rPr>
          <w:rFonts w:cs="Arial"/>
          <w:sz w:val="16"/>
          <w:szCs w:val="16"/>
          <w:rtl/>
        </w:rPr>
        <w:t>[סע</w:t>
      </w:r>
      <w:r>
        <w:rPr>
          <w:rFonts w:cs="Arial" w:hint="cs"/>
          <w:sz w:val="16"/>
          <w:szCs w:val="16"/>
          <w:rtl/>
        </w:rPr>
        <w:t>'</w:t>
      </w:r>
      <w:r w:rsidRPr="00F0212D">
        <w:rPr>
          <w:rFonts w:cs="Arial"/>
          <w:sz w:val="16"/>
          <w:szCs w:val="16"/>
          <w:rtl/>
        </w:rPr>
        <w:t xml:space="preserve"> ד, וע"ש בסמ"ע סק"ה]</w:t>
      </w:r>
      <w:r w:rsidRPr="00F0212D">
        <w:rPr>
          <w:rFonts w:cs="Arial"/>
          <w:rtl/>
        </w:rPr>
        <w:t>, שם מפורש הטעם כדי שלא ימנעו לקנות אחד מחבירו מטלטלין שיחששו שמא גזולים הם ביד המוכר, והיום או מחר יבוא הנגזל ויביא עדים שנגזלה מידו ויוציאם מיד הלוקח בלא דמים, לכן תיקנו שלא יצטרך הלוקח להחזיר להנגזל המטלטלים עד שיתן לו תחילה כדי דמיו שנתן להמוכר לו, והנגזל יחזור על הגזלן המוכר לו ליטול מידו הדמים שנתן לזה הלוקח. והיינו דוקא אם נתן הלוקח להמוכר לו עתה דמים מזומנים, אבל אם ניכה לו הדמים בעד החוב שהיה חייב לו כבר, א"צ הנגזל להחזיר לו דמיו. וז"ש מור"ם כאן במקום שהמערער צריך ליתן כו', לאפוקי פרע בחובו. וגם מתחיל וכתב שראובן בעצמו גזלה, דאז ראובן נוגע בעדות, דמה שנותן המערער להלוקח חוזר ולוקח מראובן הגזלן, לאפוקי אם טען שראובן קנאה מגזלן דאז לא יוכל המערער לחזור על ראובן שהרי הוא בעצמו קנאה ונתן דמיו למי שקנאה ממנו</w:t>
      </w:r>
      <w:r>
        <w:rPr>
          <w:rFonts w:cs="Arial" w:hint="cs"/>
          <w:rtl/>
        </w:rPr>
        <w:t>, סמ"ע (סקמ"ד).</w:t>
      </w:r>
    </w:p>
  </w:footnote>
  <w:footnote w:id="2763">
    <w:p w14:paraId="417CA908" w14:textId="77777777" w:rsidR="0013116F" w:rsidRDefault="0013116F" w:rsidP="004B607F">
      <w:pPr>
        <w:pStyle w:val="a9"/>
      </w:pPr>
      <w:r>
        <w:rPr>
          <w:rStyle w:val="ab"/>
        </w:rPr>
        <w:footnoteRef/>
      </w:r>
      <w:r>
        <w:rPr>
          <w:rtl/>
        </w:rPr>
        <w:t xml:space="preserve"> </w:t>
      </w:r>
      <w:r>
        <w:rPr>
          <w:rFonts w:cs="Arial"/>
          <w:rtl/>
        </w:rPr>
        <w:t>עילויה שהיא שלו בעדים או בשטר</w:t>
      </w:r>
      <w:r>
        <w:rPr>
          <w:rFonts w:cs="Arial" w:hint="cs"/>
          <w:rtl/>
        </w:rPr>
        <w:t>,</w:t>
      </w:r>
      <w:r w:rsidRPr="00EC768C">
        <w:rPr>
          <w:rFonts w:cs="Arial"/>
          <w:rtl/>
        </w:rPr>
        <w:t xml:space="preserve"> </w:t>
      </w:r>
      <w:r>
        <w:rPr>
          <w:rFonts w:cs="Arial"/>
          <w:rtl/>
        </w:rPr>
        <w:t>רשב"ם (מהדו' י-ם)</w:t>
      </w:r>
      <w:r>
        <w:rPr>
          <w:rFonts w:cs="Arial" w:hint="cs"/>
          <w:rtl/>
        </w:rPr>
        <w:t>.</w:t>
      </w:r>
    </w:p>
  </w:footnote>
  <w:footnote w:id="2764">
    <w:p w14:paraId="666D6993" w14:textId="77777777" w:rsidR="0013116F" w:rsidRDefault="0013116F" w:rsidP="004B607F">
      <w:pPr>
        <w:pStyle w:val="a9"/>
        <w:rPr>
          <w:rtl/>
        </w:rPr>
      </w:pPr>
      <w:r>
        <w:rPr>
          <w:rStyle w:val="ab"/>
        </w:rPr>
        <w:footnoteRef/>
      </w:r>
      <w:r>
        <w:rPr>
          <w:rtl/>
        </w:rPr>
        <w:t xml:space="preserve"> </w:t>
      </w:r>
      <w:r>
        <w:rPr>
          <w:rFonts w:cs="Arial"/>
          <w:rtl/>
        </w:rPr>
        <w:t>להצטרף עם אחר לפסול שטרו של יהודה או להזים עדיו להעמידה ביד לוי</w:t>
      </w:r>
      <w:r>
        <w:rPr>
          <w:rFonts w:cs="Arial" w:hint="cs"/>
          <w:rtl/>
        </w:rPr>
        <w:t>,</w:t>
      </w:r>
      <w:r w:rsidRPr="00EC768C">
        <w:rPr>
          <w:rFonts w:cs="Arial"/>
          <w:rtl/>
        </w:rPr>
        <w:t xml:space="preserve"> </w:t>
      </w:r>
      <w:r>
        <w:rPr>
          <w:rFonts w:cs="Arial"/>
          <w:rtl/>
        </w:rPr>
        <w:t>רשב"ם (מהדו' י-ם)</w:t>
      </w:r>
      <w:r>
        <w:rPr>
          <w:rFonts w:cs="Arial" w:hint="cs"/>
          <w:rtl/>
        </w:rPr>
        <w:t>.</w:t>
      </w:r>
    </w:p>
  </w:footnote>
  <w:footnote w:id="2765">
    <w:p w14:paraId="0E782C29" w14:textId="77777777" w:rsidR="0013116F" w:rsidRDefault="0013116F" w:rsidP="004B607F">
      <w:pPr>
        <w:pStyle w:val="a9"/>
      </w:pPr>
      <w:r>
        <w:rPr>
          <w:rStyle w:val="ab"/>
        </w:rPr>
        <w:footnoteRef/>
      </w:r>
      <w:r>
        <w:rPr>
          <w:rtl/>
        </w:rPr>
        <w:t xml:space="preserve"> </w:t>
      </w:r>
      <w:r>
        <w:rPr>
          <w:rFonts w:cs="Arial"/>
          <w:rtl/>
        </w:rPr>
        <w:t>כלומר ניחא דקיימא ביד לוי דהיום או למחר הדרה ליה שיש לו עדים שהיה שלו</w:t>
      </w:r>
      <w:r>
        <w:rPr>
          <w:rFonts w:cs="Arial" w:hint="cs"/>
          <w:rtl/>
        </w:rPr>
        <w:t>,</w:t>
      </w:r>
      <w:r w:rsidRPr="00EC768C">
        <w:rPr>
          <w:rFonts w:cs="Arial"/>
          <w:rtl/>
        </w:rPr>
        <w:t xml:space="preserve"> </w:t>
      </w:r>
      <w:r>
        <w:rPr>
          <w:rFonts w:cs="Arial"/>
          <w:rtl/>
        </w:rPr>
        <w:t>רשב"ם (מהדו' י-ם)</w:t>
      </w:r>
      <w:r>
        <w:rPr>
          <w:rFonts w:cs="Arial" w:hint="cs"/>
          <w:rtl/>
        </w:rPr>
        <w:t>.</w:t>
      </w:r>
    </w:p>
  </w:footnote>
  <w:footnote w:id="2766">
    <w:p w14:paraId="3342C8C2" w14:textId="77777777" w:rsidR="0013116F" w:rsidRDefault="0013116F" w:rsidP="004B607F">
      <w:pPr>
        <w:pStyle w:val="a9"/>
        <w:rPr>
          <w:rtl/>
        </w:rPr>
      </w:pPr>
      <w:r>
        <w:rPr>
          <w:rStyle w:val="ab"/>
        </w:rPr>
        <w:footnoteRef/>
      </w:r>
      <w:r>
        <w:rPr>
          <w:rtl/>
        </w:rPr>
        <w:t xml:space="preserve"> </w:t>
      </w:r>
      <w:r>
        <w:rPr>
          <w:rFonts w:cs="Arial"/>
          <w:rtl/>
        </w:rPr>
        <w:t>קא סלקא דעתין דשמעון יעיד דשל לוי היא הקרקע</w:t>
      </w:r>
      <w:r>
        <w:rPr>
          <w:rFonts w:cs="Arial" w:hint="cs"/>
          <w:rtl/>
        </w:rPr>
        <w:t>,</w:t>
      </w:r>
      <w:r w:rsidRPr="00EC768C">
        <w:rPr>
          <w:rFonts w:cs="Arial"/>
          <w:rtl/>
        </w:rPr>
        <w:t xml:space="preserve"> </w:t>
      </w:r>
      <w:r>
        <w:rPr>
          <w:rFonts w:cs="Arial"/>
          <w:rtl/>
        </w:rPr>
        <w:t>רשב"ם (מהדו' י-ם)</w:t>
      </w:r>
      <w:r>
        <w:rPr>
          <w:rFonts w:cs="Arial" w:hint="cs"/>
          <w:rtl/>
        </w:rPr>
        <w:t>.</w:t>
      </w:r>
    </w:p>
  </w:footnote>
  <w:footnote w:id="2767">
    <w:p w14:paraId="241C863B" w14:textId="77777777" w:rsidR="0013116F" w:rsidRDefault="0013116F" w:rsidP="004B607F">
      <w:pPr>
        <w:pStyle w:val="a9"/>
      </w:pPr>
      <w:r>
        <w:rPr>
          <w:rStyle w:val="ab"/>
        </w:rPr>
        <w:footnoteRef/>
      </w:r>
      <w:r>
        <w:rPr>
          <w:rtl/>
        </w:rPr>
        <w:t xml:space="preserve"> </w:t>
      </w:r>
      <w:r>
        <w:rPr>
          <w:rFonts w:cs="Arial"/>
          <w:rtl/>
        </w:rPr>
        <w:t>לאו דוקא נקט האי לישנא דראשון נוח לי הוה ליה למימר אלא לישנא דמתניתין דכתובות (קט.) נקט</w:t>
      </w:r>
      <w:r>
        <w:rPr>
          <w:rFonts w:cs="Arial" w:hint="cs"/>
          <w:rtl/>
        </w:rPr>
        <w:t>,</w:t>
      </w:r>
      <w:r w:rsidRPr="00EC768C">
        <w:rPr>
          <w:rFonts w:cs="Arial"/>
          <w:rtl/>
        </w:rPr>
        <w:t xml:space="preserve"> </w:t>
      </w:r>
      <w:r>
        <w:rPr>
          <w:rFonts w:cs="Arial"/>
          <w:rtl/>
        </w:rPr>
        <w:t>רשב"ם (מהדו' י-ם)</w:t>
      </w:r>
      <w:r>
        <w:rPr>
          <w:rFonts w:cs="Arial" w:hint="cs"/>
          <w:rtl/>
        </w:rPr>
        <w:t>.</w:t>
      </w:r>
    </w:p>
  </w:footnote>
  <w:footnote w:id="2768">
    <w:p w14:paraId="75565168" w14:textId="77777777" w:rsidR="0013116F" w:rsidRDefault="0013116F" w:rsidP="004B607F">
      <w:pPr>
        <w:pStyle w:val="a9"/>
      </w:pPr>
      <w:r>
        <w:rPr>
          <w:rStyle w:val="ab"/>
        </w:rPr>
        <w:footnoteRef/>
      </w:r>
      <w:r>
        <w:rPr>
          <w:rtl/>
        </w:rPr>
        <w:t xml:space="preserve"> </w:t>
      </w:r>
      <w:r>
        <w:rPr>
          <w:rFonts w:cs="Arial"/>
          <w:rtl/>
        </w:rPr>
        <w:t>כלומר אם איתא דהכי פירושו דמתניתין למה ליה לתנא למיתני מכר ליתני גזלן גזל לו בית גזל לו שדה אין מעיד לו עליה מפני שאחריותו של נגזל על הגזלן</w:t>
      </w:r>
      <w:r>
        <w:rPr>
          <w:rFonts w:hint="cs"/>
          <w:rtl/>
        </w:rPr>
        <w:t>, ב"י.</w:t>
      </w:r>
    </w:p>
  </w:footnote>
  <w:footnote w:id="2769">
    <w:p w14:paraId="0B7E0A08" w14:textId="77777777" w:rsidR="0013116F" w:rsidRDefault="0013116F" w:rsidP="004B607F">
      <w:pPr>
        <w:pStyle w:val="a9"/>
        <w:rPr>
          <w:rtl/>
        </w:rPr>
      </w:pPr>
      <w:r>
        <w:rPr>
          <w:rStyle w:val="ab"/>
        </w:rPr>
        <w:footnoteRef/>
      </w:r>
      <w:r>
        <w:rPr>
          <w:rtl/>
        </w:rPr>
        <w:t xml:space="preserve"> </w:t>
      </w:r>
      <w:r>
        <w:rPr>
          <w:rFonts w:hint="cs"/>
          <w:rtl/>
        </w:rPr>
        <w:t>ביד הגזלן.</w:t>
      </w:r>
    </w:p>
  </w:footnote>
  <w:footnote w:id="2770">
    <w:p w14:paraId="7D538322" w14:textId="77777777" w:rsidR="0013116F" w:rsidRDefault="0013116F" w:rsidP="004B607F">
      <w:pPr>
        <w:pStyle w:val="a9"/>
      </w:pPr>
      <w:r>
        <w:rPr>
          <w:rStyle w:val="ab"/>
        </w:rPr>
        <w:footnoteRef/>
      </w:r>
      <w:r>
        <w:rPr>
          <w:rtl/>
        </w:rPr>
        <w:t xml:space="preserve"> </w:t>
      </w:r>
      <w:r>
        <w:rPr>
          <w:rFonts w:hint="cs"/>
          <w:rtl/>
        </w:rPr>
        <w:t>ביד לוי. ו</w:t>
      </w:r>
      <w:r w:rsidRPr="00A2312D">
        <w:rPr>
          <w:rFonts w:cs="Arial"/>
          <w:rtl/>
        </w:rPr>
        <w:t xml:space="preserve">פירש רשב"ם </w:t>
      </w:r>
      <w:r>
        <w:rPr>
          <w:rFonts w:cs="Arial"/>
          <w:rtl/>
        </w:rPr>
        <w:t xml:space="preserve">דיאוש ושינוי רשות לא מהני בקרקע דקרקע אינה נגזלת </w:t>
      </w:r>
      <w:r w:rsidRPr="00A2312D">
        <w:rPr>
          <w:rFonts w:cs="Arial"/>
          <w:sz w:val="16"/>
          <w:szCs w:val="16"/>
          <w:rtl/>
        </w:rPr>
        <w:t>(ב"ק צה.)</w:t>
      </w:r>
      <w:r>
        <w:rPr>
          <w:rFonts w:cs="Arial" w:hint="cs"/>
          <w:rtl/>
        </w:rPr>
        <w:t xml:space="preserve">, </w:t>
      </w:r>
      <w:r>
        <w:rPr>
          <w:rFonts w:cs="Arial"/>
          <w:rtl/>
        </w:rPr>
        <w:t>אבל התוס</w:t>
      </w:r>
      <w:r>
        <w:rPr>
          <w:rFonts w:cs="Arial" w:hint="cs"/>
          <w:rtl/>
        </w:rPr>
        <w:t>'</w:t>
      </w:r>
      <w:r w:rsidRPr="00A2312D">
        <w:rPr>
          <w:rFonts w:cs="Arial"/>
          <w:sz w:val="16"/>
          <w:szCs w:val="16"/>
          <w:rtl/>
        </w:rPr>
        <w:t xml:space="preserve"> (ד"ה דוקא) </w:t>
      </w:r>
      <w:r>
        <w:rPr>
          <w:rFonts w:cs="Arial"/>
          <w:rtl/>
        </w:rPr>
        <w:t>כתבו דיאוש ושינוי רשות מהני נמי בקרקע והכא במאי עסקינן בשלא נתייאש ומלתא דשכיחא נקט דבקרקע אין רגילין להתייאש</w:t>
      </w:r>
      <w:r>
        <w:rPr>
          <w:rFonts w:cs="Arial" w:hint="cs"/>
          <w:rtl/>
        </w:rPr>
        <w:t>,</w:t>
      </w:r>
      <w:r>
        <w:rPr>
          <w:rFonts w:cs="Arial"/>
          <w:rtl/>
        </w:rPr>
        <w:t xml:space="preserve"> ורבינו סובר כפירוש רשב"ם שכך כתב</w:t>
      </w:r>
      <w:r>
        <w:rPr>
          <w:rFonts w:cs="Arial" w:hint="cs"/>
          <w:rtl/>
        </w:rPr>
        <w:t>, ב"י.</w:t>
      </w:r>
    </w:p>
  </w:footnote>
  <w:footnote w:id="2771">
    <w:p w14:paraId="07DAB254" w14:textId="77777777" w:rsidR="0013116F" w:rsidRDefault="0013116F" w:rsidP="004B607F">
      <w:pPr>
        <w:pStyle w:val="a9"/>
        <w:rPr>
          <w:rtl/>
        </w:rPr>
      </w:pPr>
      <w:r>
        <w:rPr>
          <w:rStyle w:val="ab"/>
        </w:rPr>
        <w:footnoteRef/>
      </w:r>
      <w:r>
        <w:rPr>
          <w:rtl/>
        </w:rPr>
        <w:t xml:space="preserve"> </w:t>
      </w:r>
      <w:r>
        <w:rPr>
          <w:rFonts w:cs="Arial"/>
          <w:rtl/>
        </w:rPr>
        <w:t>כלומר והלכך נוגע בעדות הוא שאלו היה נוטלה המערער בעדים נמצא שלא היה לשמעון חלק בפרה וטלית ולא היה גובה מראובן כלום</w:t>
      </w:r>
      <w:r>
        <w:rPr>
          <w:rFonts w:hint="cs"/>
          <w:rtl/>
        </w:rPr>
        <w:t>, ב"י.</w:t>
      </w:r>
    </w:p>
  </w:footnote>
  <w:footnote w:id="2772">
    <w:p w14:paraId="6BF80778" w14:textId="77777777" w:rsidR="0013116F" w:rsidRDefault="0013116F" w:rsidP="004B607F">
      <w:pPr>
        <w:pStyle w:val="a9"/>
      </w:pPr>
      <w:r>
        <w:rPr>
          <w:rStyle w:val="ab"/>
        </w:rPr>
        <w:footnoteRef/>
      </w:r>
      <w:r>
        <w:rPr>
          <w:rtl/>
        </w:rPr>
        <w:t xml:space="preserve"> </w:t>
      </w:r>
      <w:r>
        <w:rPr>
          <w:rFonts w:cs="Arial"/>
          <w:rtl/>
        </w:rPr>
        <w:t>כלומר דהוי יאוש ואח"כ שינוי רשות ואפ</w:t>
      </w:r>
      <w:r>
        <w:rPr>
          <w:rFonts w:cs="Arial" w:hint="cs"/>
          <w:rtl/>
        </w:rPr>
        <w:t>"ה</w:t>
      </w:r>
      <w:r>
        <w:rPr>
          <w:rFonts w:cs="Arial"/>
          <w:rtl/>
        </w:rPr>
        <w:t xml:space="preserve"> לא מהני</w:t>
      </w:r>
      <w:r>
        <w:rPr>
          <w:rFonts w:cs="Arial" w:hint="cs"/>
          <w:rtl/>
        </w:rPr>
        <w:t>, ב"י. וכ' עוד הב"י-</w:t>
      </w:r>
      <w:r>
        <w:rPr>
          <w:rFonts w:cs="Arial"/>
          <w:rtl/>
        </w:rPr>
        <w:t xml:space="preserve"> ותמהני היאך תפס רבינו דברי רשב"ם עיקר שהרא"ש</w:t>
      </w:r>
      <w:r w:rsidRPr="00FF6928">
        <w:rPr>
          <w:rFonts w:cs="Arial"/>
          <w:sz w:val="16"/>
          <w:szCs w:val="16"/>
          <w:rtl/>
        </w:rPr>
        <w:t xml:space="preserve"> (סי' מא) </w:t>
      </w:r>
      <w:r>
        <w:rPr>
          <w:rFonts w:cs="Arial"/>
          <w:rtl/>
        </w:rPr>
        <w:t>לא כ</w:t>
      </w:r>
      <w:r>
        <w:rPr>
          <w:rFonts w:cs="Arial" w:hint="cs"/>
          <w:rtl/>
        </w:rPr>
        <w:t>תב</w:t>
      </w:r>
      <w:r>
        <w:rPr>
          <w:rFonts w:cs="Arial"/>
          <w:rtl/>
        </w:rPr>
        <w:t xml:space="preserve"> אלא דברי התוס</w:t>
      </w:r>
      <w:r>
        <w:rPr>
          <w:rFonts w:cs="Arial" w:hint="cs"/>
          <w:rtl/>
        </w:rPr>
        <w:t>',</w:t>
      </w:r>
      <w:r>
        <w:rPr>
          <w:rFonts w:cs="Arial"/>
          <w:rtl/>
        </w:rPr>
        <w:t xml:space="preserve"> הרי דבין שהשדה עדיין ביד הגזלן בין שמכרה כבר אין הנגזל יכול להעיד עליה להעמידה ביד הגזלן או ביד הלוקח מהגזלן</w:t>
      </w:r>
      <w:r w:rsidRPr="00B04B87">
        <w:rPr>
          <w:rFonts w:cs="Arial"/>
          <w:sz w:val="16"/>
          <w:szCs w:val="16"/>
          <w:rtl/>
        </w:rPr>
        <w:t xml:space="preserve"> </w:t>
      </w:r>
      <w:r>
        <w:rPr>
          <w:rFonts w:cs="Arial" w:hint="cs"/>
          <w:sz w:val="16"/>
          <w:szCs w:val="16"/>
          <w:rtl/>
        </w:rPr>
        <w:t>(</w:t>
      </w:r>
      <w:r w:rsidRPr="00B04B87">
        <w:rPr>
          <w:rFonts w:cs="Arial"/>
          <w:sz w:val="16"/>
          <w:szCs w:val="16"/>
          <w:rtl/>
        </w:rPr>
        <w:t>והני מילי כשבא לפסול עדי המערער משום דאח"כ יביא עדים ויוציאנה מיד הגזלן או מיד הלוקח מיד הגזלן</w:t>
      </w:r>
      <w:r w:rsidRPr="00B04B87">
        <w:rPr>
          <w:rFonts w:cs="Arial" w:hint="cs"/>
          <w:sz w:val="16"/>
          <w:szCs w:val="16"/>
          <w:rtl/>
        </w:rPr>
        <w:t>,</w:t>
      </w:r>
      <w:r w:rsidRPr="00B04B87">
        <w:rPr>
          <w:rFonts w:cs="Arial"/>
          <w:sz w:val="16"/>
          <w:szCs w:val="16"/>
          <w:rtl/>
        </w:rPr>
        <w:t xml:space="preserve"> אבל אם מעיד שהיא של גזלן או של לוקח מגזלן שהרי שוב אינו יכול להוציאה מידם שהרי הודה שאינה שלו והודאת בעל דין כמאה עדים דמיא אז יכול להעיד</w:t>
      </w:r>
      <w:r w:rsidRPr="00B04B87">
        <w:rPr>
          <w:rFonts w:cs="Arial" w:hint="cs"/>
          <w:sz w:val="16"/>
          <w:szCs w:val="16"/>
          <w:rtl/>
        </w:rPr>
        <w:t>)</w:t>
      </w:r>
      <w:r>
        <w:rPr>
          <w:rFonts w:cs="Arial" w:hint="cs"/>
          <w:rtl/>
        </w:rPr>
        <w:t>,</w:t>
      </w:r>
      <w:r>
        <w:rPr>
          <w:rFonts w:cs="Arial"/>
          <w:rtl/>
        </w:rPr>
        <w:t xml:space="preserve"> וכשעדיין לא מכר הגזלן את הגזילה שוין קרקעות ומטלטלי דאינו מעיד עליהן שהרי יכול להוציאם מידו</w:t>
      </w:r>
      <w:r>
        <w:rPr>
          <w:rFonts w:cs="Arial" w:hint="cs"/>
          <w:rtl/>
        </w:rPr>
        <w:t>,</w:t>
      </w:r>
      <w:r>
        <w:rPr>
          <w:rFonts w:cs="Arial"/>
          <w:rtl/>
        </w:rPr>
        <w:t xml:space="preserve"> אבל כשמכר הגזילה ומת</w:t>
      </w:r>
      <w:r>
        <w:rPr>
          <w:rFonts w:cs="Arial" w:hint="cs"/>
          <w:rtl/>
        </w:rPr>
        <w:t>,</w:t>
      </w:r>
      <w:r>
        <w:rPr>
          <w:rFonts w:cs="Arial"/>
          <w:rtl/>
        </w:rPr>
        <w:t xml:space="preserve"> בקרקעות</w:t>
      </w:r>
      <w:r>
        <w:rPr>
          <w:rFonts w:cs="Arial" w:hint="cs"/>
          <w:rtl/>
        </w:rPr>
        <w:t xml:space="preserve"> </w:t>
      </w:r>
      <w:r>
        <w:rPr>
          <w:rFonts w:cs="Arial"/>
          <w:rtl/>
        </w:rPr>
        <w:t>אינו יכול להעיד דהא נוגע בעדות הוא דקרקע אינה נגזלת ואפילו נתייאש לעולם הדרא</w:t>
      </w:r>
      <w:r>
        <w:rPr>
          <w:rFonts w:cs="Arial" w:hint="cs"/>
          <w:rtl/>
        </w:rPr>
        <w:t>,</w:t>
      </w:r>
      <w:r>
        <w:rPr>
          <w:rFonts w:cs="Arial"/>
          <w:rtl/>
        </w:rPr>
        <w:t xml:space="preserve"> אבל במטלטלין כיון שנתייאש ומת הגזלן אין בניו משלמין לו וכיון דאינו נוגע בעדות מעיד לו עליה</w:t>
      </w:r>
      <w:r>
        <w:rPr>
          <w:rFonts w:cs="Arial" w:hint="cs"/>
          <w:rtl/>
        </w:rPr>
        <w:t>.</w:t>
      </w:r>
    </w:p>
  </w:footnote>
  <w:footnote w:id="2773">
    <w:p w14:paraId="25438753" w14:textId="77777777" w:rsidR="0013116F" w:rsidRDefault="0013116F" w:rsidP="004B607F">
      <w:pPr>
        <w:pStyle w:val="a9"/>
        <w:rPr>
          <w:rtl/>
        </w:rPr>
      </w:pPr>
      <w:r>
        <w:rPr>
          <w:rStyle w:val="ab"/>
        </w:rPr>
        <w:footnoteRef/>
      </w:r>
      <w:r>
        <w:rPr>
          <w:rtl/>
        </w:rPr>
        <w:t xml:space="preserve"> </w:t>
      </w:r>
      <w:r>
        <w:rPr>
          <w:rFonts w:cs="Arial"/>
          <w:rtl/>
        </w:rPr>
        <w:t>מש</w:t>
      </w:r>
      <w:r>
        <w:rPr>
          <w:rFonts w:cs="Arial" w:hint="cs"/>
          <w:rtl/>
        </w:rPr>
        <w:t>"כ</w:t>
      </w:r>
      <w:r>
        <w:rPr>
          <w:rFonts w:cs="Arial"/>
          <w:rtl/>
        </w:rPr>
        <w:t xml:space="preserve"> רבינו </w:t>
      </w:r>
      <w:r>
        <w:rPr>
          <w:rFonts w:cs="Arial" w:hint="cs"/>
          <w:rtl/>
        </w:rPr>
        <w:t>'</w:t>
      </w:r>
      <w:r>
        <w:rPr>
          <w:rFonts w:cs="Arial"/>
          <w:rtl/>
        </w:rPr>
        <w:t>ושמעינן ליה לנגזל דאייאש קודם שנמכר</w:t>
      </w:r>
      <w:r>
        <w:rPr>
          <w:rFonts w:cs="Arial" w:hint="cs"/>
          <w:rtl/>
        </w:rPr>
        <w:t>'</w:t>
      </w:r>
      <w:r>
        <w:rPr>
          <w:rFonts w:cs="Arial"/>
          <w:rtl/>
        </w:rPr>
        <w:t xml:space="preserve"> אזדא לטעמיה דסבר כהרא"ש </w:t>
      </w:r>
      <w:r w:rsidRPr="00FF6928">
        <w:rPr>
          <w:rFonts w:cs="Arial"/>
          <w:sz w:val="16"/>
          <w:szCs w:val="16"/>
          <w:rtl/>
        </w:rPr>
        <w:t xml:space="preserve">(ב"ק פ"י סי"ח) </w:t>
      </w:r>
      <w:r>
        <w:rPr>
          <w:rFonts w:cs="Arial"/>
          <w:rtl/>
        </w:rPr>
        <w:t>דדוקא יאוש ואח"כ שנוי רשות קני אבל שנוי רשות ואח"כ יאוש לא קני</w:t>
      </w:r>
      <w:r>
        <w:rPr>
          <w:rFonts w:cs="Arial" w:hint="cs"/>
          <w:rtl/>
        </w:rPr>
        <w:t>.</w:t>
      </w:r>
      <w:r>
        <w:rPr>
          <w:rFonts w:cs="Arial"/>
          <w:rtl/>
        </w:rPr>
        <w:t xml:space="preserve"> אבל לדעת הרמב"ם </w:t>
      </w:r>
      <w:r w:rsidRPr="00FF6928">
        <w:rPr>
          <w:rFonts w:cs="Arial"/>
          <w:sz w:val="16"/>
          <w:szCs w:val="16"/>
          <w:rtl/>
        </w:rPr>
        <w:t xml:space="preserve">(גזילה פ"ב ה"ג) </w:t>
      </w:r>
      <w:r>
        <w:rPr>
          <w:rFonts w:cs="Arial"/>
          <w:rtl/>
        </w:rPr>
        <w:t>דס</w:t>
      </w:r>
      <w:r>
        <w:rPr>
          <w:rFonts w:cs="Arial" w:hint="cs"/>
          <w:rtl/>
        </w:rPr>
        <w:t>"</w:t>
      </w:r>
      <w:r>
        <w:rPr>
          <w:rFonts w:cs="Arial"/>
          <w:rtl/>
        </w:rPr>
        <w:t>ל דאפי</w:t>
      </w:r>
      <w:r>
        <w:rPr>
          <w:rFonts w:cs="Arial" w:hint="cs"/>
          <w:rtl/>
        </w:rPr>
        <w:t>'</w:t>
      </w:r>
      <w:r>
        <w:rPr>
          <w:rFonts w:cs="Arial"/>
          <w:rtl/>
        </w:rPr>
        <w:t xml:space="preserve"> שנוי רשות ואח"כ יאוש קני</w:t>
      </w:r>
      <w:r>
        <w:rPr>
          <w:rFonts w:cs="Arial" w:hint="cs"/>
          <w:rtl/>
        </w:rPr>
        <w:t>,</w:t>
      </w:r>
      <w:r>
        <w:rPr>
          <w:rFonts w:cs="Arial"/>
          <w:rtl/>
        </w:rPr>
        <w:t xml:space="preserve"> כמבואר בדברי רבינו סי</w:t>
      </w:r>
      <w:r>
        <w:rPr>
          <w:rFonts w:cs="Arial" w:hint="cs"/>
          <w:rtl/>
        </w:rPr>
        <w:t>'</w:t>
      </w:r>
      <w:r>
        <w:rPr>
          <w:rFonts w:cs="Arial"/>
          <w:rtl/>
        </w:rPr>
        <w:t xml:space="preserve"> שס</w:t>
      </w:r>
      <w:r>
        <w:rPr>
          <w:rFonts w:cs="Arial" w:hint="cs"/>
          <w:rtl/>
        </w:rPr>
        <w:t>"</w:t>
      </w:r>
      <w:r>
        <w:rPr>
          <w:rFonts w:cs="Arial"/>
          <w:rtl/>
        </w:rPr>
        <w:t xml:space="preserve">א </w:t>
      </w:r>
      <w:r w:rsidRPr="00FF6928">
        <w:rPr>
          <w:rFonts w:cs="Arial"/>
          <w:sz w:val="16"/>
          <w:szCs w:val="16"/>
          <w:rtl/>
        </w:rPr>
        <w:t>(ס"ה)</w:t>
      </w:r>
      <w:r>
        <w:rPr>
          <w:rFonts w:cs="Arial" w:hint="cs"/>
          <w:rtl/>
        </w:rPr>
        <w:t xml:space="preserve">, </w:t>
      </w:r>
      <w:r>
        <w:rPr>
          <w:rFonts w:cs="Arial"/>
          <w:rtl/>
        </w:rPr>
        <w:t>הכא נמי לא שנא</w:t>
      </w:r>
      <w:r>
        <w:rPr>
          <w:rFonts w:cs="Arial" w:hint="cs"/>
          <w:rtl/>
        </w:rPr>
        <w:t>,</w:t>
      </w:r>
      <w:r>
        <w:rPr>
          <w:rFonts w:cs="Arial"/>
          <w:rtl/>
        </w:rPr>
        <w:t xml:space="preserve"> וכיון שמת גזלן אינם צריכין להחזיר</w:t>
      </w:r>
      <w:r>
        <w:rPr>
          <w:rFonts w:cs="Arial" w:hint="cs"/>
          <w:rtl/>
        </w:rPr>
        <w:t>,</w:t>
      </w:r>
      <w:r>
        <w:rPr>
          <w:rFonts w:cs="Arial"/>
          <w:rtl/>
        </w:rPr>
        <w:t xml:space="preserve"> וא</w:t>
      </w:r>
      <w:r>
        <w:rPr>
          <w:rFonts w:cs="Arial" w:hint="cs"/>
          <w:rtl/>
        </w:rPr>
        <w:t>"</w:t>
      </w:r>
      <w:r>
        <w:rPr>
          <w:rFonts w:cs="Arial"/>
          <w:rtl/>
        </w:rPr>
        <w:t>כ הנגזל יכול להעיד דלאו נוגע בעדות הוא</w:t>
      </w:r>
      <w:r>
        <w:rPr>
          <w:rFonts w:cs="Arial" w:hint="cs"/>
          <w:rtl/>
        </w:rPr>
        <w:t>, ב"י.</w:t>
      </w:r>
      <w:r w:rsidRPr="00E375B4">
        <w:rPr>
          <w:rFonts w:cs="Arial" w:hint="cs"/>
          <w:color w:val="E36C0A" w:themeColor="accent6" w:themeShade="BF"/>
          <w:rtl/>
        </w:rPr>
        <w:t xml:space="preserve"> ופ</w:t>
      </w:r>
      <w:r>
        <w:rPr>
          <w:rFonts w:cs="Arial" w:hint="cs"/>
          <w:color w:val="E36C0A" w:themeColor="accent6" w:themeShade="BF"/>
          <w:rtl/>
        </w:rPr>
        <w:t>סק</w:t>
      </w:r>
      <w:r w:rsidRPr="00E375B4">
        <w:rPr>
          <w:rFonts w:cs="Arial" w:hint="cs"/>
          <w:color w:val="E36C0A" w:themeColor="accent6" w:themeShade="BF"/>
          <w:rtl/>
        </w:rPr>
        <w:t xml:space="preserve"> בשו"ע</w:t>
      </w:r>
      <w:r>
        <w:rPr>
          <w:rFonts w:cs="Arial" w:hint="cs"/>
          <w:color w:val="E36C0A" w:themeColor="accent6" w:themeShade="BF"/>
          <w:rtl/>
        </w:rPr>
        <w:t xml:space="preserve"> כהרמב"ם.</w:t>
      </w:r>
      <w:r>
        <w:rPr>
          <w:rFonts w:hint="cs"/>
          <w:rtl/>
        </w:rPr>
        <w:t xml:space="preserve"> והש"ך (סק"ל) פסק כהרא"ש והטור. </w:t>
      </w:r>
    </w:p>
  </w:footnote>
  <w:footnote w:id="2774">
    <w:p w14:paraId="2AAB3107" w14:textId="77777777" w:rsidR="0013116F" w:rsidRDefault="0013116F" w:rsidP="004B607F">
      <w:pPr>
        <w:pStyle w:val="a9"/>
      </w:pPr>
      <w:r>
        <w:rPr>
          <w:rStyle w:val="ab"/>
        </w:rPr>
        <w:footnoteRef/>
      </w:r>
      <w:r>
        <w:rPr>
          <w:rtl/>
        </w:rPr>
        <w:t xml:space="preserve"> </w:t>
      </w:r>
      <w:r>
        <w:rPr>
          <w:rFonts w:cs="Arial"/>
          <w:rtl/>
        </w:rPr>
        <w:t>הוא ממאי דאיתא בפרק הגוזל (בתרא קיא:) ונתבאר בדברי רבינו סימן שס"א (ס"ט - י) דכשהניח אחריות נכסים דהיינו קרקעות חייבין לשלם</w:t>
      </w:r>
      <w:r>
        <w:rPr>
          <w:rFonts w:cs="Arial" w:hint="cs"/>
          <w:rtl/>
        </w:rPr>
        <w:t>, ב"י.</w:t>
      </w:r>
    </w:p>
  </w:footnote>
  <w:footnote w:id="2775">
    <w:p w14:paraId="0484A407" w14:textId="77777777" w:rsidR="0013116F" w:rsidRDefault="0013116F" w:rsidP="004B607F">
      <w:pPr>
        <w:pStyle w:val="a9"/>
      </w:pPr>
      <w:r>
        <w:rPr>
          <w:rStyle w:val="ab"/>
        </w:rPr>
        <w:footnoteRef/>
      </w:r>
      <w:r>
        <w:rPr>
          <w:rtl/>
        </w:rPr>
        <w:t xml:space="preserve"> </w:t>
      </w:r>
      <w:r>
        <w:rPr>
          <w:rFonts w:cs="Arial"/>
          <w:rtl/>
        </w:rPr>
        <w:t xml:space="preserve">כן כתב רבינו בסימן הנזכר </w:t>
      </w:r>
      <w:r>
        <w:rPr>
          <w:rFonts w:cs="Arial" w:hint="cs"/>
          <w:sz w:val="16"/>
          <w:szCs w:val="16"/>
          <w:rtl/>
        </w:rPr>
        <w:t xml:space="preserve">{סי' שסא} </w:t>
      </w:r>
      <w:r>
        <w:rPr>
          <w:rFonts w:cs="Arial"/>
          <w:rtl/>
        </w:rPr>
        <w:t>ופשוט הוא</w:t>
      </w:r>
      <w:r>
        <w:rPr>
          <w:rFonts w:cs="Arial" w:hint="cs"/>
          <w:rtl/>
        </w:rPr>
        <w:t>, ב"י.</w:t>
      </w:r>
    </w:p>
  </w:footnote>
  <w:footnote w:id="2776">
    <w:p w14:paraId="6F9542C8" w14:textId="77777777" w:rsidR="0013116F" w:rsidRDefault="0013116F" w:rsidP="004B607F">
      <w:pPr>
        <w:pStyle w:val="a9"/>
      </w:pPr>
      <w:r>
        <w:rPr>
          <w:rStyle w:val="ab"/>
        </w:rPr>
        <w:footnoteRef/>
      </w:r>
      <w:r>
        <w:rPr>
          <w:rtl/>
        </w:rPr>
        <w:t xml:space="preserve"> </w:t>
      </w:r>
      <w:r>
        <w:rPr>
          <w:rFonts w:cs="Arial"/>
          <w:rtl/>
        </w:rPr>
        <w:t>כך נתבאר בפרק הגוזל ומאכיל (שם)</w:t>
      </w:r>
      <w:r>
        <w:rPr>
          <w:rFonts w:cs="Arial" w:hint="cs"/>
          <w:rtl/>
        </w:rPr>
        <w:t>.</w:t>
      </w:r>
      <w:r>
        <w:rPr>
          <w:rFonts w:cs="Arial"/>
          <w:rtl/>
        </w:rPr>
        <w:t xml:space="preserve"> ובסימן הנזכר (ס"ח) כתב רבינו דרשות יורש לאו כרשות לוקח דמי</w:t>
      </w:r>
      <w:r>
        <w:rPr>
          <w:rFonts w:cs="Arial" w:hint="cs"/>
          <w:rtl/>
        </w:rPr>
        <w:t>,</w:t>
      </w:r>
      <w:r>
        <w:rPr>
          <w:rFonts w:cs="Arial"/>
          <w:rtl/>
        </w:rPr>
        <w:t xml:space="preserve"> כי היכי דנימא דאיכא שנוי רשות ואם קדם לו יאוש יפטרו היורשים מלהחזיר לדינא דגמרא אם לא הניח אחריות נכסים</w:t>
      </w:r>
      <w:r>
        <w:rPr>
          <w:rFonts w:cs="Arial" w:hint="cs"/>
          <w:rtl/>
        </w:rPr>
        <w:t>,</w:t>
      </w:r>
      <w:r>
        <w:rPr>
          <w:rFonts w:cs="Arial"/>
          <w:rtl/>
        </w:rPr>
        <w:t xml:space="preserve"> אלא לאו כרשות לוקח דמי ואפילו אם לא הניח אחריות נכסים חייבין לשלם אפילו לדינא דגמרא</w:t>
      </w:r>
      <w:r>
        <w:rPr>
          <w:rFonts w:cs="Arial" w:hint="cs"/>
          <w:rtl/>
        </w:rPr>
        <w:t>, ב"י.</w:t>
      </w:r>
    </w:p>
  </w:footnote>
  <w:footnote w:id="2777">
    <w:p w14:paraId="4C2FF33C" w14:textId="77777777" w:rsidR="0013116F" w:rsidRDefault="0013116F" w:rsidP="004B607F">
      <w:pPr>
        <w:pStyle w:val="a9"/>
      </w:pPr>
      <w:r>
        <w:rPr>
          <w:rStyle w:val="ab"/>
        </w:rPr>
        <w:footnoteRef/>
      </w:r>
      <w:r w:rsidRPr="00B20CF2">
        <w:rPr>
          <w:rFonts w:cs="Arial"/>
          <w:rtl/>
        </w:rPr>
        <w:t xml:space="preserve"> עיין פרישה [סעיף י'], שם כתבתי שבכלל האי נוח לו, הוא גם כן הניחותא דשמא שכשיבוא ליד יהודא אף שיהיה לשמעון עדות שהיתה שלו שראובן גזלה ממנו, מ"מ לא יוכל להוציא מיד יהודא שיש לו ג"כ עדים שהיא שלו ושמעולם לא היתה של שמעון, וה"ל תרי ותרי וישאר הקרקע ביד יהודא שיהיה אז מוחזק בו, עיין פרישה ודרישה [שם]</w:t>
      </w:r>
      <w:r>
        <w:rPr>
          <w:rFonts w:cs="Arial" w:hint="cs"/>
          <w:rtl/>
        </w:rPr>
        <w:t>, סמ"ע (סקמ"ו).</w:t>
      </w:r>
    </w:p>
  </w:footnote>
  <w:footnote w:id="2778">
    <w:p w14:paraId="669312F2" w14:textId="77777777" w:rsidR="0013116F" w:rsidRDefault="0013116F" w:rsidP="004B607F">
      <w:pPr>
        <w:pStyle w:val="a9"/>
        <w:rPr>
          <w:rtl/>
        </w:rPr>
      </w:pPr>
      <w:r>
        <w:rPr>
          <w:rStyle w:val="ab"/>
        </w:rPr>
        <w:footnoteRef/>
      </w:r>
      <w:r>
        <w:rPr>
          <w:rtl/>
        </w:rPr>
        <w:t xml:space="preserve"> </w:t>
      </w:r>
      <w:r w:rsidRPr="00353556">
        <w:rPr>
          <w:rFonts w:cs="Arial"/>
          <w:rtl/>
        </w:rPr>
        <w:t>כאן דקדק לכתוב השדה כו', משום דבשדה לא שייך יאוש ולא קנאה ביאוש ושינוי רשות, משא"כ בטלית, וכמ"ש אחר זה. אבל אם הוא עדיין ביד ראובן דליכא שינוי רשות, השוה ברישא שדה לטלית,</w:t>
      </w:r>
      <w:r>
        <w:rPr>
          <w:rFonts w:hint="cs"/>
          <w:rtl/>
        </w:rPr>
        <w:t xml:space="preserve"> סמ"ע (סקמ"ז).</w:t>
      </w:r>
    </w:p>
  </w:footnote>
  <w:footnote w:id="2779">
    <w:p w14:paraId="334AB910" w14:textId="77777777" w:rsidR="0013116F" w:rsidRDefault="0013116F" w:rsidP="004B607F">
      <w:pPr>
        <w:pStyle w:val="a9"/>
      </w:pPr>
      <w:r>
        <w:rPr>
          <w:rStyle w:val="ab"/>
        </w:rPr>
        <w:footnoteRef/>
      </w:r>
      <w:r>
        <w:rPr>
          <w:rtl/>
        </w:rPr>
        <w:t xml:space="preserve"> </w:t>
      </w:r>
      <w:r w:rsidRPr="00353556">
        <w:rPr>
          <w:rFonts w:cs="Arial"/>
          <w:rtl/>
        </w:rPr>
        <w:t>משמע דהיינו בידוע שנתייאש, אבל בסתמא לא הוי יאוש. וכן משמע יותר בטור [סעיף י"א] ורשב"ם [שם מ"ד ע"א ד"ה ופרקינן] שכתבו, ושמעינן לנגזל דאייאש כו', והיינו כמו שכתבתי לקמן סימן שס"ח סק"ב, וע"ש שהארכתי בזה</w:t>
      </w:r>
      <w:r>
        <w:rPr>
          <w:rFonts w:cs="Arial" w:hint="cs"/>
          <w:rtl/>
        </w:rPr>
        <w:t>..., ש"ך (סק"ל).</w:t>
      </w:r>
    </w:p>
  </w:footnote>
  <w:footnote w:id="2780">
    <w:p w14:paraId="54AA6AE9" w14:textId="77777777" w:rsidR="0013116F" w:rsidRDefault="0013116F" w:rsidP="004B607F">
      <w:pPr>
        <w:pStyle w:val="a9"/>
      </w:pPr>
      <w:r>
        <w:rPr>
          <w:rStyle w:val="ab"/>
        </w:rPr>
        <w:footnoteRef/>
      </w:r>
      <w:r>
        <w:rPr>
          <w:rtl/>
        </w:rPr>
        <w:t xml:space="preserve"> </w:t>
      </w:r>
      <w:r w:rsidRPr="00353556">
        <w:rPr>
          <w:rFonts w:cs="Arial"/>
          <w:rtl/>
        </w:rPr>
        <w:t>מפני שרשות יורש לא מיקרי שינוי רשות, משא"כ כשתבוא ליד יהודה, והמערער טוען שלא היתה מעולם של שמעון לא יוחזר לו אף אם יביא שמעון ג"כ עדים, וכמ"ש לפני זה [בסקמ"ו]</w:t>
      </w:r>
      <w:r>
        <w:rPr>
          <w:rFonts w:cs="Arial" w:hint="cs"/>
          <w:rtl/>
        </w:rPr>
        <w:t>, סמ"ע (סקמ"ט).</w:t>
      </w:r>
    </w:p>
  </w:footnote>
  <w:footnote w:id="2781">
    <w:p w14:paraId="28D44D27" w14:textId="77777777" w:rsidR="0013116F" w:rsidRDefault="0013116F" w:rsidP="004B607F">
      <w:pPr>
        <w:pStyle w:val="a9"/>
        <w:rPr>
          <w:rtl/>
        </w:rPr>
      </w:pPr>
      <w:r>
        <w:rPr>
          <w:rStyle w:val="ab"/>
        </w:rPr>
        <w:footnoteRef/>
      </w:r>
      <w:r>
        <w:rPr>
          <w:rtl/>
        </w:rPr>
        <w:t xml:space="preserve"> </w:t>
      </w:r>
      <w:r w:rsidRPr="00353556">
        <w:rPr>
          <w:rFonts w:cs="Arial"/>
          <w:rtl/>
        </w:rPr>
        <w:t>היינו כשהניח עכ"פ נכסים מטלטלים, וכדלקמן סימן שמ"א סעיף ד' [ועיין ש"ך שם סק"ה] ושס"א סעיף ז', אבל כשלא הניח כלום אין חייבים לשלם כלום מנכסיהם וכדלקמן ריש סימן ק"ז, והלכך מעיד</w:t>
      </w:r>
      <w:r>
        <w:rPr>
          <w:rFonts w:hint="cs"/>
          <w:rtl/>
        </w:rPr>
        <w:t>, ש"ך (סקל"א).</w:t>
      </w:r>
    </w:p>
  </w:footnote>
  <w:footnote w:id="2782">
    <w:p w14:paraId="73A0A935" w14:textId="77777777" w:rsidR="0013116F" w:rsidRDefault="0013116F" w:rsidP="004B607F">
      <w:pPr>
        <w:pStyle w:val="a9"/>
      </w:pPr>
      <w:r>
        <w:rPr>
          <w:rStyle w:val="ab"/>
        </w:rPr>
        <w:footnoteRef/>
      </w:r>
      <w:r>
        <w:rPr>
          <w:rtl/>
        </w:rPr>
        <w:t xml:space="preserve"> </w:t>
      </w:r>
      <w:r>
        <w:rPr>
          <w:rFonts w:hint="cs"/>
          <w:rtl/>
        </w:rPr>
        <w:t xml:space="preserve">סימן </w:t>
      </w:r>
      <w:r>
        <w:rPr>
          <w:rtl/>
        </w:rPr>
        <w:t>–</w:t>
      </w:r>
      <w:r>
        <w:rPr>
          <w:rFonts w:hint="cs"/>
          <w:rtl/>
        </w:rPr>
        <w:t xml:space="preserve"> בלי מגע. וכן - מעיד בשותפו. וכן - מעיד בעל בעלות. וכן </w:t>
      </w:r>
      <w:r>
        <w:rPr>
          <w:rtl/>
        </w:rPr>
        <w:t>–</w:t>
      </w:r>
      <w:r>
        <w:rPr>
          <w:rFonts w:hint="cs"/>
          <w:rtl/>
        </w:rPr>
        <w:t xml:space="preserve"> בעלים מעיד בבעלים.</w:t>
      </w:r>
    </w:p>
  </w:footnote>
  <w:footnote w:id="2783">
    <w:p w14:paraId="75884080" w14:textId="77777777" w:rsidR="0013116F" w:rsidRDefault="0013116F" w:rsidP="004B607F">
      <w:pPr>
        <w:pStyle w:val="a9"/>
        <w:rPr>
          <w:rtl/>
        </w:rPr>
      </w:pPr>
      <w:r>
        <w:rPr>
          <w:rStyle w:val="ab"/>
        </w:rPr>
        <w:footnoteRef/>
      </w:r>
      <w:r>
        <w:rPr>
          <w:rtl/>
        </w:rPr>
        <w:t xml:space="preserve"> </w:t>
      </w:r>
      <w:r>
        <w:rPr>
          <w:rFonts w:cs="Arial"/>
          <w:rtl/>
        </w:rPr>
        <w:t>והוי נוגע בעדות עד דאזיל לעיר אחרת לדור</w:t>
      </w:r>
      <w:r>
        <w:rPr>
          <w:rFonts w:hint="cs"/>
          <w:rtl/>
        </w:rPr>
        <w:t>, רשב"ם.</w:t>
      </w:r>
    </w:p>
  </w:footnote>
  <w:footnote w:id="2784">
    <w:p w14:paraId="071F5E39" w14:textId="77777777" w:rsidR="0013116F" w:rsidRDefault="0013116F" w:rsidP="004B607F">
      <w:pPr>
        <w:pStyle w:val="a9"/>
      </w:pPr>
      <w:r>
        <w:rPr>
          <w:rStyle w:val="ab"/>
        </w:rPr>
        <w:footnoteRef/>
      </w:r>
      <w:r>
        <w:rPr>
          <w:rtl/>
        </w:rPr>
        <w:t xml:space="preserve"> </w:t>
      </w:r>
      <w:r>
        <w:rPr>
          <w:rFonts w:cs="Arial"/>
          <w:rtl/>
        </w:rPr>
        <w:t>לצרכיהם כגון לחומת העיר ומגדלותיה</w:t>
      </w:r>
      <w:r>
        <w:rPr>
          <w:rFonts w:cs="Arial" w:hint="cs"/>
          <w:rtl/>
        </w:rPr>
        <w:t>, רשב"ם</w:t>
      </w:r>
      <w:r>
        <w:rPr>
          <w:rFonts w:cs="Arial"/>
          <w:rtl/>
        </w:rPr>
        <w:t>.</w:t>
      </w:r>
    </w:p>
  </w:footnote>
  <w:footnote w:id="2785">
    <w:p w14:paraId="596E5D96" w14:textId="77777777" w:rsidR="0013116F" w:rsidRDefault="0013116F" w:rsidP="004B607F">
      <w:pPr>
        <w:pStyle w:val="a9"/>
        <w:rPr>
          <w:rtl/>
        </w:rPr>
      </w:pPr>
      <w:r>
        <w:rPr>
          <w:rStyle w:val="ab"/>
        </w:rPr>
        <w:footnoteRef/>
      </w:r>
      <w:r>
        <w:rPr>
          <w:rtl/>
        </w:rPr>
        <w:t xml:space="preserve"> </w:t>
      </w:r>
      <w:r>
        <w:rPr>
          <w:rFonts w:cs="Arial" w:hint="cs"/>
          <w:rtl/>
        </w:rPr>
        <w:t xml:space="preserve">וכתב הב"י - </w:t>
      </w:r>
      <w:r>
        <w:rPr>
          <w:rFonts w:cs="Arial"/>
          <w:rtl/>
        </w:rPr>
        <w:t>מפשטא דגמרא משמע לכאורה דדוקא בספר תורה הוא</w:t>
      </w:r>
      <w:r>
        <w:rPr>
          <w:rFonts w:cs="Arial" w:hint="cs"/>
          <w:rtl/>
        </w:rPr>
        <w:t>,</w:t>
      </w:r>
      <w:r>
        <w:rPr>
          <w:rFonts w:cs="Arial"/>
          <w:rtl/>
        </w:rPr>
        <w:t xml:space="preserve"> דתניא דאין מביאין ראיה מאנשי אותה העיר משום דאי אפשר להם להסתלק משום דלשמיעה קאי</w:t>
      </w:r>
      <w:r>
        <w:rPr>
          <w:rFonts w:cs="Arial" w:hint="cs"/>
          <w:rtl/>
        </w:rPr>
        <w:t>,</w:t>
      </w:r>
      <w:r>
        <w:rPr>
          <w:rFonts w:cs="Arial"/>
          <w:rtl/>
        </w:rPr>
        <w:t xml:space="preserve"> אבל כל שאר צרכי העיר מביאין ראיה מאנשי אותה העיר אם נסתלקו</w:t>
      </w:r>
      <w:r>
        <w:rPr>
          <w:rFonts w:cs="Arial" w:hint="cs"/>
          <w:rtl/>
        </w:rPr>
        <w:t>.</w:t>
      </w:r>
      <w:r>
        <w:rPr>
          <w:rFonts w:cs="Arial"/>
          <w:rtl/>
        </w:rPr>
        <w:t xml:space="preserve"> וכן נראה לכאורה מדברי הרא"ש בתשובה כלל נ"ח סי</w:t>
      </w:r>
      <w:r>
        <w:rPr>
          <w:rFonts w:cs="Arial" w:hint="cs"/>
          <w:rtl/>
        </w:rPr>
        <w:t>'</w:t>
      </w:r>
      <w:r>
        <w:rPr>
          <w:rFonts w:cs="Arial"/>
          <w:rtl/>
        </w:rPr>
        <w:t xml:space="preserve"> ה'</w:t>
      </w:r>
      <w:r>
        <w:rPr>
          <w:rFonts w:cs="Arial" w:hint="cs"/>
          <w:rtl/>
        </w:rPr>
        <w:t>.</w:t>
      </w:r>
      <w:r>
        <w:rPr>
          <w:rFonts w:cs="Arial"/>
          <w:rtl/>
        </w:rPr>
        <w:t xml:space="preserve"> ואם כן</w:t>
      </w:r>
      <w:r>
        <w:rPr>
          <w:rFonts w:cs="Arial" w:hint="cs"/>
          <w:rtl/>
        </w:rPr>
        <w:t>,</w:t>
      </w:r>
      <w:r>
        <w:rPr>
          <w:rFonts w:cs="Arial"/>
          <w:rtl/>
        </w:rPr>
        <w:t xml:space="preserve"> יש לתמוה על רבינו שכתב דלכל דבר שהוא צרכי העיר א</w:t>
      </w:r>
      <w:r>
        <w:rPr>
          <w:rFonts w:cs="Arial" w:hint="cs"/>
          <w:rtl/>
        </w:rPr>
        <w:t>"</w:t>
      </w:r>
      <w:r>
        <w:rPr>
          <w:rFonts w:cs="Arial"/>
          <w:rtl/>
        </w:rPr>
        <w:t>א להסתלק. ונ"ל שרבינו מפרש דכי אוקמה בספר תורה</w:t>
      </w:r>
      <w:r>
        <w:rPr>
          <w:rFonts w:cs="Arial" w:hint="cs"/>
          <w:rtl/>
        </w:rPr>
        <w:t>,</w:t>
      </w:r>
      <w:r>
        <w:rPr>
          <w:rFonts w:cs="Arial"/>
          <w:rtl/>
        </w:rPr>
        <w:t xml:space="preserve"> דלאו דוקא</w:t>
      </w:r>
      <w:r>
        <w:rPr>
          <w:rFonts w:cs="Arial" w:hint="cs"/>
          <w:rtl/>
        </w:rPr>
        <w:t>,</w:t>
      </w:r>
      <w:r>
        <w:rPr>
          <w:rFonts w:cs="Arial"/>
          <w:rtl/>
        </w:rPr>
        <w:t xml:space="preserve"> דה</w:t>
      </w:r>
      <w:r>
        <w:rPr>
          <w:rFonts w:cs="Arial" w:hint="cs"/>
          <w:rtl/>
        </w:rPr>
        <w:t>"</w:t>
      </w:r>
      <w:r>
        <w:rPr>
          <w:rFonts w:cs="Arial"/>
          <w:rtl/>
        </w:rPr>
        <w:t>ה לשאר צרכי העיר</w:t>
      </w:r>
      <w:r>
        <w:rPr>
          <w:rFonts w:cs="Arial" w:hint="cs"/>
          <w:rtl/>
        </w:rPr>
        <w:t>,</w:t>
      </w:r>
      <w:r>
        <w:rPr>
          <w:rFonts w:cs="Arial"/>
          <w:rtl/>
        </w:rPr>
        <w:t xml:space="preserve"> ד</w:t>
      </w:r>
      <w:r>
        <w:rPr>
          <w:rFonts w:cs="Arial" w:hint="cs"/>
          <w:rtl/>
        </w:rPr>
        <w:t>א"</w:t>
      </w:r>
      <w:r>
        <w:rPr>
          <w:rFonts w:cs="Arial"/>
          <w:rtl/>
        </w:rPr>
        <w:t>א לו להסתלק מלרחוץ במרחץ ומלילך ברחוב וכל כיוצא בזה</w:t>
      </w:r>
      <w:r>
        <w:rPr>
          <w:rFonts w:cs="Arial" w:hint="cs"/>
          <w:rtl/>
        </w:rPr>
        <w:t>.</w:t>
      </w:r>
      <w:r>
        <w:rPr>
          <w:rFonts w:cs="Arial"/>
          <w:rtl/>
        </w:rPr>
        <w:t xml:space="preserve"> וכן נראה מדברי הרמב"ם שכתב בפט"ו מהלכות עדות (ה"ב)</w:t>
      </w:r>
      <w:r>
        <w:rPr>
          <w:rFonts w:cs="Arial" w:hint="cs"/>
          <w:rtl/>
        </w:rPr>
        <w:t>-</w:t>
      </w:r>
      <w:r>
        <w:rPr>
          <w:rFonts w:cs="Arial"/>
          <w:rtl/>
        </w:rPr>
        <w:t xml:space="preserve"> בני העיר שנגנב ספר תורה שלהם הואיל ולשמיעה הוא עשוי שא</w:t>
      </w:r>
      <w:r>
        <w:rPr>
          <w:rFonts w:cs="Arial" w:hint="cs"/>
          <w:rtl/>
        </w:rPr>
        <w:t>"</w:t>
      </w:r>
      <w:r>
        <w:rPr>
          <w:rFonts w:cs="Arial"/>
          <w:rtl/>
        </w:rPr>
        <w:t>א לאדם לסלק עצמו אין דנין בדייני אותה העיר ואין מביאין ראיה מאנשי אותה העיר וכן כל כיוצא בזה עכ"ל</w:t>
      </w:r>
      <w:r>
        <w:rPr>
          <w:rFonts w:cs="Arial" w:hint="cs"/>
          <w:rtl/>
        </w:rPr>
        <w:t>.</w:t>
      </w:r>
      <w:r>
        <w:rPr>
          <w:rFonts w:cs="Arial"/>
          <w:rtl/>
        </w:rPr>
        <w:t xml:space="preserve"> ומדנקט וכן כל כיוצא בזה משמע בהדיא דספר תורה לאו דוקא דהוא הדין לשאר צרכי העיר</w:t>
      </w:r>
      <w:r>
        <w:rPr>
          <w:rFonts w:cs="Arial" w:hint="cs"/>
          <w:rtl/>
        </w:rPr>
        <w:t>,</w:t>
      </w:r>
      <w:r>
        <w:rPr>
          <w:rFonts w:cs="Arial"/>
          <w:rtl/>
        </w:rPr>
        <w:t xml:space="preserve"> וכן נראה שהוא דעת הרא"ש בתשובה כלל נח סי' ז</w:t>
      </w:r>
      <w:r>
        <w:rPr>
          <w:rFonts w:cs="Arial" w:hint="cs"/>
          <w:rtl/>
        </w:rPr>
        <w:t>,</w:t>
      </w:r>
      <w:r>
        <w:rPr>
          <w:rFonts w:cs="Arial"/>
          <w:rtl/>
        </w:rPr>
        <w:t xml:space="preserve"> שהביא ראיה לעדות במס מההיא דבני העיר שנגנב ספר תורה שלהם</w:t>
      </w:r>
      <w:r>
        <w:rPr>
          <w:rFonts w:cs="Arial" w:hint="cs"/>
          <w:rtl/>
        </w:rPr>
        <w:t>,</w:t>
      </w:r>
      <w:r>
        <w:rPr>
          <w:rFonts w:cs="Arial"/>
          <w:rtl/>
        </w:rPr>
        <w:t xml:space="preserve"> וכן מבואר עוד בדבריו בכלל ג' סי</w:t>
      </w:r>
      <w:r>
        <w:rPr>
          <w:rFonts w:cs="Arial" w:hint="cs"/>
          <w:rtl/>
        </w:rPr>
        <w:t>'</w:t>
      </w:r>
      <w:r>
        <w:rPr>
          <w:rFonts w:cs="Arial"/>
          <w:rtl/>
        </w:rPr>
        <w:t xml:space="preserve"> י"ד</w:t>
      </w:r>
      <w:r>
        <w:rPr>
          <w:rFonts w:cs="Arial" w:hint="cs"/>
          <w:rtl/>
        </w:rPr>
        <w:t>.</w:t>
      </w:r>
      <w:r>
        <w:rPr>
          <w:rFonts w:cs="Arial"/>
          <w:rtl/>
        </w:rPr>
        <w:t xml:space="preserve"> וע"כ צ"ל דכי היכי דא</w:t>
      </w:r>
      <w:r>
        <w:rPr>
          <w:rFonts w:cs="Arial" w:hint="cs"/>
          <w:rtl/>
        </w:rPr>
        <w:t>"</w:t>
      </w:r>
      <w:r>
        <w:rPr>
          <w:rFonts w:cs="Arial"/>
          <w:rtl/>
        </w:rPr>
        <w:t>א להסתלק משמיעת ספר תורה כך א</w:t>
      </w:r>
      <w:r>
        <w:rPr>
          <w:rFonts w:cs="Arial" w:hint="cs"/>
          <w:rtl/>
        </w:rPr>
        <w:t>"</w:t>
      </w:r>
      <w:r>
        <w:rPr>
          <w:rFonts w:cs="Arial"/>
          <w:rtl/>
        </w:rPr>
        <w:t>א להסתלק משאר צרכי העיר</w:t>
      </w:r>
      <w:r>
        <w:rPr>
          <w:rFonts w:cs="Arial" w:hint="cs"/>
          <w:rtl/>
        </w:rPr>
        <w:t>,</w:t>
      </w:r>
      <w:r>
        <w:rPr>
          <w:rFonts w:cs="Arial"/>
          <w:rtl/>
        </w:rPr>
        <w:t xml:space="preserve"> דהא א</w:t>
      </w:r>
      <w:r>
        <w:rPr>
          <w:rFonts w:cs="Arial" w:hint="cs"/>
          <w:rtl/>
        </w:rPr>
        <w:t>"</w:t>
      </w:r>
      <w:r>
        <w:rPr>
          <w:rFonts w:cs="Arial"/>
          <w:rtl/>
        </w:rPr>
        <w:t>א לו שלא ירחץ במרחץ ושלא ילך ברחוב ושלא יהנה מתועלת חומת העיר ומגדלותיה ומשאר צרכי העיר</w:t>
      </w:r>
      <w:r>
        <w:rPr>
          <w:rFonts w:cs="Arial" w:hint="cs"/>
          <w:rtl/>
        </w:rPr>
        <w:t>.</w:t>
      </w:r>
      <w:r>
        <w:rPr>
          <w:rFonts w:cs="Arial"/>
          <w:rtl/>
        </w:rPr>
        <w:t xml:space="preserve"> ולפי זה הא דנקט ספר תורה באוקימתא</w:t>
      </w:r>
      <w:r>
        <w:rPr>
          <w:rFonts w:cs="Arial" w:hint="cs"/>
          <w:rtl/>
        </w:rPr>
        <w:t xml:space="preserve"> -</w:t>
      </w:r>
      <w:r>
        <w:rPr>
          <w:rFonts w:cs="Arial"/>
          <w:rtl/>
        </w:rPr>
        <w:t xml:space="preserve"> לא למעט שאר צרכי העיר אלא לאפוקי דלא נימא דתנו מנה לבני עירי היינו שיחלקו להן מנה</w:t>
      </w:r>
      <w:r>
        <w:rPr>
          <w:rFonts w:cs="Arial" w:hint="cs"/>
          <w:rtl/>
        </w:rPr>
        <w:t>,</w:t>
      </w:r>
      <w:r>
        <w:rPr>
          <w:rFonts w:cs="Arial"/>
          <w:rtl/>
        </w:rPr>
        <w:t xml:space="preserve"> דא</w:t>
      </w:r>
      <w:r>
        <w:rPr>
          <w:rFonts w:cs="Arial" w:hint="cs"/>
          <w:rtl/>
        </w:rPr>
        <w:t>"</w:t>
      </w:r>
      <w:r>
        <w:rPr>
          <w:rFonts w:cs="Arial"/>
          <w:rtl/>
        </w:rPr>
        <w:t>כ יכולין העדים להסתלק מליטול חלק מאותו מנה</w:t>
      </w:r>
      <w:r>
        <w:rPr>
          <w:rFonts w:cs="Arial" w:hint="cs"/>
          <w:rtl/>
        </w:rPr>
        <w:t>,</w:t>
      </w:r>
      <w:r>
        <w:rPr>
          <w:rFonts w:cs="Arial"/>
          <w:rtl/>
        </w:rPr>
        <w:t xml:space="preserve"> אלא הכא במאי עסקינן בשאמר תנו מנה לבני עירי שיקנו בו ספר תורה או שאר צרכי העיר דהשתא א</w:t>
      </w:r>
      <w:r>
        <w:rPr>
          <w:rFonts w:cs="Arial" w:hint="cs"/>
          <w:rtl/>
        </w:rPr>
        <w:t>"</w:t>
      </w:r>
      <w:r>
        <w:rPr>
          <w:rFonts w:cs="Arial"/>
          <w:rtl/>
        </w:rPr>
        <w:t>א להם להסתלק מהספר תורה או משאר צרכי העיר</w:t>
      </w:r>
      <w:r>
        <w:rPr>
          <w:rFonts w:cs="Arial" w:hint="cs"/>
          <w:rtl/>
        </w:rPr>
        <w:t>.</w:t>
      </w:r>
      <w:r>
        <w:rPr>
          <w:rFonts w:cs="Arial"/>
          <w:rtl/>
        </w:rPr>
        <w:t xml:space="preserve"> ובדין הוא דהוה ליה למימר </w:t>
      </w:r>
      <w:r>
        <w:rPr>
          <w:rFonts w:cs="Arial" w:hint="cs"/>
          <w:rtl/>
        </w:rPr>
        <w:t>'</w:t>
      </w:r>
      <w:r>
        <w:rPr>
          <w:rFonts w:cs="Arial"/>
          <w:rtl/>
        </w:rPr>
        <w:t>הכא במאי עסקינן בצרכי העיר</w:t>
      </w:r>
      <w:r>
        <w:rPr>
          <w:rFonts w:cs="Arial" w:hint="cs"/>
          <w:rtl/>
        </w:rPr>
        <w:t>',</w:t>
      </w:r>
      <w:r>
        <w:rPr>
          <w:rFonts w:cs="Arial"/>
          <w:rtl/>
        </w:rPr>
        <w:t xml:space="preserve"> אלא איידי דבברייתא קמייתא קתני בני העיר שנגנב ספר תורה שלהם נקט באוקימתא דאידך ברייתא ספר תורה. ולפי זה הא דקאמר </w:t>
      </w:r>
      <w:r>
        <w:rPr>
          <w:rFonts w:cs="Arial" w:hint="cs"/>
          <w:rtl/>
        </w:rPr>
        <w:t>'</w:t>
      </w:r>
      <w:r>
        <w:rPr>
          <w:rFonts w:cs="Arial"/>
          <w:rtl/>
        </w:rPr>
        <w:t>שאני ספר תורה דלשמיעה קאי</w:t>
      </w:r>
      <w:r>
        <w:rPr>
          <w:rFonts w:cs="Arial" w:hint="cs"/>
          <w:rtl/>
        </w:rPr>
        <w:t>'</w:t>
      </w:r>
      <w:r>
        <w:rPr>
          <w:rFonts w:cs="Arial"/>
          <w:rtl/>
        </w:rPr>
        <w:t xml:space="preserve"> לאו למימרא דמשום דלשמיעה קאי א</w:t>
      </w:r>
      <w:r>
        <w:rPr>
          <w:rFonts w:cs="Arial" w:hint="cs"/>
          <w:rtl/>
        </w:rPr>
        <w:t>"</w:t>
      </w:r>
      <w:r>
        <w:rPr>
          <w:rFonts w:cs="Arial"/>
          <w:rtl/>
        </w:rPr>
        <w:t>א להסתלק אבל בשאר צרכי העיר שאינן עשויים לשמיעה אפשר להסתלק דהא כיון דצרכי העיר הם אע</w:t>
      </w:r>
      <w:r>
        <w:rPr>
          <w:rFonts w:cs="Arial" w:hint="cs"/>
          <w:rtl/>
        </w:rPr>
        <w:t>"</w:t>
      </w:r>
      <w:r>
        <w:rPr>
          <w:rFonts w:cs="Arial"/>
          <w:rtl/>
        </w:rPr>
        <w:t>פ שאינם עשויים לשמיעה היאך אפשר להם להסתלק מהם</w:t>
      </w:r>
      <w:r>
        <w:rPr>
          <w:rFonts w:cs="Arial" w:hint="cs"/>
          <w:rtl/>
        </w:rPr>
        <w:t>,</w:t>
      </w:r>
      <w:r>
        <w:rPr>
          <w:rFonts w:cs="Arial"/>
          <w:rtl/>
        </w:rPr>
        <w:t xml:space="preserve"> אלא משום דברייתא איירי בספר תורה יהיב טעמא משום דלשמיעה קאי א</w:t>
      </w:r>
      <w:r>
        <w:rPr>
          <w:rFonts w:cs="Arial" w:hint="cs"/>
          <w:rtl/>
        </w:rPr>
        <w:t>"</w:t>
      </w:r>
      <w:r>
        <w:rPr>
          <w:rFonts w:cs="Arial"/>
          <w:rtl/>
        </w:rPr>
        <w:t>א להם להסתלק ממנו ומינה נילף לשאר צרכי העיר שא</w:t>
      </w:r>
      <w:r>
        <w:rPr>
          <w:rFonts w:cs="Arial" w:hint="cs"/>
          <w:rtl/>
        </w:rPr>
        <w:t>"</w:t>
      </w:r>
      <w:r>
        <w:rPr>
          <w:rFonts w:cs="Arial"/>
          <w:rtl/>
        </w:rPr>
        <w:t>א להם להסתלק מהם</w:t>
      </w:r>
      <w:r>
        <w:rPr>
          <w:rFonts w:cs="Arial" w:hint="cs"/>
          <w:rtl/>
        </w:rPr>
        <w:t>.</w:t>
      </w:r>
      <w:r>
        <w:rPr>
          <w:rFonts w:cs="Arial"/>
          <w:rtl/>
        </w:rPr>
        <w:t xml:space="preserve"> משא</w:t>
      </w:r>
      <w:r>
        <w:rPr>
          <w:rFonts w:cs="Arial" w:hint="cs"/>
          <w:rtl/>
        </w:rPr>
        <w:t>"</w:t>
      </w:r>
      <w:r>
        <w:rPr>
          <w:rFonts w:cs="Arial"/>
          <w:rtl/>
        </w:rPr>
        <w:t>כ בשותפין שאפשר לו להסתלק מאותה שדה</w:t>
      </w:r>
      <w:r>
        <w:rPr>
          <w:rFonts w:cs="Arial" w:hint="cs"/>
          <w:rtl/>
        </w:rPr>
        <w:t>.</w:t>
      </w:r>
    </w:p>
  </w:footnote>
  <w:footnote w:id="2786">
    <w:p w14:paraId="7A093C20" w14:textId="77777777" w:rsidR="0013116F" w:rsidRDefault="0013116F" w:rsidP="004B607F">
      <w:pPr>
        <w:pStyle w:val="a9"/>
      </w:pPr>
      <w:r>
        <w:rPr>
          <w:rStyle w:val="ab"/>
        </w:rPr>
        <w:footnoteRef/>
      </w:r>
      <w:r>
        <w:rPr>
          <w:rtl/>
        </w:rPr>
        <w:t xml:space="preserve"> </w:t>
      </w:r>
      <w:r>
        <w:rPr>
          <w:rFonts w:cs="Arial" w:hint="cs"/>
          <w:rtl/>
        </w:rPr>
        <w:t>כתב הש"ך (סקל"ב) ש</w:t>
      </w:r>
      <w:r w:rsidRPr="00ED00E9">
        <w:rPr>
          <w:rFonts w:cs="Arial"/>
          <w:rtl/>
        </w:rPr>
        <w:t xml:space="preserve">דעת </w:t>
      </w:r>
      <w:r>
        <w:rPr>
          <w:rFonts w:cs="Arial" w:hint="cs"/>
          <w:rtl/>
        </w:rPr>
        <w:t>התוס' ו</w:t>
      </w:r>
      <w:r w:rsidRPr="00ED00E9">
        <w:rPr>
          <w:rFonts w:cs="Arial"/>
          <w:rtl/>
        </w:rPr>
        <w:t>רבינו ברוך ומהר"מ והגה</w:t>
      </w:r>
      <w:r>
        <w:rPr>
          <w:rFonts w:cs="Arial" w:hint="cs"/>
          <w:rtl/>
        </w:rPr>
        <w:t xml:space="preserve">"מ </w:t>
      </w:r>
      <w:r w:rsidRPr="00ED00E9">
        <w:rPr>
          <w:rFonts w:cs="Arial"/>
          <w:rtl/>
        </w:rPr>
        <w:t>דדוקא בדיינים מהני סילוק ולא בעדות, דבעינן תחילתו וסופו בכשרות, והלכך כיון דבשעת ראיית העדות היה פסול לא מהני השתא סילוק</w:t>
      </w:r>
      <w:r>
        <w:rPr>
          <w:rFonts w:cs="Arial" w:hint="cs"/>
          <w:rtl/>
        </w:rPr>
        <w:t>.</w:t>
      </w:r>
      <w:r w:rsidRPr="00ED00E9">
        <w:rPr>
          <w:rFonts w:cs="Arial"/>
          <w:rtl/>
        </w:rPr>
        <w:t xml:space="preserve"> וכתב דאע"ג דכתב הב"י דנקטינן כרוב הפוסקים, מ"מ כיון דקי"ל דמוחזק יכול לומר קים לי, </w:t>
      </w:r>
      <w:r>
        <w:rPr>
          <w:rFonts w:cs="Arial" w:hint="cs"/>
          <w:rtl/>
        </w:rPr>
        <w:t>ו</w:t>
      </w:r>
      <w:r w:rsidRPr="00ED00E9">
        <w:rPr>
          <w:rFonts w:cs="Arial"/>
          <w:rtl/>
        </w:rPr>
        <w:t>רק במקום שהמסייע הוא יחיד אינו יכול לומר קים לי</w:t>
      </w:r>
      <w:r>
        <w:rPr>
          <w:rFonts w:cs="Arial" w:hint="cs"/>
          <w:rtl/>
        </w:rPr>
        <w:t>. (ועיין בב"י ס"ס לג סע' לט)</w:t>
      </w:r>
    </w:p>
  </w:footnote>
  <w:footnote w:id="2787">
    <w:p w14:paraId="4F548266" w14:textId="77777777" w:rsidR="0013116F" w:rsidRDefault="0013116F" w:rsidP="004B607F">
      <w:pPr>
        <w:pStyle w:val="a9"/>
        <w:rPr>
          <w:rtl/>
        </w:rPr>
      </w:pPr>
      <w:r>
        <w:rPr>
          <w:rStyle w:val="ab"/>
        </w:rPr>
        <w:footnoteRef/>
      </w:r>
      <w:r>
        <w:rPr>
          <w:rtl/>
        </w:rPr>
        <w:t xml:space="preserve"> </w:t>
      </w:r>
      <w:r w:rsidRPr="00A279A4">
        <w:rPr>
          <w:rFonts w:cs="Arial"/>
          <w:rtl/>
        </w:rPr>
        <w:t>כתב הסמ"ע (סקנ"ב) כן כתב רבינו ב"י (סעיף יב) בתחילת דבריו לחלק, דברחוב וכיוצא בו מהני סילוק, משא</w:t>
      </w:r>
      <w:r>
        <w:rPr>
          <w:rFonts w:cs="Arial" w:hint="cs"/>
          <w:rtl/>
        </w:rPr>
        <w:t>"</w:t>
      </w:r>
      <w:r w:rsidRPr="00A279A4">
        <w:rPr>
          <w:rFonts w:cs="Arial"/>
          <w:rtl/>
        </w:rPr>
        <w:t>כ לספר תורה, אבל בסוף חזר בו וסבירא ליה כל שכן הוא, אם לס"ת לא מהני סילוק, מכל שכן לרחוב ומרחץ, ע"כ. ובאמת הא דחזר בו רבינו הב"י היינו בדעת הטור, דהוא סבירא ליה דגם ברחוב לא מהני סילוק, לכן סבירא ליה בדעתו דכ"ש הוא מן ס"ת, אבל בדברי הרמב"ם (פט"ו מעדות ה"א) דכתב ברחוב מהני סילוק ובס"ת לא מהני, ש"מ דסבירא ליה לחלק, דס"ת לשמיעה לא מהני סילוק, משא"כ שאר צורכי עיר, והמחבר בשו"ע גריר אחר דעת ולשון הרמב"ם ז"ל, והרמ"א דכתב וי"א, הוא דעת הטור</w:t>
      </w:r>
      <w:r>
        <w:rPr>
          <w:rFonts w:cs="Arial" w:hint="cs"/>
          <w:rtl/>
        </w:rPr>
        <w:t>, אורים (סקנ"ו)</w:t>
      </w:r>
      <w:r w:rsidRPr="00A279A4">
        <w:rPr>
          <w:rFonts w:cs="Arial"/>
          <w:rtl/>
        </w:rPr>
        <w:t>.</w:t>
      </w:r>
    </w:p>
  </w:footnote>
  <w:footnote w:id="2788">
    <w:p w14:paraId="781B56BF" w14:textId="77777777" w:rsidR="0013116F" w:rsidRDefault="0013116F" w:rsidP="004B607F">
      <w:pPr>
        <w:pStyle w:val="a9"/>
      </w:pPr>
      <w:r>
        <w:rPr>
          <w:rStyle w:val="ab"/>
        </w:rPr>
        <w:footnoteRef/>
      </w:r>
      <w:r>
        <w:rPr>
          <w:rtl/>
        </w:rPr>
        <w:t xml:space="preserve"> </w:t>
      </w:r>
      <w:r>
        <w:rPr>
          <w:rFonts w:hint="cs"/>
          <w:rtl/>
        </w:rPr>
        <w:t xml:space="preserve">וז"ל- </w:t>
      </w:r>
      <w:r w:rsidRPr="003A1061">
        <w:rPr>
          <w:rFonts w:cs="Arial"/>
          <w:rtl/>
        </w:rPr>
        <w:t xml:space="preserve">ואם באים להעיד על ס"ת </w:t>
      </w:r>
      <w:r>
        <w:rPr>
          <w:rFonts w:cs="Arial" w:hint="cs"/>
          <w:rtl/>
        </w:rPr>
        <w:t xml:space="preserve">- </w:t>
      </w:r>
      <w:r w:rsidRPr="003A1061">
        <w:rPr>
          <w:rFonts w:cs="Arial"/>
          <w:rtl/>
        </w:rPr>
        <w:t>לא מהני בה נמי סילוק</w:t>
      </w:r>
      <w:r>
        <w:rPr>
          <w:rFonts w:cs="Arial" w:hint="cs"/>
          <w:rtl/>
        </w:rPr>
        <w:t>,</w:t>
      </w:r>
      <w:r w:rsidRPr="003A1061">
        <w:rPr>
          <w:rFonts w:cs="Arial"/>
          <w:rtl/>
        </w:rPr>
        <w:t xml:space="preserve"> דלשמיעה עבידא וא"א שלא ישמעו אא"כ יש להם ס"ת אחרת בעיר</w:t>
      </w:r>
      <w:r>
        <w:rPr>
          <w:rFonts w:cs="Arial" w:hint="cs"/>
          <w:rtl/>
        </w:rPr>
        <w:t xml:space="preserve">. וכתב הב"י על דבריו- </w:t>
      </w:r>
      <w:r>
        <w:rPr>
          <w:rFonts w:cs="Arial"/>
          <w:rtl/>
        </w:rPr>
        <w:t>ועדיין נשאר לדקדק בדברי רבינו שאחר שכתב דמרחץ ורחוב וכל דבר שהוא צרכי העיר אי אפשר להסתלק כתב (סי"ג) ואם באים להעיד על ספר תורה לא מהני בה נמי סילוק דלשמיעה עבידא וכו'</w:t>
      </w:r>
      <w:r>
        <w:rPr>
          <w:rFonts w:cs="Arial" w:hint="cs"/>
          <w:rtl/>
        </w:rPr>
        <w:t>,</w:t>
      </w:r>
      <w:r>
        <w:rPr>
          <w:rFonts w:cs="Arial"/>
          <w:rtl/>
        </w:rPr>
        <w:t xml:space="preserve"> ותרתי איכא למידק ביה</w:t>
      </w:r>
      <w:r>
        <w:rPr>
          <w:rFonts w:cs="Arial" w:hint="cs"/>
          <w:rtl/>
        </w:rPr>
        <w:t>,</w:t>
      </w:r>
      <w:r>
        <w:rPr>
          <w:rFonts w:cs="Arial"/>
          <w:rtl/>
        </w:rPr>
        <w:t xml:space="preserve"> חדא</w:t>
      </w:r>
      <w:r>
        <w:rPr>
          <w:rFonts w:cs="Arial" w:hint="cs"/>
          <w:rtl/>
        </w:rPr>
        <w:t>,</w:t>
      </w:r>
      <w:r>
        <w:rPr>
          <w:rFonts w:cs="Arial"/>
          <w:rtl/>
        </w:rPr>
        <w:t xml:space="preserve"> דכתב דלשמיעה עבידא דמשמע דעיקר טעמא משום דמידי דתלי בשמיעה הוא</w:t>
      </w:r>
      <w:r>
        <w:rPr>
          <w:rFonts w:cs="Arial" w:hint="cs"/>
          <w:rtl/>
        </w:rPr>
        <w:t>,</w:t>
      </w:r>
      <w:r>
        <w:rPr>
          <w:rFonts w:cs="Arial"/>
          <w:rtl/>
        </w:rPr>
        <w:t xml:space="preserve"> ותו</w:t>
      </w:r>
      <w:r>
        <w:rPr>
          <w:rFonts w:cs="Arial" w:hint="cs"/>
          <w:rtl/>
        </w:rPr>
        <w:t>,</w:t>
      </w:r>
      <w:r>
        <w:rPr>
          <w:rFonts w:cs="Arial"/>
          <w:rtl/>
        </w:rPr>
        <w:t xml:space="preserve"> דקאמר לא מהני בה נמי סילוק דמשמע דספר תורה אתי בתורת סילוק נמי וליתא דאדרבה בגמרא לא אידכר אלא ספר תורה ואנן מייתינן שאר צרכי העיר בתורת סילוק נמי</w:t>
      </w:r>
      <w:r>
        <w:rPr>
          <w:rFonts w:cs="Arial" w:hint="cs"/>
          <w:rtl/>
        </w:rPr>
        <w:t>.</w:t>
      </w:r>
      <w:r>
        <w:rPr>
          <w:rFonts w:cs="Arial"/>
          <w:rtl/>
        </w:rPr>
        <w:t xml:space="preserve"> ונראה לי דמשמע לרבינו דהיינו טעמא דקתני בברייתא בני העיר שנגנב ספר תורה שלהם ולא קתני בני העיר שדנין על מרחץ או רחוב או שאר צרכי העיר משום דהוי סלקא דעתין למימר דבספר תורה יכולים להביא ראיה מבני העיר דלאו מידי דהנאת הגוף הוא ומצות לאו ליהנות ניתנו (ר"ה כח.)</w:t>
      </w:r>
      <w:r>
        <w:rPr>
          <w:rFonts w:cs="Arial" w:hint="cs"/>
          <w:rtl/>
        </w:rPr>
        <w:t>,</w:t>
      </w:r>
      <w:r>
        <w:rPr>
          <w:rFonts w:cs="Arial"/>
          <w:rtl/>
        </w:rPr>
        <w:t xml:space="preserve"> ותו דלאו עשיית מצוה ממש היא אלא שמיעה בעלמא ומשום הכי קאמר דאפילו הכי נוגעים בעדותם הם</w:t>
      </w:r>
      <w:r>
        <w:rPr>
          <w:rFonts w:cs="Arial" w:hint="cs"/>
          <w:rtl/>
        </w:rPr>
        <w:t>,</w:t>
      </w:r>
      <w:r>
        <w:rPr>
          <w:rFonts w:cs="Arial"/>
          <w:rtl/>
        </w:rPr>
        <w:t xml:space="preserve"> ולפי זה הא דקאמר </w:t>
      </w:r>
      <w:r>
        <w:rPr>
          <w:rFonts w:cs="Arial" w:hint="cs"/>
          <w:rtl/>
        </w:rPr>
        <w:t>'</w:t>
      </w:r>
      <w:r>
        <w:rPr>
          <w:rFonts w:cs="Arial"/>
          <w:rtl/>
        </w:rPr>
        <w:t>שאני ספר תורה דלשמיעה קאי</w:t>
      </w:r>
      <w:r>
        <w:rPr>
          <w:rFonts w:cs="Arial" w:hint="cs"/>
          <w:rtl/>
        </w:rPr>
        <w:t>'</w:t>
      </w:r>
      <w:r>
        <w:rPr>
          <w:rFonts w:cs="Arial"/>
          <w:rtl/>
        </w:rPr>
        <w:t xml:space="preserve"> הכי קאמר </w:t>
      </w:r>
      <w:r>
        <w:rPr>
          <w:rFonts w:cs="Arial" w:hint="cs"/>
          <w:rtl/>
        </w:rPr>
        <w:t xml:space="preserve">- </w:t>
      </w:r>
      <w:r>
        <w:rPr>
          <w:rFonts w:cs="Arial"/>
          <w:rtl/>
        </w:rPr>
        <w:t>שאני ספר תורה דאע</w:t>
      </w:r>
      <w:r>
        <w:rPr>
          <w:rFonts w:cs="Arial" w:hint="cs"/>
          <w:rtl/>
        </w:rPr>
        <w:t>"</w:t>
      </w:r>
      <w:r>
        <w:rPr>
          <w:rFonts w:cs="Arial"/>
          <w:rtl/>
        </w:rPr>
        <w:t>ג דלא קאי אלא לשמיעה בעלמא נוגעים בעדותם הם וא</w:t>
      </w:r>
      <w:r>
        <w:rPr>
          <w:rFonts w:cs="Arial" w:hint="cs"/>
          <w:rtl/>
        </w:rPr>
        <w:t>"</w:t>
      </w:r>
      <w:r>
        <w:rPr>
          <w:rFonts w:cs="Arial"/>
          <w:rtl/>
        </w:rPr>
        <w:t>א להם להסתלק וכל שכן לשאר צרכי העיר שיש בהם הנאה ממש לגוף וא</w:t>
      </w:r>
      <w:r>
        <w:rPr>
          <w:rFonts w:cs="Arial" w:hint="cs"/>
          <w:rtl/>
        </w:rPr>
        <w:t>"</w:t>
      </w:r>
      <w:r>
        <w:rPr>
          <w:rFonts w:cs="Arial"/>
          <w:rtl/>
        </w:rPr>
        <w:t>א להסתלק דנוגעים בעדותם הם</w:t>
      </w:r>
      <w:r>
        <w:rPr>
          <w:rFonts w:cs="Arial" w:hint="cs"/>
          <w:rtl/>
        </w:rPr>
        <w:t>.</w:t>
      </w:r>
    </w:p>
  </w:footnote>
  <w:footnote w:id="2789">
    <w:p w14:paraId="4BDBD978" w14:textId="77777777" w:rsidR="0013116F" w:rsidRDefault="0013116F" w:rsidP="004B607F">
      <w:pPr>
        <w:pStyle w:val="a9"/>
      </w:pPr>
      <w:r>
        <w:rPr>
          <w:rStyle w:val="ab"/>
        </w:rPr>
        <w:footnoteRef/>
      </w:r>
      <w:r>
        <w:rPr>
          <w:rtl/>
        </w:rPr>
        <w:t xml:space="preserve"> </w:t>
      </w:r>
      <w:r>
        <w:rPr>
          <w:rFonts w:cs="Arial" w:hint="cs"/>
          <w:rtl/>
        </w:rPr>
        <w:t xml:space="preserve">וכתב הב"י דהרא"ש כתב כן לגבי </w:t>
      </w:r>
      <w:r>
        <w:rPr>
          <w:rFonts w:cs="Arial"/>
          <w:rtl/>
        </w:rPr>
        <w:t>ספר תורה ומ</w:t>
      </w:r>
      <w:r>
        <w:rPr>
          <w:rFonts w:cs="Arial" w:hint="cs"/>
          <w:rtl/>
        </w:rPr>
        <w:t>זה</w:t>
      </w:r>
      <w:r>
        <w:rPr>
          <w:rFonts w:cs="Arial"/>
          <w:rtl/>
        </w:rPr>
        <w:t xml:space="preserve"> נלמוד לשאר צרכי העיר</w:t>
      </w:r>
      <w:r>
        <w:rPr>
          <w:rFonts w:cs="Arial" w:hint="cs"/>
          <w:rtl/>
        </w:rPr>
        <w:t>. וכתב עוד הב"י</w:t>
      </w:r>
      <w:r>
        <w:rPr>
          <w:rFonts w:cs="Arial"/>
          <w:rtl/>
        </w:rPr>
        <w:t xml:space="preserve"> </w:t>
      </w:r>
      <w:r>
        <w:rPr>
          <w:rFonts w:cs="Arial" w:hint="cs"/>
          <w:rtl/>
        </w:rPr>
        <w:t>ל</w:t>
      </w:r>
      <w:r>
        <w:rPr>
          <w:rFonts w:cs="Arial"/>
          <w:rtl/>
        </w:rPr>
        <w:t>עיין במה שכתב בסימן ז' (סט"ז)</w:t>
      </w:r>
      <w:r>
        <w:rPr>
          <w:rFonts w:cs="Arial" w:hint="cs"/>
          <w:rtl/>
        </w:rPr>
        <w:t>.</w:t>
      </w:r>
    </w:p>
  </w:footnote>
  <w:footnote w:id="2790">
    <w:p w14:paraId="4C32A2A4" w14:textId="77777777" w:rsidR="0013116F" w:rsidRDefault="0013116F" w:rsidP="004B607F">
      <w:pPr>
        <w:pStyle w:val="a9"/>
      </w:pPr>
      <w:r>
        <w:rPr>
          <w:rStyle w:val="ab"/>
        </w:rPr>
        <w:footnoteRef/>
      </w:r>
      <w:r>
        <w:rPr>
          <w:rtl/>
        </w:rPr>
        <w:t xml:space="preserve"> </w:t>
      </w:r>
      <w:r w:rsidRPr="00765F54">
        <w:rPr>
          <w:rFonts w:cs="Arial"/>
          <w:rtl/>
        </w:rPr>
        <w:t>ואז אפילו סילוק א"צ ויכול לשמוע ולקרות מאותו ס"ת, כיון דאפשר לו לשמוע ולקרות מס"ת אחרת ומצוות לאו ליהנות נתנו. וכ"כ הרא"</w:t>
      </w:r>
      <w:r>
        <w:rPr>
          <w:rFonts w:cs="Arial" w:hint="cs"/>
          <w:rtl/>
        </w:rPr>
        <w:t>ש</w:t>
      </w:r>
      <w:r w:rsidRPr="00765F54">
        <w:rPr>
          <w:rFonts w:cs="Arial"/>
          <w:rtl/>
        </w:rPr>
        <w:t xml:space="preserve"> </w:t>
      </w:r>
      <w:r>
        <w:rPr>
          <w:rFonts w:cs="Arial" w:hint="cs"/>
          <w:rtl/>
        </w:rPr>
        <w:t>(</w:t>
      </w:r>
      <w:r w:rsidRPr="00765F54">
        <w:rPr>
          <w:rFonts w:cs="Arial"/>
          <w:rtl/>
        </w:rPr>
        <w:t>כלל ג סי' יג</w:t>
      </w:r>
      <w:r>
        <w:rPr>
          <w:rFonts w:cs="Arial" w:hint="cs"/>
          <w:rtl/>
        </w:rPr>
        <w:t>)</w:t>
      </w:r>
      <w:r w:rsidRPr="00765F54">
        <w:rPr>
          <w:rFonts w:cs="Arial"/>
          <w:rtl/>
        </w:rPr>
        <w:t>. ולפי זה מ"ש מור"ם, וה"ה כל כיוצא בזה כגון ב"ה כו', אינו דומה ממש לס"ת, דהא כבר כתבתי לעיל סימן ז' [סקכ"ח] בשם רי</w:t>
      </w:r>
      <w:r>
        <w:rPr>
          <w:rFonts w:cs="Arial" w:hint="cs"/>
          <w:rtl/>
        </w:rPr>
        <w:t>"ו</w:t>
      </w:r>
      <w:r w:rsidRPr="00765F54">
        <w:rPr>
          <w:rFonts w:cs="Arial"/>
          <w:rtl/>
        </w:rPr>
        <w:t xml:space="preserve"> דבית הכנסת צריך סילוק אע</w:t>
      </w:r>
      <w:r>
        <w:rPr>
          <w:rFonts w:cs="Arial" w:hint="cs"/>
          <w:rtl/>
        </w:rPr>
        <w:t>"</w:t>
      </w:r>
      <w:r w:rsidRPr="00765F54">
        <w:rPr>
          <w:rFonts w:cs="Arial"/>
          <w:rtl/>
        </w:rPr>
        <w:t>פ שיש אחרת ע"ש, ועיין פרישה סע</w:t>
      </w:r>
      <w:r>
        <w:rPr>
          <w:rFonts w:cs="Arial" w:hint="cs"/>
          <w:rtl/>
        </w:rPr>
        <w:t>'</w:t>
      </w:r>
      <w:r w:rsidRPr="00765F54">
        <w:rPr>
          <w:rFonts w:cs="Arial"/>
          <w:rtl/>
        </w:rPr>
        <w:t xml:space="preserve"> י</w:t>
      </w:r>
      <w:r>
        <w:rPr>
          <w:rFonts w:cs="Arial" w:hint="cs"/>
          <w:rtl/>
        </w:rPr>
        <w:t>ג, סמ"ע (סקנ"ג).</w:t>
      </w:r>
    </w:p>
  </w:footnote>
  <w:footnote w:id="2791">
    <w:p w14:paraId="4D964372" w14:textId="77777777" w:rsidR="0013116F" w:rsidRDefault="0013116F" w:rsidP="004B607F">
      <w:pPr>
        <w:pStyle w:val="a9"/>
      </w:pPr>
      <w:r>
        <w:rPr>
          <w:rStyle w:val="ab"/>
        </w:rPr>
        <w:footnoteRef/>
      </w:r>
      <w:r>
        <w:rPr>
          <w:rtl/>
        </w:rPr>
        <w:t xml:space="preserve"> </w:t>
      </w:r>
      <w:r w:rsidRPr="00A279A4">
        <w:rPr>
          <w:rFonts w:cs="Arial"/>
          <w:rtl/>
        </w:rPr>
        <w:t>או כלי קדש ותפוחי זהב שהן נויי ס"ת וכיוצא בזה, כן הוא בתשובות מהרשד"ם [חו"מ סי</w:t>
      </w:r>
      <w:r>
        <w:rPr>
          <w:rFonts w:cs="Arial" w:hint="cs"/>
          <w:rtl/>
        </w:rPr>
        <w:t>'</w:t>
      </w:r>
      <w:r w:rsidRPr="00A279A4">
        <w:rPr>
          <w:rFonts w:cs="Arial"/>
          <w:rtl/>
        </w:rPr>
        <w:t xml:space="preserve"> טז</w:t>
      </w:r>
      <w:r>
        <w:rPr>
          <w:rFonts w:cs="Arial" w:hint="cs"/>
          <w:rtl/>
        </w:rPr>
        <w:t>], ש"ך (סקל"ג).</w:t>
      </w:r>
    </w:p>
  </w:footnote>
  <w:footnote w:id="2792">
    <w:p w14:paraId="18A64C66" w14:textId="77777777" w:rsidR="0013116F" w:rsidRDefault="0013116F" w:rsidP="004B607F">
      <w:pPr>
        <w:pStyle w:val="a9"/>
      </w:pPr>
      <w:r>
        <w:rPr>
          <w:rStyle w:val="ab"/>
        </w:rPr>
        <w:footnoteRef/>
      </w:r>
      <w:r>
        <w:rPr>
          <w:rtl/>
        </w:rPr>
        <w:t xml:space="preserve"> </w:t>
      </w:r>
      <w:r>
        <w:rPr>
          <w:rFonts w:hint="cs"/>
          <w:rtl/>
        </w:rPr>
        <w:t xml:space="preserve">סימן </w:t>
      </w:r>
      <w:r>
        <w:rPr>
          <w:rtl/>
        </w:rPr>
        <w:t>–</w:t>
      </w:r>
      <w:r>
        <w:rPr>
          <w:rFonts w:hint="cs"/>
          <w:rtl/>
        </w:rPr>
        <w:t xml:space="preserve"> מגע. וכן </w:t>
      </w:r>
      <w:r>
        <w:rPr>
          <w:rtl/>
        </w:rPr>
        <w:t>–</w:t>
      </w:r>
      <w:r>
        <w:rPr>
          <w:rFonts w:hint="cs"/>
          <w:rtl/>
        </w:rPr>
        <w:t xml:space="preserve"> מסלק גרמי.</w:t>
      </w:r>
    </w:p>
  </w:footnote>
  <w:footnote w:id="2793">
    <w:p w14:paraId="3ECDB2AE" w14:textId="77777777" w:rsidR="0013116F" w:rsidRDefault="0013116F" w:rsidP="004B607F">
      <w:pPr>
        <w:pStyle w:val="a9"/>
        <w:rPr>
          <w:rtl/>
        </w:rPr>
      </w:pPr>
      <w:r>
        <w:rPr>
          <w:rStyle w:val="ab"/>
        </w:rPr>
        <w:footnoteRef/>
      </w:r>
      <w:r>
        <w:rPr>
          <w:rtl/>
        </w:rPr>
        <w:t xml:space="preserve"> </w:t>
      </w:r>
      <w:r>
        <w:rPr>
          <w:rFonts w:cs="Arial" w:hint="cs"/>
          <w:rtl/>
        </w:rPr>
        <w:t>הא דאמרה הגמ' ב</w:t>
      </w:r>
      <w:r>
        <w:rPr>
          <w:rFonts w:cs="Arial"/>
          <w:rtl/>
        </w:rPr>
        <w:t>עניי דרמו עלייהו היינו דקבילו אנפשייהו למיזן ולפרנס עניים דידהו אי נמי היכא דנהוג למיכף על הצדקה אע</w:t>
      </w:r>
      <w:r>
        <w:rPr>
          <w:rFonts w:cs="Arial" w:hint="cs"/>
          <w:rtl/>
        </w:rPr>
        <w:t>"</w:t>
      </w:r>
      <w:r>
        <w:rPr>
          <w:rFonts w:cs="Arial"/>
          <w:rtl/>
        </w:rPr>
        <w:t>ג דלא קבילו אנפשייהו למיזן ולפרנוסי להו אבל היכא דלא קבילו עלייהו למיזן ולפרנוסי להו ולא כייפי אצדקה כלל ולא ברירא מלתא דאינהו קדימי במזונייהו וכסותייהו ומאן דיהיב מידי בדרך צדקה יהיב להו ואי לא בעי למיתן כלל לא כייפינן להו הני ודאי לאו נוגעין בעדותן הן ומקבלים סהדותייהו</w:t>
      </w:r>
      <w:r>
        <w:rPr>
          <w:rFonts w:cs="Arial" w:hint="cs"/>
          <w:rtl/>
        </w:rPr>
        <w:t>,</w:t>
      </w:r>
      <w:r w:rsidRPr="007D3DCB">
        <w:rPr>
          <w:rFonts w:cs="Arial"/>
          <w:rtl/>
        </w:rPr>
        <w:t xml:space="preserve"> </w:t>
      </w:r>
      <w:r>
        <w:rPr>
          <w:rFonts w:cs="Arial"/>
          <w:rtl/>
        </w:rPr>
        <w:t>נמוק</w:t>
      </w:r>
      <w:r>
        <w:rPr>
          <w:rFonts w:cs="Arial" w:hint="cs"/>
          <w:rtl/>
        </w:rPr>
        <w:t>"</w:t>
      </w:r>
      <w:r>
        <w:rPr>
          <w:rFonts w:cs="Arial"/>
          <w:rtl/>
        </w:rPr>
        <w:t>י</w:t>
      </w:r>
      <w:r w:rsidRPr="00BC2353">
        <w:rPr>
          <w:rFonts w:cs="Arial"/>
          <w:sz w:val="16"/>
          <w:szCs w:val="16"/>
          <w:rtl/>
        </w:rPr>
        <w:t xml:space="preserve"> (כג. ד"ה גרסי' בגמ' האומר)</w:t>
      </w:r>
      <w:r>
        <w:rPr>
          <w:rFonts w:cs="Arial" w:hint="cs"/>
          <w:rtl/>
        </w:rPr>
        <w:t>.</w:t>
      </w:r>
    </w:p>
  </w:footnote>
  <w:footnote w:id="2794">
    <w:p w14:paraId="744C9DF1" w14:textId="77777777" w:rsidR="0013116F" w:rsidRDefault="0013116F" w:rsidP="004B607F">
      <w:pPr>
        <w:pStyle w:val="a9"/>
        <w:rPr>
          <w:rtl/>
        </w:rPr>
      </w:pPr>
      <w:r>
        <w:rPr>
          <w:rStyle w:val="ab"/>
        </w:rPr>
        <w:footnoteRef/>
      </w:r>
      <w:r>
        <w:rPr>
          <w:rtl/>
        </w:rPr>
        <w:t xml:space="preserve"> </w:t>
      </w:r>
      <w:r>
        <w:rPr>
          <w:rFonts w:cs="Arial"/>
          <w:rtl/>
        </w:rPr>
        <w:t>כמה יש לתת לכל אחד מבני העיר לצורך עניי העיר לכל שנה</w:t>
      </w:r>
      <w:r>
        <w:rPr>
          <w:rFonts w:hint="cs"/>
          <w:rtl/>
        </w:rPr>
        <w:t>, רשב"ם.</w:t>
      </w:r>
    </w:p>
  </w:footnote>
  <w:footnote w:id="2795">
    <w:p w14:paraId="3A54137F" w14:textId="77777777" w:rsidR="0013116F" w:rsidRDefault="0013116F" w:rsidP="004B607F">
      <w:pPr>
        <w:pStyle w:val="a9"/>
        <w:rPr>
          <w:rtl/>
        </w:rPr>
      </w:pPr>
      <w:r>
        <w:rPr>
          <w:rStyle w:val="ab"/>
        </w:rPr>
        <w:footnoteRef/>
      </w:r>
      <w:r>
        <w:rPr>
          <w:rtl/>
        </w:rPr>
        <w:t xml:space="preserve"> </w:t>
      </w:r>
      <w:r>
        <w:rPr>
          <w:rFonts w:cs="Arial"/>
          <w:rtl/>
        </w:rPr>
        <w:t>אלא לפי מחסורם ולכשיכלה המנה הם צריכים לתת אשר יחסר להם</w:t>
      </w:r>
      <w:r>
        <w:rPr>
          <w:rFonts w:hint="cs"/>
          <w:rtl/>
        </w:rPr>
        <w:t>, רשב"ם.</w:t>
      </w:r>
    </w:p>
  </w:footnote>
  <w:footnote w:id="2796">
    <w:p w14:paraId="467CCD2C" w14:textId="77777777" w:rsidR="0013116F" w:rsidRDefault="0013116F" w:rsidP="004B607F">
      <w:pPr>
        <w:pStyle w:val="a9"/>
        <w:rPr>
          <w:rtl/>
        </w:rPr>
      </w:pPr>
      <w:r>
        <w:rPr>
          <w:rStyle w:val="ab"/>
        </w:rPr>
        <w:footnoteRef/>
      </w:r>
      <w:r>
        <w:rPr>
          <w:rtl/>
        </w:rPr>
        <w:t xml:space="preserve"> </w:t>
      </w:r>
      <w:r>
        <w:rPr>
          <w:rFonts w:cs="Arial"/>
          <w:rtl/>
        </w:rPr>
        <w:t>במנה זו רווח ואפילו אם יתנו עתה לסוף נהנים הן</w:t>
      </w:r>
      <w:r>
        <w:rPr>
          <w:rFonts w:hint="cs"/>
          <w:rtl/>
        </w:rPr>
        <w:t>, רשב"ם.</w:t>
      </w:r>
    </w:p>
  </w:footnote>
  <w:footnote w:id="2797">
    <w:p w14:paraId="3CD7E940" w14:textId="77777777" w:rsidR="0013116F" w:rsidRDefault="0013116F" w:rsidP="004B607F">
      <w:pPr>
        <w:pStyle w:val="a9"/>
      </w:pPr>
      <w:r>
        <w:rPr>
          <w:rStyle w:val="ab"/>
        </w:rPr>
        <w:footnoteRef/>
      </w:r>
      <w:r>
        <w:rPr>
          <w:rtl/>
        </w:rPr>
        <w:t xml:space="preserve"> </w:t>
      </w:r>
      <w:r>
        <w:rPr>
          <w:rFonts w:cs="Arial" w:hint="cs"/>
          <w:rtl/>
        </w:rPr>
        <w:t xml:space="preserve">וז"ל- </w:t>
      </w:r>
      <w:r w:rsidRPr="00BC2353">
        <w:rPr>
          <w:rFonts w:cs="Arial"/>
          <w:rtl/>
        </w:rPr>
        <w:t>מי שחייב מנה לעניי העיר</w:t>
      </w:r>
      <w:r>
        <w:rPr>
          <w:rFonts w:cs="Arial" w:hint="cs"/>
          <w:rtl/>
        </w:rPr>
        <w:t>,</w:t>
      </w:r>
      <w:r w:rsidRPr="00BC2353">
        <w:rPr>
          <w:rFonts w:cs="Arial"/>
          <w:rtl/>
        </w:rPr>
        <w:t xml:space="preserve"> אם עניי העיר סומכין עליהם</w:t>
      </w:r>
      <w:r>
        <w:rPr>
          <w:rFonts w:cs="Arial" w:hint="cs"/>
          <w:rtl/>
        </w:rPr>
        <w:t>,</w:t>
      </w:r>
      <w:r w:rsidRPr="00BC2353">
        <w:rPr>
          <w:rFonts w:cs="Arial"/>
          <w:rtl/>
        </w:rPr>
        <w:t xml:space="preserve"> ורגילין לפסוק להן צדקה בכל עת</w:t>
      </w:r>
      <w:r>
        <w:rPr>
          <w:rFonts w:cs="Arial" w:hint="cs"/>
          <w:sz w:val="16"/>
          <w:szCs w:val="16"/>
          <w:rtl/>
        </w:rPr>
        <w:t xml:space="preserve"> {</w:t>
      </w:r>
      <w:r w:rsidRPr="00DF46DB">
        <w:rPr>
          <w:rFonts w:cs="Arial"/>
          <w:sz w:val="16"/>
          <w:szCs w:val="16"/>
          <w:rtl/>
        </w:rPr>
        <w:t>אין הכוונה לומר דלא קיץ להו שאם כן היאך כתב אפילו אמרו שנים אנו ניתן הדבר הקצוב הא אוקמה בדלא קיץ להו אלא הוא פירוש למה שאמרו בעניי דרמו עלייהו</w:t>
      </w:r>
      <w:r w:rsidRPr="00DF46DB">
        <w:rPr>
          <w:rFonts w:cs="Arial" w:hint="cs"/>
          <w:sz w:val="16"/>
          <w:szCs w:val="16"/>
          <w:rtl/>
        </w:rPr>
        <w:t>, ב"י</w:t>
      </w:r>
      <w:r>
        <w:rPr>
          <w:rFonts w:cs="Arial" w:hint="cs"/>
          <w:sz w:val="16"/>
          <w:szCs w:val="16"/>
          <w:rtl/>
        </w:rPr>
        <w:t>}</w:t>
      </w:r>
      <w:r>
        <w:rPr>
          <w:rFonts w:cs="Arial" w:hint="cs"/>
          <w:rtl/>
        </w:rPr>
        <w:t xml:space="preserve"> -</w:t>
      </w:r>
      <w:r w:rsidRPr="00BC2353">
        <w:rPr>
          <w:rFonts w:cs="Arial"/>
          <w:rtl/>
        </w:rPr>
        <w:t xml:space="preserve"> אין מביאין להן ראיה מאנשי העיר</w:t>
      </w:r>
      <w:r>
        <w:rPr>
          <w:rFonts w:cs="Arial" w:hint="cs"/>
          <w:rtl/>
        </w:rPr>
        <w:t>.</w:t>
      </w:r>
      <w:r w:rsidRPr="00BC2353">
        <w:rPr>
          <w:rFonts w:cs="Arial"/>
          <w:rtl/>
        </w:rPr>
        <w:t xml:space="preserve"> אפילו אמרו ב' מבני העיר אנו ניתן הדבר הקצוב עלינו ונעיד </w:t>
      </w:r>
      <w:r>
        <w:rPr>
          <w:rFonts w:cs="Arial" w:hint="cs"/>
          <w:rtl/>
        </w:rPr>
        <w:t xml:space="preserve">- </w:t>
      </w:r>
      <w:r w:rsidRPr="00BC2353">
        <w:rPr>
          <w:rFonts w:cs="Arial"/>
          <w:rtl/>
        </w:rPr>
        <w:t>אין שומעין להן</w:t>
      </w:r>
      <w:r>
        <w:rPr>
          <w:rFonts w:cs="Arial" w:hint="cs"/>
          <w:rtl/>
        </w:rPr>
        <w:t>,</w:t>
      </w:r>
      <w:r w:rsidRPr="00BC2353">
        <w:rPr>
          <w:rFonts w:cs="Arial"/>
          <w:rtl/>
        </w:rPr>
        <w:t xml:space="preserve"> שהן נהנין במה שיהיה ריוח לענייהם הואיל והן סומכין עליהן</w:t>
      </w:r>
      <w:r>
        <w:rPr>
          <w:rFonts w:cs="Arial" w:hint="cs"/>
          <w:rtl/>
        </w:rPr>
        <w:t>.</w:t>
      </w:r>
    </w:p>
  </w:footnote>
  <w:footnote w:id="2798">
    <w:p w14:paraId="421C150A" w14:textId="77777777" w:rsidR="0013116F" w:rsidRDefault="0013116F" w:rsidP="004B607F">
      <w:pPr>
        <w:pStyle w:val="a9"/>
      </w:pPr>
      <w:r>
        <w:rPr>
          <w:rStyle w:val="ab"/>
        </w:rPr>
        <w:footnoteRef/>
      </w:r>
      <w:r>
        <w:rPr>
          <w:rtl/>
        </w:rPr>
        <w:t xml:space="preserve"> </w:t>
      </w:r>
      <w:r>
        <w:rPr>
          <w:rFonts w:hint="cs"/>
          <w:rtl/>
        </w:rPr>
        <w:t xml:space="preserve">וז"ל רי"ו בשם הרשב"א- </w:t>
      </w:r>
      <w:r w:rsidRPr="000F7F5E">
        <w:rPr>
          <w:rFonts w:cs="Arial"/>
          <w:rtl/>
        </w:rPr>
        <w:t>ועדי הקהל שהם מעידים על התקנות וההקדשות והן נוגעים בעדות כן נהגו בכל קהילות הקדש שאין מביאין עדים ממדינה למדינה כי יש תקנות במקצת מקומות שכל ישראל נכללין בה ואם כן בטלת אותם</w:t>
      </w:r>
      <w:r>
        <w:rPr>
          <w:rFonts w:cs="Arial" w:hint="cs"/>
          <w:rtl/>
        </w:rPr>
        <w:t>,</w:t>
      </w:r>
      <w:r w:rsidRPr="000F7F5E">
        <w:rPr>
          <w:rFonts w:cs="Arial"/>
          <w:rtl/>
        </w:rPr>
        <w:t xml:space="preserve"> וכל כיוצא בזה אמרינן בירושלמי </w:t>
      </w:r>
      <w:r w:rsidRPr="000F7F5E">
        <w:rPr>
          <w:rFonts w:cs="Arial"/>
          <w:sz w:val="16"/>
          <w:szCs w:val="16"/>
          <w:rtl/>
        </w:rPr>
        <w:t xml:space="preserve">(מעשר שני פ"ה ה"ב) </w:t>
      </w:r>
      <w:r w:rsidRPr="000F7F5E">
        <w:rPr>
          <w:rFonts w:cs="Arial"/>
          <w:rtl/>
        </w:rPr>
        <w:t>כל הלכה שהיא רופפת בידך צא וראה מה הציבור נוהג ונהוג כן</w:t>
      </w:r>
      <w:r>
        <w:rPr>
          <w:rFonts w:cs="Arial" w:hint="cs"/>
          <w:rtl/>
        </w:rPr>
        <w:t>. עכ"ל.</w:t>
      </w:r>
      <w:r w:rsidRPr="001A07B9">
        <w:rPr>
          <w:rFonts w:cs="Arial"/>
          <w:rtl/>
        </w:rPr>
        <w:t xml:space="preserve"> </w:t>
      </w:r>
      <w:r>
        <w:rPr>
          <w:rFonts w:cs="Arial" w:hint="cs"/>
          <w:rtl/>
        </w:rPr>
        <w:t xml:space="preserve">וז"ל הרשב"א </w:t>
      </w:r>
      <w:r>
        <w:rPr>
          <w:rFonts w:cs="Arial" w:hint="cs"/>
          <w:sz w:val="16"/>
          <w:szCs w:val="16"/>
          <w:rtl/>
        </w:rPr>
        <w:t>(</w:t>
      </w:r>
      <w:r w:rsidRPr="001A07B9">
        <w:rPr>
          <w:rFonts w:cs="Arial"/>
          <w:sz w:val="16"/>
          <w:szCs w:val="16"/>
          <w:rtl/>
        </w:rPr>
        <w:t>ח"א סי' תרפ</w:t>
      </w:r>
      <w:r>
        <w:rPr>
          <w:rFonts w:cs="Arial" w:hint="cs"/>
          <w:sz w:val="16"/>
          <w:szCs w:val="16"/>
          <w:rtl/>
        </w:rPr>
        <w:t>)</w:t>
      </w:r>
      <w:r>
        <w:rPr>
          <w:rFonts w:cs="Arial" w:hint="cs"/>
          <w:rtl/>
        </w:rPr>
        <w:t>-</w:t>
      </w:r>
      <w:r w:rsidRPr="001A07B9">
        <w:rPr>
          <w:rFonts w:cs="Arial"/>
          <w:rtl/>
        </w:rPr>
        <w:t xml:space="preserve"> שטר שעשו הברורים ליחידים ואחד מן העדים קרוב לאחד מן הברורים ורצו לפסול השטר מפני כך</w:t>
      </w:r>
      <w:r w:rsidRPr="001A07B9">
        <w:rPr>
          <w:rFonts w:cs="Arial" w:hint="cs"/>
          <w:rtl/>
        </w:rPr>
        <w:t>.</w:t>
      </w:r>
      <w:r w:rsidRPr="001A07B9">
        <w:rPr>
          <w:rFonts w:cs="Arial"/>
          <w:rtl/>
        </w:rPr>
        <w:t xml:space="preserve"> כמה פעמים עמדנו על דבר זה וראינו שלא יהא תיקון לעולם לצרכי ציבור אם נאמר כן וכן אנו נוהגין לעולם בכל ענייני הצבור ואפילו בהקדשות שאם אי אתה אומר כן מי מעיד על אותו הקדש של שני ספרים שהקדיש פלוני</w:t>
      </w:r>
      <w:r>
        <w:rPr>
          <w:rFonts w:cs="Arial" w:hint="cs"/>
          <w:rtl/>
        </w:rPr>
        <w:t>,</w:t>
      </w:r>
      <w:r w:rsidRPr="001A07B9">
        <w:rPr>
          <w:rFonts w:cs="Arial"/>
          <w:rtl/>
        </w:rPr>
        <w:t xml:space="preserve"> ובספר תורה הכל פסולים אצלו ואפילו סילוק אינו מועיל</w:t>
      </w:r>
      <w:r>
        <w:rPr>
          <w:rFonts w:cs="Arial" w:hint="cs"/>
          <w:rtl/>
        </w:rPr>
        <w:t>,</w:t>
      </w:r>
      <w:r w:rsidRPr="001A07B9">
        <w:rPr>
          <w:rFonts w:cs="Arial"/>
          <w:rtl/>
        </w:rPr>
        <w:t xml:space="preserve"> אלא שכך נהגו בכל מקום עכשיו להכשיר פסולי הקורבה בכלל דברים אלו והרי זה כמי שאמר נאמן עלי אבא נאמן עלי אביך.</w:t>
      </w:r>
    </w:p>
  </w:footnote>
  <w:footnote w:id="2799">
    <w:p w14:paraId="4A6003D6" w14:textId="77777777" w:rsidR="0013116F" w:rsidRDefault="0013116F" w:rsidP="004B607F">
      <w:pPr>
        <w:pStyle w:val="a9"/>
        <w:rPr>
          <w:rtl/>
        </w:rPr>
      </w:pPr>
      <w:r>
        <w:rPr>
          <w:rStyle w:val="ab"/>
        </w:rPr>
        <w:footnoteRef/>
      </w:r>
      <w:r>
        <w:rPr>
          <w:rtl/>
        </w:rPr>
        <w:t xml:space="preserve"> </w:t>
      </w:r>
      <w:r w:rsidRPr="000F7F5E">
        <w:rPr>
          <w:rFonts w:cs="Arial"/>
          <w:rtl/>
        </w:rPr>
        <w:t>ועיין בהגהות מיימוני דשייכי להלכות עדות (פי"ג אות א) ובתשובות הריב"ש סימן קס"ח (ד"ה ומה) וקצ"ה (ד"ה ומה)</w:t>
      </w:r>
      <w:r>
        <w:rPr>
          <w:rFonts w:cs="Arial" w:hint="cs"/>
          <w:rtl/>
        </w:rPr>
        <w:t>, ב"י.</w:t>
      </w:r>
      <w:r>
        <w:rPr>
          <w:rFonts w:cs="Arial"/>
          <w:rtl/>
        </w:rPr>
        <w:t xml:space="preserve"> וכן כתבתי לעיל ריש סימן ל"ו (אות ב) בשם תשובת ריב"ש (סי' קצה)</w:t>
      </w:r>
      <w:r>
        <w:rPr>
          <w:rFonts w:cs="Arial" w:hint="cs"/>
          <w:rtl/>
        </w:rPr>
        <w:t>, דרכ"מ (אות א).</w:t>
      </w:r>
    </w:p>
  </w:footnote>
  <w:footnote w:id="2800">
    <w:p w14:paraId="60801576" w14:textId="77777777" w:rsidR="0013116F" w:rsidRDefault="0013116F" w:rsidP="004B607F">
      <w:pPr>
        <w:pStyle w:val="a9"/>
      </w:pPr>
      <w:r>
        <w:rPr>
          <w:rStyle w:val="ab"/>
        </w:rPr>
        <w:footnoteRef/>
      </w:r>
      <w:r>
        <w:rPr>
          <w:rtl/>
        </w:rPr>
        <w:t xml:space="preserve"> </w:t>
      </w:r>
      <w:r w:rsidRPr="0064569C">
        <w:rPr>
          <w:rFonts w:cs="Arial"/>
          <w:rtl/>
        </w:rPr>
        <w:t xml:space="preserve">בזה ישבתי </w:t>
      </w:r>
      <w:r w:rsidRPr="0064569C">
        <w:rPr>
          <w:rFonts w:cs="Arial"/>
          <w:sz w:val="16"/>
          <w:szCs w:val="16"/>
          <w:rtl/>
        </w:rPr>
        <w:t>[</w:t>
      </w:r>
      <w:r>
        <w:rPr>
          <w:rFonts w:cs="Arial" w:hint="cs"/>
          <w:sz w:val="16"/>
          <w:szCs w:val="16"/>
          <w:rtl/>
        </w:rPr>
        <w:t xml:space="preserve">ש"ך יו"ד </w:t>
      </w:r>
      <w:r w:rsidRPr="0064569C">
        <w:rPr>
          <w:rFonts w:cs="Arial"/>
          <w:sz w:val="16"/>
          <w:szCs w:val="16"/>
          <w:rtl/>
        </w:rPr>
        <w:t>סי</w:t>
      </w:r>
      <w:r w:rsidRPr="0064569C">
        <w:rPr>
          <w:rFonts w:cs="Arial" w:hint="cs"/>
          <w:sz w:val="16"/>
          <w:szCs w:val="16"/>
          <w:rtl/>
        </w:rPr>
        <w:t>'</w:t>
      </w:r>
      <w:r w:rsidRPr="0064569C">
        <w:rPr>
          <w:rFonts w:cs="Arial"/>
          <w:sz w:val="16"/>
          <w:szCs w:val="16"/>
          <w:rtl/>
        </w:rPr>
        <w:t xml:space="preserve"> א סק"א] </w:t>
      </w:r>
      <w:r w:rsidRPr="0064569C">
        <w:rPr>
          <w:rFonts w:cs="Arial"/>
          <w:rtl/>
        </w:rPr>
        <w:t xml:space="preserve">דברי האגור </w:t>
      </w:r>
      <w:r w:rsidRPr="0064569C">
        <w:rPr>
          <w:rFonts w:cs="Arial"/>
          <w:sz w:val="16"/>
          <w:szCs w:val="16"/>
          <w:rtl/>
        </w:rPr>
        <w:t xml:space="preserve">[סי' אלף סב] </w:t>
      </w:r>
      <w:r w:rsidRPr="0064569C">
        <w:rPr>
          <w:rFonts w:cs="Arial"/>
          <w:rtl/>
        </w:rPr>
        <w:t>שכת</w:t>
      </w:r>
      <w:r>
        <w:rPr>
          <w:rFonts w:cs="Arial" w:hint="cs"/>
          <w:rtl/>
        </w:rPr>
        <w:t>ב</w:t>
      </w:r>
      <w:r w:rsidRPr="0064569C">
        <w:rPr>
          <w:rFonts w:cs="Arial"/>
          <w:rtl/>
        </w:rPr>
        <w:t xml:space="preserve"> שאין להניח נשים לשחוט שכבר נהגו שלא לשחוט, שהב"י שם השיג עליו דלא ראינו אינה ראיה. ואני כתבתי דבמנהג הוי לא ראינו ראיה וכמ"ש מהרי"ק והר"ב כאן.</w:t>
      </w:r>
      <w:r>
        <w:rPr>
          <w:rFonts w:cs="Arial" w:hint="cs"/>
          <w:rtl/>
        </w:rPr>
        <w:t xml:space="preserve">.., ש"ך </w:t>
      </w:r>
      <w:r w:rsidRPr="0064569C">
        <w:rPr>
          <w:rFonts w:cs="Arial" w:hint="cs"/>
          <w:sz w:val="16"/>
          <w:szCs w:val="16"/>
          <w:rtl/>
        </w:rPr>
        <w:t>(סקל"ח)</w:t>
      </w:r>
      <w:r>
        <w:rPr>
          <w:rFonts w:cs="Arial" w:hint="cs"/>
          <w:rtl/>
        </w:rPr>
        <w:t>.</w:t>
      </w:r>
    </w:p>
  </w:footnote>
  <w:footnote w:id="2801">
    <w:p w14:paraId="2CC43F36" w14:textId="77777777" w:rsidR="0013116F" w:rsidRPr="0049427B" w:rsidRDefault="0013116F" w:rsidP="004B607F">
      <w:pPr>
        <w:pStyle w:val="a9"/>
      </w:pPr>
      <w:r>
        <w:rPr>
          <w:rStyle w:val="ab"/>
        </w:rPr>
        <w:footnoteRef/>
      </w:r>
      <w:r>
        <w:rPr>
          <w:rtl/>
        </w:rPr>
        <w:t xml:space="preserve"> </w:t>
      </w:r>
      <w:r>
        <w:rPr>
          <w:rFonts w:hint="cs"/>
          <w:rtl/>
        </w:rPr>
        <w:t xml:space="preserve">סימן </w:t>
      </w:r>
      <w:r>
        <w:rPr>
          <w:rtl/>
        </w:rPr>
        <w:t>–</w:t>
      </w:r>
      <w:r>
        <w:rPr>
          <w:rFonts w:hint="cs"/>
          <w:rtl/>
        </w:rPr>
        <w:t xml:space="preserve"> מכחישה זו מכחישה זו. וכן - מכחישות זו </w:t>
      </w:r>
      <w:r>
        <w:rPr>
          <w:rFonts w:hint="cs"/>
          <w:sz w:val="16"/>
          <w:szCs w:val="16"/>
          <w:rtl/>
        </w:rPr>
        <w:t>(את זו)</w:t>
      </w:r>
      <w:r>
        <w:rPr>
          <w:rFonts w:hint="cs"/>
          <w:rtl/>
        </w:rPr>
        <w:t>.</w:t>
      </w:r>
    </w:p>
  </w:footnote>
  <w:footnote w:id="2802">
    <w:p w14:paraId="7FB9D14E" w14:textId="77777777" w:rsidR="0013116F" w:rsidRDefault="0013116F" w:rsidP="004B607F">
      <w:pPr>
        <w:pStyle w:val="a9"/>
      </w:pPr>
      <w:r>
        <w:rPr>
          <w:rStyle w:val="ab"/>
        </w:rPr>
        <w:footnoteRef/>
      </w:r>
      <w:r>
        <w:rPr>
          <w:rtl/>
        </w:rPr>
        <w:t xml:space="preserve"> </w:t>
      </w:r>
      <w:r>
        <w:rPr>
          <w:rFonts w:cs="Arial"/>
          <w:rtl/>
        </w:rPr>
        <w:t>בעדות אחרת</w:t>
      </w:r>
      <w:r>
        <w:rPr>
          <w:rFonts w:cs="Arial" w:hint="cs"/>
          <w:rtl/>
        </w:rPr>
        <w:t>,</w:t>
      </w:r>
      <w:r>
        <w:rPr>
          <w:rFonts w:cs="Arial"/>
          <w:rtl/>
        </w:rPr>
        <w:t xml:space="preserve"> וכן זו</w:t>
      </w:r>
      <w:r>
        <w:rPr>
          <w:rFonts w:cs="Arial" w:hint="cs"/>
          <w:rtl/>
        </w:rPr>
        <w:t>,</w:t>
      </w:r>
      <w:r>
        <w:rPr>
          <w:rFonts w:cs="Arial"/>
          <w:rtl/>
        </w:rPr>
        <w:t xml:space="preserve"> ואע</w:t>
      </w:r>
      <w:r>
        <w:rPr>
          <w:rFonts w:cs="Arial" w:hint="cs"/>
          <w:rtl/>
        </w:rPr>
        <w:t>"</w:t>
      </w:r>
      <w:r>
        <w:rPr>
          <w:rFonts w:cs="Arial"/>
          <w:rtl/>
        </w:rPr>
        <w:t xml:space="preserve">פ שהאחת פסולה </w:t>
      </w:r>
      <w:r>
        <w:rPr>
          <w:rFonts w:cs="Arial" w:hint="cs"/>
          <w:rtl/>
        </w:rPr>
        <w:t xml:space="preserve">- </w:t>
      </w:r>
      <w:r>
        <w:rPr>
          <w:rFonts w:cs="Arial"/>
          <w:rtl/>
        </w:rPr>
        <w:t>אין לך לפסול לא זו ולא זו הואיל ואינך יודע איזו מהם פסולה</w:t>
      </w:r>
      <w:r>
        <w:rPr>
          <w:rFonts w:cs="Arial" w:hint="cs"/>
          <w:rtl/>
        </w:rPr>
        <w:t>.</w:t>
      </w:r>
      <w:r>
        <w:rPr>
          <w:rFonts w:cs="Arial"/>
          <w:rtl/>
        </w:rPr>
        <w:t xml:space="preserve"> אבל אחד מכת זו ואחד מכת זו </w:t>
      </w:r>
      <w:r>
        <w:rPr>
          <w:rFonts w:cs="Arial" w:hint="cs"/>
          <w:rtl/>
        </w:rPr>
        <w:t xml:space="preserve">- </w:t>
      </w:r>
      <w:r>
        <w:rPr>
          <w:rFonts w:cs="Arial"/>
          <w:rtl/>
        </w:rPr>
        <w:t>אין נאמנין בעדות אחת</w:t>
      </w:r>
      <w:r>
        <w:rPr>
          <w:rFonts w:cs="Arial" w:hint="cs"/>
          <w:rtl/>
        </w:rPr>
        <w:t>,</w:t>
      </w:r>
      <w:r>
        <w:rPr>
          <w:rFonts w:cs="Arial"/>
          <w:rtl/>
        </w:rPr>
        <w:t xml:space="preserve"> דמה נפשך אחד פסול</w:t>
      </w:r>
      <w:r>
        <w:rPr>
          <w:rFonts w:cs="Arial" w:hint="cs"/>
          <w:rtl/>
        </w:rPr>
        <w:t>,</w:t>
      </w:r>
      <w:r>
        <w:rPr>
          <w:rFonts w:cs="Arial"/>
          <w:rtl/>
        </w:rPr>
        <w:t xml:space="preserve"> והיינו דנקט האי לישנא באה בפני עצמה ומעידה</w:t>
      </w:r>
      <w:r>
        <w:rPr>
          <w:rFonts w:cs="Arial" w:hint="cs"/>
          <w:rtl/>
        </w:rPr>
        <w:t>, רש"י.</w:t>
      </w:r>
    </w:p>
  </w:footnote>
  <w:footnote w:id="2803">
    <w:p w14:paraId="169FA39C" w14:textId="77777777" w:rsidR="0013116F" w:rsidRPr="0049427B" w:rsidRDefault="0013116F" w:rsidP="004B607F">
      <w:pPr>
        <w:pStyle w:val="a9"/>
      </w:pPr>
      <w:r>
        <w:rPr>
          <w:rStyle w:val="ab"/>
        </w:rPr>
        <w:footnoteRef/>
      </w:r>
      <w:r>
        <w:rPr>
          <w:rtl/>
        </w:rPr>
        <w:t xml:space="preserve"> </w:t>
      </w:r>
      <w:r>
        <w:rPr>
          <w:rFonts w:hint="cs"/>
          <w:rtl/>
        </w:rPr>
        <w:t xml:space="preserve">סימן </w:t>
      </w:r>
      <w:r>
        <w:rPr>
          <w:rtl/>
        </w:rPr>
        <w:t>–</w:t>
      </w:r>
      <w:r>
        <w:rPr>
          <w:rFonts w:hint="cs"/>
          <w:rtl/>
        </w:rPr>
        <w:t xml:space="preserve"> הפרטה בהלכאה. וכן </w:t>
      </w:r>
      <w:r>
        <w:rPr>
          <w:rtl/>
        </w:rPr>
        <w:t>–</w:t>
      </w:r>
      <w:r>
        <w:rPr>
          <w:rFonts w:hint="cs"/>
          <w:rtl/>
        </w:rPr>
        <w:t xml:space="preserve"> ה הלכאות ל-ה הוזים.</w:t>
      </w:r>
    </w:p>
  </w:footnote>
  <w:footnote w:id="2804">
    <w:p w14:paraId="05545E55" w14:textId="77777777" w:rsidR="0013116F" w:rsidRDefault="0013116F" w:rsidP="004B607F">
      <w:pPr>
        <w:pStyle w:val="a9"/>
      </w:pPr>
      <w:r>
        <w:rPr>
          <w:rStyle w:val="ab"/>
        </w:rPr>
        <w:footnoteRef/>
      </w:r>
      <w:r>
        <w:rPr>
          <w:rtl/>
        </w:rPr>
        <w:t xml:space="preserve"> </w:t>
      </w:r>
      <w:r>
        <w:rPr>
          <w:rFonts w:hint="cs"/>
          <w:rtl/>
        </w:rPr>
        <w:t xml:space="preserve">סימן </w:t>
      </w:r>
      <w:r>
        <w:rPr>
          <w:rtl/>
        </w:rPr>
        <w:t>–</w:t>
      </w:r>
      <w:r>
        <w:rPr>
          <w:rFonts w:hint="cs"/>
          <w:rtl/>
        </w:rPr>
        <w:t xml:space="preserve"> דהבא דכי</w:t>
      </w:r>
      <w:r>
        <w:rPr>
          <w:rFonts w:hint="cs"/>
          <w:sz w:val="16"/>
          <w:szCs w:val="16"/>
          <w:rtl/>
        </w:rPr>
        <w:t xml:space="preserve"> (זהב טהור </w:t>
      </w:r>
      <w:r>
        <w:rPr>
          <w:sz w:val="16"/>
          <w:szCs w:val="16"/>
          <w:rtl/>
        </w:rPr>
        <w:t>–</w:t>
      </w:r>
      <w:r>
        <w:rPr>
          <w:rFonts w:hint="cs"/>
          <w:sz w:val="16"/>
          <w:szCs w:val="16"/>
          <w:rtl/>
        </w:rPr>
        <w:t xml:space="preserve"> מששילם זהב הרי נטהר)</w:t>
      </w:r>
      <w:r>
        <w:rPr>
          <w:rFonts w:hint="cs"/>
          <w:rtl/>
        </w:rPr>
        <w:t>. וכן - דולר דליה לדורבן.</w:t>
      </w:r>
    </w:p>
  </w:footnote>
  <w:footnote w:id="2805">
    <w:p w14:paraId="10B3A15F" w14:textId="77777777" w:rsidR="0013116F" w:rsidRDefault="0013116F" w:rsidP="004B607F">
      <w:pPr>
        <w:pStyle w:val="a9"/>
      </w:pPr>
      <w:r>
        <w:rPr>
          <w:rStyle w:val="ab"/>
        </w:rPr>
        <w:footnoteRef/>
      </w:r>
      <w:r>
        <w:rPr>
          <w:rtl/>
        </w:rPr>
        <w:t xml:space="preserve"> </w:t>
      </w:r>
      <w:r>
        <w:rPr>
          <w:rFonts w:cs="Arial"/>
          <w:rtl/>
        </w:rPr>
        <w:t>אם העידו בשור המועד שהרג את האדם והוזמו והיו מחייבין את הבעלים כופר</w:t>
      </w:r>
      <w:r>
        <w:rPr>
          <w:rFonts w:cs="Arial" w:hint="cs"/>
          <w:rtl/>
        </w:rPr>
        <w:t>, רש"י.</w:t>
      </w:r>
    </w:p>
  </w:footnote>
  <w:footnote w:id="2806">
    <w:p w14:paraId="56427FB8" w14:textId="77777777" w:rsidR="0013116F" w:rsidRDefault="0013116F" w:rsidP="004B607F">
      <w:pPr>
        <w:pStyle w:val="a9"/>
      </w:pPr>
      <w:r>
        <w:rPr>
          <w:rStyle w:val="ab"/>
        </w:rPr>
        <w:footnoteRef/>
      </w:r>
      <w:r>
        <w:rPr>
          <w:rtl/>
        </w:rPr>
        <w:t xml:space="preserve"> </w:t>
      </w:r>
      <w:r>
        <w:rPr>
          <w:rFonts w:cs="Arial"/>
          <w:rtl/>
        </w:rPr>
        <w:t>אם העידוהו שגנב ואין לו מה לשלם ונגמר דינו לימכר</w:t>
      </w:r>
      <w:r>
        <w:rPr>
          <w:rFonts w:cs="Arial" w:hint="cs"/>
          <w:rtl/>
        </w:rPr>
        <w:t>, רש"י.</w:t>
      </w:r>
    </w:p>
  </w:footnote>
  <w:footnote w:id="2807">
    <w:p w14:paraId="502A9740" w14:textId="77777777" w:rsidR="0013116F" w:rsidRDefault="0013116F" w:rsidP="004B607F">
      <w:pPr>
        <w:pStyle w:val="a9"/>
        <w:rPr>
          <w:rtl/>
        </w:rPr>
      </w:pPr>
      <w:r>
        <w:rPr>
          <w:rStyle w:val="ab"/>
        </w:rPr>
        <w:footnoteRef/>
      </w:r>
      <w:r>
        <w:rPr>
          <w:rtl/>
        </w:rPr>
        <w:t xml:space="preserve"> </w:t>
      </w:r>
      <w:r>
        <w:rPr>
          <w:rFonts w:cs="Arial"/>
          <w:rtl/>
        </w:rPr>
        <w:t>וכי יכול הוא לחזור בו ויפטר הנדון מלשלם</w:t>
      </w:r>
      <w:r>
        <w:rPr>
          <w:rFonts w:hint="cs"/>
          <w:rtl/>
        </w:rPr>
        <w:t>, רש"י.</w:t>
      </w:r>
    </w:p>
  </w:footnote>
  <w:footnote w:id="2808">
    <w:p w14:paraId="0CF95130" w14:textId="77777777" w:rsidR="0013116F" w:rsidRDefault="0013116F" w:rsidP="004B607F">
      <w:pPr>
        <w:pStyle w:val="a9"/>
        <w:rPr>
          <w:rtl/>
        </w:rPr>
      </w:pPr>
      <w:r>
        <w:rPr>
          <w:rStyle w:val="ab"/>
        </w:rPr>
        <w:footnoteRef/>
      </w:r>
      <w:r>
        <w:rPr>
          <w:rtl/>
        </w:rPr>
        <w:t xml:space="preserve"> </w:t>
      </w:r>
      <w:r>
        <w:rPr>
          <w:rFonts w:cs="Arial"/>
          <w:rtl/>
        </w:rPr>
        <w:t>שאינו נאמן על חבירו</w:t>
      </w:r>
      <w:r>
        <w:rPr>
          <w:rFonts w:hint="cs"/>
          <w:rtl/>
        </w:rPr>
        <w:t>, רש"י.</w:t>
      </w:r>
    </w:p>
  </w:footnote>
  <w:footnote w:id="2809">
    <w:p w14:paraId="53AC573B" w14:textId="77777777" w:rsidR="0013116F" w:rsidRDefault="0013116F" w:rsidP="004B607F">
      <w:pPr>
        <w:pStyle w:val="a9"/>
        <w:rPr>
          <w:rtl/>
        </w:rPr>
      </w:pPr>
      <w:r>
        <w:rPr>
          <w:rStyle w:val="ab"/>
        </w:rPr>
        <w:footnoteRef/>
      </w:r>
      <w:r>
        <w:rPr>
          <w:rtl/>
        </w:rPr>
        <w:t xml:space="preserve"> </w:t>
      </w:r>
      <w:r>
        <w:rPr>
          <w:rFonts w:cs="Arial" w:hint="cs"/>
          <w:rtl/>
        </w:rPr>
        <w:t xml:space="preserve">וז"ל- </w:t>
      </w:r>
      <w:r>
        <w:rPr>
          <w:rFonts w:cs="Arial"/>
          <w:rtl/>
        </w:rPr>
        <w:t>עדים שהודו שחתמו שקר מחמת שכרותן נאמנים לגבי עצמן לשלם כל מה שהפסידוהו משום דינא דגרמי</w:t>
      </w:r>
      <w:r>
        <w:rPr>
          <w:rFonts w:cs="Arial" w:hint="cs"/>
          <w:rtl/>
        </w:rPr>
        <w:t>.</w:t>
      </w:r>
    </w:p>
  </w:footnote>
  <w:footnote w:id="2810">
    <w:p w14:paraId="159B6680" w14:textId="77777777" w:rsidR="0013116F" w:rsidRPr="00466942" w:rsidRDefault="0013116F" w:rsidP="004B607F">
      <w:pPr>
        <w:pStyle w:val="a9"/>
        <w:rPr>
          <w:color w:val="FF0000"/>
        </w:rPr>
      </w:pPr>
      <w:r>
        <w:rPr>
          <w:rStyle w:val="ab"/>
        </w:rPr>
        <w:footnoteRef/>
      </w:r>
      <w:r>
        <w:rPr>
          <w:rtl/>
        </w:rPr>
        <w:t xml:space="preserve"> </w:t>
      </w:r>
      <w:r>
        <w:rPr>
          <w:rFonts w:cs="Arial" w:hint="cs"/>
          <w:rtl/>
        </w:rPr>
        <w:t>וכתב הב"י על דברי הטור-</w:t>
      </w:r>
      <w:r w:rsidRPr="000B383C">
        <w:rPr>
          <w:rFonts w:cs="Arial"/>
          <w:rtl/>
        </w:rPr>
        <w:t xml:space="preserve"> כבר נתבאר בסמוך ולא ידעתי למה כתב רבינו זה בשם רבינו חננאל דהא גמרא ערוכה היא (</w:t>
      </w:r>
      <w:r>
        <w:rPr>
          <w:rFonts w:cs="Arial" w:hint="cs"/>
          <w:rtl/>
        </w:rPr>
        <w:t xml:space="preserve">מכות </w:t>
      </w:r>
      <w:r w:rsidRPr="000B383C">
        <w:rPr>
          <w:rFonts w:cs="Arial"/>
          <w:rtl/>
        </w:rPr>
        <w:t>ג.) ואפשר שגירסא אחרת נזדמנה לו שלא היה הדבר כל כך מפורש</w:t>
      </w:r>
      <w:r>
        <w:rPr>
          <w:rFonts w:cs="Arial" w:hint="cs"/>
          <w:rtl/>
        </w:rPr>
        <w:t>.</w:t>
      </w:r>
      <w:r w:rsidRPr="00F83F08">
        <w:rPr>
          <w:rFonts w:cs="Arial"/>
          <w:rtl/>
        </w:rPr>
        <w:t xml:space="preserve"> </w:t>
      </w:r>
      <w:r>
        <w:rPr>
          <w:rFonts w:cs="Arial" w:hint="cs"/>
          <w:rtl/>
        </w:rPr>
        <w:t xml:space="preserve">עכ"ל. וכתב הדרכ"מ </w:t>
      </w:r>
      <w:r w:rsidRPr="000B383C">
        <w:rPr>
          <w:rFonts w:cs="Arial"/>
          <w:sz w:val="16"/>
          <w:szCs w:val="16"/>
          <w:rtl/>
        </w:rPr>
        <w:t>(</w:t>
      </w:r>
      <w:r w:rsidRPr="000B383C">
        <w:rPr>
          <w:rFonts w:cs="Arial" w:hint="cs"/>
          <w:sz w:val="16"/>
          <w:szCs w:val="16"/>
          <w:rtl/>
        </w:rPr>
        <w:t xml:space="preserve">אות </w:t>
      </w:r>
      <w:r w:rsidRPr="000B383C">
        <w:rPr>
          <w:rFonts w:cs="Arial"/>
          <w:sz w:val="16"/>
          <w:szCs w:val="16"/>
          <w:rtl/>
        </w:rPr>
        <w:t xml:space="preserve">א) </w:t>
      </w:r>
      <w:r>
        <w:rPr>
          <w:rFonts w:cs="Arial" w:hint="cs"/>
          <w:rtl/>
        </w:rPr>
        <w:t xml:space="preserve">על דברי הב"י - </w:t>
      </w:r>
      <w:r w:rsidRPr="00F83F08">
        <w:rPr>
          <w:rFonts w:cs="Arial"/>
          <w:rtl/>
        </w:rPr>
        <w:t>ולא ידעתי מה קשה לו דהא לא איתא בגמרא אלא שהעדות הראשון מתקיימת משום כיון שהגיד שוב אינו חוזר ומגיד וכן אם אמרו הוזמו אין משלמין ע"פ עצמן משום דהזמה קנס הוא אבל לא איתא התם דאין משלמין ע</w:t>
      </w:r>
      <w:r>
        <w:rPr>
          <w:rFonts w:cs="Arial" w:hint="cs"/>
          <w:rtl/>
        </w:rPr>
        <w:t>"</w:t>
      </w:r>
      <w:r w:rsidRPr="00F83F08">
        <w:rPr>
          <w:rFonts w:cs="Arial"/>
          <w:rtl/>
        </w:rPr>
        <w:t>פ עצמן כשאמרו שקר העדנו ולכן כתבו בשם ר</w:t>
      </w:r>
      <w:r>
        <w:rPr>
          <w:rFonts w:cs="Arial" w:hint="cs"/>
          <w:rtl/>
        </w:rPr>
        <w:t>"</w:t>
      </w:r>
      <w:r w:rsidRPr="00F83F08">
        <w:rPr>
          <w:rFonts w:cs="Arial"/>
          <w:rtl/>
        </w:rPr>
        <w:t>ח</w:t>
      </w:r>
      <w:r>
        <w:rPr>
          <w:rFonts w:cs="Arial" w:hint="cs"/>
          <w:rtl/>
        </w:rPr>
        <w:t>,</w:t>
      </w:r>
      <w:r w:rsidRPr="00F83F08">
        <w:rPr>
          <w:rFonts w:cs="Arial"/>
          <w:rtl/>
        </w:rPr>
        <w:t xml:space="preserve"> והרא"ש חולק על זה וסבירא ליה דמשלמין על פי עצמן</w:t>
      </w:r>
      <w:r>
        <w:rPr>
          <w:rFonts w:cs="Arial" w:hint="cs"/>
          <w:rtl/>
        </w:rPr>
        <w:t xml:space="preserve">... </w:t>
      </w:r>
      <w:r w:rsidRPr="00F83F08">
        <w:rPr>
          <w:rFonts w:cs="Arial"/>
          <w:rtl/>
        </w:rPr>
        <w:t xml:space="preserve">והביאו בספר מישרים </w:t>
      </w:r>
      <w:r w:rsidRPr="000B383C">
        <w:rPr>
          <w:rFonts w:cs="Arial" w:hint="cs"/>
          <w:sz w:val="16"/>
          <w:szCs w:val="16"/>
          <w:rtl/>
        </w:rPr>
        <w:t>(</w:t>
      </w:r>
      <w:r w:rsidRPr="000B383C">
        <w:rPr>
          <w:rFonts w:cs="Arial"/>
          <w:sz w:val="16"/>
          <w:szCs w:val="16"/>
          <w:rtl/>
        </w:rPr>
        <w:t>נ"ב ח"ז יג ע"ד)</w:t>
      </w:r>
      <w:r w:rsidRPr="00F83F08">
        <w:rPr>
          <w:rFonts w:cs="Arial"/>
          <w:rtl/>
        </w:rPr>
        <w:t xml:space="preserve"> וכ"כ רבינו לקמן סי</w:t>
      </w:r>
      <w:r>
        <w:rPr>
          <w:rFonts w:cs="Arial" w:hint="cs"/>
          <w:rtl/>
        </w:rPr>
        <w:t>'</w:t>
      </w:r>
      <w:r w:rsidRPr="00F83F08">
        <w:rPr>
          <w:rFonts w:cs="Arial"/>
          <w:rtl/>
        </w:rPr>
        <w:t xml:space="preserve"> מו</w:t>
      </w:r>
      <w:r w:rsidRPr="000B383C">
        <w:rPr>
          <w:rFonts w:cs="Arial"/>
          <w:sz w:val="16"/>
          <w:szCs w:val="16"/>
          <w:rtl/>
        </w:rPr>
        <w:t xml:space="preserve"> (סל"ד</w:t>
      </w:r>
      <w:r w:rsidRPr="000B383C">
        <w:rPr>
          <w:rFonts w:cs="Arial" w:hint="cs"/>
          <w:sz w:val="16"/>
          <w:szCs w:val="16"/>
          <w:rtl/>
        </w:rPr>
        <w:t>)</w:t>
      </w:r>
      <w:r>
        <w:rPr>
          <w:rFonts w:cs="Arial" w:hint="cs"/>
          <w:rtl/>
        </w:rPr>
        <w:t>.</w:t>
      </w:r>
      <w:r>
        <w:rPr>
          <w:rFonts w:hint="cs"/>
          <w:rtl/>
        </w:rPr>
        <w:t xml:space="preserve"> עכ"ל. </w:t>
      </w:r>
      <w:r w:rsidRPr="00466942">
        <w:rPr>
          <w:rFonts w:hint="cs"/>
          <w:color w:val="FF0000"/>
          <w:rtl/>
        </w:rPr>
        <w:t>וצל"ע מדוע סתם הטור כאן כדברי ר"ח ולא הביא את דעת אביו הרא"ש שחולק, ובסי' מו הביא רק את דברי הרא"ש בסתם.</w:t>
      </w:r>
    </w:p>
  </w:footnote>
  <w:footnote w:id="2811">
    <w:p w14:paraId="05B7FDD7" w14:textId="77777777" w:rsidR="0013116F" w:rsidRDefault="0013116F" w:rsidP="004B607F">
      <w:pPr>
        <w:pStyle w:val="a9"/>
      </w:pPr>
      <w:r>
        <w:rPr>
          <w:rStyle w:val="ab"/>
        </w:rPr>
        <w:footnoteRef/>
      </w:r>
      <w:r>
        <w:rPr>
          <w:rtl/>
        </w:rPr>
        <w:t xml:space="preserve"> </w:t>
      </w:r>
      <w:r w:rsidRPr="00F83F08">
        <w:rPr>
          <w:rFonts w:cs="Arial"/>
          <w:rtl/>
        </w:rPr>
        <w:t>שנים אומרים הרג ושנים אומרים לא הרג</w:t>
      </w:r>
      <w:r>
        <w:rPr>
          <w:rFonts w:cs="Arial" w:hint="cs"/>
          <w:rtl/>
        </w:rPr>
        <w:t>, רש"י.</w:t>
      </w:r>
    </w:p>
  </w:footnote>
  <w:footnote w:id="2812">
    <w:p w14:paraId="7E91E390" w14:textId="77777777" w:rsidR="0013116F" w:rsidRDefault="0013116F" w:rsidP="004B607F">
      <w:pPr>
        <w:pStyle w:val="a9"/>
      </w:pPr>
      <w:r>
        <w:rPr>
          <w:rStyle w:val="ab"/>
        </w:rPr>
        <w:footnoteRef/>
      </w:r>
      <w:r>
        <w:rPr>
          <w:rtl/>
        </w:rPr>
        <w:t xml:space="preserve"> </w:t>
      </w:r>
      <w:r w:rsidRPr="00F83F08">
        <w:rPr>
          <w:rFonts w:cs="Arial"/>
          <w:rtl/>
        </w:rPr>
        <w:t>שנים אומרים הרג ושנים אומרים לא הרג</w:t>
      </w:r>
      <w:r>
        <w:rPr>
          <w:rFonts w:cs="Arial" w:hint="cs"/>
          <w:rtl/>
        </w:rPr>
        <w:t>, רש"י.</w:t>
      </w:r>
    </w:p>
  </w:footnote>
  <w:footnote w:id="2813">
    <w:p w14:paraId="3DD40FF0" w14:textId="77777777" w:rsidR="0013116F" w:rsidRDefault="0013116F" w:rsidP="004B607F">
      <w:pPr>
        <w:pStyle w:val="a9"/>
        <w:rPr>
          <w:rtl/>
        </w:rPr>
      </w:pPr>
      <w:r>
        <w:rPr>
          <w:rStyle w:val="ab"/>
        </w:rPr>
        <w:footnoteRef/>
      </w:r>
      <w:r>
        <w:rPr>
          <w:rtl/>
        </w:rPr>
        <w:t xml:space="preserve"> </w:t>
      </w:r>
      <w:r w:rsidRPr="00F83F08">
        <w:rPr>
          <w:rFonts w:cs="Arial"/>
          <w:rtl/>
        </w:rPr>
        <w:t>שבאת כת שלישית ואמרה עמנו הייתם</w:t>
      </w:r>
      <w:r>
        <w:rPr>
          <w:rFonts w:hint="cs"/>
          <w:rtl/>
        </w:rPr>
        <w:t>, רש"י.</w:t>
      </w:r>
    </w:p>
  </w:footnote>
  <w:footnote w:id="2814">
    <w:p w14:paraId="0B743126" w14:textId="77777777" w:rsidR="0013116F" w:rsidRDefault="0013116F" w:rsidP="004B607F">
      <w:pPr>
        <w:pStyle w:val="a9"/>
        <w:rPr>
          <w:rtl/>
        </w:rPr>
      </w:pPr>
      <w:r>
        <w:rPr>
          <w:rStyle w:val="ab"/>
        </w:rPr>
        <w:footnoteRef/>
      </w:r>
      <w:r>
        <w:rPr>
          <w:rtl/>
        </w:rPr>
        <w:t xml:space="preserve"> </w:t>
      </w:r>
      <w:r w:rsidRPr="00F83F08">
        <w:rPr>
          <w:rFonts w:cs="Arial"/>
          <w:rtl/>
        </w:rPr>
        <w:t>כלומר שיזומו אותן בעסקי גופן של עדים ולא בעסקי ההרוג וההורג כדמפרש ואזיל</w:t>
      </w:r>
      <w:r>
        <w:rPr>
          <w:rFonts w:hint="cs"/>
          <w:rtl/>
        </w:rPr>
        <w:t>, ב"י.</w:t>
      </w:r>
    </w:p>
  </w:footnote>
  <w:footnote w:id="2815">
    <w:p w14:paraId="038E32CF" w14:textId="77777777" w:rsidR="0013116F" w:rsidRDefault="0013116F" w:rsidP="004B607F">
      <w:pPr>
        <w:pStyle w:val="a9"/>
      </w:pPr>
      <w:r>
        <w:rPr>
          <w:rStyle w:val="ab"/>
        </w:rPr>
        <w:footnoteRef/>
      </w:r>
      <w:r>
        <w:rPr>
          <w:rtl/>
        </w:rPr>
        <w:t xml:space="preserve"> </w:t>
      </w:r>
      <w:r>
        <w:rPr>
          <w:rFonts w:hint="cs"/>
          <w:rtl/>
        </w:rPr>
        <w:t>וכתב הב"י ד</w:t>
      </w:r>
      <w:r w:rsidRPr="00F83F08">
        <w:rPr>
          <w:rFonts w:cs="Arial"/>
          <w:rtl/>
        </w:rPr>
        <w:t>טעם נכון הוא</w:t>
      </w:r>
      <w:r>
        <w:rPr>
          <w:rFonts w:cs="Arial" w:hint="cs"/>
          <w:rtl/>
        </w:rPr>
        <w:t>.</w:t>
      </w:r>
    </w:p>
  </w:footnote>
  <w:footnote w:id="2816">
    <w:p w14:paraId="013FE4ED" w14:textId="77777777" w:rsidR="0013116F" w:rsidRDefault="0013116F" w:rsidP="004B607F">
      <w:pPr>
        <w:pStyle w:val="a9"/>
      </w:pPr>
      <w:r>
        <w:rPr>
          <w:rStyle w:val="ab"/>
        </w:rPr>
        <w:footnoteRef/>
      </w:r>
      <w:r>
        <w:rPr>
          <w:rtl/>
        </w:rPr>
        <w:t xml:space="preserve"> </w:t>
      </w:r>
      <w:r>
        <w:rPr>
          <w:rFonts w:cs="Arial"/>
          <w:rtl/>
        </w:rPr>
        <w:t>שהעידו עליו בעדות הראשונים</w:t>
      </w:r>
      <w:r>
        <w:rPr>
          <w:rFonts w:cs="Arial" w:hint="cs"/>
          <w:rtl/>
        </w:rPr>
        <w:t>, רש"י.</w:t>
      </w:r>
    </w:p>
  </w:footnote>
  <w:footnote w:id="2817">
    <w:p w14:paraId="0B3E14A5" w14:textId="77777777" w:rsidR="0013116F" w:rsidRDefault="0013116F" w:rsidP="004B607F">
      <w:pPr>
        <w:pStyle w:val="a9"/>
      </w:pPr>
      <w:r>
        <w:rPr>
          <w:rStyle w:val="ab"/>
        </w:rPr>
        <w:footnoteRef/>
      </w:r>
      <w:r>
        <w:rPr>
          <w:rtl/>
        </w:rPr>
        <w:t xml:space="preserve"> </w:t>
      </w:r>
      <w:r>
        <w:rPr>
          <w:rFonts w:cs="Arial"/>
          <w:rtl/>
        </w:rPr>
        <w:t>אלו השנים שהזימו את הראשונים</w:t>
      </w:r>
      <w:r>
        <w:rPr>
          <w:rFonts w:cs="Arial" w:hint="cs"/>
          <w:rtl/>
        </w:rPr>
        <w:t>, רש"י.</w:t>
      </w:r>
    </w:p>
  </w:footnote>
  <w:footnote w:id="2818">
    <w:p w14:paraId="67AAA86D" w14:textId="77777777" w:rsidR="0013116F" w:rsidRDefault="0013116F" w:rsidP="004B607F">
      <w:pPr>
        <w:pStyle w:val="a9"/>
        <w:rPr>
          <w:rtl/>
        </w:rPr>
      </w:pPr>
      <w:r>
        <w:rPr>
          <w:rStyle w:val="ab"/>
        </w:rPr>
        <w:footnoteRef/>
      </w:r>
      <w:r>
        <w:rPr>
          <w:rtl/>
        </w:rPr>
        <w:t xml:space="preserve"> </w:t>
      </w:r>
      <w:r>
        <w:rPr>
          <w:rFonts w:cs="Arial"/>
          <w:rtl/>
        </w:rPr>
        <w:t>הן מאה כיתות זו אחר זו וכת אחת הזימתן כולם יהרגו</w:t>
      </w:r>
      <w:r>
        <w:rPr>
          <w:rFonts w:hint="cs"/>
          <w:rtl/>
        </w:rPr>
        <w:t>, רש"י.</w:t>
      </w:r>
    </w:p>
  </w:footnote>
  <w:footnote w:id="2819">
    <w:p w14:paraId="190C4291" w14:textId="77777777" w:rsidR="0013116F" w:rsidRDefault="0013116F" w:rsidP="004B607F">
      <w:pPr>
        <w:pStyle w:val="a9"/>
        <w:rPr>
          <w:rtl/>
        </w:rPr>
      </w:pPr>
      <w:r>
        <w:rPr>
          <w:rStyle w:val="ab"/>
        </w:rPr>
        <w:footnoteRef/>
      </w:r>
      <w:r>
        <w:rPr>
          <w:rtl/>
        </w:rPr>
        <w:t xml:space="preserve"> </w:t>
      </w:r>
      <w:r>
        <w:rPr>
          <w:rFonts w:cs="Arial"/>
          <w:rtl/>
        </w:rPr>
        <w:t>הכת הזאת כת של עדות סרה וסטיא היא כך נטלו עצה ביניהם להזים את כל הבא להעיד עליו</w:t>
      </w:r>
      <w:r>
        <w:rPr>
          <w:rFonts w:hint="cs"/>
          <w:rtl/>
        </w:rPr>
        <w:t>, רש"י.</w:t>
      </w:r>
    </w:p>
  </w:footnote>
  <w:footnote w:id="2820">
    <w:p w14:paraId="0662721F" w14:textId="77777777" w:rsidR="0013116F" w:rsidRDefault="0013116F" w:rsidP="004B607F">
      <w:pPr>
        <w:pStyle w:val="a9"/>
      </w:pPr>
      <w:r>
        <w:rPr>
          <w:rStyle w:val="ab"/>
        </w:rPr>
        <w:footnoteRef/>
      </w:r>
      <w:r>
        <w:rPr>
          <w:rtl/>
        </w:rPr>
        <w:t xml:space="preserve"> </w:t>
      </w:r>
      <w:r>
        <w:rPr>
          <w:rFonts w:cs="Arial"/>
          <w:rtl/>
        </w:rPr>
        <w:t>וידוע דהלכה כתנא קמא</w:t>
      </w:r>
      <w:r>
        <w:rPr>
          <w:rFonts w:cs="Arial" w:hint="cs"/>
          <w:rtl/>
        </w:rPr>
        <w:t>, ב"י.</w:t>
      </w:r>
    </w:p>
  </w:footnote>
  <w:footnote w:id="2821">
    <w:p w14:paraId="09C0C0A5" w14:textId="77777777" w:rsidR="0013116F" w:rsidRDefault="0013116F" w:rsidP="004B607F">
      <w:pPr>
        <w:pStyle w:val="a9"/>
      </w:pPr>
      <w:r>
        <w:rPr>
          <w:rStyle w:val="ab"/>
        </w:rPr>
        <w:footnoteRef/>
      </w:r>
      <w:r>
        <w:rPr>
          <w:rtl/>
        </w:rPr>
        <w:t xml:space="preserve"> </w:t>
      </w:r>
      <w:r>
        <w:rPr>
          <w:rFonts w:hint="cs"/>
          <w:rtl/>
        </w:rPr>
        <w:t xml:space="preserve">סימן </w:t>
      </w:r>
      <w:r>
        <w:rPr>
          <w:rtl/>
        </w:rPr>
        <w:t>–</w:t>
      </w:r>
      <w:r>
        <w:rPr>
          <w:rFonts w:hint="cs"/>
          <w:rtl/>
        </w:rPr>
        <w:t xml:space="preserve"> לשון גומד </w:t>
      </w:r>
      <w:r>
        <w:rPr>
          <w:rFonts w:hint="cs"/>
          <w:sz w:val="16"/>
          <w:szCs w:val="16"/>
          <w:rtl/>
        </w:rPr>
        <w:t>{</w:t>
      </w:r>
      <w:bookmarkStart w:id="383" w:name="_Hlk20129779"/>
      <w:r>
        <w:rPr>
          <w:rFonts w:hint="cs"/>
          <w:sz w:val="16"/>
          <w:szCs w:val="16"/>
          <w:rtl/>
        </w:rPr>
        <w:t>גומד הוא זמם שפי הבהמה, ודמה לזומם</w:t>
      </w:r>
      <w:bookmarkEnd w:id="383"/>
      <w:r>
        <w:rPr>
          <w:rFonts w:hint="cs"/>
          <w:sz w:val="16"/>
          <w:szCs w:val="16"/>
          <w:rtl/>
        </w:rPr>
        <w:t>}</w:t>
      </w:r>
      <w:r>
        <w:rPr>
          <w:rFonts w:hint="cs"/>
          <w:rtl/>
        </w:rPr>
        <w:t xml:space="preserve"> ללא גערה </w:t>
      </w:r>
      <w:r>
        <w:rPr>
          <w:rFonts w:hint="cs"/>
          <w:sz w:val="16"/>
          <w:szCs w:val="16"/>
          <w:rtl/>
        </w:rPr>
        <w:t xml:space="preserve">(ולכן) </w:t>
      </w:r>
      <w:r>
        <w:rPr>
          <w:rFonts w:hint="cs"/>
          <w:rtl/>
        </w:rPr>
        <w:t xml:space="preserve">לא גועה </w:t>
      </w:r>
      <w:r w:rsidRPr="00676164">
        <w:rPr>
          <w:rFonts w:hint="cs"/>
          <w:sz w:val="16"/>
          <w:szCs w:val="16"/>
          <w:rtl/>
        </w:rPr>
        <w:t>(בבכי מכאב המלקות)</w:t>
      </w:r>
      <w:r>
        <w:rPr>
          <w:rFonts w:hint="cs"/>
          <w:rtl/>
        </w:rPr>
        <w:t>.</w:t>
      </w:r>
    </w:p>
  </w:footnote>
  <w:footnote w:id="2822">
    <w:p w14:paraId="42AB21F4" w14:textId="77777777" w:rsidR="0013116F" w:rsidRDefault="0013116F" w:rsidP="004B607F">
      <w:pPr>
        <w:pStyle w:val="a9"/>
      </w:pPr>
      <w:r>
        <w:rPr>
          <w:rStyle w:val="ab"/>
        </w:rPr>
        <w:footnoteRef/>
      </w:r>
      <w:r>
        <w:rPr>
          <w:rtl/>
        </w:rPr>
        <w:t xml:space="preserve"> </w:t>
      </w:r>
      <w:r>
        <w:rPr>
          <w:rFonts w:hint="cs"/>
          <w:rtl/>
        </w:rPr>
        <w:t xml:space="preserve">סימן </w:t>
      </w:r>
      <w:r>
        <w:rPr>
          <w:rtl/>
        </w:rPr>
        <w:t>–</w:t>
      </w:r>
      <w:r>
        <w:rPr>
          <w:rFonts w:hint="cs"/>
          <w:rtl/>
        </w:rPr>
        <w:t xml:space="preserve"> כנס </w:t>
      </w:r>
      <w:r>
        <w:rPr>
          <w:rFonts w:hint="cs"/>
          <w:sz w:val="16"/>
          <w:szCs w:val="16"/>
          <w:rtl/>
        </w:rPr>
        <w:t xml:space="preserve">(בו) </w:t>
      </w:r>
      <w:r>
        <w:rPr>
          <w:rFonts w:hint="cs"/>
          <w:rtl/>
        </w:rPr>
        <w:t>כשהוא כאן.</w:t>
      </w:r>
    </w:p>
  </w:footnote>
  <w:footnote w:id="2823">
    <w:p w14:paraId="3A426755" w14:textId="77777777" w:rsidR="0013116F" w:rsidRDefault="0013116F" w:rsidP="004B607F">
      <w:pPr>
        <w:pStyle w:val="a9"/>
      </w:pPr>
      <w:r>
        <w:rPr>
          <w:rStyle w:val="ab"/>
        </w:rPr>
        <w:footnoteRef/>
      </w:r>
      <w:r>
        <w:rPr>
          <w:rtl/>
        </w:rPr>
        <w:t xml:space="preserve"> </w:t>
      </w:r>
      <w:r w:rsidRPr="00F83F08">
        <w:rPr>
          <w:rFonts w:cs="Arial"/>
          <w:rtl/>
        </w:rPr>
        <w:t xml:space="preserve">שהרי באין לעונשן או נפש או ממון והתורה אמרה והועד בבעליו </w:t>
      </w:r>
      <w:r w:rsidRPr="006A03E5">
        <w:rPr>
          <w:rFonts w:cs="Arial"/>
          <w:sz w:val="16"/>
          <w:szCs w:val="16"/>
          <w:rtl/>
        </w:rPr>
        <w:t xml:space="preserve">(שמות כא כט) </w:t>
      </w:r>
      <w:r w:rsidRPr="00F83F08">
        <w:rPr>
          <w:rFonts w:cs="Arial"/>
          <w:rtl/>
        </w:rPr>
        <w:t xml:space="preserve">יבא בעל השור ויעמוד על שורו </w:t>
      </w:r>
      <w:r w:rsidRPr="006A03E5">
        <w:rPr>
          <w:rFonts w:cs="Arial"/>
          <w:sz w:val="16"/>
          <w:szCs w:val="16"/>
          <w:rtl/>
        </w:rPr>
        <w:t>(ב"ק קיב:)</w:t>
      </w:r>
      <w:r>
        <w:rPr>
          <w:rFonts w:cs="Arial" w:hint="cs"/>
          <w:rtl/>
        </w:rPr>
        <w:t>, רש"י.</w:t>
      </w:r>
    </w:p>
  </w:footnote>
  <w:footnote w:id="2824">
    <w:p w14:paraId="2082EB9E" w14:textId="77777777" w:rsidR="0013116F" w:rsidRDefault="0013116F" w:rsidP="004B607F">
      <w:pPr>
        <w:pStyle w:val="a9"/>
      </w:pPr>
      <w:r>
        <w:rPr>
          <w:rStyle w:val="ab"/>
        </w:rPr>
        <w:footnoteRef/>
      </w:r>
      <w:r>
        <w:rPr>
          <w:rtl/>
        </w:rPr>
        <w:t xml:space="preserve"> </w:t>
      </w:r>
      <w:r>
        <w:rPr>
          <w:rFonts w:hint="cs"/>
          <w:rtl/>
        </w:rPr>
        <w:t xml:space="preserve">אך הש"ך (סק"ב) חלק על הריב"ש </w:t>
      </w:r>
      <w:r>
        <w:rPr>
          <w:rFonts w:cs="Arial" w:hint="cs"/>
          <w:rtl/>
        </w:rPr>
        <w:t>וכתב</w:t>
      </w:r>
      <w:r w:rsidRPr="00744F97">
        <w:rPr>
          <w:rFonts w:cs="Arial"/>
          <w:rtl/>
        </w:rPr>
        <w:t xml:space="preserve"> דהרמב"ם מיירי בעדים שלא ניזומו כולם, ושאני התם. ורש"י נמי לא משמע מדבריו מידי. גם מה שהביא שם מהרמב"ן שפסל כשמתו ואמרו גזלנים הם. י"ל דשאני התם שמעידים על גופן של עדים שהם גזלנים, משא"כ הכא. ואפילו לדברי הריב"ש נ"ל ברור שאין יכול לפסלם שלא בפניהם לשבועה ואפילו בגזלנות, דשבועה הוא נוגע להם עצמם ואין מחייבים לאדם שלא בפניו, משא"כ לעדות דמה להם בכך שפסולים להעיד</w:t>
      </w:r>
      <w:r>
        <w:rPr>
          <w:rFonts w:cs="Arial" w:hint="cs"/>
          <w:rtl/>
        </w:rPr>
        <w:t>.</w:t>
      </w:r>
    </w:p>
  </w:footnote>
  <w:footnote w:id="2825">
    <w:p w14:paraId="5995C7AA" w14:textId="77777777" w:rsidR="0013116F" w:rsidRDefault="0013116F" w:rsidP="004B607F">
      <w:pPr>
        <w:pStyle w:val="a9"/>
        <w:rPr>
          <w:rtl/>
        </w:rPr>
      </w:pPr>
      <w:r>
        <w:rPr>
          <w:rStyle w:val="ab"/>
        </w:rPr>
        <w:footnoteRef/>
      </w:r>
      <w:r>
        <w:rPr>
          <w:rtl/>
        </w:rPr>
        <w:t xml:space="preserve"> </w:t>
      </w:r>
      <w:r>
        <w:rPr>
          <w:rFonts w:hint="cs"/>
          <w:rtl/>
        </w:rPr>
        <w:t xml:space="preserve">סימן </w:t>
      </w:r>
      <w:r>
        <w:rPr>
          <w:rtl/>
        </w:rPr>
        <w:t>–</w:t>
      </w:r>
      <w:r>
        <w:rPr>
          <w:rFonts w:hint="cs"/>
          <w:rtl/>
        </w:rPr>
        <w:t xml:space="preserve"> עוד גירעון על גומד.</w:t>
      </w:r>
    </w:p>
  </w:footnote>
  <w:footnote w:id="2826">
    <w:p w14:paraId="6219B898" w14:textId="77777777" w:rsidR="0013116F" w:rsidRDefault="0013116F" w:rsidP="004B607F">
      <w:pPr>
        <w:pStyle w:val="a9"/>
        <w:rPr>
          <w:rtl/>
        </w:rPr>
      </w:pPr>
      <w:r>
        <w:rPr>
          <w:rStyle w:val="ab"/>
        </w:rPr>
        <w:footnoteRef/>
      </w:r>
      <w:r>
        <w:rPr>
          <w:rtl/>
        </w:rPr>
        <w:t xml:space="preserve"> </w:t>
      </w:r>
      <w:r>
        <w:rPr>
          <w:rFonts w:cs="Arial"/>
          <w:rtl/>
        </w:rPr>
        <w:t>והלכתא כוותיה כיון דשקלי וטרי אמוראי אליביה</w:t>
      </w:r>
      <w:r>
        <w:rPr>
          <w:rFonts w:hint="cs"/>
          <w:rtl/>
        </w:rPr>
        <w:t>, ב"י.</w:t>
      </w:r>
    </w:p>
  </w:footnote>
  <w:footnote w:id="2827">
    <w:p w14:paraId="0FCB9862" w14:textId="77777777" w:rsidR="0013116F" w:rsidRDefault="0013116F" w:rsidP="004B607F">
      <w:pPr>
        <w:pStyle w:val="a9"/>
        <w:rPr>
          <w:rtl/>
        </w:rPr>
      </w:pPr>
      <w:r>
        <w:rPr>
          <w:rStyle w:val="ab"/>
        </w:rPr>
        <w:footnoteRef/>
      </w:r>
      <w:r>
        <w:rPr>
          <w:rtl/>
        </w:rPr>
        <w:t xml:space="preserve"> </w:t>
      </w:r>
      <w:r>
        <w:rPr>
          <w:rFonts w:cs="Arial"/>
          <w:rtl/>
        </w:rPr>
        <w:t>וכיון דעדותן בטלה פשיטא שאין הדין נגמר על פיהם ואפילו אם נגמר שלא כדין הוי ליה כאלו לא נגמר</w:t>
      </w:r>
      <w:r>
        <w:rPr>
          <w:rFonts w:hint="cs"/>
          <w:rtl/>
        </w:rPr>
        <w:t>, ב"י.</w:t>
      </w:r>
    </w:p>
  </w:footnote>
  <w:footnote w:id="2828">
    <w:p w14:paraId="10A19011" w14:textId="77777777" w:rsidR="0013116F" w:rsidRDefault="0013116F" w:rsidP="004B607F">
      <w:pPr>
        <w:pStyle w:val="a9"/>
      </w:pPr>
      <w:r>
        <w:rPr>
          <w:rStyle w:val="ab"/>
        </w:rPr>
        <w:footnoteRef/>
      </w:r>
      <w:r>
        <w:rPr>
          <w:rtl/>
        </w:rPr>
        <w:t xml:space="preserve"> </w:t>
      </w:r>
      <w:r>
        <w:rPr>
          <w:rFonts w:cs="Arial"/>
          <w:rtl/>
        </w:rPr>
        <w:t>ופירש רש"י אבל אם העידו השנים ולאחר זמן העידו האחרים הרי הן כשתי כתות לכל דבר. אבל בתוס</w:t>
      </w:r>
      <w:r>
        <w:rPr>
          <w:rFonts w:cs="Arial" w:hint="cs"/>
          <w:rtl/>
        </w:rPr>
        <w:t>'</w:t>
      </w:r>
      <w:r>
        <w:rPr>
          <w:rFonts w:cs="Arial"/>
          <w:rtl/>
        </w:rPr>
        <w:t xml:space="preserve"> </w:t>
      </w:r>
      <w:r w:rsidRPr="004218E4">
        <w:rPr>
          <w:rFonts w:cs="Arial"/>
          <w:sz w:val="16"/>
          <w:szCs w:val="16"/>
          <w:rtl/>
        </w:rPr>
        <w:t>(ד"ה אמר רבא)</w:t>
      </w:r>
      <w:r>
        <w:rPr>
          <w:rFonts w:cs="Arial"/>
          <w:rtl/>
        </w:rPr>
        <w:t xml:space="preserve"> כתבו דדוקא לענין דין זוממין קאמר</w:t>
      </w:r>
      <w:r>
        <w:rPr>
          <w:rFonts w:cs="Arial" w:hint="cs"/>
          <w:rtl/>
        </w:rPr>
        <w:t>,</w:t>
      </w:r>
      <w:r>
        <w:rPr>
          <w:rFonts w:cs="Arial"/>
          <w:rtl/>
        </w:rPr>
        <w:t xml:space="preserve"> דלענין נמצא אחד מהם קרוב או פסול אף אם נמצא מהני שהעידו לאחר כדי דיבור </w:t>
      </w:r>
      <w:r>
        <w:rPr>
          <w:rFonts w:cs="Arial" w:hint="cs"/>
          <w:rtl/>
        </w:rPr>
        <w:t>-</w:t>
      </w:r>
      <w:r>
        <w:rPr>
          <w:rFonts w:cs="Arial"/>
          <w:rtl/>
        </w:rPr>
        <w:t xml:space="preserve"> עדותן בטלה</w:t>
      </w:r>
      <w:r>
        <w:rPr>
          <w:rFonts w:cs="Arial" w:hint="cs"/>
          <w:rtl/>
        </w:rPr>
        <w:t>,</w:t>
      </w:r>
      <w:r>
        <w:rPr>
          <w:rFonts w:cs="Arial"/>
          <w:rtl/>
        </w:rPr>
        <w:t xml:space="preserve"> וכן דעת הרמב"ם פ"כ מהלכות עדות (ה"ג)</w:t>
      </w:r>
      <w:r>
        <w:rPr>
          <w:rFonts w:cs="Arial" w:hint="cs"/>
          <w:rtl/>
        </w:rPr>
        <w:t>,</w:t>
      </w:r>
      <w:r>
        <w:rPr>
          <w:rFonts w:cs="Arial"/>
          <w:rtl/>
        </w:rPr>
        <w:t xml:space="preserve"> וטעמייהו דלהזמה בהגדה תליא מילתא וכיון שלא הגידו תוך כדי דיבור הרי הן כשתי כתות</w:t>
      </w:r>
      <w:r>
        <w:rPr>
          <w:rFonts w:cs="Arial" w:hint="cs"/>
          <w:rtl/>
        </w:rPr>
        <w:t>,</w:t>
      </w:r>
      <w:r>
        <w:rPr>
          <w:rFonts w:cs="Arial"/>
          <w:rtl/>
        </w:rPr>
        <w:t xml:space="preserve"> אבל בעדות אחר כיון דמעת ראיית העדות היה בפיסול אפילו שלא בתוך כדי דיבור חשיבי ככת אחת כנ"ל</w:t>
      </w:r>
      <w:r>
        <w:rPr>
          <w:rFonts w:cs="Arial" w:hint="cs"/>
          <w:rtl/>
        </w:rPr>
        <w:t>, ב"י.</w:t>
      </w:r>
    </w:p>
  </w:footnote>
  <w:footnote w:id="2829">
    <w:p w14:paraId="212092F3" w14:textId="77777777" w:rsidR="0013116F" w:rsidRDefault="0013116F" w:rsidP="004B607F">
      <w:pPr>
        <w:pStyle w:val="a9"/>
        <w:rPr>
          <w:rtl/>
        </w:rPr>
      </w:pPr>
      <w:r>
        <w:rPr>
          <w:rStyle w:val="ab"/>
        </w:rPr>
        <w:footnoteRef/>
      </w:r>
      <w:r>
        <w:rPr>
          <w:rtl/>
        </w:rPr>
        <w:t xml:space="preserve"> </w:t>
      </w:r>
      <w:r>
        <w:rPr>
          <w:rFonts w:hint="cs"/>
          <w:rtl/>
        </w:rPr>
        <w:t xml:space="preserve">סימן </w:t>
      </w:r>
      <w:r>
        <w:rPr>
          <w:rtl/>
        </w:rPr>
        <w:t>–</w:t>
      </w:r>
      <w:r>
        <w:rPr>
          <w:rFonts w:hint="cs"/>
          <w:rtl/>
        </w:rPr>
        <w:t xml:space="preserve"> נשמע הגידוף.</w:t>
      </w:r>
    </w:p>
  </w:footnote>
  <w:footnote w:id="2830">
    <w:p w14:paraId="79B245A5" w14:textId="77777777" w:rsidR="0013116F" w:rsidRDefault="0013116F" w:rsidP="004B607F">
      <w:pPr>
        <w:pStyle w:val="a9"/>
      </w:pPr>
      <w:r>
        <w:rPr>
          <w:rStyle w:val="ab"/>
        </w:rPr>
        <w:footnoteRef/>
      </w:r>
      <w:r>
        <w:rPr>
          <w:rtl/>
        </w:rPr>
        <w:t xml:space="preserve"> </w:t>
      </w:r>
      <w:r>
        <w:rPr>
          <w:rFonts w:cs="Arial"/>
          <w:rtl/>
        </w:rPr>
        <w:t>כלומר שהצריכו לכל העדים לפרש עדותם</w:t>
      </w:r>
      <w:r>
        <w:rPr>
          <w:rFonts w:cs="Arial" w:hint="cs"/>
          <w:rtl/>
        </w:rPr>
        <w:t>,</w:t>
      </w:r>
      <w:r>
        <w:rPr>
          <w:rFonts w:cs="Arial"/>
          <w:rtl/>
        </w:rPr>
        <w:t xml:space="preserve"> וכיון שאם אמר אף אני כמוהו הוי ליה כאלו נחקר והעיד כמו שהעיד חבירו מדינא לא היה צריך לומר עוד הוי ליה מעיד תוך כדי דיבור של חבירו</w:t>
      </w:r>
      <w:r>
        <w:rPr>
          <w:rFonts w:cs="Arial" w:hint="cs"/>
          <w:rtl/>
        </w:rPr>
        <w:t>, ב"י.</w:t>
      </w:r>
    </w:p>
  </w:footnote>
  <w:footnote w:id="2831">
    <w:p w14:paraId="4726D52F" w14:textId="77777777" w:rsidR="0013116F" w:rsidRDefault="0013116F" w:rsidP="004B607F">
      <w:pPr>
        <w:pStyle w:val="a9"/>
        <w:rPr>
          <w:rtl/>
        </w:rPr>
      </w:pPr>
      <w:r>
        <w:rPr>
          <w:rStyle w:val="ab"/>
        </w:rPr>
        <w:footnoteRef/>
      </w:r>
      <w:r>
        <w:rPr>
          <w:rtl/>
        </w:rPr>
        <w:t xml:space="preserve"> </w:t>
      </w:r>
      <w:r>
        <w:rPr>
          <w:rFonts w:cs="Arial"/>
          <w:rtl/>
        </w:rPr>
        <w:t>כלומר דאם אין כולם כשרים עדותן בטלה</w:t>
      </w:r>
      <w:r>
        <w:rPr>
          <w:rFonts w:hint="cs"/>
          <w:rtl/>
        </w:rPr>
        <w:t>, ב"י.</w:t>
      </w:r>
    </w:p>
  </w:footnote>
  <w:footnote w:id="2832">
    <w:p w14:paraId="37CD4ADC" w14:textId="77777777" w:rsidR="0013116F" w:rsidRDefault="0013116F" w:rsidP="004B607F">
      <w:pPr>
        <w:pStyle w:val="a9"/>
        <w:rPr>
          <w:rtl/>
        </w:rPr>
      </w:pPr>
      <w:r>
        <w:rPr>
          <w:rStyle w:val="ab"/>
        </w:rPr>
        <w:footnoteRef/>
      </w:r>
      <w:r>
        <w:rPr>
          <w:rtl/>
        </w:rPr>
        <w:t xml:space="preserve"> </w:t>
      </w:r>
      <w:r>
        <w:rPr>
          <w:rFonts w:cs="Arial"/>
          <w:rtl/>
        </w:rPr>
        <w:t>וכ</w:t>
      </w:r>
      <w:r>
        <w:rPr>
          <w:rFonts w:cs="Arial" w:hint="cs"/>
          <w:rtl/>
        </w:rPr>
        <w:t>'</w:t>
      </w:r>
      <w:r>
        <w:rPr>
          <w:rFonts w:cs="Arial"/>
          <w:rtl/>
        </w:rPr>
        <w:t xml:space="preserve"> הרמב"ם פ"כ מהל</w:t>
      </w:r>
      <w:r>
        <w:rPr>
          <w:rFonts w:cs="Arial" w:hint="cs"/>
          <w:rtl/>
        </w:rPr>
        <w:t>'</w:t>
      </w:r>
      <w:r>
        <w:rPr>
          <w:rFonts w:cs="Arial"/>
          <w:rtl/>
        </w:rPr>
        <w:t xml:space="preserve"> עדות </w:t>
      </w:r>
      <w:r w:rsidRPr="004C4AFA">
        <w:rPr>
          <w:rFonts w:cs="Arial"/>
          <w:sz w:val="16"/>
          <w:szCs w:val="16"/>
          <w:rtl/>
        </w:rPr>
        <w:t xml:space="preserve">(שם) </w:t>
      </w:r>
      <w:r>
        <w:rPr>
          <w:rFonts w:cs="Arial"/>
          <w:rtl/>
        </w:rPr>
        <w:t xml:space="preserve">דתוך כדי דיבור היינו כדי שאלת שלום תלמיד לרב שהוא שלום עליך רבי ומורי </w:t>
      </w:r>
      <w:r w:rsidRPr="004C4AFA">
        <w:rPr>
          <w:rFonts w:cs="Arial"/>
          <w:sz w:val="16"/>
          <w:szCs w:val="16"/>
          <w:rtl/>
        </w:rPr>
        <w:t>(ב"ק עג:)</w:t>
      </w:r>
      <w:r>
        <w:rPr>
          <w:rFonts w:hint="cs"/>
          <w:rtl/>
        </w:rPr>
        <w:t>, ב"י.</w:t>
      </w:r>
    </w:p>
  </w:footnote>
  <w:footnote w:id="2833">
    <w:p w14:paraId="59BDAB25" w14:textId="77777777" w:rsidR="0013116F" w:rsidRDefault="0013116F" w:rsidP="004B607F">
      <w:pPr>
        <w:pStyle w:val="a9"/>
      </w:pPr>
      <w:r>
        <w:rPr>
          <w:rStyle w:val="ab"/>
        </w:rPr>
        <w:footnoteRef/>
      </w:r>
      <w:r w:rsidRPr="00F83F08">
        <w:rPr>
          <w:rFonts w:cs="Arial"/>
          <w:rtl/>
        </w:rPr>
        <w:t xml:space="preserve"> נראה מדברי רבינו שאם העיד העד ואני כמותך עדותו כשר</w:t>
      </w:r>
      <w:r>
        <w:rPr>
          <w:rFonts w:cs="Arial" w:hint="cs"/>
          <w:rtl/>
        </w:rPr>
        <w:t>,</w:t>
      </w:r>
      <w:r w:rsidRPr="00F83F08">
        <w:rPr>
          <w:rFonts w:cs="Arial"/>
          <w:rtl/>
        </w:rPr>
        <w:t xml:space="preserve"> וכ"כ המרדכי </w:t>
      </w:r>
      <w:r w:rsidRPr="000C788D">
        <w:rPr>
          <w:rFonts w:cs="Arial" w:hint="cs"/>
          <w:sz w:val="16"/>
          <w:szCs w:val="16"/>
          <w:rtl/>
        </w:rPr>
        <w:t>(</w:t>
      </w:r>
      <w:r w:rsidRPr="000C788D">
        <w:rPr>
          <w:rFonts w:cs="Arial"/>
          <w:sz w:val="16"/>
          <w:szCs w:val="16"/>
          <w:rtl/>
        </w:rPr>
        <w:t>פר</w:t>
      </w:r>
      <w:r w:rsidRPr="000C788D">
        <w:rPr>
          <w:rFonts w:cs="Arial" w:hint="cs"/>
          <w:sz w:val="16"/>
          <w:szCs w:val="16"/>
          <w:rtl/>
        </w:rPr>
        <w:t xml:space="preserve">ק </w:t>
      </w:r>
      <w:r w:rsidRPr="000C788D">
        <w:rPr>
          <w:rFonts w:cs="Arial"/>
          <w:sz w:val="16"/>
          <w:szCs w:val="16"/>
          <w:rtl/>
        </w:rPr>
        <w:t>ארבע מיתות</w:t>
      </w:r>
      <w:r w:rsidRPr="000C788D">
        <w:rPr>
          <w:rFonts w:cs="Arial" w:hint="cs"/>
          <w:sz w:val="16"/>
          <w:szCs w:val="16"/>
          <w:rtl/>
        </w:rPr>
        <w:t xml:space="preserve"> </w:t>
      </w:r>
      <w:r w:rsidRPr="000C788D">
        <w:rPr>
          <w:rFonts w:cs="Arial"/>
          <w:sz w:val="16"/>
          <w:szCs w:val="16"/>
          <w:rtl/>
        </w:rPr>
        <w:t xml:space="preserve">סנהדרין סי' תשיח) </w:t>
      </w:r>
      <w:r w:rsidRPr="00F83F08">
        <w:rPr>
          <w:rFonts w:cs="Arial"/>
          <w:rtl/>
        </w:rPr>
        <w:t>על עדות של שטר קבלת העדות שהאחד פירש עדותו והשני אמר אני כמותו דיש להכשיר</w:t>
      </w:r>
      <w:r>
        <w:rPr>
          <w:rFonts w:cs="Arial" w:hint="cs"/>
          <w:rtl/>
        </w:rPr>
        <w:t>,</w:t>
      </w:r>
      <w:r w:rsidRPr="00F83F08">
        <w:rPr>
          <w:rFonts w:cs="Arial"/>
          <w:rtl/>
        </w:rPr>
        <w:t xml:space="preserve"> ודלא כראב"ן </w:t>
      </w:r>
      <w:r w:rsidRPr="000C788D">
        <w:rPr>
          <w:rFonts w:cs="Arial"/>
          <w:sz w:val="16"/>
          <w:szCs w:val="16"/>
          <w:rtl/>
        </w:rPr>
        <w:t xml:space="preserve">(סנהדרין רל ע"ד) </w:t>
      </w:r>
      <w:r w:rsidRPr="00F83F08">
        <w:rPr>
          <w:rFonts w:cs="Arial"/>
          <w:rtl/>
        </w:rPr>
        <w:t xml:space="preserve">שכתב שם המרדכי דסבירא ליה דפסול וכבר נתבאר זה לעיל סימן כ"ח </w:t>
      </w:r>
      <w:r w:rsidRPr="000C788D">
        <w:rPr>
          <w:rFonts w:cs="Arial"/>
          <w:sz w:val="16"/>
          <w:szCs w:val="16"/>
          <w:rtl/>
        </w:rPr>
        <w:t>(ד"מ ארוך סי"א-יב)</w:t>
      </w:r>
      <w:r>
        <w:rPr>
          <w:rFonts w:cs="Arial" w:hint="cs"/>
          <w:rtl/>
        </w:rPr>
        <w:t>, דרכ"מ (אות ג).</w:t>
      </w:r>
    </w:p>
  </w:footnote>
  <w:footnote w:id="2834">
    <w:p w14:paraId="5C5B8062" w14:textId="77777777" w:rsidR="0013116F" w:rsidRDefault="0013116F" w:rsidP="004B607F">
      <w:pPr>
        <w:pStyle w:val="a9"/>
      </w:pPr>
      <w:r>
        <w:rPr>
          <w:rStyle w:val="ab"/>
        </w:rPr>
        <w:footnoteRef/>
      </w:r>
      <w:r>
        <w:rPr>
          <w:rFonts w:cs="Arial" w:hint="cs"/>
          <w:rtl/>
        </w:rPr>
        <w:t xml:space="preserve"> </w:t>
      </w:r>
      <w:r w:rsidRPr="00F83F08">
        <w:rPr>
          <w:rFonts w:cs="Arial"/>
          <w:rtl/>
        </w:rPr>
        <w:t>שמין כמה אדם רוצה ליתן בכתובתה של זו שחייבוהו ליתן מיד שתהיה בידו עד זמן שתתאלמן או תתגרש או שמא לא יצטרך לפרעה לעולם כי שמא תמות בחייו ויירשנה בין נכסי מלוג בין נכסי צאן ברזל ותוס</w:t>
      </w:r>
      <w:r>
        <w:rPr>
          <w:rFonts w:cs="Arial" w:hint="cs"/>
          <w:rtl/>
        </w:rPr>
        <w:t>'</w:t>
      </w:r>
      <w:r w:rsidRPr="00F83F08">
        <w:rPr>
          <w:rFonts w:cs="Arial"/>
          <w:rtl/>
        </w:rPr>
        <w:t xml:space="preserve"> כתוב</w:t>
      </w:r>
      <w:r>
        <w:rPr>
          <w:rFonts w:cs="Arial" w:hint="cs"/>
          <w:rtl/>
        </w:rPr>
        <w:t>ת</w:t>
      </w:r>
      <w:r w:rsidRPr="00F83F08">
        <w:rPr>
          <w:rFonts w:cs="Arial"/>
          <w:rtl/>
        </w:rPr>
        <w:t>ה כל מה שבאו להפסידו</w:t>
      </w:r>
      <w:r>
        <w:rPr>
          <w:rFonts w:cs="Arial" w:hint="cs"/>
          <w:rtl/>
        </w:rPr>
        <w:t>, רא"ש</w:t>
      </w:r>
      <w:r w:rsidRPr="004250E1">
        <w:rPr>
          <w:rFonts w:cs="Arial" w:hint="cs"/>
          <w:sz w:val="16"/>
          <w:szCs w:val="16"/>
          <w:rtl/>
        </w:rPr>
        <w:t xml:space="preserve"> (סי' א)</w:t>
      </w:r>
      <w:r>
        <w:rPr>
          <w:rFonts w:cs="Arial" w:hint="cs"/>
          <w:rtl/>
        </w:rPr>
        <w:t>.</w:t>
      </w:r>
    </w:p>
  </w:footnote>
  <w:footnote w:id="2835">
    <w:p w14:paraId="3D59168E" w14:textId="77777777" w:rsidR="0013116F" w:rsidRDefault="0013116F" w:rsidP="004B607F">
      <w:pPr>
        <w:pStyle w:val="a9"/>
      </w:pPr>
      <w:r>
        <w:rPr>
          <w:rStyle w:val="ab"/>
        </w:rPr>
        <w:footnoteRef/>
      </w:r>
      <w:r>
        <w:rPr>
          <w:rFonts w:cs="Arial" w:hint="cs"/>
          <w:rtl/>
        </w:rPr>
        <w:t xml:space="preserve"> </w:t>
      </w:r>
      <w:r w:rsidRPr="00F83F08">
        <w:rPr>
          <w:rFonts w:cs="Arial"/>
          <w:rtl/>
        </w:rPr>
        <w:t>היאך ישומו זמן מיתה וגרושין</w:t>
      </w:r>
      <w:r>
        <w:rPr>
          <w:rFonts w:cs="Arial" w:hint="cs"/>
          <w:rtl/>
        </w:rPr>
        <w:t>, רא"ש (סי' א).</w:t>
      </w:r>
    </w:p>
  </w:footnote>
  <w:footnote w:id="2836">
    <w:p w14:paraId="1DC30F18" w14:textId="77777777" w:rsidR="0013116F" w:rsidRDefault="0013116F" w:rsidP="004B607F">
      <w:pPr>
        <w:pStyle w:val="a9"/>
      </w:pPr>
      <w:r>
        <w:rPr>
          <w:rStyle w:val="ab"/>
        </w:rPr>
        <w:footnoteRef/>
      </w:r>
      <w:r>
        <w:rPr>
          <w:rFonts w:cs="Arial" w:hint="cs"/>
          <w:rtl/>
        </w:rPr>
        <w:t xml:space="preserve"> </w:t>
      </w:r>
      <w:r w:rsidRPr="00F83F08">
        <w:rPr>
          <w:rFonts w:cs="Arial"/>
          <w:rtl/>
        </w:rPr>
        <w:t>אם הוא ילד או זקן או בריא או חלש דבזה נותן הלוקח עיניו</w:t>
      </w:r>
      <w:r>
        <w:rPr>
          <w:rFonts w:cs="Arial" w:hint="cs"/>
          <w:rtl/>
        </w:rPr>
        <w:t>,</w:t>
      </w:r>
      <w:r w:rsidRPr="00F83F08">
        <w:rPr>
          <w:rFonts w:cs="Arial"/>
          <w:rtl/>
        </w:rPr>
        <w:t xml:space="preserve"> וכן לענין גירושין אם הוא קפדן או ותרן שאם תקניטנו יגרשנה או סבלן וחס לממונו ולא יגרשנה</w:t>
      </w:r>
      <w:r>
        <w:rPr>
          <w:rFonts w:cs="Arial" w:hint="cs"/>
          <w:rtl/>
        </w:rPr>
        <w:t>, רא"ש (סי' א).</w:t>
      </w:r>
    </w:p>
  </w:footnote>
  <w:footnote w:id="2837">
    <w:p w14:paraId="5F26C676" w14:textId="77777777" w:rsidR="0013116F" w:rsidRDefault="0013116F" w:rsidP="004B607F">
      <w:pPr>
        <w:pStyle w:val="a9"/>
      </w:pPr>
      <w:r>
        <w:rPr>
          <w:rStyle w:val="ab"/>
        </w:rPr>
        <w:footnoteRef/>
      </w:r>
      <w:r>
        <w:rPr>
          <w:rFonts w:cs="Arial" w:hint="cs"/>
          <w:rtl/>
        </w:rPr>
        <w:t xml:space="preserve"> </w:t>
      </w:r>
      <w:r w:rsidRPr="00F83F08">
        <w:rPr>
          <w:rFonts w:cs="Arial"/>
          <w:rtl/>
        </w:rPr>
        <w:t>באשה הלוקח נותן עיניו</w:t>
      </w:r>
      <w:r>
        <w:rPr>
          <w:rFonts w:cs="Arial" w:hint="cs"/>
          <w:rtl/>
        </w:rPr>
        <w:t>,</w:t>
      </w:r>
      <w:r w:rsidRPr="00F83F08">
        <w:rPr>
          <w:rFonts w:cs="Arial"/>
          <w:rtl/>
        </w:rPr>
        <w:t xml:space="preserve"> אם יולדת בצער דבר מיתה מצוי בה וגם אם היא קנתרנית אין הבעל יכול לסובלה</w:t>
      </w:r>
      <w:r>
        <w:rPr>
          <w:rFonts w:cs="Arial" w:hint="cs"/>
          <w:rtl/>
        </w:rPr>
        <w:t>, רא"ש (סי' א).</w:t>
      </w:r>
    </w:p>
  </w:footnote>
  <w:footnote w:id="2838">
    <w:p w14:paraId="6D98864A" w14:textId="77777777" w:rsidR="0013116F" w:rsidRDefault="0013116F" w:rsidP="004B607F">
      <w:pPr>
        <w:pStyle w:val="a9"/>
      </w:pPr>
      <w:r>
        <w:rPr>
          <w:rStyle w:val="ab"/>
        </w:rPr>
        <w:footnoteRef/>
      </w:r>
      <w:r>
        <w:rPr>
          <w:rFonts w:cs="Arial" w:hint="cs"/>
          <w:rtl/>
        </w:rPr>
        <w:t xml:space="preserve"> </w:t>
      </w:r>
      <w:r w:rsidRPr="00F83F08">
        <w:rPr>
          <w:rFonts w:cs="Arial"/>
          <w:rtl/>
        </w:rPr>
        <w:t>סבר כרב נתן דשמין באשה וגם בקרקע המיוחדת לכתובתה אם היא עידית או זבורית דבזה נותן הלוקח עיניו</w:t>
      </w:r>
      <w:r>
        <w:rPr>
          <w:rFonts w:cs="Arial" w:hint="cs"/>
          <w:rtl/>
        </w:rPr>
        <w:t>, רא"ש (סי' א).</w:t>
      </w:r>
      <w:r w:rsidRPr="000C788D">
        <w:rPr>
          <w:rFonts w:cs="Arial"/>
          <w:rtl/>
        </w:rPr>
        <w:t xml:space="preserve"> </w:t>
      </w:r>
      <w:r w:rsidRPr="00F83F08">
        <w:rPr>
          <w:rFonts w:cs="Arial"/>
          <w:rtl/>
        </w:rPr>
        <w:t>ורש"י פירש בענין אחר ועיין מה שכתב רבינו ירוחם לדעת רש"י בנ"ב ח"ז (יג ע"ד) ורבינו כתב פירוש הרא"ש ולא חששתי לכתוב כל הפירושים לפי שהוא דבר בלתי נוהג</w:t>
      </w:r>
      <w:r>
        <w:rPr>
          <w:rFonts w:hint="cs"/>
          <w:rtl/>
        </w:rPr>
        <w:t>, ב"י.</w:t>
      </w:r>
    </w:p>
  </w:footnote>
  <w:footnote w:id="2839">
    <w:p w14:paraId="0F64B487" w14:textId="77777777" w:rsidR="0013116F" w:rsidRDefault="0013116F" w:rsidP="004B607F">
      <w:pPr>
        <w:pStyle w:val="a9"/>
        <w:rPr>
          <w:rtl/>
        </w:rPr>
      </w:pPr>
      <w:r>
        <w:rPr>
          <w:rStyle w:val="ab"/>
        </w:rPr>
        <w:footnoteRef/>
      </w:r>
      <w:r>
        <w:rPr>
          <w:rtl/>
        </w:rPr>
        <w:t xml:space="preserve"> </w:t>
      </w:r>
      <w:r>
        <w:rPr>
          <w:rFonts w:hint="cs"/>
          <w:rtl/>
        </w:rPr>
        <w:t xml:space="preserve">סימן </w:t>
      </w:r>
      <w:r>
        <w:rPr>
          <w:rtl/>
        </w:rPr>
        <w:t>–</w:t>
      </w:r>
      <w:r>
        <w:rPr>
          <w:rFonts w:hint="cs"/>
          <w:rtl/>
        </w:rPr>
        <w:t xml:space="preserve"> נחצתה ומתקבלת/ומוזמת.</w:t>
      </w:r>
    </w:p>
  </w:footnote>
  <w:footnote w:id="2840">
    <w:p w14:paraId="256E6B66" w14:textId="77777777" w:rsidR="0013116F" w:rsidRDefault="0013116F" w:rsidP="004B607F">
      <w:pPr>
        <w:pStyle w:val="a9"/>
      </w:pPr>
      <w:r>
        <w:rPr>
          <w:rStyle w:val="ab"/>
        </w:rPr>
        <w:footnoteRef/>
      </w:r>
      <w:r>
        <w:rPr>
          <w:rFonts w:cs="Arial" w:hint="cs"/>
          <w:rtl/>
        </w:rPr>
        <w:t xml:space="preserve"> </w:t>
      </w:r>
      <w:r w:rsidRPr="00F83F08">
        <w:rPr>
          <w:rFonts w:cs="Arial"/>
          <w:rtl/>
        </w:rPr>
        <w:t>ולהכי כשר עדותן דאשתא דקא מסהיד האי לא קא מסהיד האי ואין כאן שני עדים קרובים בעדות אחת</w:t>
      </w:r>
      <w:r>
        <w:rPr>
          <w:rFonts w:cs="Arial" w:hint="cs"/>
          <w:rtl/>
        </w:rPr>
        <w:t>, רשב"ם.</w:t>
      </w:r>
    </w:p>
  </w:footnote>
  <w:footnote w:id="2841">
    <w:p w14:paraId="181ADF0E" w14:textId="77777777" w:rsidR="0013116F" w:rsidRDefault="0013116F" w:rsidP="004B607F">
      <w:pPr>
        <w:pStyle w:val="a9"/>
      </w:pPr>
      <w:r>
        <w:rPr>
          <w:rStyle w:val="ab"/>
        </w:rPr>
        <w:footnoteRef/>
      </w:r>
      <w:r>
        <w:rPr>
          <w:rFonts w:cs="Arial" w:hint="cs"/>
          <w:rtl/>
        </w:rPr>
        <w:t xml:space="preserve"> </w:t>
      </w:r>
      <w:r w:rsidRPr="00F83F08">
        <w:rPr>
          <w:rFonts w:cs="Arial"/>
          <w:rtl/>
        </w:rPr>
        <w:t>שאם הוזמו משלשין ביניהם וגם אין ניזומין עד שיוזמו כולן</w:t>
      </w:r>
      <w:r>
        <w:rPr>
          <w:rFonts w:hint="cs"/>
          <w:rtl/>
        </w:rPr>
        <w:t>, רשב"ם.</w:t>
      </w:r>
    </w:p>
  </w:footnote>
  <w:footnote w:id="2842">
    <w:p w14:paraId="59EBDC00" w14:textId="77777777" w:rsidR="0013116F" w:rsidRDefault="0013116F" w:rsidP="004B607F">
      <w:pPr>
        <w:pStyle w:val="a9"/>
      </w:pPr>
      <w:r>
        <w:rPr>
          <w:rStyle w:val="ab"/>
        </w:rPr>
        <w:footnoteRef/>
      </w:r>
      <w:r>
        <w:rPr>
          <w:rFonts w:cs="Arial" w:hint="cs"/>
          <w:rtl/>
        </w:rPr>
        <w:t xml:space="preserve"> </w:t>
      </w:r>
      <w:r w:rsidRPr="00F83F08">
        <w:rPr>
          <w:rFonts w:cs="Arial"/>
          <w:rtl/>
        </w:rPr>
        <w:t>וכבר כתבתי בסימן ל' (סי"ד) אמאי מכשירין בשנים מעידים שאכלה שנה ראשונה ושנים מעידים שאכלה שנה שניה ושנים מעידים שאכלה שנה שלישית מאי שנא משנים אומרים אחד בגבה ושנים אומרים אחד בכריסה (ב"ב שם)</w:t>
      </w:r>
      <w:r>
        <w:rPr>
          <w:rFonts w:cs="Arial" w:hint="cs"/>
          <w:rtl/>
        </w:rPr>
        <w:t xml:space="preserve">. </w:t>
      </w:r>
      <w:r w:rsidRPr="00F83F08">
        <w:rPr>
          <w:rFonts w:cs="Arial"/>
          <w:rtl/>
        </w:rPr>
        <w:t>וא"ת כיון דקיימא לן</w:t>
      </w:r>
      <w:r w:rsidRPr="00480779">
        <w:rPr>
          <w:rFonts w:cs="Arial"/>
          <w:sz w:val="16"/>
          <w:szCs w:val="16"/>
          <w:rtl/>
        </w:rPr>
        <w:t xml:space="preserve"> (ב"ק פד:) </w:t>
      </w:r>
      <w:r w:rsidRPr="00F83F08">
        <w:rPr>
          <w:rFonts w:cs="Arial"/>
          <w:rtl/>
        </w:rPr>
        <w:t>דלא מגבינן קנסא בבבל למה כתב רבינו כל דינים אלו של עדים זוממין וי"ל דנפקא מינה דאי תפס לא מפקינן מיניה</w:t>
      </w:r>
      <w:r>
        <w:rPr>
          <w:rFonts w:cs="Arial" w:hint="cs"/>
          <w:rtl/>
        </w:rPr>
        <w:t>, ב"י</w:t>
      </w:r>
      <w:r>
        <w:rPr>
          <w:rFonts w:hint="cs"/>
          <w:rtl/>
        </w:rPr>
        <w:t>.</w:t>
      </w:r>
    </w:p>
  </w:footnote>
  <w:footnote w:id="2843">
    <w:p w14:paraId="4863C384" w14:textId="77777777" w:rsidR="0013116F" w:rsidRDefault="0013116F" w:rsidP="004B607F">
      <w:pPr>
        <w:pStyle w:val="a9"/>
      </w:pPr>
      <w:r>
        <w:rPr>
          <w:rStyle w:val="ab"/>
        </w:rPr>
        <w:footnoteRef/>
      </w:r>
      <w:r>
        <w:rPr>
          <w:rtl/>
        </w:rPr>
        <w:t xml:space="preserve"> </w:t>
      </w:r>
      <w:r>
        <w:rPr>
          <w:rFonts w:hint="cs"/>
          <w:rtl/>
        </w:rPr>
        <w:t xml:space="preserve">והש"ך (סק"ב) חלק על הבנתו בדברי הרי"ף וכתב </w:t>
      </w:r>
      <w:r>
        <w:rPr>
          <w:rFonts w:cs="Arial" w:hint="cs"/>
          <w:rtl/>
        </w:rPr>
        <w:t>ש</w:t>
      </w:r>
      <w:r w:rsidRPr="00603336">
        <w:rPr>
          <w:rFonts w:cs="Arial"/>
          <w:rtl/>
        </w:rPr>
        <w:t>גם הרי"ף יכול להיות דמודה להרז"ה, שהרי הרי"ף בפרק מרובה לא כתב רק דהשטר פסול, אבל לא הוזכר שם כלל שהעדים יתחייבו לשלם ממון</w:t>
      </w:r>
      <w:r>
        <w:rPr>
          <w:rFonts w:cs="Arial" w:hint="cs"/>
          <w:rtl/>
        </w:rPr>
        <w:t>...</w:t>
      </w:r>
      <w:r w:rsidRPr="00603336">
        <w:rPr>
          <w:rFonts w:cs="Arial"/>
          <w:rtl/>
        </w:rPr>
        <w:t xml:space="preserve"> אלא ודאי משום שגם הרז"ה אינו חולק על הרי"ף כלל בזה, אלא ענין אחר מחודש קאמר בפני עצמו. ולא מצאתי לשום פוסק שחולק על הרז"ה בזה. הלכך העיקר כדבריו בזה.</w:t>
      </w:r>
    </w:p>
  </w:footnote>
  <w:footnote w:id="2844">
    <w:p w14:paraId="36507ECA" w14:textId="77777777" w:rsidR="0013116F" w:rsidRDefault="0013116F" w:rsidP="004B607F">
      <w:pPr>
        <w:pStyle w:val="a9"/>
      </w:pPr>
      <w:r>
        <w:rPr>
          <w:rStyle w:val="ab"/>
        </w:rPr>
        <w:footnoteRef/>
      </w:r>
      <w:r>
        <w:rPr>
          <w:rtl/>
        </w:rPr>
        <w:t xml:space="preserve"> </w:t>
      </w:r>
      <w:r>
        <w:rPr>
          <w:rFonts w:cs="Arial"/>
          <w:rtl/>
        </w:rPr>
        <w:t>משמע דס"ל אפילו כתוב בשטר שבזמנו כתבוהו, משום דהזמה חידוש הוא ואין לך בו אלא חידושו, דסתם עדות בע</w:t>
      </w:r>
      <w:r>
        <w:rPr>
          <w:rFonts w:cs="Arial" w:hint="cs"/>
          <w:rtl/>
        </w:rPr>
        <w:t>"</w:t>
      </w:r>
      <w:r>
        <w:rPr>
          <w:rFonts w:cs="Arial"/>
          <w:rtl/>
        </w:rPr>
        <w:t>פ הוא</w:t>
      </w:r>
      <w:r>
        <w:rPr>
          <w:rFonts w:cs="Arial" w:hint="cs"/>
          <w:rtl/>
        </w:rPr>
        <w:t>, ר"ן.</w:t>
      </w:r>
      <w:r>
        <w:rPr>
          <w:rFonts w:cs="Arial"/>
          <w:rtl/>
        </w:rPr>
        <w:t xml:space="preserve"> וכ</w:t>
      </w:r>
      <w:r>
        <w:rPr>
          <w:rFonts w:cs="Arial" w:hint="cs"/>
          <w:rtl/>
        </w:rPr>
        <w:t>'</w:t>
      </w:r>
      <w:r>
        <w:rPr>
          <w:rFonts w:cs="Arial"/>
          <w:rtl/>
        </w:rPr>
        <w:t xml:space="preserve"> הב"ח </w:t>
      </w:r>
      <w:r w:rsidRPr="00603336">
        <w:rPr>
          <w:rFonts w:cs="Arial" w:hint="cs"/>
          <w:sz w:val="16"/>
          <w:szCs w:val="16"/>
          <w:rtl/>
        </w:rPr>
        <w:t>(</w:t>
      </w:r>
      <w:r w:rsidRPr="00603336">
        <w:rPr>
          <w:rFonts w:cs="Arial"/>
          <w:sz w:val="16"/>
          <w:szCs w:val="16"/>
          <w:rtl/>
        </w:rPr>
        <w:t>סי</w:t>
      </w:r>
      <w:r w:rsidRPr="00603336">
        <w:rPr>
          <w:rFonts w:cs="Arial" w:hint="cs"/>
          <w:sz w:val="16"/>
          <w:szCs w:val="16"/>
          <w:rtl/>
        </w:rPr>
        <w:t>'</w:t>
      </w:r>
      <w:r w:rsidRPr="00603336">
        <w:rPr>
          <w:rFonts w:cs="Arial"/>
          <w:sz w:val="16"/>
          <w:szCs w:val="16"/>
          <w:rtl/>
        </w:rPr>
        <w:t xml:space="preserve"> לד סע</w:t>
      </w:r>
      <w:r w:rsidRPr="00603336">
        <w:rPr>
          <w:rFonts w:cs="Arial" w:hint="cs"/>
          <w:sz w:val="16"/>
          <w:szCs w:val="16"/>
          <w:rtl/>
        </w:rPr>
        <w:t>'</w:t>
      </w:r>
      <w:r w:rsidRPr="00603336">
        <w:rPr>
          <w:rFonts w:cs="Arial"/>
          <w:sz w:val="16"/>
          <w:szCs w:val="16"/>
          <w:rtl/>
        </w:rPr>
        <w:t xml:space="preserve"> יג</w:t>
      </w:r>
      <w:r w:rsidRPr="00603336">
        <w:rPr>
          <w:rFonts w:cs="Arial" w:hint="cs"/>
          <w:sz w:val="16"/>
          <w:szCs w:val="16"/>
          <w:rtl/>
        </w:rPr>
        <w:t>)</w:t>
      </w:r>
      <w:r>
        <w:rPr>
          <w:rFonts w:cs="Arial"/>
          <w:rtl/>
        </w:rPr>
        <w:t xml:space="preserve"> דנראה, דאף הרז"ה לא קאמר אלא לענין עונש העדים זוממין שאינו נוהג אלא בעדות בעל פה, אבל לגבי דין פסלות העדים מודה הרז"ה שהעדים פסולים</w:t>
      </w:r>
      <w:r>
        <w:rPr>
          <w:rFonts w:cs="Arial" w:hint="cs"/>
          <w:rtl/>
        </w:rPr>
        <w:t xml:space="preserve">... עכ"ל. והסכים הש"ך </w:t>
      </w:r>
      <w:r w:rsidRPr="00603336">
        <w:rPr>
          <w:rFonts w:cs="Arial" w:hint="cs"/>
          <w:sz w:val="16"/>
          <w:szCs w:val="16"/>
          <w:rtl/>
        </w:rPr>
        <w:t xml:space="preserve">(סק"ב) </w:t>
      </w:r>
      <w:r>
        <w:rPr>
          <w:rFonts w:cs="Arial" w:hint="cs"/>
          <w:rtl/>
        </w:rPr>
        <w:t xml:space="preserve">למסקנתו אך חלק על טעמו </w:t>
      </w:r>
      <w:r w:rsidRPr="00603336">
        <w:rPr>
          <w:rFonts w:cs="Arial" w:hint="cs"/>
          <w:sz w:val="16"/>
          <w:szCs w:val="16"/>
          <w:rtl/>
        </w:rPr>
        <w:t>(לא הבאתי טעם הב"ח)</w:t>
      </w:r>
      <w:r w:rsidRPr="00603336">
        <w:rPr>
          <w:rFonts w:cs="Arial"/>
          <w:rtl/>
        </w:rPr>
        <w:t>.</w:t>
      </w:r>
    </w:p>
  </w:footnote>
  <w:footnote w:id="2845">
    <w:p w14:paraId="491CCB12" w14:textId="77777777" w:rsidR="0013116F" w:rsidRDefault="0013116F" w:rsidP="004B607F">
      <w:pPr>
        <w:pStyle w:val="a9"/>
        <w:rPr>
          <w:rtl/>
        </w:rPr>
      </w:pPr>
      <w:r>
        <w:rPr>
          <w:rStyle w:val="ab"/>
        </w:rPr>
        <w:footnoteRef/>
      </w:r>
      <w:r>
        <w:rPr>
          <w:rtl/>
        </w:rPr>
        <w:t xml:space="preserve"> </w:t>
      </w:r>
      <w:r w:rsidRPr="00480779">
        <w:rPr>
          <w:rFonts w:cs="Arial"/>
          <w:rtl/>
        </w:rPr>
        <w:t>ומ"מ יכול התובע לומר אין לי עסק בזה אלא עם הנתבע, והנתבע צריך לשלם להתובע, והנתבע חוזר על העדים. ונפקא מינה אם יש להנתבע מזומנים או בינונית, או שנוח להוציא מידו ומיד העדים קשה להוציא, או שאין להן אלא זיבורית</w:t>
      </w:r>
      <w:r>
        <w:rPr>
          <w:rFonts w:hint="cs"/>
          <w:rtl/>
        </w:rPr>
        <w:t>, סמ"ע (סק"ב).</w:t>
      </w:r>
    </w:p>
  </w:footnote>
  <w:footnote w:id="2846">
    <w:p w14:paraId="70A75A83" w14:textId="77777777" w:rsidR="0013116F" w:rsidRDefault="0013116F" w:rsidP="004B607F">
      <w:pPr>
        <w:pStyle w:val="a9"/>
      </w:pPr>
      <w:r>
        <w:rPr>
          <w:rStyle w:val="ab"/>
        </w:rPr>
        <w:footnoteRef/>
      </w:r>
      <w:r>
        <w:rPr>
          <w:rtl/>
        </w:rPr>
        <w:t xml:space="preserve"> </w:t>
      </w:r>
      <w:r w:rsidRPr="00744F97">
        <w:rPr>
          <w:rFonts w:cs="Arial"/>
          <w:rtl/>
        </w:rPr>
        <w:t>עוד יש נפקא מינה אחריתי, דאי תפס לא מפקינן מיניה, וכ"כ המחבר בב"י בס</w:t>
      </w:r>
      <w:r>
        <w:rPr>
          <w:rFonts w:cs="Arial" w:hint="cs"/>
          <w:rtl/>
        </w:rPr>
        <w:t>"</w:t>
      </w:r>
      <w:r w:rsidRPr="00744F97">
        <w:rPr>
          <w:rFonts w:cs="Arial"/>
          <w:rtl/>
        </w:rPr>
        <w:t>ס זה, דמה"ט כתב הטור דיני הזמה אע</w:t>
      </w:r>
      <w:r>
        <w:rPr>
          <w:rFonts w:cs="Arial" w:hint="cs"/>
          <w:rtl/>
        </w:rPr>
        <w:t>"</w:t>
      </w:r>
      <w:r w:rsidRPr="00744F97">
        <w:rPr>
          <w:rFonts w:cs="Arial"/>
          <w:rtl/>
        </w:rPr>
        <w:t>פ שאין דרכו לכתוב דברים שאין נוהגים בזמן הזה. ובפרישה [סעיף ד'] כתבתי דנפ</w:t>
      </w:r>
      <w:r>
        <w:rPr>
          <w:rFonts w:cs="Arial" w:hint="cs"/>
          <w:rtl/>
        </w:rPr>
        <w:t>"מ</w:t>
      </w:r>
      <w:r w:rsidRPr="00744F97">
        <w:rPr>
          <w:rFonts w:cs="Arial"/>
          <w:rtl/>
        </w:rPr>
        <w:t xml:space="preserve"> דתרווייהו צריכי למיכתב בטור</w:t>
      </w:r>
      <w:r>
        <w:rPr>
          <w:rFonts w:cs="Arial" w:hint="cs"/>
          <w:rtl/>
        </w:rPr>
        <w:t>, סמ"ע (סק"ג).</w:t>
      </w:r>
      <w:r>
        <w:rPr>
          <w:rFonts w:hint="cs"/>
          <w:rtl/>
        </w:rPr>
        <w:t xml:space="preserve"> וכתב הש"ך (סק"ב) </w:t>
      </w:r>
      <w:r w:rsidRPr="00744F97">
        <w:rPr>
          <w:rFonts w:cs="Arial"/>
          <w:rtl/>
        </w:rPr>
        <w:t>ולי נראה דנפקא מינה עוד, היכא שכבר שילם זה על פיהם, וא</w:t>
      </w:r>
      <w:r>
        <w:rPr>
          <w:rFonts w:cs="Arial" w:hint="cs"/>
          <w:rtl/>
        </w:rPr>
        <w:t>"א</w:t>
      </w:r>
      <w:r w:rsidRPr="00744F97">
        <w:rPr>
          <w:rFonts w:cs="Arial"/>
          <w:rtl/>
        </w:rPr>
        <w:t xml:space="preserve"> למיהדר, כגון שהוא אלם או הלך למדינת הים או הוציא המעות ואין לו לשלם, חייבים העדים לשלם, כדלעיל סימן א' סעיף ד' בהג"ה. ואי לא היה להם דין עדים זוממים, רק שעדים אחרים היו מכחישים אותן ולא אמרו עמנו הייתם לא היו חייבים לשלם, דדילמא הם מעידים אמת והאחרים שקר, משא"כ בהזמה.</w:t>
      </w:r>
    </w:p>
  </w:footnote>
  <w:footnote w:id="2847">
    <w:p w14:paraId="5F483FC9" w14:textId="77777777" w:rsidR="0013116F" w:rsidRDefault="0013116F" w:rsidP="001D49D4">
      <w:pPr>
        <w:pStyle w:val="a9"/>
        <w:rPr>
          <w:rtl/>
        </w:rPr>
      </w:pPr>
      <w:r>
        <w:rPr>
          <w:rStyle w:val="ab"/>
        </w:rPr>
        <w:footnoteRef/>
      </w:r>
      <w:r>
        <w:rPr>
          <w:rtl/>
        </w:rPr>
        <w:t xml:space="preserve"> </w:t>
      </w:r>
      <w:r>
        <w:rPr>
          <w:rFonts w:hint="cs"/>
          <w:rtl/>
        </w:rPr>
        <w:t>סימן – קול על הלואה.</w:t>
      </w:r>
    </w:p>
  </w:footnote>
  <w:footnote w:id="2848">
    <w:p w14:paraId="71C3E6F2" w14:textId="77777777" w:rsidR="0013116F" w:rsidRDefault="0013116F" w:rsidP="001D49D4">
      <w:pPr>
        <w:pStyle w:val="a9"/>
      </w:pPr>
      <w:r>
        <w:rPr>
          <w:rStyle w:val="ab"/>
        </w:rPr>
        <w:footnoteRef/>
      </w:r>
      <w:r>
        <w:rPr>
          <w:rtl/>
        </w:rPr>
        <w:t xml:space="preserve"> נכסים משועבדים היינו אם הלוה מכר קרקעותיו לאחרים אחר שלוה מזה ונקראו משועבדים לפי שאע"פ שהם ברשות הקונה הם משועבדים לבעל חוב ונכסים בני חורין הם נכסי הלוה וקרקעותיו שלא מכרם, ב"י.</w:t>
      </w:r>
    </w:p>
  </w:footnote>
  <w:footnote w:id="2849">
    <w:p w14:paraId="037FC575" w14:textId="77777777" w:rsidR="0013116F" w:rsidRDefault="0013116F" w:rsidP="001D49D4">
      <w:pPr>
        <w:pStyle w:val="a9"/>
      </w:pPr>
      <w:r>
        <w:rPr>
          <w:rStyle w:val="ab"/>
        </w:rPr>
        <w:footnoteRef/>
      </w:r>
      <w:r>
        <w:rPr>
          <w:rtl/>
        </w:rPr>
        <w:t xml:space="preserve"> כלומר מדאורייתא משתעבדי נכסי הלוה למלוה שנאמר (דברים כד יא) יוציא אליך את העבוט, והוא הדין למקרקעי, ב"י. וכתב הש"ך </w:t>
      </w:r>
      <w:r>
        <w:rPr>
          <w:sz w:val="16"/>
          <w:szCs w:val="16"/>
          <w:rtl/>
        </w:rPr>
        <w:t xml:space="preserve">(סק"ב) </w:t>
      </w:r>
      <w:r>
        <w:rPr>
          <w:rtl/>
        </w:rPr>
        <w:t xml:space="preserve">דבאמת יש מחלוקת הפוסקים בזה, דעת הרי"ף ס"פ גט פשוט </w:t>
      </w:r>
      <w:r>
        <w:rPr>
          <w:sz w:val="16"/>
          <w:szCs w:val="16"/>
          <w:rtl/>
        </w:rPr>
        <w:t>(ב"ב פג. מדפה"ר)</w:t>
      </w:r>
      <w:r>
        <w:rPr>
          <w:rtl/>
        </w:rPr>
        <w:t xml:space="preserve"> והרמב"ם </w:t>
      </w:r>
      <w:r>
        <w:rPr>
          <w:sz w:val="16"/>
          <w:szCs w:val="16"/>
          <w:rtl/>
        </w:rPr>
        <w:t xml:space="preserve">(פי"א מה' מלוה ה"ד) </w:t>
      </w:r>
      <w:r>
        <w:rPr>
          <w:rtl/>
        </w:rPr>
        <w:t xml:space="preserve">וסמ"ג </w:t>
      </w:r>
      <w:r>
        <w:rPr>
          <w:sz w:val="16"/>
          <w:szCs w:val="16"/>
          <w:rtl/>
        </w:rPr>
        <w:t>(עשין צד)</w:t>
      </w:r>
      <w:r>
        <w:rPr>
          <w:rtl/>
        </w:rPr>
        <w:t xml:space="preserve"> דשעבודא דאו'. ומדברי התוס' </w:t>
      </w:r>
      <w:r>
        <w:rPr>
          <w:sz w:val="16"/>
          <w:szCs w:val="16"/>
          <w:rtl/>
        </w:rPr>
        <w:t xml:space="preserve">(פ"ק דקדושין דף יג: ד"ה אמר, ופרק יש בכור [בכורות] מח. ד"ה ודכולי) </w:t>
      </w:r>
      <w:r>
        <w:rPr>
          <w:rtl/>
        </w:rPr>
        <w:t xml:space="preserve">מבואר להדיא דקי"ל שעבודא לאו דאו', וכ"כ התוס' ס"פ גט פשוט </w:t>
      </w:r>
      <w:r>
        <w:rPr>
          <w:sz w:val="16"/>
          <w:szCs w:val="16"/>
          <w:rtl/>
        </w:rPr>
        <w:t xml:space="preserve">(קעו. ד"ה גובה) </w:t>
      </w:r>
      <w:r>
        <w:rPr>
          <w:rtl/>
        </w:rPr>
        <w:t xml:space="preserve">בשם ר"ח ור' אליהו, וכתבו שכן עיקר. וכ"כ המרדכי שם </w:t>
      </w:r>
      <w:r>
        <w:rPr>
          <w:sz w:val="16"/>
          <w:szCs w:val="16"/>
          <w:rtl/>
        </w:rPr>
        <w:t>(ס"ס תרנג)</w:t>
      </w:r>
      <w:r>
        <w:rPr>
          <w:rtl/>
        </w:rPr>
        <w:t>...</w:t>
      </w:r>
      <w:r>
        <w:rPr>
          <w:sz w:val="16"/>
          <w:szCs w:val="16"/>
          <w:rtl/>
        </w:rPr>
        <w:t xml:space="preserve"> </w:t>
      </w:r>
      <w:r>
        <w:rPr>
          <w:rtl/>
        </w:rPr>
        <w:t>וצ"ע.</w:t>
      </w:r>
    </w:p>
  </w:footnote>
  <w:footnote w:id="2850">
    <w:p w14:paraId="57C6D093" w14:textId="77777777" w:rsidR="0013116F" w:rsidRDefault="0013116F" w:rsidP="001D49D4">
      <w:pPr>
        <w:pStyle w:val="a9"/>
        <w:rPr>
          <w:rtl/>
        </w:rPr>
      </w:pPr>
      <w:r>
        <w:rPr>
          <w:rStyle w:val="ab"/>
        </w:rPr>
        <w:footnoteRef/>
      </w:r>
      <w:r>
        <w:rPr>
          <w:rtl/>
        </w:rPr>
        <w:t xml:space="preserve"> שלא ידעו שזה המוכר היה חייב כלום, אבל כשהיא מלוה בשטר כיון דאיכא תרתי שטר ועדים מפקי לקלא ולקוחות אפסידו אנפשייהו כיון שידעו שהיה חייב והלכו וקנו ממנו, וכשהוציא עליו כתב ידו כיון דליכא עדים לית ליה קלא שהוא חייב הלכך לא גבי ממשעבדי משום פסידא דלקוחות, ב"י.</w:t>
      </w:r>
    </w:p>
  </w:footnote>
  <w:footnote w:id="2851">
    <w:p w14:paraId="013C84A7" w14:textId="77777777" w:rsidR="0013116F" w:rsidRDefault="0013116F" w:rsidP="001D49D4">
      <w:pPr>
        <w:pStyle w:val="a9"/>
      </w:pPr>
      <w:r>
        <w:rPr>
          <w:rStyle w:val="ab"/>
        </w:rPr>
        <w:footnoteRef/>
      </w:r>
      <w:r>
        <w:rPr>
          <w:rtl/>
        </w:rPr>
        <w:t xml:space="preserve"> </w:t>
      </w:r>
      <w:r>
        <w:rPr>
          <w:rFonts w:hint="cs"/>
          <w:rtl/>
        </w:rPr>
        <w:t>סימן – יזרוק דמיו?</w:t>
      </w:r>
    </w:p>
  </w:footnote>
  <w:footnote w:id="2852">
    <w:p w14:paraId="09B9A7B4" w14:textId="77777777" w:rsidR="0013116F" w:rsidRDefault="0013116F" w:rsidP="001D49D4">
      <w:pPr>
        <w:pStyle w:val="a9"/>
        <w:rPr>
          <w:rtl/>
        </w:rPr>
      </w:pPr>
      <w:r>
        <w:rPr>
          <w:rStyle w:val="ab"/>
        </w:rPr>
        <w:footnoteRef/>
      </w:r>
      <w:r>
        <w:rPr>
          <w:rtl/>
        </w:rPr>
        <w:t xml:space="preserve"> דאמרי כי אין בו אחריות נכסים גובה אף מן המשועבדים, רש"י.</w:t>
      </w:r>
    </w:p>
  </w:footnote>
  <w:footnote w:id="2853">
    <w:p w14:paraId="32635E3D" w14:textId="77777777" w:rsidR="0013116F" w:rsidRDefault="0013116F" w:rsidP="001D49D4">
      <w:pPr>
        <w:pStyle w:val="a9"/>
      </w:pPr>
      <w:r>
        <w:rPr>
          <w:rStyle w:val="ab"/>
        </w:rPr>
        <w:footnoteRef/>
      </w:r>
      <w:r>
        <w:rPr>
          <w:rtl/>
        </w:rPr>
        <w:t xml:space="preserve"> שכותב לו שמשעבד לו קרקעותיו, ב"י.</w:t>
      </w:r>
    </w:p>
  </w:footnote>
  <w:footnote w:id="2854">
    <w:p w14:paraId="292311D5" w14:textId="77777777" w:rsidR="0013116F" w:rsidRDefault="0013116F" w:rsidP="001D49D4">
      <w:pPr>
        <w:pStyle w:val="a9"/>
      </w:pPr>
      <w:r>
        <w:rPr>
          <w:rStyle w:val="ab"/>
        </w:rPr>
        <w:footnoteRef/>
      </w:r>
      <w:r>
        <w:rPr>
          <w:rtl/>
        </w:rPr>
        <w:t xml:space="preserve"> כשאינו כתוב בשטר - סופר הוא שטעה, אבל זה לא לוה לו מעותיו בלא אחריות נכסים, דלא שדי אינש זוזי בכדי, רש"י.</w:t>
      </w:r>
    </w:p>
  </w:footnote>
  <w:footnote w:id="2855">
    <w:p w14:paraId="416FD509" w14:textId="77777777" w:rsidR="0013116F" w:rsidRDefault="0013116F" w:rsidP="001D49D4">
      <w:pPr>
        <w:pStyle w:val="a9"/>
      </w:pPr>
      <w:r>
        <w:rPr>
          <w:rStyle w:val="ab"/>
        </w:rPr>
        <w:footnoteRef/>
      </w:r>
      <w:r>
        <w:rPr>
          <w:rtl/>
        </w:rPr>
        <w:t xml:space="preserve"> ועיין בסימן נ"א (ס"א, ז), ב"י.</w:t>
      </w:r>
    </w:p>
  </w:footnote>
  <w:footnote w:id="2856">
    <w:p w14:paraId="7A4C8263" w14:textId="77777777" w:rsidR="0013116F" w:rsidRDefault="0013116F" w:rsidP="001D49D4">
      <w:pPr>
        <w:pStyle w:val="a9"/>
        <w:rPr>
          <w:rtl/>
        </w:rPr>
      </w:pPr>
      <w:r>
        <w:rPr>
          <w:rStyle w:val="ab"/>
        </w:rPr>
        <w:footnoteRef/>
      </w:r>
      <w:r>
        <w:rPr>
          <w:rtl/>
        </w:rPr>
        <w:t xml:space="preserve"> וכן הוא לקמן סימן מ"ט (ס"ט - י). ועיין לקמן סימן מ"ג איזה דבר תולין בטעות סופר..., דרכ"מ (אות ב).</w:t>
      </w:r>
    </w:p>
  </w:footnote>
  <w:footnote w:id="2857">
    <w:p w14:paraId="6432F677" w14:textId="77777777" w:rsidR="0013116F" w:rsidRDefault="0013116F" w:rsidP="001D49D4">
      <w:pPr>
        <w:pStyle w:val="a9"/>
      </w:pPr>
      <w:r>
        <w:rPr>
          <w:rStyle w:val="ab"/>
        </w:rPr>
        <w:footnoteRef/>
      </w:r>
      <w:r>
        <w:rPr>
          <w:rtl/>
        </w:rPr>
        <w:t xml:space="preserve"> וכן הוא לקמן בהדיא ריש סימן רכ"ה (ס"א) ועיין בתשובה בר ששת סימן שפ"ב ורס"ד אימתי תולין בטעות סופר ועיין לקמן סימן קי"א מדין אחריות טעות סופר, דרכ"מ (אות ב).</w:t>
      </w:r>
    </w:p>
  </w:footnote>
  <w:footnote w:id="2858">
    <w:p w14:paraId="12261FA8" w14:textId="77777777" w:rsidR="0013116F" w:rsidRDefault="0013116F" w:rsidP="001D49D4">
      <w:pPr>
        <w:pStyle w:val="a9"/>
      </w:pPr>
      <w:r>
        <w:rPr>
          <w:rStyle w:val="ab"/>
        </w:rPr>
        <w:footnoteRef/>
      </w:r>
      <w:r>
        <w:rPr>
          <w:rtl/>
        </w:rPr>
        <w:t xml:space="preserve"> </w:t>
      </w:r>
      <w:r>
        <w:rPr>
          <w:rFonts w:hint="cs"/>
          <w:rtl/>
        </w:rPr>
        <w:t>סימן – מקנה מתכוון למכתביה.</w:t>
      </w:r>
    </w:p>
  </w:footnote>
  <w:footnote w:id="2859">
    <w:p w14:paraId="5B991D23" w14:textId="77777777" w:rsidR="0013116F" w:rsidRDefault="0013116F" w:rsidP="001D49D4">
      <w:pPr>
        <w:pStyle w:val="a9"/>
      </w:pPr>
      <w:r>
        <w:rPr>
          <w:rStyle w:val="ab"/>
        </w:rPr>
        <w:footnoteRef/>
      </w:r>
      <w:r>
        <w:rPr>
          <w:rtl/>
        </w:rPr>
        <w:t xml:space="preserve"> משום דאין לאחר קנין כלום דכיון דמקנה ליה בסודר בפני עדים וממהר להקנותו מיד ואינו מדחהו עד שילך וימשוך במטלטלין או ילך ויחזיק בקרקעות מתכוין הוא להקנותו בעין יפה ומסתמא רוצה שיכתבו לו, רשב"ם.</w:t>
      </w:r>
    </w:p>
  </w:footnote>
  <w:footnote w:id="2860">
    <w:p w14:paraId="1BFFAEE5" w14:textId="77777777" w:rsidR="0013116F" w:rsidRDefault="0013116F" w:rsidP="001D49D4">
      <w:pPr>
        <w:pStyle w:val="a9"/>
      </w:pPr>
      <w:r>
        <w:rPr>
          <w:rStyle w:val="ab"/>
        </w:rPr>
        <w:footnoteRef/>
      </w:r>
      <w:r>
        <w:rPr>
          <w:rtl/>
        </w:rPr>
        <w:t xml:space="preserve"> </w:t>
      </w:r>
      <w:r>
        <w:rPr>
          <w:rFonts w:hint="cs"/>
          <w:rtl/>
        </w:rPr>
        <w:t>סימן – תאמר כתובו.</w:t>
      </w:r>
    </w:p>
  </w:footnote>
  <w:footnote w:id="2861">
    <w:p w14:paraId="3AE53F3D" w14:textId="77777777" w:rsidR="0013116F" w:rsidRDefault="0013116F" w:rsidP="001D49D4">
      <w:pPr>
        <w:pStyle w:val="a9"/>
      </w:pPr>
      <w:r>
        <w:rPr>
          <w:rStyle w:val="ab"/>
        </w:rPr>
        <w:footnoteRef/>
      </w:r>
      <w:r>
        <w:rPr>
          <w:rtl/>
        </w:rPr>
        <w:t xml:space="preserve"> וכתב רבינו סימן רל"ח (ס"ב) גבי הא דתנן (ב"ב קסז:) אין כותבין שטר ללוקח עד שיהא המוכר עמו- וכתב הרמב"ן (שם ד"ה כותבין) האי מילתא דפשיטא אלא מיירי שהמוכר הקנה לפלוני שלא בפני הלוקח ובא הלוקח שיכתבו לו השטר אין כותבין לו דלא אמרינן סתם קנין לכתיבה עומד אלא בפניו עכ"ל. ומשמע שהוא הדין לענין הלואה [בדק הבית] וכ"כ נמוק"י בפרק גט פשוט (עז: ד"ה והא דאיצטריך למימר אין כותבין) דהוא הדין להלואה [עד כאן]. ויש לתמוה למה לא הזכירו רבינו כאן, ב"י. </w:t>
      </w:r>
      <w:r>
        <w:rPr>
          <w:color w:val="FF0000"/>
          <w:rtl/>
        </w:rPr>
        <w:t>וצל"ע מדוע הב"י לא הזכיר שהרשב"א והרא"ה חולקים על הרמב"ן בזה, והביאם שם הנמוק"י.</w:t>
      </w:r>
    </w:p>
  </w:footnote>
  <w:footnote w:id="2862">
    <w:p w14:paraId="07B7DBE8" w14:textId="77777777" w:rsidR="0013116F" w:rsidRDefault="0013116F" w:rsidP="001D49D4">
      <w:pPr>
        <w:pStyle w:val="a9"/>
      </w:pPr>
      <w:r>
        <w:rPr>
          <w:rStyle w:val="ab"/>
        </w:rPr>
        <w:footnoteRef/>
      </w:r>
      <w:r>
        <w:rPr>
          <w:rtl/>
        </w:rPr>
        <w:t xml:space="preserve"> וכתב עוד שם דהא דאמר הודאה בפני שנים וצריך לומר להם כתובו היינו דקאמר אתם עדי ובלא זה אינה הודאה כלל. ועיין סימן ל"ב (סי"ד - טז, ומחודשים ח) וסימן פ"א (ס"ח - ט), ב"י.</w:t>
      </w:r>
    </w:p>
  </w:footnote>
  <w:footnote w:id="2863">
    <w:p w14:paraId="337C1778" w14:textId="77777777" w:rsidR="0013116F" w:rsidRDefault="0013116F" w:rsidP="001D49D4">
      <w:pPr>
        <w:pStyle w:val="a9"/>
      </w:pPr>
      <w:r>
        <w:rPr>
          <w:rStyle w:val="ab"/>
        </w:rPr>
        <w:footnoteRef/>
      </w:r>
      <w:r>
        <w:rPr>
          <w:rtl/>
        </w:rPr>
        <w:t xml:space="preserve"> ודין שטר שלא היה כתוב בו כתובו וחתומו ליה עיין שם, ב"י.  </w:t>
      </w:r>
    </w:p>
  </w:footnote>
  <w:footnote w:id="2864">
    <w:p w14:paraId="3A9D154F" w14:textId="77777777" w:rsidR="0013116F" w:rsidRDefault="0013116F" w:rsidP="001D49D4">
      <w:pPr>
        <w:pStyle w:val="a9"/>
        <w:rPr>
          <w:rtl/>
        </w:rPr>
      </w:pPr>
      <w:r>
        <w:rPr>
          <w:rStyle w:val="ab"/>
        </w:rPr>
        <w:footnoteRef/>
      </w:r>
      <w:r>
        <w:rPr>
          <w:rtl/>
        </w:rPr>
        <w:t xml:space="preserve"> </w:t>
      </w:r>
      <w:r>
        <w:rPr>
          <w:rFonts w:hint="cs"/>
          <w:rtl/>
        </w:rPr>
        <w:t>וכ"כ התוס' (ב"ב קעה. ד"ה ודברי שכ"מ).</w:t>
      </w:r>
    </w:p>
  </w:footnote>
  <w:footnote w:id="2865">
    <w:p w14:paraId="374752D0" w14:textId="77777777" w:rsidR="0013116F" w:rsidRDefault="0013116F" w:rsidP="001D49D4">
      <w:pPr>
        <w:pStyle w:val="a9"/>
      </w:pPr>
      <w:r>
        <w:rPr>
          <w:rStyle w:val="ab"/>
        </w:rPr>
        <w:footnoteRef/>
      </w:r>
      <w:r>
        <w:rPr>
          <w:rtl/>
        </w:rPr>
        <w:t xml:space="preserve"> וכתב מהרי"ו </w:t>
      </w:r>
      <w:r>
        <w:rPr>
          <w:sz w:val="16"/>
          <w:szCs w:val="16"/>
          <w:rtl/>
        </w:rPr>
        <w:t xml:space="preserve">(סי' צד) </w:t>
      </w:r>
      <w:r>
        <w:rPr>
          <w:rtl/>
        </w:rPr>
        <w:t>דמהא שמעינן דשטר שאינו כתקון חכמים אע"פ דשטר לא הוי מ"מ עדות העדים איכא</w:t>
      </w:r>
      <w:r>
        <w:rPr>
          <w:sz w:val="16"/>
          <w:szCs w:val="16"/>
          <w:rtl/>
        </w:rPr>
        <w:t xml:space="preserve"> {ע"כ דברי מהרי"ו}</w:t>
      </w:r>
      <w:r>
        <w:rPr>
          <w:rtl/>
        </w:rPr>
        <w:t xml:space="preserve">. וע"ש דדבריו צ"ע דהא בירושלמי </w:t>
      </w:r>
      <w:r>
        <w:rPr>
          <w:sz w:val="16"/>
          <w:szCs w:val="16"/>
          <w:rtl/>
        </w:rPr>
        <w:t xml:space="preserve">(כתובות פ"ב ה"ד) </w:t>
      </w:r>
      <w:r>
        <w:rPr>
          <w:rtl/>
        </w:rPr>
        <w:t xml:space="preserve">שהביא הרי"ף והרא"ש </w:t>
      </w:r>
      <w:r>
        <w:rPr>
          <w:sz w:val="16"/>
          <w:szCs w:val="16"/>
          <w:rtl/>
        </w:rPr>
        <w:t xml:space="preserve">(סי' טז) </w:t>
      </w:r>
      <w:r>
        <w:rPr>
          <w:rtl/>
        </w:rPr>
        <w:t xml:space="preserve">והתוס' </w:t>
      </w:r>
      <w:r>
        <w:rPr>
          <w:sz w:val="16"/>
          <w:szCs w:val="16"/>
          <w:rtl/>
        </w:rPr>
        <w:t xml:space="preserve">(כ: סוד"ה ור' יוחנן) </w:t>
      </w:r>
      <w:r>
        <w:rPr>
          <w:rtl/>
        </w:rPr>
        <w:t xml:space="preserve">והמרדכי </w:t>
      </w:r>
      <w:r>
        <w:rPr>
          <w:sz w:val="16"/>
          <w:szCs w:val="16"/>
          <w:rtl/>
        </w:rPr>
        <w:t xml:space="preserve">(סו"ס קמו) </w:t>
      </w:r>
      <w:r>
        <w:rPr>
          <w:rtl/>
        </w:rPr>
        <w:t xml:space="preserve">פ"ב דכתובות לא משמע כדבריו לחלק בין עד אחד לשני עדים, ע"ש גבי זה אומר כתב ידי וכו'. ונראה דמוהר"מ לא קאמר אלא בשטר מקויים ואין העדים צריכין להעיד על פה ולכן מהני עדותן אע"פ שאין זוכרין ואין השטר כתקנה מ"מ עדותן מיהא איכא כנ"ל מדבריהם, אבל נראה דהרשב"א </w:t>
      </w:r>
      <w:r>
        <w:rPr>
          <w:sz w:val="16"/>
          <w:szCs w:val="16"/>
          <w:rtl/>
        </w:rPr>
        <w:t xml:space="preserve">(שו"ת ח"א סי' אלף רט) </w:t>
      </w:r>
      <w:r>
        <w:rPr>
          <w:rtl/>
        </w:rPr>
        <w:t xml:space="preserve">חולק בזה שהרי כתב דכל שלא אמר כתובו וחתומו אינו אלא כפנקס בעלמא ומיקרי מפי כתבם כמו שנתבאר בתשובותיו, דרכ"מ </w:t>
      </w:r>
      <w:r>
        <w:rPr>
          <w:sz w:val="16"/>
          <w:szCs w:val="16"/>
          <w:rtl/>
        </w:rPr>
        <w:t>(אות ג)</w:t>
      </w:r>
      <w:r>
        <w:rPr>
          <w:rtl/>
        </w:rPr>
        <w:t xml:space="preserve">. וכתב הש"ך </w:t>
      </w:r>
      <w:r>
        <w:rPr>
          <w:sz w:val="16"/>
          <w:szCs w:val="16"/>
          <w:rtl/>
        </w:rPr>
        <w:t xml:space="preserve">(בסי' מו סקל"ד, וכעין זה כתב כאן סק"ט) </w:t>
      </w:r>
      <w:r>
        <w:rPr>
          <w:rtl/>
        </w:rPr>
        <w:t xml:space="preserve">דאין כאן מחלוקת, וגם הרשב"א </w:t>
      </w:r>
      <w:r>
        <w:rPr>
          <w:sz w:val="16"/>
          <w:szCs w:val="16"/>
          <w:rtl/>
        </w:rPr>
        <w:t xml:space="preserve">(ח"א סי' אלף רט) </w:t>
      </w:r>
      <w:r>
        <w:rPr>
          <w:rtl/>
        </w:rPr>
        <w:t xml:space="preserve">מודה דהיכא דאין השטר כתוב כתיקונו כשר לגמרי, אלא דהיכא דנכתב שלא מדעת הלוה פסול לגמרי דלא ניתן לכתוב ולא חשיב הגדת עדים כלל וצריכים לבוא ולהגיד בפה, וגם מהרי"ו </w:t>
      </w:r>
      <w:r>
        <w:rPr>
          <w:sz w:val="16"/>
          <w:szCs w:val="16"/>
          <w:rtl/>
        </w:rPr>
        <w:t xml:space="preserve">(סי' צד) </w:t>
      </w:r>
      <w:r>
        <w:rPr>
          <w:rtl/>
        </w:rPr>
        <w:t>ס"ל כן</w:t>
      </w:r>
      <w:r>
        <w:rPr>
          <w:sz w:val="16"/>
          <w:szCs w:val="16"/>
          <w:rtl/>
        </w:rPr>
        <w:t xml:space="preserve"> {וכן מפורש בתוס' [כ: דיבור ראשון] ובמהר"ם [ד"ק סי' רי])</w:t>
      </w:r>
      <w:r>
        <w:rPr>
          <w:rtl/>
        </w:rPr>
        <w:t xml:space="preserve">, וכן עיקר. </w:t>
      </w:r>
    </w:p>
  </w:footnote>
  <w:footnote w:id="2866">
    <w:p w14:paraId="4640CA9B" w14:textId="77777777" w:rsidR="0013116F" w:rsidRDefault="0013116F" w:rsidP="001D49D4">
      <w:pPr>
        <w:pStyle w:val="a9"/>
        <w:rPr>
          <w:rtl/>
        </w:rPr>
      </w:pPr>
      <w:r>
        <w:rPr>
          <w:rStyle w:val="ab"/>
        </w:rPr>
        <w:footnoteRef/>
      </w:r>
      <w:r>
        <w:rPr>
          <w:rtl/>
        </w:rPr>
        <w:t xml:space="preserve"> כתב בהג"א</w:t>
      </w:r>
      <w:r>
        <w:rPr>
          <w:sz w:val="16"/>
          <w:szCs w:val="16"/>
          <w:rtl/>
        </w:rPr>
        <w:t xml:space="preserve"> (פ' זה בורר סי' כז) </w:t>
      </w:r>
      <w:r>
        <w:rPr>
          <w:rtl/>
        </w:rPr>
        <w:t>הא דמהני קנין בהודאה היינו שקנו מידו שיתן לו חובו עד זמן פלוני, אבל אם אמר סתם הנני מודה לך בקנין בפני עדים שאני חייב לך, לא ידעתי על מה יחול הקנין הואיל ואינו מקנה לו עתה שום דבר. ומביאו הסמ"ע</w:t>
      </w:r>
      <w:r>
        <w:rPr>
          <w:sz w:val="16"/>
          <w:szCs w:val="16"/>
          <w:rtl/>
        </w:rPr>
        <w:t xml:space="preserve"> [סק"א]</w:t>
      </w:r>
      <w:r>
        <w:rPr>
          <w:rtl/>
        </w:rPr>
        <w:t xml:space="preserve">. ובבדה"ב </w:t>
      </w:r>
      <w:r>
        <w:rPr>
          <w:sz w:val="16"/>
          <w:szCs w:val="16"/>
          <w:rtl/>
        </w:rPr>
        <w:t xml:space="preserve">[סע' ו] </w:t>
      </w:r>
      <w:r>
        <w:rPr>
          <w:rtl/>
        </w:rPr>
        <w:t xml:space="preserve">השיג על הג"א דמועיל הקנין אף בכה"ג, והב"ח </w:t>
      </w:r>
      <w:r>
        <w:rPr>
          <w:sz w:val="16"/>
          <w:szCs w:val="16"/>
          <w:rtl/>
        </w:rPr>
        <w:t xml:space="preserve">[סע' ד] </w:t>
      </w:r>
      <w:r>
        <w:rPr>
          <w:rtl/>
        </w:rPr>
        <w:t xml:space="preserve">יישב דברי הג"א, וצ"ע לדינא. ועיין בספר גידו"ת </w:t>
      </w:r>
      <w:r>
        <w:rPr>
          <w:sz w:val="16"/>
          <w:szCs w:val="16"/>
          <w:rtl/>
        </w:rPr>
        <w:t>(שער מב ח"ה ס"ג דף קפב ע"ג)</w:t>
      </w:r>
      <w:r>
        <w:rPr>
          <w:rtl/>
        </w:rPr>
        <w:t xml:space="preserve">, ועיין לקמן ר"ס מ'. מיהו כל זה לענין שיהא טורף ממשעבדי, אבל לגבי עצמו פשיטא דמהני הודאה אף בלא קנין כשאמר אני מודה שאני חייב לך, ש"ך </w:t>
      </w:r>
      <w:r>
        <w:rPr>
          <w:sz w:val="16"/>
          <w:szCs w:val="16"/>
          <w:rtl/>
        </w:rPr>
        <w:t>(סק"א)</w:t>
      </w:r>
      <w:r>
        <w:rPr>
          <w:rtl/>
        </w:rPr>
        <w:t>.</w:t>
      </w:r>
    </w:p>
  </w:footnote>
  <w:footnote w:id="2867">
    <w:p w14:paraId="3EA97C5E" w14:textId="77777777" w:rsidR="0013116F" w:rsidRDefault="0013116F" w:rsidP="001D49D4">
      <w:pPr>
        <w:pStyle w:val="a9"/>
      </w:pPr>
      <w:r>
        <w:rPr>
          <w:rStyle w:val="ab"/>
        </w:rPr>
        <w:footnoteRef/>
      </w:r>
      <w:r>
        <w:rPr>
          <w:rtl/>
        </w:rPr>
        <w:t xml:space="preserve"> משועבדים נקראים נכסים שמכר הלוה או נתן במתנה לאחרים אחר שלוה מהמלוה. וה"ט דאינו גובה מהם, משום דאינהו לא ידעו בהלואה, דעדים בלא שטר לית ליה קלא, דכיון דמסתמא לא ניחא ליה ללוה דליפוק עליה קלא דהוא חייב, העדים אינם מוציאין הקול ויפסיד הלוקח, וה"ה המקבל מתנה, דבענינים הללו נתנו למקבל מתנה דין לוקח, דאילולא שקיבל הנאה ממנו לא היה נותן לו, אבל כשקנה בקנין סודר לפני עדים, אמרינן כיון דהקנה לו בעין יפה כ"כ ודאי אינו מקפיד בקלא, ואמרינן דמסתמא הוציאו העדים הקול, סמ"ע (סק"ב).  </w:t>
      </w:r>
    </w:p>
    <w:p w14:paraId="0714F6BF" w14:textId="77777777" w:rsidR="0013116F" w:rsidRDefault="0013116F" w:rsidP="001D49D4">
      <w:pPr>
        <w:pStyle w:val="a9"/>
        <w:rPr>
          <w:rtl/>
        </w:rPr>
      </w:pPr>
      <w:r>
        <w:rPr>
          <w:u w:val="single"/>
          <w:rtl/>
        </w:rPr>
        <w:t>ונחלקו האחרונים מה הדין אם עדי הקנין לא לפנינו להעיד מתי היה הקנין ולא כתוב בשטר את זמן הקנין:</w:t>
      </w:r>
      <w:r>
        <w:rPr>
          <w:rtl/>
        </w:rPr>
        <w:t xml:space="preserve"> </w:t>
      </w:r>
    </w:p>
    <w:p w14:paraId="4A4AB3A2" w14:textId="77777777" w:rsidR="0013116F" w:rsidRDefault="0013116F" w:rsidP="004B0475">
      <w:pPr>
        <w:pStyle w:val="a9"/>
        <w:numPr>
          <w:ilvl w:val="0"/>
          <w:numId w:val="271"/>
        </w:numPr>
        <w:rPr>
          <w:rtl/>
        </w:rPr>
      </w:pPr>
      <w:r>
        <w:rPr>
          <w:rtl/>
        </w:rPr>
        <w:t xml:space="preserve">סמ"ע </w:t>
      </w:r>
      <w:r>
        <w:rPr>
          <w:sz w:val="16"/>
          <w:szCs w:val="16"/>
          <w:rtl/>
        </w:rPr>
        <w:t>(סק"ב)</w:t>
      </w:r>
      <w:r>
        <w:rPr>
          <w:rtl/>
        </w:rPr>
        <w:t xml:space="preserve">- והיינו דוקא כשהעדים לפנינו וזוכרין זמן הקנין, דאל"כ אע"פ שהלוה מודה לו שקנה מידו מזמן זה, וגם יש עדים אחרים שראו הקנין, מ"מ הן לא מפקי הקלא אלא עדי הקנין עצמן, ויש לחוש שמא העדים עצמן שכחוהו, ואינו גובה ממשועבדים מזמן הקנין אא"כ יש שטר ביד המלוה ונזכר בו זמן הקנין, דאז גובה מאותו זמן. </w:t>
      </w:r>
    </w:p>
    <w:p w14:paraId="2EDA3B2C" w14:textId="77777777" w:rsidR="0013116F" w:rsidRDefault="0013116F" w:rsidP="004B0475">
      <w:pPr>
        <w:pStyle w:val="a9"/>
        <w:numPr>
          <w:ilvl w:val="0"/>
          <w:numId w:val="271"/>
        </w:numPr>
      </w:pPr>
      <w:r>
        <w:rPr>
          <w:rtl/>
        </w:rPr>
        <w:t xml:space="preserve">ש"ך </w:t>
      </w:r>
      <w:r>
        <w:rPr>
          <w:sz w:val="16"/>
          <w:szCs w:val="16"/>
          <w:rtl/>
        </w:rPr>
        <w:t>(סק"ג)</w:t>
      </w:r>
      <w:r>
        <w:rPr>
          <w:rtl/>
        </w:rPr>
        <w:t xml:space="preserve">- מ"ש הסמ"ע </w:t>
      </w:r>
      <w:r>
        <w:rPr>
          <w:sz w:val="16"/>
          <w:szCs w:val="16"/>
          <w:rtl/>
        </w:rPr>
        <w:t xml:space="preserve">(סק"ב, ובסי' מג סק"ל) </w:t>
      </w:r>
      <w:r>
        <w:rPr>
          <w:rtl/>
        </w:rPr>
        <w:t xml:space="preserve">לחלק בין כשהעדים לפנינו או לא - לא נהירא, כמ"ש לקמן סי' מג סע' טז סקל"ה </w:t>
      </w:r>
      <w:r>
        <w:rPr>
          <w:sz w:val="16"/>
          <w:szCs w:val="16"/>
          <w:rtl/>
        </w:rPr>
        <w:t>(דשם כתב דקי"ל קנין יש לו קול וטורף אפילו לא נכתב כלל ואין חילוק בין אם העדים לפנינו או לא)</w:t>
      </w:r>
      <w:r>
        <w:rPr>
          <w:rtl/>
        </w:rPr>
        <w:t>.</w:t>
      </w:r>
    </w:p>
  </w:footnote>
  <w:footnote w:id="2868">
    <w:p w14:paraId="051CE15A" w14:textId="77777777" w:rsidR="0013116F" w:rsidRDefault="0013116F" w:rsidP="001D49D4">
      <w:pPr>
        <w:pStyle w:val="a9"/>
        <w:rPr>
          <w:rtl/>
        </w:rPr>
      </w:pPr>
      <w:r>
        <w:rPr>
          <w:rStyle w:val="ab"/>
        </w:rPr>
        <w:footnoteRef/>
      </w:r>
      <w:r>
        <w:rPr>
          <w:rtl/>
        </w:rPr>
        <w:t xml:space="preserve"> </w:t>
      </w:r>
      <w:r>
        <w:rPr>
          <w:rFonts w:hint="cs"/>
          <w:rtl/>
        </w:rPr>
        <w:t>כך כתב הסמ"ע (סק"ג) שצריך לגרוס.</w:t>
      </w:r>
    </w:p>
  </w:footnote>
  <w:footnote w:id="2869">
    <w:p w14:paraId="3FFDEF6B" w14:textId="77777777" w:rsidR="0013116F" w:rsidRDefault="0013116F" w:rsidP="001D49D4">
      <w:pPr>
        <w:pStyle w:val="a9"/>
      </w:pPr>
      <w:r>
        <w:rPr>
          <w:rStyle w:val="ab"/>
        </w:rPr>
        <w:footnoteRef/>
      </w:r>
      <w:r>
        <w:rPr>
          <w:rtl/>
        </w:rPr>
        <w:t xml:space="preserve"> דשם כתב הרמ"א מקור דין אחריות טעות סופר שהוא בין במקרקעי בין במטלטלי, וחילק שם [סע' ב-ג] בין יצא מידו באונס או לא. ומיהו אותן החילוקים אינם שייכים כאן במלוה, דאף דאירע לו אונס, הלא כל לוה שנעשה לו טובה בהלואה חייב באונסים ולהחזיר להמלוה מעותיו שהלוה לו, ואם אין לו - טורף ממשעבדי, ודוקא בלוקח שלא הלוה מעות להמוכר אלא שקנה ממנו קרקע, והרי המוכר עשה את שלו שמסר לידו הקרקע, תו אינו חייב במה שיצא מידו באונס, סמ"ע (סק"ה).</w:t>
      </w:r>
    </w:p>
  </w:footnote>
  <w:footnote w:id="2870">
    <w:p w14:paraId="0BD6BEC8" w14:textId="77777777" w:rsidR="0013116F" w:rsidRDefault="0013116F" w:rsidP="001D49D4">
      <w:pPr>
        <w:pStyle w:val="a9"/>
      </w:pPr>
      <w:r>
        <w:rPr>
          <w:rStyle w:val="ab"/>
        </w:rPr>
        <w:footnoteRef/>
      </w:r>
      <w:r>
        <w:rPr>
          <w:rtl/>
        </w:rPr>
        <w:t xml:space="preserve"> ונראה דוקא מקבלי עדות ולא עשו פסק דין על העדות, אבל אם דנו וחייבו ע"פ העדות הו"ל מעשה ב"ד ויכולים לעשותו כשטר גמור, וכמ"ש לקמן סקי"ח בשם הנמוק"י ושאר פוסקים, ש"ך (סקי"ד).</w:t>
      </w:r>
    </w:p>
  </w:footnote>
  <w:footnote w:id="2871">
    <w:p w14:paraId="4861A924" w14:textId="77777777" w:rsidR="0013116F" w:rsidRDefault="0013116F" w:rsidP="001D49D4">
      <w:pPr>
        <w:pStyle w:val="a9"/>
      </w:pPr>
      <w:r>
        <w:rPr>
          <w:rStyle w:val="ab"/>
        </w:rPr>
        <w:footnoteRef/>
      </w:r>
      <w:r>
        <w:rPr>
          <w:rtl/>
        </w:rPr>
        <w:t xml:space="preserve"> </w:t>
      </w:r>
      <w:r>
        <w:rPr>
          <w:rFonts w:hint="cs"/>
          <w:rtl/>
        </w:rPr>
        <w:t>סימן – נשאל הנותן?</w:t>
      </w:r>
      <w:r>
        <w:rPr>
          <w:sz w:val="16"/>
          <w:szCs w:val="16"/>
          <w:rtl/>
        </w:rPr>
        <w:t xml:space="preserve"> (הסימן לדף נה שבו עיקר ענייננו)</w:t>
      </w:r>
      <w:r>
        <w:rPr>
          <w:rtl/>
        </w:rPr>
        <w:t>.</w:t>
      </w:r>
    </w:p>
  </w:footnote>
  <w:footnote w:id="2872">
    <w:p w14:paraId="65A2A38A" w14:textId="77777777" w:rsidR="0013116F" w:rsidRDefault="0013116F" w:rsidP="001D49D4">
      <w:pPr>
        <w:pStyle w:val="a9"/>
      </w:pPr>
      <w:r>
        <w:rPr>
          <w:rStyle w:val="ab"/>
        </w:rPr>
        <w:footnoteRef/>
      </w:r>
      <w:r>
        <w:rPr>
          <w:rtl/>
        </w:rPr>
        <w:t xml:space="preserve"> לאו דוקא, דה"ה אפילו לא אמר 'כתבו וחתמו והבו ליה' כיון דקנו מידו דסתם קנין לכתיבה עומד (ב"ב מ.), ולא נקט 'כתבו וחתמו והבו ליה' אלא משום סיפא דאפילו הכי צריך לאימלוכי ביה, וכ"כ התוס' </w:t>
      </w:r>
      <w:r>
        <w:rPr>
          <w:sz w:val="16"/>
          <w:szCs w:val="16"/>
          <w:rtl/>
        </w:rPr>
        <w:t>(כתובות נה. ד"ה כתובו, ב"ב מ. ד"ה ואין)</w:t>
      </w:r>
      <w:r>
        <w:rPr>
          <w:rtl/>
        </w:rPr>
        <w:t>, ב"י.</w:t>
      </w:r>
    </w:p>
  </w:footnote>
  <w:footnote w:id="2873">
    <w:p w14:paraId="2B68E0B1" w14:textId="77777777" w:rsidR="0013116F" w:rsidRDefault="0013116F" w:rsidP="001D49D4">
      <w:pPr>
        <w:pStyle w:val="a9"/>
      </w:pPr>
      <w:r>
        <w:rPr>
          <w:rStyle w:val="ab"/>
        </w:rPr>
        <w:footnoteRef/>
      </w:r>
      <w:r>
        <w:rPr>
          <w:rtl/>
        </w:rPr>
        <w:t xml:space="preserve"> דמפרש הרמב"ם דבפרק אף על פי מיירי אפילו בשטרי הודאות והלואות, ע"פ ב"י. וכתב עוד הב"י דבתשו' כלל נ"ז (סי' ג) נראה מדברי הרא"ש דסבירא ליה דהא דאמרינן צריך לאימלוכי ביה בכל שטר איירי וכדברי הרמב"ם ולא ידעתי למה לא הזכירו רבינו. אך הש"ך (סק"ד) כתב שהב"י לא כיון יפה, דהרא"ש שם מייתי ראיה מכח כל שכן, דאפילו בשטר מתנה דאמרינן כתובו וחתומו קנו מיניה לא צריך לאמלוכי ביה, דמשמע אבל אם מיחה לא יכתבו, א"כ כל שכן גבי שטר הלואה או מכר שיוכל למחות, וע"ש. ואדרבא פשט לשון הרא"ש בפסקיו ר"פ אף על פי [סי' ד'] משמע נמי דמפרש לה לענין מתנה ע"ש, וכן עיקר. עכ"ל הש"ך.</w:t>
      </w:r>
    </w:p>
  </w:footnote>
  <w:footnote w:id="2874">
    <w:p w14:paraId="7180ADEE" w14:textId="77777777" w:rsidR="0013116F" w:rsidRDefault="0013116F" w:rsidP="001D49D4">
      <w:pPr>
        <w:pStyle w:val="a9"/>
      </w:pPr>
      <w:r>
        <w:rPr>
          <w:rStyle w:val="ab"/>
        </w:rPr>
        <w:footnoteRef/>
      </w:r>
      <w:r>
        <w:rPr>
          <w:rtl/>
        </w:rPr>
        <w:t xml:space="preserve"> וכתב הר"ן (כב: ד"ה אמר) שלפיכך לא הזכירו דין זה בפרק זה בורר (כט:) והוזכר בפרק אף על פי, ואע"פ שברוב הנוסחאות כתוב 'הבו ליה' ולא 'הבו לה' היינו לפי שדין זה נוהג ג"כ בנותן מתנה לאחר, וכ"כ הה"מ. וכתב עוד (הר"ן שם) שבהעי"ט (אות ה הודאה עב:) ומפרשים אחרים סוברים כדברי הראב"ד ושאני בין ההיא דאף על פי לשטרי הודאות, דבשלמא בשטר מתנה כיון דבההוא שטרא מקנה חיישינן דלמא הדר ביה, אבל בהלואות שטרא גלויי מלתא בעלמא הוא וכיון דאמר כתבו כותבין ונותנין, ואע"ג דבהאי שטרא גבי ממשעבדי הא שיעבד נפשיה ע"כ, ב"י.</w:t>
      </w:r>
    </w:p>
  </w:footnote>
  <w:footnote w:id="2875">
    <w:p w14:paraId="709D762C" w14:textId="77777777" w:rsidR="0013116F" w:rsidRDefault="0013116F" w:rsidP="001D49D4">
      <w:pPr>
        <w:pStyle w:val="a9"/>
        <w:rPr>
          <w:rtl/>
        </w:rPr>
      </w:pPr>
      <w:r>
        <w:rPr>
          <w:rStyle w:val="ab"/>
        </w:rPr>
        <w:footnoteRef/>
      </w:r>
      <w:r>
        <w:rPr>
          <w:rtl/>
        </w:rPr>
        <w:t xml:space="preserve"> ונראה דהיינו כשאמר לכל א' מהן כתבו, שיכולים לעשות שטר מזמן הודאה השניה, או כשקנו ממנו, וטורף מזמן הודאה שניה, דאי לגבות ממנו, לא היה צריך לכתוב זה בשם תשובת הרשב"א, שהרי ש"ס ערוכה פרק זה בורר [סנהדרין ל:], ומוסכם מכל הפוסקים הודאה אחר הודאה מצטרפין, כדלעיל סימן ל' [סע' ו'], וכתבו רי"ו גופיה בסתם בנ"ב ח"ב בפשיטות, ש"ך (סקי"ד).</w:t>
      </w:r>
    </w:p>
  </w:footnote>
  <w:footnote w:id="2876">
    <w:p w14:paraId="63CB79C8" w14:textId="77777777" w:rsidR="0013116F" w:rsidRDefault="0013116F" w:rsidP="001D49D4">
      <w:pPr>
        <w:pStyle w:val="a9"/>
        <w:rPr>
          <w:rtl/>
        </w:rPr>
      </w:pPr>
      <w:r>
        <w:rPr>
          <w:rStyle w:val="ab"/>
        </w:rPr>
        <w:footnoteRef/>
      </w:r>
      <w:r>
        <w:rPr>
          <w:rtl/>
        </w:rPr>
        <w:t xml:space="preserve"> אבל בכתובה ושטר מתנה לכו"ע צריכים להמלך בו, וכדאיתא בפוסקים. ולקמן סי' פא </w:t>
      </w:r>
      <w:r>
        <w:rPr>
          <w:sz w:val="16"/>
          <w:szCs w:val="16"/>
          <w:rtl/>
        </w:rPr>
        <w:t>(סע' ו סקט"ז)</w:t>
      </w:r>
      <w:r>
        <w:rPr>
          <w:rtl/>
        </w:rPr>
        <w:t xml:space="preserve"> הבאתי דברי בהעי"ט </w:t>
      </w:r>
      <w:r>
        <w:rPr>
          <w:sz w:val="16"/>
          <w:szCs w:val="16"/>
          <w:rtl/>
        </w:rPr>
        <w:t>(אות ה הודאה)</w:t>
      </w:r>
      <w:r>
        <w:rPr>
          <w:rtl/>
        </w:rPr>
        <w:t xml:space="preserve"> דה"ה אם אמר המלוה כתובו ושתק לוה הוי שתיקה כהודאה וכותבין, ש"ך </w:t>
      </w:r>
      <w:r>
        <w:rPr>
          <w:sz w:val="16"/>
          <w:szCs w:val="16"/>
          <w:rtl/>
        </w:rPr>
        <w:t>(סק"ה)</w:t>
      </w:r>
      <w:r>
        <w:rPr>
          <w:rtl/>
        </w:rPr>
        <w:t>.</w:t>
      </w:r>
    </w:p>
  </w:footnote>
  <w:footnote w:id="2877">
    <w:p w14:paraId="100BDAFB" w14:textId="77777777" w:rsidR="0013116F" w:rsidRDefault="0013116F" w:rsidP="001D49D4">
      <w:pPr>
        <w:pStyle w:val="a9"/>
      </w:pPr>
      <w:r>
        <w:rPr>
          <w:rStyle w:val="ab"/>
        </w:rPr>
        <w:footnoteRef/>
      </w:r>
      <w:r>
        <w:rPr>
          <w:rtl/>
        </w:rPr>
        <w:t xml:space="preserve"> </w:t>
      </w:r>
      <w:r>
        <w:rPr>
          <w:rFonts w:hint="cs"/>
          <w:rtl/>
        </w:rPr>
        <w:t>סימן – מקנה מתכוון למכתביה.</w:t>
      </w:r>
    </w:p>
  </w:footnote>
  <w:footnote w:id="2878">
    <w:p w14:paraId="31DC832F" w14:textId="77777777" w:rsidR="0013116F" w:rsidRDefault="0013116F" w:rsidP="001D49D4">
      <w:pPr>
        <w:pStyle w:val="a9"/>
      </w:pPr>
      <w:r>
        <w:rPr>
          <w:rStyle w:val="ab"/>
        </w:rPr>
        <w:footnoteRef/>
      </w:r>
      <w:r>
        <w:rPr>
          <w:rtl/>
        </w:rPr>
        <w:t xml:space="preserve"> </w:t>
      </w:r>
      <w:r>
        <w:rPr>
          <w:rFonts w:hint="cs"/>
          <w:rtl/>
        </w:rPr>
        <w:t>וכן ב</w:t>
      </w:r>
      <w:r>
        <w:rPr>
          <w:rtl/>
        </w:rPr>
        <w:t>סנהדרין פרק זה בורר (כט:).</w:t>
      </w:r>
    </w:p>
  </w:footnote>
  <w:footnote w:id="2879">
    <w:p w14:paraId="73A17E29" w14:textId="77777777" w:rsidR="0013116F" w:rsidRDefault="0013116F" w:rsidP="001D49D4">
      <w:pPr>
        <w:pStyle w:val="a9"/>
        <w:rPr>
          <w:rtl/>
        </w:rPr>
      </w:pPr>
      <w:r>
        <w:rPr>
          <w:rStyle w:val="ab"/>
        </w:rPr>
        <w:footnoteRef/>
      </w:r>
      <w:r>
        <w:rPr>
          <w:rtl/>
        </w:rPr>
        <w:t xml:space="preserve"> ואין דבריו נראה לי שכיון שהוא מודה שחייב לחבירו מנה נכסיו משועבדים ונוטל קנין על שיעבוד נכסיו שמקנה לו נכסיו לשעבדם, ב"י (בבדה"ב).</w:t>
      </w:r>
    </w:p>
  </w:footnote>
  <w:footnote w:id="2880">
    <w:p w14:paraId="1571CDCE" w14:textId="77777777" w:rsidR="0013116F" w:rsidRDefault="0013116F" w:rsidP="001D49D4">
      <w:pPr>
        <w:pStyle w:val="a9"/>
        <w:rPr>
          <w:rtl/>
        </w:rPr>
      </w:pPr>
      <w:r>
        <w:rPr>
          <w:rStyle w:val="ab"/>
        </w:rPr>
        <w:footnoteRef/>
      </w:r>
      <w:r>
        <w:rPr>
          <w:rtl/>
        </w:rPr>
        <w:t xml:space="preserve"> </w:t>
      </w:r>
      <w:r>
        <w:rPr>
          <w:rFonts w:hint="cs"/>
          <w:rtl/>
        </w:rPr>
        <w:t xml:space="preserve">סימן – קנין עתיק בשטר </w:t>
      </w:r>
      <w:r>
        <w:rPr>
          <w:sz w:val="16"/>
          <w:szCs w:val="16"/>
          <w:rtl/>
        </w:rPr>
        <w:t>(חדש)</w:t>
      </w:r>
      <w:r>
        <w:rPr>
          <w:rtl/>
        </w:rPr>
        <w:t>.</w:t>
      </w:r>
    </w:p>
  </w:footnote>
  <w:footnote w:id="2881">
    <w:p w14:paraId="49F10252" w14:textId="77777777" w:rsidR="0013116F" w:rsidRDefault="0013116F" w:rsidP="001D49D4">
      <w:pPr>
        <w:pStyle w:val="a9"/>
        <w:rPr>
          <w:rtl/>
        </w:rPr>
      </w:pPr>
      <w:r>
        <w:rPr>
          <w:rStyle w:val="ab"/>
        </w:rPr>
        <w:footnoteRef/>
      </w:r>
      <w:r>
        <w:rPr>
          <w:rtl/>
        </w:rPr>
        <w:t xml:space="preserve"> </w:t>
      </w:r>
      <w:r>
        <w:rPr>
          <w:rFonts w:hint="cs"/>
          <w:rtl/>
        </w:rPr>
        <w:t xml:space="preserve">וז"ל הנמוק"י בשמו- </w:t>
      </w:r>
      <w:r>
        <w:rPr>
          <w:rtl/>
        </w:rPr>
        <w:t>בשטרי הלואה אין כותבין אלא כשעומדין עדיין תוך זמן הפרעון אבל לאחר זמנו אין כותבין, שמא פרע.</w:t>
      </w:r>
    </w:p>
  </w:footnote>
  <w:footnote w:id="2882">
    <w:p w14:paraId="3DF2DD41" w14:textId="77777777" w:rsidR="0013116F" w:rsidRDefault="0013116F" w:rsidP="001D49D4">
      <w:pPr>
        <w:pStyle w:val="a9"/>
      </w:pPr>
      <w:r>
        <w:rPr>
          <w:rStyle w:val="ab"/>
        </w:rPr>
        <w:footnoteRef/>
      </w:r>
      <w:r>
        <w:rPr>
          <w:rtl/>
        </w:rPr>
        <w:t xml:space="preserve"> גאונים </w:t>
      </w:r>
      <w:r>
        <w:rPr>
          <w:sz w:val="16"/>
          <w:szCs w:val="16"/>
          <w:rtl/>
        </w:rPr>
        <w:t xml:space="preserve">(כ"כ הרמב"ן </w:t>
      </w:r>
      <w:r>
        <w:rPr>
          <w:sz w:val="14"/>
          <w:szCs w:val="14"/>
          <w:rtl/>
        </w:rPr>
        <w:t>[כ. ד"ה ומצאתי]</w:t>
      </w:r>
      <w:r>
        <w:rPr>
          <w:sz w:val="16"/>
          <w:szCs w:val="16"/>
          <w:rtl/>
        </w:rPr>
        <w:t xml:space="preserve"> שמצא בחבור תשובות </w:t>
      </w:r>
      <w:r>
        <w:rPr>
          <w:sz w:val="14"/>
          <w:szCs w:val="14"/>
          <w:rtl/>
        </w:rPr>
        <w:t>{מהגאונים}</w:t>
      </w:r>
      <w:r>
        <w:rPr>
          <w:sz w:val="16"/>
          <w:szCs w:val="16"/>
          <w:rtl/>
        </w:rPr>
        <w:t>, והביא הר"ן [שם] דבריו)</w:t>
      </w:r>
      <w:r>
        <w:rPr>
          <w:rtl/>
        </w:rPr>
        <w:t xml:space="preserve"> בהעי"ט </w:t>
      </w:r>
      <w:r>
        <w:rPr>
          <w:sz w:val="16"/>
          <w:szCs w:val="16"/>
          <w:rtl/>
        </w:rPr>
        <w:t>(אות ע עיסקא יד., כ"כ בשמו הנמוק"י [שם])</w:t>
      </w:r>
      <w:r>
        <w:rPr>
          <w:rtl/>
        </w:rPr>
        <w:t xml:space="preserve"> רמב"ן </w:t>
      </w:r>
      <w:r>
        <w:rPr>
          <w:sz w:val="16"/>
          <w:szCs w:val="16"/>
          <w:rtl/>
        </w:rPr>
        <w:t>(שם, וכ"כ הר"ן שם בשמו)</w:t>
      </w:r>
      <w:r>
        <w:rPr>
          <w:rtl/>
        </w:rPr>
        <w:t xml:space="preserve"> ורא"ה </w:t>
      </w:r>
      <w:r>
        <w:rPr>
          <w:sz w:val="16"/>
          <w:szCs w:val="16"/>
          <w:rtl/>
        </w:rPr>
        <w:t>(כ"כ בשמו הנמוק"י [פרק גט פשוט עט: ד"ה אמר])</w:t>
      </w:r>
      <w:r>
        <w:rPr>
          <w:rtl/>
        </w:rPr>
        <w:t>.</w:t>
      </w:r>
    </w:p>
  </w:footnote>
  <w:footnote w:id="2883">
    <w:p w14:paraId="291EDBCF" w14:textId="77777777" w:rsidR="0013116F" w:rsidRDefault="0013116F" w:rsidP="001D49D4">
      <w:pPr>
        <w:pStyle w:val="a9"/>
        <w:rPr>
          <w:rtl/>
        </w:rPr>
      </w:pPr>
      <w:r>
        <w:rPr>
          <w:rStyle w:val="ab"/>
        </w:rPr>
        <w:footnoteRef/>
      </w:r>
      <w:r>
        <w:rPr>
          <w:rtl/>
        </w:rPr>
        <w:t xml:space="preserve"> וז"ל- שנים שקנו משמעון שחייב לראובן ולא הספיקו לכתוב השטר עד שמת יכולים לכתוב שטר לאחר מיתת שמעון ע"כ בשאלתות, ולמדנו מכולן שאע"פ שקבע לו זמן והוא אחר הזמן בין קיים לוה בין מת. העדים שקנו מידו כותבין החוב מזמן הקנין ואין חוששין לפרעון כלל דאי פרע איהו דאפסיד אנפשיה כשלא ביטל המלוה העדים או לא כתב שובר, דעדות של קנין אע"פ שלא נכתב הרי הוא כשטר לכל דבר, וכן הכריע הרב רבי יהודה אלברגילוני ז"ל. עכ"ל בעל התרומות.</w:t>
      </w:r>
    </w:p>
  </w:footnote>
  <w:footnote w:id="2884">
    <w:p w14:paraId="1FE35BD5" w14:textId="77777777" w:rsidR="0013116F" w:rsidRDefault="0013116F" w:rsidP="001D49D4">
      <w:pPr>
        <w:pStyle w:val="a9"/>
      </w:pPr>
      <w:r>
        <w:rPr>
          <w:rStyle w:val="ab"/>
        </w:rPr>
        <w:footnoteRef/>
      </w:r>
      <w:r>
        <w:rPr>
          <w:rtl/>
        </w:rPr>
        <w:t xml:space="preserve"> כתבו הרי"ף (ז:) והרא"ש (סי' טז) דפירש רב האי גאון ז"ל </w:t>
      </w:r>
      <w:r>
        <w:rPr>
          <w:sz w:val="16"/>
          <w:szCs w:val="16"/>
          <w:rtl/>
        </w:rPr>
        <w:t xml:space="preserve">{את הגמ' לעיל – כותב אדם עדותו על שטר וכו'} </w:t>
      </w:r>
      <w:r>
        <w:rPr>
          <w:rtl/>
        </w:rPr>
        <w:t>כגון שיש בידו עדות בקנין ושהתה לזמן מרובה, ואח"כ תבעו מלוה לכתוב לו אותה עדות בשטר או שתבעו להעיד לו בבית דין - הרי זה כותב לו עדותו על השטר או מעיד לו בה בבית דין ואפילו לאחר כמה שנים, ואינו חושש שמא נפרע לו אותו החוב או שמא נמחל. ודחו פירוש זה ופירשו בענין אחר, וכתב הרא"ש ומכל מקום יראה דיש לסמוך על דברי הגאון ש-...</w:t>
      </w:r>
    </w:p>
  </w:footnote>
  <w:footnote w:id="2885">
    <w:p w14:paraId="7046C6BA" w14:textId="77777777" w:rsidR="0013116F" w:rsidRDefault="0013116F" w:rsidP="001D49D4">
      <w:pPr>
        <w:pStyle w:val="a9"/>
        <w:rPr>
          <w:rtl/>
        </w:rPr>
      </w:pPr>
      <w:r>
        <w:rPr>
          <w:rStyle w:val="ab"/>
        </w:rPr>
        <w:footnoteRef/>
      </w:r>
      <w:r>
        <w:rPr>
          <w:rtl/>
        </w:rPr>
        <w:t xml:space="preserve"> ואכתוב בזה בסימן מג (סי"ב), ונראה דאפילו לדברי האומרים דלעולם כותבין השטר הני מילי בדידעי יומא דקנו מיניה אי נמי דכתבי ביה שטרא דנן איחרנוהו וכתבנוהו הא לאו הכי אין כותבין כמ"ש בסימן מ"ג (ס"ט) ופשוט הוא, ב"י.</w:t>
      </w:r>
      <w:r>
        <w:rPr>
          <w:color w:val="E36C0A" w:themeColor="accent6" w:themeShade="BF"/>
          <w:rtl/>
        </w:rPr>
        <w:t xml:space="preserve"> (וכ"ס בשו"ע)</w:t>
      </w:r>
    </w:p>
  </w:footnote>
  <w:footnote w:id="2886">
    <w:p w14:paraId="6642D14B" w14:textId="77777777" w:rsidR="0013116F" w:rsidRDefault="0013116F" w:rsidP="001D49D4">
      <w:pPr>
        <w:pStyle w:val="a9"/>
        <w:rPr>
          <w:rtl/>
        </w:rPr>
      </w:pPr>
      <w:r>
        <w:rPr>
          <w:rStyle w:val="ab"/>
        </w:rPr>
        <w:footnoteRef/>
      </w:r>
      <w:r>
        <w:rPr>
          <w:rtl/>
        </w:rPr>
        <w:t xml:space="preserve"> דכיון דידע דעדים כתבי ליה לשטרא כל זמן שירצה איבעי ליה למיכתב תברא ואי לא עבד - איהו אפסיד אנפשיה, רשב"א.</w:t>
      </w:r>
    </w:p>
  </w:footnote>
  <w:footnote w:id="2887">
    <w:p w14:paraId="2C6410AD" w14:textId="77777777" w:rsidR="0013116F" w:rsidRDefault="0013116F" w:rsidP="001D49D4">
      <w:pPr>
        <w:pStyle w:val="a9"/>
        <w:rPr>
          <w:rtl/>
        </w:rPr>
      </w:pPr>
      <w:r>
        <w:rPr>
          <w:rStyle w:val="ab"/>
        </w:rPr>
        <w:footnoteRef/>
      </w:r>
      <w:r>
        <w:rPr>
          <w:rtl/>
        </w:rPr>
        <w:t xml:space="preserve"> </w:t>
      </w:r>
      <w:r>
        <w:rPr>
          <w:rFonts w:hint="cs"/>
          <w:rtl/>
        </w:rPr>
        <w:t>וכתב הב"י ד</w:t>
      </w:r>
      <w:r>
        <w:rPr>
          <w:rtl/>
        </w:rPr>
        <w:t>נראה שלמד</w:t>
      </w:r>
      <w:r>
        <w:rPr>
          <w:sz w:val="16"/>
          <w:szCs w:val="16"/>
          <w:rtl/>
        </w:rPr>
        <w:t xml:space="preserve"> {הטור}</w:t>
      </w:r>
      <w:r>
        <w:rPr>
          <w:rtl/>
        </w:rPr>
        <w:t xml:space="preserve"> כן מדברי הגאונים שכתבו 'לא שנא שכיב מלוה לא שנא שכיב לוה כל דסמוך לקנין כותבין' וכמו שכתבתי בסמוך, והוא הדין דלדברי האומרים דלעולם כותבין לא שנא שכיב מלוה לא שנא שכיב לוה - כותבין, דלעולם לדעת הרא"ש, כתוך שלשים יום לדעת הגאונים דמי.</w:t>
      </w:r>
    </w:p>
  </w:footnote>
  <w:footnote w:id="2888">
    <w:p w14:paraId="15E07BF1" w14:textId="77777777" w:rsidR="0013116F" w:rsidRDefault="0013116F" w:rsidP="001D49D4">
      <w:pPr>
        <w:pStyle w:val="a9"/>
        <w:rPr>
          <w:rtl/>
        </w:rPr>
      </w:pPr>
      <w:r>
        <w:rPr>
          <w:rStyle w:val="ab"/>
        </w:rPr>
        <w:footnoteRef/>
      </w:r>
      <w:r>
        <w:rPr>
          <w:rtl/>
        </w:rPr>
        <w:t xml:space="preserve"> </w:t>
      </w:r>
      <w:r>
        <w:rPr>
          <w:rFonts w:hint="cs"/>
          <w:rtl/>
        </w:rPr>
        <w:t>דווקא על טריפה מיבעא, דאילו לגבי גבייה כו"ע מודי דגובה ממשעבדי אע"ג דלא כתיב שטרא כל שיש ב' עדים, כדאמר רב בפרק חזקת הבתים (מא:).</w:t>
      </w:r>
    </w:p>
  </w:footnote>
  <w:footnote w:id="2889">
    <w:p w14:paraId="5FFF7DC7" w14:textId="77777777" w:rsidR="0013116F" w:rsidRDefault="0013116F" w:rsidP="001D49D4">
      <w:pPr>
        <w:pStyle w:val="a9"/>
        <w:rPr>
          <w:rtl/>
        </w:rPr>
      </w:pPr>
      <w:r>
        <w:rPr>
          <w:rStyle w:val="ab"/>
        </w:rPr>
        <w:footnoteRef/>
      </w:r>
      <w:r>
        <w:rPr>
          <w:rtl/>
        </w:rPr>
        <w:t xml:space="preserve"> וכן יש ללמוד ממה שכתב הרא"ש בסוף פרק קמא דמציעא (סי' מט), ב"י.</w:t>
      </w:r>
    </w:p>
  </w:footnote>
  <w:footnote w:id="2890">
    <w:p w14:paraId="67892218" w14:textId="77777777" w:rsidR="0013116F" w:rsidRDefault="0013116F" w:rsidP="001D49D4">
      <w:pPr>
        <w:pStyle w:val="a9"/>
        <w:rPr>
          <w:rtl/>
        </w:rPr>
      </w:pPr>
      <w:r>
        <w:rPr>
          <w:rStyle w:val="ab"/>
        </w:rPr>
        <w:footnoteRef/>
      </w:r>
      <w:r>
        <w:rPr>
          <w:rtl/>
        </w:rPr>
        <w:t xml:space="preserve"> בכאן משמע דאינו יכול לטעון פרעתי נגד עדי קנין </w:t>
      </w:r>
      <w:r>
        <w:rPr>
          <w:sz w:val="16"/>
          <w:szCs w:val="16"/>
          <w:rtl/>
        </w:rPr>
        <w:t>(ואפילו לסברא האחרונה דאין כותבין, היינו מטעם דחיישינן שמא פרע, כלומר דילמא אי הוי קמן הוה מברר בעדים שפרע, או המלוה היה מודה לו)</w:t>
      </w:r>
      <w:r>
        <w:rPr>
          <w:rtl/>
        </w:rPr>
        <w:t>... דקנין יש לו דין שטר לכל דבר, הן לטרוף ממשעבדי הן לענין שאינו נאמן לומר פרעתי, ש"ך (סק"ו).</w:t>
      </w:r>
    </w:p>
  </w:footnote>
  <w:footnote w:id="2891">
    <w:p w14:paraId="12EDD4A7" w14:textId="77777777" w:rsidR="0013116F" w:rsidRDefault="0013116F" w:rsidP="001D49D4">
      <w:pPr>
        <w:pStyle w:val="a9"/>
      </w:pPr>
      <w:r>
        <w:rPr>
          <w:rStyle w:val="ab"/>
        </w:rPr>
        <w:footnoteRef/>
      </w:r>
      <w:r>
        <w:rPr>
          <w:rtl/>
        </w:rPr>
        <w:t xml:space="preserve"> בטור בסימן מ"ג סעיף ט' מפורש הטעם, דחיישינן שלוה בניסן וקנה קרקע באייר, ואיחרו וכתב זמן ההלואה מסיון, ואח"כ מכר הקרקע שקנה באייר, ואז המלוה טורף מהלוקח שלא כדין, דאילו היה נכתב הזמן מניסן היה ניכר שקנה אחר זמן ההלואה ולא היה יכול לטרוף מהלוקח, דקי"ל לוה ואח"כ קנה ומכר אין המלוה טורף מהלוקח, והשתא דכתב זמנו מסיון אינו ניכר שקדמה ההלואה להקנין ואתי למיטרף שלא כדין. וכתבו שם הטור [הנ"ל] והמחבר [סעיף י"ב] דמהאי טעמא אם כתב לו דאקני אין צריך לכתוב בהשטר דאיחרוהו וכתבוהו </w:t>
      </w:r>
      <w:r>
        <w:rPr>
          <w:sz w:val="16"/>
          <w:szCs w:val="16"/>
          <w:rtl/>
        </w:rPr>
        <w:t>(ואפילו למ"ד דאקני טעות סופר הוא כמ"ש לקמן בסימן קי"ב [סעיף א'], א"כ אף בדלא כתב דאקני א"צ לכתוב איחרנוהו. י"ל דמיירי שכתב בו מקצת אחריות, דאז לא אמרינן דאקני טעות סופר וכמו שכתבתי מור"ם לקמן בסימן קי"ב ע"ש)</w:t>
      </w:r>
      <w:r>
        <w:rPr>
          <w:rtl/>
        </w:rPr>
        <w:t>, סמ"ע (סק"ז).</w:t>
      </w:r>
    </w:p>
  </w:footnote>
  <w:footnote w:id="2892">
    <w:p w14:paraId="4903CDA7" w14:textId="77777777" w:rsidR="0013116F" w:rsidRDefault="0013116F" w:rsidP="001D49D4">
      <w:pPr>
        <w:pStyle w:val="a9"/>
        <w:rPr>
          <w:rtl/>
        </w:rPr>
      </w:pPr>
      <w:r>
        <w:rPr>
          <w:rStyle w:val="ab"/>
        </w:rPr>
        <w:footnoteRef/>
      </w:r>
      <w:r>
        <w:rPr>
          <w:rtl/>
        </w:rPr>
        <w:t xml:space="preserve"> וה"ה אם מתו שניהן המלוה והלוה, וגם צד כל שכן הוא במתו שניהן, סמ"ע (סק"ח).</w:t>
      </w:r>
    </w:p>
  </w:footnote>
  <w:footnote w:id="2893">
    <w:p w14:paraId="31F56858" w14:textId="77777777" w:rsidR="0013116F" w:rsidRDefault="0013116F" w:rsidP="001D49D4">
      <w:pPr>
        <w:pStyle w:val="a9"/>
      </w:pPr>
      <w:r>
        <w:rPr>
          <w:rStyle w:val="ab"/>
        </w:rPr>
        <w:footnoteRef/>
      </w:r>
      <w:r>
        <w:rPr>
          <w:rtl/>
        </w:rPr>
        <w:t xml:space="preserve"> הטעם, משום דסתם הלואה אינה אלא עד ל' יום, וכמ"ש הטו"ה לקמן ר"ס עג, וממילא אי קבעו לו זמן שלא לתבוע ממנו הלואתו עד שנה, מצי לכתוב לו כל השנה, דלא חיישינן דפרע לו בתוך זמנו, וזהו שמסיק המחבר וכתב- ואם קבע לו זמן לפרעון אין כותבין לו אחר אותו זמן, הא קודם לכן כותבין אע"פ שמשך הזמן טובא. ולסברא הראשונה אפילו אחר אותו זמן כותבין, סמ"ע (סק"ט).</w:t>
      </w:r>
    </w:p>
  </w:footnote>
  <w:footnote w:id="2894">
    <w:p w14:paraId="2EB0C84B" w14:textId="77777777" w:rsidR="0013116F" w:rsidRDefault="0013116F" w:rsidP="001D49D4">
      <w:pPr>
        <w:pStyle w:val="a9"/>
        <w:rPr>
          <w:rtl/>
        </w:rPr>
      </w:pPr>
      <w:r>
        <w:rPr>
          <w:rStyle w:val="ab"/>
        </w:rPr>
        <w:footnoteRef/>
      </w:r>
      <w:r>
        <w:rPr>
          <w:rtl/>
        </w:rPr>
        <w:t xml:space="preserve"> היינו להוציא אבל לא לגבות ממשעבדי, סמ"ע (סקי"א).</w:t>
      </w:r>
    </w:p>
  </w:footnote>
  <w:footnote w:id="2895">
    <w:p w14:paraId="4F00B44B" w14:textId="77777777" w:rsidR="0013116F" w:rsidRDefault="0013116F" w:rsidP="001D49D4">
      <w:pPr>
        <w:pStyle w:val="a9"/>
        <w:rPr>
          <w:rtl/>
        </w:rPr>
      </w:pPr>
      <w:r>
        <w:rPr>
          <w:rStyle w:val="ab"/>
        </w:rPr>
        <w:footnoteRef/>
      </w:r>
      <w:r>
        <w:rPr>
          <w:rtl/>
        </w:rPr>
        <w:t xml:space="preserve"> ולא נהירא לי דאפילו בסתם אמרינן אחריות טעות סופר הוא, ב"י (סי' קכט ס"ו, עיין שם). וגם הדרכ"מ (אות ג*) כתב לעיין לקמן סימן קכ"ט מדין זה בדברי נמוק"י וכתב שגם לקמן סימן ס"א (ס"ז) משמע שלא כדברי נמוק"י. וכ"פ הש"ך (סקי"ד) דסתם קנין לכתיבה עומד לכל דבר, ויש לו דין שטר ממש לכל דבר.</w:t>
      </w:r>
    </w:p>
  </w:footnote>
  <w:footnote w:id="2896">
    <w:p w14:paraId="69119349" w14:textId="77777777" w:rsidR="0013116F" w:rsidRDefault="0013116F" w:rsidP="001D49D4">
      <w:pPr>
        <w:pStyle w:val="a9"/>
        <w:rPr>
          <w:rtl/>
        </w:rPr>
      </w:pPr>
      <w:r>
        <w:rPr>
          <w:rStyle w:val="ab"/>
        </w:rPr>
        <w:footnoteRef/>
      </w:r>
      <w:r>
        <w:rPr>
          <w:rtl/>
        </w:rPr>
        <w:t xml:space="preserve"> </w:t>
      </w:r>
      <w:r>
        <w:rPr>
          <w:rFonts w:hint="cs"/>
          <w:rtl/>
        </w:rPr>
        <w:t>סימן – עוזב זה עשוי זה.</w:t>
      </w:r>
    </w:p>
  </w:footnote>
  <w:footnote w:id="2897">
    <w:p w14:paraId="624C42E4" w14:textId="77777777" w:rsidR="0013116F" w:rsidRDefault="0013116F" w:rsidP="001D49D4">
      <w:pPr>
        <w:pStyle w:val="a9"/>
        <w:rPr>
          <w:rtl/>
        </w:rPr>
      </w:pPr>
      <w:r>
        <w:rPr>
          <w:rStyle w:val="ab"/>
        </w:rPr>
        <w:footnoteRef/>
      </w:r>
      <w:r>
        <w:rPr>
          <w:rtl/>
        </w:rPr>
        <w:t xml:space="preserve"> וכתב הרא"ש (סי' ה) דאע"ג דסתם קנין לכתיבה בשטר עומד (שם מ.) וזכו בשדה זו משמע בקנין סודר אפילו הכי מצי למיהדר ביה, דהא ד'סתם קנין לכתיבה עומד' היינו דכל כמה דלא הדר ביה לא בעי לאימלוכי ביה ואע"ג דלא אמר כתובו, אבל אם מיחה בידם שלא לכתוב לא יכתבו חובתו בעל כרחו, וטעמא משום דאית ליה קלא לשטר יותר מלקנין ולא ניחא ליה דליפשו שטרי עליה משום דזיילי נכסיה, ואע"פ שגם הלוקח יכול לחזור בו ולומר אדעתא דלא כתבת לי שטרא לא זבני מיהו גם המוכר יכול לחזור בשטר או יקבלנו הלוקח בלא שטר.עכ"ל. והן דברי התוס' בפרק זה בורר (סנהדרין כט: ד"ה הודה). וכ"כ עוד הרא"ש פרק חזקת (סי' ל-לא), וכתב שיש מפרשים שאפילו עומד וצווח אל תכתבו כותבין בעל כרחו ולא מסתבר עכ"ל. ואע"פ שלענין מקח וממכר הוא שכתב הרא"ש כן - למד משם רבינו לענין הלואה, דכי איתמר סתם קנין לכתיבה עומד בין לענין הלואה בין לענין מקח וממכר איתמר, ומה שהרא"ש מפרש בו לענין מקח וממכר הוא הדין והוא הטעם לענין הלואה. ובפרק זה בורר גבי הא דאמרינן הודה בפני שנים וקנו מידו כותבין שהוא ענין הלואה כתב הרא"ש (סי' כז) משום דסתם קנין לכתיבה עומד מיהו אם מיחה שלא לכתוב לא יכתבו כדאיתא פרק המוכר את הספינה. אלמא סבירא ליה להרא"ש שמקח והלואה דינם שוה. ובתשובות כלל נ"ז (סו"ס ג) השוה בפירוש הלואה למקח וממכר בדין זה, ובכלל ס"ו סי' ב' כתב דכל שכן הוא. ועל מה שכתב מיהו אם מיחה שלא לכתוב וכו'.</w:t>
      </w:r>
    </w:p>
  </w:footnote>
  <w:footnote w:id="2898">
    <w:p w14:paraId="22AF09D5" w14:textId="77777777" w:rsidR="0013116F" w:rsidRDefault="0013116F" w:rsidP="001D49D4">
      <w:pPr>
        <w:pStyle w:val="a9"/>
      </w:pPr>
      <w:r>
        <w:rPr>
          <w:rStyle w:val="ab"/>
        </w:rPr>
        <w:footnoteRef/>
      </w:r>
      <w:r>
        <w:rPr>
          <w:rtl/>
        </w:rPr>
        <w:t xml:space="preserve"> ורבינו כתב בסימן ע"ג (ס"ח) בשם תשובת הרא"ש (כלל סו סי' ב) על ראובן שהלוה מנה לשמעון לפורעו לזמן פלוני וקנו מידו ושיעבד נכסיו ואח"כ מיחה שלא יכתבו שטר ראובן גובה חובו מיד, ב"י (בבדה"ב).</w:t>
      </w:r>
    </w:p>
  </w:footnote>
  <w:footnote w:id="2899">
    <w:p w14:paraId="30190486" w14:textId="77777777" w:rsidR="0013116F" w:rsidRDefault="0013116F" w:rsidP="001D49D4">
      <w:pPr>
        <w:pStyle w:val="a9"/>
        <w:rPr>
          <w:rtl/>
        </w:rPr>
      </w:pPr>
      <w:r>
        <w:rPr>
          <w:rStyle w:val="ab"/>
        </w:rPr>
        <w:footnoteRef/>
      </w:r>
      <w:r>
        <w:rPr>
          <w:rtl/>
        </w:rPr>
        <w:t xml:space="preserve"> ועיין בתשובות הרשב"א דפוס ווינעציא סימן אלף ול"ד, ב"י. </w:t>
      </w:r>
      <w:r>
        <w:rPr>
          <w:sz w:val="16"/>
          <w:szCs w:val="16"/>
          <w:rtl/>
        </w:rPr>
        <w:t>(דפסק כן דאין הלוה או מוכר יכולין למחות לאחר שסלקו עצמן מאותן מעמד אבל נותן מתנה יכול למחות ועיי"ש ובסימן אלף רי"א בתשובותיו, דרכ"מ [אות ה****])</w:t>
      </w:r>
    </w:p>
  </w:footnote>
  <w:footnote w:id="2900">
    <w:p w14:paraId="4ACF61D8" w14:textId="77777777" w:rsidR="0013116F" w:rsidRDefault="0013116F" w:rsidP="001D49D4">
      <w:pPr>
        <w:pStyle w:val="a9"/>
        <w:rPr>
          <w:rtl/>
        </w:rPr>
      </w:pPr>
      <w:r>
        <w:rPr>
          <w:rStyle w:val="ab"/>
        </w:rPr>
        <w:footnoteRef/>
      </w:r>
      <w:r>
        <w:rPr>
          <w:rtl/>
        </w:rPr>
        <w:t xml:space="preserve"> וכן נראה מתשובת הרשב"א, ב"י (בבדה"ב). וכ"כ הדרכ"מ</w:t>
      </w:r>
      <w:r>
        <w:rPr>
          <w:sz w:val="16"/>
          <w:szCs w:val="16"/>
          <w:rtl/>
        </w:rPr>
        <w:t xml:space="preserve"> (אות ה***, ובארוך ס"ג)</w:t>
      </w:r>
      <w:r>
        <w:rPr>
          <w:rtl/>
        </w:rPr>
        <w:t xml:space="preserve"> דכן דעת הרשב"א דכל שטר שנכתב שלא כדין אין לו דין שטר. עכ"ל. ונראה לפרש את דבריהם שגם הרשב"א מודה שאם שטר נכתב שלא כדין אז אין לו דין שטר אבל לגבי שטר זה שדיבר בו הרא"ש הרשב"א (ח"ג סי' יח) סובר שכותבים אע"ג דהלוה מוחה, וא"כ יש לו דין שטר. רק על העיקרון שכל שכתבו שטר שלא כדין אין לו דין שטר – בזה התכוונו הב"י והדרכ"מ שדעת הרשב"א מסכמת לדעת הרא"ש. וכמו שכתבי כך כתב כנה"ג (הגב"י אות כז).</w:t>
      </w:r>
    </w:p>
  </w:footnote>
  <w:footnote w:id="2901">
    <w:p w14:paraId="10E97B28" w14:textId="77777777" w:rsidR="0013116F" w:rsidRDefault="0013116F" w:rsidP="001D49D4">
      <w:pPr>
        <w:pStyle w:val="a9"/>
        <w:rPr>
          <w:rtl/>
        </w:rPr>
      </w:pPr>
      <w:r>
        <w:rPr>
          <w:rStyle w:val="ab"/>
        </w:rPr>
        <w:footnoteRef/>
      </w:r>
      <w:r>
        <w:rPr>
          <w:rtl/>
        </w:rPr>
        <w:t xml:space="preserve"> עיין בכלל הנזכר סימן ו' ובדברי רבינו סימן רמ"ג (ס"ו - יז) ועיין בכלל ל"ד סימן ג', ב"י. וכתב הדרכ"מ (אות ו)- ואם קבלו קנין ביחד לישא זה את זה ואמר על מנת שיכתבו השטרות והאחד חוזר בו קודם כתיבת השטרות ומוחה שלא לכתוב כתב הרא"ש בתשובה כלל ל"ד סימן ג' דאף הקנין בטל ועיין שם שהאריך בזה ועיין לקמן סימן רמ"ג מדינים אלו.</w:t>
      </w:r>
    </w:p>
  </w:footnote>
  <w:footnote w:id="2902">
    <w:p w14:paraId="68265F48" w14:textId="77777777" w:rsidR="0013116F" w:rsidRDefault="0013116F" w:rsidP="001D49D4">
      <w:pPr>
        <w:pStyle w:val="a9"/>
        <w:rPr>
          <w:rtl/>
        </w:rPr>
      </w:pPr>
      <w:r>
        <w:rPr>
          <w:rStyle w:val="ab"/>
        </w:rPr>
        <w:footnoteRef/>
      </w:r>
      <w:r>
        <w:rPr>
          <w:rtl/>
        </w:rPr>
        <w:t xml:space="preserve"> וכתב הש"ך (סקי"ב) דמשמע מכאן דאפילו לזכרון דברים בעלמא אין רשאין לכתוב. והביא הוכחה מדברי הרא"ש </w:t>
      </w:r>
      <w:r>
        <w:rPr>
          <w:sz w:val="16"/>
          <w:szCs w:val="16"/>
          <w:rtl/>
        </w:rPr>
        <w:t>(כלל סה סי' ג)</w:t>
      </w:r>
      <w:r>
        <w:rPr>
          <w:rtl/>
        </w:rPr>
        <w:t xml:space="preserve"> שהביא הב"י. אך התומים (סק"י) דחה דבריו בשתי ידיים, וגם מה שהביא הוכחה מדברי הרא"ש הוא להפך, דשם מבואר דאם הלוה מיחה ואמר שלא יכתבו, ולמרות זאת העדים כתבו - אע"ג דאין גובין במה שכתבו ממשעבדי מ"מ 'לענין זה הוי עדות מעליא לקיים כל מה שהודה בפני עדים</w:t>
      </w:r>
      <w:r>
        <w:rPr>
          <w:sz w:val="16"/>
          <w:szCs w:val="16"/>
          <w:rtl/>
        </w:rPr>
        <w:t xml:space="preserve"> {ל' הרא"ש}</w:t>
      </w:r>
      <w:r>
        <w:rPr>
          <w:rtl/>
        </w:rPr>
        <w:t>'. וגם הב"י (מחו' ד) הביא ראיה מדברי הרא"ש הללו. וסיים התומים- אלא ברור דסבירא ליה דהוי שטר לענין זה דלא יוכל לומר להד"ם כשארי עדות בע"פ וכדעת התוס' הנ"ל.</w:t>
      </w:r>
    </w:p>
  </w:footnote>
  <w:footnote w:id="2903">
    <w:p w14:paraId="23223E60" w14:textId="77777777" w:rsidR="0013116F" w:rsidRDefault="0013116F" w:rsidP="001D49D4">
      <w:pPr>
        <w:pStyle w:val="a9"/>
        <w:rPr>
          <w:rtl/>
        </w:rPr>
      </w:pPr>
      <w:r>
        <w:rPr>
          <w:rStyle w:val="ab"/>
        </w:rPr>
        <w:footnoteRef/>
      </w:r>
      <w:r>
        <w:rPr>
          <w:rtl/>
        </w:rPr>
        <w:t xml:space="preserve"> ע"ש ברשב"א דדוקא בלוה ומוכר כתב כן אבל בנותן מתנה ס"ל דיכול למחות, סמ"ע (סקי"ד). אך הש"ך (סקי"ג) כתב- עיינתי שם ברשב"א [סי' אלף לד] ואמת שבתחילת התשובה רוצה לומר כן, אבל מסקנתו לא נראה כן, אלא אפילו במתנה אינו יכול לחזור בו כשקנו מידו, ע"ש. וכן לקמן סימן זה סעיף י"ט מביא [הב"י] תשובת הרשב"א [ח"ג סי' י"ח] דכתב להדיא וז"ל, ובשטר מתנה שקנו מידו, י"א שאם מנעם מלכתוב שומעים לו, וי"א שאין שומעים לו ולזה הדעת נוטה, עכ"ל הרשב"א. ועי' עוד בש"ך.</w:t>
      </w:r>
    </w:p>
  </w:footnote>
  <w:footnote w:id="2904">
    <w:p w14:paraId="73BFADF5" w14:textId="77777777" w:rsidR="0013116F" w:rsidRDefault="0013116F" w:rsidP="001D49D4">
      <w:pPr>
        <w:pStyle w:val="a9"/>
        <w:rPr>
          <w:rtl/>
        </w:rPr>
      </w:pPr>
      <w:r>
        <w:rPr>
          <w:rStyle w:val="ab"/>
        </w:rPr>
        <w:footnoteRef/>
      </w:r>
      <w:r>
        <w:rPr>
          <w:rtl/>
        </w:rPr>
        <w:t xml:space="preserve"> </w:t>
      </w:r>
      <w:r>
        <w:rPr>
          <w:rFonts w:hint="cs"/>
          <w:rtl/>
        </w:rPr>
        <w:t xml:space="preserve">וכתב הסמ"ע (סקט"ו) </w:t>
      </w:r>
      <w:r>
        <w:rPr>
          <w:rtl/>
        </w:rPr>
        <w:t>שגם הטור ס"ל הכי.</w:t>
      </w:r>
    </w:p>
  </w:footnote>
  <w:footnote w:id="2905">
    <w:p w14:paraId="1B817BFA" w14:textId="77777777" w:rsidR="0013116F" w:rsidRDefault="0013116F" w:rsidP="001D49D4">
      <w:pPr>
        <w:pStyle w:val="a9"/>
        <w:rPr>
          <w:rtl/>
        </w:rPr>
      </w:pPr>
      <w:r>
        <w:rPr>
          <w:rStyle w:val="ab"/>
        </w:rPr>
        <w:footnoteRef/>
      </w:r>
      <w:r>
        <w:rPr>
          <w:rtl/>
        </w:rPr>
        <w:t xml:space="preserve"> וכבר כתבתי זה בסי' לו (ס"ג - ד ד"ה כתוב), ב"י.</w:t>
      </w:r>
    </w:p>
  </w:footnote>
  <w:footnote w:id="2906">
    <w:p w14:paraId="517DF5EB" w14:textId="77777777" w:rsidR="0013116F" w:rsidRDefault="0013116F" w:rsidP="001D49D4">
      <w:pPr>
        <w:pStyle w:val="a9"/>
        <w:rPr>
          <w:rtl/>
        </w:rPr>
      </w:pPr>
      <w:r>
        <w:rPr>
          <w:rStyle w:val="ab"/>
        </w:rPr>
        <w:footnoteRef/>
      </w:r>
      <w:r>
        <w:rPr>
          <w:rtl/>
        </w:rPr>
        <w:t xml:space="preserve"> ועיין בתשובותיו סימן אלף ור"ט ורי"א ובמישרים נט"ו ח"ב (מז ע"ג), ב"י.</w:t>
      </w:r>
    </w:p>
  </w:footnote>
  <w:footnote w:id="2907">
    <w:p w14:paraId="685018E0" w14:textId="77777777" w:rsidR="0013116F" w:rsidRDefault="0013116F" w:rsidP="001D49D4">
      <w:pPr>
        <w:pStyle w:val="a9"/>
        <w:rPr>
          <w:rtl/>
        </w:rPr>
      </w:pPr>
      <w:r>
        <w:rPr>
          <w:rStyle w:val="ab"/>
        </w:rPr>
        <w:footnoteRef/>
      </w:r>
      <w:r>
        <w:rPr>
          <w:rtl/>
        </w:rPr>
        <w:t xml:space="preserve"> </w:t>
      </w:r>
      <w:r>
        <w:rPr>
          <w:rFonts w:hint="cs"/>
          <w:rtl/>
        </w:rPr>
        <w:t>סימן – כותבין טרי</w:t>
      </w:r>
      <w:r>
        <w:rPr>
          <w:sz w:val="16"/>
          <w:szCs w:val="16"/>
          <w:rtl/>
        </w:rPr>
        <w:t xml:space="preserve"> (3)</w:t>
      </w:r>
      <w:r>
        <w:rPr>
          <w:rtl/>
        </w:rPr>
        <w:t>?.</w:t>
      </w:r>
    </w:p>
  </w:footnote>
  <w:footnote w:id="2908">
    <w:p w14:paraId="63D747C7" w14:textId="77777777" w:rsidR="0013116F" w:rsidRDefault="0013116F" w:rsidP="001D49D4">
      <w:pPr>
        <w:pStyle w:val="a9"/>
      </w:pPr>
      <w:r>
        <w:rPr>
          <w:rStyle w:val="ab"/>
        </w:rPr>
        <w:footnoteRef/>
      </w:r>
      <w:r>
        <w:rPr>
          <w:rtl/>
        </w:rPr>
        <w:t xml:space="preserve"> שטר הודאה בפני שלשה שלא קנו מידו, רש"י.</w:t>
      </w:r>
    </w:p>
  </w:footnote>
  <w:footnote w:id="2909">
    <w:p w14:paraId="54E9878A" w14:textId="77777777" w:rsidR="0013116F" w:rsidRDefault="0013116F" w:rsidP="001D49D4">
      <w:pPr>
        <w:pStyle w:val="a9"/>
      </w:pPr>
      <w:r>
        <w:rPr>
          <w:rStyle w:val="ab"/>
        </w:rPr>
        <w:footnoteRef/>
      </w:r>
      <w:r>
        <w:rPr>
          <w:rtl/>
        </w:rPr>
        <w:t xml:space="preserve"> שלשה שהיו יושבים ובא והודה לפניהם הואיל ולא זמנום ולא קבעום לכך לא נעשו בית דין אלא עדים דדלמא אי לא הוו אלא תרי הוה מודי ליה קמייהו ולא הוו מהדרי אחר בית דין, רש"י.</w:t>
      </w:r>
    </w:p>
  </w:footnote>
  <w:footnote w:id="2910">
    <w:p w14:paraId="1E01A8B4" w14:textId="77777777" w:rsidR="0013116F" w:rsidRDefault="0013116F" w:rsidP="001D49D4">
      <w:pPr>
        <w:pStyle w:val="a9"/>
      </w:pPr>
      <w:r>
        <w:rPr>
          <w:rStyle w:val="ab"/>
        </w:rPr>
        <w:footnoteRef/>
      </w:r>
      <w:r>
        <w:rPr>
          <w:rtl/>
        </w:rPr>
        <w:t xml:space="preserve"> דמדכניף תלתא דעתיה אבי דינא, רש"י.</w:t>
      </w:r>
    </w:p>
  </w:footnote>
  <w:footnote w:id="2911">
    <w:p w14:paraId="40B1C6A0" w14:textId="77777777" w:rsidR="0013116F" w:rsidRDefault="0013116F" w:rsidP="001D49D4">
      <w:pPr>
        <w:pStyle w:val="a9"/>
        <w:rPr>
          <w:rtl/>
        </w:rPr>
      </w:pPr>
      <w:r>
        <w:rPr>
          <w:rStyle w:val="ab"/>
        </w:rPr>
        <w:footnoteRef/>
      </w:r>
      <w:r>
        <w:rPr>
          <w:rtl/>
        </w:rPr>
        <w:t xml:space="preserve"> כדרך הדיינין, רש"י.</w:t>
      </w:r>
    </w:p>
  </w:footnote>
  <w:footnote w:id="2912">
    <w:p w14:paraId="7F1DBBAB" w14:textId="77777777" w:rsidR="0013116F" w:rsidRDefault="0013116F" w:rsidP="001D49D4">
      <w:pPr>
        <w:pStyle w:val="a9"/>
      </w:pPr>
      <w:r>
        <w:rPr>
          <w:rStyle w:val="ab"/>
        </w:rPr>
        <w:footnoteRef/>
      </w:r>
      <w:r>
        <w:rPr>
          <w:rtl/>
        </w:rPr>
        <w:t xml:space="preserve"> שליחא בשמייהו ללוה למיתי קמייהו לדינא ואודויי והואיל ועומד בדין נעשית כמלוה בשטר שגלויה לכל הילכך כתבינן, רש"י.</w:t>
      </w:r>
    </w:p>
  </w:footnote>
  <w:footnote w:id="2913">
    <w:p w14:paraId="32B57D44" w14:textId="77777777" w:rsidR="0013116F" w:rsidRDefault="0013116F" w:rsidP="001D49D4">
      <w:pPr>
        <w:pStyle w:val="a9"/>
        <w:rPr>
          <w:rtl/>
        </w:rPr>
      </w:pPr>
      <w:r>
        <w:rPr>
          <w:rStyle w:val="ab"/>
        </w:rPr>
        <w:footnoteRef/>
      </w:r>
      <w:r>
        <w:rPr>
          <w:rtl/>
        </w:rPr>
        <w:t xml:space="preserve"> כתב הב"י (בבדה"ב) דמפשטא דשמעתא משמע דבעינן שיקבעו הדיינים מקום כדי לדון דין זה אבל אם היו מקובצים מעצמם לא כתבינן וכן נראה מדברי תשובת הרשב"א שאכתוב בסימן זה (מחודש כא) אבל הרמב"ם כתב-...</w:t>
      </w:r>
    </w:p>
  </w:footnote>
  <w:footnote w:id="2914">
    <w:p w14:paraId="77937423" w14:textId="77777777" w:rsidR="0013116F" w:rsidRDefault="0013116F" w:rsidP="001D49D4">
      <w:pPr>
        <w:pStyle w:val="a9"/>
        <w:rPr>
          <w:rtl/>
        </w:rPr>
      </w:pPr>
      <w:r>
        <w:rPr>
          <w:rStyle w:val="ab"/>
        </w:rPr>
        <w:footnoteRef/>
      </w:r>
      <w:r>
        <w:rPr>
          <w:rtl/>
        </w:rPr>
        <w:t xml:space="preserve"> נראה מדבריו דכי אמרינן עד דקבעי דוכתא לאו למימרא שיקבעו מקום לדון דין זה אלא היינו לומר שיהיו יושבין מקובצים במקום הקבוע להם ואפילו היו יושבים מעצמם, ב"י (בבדה"ב).</w:t>
      </w:r>
    </w:p>
  </w:footnote>
  <w:footnote w:id="2915">
    <w:p w14:paraId="6EDB6C21" w14:textId="77777777" w:rsidR="0013116F" w:rsidRDefault="0013116F" w:rsidP="001D49D4">
      <w:pPr>
        <w:pStyle w:val="a9"/>
      </w:pPr>
      <w:r>
        <w:rPr>
          <w:rStyle w:val="ab"/>
        </w:rPr>
        <w:footnoteRef/>
      </w:r>
      <w:r>
        <w:rPr>
          <w:rtl/>
        </w:rPr>
        <w:t xml:space="preserve"> ויתבאר בסימן מ"ט (ס"ב), ב"י.</w:t>
      </w:r>
    </w:p>
  </w:footnote>
  <w:footnote w:id="2916">
    <w:p w14:paraId="72D03348" w14:textId="77777777" w:rsidR="0013116F" w:rsidRDefault="0013116F" w:rsidP="001D49D4">
      <w:pPr>
        <w:pStyle w:val="a9"/>
      </w:pPr>
      <w:r>
        <w:rPr>
          <w:rStyle w:val="ab"/>
        </w:rPr>
        <w:footnoteRef/>
      </w:r>
      <w:r>
        <w:rPr>
          <w:rtl/>
        </w:rPr>
        <w:t xml:space="preserve"> אבל בספר מישרים </w:t>
      </w:r>
      <w:r>
        <w:rPr>
          <w:sz w:val="16"/>
          <w:szCs w:val="16"/>
          <w:rtl/>
        </w:rPr>
        <w:t>(נ"א ח"ז, הביא הב"י דבריו והובאו דבריו בסמוך)</w:t>
      </w:r>
      <w:r>
        <w:rPr>
          <w:rtl/>
        </w:rPr>
        <w:t xml:space="preserve"> לא משמע כן אלא אע"ג דתבע ליה אפ"ה לא מקרי הודאה בב"ד עד שקבעו מקום וישלחו אחריו. ובאמת שדברי נמוק"י תמוהים דבודאי כל ששולחין הבית דין אחריו מכח תביעת התובע הוא, ואי זה לחוד מהני למה הצריכו לקבוע עצמן, תיפוק ליה דתבעו התובע, וצ"ע, דרכ"מ </w:t>
      </w:r>
      <w:r>
        <w:rPr>
          <w:sz w:val="16"/>
          <w:szCs w:val="16"/>
          <w:rtl/>
        </w:rPr>
        <w:t>(אות ז)</w:t>
      </w:r>
      <w:r>
        <w:rPr>
          <w:rtl/>
        </w:rPr>
        <w:t xml:space="preserve">. אך הש"ך </w:t>
      </w:r>
      <w:r>
        <w:rPr>
          <w:sz w:val="16"/>
          <w:szCs w:val="16"/>
          <w:rtl/>
        </w:rPr>
        <w:t xml:space="preserve">(סקי"ח) </w:t>
      </w:r>
      <w:r>
        <w:rPr>
          <w:rtl/>
        </w:rPr>
        <w:t>כתב שאין חולק על דברי הנמוק"י, משום דרי"ו ושאר פוסקים אע"פ דמיירי שתבעו התובע, מ"מ הנתבע מודה מעצמו ולא שנתחייב ע"י תביעה, ולכך כתבו דין זה כאן בסימן זה דמיירי מעניני הודאה ולא כתבו כן בשאר מקומות, אבל בנתחייב בהודאתו ע"י תביעה אין חולק על הנמוק"י, ואדרבא משמע מדברי הפוסקים כדבריו... וכן נראה עיקר. עכ"ל הש"ך. ועיין בתומים (סקי"א) שחולק על הש"ך.</w:t>
      </w:r>
    </w:p>
  </w:footnote>
  <w:footnote w:id="2917">
    <w:p w14:paraId="384C56C1" w14:textId="77777777" w:rsidR="0013116F" w:rsidRDefault="0013116F" w:rsidP="001D49D4">
      <w:pPr>
        <w:pStyle w:val="a9"/>
      </w:pPr>
      <w:r>
        <w:rPr>
          <w:rStyle w:val="ab"/>
        </w:rPr>
        <w:footnoteRef/>
      </w:r>
      <w:r>
        <w:rPr>
          <w:rtl/>
        </w:rPr>
        <w:t xml:space="preserve"> </w:t>
      </w:r>
      <w:r>
        <w:rPr>
          <w:rFonts w:hint="cs"/>
          <w:rtl/>
        </w:rPr>
        <w:t xml:space="preserve">בב"י איתא רמב"ן, </w:t>
      </w:r>
      <w:r>
        <w:rPr>
          <w:rtl/>
        </w:rPr>
        <w:t>והש"ך (סקי"ט) כתב שצריך לכתוב רמב"ם.</w:t>
      </w:r>
    </w:p>
  </w:footnote>
  <w:footnote w:id="2918">
    <w:p w14:paraId="63A8FEDB" w14:textId="77777777" w:rsidR="0013116F" w:rsidRDefault="0013116F" w:rsidP="001D49D4">
      <w:pPr>
        <w:pStyle w:val="a9"/>
      </w:pPr>
      <w:r>
        <w:rPr>
          <w:rStyle w:val="ab"/>
        </w:rPr>
        <w:footnoteRef/>
      </w:r>
      <w:r>
        <w:rPr>
          <w:rtl/>
        </w:rPr>
        <w:t xml:space="preserve"> ר"ל כל שחסר מאלו ב' דברים, גר"א (סקל"ז). וכ"כ הסמ"ע (סקי"ח). והש"ך (סקי"ט). וכתב עוד הש"ך שם דפשיטא דבלא שלחו לו לא מהני כשהם קבועים מעצמם, וכל שכן הוא... ועיין בתשובת רשב"א [ח"א סי' אלף קמט] שהביא ב"י (מחו' כא), ובבדה"ב ובב"ח [סע' ח], וקיצרתי בזה כי הכל תלוי אם עושים כדרך הדיינים וכמ"ש רש"י [סנהדרין כט: ד"ה] דקבעי דוכתא, כדרך הדיינים.</w:t>
      </w:r>
    </w:p>
  </w:footnote>
  <w:footnote w:id="2919">
    <w:p w14:paraId="6546021B" w14:textId="77777777" w:rsidR="0013116F" w:rsidRDefault="0013116F" w:rsidP="001D49D4">
      <w:pPr>
        <w:pStyle w:val="a9"/>
        <w:rPr>
          <w:rtl/>
        </w:rPr>
      </w:pPr>
      <w:r>
        <w:rPr>
          <w:rStyle w:val="ab"/>
        </w:rPr>
        <w:footnoteRef/>
      </w:r>
      <w:r>
        <w:rPr>
          <w:rtl/>
        </w:rPr>
        <w:t xml:space="preserve"> והיינו דוקא בכה"ג מפני שאינו מעלה על דעתו שאלו השלשה כתבו וחתמו הודאתו ונתנו ביד זה שהודה לו, אבל כשתבעו ושלחו אחריו, הוא יודע שיתנו לו הודאתו כתוב וחתום, ותו לא יפרע לו אא"כ ידרוש אחר שטר הודאה אם כתבו, ויקחנו מידו, ומשום הכי אינו נאמן לומר אח"כ שפרעו, סמ"ע (סקי"ט). וכתב הש"ך (סק"כ) דדברי הסמ"ע הם לשיטת הרמב"ם והמחבר </w:t>
      </w:r>
      <w:r>
        <w:rPr>
          <w:sz w:val="16"/>
          <w:szCs w:val="16"/>
          <w:rtl/>
        </w:rPr>
        <w:t>(וכמ"ש לקמן סקכ"ג וסקכ"ו וסי' עט סקכ"ט)</w:t>
      </w:r>
      <w:r>
        <w:rPr>
          <w:rtl/>
        </w:rPr>
        <w:t xml:space="preserve"> אבל לרוב הפוסקים גם בתבעו ושלחו אחריו ובכל מעשה ב"ד, היינו דוקא כששואל המלוה לכתוב בפני הלוה</w:t>
      </w:r>
      <w:r>
        <w:rPr>
          <w:sz w:val="16"/>
          <w:szCs w:val="16"/>
          <w:rtl/>
        </w:rPr>
        <w:t xml:space="preserve"> (וכמ"ש לקמן סי' עט סקכ"ט דברי הפוסקים, ובפרט דברי רבי ישעיה שבתשובת מהר"י בן לב סוף ספר א' סי' קכ"ג מבוארים כן להדיא)</w:t>
      </w:r>
      <w:r>
        <w:rPr>
          <w:rtl/>
        </w:rPr>
        <w:t>, משא"כ בלא שלחו אחריו אין יכולים לכתוב אם לא כשמצוה הלוה לכתוב, כיון דלא הוי מעשה ב"ד.</w:t>
      </w:r>
    </w:p>
  </w:footnote>
  <w:footnote w:id="2920">
    <w:p w14:paraId="49CBAAE3" w14:textId="77777777" w:rsidR="0013116F" w:rsidRDefault="0013116F" w:rsidP="001D49D4">
      <w:pPr>
        <w:pStyle w:val="a9"/>
      </w:pPr>
      <w:r>
        <w:rPr>
          <w:rStyle w:val="ab"/>
        </w:rPr>
        <w:footnoteRef/>
      </w:r>
      <w:r>
        <w:rPr>
          <w:rtl/>
        </w:rPr>
        <w:t xml:space="preserve"> לרבותא כתב כן, דאפילו אתם עדים לא קאמר, וכל שכן שאין צריך שיאמר אתם דיינים, ולפני זה כתב לרבותא דאפילו אמר הוו עלי דיינים לא מהני, סמ"ע (סק"כ).</w:t>
      </w:r>
    </w:p>
  </w:footnote>
  <w:footnote w:id="2921">
    <w:p w14:paraId="2567A194" w14:textId="77777777" w:rsidR="0013116F" w:rsidRDefault="0013116F" w:rsidP="001D49D4">
      <w:pPr>
        <w:pStyle w:val="a9"/>
      </w:pPr>
      <w:r>
        <w:rPr>
          <w:rStyle w:val="ab"/>
        </w:rPr>
        <w:footnoteRef/>
      </w:r>
      <w:r>
        <w:rPr>
          <w:rtl/>
        </w:rPr>
        <w:t xml:space="preserve"> ואפילו להתוס' </w:t>
      </w:r>
      <w:r>
        <w:rPr>
          <w:sz w:val="16"/>
          <w:szCs w:val="16"/>
          <w:rtl/>
        </w:rPr>
        <w:t>[ב"מ כ. ד"ה שובר]</w:t>
      </w:r>
      <w:r>
        <w:rPr>
          <w:rtl/>
        </w:rPr>
        <w:t xml:space="preserve"> והרא"ש </w:t>
      </w:r>
      <w:r>
        <w:rPr>
          <w:sz w:val="16"/>
          <w:szCs w:val="16"/>
          <w:rtl/>
        </w:rPr>
        <w:t xml:space="preserve">[שם פ"א סי' מט] </w:t>
      </w:r>
      <w:r>
        <w:rPr>
          <w:rtl/>
        </w:rPr>
        <w:t xml:space="preserve">דסוברים דעדיו בחתומיו זכין לו, וליכא למיחש שמא המלוה בעצמו אינו לפנינו ולא יגיע השטר לידו עד לאחר זמן, אפ"ה צריכים שיכירו גם המלוה </w:t>
      </w:r>
      <w:r>
        <w:rPr>
          <w:sz w:val="16"/>
          <w:szCs w:val="16"/>
          <w:rtl/>
        </w:rPr>
        <w:t>(כי שמא המלוה חייב לאיש אחר ומשנה שמו כדי לאפוקי חוב זה מיד מי שנתחייב לו, ועוד, כי לא ניחא ליה לאיש שיצא עליו קול שפלוני חייב לו כשאינו חייב לו, והיינו דוקא כשבאו שניהם לפני הב"ד או להעדים ואומר האחד אני מודה שאני חייב לפלוני, שאז כותבים ההודאה בלשון נוכח, איך שהודה זה לזה בפנינו, משא"כ כשהלוה לבדו בא ואומר כתבו עלי שאני חייב לפלוני, שאז ליכא למיחש שלוה ישנה שם המלוה כדי לאפוקי חובו, דאין אדם חוטא ולא לו, וגם אז אין כותבין בלשון נוכח, אלא איך שהלוה הודה, ומוסרים כתב ההודאה ליד הלוה, ובהודאה כזו אינו יוצא הקול שיש לפלוני המלוה ממון כך וכך, כיון שההודאה לא נעשתה בפניו אמרינן דילמא שלא להשביע הודה ואמר, משום הכי כותבין לו הודאה זו אע"פ שאין מכירין המלוה, וכמ"ש הטור [סעיף ט"ז] והמחבר בסמוך סעיף י"ג, ועיין פרישה, אבל להלוה עכ"פ צריכין להכירו, דיש לחוש לקנוניא ולומר שלא לוה זה מזה כלום וכדי לחייב לאיש אחר מעלה שמו בשם אחר ואומר שחייב לו, כדי שיבוא זה שהודה לו להוציא דמי הודאתו מיד אותו האחר)</w:t>
      </w:r>
      <w:r>
        <w:rPr>
          <w:rtl/>
        </w:rPr>
        <w:t xml:space="preserve">,... סמ"ע (סקכ"א). והא דצריך להכיר את המלוה - כן כתבו הטור והשו"ע בסימן מט סע' ב, וכן דעת הרמב"ם בפכ"ד ממלוה ולוה (ה"ג). וכתבו הגר"א (סקמ"א) והש"ך (סקכ"א) דהרמב"ם אזיל לשיטתו, וכן השו"ע שפסק כמותו שם, אבל ש"פ חולקים עליהם. ולכן כתב הש"ך דהעיקר לדינא כמו שכתב הה"מ שם </w:t>
      </w:r>
      <w:r>
        <w:rPr>
          <w:sz w:val="16"/>
          <w:szCs w:val="16"/>
          <w:rtl/>
        </w:rPr>
        <w:t>(פכ"ד ממלוה ה"ג, שתמה על דברי הרמב"ם, והביא הב"י דבריו שם, וואע"ג דנראה דס"ל כוותיה בשו"ע לא פסק כן)</w:t>
      </w:r>
      <w:r>
        <w:rPr>
          <w:rtl/>
        </w:rPr>
        <w:t xml:space="preserve">, דלמ"ד עדיו בחתומיו זכין לו א"צ להכיר את המלוה בכל ענין, וכל זה בהודאה בעדים, וא"כ כאן גבי ב"ד בכל ענין אין צריך להכיר שם המלוה, דהודאה בב"ד מיד ככתובה בשטר דמי </w:t>
      </w:r>
      <w:r>
        <w:rPr>
          <w:sz w:val="16"/>
          <w:szCs w:val="16"/>
          <w:rtl/>
        </w:rPr>
        <w:t>(והוסיף הש"ך ותמה גם על הה"מ שכתב על דברי הרמב"ם כא פ"ז מטוען ה"ב שהוא פשוט ומבואר בהרבה מקומות, ובפרק כ"ד מהל' מלוה האריך הוא עצמו לתמוה על הרמב"ם)</w:t>
      </w:r>
      <w:r>
        <w:rPr>
          <w:rtl/>
        </w:rPr>
        <w:t xml:space="preserve">. עכ"ד הש"ך. </w:t>
      </w:r>
    </w:p>
  </w:footnote>
  <w:footnote w:id="2922">
    <w:p w14:paraId="13AE7FD0" w14:textId="77777777" w:rsidR="0013116F" w:rsidRDefault="0013116F" w:rsidP="001D49D4">
      <w:pPr>
        <w:pStyle w:val="a9"/>
      </w:pPr>
      <w:r>
        <w:rPr>
          <w:rStyle w:val="ab"/>
        </w:rPr>
        <w:footnoteRef/>
      </w:r>
      <w:r>
        <w:rPr>
          <w:rtl/>
        </w:rPr>
        <w:t xml:space="preserve"> </w:t>
      </w:r>
      <w:r>
        <w:rPr>
          <w:rFonts w:hint="cs"/>
          <w:rtl/>
        </w:rPr>
        <w:t>סימן – כותבין טירה?.</w:t>
      </w:r>
    </w:p>
  </w:footnote>
  <w:footnote w:id="2923">
    <w:p w14:paraId="286A0842" w14:textId="77777777" w:rsidR="0013116F" w:rsidRDefault="0013116F" w:rsidP="001D49D4">
      <w:pPr>
        <w:pStyle w:val="a9"/>
        <w:rPr>
          <w:rtl/>
        </w:rPr>
      </w:pPr>
      <w:r>
        <w:rPr>
          <w:rStyle w:val="ab"/>
        </w:rPr>
        <w:footnoteRef/>
      </w:r>
      <w:r>
        <w:rPr>
          <w:rtl/>
        </w:rPr>
        <w:t xml:space="preserve"> קרקע שהיה ראובן מוחזק בו והודה לשמעון שהיא שלו - כותבין, כיון דאודי ליה - דידיה היא, ולא מחסרא גוביינא גלויי מילתא בעלמא הוא, רש"י. וכ"כ הטור. אך הרמב"ם כתב (פ"ז מטוען ונטען ה"ג) שכותבין משום שאין כאן לחוש שמא יתן לו ויתבענו פעם שניה. </w:t>
      </w:r>
      <w:r>
        <w:rPr>
          <w:color w:val="E36C0A" w:themeColor="accent6" w:themeShade="BF"/>
          <w:rtl/>
        </w:rPr>
        <w:t>וכ"כ בשו"ע</w:t>
      </w:r>
      <w:r>
        <w:rPr>
          <w:rtl/>
        </w:rPr>
        <w:t>.</w:t>
      </w:r>
    </w:p>
  </w:footnote>
  <w:footnote w:id="2924">
    <w:p w14:paraId="06CBA093" w14:textId="77777777" w:rsidR="0013116F" w:rsidRDefault="0013116F" w:rsidP="001D49D4">
      <w:pPr>
        <w:pStyle w:val="a9"/>
        <w:rPr>
          <w:rtl/>
        </w:rPr>
      </w:pPr>
      <w:r>
        <w:rPr>
          <w:rStyle w:val="ab"/>
        </w:rPr>
        <w:footnoteRef/>
      </w:r>
      <w:r>
        <w:rPr>
          <w:rtl/>
        </w:rPr>
        <w:t xml:space="preserve"> ופסקו הרי"ף </w:t>
      </w:r>
      <w:r>
        <w:rPr>
          <w:sz w:val="16"/>
          <w:szCs w:val="16"/>
          <w:rtl/>
        </w:rPr>
        <w:t xml:space="preserve">(ח:) </w:t>
      </w:r>
      <w:r>
        <w:rPr>
          <w:rtl/>
        </w:rPr>
        <w:t xml:space="preserve">והרא"ש </w:t>
      </w:r>
      <w:r>
        <w:rPr>
          <w:sz w:val="16"/>
          <w:szCs w:val="16"/>
          <w:rtl/>
        </w:rPr>
        <w:t xml:space="preserve">(סי' כז) </w:t>
      </w:r>
      <w:r>
        <w:rPr>
          <w:rtl/>
        </w:rPr>
        <w:t xml:space="preserve">והרמב"ם כרב אשי, וטעמיה משום דמחסרי גוביינא, כלומר דכיון דמלוה להוצאה ניתנה שמא יוציאה ולא ניחא ליה למיהוי שטרא עילויה, ב"י. </w:t>
      </w:r>
      <w:r>
        <w:rPr>
          <w:color w:val="E36C0A" w:themeColor="accent6" w:themeShade="BF"/>
          <w:rtl/>
        </w:rPr>
        <w:t>(וכ"פ בשו"ע)</w:t>
      </w:r>
      <w:r>
        <w:rPr>
          <w:rtl/>
        </w:rPr>
        <w:t>. וכתב עוד הב"י שנמוק"י</w:t>
      </w:r>
      <w:r>
        <w:rPr>
          <w:sz w:val="16"/>
          <w:szCs w:val="16"/>
          <w:rtl/>
        </w:rPr>
        <w:t xml:space="preserve"> (ח:) </w:t>
      </w:r>
      <w:r>
        <w:rPr>
          <w:rtl/>
        </w:rPr>
        <w:t xml:space="preserve">כתב דאפילו מטלטלי דפקדון לאו כמקרקעי דמו משום דפסידא אית ליה דמעיקרא מהימן למימר החזרתי והשתא דאיכא שטר לא מהימן אלא </w:t>
      </w:r>
      <w:r>
        <w:rPr>
          <w:sz w:val="16"/>
          <w:szCs w:val="16"/>
          <w:rtl/>
        </w:rPr>
        <w:t xml:space="preserve">(ס"א אפילו) </w:t>
      </w:r>
      <w:r>
        <w:rPr>
          <w:rtl/>
        </w:rPr>
        <w:t>בשבועה. והם כדברי הרמב"ם בפ"ז מטוען, ולפיכך סתם רבינו ולא חילק אלא בכל מיני מטלטלים לא כתבינן בלא קנין.</w:t>
      </w:r>
      <w:r>
        <w:rPr>
          <w:color w:val="E36C0A" w:themeColor="accent6" w:themeShade="BF"/>
          <w:rtl/>
        </w:rPr>
        <w:t xml:space="preserve"> (וכ"פ בשו"ע)</w:t>
      </w:r>
    </w:p>
  </w:footnote>
  <w:footnote w:id="2925">
    <w:p w14:paraId="4CDBDDA6" w14:textId="77777777" w:rsidR="0013116F" w:rsidRDefault="0013116F" w:rsidP="001D49D4">
      <w:pPr>
        <w:pStyle w:val="a9"/>
        <w:rPr>
          <w:rtl/>
        </w:rPr>
      </w:pPr>
      <w:r>
        <w:rPr>
          <w:rStyle w:val="ab"/>
        </w:rPr>
        <w:footnoteRef/>
      </w:r>
      <w:r>
        <w:rPr>
          <w:rtl/>
        </w:rPr>
        <w:t xml:space="preserve"> </w:t>
      </w:r>
      <w:r>
        <w:rPr>
          <w:rFonts w:hint="cs"/>
          <w:u w:val="single"/>
          <w:rtl/>
        </w:rPr>
        <w:t>לגבי מה שכתב הטור מכאן והלאה יש מספר גישות</w:t>
      </w:r>
      <w:r>
        <w:rPr>
          <w:rFonts w:hint="cs"/>
          <w:rtl/>
        </w:rPr>
        <w:t xml:space="preserve">: </w:t>
      </w:r>
    </w:p>
    <w:p w14:paraId="29D316A0" w14:textId="77777777" w:rsidR="0013116F" w:rsidRDefault="0013116F" w:rsidP="004B0475">
      <w:pPr>
        <w:pStyle w:val="a9"/>
        <w:numPr>
          <w:ilvl w:val="0"/>
          <w:numId w:val="272"/>
        </w:numPr>
        <w:rPr>
          <w:rtl/>
        </w:rPr>
      </w:pPr>
      <w:r>
        <w:rPr>
          <w:rtl/>
        </w:rPr>
        <w:t xml:space="preserve">לח"מ </w:t>
      </w:r>
      <w:r>
        <w:rPr>
          <w:sz w:val="16"/>
          <w:szCs w:val="16"/>
          <w:rtl/>
        </w:rPr>
        <w:t xml:space="preserve">(פ"ז מטוען ונטען ה"ג) </w:t>
      </w:r>
      <w:r>
        <w:rPr>
          <w:rtl/>
        </w:rPr>
        <w:t xml:space="preserve">ב"ח </w:t>
      </w:r>
      <w:r>
        <w:rPr>
          <w:sz w:val="16"/>
          <w:szCs w:val="16"/>
          <w:rtl/>
        </w:rPr>
        <w:t>(סעי' ט)</w:t>
      </w:r>
      <w:r>
        <w:rPr>
          <w:rtl/>
        </w:rPr>
        <w:t xml:space="preserve"> וש"ך </w:t>
      </w:r>
      <w:r>
        <w:rPr>
          <w:sz w:val="16"/>
          <w:szCs w:val="16"/>
          <w:rtl/>
        </w:rPr>
        <w:t>(סקכ"ב)</w:t>
      </w:r>
      <w:r>
        <w:rPr>
          <w:rtl/>
        </w:rPr>
        <w:t xml:space="preserve">- דבריו תמוהים ושלא כדעת הפוסקים. </w:t>
      </w:r>
      <w:r>
        <w:rPr>
          <w:sz w:val="16"/>
          <w:szCs w:val="16"/>
          <w:rtl/>
        </w:rPr>
        <w:t>(וסיכם הב"ח וז"ל- במטלטלין לעולם אין כותבין בין בחייב באחריותן בין באינו חייב באחריותן, וכדעת נמוק"י, ולא כדעת רבינו וכך נראה ממה שפסק הרב בשו"ע (ס"ח) דלא הזכיר החילוק שכתב רבינו דבחייב באחריות כותבין אלמא דאין חילוק והכי עיקר. עכ"ל. אך לפי דברי הב"ח קשה על דברי הב"י.</w:t>
      </w:r>
      <w:r>
        <w:rPr>
          <w:sz w:val="12"/>
          <w:szCs w:val="12"/>
          <w:rtl/>
        </w:rPr>
        <w:t xml:space="preserve"> </w:t>
      </w:r>
      <w:r>
        <w:rPr>
          <w:sz w:val="16"/>
          <w:szCs w:val="16"/>
          <w:rtl/>
        </w:rPr>
        <w:t>שהרי הב"י כתב על דברי הנמוק"י 'והם כדברי הרמב"ם בפ"ז מטוען, ולפיכך סתם רבינו ולא חילק אלא בכל מיני מטלטלים לא כתבינן בלא קנין' עכ"ל הב"י, והרי שהב"י הבין שדעת הטור כדברי הנמוק"י, ועוד שכתב הב"י שהטור לא חילק בין מיני מטלטלים, וא"א לומר שבגירסת הב"י לא היה את המשך דברי הטור שהרי אח"כ ציטט את תחילת דברי הטור)</w:t>
      </w:r>
      <w:r>
        <w:rPr>
          <w:rtl/>
        </w:rPr>
        <w:t xml:space="preserve">.   </w:t>
      </w:r>
    </w:p>
    <w:p w14:paraId="2217D27E" w14:textId="77777777" w:rsidR="0013116F" w:rsidRDefault="0013116F" w:rsidP="004B0475">
      <w:pPr>
        <w:pStyle w:val="a9"/>
        <w:numPr>
          <w:ilvl w:val="0"/>
          <w:numId w:val="272"/>
        </w:numPr>
      </w:pPr>
      <w:r>
        <w:rPr>
          <w:rtl/>
        </w:rPr>
        <w:t xml:space="preserve">תומים </w:t>
      </w:r>
      <w:r>
        <w:rPr>
          <w:sz w:val="16"/>
          <w:szCs w:val="16"/>
          <w:rtl/>
        </w:rPr>
        <w:t>(סקי"ג)</w:t>
      </w:r>
      <w:r>
        <w:rPr>
          <w:rtl/>
        </w:rPr>
        <w:t xml:space="preserve">- נראה להגיה בטור 'שהמודה </w:t>
      </w:r>
      <w:r>
        <w:rPr>
          <w:b/>
          <w:bCs/>
          <w:rtl/>
        </w:rPr>
        <w:t>אין</w:t>
      </w:r>
      <w:r>
        <w:rPr>
          <w:rtl/>
        </w:rPr>
        <w:t xml:space="preserve"> חייב באחריות' </w:t>
      </w:r>
      <w:r>
        <w:rPr>
          <w:sz w:val="16"/>
          <w:szCs w:val="16"/>
          <w:rtl/>
        </w:rPr>
        <w:t>(ופירוש דהתנה בפקדון שיהיה פטור מדין שומרים, או איירי בדברים שאין בהם דין שומרים, אם כן כותבין דהא אף אם יכתבו יהיה נאמן פרעתי במגו דנאנסו, ואי דיהיה צריך לישבע כמש"כ הנימוק"י (סנהדרין ח ב), הא אף בזה אין צריך שבועת תורה דהא לא קיבל דין שומרים, והיסת בלא"ה צריך לישבע, ואם כן מותר לכתבו. עכ"ל. ולפי דבריו מובן למה לא כתב הב"י שהנמוק"י חולק על הטור)</w:t>
      </w:r>
      <w:r>
        <w:rPr>
          <w:rtl/>
        </w:rPr>
        <w:t xml:space="preserve">. </w:t>
      </w:r>
    </w:p>
    <w:p w14:paraId="06F2E180" w14:textId="77777777" w:rsidR="0013116F" w:rsidRDefault="0013116F" w:rsidP="004B0475">
      <w:pPr>
        <w:pStyle w:val="a9"/>
        <w:numPr>
          <w:ilvl w:val="0"/>
          <w:numId w:val="272"/>
        </w:numPr>
        <w:rPr>
          <w:rtl/>
        </w:rPr>
      </w:pPr>
      <w:r>
        <w:rPr>
          <w:rtl/>
        </w:rPr>
        <w:t xml:space="preserve">ט"ז </w:t>
      </w:r>
      <w:r>
        <w:rPr>
          <w:sz w:val="16"/>
          <w:szCs w:val="16"/>
          <w:rtl/>
        </w:rPr>
        <w:t>(ד"ה שהודה לו במטלטלין)</w:t>
      </w:r>
      <w:r>
        <w:rPr>
          <w:rtl/>
        </w:rPr>
        <w:t>- כונת רבינו בהך אחריות כלומר באחריות נכסים לטרוף מהלקוחות, שהתנה כן בפירוש שעל מנת כן לקח המטלטלין שיהיו באחריות נכסים עליו, א"כ ודאי כונתו שיכתבו שטר עליו, דאל"כ במה יטרוף הלקוחות, ובזה ניחא מ"ש הטור משעה שהודה, רצונו לומר יטרוף לקוחות משעה שהודה.</w:t>
      </w:r>
      <w:r>
        <w:rPr>
          <w:sz w:val="16"/>
          <w:szCs w:val="16"/>
          <w:rtl/>
        </w:rPr>
        <w:t xml:space="preserve"> (וכ"כ הראש יוסף סקט"ז)</w:t>
      </w:r>
      <w:r>
        <w:rPr>
          <w:rtl/>
        </w:rPr>
        <w:t xml:space="preserve">. </w:t>
      </w:r>
    </w:p>
    <w:p w14:paraId="2EC1A80B" w14:textId="77777777" w:rsidR="0013116F" w:rsidRDefault="0013116F" w:rsidP="001D49D4">
      <w:pPr>
        <w:pStyle w:val="a9"/>
        <w:rPr>
          <w:rtl/>
        </w:rPr>
      </w:pPr>
      <w:r>
        <w:rPr>
          <w:color w:val="FF0000"/>
          <w:rtl/>
        </w:rPr>
        <w:t xml:space="preserve">צל"ע שוב בפרישה </w:t>
      </w:r>
      <w:r>
        <w:rPr>
          <w:color w:val="FF0000"/>
          <w:sz w:val="16"/>
          <w:szCs w:val="16"/>
          <w:rtl/>
        </w:rPr>
        <w:t xml:space="preserve">(סק"ט) </w:t>
      </w:r>
      <w:r>
        <w:rPr>
          <w:color w:val="FF0000"/>
          <w:rtl/>
        </w:rPr>
        <w:t xml:space="preserve">סמ"ע </w:t>
      </w:r>
      <w:r>
        <w:rPr>
          <w:color w:val="FF0000"/>
          <w:sz w:val="16"/>
          <w:szCs w:val="16"/>
          <w:rtl/>
        </w:rPr>
        <w:t xml:space="preserve">(סקכ"ב) </w:t>
      </w:r>
      <w:r>
        <w:rPr>
          <w:color w:val="FF0000"/>
          <w:rtl/>
        </w:rPr>
        <w:t xml:space="preserve">ש"ך </w:t>
      </w:r>
      <w:r>
        <w:rPr>
          <w:color w:val="FF0000"/>
          <w:sz w:val="16"/>
          <w:szCs w:val="16"/>
          <w:rtl/>
        </w:rPr>
        <w:t>(סקכ"ב)</w:t>
      </w:r>
      <w:r>
        <w:rPr>
          <w:color w:val="FF0000"/>
          <w:rtl/>
        </w:rPr>
        <w:t xml:space="preserve"> ופרי האדמה הל' טוען ונטען פ"ז </w:t>
      </w:r>
      <w:r>
        <w:rPr>
          <w:color w:val="FF0000"/>
          <w:sz w:val="16"/>
          <w:szCs w:val="16"/>
          <w:rtl/>
        </w:rPr>
        <w:t>(ד"ה ואפשר לומר דהטור)</w:t>
      </w:r>
      <w:r>
        <w:rPr>
          <w:color w:val="FF0000"/>
          <w:rtl/>
        </w:rPr>
        <w:t>.</w:t>
      </w:r>
    </w:p>
  </w:footnote>
  <w:footnote w:id="2926">
    <w:p w14:paraId="56587ED8" w14:textId="77777777" w:rsidR="0013116F" w:rsidRDefault="0013116F" w:rsidP="001D49D4">
      <w:pPr>
        <w:pStyle w:val="a9"/>
        <w:rPr>
          <w:rtl/>
        </w:rPr>
      </w:pPr>
      <w:r>
        <w:rPr>
          <w:rStyle w:val="ab"/>
        </w:rPr>
        <w:footnoteRef/>
      </w:r>
      <w:r>
        <w:rPr>
          <w:rtl/>
        </w:rPr>
        <w:t xml:space="preserve"> ומשמע, הא בשטר דצריך שליחות אין חוזרין וכותבין בלא רשותו. ובהר"ן פרק התקבל (גיטין כט. ד"ה אלא) כתב דשטר שיש בו קנין אין חוזרין וכותבין כשיש בו ספק אם הוא כשר או לא, אבל שטר שאין בו קנין חוזרים וכותבים ולא אמרינן שכבר עשו שליחותן. ועיין בזה בתשובת בר ששת סימן תק"ג שהאריך בזה ועיין עוד בתשובות הרא"ש כלל ס"ח סימן ל"א ול"ב מדין זה ועיין לקמן ריש סימן מ"א (סי' מט אות ב) מדין זה, דרכ"מ (אות ה).</w:t>
      </w:r>
    </w:p>
  </w:footnote>
  <w:footnote w:id="2927">
    <w:p w14:paraId="1C06FDF0" w14:textId="77777777" w:rsidR="0013116F" w:rsidRDefault="0013116F" w:rsidP="001D49D4">
      <w:pPr>
        <w:pStyle w:val="a9"/>
      </w:pPr>
      <w:r>
        <w:rPr>
          <w:rStyle w:val="ab"/>
        </w:rPr>
        <w:footnoteRef/>
      </w:r>
      <w:r>
        <w:rPr>
          <w:rtl/>
        </w:rPr>
        <w:t xml:space="preserve"> </w:t>
      </w:r>
      <w:r>
        <w:rPr>
          <w:rFonts w:hint="cs"/>
          <w:rtl/>
        </w:rPr>
        <w:t>סימן – טענת זפתן. ישלם זפתן. וכן - זוז ביציאה. וכן - זכה ביציאתו.</w:t>
      </w:r>
    </w:p>
  </w:footnote>
  <w:footnote w:id="2928">
    <w:p w14:paraId="53488F04" w14:textId="77777777" w:rsidR="0013116F" w:rsidRDefault="0013116F" w:rsidP="001D49D4">
      <w:pPr>
        <w:pStyle w:val="a9"/>
      </w:pPr>
      <w:r>
        <w:rPr>
          <w:rStyle w:val="ab"/>
        </w:rPr>
        <w:footnoteRef/>
      </w:r>
      <w:r>
        <w:rPr>
          <w:rtl/>
        </w:rPr>
        <w:t xml:space="preserve"> שפסקו לו דינו בבית דין, שציוו עליו לתת לו, רש"י.</w:t>
      </w:r>
    </w:p>
  </w:footnote>
  <w:footnote w:id="2929">
    <w:p w14:paraId="21A37A73" w14:textId="77777777" w:rsidR="0013116F" w:rsidRDefault="0013116F" w:rsidP="001D49D4">
      <w:pPr>
        <w:pStyle w:val="a9"/>
        <w:rPr>
          <w:rtl/>
        </w:rPr>
      </w:pPr>
      <w:r>
        <w:rPr>
          <w:rStyle w:val="ab"/>
        </w:rPr>
        <w:footnoteRef/>
      </w:r>
      <w:r>
        <w:rPr>
          <w:rtl/>
        </w:rPr>
        <w:t xml:space="preserve"> לאחר זמן, רש"י.</w:t>
      </w:r>
    </w:p>
  </w:footnote>
  <w:footnote w:id="2930">
    <w:p w14:paraId="179D5A22" w14:textId="77777777" w:rsidR="0013116F" w:rsidRDefault="0013116F" w:rsidP="001D49D4">
      <w:pPr>
        <w:pStyle w:val="a9"/>
      </w:pPr>
      <w:r>
        <w:rPr>
          <w:rStyle w:val="ab"/>
        </w:rPr>
        <w:footnoteRef/>
      </w:r>
      <w:r>
        <w:rPr>
          <w:rtl/>
        </w:rPr>
        <w:t xml:space="preserve"> על פי בית דין, רש"י.</w:t>
      </w:r>
    </w:p>
  </w:footnote>
  <w:footnote w:id="2931">
    <w:p w14:paraId="0A97815A" w14:textId="77777777" w:rsidR="0013116F" w:rsidRDefault="0013116F" w:rsidP="001D49D4">
      <w:pPr>
        <w:pStyle w:val="a9"/>
        <w:rPr>
          <w:rtl/>
        </w:rPr>
      </w:pPr>
      <w:r>
        <w:rPr>
          <w:rStyle w:val="ab"/>
        </w:rPr>
        <w:footnoteRef/>
      </w:r>
      <w:r>
        <w:rPr>
          <w:rtl/>
        </w:rPr>
        <w:t xml:space="preserve"> ובשבועת היסת, רש"י.</w:t>
      </w:r>
    </w:p>
  </w:footnote>
  <w:footnote w:id="2932">
    <w:p w14:paraId="714A199B" w14:textId="77777777" w:rsidR="0013116F" w:rsidRDefault="0013116F" w:rsidP="001D49D4">
      <w:pPr>
        <w:pStyle w:val="a9"/>
        <w:rPr>
          <w:rtl/>
        </w:rPr>
      </w:pPr>
      <w:r>
        <w:rPr>
          <w:rStyle w:val="ab"/>
        </w:rPr>
        <w:footnoteRef/>
      </w:r>
      <w:r>
        <w:rPr>
          <w:rtl/>
        </w:rPr>
        <w:t xml:space="preserve"> לפנינו, לכתוב לו אדרכתא עליו - אין כותבין ונותנין לו, רש"י.</w:t>
      </w:r>
    </w:p>
  </w:footnote>
  <w:footnote w:id="2933">
    <w:p w14:paraId="42C54D30" w14:textId="77777777" w:rsidR="0013116F" w:rsidRDefault="0013116F" w:rsidP="001D49D4">
      <w:pPr>
        <w:pStyle w:val="a9"/>
        <w:rPr>
          <w:rtl/>
        </w:rPr>
      </w:pPr>
      <w:r>
        <w:rPr>
          <w:rStyle w:val="ab"/>
        </w:rPr>
        <w:footnoteRef/>
      </w:r>
      <w:r>
        <w:rPr>
          <w:rtl/>
        </w:rPr>
        <w:t xml:space="preserve"> לישבע, אלא שכנגדו נשבע ונוטל, דכיון דתחילתו הוצרך לתובעו לדין - אין דרכו למהר לפרוע עד שיפסקו דינו פסק גמור, רש"י.</w:t>
      </w:r>
    </w:p>
  </w:footnote>
  <w:footnote w:id="2934">
    <w:p w14:paraId="262F0A46" w14:textId="77777777" w:rsidR="0013116F" w:rsidRDefault="0013116F" w:rsidP="001D49D4">
      <w:pPr>
        <w:pStyle w:val="a9"/>
        <w:rPr>
          <w:rtl/>
        </w:rPr>
      </w:pPr>
      <w:r>
        <w:rPr>
          <w:rStyle w:val="ab"/>
        </w:rPr>
        <w:footnoteRef/>
      </w:r>
      <w:r>
        <w:rPr>
          <w:rtl/>
        </w:rPr>
        <w:t xml:space="preserve"> </w:t>
      </w:r>
      <w:r>
        <w:rPr>
          <w:rFonts w:hint="cs"/>
          <w:rtl/>
        </w:rPr>
        <w:t xml:space="preserve">כיון שבא לבקש לאחר שיצאו מבית הדין, </w:t>
      </w:r>
      <w:r>
        <w:rPr>
          <w:rtl/>
        </w:rPr>
        <w:t xml:space="preserve">דחיישינן שמא נתן לו, ע"פ מהרי"ק (סנהדרין ח: מדפה"ר ד"ה וכתב הרי"ף). משמע דאם ביקש קודם שיצא מב"ד כותבין ונותנים לו, וצל"ע. </w:t>
      </w:r>
    </w:p>
  </w:footnote>
  <w:footnote w:id="2935">
    <w:p w14:paraId="75A9DF1E" w14:textId="77777777" w:rsidR="0013116F" w:rsidRDefault="0013116F" w:rsidP="001D49D4">
      <w:pPr>
        <w:pStyle w:val="a9"/>
      </w:pPr>
      <w:r>
        <w:rPr>
          <w:rStyle w:val="ab"/>
        </w:rPr>
        <w:footnoteRef/>
      </w:r>
      <w:r>
        <w:rPr>
          <w:rtl/>
        </w:rPr>
        <w:t xml:space="preserve"> </w:t>
      </w:r>
      <w:r>
        <w:rPr>
          <w:rFonts w:hint="cs"/>
          <w:rtl/>
        </w:rPr>
        <w:t xml:space="preserve">וז"ל- </w:t>
      </w:r>
      <w:r>
        <w:rPr>
          <w:rtl/>
        </w:rPr>
        <w:t xml:space="preserve">קיי"ל כרב זביד, ואע"ג דקי"ל דעדות בב"ד או הודאה בב"ד כמלוה הכתובה בשטר דמיא </w:t>
      </w:r>
      <w:r>
        <w:rPr>
          <w:sz w:val="16"/>
          <w:szCs w:val="16"/>
          <w:rtl/>
        </w:rPr>
        <w:t>(כדאמרי' לעיל בין לרבה בין לרבה בר רב הונא מלוה על פה הוא ואינו גובה מן המשועבדין ופרקינן הכא במאי עסקינן כגון שעמד בדין אלמא העמדה בדין כשטר דמיא)</w:t>
      </w:r>
      <w:r>
        <w:rPr>
          <w:rtl/>
        </w:rPr>
        <w:t>, ה"מ היכא דלא צאית לדינא, א"נ צאית לדינא ואתברר דלא פרע, אבל היכא דצאית לדינא ונפיק ליה מבי דינא אדעתא דקבליה עליה לדינא וחזר ואמר פרעתי נאמן, ואם בא מלוה לכתוב אין כותבין ונותנין לו דחיישינן דלמא פרע ליה. עכ"ל. וכתבו רבינו בס"ס ע"ט (סט"ו), ב"י (בבדה"ב). וכתב עוד הב"י שדברי הרמב"ם הם כדברי הרי"ף. וכ"כ הה"מ. וכ"כ מהרלב"ח העיר שושן וש"ך (.</w:t>
      </w:r>
    </w:p>
  </w:footnote>
  <w:footnote w:id="2936">
    <w:p w14:paraId="10E16AE0" w14:textId="77777777" w:rsidR="0013116F" w:rsidRDefault="0013116F" w:rsidP="001D49D4">
      <w:pPr>
        <w:pStyle w:val="a9"/>
        <w:rPr>
          <w:rtl/>
        </w:rPr>
      </w:pPr>
      <w:r>
        <w:rPr>
          <w:rStyle w:val="ab"/>
        </w:rPr>
        <w:footnoteRef/>
      </w:r>
      <w:r>
        <w:rPr>
          <w:rtl/>
        </w:rPr>
        <w:t xml:space="preserve"> וז"ל- בא מלוה לכתוב - אין כותבין לו, דאע"ג דאמרינן לעיל דעמד בדין כמלוה בשטר דמי היינו לטרוף מן הלקוחות משום דאית ליה קלא אבל מצי למימר פרעתי. והיכא שידוע שלא פרע או שהוא מודה - גובה מן הלקוחות. עכ"ל. וכתב הב"י שמוכח מדברי הרא"ש שהוא לא מחלק בין ציית דינא ללא ציית.</w:t>
      </w:r>
    </w:p>
  </w:footnote>
  <w:footnote w:id="2937">
    <w:p w14:paraId="32CDD949" w14:textId="77777777" w:rsidR="0013116F" w:rsidRDefault="0013116F" w:rsidP="001D49D4">
      <w:pPr>
        <w:pStyle w:val="a9"/>
      </w:pPr>
      <w:r>
        <w:rPr>
          <w:rStyle w:val="ab"/>
        </w:rPr>
        <w:footnoteRef/>
      </w:r>
      <w:r>
        <w:rPr>
          <w:rtl/>
        </w:rPr>
        <w:t xml:space="preserve"> </w:t>
      </w:r>
      <w:r>
        <w:rPr>
          <w:rFonts w:hint="cs"/>
          <w:rtl/>
        </w:rPr>
        <w:t>מדובר שהביאו לתובע פסק דין כיון שהנתבע לא ציית דינא או שנתברר בעדים שלא פרע.</w:t>
      </w:r>
    </w:p>
  </w:footnote>
  <w:footnote w:id="2938">
    <w:p w14:paraId="1E158B0E" w14:textId="77777777" w:rsidR="0013116F" w:rsidRDefault="0013116F" w:rsidP="001D49D4">
      <w:pPr>
        <w:pStyle w:val="a9"/>
        <w:rPr>
          <w:rtl/>
        </w:rPr>
      </w:pPr>
      <w:r>
        <w:rPr>
          <w:rStyle w:val="ab"/>
        </w:rPr>
        <w:footnoteRef/>
      </w:r>
      <w:r>
        <w:rPr>
          <w:rtl/>
        </w:rPr>
        <w:t xml:space="preserve"> </w:t>
      </w:r>
      <w:r>
        <w:rPr>
          <w:rFonts w:hint="cs"/>
          <w:rtl/>
        </w:rPr>
        <w:t>הטור כתב לאחר שהביא את דברי ראבי"ה 'וכן כתב הרמב"ם שנים שבאו...', והבין הב"י שכוונתו לומר שדעת הרמב"ם כדעת הראבי"ה, והקשה עליו, שהרי מדברי הרמב"ם מוכח להפך. אך הב"ח כתב שכוונת הטור היא שהרמב"ם כתב כדברי התוס'. ולכן אין קושיא על הטור.</w:t>
      </w:r>
    </w:p>
  </w:footnote>
  <w:footnote w:id="2939">
    <w:p w14:paraId="3B846124" w14:textId="77777777" w:rsidR="0013116F" w:rsidRDefault="0013116F" w:rsidP="001D49D4">
      <w:pPr>
        <w:pStyle w:val="a9"/>
      </w:pPr>
      <w:r>
        <w:rPr>
          <w:rStyle w:val="ab"/>
        </w:rPr>
        <w:footnoteRef/>
      </w:r>
      <w:r>
        <w:rPr>
          <w:rtl/>
        </w:rPr>
        <w:t xml:space="preserve"> </w:t>
      </w:r>
      <w:r>
        <w:rPr>
          <w:rFonts w:hint="cs"/>
          <w:rtl/>
        </w:rPr>
        <w:t>הב"י כתב שדברים אלו של מהר"ם הובאו בהגהות מיימוניות פ"ז ה"ה מטוען ונטען, אבל לפנינו ליתא שם, אך בחלק מן הדפוסים (ד"ק) מובאים דברים אלו שם ונראה שגרסאות אלו היו לפני הב"י.</w:t>
      </w:r>
    </w:p>
  </w:footnote>
  <w:footnote w:id="2940">
    <w:p w14:paraId="608F7FBD" w14:textId="77777777" w:rsidR="0013116F" w:rsidRDefault="0013116F" w:rsidP="001D49D4">
      <w:pPr>
        <w:pStyle w:val="a9"/>
      </w:pPr>
      <w:r>
        <w:rPr>
          <w:rStyle w:val="ab"/>
        </w:rPr>
        <w:footnoteRef/>
      </w:r>
      <w:r>
        <w:t xml:space="preserve"> </w:t>
      </w:r>
      <w:r>
        <w:rPr>
          <w:rtl/>
        </w:rPr>
        <w:t>וראייה מפ"ק דב"מ (טז:) אמ' לו צא תן לו ואמר פרעתי נאמן, בא לכתוב לו אין כותבין לו דדילמא פרעיה, ויכתבו לו ואם יתבע יאמר פרעתי, אלא ש"מ דאינו יכול לומר פרעתי, מהר"ם. וכתב הב"י</w:t>
      </w:r>
      <w:r>
        <w:rPr>
          <w:sz w:val="16"/>
          <w:szCs w:val="16"/>
          <w:rtl/>
        </w:rPr>
        <w:t xml:space="preserve"> (בבדה"ב)</w:t>
      </w:r>
      <w:r>
        <w:rPr>
          <w:rtl/>
        </w:rPr>
        <w:t>- ולענין הלכה נקטינן כהרמב"ם שהרי"ף ז"ל מסכים עמו.</w:t>
      </w:r>
    </w:p>
  </w:footnote>
  <w:footnote w:id="2941">
    <w:p w14:paraId="7C245172" w14:textId="77777777" w:rsidR="0013116F" w:rsidRDefault="0013116F" w:rsidP="001D49D4">
      <w:pPr>
        <w:pStyle w:val="a9"/>
        <w:rPr>
          <w:rtl/>
        </w:rPr>
      </w:pPr>
      <w:r>
        <w:rPr>
          <w:rStyle w:val="ab"/>
        </w:rPr>
        <w:footnoteRef/>
      </w:r>
      <w:r>
        <w:rPr>
          <w:rtl/>
        </w:rPr>
        <w:t xml:space="preserve"> </w:t>
      </w:r>
      <w:r>
        <w:rPr>
          <w:rFonts w:hint="cs"/>
          <w:rtl/>
        </w:rPr>
        <w:t>וכתב הש"ך דכן דעת כל הפוסקים, והביא דבריהם, וכתב שראבי"ה יחיד בדבר זה נגד כולם.</w:t>
      </w:r>
    </w:p>
  </w:footnote>
  <w:footnote w:id="2942">
    <w:p w14:paraId="18556FD0" w14:textId="77777777" w:rsidR="0013116F" w:rsidRDefault="0013116F" w:rsidP="001D49D4">
      <w:pPr>
        <w:pStyle w:val="a9"/>
      </w:pPr>
      <w:r>
        <w:rPr>
          <w:rStyle w:val="ab"/>
        </w:rPr>
        <w:footnoteRef/>
      </w:r>
      <w:r>
        <w:rPr>
          <w:rtl/>
        </w:rPr>
        <w:t xml:space="preserve"> </w:t>
      </w:r>
      <w:r>
        <w:rPr>
          <w:rFonts w:hint="cs"/>
          <w:rtl/>
        </w:rPr>
        <w:t xml:space="preserve">וכתב הב"י דכן נראה מדברי רש"י </w:t>
      </w:r>
      <w:r>
        <w:rPr>
          <w:sz w:val="16"/>
          <w:szCs w:val="16"/>
          <w:rtl/>
        </w:rPr>
        <w:t>(דפירש בא מלוה לפנינו לכתוב לו שטר אדרכתא על נכסיו אין כותבין ונותנין לו. ולפי זה אע"פ שפסק דין בידו נאמן לומר פרעתי, דאם לא כן ניפלוג בין כשהפסק דין בידו לאינו בידו. עכ"ל הב"י)</w:t>
      </w:r>
      <w:r>
        <w:rPr>
          <w:rtl/>
        </w:rPr>
        <w:t>. אך הש"ך</w:t>
      </w:r>
      <w:r>
        <w:rPr>
          <w:sz w:val="16"/>
          <w:szCs w:val="16"/>
          <w:rtl/>
        </w:rPr>
        <w:t xml:space="preserve"> (סקכ"ט) </w:t>
      </w:r>
      <w:r>
        <w:rPr>
          <w:rtl/>
        </w:rPr>
        <w:t xml:space="preserve">חלק עליו הבנתו ברש"י וכתב שדעת רש"י כמהר"מ </w:t>
      </w:r>
      <w:r>
        <w:rPr>
          <w:sz w:val="16"/>
          <w:szCs w:val="16"/>
          <w:rtl/>
        </w:rPr>
        <w:t>(שבימי חכמי הש"ס לא היו כותבים פס"ד בתחילה בלא אדרכתא, אלא הפס"ד הראשון הוא הנקרא אדרכתא, ואדרכתא היינו פסק דין)</w:t>
      </w:r>
      <w:r>
        <w:rPr>
          <w:rtl/>
        </w:rPr>
        <w:t>.</w:t>
      </w:r>
    </w:p>
  </w:footnote>
  <w:footnote w:id="2943">
    <w:p w14:paraId="20AF3989" w14:textId="77777777" w:rsidR="0013116F" w:rsidRDefault="0013116F" w:rsidP="001D49D4">
      <w:pPr>
        <w:pStyle w:val="a9"/>
        <w:rPr>
          <w:rtl/>
        </w:rPr>
      </w:pPr>
      <w:r>
        <w:rPr>
          <w:rStyle w:val="ab"/>
        </w:rPr>
        <w:footnoteRef/>
      </w:r>
      <w:r>
        <w:rPr>
          <w:rtl/>
        </w:rPr>
        <w:t xml:space="preserve"> שאין זה דומה לשטר העומד לעדות ולראיה, אבל פסק דין כותבין מפני שאין הדיינים נאמנין לומר לזה זכינו ולזה חייבנו אלא בזמן שבעלי דינים עומדין לפניהם (קידושין עד.). וכשפרע אפשר שלא חש ליטול מידו. וכן קבלתי מאבא מארי שקבל מריב"א כן הלכה למעשה, ראבי"ה (כ"כ בשמו המרדכי [ב"מ רנ]). עיין במה שכתבתי בס"ס זה ועיין בסי' ע"ט (מחודש ט) ונראה לי שאין דברי ראבי"ה מכוונים דהא דאין הדיין יכול לומר לזה זכיתי וכו' היינו דוקא כשהוא אחד אבל אם הם שנים נאמנים הם, ב"י </w:t>
      </w:r>
      <w:r>
        <w:rPr>
          <w:sz w:val="16"/>
          <w:szCs w:val="16"/>
          <w:rtl/>
        </w:rPr>
        <w:t>(בבדה"ב)</w:t>
      </w:r>
      <w:r>
        <w:rPr>
          <w:rtl/>
        </w:rPr>
        <w:t>. וכתב הדרכ"מ (אות ז*)- נראה דסבירא ליה לרבינו דהא דאין כותבין ונותנין לא מטעמא דאינו נאמן אח"כ לומר פרעתי רק מאחר שנאמן לומר שפרעו כבר למה יכתבו הבית דין הפסק דין. וכן אנו צריכים לפרש דעת המרדכי (סי' רנב) שהביא דברי הסמ"ג (עשין צה קפב ע"ד) שהם כלשון מיימון בעצמו וכתב שהם כדברי ראבי"ה, וכמו שכתב רבינו לדברי הרמב"ם, אלא ודאי ס"ל כמו שפירשתי, ודעת הגה"מ אינו כן וס"ל הא דאין כותבין ונותנין לו אח"כ היינו משום דאח"כ אינו נאמן כשהפסק דין בידו ומיהו אם זה איחר כמה ימים הפסק דין בידו... עכ"ל. ועיין לקמן סוף סימן ע"ט מדין זה. עכ"ל הדרכ"מ.</w:t>
      </w:r>
    </w:p>
  </w:footnote>
  <w:footnote w:id="2944">
    <w:p w14:paraId="7D3EEE5E" w14:textId="77777777" w:rsidR="0013116F" w:rsidRDefault="0013116F" w:rsidP="001D49D4">
      <w:pPr>
        <w:pStyle w:val="a9"/>
        <w:rPr>
          <w:rtl/>
        </w:rPr>
      </w:pPr>
      <w:r>
        <w:rPr>
          <w:rStyle w:val="ab"/>
        </w:rPr>
        <w:footnoteRef/>
      </w:r>
      <w:r>
        <w:rPr>
          <w:rtl/>
        </w:rPr>
        <w:t xml:space="preserve"> ושאר המפרשים לא חלקו בזה. ר"י קורקוס </w:t>
      </w:r>
      <w:r>
        <w:rPr>
          <w:sz w:val="16"/>
          <w:szCs w:val="16"/>
          <w:rtl/>
        </w:rPr>
        <w:t>(הובאו דבריו בהר"ם מטראני ח"א סי' רצ)</w:t>
      </w:r>
      <w:r>
        <w:rPr>
          <w:rtl/>
        </w:rPr>
        <w:t xml:space="preserve">. וזהו דוקא היכא דשתיק התובע בלי אונס ולא תבע כלל, אבל אם נתארך הזמן בע"כ של תובע ולא שתיק כלל אינו נאמן. הרלנ"ח </w:t>
      </w:r>
      <w:r>
        <w:rPr>
          <w:sz w:val="16"/>
          <w:szCs w:val="16"/>
          <w:rtl/>
        </w:rPr>
        <w:t>(סי' קט)</w:t>
      </w:r>
      <w:r>
        <w:rPr>
          <w:rtl/>
        </w:rPr>
        <w:t>, כנה"ג (הגב"י אות לח-לט).</w:t>
      </w:r>
    </w:p>
  </w:footnote>
  <w:footnote w:id="2945">
    <w:p w14:paraId="724B95CA" w14:textId="77777777" w:rsidR="0013116F" w:rsidRDefault="0013116F" w:rsidP="001D49D4">
      <w:pPr>
        <w:pStyle w:val="a9"/>
        <w:rPr>
          <w:rtl/>
        </w:rPr>
      </w:pPr>
      <w:r>
        <w:rPr>
          <w:rStyle w:val="ab"/>
        </w:rPr>
        <w:footnoteRef/>
      </w:r>
      <w:r>
        <w:rPr>
          <w:rtl/>
        </w:rPr>
        <w:t xml:space="preserve"> הביאו הב"י בסי' יט (ס"ג) וכתב לעיין בסימן ע"ט (סע' יג-טז).</w:t>
      </w:r>
    </w:p>
  </w:footnote>
  <w:footnote w:id="2946">
    <w:p w14:paraId="58BE5A25" w14:textId="77777777" w:rsidR="0013116F" w:rsidRDefault="0013116F" w:rsidP="001D49D4">
      <w:pPr>
        <w:pStyle w:val="a9"/>
      </w:pPr>
      <w:r>
        <w:rPr>
          <w:rStyle w:val="ab"/>
        </w:rPr>
        <w:footnoteRef/>
      </w:r>
      <w:r>
        <w:rPr>
          <w:rtl/>
        </w:rPr>
        <w:t xml:space="preserve"> נראה מדברי הרמב"ם </w:t>
      </w:r>
      <w:r>
        <w:rPr>
          <w:sz w:val="16"/>
          <w:szCs w:val="16"/>
          <w:rtl/>
        </w:rPr>
        <w:t xml:space="preserve">[פ"ז מטוען ה"ה] </w:t>
      </w:r>
      <w:r>
        <w:rPr>
          <w:rtl/>
        </w:rPr>
        <w:t xml:space="preserve">דכשלא קיבל הדין עד ששלחו אחריו, אפילו יצא מב"ד ולא כתבו לו, שוב אינו נאמן לומר פרעתי, דכל מעשה ב"ד כמאן דנכתב דמי </w:t>
      </w:r>
      <w:r>
        <w:rPr>
          <w:sz w:val="16"/>
          <w:szCs w:val="16"/>
          <w:rtl/>
        </w:rPr>
        <w:t>(דאל"כ הוה ליה לחלק בשלחו אחריו גופיה מיניה וביה, והכי הוה ליה למימר, אבל לא כתבו לו ויצא ואמר פרעתי נאמן כו', ועוד מדכתב אבל שנים כו', ואמר לו הנתבע הן כו', ובש"ס [ב"מ יז.] לא הוזכר שאמר לו הן, ולמה הוסיף הרמב"ם מה שלא נזכר בש"ס, אלא ודאי ס"ל כל מעשה ב"ד כמאן דנכתב דמי, ולכך לא מצי לפרש שלא אמר לו הן, אלא שנתחייב על פי ב"ד בפסק דינם, על פי עדים או ע"פ טענותיהם, דא"כ ה"ל מעשה ב"ד, ואפילו יצא שוב אינו נאמן לומר פרעתי, וכמ"ש לעיל ס"ק (ט"ו) [י"ח] בשם הנ"י פרק זה בורר בשם המפרשים, דכשנתחייב על פי ב"ד הוי כהודאה ששלחו אחריו-)</w:t>
      </w:r>
      <w:r>
        <w:rPr>
          <w:rtl/>
        </w:rPr>
        <w:t xml:space="preserve"> ולכך מפרש הרמב"ם דוקא באמר לו הן, דלא הוה ליה אלא הודאה לבד דיכול לטעון פרעתי. </w:t>
      </w:r>
      <w:r>
        <w:rPr>
          <w:sz w:val="16"/>
          <w:szCs w:val="16"/>
          <w:rtl/>
        </w:rPr>
        <w:t>(מיהו כבר העליתי לקמן סימן ע"ט סע' יב סקכ"ט דלא כהרמב"ם והמחבר בזה, והבאתי הרבה פוסקים שחולקים על זה. והעיקר דכל מעשה ב"ד לא אמרינן כנכתב דמי, וכשיצא ולא כתבו לו, נאמן לומר פרעתי, אם לא כששאל המלוה בפני הלוה שיכתבו לו, דאז כנכתב דמי, ע"ש)</w:t>
      </w:r>
      <w:r>
        <w:rPr>
          <w:rtl/>
        </w:rPr>
        <w:t>, ש"ך (סקכ"ג).</w:t>
      </w:r>
    </w:p>
  </w:footnote>
  <w:footnote w:id="2947">
    <w:p w14:paraId="19952FB6" w14:textId="77777777" w:rsidR="0013116F" w:rsidRDefault="0013116F" w:rsidP="001D49D4">
      <w:pPr>
        <w:pStyle w:val="a9"/>
        <w:rPr>
          <w:rtl/>
        </w:rPr>
      </w:pPr>
      <w:r>
        <w:rPr>
          <w:rStyle w:val="ab"/>
        </w:rPr>
        <w:footnoteRef/>
      </w:r>
      <w:r>
        <w:rPr>
          <w:rtl/>
        </w:rPr>
        <w:t xml:space="preserve"> פירוש, אף דלשון זה אינו מורה שפשוט היה לדיינים שחייב לו, אלא כאילו אמרו נראה לנו שתתחייב ליתן לו, ושיעיינו תחילה עוד בדיניה, והוה אמינא שלא יהא נאמן לומר שפרעו, סמ"ע (סקכ"ה).</w:t>
      </w:r>
    </w:p>
  </w:footnote>
  <w:footnote w:id="2948">
    <w:p w14:paraId="0B540CAC" w14:textId="77777777" w:rsidR="0013116F" w:rsidRDefault="0013116F" w:rsidP="001D49D4">
      <w:pPr>
        <w:pStyle w:val="a9"/>
      </w:pPr>
      <w:r>
        <w:rPr>
          <w:rStyle w:val="ab"/>
        </w:rPr>
        <w:footnoteRef/>
      </w:r>
      <w:r>
        <w:rPr>
          <w:rtl/>
        </w:rPr>
        <w:t xml:space="preserve"> כ"כ בד"מ [סע' יב] לתרץ קושית ב"י, וז"ל- ולי נראה דס"ל להטור דהא דאין כותבים ונותנים, לאו מטעמא דאינו נאמן אח"כ לומר פרוע, רק מאחר שנאמן לומר שפרעו כבר למה יכתבו לו הב"ד הפסק דין, וכן אנו צריכים לפרש דעת המרדכי [ב"מ סי' רנ"ב] שהביא דברי הסמ"ג שהם כהרמב"ם עצמו, וכתב שהם כדברי ראבי"ה, וכמ"ש הטור מדברי הרמב"ם, אלא ודאי ס"ל כמו שפירשתי, עכ"ל ד"מ. ור"ל דהוי זילותא דבי דינא לכתוב דבר שאין בו צורך... וכבר סתר בתשובות מהר"ל בן חביב סי' ק"ט טעם זה בארוכה ע"ש... ומ"מ קשה לי על הרב</w:t>
      </w:r>
      <w:r>
        <w:rPr>
          <w:sz w:val="16"/>
          <w:szCs w:val="16"/>
          <w:rtl/>
        </w:rPr>
        <w:t xml:space="preserve"> {הרמ"א בדרכ"מ}</w:t>
      </w:r>
      <w:r>
        <w:rPr>
          <w:rtl/>
        </w:rPr>
        <w:t xml:space="preserve"> שלא תירץ עדיין קושית הב"י, וגם דברי המרדכי לא נתיישב בתירוצו שבד"מ ובתשובה שם, דנהי דאין מוכח מדברי הרמב"ם וסמ"ג להפך, מ"מ מנא ליה להטור ומרדכי להוכיח מדבריהם, דילמא כוונתם כפשוטו דאין כותבין משום דשוב לא יהא נאמן לומר פרעתי, וכן קשה על השארית יוסף. אבל למה שתירץ מהר"ל ן' חביב שם ניחא זה, דדייקי הטור ומרדכי מדכתבו הרמב"ם וסמ"ג כתבו לי הודאתו אין כותבים כו', משמע דוקא הודאתו הוא דאין כותבין, הא פסק דינו כותבין, דאף אחר הכתיבה יהא נאמן לומר פרעתי. ומ"מ מהרלב"ח האריך שם וסתר דברי הטור ומרדכי, והעלה דגם הרמב"ם וסמ"ג ס"ל דעל פסק דין שבידו אינו נאמן לומר פרעתי. ומה שכתבו, כתבו לי הודאתו אין כותבין. לא באו אלא לדייק דכשלא תקרא הודייה כמו בכאן, אלא פסק דין, כגון ע"י הודאה בב"ד ששלחו אחריו, או שנתחייב ע"י עדות, כותבין, כי לפי האמת אפילו בלא פסק דין הוא כמלוה בשטר לדעתם, עכ"ד, ודבריו נכונים. ואני מוסיף דה"ה כשלא רצה ליתן מעצמו, כי היה סבור שהוא פטור, וחייבו אותו הב"ד על פי טענתו, הוי כנתחייב ע"י עדים, דנתחייב מתוך טענתו כעדים דמי, וכמ"ש לקמן סימן ע"ה סעיף ה' בהג"ה סקי"ט, ולכך דקדקו הרמב"ם והסמ"ג וכתבו ואמר לו הן כו', וכמ"ש לעיל סקכ"ג, ש"ך (סקכ"ו).</w:t>
      </w:r>
    </w:p>
  </w:footnote>
  <w:footnote w:id="2949">
    <w:p w14:paraId="3276D4C3" w14:textId="77777777" w:rsidR="0013116F" w:rsidRDefault="0013116F" w:rsidP="001D49D4">
      <w:pPr>
        <w:pStyle w:val="a9"/>
        <w:rPr>
          <w:rtl/>
        </w:rPr>
      </w:pPr>
      <w:r>
        <w:rPr>
          <w:rStyle w:val="ab"/>
        </w:rPr>
        <w:footnoteRef/>
      </w:r>
      <w:r>
        <w:rPr>
          <w:rtl/>
        </w:rPr>
        <w:t xml:space="preserve"> לפי מה שכתבתי בסמוך סקכ"ג, יש לדקדק על המחבר דאזיל בשיטת הרמב"ם, שלא הוצרך לכתוב דין זה, דהא להרמב"ם כל היכא שנעשה פס"ד, אפילו לא כתבו הפס"ד שוב אינו נאמן לומר פרעתי, דכל מעשה ב"ד כמאן דנקיט שטרא בידיה דמי, ולכך לא כתב הרמב"ם דין זה כלל. ותשובות מיימוני בשם מהר"מ דכתבוהו, היינו משום דס"ל דכל מעשה ב"ד כל זמן שלא נכתב יכול לטעון פרעתי, ש"ך (סקכ"ח).</w:t>
      </w:r>
    </w:p>
  </w:footnote>
  <w:footnote w:id="2950">
    <w:p w14:paraId="13CD121C" w14:textId="77777777" w:rsidR="0013116F" w:rsidRDefault="0013116F" w:rsidP="001D49D4">
      <w:pPr>
        <w:pStyle w:val="a9"/>
        <w:rPr>
          <w:rtl/>
        </w:rPr>
      </w:pPr>
      <w:r>
        <w:rPr>
          <w:rStyle w:val="ab"/>
        </w:rPr>
        <w:footnoteRef/>
      </w:r>
      <w:r>
        <w:rPr>
          <w:rtl/>
        </w:rPr>
        <w:t xml:space="preserve"> בתשובת מיימוני שם איתא בשם מהר"מ, ואם אמרו הדיינים שלא אמרו לו, נאמן לומר פרעתי, וכן הובא בב"י... ומשמע דמיירי אפילו כשכתב יד הדיינים מתקיים בלא פיהם. ויש לדקדק מאי שנא מאמנה היו דברינו שאין העדים נאמנים כשכת"י יוצא ממקום אחר, וכדלקמן סי' מו סע' לז... ונראה דדוקא בעדים שייך לומר כן, דכיון שהגיד שוב אינו חוזר ומגיד, אבל בית דין נאמנים, ובפרט בכאן דאין חוזרים ומגידים לגמרי, ש"ך (סק"ל).</w:t>
      </w:r>
    </w:p>
  </w:footnote>
  <w:footnote w:id="2951">
    <w:p w14:paraId="3D3C8AC6" w14:textId="77777777" w:rsidR="0013116F" w:rsidRDefault="0013116F" w:rsidP="001D49D4">
      <w:pPr>
        <w:pStyle w:val="a9"/>
        <w:rPr>
          <w:rtl/>
        </w:rPr>
      </w:pPr>
      <w:r>
        <w:rPr>
          <w:rStyle w:val="ab"/>
        </w:rPr>
        <w:footnoteRef/>
      </w:r>
      <w:r>
        <w:rPr>
          <w:rtl/>
        </w:rPr>
        <w:t xml:space="preserve"> בעיר שושן [סע' י] כתב, וכן נוהגין. ולא ידעתי מנ"ל הא, ובכל המקומות שהייתי לא ראיתי נוהגין כן, וכן נראה מדברי הר"ב שהעיקר כסברא הראשונה, שכתב סברא הראשונה בסתם, וגם כתב כמה דינים בסברא הראשונה. ועוד דלקמן סי' נ' כתב הר"ב בסתם דפסק דין שכתוב בו פלוני נתחייב לכנגדו, חייב לשלם למי שמוציאו. וכ"כ בעיר שושן גופיה שם </w:t>
      </w:r>
      <w:r>
        <w:rPr>
          <w:sz w:val="16"/>
          <w:szCs w:val="16"/>
          <w:rtl/>
        </w:rPr>
        <w:t>(וא"כ קשה על העיר שושן היאך כתב כאן להפך. ונראה דגם העיר שושן לא קאמר אלא במקומות שאין הדיינים מודיעים ללוה שכתבו, לכך נוהגים שנאמן לומר פרעתי, והיינו ודאי כמ"ד דאינו נאמן לומר פרעתי אפסק דין, דאל"כ נאמן במיגו דפרעתי, וכ"כ בסמ"ע שם [סק"ב] להדיא)</w:t>
      </w:r>
      <w:r>
        <w:rPr>
          <w:rtl/>
        </w:rPr>
        <w:t>, ש"ך (סקל"א)</w:t>
      </w:r>
    </w:p>
  </w:footnote>
  <w:footnote w:id="2952">
    <w:p w14:paraId="56A49629" w14:textId="77777777" w:rsidR="0013116F" w:rsidRDefault="0013116F" w:rsidP="001D49D4">
      <w:pPr>
        <w:pStyle w:val="a9"/>
        <w:rPr>
          <w:rtl/>
        </w:rPr>
      </w:pPr>
      <w:r>
        <w:rPr>
          <w:rStyle w:val="ab"/>
        </w:rPr>
        <w:footnoteRef/>
      </w:r>
      <w:r>
        <w:rPr>
          <w:rtl/>
        </w:rPr>
        <w:t xml:space="preserve"> הטעם, דפס"ד לא נכתב לגבות בו אלא כדי לזכור מה שפסקו הדיינים, לפיכך י"ל לכשפרע לא חשש ליטלו מידו. מרדכי</w:t>
      </w:r>
      <w:r>
        <w:rPr>
          <w:sz w:val="16"/>
          <w:szCs w:val="16"/>
          <w:rtl/>
        </w:rPr>
        <w:t xml:space="preserve"> (ב"מ סי' רנ)</w:t>
      </w:r>
      <w:r>
        <w:rPr>
          <w:rtl/>
        </w:rPr>
        <w:t>..., סמ"ע (סקכ"ט).</w:t>
      </w:r>
    </w:p>
  </w:footnote>
  <w:footnote w:id="2953">
    <w:p w14:paraId="032180A2" w14:textId="77777777" w:rsidR="0013116F" w:rsidRDefault="0013116F" w:rsidP="001D49D4">
      <w:pPr>
        <w:pStyle w:val="a9"/>
        <w:rPr>
          <w:rtl/>
        </w:rPr>
      </w:pPr>
      <w:r>
        <w:rPr>
          <w:rStyle w:val="ab"/>
        </w:rPr>
        <w:footnoteRef/>
      </w:r>
      <w:r>
        <w:rPr>
          <w:rtl/>
        </w:rPr>
        <w:t xml:space="preserve"> </w:t>
      </w:r>
      <w:r>
        <w:rPr>
          <w:rFonts w:hint="cs"/>
          <w:rtl/>
        </w:rPr>
        <w:t>סימן – כתובו טמיר</w:t>
      </w:r>
      <w:r>
        <w:rPr>
          <w:sz w:val="14"/>
          <w:szCs w:val="14"/>
          <w:rtl/>
        </w:rPr>
        <w:t xml:space="preserve"> </w:t>
      </w:r>
      <w:r>
        <w:rPr>
          <w:sz w:val="16"/>
          <w:szCs w:val="16"/>
          <w:rtl/>
        </w:rPr>
        <w:t>(נעלם)</w:t>
      </w:r>
      <w:r>
        <w:rPr>
          <w:rtl/>
        </w:rPr>
        <w:t>.</w:t>
      </w:r>
    </w:p>
  </w:footnote>
  <w:footnote w:id="2954">
    <w:p w14:paraId="3750833F" w14:textId="77777777" w:rsidR="0013116F" w:rsidRDefault="0013116F" w:rsidP="001D49D4">
      <w:pPr>
        <w:pStyle w:val="a9"/>
      </w:pPr>
      <w:r>
        <w:rPr>
          <w:rStyle w:val="ab"/>
        </w:rPr>
        <w:footnoteRef/>
      </w:r>
      <w:r>
        <w:rPr>
          <w:rtl/>
        </w:rPr>
        <w:t xml:space="preserve"> שנים חותמין עליה, רש"י.</w:t>
      </w:r>
    </w:p>
  </w:footnote>
  <w:footnote w:id="2955">
    <w:p w14:paraId="26C7CACD" w14:textId="77777777" w:rsidR="0013116F" w:rsidRDefault="0013116F" w:rsidP="001D49D4">
      <w:pPr>
        <w:pStyle w:val="a9"/>
      </w:pPr>
      <w:r>
        <w:rPr>
          <w:rStyle w:val="ab"/>
        </w:rPr>
        <w:footnoteRef/>
      </w:r>
      <w:r>
        <w:rPr>
          <w:rtl/>
        </w:rPr>
        <w:t xml:space="preserve"> והכא נמי ודאי לא כתבו אלא אם כן אמר להם כתבו וחתמו והבו ליה, ע"פ ב"י.</w:t>
      </w:r>
    </w:p>
  </w:footnote>
  <w:footnote w:id="2956">
    <w:p w14:paraId="59BBECD1" w14:textId="77777777" w:rsidR="0013116F" w:rsidRDefault="0013116F" w:rsidP="001D49D4">
      <w:pPr>
        <w:pStyle w:val="a9"/>
      </w:pPr>
      <w:r>
        <w:rPr>
          <w:rStyle w:val="ab"/>
        </w:rPr>
        <w:footnoteRef/>
      </w:r>
      <w:r>
        <w:rPr>
          <w:rtl/>
        </w:rPr>
        <w:t xml:space="preserve"> כלומר יש דיינים הרבה שאין בקיאין בהלכה זו דאמרנו דשנים שלא קנו מידו אין כותבין, רש"י.</w:t>
      </w:r>
    </w:p>
  </w:footnote>
  <w:footnote w:id="2957">
    <w:p w14:paraId="1978FFAB" w14:textId="77777777" w:rsidR="0013116F" w:rsidRDefault="0013116F" w:rsidP="001D49D4">
      <w:pPr>
        <w:pStyle w:val="a9"/>
      </w:pPr>
      <w:r>
        <w:rPr>
          <w:rStyle w:val="ab"/>
        </w:rPr>
        <w:footnoteRef/>
      </w:r>
      <w:r>
        <w:rPr>
          <w:rtl/>
        </w:rPr>
        <w:t xml:space="preserve"> וה"ה שטר הלואה, דהא בהלואה ג"כ אין יכולים לכתוב עד שיאמר להם כתבו וחתמו, כדלעיל סעיף ב', ש"ך (סקל"ב).</w:t>
      </w:r>
    </w:p>
  </w:footnote>
  <w:footnote w:id="2958">
    <w:p w14:paraId="51F5129F" w14:textId="77777777" w:rsidR="0013116F" w:rsidRDefault="0013116F" w:rsidP="001D49D4">
      <w:pPr>
        <w:pStyle w:val="a9"/>
      </w:pPr>
      <w:r>
        <w:rPr>
          <w:rStyle w:val="ab"/>
        </w:rPr>
        <w:footnoteRef/>
      </w:r>
      <w:r>
        <w:rPr>
          <w:rtl/>
        </w:rPr>
        <w:t xml:space="preserve"> מ"ש כאן בסעיף י"א שטר הודאה כו', מיירי ג"כ דלא חתמו בו אלא שנים, ובסעיף י"ב שאחר זה, שם כתב דאם היה כתוב בלשון ב"ד ולא היו חתומין עליו אלא שנים, כיון דאיכא ריעותא לפנינו חיישינן דטעו וסברי בשנים יש לו דין ב"ד, כשמואל דאמר [סנהדרין ג.] שנים שדנו דיניהם דין, ואין הלכה כמותו אלא כר' אבהו [שם ב.] וכמבואר לעיל סימן ג' [סע' ב], ומשו"ה אף אם שלחו אחריו לבוא והודה לפניהם, אין להן דין ב"ד לכתוב הודאתו אם לא שציוה להן לכתוב, משו"ה אין דנין בו דין שטר. וכלל הדברים הוא דכל שטר הודאה הבא לפני ב"ד מוקמינן ליה מדינא אחזקתו אם לא במקום דאיכא ריעותא בשטר, סמ"ע (סקכ"ט).</w:t>
      </w:r>
    </w:p>
  </w:footnote>
  <w:footnote w:id="2959">
    <w:p w14:paraId="41D82CE3" w14:textId="77777777" w:rsidR="0013116F" w:rsidRDefault="0013116F" w:rsidP="001D49D4">
      <w:pPr>
        <w:pStyle w:val="a9"/>
      </w:pPr>
      <w:r>
        <w:rPr>
          <w:rStyle w:val="ab"/>
        </w:rPr>
        <w:footnoteRef/>
      </w:r>
      <w:r>
        <w:rPr>
          <w:rtl/>
        </w:rPr>
        <w:t xml:space="preserve"> אפילו היכא דליכא למיחש שפרע כגון שנתן למלוה נאמנות בפני העדים וכה"ג, מ"מ חוששין לענין טריפת לקוחות, ש"ך</w:t>
      </w:r>
      <w:r>
        <w:rPr>
          <w:sz w:val="16"/>
          <w:szCs w:val="16"/>
          <w:rtl/>
        </w:rPr>
        <w:t xml:space="preserve"> (סקל"ג)</w:t>
      </w:r>
      <w:r>
        <w:rPr>
          <w:rtl/>
        </w:rPr>
        <w:t>.</w:t>
      </w:r>
    </w:p>
  </w:footnote>
  <w:footnote w:id="2960">
    <w:p w14:paraId="1D3ED31D" w14:textId="77777777" w:rsidR="0013116F" w:rsidRDefault="0013116F" w:rsidP="001D49D4">
      <w:pPr>
        <w:pStyle w:val="a9"/>
      </w:pPr>
      <w:r>
        <w:rPr>
          <w:rStyle w:val="ab"/>
        </w:rPr>
        <w:footnoteRef/>
      </w:r>
      <w:r>
        <w:rPr>
          <w:rtl/>
        </w:rPr>
        <w:t xml:space="preserve"> </w:t>
      </w:r>
      <w:r>
        <w:rPr>
          <w:rFonts w:hint="cs"/>
          <w:rtl/>
        </w:rPr>
        <w:t>סימן - כתובו טמיר</w:t>
      </w:r>
      <w:r>
        <w:rPr>
          <w:sz w:val="14"/>
          <w:szCs w:val="14"/>
          <w:rtl/>
        </w:rPr>
        <w:t xml:space="preserve"> </w:t>
      </w:r>
      <w:r>
        <w:rPr>
          <w:sz w:val="16"/>
          <w:szCs w:val="16"/>
          <w:rtl/>
        </w:rPr>
        <w:t>(נעלם)</w:t>
      </w:r>
      <w:r>
        <w:rPr>
          <w:rtl/>
        </w:rPr>
        <w:t>.</w:t>
      </w:r>
    </w:p>
  </w:footnote>
  <w:footnote w:id="2961">
    <w:p w14:paraId="0E35C06D" w14:textId="77777777" w:rsidR="0013116F" w:rsidRDefault="0013116F" w:rsidP="001D49D4">
      <w:pPr>
        <w:pStyle w:val="a9"/>
      </w:pPr>
      <w:r>
        <w:rPr>
          <w:rStyle w:val="ab"/>
        </w:rPr>
        <w:footnoteRef/>
      </w:r>
      <w:r>
        <w:rPr>
          <w:rtl/>
        </w:rPr>
        <w:t xml:space="preserve"> לא היה כתוב בה זכרון עדות בלשון עדים, אלא בלשון זכרון דברים, והוא לשון דיינין, רש"י.</w:t>
      </w:r>
    </w:p>
  </w:footnote>
  <w:footnote w:id="2962">
    <w:p w14:paraId="3F23D49D" w14:textId="77777777" w:rsidR="0013116F" w:rsidRDefault="0013116F" w:rsidP="001D49D4">
      <w:pPr>
        <w:pStyle w:val="a9"/>
      </w:pPr>
      <w:r>
        <w:rPr>
          <w:rStyle w:val="ab"/>
        </w:rPr>
        <w:footnoteRef/>
      </w:r>
      <w:r>
        <w:rPr>
          <w:rtl/>
        </w:rPr>
        <w:t xml:space="preserve"> כל דבריהם היו כתובין בלשון בית דין, ולא היו חתומין אלא שנים, רש"י.</w:t>
      </w:r>
    </w:p>
  </w:footnote>
  <w:footnote w:id="2963">
    <w:p w14:paraId="5CA05BA8" w14:textId="77777777" w:rsidR="0013116F" w:rsidRDefault="0013116F" w:rsidP="001D49D4">
      <w:pPr>
        <w:pStyle w:val="a9"/>
      </w:pPr>
      <w:r>
        <w:rPr>
          <w:rStyle w:val="ab"/>
        </w:rPr>
        <w:footnoteRef/>
      </w:r>
      <w:r>
        <w:rPr>
          <w:rtl/>
        </w:rPr>
        <w:t xml:space="preserve"> כדמצרכינן בכתובות (כב.) בשלשה שישבו לקיים את השטר ומת אחד מהם, רש"י.</w:t>
      </w:r>
    </w:p>
  </w:footnote>
  <w:footnote w:id="2964">
    <w:p w14:paraId="0EE926F5" w14:textId="77777777" w:rsidR="0013116F" w:rsidRDefault="0013116F" w:rsidP="001D49D4">
      <w:pPr>
        <w:pStyle w:val="a9"/>
        <w:rPr>
          <w:rtl/>
        </w:rPr>
      </w:pPr>
      <w:r>
        <w:rPr>
          <w:rStyle w:val="ab"/>
        </w:rPr>
        <w:footnoteRef/>
      </w:r>
      <w:r>
        <w:rPr>
          <w:rtl/>
        </w:rPr>
        <w:t xml:space="preserve"> דאמר: חזקה אין בית דין כותבין שטר אלא כדת וכהלכה, והני וודאי תלתא הוו, רש"י.</w:t>
      </w:r>
    </w:p>
  </w:footnote>
  <w:footnote w:id="2965">
    <w:p w14:paraId="21884033" w14:textId="77777777" w:rsidR="0013116F" w:rsidRDefault="0013116F" w:rsidP="001D49D4">
      <w:pPr>
        <w:pStyle w:val="a9"/>
      </w:pPr>
      <w:r>
        <w:rPr>
          <w:rStyle w:val="ab"/>
        </w:rPr>
        <w:footnoteRef/>
      </w:r>
      <w:r>
        <w:rPr>
          <w:rtl/>
        </w:rPr>
        <w:t xml:space="preserve"> סבורין שיהו שנים כשרים לדון, רש"י.</w:t>
      </w:r>
    </w:p>
  </w:footnote>
  <w:footnote w:id="2966">
    <w:p w14:paraId="0313AB0A" w14:textId="77777777" w:rsidR="0013116F" w:rsidRDefault="0013116F" w:rsidP="001D49D4">
      <w:pPr>
        <w:pStyle w:val="a9"/>
        <w:rPr>
          <w:rtl/>
        </w:rPr>
      </w:pPr>
      <w:r>
        <w:rPr>
          <w:rStyle w:val="ab"/>
        </w:rPr>
        <w:footnoteRef/>
      </w:r>
      <w:r>
        <w:rPr>
          <w:rtl/>
        </w:rPr>
        <w:t xml:space="preserve"> הכל יודעין שאין שנים קרוים בית דין, רש"י.</w:t>
      </w:r>
    </w:p>
  </w:footnote>
  <w:footnote w:id="2967">
    <w:p w14:paraId="24954F30" w14:textId="77777777" w:rsidR="0013116F" w:rsidRDefault="0013116F" w:rsidP="001D49D4">
      <w:pPr>
        <w:pStyle w:val="a9"/>
      </w:pPr>
      <w:r>
        <w:rPr>
          <w:rStyle w:val="ab"/>
        </w:rPr>
        <w:footnoteRef/>
      </w:r>
      <w:r>
        <w:rPr>
          <w:rtl/>
        </w:rPr>
        <w:t xml:space="preserve"> דאינהו ודאי ידעי שאין בית דין קרויין בשנים, רש"י.</w:t>
      </w:r>
    </w:p>
  </w:footnote>
  <w:footnote w:id="2968">
    <w:p w14:paraId="0F0BB2E5" w14:textId="77777777" w:rsidR="0013116F" w:rsidRDefault="0013116F" w:rsidP="001D49D4">
      <w:pPr>
        <w:pStyle w:val="a9"/>
        <w:rPr>
          <w:rtl/>
        </w:rPr>
      </w:pPr>
      <w:r>
        <w:rPr>
          <w:rStyle w:val="ab"/>
        </w:rPr>
        <w:footnoteRef/>
      </w:r>
      <w:r>
        <w:rPr>
          <w:rtl/>
        </w:rPr>
        <w:t xml:space="preserve"> לכתוב כך, דכיון דהוא היה שם מסתמא לא צוה לפחות משלשה לכתוב, והאי דנקט רב אשי - לפי שבית דינו היה ראש בימי רבינא ושניהם סידרו גמרא של תלמוד בבלי כדאמרינן התם בהשוכר את הפועלים (ב"מ פו.) רב אשי ורבינא סוף הוראה, ובימיו נאמרו דברים הללו והוקבעו בגמרא, רש"י. היינו דהוא הדין אם מוזכר ואמר לנא פלוני על שם שום חכם דקים לן בגויה דידע דלא סגי בתרי, ב"י.</w:t>
      </w:r>
    </w:p>
  </w:footnote>
  <w:footnote w:id="2969">
    <w:p w14:paraId="4EDAA620" w14:textId="77777777" w:rsidR="0013116F" w:rsidRDefault="0013116F" w:rsidP="001D49D4">
      <w:pPr>
        <w:pStyle w:val="a9"/>
      </w:pPr>
      <w:r>
        <w:rPr>
          <w:rStyle w:val="ab"/>
        </w:rPr>
        <w:footnoteRef/>
      </w:r>
      <w:r>
        <w:rPr>
          <w:rtl/>
        </w:rPr>
        <w:t xml:space="preserve"> וז"ל- שאלת, שטר שכתוב כך, במותב תלתא כחדא הוינא כשהודית פלונית שיש עליה חוב לראובן והיה ש' זהובים על מנת אם תנשא עד תשלום עשרים שנה וכו' ונטלה בקנין חיזוק לתנאים הנזכרים והשיב לשון שטר זה סתום מאד שיש במשמעו שהיא הודית בפני אותם השלשה כשהיו מקובצים ויושבים כאחד שהיא חייבה עצמה כבר לראובן ושנטלה בקנין כבר וכל זה לא עשתה בפני אלו השלשה אלא שהודית עכשיו בפניהם מה שעשתה קודם, ואם כן היה נראה שאין לזה דין שטר לפי שההודאה אפילו בפני שלשה אם לא קנו מידו פעמים שאין כותבין כדאמרינן בפרק זה בורר האי אודיתא זימנין כתבינן וזימנין לא כתבינן וכו' אלמא כל זמן שהיו אלו השלשה מקובצים מעצמם אע"פ שהודית בכך לא היה להם לכתוב אא"כ קנו מידה או שאמרה להם כתובו ואפילו קבצום הם ואמרו להם הוו עלינו דיינים כדברי מר בר רב אשי עד שיקבעו מקום ויזמינום לדין, ומתוך לשון השטר נראה שהיו אלו מקובצים מעצמם שאילו קבצום הם היה להם לומר 'ואמרה לנא פלונית קבעו לי דוכתא והוו עלי דייני ואנחנא קבענא דוכתא ושדרנא לה מבי דינא ואזמיננא יתה לדינא', וכיון שאין כתוב כן באותו שטר וכן אין כתוב בו וקנינא מפלונית וכן אין כתוב בו ואמרה לנא כתובו נראה שמקובצים היו כבר מעצמם ולא הזמינום לדין ושלא קנו מידה ולא אמרה להם כתובו וכיון שכן לא היה להם לכתוב, ואע"פ שכתבו אין לו דין שטר והוה ליה מלוה על פה ואינה גובה מהלקוחות, דמלוה על פה בפני שנים אם עמדו העדים וכתבו שלא מדעת הלוה פסול ואינו גובה מהלקוחות, ואין לומר מסתמא כל שכתבו הדיינים בודאי היא אמרה להם כתובו - דאנן סהדי שרוב הדיינים שיושבים עכשיו בדין אינם בקיאים בכך, וכדאמרינן פרק זה בורר גבי ההיא אודיתא דלא הוה כתיב בה כתובו וחתומו והבו ליה שיילי לספרי דאביי וידעי וכו', הלכך יש לחוש ולשאול אותם אם יודעין אם לאו, ובכל כי הא חוששין וחוקרין ובודקין להוציא הדין לאמתו. ומ"מ מה שאמרתי שמשמעות הלשון הוא שהיא מודה שכבר חייבה עצמה ושנטלה בקנין, איני גוזר שלא יהא במשמעו של לשון שנטלה עכשיו בקנין בפני אלו השלשה, אלא שהלשון סובל כן, ועוד דעל כרחנו התחלת השטר על מה שעבר שכך כתוב בו במותב תלתא כחדא הוינא כשהודית פלונית שיש עליה חוב ואלו נתחייבה עכשיו היה להם לומר וחייבה עצמה בפנינו, וכיון שכן לכאורה אף מה שכתוב שם ונטלה בקנין נגרר הוא אחר התחלת הלשון כלומר הודית שיש עליה חוב ושנטלה בקנין וכל כיוצא בזה יד בעל השטר על התחתונה... ואיני רואה בו זמן ברור שהרי כתוב בו אם תנשא עד תשלום עשרים שנה ולא נתברר בו לאיזה מנין הם מונים אם לתשלום עשרים שנה מיום שנתאלמנה או ללידתה או למקרה שקרה לה או מיום זה וכל שלא נתברר יד בעל השטר על התחתונה שמא כשנשאת זו כבר נשלמו אותם עשרים שנה.</w:t>
      </w:r>
    </w:p>
  </w:footnote>
  <w:footnote w:id="2970">
    <w:p w14:paraId="3523F689" w14:textId="77777777" w:rsidR="0013116F" w:rsidRDefault="0013116F" w:rsidP="001D49D4">
      <w:pPr>
        <w:pStyle w:val="a9"/>
      </w:pPr>
      <w:r>
        <w:rPr>
          <w:rStyle w:val="ab"/>
        </w:rPr>
        <w:footnoteRef/>
      </w:r>
      <w:r>
        <w:rPr>
          <w:rtl/>
        </w:rPr>
        <w:t xml:space="preserve"> וה"ה אם נעשה השטר בפני מומחה, או שאחד מהן מומחה, מהני, שודאי אותו מומחה לא היה טועה. כן הוא בש"ס </w:t>
      </w:r>
      <w:r>
        <w:rPr>
          <w:sz w:val="16"/>
          <w:szCs w:val="16"/>
          <w:rtl/>
        </w:rPr>
        <w:t>[סנהדרין ל.]</w:t>
      </w:r>
      <w:r>
        <w:rPr>
          <w:rtl/>
        </w:rPr>
        <w:t xml:space="preserve"> גבי אמר לן רבנא אשי, לפי גירסת רש"י </w:t>
      </w:r>
      <w:r>
        <w:rPr>
          <w:sz w:val="16"/>
          <w:szCs w:val="16"/>
          <w:rtl/>
        </w:rPr>
        <w:t xml:space="preserve">[ד"ה ואמר לן] </w:t>
      </w:r>
      <w:r>
        <w:rPr>
          <w:rtl/>
        </w:rPr>
        <w:t>ושאר פוסקים. ונראה דגם האידנא יש מומחה לענין זה, ש"ך</w:t>
      </w:r>
      <w:r>
        <w:rPr>
          <w:sz w:val="16"/>
          <w:szCs w:val="16"/>
          <w:rtl/>
        </w:rPr>
        <w:t xml:space="preserve"> (סקל"ה)</w:t>
      </w:r>
      <w:r>
        <w:rPr>
          <w:rtl/>
        </w:rPr>
        <w:t>.</w:t>
      </w:r>
    </w:p>
  </w:footnote>
  <w:footnote w:id="2971">
    <w:p w14:paraId="3FB5C89A" w14:textId="77777777" w:rsidR="0013116F" w:rsidRDefault="0013116F" w:rsidP="001D49D4">
      <w:pPr>
        <w:pStyle w:val="a9"/>
      </w:pPr>
      <w:r>
        <w:rPr>
          <w:rStyle w:val="ab"/>
        </w:rPr>
        <w:footnoteRef/>
      </w:r>
      <w:r>
        <w:rPr>
          <w:rtl/>
        </w:rPr>
        <w:t xml:space="preserve"> דוקא בכה"ג כיון דלא חתימי אלא שנים, חיישינן שטעו, אבל היכא דאיכא ודאי בית דין, קי"ל דלבית דין טועין לא חיישינן. והכי אמרינן לקמן סימן מ"ו סע' כט וריש סימן רנ"ה, ש"ך (סקל"ו).</w:t>
      </w:r>
    </w:p>
  </w:footnote>
  <w:footnote w:id="2972">
    <w:p w14:paraId="3BDD85D3" w14:textId="77777777" w:rsidR="0013116F" w:rsidRDefault="0013116F" w:rsidP="001D49D4">
      <w:pPr>
        <w:pStyle w:val="a9"/>
        <w:rPr>
          <w:rtl/>
        </w:rPr>
      </w:pPr>
      <w:r>
        <w:rPr>
          <w:rStyle w:val="ab"/>
        </w:rPr>
        <w:footnoteRef/>
      </w:r>
      <w:r>
        <w:rPr>
          <w:rtl/>
        </w:rPr>
        <w:t xml:space="preserve"> </w:t>
      </w:r>
      <w:r>
        <w:rPr>
          <w:rFonts w:hint="cs"/>
          <w:rtl/>
        </w:rPr>
        <w:t xml:space="preserve">סימן – קבלנים </w:t>
      </w:r>
      <w:r>
        <w:rPr>
          <w:sz w:val="16"/>
          <w:szCs w:val="16"/>
          <w:rtl/>
        </w:rPr>
        <w:t xml:space="preserve">(אלו שיוזמים) </w:t>
      </w:r>
      <w:r>
        <w:rPr>
          <w:rtl/>
        </w:rPr>
        <w:t>סלקי זוזי.</w:t>
      </w:r>
    </w:p>
  </w:footnote>
  <w:footnote w:id="2973">
    <w:p w14:paraId="3C63CD3D" w14:textId="77777777" w:rsidR="0013116F" w:rsidRDefault="0013116F" w:rsidP="001D49D4">
      <w:pPr>
        <w:pStyle w:val="a9"/>
        <w:rPr>
          <w:rtl/>
        </w:rPr>
      </w:pPr>
      <w:r>
        <w:rPr>
          <w:rStyle w:val="ab"/>
        </w:rPr>
        <w:footnoteRef/>
      </w:r>
      <w:r>
        <w:rPr>
          <w:rtl/>
        </w:rPr>
        <w:t xml:space="preserve"> </w:t>
      </w:r>
      <w:r>
        <w:rPr>
          <w:rFonts w:hint="cs"/>
          <w:rtl/>
        </w:rPr>
        <w:t>והלוה נותן שכר.</w:t>
      </w:r>
    </w:p>
  </w:footnote>
  <w:footnote w:id="2974">
    <w:p w14:paraId="5BC571FA" w14:textId="77777777" w:rsidR="0013116F" w:rsidRDefault="0013116F" w:rsidP="001D49D4">
      <w:pPr>
        <w:pStyle w:val="a9"/>
        <w:rPr>
          <w:rtl/>
        </w:rPr>
      </w:pPr>
      <w:r>
        <w:rPr>
          <w:rStyle w:val="ab"/>
        </w:rPr>
        <w:footnoteRef/>
      </w:r>
      <w:r>
        <w:rPr>
          <w:rtl/>
        </w:rPr>
        <w:t xml:space="preserve"> כלומר דהא כל הנאה שלו היא, ב"י.</w:t>
      </w:r>
    </w:p>
  </w:footnote>
  <w:footnote w:id="2975">
    <w:p w14:paraId="40B27556" w14:textId="77777777" w:rsidR="0013116F" w:rsidRDefault="0013116F" w:rsidP="001D49D4">
      <w:pPr>
        <w:pStyle w:val="a9"/>
        <w:rPr>
          <w:rtl/>
        </w:rPr>
      </w:pPr>
      <w:r>
        <w:rPr>
          <w:rStyle w:val="ab"/>
        </w:rPr>
        <w:footnoteRef/>
      </w:r>
      <w:r>
        <w:rPr>
          <w:rtl/>
        </w:rPr>
        <w:t xml:space="preserve"> כלומר מלוה למחצית שכר שהרי יש הנאה למלוה גם כן ואפילו הכי לוה נותן את השכר, ב"י.</w:t>
      </w:r>
    </w:p>
  </w:footnote>
  <w:footnote w:id="2976">
    <w:p w14:paraId="194C4534" w14:textId="77777777" w:rsidR="0013116F" w:rsidRDefault="0013116F" w:rsidP="001D49D4">
      <w:pPr>
        <w:pStyle w:val="a9"/>
        <w:rPr>
          <w:rtl/>
        </w:rPr>
      </w:pPr>
      <w:r>
        <w:rPr>
          <w:rStyle w:val="ab"/>
        </w:rPr>
        <w:footnoteRef/>
      </w:r>
      <w:r>
        <w:rPr>
          <w:rtl/>
        </w:rPr>
        <w:t xml:space="preserve"> </w:t>
      </w:r>
      <w:r>
        <w:rPr>
          <w:rFonts w:hint="cs"/>
          <w:rtl/>
        </w:rPr>
        <w:t>סימן – יהודי טוב. וכן – טופס יקוש.</w:t>
      </w:r>
    </w:p>
  </w:footnote>
  <w:footnote w:id="2977">
    <w:p w14:paraId="1E079104" w14:textId="77777777" w:rsidR="0013116F" w:rsidRDefault="0013116F" w:rsidP="001D49D4">
      <w:pPr>
        <w:pStyle w:val="a9"/>
      </w:pPr>
      <w:r>
        <w:rPr>
          <w:rStyle w:val="ab"/>
        </w:rPr>
        <w:footnoteRef/>
      </w:r>
      <w:r>
        <w:rPr>
          <w:rtl/>
        </w:rPr>
        <w:t xml:space="preserve"> לא לוה כלום אלא כתבו ומסרו למלוה שאם יצטרך ללות ילוה והאמינו שלא יתבענו אא"כ מלוהו, רש"י.</w:t>
      </w:r>
    </w:p>
  </w:footnote>
  <w:footnote w:id="2978">
    <w:p w14:paraId="235317FA" w14:textId="77777777" w:rsidR="0013116F" w:rsidRDefault="0013116F" w:rsidP="001D49D4">
      <w:pPr>
        <w:pStyle w:val="a9"/>
      </w:pPr>
      <w:r>
        <w:rPr>
          <w:rStyle w:val="ab"/>
        </w:rPr>
        <w:footnoteRef/>
      </w:r>
      <w:r>
        <w:rPr>
          <w:rtl/>
        </w:rPr>
        <w:t xml:space="preserve"> וכי אמרי חתמנו אין נאמנים להרשיע את עצמן, רש"י.</w:t>
      </w:r>
    </w:p>
  </w:footnote>
  <w:footnote w:id="2979">
    <w:p w14:paraId="45CB9D46" w14:textId="77777777" w:rsidR="0013116F" w:rsidRDefault="0013116F" w:rsidP="001D49D4">
      <w:pPr>
        <w:pStyle w:val="a9"/>
      </w:pPr>
      <w:r>
        <w:rPr>
          <w:rStyle w:val="ab"/>
        </w:rPr>
        <w:footnoteRef/>
      </w:r>
      <w:r>
        <w:rPr>
          <w:rtl/>
        </w:rPr>
        <w:t xml:space="preserve"> מ"ש רבינו ובלבד שיכירו הלוה ולא הזכיר המלוה נראה שסובר כדברי הה"מ שכתבתי בסי' מ"ט (ס"ב), אך קשה שבסימן הנזכר כתב שצריך שם הלוה והמלוה, ב"י.</w:t>
      </w:r>
    </w:p>
  </w:footnote>
  <w:footnote w:id="2980">
    <w:p w14:paraId="2F5D5CE6" w14:textId="77777777" w:rsidR="0013116F" w:rsidRDefault="0013116F" w:rsidP="001D49D4">
      <w:pPr>
        <w:pStyle w:val="a9"/>
        <w:rPr>
          <w:rtl/>
        </w:rPr>
      </w:pPr>
      <w:r>
        <w:rPr>
          <w:rStyle w:val="ab"/>
        </w:rPr>
        <w:footnoteRef/>
      </w:r>
      <w:r>
        <w:rPr>
          <w:rtl/>
        </w:rPr>
        <w:t xml:space="preserve"> כלומר אפילו אם בא לידו אינו זוכה בו כיון שלא בא לידו מיד הלוה, ב"י.</w:t>
      </w:r>
    </w:p>
  </w:footnote>
  <w:footnote w:id="2981">
    <w:p w14:paraId="2BC1AE8F" w14:textId="77777777" w:rsidR="0013116F" w:rsidRDefault="0013116F" w:rsidP="001D49D4">
      <w:pPr>
        <w:pStyle w:val="a9"/>
      </w:pPr>
      <w:r>
        <w:rPr>
          <w:rStyle w:val="ab"/>
        </w:rPr>
        <w:footnoteRef/>
      </w:r>
      <w:r>
        <w:rPr>
          <w:rtl/>
        </w:rPr>
        <w:t xml:space="preserve"> והכא אע"פ שקנו מידו כיון שאמר ותנו אותו בידי - אינם רשאים ליתנו למלוה, שלא גמר להשתעבד לו עד שילוהו. ואם נחנוהו הם למלוה קודם שילוהו - הוה ליה עולה, ב"י (בבדה"ב).</w:t>
      </w:r>
    </w:p>
  </w:footnote>
  <w:footnote w:id="2982">
    <w:p w14:paraId="405276F8" w14:textId="77777777" w:rsidR="0013116F" w:rsidRDefault="0013116F" w:rsidP="001D49D4">
      <w:pPr>
        <w:pStyle w:val="a9"/>
        <w:rPr>
          <w:rtl/>
        </w:rPr>
      </w:pPr>
      <w:r>
        <w:rPr>
          <w:rStyle w:val="ab"/>
        </w:rPr>
        <w:footnoteRef/>
      </w:r>
      <w:r>
        <w:rPr>
          <w:rtl/>
        </w:rPr>
        <w:t xml:space="preserve"> מ"ש או אפילו כתבו סתם - כלומר שאמר קנו ממני שאני חייב לפלוני כך וכך וכתבו שטר אע"פ שלא פירש 'כתבו </w:t>
      </w:r>
      <w:r>
        <w:rPr>
          <w:b/>
          <w:bCs/>
          <w:rtl/>
        </w:rPr>
        <w:t>לו</w:t>
      </w:r>
      <w:r>
        <w:rPr>
          <w:rtl/>
        </w:rPr>
        <w:t>' הרי אנו כותבין ונותנין למלוה, דלעולם אין נותנין ללוה אא"כ אמר להם בשעת קנין שלא יתנוהו אלא בידו. וטעמא משום דסתם קנין לכתיבה ונתינה ביד המלוה עומד. ומ"ש רבינו 'או אפילו כתבו סתם' - לאו דוקא, דה"ה אפילו לא אמר 'כתבו', כיון שקנו ממנו - כותבין ונותנין ביד המלוה, ב"י.</w:t>
      </w:r>
    </w:p>
  </w:footnote>
  <w:footnote w:id="2983">
    <w:p w14:paraId="36AAEBD3" w14:textId="77777777" w:rsidR="0013116F" w:rsidRDefault="0013116F" w:rsidP="001D49D4">
      <w:pPr>
        <w:pStyle w:val="a9"/>
      </w:pPr>
      <w:r>
        <w:rPr>
          <w:rStyle w:val="ab"/>
        </w:rPr>
        <w:footnoteRef/>
      </w:r>
      <w:r>
        <w:rPr>
          <w:rtl/>
        </w:rPr>
        <w:t xml:space="preserve"> כתב הה"מ שיש שהקשו פשיטא ותירצו דאיידי דתנא רישא כותבין שטר ללוה אע"פ שאין מלוה עמו תנא סיפא אין כותבין למלוה וכו' ולי נראה שכך פירושה ש-...</w:t>
      </w:r>
    </w:p>
  </w:footnote>
  <w:footnote w:id="2984">
    <w:p w14:paraId="5625CE6D" w14:textId="77777777" w:rsidR="0013116F" w:rsidRDefault="0013116F" w:rsidP="001D49D4">
      <w:pPr>
        <w:pStyle w:val="a9"/>
        <w:rPr>
          <w:rtl/>
        </w:rPr>
      </w:pPr>
      <w:r>
        <w:rPr>
          <w:rStyle w:val="ab"/>
        </w:rPr>
        <w:footnoteRef/>
      </w:r>
      <w:r>
        <w:rPr>
          <w:rtl/>
        </w:rPr>
        <w:t xml:space="preserve"> וקשה לי דהא משמע בפרק כל הגט </w:t>
      </w:r>
      <w:r>
        <w:rPr>
          <w:sz w:val="16"/>
          <w:szCs w:val="16"/>
          <w:rtl/>
        </w:rPr>
        <w:t xml:space="preserve">(גיטין כו:) </w:t>
      </w:r>
      <w:r>
        <w:rPr>
          <w:rtl/>
        </w:rPr>
        <w:t xml:space="preserve">דלמיחזי כשיקרא לא חיישינן ואפילו נחתם השטר קודם שילוה בו, וכ"כ הרי"ף </w:t>
      </w:r>
      <w:r>
        <w:rPr>
          <w:sz w:val="16"/>
          <w:szCs w:val="16"/>
          <w:rtl/>
        </w:rPr>
        <w:t xml:space="preserve">(יג:) </w:t>
      </w:r>
      <w:r>
        <w:rPr>
          <w:rtl/>
        </w:rPr>
        <w:t xml:space="preserve">וכדאמר רב אסי </w:t>
      </w:r>
      <w:r>
        <w:rPr>
          <w:sz w:val="16"/>
          <w:szCs w:val="16"/>
          <w:rtl/>
        </w:rPr>
        <w:t xml:space="preserve">(גיטין שם, ב"מ יז.) </w:t>
      </w:r>
      <w:r>
        <w:rPr>
          <w:rtl/>
        </w:rPr>
        <w:t>שטר שלוה בו ופרעו אינו חוזר ולוה בו אפילו בו ביום שכבר נמחל שעבודו, טעמא דנמחל שעבודו אבל למיחזי כשיקרא לא חיישינן. וי"ל דשאני התם שבשעה שנחתם לא הוה מיחזי כשיקרא, אבל הכא דמשעה שנחתם מיחזי כשיקרא - חיישינן ליה. דהכא בשנחתם קודם שיבא הלוה עסקינן, וכמו שאמר תקנו ממנו ותתנוהו לי ולא אמר תקנו ממנו ותחתמו בו ותתנוהו לי - מיחזי כשיקרא, איכא למיחש שהוא מערים דשמא יפול מידם או יגנבנו קודם שיבא הלוה ויגבה בשטר מזוייף, ב"י.</w:t>
      </w:r>
    </w:p>
  </w:footnote>
  <w:footnote w:id="2985">
    <w:p w14:paraId="036CFE19" w14:textId="77777777" w:rsidR="0013116F" w:rsidRDefault="0013116F" w:rsidP="001D49D4">
      <w:pPr>
        <w:pStyle w:val="a9"/>
        <w:rPr>
          <w:rtl/>
        </w:rPr>
      </w:pPr>
      <w:r>
        <w:rPr>
          <w:rStyle w:val="ab"/>
        </w:rPr>
        <w:footnoteRef/>
      </w:r>
      <w:r>
        <w:rPr>
          <w:rtl/>
        </w:rPr>
        <w:t xml:space="preserve"> </w:t>
      </w:r>
      <w:r>
        <w:rPr>
          <w:rFonts w:hint="cs"/>
          <w:rtl/>
        </w:rPr>
        <w:t>סימן – יכתוב בגפו?</w:t>
      </w:r>
    </w:p>
  </w:footnote>
  <w:footnote w:id="2986">
    <w:p w14:paraId="075CB809" w14:textId="77777777" w:rsidR="0013116F" w:rsidRDefault="0013116F" w:rsidP="001D49D4">
      <w:pPr>
        <w:pStyle w:val="a9"/>
        <w:rPr>
          <w:rtl/>
        </w:rPr>
      </w:pPr>
      <w:r>
        <w:rPr>
          <w:rStyle w:val="ab"/>
        </w:rPr>
        <w:footnoteRef/>
      </w:r>
      <w:r>
        <w:rPr>
          <w:rtl/>
        </w:rPr>
        <w:t xml:space="preserve"> היכא דמטא שטר לידיה ואפילו אחר זמן זכו לו חותמיו לגבות מזמן הכתוב בו, אבל לא מטא שטרא לידיה לא אמרינן עדיו בחיתומיו זכין לו, ב"י.</w:t>
      </w:r>
    </w:p>
  </w:footnote>
  <w:footnote w:id="2987">
    <w:p w14:paraId="0B0CF888" w14:textId="77777777" w:rsidR="0013116F" w:rsidRDefault="0013116F" w:rsidP="001D49D4">
      <w:pPr>
        <w:pStyle w:val="a9"/>
        <w:rPr>
          <w:rtl/>
        </w:rPr>
      </w:pPr>
      <w:r>
        <w:rPr>
          <w:rStyle w:val="ab"/>
        </w:rPr>
        <w:footnoteRef/>
      </w:r>
      <w:r>
        <w:rPr>
          <w:rtl/>
        </w:rPr>
        <w:t xml:space="preserve"> כן כתב במישרים נ"ד ח"א (יט סוע"ב) שיש מי שפירש דברי רש"י כמו הרי"ף דלאו דוקא שכתב לו כך אלא שסתם הקנין כך שמשעבד עצמו כך, וכ"כ הריב"ש בסימן קס"א בשם המפרשים.</w:t>
      </w:r>
    </w:p>
  </w:footnote>
  <w:footnote w:id="2988">
    <w:p w14:paraId="0BA722EC" w14:textId="77777777" w:rsidR="0013116F" w:rsidRDefault="0013116F" w:rsidP="001D49D4">
      <w:pPr>
        <w:pStyle w:val="a9"/>
        <w:rPr>
          <w:rtl/>
        </w:rPr>
      </w:pPr>
      <w:r>
        <w:rPr>
          <w:rStyle w:val="ab"/>
        </w:rPr>
        <w:footnoteRef/>
      </w:r>
      <w:r>
        <w:rPr>
          <w:rtl/>
        </w:rPr>
        <w:t xml:space="preserve"> והשתא דטריף כדין טריף. אבל שטר שאין בו קנין דלא שעביד ליה נפשיה עדיין אין כותבין ללוה עד שיהיה המלוה עמו דכיון דשקיל ליה מלוה לשטרא אישתעביד ליה לוה מההיא שעתא. ואביי דאמר עדיו בחיתומיו זכין לו לומר דמשתעבד ליה משעת חתימה לית הלכתא כוותיה דהא רבא פליג עליה, רי"ף. וכתב נמוק"י (ו. ד"ה מתני') שדעת גדולי הראשונים כהרי"ף.</w:t>
      </w:r>
    </w:p>
  </w:footnote>
  <w:footnote w:id="2989">
    <w:p w14:paraId="25F35CFA" w14:textId="77777777" w:rsidR="0013116F" w:rsidRDefault="0013116F" w:rsidP="001D49D4">
      <w:pPr>
        <w:pStyle w:val="a9"/>
        <w:rPr>
          <w:rtl/>
        </w:rPr>
      </w:pPr>
      <w:r>
        <w:rPr>
          <w:rStyle w:val="ab"/>
        </w:rPr>
        <w:footnoteRef/>
      </w:r>
      <w:r>
        <w:rPr>
          <w:rtl/>
        </w:rPr>
        <w:t xml:space="preserve"> והרא"ש (פ"ק דמציעא סי' לו) כתב ומה שכתב הרי"ף שטרי הקנאה שטר שיש בו קנין לא ברירא לי מה חילוק יש בין יש בו קנין לאין בו קנין כיון שכתב בשטר פלוני לוה מפלוני מנה נשתעבדו נכסי לוה למלוה אף בלא קנין דשעבודא דאורייתא (ב"ב קעה:) שכל מה שאדם חייב נכסיו משועבדים לפרוע, ואי משום קלא שיוכלו לקוחות ליזהר, עדיו החתומים על השטר מפקי לקלא ולא הקנין, אלא היינו טעמא דרב אשי</w:t>
      </w:r>
      <w:r>
        <w:rPr>
          <w:sz w:val="16"/>
          <w:szCs w:val="16"/>
          <w:rtl/>
        </w:rPr>
        <w:t xml:space="preserve"> {לפנינו - רב אסי}</w:t>
      </w:r>
      <w:r>
        <w:rPr>
          <w:rtl/>
        </w:rPr>
        <w:t xml:space="preserve"> דאית ליה שלא זכה משעת החתימה לגבות מן הלקוחות משום דלא נפיק קלא עד שימסור השטר ביד המלוה, א"נ אע"פ שצוה הלוה לכתוב השטר אין דעתו שיחול השיעבוד עד שיבואו המעות לידו, הלכך נראה כפירוש רש"י שפירש-...</w:t>
      </w:r>
    </w:p>
  </w:footnote>
  <w:footnote w:id="2990">
    <w:p w14:paraId="0442A0DD" w14:textId="77777777" w:rsidR="0013116F" w:rsidRDefault="0013116F" w:rsidP="001D49D4">
      <w:pPr>
        <w:pStyle w:val="a9"/>
      </w:pPr>
      <w:r>
        <w:rPr>
          <w:rStyle w:val="ab"/>
        </w:rPr>
        <w:footnoteRef/>
      </w:r>
      <w:r>
        <w:rPr>
          <w:rtl/>
        </w:rPr>
        <w:t xml:space="preserve"> שאין הלכה כאביי דאמר עדיו בחותמיו זכין לו, רי"ף (כ"כ הטור בשמו).</w:t>
      </w:r>
    </w:p>
  </w:footnote>
  <w:footnote w:id="2991">
    <w:p w14:paraId="0B22010D" w14:textId="77777777" w:rsidR="0013116F" w:rsidRDefault="0013116F" w:rsidP="001D49D4">
      <w:pPr>
        <w:pStyle w:val="a9"/>
        <w:rPr>
          <w:rtl/>
        </w:rPr>
      </w:pPr>
      <w:r>
        <w:rPr>
          <w:rStyle w:val="ab"/>
        </w:rPr>
        <w:footnoteRef/>
      </w:r>
      <w:r>
        <w:rPr>
          <w:rtl/>
        </w:rPr>
        <w:t xml:space="preserve"> דהא בסוף מי שהיה נשוי </w:t>
      </w:r>
      <w:r>
        <w:rPr>
          <w:sz w:val="16"/>
          <w:szCs w:val="16"/>
          <w:rtl/>
        </w:rPr>
        <w:t xml:space="preserve">(כתובות צד:) </w:t>
      </w:r>
      <w:r>
        <w:rPr>
          <w:rtl/>
        </w:rPr>
        <w:t xml:space="preserve">משמע דלמאן דאמר עדי מסירה כרתי כתב לזה ומסר לזה קנה, ואביי סבירא ליה כרבי אליעזר </w:t>
      </w:r>
      <w:r>
        <w:rPr>
          <w:sz w:val="16"/>
          <w:szCs w:val="16"/>
          <w:rtl/>
        </w:rPr>
        <w:t xml:space="preserve">(גיטין ט:) </w:t>
      </w:r>
      <w:r>
        <w:rPr>
          <w:rtl/>
        </w:rPr>
        <w:t xml:space="preserve">דאמר עדי מסירה כרתי כדאיתא בפרק זה בורר </w:t>
      </w:r>
      <w:r>
        <w:rPr>
          <w:sz w:val="16"/>
          <w:szCs w:val="16"/>
          <w:rtl/>
        </w:rPr>
        <w:t xml:space="preserve">(סנהדרין כח:) </w:t>
      </w:r>
      <w:r>
        <w:rPr>
          <w:rtl/>
        </w:rPr>
        <w:t>גבי ההיא מתנתא דהוו חתימי עלה תרי גיסי, אלא ודאי כשאין הקדימה ניכרת מתוך השטר לא אמרינן עדיו בחיתומיו זכין לו, רא"ש.</w:t>
      </w:r>
    </w:p>
  </w:footnote>
  <w:footnote w:id="2992">
    <w:p w14:paraId="328EFD21" w14:textId="77777777" w:rsidR="0013116F" w:rsidRDefault="0013116F" w:rsidP="001D49D4">
      <w:pPr>
        <w:pStyle w:val="a9"/>
      </w:pPr>
      <w:r>
        <w:rPr>
          <w:rStyle w:val="ab"/>
        </w:rPr>
        <w:footnoteRef/>
      </w:r>
      <w:r>
        <w:rPr>
          <w:rtl/>
        </w:rPr>
        <w:t xml:space="preserve"> וכתב הריב"ש (סי' קסא) דכבר דחו האחרונים דבריהם והוכיחו כדברי רש"י </w:t>
      </w:r>
      <w:r>
        <w:rPr>
          <w:sz w:val="16"/>
          <w:szCs w:val="16"/>
          <w:rtl/>
        </w:rPr>
        <w:t>(יג. ד"ה בשטרי הקנאה)</w:t>
      </w:r>
      <w:r>
        <w:rPr>
          <w:rtl/>
        </w:rPr>
        <w:t xml:space="preserve">, ומ"ש הרמב"ם בפ"ט מהלכות זכיה ומתנה (הכ"ד) מי שמת ונמצאת דייתיקי קשורה על יריכו אע"פ שהיא בעדים וקנו מידו הרי זו אינה כלום וכו', כבר ביאר מגיד משנה שזה הוא במתנת כל הנכסים הא במקצתן ודאי זכה בהם כיון שיש בהם קנין ואף על גב דלא מטא שטרא לידיה, וכ"כ הרב ן' מיגא"ש </w:t>
      </w:r>
      <w:r>
        <w:rPr>
          <w:sz w:val="16"/>
          <w:szCs w:val="16"/>
          <w:rtl/>
        </w:rPr>
        <w:t xml:space="preserve">(ב"ב קלה: ד"ה מי שמת) </w:t>
      </w:r>
      <w:r>
        <w:rPr>
          <w:rtl/>
        </w:rPr>
        <w:t xml:space="preserve">וכ"כ עוד מגיד משנה בפי"ח מהלכות גזילה (ה"ט) שדעת הרמב"ן </w:t>
      </w:r>
      <w:r>
        <w:rPr>
          <w:sz w:val="16"/>
          <w:szCs w:val="16"/>
          <w:rtl/>
        </w:rPr>
        <w:t xml:space="preserve">(ב"מ יג. ד"ה הא) </w:t>
      </w:r>
      <w:r>
        <w:rPr>
          <w:rtl/>
        </w:rPr>
        <w:t xml:space="preserve">והרשב"א </w:t>
      </w:r>
      <w:r>
        <w:rPr>
          <w:sz w:val="16"/>
          <w:szCs w:val="16"/>
          <w:rtl/>
        </w:rPr>
        <w:t xml:space="preserve">(שם ד"ה בשטרי, יט: ד"ה הא ביה) </w:t>
      </w:r>
      <w:r>
        <w:rPr>
          <w:rtl/>
        </w:rPr>
        <w:t xml:space="preserve">כדעת רש"י ון' מיגא"ש, וכ"כ הריטב"א </w:t>
      </w:r>
      <w:r>
        <w:rPr>
          <w:sz w:val="16"/>
          <w:szCs w:val="16"/>
          <w:rtl/>
        </w:rPr>
        <w:t xml:space="preserve">(חי' ב"ב קלה: ד"ה מי שמת, תשו' סי' קסד) </w:t>
      </w:r>
      <w:r>
        <w:rPr>
          <w:rtl/>
        </w:rPr>
        <w:t>גם מדברי הרמב"ם נראה שכן דעתו שכתב בפ"ח מהלכות זכיה (הי"ח) אל תטעה בשכיב מרע שכתב כל נכסיו ופירש שנתן הכל מעכשיו והקנה מחיים שאין זה מתנת שכיב מרע אלא כשאר כל מתנות הבריאים שאם הגיע השטר ליד המקבל או שקנו מיד הנותן קנה הכל ואין יכול לחזור בו עכ"ל נראה מלשון זה שאם קנו מידו אין צריך שיגיע השטר ליד המקבל עכ"ל.</w:t>
      </w:r>
    </w:p>
  </w:footnote>
  <w:footnote w:id="2993">
    <w:p w14:paraId="3291B7AD" w14:textId="77777777" w:rsidR="0013116F" w:rsidRDefault="0013116F" w:rsidP="001D49D4">
      <w:pPr>
        <w:pStyle w:val="a9"/>
      </w:pPr>
      <w:r>
        <w:rPr>
          <w:rStyle w:val="ab"/>
        </w:rPr>
        <w:footnoteRef/>
      </w:r>
      <w:r>
        <w:rPr>
          <w:rtl/>
        </w:rPr>
        <w:t xml:space="preserve"> רש"י </w:t>
      </w:r>
      <w:r>
        <w:rPr>
          <w:sz w:val="16"/>
          <w:szCs w:val="16"/>
          <w:rtl/>
        </w:rPr>
        <w:t xml:space="preserve">(יג. ד"ה בשטרי הקנאה) </w:t>
      </w:r>
      <w:r>
        <w:rPr>
          <w:rtl/>
        </w:rPr>
        <w:t xml:space="preserve">ר"י מגא"ש </w:t>
      </w:r>
      <w:r>
        <w:rPr>
          <w:sz w:val="16"/>
          <w:szCs w:val="16"/>
          <w:rtl/>
        </w:rPr>
        <w:t xml:space="preserve">(ב"ב קלה: ד"ה מי שמת) </w:t>
      </w:r>
      <w:r>
        <w:rPr>
          <w:rtl/>
        </w:rPr>
        <w:t xml:space="preserve">רמב"ם </w:t>
      </w:r>
      <w:r>
        <w:rPr>
          <w:sz w:val="16"/>
          <w:szCs w:val="16"/>
          <w:rtl/>
        </w:rPr>
        <w:t>(פ"ח מהל' זכיה הי"ח)</w:t>
      </w:r>
      <w:r>
        <w:rPr>
          <w:rtl/>
        </w:rPr>
        <w:t xml:space="preserve"> רמב"ן </w:t>
      </w:r>
      <w:r>
        <w:rPr>
          <w:sz w:val="16"/>
          <w:szCs w:val="16"/>
          <w:rtl/>
        </w:rPr>
        <w:t xml:space="preserve">(ב"מ יג. ד"ה הא) </w:t>
      </w:r>
      <w:r>
        <w:rPr>
          <w:rtl/>
        </w:rPr>
        <w:t xml:space="preserve">רשב"א </w:t>
      </w:r>
      <w:r>
        <w:rPr>
          <w:sz w:val="16"/>
          <w:szCs w:val="16"/>
          <w:rtl/>
        </w:rPr>
        <w:t xml:space="preserve">(שם ד"ה בשטרי, יט: ד"ה הא ביה) </w:t>
      </w:r>
      <w:r>
        <w:rPr>
          <w:rtl/>
        </w:rPr>
        <w:t>ריטב"א</w:t>
      </w:r>
      <w:r>
        <w:rPr>
          <w:sz w:val="16"/>
          <w:szCs w:val="16"/>
          <w:rtl/>
        </w:rPr>
        <w:t xml:space="preserve"> (חי' ב"ב קלה: ד"ה מי שמת, תשו' סי' קסד)</w:t>
      </w:r>
      <w:r>
        <w:rPr>
          <w:rtl/>
        </w:rPr>
        <w:t>. כ"כ בשמם הריב"ש</w:t>
      </w:r>
      <w:r>
        <w:rPr>
          <w:sz w:val="16"/>
          <w:szCs w:val="16"/>
          <w:rtl/>
        </w:rPr>
        <w:t xml:space="preserve"> (סי' קסא)</w:t>
      </w:r>
      <w:r>
        <w:rPr>
          <w:rtl/>
        </w:rPr>
        <w:t>.</w:t>
      </w:r>
    </w:p>
  </w:footnote>
  <w:footnote w:id="2994">
    <w:p w14:paraId="1B4035C7" w14:textId="77777777" w:rsidR="0013116F" w:rsidRDefault="0013116F" w:rsidP="001D49D4">
      <w:pPr>
        <w:pStyle w:val="a9"/>
        <w:rPr>
          <w:rtl/>
        </w:rPr>
      </w:pPr>
      <w:r>
        <w:rPr>
          <w:rStyle w:val="ab"/>
        </w:rPr>
        <w:footnoteRef/>
      </w:r>
      <w:r>
        <w:rPr>
          <w:rtl/>
        </w:rPr>
        <w:t xml:space="preserve"> ומעתה מה שכתב נמוק"י (ב"מ ו. ד"ה מתני' מצא) שדעת הרמב"ם כדעת רבינו חננאל ורי"ף באותו לשון של פ"ט מהלכות זכיה ונחלה כבר נתבאר שאינו כן אלא שדעתו כדעת רש"י ון' מיגא"ש והרמב"ן והרשב"א ז"ל. וז"ל הרשב"א בתשובה- דברי רש"י מוכרעין הם ומוכרחים ואין לזוז מהם וכמה ראיות יש שאין תשובה עליהם, ב"י.</w:t>
      </w:r>
    </w:p>
  </w:footnote>
  <w:footnote w:id="2995">
    <w:p w14:paraId="095BC32D" w14:textId="77777777" w:rsidR="0013116F" w:rsidRDefault="0013116F" w:rsidP="001D49D4">
      <w:pPr>
        <w:pStyle w:val="a9"/>
        <w:rPr>
          <w:rtl/>
        </w:rPr>
      </w:pPr>
      <w:r>
        <w:rPr>
          <w:rStyle w:val="ab"/>
        </w:rPr>
        <w:footnoteRef/>
      </w:r>
      <w:r>
        <w:rPr>
          <w:rtl/>
        </w:rPr>
        <w:t xml:space="preserve"> </w:t>
      </w:r>
      <w:r>
        <w:rPr>
          <w:rFonts w:hint="cs"/>
          <w:rtl/>
        </w:rPr>
        <w:t xml:space="preserve">הביאו בעל התרומות </w:t>
      </w:r>
      <w:r>
        <w:rPr>
          <w:sz w:val="16"/>
          <w:szCs w:val="16"/>
          <w:rtl/>
        </w:rPr>
        <w:t>(שער מח ח"א סי' א)</w:t>
      </w:r>
      <w:r>
        <w:rPr>
          <w:rtl/>
        </w:rPr>
        <w:t>, וכתב שדבריו קשים, ושאל לרמב"ן והשיב לו הרמב"ן שאין דברי הר"י מגא"ש נכונים.</w:t>
      </w:r>
    </w:p>
  </w:footnote>
  <w:footnote w:id="2996">
    <w:p w14:paraId="205B4B73" w14:textId="77777777" w:rsidR="0013116F" w:rsidRDefault="0013116F" w:rsidP="001D49D4">
      <w:pPr>
        <w:pStyle w:val="a9"/>
        <w:rPr>
          <w:rtl/>
        </w:rPr>
      </w:pPr>
      <w:r>
        <w:rPr>
          <w:rStyle w:val="ab"/>
        </w:rPr>
        <w:footnoteRef/>
      </w:r>
      <w:r>
        <w:rPr>
          <w:rtl/>
        </w:rPr>
        <w:t xml:space="preserve"> ואע"פ שתמצא לקצת מחברים שאמרו אין כותבין אא"כ ראו נתינת המעות אל תחוש להם דשלא בעיון כתבו כן, ודברי הרמב"ם יפין ומדוקדקין, בעל התרומות.</w:t>
      </w:r>
    </w:p>
  </w:footnote>
  <w:footnote w:id="2997">
    <w:p w14:paraId="696A33CC" w14:textId="77777777" w:rsidR="0013116F" w:rsidRDefault="0013116F" w:rsidP="001D49D4">
      <w:pPr>
        <w:pStyle w:val="a9"/>
        <w:rPr>
          <w:rtl/>
        </w:rPr>
      </w:pPr>
      <w:r>
        <w:rPr>
          <w:rStyle w:val="ab"/>
        </w:rPr>
        <w:footnoteRef/>
      </w:r>
      <w:r>
        <w:rPr>
          <w:rtl/>
        </w:rPr>
        <w:t xml:space="preserve"> ולפי זה אפילו אם ראו עדים שהלוה לו ואמר הלוה 'כתבו וחתמו השטר ותנו ביד המלוה' ולא היה שם קנין - כותבין בשטר יום שנמסר בו השטר ואין כותבין יום שהלוה לו, דכל שכתבו בשטר יום אחד ומסרוהו יום אחר נמצא טורף לקוחות שלא כדין דלא משתעבדי לקוחות עד שעת מסירה, ב"י.</w:t>
      </w:r>
    </w:p>
  </w:footnote>
  <w:footnote w:id="2998">
    <w:p w14:paraId="2A51FBB7" w14:textId="77777777" w:rsidR="0013116F" w:rsidRDefault="0013116F" w:rsidP="001D49D4">
      <w:pPr>
        <w:pStyle w:val="a9"/>
        <w:rPr>
          <w:rtl/>
        </w:rPr>
      </w:pPr>
      <w:r>
        <w:rPr>
          <w:rStyle w:val="ab"/>
        </w:rPr>
        <w:footnoteRef/>
      </w:r>
      <w:r>
        <w:rPr>
          <w:rtl/>
        </w:rPr>
        <w:t xml:space="preserve"> וליכא למיחש שלוה ישנה שם המלוה כדי לאפוקי חובו, דאין אדם חוטא ולא לו, וגם אז אין כותבין בלשון נוכח, אלא איך שהלוה הודה, ומוסרים כתב ההודאה ליד הלוה, ובהודאה כזו אינו יוצא הקול שיש לפלוני המלוה ממון כך וכך, כיון שההודאה לא נעשתה בפניו [אמרינן] דילמא שלא להשביע הודה ואמר, משום הכי כותבין לו הודאה זו אף על פי שאין מכירין המלוה, וכמ"ש הטור [סעיף ט"ז] והמחבר בסמוך סעיף י"ג, ועיין פרישה, אבל להלוה עכ"פ צריכין להכירו, דיש לחוש לקנוניא ולומר שלא לוה זה מזה כלום וכדי לחייב לאיש אחר מעלה שמו בשם אחר ואומר שחייב לו, כדי שיבוא זה שהודה לו להוציא דמי הודאתו מיד אותו האחר וק"ל. ועוד כתבתי טעם לשבח למה צריכים שיכירו גם המלוה, לקמן בסימן מ"ט [סק"ג] ע"ש, סמ"ע (סקכ"א).</w:t>
      </w:r>
    </w:p>
  </w:footnote>
  <w:footnote w:id="2999">
    <w:p w14:paraId="263276D2" w14:textId="77777777" w:rsidR="0013116F" w:rsidRDefault="0013116F" w:rsidP="001D49D4">
      <w:pPr>
        <w:pStyle w:val="a9"/>
        <w:rPr>
          <w:rtl/>
        </w:rPr>
      </w:pPr>
      <w:r>
        <w:rPr>
          <w:rStyle w:val="ab"/>
        </w:rPr>
        <w:footnoteRef/>
      </w:r>
      <w:r>
        <w:rPr>
          <w:rtl/>
        </w:rPr>
        <w:t xml:space="preserve"> דלא ניחא ליה להשביע נפשו, בפרט בדבר שאינו שלו, סמ"ע (סקל"ה).</w:t>
      </w:r>
    </w:p>
  </w:footnote>
  <w:footnote w:id="3000">
    <w:p w14:paraId="790519DF" w14:textId="77777777" w:rsidR="0013116F" w:rsidRDefault="0013116F" w:rsidP="001D49D4">
      <w:pPr>
        <w:pStyle w:val="a9"/>
        <w:rPr>
          <w:rtl/>
        </w:rPr>
      </w:pPr>
      <w:r>
        <w:rPr>
          <w:rStyle w:val="ab"/>
        </w:rPr>
        <w:footnoteRef/>
      </w:r>
      <w:r>
        <w:rPr>
          <w:rtl/>
        </w:rPr>
        <w:t xml:space="preserve"> בכתיבה לחוד אין קפידא כל זמן שלא חתמוהו, וכן מוכח בב"י [מחודש כ"ג], ע"ש, סמ"ע (סקל"ז).</w:t>
      </w:r>
    </w:p>
  </w:footnote>
  <w:footnote w:id="3001">
    <w:p w14:paraId="53BE7A12" w14:textId="77777777" w:rsidR="0013116F" w:rsidRDefault="0013116F" w:rsidP="001D49D4">
      <w:pPr>
        <w:pStyle w:val="a9"/>
        <w:rPr>
          <w:rtl/>
        </w:rPr>
      </w:pPr>
      <w:r>
        <w:rPr>
          <w:rStyle w:val="ab"/>
        </w:rPr>
        <w:footnoteRef/>
      </w:r>
      <w:r>
        <w:rPr>
          <w:rtl/>
        </w:rPr>
        <w:t xml:space="preserve"> פירוש אם יבוא היום, דאל"כ יהיה מוקדם, סמ"ע (סקל"ח).</w:t>
      </w:r>
    </w:p>
  </w:footnote>
  <w:footnote w:id="3002">
    <w:p w14:paraId="4D5DDA55" w14:textId="77777777" w:rsidR="0013116F" w:rsidRDefault="0013116F" w:rsidP="001D49D4">
      <w:pPr>
        <w:pStyle w:val="a9"/>
      </w:pPr>
      <w:r>
        <w:rPr>
          <w:rStyle w:val="ab"/>
        </w:rPr>
        <w:footnoteRef/>
      </w:r>
      <w:r>
        <w:rPr>
          <w:rtl/>
        </w:rPr>
        <w:t xml:space="preserve"> ואפילו בא הלוה לפני עדים בלא המלוה, וקנו מידו שחייב לפלוני כך וכך, אפילו הכי אין שומעין להמלוה שבא אחרי כן ואומר לעדים כתבו לי שטר על פלוני הלוה שקנה לפניכם והודה שחייב לי כך וכך, כיון שהקנין היה שלא בפני המלוה, דקנין כזה לא ניתן מסתמא להכתב ע"ש, והיינו כדעת הטור והרמב"ן (הובא בטור סימן רל"ח סעיף ב) הנ"ל בסמ"ע סקט"ו, סמ"ע (סקל"ו).</w:t>
      </w:r>
    </w:p>
  </w:footnote>
  <w:footnote w:id="3003">
    <w:p w14:paraId="248DC7E5" w14:textId="77777777" w:rsidR="0013116F" w:rsidRDefault="0013116F" w:rsidP="001D49D4">
      <w:pPr>
        <w:pStyle w:val="a9"/>
      </w:pPr>
      <w:r>
        <w:rPr>
          <w:rStyle w:val="ab"/>
        </w:rPr>
        <w:footnoteRef/>
      </w:r>
      <w:r>
        <w:rPr>
          <w:rtl/>
        </w:rPr>
        <w:t xml:space="preserve"> </w:t>
      </w:r>
      <w:r>
        <w:rPr>
          <w:rFonts w:hint="cs"/>
          <w:rtl/>
        </w:rPr>
        <w:t>עיין בש"ך (סק"מ) שהשאיר את דברי הרמ"א בצ"ע.</w:t>
      </w:r>
    </w:p>
  </w:footnote>
  <w:footnote w:id="3004">
    <w:p w14:paraId="6E3A6DF0" w14:textId="77777777" w:rsidR="0013116F" w:rsidRDefault="0013116F" w:rsidP="001D49D4">
      <w:pPr>
        <w:pStyle w:val="a9"/>
        <w:rPr>
          <w:rtl/>
        </w:rPr>
      </w:pPr>
      <w:r>
        <w:rPr>
          <w:rStyle w:val="ab"/>
        </w:rPr>
        <w:footnoteRef/>
      </w:r>
      <w:r>
        <w:rPr>
          <w:rtl/>
        </w:rPr>
        <w:t xml:space="preserve"> כ"כ הרמב"ם [שם], אבל התוס' כתבו דאליבא דכו"ע אם המלוה עמו לפני העדים תו לא חיישינן, דודאי ימסרנו לידו מיד, עיין פרישה </w:t>
      </w:r>
      <w:r>
        <w:rPr>
          <w:sz w:val="16"/>
          <w:szCs w:val="16"/>
          <w:rtl/>
        </w:rPr>
        <w:t>[סע' כג]</w:t>
      </w:r>
      <w:r>
        <w:rPr>
          <w:rtl/>
        </w:rPr>
        <w:t xml:space="preserve">, סמ"ע </w:t>
      </w:r>
      <w:r>
        <w:rPr>
          <w:sz w:val="16"/>
          <w:szCs w:val="16"/>
          <w:rtl/>
        </w:rPr>
        <w:t>(סקמ"א)</w:t>
      </w:r>
      <w:r>
        <w:rPr>
          <w:rtl/>
        </w:rPr>
        <w:t>. וכ' הש"ך</w:t>
      </w:r>
      <w:r>
        <w:rPr>
          <w:sz w:val="16"/>
          <w:szCs w:val="16"/>
          <w:rtl/>
        </w:rPr>
        <w:t xml:space="preserve"> (סקמ"ב) </w:t>
      </w:r>
      <w:r>
        <w:rPr>
          <w:rtl/>
        </w:rPr>
        <w:t>על דבריו- ולא ידעתי היכן כתבו התוס' כן, ובטור</w:t>
      </w:r>
      <w:r>
        <w:rPr>
          <w:sz w:val="16"/>
          <w:szCs w:val="16"/>
          <w:rtl/>
        </w:rPr>
        <w:t xml:space="preserve"> [סע' כג] </w:t>
      </w:r>
      <w:r>
        <w:rPr>
          <w:rtl/>
        </w:rPr>
        <w:t>כתב כהרמב"ם והמחבר.</w:t>
      </w:r>
    </w:p>
  </w:footnote>
  <w:footnote w:id="3005">
    <w:p w14:paraId="5298708B" w14:textId="77777777" w:rsidR="0013116F" w:rsidRDefault="0013116F" w:rsidP="001D49D4">
      <w:pPr>
        <w:pStyle w:val="a9"/>
        <w:rPr>
          <w:sz w:val="16"/>
          <w:szCs w:val="16"/>
        </w:rPr>
      </w:pPr>
      <w:r>
        <w:rPr>
          <w:rStyle w:val="ab"/>
        </w:rPr>
        <w:footnoteRef/>
      </w:r>
      <w:r>
        <w:rPr>
          <w:rtl/>
        </w:rPr>
        <w:t xml:space="preserve"> </w:t>
      </w:r>
      <w:r>
        <w:rPr>
          <w:rFonts w:hint="cs"/>
          <w:rtl/>
        </w:rPr>
        <w:t xml:space="preserve">ילוה אבל-... </w:t>
      </w:r>
      <w:r>
        <w:rPr>
          <w:sz w:val="16"/>
          <w:szCs w:val="16"/>
          <w:rtl/>
        </w:rPr>
        <w:t>(תוספת הסמ"ע [סקמ"ג])</w:t>
      </w:r>
    </w:p>
  </w:footnote>
  <w:footnote w:id="3006">
    <w:p w14:paraId="3D22751D" w14:textId="77777777" w:rsidR="0013116F" w:rsidRDefault="0013116F" w:rsidP="001D49D4">
      <w:pPr>
        <w:pStyle w:val="a9"/>
      </w:pPr>
      <w:r>
        <w:rPr>
          <w:rStyle w:val="ab"/>
        </w:rPr>
        <w:footnoteRef/>
      </w:r>
      <w:r>
        <w:rPr>
          <w:rtl/>
        </w:rPr>
        <w:t xml:space="preserve"> מכאן מוכח דס"ל להטור (סע' יז-יח) והרב כדעת הרמב"ן שהביא המחבר לעיל סוף סעיף ד', דקנין שלא בפני המלוה לא ניתן מסתמא לכתוב, ומשום הכי בעינן שיאמר לעדים כתבו, וכ"כ הסמ"ע [סקמ"ד] והב"ח [סעיף י"ח], ודלא כב"י [מחו' כב] ועיר שושן [סוף סעיף י"ג] ע"ש, ש"ך (סקמ"ג).</w:t>
      </w:r>
    </w:p>
  </w:footnote>
  <w:footnote w:id="3007">
    <w:p w14:paraId="6DF3B399" w14:textId="77777777" w:rsidR="0013116F" w:rsidRDefault="0013116F" w:rsidP="001D49D4">
      <w:pPr>
        <w:pStyle w:val="a9"/>
      </w:pPr>
      <w:r>
        <w:rPr>
          <w:rStyle w:val="ab"/>
        </w:rPr>
        <w:footnoteRef/>
      </w:r>
      <w:r>
        <w:rPr>
          <w:rtl/>
        </w:rPr>
        <w:t xml:space="preserve"> או אפילו 'כתבו' סתם. כן הוא בטור [סע' יח], וכן הוא בטור עוד לקמן סי' נו סע' י והבאתיו שם בסקכ"ז, ועיין מה שכתבתי שם באריכות, ש"ך (סקמ"ד).</w:t>
      </w:r>
    </w:p>
  </w:footnote>
  <w:footnote w:id="3008">
    <w:p w14:paraId="393DDB29" w14:textId="77777777" w:rsidR="0013116F" w:rsidRDefault="0013116F" w:rsidP="001D49D4">
      <w:pPr>
        <w:pStyle w:val="a9"/>
        <w:rPr>
          <w:rtl/>
        </w:rPr>
      </w:pPr>
      <w:r>
        <w:rPr>
          <w:rStyle w:val="ab"/>
        </w:rPr>
        <w:footnoteRef/>
      </w:r>
      <w:r>
        <w:rPr>
          <w:rtl/>
        </w:rPr>
        <w:t xml:space="preserve"> וכתב הרשב"א בסי' אלף קנ"ד שאין קפידא לכתוב בשטר כתבנו ונתננו השטר בידו, אעפ"י שנתנוהו ליד שלוחו, דידו היינו רשותו. ד"מ סימן מ"ב סעיף י"ב, סמ"ע (סקמ"ה).</w:t>
      </w:r>
    </w:p>
  </w:footnote>
  <w:footnote w:id="3009">
    <w:p w14:paraId="150D8100" w14:textId="77777777" w:rsidR="0013116F" w:rsidRDefault="0013116F" w:rsidP="001D49D4">
      <w:pPr>
        <w:pStyle w:val="a9"/>
      </w:pPr>
      <w:r>
        <w:rPr>
          <w:rStyle w:val="ab"/>
        </w:rPr>
        <w:footnoteRef/>
      </w:r>
      <w:r>
        <w:rPr>
          <w:rtl/>
        </w:rPr>
        <w:t xml:space="preserve"> ואז זכה בו המלוה משעת הקנין לכולי עלמא, ועיין בבעל התרומות סוף שער נ"ב, ש"ך (סקמ"ו).</w:t>
      </w:r>
    </w:p>
  </w:footnote>
  <w:footnote w:id="3010">
    <w:p w14:paraId="421A8CF4" w14:textId="77777777" w:rsidR="0013116F" w:rsidRDefault="0013116F" w:rsidP="001D49D4">
      <w:pPr>
        <w:pStyle w:val="a9"/>
      </w:pPr>
      <w:r>
        <w:rPr>
          <w:rStyle w:val="ab"/>
        </w:rPr>
        <w:footnoteRef/>
      </w:r>
      <w:r>
        <w:rPr>
          <w:rtl/>
        </w:rPr>
        <w:t xml:space="preserve"> בעל התרומות </w:t>
      </w:r>
      <w:r>
        <w:rPr>
          <w:sz w:val="16"/>
          <w:szCs w:val="16"/>
          <w:rtl/>
        </w:rPr>
        <w:t xml:space="preserve">(שער נב ח"ד סי' א) </w:t>
      </w:r>
      <w:r>
        <w:rPr>
          <w:rtl/>
        </w:rPr>
        <w:t xml:space="preserve">כתב נשאל ה"ר יצחק על כיוצא בזה והשיב שלא קנה השני, ותמה בעל התרומות על המשיב, ושאל את ה"ר נתן בר מאיר והשיב דכיון שכתבו העדים ונתנו השטר לאחד מהם במצות המחייב עצמו ודאי תימה גדול איך לא זכה האחר דהא נפיק שטרא מתותי ידיה, ואין לסמוך על זה </w:t>
      </w:r>
      <w:r>
        <w:rPr>
          <w:sz w:val="16"/>
          <w:szCs w:val="16"/>
          <w:rtl/>
        </w:rPr>
        <w:t>(כלומר דאין לסמוך על תשובת ה"ר יצחק ולכך כתב רבינו כדעת ה"ר נתן, ב"י)</w:t>
      </w:r>
      <w:r>
        <w:rPr>
          <w:rtl/>
        </w:rPr>
        <w:t xml:space="preserve"> עכ"ל.</w:t>
      </w:r>
    </w:p>
  </w:footnote>
  <w:footnote w:id="3011">
    <w:p w14:paraId="0F9E5013" w14:textId="77777777" w:rsidR="0013116F" w:rsidRDefault="0013116F" w:rsidP="001D49D4">
      <w:pPr>
        <w:pStyle w:val="a9"/>
      </w:pPr>
      <w:r>
        <w:rPr>
          <w:rStyle w:val="ab"/>
        </w:rPr>
        <w:footnoteRef/>
      </w:r>
      <w:r>
        <w:rPr>
          <w:rtl/>
        </w:rPr>
        <w:t xml:space="preserve"> צ"ע, דהמעיין היטב בבעל התרומות שם סוף שער נ"ב יראה, דמיירי במחייב עצמו לשנים בסתם, ולא אמר לעדים כלום, ומסרו העדים השטר לאחד מהם, וגם בזה פליג ה"ר יצחק שם, והבעל התרומות נסתפק שם, וה"ר נתן בן מאיר חולק שם על ה"ר יצחק בזה. אבל היכא שאמר לעדים שיכתבו ויתנו השטר בידו, וכן עשו, ומסר החייב בעצמו לאחד מהם, לא פליג ה"ר נתן ב"ר מאיר, ואדרבא משמע שם דמודה ליה, שהרי כתב ה"ר נתן שם, דכשאמר להם קנו ממני וכתבו ותנו השטר לידי, לא יזכה המלוה לעולם עד דמטא לידיה דמקבל וכו', עי"ש. וא"כ נהי שמסרו החייב ליד האחד, מ"מ כיון שלא זכה בו המקבל מיד, אין לך אלא מה שעשה החייב, וזה שמסרו לו זכה בו, אבל האחר שלא מסרו לו, מנין יזכה. ואולי גם הטור מיירי דכשמסרו לזה, מסרו באופן שיזכה ג"כ לחבירו בחלקו, והיינו זיכה לו ע"י אחר שהזכיר ה"ר נתן שם, ולא אתי אלא לאשמיעינן דאפילו לא ידע האחר ממסירה זו, ואפילו מת זכו היתומים בחלקו, וצ"ע, ש"ך (סקמ"ו).</w:t>
      </w:r>
    </w:p>
  </w:footnote>
  <w:footnote w:id="3012">
    <w:p w14:paraId="47729DCD" w14:textId="77777777" w:rsidR="0013116F" w:rsidRDefault="0013116F" w:rsidP="001D49D4">
      <w:pPr>
        <w:pStyle w:val="a9"/>
      </w:pPr>
      <w:r>
        <w:rPr>
          <w:rStyle w:val="ab"/>
        </w:rPr>
        <w:footnoteRef/>
      </w:r>
      <w:r>
        <w:rPr>
          <w:rtl/>
        </w:rPr>
        <w:t xml:space="preserve"> כתב הב"ח [סעיף כ'] וז"ל, ונראה דטעמא דהאי דינא, דכיון דנתחייב לשניהם בשטר אחד, כשותפים נינהו, וכל אחד יכול לגבות כל החוב כולו, וכדלקמן סימן ע"ז סעיף י' בהג"ה, עכ"ד. ולפע"ד לא דמי להתם, דהתם מתחילה נעשו שותפים ביחד, וזכו שניהם ביחד ונכתבו בשטר כן, אבל הכא מאן לימא לן שזכה בו זה שלא מסרו לו כלל, וכמו שכתבתי בסמוך [סקמ"ו], וגם בבעל התרומות הנ"ל לא הוזכר טעם זה כלל, אלא מיירי התם שלא אמר החייב תנו אותו בידי, דנמצא שזכה בו מיד משעת הקנין, ש"ך (סקמ"ז).</w:t>
      </w:r>
    </w:p>
  </w:footnote>
  <w:footnote w:id="3013">
    <w:p w14:paraId="131CA475" w14:textId="77777777" w:rsidR="0013116F" w:rsidRDefault="0013116F" w:rsidP="001D49D4">
      <w:pPr>
        <w:pStyle w:val="a9"/>
      </w:pPr>
      <w:r>
        <w:rPr>
          <w:rStyle w:val="ab"/>
        </w:rPr>
        <w:footnoteRef/>
      </w:r>
      <w:r>
        <w:rPr>
          <w:rtl/>
        </w:rPr>
        <w:t xml:space="preserve"> </w:t>
      </w:r>
      <w:r>
        <w:rPr>
          <w:rFonts w:hint="cs"/>
          <w:rtl/>
        </w:rPr>
        <w:t>סימן – חתימת יראים מחתימת ילדים.</w:t>
      </w:r>
    </w:p>
  </w:footnote>
  <w:footnote w:id="3014">
    <w:p w14:paraId="4CDDCDF5" w14:textId="77777777" w:rsidR="0013116F" w:rsidRDefault="0013116F" w:rsidP="001D49D4">
      <w:pPr>
        <w:pStyle w:val="a9"/>
      </w:pPr>
      <w:r>
        <w:rPr>
          <w:rStyle w:val="ab"/>
        </w:rPr>
        <w:footnoteRef/>
      </w:r>
      <w:r>
        <w:rPr>
          <w:rtl/>
        </w:rPr>
        <w:t xml:space="preserve"> </w:t>
      </w:r>
      <w:r>
        <w:rPr>
          <w:rFonts w:hint="cs"/>
          <w:rtl/>
        </w:rPr>
        <w:t>סעיף י.</w:t>
      </w:r>
    </w:p>
  </w:footnote>
  <w:footnote w:id="3015">
    <w:p w14:paraId="74330558" w14:textId="77777777" w:rsidR="0013116F" w:rsidRDefault="0013116F" w:rsidP="001D49D4">
      <w:pPr>
        <w:pStyle w:val="a9"/>
      </w:pPr>
      <w:r>
        <w:rPr>
          <w:rStyle w:val="ab"/>
        </w:rPr>
        <w:footnoteRef/>
      </w:r>
      <w:r>
        <w:rPr>
          <w:rtl/>
        </w:rPr>
        <w:t xml:space="preserve"> הביאו הטור, וכ' בעל התרומות </w:t>
      </w:r>
      <w:r>
        <w:rPr>
          <w:sz w:val="16"/>
          <w:szCs w:val="16"/>
          <w:rtl/>
        </w:rPr>
        <w:t xml:space="preserve">(בשער מ"ח ח"א) </w:t>
      </w:r>
      <w:r>
        <w:rPr>
          <w:rtl/>
        </w:rPr>
        <w:t xml:space="preserve">שכן השיב לו הרמב"ן בשם ן' מיגש </w:t>
      </w:r>
      <w:r>
        <w:rPr>
          <w:sz w:val="16"/>
          <w:szCs w:val="16"/>
          <w:rtl/>
        </w:rPr>
        <w:t xml:space="preserve">(ב"ב קסז: ד"ה כותבין שטר) </w:t>
      </w:r>
      <w:r>
        <w:rPr>
          <w:rtl/>
        </w:rPr>
        <w:t xml:space="preserve">ושכך נראה לו להרמב"ן גם הרב המגיד פכ"ג ממלוה ולוה </w:t>
      </w:r>
      <w:r>
        <w:rPr>
          <w:sz w:val="16"/>
          <w:szCs w:val="16"/>
          <w:rtl/>
        </w:rPr>
        <w:t xml:space="preserve">(ה"ה) </w:t>
      </w:r>
      <w:r>
        <w:rPr>
          <w:rtl/>
        </w:rPr>
        <w:t xml:space="preserve">כתב שכך כתב הרמב"ן בתשובה </w:t>
      </w:r>
      <w:r>
        <w:rPr>
          <w:sz w:val="16"/>
          <w:szCs w:val="16"/>
          <w:rtl/>
        </w:rPr>
        <w:t xml:space="preserve">(סי' מט) </w:t>
      </w:r>
      <w:r>
        <w:rPr>
          <w:rtl/>
        </w:rPr>
        <w:t>בשם רא"ם ושכך נראה לו להרמב"ן.</w:t>
      </w:r>
    </w:p>
  </w:footnote>
  <w:footnote w:id="3016">
    <w:p w14:paraId="6460FCE6" w14:textId="77777777" w:rsidR="0013116F" w:rsidRDefault="0013116F" w:rsidP="001D49D4">
      <w:pPr>
        <w:pStyle w:val="a9"/>
        <w:rPr>
          <w:rtl/>
        </w:rPr>
      </w:pPr>
      <w:r>
        <w:rPr>
          <w:rStyle w:val="ab"/>
        </w:rPr>
        <w:footnoteRef/>
      </w:r>
      <w:r>
        <w:rPr>
          <w:rtl/>
        </w:rPr>
        <w:t xml:space="preserve"> וטעמו שכיון שנשתעבדו לו נכסי לוה בחליפין מעכשיו - אף הוא חייב ליתן דמים, כלומר שחייב להלוותו עד זמן שקבע לו ויקנה נכסיו לשעבודן, הה"מ.</w:t>
      </w:r>
    </w:p>
  </w:footnote>
  <w:footnote w:id="3017">
    <w:p w14:paraId="77D2EE2D" w14:textId="77777777" w:rsidR="0013116F" w:rsidRDefault="0013116F" w:rsidP="001D49D4">
      <w:pPr>
        <w:pStyle w:val="a9"/>
        <w:rPr>
          <w:rtl/>
        </w:rPr>
      </w:pPr>
      <w:r>
        <w:rPr>
          <w:rStyle w:val="ab"/>
        </w:rPr>
        <w:footnoteRef/>
      </w:r>
      <w:r>
        <w:rPr>
          <w:rtl/>
        </w:rPr>
        <w:t xml:space="preserve"> </w:t>
      </w:r>
      <w:r>
        <w:rPr>
          <w:rFonts w:hint="cs"/>
          <w:rtl/>
        </w:rPr>
        <w:t xml:space="preserve">וז"ל- </w:t>
      </w:r>
      <w:r>
        <w:rPr>
          <w:rtl/>
        </w:rPr>
        <w:t>אינו נראה שבכתיבת השטר יתחייב להלוות לו בעל כרחו.</w:t>
      </w:r>
    </w:p>
  </w:footnote>
  <w:footnote w:id="3018">
    <w:p w14:paraId="72082064" w14:textId="77777777" w:rsidR="0013116F" w:rsidRDefault="0013116F" w:rsidP="001D49D4">
      <w:pPr>
        <w:pStyle w:val="a9"/>
      </w:pPr>
      <w:r>
        <w:rPr>
          <w:rStyle w:val="ab"/>
        </w:rPr>
        <w:footnoteRef/>
      </w:r>
      <w:r>
        <w:rPr>
          <w:rtl/>
        </w:rPr>
        <w:t xml:space="preserve"> והביא ראיה מפרק האיש מקדש </w:t>
      </w:r>
      <w:r>
        <w:rPr>
          <w:sz w:val="16"/>
          <w:szCs w:val="16"/>
          <w:rtl/>
        </w:rPr>
        <w:t>(קידושין מז:)</w:t>
      </w:r>
      <w:r>
        <w:rPr>
          <w:rtl/>
        </w:rPr>
        <w:t xml:space="preserve"> שאמרו שם במלוה ברשות בעלים לחזרה קמיפלגי דמשמע מהתם דכל שלא נתנם לכולי עלמא יכול לחזור בו, הה"מ. וכתב הב"י- ואע"פ שמי יכניס ראשו בין ההרים - הדעת נוטה לדברי הרשב"א, ועוד שהביא ראיות לדבריו שכתב וז"ל- שאלתם ראובן שהסכים עם שמעון שילוה לו מנה בשטר ועשה שמעון השטר מדעת ראובן יכול ראובן לחזור בו או לא. תשובה יכול ראובן לחזור בו ולומר רוצה הייתי ועכשיו איני רוצה כי לא נתחייב לשמעון בכלום, ועל זה שנינו כותבין שטר ללוה אע"פ שאין מלוה עמו, ואילו היה המלוה חייב להלוות אחר שנמצא השטר נמצא אלו שכותבין השטר ללוה שלא מדעת המלוה מחייבין את המלוה להלוות, ולא עוד אלא אפילו שנתן לו מעות, כל שעדיין המעות בעין ביד הלוה נחלקו בו בפרק האיש מקדש אם יכול המלוה לחזור בו אם לאו, ולולי שאמרו </w:t>
      </w:r>
      <w:r>
        <w:rPr>
          <w:sz w:val="16"/>
          <w:szCs w:val="16"/>
          <w:rtl/>
        </w:rPr>
        <w:t xml:space="preserve">(ב"ק קו.) </w:t>
      </w:r>
      <w:r>
        <w:rPr>
          <w:rtl/>
        </w:rPr>
        <w:t>דמלוה משעה שניתנה להוצאה ניתנה היינו אומרים שניתנה לחזרה, אלמא לכו"ע מיהא קודם שנתן המעות יכול לחזור בו, והוא הדין והוא הטעם למוכר, והוא ששנינו כותבין שטר למוכר אע"פ שאין לוקח עמו, ואילו היתה כתיבת השטר מחייבת את הלוקח ליקח היאך כותבין את השטר שלא מדעת הלוקח עכ"ל.</w:t>
      </w:r>
    </w:p>
    <w:p w14:paraId="3CCF99D5" w14:textId="77777777" w:rsidR="0013116F" w:rsidRDefault="0013116F" w:rsidP="001D49D4">
      <w:pPr>
        <w:pStyle w:val="a9"/>
        <w:rPr>
          <w:rtl/>
        </w:rPr>
      </w:pPr>
      <w:r>
        <w:rPr>
          <w:rtl/>
        </w:rPr>
        <w:t xml:space="preserve">ובתשובות דפוס ווינעציא סימן אלף נ"ד כתוב כן על האומר כתבו שטר לפלוני מחמת שאני ממשכן לו בית בכך וכך וקנו מידו ועד שלא נתן המלוה ללוה המעות רצה לחזור בו המלוה שהרשות בידו ואע"פ שנכתב השטר, ומיהו אם מלוה זה ירד למשכנותו וזכה בקרקע - לא היה יכול לחזור בו, שהרי כבר נתחייב במעות עם ירידתו בתוך המשכונא, אבל כשלא זכה עדיין בקרקע לא נתחייב בכלום, דאי מחמת שטר המשכון - קרקע אינו נקנה בשטר לבד אלא בכסף ושטר (קידושין כו.), ואם מפני הקנין שיש בשטר המשכונא - יש אומרים שאפילו בשטר וקנין אינו קונה בלא כסף עכ"ל. </w:t>
      </w:r>
      <w:r>
        <w:rPr>
          <w:color w:val="00B0F0"/>
          <w:rtl/>
        </w:rPr>
        <w:t>(וכ"פ הרמ"א)</w:t>
      </w:r>
    </w:p>
    <w:p w14:paraId="034D63D0" w14:textId="77777777" w:rsidR="0013116F" w:rsidRDefault="0013116F" w:rsidP="001D49D4">
      <w:pPr>
        <w:pStyle w:val="a9"/>
        <w:rPr>
          <w:rtl/>
        </w:rPr>
      </w:pPr>
      <w:r>
        <w:rPr>
          <w:rtl/>
        </w:rPr>
        <w:t xml:space="preserve">ובתשובה אחרת (ח"ג סי' יח) כתב מי שקנו מידו לחבירו וחזר ואמר לעדים איני רוצה שתכתבו לו השטר אם הוא קודם שקבל מעות ההלואה וקודם שהחזיק הלוקח בקרקע שומעין לו שהרי יכול הוא לחזור בו שלא להלוות ושלא למכור ובשטר מתנה שקנו מידו יש אומרים שאם מנעם מלכתוב שומעין לו ויש אומרים שאין שומעין לו ולזה הדעת נוטה עכ"ל. </w:t>
      </w:r>
    </w:p>
    <w:p w14:paraId="4AFAD776" w14:textId="77777777" w:rsidR="0013116F" w:rsidRDefault="0013116F" w:rsidP="001D49D4">
      <w:pPr>
        <w:pStyle w:val="a9"/>
        <w:rPr>
          <w:rtl/>
        </w:rPr>
      </w:pPr>
      <w:r>
        <w:rPr>
          <w:rtl/>
        </w:rPr>
        <w:t>ובתשובה אחרת (ח"א סי' תתקמה) כתב על ראובן שאמר לעדים קנו ממני וכתבו וחתמו עלי שאני חייב לשמעון מנה ותנו לו השטר ועד שלא כתבו השטר בא שמעון ואמר להם שלא יכתבוהו ולא יחתמוהו ופסק שאינם רשאין לכתבו.</w:t>
      </w:r>
    </w:p>
  </w:footnote>
  <w:footnote w:id="3019">
    <w:p w14:paraId="1428ACDA" w14:textId="77777777" w:rsidR="0013116F" w:rsidRDefault="0013116F" w:rsidP="001D49D4">
      <w:pPr>
        <w:pStyle w:val="a9"/>
        <w:rPr>
          <w:rtl/>
        </w:rPr>
      </w:pPr>
      <w:r>
        <w:rPr>
          <w:rStyle w:val="ab"/>
        </w:rPr>
        <w:footnoteRef/>
      </w:r>
      <w:r>
        <w:rPr>
          <w:rtl/>
        </w:rPr>
        <w:t xml:space="preserve"> </w:t>
      </w:r>
      <w:r>
        <w:rPr>
          <w:rFonts w:hint="cs"/>
          <w:rtl/>
        </w:rPr>
        <w:t xml:space="preserve">סימן – קבלנים </w:t>
      </w:r>
      <w:r>
        <w:rPr>
          <w:sz w:val="16"/>
          <w:szCs w:val="16"/>
          <w:rtl/>
        </w:rPr>
        <w:t xml:space="preserve">(אלו שיוזמים) </w:t>
      </w:r>
      <w:r>
        <w:rPr>
          <w:rtl/>
        </w:rPr>
        <w:t>סלקי זוזי.</w:t>
      </w:r>
    </w:p>
  </w:footnote>
  <w:footnote w:id="3020">
    <w:p w14:paraId="777BEFA6" w14:textId="77777777" w:rsidR="0013116F" w:rsidRDefault="0013116F" w:rsidP="001D49D4">
      <w:pPr>
        <w:pStyle w:val="a9"/>
        <w:rPr>
          <w:rtl/>
        </w:rPr>
      </w:pPr>
      <w:r>
        <w:rPr>
          <w:rStyle w:val="ab"/>
        </w:rPr>
        <w:footnoteRef/>
      </w:r>
      <w:r>
        <w:rPr>
          <w:rtl/>
        </w:rPr>
        <w:t xml:space="preserve"> </w:t>
      </w:r>
      <w:r>
        <w:rPr>
          <w:rFonts w:hint="cs"/>
          <w:rtl/>
        </w:rPr>
        <w:t>והלוה נותן שכר.</w:t>
      </w:r>
    </w:p>
  </w:footnote>
  <w:footnote w:id="3021">
    <w:p w14:paraId="68A5A5F1" w14:textId="77777777" w:rsidR="0013116F" w:rsidRDefault="0013116F" w:rsidP="001D49D4">
      <w:pPr>
        <w:pStyle w:val="a9"/>
        <w:rPr>
          <w:rtl/>
        </w:rPr>
      </w:pPr>
      <w:r>
        <w:rPr>
          <w:rStyle w:val="ab"/>
        </w:rPr>
        <w:footnoteRef/>
      </w:r>
      <w:r>
        <w:rPr>
          <w:rtl/>
        </w:rPr>
        <w:t xml:space="preserve"> כלומר דהא כל הנאה שלו היא, ב"י.</w:t>
      </w:r>
    </w:p>
  </w:footnote>
  <w:footnote w:id="3022">
    <w:p w14:paraId="35DC0B75" w14:textId="77777777" w:rsidR="0013116F" w:rsidRDefault="0013116F" w:rsidP="001D49D4">
      <w:pPr>
        <w:pStyle w:val="a9"/>
        <w:rPr>
          <w:rtl/>
        </w:rPr>
      </w:pPr>
      <w:r>
        <w:rPr>
          <w:rStyle w:val="ab"/>
        </w:rPr>
        <w:footnoteRef/>
      </w:r>
      <w:r>
        <w:rPr>
          <w:rtl/>
        </w:rPr>
        <w:t xml:space="preserve"> כלומר מלוה למחצית שכר שהרי יש הנאה למלוה גם כן ואפילו הכי לוה נותן את השכר, ב"י.</w:t>
      </w:r>
    </w:p>
  </w:footnote>
  <w:footnote w:id="3023">
    <w:p w14:paraId="55B05979" w14:textId="77777777" w:rsidR="0013116F" w:rsidRDefault="0013116F" w:rsidP="001D49D4">
      <w:pPr>
        <w:pStyle w:val="a9"/>
        <w:rPr>
          <w:rtl/>
        </w:rPr>
      </w:pPr>
      <w:r>
        <w:rPr>
          <w:rStyle w:val="ab"/>
        </w:rPr>
        <w:footnoteRef/>
      </w:r>
      <w:r>
        <w:rPr>
          <w:rtl/>
        </w:rPr>
        <w:t xml:space="preserve"> וכן כל כה"ג, וכן משמע במגיד משנה פכ"ד דמלוה ולוה (ה"ב), דרכ"מ (אות יא).</w:t>
      </w:r>
    </w:p>
  </w:footnote>
  <w:footnote w:id="3024">
    <w:p w14:paraId="69656C38" w14:textId="77777777" w:rsidR="0013116F" w:rsidRDefault="0013116F" w:rsidP="001D49D4">
      <w:pPr>
        <w:pStyle w:val="a9"/>
      </w:pPr>
      <w:r>
        <w:rPr>
          <w:rStyle w:val="ab"/>
        </w:rPr>
        <w:footnoteRef/>
      </w:r>
      <w:r>
        <w:rPr>
          <w:rtl/>
        </w:rPr>
        <w:t xml:space="preserve"> ואפילו בא השטר ליד המלוה, כל זמן שלא נתן לו המעות יכול לחזור בו, משאת בנימין (חידו' לטור סע' יט). ונראה שצריך להחזיר לו שכר הסופר שנתן, מדיני דגרמי, ע"ש (סע' יז) וסמ"ע (סקמ"ו). וכתב הש"ך (סקמ"ט) דהמוחזק יכול לומר קים לי כהר"י ן' מגש והרמב"ן משום שראיות הרשב"א אינן מוכרחות, וגם המחבר גופיה מביא סברת הר"י ן' מגש והרמב"ן לקמן סוף סימן רל"ח. וכ"כ בתשובת מבי"ט </w:t>
      </w:r>
      <w:r>
        <w:rPr>
          <w:sz w:val="16"/>
          <w:szCs w:val="16"/>
          <w:rtl/>
        </w:rPr>
        <w:t>(ח"ב סי' ר' וסי' רי"ג)</w:t>
      </w:r>
      <w:r>
        <w:rPr>
          <w:rtl/>
        </w:rPr>
        <w:t>, דהמוחזק יכול לומר קים.</w:t>
      </w:r>
    </w:p>
  </w:footnote>
  <w:footnote w:id="3025">
    <w:p w14:paraId="72F58472" w14:textId="77777777" w:rsidR="0013116F" w:rsidRDefault="0013116F" w:rsidP="001D49D4">
      <w:pPr>
        <w:pStyle w:val="a9"/>
        <w:rPr>
          <w:rtl/>
        </w:rPr>
      </w:pPr>
      <w:r>
        <w:rPr>
          <w:rStyle w:val="ab"/>
        </w:rPr>
        <w:footnoteRef/>
      </w:r>
      <w:r>
        <w:rPr>
          <w:rtl/>
        </w:rPr>
        <w:t xml:space="preserve"> פירוש, לא מיבעיא בשטר הלואה שכל הנאה היא של הלוה, אלא אפילו שטר עיסקא שהחצי הריוח יתן ליד המלוה, אפ"ה המקבל צריך ליתן כל שכר הכתיבה. גמרא [ב"ב קס"ח ע"א]. עיין פרישה [סעיף כ"א], סמ"ע (סקמ"ז).</w:t>
      </w:r>
    </w:p>
  </w:footnote>
  <w:footnote w:id="3026">
    <w:p w14:paraId="4FE6FD07" w14:textId="77777777" w:rsidR="0013116F" w:rsidRDefault="0013116F" w:rsidP="001D49D4">
      <w:pPr>
        <w:pStyle w:val="a9"/>
        <w:rPr>
          <w:rtl/>
        </w:rPr>
      </w:pPr>
      <w:r>
        <w:rPr>
          <w:rStyle w:val="ab"/>
        </w:rPr>
        <w:footnoteRef/>
      </w:r>
      <w:r>
        <w:rPr>
          <w:rtl/>
        </w:rPr>
        <w:t xml:space="preserve"> כ"כ בד"מ [סעיף כ"ב] בשם נימוק"י פרק גט פשוט [עז: מדפה"ר] ושכן משמע מהה"מ פכ"ד מהל' מלוה ה"ב. ובאמת ליתא כן בנ"י ובהרב המגיד שם, דשם קאי אשובר, במלוה שאבד השטר וצריך לכתוב לו שובר, דאל"כ לא ישלם לו זה, כיון שהשובר הוא לתועלת המלוה שה"ל ליזהר בשטרו צריך לשלם שכר השובר, אבל דין זה ליתא שם, מיהו דין זה אמת מסברא, ש"ך (סקנ"א).</w:t>
      </w:r>
    </w:p>
  </w:footnote>
  <w:footnote w:id="3027">
    <w:p w14:paraId="6B85D9DF" w14:textId="77777777" w:rsidR="0013116F" w:rsidRDefault="0013116F" w:rsidP="001D49D4">
      <w:pPr>
        <w:pStyle w:val="a9"/>
        <w:rPr>
          <w:rtl/>
        </w:rPr>
      </w:pPr>
      <w:r>
        <w:rPr>
          <w:rStyle w:val="ab"/>
        </w:rPr>
        <w:footnoteRef/>
      </w:r>
      <w:r>
        <w:rPr>
          <w:rtl/>
        </w:rPr>
        <w:t xml:space="preserve"> </w:t>
      </w:r>
      <w:r>
        <w:rPr>
          <w:rFonts w:hint="cs"/>
          <w:rtl/>
        </w:rPr>
        <w:t>סימן – ק' אביא, קבלתו אלימא.</w:t>
      </w:r>
    </w:p>
  </w:footnote>
  <w:footnote w:id="3028">
    <w:p w14:paraId="0904222C" w14:textId="77777777" w:rsidR="0013116F" w:rsidRDefault="0013116F" w:rsidP="001D49D4">
      <w:pPr>
        <w:pStyle w:val="a9"/>
      </w:pPr>
      <w:r>
        <w:rPr>
          <w:rStyle w:val="ab"/>
        </w:rPr>
        <w:footnoteRef/>
      </w:r>
      <w:r>
        <w:rPr>
          <w:rtl/>
        </w:rPr>
        <w:t xml:space="preserve"> לשומעין, רש"י.</w:t>
      </w:r>
    </w:p>
  </w:footnote>
  <w:footnote w:id="3029">
    <w:p w14:paraId="7E9FA3A9" w14:textId="77777777" w:rsidR="0013116F" w:rsidRDefault="0013116F" w:rsidP="001D49D4">
      <w:pPr>
        <w:pStyle w:val="a9"/>
        <w:rPr>
          <w:rtl/>
        </w:rPr>
      </w:pPr>
      <w:r>
        <w:rPr>
          <w:rStyle w:val="ab"/>
        </w:rPr>
        <w:footnoteRef/>
      </w:r>
      <w:r>
        <w:rPr>
          <w:rtl/>
        </w:rPr>
        <w:t xml:space="preserve"> לשומעין אתם עדיי, רש"י.</w:t>
      </w:r>
    </w:p>
  </w:footnote>
  <w:footnote w:id="3030">
    <w:p w14:paraId="4D5674A4" w14:textId="77777777" w:rsidR="0013116F" w:rsidRDefault="0013116F" w:rsidP="001D49D4">
      <w:pPr>
        <w:pStyle w:val="a9"/>
        <w:rPr>
          <w:rtl/>
        </w:rPr>
      </w:pPr>
      <w:r>
        <w:rPr>
          <w:rStyle w:val="ab"/>
        </w:rPr>
        <w:footnoteRef/>
      </w:r>
      <w:r>
        <w:rPr>
          <w:rtl/>
        </w:rPr>
        <w:t xml:space="preserve"> הא קיימא לן התם בסנהדרין וצריך שיאמר אתם עדיי, רש"י.</w:t>
      </w:r>
    </w:p>
  </w:footnote>
  <w:footnote w:id="3031">
    <w:p w14:paraId="08C5A74D" w14:textId="77777777" w:rsidR="0013116F" w:rsidRDefault="0013116F" w:rsidP="001D49D4">
      <w:pPr>
        <w:pStyle w:val="a9"/>
      </w:pPr>
      <w:r>
        <w:rPr>
          <w:rStyle w:val="ab"/>
        </w:rPr>
        <w:footnoteRef/>
      </w:r>
      <w:r>
        <w:rPr>
          <w:rtl/>
        </w:rPr>
        <w:t xml:space="preserve"> הואיל ובפני עדים מסר לו, רש"י.</w:t>
      </w:r>
    </w:p>
  </w:footnote>
  <w:footnote w:id="3032">
    <w:p w14:paraId="21AFE1C8" w14:textId="77777777" w:rsidR="0013116F" w:rsidRDefault="0013116F" w:rsidP="001D49D4">
      <w:pPr>
        <w:pStyle w:val="a9"/>
      </w:pPr>
      <w:r>
        <w:rPr>
          <w:rStyle w:val="ab"/>
        </w:rPr>
        <w:footnoteRef/>
      </w:r>
      <w:r>
        <w:rPr>
          <w:rtl/>
        </w:rPr>
        <w:t xml:space="preserve"> </w:t>
      </w:r>
      <w:r>
        <w:rPr>
          <w:rFonts w:hint="cs"/>
          <w:rtl/>
        </w:rPr>
        <w:t>הב"י כתב שנראה לו שאין לגרוס תיבה זו</w:t>
      </w:r>
      <w:r>
        <w:rPr>
          <w:sz w:val="16"/>
          <w:szCs w:val="16"/>
          <w:rtl/>
        </w:rPr>
        <w:t xml:space="preserve"> {בשטר}</w:t>
      </w:r>
      <w:r>
        <w:rPr>
          <w:rtl/>
        </w:rPr>
        <w:t>, שהיא טעות סופר. (ובאמת בדברי רש"י ליכא).</w:t>
      </w:r>
    </w:p>
  </w:footnote>
  <w:footnote w:id="3033">
    <w:p w14:paraId="737580F5" w14:textId="77777777" w:rsidR="0013116F" w:rsidRDefault="0013116F" w:rsidP="001D49D4">
      <w:pPr>
        <w:pStyle w:val="a9"/>
      </w:pPr>
      <w:r>
        <w:rPr>
          <w:rStyle w:val="ab"/>
        </w:rPr>
        <w:footnoteRef/>
      </w:r>
      <w:r>
        <w:rPr>
          <w:rtl/>
        </w:rPr>
        <w:t xml:space="preserve"> כלומר שאינו חתום בו, ב"י.</w:t>
      </w:r>
    </w:p>
  </w:footnote>
  <w:footnote w:id="3034">
    <w:p w14:paraId="7DE125E5" w14:textId="77777777" w:rsidR="0013116F" w:rsidRDefault="0013116F" w:rsidP="001D49D4">
      <w:pPr>
        <w:pStyle w:val="a9"/>
        <w:rPr>
          <w:rtl/>
        </w:rPr>
      </w:pPr>
      <w:r>
        <w:rPr>
          <w:rStyle w:val="ab"/>
        </w:rPr>
        <w:footnoteRef/>
      </w:r>
      <w:r>
        <w:rPr>
          <w:rtl/>
        </w:rPr>
        <w:t xml:space="preserve"> ונראה דהיינו כל זמן שהמלוה טוען שהוא חייב לו באמת, אבל אם מודה שלא היה חייב לו דבר אלא שבמסירת אותו שטר הוא מתחייב אין בדבריו ממש. וכן אם נתברר בעדים שלא היה חייב לו מקודם אינו מתחייב במסירת השטר, ב"י.</w:t>
      </w:r>
    </w:p>
  </w:footnote>
  <w:footnote w:id="3035">
    <w:p w14:paraId="4177BBCD" w14:textId="77777777" w:rsidR="0013116F" w:rsidRDefault="0013116F" w:rsidP="001D49D4">
      <w:pPr>
        <w:pStyle w:val="a9"/>
        <w:rPr>
          <w:rtl/>
        </w:rPr>
      </w:pPr>
      <w:r>
        <w:rPr>
          <w:rStyle w:val="ab"/>
        </w:rPr>
        <w:footnoteRef/>
      </w:r>
      <w:r>
        <w:rPr>
          <w:rtl/>
        </w:rPr>
        <w:t xml:space="preserve"> הב"י כ' שקרוב לפירוש ר"ת והרא"ש הוא מה שכ' הה"מ </w:t>
      </w:r>
      <w:r>
        <w:rPr>
          <w:sz w:val="16"/>
          <w:szCs w:val="16"/>
          <w:rtl/>
        </w:rPr>
        <w:t xml:space="preserve">(פי"א מהל' מכירה הט"ו) </w:t>
      </w:r>
      <w:r>
        <w:rPr>
          <w:rtl/>
        </w:rPr>
        <w:t xml:space="preserve">בשם הרמב"ן </w:t>
      </w:r>
      <w:r>
        <w:rPr>
          <w:sz w:val="16"/>
          <w:szCs w:val="16"/>
          <w:rtl/>
        </w:rPr>
        <w:t xml:space="preserve">(קא: ד"ה הנושא אי) </w:t>
      </w:r>
      <w:r>
        <w:rPr>
          <w:rtl/>
        </w:rPr>
        <w:t>והרשב"א שפירשו דרישא</w:t>
      </w:r>
      <w:r>
        <w:rPr>
          <w:sz w:val="16"/>
          <w:szCs w:val="16"/>
          <w:rtl/>
        </w:rPr>
        <w:t xml:space="preserve"> {דגמרא}</w:t>
      </w:r>
      <w:r>
        <w:rPr>
          <w:rtl/>
        </w:rPr>
        <w:t xml:space="preserve"> לאו במי שבא להתחייב בלא כלום היא, והכי פירושו קא סלקא דעתין מעיקרא דפליגי במי שהודה שהוא חייב מחמת הלואה או מחמת טענה אחרת, ואסיקנא כגון דאמר חייב אני לך מנה בשטר, פירוש שאם כתב לו שטר ולאו במודה שהוא חייב מחמת הלואה כדסלקא דעתין עד השתא אלא שהוא מתחייב לו בלא כלום וכותב לו שטר חיוב על המנה ושטר זה כשאר שטרי חוב ופירשו כמאן דאמר אתם עדי דמי כמי שהודה שהוא חייב לו כבר ואמר אתם עדי כן הוא דינו של זה המתחייב בשטר.</w:t>
      </w:r>
    </w:p>
  </w:footnote>
  <w:footnote w:id="3036">
    <w:p w14:paraId="296C79D2" w14:textId="77777777" w:rsidR="0013116F" w:rsidRDefault="0013116F" w:rsidP="001D49D4">
      <w:pPr>
        <w:pStyle w:val="a9"/>
        <w:rPr>
          <w:rtl/>
        </w:rPr>
      </w:pPr>
      <w:r>
        <w:rPr>
          <w:rStyle w:val="ab"/>
        </w:rPr>
        <w:footnoteRef/>
      </w:r>
      <w:r>
        <w:rPr>
          <w:rtl/>
        </w:rPr>
        <w:t xml:space="preserve"> </w:t>
      </w:r>
      <w:r>
        <w:rPr>
          <w:rFonts w:hint="cs"/>
          <w:rtl/>
        </w:rPr>
        <w:t>בלא כלום, היינו בלי הודאה או טענה אחרת שחייב לו.</w:t>
      </w:r>
    </w:p>
  </w:footnote>
  <w:footnote w:id="3037">
    <w:p w14:paraId="418A38AB" w14:textId="77777777" w:rsidR="0013116F" w:rsidRDefault="0013116F" w:rsidP="001D49D4">
      <w:pPr>
        <w:pStyle w:val="a9"/>
      </w:pPr>
      <w:r>
        <w:rPr>
          <w:rStyle w:val="ab"/>
        </w:rPr>
        <w:footnoteRef/>
      </w:r>
      <w:r>
        <w:rPr>
          <w:rtl/>
        </w:rPr>
        <w:t xml:space="preserve"> וכתב הרא"ש ואין לתמוה היאך מתחייב בשטר זה הא אין מטלטלין נקנין בשטר (קידושין כו.), דהואיל וטרח למיכתב בלישנא דחיובא - גמר ומשעבד נפשיה, שהרי יש דברים שנקנין אפילו באמירה כדאמרינן (כתובות קב.) גבי כמה אתה נותן לבנך, והכא נמי מתוך שטרח ליתן לו בשטר - גמר ומקני מטלטלים המיוחדים אינם נקנין אלא במשיכה אבל שיעבוד וחוב מהני בשטר.</w:t>
      </w:r>
    </w:p>
  </w:footnote>
  <w:footnote w:id="3038">
    <w:p w14:paraId="6EACC79E" w14:textId="77777777" w:rsidR="0013116F" w:rsidRDefault="0013116F" w:rsidP="001D49D4">
      <w:pPr>
        <w:pStyle w:val="a9"/>
      </w:pPr>
      <w:r>
        <w:rPr>
          <w:rStyle w:val="ab"/>
        </w:rPr>
        <w:footnoteRef/>
      </w:r>
      <w:r>
        <w:rPr>
          <w:rtl/>
        </w:rPr>
        <w:t xml:space="preserve"> והרי"ף (שם סא.), דעת הר"ן (סוד"ה והכא) והה"מ (שם) שדבריו נוטים לדברי הרמב"ם, והרא"ש כתב שדעתו כדעת ר"ת, וכ"כ הר"ן בשם הרמב"ן </w:t>
      </w:r>
      <w:r>
        <w:rPr>
          <w:sz w:val="16"/>
          <w:szCs w:val="16"/>
          <w:rtl/>
        </w:rPr>
        <w:t xml:space="preserve">(וטעם מחלוקתם הוא לפי שכתב </w:t>
      </w:r>
      <w:r>
        <w:rPr>
          <w:sz w:val="12"/>
          <w:szCs w:val="12"/>
          <w:rtl/>
        </w:rPr>
        <w:t xml:space="preserve">{הרי"ף} </w:t>
      </w:r>
      <w:r>
        <w:rPr>
          <w:sz w:val="16"/>
          <w:szCs w:val="16"/>
          <w:rtl/>
        </w:rPr>
        <w:t>דשמעינן משמעתין דפלוגתא דרבי יוחנן וריש לקיש כמאן דקביל על נפשיה מילתא דלא הוה מיחייב בה והלכתא כרבי יוחנן דאמר חייב אני לך מנה בשטר חייב ואפילו לא אמר אתם עדי וכל שכן אם אמר אתם עדי דבהא אפילו ריש לקיש מודה וכל שכן אם קנו מיניה</w:t>
      </w:r>
      <w:r>
        <w:rPr>
          <w:sz w:val="12"/>
          <w:szCs w:val="12"/>
          <w:rtl/>
        </w:rPr>
        <w:t xml:space="preserve"> {ע"כ}</w:t>
      </w:r>
      <w:r>
        <w:rPr>
          <w:sz w:val="16"/>
          <w:szCs w:val="16"/>
          <w:rtl/>
        </w:rPr>
        <w:t>. וכיון שכתב 'כל שכן אי אמר אתם עדי' סוברים הר"ן והה"מ דס"ל דבאומר בפיו חייב אני לך בשטר עסקינן, וכדברי הרמב"ם, שאילו לדברי הרמב"ן והרשב"א דדוקא בכותב כן בשטר עסקינן - 'אתם עדי' אינו ענין לכאן, אלא ודאי הכי קאמר דפלוגתא דידהו הויא כשבא להתחייב ע"י השטר, ומש"ה פליג ר"ל דלא אלימא ליה מילתא דשטרא להתחייב במסירתו, והלכה כרבי יוחנן שהוא מתחייב במסירת השטר, וכל שכן אם אמר כן בפיו בלא שטר ואמר אתם עדי דאפילו ר"ל מודה בהא וכדמקשינן אי דאמר להו אתם עדי מאי טעמא דריש לקיש דפטר. והרמב"ן כתב- הרי"ף רצה להכריח דבמסקנא לאו במודה עסקינן אלא במחייב עצמו לכתחלה, ומ"ש בסמוך כל שכן אם אמר אתם עדי וכו' לאו במחייב עצמו קאמר אלא כל שכן אם אמר אתם עדי כמודה, והרא"ש דילג 'כל שכן אם אמר אתם עדי' שכך כתב- 'וכן פירש הרי"ף וכו' והלכתא כרבי יוחנן דאמר חייב אני לך מנה בשטר חייב וכ"ש אם קנו מיניה' ע"כ, אולי היה כן בנוסחתו)</w:t>
      </w:r>
      <w:r>
        <w:rPr>
          <w:rtl/>
        </w:rPr>
        <w:t>, ב"י.</w:t>
      </w:r>
    </w:p>
  </w:footnote>
  <w:footnote w:id="3039">
    <w:p w14:paraId="7572EDE2" w14:textId="77777777" w:rsidR="0013116F" w:rsidRDefault="0013116F" w:rsidP="001D49D4">
      <w:pPr>
        <w:pStyle w:val="a9"/>
      </w:pPr>
      <w:r>
        <w:rPr>
          <w:rStyle w:val="ab"/>
        </w:rPr>
        <w:footnoteRef/>
      </w:r>
      <w:r>
        <w:rPr>
          <w:rtl/>
        </w:rPr>
        <w:t xml:space="preserve"> </w:t>
      </w:r>
      <w:r>
        <w:rPr>
          <w:rFonts w:hint="cs"/>
          <w:rtl/>
        </w:rPr>
        <w:t>חייב.</w:t>
      </w:r>
      <w:r>
        <w:rPr>
          <w:rtl/>
        </w:rPr>
        <w:t xml:space="preserve"> וכתב הה"מ ומכל מקום אין זה אלא במסרו לו בעדים וכמאן דאמר (כתובות צד:) עדי מסירה קונים, אי נמי שהיה השטר בכתב ידי המתחייב ונתנו לו בינו לבינו ולגבות מנכסים בני חורין, אבל אם היה כתב ידי אחר ונתנו בינו לבינו ודאי לאו כלום הוא דלא עדיף זה המתחייב מלוה ממש.</w:t>
      </w:r>
    </w:p>
  </w:footnote>
  <w:footnote w:id="3040">
    <w:p w14:paraId="551CF01C" w14:textId="77777777" w:rsidR="0013116F" w:rsidRDefault="0013116F" w:rsidP="001D49D4">
      <w:pPr>
        <w:pStyle w:val="a9"/>
      </w:pPr>
      <w:r>
        <w:rPr>
          <w:rStyle w:val="ab"/>
        </w:rPr>
        <w:footnoteRef/>
      </w:r>
      <w:r>
        <w:rPr>
          <w:rtl/>
        </w:rPr>
        <w:t xml:space="preserve"> וסיכם הב"י, וז"ל- לדברי רש"י דוקא בהודאה הוא דמהני 'חייב אני לך מנה' בשטר, ולדעתו ולדעת ר"ת והרמב"ן והרשב"א צריך שיכתוב בשטר חייב אני לך מנה, הלא"ה, לרש"י - לא מיקריא הודאה כיון דלא אמר אתם עדי, ולר"ת - לא מיחייב כיון דליכא שטרא. אבל לדעת הרמב"ם בין שכתב כן בשטר בין שלא כתב אלא שאמר בפיו 'חייב אני לך מנה בשטר' או שאמר 'הוו עלי עדים שאני חייב לפלוני מנה' אע"פ שלא הזכיר מלת שטר כיון דאמר אתם עדי - הוא חייב, וכ"כ הוא ז"ל בפירוש, וזה דעת הרמ"ה, וגם הוא דעת הרי"ף לדברי הר"ן והה"מ.</w:t>
      </w:r>
    </w:p>
  </w:footnote>
  <w:footnote w:id="3041">
    <w:p w14:paraId="5234497F" w14:textId="77777777" w:rsidR="0013116F" w:rsidRDefault="0013116F" w:rsidP="001D49D4">
      <w:pPr>
        <w:pStyle w:val="a9"/>
      </w:pPr>
      <w:r>
        <w:rPr>
          <w:rStyle w:val="ab"/>
        </w:rPr>
        <w:footnoteRef/>
      </w:r>
      <w:r>
        <w:rPr>
          <w:rtl/>
        </w:rPr>
        <w:t xml:space="preserve"> וז"ל- וקיימא לן כרבי יוחנן דאמר אי אמר חייב אני לך ק' בשטר חייב ואע"ג דלא אמר אתם עדי, ואי קביל על נפשיה לאיחיובי במידי דלא מיחייב כקנין, ואי בחזקת שהוא חייב לו ונמצא שהיה מוטעה אינו חייב דהוה ליה כעובדא דגינאי דאיתיה בגיטין (יד.), והוא דאתברר בסהדי, ואי לא לא, וכמו שכתב הרב בהלכותיו (ו.).</w:t>
      </w:r>
    </w:p>
  </w:footnote>
  <w:footnote w:id="3042">
    <w:p w14:paraId="3AF4797C" w14:textId="77777777" w:rsidR="0013116F" w:rsidRDefault="0013116F" w:rsidP="001D49D4">
      <w:pPr>
        <w:pStyle w:val="a9"/>
      </w:pPr>
      <w:r>
        <w:rPr>
          <w:rStyle w:val="ab"/>
        </w:rPr>
        <w:footnoteRef/>
      </w:r>
      <w:r>
        <w:rPr>
          <w:rtl/>
        </w:rPr>
        <w:t xml:space="preserve"> עי' דרישה</w:t>
      </w:r>
      <w:r>
        <w:rPr>
          <w:sz w:val="16"/>
          <w:szCs w:val="16"/>
          <w:rtl/>
        </w:rPr>
        <w:t xml:space="preserve"> [סע' א]</w:t>
      </w:r>
      <w:r>
        <w:rPr>
          <w:rtl/>
        </w:rPr>
        <w:t xml:space="preserve"> שם נתבאר מאין יצא להרמב"ם דין זה, ושרבים חולקים עליו בזה וס"ל דלא מהני לזה שאומר בע"פ כי אם בהודאה שכבר חייב לו, אבל בזה שבא להתחייב לו עתה בדיבור זה לא מהני כי אם כשכתב לו כן בשטר או באמרו 'אני חייב לך מנה בשטר', וכדס"ל להרמב"ם גם כן. וגם הטור [סעיף ד'] שהעתיק לשון הרמב"ם, השמיט דין זה שכתב הרמב"ם שם בריש דבריו, משום דלא ס"ל כוותיה בהאי, וא"כ מן התימה מהמחבר וממור"ם ז"ל שכתבוהו סתם בלי חולק, ועיין לעיל ר"ס ל"ט מה שכתבתי בסמ"ע [סק"א] בשם הג"א, סמ"ע (סק"א).</w:t>
      </w:r>
    </w:p>
  </w:footnote>
  <w:footnote w:id="3043">
    <w:p w14:paraId="4FE5568C" w14:textId="77777777" w:rsidR="0013116F" w:rsidRDefault="0013116F" w:rsidP="001D49D4">
      <w:pPr>
        <w:pStyle w:val="a9"/>
      </w:pPr>
      <w:r>
        <w:rPr>
          <w:rStyle w:val="ab"/>
        </w:rPr>
        <w:footnoteRef/>
      </w:r>
      <w:r>
        <w:rPr>
          <w:rtl/>
        </w:rPr>
        <w:t xml:space="preserve"> בזה, וכן בחלק הג' שא"ל בפני עדים הריני חייב לך מנה בשטר - אינו גובה אלא מבני חורין..., ש"ך (סק"ג). </w:t>
      </w:r>
    </w:p>
  </w:footnote>
  <w:footnote w:id="3044">
    <w:p w14:paraId="2C362429" w14:textId="77777777" w:rsidR="0013116F" w:rsidRDefault="0013116F" w:rsidP="001D49D4">
      <w:pPr>
        <w:pStyle w:val="a9"/>
      </w:pPr>
      <w:r>
        <w:rPr>
          <w:rStyle w:val="ab"/>
        </w:rPr>
        <w:footnoteRef/>
      </w:r>
      <w:r>
        <w:rPr>
          <w:rtl/>
        </w:rPr>
        <w:t xml:space="preserve"> כ' הב"ח</w:t>
      </w:r>
      <w:r>
        <w:rPr>
          <w:sz w:val="16"/>
          <w:szCs w:val="16"/>
          <w:rtl/>
        </w:rPr>
        <w:t xml:space="preserve"> [סע' ג] </w:t>
      </w:r>
      <w:r>
        <w:rPr>
          <w:rtl/>
        </w:rPr>
        <w:t xml:space="preserve">דדוקא כתב בכתב ידו, אבל אם לא כתב בכתב ידו ולא חתם תחתיו כלל, משמע בטור לר"ת אע"פ שמסרו לו בפני עדים אפי' מבנ"ח לא גבי דמצי למימר משטה אני בך עכ"ל. ותמיה לי דכיון דעדי מסירה כרתי מה בכך שאינו כתב ידו כיון שמוסרו לו בפני עדים ועדי מסירה מפקי לקלא, גובה אפי' ממשעבדי אע"פ שאינו כתב ידו, ולא שייך משטה אני בך בכה"ג, ש"ך </w:t>
      </w:r>
      <w:r>
        <w:rPr>
          <w:sz w:val="16"/>
          <w:szCs w:val="16"/>
          <w:rtl/>
        </w:rPr>
        <w:t>(סק"ה)</w:t>
      </w:r>
      <w:r>
        <w:rPr>
          <w:rtl/>
        </w:rPr>
        <w:t>.</w:t>
      </w:r>
    </w:p>
  </w:footnote>
  <w:footnote w:id="3045">
    <w:p w14:paraId="3415F091" w14:textId="77777777" w:rsidR="0013116F" w:rsidRDefault="0013116F" w:rsidP="001D49D4">
      <w:pPr>
        <w:pStyle w:val="a9"/>
      </w:pPr>
      <w:r>
        <w:rPr>
          <w:rStyle w:val="ab"/>
        </w:rPr>
        <w:footnoteRef/>
      </w:r>
      <w:r>
        <w:rPr>
          <w:rtl/>
        </w:rPr>
        <w:t xml:space="preserve"> ובזה גובה ממשעבדי למאן דאמר עדי מסירה כרתי, אפילו אינו כתב ידו. וכשלא מסר לו בפני עדים - גובה מבני חורין אם הוא כתב ידו</w:t>
      </w:r>
      <w:r>
        <w:rPr>
          <w:sz w:val="16"/>
          <w:szCs w:val="16"/>
          <w:rtl/>
        </w:rPr>
        <w:t xml:space="preserve"> (ולזה מודים לרמב"ם גם הרמב"ן והרשב"א והר"ן והה"מ והתוס' [כתובות קב. ד"ה אליבא] בשם ר"ת והרא"ש [שם פי"ב סי' ב'] וטור [סעיף ג'] ושאר פוסקים, וכ"כ הריטב"א ריש פרק הנושא ששיטת ר"ת נכונה היא, וכן עיקר)</w:t>
      </w:r>
      <w:r>
        <w:rPr>
          <w:rtl/>
        </w:rPr>
        <w:t xml:space="preserve"> וה"ה כשכתבו עדים שטר וכתבו בו שהתחייב עצמו וצוה לכתוב שטר, מהני אף להרמב"ן ורשב"א ופוסקים הנ"ל, וכן מוכח בהר"ן ר"פ הנושא [סא. מדפה"ר ד"ה והכא], ע"פ ש"ך (סק"ג).</w:t>
      </w:r>
    </w:p>
  </w:footnote>
  <w:footnote w:id="3046">
    <w:p w14:paraId="48BAC2F1" w14:textId="77777777" w:rsidR="0013116F" w:rsidRDefault="0013116F" w:rsidP="001D49D4">
      <w:pPr>
        <w:pStyle w:val="a9"/>
        <w:rPr>
          <w:rtl/>
        </w:rPr>
      </w:pPr>
      <w:r>
        <w:rPr>
          <w:rStyle w:val="ab"/>
        </w:rPr>
        <w:footnoteRef/>
      </w:r>
      <w:r>
        <w:rPr>
          <w:rtl/>
        </w:rPr>
        <w:t xml:space="preserve"> פירוש, כשקודם שחתמו העדים כתב בשטר, פלוני לוה מפלוני, ופלוני ערב, ואח"כ חתמו העדים, דמשתעבד הערב אף כשלא קנו מידו, ואף לאחר שהלוהו כיון דכתב ליה בשטר, וכמ"ש הטור והמחבר לקמן בסימן קכ"ט, וה"נ דכוותיה גבי לוה שיכול להתחייב נפשו אף שאינו חייב..., סמ"ע (סק"ב). וכתב הש"ך (סק"ז) דלא דק דהא ס"ל להרמב"ם [פכ"ו ממלוה ה"א] והטור והמחבר לקמן סימן קכ"ט סעיף ד' דצריך קנין בערב היוצא קודם חיתום שטרות, אלא כוונת הרמב"ם והטור והמחבר כאן לומר שהרי חייב עצמו אע"פ שאינו חייב, כמו שישתעבד הערב אע"פ שאינו חייב.</w:t>
      </w:r>
    </w:p>
  </w:footnote>
  <w:footnote w:id="3047">
    <w:p w14:paraId="3FD57057" w14:textId="77777777" w:rsidR="0013116F" w:rsidRDefault="0013116F" w:rsidP="001D49D4">
      <w:pPr>
        <w:pStyle w:val="a9"/>
      </w:pPr>
      <w:r>
        <w:rPr>
          <w:rStyle w:val="ab"/>
        </w:rPr>
        <w:footnoteRef/>
      </w:r>
      <w:r>
        <w:rPr>
          <w:rtl/>
        </w:rPr>
        <w:t xml:space="preserve"> דומה לזה כתבו הטור (ס"י) והמחבר (סי"א) לקמן סימן ע"ה, וכמ"ש בהגד"מ [הגדו"פ כאן אות ג] ע"ש. ועיין לקמן סימן פ"א סעיף כ"ט, דה"ה אם הודה בע"פ שקיבל החוב שבשטר או שמחל לו, הוה מחילה, סמ"ע (סק"ג).</w:t>
      </w:r>
    </w:p>
  </w:footnote>
  <w:footnote w:id="3048">
    <w:p w14:paraId="7A439CCF" w14:textId="77777777" w:rsidR="0013116F" w:rsidRDefault="0013116F" w:rsidP="001D49D4">
      <w:pPr>
        <w:pStyle w:val="a9"/>
        <w:rPr>
          <w:rtl/>
        </w:rPr>
      </w:pPr>
      <w:r>
        <w:rPr>
          <w:rStyle w:val="ab"/>
        </w:rPr>
        <w:footnoteRef/>
      </w:r>
      <w:r>
        <w:rPr>
          <w:rtl/>
        </w:rPr>
        <w:t xml:space="preserve"> </w:t>
      </w:r>
      <w:r>
        <w:rPr>
          <w:rFonts w:hint="cs"/>
          <w:rtl/>
        </w:rPr>
        <w:t xml:space="preserve">סימן – פנוי מוויטנס </w:t>
      </w:r>
      <w:r>
        <w:rPr>
          <w:sz w:val="16"/>
          <w:szCs w:val="16"/>
          <w:rtl/>
        </w:rPr>
        <w:t xml:space="preserve">(עדים - </w:t>
      </w:r>
      <w:r>
        <w:rPr>
          <w:sz w:val="16"/>
          <w:szCs w:val="16"/>
        </w:rPr>
        <w:t>witnesses</w:t>
      </w:r>
      <w:r>
        <w:rPr>
          <w:sz w:val="16"/>
          <w:szCs w:val="16"/>
          <w:rtl/>
        </w:rPr>
        <w:t>)</w:t>
      </w:r>
      <w:r>
        <w:rPr>
          <w:rtl/>
        </w:rPr>
        <w:t>.</w:t>
      </w:r>
    </w:p>
  </w:footnote>
  <w:footnote w:id="3049">
    <w:p w14:paraId="0EE39DEC" w14:textId="77777777" w:rsidR="0013116F" w:rsidRDefault="0013116F" w:rsidP="001D49D4">
      <w:pPr>
        <w:pStyle w:val="a9"/>
        <w:rPr>
          <w:rtl/>
        </w:rPr>
      </w:pPr>
      <w:r>
        <w:rPr>
          <w:rStyle w:val="ab"/>
        </w:rPr>
        <w:footnoteRef/>
      </w:r>
      <w:r>
        <w:rPr>
          <w:rtl/>
        </w:rPr>
        <w:t xml:space="preserve"> הא יש עליו עדים כשר לכתחלה, גר"א (סק"ז).</w:t>
      </w:r>
    </w:p>
  </w:footnote>
  <w:footnote w:id="3050">
    <w:p w14:paraId="4D2E2FCA" w14:textId="77777777" w:rsidR="0013116F" w:rsidRDefault="0013116F" w:rsidP="001D49D4">
      <w:pPr>
        <w:pStyle w:val="a9"/>
      </w:pPr>
      <w:r>
        <w:rPr>
          <w:rStyle w:val="ab"/>
        </w:rPr>
        <w:footnoteRef/>
      </w:r>
      <w:r>
        <w:rPr>
          <w:rtl/>
        </w:rPr>
        <w:t xml:space="preserve"> לדברי הכל, גר"א (סק"ז).</w:t>
      </w:r>
    </w:p>
  </w:footnote>
  <w:footnote w:id="3051">
    <w:p w14:paraId="7FEC360A" w14:textId="77777777" w:rsidR="0013116F" w:rsidRDefault="0013116F" w:rsidP="001D49D4">
      <w:pPr>
        <w:pStyle w:val="a9"/>
      </w:pPr>
      <w:r>
        <w:rPr>
          <w:rStyle w:val="ab"/>
        </w:rPr>
        <w:footnoteRef/>
      </w:r>
      <w:r>
        <w:rPr>
          <w:rtl/>
        </w:rPr>
        <w:t xml:space="preserve"> ונתבאר טעמו בדברי הה"מ, ב"י. וכתב עוד הב"י דנראה שגם הרמב"ם יודה בדין שכתב רבינו בשם ר"ת שאם כתב בכתב ידו 'אני פלוני חייב לך מנה' ומסר לו השטר בפני עדים חשיב מלוה בשטר, דמשום דהוי כתב ידו לא גרע, ואע"ג דלא הוי בלשון שטר כיון שכתוב בו ההודאה ומסרו בפני עדים סגי.</w:t>
      </w:r>
    </w:p>
  </w:footnote>
  <w:footnote w:id="3052">
    <w:p w14:paraId="23E21FC9" w14:textId="77777777" w:rsidR="0013116F" w:rsidRDefault="0013116F" w:rsidP="001D49D4">
      <w:pPr>
        <w:pStyle w:val="a9"/>
      </w:pPr>
      <w:r>
        <w:rPr>
          <w:rStyle w:val="ab"/>
        </w:rPr>
        <w:footnoteRef/>
      </w:r>
      <w:r>
        <w:rPr>
          <w:rtl/>
        </w:rPr>
        <w:t xml:space="preserve"> כתב הר"ש בן הר"ש בר צמח (סי' רצג) נראה לפרש חתמו או העידו, דכיון שאמר להם חתמו למה צריך לומר העידו, אלא חתמו או העידו בפני בית דין שמסרתיו בפניכם, והכונה שאם יודעים לחתום – יחתמו, ואם לאו - יעידו בפני בית דין והבית דין יכתבו עדותם של עדים ויגבו בו עכ"ל. ולי נראה דחתמו דקתני לא שיחתמו על השטר כדרך שחותמים בשאר שטרות אלא היינו לומר שיכתבו בו שטר זה מסרו בפנינו הלוה למלוה ויחתמו על זה והכי קאמר חתמו על עדותכם שנמסר בפניכם שטר זה, ב"י.</w:t>
      </w:r>
    </w:p>
  </w:footnote>
  <w:footnote w:id="3053">
    <w:p w14:paraId="34EA2921" w14:textId="77777777" w:rsidR="0013116F" w:rsidRDefault="0013116F" w:rsidP="001D49D4">
      <w:pPr>
        <w:pStyle w:val="a9"/>
        <w:rPr>
          <w:rtl/>
        </w:rPr>
      </w:pPr>
      <w:r>
        <w:rPr>
          <w:rStyle w:val="ab"/>
        </w:rPr>
        <w:footnoteRef/>
      </w:r>
      <w:r>
        <w:rPr>
          <w:rtl/>
        </w:rPr>
        <w:t xml:space="preserve"> היינו שחתומין בו והעידו על כתב ידו, ונתנו למלוה שלא בפני עדים..., סמ"ע (סק"ד). אך הש"ך (סק"ח) פירש שהעיד עדים על גוף הענין לא לקיים החתימה הלכך ה"ז שטר, כדלקמן סימן ס"ט סעיף ג'.</w:t>
      </w:r>
    </w:p>
  </w:footnote>
  <w:footnote w:id="3054">
    <w:p w14:paraId="163898EE" w14:textId="77777777" w:rsidR="0013116F" w:rsidRDefault="0013116F" w:rsidP="001D49D4">
      <w:pPr>
        <w:pStyle w:val="a9"/>
        <w:rPr>
          <w:rtl/>
        </w:rPr>
      </w:pPr>
      <w:r>
        <w:rPr>
          <w:rStyle w:val="ab"/>
        </w:rPr>
        <w:footnoteRef/>
      </w:r>
      <w:r>
        <w:rPr>
          <w:rtl/>
        </w:rPr>
        <w:t xml:space="preserve"> כשר, היינו כמ"ד עדי מסירה כרתי </w:t>
      </w:r>
      <w:r>
        <w:rPr>
          <w:sz w:val="16"/>
          <w:szCs w:val="16"/>
          <w:rtl/>
        </w:rPr>
        <w:t>(אבל יש חולקין וכמו שכתבתי לקמן ס"ס נ"א [סק"ט])</w:t>
      </w:r>
      <w:r>
        <w:rPr>
          <w:rtl/>
        </w:rPr>
        <w:t>, ש"ך (סק"ט). וה"ה אם כתב בלשון חתימת מטה ומסרו בפני עדים דג"כ הוה מלוה בשטר דעדי מסירה כרתי, סמ"ע (סק"ד).</w:t>
      </w:r>
    </w:p>
  </w:footnote>
  <w:footnote w:id="3055">
    <w:p w14:paraId="144F8FF2" w14:textId="77777777" w:rsidR="0013116F" w:rsidRDefault="0013116F" w:rsidP="001D49D4">
      <w:pPr>
        <w:pStyle w:val="a9"/>
        <w:rPr>
          <w:rtl/>
        </w:rPr>
      </w:pPr>
      <w:r>
        <w:rPr>
          <w:rStyle w:val="ab"/>
        </w:rPr>
        <w:footnoteRef/>
      </w:r>
      <w:r>
        <w:rPr>
          <w:rtl/>
        </w:rPr>
        <w:t xml:space="preserve"> ר"ל לגבות בו ממשעבדי. וכן מ"ש אחר זה ה"ז מלוה בשטר, היינו לגבות בו ממשעבדי. ובסעיף שלפני זה לא איירי אלא לענין חיוב לחוד </w:t>
      </w:r>
      <w:r>
        <w:rPr>
          <w:sz w:val="16"/>
          <w:szCs w:val="16"/>
          <w:rtl/>
        </w:rPr>
        <w:t>{היינו מבני חרי}</w:t>
      </w:r>
      <w:r>
        <w:rPr>
          <w:rtl/>
        </w:rPr>
        <w:t>, סמ"ע (סק"ה).</w:t>
      </w:r>
    </w:p>
  </w:footnote>
  <w:footnote w:id="3056">
    <w:p w14:paraId="4B51F434" w14:textId="77777777" w:rsidR="0013116F" w:rsidRDefault="0013116F" w:rsidP="001D49D4">
      <w:pPr>
        <w:pStyle w:val="a9"/>
        <w:rPr>
          <w:rtl/>
        </w:rPr>
      </w:pPr>
      <w:r>
        <w:rPr>
          <w:rStyle w:val="ab"/>
        </w:rPr>
        <w:footnoteRef/>
      </w:r>
      <w:r>
        <w:rPr>
          <w:rtl/>
        </w:rPr>
        <w:t xml:space="preserve"> ברמב"ם </w:t>
      </w:r>
      <w:r>
        <w:rPr>
          <w:sz w:val="16"/>
          <w:szCs w:val="16"/>
          <w:rtl/>
        </w:rPr>
        <w:t>(פי"א ה"ב)</w:t>
      </w:r>
      <w:r>
        <w:rPr>
          <w:rtl/>
        </w:rPr>
        <w:t xml:space="preserve">, ובטור </w:t>
      </w:r>
      <w:r>
        <w:rPr>
          <w:sz w:val="16"/>
          <w:szCs w:val="16"/>
          <w:rtl/>
        </w:rPr>
        <w:t xml:space="preserve">(ס"ה) </w:t>
      </w:r>
      <w:r>
        <w:rPr>
          <w:rtl/>
        </w:rPr>
        <w:t xml:space="preserve">ורי"ו </w:t>
      </w:r>
      <w:r>
        <w:rPr>
          <w:sz w:val="16"/>
          <w:szCs w:val="16"/>
          <w:rtl/>
        </w:rPr>
        <w:t xml:space="preserve">(נ"ו ח"ו) </w:t>
      </w:r>
      <w:r>
        <w:rPr>
          <w:rtl/>
        </w:rPr>
        <w:t xml:space="preserve">שהביאוהו, ליתא תיבת 'ידו'. ונראה דגם המחבר לא בא אלא לפרש דברי הרמב"ם דבעינן כתב ידו או כתב ידוע שאינו יכול להזדייף, דעיקר טעמא הוא כיון שאין עדים חתומים בו איכא למיחש שיזייף ויכתוב עוד, אבל אם עדים חתומים בו ליכא למיחש, דתו לא מצי למכתב מידי בתר חתימת העדים, ולא כמו שדחק בסמ"ע </w:t>
      </w:r>
      <w:r>
        <w:rPr>
          <w:sz w:val="16"/>
          <w:szCs w:val="16"/>
          <w:rtl/>
        </w:rPr>
        <w:t xml:space="preserve">(סק"ו) </w:t>
      </w:r>
      <w:r>
        <w:rPr>
          <w:rtl/>
        </w:rPr>
        <w:t>משום דבשטר שיש בו עדים מירתת לזייף, אלא כמ"ש, ולכך בעינן כתב יד שאינו יכול להזדייף ולכתוב עוד שום דבר יותר, ש"ך</w:t>
      </w:r>
      <w:r>
        <w:rPr>
          <w:sz w:val="16"/>
          <w:szCs w:val="16"/>
          <w:rtl/>
        </w:rPr>
        <w:t xml:space="preserve"> (סק"י)</w:t>
      </w:r>
      <w:r>
        <w:rPr>
          <w:rtl/>
        </w:rPr>
        <w:t>.</w:t>
      </w:r>
    </w:p>
  </w:footnote>
  <w:footnote w:id="3057">
    <w:p w14:paraId="22125F0F" w14:textId="77777777" w:rsidR="0013116F" w:rsidRDefault="0013116F" w:rsidP="001D49D4">
      <w:pPr>
        <w:pStyle w:val="a9"/>
      </w:pPr>
      <w:r>
        <w:rPr>
          <w:rStyle w:val="ab"/>
        </w:rPr>
        <w:footnoteRef/>
      </w:r>
      <w:r>
        <w:rPr>
          <w:rtl/>
        </w:rPr>
        <w:t xml:space="preserve"> ואין צריך שיחתמו כן על שטר זה אלא ה"ה בכתב אחר, ש"ך (סקי"ב).</w:t>
      </w:r>
    </w:p>
  </w:footnote>
  <w:footnote w:id="3058">
    <w:p w14:paraId="35D59911" w14:textId="77777777" w:rsidR="0013116F" w:rsidRDefault="0013116F" w:rsidP="001D49D4">
      <w:pPr>
        <w:pStyle w:val="a9"/>
        <w:rPr>
          <w:rtl/>
        </w:rPr>
      </w:pPr>
      <w:r>
        <w:rPr>
          <w:rStyle w:val="ab"/>
        </w:rPr>
        <w:footnoteRef/>
      </w:r>
      <w:r>
        <w:rPr>
          <w:rtl/>
        </w:rPr>
        <w:t xml:space="preserve"> כ' הה"מ</w:t>
      </w:r>
      <w:r>
        <w:rPr>
          <w:sz w:val="16"/>
          <w:szCs w:val="16"/>
          <w:rtl/>
        </w:rPr>
        <w:t xml:space="preserve"> [שם] </w:t>
      </w:r>
      <w:r>
        <w:rPr>
          <w:rtl/>
        </w:rPr>
        <w:t xml:space="preserve">הטעם כדי שיהיה לזה קול שאם לא אמר להם כן לא היו כותבים ולא היה לו קול </w:t>
      </w:r>
      <w:r>
        <w:rPr>
          <w:sz w:val="16"/>
          <w:szCs w:val="16"/>
          <w:rtl/>
        </w:rPr>
        <w:t>(ומביאו ב"י בס"ס נא ס"ז)</w:t>
      </w:r>
      <w:r>
        <w:rPr>
          <w:rtl/>
        </w:rPr>
        <w:t>, ש"ך</w:t>
      </w:r>
      <w:r>
        <w:rPr>
          <w:sz w:val="16"/>
          <w:szCs w:val="16"/>
          <w:rtl/>
        </w:rPr>
        <w:t xml:space="preserve"> (סקי"א)</w:t>
      </w:r>
      <w:r>
        <w:rPr>
          <w:rtl/>
        </w:rPr>
        <w:t>.</w:t>
      </w:r>
    </w:p>
  </w:footnote>
  <w:footnote w:id="3059">
    <w:p w14:paraId="5E5DFA1D" w14:textId="77777777" w:rsidR="0013116F" w:rsidRDefault="0013116F" w:rsidP="001D49D4">
      <w:pPr>
        <w:pStyle w:val="a9"/>
      </w:pPr>
      <w:r>
        <w:rPr>
          <w:rStyle w:val="ab"/>
        </w:rPr>
        <w:footnoteRef/>
      </w:r>
      <w:r>
        <w:rPr>
          <w:rtl/>
        </w:rPr>
        <w:t xml:space="preserve"> </w:t>
      </w:r>
      <w:r>
        <w:rPr>
          <w:rFonts w:hint="cs"/>
          <w:rtl/>
        </w:rPr>
        <w:t>סימן – שטר שנתקסח.</w:t>
      </w:r>
    </w:p>
  </w:footnote>
  <w:footnote w:id="3060">
    <w:p w14:paraId="56511BAD" w14:textId="77777777" w:rsidR="0013116F" w:rsidRDefault="0013116F" w:rsidP="001D49D4">
      <w:pPr>
        <w:pStyle w:val="a9"/>
      </w:pPr>
      <w:r>
        <w:rPr>
          <w:rStyle w:val="ab"/>
        </w:rPr>
        <w:footnoteRef/>
      </w:r>
      <w:r>
        <w:rPr>
          <w:rtl/>
        </w:rPr>
        <w:t xml:space="preserve"> היינו שטר שלא נמחק לגמרי אלא שרישומו עדיין ניכר אבל הוא ירא שמא ימחק לגמרי, ר"י </w:t>
      </w:r>
      <w:r>
        <w:rPr>
          <w:sz w:val="16"/>
          <w:szCs w:val="16"/>
          <w:rtl/>
        </w:rPr>
        <w:t xml:space="preserve">(כ"כ הטור בשמו, וכ' הב"י שהוא כד' הרמב"ם. ונראה לי שכן משמע מדברי התוס' בכתובות כ. ד"ה ורבי יוחנן </w:t>
      </w:r>
      <w:r>
        <w:rPr>
          <w:sz w:val="14"/>
          <w:szCs w:val="14"/>
          <w:rtl/>
        </w:rPr>
        <w:t>[עי' במה שכתבו- וא"ת ואמי לא מצו חזו בכתבא... ה"ד אי דאיכא סהדי דידעי מה הוה כתוב ביה]</w:t>
      </w:r>
      <w:r>
        <w:rPr>
          <w:sz w:val="16"/>
          <w:szCs w:val="16"/>
          <w:rtl/>
        </w:rPr>
        <w:t xml:space="preserve">) </w:t>
      </w:r>
      <w:r>
        <w:rPr>
          <w:rtl/>
        </w:rPr>
        <w:t>ורמב"ם</w:t>
      </w:r>
      <w:r>
        <w:rPr>
          <w:sz w:val="16"/>
          <w:szCs w:val="16"/>
          <w:rtl/>
        </w:rPr>
        <w:t xml:space="preserve"> (פכ"ג ממלוה ולוה הי"ב) (וכן פירשו בעל התרומות (שער נז ח"ב סי' א) רא"ש (סי' כ) רי"ו (מישרים נ"ד ח"ד כ:) והה"מ (שם) וכתב הב"י- ונ"ל שלשון {המשנה} מעמיד עליו עדים הביאם לפרש כן)</w:t>
      </w:r>
      <w:r>
        <w:rPr>
          <w:rtl/>
        </w:rPr>
        <w:t>. אך רשב"ם פירש שאפילו אם נמחק לגמרי כיון שיודעין העדים מה היה כתוב בו ומאימתי נכתב ושזהו השטר שהיה לו על פלוני יכולין להעיד לפני ב"ד וב"ד עושין לו קיום.</w:t>
      </w:r>
      <w:r>
        <w:rPr>
          <w:color w:val="000000" w:themeColor="text1"/>
          <w:rtl/>
        </w:rPr>
        <w:t xml:space="preserve"> וכתב הב"י דבעיקר הדין לא פליגי</w:t>
      </w:r>
      <w:r>
        <w:rPr>
          <w:color w:val="000000" w:themeColor="text1"/>
          <w:sz w:val="16"/>
          <w:szCs w:val="16"/>
          <w:rtl/>
        </w:rPr>
        <w:t xml:space="preserve"> {ר"י וסיעתו על רשב"ם}</w:t>
      </w:r>
      <w:r>
        <w:rPr>
          <w:color w:val="000000" w:themeColor="text1"/>
          <w:rtl/>
        </w:rPr>
        <w:t xml:space="preserve">, דלכו"ע אם יודעים העדים מאימתי נכתב ומה כתוב בו עושין לו קיום </w:t>
      </w:r>
      <w:r>
        <w:rPr>
          <w:color w:val="000000" w:themeColor="text1"/>
          <w:sz w:val="16"/>
          <w:szCs w:val="16"/>
          <w:rtl/>
        </w:rPr>
        <w:t xml:space="preserve">(וכן נראה מדברי נמוק"י (עח. ד"ה מתני' שנמחק) שכתב- אמר המחבר מורי נר"ו אומר דבעדים שהכירו החתימות סגי נראה דעדיף טפי מכיר מאימתי נכתב ומה </w:t>
      </w:r>
      <w:r>
        <w:rPr>
          <w:sz w:val="16"/>
          <w:szCs w:val="16"/>
          <w:rtl/>
        </w:rPr>
        <w:t>כתוב בו מעדים שמכירים החתימות, וקשה לי שאם אינם יודעים מאימתי נכתב ומה כתוב בו כי מכירים החתימות מאי הוי. ומצאתי לבעל מישרים בנתיב הנזכר שכתב וצריך שיאמרו העדים שראו הכתב וחתימת העדים הכירו או אם הם בעצמם היו מעידין על חתימתן צריך שיזכרו מענין השטר פירוש שיאמרו פלוני ופלוני העידו בפנינו שהשטר היה מקוים וזהו נמצאת עדות מכוונת (ב"ב קסח:) וגם יאמרו העדים על שם המלוה והלוה והזמן והמעות עכ"ל)</w:t>
      </w:r>
      <w:r>
        <w:rPr>
          <w:rtl/>
        </w:rPr>
        <w:t>. עכ"ל הב"י. וכן נראה מלשון הטור.</w:t>
      </w:r>
      <w:r>
        <w:rPr>
          <w:color w:val="00B0F0"/>
          <w:rtl/>
        </w:rPr>
        <w:t xml:space="preserve"> (וכ"פ הרמ"א)</w:t>
      </w:r>
      <w:r>
        <w:rPr>
          <w:rtl/>
        </w:rPr>
        <w:t xml:space="preserve"> (וכ"כ הסמ"ע</w:t>
      </w:r>
      <w:r>
        <w:rPr>
          <w:sz w:val="16"/>
          <w:szCs w:val="16"/>
          <w:rtl/>
        </w:rPr>
        <w:t xml:space="preserve"> [סק"ג]</w:t>
      </w:r>
      <w:r>
        <w:rPr>
          <w:rtl/>
        </w:rPr>
        <w:t>)</w:t>
      </w:r>
    </w:p>
  </w:footnote>
  <w:footnote w:id="3061">
    <w:p w14:paraId="009FA055" w14:textId="77777777" w:rsidR="0013116F" w:rsidRDefault="0013116F" w:rsidP="001D49D4">
      <w:pPr>
        <w:pStyle w:val="a9"/>
        <w:rPr>
          <w:rtl/>
        </w:rPr>
      </w:pPr>
      <w:r>
        <w:rPr>
          <w:rStyle w:val="ab"/>
        </w:rPr>
        <w:footnoteRef/>
      </w:r>
      <w:r>
        <w:rPr>
          <w:rtl/>
        </w:rPr>
        <w:t xml:space="preserve"> כיון שיודעין העדים מה היה כתוב בו ומאימתי נכתב ושזהו השטר שהיה לו על פלוני יכולין להעיד לפני ב"ד וב"ד עושין לו קיום, טור.</w:t>
      </w:r>
    </w:p>
  </w:footnote>
  <w:footnote w:id="3062">
    <w:p w14:paraId="06D68040" w14:textId="77777777" w:rsidR="0013116F" w:rsidRDefault="0013116F" w:rsidP="001D49D4">
      <w:pPr>
        <w:pStyle w:val="a9"/>
      </w:pPr>
      <w:r>
        <w:rPr>
          <w:rStyle w:val="ab"/>
        </w:rPr>
        <w:footnoteRef/>
      </w:r>
      <w:r>
        <w:rPr>
          <w:rtl/>
        </w:rPr>
        <w:t xml:space="preserve"> </w:t>
      </w:r>
      <w:r>
        <w:rPr>
          <w:color w:val="000000" w:themeColor="text1"/>
          <w:rtl/>
        </w:rPr>
        <w:t xml:space="preserve">וכ' הרשב"א </w:t>
      </w:r>
      <w:r>
        <w:rPr>
          <w:color w:val="000000" w:themeColor="text1"/>
          <w:sz w:val="16"/>
          <w:szCs w:val="16"/>
          <w:rtl/>
        </w:rPr>
        <w:t xml:space="preserve">(ח"א סי' אלף כא) </w:t>
      </w:r>
      <w:r>
        <w:rPr>
          <w:color w:val="000000" w:themeColor="text1"/>
          <w:rtl/>
        </w:rPr>
        <w:t xml:space="preserve">דעדות זו שהעידו העדים על קיום השטר א"צ להיות בפני בעל דין, דרכ"מ </w:t>
      </w:r>
      <w:r>
        <w:rPr>
          <w:color w:val="000000" w:themeColor="text1"/>
          <w:sz w:val="16"/>
          <w:szCs w:val="16"/>
          <w:rtl/>
        </w:rPr>
        <w:t>(אות א)</w:t>
      </w:r>
      <w:r>
        <w:rPr>
          <w:color w:val="000000" w:themeColor="text1"/>
          <w:rtl/>
        </w:rPr>
        <w:t>.</w:t>
      </w:r>
      <w:r>
        <w:rPr>
          <w:color w:val="00B0F0"/>
          <w:rtl/>
        </w:rPr>
        <w:t xml:space="preserve"> (וכ"פ הרמ"א)</w:t>
      </w:r>
      <w:r>
        <w:rPr>
          <w:rtl/>
        </w:rPr>
        <w:t xml:space="preserve"> והש"ך (סק"ב) תמה על דברי הדרכ"מ וכתב דאדרבה שמדברי הרשב"א מוכח להיפך, עיין לקמן בש"ך על דברי הרמ"א.</w:t>
      </w:r>
    </w:p>
  </w:footnote>
  <w:footnote w:id="3063">
    <w:p w14:paraId="6E02C089" w14:textId="77777777" w:rsidR="0013116F" w:rsidRDefault="0013116F" w:rsidP="001D49D4">
      <w:pPr>
        <w:pStyle w:val="a9"/>
      </w:pPr>
      <w:r>
        <w:rPr>
          <w:rStyle w:val="ab"/>
        </w:rPr>
        <w:footnoteRef/>
      </w:r>
      <w:r>
        <w:rPr>
          <w:rtl/>
        </w:rPr>
        <w:t xml:space="preserve"> ופירש הרב המגיד מעמיד עליו עדים שיראוהו בטרם הראותו אותו לבית דין.</w:t>
      </w:r>
    </w:p>
  </w:footnote>
  <w:footnote w:id="3064">
    <w:p w14:paraId="7AA13054" w14:textId="77777777" w:rsidR="0013116F" w:rsidRDefault="0013116F" w:rsidP="001D49D4">
      <w:pPr>
        <w:pStyle w:val="a9"/>
        <w:rPr>
          <w:rtl/>
        </w:rPr>
      </w:pPr>
      <w:r>
        <w:rPr>
          <w:rStyle w:val="ab"/>
        </w:rPr>
        <w:footnoteRef/>
      </w:r>
      <w:r>
        <w:rPr>
          <w:rtl/>
        </w:rPr>
        <w:t xml:space="preserve"> </w:t>
      </w:r>
      <w:r>
        <w:rPr>
          <w:rFonts w:hint="cs"/>
          <w:rtl/>
        </w:rPr>
        <w:t>ו</w:t>
      </w:r>
      <w:r>
        <w:rPr>
          <w:rtl/>
        </w:rPr>
        <w:t xml:space="preserve">לא יעשו לו שטר אפילו מזמן שנמחק, טור. ור"ל בלא דעת הלוה </w:t>
      </w:r>
      <w:r>
        <w:rPr>
          <w:sz w:val="16"/>
          <w:szCs w:val="16"/>
          <w:rtl/>
        </w:rPr>
        <w:t>(וכמ"ש לקמן סק"ד בשם הנ"י)</w:t>
      </w:r>
      <w:r>
        <w:rPr>
          <w:rtl/>
        </w:rPr>
        <w:t>, דמדעת הלוה יכולים לכתוב מזמן שני... ואם נתעכב מזמן שנמחק עד זמן שמצוה, אין כותבים אפילו ברשות הלוה מזמן שנמחק, ש"ך (סק"ג).</w:t>
      </w:r>
    </w:p>
  </w:footnote>
  <w:footnote w:id="3065">
    <w:p w14:paraId="14C805F9" w14:textId="77777777" w:rsidR="0013116F" w:rsidRDefault="0013116F" w:rsidP="001D49D4">
      <w:pPr>
        <w:pStyle w:val="a9"/>
      </w:pPr>
      <w:r>
        <w:rPr>
          <w:rStyle w:val="ab"/>
        </w:rPr>
        <w:footnoteRef/>
      </w:r>
      <w:r>
        <w:rPr>
          <w:rtl/>
        </w:rPr>
        <w:t xml:space="preserve"> נלמד כן מדתנן (שם) ובא לפני בית דין, משמע דלית ליה תקנתא בלא בית דין ואפילו לכתוב שנמחק... </w:t>
      </w:r>
      <w:r>
        <w:rPr>
          <w:sz w:val="16"/>
          <w:szCs w:val="16"/>
          <w:rtl/>
        </w:rPr>
        <w:t>(ובמישרים בנתיב הנזכר (שם) כתב שהטעם שכבר עשו שליחותן פעם אחת. וכ"כ בעל התרומות (שער נז ח"ב סי' ו) בשם הראב"ד ז"ל. וזה שלא כדברי הרא"ש שכתב (כלל סח סי' לא) דהא דאמרינן דאין כותבין בשטרי הלואה היינו בשאין ידוע לעדים אבל בשידוע לעדים שאבד ולא נפרע כותבין לו שטר אחר כמו בשטרי מקח וממכר ולא אמרינן עשו עדים שליחותן. ועיין במה שכתבתי בסימן מ"ט (מחו' ב-ג) בשם הרשב"א ובשם הר"ן)</w:t>
      </w:r>
      <w:r>
        <w:rPr>
          <w:rtl/>
        </w:rPr>
        <w:t>, ב"י.</w:t>
      </w:r>
    </w:p>
  </w:footnote>
  <w:footnote w:id="3066">
    <w:p w14:paraId="5899D3E2" w14:textId="77777777" w:rsidR="0013116F" w:rsidRDefault="0013116F" w:rsidP="001D49D4">
      <w:pPr>
        <w:pStyle w:val="a9"/>
        <w:rPr>
          <w:color w:val="000000" w:themeColor="text1"/>
          <w:rtl/>
        </w:rPr>
      </w:pPr>
      <w:r>
        <w:rPr>
          <w:rStyle w:val="ab"/>
          <w:color w:val="000000" w:themeColor="text1"/>
        </w:rPr>
        <w:footnoteRef/>
      </w:r>
      <w:r>
        <w:rPr>
          <w:color w:val="000000" w:themeColor="text1"/>
          <w:rtl/>
        </w:rPr>
        <w:t xml:space="preserve"> וכ"כ התוס' </w:t>
      </w:r>
      <w:r>
        <w:rPr>
          <w:color w:val="000000" w:themeColor="text1"/>
          <w:sz w:val="16"/>
          <w:szCs w:val="16"/>
          <w:rtl/>
        </w:rPr>
        <w:t>(קסח: ד"ה ופלוני, וז"ל-</w:t>
      </w:r>
      <w:r>
        <w:rPr>
          <w:sz w:val="16"/>
          <w:szCs w:val="16"/>
          <w:rtl/>
        </w:rPr>
        <w:t xml:space="preserve"> נראה לר"י שמזכיר נמי העדים שהעידו שראו אותו השטר שאם ירצה הלוה היום או למחר לפסלן שיוכל לפסלן, ותימה אם צריך לכתבן שאין הגמרא מזכירן וצריך עיון בתיקון שטרות. עכ"ל. ותירץ הרא"ש (שם) תמיהתם דשמא פלוני ופלוני עדיו הכל בכלל כל העדים הצריכין לדבר</w:t>
      </w:r>
      <w:r>
        <w:rPr>
          <w:color w:val="000000" w:themeColor="text1"/>
          <w:sz w:val="16"/>
          <w:szCs w:val="16"/>
          <w:rtl/>
        </w:rPr>
        <w:t xml:space="preserve">) </w:t>
      </w:r>
      <w:r>
        <w:rPr>
          <w:color w:val="000000" w:themeColor="text1"/>
          <w:rtl/>
        </w:rPr>
        <w:t xml:space="preserve">והרא"ש </w:t>
      </w:r>
      <w:r>
        <w:rPr>
          <w:color w:val="000000" w:themeColor="text1"/>
          <w:sz w:val="16"/>
          <w:szCs w:val="16"/>
          <w:rtl/>
        </w:rPr>
        <w:t>(סי' כ)</w:t>
      </w:r>
      <w:r>
        <w:rPr>
          <w:color w:val="000000" w:themeColor="text1"/>
          <w:rtl/>
        </w:rPr>
        <w:t xml:space="preserve">. אבל במרדכי </w:t>
      </w:r>
      <w:r>
        <w:rPr>
          <w:color w:val="000000" w:themeColor="text1"/>
          <w:sz w:val="16"/>
          <w:szCs w:val="16"/>
          <w:rtl/>
        </w:rPr>
        <w:t xml:space="preserve">(סי' תרמה) </w:t>
      </w:r>
      <w:r>
        <w:rPr>
          <w:color w:val="000000" w:themeColor="text1"/>
          <w:rtl/>
        </w:rPr>
        <w:t xml:space="preserve">כתב דיש חולקים וסבירא להו דאין צריך לכתוב מי העיד עליו שנמחק. ובנמוק"י שם </w:t>
      </w:r>
      <w:r>
        <w:rPr>
          <w:color w:val="000000" w:themeColor="text1"/>
          <w:sz w:val="16"/>
          <w:szCs w:val="16"/>
          <w:rtl/>
        </w:rPr>
        <w:t xml:space="preserve">(עח.) </w:t>
      </w:r>
      <w:r>
        <w:rPr>
          <w:color w:val="000000" w:themeColor="text1"/>
          <w:rtl/>
        </w:rPr>
        <w:t xml:space="preserve">כתב דא"צ לכותבו רק כדי שהלוה יוכל לפסול העדים, אבל אם הב"ד רוצים לחקור אם העדים כשרים א"צ לכותבו, דרכ"מ </w:t>
      </w:r>
      <w:r>
        <w:rPr>
          <w:color w:val="000000" w:themeColor="text1"/>
          <w:sz w:val="16"/>
          <w:szCs w:val="16"/>
          <w:rtl/>
        </w:rPr>
        <w:t>(אות א)</w:t>
      </w:r>
      <w:r>
        <w:rPr>
          <w:color w:val="000000" w:themeColor="text1"/>
          <w:rtl/>
        </w:rPr>
        <w:t xml:space="preserve">. </w:t>
      </w:r>
    </w:p>
  </w:footnote>
  <w:footnote w:id="3067">
    <w:p w14:paraId="2062684F" w14:textId="77777777" w:rsidR="0013116F" w:rsidRDefault="0013116F" w:rsidP="001D49D4">
      <w:pPr>
        <w:pStyle w:val="a9"/>
        <w:rPr>
          <w:rtl/>
        </w:rPr>
      </w:pPr>
      <w:r>
        <w:rPr>
          <w:rStyle w:val="ab"/>
        </w:rPr>
        <w:footnoteRef/>
      </w:r>
      <w:r>
        <w:rPr>
          <w:rtl/>
        </w:rPr>
        <w:t xml:space="preserve"> וז"ל- אם עמדו אלו בית דין המקיימים וחקרו </w:t>
      </w:r>
      <w:r>
        <w:rPr>
          <w:b/>
          <w:bCs/>
          <w:rtl/>
        </w:rPr>
        <w:t>העדים החתומים בו</w:t>
      </w:r>
      <w:r>
        <w:rPr>
          <w:rtl/>
        </w:rPr>
        <w:t xml:space="preserve"> </w:t>
      </w:r>
      <w:r>
        <w:rPr>
          <w:sz w:val="16"/>
          <w:szCs w:val="16"/>
          <w:rtl/>
        </w:rPr>
        <w:t>{היינו העדים הראשונים שחתמו על השטר הראשון לפני שנתבלה}</w:t>
      </w:r>
      <w:r>
        <w:rPr>
          <w:rtl/>
        </w:rPr>
        <w:t xml:space="preserve"> להעיד על חתימתן ונמצאו דבריהם מכוונים - גובה מזמן ראשון הכתוב בשטר ואין צריך ראיה אחרת. ואם לאו - צריך להביא ראיה אחרת על הזמן ועל סכום המעות ועל כל מה שהיה כתוב בשטר.</w:t>
      </w:r>
    </w:p>
  </w:footnote>
  <w:footnote w:id="3068">
    <w:p w14:paraId="7A48650E" w14:textId="77777777" w:rsidR="0013116F" w:rsidRDefault="0013116F" w:rsidP="001D49D4">
      <w:pPr>
        <w:pStyle w:val="a9"/>
      </w:pPr>
      <w:r>
        <w:rPr>
          <w:rStyle w:val="ab"/>
        </w:rPr>
        <w:footnoteRef/>
      </w:r>
      <w:r>
        <w:rPr>
          <w:rtl/>
        </w:rPr>
        <w:t xml:space="preserve"> היינו שלא שלא חקרו את העדים וכו' </w:t>
      </w:r>
      <w:r>
        <w:rPr>
          <w:b/>
          <w:bCs/>
          <w:rtl/>
        </w:rPr>
        <w:t>ולפיכך אין השטר הראשון מקויים</w:t>
      </w:r>
      <w:r>
        <w:rPr>
          <w:rtl/>
        </w:rPr>
        <w:t>.</w:t>
      </w:r>
    </w:p>
  </w:footnote>
  <w:footnote w:id="3069">
    <w:p w14:paraId="4659B96E" w14:textId="77777777" w:rsidR="0013116F" w:rsidRDefault="0013116F" w:rsidP="001D49D4">
      <w:pPr>
        <w:pStyle w:val="a9"/>
      </w:pPr>
      <w:r>
        <w:rPr>
          <w:rStyle w:val="ab"/>
        </w:rPr>
        <w:footnoteRef/>
      </w:r>
      <w:r>
        <w:rPr>
          <w:rtl/>
        </w:rPr>
        <w:t xml:space="preserve"> ובעל התרומות</w:t>
      </w:r>
      <w:r>
        <w:rPr>
          <w:sz w:val="16"/>
          <w:szCs w:val="16"/>
          <w:rtl/>
        </w:rPr>
        <w:t xml:space="preserve"> (שער נז ח"ב סי' א) </w:t>
      </w:r>
      <w:r>
        <w:rPr>
          <w:rtl/>
        </w:rPr>
        <w:t>כתב בשם בן מיגא"ש כדברי הה"מ וסיים בה דהיכא דלא כתבו הוזקקנו לעדותן של עדים כל טענה שיטעון הלוה שהיא מועלת בשאין שם שטר שומעים לו עד שיביא המלוה ראיה על עדים הראשונים שהיתה עדותן והם חתמוהו.</w:t>
      </w:r>
    </w:p>
  </w:footnote>
  <w:footnote w:id="3070">
    <w:p w14:paraId="7B2B87CD" w14:textId="77777777" w:rsidR="0013116F" w:rsidRDefault="0013116F" w:rsidP="001D49D4">
      <w:pPr>
        <w:pStyle w:val="a9"/>
      </w:pPr>
      <w:r>
        <w:rPr>
          <w:rStyle w:val="ab"/>
        </w:rPr>
        <w:footnoteRef/>
      </w:r>
      <w:r>
        <w:rPr>
          <w:rtl/>
        </w:rPr>
        <w:t xml:space="preserve"> וכבר השיגו על הפירוש הזה דודאי לב"ד טועין אין לחוש ועוד שהוא צריך לפרש שנמחק השטר ולא נמחקו העדים וזה דוחק ובתוספתא נראה כפירוש שאר המפרשים ועיקר, הה"מ.</w:t>
      </w:r>
    </w:p>
  </w:footnote>
  <w:footnote w:id="3071">
    <w:p w14:paraId="5005B151" w14:textId="77777777" w:rsidR="0013116F" w:rsidRDefault="0013116F" w:rsidP="001D49D4">
      <w:pPr>
        <w:pStyle w:val="a9"/>
        <w:rPr>
          <w:rtl/>
        </w:rPr>
      </w:pPr>
      <w:r>
        <w:rPr>
          <w:rStyle w:val="ab"/>
        </w:rPr>
        <w:footnoteRef/>
      </w:r>
      <w:r>
        <w:rPr>
          <w:rtl/>
        </w:rPr>
        <w:t xml:space="preserve"> כלומר דליכא למימר כתב ללוות ולא לוה, ב"י.</w:t>
      </w:r>
    </w:p>
  </w:footnote>
  <w:footnote w:id="3072">
    <w:p w14:paraId="0570555C" w14:textId="77777777" w:rsidR="0013116F" w:rsidRDefault="0013116F" w:rsidP="001D49D4">
      <w:pPr>
        <w:pStyle w:val="a9"/>
        <w:rPr>
          <w:rtl/>
        </w:rPr>
      </w:pPr>
      <w:r>
        <w:rPr>
          <w:rStyle w:val="ab"/>
        </w:rPr>
        <w:footnoteRef/>
      </w:r>
      <w:r>
        <w:rPr>
          <w:rtl/>
        </w:rPr>
        <w:t xml:space="preserve"> ונתבאר בגמרא </w:t>
      </w:r>
      <w:r>
        <w:rPr>
          <w:sz w:val="16"/>
          <w:szCs w:val="16"/>
          <w:rtl/>
        </w:rPr>
        <w:t xml:space="preserve">(קסט.) </w:t>
      </w:r>
      <w:r>
        <w:rPr>
          <w:rtl/>
        </w:rPr>
        <w:t xml:space="preserve">שהטעם שאין כותבין שטר מקח שיש בו אחריות לפי שאין כותבין שני שטרי מכר על שדה אחת שמא יעשה הלוקח קנוניא עם מי שהיתה שדה זו של אבותיו קודם שיקחנה זה, או יגזלנה ויטרוף שלא כדין, כיצד, יבא זה ויטרוף שדה זו בעדות שהעידו לו מחמת אביו </w:t>
      </w:r>
      <w:r>
        <w:rPr>
          <w:sz w:val="16"/>
          <w:szCs w:val="16"/>
          <w:rtl/>
        </w:rPr>
        <w:t>{היינו שטוען על פי עדים שהשדה הזו היתה שייכת לאבותיו מאז ומעולם, והמוכר הוא שגזלה מאבותיו ומכרה לזה}</w:t>
      </w:r>
      <w:r>
        <w:rPr>
          <w:rtl/>
        </w:rPr>
        <w:t xml:space="preserve">, ויחזור הלוקח ויטרוף בשטר המכר שבידו מן הלקוחות שלקחו אחריו, ויקרעו בית דין שטר המכר שבידו, שכן הדין כשכותבין טירפא, ויחזור בקנוניא ויעמוד בשדה שנטרפה ממנו </w:t>
      </w:r>
      <w:r>
        <w:rPr>
          <w:sz w:val="16"/>
          <w:szCs w:val="16"/>
          <w:rtl/>
        </w:rPr>
        <w:t xml:space="preserve">{היינו שיסכם עם זה שבא מכח אבותיו שיתן לו כמה שנים לישב בקרקע כדי שישתקע הדבר וישכח} </w:t>
      </w:r>
      <w:r>
        <w:rPr>
          <w:rtl/>
        </w:rPr>
        <w:t>ויבא הוא</w:t>
      </w:r>
      <w:r>
        <w:rPr>
          <w:sz w:val="16"/>
          <w:szCs w:val="16"/>
          <w:rtl/>
        </w:rPr>
        <w:t xml:space="preserve"> </w:t>
      </w:r>
      <w:r>
        <w:rPr>
          <w:rtl/>
        </w:rPr>
        <w:t xml:space="preserve"> שטרפה בעצמו </w:t>
      </w:r>
      <w:r>
        <w:rPr>
          <w:sz w:val="16"/>
          <w:szCs w:val="16"/>
          <w:rtl/>
        </w:rPr>
        <w:t>{היינו זה שבא מכח אבותיו}</w:t>
      </w:r>
      <w:r>
        <w:rPr>
          <w:rtl/>
        </w:rPr>
        <w:t xml:space="preserve"> ויטרוף אותה פעם אחרת בעדות עדיו, ויוציא הלה שטר המכר השני ויטרוף בו לקוחות אחרים שלא כדין. והקשו על זה אמאי אין כותבין שני שטרי מכר על שדה אחד הרי יש תקנה דלכתוב תברא למוכר כל שטרי דיפקון על ארעא דא פסולין לבד מן דיפיק בזמנא דא, ופירש רשב"ם כלומר חוץ מזה השטר שכתב לו בזמן פלוני תחת הראשון שאמר שנאבד ממנו, ותירצו דילמא אזיל בעל חוב טריף לקוחות, ושובר גבי לקוחות ליכא, ואע"פ שמיד הולכים הלקוחות אצל המוכר לצעוק על שדותיהם ואז יראה להם השובר ויחזיר קרקעותיהם, מיהו בין כך ובין כך שמיט ואכיל פירי וקשה גזל הנאכל </w:t>
      </w:r>
      <w:r>
        <w:rPr>
          <w:sz w:val="16"/>
          <w:szCs w:val="16"/>
          <w:rtl/>
        </w:rPr>
        <w:t>(חולין פט.)</w:t>
      </w:r>
      <w:r>
        <w:rPr>
          <w:rtl/>
        </w:rPr>
        <w:t>, אי נמי אם יטרוף ממי שלקח בפירוש שלא באחריות, שהלוקח לא יחוש לילך אצל המוכר שיודע שאין לו אחריות עליו ויפסיד קרקעו שלא כדין, ב"י.</w:t>
      </w:r>
    </w:p>
  </w:footnote>
  <w:footnote w:id="3073">
    <w:p w14:paraId="4187513C" w14:textId="77777777" w:rsidR="0013116F" w:rsidRDefault="0013116F" w:rsidP="001D49D4">
      <w:pPr>
        <w:pStyle w:val="a9"/>
        <w:rPr>
          <w:rtl/>
        </w:rPr>
      </w:pPr>
      <w:r>
        <w:rPr>
          <w:rStyle w:val="ab"/>
        </w:rPr>
        <w:footnoteRef/>
      </w:r>
      <w:r>
        <w:rPr>
          <w:rtl/>
        </w:rPr>
        <w:t xml:space="preserve"> וז"ל- ומסתברא דהיכא דכתבו בית דין והוזקקנו לעדותן של עדים וכו' צריך שיכתבו בו וקרענוהו לההוא שטרא דנטשטש וכדאמרינן (ב"ב קסט.) גבי טירפא כל טירפא דלא כתיב בה קרענוהו לשטרא לאו טירפא היא והא נמי דכוותה היא דכיון דכשר וגובה בו יש לחוש דילמא טריף והדר טריף.</w:t>
      </w:r>
    </w:p>
  </w:footnote>
  <w:footnote w:id="3074">
    <w:p w14:paraId="7F444814" w14:textId="77777777" w:rsidR="0013116F" w:rsidRDefault="0013116F" w:rsidP="001D49D4">
      <w:pPr>
        <w:pStyle w:val="a9"/>
      </w:pPr>
      <w:r>
        <w:rPr>
          <w:rStyle w:val="ab"/>
        </w:rPr>
        <w:footnoteRef/>
      </w:r>
      <w:r>
        <w:rPr>
          <w:rtl/>
        </w:rPr>
        <w:t xml:space="preserve"> ולמדו כן </w:t>
      </w:r>
      <w:r>
        <w:rPr>
          <w:sz w:val="16"/>
          <w:szCs w:val="16"/>
          <w:rtl/>
        </w:rPr>
        <w:t xml:space="preserve">{את החילוק בין שטר מתנה לשטר מתנה באחריות וכו'} </w:t>
      </w:r>
      <w:r>
        <w:rPr>
          <w:rtl/>
        </w:rPr>
        <w:t>מדתניא בגט פשוט</w:t>
      </w:r>
      <w:r>
        <w:rPr>
          <w:sz w:val="16"/>
          <w:szCs w:val="16"/>
          <w:rtl/>
        </w:rPr>
        <w:t xml:space="preserve"> (קסח:) </w:t>
      </w:r>
      <w:r>
        <w:rPr>
          <w:rtl/>
        </w:rPr>
        <w:t>אבל בשטרי מקח וממכר כותבין חוץ מן האחריות שבו וכו', ב"י. וכתב עוד הב"י- וא"ת אע"פ שיכתבו בקיום שקרעו השטר הראשון מי ימנעהו שלא יעמיד שנים או שלשה כתות עדים על מחיקת שטרו וילך עם כל כת לפני בית דין אחד ויעשו לו כל בית דין קיום אחד, וי"ל דליכא למיחש להכי שאין בית דין עושין לו קיום עד שיראם שטר ראשון ויקרעו, ומאחר שמפעם ראשונה קרעוהו שוב אין לו שטר להראות לבית דין, ואם כן אין לחוש שיעשו לו קיום עוד.</w:t>
      </w:r>
    </w:p>
  </w:footnote>
  <w:footnote w:id="3075">
    <w:p w14:paraId="798E2CEF" w14:textId="77777777" w:rsidR="0013116F" w:rsidRDefault="0013116F" w:rsidP="001D49D4">
      <w:pPr>
        <w:pStyle w:val="a9"/>
      </w:pPr>
      <w:r>
        <w:rPr>
          <w:rStyle w:val="ab"/>
        </w:rPr>
        <w:footnoteRef/>
      </w:r>
      <w:r>
        <w:rPr>
          <w:rtl/>
        </w:rPr>
        <w:t xml:space="preserve"> פירוש, בין אותם עדים החתומין על השטר בין עדים אחרים וכמו שיתבאר, סמ"ע (סק"א).</w:t>
      </w:r>
    </w:p>
  </w:footnote>
  <w:footnote w:id="3076">
    <w:p w14:paraId="5E5ECED3" w14:textId="77777777" w:rsidR="0013116F" w:rsidRDefault="0013116F" w:rsidP="001D49D4">
      <w:pPr>
        <w:pStyle w:val="a9"/>
      </w:pPr>
      <w:r>
        <w:rPr>
          <w:rStyle w:val="ab"/>
        </w:rPr>
        <w:footnoteRef/>
      </w:r>
      <w:r>
        <w:rPr>
          <w:rtl/>
        </w:rPr>
        <w:t xml:space="preserve"> היינו כשכבר נמחק, וזהו שכתב המחבר אח"כ, הוציא פלוני בן פלוני שטר נמחק לפנינו, דאל"כ למה לי עדים הא הב"ד יכולין לראות השטר כשעדיין לא נמחק, סמ"ע (סק"ב).</w:t>
      </w:r>
    </w:p>
  </w:footnote>
  <w:footnote w:id="3077">
    <w:p w14:paraId="7631542F" w14:textId="77777777" w:rsidR="0013116F" w:rsidRDefault="0013116F" w:rsidP="001D49D4">
      <w:pPr>
        <w:pStyle w:val="a9"/>
        <w:rPr>
          <w:rtl/>
        </w:rPr>
      </w:pPr>
      <w:r>
        <w:rPr>
          <w:rStyle w:val="ab"/>
        </w:rPr>
        <w:footnoteRef/>
      </w:r>
      <w:r>
        <w:rPr>
          <w:rtl/>
        </w:rPr>
        <w:t xml:space="preserve"> דברי הרב תמוהים לי, דהיאך יעלה על הדעת שיעידו שלא בפני בע"ד לחייב אותו שלא בפניו, ומיהו כשלא נמחק לגמרי ורישומו ניכר בפני הב"ד והעדים מעידים רק על החתימות יכולים להעיד שלא בפני בע"ד, וכדקי"ל לקמן סימן מ"ו סע' ה' דמקיימים את השטר אפילו שלא בפני בע"ד, אבל בנמחק לגמרי ומעידים על השטר מה היה כתוב בו, דבר תימה שנקבל עדות זו שלא בפני בע"ד, ואם יאמרו העדים שהיה כתוב בו סך רב נחייבו על פיהם. ומדברי תשובת רשב"א</w:t>
      </w:r>
      <w:r>
        <w:rPr>
          <w:sz w:val="16"/>
          <w:szCs w:val="16"/>
          <w:rtl/>
        </w:rPr>
        <w:t xml:space="preserve"> [ח"ב סי' שסב] </w:t>
      </w:r>
      <w:r>
        <w:rPr>
          <w:rtl/>
        </w:rPr>
        <w:t xml:space="preserve">שהביא ב"י ס"ס זה </w:t>
      </w:r>
      <w:r>
        <w:rPr>
          <w:sz w:val="16"/>
          <w:szCs w:val="16"/>
          <w:rtl/>
        </w:rPr>
        <w:t xml:space="preserve">[מחודש ח'] </w:t>
      </w:r>
      <w:r>
        <w:rPr>
          <w:rtl/>
        </w:rPr>
        <w:t xml:space="preserve">מוכח אדרבא להיפך </w:t>
      </w:r>
      <w:r>
        <w:rPr>
          <w:sz w:val="16"/>
          <w:szCs w:val="16"/>
          <w:rtl/>
        </w:rPr>
        <w:t>(שלא פסק אלא גבי שטר מקח שיכולים להעיד שלא בפני בע"ד, כיון שהלוקח מוחזק במקחו אין אנו חוששים מן הסתם למערער כו', והיינו כדלקמן סימן ק"י סעיף ה', או דלפטור מקבלין אף שלא בפני בע"ד וכדלעיל סימן כח סעיף י"ח, אבל שיעידו על שטר חוב לחייבו ע"פ עדותן זו שעושין שטר גמור להוציא מידו, לא)</w:t>
      </w:r>
      <w:r>
        <w:rPr>
          <w:rtl/>
        </w:rPr>
        <w:t>... וא"כ דברי הר"ב צל"ע, ש"ך (סק"ב).</w:t>
      </w:r>
    </w:p>
  </w:footnote>
  <w:footnote w:id="3078">
    <w:p w14:paraId="5D777F9D" w14:textId="77777777" w:rsidR="0013116F" w:rsidRDefault="0013116F" w:rsidP="001D49D4">
      <w:pPr>
        <w:pStyle w:val="a9"/>
      </w:pPr>
      <w:r>
        <w:rPr>
          <w:rStyle w:val="ab"/>
        </w:rPr>
        <w:footnoteRef/>
      </w:r>
      <w:r>
        <w:rPr>
          <w:rtl/>
        </w:rPr>
        <w:t xml:space="preserve"> וכ"ש עדים אחרים, ש"ך (סק"ג).</w:t>
      </w:r>
    </w:p>
  </w:footnote>
  <w:footnote w:id="3079">
    <w:p w14:paraId="4C67A3A5" w14:textId="77777777" w:rsidR="0013116F" w:rsidRDefault="0013116F" w:rsidP="001D49D4">
      <w:pPr>
        <w:pStyle w:val="a9"/>
      </w:pPr>
      <w:r>
        <w:rPr>
          <w:rStyle w:val="ab"/>
        </w:rPr>
        <w:footnoteRef/>
      </w:r>
      <w:r>
        <w:rPr>
          <w:rtl/>
        </w:rPr>
        <w:t xml:space="preserve"> ר"ל אפילו כשעדי השטר עצמן לפנינו ומכירין חתימתן והשטר שנמחק, אפ"ה לא יכתבו הן, אלא באין לפני ב"ד..., סמ"ע (סק"ד).</w:t>
      </w:r>
    </w:p>
  </w:footnote>
  <w:footnote w:id="3080">
    <w:p w14:paraId="3EFDC337" w14:textId="77777777" w:rsidR="0013116F" w:rsidRDefault="0013116F" w:rsidP="001D49D4">
      <w:pPr>
        <w:pStyle w:val="a9"/>
        <w:rPr>
          <w:rtl/>
        </w:rPr>
      </w:pPr>
      <w:r>
        <w:rPr>
          <w:rStyle w:val="ab"/>
        </w:rPr>
        <w:footnoteRef/>
      </w:r>
      <w:r>
        <w:rPr>
          <w:rtl/>
        </w:rPr>
        <w:t xml:space="preserve"> דהפקר ב"ד הפקר, סמ"ע (סק"ו).</w:t>
      </w:r>
    </w:p>
  </w:footnote>
  <w:footnote w:id="3081">
    <w:p w14:paraId="2836D964" w14:textId="77777777" w:rsidR="0013116F" w:rsidRDefault="0013116F" w:rsidP="001D49D4">
      <w:pPr>
        <w:pStyle w:val="a9"/>
        <w:rPr>
          <w:rtl/>
        </w:rPr>
      </w:pPr>
      <w:r>
        <w:rPr>
          <w:rStyle w:val="ab"/>
        </w:rPr>
        <w:footnoteRef/>
      </w:r>
      <w:r>
        <w:rPr>
          <w:rtl/>
        </w:rPr>
        <w:t xml:space="preserve"> פירוש, עדים החתומים בשטר. ובטור כ' דבעינן להזכיר בקיום ג"כ עדים שהעידו לפניהם מה היה כתוב בהשטר הנמחק. והטעם כדי שיוכל הלוה לעמוד עליהם ולפוסלם באם הוא שהעידו שקר, וכ"כ התוס' </w:t>
      </w:r>
      <w:r>
        <w:rPr>
          <w:sz w:val="16"/>
          <w:szCs w:val="16"/>
          <w:rtl/>
        </w:rPr>
        <w:t>[ב"ב קסח: ד"ה ופלוני]</w:t>
      </w:r>
      <w:r>
        <w:rPr>
          <w:rtl/>
        </w:rPr>
        <w:t xml:space="preserve">. והרמב"ם והמחבר לא כתבו אלא מה שצורך לכתוב בהקיום עכ"פ, והיינו עדי השטר, משא"כ עדי המחיקה כשעדי השטר עצמן באים לפני הב"ד, דאז הן עדי השטר ועדי המחיקה. אבל במרדכי פרק גט פשוט </w:t>
      </w:r>
      <w:r>
        <w:rPr>
          <w:sz w:val="16"/>
          <w:szCs w:val="16"/>
          <w:rtl/>
        </w:rPr>
        <w:t xml:space="preserve">[סי' תרמה] </w:t>
      </w:r>
      <w:r>
        <w:rPr>
          <w:rtl/>
        </w:rPr>
        <w:t>פסק דא"צ לכתוב מי הן עדי המחיקה..., סמ"ע (סק"ז).</w:t>
      </w:r>
    </w:p>
  </w:footnote>
  <w:footnote w:id="3082">
    <w:p w14:paraId="5B3EA4F2" w14:textId="77777777" w:rsidR="0013116F" w:rsidRDefault="0013116F" w:rsidP="001D49D4">
      <w:pPr>
        <w:pStyle w:val="a9"/>
      </w:pPr>
      <w:r>
        <w:rPr>
          <w:rStyle w:val="ab"/>
        </w:rPr>
        <w:footnoteRef/>
      </w:r>
      <w:r>
        <w:rPr>
          <w:rtl/>
        </w:rPr>
        <w:t xml:space="preserve"> פירוש, בין שהעידו עדי השטר עצמן על חתימתן, בין שהעידו אחרים עליהם וכנ"ל כל חד לפי ענינו, סמ"ע (סק"ח).</w:t>
      </w:r>
    </w:p>
  </w:footnote>
  <w:footnote w:id="3083">
    <w:p w14:paraId="0D4ACD08" w14:textId="77777777" w:rsidR="0013116F" w:rsidRDefault="0013116F" w:rsidP="001D49D4">
      <w:pPr>
        <w:pStyle w:val="a9"/>
        <w:rPr>
          <w:rtl/>
        </w:rPr>
      </w:pPr>
      <w:r>
        <w:rPr>
          <w:rStyle w:val="ab"/>
        </w:rPr>
        <w:footnoteRef/>
      </w:r>
      <w:r>
        <w:rPr>
          <w:rtl/>
        </w:rPr>
        <w:t xml:space="preserve"> מ"מ צריכין קיום הראשון ג"כ, לענין זה שלאחר שיביא עליהם ראיה גובה אפילו ממשעבדי ואינו יכול לומר פרעתי, משא"כ אם לא היה לו אלא ראיה האחרונה, דהיינו שנעשה הלואה או מקח לפני עדים ושכתבו וחתמו לו שטר, דיכול לומר אח"כ פרעתי כיון שאין בידו שטר, וכמ"ש הטור והמחבר בסמוך [טור סעיף ט' ומחבר סעיף ד], וכ"ש דאינו גובה ממשעבדי, סמ"ע (סק"ט).</w:t>
      </w:r>
    </w:p>
  </w:footnote>
  <w:footnote w:id="3084">
    <w:p w14:paraId="09A85BB7" w14:textId="77777777" w:rsidR="0013116F" w:rsidRDefault="0013116F" w:rsidP="001D49D4">
      <w:pPr>
        <w:pStyle w:val="a9"/>
      </w:pPr>
      <w:r>
        <w:rPr>
          <w:rStyle w:val="ab"/>
        </w:rPr>
        <w:footnoteRef/>
      </w:r>
      <w:r>
        <w:rPr>
          <w:rtl/>
        </w:rPr>
        <w:t xml:space="preserve"> כלשון הזה כתב ג"כ ברמב"ם שם פכ"ג ממלוה הי"ג, ודוק בלשונם שלא כתבו עד שתתקיים חתימתן, אלא עד שתתקיים עדותן, ור"ל שתתקיים כל דברי העדות הכתוב בשטר </w:t>
      </w:r>
      <w:r>
        <w:rPr>
          <w:sz w:val="16"/>
          <w:szCs w:val="16"/>
          <w:rtl/>
        </w:rPr>
        <w:t>(כי אף שהעדים הראשונים באו ואמרו שחתמו ע"ז השטר והיה כתוב בו כך וכך וכשטר דעלמא דסגי באמרם זהו חתימתינו, וכמ"ש בסימן מ"ו [סע' ג], שאני הכא שכבר כלה השטר לפנינו והרי הוא כעדות חדשה שבאו להעיד בע"פ לפני ב"ד, שצריך הב"ד לחקור לכל אחד ואחד בפני עצמו ולהוודע אם דבריהן הן מכוונין, וכמ"ש הטור בסימן כ"ח מסעיף י"א והלאה, ומשום הכי כתב המחבר, כל שלא נכתב בהקיום שחקרו ועמדו על דבריהן הרי הקיום כאילו אינו, עד שיביא ראיה על העדים הראשונים [ר"ל על מ"ש בקיום בשם עדים הראשונים], ותתקיים עדותן שכן היה המעשה כדבריהן, ואז מועיל הקיום לענין לגבות בו ממשעבדי ושלא יוכל לומר פרעתי וכמ"ש, וכ"ש אם הקיום נעשה ע"פ עדים אחרים, שאף שאמרו שמכירים החתימות דהראשונים וגם ראו הכתוב בשטר, מ"מ צריכים דרישה וחקירה על כל מה שהיה כתוב בו, כיון שאין השטר לפנינו שכבר נמחק. [ואינו דומה לקיום שטר אחר שסגי באומרים שמכירים חתימות העדים, דכיון שהשטר כתוב לפנינו וחתימת העדים מקוימת, אמרינן ביה כל שטר שבא לב"ד כאילו נחקרה עדותן דמי]. וכ"כ הטור [סע' ג] בהדיא דאם לא כתוב בהקיום שעמדו על דברי העדים, שצריכין ראיה על מ"ש בשטר, וזהו ג"כ פירוש דברי בעל התרומות [שער נז ח"ב ס"א] שכתב ז"ל, דאם לא כתבו דנזקקו לעדותן כו' דצריך המלוה להביא ראיה על עדים הראשונים שהיתה עדותן אמת והם חתמוהו, עכ"ל. ר"ל בעינן ראיה על החתימה וגם על העדות ואזי יש לו דין שטר גמור)</w:t>
      </w:r>
      <w:r>
        <w:rPr>
          <w:rtl/>
        </w:rPr>
        <w:t>, סמ"ע (סק"י).</w:t>
      </w:r>
    </w:p>
  </w:footnote>
  <w:footnote w:id="3085">
    <w:p w14:paraId="1AD32A9D" w14:textId="77777777" w:rsidR="0013116F" w:rsidRDefault="0013116F" w:rsidP="001D49D4">
      <w:pPr>
        <w:pStyle w:val="a9"/>
      </w:pPr>
      <w:r>
        <w:rPr>
          <w:rStyle w:val="ab"/>
        </w:rPr>
        <w:footnoteRef/>
      </w:r>
      <w:r>
        <w:rPr>
          <w:rtl/>
        </w:rPr>
        <w:t xml:space="preserve"> הא דצריך לכתוב בשטר שקרעו אע"ג דלא חיישינן לב"ד טועין, מ"מ לשכחה חיישינן, שיחשבו לקרעו וישכחו בידו, משא"כ עתה, דודאי לא יכתבו שקרעוהו עד שכבר יהיה נקרע, סמ"ע </w:t>
      </w:r>
      <w:r>
        <w:rPr>
          <w:sz w:val="16"/>
          <w:szCs w:val="16"/>
          <w:rtl/>
        </w:rPr>
        <w:t>(סקי"א)</w:t>
      </w:r>
      <w:r>
        <w:rPr>
          <w:rtl/>
        </w:rPr>
        <w:t>.</w:t>
      </w:r>
    </w:p>
  </w:footnote>
  <w:footnote w:id="3086">
    <w:p w14:paraId="3216862E" w14:textId="77777777" w:rsidR="0013116F" w:rsidRDefault="0013116F" w:rsidP="001D49D4">
      <w:pPr>
        <w:pStyle w:val="a9"/>
        <w:rPr>
          <w:rtl/>
        </w:rPr>
      </w:pPr>
      <w:r>
        <w:rPr>
          <w:rStyle w:val="ab"/>
        </w:rPr>
        <w:footnoteRef/>
      </w:r>
      <w:r>
        <w:rPr>
          <w:rtl/>
        </w:rPr>
        <w:t xml:space="preserve"> וכתב מהר"ש די מודינא </w:t>
      </w:r>
      <w:r>
        <w:rPr>
          <w:sz w:val="16"/>
          <w:szCs w:val="16"/>
          <w:rtl/>
        </w:rPr>
        <w:t>(חו"מ סי' נב)</w:t>
      </w:r>
      <w:r>
        <w:rPr>
          <w:rtl/>
        </w:rPr>
        <w:t xml:space="preserve"> דאפשר דמ"ש הרמ"ה דאל"כ פסול, אינו ר"ל שאם לא כתבו שהוא פסול, אלא מיהדר אקריעה, שאם לא קרעו פסול, שמא כו', דהיינו דהיכא דידעינן דלא קרעו, פסול, ולכך צריך לכתוב כדי שלא יסתפקו, אבל מסתמא כפי האמת לא חיישינן לב"ד טועין, ש"ך (סק"ו).</w:t>
      </w:r>
    </w:p>
  </w:footnote>
  <w:footnote w:id="3087">
    <w:p w14:paraId="25264E95" w14:textId="77777777" w:rsidR="0013116F" w:rsidRDefault="0013116F" w:rsidP="001D49D4">
      <w:pPr>
        <w:pStyle w:val="a9"/>
        <w:rPr>
          <w:rtl/>
        </w:rPr>
      </w:pPr>
      <w:r>
        <w:rPr>
          <w:rStyle w:val="ab"/>
        </w:rPr>
        <w:footnoteRef/>
      </w:r>
      <w:r>
        <w:rPr>
          <w:rtl/>
        </w:rPr>
        <w:t xml:space="preserve"> פירוש, שיעמיד שתי כיתי עדים על השטר שידעו מה היה כתוב בו, וילך עם כל כת אל ב"ד בפני עצמו ויכתוב לו ב' שט"ח, משא"כ עתה שצריך לקרוע השטר הראשון דאז לא יכתבו לו קיום אחר כשלא יראו בידו השטר הראשון..., סמ"ע </w:t>
      </w:r>
      <w:r>
        <w:rPr>
          <w:sz w:val="16"/>
          <w:szCs w:val="16"/>
          <w:rtl/>
        </w:rPr>
        <w:t>(סקי"א)</w:t>
      </w:r>
      <w:r>
        <w:rPr>
          <w:rtl/>
        </w:rPr>
        <w:t xml:space="preserve">. </w:t>
      </w:r>
    </w:p>
  </w:footnote>
  <w:footnote w:id="3088">
    <w:p w14:paraId="49A162A0" w14:textId="77777777" w:rsidR="0013116F" w:rsidRDefault="0013116F" w:rsidP="001D49D4">
      <w:pPr>
        <w:pStyle w:val="a9"/>
        <w:rPr>
          <w:rtl/>
        </w:rPr>
      </w:pPr>
      <w:r>
        <w:rPr>
          <w:rStyle w:val="ab"/>
        </w:rPr>
        <w:footnoteRef/>
      </w:r>
      <w:r>
        <w:rPr>
          <w:rtl/>
        </w:rPr>
        <w:t xml:space="preserve"> דלא שייך ביה חשש שיגבה בו ב' פעמים כיון שהמתנה היא בשדה מיוחדת, אם לא שכתוב בו אחריות וכדמסיק, סמ"ע </w:t>
      </w:r>
      <w:r>
        <w:rPr>
          <w:sz w:val="16"/>
          <w:szCs w:val="16"/>
          <w:rtl/>
        </w:rPr>
        <w:t>(סקי"ב)</w:t>
      </w:r>
      <w:r>
        <w:rPr>
          <w:rtl/>
        </w:rPr>
        <w:t>.</w:t>
      </w:r>
    </w:p>
  </w:footnote>
  <w:footnote w:id="3089">
    <w:p w14:paraId="4F516C51" w14:textId="77777777" w:rsidR="0013116F" w:rsidRDefault="0013116F" w:rsidP="001D49D4">
      <w:pPr>
        <w:pStyle w:val="a9"/>
      </w:pPr>
      <w:r>
        <w:rPr>
          <w:rStyle w:val="ab"/>
        </w:rPr>
        <w:footnoteRef/>
      </w:r>
      <w:r>
        <w:rPr>
          <w:rtl/>
        </w:rPr>
        <w:t xml:space="preserve"> אפילו עדים עצמם, וכ"כ ב"י מחודש ח' בשם הרשב"א (ח"ב סי' שסב) דא"צ להעיד בפני ב"ד אלא הם בעצמם כותבין לו שטר אחר מזמן הראשון, וכ"כ עוד ב"י בשמו לקמן סימן רל"ט סעיף א', ע"ש. וכן מוכח בש"ס פרק ג"פ (קעא.), ש"ך (סק"ז).</w:t>
      </w:r>
    </w:p>
  </w:footnote>
  <w:footnote w:id="3090">
    <w:p w14:paraId="01B53140" w14:textId="77777777" w:rsidR="0013116F" w:rsidRDefault="0013116F" w:rsidP="001D49D4">
      <w:pPr>
        <w:pStyle w:val="a9"/>
      </w:pPr>
      <w:r>
        <w:rPr>
          <w:rStyle w:val="ab"/>
        </w:rPr>
        <w:footnoteRef/>
      </w:r>
      <w:r>
        <w:rPr>
          <w:rtl/>
        </w:rPr>
        <w:t xml:space="preserve"> הטעם, דחיישינן דילמא אחר המתנה חזר המקבל ומכרה או נתנה להנותן בקנין גמור, ואח"כ יוציא שטר קיום זה ויאמר חזר ונתנה לי במתנה אח"כ. וכ"כ הטור והמחבר בהדיא האי טעמא לקמן בסי' רלט [סע' א], ע"ש ובדרישה [סע' ג], סמ"ע (סקי"ג). ולפי זה אם המוכר או הנותן בפנינו ומצוה לכתוב, כותבים אפילו מזמן שני, ש"ך (סק"ח).</w:t>
      </w:r>
    </w:p>
  </w:footnote>
  <w:footnote w:id="3091">
    <w:p w14:paraId="1F2F2537" w14:textId="77777777" w:rsidR="0013116F" w:rsidRDefault="0013116F" w:rsidP="001D49D4">
      <w:pPr>
        <w:pStyle w:val="a9"/>
        <w:rPr>
          <w:rtl/>
        </w:rPr>
      </w:pPr>
      <w:r>
        <w:rPr>
          <w:rStyle w:val="ab"/>
        </w:rPr>
        <w:footnoteRef/>
      </w:r>
      <w:r>
        <w:rPr>
          <w:rtl/>
        </w:rPr>
        <w:t xml:space="preserve"> כלומר, דבשטרי מתנה בעינן דוקא שיהא מפורש בה אחריות, דסתם מתנה אין האחריות על הנותן, וכן בשטרי מקח וממכר אף בסתם אחריות טעות סופר כדלקמן סימן רכ"ה [סעיף א'], ש"ך (סק"ט).</w:t>
      </w:r>
    </w:p>
  </w:footnote>
  <w:footnote w:id="3092">
    <w:p w14:paraId="6EB374F7" w14:textId="77777777" w:rsidR="0013116F" w:rsidRDefault="0013116F" w:rsidP="001D49D4">
      <w:pPr>
        <w:pStyle w:val="a9"/>
      </w:pPr>
      <w:r>
        <w:rPr>
          <w:rStyle w:val="ab"/>
        </w:rPr>
        <w:footnoteRef/>
      </w:r>
      <w:r>
        <w:rPr>
          <w:rtl/>
        </w:rPr>
        <w:t xml:space="preserve"> צריכים לכתוב ג"כ זה, כדי שלא יגבה בהאי קיום מבני חרי דהמוכר, ואח"כ יחזור ויגבה בהגוף מלקוחות, דשובר אצל לקוחות ליכא, סמ"ע (סקט"ז).</w:t>
      </w:r>
    </w:p>
  </w:footnote>
  <w:footnote w:id="3093">
    <w:p w14:paraId="759B0B3B" w14:textId="77777777" w:rsidR="0013116F" w:rsidRDefault="0013116F" w:rsidP="001D49D4">
      <w:pPr>
        <w:pStyle w:val="a9"/>
        <w:rPr>
          <w:rtl/>
        </w:rPr>
      </w:pPr>
      <w:r>
        <w:rPr>
          <w:rStyle w:val="ab"/>
        </w:rPr>
        <w:footnoteRef/>
      </w:r>
      <w:r>
        <w:rPr>
          <w:rtl/>
        </w:rPr>
        <w:t xml:space="preserve"> אבל בשטר הלואה לא שייך למיכתב לו כן, דהא לא כתבינן ליה אלא לגבות בו, משא"כ בשטרות הללו שנכתבין כדי להעמיד שדה זו בידו, סמ"ע (סקט"ו).</w:t>
      </w:r>
    </w:p>
  </w:footnote>
  <w:footnote w:id="3094">
    <w:p w14:paraId="580ADF07" w14:textId="77777777" w:rsidR="0013116F" w:rsidRDefault="0013116F" w:rsidP="001D49D4">
      <w:pPr>
        <w:pStyle w:val="a9"/>
      </w:pPr>
      <w:r>
        <w:rPr>
          <w:rStyle w:val="ab"/>
        </w:rPr>
        <w:footnoteRef/>
      </w:r>
      <w:r>
        <w:rPr>
          <w:rtl/>
        </w:rPr>
        <w:t xml:space="preserve"> לעיל בריש הסימן העתיק המחבר לשון הרמב"ם וכאן התחיל לכתוב לשון הטור, ואגב גררא כתב ג"כ מי שנמחק שט"ח כו', אע"ג דהוא כפל דהא כבר כתבו, וכלומר הא דאמרינן לעיל דבנמחק והעמיד עליו עדים דכותבין לו קיום, דוקא שיש עדים וכו', סמ"ע (סקי"ז).</w:t>
      </w:r>
    </w:p>
  </w:footnote>
  <w:footnote w:id="3095">
    <w:p w14:paraId="341AEE7A" w14:textId="77777777" w:rsidR="0013116F" w:rsidRDefault="0013116F" w:rsidP="001D49D4">
      <w:pPr>
        <w:pStyle w:val="a9"/>
        <w:rPr>
          <w:rtl/>
        </w:rPr>
      </w:pPr>
      <w:r>
        <w:rPr>
          <w:rStyle w:val="ab"/>
        </w:rPr>
        <w:footnoteRef/>
      </w:r>
      <w:r>
        <w:rPr>
          <w:rtl/>
        </w:rPr>
        <w:t xml:space="preserve"> פירוש, כל שאין לו עדים על זה שנמחק שלא מדעת, הוי דינו כאילו נמחק מדעת, דהיה לו לשמור שטרו, ומדלא שמרו אמרינן כבר נפרע, סמ"ע (סקי"ח).</w:t>
      </w:r>
    </w:p>
  </w:footnote>
  <w:footnote w:id="3096">
    <w:p w14:paraId="083B9D7C" w14:textId="77777777" w:rsidR="0013116F" w:rsidRDefault="0013116F" w:rsidP="001D49D4">
      <w:pPr>
        <w:pStyle w:val="a9"/>
      </w:pPr>
      <w:r>
        <w:rPr>
          <w:rStyle w:val="ab"/>
        </w:rPr>
        <w:footnoteRef/>
      </w:r>
      <w:r>
        <w:rPr>
          <w:rtl/>
        </w:rPr>
        <w:t xml:space="preserve"> </w:t>
      </w:r>
      <w:r>
        <w:rPr>
          <w:rFonts w:hint="cs"/>
          <w:rtl/>
        </w:rPr>
        <w:t>סימן – שטר שנתקסח.</w:t>
      </w:r>
    </w:p>
  </w:footnote>
  <w:footnote w:id="3097">
    <w:p w14:paraId="72154562" w14:textId="77777777" w:rsidR="0013116F" w:rsidRDefault="0013116F" w:rsidP="001D49D4">
      <w:pPr>
        <w:pStyle w:val="a9"/>
      </w:pPr>
      <w:r>
        <w:rPr>
          <w:rStyle w:val="ab"/>
        </w:rPr>
        <w:footnoteRef/>
      </w:r>
      <w:r>
        <w:rPr>
          <w:rtl/>
        </w:rPr>
        <w:t xml:space="preserve"> וז"ל- ומה ששאלת אם טעה הסופר וכתב בחילוף שם הלוה או שם המלוה או גרע או הוסיף בסכום המעות או טעה בזמן הפרעון וחתמו העדים, אם יכולין לכתוב שטר אחר או נאמר כבר עשו עדים שליחותן, כיון שטעו העדים לא שייך למימר כבר עשו שליחותן, ויקרעו זה השטר ויעשו שטר אחר, כדאמרינן בגיטין פ' התקבל</w:t>
      </w:r>
      <w:r>
        <w:rPr>
          <w:sz w:val="16"/>
          <w:szCs w:val="16"/>
          <w:rtl/>
        </w:rPr>
        <w:t xml:space="preserve"> (סג:)</w:t>
      </w:r>
      <w:r>
        <w:rPr>
          <w:rtl/>
        </w:rPr>
        <w:t xml:space="preserve">... ולא מבעיא זה שנכתב בטעות אלא אפי' נכתב כדין ובא ליד המלוה וידעו העדים שנקרע או נשרף ולא נפרע כותבין למלוה שטר אחר. כדאיתא בפרק גט פשוט </w:t>
      </w:r>
      <w:r>
        <w:rPr>
          <w:sz w:val="16"/>
          <w:szCs w:val="16"/>
          <w:rtl/>
        </w:rPr>
        <w:t xml:space="preserve">(קסח:) </w:t>
      </w:r>
      <w:r>
        <w:rPr>
          <w:rtl/>
        </w:rPr>
        <w:t>ת"ר מי שבא ואמר אבד שטר חובי אף על פי שאמרו עדים אנחנו כתבנו וחתמנו ונתננו לו אין כותבין, בד"א בשטרי הלואה אבל בשטרי מקח וממכר כותבין. והא דאין כותבין בשטרי הלואה היינו כשאין ידוע לעדים אבל כשידוע לעדים שאבד כותבין לו שטר אחר כמו בשטרי מקח וממכר ולא אמרינן עשו עדים שליחותן.</w:t>
      </w:r>
    </w:p>
  </w:footnote>
  <w:footnote w:id="3098">
    <w:p w14:paraId="3513A84E" w14:textId="77777777" w:rsidR="0013116F" w:rsidRDefault="0013116F" w:rsidP="001D49D4">
      <w:pPr>
        <w:pStyle w:val="a9"/>
      </w:pPr>
      <w:r>
        <w:rPr>
          <w:rStyle w:val="ab"/>
        </w:rPr>
        <w:footnoteRef/>
      </w:r>
      <w:r>
        <w:rPr>
          <w:rtl/>
        </w:rPr>
        <w:t xml:space="preserve"> וז"ל- סופר שנתנו בית דין השטר בידו בנאמנות, ונאבד מידו, כיון דליכא תרי סהדי לא מצי בית דין למיכתב שטרא אחרינא, דההיא דתניא בפ' גט פשוט </w:t>
      </w:r>
      <w:r>
        <w:rPr>
          <w:sz w:val="16"/>
          <w:szCs w:val="16"/>
          <w:rtl/>
        </w:rPr>
        <w:t xml:space="preserve">(קסח:) </w:t>
      </w:r>
      <w:r>
        <w:rPr>
          <w:rtl/>
        </w:rPr>
        <w:t xml:space="preserve">מי שבא ואמר אבד שטר חובי אע"פ שאמרו אנו כתבנו לו את השטר אין כותבין בשטרי הלואה פירש רשב"ם דבאין לו עדים מיירי, הא אם יש לו עדים שאבד ממנו כותבין. וקשה עליו מדאמרינן בפ"ב דכתובות </w:t>
      </w:r>
      <w:r>
        <w:rPr>
          <w:sz w:val="16"/>
          <w:szCs w:val="16"/>
          <w:rtl/>
        </w:rPr>
        <w:t xml:space="preserve">(טז:) </w:t>
      </w:r>
      <w:r>
        <w:rPr>
          <w:rtl/>
        </w:rPr>
        <w:t>דדוקא בנשרפה כתובתה הוא דגביא אבל באבדה לא, ומשמע דאפילו אבדה בעדים נמי, משום דחיישינן שמא תמצאנה ותגבה בה פעם שנית. ומיהו בנדון זה יש לחלק דודאי כשנאבד השטר ממנו הוא מכיר ונזכר באיזה מקום נאבד ממנו ויכול לחזר אחריו, ואיכא למיחש שמא ימצאנו, אבל הכא שנפל מיד אחר לא חיישינן שמא ימצאנו זה, ואי הוו תרי סהדי הוה כתבינן ליה שטרא אחרינא.</w:t>
      </w:r>
    </w:p>
  </w:footnote>
  <w:footnote w:id="3099">
    <w:p w14:paraId="4E2C7ACC" w14:textId="77777777" w:rsidR="0013116F" w:rsidRDefault="0013116F" w:rsidP="001D49D4">
      <w:pPr>
        <w:pStyle w:val="a9"/>
        <w:rPr>
          <w:rtl/>
        </w:rPr>
      </w:pPr>
      <w:r>
        <w:rPr>
          <w:rStyle w:val="ab"/>
        </w:rPr>
        <w:footnoteRef/>
      </w:r>
      <w:r>
        <w:rPr>
          <w:rtl/>
        </w:rPr>
        <w:t xml:space="preserve"> וז"ל- אם אבד או נשרף בודאי - כותבים שני שטרות של מכר אפילו באחריות או של הלואה, דאין לחוש שיטרוף שני פעמים, וכותבין אותה בית דין כאשר כתבתי.</w:t>
      </w:r>
    </w:p>
  </w:footnote>
  <w:footnote w:id="3100">
    <w:p w14:paraId="1B6FC25F" w14:textId="77777777" w:rsidR="0013116F" w:rsidRDefault="0013116F" w:rsidP="001D49D4">
      <w:pPr>
        <w:pStyle w:val="a9"/>
      </w:pPr>
      <w:r>
        <w:rPr>
          <w:rStyle w:val="ab"/>
        </w:rPr>
        <w:footnoteRef/>
      </w:r>
      <w:r>
        <w:rPr>
          <w:rtl/>
        </w:rPr>
        <w:t xml:space="preserve"> וקשה לי על פירוש רשב"ם מההיא דפרק שני דכתובות [טז:] דאמרינן התם דאפילו אבדה בעדים לא גביא בעדי הינומא אא"כ נשרפה, דחיישינן שמא תמצאנה ותגבה בה פעם שנית, ורשב"ם דקדק מלשון הברייתא [ב"ב שם] דקתני מי שבא ואמר אבד שטר חובי, ולפי הדקדוק יש לפרש מאי אבד אבד באור, רא"ש (כלל צד סי' ה). וכתב הש"ך (סקי"א) על דברי הרא"ש- ולי נראה כפירוש רשב"ם, ולא קשה מידי מפ"ב דכתובות, דסוגיא דהתם אזלא להדיא למ"ד אין כותבים שובר, ואנן קי"ל כותבים שובר, וכן רשב"ם מיירי להדיא למאי דכותבים שובר, ע"ש בסוגיא דב"ב, ובש"ס דכתובות גופא שם משמע להדיא דלמ"ד כותבים שובר לא חיישינן אף בנאבד.</w:t>
      </w:r>
    </w:p>
  </w:footnote>
  <w:footnote w:id="3101">
    <w:p w14:paraId="29807D52" w14:textId="77777777" w:rsidR="0013116F" w:rsidRDefault="0013116F" w:rsidP="001D49D4">
      <w:pPr>
        <w:pStyle w:val="a9"/>
        <w:rPr>
          <w:rtl/>
        </w:rPr>
      </w:pPr>
      <w:r>
        <w:rPr>
          <w:rStyle w:val="ab"/>
        </w:rPr>
        <w:footnoteRef/>
      </w:r>
      <w:r>
        <w:rPr>
          <w:rtl/>
        </w:rPr>
        <w:t xml:space="preserve"> </w:t>
      </w:r>
      <w:r>
        <w:rPr>
          <w:rFonts w:hint="cs"/>
          <w:rtl/>
        </w:rPr>
        <w:t xml:space="preserve">וכתב הש"ך </w:t>
      </w:r>
      <w:r>
        <w:rPr>
          <w:rtl/>
        </w:rPr>
        <w:t xml:space="preserve">דגם הרא"ש וב"י לא מיירי אלא לכתוב שטר אחר שלא בידיעת הלוה </w:t>
      </w:r>
      <w:r>
        <w:rPr>
          <w:sz w:val="16"/>
          <w:szCs w:val="16"/>
          <w:rtl/>
        </w:rPr>
        <w:t>(דבכה"ג איכא למיחש שמא ימצאנו ויתבע תחילה בגוף השטר והלוה לא יזהר בו, ואח"כ יתבענו בשטר האחר, ועי' ברא"ש [כלל סח סי' לא] דכן משמע התם)</w:t>
      </w:r>
      <w:r>
        <w:rPr>
          <w:rtl/>
        </w:rPr>
        <w:t>, ורשב"ם מיירי דכשנאבד בעדים כותבין אחר ומודיעים ללוה, והשתא לא פליגי הפוסקים לענין דינא אהדדי, דהרא"ש וב"י מיירי כשאין מודיעים ללוה, אבל רשב"ם ורמב"ם ופוסקים הנ"ל מיירי כשמודיעים ללוה, אז כותבים שטר אחר בנאבד בעדים, זהו דרך ישר, וכן עיקר.</w:t>
      </w:r>
    </w:p>
  </w:footnote>
  <w:footnote w:id="3102">
    <w:p w14:paraId="41547F37" w14:textId="77777777" w:rsidR="0013116F" w:rsidRDefault="0013116F" w:rsidP="001D49D4">
      <w:pPr>
        <w:pStyle w:val="a9"/>
      </w:pPr>
      <w:r>
        <w:rPr>
          <w:rStyle w:val="ab"/>
        </w:rPr>
        <w:footnoteRef/>
      </w:r>
      <w:r>
        <w:rPr>
          <w:rtl/>
        </w:rPr>
        <w:t xml:space="preserve"> משמע דלא מחזקינן בחזקת אבוד, דאם כן אפילו באחריות נמי. ואפשר דהרשב"א לא קאמר אלא כשאין אנו יודעין שהיו שטרותיו שם אבל כשידענו שהיו שטרותיו שם מחזקינן אותן בחזקת אבודין </w:t>
      </w:r>
      <w:r>
        <w:rPr>
          <w:sz w:val="16"/>
          <w:szCs w:val="16"/>
          <w:rtl/>
        </w:rPr>
        <w:t>{וכותבין אף אחריות}</w:t>
      </w:r>
      <w:r>
        <w:rPr>
          <w:rtl/>
        </w:rPr>
        <w:t>, דרכ"מ (אות ב).</w:t>
      </w:r>
    </w:p>
  </w:footnote>
  <w:footnote w:id="3103">
    <w:p w14:paraId="61A1454F" w14:textId="77777777" w:rsidR="0013116F" w:rsidRDefault="0013116F" w:rsidP="001D49D4">
      <w:pPr>
        <w:pStyle w:val="a9"/>
        <w:rPr>
          <w:rtl/>
        </w:rPr>
      </w:pPr>
      <w:r>
        <w:rPr>
          <w:rStyle w:val="ab"/>
        </w:rPr>
        <w:footnoteRef/>
      </w:r>
      <w:r>
        <w:rPr>
          <w:rtl/>
        </w:rPr>
        <w:t xml:space="preserve"> וז"ל- שאלת, מהו להטפיס בבית דין שטר חוב של יתומים שיש להם על אחרים והם במקום אחר וחוששין שמא יאבד בדרך, התועיל הטפסה זו כמו השטר עצמו הואיל ומעשה בית דין הוא. תשובה, אין מטפיסין שטר חוב לעולם שאם כן גובה וחוזר וגובה, ולא שטר מכר אלא בלי אחריות מפורש ושטר חוב שנמחק והעמיד עליו עדים, כדאיתא בפרק גט פשוט.</w:t>
      </w:r>
    </w:p>
  </w:footnote>
  <w:footnote w:id="3104">
    <w:p w14:paraId="02ECC9DC" w14:textId="77777777" w:rsidR="0013116F" w:rsidRDefault="0013116F" w:rsidP="001D49D4">
      <w:pPr>
        <w:pStyle w:val="a9"/>
        <w:rPr>
          <w:rtl/>
        </w:rPr>
      </w:pPr>
      <w:r>
        <w:rPr>
          <w:rStyle w:val="ab"/>
        </w:rPr>
        <w:footnoteRef/>
      </w:r>
      <w:r>
        <w:rPr>
          <w:rtl/>
        </w:rPr>
        <w:t xml:space="preserve"> </w:t>
      </w:r>
      <w:r>
        <w:rPr>
          <w:rFonts w:hint="cs"/>
          <w:rtl/>
        </w:rPr>
        <w:t>וז"ל-</w:t>
      </w:r>
      <w:r>
        <w:rPr>
          <w:rtl/>
        </w:rPr>
        <w:t xml:space="preserve"> מהו להטפיס שטר שיש בו אחריות, מי חיישינן שמא יגבה ויחזור ויגבה בשטר זה או לא. תשובה, מעשים ומטפיסים </w:t>
      </w:r>
      <w:r>
        <w:rPr>
          <w:b/>
          <w:bCs/>
          <w:rtl/>
        </w:rPr>
        <w:t>כל שיש צורך להטפסתו</w:t>
      </w:r>
      <w:r>
        <w:rPr>
          <w:rtl/>
        </w:rPr>
        <w:t xml:space="preserve"> ואין חוששין, שאין גובין ואין טורפין בשטר הטפסה. והדיינין כותבין בראשו של הטפסה למה הוצרכו להטפיסו ואומרים בסוף 'זה טופסו של שטר שהטפסנו ולא לגבות בו אלא כדי שיהא ראיה לפלוני לכך וכך'. </w:t>
      </w:r>
    </w:p>
  </w:footnote>
  <w:footnote w:id="3105">
    <w:p w14:paraId="5108AE73" w14:textId="77777777" w:rsidR="0013116F" w:rsidRDefault="0013116F" w:rsidP="001D49D4">
      <w:pPr>
        <w:pStyle w:val="a9"/>
      </w:pPr>
      <w:r>
        <w:rPr>
          <w:rStyle w:val="ab"/>
        </w:rPr>
        <w:footnoteRef/>
      </w:r>
      <w:r>
        <w:rPr>
          <w:rtl/>
        </w:rPr>
        <w:t xml:space="preserve"> וז"ל- הא דתניא </w:t>
      </w:r>
      <w:r>
        <w:rPr>
          <w:sz w:val="16"/>
          <w:szCs w:val="16"/>
          <w:rtl/>
        </w:rPr>
        <w:t xml:space="preserve">(ב"ב קסח:) </w:t>
      </w:r>
      <w:r>
        <w:rPr>
          <w:rtl/>
        </w:rPr>
        <w:t xml:space="preserve">דבשטרי מקח וממכר 'כותבין חוץ מן האחריות שבו', דוקא כה"ג שבא בעל השטר לפני העדים עצמם ואמר אבד שטרי, אבל ב"ד שיכתבו טופס לשטר שלם הבא לפניהם - טועים הם דלא ניחא ליה לאיניש דליפשי שטרי עליה </w:t>
      </w:r>
      <w:r>
        <w:rPr>
          <w:sz w:val="16"/>
          <w:szCs w:val="16"/>
          <w:rtl/>
        </w:rPr>
        <w:t>(כתובות צט.)</w:t>
      </w:r>
      <w:r>
        <w:rPr>
          <w:rtl/>
        </w:rPr>
        <w:t>, דמי ששומע או רואה שכותבין שטר על פלוני, אינו יודע מה שטר הוא, וזילי נכסיה, ודוקא להצלת ממון המלוה התירו אם נמחק שטר חובו או אבד שטר מקחו יכתבו עדים הראשונים, אבל שיכתבו בית דין טופס ויניחו השטר והטופס בידו - לא יתכן. ואני לא הייתי דן בטופס הבא לפני עד שיביאו גוף השטר, וכל שכן בנדון זה שיש לומר שבשטר הראשון שעשה ראובן לרחל בתו היה בו זכות לראובן שנשאר לו כח למכור או למשכן הבית ולכן צוו לעשות טופס לשטר ויהיה האחד ביד ראובן והאחר ביד רחל בתו.</w:t>
      </w:r>
    </w:p>
  </w:footnote>
  <w:footnote w:id="3106">
    <w:p w14:paraId="55194E17" w14:textId="77777777" w:rsidR="0013116F" w:rsidRDefault="0013116F" w:rsidP="001D49D4">
      <w:pPr>
        <w:pStyle w:val="a9"/>
        <w:rPr>
          <w:rtl/>
        </w:rPr>
      </w:pPr>
      <w:r>
        <w:rPr>
          <w:rStyle w:val="ab"/>
        </w:rPr>
        <w:footnoteRef/>
      </w:r>
      <w:r>
        <w:rPr>
          <w:rtl/>
        </w:rPr>
        <w:t xml:space="preserve"> וז"ל- ובשטר הלואה בלאו ההיא טענה אין לכתוב טופס, דאיכא למיחש שמא יגבה בו פעמים, דאין לומר שכיון שנעתק משטר הראשון כשיגבו הבית דין יאמרו למלוה שיכתוב שובר, דהא קיי"ל </w:t>
      </w:r>
      <w:r>
        <w:rPr>
          <w:sz w:val="16"/>
          <w:szCs w:val="16"/>
          <w:rtl/>
        </w:rPr>
        <w:t xml:space="preserve">(כתובות טז:, ב"ב קסט:) </w:t>
      </w:r>
      <w:r>
        <w:rPr>
          <w:rtl/>
        </w:rPr>
        <w:t>דכותבים שובר ושוב לא יוכל לגבות בשטר שבידו דחיישינן שימצא שטר הראשון ויתבענו בו תחילה ולא יכריחוהו בית דין לכתוב שובר כיון שנותן לו שטרו, ואח"כ בבית דין אחר יוציא טופס השטר ויגבה בו.</w:t>
      </w:r>
    </w:p>
  </w:footnote>
  <w:footnote w:id="3107">
    <w:p w14:paraId="46D5B0CE" w14:textId="77777777" w:rsidR="0013116F" w:rsidRDefault="0013116F" w:rsidP="001D49D4">
      <w:pPr>
        <w:pStyle w:val="a9"/>
        <w:rPr>
          <w:rtl/>
        </w:rPr>
      </w:pPr>
      <w:r>
        <w:rPr>
          <w:rStyle w:val="ab"/>
        </w:rPr>
        <w:footnoteRef/>
      </w:r>
      <w:r>
        <w:rPr>
          <w:rtl/>
        </w:rPr>
        <w:t xml:space="preserve"> ואע"פ שיש בו אחריות נכסים, ולא חיישינן שיטרוף ויחזור ויטרוף מאחר שאין ב"ד מגבין בשטר מוטפס עד שיביא גוף השטר, ולכן מותר, רק שיכתבו בראש שטר המוטפס שהוא מוטפס משטר אחר, והא דאמרינן דבשטרי מכר שיש בו אחריות אין עושין לו שטר אחר היינו שטר גמור אבל הטפסה שכתוב בו שהוא טופס בעלמא עושין אם הוא לצורך דבר מה, ועיי"ש, וכ"כ ב"י (מחו' ג) בשם תשובת הרשב"א, דרכ"מ (אות א****).</w:t>
      </w:r>
    </w:p>
  </w:footnote>
  <w:footnote w:id="3108">
    <w:p w14:paraId="0EECB09F" w14:textId="77777777" w:rsidR="0013116F" w:rsidRDefault="0013116F" w:rsidP="001D49D4">
      <w:pPr>
        <w:pStyle w:val="a9"/>
      </w:pPr>
      <w:r>
        <w:rPr>
          <w:rStyle w:val="ab"/>
        </w:rPr>
        <w:footnoteRef/>
      </w:r>
      <w:r>
        <w:rPr>
          <w:rtl/>
        </w:rPr>
        <w:t xml:space="preserve"> וי"ל דבדרך זה שהשטר עצמו מונח ביד בית דין אפילו לדברי הרשב"א </w:t>
      </w:r>
      <w:r>
        <w:rPr>
          <w:sz w:val="16"/>
          <w:szCs w:val="16"/>
          <w:rtl/>
        </w:rPr>
        <w:t xml:space="preserve">(החדשות סי' רמו) </w:t>
      </w:r>
      <w:r>
        <w:rPr>
          <w:rtl/>
        </w:rPr>
        <w:t>מותר, דליכא למיחש למידי דאין בית דין מוציאין שטר חוב מתחת ידם ואין נותנין טופס אחר עד שידעו שלא יגבה בטופס הראשון, דרכ"מ (אות ג).</w:t>
      </w:r>
    </w:p>
  </w:footnote>
  <w:footnote w:id="3109">
    <w:p w14:paraId="294078D0" w14:textId="77777777" w:rsidR="0013116F" w:rsidRDefault="0013116F" w:rsidP="001D49D4">
      <w:pPr>
        <w:pStyle w:val="a9"/>
      </w:pPr>
      <w:r>
        <w:rPr>
          <w:rStyle w:val="ab"/>
        </w:rPr>
        <w:footnoteRef/>
      </w:r>
      <w:r>
        <w:rPr>
          <w:rtl/>
        </w:rPr>
        <w:t xml:space="preserve"> </w:t>
      </w:r>
      <w:r>
        <w:rPr>
          <w:rFonts w:hint="cs"/>
          <w:rtl/>
        </w:rPr>
        <w:t xml:space="preserve">סימן – זה זוכה זהב וזה זוכה זעיר. </w:t>
      </w:r>
    </w:p>
  </w:footnote>
  <w:footnote w:id="3110">
    <w:p w14:paraId="29678E1E" w14:textId="77777777" w:rsidR="0013116F" w:rsidRDefault="0013116F" w:rsidP="001D49D4">
      <w:pPr>
        <w:pStyle w:val="a9"/>
        <w:rPr>
          <w:rtl/>
        </w:rPr>
      </w:pPr>
      <w:r>
        <w:rPr>
          <w:rStyle w:val="ab"/>
        </w:rPr>
        <w:footnoteRef/>
      </w:r>
      <w:r>
        <w:rPr>
          <w:rtl/>
        </w:rPr>
        <w:t xml:space="preserve"> כלומר דהוי כאילו מעידים ראינו עדות שנחקרה בב"ד, דעדים החתומים על השטר כמי שנחקרה עדותן בב"ד דמי, כ"כ התוס' פ"ב דכתובות (כ. ד"ה ור' יוחנן) וע"ש בתוס', ש"ך (סקי"ג). </w:t>
      </w:r>
    </w:p>
  </w:footnote>
  <w:footnote w:id="3111">
    <w:p w14:paraId="04C3E47A" w14:textId="77777777" w:rsidR="0013116F" w:rsidRDefault="0013116F" w:rsidP="001D49D4">
      <w:pPr>
        <w:pStyle w:val="a9"/>
        <w:rPr>
          <w:rtl/>
        </w:rPr>
      </w:pPr>
      <w:r>
        <w:rPr>
          <w:rStyle w:val="ab"/>
        </w:rPr>
        <w:footnoteRef/>
      </w:r>
      <w:r>
        <w:rPr>
          <w:rtl/>
        </w:rPr>
        <w:t xml:space="preserve"> ועיין בתוס' הגוזל </w:t>
      </w:r>
      <w:r>
        <w:rPr>
          <w:sz w:val="16"/>
          <w:szCs w:val="16"/>
          <w:rtl/>
        </w:rPr>
        <w:t xml:space="preserve">(צח: ד"ה נכתוב) </w:t>
      </w:r>
      <w:r>
        <w:rPr>
          <w:rtl/>
        </w:rPr>
        <w:t xml:space="preserve">ובפסקי תוס' פ"ב דכתובות </w:t>
      </w:r>
      <w:r>
        <w:rPr>
          <w:sz w:val="16"/>
          <w:szCs w:val="16"/>
          <w:rtl/>
        </w:rPr>
        <w:t>(סי' עו)</w:t>
      </w:r>
      <w:r>
        <w:rPr>
          <w:rtl/>
        </w:rPr>
        <w:t xml:space="preserve">, ב"י </w:t>
      </w:r>
      <w:r>
        <w:rPr>
          <w:sz w:val="16"/>
          <w:szCs w:val="16"/>
          <w:rtl/>
        </w:rPr>
        <w:t>(סי' כח סע' כד)</w:t>
      </w:r>
      <w:r>
        <w:rPr>
          <w:rtl/>
        </w:rPr>
        <w:t>. ונראה דהיינו לדעת הרמב"ם</w:t>
      </w:r>
      <w:r>
        <w:rPr>
          <w:sz w:val="16"/>
          <w:szCs w:val="16"/>
          <w:rtl/>
        </w:rPr>
        <w:t xml:space="preserve"> [בפ"ח מעדות ה"ד]</w:t>
      </w:r>
      <w:r>
        <w:rPr>
          <w:rtl/>
        </w:rPr>
        <w:t xml:space="preserve"> שהביא רי"ו בנ"ב ח"ח והביאו המחבר לקמן סימן מ"ו סעיף י', דעדי השטר כל שאין זוכרים ענין השטר הרי הם כחרשים, אבל להיש חולקים שם, היינו דוקא כשאין עדי השטר מכירים כל אחד חתימת חבירו ואין כאן עוד עד אחר שיצטרף עמהן שיעיד על כתב ידי שניהם, אבל אם יש חד מהנך - יכולים הם ג"כ להעיד אפילו אין זוכרים ענין השטר, וע"ש בסי' מו סע' י, ש"ך (סקי"ג).</w:t>
      </w:r>
    </w:p>
  </w:footnote>
  <w:footnote w:id="3112">
    <w:p w14:paraId="6A20CC0C" w14:textId="77777777" w:rsidR="0013116F" w:rsidRDefault="0013116F" w:rsidP="001D49D4">
      <w:pPr>
        <w:pStyle w:val="a9"/>
      </w:pPr>
      <w:r>
        <w:rPr>
          <w:rStyle w:val="ab"/>
        </w:rPr>
        <w:footnoteRef/>
      </w:r>
      <w:r>
        <w:rPr>
          <w:rtl/>
        </w:rPr>
        <w:t xml:space="preserve"> דשמא לא איבדו, ויגבה תחילה בשטר חוב ויחזירו לו, ואח"כ יחזור לגבות ממנו או מלקוחות בהקיום. וכבר כתבתי [בסקט"ו] דלא שייך לומר בזה דיכתבו לו ויכתבו בו- שטר זה דלא למיגבי ביה כו', דא"כ שטרא זה למה לו, סמ"ע (סקי"ט).</w:t>
      </w:r>
    </w:p>
  </w:footnote>
  <w:footnote w:id="3113">
    <w:p w14:paraId="0740DD40" w14:textId="77777777" w:rsidR="0013116F" w:rsidRDefault="0013116F" w:rsidP="001D49D4">
      <w:pPr>
        <w:pStyle w:val="a9"/>
        <w:rPr>
          <w:rtl/>
        </w:rPr>
      </w:pPr>
      <w:r>
        <w:rPr>
          <w:rStyle w:val="ab"/>
        </w:rPr>
        <w:footnoteRef/>
      </w:r>
      <w:r>
        <w:rPr>
          <w:rtl/>
        </w:rPr>
        <w:t xml:space="preserve"> ויש לדקדק דהא איכא למיחש דישרוף השטר בפני כמה כתי עדים, ויגבה ויחזור ויגבה. וי"ל דכיון דקיי"ל כותבים שובר כדלקמן סי' נד סע' ב, א"כ ליכא למיחש, ש"ך (סקי"ב).</w:t>
      </w:r>
    </w:p>
  </w:footnote>
  <w:footnote w:id="3114">
    <w:p w14:paraId="5E74A183" w14:textId="77777777" w:rsidR="0013116F" w:rsidRDefault="0013116F" w:rsidP="001D49D4">
      <w:pPr>
        <w:pStyle w:val="a9"/>
      </w:pPr>
      <w:r>
        <w:rPr>
          <w:rStyle w:val="ab"/>
        </w:rPr>
        <w:footnoteRef/>
      </w:r>
      <w:r>
        <w:rPr>
          <w:rtl/>
        </w:rPr>
        <w:t xml:space="preserve"> </w:t>
      </w:r>
      <w:r>
        <w:rPr>
          <w:rFonts w:hint="cs"/>
          <w:rtl/>
        </w:rPr>
        <w:t>וכלשון הזו כתב הרמ"א בדרכ"מ (אות א***). אך הסמ"ע (סקכ"ב) כתב דכך יש לגרוס- '</w:t>
      </w:r>
      <w:r>
        <w:rPr>
          <w:rtl/>
        </w:rPr>
        <w:t>אבל שטרי מתנה ומקח בלא אחריות'. דגבי מקח הוצרך לומר בלא אחריות ופירושו דהתנה כן, דאל"כ אחריות ט"ס, משא"כ במתנה.</w:t>
      </w:r>
    </w:p>
  </w:footnote>
  <w:footnote w:id="3115">
    <w:p w14:paraId="3B650072" w14:textId="77777777" w:rsidR="0013116F" w:rsidRDefault="0013116F" w:rsidP="001D49D4">
      <w:pPr>
        <w:pStyle w:val="a9"/>
      </w:pPr>
      <w:r>
        <w:rPr>
          <w:rStyle w:val="ab"/>
        </w:rPr>
        <w:footnoteRef/>
      </w:r>
      <w:r>
        <w:rPr>
          <w:rtl/>
        </w:rPr>
        <w:t xml:space="preserve"> כלומר מאחר שאומר שנאבד אפילו אין ידוע בעדים שנאבד, דהא ליכא למיחש למידי, וכמ"ש לעיל ס"ק ז', ש"ך (סקי"ד).</w:t>
      </w:r>
    </w:p>
  </w:footnote>
  <w:footnote w:id="3116">
    <w:p w14:paraId="2CCEF7CC" w14:textId="77777777" w:rsidR="0013116F" w:rsidRDefault="0013116F" w:rsidP="001D49D4">
      <w:pPr>
        <w:pStyle w:val="a9"/>
      </w:pPr>
      <w:r>
        <w:rPr>
          <w:rStyle w:val="ab"/>
        </w:rPr>
        <w:footnoteRef/>
      </w:r>
      <w:r>
        <w:rPr>
          <w:rtl/>
        </w:rPr>
        <w:t xml:space="preserve"> אבל אם יש בו צורך קצת כותבין שטר אחר כשאין בזה היזק ללוה או למוכר, ולא חיישינן לזילי נכסי בהכי כשיש בזה צורך למלוה ולוקח וכה"ג, וכמו שהאריך מהרי"ק שורש קט"ז, ע"ש, ש"ך (סקט"ו).</w:t>
      </w:r>
    </w:p>
  </w:footnote>
  <w:footnote w:id="3117">
    <w:p w14:paraId="1B05138B" w14:textId="77777777" w:rsidR="0013116F" w:rsidRDefault="0013116F" w:rsidP="001D49D4">
      <w:pPr>
        <w:pStyle w:val="a9"/>
        <w:rPr>
          <w:rtl/>
        </w:rPr>
      </w:pPr>
      <w:r>
        <w:rPr>
          <w:rStyle w:val="ab"/>
        </w:rPr>
        <w:footnoteRef/>
      </w:r>
      <w:r>
        <w:rPr>
          <w:rtl/>
        </w:rPr>
        <w:t xml:space="preserve"> אבל כשאין לו עדים אין מחזירין לו גוף השטר דשמא עדיין בידו ההעתקה וילך ויגבה בראשונה בגוף השטר ואח"כ יגבה שנית בהעתקה. אבל מ"מ נותנין לו העתק שני משטר הראשון, דהא ליכא למיחש שמא יגבה ב' פעמים בשתי ההעתקות, דכל מי שבא לגבות בהעתק אינו גובה אא"כ יתן להלוה שובר, וכשיש בידו שובר תו לא מצי לגבות בו עוד. ומה"ט מניח השט"ח ביד ב"ד שבאם לא יהיה לו עדי אבידה יכול לחזור ולקחת העתק שני, משא"כ כשהיה הולך עם השט"ח והיה נאבד ממנו בלא עדים, סמ"ע </w:t>
      </w:r>
      <w:r>
        <w:rPr>
          <w:sz w:val="14"/>
          <w:szCs w:val="14"/>
          <w:rtl/>
        </w:rPr>
        <w:t>(סקכ"ה)</w:t>
      </w:r>
      <w:r>
        <w:rPr>
          <w:rtl/>
        </w:rPr>
        <w:t>.</w:t>
      </w:r>
    </w:p>
  </w:footnote>
  <w:footnote w:id="3118">
    <w:p w14:paraId="2CCB8B72" w14:textId="77777777" w:rsidR="0013116F" w:rsidRDefault="0013116F" w:rsidP="001D49D4">
      <w:pPr>
        <w:pStyle w:val="a9"/>
      </w:pPr>
      <w:r>
        <w:rPr>
          <w:rStyle w:val="ab"/>
        </w:rPr>
        <w:footnoteRef/>
      </w:r>
      <w:r>
        <w:rPr>
          <w:rtl/>
        </w:rPr>
        <w:t xml:space="preserve"> הטעם, דבהא לא חששו שמא ימצא ההעתקה ויגבה ראשונה בהשטר ואח"כ שנית בהעתק, דכל שאיבדו בדרך מסתמא תו לא יחפש אחריו, סמ"ע (סקכ"ו).</w:t>
      </w:r>
    </w:p>
  </w:footnote>
  <w:footnote w:id="3119">
    <w:p w14:paraId="17B166FD" w14:textId="77777777" w:rsidR="0013116F" w:rsidRDefault="0013116F" w:rsidP="001D49D4">
      <w:pPr>
        <w:pStyle w:val="a9"/>
      </w:pPr>
      <w:r>
        <w:rPr>
          <w:rStyle w:val="ab"/>
        </w:rPr>
        <w:footnoteRef/>
      </w:r>
      <w:r>
        <w:rPr>
          <w:rtl/>
        </w:rPr>
        <w:t xml:space="preserve"> הסמ"ע </w:t>
      </w:r>
      <w:r>
        <w:rPr>
          <w:sz w:val="16"/>
          <w:szCs w:val="16"/>
          <w:rtl/>
        </w:rPr>
        <w:t>(סקכ"ח)</w:t>
      </w:r>
      <w:r>
        <w:rPr>
          <w:rtl/>
        </w:rPr>
        <w:t xml:space="preserve"> הוסיף כאן "ואפילו הן קרובין זה לזה", וכתב דהוא כיון דלא מגבין ביה עד שיוציא גוף השטר, נמצא דזה אינו אלא גילוי מילתא בעלמא. עכ"ל. וכתב הש"ך (סקי"ח) על תוספת הסמ"ע הזו דלא דק, דהמעיין בריב"ש שם </w:t>
      </w:r>
      <w:r>
        <w:rPr>
          <w:sz w:val="16"/>
          <w:szCs w:val="16"/>
          <w:rtl/>
        </w:rPr>
        <w:t>(בשאלה ובתשובה בהקדמה הראשונה, וכן בסוף התשובה ומביאה ב"י לקמן סימן מ"ו מחודש כ"ו)</w:t>
      </w:r>
      <w:r>
        <w:rPr>
          <w:rtl/>
        </w:rPr>
        <w:t xml:space="preserve"> יראה דאינו מכשיר אלא כשחתומים ג' בהטפסה וב' מהחתומים קרובים זה לזה, אבל לא כשאינן חתומים רק ב' והם קרובים זה לזה, דאז אין לו רק דין הטפסה בעד אחד, ע"ש בריב"ש דמדמי לה להדיא לשטר גמור שכתב הרמב"ם </w:t>
      </w:r>
      <w:r>
        <w:rPr>
          <w:sz w:val="16"/>
          <w:szCs w:val="16"/>
          <w:rtl/>
        </w:rPr>
        <w:t>(פ"ה מהל' עדות ה"ו והמחבר לקמן סימן מ"ה סע' יב)</w:t>
      </w:r>
      <w:r>
        <w:rPr>
          <w:rtl/>
        </w:rPr>
        <w:t>, ולא כמ"ש בסמ"ע דהטפסה שאני כיון דגילוי מילתא בעלמא הוא, דזה ליתא בריב"ש כלל, ע"ש. ונראה שלשון הדרכי משה [סעיף ח'] שכתב ואפילו ב' החתומים כו' אטעייה להסמ"ע, וט"ס הוא בד"מ וחסר מ', וצ"ל ואפילו ב' מהחתומים כו', וכן הוא בב"י [מחודש ז'], ע"ש.</w:t>
      </w:r>
    </w:p>
  </w:footnote>
  <w:footnote w:id="3120">
    <w:p w14:paraId="0BC8B1D5" w14:textId="77777777" w:rsidR="0013116F" w:rsidRDefault="0013116F" w:rsidP="001D49D4">
      <w:pPr>
        <w:pStyle w:val="a9"/>
        <w:rPr>
          <w:rtl/>
        </w:rPr>
      </w:pPr>
      <w:r>
        <w:rPr>
          <w:rStyle w:val="ab"/>
        </w:rPr>
        <w:footnoteRef/>
      </w:r>
      <w:r>
        <w:rPr>
          <w:rtl/>
        </w:rPr>
        <w:t xml:space="preserve"> </w:t>
      </w:r>
      <w:r>
        <w:rPr>
          <w:rFonts w:hint="cs"/>
          <w:rtl/>
        </w:rPr>
        <w:t xml:space="preserve">וכתב הש"ך (סקי"ט) דכ"פ </w:t>
      </w:r>
      <w:r>
        <w:rPr>
          <w:rtl/>
        </w:rPr>
        <w:t>בעל התרומות (שם) סמ"ג (הל' מלוה עשין צד) רשב"א (סי' אלף עג) ורי"ו (סוף נ"ג ח"ח).</w:t>
      </w:r>
    </w:p>
  </w:footnote>
  <w:footnote w:id="3121">
    <w:p w14:paraId="2D5AFB84" w14:textId="77777777" w:rsidR="0013116F" w:rsidRDefault="0013116F" w:rsidP="001D49D4">
      <w:pPr>
        <w:pStyle w:val="a9"/>
      </w:pPr>
      <w:r>
        <w:rPr>
          <w:rStyle w:val="ab"/>
        </w:rPr>
        <w:footnoteRef/>
      </w:r>
      <w:r>
        <w:rPr>
          <w:rtl/>
        </w:rPr>
        <w:t xml:space="preserve"> כלומר חזקה דלא עביד איניש דפרע בגו זמניה (ב"ב ה:), ב"י. </w:t>
      </w:r>
    </w:p>
  </w:footnote>
  <w:footnote w:id="3122">
    <w:p w14:paraId="166FC734" w14:textId="77777777" w:rsidR="0013116F" w:rsidRDefault="0013116F" w:rsidP="001D49D4">
      <w:pPr>
        <w:pStyle w:val="a9"/>
      </w:pPr>
      <w:r>
        <w:rPr>
          <w:rStyle w:val="ab"/>
        </w:rPr>
        <w:footnoteRef/>
      </w:r>
      <w:r>
        <w:rPr>
          <w:rtl/>
        </w:rPr>
        <w:t xml:space="preserve"> </w:t>
      </w:r>
      <w:r>
        <w:rPr>
          <w:rFonts w:hint="cs"/>
          <w:rtl/>
        </w:rPr>
        <w:t>הראב"ד כתב על דברי הרמב"ם- אין דין זה מחוור ו-...</w:t>
      </w:r>
    </w:p>
  </w:footnote>
  <w:footnote w:id="3123">
    <w:p w14:paraId="5939DDF8" w14:textId="77777777" w:rsidR="0013116F" w:rsidRDefault="0013116F" w:rsidP="001D49D4">
      <w:pPr>
        <w:pStyle w:val="a9"/>
        <w:rPr>
          <w:rtl/>
        </w:rPr>
      </w:pPr>
      <w:r>
        <w:rPr>
          <w:rStyle w:val="ab"/>
        </w:rPr>
        <w:footnoteRef/>
      </w:r>
      <w:r>
        <w:rPr>
          <w:rtl/>
        </w:rPr>
        <w:t xml:space="preserve"> והה"מ דחה דבריו והעמיד דברי הרמב"ם, ב"י. וכתב הש"ך (סקי"ט) דהראב"ד לא משיג על כל דברי הרמב"ם </w:t>
      </w:r>
      <w:r>
        <w:rPr>
          <w:sz w:val="16"/>
          <w:szCs w:val="16"/>
          <w:rtl/>
        </w:rPr>
        <w:t xml:space="preserve">(דלא כמו הה"מ ועוד פוסקים שכתבו שחולק על כל דבריו) </w:t>
      </w:r>
      <w:r>
        <w:rPr>
          <w:rtl/>
        </w:rPr>
        <w:t xml:space="preserve">אלא משיג על מ"ש הרמב"ם 'והרי העדים קיימים...', ועל זה משיג הראב"ד דכיון שהעדים קיימים לפניו ואומרים שהוא תוך זמן, דל שטרא מהכא, לא יהא אלא המלוה חבירו בעדים, שאינו נאמן לומר פרעתי תוך הזמן, וכדאיתא בש"ס </w:t>
      </w:r>
      <w:r>
        <w:rPr>
          <w:sz w:val="16"/>
          <w:szCs w:val="16"/>
          <w:rtl/>
        </w:rPr>
        <w:t>(ב"ב ה:)</w:t>
      </w:r>
      <w:r>
        <w:rPr>
          <w:rtl/>
        </w:rPr>
        <w:t xml:space="preserve"> וכל הפוסקים לקמן ר"ס עח </w:t>
      </w:r>
      <w:r>
        <w:rPr>
          <w:sz w:val="16"/>
          <w:szCs w:val="16"/>
          <w:rtl/>
        </w:rPr>
        <w:t>(ובזה אתי נמי שפיר דלא קשה מה שתמה הרב המגיד על שכתב הרמב"ם דין זה בשם הוראת רבותיו, ולא כמו שדחקו עצמן הכ"מ והב"ח וספר גדולי תרומה, אלא כמו שכתבנו דבא בשם רבותיו לומר שאפילו העדים קיימים ואומרים לפנינו שהלוה לו לזמן, אינו גובה בעדותם כלום, וחידוש גדול הוא)</w:t>
      </w:r>
      <w:r>
        <w:rPr>
          <w:rtl/>
        </w:rPr>
        <w:t>. ונראה שגם הטור [סע' ט-י] אפשר דס"ל כהראב"ד, ודלא כנראה מב"י וב"ח, שהרי כשהביא דברי הרמב"ם, לא הביא דבריו שכתב, והרי העדים קיימים כו'.</w:t>
      </w:r>
    </w:p>
  </w:footnote>
  <w:footnote w:id="3124">
    <w:p w14:paraId="1C056942" w14:textId="77777777" w:rsidR="0013116F" w:rsidRDefault="0013116F" w:rsidP="001D49D4">
      <w:pPr>
        <w:pStyle w:val="a9"/>
        <w:rPr>
          <w:rtl/>
        </w:rPr>
      </w:pPr>
      <w:r>
        <w:rPr>
          <w:rStyle w:val="ab"/>
        </w:rPr>
        <w:footnoteRef/>
      </w:r>
      <w:r>
        <w:rPr>
          <w:rtl/>
        </w:rPr>
        <w:t xml:space="preserve"> </w:t>
      </w:r>
      <w:r>
        <w:rPr>
          <w:rFonts w:hint="cs"/>
          <w:rtl/>
        </w:rPr>
        <w:t>וכתב הב"י שדברי סברא הם.</w:t>
      </w:r>
    </w:p>
  </w:footnote>
  <w:footnote w:id="3125">
    <w:p w14:paraId="16A3CD9D" w14:textId="77777777" w:rsidR="0013116F" w:rsidRDefault="0013116F" w:rsidP="001D49D4">
      <w:pPr>
        <w:pStyle w:val="a9"/>
        <w:rPr>
          <w:rtl/>
        </w:rPr>
      </w:pPr>
      <w:r>
        <w:rPr>
          <w:rStyle w:val="ab"/>
        </w:rPr>
        <w:footnoteRef/>
      </w:r>
      <w:r>
        <w:rPr>
          <w:rtl/>
        </w:rPr>
        <w:t xml:space="preserve"> </w:t>
      </w:r>
      <w:r>
        <w:rPr>
          <w:rFonts w:hint="cs"/>
          <w:rtl/>
        </w:rPr>
        <w:t>סימן – יזף זיפת יהיה זד.</w:t>
      </w:r>
    </w:p>
  </w:footnote>
  <w:footnote w:id="3126">
    <w:p w14:paraId="2513C233" w14:textId="77777777" w:rsidR="0013116F" w:rsidRDefault="0013116F" w:rsidP="001D49D4">
      <w:pPr>
        <w:pStyle w:val="a9"/>
        <w:rPr>
          <w:rtl/>
        </w:rPr>
      </w:pPr>
      <w:r>
        <w:rPr>
          <w:rStyle w:val="ab"/>
        </w:rPr>
        <w:footnoteRef/>
      </w:r>
      <w:r>
        <w:rPr>
          <w:rtl/>
        </w:rPr>
        <w:t xml:space="preserve"> ואע"ג דאין זה שליש ממש, דהא המלוה לחוד הפקידו, מ"מ נאמן במיגו דהיה מחזירו לו בינו לבינו, סמ"ע (סק"ל). וכתב הש"ך (סקכ"ב) דאין לשון הסמ"ע מדוקדק, דהא אפילו אם המלוה לחוד מסר לידו הוי שליש, כמ"ש הבעל התרומות [שער נ"ב ח"ג ס"ז] והר"ב לקמן סימן נ"ו סוף סעיף ב', וע"ש.</w:t>
      </w:r>
    </w:p>
  </w:footnote>
  <w:footnote w:id="3127">
    <w:p w14:paraId="020DE0EB" w14:textId="77777777" w:rsidR="0013116F" w:rsidRDefault="0013116F" w:rsidP="001D49D4">
      <w:pPr>
        <w:pStyle w:val="a9"/>
        <w:spacing w:after="60"/>
        <w:rPr>
          <w:rFonts w:ascii="Arial" w:hAnsi="Arial"/>
        </w:rPr>
      </w:pPr>
      <w:r>
        <w:rPr>
          <w:rStyle w:val="ab"/>
          <w:rFonts w:ascii="Arial" w:hAnsi="Arial"/>
        </w:rPr>
        <w:footnoteRef/>
      </w:r>
      <w:r>
        <w:rPr>
          <w:rFonts w:ascii="Arial" w:hAnsi="Arial"/>
          <w:rtl/>
        </w:rPr>
        <w:t xml:space="preserve"> דכתיב וכתב ונתן שאינו מחוסר קציצה, רש"י.</w:t>
      </w:r>
    </w:p>
  </w:footnote>
  <w:footnote w:id="3128">
    <w:p w14:paraId="697A484C" w14:textId="77777777" w:rsidR="0013116F" w:rsidRDefault="0013116F" w:rsidP="001D49D4">
      <w:pPr>
        <w:pStyle w:val="a9"/>
        <w:spacing w:after="60"/>
        <w:rPr>
          <w:rFonts w:ascii="Arial" w:hAnsi="Arial"/>
        </w:rPr>
      </w:pPr>
      <w:r>
        <w:rPr>
          <w:rStyle w:val="ab"/>
          <w:rFonts w:ascii="Arial" w:hAnsi="Arial"/>
        </w:rPr>
        <w:footnoteRef/>
      </w:r>
      <w:r>
        <w:rPr>
          <w:rFonts w:ascii="Arial" w:hAnsi="Arial"/>
          <w:rtl/>
        </w:rPr>
        <w:t xml:space="preserve"> </w:t>
      </w:r>
      <w:r>
        <w:rPr>
          <w:rFonts w:ascii="Arial" w:hAnsi="Arial" w:hint="cs"/>
          <w:rtl/>
        </w:rPr>
        <w:t xml:space="preserve">משום שיכול לחזור ולמוחקו עד העדים ולכותבו ויעביר תנאי שהיה בו ולא מוכחא מילתא דהא עדים נמי על המחק חתומים וכן דיפתרא </w:t>
      </w:r>
      <w:r>
        <w:rPr>
          <w:rFonts w:ascii="Arial" w:hAnsi="Arial"/>
          <w:sz w:val="16"/>
          <w:szCs w:val="16"/>
          <w:rtl/>
        </w:rPr>
        <w:t xml:space="preserve">(עור מליח וקמיח ולא אפיץ) </w:t>
      </w:r>
      <w:r>
        <w:rPr>
          <w:rFonts w:ascii="Arial" w:hAnsi="Arial"/>
          <w:rtl/>
        </w:rPr>
        <w:t>אין מחק שלו ניכר, ע"פ רש"י.</w:t>
      </w:r>
    </w:p>
  </w:footnote>
  <w:footnote w:id="3129">
    <w:p w14:paraId="13347CE8" w14:textId="77777777" w:rsidR="0013116F" w:rsidRDefault="0013116F" w:rsidP="001D49D4">
      <w:pPr>
        <w:spacing w:after="60" w:line="240" w:lineRule="auto"/>
        <w:rPr>
          <w:rFonts w:ascii="Arial" w:hAnsi="Arial"/>
          <w:sz w:val="20"/>
          <w:szCs w:val="20"/>
        </w:rPr>
      </w:pPr>
      <w:r>
        <w:rPr>
          <w:rStyle w:val="ab"/>
          <w:rFonts w:ascii="Arial" w:hAnsi="Arial"/>
        </w:rPr>
        <w:footnoteRef/>
      </w:r>
      <w:r>
        <w:rPr>
          <w:rFonts w:ascii="Arial" w:hAnsi="Arial"/>
          <w:sz w:val="20"/>
          <w:szCs w:val="20"/>
          <w:rtl/>
        </w:rPr>
        <w:t xml:space="preserve"> כלומר מאן נינהו ומאי טעמייהו דמכשרי, רש"י.</w:t>
      </w:r>
    </w:p>
  </w:footnote>
  <w:footnote w:id="3130">
    <w:p w14:paraId="5FA88CF9" w14:textId="77777777" w:rsidR="0013116F" w:rsidRDefault="0013116F" w:rsidP="001D49D4">
      <w:pPr>
        <w:pStyle w:val="a9"/>
        <w:spacing w:after="60"/>
        <w:rPr>
          <w:rFonts w:ascii="Arial" w:hAnsi="Arial"/>
          <w:rtl/>
        </w:rPr>
      </w:pPr>
      <w:r>
        <w:rPr>
          <w:rStyle w:val="ab"/>
          <w:rFonts w:ascii="Arial" w:hAnsi="Arial"/>
        </w:rPr>
        <w:footnoteRef/>
      </w:r>
      <w:r>
        <w:rPr>
          <w:rFonts w:ascii="Arial" w:hAnsi="Arial"/>
          <w:rtl/>
        </w:rPr>
        <w:t xml:space="preserve"> ר' אלעזר בן שמוע. ולגיר' הב"י בגמרא איתא "אליעזר" (היינו ר' אליעזר בן הורקנוס), וכ' בהגוה"ע שנראה שכך היא גיר' רש"י.</w:t>
      </w:r>
    </w:p>
  </w:footnote>
  <w:footnote w:id="3131">
    <w:p w14:paraId="60350B3D" w14:textId="77777777" w:rsidR="0013116F" w:rsidRDefault="0013116F" w:rsidP="001D49D4">
      <w:pPr>
        <w:pStyle w:val="a9"/>
        <w:spacing w:after="60"/>
        <w:rPr>
          <w:rFonts w:ascii="Arial" w:hAnsi="Arial"/>
          <w:rtl/>
        </w:rPr>
      </w:pPr>
      <w:r>
        <w:rPr>
          <w:rStyle w:val="ab"/>
          <w:rFonts w:ascii="Arial" w:hAnsi="Arial"/>
        </w:rPr>
        <w:footnoteRef/>
      </w:r>
      <w:r>
        <w:rPr>
          <w:rFonts w:ascii="Arial" w:hAnsi="Arial"/>
          <w:rtl/>
        </w:rPr>
        <w:t xml:space="preserve"> דאמר חתימת הגט אינה מן התורה ולא סגי למיתביה בלא עדי מסירה דאינהו הוא דעבדי כריתות, דעל כרחיך בעינן עדים דילפינן (לקמן צ) ערוה דבר דבר מממון, והלכך לא חיישינן לדלמא מזייפא דהא אמרן צריכי למיקרייה ואי הוה ביה תנאה אינהו ידעי, ומ"ד עדי מסירה עיקר, הבאה לינשא צריכה להביא עדים שנמסר לפניהם, אבל לר' מאיר דאמר לא בעינן עדי מסירה איכא למיחש לזיופא, דמאן דסמיך אעדי חתימה, אשה הבאה לינשא בגט אינה מביאה לפנינו עדים החתומים בו אם יש מכירים בחתימתן, ואם יש תנאה וזייפתיה ליכא דידע, רש"י.</w:t>
      </w:r>
    </w:p>
  </w:footnote>
  <w:footnote w:id="3132">
    <w:p w14:paraId="6DFD1ABE" w14:textId="77777777" w:rsidR="0013116F" w:rsidRDefault="0013116F" w:rsidP="001D49D4">
      <w:pPr>
        <w:pStyle w:val="a9"/>
        <w:spacing w:after="60"/>
        <w:rPr>
          <w:rFonts w:ascii="Arial" w:hAnsi="Arial"/>
        </w:rPr>
      </w:pPr>
      <w:r>
        <w:rPr>
          <w:rStyle w:val="ab"/>
          <w:rFonts w:ascii="Arial" w:hAnsi="Arial"/>
        </w:rPr>
        <w:footnoteRef/>
      </w:r>
      <w:r>
        <w:rPr>
          <w:rFonts w:ascii="Arial" w:hAnsi="Arial"/>
          <w:rtl/>
        </w:rPr>
        <w:t xml:space="preserve"> שהביאתו לב"ד ביום שנמסר לה להודיע שהיא גרושה ויתירוה לינשא דכיון דהאידנא הוה ובעידי מסירה לא חיישינן לזיופא, רש"י.</w:t>
      </w:r>
    </w:p>
  </w:footnote>
  <w:footnote w:id="3133">
    <w:p w14:paraId="21F7E755" w14:textId="77777777" w:rsidR="0013116F" w:rsidRDefault="0013116F" w:rsidP="001D49D4">
      <w:pPr>
        <w:pStyle w:val="a9"/>
        <w:spacing w:after="60"/>
        <w:rPr>
          <w:rFonts w:ascii="Arial" w:hAnsi="Arial"/>
        </w:rPr>
      </w:pPr>
      <w:r>
        <w:rPr>
          <w:rStyle w:val="ab"/>
          <w:rFonts w:ascii="Arial" w:hAnsi="Arial"/>
        </w:rPr>
        <w:footnoteRef/>
      </w:r>
      <w:r>
        <w:rPr>
          <w:rFonts w:ascii="Arial" w:hAnsi="Arial"/>
          <w:rtl/>
        </w:rPr>
        <w:t xml:space="preserve"> וכבר שכחוה העדים, רש"י.</w:t>
      </w:r>
    </w:p>
  </w:footnote>
  <w:footnote w:id="3134">
    <w:p w14:paraId="3E72688B" w14:textId="77777777" w:rsidR="0013116F" w:rsidRDefault="0013116F" w:rsidP="001D49D4">
      <w:pPr>
        <w:pStyle w:val="a9"/>
        <w:spacing w:after="60"/>
        <w:rPr>
          <w:rFonts w:ascii="Arial" w:hAnsi="Arial"/>
        </w:rPr>
      </w:pPr>
      <w:r>
        <w:rPr>
          <w:rStyle w:val="ab"/>
          <w:rFonts w:ascii="Arial" w:hAnsi="Arial"/>
        </w:rPr>
        <w:footnoteRef/>
      </w:r>
      <w:r>
        <w:rPr>
          <w:rFonts w:ascii="Arial" w:hAnsi="Arial"/>
          <w:rtl/>
        </w:rPr>
        <w:t xml:space="preserve"> דאינן עשויין אלא להתירה ויכולה להביאו לב"ד לאלתר ויתירוה ושוב א"צ לגט דכיון שהותרה בב"ד יש זכרון וקול לדבר, רש"י.</w:t>
      </w:r>
    </w:p>
  </w:footnote>
  <w:footnote w:id="3135">
    <w:p w14:paraId="46216CF8" w14:textId="77777777" w:rsidR="0013116F" w:rsidRDefault="0013116F" w:rsidP="001D49D4">
      <w:pPr>
        <w:pStyle w:val="a9"/>
        <w:spacing w:after="60"/>
        <w:rPr>
          <w:rFonts w:ascii="Arial" w:hAnsi="Arial"/>
          <w:rtl/>
        </w:rPr>
      </w:pPr>
      <w:r>
        <w:rPr>
          <w:rStyle w:val="ab"/>
          <w:rFonts w:ascii="Arial" w:hAnsi="Arial"/>
        </w:rPr>
        <w:footnoteRef/>
      </w:r>
      <w:r>
        <w:rPr>
          <w:rFonts w:ascii="Arial" w:hAnsi="Arial"/>
          <w:rtl/>
        </w:rPr>
        <w:t xml:space="preserve"> דקיימי לגוביינא ודילמא לא מפיק ליה עד זמן ארוך וישכחו עדי מסירה את הדבר וסמכי' אעדי חתימה והוא מזייף כתב העליון, וחותם העדים עומד במקומו, רש"י.</w:t>
      </w:r>
    </w:p>
  </w:footnote>
  <w:footnote w:id="3136">
    <w:p w14:paraId="0B5E4315" w14:textId="77777777" w:rsidR="0013116F" w:rsidRDefault="0013116F" w:rsidP="001D49D4">
      <w:pPr>
        <w:pStyle w:val="a9"/>
        <w:spacing w:after="60"/>
        <w:rPr>
          <w:rFonts w:ascii="Arial" w:hAnsi="Arial"/>
          <w:rtl/>
        </w:rPr>
      </w:pPr>
      <w:r>
        <w:rPr>
          <w:rStyle w:val="ab"/>
          <w:rFonts w:ascii="Arial" w:hAnsi="Arial"/>
        </w:rPr>
        <w:footnoteRef/>
      </w:r>
      <w:r>
        <w:rPr>
          <w:rFonts w:ascii="Arial" w:hAnsi="Arial"/>
          <w:rtl/>
        </w:rPr>
        <w:t xml:space="preserve"> אלמא בעינן דבר הראוי לעמוד ולהתקיים והאי קרא בירמיה בשטרי מכר, רש"י.</w:t>
      </w:r>
    </w:p>
  </w:footnote>
  <w:footnote w:id="3137">
    <w:p w14:paraId="3A404011" w14:textId="77777777" w:rsidR="0013116F" w:rsidRDefault="0013116F" w:rsidP="001D49D4">
      <w:pPr>
        <w:pStyle w:val="a9"/>
        <w:spacing w:after="60"/>
        <w:rPr>
          <w:rFonts w:ascii="Arial" w:hAnsi="Arial"/>
          <w:color w:val="FF0000"/>
        </w:rPr>
      </w:pPr>
      <w:r>
        <w:rPr>
          <w:rStyle w:val="ab"/>
          <w:rFonts w:ascii="Arial" w:hAnsi="Arial"/>
          <w:color w:val="FF0000"/>
        </w:rPr>
        <w:footnoteRef/>
      </w:r>
      <w:r>
        <w:rPr>
          <w:rFonts w:ascii="Arial" w:hAnsi="Arial"/>
          <w:color w:val="FF0000"/>
          <w:rtl/>
        </w:rPr>
        <w:t xml:space="preserve"> הדרישה כ' שכ"פ הרי"ף, וצל"ע שהרי הרי"ף שם סתם דבריו ולא דיבר על זמן הכשרות של הגט.</w:t>
      </w:r>
    </w:p>
  </w:footnote>
  <w:footnote w:id="3138">
    <w:p w14:paraId="4DE691EF" w14:textId="77777777" w:rsidR="0013116F" w:rsidRDefault="0013116F" w:rsidP="001D49D4">
      <w:pPr>
        <w:pStyle w:val="a9"/>
        <w:spacing w:after="60"/>
        <w:rPr>
          <w:rFonts w:ascii="Arial" w:hAnsi="Arial"/>
        </w:rPr>
      </w:pPr>
      <w:r>
        <w:rPr>
          <w:rStyle w:val="ab"/>
          <w:rFonts w:ascii="Arial" w:hAnsi="Arial"/>
        </w:rPr>
        <w:footnoteRef/>
      </w:r>
      <w:r>
        <w:rPr>
          <w:rFonts w:ascii="Arial" w:hAnsi="Arial"/>
          <w:rtl/>
        </w:rPr>
        <w:t xml:space="preserve"> רי"ף </w:t>
      </w:r>
      <w:r>
        <w:rPr>
          <w:rFonts w:ascii="Arial" w:hAnsi="Arial"/>
          <w:sz w:val="16"/>
          <w:szCs w:val="16"/>
          <w:rtl/>
        </w:rPr>
        <w:t>(יא.)</w:t>
      </w:r>
      <w:r>
        <w:rPr>
          <w:rFonts w:ascii="Arial" w:hAnsi="Arial"/>
          <w:rtl/>
        </w:rPr>
        <w:t xml:space="preserve"> רמב"ם</w:t>
      </w:r>
      <w:r>
        <w:rPr>
          <w:rFonts w:ascii="Arial" w:hAnsi="Arial"/>
          <w:sz w:val="16"/>
          <w:szCs w:val="16"/>
          <w:rtl/>
        </w:rPr>
        <w:t xml:space="preserve"> (הל' מלוה פכ"ז ה"א)</w:t>
      </w:r>
      <w:r>
        <w:rPr>
          <w:rFonts w:ascii="Arial" w:hAnsi="Arial"/>
          <w:rtl/>
        </w:rPr>
        <w:t xml:space="preserve"> (ורא"ש </w:t>
      </w:r>
      <w:r>
        <w:rPr>
          <w:rFonts w:ascii="Arial" w:hAnsi="Arial"/>
          <w:sz w:val="14"/>
          <w:szCs w:val="14"/>
          <w:rtl/>
        </w:rPr>
        <w:t>[סי' כד]</w:t>
      </w:r>
      <w:r>
        <w:rPr>
          <w:rFonts w:ascii="Arial" w:hAnsi="Arial"/>
          <w:sz w:val="16"/>
          <w:szCs w:val="16"/>
          <w:rtl/>
        </w:rPr>
        <w:t xml:space="preserve"> להב' הב"י</w:t>
      </w:r>
      <w:r>
        <w:rPr>
          <w:rFonts w:ascii="Arial" w:hAnsi="Arial"/>
          <w:rtl/>
        </w:rPr>
        <w:t>).</w:t>
      </w:r>
    </w:p>
  </w:footnote>
  <w:footnote w:id="3139">
    <w:p w14:paraId="21795BC9" w14:textId="77777777" w:rsidR="0013116F" w:rsidRDefault="0013116F" w:rsidP="001D49D4">
      <w:pPr>
        <w:pStyle w:val="a9"/>
        <w:spacing w:after="60"/>
        <w:rPr>
          <w:rFonts w:ascii="Arial" w:hAnsi="Arial"/>
          <w:rtl/>
        </w:rPr>
      </w:pPr>
      <w:r>
        <w:rPr>
          <w:rStyle w:val="ab"/>
          <w:rFonts w:ascii="Arial" w:hAnsi="Arial"/>
        </w:rPr>
        <w:footnoteRef/>
      </w:r>
      <w:r>
        <w:rPr>
          <w:rFonts w:ascii="Arial" w:hAnsi="Arial"/>
          <w:rtl/>
        </w:rPr>
        <w:t xml:space="preserve"> </w:t>
      </w:r>
      <w:r>
        <w:rPr>
          <w:rFonts w:ascii="Arial" w:hAnsi="Arial" w:hint="cs"/>
          <w:u w:val="single"/>
          <w:rtl/>
        </w:rPr>
        <w:t>ונחלקו הפוסקים בזמן שבו הכשיר ר' יוחנן:</w:t>
      </w:r>
    </w:p>
    <w:p w14:paraId="47C2FF51" w14:textId="77777777" w:rsidR="0013116F" w:rsidRDefault="0013116F" w:rsidP="004B0475">
      <w:pPr>
        <w:pStyle w:val="a9"/>
        <w:numPr>
          <w:ilvl w:val="0"/>
          <w:numId w:val="273"/>
        </w:numPr>
        <w:spacing w:after="60"/>
        <w:rPr>
          <w:rFonts w:ascii="Arial" w:hAnsi="Arial"/>
          <w:rtl/>
        </w:rPr>
      </w:pPr>
      <w:r>
        <w:rPr>
          <w:rFonts w:ascii="Arial" w:hAnsi="Arial"/>
          <w:rtl/>
        </w:rPr>
        <w:t xml:space="preserve">רא"ש- ר' יוחנן הכשיר רק לאלתר. </w:t>
      </w:r>
    </w:p>
    <w:p w14:paraId="1EC9A357" w14:textId="77777777" w:rsidR="0013116F" w:rsidRDefault="0013116F" w:rsidP="004B0475">
      <w:pPr>
        <w:pStyle w:val="a9"/>
        <w:numPr>
          <w:ilvl w:val="0"/>
          <w:numId w:val="273"/>
        </w:numPr>
        <w:spacing w:after="60"/>
        <w:rPr>
          <w:rFonts w:ascii="Arial" w:hAnsi="Arial"/>
          <w:rtl/>
        </w:rPr>
      </w:pPr>
      <w:r>
        <w:rPr>
          <w:rFonts w:ascii="Arial" w:hAnsi="Arial"/>
          <w:rtl/>
        </w:rPr>
        <w:t>(ר"ח</w:t>
      </w:r>
      <w:r>
        <w:rPr>
          <w:rFonts w:ascii="Arial" w:hAnsi="Arial"/>
          <w:sz w:val="16"/>
          <w:szCs w:val="16"/>
          <w:rtl/>
        </w:rPr>
        <w:t xml:space="preserve"> להב' הש"ך</w:t>
      </w:r>
      <w:r>
        <w:rPr>
          <w:rFonts w:ascii="Arial" w:hAnsi="Arial"/>
          <w:sz w:val="14"/>
          <w:szCs w:val="14"/>
          <w:rtl/>
        </w:rPr>
        <w:t xml:space="preserve"> [סק"א]</w:t>
      </w:r>
      <w:r>
        <w:rPr>
          <w:rFonts w:ascii="Arial" w:hAnsi="Arial"/>
          <w:rtl/>
        </w:rPr>
        <w:t xml:space="preserve">) ורשב"א- אפ"ל שר' יוחנן מכשיר אפי' מכאן ועד עשרה ימים כבגיטין </w:t>
      </w:r>
      <w:r>
        <w:rPr>
          <w:rFonts w:ascii="Arial" w:hAnsi="Arial"/>
          <w:sz w:val="16"/>
          <w:szCs w:val="16"/>
          <w:rtl/>
        </w:rPr>
        <w:t>(אבל לזמן מרובה לא דכירי)</w:t>
      </w:r>
      <w:r>
        <w:rPr>
          <w:rFonts w:ascii="Arial" w:hAnsi="Arial"/>
          <w:rtl/>
        </w:rPr>
        <w:t xml:space="preserve">. </w:t>
      </w:r>
    </w:p>
  </w:footnote>
  <w:footnote w:id="3140">
    <w:p w14:paraId="388BFD13" w14:textId="77777777" w:rsidR="0013116F" w:rsidRDefault="0013116F" w:rsidP="001D49D4">
      <w:pPr>
        <w:pStyle w:val="a9"/>
        <w:spacing w:after="60"/>
        <w:rPr>
          <w:rFonts w:ascii="Arial" w:hAnsi="Arial"/>
        </w:rPr>
      </w:pPr>
      <w:r>
        <w:rPr>
          <w:rStyle w:val="ab"/>
          <w:rFonts w:ascii="Arial" w:hAnsi="Arial"/>
        </w:rPr>
        <w:footnoteRef/>
      </w:r>
      <w:r>
        <w:rPr>
          <w:rFonts w:ascii="Arial" w:hAnsi="Arial"/>
          <w:rtl/>
        </w:rPr>
        <w:t xml:space="preserve"> סק"א, וסיים שם- "ואלמלא הייתי כדאי להכריע הייתי אומר שכדברי ר"ח עיקר" </w:t>
      </w:r>
      <w:r>
        <w:rPr>
          <w:rFonts w:ascii="Arial" w:hAnsi="Arial"/>
          <w:sz w:val="16"/>
          <w:szCs w:val="16"/>
          <w:rtl/>
        </w:rPr>
        <w:t>(היינו הא דר"ח התיר עד עשרה ימים- להבנתו בד' ר"ח)</w:t>
      </w:r>
      <w:r>
        <w:rPr>
          <w:rFonts w:ascii="Arial" w:hAnsi="Arial"/>
          <w:rtl/>
        </w:rPr>
        <w:t>.</w:t>
      </w:r>
    </w:p>
  </w:footnote>
  <w:footnote w:id="3141">
    <w:p w14:paraId="6D788BC7" w14:textId="77777777" w:rsidR="0013116F" w:rsidRDefault="0013116F" w:rsidP="001D49D4">
      <w:pPr>
        <w:pStyle w:val="a9"/>
        <w:spacing w:after="60"/>
        <w:rPr>
          <w:rFonts w:ascii="Arial" w:hAnsi="Arial"/>
          <w:rtl/>
        </w:rPr>
      </w:pPr>
      <w:r>
        <w:rPr>
          <w:rStyle w:val="ab"/>
          <w:rFonts w:ascii="Arial" w:hAnsi="Arial"/>
        </w:rPr>
        <w:footnoteRef/>
      </w:r>
      <w:r>
        <w:rPr>
          <w:rFonts w:ascii="Arial" w:hAnsi="Arial"/>
          <w:rtl/>
        </w:rPr>
        <w:t xml:space="preserve"> אף דבלאלתר ליכא למיחש לזיופא דהעדים זוכרים מה היה כתוב בו. והטעם, דבעינן שיהא ראוי לקיים ימים רבים, וילפינן (גיטין כב:) מקרא דכתיב בספר ירמיה (ל"ב י"ד) ונתתם בכלי חרש למען יעמדו ימים רבים, סמ"ע (סק"א).</w:t>
      </w:r>
    </w:p>
  </w:footnote>
  <w:footnote w:id="3142">
    <w:p w14:paraId="4497553E" w14:textId="77777777" w:rsidR="0013116F" w:rsidRDefault="0013116F" w:rsidP="001D49D4">
      <w:pPr>
        <w:pStyle w:val="a9"/>
        <w:spacing w:after="60"/>
        <w:rPr>
          <w:rFonts w:ascii="Arial" w:hAnsi="Arial"/>
        </w:rPr>
      </w:pPr>
      <w:r>
        <w:rPr>
          <w:rStyle w:val="ab"/>
          <w:rFonts w:ascii="Arial" w:hAnsi="Arial"/>
        </w:rPr>
        <w:footnoteRef/>
      </w:r>
      <w:r>
        <w:rPr>
          <w:rFonts w:ascii="Arial" w:hAnsi="Arial"/>
          <w:rtl/>
        </w:rPr>
        <w:t xml:space="preserve"> פירוש, שטר שקונה בו שדה או בית, שכותב על נייר 'שדה פלונית מכורה לך או נתונה לך', שאינו עומד לראיה כלל, אלא אחר שקנהו בשטר כותב שטר אחר לראיה, סמ"ע (סק"ב).</w:t>
      </w:r>
    </w:p>
  </w:footnote>
  <w:footnote w:id="3143">
    <w:p w14:paraId="7CAE006A" w14:textId="77777777" w:rsidR="0013116F" w:rsidRDefault="0013116F" w:rsidP="001D49D4">
      <w:pPr>
        <w:pStyle w:val="a9"/>
        <w:spacing w:after="60"/>
        <w:rPr>
          <w:rFonts w:ascii="Arial" w:hAnsi="Arial"/>
        </w:rPr>
      </w:pPr>
      <w:r>
        <w:rPr>
          <w:rStyle w:val="ab"/>
          <w:rFonts w:ascii="Arial" w:hAnsi="Arial"/>
        </w:rPr>
        <w:footnoteRef/>
      </w:r>
      <w:r>
        <w:rPr>
          <w:rFonts w:ascii="Arial" w:hAnsi="Arial"/>
          <w:rtl/>
        </w:rPr>
        <w:t xml:space="preserve"> שטר מקופל כמו קפולי המניפות שעושים מן הקלף אצלינו במערב. וטעם תקון אלו הגטין בגלל הכהנים שהיו בזמניהם מרבין לגרש לפיכך תקנו להם גט מקושר כדי שיארך זמן עשייתו ואולי יסור כעסו במשך זמן עשיית אותם הקשרים, רמב"ם</w:t>
      </w:r>
      <w:r>
        <w:rPr>
          <w:rFonts w:ascii="Arial" w:hAnsi="Arial"/>
          <w:sz w:val="16"/>
          <w:szCs w:val="16"/>
          <w:rtl/>
        </w:rPr>
        <w:t xml:space="preserve"> (פהמ"ש ב"ב פ"י מ"א)</w:t>
      </w:r>
      <w:r>
        <w:rPr>
          <w:rFonts w:ascii="Arial" w:hAnsi="Arial"/>
          <w:rtl/>
        </w:rPr>
        <w:t>. וכל קיפול שעושים חותם עד מבחוץ, כל עד בתורו.</w:t>
      </w:r>
    </w:p>
  </w:footnote>
  <w:footnote w:id="3144">
    <w:p w14:paraId="3A52DAFE" w14:textId="77777777" w:rsidR="0013116F" w:rsidRDefault="0013116F" w:rsidP="001D49D4">
      <w:pPr>
        <w:pStyle w:val="a9"/>
        <w:spacing w:after="60"/>
        <w:rPr>
          <w:rFonts w:ascii="Arial" w:hAnsi="Arial"/>
          <w:rtl/>
        </w:rPr>
      </w:pPr>
      <w:r>
        <w:rPr>
          <w:rStyle w:val="ab"/>
          <w:rFonts w:ascii="Arial" w:hAnsi="Arial"/>
        </w:rPr>
        <w:footnoteRef/>
      </w:r>
      <w:r>
        <w:rPr>
          <w:rFonts w:ascii="Arial" w:hAnsi="Arial"/>
          <w:rtl/>
        </w:rPr>
        <w:t xml:space="preserve"> והש"ך (סק"ג) חלק על הרמ"א בזה וכ' דליכא מאן דפליג בהא, אלא כל "גט או שטר פשוט שכתבו עדים מאחוריו כבמקושר, אע"פ שאין חשש ואין טעם לפסלו- פסול, כיון שלא נעשה כתיקון חכמים, וכן בחתמו מן הצד וכיוצא בזה".</w:t>
      </w:r>
    </w:p>
  </w:footnote>
  <w:footnote w:id="3145">
    <w:p w14:paraId="17A81F1D" w14:textId="77777777" w:rsidR="0013116F" w:rsidRDefault="0013116F" w:rsidP="001D49D4">
      <w:pPr>
        <w:pStyle w:val="a9"/>
        <w:spacing w:after="60"/>
        <w:rPr>
          <w:rFonts w:ascii="Arial" w:hAnsi="Arial"/>
          <w:rtl/>
        </w:rPr>
      </w:pPr>
      <w:r>
        <w:rPr>
          <w:rStyle w:val="ab"/>
          <w:rFonts w:ascii="Arial" w:hAnsi="Arial"/>
        </w:rPr>
        <w:footnoteRef/>
      </w:r>
      <w:r>
        <w:rPr>
          <w:rFonts w:ascii="Arial" w:hAnsi="Arial"/>
          <w:rtl/>
        </w:rPr>
        <w:t xml:space="preserve"> וישראל עשאוהו אלא שכתבוהו לשון פרסי, רש"י.</w:t>
      </w:r>
    </w:p>
  </w:footnote>
  <w:footnote w:id="3146">
    <w:p w14:paraId="27BE5109" w14:textId="77777777" w:rsidR="0013116F" w:rsidRDefault="0013116F" w:rsidP="001D49D4">
      <w:pPr>
        <w:pStyle w:val="a9"/>
        <w:spacing w:after="60"/>
        <w:rPr>
          <w:rFonts w:ascii="Arial" w:hAnsi="Arial"/>
        </w:rPr>
      </w:pPr>
      <w:r>
        <w:rPr>
          <w:rStyle w:val="ab"/>
          <w:rFonts w:ascii="Arial" w:hAnsi="Arial"/>
        </w:rPr>
        <w:footnoteRef/>
      </w:r>
      <w:r>
        <w:rPr>
          <w:rFonts w:ascii="Arial" w:hAnsi="Arial"/>
          <w:rtl/>
        </w:rPr>
        <w:t xml:space="preserve"> כתב שלו, רש"י.</w:t>
      </w:r>
    </w:p>
  </w:footnote>
  <w:footnote w:id="3147">
    <w:p w14:paraId="4B379445" w14:textId="77777777" w:rsidR="0013116F" w:rsidRDefault="0013116F" w:rsidP="001D49D4">
      <w:pPr>
        <w:pStyle w:val="a9"/>
        <w:spacing w:after="60"/>
        <w:rPr>
          <w:rFonts w:ascii="Arial" w:hAnsi="Arial"/>
        </w:rPr>
      </w:pPr>
      <w:r>
        <w:rPr>
          <w:rStyle w:val="ab"/>
          <w:rFonts w:ascii="Arial" w:hAnsi="Arial"/>
        </w:rPr>
        <w:footnoteRef/>
      </w:r>
      <w:r>
        <w:rPr>
          <w:rFonts w:ascii="Arial" w:hAnsi="Arial"/>
          <w:rtl/>
        </w:rPr>
        <w:t xml:space="preserve"> משום תקנת עגונות, רש"י. </w:t>
      </w:r>
    </w:p>
  </w:footnote>
  <w:footnote w:id="3148">
    <w:p w14:paraId="2E3FF847" w14:textId="77777777" w:rsidR="0013116F" w:rsidRDefault="0013116F" w:rsidP="001D49D4">
      <w:pPr>
        <w:pStyle w:val="a9"/>
        <w:spacing w:after="60"/>
        <w:rPr>
          <w:rFonts w:ascii="Arial" w:hAnsi="Arial"/>
          <w:rtl/>
        </w:rPr>
      </w:pPr>
      <w:r>
        <w:rPr>
          <w:rStyle w:val="ab"/>
          <w:rFonts w:ascii="Arial" w:hAnsi="Arial"/>
        </w:rPr>
        <w:footnoteRef/>
      </w:r>
      <w:r>
        <w:rPr>
          <w:rFonts w:ascii="Arial" w:hAnsi="Arial"/>
          <w:rtl/>
        </w:rPr>
        <w:t xml:space="preserve"> מוכס, וישראל היה, רשב"ם.</w:t>
      </w:r>
    </w:p>
  </w:footnote>
  <w:footnote w:id="3149">
    <w:p w14:paraId="67249422" w14:textId="77777777" w:rsidR="0013116F" w:rsidRDefault="0013116F" w:rsidP="001D49D4">
      <w:pPr>
        <w:pStyle w:val="a9"/>
        <w:spacing w:after="60"/>
        <w:rPr>
          <w:rFonts w:ascii="Arial" w:hAnsi="Arial"/>
          <w:rtl/>
        </w:rPr>
      </w:pPr>
      <w:r>
        <w:rPr>
          <w:rStyle w:val="ab"/>
          <w:rFonts w:ascii="Arial" w:hAnsi="Arial"/>
        </w:rPr>
        <w:footnoteRef/>
      </w:r>
      <w:r>
        <w:rPr>
          <w:rFonts w:ascii="Arial" w:hAnsi="Arial"/>
          <w:rtl/>
        </w:rPr>
        <w:t xml:space="preserve"> ותשלח כתב ידך למחול המכס אמחול להן, רשב"ם.</w:t>
      </w:r>
    </w:p>
  </w:footnote>
  <w:footnote w:id="3150">
    <w:p w14:paraId="0153BC1D" w14:textId="77777777" w:rsidR="0013116F" w:rsidRDefault="0013116F" w:rsidP="001D49D4">
      <w:pPr>
        <w:pStyle w:val="a9"/>
        <w:spacing w:after="60"/>
        <w:rPr>
          <w:rFonts w:ascii="Arial" w:hAnsi="Arial"/>
          <w:rtl/>
        </w:rPr>
      </w:pPr>
      <w:r>
        <w:rPr>
          <w:rStyle w:val="ab"/>
          <w:rFonts w:ascii="Arial" w:hAnsi="Arial"/>
        </w:rPr>
        <w:footnoteRef/>
      </w:r>
      <w:r>
        <w:rPr>
          <w:rFonts w:ascii="Arial" w:hAnsi="Arial"/>
          <w:rtl/>
        </w:rPr>
        <w:t xml:space="preserve"> רצה אביי להראות לו דוגמת חתימתו בריש המגילה.</w:t>
      </w:r>
    </w:p>
  </w:footnote>
  <w:footnote w:id="3151">
    <w:p w14:paraId="04645D43" w14:textId="77777777" w:rsidR="0013116F" w:rsidRDefault="0013116F" w:rsidP="001D49D4">
      <w:pPr>
        <w:pStyle w:val="a9"/>
        <w:spacing w:after="60"/>
        <w:rPr>
          <w:rFonts w:ascii="Arial" w:hAnsi="Arial"/>
        </w:rPr>
      </w:pPr>
      <w:r>
        <w:rPr>
          <w:rStyle w:val="ab"/>
          <w:rFonts w:ascii="Arial" w:hAnsi="Arial"/>
        </w:rPr>
        <w:footnoteRef/>
      </w:r>
      <w:r>
        <w:rPr>
          <w:rFonts w:ascii="Arial" w:hAnsi="Arial"/>
          <w:rtl/>
        </w:rPr>
        <w:t xml:space="preserve"> מושך בקלף כדי שיחתום אביי מלמטה, רשב"ם.</w:t>
      </w:r>
    </w:p>
  </w:footnote>
  <w:footnote w:id="3152">
    <w:p w14:paraId="195A73B6" w14:textId="77777777" w:rsidR="0013116F" w:rsidRDefault="0013116F" w:rsidP="001D49D4">
      <w:pPr>
        <w:pStyle w:val="a9"/>
        <w:spacing w:after="60"/>
        <w:rPr>
          <w:rFonts w:ascii="Arial" w:hAnsi="Arial"/>
        </w:rPr>
      </w:pPr>
      <w:r>
        <w:rPr>
          <w:rStyle w:val="ab"/>
          <w:rFonts w:ascii="Arial" w:hAnsi="Arial"/>
        </w:rPr>
        <w:footnoteRef/>
      </w:r>
      <w:r>
        <w:rPr>
          <w:rFonts w:ascii="Arial" w:hAnsi="Arial"/>
          <w:rtl/>
        </w:rPr>
        <w:t xml:space="preserve"> ואמרו לא לחתום למטה כשנשאר מקום ריק- משום רמאים שכמותך.</w:t>
      </w:r>
    </w:p>
  </w:footnote>
  <w:footnote w:id="3153">
    <w:p w14:paraId="3E15DE13" w14:textId="77777777" w:rsidR="0013116F" w:rsidRDefault="0013116F" w:rsidP="001D49D4">
      <w:pPr>
        <w:pStyle w:val="a9"/>
        <w:spacing w:after="60"/>
        <w:rPr>
          <w:rFonts w:ascii="Arial" w:hAnsi="Arial"/>
          <w:rtl/>
        </w:rPr>
      </w:pPr>
      <w:r>
        <w:rPr>
          <w:rStyle w:val="ab"/>
          <w:rFonts w:ascii="Arial" w:hAnsi="Arial"/>
        </w:rPr>
        <w:footnoteRef/>
      </w:r>
      <w:r>
        <w:rPr>
          <w:rFonts w:ascii="Arial" w:hAnsi="Arial"/>
          <w:rtl/>
        </w:rPr>
        <w:t xml:space="preserve"> דמזייף וכתב לתלת תלתין ולארבע ארבעין ולחמש חמשין וכן עד עשר יכתוב לעשר עשרין אבל אחד עשר אינו יכול לזיופי דצריך למכתב אחד ועשרים וכי כתב בין אחד עשר וי"ו נראה דחוק ומינכר, רשב"ם.</w:t>
      </w:r>
    </w:p>
  </w:footnote>
  <w:footnote w:id="3154">
    <w:p w14:paraId="67F54803" w14:textId="77777777" w:rsidR="0013116F" w:rsidRDefault="0013116F" w:rsidP="001D49D4">
      <w:pPr>
        <w:pStyle w:val="a9"/>
        <w:spacing w:after="60"/>
        <w:rPr>
          <w:rFonts w:ascii="Arial" w:hAnsi="Arial"/>
        </w:rPr>
      </w:pPr>
      <w:r>
        <w:rPr>
          <w:rStyle w:val="ab"/>
          <w:rFonts w:ascii="Arial" w:hAnsi="Arial"/>
        </w:rPr>
        <w:footnoteRef/>
      </w:r>
      <w:r>
        <w:rPr>
          <w:rFonts w:ascii="Arial" w:hAnsi="Arial"/>
          <w:rtl/>
        </w:rPr>
        <w:t xml:space="preserve"> ארבע או חמש בסוף שיטה, רשב"ם.</w:t>
      </w:r>
    </w:p>
  </w:footnote>
  <w:footnote w:id="3155">
    <w:p w14:paraId="47D88796" w14:textId="77777777" w:rsidR="0013116F" w:rsidRDefault="0013116F" w:rsidP="001D49D4">
      <w:pPr>
        <w:pStyle w:val="a9"/>
        <w:spacing w:after="60"/>
        <w:rPr>
          <w:rFonts w:ascii="Arial" w:hAnsi="Arial"/>
        </w:rPr>
      </w:pPr>
      <w:r>
        <w:rPr>
          <w:rStyle w:val="ab"/>
          <w:rFonts w:ascii="Arial" w:hAnsi="Arial"/>
        </w:rPr>
        <w:footnoteRef/>
      </w:r>
      <w:r>
        <w:rPr>
          <w:rFonts w:ascii="Arial" w:hAnsi="Arial"/>
          <w:rtl/>
        </w:rPr>
        <w:t xml:space="preserve"> ולדכריה להאי סכומא עד דמיתרמי ליה באמצע שיטה דאפי' אם יזייף וכתב אין למדין אלא מן התחתון כדקתני מתני', רשב"ם.</w:t>
      </w:r>
    </w:p>
  </w:footnote>
  <w:footnote w:id="3156">
    <w:p w14:paraId="58D65FEE" w14:textId="77777777" w:rsidR="0013116F" w:rsidRDefault="0013116F" w:rsidP="001D49D4">
      <w:pPr>
        <w:pStyle w:val="a9"/>
        <w:spacing w:after="60"/>
        <w:rPr>
          <w:rFonts w:ascii="Arial" w:hAnsi="Arial"/>
          <w:rtl/>
        </w:rPr>
      </w:pPr>
      <w:r>
        <w:rPr>
          <w:rStyle w:val="ab"/>
          <w:rFonts w:ascii="Arial" w:hAnsi="Arial"/>
        </w:rPr>
        <w:footnoteRef/>
      </w:r>
      <w:r>
        <w:rPr>
          <w:rFonts w:ascii="Arial" w:hAnsi="Arial"/>
          <w:rtl/>
        </w:rPr>
        <w:t xml:space="preserve"> כך היה כתוב בשטר- זבינית לפלוני בגינתא דאית לי תילתא בפרדיסא, אזל הלוקח מחקיה לגגיה דבי"ת מכאן ומכאן ושוויה ופרדיסא, וא"ל מכרת לי תילתא דגינתא וכל הפרדס כולו והא שטרא, רשב"ם.</w:t>
      </w:r>
    </w:p>
  </w:footnote>
  <w:footnote w:id="3157">
    <w:p w14:paraId="332B1084" w14:textId="77777777" w:rsidR="0013116F" w:rsidRDefault="0013116F" w:rsidP="001D49D4">
      <w:pPr>
        <w:pStyle w:val="a9"/>
        <w:spacing w:after="60"/>
        <w:rPr>
          <w:rFonts w:ascii="Arial" w:hAnsi="Arial"/>
        </w:rPr>
      </w:pPr>
      <w:r>
        <w:rPr>
          <w:rStyle w:val="ab"/>
          <w:rFonts w:ascii="Arial" w:hAnsi="Arial"/>
        </w:rPr>
        <w:footnoteRef/>
      </w:r>
      <w:r>
        <w:rPr>
          <w:rFonts w:ascii="Arial" w:hAnsi="Arial"/>
          <w:rtl/>
        </w:rPr>
        <w:t xml:space="preserve"> דאית להו באתרא פלונית מנת חלק קרקע שיש לשני האחין והוו להון אחא אחרינא ששמו אחי והוה ליה מנתא בהדייהו ואזל הלוקח ושדא ביה וי"ו ושוייה ואחי וטען דמנתא דתלתא זבינית, רשב"ם.</w:t>
      </w:r>
    </w:p>
  </w:footnote>
  <w:footnote w:id="3158">
    <w:p w14:paraId="162576BE" w14:textId="77777777" w:rsidR="0013116F" w:rsidRDefault="0013116F" w:rsidP="001D49D4">
      <w:pPr>
        <w:pStyle w:val="a9"/>
        <w:spacing w:after="60"/>
        <w:rPr>
          <w:rFonts w:ascii="Arial" w:hAnsi="Arial"/>
          <w:rtl/>
        </w:rPr>
      </w:pPr>
      <w:r>
        <w:rPr>
          <w:rStyle w:val="ab"/>
          <w:rFonts w:ascii="Arial" w:hAnsi="Arial"/>
        </w:rPr>
        <w:footnoteRef/>
      </w:r>
      <w:r>
        <w:rPr>
          <w:rFonts w:ascii="Arial" w:hAnsi="Arial"/>
          <w:rtl/>
        </w:rPr>
        <w:t xml:space="preserve"> הל' נשואין סה ב, הביאו הדרכ"מ אות א*.</w:t>
      </w:r>
    </w:p>
  </w:footnote>
  <w:footnote w:id="3159">
    <w:p w14:paraId="364901E2" w14:textId="77777777" w:rsidR="0013116F" w:rsidRDefault="0013116F" w:rsidP="001D49D4">
      <w:pPr>
        <w:pStyle w:val="a9"/>
        <w:spacing w:after="60"/>
        <w:rPr>
          <w:rFonts w:ascii="Arial" w:hAnsi="Arial"/>
        </w:rPr>
      </w:pPr>
      <w:r>
        <w:rPr>
          <w:rStyle w:val="ab"/>
          <w:rFonts w:ascii="Arial" w:hAnsi="Arial"/>
        </w:rPr>
        <w:footnoteRef/>
      </w:r>
      <w:r>
        <w:rPr>
          <w:rFonts w:ascii="Arial" w:hAnsi="Arial"/>
          <w:rtl/>
        </w:rPr>
        <w:t xml:space="preserve"> כל שאלה זו שייכת רק כשהנתבע הוא או הלוה או המוכר או נותן המתנה, שהם היו בגוף העסקה, ולכן יש הו"א לא לטעון להם, אבל אם הנתבע הוא יורש או קונה </w:t>
      </w:r>
      <w:r>
        <w:rPr>
          <w:rFonts w:ascii="Arial" w:hAnsi="Arial"/>
          <w:sz w:val="16"/>
          <w:szCs w:val="16"/>
          <w:rtl/>
        </w:rPr>
        <w:t xml:space="preserve">(מבעל חוב) </w:t>
      </w:r>
      <w:r>
        <w:rPr>
          <w:rFonts w:ascii="Arial" w:hAnsi="Arial"/>
          <w:rtl/>
        </w:rPr>
        <w:t xml:space="preserve">ובא התובע להוציא ממנו, דקי"ל טוענים ליורשים וללוקח, בזה כו"ע מודי שאם הדיין רואה חשד לזיוף- הוא צריך לטעון, כיון שלא היו בגוף העסקה הראשונית וצריכים הדיינים להצילם מזיופים. </w:t>
      </w:r>
    </w:p>
  </w:footnote>
  <w:footnote w:id="3160">
    <w:p w14:paraId="29DA110C" w14:textId="77777777" w:rsidR="0013116F" w:rsidRDefault="0013116F" w:rsidP="001D49D4">
      <w:pPr>
        <w:pStyle w:val="a9"/>
        <w:spacing w:after="60"/>
        <w:rPr>
          <w:rFonts w:ascii="Arial" w:hAnsi="Arial"/>
        </w:rPr>
      </w:pPr>
      <w:r>
        <w:rPr>
          <w:rStyle w:val="ab"/>
          <w:rFonts w:ascii="Arial" w:hAnsi="Arial"/>
        </w:rPr>
        <w:footnoteRef/>
      </w:r>
      <w:r>
        <w:rPr>
          <w:rFonts w:ascii="Arial" w:hAnsi="Arial"/>
          <w:rtl/>
        </w:rPr>
        <w:t xml:space="preserve"> כן משמע מדבריו בסק"ה, שהביא את דברי הטור כבר פלוגתיה של הרמ"ה.</w:t>
      </w:r>
    </w:p>
  </w:footnote>
  <w:footnote w:id="3161">
    <w:p w14:paraId="2DCCB9F3" w14:textId="77777777" w:rsidR="0013116F" w:rsidRDefault="0013116F" w:rsidP="001D49D4">
      <w:pPr>
        <w:pStyle w:val="a9"/>
        <w:spacing w:after="60"/>
        <w:rPr>
          <w:rFonts w:ascii="Arial" w:hAnsi="Arial"/>
          <w:rtl/>
        </w:rPr>
      </w:pPr>
      <w:r>
        <w:rPr>
          <w:rStyle w:val="ab"/>
          <w:rFonts w:ascii="Arial" w:hAnsi="Arial"/>
        </w:rPr>
        <w:footnoteRef/>
      </w:r>
      <w:r>
        <w:rPr>
          <w:rFonts w:ascii="Arial" w:hAnsi="Arial"/>
          <w:rtl/>
        </w:rPr>
        <w:t xml:space="preserve"> כגון שמרגיש הדיין דהיה כתוב בשטר שלש, והוא זייף ועשה ממנו שלשים, אם הבע"ד לא טען כך רק טען להד"מ, אמנה היה, וכדומה, לא טענינן ליה הזיוף הנ"ל, אבל אם הבע"ד צועק לא נתחייבתי רק שלש ומה טיבו של שלשים, אף דאין הבעל דין מרגיש בזיוף, מכל מקום הוא טוען גוף הדבר, חייב הדיין לומר וכגון זה פתח פיך לאלם, אורים (סק"ז, עיי"ש שהסכים לפירוש הט"ז).</w:t>
      </w:r>
    </w:p>
  </w:footnote>
  <w:footnote w:id="3162">
    <w:p w14:paraId="220668C9" w14:textId="77777777" w:rsidR="0013116F" w:rsidRDefault="0013116F" w:rsidP="001D49D4">
      <w:pPr>
        <w:pStyle w:val="a9"/>
        <w:spacing w:after="60"/>
        <w:rPr>
          <w:rFonts w:ascii="Arial" w:hAnsi="Arial"/>
          <w:rtl/>
        </w:rPr>
      </w:pPr>
      <w:r>
        <w:rPr>
          <w:rStyle w:val="ab"/>
          <w:rFonts w:ascii="Arial" w:hAnsi="Arial"/>
        </w:rPr>
        <w:footnoteRef/>
      </w:r>
      <w:r>
        <w:rPr>
          <w:rFonts w:ascii="Arial" w:hAnsi="Arial"/>
          <w:rtl/>
        </w:rPr>
        <w:t xml:space="preserve"> אפילו אינו מדוחק יותר מדאי, ומותר לכתוב באותו דוחק כל השטרות, אלא שלא ישנה לכתוב מקצת השטר באותו הדוחק ומקצת מרווח יותר, דאם כן יש לחוש שיוסיף איזה אותיות באותו ריוח ולא יהיה ניכר, שהרי יהיה שוה לתיבות המדוחקים שבשטר, סמ"ע (סק"ג).</w:t>
      </w:r>
    </w:p>
  </w:footnote>
  <w:footnote w:id="3163">
    <w:p w14:paraId="6AEEA1C3" w14:textId="77777777" w:rsidR="0013116F" w:rsidRDefault="0013116F" w:rsidP="001D49D4">
      <w:pPr>
        <w:pStyle w:val="a9"/>
        <w:spacing w:after="60"/>
        <w:rPr>
          <w:rFonts w:ascii="Arial" w:hAnsi="Arial"/>
        </w:rPr>
      </w:pPr>
      <w:r>
        <w:rPr>
          <w:rStyle w:val="ab"/>
          <w:rFonts w:ascii="Arial" w:hAnsi="Arial"/>
        </w:rPr>
        <w:footnoteRef/>
      </w:r>
      <w:r>
        <w:rPr>
          <w:rFonts w:ascii="Arial" w:hAnsi="Arial"/>
          <w:rtl/>
        </w:rPr>
        <w:t xml:space="preserve"> הוספת באה"ג.</w:t>
      </w:r>
    </w:p>
  </w:footnote>
  <w:footnote w:id="3164">
    <w:p w14:paraId="5FC09F43" w14:textId="77777777" w:rsidR="0013116F" w:rsidRDefault="0013116F" w:rsidP="001D49D4">
      <w:pPr>
        <w:pStyle w:val="a9"/>
        <w:spacing w:after="60"/>
        <w:rPr>
          <w:rFonts w:ascii="Arial" w:hAnsi="Arial"/>
          <w:rtl/>
        </w:rPr>
      </w:pPr>
      <w:r>
        <w:rPr>
          <w:rStyle w:val="ab"/>
          <w:rFonts w:ascii="Arial" w:hAnsi="Arial"/>
        </w:rPr>
        <w:footnoteRef/>
      </w:r>
      <w:r>
        <w:rPr>
          <w:rFonts w:ascii="Arial" w:hAnsi="Arial"/>
          <w:rtl/>
        </w:rPr>
        <w:t xml:space="preserve"> דמזייף וכתב לתלת תלתין ולארבע ארבעין ולחמש חמשין וכן עד עשר יכתוב לעשר עשרין אבל אחד עשר אינו יכול לזיופי דצריך למכתב אחד ועשרים וכי כתב בין אחד עשר וי"ו נראה דחוק ומינכר, רשב"ם.</w:t>
      </w:r>
    </w:p>
  </w:footnote>
  <w:footnote w:id="3165">
    <w:p w14:paraId="7BAABD0E" w14:textId="77777777" w:rsidR="0013116F" w:rsidRDefault="0013116F" w:rsidP="001D49D4">
      <w:pPr>
        <w:pStyle w:val="a9"/>
        <w:spacing w:after="60"/>
        <w:rPr>
          <w:rFonts w:ascii="Arial" w:hAnsi="Arial"/>
        </w:rPr>
      </w:pPr>
      <w:r>
        <w:rPr>
          <w:rStyle w:val="ab"/>
          <w:rFonts w:ascii="Arial" w:hAnsi="Arial"/>
        </w:rPr>
        <w:footnoteRef/>
      </w:r>
      <w:r>
        <w:rPr>
          <w:rFonts w:ascii="Arial" w:hAnsi="Arial"/>
          <w:rtl/>
        </w:rPr>
        <w:t xml:space="preserve"> ארבע או חמש בסוף שיטה, רשב"ם.</w:t>
      </w:r>
    </w:p>
  </w:footnote>
  <w:footnote w:id="3166">
    <w:p w14:paraId="6023BB9E" w14:textId="77777777" w:rsidR="0013116F" w:rsidRDefault="0013116F" w:rsidP="001D49D4">
      <w:pPr>
        <w:pStyle w:val="a9"/>
        <w:spacing w:after="60"/>
        <w:rPr>
          <w:rFonts w:ascii="Arial" w:hAnsi="Arial"/>
        </w:rPr>
      </w:pPr>
      <w:r>
        <w:rPr>
          <w:rStyle w:val="ab"/>
          <w:rFonts w:ascii="Arial" w:hAnsi="Arial"/>
        </w:rPr>
        <w:footnoteRef/>
      </w:r>
      <w:r>
        <w:rPr>
          <w:rFonts w:ascii="Arial" w:hAnsi="Arial"/>
          <w:rtl/>
        </w:rPr>
        <w:t xml:space="preserve"> ולדכריה להאי סכומא עד דמיתרמי ליה באמצע שיטה דאפי' אם יזייף וכתב אין למדין אלא מן התחתון כדקתני מתני', רשב"ם.</w:t>
      </w:r>
    </w:p>
  </w:footnote>
  <w:footnote w:id="3167">
    <w:p w14:paraId="55E18E37" w14:textId="77777777" w:rsidR="0013116F" w:rsidRDefault="0013116F" w:rsidP="001D49D4">
      <w:pPr>
        <w:pStyle w:val="a9"/>
        <w:spacing w:after="60"/>
        <w:rPr>
          <w:rFonts w:ascii="Arial" w:hAnsi="Arial"/>
          <w:rtl/>
        </w:rPr>
      </w:pPr>
      <w:r>
        <w:rPr>
          <w:rStyle w:val="ab"/>
          <w:rFonts w:ascii="Arial" w:hAnsi="Arial"/>
        </w:rPr>
        <w:footnoteRef/>
      </w:r>
      <w:r>
        <w:rPr>
          <w:rFonts w:ascii="Arial" w:hAnsi="Arial"/>
          <w:rtl/>
        </w:rPr>
        <w:t xml:space="preserve"> ד"ה לא לכתוב, הביאו הב"י.</w:t>
      </w:r>
    </w:p>
  </w:footnote>
  <w:footnote w:id="3168">
    <w:p w14:paraId="4919AA73" w14:textId="77777777" w:rsidR="0013116F" w:rsidRDefault="0013116F" w:rsidP="001D49D4">
      <w:pPr>
        <w:pStyle w:val="a9"/>
        <w:spacing w:after="60"/>
        <w:rPr>
          <w:rFonts w:ascii="Arial" w:hAnsi="Arial"/>
        </w:rPr>
      </w:pPr>
      <w:r>
        <w:rPr>
          <w:rStyle w:val="ab"/>
          <w:rFonts w:ascii="Arial" w:hAnsi="Arial"/>
        </w:rPr>
        <w:footnoteRef/>
      </w:r>
      <w:r>
        <w:rPr>
          <w:rFonts w:ascii="Arial" w:hAnsi="Arial"/>
          <w:rtl/>
        </w:rPr>
        <w:t xml:space="preserve"> ב"ב קסז ע"א ד"ה לא לכתוב. וכ' בסוף דבריו וז"ל- "ובשלחן ערוך סימן מ"ב כתב </w:t>
      </w:r>
      <w:r>
        <w:rPr>
          <w:rFonts w:ascii="Arial" w:hAnsi="Arial"/>
          <w:sz w:val="16"/>
          <w:szCs w:val="16"/>
          <w:rtl/>
        </w:rPr>
        <w:t xml:space="preserve">{הרמ"א} </w:t>
      </w:r>
      <w:r>
        <w:rPr>
          <w:rFonts w:ascii="Arial" w:hAnsi="Arial"/>
          <w:rtl/>
        </w:rPr>
        <w:t>כדברי התוספות ולפי מה שכתבתי דברי הראב"ן ז"ל נכונים". והביאו הש"ך בסוף דבריו ונראה שג"כ מסכים לזה.</w:t>
      </w:r>
    </w:p>
  </w:footnote>
  <w:footnote w:id="3169">
    <w:p w14:paraId="78ACC8C7" w14:textId="77777777" w:rsidR="0013116F" w:rsidRDefault="0013116F" w:rsidP="001D49D4">
      <w:pPr>
        <w:pStyle w:val="a9"/>
        <w:spacing w:after="60"/>
        <w:rPr>
          <w:rFonts w:ascii="Arial" w:hAnsi="Arial"/>
          <w:rtl/>
        </w:rPr>
      </w:pPr>
      <w:r>
        <w:rPr>
          <w:rStyle w:val="ab"/>
          <w:rFonts w:ascii="Arial" w:hAnsi="Arial"/>
        </w:rPr>
        <w:footnoteRef/>
      </w:r>
      <w:r>
        <w:rPr>
          <w:rFonts w:ascii="Arial" w:hAnsi="Arial"/>
          <w:rtl/>
        </w:rPr>
        <w:t xml:space="preserve"> ואם תשאל- "למה צריך לחזור עד שיבוא באמצע השיטה, הא יש תיקון להוסיף בסוף השיטה ה' על תיבת שלש או עשר?", י"ל דהוא משום דאין כותבין </w:t>
      </w:r>
      <w:r>
        <w:rPr>
          <w:rFonts w:ascii="Arial" w:hAnsi="Arial"/>
          <w:sz w:val="16"/>
          <w:szCs w:val="16"/>
          <w:rtl/>
        </w:rPr>
        <w:t xml:space="preserve">(לכתחילה, ש"ך) </w:t>
      </w:r>
      <w:r>
        <w:rPr>
          <w:rFonts w:ascii="Arial" w:hAnsi="Arial"/>
          <w:rtl/>
        </w:rPr>
        <w:t xml:space="preserve">שלשה או עשרה שהוא לשון זכר אמספר אמות או אצבעות שהוא לשון נקיבה </w:t>
      </w:r>
      <w:r>
        <w:rPr>
          <w:rFonts w:ascii="Arial" w:hAnsi="Arial"/>
          <w:sz w:val="16"/>
          <w:szCs w:val="16"/>
          <w:rtl/>
        </w:rPr>
        <w:t>(סמ"ע סק"ח וש"ך סק"ה)</w:t>
      </w:r>
      <w:r>
        <w:rPr>
          <w:rFonts w:ascii="Arial" w:hAnsi="Arial"/>
          <w:rtl/>
        </w:rPr>
        <w:t>. א"נ מיירי שאין רווח בסוף השיטה להוסיף כלל, ואם ידחוק הא יש חשש זיוף, א"נ דמיירי בלשון תרגום 'תמני' וא"א לשנות</w:t>
      </w:r>
      <w:r>
        <w:rPr>
          <w:rFonts w:ascii="Arial" w:hAnsi="Arial"/>
          <w:sz w:val="16"/>
          <w:szCs w:val="16"/>
          <w:rtl/>
        </w:rPr>
        <w:t xml:space="preserve"> (אורים סק"י)</w:t>
      </w:r>
      <w:r>
        <w:rPr>
          <w:rFonts w:ascii="Arial" w:hAnsi="Arial"/>
          <w:rtl/>
        </w:rPr>
        <w:t xml:space="preserve">.  </w:t>
      </w:r>
    </w:p>
  </w:footnote>
  <w:footnote w:id="3170">
    <w:p w14:paraId="179F73AE" w14:textId="77777777" w:rsidR="0013116F" w:rsidRDefault="0013116F" w:rsidP="001D49D4">
      <w:pPr>
        <w:pStyle w:val="a9"/>
        <w:spacing w:after="60"/>
        <w:rPr>
          <w:rFonts w:ascii="Arial" w:hAnsi="Arial"/>
          <w:rtl/>
        </w:rPr>
      </w:pPr>
      <w:r>
        <w:rPr>
          <w:rStyle w:val="ab"/>
          <w:rFonts w:ascii="Arial" w:hAnsi="Arial"/>
        </w:rPr>
        <w:footnoteRef/>
      </w:r>
      <w:r>
        <w:rPr>
          <w:rFonts w:ascii="Arial" w:hAnsi="Arial"/>
          <w:rtl/>
        </w:rPr>
        <w:t xml:space="preserve"> וה"ה לשאר אותיות שאפשר לזייף, כגון וי"ו לעשות ממנו זיין ומה' ח' או ק', סמ"ע (סק"ט).</w:t>
      </w:r>
    </w:p>
  </w:footnote>
  <w:footnote w:id="3171">
    <w:p w14:paraId="5B259793" w14:textId="77777777" w:rsidR="0013116F" w:rsidRDefault="0013116F" w:rsidP="001D49D4">
      <w:pPr>
        <w:pStyle w:val="a9"/>
        <w:spacing w:after="60"/>
        <w:rPr>
          <w:rFonts w:ascii="Arial" w:hAnsi="Arial"/>
          <w:rtl/>
        </w:rPr>
      </w:pPr>
      <w:r>
        <w:rPr>
          <w:rStyle w:val="ab"/>
          <w:rFonts w:ascii="Arial" w:hAnsi="Arial"/>
        </w:rPr>
        <w:footnoteRef/>
      </w:r>
      <w:r>
        <w:rPr>
          <w:rFonts w:ascii="Arial" w:hAnsi="Arial"/>
          <w:rtl/>
        </w:rPr>
        <w:t xml:space="preserve"> כגון י"ב י"ג- כשר, שא"א לזייף, וליכא למיחש שמא היה כתוב בו ב' או ג' והוסיף היו"ד, מטעמא דאמרינן חזקה על העדים שעושין כהוגן, ואם היה כתוב בו ב' או ג' לא היו חותמין, עכ"ל עיר שושן.</w:t>
      </w:r>
      <w:r>
        <w:rPr>
          <w:rFonts w:ascii="Arial" w:hAnsi="Arial"/>
          <w:sz w:val="16"/>
          <w:szCs w:val="16"/>
          <w:rtl/>
        </w:rPr>
        <w:t xml:space="preserve"> (ועין בסמ"ע [סק"ט] שהסכים עמו לדינא אך חלק על טעמו. אך הט"ז והש"ך [סק"ח] השיגו על דברי הסמ"ע)</w:t>
      </w:r>
      <w:r>
        <w:rPr>
          <w:rFonts w:ascii="Arial" w:hAnsi="Arial"/>
          <w:rtl/>
        </w:rPr>
        <w:t xml:space="preserve"> </w:t>
      </w:r>
    </w:p>
  </w:footnote>
  <w:footnote w:id="3172">
    <w:p w14:paraId="4C34D98A" w14:textId="77777777" w:rsidR="0013116F" w:rsidRDefault="0013116F" w:rsidP="001D49D4">
      <w:pPr>
        <w:pStyle w:val="a9"/>
        <w:spacing w:after="60"/>
        <w:rPr>
          <w:rFonts w:ascii="Arial" w:hAnsi="Arial"/>
        </w:rPr>
      </w:pPr>
      <w:r>
        <w:rPr>
          <w:rStyle w:val="ab"/>
          <w:rFonts w:ascii="Arial" w:hAnsi="Arial"/>
        </w:rPr>
        <w:footnoteRef/>
      </w:r>
      <w:r>
        <w:rPr>
          <w:rFonts w:ascii="Arial" w:hAnsi="Arial"/>
          <w:rtl/>
        </w:rPr>
        <w:t xml:space="preserve"> וכ' הש"ך</w:t>
      </w:r>
      <w:r>
        <w:rPr>
          <w:rFonts w:ascii="Arial" w:hAnsi="Arial"/>
          <w:sz w:val="16"/>
          <w:szCs w:val="16"/>
          <w:rtl/>
        </w:rPr>
        <w:t xml:space="preserve"> (סק"ז)</w:t>
      </w:r>
      <w:r>
        <w:rPr>
          <w:rFonts w:ascii="Arial" w:hAnsi="Arial"/>
          <w:rtl/>
        </w:rPr>
        <w:t xml:space="preserve"> שדברי הב"ח אינם מוכרחים. וכ' שעהמ"ש </w:t>
      </w:r>
      <w:r>
        <w:rPr>
          <w:rFonts w:ascii="Arial" w:hAnsi="Arial"/>
          <w:sz w:val="16"/>
          <w:szCs w:val="16"/>
          <w:rtl/>
        </w:rPr>
        <w:t>(סק"ג)</w:t>
      </w:r>
      <w:r>
        <w:rPr>
          <w:rFonts w:ascii="Arial" w:hAnsi="Arial"/>
          <w:rtl/>
        </w:rPr>
        <w:t xml:space="preserve"> דטעמו הוא דאף אם יהיה נכתב בסוף שלשים לא אזלינן בתר התחתון דדילמא כ' וזייף בסוף שיטה.</w:t>
      </w:r>
    </w:p>
  </w:footnote>
  <w:footnote w:id="3173">
    <w:p w14:paraId="228A55A2" w14:textId="77777777" w:rsidR="0013116F" w:rsidRDefault="0013116F" w:rsidP="001D49D4">
      <w:pPr>
        <w:pStyle w:val="a9"/>
        <w:spacing w:after="60"/>
        <w:rPr>
          <w:rFonts w:ascii="Arial" w:hAnsi="Arial"/>
        </w:rPr>
      </w:pPr>
      <w:r>
        <w:rPr>
          <w:rStyle w:val="ab"/>
          <w:rFonts w:ascii="Arial" w:hAnsi="Arial"/>
        </w:rPr>
        <w:footnoteRef/>
      </w:r>
      <w:r>
        <w:rPr>
          <w:rFonts w:ascii="Arial" w:hAnsi="Arial"/>
          <w:rtl/>
        </w:rPr>
        <w:t xml:space="preserve"> בשטר מלוה "זוזים מאה דאינון עשרים סלעים לוה פלוני מפלוני", ואע"פ שמאה זוזי הרי הן כ"ה סלעים אין למלוה אלא כ' זוזים דיד בעל השטר על התחתונה, והמוציא מחבירו עליו הראיה, ושמא כך פי' מאה זוזים גרועים וחסירים שאינן שוין אלא כ' סלעים, רשב"ם.</w:t>
      </w:r>
    </w:p>
  </w:footnote>
  <w:footnote w:id="3174">
    <w:p w14:paraId="3003DACE" w14:textId="77777777" w:rsidR="0013116F" w:rsidRDefault="0013116F" w:rsidP="001D49D4">
      <w:pPr>
        <w:pStyle w:val="a9"/>
        <w:spacing w:after="60"/>
        <w:rPr>
          <w:rFonts w:ascii="Arial" w:hAnsi="Arial"/>
        </w:rPr>
      </w:pPr>
      <w:r>
        <w:rPr>
          <w:rStyle w:val="ab"/>
          <w:rFonts w:ascii="Arial" w:hAnsi="Arial"/>
        </w:rPr>
        <w:footnoteRef/>
      </w:r>
      <w:r>
        <w:rPr>
          <w:rFonts w:ascii="Arial" w:hAnsi="Arial"/>
          <w:rtl/>
        </w:rPr>
        <w:t xml:space="preserve"> מאה זוזים, שיש לפרש כך "זוזים מאה דאינון תלתין סלעים קלים שאינן שוין אלא כ"ה סלעים", דיד בעל השטר על התחתונה, הסלע- ארבעה דינרין, המנה- כ"ה סלעים, רשב"ם.</w:t>
      </w:r>
    </w:p>
  </w:footnote>
  <w:footnote w:id="3175">
    <w:p w14:paraId="1EEDD818" w14:textId="77777777" w:rsidR="0013116F" w:rsidRDefault="0013116F" w:rsidP="001D49D4">
      <w:pPr>
        <w:pStyle w:val="a9"/>
        <w:spacing w:after="60"/>
        <w:rPr>
          <w:rFonts w:ascii="Arial" w:hAnsi="Arial"/>
        </w:rPr>
      </w:pPr>
      <w:r>
        <w:rPr>
          <w:rStyle w:val="ab"/>
          <w:rFonts w:ascii="Arial" w:hAnsi="Arial"/>
        </w:rPr>
        <w:footnoteRef/>
      </w:r>
      <w:r>
        <w:rPr>
          <w:rFonts w:ascii="Arial" w:hAnsi="Arial"/>
          <w:rtl/>
        </w:rPr>
        <w:t xml:space="preserve"> כשכפל דבריו בשטר, רשב"ם.</w:t>
      </w:r>
    </w:p>
  </w:footnote>
  <w:footnote w:id="3176">
    <w:p w14:paraId="2587E098" w14:textId="77777777" w:rsidR="0013116F" w:rsidRDefault="0013116F" w:rsidP="001D49D4">
      <w:pPr>
        <w:pStyle w:val="a9"/>
        <w:spacing w:after="60"/>
        <w:rPr>
          <w:rFonts w:ascii="Arial" w:hAnsi="Arial"/>
          <w:rtl/>
        </w:rPr>
      </w:pPr>
      <w:r>
        <w:rPr>
          <w:rStyle w:val="ab"/>
          <w:rFonts w:ascii="Arial" w:hAnsi="Arial"/>
        </w:rPr>
        <w:footnoteRef/>
      </w:r>
      <w:r>
        <w:rPr>
          <w:rFonts w:ascii="Arial" w:hAnsi="Arial"/>
          <w:rtl/>
        </w:rPr>
        <w:t xml:space="preserve"> אלא שלא יהא כתוב בשיטה אחרונה, רשב"ם.</w:t>
      </w:r>
      <w:r>
        <w:rPr>
          <w:rFonts w:ascii="Arial" w:hAnsi="Arial"/>
          <w:rtl/>
        </w:rPr>
        <w:tab/>
      </w:r>
    </w:p>
  </w:footnote>
  <w:footnote w:id="3177">
    <w:p w14:paraId="68BFF2D2" w14:textId="77777777" w:rsidR="0013116F" w:rsidRDefault="0013116F" w:rsidP="001D49D4">
      <w:pPr>
        <w:pStyle w:val="a9"/>
        <w:spacing w:after="60"/>
        <w:rPr>
          <w:rFonts w:ascii="Arial" w:hAnsi="Arial"/>
        </w:rPr>
      </w:pPr>
      <w:r>
        <w:rPr>
          <w:rStyle w:val="ab"/>
          <w:rFonts w:ascii="Arial" w:hAnsi="Arial"/>
        </w:rPr>
        <w:footnoteRef/>
      </w:r>
      <w:r>
        <w:rPr>
          <w:rFonts w:ascii="Arial" w:hAnsi="Arial"/>
          <w:rtl/>
        </w:rPr>
        <w:t xml:space="preserve"> הואיל ובסוף השטר חוזר וכופל את דבריו שכותבין ושונין אחריות ממון זה כך וכך קבלתי עלי ועל ירתיי כו', רשב"ם.</w:t>
      </w:r>
    </w:p>
  </w:footnote>
  <w:footnote w:id="3178">
    <w:p w14:paraId="26D346B2" w14:textId="77777777" w:rsidR="0013116F" w:rsidRDefault="0013116F" w:rsidP="001D49D4">
      <w:pPr>
        <w:spacing w:after="60" w:line="240" w:lineRule="auto"/>
        <w:rPr>
          <w:rFonts w:ascii="Arial" w:hAnsi="Arial"/>
          <w:sz w:val="20"/>
          <w:szCs w:val="20"/>
        </w:rPr>
      </w:pPr>
      <w:r>
        <w:rPr>
          <w:rStyle w:val="ab"/>
          <w:rFonts w:ascii="Arial" w:hAnsi="Arial"/>
        </w:rPr>
        <w:footnoteRef/>
      </w:r>
      <w:r>
        <w:rPr>
          <w:rFonts w:ascii="Arial" w:hAnsi="Arial"/>
          <w:sz w:val="20"/>
          <w:szCs w:val="20"/>
          <w:rtl/>
        </w:rPr>
        <w:t xml:space="preserve"> זהו שאנו כותבין בסוף השטר וקנינא מן פלוני בר פלוני לפלוני ככל מה דכתב ומפרש לעיל כו', דהיינו שמפרש וכופל הענין הכתוב למעלה, והאי וצריך שיחזור הכי מפרשינן לה- וצריך שלא יהא כתוב בסוף השטר בשיטה אחרונה שום דבר חידוש ושום תנאי שהשטר תלוי בו שאינו כתוב למעלה לפי שלא נלמד משיטה אחרונה, כדמפרש לקמן, ונמצא שיתקיים השטר העליון בלא התנאי ויגבה בו שלא כדין אע"פ שלא נתקיים התנאי. אלא בדברים שאין לנו צורך בהן ללמוד ממנו יסיים שטרו, כגון מענינו של שטר, ומעתה לא נפסיד כלום אם לא נלמד משיטה אחרונה שהרי כבר מפורש למעלה מה שכתב בשיטה אחרונה, רשב"ם.</w:t>
      </w:r>
    </w:p>
  </w:footnote>
  <w:footnote w:id="3179">
    <w:p w14:paraId="124BDD6E" w14:textId="77777777" w:rsidR="0013116F" w:rsidRDefault="0013116F" w:rsidP="001D49D4">
      <w:pPr>
        <w:pStyle w:val="a9"/>
        <w:spacing w:after="60"/>
        <w:rPr>
          <w:rFonts w:ascii="Arial" w:hAnsi="Arial"/>
        </w:rPr>
      </w:pPr>
      <w:r>
        <w:rPr>
          <w:rStyle w:val="ab"/>
          <w:rFonts w:ascii="Arial" w:hAnsi="Arial"/>
        </w:rPr>
        <w:footnoteRef/>
      </w:r>
      <w:r>
        <w:rPr>
          <w:rFonts w:ascii="Arial" w:hAnsi="Arial"/>
          <w:rtl/>
        </w:rPr>
        <w:t xml:space="preserve"> מפני שאין העדים יכולין לקרב חתימתן כ"כ בסמוך בסוף השטר, ומניחין ריוח בין השטר לחתימתן ויכול אדם לזייף ולהוסיף בינתים שיטה אחת, והלכך תקון רבנן לחזור מענינו של שטר בשיטה אחרונה לבלתי שיכתב בה דבר הצריך, שהרי אם זייפו והוסיפו לאחר זמן- אין אנו מפסידין כלום אם לא נלמד הימנה שהרי כבר כתוב כל זה למעלה, וגם אם זייפו ויוסיפו בשיטת החלק שאחר ענינו של שטר שבשיטה אחרונה בין השטר לעדים- לא מעלה ולא מוריד שהרי אין למדין משיטה אחרונה, ובשאין כתוב בשטר שריר וקיים מיירי, כן נראה בעיני טעם הדבר ופירושו ועיקר, רשב"ם.</w:t>
      </w:r>
    </w:p>
  </w:footnote>
  <w:footnote w:id="3180">
    <w:p w14:paraId="037A725F" w14:textId="77777777" w:rsidR="0013116F" w:rsidRDefault="0013116F" w:rsidP="001D49D4">
      <w:pPr>
        <w:pStyle w:val="a9"/>
        <w:spacing w:after="60"/>
        <w:rPr>
          <w:rFonts w:ascii="Arial" w:hAnsi="Arial"/>
          <w:rtl/>
        </w:rPr>
      </w:pPr>
      <w:r>
        <w:rPr>
          <w:rStyle w:val="ab"/>
          <w:rFonts w:ascii="Arial" w:hAnsi="Arial"/>
        </w:rPr>
        <w:footnoteRef/>
      </w:r>
      <w:r>
        <w:rPr>
          <w:rFonts w:ascii="Arial" w:hAnsi="Arial"/>
          <w:rtl/>
        </w:rPr>
        <w:t xml:space="preserve"> הגה"מ </w:t>
      </w:r>
      <w:r>
        <w:rPr>
          <w:rFonts w:ascii="Arial" w:hAnsi="Arial"/>
          <w:sz w:val="16"/>
          <w:szCs w:val="16"/>
          <w:rtl/>
        </w:rPr>
        <w:t>(הל' מלוה פכ"ז אות מ)</w:t>
      </w:r>
      <w:r>
        <w:rPr>
          <w:rFonts w:ascii="Arial" w:hAnsi="Arial"/>
          <w:rtl/>
        </w:rPr>
        <w:t xml:space="preserve"> בשם מהר"ם וטור. וסיים בהגה"מ דמקיימין השטר "אפילו היכא דשתי הלשונות מרוחקין זה מזה כ"ש היכא דסמיכי אהדדי דלאו אורחא הוא לומר בתוך כדי דבור ב' לשונות דסתרי אהדדי"</w:t>
      </w:r>
      <w:r>
        <w:rPr>
          <w:rFonts w:ascii="Arial" w:hAnsi="Arial"/>
          <w:sz w:val="16"/>
          <w:szCs w:val="16"/>
          <w:rtl/>
        </w:rPr>
        <w:t xml:space="preserve"> (וכ"כ הב"י בשמו)</w:t>
      </w:r>
      <w:r>
        <w:rPr>
          <w:rFonts w:ascii="Arial" w:hAnsi="Arial"/>
          <w:rtl/>
        </w:rPr>
        <w:t xml:space="preserve">. ונחלקו הסמ"ע והש"ך בפירוש דבריו, </w:t>
      </w:r>
      <w:r>
        <w:rPr>
          <w:rFonts w:ascii="Arial" w:hAnsi="Arial"/>
          <w:u w:val="single"/>
          <w:rtl/>
        </w:rPr>
        <w:t>הסמ"ע</w:t>
      </w:r>
      <w:r>
        <w:rPr>
          <w:rFonts w:ascii="Arial" w:hAnsi="Arial"/>
          <w:rtl/>
        </w:rPr>
        <w:t xml:space="preserve"> </w:t>
      </w:r>
      <w:r>
        <w:rPr>
          <w:rFonts w:ascii="Arial" w:hAnsi="Arial"/>
          <w:sz w:val="16"/>
          <w:szCs w:val="16"/>
          <w:rtl/>
        </w:rPr>
        <w:t xml:space="preserve">(סק"י) </w:t>
      </w:r>
      <w:r>
        <w:rPr>
          <w:rFonts w:ascii="Arial" w:hAnsi="Arial"/>
          <w:rtl/>
        </w:rPr>
        <w:t xml:space="preserve">פירש שרחוקים הכונה דאפי' אם אפשר ליישבם רק בדוחק- מ"מ מקיימין. אבל </w:t>
      </w:r>
      <w:r>
        <w:rPr>
          <w:rFonts w:ascii="Arial" w:hAnsi="Arial"/>
          <w:u w:val="single"/>
          <w:rtl/>
        </w:rPr>
        <w:t>הש"ך</w:t>
      </w:r>
      <w:r>
        <w:rPr>
          <w:rFonts w:ascii="Arial" w:hAnsi="Arial"/>
          <w:rtl/>
        </w:rPr>
        <w:t xml:space="preserve"> </w:t>
      </w:r>
      <w:r>
        <w:rPr>
          <w:rFonts w:ascii="Arial" w:hAnsi="Arial"/>
          <w:sz w:val="16"/>
          <w:szCs w:val="16"/>
          <w:rtl/>
        </w:rPr>
        <w:t xml:space="preserve">(סק"ט) </w:t>
      </w:r>
      <w:r>
        <w:rPr>
          <w:rFonts w:ascii="Arial" w:hAnsi="Arial"/>
          <w:rtl/>
        </w:rPr>
        <w:t xml:space="preserve">פירש שרחוקים הכונה ריחוק פיזי, שיש דברים אחרים שמפסיקים ביניהם, וכך היא מסקנת </w:t>
      </w:r>
      <w:r>
        <w:rPr>
          <w:rFonts w:ascii="Arial" w:hAnsi="Arial"/>
          <w:u w:val="single"/>
          <w:rtl/>
        </w:rPr>
        <w:t>האורים</w:t>
      </w:r>
      <w:r>
        <w:rPr>
          <w:rFonts w:ascii="Arial" w:hAnsi="Arial"/>
          <w:rtl/>
        </w:rPr>
        <w:t xml:space="preserve"> </w:t>
      </w:r>
      <w:r>
        <w:rPr>
          <w:rFonts w:ascii="Arial" w:hAnsi="Arial"/>
          <w:sz w:val="16"/>
          <w:szCs w:val="16"/>
          <w:rtl/>
        </w:rPr>
        <w:t>(סקי"ג)</w:t>
      </w:r>
      <w:r>
        <w:rPr>
          <w:rFonts w:ascii="Arial" w:hAnsi="Arial"/>
          <w:rtl/>
        </w:rPr>
        <w:t xml:space="preserve">. וסיים הש"ך- "אבל כשאי אפשר ליישבם אם לא מדוחק זה לא שמענו" ז"א שאם אפשר ליישבם רק בדוחק- אין מקיימין, והולכים אחר התחתון. </w:t>
      </w:r>
    </w:p>
  </w:footnote>
  <w:footnote w:id="3181">
    <w:p w14:paraId="0B825CD7" w14:textId="77777777" w:rsidR="0013116F" w:rsidRDefault="0013116F" w:rsidP="001D49D4">
      <w:pPr>
        <w:pStyle w:val="a9"/>
        <w:spacing w:after="60"/>
        <w:rPr>
          <w:rFonts w:ascii="Arial" w:hAnsi="Arial"/>
          <w:rtl/>
        </w:rPr>
      </w:pPr>
      <w:r>
        <w:rPr>
          <w:rStyle w:val="ab"/>
          <w:rFonts w:ascii="Arial" w:hAnsi="Arial"/>
        </w:rPr>
        <w:footnoteRef/>
      </w:r>
      <w:r>
        <w:rPr>
          <w:rFonts w:ascii="Arial" w:hAnsi="Arial"/>
          <w:rtl/>
        </w:rPr>
        <w:t xml:space="preserve"> דאין למדין משיטה אחרונה, משום דאין מדרך העדים לצמצם כ"כ לחתום נפשם סמוך לשטר ממש, וחיישינן שמא העדים הניחו ריוח בין חתימתן לכתיבת השטר כשיעור שיכולין להוסיף בו שיטה, והמלוה זייף וכתב באותה שיטה זכותו, ומהאי טעמא כשנמצא באותה שיטה חובתו למדין ממנה, סמ"ע (סקי"ב).</w:t>
      </w:r>
    </w:p>
  </w:footnote>
  <w:footnote w:id="3182">
    <w:p w14:paraId="23304BAB" w14:textId="77777777" w:rsidR="0013116F" w:rsidRDefault="0013116F" w:rsidP="001D49D4">
      <w:pPr>
        <w:pStyle w:val="a9"/>
        <w:spacing w:after="60"/>
        <w:rPr>
          <w:rFonts w:ascii="Arial" w:hAnsi="Arial"/>
          <w:rtl/>
        </w:rPr>
      </w:pPr>
      <w:r>
        <w:rPr>
          <w:rStyle w:val="ab"/>
          <w:rFonts w:ascii="Arial" w:hAnsi="Arial"/>
        </w:rPr>
        <w:footnoteRef/>
      </w:r>
      <w:r>
        <w:rPr>
          <w:rFonts w:ascii="Arial" w:hAnsi="Arial"/>
          <w:rtl/>
        </w:rPr>
        <w:t xml:space="preserve"> יתבאר בסוף סי' מ"ד (סע' ט') דכשכתב בו שריר וקיים ליכא למיחש לזיוף ע"ש, סמ"ע (סקי"ג).</w:t>
      </w:r>
    </w:p>
  </w:footnote>
  <w:footnote w:id="3183">
    <w:p w14:paraId="0ED3B55E" w14:textId="77777777" w:rsidR="0013116F" w:rsidRDefault="0013116F" w:rsidP="001D49D4">
      <w:pPr>
        <w:pStyle w:val="a9"/>
        <w:spacing w:after="60"/>
        <w:rPr>
          <w:rFonts w:ascii="Arial" w:hAnsi="Arial"/>
        </w:rPr>
      </w:pPr>
      <w:r>
        <w:rPr>
          <w:rStyle w:val="ab"/>
          <w:rFonts w:ascii="Arial" w:hAnsi="Arial"/>
        </w:rPr>
        <w:footnoteRef/>
      </w:r>
      <w:r>
        <w:rPr>
          <w:rFonts w:ascii="Arial" w:hAnsi="Arial"/>
          <w:rtl/>
        </w:rPr>
        <w:t xml:space="preserve"> וז"ל הב"י שם- וכתב נימוקי יוסף (עו: ד"ה מתני' כתב) בשם הריטב"א (קסו: ד"ה הא) והרא"ה ז"ל דהיינו אם כתוב מלמעלה מנה ומלמטה מאתים אבל אי הוי איפכא שכתוב למעלה מאתים ולמטה מנה למדין מהתחתון אפילו שהוא בשטה אחרונה כיון שבא להוציא מידו או מיד יורשיו.</w:t>
      </w:r>
    </w:p>
  </w:footnote>
  <w:footnote w:id="3184">
    <w:p w14:paraId="6AE18D3F" w14:textId="77777777" w:rsidR="0013116F" w:rsidRDefault="0013116F" w:rsidP="001D49D4">
      <w:pPr>
        <w:pStyle w:val="a9"/>
        <w:spacing w:after="60"/>
        <w:rPr>
          <w:rFonts w:ascii="Arial" w:hAnsi="Arial"/>
        </w:rPr>
      </w:pPr>
      <w:r>
        <w:rPr>
          <w:rStyle w:val="ab"/>
          <w:rFonts w:ascii="Arial" w:hAnsi="Arial"/>
        </w:rPr>
        <w:footnoteRef/>
      </w:r>
      <w:r>
        <w:rPr>
          <w:rFonts w:ascii="Arial" w:hAnsi="Arial"/>
          <w:rtl/>
        </w:rPr>
        <w:t xml:space="preserve"> והוא הר"ר ישעיה, הביאו הטור.</w:t>
      </w:r>
    </w:p>
  </w:footnote>
  <w:footnote w:id="3185">
    <w:p w14:paraId="69F48945" w14:textId="77777777" w:rsidR="0013116F" w:rsidRDefault="0013116F" w:rsidP="001D49D4">
      <w:pPr>
        <w:pStyle w:val="a9"/>
        <w:spacing w:after="60"/>
        <w:rPr>
          <w:rFonts w:ascii="Arial" w:hAnsi="Arial"/>
          <w:rtl/>
        </w:rPr>
      </w:pPr>
      <w:r>
        <w:rPr>
          <w:rStyle w:val="ab"/>
          <w:rFonts w:ascii="Arial" w:hAnsi="Arial"/>
        </w:rPr>
        <w:footnoteRef/>
      </w:r>
      <w:r>
        <w:rPr>
          <w:rFonts w:ascii="Arial" w:hAnsi="Arial"/>
          <w:rtl/>
        </w:rPr>
        <w:t xml:space="preserve"> בטור כ'- "כגון פלוני לוה מפלוני מאה זוזי דאינון עשרים סלעים אין לו אלא כ' סלעים שיש לפרש ק' זוזי גרועים שאינן שוין אלא כ' סלעים".</w:t>
      </w:r>
    </w:p>
  </w:footnote>
  <w:footnote w:id="3186">
    <w:p w14:paraId="6542FEBF" w14:textId="77777777" w:rsidR="0013116F" w:rsidRDefault="0013116F" w:rsidP="001D49D4">
      <w:pPr>
        <w:pStyle w:val="a9"/>
        <w:spacing w:after="60"/>
        <w:rPr>
          <w:rFonts w:ascii="Arial" w:hAnsi="Arial"/>
          <w:rtl/>
        </w:rPr>
      </w:pPr>
      <w:r>
        <w:rPr>
          <w:rStyle w:val="ab"/>
          <w:rFonts w:ascii="Arial" w:hAnsi="Arial"/>
        </w:rPr>
        <w:footnoteRef/>
      </w:r>
      <w:r>
        <w:rPr>
          <w:rFonts w:ascii="Arial" w:hAnsi="Arial"/>
          <w:rtl/>
        </w:rPr>
        <w:t xml:space="preserve"> וטעמו, דכיון דהוא דיבור אחד ואי אפשר לחלק ביניהן לומר שהוא חזרה, משום הכי הולכין אחר הפחות, סמ"ע (סקט"ו).</w:t>
      </w:r>
    </w:p>
  </w:footnote>
  <w:footnote w:id="3187">
    <w:p w14:paraId="5633C7B1" w14:textId="77777777" w:rsidR="0013116F" w:rsidRDefault="0013116F" w:rsidP="001D49D4">
      <w:pPr>
        <w:pStyle w:val="a9"/>
        <w:spacing w:after="60"/>
        <w:rPr>
          <w:rFonts w:ascii="Arial" w:hAnsi="Arial"/>
        </w:rPr>
      </w:pPr>
      <w:r>
        <w:rPr>
          <w:rStyle w:val="ab"/>
          <w:rFonts w:ascii="Arial" w:hAnsi="Arial"/>
        </w:rPr>
        <w:footnoteRef/>
      </w:r>
      <w:r>
        <w:rPr>
          <w:rFonts w:ascii="Arial" w:hAnsi="Arial"/>
          <w:rtl/>
        </w:rPr>
        <w:t xml:space="preserve"> הביאוהו הדרכ"מ (הארוך אות יב) והסמ"ע (סקט"ז).</w:t>
      </w:r>
    </w:p>
  </w:footnote>
  <w:footnote w:id="3188">
    <w:p w14:paraId="1B80B722" w14:textId="77777777" w:rsidR="0013116F" w:rsidRDefault="0013116F" w:rsidP="001D49D4">
      <w:pPr>
        <w:pStyle w:val="a9"/>
        <w:spacing w:after="60"/>
        <w:rPr>
          <w:rFonts w:ascii="Arial" w:hAnsi="Arial"/>
        </w:rPr>
      </w:pPr>
      <w:r>
        <w:rPr>
          <w:rStyle w:val="ab"/>
          <w:rFonts w:ascii="Arial" w:hAnsi="Arial"/>
        </w:rPr>
        <w:footnoteRef/>
      </w:r>
      <w:r>
        <w:rPr>
          <w:rFonts w:ascii="Arial" w:hAnsi="Arial"/>
          <w:rtl/>
        </w:rPr>
        <w:t xml:space="preserve"> </w:t>
      </w:r>
      <w:r>
        <w:rPr>
          <w:rFonts w:ascii="Arial" w:hAnsi="Arial" w:hint="cs"/>
          <w:rtl/>
        </w:rPr>
        <w:t xml:space="preserve">זו לשונו בתשובה שם: "ועל השטר שכתב בו רק: וכל הדברים דלעיל עשינו בקנין גמור ואין בו במנא דכשר כו', והביא מר ראיה מן התוס' דאע"פ דסתם קנין שבתלמוד הוא קנין חליפין. אמת הוא כך, דהכי איתא בתוס' בדיבור כתבו וחתמו </w:t>
      </w:r>
      <w:r>
        <w:rPr>
          <w:rFonts w:ascii="Arial" w:hAnsi="Arial"/>
          <w:sz w:val="16"/>
          <w:szCs w:val="16"/>
          <w:rtl/>
        </w:rPr>
        <w:t>(ב"מ סו. ד"ה ומניומי)</w:t>
      </w:r>
      <w:r>
        <w:rPr>
          <w:rFonts w:ascii="Arial" w:hAnsi="Arial"/>
          <w:rtl/>
        </w:rPr>
        <w:t>. אמנם בדיבור מתנת</w:t>
      </w:r>
      <w:r>
        <w:rPr>
          <w:rFonts w:ascii="Arial" w:hAnsi="Arial"/>
          <w:sz w:val="16"/>
          <w:szCs w:val="16"/>
          <w:rtl/>
        </w:rPr>
        <w:t xml:space="preserve"> (כתובות נה: ד"ה מתנת)</w:t>
      </w:r>
      <w:r>
        <w:rPr>
          <w:rFonts w:ascii="Arial" w:hAnsi="Arial"/>
          <w:rtl/>
        </w:rPr>
        <w:t xml:space="preserve"> ש"מ שכתוב בו קנין בהא שמעתא, חילק ריצב"א וכתב דקנה מידו משמע דוקא חליפין, אבל קנה מיניה משמע שפיר קנין חזקה כ"ש כי האי לישנא. ועוד מאן לימא לן דמדמינן לישנא דסופרים ללישנא דגמ'. ואדרבא מוכח דהאי קנין לאו קנין חליפין איירי, מדלא כתב במנא דכשר כו' שהוא לשון שגור בפי כל, וכתב קנין גמור ר"ל קנין המועיל. אמנם לעד"נ דאין להוציא ממון בשטר זה דיד בעל השטר על התחתונה. וראיה מתשובת רבינו שמחה ורבינו ברוך פ' מי שמת, על שטר נכתב בו קנין פירות כראוי כי לא הקנה לו קרקע לפירותיהם כו'. מוכח שם דוקא משום שהיה כתוב בשטר כחומר כל שטרי פירות העשוין כתיקון, ונמצא שהעדים העידו שנעשה כתקנת חכמים ומש"ה הוכשר השטר. אבל בשביל שנכתב בשטר שנתנו לו הפירות של הקרקע בקנין גמור לא היה מועיל כדאיתא התם, ע"ש בתוך התשובה כי לע"ד מבואר שם היטב".</w:t>
      </w:r>
    </w:p>
  </w:footnote>
  <w:footnote w:id="3189">
    <w:p w14:paraId="33FE410F" w14:textId="77777777" w:rsidR="0013116F" w:rsidRDefault="0013116F" w:rsidP="001D49D4">
      <w:pPr>
        <w:pStyle w:val="a9"/>
        <w:spacing w:after="60"/>
        <w:rPr>
          <w:rFonts w:ascii="Arial" w:hAnsi="Arial"/>
          <w:sz w:val="16"/>
          <w:szCs w:val="16"/>
          <w:rtl/>
        </w:rPr>
      </w:pPr>
      <w:r>
        <w:rPr>
          <w:rStyle w:val="ab"/>
          <w:rFonts w:ascii="Arial" w:hAnsi="Arial"/>
        </w:rPr>
        <w:footnoteRef/>
      </w:r>
      <w:r>
        <w:rPr>
          <w:rFonts w:ascii="Arial" w:hAnsi="Arial"/>
          <w:rtl/>
        </w:rPr>
        <w:t xml:space="preserve"> לש"ך</w:t>
      </w:r>
      <w:r>
        <w:rPr>
          <w:rFonts w:ascii="Arial" w:hAnsi="Arial"/>
          <w:sz w:val="16"/>
          <w:szCs w:val="16"/>
          <w:rtl/>
        </w:rPr>
        <w:t xml:space="preserve"> (סקי"א) </w:t>
      </w:r>
      <w:r>
        <w:rPr>
          <w:rFonts w:ascii="Arial" w:hAnsi="Arial"/>
          <w:rtl/>
        </w:rPr>
        <w:t>היה קשה בהבנת דברי תרוה"ד, דהרי אם הקנין לא מועיל- השטר בטל לגמרי</w:t>
      </w:r>
      <w:r>
        <w:rPr>
          <w:rFonts w:ascii="Arial" w:hAnsi="Arial"/>
          <w:sz w:val="16"/>
          <w:szCs w:val="16"/>
          <w:rtl/>
        </w:rPr>
        <w:t xml:space="preserve"> (כשלא כתוב בו עניינים אחרים שלא תלויים בקנין, א"נ כתוב בו עניינים אחרים והם באמת נשארים קיימים אך הדברים שתלויים בקנין בטלים)</w:t>
      </w:r>
      <w:r>
        <w:rPr>
          <w:rFonts w:ascii="Arial" w:hAnsi="Arial"/>
          <w:rtl/>
        </w:rPr>
        <w:t>, ואם הקנין מועיל- למה יד בעל השטר על התחתונה, לכן כ' שצ"ל דהמקרה שדיבר בו וכו'....</w:t>
      </w:r>
    </w:p>
  </w:footnote>
  <w:footnote w:id="3190">
    <w:p w14:paraId="3C12AEA5" w14:textId="77777777" w:rsidR="0013116F" w:rsidRDefault="0013116F" w:rsidP="001D49D4">
      <w:pPr>
        <w:pStyle w:val="a9"/>
        <w:spacing w:after="60"/>
        <w:rPr>
          <w:rFonts w:ascii="Arial" w:hAnsi="Arial"/>
        </w:rPr>
      </w:pPr>
      <w:r>
        <w:rPr>
          <w:rStyle w:val="ab"/>
          <w:rFonts w:ascii="Arial" w:hAnsi="Arial"/>
        </w:rPr>
        <w:footnoteRef/>
      </w:r>
      <w:r>
        <w:rPr>
          <w:rFonts w:ascii="Arial" w:hAnsi="Arial"/>
          <w:rtl/>
        </w:rPr>
        <w:t xml:space="preserve"> בהגהותיו לט"ז </w:t>
      </w:r>
      <w:r>
        <w:rPr>
          <w:rFonts w:ascii="Arial" w:hAnsi="Arial"/>
          <w:sz w:val="16"/>
          <w:szCs w:val="16"/>
          <w:rtl/>
        </w:rPr>
        <w:t>(נ"ל שהוא ליקט וערך את דברי הט"ז על חלק חו"מ בשו"ע והגיה עליהם)</w:t>
      </w:r>
      <w:r>
        <w:rPr>
          <w:rFonts w:ascii="Arial" w:hAnsi="Arial"/>
          <w:rtl/>
        </w:rPr>
        <w:t xml:space="preserve"> וכן מפורש בפת"ש </w:t>
      </w:r>
      <w:r>
        <w:rPr>
          <w:rFonts w:ascii="Arial" w:hAnsi="Arial"/>
          <w:sz w:val="16"/>
          <w:szCs w:val="16"/>
          <w:rtl/>
        </w:rPr>
        <w:t>(ומש"כ בתומים 'מהר"ץ' כוונתו לחכ"צ)</w:t>
      </w:r>
      <w:r>
        <w:rPr>
          <w:rFonts w:ascii="Arial" w:hAnsi="Arial"/>
          <w:rtl/>
        </w:rPr>
        <w:t>.</w:t>
      </w:r>
    </w:p>
  </w:footnote>
  <w:footnote w:id="3191">
    <w:p w14:paraId="33C2D3BF" w14:textId="77777777" w:rsidR="0013116F" w:rsidRDefault="0013116F" w:rsidP="001D49D4">
      <w:pPr>
        <w:pStyle w:val="a9"/>
        <w:spacing w:after="60"/>
        <w:rPr>
          <w:rFonts w:ascii="Arial" w:hAnsi="Arial"/>
        </w:rPr>
      </w:pPr>
      <w:r>
        <w:rPr>
          <w:rStyle w:val="ab"/>
          <w:rFonts w:ascii="Arial" w:hAnsi="Arial"/>
        </w:rPr>
        <w:footnoteRef/>
      </w:r>
      <w:r>
        <w:rPr>
          <w:rFonts w:ascii="Arial" w:hAnsi="Arial"/>
          <w:rtl/>
        </w:rPr>
        <w:t xml:space="preserve"> כשכפל דבריו בשטר, רשב"ם.</w:t>
      </w:r>
    </w:p>
  </w:footnote>
  <w:footnote w:id="3192">
    <w:p w14:paraId="54421E20" w14:textId="77777777" w:rsidR="0013116F" w:rsidRDefault="0013116F" w:rsidP="001D49D4">
      <w:pPr>
        <w:pStyle w:val="a9"/>
        <w:spacing w:after="60"/>
        <w:rPr>
          <w:rFonts w:ascii="Arial" w:hAnsi="Arial"/>
          <w:rtl/>
        </w:rPr>
      </w:pPr>
      <w:r>
        <w:rPr>
          <w:rStyle w:val="ab"/>
          <w:rFonts w:ascii="Arial" w:hAnsi="Arial"/>
        </w:rPr>
        <w:footnoteRef/>
      </w:r>
      <w:r>
        <w:rPr>
          <w:rFonts w:ascii="Arial" w:hAnsi="Arial"/>
          <w:rtl/>
        </w:rPr>
        <w:t xml:space="preserve"> אלא שלא יהא כתוב בשיטה אחרונה, רשב"ם.</w:t>
      </w:r>
      <w:r>
        <w:rPr>
          <w:rFonts w:ascii="Arial" w:hAnsi="Arial"/>
          <w:rtl/>
        </w:rPr>
        <w:tab/>
      </w:r>
    </w:p>
  </w:footnote>
  <w:footnote w:id="3193">
    <w:p w14:paraId="078AA65E" w14:textId="77777777" w:rsidR="0013116F" w:rsidRDefault="0013116F" w:rsidP="001D49D4">
      <w:pPr>
        <w:pStyle w:val="a9"/>
        <w:spacing w:after="60"/>
        <w:rPr>
          <w:rFonts w:ascii="Arial" w:hAnsi="Arial"/>
        </w:rPr>
      </w:pPr>
      <w:r>
        <w:rPr>
          <w:rStyle w:val="ab"/>
          <w:rFonts w:ascii="Arial" w:hAnsi="Arial"/>
        </w:rPr>
        <w:footnoteRef/>
      </w:r>
      <w:r>
        <w:rPr>
          <w:rFonts w:ascii="Arial" w:hAnsi="Arial"/>
          <w:rtl/>
        </w:rPr>
        <w:t xml:space="preserve"> הואיל ובסוף השטר חוזר וכופל את דבריו שכותבין ושונין אחריות ממון זה כך וכך קבלתי עלי ועל ירתיי כו', רשב"ם.</w:t>
      </w:r>
    </w:p>
  </w:footnote>
  <w:footnote w:id="3194">
    <w:p w14:paraId="6D1D1779" w14:textId="77777777" w:rsidR="0013116F" w:rsidRDefault="0013116F" w:rsidP="001D49D4">
      <w:pPr>
        <w:pStyle w:val="a9"/>
        <w:spacing w:after="60"/>
        <w:rPr>
          <w:rFonts w:ascii="Arial" w:hAnsi="Arial"/>
        </w:rPr>
      </w:pPr>
      <w:r>
        <w:rPr>
          <w:rStyle w:val="ab"/>
          <w:rFonts w:ascii="Arial" w:hAnsi="Arial"/>
        </w:rPr>
        <w:footnoteRef/>
      </w:r>
      <w:r>
        <w:rPr>
          <w:rFonts w:ascii="Arial" w:hAnsi="Arial"/>
          <w:rtl/>
        </w:rPr>
        <w:t xml:space="preserve"> וי"ג- "שאם לא תכתב", וגירסה זו מתיישבת עם פירוש רשב"ם, תוס'.</w:t>
      </w:r>
    </w:p>
  </w:footnote>
  <w:footnote w:id="3195">
    <w:p w14:paraId="101A670F" w14:textId="77777777" w:rsidR="0013116F" w:rsidRDefault="0013116F" w:rsidP="001D49D4">
      <w:pPr>
        <w:pStyle w:val="a9"/>
        <w:spacing w:after="60"/>
        <w:rPr>
          <w:rFonts w:ascii="Arial" w:hAnsi="Arial"/>
        </w:rPr>
      </w:pPr>
      <w:r>
        <w:rPr>
          <w:rStyle w:val="ab"/>
          <w:rFonts w:ascii="Arial" w:hAnsi="Arial"/>
        </w:rPr>
        <w:footnoteRef/>
      </w:r>
      <w:r>
        <w:rPr>
          <w:rFonts w:ascii="Arial" w:hAnsi="Arial"/>
          <w:rtl/>
        </w:rPr>
        <w:t xml:space="preserve"> דכולי האי ודאי לא ילפינן מעליון ששתי אותיות לא חיסר הסופר וינתן הממון למי ששמו כך כמו שכתוב בתחתון, רשב"ם. ופירושו הוא לפי הספרים דגרסי "שאם לא יכתב", אבל לפי הספרים דגרסי "שאם ימחק" צ"ל ששטר זה פסול דכיון שנמחק כל כך תו לא מגבינן ביה, וכ' הב"י דמשמע דהני לישני לענין ישוב הברייתא והמשנה הוא דפליגי דלענין דינא לכו"ע היכא דאין שם מחק אין דרך הסופר לחסר שתי אותיות וינתן למי ששמו חן ואם נמחקו שתי אותיות לכו"ע פסול ולא מגבינן ביה כנ"ל.</w:t>
      </w:r>
    </w:p>
  </w:footnote>
  <w:footnote w:id="3196">
    <w:p w14:paraId="5FF065B7" w14:textId="77777777" w:rsidR="0013116F" w:rsidRDefault="0013116F" w:rsidP="001D49D4">
      <w:pPr>
        <w:pStyle w:val="a9"/>
        <w:spacing w:after="60"/>
        <w:rPr>
          <w:rFonts w:ascii="Arial" w:hAnsi="Arial"/>
        </w:rPr>
      </w:pPr>
      <w:r>
        <w:rPr>
          <w:rStyle w:val="ab"/>
          <w:rFonts w:ascii="Arial" w:hAnsi="Arial"/>
        </w:rPr>
        <w:footnoteRef/>
      </w:r>
      <w:r>
        <w:rPr>
          <w:rFonts w:ascii="Arial" w:hAnsi="Arial"/>
          <w:rtl/>
        </w:rPr>
        <w:t xml:space="preserve"> אך המראה פנים </w:t>
      </w:r>
      <w:r>
        <w:rPr>
          <w:rFonts w:ascii="Arial" w:hAnsi="Arial"/>
          <w:sz w:val="16"/>
          <w:szCs w:val="16"/>
          <w:rtl/>
        </w:rPr>
        <w:t>(על הירושלמי, ד"ה רבי יצחק)</w:t>
      </w:r>
      <w:r>
        <w:rPr>
          <w:rFonts w:ascii="Arial" w:hAnsi="Arial"/>
          <w:rtl/>
        </w:rPr>
        <w:t xml:space="preserve"> כ' שהרמב"ם כן הוציא מכאן פסק אע"ג דלא איפשטא וזה מש"כ (בהל' יד) "היה בו מלמעלה שם ומלמטה שם קרוב לו הכל אחר התחתון" שהוא ז"ל דימה דין זה לדין מלמעלה מנה ומלמטה מאתים דבכל דברים הסותרים הולכין אחר התחתון, וכ' עוד שנראה שהב"י חזר בו ומש"ה לא קבע כן בשו"ע. </w:t>
      </w:r>
    </w:p>
  </w:footnote>
  <w:footnote w:id="3197">
    <w:p w14:paraId="247B1152" w14:textId="77777777" w:rsidR="0013116F" w:rsidRDefault="0013116F" w:rsidP="001D49D4">
      <w:pPr>
        <w:pStyle w:val="a9"/>
        <w:spacing w:after="60"/>
        <w:rPr>
          <w:rFonts w:ascii="Arial" w:hAnsi="Arial"/>
          <w:rtl/>
        </w:rPr>
      </w:pPr>
      <w:r>
        <w:rPr>
          <w:rStyle w:val="ab"/>
          <w:rFonts w:ascii="Arial" w:hAnsi="Arial"/>
        </w:rPr>
        <w:footnoteRef/>
      </w:r>
      <w:r>
        <w:rPr>
          <w:rFonts w:ascii="Arial" w:hAnsi="Arial"/>
          <w:rtl/>
        </w:rPr>
        <w:t xml:space="preserve"> מכיון "שאות אחת הוא דרך הסופר לקצר או להתמחק מעצמו לפעמים שלא בכונה, ולכן למדין מהעליון, משא"כ בשתי אותיות", ע"פ סמ"ע (סקי"ז).</w:t>
      </w:r>
    </w:p>
  </w:footnote>
  <w:footnote w:id="3198">
    <w:p w14:paraId="20544996" w14:textId="77777777" w:rsidR="0013116F" w:rsidRDefault="0013116F" w:rsidP="001D49D4">
      <w:pPr>
        <w:pStyle w:val="a9"/>
        <w:spacing w:after="60"/>
        <w:rPr>
          <w:rFonts w:ascii="Arial" w:hAnsi="Arial"/>
          <w:rtl/>
        </w:rPr>
      </w:pPr>
      <w:r>
        <w:rPr>
          <w:rStyle w:val="ab"/>
          <w:rFonts w:ascii="Arial" w:hAnsi="Arial"/>
        </w:rPr>
        <w:footnoteRef/>
      </w:r>
      <w:r>
        <w:rPr>
          <w:rFonts w:ascii="Arial" w:hAnsi="Arial"/>
          <w:rtl/>
        </w:rPr>
        <w:t xml:space="preserve"> ז"א, כיון שחסרות ב' אותיות וגם ידוע שנמחק לאחר שכ' הסופר "חנני"</w:t>
      </w:r>
      <w:r>
        <w:rPr>
          <w:rFonts w:ascii="Arial" w:hAnsi="Arial"/>
          <w:sz w:val="16"/>
          <w:szCs w:val="16"/>
          <w:rtl/>
        </w:rPr>
        <w:t xml:space="preserve"> (ע"פ הטור)</w:t>
      </w:r>
      <w:r>
        <w:rPr>
          <w:rFonts w:ascii="Arial" w:hAnsi="Arial"/>
          <w:rtl/>
        </w:rPr>
        <w:t xml:space="preserve"> ושונה ל-"חן", ודאי בכונה נמחקו, ולא ידענו אם מחקם מפני חזרה שלוה מחן, או מחקם כדי לפסול השטר, משום הכי אין גובין בו שום אחד מהן.</w:t>
      </w:r>
    </w:p>
  </w:footnote>
  <w:footnote w:id="3199">
    <w:p w14:paraId="5C97CE51" w14:textId="77777777" w:rsidR="0013116F" w:rsidRDefault="0013116F" w:rsidP="001D49D4">
      <w:pPr>
        <w:pStyle w:val="a9"/>
        <w:spacing w:after="60"/>
        <w:rPr>
          <w:rFonts w:ascii="Arial" w:hAnsi="Arial"/>
        </w:rPr>
      </w:pPr>
      <w:r>
        <w:rPr>
          <w:rStyle w:val="ab"/>
          <w:rFonts w:ascii="Arial" w:hAnsi="Arial"/>
        </w:rPr>
        <w:footnoteRef/>
      </w:r>
      <w:r>
        <w:rPr>
          <w:rFonts w:ascii="Arial" w:hAnsi="Arial"/>
          <w:rtl/>
        </w:rPr>
        <w:t xml:space="preserve"> וכל סע' זה "היינו דוקא כשהשטר נמצא ביד שליש ואינו יודע למי יתנו", סמ"ע (סקי"ז). </w:t>
      </w:r>
      <w:r>
        <w:rPr>
          <w:rFonts w:ascii="Arial" w:hAnsi="Arial"/>
          <w:sz w:val="16"/>
          <w:szCs w:val="16"/>
          <w:rtl/>
        </w:rPr>
        <w:t xml:space="preserve">(נ"ל שהבין כן מלשון השו"ע שכ' "ינתן" גם כשדיבר בנמחקה אות אחת, ועוד שאל"כ ומדובר שאחד מהם מחזיק בשטר אז למה ינתן לשני והרי הוא מוחזק ומדוע יהיה פחות משנמחקו ב' אותיות [וכל זה לשיטת הסמ"ע שאף </w:t>
      </w:r>
      <w:r>
        <w:rPr>
          <w:rFonts w:ascii="Arial" w:hAnsi="Arial"/>
          <w:sz w:val="16"/>
          <w:szCs w:val="16"/>
          <w:u w:val="single"/>
          <w:rtl/>
        </w:rPr>
        <w:t>בנמחקו</w:t>
      </w:r>
      <w:r>
        <w:rPr>
          <w:rFonts w:ascii="Arial" w:hAnsi="Arial"/>
          <w:sz w:val="16"/>
          <w:szCs w:val="16"/>
          <w:rtl/>
        </w:rPr>
        <w:t xml:space="preserve"> ב' אותיות משאירים השטר בידי המוחזק])</w:t>
      </w:r>
      <w:r>
        <w:rPr>
          <w:rFonts w:ascii="Arial" w:hAnsi="Arial"/>
          <w:rtl/>
        </w:rPr>
        <w:t xml:space="preserve">. ועי' לקמן בסמוך מה הדין כשהשטר אצל א' מהם. </w:t>
      </w:r>
    </w:p>
  </w:footnote>
  <w:footnote w:id="3200">
    <w:p w14:paraId="46D2D690" w14:textId="77777777" w:rsidR="0013116F" w:rsidRDefault="0013116F" w:rsidP="001D49D4">
      <w:pPr>
        <w:pStyle w:val="a9"/>
        <w:spacing w:after="60"/>
        <w:rPr>
          <w:rFonts w:ascii="Arial" w:hAnsi="Arial"/>
          <w:rtl/>
        </w:rPr>
      </w:pPr>
      <w:r>
        <w:rPr>
          <w:rStyle w:val="ab"/>
          <w:rFonts w:ascii="Arial" w:hAnsi="Arial"/>
        </w:rPr>
        <w:footnoteRef/>
      </w:r>
      <w:r>
        <w:rPr>
          <w:rFonts w:ascii="Arial" w:hAnsi="Arial"/>
          <w:rtl/>
        </w:rPr>
        <w:t xml:space="preserve"> והש"ך מודה לסמ"ע בהבנת הדרכ"מ, אך בהב' דברי הב"י חלק עליו וכ' שהב"י לא כתב כן כשהשטר ביד חנני.</w:t>
      </w:r>
    </w:p>
  </w:footnote>
  <w:footnote w:id="3201">
    <w:p w14:paraId="217E23B0" w14:textId="77777777" w:rsidR="0013116F" w:rsidRDefault="0013116F" w:rsidP="001D49D4">
      <w:pPr>
        <w:pStyle w:val="a9"/>
        <w:spacing w:after="60"/>
        <w:rPr>
          <w:rFonts w:ascii="Arial" w:hAnsi="Arial"/>
        </w:rPr>
      </w:pPr>
      <w:r>
        <w:rPr>
          <w:rStyle w:val="ab"/>
          <w:rFonts w:ascii="Arial" w:hAnsi="Arial"/>
        </w:rPr>
        <w:footnoteRef/>
      </w:r>
      <w:r>
        <w:rPr>
          <w:rFonts w:ascii="Arial" w:hAnsi="Arial"/>
          <w:rtl/>
        </w:rPr>
        <w:t xml:space="preserve"> הסמ"ע כ' שכל סע' זה הוא כשהשטר ביד שליש, ולכן אם השטר ביד אחד מבעלי הדין- משתנה הדין, ודבריו צריכים ביאור, </w:t>
      </w:r>
      <w:r>
        <w:rPr>
          <w:rFonts w:ascii="Arial" w:hAnsi="Arial"/>
          <w:u w:val="single"/>
          <w:rtl/>
        </w:rPr>
        <w:t>חדא</w:t>
      </w:r>
      <w:r>
        <w:rPr>
          <w:rFonts w:ascii="Arial" w:hAnsi="Arial"/>
          <w:rtl/>
        </w:rPr>
        <w:t xml:space="preserve"> מדוע הוא מעמיד את כל הסעיף בנמצא ביד שליש שהרי לכאורה הב"י כ' כך רק לגבי חסרון של ב' אותיות? </w:t>
      </w:r>
      <w:r>
        <w:rPr>
          <w:rFonts w:ascii="Arial" w:hAnsi="Arial"/>
          <w:u w:val="single"/>
          <w:rtl/>
        </w:rPr>
        <w:t>ועוד</w:t>
      </w:r>
      <w:r>
        <w:rPr>
          <w:rFonts w:ascii="Arial" w:hAnsi="Arial"/>
          <w:rtl/>
        </w:rPr>
        <w:t xml:space="preserve"> מדוע העמיד בדברי הב"י והדרכ"מ שאם השטר ביד אחד מהם יכול לגבות בו- בין כשיש חסרון ובין בנמחק? </w:t>
      </w:r>
      <w:r>
        <w:rPr>
          <w:rFonts w:ascii="Arial" w:hAnsi="Arial"/>
          <w:u w:val="single"/>
          <w:rtl/>
        </w:rPr>
        <w:t>ונ"ל שהבין</w:t>
      </w:r>
      <w:r>
        <w:rPr>
          <w:rFonts w:ascii="Arial" w:hAnsi="Arial"/>
          <w:rtl/>
        </w:rPr>
        <w:t xml:space="preserve"> שכל הסע' הוא בשנמצא השטר אצל שליש מלשון השו"ע שכ' "ינתן" בכל הסעיף דמשמע ינתן מהשליש, </w:t>
      </w:r>
      <w:r>
        <w:rPr>
          <w:rFonts w:ascii="Arial" w:hAnsi="Arial"/>
          <w:u w:val="single"/>
          <w:rtl/>
        </w:rPr>
        <w:t>ועוד</w:t>
      </w:r>
      <w:r>
        <w:rPr>
          <w:rFonts w:ascii="Arial" w:hAnsi="Arial"/>
          <w:rtl/>
        </w:rPr>
        <w:t xml:space="preserve"> שאם נעמיד שאחד מהם מחזיק בשטר אז בנמחקה אות אחת היינו צריכים להשאיר אצל חנן </w:t>
      </w:r>
      <w:r>
        <w:rPr>
          <w:rFonts w:ascii="Arial" w:hAnsi="Arial"/>
          <w:sz w:val="14"/>
          <w:szCs w:val="14"/>
          <w:rtl/>
        </w:rPr>
        <w:t>(במקרה שהוא המוחזק)</w:t>
      </w:r>
      <w:r>
        <w:rPr>
          <w:rFonts w:ascii="Arial" w:hAnsi="Arial"/>
          <w:rtl/>
        </w:rPr>
        <w:t xml:space="preserve"> ולא ללמוד מחנני שכתוב למעלה, </w:t>
      </w:r>
      <w:r>
        <w:rPr>
          <w:rFonts w:ascii="Arial" w:hAnsi="Arial"/>
          <w:u w:val="single"/>
          <w:rtl/>
        </w:rPr>
        <w:t>ועוד</w:t>
      </w:r>
      <w:r>
        <w:rPr>
          <w:rFonts w:ascii="Arial" w:hAnsi="Arial"/>
          <w:rtl/>
        </w:rPr>
        <w:t xml:space="preserve"> שבב"י לא כ' בפירוש שבנמחק ב' אותיות אין הבדל בין נמצא ביד שליש או לא, </w:t>
      </w:r>
      <w:r>
        <w:rPr>
          <w:rFonts w:ascii="Arial" w:hAnsi="Arial"/>
          <w:u w:val="single"/>
          <w:rtl/>
        </w:rPr>
        <w:t>ועוד</w:t>
      </w:r>
      <w:r>
        <w:rPr>
          <w:rFonts w:ascii="Arial" w:hAnsi="Arial"/>
          <w:rtl/>
        </w:rPr>
        <w:t xml:space="preserve"> שהשו"ע לא הזכיר כלל ששטר כל שהוא נמצא ביד שליש לכן נראה שכשלומדים דין שליש מהב"י צריך להשליכו על כל הסעיף מדלא חילק אחרת בעצמו, </w:t>
      </w:r>
      <w:r>
        <w:rPr>
          <w:rFonts w:ascii="Arial" w:hAnsi="Arial"/>
          <w:u w:val="single"/>
          <w:rtl/>
        </w:rPr>
        <w:t>ולגבי</w:t>
      </w:r>
      <w:r>
        <w:rPr>
          <w:rFonts w:ascii="Arial" w:hAnsi="Arial"/>
          <w:rtl/>
        </w:rPr>
        <w:t xml:space="preserve"> זה שהעמיד את דברי הב"י והדרכ"מ דאף בנמחקו ב' אותיות משאירים אצל המוחזק נ"ל שטעמו הוא משום- דמה לי שחסרות ב' אותיות דהשטר נשאר אצלו </w:t>
      </w:r>
      <w:r>
        <w:rPr>
          <w:rFonts w:ascii="Arial" w:hAnsi="Arial"/>
          <w:sz w:val="16"/>
          <w:szCs w:val="16"/>
          <w:rtl/>
        </w:rPr>
        <w:t>(אע"ג שבאותו מקרה אם היה אצל השליש היה ניתן השטר לשני)</w:t>
      </w:r>
      <w:r>
        <w:rPr>
          <w:rFonts w:ascii="Arial" w:hAnsi="Arial"/>
          <w:rtl/>
        </w:rPr>
        <w:t xml:space="preserve">, ומה לי מחוקות ב' אותיות </w:t>
      </w:r>
      <w:r>
        <w:rPr>
          <w:rFonts w:ascii="Arial" w:hAnsi="Arial"/>
          <w:sz w:val="16"/>
          <w:szCs w:val="16"/>
          <w:rtl/>
        </w:rPr>
        <w:t>(דבמקרה זה אם היה אצל השליש השטר היה פסול)</w:t>
      </w:r>
      <w:r>
        <w:rPr>
          <w:rFonts w:ascii="Arial" w:hAnsi="Arial"/>
          <w:rtl/>
        </w:rPr>
        <w:t xml:space="preserve">- הרי מ"מ השטר היה צריך לא להגיע לידו, לכן מכיון שעתה בחסרות ב' אותיות השטר נשאר אצלו אף במחוקות נגיד כן.  </w:t>
      </w:r>
    </w:p>
  </w:footnote>
  <w:footnote w:id="3202">
    <w:p w14:paraId="7F2BD473" w14:textId="77777777" w:rsidR="0013116F" w:rsidRDefault="0013116F" w:rsidP="001D49D4">
      <w:pPr>
        <w:pStyle w:val="a9"/>
        <w:spacing w:after="60"/>
        <w:rPr>
          <w:rFonts w:ascii="Arial" w:hAnsi="Arial"/>
          <w:rtl/>
        </w:rPr>
      </w:pPr>
      <w:r>
        <w:rPr>
          <w:rStyle w:val="ab"/>
          <w:rFonts w:ascii="Arial" w:hAnsi="Arial"/>
        </w:rPr>
        <w:footnoteRef/>
      </w:r>
      <w:r>
        <w:rPr>
          <w:rFonts w:ascii="Arial" w:hAnsi="Arial"/>
          <w:rtl/>
        </w:rPr>
        <w:t xml:space="preserve"> משום שיכול לומר "הלוה מחקו מפני שחזר, שהרי הלוה ממני ולא מחנני".</w:t>
      </w:r>
    </w:p>
  </w:footnote>
  <w:footnote w:id="3203">
    <w:p w14:paraId="4F8244D9" w14:textId="77777777" w:rsidR="0013116F" w:rsidRDefault="0013116F" w:rsidP="001D49D4">
      <w:pPr>
        <w:pStyle w:val="a9"/>
        <w:spacing w:after="60"/>
        <w:rPr>
          <w:rFonts w:ascii="Arial" w:hAnsi="Arial"/>
        </w:rPr>
      </w:pPr>
      <w:r>
        <w:rPr>
          <w:rStyle w:val="ab"/>
          <w:rFonts w:ascii="Arial" w:hAnsi="Arial"/>
        </w:rPr>
        <w:footnoteRef/>
      </w:r>
      <w:r>
        <w:rPr>
          <w:rFonts w:ascii="Arial" w:hAnsi="Arial"/>
          <w:rtl/>
        </w:rPr>
        <w:t xml:space="preserve"> דאם יאמר חנני שמחקו מפני חזרה- ינתן לחן, ואם לפסול- השטר כולו פסול.</w:t>
      </w:r>
    </w:p>
  </w:footnote>
  <w:footnote w:id="3204">
    <w:p w14:paraId="53982973" w14:textId="77777777" w:rsidR="0013116F" w:rsidRDefault="0013116F" w:rsidP="001D49D4">
      <w:pPr>
        <w:pStyle w:val="a9"/>
        <w:spacing w:after="60"/>
        <w:rPr>
          <w:rFonts w:ascii="Arial" w:hAnsi="Arial"/>
        </w:rPr>
      </w:pPr>
      <w:r>
        <w:rPr>
          <w:rStyle w:val="ab"/>
          <w:rFonts w:ascii="Arial" w:hAnsi="Arial"/>
        </w:rPr>
        <w:footnoteRef/>
      </w:r>
      <w:r>
        <w:rPr>
          <w:rFonts w:ascii="Arial" w:hAnsi="Arial"/>
          <w:rtl/>
        </w:rPr>
        <w:t xml:space="preserve"> דמש"כ הדרכ"מ- יראה דלא כ' דכשר לגבות בו, רק כתב וז"ל- אבל אם המלוה חנני והשטר בידו אף על גב דלמטה כתוב בשטר חן, אין מוציאין מידו השטר מחנני, עכ"ל. הרי דלא כתב רק שאין להוציא השטר מידו כיון דהוא עומד וצווח שלי הוא השטר וטעות נכתב לבסוף בשם חן, אבל ודאי דאין בעל השטר יכול להוציא מעות מיד הלוה מספק, וזה פשוט וברור, תומים (סק"ח).</w:t>
      </w:r>
    </w:p>
  </w:footnote>
  <w:footnote w:id="3205">
    <w:p w14:paraId="0F7AFAD8" w14:textId="77777777" w:rsidR="0013116F" w:rsidRDefault="0013116F" w:rsidP="001D49D4">
      <w:pPr>
        <w:pStyle w:val="a9"/>
        <w:spacing w:after="60"/>
        <w:rPr>
          <w:rFonts w:ascii="Arial" w:hAnsi="Arial"/>
        </w:rPr>
      </w:pPr>
      <w:r>
        <w:rPr>
          <w:rStyle w:val="ab"/>
          <w:rFonts w:ascii="Arial" w:hAnsi="Arial"/>
        </w:rPr>
        <w:footnoteRef/>
      </w:r>
      <w:r>
        <w:rPr>
          <w:rFonts w:ascii="Arial" w:hAnsi="Arial"/>
          <w:rtl/>
        </w:rPr>
        <w:t xml:space="preserve"> </w:t>
      </w:r>
      <w:r>
        <w:rPr>
          <w:rFonts w:ascii="Arial" w:hAnsi="Arial" w:hint="cs"/>
          <w:u w:val="single"/>
          <w:rtl/>
        </w:rPr>
        <w:t>כמה פירושים מה זה "ספל" ומה זה "קפל":</w:t>
      </w:r>
    </w:p>
    <w:p w14:paraId="7BF5F0AE" w14:textId="77777777" w:rsidR="0013116F" w:rsidRDefault="0013116F" w:rsidP="004B0475">
      <w:pPr>
        <w:pStyle w:val="a9"/>
        <w:numPr>
          <w:ilvl w:val="0"/>
          <w:numId w:val="274"/>
        </w:numPr>
        <w:spacing w:after="60"/>
        <w:rPr>
          <w:rFonts w:ascii="Arial" w:hAnsi="Arial"/>
          <w:rtl/>
        </w:rPr>
      </w:pPr>
      <w:r>
        <w:rPr>
          <w:rFonts w:ascii="Arial" w:hAnsi="Arial"/>
          <w:rtl/>
        </w:rPr>
        <w:t xml:space="preserve">ר"ח </w:t>
      </w:r>
      <w:r>
        <w:rPr>
          <w:rFonts w:ascii="Arial" w:hAnsi="Arial"/>
          <w:sz w:val="14"/>
          <w:szCs w:val="14"/>
          <w:rtl/>
        </w:rPr>
        <w:t>(פירוש שני)</w:t>
      </w:r>
      <w:r>
        <w:rPr>
          <w:rFonts w:ascii="Arial" w:hAnsi="Arial"/>
          <w:rtl/>
        </w:rPr>
        <w:t xml:space="preserve"> רי"ף ר"י מיגאש רמב"ם (טור</w:t>
      </w:r>
      <w:r>
        <w:rPr>
          <w:rFonts w:ascii="Arial" w:hAnsi="Arial"/>
          <w:sz w:val="14"/>
          <w:szCs w:val="14"/>
          <w:rtl/>
        </w:rPr>
        <w:t xml:space="preserve"> להב' הב"ח</w:t>
      </w:r>
      <w:r>
        <w:rPr>
          <w:rFonts w:ascii="Arial" w:hAnsi="Arial"/>
          <w:rtl/>
        </w:rPr>
        <w:t>) וב"ח- ספל: סאה ופלגא, קפל: קב ופלגא. (וכ"כ הסמ"ע והש"ך)</w:t>
      </w:r>
    </w:p>
    <w:p w14:paraId="251F369A" w14:textId="77777777" w:rsidR="0013116F" w:rsidRDefault="0013116F" w:rsidP="004B0475">
      <w:pPr>
        <w:pStyle w:val="a9"/>
        <w:numPr>
          <w:ilvl w:val="0"/>
          <w:numId w:val="274"/>
        </w:numPr>
        <w:spacing w:after="60"/>
        <w:rPr>
          <w:rFonts w:ascii="Arial" w:hAnsi="Arial"/>
        </w:rPr>
      </w:pPr>
      <w:r>
        <w:rPr>
          <w:rFonts w:ascii="Arial" w:hAnsi="Arial"/>
          <w:rtl/>
        </w:rPr>
        <w:t>ערוך רשב"ם ור"ח</w:t>
      </w:r>
      <w:r>
        <w:rPr>
          <w:rFonts w:ascii="Arial" w:hAnsi="Arial"/>
          <w:sz w:val="14"/>
          <w:szCs w:val="14"/>
          <w:rtl/>
        </w:rPr>
        <w:t xml:space="preserve"> (פירוש ראשון)</w:t>
      </w:r>
      <w:r>
        <w:rPr>
          <w:rFonts w:ascii="Arial" w:hAnsi="Arial"/>
          <w:rtl/>
        </w:rPr>
        <w:t xml:space="preserve">- שמות כלים. </w:t>
      </w:r>
    </w:p>
    <w:p w14:paraId="397E814C" w14:textId="77777777" w:rsidR="0013116F" w:rsidRDefault="0013116F" w:rsidP="004B0475">
      <w:pPr>
        <w:pStyle w:val="a9"/>
        <w:numPr>
          <w:ilvl w:val="0"/>
          <w:numId w:val="274"/>
        </w:numPr>
        <w:spacing w:after="60"/>
        <w:rPr>
          <w:rFonts w:ascii="Arial" w:hAnsi="Arial"/>
          <w:rtl/>
        </w:rPr>
      </w:pPr>
      <w:r>
        <w:rPr>
          <w:rFonts w:ascii="Arial" w:hAnsi="Arial"/>
          <w:rtl/>
        </w:rPr>
        <w:t xml:space="preserve">ר"ת </w:t>
      </w:r>
      <w:r>
        <w:rPr>
          <w:rFonts w:ascii="Arial" w:hAnsi="Arial"/>
          <w:sz w:val="14"/>
          <w:szCs w:val="14"/>
          <w:rtl/>
        </w:rPr>
        <w:t>(הובא בתוס')</w:t>
      </w:r>
      <w:r>
        <w:rPr>
          <w:rFonts w:ascii="Arial" w:hAnsi="Arial"/>
          <w:rtl/>
        </w:rPr>
        <w:t xml:space="preserve">- ספל: ס' פלגי, קפל: ק' פלגי. </w:t>
      </w:r>
      <w:r>
        <w:rPr>
          <w:rFonts w:ascii="Arial" w:hAnsi="Arial"/>
          <w:sz w:val="14"/>
          <w:szCs w:val="14"/>
          <w:rtl/>
        </w:rPr>
        <w:t>(היו רגילין לעשות חשבון מחצאין, ב"ח)</w:t>
      </w:r>
      <w:r>
        <w:rPr>
          <w:rFonts w:ascii="Arial" w:hAnsi="Arial"/>
          <w:rtl/>
        </w:rPr>
        <w:t xml:space="preserve"> </w:t>
      </w:r>
    </w:p>
    <w:p w14:paraId="453301CC" w14:textId="77777777" w:rsidR="0013116F" w:rsidRDefault="0013116F" w:rsidP="004B0475">
      <w:pPr>
        <w:pStyle w:val="a9"/>
        <w:numPr>
          <w:ilvl w:val="0"/>
          <w:numId w:val="274"/>
        </w:numPr>
        <w:spacing w:after="60"/>
        <w:rPr>
          <w:rFonts w:ascii="Arial" w:hAnsi="Arial"/>
          <w:rtl/>
        </w:rPr>
      </w:pPr>
      <w:r>
        <w:rPr>
          <w:rFonts w:ascii="Arial" w:hAnsi="Arial"/>
          <w:rtl/>
        </w:rPr>
        <w:t xml:space="preserve">יש מפרשים </w:t>
      </w:r>
      <w:r>
        <w:rPr>
          <w:rFonts w:ascii="Arial" w:hAnsi="Arial"/>
          <w:sz w:val="14"/>
          <w:szCs w:val="14"/>
          <w:rtl/>
        </w:rPr>
        <w:t>(הביאם רבנו יהונתן, הובא בשטמ"ק)</w:t>
      </w:r>
      <w:r>
        <w:rPr>
          <w:rFonts w:ascii="Arial" w:hAnsi="Arial"/>
          <w:rtl/>
        </w:rPr>
        <w:t>- הוא גמטריא לחשבון דינרין.</w:t>
      </w:r>
    </w:p>
  </w:footnote>
  <w:footnote w:id="3206">
    <w:p w14:paraId="50D8C9FF" w14:textId="77777777" w:rsidR="0013116F" w:rsidRDefault="0013116F" w:rsidP="001D49D4">
      <w:pPr>
        <w:pStyle w:val="a9"/>
        <w:spacing w:after="60"/>
        <w:rPr>
          <w:rFonts w:ascii="Arial" w:hAnsi="Arial"/>
        </w:rPr>
      </w:pPr>
      <w:r>
        <w:rPr>
          <w:rStyle w:val="ab"/>
          <w:rFonts w:ascii="Arial" w:hAnsi="Arial"/>
        </w:rPr>
        <w:footnoteRef/>
      </w:r>
      <w:r>
        <w:rPr>
          <w:rFonts w:ascii="Arial" w:hAnsi="Arial"/>
          <w:rtl/>
        </w:rPr>
        <w:t xml:space="preserve"> שחיסר רגלה של קו"ף ונעשית סמ"ך ובהא נמי ילמד מעליון, רשב"ם. </w:t>
      </w:r>
    </w:p>
  </w:footnote>
  <w:footnote w:id="3207">
    <w:p w14:paraId="27CA2224" w14:textId="77777777" w:rsidR="0013116F" w:rsidRDefault="0013116F" w:rsidP="001D49D4">
      <w:pPr>
        <w:pStyle w:val="a9"/>
        <w:spacing w:after="60"/>
        <w:rPr>
          <w:rFonts w:ascii="Arial" w:hAnsi="Arial"/>
          <w:rtl/>
        </w:rPr>
      </w:pPr>
      <w:r>
        <w:rPr>
          <w:rStyle w:val="ab"/>
          <w:rFonts w:ascii="Arial" w:hAnsi="Arial"/>
        </w:rPr>
        <w:footnoteRef/>
      </w:r>
      <w:r>
        <w:rPr>
          <w:rFonts w:ascii="Arial" w:hAnsi="Arial"/>
          <w:rtl/>
        </w:rPr>
        <w:t xml:space="preserve"> כיון דאיכא למתלי בזבוב ומסתפק דינא לבי דינא היאך יוציאו מיד המחזיק? לכן המוציא מחברו עליו הראיה, וכל מקום שעלתה ההלכה בתיקו הואיל ואין הדיינין יודעין לפסוק את הדין היו שותקין והמחזיק יחזיק במה שבידו, ע"פ רשב"ם.</w:t>
      </w:r>
    </w:p>
  </w:footnote>
  <w:footnote w:id="3208">
    <w:p w14:paraId="108C8524" w14:textId="77777777" w:rsidR="0013116F" w:rsidRDefault="0013116F" w:rsidP="001D49D4">
      <w:pPr>
        <w:pStyle w:val="a9"/>
        <w:spacing w:after="60"/>
        <w:rPr>
          <w:rFonts w:ascii="Arial" w:hAnsi="Arial"/>
        </w:rPr>
      </w:pPr>
      <w:r>
        <w:rPr>
          <w:rStyle w:val="ab"/>
          <w:rFonts w:ascii="Arial" w:hAnsi="Arial"/>
        </w:rPr>
        <w:footnoteRef/>
      </w:r>
      <w:r>
        <w:rPr>
          <w:rFonts w:ascii="Arial" w:hAnsi="Arial"/>
          <w:rtl/>
        </w:rPr>
        <w:t xml:space="preserve"> בב"י במהדורתינו איתא- "ספל", אבל נראה דט"ס היא כדמוכח מדבריו בב"י ומפסיקתו בשו"ע, וכ"כ ההגוה"ע.</w:t>
      </w:r>
    </w:p>
  </w:footnote>
  <w:footnote w:id="3209">
    <w:p w14:paraId="79DC632F" w14:textId="77777777" w:rsidR="0013116F" w:rsidRDefault="0013116F" w:rsidP="001D49D4">
      <w:pPr>
        <w:pStyle w:val="a9"/>
        <w:spacing w:after="60"/>
        <w:rPr>
          <w:rFonts w:ascii="Arial" w:hAnsi="Arial"/>
          <w:rtl/>
        </w:rPr>
      </w:pPr>
      <w:r>
        <w:rPr>
          <w:rStyle w:val="ab"/>
          <w:rFonts w:ascii="Arial" w:hAnsi="Arial"/>
        </w:rPr>
        <w:footnoteRef/>
      </w:r>
      <w:r>
        <w:rPr>
          <w:rFonts w:ascii="Arial" w:hAnsi="Arial"/>
          <w:rtl/>
        </w:rPr>
        <w:t xml:space="preserve"> </w:t>
      </w:r>
      <w:r>
        <w:rPr>
          <w:rFonts w:ascii="Arial" w:hAnsi="Arial" w:hint="cs"/>
          <w:u w:val="single"/>
          <w:rtl/>
        </w:rPr>
        <w:t>ונחלקו האחרונים בטעמו של הרמב"ם:</w:t>
      </w:r>
    </w:p>
    <w:p w14:paraId="16D5E941" w14:textId="77777777" w:rsidR="0013116F" w:rsidRDefault="0013116F" w:rsidP="004B0475">
      <w:pPr>
        <w:pStyle w:val="a9"/>
        <w:numPr>
          <w:ilvl w:val="0"/>
          <w:numId w:val="275"/>
        </w:numPr>
        <w:spacing w:after="60"/>
        <w:rPr>
          <w:rFonts w:ascii="Arial" w:hAnsi="Arial"/>
          <w:rtl/>
        </w:rPr>
      </w:pPr>
      <w:r>
        <w:rPr>
          <w:rFonts w:ascii="Arial" w:hAnsi="Arial"/>
          <w:rtl/>
        </w:rPr>
        <w:t>סמ"ע</w:t>
      </w:r>
      <w:r>
        <w:rPr>
          <w:rFonts w:ascii="Arial" w:hAnsi="Arial"/>
          <w:sz w:val="14"/>
          <w:szCs w:val="14"/>
          <w:rtl/>
        </w:rPr>
        <w:t xml:space="preserve"> (סקכ"א)</w:t>
      </w:r>
      <w:r>
        <w:rPr>
          <w:rFonts w:ascii="Arial" w:hAnsi="Arial"/>
          <w:rtl/>
        </w:rPr>
        <w:t xml:space="preserve"> וגר"א</w:t>
      </w:r>
      <w:r>
        <w:rPr>
          <w:rFonts w:ascii="Arial" w:hAnsi="Arial"/>
          <w:sz w:val="14"/>
          <w:szCs w:val="14"/>
          <w:rtl/>
        </w:rPr>
        <w:t xml:space="preserve"> (סקכ"ד)</w:t>
      </w:r>
      <w:r>
        <w:rPr>
          <w:rFonts w:ascii="Arial" w:hAnsi="Arial"/>
          <w:rtl/>
        </w:rPr>
        <w:t xml:space="preserve">- הרמב"ם נתן טעם זה משום דס"ל שהזבוב יכול גם להאריך האות על ידי טשטוש ולעשות מסמ"ך קו"ף </w:t>
      </w:r>
      <w:r>
        <w:rPr>
          <w:rFonts w:ascii="Arial" w:hAnsi="Arial"/>
          <w:sz w:val="16"/>
          <w:szCs w:val="16"/>
          <w:rtl/>
        </w:rPr>
        <w:t>(ומ"מ א"א לתלות את טעם החיוב בזבוב לבד דאילולי כן היינו אומרים אותו הדבר כשכתוב למעלה קפל ולמטה ספל וזה אינו דהגמ' השאירתו בתיקו)</w:t>
      </w:r>
      <w:r>
        <w:rPr>
          <w:rFonts w:ascii="Arial" w:hAnsi="Arial"/>
          <w:rtl/>
        </w:rPr>
        <w:t xml:space="preserve">, משום הכי צריך לטעם </w:t>
      </w:r>
      <w:r>
        <w:rPr>
          <w:rFonts w:ascii="Arial" w:hAnsi="Arial"/>
          <w:color w:val="000000" w:themeColor="text1"/>
          <w:rtl/>
        </w:rPr>
        <w:t>דקפל הוא הפחות, והואיל דיד בעל השטר על התחתונה מגבינן ביה את הפחות.</w:t>
      </w:r>
    </w:p>
    <w:p w14:paraId="27621ABD" w14:textId="77777777" w:rsidR="0013116F" w:rsidRDefault="0013116F" w:rsidP="004B0475">
      <w:pPr>
        <w:pStyle w:val="a9"/>
        <w:numPr>
          <w:ilvl w:val="0"/>
          <w:numId w:val="275"/>
        </w:numPr>
        <w:spacing w:after="60"/>
        <w:rPr>
          <w:rFonts w:ascii="Arial" w:hAnsi="Arial"/>
        </w:rPr>
      </w:pPr>
      <w:r>
        <w:rPr>
          <w:rFonts w:ascii="Arial" w:hAnsi="Arial"/>
          <w:rtl/>
        </w:rPr>
        <w:t xml:space="preserve">ט"ז- הרמב"ם לא בא ליתן טעם </w:t>
      </w:r>
      <w:r>
        <w:rPr>
          <w:rFonts w:ascii="Arial" w:hAnsi="Arial"/>
          <w:sz w:val="16"/>
          <w:szCs w:val="16"/>
          <w:rtl/>
        </w:rPr>
        <w:t xml:space="preserve">(משום שמקרה זה פשוט בגמ' דממ"נ אם נמחק לעיל מכח זבוב גובה בו קפל, והן אם חזר בו ממש"כ למעלה גובה בו קפל) </w:t>
      </w:r>
      <w:r>
        <w:rPr>
          <w:rFonts w:ascii="Arial" w:hAnsi="Arial"/>
          <w:rtl/>
        </w:rPr>
        <w:t>אלא כ' דבר זה להורות שהוא הפחות ותו לא, והולכים אחר התחתון</w:t>
      </w:r>
      <w:r>
        <w:rPr>
          <w:rFonts w:ascii="Arial" w:hAnsi="Arial"/>
          <w:sz w:val="16"/>
          <w:szCs w:val="16"/>
          <w:rtl/>
        </w:rPr>
        <w:t xml:space="preserve"> (כסתימת הגמ')</w:t>
      </w:r>
      <w:r>
        <w:rPr>
          <w:rFonts w:ascii="Arial" w:hAnsi="Arial"/>
          <w:rtl/>
        </w:rPr>
        <w:t xml:space="preserve"> בין לקולא בין לחומרא.</w:t>
      </w:r>
    </w:p>
  </w:footnote>
  <w:footnote w:id="3210">
    <w:p w14:paraId="79A87A02" w14:textId="77777777" w:rsidR="0013116F" w:rsidRDefault="0013116F" w:rsidP="001D49D4">
      <w:pPr>
        <w:pStyle w:val="a9"/>
        <w:spacing w:after="60"/>
        <w:rPr>
          <w:rFonts w:ascii="Arial" w:hAnsi="Arial"/>
        </w:rPr>
      </w:pPr>
      <w:r>
        <w:rPr>
          <w:rStyle w:val="ab"/>
          <w:rFonts w:ascii="Arial" w:hAnsi="Arial"/>
        </w:rPr>
        <w:footnoteRef/>
      </w:r>
      <w:r>
        <w:rPr>
          <w:rFonts w:ascii="Arial" w:hAnsi="Arial"/>
          <w:rtl/>
        </w:rPr>
        <w:t xml:space="preserve"> (רשב"ם</w:t>
      </w:r>
      <w:r>
        <w:rPr>
          <w:rFonts w:ascii="Arial" w:hAnsi="Arial"/>
          <w:sz w:val="14"/>
          <w:szCs w:val="14"/>
          <w:rtl/>
        </w:rPr>
        <w:t xml:space="preserve"> [ד"ה מי חיישינן]</w:t>
      </w:r>
      <w:r>
        <w:rPr>
          <w:rFonts w:ascii="Arial" w:hAnsi="Arial"/>
          <w:rtl/>
        </w:rPr>
        <w:t xml:space="preserve"> ותוס' </w:t>
      </w:r>
      <w:r>
        <w:rPr>
          <w:rFonts w:ascii="Arial" w:hAnsi="Arial"/>
          <w:sz w:val="14"/>
          <w:szCs w:val="14"/>
          <w:rtl/>
        </w:rPr>
        <w:t>[ד"ה ספל]</w:t>
      </w:r>
      <w:r>
        <w:rPr>
          <w:rFonts w:ascii="Arial" w:hAnsi="Arial"/>
          <w:sz w:val="16"/>
          <w:szCs w:val="16"/>
          <w:rtl/>
        </w:rPr>
        <w:t xml:space="preserve"> להב' הסמ"ע</w:t>
      </w:r>
      <w:r>
        <w:rPr>
          <w:rFonts w:ascii="Arial" w:hAnsi="Arial"/>
          <w:sz w:val="14"/>
          <w:szCs w:val="14"/>
          <w:rtl/>
        </w:rPr>
        <w:t xml:space="preserve"> [סקכ"א]</w:t>
      </w:r>
      <w:r>
        <w:rPr>
          <w:rFonts w:ascii="Arial" w:hAnsi="Arial"/>
          <w:rtl/>
        </w:rPr>
        <w:t>). וכן הבין הגר"א (סקכ"ד) את דברי הרשב"ם.</w:t>
      </w:r>
      <w:r>
        <w:rPr>
          <w:rFonts w:ascii="Arial" w:hAnsi="Arial"/>
          <w:color w:val="FF0000"/>
          <w:rtl/>
        </w:rPr>
        <w:t xml:space="preserve"> </w:t>
      </w:r>
    </w:p>
  </w:footnote>
  <w:footnote w:id="3211">
    <w:p w14:paraId="4F5D8527" w14:textId="77777777" w:rsidR="0013116F" w:rsidRDefault="0013116F" w:rsidP="001D49D4">
      <w:pPr>
        <w:pStyle w:val="a9"/>
        <w:spacing w:after="60"/>
        <w:rPr>
          <w:rFonts w:ascii="Arial" w:hAnsi="Arial"/>
        </w:rPr>
      </w:pPr>
      <w:r>
        <w:rPr>
          <w:rStyle w:val="ab"/>
          <w:rFonts w:ascii="Arial" w:hAnsi="Arial"/>
        </w:rPr>
        <w:footnoteRef/>
      </w:r>
      <w:r>
        <w:rPr>
          <w:rFonts w:ascii="Arial" w:hAnsi="Arial"/>
          <w:rtl/>
        </w:rPr>
        <w:t xml:space="preserve"> ומש"ה אף אם היה קפל הכתוב למטה טפי מספל הכתוב למעלה הולכין אחר התחתון ממה נפשך, דאי ספל היה כתוב למעלה מתחילה, נמצא חזר מספל לקפל והולכין אחר התחתון</w:t>
      </w:r>
      <w:r>
        <w:rPr>
          <w:rFonts w:ascii="Arial" w:hAnsi="Arial"/>
          <w:sz w:val="16"/>
          <w:szCs w:val="16"/>
          <w:rtl/>
        </w:rPr>
        <w:t xml:space="preserve"> (וכנ"ל [סעיף ה'] בכתב למעלה מאה ולמטה מאתיים)</w:t>
      </w:r>
      <w:r>
        <w:rPr>
          <w:rFonts w:ascii="Arial" w:hAnsi="Arial"/>
          <w:rtl/>
        </w:rPr>
        <w:t>, ואי מתחילה היה גם מה שכתוב למעלה קפל ומכח זבוב נעשה ספל, מכל שכן דנותנין לו קפל, סמ"ע. והט"ז כ' כן גם בדעת הרמב"ם.</w:t>
      </w:r>
    </w:p>
  </w:footnote>
  <w:footnote w:id="3212">
    <w:p w14:paraId="51CA0EB2" w14:textId="77777777" w:rsidR="0013116F" w:rsidRDefault="0013116F" w:rsidP="001D49D4">
      <w:pPr>
        <w:pStyle w:val="a9"/>
        <w:spacing w:after="60"/>
        <w:rPr>
          <w:rFonts w:ascii="Arial" w:hAnsi="Arial"/>
          <w:rtl/>
        </w:rPr>
      </w:pPr>
      <w:r>
        <w:rPr>
          <w:rStyle w:val="ab"/>
          <w:rFonts w:ascii="Arial" w:hAnsi="Arial"/>
        </w:rPr>
        <w:footnoteRef/>
      </w:r>
      <w:r>
        <w:rPr>
          <w:rFonts w:ascii="Arial" w:hAnsi="Arial"/>
          <w:rtl/>
        </w:rPr>
        <w:t xml:space="preserve"> וכ' הגר"א </w:t>
      </w:r>
      <w:r>
        <w:rPr>
          <w:rFonts w:ascii="Arial" w:hAnsi="Arial"/>
          <w:sz w:val="16"/>
          <w:szCs w:val="16"/>
          <w:rtl/>
        </w:rPr>
        <w:t xml:space="preserve">(סקכ"ד ליקוט) </w:t>
      </w:r>
      <w:r>
        <w:rPr>
          <w:rFonts w:ascii="Arial" w:hAnsi="Arial"/>
          <w:rtl/>
        </w:rPr>
        <w:t xml:space="preserve">דהן דברי הרמב"ם </w:t>
      </w:r>
      <w:r>
        <w:rPr>
          <w:rFonts w:ascii="Arial" w:hAnsi="Arial"/>
          <w:sz w:val="16"/>
          <w:szCs w:val="16"/>
          <w:rtl/>
        </w:rPr>
        <w:t>(דחייש להארכת זבוב ג"כ)</w:t>
      </w:r>
      <w:r>
        <w:rPr>
          <w:rFonts w:ascii="Arial" w:hAnsi="Arial"/>
          <w:rtl/>
        </w:rPr>
        <w:t xml:space="preserve">, ונפ"מ בזה דלהרמב"ם אי תפס לא מפקינן מיניה </w:t>
      </w:r>
      <w:r>
        <w:rPr>
          <w:rFonts w:ascii="Arial" w:hAnsi="Arial"/>
          <w:sz w:val="16"/>
          <w:szCs w:val="16"/>
          <w:rtl/>
        </w:rPr>
        <w:t>(כמ"ש בס"ח ואף דכאן ס"ס הוא וע' סי' ש"צ)</w:t>
      </w:r>
      <w:r>
        <w:rPr>
          <w:rFonts w:ascii="Arial" w:hAnsi="Arial"/>
          <w:rtl/>
        </w:rPr>
        <w:t xml:space="preserve">, ועוד נ"מ בשובר </w:t>
      </w:r>
      <w:r>
        <w:rPr>
          <w:rFonts w:ascii="Arial" w:hAnsi="Arial"/>
          <w:sz w:val="16"/>
          <w:szCs w:val="16"/>
          <w:rtl/>
        </w:rPr>
        <w:t>(כמ"ש בס"ח בהג"ה)</w:t>
      </w:r>
      <w:r>
        <w:rPr>
          <w:rFonts w:ascii="Arial" w:hAnsi="Arial"/>
          <w:rtl/>
        </w:rPr>
        <w:t>, ועוד נ"מ במ"ש בס"ה ואפשר לקיימם כו' לדבריו דוקא לענין ידו על התחתונה.</w:t>
      </w:r>
    </w:p>
  </w:footnote>
  <w:footnote w:id="3213">
    <w:p w14:paraId="4FA2A139" w14:textId="77777777" w:rsidR="0013116F" w:rsidRDefault="0013116F" w:rsidP="001D49D4">
      <w:pPr>
        <w:pStyle w:val="a9"/>
        <w:spacing w:after="60"/>
        <w:rPr>
          <w:rFonts w:ascii="Arial" w:hAnsi="Arial"/>
        </w:rPr>
      </w:pPr>
      <w:r>
        <w:rPr>
          <w:rStyle w:val="ab"/>
          <w:rFonts w:ascii="Arial" w:hAnsi="Arial"/>
        </w:rPr>
        <w:footnoteRef/>
      </w:r>
      <w:r>
        <w:rPr>
          <w:rFonts w:ascii="Arial" w:hAnsi="Arial"/>
          <w:rtl/>
        </w:rPr>
        <w:t xml:space="preserve"> רי"ף </w:t>
      </w:r>
      <w:r>
        <w:rPr>
          <w:rFonts w:ascii="Arial" w:hAnsi="Arial"/>
          <w:sz w:val="16"/>
          <w:szCs w:val="16"/>
          <w:rtl/>
        </w:rPr>
        <w:t>(ב"מ נט:)</w:t>
      </w:r>
      <w:r>
        <w:rPr>
          <w:rFonts w:ascii="Arial" w:hAnsi="Arial"/>
          <w:rtl/>
        </w:rPr>
        <w:t xml:space="preserve"> רמב"ם </w:t>
      </w:r>
      <w:r>
        <w:rPr>
          <w:rFonts w:ascii="Arial" w:hAnsi="Arial"/>
          <w:sz w:val="16"/>
          <w:szCs w:val="16"/>
          <w:rtl/>
        </w:rPr>
        <w:t>(פכ"ז הט"ז)</w:t>
      </w:r>
      <w:r>
        <w:rPr>
          <w:rFonts w:ascii="Arial" w:hAnsi="Arial"/>
          <w:rtl/>
        </w:rPr>
        <w:t xml:space="preserve"> רא"ה</w:t>
      </w:r>
      <w:r>
        <w:rPr>
          <w:rFonts w:ascii="Arial" w:hAnsi="Arial"/>
          <w:sz w:val="16"/>
          <w:szCs w:val="16"/>
          <w:rtl/>
        </w:rPr>
        <w:t xml:space="preserve"> (הביאו הנמוק"י </w:t>
      </w:r>
      <w:r>
        <w:rPr>
          <w:rFonts w:ascii="Arial" w:hAnsi="Arial"/>
          <w:sz w:val="14"/>
          <w:szCs w:val="14"/>
          <w:rtl/>
        </w:rPr>
        <w:t>[עו: ד"ה מתני' וכו']</w:t>
      </w:r>
      <w:r>
        <w:rPr>
          <w:rFonts w:ascii="Arial" w:hAnsi="Arial"/>
          <w:sz w:val="16"/>
          <w:szCs w:val="16"/>
          <w:rtl/>
        </w:rPr>
        <w:t>)</w:t>
      </w:r>
      <w:r>
        <w:rPr>
          <w:rFonts w:ascii="Arial" w:hAnsi="Arial"/>
          <w:rtl/>
        </w:rPr>
        <w:t xml:space="preserve"> ורא"ש </w:t>
      </w:r>
      <w:r>
        <w:rPr>
          <w:rFonts w:ascii="Arial" w:hAnsi="Arial"/>
          <w:sz w:val="16"/>
          <w:szCs w:val="16"/>
          <w:rtl/>
        </w:rPr>
        <w:t>(כלל עו סי' א)</w:t>
      </w:r>
      <w:r>
        <w:rPr>
          <w:rFonts w:ascii="Arial" w:hAnsi="Arial"/>
          <w:rtl/>
        </w:rPr>
        <w:t>.</w:t>
      </w:r>
    </w:p>
  </w:footnote>
  <w:footnote w:id="3214">
    <w:p w14:paraId="2D0FEA64" w14:textId="77777777" w:rsidR="0013116F" w:rsidRDefault="0013116F" w:rsidP="001D49D4">
      <w:pPr>
        <w:pStyle w:val="a9"/>
        <w:spacing w:after="60"/>
        <w:rPr>
          <w:rFonts w:ascii="Arial" w:hAnsi="Arial"/>
          <w:rtl/>
        </w:rPr>
      </w:pPr>
      <w:r>
        <w:rPr>
          <w:rStyle w:val="ab"/>
          <w:rFonts w:ascii="Arial" w:hAnsi="Arial"/>
        </w:rPr>
        <w:footnoteRef/>
      </w:r>
      <w:r>
        <w:rPr>
          <w:rFonts w:ascii="Arial" w:hAnsi="Arial"/>
          <w:rtl/>
        </w:rPr>
        <w:t xml:space="preserve"> ריטב"א</w:t>
      </w:r>
      <w:r>
        <w:rPr>
          <w:rFonts w:ascii="Arial" w:hAnsi="Arial"/>
          <w:sz w:val="16"/>
          <w:szCs w:val="16"/>
          <w:rtl/>
        </w:rPr>
        <w:t xml:space="preserve"> (קסה: ד"ה שובר, הביאו הנמוק"י </w:t>
      </w:r>
      <w:r>
        <w:rPr>
          <w:rFonts w:ascii="Arial" w:hAnsi="Arial"/>
          <w:sz w:val="14"/>
          <w:szCs w:val="14"/>
          <w:rtl/>
        </w:rPr>
        <w:t>[עו: ד"ה מתני' וכו']</w:t>
      </w:r>
      <w:r>
        <w:rPr>
          <w:rFonts w:ascii="Arial" w:hAnsi="Arial"/>
          <w:sz w:val="16"/>
          <w:szCs w:val="16"/>
          <w:rtl/>
        </w:rPr>
        <w:t xml:space="preserve">, והביאוהו הב"י </w:t>
      </w:r>
      <w:r>
        <w:rPr>
          <w:rFonts w:ascii="Arial" w:hAnsi="Arial"/>
          <w:sz w:val="14"/>
          <w:szCs w:val="14"/>
          <w:rtl/>
        </w:rPr>
        <w:t>[סע' ח</w:t>
      </w:r>
      <w:r>
        <w:rPr>
          <w:rFonts w:ascii="Arial" w:hAnsi="Arial"/>
          <w:sz w:val="12"/>
          <w:szCs w:val="12"/>
          <w:rtl/>
        </w:rPr>
        <w:t>(ב)</w:t>
      </w:r>
      <w:r>
        <w:rPr>
          <w:rFonts w:ascii="Arial" w:hAnsi="Arial"/>
          <w:sz w:val="14"/>
          <w:szCs w:val="14"/>
          <w:rtl/>
        </w:rPr>
        <w:t xml:space="preserve"> עמ' נז] </w:t>
      </w:r>
      <w:r>
        <w:rPr>
          <w:rFonts w:ascii="Arial" w:hAnsi="Arial"/>
          <w:sz w:val="16"/>
          <w:szCs w:val="16"/>
          <w:rtl/>
        </w:rPr>
        <w:t xml:space="preserve">והדרכ"מ </w:t>
      </w:r>
      <w:r>
        <w:rPr>
          <w:rFonts w:ascii="Arial" w:hAnsi="Arial"/>
          <w:sz w:val="14"/>
          <w:szCs w:val="14"/>
          <w:rtl/>
        </w:rPr>
        <w:t>[אות ד*]</w:t>
      </w:r>
      <w:r>
        <w:rPr>
          <w:rFonts w:ascii="Arial" w:hAnsi="Arial"/>
          <w:sz w:val="16"/>
          <w:szCs w:val="16"/>
          <w:rtl/>
        </w:rPr>
        <w:t>)</w:t>
      </w:r>
      <w:r>
        <w:rPr>
          <w:rFonts w:ascii="Arial" w:hAnsi="Arial"/>
          <w:rtl/>
        </w:rPr>
        <w:t xml:space="preserve"> ומהרי"ק</w:t>
      </w:r>
      <w:r>
        <w:rPr>
          <w:rFonts w:ascii="Arial" w:hAnsi="Arial"/>
          <w:sz w:val="16"/>
          <w:szCs w:val="16"/>
          <w:rtl/>
        </w:rPr>
        <w:t xml:space="preserve"> (שורש ז')</w:t>
      </w:r>
      <w:r>
        <w:rPr>
          <w:rFonts w:ascii="Arial" w:hAnsi="Arial"/>
          <w:rtl/>
        </w:rPr>
        <w:t>.</w:t>
      </w:r>
    </w:p>
  </w:footnote>
  <w:footnote w:id="3215">
    <w:p w14:paraId="569FBA45" w14:textId="77777777" w:rsidR="0013116F" w:rsidRDefault="0013116F" w:rsidP="001D49D4">
      <w:pPr>
        <w:pStyle w:val="a9"/>
        <w:spacing w:after="60"/>
        <w:rPr>
          <w:rFonts w:ascii="Arial" w:hAnsi="Arial"/>
          <w:rtl/>
        </w:rPr>
      </w:pPr>
      <w:r>
        <w:rPr>
          <w:rStyle w:val="ab"/>
          <w:rFonts w:ascii="Arial" w:hAnsi="Arial"/>
        </w:rPr>
        <w:footnoteRef/>
      </w:r>
      <w:r>
        <w:rPr>
          <w:rFonts w:ascii="Arial" w:hAnsi="Arial"/>
          <w:rtl/>
        </w:rPr>
        <w:t xml:space="preserve"> וכ' הב"י בבדה"ב- "ואני תמה אם ראה דברי הני רבוותא איך חלק עליהם". וגם הלח"מ (פט"ו ה"ג) הניח דברי מהרי"ק בתימה, ואע"ג דגם הדרכ"מ</w:t>
      </w:r>
      <w:r>
        <w:rPr>
          <w:rFonts w:ascii="Arial" w:hAnsi="Arial"/>
          <w:sz w:val="16"/>
          <w:szCs w:val="16"/>
          <w:rtl/>
        </w:rPr>
        <w:t xml:space="preserve"> (אות ד*)</w:t>
      </w:r>
      <w:r>
        <w:rPr>
          <w:rFonts w:ascii="Arial" w:hAnsi="Arial"/>
          <w:rtl/>
        </w:rPr>
        <w:t xml:space="preserve"> כ' שמהרי"ק חולק כ' הש"ך </w:t>
      </w:r>
      <w:r>
        <w:rPr>
          <w:rFonts w:ascii="Arial" w:hAnsi="Arial"/>
          <w:sz w:val="16"/>
          <w:szCs w:val="16"/>
          <w:rtl/>
        </w:rPr>
        <w:t>(סקי"ח)</w:t>
      </w:r>
      <w:r>
        <w:rPr>
          <w:rFonts w:ascii="Arial" w:hAnsi="Arial"/>
          <w:rtl/>
        </w:rPr>
        <w:t xml:space="preserve"> דליכא כאן פלוגתא כלל בין הפוסקים, ומהרי"ק קאי שם בעניין אחר, אך מסכים להם בדין זה </w:t>
      </w:r>
      <w:r>
        <w:rPr>
          <w:rFonts w:ascii="Arial" w:hAnsi="Arial"/>
          <w:sz w:val="16"/>
          <w:szCs w:val="16"/>
          <w:rtl/>
        </w:rPr>
        <w:t>(עיין בש"ך)</w:t>
      </w:r>
      <w:r>
        <w:rPr>
          <w:rFonts w:ascii="Arial" w:hAnsi="Arial"/>
          <w:rtl/>
        </w:rPr>
        <w:t>.</w:t>
      </w:r>
    </w:p>
  </w:footnote>
  <w:footnote w:id="3216">
    <w:p w14:paraId="48B9CEE5" w14:textId="77777777" w:rsidR="0013116F" w:rsidRDefault="0013116F" w:rsidP="001D49D4">
      <w:pPr>
        <w:pStyle w:val="a9"/>
        <w:spacing w:after="60"/>
        <w:rPr>
          <w:rFonts w:ascii="Arial" w:hAnsi="Arial"/>
          <w:rtl/>
        </w:rPr>
      </w:pPr>
      <w:r>
        <w:rPr>
          <w:rStyle w:val="ab"/>
          <w:rFonts w:ascii="Arial" w:hAnsi="Arial"/>
        </w:rPr>
        <w:footnoteRef/>
      </w:r>
      <w:r>
        <w:rPr>
          <w:rFonts w:ascii="Arial" w:hAnsi="Arial"/>
          <w:rtl/>
        </w:rPr>
        <w:t xml:space="preserve"> ב"מ ו. ד"ה מדקאמרינן, הביאו בעל התרומות, הביאם הב"י ולא הביא את דעת החולקים.</w:t>
      </w:r>
    </w:p>
  </w:footnote>
  <w:footnote w:id="3217">
    <w:p w14:paraId="1B42FB43" w14:textId="77777777" w:rsidR="0013116F" w:rsidRDefault="0013116F" w:rsidP="001D49D4">
      <w:pPr>
        <w:pStyle w:val="a9"/>
        <w:spacing w:after="60"/>
        <w:rPr>
          <w:rFonts w:ascii="Arial" w:hAnsi="Arial"/>
        </w:rPr>
      </w:pPr>
      <w:r>
        <w:rPr>
          <w:rStyle w:val="ab"/>
          <w:rFonts w:ascii="Arial" w:hAnsi="Arial"/>
        </w:rPr>
        <w:footnoteRef/>
      </w:r>
      <w:r>
        <w:rPr>
          <w:rFonts w:ascii="Arial" w:hAnsi="Arial"/>
          <w:rtl/>
        </w:rPr>
        <w:t xml:space="preserve"> כגון שנתן לו מאה מעי ברצונו או שנתן לו מטלטלין באיסתרא כיון דברשותיה יהב ברשותיה קיימי והמוציא מחבירו עליו הראיה.</w:t>
      </w:r>
    </w:p>
  </w:footnote>
  <w:footnote w:id="3218">
    <w:p w14:paraId="73AE0B89" w14:textId="77777777" w:rsidR="0013116F" w:rsidRDefault="0013116F" w:rsidP="001D49D4">
      <w:pPr>
        <w:pStyle w:val="a9"/>
        <w:spacing w:after="60"/>
        <w:rPr>
          <w:rFonts w:ascii="Arial" w:hAnsi="Arial"/>
        </w:rPr>
      </w:pPr>
      <w:r>
        <w:rPr>
          <w:rStyle w:val="ab"/>
          <w:rFonts w:ascii="Arial" w:hAnsi="Arial"/>
        </w:rPr>
        <w:footnoteRef/>
      </w:r>
      <w:r>
        <w:rPr>
          <w:rFonts w:ascii="Arial" w:hAnsi="Arial"/>
          <w:rtl/>
        </w:rPr>
        <w:t xml:space="preserve"> רא"ש</w:t>
      </w:r>
      <w:r>
        <w:rPr>
          <w:rFonts w:ascii="Arial" w:hAnsi="Arial"/>
          <w:sz w:val="16"/>
          <w:szCs w:val="16"/>
          <w:rtl/>
        </w:rPr>
        <w:t xml:space="preserve"> (ב"ב פ"א סי' י"ג)</w:t>
      </w:r>
      <w:r>
        <w:rPr>
          <w:rFonts w:ascii="Arial" w:hAnsi="Arial"/>
          <w:rtl/>
        </w:rPr>
        <w:t xml:space="preserve"> (וטור</w:t>
      </w:r>
      <w:r>
        <w:rPr>
          <w:rFonts w:ascii="Arial" w:hAnsi="Arial"/>
          <w:sz w:val="16"/>
          <w:szCs w:val="16"/>
          <w:rtl/>
        </w:rPr>
        <w:t xml:space="preserve"> להב' הפרישה</w:t>
      </w:r>
      <w:r>
        <w:rPr>
          <w:rFonts w:ascii="Arial" w:hAnsi="Arial"/>
          <w:sz w:val="14"/>
          <w:szCs w:val="14"/>
          <w:rtl/>
        </w:rPr>
        <w:t xml:space="preserve"> [אות יג]</w:t>
      </w:r>
      <w:r>
        <w:rPr>
          <w:rFonts w:ascii="Arial" w:hAnsi="Arial"/>
          <w:rtl/>
        </w:rPr>
        <w:t>).</w:t>
      </w:r>
    </w:p>
  </w:footnote>
  <w:footnote w:id="3219">
    <w:p w14:paraId="76FD6A92" w14:textId="77777777" w:rsidR="0013116F" w:rsidRDefault="0013116F" w:rsidP="001D49D4">
      <w:pPr>
        <w:pStyle w:val="a9"/>
        <w:spacing w:after="60"/>
        <w:rPr>
          <w:rFonts w:ascii="Arial" w:hAnsi="Arial"/>
          <w:rtl/>
        </w:rPr>
      </w:pPr>
      <w:r>
        <w:rPr>
          <w:rStyle w:val="ab"/>
          <w:rFonts w:ascii="Arial" w:hAnsi="Arial"/>
        </w:rPr>
        <w:footnoteRef/>
      </w:r>
      <w:r>
        <w:rPr>
          <w:rFonts w:ascii="Arial" w:hAnsi="Arial"/>
          <w:rtl/>
        </w:rPr>
        <w:t xml:space="preserve"> וכ' הש"ך</w:t>
      </w:r>
      <w:r>
        <w:rPr>
          <w:rFonts w:ascii="Arial" w:hAnsi="Arial"/>
          <w:sz w:val="16"/>
          <w:szCs w:val="16"/>
          <w:rtl/>
        </w:rPr>
        <w:t xml:space="preserve"> (סקט"ו)</w:t>
      </w:r>
      <w:r>
        <w:rPr>
          <w:rFonts w:ascii="Arial" w:hAnsi="Arial"/>
          <w:rtl/>
        </w:rPr>
        <w:t xml:space="preserve"> דלענין דינא לא פליגי, דהפוסקים מיירי בטוען ברי, והרמב"ן מיירי בטוען שמא ובא לזכות מכח השטר. </w:t>
      </w:r>
    </w:p>
  </w:footnote>
  <w:footnote w:id="3220">
    <w:p w14:paraId="72EE6124" w14:textId="77777777" w:rsidR="0013116F" w:rsidRDefault="0013116F" w:rsidP="001D49D4">
      <w:pPr>
        <w:spacing w:after="60" w:line="240" w:lineRule="auto"/>
        <w:rPr>
          <w:rFonts w:ascii="Arial" w:hAnsi="Arial"/>
          <w:sz w:val="20"/>
          <w:szCs w:val="20"/>
          <w:rtl/>
        </w:rPr>
      </w:pPr>
      <w:r>
        <w:rPr>
          <w:rStyle w:val="ab"/>
          <w:rFonts w:ascii="Arial" w:hAnsi="Arial"/>
        </w:rPr>
        <w:footnoteRef/>
      </w:r>
      <w:r>
        <w:rPr>
          <w:rFonts w:ascii="Arial" w:hAnsi="Arial"/>
          <w:sz w:val="20"/>
          <w:szCs w:val="20"/>
          <w:rtl/>
        </w:rPr>
        <w:t xml:space="preserve"> עדי השטר ב' ואלו ב' מעידים עליהם שפסולים היו באותה שעה, רש"י.</w:t>
      </w:r>
    </w:p>
  </w:footnote>
  <w:footnote w:id="3221">
    <w:p w14:paraId="3E1196E4" w14:textId="77777777" w:rsidR="0013116F" w:rsidRDefault="0013116F" w:rsidP="001D49D4">
      <w:pPr>
        <w:pStyle w:val="a9"/>
        <w:spacing w:after="60"/>
        <w:rPr>
          <w:rFonts w:ascii="Arial" w:hAnsi="Arial"/>
          <w:rtl/>
        </w:rPr>
      </w:pPr>
      <w:r>
        <w:rPr>
          <w:rStyle w:val="ab"/>
          <w:rFonts w:ascii="Arial" w:hAnsi="Arial"/>
        </w:rPr>
        <w:footnoteRef/>
      </w:r>
      <w:r>
        <w:rPr>
          <w:rFonts w:ascii="Arial" w:hAnsi="Arial"/>
          <w:rtl/>
        </w:rPr>
        <w:t xml:space="preserve"> בחזקת הלוה, ואם קרקע היא תעמוד בחזקת המוכר.... ואי תפיס מידי והדר אתי האי ותבע מיניה לא מפקינן מיניה דאמרינן אוקי תרי לבהדי תרי וממונא בחזקת היכא דקאי, רש"י. וכ' הה"מ דמשמע דהוא הדין לכל ספק שטר.</w:t>
      </w:r>
    </w:p>
  </w:footnote>
  <w:footnote w:id="3222">
    <w:p w14:paraId="43D68990" w14:textId="77777777" w:rsidR="0013116F" w:rsidRDefault="0013116F" w:rsidP="001D49D4">
      <w:pPr>
        <w:pStyle w:val="a9"/>
        <w:spacing w:after="60"/>
        <w:rPr>
          <w:rFonts w:ascii="Arial" w:hAnsi="Arial"/>
          <w:rtl/>
        </w:rPr>
      </w:pPr>
      <w:r>
        <w:rPr>
          <w:rStyle w:val="ab"/>
          <w:rFonts w:ascii="Arial" w:hAnsi="Arial"/>
        </w:rPr>
        <w:footnoteRef/>
      </w:r>
      <w:r>
        <w:rPr>
          <w:rFonts w:ascii="Arial" w:hAnsi="Arial"/>
          <w:rtl/>
        </w:rPr>
        <w:t xml:space="preserve"> דאילו שלא בעדים נאמן במגו דאי בעי למימר לא נטלתי, ב"י.</w:t>
      </w:r>
    </w:p>
  </w:footnote>
  <w:footnote w:id="3223">
    <w:p w14:paraId="18681FE6" w14:textId="77777777" w:rsidR="0013116F" w:rsidRDefault="0013116F" w:rsidP="001D49D4">
      <w:pPr>
        <w:pStyle w:val="a9"/>
        <w:spacing w:after="60"/>
        <w:rPr>
          <w:rFonts w:ascii="Arial" w:hAnsi="Arial"/>
          <w:rtl/>
        </w:rPr>
      </w:pPr>
      <w:r>
        <w:rPr>
          <w:rStyle w:val="ab"/>
          <w:rFonts w:ascii="Arial" w:hAnsi="Arial"/>
        </w:rPr>
        <w:footnoteRef/>
      </w:r>
      <w:r>
        <w:rPr>
          <w:rFonts w:ascii="Arial" w:hAnsi="Arial"/>
          <w:rtl/>
        </w:rPr>
        <w:t xml:space="preserve"> אפילו תפס בעדים, סמ"ע (סקכ"ב).</w:t>
      </w:r>
    </w:p>
  </w:footnote>
  <w:footnote w:id="3224">
    <w:p w14:paraId="6D9C7213" w14:textId="77777777" w:rsidR="0013116F" w:rsidRDefault="0013116F" w:rsidP="001D49D4">
      <w:pPr>
        <w:pStyle w:val="a9"/>
        <w:spacing w:after="60"/>
        <w:rPr>
          <w:rFonts w:ascii="Arial" w:hAnsi="Arial"/>
          <w:rtl/>
        </w:rPr>
      </w:pPr>
      <w:r>
        <w:rPr>
          <w:rStyle w:val="ab"/>
          <w:rFonts w:ascii="Arial" w:hAnsi="Arial"/>
        </w:rPr>
        <w:footnoteRef/>
      </w:r>
      <w:r>
        <w:rPr>
          <w:rFonts w:ascii="Arial" w:hAnsi="Arial"/>
          <w:rtl/>
        </w:rPr>
        <w:t xml:space="preserve"> דוקא מטלטלי, דאילו קרקעות לא שייכא בהו תפיסה דקרקע בחזקת בעליה עומדת, ב"י בשם רבינו יונה</w:t>
      </w:r>
      <w:r>
        <w:rPr>
          <w:rFonts w:ascii="Arial" w:hAnsi="Arial"/>
          <w:sz w:val="16"/>
          <w:szCs w:val="16"/>
          <w:rtl/>
        </w:rPr>
        <w:t xml:space="preserve"> (הביאו הטור בסי' מו סל"ג)</w:t>
      </w:r>
      <w:r>
        <w:rPr>
          <w:rFonts w:ascii="Arial" w:hAnsi="Arial"/>
          <w:rtl/>
        </w:rPr>
        <w:t>. והוסיף הש"ך</w:t>
      </w:r>
      <w:r>
        <w:rPr>
          <w:rFonts w:ascii="Arial" w:hAnsi="Arial"/>
          <w:sz w:val="16"/>
          <w:szCs w:val="16"/>
          <w:rtl/>
        </w:rPr>
        <w:t xml:space="preserve"> (סקט"ז)</w:t>
      </w:r>
      <w:r>
        <w:rPr>
          <w:rFonts w:ascii="Arial" w:hAnsi="Arial"/>
          <w:rtl/>
        </w:rPr>
        <w:t xml:space="preserve"> דאפי' בפירות קרקע לא מהני תפיסה אפי' טוען התופס ברי, אם לא דאית ליה מיגו, מטעם קרקע בחזקת בעליה קיימא.</w:t>
      </w:r>
    </w:p>
  </w:footnote>
  <w:footnote w:id="3225">
    <w:p w14:paraId="25D13399" w14:textId="77777777" w:rsidR="0013116F" w:rsidRDefault="0013116F" w:rsidP="001D49D4">
      <w:pPr>
        <w:pStyle w:val="a9"/>
        <w:spacing w:after="60"/>
        <w:rPr>
          <w:rFonts w:ascii="Arial" w:hAnsi="Arial"/>
        </w:rPr>
      </w:pPr>
      <w:r>
        <w:rPr>
          <w:rStyle w:val="ab"/>
          <w:rFonts w:ascii="Arial" w:hAnsi="Arial"/>
        </w:rPr>
        <w:footnoteRef/>
      </w:r>
      <w:r>
        <w:rPr>
          <w:rFonts w:ascii="Arial" w:hAnsi="Arial"/>
          <w:rtl/>
        </w:rPr>
        <w:t xml:space="preserve"> משום דהא דאמרינן יד בעל השטר על התחתונה היינו משום דהמוציא מחבירו עליו הראיה השתא דבעל השטר תפס הוי אידך המוציא מחבירו עליו הראיה, הגה"מ </w:t>
      </w:r>
      <w:r>
        <w:rPr>
          <w:rFonts w:ascii="Arial" w:hAnsi="Arial"/>
          <w:sz w:val="16"/>
          <w:szCs w:val="16"/>
          <w:rtl/>
        </w:rPr>
        <w:t>(פכ"ז אות ש, הביאו הב"י)</w:t>
      </w:r>
      <w:r>
        <w:rPr>
          <w:rFonts w:ascii="Arial" w:hAnsi="Arial"/>
          <w:rtl/>
        </w:rPr>
        <w:t>.</w:t>
      </w:r>
    </w:p>
  </w:footnote>
  <w:footnote w:id="3226">
    <w:p w14:paraId="65B52F40" w14:textId="77777777" w:rsidR="0013116F" w:rsidRDefault="0013116F" w:rsidP="001D49D4">
      <w:pPr>
        <w:pStyle w:val="a9"/>
        <w:spacing w:after="60"/>
        <w:rPr>
          <w:rFonts w:ascii="Arial" w:hAnsi="Arial"/>
          <w:rtl/>
        </w:rPr>
      </w:pPr>
      <w:r>
        <w:rPr>
          <w:rStyle w:val="ab"/>
          <w:rFonts w:ascii="Arial" w:hAnsi="Arial"/>
        </w:rPr>
        <w:footnoteRef/>
      </w:r>
      <w:r>
        <w:rPr>
          <w:rFonts w:ascii="Arial" w:hAnsi="Arial"/>
          <w:rtl/>
        </w:rPr>
        <w:t xml:space="preserve"> ז"א דמאחר דבסתם תופס שלוקח שלא ברשות מרשות בעלים לאחר שנולד הספק מהני התפיסה אז כל שכן דמהני בשובר שמוחזק ועומד אצלו, ואין מוציאים מידו, ע"פ סמ"ע (סקכ"ג).</w:t>
      </w:r>
    </w:p>
  </w:footnote>
  <w:footnote w:id="3227">
    <w:p w14:paraId="72E28CB4" w14:textId="77777777" w:rsidR="0013116F" w:rsidRDefault="0013116F" w:rsidP="001D49D4">
      <w:pPr>
        <w:pStyle w:val="a9"/>
        <w:spacing w:after="60"/>
        <w:rPr>
          <w:rFonts w:ascii="Arial" w:hAnsi="Arial"/>
          <w:rtl/>
        </w:rPr>
      </w:pPr>
      <w:r>
        <w:rPr>
          <w:rStyle w:val="ab"/>
          <w:rFonts w:ascii="Arial" w:hAnsi="Arial"/>
        </w:rPr>
        <w:footnoteRef/>
      </w:r>
      <w:r>
        <w:rPr>
          <w:rFonts w:ascii="Arial" w:hAnsi="Arial"/>
          <w:rtl/>
        </w:rPr>
        <w:t xml:space="preserve"> וכ' הש"ך (סקי"ח) דגם הריטב"א מודה דאמרינן בשובר ידו על העליונה כיון שהוא מוחזק, ולא פליג התם אלא בכתוב בו דינרין דלא דיינין דינרין טובי משום דלשון דינרין משמע רק ב'.</w:t>
      </w:r>
    </w:p>
  </w:footnote>
  <w:footnote w:id="3228">
    <w:p w14:paraId="783CC927" w14:textId="77777777" w:rsidR="0013116F" w:rsidRDefault="0013116F" w:rsidP="001D49D4">
      <w:pPr>
        <w:pStyle w:val="a9"/>
        <w:spacing w:after="60"/>
        <w:rPr>
          <w:rFonts w:ascii="Arial" w:hAnsi="Arial"/>
        </w:rPr>
      </w:pPr>
      <w:r>
        <w:rPr>
          <w:rStyle w:val="ab"/>
          <w:rFonts w:ascii="Arial" w:hAnsi="Arial"/>
        </w:rPr>
        <w:footnoteRef/>
      </w:r>
      <w:r>
        <w:rPr>
          <w:rFonts w:ascii="Arial" w:hAnsi="Arial"/>
          <w:rtl/>
        </w:rPr>
        <w:t xml:space="preserve"> לפנינו כ'- "הרב ב"י" ונראה שהיא ט"ס שהרי הב"י לא כ' בדרך של "כל שכן" כמש"כ הש"ך, לכן נראה שהכונה לדברי הרמ"א, ועוד שבהמשך דברי הש"ך הוא מתייחס לקושיית הסמ"ע על דברי הב"י מחדש ואם דיבר בו למעלה למה מזכירו שוב.</w:t>
      </w:r>
    </w:p>
  </w:footnote>
  <w:footnote w:id="3229">
    <w:p w14:paraId="4EFDCF6F" w14:textId="77777777" w:rsidR="0013116F" w:rsidRDefault="0013116F" w:rsidP="001D49D4">
      <w:pPr>
        <w:pStyle w:val="a9"/>
        <w:spacing w:after="60"/>
        <w:rPr>
          <w:rFonts w:ascii="Arial" w:hAnsi="Arial"/>
        </w:rPr>
      </w:pPr>
      <w:r>
        <w:rPr>
          <w:rStyle w:val="ab"/>
          <w:rFonts w:ascii="Arial" w:hAnsi="Arial"/>
        </w:rPr>
        <w:footnoteRef/>
      </w:r>
      <w:r>
        <w:rPr>
          <w:rFonts w:ascii="Arial" w:hAnsi="Arial"/>
          <w:rtl/>
        </w:rPr>
        <w:t xml:space="preserve"> ועיין בתומים (סק"י) ובנתיבות (סק"ז בביאורים) שהשיגו על הש"ך.</w:t>
      </w:r>
    </w:p>
  </w:footnote>
  <w:footnote w:id="3230">
    <w:p w14:paraId="7A0BAF4F" w14:textId="77777777" w:rsidR="0013116F" w:rsidRDefault="0013116F" w:rsidP="001D49D4">
      <w:pPr>
        <w:pStyle w:val="a9"/>
        <w:spacing w:after="60"/>
        <w:rPr>
          <w:rFonts w:ascii="Arial" w:hAnsi="Arial"/>
        </w:rPr>
      </w:pPr>
      <w:r>
        <w:rPr>
          <w:rStyle w:val="ab"/>
          <w:rFonts w:ascii="Arial" w:hAnsi="Arial"/>
        </w:rPr>
        <w:footnoteRef/>
      </w:r>
      <w:r>
        <w:rPr>
          <w:rFonts w:ascii="Arial" w:hAnsi="Arial"/>
          <w:rtl/>
        </w:rPr>
        <w:t xml:space="preserve"> זה גיטך אם לא אבא לאחר שבוע זו, שמטה זו, ממתינים לו שנה שמינית דכל שנה שמינית קרויה אחר שבוע, רש"י.</w:t>
      </w:r>
    </w:p>
  </w:footnote>
  <w:footnote w:id="3231">
    <w:p w14:paraId="2D516FAC" w14:textId="77777777" w:rsidR="0013116F" w:rsidRDefault="0013116F" w:rsidP="001D49D4">
      <w:pPr>
        <w:pStyle w:val="a9"/>
        <w:spacing w:after="60"/>
        <w:rPr>
          <w:rFonts w:ascii="Arial" w:hAnsi="Arial"/>
          <w:rtl/>
        </w:rPr>
      </w:pPr>
      <w:r>
        <w:rPr>
          <w:rStyle w:val="ab"/>
          <w:rFonts w:ascii="Arial" w:hAnsi="Arial"/>
        </w:rPr>
        <w:footnoteRef/>
      </w:r>
      <w:r>
        <w:rPr>
          <w:rFonts w:ascii="Arial" w:hAnsi="Arial"/>
          <w:rtl/>
        </w:rPr>
        <w:t xml:space="preserve"> כדתנן</w:t>
      </w:r>
      <w:r>
        <w:rPr>
          <w:rFonts w:ascii="Arial" w:hAnsi="Arial"/>
          <w:sz w:val="16"/>
          <w:szCs w:val="16"/>
          <w:rtl/>
        </w:rPr>
        <w:t xml:space="preserve"> (נז. ס.) </w:t>
      </w:r>
      <w:r>
        <w:rPr>
          <w:rFonts w:ascii="Arial" w:hAnsi="Arial"/>
          <w:rtl/>
        </w:rPr>
        <w:t xml:space="preserve">"קונם שאת נהנית לי עד הפסח", "קונם שאני שותה יין עד הפסח" דבהני אסור עד שיגיע ולא אמרו שיהא אסור עד שיגיע פסח אחרון כלומר עד עולם ואפילו למאן דאמר </w:t>
      </w:r>
      <w:r>
        <w:rPr>
          <w:rFonts w:ascii="Arial" w:hAnsi="Arial"/>
          <w:sz w:val="16"/>
          <w:szCs w:val="16"/>
          <w:rtl/>
        </w:rPr>
        <w:t xml:space="preserve">(שם סא:) </w:t>
      </w:r>
      <w:r>
        <w:rPr>
          <w:rFonts w:ascii="Arial" w:hAnsi="Arial"/>
          <w:rtl/>
        </w:rPr>
        <w:t>מעייל איניש נפשיה בספיקא לפי שאין במשמע אלא פסח ראשון.</w:t>
      </w:r>
    </w:p>
  </w:footnote>
  <w:footnote w:id="3232">
    <w:p w14:paraId="2835EAA2" w14:textId="77777777" w:rsidR="0013116F" w:rsidRDefault="0013116F" w:rsidP="001D49D4">
      <w:pPr>
        <w:spacing w:after="60" w:line="240" w:lineRule="auto"/>
        <w:rPr>
          <w:rFonts w:ascii="Arial" w:hAnsi="Arial"/>
          <w:sz w:val="20"/>
          <w:szCs w:val="20"/>
        </w:rPr>
      </w:pPr>
      <w:r>
        <w:rPr>
          <w:rStyle w:val="ab"/>
          <w:rFonts w:ascii="Arial" w:hAnsi="Arial"/>
        </w:rPr>
        <w:footnoteRef/>
      </w:r>
      <w:r>
        <w:rPr>
          <w:rFonts w:ascii="Arial" w:hAnsi="Arial"/>
          <w:sz w:val="20"/>
          <w:szCs w:val="20"/>
          <w:rtl/>
        </w:rPr>
        <w:t xml:space="preserve"> </w:t>
      </w:r>
      <w:r>
        <w:rPr>
          <w:rFonts w:ascii="Arial" w:hAnsi="Arial" w:hint="cs"/>
          <w:sz w:val="20"/>
          <w:szCs w:val="20"/>
          <w:rtl/>
        </w:rPr>
        <w:t xml:space="preserve">לדוגמא שטר שזמנו בשבת, נמוק"י </w:t>
      </w:r>
      <w:r>
        <w:rPr>
          <w:rFonts w:ascii="Arial" w:hAnsi="Arial"/>
          <w:sz w:val="16"/>
          <w:szCs w:val="16"/>
          <w:rtl/>
        </w:rPr>
        <w:t>(בפרק גט פשוט עט סוע"א)</w:t>
      </w:r>
      <w:r>
        <w:rPr>
          <w:rFonts w:ascii="Arial" w:hAnsi="Arial"/>
          <w:sz w:val="20"/>
          <w:szCs w:val="20"/>
          <w:rtl/>
        </w:rPr>
        <w:t>. וכ' הש"ך</w:t>
      </w:r>
      <w:r>
        <w:rPr>
          <w:rFonts w:ascii="Arial" w:hAnsi="Arial"/>
          <w:sz w:val="16"/>
          <w:szCs w:val="16"/>
          <w:rtl/>
        </w:rPr>
        <w:t xml:space="preserve"> (סקי"ט)</w:t>
      </w:r>
      <w:r>
        <w:rPr>
          <w:rFonts w:ascii="Arial" w:hAnsi="Arial"/>
          <w:sz w:val="20"/>
          <w:szCs w:val="20"/>
          <w:rtl/>
        </w:rPr>
        <w:t xml:space="preserve"> דהשו"ע הזכיר דוגמא זו </w:t>
      </w:r>
      <w:r>
        <w:rPr>
          <w:rFonts w:ascii="Arial" w:hAnsi="Arial"/>
          <w:sz w:val="16"/>
          <w:szCs w:val="16"/>
          <w:rtl/>
        </w:rPr>
        <w:t>(שכתוב בשטר פסח ולא כתוב איזה)</w:t>
      </w:r>
      <w:r>
        <w:rPr>
          <w:rFonts w:ascii="Arial" w:hAnsi="Arial"/>
          <w:sz w:val="20"/>
          <w:szCs w:val="20"/>
          <w:rtl/>
        </w:rPr>
        <w:t xml:space="preserve"> אבל ה"ה שמסכים גם לדוגמאות שהביאו שאר הפוסקים</w:t>
      </w:r>
      <w:r>
        <w:rPr>
          <w:rFonts w:ascii="Arial" w:hAnsi="Arial"/>
          <w:sz w:val="16"/>
          <w:szCs w:val="16"/>
          <w:rtl/>
        </w:rPr>
        <w:t xml:space="preserve"> (ריטב"א ועוד, לדוג'- אדם שמתחייב לעשות שום דבר לזמן ולא פירש אימתי כלל, חייב לעשות כן בזמן הבא ראשון, כדוגמת הירושלמי לעיל)</w:t>
      </w:r>
      <w:r>
        <w:rPr>
          <w:rFonts w:ascii="Arial" w:hAnsi="Arial"/>
          <w:sz w:val="20"/>
          <w:szCs w:val="20"/>
          <w:rtl/>
        </w:rPr>
        <w:t xml:space="preserve"> ועיקר כוונתו על מה שכתב "וכן כל כיוצא בזה".</w:t>
      </w:r>
    </w:p>
  </w:footnote>
  <w:footnote w:id="3233">
    <w:p w14:paraId="377717D4" w14:textId="77777777" w:rsidR="0013116F" w:rsidRDefault="0013116F" w:rsidP="001D49D4">
      <w:pPr>
        <w:pStyle w:val="a9"/>
        <w:spacing w:after="60"/>
        <w:rPr>
          <w:rFonts w:ascii="Arial" w:hAnsi="Arial"/>
          <w:rtl/>
        </w:rPr>
      </w:pPr>
      <w:r>
        <w:rPr>
          <w:rStyle w:val="ab"/>
          <w:rFonts w:ascii="Arial" w:hAnsi="Arial"/>
        </w:rPr>
        <w:footnoteRef/>
      </w:r>
      <w:r>
        <w:rPr>
          <w:rFonts w:ascii="Arial" w:hAnsi="Arial"/>
          <w:rtl/>
        </w:rPr>
        <w:t xml:space="preserve"> דברי הרא"ש </w:t>
      </w:r>
      <w:r>
        <w:rPr>
          <w:rFonts w:ascii="Arial" w:hAnsi="Arial"/>
          <w:sz w:val="16"/>
          <w:szCs w:val="16"/>
          <w:rtl/>
        </w:rPr>
        <w:t>(בכלל סח סי' יד)</w:t>
      </w:r>
      <w:r>
        <w:rPr>
          <w:rFonts w:ascii="Arial" w:hAnsi="Arial"/>
          <w:rtl/>
        </w:rPr>
        <w:t xml:space="preserve">, וכ"כ הה"מ </w:t>
      </w:r>
      <w:r>
        <w:rPr>
          <w:rFonts w:ascii="Arial" w:hAnsi="Arial"/>
          <w:sz w:val="16"/>
          <w:szCs w:val="16"/>
          <w:rtl/>
        </w:rPr>
        <w:t xml:space="preserve">(כ"ג ה"ד) </w:t>
      </w:r>
      <w:r>
        <w:rPr>
          <w:rFonts w:ascii="Arial" w:hAnsi="Arial"/>
          <w:rtl/>
        </w:rPr>
        <w:t xml:space="preserve">בשם ר"ח ר"ש רמב"ן </w:t>
      </w:r>
      <w:r>
        <w:rPr>
          <w:rFonts w:ascii="Arial" w:hAnsi="Arial"/>
          <w:sz w:val="16"/>
          <w:szCs w:val="16"/>
          <w:rtl/>
        </w:rPr>
        <w:t xml:space="preserve">(ב"ב קעא: ד"ה שטר) </w:t>
      </w:r>
      <w:r>
        <w:rPr>
          <w:rFonts w:ascii="Arial" w:hAnsi="Arial"/>
          <w:rtl/>
        </w:rPr>
        <w:t xml:space="preserve">ורשב"א </w:t>
      </w:r>
      <w:r>
        <w:rPr>
          <w:rFonts w:ascii="Arial" w:hAnsi="Arial"/>
          <w:sz w:val="16"/>
          <w:szCs w:val="16"/>
          <w:rtl/>
        </w:rPr>
        <w:t>(ב"ב קעא. ד"ה שטר)</w:t>
      </w:r>
      <w:r>
        <w:rPr>
          <w:rFonts w:ascii="Arial" w:hAnsi="Arial"/>
          <w:rtl/>
        </w:rPr>
        <w:t xml:space="preserve">. וכ"כ הריב"ש בסימן תי"ג </w:t>
      </w:r>
      <w:r>
        <w:rPr>
          <w:rFonts w:ascii="Arial" w:hAnsi="Arial"/>
          <w:sz w:val="16"/>
          <w:szCs w:val="16"/>
          <w:rtl/>
        </w:rPr>
        <w:t xml:space="preserve">(ד"ה הקדמה ג') </w:t>
      </w:r>
      <w:r>
        <w:rPr>
          <w:rFonts w:ascii="Arial" w:hAnsi="Arial"/>
          <w:rtl/>
        </w:rPr>
        <w:t>בשמם. ועוד פוסקים.</w:t>
      </w:r>
    </w:p>
  </w:footnote>
  <w:footnote w:id="3234">
    <w:p w14:paraId="6ED9E4B9" w14:textId="77777777" w:rsidR="0013116F" w:rsidRDefault="0013116F" w:rsidP="001D49D4">
      <w:pPr>
        <w:pStyle w:val="a9"/>
        <w:spacing w:after="60"/>
        <w:rPr>
          <w:rFonts w:ascii="Arial" w:hAnsi="Arial"/>
          <w:rtl/>
        </w:rPr>
      </w:pPr>
      <w:r>
        <w:rPr>
          <w:rStyle w:val="ab"/>
          <w:rFonts w:ascii="Arial" w:hAnsi="Arial"/>
        </w:rPr>
        <w:footnoteRef/>
      </w:r>
      <w:r>
        <w:rPr>
          <w:rFonts w:ascii="Arial" w:hAnsi="Arial"/>
          <w:rtl/>
        </w:rPr>
        <w:t xml:space="preserve"> גם הדעה הראשונה מודה בזה, כדאיתא להדיא במהרי"ק </w:t>
      </w:r>
      <w:r>
        <w:rPr>
          <w:rFonts w:ascii="Arial" w:hAnsi="Arial"/>
          <w:sz w:val="16"/>
          <w:szCs w:val="16"/>
          <w:rtl/>
        </w:rPr>
        <w:t xml:space="preserve">(שורש צ"ד ענף ז') </w:t>
      </w:r>
      <w:r>
        <w:rPr>
          <w:rFonts w:ascii="Arial" w:hAnsi="Arial"/>
          <w:rtl/>
        </w:rPr>
        <w:t xml:space="preserve">ומש"כ הרב בלשון ויש אומרים כו', היינו משום דבדעה הראשונה לא הוזכר חילוק זה בפירוש, וכן דרכו בכמה מקומות, ש"ך </w:t>
      </w:r>
      <w:r>
        <w:rPr>
          <w:rFonts w:ascii="Arial" w:hAnsi="Arial"/>
          <w:sz w:val="16"/>
          <w:szCs w:val="16"/>
          <w:rtl/>
        </w:rPr>
        <w:t>(סק"כ)</w:t>
      </w:r>
      <w:r>
        <w:rPr>
          <w:rFonts w:ascii="Arial" w:hAnsi="Arial"/>
          <w:rtl/>
        </w:rPr>
        <w:t xml:space="preserve">. וכ' עוד </w:t>
      </w:r>
      <w:r>
        <w:rPr>
          <w:rFonts w:ascii="Arial" w:hAnsi="Arial"/>
          <w:sz w:val="16"/>
          <w:szCs w:val="16"/>
          <w:rtl/>
        </w:rPr>
        <w:t xml:space="preserve">(סקכ"א) </w:t>
      </w:r>
      <w:r>
        <w:rPr>
          <w:rFonts w:ascii="Arial" w:hAnsi="Arial"/>
          <w:rtl/>
        </w:rPr>
        <w:t xml:space="preserve">דמש"כ הב"ח </w:t>
      </w:r>
      <w:r>
        <w:rPr>
          <w:rFonts w:ascii="Arial" w:hAnsi="Arial"/>
          <w:sz w:val="16"/>
          <w:szCs w:val="16"/>
          <w:rtl/>
        </w:rPr>
        <w:t xml:space="preserve">(סע' יד, דלא משמע הכי בדברי הה"מ </w:t>
      </w:r>
      <w:r>
        <w:rPr>
          <w:rFonts w:ascii="Arial" w:hAnsi="Arial"/>
          <w:sz w:val="14"/>
          <w:szCs w:val="14"/>
          <w:rtl/>
        </w:rPr>
        <w:t>(פכ"ג ה"ד)</w:t>
      </w:r>
      <w:r>
        <w:rPr>
          <w:rFonts w:ascii="Arial" w:hAnsi="Arial"/>
          <w:sz w:val="16"/>
          <w:szCs w:val="16"/>
          <w:rtl/>
        </w:rPr>
        <w:t xml:space="preserve"> ונמוק"י </w:t>
      </w:r>
      <w:r>
        <w:rPr>
          <w:rFonts w:ascii="Arial" w:hAnsi="Arial"/>
          <w:sz w:val="14"/>
          <w:szCs w:val="14"/>
          <w:rtl/>
        </w:rPr>
        <w:t xml:space="preserve">(ב"ב ע"ט סוף ע"א מדפי הרי"ף) </w:t>
      </w:r>
      <w:r>
        <w:rPr>
          <w:rFonts w:ascii="Arial" w:hAnsi="Arial"/>
          <w:sz w:val="16"/>
          <w:szCs w:val="16"/>
          <w:rtl/>
        </w:rPr>
        <w:t xml:space="preserve">גבי שטר שזמנו בשבת, ומקור דבריהם לקוח מבעל התרומות </w:t>
      </w:r>
      <w:r>
        <w:rPr>
          <w:rFonts w:ascii="Arial" w:hAnsi="Arial"/>
          <w:sz w:val="14"/>
          <w:szCs w:val="14"/>
          <w:rtl/>
        </w:rPr>
        <w:t>(שער נ"ו ח"א ס"ח)</w:t>
      </w:r>
      <w:r>
        <w:rPr>
          <w:rFonts w:ascii="Arial" w:hAnsi="Arial"/>
          <w:rtl/>
        </w:rPr>
        <w:t>, לא דק, דבכל המקומות שם מיירי שאם היינו אומרים יד בעל השטר על התחתונה היה השטר נפסל מיד והיה נודע פסולו בודאי שהוא מוקדם וכה"ג, משא"כ בהך דמהרי"ק שי"ל שהנותן טעה והיה סבור דיועיל, בכה"ג אין חולק עליו ודינו ברור.</w:t>
      </w:r>
    </w:p>
  </w:footnote>
  <w:footnote w:id="3235">
    <w:p w14:paraId="38287CB3" w14:textId="77777777" w:rsidR="0013116F" w:rsidRDefault="0013116F" w:rsidP="001D49D4">
      <w:pPr>
        <w:pStyle w:val="a9"/>
        <w:spacing w:after="60"/>
        <w:rPr>
          <w:rFonts w:ascii="Arial" w:hAnsi="Arial"/>
          <w:rtl/>
        </w:rPr>
      </w:pPr>
      <w:r>
        <w:rPr>
          <w:rStyle w:val="ab"/>
          <w:rFonts w:ascii="Arial" w:hAnsi="Arial"/>
        </w:rPr>
        <w:footnoteRef/>
      </w:r>
      <w:r>
        <w:rPr>
          <w:rFonts w:ascii="Arial" w:hAnsi="Arial"/>
          <w:rtl/>
        </w:rPr>
        <w:t xml:space="preserve"> היינו טעות בדין, שחשב שהוא מועיל אבל באמת אינו כן.</w:t>
      </w:r>
    </w:p>
  </w:footnote>
  <w:footnote w:id="3236">
    <w:p w14:paraId="0444C3A9" w14:textId="77777777" w:rsidR="0013116F" w:rsidRDefault="0013116F" w:rsidP="001D49D4">
      <w:pPr>
        <w:pStyle w:val="a9"/>
        <w:spacing w:after="60"/>
        <w:rPr>
          <w:rFonts w:ascii="Arial" w:hAnsi="Arial"/>
          <w:rtl/>
        </w:rPr>
      </w:pPr>
      <w:r>
        <w:rPr>
          <w:rStyle w:val="ab"/>
          <w:rFonts w:ascii="Arial" w:hAnsi="Arial"/>
        </w:rPr>
        <w:footnoteRef/>
      </w:r>
      <w:r>
        <w:rPr>
          <w:rFonts w:ascii="Arial" w:hAnsi="Arial"/>
          <w:rtl/>
        </w:rPr>
        <w:t xml:space="preserve"> </w:t>
      </w:r>
      <w:r>
        <w:rPr>
          <w:rFonts w:ascii="Arial" w:hAnsi="Arial" w:hint="cs"/>
          <w:u w:val="single"/>
          <w:rtl/>
        </w:rPr>
        <w:t>ישנה מחלוקת בהסבר דברי המהרי"ק הללו:</w:t>
      </w:r>
    </w:p>
    <w:p w14:paraId="5D12DBB2" w14:textId="77777777" w:rsidR="0013116F" w:rsidRDefault="0013116F" w:rsidP="004B0475">
      <w:pPr>
        <w:pStyle w:val="a9"/>
        <w:numPr>
          <w:ilvl w:val="0"/>
          <w:numId w:val="276"/>
        </w:numPr>
        <w:spacing w:after="60"/>
        <w:rPr>
          <w:rFonts w:ascii="Arial" w:hAnsi="Arial"/>
          <w:rtl/>
        </w:rPr>
      </w:pPr>
      <w:r>
        <w:rPr>
          <w:rFonts w:ascii="Arial" w:hAnsi="Arial"/>
          <w:rtl/>
        </w:rPr>
        <w:t xml:space="preserve">סמ"ע </w:t>
      </w:r>
      <w:r>
        <w:rPr>
          <w:rFonts w:ascii="Arial" w:hAnsi="Arial"/>
          <w:sz w:val="16"/>
          <w:szCs w:val="16"/>
          <w:rtl/>
        </w:rPr>
        <w:t>(סקכ"ו)</w:t>
      </w:r>
      <w:r>
        <w:rPr>
          <w:rFonts w:ascii="Arial" w:hAnsi="Arial"/>
          <w:rtl/>
        </w:rPr>
        <w:t xml:space="preserve">- נראה דמיירי בלשונות שמקנה לו בו המתנות, כגון שדה זו אתננו לו </w:t>
      </w:r>
      <w:r>
        <w:rPr>
          <w:rFonts w:ascii="Arial" w:hAnsi="Arial"/>
          <w:sz w:val="14"/>
          <w:szCs w:val="14"/>
          <w:rtl/>
        </w:rPr>
        <w:t>(וכמ"ש בריש סימן רמ"ה)</w:t>
      </w:r>
      <w:r>
        <w:rPr>
          <w:rFonts w:ascii="Arial" w:hAnsi="Arial"/>
          <w:rtl/>
        </w:rPr>
        <w:t>, שטעה וסבר דלשון זה יועיל ובאמת אינו מועיל</w:t>
      </w:r>
      <w:r>
        <w:rPr>
          <w:rFonts w:ascii="Arial" w:hAnsi="Arial"/>
          <w:sz w:val="16"/>
          <w:szCs w:val="16"/>
          <w:rtl/>
        </w:rPr>
        <w:t xml:space="preserve"> (היינו- אדם שרוצה ליתן מתנה, ורוצה שזה יתפוס מן הדין, הוא צריך לומר מילה שמבררת שדעתו ליתן חפץ זה במתנה, אבל כשמשתמש במילה שיש עליה דיון בפוסקים אם פירושה הוא מתנה או לא בזה אומר המהרי"ק דיד בעל השטר על התחתונה)</w:t>
      </w:r>
      <w:r>
        <w:rPr>
          <w:rFonts w:ascii="Arial" w:hAnsi="Arial"/>
          <w:rtl/>
        </w:rPr>
        <w:t>.</w:t>
      </w:r>
    </w:p>
    <w:p w14:paraId="3783296F" w14:textId="77777777" w:rsidR="0013116F" w:rsidRDefault="0013116F" w:rsidP="004B0475">
      <w:pPr>
        <w:pStyle w:val="a9"/>
        <w:numPr>
          <w:ilvl w:val="0"/>
          <w:numId w:val="276"/>
        </w:numPr>
        <w:spacing w:after="60"/>
        <w:rPr>
          <w:rFonts w:ascii="Arial" w:hAnsi="Arial"/>
        </w:rPr>
      </w:pPr>
      <w:r>
        <w:rPr>
          <w:rFonts w:ascii="Arial" w:hAnsi="Arial"/>
          <w:rtl/>
        </w:rPr>
        <w:t xml:space="preserve">ש"ך </w:t>
      </w:r>
      <w:r>
        <w:rPr>
          <w:rFonts w:ascii="Arial" w:hAnsi="Arial"/>
          <w:sz w:val="16"/>
          <w:szCs w:val="16"/>
          <w:rtl/>
        </w:rPr>
        <w:t>(סקכ"ב)</w:t>
      </w:r>
      <w:r>
        <w:rPr>
          <w:rFonts w:ascii="Arial" w:hAnsi="Arial"/>
          <w:rtl/>
        </w:rPr>
        <w:t xml:space="preserve">- המהרי"ק דיבר בשטר צוואה שכ' בו "אני מניח לפלוני וכו" וכיון דהרא"ש סובר דבכה"ג מהני י"ל דהנותן טעה וסבר </w:t>
      </w:r>
      <w:r>
        <w:rPr>
          <w:rFonts w:ascii="Arial" w:hAnsi="Arial"/>
          <w:sz w:val="16"/>
          <w:szCs w:val="16"/>
          <w:rtl/>
        </w:rPr>
        <w:t>(אבל בלישנא דאתננו, שכ' הסמ"ע, דליכא מאן דאמר דמהני, אין לומר שהנותן טעה בכך, הלכך היכא דאפשר לפרש השטר בלשון אתננו ואפשר לפרשו בלשון אחר דמועיל, לא אמרינן בכהאי גוונא יד בעל השטר על התחתונה)</w:t>
      </w:r>
    </w:p>
    <w:p w14:paraId="3DD96523" w14:textId="77777777" w:rsidR="0013116F" w:rsidRDefault="0013116F" w:rsidP="004B0475">
      <w:pPr>
        <w:pStyle w:val="a9"/>
        <w:numPr>
          <w:ilvl w:val="0"/>
          <w:numId w:val="276"/>
        </w:numPr>
        <w:spacing w:after="60"/>
        <w:rPr>
          <w:rFonts w:ascii="Arial" w:hAnsi="Arial"/>
        </w:rPr>
      </w:pPr>
      <w:r>
        <w:rPr>
          <w:rFonts w:ascii="Arial" w:hAnsi="Arial"/>
          <w:rtl/>
        </w:rPr>
        <w:t xml:space="preserve">אורים </w:t>
      </w:r>
      <w:r>
        <w:rPr>
          <w:rFonts w:ascii="Arial" w:hAnsi="Arial"/>
          <w:sz w:val="16"/>
          <w:szCs w:val="16"/>
          <w:rtl/>
        </w:rPr>
        <w:t xml:space="preserve">(סק"ל) </w:t>
      </w:r>
      <w:r>
        <w:rPr>
          <w:rFonts w:ascii="Arial" w:hAnsi="Arial"/>
          <w:rtl/>
        </w:rPr>
        <w:t>ונתיבות</w:t>
      </w:r>
      <w:r>
        <w:rPr>
          <w:rFonts w:ascii="Arial" w:hAnsi="Arial"/>
          <w:sz w:val="16"/>
          <w:szCs w:val="16"/>
          <w:rtl/>
        </w:rPr>
        <w:t xml:space="preserve"> (משה"כ סקכ"א)</w:t>
      </w:r>
      <w:r>
        <w:rPr>
          <w:rFonts w:ascii="Arial" w:hAnsi="Arial"/>
          <w:rtl/>
        </w:rPr>
        <w:t>- דאמר לשון הנחה בשכיב מרע, ויש בו רבוותא דמכשירים ויש שפוסלין, א"כ יש לומר דטעה וחשב דכשר.</w:t>
      </w:r>
    </w:p>
  </w:footnote>
  <w:footnote w:id="3237">
    <w:p w14:paraId="5809B313" w14:textId="77777777" w:rsidR="0013116F" w:rsidRDefault="0013116F" w:rsidP="001D49D4">
      <w:pPr>
        <w:spacing w:after="60" w:line="240" w:lineRule="auto"/>
        <w:rPr>
          <w:rFonts w:ascii="Arial" w:hAnsi="Arial"/>
          <w:sz w:val="20"/>
          <w:szCs w:val="20"/>
        </w:rPr>
      </w:pPr>
      <w:r>
        <w:rPr>
          <w:rStyle w:val="ab"/>
          <w:rFonts w:ascii="Arial" w:hAnsi="Arial"/>
        </w:rPr>
        <w:footnoteRef/>
      </w:r>
      <w:r>
        <w:rPr>
          <w:rFonts w:ascii="Arial" w:hAnsi="Arial"/>
          <w:sz w:val="20"/>
          <w:szCs w:val="20"/>
          <w:rtl/>
        </w:rPr>
        <w:t xml:space="preserve"> דליכא למימר אם כן למאי נכתב, שהוא היה סבור שיועיל לשון זה וכתבו בטעות ואין כאן מתנה, לבוש.</w:t>
      </w:r>
    </w:p>
  </w:footnote>
  <w:footnote w:id="3238">
    <w:p w14:paraId="0727C50F" w14:textId="77777777" w:rsidR="0013116F" w:rsidRDefault="0013116F" w:rsidP="001D49D4">
      <w:pPr>
        <w:pStyle w:val="a9"/>
        <w:spacing w:after="60"/>
        <w:rPr>
          <w:rFonts w:ascii="Arial" w:hAnsi="Arial"/>
          <w:rtl/>
        </w:rPr>
      </w:pPr>
      <w:r>
        <w:rPr>
          <w:rStyle w:val="ab"/>
          <w:rFonts w:ascii="Arial" w:hAnsi="Arial"/>
        </w:rPr>
        <w:footnoteRef/>
      </w:r>
      <w:r>
        <w:rPr>
          <w:rFonts w:ascii="Arial" w:hAnsi="Arial"/>
          <w:rtl/>
        </w:rPr>
        <w:t xml:space="preserve"> דהיכא דאיכא למיתלי בטעות אמרינן יד בעל השטר על התחתונה אף היכא דנתבטל השטר.</w:t>
      </w:r>
    </w:p>
  </w:footnote>
  <w:footnote w:id="3239">
    <w:p w14:paraId="1BBF8C2B" w14:textId="77777777" w:rsidR="0013116F" w:rsidRDefault="0013116F" w:rsidP="001D49D4">
      <w:pPr>
        <w:pStyle w:val="a9"/>
        <w:spacing w:after="60"/>
        <w:rPr>
          <w:rFonts w:ascii="Arial" w:hAnsi="Arial"/>
          <w:rtl/>
        </w:rPr>
      </w:pPr>
      <w:r>
        <w:rPr>
          <w:rStyle w:val="ab"/>
          <w:rFonts w:ascii="Arial" w:hAnsi="Arial"/>
        </w:rPr>
        <w:footnoteRef/>
      </w:r>
      <w:r>
        <w:rPr>
          <w:rFonts w:ascii="Arial" w:hAnsi="Arial"/>
          <w:rtl/>
        </w:rPr>
        <w:t xml:space="preserve"> ומצאתי בכנסת יחזקאל</w:t>
      </w:r>
      <w:r>
        <w:rPr>
          <w:rFonts w:ascii="Arial" w:hAnsi="Arial"/>
          <w:sz w:val="16"/>
          <w:szCs w:val="16"/>
          <w:rtl/>
        </w:rPr>
        <w:t xml:space="preserve"> (סי' צא)</w:t>
      </w:r>
      <w:r>
        <w:rPr>
          <w:rFonts w:ascii="Arial" w:hAnsi="Arial"/>
          <w:rtl/>
        </w:rPr>
        <w:t xml:space="preserve"> דהרב השואל שם כתב ג"כ סברא זו מפני שהיה מסדר השטר ת"ח ובודאי לא טעה, והכני"ח לא חולק עליו בסברא זו. ואין לדחות ולומר דדוקא בנידון הכנסי"ח שם דהמסדר לא היה בעל השטר, אמרינן דלא טעה כיון שהוא ת"ח, אבל הכא כיון דהכותב עצמו הוא המתחייב, אפשר דלא טעה אלא עשה בכונה כן כדי להטעותו, דזה בודאי לא אמרינן, ולא חשדינן ליה לת"ח לבוא בנכלי דתות וערמומית לרמות בני אדם ולהטעותן, ואפי' אם אמר כן אח"כ לא מהימנינן ליה, וראיה מב"מ (סח:) רב עילש גברא רבה הוא ואיסורא לאינשי לא הוה ספי, ובלאו טעמא דגברא רבה לאו כל כמיניה לומר הטעיתיו דאין אדם משים עצמו רשע, דגם עדים שאמרו אמנה היו דברינו אינם נאמנים דאעולה לא חתמי </w:t>
      </w:r>
      <w:r>
        <w:rPr>
          <w:rFonts w:ascii="Arial" w:hAnsi="Arial"/>
          <w:sz w:val="16"/>
          <w:szCs w:val="16"/>
          <w:rtl/>
        </w:rPr>
        <w:t>(כתובות יט.)</w:t>
      </w:r>
      <w:r>
        <w:rPr>
          <w:rFonts w:ascii="Arial" w:hAnsi="Arial"/>
          <w:rtl/>
        </w:rPr>
        <w:t>, ר' משה רוטנבורג.</w:t>
      </w:r>
    </w:p>
  </w:footnote>
  <w:footnote w:id="3240">
    <w:p w14:paraId="1E711E8C" w14:textId="77777777" w:rsidR="0013116F" w:rsidRDefault="0013116F" w:rsidP="001D49D4">
      <w:pPr>
        <w:pStyle w:val="a9"/>
        <w:spacing w:after="60"/>
        <w:rPr>
          <w:rFonts w:ascii="Arial" w:hAnsi="Arial"/>
          <w:rtl/>
        </w:rPr>
      </w:pPr>
      <w:r>
        <w:rPr>
          <w:rStyle w:val="ab"/>
          <w:rFonts w:ascii="Arial" w:hAnsi="Arial"/>
        </w:rPr>
        <w:footnoteRef/>
      </w:r>
      <w:r>
        <w:rPr>
          <w:rFonts w:ascii="Arial" w:hAnsi="Arial"/>
          <w:rtl/>
        </w:rPr>
        <w:t xml:space="preserve"> </w:t>
      </w:r>
      <w:r>
        <w:rPr>
          <w:rFonts w:ascii="Arial" w:hAnsi="Arial" w:hint="cs"/>
          <w:rtl/>
        </w:rPr>
        <w:t>לוה עבדו אפותיקי</w:t>
      </w:r>
      <w:r>
        <w:rPr>
          <w:rFonts w:ascii="Arial" w:hAnsi="Arial"/>
          <w:sz w:val="14"/>
          <w:szCs w:val="14"/>
          <w:rtl/>
        </w:rPr>
        <w:t xml:space="preserve"> (פה תהא קאי)</w:t>
      </w:r>
      <w:r>
        <w:rPr>
          <w:rFonts w:ascii="Arial" w:hAnsi="Arial"/>
          <w:rtl/>
        </w:rPr>
        <w:t xml:space="preserve"> לבעל חובו, ומכרו אחרי כן הלוה לאיש אחר, רשב"ם.</w:t>
      </w:r>
    </w:p>
  </w:footnote>
  <w:footnote w:id="3241">
    <w:p w14:paraId="74AD9AED" w14:textId="77777777" w:rsidR="0013116F" w:rsidRDefault="0013116F" w:rsidP="001D49D4">
      <w:pPr>
        <w:pStyle w:val="a9"/>
        <w:spacing w:after="60"/>
        <w:rPr>
          <w:rFonts w:ascii="Arial" w:hAnsi="Arial"/>
          <w:rtl/>
        </w:rPr>
      </w:pPr>
      <w:r>
        <w:rPr>
          <w:rStyle w:val="ab"/>
          <w:rFonts w:ascii="Arial" w:hAnsi="Arial"/>
        </w:rPr>
        <w:footnoteRef/>
      </w:r>
      <w:r>
        <w:rPr>
          <w:rFonts w:ascii="Arial" w:hAnsi="Arial"/>
          <w:rtl/>
        </w:rPr>
        <w:t xml:space="preserve"> בשטר השעבוד דלגמרי משעבד להו למטלטלי בהדי מקרקעי, רשב"ם.</w:t>
      </w:r>
    </w:p>
  </w:footnote>
  <w:footnote w:id="3242">
    <w:p w14:paraId="431D6D89" w14:textId="77777777" w:rsidR="0013116F" w:rsidRDefault="0013116F" w:rsidP="001D49D4">
      <w:pPr>
        <w:pStyle w:val="a9"/>
        <w:spacing w:after="60"/>
        <w:rPr>
          <w:rFonts w:ascii="Arial" w:hAnsi="Arial"/>
        </w:rPr>
      </w:pPr>
      <w:r>
        <w:rPr>
          <w:rStyle w:val="ab"/>
          <w:rFonts w:ascii="Arial" w:hAnsi="Arial"/>
        </w:rPr>
        <w:footnoteRef/>
      </w:r>
      <w:r>
        <w:rPr>
          <w:rFonts w:ascii="Arial" w:hAnsi="Arial"/>
          <w:rtl/>
        </w:rPr>
        <w:t xml:space="preserve"> דכיון דאין זו מכירה גמורה ולא מתנה ולא משכון אלא שעבוד בעלמא ודמי לאסמכתא דקאמר ליה אם לא אפרע לך לזמן פלוני תגבה מכאן הלכך צריך לכתוב בו לאלומי שטריה דלא כאסמכתא דאסמכתא לא קניא, רשב"ם.</w:t>
      </w:r>
    </w:p>
  </w:footnote>
  <w:footnote w:id="3243">
    <w:p w14:paraId="5AFFE8ED" w14:textId="77777777" w:rsidR="0013116F" w:rsidRDefault="0013116F" w:rsidP="001D49D4">
      <w:pPr>
        <w:pStyle w:val="a9"/>
        <w:spacing w:after="60"/>
        <w:rPr>
          <w:rFonts w:ascii="Arial" w:hAnsi="Arial"/>
          <w:rtl/>
        </w:rPr>
      </w:pPr>
      <w:r>
        <w:rPr>
          <w:rStyle w:val="ab"/>
          <w:rFonts w:ascii="Arial" w:hAnsi="Arial"/>
        </w:rPr>
        <w:footnoteRef/>
      </w:r>
      <w:r>
        <w:rPr>
          <w:rFonts w:ascii="Arial" w:hAnsi="Arial"/>
          <w:rtl/>
        </w:rPr>
        <w:t xml:space="preserve"> הוא שטר העשוי להעתיק ממנו שטרות ולא נכתב לגבות בו ואין בו ממש, רשב"ם.</w:t>
      </w:r>
    </w:p>
  </w:footnote>
  <w:footnote w:id="3244">
    <w:p w14:paraId="2697A2DE" w14:textId="77777777" w:rsidR="0013116F" w:rsidRDefault="0013116F" w:rsidP="001D49D4">
      <w:pPr>
        <w:pStyle w:val="a9"/>
        <w:spacing w:after="60"/>
        <w:rPr>
          <w:rFonts w:ascii="Arial" w:hAnsi="Arial"/>
          <w:rtl/>
        </w:rPr>
      </w:pPr>
      <w:r>
        <w:rPr>
          <w:rStyle w:val="ab"/>
          <w:rFonts w:ascii="Arial" w:hAnsi="Arial"/>
        </w:rPr>
        <w:footnoteRef/>
      </w:r>
      <w:r>
        <w:rPr>
          <w:rFonts w:ascii="Arial" w:hAnsi="Arial"/>
          <w:rtl/>
        </w:rPr>
        <w:t xml:space="preserve"> הביאו הרמב"ן </w:t>
      </w:r>
      <w:r>
        <w:rPr>
          <w:rFonts w:ascii="Arial" w:hAnsi="Arial"/>
          <w:sz w:val="14"/>
          <w:szCs w:val="14"/>
          <w:rtl/>
        </w:rPr>
        <w:t xml:space="preserve">(חידו' ב"ב מד:) </w:t>
      </w:r>
      <w:r>
        <w:rPr>
          <w:rFonts w:ascii="Arial" w:hAnsi="Arial"/>
          <w:rtl/>
        </w:rPr>
        <w:t xml:space="preserve">ונראה לפרש שסובר כמותו, וכן נראה מרי"ו </w:t>
      </w:r>
      <w:r>
        <w:rPr>
          <w:rFonts w:ascii="Arial" w:hAnsi="Arial"/>
          <w:sz w:val="14"/>
          <w:szCs w:val="14"/>
          <w:rtl/>
        </w:rPr>
        <w:t xml:space="preserve">(מישרים נ"ד ח"ד, כ ע"ג) </w:t>
      </w:r>
      <w:r>
        <w:rPr>
          <w:rFonts w:ascii="Arial" w:hAnsi="Arial"/>
          <w:rtl/>
        </w:rPr>
        <w:t xml:space="preserve">ריב"ש </w:t>
      </w:r>
      <w:r>
        <w:rPr>
          <w:rFonts w:ascii="Arial" w:hAnsi="Arial"/>
          <w:sz w:val="14"/>
          <w:szCs w:val="14"/>
          <w:rtl/>
        </w:rPr>
        <w:t xml:space="preserve">(סי' שמה) </w:t>
      </w:r>
      <w:r>
        <w:rPr>
          <w:rFonts w:ascii="Arial" w:hAnsi="Arial"/>
          <w:rtl/>
        </w:rPr>
        <w:t xml:space="preserve">ומנמוק"י </w:t>
      </w:r>
      <w:r>
        <w:rPr>
          <w:rFonts w:ascii="Arial" w:hAnsi="Arial"/>
          <w:sz w:val="14"/>
          <w:szCs w:val="14"/>
          <w:rtl/>
        </w:rPr>
        <w:t xml:space="preserve">(כד.) </w:t>
      </w:r>
      <w:r>
        <w:rPr>
          <w:rFonts w:ascii="Arial" w:hAnsi="Arial"/>
          <w:rtl/>
        </w:rPr>
        <w:t xml:space="preserve">שסתמו כפירוש זה ולא הביא פירוש אחר </w:t>
      </w:r>
      <w:r>
        <w:rPr>
          <w:rFonts w:ascii="Arial" w:hAnsi="Arial"/>
          <w:sz w:val="14"/>
          <w:szCs w:val="14"/>
          <w:rtl/>
        </w:rPr>
        <w:t xml:space="preserve">(וממה שהביא המהרש"ק הוכחה מדברי רי"ו במקום אחר [נ"ד </w:t>
      </w:r>
      <w:r>
        <w:rPr>
          <w:rFonts w:ascii="Arial" w:hAnsi="Arial"/>
          <w:sz w:val="14"/>
          <w:szCs w:val="14"/>
          <w:u w:val="single"/>
          <w:rtl/>
        </w:rPr>
        <w:t>ח"א</w:t>
      </w:r>
      <w:r>
        <w:rPr>
          <w:rFonts w:ascii="Arial" w:hAnsi="Arial"/>
          <w:sz w:val="14"/>
          <w:szCs w:val="14"/>
          <w:rtl/>
        </w:rPr>
        <w:t>, יט ע"ג] נראה דלא מחוייב לדייק משם כך, דסתם דבריו שם, ואפ"ל שפירש כן רק גבי מה שכותבים "דלא כאסמכתא", ע"ש)</w:t>
      </w:r>
      <w:r>
        <w:rPr>
          <w:rFonts w:ascii="Arial" w:hAnsi="Arial"/>
          <w:rtl/>
        </w:rPr>
        <w:t xml:space="preserve">, וגם ספר התרומות </w:t>
      </w:r>
      <w:r>
        <w:rPr>
          <w:rFonts w:ascii="Arial" w:hAnsi="Arial"/>
          <w:sz w:val="14"/>
          <w:szCs w:val="14"/>
          <w:rtl/>
        </w:rPr>
        <w:t xml:space="preserve">(שער מג ח"א אות ו, ד"ה ולשון ר"ש) </w:t>
      </w:r>
      <w:r>
        <w:rPr>
          <w:rFonts w:ascii="Arial" w:hAnsi="Arial"/>
          <w:rtl/>
        </w:rPr>
        <w:t>הביא את דברי הרמב"ן בשם רב סעדיה אך השאיר את פירושו בצ"ע. וגם הר"ן הביא את פירוש רב סעדיה, אך אחריו הביא את פירוש הרשב"א שכ"כ בשם רבנו יונה.</w:t>
      </w:r>
    </w:p>
  </w:footnote>
  <w:footnote w:id="3245">
    <w:p w14:paraId="224FDF2A" w14:textId="77777777" w:rsidR="0013116F" w:rsidRDefault="0013116F" w:rsidP="001D49D4">
      <w:pPr>
        <w:pStyle w:val="a9"/>
        <w:spacing w:after="60"/>
        <w:rPr>
          <w:rFonts w:ascii="Arial" w:hAnsi="Arial"/>
          <w:rtl/>
        </w:rPr>
      </w:pPr>
      <w:r>
        <w:rPr>
          <w:rStyle w:val="ab"/>
          <w:rFonts w:ascii="Arial" w:hAnsi="Arial"/>
        </w:rPr>
        <w:footnoteRef/>
      </w:r>
      <w:r>
        <w:rPr>
          <w:rFonts w:ascii="Arial" w:hAnsi="Arial"/>
          <w:rtl/>
        </w:rPr>
        <w:t xml:space="preserve"> רב סעדיה גאון </w:t>
      </w:r>
      <w:r>
        <w:rPr>
          <w:rFonts w:ascii="Arial" w:hAnsi="Arial"/>
          <w:sz w:val="16"/>
          <w:szCs w:val="16"/>
          <w:rtl/>
        </w:rPr>
        <w:t>(הביאו הרמב"ן ב"ב מד:)</w:t>
      </w:r>
      <w:r>
        <w:rPr>
          <w:rFonts w:ascii="Arial" w:hAnsi="Arial"/>
          <w:rtl/>
        </w:rPr>
        <w:t xml:space="preserve"> (רמב"ן</w:t>
      </w:r>
      <w:r>
        <w:rPr>
          <w:rFonts w:ascii="Arial" w:hAnsi="Arial"/>
          <w:sz w:val="14"/>
          <w:szCs w:val="14"/>
          <w:rtl/>
        </w:rPr>
        <w:t xml:space="preserve"> </w:t>
      </w:r>
      <w:r>
        <w:rPr>
          <w:rFonts w:ascii="Arial" w:hAnsi="Arial"/>
          <w:sz w:val="16"/>
          <w:szCs w:val="16"/>
          <w:rtl/>
        </w:rPr>
        <w:t>(ב"ב מד:)</w:t>
      </w:r>
      <w:r>
        <w:rPr>
          <w:rFonts w:ascii="Arial" w:hAnsi="Arial"/>
          <w:sz w:val="24"/>
          <w:szCs w:val="24"/>
          <w:rtl/>
        </w:rPr>
        <w:t xml:space="preserve"> </w:t>
      </w:r>
      <w:r>
        <w:rPr>
          <w:rFonts w:ascii="Arial" w:hAnsi="Arial"/>
          <w:rtl/>
        </w:rPr>
        <w:t xml:space="preserve">רי"ו </w:t>
      </w:r>
      <w:r>
        <w:rPr>
          <w:rFonts w:ascii="Arial" w:hAnsi="Arial"/>
          <w:sz w:val="16"/>
          <w:szCs w:val="16"/>
          <w:rtl/>
        </w:rPr>
        <w:t>(מישרים נ"ד ח"ד, כ ע"ג)</w:t>
      </w:r>
      <w:r>
        <w:rPr>
          <w:rFonts w:ascii="Arial" w:hAnsi="Arial"/>
          <w:sz w:val="24"/>
          <w:szCs w:val="24"/>
          <w:rtl/>
        </w:rPr>
        <w:t xml:space="preserve"> </w:t>
      </w:r>
      <w:r>
        <w:rPr>
          <w:rFonts w:ascii="Arial" w:hAnsi="Arial"/>
          <w:rtl/>
        </w:rPr>
        <w:t xml:space="preserve">ריב"ש </w:t>
      </w:r>
      <w:r>
        <w:rPr>
          <w:rFonts w:ascii="Arial" w:hAnsi="Arial"/>
          <w:sz w:val="16"/>
          <w:szCs w:val="16"/>
          <w:rtl/>
        </w:rPr>
        <w:t>(סי' שמה)</w:t>
      </w:r>
      <w:r>
        <w:rPr>
          <w:rFonts w:ascii="Arial" w:hAnsi="Arial"/>
          <w:sz w:val="24"/>
          <w:szCs w:val="24"/>
          <w:rtl/>
        </w:rPr>
        <w:t xml:space="preserve"> </w:t>
      </w:r>
      <w:r>
        <w:rPr>
          <w:rFonts w:ascii="Arial" w:hAnsi="Arial"/>
          <w:rtl/>
        </w:rPr>
        <w:t xml:space="preserve">ונמוק"י </w:t>
      </w:r>
      <w:r>
        <w:rPr>
          <w:rFonts w:ascii="Arial" w:hAnsi="Arial"/>
          <w:sz w:val="16"/>
          <w:szCs w:val="16"/>
          <w:rtl/>
        </w:rPr>
        <w:t>(כד.)</w:t>
      </w:r>
      <w:r>
        <w:rPr>
          <w:rFonts w:ascii="Arial" w:hAnsi="Arial"/>
          <w:sz w:val="24"/>
          <w:szCs w:val="24"/>
          <w:rtl/>
        </w:rPr>
        <w:t xml:space="preserve"> </w:t>
      </w:r>
      <w:r>
        <w:rPr>
          <w:rFonts w:ascii="Arial" w:hAnsi="Arial"/>
          <w:sz w:val="16"/>
          <w:szCs w:val="16"/>
          <w:rtl/>
        </w:rPr>
        <w:t>להב' הב"י</w:t>
      </w:r>
      <w:r>
        <w:rPr>
          <w:rFonts w:ascii="Arial" w:hAnsi="Arial"/>
          <w:rtl/>
        </w:rPr>
        <w:t>).</w:t>
      </w:r>
    </w:p>
  </w:footnote>
  <w:footnote w:id="3246">
    <w:p w14:paraId="6D3110CB" w14:textId="77777777" w:rsidR="0013116F" w:rsidRDefault="0013116F" w:rsidP="001D49D4">
      <w:pPr>
        <w:pStyle w:val="a9"/>
        <w:spacing w:after="60"/>
        <w:rPr>
          <w:rFonts w:ascii="Arial" w:hAnsi="Arial"/>
        </w:rPr>
      </w:pPr>
      <w:r>
        <w:rPr>
          <w:rStyle w:val="ab"/>
          <w:rFonts w:ascii="Arial" w:hAnsi="Arial"/>
        </w:rPr>
        <w:footnoteRef/>
      </w:r>
      <w:r>
        <w:rPr>
          <w:rFonts w:ascii="Arial" w:hAnsi="Arial"/>
          <w:rtl/>
        </w:rPr>
        <w:t xml:space="preserve"> המהרש"ק לא כ' כן בשם הרשב"ם בפירוש אבל מ"מ בעל התרומות הביא כן בשם הרשב"ם, ואת בעל התרומות כן הביא המהרש"ק (בגירסת בעל התרומות נוסף בלשון הרשב"ם כך- ואין ממש בו "והודיענו שזה נכתב להשתעבד ממש").</w:t>
      </w:r>
    </w:p>
  </w:footnote>
  <w:footnote w:id="3247">
    <w:p w14:paraId="0E5E20FA" w14:textId="77777777" w:rsidR="0013116F" w:rsidRDefault="0013116F" w:rsidP="001D49D4">
      <w:pPr>
        <w:pStyle w:val="a9"/>
        <w:spacing w:after="60"/>
        <w:rPr>
          <w:rFonts w:ascii="Arial" w:hAnsi="Arial"/>
          <w:rtl/>
        </w:rPr>
      </w:pPr>
      <w:r>
        <w:rPr>
          <w:rStyle w:val="ab"/>
          <w:rFonts w:ascii="Arial" w:hAnsi="Arial"/>
        </w:rPr>
        <w:footnoteRef/>
      </w:r>
      <w:r>
        <w:rPr>
          <w:rFonts w:ascii="Arial" w:hAnsi="Arial"/>
          <w:rtl/>
        </w:rPr>
        <w:t xml:space="preserve"> אולם הרמב"ן לא כ' כן בפירוש אלא כ'- "ולא שמעתי בו טעם ברור, אבל אחד מרבותי שמעתי שאומר משום הגאון רב סעדיה וכו". ונראה דמסכים לפירושו של רב סעדיה. </w:t>
      </w:r>
    </w:p>
  </w:footnote>
  <w:footnote w:id="3248">
    <w:p w14:paraId="4C23D995" w14:textId="77777777" w:rsidR="0013116F" w:rsidRDefault="0013116F" w:rsidP="001D49D4">
      <w:pPr>
        <w:pStyle w:val="a9"/>
        <w:spacing w:after="60"/>
        <w:rPr>
          <w:rFonts w:ascii="Arial" w:hAnsi="Arial"/>
        </w:rPr>
      </w:pPr>
      <w:r>
        <w:rPr>
          <w:rStyle w:val="ab"/>
          <w:rFonts w:ascii="Arial" w:hAnsi="Arial"/>
        </w:rPr>
        <w:footnoteRef/>
      </w:r>
      <w:r>
        <w:rPr>
          <w:rFonts w:ascii="Arial" w:hAnsi="Arial"/>
          <w:rtl/>
        </w:rPr>
        <w:t xml:space="preserve"> עיין בהערות הקודמות הסמוכות דמבואר שלא מתחייב שכך דעת רי"ו, אלא משמע יותר להפך. וכן נראה שהבין הב"י בדבריו.</w:t>
      </w:r>
    </w:p>
  </w:footnote>
  <w:footnote w:id="3249">
    <w:p w14:paraId="165EFCE7" w14:textId="77777777" w:rsidR="0013116F" w:rsidRDefault="0013116F" w:rsidP="001D49D4">
      <w:pPr>
        <w:pStyle w:val="a9"/>
        <w:spacing w:after="60"/>
        <w:rPr>
          <w:rFonts w:ascii="Arial" w:hAnsi="Arial"/>
          <w:rtl/>
        </w:rPr>
      </w:pPr>
      <w:r>
        <w:rPr>
          <w:rStyle w:val="ab"/>
          <w:rFonts w:ascii="Arial" w:hAnsi="Arial"/>
        </w:rPr>
        <w:footnoteRef/>
      </w:r>
      <w:r>
        <w:rPr>
          <w:rFonts w:ascii="Arial" w:hAnsi="Arial"/>
          <w:rtl/>
        </w:rPr>
        <w:t xml:space="preserve">  (סי' קי"ג סע' ד)</w:t>
      </w:r>
    </w:p>
  </w:footnote>
  <w:footnote w:id="3250">
    <w:p w14:paraId="5518E03D" w14:textId="77777777" w:rsidR="0013116F" w:rsidRDefault="0013116F" w:rsidP="001D49D4">
      <w:pPr>
        <w:pStyle w:val="a9"/>
        <w:spacing w:after="60"/>
        <w:rPr>
          <w:rFonts w:ascii="Arial" w:hAnsi="Arial"/>
          <w:rtl/>
        </w:rPr>
      </w:pPr>
      <w:r>
        <w:rPr>
          <w:rStyle w:val="ab"/>
          <w:rFonts w:ascii="Arial" w:hAnsi="Arial"/>
        </w:rPr>
        <w:footnoteRef/>
      </w:r>
      <w:r>
        <w:rPr>
          <w:rFonts w:ascii="Arial" w:hAnsi="Arial"/>
          <w:rtl/>
        </w:rPr>
        <w:t xml:space="preserve"> מסקנת המהרש"ק (הובא בט"ז), המהרש"ק כ' כך בדעת כל הראשונים דלעיל בגלל שהם פירשו את המושג "דלא כטופסי דשטרי" לא לגבי חיזוק ידו של בעל השטר שתיהיה ידו על העליונה אלא פירשו שכותבים בשטר "דלא כטופסי דשטרי" כדי שלא יטען הנטבע או מישהו אחר שא"א לגבות משטר זה משום שהוא שטר שנעשה רק כדי להעתיק ממנו ולא שטר ממש שגובין בו </w:t>
      </w:r>
      <w:r>
        <w:rPr>
          <w:rFonts w:ascii="Arial" w:hAnsi="Arial"/>
          <w:sz w:val="16"/>
          <w:szCs w:val="16"/>
          <w:rtl/>
        </w:rPr>
        <w:t>(והוא בהקשר לסוגיה של הגמ' שם)</w:t>
      </w:r>
      <w:r>
        <w:rPr>
          <w:rFonts w:ascii="Arial" w:hAnsi="Arial"/>
          <w:rtl/>
        </w:rPr>
        <w:t>.</w:t>
      </w:r>
    </w:p>
  </w:footnote>
  <w:footnote w:id="3251">
    <w:p w14:paraId="365F7873" w14:textId="77777777" w:rsidR="0013116F" w:rsidRDefault="0013116F" w:rsidP="001D49D4">
      <w:pPr>
        <w:pStyle w:val="a9"/>
        <w:spacing w:after="60"/>
        <w:rPr>
          <w:rFonts w:ascii="Arial" w:hAnsi="Arial"/>
          <w:rtl/>
        </w:rPr>
      </w:pPr>
      <w:r>
        <w:rPr>
          <w:rStyle w:val="ab"/>
          <w:rFonts w:ascii="Arial" w:hAnsi="Arial"/>
        </w:rPr>
        <w:footnoteRef/>
      </w:r>
      <w:r>
        <w:rPr>
          <w:rFonts w:ascii="Arial" w:hAnsi="Arial"/>
          <w:rtl/>
        </w:rPr>
        <w:t xml:space="preserve"> כההוא דאמר לחבריה "כל נכסי דבר סיסין מזביננא לך", הואי ההיא ארעא דמיקריא בר סיסין, ואסיקנא כיון דכו"ע קרו לה בר סיסין- עליה רמיא לגלויי דלא בר סיסין היא, והנ"מ בדאמר ליה נכסי דפלניא, שהוא לשון כולל, אבל אמר ליה "ארעא דבר סיסין"- חדא ארעא בלחוד יהבינן ליה, ואפילו אמר ליה "ארעתא"- לא יהבינן ליה אלא מיעוט ארעתא דהיינו שתים בלחוד, רשב"א.</w:t>
      </w:r>
    </w:p>
  </w:footnote>
  <w:footnote w:id="3252">
    <w:p w14:paraId="079CAA06" w14:textId="77777777" w:rsidR="0013116F" w:rsidRDefault="0013116F" w:rsidP="001D49D4">
      <w:pPr>
        <w:pStyle w:val="a9"/>
        <w:spacing w:after="60"/>
        <w:rPr>
          <w:rFonts w:ascii="Arial" w:hAnsi="Arial"/>
          <w:rtl/>
        </w:rPr>
      </w:pPr>
      <w:r>
        <w:rPr>
          <w:rStyle w:val="ab"/>
          <w:rFonts w:ascii="Arial" w:hAnsi="Arial"/>
        </w:rPr>
        <w:footnoteRef/>
      </w:r>
      <w:r>
        <w:rPr>
          <w:rFonts w:ascii="Arial" w:hAnsi="Arial"/>
          <w:rtl/>
        </w:rPr>
        <w:t xml:space="preserve"> וכ"כ בעל התרומות</w:t>
      </w:r>
      <w:r>
        <w:rPr>
          <w:rFonts w:ascii="Arial" w:hAnsi="Arial"/>
          <w:sz w:val="16"/>
          <w:szCs w:val="16"/>
          <w:rtl/>
        </w:rPr>
        <w:t xml:space="preserve"> (שער ס"ח ח"א סי' ח, הביאו הב"י בסע' יג)</w:t>
      </w:r>
      <w:r>
        <w:rPr>
          <w:rFonts w:ascii="Arial" w:hAnsi="Arial"/>
          <w:rtl/>
        </w:rPr>
        <w:t xml:space="preserve"> וז"ל- "וזה שפסקנו שפעמים הולך אחר התחתון ופעמים אחר הפחות שבלשונות בזה בירר טעמו של דבר הר"י ן' מיגא"ש </w:t>
      </w:r>
      <w:r>
        <w:rPr>
          <w:rFonts w:ascii="Arial" w:hAnsi="Arial"/>
          <w:sz w:val="16"/>
          <w:szCs w:val="16"/>
          <w:rtl/>
        </w:rPr>
        <w:t xml:space="preserve">(ב"ב קסו: ד"ה כתב) </w:t>
      </w:r>
      <w:r>
        <w:rPr>
          <w:rFonts w:ascii="Arial" w:hAnsi="Arial"/>
          <w:rtl/>
        </w:rPr>
        <w:t xml:space="preserve">דלא דמיין אהדדי, דההיא דזוזין מאה דאינון סלעין תלתין אין לו אלא מנה שאני התם דדיבור אחד הוא וא"א לחלק ביניהם, וכיון דדבריו סותרין זא"ז אמרינן יד בעל השטר על התחתונה, וכי אמרינן הלך אחר התחתון- היכא דהוו שני דיבורים מחולקים וכל א' מהם דיבור בפני עצמו ואין צריך לחבירו, וכיון שהתחתון סותר את העליון אמרינן מיהדר קא הדר ביה מעליון ולפיכך הלך אחר תחתון, וכן ההיא דהשואל </w:t>
      </w:r>
      <w:r>
        <w:rPr>
          <w:rFonts w:ascii="Arial" w:hAnsi="Arial"/>
          <w:sz w:val="16"/>
          <w:szCs w:val="16"/>
          <w:rtl/>
        </w:rPr>
        <w:t xml:space="preserve">(ב"מ קב:) </w:t>
      </w:r>
      <w:r>
        <w:rPr>
          <w:rFonts w:ascii="Arial" w:hAnsi="Arial"/>
          <w:rtl/>
        </w:rPr>
        <w:t xml:space="preserve">דאמר רב נחמן דאע"ג דאפיך מיפך ואמר מדינר זהב לחדש בי"ב זהובים לשנה כולן למשכיר, ודאמרינן נמי </w:t>
      </w:r>
      <w:r>
        <w:rPr>
          <w:rFonts w:ascii="Arial" w:hAnsi="Arial"/>
          <w:sz w:val="16"/>
          <w:szCs w:val="16"/>
          <w:rtl/>
        </w:rPr>
        <w:t xml:space="preserve">(ב"ב קה:) </w:t>
      </w:r>
      <w:r>
        <w:rPr>
          <w:rFonts w:ascii="Arial" w:hAnsi="Arial"/>
          <w:rtl/>
        </w:rPr>
        <w:t xml:space="preserve">בענין אסתירא ק' מעי הלך אחר הפחות שבלשונות ולא אמרינן בהו תפוס לשון אחרון התם נמי משום דדיבור אחד הוא זא"ז ולא הפריש ביניהם בענין אחר, אבל אילו הפריש ביניהם בענין אחר שנעשו שני דיבורים- בכי הא אמרינן הלך אחר לשון תחתון". וכ"כ נימוק"י בסוף פרק השואל </w:t>
      </w:r>
      <w:r>
        <w:rPr>
          <w:rFonts w:ascii="Arial" w:hAnsi="Arial"/>
          <w:sz w:val="16"/>
          <w:szCs w:val="16"/>
          <w:rtl/>
        </w:rPr>
        <w:t>(נט: סוד"ה גמ')</w:t>
      </w:r>
      <w:r>
        <w:rPr>
          <w:rFonts w:ascii="Arial" w:hAnsi="Arial"/>
          <w:rtl/>
        </w:rPr>
        <w:t xml:space="preserve"> בשם הריטב"א </w:t>
      </w:r>
      <w:r>
        <w:rPr>
          <w:rFonts w:ascii="Arial" w:hAnsi="Arial"/>
          <w:sz w:val="16"/>
          <w:szCs w:val="16"/>
          <w:rtl/>
        </w:rPr>
        <w:t>(ב"מ קב: סוף ד"ה רב נחמן)</w:t>
      </w:r>
      <w:r>
        <w:rPr>
          <w:rFonts w:ascii="Arial" w:hAnsi="Arial"/>
          <w:rtl/>
        </w:rPr>
        <w:t>.</w:t>
      </w:r>
    </w:p>
  </w:footnote>
  <w:footnote w:id="3253">
    <w:p w14:paraId="20335E48" w14:textId="77777777" w:rsidR="0013116F" w:rsidRDefault="0013116F" w:rsidP="001D49D4">
      <w:pPr>
        <w:pStyle w:val="a9"/>
        <w:spacing w:after="60"/>
        <w:rPr>
          <w:rFonts w:ascii="Arial" w:hAnsi="Arial"/>
          <w:rtl/>
        </w:rPr>
      </w:pPr>
      <w:r>
        <w:rPr>
          <w:rStyle w:val="ab"/>
          <w:rFonts w:ascii="Arial" w:hAnsi="Arial"/>
        </w:rPr>
        <w:footnoteRef/>
      </w:r>
      <w:r>
        <w:rPr>
          <w:rFonts w:ascii="Arial" w:hAnsi="Arial"/>
          <w:rtl/>
        </w:rPr>
        <w:t xml:space="preserve"> וכעין זה כ' מהרי"ק </w:t>
      </w:r>
      <w:r>
        <w:rPr>
          <w:rFonts w:ascii="Arial" w:hAnsi="Arial"/>
          <w:sz w:val="16"/>
          <w:szCs w:val="16"/>
          <w:rtl/>
        </w:rPr>
        <w:t>(בשורש י' ענף ד)</w:t>
      </w:r>
      <w:r>
        <w:rPr>
          <w:rFonts w:ascii="Arial" w:hAnsi="Arial"/>
          <w:rtl/>
        </w:rPr>
        <w:t xml:space="preserve"> דכי אמרינן תחתון עיקר דוקא היכא דמכחישים זה את זה דאיכא למימר הדר ביה, וכמש"כ הרשב"א שם, אבל היכא דליכא חזרה כגון דאפשר לקיים שניהם לא עדיף תחתון מעליון ואדרבה סברא לומר שלא חש להאריך בתחתון לפי שסמך על מה שכבר כתב למעלה.</w:t>
      </w:r>
    </w:p>
  </w:footnote>
  <w:footnote w:id="3254">
    <w:p w14:paraId="6DB4A92D" w14:textId="77777777" w:rsidR="0013116F" w:rsidRDefault="0013116F" w:rsidP="001D49D4">
      <w:pPr>
        <w:pStyle w:val="a9"/>
        <w:spacing w:after="60"/>
        <w:rPr>
          <w:rFonts w:ascii="Arial" w:hAnsi="Arial"/>
        </w:rPr>
      </w:pPr>
      <w:r>
        <w:rPr>
          <w:rStyle w:val="ab"/>
          <w:rFonts w:ascii="Arial" w:hAnsi="Arial"/>
        </w:rPr>
        <w:footnoteRef/>
      </w:r>
      <w:r>
        <w:rPr>
          <w:rFonts w:ascii="Arial" w:hAnsi="Arial"/>
          <w:rtl/>
        </w:rPr>
        <w:t xml:space="preserve"> וכ' הפת"ש </w:t>
      </w:r>
      <w:r>
        <w:rPr>
          <w:rFonts w:ascii="Arial" w:hAnsi="Arial"/>
          <w:sz w:val="16"/>
          <w:szCs w:val="16"/>
          <w:rtl/>
        </w:rPr>
        <w:t xml:space="preserve">(סק"י) </w:t>
      </w:r>
      <w:r>
        <w:rPr>
          <w:rFonts w:ascii="Arial" w:hAnsi="Arial"/>
          <w:rtl/>
        </w:rPr>
        <w:t xml:space="preserve">שבתשו' כנסת יחזקאל </w:t>
      </w:r>
      <w:r>
        <w:rPr>
          <w:rFonts w:ascii="Arial" w:hAnsi="Arial"/>
          <w:sz w:val="16"/>
          <w:szCs w:val="16"/>
          <w:rtl/>
        </w:rPr>
        <w:t xml:space="preserve">(סי' ק"א) </w:t>
      </w:r>
      <w:r>
        <w:rPr>
          <w:rFonts w:ascii="Arial" w:hAnsi="Arial"/>
          <w:rtl/>
        </w:rPr>
        <w:t xml:space="preserve">כ' דהרבה דעות חולקין על זה, וגם בכנה"ג </w:t>
      </w:r>
      <w:r>
        <w:rPr>
          <w:rFonts w:ascii="Arial" w:hAnsi="Arial"/>
          <w:sz w:val="16"/>
          <w:szCs w:val="16"/>
          <w:rtl/>
        </w:rPr>
        <w:t xml:space="preserve">(הגב"י סע' כ"ה) </w:t>
      </w:r>
      <w:r>
        <w:rPr>
          <w:rFonts w:ascii="Arial" w:hAnsi="Arial"/>
          <w:rtl/>
        </w:rPr>
        <w:t>מביא הרבה פוסקים ותשובות דלית להו האי פיסקא, וגם מלשון המחבר משמע נמי שלא החליט הדבר.</w:t>
      </w:r>
    </w:p>
  </w:footnote>
  <w:footnote w:id="3255">
    <w:p w14:paraId="46CB05F4" w14:textId="77777777" w:rsidR="0013116F" w:rsidRDefault="0013116F" w:rsidP="001D49D4">
      <w:pPr>
        <w:pStyle w:val="a9"/>
        <w:spacing w:after="60"/>
        <w:rPr>
          <w:rFonts w:ascii="Arial" w:hAnsi="Arial"/>
        </w:rPr>
      </w:pPr>
      <w:r>
        <w:rPr>
          <w:rStyle w:val="ab"/>
          <w:rFonts w:ascii="Arial" w:hAnsi="Arial"/>
        </w:rPr>
        <w:footnoteRef/>
      </w:r>
      <w:r>
        <w:rPr>
          <w:rFonts w:ascii="Arial" w:hAnsi="Arial"/>
          <w:rtl/>
        </w:rPr>
        <w:t xml:space="preserve"> ואפילו במחק, גר"א (סקל"ג ליקוט).</w:t>
      </w:r>
    </w:p>
  </w:footnote>
  <w:footnote w:id="3256">
    <w:p w14:paraId="75B03CFA" w14:textId="77777777" w:rsidR="0013116F" w:rsidRDefault="0013116F" w:rsidP="001D49D4">
      <w:pPr>
        <w:pStyle w:val="a9"/>
        <w:spacing w:after="60"/>
        <w:rPr>
          <w:rFonts w:ascii="Arial" w:hAnsi="Arial"/>
          <w:color w:val="000000" w:themeColor="text1"/>
        </w:rPr>
      </w:pPr>
      <w:r>
        <w:rPr>
          <w:rStyle w:val="ab"/>
          <w:rFonts w:ascii="Arial" w:hAnsi="Arial"/>
          <w:color w:val="000000" w:themeColor="text1"/>
        </w:rPr>
        <w:footnoteRef/>
      </w:r>
      <w:r>
        <w:rPr>
          <w:rFonts w:ascii="Arial" w:hAnsi="Arial"/>
          <w:color w:val="000000" w:themeColor="text1"/>
          <w:rtl/>
        </w:rPr>
        <w:t xml:space="preserve"> והביא הפת"ש </w:t>
      </w:r>
      <w:r>
        <w:rPr>
          <w:rFonts w:ascii="Arial" w:hAnsi="Arial"/>
          <w:color w:val="000000" w:themeColor="text1"/>
          <w:sz w:val="16"/>
          <w:szCs w:val="16"/>
          <w:rtl/>
        </w:rPr>
        <w:t>(סק"י)</w:t>
      </w:r>
      <w:r>
        <w:rPr>
          <w:rFonts w:ascii="Arial" w:hAnsi="Arial"/>
          <w:color w:val="000000" w:themeColor="text1"/>
          <w:rtl/>
        </w:rPr>
        <w:t xml:space="preserve"> את הכנסי"ח </w:t>
      </w:r>
      <w:r>
        <w:rPr>
          <w:rFonts w:ascii="Arial" w:hAnsi="Arial"/>
          <w:color w:val="000000" w:themeColor="text1"/>
          <w:sz w:val="16"/>
          <w:szCs w:val="16"/>
          <w:rtl/>
        </w:rPr>
        <w:t xml:space="preserve">(סי' ק"א) </w:t>
      </w:r>
      <w:r>
        <w:rPr>
          <w:rFonts w:ascii="Arial" w:hAnsi="Arial"/>
          <w:color w:val="000000" w:themeColor="text1"/>
          <w:rtl/>
        </w:rPr>
        <w:t xml:space="preserve">שכ' דכך מבואר בגמרא ב"ב </w:t>
      </w:r>
      <w:r>
        <w:rPr>
          <w:rFonts w:ascii="Arial" w:hAnsi="Arial"/>
          <w:color w:val="000000" w:themeColor="text1"/>
          <w:sz w:val="16"/>
          <w:szCs w:val="16"/>
          <w:rtl/>
        </w:rPr>
        <w:t xml:space="preserve">(קלח:) </w:t>
      </w:r>
      <w:r>
        <w:rPr>
          <w:rFonts w:ascii="Arial" w:hAnsi="Arial"/>
          <w:color w:val="000000" w:themeColor="text1"/>
          <w:rtl/>
        </w:rPr>
        <w:t xml:space="preserve">דדייקינן לישנא יתירא לטפויי, וכן מבואר בכמה תשובות, </w:t>
      </w:r>
      <w:r>
        <w:rPr>
          <w:rFonts w:ascii="Arial" w:hAnsi="Arial"/>
          <w:color w:val="000000" w:themeColor="text1"/>
          <w:sz w:val="16"/>
          <w:szCs w:val="16"/>
          <w:rtl/>
        </w:rPr>
        <w:t>(עיין בתשובת מהרש"ל סי' מ"ט וסי' ע"ד, ובתשובת מהר"ם טראני ח"א סי' קנ"ד, ובמשפטי שמואל סי' פ"ז וגם במהרי"ק [שורש י' ענף ב'] שהביא ב"י סימן זה [מחודש סי' ו'])</w:t>
      </w:r>
      <w:r>
        <w:rPr>
          <w:rFonts w:ascii="Arial" w:hAnsi="Arial"/>
          <w:color w:val="000000" w:themeColor="text1"/>
          <w:rtl/>
        </w:rPr>
        <w:t xml:space="preserve">, אך הב"י בסוף סימן ס"א מביא דעת הרשב"א </w:t>
      </w:r>
      <w:r>
        <w:rPr>
          <w:rFonts w:ascii="Arial" w:hAnsi="Arial"/>
          <w:color w:val="000000" w:themeColor="text1"/>
          <w:sz w:val="16"/>
          <w:szCs w:val="16"/>
          <w:rtl/>
        </w:rPr>
        <w:t xml:space="preserve">(ח"ב סי' ר"ע) </w:t>
      </w:r>
      <w:r>
        <w:rPr>
          <w:rFonts w:ascii="Arial" w:hAnsi="Arial"/>
          <w:color w:val="000000" w:themeColor="text1"/>
          <w:rtl/>
        </w:rPr>
        <w:t xml:space="preserve">דאין כח בידינו לומר לישנא יתירא לטפויי כי אם אלו המבוארים בגמרא, ואחריו נטו כמה תשובות. אמנם הקשו דברי הרשב"א אהדדי כי נמצא בכמה תשובות להרשב"א שדרש לישנא יתירא, והנכון בזה מה שתירץ הרדב"ז </w:t>
      </w:r>
      <w:r>
        <w:rPr>
          <w:rFonts w:ascii="Arial" w:hAnsi="Arial"/>
          <w:color w:val="000000" w:themeColor="text1"/>
          <w:sz w:val="16"/>
          <w:szCs w:val="16"/>
          <w:rtl/>
        </w:rPr>
        <w:t xml:space="preserve">(ח"א סי' פ"ז) </w:t>
      </w:r>
      <w:r>
        <w:rPr>
          <w:rFonts w:ascii="Arial" w:hAnsi="Arial"/>
          <w:color w:val="000000" w:themeColor="text1"/>
          <w:rtl/>
        </w:rPr>
        <w:t xml:space="preserve">דלהוציא אין לומר לטפויי כי אם הנזכר בגמרא, אבל למוחזק ודאי אמרינן לטפויי </w:t>
      </w:r>
      <w:r>
        <w:rPr>
          <w:rFonts w:ascii="Arial" w:hAnsi="Arial"/>
          <w:color w:val="000000" w:themeColor="text1"/>
          <w:sz w:val="16"/>
          <w:szCs w:val="16"/>
          <w:rtl/>
        </w:rPr>
        <w:t>([עיין בתשובת נודע ביהודה [מהדו"ק חו"מ] סימן ג' הובא לעיל סימן י"ג סעיף א' [סק"ב], ועיין בתשובת מהרי"ט [ח"ב חו"מ] סי' קי"ט, ובתשובת שער אפרים סי' קכ"ט, ובתשובת מהר"ר משה רוטנבורג חלק חו"מ סי' ח'])</w:t>
      </w:r>
      <w:r>
        <w:rPr>
          <w:rFonts w:ascii="Arial" w:hAnsi="Arial"/>
          <w:color w:val="000000" w:themeColor="text1"/>
          <w:rtl/>
        </w:rPr>
        <w:t>.</w:t>
      </w:r>
    </w:p>
  </w:footnote>
  <w:footnote w:id="3257">
    <w:p w14:paraId="05202CC6" w14:textId="77777777" w:rsidR="0013116F" w:rsidRDefault="0013116F" w:rsidP="001D49D4">
      <w:pPr>
        <w:pStyle w:val="a9"/>
        <w:spacing w:after="60"/>
        <w:rPr>
          <w:rFonts w:ascii="Arial" w:hAnsi="Arial"/>
        </w:rPr>
      </w:pPr>
      <w:r>
        <w:rPr>
          <w:rStyle w:val="ab"/>
          <w:rFonts w:ascii="Arial" w:hAnsi="Arial"/>
        </w:rPr>
        <w:footnoteRef/>
      </w:r>
      <w:r>
        <w:rPr>
          <w:rFonts w:ascii="Arial" w:hAnsi="Arial"/>
          <w:rtl/>
        </w:rPr>
        <w:t xml:space="preserve"> המנין שכתוב בו אחר דאינון, רשב"ם.</w:t>
      </w:r>
    </w:p>
  </w:footnote>
  <w:footnote w:id="3258">
    <w:p w14:paraId="3E625569" w14:textId="77777777" w:rsidR="0013116F" w:rsidRDefault="0013116F" w:rsidP="001D49D4">
      <w:pPr>
        <w:pStyle w:val="a9"/>
        <w:spacing w:after="60"/>
        <w:rPr>
          <w:rFonts w:ascii="Arial" w:hAnsi="Arial"/>
          <w:rtl/>
        </w:rPr>
      </w:pPr>
      <w:r>
        <w:rPr>
          <w:rStyle w:val="ab"/>
          <w:rFonts w:ascii="Arial" w:hAnsi="Arial"/>
        </w:rPr>
        <w:footnoteRef/>
      </w:r>
      <w:r>
        <w:rPr>
          <w:rFonts w:ascii="Arial" w:hAnsi="Arial"/>
          <w:rtl/>
        </w:rPr>
        <w:t xml:space="preserve"> ונראה דאם המלוה אומר חמש היה הסך, והלוה אומר שנים היה, דצריך לישבע היסת, ופטור משבועה דאורייתא</w:t>
      </w:r>
      <w:r>
        <w:rPr>
          <w:rFonts w:ascii="Arial" w:hAnsi="Arial"/>
          <w:sz w:val="16"/>
          <w:szCs w:val="16"/>
          <w:rtl/>
        </w:rPr>
        <w:t xml:space="preserve"> {מכיון שכפר בהכל מתחייב בהיסת, דרק מודה במקצת חייב בשבועה דאו', וחשיב כופר בהכל משום שעל ב' הסלעים הרי הוא כמשיב אבדה והשטר מסייעו (ב"מ ד:)}</w:t>
      </w:r>
      <w:r>
        <w:rPr>
          <w:rFonts w:ascii="Arial" w:hAnsi="Arial"/>
          <w:rtl/>
        </w:rPr>
        <w:t xml:space="preserve">, כמו בכתוב בו סלעים הנזכר בסעיף שאחר זה, סמ"ע </w:t>
      </w:r>
      <w:r>
        <w:rPr>
          <w:rFonts w:ascii="Arial" w:hAnsi="Arial"/>
          <w:sz w:val="14"/>
          <w:szCs w:val="14"/>
          <w:rtl/>
        </w:rPr>
        <w:t>(סק"ל)</w:t>
      </w:r>
      <w:r>
        <w:rPr>
          <w:rFonts w:ascii="Arial" w:hAnsi="Arial"/>
          <w:rtl/>
        </w:rPr>
        <w:t xml:space="preserve">. וכ' הנתיבות </w:t>
      </w:r>
      <w:r>
        <w:rPr>
          <w:rFonts w:ascii="Arial" w:hAnsi="Arial"/>
          <w:sz w:val="14"/>
          <w:szCs w:val="14"/>
          <w:rtl/>
        </w:rPr>
        <w:t xml:space="preserve">(ביאורים סק"ט) </w:t>
      </w:r>
      <w:r>
        <w:rPr>
          <w:rFonts w:ascii="Arial" w:hAnsi="Arial"/>
          <w:rtl/>
        </w:rPr>
        <w:t xml:space="preserve">דאם הלוה אומר שלש- חייב שבועה דאורייתא </w:t>
      </w:r>
      <w:r>
        <w:rPr>
          <w:rFonts w:ascii="Arial" w:hAnsi="Arial"/>
          <w:sz w:val="16"/>
          <w:szCs w:val="16"/>
          <w:rtl/>
        </w:rPr>
        <w:t>(דלא הוי משיב אבידה כמו בסלעים דינרין [ב"מ ד:], דשאני התם דמסייע ליה שטרא, משא"כ בנמחק דלית ליה סיוע והוי מיגו דהעזה)</w:t>
      </w:r>
      <w:r>
        <w:rPr>
          <w:rFonts w:ascii="Arial" w:hAnsi="Arial"/>
          <w:rtl/>
        </w:rPr>
        <w:t>.</w:t>
      </w:r>
    </w:p>
  </w:footnote>
  <w:footnote w:id="3259">
    <w:p w14:paraId="5D7380CC" w14:textId="77777777" w:rsidR="0013116F" w:rsidRDefault="0013116F" w:rsidP="001D49D4">
      <w:pPr>
        <w:pStyle w:val="a9"/>
        <w:spacing w:after="60"/>
        <w:rPr>
          <w:rFonts w:ascii="Arial" w:hAnsi="Arial"/>
          <w:rtl/>
        </w:rPr>
      </w:pPr>
      <w:r>
        <w:rPr>
          <w:rStyle w:val="ab"/>
          <w:rFonts w:ascii="Arial" w:hAnsi="Arial"/>
        </w:rPr>
        <w:footnoteRef/>
      </w:r>
      <w:r>
        <w:rPr>
          <w:rFonts w:ascii="Arial" w:hAnsi="Arial"/>
          <w:rtl/>
        </w:rPr>
        <w:t xml:space="preserve"> שטר שכתוב בו: פלוני לוה מפלוני סלעין, ולא פירש כמה, וכן שטר שכתוב בו דינרין סתם, רש"י.</w:t>
      </w:r>
    </w:p>
  </w:footnote>
  <w:footnote w:id="3260">
    <w:p w14:paraId="33210247" w14:textId="77777777" w:rsidR="0013116F" w:rsidRDefault="0013116F" w:rsidP="001D49D4">
      <w:pPr>
        <w:pStyle w:val="a9"/>
        <w:spacing w:after="60"/>
        <w:rPr>
          <w:rFonts w:ascii="Arial" w:hAnsi="Arial"/>
        </w:rPr>
      </w:pPr>
      <w:r>
        <w:rPr>
          <w:rStyle w:val="ab"/>
          <w:rFonts w:ascii="Arial" w:hAnsi="Arial"/>
        </w:rPr>
        <w:footnoteRef/>
      </w:r>
      <w:r>
        <w:rPr>
          <w:rFonts w:ascii="Arial" w:hAnsi="Arial"/>
          <w:rtl/>
        </w:rPr>
        <w:t xml:space="preserve"> מדהוה ליה למימר שתים, והשטר מסייעו, דכיון דלא פירש ניכרים הדברים ששנים היו - לכך לא הוצרך לפרש, דמיעוט סלעים שנים, וכיון דאמר שלש - משיב אבידה הוא, וחכמים פטרו את משיב אבידה מן השבועה, דתנן: המוצא את המציאה לא ישבע וכו' (גיטין מח, ב) , רש"י.</w:t>
      </w:r>
    </w:p>
  </w:footnote>
  <w:footnote w:id="3261">
    <w:p w14:paraId="1461346A" w14:textId="77777777" w:rsidR="0013116F" w:rsidRDefault="0013116F" w:rsidP="001D49D4">
      <w:pPr>
        <w:pStyle w:val="a9"/>
        <w:spacing w:after="60"/>
        <w:rPr>
          <w:rFonts w:ascii="Arial" w:hAnsi="Arial"/>
        </w:rPr>
      </w:pPr>
      <w:r>
        <w:rPr>
          <w:rStyle w:val="ab"/>
          <w:rFonts w:ascii="Arial" w:hAnsi="Arial"/>
        </w:rPr>
        <w:footnoteRef/>
      </w:r>
      <w:r>
        <w:rPr>
          <w:rFonts w:ascii="Arial" w:hAnsi="Arial"/>
          <w:rtl/>
        </w:rPr>
        <w:t xml:space="preserve"> קא סלקא דעתך השתא דמייתי תיובתא מדנקט פלוגתייהו בשלש וחמש, ולא נקט ולוה אמר שתים, שמע מינה: בשתים לא מחייב ליה ר' שמעון בן אלעזר, וכדמפרש ואזיל, דכיון דכל הודאתו בשטר כתובה, דשטר נמי שתים משמע, וכל משמעות השטר הילך הוא - שהרי הקרקעות משועבדים על כך, אבל כי אמר שלש סלעים - שלישי מלוה על פה הוא, דלאו בשטר כתובה, ואין הקרקעות משועבדים, ולאו הילך הוא, רש"י.</w:t>
      </w:r>
    </w:p>
  </w:footnote>
  <w:footnote w:id="3262">
    <w:p w14:paraId="70247915" w14:textId="77777777" w:rsidR="0013116F" w:rsidRDefault="0013116F" w:rsidP="001D49D4">
      <w:pPr>
        <w:pStyle w:val="a9"/>
        <w:spacing w:after="60"/>
        <w:rPr>
          <w:rFonts w:ascii="Arial" w:hAnsi="Arial"/>
        </w:rPr>
      </w:pPr>
      <w:r>
        <w:rPr>
          <w:rStyle w:val="ab"/>
          <w:rFonts w:ascii="Arial" w:hAnsi="Arial"/>
        </w:rPr>
        <w:footnoteRef/>
      </w:r>
      <w:r>
        <w:rPr>
          <w:rFonts w:ascii="Arial" w:hAnsi="Arial"/>
          <w:rtl/>
        </w:rPr>
        <w:t xml:space="preserve"> העדים החתומים על השטר מעידין כדבריו שלא היו אלא שתים, ולכך לא פירשו מניינן, הלכך אין צריך שבועה, רש"י.</w:t>
      </w:r>
    </w:p>
  </w:footnote>
  <w:footnote w:id="3263">
    <w:p w14:paraId="42460BC5" w14:textId="77777777" w:rsidR="0013116F" w:rsidRDefault="0013116F" w:rsidP="001D49D4">
      <w:pPr>
        <w:pStyle w:val="a9"/>
        <w:spacing w:after="60"/>
        <w:rPr>
          <w:rFonts w:ascii="Arial" w:hAnsi="Arial"/>
        </w:rPr>
      </w:pPr>
      <w:r>
        <w:rPr>
          <w:rStyle w:val="ab"/>
          <w:rFonts w:ascii="Arial" w:hAnsi="Arial"/>
        </w:rPr>
        <w:footnoteRef/>
      </w:r>
      <w:r>
        <w:rPr>
          <w:rFonts w:ascii="Arial" w:hAnsi="Arial"/>
          <w:rtl/>
        </w:rPr>
        <w:t xml:space="preserve"> להכי לא הוו שתים הודאה לחייבו שבועה - לפי שהשטר אומר כן, ושטר הוי שעבוד קרקעות, וכשם שאין נשבעין על כפירת קרקעות, כך הודאתן אינה מביאה לידי שבועה, דקרקעות אמעוט מתורת שבועה, במסכת שבועות פרק שבועת הדיינין (מב:), אבל כי אמר מלוה חמש ולוה שלש - איכא כפירה והודאה במה שאין כתוב בשטר, רש"י.</w:t>
      </w:r>
    </w:p>
  </w:footnote>
  <w:footnote w:id="3264">
    <w:p w14:paraId="143E6933" w14:textId="77777777" w:rsidR="0013116F" w:rsidRDefault="0013116F" w:rsidP="001D49D4">
      <w:pPr>
        <w:pStyle w:val="a9"/>
        <w:spacing w:after="60"/>
        <w:rPr>
          <w:rFonts w:ascii="Arial" w:hAnsi="Arial"/>
          <w:rtl/>
        </w:rPr>
      </w:pPr>
      <w:r>
        <w:rPr>
          <w:rStyle w:val="ab"/>
          <w:rFonts w:ascii="Arial" w:hAnsi="Arial"/>
        </w:rPr>
        <w:footnoteRef/>
      </w:r>
      <w:r>
        <w:rPr>
          <w:rFonts w:ascii="Arial" w:hAnsi="Arial"/>
          <w:rtl/>
        </w:rPr>
        <w:t xml:space="preserve"> אפילו תופס ברשות </w:t>
      </w:r>
      <w:r>
        <w:rPr>
          <w:rFonts w:ascii="Arial" w:hAnsi="Arial"/>
          <w:sz w:val="16"/>
          <w:szCs w:val="16"/>
          <w:rtl/>
        </w:rPr>
        <w:t>(דהיינו דהיה בידו דבר בפיקדון או בשאלה)</w:t>
      </w:r>
      <w:r>
        <w:rPr>
          <w:rFonts w:ascii="Arial" w:hAnsi="Arial"/>
          <w:rtl/>
        </w:rPr>
        <w:t>, אורים (סקל"ז).</w:t>
      </w:r>
    </w:p>
  </w:footnote>
  <w:footnote w:id="3265">
    <w:p w14:paraId="39567AD5" w14:textId="77777777" w:rsidR="0013116F" w:rsidRDefault="0013116F" w:rsidP="001D49D4">
      <w:pPr>
        <w:pStyle w:val="a9"/>
        <w:spacing w:after="60"/>
        <w:rPr>
          <w:rFonts w:ascii="Arial" w:hAnsi="Arial"/>
          <w:rtl/>
        </w:rPr>
      </w:pPr>
      <w:r>
        <w:rPr>
          <w:rStyle w:val="ab"/>
          <w:rFonts w:ascii="Arial" w:hAnsi="Arial"/>
        </w:rPr>
        <w:footnoteRef/>
      </w:r>
      <w:r>
        <w:rPr>
          <w:rFonts w:ascii="Arial" w:hAnsi="Arial"/>
          <w:rtl/>
        </w:rPr>
        <w:t xml:space="preserve"> כן משמע מדברי הב"י והדרכ"מ (ארוך סע' י"ג) דדייקי מדלא כתב הטור דין זה דמהני תפיסה בתר כל הני דינין, ש"מ דלא מהני תפיסה בכתב בו סלעים, ומהאי טעמא איכא למידק דלא מהני גם כן בדין שכתב בו "דאינון", וכ"כ הש"ך, והקשה על הסמ"ע </w:t>
      </w:r>
      <w:r>
        <w:rPr>
          <w:rFonts w:ascii="Arial" w:hAnsi="Arial"/>
          <w:sz w:val="16"/>
          <w:szCs w:val="16"/>
          <w:rtl/>
        </w:rPr>
        <w:t>(סקל"ב)</w:t>
      </w:r>
      <w:r>
        <w:rPr>
          <w:rFonts w:ascii="Arial" w:hAnsi="Arial"/>
          <w:rtl/>
        </w:rPr>
        <w:t xml:space="preserve"> שאחרי שסבר לומר דמהני תפיסה, השאיר דין זה בצ"ע.</w:t>
      </w:r>
    </w:p>
  </w:footnote>
  <w:footnote w:id="3266">
    <w:p w14:paraId="45B304C9" w14:textId="77777777" w:rsidR="0013116F" w:rsidRDefault="0013116F" w:rsidP="001D49D4">
      <w:pPr>
        <w:pStyle w:val="a9"/>
        <w:spacing w:after="60"/>
        <w:rPr>
          <w:rFonts w:ascii="Arial" w:hAnsi="Arial"/>
        </w:rPr>
      </w:pPr>
      <w:r>
        <w:rPr>
          <w:rStyle w:val="ab"/>
          <w:rFonts w:ascii="Arial" w:hAnsi="Arial"/>
        </w:rPr>
        <w:footnoteRef/>
      </w:r>
      <w:r>
        <w:rPr>
          <w:rFonts w:ascii="Arial" w:hAnsi="Arial"/>
          <w:rtl/>
        </w:rPr>
        <w:t xml:space="preserve"> כן מפורש במ"מ</w:t>
      </w:r>
      <w:r>
        <w:rPr>
          <w:rFonts w:ascii="Arial" w:hAnsi="Arial"/>
          <w:sz w:val="16"/>
          <w:szCs w:val="16"/>
          <w:rtl/>
        </w:rPr>
        <w:t xml:space="preserve"> (פכ"ז הט"ז)</w:t>
      </w:r>
      <w:r>
        <w:rPr>
          <w:rFonts w:ascii="Arial" w:hAnsi="Arial"/>
          <w:rtl/>
        </w:rPr>
        <w:t xml:space="preserve"> וכן דעת הטור</w:t>
      </w:r>
      <w:r>
        <w:rPr>
          <w:rFonts w:ascii="Arial" w:hAnsi="Arial"/>
          <w:sz w:val="16"/>
          <w:szCs w:val="16"/>
          <w:rtl/>
        </w:rPr>
        <w:t xml:space="preserve"> (להב' הב"י (סע' ח[א], יב[א]) דרכ"מ (ארוך סע' י"ג) והפרישה (אות יג))</w:t>
      </w:r>
      <w:r>
        <w:rPr>
          <w:rFonts w:ascii="Arial" w:hAnsi="Arial"/>
          <w:rtl/>
        </w:rPr>
        <w:t xml:space="preserve"> וכ"כ הב"י (שם)- "שלא בעדים נאמן במגו דאי בעי למימר לא נטלתי".</w:t>
      </w:r>
    </w:p>
  </w:footnote>
  <w:footnote w:id="3267">
    <w:p w14:paraId="7FCB70D4" w14:textId="77777777" w:rsidR="0013116F" w:rsidRDefault="0013116F" w:rsidP="001D49D4">
      <w:pPr>
        <w:pStyle w:val="a9"/>
        <w:spacing w:after="60"/>
        <w:rPr>
          <w:rFonts w:ascii="Arial" w:hAnsi="Arial"/>
          <w:rtl/>
        </w:rPr>
      </w:pPr>
      <w:r>
        <w:rPr>
          <w:rStyle w:val="ab"/>
          <w:rFonts w:ascii="Arial" w:hAnsi="Arial"/>
        </w:rPr>
        <w:footnoteRef/>
      </w:r>
      <w:r>
        <w:rPr>
          <w:rFonts w:ascii="Arial" w:hAnsi="Arial"/>
          <w:rtl/>
        </w:rPr>
        <w:t xml:space="preserve"> סמ"ע</w:t>
      </w:r>
      <w:r>
        <w:rPr>
          <w:rFonts w:ascii="Arial" w:hAnsi="Arial"/>
          <w:sz w:val="16"/>
          <w:szCs w:val="16"/>
          <w:rtl/>
        </w:rPr>
        <w:t xml:space="preserve"> (סקל"ב)</w:t>
      </w:r>
      <w:r>
        <w:rPr>
          <w:rFonts w:ascii="Arial" w:hAnsi="Arial"/>
          <w:rtl/>
        </w:rPr>
        <w:t xml:space="preserve"> ש"ך</w:t>
      </w:r>
      <w:r>
        <w:rPr>
          <w:rFonts w:ascii="Arial" w:hAnsi="Arial"/>
          <w:sz w:val="16"/>
          <w:szCs w:val="16"/>
          <w:rtl/>
        </w:rPr>
        <w:t xml:space="preserve"> (סקכ"ו)</w:t>
      </w:r>
      <w:r>
        <w:rPr>
          <w:rFonts w:ascii="Arial" w:hAnsi="Arial"/>
          <w:rtl/>
        </w:rPr>
        <w:t xml:space="preserve"> אורים</w:t>
      </w:r>
      <w:r>
        <w:rPr>
          <w:rFonts w:ascii="Arial" w:hAnsi="Arial"/>
          <w:sz w:val="16"/>
          <w:szCs w:val="16"/>
          <w:rtl/>
        </w:rPr>
        <w:t xml:space="preserve"> (סקל"ו) </w:t>
      </w:r>
      <w:r>
        <w:rPr>
          <w:rFonts w:ascii="Arial" w:hAnsi="Arial"/>
          <w:rtl/>
        </w:rPr>
        <w:t>ונתיבות</w:t>
      </w:r>
      <w:r>
        <w:rPr>
          <w:rFonts w:ascii="Arial" w:hAnsi="Arial"/>
          <w:sz w:val="16"/>
          <w:szCs w:val="16"/>
          <w:rtl/>
        </w:rPr>
        <w:t xml:space="preserve"> (סקכ"ה)</w:t>
      </w:r>
      <w:r>
        <w:rPr>
          <w:rFonts w:ascii="Arial" w:hAnsi="Arial"/>
          <w:rtl/>
        </w:rPr>
        <w:t>, והוסיף הש"ך דהדין כך רק כשטוען המלוה ברי שהלוה לו יותר, אבל אם הוא שטר חיוב שנתחייב לו בשטר זה, אפילו תפס שלא בעדים מפקינן מיניה, דהא לא שייך כאן מיגו כיון דאינו יכול לטעון ברי.</w:t>
      </w:r>
    </w:p>
  </w:footnote>
  <w:footnote w:id="3268">
    <w:p w14:paraId="3AB45EBD" w14:textId="77777777" w:rsidR="0013116F" w:rsidRDefault="0013116F" w:rsidP="001D49D4">
      <w:pPr>
        <w:pStyle w:val="a9"/>
        <w:spacing w:after="60"/>
        <w:rPr>
          <w:rFonts w:ascii="Arial" w:hAnsi="Arial"/>
        </w:rPr>
      </w:pPr>
      <w:r>
        <w:rPr>
          <w:rStyle w:val="ab"/>
          <w:rFonts w:ascii="Arial" w:hAnsi="Arial"/>
        </w:rPr>
        <w:footnoteRef/>
      </w:r>
      <w:r>
        <w:rPr>
          <w:rFonts w:ascii="Arial" w:hAnsi="Arial"/>
          <w:rtl/>
        </w:rPr>
        <w:t xml:space="preserve"> דכסף בדינרין משמע כסף לוה פלוני מפלוני שוה שני דינרין של זהב וכדמפרש לקמן שכתוב כסף בדינרי משמע בדינרי זהב אבל בדינרין היינו שני דינרין של כסף, רשב"ם.</w:t>
      </w:r>
    </w:p>
  </w:footnote>
  <w:footnote w:id="3269">
    <w:p w14:paraId="34A35DE4" w14:textId="77777777" w:rsidR="0013116F" w:rsidRDefault="0013116F" w:rsidP="001D49D4">
      <w:pPr>
        <w:pStyle w:val="a9"/>
        <w:spacing w:after="60"/>
        <w:rPr>
          <w:rFonts w:ascii="Arial" w:hAnsi="Arial"/>
          <w:rtl/>
        </w:rPr>
      </w:pPr>
      <w:r>
        <w:rPr>
          <w:rStyle w:val="ab"/>
          <w:rFonts w:ascii="Arial" w:hAnsi="Arial"/>
        </w:rPr>
        <w:footnoteRef/>
      </w:r>
      <w:r>
        <w:rPr>
          <w:rFonts w:ascii="Arial" w:hAnsi="Arial"/>
          <w:rtl/>
        </w:rPr>
        <w:t xml:space="preserve"> בשום אתרא, רשב"ם. </w:t>
      </w:r>
    </w:p>
  </w:footnote>
  <w:footnote w:id="3270">
    <w:p w14:paraId="7A55B683" w14:textId="77777777" w:rsidR="0013116F" w:rsidRDefault="0013116F" w:rsidP="001D49D4">
      <w:pPr>
        <w:pStyle w:val="a9"/>
        <w:spacing w:after="60"/>
        <w:rPr>
          <w:rFonts w:ascii="Arial" w:hAnsi="Arial"/>
          <w:rtl/>
        </w:rPr>
      </w:pPr>
      <w:r>
        <w:rPr>
          <w:rStyle w:val="ab"/>
          <w:rFonts w:ascii="Arial" w:hAnsi="Arial"/>
        </w:rPr>
        <w:footnoteRef/>
      </w:r>
      <w:r>
        <w:rPr>
          <w:rFonts w:ascii="Arial" w:hAnsi="Arial"/>
          <w:rtl/>
        </w:rPr>
        <w:t xml:space="preserve"> כמו שכאן כשכתוב "זהב בדינרין" יד בעל השטר על התחתונה וגובה ממנו שווי שני דינרין כסף- זהב, הכ"נ ברישא שכתוב "כסף בדינרין" נימא יד בעל השטר על התחתונה ויגבה ממנו שווי שני דינרין כסף- כסף, ע"פ רשב"ם.</w:t>
      </w:r>
    </w:p>
  </w:footnote>
  <w:footnote w:id="3271">
    <w:p w14:paraId="4547B2C1" w14:textId="77777777" w:rsidR="0013116F" w:rsidRDefault="0013116F" w:rsidP="001D49D4">
      <w:pPr>
        <w:pStyle w:val="a9"/>
        <w:spacing w:after="60"/>
        <w:rPr>
          <w:rFonts w:ascii="Arial" w:hAnsi="Arial"/>
          <w:rtl/>
        </w:rPr>
      </w:pPr>
      <w:r>
        <w:rPr>
          <w:rStyle w:val="ab"/>
          <w:rFonts w:ascii="Arial" w:hAnsi="Arial"/>
        </w:rPr>
        <w:footnoteRef/>
      </w:r>
      <w:r>
        <w:rPr>
          <w:rFonts w:ascii="Arial" w:hAnsi="Arial"/>
          <w:rtl/>
        </w:rPr>
        <w:t xml:space="preserve"> דמשמע דינרי זהב אבל דינרין סתם משמע של כסף, רשב"ם. אך התוס' </w:t>
      </w:r>
      <w:r>
        <w:rPr>
          <w:rFonts w:ascii="Arial" w:hAnsi="Arial"/>
          <w:sz w:val="16"/>
          <w:szCs w:val="16"/>
          <w:rtl/>
        </w:rPr>
        <w:t xml:space="preserve">(ד"ה אמר רב אשי) </w:t>
      </w:r>
      <w:r>
        <w:rPr>
          <w:rFonts w:ascii="Arial" w:hAnsi="Arial"/>
          <w:rtl/>
        </w:rPr>
        <w:t>תרצו באופן אחר, והוא דדינרי אינו משמע אלא זהב, אבל דינרין משמע בין כסף ובין זהב, ולהכי מוקמינן ההוא דסיפא בשל כסף משום דיד בעל השטר על התחתונה כדמשני אביי, ונ"ל דאכולה ברייתא קמייתא קאמר רב אשי דכתב דינרי, ואפ"ה "כסף דינרי ודינרי כסף" מוכיח דדינרי כסף קאמר שאין לפרשו בענין אחר מדלא קאמר "בדינרי"</w:t>
      </w:r>
      <w:r>
        <w:rPr>
          <w:rFonts w:ascii="Arial" w:hAnsi="Arial"/>
          <w:sz w:val="16"/>
          <w:szCs w:val="16"/>
          <w:rtl/>
        </w:rPr>
        <w:t xml:space="preserve"> (ולאחמ"כ הביאו התוס' הוכחה לזה דרב אשי קאי אכולה ברייתא קמייתא אך מיד דחו את הוכחתם)</w:t>
      </w:r>
      <w:r>
        <w:rPr>
          <w:rFonts w:ascii="Arial" w:hAnsi="Arial"/>
          <w:rtl/>
        </w:rPr>
        <w:t xml:space="preserve">. וכ"כ הסמ"ע </w:t>
      </w:r>
      <w:r>
        <w:rPr>
          <w:rFonts w:ascii="Arial" w:hAnsi="Arial"/>
          <w:sz w:val="16"/>
          <w:szCs w:val="16"/>
          <w:rtl/>
        </w:rPr>
        <w:t>(סקל"ה, ודו"ק בדברי התוס' ותחזי שהסמ"ע כ' כדבריו)</w:t>
      </w:r>
      <w:r>
        <w:rPr>
          <w:rFonts w:ascii="Arial" w:hAnsi="Arial"/>
          <w:rtl/>
        </w:rPr>
        <w:t>.</w:t>
      </w:r>
    </w:p>
  </w:footnote>
  <w:footnote w:id="3272">
    <w:p w14:paraId="6AA176FE" w14:textId="77777777" w:rsidR="0013116F" w:rsidRDefault="0013116F" w:rsidP="001D49D4">
      <w:pPr>
        <w:pStyle w:val="a9"/>
        <w:spacing w:after="60"/>
        <w:rPr>
          <w:rFonts w:ascii="Arial" w:hAnsi="Arial"/>
          <w:rtl/>
        </w:rPr>
      </w:pPr>
      <w:r>
        <w:rPr>
          <w:rStyle w:val="ab"/>
          <w:rFonts w:ascii="Arial" w:hAnsi="Arial"/>
        </w:rPr>
        <w:footnoteRef/>
      </w:r>
      <w:r>
        <w:rPr>
          <w:rFonts w:ascii="Arial" w:hAnsi="Arial"/>
          <w:rtl/>
        </w:rPr>
        <w:t xml:space="preserve"> כסף דינרין, או זהב דינרין, או דינרין כסף, או דינרין זהב.</w:t>
      </w:r>
    </w:p>
  </w:footnote>
  <w:footnote w:id="3273">
    <w:p w14:paraId="4F5EE928" w14:textId="77777777" w:rsidR="0013116F" w:rsidRDefault="0013116F" w:rsidP="001D49D4">
      <w:pPr>
        <w:pStyle w:val="a9"/>
        <w:spacing w:after="60"/>
        <w:rPr>
          <w:rFonts w:ascii="Arial" w:hAnsi="Arial"/>
          <w:rtl/>
        </w:rPr>
      </w:pPr>
      <w:r>
        <w:rPr>
          <w:rStyle w:val="ab"/>
          <w:rFonts w:ascii="Arial" w:hAnsi="Arial"/>
        </w:rPr>
        <w:footnoteRef/>
      </w:r>
      <w:r>
        <w:rPr>
          <w:rFonts w:ascii="Arial" w:hAnsi="Arial"/>
          <w:rtl/>
        </w:rPr>
        <w:t xml:space="preserve"> משום שדינרין הן תמיד של כסף, לכן כשכ'- "זהב דינרין" הכוונה לזהב בשווי ב' דינרין כסף, וכן על זו הדרך.</w:t>
      </w:r>
    </w:p>
  </w:footnote>
  <w:footnote w:id="3274">
    <w:p w14:paraId="0723792E" w14:textId="77777777" w:rsidR="0013116F" w:rsidRDefault="0013116F" w:rsidP="001D49D4">
      <w:pPr>
        <w:pStyle w:val="a9"/>
        <w:spacing w:after="60"/>
        <w:rPr>
          <w:rFonts w:ascii="Arial" w:hAnsi="Arial"/>
        </w:rPr>
      </w:pPr>
      <w:r>
        <w:rPr>
          <w:rStyle w:val="ab"/>
          <w:rFonts w:ascii="Arial" w:hAnsi="Arial"/>
        </w:rPr>
        <w:footnoteRef/>
      </w:r>
      <w:r>
        <w:rPr>
          <w:rFonts w:ascii="Arial" w:hAnsi="Arial"/>
          <w:rtl/>
        </w:rPr>
        <w:t xml:space="preserve"> משום שדינרי הן תמיד של זהב, לכן כשכ' "כסף דינרי" הכוונה לכסף בשווי ב' דינרי זהב, וכן על זו הדרך </w:t>
      </w:r>
      <w:r>
        <w:rPr>
          <w:rFonts w:ascii="Arial" w:hAnsi="Arial"/>
          <w:sz w:val="14"/>
          <w:szCs w:val="14"/>
          <w:rtl/>
        </w:rPr>
        <w:t>(ד"ה אי הכי, וד"ה רישא דכתב)</w:t>
      </w:r>
      <w:r>
        <w:rPr>
          <w:rFonts w:ascii="Arial" w:hAnsi="Arial"/>
          <w:rtl/>
        </w:rPr>
        <w:t>.</w:t>
      </w:r>
    </w:p>
  </w:footnote>
  <w:footnote w:id="3275">
    <w:p w14:paraId="76EC7E6C" w14:textId="77777777" w:rsidR="0013116F" w:rsidRDefault="0013116F" w:rsidP="001D49D4">
      <w:pPr>
        <w:pStyle w:val="a9"/>
        <w:spacing w:after="60"/>
        <w:rPr>
          <w:rFonts w:ascii="Arial" w:hAnsi="Arial"/>
          <w:rtl/>
        </w:rPr>
      </w:pPr>
      <w:r>
        <w:rPr>
          <w:rStyle w:val="ab"/>
          <w:rFonts w:ascii="Arial" w:hAnsi="Arial"/>
        </w:rPr>
        <w:footnoteRef/>
      </w:r>
      <w:r>
        <w:rPr>
          <w:rFonts w:ascii="Arial" w:hAnsi="Arial"/>
          <w:rtl/>
        </w:rPr>
        <w:t xml:space="preserve"> ז"א שאינו יכול לגבות כלום.</w:t>
      </w:r>
    </w:p>
  </w:footnote>
  <w:footnote w:id="3276">
    <w:p w14:paraId="69BAF596" w14:textId="77777777" w:rsidR="0013116F" w:rsidRDefault="0013116F" w:rsidP="001D49D4">
      <w:pPr>
        <w:pStyle w:val="a9"/>
        <w:spacing w:after="60"/>
        <w:rPr>
          <w:rFonts w:ascii="Arial" w:hAnsi="Arial"/>
        </w:rPr>
      </w:pPr>
      <w:r>
        <w:rPr>
          <w:rStyle w:val="ab"/>
          <w:rFonts w:ascii="Arial" w:hAnsi="Arial"/>
        </w:rPr>
        <w:footnoteRef/>
      </w:r>
      <w:r>
        <w:rPr>
          <w:rFonts w:ascii="Arial" w:hAnsi="Arial"/>
          <w:rtl/>
        </w:rPr>
        <w:t xml:space="preserve"> דסתם הלואת כסף אם לא נכתב בצדו דהלוה לו מטבע, ודאי כסף במשקל הלוה לו, שמשקל הוא ג"כ דבר הידוע ומסומן להשיב לו בו כפי מה שהלוה, סמ"ע (סקל"ג).</w:t>
      </w:r>
    </w:p>
  </w:footnote>
  <w:footnote w:id="3277">
    <w:p w14:paraId="446C5B2D" w14:textId="77777777" w:rsidR="0013116F" w:rsidRDefault="0013116F" w:rsidP="001D49D4">
      <w:pPr>
        <w:pStyle w:val="a9"/>
        <w:spacing w:after="60"/>
        <w:rPr>
          <w:rFonts w:ascii="Arial" w:hAnsi="Arial"/>
          <w:rtl/>
        </w:rPr>
      </w:pPr>
      <w:r>
        <w:rPr>
          <w:rStyle w:val="ab"/>
          <w:rFonts w:ascii="Arial" w:hAnsi="Arial"/>
        </w:rPr>
        <w:footnoteRef/>
      </w:r>
      <w:r>
        <w:rPr>
          <w:rFonts w:ascii="Arial" w:hAnsi="Arial"/>
          <w:rtl/>
        </w:rPr>
        <w:t xml:space="preserve"> פירוש, באותו המקום המפורש בשטר. ואם לא נזכר בו מקום, הולכין אחר המקום שמוציא בו שטר על הלוה לתבעו בו, וכמ"ש בסמוך סע' י"ד, סמ"ע (סקל"ד).</w:t>
      </w:r>
    </w:p>
  </w:footnote>
  <w:footnote w:id="3278">
    <w:p w14:paraId="0BF2A578" w14:textId="77777777" w:rsidR="0013116F" w:rsidRDefault="0013116F" w:rsidP="001D49D4">
      <w:pPr>
        <w:pStyle w:val="a9"/>
        <w:spacing w:after="60"/>
        <w:rPr>
          <w:rFonts w:ascii="Arial" w:hAnsi="Arial"/>
          <w:rtl/>
        </w:rPr>
      </w:pPr>
      <w:r>
        <w:rPr>
          <w:rStyle w:val="ab"/>
          <w:rFonts w:ascii="Arial" w:hAnsi="Arial"/>
        </w:rPr>
        <w:footnoteRef/>
      </w:r>
      <w:r>
        <w:rPr>
          <w:rFonts w:ascii="Arial" w:hAnsi="Arial"/>
          <w:rtl/>
        </w:rPr>
        <w:t xml:space="preserve"> במהדורת הרמ"א של"ח ועוד כ'- "כסף דינרי או דינרי כסף", וכן איתא במהדורת הסמ"ע והש"ך.</w:t>
      </w:r>
    </w:p>
  </w:footnote>
  <w:footnote w:id="3279">
    <w:p w14:paraId="76C29115" w14:textId="77777777" w:rsidR="0013116F" w:rsidRDefault="0013116F" w:rsidP="001D49D4">
      <w:pPr>
        <w:pStyle w:val="a9"/>
        <w:spacing w:after="60"/>
        <w:rPr>
          <w:rFonts w:ascii="Arial" w:hAnsi="Arial"/>
        </w:rPr>
      </w:pPr>
      <w:r>
        <w:rPr>
          <w:rStyle w:val="ab"/>
          <w:rFonts w:ascii="Arial" w:hAnsi="Arial"/>
          <w:color w:val="000000" w:themeColor="text1"/>
        </w:rPr>
        <w:footnoteRef/>
      </w:r>
      <w:r>
        <w:rPr>
          <w:rFonts w:ascii="Arial" w:hAnsi="Arial"/>
          <w:color w:val="000000" w:themeColor="text1"/>
          <w:rtl/>
        </w:rPr>
        <w:t xml:space="preserve"> ואם ירצה נותן לו שברי כסף שוה שני דינרי זהוב, דיד בעל השטר על התחתונה. ולא הוצרך לפרשו אלא בסמוך היכא דכתב כסף בדינרין, דהוה אמינא דכונתו ליתן לו כסף בעד ב' דינרי זהוב, דאל"כ הוה ליה למימר דינרין סתם, קא משמע לן דלא, אלא כונתו ליתן לו שברי כסף שוה שני דינרין של כסף, סמ"ע (סקל"ו).</w:t>
      </w:r>
    </w:p>
  </w:footnote>
  <w:footnote w:id="3280">
    <w:p w14:paraId="2144BE14" w14:textId="77777777" w:rsidR="0013116F" w:rsidRDefault="0013116F" w:rsidP="001D49D4">
      <w:pPr>
        <w:pStyle w:val="a9"/>
        <w:spacing w:after="60"/>
        <w:rPr>
          <w:rFonts w:ascii="Arial" w:hAnsi="Arial"/>
        </w:rPr>
      </w:pPr>
      <w:r>
        <w:rPr>
          <w:rStyle w:val="ab"/>
          <w:rFonts w:ascii="Arial" w:hAnsi="Arial"/>
        </w:rPr>
        <w:footnoteRef/>
      </w:r>
      <w:r>
        <w:rPr>
          <w:rFonts w:ascii="Arial" w:hAnsi="Arial"/>
          <w:rtl/>
        </w:rPr>
        <w:t xml:space="preserve"> במהדורת הסמ"ע והש"ך כ'- "זהב דינרין או דינרין זהב".</w:t>
      </w:r>
    </w:p>
  </w:footnote>
  <w:footnote w:id="3281">
    <w:p w14:paraId="653CCB06" w14:textId="77777777" w:rsidR="0013116F" w:rsidRDefault="0013116F" w:rsidP="001D49D4">
      <w:pPr>
        <w:pStyle w:val="a9"/>
        <w:spacing w:after="60"/>
        <w:rPr>
          <w:rFonts w:ascii="Arial" w:hAnsi="Arial"/>
        </w:rPr>
      </w:pPr>
      <w:r>
        <w:rPr>
          <w:rStyle w:val="ab"/>
          <w:rFonts w:ascii="Arial" w:hAnsi="Arial"/>
        </w:rPr>
        <w:footnoteRef/>
      </w:r>
      <w:r>
        <w:rPr>
          <w:rFonts w:ascii="Arial" w:hAnsi="Arial"/>
          <w:rtl/>
        </w:rPr>
        <w:t xml:space="preserve"> במהדורות אחרות הגה זו מוקפת בסוגריים. ונ"ל שאלו דברי הרמ"א, שהרי העתיק את דברי הה"מ האלו בסתם בדרכמ"א</w:t>
      </w:r>
      <w:r>
        <w:rPr>
          <w:rFonts w:ascii="Arial" w:hAnsi="Arial"/>
          <w:sz w:val="16"/>
          <w:szCs w:val="16"/>
          <w:rtl/>
        </w:rPr>
        <w:t xml:space="preserve"> (י"ח)</w:t>
      </w:r>
      <w:r>
        <w:rPr>
          <w:rFonts w:ascii="Arial" w:hAnsi="Arial"/>
          <w:rtl/>
        </w:rPr>
        <w:t>.</w:t>
      </w:r>
    </w:p>
  </w:footnote>
  <w:footnote w:id="3282">
    <w:p w14:paraId="68458323" w14:textId="77777777" w:rsidR="0013116F" w:rsidRDefault="0013116F" w:rsidP="001D49D4">
      <w:pPr>
        <w:pStyle w:val="a9"/>
        <w:spacing w:after="60"/>
        <w:rPr>
          <w:rFonts w:ascii="Arial" w:hAnsi="Arial"/>
          <w:rtl/>
        </w:rPr>
      </w:pPr>
      <w:r>
        <w:rPr>
          <w:rStyle w:val="ab"/>
          <w:rFonts w:ascii="Arial" w:hAnsi="Arial"/>
        </w:rPr>
        <w:footnoteRef/>
      </w:r>
      <w:r>
        <w:rPr>
          <w:rFonts w:ascii="Arial" w:hAnsi="Arial"/>
          <w:rtl/>
        </w:rPr>
        <w:t xml:space="preserve"> ומפורש סוג המטבע, כגון דינר, אך לא מפורש דינר של איזה מקום- דינר בבלי או ישראלי.</w:t>
      </w:r>
    </w:p>
  </w:footnote>
  <w:footnote w:id="3283">
    <w:p w14:paraId="4DC4CD60" w14:textId="77777777" w:rsidR="0013116F" w:rsidRDefault="0013116F" w:rsidP="001D49D4">
      <w:pPr>
        <w:pStyle w:val="a9"/>
        <w:spacing w:after="60"/>
        <w:rPr>
          <w:rFonts w:ascii="Arial" w:hAnsi="Arial"/>
          <w:rtl/>
        </w:rPr>
      </w:pPr>
      <w:r>
        <w:rPr>
          <w:rStyle w:val="ab"/>
          <w:rFonts w:ascii="Arial" w:hAnsi="Arial"/>
        </w:rPr>
        <w:footnoteRef/>
      </w:r>
      <w:r>
        <w:rPr>
          <w:rFonts w:ascii="Arial" w:hAnsi="Arial"/>
          <w:rtl/>
        </w:rPr>
        <w:t xml:space="preserve"> משום דתלינן דמאותו מקום שנכתב השטר משם היו הדינרים, בעל התרומות.</w:t>
      </w:r>
    </w:p>
  </w:footnote>
  <w:footnote w:id="3284">
    <w:p w14:paraId="1207B8CA" w14:textId="77777777" w:rsidR="0013116F" w:rsidRDefault="0013116F" w:rsidP="001D49D4">
      <w:pPr>
        <w:pStyle w:val="a9"/>
        <w:spacing w:after="60"/>
        <w:rPr>
          <w:rFonts w:ascii="Arial" w:hAnsi="Arial"/>
        </w:rPr>
      </w:pPr>
      <w:r>
        <w:rPr>
          <w:rStyle w:val="ab"/>
          <w:rFonts w:ascii="Arial" w:hAnsi="Arial"/>
        </w:rPr>
        <w:footnoteRef/>
      </w:r>
      <w:r>
        <w:rPr>
          <w:rFonts w:ascii="Arial" w:hAnsi="Arial"/>
          <w:rtl/>
        </w:rPr>
        <w:t xml:space="preserve"> היינו דלא כתוב בו באיזו ארץ נכתב השטר בנוסף לזה שלא כתוב בדינר של איזה מקום מדובר.</w:t>
      </w:r>
    </w:p>
  </w:footnote>
  <w:footnote w:id="3285">
    <w:p w14:paraId="4D48D9D9" w14:textId="77777777" w:rsidR="0013116F" w:rsidRDefault="0013116F" w:rsidP="001D49D4">
      <w:pPr>
        <w:pStyle w:val="a9"/>
        <w:spacing w:after="60"/>
        <w:rPr>
          <w:rFonts w:ascii="Arial" w:hAnsi="Arial"/>
        </w:rPr>
      </w:pPr>
      <w:r>
        <w:rPr>
          <w:rStyle w:val="ab"/>
          <w:rFonts w:ascii="Arial" w:hAnsi="Arial"/>
        </w:rPr>
        <w:footnoteRef/>
      </w:r>
      <w:r>
        <w:rPr>
          <w:rFonts w:ascii="Arial" w:hAnsi="Arial"/>
          <w:rtl/>
        </w:rPr>
        <w:t xml:space="preserve"> דתלינן שבמקום שהוציאו היה דר בשעת הלואה, בעל התרומות.</w:t>
      </w:r>
    </w:p>
  </w:footnote>
  <w:footnote w:id="3286">
    <w:p w14:paraId="7EDA4A12" w14:textId="77777777" w:rsidR="0013116F" w:rsidRDefault="0013116F" w:rsidP="001D49D4">
      <w:pPr>
        <w:pStyle w:val="a9"/>
        <w:spacing w:after="60"/>
        <w:rPr>
          <w:rFonts w:ascii="Arial" w:hAnsi="Arial"/>
        </w:rPr>
      </w:pPr>
      <w:r>
        <w:rPr>
          <w:rStyle w:val="ab"/>
          <w:rFonts w:ascii="Arial" w:hAnsi="Arial"/>
        </w:rPr>
        <w:footnoteRef/>
      </w:r>
      <w:r>
        <w:rPr>
          <w:rFonts w:ascii="Arial" w:hAnsi="Arial"/>
          <w:rtl/>
        </w:rPr>
        <w:t xml:space="preserve"> מאה כסף ולא פירש אם סלעין אם דינרין אם פונדיונין, רש"י.</w:t>
      </w:r>
    </w:p>
  </w:footnote>
  <w:footnote w:id="3287">
    <w:p w14:paraId="1758987E" w14:textId="77777777" w:rsidR="0013116F" w:rsidRDefault="0013116F" w:rsidP="001D49D4">
      <w:pPr>
        <w:pStyle w:val="a9"/>
        <w:spacing w:after="60"/>
        <w:rPr>
          <w:rFonts w:ascii="Arial" w:hAnsi="Arial"/>
        </w:rPr>
      </w:pPr>
      <w:r>
        <w:rPr>
          <w:rStyle w:val="ab"/>
          <w:rFonts w:ascii="Arial" w:hAnsi="Arial"/>
        </w:rPr>
        <w:footnoteRef/>
      </w:r>
      <w:r>
        <w:rPr>
          <w:rFonts w:ascii="Arial" w:hAnsi="Arial"/>
          <w:rtl/>
        </w:rPr>
        <w:t xml:space="preserve"> ואפילו איסרין, רש"י.</w:t>
      </w:r>
    </w:p>
  </w:footnote>
  <w:footnote w:id="3288">
    <w:p w14:paraId="3CDEC84E" w14:textId="77777777" w:rsidR="0013116F" w:rsidRDefault="0013116F" w:rsidP="001D49D4">
      <w:pPr>
        <w:pStyle w:val="a9"/>
        <w:spacing w:after="60"/>
        <w:rPr>
          <w:rFonts w:ascii="Arial" w:hAnsi="Arial"/>
        </w:rPr>
      </w:pPr>
      <w:r>
        <w:rPr>
          <w:rStyle w:val="ab"/>
          <w:rFonts w:ascii="Arial" w:hAnsi="Arial"/>
        </w:rPr>
        <w:footnoteRef/>
      </w:r>
      <w:r>
        <w:rPr>
          <w:rFonts w:ascii="Arial" w:hAnsi="Arial"/>
          <w:rtl/>
        </w:rPr>
        <w:t xml:space="preserve"> למשל- הלווה לוה חמשה סלעים, ולא מפורש סלע של איזה מקום, ולא מפורש גם מקום כתיבת השטר, ומשקל הסלע בארץ שבה מוציא את השטר הוא 19.2 גרם, והלוה טוען שבארץ שבה כתבו את השטר הסלע שקל פחות. </w:t>
      </w:r>
    </w:p>
  </w:footnote>
  <w:footnote w:id="3289">
    <w:p w14:paraId="49B72A75" w14:textId="77777777" w:rsidR="0013116F" w:rsidRDefault="0013116F" w:rsidP="001D49D4">
      <w:pPr>
        <w:pStyle w:val="a9"/>
        <w:spacing w:after="60"/>
        <w:rPr>
          <w:rFonts w:ascii="Arial" w:hAnsi="Arial"/>
          <w:color w:val="00B0F0"/>
          <w:rtl/>
        </w:rPr>
      </w:pPr>
      <w:r>
        <w:rPr>
          <w:rStyle w:val="ab"/>
          <w:rFonts w:ascii="Arial" w:hAnsi="Arial"/>
        </w:rPr>
        <w:footnoteRef/>
      </w:r>
      <w:r>
        <w:rPr>
          <w:rFonts w:ascii="Arial" w:hAnsi="Arial"/>
          <w:rtl/>
        </w:rPr>
        <w:t xml:space="preserve"> וכ' הר"ן (שם)- "לפי זה משמע דהיינו טעמא משום דמסתמא אמרינן דבמקום גוביינא היה דר מעיקרא ולפיכך כל שאינו יכול להתברר אם טען הלוה שאותו כסף היה פחות ישבע המלוה, ולפי זה אם הביא ראיה המלוה או הלוה שהיו דרים בשעת הלואה במקום אחר נוטל כמקום הלואה, ואין כל זה במשמע"</w:t>
      </w:r>
      <w:r>
        <w:rPr>
          <w:rFonts w:ascii="Arial" w:hAnsi="Arial"/>
          <w:sz w:val="14"/>
          <w:szCs w:val="14"/>
          <w:rtl/>
        </w:rPr>
        <w:t>(הכוונה דאין כל דברי הרמב"ם כאן במשמע, ולא רק הנפ"מ שהוציא הר"ן מדבריו, דרכ"מ [ארוך יט])</w:t>
      </w:r>
      <w:r>
        <w:rPr>
          <w:rFonts w:ascii="Arial" w:hAnsi="Arial"/>
          <w:rtl/>
        </w:rPr>
        <w:t xml:space="preserve">. </w:t>
      </w:r>
      <w:r>
        <w:rPr>
          <w:rFonts w:ascii="Arial" w:hAnsi="Arial"/>
          <w:color w:val="00B0F0"/>
          <w:rtl/>
        </w:rPr>
        <w:t>ומ"מ כ' הרמ"א להלכה הבנה זו שהבין הר"ן בדברי הרמב"ם.</w:t>
      </w:r>
    </w:p>
  </w:footnote>
  <w:footnote w:id="3290">
    <w:p w14:paraId="12E4A758" w14:textId="77777777" w:rsidR="0013116F" w:rsidRDefault="0013116F" w:rsidP="001D49D4">
      <w:pPr>
        <w:pStyle w:val="a9"/>
        <w:spacing w:after="60"/>
        <w:rPr>
          <w:rFonts w:ascii="Arial" w:hAnsi="Arial"/>
          <w:rtl/>
        </w:rPr>
      </w:pPr>
      <w:r>
        <w:rPr>
          <w:rStyle w:val="ab"/>
          <w:rFonts w:ascii="Arial" w:hAnsi="Arial"/>
        </w:rPr>
        <w:footnoteRef/>
      </w:r>
      <w:r>
        <w:rPr>
          <w:rFonts w:ascii="Arial" w:hAnsi="Arial"/>
          <w:rtl/>
        </w:rPr>
        <w:t xml:space="preserve">  דבר זה יצא ממש"כ בעל התרומות- "ולא בריר לן" עמש"כ הרמב"ם </w:t>
      </w:r>
      <w:r>
        <w:rPr>
          <w:rFonts w:ascii="Arial" w:hAnsi="Arial"/>
          <w:sz w:val="16"/>
          <w:szCs w:val="16"/>
          <w:rtl/>
        </w:rPr>
        <w:t>(דאם טען הלוה המעות שאני חייב לו מכסף שהוא פחות מזה המטבע ישבע המלוה ויטול)</w:t>
      </w:r>
      <w:r>
        <w:rPr>
          <w:rFonts w:ascii="Arial" w:hAnsi="Arial"/>
          <w:rtl/>
        </w:rPr>
        <w:t>. והב"י כ' על דבריו- "ולא ידעתי למה לא בריר ליה דהא מסתמא דיינינן שנותן לו מטבע אותו מקום וכיון שזה טוען שאינו חייב לו אלא גרוע הוה ליה כמי שטוען פרעתי שנשבע בעל השטר ונוטל</w:t>
      </w:r>
      <w:r>
        <w:rPr>
          <w:rFonts w:ascii="Arial" w:hAnsi="Arial"/>
          <w:sz w:val="14"/>
          <w:szCs w:val="14"/>
          <w:rtl/>
        </w:rPr>
        <w:t xml:space="preserve"> (סי' פב ס"ג)</w:t>
      </w:r>
      <w:r>
        <w:rPr>
          <w:rFonts w:ascii="Arial" w:hAnsi="Arial"/>
          <w:rtl/>
        </w:rPr>
        <w:t>".</w:t>
      </w:r>
    </w:p>
  </w:footnote>
  <w:footnote w:id="3291">
    <w:p w14:paraId="68F49077" w14:textId="77777777" w:rsidR="0013116F" w:rsidRDefault="0013116F" w:rsidP="001D49D4">
      <w:pPr>
        <w:pStyle w:val="a9"/>
        <w:spacing w:after="60"/>
        <w:rPr>
          <w:rFonts w:ascii="Arial" w:hAnsi="Arial"/>
          <w:rtl/>
        </w:rPr>
      </w:pPr>
      <w:r>
        <w:rPr>
          <w:rStyle w:val="ab"/>
          <w:rFonts w:ascii="Arial" w:hAnsi="Arial"/>
        </w:rPr>
        <w:footnoteRef/>
      </w:r>
      <w:r>
        <w:rPr>
          <w:rFonts w:ascii="Arial" w:hAnsi="Arial"/>
          <w:rtl/>
        </w:rPr>
        <w:t xml:space="preserve"> היינו דוקא ממטבע הקטן של אותו מקום שמפורש בשטר או של מקום שמוציא בו השטר לתובעו בו, ולא מטבע הקטן של שאר מקומות </w:t>
      </w:r>
      <w:r>
        <w:rPr>
          <w:rFonts w:ascii="Arial" w:hAnsi="Arial"/>
          <w:sz w:val="16"/>
          <w:szCs w:val="16"/>
          <w:rtl/>
        </w:rPr>
        <w:t xml:space="preserve">(ואף דכבר כתבו המחבר בריש סע' י"ג </w:t>
      </w:r>
      <w:r>
        <w:rPr>
          <w:rFonts w:ascii="Arial" w:hAnsi="Arial"/>
          <w:sz w:val="14"/>
          <w:szCs w:val="14"/>
          <w:rtl/>
        </w:rPr>
        <w:t>[ז"ל- כתב בו מטבע של כסף אם פרוטות יוצאות באותו מקום כו']</w:t>
      </w:r>
      <w:r>
        <w:rPr>
          <w:rFonts w:ascii="Arial" w:hAnsi="Arial"/>
          <w:sz w:val="16"/>
          <w:szCs w:val="16"/>
          <w:rtl/>
        </w:rPr>
        <w:t xml:space="preserve"> שם קאי אמטבע אחד וכאן קמ"ל הדין במאה מטבעות)</w:t>
      </w:r>
      <w:r>
        <w:rPr>
          <w:rFonts w:ascii="Arial" w:hAnsi="Arial"/>
          <w:rtl/>
        </w:rPr>
        <w:t xml:space="preserve">, סמ"ע (סקל"ז). ולפי דברי הסמ"ע האלו נראה דאין הה"מ חולק עמש"כ הרשב"א וסיעתו לקמן </w:t>
      </w:r>
      <w:r>
        <w:rPr>
          <w:rFonts w:ascii="Arial" w:hAnsi="Arial"/>
          <w:sz w:val="16"/>
          <w:szCs w:val="16"/>
          <w:rtl/>
        </w:rPr>
        <w:t>(גבי כ' "מטבע" סתם)</w:t>
      </w:r>
      <w:r>
        <w:rPr>
          <w:rFonts w:ascii="Arial" w:hAnsi="Arial"/>
          <w:rtl/>
        </w:rPr>
        <w:t xml:space="preserve"> .</w:t>
      </w:r>
    </w:p>
  </w:footnote>
  <w:footnote w:id="3292">
    <w:p w14:paraId="09571999" w14:textId="77777777" w:rsidR="0013116F" w:rsidRDefault="0013116F" w:rsidP="001D49D4">
      <w:pPr>
        <w:pStyle w:val="a9"/>
        <w:spacing w:after="60"/>
        <w:rPr>
          <w:rFonts w:ascii="Arial" w:hAnsi="Arial"/>
          <w:rtl/>
        </w:rPr>
      </w:pPr>
      <w:r>
        <w:rPr>
          <w:rStyle w:val="ab"/>
          <w:rFonts w:ascii="Arial" w:hAnsi="Arial"/>
        </w:rPr>
        <w:footnoteRef/>
      </w:r>
      <w:r>
        <w:rPr>
          <w:rFonts w:ascii="Arial" w:hAnsi="Arial"/>
          <w:rtl/>
        </w:rPr>
        <w:t xml:space="preserve"> היינו שנושאין ונותנין בהן במיני מאכל וסחורה ולא משום שמתחלפין בשולחנות, ריטב"א.</w:t>
      </w:r>
    </w:p>
  </w:footnote>
  <w:footnote w:id="3293">
    <w:p w14:paraId="6D7DB96D" w14:textId="77777777" w:rsidR="0013116F" w:rsidRDefault="0013116F" w:rsidP="001D49D4">
      <w:pPr>
        <w:pStyle w:val="a9"/>
        <w:spacing w:after="60"/>
        <w:rPr>
          <w:rFonts w:ascii="Arial" w:hAnsi="Arial"/>
        </w:rPr>
      </w:pPr>
      <w:r>
        <w:rPr>
          <w:rStyle w:val="ab"/>
          <w:rFonts w:ascii="Arial" w:hAnsi="Arial"/>
        </w:rPr>
        <w:footnoteRef/>
      </w:r>
      <w:r>
        <w:rPr>
          <w:rFonts w:ascii="Arial" w:hAnsi="Arial"/>
          <w:rtl/>
        </w:rPr>
        <w:t xml:space="preserve"> היינו שרק מטבע אחד יוצא במו"מ במיני מאכל וסחורה והשאר אינם נחשבים </w:t>
      </w:r>
      <w:r>
        <w:rPr>
          <w:rFonts w:ascii="Arial" w:hAnsi="Arial"/>
          <w:u w:val="single"/>
          <w:rtl/>
        </w:rPr>
        <w:t>כלל</w:t>
      </w:r>
      <w:r>
        <w:rPr>
          <w:rFonts w:ascii="Arial" w:hAnsi="Arial"/>
          <w:rtl/>
        </w:rPr>
        <w:t xml:space="preserve"> במו"מ זה- אז אע"פ שמחלפין מטבעות כאלו בשולחנות אינו מביא לו אלא מזה שיוצא להדיא </w:t>
      </w:r>
      <w:r>
        <w:rPr>
          <w:rFonts w:ascii="Arial" w:hAnsi="Arial"/>
          <w:sz w:val="16"/>
          <w:szCs w:val="16"/>
          <w:rtl/>
        </w:rPr>
        <w:t>(במו"מ במאכל וסחורה)</w:t>
      </w:r>
      <w:r>
        <w:rPr>
          <w:rFonts w:ascii="Arial" w:hAnsi="Arial"/>
          <w:rtl/>
        </w:rPr>
        <w:t xml:space="preserve">, ע"פ ריטב"א ונמוק"י. </w:t>
      </w:r>
      <w:r>
        <w:rPr>
          <w:rFonts w:ascii="Arial" w:hAnsi="Arial"/>
          <w:sz w:val="16"/>
          <w:szCs w:val="16"/>
          <w:rtl/>
        </w:rPr>
        <w:t xml:space="preserve">(ומה שכתבתי- "והשאר אינם נחשבים </w:t>
      </w:r>
      <w:r>
        <w:rPr>
          <w:rFonts w:ascii="Arial" w:hAnsi="Arial"/>
          <w:sz w:val="16"/>
          <w:szCs w:val="16"/>
          <w:u w:val="single"/>
          <w:rtl/>
        </w:rPr>
        <w:t>כלל</w:t>
      </w:r>
      <w:r>
        <w:rPr>
          <w:rFonts w:ascii="Arial" w:hAnsi="Arial"/>
          <w:sz w:val="16"/>
          <w:szCs w:val="16"/>
          <w:rtl/>
        </w:rPr>
        <w:t>"- דדוקא "כלל", הא אם יוצאים מטבעות אחרים שפחותים בערכם גובין בהן אע"פ שהם בקושי נמצאים במו"מ זה, דבר זה כ' הנמוק"י על מש"כ הרשב"א, וכ' שהרא"ה והריטב"א מסכימים לזה).</w:t>
      </w:r>
      <w:r>
        <w:rPr>
          <w:rFonts w:ascii="Arial" w:hAnsi="Arial"/>
          <w:rtl/>
        </w:rPr>
        <w:t xml:space="preserve"> </w:t>
      </w:r>
    </w:p>
  </w:footnote>
  <w:footnote w:id="3294">
    <w:p w14:paraId="0B3F894E" w14:textId="77777777" w:rsidR="0013116F" w:rsidRDefault="0013116F" w:rsidP="001D49D4">
      <w:pPr>
        <w:pStyle w:val="a9"/>
        <w:spacing w:after="60"/>
        <w:rPr>
          <w:rFonts w:ascii="Arial" w:hAnsi="Arial"/>
          <w:rtl/>
        </w:rPr>
      </w:pPr>
      <w:r>
        <w:rPr>
          <w:rStyle w:val="ab"/>
          <w:rFonts w:ascii="Arial" w:hAnsi="Arial"/>
        </w:rPr>
        <w:footnoteRef/>
      </w:r>
      <w:r>
        <w:rPr>
          <w:rFonts w:ascii="Arial" w:hAnsi="Arial"/>
          <w:rtl/>
        </w:rPr>
        <w:t xml:space="preserve"> הסמ"ע </w:t>
      </w:r>
      <w:r>
        <w:rPr>
          <w:rFonts w:ascii="Arial" w:hAnsi="Arial"/>
          <w:sz w:val="14"/>
          <w:szCs w:val="14"/>
          <w:rtl/>
        </w:rPr>
        <w:t xml:space="preserve">(סקל"ז) </w:t>
      </w:r>
      <w:r>
        <w:rPr>
          <w:rFonts w:ascii="Arial" w:hAnsi="Arial"/>
          <w:rtl/>
        </w:rPr>
        <w:t>הבין שהרמ"א מפרש אחרת את דברי הגמ', והבנתו כך- דאף שכתב בשטר שחייב לו מאה סלעים, מ"מ לא איתפרש בהשטר באיזה מטבע ישלם לו הסלעים, אם במטבע החריפים בהוצאה או לא</w:t>
      </w:r>
      <w:r>
        <w:rPr>
          <w:rFonts w:ascii="Arial" w:hAnsi="Arial"/>
          <w:sz w:val="16"/>
          <w:szCs w:val="16"/>
          <w:rtl/>
        </w:rPr>
        <w:t xml:space="preserve"> (לדוגמא- מחזיר לו 1000 ש"ח בעשרות אגורות)</w:t>
      </w:r>
      <w:r>
        <w:rPr>
          <w:rFonts w:ascii="Arial" w:hAnsi="Arial"/>
          <w:rtl/>
        </w:rPr>
        <w:t xml:space="preserve">, וקאמר דבבבל מגבהו המאה סלעים ממטבע שרגילין לישא וליתן בהן בבבל כו', ע"כ. והסמ"ע דחה פירוש זה וכ' שהכונה שלא כ' בשטר מטבע של איזה מקום, כמו שפירשתי למעלה </w:t>
      </w:r>
      <w:r>
        <w:rPr>
          <w:rFonts w:ascii="Arial" w:hAnsi="Arial"/>
          <w:sz w:val="16"/>
          <w:szCs w:val="16"/>
          <w:rtl/>
        </w:rPr>
        <w:t>(לדוגמא- סלע של בבל או סלע של א"י)</w:t>
      </w:r>
      <w:r>
        <w:rPr>
          <w:rFonts w:ascii="Arial" w:hAnsi="Arial"/>
          <w:rtl/>
        </w:rPr>
        <w:t xml:space="preserve">, וכ"כ ש"ך </w:t>
      </w:r>
      <w:r>
        <w:rPr>
          <w:rFonts w:ascii="Arial" w:hAnsi="Arial"/>
          <w:sz w:val="14"/>
          <w:szCs w:val="14"/>
          <w:rtl/>
        </w:rPr>
        <w:t xml:space="preserve">(סקל"ב) </w:t>
      </w:r>
      <w:r>
        <w:rPr>
          <w:rFonts w:ascii="Arial" w:hAnsi="Arial"/>
          <w:rtl/>
        </w:rPr>
        <w:t xml:space="preserve">גר"א </w:t>
      </w:r>
      <w:r>
        <w:rPr>
          <w:rFonts w:ascii="Arial" w:hAnsi="Arial"/>
          <w:sz w:val="14"/>
          <w:szCs w:val="14"/>
          <w:rtl/>
        </w:rPr>
        <w:t xml:space="preserve">(סקל"ו) </w:t>
      </w:r>
      <w:r>
        <w:rPr>
          <w:rFonts w:ascii="Arial" w:hAnsi="Arial"/>
          <w:rtl/>
        </w:rPr>
        <w:t xml:space="preserve">ובאה"ג. </w:t>
      </w:r>
    </w:p>
  </w:footnote>
  <w:footnote w:id="3295">
    <w:p w14:paraId="1F832ECF" w14:textId="77777777" w:rsidR="0013116F" w:rsidRDefault="0013116F" w:rsidP="001D49D4">
      <w:pPr>
        <w:pStyle w:val="a9"/>
        <w:spacing w:after="60"/>
        <w:rPr>
          <w:rFonts w:ascii="Arial" w:hAnsi="Arial"/>
          <w:rtl/>
        </w:rPr>
      </w:pPr>
      <w:r>
        <w:rPr>
          <w:rStyle w:val="ab"/>
          <w:rFonts w:ascii="Arial" w:hAnsi="Arial"/>
        </w:rPr>
        <w:footnoteRef/>
      </w:r>
      <w:r>
        <w:rPr>
          <w:rFonts w:ascii="Arial" w:hAnsi="Arial"/>
          <w:rtl/>
        </w:rPr>
        <w:t xml:space="preserve"> והיינו שטען השבע לי, דלא עדיף מטענת פרעתי </w:t>
      </w:r>
      <w:r>
        <w:rPr>
          <w:rFonts w:ascii="Arial" w:hAnsi="Arial"/>
          <w:sz w:val="14"/>
          <w:szCs w:val="14"/>
          <w:rtl/>
        </w:rPr>
        <w:t>(וכ"כ הש"ך סקל"ג)</w:t>
      </w:r>
      <w:r>
        <w:rPr>
          <w:rFonts w:ascii="Arial" w:hAnsi="Arial"/>
          <w:rtl/>
        </w:rPr>
        <w:t xml:space="preserve">, וכן כשהמלוה טוען ללוה מטבע כבדה הלויתיך ממה שאתה פורע לי כפי מקום התביעה, נשבע הלוה היסת. משא"כ כשנזכר בשטר מקום ההלואה, הוי כודאי שהלוה מאותו מטבע, ואין הלוה יכול להשביע למלוה, כמו בטענת אמנה, וכן אפילו באו עדים ואמרו דהיה ממטבע קלה הוי כתרי ותרי, נתיבות </w:t>
      </w:r>
      <w:r>
        <w:rPr>
          <w:rFonts w:ascii="Arial" w:hAnsi="Arial"/>
          <w:sz w:val="14"/>
          <w:szCs w:val="14"/>
          <w:rtl/>
        </w:rPr>
        <w:t>(סק"ל, ע"פ אורים סקמ"ב)</w:t>
      </w:r>
      <w:r>
        <w:rPr>
          <w:rFonts w:ascii="Arial" w:hAnsi="Arial"/>
          <w:rtl/>
        </w:rPr>
        <w:t>.</w:t>
      </w:r>
    </w:p>
  </w:footnote>
  <w:footnote w:id="3296">
    <w:p w14:paraId="06A77AE4" w14:textId="77777777" w:rsidR="0013116F" w:rsidRDefault="0013116F" w:rsidP="001D49D4">
      <w:pPr>
        <w:pStyle w:val="a9"/>
        <w:spacing w:after="60"/>
        <w:rPr>
          <w:rFonts w:ascii="Arial" w:hAnsi="Arial"/>
        </w:rPr>
      </w:pPr>
      <w:r>
        <w:rPr>
          <w:rStyle w:val="ab"/>
          <w:rFonts w:ascii="Arial" w:hAnsi="Arial"/>
        </w:rPr>
        <w:footnoteRef/>
      </w:r>
      <w:r>
        <w:rPr>
          <w:rFonts w:ascii="Arial" w:hAnsi="Arial"/>
          <w:rtl/>
        </w:rPr>
        <w:t xml:space="preserve"> אך הר"ן עצמו חולק.</w:t>
      </w:r>
    </w:p>
  </w:footnote>
  <w:footnote w:id="3297">
    <w:p w14:paraId="62223F70" w14:textId="77777777" w:rsidR="0013116F" w:rsidRDefault="0013116F" w:rsidP="001D49D4">
      <w:pPr>
        <w:spacing w:after="60" w:line="240" w:lineRule="auto"/>
        <w:rPr>
          <w:rFonts w:ascii="Arial" w:hAnsi="Arial"/>
          <w:sz w:val="20"/>
          <w:szCs w:val="20"/>
        </w:rPr>
      </w:pPr>
      <w:r>
        <w:rPr>
          <w:rStyle w:val="ab"/>
          <w:rFonts w:ascii="Arial" w:hAnsi="Arial"/>
        </w:rPr>
        <w:footnoteRef/>
      </w:r>
      <w:r>
        <w:rPr>
          <w:rFonts w:ascii="Arial" w:hAnsi="Arial"/>
          <w:sz w:val="20"/>
          <w:szCs w:val="20"/>
          <w:rtl/>
        </w:rPr>
        <w:t xml:space="preserve"> סומכין אותן בדינרין </w:t>
      </w:r>
      <w:r>
        <w:rPr>
          <w:rFonts w:ascii="Arial" w:hAnsi="Arial"/>
          <w:sz w:val="14"/>
          <w:szCs w:val="14"/>
          <w:rtl/>
        </w:rPr>
        <w:t>{ז"א מסכמים סכום כולל}</w:t>
      </w:r>
      <w:r>
        <w:rPr>
          <w:rFonts w:ascii="Arial" w:hAnsi="Arial"/>
          <w:sz w:val="20"/>
          <w:szCs w:val="20"/>
          <w:rtl/>
        </w:rPr>
        <w:t>, במקום קצ"ב פרוטות כותבין דינר, רשב"ם.</w:t>
      </w:r>
    </w:p>
  </w:footnote>
  <w:footnote w:id="3298">
    <w:p w14:paraId="56E897E2" w14:textId="77777777" w:rsidR="0013116F" w:rsidRDefault="0013116F" w:rsidP="001D49D4">
      <w:pPr>
        <w:pStyle w:val="a9"/>
        <w:spacing w:after="60"/>
        <w:rPr>
          <w:rFonts w:ascii="Arial" w:hAnsi="Arial"/>
          <w:rtl/>
        </w:rPr>
      </w:pPr>
      <w:r>
        <w:rPr>
          <w:rStyle w:val="ab"/>
          <w:rFonts w:ascii="Arial" w:hAnsi="Arial"/>
        </w:rPr>
        <w:footnoteRef/>
      </w:r>
      <w:r>
        <w:rPr>
          <w:rFonts w:ascii="Arial" w:hAnsi="Arial"/>
          <w:rtl/>
        </w:rPr>
        <w:t xml:space="preserve"> רי"ף</w:t>
      </w:r>
      <w:r>
        <w:rPr>
          <w:rFonts w:ascii="Arial" w:hAnsi="Arial"/>
          <w:sz w:val="16"/>
          <w:szCs w:val="16"/>
          <w:rtl/>
        </w:rPr>
        <w:t xml:space="preserve"> </w:t>
      </w:r>
      <w:r>
        <w:rPr>
          <w:rFonts w:ascii="Arial" w:hAnsi="Arial"/>
          <w:sz w:val="14"/>
          <w:szCs w:val="14"/>
          <w:rtl/>
        </w:rPr>
        <w:t>(ב"מ נט:, ועיין בהגוה"ע אות קז)</w:t>
      </w:r>
      <w:r>
        <w:rPr>
          <w:rFonts w:ascii="Arial" w:hAnsi="Arial"/>
          <w:rtl/>
        </w:rPr>
        <w:t xml:space="preserve"> תוס' </w:t>
      </w:r>
      <w:r>
        <w:rPr>
          <w:rFonts w:ascii="Arial" w:hAnsi="Arial"/>
          <w:sz w:val="14"/>
          <w:szCs w:val="14"/>
          <w:rtl/>
        </w:rPr>
        <w:t>(ב"מ קג. ד"ה פרדיסי)</w:t>
      </w:r>
      <w:r>
        <w:rPr>
          <w:rFonts w:ascii="Arial" w:hAnsi="Arial"/>
          <w:sz w:val="16"/>
          <w:szCs w:val="16"/>
          <w:rtl/>
        </w:rPr>
        <w:t xml:space="preserve"> </w:t>
      </w:r>
      <w:r>
        <w:rPr>
          <w:rFonts w:ascii="Arial" w:hAnsi="Arial"/>
          <w:rtl/>
        </w:rPr>
        <w:t>ורא"ש</w:t>
      </w:r>
      <w:r>
        <w:rPr>
          <w:rFonts w:ascii="Arial" w:hAnsi="Arial"/>
          <w:sz w:val="14"/>
          <w:szCs w:val="14"/>
          <w:rtl/>
        </w:rPr>
        <w:t xml:space="preserve"> (ב"מ פ"ח סי' ל)</w:t>
      </w:r>
      <w:r>
        <w:rPr>
          <w:rFonts w:ascii="Arial" w:hAnsi="Arial"/>
          <w:sz w:val="16"/>
          <w:szCs w:val="16"/>
          <w:rtl/>
        </w:rPr>
        <w:t xml:space="preserve"> (הביאם רי"ו)</w:t>
      </w:r>
      <w:r>
        <w:rPr>
          <w:rFonts w:ascii="Arial" w:hAnsi="Arial"/>
          <w:rtl/>
        </w:rPr>
        <w:t xml:space="preserve"> ורי"ו </w:t>
      </w:r>
      <w:r>
        <w:rPr>
          <w:rFonts w:ascii="Arial" w:hAnsi="Arial"/>
          <w:sz w:val="16"/>
          <w:szCs w:val="16"/>
          <w:rtl/>
        </w:rPr>
        <w:t>(נ"ו ח"ה כד:)</w:t>
      </w:r>
      <w:r>
        <w:rPr>
          <w:rFonts w:ascii="Arial" w:hAnsi="Arial"/>
          <w:rtl/>
        </w:rPr>
        <w:t>.</w:t>
      </w:r>
    </w:p>
  </w:footnote>
  <w:footnote w:id="3299">
    <w:p w14:paraId="34179E08" w14:textId="77777777" w:rsidR="0013116F" w:rsidRDefault="0013116F" w:rsidP="001D49D4">
      <w:pPr>
        <w:pStyle w:val="a9"/>
        <w:spacing w:after="60"/>
        <w:rPr>
          <w:rFonts w:ascii="Arial" w:hAnsi="Arial"/>
        </w:rPr>
      </w:pPr>
      <w:r>
        <w:rPr>
          <w:rStyle w:val="ab"/>
          <w:rFonts w:ascii="Arial" w:hAnsi="Arial"/>
        </w:rPr>
        <w:footnoteRef/>
      </w:r>
      <w:r>
        <w:rPr>
          <w:rFonts w:ascii="Arial" w:hAnsi="Arial"/>
          <w:rtl/>
        </w:rPr>
        <w:t xml:space="preserve"> ז"א שגם בקרקע מהני תפיסה אי עבידא לאגלויי, וכן מוכח בגמ' </w:t>
      </w:r>
      <w:r>
        <w:rPr>
          <w:rFonts w:ascii="Arial" w:hAnsi="Arial"/>
          <w:sz w:val="16"/>
          <w:szCs w:val="16"/>
          <w:rtl/>
        </w:rPr>
        <w:t>(קי ע"א- "ההוא שטרא דהוה כתיב ביה שנין סתמא, מלוה אמר: שלש, לוה אמר: שתים. קדים מלוה ואכלינהו לפירי. מי נאמן?... רב כהנא אמר: פירות בחזקת אוכליהן קיימי. והלכתא כוותיה דרב כהנא... והא קיי"ל דהלכתא כוותיה דרב נחמן דאמר קרקע בחזקת בעליה עומדת! התם מילתא דלא עבידא לאיגלויי היא, הכא מילתא דעבידא לאיגלויי היא, ואטרוחי בי דינא תרי זמני לא מטרחינן")</w:t>
      </w:r>
      <w:r>
        <w:rPr>
          <w:rFonts w:ascii="Arial" w:hAnsi="Arial"/>
          <w:rtl/>
        </w:rPr>
        <w:t xml:space="preserve">, ועיין בתוס' </w:t>
      </w:r>
      <w:r>
        <w:rPr>
          <w:rFonts w:ascii="Arial" w:hAnsi="Arial"/>
          <w:sz w:val="16"/>
          <w:szCs w:val="16"/>
          <w:rtl/>
        </w:rPr>
        <w:t xml:space="preserve">(ב"מ קג. ד"ה פרדיסי) </w:t>
      </w:r>
      <w:r>
        <w:rPr>
          <w:rFonts w:ascii="Arial" w:hAnsi="Arial"/>
          <w:rtl/>
        </w:rPr>
        <w:t xml:space="preserve">וברא"ש </w:t>
      </w:r>
      <w:r>
        <w:rPr>
          <w:rFonts w:ascii="Arial" w:hAnsi="Arial"/>
          <w:sz w:val="16"/>
          <w:szCs w:val="16"/>
          <w:rtl/>
        </w:rPr>
        <w:t>(ב"מ פ"ח סי' ל)</w:t>
      </w:r>
      <w:r>
        <w:rPr>
          <w:rFonts w:ascii="Arial" w:hAnsi="Arial"/>
          <w:rtl/>
        </w:rPr>
        <w:t xml:space="preserve">. </w:t>
      </w:r>
    </w:p>
  </w:footnote>
  <w:footnote w:id="3300">
    <w:p w14:paraId="09166616" w14:textId="77777777" w:rsidR="0013116F" w:rsidRDefault="0013116F" w:rsidP="001D49D4">
      <w:pPr>
        <w:pStyle w:val="a9"/>
        <w:spacing w:after="60"/>
        <w:rPr>
          <w:rFonts w:ascii="Arial" w:hAnsi="Arial"/>
        </w:rPr>
      </w:pPr>
      <w:r>
        <w:rPr>
          <w:rStyle w:val="ab"/>
          <w:rFonts w:ascii="Arial" w:hAnsi="Arial"/>
        </w:rPr>
        <w:footnoteRef/>
      </w:r>
      <w:r>
        <w:rPr>
          <w:rFonts w:ascii="Arial" w:hAnsi="Arial"/>
          <w:rtl/>
        </w:rPr>
        <w:t xml:space="preserve"> שהרגילו הדיוטות לכתוב שלא כתקנת חכמים, היה דורש הלשון לפסוק הדין אחריו, רש"י.</w:t>
      </w:r>
    </w:p>
  </w:footnote>
  <w:footnote w:id="3301">
    <w:p w14:paraId="3B5710EA" w14:textId="77777777" w:rsidR="0013116F" w:rsidRDefault="0013116F" w:rsidP="001D49D4">
      <w:pPr>
        <w:pStyle w:val="a9"/>
        <w:spacing w:after="60"/>
        <w:rPr>
          <w:rFonts w:ascii="Arial" w:hAnsi="Arial"/>
        </w:rPr>
      </w:pPr>
      <w:r>
        <w:rPr>
          <w:rStyle w:val="ab"/>
          <w:rFonts w:ascii="Arial" w:hAnsi="Arial"/>
        </w:rPr>
        <w:footnoteRef/>
      </w:r>
      <w:r>
        <w:rPr>
          <w:rFonts w:ascii="Arial" w:hAnsi="Arial"/>
          <w:rtl/>
        </w:rPr>
        <w:t xml:space="preserve"> שכותבין להן ביום אירוסין, רש"י.</w:t>
      </w:r>
    </w:p>
  </w:footnote>
  <w:footnote w:id="3302">
    <w:p w14:paraId="1630C052" w14:textId="77777777" w:rsidR="0013116F" w:rsidRDefault="0013116F" w:rsidP="001D49D4">
      <w:pPr>
        <w:pStyle w:val="a9"/>
        <w:spacing w:after="60"/>
        <w:rPr>
          <w:rFonts w:ascii="Arial" w:hAnsi="Arial"/>
        </w:rPr>
      </w:pPr>
      <w:r>
        <w:rPr>
          <w:rStyle w:val="ab"/>
          <w:rFonts w:ascii="Arial" w:hAnsi="Arial"/>
        </w:rPr>
        <w:footnoteRef/>
      </w:r>
      <w:r>
        <w:rPr>
          <w:rFonts w:ascii="Arial" w:hAnsi="Arial"/>
          <w:rtl/>
        </w:rPr>
        <w:t xml:space="preserve"> וקדושיהן על מנת כן, ולא חלו קדושין בה עד שתיכנס לחופה, והרי חטפה קודם לכך, רש"י.</w:t>
      </w:r>
    </w:p>
  </w:footnote>
  <w:footnote w:id="3303">
    <w:p w14:paraId="674EBF10" w14:textId="77777777" w:rsidR="0013116F" w:rsidRDefault="0013116F" w:rsidP="001D49D4">
      <w:pPr>
        <w:pStyle w:val="a9"/>
        <w:spacing w:after="60"/>
        <w:rPr>
          <w:rFonts w:ascii="Arial" w:hAnsi="Arial"/>
        </w:rPr>
      </w:pPr>
      <w:r>
        <w:rPr>
          <w:rStyle w:val="ab"/>
          <w:rFonts w:ascii="Arial" w:hAnsi="Arial"/>
        </w:rPr>
        <w:footnoteRef/>
      </w:r>
      <w:r>
        <w:rPr>
          <w:rFonts w:ascii="Arial" w:hAnsi="Arial"/>
          <w:rtl/>
        </w:rPr>
        <w:t xml:space="preserve"> ואע"פ דקשה מלשונו בהל' אישות </w:t>
      </w:r>
      <w:r>
        <w:rPr>
          <w:rFonts w:ascii="Arial" w:hAnsi="Arial"/>
          <w:sz w:val="16"/>
          <w:szCs w:val="16"/>
          <w:rtl/>
        </w:rPr>
        <w:t xml:space="preserve">(פט"ו ה"ז-ט) </w:t>
      </w:r>
      <w:r>
        <w:rPr>
          <w:rFonts w:ascii="Arial" w:hAnsi="Arial"/>
          <w:rtl/>
        </w:rPr>
        <w:t>שכ'- "תקנו הגאונים שתהא האשה גובה כתובתה אחרי מות בעלה אף מן המטלטלין... הרי שלא כתב כך אלא נשא סתם אם היה יודע בתקנה זו של גאונים גובה ואם לאו או שנסתפק לנו הדבר מתיישבין בדבר הרבה...", דמשמע מדבריו שחולק על דין זה, דהא התם כיון שנהגו לכתוב שתגבה ממטלטלי נימא אע"פ שלא נכתב כמי שנכתב דמי. והביא הב"י כמה תירוצים אך הקשה עליהם</w:t>
      </w:r>
      <w:r>
        <w:rPr>
          <w:rFonts w:ascii="Arial" w:hAnsi="Arial"/>
          <w:sz w:val="16"/>
          <w:szCs w:val="16"/>
          <w:rtl/>
        </w:rPr>
        <w:t xml:space="preserve"> (עי' בב"י)</w:t>
      </w:r>
      <w:r>
        <w:rPr>
          <w:rFonts w:ascii="Arial" w:hAnsi="Arial"/>
          <w:rtl/>
        </w:rPr>
        <w:t>, וסיים- "ולי נראה... דכי קאמר הרמב"ם הרי שלא כתב וכו'- במקומות שלא נהגו לכתוב מטלטלי הוא, דהיינו מקומות שלא שמענו שמעם, דאילו במקום שנהגו אע"פ שלא נכתב כמי שנכתב דמי. א"נ במקום שאין אותה תקנה פשוטה בכל המדינה כתב כן הרמב"ם, שאילו היתה פשוטה בכל המדינה ודאי סבר דאע"פ שלא נכתבה ככתובה דמיא".</w:t>
      </w:r>
      <w:r>
        <w:rPr>
          <w:rFonts w:ascii="Arial" w:hAnsi="Arial"/>
          <w:sz w:val="16"/>
          <w:szCs w:val="16"/>
          <w:rtl/>
        </w:rPr>
        <w:t xml:space="preserve"> (והוסיף דכך מבואר בדבריו בהל' אישות (פכ"ג הי"א-ב), שכ'- "מנהגות רבות יש בנדוניא יש מקומות שנהגו שיכתבו בכתובות יתר על דמיה בשליש או בחומש וכו' הנושא סתם ונוהג כמנהג המדינה וכן היא שפסקה להכניס וכו' מגבין לה מה שבכתובתה הכל כמנהג המדינה ובכל הדברים האלו וכיוצא בהם מנהג המדינה עיקר גדול הוא ועל פיו דנין והוא שיהא אותו מנהג פשוט בכל המדינה", עכ"ל הרמב"ם)</w:t>
      </w:r>
    </w:p>
  </w:footnote>
  <w:footnote w:id="3304">
    <w:p w14:paraId="5304A845" w14:textId="77777777" w:rsidR="0013116F" w:rsidRDefault="0013116F" w:rsidP="001D49D4">
      <w:pPr>
        <w:pStyle w:val="a9"/>
        <w:spacing w:after="60"/>
        <w:rPr>
          <w:rFonts w:ascii="Arial" w:hAnsi="Arial"/>
        </w:rPr>
      </w:pPr>
      <w:r>
        <w:rPr>
          <w:rStyle w:val="ab"/>
          <w:rFonts w:ascii="Arial" w:hAnsi="Arial"/>
        </w:rPr>
        <w:footnoteRef/>
      </w:r>
      <w:r>
        <w:rPr>
          <w:rFonts w:ascii="Arial" w:hAnsi="Arial"/>
          <w:rtl/>
        </w:rPr>
        <w:t xml:space="preserve"> רבינו האי ר"ח</w:t>
      </w:r>
      <w:r>
        <w:rPr>
          <w:rFonts w:ascii="Arial" w:hAnsi="Arial"/>
          <w:sz w:val="16"/>
          <w:szCs w:val="16"/>
          <w:rtl/>
        </w:rPr>
        <w:t xml:space="preserve"> (הביאם הנמוק"י [סא:])</w:t>
      </w:r>
      <w:r>
        <w:rPr>
          <w:rFonts w:ascii="Arial" w:hAnsi="Arial"/>
          <w:rtl/>
        </w:rPr>
        <w:t xml:space="preserve"> (רש"י</w:t>
      </w:r>
      <w:r>
        <w:rPr>
          <w:rFonts w:ascii="Arial" w:hAnsi="Arial"/>
          <w:sz w:val="14"/>
          <w:szCs w:val="14"/>
          <w:rtl/>
        </w:rPr>
        <w:t xml:space="preserve"> [ד"ה דור לשון הדיוט]</w:t>
      </w:r>
      <w:r>
        <w:rPr>
          <w:rFonts w:ascii="Arial" w:hAnsi="Arial"/>
          <w:rtl/>
        </w:rPr>
        <w:t xml:space="preserve"> רמב"ם</w:t>
      </w:r>
      <w:r>
        <w:rPr>
          <w:rFonts w:ascii="Arial" w:hAnsi="Arial"/>
          <w:sz w:val="16"/>
          <w:szCs w:val="16"/>
          <w:rtl/>
        </w:rPr>
        <w:t xml:space="preserve"> להב' הב"י</w:t>
      </w:r>
      <w:r>
        <w:rPr>
          <w:rFonts w:ascii="Arial" w:hAnsi="Arial"/>
          <w:rtl/>
        </w:rPr>
        <w:t xml:space="preserve">) תוס' </w:t>
      </w:r>
      <w:r>
        <w:rPr>
          <w:rFonts w:ascii="Arial" w:hAnsi="Arial"/>
          <w:sz w:val="16"/>
          <w:szCs w:val="16"/>
          <w:rtl/>
        </w:rPr>
        <w:t xml:space="preserve">(ד"ה היה) </w:t>
      </w:r>
      <w:r>
        <w:rPr>
          <w:rFonts w:ascii="Arial" w:hAnsi="Arial"/>
          <w:rtl/>
        </w:rPr>
        <w:t xml:space="preserve">רשב"א רא"ש </w:t>
      </w:r>
      <w:r>
        <w:rPr>
          <w:rFonts w:ascii="Arial" w:hAnsi="Arial"/>
          <w:sz w:val="16"/>
          <w:szCs w:val="16"/>
          <w:rtl/>
        </w:rPr>
        <w:t>(סי' ד)</w:t>
      </w:r>
      <w:r>
        <w:rPr>
          <w:rFonts w:ascii="Arial" w:hAnsi="Arial"/>
          <w:rtl/>
        </w:rPr>
        <w:t xml:space="preserve"> ור"ן</w:t>
      </w:r>
      <w:r>
        <w:rPr>
          <w:rFonts w:ascii="Arial" w:hAnsi="Arial"/>
          <w:sz w:val="16"/>
          <w:szCs w:val="16"/>
          <w:rtl/>
        </w:rPr>
        <w:t xml:space="preserve"> (הביאו הנמוק"י)</w:t>
      </w:r>
      <w:r>
        <w:rPr>
          <w:rFonts w:ascii="Arial" w:hAnsi="Arial"/>
          <w:rtl/>
        </w:rPr>
        <w:t>.</w:t>
      </w:r>
    </w:p>
  </w:footnote>
  <w:footnote w:id="3305">
    <w:p w14:paraId="74B848A3" w14:textId="77777777" w:rsidR="0013116F" w:rsidRDefault="0013116F" w:rsidP="001D49D4">
      <w:pPr>
        <w:pStyle w:val="a9"/>
        <w:spacing w:after="60"/>
        <w:rPr>
          <w:rFonts w:ascii="Arial" w:hAnsi="Arial"/>
          <w:rtl/>
        </w:rPr>
      </w:pPr>
      <w:r>
        <w:rPr>
          <w:rStyle w:val="ab"/>
          <w:rFonts w:ascii="Arial" w:hAnsi="Arial"/>
        </w:rPr>
        <w:footnoteRef/>
      </w:r>
      <w:r>
        <w:rPr>
          <w:rFonts w:ascii="Arial" w:hAnsi="Arial"/>
          <w:rtl/>
        </w:rPr>
        <w:t xml:space="preserve"> דאי דוקא בשנכתב מה היה דורש, פשיטא שיש לו לקיים מה שהתנה דהא לאו אסמכתא היא, תוס' ורא"ש.</w:t>
      </w:r>
    </w:p>
  </w:footnote>
  <w:footnote w:id="3306">
    <w:p w14:paraId="5CC792CB" w14:textId="77777777" w:rsidR="0013116F" w:rsidRDefault="0013116F" w:rsidP="001D49D4">
      <w:pPr>
        <w:pStyle w:val="a9"/>
        <w:spacing w:after="60"/>
        <w:rPr>
          <w:rFonts w:ascii="Arial" w:hAnsi="Arial"/>
          <w:rtl/>
        </w:rPr>
      </w:pPr>
      <w:r>
        <w:rPr>
          <w:rStyle w:val="ab"/>
          <w:rFonts w:ascii="Arial" w:hAnsi="Arial"/>
        </w:rPr>
        <w:footnoteRef/>
      </w:r>
      <w:r>
        <w:rPr>
          <w:rFonts w:ascii="Arial" w:hAnsi="Arial"/>
          <w:rtl/>
        </w:rPr>
        <w:t xml:space="preserve"> </w:t>
      </w:r>
      <w:r>
        <w:rPr>
          <w:rFonts w:ascii="Arial" w:hAnsi="Arial" w:hint="cs"/>
          <w:rtl/>
        </w:rPr>
        <w:t>תלמידי הרשב"א</w:t>
      </w:r>
      <w:r>
        <w:rPr>
          <w:rFonts w:ascii="Arial" w:hAnsi="Arial"/>
          <w:sz w:val="16"/>
          <w:szCs w:val="16"/>
          <w:rtl/>
        </w:rPr>
        <w:t xml:space="preserve"> (הביאם הב"י)</w:t>
      </w:r>
      <w:r>
        <w:rPr>
          <w:rFonts w:ascii="Arial" w:hAnsi="Arial"/>
          <w:rtl/>
        </w:rPr>
        <w:t xml:space="preserve"> ר"ן </w:t>
      </w:r>
      <w:r>
        <w:rPr>
          <w:rFonts w:ascii="Arial" w:hAnsi="Arial"/>
          <w:sz w:val="16"/>
          <w:szCs w:val="16"/>
          <w:rtl/>
        </w:rPr>
        <w:t>(ד"ה ולפי זה, הביאו הנמוק"י [סא:])</w:t>
      </w:r>
      <w:r>
        <w:rPr>
          <w:rFonts w:ascii="Arial" w:hAnsi="Arial"/>
          <w:rtl/>
        </w:rPr>
        <w:t xml:space="preserve"> ונמוק"י.</w:t>
      </w:r>
    </w:p>
  </w:footnote>
  <w:footnote w:id="3307">
    <w:p w14:paraId="6F576011" w14:textId="77777777" w:rsidR="0013116F" w:rsidRDefault="0013116F" w:rsidP="001D49D4">
      <w:pPr>
        <w:pStyle w:val="a9"/>
        <w:spacing w:after="60"/>
        <w:rPr>
          <w:rFonts w:ascii="Arial" w:hAnsi="Arial"/>
        </w:rPr>
      </w:pPr>
      <w:r>
        <w:rPr>
          <w:rStyle w:val="ab"/>
          <w:rFonts w:ascii="Arial" w:hAnsi="Arial"/>
        </w:rPr>
        <w:footnoteRef/>
      </w:r>
      <w:r>
        <w:rPr>
          <w:rFonts w:ascii="Arial" w:hAnsi="Arial"/>
          <w:rtl/>
        </w:rPr>
        <w:t xml:space="preserve"> איסתרא הוא סלע מדינה שהוא שמינית שבסלע צורי, דהיינו חצי זוז צורי דהוא דינר, וזהו שמסיק וכתב שיתן לו איסתרא שהוא הפחות, סמ"ע (סקל"ט).</w:t>
      </w:r>
    </w:p>
  </w:footnote>
  <w:footnote w:id="3308">
    <w:p w14:paraId="060D62B7" w14:textId="77777777" w:rsidR="0013116F" w:rsidRDefault="0013116F" w:rsidP="001D49D4">
      <w:pPr>
        <w:pStyle w:val="a9"/>
        <w:spacing w:after="60"/>
        <w:rPr>
          <w:rFonts w:ascii="Arial" w:hAnsi="Arial"/>
        </w:rPr>
      </w:pPr>
      <w:r>
        <w:rPr>
          <w:rStyle w:val="ab"/>
          <w:rFonts w:ascii="Arial" w:hAnsi="Arial"/>
        </w:rPr>
        <w:footnoteRef/>
      </w:r>
      <w:r>
        <w:rPr>
          <w:rFonts w:ascii="Arial" w:hAnsi="Arial"/>
          <w:rtl/>
        </w:rPr>
        <w:t xml:space="preserve"> אלא מצרפין אותו לזוז או איסתרא וכותבין חשבון הזוזים או האיסתרא, סמ"ע</w:t>
      </w:r>
      <w:r>
        <w:rPr>
          <w:rFonts w:ascii="Arial" w:hAnsi="Arial"/>
        </w:rPr>
        <w:t xml:space="preserve"> </w:t>
      </w:r>
      <w:r>
        <w:rPr>
          <w:rFonts w:ascii="Arial" w:hAnsi="Arial"/>
          <w:rtl/>
        </w:rPr>
        <w:t>(סק"מ).</w:t>
      </w:r>
    </w:p>
  </w:footnote>
  <w:footnote w:id="3309">
    <w:p w14:paraId="4A90C7BE" w14:textId="77777777" w:rsidR="0013116F" w:rsidRDefault="0013116F" w:rsidP="001D49D4">
      <w:pPr>
        <w:pStyle w:val="a9"/>
        <w:spacing w:after="60"/>
        <w:rPr>
          <w:rFonts w:ascii="Arial" w:hAnsi="Arial"/>
          <w:rtl/>
        </w:rPr>
      </w:pPr>
      <w:r>
        <w:rPr>
          <w:rStyle w:val="ab"/>
          <w:rFonts w:ascii="Arial" w:hAnsi="Arial"/>
        </w:rPr>
        <w:footnoteRef/>
      </w:r>
      <w:r>
        <w:rPr>
          <w:rFonts w:ascii="Arial" w:hAnsi="Arial"/>
          <w:rtl/>
        </w:rPr>
        <w:t xml:space="preserve"> והש"ך</w:t>
      </w:r>
      <w:r>
        <w:rPr>
          <w:rFonts w:ascii="Arial" w:hAnsi="Arial"/>
          <w:sz w:val="14"/>
          <w:szCs w:val="14"/>
          <w:rtl/>
        </w:rPr>
        <w:t xml:space="preserve"> (סקל"ו)</w:t>
      </w:r>
      <w:r>
        <w:rPr>
          <w:rFonts w:ascii="Arial" w:hAnsi="Arial"/>
          <w:rtl/>
        </w:rPr>
        <w:t xml:space="preserve"> הוסיף עוד תנאי </w:t>
      </w:r>
      <w:r>
        <w:rPr>
          <w:rFonts w:ascii="Arial" w:hAnsi="Arial"/>
          <w:sz w:val="14"/>
          <w:szCs w:val="14"/>
          <w:rtl/>
        </w:rPr>
        <w:t>(ע"פ דברי הרמב"ם פט"ז מהל' אישות)</w:t>
      </w:r>
      <w:r>
        <w:rPr>
          <w:rFonts w:ascii="Arial" w:hAnsi="Arial"/>
          <w:rtl/>
        </w:rPr>
        <w:t xml:space="preserve"> והוא שידוע שיָדַע מזו הלשון שרגילים ההדיוטות לכתוב, אבל אם לא ידע מזה אז אע"פ שנהגו ההדיוטות כן אין דנין אותו כאילו נכתב</w:t>
      </w:r>
      <w:r>
        <w:rPr>
          <w:rFonts w:ascii="Arial" w:hAnsi="Arial"/>
          <w:sz w:val="14"/>
          <w:szCs w:val="14"/>
          <w:rtl/>
        </w:rPr>
        <w:t xml:space="preserve"> (והוכיח כן מדברי הריב"ש ומתשו' הרשב"א בכמה מקומות עיי"ש, והסכים לו הבאה"ט)</w:t>
      </w:r>
      <w:r>
        <w:rPr>
          <w:rFonts w:ascii="Arial" w:hAnsi="Arial"/>
          <w:rtl/>
        </w:rPr>
        <w:t xml:space="preserve">, ואגב תנאי זה שהוציא מדברי הרמב"ם כ' שתנאי זה הוא גם יישוב לדברי הרמב"ם עצמו </w:t>
      </w:r>
      <w:r>
        <w:rPr>
          <w:rFonts w:ascii="Arial" w:hAnsi="Arial"/>
          <w:sz w:val="14"/>
          <w:szCs w:val="14"/>
          <w:rtl/>
        </w:rPr>
        <w:t>(שלכאורה היה נראה לומר שהרמב"ם אינו מסכים לכלל "אע"פ שלא כתבו כאילו נכתב דמי", כדי לסדרו עם דעת שאר הראשונים שמאשרים כלל זה)</w:t>
      </w:r>
      <w:r>
        <w:rPr>
          <w:rFonts w:ascii="Arial" w:hAnsi="Arial"/>
          <w:rtl/>
        </w:rPr>
        <w:t xml:space="preserve">, וכ' שיישוב הב"י בדברי הרמב"ם הוא בדוחק, וזו קושיה לכאורה על הב"י איך לא הביא חילוק זה שנזכר בדברי הרמב"ם </w:t>
      </w:r>
      <w:r>
        <w:rPr>
          <w:rFonts w:ascii="Arial" w:hAnsi="Arial"/>
          <w:sz w:val="14"/>
          <w:szCs w:val="14"/>
          <w:rtl/>
        </w:rPr>
        <w:t xml:space="preserve">(פט"ז ה"ט) </w:t>
      </w:r>
      <w:r>
        <w:rPr>
          <w:rFonts w:ascii="Arial" w:hAnsi="Arial"/>
          <w:rtl/>
        </w:rPr>
        <w:t xml:space="preserve">בפירוש, </w:t>
      </w:r>
      <w:r>
        <w:rPr>
          <w:rFonts w:ascii="Arial" w:hAnsi="Arial"/>
          <w:u w:val="single"/>
          <w:rtl/>
        </w:rPr>
        <w:t>אלא שנ"ל</w:t>
      </w:r>
      <w:r>
        <w:rPr>
          <w:rFonts w:ascii="Arial" w:hAnsi="Arial"/>
          <w:rtl/>
        </w:rPr>
        <w:t xml:space="preserve"> לומר שהב"י לא הביא חילוק זה משום שיש הבדל בין לשון הדיוטות בסתם שטרות </w:t>
      </w:r>
      <w:r>
        <w:rPr>
          <w:rFonts w:ascii="Arial" w:hAnsi="Arial"/>
          <w:sz w:val="14"/>
          <w:szCs w:val="14"/>
          <w:rtl/>
        </w:rPr>
        <w:t xml:space="preserve">(שבזה מדבר הב"י) </w:t>
      </w:r>
      <w:r>
        <w:rPr>
          <w:rFonts w:ascii="Arial" w:hAnsi="Arial"/>
          <w:rtl/>
        </w:rPr>
        <w:t>לתקנת גאונים בכתובה</w:t>
      </w:r>
      <w:r>
        <w:rPr>
          <w:rFonts w:ascii="Arial" w:hAnsi="Arial"/>
          <w:sz w:val="14"/>
          <w:szCs w:val="14"/>
          <w:rtl/>
        </w:rPr>
        <w:t xml:space="preserve"> (שבזה מדבר הרמב"ם)</w:t>
      </w:r>
      <w:r>
        <w:rPr>
          <w:rFonts w:ascii="Arial" w:hAnsi="Arial"/>
          <w:rtl/>
        </w:rPr>
        <w:t xml:space="preserve">, שבתקנת גאונים בכתובה שייך לומר </w:t>
      </w:r>
      <w:r>
        <w:rPr>
          <w:rFonts w:ascii="Arial" w:hAnsi="Arial"/>
          <w:sz w:val="14"/>
          <w:szCs w:val="14"/>
          <w:rtl/>
        </w:rPr>
        <w:t xml:space="preserve">(דבמקום שלא נהוג לכתוב כתקנתם ומ"מ אדם אחד טוען) </w:t>
      </w:r>
      <w:r>
        <w:rPr>
          <w:rFonts w:ascii="Arial" w:hAnsi="Arial"/>
          <w:rtl/>
        </w:rPr>
        <w:t>ידעתי את תקנתם ולה התכונתי אע"פ שלא נכתב כן בפירוש, משום משום שזו תקנה שכל עם ישראל מחוייב בה, וכי בגלל שיש אלו מקומות שאינם יודעים אותה פקעה מהם החובה לעשות כמותה?!, משא"כ בלשון הדיוטות שבסתם שטרות, שאם יש מקום שלא נתפשטה אותה הלשון ואדם טוען שהוא נוהג כאותה הלשון אע"פ שלא נכתב כן בפירוש- בזה א"א לומר שנחשיב לו כאילו הלשון כתובה, שהרי במה יתלה? בלשון של הדיוטות? וכי כל עם ישראל מחוייב בזה?! לכן יש לחלק בין המקרים ולומר שגבי תקנת הגאונים שייך למימר ידיעה, ולגבי לשון הדיוטות לא שייך כלל, אלא במקום שנהגו- מחייבים אע"פ שלא כתב כן בפירוש ואע"פ שלא ידע ממנה</w:t>
      </w:r>
      <w:r>
        <w:rPr>
          <w:rFonts w:ascii="Arial" w:hAnsi="Arial"/>
          <w:sz w:val="14"/>
          <w:szCs w:val="14"/>
          <w:rtl/>
        </w:rPr>
        <w:t xml:space="preserve"> (וזה לא כמו שכ' הש"ך)</w:t>
      </w:r>
      <w:r>
        <w:rPr>
          <w:rFonts w:ascii="Arial" w:hAnsi="Arial"/>
          <w:rtl/>
        </w:rPr>
        <w:t>, ובמקום שלא נהגו- לא מחייבים אע"פ שטוען שידע. ולכן הב"י לא התייחס לחילוק זה, ולכן גם לא חייב הב"י שתיהיה ידיעה</w:t>
      </w:r>
      <w:r>
        <w:rPr>
          <w:rFonts w:ascii="Arial" w:hAnsi="Arial"/>
          <w:sz w:val="14"/>
          <w:szCs w:val="14"/>
          <w:rtl/>
        </w:rPr>
        <w:t xml:space="preserve"> (ואם תקשה- "אז למה הב"י הקשה מדברי הרמב"ם בהלכות של כתובה על הלכ' שטרות- משמע שכן אפשר להשוות בניהם</w:t>
      </w:r>
      <w:r>
        <w:rPr>
          <w:rFonts w:ascii="Arial" w:hAnsi="Arial"/>
          <w:sz w:val="14"/>
          <w:szCs w:val="14"/>
        </w:rPr>
        <w:t>!?</w:t>
      </w:r>
      <w:r>
        <w:rPr>
          <w:rFonts w:ascii="Arial" w:hAnsi="Arial"/>
          <w:sz w:val="14"/>
          <w:szCs w:val="14"/>
          <w:rtl/>
        </w:rPr>
        <w:t>" אין זה קשה, משום שהכלל ש-"אע"פ שלא כתבו כאילו נכתב דמי" צריך להיות שווה בכל מקום שנהגו תנאי מסויים, ולכן היה קשה לב"י מדברי הרמב"ם שנראה לכאורה שאם לא כ' כן אינו ככתוב דמי, ולכן תירץ מה שתירץ)</w:t>
      </w:r>
      <w:r>
        <w:rPr>
          <w:rFonts w:ascii="Arial" w:hAnsi="Arial"/>
          <w:rtl/>
        </w:rPr>
        <w:t>.</w:t>
      </w:r>
      <w:r>
        <w:rPr>
          <w:rFonts w:ascii="Arial" w:hAnsi="Arial"/>
          <w:sz w:val="14"/>
          <w:szCs w:val="14"/>
          <w:rtl/>
        </w:rPr>
        <w:t xml:space="preserve"> </w:t>
      </w:r>
      <w:r>
        <w:rPr>
          <w:rFonts w:ascii="Arial" w:hAnsi="Arial"/>
          <w:rtl/>
        </w:rPr>
        <w:t xml:space="preserve">  </w:t>
      </w:r>
    </w:p>
  </w:footnote>
  <w:footnote w:id="3310">
    <w:p w14:paraId="2F4BA5E2" w14:textId="77777777" w:rsidR="0013116F" w:rsidRDefault="0013116F" w:rsidP="001D49D4">
      <w:pPr>
        <w:pStyle w:val="a9"/>
        <w:spacing w:after="60"/>
        <w:rPr>
          <w:rFonts w:ascii="Arial" w:hAnsi="Arial"/>
          <w:rtl/>
        </w:rPr>
      </w:pPr>
      <w:r>
        <w:rPr>
          <w:rStyle w:val="ab"/>
          <w:rFonts w:ascii="Arial" w:hAnsi="Arial"/>
        </w:rPr>
        <w:footnoteRef/>
      </w:r>
      <w:r>
        <w:rPr>
          <w:rFonts w:ascii="Arial" w:hAnsi="Arial"/>
          <w:rtl/>
        </w:rPr>
        <w:t xml:space="preserve"> וכ' עוד שם</w:t>
      </w:r>
      <w:r>
        <w:rPr>
          <w:rFonts w:ascii="Arial" w:hAnsi="Arial"/>
          <w:sz w:val="16"/>
          <w:szCs w:val="16"/>
          <w:rtl/>
        </w:rPr>
        <w:t xml:space="preserve"> (בתשו' מיימוניות) </w:t>
      </w:r>
      <w:r>
        <w:rPr>
          <w:rFonts w:ascii="Arial" w:hAnsi="Arial"/>
          <w:rtl/>
        </w:rPr>
        <w:t xml:space="preserve">דמהאי טעמא יש להכשיר אם כ' לחמותו אמו, סמ"ע </w:t>
      </w:r>
      <w:r>
        <w:rPr>
          <w:rFonts w:ascii="Arial" w:hAnsi="Arial"/>
          <w:sz w:val="16"/>
          <w:szCs w:val="16"/>
          <w:rtl/>
        </w:rPr>
        <w:t>(סקמ"א)</w:t>
      </w:r>
      <w:r>
        <w:rPr>
          <w:rFonts w:ascii="Arial" w:hAnsi="Arial"/>
          <w:rtl/>
        </w:rPr>
        <w:t xml:space="preserve">. וכ' כנה"ג </w:t>
      </w:r>
      <w:r>
        <w:rPr>
          <w:rFonts w:ascii="Arial" w:hAnsi="Arial"/>
          <w:sz w:val="16"/>
          <w:szCs w:val="16"/>
          <w:rtl/>
        </w:rPr>
        <w:t>(הגה"ט אות עה)</w:t>
      </w:r>
      <w:r>
        <w:rPr>
          <w:rFonts w:ascii="Arial" w:hAnsi="Arial"/>
          <w:rtl/>
        </w:rPr>
        <w:t xml:space="preserve"> דהוא מפקפק בהא דכ' לחמותו אמו. וכ' עליו האורים </w:t>
      </w:r>
      <w:r>
        <w:rPr>
          <w:rFonts w:ascii="Arial" w:hAnsi="Arial"/>
          <w:sz w:val="16"/>
          <w:szCs w:val="16"/>
          <w:rtl/>
        </w:rPr>
        <w:t>(סקמ"ז)</w:t>
      </w:r>
      <w:r>
        <w:rPr>
          <w:rFonts w:ascii="Arial" w:hAnsi="Arial"/>
          <w:rtl/>
        </w:rPr>
        <w:t>- "ומדבריו נראה דחושב דהסמ"ע אמרה מלבו, ולא כן כי ג"כ אמורה בהגהת מיימוני הנ"ל, ומסתבר ג"כ, דהא מצינו דלחמיו קרוי אב כדכתיב בדוד שקרא לשאול (ש"א כד יא) אבי ראה וכו".</w:t>
      </w:r>
    </w:p>
  </w:footnote>
  <w:footnote w:id="3311">
    <w:p w14:paraId="04278B20" w14:textId="77777777" w:rsidR="0013116F" w:rsidRDefault="0013116F" w:rsidP="001D49D4">
      <w:pPr>
        <w:pStyle w:val="a9"/>
        <w:spacing w:after="60"/>
        <w:rPr>
          <w:rFonts w:ascii="Arial" w:hAnsi="Arial"/>
          <w:rtl/>
        </w:rPr>
      </w:pPr>
      <w:r>
        <w:rPr>
          <w:rStyle w:val="ab"/>
          <w:rFonts w:ascii="Arial" w:hAnsi="Arial"/>
        </w:rPr>
        <w:footnoteRef/>
      </w:r>
      <w:r>
        <w:rPr>
          <w:rFonts w:ascii="Arial" w:hAnsi="Arial"/>
          <w:rtl/>
        </w:rPr>
        <w:t xml:space="preserve"> זהו טעמו של החת"ס.</w:t>
      </w:r>
    </w:p>
  </w:footnote>
  <w:footnote w:id="3312">
    <w:p w14:paraId="7C10EAB1" w14:textId="77777777" w:rsidR="0013116F" w:rsidRDefault="0013116F" w:rsidP="001D49D4">
      <w:pPr>
        <w:pStyle w:val="a9"/>
        <w:spacing w:after="60"/>
        <w:rPr>
          <w:rFonts w:ascii="Arial" w:hAnsi="Arial"/>
        </w:rPr>
      </w:pPr>
      <w:r>
        <w:rPr>
          <w:rStyle w:val="ab"/>
          <w:rFonts w:ascii="Arial" w:hAnsi="Arial"/>
        </w:rPr>
        <w:footnoteRef/>
      </w:r>
      <w:r>
        <w:rPr>
          <w:rFonts w:ascii="Arial" w:hAnsi="Arial"/>
          <w:rtl/>
        </w:rPr>
        <w:t xml:space="preserve"> האורים כ' על דבריו של כנה"ג- "ולא ידעתי מנ"ל לחלק...".</w:t>
      </w:r>
    </w:p>
  </w:footnote>
  <w:footnote w:id="3313">
    <w:p w14:paraId="30087E9D" w14:textId="77777777" w:rsidR="0013116F" w:rsidRDefault="0013116F" w:rsidP="001D49D4">
      <w:pPr>
        <w:pStyle w:val="a9"/>
        <w:rPr>
          <w:rFonts w:ascii="Calibri" w:hAnsi="Calibri"/>
        </w:rPr>
      </w:pPr>
      <w:r>
        <w:rPr>
          <w:rStyle w:val="ab"/>
        </w:rPr>
        <w:footnoteRef/>
      </w:r>
      <w:r>
        <w:rPr>
          <w:rtl/>
        </w:rPr>
        <w:t xml:space="preserve"> </w:t>
      </w:r>
      <w:r>
        <w:rPr>
          <w:rFonts w:hint="cs"/>
          <w:rtl/>
        </w:rPr>
        <w:t xml:space="preserve">סימן – זמן זה זהב. </w:t>
      </w:r>
    </w:p>
  </w:footnote>
  <w:footnote w:id="3314">
    <w:p w14:paraId="50EE1FAE" w14:textId="77777777" w:rsidR="0013116F" w:rsidRDefault="0013116F" w:rsidP="001D49D4">
      <w:pPr>
        <w:pStyle w:val="a9"/>
        <w:rPr>
          <w:rtl/>
        </w:rPr>
      </w:pPr>
      <w:r>
        <w:rPr>
          <w:rStyle w:val="ab"/>
        </w:rPr>
        <w:footnoteRef/>
      </w:r>
      <w:r>
        <w:rPr>
          <w:rtl/>
        </w:rPr>
        <w:t xml:space="preserve"> </w:t>
      </w:r>
      <w:r>
        <w:rPr>
          <w:rFonts w:hint="cs"/>
          <w:rtl/>
        </w:rPr>
        <w:t>אלא מבני חרי, ב"י.</w:t>
      </w:r>
    </w:p>
  </w:footnote>
  <w:footnote w:id="3315">
    <w:p w14:paraId="5A423D76" w14:textId="77777777" w:rsidR="0013116F" w:rsidRDefault="0013116F" w:rsidP="001D49D4">
      <w:pPr>
        <w:pStyle w:val="a9"/>
        <w:rPr>
          <w:rtl/>
        </w:rPr>
      </w:pPr>
      <w:r>
        <w:rPr>
          <w:rStyle w:val="ab"/>
        </w:rPr>
        <w:footnoteRef/>
      </w:r>
      <w:r>
        <w:rPr>
          <w:rtl/>
        </w:rPr>
        <w:t xml:space="preserve"> ונראה שאפילו מבני חרי יש נפ"מ, אם יש על הלוה שני שטרות ואין לו אלא קרקע כדי לשלם לאחד מהן, דאז מגבינן לזה דיש לו זמן בשטרו, דיאמר הלואתי היתה מוקדמת להלואת השני שאין זמן בשטר, סמ"ע (סק"א). וכתב הש"ך (סק"א) דפשוט הוא, וכ"כ הטור והמחבר לקמן [טור סע' יט ומחבר סע' כג], ועיין לקמן ס"ס קד [סעיף י"ג].</w:t>
      </w:r>
    </w:p>
  </w:footnote>
  <w:footnote w:id="3316">
    <w:p w14:paraId="3A3CBD3F" w14:textId="77777777" w:rsidR="0013116F" w:rsidRDefault="0013116F" w:rsidP="001D49D4">
      <w:pPr>
        <w:pStyle w:val="a9"/>
      </w:pPr>
      <w:r>
        <w:rPr>
          <w:rStyle w:val="ab"/>
        </w:rPr>
        <w:footnoteRef/>
      </w:r>
      <w:r>
        <w:rPr>
          <w:rtl/>
        </w:rPr>
        <w:t xml:space="preserve"> הטעם, משום דמשעת כתיבה העדים מפקי לקלא ובודאי שמעו הלקוחות ואינהו הוא דאפסידו אנפשייהו, אלא שבלא ראוהו העדים יכולין הלקוחות לומר קנייננו קודם להלואתו..., סמ"ע (סק"ב).</w:t>
      </w:r>
    </w:p>
  </w:footnote>
  <w:footnote w:id="3317">
    <w:p w14:paraId="4734EA82" w14:textId="77777777" w:rsidR="0013116F" w:rsidRDefault="0013116F" w:rsidP="001D49D4">
      <w:pPr>
        <w:pStyle w:val="a9"/>
      </w:pPr>
      <w:r>
        <w:rPr>
          <w:rStyle w:val="ab"/>
        </w:rPr>
        <w:footnoteRef/>
      </w:r>
      <w:r>
        <w:rPr>
          <w:rtl/>
        </w:rPr>
        <w:t xml:space="preserve"> לא ידעתי למה כתבו, הלא מבואר הוא לקמן סעיף כ"ד וסימן נ"ד סעיף ג', ש"ך (סק"ג).</w:t>
      </w:r>
    </w:p>
  </w:footnote>
  <w:footnote w:id="3318">
    <w:p w14:paraId="54156826" w14:textId="77777777" w:rsidR="0013116F" w:rsidRDefault="0013116F" w:rsidP="001D49D4">
      <w:pPr>
        <w:pStyle w:val="a9"/>
      </w:pPr>
      <w:r>
        <w:rPr>
          <w:rStyle w:val="ab"/>
        </w:rPr>
        <w:footnoteRef/>
      </w:r>
      <w:r>
        <w:rPr>
          <w:rtl/>
        </w:rPr>
        <w:t xml:space="preserve"> </w:t>
      </w:r>
      <w:r>
        <w:rPr>
          <w:rFonts w:hint="cs"/>
          <w:rtl/>
        </w:rPr>
        <w:t>סימן – ימי יון.</w:t>
      </w:r>
    </w:p>
  </w:footnote>
  <w:footnote w:id="3319">
    <w:p w14:paraId="54495B5C" w14:textId="77777777" w:rsidR="0013116F" w:rsidRDefault="0013116F" w:rsidP="001D49D4">
      <w:pPr>
        <w:pStyle w:val="a9"/>
      </w:pPr>
      <w:r>
        <w:rPr>
          <w:rStyle w:val="ab"/>
        </w:rPr>
        <w:footnoteRef/>
      </w:r>
      <w:r>
        <w:rPr>
          <w:rtl/>
        </w:rPr>
        <w:t xml:space="preserve"> שבא לפני ב"ד בשנה שנכתב בו ומצא בו שש שנים יותר ממניינם כגון שהיו עומדים בשנת חמש מאות למלכות יון ובו היה כתוב בשנת חמש מאות ושש שנים לוה פלוני מפלוני וסתם היה כתוב ולא היה כתוב בו שום מלכות, רש"י.</w:t>
      </w:r>
    </w:p>
  </w:footnote>
  <w:footnote w:id="3320">
    <w:p w14:paraId="1D42C54C" w14:textId="77777777" w:rsidR="0013116F" w:rsidRDefault="0013116F" w:rsidP="001D49D4">
      <w:pPr>
        <w:pStyle w:val="a9"/>
      </w:pPr>
      <w:r>
        <w:rPr>
          <w:rStyle w:val="ab"/>
        </w:rPr>
        <w:footnoteRef/>
      </w:r>
      <w:r>
        <w:rPr>
          <w:rtl/>
        </w:rPr>
        <w:t xml:space="preserve"> מלוה עשה עמו טובה ומחל לו שעבוד קרקעות של שש שנים וכל מי שיקנה קרקעו בתוך שש שנים אינו מפסיד שהרי זמן מכירה קודם לזמן טריפת השטר, רש"י.</w:t>
      </w:r>
    </w:p>
  </w:footnote>
  <w:footnote w:id="3321">
    <w:p w14:paraId="2597A52A" w14:textId="77777777" w:rsidR="0013116F" w:rsidRDefault="0013116F" w:rsidP="001D49D4">
      <w:pPr>
        <w:pStyle w:val="a9"/>
      </w:pPr>
      <w:r>
        <w:rPr>
          <w:rStyle w:val="ab"/>
        </w:rPr>
        <w:footnoteRef/>
      </w:r>
      <w:r>
        <w:rPr>
          <w:rtl/>
        </w:rPr>
        <w:t xml:space="preserve"> אינו יכול לטרוף לקוחות אלא אותן שיקחו ממנו משש ואילך, רש"י.</w:t>
      </w:r>
    </w:p>
  </w:footnote>
  <w:footnote w:id="3322">
    <w:p w14:paraId="45A80AB5" w14:textId="77777777" w:rsidR="0013116F" w:rsidRDefault="0013116F" w:rsidP="001D49D4">
      <w:pPr>
        <w:pStyle w:val="a9"/>
      </w:pPr>
      <w:r>
        <w:rPr>
          <w:rStyle w:val="ab"/>
        </w:rPr>
        <w:footnoteRef/>
      </w:r>
      <w:r>
        <w:rPr>
          <w:rtl/>
        </w:rPr>
        <w:t xml:space="preserve"> מדקדק בחשבונות הוא ואינו הולך אחרינו שאין אנו מתחילין למנות לתחלת מלכות יון אלא לאחר שש שנים שמלכו בעילם והוא מונה לתחלת מלכותן ושיעבודו מיום כתיבתו הוא ומהיום והלאה יטרוף ואין כאן מחילה לפי שחמש מאות שלנו הן חמש מאות ושש לתחלתן, רש"י.</w:t>
      </w:r>
    </w:p>
  </w:footnote>
  <w:footnote w:id="3323">
    <w:p w14:paraId="5AAFA269" w14:textId="77777777" w:rsidR="0013116F" w:rsidRDefault="0013116F" w:rsidP="001D49D4">
      <w:pPr>
        <w:pStyle w:val="a9"/>
        <w:rPr>
          <w:rtl/>
        </w:rPr>
      </w:pPr>
      <w:r>
        <w:rPr>
          <w:rStyle w:val="ab"/>
        </w:rPr>
        <w:footnoteRef/>
      </w:r>
      <w:r>
        <w:rPr>
          <w:rtl/>
        </w:rPr>
        <w:t xml:space="preserve"> דהאי דמנינן לשטרי לש"פ שנים קודם חורבן דעתין למלכי יון דתימא דהנך שית שני יתירתא היינו האי דאתחיל למימני מתחלת מלכותן דניחא לך למימר הכי ולא ניחא לך למימר מאוחר הוא לפי שאין דרך למחול שעבודו שמא ימכור זה כל נכסיו בתוך זמן האיחור ויפסיד את חובו, רש"י.</w:t>
      </w:r>
    </w:p>
  </w:footnote>
  <w:footnote w:id="3324">
    <w:p w14:paraId="1EF67C20" w14:textId="77777777" w:rsidR="0013116F" w:rsidRDefault="0013116F" w:rsidP="001D49D4">
      <w:pPr>
        <w:pStyle w:val="a9"/>
      </w:pPr>
      <w:r>
        <w:rPr>
          <w:rStyle w:val="ab"/>
        </w:rPr>
        <w:footnoteRef/>
      </w:r>
      <w:r>
        <w:rPr>
          <w:rtl/>
        </w:rPr>
        <w:t xml:space="preserve"> בין אנן בין הא ספרא האי דמנינן לש"פ שנים קודם חורבן לאו דעתין אמלכות יון אלא ליציאת מצרים מנינן, רש"י.</w:t>
      </w:r>
    </w:p>
  </w:footnote>
  <w:footnote w:id="3325">
    <w:p w14:paraId="71049344" w14:textId="77777777" w:rsidR="0013116F" w:rsidRDefault="0013116F" w:rsidP="001D49D4">
      <w:pPr>
        <w:pStyle w:val="a9"/>
        <w:rPr>
          <w:rtl/>
        </w:rPr>
      </w:pPr>
      <w:r>
        <w:rPr>
          <w:rStyle w:val="ab"/>
        </w:rPr>
        <w:footnoteRef/>
      </w:r>
      <w:r>
        <w:rPr>
          <w:rtl/>
        </w:rPr>
        <w:t xml:space="preserve"> דמיציאת מצרים, ומתחלינן למימני מתחילת אלפא בתרא והיא שנה ראשונה ליון שפשטה מלכותן בכל העולם דמיציאת מצרים ועד חורבן אלף וש"פ שנים </w:t>
      </w:r>
      <w:r>
        <w:rPr>
          <w:sz w:val="16"/>
          <w:szCs w:val="16"/>
          <w:rtl/>
        </w:rPr>
        <w:t>(ת"פ שנים עד בנין בית ראשון ות"י דבניינו הרי תת"צ ושבעים דגלות בבל ות"כ דבית שני הרי אלף וש"פ שנים)</w:t>
      </w:r>
      <w:r>
        <w:rPr>
          <w:rtl/>
        </w:rPr>
        <w:t xml:space="preserve"> ומלכות יון נמי פשטה בכל העולם ג' מאות ושמונים שנים קודם חורבן שהוא תחלת אלף שנים וכיון דדעתין איציאת מצרים ליכא למתלי הנך שית שנין אלא במחילת השעבוד ושטר מאוחר הוא, רש"י.</w:t>
      </w:r>
    </w:p>
  </w:footnote>
  <w:footnote w:id="3326">
    <w:p w14:paraId="57928805" w14:textId="77777777" w:rsidR="0013116F" w:rsidRDefault="0013116F" w:rsidP="001D49D4">
      <w:pPr>
        <w:pStyle w:val="a9"/>
      </w:pPr>
      <w:r>
        <w:rPr>
          <w:rStyle w:val="ab"/>
        </w:rPr>
        <w:footnoteRef/>
      </w:r>
      <w:r>
        <w:rPr>
          <w:rtl/>
        </w:rPr>
        <w:t xml:space="preserve"> וכיון דלמלכות יון מנינן ואיכא למיתלי להנך שית שנין בספרא דוקנא תלינן ביה ולא תלינן ליה במחילת השעבוד שאין כל אדם עושה כן, רש"י.</w:t>
      </w:r>
    </w:p>
  </w:footnote>
  <w:footnote w:id="3327">
    <w:p w14:paraId="2B790C72" w14:textId="77777777" w:rsidR="0013116F" w:rsidRDefault="0013116F" w:rsidP="001D49D4">
      <w:pPr>
        <w:pStyle w:val="a9"/>
      </w:pPr>
      <w:r>
        <w:rPr>
          <w:rStyle w:val="ab"/>
        </w:rPr>
        <w:footnoteRef/>
      </w:r>
      <w:r>
        <w:rPr>
          <w:rtl/>
        </w:rPr>
        <w:t xml:space="preserve"> ודע שלשון זה שכתב רבינו הוא לשון הרא"ש, ואע"ג שמפשטו נראה דלא מכשר ר"י היכא שדילג לבריאת עולם אלא כשכתב הכלל והפרט - אין הדבר כן, אלא אפילו דילג לבריאת עולם וגם דילג הכלל מכשר ר"י כדמשמע בתוספות (שם), ותדע דעל כרחך הכי הוא, שהרי אותו שטר לא היה כתוב בו שום מלכות כמו שהוכיחו בתוספות ואפילו הכי אמרינן דלמא שבקיה לאלפא קמא, הרי שדילג שניהם ואפילו הכי מכשר, ב"י. </w:t>
      </w:r>
      <w:r>
        <w:rPr>
          <w:color w:val="E36C0A" w:themeColor="accent6" w:themeShade="BF"/>
          <w:rtl/>
        </w:rPr>
        <w:t>(וכ"פ בשו"ע)</w:t>
      </w:r>
    </w:p>
  </w:footnote>
  <w:footnote w:id="3328">
    <w:p w14:paraId="5DDF4914" w14:textId="77777777" w:rsidR="0013116F" w:rsidRDefault="0013116F" w:rsidP="001D49D4">
      <w:pPr>
        <w:pStyle w:val="a9"/>
      </w:pPr>
      <w:r>
        <w:rPr>
          <w:rStyle w:val="ab"/>
        </w:rPr>
        <w:footnoteRef/>
      </w:r>
      <w:r>
        <w:rPr>
          <w:rtl/>
        </w:rPr>
        <w:t xml:space="preserve"> </w:t>
      </w:r>
      <w:r>
        <w:rPr>
          <w:rFonts w:hint="cs"/>
          <w:rtl/>
        </w:rPr>
        <w:t>וכן פירש תרוה"ד את דברי סה"ת שדילג גם האלפים וגם המאות.</w:t>
      </w:r>
    </w:p>
  </w:footnote>
  <w:footnote w:id="3329">
    <w:p w14:paraId="5A037209" w14:textId="77777777" w:rsidR="0013116F" w:rsidRDefault="0013116F" w:rsidP="001D49D4">
      <w:pPr>
        <w:pStyle w:val="a9"/>
        <w:rPr>
          <w:rtl/>
        </w:rPr>
      </w:pPr>
      <w:r>
        <w:rPr>
          <w:rStyle w:val="ab"/>
        </w:rPr>
        <w:footnoteRef/>
      </w:r>
      <w:r>
        <w:rPr>
          <w:rtl/>
        </w:rPr>
        <w:t xml:space="preserve"> הב"י הביא חלק מדברי מהרא"י הללו, וכתב דנראה מדבריו שם דמשום חומרא דעריות פסלו אע"פ שיש צדדין להקל, ולענין שטרות צ"ע מה תהא עליו. עכ"ל הב"י. וכתב הדרכ"מ </w:t>
      </w:r>
      <w:r>
        <w:rPr>
          <w:sz w:val="16"/>
          <w:szCs w:val="16"/>
          <w:rtl/>
        </w:rPr>
        <w:t xml:space="preserve">(אות א**) </w:t>
      </w:r>
      <w:r>
        <w:rPr>
          <w:rtl/>
        </w:rPr>
        <w:t xml:space="preserve">דלא נ"ל כן דברי מהרא"י </w:t>
      </w:r>
      <w:r>
        <w:rPr>
          <w:sz w:val="16"/>
          <w:szCs w:val="16"/>
          <w:rtl/>
        </w:rPr>
        <w:t xml:space="preserve">(וע"ע תרוה"ד ח"ב סי' יט) </w:t>
      </w:r>
      <w:r>
        <w:rPr>
          <w:rtl/>
        </w:rPr>
        <w:t xml:space="preserve">רק שפסול בכל השטרות, וכמ"ש הריב"ש בתשובה </w:t>
      </w:r>
      <w:r>
        <w:rPr>
          <w:sz w:val="16"/>
          <w:szCs w:val="16"/>
          <w:rtl/>
        </w:rPr>
        <w:t xml:space="preserve">(סי' שפב) </w:t>
      </w:r>
      <w:r>
        <w:rPr>
          <w:rtl/>
        </w:rPr>
        <w:t xml:space="preserve">שכתבתי בסמוך </w:t>
      </w:r>
      <w:r>
        <w:rPr>
          <w:sz w:val="16"/>
          <w:szCs w:val="16"/>
          <w:rtl/>
        </w:rPr>
        <w:t xml:space="preserve">(דמה"א ס"ה) </w:t>
      </w:r>
      <w:r>
        <w:rPr>
          <w:rtl/>
        </w:rPr>
        <w:t>לענין אם דילג העשיריות וה"ה אם דלג המאות וכן נראה לי. עכ"ל הדרכ"מ.</w:t>
      </w:r>
      <w:r>
        <w:rPr>
          <w:color w:val="00B0F0"/>
          <w:rtl/>
        </w:rPr>
        <w:t xml:space="preserve"> (וכ"פ בהג"ה)</w:t>
      </w:r>
      <w:r>
        <w:rPr>
          <w:rtl/>
        </w:rPr>
        <w:t>. ועיין לקמן שהש"ך</w:t>
      </w:r>
      <w:r>
        <w:rPr>
          <w:sz w:val="16"/>
          <w:szCs w:val="16"/>
          <w:rtl/>
        </w:rPr>
        <w:t xml:space="preserve"> (סק"ה) </w:t>
      </w:r>
      <w:r>
        <w:rPr>
          <w:rtl/>
        </w:rPr>
        <w:t>השיג על מהרא"י ועל הדרכ"מ, ועוד כתב שמהרא"י מכשיר בשטרות.</w:t>
      </w:r>
    </w:p>
  </w:footnote>
  <w:footnote w:id="3330">
    <w:p w14:paraId="513AA114" w14:textId="77777777" w:rsidR="0013116F" w:rsidRDefault="0013116F" w:rsidP="001D49D4">
      <w:pPr>
        <w:pStyle w:val="a9"/>
        <w:rPr>
          <w:rtl/>
        </w:rPr>
      </w:pPr>
      <w:r>
        <w:rPr>
          <w:rStyle w:val="ab"/>
        </w:rPr>
        <w:footnoteRef/>
      </w:r>
      <w:r>
        <w:rPr>
          <w:rtl/>
        </w:rPr>
        <w:t xml:space="preserve"> </w:t>
      </w:r>
      <w:r>
        <w:rPr>
          <w:rFonts w:hint="cs"/>
          <w:rtl/>
        </w:rPr>
        <w:t xml:space="preserve">הא דדילג המאות הוציא הרמ"א מדברי מהרא"י (סי' יא) ודחה הש"ך (סק"ה) את ראיות מהרא"י, ולכן הכשיר הש"ך בדיעבד אם דילג המאות </w:t>
      </w:r>
      <w:r>
        <w:rPr>
          <w:sz w:val="16"/>
          <w:szCs w:val="16"/>
          <w:rtl/>
        </w:rPr>
        <w:t>(וכתב הש"ך דכ"פ מהר"ם מינץ (סי' ט). ותמה הש"ך על הרמ"א מדוע פסק כמותו בפשיטות והרי הב"י (מחו' ד) השאיר את דברי מהרא"י בצ"ע, ועוד דאף מהרא"י לא החמיר אלא בגיטין ולא בשטרות [וכתב הש"ך דאף בגיטין יש צדדין להקל])</w:t>
      </w:r>
      <w:r>
        <w:rPr>
          <w:rtl/>
        </w:rPr>
        <w:t xml:space="preserve">. וכן פסקו האורים (סק"ו) והנתיבות (חידו' סק"ד). </w:t>
      </w:r>
    </w:p>
  </w:footnote>
  <w:footnote w:id="3331">
    <w:p w14:paraId="514265FD" w14:textId="77777777" w:rsidR="0013116F" w:rsidRDefault="0013116F" w:rsidP="001D49D4">
      <w:pPr>
        <w:pStyle w:val="a9"/>
        <w:rPr>
          <w:rtl/>
        </w:rPr>
      </w:pPr>
      <w:r>
        <w:rPr>
          <w:rStyle w:val="ab"/>
        </w:rPr>
        <w:footnoteRef/>
      </w:r>
      <w:r>
        <w:rPr>
          <w:rtl/>
        </w:rPr>
        <w:t xml:space="preserve"> וכיון שבגט הכשיר כל שכן לענין שטרות. מיהו כתב מהר"ר ישראל בכתביו סימן י"א דלא מכשר הרא"ש אלא כשהטעות מוכח מיניה וביה, הא לאו הכי - לא, ואע"ג דכשכתב ה' אלפים וי"ח אי חשבינן למפרע לשנה שקודם מאתים לא נתכוון הימים בחדש ליום השבוע - כתב מהר"ר ישראל סימן י"ג דמשום הכי לא הוי מוכח מתוכו, דרובא דרובא לא ידעי חושבנא, והילכך גבי גט פסול וגבי שטרות יש להסתפק כמו שכתבתי לעיל, ב"י.</w:t>
      </w:r>
    </w:p>
  </w:footnote>
  <w:footnote w:id="3332">
    <w:p w14:paraId="7B4F800F" w14:textId="77777777" w:rsidR="0013116F" w:rsidRDefault="0013116F" w:rsidP="001D49D4">
      <w:pPr>
        <w:pStyle w:val="a9"/>
        <w:rPr>
          <w:rtl/>
        </w:rPr>
      </w:pPr>
      <w:r>
        <w:rPr>
          <w:rStyle w:val="ab"/>
        </w:rPr>
        <w:footnoteRef/>
      </w:r>
      <w:r>
        <w:rPr>
          <w:rtl/>
        </w:rPr>
        <w:t xml:space="preserve"> הטעם, דחסרונו מוכח מתוכו, סמ"ע (סק"ז).</w:t>
      </w:r>
    </w:p>
  </w:footnote>
  <w:footnote w:id="3333">
    <w:p w14:paraId="33F0C7E5" w14:textId="77777777" w:rsidR="0013116F" w:rsidRDefault="0013116F" w:rsidP="001D49D4">
      <w:pPr>
        <w:pStyle w:val="a9"/>
      </w:pPr>
      <w:r>
        <w:rPr>
          <w:rStyle w:val="ab"/>
        </w:rPr>
        <w:footnoteRef/>
      </w:r>
      <w:r>
        <w:rPr>
          <w:rtl/>
        </w:rPr>
        <w:t xml:space="preserve"> ועיין שם שהאריך וכתב דבכל דיני ממונות תלינן בטעותא דזמן השטר בכל מה שיכולין להכשירו ועיין שם, דרכ"מ (אות א).</w:t>
      </w:r>
    </w:p>
  </w:footnote>
  <w:footnote w:id="3334">
    <w:p w14:paraId="37316D31" w14:textId="77777777" w:rsidR="0013116F" w:rsidRDefault="0013116F" w:rsidP="001D49D4">
      <w:pPr>
        <w:pStyle w:val="a9"/>
      </w:pPr>
      <w:r>
        <w:rPr>
          <w:rStyle w:val="ab"/>
        </w:rPr>
        <w:footnoteRef/>
      </w:r>
      <w:r>
        <w:rPr>
          <w:rtl/>
        </w:rPr>
        <w:t xml:space="preserve"> דתניא </w:t>
      </w:r>
      <w:r>
        <w:rPr>
          <w:sz w:val="16"/>
          <w:szCs w:val="16"/>
          <w:rtl/>
        </w:rPr>
        <w:t xml:space="preserve">[ב"ב קעא.] </w:t>
      </w:r>
      <w:r>
        <w:rPr>
          <w:rtl/>
        </w:rPr>
        <w:t xml:space="preserve">שטר שזמנו כתוב בשבת שטר מאוחר הוא וכשר </w:t>
      </w:r>
      <w:r>
        <w:rPr>
          <w:sz w:val="16"/>
          <w:szCs w:val="16"/>
          <w:rtl/>
        </w:rPr>
        <w:t>[וכמ"ש המחבר בסמוך סעיף י"ד]</w:t>
      </w:r>
      <w:r>
        <w:rPr>
          <w:rtl/>
        </w:rPr>
        <w:t xml:space="preserve">, ואי משום שרביעי בשבת לאו היינו כ"ב בחודש, י"ל דהסופר טעה לפי שלא היה בקי בעיבורו של חודש </w:t>
      </w:r>
      <w:r>
        <w:rPr>
          <w:sz w:val="16"/>
          <w:szCs w:val="16"/>
          <w:rtl/>
        </w:rPr>
        <w:t>[פירוש, וסבר שעיברו לאלול והיה ר"ה ביום ג', ועמ"ש בסימן ל סע' ז. ולא תיקשי הא בתר רובא דחודש לא אמרינן דטעי בעיבורי דירחי. דהיינו דוקא כשמעיד על פה, משא"כ כשכתוב בשטר, דהטעות מוכח ממה שכתוב בצידו, עיין מה שכתבתי שם [סקכ"ג-כ"ד] עוד מזה]</w:t>
      </w:r>
      <w:r>
        <w:rPr>
          <w:rtl/>
        </w:rPr>
        <w:t xml:space="preserve">, ואי משום שיש טעות שני ימים, איכא למימר כי בשני עיבורים טעה, אי נמי מפני ששני ימים של ר"ה קדושה אחת הן וכיומא אריכתא דמי, וסבר ה"נ למנין החודש הו"ל כחד יומא, נמצא שביום ה' שלאחריו חשבו שהוא שני לחודש, ויום רביעי דשבוע הרביעי שאחריו יהיה כ"ב לחודש, עכ"ל </w:t>
      </w:r>
      <w:r>
        <w:rPr>
          <w:sz w:val="16"/>
          <w:szCs w:val="16"/>
          <w:rtl/>
        </w:rPr>
        <w:t>{המרדכי}</w:t>
      </w:r>
      <w:r>
        <w:rPr>
          <w:rFonts w:hint="cs"/>
          <w:sz w:val="16"/>
          <w:szCs w:val="16"/>
        </w:rPr>
        <w:t xml:space="preserve"> </w:t>
      </w:r>
      <w:r>
        <w:rPr>
          <w:rtl/>
        </w:rPr>
        <w:t>בקצת תוספות ביאור, סמ"ע (סק"ח). וכתב הש"ך (סק"ז) דהמרדכי שם הביא גם את דברי ר"ת שחולק, ומייתי ליה בפסקי מהרא"י (ס"ס י"א), וגם הרב בהגהות באהע"ז סי' קכו (סע' כא) כתב דיש חולקין, והוא דעת הריב"ש (סי' קיז), ותימה על מה שסתם כאן כדברי המחבר. ואולי דוקא בגיטין נראה לו להרב להחמיר, או שאני הכא בחודש תשרי כ"ב בו, דהוא שמיני עצרת, דעל כרחך השטר מאוחר וכדלקמן סעיף י"ד. ומ"מ ר"ת חולק להדיא, וכן מסיק בפסקי מהרא"י שם, דבאו"ז דסנהדרין [סי' עז] מייתי דר"ת ועוד שני גאונים עמו פסלו שטר כזה ע"ש, ונראה טעמם, דבתרי יומי לא אמרינן דטעי, או בתר רובא דירחא לא אמרינן דטעי, כדלעיל סי' ל</w:t>
      </w:r>
      <w:r>
        <w:rPr>
          <w:sz w:val="16"/>
          <w:szCs w:val="16"/>
          <w:rtl/>
        </w:rPr>
        <w:t xml:space="preserve"> [בש"ך סקט"ו]</w:t>
      </w:r>
      <w:r>
        <w:rPr>
          <w:rtl/>
        </w:rPr>
        <w:t>... וצ"ע לדינא.</w:t>
      </w:r>
    </w:p>
  </w:footnote>
  <w:footnote w:id="3335">
    <w:p w14:paraId="7E36B1D6" w14:textId="77777777" w:rsidR="0013116F" w:rsidRDefault="0013116F" w:rsidP="001D49D4">
      <w:pPr>
        <w:pStyle w:val="a9"/>
      </w:pPr>
      <w:r>
        <w:rPr>
          <w:rStyle w:val="ab"/>
        </w:rPr>
        <w:footnoteRef/>
      </w:r>
      <w:r>
        <w:rPr>
          <w:rtl/>
        </w:rPr>
        <w:t xml:space="preserve"> דכיון שאינו גובה אלא מבני חרי זמן מאי עבידתיה, רשב"א. ולא מהני הכת"י אפילו נגד מלוה על פה שהוא מאוחר, דחיישינן לקנוניא שהקדים הזמן בכוונה. [ש"ך סק"ח]. ועיין ביאורים [סק"ד] דאם החזיק הכת"י בבית דין קודם שנודע מהשטרי חוב המאוחרים, שהיה בידו ליתן המטלטלין שלו ליד מי שהכת"י בידו, לא חיישינן לקנוניא, נתיבות (חידושים סק"ח).</w:t>
      </w:r>
    </w:p>
  </w:footnote>
  <w:footnote w:id="3336">
    <w:p w14:paraId="1351520F" w14:textId="77777777" w:rsidR="0013116F" w:rsidRDefault="0013116F" w:rsidP="001D49D4">
      <w:pPr>
        <w:pStyle w:val="a9"/>
        <w:rPr>
          <w:rtl/>
        </w:rPr>
      </w:pPr>
      <w:r>
        <w:rPr>
          <w:rStyle w:val="ab"/>
        </w:rPr>
        <w:footnoteRef/>
      </w:r>
      <w:r>
        <w:rPr>
          <w:rtl/>
        </w:rPr>
        <w:t xml:space="preserve"> </w:t>
      </w:r>
      <w:r>
        <w:rPr>
          <w:rFonts w:hint="cs"/>
          <w:rtl/>
        </w:rPr>
        <w:t>סימן – עבר.</w:t>
      </w:r>
    </w:p>
  </w:footnote>
  <w:footnote w:id="3337">
    <w:p w14:paraId="31C5D1E8" w14:textId="77777777" w:rsidR="0013116F" w:rsidRDefault="0013116F" w:rsidP="001D49D4">
      <w:pPr>
        <w:pStyle w:val="a9"/>
      </w:pPr>
      <w:r>
        <w:rPr>
          <w:rStyle w:val="ab"/>
        </w:rPr>
        <w:footnoteRef/>
      </w:r>
      <w:r>
        <w:rPr>
          <w:rtl/>
        </w:rPr>
        <w:t xml:space="preserve"> למלוה, רש"י.</w:t>
      </w:r>
    </w:p>
  </w:footnote>
  <w:footnote w:id="3338">
    <w:p w14:paraId="0D127D90" w14:textId="77777777" w:rsidR="0013116F" w:rsidRDefault="0013116F" w:rsidP="001D49D4">
      <w:pPr>
        <w:pStyle w:val="a9"/>
        <w:rPr>
          <w:rtl/>
        </w:rPr>
      </w:pPr>
      <w:r>
        <w:rPr>
          <w:rStyle w:val="ab"/>
        </w:rPr>
        <w:footnoteRef/>
      </w:r>
      <w:r>
        <w:rPr>
          <w:rtl/>
        </w:rPr>
        <w:t xml:space="preserve"> דבעי למיטרף לקוחות מזמן הכתוב בו ועדיין לא הלוה, ושטר הלקוחות קודם למלוה, וזה מוציא שטרו והוא קודם והוא שקר, ואינו טורף מן המשועבדין, ואפילו מן המאוחר למלוה, רש"י. </w:t>
      </w:r>
    </w:p>
  </w:footnote>
  <w:footnote w:id="3339">
    <w:p w14:paraId="1967AD58" w14:textId="77777777" w:rsidR="0013116F" w:rsidRDefault="0013116F" w:rsidP="001D49D4">
      <w:pPr>
        <w:pStyle w:val="a9"/>
        <w:rPr>
          <w:rtl/>
        </w:rPr>
      </w:pPr>
      <w:r>
        <w:rPr>
          <w:rStyle w:val="ab"/>
        </w:rPr>
        <w:footnoteRef/>
      </w:r>
      <w:r>
        <w:rPr>
          <w:rtl/>
        </w:rPr>
        <w:t xml:space="preserve"> דקניס היתירא אטו איסורא, רש"י.</w:t>
      </w:r>
    </w:p>
  </w:footnote>
  <w:footnote w:id="3340">
    <w:p w14:paraId="3971CD01" w14:textId="77777777" w:rsidR="0013116F" w:rsidRDefault="0013116F" w:rsidP="001D49D4">
      <w:pPr>
        <w:pStyle w:val="a9"/>
        <w:rPr>
          <w:rtl/>
        </w:rPr>
      </w:pPr>
      <w:r>
        <w:rPr>
          <w:rStyle w:val="ab"/>
        </w:rPr>
        <w:footnoteRef/>
      </w:r>
      <w:r>
        <w:rPr>
          <w:rtl/>
        </w:rPr>
        <w:t xml:space="preserve"> דאיכא דלא מסיק אדעתיה לדקדק כל כך בזמן הלואה לומר למלוה שטרך מוקדם ומקחי קדם להלואתך, רש"י. הילכך כמלוה על פה הוא דלא גבי ממשעבדי כלומר ואפילו מהמאוחרין לזמן ההלואה, ב"י.</w:t>
      </w:r>
    </w:p>
  </w:footnote>
  <w:footnote w:id="3341">
    <w:p w14:paraId="5DD27681" w14:textId="77777777" w:rsidR="0013116F" w:rsidRDefault="0013116F" w:rsidP="001D49D4">
      <w:pPr>
        <w:pStyle w:val="a9"/>
      </w:pPr>
      <w:r>
        <w:rPr>
          <w:rStyle w:val="ab"/>
        </w:rPr>
        <w:footnoteRef/>
      </w:r>
      <w:r>
        <w:rPr>
          <w:rtl/>
        </w:rPr>
        <w:t xml:space="preserve"> רי"ף </w:t>
      </w:r>
      <w:r>
        <w:rPr>
          <w:sz w:val="16"/>
          <w:szCs w:val="16"/>
          <w:rtl/>
        </w:rPr>
        <w:t xml:space="preserve">(מב:, כ"כ הטור והב"י </w:t>
      </w:r>
      <w:r>
        <w:rPr>
          <w:sz w:val="14"/>
          <w:szCs w:val="14"/>
          <w:rtl/>
        </w:rPr>
        <w:t xml:space="preserve">[בבדה"ב] </w:t>
      </w:r>
      <w:r>
        <w:rPr>
          <w:sz w:val="16"/>
          <w:szCs w:val="16"/>
          <w:rtl/>
        </w:rPr>
        <w:t xml:space="preserve">בשמו) </w:t>
      </w:r>
      <w:r>
        <w:rPr>
          <w:rtl/>
        </w:rPr>
        <w:t xml:space="preserve">רש"י </w:t>
      </w:r>
      <w:r>
        <w:rPr>
          <w:sz w:val="16"/>
          <w:szCs w:val="16"/>
          <w:rtl/>
        </w:rPr>
        <w:t>(כ"כ הטור והב"י בשמו)</w:t>
      </w:r>
      <w:r>
        <w:rPr>
          <w:rtl/>
        </w:rPr>
        <w:t xml:space="preserve"> רמב"ם </w:t>
      </w:r>
      <w:r>
        <w:rPr>
          <w:sz w:val="16"/>
          <w:szCs w:val="16"/>
          <w:rtl/>
        </w:rPr>
        <w:t>(פכ"ג ממלוה ולוה ה"א)</w:t>
      </w:r>
      <w:r>
        <w:rPr>
          <w:rtl/>
        </w:rPr>
        <w:t xml:space="preserve"> ורבינו יונה</w:t>
      </w:r>
      <w:r>
        <w:rPr>
          <w:sz w:val="16"/>
          <w:szCs w:val="16"/>
          <w:rtl/>
        </w:rPr>
        <w:t xml:space="preserve"> (עליות דרבינו יונה ב"ב קסב:)</w:t>
      </w:r>
      <w:r>
        <w:rPr>
          <w:rtl/>
        </w:rPr>
        <w:t>.</w:t>
      </w:r>
    </w:p>
  </w:footnote>
  <w:footnote w:id="3342">
    <w:p w14:paraId="6E191637" w14:textId="77777777" w:rsidR="0013116F" w:rsidRDefault="0013116F" w:rsidP="001D49D4">
      <w:pPr>
        <w:pStyle w:val="a9"/>
        <w:rPr>
          <w:rtl/>
        </w:rPr>
      </w:pPr>
      <w:r>
        <w:rPr>
          <w:rStyle w:val="ab"/>
        </w:rPr>
        <w:footnoteRef/>
      </w:r>
      <w:r>
        <w:rPr>
          <w:rtl/>
        </w:rPr>
        <w:t xml:space="preserve"> הרא"ש</w:t>
      </w:r>
      <w:r>
        <w:rPr>
          <w:sz w:val="16"/>
          <w:szCs w:val="16"/>
          <w:rtl/>
        </w:rPr>
        <w:t xml:space="preserve"> (סי' נח)</w:t>
      </w:r>
      <w:r>
        <w:rPr>
          <w:rtl/>
        </w:rPr>
        <w:t xml:space="preserve"> כתב תחלה דכמלוה על פה דמי ואח"כ כתב והתוספות כתבו דאין גובה אפילו מבני חרי בשטר זה, ודקדקו מלשון פסולים דמשמע דהוי כשטר פסול ואין גובה בו כלל עכ"ל, ולא הכריע אבל רבינו כתב שדעתו כדעת התוספות מדהביאם לבסוף, ב"י. וכתב עוד הב"י (בבדה"ב) דאין הבנת הטור מוכרחת בדברי הרא"ש.</w:t>
      </w:r>
    </w:p>
  </w:footnote>
  <w:footnote w:id="3343">
    <w:p w14:paraId="537636A3" w14:textId="77777777" w:rsidR="0013116F" w:rsidRDefault="0013116F" w:rsidP="001D49D4">
      <w:pPr>
        <w:pStyle w:val="a9"/>
      </w:pPr>
      <w:r>
        <w:rPr>
          <w:rStyle w:val="ab"/>
        </w:rPr>
        <w:footnoteRef/>
      </w:r>
      <w:r>
        <w:rPr>
          <w:rtl/>
        </w:rPr>
        <w:t xml:space="preserve"> וכתב הריב"ש בתשובה</w:t>
      </w:r>
      <w:r>
        <w:rPr>
          <w:sz w:val="16"/>
          <w:szCs w:val="16"/>
          <w:rtl/>
        </w:rPr>
        <w:t xml:space="preserve"> (סי' שפב) </w:t>
      </w:r>
      <w:r>
        <w:rPr>
          <w:rtl/>
        </w:rPr>
        <w:t xml:space="preserve">שיש ראיה לדעת ר"י מדאקשינן בפ"ק דמציעא </w:t>
      </w:r>
      <w:r>
        <w:rPr>
          <w:sz w:val="16"/>
          <w:szCs w:val="16"/>
          <w:rtl/>
        </w:rPr>
        <w:t xml:space="preserve">(יז.) </w:t>
      </w:r>
      <w:r>
        <w:rPr>
          <w:rtl/>
        </w:rPr>
        <w:t>גבי שטר שלוה בו ופרעו וכו' תיפוק ליה דהוה ליה מוקדם וכו' ומאי קושיא הא טעמא דנמחל שעבודו עדיף דלא גבי אפילו מבני חרי אלא ודאי מוקדם פסול לגמרי. עכ"ל. וכתב הדרכ"מ (אות ב) וז"ל- ודע שאע"פ שכתב ר"י שהשטר פסול לגמרי מ"מ אם החייב מודה צריך לשלם אלא שהשטר פסול ויכול לכפורי, כן מוכח בתוספות ובאשר"י וכן הוא מוכח בהגמ"ר פרק איזהו נשך (סי' תמ) ופשוט הוא.</w:t>
      </w:r>
    </w:p>
  </w:footnote>
  <w:footnote w:id="3344">
    <w:p w14:paraId="791AF263" w14:textId="77777777" w:rsidR="0013116F" w:rsidRDefault="0013116F" w:rsidP="001D49D4">
      <w:pPr>
        <w:pStyle w:val="a9"/>
        <w:rPr>
          <w:rtl/>
        </w:rPr>
      </w:pPr>
      <w:r>
        <w:rPr>
          <w:rStyle w:val="ab"/>
        </w:rPr>
        <w:footnoteRef/>
      </w:r>
      <w:r>
        <w:rPr>
          <w:rtl/>
        </w:rPr>
        <w:t xml:space="preserve"> </w:t>
      </w:r>
      <w:r>
        <w:rPr>
          <w:rFonts w:hint="cs"/>
          <w:rtl/>
        </w:rPr>
        <w:t>צל"ע משום שלא מצאתי היכן אומר כן, צריך לעיין שוב ביד רמ"ה ב"ב קעא ע"א.</w:t>
      </w:r>
    </w:p>
  </w:footnote>
  <w:footnote w:id="3345">
    <w:p w14:paraId="19D1C4BE" w14:textId="77777777" w:rsidR="0013116F" w:rsidRDefault="0013116F" w:rsidP="001D49D4">
      <w:pPr>
        <w:pStyle w:val="a9"/>
      </w:pPr>
      <w:r>
        <w:rPr>
          <w:rStyle w:val="ab"/>
        </w:rPr>
        <w:footnoteRef/>
      </w:r>
      <w:r>
        <w:rPr>
          <w:rtl/>
        </w:rPr>
        <w:t xml:space="preserve"> נראה דטעמו דבפרק איזהו נשך אההיא דרבי יוחנן קאמרינן אלא הא דאמר רבי יוחנן גזרה שמא יגבה מזמן הראשון נימא לא ניתן ליכתב אמר ליה הכי השתא התם נהי דלא ניתן ליכתב מזמן ראשון אבל ניתן ליכתב מזמן שני הכא לא ניתן ליכתב כלל שמעינן דלא אמר רבי יוחנן דגזרו חכמים אלא היכא דלא ניתן ליכתב מזמן הראשון כגון שלוה באחד בניסן והקדים הזמן באחד בתשרי וכו', ב"ח.</w:t>
      </w:r>
    </w:p>
  </w:footnote>
  <w:footnote w:id="3346">
    <w:p w14:paraId="1F755B68" w14:textId="77777777" w:rsidR="0013116F" w:rsidRDefault="0013116F" w:rsidP="001D49D4">
      <w:pPr>
        <w:pStyle w:val="a9"/>
        <w:rPr>
          <w:rtl/>
        </w:rPr>
      </w:pPr>
      <w:r>
        <w:rPr>
          <w:rStyle w:val="ab"/>
        </w:rPr>
        <w:footnoteRef/>
      </w:r>
      <w:r>
        <w:rPr>
          <w:rtl/>
        </w:rPr>
        <w:t xml:space="preserve"> ואין נראה לחלק דנהי דניתן ליכתב מ"מ איכא למיחש שמא יבא לגבות מניסן שלא כדין, טור.</w:t>
      </w:r>
    </w:p>
  </w:footnote>
  <w:footnote w:id="3347">
    <w:p w14:paraId="744068F7" w14:textId="77777777" w:rsidR="0013116F" w:rsidRDefault="0013116F" w:rsidP="001D49D4">
      <w:pPr>
        <w:pStyle w:val="a9"/>
        <w:rPr>
          <w:rtl/>
        </w:rPr>
      </w:pPr>
      <w:r>
        <w:rPr>
          <w:rStyle w:val="ab"/>
        </w:rPr>
        <w:footnoteRef/>
      </w:r>
      <w:r>
        <w:rPr>
          <w:rtl/>
        </w:rPr>
        <w:t xml:space="preserve"> נראה לי שהוא כדין שאר שטרות שיתבאר בסימן (פב ס"ג), ב"י (בבדה"ב).</w:t>
      </w:r>
    </w:p>
  </w:footnote>
  <w:footnote w:id="3348">
    <w:p w14:paraId="6607B0CF" w14:textId="77777777" w:rsidR="0013116F" w:rsidRDefault="0013116F" w:rsidP="001D49D4">
      <w:pPr>
        <w:pStyle w:val="a9"/>
        <w:rPr>
          <w:rtl/>
        </w:rPr>
      </w:pPr>
      <w:r>
        <w:rPr>
          <w:rStyle w:val="ab"/>
        </w:rPr>
        <w:footnoteRef/>
      </w:r>
      <w:r>
        <w:rPr>
          <w:rtl/>
        </w:rPr>
        <w:t xml:space="preserve"> </w:t>
      </w:r>
      <w:r>
        <w:rPr>
          <w:rFonts w:hint="cs"/>
          <w:rtl/>
        </w:rPr>
        <w:t xml:space="preserve">וכ"כ רבינו יונה </w:t>
      </w:r>
      <w:r>
        <w:rPr>
          <w:sz w:val="16"/>
          <w:szCs w:val="16"/>
          <w:rtl/>
        </w:rPr>
        <w:t>(עליות דרבינו יונה ב"ב קסב:)</w:t>
      </w:r>
      <w:r>
        <w:rPr>
          <w:rtl/>
        </w:rPr>
        <w:t xml:space="preserve"> שלא מצי טעין להד"מ, והביאו הטור בסימן מ"ה ס"ז.</w:t>
      </w:r>
    </w:p>
  </w:footnote>
  <w:footnote w:id="3349">
    <w:p w14:paraId="5016D063" w14:textId="77777777" w:rsidR="0013116F" w:rsidRDefault="0013116F" w:rsidP="001D49D4">
      <w:pPr>
        <w:pStyle w:val="a9"/>
      </w:pPr>
      <w:r>
        <w:rPr>
          <w:rStyle w:val="ab"/>
        </w:rPr>
        <w:footnoteRef/>
      </w:r>
      <w:r>
        <w:rPr>
          <w:rtl/>
        </w:rPr>
        <w:t xml:space="preserve"> נראה, דהיינו לומר כשבא לבית דין בשטר כזה לתבוע את הלוה, גובה בו מיד מבני חורין וקורעין את השטר, או שכותבין לו פסק דין על הלוה וממילא טורף אף ממשעבדי מיום שנכתב הפסק דין, אבל אין מוסרים לו השטר שיגבה מהלוה מבני חורין, דהא יש לחוש שיגבה בו ממשעבדי מזמן ראשון, ש"ך (סק"י). וכתב הסמ"ע (סק"י) דאפילו אם יקחו הב"ד השטר בידם ולא יתנו לטרוף מזמן ראשון, או שיכתבו ב"ד על השטר 'שטר זה לא יטרוף בו כי אם מזמן זה'</w:t>
      </w:r>
      <w:r>
        <w:rPr>
          <w:sz w:val="16"/>
          <w:szCs w:val="16"/>
          <w:rtl/>
        </w:rPr>
        <w:t xml:space="preserve"> {היינו מזמן שני}</w:t>
      </w:r>
      <w:r>
        <w:rPr>
          <w:rtl/>
        </w:rPr>
        <w:t xml:space="preserve">, אפ"ה אינו גובה ממשועבדים משום קנס, כיון דמתחילת כתיבתו היה ראוי ועומד לטרוף בו מזמן ראשון. עכ"ל הסמ"ע. וכתב הש"ך (סקי"א) דאף שבש"ס ופוסקים לא מוכח מידי מ"מ לענין דינא מסתבר כדברי הסמ"ע </w:t>
      </w:r>
      <w:r>
        <w:rPr>
          <w:sz w:val="16"/>
          <w:szCs w:val="16"/>
          <w:rtl/>
        </w:rPr>
        <w:t>(דדמי לדלקמן סי' מה סע' יד, דכיון שנראה פיסולו בב"ד שוב אין לו תקנה ע"ש)</w:t>
      </w:r>
      <w:r>
        <w:rPr>
          <w:rtl/>
        </w:rPr>
        <w:t xml:space="preserve">. ולפי"ז אם המלוה בעצמו כתב עליו קודם שהראה בבית דין שלא ניתן לטרוף אלא מזמן זה </w:t>
      </w:r>
      <w:r>
        <w:rPr>
          <w:sz w:val="16"/>
          <w:szCs w:val="16"/>
          <w:rtl/>
        </w:rPr>
        <w:t>{היינו מזמן שני}</w:t>
      </w:r>
      <w:r>
        <w:rPr>
          <w:rtl/>
        </w:rPr>
        <w:t>, כשר, וכן נראה.</w:t>
      </w:r>
    </w:p>
  </w:footnote>
  <w:footnote w:id="3350">
    <w:p w14:paraId="164541FB" w14:textId="77777777" w:rsidR="0013116F" w:rsidRDefault="0013116F" w:rsidP="001D49D4">
      <w:pPr>
        <w:pStyle w:val="a9"/>
      </w:pPr>
      <w:r>
        <w:rPr>
          <w:rStyle w:val="ab"/>
        </w:rPr>
        <w:footnoteRef/>
      </w:r>
      <w:r>
        <w:rPr>
          <w:rtl/>
        </w:rPr>
        <w:t xml:space="preserve"> </w:t>
      </w:r>
      <w:r>
        <w:rPr>
          <w:rFonts w:hint="cs"/>
          <w:rtl/>
        </w:rPr>
        <w:t>אע"פ שהעדים כשרים, ש"ך (סקי"ג).</w:t>
      </w:r>
      <w:r>
        <w:rPr>
          <w:rtl/>
        </w:rPr>
        <w:t xml:space="preserve"> אבל מ"מ לכולי עלמא גובה מהלוה כשהוא מודה שהוא חייב או כשיש עדים בזה </w:t>
      </w:r>
      <w:r>
        <w:rPr>
          <w:sz w:val="16"/>
          <w:szCs w:val="16"/>
          <w:rtl/>
        </w:rPr>
        <w:t xml:space="preserve">(וכ"כ מהר"ש כהן ספר ב סי' קנח ומהר"א ן' ששון סי' קמה, וכן נראה מבואר מדברי הסמ"ע </w:t>
      </w:r>
      <w:r>
        <w:rPr>
          <w:sz w:val="14"/>
          <w:szCs w:val="14"/>
          <w:rtl/>
        </w:rPr>
        <w:t xml:space="preserve">[סקי"א ושם סק"ד] </w:t>
      </w:r>
      <w:r>
        <w:rPr>
          <w:sz w:val="16"/>
          <w:szCs w:val="16"/>
          <w:rtl/>
        </w:rPr>
        <w:t>והב"ח</w:t>
      </w:r>
      <w:r>
        <w:rPr>
          <w:sz w:val="14"/>
          <w:szCs w:val="14"/>
          <w:rtl/>
        </w:rPr>
        <w:t xml:space="preserve"> [סע' ו]</w:t>
      </w:r>
      <w:r>
        <w:rPr>
          <w:sz w:val="16"/>
          <w:szCs w:val="16"/>
          <w:rtl/>
        </w:rPr>
        <w:t xml:space="preserve"> ושאר אחרונים והוא פשוט)</w:t>
      </w:r>
      <w:r>
        <w:rPr>
          <w:rtl/>
        </w:rPr>
        <w:t>, ש"ך</w:t>
      </w:r>
      <w:r>
        <w:rPr>
          <w:sz w:val="16"/>
          <w:szCs w:val="16"/>
          <w:rtl/>
        </w:rPr>
        <w:t xml:space="preserve"> (סקי"ד)</w:t>
      </w:r>
      <w:r>
        <w:rPr>
          <w:rtl/>
        </w:rPr>
        <w:t>.</w:t>
      </w:r>
    </w:p>
  </w:footnote>
  <w:footnote w:id="3351">
    <w:p w14:paraId="7A00EFC1" w14:textId="77777777" w:rsidR="0013116F" w:rsidRDefault="0013116F" w:rsidP="001D49D4">
      <w:pPr>
        <w:pStyle w:val="a9"/>
        <w:rPr>
          <w:rtl/>
        </w:rPr>
      </w:pPr>
      <w:r>
        <w:rPr>
          <w:rStyle w:val="ab"/>
        </w:rPr>
        <w:footnoteRef/>
      </w:r>
      <w:r>
        <w:rPr>
          <w:rtl/>
        </w:rPr>
        <w:t xml:space="preserve"> וכתב הסמ"ע </w:t>
      </w:r>
      <w:r>
        <w:rPr>
          <w:sz w:val="16"/>
          <w:szCs w:val="16"/>
          <w:rtl/>
        </w:rPr>
        <w:t xml:space="preserve">(סקי"א) </w:t>
      </w:r>
      <w:r>
        <w:rPr>
          <w:rtl/>
        </w:rPr>
        <w:t xml:space="preserve">דמוכח מדברי הטור דאינו ר"ל נפסל לגמרי מכל וכל, אלא אם טוען להד"ם אינו נאמן והוחזק כפרן מכח זה השטר, אלא שאם טוען פרעתי נאמן. וכתב שכן דעת מהרש"ל </w:t>
      </w:r>
      <w:r>
        <w:rPr>
          <w:sz w:val="16"/>
          <w:szCs w:val="16"/>
          <w:rtl/>
        </w:rPr>
        <w:t>(בחידושיו לטור)</w:t>
      </w:r>
      <w:r>
        <w:rPr>
          <w:rtl/>
        </w:rPr>
        <w:t xml:space="preserve">. אך הש"ך </w:t>
      </w:r>
      <w:r>
        <w:rPr>
          <w:sz w:val="16"/>
          <w:szCs w:val="16"/>
          <w:rtl/>
        </w:rPr>
        <w:t xml:space="preserve">(סקי"ב) </w:t>
      </w:r>
      <w:r>
        <w:rPr>
          <w:rtl/>
        </w:rPr>
        <w:t xml:space="preserve">כתב דלא מוכח מידי מדברי הטור </w:t>
      </w:r>
      <w:r>
        <w:rPr>
          <w:sz w:val="16"/>
          <w:szCs w:val="16"/>
          <w:rtl/>
        </w:rPr>
        <w:t>(והא דהביא הטור [בסי' מה ס"ז] את דעת רבינו יונה דלא מצי לומר להד"מ היינו לדעת רבנו יונה אבל הטור לא ס"ל הכי והביאו בשביל דינים אחרים)</w:t>
      </w:r>
      <w:r>
        <w:rPr>
          <w:rtl/>
        </w:rPr>
        <w:t xml:space="preserve">, ומדעת ר"י בעל התוס' שהביא הטור כאן משמע דנפסל לגמרי מכל וכל, וכ"מ בהריב"ש </w:t>
      </w:r>
      <w:r>
        <w:rPr>
          <w:sz w:val="16"/>
          <w:szCs w:val="16"/>
          <w:rtl/>
        </w:rPr>
        <w:t>(סי' שפב סד"ה יבמה)</w:t>
      </w:r>
      <w:r>
        <w:rPr>
          <w:rtl/>
        </w:rPr>
        <w:t xml:space="preserve"> לדעת ר"י... וכ"נ מדברי הר"ב.</w:t>
      </w:r>
    </w:p>
  </w:footnote>
  <w:footnote w:id="3352">
    <w:p w14:paraId="10FABA73" w14:textId="77777777" w:rsidR="0013116F" w:rsidRDefault="0013116F" w:rsidP="001D49D4">
      <w:pPr>
        <w:pStyle w:val="a9"/>
        <w:rPr>
          <w:rtl/>
        </w:rPr>
      </w:pPr>
      <w:r>
        <w:rPr>
          <w:rStyle w:val="ab"/>
        </w:rPr>
        <w:footnoteRef/>
      </w:r>
      <w:r>
        <w:rPr>
          <w:rtl/>
        </w:rPr>
        <w:t xml:space="preserve"> וכ"כ נמוק"י פרק איזהו נשך (מב: ד"ה ת"ר) והמגיד משנה פכ"ג דמלוה (ה"א), דרכ"מ (אות א****).</w:t>
      </w:r>
    </w:p>
  </w:footnote>
  <w:footnote w:id="3353">
    <w:p w14:paraId="7DCF80A6" w14:textId="77777777" w:rsidR="0013116F" w:rsidRDefault="0013116F" w:rsidP="001D49D4">
      <w:pPr>
        <w:pStyle w:val="a9"/>
        <w:rPr>
          <w:rtl/>
        </w:rPr>
      </w:pPr>
      <w:r>
        <w:rPr>
          <w:rStyle w:val="ab"/>
        </w:rPr>
        <w:footnoteRef/>
      </w:r>
      <w:r>
        <w:rPr>
          <w:rtl/>
        </w:rPr>
        <w:t xml:space="preserve"> </w:t>
      </w:r>
      <w:r>
        <w:rPr>
          <w:rFonts w:hint="cs"/>
          <w:rtl/>
        </w:rPr>
        <w:t>כלומר מי מודיע שהשטר הוא מוקדם.</w:t>
      </w:r>
    </w:p>
  </w:footnote>
  <w:footnote w:id="3354">
    <w:p w14:paraId="1C876D52" w14:textId="77777777" w:rsidR="0013116F" w:rsidRDefault="0013116F" w:rsidP="001D49D4">
      <w:pPr>
        <w:pStyle w:val="a9"/>
        <w:rPr>
          <w:rtl/>
        </w:rPr>
      </w:pPr>
      <w:r>
        <w:rPr>
          <w:rStyle w:val="ab"/>
        </w:rPr>
        <w:footnoteRef/>
      </w:r>
      <w:r>
        <w:rPr>
          <w:rtl/>
        </w:rPr>
        <w:t xml:space="preserve"> שם אומרים נעשה כמי שנחקרה עידותן בבית דין, ידיד נפש.</w:t>
      </w:r>
    </w:p>
  </w:footnote>
  <w:footnote w:id="3355">
    <w:p w14:paraId="1279B6F0" w14:textId="77777777" w:rsidR="0013116F" w:rsidRDefault="0013116F" w:rsidP="001D49D4">
      <w:pPr>
        <w:pStyle w:val="a9"/>
        <w:rPr>
          <w:rtl/>
        </w:rPr>
      </w:pPr>
      <w:r>
        <w:rPr>
          <w:rStyle w:val="ab"/>
        </w:rPr>
        <w:footnoteRef/>
      </w:r>
      <w:r>
        <w:rPr>
          <w:rtl/>
        </w:rPr>
        <w:t xml:space="preserve"> על עיקר ההלוואה, ידיד נפש.</w:t>
      </w:r>
    </w:p>
  </w:footnote>
  <w:footnote w:id="3356">
    <w:p w14:paraId="626BC7FD" w14:textId="77777777" w:rsidR="0013116F" w:rsidRDefault="0013116F" w:rsidP="001D49D4">
      <w:pPr>
        <w:pStyle w:val="a9"/>
        <w:rPr>
          <w:rtl/>
        </w:rPr>
      </w:pPr>
      <w:r>
        <w:rPr>
          <w:rStyle w:val="ab"/>
        </w:rPr>
        <w:footnoteRef/>
      </w:r>
      <w:r>
        <w:rPr>
          <w:rtl/>
        </w:rPr>
        <w:t xml:space="preserve"> על התאריך, כי לא שמנו לב לזה, ידיד נפש.</w:t>
      </w:r>
    </w:p>
  </w:footnote>
  <w:footnote w:id="3357">
    <w:p w14:paraId="5BE41498" w14:textId="77777777" w:rsidR="0013116F" w:rsidRDefault="0013116F" w:rsidP="001D49D4">
      <w:pPr>
        <w:pStyle w:val="a9"/>
      </w:pPr>
      <w:r>
        <w:rPr>
          <w:rStyle w:val="ab"/>
        </w:rPr>
        <w:footnoteRef/>
      </w:r>
      <w:r>
        <w:rPr>
          <w:rtl/>
        </w:rPr>
        <w:t xml:space="preserve"> ואינו יכול לגבות בהם גם מהזמן הנכון כי קנסו אותו, ידיד נפש.</w:t>
      </w:r>
    </w:p>
  </w:footnote>
  <w:footnote w:id="3358">
    <w:p w14:paraId="57F6E355" w14:textId="77777777" w:rsidR="0013116F" w:rsidRDefault="0013116F" w:rsidP="001D49D4">
      <w:pPr>
        <w:pStyle w:val="a9"/>
      </w:pPr>
      <w:r>
        <w:rPr>
          <w:rStyle w:val="ab"/>
        </w:rPr>
        <w:footnoteRef/>
      </w:r>
      <w:r>
        <w:rPr>
          <w:rtl/>
        </w:rPr>
        <w:t xml:space="preserve"> ולא קנסו אותו לפסול את השטר לגמרי, ידיד נפש.</w:t>
      </w:r>
    </w:p>
  </w:footnote>
  <w:footnote w:id="3359">
    <w:p w14:paraId="357C2519" w14:textId="77777777" w:rsidR="0013116F" w:rsidRDefault="0013116F" w:rsidP="001D49D4">
      <w:pPr>
        <w:pStyle w:val="a9"/>
      </w:pPr>
      <w:r>
        <w:rPr>
          <w:rStyle w:val="ab"/>
        </w:rPr>
        <w:footnoteRef/>
      </w:r>
      <w:r>
        <w:rPr>
          <w:rtl/>
        </w:rPr>
        <w:t xml:space="preserve"> </w:t>
      </w:r>
      <w:r>
        <w:rPr>
          <w:rFonts w:hint="cs"/>
          <w:rtl/>
        </w:rPr>
        <w:t xml:space="preserve">הרז"ה הביא את הירושלמי לעיל וכתב </w:t>
      </w:r>
      <w:r>
        <w:rPr>
          <w:rtl/>
        </w:rPr>
        <w:t xml:space="preserve">שממנו אנו למדין שכל טעות שהעדים מצויין לטעות בו נאמנין הם בעצמם ואין בזה משום חוזר ומגיד. עכ"ל. וכתב הר"ן (שם) שנראה מדבריו שהעדים נאמנים בכך אפילו כתב ידן יוצא ממקום אחר. </w:t>
      </w:r>
    </w:p>
  </w:footnote>
  <w:footnote w:id="3360">
    <w:p w14:paraId="76A7F52A" w14:textId="77777777" w:rsidR="0013116F" w:rsidRDefault="0013116F" w:rsidP="001D49D4">
      <w:pPr>
        <w:pStyle w:val="a9"/>
        <w:rPr>
          <w:rtl/>
        </w:rPr>
      </w:pPr>
      <w:r>
        <w:rPr>
          <w:rStyle w:val="ab"/>
        </w:rPr>
        <w:footnoteRef/>
      </w:r>
      <w:r>
        <w:rPr>
          <w:rtl/>
        </w:rPr>
        <w:t xml:space="preserve"> וכתב הריב"ש בתשובה </w:t>
      </w:r>
      <w:r>
        <w:rPr>
          <w:sz w:val="16"/>
          <w:szCs w:val="16"/>
          <w:rtl/>
        </w:rPr>
        <w:t xml:space="preserve">(סי' שפב) </w:t>
      </w:r>
      <w:r>
        <w:rPr>
          <w:rtl/>
        </w:rPr>
        <w:t xml:space="preserve">שסיים הרבינו זרחיה וצריך בית דין הגדול ולהחמיץ הדין. (וכ"פ הש"ך </w:t>
      </w:r>
      <w:r>
        <w:rPr>
          <w:sz w:val="14"/>
          <w:szCs w:val="14"/>
          <w:rtl/>
        </w:rPr>
        <w:t>[סקי"ח]</w:t>
      </w:r>
      <w:r>
        <w:rPr>
          <w:rtl/>
        </w:rPr>
        <w:t>)</w:t>
      </w:r>
    </w:p>
  </w:footnote>
  <w:footnote w:id="3361">
    <w:p w14:paraId="2475383B" w14:textId="77777777" w:rsidR="0013116F" w:rsidRDefault="0013116F" w:rsidP="001D49D4">
      <w:pPr>
        <w:pStyle w:val="a9"/>
      </w:pPr>
      <w:r>
        <w:rPr>
          <w:rStyle w:val="ab"/>
        </w:rPr>
        <w:footnoteRef/>
      </w:r>
      <w:r>
        <w:rPr>
          <w:rtl/>
        </w:rPr>
        <w:t xml:space="preserve"> </w:t>
      </w:r>
      <w:r>
        <w:rPr>
          <w:rFonts w:hint="cs"/>
          <w:rtl/>
        </w:rPr>
        <w:t xml:space="preserve">וז"ל- </w:t>
      </w:r>
      <w:r>
        <w:rPr>
          <w:rtl/>
        </w:rPr>
        <w:t>הכא במאי עסקינן שיש עדים שמעידים עליהן שהיו אנוסים מחמת נפשות, או כגון שאומרים טעינו בשנת המלך, או בעיבור בין מלא לחסר ולא הזכירו בשטר בכמה בשבת אלא בכמה בחדש. עכ"ל. וכ"כ הרא"ש (סי' נח). והא ודאי דאם כתב ידם יוצא ממקום אחר דלא מהימני למימר טעינו, אלא ודאי בשאין כתב ידם יוצא ממקום אחר עסקינן הא לאו הכי לא מהימני. והוא הדין נמי שאם אין כתב ידם יוצא שהן עצמן נאמנין לומר אנוסים היינו מחמת נפשות, וכ"כ הה"מ (שם), וברור הוא, אלא דנקטה רבינו בעדים אחרים מעידים לאשמועינן דאפילו בשכתב ידן יוצא ממקום אחר נאמנין, ב"י.</w:t>
      </w:r>
    </w:p>
  </w:footnote>
  <w:footnote w:id="3362">
    <w:p w14:paraId="3FFAFF88" w14:textId="77777777" w:rsidR="0013116F" w:rsidRDefault="0013116F" w:rsidP="001D49D4">
      <w:pPr>
        <w:pStyle w:val="a9"/>
        <w:rPr>
          <w:rtl/>
        </w:rPr>
      </w:pPr>
      <w:r>
        <w:rPr>
          <w:rStyle w:val="ab"/>
        </w:rPr>
        <w:footnoteRef/>
      </w:r>
      <w:r>
        <w:rPr>
          <w:rtl/>
        </w:rPr>
        <w:t xml:space="preserve"> והה"מ </w:t>
      </w:r>
      <w:r>
        <w:rPr>
          <w:sz w:val="16"/>
          <w:szCs w:val="16"/>
          <w:rtl/>
        </w:rPr>
        <w:t xml:space="preserve">(פכ"ג ממלוה ה"א) </w:t>
      </w:r>
      <w:r>
        <w:rPr>
          <w:rtl/>
        </w:rPr>
        <w:t xml:space="preserve">כתב תירוץ זה בשם הרמב"ן </w:t>
      </w:r>
      <w:r>
        <w:rPr>
          <w:sz w:val="16"/>
          <w:szCs w:val="16"/>
          <w:rtl/>
        </w:rPr>
        <w:t xml:space="preserve">(שם ד"ה אבל) </w:t>
      </w:r>
      <w:r>
        <w:rPr>
          <w:rtl/>
        </w:rPr>
        <w:t xml:space="preserve">והרשב"א </w:t>
      </w:r>
      <w:r>
        <w:rPr>
          <w:sz w:val="16"/>
          <w:szCs w:val="16"/>
          <w:rtl/>
        </w:rPr>
        <w:t>(עב. ד"ה הא דתנן)</w:t>
      </w:r>
      <w:r>
        <w:rPr>
          <w:rtl/>
        </w:rPr>
        <w:t>, וחתם דבריו- אבל ודאי אם כתבו בניסן והקדימו הזמן מתשרי שעבר בלא אונס נפשות - פסולים הן, ואין לזה תורת שטר כלל ואין כאן עדות. (וכ"פ הש"ך</w:t>
      </w:r>
      <w:r>
        <w:rPr>
          <w:sz w:val="16"/>
          <w:szCs w:val="16"/>
          <w:rtl/>
        </w:rPr>
        <w:t xml:space="preserve"> [סקט"ו]</w:t>
      </w:r>
      <w:r>
        <w:rPr>
          <w:rtl/>
        </w:rPr>
        <w:t>)</w:t>
      </w:r>
    </w:p>
  </w:footnote>
  <w:footnote w:id="3363">
    <w:p w14:paraId="1B29E4EB" w14:textId="77777777" w:rsidR="0013116F" w:rsidRDefault="0013116F" w:rsidP="001D49D4">
      <w:pPr>
        <w:pStyle w:val="a9"/>
        <w:rPr>
          <w:rtl/>
        </w:rPr>
      </w:pPr>
      <w:r>
        <w:rPr>
          <w:rStyle w:val="ab"/>
        </w:rPr>
        <w:footnoteRef/>
      </w:r>
      <w:r>
        <w:rPr>
          <w:rtl/>
        </w:rPr>
        <w:t xml:space="preserve"> </w:t>
      </w:r>
      <w:r>
        <w:rPr>
          <w:rFonts w:hint="cs"/>
          <w:rtl/>
        </w:rPr>
        <w:t>כ"כ הדרכ"מ (אות ג) בשם הריב"ש, וכן העתיק הסמ"ע (סקי"ג) בשמו. אך הש"ך השיג עליהם וכתב שהריב"ש לא כתב דברים אלו, אלא הריב"ש דיבר משטר שהיה כתוב בו ק"ד במקום קל"ד. והשאיר את דבריהם בצ"ע. אך התומים (סק"ו) כתב שהגירסא הנכונה בדברי הדרכ"מ היא- '</w:t>
      </w:r>
      <w:r>
        <w:rPr>
          <w:rtl/>
        </w:rPr>
        <w:t>עדים דהיה להם לכתוב בשנת קל"ד וטעו וכתבו ק"ד'. וכתב דכן הוא בריב"ש סי' שפב. אך מ"מ סיים התומים וכתב- לא ידעתי איך החליט הדין דלא שכיח לטעות בין קל"ד לק"ד, עד שאתה שומע לדברי התלמיד, היה שומע לדברי הרב כי הר"ן רבו בתשובה סוף שו"ת שלו (סי' עז ובדפוסים ישנים סי' פז) השיב לריב"ש והכשירו, ופסק להדיא דאין העדים פסולים הואיל וטעו בדבר שמצוים לטעות, והרי אף זו סבירא ליה דהוי כמצוי לטעות, ולכן דין זה צ"ע.</w:t>
      </w:r>
    </w:p>
  </w:footnote>
  <w:footnote w:id="3364">
    <w:p w14:paraId="313FBD0D" w14:textId="77777777" w:rsidR="0013116F" w:rsidRDefault="0013116F" w:rsidP="001D49D4">
      <w:pPr>
        <w:pStyle w:val="a9"/>
        <w:rPr>
          <w:rtl/>
        </w:rPr>
      </w:pPr>
      <w:r>
        <w:rPr>
          <w:rStyle w:val="ab"/>
        </w:rPr>
        <w:footnoteRef/>
      </w:r>
      <w:r>
        <w:rPr>
          <w:rtl/>
        </w:rPr>
        <w:t xml:space="preserve"> וכתב הש"ך</w:t>
      </w:r>
      <w:r>
        <w:rPr>
          <w:sz w:val="16"/>
          <w:szCs w:val="16"/>
          <w:rtl/>
        </w:rPr>
        <w:t xml:space="preserve"> (סקכ"ב)</w:t>
      </w:r>
      <w:r>
        <w:rPr>
          <w:rtl/>
        </w:rPr>
        <w:t xml:space="preserve">- לא ידעתי למה הוצרך לזה </w:t>
      </w:r>
      <w:r>
        <w:rPr>
          <w:sz w:val="16"/>
          <w:szCs w:val="16"/>
          <w:rtl/>
        </w:rPr>
        <w:t>{היינו הרשב"א והב"י [וכן הסמ"ע (סקט"ו) שהעתיקם]}</w:t>
      </w:r>
      <w:r>
        <w:rPr>
          <w:rtl/>
        </w:rPr>
        <w:t>, דהא בשטר מתנה קי"ל דכותבין אפילו כמה שטרות, וכדמוכח להדיא בפרק גט פשוט (קעא.) וכמ"ש ב"י בשם הרשב"א גופיה [ח"ב סי' שסב] לעיל סימן מ"א מחודש ח' ולקמן סימן מ"ט מחודש ב' [תשו' ח"ג סי' יב] וסימן רל"ט סעיף א'. ואין לומר דמיירי במתנה שיש בה אחריות, דא"כ היאך יכתבו לו שטר אחר מזמן שני, הא אתי למטרף לקוחות שלא כדין בשטר מתנה זה שלא נכתב רק עתה אחר הזמן השני, ואף על פי שאין כתב ידם יוצא ממקום אחר ואית להו מיגו, מ"מ כיון דבאמת שטר זה פסול אף מזמן שני, אינן יכולים לעשות לו שטר אף מזמן שני... אלא ודאי מיירי בסתם מתנה, ולכך יכולים העדים לכתוב לו מזמן שני, שאינה אלא להעמיד המתנה בידו, ולא יהא אלא שמעידין כן בעל פה שנתן לו מתנה זו בזמן פלוני, שהרי היא שלו מזמן פלוני, וא"כ הדרא קושיא לדוכתא ל"ל טעמא דאלו לא עשו שליחותן, וגם אמאי מסיק ואם יש שם עדים אחרים כו', הלא אפילו העדים עצמם יכולים לעשות לו שטר אחר של מתנה. ואולי זמן שני דקאמר, היינו זמן של עכשיו, ומיירי שמיד בשנת נ"ח נודע הפסול, ומיירי במתנה באחריות.</w:t>
      </w:r>
    </w:p>
  </w:footnote>
  <w:footnote w:id="3365">
    <w:p w14:paraId="75445F9B" w14:textId="77777777" w:rsidR="0013116F" w:rsidRDefault="0013116F" w:rsidP="001D49D4">
      <w:pPr>
        <w:pStyle w:val="a9"/>
      </w:pPr>
      <w:r>
        <w:rPr>
          <w:rStyle w:val="ab"/>
        </w:rPr>
        <w:footnoteRef/>
      </w:r>
      <w:r>
        <w:rPr>
          <w:rtl/>
        </w:rPr>
        <w:t xml:space="preserve"> והטעם דבמתנה א"צ שיהיו מזומנים, דדוקא בעדי הלואה דאיכא למימר שעדים שהזמין כתבו וחתמו ויהבי שטר למלוה, והלוה כבר פרע לו ולקח שטרו מידו, ואיך יתנו אלו שאינן מזומנים לו שטר לגבות בו שנית, משא"כ במתנה מיוחדת דלא שייך לגבות בו ב' פעמים, סמ"ע (סקט"ז).</w:t>
      </w:r>
    </w:p>
  </w:footnote>
  <w:footnote w:id="3366">
    <w:p w14:paraId="5B14ACE0" w14:textId="77777777" w:rsidR="0013116F" w:rsidRDefault="0013116F" w:rsidP="001D49D4">
      <w:pPr>
        <w:pStyle w:val="a9"/>
      </w:pPr>
      <w:r>
        <w:rPr>
          <w:rStyle w:val="ab"/>
        </w:rPr>
        <w:footnoteRef/>
      </w:r>
      <w:r>
        <w:rPr>
          <w:rtl/>
        </w:rPr>
        <w:t xml:space="preserve"> ולא דמי למ"ש המחבר בסעיף ה' דאם כתוב ברביעי בשבת כ"ב לתשרי כו' דכשר, דשאני התם דהטעות ניכר מתוכו, דכיון דכתב בו ברביעי בשבת ואותו רביעי היה כ"ד יום לחודש, איצטרכינן למיתלי דטעו בעיבורא דירחא כו' וכמו שכתבתי שם [סק"ח], משא"כ טעות זה דאינו ניכר מתוכו כ"כ, דאין הכל יודעין שלא היה חתנו, גם אין בודקין אחר זה. ועוד, דשם ליכא אלא במה שלא דקדקו לראות אחר הזמן, משא"כ כאן דאיכא למיקנסיה דהא יכול לטרוף מזמן הראשון, וכמו שכתבתי בסעיף ז' [סק"י], סמ"ע (סקי"ד).</w:t>
      </w:r>
    </w:p>
  </w:footnote>
  <w:footnote w:id="3367">
    <w:p w14:paraId="4338F90C" w14:textId="77777777" w:rsidR="0013116F" w:rsidRDefault="0013116F" w:rsidP="001D49D4">
      <w:pPr>
        <w:pStyle w:val="a9"/>
        <w:rPr>
          <w:rtl/>
        </w:rPr>
      </w:pPr>
      <w:r>
        <w:rPr>
          <w:rStyle w:val="ab"/>
        </w:rPr>
        <w:footnoteRef/>
      </w:r>
      <w:r>
        <w:rPr>
          <w:rtl/>
        </w:rPr>
        <w:t xml:space="preserve"> והיינו כהיש חולקין שהביא הר"ב בסמוך לעיל סעיף ח' דבכתב ידם יוצא ממקום אחר אין נאמנים לומר שהוא מוקדם, ולא הגיה כאן כלום, שסמך אמ"ש בסמוך, ש"ך (סקכ"א).</w:t>
      </w:r>
    </w:p>
  </w:footnote>
  <w:footnote w:id="3368">
    <w:p w14:paraId="7BB71BDF" w14:textId="77777777" w:rsidR="0013116F" w:rsidRDefault="0013116F" w:rsidP="001D49D4">
      <w:pPr>
        <w:pStyle w:val="a9"/>
      </w:pPr>
      <w:r>
        <w:rPr>
          <w:rStyle w:val="ab"/>
        </w:rPr>
        <w:footnoteRef/>
      </w:r>
      <w:r>
        <w:rPr>
          <w:rtl/>
        </w:rPr>
        <w:t xml:space="preserve"> דליכא למיחש שמא ימחק זה דביני ביני, דא"כ יפסל שטרו במה שיראה ריוח כשיעור שתי שיטות בין השטר לחתימת העדים, וגם יראה המחיקה. ועיין לקמן סימן מ"ה [סעיף ו' ואילך], סמ"ע (סקי"ח).</w:t>
      </w:r>
    </w:p>
  </w:footnote>
  <w:footnote w:id="3369">
    <w:p w14:paraId="3AB52409" w14:textId="77777777" w:rsidR="0013116F" w:rsidRDefault="0013116F" w:rsidP="001D49D4">
      <w:pPr>
        <w:pStyle w:val="a9"/>
      </w:pPr>
      <w:r>
        <w:rPr>
          <w:rStyle w:val="ab"/>
        </w:rPr>
        <w:footnoteRef/>
      </w:r>
      <w:r>
        <w:rPr>
          <w:rtl/>
        </w:rPr>
        <w:t xml:space="preserve"> </w:t>
      </w:r>
      <w:r>
        <w:rPr>
          <w:rFonts w:hint="cs"/>
          <w:rtl/>
        </w:rPr>
        <w:t xml:space="preserve">כן כתב הב"י בס"ס לט (ס"ס כג) על פי דברי בעל התרומות </w:t>
      </w:r>
      <w:r>
        <w:rPr>
          <w:rtl/>
        </w:rPr>
        <w:t xml:space="preserve">(שער מח ח"א סי' א). וסיים שם בעל התרומות בטעמו וז"ל- דשטרא לא קניא אלא או משעת דמטיא לידיה דמלוה, או משעת קנין בשטרא דאקנייתא, עכ"ל. וכתב הסמ"ע (סקי"ט) דלפי זה למאי דפסקו התוס' [כתובות צד: ד"ה כתב] והרא"ש [ב"מ פ"א סי' מ"ט] והטור [סי' ל"ט סע' כג] דקי"ל כאביי דאמר [שם יג. ועוד] עדיו בחתומיו זכין לו למפרע, הכי נמי אפילו נכתב זמן בשטר ביום א' שאמר להם הלוה לכתוב לחתום ולא מסרוהו ביד המלוה אלא אחר כמה ימים, טורף מזמן הכתיבה, וכמו שכתבתי בס"ס לט [סקל"ט]. עכ"ל הסמ"ע. וכ"כ הש"ך (סקכ"ג, ובסי' לט סקל"ט). </w:t>
      </w:r>
    </w:p>
  </w:footnote>
  <w:footnote w:id="3370">
    <w:p w14:paraId="52344802" w14:textId="77777777" w:rsidR="0013116F" w:rsidRDefault="0013116F" w:rsidP="001D49D4">
      <w:pPr>
        <w:pStyle w:val="a9"/>
        <w:rPr>
          <w:rtl/>
        </w:rPr>
      </w:pPr>
      <w:r>
        <w:rPr>
          <w:rStyle w:val="ab"/>
        </w:rPr>
        <w:footnoteRef/>
      </w:r>
      <w:r>
        <w:rPr>
          <w:rtl/>
        </w:rPr>
        <w:t xml:space="preserve"> </w:t>
      </w:r>
      <w:r>
        <w:rPr>
          <w:rFonts w:hint="cs"/>
          <w:rtl/>
        </w:rPr>
        <w:t xml:space="preserve">סימן – זקן = דיקנא = דאיקני. ולפי זה – </w:t>
      </w:r>
      <w:r>
        <w:rPr>
          <w:sz w:val="16"/>
          <w:szCs w:val="16"/>
          <w:rtl/>
        </w:rPr>
        <w:t xml:space="preserve">(שטר) </w:t>
      </w:r>
      <w:r>
        <w:rPr>
          <w:rtl/>
        </w:rPr>
        <w:t>זקן דאיקני.</w:t>
      </w:r>
    </w:p>
  </w:footnote>
  <w:footnote w:id="3371">
    <w:p w14:paraId="3ABB4D4B" w14:textId="77777777" w:rsidR="0013116F" w:rsidRDefault="0013116F" w:rsidP="001D49D4">
      <w:pPr>
        <w:pStyle w:val="a9"/>
        <w:rPr>
          <w:rtl/>
        </w:rPr>
      </w:pPr>
      <w:r>
        <w:rPr>
          <w:rStyle w:val="ab"/>
        </w:rPr>
        <w:footnoteRef/>
      </w:r>
      <w:r>
        <w:rPr>
          <w:rtl/>
        </w:rPr>
        <w:t xml:space="preserve"> הכותב לחבירו משעבד אני לך בחובך כל נכסים שאקנה מהו?, והיינו שכותבין בשטרות דקנאי ודעתיד אנא למיקני, רשב"ם.</w:t>
      </w:r>
    </w:p>
  </w:footnote>
  <w:footnote w:id="3372">
    <w:p w14:paraId="3E91048C" w14:textId="77777777" w:rsidR="0013116F" w:rsidRDefault="0013116F" w:rsidP="001D49D4">
      <w:pPr>
        <w:pStyle w:val="a9"/>
      </w:pPr>
      <w:r>
        <w:rPr>
          <w:rStyle w:val="ab"/>
        </w:rPr>
        <w:footnoteRef/>
      </w:r>
      <w:r>
        <w:rPr>
          <w:rtl/>
        </w:rPr>
        <w:t xml:space="preserve"> מי טריף מלקוחות נכסים שקנה הלוה אחר כתיבת השטר ומכרן לאלו, רשב"ם.</w:t>
      </w:r>
    </w:p>
  </w:footnote>
  <w:footnote w:id="3373">
    <w:p w14:paraId="5C684194" w14:textId="77777777" w:rsidR="0013116F" w:rsidRDefault="0013116F" w:rsidP="001D49D4">
      <w:pPr>
        <w:pStyle w:val="a9"/>
        <w:rPr>
          <w:rtl/>
        </w:rPr>
      </w:pPr>
      <w:r>
        <w:rPr>
          <w:rStyle w:val="ab"/>
        </w:rPr>
        <w:footnoteRef/>
      </w:r>
      <w:r>
        <w:rPr>
          <w:rtl/>
        </w:rPr>
        <w:t xml:space="preserve"> פירש רשב"ם- בין שכתבו בשעת הלואה ואיחרו הזמן, בין שלא כתבו עד לאחר הזמן - כולן בכלל מאוחרין הם וכשרים. וכ"כ הה"מ בשם הרמב"ן פכ"ג מהלכות הנזכר</w:t>
      </w:r>
      <w:r>
        <w:rPr>
          <w:sz w:val="16"/>
          <w:szCs w:val="16"/>
          <w:rtl/>
        </w:rPr>
        <w:t xml:space="preserve"> (מלוה ולוה)</w:t>
      </w:r>
      <w:r>
        <w:rPr>
          <w:rtl/>
        </w:rPr>
        <w:t>, ב"י.</w:t>
      </w:r>
    </w:p>
  </w:footnote>
  <w:footnote w:id="3374">
    <w:p w14:paraId="26A8B8FD" w14:textId="77777777" w:rsidR="0013116F" w:rsidRDefault="0013116F" w:rsidP="001D49D4">
      <w:pPr>
        <w:pStyle w:val="a9"/>
        <w:rPr>
          <w:rtl/>
        </w:rPr>
      </w:pPr>
      <w:r>
        <w:rPr>
          <w:rStyle w:val="ab"/>
        </w:rPr>
        <w:footnoteRef/>
      </w:r>
      <w:r>
        <w:rPr>
          <w:rtl/>
        </w:rPr>
        <w:t xml:space="preserve"> כשלוה בניסן ונכתב בתשרי, והלא שמא קנה זה אלו נכסים בין ניסן לתשרי ולא אשתעבדו למלוה, דהא דאיקני הוא בשעת הלואה, והטורף יבא לטרוף מתשרי ואילך שלא כדין מן הלקוחות שקנו מן הלוה נכסים הקנויין לו מניסן ועד תשרי, אלא שמע מינה דאיקני משתעבד והלכך מאוחרים כשרים דליכא למיחש להכי, רשב"ם.</w:t>
      </w:r>
    </w:p>
  </w:footnote>
  <w:footnote w:id="3375">
    <w:p w14:paraId="31CD7CCE" w14:textId="77777777" w:rsidR="0013116F" w:rsidRDefault="0013116F" w:rsidP="001D49D4">
      <w:pPr>
        <w:pStyle w:val="a9"/>
      </w:pPr>
      <w:r>
        <w:rPr>
          <w:rStyle w:val="ab"/>
        </w:rPr>
        <w:footnoteRef/>
      </w:r>
      <w:r>
        <w:rPr>
          <w:rtl/>
        </w:rPr>
        <w:t xml:space="preserve"> ממאי דאמרינן אי סלקא דעתך דאקנה קנה ומכר לא משתעבד מאוחרים אמאי כשרים למד רבינו</w:t>
      </w:r>
      <w:r>
        <w:rPr>
          <w:sz w:val="16"/>
          <w:szCs w:val="16"/>
          <w:rtl/>
        </w:rPr>
        <w:t xml:space="preserve"> {הטור, וכן הרמב"ם}</w:t>
      </w:r>
      <w:r>
        <w:rPr>
          <w:rtl/>
        </w:rPr>
        <w:t xml:space="preserve"> שאפילו אין מפורש בו שהוא מאוחר כשר, דאי מפורש בו שהוא מאוחר מאי פריך אמאי כשרים הא לא טרף מזמן הכתוב בו, אלא ודאי אע"פ שאין מפורש בו שהוא מאוחר כשר, והכי מוכח בכמה דוכתי בגמרא... </w:t>
      </w:r>
      <w:r>
        <w:rPr>
          <w:sz w:val="16"/>
          <w:szCs w:val="16"/>
          <w:rtl/>
        </w:rPr>
        <w:t>(עכ"ל הב"י)</w:t>
      </w:r>
    </w:p>
  </w:footnote>
  <w:footnote w:id="3376">
    <w:p w14:paraId="3339BBD6" w14:textId="77777777" w:rsidR="0013116F" w:rsidRDefault="0013116F" w:rsidP="001D49D4">
      <w:pPr>
        <w:pStyle w:val="a9"/>
        <w:rPr>
          <w:rtl/>
        </w:rPr>
      </w:pPr>
      <w:r>
        <w:rPr>
          <w:rStyle w:val="ab"/>
        </w:rPr>
        <w:footnoteRef/>
      </w:r>
      <w:r>
        <w:rPr>
          <w:rtl/>
        </w:rPr>
        <w:t xml:space="preserve"> ומכל מקום אין לאחרו לכתחלה דמיחזי כשיקרא, רי"ו </w:t>
      </w:r>
      <w:r>
        <w:rPr>
          <w:sz w:val="16"/>
          <w:szCs w:val="16"/>
          <w:rtl/>
        </w:rPr>
        <w:t xml:space="preserve">(נ"ד ח"ד כ ע"ג) </w:t>
      </w:r>
      <w:r>
        <w:rPr>
          <w:rtl/>
        </w:rPr>
        <w:t>בשם הרשב"א</w:t>
      </w:r>
      <w:r>
        <w:rPr>
          <w:sz w:val="16"/>
          <w:szCs w:val="16"/>
          <w:rtl/>
        </w:rPr>
        <w:t xml:space="preserve"> (ב"ב קעא. ד"ה א"ל רב אשי)</w:t>
      </w:r>
      <w:r>
        <w:rPr>
          <w:rtl/>
        </w:rPr>
        <w:t>. הביאם הב"י בסע' יד.</w:t>
      </w:r>
      <w:r>
        <w:rPr>
          <w:color w:val="00B0F0"/>
          <w:rtl/>
        </w:rPr>
        <w:t xml:space="preserve"> (וכ"פ הרמ"א)</w:t>
      </w:r>
    </w:p>
  </w:footnote>
  <w:footnote w:id="3377">
    <w:p w14:paraId="48E7C1C8" w14:textId="77777777" w:rsidR="0013116F" w:rsidRDefault="0013116F" w:rsidP="001D49D4">
      <w:pPr>
        <w:pStyle w:val="a9"/>
      </w:pPr>
      <w:r>
        <w:rPr>
          <w:rStyle w:val="ab"/>
        </w:rPr>
        <w:footnoteRef/>
      </w:r>
      <w:r>
        <w:rPr>
          <w:rtl/>
        </w:rPr>
        <w:t xml:space="preserve"> הה"מ על הרמב"ם, שבפי"ח (ה"א) פסק שאם לא כתב בשטר דאקנה שאינן משתעבדים לו ובפרק כ"ג לא כתב שאין מאוחרים כשרים אלא כשכתב דאקנה. וכתב הב"י (בבדה"ב)- ולי נראה שגם הרמב"ם סבור כן ומה שתמה עליו הרב המגיד למה לא ביאר שיש חילוק בין כתב דאקנה ללא כתב דאקנה י"ל שלא הוצרך לבאר כן שמאחר שכתב שכשרות המאוחרים הוא מפני שהורע כחו של בעל השטר שאינו טורף מזמן הכתוב בשטר ממילא משמע שאם הוא בענין שייפה כחו שלא כדין דהיינו אם לא כתב דאקני שהם פסולים.</w:t>
      </w:r>
    </w:p>
  </w:footnote>
  <w:footnote w:id="3378">
    <w:p w14:paraId="7E01E29B" w14:textId="77777777" w:rsidR="0013116F" w:rsidRDefault="0013116F" w:rsidP="001D49D4">
      <w:pPr>
        <w:pStyle w:val="a9"/>
      </w:pPr>
      <w:r>
        <w:rPr>
          <w:rStyle w:val="ab"/>
        </w:rPr>
        <w:footnoteRef/>
      </w:r>
      <w:r>
        <w:rPr>
          <w:rtl/>
        </w:rPr>
        <w:t xml:space="preserve"> ר"י ן' מיגא"ש </w:t>
      </w:r>
      <w:r>
        <w:rPr>
          <w:sz w:val="16"/>
          <w:szCs w:val="16"/>
          <w:rtl/>
        </w:rPr>
        <w:t xml:space="preserve">(כ"כ בשמו הה"מ [פכ"ג ממלוה ולוה ה"ב]) </w:t>
      </w:r>
      <w:r>
        <w:rPr>
          <w:rtl/>
        </w:rPr>
        <w:t xml:space="preserve">רמב"ם </w:t>
      </w:r>
      <w:r>
        <w:rPr>
          <w:sz w:val="16"/>
          <w:szCs w:val="16"/>
          <w:rtl/>
        </w:rPr>
        <w:t>(להב' הב"י)</w:t>
      </w:r>
      <w:r>
        <w:rPr>
          <w:rtl/>
        </w:rPr>
        <w:t xml:space="preserve"> רמב"ן </w:t>
      </w:r>
      <w:r>
        <w:rPr>
          <w:sz w:val="16"/>
          <w:szCs w:val="16"/>
          <w:rtl/>
        </w:rPr>
        <w:t>(ב"מ עב. ד"ה והמאוחרין, כ"כ בשמו הה"מ שם)</w:t>
      </w:r>
      <w:r>
        <w:rPr>
          <w:rtl/>
        </w:rPr>
        <w:t xml:space="preserve"> בעל התרומות </w:t>
      </w:r>
      <w:r>
        <w:rPr>
          <w:sz w:val="16"/>
          <w:szCs w:val="16"/>
          <w:rtl/>
        </w:rPr>
        <w:t>(שער נו ח"א סי' ז)</w:t>
      </w:r>
      <w:r>
        <w:rPr>
          <w:rtl/>
        </w:rPr>
        <w:t xml:space="preserve"> וטור.</w:t>
      </w:r>
    </w:p>
  </w:footnote>
  <w:footnote w:id="3379">
    <w:p w14:paraId="295F430E" w14:textId="77777777" w:rsidR="0013116F" w:rsidRDefault="0013116F" w:rsidP="001D49D4">
      <w:pPr>
        <w:pStyle w:val="a9"/>
      </w:pPr>
      <w:r>
        <w:rPr>
          <w:rStyle w:val="ab"/>
        </w:rPr>
        <w:footnoteRef/>
      </w:r>
      <w:r>
        <w:rPr>
          <w:rtl/>
        </w:rPr>
        <w:t xml:space="preserve"> וטעמא משום שמא לוה בניסן וקנה קרקע באייר ואיחרו וכתב זמן מסיון ואח"כ מכר את הקרקע ונמצא אילו כותבין הזמן מניסן לא היה טורף הקרקע שקנה באייר כיון שלא כתב לו דאיקני, ובשביל האיחור שכתבו מסיון גובה אותו שהרי קנאו קודם הזמן הנכתב בשטר, טור.</w:t>
      </w:r>
    </w:p>
  </w:footnote>
  <w:footnote w:id="3380">
    <w:p w14:paraId="469C358B" w14:textId="77777777" w:rsidR="0013116F" w:rsidRDefault="0013116F" w:rsidP="001D49D4">
      <w:pPr>
        <w:pStyle w:val="a9"/>
        <w:rPr>
          <w:rtl/>
        </w:rPr>
      </w:pPr>
      <w:r>
        <w:rPr>
          <w:rStyle w:val="ab"/>
        </w:rPr>
        <w:footnoteRef/>
      </w:r>
      <w:r>
        <w:rPr>
          <w:rtl/>
        </w:rPr>
        <w:t xml:space="preserve"> שהוא סובר שדאקנה סתמו כפירושו, ודחק עצמו בישוב הסוגיא שבפרק חזקת (מד:) שסותרת זה, ב"י.</w:t>
      </w:r>
    </w:p>
  </w:footnote>
  <w:footnote w:id="3381">
    <w:p w14:paraId="71BEFDF2" w14:textId="77777777" w:rsidR="0013116F" w:rsidRDefault="0013116F" w:rsidP="001D49D4">
      <w:pPr>
        <w:pStyle w:val="a9"/>
        <w:rPr>
          <w:rtl/>
        </w:rPr>
      </w:pPr>
      <w:r>
        <w:rPr>
          <w:rStyle w:val="ab"/>
        </w:rPr>
        <w:footnoteRef/>
      </w:r>
      <w:r>
        <w:rPr>
          <w:rtl/>
        </w:rPr>
        <w:t xml:space="preserve"> ולפי זה מאוחרים לעולם כשרים אלא כשכתב אחריות שקנה ולא כתב דאקנה, ואיפשר דהרשב"א נמי מודה בהא, ב"י.</w:t>
      </w:r>
    </w:p>
  </w:footnote>
  <w:footnote w:id="3382">
    <w:p w14:paraId="47210EB2" w14:textId="77777777" w:rsidR="0013116F" w:rsidRDefault="0013116F" w:rsidP="001D49D4">
      <w:pPr>
        <w:pStyle w:val="a9"/>
      </w:pPr>
      <w:r>
        <w:rPr>
          <w:rStyle w:val="ab"/>
        </w:rPr>
        <w:footnoteRef/>
      </w:r>
      <w:r>
        <w:rPr>
          <w:rtl/>
        </w:rPr>
        <w:t xml:space="preserve"> אף על פי שאיחרוהו שלא מדעת המלוה, ש"ך (סקכ"ד).</w:t>
      </w:r>
    </w:p>
  </w:footnote>
  <w:footnote w:id="3383">
    <w:p w14:paraId="5A3D9E26" w14:textId="77777777" w:rsidR="0013116F" w:rsidRDefault="0013116F" w:rsidP="001D49D4">
      <w:pPr>
        <w:pStyle w:val="a9"/>
      </w:pPr>
      <w:r>
        <w:rPr>
          <w:rStyle w:val="ab"/>
        </w:rPr>
        <w:footnoteRef/>
      </w:r>
      <w:r>
        <w:rPr>
          <w:rtl/>
        </w:rPr>
        <w:t xml:space="preserve"> פירוש, ואז ליכא למיחש להא, דאף אם לוה ואח"כ קנה לא יבוא לגבות מזה שקנה ומכר, דהמע"ה שהיה בידו בשעת ההלואה, דמזמן השטר אין ראיה שהרי כתבו בו שהזמן הוא מאוחר..., סמ"ע (סקכ"א).</w:t>
      </w:r>
    </w:p>
  </w:footnote>
  <w:footnote w:id="3384">
    <w:p w14:paraId="08E90FB2" w14:textId="77777777" w:rsidR="0013116F" w:rsidRDefault="0013116F" w:rsidP="001D49D4">
      <w:pPr>
        <w:pStyle w:val="a9"/>
        <w:rPr>
          <w:rtl/>
        </w:rPr>
      </w:pPr>
      <w:r>
        <w:rPr>
          <w:rStyle w:val="ab"/>
        </w:rPr>
        <w:footnoteRef/>
      </w:r>
      <w:r>
        <w:rPr>
          <w:rtl/>
        </w:rPr>
        <w:t xml:space="preserve"> אם לא שאי אפשר בענין אחר כדלקמן סעיף י"ט וכ' ושאר דוכתי, דאז הוי כדיעבד, ש"ך (סקל"א).</w:t>
      </w:r>
    </w:p>
  </w:footnote>
  <w:footnote w:id="3385">
    <w:p w14:paraId="700BC4C0" w14:textId="77777777" w:rsidR="0013116F" w:rsidRDefault="0013116F" w:rsidP="001D49D4">
      <w:pPr>
        <w:pStyle w:val="a9"/>
      </w:pPr>
      <w:r>
        <w:rPr>
          <w:rStyle w:val="ab"/>
        </w:rPr>
        <w:footnoteRef/>
      </w:r>
      <w:r>
        <w:rPr>
          <w:rtl/>
        </w:rPr>
        <w:t xml:space="preserve"> </w:t>
      </w:r>
      <w:r>
        <w:rPr>
          <w:rFonts w:hint="cs"/>
          <w:rtl/>
        </w:rPr>
        <w:t>סימן – קלף עיסקא באיחור.</w:t>
      </w:r>
    </w:p>
  </w:footnote>
  <w:footnote w:id="3386">
    <w:p w14:paraId="0E87F695" w14:textId="77777777" w:rsidR="0013116F" w:rsidRDefault="0013116F" w:rsidP="001D49D4">
      <w:pPr>
        <w:pStyle w:val="a9"/>
      </w:pPr>
      <w:r>
        <w:rPr>
          <w:rStyle w:val="ab"/>
        </w:rPr>
        <w:footnoteRef/>
      </w:r>
      <w:r>
        <w:rPr>
          <w:rtl/>
        </w:rPr>
        <w:t xml:space="preserve"> ולמה לא נחוש כן לשטר חוב המאוחר שמא יפרענו קודם שיגיע זמנו ויכתוב שובר ויחזור ויוציא השטר המאוחר ויטרוף בו שלא כדין לפי שכל הכותב שטר מאוחר תקנתו שיכתוב השובר סתם שכל זמן שיצא השטר ישבור אותו זה השובר, ואם לא עשה כן וכתב השובר בזמן הפרעון הוא הפסיד על עצמו, רמב"ם. ודברי הרמב"ם מבוארים בהמשך הגמרא שם.</w:t>
      </w:r>
    </w:p>
  </w:footnote>
  <w:footnote w:id="3387">
    <w:p w14:paraId="110B7D49" w14:textId="77777777" w:rsidR="0013116F" w:rsidRDefault="0013116F" w:rsidP="001D49D4">
      <w:pPr>
        <w:pStyle w:val="a9"/>
        <w:rPr>
          <w:rtl/>
        </w:rPr>
      </w:pPr>
      <w:r>
        <w:rPr>
          <w:rStyle w:val="ab"/>
        </w:rPr>
        <w:footnoteRef/>
      </w:r>
      <w:r>
        <w:rPr>
          <w:rtl/>
        </w:rPr>
        <w:t xml:space="preserve"> </w:t>
      </w:r>
      <w:r>
        <w:rPr>
          <w:color w:val="000000" w:themeColor="text1"/>
          <w:rtl/>
        </w:rPr>
        <w:t>ודעת הראב"ד שמשעת כתיבה מתגרשת כמבואר באבן העזר סימן קכ"ז (כ.), ב"י. וכתב עוד הב"י שמדברי בעל התרומות בשער נ"ו (ח"א סי' ו) משמע שהמוציא על חבירו שטר מאוחר עד דמטא זימנא לא טריף</w:t>
      </w:r>
      <w:r>
        <w:rPr>
          <w:rtl/>
        </w:rPr>
        <w:t>. עכ"ל. וכתב הש"ך (סקכ"ה)- ולא ידעתי למה הוצרך לכתוב כן בשם בעל התרומות, הלא ש"ס ערוך הוא רפ"ק דע"ז (ט:-י.) סבור רבנן למימר האי שטר מאוחר הוא ולא טריף עד דמטא זימניה, ומביאו הב"י ריש סימן זה [סעיף ג' - ד'].</w:t>
      </w:r>
    </w:p>
  </w:footnote>
  <w:footnote w:id="3388">
    <w:p w14:paraId="00D2141E" w14:textId="77777777" w:rsidR="0013116F" w:rsidRDefault="0013116F" w:rsidP="001D49D4">
      <w:pPr>
        <w:pStyle w:val="a9"/>
      </w:pPr>
      <w:r>
        <w:rPr>
          <w:rStyle w:val="ab"/>
        </w:rPr>
        <w:footnoteRef/>
      </w:r>
      <w:r>
        <w:rPr>
          <w:rtl/>
        </w:rPr>
        <w:t xml:space="preserve"> נ"ל ה"ה שטר מתנה, וזיל בתר טעמא..., ש"ך (סקכ"ז). ועיין תומים (סקי"ד) שכתב דיש אפשר לפקפק בזה.</w:t>
      </w:r>
    </w:p>
  </w:footnote>
  <w:footnote w:id="3389">
    <w:p w14:paraId="165A7807" w14:textId="77777777" w:rsidR="0013116F" w:rsidRDefault="0013116F" w:rsidP="001D49D4">
      <w:pPr>
        <w:pStyle w:val="a9"/>
      </w:pPr>
      <w:r>
        <w:rPr>
          <w:rStyle w:val="ab"/>
        </w:rPr>
        <w:footnoteRef/>
      </w:r>
      <w:r>
        <w:rPr>
          <w:rtl/>
        </w:rPr>
        <w:t xml:space="preserve"> נ"ל דאם הודיעו למוכר שאיחרו השטר מכר, כשרים. ולפ"ז מסתמא כשרים עד שיתברר שלא הודיעו, ש"ך </w:t>
      </w:r>
      <w:r>
        <w:rPr>
          <w:sz w:val="14"/>
          <w:szCs w:val="14"/>
          <w:rtl/>
        </w:rPr>
        <w:t>(סק"ל)</w:t>
      </w:r>
      <w:r>
        <w:rPr>
          <w:rtl/>
        </w:rPr>
        <w:t xml:space="preserve">. והתומים </w:t>
      </w:r>
      <w:r>
        <w:rPr>
          <w:sz w:val="14"/>
          <w:szCs w:val="14"/>
          <w:rtl/>
        </w:rPr>
        <w:t>(סקט"ו)</w:t>
      </w:r>
      <w:r>
        <w:rPr>
          <w:rtl/>
        </w:rPr>
        <w:t xml:space="preserve"> הסכים לתחילת דבריו אך חלק על סוף דבריו וכתב דמסתמא אמרינן דלמא שכחו להודיע או טעו בכה"ג, דלאו כל עדים הך דינא גמירי והשטר פסול כמשמעות כל הפוסקים בסתימת דבריהם, הא אם נודע דהודיעו למוכר אפשר לומר דכשר כדעת הש"ך.</w:t>
      </w:r>
    </w:p>
  </w:footnote>
  <w:footnote w:id="3390">
    <w:p w14:paraId="27BB4FB4" w14:textId="77777777" w:rsidR="0013116F" w:rsidRDefault="0013116F" w:rsidP="001D49D4">
      <w:pPr>
        <w:pStyle w:val="a9"/>
        <w:rPr>
          <w:rtl/>
        </w:rPr>
      </w:pPr>
      <w:r>
        <w:rPr>
          <w:rStyle w:val="ab"/>
        </w:rPr>
        <w:footnoteRef/>
      </w:r>
      <w:r>
        <w:rPr>
          <w:rtl/>
        </w:rPr>
        <w:t xml:space="preserve"> </w:t>
      </w:r>
      <w:r>
        <w:rPr>
          <w:rFonts w:hint="cs"/>
          <w:rtl/>
        </w:rPr>
        <w:t>סימן - קלף עונה אסורה באיחור. וכן – קלף עידן אסור באיחור.</w:t>
      </w:r>
    </w:p>
  </w:footnote>
  <w:footnote w:id="3391">
    <w:p w14:paraId="57ED8358" w14:textId="77777777" w:rsidR="0013116F" w:rsidRDefault="0013116F" w:rsidP="001D49D4">
      <w:pPr>
        <w:pStyle w:val="a9"/>
        <w:rPr>
          <w:rtl/>
        </w:rPr>
      </w:pPr>
      <w:r>
        <w:rPr>
          <w:rStyle w:val="ab"/>
        </w:rPr>
        <w:footnoteRef/>
      </w:r>
      <w:r>
        <w:rPr>
          <w:rtl/>
        </w:rPr>
        <w:t xml:space="preserve"> כיון דקיי"ל דתלינן במאוחר, לפיכך-...</w:t>
      </w:r>
    </w:p>
  </w:footnote>
  <w:footnote w:id="3392">
    <w:p w14:paraId="4DD4AC15" w14:textId="77777777" w:rsidR="0013116F" w:rsidRDefault="0013116F" w:rsidP="001D49D4">
      <w:pPr>
        <w:pStyle w:val="a9"/>
      </w:pPr>
      <w:r>
        <w:rPr>
          <w:rStyle w:val="ab"/>
        </w:rPr>
        <w:footnoteRef/>
      </w:r>
      <w:r>
        <w:rPr>
          <w:rtl/>
        </w:rPr>
        <w:t xml:space="preserve"> משמע דסבירא ליה אפילו כתוב בשטר שבזמנו כתבוהו משום דהזמה חדוש הוא ואין לך בו אלא חדושו (ב"ק עב:) דסתם עדות על פה הוא, ר"ן.</w:t>
      </w:r>
    </w:p>
  </w:footnote>
  <w:footnote w:id="3393">
    <w:p w14:paraId="72DA935E" w14:textId="77777777" w:rsidR="0013116F" w:rsidRDefault="0013116F" w:rsidP="001D49D4">
      <w:pPr>
        <w:pStyle w:val="a9"/>
        <w:rPr>
          <w:rtl/>
        </w:rPr>
      </w:pPr>
      <w:r>
        <w:rPr>
          <w:rStyle w:val="ab"/>
        </w:rPr>
        <w:footnoteRef/>
      </w:r>
      <w:r>
        <w:rPr>
          <w:rtl/>
        </w:rPr>
        <w:t xml:space="preserve"> </w:t>
      </w:r>
      <w:r>
        <w:rPr>
          <w:rFonts w:hint="cs"/>
          <w:rtl/>
        </w:rPr>
        <w:t>סימן – להזים בשמיטה לתלות במאוחר.</w:t>
      </w:r>
    </w:p>
  </w:footnote>
  <w:footnote w:id="3394">
    <w:p w14:paraId="46547303" w14:textId="77777777" w:rsidR="0013116F" w:rsidRDefault="0013116F" w:rsidP="001D49D4">
      <w:pPr>
        <w:pStyle w:val="a9"/>
      </w:pPr>
      <w:r>
        <w:rPr>
          <w:rStyle w:val="ab"/>
        </w:rPr>
        <w:footnoteRef/>
      </w:r>
      <w:r>
        <w:rPr>
          <w:rtl/>
        </w:rPr>
        <w:t xml:space="preserve"> הטעם, דכל שטר שנכתב ונחתם מוקמינן ליה אחזקה, וכאילו נחקרה עדותן בב"ד דמי (גמ' כתובות יח:), סמ"ע (סקכ"ג).</w:t>
      </w:r>
    </w:p>
  </w:footnote>
  <w:footnote w:id="3395">
    <w:p w14:paraId="30CD094A" w14:textId="77777777" w:rsidR="0013116F" w:rsidRDefault="0013116F" w:rsidP="001D49D4">
      <w:pPr>
        <w:pStyle w:val="a9"/>
      </w:pPr>
      <w:r>
        <w:rPr>
          <w:rStyle w:val="ab"/>
        </w:rPr>
        <w:footnoteRef/>
      </w:r>
      <w:r>
        <w:rPr>
          <w:rtl/>
        </w:rPr>
        <w:t xml:space="preserve"> משמע דר"ל שטוען אשתבע לי שאינו מוקדם, וכן פירשו הסמ"ע [סקכ"ה] והב"ח [סעיף ט"ז]. וקשה לי על המחבר א"כ למה ישבע </w:t>
      </w:r>
      <w:r>
        <w:rPr>
          <w:sz w:val="16"/>
          <w:szCs w:val="16"/>
          <w:rtl/>
        </w:rPr>
        <w:t>(בשלמא על הטור לק"מ דלטעמיה אזיל, דכתב בסעיף ו' שמסקנת הרא"ש ששטרי חוב המוקדמין פסולים אפילו לגבות מבני חרי, ואפשר שגם בהעי"ט סובר כן)</w:t>
      </w:r>
      <w:r>
        <w:rPr>
          <w:rtl/>
        </w:rPr>
        <w:t xml:space="preserve">, דהא פסק בסתם לעיל סעיף ז' דגובה מבני חרי... ונראה דמיירי שטוען שהעדים הקדימו בכוונה, ופסולים שחתמו שקר. וכן משמע בדברי בהעי"ט... ש"ך (סקל"ב). וכתב הסמ"ע (סקכ"ה) דאי לא אמר </w:t>
      </w:r>
      <w:r>
        <w:rPr>
          <w:sz w:val="16"/>
          <w:szCs w:val="16"/>
          <w:rtl/>
        </w:rPr>
        <w:t>{אישתבע לי}</w:t>
      </w:r>
      <w:r>
        <w:rPr>
          <w:rtl/>
        </w:rPr>
        <w:t>, הב"ד לא טוענין עבורו שישבע על זה. וקמ"ל בזה דאף דאין משביעין המלוה אלא כשטוען הלוה שישבע לו שלא פרעו, משום דכל שטר עומד להפרע, ולא כשטוען הלוה מזויף הוא או שטר אמנה הוא או שטר שיש בו ריבית, וכמו שכתבו הטור (סי' פב סע' טז) והמחבר (סי' פב סע' י), מ"מ משביעין ליה אטענה שטוען שהוא מוקדם, דהא ע"כ השטר לאו בזמנו נכתב בשבת. עכ"ל הסמ"ע. וכתב הש"ך (סקל"ג) דמשמע דאי ליכא ריעותא לפנינו אינו יכול להשביעו שאינו מוקדם, דלא גרע מאמנה וכתבתי ללוות ולא לויתי. ואין להקשות ממ"נ, אי טוען שפרעו, ישבע לי, בלא"ה צריך לישבע לו שלא פרעו, ואי אין טוען שפרעו ישלם לו. י"ל דטוען שפרעו אלא שאינו רוצה לומר לישבע לי דלא פרעתיו, שחושד אותו שישבע כן, שמורה לעצמו איזה היתר על שבועה זו, אבל זה יודע שלא ישבע שאינו מוקדם, לכך אומר ישבע לי שאינו מוקדם. אי נמי מיירי שטוען לא לויתי, דאפילו טוען לשתבע לי שהלוה לי, לא משבעינן ליה בשטר כשר, כדלקמן סימן פ"ב סעיף י', דלא משבעינן אלא בפרעתי כיון דשטר לפרעון הוא עומד, לכך טעין לישבע לי דלאו מוקדם הוא, וע"ז צריך לישבע לו כיון דזמנו בשבת ואיכא ריעותא דמוקדם לפנינו וכמ"ש.</w:t>
      </w:r>
    </w:p>
  </w:footnote>
  <w:footnote w:id="3396">
    <w:p w14:paraId="44EA357F" w14:textId="77777777" w:rsidR="0013116F" w:rsidRDefault="0013116F" w:rsidP="001D49D4">
      <w:pPr>
        <w:pStyle w:val="a9"/>
      </w:pPr>
      <w:r>
        <w:rPr>
          <w:rStyle w:val="ab"/>
        </w:rPr>
        <w:footnoteRef/>
      </w:r>
      <w:r>
        <w:rPr>
          <w:rtl/>
        </w:rPr>
        <w:t xml:space="preserve"> </w:t>
      </w:r>
      <w:r>
        <w:rPr>
          <w:rFonts w:hint="cs"/>
          <w:rtl/>
        </w:rPr>
        <w:t>סימן – יתרע בנפילה.</w:t>
      </w:r>
    </w:p>
  </w:footnote>
  <w:footnote w:id="3397">
    <w:p w14:paraId="68132C44" w14:textId="77777777" w:rsidR="0013116F" w:rsidRDefault="0013116F" w:rsidP="001D49D4">
      <w:pPr>
        <w:pStyle w:val="a9"/>
      </w:pPr>
      <w:r>
        <w:rPr>
          <w:rStyle w:val="ab"/>
        </w:rPr>
        <w:footnoteRef/>
      </w:r>
      <w:r>
        <w:rPr>
          <w:rtl/>
        </w:rPr>
        <w:t xml:space="preserve"> </w:t>
      </w:r>
      <w:r>
        <w:rPr>
          <w:rFonts w:hint="cs"/>
          <w:rtl/>
        </w:rPr>
        <w:t>סימן – יתרע טובתה.</w:t>
      </w:r>
    </w:p>
  </w:footnote>
  <w:footnote w:id="3398">
    <w:p w14:paraId="42961275" w14:textId="77777777" w:rsidR="0013116F" w:rsidRDefault="0013116F" w:rsidP="001D49D4">
      <w:pPr>
        <w:pStyle w:val="a9"/>
      </w:pPr>
      <w:r>
        <w:rPr>
          <w:rStyle w:val="ab"/>
        </w:rPr>
        <w:footnoteRef/>
      </w:r>
      <w:r>
        <w:rPr>
          <w:rtl/>
        </w:rPr>
        <w:t xml:space="preserve"> אע"פ שמפירוש רש"י לא משמע כן, ב"י </w:t>
      </w:r>
      <w:r>
        <w:rPr>
          <w:sz w:val="16"/>
          <w:szCs w:val="16"/>
          <w:rtl/>
        </w:rPr>
        <w:t>(ועיין בתפארת שמואל שהקשה דלא נמצא כן ברש"י)</w:t>
      </w:r>
      <w:r>
        <w:rPr>
          <w:rtl/>
        </w:rPr>
        <w:t>. וכתב עוד הב"י דנראה דהיינו דוקא בשטר שאין בו קנין לדעת מי שפסק דלא כאביי (ב"מ יג.) דאמר עדיו בחיתומיו זכין לו, דאם יש בו קנין מעת הקנין נשתעבדו הנכסים, ואליבא דאביי מכי מטא שטרא לידיה נשתעבדו הנכסים למפרע משעת כתיבה.</w:t>
      </w:r>
    </w:p>
  </w:footnote>
  <w:footnote w:id="3399">
    <w:p w14:paraId="124EDF9C" w14:textId="77777777" w:rsidR="0013116F" w:rsidRDefault="0013116F" w:rsidP="001D49D4">
      <w:pPr>
        <w:pStyle w:val="a9"/>
        <w:rPr>
          <w:rtl/>
        </w:rPr>
      </w:pPr>
      <w:r>
        <w:rPr>
          <w:rStyle w:val="ab"/>
        </w:rPr>
        <w:footnoteRef/>
      </w:r>
      <w:r>
        <w:rPr>
          <w:rtl/>
        </w:rPr>
        <w:t xml:space="preserve"> אבל היכא דהמלוה מצאו בעצמו א"צ להביא ראיה כלל, וכמ"ש הרשב"א </w:t>
      </w:r>
      <w:r>
        <w:rPr>
          <w:sz w:val="16"/>
          <w:szCs w:val="16"/>
          <w:rtl/>
        </w:rPr>
        <w:t>(ח"א סי' אלף לה)</w:t>
      </w:r>
      <w:r>
        <w:rPr>
          <w:rtl/>
        </w:rPr>
        <w:t xml:space="preserve"> והמחבר לקמן סי' סה ס"ב, ש"ך </w:t>
      </w:r>
      <w:r>
        <w:rPr>
          <w:sz w:val="16"/>
          <w:szCs w:val="16"/>
          <w:rtl/>
        </w:rPr>
        <w:t>(סקל"ג*)</w:t>
      </w:r>
      <w:r>
        <w:rPr>
          <w:rtl/>
        </w:rPr>
        <w:t>.</w:t>
      </w:r>
    </w:p>
  </w:footnote>
  <w:footnote w:id="3400">
    <w:p w14:paraId="76E5139F" w14:textId="77777777" w:rsidR="0013116F" w:rsidRDefault="0013116F" w:rsidP="001D49D4">
      <w:pPr>
        <w:pStyle w:val="a9"/>
        <w:rPr>
          <w:rtl/>
        </w:rPr>
      </w:pPr>
      <w:r>
        <w:rPr>
          <w:rStyle w:val="ab"/>
        </w:rPr>
        <w:footnoteRef/>
      </w:r>
      <w:r>
        <w:rPr>
          <w:rtl/>
        </w:rPr>
        <w:t xml:space="preserve"> והקשו הסמ"ע [סקכ"ו] ושאר אחרונים דהא הטור סבירא ליה לעיל ס"ס לט [סע' כג] כאביי דעדיו בחתומיו זכין לו. וכתב הש"ך </w:t>
      </w:r>
      <w:r>
        <w:rPr>
          <w:sz w:val="16"/>
          <w:szCs w:val="16"/>
          <w:rtl/>
        </w:rPr>
        <w:t>(סקל"ג*)</w:t>
      </w:r>
      <w:r>
        <w:rPr>
          <w:rtl/>
        </w:rPr>
        <w:t xml:space="preserve"> דאין התחלה לקושיא זו שנבוכו בה אחרונים... והמעיין בהרא"ש פ"ב דגיטין יראה שעיקר הפלפול שם קאי אגיטין, והמעיין שם בהרא"ש יראה לעינים שדברי הטור כאן מועתקין מדברי הרא"ש לשם. וא"כ שטר שנקט הטור כאן דומיא דגט קאמר דליכא למיחש ביה לפרעון ולקנוניא, וכן לא שייך ביה לומר עדיו בחתומיו זכין לו, וכדמוכח להדיא בש"ס פרק שנים אוחזין (יט.) דגבי גט וכה"ג שהוא שטר של חובה לא אמרינן עדיו בחתומיו זכין לו, וכ"כ התוספות שם [ד"ה וליחוש] להדיא. וה"ק הטור, וכל שטר הבא לפנינו דלא שייך ביה לומר עדיו בחתומיו זכין לו, אפילו ליכא ביה למיחש לפרעון ולקנוניא צריך להביא ראיה על המסירה היכא דאיתרע בנפילה. וכ"כ הטור ברמזים פ"ב דגיטין אות ד...</w:t>
      </w:r>
    </w:p>
  </w:footnote>
  <w:footnote w:id="3401">
    <w:p w14:paraId="4D2EC48E" w14:textId="77777777" w:rsidR="0013116F" w:rsidRDefault="0013116F" w:rsidP="001D49D4">
      <w:pPr>
        <w:pStyle w:val="a9"/>
      </w:pPr>
      <w:r>
        <w:rPr>
          <w:rStyle w:val="ab"/>
        </w:rPr>
        <w:footnoteRef/>
      </w:r>
      <w:r>
        <w:rPr>
          <w:rtl/>
        </w:rPr>
        <w:t xml:space="preserve"> </w:t>
      </w:r>
      <w:r>
        <w:rPr>
          <w:rFonts w:hint="cs"/>
          <w:rtl/>
        </w:rPr>
        <w:t xml:space="preserve">סימן (לדף יז.) – זמן ישן. וכן – יחתום זריז. סימן (לדף יח.) – </w:t>
      </w:r>
      <w:r>
        <w:rPr>
          <w:rFonts w:hint="cs"/>
          <w:b/>
          <w:bCs/>
          <w:rtl/>
        </w:rPr>
        <w:t>חי</w:t>
      </w:r>
      <w:r>
        <w:rPr>
          <w:rFonts w:hint="cs"/>
          <w:rtl/>
        </w:rPr>
        <w:t xml:space="preserve">בור </w:t>
      </w:r>
      <w:r>
        <w:rPr>
          <w:rFonts w:hint="cs"/>
          <w:b/>
          <w:bCs/>
          <w:rtl/>
        </w:rPr>
        <w:t>ח</w:t>
      </w:r>
      <w:r>
        <w:rPr>
          <w:rFonts w:hint="cs"/>
          <w:rtl/>
        </w:rPr>
        <w:t>ושך ו</w:t>
      </w:r>
      <w:r>
        <w:rPr>
          <w:rFonts w:hint="cs"/>
          <w:b/>
          <w:bCs/>
          <w:rtl/>
        </w:rPr>
        <w:t>י</w:t>
      </w:r>
      <w:r>
        <w:rPr>
          <w:rFonts w:hint="cs"/>
          <w:rtl/>
        </w:rPr>
        <w:t xml:space="preserve">ום </w:t>
      </w:r>
      <w:r>
        <w:rPr>
          <w:rFonts w:hint="cs"/>
          <w:b/>
          <w:bCs/>
          <w:rtl/>
        </w:rPr>
        <w:t>יח</w:t>
      </w:r>
      <w:r>
        <w:rPr>
          <w:rFonts w:hint="cs"/>
          <w:rtl/>
        </w:rPr>
        <w:t>ד ב</w:t>
      </w:r>
      <w:r>
        <w:rPr>
          <w:rFonts w:hint="cs"/>
          <w:b/>
          <w:bCs/>
          <w:rtl/>
        </w:rPr>
        <w:t>ח</w:t>
      </w:r>
      <w:r>
        <w:rPr>
          <w:rFonts w:hint="cs"/>
          <w:rtl/>
        </w:rPr>
        <w:t>שיבה.</w:t>
      </w:r>
    </w:p>
  </w:footnote>
  <w:footnote w:id="3402">
    <w:p w14:paraId="163756ED" w14:textId="77777777" w:rsidR="0013116F" w:rsidRDefault="0013116F" w:rsidP="001D49D4">
      <w:pPr>
        <w:pStyle w:val="a9"/>
      </w:pPr>
      <w:r>
        <w:rPr>
          <w:rStyle w:val="ab"/>
        </w:rPr>
        <w:footnoteRef/>
      </w:r>
      <w:r>
        <w:rPr>
          <w:rtl/>
        </w:rPr>
        <w:t xml:space="preserve"> וטעמא משום דהוה ליה כאילו חתמו כיון שהם מזומנין לחתום, ב"י.</w:t>
      </w:r>
    </w:p>
  </w:footnote>
  <w:footnote w:id="3403">
    <w:p w14:paraId="640E85AE" w14:textId="77777777" w:rsidR="0013116F" w:rsidRDefault="0013116F" w:rsidP="001D49D4">
      <w:pPr>
        <w:pStyle w:val="a9"/>
        <w:rPr>
          <w:rtl/>
        </w:rPr>
      </w:pPr>
      <w:r>
        <w:rPr>
          <w:rStyle w:val="ab"/>
        </w:rPr>
        <w:footnoteRef/>
      </w:r>
      <w:r>
        <w:rPr>
          <w:rtl/>
        </w:rPr>
        <w:t xml:space="preserve"> </w:t>
      </w:r>
      <w:r>
        <w:rPr>
          <w:rFonts w:hint="cs"/>
          <w:rtl/>
        </w:rPr>
        <w:t xml:space="preserve">סימן – קנין עתיק בשטר </w:t>
      </w:r>
      <w:r>
        <w:rPr>
          <w:sz w:val="16"/>
          <w:szCs w:val="16"/>
          <w:rtl/>
        </w:rPr>
        <w:t>(חדש)</w:t>
      </w:r>
      <w:r>
        <w:rPr>
          <w:rtl/>
        </w:rPr>
        <w:t>.</w:t>
      </w:r>
    </w:p>
  </w:footnote>
  <w:footnote w:id="3404">
    <w:p w14:paraId="1C2B5E46" w14:textId="77777777" w:rsidR="0013116F" w:rsidRDefault="0013116F" w:rsidP="001D49D4">
      <w:pPr>
        <w:pStyle w:val="a9"/>
      </w:pPr>
      <w:r>
        <w:rPr>
          <w:rStyle w:val="ab"/>
        </w:rPr>
        <w:footnoteRef/>
      </w:r>
      <w:r>
        <w:rPr>
          <w:rtl/>
        </w:rPr>
        <w:t xml:space="preserve"> </w:t>
      </w:r>
      <w:r>
        <w:rPr>
          <w:rFonts w:hint="cs"/>
          <w:rtl/>
        </w:rPr>
        <w:t>וז"ל</w:t>
      </w:r>
      <w:r>
        <w:rPr>
          <w:sz w:val="16"/>
          <w:szCs w:val="16"/>
          <w:rtl/>
        </w:rPr>
        <w:t xml:space="preserve"> (כ"כ הרשב"ם בשמו)</w:t>
      </w:r>
      <w:r>
        <w:rPr>
          <w:rtl/>
        </w:rPr>
        <w:t>- הא דרבה בר שילא שמעינן מינה דשטרא דכתיב בההוא יומא דקנו מיניה ובתר כמה יומי אסהידו עליה הנהו סהדי קמאי שפיר דמי מדקאמר אי ידעיתו יומא דאקניתו כתבו ההוא יומא ואע"ג דחתמי עליה האידנא שפיר דמי דלא אשכחן דבעו חתימת ההוא יומא אלא גט אשה בלבד דתנן בגט נכתב ביום ונחתם בלילה פסול וכן הלכה הוא.</w:t>
      </w:r>
    </w:p>
  </w:footnote>
  <w:footnote w:id="3405">
    <w:p w14:paraId="46CC52C9" w14:textId="77777777" w:rsidR="0013116F" w:rsidRDefault="0013116F" w:rsidP="001D49D4">
      <w:pPr>
        <w:pStyle w:val="a9"/>
        <w:rPr>
          <w:rtl/>
        </w:rPr>
      </w:pPr>
      <w:r>
        <w:rPr>
          <w:rStyle w:val="ab"/>
        </w:rPr>
        <w:footnoteRef/>
      </w:r>
      <w:r>
        <w:rPr>
          <w:rtl/>
        </w:rPr>
        <w:t xml:space="preserve"> </w:t>
      </w:r>
      <w:r>
        <w:rPr>
          <w:rFonts w:hint="cs"/>
          <w:rtl/>
        </w:rPr>
        <w:t xml:space="preserve">כ"כ הב"י בשמו, משום דסתם ולא חילק, וז"ל הרמב"ם- </w:t>
      </w:r>
      <w:r>
        <w:rPr>
          <w:rtl/>
        </w:rPr>
        <w:t>עדים שקנו מיד הלוה או המוכר וכיוצא בהן ונתאחרה כתיבת השטר זמן מרובה אם ידעו יום שקנו ממנו בו כותבין בשטר זמן הקנין ואע"פ שאינו זמן חתימתן, ואין צריכין לומר ונתאחרה כתיבת ידינו עד יום פלוני, ואם לא ידעו יום שקנו בו כותבין זמנו של שטר משעת כתיבה.</w:t>
      </w:r>
    </w:p>
  </w:footnote>
  <w:footnote w:id="3406">
    <w:p w14:paraId="2790BB11" w14:textId="77777777" w:rsidR="0013116F" w:rsidRDefault="0013116F" w:rsidP="001D49D4">
      <w:pPr>
        <w:pStyle w:val="a9"/>
        <w:rPr>
          <w:rtl/>
        </w:rPr>
      </w:pPr>
      <w:r>
        <w:rPr>
          <w:rStyle w:val="ab"/>
        </w:rPr>
        <w:footnoteRef/>
      </w:r>
      <w:r>
        <w:rPr>
          <w:rtl/>
        </w:rPr>
        <w:t xml:space="preserve"> ר"ח</w:t>
      </w:r>
      <w:r>
        <w:rPr>
          <w:sz w:val="16"/>
          <w:szCs w:val="16"/>
          <w:rtl/>
        </w:rPr>
        <w:t xml:space="preserve"> (כ"כ רשב"ם בשמו </w:t>
      </w:r>
      <w:r>
        <w:rPr>
          <w:sz w:val="14"/>
          <w:szCs w:val="14"/>
          <w:rtl/>
        </w:rPr>
        <w:t>[ד"ה פסק]</w:t>
      </w:r>
      <w:r>
        <w:rPr>
          <w:sz w:val="16"/>
          <w:szCs w:val="16"/>
          <w:rtl/>
        </w:rPr>
        <w:t>)</w:t>
      </w:r>
      <w:r>
        <w:rPr>
          <w:rtl/>
        </w:rPr>
        <w:t xml:space="preserve"> רמב"ם </w:t>
      </w:r>
      <w:r>
        <w:rPr>
          <w:sz w:val="16"/>
          <w:szCs w:val="16"/>
          <w:rtl/>
        </w:rPr>
        <w:t>(פכ"ג ה"ו)</w:t>
      </w:r>
      <w:r>
        <w:rPr>
          <w:rtl/>
        </w:rPr>
        <w:t xml:space="preserve"> רמב"ן </w:t>
      </w:r>
      <w:r>
        <w:rPr>
          <w:sz w:val="16"/>
          <w:szCs w:val="16"/>
          <w:rtl/>
        </w:rPr>
        <w:t>(ב"ב שם ד"ה והא דאמרינן, כ"כ הה"מ בשמו)</w:t>
      </w:r>
      <w:r>
        <w:rPr>
          <w:rtl/>
        </w:rPr>
        <w:t xml:space="preserve"> ורשב"א </w:t>
      </w:r>
      <w:r>
        <w:rPr>
          <w:sz w:val="16"/>
          <w:szCs w:val="16"/>
          <w:rtl/>
        </w:rPr>
        <w:t>(ב"ב שם ד"ה כי, כ"כ הה"מ בשמו)</w:t>
      </w:r>
      <w:r>
        <w:rPr>
          <w:rtl/>
        </w:rPr>
        <w:t>.</w:t>
      </w:r>
    </w:p>
  </w:footnote>
  <w:footnote w:id="3407">
    <w:p w14:paraId="7665510A" w14:textId="77777777" w:rsidR="0013116F" w:rsidRDefault="0013116F" w:rsidP="001D49D4">
      <w:pPr>
        <w:pStyle w:val="a9"/>
        <w:rPr>
          <w:rtl/>
        </w:rPr>
      </w:pPr>
      <w:r>
        <w:rPr>
          <w:rStyle w:val="ab"/>
        </w:rPr>
        <w:footnoteRef/>
      </w:r>
      <w:r>
        <w:rPr>
          <w:rtl/>
        </w:rPr>
        <w:t xml:space="preserve"> וכיוצא בלשון הרא"ש כתב נמוק"י </w:t>
      </w:r>
      <w:r>
        <w:rPr>
          <w:sz w:val="16"/>
          <w:szCs w:val="16"/>
          <w:rtl/>
        </w:rPr>
        <w:t xml:space="preserve">(עט: ד"ה אמר להו) </w:t>
      </w:r>
      <w:r>
        <w:rPr>
          <w:rtl/>
        </w:rPr>
        <w:t>בשם ר"י ומסיים בה אבל כשלא נכתב הקנין אינו גובה מנכסים משועבדים דהא בטיל קליה, ב"י.</w:t>
      </w:r>
    </w:p>
  </w:footnote>
  <w:footnote w:id="3408">
    <w:p w14:paraId="27E2F2FB" w14:textId="77777777" w:rsidR="0013116F" w:rsidRDefault="0013116F" w:rsidP="001D49D4">
      <w:pPr>
        <w:pStyle w:val="a9"/>
        <w:rPr>
          <w:rtl/>
        </w:rPr>
      </w:pPr>
      <w:r>
        <w:rPr>
          <w:rStyle w:val="ab"/>
        </w:rPr>
        <w:footnoteRef/>
      </w:r>
      <w:r>
        <w:rPr>
          <w:rtl/>
        </w:rPr>
        <w:t xml:space="preserve"> איכא פלוגתא בין הפוסקים אי כמעשה ב"ד דמיא ונכתב ביום ונחתם בלילה כשר, או לא. והזכירום הרא"ש והר"ן פ"ב דגיטין [הרא"ש סי' ז' והר"ן ח' ע"ב מדפי הרי"ף ד"ה כתובה] והה"מ ריש פכ"ג מהלכות מלוה [ה"ג] עיין שם, ש"ך (סקל"ד).</w:t>
      </w:r>
    </w:p>
  </w:footnote>
  <w:footnote w:id="3409">
    <w:p w14:paraId="489054E2" w14:textId="77777777" w:rsidR="0013116F" w:rsidRDefault="0013116F" w:rsidP="001D49D4">
      <w:pPr>
        <w:pStyle w:val="a9"/>
        <w:rPr>
          <w:rtl/>
        </w:rPr>
      </w:pPr>
      <w:r>
        <w:rPr>
          <w:rStyle w:val="ab"/>
        </w:rPr>
        <w:footnoteRef/>
      </w:r>
      <w:r>
        <w:rPr>
          <w:rtl/>
        </w:rPr>
        <w:t xml:space="preserve"> וה"ה אפילו לא חתמו כלל, דקי"ל קנין יש לו קול וטורף אפילו לא נכתב כלל, וכדלעיל ר"ס ל"ט, וכן דעת רוב הפוסקים, ודלא כהרא"ש וסיעתו (עי' ב"י סע' יב). ומ"ש הסמ"ע (לעיל ר"ס לט סק"ב, וכאן סק"ל)</w:t>
      </w:r>
      <w:r>
        <w:rPr>
          <w:rFonts w:hint="cs"/>
        </w:rPr>
        <w:t xml:space="preserve"> </w:t>
      </w:r>
      <w:r>
        <w:rPr>
          <w:rtl/>
        </w:rPr>
        <w:t>לחלק בין כשהעדים לפנינו או לא, לא נהירא, ובחנם דחק, דודאי דעת הרא"ש וטור דדוקא כשנכתב, אבל דעת המחבר כרוב הפוסקים, ש"ך (סקל"ה).</w:t>
      </w:r>
    </w:p>
  </w:footnote>
  <w:footnote w:id="3410">
    <w:p w14:paraId="641549CD" w14:textId="77777777" w:rsidR="0013116F" w:rsidRDefault="0013116F" w:rsidP="001D49D4">
      <w:pPr>
        <w:pStyle w:val="a9"/>
      </w:pPr>
      <w:r>
        <w:rPr>
          <w:rStyle w:val="ab"/>
        </w:rPr>
        <w:footnoteRef/>
      </w:r>
      <w:r>
        <w:rPr>
          <w:rtl/>
        </w:rPr>
        <w:t xml:space="preserve"> ומהרמב"ם [פכ"ג ממלוה ה"ג] ושאר פוסקים לא משמע כן, שלא חילקו בכך, ש"ך (סקל"ו). והא דהביא השו"ע דעת הר"ן כיש מי שאומר הוא משום שאין מי מהראשונים שחולק עליו בהדיא, ומה שכתב הש"ך בשם הרמב"ם – הוא רק משום שסתם דבריו אבל לא כתב כן בפירוש (וגם הר"ן עצמו הזכירו). ואם תאמר והרי ר"ח (הבאתיו לעיל) חולק עליו בהדיא, י"ל שהשו"ע כבר גילה דעתו בסע' טז שאין הלכה כר"ח. ועוד ר"ח דיבר בכל עניין ולא רק בעסוקים באותו עניין, וכאן מיירי בעסוקים, ועל זה אין חולק בהדיא.</w:t>
      </w:r>
    </w:p>
  </w:footnote>
  <w:footnote w:id="3411">
    <w:p w14:paraId="1FBD264D" w14:textId="77777777" w:rsidR="0013116F" w:rsidRDefault="0013116F" w:rsidP="001D49D4">
      <w:pPr>
        <w:pStyle w:val="a9"/>
        <w:rPr>
          <w:rtl/>
        </w:rPr>
      </w:pPr>
      <w:r>
        <w:rPr>
          <w:rStyle w:val="ab"/>
        </w:rPr>
        <w:footnoteRef/>
      </w:r>
      <w:r>
        <w:rPr>
          <w:rtl/>
        </w:rPr>
        <w:t xml:space="preserve"> הטעם, דבהלואה המעות משועבדים מאותו זמן שנתנם, כיון שעסוקין באותו ענין, סמ"ע (סקל"א). </w:t>
      </w:r>
    </w:p>
  </w:footnote>
  <w:footnote w:id="3412">
    <w:p w14:paraId="36730FDF" w14:textId="77777777" w:rsidR="0013116F" w:rsidRDefault="0013116F" w:rsidP="001D49D4">
      <w:pPr>
        <w:pStyle w:val="a9"/>
      </w:pPr>
      <w:r>
        <w:rPr>
          <w:rStyle w:val="ab"/>
        </w:rPr>
        <w:footnoteRef/>
      </w:r>
      <w:r>
        <w:rPr>
          <w:rtl/>
        </w:rPr>
        <w:t xml:space="preserve"> שם [בר"ן] סיים בטעמו ז"ל, דבמה יתחייב ביום, ואע"ג דאיכא קלא, במילי ודאי לא משתעבד, עכ"ל. ונלע"ד דחיובו בקנין דומיא דחיובו בשטר קאמר, דכמו דבחיובו בשטר מיירי דלא כתב לו השטר עד הלילה, כן חיובו בקנין מיירי דאינו מקנה לו בקנין עד הלילה, וביום מתעסק בהסכמתו ובחיובו בדברים וגומר החיוב בלילה בשטר או בקנין. אבל אי קנו ליה בקנין סודר על חיובו ביום, ודאי משתעבד ליה בקנינו מאותה שעה לדעת הרי"ף והרמב"ם וסיעתו הנ"ל [סק"ל] אפילו בלא שטר כלל, ולהרא"ש [ב"ב פ"י סי' לא] אם יכתוב אח"כ בלילה, משועבד למפרע מזמן הקנין, וכמו שכתבתי בדרישה [סע' יב] בארוכה</w:t>
      </w:r>
      <w:r>
        <w:rPr>
          <w:sz w:val="16"/>
          <w:szCs w:val="16"/>
          <w:rtl/>
        </w:rPr>
        <w:t xml:space="preserve"> {וכ"כ הש"ך [סקל"ז]}</w:t>
      </w:r>
      <w:r>
        <w:rPr>
          <w:rtl/>
        </w:rPr>
        <w:t>. ומה שכתב [הר"ן] אע"ג דאיכא קלא, ר"ל כיון דעסוקין באותו ענין המה אפקי לקלא, סמ"ע (סקל"ב).</w:t>
      </w:r>
    </w:p>
  </w:footnote>
  <w:footnote w:id="3413">
    <w:p w14:paraId="7734A4D1" w14:textId="77777777" w:rsidR="0013116F" w:rsidRDefault="0013116F" w:rsidP="001D49D4">
      <w:pPr>
        <w:pStyle w:val="a9"/>
        <w:rPr>
          <w:rtl/>
        </w:rPr>
      </w:pPr>
      <w:r>
        <w:rPr>
          <w:rStyle w:val="ab"/>
        </w:rPr>
        <w:footnoteRef/>
      </w:r>
      <w:r>
        <w:rPr>
          <w:rtl/>
        </w:rPr>
        <w:t xml:space="preserve"> דברים אלו נכוחים וישרים כי נימוקם עמם. וכתבם הרב המגיד בפכ"ג מהלכות מלוה (ה"ו), ב"י.</w:t>
      </w:r>
    </w:p>
  </w:footnote>
  <w:footnote w:id="3414">
    <w:p w14:paraId="39A3D8B7" w14:textId="77777777" w:rsidR="0013116F" w:rsidRDefault="0013116F" w:rsidP="001D49D4">
      <w:pPr>
        <w:pStyle w:val="a9"/>
        <w:rPr>
          <w:rtl/>
        </w:rPr>
      </w:pPr>
      <w:r>
        <w:rPr>
          <w:rStyle w:val="ab"/>
        </w:rPr>
        <w:footnoteRef/>
      </w:r>
      <w:r>
        <w:rPr>
          <w:rtl/>
        </w:rPr>
        <w:t xml:space="preserve"> ר"ל וצריך להזהר בכך, אבל השטר לא מיפסל בהכי, ב"י דרכ"מ ט"ו, וע"ש שהביא הרבה דעות בזה שחולקין וס"ל דהשטר פסול, סמ"ע (סקל"ד).</w:t>
      </w:r>
    </w:p>
  </w:footnote>
  <w:footnote w:id="3415">
    <w:p w14:paraId="5DBDC8CF" w14:textId="77777777" w:rsidR="0013116F" w:rsidRDefault="0013116F" w:rsidP="001D49D4">
      <w:pPr>
        <w:pStyle w:val="a9"/>
      </w:pPr>
      <w:r>
        <w:rPr>
          <w:rStyle w:val="ab"/>
        </w:rPr>
        <w:footnoteRef/>
      </w:r>
      <w:r>
        <w:rPr>
          <w:rtl/>
        </w:rPr>
        <w:t xml:space="preserve"> </w:t>
      </w:r>
      <w:r>
        <w:rPr>
          <w:rFonts w:hint="cs"/>
          <w:rtl/>
        </w:rPr>
        <w:t xml:space="preserve">הש"ך (סק"מ) כתב שדבריו הם כדברי בעל התרומות והטור. וז"ל הרשב"א- </w:t>
      </w:r>
      <w:r>
        <w:rPr>
          <w:rtl/>
        </w:rPr>
        <w:t>אמרינן בגט פשוט אי ידעיתו יומא דאקניתו ביה כתובו, ואי לא כתובו יומא דקיימיתו ביה, ואי לא מיחזי כשיקרא, כלומר אבל יומא דלא קנו ביה ולא יומא דכתבי ליה לא, אע"ג דודאי קנו מיניה מקמי ההוא יומא דכתבי אינהו, משום דמיחזי כשיקרא.</w:t>
      </w:r>
    </w:p>
  </w:footnote>
  <w:footnote w:id="3416">
    <w:p w14:paraId="54CD8F5B" w14:textId="77777777" w:rsidR="0013116F" w:rsidRDefault="0013116F" w:rsidP="001D49D4">
      <w:pPr>
        <w:pStyle w:val="a9"/>
      </w:pPr>
      <w:r>
        <w:rPr>
          <w:rStyle w:val="ab"/>
        </w:rPr>
        <w:footnoteRef/>
      </w:r>
      <w:r>
        <w:rPr>
          <w:rtl/>
        </w:rPr>
        <w:t xml:space="preserve"> ופירש בעל התרומות דהיינו מאי דאמר רבא בר שילא להנהו דכתבי שטרי אקנייתא וכו' ואי לא מיחזי כשיקרא. ונראה לי שאנו מוכרחים לפרש כן, שאם לומר שלא יכתבו יום, שאינם זכורים כלל, ההוא לאו משום מיחזי כשיקרא הוה ליה למימר דלא ליכתבו, אלא משום ספק פסול נמי, דדילמא מוקדם הוא, אלא ודאי כדאמרן, ב"י. אך הש"ך (סק"מ) כתב שדין זה לא מסתבר כלל, וכתב שאין מוכרחים לפרש כן את דברי רבא בר רב שילא, וכתב שנראה לו היתר ברור שאם יודעים שקנו ממנו בתשרי ואינן יודעים בכמה, מותרים לכתוב מתחילת חשון. אמנם סיכם שדין זה צ"ע משום שמדברי הרשב"א נראה כדברי בעל התרומות והטור.</w:t>
      </w:r>
    </w:p>
  </w:footnote>
  <w:footnote w:id="3417">
    <w:p w14:paraId="6D016DF2" w14:textId="77777777" w:rsidR="0013116F" w:rsidRDefault="0013116F" w:rsidP="001D49D4">
      <w:pPr>
        <w:pStyle w:val="a9"/>
        <w:rPr>
          <w:rtl/>
        </w:rPr>
      </w:pPr>
      <w:r>
        <w:rPr>
          <w:rStyle w:val="ab"/>
        </w:rPr>
        <w:footnoteRef/>
      </w:r>
      <w:r>
        <w:rPr>
          <w:rtl/>
        </w:rPr>
        <w:t xml:space="preserve"> ומדברי בעל התרומות נראה לכאורה דאפילו כהאי גוונא לא מכשיר, ב"י. וכעין דעת מהר"י בי רב מביא הרשב"ש (סי' תלג) שכך היו נוהגים בזמנו, וז"ל- מה שנוהגין לכתוב בקצת שטרות בעשור הראשון או האמצעי או האחרון השטר כשר הוא ואפילו בגט כדמוכח התם בגיטין דאמרינן דמהני לשבוע דלקמיה וכו', אבל טוב הוא שיכתוב הזמן באמת שלפעמים ירע כחו של המלוה.</w:t>
      </w:r>
    </w:p>
  </w:footnote>
  <w:footnote w:id="3418">
    <w:p w14:paraId="6AE3DF96" w14:textId="77777777" w:rsidR="0013116F" w:rsidRDefault="0013116F" w:rsidP="001D49D4">
      <w:pPr>
        <w:pStyle w:val="a9"/>
        <w:rPr>
          <w:rtl/>
        </w:rPr>
      </w:pPr>
      <w:r>
        <w:rPr>
          <w:rStyle w:val="ab"/>
        </w:rPr>
        <w:footnoteRef/>
      </w:r>
      <w:r>
        <w:rPr>
          <w:rtl/>
        </w:rPr>
        <w:t xml:space="preserve"> </w:t>
      </w:r>
      <w:r>
        <w:rPr>
          <w:rFonts w:hint="cs"/>
          <w:rtl/>
        </w:rPr>
        <w:t xml:space="preserve">לפנינו ברשב"ם הגירסא קצת אחרת </w:t>
      </w:r>
      <w:r>
        <w:rPr>
          <w:sz w:val="16"/>
          <w:szCs w:val="16"/>
          <w:rtl/>
        </w:rPr>
        <w:t>(שמכר אפילו יש בו אחריות כותבים יומא דקנו ביה, שהרי דינו לטרוף לקוחות משעת מכירה דעדים מפקי ליה לקלא בלא שטר כדאמרינן בחזקת הבתים [מא:])</w:t>
      </w:r>
      <w:r>
        <w:rPr>
          <w:rtl/>
        </w:rPr>
        <w:t>, וכן העיר הגידולי תרומה (אות ד, ד"ה ודע והבן), וכן בריטב"א בשמו כלפנינו, אך ברשב"א ובהשלמה ובמאירי בשמו כתבו כבעל התרומות, וכן מוכח בתוס'.</w:t>
      </w:r>
    </w:p>
  </w:footnote>
  <w:footnote w:id="3419">
    <w:p w14:paraId="4305754D" w14:textId="77777777" w:rsidR="0013116F" w:rsidRDefault="0013116F" w:rsidP="001D49D4">
      <w:pPr>
        <w:pStyle w:val="a9"/>
        <w:rPr>
          <w:rtl/>
        </w:rPr>
      </w:pPr>
      <w:r>
        <w:rPr>
          <w:rStyle w:val="ab"/>
        </w:rPr>
        <w:footnoteRef/>
      </w:r>
      <w:r>
        <w:rPr>
          <w:rtl/>
        </w:rPr>
        <w:t xml:space="preserve"> ומסתבר דאיהו אזיל לטעמיה שכתב דאע"ג דסתם קנין לכתיבה (שם מ.) יכול לחזור בו כל זמן שלא נכתב ואישתכח דאיתיה מלוה על פה ולא חייל שעבודיה עד שיכתבוהו, בעל התרומות </w:t>
      </w:r>
      <w:r>
        <w:rPr>
          <w:sz w:val="16"/>
          <w:szCs w:val="16"/>
          <w:rtl/>
        </w:rPr>
        <w:t>(שער נו ח"א סי' ד)</w:t>
      </w:r>
      <w:r>
        <w:rPr>
          <w:rtl/>
        </w:rPr>
        <w:t>.</w:t>
      </w:r>
    </w:p>
  </w:footnote>
  <w:footnote w:id="3420">
    <w:p w14:paraId="4371F5E5" w14:textId="77777777" w:rsidR="0013116F" w:rsidRDefault="0013116F" w:rsidP="001D49D4">
      <w:pPr>
        <w:pStyle w:val="a9"/>
        <w:rPr>
          <w:rtl/>
        </w:rPr>
      </w:pPr>
      <w:r>
        <w:rPr>
          <w:rStyle w:val="ab"/>
        </w:rPr>
        <w:footnoteRef/>
      </w:r>
      <w:r>
        <w:rPr>
          <w:rtl/>
        </w:rPr>
        <w:t xml:space="preserve"> רבנו גרשום </w:t>
      </w:r>
      <w:r>
        <w:rPr>
          <w:sz w:val="16"/>
          <w:szCs w:val="16"/>
          <w:rtl/>
        </w:rPr>
        <w:t xml:space="preserve">(שם ד"ה שטרי אקנייתא) </w:t>
      </w:r>
      <w:r>
        <w:rPr>
          <w:rtl/>
        </w:rPr>
        <w:t xml:space="preserve">רי"ף </w:t>
      </w:r>
      <w:r>
        <w:rPr>
          <w:sz w:val="16"/>
          <w:szCs w:val="16"/>
          <w:rtl/>
        </w:rPr>
        <w:t xml:space="preserve">(בתשו', כ"כ בשמו בעל התרומות [שם]) </w:t>
      </w:r>
      <w:r>
        <w:rPr>
          <w:rtl/>
        </w:rPr>
        <w:t xml:space="preserve">ראב"ד </w:t>
      </w:r>
      <w:r>
        <w:rPr>
          <w:sz w:val="16"/>
          <w:szCs w:val="16"/>
          <w:rtl/>
        </w:rPr>
        <w:t xml:space="preserve">(תמים דעים סי' נה, הביאו בעל התרומות) </w:t>
      </w:r>
      <w:r>
        <w:rPr>
          <w:rtl/>
        </w:rPr>
        <w:t xml:space="preserve">רמב"ם </w:t>
      </w:r>
      <w:r>
        <w:rPr>
          <w:sz w:val="16"/>
          <w:szCs w:val="16"/>
          <w:rtl/>
        </w:rPr>
        <w:t>(פכ"ג ה"ו, הביאו בעל התרומות)</w:t>
      </w:r>
      <w:r>
        <w:rPr>
          <w:rtl/>
        </w:rPr>
        <w:t xml:space="preserve"> ורמב"ן </w:t>
      </w:r>
      <w:r>
        <w:rPr>
          <w:sz w:val="16"/>
          <w:szCs w:val="16"/>
          <w:rtl/>
        </w:rPr>
        <w:t>(ב"ב קעב. ד"ה והא דאמרינן)</w:t>
      </w:r>
      <w:r>
        <w:rPr>
          <w:rtl/>
        </w:rPr>
        <w:t>.</w:t>
      </w:r>
    </w:p>
  </w:footnote>
  <w:footnote w:id="3421">
    <w:p w14:paraId="05F333C0" w14:textId="77777777" w:rsidR="0013116F" w:rsidRDefault="0013116F" w:rsidP="001D49D4">
      <w:pPr>
        <w:pStyle w:val="a9"/>
        <w:rPr>
          <w:rtl/>
        </w:rPr>
      </w:pPr>
      <w:r>
        <w:rPr>
          <w:rStyle w:val="ab"/>
        </w:rPr>
        <w:footnoteRef/>
      </w:r>
      <w:r>
        <w:rPr>
          <w:rtl/>
        </w:rPr>
        <w:t xml:space="preserve"> ואפילו יכתוב בשטר שאיחרוהו או שנכתוב בו דאקני, אפ"ה מיחזי כשיקרא, כמ"ש מור"ם לעיל בסמוך סוף סעיף יב ע"ש, דאל"כ פשיטא דלא יעשוהו מאוחר, מחשש שנתבאר שם בסעיף י"ב [סק"כ], סמ"ע (סקל"ז).</w:t>
      </w:r>
    </w:p>
  </w:footnote>
  <w:footnote w:id="3422">
    <w:p w14:paraId="5E151342" w14:textId="77777777" w:rsidR="0013116F" w:rsidRDefault="0013116F" w:rsidP="001D49D4">
      <w:pPr>
        <w:pStyle w:val="a9"/>
        <w:rPr>
          <w:rtl/>
        </w:rPr>
      </w:pPr>
      <w:r>
        <w:rPr>
          <w:rStyle w:val="ab"/>
        </w:rPr>
        <w:footnoteRef/>
      </w:r>
      <w:r>
        <w:rPr>
          <w:rtl/>
        </w:rPr>
        <w:t xml:space="preserve"> וליכא למיחש דיגבה בו מתחילת השליש, דהמוציא מחברו עליו הראיה, סמ"ע (סקל"ח).</w:t>
      </w:r>
    </w:p>
  </w:footnote>
  <w:footnote w:id="3423">
    <w:p w14:paraId="6990A1E4" w14:textId="77777777" w:rsidR="0013116F" w:rsidRDefault="0013116F" w:rsidP="001D49D4">
      <w:pPr>
        <w:pStyle w:val="a9"/>
      </w:pPr>
      <w:r>
        <w:rPr>
          <w:rStyle w:val="ab"/>
        </w:rPr>
        <w:footnoteRef/>
      </w:r>
      <w:r>
        <w:rPr>
          <w:rtl/>
        </w:rPr>
        <w:t xml:space="preserve"> </w:t>
      </w:r>
      <w:r>
        <w:rPr>
          <w:rFonts w:hint="cs"/>
          <w:rtl/>
        </w:rPr>
        <w:t>סימן – קיימיתו עסקא בהיני/בשילי. וכן – העדין קיימיתו בהיני/בשילי.</w:t>
      </w:r>
    </w:p>
  </w:footnote>
  <w:footnote w:id="3424">
    <w:p w14:paraId="6C9F9CA4" w14:textId="77777777" w:rsidR="0013116F" w:rsidRDefault="0013116F" w:rsidP="001D49D4">
      <w:pPr>
        <w:pStyle w:val="a9"/>
        <w:rPr>
          <w:rtl/>
        </w:rPr>
      </w:pPr>
      <w:r>
        <w:rPr>
          <w:rStyle w:val="ab"/>
        </w:rPr>
        <w:footnoteRef/>
      </w:r>
      <w:r>
        <w:rPr>
          <w:rtl/>
        </w:rPr>
        <w:t xml:space="preserve"> </w:t>
      </w:r>
      <w:r>
        <w:rPr>
          <w:rFonts w:hint="cs"/>
          <w:rtl/>
        </w:rPr>
        <w:t>המרדכי גרס כאן 'רבי אבא', אבל לפנינו איתא 'רב', ולכן, כדי להקל, בכל מקום שכתוב בדבריו בענייננו 'רבי אבא' כתבתי 'רב'. ויש לציין שלרב קראו גם אבא (עיין ברש"י חולין מה: ד"ה אבא).</w:t>
      </w:r>
    </w:p>
  </w:footnote>
  <w:footnote w:id="3425">
    <w:p w14:paraId="4249203C" w14:textId="77777777" w:rsidR="0013116F" w:rsidRDefault="0013116F" w:rsidP="001D49D4">
      <w:pPr>
        <w:pStyle w:val="a9"/>
        <w:rPr>
          <w:rtl/>
        </w:rPr>
      </w:pPr>
      <w:r>
        <w:rPr>
          <w:rStyle w:val="ab"/>
        </w:rPr>
        <w:footnoteRef/>
      </w:r>
      <w:r>
        <w:rPr>
          <w:rtl/>
        </w:rPr>
        <w:t xml:space="preserve"> </w:t>
      </w:r>
      <w:r>
        <w:rPr>
          <w:rFonts w:hint="cs"/>
          <w:u w:val="single"/>
          <w:rtl/>
        </w:rPr>
        <w:t>ישנן מספר סיבות להוראה זו של רב</w:t>
      </w:r>
      <w:r>
        <w:rPr>
          <w:rFonts w:hint="cs"/>
          <w:rtl/>
        </w:rPr>
        <w:t>:</w:t>
      </w:r>
    </w:p>
    <w:p w14:paraId="0A6683ED" w14:textId="77777777" w:rsidR="0013116F" w:rsidRDefault="0013116F" w:rsidP="004B0475">
      <w:pPr>
        <w:pStyle w:val="a9"/>
        <w:numPr>
          <w:ilvl w:val="0"/>
          <w:numId w:val="277"/>
        </w:numPr>
        <w:rPr>
          <w:rtl/>
        </w:rPr>
      </w:pPr>
      <w:r>
        <w:rPr>
          <w:rtl/>
        </w:rPr>
        <w:t xml:space="preserve">רי"ף </w:t>
      </w:r>
      <w:r>
        <w:rPr>
          <w:sz w:val="16"/>
          <w:szCs w:val="16"/>
          <w:rtl/>
        </w:rPr>
        <w:t>(עט:)</w:t>
      </w:r>
      <w:r>
        <w:rPr>
          <w:rtl/>
        </w:rPr>
        <w:t xml:space="preserve"> רמב"ן ריב"ש טור ונמוק"י- משום דמיחזי כשיקרא. </w:t>
      </w:r>
      <w:r>
        <w:rPr>
          <w:sz w:val="16"/>
          <w:szCs w:val="16"/>
          <w:rtl/>
        </w:rPr>
        <w:t>(וכתב המרדכי דלא נראה לראבי"ה מדקאמר בתר הכי אמר להו רבא בר שילא כו' אי ידעיתו יומא דאקניתו ביה כו' משום דמיחזי כשיקרא, ובהא דרב לא קאמר הכי - ש"מ דלאו חד טעמא הוא. עכ"ל המרדכי. אבל יש לציין שבגירסת הרי"ף הרמב"ן והרא"ש כתוב על מימרא דרב ורב הונא 'כי היכי דלא מתחזי כשקרא', וא"כ קושייתו של ראבי"ה ליתא)</w:t>
      </w:r>
      <w:r>
        <w:rPr>
          <w:rtl/>
        </w:rPr>
        <w:t xml:space="preserve">.  </w:t>
      </w:r>
    </w:p>
    <w:p w14:paraId="19DFE4AE" w14:textId="77777777" w:rsidR="0013116F" w:rsidRDefault="0013116F" w:rsidP="004B0475">
      <w:pPr>
        <w:pStyle w:val="a9"/>
        <w:numPr>
          <w:ilvl w:val="0"/>
          <w:numId w:val="277"/>
        </w:numPr>
      </w:pPr>
      <w:r>
        <w:rPr>
          <w:rtl/>
        </w:rPr>
        <w:t xml:space="preserve">ראבי"ה </w:t>
      </w:r>
      <w:r>
        <w:rPr>
          <w:sz w:val="16"/>
          <w:szCs w:val="16"/>
          <w:rtl/>
        </w:rPr>
        <w:t>(סי' תתקיט, הביאו המרדכי [סי' תרמו])</w:t>
      </w:r>
      <w:r>
        <w:rPr>
          <w:rtl/>
        </w:rPr>
        <w:t>- משום שע"י מקום כתיבת השטר ידע לחקור אחר עדים המכירין חתימת עדי בני מקומן.</w:t>
      </w:r>
    </w:p>
    <w:p w14:paraId="3D54A8EC" w14:textId="77777777" w:rsidR="0013116F" w:rsidRDefault="0013116F" w:rsidP="004B0475">
      <w:pPr>
        <w:pStyle w:val="a9"/>
        <w:numPr>
          <w:ilvl w:val="0"/>
          <w:numId w:val="277"/>
        </w:numPr>
      </w:pPr>
      <w:r>
        <w:rPr>
          <w:rtl/>
        </w:rPr>
        <w:t xml:space="preserve">רש"י </w:t>
      </w:r>
      <w:r>
        <w:rPr>
          <w:sz w:val="16"/>
          <w:szCs w:val="16"/>
          <w:rtl/>
        </w:rPr>
        <w:t>(ר"פ אד"מ סנהדרין לב., ד"ה חיישינן שמא)</w:t>
      </w:r>
      <w:r>
        <w:rPr>
          <w:rtl/>
        </w:rPr>
        <w:t>- עצה טובה קמ"ל שלא יביאוהו לידי הזמה דלא לימרו ליה עמנו הייתם בשילי.</w:t>
      </w:r>
    </w:p>
    <w:p w14:paraId="73E14B09" w14:textId="77777777" w:rsidR="0013116F" w:rsidRDefault="0013116F" w:rsidP="004B0475">
      <w:pPr>
        <w:pStyle w:val="a9"/>
        <w:numPr>
          <w:ilvl w:val="0"/>
          <w:numId w:val="277"/>
        </w:numPr>
      </w:pPr>
      <w:r>
        <w:rPr>
          <w:rtl/>
        </w:rPr>
        <w:t>רמ"ה</w:t>
      </w:r>
      <w:r>
        <w:rPr>
          <w:sz w:val="14"/>
          <w:szCs w:val="14"/>
          <w:rtl/>
        </w:rPr>
        <w:t xml:space="preserve"> </w:t>
      </w:r>
      <w:r>
        <w:rPr>
          <w:sz w:val="16"/>
          <w:szCs w:val="16"/>
          <w:rtl/>
        </w:rPr>
        <w:t>(הביאו הטור סע' כא)</w:t>
      </w:r>
      <w:r>
        <w:rPr>
          <w:rtl/>
        </w:rPr>
        <w:t>- משום שמדובר דבמקום הקנין יוצא סוג מטבע אחד ובמקום הכתיבה יוצא סוג מטבע אחר.</w:t>
      </w:r>
    </w:p>
  </w:footnote>
  <w:footnote w:id="3426">
    <w:p w14:paraId="2508884A" w14:textId="77777777" w:rsidR="0013116F" w:rsidRDefault="0013116F" w:rsidP="001D49D4">
      <w:pPr>
        <w:pStyle w:val="a9"/>
        <w:rPr>
          <w:rtl/>
        </w:rPr>
      </w:pPr>
      <w:r>
        <w:rPr>
          <w:rStyle w:val="ab"/>
        </w:rPr>
        <w:footnoteRef/>
      </w:r>
      <w:r>
        <w:rPr>
          <w:rtl/>
        </w:rPr>
        <w:t xml:space="preserve"> ובזה סמכו לכתוב כתובה במדינה וכותבין שם הכפר מקום הנשואין ומוליכין אותה עמהם וחותמין במקום הנשואין, ואפי' אם טעמא משום דמיחזי כשיקרא צריך לכתוב מקום הנשואין ויום כניסת החופה דהיינו יומא דקנין... ומיהו כתב בסה"מ </w:t>
      </w:r>
      <w:r>
        <w:rPr>
          <w:sz w:val="14"/>
          <w:szCs w:val="14"/>
          <w:rtl/>
        </w:rPr>
        <w:t xml:space="preserve">(סמ"ג עשין נ) </w:t>
      </w:r>
      <w:r>
        <w:rPr>
          <w:rtl/>
        </w:rPr>
        <w:t xml:space="preserve">קשה בעיני ר"י לעשות מעשה לכתחלה משום דאמר להו רב לספרי כי יתביתו בהיני כו', מרדכי. </w:t>
      </w:r>
      <w:r>
        <w:rPr>
          <w:sz w:val="16"/>
          <w:szCs w:val="16"/>
          <w:rtl/>
        </w:rPr>
        <w:t>(היינו דלכתחילה הצריך ר"י לכתוב ולחתוב באותו מקום, או לכתוב במקום אחד ולציין בשטר שנכתב שם ולחתום במקום אחר ולציין שנחתם שם)</w:t>
      </w:r>
      <w:r>
        <w:rPr>
          <w:rtl/>
        </w:rPr>
        <w:t xml:space="preserve"> </w:t>
      </w:r>
    </w:p>
  </w:footnote>
  <w:footnote w:id="3427">
    <w:p w14:paraId="536147A3" w14:textId="77777777" w:rsidR="0013116F" w:rsidRDefault="0013116F" w:rsidP="001D49D4">
      <w:pPr>
        <w:pStyle w:val="a9"/>
        <w:rPr>
          <w:rtl/>
        </w:rPr>
      </w:pPr>
      <w:r>
        <w:rPr>
          <w:rStyle w:val="ab"/>
        </w:rPr>
        <w:footnoteRef/>
      </w:r>
      <w:r>
        <w:rPr>
          <w:rtl/>
        </w:rPr>
        <w:t xml:space="preserve"> וז"ל- כי כתבי יומא דקנו ביה כתבי דוכתא דקנו ביה, דאי כתבי דוכתא דקיימי ביה מיחזי כשיקרא, וכשאמרו כתובו בשילי אע"ג דמימסרן לכו מילי בהיני בכותבים יום הכתיבה אמרו.</w:t>
      </w:r>
    </w:p>
  </w:footnote>
  <w:footnote w:id="3428">
    <w:p w14:paraId="5606205D" w14:textId="77777777" w:rsidR="0013116F" w:rsidRDefault="0013116F" w:rsidP="001D49D4">
      <w:pPr>
        <w:pStyle w:val="a9"/>
      </w:pPr>
      <w:r>
        <w:rPr>
          <w:rStyle w:val="ab"/>
        </w:rPr>
        <w:footnoteRef/>
      </w:r>
      <w:r>
        <w:rPr>
          <w:rtl/>
        </w:rPr>
        <w:t xml:space="preserve"> </w:t>
      </w:r>
      <w:r>
        <w:rPr>
          <w:rFonts w:hint="cs"/>
          <w:rtl/>
        </w:rPr>
        <w:t>וז"ל המרדכי-</w:t>
      </w:r>
      <w:r>
        <w:rPr>
          <w:rtl/>
        </w:rPr>
        <w:t xml:space="preserve"> רבינו יהודה ממגנצא העיד שנעשה מעשה ע"פ רבינו שמריה וכתב הכי- 'זכרון עדות שהיתה בפנינו בהיני כך וכך למנין שאנו מונין כאן בשילי', וכגון זה פי' רשב"ם. עכ"ל.</w:t>
      </w:r>
    </w:p>
  </w:footnote>
  <w:footnote w:id="3429">
    <w:p w14:paraId="44147C0E" w14:textId="77777777" w:rsidR="0013116F" w:rsidRDefault="0013116F" w:rsidP="001D49D4">
      <w:pPr>
        <w:pStyle w:val="a9"/>
        <w:rPr>
          <w:rtl/>
        </w:rPr>
      </w:pPr>
      <w:r>
        <w:rPr>
          <w:rStyle w:val="ab"/>
        </w:rPr>
        <w:footnoteRef/>
      </w:r>
      <w:r>
        <w:rPr>
          <w:rtl/>
        </w:rPr>
        <w:t xml:space="preserve"> ראבי"ה </w:t>
      </w:r>
      <w:r>
        <w:rPr>
          <w:sz w:val="16"/>
          <w:szCs w:val="16"/>
          <w:rtl/>
        </w:rPr>
        <w:t>(סי' תתקיט, הביאו המרדכי [שם])</w:t>
      </w:r>
      <w:r>
        <w:rPr>
          <w:rtl/>
        </w:rPr>
        <w:t xml:space="preserve"> ריב"ם</w:t>
      </w:r>
      <w:r>
        <w:rPr>
          <w:sz w:val="16"/>
          <w:szCs w:val="16"/>
          <w:rtl/>
        </w:rPr>
        <w:t xml:space="preserve"> (הביאו המרדכי [שם])</w:t>
      </w:r>
      <w:r>
        <w:rPr>
          <w:rtl/>
        </w:rPr>
        <w:t xml:space="preserve"> רמב"ן </w:t>
      </w:r>
      <w:r>
        <w:rPr>
          <w:sz w:val="16"/>
          <w:szCs w:val="16"/>
          <w:rtl/>
        </w:rPr>
        <w:t xml:space="preserve">(קעב. ד"ה כי) </w:t>
      </w:r>
      <w:r>
        <w:rPr>
          <w:rtl/>
        </w:rPr>
        <w:t xml:space="preserve">ריב"ש </w:t>
      </w:r>
      <w:r>
        <w:rPr>
          <w:sz w:val="16"/>
          <w:szCs w:val="16"/>
          <w:rtl/>
        </w:rPr>
        <w:t xml:space="preserve">(סי' שפב) </w:t>
      </w:r>
      <w:r>
        <w:rPr>
          <w:rtl/>
        </w:rPr>
        <w:t xml:space="preserve">ונמוק"י </w:t>
      </w:r>
      <w:r>
        <w:rPr>
          <w:sz w:val="16"/>
          <w:szCs w:val="16"/>
          <w:rtl/>
        </w:rPr>
        <w:t>(עט: ד"ה אמר)</w:t>
      </w:r>
      <w:r>
        <w:rPr>
          <w:rtl/>
        </w:rPr>
        <w:t>.</w:t>
      </w:r>
    </w:p>
  </w:footnote>
  <w:footnote w:id="3430">
    <w:p w14:paraId="60E810FB" w14:textId="77777777" w:rsidR="0013116F" w:rsidRDefault="0013116F" w:rsidP="001D49D4">
      <w:pPr>
        <w:pStyle w:val="a9"/>
        <w:rPr>
          <w:rtl/>
        </w:rPr>
      </w:pPr>
      <w:r>
        <w:rPr>
          <w:rStyle w:val="ab"/>
        </w:rPr>
        <w:footnoteRef/>
      </w:r>
      <w:r>
        <w:rPr>
          <w:rtl/>
        </w:rPr>
        <w:t xml:space="preserve"> בין בגיטין בין בשטרות, ראבי"ה וריב"ם. אך כתב הש"ך (סקמ"א) דהתוס' (גיטין פ. ד"ה כי) כתבו דדוקא בגיטין פסולים בדיעבד ולא בשאר שטרות, וכ"כ הר"ן [גיטין מב. מדפה"ר ד"ה גרסי'] ומרדכי [שם סי' תמ] ואגודה פרק הזורק [גיטין סי' קמח].</w:t>
      </w:r>
    </w:p>
  </w:footnote>
  <w:footnote w:id="3431">
    <w:p w14:paraId="41E05C9A" w14:textId="77777777" w:rsidR="0013116F" w:rsidRDefault="0013116F" w:rsidP="001D49D4">
      <w:pPr>
        <w:pStyle w:val="a9"/>
      </w:pPr>
      <w:r>
        <w:rPr>
          <w:rStyle w:val="ab"/>
        </w:rPr>
        <w:footnoteRef/>
      </w:r>
      <w:r>
        <w:rPr>
          <w:rtl/>
        </w:rPr>
        <w:t xml:space="preserve"> וכתב ראבי"ה </w:t>
      </w:r>
      <w:r>
        <w:rPr>
          <w:sz w:val="16"/>
          <w:szCs w:val="16"/>
          <w:rtl/>
        </w:rPr>
        <w:t xml:space="preserve">(שם עמ' רפד) </w:t>
      </w:r>
      <w:r>
        <w:rPr>
          <w:rtl/>
        </w:rPr>
        <w:t xml:space="preserve">דהא דאמר רבא בר שילא ואי לא מתחזי כשיקרא - צריך ליזהר בכך, ומיהו שטר לא מיפסיל בהכי, דקיי"ל פרק הכותב </w:t>
      </w:r>
      <w:r>
        <w:rPr>
          <w:sz w:val="16"/>
          <w:szCs w:val="16"/>
          <w:rtl/>
        </w:rPr>
        <w:t xml:space="preserve">(כתובות פה:) </w:t>
      </w:r>
      <w:r>
        <w:rPr>
          <w:rtl/>
        </w:rPr>
        <w:t>דלמיחזי כשיקרא לא חיישינן גבי שטר שלוה בו ופרעו, אבל הא דרב פסול לגמרי דהוו ממש שקר ולא דמי למיחזי כשיקרא שאינו ממש שקר. עכ"ל. ואע"ג שבגי' הרי"ף הרמב"ן והרא"ש כתוב גם על מימרא דרב הטעם 'דמיחזי כשיקרא' כתב הרמב"ן וז"ל- אע"ג דאמרינן בעלמא למיחזי כשקרא לא חיישינן כדאיתא במסכת גיטין (כו:), הכא שאני דאי לא כתבי דוכתא דקיימי ביה שקרא הוא, ואין כל השקרים דומין זה לזה.</w:t>
      </w:r>
    </w:p>
  </w:footnote>
  <w:footnote w:id="3432">
    <w:p w14:paraId="574D5D9B" w14:textId="77777777" w:rsidR="0013116F" w:rsidRDefault="0013116F" w:rsidP="001D49D4">
      <w:pPr>
        <w:pStyle w:val="a9"/>
        <w:rPr>
          <w:rtl/>
        </w:rPr>
      </w:pPr>
      <w:r>
        <w:rPr>
          <w:rStyle w:val="ab"/>
        </w:rPr>
        <w:footnoteRef/>
      </w:r>
      <w:r>
        <w:rPr>
          <w:rtl/>
        </w:rPr>
        <w:t xml:space="preserve"> </w:t>
      </w:r>
      <w:r>
        <w:rPr>
          <w:rFonts w:hint="cs"/>
          <w:rtl/>
        </w:rPr>
        <w:t>וז"ל-</w:t>
      </w:r>
      <w:r>
        <w:rPr>
          <w:rtl/>
        </w:rPr>
        <w:t xml:space="preserve"> אי כתבו בהיני לא מיפסיל אלא עצה טובה קא משמע לן שלא יביאוהו לידי הזמה דלא לימרו ליה עמנו הייתם בשילי.</w:t>
      </w:r>
    </w:p>
  </w:footnote>
  <w:footnote w:id="3433">
    <w:p w14:paraId="4E0CDF18" w14:textId="77777777" w:rsidR="0013116F" w:rsidRDefault="0013116F" w:rsidP="001D49D4">
      <w:pPr>
        <w:pStyle w:val="a9"/>
      </w:pPr>
      <w:r>
        <w:rPr>
          <w:rStyle w:val="ab"/>
        </w:rPr>
        <w:footnoteRef/>
      </w:r>
      <w:r>
        <w:rPr>
          <w:rtl/>
        </w:rPr>
        <w:t xml:space="preserve"> </w:t>
      </w:r>
      <w:r>
        <w:rPr>
          <w:rFonts w:hint="cs"/>
          <w:rtl/>
        </w:rPr>
        <w:t xml:space="preserve">וז"ל- </w:t>
      </w:r>
      <w:r>
        <w:rPr>
          <w:rtl/>
        </w:rPr>
        <w:t>אם שינה מקום כתיבה או חתימה כשר.</w:t>
      </w:r>
    </w:p>
  </w:footnote>
  <w:footnote w:id="3434">
    <w:p w14:paraId="5ED7891D" w14:textId="77777777" w:rsidR="0013116F" w:rsidRDefault="0013116F" w:rsidP="001D49D4">
      <w:pPr>
        <w:pStyle w:val="a9"/>
        <w:rPr>
          <w:rtl/>
        </w:rPr>
      </w:pPr>
      <w:r>
        <w:rPr>
          <w:rStyle w:val="ab"/>
        </w:rPr>
        <w:footnoteRef/>
      </w:r>
      <w:r>
        <w:rPr>
          <w:rtl/>
        </w:rPr>
        <w:t xml:space="preserve"> וכתב הש"ך דכן דעת התוס' בשם ר"י (גיטין פ. ד"ה כי) ובהעי"ט (מאמר ראשון זמן ח' ע"ד) וכ"כ התוס' בכתובות (כא: ד"ה האומר בשם ר' ירוחם מדנפי"ר... וכן נלפע"ד דעת הרמ"ה והטור שהביא המחבר לקמן סע' כא </w:t>
      </w:r>
      <w:r>
        <w:rPr>
          <w:sz w:val="16"/>
          <w:szCs w:val="16"/>
          <w:rtl/>
        </w:rPr>
        <w:t>(דאי ס"ד דס"ל דאף דיעבד פסול היאך ישנה את השטר משום המטבע)</w:t>
      </w:r>
      <w:r>
        <w:rPr>
          <w:rtl/>
        </w:rPr>
        <w:t>, וא"כ קשה על המחבר שהעתיק לקמן סעיף כ"א דברי הטור בשם הרמ"ה, ואולי סבירא ליה לחלק, אבל אין נראה כן, וגם לא משמע כן מדברי הטור והרמ"ה, מדכתבו לא יכתבו אלא שם המקום שמסרו הדברים שם, ואם איתא דאפילו דיעבד פסול ה"ל לתקוני בכל מה דאפשר שלא יפסל השטר, והכי הל"ל, אבל אם המטבע משתנה יכתבו מקום שנמסרו הדברים וגם מקום החתימה, דהיינו קנינו במקום פלוני וכתבנו וחתמנו במקום פלוני.</w:t>
      </w:r>
    </w:p>
  </w:footnote>
  <w:footnote w:id="3435">
    <w:p w14:paraId="0DB3FEDF" w14:textId="77777777" w:rsidR="0013116F" w:rsidRDefault="0013116F" w:rsidP="001D49D4">
      <w:pPr>
        <w:pStyle w:val="a9"/>
      </w:pPr>
      <w:r>
        <w:rPr>
          <w:rStyle w:val="ab"/>
        </w:rPr>
        <w:footnoteRef/>
      </w:r>
      <w:r>
        <w:rPr>
          <w:rtl/>
        </w:rPr>
        <w:t xml:space="preserve"> </w:t>
      </w:r>
      <w:r>
        <w:rPr>
          <w:rFonts w:hint="cs"/>
          <w:rtl/>
        </w:rPr>
        <w:t xml:space="preserve">שהעמידו את דברי רב ורב הונא במצב שהעדים לא כתבו את הקנין </w:t>
      </w:r>
      <w:r>
        <w:rPr>
          <w:sz w:val="16"/>
          <w:szCs w:val="16"/>
          <w:rtl/>
        </w:rPr>
        <w:t xml:space="preserve">(בין בגלל שלא עשו קנין ובין בגלל שלא זוכרים את זמן הקנין) </w:t>
      </w:r>
      <w:r>
        <w:rPr>
          <w:rtl/>
        </w:rPr>
        <w:t xml:space="preserve">ולכן אמרו שאם כתבו בשטר שנעשה קנין אז צריך לכתוב גם את מקום הקנין וגם את מקום הכתיבה...- </w:t>
      </w:r>
    </w:p>
  </w:footnote>
  <w:footnote w:id="3436">
    <w:p w14:paraId="4D45629D" w14:textId="77777777" w:rsidR="0013116F" w:rsidRDefault="0013116F" w:rsidP="001D49D4">
      <w:pPr>
        <w:pStyle w:val="a9"/>
      </w:pPr>
      <w:r>
        <w:rPr>
          <w:rStyle w:val="ab"/>
        </w:rPr>
        <w:footnoteRef/>
      </w:r>
      <w:r>
        <w:rPr>
          <w:rtl/>
        </w:rPr>
        <w:t xml:space="preserve"> מלשון זה משמע דס"ל דאין כותבין בזה אלא מקום הקנין לחוד. ועיין פרישה [סעיף ט"ו] שם כתבתי דהרבה גאונים ס"ל דבזה כותבין שני מקומות, סמ"ע </w:t>
      </w:r>
      <w:r>
        <w:rPr>
          <w:sz w:val="16"/>
          <w:szCs w:val="16"/>
          <w:rtl/>
        </w:rPr>
        <w:t xml:space="preserve">(סקל"ט, </w:t>
      </w:r>
      <w:r>
        <w:rPr>
          <w:color w:val="FF0000"/>
          <w:sz w:val="16"/>
          <w:szCs w:val="16"/>
          <w:rtl/>
        </w:rPr>
        <w:t>וצל"ע למה העמיד ככה את דברי השו"ע, שהרי אפשר לומר שכוונתו להוסיף על מה שכתב לפני כן, שהרי לפנ"כ כתב- 'מי שנמסרה להם עדות... אין מזכירים בשטר מקום שנמסרה בו העדות אלא מקום שכתבו בו חתימת ידם' ועכשיו הוסיף שאם זוכרים את זמן הקנין אז יכתבו גם אותו</w:t>
      </w:r>
      <w:r>
        <w:rPr>
          <w:sz w:val="16"/>
          <w:szCs w:val="16"/>
          <w:rtl/>
        </w:rPr>
        <w:t>)</w:t>
      </w:r>
      <w:r>
        <w:rPr>
          <w:rtl/>
        </w:rPr>
        <w:t>. וכתב האורים (סקנ"ב) דנראה דכו"ע מודים דבדיעבד כשר, דהא הך ברייתא ר"פ אד"מ (סנהדרין לב.) מבואר דאין פוסל בדיעבד, עיין תומים (סקכ"ה).</w:t>
      </w:r>
    </w:p>
  </w:footnote>
  <w:footnote w:id="3437">
    <w:p w14:paraId="79E50450" w14:textId="77777777" w:rsidR="0013116F" w:rsidRDefault="0013116F" w:rsidP="001D49D4">
      <w:pPr>
        <w:pStyle w:val="a9"/>
      </w:pPr>
      <w:r>
        <w:rPr>
          <w:rStyle w:val="ab"/>
        </w:rPr>
        <w:footnoteRef/>
      </w:r>
      <w:r>
        <w:rPr>
          <w:rtl/>
        </w:rPr>
        <w:t xml:space="preserve"> עיין תומים (סקכ"ה) דדוקא בהך בבא דכתבו זמן קנין וכתבו מקום כתיבה פסול, אבל להיפוך דכתבו מקום הקנין ואיחרו הזמן וכתבו זמן כתיבה לא נפסל לכו"ע.</w:t>
      </w:r>
    </w:p>
  </w:footnote>
  <w:footnote w:id="3438">
    <w:p w14:paraId="61E364C0" w14:textId="77777777" w:rsidR="0013116F" w:rsidRDefault="0013116F" w:rsidP="001D49D4">
      <w:pPr>
        <w:pStyle w:val="a9"/>
      </w:pPr>
      <w:r>
        <w:rPr>
          <w:rStyle w:val="ab"/>
        </w:rPr>
        <w:footnoteRef/>
      </w:r>
      <w:r>
        <w:rPr>
          <w:rtl/>
        </w:rPr>
        <w:t xml:space="preserve"> </w:t>
      </w:r>
      <w:r>
        <w:rPr>
          <w:rFonts w:hint="cs"/>
          <w:rtl/>
        </w:rPr>
        <w:t>הג"ה זו מובאת בשו"ע בסוף סע' יח, והסמ"ע (סקל"ה) הש"ך (סקל"ט) והגר"א (סקל"ב) כתבו שמקום הג"ה זו כאן.</w:t>
      </w:r>
    </w:p>
  </w:footnote>
  <w:footnote w:id="3439">
    <w:p w14:paraId="6B9D04F8" w14:textId="77777777" w:rsidR="0013116F" w:rsidRDefault="0013116F" w:rsidP="001D49D4">
      <w:pPr>
        <w:pStyle w:val="a9"/>
        <w:rPr>
          <w:rtl/>
        </w:rPr>
      </w:pPr>
      <w:r>
        <w:rPr>
          <w:rStyle w:val="ab"/>
        </w:rPr>
        <w:footnoteRef/>
      </w:r>
      <w:r>
        <w:rPr>
          <w:rtl/>
        </w:rPr>
        <w:t xml:space="preserve"> </w:t>
      </w:r>
      <w:r>
        <w:rPr>
          <w:rFonts w:hint="cs"/>
          <w:rtl/>
        </w:rPr>
        <w:t xml:space="preserve">פירוש, </w:t>
      </w:r>
      <w:r>
        <w:rPr>
          <w:rtl/>
        </w:rPr>
        <w:t>דאפילו לא כתב כן בפירוש אלא כתב 'במקום פלוני קנינו מפלוני', והקנין לא היה באותו מקום פלוני, אפ"ה לא מחזי כשיקרא, אלא מפרשינן דמה שכתב "קנינו" מפלוני כאילו כתב "וקנינו" בוי"ו, ור"ל במקום פלוני כתבנוהו וגם קנינו מפלוני קודם לכן, ואינו מבקש לומר שבאותו מקום קנו ממנו, סמ"ע (סקל"ה).</w:t>
      </w:r>
    </w:p>
  </w:footnote>
  <w:footnote w:id="3440">
    <w:p w14:paraId="01D49B87" w14:textId="77777777" w:rsidR="0013116F" w:rsidRDefault="0013116F" w:rsidP="001D49D4">
      <w:pPr>
        <w:pStyle w:val="a9"/>
      </w:pPr>
      <w:r>
        <w:rPr>
          <w:rStyle w:val="ab"/>
        </w:rPr>
        <w:footnoteRef/>
      </w:r>
      <w:r>
        <w:rPr>
          <w:rtl/>
        </w:rPr>
        <w:t xml:space="preserve"> דברי הרמ"ה ברורים בטעמם, ואפילו למה שתיקן הרשב"א שסומך הכתיבה אל המקום נהי דלא מיחזי כשיקרא מכל מקום ממטבע היוצא במקום הכתוב בשטר הוא גובה כנ"ל, ב"י.</w:t>
      </w:r>
    </w:p>
  </w:footnote>
  <w:footnote w:id="3441">
    <w:p w14:paraId="545F4037" w14:textId="77777777" w:rsidR="0013116F" w:rsidRDefault="0013116F" w:rsidP="001D49D4">
      <w:pPr>
        <w:pStyle w:val="a9"/>
        <w:rPr>
          <w:rtl/>
        </w:rPr>
      </w:pPr>
      <w:r>
        <w:rPr>
          <w:rStyle w:val="ab"/>
        </w:rPr>
        <w:footnoteRef/>
      </w:r>
      <w:r>
        <w:rPr>
          <w:rtl/>
        </w:rPr>
        <w:t xml:space="preserve"> </w:t>
      </w:r>
      <w:r>
        <w:rPr>
          <w:rFonts w:hint="cs"/>
          <w:rtl/>
        </w:rPr>
        <w:t xml:space="preserve">תוספת הבא"ג </w:t>
      </w:r>
      <w:r>
        <w:rPr>
          <w:sz w:val="16"/>
          <w:szCs w:val="16"/>
          <w:rtl/>
        </w:rPr>
        <w:t>(אות ב)</w:t>
      </w:r>
      <w:r>
        <w:rPr>
          <w:rtl/>
        </w:rPr>
        <w:t xml:space="preserve">. אמנם הסמ"ע </w:t>
      </w:r>
      <w:r>
        <w:rPr>
          <w:sz w:val="16"/>
          <w:szCs w:val="16"/>
          <w:rtl/>
        </w:rPr>
        <w:t xml:space="preserve">(סק"מ, הביאו הבא"ג) </w:t>
      </w:r>
      <w:r>
        <w:rPr>
          <w:rtl/>
        </w:rPr>
        <w:t>כתב דאע"ג דבטור כתוב כן מ"מ א"צ להגיה כאן ולהוסיף תיבת "המטבע", דאיירי נמי כשבשני המקומות מטבע אחד, כגון "דרייאר טאלר", אלא שבמקום אחד אותו מטבע שוה יותר מחמת משקלו.</w:t>
      </w:r>
    </w:p>
  </w:footnote>
  <w:footnote w:id="3442">
    <w:p w14:paraId="652F6455" w14:textId="77777777" w:rsidR="0013116F" w:rsidRDefault="0013116F" w:rsidP="001D49D4">
      <w:pPr>
        <w:pStyle w:val="a9"/>
      </w:pPr>
      <w:r>
        <w:rPr>
          <w:rStyle w:val="ab"/>
        </w:rPr>
        <w:footnoteRef/>
      </w:r>
      <w:r>
        <w:rPr>
          <w:rtl/>
        </w:rPr>
        <w:t xml:space="preserve"> ואפילו אין כותבין רק זמן של כתיבה, מכל מקום בזה לא נפסל הואיל וכתבו מקום קנין וזמן – אחרוהו, ואין כאן פיסול, וכמש"כ בתומים (שם) בישוב קושית הש"ך, אורים (סקנ"ד).</w:t>
      </w:r>
    </w:p>
  </w:footnote>
  <w:footnote w:id="3443">
    <w:p w14:paraId="6629065D" w14:textId="77777777" w:rsidR="0013116F" w:rsidRDefault="0013116F" w:rsidP="001D49D4">
      <w:pPr>
        <w:pStyle w:val="a9"/>
      </w:pPr>
      <w:r>
        <w:rPr>
          <w:rStyle w:val="ab"/>
        </w:rPr>
        <w:footnoteRef/>
      </w:r>
      <w:r>
        <w:rPr>
          <w:rtl/>
        </w:rPr>
        <w:t xml:space="preserve"> </w:t>
      </w:r>
      <w:r>
        <w:rPr>
          <w:rFonts w:hint="cs"/>
          <w:rtl/>
        </w:rPr>
        <w:t>סימן – כאיזה</w:t>
      </w:r>
      <w:r>
        <w:rPr>
          <w:sz w:val="16"/>
          <w:szCs w:val="16"/>
          <w:rtl/>
        </w:rPr>
        <w:t xml:space="preserve"> {מטבע, כ=ק}</w:t>
      </w:r>
      <w:r>
        <w:rPr>
          <w:rtl/>
        </w:rPr>
        <w:t xml:space="preserve"> יגבה?</w:t>
      </w:r>
    </w:p>
  </w:footnote>
  <w:footnote w:id="3444">
    <w:p w14:paraId="4EE616CB" w14:textId="77777777" w:rsidR="0013116F" w:rsidRDefault="0013116F" w:rsidP="001D49D4">
      <w:pPr>
        <w:pStyle w:val="a9"/>
        <w:rPr>
          <w:rtl/>
        </w:rPr>
      </w:pPr>
      <w:r>
        <w:rPr>
          <w:rStyle w:val="ab"/>
        </w:rPr>
        <w:footnoteRef/>
      </w:r>
      <w:r>
        <w:rPr>
          <w:rtl/>
        </w:rPr>
        <w:t xml:space="preserve"> ומוכח לעיל סי' מ"ב סי"ד.</w:t>
      </w:r>
    </w:p>
  </w:footnote>
  <w:footnote w:id="3445">
    <w:p w14:paraId="6C0550FF" w14:textId="77777777" w:rsidR="0013116F" w:rsidRDefault="0013116F" w:rsidP="001D49D4">
      <w:pPr>
        <w:pStyle w:val="a9"/>
      </w:pPr>
      <w:r>
        <w:rPr>
          <w:rStyle w:val="ab"/>
        </w:rPr>
        <w:footnoteRef/>
      </w:r>
      <w:r>
        <w:rPr>
          <w:rtl/>
        </w:rPr>
        <w:t xml:space="preserve"> </w:t>
      </w:r>
      <w:r>
        <w:rPr>
          <w:rFonts w:hint="cs"/>
          <w:rtl/>
        </w:rPr>
        <w:t>סימן - צ'ק דחה צ'ק דחוי.</w:t>
      </w:r>
    </w:p>
  </w:footnote>
  <w:footnote w:id="3446">
    <w:p w14:paraId="23012C04" w14:textId="77777777" w:rsidR="0013116F" w:rsidRDefault="0013116F" w:rsidP="001D49D4">
      <w:pPr>
        <w:pStyle w:val="a9"/>
        <w:rPr>
          <w:rtl/>
        </w:rPr>
      </w:pPr>
      <w:r>
        <w:rPr>
          <w:rStyle w:val="ab"/>
        </w:rPr>
        <w:footnoteRef/>
      </w:r>
      <w:r>
        <w:rPr>
          <w:rtl/>
        </w:rPr>
        <w:t xml:space="preserve"> שטרי מכר, רש"י. אך הרמב"ם (פ"כ ממלוה ולוה ה"ה) פירשה בשטרי הלואה, וכ"כ הטור, ע"פ ב"י.</w:t>
      </w:r>
    </w:p>
  </w:footnote>
  <w:footnote w:id="3447">
    <w:p w14:paraId="7F026626" w14:textId="77777777" w:rsidR="0013116F" w:rsidRDefault="0013116F" w:rsidP="001D49D4">
      <w:pPr>
        <w:pStyle w:val="a9"/>
        <w:rPr>
          <w:rtl/>
        </w:rPr>
      </w:pPr>
      <w:r>
        <w:rPr>
          <w:rStyle w:val="ab"/>
        </w:rPr>
        <w:footnoteRef/>
      </w:r>
      <w:r>
        <w:rPr>
          <w:rtl/>
        </w:rPr>
        <w:t xml:space="preserve"> </w:t>
      </w:r>
      <w:r>
        <w:rPr>
          <w:rFonts w:hint="cs"/>
          <w:rtl/>
        </w:rPr>
        <w:t>הסמ"ע (סקמ"ג) כתב דהכי גרסינן-</w:t>
      </w:r>
      <w:r>
        <w:rPr>
          <w:rtl/>
        </w:rPr>
        <w:t xml:space="preserve"> 'בשל ראובן כתוב כ"ח בניסן'. וכתב עוד וז"ל- אבל בטור [סעיף י"ט] כתוב בה' בניסן, וכתבתי בפרישה [שם] ג"כ דנ"ל דצ"ל כ"ח בניסן, ולרבותא כתב כן, דאעפ"כ נותנין לו ולא לשמעון, דאיכא למימר דהלואתו של שמעון היתה בכ"ט בניסן, וזהו שסיימו וכתבו דשמא שטרו של שמעון היה בסוף ניסן ע"ש. עכ"ל. אך הש"ך (סקמ"ב) כתב על דבריו דאין צורך, דהטור לישנא דהש"ס [כתובות צד.] נקט, ובש"ס מעשה שהיה כן היה, ע"ש.</w:t>
      </w:r>
    </w:p>
  </w:footnote>
  <w:footnote w:id="3448">
    <w:p w14:paraId="1A15B1B3" w14:textId="77777777" w:rsidR="0013116F" w:rsidRDefault="0013116F" w:rsidP="001D49D4">
      <w:pPr>
        <w:pStyle w:val="a9"/>
        <w:rPr>
          <w:rtl/>
        </w:rPr>
      </w:pPr>
      <w:r>
        <w:rPr>
          <w:rStyle w:val="ab"/>
        </w:rPr>
        <w:footnoteRef/>
      </w:r>
      <w:r>
        <w:rPr>
          <w:rtl/>
        </w:rPr>
        <w:t xml:space="preserve"> דאז בא עליו האחד בכחו ובכח של שני, ויגבה ממנו ממ"נ, סמ"ע (סקמ"ד).</w:t>
      </w:r>
    </w:p>
  </w:footnote>
  <w:footnote w:id="3449">
    <w:p w14:paraId="4D4ED719" w14:textId="77777777" w:rsidR="0013116F" w:rsidRDefault="0013116F" w:rsidP="001D49D4">
      <w:pPr>
        <w:pStyle w:val="a9"/>
      </w:pPr>
      <w:r>
        <w:rPr>
          <w:rStyle w:val="ab"/>
        </w:rPr>
        <w:footnoteRef/>
      </w:r>
      <w:r>
        <w:rPr>
          <w:rtl/>
        </w:rPr>
        <w:t xml:space="preserve"> לא צריכים להיות שוים בכל ענין, דהא כתבו הטור והמחבר לקמן בסימן ע"א [טור סעיף כ' ומחבר] סעיף ט' ז"ל- שטר שיש בו נאמנות והלוה מוציא כתב יד המלוה שקיבל ממנו סכום פלוני ביום פלוני וסכום פלוני ביום פלוני, והמלוה טוען שאותו כתב ידו הוא מעסק אחר, הדין עם הלוה, עכ"ל. ומ"ש המחבר כאן ומ"ש שם שניהן הן מתשובות הרא"ש [כלל ע"ו סי' א' וכלל ע"א סי' ט'], ולא בא למעט כאן אלא לאפוקי אם היה כתוב בשובר שהוא על שטר שביד המלוה עליו על סך כך וכך, ונמצא שאין אותו סך בזה השטר שמוציא המלוה עליו, דאז ודאי לא קאי עליו השובר. והיו רגילין לכתוב בשובר שהוא על השטר שסכומו כך וכך לטובת המלוה, כדי שלא יוציא עליו השובר אשאר עסקי כי אם אענין שנתנו לו עליו. וזה שכתבו הטור והמחבר לקמן בסימן נ"ד (ס"ב) [טור סעיף ה' ומחבר סעיף ג'] ז"ל, כשאין זוכרין זמן הנכתב בשטר, יכתבו סתם על שטר שסכומו כך וכך כו'. ששם מקום דין שובר איך כותבין לתקנות שניהם. גם בסוף [סימן] נ"ג כתב המחבר ז"ל, שמא פרע לו אותו של מאה וכתב לו שובר כו'. שם איירי ג"כ בסגנון שרגילין לכתוב שובר, ולא שצריך לכתוב כן, וכמ"ש בסימן ע"א [סקכ"א], כנ"ל, סמ"ע (סקמ"ה).</w:t>
      </w:r>
    </w:p>
  </w:footnote>
  <w:footnote w:id="3450">
    <w:p w14:paraId="649EC753" w14:textId="77777777" w:rsidR="0013116F" w:rsidRDefault="0013116F" w:rsidP="001D49D4">
      <w:pPr>
        <w:pStyle w:val="a9"/>
        <w:rPr>
          <w:rtl/>
        </w:rPr>
      </w:pPr>
      <w:r>
        <w:rPr>
          <w:rStyle w:val="ab"/>
        </w:rPr>
        <w:footnoteRef/>
      </w:r>
      <w:r>
        <w:rPr>
          <w:rtl/>
        </w:rPr>
        <w:t xml:space="preserve"> והשובר כשר, ואמרינן דהעדים לא ידעו זמן השטר, לכך כתבו סתמא, וכדלקמן סי' נד סע' ג [וע"ש סקי"א], ש"ך (סקמ"ג).</w:t>
      </w:r>
    </w:p>
  </w:footnote>
  <w:footnote w:id="3451">
    <w:p w14:paraId="3A51B4E9" w14:textId="77777777" w:rsidR="0013116F" w:rsidRDefault="0013116F" w:rsidP="001D49D4">
      <w:pPr>
        <w:pStyle w:val="a9"/>
      </w:pPr>
      <w:r>
        <w:rPr>
          <w:rStyle w:val="ab"/>
        </w:rPr>
        <w:footnoteRef/>
      </w:r>
      <w:r>
        <w:rPr>
          <w:rtl/>
        </w:rPr>
        <w:t xml:space="preserve"> </w:t>
      </w:r>
      <w:r>
        <w:rPr>
          <w:rFonts w:hint="cs"/>
          <w:rtl/>
        </w:rPr>
        <w:t>דהמוציא מחברו עליו הראיה, סמ"ע (סקמ"ו).</w:t>
      </w:r>
    </w:p>
  </w:footnote>
  <w:footnote w:id="3452">
    <w:p w14:paraId="6B962EDA" w14:textId="77777777" w:rsidR="0013116F" w:rsidRDefault="0013116F" w:rsidP="001D49D4">
      <w:pPr>
        <w:pStyle w:val="a9"/>
        <w:rPr>
          <w:rtl/>
        </w:rPr>
      </w:pPr>
      <w:r>
        <w:rPr>
          <w:rStyle w:val="ab"/>
        </w:rPr>
        <w:footnoteRef/>
      </w:r>
      <w:r>
        <w:rPr>
          <w:rtl/>
        </w:rPr>
        <w:t xml:space="preserve"> ועיין בתשובת הריב"ש סי' תד, ב"י. וכתב הש"ך (סקמ"ד) שהריב"ש כתב שם שאם לא נודע איזה נכתב קודם, יד בעל השטר על התחתונה, ואם ידוע שהשובר קודם, השטר בתקפו.</w:t>
      </w:r>
    </w:p>
  </w:footnote>
  <w:footnote w:id="3453">
    <w:p w14:paraId="7B9043B9" w14:textId="77777777" w:rsidR="0013116F" w:rsidRDefault="0013116F" w:rsidP="001D49D4">
      <w:pPr>
        <w:pStyle w:val="a9"/>
      </w:pPr>
      <w:r>
        <w:rPr>
          <w:rStyle w:val="ab"/>
        </w:rPr>
        <w:footnoteRef/>
      </w:r>
      <w:r>
        <w:rPr>
          <w:rtl/>
        </w:rPr>
        <w:t xml:space="preserve"> פירוש, זמן ההלואה, סמ"ע (סקמ"ז).</w:t>
      </w:r>
    </w:p>
  </w:footnote>
  <w:footnote w:id="3454">
    <w:p w14:paraId="68830B03" w14:textId="77777777" w:rsidR="0013116F" w:rsidRDefault="0013116F" w:rsidP="001D49D4">
      <w:pPr>
        <w:pStyle w:val="a9"/>
      </w:pPr>
      <w:r>
        <w:rPr>
          <w:rStyle w:val="ab"/>
        </w:rPr>
        <w:footnoteRef/>
      </w:r>
      <w:r>
        <w:rPr>
          <w:rtl/>
        </w:rPr>
        <w:t xml:space="preserve"> הריב"ש האריך בדין שנים שביררו ביניהם פשרנים ופסקו שיעשו זה לזה מחילה ושיחייב שמעון להשיב לראובן אלף דינרים וישתעבד לו בחוב לפרעם לששה חדשים ונכתבו שטרי המחילה ושטר השעבוד ביום אחד ועיין שם בסימן ת"ד ובתשובות הרא"ש והרשב"א דבסמוך. ובסימן תע"ח האריך בדין מי שהוציא שני שוברות על חבירו מחוב ידוע ותובע ממנו שנפרע פעמים. עיין במה שכתבתי בסימן נ"ד (מחודש ב-ד), ב"י.</w:t>
      </w:r>
    </w:p>
  </w:footnote>
  <w:footnote w:id="3455">
    <w:p w14:paraId="064A6735" w14:textId="77777777" w:rsidR="0013116F" w:rsidRDefault="0013116F" w:rsidP="001D49D4">
      <w:pPr>
        <w:pStyle w:val="a9"/>
        <w:rPr>
          <w:rtl/>
        </w:rPr>
      </w:pPr>
      <w:r>
        <w:rPr>
          <w:rStyle w:val="ab"/>
        </w:rPr>
        <w:footnoteRef/>
      </w:r>
      <w:r>
        <w:rPr>
          <w:rtl/>
        </w:rPr>
        <w:t xml:space="preserve"> וכן מה שכתב הרא"ש שם בסי' ג' (הביאו השו"ע בסע' הקודם), שכתוב בו שמחל לו כל תביעות שהיו לו עליו </w:t>
      </w:r>
      <w:r>
        <w:rPr>
          <w:b/>
          <w:bCs/>
          <w:rtl/>
        </w:rPr>
        <w:t>'עד היום הזה'</w:t>
      </w:r>
      <w:r>
        <w:rPr>
          <w:rtl/>
        </w:rPr>
        <w:t xml:space="preserve">, דמי ממש לכתב </w:t>
      </w:r>
      <w:r>
        <w:rPr>
          <w:b/>
          <w:bCs/>
          <w:rtl/>
        </w:rPr>
        <w:t>'עד עכשיו'</w:t>
      </w:r>
      <w:r>
        <w:rPr>
          <w:rtl/>
        </w:rPr>
        <w:t xml:space="preserve">, כיון שעומד באמצע היום וכותב עד היום הזה. ועוד, דלשון עד היום הזה הוא בכל מקום עד עכשיו, כמו על כן לא יאכלו בני ישראל את גיד הנשה עד היום הזה (בראשית לב לג)... וכאלה רבות עצמו מספר, ש"ך (סקמ"ה). </w:t>
      </w:r>
    </w:p>
  </w:footnote>
  <w:footnote w:id="3456">
    <w:p w14:paraId="6F660C0E" w14:textId="77777777" w:rsidR="0013116F" w:rsidRDefault="0013116F" w:rsidP="001D49D4">
      <w:pPr>
        <w:pStyle w:val="a9"/>
        <w:rPr>
          <w:rtl/>
        </w:rPr>
      </w:pPr>
      <w:r>
        <w:rPr>
          <w:rStyle w:val="ab"/>
        </w:rPr>
        <w:footnoteRef/>
      </w:r>
      <w:r>
        <w:rPr>
          <w:rtl/>
        </w:rPr>
        <w:t xml:space="preserve"> </w:t>
      </w:r>
      <w:r>
        <w:rPr>
          <w:rFonts w:hint="cs"/>
          <w:rtl/>
        </w:rPr>
        <w:t>סימן – סתם גילה</w:t>
      </w:r>
      <w:r>
        <w:rPr>
          <w:sz w:val="16"/>
          <w:szCs w:val="16"/>
          <w:rtl/>
        </w:rPr>
        <w:t xml:space="preserve"> {היינו חודש אדר שמרבין בו בשמחה}</w:t>
      </w:r>
      <w:r>
        <w:rPr>
          <w:rtl/>
        </w:rPr>
        <w:t>.</w:t>
      </w:r>
    </w:p>
  </w:footnote>
  <w:footnote w:id="3457">
    <w:p w14:paraId="38E970F1" w14:textId="77777777" w:rsidR="0013116F" w:rsidRDefault="0013116F" w:rsidP="001D49D4">
      <w:pPr>
        <w:pStyle w:val="a9"/>
      </w:pPr>
      <w:r>
        <w:rPr>
          <w:rStyle w:val="ab"/>
        </w:rPr>
        <w:footnoteRef/>
      </w:r>
      <w:r>
        <w:rPr>
          <w:rtl/>
        </w:rPr>
        <w:t xml:space="preserve"> פשוט הוא וכן כתב בספר התרומות שער נ"ה (שם), ב"י.</w:t>
      </w:r>
    </w:p>
  </w:footnote>
  <w:footnote w:id="3458">
    <w:p w14:paraId="6E9EB121" w14:textId="77777777" w:rsidR="0013116F" w:rsidRDefault="0013116F" w:rsidP="001D49D4">
      <w:pPr>
        <w:pStyle w:val="a9"/>
      </w:pPr>
      <w:r>
        <w:rPr>
          <w:rStyle w:val="ab"/>
        </w:rPr>
        <w:footnoteRef/>
      </w:r>
      <w:r>
        <w:rPr>
          <w:rtl/>
        </w:rPr>
        <w:t xml:space="preserve"> וה"ה אם באחד כתוב אדר סתם ובשני כתוב אדר ראשון, דהו"ל כאילו נכתב בשניהן אדר ראשון, סמ"ע (סק"נ).</w:t>
      </w:r>
    </w:p>
  </w:footnote>
  <w:footnote w:id="3459">
    <w:p w14:paraId="58FE2830" w14:textId="77777777" w:rsidR="0013116F" w:rsidRDefault="0013116F" w:rsidP="001D49D4">
      <w:pPr>
        <w:pStyle w:val="a9"/>
      </w:pPr>
      <w:r>
        <w:rPr>
          <w:rStyle w:val="ab"/>
        </w:rPr>
        <w:footnoteRef/>
      </w:r>
      <w:r>
        <w:rPr>
          <w:rtl/>
        </w:rPr>
        <w:t xml:space="preserve"> ובש"ך ביו"ד סי' ר"כ סקי"ז הארכתי בזה, והעליתי דאין נותנים אותו למי שכתוב בו אדר סתם, אלא יחלוקו וע"ש. ועיין מ"ש לקמן סימן שי"ב סעיף ט"ו סקט"ו, ש"ך (סקמ"ו).</w:t>
      </w:r>
    </w:p>
  </w:footnote>
  <w:footnote w:id="3460">
    <w:p w14:paraId="2958942D" w14:textId="77777777" w:rsidR="0013116F" w:rsidRDefault="0013116F" w:rsidP="001D49D4">
      <w:pPr>
        <w:pStyle w:val="a9"/>
      </w:pPr>
      <w:r>
        <w:rPr>
          <w:rStyle w:val="ab"/>
        </w:rPr>
        <w:footnoteRef/>
      </w:r>
      <w:r>
        <w:rPr>
          <w:rtl/>
        </w:rPr>
        <w:t xml:space="preserve"> </w:t>
      </w:r>
      <w:r>
        <w:rPr>
          <w:rFonts w:hint="cs"/>
          <w:rtl/>
        </w:rPr>
        <w:t>במהדורת של"ח נמצא דין זה בסימן תכ"ח, אך במהדורות המאוחרות נמצא דין זה בסוף סימן תכ"ז, וכן ציין באה"ג.</w:t>
      </w:r>
    </w:p>
  </w:footnote>
  <w:footnote w:id="3461">
    <w:p w14:paraId="46395AEA" w14:textId="77777777" w:rsidR="0013116F" w:rsidRDefault="0013116F" w:rsidP="001D49D4">
      <w:pPr>
        <w:pStyle w:val="a9"/>
      </w:pPr>
      <w:r>
        <w:rPr>
          <w:rStyle w:val="ab"/>
        </w:rPr>
        <w:footnoteRef/>
      </w:r>
      <w:r>
        <w:rPr>
          <w:rtl/>
        </w:rPr>
        <w:t xml:space="preserve"> </w:t>
      </w:r>
      <w:r>
        <w:rPr>
          <w:rFonts w:hint="cs"/>
          <w:rtl/>
        </w:rPr>
        <w:t>ומבואר ביו"ד סי' רכ סע' יא-יב, באה"ג (אות מ).</w:t>
      </w:r>
    </w:p>
  </w:footnote>
  <w:footnote w:id="3462">
    <w:p w14:paraId="2161914F" w14:textId="77777777" w:rsidR="0013116F" w:rsidRDefault="0013116F" w:rsidP="001D49D4">
      <w:pPr>
        <w:pStyle w:val="a9"/>
        <w:rPr>
          <w:rtl/>
        </w:rPr>
      </w:pPr>
      <w:r>
        <w:rPr>
          <w:rStyle w:val="ab"/>
        </w:rPr>
        <w:footnoteRef/>
      </w:r>
      <w:r>
        <w:rPr>
          <w:rtl/>
        </w:rPr>
        <w:t xml:space="preserve"> </w:t>
      </w:r>
      <w:r>
        <w:rPr>
          <w:rFonts w:hint="cs"/>
          <w:rtl/>
        </w:rPr>
        <w:t>סימן – כעבור ז'</w:t>
      </w:r>
      <w:r>
        <w:rPr>
          <w:sz w:val="16"/>
          <w:szCs w:val="16"/>
          <w:rtl/>
        </w:rPr>
        <w:t xml:space="preserve"> {היינו שבת}</w:t>
      </w:r>
      <w:r>
        <w:rPr>
          <w:rtl/>
        </w:rPr>
        <w:t>. וכן – כעבור זמנים</w:t>
      </w:r>
      <w:r>
        <w:rPr>
          <w:sz w:val="16"/>
          <w:szCs w:val="16"/>
          <w:rtl/>
        </w:rPr>
        <w:t xml:space="preserve"> {היינו רגלים}</w:t>
      </w:r>
      <w:r>
        <w:rPr>
          <w:rtl/>
        </w:rPr>
        <w:t>.</w:t>
      </w:r>
    </w:p>
  </w:footnote>
  <w:footnote w:id="3463">
    <w:p w14:paraId="3710566C" w14:textId="77777777" w:rsidR="0013116F" w:rsidRDefault="0013116F" w:rsidP="001D49D4">
      <w:pPr>
        <w:pStyle w:val="a9"/>
        <w:rPr>
          <w:rtl/>
        </w:rPr>
      </w:pPr>
      <w:r>
        <w:rPr>
          <w:rStyle w:val="ab"/>
        </w:rPr>
        <w:footnoteRef/>
      </w:r>
      <w:r>
        <w:rPr>
          <w:rtl/>
        </w:rPr>
        <w:t xml:space="preserve"> יפה אמרת דודאי יחידאה אמרה, רש"י.</w:t>
      </w:r>
    </w:p>
  </w:footnote>
  <w:footnote w:id="3464">
    <w:p w14:paraId="08D03518" w14:textId="77777777" w:rsidR="0013116F" w:rsidRDefault="0013116F" w:rsidP="001D49D4">
      <w:pPr>
        <w:pStyle w:val="a9"/>
      </w:pPr>
      <w:r>
        <w:rPr>
          <w:rStyle w:val="ab"/>
        </w:rPr>
        <w:footnoteRef/>
      </w:r>
      <w:r>
        <w:rPr>
          <w:rtl/>
        </w:rPr>
        <w:t xml:space="preserve"> לא הודו לו שנאמרה מפי רבים משום דלית הלכתא כוותיה, רש"י.</w:t>
      </w:r>
    </w:p>
  </w:footnote>
  <w:footnote w:id="3465">
    <w:p w14:paraId="3691949D" w14:textId="77777777" w:rsidR="0013116F" w:rsidRDefault="0013116F" w:rsidP="001D49D4">
      <w:pPr>
        <w:pStyle w:val="a9"/>
        <w:rPr>
          <w:rtl/>
        </w:rPr>
      </w:pPr>
      <w:r>
        <w:rPr>
          <w:rStyle w:val="ab"/>
        </w:rPr>
        <w:footnoteRef/>
      </w:r>
      <w:r>
        <w:rPr>
          <w:rtl/>
        </w:rPr>
        <w:t xml:space="preserve"> </w:t>
      </w:r>
      <w:r>
        <w:rPr>
          <w:rFonts w:hint="cs"/>
          <w:rtl/>
        </w:rPr>
        <w:t xml:space="preserve">כן הבין הש"ך (סקמ"ז) מדבריו וכ"פ הטור בקיצור פסקי הרא"ש. וז"ל הרא"ש- </w:t>
      </w:r>
      <w:r>
        <w:rPr>
          <w:rtl/>
        </w:rPr>
        <w:t xml:space="preserve">וכתב רבינו חננאל ז"ל אפילו לא עברו עליו אלא חמשה עשר יום דיו ואפשר שהוא מחלק השלשים יום כמו שלשה ימי השבוע שהן נמנין אחר השבת ואע"פ שאינו דומה. עכ"ל. </w:t>
      </w:r>
      <w:r>
        <w:rPr>
          <w:sz w:val="16"/>
          <w:szCs w:val="16"/>
          <w:rtl/>
        </w:rPr>
        <w:t>(ויש לציין שמה שכתב הרא"ש היא לשון הרמב"ן, רק שהרמב"ן בסוף דבריו כתב 'ואינו מחוור', והרא"ש לא כתב כן, וגם מזה נראה דפוסק כר"ח)</w:t>
      </w:r>
    </w:p>
  </w:footnote>
  <w:footnote w:id="3466">
    <w:p w14:paraId="09FF1C09" w14:textId="77777777" w:rsidR="0013116F" w:rsidRDefault="0013116F" w:rsidP="001D49D4">
      <w:pPr>
        <w:pStyle w:val="a9"/>
      </w:pPr>
      <w:r>
        <w:rPr>
          <w:rStyle w:val="ab"/>
        </w:rPr>
        <w:footnoteRef/>
      </w:r>
      <w:r>
        <w:rPr>
          <w:rtl/>
        </w:rPr>
        <w:t xml:space="preserve"> ואיני יודע מנין לו, ואפשר שכשם בשבת מחצה לאחר ומחצה לפני אף כאן חצי החדש שהוא שלשים לאחר, ואינו מחוור, רמב"ן. וכ"כ הרשב"א והריטב"א. אך המאירי כתב שכ"כ גאוני הראשונים שממתינין אותו חמשה עשר יום ונראה הטעם ממה שאמרו בכורות (נח.) פרס הפסח שהוא ט"ו לפניו וכן בזו ט"ו לאחריו.</w:t>
      </w:r>
    </w:p>
  </w:footnote>
  <w:footnote w:id="3467">
    <w:p w14:paraId="1AE3464F" w14:textId="77777777" w:rsidR="0013116F" w:rsidRDefault="0013116F" w:rsidP="001D49D4">
      <w:pPr>
        <w:pStyle w:val="a9"/>
        <w:rPr>
          <w:rtl/>
        </w:rPr>
      </w:pPr>
      <w:r>
        <w:rPr>
          <w:rStyle w:val="ab"/>
        </w:rPr>
        <w:footnoteRef/>
      </w:r>
      <w:r>
        <w:rPr>
          <w:rtl/>
        </w:rPr>
        <w:t xml:space="preserve"> הש"ך כתב דזמן רב כמו שכתב רי"ו הוא רחוק מן השכל, לכך נראה כמו שפירש רבינו חננאל... ואע"פ שהרשב"א והר"ן שם כתבו על דברי ר"ח שלא נתבררו דבריו, היינו משום שלא ידעו מנין לו כן, אבל כבר נודע שכל דברי ר"ח הם דברי קבלה מן חכמי הש"ס, שהיה גאון קדמון מהגאונים, וכ"כ הרא"ש ספ"ק דנדה וס"פ שבועת הדיינים, ושאר פוסקים בכמה מקומות, שדברי ר"ח דברי קבלה. ועוד, שנ"ל מקור לדברי ר"ח מפ"ק דתענית [י.] ומייתי לה בפרק אלו מציאות (ב"מ כח.), רבן גמליאל אומר שואלין על הגשמים בשבעה במרחשון, ט"ו יום אחר החג, כדי שיגיע אחרון שבארץ ישראל לנהר פרת, וקי"ל הכי [או"ח סימן קי"ז סעיף א']. נמצא דכל פעם שהיו ישראל עולים לרגל לא היו יכולין להגיע לבתיהם אחר הרגל אלא בט"ו יום, והיה דומה להם כאילו הם עדיין בארץ ישראל עסוקים בעניני הרגל כל זמן שלא היו עוברים הנהר הגדול נהר פרת, וא"כ אחר הרגל מיקרי ט"ו יום, ואף על גב דהשתא אנן בגולה, מ"מ לשון אחר הרגל נמשך מהם, וכה"ג אשכחן טובי... ונראה דהרמב"ם פ"ט מהל' גירושין [הכ"ג] והסמ"ג שם [עשין נ'], ובה"ג [הל' גיטין], וראב"ן [ס"פ מי שאחזו] שהשמיטו דין אחר הרגל דבסוף פרק מי שאחזו, היינו משום דס"ל דכיון דבש"ס קאמר דלית הלכתא כרבי דאמר ל' יום אחר הרגל, ולא פירש בש"ס הלכתא מאי, אלמא דלש"ס גופא מספקא ליה והלכך הוי ספיקא דדינא עד כמה נקרא אחר הרגל.</w:t>
      </w:r>
    </w:p>
  </w:footnote>
  <w:footnote w:id="3468">
    <w:p w14:paraId="1C0D11A7" w14:textId="77777777" w:rsidR="0013116F" w:rsidRDefault="0013116F" w:rsidP="001D49D4">
      <w:pPr>
        <w:pStyle w:val="a9"/>
      </w:pPr>
      <w:r>
        <w:rPr>
          <w:rStyle w:val="ab"/>
        </w:rPr>
        <w:footnoteRef/>
      </w:r>
      <w:r>
        <w:rPr>
          <w:rtl/>
        </w:rPr>
        <w:t xml:space="preserve"> </w:t>
      </w:r>
      <w:r>
        <w:rPr>
          <w:rFonts w:hint="cs"/>
          <w:rtl/>
        </w:rPr>
        <w:t xml:space="preserve">וז"ל- </w:t>
      </w:r>
      <w:r>
        <w:rPr>
          <w:rtl/>
        </w:rPr>
        <w:t xml:space="preserve">ראובן זה שהוציא שטר חוב על שמעון וזמנו אחר פסח סתם אין כופין אותו לפרוע אחר הפסח לאלתר אלא רואים כמה ימים בין הפסח לעצרת וחולקין אותם למחצה ושוהה המלוה עד מחציתן וגובה. וטעם זה ממה שאמרו רבותינו ז"ל חד בשבא ותלתא בשבא בתר שבתא ארבעי וחמשי ומעלי קמי שבתא. </w:t>
      </w:r>
    </w:p>
  </w:footnote>
  <w:footnote w:id="3469">
    <w:p w14:paraId="3C6AFC0D" w14:textId="77777777" w:rsidR="0013116F" w:rsidRDefault="0013116F" w:rsidP="001D49D4">
      <w:pPr>
        <w:pStyle w:val="a9"/>
      </w:pPr>
      <w:r>
        <w:rPr>
          <w:rStyle w:val="ab"/>
        </w:rPr>
        <w:footnoteRef/>
      </w:r>
      <w:r>
        <w:rPr>
          <w:rtl/>
        </w:rPr>
        <w:t xml:space="preserve"> </w:t>
      </w:r>
      <w:r>
        <w:rPr>
          <w:rFonts w:hint="cs"/>
          <w:rtl/>
        </w:rPr>
        <w:t xml:space="preserve">וכתב הר"ן דלפי סברת הרי"ף והרמ"ה </w:t>
      </w:r>
      <w:r>
        <w:rPr>
          <w:rtl/>
        </w:rPr>
        <w:t>אם נשבע לפרוע אחר סוכות יש לו שלשה חדשים.</w:t>
      </w:r>
    </w:p>
  </w:footnote>
  <w:footnote w:id="3470">
    <w:p w14:paraId="6F544407" w14:textId="77777777" w:rsidR="0013116F" w:rsidRDefault="0013116F" w:rsidP="001D49D4">
      <w:pPr>
        <w:pStyle w:val="a9"/>
      </w:pPr>
      <w:r>
        <w:rPr>
          <w:rStyle w:val="ab"/>
        </w:rPr>
        <w:footnoteRef/>
      </w:r>
      <w:r>
        <w:rPr>
          <w:rtl/>
        </w:rPr>
        <w:t xml:space="preserve"> רי"ו </w:t>
      </w:r>
      <w:r>
        <w:rPr>
          <w:sz w:val="16"/>
          <w:szCs w:val="16"/>
          <w:rtl/>
        </w:rPr>
        <w:t xml:space="preserve">(חוה נכ"ד ח"א) </w:t>
      </w:r>
      <w:r>
        <w:rPr>
          <w:rtl/>
        </w:rPr>
        <w:t>הביא דברי ר"ח בלי שום חולק עליו, ותימה עליו על מה שכתב בסתם בספר מישרים</w:t>
      </w:r>
      <w:r>
        <w:rPr>
          <w:sz w:val="16"/>
          <w:szCs w:val="16"/>
          <w:rtl/>
        </w:rPr>
        <w:t xml:space="preserve"> (שם [נ"ד ח"ד])</w:t>
      </w:r>
      <w:r>
        <w:rPr>
          <w:rtl/>
        </w:rPr>
        <w:t xml:space="preserve"> דעד הפסח היינו עד שיעברו רוב ימים שבין פסח לעצרת. ואפשר רי"ו מחלק בין פסח לשאר רגלים, אע"פ שהוא דוחק לפרש דבריו שבנתיב כ"ד בשני רגלים </w:t>
      </w:r>
      <w:r>
        <w:rPr>
          <w:sz w:val="16"/>
          <w:szCs w:val="16"/>
          <w:rtl/>
        </w:rPr>
        <w:t>(וכן משמע להדיא בע"ש [סע' כט] דדוקא בפסח דינא הכי, שכתב וז"ל- דכיון דפסח ועצרת שייכי להדדי שסופרים ספירה מפסח עד עצרת, הם כולם נחשבים כמו שבוע אחד כו')</w:t>
      </w:r>
      <w:r>
        <w:rPr>
          <w:rtl/>
        </w:rPr>
        <w:t>. ולפי זה מה שכתב הר"ן [שם] דלתשובת הרי"ף [סי' קכ"ז] ה"ה בסוכות יש לו ג' חדשים, אינו מוכרח, די"ל דדוקא בפסח פסק הרי"ף כן, ע"ש. ולפ"ז אפשר דגם המחבר לא קאמר אלא בפסח ולא בשאר רגלים. אבל בדברי הרמ"ה שהביא הר"ן שם, מבואר דבכל רגל חשבינא ליה המחצית, ש"ך (סקמ"ז).</w:t>
      </w:r>
    </w:p>
  </w:footnote>
  <w:footnote w:id="3471">
    <w:p w14:paraId="0EC2C16C" w14:textId="77777777" w:rsidR="0013116F" w:rsidRDefault="0013116F" w:rsidP="001D49D4">
      <w:pPr>
        <w:pStyle w:val="a9"/>
      </w:pPr>
      <w:r>
        <w:rPr>
          <w:rStyle w:val="ab"/>
        </w:rPr>
        <w:footnoteRef/>
      </w:r>
      <w:r>
        <w:rPr>
          <w:rtl/>
        </w:rPr>
        <w:t xml:space="preserve"> מ"ש עד שיעברו רוב הימים, נראה דלאו דוקא עד "שיעברו" קאמר, אלא מיד שעובר המחצה חל עליו החיוב, סמ"ע (סקנ"ב). אך הש"ך חלק עליו וכתב דרוב דוקא.</w:t>
      </w:r>
    </w:p>
  </w:footnote>
  <w:footnote w:id="3472">
    <w:p w14:paraId="60830FE5" w14:textId="77777777" w:rsidR="0013116F" w:rsidRDefault="0013116F" w:rsidP="001D49D4">
      <w:pPr>
        <w:pStyle w:val="a9"/>
      </w:pPr>
      <w:r>
        <w:rPr>
          <w:rStyle w:val="ab"/>
        </w:rPr>
        <w:footnoteRef/>
      </w:r>
      <w:r>
        <w:rPr>
          <w:rtl/>
        </w:rPr>
        <w:t xml:space="preserve"> דהו"ל כאילו אמר אחר שבת, דקי"ל (גיטין עז.) דעד יום ג' מיקרי אחר שבת, ומיום ד' ואילך מיקרי קמי שבת, וה"נ לענין אם אמר עד אחר פסח. ובין סוף פסח לתחילת עצרת הוא לבני ארץ ישראל מ"ב יום..., סמ"ע (סקנ"ב).</w:t>
      </w:r>
    </w:p>
  </w:footnote>
  <w:footnote w:id="3473">
    <w:p w14:paraId="1F059EDB" w14:textId="77777777" w:rsidR="0013116F" w:rsidRDefault="0013116F" w:rsidP="001D49D4">
      <w:pPr>
        <w:spacing w:after="60" w:line="240" w:lineRule="auto"/>
        <w:rPr>
          <w:rFonts w:ascii="Arial" w:hAnsi="Arial"/>
          <w:sz w:val="20"/>
          <w:szCs w:val="20"/>
        </w:rPr>
      </w:pPr>
      <w:r>
        <w:rPr>
          <w:rStyle w:val="ab"/>
          <w:rFonts w:ascii="Arial" w:hAnsi="Arial"/>
        </w:rPr>
        <w:footnoteRef/>
      </w:r>
      <w:r>
        <w:rPr>
          <w:rFonts w:ascii="Arial" w:hAnsi="Arial"/>
          <w:sz w:val="20"/>
          <w:szCs w:val="20"/>
          <w:rtl/>
        </w:rPr>
        <w:t xml:space="preserve"> זהו שאנו כותבין בסוף השטר וקנינא מן פלוני בר פלוני לפלוני ככל מה דכתב ומפרש לעיל כו', דהיינו שמפרש וכופל הענין הכתוב למעלה, והאי וצריך שיחזור הכי מפרשינן לה- וצריך שלא יהא כתוב בסוף השטר בשיטה אחרונה שום דבר חידוש ושום תנאי שהשטר תלוי בו שאינו כתוב למעלה לפי שלא נלמד משיטה אחרונה, כדמפרש לקמן, ונמצא שיתקיים השטר העליון בלא התנאי ויגבה בו שלא כדין אע"פ שלא נתקיים התנאי. אלא בדברים שאין לנו צורך בהן ללמוד ממנו יסיים שטרו, כגון מענינו של שטר, ומעתה לא נפסיד כלום אם לא נלמד משיטה אחרונה שהרי כבר מפורש למעלה מה שכתב בשיטה אחרונה, רשב"ם.</w:t>
      </w:r>
    </w:p>
  </w:footnote>
  <w:footnote w:id="3474">
    <w:p w14:paraId="35AC0928" w14:textId="77777777" w:rsidR="0013116F" w:rsidRDefault="0013116F" w:rsidP="001D49D4">
      <w:pPr>
        <w:pStyle w:val="a9"/>
        <w:spacing w:after="60"/>
        <w:rPr>
          <w:rFonts w:ascii="Arial" w:hAnsi="Arial"/>
        </w:rPr>
      </w:pPr>
      <w:r>
        <w:rPr>
          <w:rStyle w:val="ab"/>
          <w:rFonts w:ascii="Arial" w:hAnsi="Arial"/>
        </w:rPr>
        <w:footnoteRef/>
      </w:r>
      <w:r>
        <w:rPr>
          <w:rFonts w:ascii="Arial" w:hAnsi="Arial"/>
          <w:rtl/>
        </w:rPr>
        <w:t xml:space="preserve"> מפני שאין העדים יכולין לקרב חתימתן כ"כ בסמוך בסוף השטר, ומניחין ריוח בין השטר לחתימתן ויכול אדם לזייף ולהוסיף בינתים שיטה אחת, והלכך תקון רבנן לחזור מענינו של שטר בשיטה אחרונה לבלתי שיכתב בה דבר הצריך, שהרי אם זייפו והוסיפו לאחר זמן- אין אנו מפסידין כלום אם לא נלמד הימנה שהרי כבר כתוב כל זה למעלה, וגם אם זייפו ויוסיפו בשיטת החלק שאחר ענינו של שטר שבשיטה אחרונה בין השטר לעדים- לא מעלה ולא מוריד שהרי אין למדין משיטה אחרונה, ובשאין כתוב בשטר שריר וקיים מיירי, כן נראה בעיני טעם הדבר ופירושו ועיקר, רשב"ם.</w:t>
      </w:r>
    </w:p>
  </w:footnote>
  <w:footnote w:id="3475">
    <w:p w14:paraId="23E815F4" w14:textId="77777777" w:rsidR="0013116F" w:rsidRDefault="0013116F" w:rsidP="001D49D4">
      <w:pPr>
        <w:pStyle w:val="a9"/>
        <w:spacing w:after="60"/>
        <w:rPr>
          <w:rFonts w:ascii="Arial" w:hAnsi="Arial"/>
          <w:rtl/>
        </w:rPr>
      </w:pPr>
      <w:r>
        <w:rPr>
          <w:rStyle w:val="ab"/>
          <w:rFonts w:ascii="Arial" w:hAnsi="Arial"/>
        </w:rPr>
        <w:footnoteRef/>
      </w:r>
      <w:r>
        <w:rPr>
          <w:rFonts w:ascii="Arial" w:hAnsi="Arial"/>
          <w:rtl/>
        </w:rPr>
        <w:t xml:space="preserve"> רשב"ם </w:t>
      </w:r>
      <w:r>
        <w:rPr>
          <w:rFonts w:ascii="Arial" w:hAnsi="Arial"/>
          <w:sz w:val="16"/>
          <w:szCs w:val="16"/>
          <w:rtl/>
        </w:rPr>
        <w:t>(כן מוכח מדבריו בד"ה וצריך, וכ"כ באה"ג [אות ד])</w:t>
      </w:r>
      <w:r>
        <w:rPr>
          <w:rFonts w:ascii="Arial" w:hAnsi="Arial"/>
          <w:rtl/>
        </w:rPr>
        <w:t xml:space="preserve"> ר"י </w:t>
      </w:r>
      <w:r>
        <w:rPr>
          <w:rFonts w:ascii="Arial" w:hAnsi="Arial"/>
          <w:sz w:val="16"/>
          <w:szCs w:val="16"/>
          <w:rtl/>
        </w:rPr>
        <w:t>(הביאוהו הריטב"א [קסא:] והנמוק"י שם)</w:t>
      </w:r>
      <w:r>
        <w:rPr>
          <w:rFonts w:ascii="Arial" w:hAnsi="Arial"/>
          <w:rtl/>
        </w:rPr>
        <w:t xml:space="preserve"> רמב"ם </w:t>
      </w:r>
      <w:r>
        <w:rPr>
          <w:rFonts w:ascii="Arial" w:hAnsi="Arial"/>
          <w:sz w:val="16"/>
          <w:szCs w:val="16"/>
          <w:rtl/>
        </w:rPr>
        <w:t>(פכ"ז ה"ד. וכן הבין הה"מ [פכ"ז ה"ג] בדבריו)</w:t>
      </w:r>
      <w:r>
        <w:rPr>
          <w:rFonts w:ascii="Arial" w:hAnsi="Arial"/>
          <w:rtl/>
        </w:rPr>
        <w:t xml:space="preserve"> רמב"ן</w:t>
      </w:r>
      <w:r>
        <w:rPr>
          <w:rFonts w:ascii="Arial" w:hAnsi="Arial"/>
          <w:sz w:val="16"/>
          <w:szCs w:val="16"/>
          <w:rtl/>
        </w:rPr>
        <w:t xml:space="preserve"> (ד"ה אמר רב עמרם) </w:t>
      </w:r>
      <w:r>
        <w:rPr>
          <w:rFonts w:ascii="Arial" w:hAnsi="Arial"/>
          <w:rtl/>
        </w:rPr>
        <w:t xml:space="preserve">רא"ה רשב"א </w:t>
      </w:r>
      <w:r>
        <w:rPr>
          <w:rFonts w:ascii="Arial" w:hAnsi="Arial"/>
          <w:sz w:val="16"/>
          <w:szCs w:val="16"/>
          <w:rtl/>
        </w:rPr>
        <w:t xml:space="preserve">(ד"ה צריך) </w:t>
      </w:r>
      <w:r>
        <w:rPr>
          <w:rFonts w:ascii="Arial" w:hAnsi="Arial"/>
          <w:rtl/>
        </w:rPr>
        <w:t xml:space="preserve">ריטב"א </w:t>
      </w:r>
      <w:r>
        <w:rPr>
          <w:rFonts w:ascii="Arial" w:hAnsi="Arial"/>
          <w:sz w:val="16"/>
          <w:szCs w:val="16"/>
          <w:rtl/>
        </w:rPr>
        <w:t xml:space="preserve">(ד"ה וצריך) </w:t>
      </w:r>
      <w:r>
        <w:rPr>
          <w:rFonts w:ascii="Arial" w:hAnsi="Arial"/>
          <w:rtl/>
        </w:rPr>
        <w:t xml:space="preserve">ור"ן </w:t>
      </w:r>
      <w:r>
        <w:rPr>
          <w:rFonts w:ascii="Arial" w:hAnsi="Arial"/>
          <w:sz w:val="16"/>
          <w:szCs w:val="16"/>
          <w:rtl/>
        </w:rPr>
        <w:t>(גיטין ד. ד"ה רבינא)</w:t>
      </w:r>
      <w:r>
        <w:rPr>
          <w:rFonts w:ascii="Arial" w:hAnsi="Arial"/>
          <w:rtl/>
        </w:rPr>
        <w:t>.</w:t>
      </w:r>
    </w:p>
  </w:footnote>
  <w:footnote w:id="3476">
    <w:p w14:paraId="199F03FD" w14:textId="77777777" w:rsidR="0013116F" w:rsidRDefault="0013116F" w:rsidP="001D49D4">
      <w:pPr>
        <w:pStyle w:val="a9"/>
        <w:spacing w:after="60"/>
        <w:rPr>
          <w:rFonts w:ascii="Arial" w:hAnsi="Arial"/>
        </w:rPr>
      </w:pPr>
      <w:r>
        <w:rPr>
          <w:rStyle w:val="ab"/>
          <w:rFonts w:ascii="Arial" w:hAnsi="Arial"/>
        </w:rPr>
        <w:footnoteRef/>
      </w:r>
      <w:r>
        <w:rPr>
          <w:rFonts w:ascii="Arial" w:hAnsi="Arial"/>
          <w:rtl/>
        </w:rPr>
        <w:t xml:space="preserve"> שאז ודאי לא הוסיף בו דבר והיה לנו ללמוד משיטה אחרונה, טור.</w:t>
      </w:r>
    </w:p>
  </w:footnote>
  <w:footnote w:id="3477">
    <w:p w14:paraId="0468CC4B" w14:textId="77777777" w:rsidR="0013116F" w:rsidRDefault="0013116F" w:rsidP="001D49D4">
      <w:pPr>
        <w:pStyle w:val="a9"/>
        <w:spacing w:after="60"/>
        <w:rPr>
          <w:rFonts w:ascii="Arial" w:hAnsi="Arial"/>
          <w:rtl/>
        </w:rPr>
      </w:pPr>
      <w:r>
        <w:rPr>
          <w:rStyle w:val="ab"/>
          <w:rFonts w:ascii="Arial" w:hAnsi="Arial"/>
        </w:rPr>
        <w:footnoteRef/>
      </w:r>
      <w:r>
        <w:rPr>
          <w:rFonts w:ascii="Arial" w:hAnsi="Arial"/>
          <w:rtl/>
        </w:rPr>
        <w:t xml:space="preserve"> והש"ך (סק"ב) הקשה על ראיותיו ולכן כ'- "דברי ההגה"מ בשם הר"מ צל"ע לדינא".</w:t>
      </w:r>
    </w:p>
  </w:footnote>
  <w:footnote w:id="3478">
    <w:p w14:paraId="43720262" w14:textId="77777777" w:rsidR="0013116F" w:rsidRDefault="0013116F" w:rsidP="001D49D4">
      <w:pPr>
        <w:pStyle w:val="a9"/>
        <w:spacing w:after="60"/>
        <w:rPr>
          <w:rFonts w:ascii="Arial" w:hAnsi="Arial"/>
          <w:rtl/>
        </w:rPr>
      </w:pPr>
      <w:r>
        <w:rPr>
          <w:rStyle w:val="ab"/>
          <w:rFonts w:ascii="Arial" w:hAnsi="Arial"/>
        </w:rPr>
        <w:footnoteRef/>
      </w:r>
      <w:r>
        <w:rPr>
          <w:rFonts w:ascii="Arial" w:hAnsi="Arial"/>
          <w:rtl/>
        </w:rPr>
        <w:t xml:space="preserve"> רש"י </w:t>
      </w:r>
      <w:r>
        <w:rPr>
          <w:rFonts w:ascii="Arial" w:hAnsi="Arial"/>
          <w:sz w:val="16"/>
          <w:szCs w:val="16"/>
          <w:rtl/>
        </w:rPr>
        <w:t xml:space="preserve">(גיטין יא. ד"ה מענינו) </w:t>
      </w:r>
      <w:r>
        <w:rPr>
          <w:rFonts w:ascii="Arial" w:hAnsi="Arial"/>
          <w:rtl/>
        </w:rPr>
        <w:t xml:space="preserve">רשב"ם </w:t>
      </w:r>
      <w:r>
        <w:rPr>
          <w:rFonts w:ascii="Arial" w:hAnsi="Arial"/>
          <w:sz w:val="16"/>
          <w:szCs w:val="16"/>
          <w:rtl/>
        </w:rPr>
        <w:t>(ב"ב קסא: ד"ה וצריך)</w:t>
      </w:r>
      <w:r>
        <w:rPr>
          <w:rFonts w:ascii="Arial" w:hAnsi="Arial"/>
          <w:rtl/>
        </w:rPr>
        <w:t xml:space="preserve"> מהר"ם הגה"מ</w:t>
      </w:r>
      <w:r>
        <w:rPr>
          <w:rFonts w:ascii="Arial" w:hAnsi="Arial"/>
          <w:sz w:val="16"/>
          <w:szCs w:val="16"/>
          <w:rtl/>
        </w:rPr>
        <w:t xml:space="preserve"> (פכ"ז אות ב)</w:t>
      </w:r>
      <w:r>
        <w:rPr>
          <w:rFonts w:ascii="Arial" w:hAnsi="Arial"/>
          <w:rtl/>
        </w:rPr>
        <w:t xml:space="preserve"> (טור</w:t>
      </w:r>
      <w:r>
        <w:rPr>
          <w:rFonts w:ascii="Arial" w:hAnsi="Arial"/>
          <w:sz w:val="16"/>
          <w:szCs w:val="16"/>
          <w:rtl/>
        </w:rPr>
        <w:t xml:space="preserve"> להב' הדרישה [אות א]</w:t>
      </w:r>
      <w:r>
        <w:rPr>
          <w:rFonts w:ascii="Arial" w:hAnsi="Arial"/>
          <w:rtl/>
        </w:rPr>
        <w:t xml:space="preserve">) ונמוק"י </w:t>
      </w:r>
      <w:r>
        <w:rPr>
          <w:rFonts w:ascii="Arial" w:hAnsi="Arial"/>
          <w:sz w:val="16"/>
          <w:szCs w:val="16"/>
          <w:rtl/>
        </w:rPr>
        <w:t>(ע"ה ריש ע"ב)</w:t>
      </w:r>
      <w:r>
        <w:rPr>
          <w:rFonts w:ascii="Arial" w:hAnsi="Arial"/>
          <w:rtl/>
        </w:rPr>
        <w:t>.</w:t>
      </w:r>
    </w:p>
  </w:footnote>
  <w:footnote w:id="3479">
    <w:p w14:paraId="07D238BB" w14:textId="77777777" w:rsidR="0013116F" w:rsidRDefault="0013116F" w:rsidP="001D49D4">
      <w:pPr>
        <w:pStyle w:val="a9"/>
        <w:spacing w:after="60"/>
        <w:rPr>
          <w:rFonts w:ascii="Arial" w:hAnsi="Arial"/>
        </w:rPr>
      </w:pPr>
      <w:r>
        <w:rPr>
          <w:rStyle w:val="ab"/>
          <w:rFonts w:ascii="Arial" w:hAnsi="Arial"/>
        </w:rPr>
        <w:footnoteRef/>
      </w:r>
      <w:r>
        <w:rPr>
          <w:rFonts w:ascii="Arial" w:hAnsi="Arial"/>
          <w:rtl/>
        </w:rPr>
        <w:t xml:space="preserve"> סק"א, והוסיף שם- "ואע"פ שעדיין לא נכתב למעלה אלא שאמר הלוה שיקנו מידו למלוה, ולא כתב שם דכן עשו דקנו מיניה עד לבסוף שכתב וקנינא כו', מ"מ כיון דאין זה דבר חדש לגמרי, גם כי מסתמא עשו העדים מה שביקש מהן ועל שום זה התחילו לכתוב השטר, משום הכי בכלל חזרת השטר הוא". אך הש"ך כ' עליו- גם מה שכתב הטעם כיון דאין זה דבר חדש לגמרי, אפשר דר"ל כיון שאינו אלא מפרש מה שלמעלה הוי בכלל חזרת השטר, והיינו כמ"ש הגהות מיימוני בשם הר"מ, אבל כבר כתבתי לקמן ס"ק ב' דדברי הר"מ צ"ע לדינא.</w:t>
      </w:r>
    </w:p>
  </w:footnote>
  <w:footnote w:id="3480">
    <w:p w14:paraId="26D70A38" w14:textId="77777777" w:rsidR="0013116F" w:rsidRDefault="0013116F" w:rsidP="001D49D4">
      <w:pPr>
        <w:pStyle w:val="a9"/>
        <w:spacing w:after="60"/>
        <w:rPr>
          <w:rFonts w:ascii="Arial" w:hAnsi="Arial"/>
          <w:rtl/>
        </w:rPr>
      </w:pPr>
      <w:r>
        <w:rPr>
          <w:rStyle w:val="ab"/>
          <w:rFonts w:ascii="Arial" w:hAnsi="Arial"/>
        </w:rPr>
        <w:footnoteRef/>
      </w:r>
      <w:r>
        <w:rPr>
          <w:rFonts w:ascii="Arial" w:hAnsi="Arial"/>
          <w:rtl/>
        </w:rPr>
        <w:t xml:space="preserve"> משו"ה תיקנו שלא ילמדו משיטה אחרונה כלל </w:t>
      </w:r>
      <w:r>
        <w:rPr>
          <w:rFonts w:ascii="Arial" w:hAnsi="Arial"/>
          <w:sz w:val="16"/>
          <w:szCs w:val="16"/>
          <w:rtl/>
        </w:rPr>
        <w:t>(שמא נכתב בזיוף אחר שכבר חתמו העדים)</w:t>
      </w:r>
      <w:r>
        <w:rPr>
          <w:rFonts w:ascii="Arial" w:hAnsi="Arial"/>
          <w:rtl/>
        </w:rPr>
        <w:t xml:space="preserve">, ומשו"ה תיקנו חז"ל שיחזרו בשיטה אחרונה מה שכבר כתוב למעלה </w:t>
      </w:r>
      <w:r>
        <w:rPr>
          <w:rFonts w:ascii="Arial" w:hAnsi="Arial"/>
          <w:sz w:val="16"/>
          <w:szCs w:val="16"/>
          <w:rtl/>
        </w:rPr>
        <w:t>(דאז אף אם לא ילמדו ממה שכתוב למטה, כבר למדוהו ממה שכתוב למעלה)</w:t>
      </w:r>
      <w:r>
        <w:rPr>
          <w:rFonts w:ascii="Arial" w:hAnsi="Arial"/>
          <w:rtl/>
        </w:rPr>
        <w:t>, סמ"ע (סק"א).</w:t>
      </w:r>
    </w:p>
  </w:footnote>
  <w:footnote w:id="3481">
    <w:p w14:paraId="22AFC73C" w14:textId="77777777" w:rsidR="0013116F" w:rsidRDefault="0013116F" w:rsidP="001D49D4">
      <w:pPr>
        <w:pStyle w:val="a9"/>
        <w:spacing w:after="60"/>
        <w:rPr>
          <w:rFonts w:ascii="Arial" w:hAnsi="Arial"/>
          <w:rtl/>
        </w:rPr>
      </w:pPr>
      <w:r>
        <w:rPr>
          <w:rStyle w:val="ab"/>
          <w:rFonts w:ascii="Arial" w:hAnsi="Arial"/>
        </w:rPr>
        <w:footnoteRef/>
      </w:r>
      <w:r>
        <w:rPr>
          <w:rFonts w:ascii="Arial" w:hAnsi="Arial"/>
          <w:rtl/>
        </w:rPr>
        <w:t xml:space="preserve"> ו-"אפילו אמרו העדים לא הרחקנו ואנו כתבנו שיטה אחרונה, אין נאמנים להכשיר שיטה אחרונה לעשותה כשטר, אלא כעדות על פה, דכל שאין מוכיח מתוך השטר אין לו דין שטר", ב"י </w:t>
      </w:r>
      <w:r>
        <w:rPr>
          <w:rFonts w:ascii="Arial" w:hAnsi="Arial"/>
          <w:sz w:val="16"/>
          <w:szCs w:val="16"/>
          <w:rtl/>
        </w:rPr>
        <w:t>(סי' מ"ה מחו' ח)</w:t>
      </w:r>
      <w:r>
        <w:rPr>
          <w:rFonts w:ascii="Arial" w:hAnsi="Arial"/>
          <w:rtl/>
        </w:rPr>
        <w:t xml:space="preserve"> ודרכ"מ </w:t>
      </w:r>
      <w:r>
        <w:rPr>
          <w:rFonts w:ascii="Arial" w:hAnsi="Arial"/>
          <w:sz w:val="16"/>
          <w:szCs w:val="16"/>
          <w:rtl/>
        </w:rPr>
        <w:t xml:space="preserve">(כאן ב*) </w:t>
      </w:r>
      <w:r>
        <w:rPr>
          <w:rFonts w:ascii="Arial" w:hAnsi="Arial"/>
          <w:rtl/>
        </w:rPr>
        <w:t xml:space="preserve">בשם הרשב"א </w:t>
      </w:r>
      <w:r>
        <w:rPr>
          <w:rFonts w:ascii="Arial" w:hAnsi="Arial"/>
          <w:sz w:val="16"/>
          <w:szCs w:val="16"/>
          <w:rtl/>
        </w:rPr>
        <w:t>(ח"ג סי' נ"ה וח"ז סי' תע"ד)</w:t>
      </w:r>
      <w:r>
        <w:rPr>
          <w:rFonts w:ascii="Arial" w:hAnsi="Arial"/>
          <w:rtl/>
        </w:rPr>
        <w:t>.</w:t>
      </w:r>
    </w:p>
  </w:footnote>
  <w:footnote w:id="3482">
    <w:p w14:paraId="4C7B07D0" w14:textId="77777777" w:rsidR="0013116F" w:rsidRDefault="0013116F" w:rsidP="001D49D4">
      <w:pPr>
        <w:pStyle w:val="a9"/>
        <w:spacing w:after="60"/>
        <w:rPr>
          <w:rFonts w:ascii="Arial" w:hAnsi="Arial"/>
        </w:rPr>
      </w:pPr>
      <w:r>
        <w:rPr>
          <w:rStyle w:val="ab"/>
          <w:rFonts w:ascii="Arial" w:hAnsi="Arial"/>
        </w:rPr>
        <w:footnoteRef/>
      </w:r>
      <w:r>
        <w:rPr>
          <w:rFonts w:ascii="Arial" w:hAnsi="Arial"/>
          <w:rtl/>
        </w:rPr>
        <w:t xml:space="preserve"> נמוק"י (עו: ד"ה אמר המחבר) בשם ריטב"א והרא"ה.</w:t>
      </w:r>
    </w:p>
  </w:footnote>
  <w:footnote w:id="3483">
    <w:p w14:paraId="26E78730" w14:textId="77777777" w:rsidR="0013116F" w:rsidRDefault="0013116F" w:rsidP="001D49D4">
      <w:pPr>
        <w:pStyle w:val="a9"/>
        <w:spacing w:after="60"/>
        <w:rPr>
          <w:rFonts w:ascii="Arial" w:hAnsi="Arial"/>
        </w:rPr>
      </w:pPr>
      <w:r>
        <w:rPr>
          <w:rStyle w:val="ab"/>
          <w:rFonts w:ascii="Arial" w:hAnsi="Arial"/>
        </w:rPr>
        <w:footnoteRef/>
      </w:r>
      <w:r>
        <w:rPr>
          <w:rFonts w:ascii="Arial" w:hAnsi="Arial"/>
          <w:rtl/>
        </w:rPr>
        <w:t xml:space="preserve"> דהא אין כאן חשש שהמלוה זייפו לאחר שבא לידו, דהא כתיבת יד הלוה הוא, סמ"ע (סק"ג).</w:t>
      </w:r>
    </w:p>
  </w:footnote>
  <w:footnote w:id="3484">
    <w:p w14:paraId="1B3A0100" w14:textId="77777777" w:rsidR="0013116F" w:rsidRDefault="0013116F" w:rsidP="001D49D4">
      <w:pPr>
        <w:pStyle w:val="a9"/>
        <w:spacing w:after="60"/>
        <w:rPr>
          <w:rFonts w:ascii="Arial" w:hAnsi="Arial"/>
          <w:rtl/>
        </w:rPr>
      </w:pPr>
      <w:r>
        <w:rPr>
          <w:rStyle w:val="ab"/>
          <w:rFonts w:ascii="Arial" w:hAnsi="Arial"/>
        </w:rPr>
        <w:footnoteRef/>
      </w:r>
      <w:r>
        <w:rPr>
          <w:rFonts w:ascii="Arial" w:hAnsi="Arial"/>
          <w:rtl/>
        </w:rPr>
        <w:t xml:space="preserve"> גם כאן הוא מטעם דאמרינן דאין הלוה יכול לצמצם, סמ"ע (סק"ד).</w:t>
      </w:r>
    </w:p>
  </w:footnote>
  <w:footnote w:id="3485">
    <w:p w14:paraId="1B451832" w14:textId="77777777" w:rsidR="0013116F" w:rsidRDefault="0013116F" w:rsidP="001D49D4">
      <w:pPr>
        <w:pStyle w:val="a9"/>
        <w:spacing w:after="60"/>
        <w:rPr>
          <w:rFonts w:ascii="Arial" w:hAnsi="Arial"/>
        </w:rPr>
      </w:pPr>
      <w:r>
        <w:rPr>
          <w:rStyle w:val="ab"/>
          <w:rFonts w:ascii="Arial" w:hAnsi="Arial"/>
        </w:rPr>
        <w:footnoteRef/>
      </w:r>
      <w:r>
        <w:rPr>
          <w:rFonts w:ascii="Arial" w:hAnsi="Arial"/>
          <w:rtl/>
        </w:rPr>
        <w:t xml:space="preserve"> </w:t>
      </w:r>
      <w:r>
        <w:rPr>
          <w:rFonts w:ascii="Arial" w:hAnsi="Arial" w:hint="cs"/>
          <w:u w:val="single"/>
          <w:rtl/>
        </w:rPr>
        <w:t>לפני שלומדים סע' זה צריך ללמוד את סע' י בסי' מ"ה, ותוכן דברי השו"ע והרמ"א הנחוצים לנו כך:</w:t>
      </w:r>
    </w:p>
    <w:p w14:paraId="44BDFCAC" w14:textId="77777777" w:rsidR="0013116F" w:rsidRDefault="0013116F" w:rsidP="004B0475">
      <w:pPr>
        <w:pStyle w:val="a9"/>
        <w:numPr>
          <w:ilvl w:val="0"/>
          <w:numId w:val="278"/>
        </w:numPr>
        <w:spacing w:after="60"/>
        <w:rPr>
          <w:rFonts w:ascii="Arial" w:hAnsi="Arial"/>
          <w:rtl/>
        </w:rPr>
      </w:pPr>
      <w:r>
        <w:rPr>
          <w:rFonts w:ascii="Arial" w:hAnsi="Arial"/>
          <w:rtl/>
        </w:rPr>
        <w:t xml:space="preserve">שו"ע- שטר שמסתיים באמצע שטה, והניחו אותה שטה ועוד אחרת והתחילו לחתום בשטה שלישית- פסול, משום שהוא שטר שיכול להזדייף </w:t>
      </w:r>
      <w:r>
        <w:rPr>
          <w:rFonts w:ascii="Arial" w:hAnsi="Arial"/>
          <w:sz w:val="16"/>
          <w:szCs w:val="16"/>
          <w:rtl/>
        </w:rPr>
        <w:t>(שיכול לכתוב באותה חצי שטה מה שירצה, ויחזיר מענינו של שטר בשטה אחרונה)</w:t>
      </w:r>
      <w:r>
        <w:rPr>
          <w:rFonts w:ascii="Arial" w:hAnsi="Arial"/>
          <w:rtl/>
        </w:rPr>
        <w:t>.</w:t>
      </w:r>
    </w:p>
    <w:p w14:paraId="47932967" w14:textId="77777777" w:rsidR="0013116F" w:rsidRDefault="0013116F" w:rsidP="001D49D4">
      <w:pPr>
        <w:pStyle w:val="a9"/>
        <w:spacing w:after="60"/>
        <w:ind w:left="720"/>
        <w:rPr>
          <w:rFonts w:ascii="Arial" w:hAnsi="Arial"/>
          <w:rtl/>
        </w:rPr>
      </w:pPr>
      <w:r>
        <w:rPr>
          <w:rFonts w:ascii="Arial" w:hAnsi="Arial"/>
          <w:rtl/>
        </w:rPr>
        <w:t xml:space="preserve">שטר שמסתיים בסוף שטה, והרחיקו העדים שטה שלימה והתחילו העדים באמצע שיטה שנייה- פסול אם יחתמו זה אחר זה באותה חצי שטה, משום שהוא שטר שיכול להזדייף </w:t>
      </w:r>
      <w:r>
        <w:rPr>
          <w:rFonts w:ascii="Arial" w:hAnsi="Arial"/>
          <w:sz w:val="16"/>
          <w:szCs w:val="16"/>
          <w:rtl/>
        </w:rPr>
        <w:t>(שיכול לכתוב בחצי השטה שלפני חתימתן "פלוני לוה מפלוני מנה" ויהא שטר הבא הוא ועידיו בשטה אחת, שהוא כשר, ויחתוך כל העליון)</w:t>
      </w:r>
      <w:r>
        <w:rPr>
          <w:rFonts w:ascii="Arial" w:hAnsi="Arial"/>
          <w:rtl/>
        </w:rPr>
        <w:t xml:space="preserve">. </w:t>
      </w:r>
    </w:p>
    <w:p w14:paraId="73A822DD" w14:textId="77777777" w:rsidR="0013116F" w:rsidRDefault="0013116F" w:rsidP="004B0475">
      <w:pPr>
        <w:pStyle w:val="a9"/>
        <w:numPr>
          <w:ilvl w:val="0"/>
          <w:numId w:val="278"/>
        </w:numPr>
        <w:spacing w:after="60"/>
        <w:rPr>
          <w:rFonts w:ascii="Arial" w:hAnsi="Arial"/>
          <w:rtl/>
        </w:rPr>
      </w:pPr>
      <w:r>
        <w:rPr>
          <w:rFonts w:ascii="Arial" w:hAnsi="Arial"/>
          <w:rtl/>
        </w:rPr>
        <w:t>הגה- שטר שמסתיים באמצע השטה, יכולים העדים לחתום עצמן בחצי שטה הנשארת זה אצל זה, ואז למדין מחצי שטה שלפניהם ומשטה שעליהם, דאין לחוש לשום דבר</w:t>
      </w:r>
      <w:r>
        <w:rPr>
          <w:rFonts w:ascii="Arial" w:hAnsi="Arial"/>
          <w:sz w:val="16"/>
          <w:szCs w:val="16"/>
          <w:rtl/>
        </w:rPr>
        <w:t xml:space="preserve"> (דמוקמינן העדים אחזקתייהו, דאם לא ראו שהשטר היה כתוב גם באותו חצי שורה שקודם חתימתן לא היו חותמין נפשם בחצי שורה, כיון שיכול לזייפו ולעשות ממנו שטר ועדיו בשיטה אחת, סמ"ע [סקכ"ב])</w:t>
      </w:r>
      <w:r>
        <w:rPr>
          <w:rFonts w:ascii="Arial" w:hAnsi="Arial"/>
          <w:rtl/>
        </w:rPr>
        <w:t>.</w:t>
      </w:r>
    </w:p>
  </w:footnote>
  <w:footnote w:id="3486">
    <w:p w14:paraId="144E7F4F" w14:textId="77777777" w:rsidR="0013116F" w:rsidRDefault="0013116F" w:rsidP="001D49D4">
      <w:pPr>
        <w:pStyle w:val="a9"/>
        <w:spacing w:after="60"/>
        <w:rPr>
          <w:rFonts w:ascii="Arial" w:hAnsi="Arial"/>
          <w:rtl/>
        </w:rPr>
      </w:pPr>
      <w:r>
        <w:rPr>
          <w:rStyle w:val="ab"/>
          <w:rFonts w:ascii="Arial" w:hAnsi="Arial"/>
        </w:rPr>
        <w:footnoteRef/>
      </w:r>
      <w:r>
        <w:rPr>
          <w:rFonts w:ascii="Arial" w:hAnsi="Arial"/>
          <w:rtl/>
        </w:rPr>
        <w:t xml:space="preserve"> והא "שנהגו לכתוב שריר וקיים- משום דלפעמים צריכין למחוק ולתלות אחר שנגמר כל השטר וכבר כתבו וקנינא ומקיימין המחקין והתלויות בסוף השטר וכותבין שריר וקיים", רא"ש והה"מ (פכ"ז ה"ח).</w:t>
      </w:r>
    </w:p>
  </w:footnote>
  <w:footnote w:id="3487">
    <w:p w14:paraId="2276B977" w14:textId="77777777" w:rsidR="0013116F" w:rsidRDefault="0013116F" w:rsidP="001D49D4">
      <w:pPr>
        <w:pStyle w:val="a9"/>
        <w:spacing w:after="60"/>
        <w:rPr>
          <w:rFonts w:ascii="Arial" w:hAnsi="Arial"/>
          <w:rtl/>
        </w:rPr>
      </w:pPr>
      <w:r>
        <w:rPr>
          <w:rStyle w:val="ab"/>
          <w:rFonts w:ascii="Arial" w:hAnsi="Arial"/>
        </w:rPr>
        <w:footnoteRef/>
      </w:r>
      <w:r>
        <w:rPr>
          <w:rFonts w:ascii="Arial" w:hAnsi="Arial"/>
          <w:rtl/>
        </w:rPr>
        <w:t xml:space="preserve"> דאל"כ קשה על מנהג שלנו, כיון דאם נכשיר שטר בלא שריר וקיים יש לחוש שמא בא ליד בעליו בלא שריר וקיים ומחק למעלה חובתו וכתב על המחק מאי דבעי ומקיים בשטה אחרונה, לכן, לא יחתמו העדים עד שיראו שכתוב שריר וקיים</w:t>
      </w:r>
      <w:r>
        <w:rPr>
          <w:rFonts w:ascii="Arial" w:hAnsi="Arial"/>
          <w:sz w:val="16"/>
          <w:szCs w:val="16"/>
          <w:rtl/>
        </w:rPr>
        <w:t xml:space="preserve"> (ע"פ דברי הרא"ש)</w:t>
      </w:r>
      <w:r>
        <w:rPr>
          <w:rFonts w:ascii="Arial" w:hAnsi="Arial"/>
          <w:rtl/>
        </w:rPr>
        <w:t>.</w:t>
      </w:r>
    </w:p>
  </w:footnote>
  <w:footnote w:id="3488">
    <w:p w14:paraId="3FB5D3CF" w14:textId="77777777" w:rsidR="0013116F" w:rsidRDefault="0013116F" w:rsidP="001D49D4">
      <w:pPr>
        <w:pStyle w:val="a9"/>
        <w:spacing w:after="60"/>
        <w:rPr>
          <w:rFonts w:ascii="Arial" w:hAnsi="Arial"/>
        </w:rPr>
      </w:pPr>
      <w:r>
        <w:rPr>
          <w:rStyle w:val="ab"/>
          <w:rFonts w:ascii="Arial" w:hAnsi="Arial"/>
        </w:rPr>
        <w:footnoteRef/>
      </w:r>
      <w:r>
        <w:rPr>
          <w:rFonts w:ascii="Arial" w:hAnsi="Arial"/>
          <w:rtl/>
        </w:rPr>
        <w:t xml:space="preserve"> כ"כ בשמו התוס' (ב"ב קסב. ד"ה לפי) והמרדכי (רמז תרמא). וצ"ע עמש"כ ההגה"מ </w:t>
      </w:r>
      <w:r>
        <w:rPr>
          <w:rFonts w:ascii="Arial" w:hAnsi="Arial"/>
          <w:sz w:val="16"/>
          <w:szCs w:val="16"/>
          <w:rtl/>
        </w:rPr>
        <w:t xml:space="preserve">(פכ"ז אות ח) </w:t>
      </w:r>
      <w:r>
        <w:rPr>
          <w:rFonts w:ascii="Arial" w:hAnsi="Arial"/>
          <w:rtl/>
        </w:rPr>
        <w:t>בהפך דבריהם בשם ר"י.</w:t>
      </w:r>
    </w:p>
  </w:footnote>
  <w:footnote w:id="3489">
    <w:p w14:paraId="3D8B9446" w14:textId="77777777" w:rsidR="0013116F" w:rsidRDefault="0013116F" w:rsidP="001D49D4">
      <w:pPr>
        <w:spacing w:after="60" w:line="240" w:lineRule="auto"/>
        <w:rPr>
          <w:rFonts w:ascii="Arial" w:hAnsi="Arial"/>
          <w:sz w:val="20"/>
          <w:szCs w:val="20"/>
          <w:rtl/>
        </w:rPr>
      </w:pPr>
      <w:r>
        <w:rPr>
          <w:rStyle w:val="ab"/>
          <w:rFonts w:ascii="Arial" w:hAnsi="Arial"/>
        </w:rPr>
        <w:footnoteRef/>
      </w:r>
      <w:r>
        <w:rPr>
          <w:rFonts w:ascii="Arial" w:hAnsi="Arial"/>
          <w:sz w:val="20"/>
          <w:szCs w:val="20"/>
          <w:rtl/>
        </w:rPr>
        <w:t xml:space="preserve"> התוס' בבבא בתרא (קסב. ד"ה לפי) כ' שר"ת ור"י סוברים שלמדים משיטה אחרונה כשכתוב שריר וקיים, והעיד התוס' בשם ר"י שהמנהג לרשום שריר וקיים, רק שבטעם דבר זה </w:t>
      </w:r>
      <w:r>
        <w:rPr>
          <w:rFonts w:ascii="Arial" w:hAnsi="Arial"/>
          <w:sz w:val="16"/>
          <w:szCs w:val="16"/>
          <w:rtl/>
        </w:rPr>
        <w:t>(שנהגו הקדמונים לכ' שריר וקיים וללמוד משיטה אחרונה וכו' אף שחכמי הגמרא לא היו כותבים כן ולכן לא היו למדים וכו')</w:t>
      </w:r>
      <w:r>
        <w:rPr>
          <w:rFonts w:ascii="Arial" w:hAnsi="Arial"/>
          <w:sz w:val="20"/>
          <w:szCs w:val="20"/>
          <w:rtl/>
        </w:rPr>
        <w:t xml:space="preserve"> נחלקו, </w:t>
      </w:r>
      <w:r>
        <w:rPr>
          <w:rFonts w:ascii="Arial" w:hAnsi="Arial"/>
          <w:sz w:val="20"/>
          <w:szCs w:val="20"/>
          <w:u w:val="single"/>
          <w:rtl/>
        </w:rPr>
        <w:t>ר"ת ותוס'</w:t>
      </w:r>
      <w:r>
        <w:rPr>
          <w:rFonts w:ascii="Arial" w:hAnsi="Arial"/>
          <w:sz w:val="20"/>
          <w:szCs w:val="20"/>
          <w:rtl/>
        </w:rPr>
        <w:t xml:space="preserve"> פירשו שהוא משום שחששו שפעמים שיטעו העדים שאינן בקיאין וירחיקו שני שיטין ואפילו לא יהא אדם חצוף לעשות שטר חדש בשני שיטין כי ידאג שיכחישוהו העדים שלא חתמו על שטר זה מעולם מכל מקום לא ידאג מלהוסיף שני שיטין וילמדו מן העליונה כי העדים לא יהיו זכורים שהרחיקו שני שיטין וכיון דכתב שריר וקיים למדין בטוב משיטה אחרונה</w:t>
      </w:r>
      <w:r>
        <w:rPr>
          <w:rFonts w:ascii="Arial" w:hAnsi="Arial"/>
          <w:sz w:val="16"/>
          <w:szCs w:val="16"/>
          <w:rtl/>
        </w:rPr>
        <w:t xml:space="preserve"> {וכן פירש המרדכי</w:t>
      </w:r>
      <w:r>
        <w:rPr>
          <w:rFonts w:ascii="Arial" w:hAnsi="Arial"/>
          <w:sz w:val="14"/>
          <w:szCs w:val="14"/>
          <w:rtl/>
        </w:rPr>
        <w:t xml:space="preserve"> [רמז תרמא]</w:t>
      </w:r>
      <w:r>
        <w:rPr>
          <w:rFonts w:ascii="Arial" w:hAnsi="Arial"/>
          <w:sz w:val="16"/>
          <w:szCs w:val="16"/>
          <w:rtl/>
        </w:rPr>
        <w:t>}</w:t>
      </w:r>
      <w:r>
        <w:rPr>
          <w:rFonts w:ascii="Arial" w:hAnsi="Arial"/>
          <w:sz w:val="20"/>
          <w:szCs w:val="20"/>
          <w:rtl/>
        </w:rPr>
        <w:t xml:space="preserve">. </w:t>
      </w:r>
      <w:r>
        <w:rPr>
          <w:rFonts w:ascii="Arial" w:hAnsi="Arial"/>
          <w:sz w:val="20"/>
          <w:szCs w:val="20"/>
          <w:u w:val="single"/>
          <w:rtl/>
        </w:rPr>
        <w:t>ור"י</w:t>
      </w:r>
      <w:r>
        <w:rPr>
          <w:rFonts w:ascii="Arial" w:hAnsi="Arial"/>
          <w:sz w:val="20"/>
          <w:szCs w:val="20"/>
          <w:rtl/>
        </w:rPr>
        <w:t xml:space="preserve"> פירש שמא בעבור הטורח הורגלו לכתוב שריר וקיים דפעמים בחזרה גופה היה מחק והיה צריך לקיימו ולחזור פעם אחרת דנהי שאין למדין משיטה אחרונה זכות לבעל השטר חובתו מיהא למדין שבחובתו אין לחוש שמא יזייף לכך היה צריך לקיים המחק של חזרה שלא יאמר הלוה או המוכר זכות היה לי שם ומחקתו.</w:t>
      </w:r>
    </w:p>
  </w:footnote>
  <w:footnote w:id="3490">
    <w:p w14:paraId="2EC426BC" w14:textId="77777777" w:rsidR="0013116F" w:rsidRDefault="0013116F" w:rsidP="001D49D4">
      <w:pPr>
        <w:pStyle w:val="a9"/>
        <w:spacing w:after="60"/>
        <w:rPr>
          <w:rFonts w:ascii="Arial" w:hAnsi="Arial"/>
          <w:rtl/>
        </w:rPr>
      </w:pPr>
      <w:r>
        <w:rPr>
          <w:rStyle w:val="ab"/>
          <w:rFonts w:ascii="Arial" w:hAnsi="Arial"/>
        </w:rPr>
        <w:footnoteRef/>
      </w:r>
      <w:r>
        <w:rPr>
          <w:rFonts w:ascii="Arial" w:hAnsi="Arial"/>
          <w:rtl/>
        </w:rPr>
        <w:t xml:space="preserve"> רשב"ם</w:t>
      </w:r>
      <w:r>
        <w:rPr>
          <w:rFonts w:ascii="Arial" w:hAnsi="Arial"/>
          <w:sz w:val="16"/>
          <w:szCs w:val="16"/>
          <w:rtl/>
        </w:rPr>
        <w:t xml:space="preserve"> (קסב. ד"ה אמר)</w:t>
      </w:r>
      <w:r>
        <w:rPr>
          <w:rFonts w:ascii="Arial" w:hAnsi="Arial"/>
          <w:rtl/>
        </w:rPr>
        <w:t xml:space="preserve"> ר"ת ר"י </w:t>
      </w:r>
      <w:r>
        <w:rPr>
          <w:rFonts w:ascii="Arial" w:hAnsi="Arial"/>
          <w:sz w:val="16"/>
          <w:szCs w:val="16"/>
          <w:rtl/>
        </w:rPr>
        <w:t>(הביאוהו התוס' והמרדכי)</w:t>
      </w:r>
      <w:r>
        <w:rPr>
          <w:rFonts w:ascii="Arial" w:hAnsi="Arial"/>
          <w:rtl/>
        </w:rPr>
        <w:t xml:space="preserve"> ראבי"ה </w:t>
      </w:r>
      <w:r>
        <w:rPr>
          <w:rFonts w:ascii="Arial" w:hAnsi="Arial"/>
          <w:sz w:val="16"/>
          <w:szCs w:val="16"/>
          <w:rtl/>
        </w:rPr>
        <w:t xml:space="preserve">(הובא במרדכי שם) </w:t>
      </w:r>
      <w:r>
        <w:rPr>
          <w:rFonts w:ascii="Arial" w:hAnsi="Arial"/>
          <w:rtl/>
        </w:rPr>
        <w:t xml:space="preserve">תוס' </w:t>
      </w:r>
      <w:r>
        <w:rPr>
          <w:rFonts w:ascii="Arial" w:hAnsi="Arial"/>
          <w:sz w:val="16"/>
          <w:szCs w:val="16"/>
          <w:rtl/>
        </w:rPr>
        <w:t xml:space="preserve">(ד"ה לפי) </w:t>
      </w:r>
      <w:r>
        <w:rPr>
          <w:rFonts w:ascii="Arial" w:hAnsi="Arial"/>
          <w:rtl/>
        </w:rPr>
        <w:t xml:space="preserve">מרדכי </w:t>
      </w:r>
      <w:r>
        <w:rPr>
          <w:rFonts w:ascii="Arial" w:hAnsi="Arial"/>
          <w:sz w:val="16"/>
          <w:szCs w:val="16"/>
          <w:rtl/>
        </w:rPr>
        <w:t xml:space="preserve">(סי' תרמא) </w:t>
      </w:r>
      <w:r>
        <w:rPr>
          <w:rFonts w:ascii="Arial" w:hAnsi="Arial"/>
          <w:rtl/>
        </w:rPr>
        <w:t xml:space="preserve">רא"ש </w:t>
      </w:r>
      <w:r>
        <w:rPr>
          <w:rFonts w:ascii="Arial" w:hAnsi="Arial"/>
          <w:sz w:val="16"/>
          <w:szCs w:val="16"/>
          <w:rtl/>
        </w:rPr>
        <w:t xml:space="preserve">(סי' ב) </w:t>
      </w:r>
      <w:r>
        <w:rPr>
          <w:rFonts w:ascii="Arial" w:hAnsi="Arial"/>
          <w:rtl/>
        </w:rPr>
        <w:t xml:space="preserve">ורשב"ץ </w:t>
      </w:r>
      <w:r>
        <w:rPr>
          <w:rFonts w:ascii="Arial" w:hAnsi="Arial"/>
          <w:sz w:val="16"/>
          <w:szCs w:val="16"/>
          <w:rtl/>
        </w:rPr>
        <w:t>(ח"א סי' כ)</w:t>
      </w:r>
      <w:r>
        <w:rPr>
          <w:rFonts w:ascii="Arial" w:hAnsi="Arial"/>
          <w:rtl/>
        </w:rPr>
        <w:t>. וכן הבין הב"ח בדעת רש"י</w:t>
      </w:r>
      <w:r>
        <w:rPr>
          <w:rFonts w:ascii="Arial" w:hAnsi="Arial"/>
          <w:sz w:val="14"/>
          <w:szCs w:val="14"/>
          <w:rtl/>
        </w:rPr>
        <w:t xml:space="preserve"> (ב"מ (ז:) ד"ה שטרא)</w:t>
      </w:r>
      <w:r>
        <w:rPr>
          <w:rFonts w:ascii="Arial" w:hAnsi="Arial"/>
          <w:rtl/>
        </w:rPr>
        <w:t>.</w:t>
      </w:r>
    </w:p>
  </w:footnote>
  <w:footnote w:id="3491">
    <w:p w14:paraId="360EC3F4" w14:textId="77777777" w:rsidR="0013116F" w:rsidRDefault="0013116F" w:rsidP="001D49D4">
      <w:pPr>
        <w:pStyle w:val="a9"/>
        <w:spacing w:after="60"/>
        <w:rPr>
          <w:rFonts w:ascii="Arial" w:hAnsi="Arial"/>
          <w:rtl/>
        </w:rPr>
      </w:pPr>
      <w:r>
        <w:rPr>
          <w:rStyle w:val="ab"/>
          <w:rFonts w:ascii="Arial" w:hAnsi="Arial"/>
        </w:rPr>
        <w:footnoteRef/>
      </w:r>
      <w:r>
        <w:rPr>
          <w:rFonts w:ascii="Arial" w:hAnsi="Arial"/>
          <w:rtl/>
        </w:rPr>
        <w:t xml:space="preserve"> דברי הרשב"ץ שם, הביאם הב"י.</w:t>
      </w:r>
    </w:p>
  </w:footnote>
  <w:footnote w:id="3492">
    <w:p w14:paraId="6F803052" w14:textId="77777777" w:rsidR="0013116F" w:rsidRDefault="0013116F" w:rsidP="001D49D4">
      <w:pPr>
        <w:pStyle w:val="a9"/>
        <w:spacing w:after="60"/>
        <w:rPr>
          <w:rFonts w:ascii="Arial" w:hAnsi="Arial"/>
        </w:rPr>
      </w:pPr>
      <w:r>
        <w:rPr>
          <w:rStyle w:val="ab"/>
          <w:rFonts w:ascii="Arial" w:hAnsi="Arial"/>
        </w:rPr>
        <w:footnoteRef/>
      </w:r>
      <w:r>
        <w:rPr>
          <w:rFonts w:ascii="Arial" w:hAnsi="Arial"/>
          <w:rtl/>
        </w:rPr>
        <w:t xml:space="preserve"> ריב"ם </w:t>
      </w:r>
      <w:r>
        <w:rPr>
          <w:rFonts w:ascii="Arial" w:hAnsi="Arial"/>
          <w:sz w:val="16"/>
          <w:szCs w:val="16"/>
          <w:rtl/>
        </w:rPr>
        <w:t>(הביאו ההגה"א סי' ב בשם האו"ז)</w:t>
      </w:r>
      <w:r>
        <w:rPr>
          <w:rFonts w:ascii="Arial" w:hAnsi="Arial"/>
          <w:rtl/>
        </w:rPr>
        <w:t xml:space="preserve"> רמב"ם </w:t>
      </w:r>
      <w:r>
        <w:rPr>
          <w:rFonts w:ascii="Arial" w:hAnsi="Arial"/>
          <w:sz w:val="16"/>
          <w:szCs w:val="16"/>
          <w:rtl/>
        </w:rPr>
        <w:t>(פכ"ז ה"ג, מתוך שלא הזכיר שריר וקיים בכל דבריו, ש"ך. וכמש"כ הרמב"ן- "וכן דעת רבינו הגדול ז"ל שלא הזכיר שריר וקיים בכל דבריו")</w:t>
      </w:r>
      <w:r>
        <w:rPr>
          <w:rFonts w:ascii="Arial" w:hAnsi="Arial"/>
          <w:rtl/>
        </w:rPr>
        <w:t xml:space="preserve"> רמב"ן </w:t>
      </w:r>
      <w:r>
        <w:rPr>
          <w:rFonts w:ascii="Arial" w:hAnsi="Arial"/>
          <w:sz w:val="16"/>
          <w:szCs w:val="16"/>
          <w:rtl/>
        </w:rPr>
        <w:t>(חידו' קסב.)</w:t>
      </w:r>
      <w:r>
        <w:rPr>
          <w:rFonts w:ascii="Arial" w:hAnsi="Arial"/>
          <w:rtl/>
        </w:rPr>
        <w:t xml:space="preserve"> וריטב"א </w:t>
      </w:r>
      <w:r>
        <w:rPr>
          <w:rFonts w:ascii="Arial" w:hAnsi="Arial"/>
          <w:sz w:val="16"/>
          <w:szCs w:val="16"/>
          <w:rtl/>
        </w:rPr>
        <w:t xml:space="preserve">(קסא:, וכ' שם בסוף דבריו כך- "ואע"פ שהרמב"ן טרח להעמיד סברא זו </w:t>
      </w:r>
      <w:r>
        <w:rPr>
          <w:rFonts w:ascii="Arial" w:hAnsi="Arial"/>
          <w:sz w:val="14"/>
          <w:szCs w:val="14"/>
          <w:rtl/>
        </w:rPr>
        <w:t>{שלמדין משיטה אחרונה היכא דכ' שריר וקיים}</w:t>
      </w:r>
      <w:r>
        <w:rPr>
          <w:rFonts w:ascii="Arial" w:hAnsi="Arial"/>
          <w:sz w:val="16"/>
          <w:szCs w:val="16"/>
          <w:rtl/>
        </w:rPr>
        <w:t xml:space="preserve"> כבודו במקומו מונח כי לא העלה אותה כראוי", ואין כוונת הריטב"א שדעת הרמבן שלמדין, כי הרי בפירוש סיכם הרמב"ן את דבריו במסקנה שאין למדין משיטה אחרונה אע"פ שכ' שריר וקיים, אלא שהריטב"א כ' כן על מה שניסה הרמב"ן ליישב בדוחק את דעת הסוברים שכן למדין)</w:t>
      </w:r>
      <w:r>
        <w:rPr>
          <w:rFonts w:ascii="Arial" w:hAnsi="Arial"/>
          <w:rtl/>
        </w:rPr>
        <w:t xml:space="preserve">. וכן הבין הש"ך (סק"י) בדברי התוס' </w:t>
      </w:r>
      <w:r>
        <w:rPr>
          <w:rFonts w:ascii="Arial" w:hAnsi="Arial"/>
          <w:sz w:val="16"/>
          <w:szCs w:val="16"/>
          <w:rtl/>
        </w:rPr>
        <w:t xml:space="preserve">(ד"ה לפי) </w:t>
      </w:r>
      <w:r>
        <w:rPr>
          <w:rFonts w:ascii="Arial" w:hAnsi="Arial"/>
          <w:rtl/>
        </w:rPr>
        <w:t xml:space="preserve">סמ"ג </w:t>
      </w:r>
      <w:r>
        <w:rPr>
          <w:rFonts w:ascii="Arial" w:hAnsi="Arial"/>
          <w:sz w:val="16"/>
          <w:szCs w:val="16"/>
          <w:rtl/>
        </w:rPr>
        <w:t>(עשין צ"ד דף ק"פ ע"א, שכתבו (הרמב"ם וסמ"ג) בסתמא "אין למדין משיטה אחרונה" ולא חילקו בין היכא דכתיב שריר וקיים או לא, רק כתבו (רמב"ם שם ה"ח וסמ"ג שם) דהמחקים צריך לקיימם ויכתוב שריר וקיים)</w:t>
      </w:r>
      <w:r>
        <w:rPr>
          <w:rFonts w:ascii="Arial" w:hAnsi="Arial"/>
          <w:rtl/>
        </w:rPr>
        <w:t xml:space="preserve"> מרדכי </w:t>
      </w:r>
      <w:r>
        <w:rPr>
          <w:rFonts w:ascii="Arial" w:hAnsi="Arial"/>
          <w:sz w:val="16"/>
          <w:szCs w:val="16"/>
          <w:rtl/>
        </w:rPr>
        <w:t xml:space="preserve">(סי' תרמ"א) </w:t>
      </w:r>
      <w:r>
        <w:rPr>
          <w:rFonts w:ascii="Arial" w:hAnsi="Arial"/>
          <w:rtl/>
        </w:rPr>
        <w:t xml:space="preserve">רא"ש </w:t>
      </w:r>
      <w:r>
        <w:rPr>
          <w:rFonts w:ascii="Arial" w:hAnsi="Arial"/>
          <w:sz w:val="16"/>
          <w:szCs w:val="16"/>
          <w:rtl/>
        </w:rPr>
        <w:t>(סי' ב, ומש"כ הרא"ש בתשו' (כלל ס"ח סי' י"ח), בעל כרחך צ"ל דמיירי בזמה"ז שכותבין כן בכל השטרות, אף שהלשון דחוק, או שבפסקיו חזר בו ופסקיו עיקר)</w:t>
      </w:r>
      <w:r>
        <w:rPr>
          <w:rFonts w:ascii="Arial" w:hAnsi="Arial"/>
          <w:rtl/>
        </w:rPr>
        <w:t xml:space="preserve"> וטור.</w:t>
      </w:r>
    </w:p>
  </w:footnote>
  <w:footnote w:id="3493">
    <w:p w14:paraId="23CA9AF9" w14:textId="77777777" w:rsidR="0013116F" w:rsidRDefault="0013116F" w:rsidP="001D49D4">
      <w:pPr>
        <w:pStyle w:val="a9"/>
        <w:spacing w:after="60"/>
        <w:rPr>
          <w:rFonts w:ascii="Arial" w:hAnsi="Arial"/>
          <w:rtl/>
        </w:rPr>
      </w:pPr>
      <w:r>
        <w:rPr>
          <w:rStyle w:val="ab"/>
          <w:rFonts w:ascii="Arial" w:hAnsi="Arial"/>
        </w:rPr>
        <w:footnoteRef/>
      </w:r>
      <w:r>
        <w:rPr>
          <w:rFonts w:ascii="Arial" w:hAnsi="Arial"/>
          <w:rtl/>
        </w:rPr>
        <w:t xml:space="preserve"> בין כשיש שיטה רווח בין הכתב לעדים ובין כשאין רווח</w:t>
      </w:r>
      <w:r>
        <w:rPr>
          <w:rFonts w:ascii="Arial" w:hAnsi="Arial"/>
          <w:sz w:val="14"/>
          <w:szCs w:val="14"/>
          <w:rtl/>
        </w:rPr>
        <w:t xml:space="preserve"> (סמ"ע, וצל"ע למה הש"ך הבין אחרת את דבריו)</w:t>
      </w:r>
      <w:r>
        <w:rPr>
          <w:rFonts w:ascii="Arial" w:hAnsi="Arial"/>
          <w:rtl/>
        </w:rPr>
        <w:t>, דאם הניחו העדים שורה חלק לפני חתימתן, ליכא למיחש שהוסיף לכתוב זכותו באותה שורה ויחזור ויכתוב שריר וקיים לבסוף, דבסמוך</w:t>
      </w:r>
      <w:r>
        <w:rPr>
          <w:rFonts w:ascii="Arial" w:hAnsi="Arial"/>
          <w:sz w:val="16"/>
          <w:szCs w:val="16"/>
          <w:rtl/>
        </w:rPr>
        <w:t xml:space="preserve"> (סקט"ז) </w:t>
      </w:r>
      <w:r>
        <w:rPr>
          <w:rFonts w:ascii="Arial" w:hAnsi="Arial"/>
          <w:rtl/>
        </w:rPr>
        <w:t xml:space="preserve">יתבאר דלא מכשרינן שטר שכתוב בו ב' פעמים שריר וקיים אלא כשיש עוד שורה חלק בין העדים לסוף השטר. ולשמא ימחוק שריר וקיים הראשון ויזייף ויקיימנה בשיטה האחרונה ויכתוב לבסוף שריר וקיים, ליכא למיחש, דהא יתבאר ג"כ בסמוך </w:t>
      </w:r>
      <w:r>
        <w:rPr>
          <w:rFonts w:ascii="Arial" w:hAnsi="Arial"/>
          <w:sz w:val="16"/>
          <w:szCs w:val="16"/>
          <w:rtl/>
        </w:rPr>
        <w:t xml:space="preserve">(סע' ח) </w:t>
      </w:r>
      <w:r>
        <w:rPr>
          <w:rFonts w:ascii="Arial" w:hAnsi="Arial"/>
          <w:rtl/>
        </w:rPr>
        <w:t>דהיכא דאיכא מחק במקום שריר וקיים דכל השטר פסול מה"ט גופא דכתיבנא, סמ"ע</w:t>
      </w:r>
      <w:r>
        <w:rPr>
          <w:rFonts w:ascii="Arial" w:hAnsi="Arial"/>
          <w:sz w:val="14"/>
          <w:szCs w:val="14"/>
          <w:rtl/>
        </w:rPr>
        <w:t xml:space="preserve"> (סק"ו)</w:t>
      </w:r>
      <w:r>
        <w:rPr>
          <w:rFonts w:ascii="Arial" w:hAnsi="Arial"/>
          <w:rtl/>
        </w:rPr>
        <w:t xml:space="preserve">. וכשאין שיטה חלק בין הכתב לעדים, אם לא הוחזר מענינו של שטר- למדין </w:t>
      </w:r>
      <w:r>
        <w:rPr>
          <w:rFonts w:ascii="Arial" w:hAnsi="Arial"/>
          <w:sz w:val="16"/>
          <w:szCs w:val="16"/>
          <w:rtl/>
        </w:rPr>
        <w:t>(דאמרינן כיון דתיקנו חכמים לחזור מענינו של שטר, נהי דאינו אלא עצה טובה, מ"מ לכתחילה הוה ליה להחזיר, אלא ודאי העדים כתבו שריר וקיים לכך לא החזירו)</w:t>
      </w:r>
      <w:r>
        <w:rPr>
          <w:rFonts w:ascii="Arial" w:hAnsi="Arial"/>
          <w:rtl/>
        </w:rPr>
        <w:t xml:space="preserve">, אבל כשהוחזר מענינו של שטר ואח"כ כתיב שריר וקיים, חיישינן שמא כתב הוא באותה שיטה מה דבעי וכתב אחר כך שריר וקיים </w:t>
      </w:r>
      <w:r>
        <w:rPr>
          <w:rFonts w:ascii="Arial" w:hAnsi="Arial"/>
          <w:sz w:val="16"/>
          <w:szCs w:val="16"/>
          <w:rtl/>
        </w:rPr>
        <w:t>(משום דאמרינן שהעדים עשו כהוגן וחזרו מעניינו של שטר, וכיון שהחזירו שוב לא היו צריכין לכתוב שריר וקיים, אלא שלא היה אפשר להו לצמצם והניחו שיטה חלק והוא בא וכ' מה דבעי)</w:t>
      </w:r>
      <w:r>
        <w:rPr>
          <w:rFonts w:ascii="Arial" w:hAnsi="Arial"/>
          <w:rtl/>
        </w:rPr>
        <w:t xml:space="preserve">, וברייתא מיירי כשהוחזר מענינו של שטר, ש"ך </w:t>
      </w:r>
      <w:r>
        <w:rPr>
          <w:rFonts w:ascii="Arial" w:hAnsi="Arial"/>
          <w:sz w:val="16"/>
          <w:szCs w:val="16"/>
          <w:rtl/>
        </w:rPr>
        <w:t>(סקי"ב, וכל זה לד' השו"ע אך ד' הש"ך אינו כן)</w:t>
      </w:r>
      <w:r>
        <w:rPr>
          <w:rFonts w:ascii="Arial" w:hAnsi="Arial"/>
          <w:rtl/>
        </w:rPr>
        <w:t xml:space="preserve">. </w:t>
      </w:r>
    </w:p>
  </w:footnote>
  <w:footnote w:id="3494">
    <w:p w14:paraId="2EA80C90" w14:textId="77777777" w:rsidR="0013116F" w:rsidRDefault="0013116F" w:rsidP="001D49D4">
      <w:pPr>
        <w:pStyle w:val="a9"/>
        <w:spacing w:after="60"/>
        <w:rPr>
          <w:rFonts w:ascii="Arial" w:hAnsi="Arial"/>
        </w:rPr>
      </w:pPr>
      <w:r>
        <w:rPr>
          <w:rStyle w:val="ab"/>
          <w:rFonts w:ascii="Arial" w:hAnsi="Arial"/>
        </w:rPr>
        <w:footnoteRef/>
      </w:r>
      <w:r>
        <w:rPr>
          <w:rFonts w:ascii="Arial" w:hAnsi="Arial"/>
          <w:rtl/>
        </w:rPr>
        <w:t xml:space="preserve"> התוס' כ' שר"ח לא גרס תיבת "ודין", והריטב"א כ' שגם הרשב"ם לא גרס תיבה זו.</w:t>
      </w:r>
    </w:p>
  </w:footnote>
  <w:footnote w:id="3495">
    <w:p w14:paraId="7FF6BC70" w14:textId="77777777" w:rsidR="0013116F" w:rsidRDefault="0013116F" w:rsidP="001D49D4">
      <w:pPr>
        <w:pStyle w:val="a9"/>
        <w:spacing w:after="60"/>
        <w:rPr>
          <w:rFonts w:ascii="Arial" w:hAnsi="Arial"/>
        </w:rPr>
      </w:pPr>
      <w:r>
        <w:rPr>
          <w:rStyle w:val="ab"/>
          <w:rFonts w:ascii="Arial" w:hAnsi="Arial"/>
        </w:rPr>
        <w:footnoteRef/>
      </w:r>
      <w:r>
        <w:rPr>
          <w:rFonts w:ascii="Arial" w:hAnsi="Arial"/>
          <w:rtl/>
        </w:rPr>
        <w:t xml:space="preserve"> גורר- ביבש, ומוחק- בלח, רש"י (מנחות ל: ד"ה מוחק) רשב"א (מנחות ל:) ורשב"ץ (ח"ג סי' שא מו.).</w:t>
      </w:r>
    </w:p>
  </w:footnote>
  <w:footnote w:id="3496">
    <w:p w14:paraId="37A80382" w14:textId="77777777" w:rsidR="0013116F" w:rsidRDefault="0013116F" w:rsidP="001D49D4">
      <w:pPr>
        <w:pStyle w:val="a9"/>
        <w:spacing w:after="60"/>
        <w:rPr>
          <w:rFonts w:ascii="Arial" w:hAnsi="Arial"/>
        </w:rPr>
      </w:pPr>
      <w:r>
        <w:rPr>
          <w:rStyle w:val="ab"/>
          <w:rFonts w:ascii="Arial" w:hAnsi="Arial"/>
        </w:rPr>
        <w:footnoteRef/>
      </w:r>
      <w:r>
        <w:rPr>
          <w:rFonts w:ascii="Arial" w:hAnsi="Arial"/>
          <w:rtl/>
        </w:rPr>
        <w:t xml:space="preserve"> (רמב"ם </w:t>
      </w:r>
      <w:r>
        <w:rPr>
          <w:rFonts w:ascii="Arial" w:hAnsi="Arial"/>
          <w:sz w:val="16"/>
          <w:szCs w:val="16"/>
          <w:rtl/>
        </w:rPr>
        <w:t>להב' הרשב"א</w:t>
      </w:r>
      <w:r>
        <w:rPr>
          <w:rFonts w:ascii="Arial" w:hAnsi="Arial"/>
          <w:sz w:val="14"/>
          <w:szCs w:val="14"/>
          <w:rtl/>
        </w:rPr>
        <w:t xml:space="preserve"> [שם]</w:t>
      </w:r>
      <w:r>
        <w:rPr>
          <w:rFonts w:ascii="Arial" w:hAnsi="Arial"/>
          <w:sz w:val="16"/>
          <w:szCs w:val="16"/>
          <w:rtl/>
        </w:rPr>
        <w:t xml:space="preserve"> והה"מ </w:t>
      </w:r>
      <w:r>
        <w:rPr>
          <w:rFonts w:ascii="Arial" w:hAnsi="Arial"/>
          <w:sz w:val="14"/>
          <w:szCs w:val="14"/>
          <w:rtl/>
        </w:rPr>
        <w:t>[שם]</w:t>
      </w:r>
      <w:r>
        <w:rPr>
          <w:rFonts w:ascii="Arial" w:hAnsi="Arial"/>
          <w:rtl/>
        </w:rPr>
        <w:t xml:space="preserve">) רשב"א </w:t>
      </w:r>
      <w:r>
        <w:rPr>
          <w:rFonts w:ascii="Arial" w:hAnsi="Arial"/>
          <w:sz w:val="16"/>
          <w:szCs w:val="16"/>
          <w:rtl/>
        </w:rPr>
        <w:t xml:space="preserve">(קסא: ד"ה אמר) </w:t>
      </w:r>
      <w:r>
        <w:rPr>
          <w:rFonts w:ascii="Arial" w:hAnsi="Arial"/>
          <w:rtl/>
        </w:rPr>
        <w:t xml:space="preserve">והה"מ </w:t>
      </w:r>
      <w:r>
        <w:rPr>
          <w:rFonts w:ascii="Arial" w:hAnsi="Arial"/>
          <w:sz w:val="16"/>
          <w:szCs w:val="16"/>
          <w:rtl/>
        </w:rPr>
        <w:t>(פכ"ז אות ח)</w:t>
      </w:r>
      <w:r>
        <w:rPr>
          <w:rFonts w:ascii="Arial" w:hAnsi="Arial"/>
          <w:rtl/>
        </w:rPr>
        <w:t>.</w:t>
      </w:r>
    </w:p>
  </w:footnote>
  <w:footnote w:id="3497">
    <w:p w14:paraId="439B5E94" w14:textId="77777777" w:rsidR="0013116F" w:rsidRDefault="0013116F" w:rsidP="001D49D4">
      <w:pPr>
        <w:pStyle w:val="a9"/>
        <w:spacing w:after="60"/>
        <w:rPr>
          <w:rFonts w:ascii="Arial" w:hAnsi="Arial"/>
          <w:rtl/>
        </w:rPr>
      </w:pPr>
      <w:r>
        <w:rPr>
          <w:rStyle w:val="ab"/>
          <w:rFonts w:ascii="Arial" w:hAnsi="Arial"/>
        </w:rPr>
        <w:footnoteRef/>
      </w:r>
      <w:r>
        <w:rPr>
          <w:rFonts w:ascii="Arial" w:hAnsi="Arial"/>
          <w:rtl/>
        </w:rPr>
        <w:t xml:space="preserve"> והא דלא קאמר הכא</w:t>
      </w:r>
      <w:r>
        <w:rPr>
          <w:rFonts w:ascii="Arial" w:hAnsi="Arial"/>
          <w:sz w:val="16"/>
          <w:szCs w:val="16"/>
          <w:rtl/>
        </w:rPr>
        <w:t xml:space="preserve"> {בגמ'}</w:t>
      </w:r>
      <w:r>
        <w:rPr>
          <w:rFonts w:ascii="Arial" w:hAnsi="Arial"/>
          <w:rtl/>
        </w:rPr>
        <w:t xml:space="preserve"> כל התלויות חדא מינייהו נקט והוא הדין לאינך, רשב"א.</w:t>
      </w:r>
    </w:p>
  </w:footnote>
  <w:footnote w:id="3498">
    <w:p w14:paraId="3A883120" w14:textId="77777777" w:rsidR="0013116F" w:rsidRDefault="0013116F" w:rsidP="001D49D4">
      <w:pPr>
        <w:pStyle w:val="a9"/>
        <w:spacing w:after="60"/>
        <w:rPr>
          <w:rFonts w:ascii="Arial" w:hAnsi="Arial"/>
        </w:rPr>
      </w:pPr>
      <w:r>
        <w:rPr>
          <w:rStyle w:val="ab"/>
          <w:rFonts w:ascii="Arial" w:hAnsi="Arial"/>
        </w:rPr>
        <w:footnoteRef/>
      </w:r>
      <w:r>
        <w:rPr>
          <w:rFonts w:ascii="Arial" w:hAnsi="Arial"/>
          <w:rtl/>
        </w:rPr>
        <w:t xml:space="preserve"> </w:t>
      </w:r>
      <w:r>
        <w:rPr>
          <w:rFonts w:ascii="Arial" w:hAnsi="Arial" w:hint="cs"/>
          <w:rtl/>
        </w:rPr>
        <w:t xml:space="preserve">שם הלוה והמלוה והזמן והמעות, רשב"א. </w:t>
      </w:r>
    </w:p>
  </w:footnote>
  <w:footnote w:id="3499">
    <w:p w14:paraId="15D17EE8" w14:textId="77777777" w:rsidR="0013116F" w:rsidRDefault="0013116F" w:rsidP="001D49D4">
      <w:pPr>
        <w:pStyle w:val="a9"/>
        <w:spacing w:after="60"/>
        <w:rPr>
          <w:rFonts w:ascii="Arial" w:hAnsi="Arial"/>
        </w:rPr>
      </w:pPr>
      <w:r>
        <w:rPr>
          <w:rStyle w:val="ab"/>
          <w:rFonts w:ascii="Arial" w:hAnsi="Arial"/>
        </w:rPr>
        <w:footnoteRef/>
      </w:r>
      <w:r>
        <w:rPr>
          <w:rFonts w:ascii="Arial" w:hAnsi="Arial"/>
          <w:rtl/>
        </w:rPr>
        <w:t xml:space="preserve"> בסי' שפ"ב כ' על זה- "והדבר נכון ומוכרע מעצמו". וצ"ע על דברי הדרכ"מ [אות ב**] שכ' "וכן נראה מדברי הריב"ש" שהרי מפורש בדבריו שפוסל במחק ולמה כ' שרק נראה מדבריו כך? ותירץ בהגוה"ע</w:t>
      </w:r>
      <w:r>
        <w:rPr>
          <w:rFonts w:ascii="Arial" w:hAnsi="Arial"/>
          <w:sz w:val="16"/>
          <w:szCs w:val="16"/>
          <w:rtl/>
        </w:rPr>
        <w:t xml:space="preserve"> (אות מא)</w:t>
      </w:r>
      <w:r>
        <w:rPr>
          <w:rFonts w:ascii="Arial" w:hAnsi="Arial"/>
          <w:rtl/>
        </w:rPr>
        <w:t xml:space="preserve"> דהדרכ"מ כ' כן אגב מש"כ בשם הרמ"ה והטור שגם במחק בין השיטין נפסל השטר, וזה לא כ' הריב"ש בפירוש לכן כ' עליו הדרכ"מ שכן נראה מדבריו.</w:t>
      </w:r>
    </w:p>
  </w:footnote>
  <w:footnote w:id="3500">
    <w:p w14:paraId="20FE3B70" w14:textId="77777777" w:rsidR="0013116F" w:rsidRDefault="0013116F" w:rsidP="001D49D4">
      <w:pPr>
        <w:pStyle w:val="a9"/>
        <w:spacing w:after="60"/>
        <w:rPr>
          <w:rFonts w:ascii="Arial" w:hAnsi="Arial"/>
          <w:rtl/>
        </w:rPr>
      </w:pPr>
      <w:r>
        <w:rPr>
          <w:rStyle w:val="ab"/>
          <w:rFonts w:ascii="Arial" w:hAnsi="Arial"/>
        </w:rPr>
        <w:footnoteRef/>
      </w:r>
      <w:r>
        <w:rPr>
          <w:rFonts w:ascii="Arial" w:hAnsi="Arial"/>
          <w:rtl/>
        </w:rPr>
        <w:t xml:space="preserve"> תוס' רמב"ן רא"ה</w:t>
      </w:r>
      <w:r>
        <w:rPr>
          <w:rFonts w:ascii="Arial" w:hAnsi="Arial"/>
          <w:sz w:val="16"/>
          <w:szCs w:val="16"/>
          <w:rtl/>
        </w:rPr>
        <w:t xml:space="preserve"> (כ"כ הריטב"א בשמם </w:t>
      </w:r>
      <w:r>
        <w:rPr>
          <w:rFonts w:ascii="Arial" w:hAnsi="Arial"/>
          <w:sz w:val="14"/>
          <w:szCs w:val="14"/>
          <w:rtl/>
        </w:rPr>
        <w:t>[ואפשר שלזה התכון הרשב"א שכ' סברא זו בשם מקצת רבותיו]</w:t>
      </w:r>
      <w:r>
        <w:rPr>
          <w:rFonts w:ascii="Arial" w:hAnsi="Arial"/>
          <w:sz w:val="16"/>
          <w:szCs w:val="16"/>
          <w:rtl/>
        </w:rPr>
        <w:t>)</w:t>
      </w:r>
      <w:r>
        <w:rPr>
          <w:rFonts w:ascii="Arial" w:hAnsi="Arial"/>
          <w:rtl/>
        </w:rPr>
        <w:t xml:space="preserve"> ריטב"א טור ריב"ש ונמוק"י </w:t>
      </w:r>
      <w:r>
        <w:rPr>
          <w:rFonts w:ascii="Arial" w:hAnsi="Arial"/>
          <w:sz w:val="16"/>
          <w:szCs w:val="16"/>
          <w:rtl/>
        </w:rPr>
        <w:t>(עה:)</w:t>
      </w:r>
      <w:r>
        <w:rPr>
          <w:rFonts w:ascii="Arial" w:hAnsi="Arial"/>
          <w:rtl/>
        </w:rPr>
        <w:t>.</w:t>
      </w:r>
    </w:p>
  </w:footnote>
  <w:footnote w:id="3501">
    <w:p w14:paraId="543AF128" w14:textId="77777777" w:rsidR="0013116F" w:rsidRDefault="0013116F" w:rsidP="001D49D4">
      <w:pPr>
        <w:pStyle w:val="a9"/>
        <w:spacing w:after="60"/>
        <w:rPr>
          <w:rFonts w:ascii="Arial" w:hAnsi="Arial"/>
          <w:rtl/>
        </w:rPr>
      </w:pPr>
      <w:r>
        <w:rPr>
          <w:rStyle w:val="ab"/>
          <w:rFonts w:ascii="Arial" w:hAnsi="Arial"/>
        </w:rPr>
        <w:footnoteRef/>
      </w:r>
      <w:r>
        <w:rPr>
          <w:rFonts w:ascii="Arial" w:hAnsi="Arial"/>
          <w:rtl/>
        </w:rPr>
        <w:t xml:space="preserve"> אא"כ יהא מוכח ממה שלפניו ולאחריו מה שהוא המחק כההיא דכסף זוזי דאינון ונמחק אז לא נפסל כל השטר, טור.</w:t>
      </w:r>
    </w:p>
  </w:footnote>
  <w:footnote w:id="3502">
    <w:p w14:paraId="74427195" w14:textId="77777777" w:rsidR="0013116F" w:rsidRDefault="0013116F" w:rsidP="001D49D4">
      <w:pPr>
        <w:pStyle w:val="a9"/>
        <w:spacing w:after="60"/>
        <w:rPr>
          <w:rFonts w:ascii="Arial" w:hAnsi="Arial"/>
        </w:rPr>
      </w:pPr>
      <w:r>
        <w:rPr>
          <w:rStyle w:val="ab"/>
          <w:rFonts w:ascii="Arial" w:hAnsi="Arial"/>
        </w:rPr>
        <w:footnoteRef/>
      </w:r>
      <w:r>
        <w:rPr>
          <w:rFonts w:ascii="Arial" w:hAnsi="Arial"/>
          <w:rtl/>
        </w:rPr>
        <w:t xml:space="preserve"> וכאן</w:t>
      </w:r>
      <w:r>
        <w:rPr>
          <w:rFonts w:ascii="Arial" w:hAnsi="Arial"/>
          <w:sz w:val="16"/>
          <w:szCs w:val="16"/>
          <w:rtl/>
        </w:rPr>
        <w:t xml:space="preserve"> {בגמ'}</w:t>
      </w:r>
      <w:r>
        <w:rPr>
          <w:rFonts w:ascii="Arial" w:hAnsi="Arial"/>
          <w:rtl/>
        </w:rPr>
        <w:t xml:space="preserve"> ה"ק- צריך שיכתוב קיומיהן דאי לא כל השטר פסול, רשב"א בשם מקצת רבותיו.</w:t>
      </w:r>
    </w:p>
  </w:footnote>
  <w:footnote w:id="3503">
    <w:p w14:paraId="340C4A1B" w14:textId="77777777" w:rsidR="0013116F" w:rsidRDefault="0013116F" w:rsidP="001D49D4">
      <w:pPr>
        <w:pStyle w:val="a9"/>
        <w:spacing w:after="60"/>
        <w:rPr>
          <w:rFonts w:ascii="Arial" w:hAnsi="Arial"/>
        </w:rPr>
      </w:pPr>
      <w:r>
        <w:rPr>
          <w:rStyle w:val="ab"/>
          <w:rFonts w:ascii="Arial" w:hAnsi="Arial"/>
        </w:rPr>
        <w:footnoteRef/>
      </w:r>
      <w:r>
        <w:rPr>
          <w:rFonts w:ascii="Arial" w:hAnsi="Arial"/>
          <w:rtl/>
        </w:rPr>
        <w:t xml:space="preserve"> ר"ח רי"ף </w:t>
      </w:r>
      <w:r>
        <w:rPr>
          <w:rFonts w:ascii="Arial" w:hAnsi="Arial"/>
          <w:sz w:val="16"/>
          <w:szCs w:val="16"/>
          <w:rtl/>
        </w:rPr>
        <w:t xml:space="preserve">(עב:) </w:t>
      </w:r>
      <w:r>
        <w:rPr>
          <w:rFonts w:ascii="Arial" w:hAnsi="Arial"/>
          <w:rtl/>
        </w:rPr>
        <w:t>רשב"ם</w:t>
      </w:r>
      <w:r>
        <w:rPr>
          <w:rFonts w:ascii="Arial" w:hAnsi="Arial"/>
          <w:sz w:val="16"/>
          <w:szCs w:val="16"/>
          <w:rtl/>
        </w:rPr>
        <w:t xml:space="preserve"> (כן נ"ל מזה שאינו גורס תיבת "ודין" בגמ', עיין מש"כ הריטב"א בשמו)</w:t>
      </w:r>
      <w:r>
        <w:rPr>
          <w:rFonts w:ascii="Arial" w:hAnsi="Arial"/>
          <w:rtl/>
        </w:rPr>
        <w:t xml:space="preserve"> תוס' </w:t>
      </w:r>
      <w:r>
        <w:rPr>
          <w:rFonts w:ascii="Arial" w:hAnsi="Arial"/>
          <w:sz w:val="16"/>
          <w:szCs w:val="16"/>
          <w:rtl/>
        </w:rPr>
        <w:t>(ד"ה אמר ר' יוחנן)</w:t>
      </w:r>
      <w:r>
        <w:rPr>
          <w:rFonts w:ascii="Arial" w:hAnsi="Arial"/>
          <w:rtl/>
        </w:rPr>
        <w:t xml:space="preserve"> ורא"ש </w:t>
      </w:r>
      <w:r>
        <w:rPr>
          <w:rFonts w:ascii="Arial" w:hAnsi="Arial"/>
          <w:sz w:val="16"/>
          <w:szCs w:val="16"/>
          <w:rtl/>
        </w:rPr>
        <w:t>(סי' ב)</w:t>
      </w:r>
      <w:r>
        <w:rPr>
          <w:rFonts w:ascii="Arial" w:hAnsi="Arial"/>
          <w:rtl/>
        </w:rPr>
        <w:t>.</w:t>
      </w:r>
    </w:p>
  </w:footnote>
  <w:footnote w:id="3504">
    <w:p w14:paraId="5683B3B7" w14:textId="77777777" w:rsidR="0013116F" w:rsidRDefault="0013116F" w:rsidP="001D49D4">
      <w:pPr>
        <w:pStyle w:val="a9"/>
        <w:spacing w:after="60"/>
        <w:rPr>
          <w:rFonts w:ascii="Arial" w:hAnsi="Arial"/>
          <w:rtl/>
        </w:rPr>
      </w:pPr>
      <w:r>
        <w:rPr>
          <w:rStyle w:val="ab"/>
          <w:rFonts w:ascii="Arial" w:hAnsi="Arial"/>
        </w:rPr>
        <w:footnoteRef/>
      </w:r>
      <w:r>
        <w:rPr>
          <w:rFonts w:ascii="Arial" w:hAnsi="Arial"/>
          <w:rtl/>
        </w:rPr>
        <w:t xml:space="preserve"> דהיינו שכותב למשל: "בראשית" הוא תלוי. ולא כותב אח"כ "וזו קיומה". וכ' התוס' שאפילו לספרים שלנו דגרסי "ודין" לא קשיא מידי אם אין כותבין "ודין" דלא הוי אלא שופרא דשטרא ועוד שאנו כותבין שריר וקיים.</w:t>
      </w:r>
    </w:p>
  </w:footnote>
  <w:footnote w:id="3505">
    <w:p w14:paraId="15925F61" w14:textId="77777777" w:rsidR="0013116F" w:rsidRDefault="0013116F" w:rsidP="001D49D4">
      <w:pPr>
        <w:pStyle w:val="a9"/>
        <w:spacing w:after="60"/>
        <w:rPr>
          <w:rFonts w:ascii="Arial" w:hAnsi="Arial"/>
        </w:rPr>
      </w:pPr>
      <w:r>
        <w:rPr>
          <w:rStyle w:val="ab"/>
          <w:rFonts w:ascii="Arial" w:hAnsi="Arial"/>
        </w:rPr>
        <w:footnoteRef/>
      </w:r>
      <w:r>
        <w:rPr>
          <w:rFonts w:ascii="Arial" w:hAnsi="Arial"/>
          <w:rtl/>
        </w:rPr>
        <w:t xml:space="preserve"> וכ' הסמ"ע (סק"ח) שגם הטור לא כתבו אלא למנהג בעלמא.</w:t>
      </w:r>
    </w:p>
  </w:footnote>
  <w:footnote w:id="3506">
    <w:p w14:paraId="2B61D54C" w14:textId="77777777" w:rsidR="0013116F" w:rsidRDefault="0013116F" w:rsidP="001D49D4">
      <w:pPr>
        <w:pStyle w:val="a9"/>
        <w:spacing w:after="60"/>
        <w:rPr>
          <w:rFonts w:ascii="Arial" w:hAnsi="Arial"/>
          <w:rtl/>
        </w:rPr>
      </w:pPr>
      <w:r>
        <w:rPr>
          <w:rStyle w:val="ab"/>
          <w:rFonts w:ascii="Arial" w:hAnsi="Arial"/>
        </w:rPr>
        <w:footnoteRef/>
      </w:r>
      <w:r>
        <w:rPr>
          <w:rFonts w:ascii="Arial" w:hAnsi="Arial"/>
          <w:rtl/>
        </w:rPr>
        <w:t xml:space="preserve"> והתיבה נקראת גם עתה, דאל"כ היינו מחקים, ב"י (על דברי הריב"ש </w:t>
      </w:r>
      <w:r>
        <w:rPr>
          <w:rFonts w:ascii="Arial" w:hAnsi="Arial"/>
          <w:sz w:val="16"/>
          <w:szCs w:val="16"/>
          <w:rtl/>
        </w:rPr>
        <w:t xml:space="preserve">[סי' שפב] </w:t>
      </w:r>
      <w:r>
        <w:rPr>
          <w:rFonts w:ascii="Arial" w:hAnsi="Arial"/>
          <w:rtl/>
        </w:rPr>
        <w:t>שממנו דין זה של העברת הקולמוס).</w:t>
      </w:r>
    </w:p>
  </w:footnote>
  <w:footnote w:id="3507">
    <w:p w14:paraId="63407BE8" w14:textId="77777777" w:rsidR="0013116F" w:rsidRDefault="0013116F" w:rsidP="001D49D4">
      <w:pPr>
        <w:pStyle w:val="a9"/>
        <w:spacing w:after="60"/>
        <w:rPr>
          <w:rFonts w:ascii="Arial" w:hAnsi="Arial"/>
          <w:rtl/>
        </w:rPr>
      </w:pPr>
      <w:r>
        <w:rPr>
          <w:rStyle w:val="ab"/>
          <w:rFonts w:ascii="Arial" w:hAnsi="Arial"/>
        </w:rPr>
        <w:footnoteRef/>
      </w:r>
      <w:r>
        <w:rPr>
          <w:rFonts w:ascii="Arial" w:hAnsi="Arial"/>
          <w:rtl/>
        </w:rPr>
        <w:t xml:space="preserve"> היינו כשמקיימם בשיטה אחרונה, וכדלקמן סעיף ח' ט', ש"ך (סקי"ג).</w:t>
      </w:r>
    </w:p>
  </w:footnote>
  <w:footnote w:id="3508">
    <w:p w14:paraId="3BDE4F12" w14:textId="77777777" w:rsidR="0013116F" w:rsidRDefault="0013116F" w:rsidP="001D49D4">
      <w:pPr>
        <w:pStyle w:val="a9"/>
        <w:spacing w:after="60"/>
        <w:rPr>
          <w:rFonts w:ascii="Arial" w:hAnsi="Arial"/>
        </w:rPr>
      </w:pPr>
      <w:r>
        <w:rPr>
          <w:rStyle w:val="ab"/>
          <w:rFonts w:ascii="Arial" w:hAnsi="Arial"/>
        </w:rPr>
        <w:footnoteRef/>
      </w:r>
      <w:r>
        <w:rPr>
          <w:rFonts w:ascii="Arial" w:hAnsi="Arial"/>
          <w:rtl/>
        </w:rPr>
        <w:t xml:space="preserve"> שמא הוסיפו בזיוף אחר שכבר חתמו העדים והשטר היה בידו, סמ"ע (סק"ט). ומש"כ "תיבות שעבר עליהם הקולמוס... שאין למדין מהן"- הכוונה שאם אינן מקויימות, מבחינתנו אין שם את הפס של הקולמוס אלא קוראין ומוציאים ע"פ התיבה הזו שעבר עליה הקולמוס, שאל"כ כל בעל שטר יכול להעביר קולמוס על כל תיבה שירצה, ע"פ ריב"ש. ומש"כ "מחקים... שאין למדין מהן"- הכוונה שאין למדין מהתיבות שמעל המחקים.</w:t>
      </w:r>
    </w:p>
  </w:footnote>
  <w:footnote w:id="3509">
    <w:p w14:paraId="5A8C2C92" w14:textId="77777777" w:rsidR="0013116F" w:rsidRDefault="0013116F" w:rsidP="001D49D4">
      <w:pPr>
        <w:pStyle w:val="a9"/>
        <w:spacing w:after="60"/>
        <w:rPr>
          <w:rFonts w:ascii="Arial" w:hAnsi="Arial"/>
        </w:rPr>
      </w:pPr>
      <w:r>
        <w:rPr>
          <w:rStyle w:val="ab"/>
          <w:rFonts w:ascii="Arial" w:hAnsi="Arial"/>
        </w:rPr>
        <w:footnoteRef/>
      </w:r>
      <w:r>
        <w:rPr>
          <w:rFonts w:ascii="Arial" w:hAnsi="Arial"/>
          <w:rtl/>
        </w:rPr>
        <w:t xml:space="preserve"> דאינו גובה בו ממשעבדי, אבל מבני חרי גובה </w:t>
      </w:r>
      <w:r>
        <w:rPr>
          <w:rFonts w:ascii="Arial" w:hAnsi="Arial"/>
          <w:sz w:val="14"/>
          <w:szCs w:val="14"/>
          <w:rtl/>
        </w:rPr>
        <w:t>(סי' מג סע' א)</w:t>
      </w:r>
      <w:r>
        <w:rPr>
          <w:rFonts w:ascii="Arial" w:hAnsi="Arial"/>
          <w:rtl/>
        </w:rPr>
        <w:t xml:space="preserve">. ובתשו' שבות יעקב </w:t>
      </w:r>
      <w:r>
        <w:rPr>
          <w:rFonts w:ascii="Arial" w:hAnsi="Arial"/>
          <w:sz w:val="14"/>
          <w:szCs w:val="14"/>
          <w:rtl/>
        </w:rPr>
        <w:t xml:space="preserve">(ח"ג סי' קמ"ו) </w:t>
      </w:r>
      <w:r>
        <w:rPr>
          <w:rFonts w:ascii="Arial" w:hAnsi="Arial"/>
          <w:rtl/>
        </w:rPr>
        <w:t xml:space="preserve">כ' דצע"ג על השו"ע, דהרי ברשב"א </w:t>
      </w:r>
      <w:r>
        <w:rPr>
          <w:rFonts w:ascii="Arial" w:hAnsi="Arial"/>
          <w:sz w:val="14"/>
          <w:szCs w:val="14"/>
          <w:rtl/>
        </w:rPr>
        <w:t xml:space="preserve">(ח"א סי' אלף ול"ה) </w:t>
      </w:r>
      <w:r>
        <w:rPr>
          <w:rFonts w:ascii="Arial" w:hAnsi="Arial"/>
          <w:rtl/>
        </w:rPr>
        <w:t xml:space="preserve">מקור דין זה, משמע דפסול לגמרי בכה"ג, ואע"ג דסתם שטר שאין בו זמן כשר, מ"מ כשנמחק ה"ל כמזויף מתוכו ופסול, ולמה פסק בשו"ע דכשר רק שאינו גובה ממשעבדי? ויש לתרץ דבריו כך: הב"י אזיל לשיטתו דפסק </w:t>
      </w:r>
      <w:r>
        <w:rPr>
          <w:rFonts w:ascii="Arial" w:hAnsi="Arial"/>
          <w:sz w:val="14"/>
          <w:szCs w:val="14"/>
          <w:rtl/>
        </w:rPr>
        <w:t xml:space="preserve">(סי' מ"ג סע' ז') </w:t>
      </w:r>
      <w:r>
        <w:rPr>
          <w:rFonts w:ascii="Arial" w:hAnsi="Arial"/>
          <w:rtl/>
        </w:rPr>
        <w:t xml:space="preserve">דבשטר מוקדם גובה מבני חורין, וא"כ אם נמחק הזמן שיש ריעותא לפנינו, יש רק חשש שהיה מוקדם, לכך פסק דהוי כשטר שאין בו זמן וגבי מבני חורין, אבל לפי מה דקיי"ל כרמ"א שם בהגה דמוקדם פסול לגמרי, א"כ גם בנמחק יש לפסלו. ועוד י"ל, והוא עיקר, דהב"י אזיל לשיטתו, שבסי' ס"ה </w:t>
      </w:r>
      <w:r>
        <w:rPr>
          <w:rFonts w:ascii="Arial" w:hAnsi="Arial"/>
          <w:sz w:val="14"/>
          <w:szCs w:val="14"/>
          <w:rtl/>
        </w:rPr>
        <w:t>(סע' י"ח ד"ה וכתב)</w:t>
      </w:r>
      <w:r>
        <w:rPr>
          <w:rFonts w:ascii="Arial" w:hAnsi="Arial"/>
          <w:rtl/>
        </w:rPr>
        <w:t xml:space="preserve"> כ' בשם הה"מ </w:t>
      </w:r>
      <w:r>
        <w:rPr>
          <w:rFonts w:ascii="Arial" w:hAnsi="Arial"/>
          <w:sz w:val="14"/>
          <w:szCs w:val="14"/>
          <w:rtl/>
        </w:rPr>
        <w:t>(סוף פי"ד מהל' מלוה הי"ד)</w:t>
      </w:r>
      <w:r>
        <w:rPr>
          <w:rFonts w:ascii="Arial" w:hAnsi="Arial"/>
          <w:rtl/>
        </w:rPr>
        <w:t xml:space="preserve">, דתורף היינו- שם המלוה והלוה והמעות, אבל הזמן הוא טופס. אבל הסמ"ע שם </w:t>
      </w:r>
      <w:r>
        <w:rPr>
          <w:rFonts w:ascii="Arial" w:hAnsi="Arial"/>
          <w:sz w:val="14"/>
          <w:szCs w:val="14"/>
          <w:rtl/>
        </w:rPr>
        <w:t xml:space="preserve">(סקנ"א) </w:t>
      </w:r>
      <w:r>
        <w:rPr>
          <w:rFonts w:ascii="Arial" w:hAnsi="Arial"/>
          <w:rtl/>
        </w:rPr>
        <w:t xml:space="preserve">חולק, וכתב דעיקר הוא דהזמן הוי תורף, וכן פירש"י </w:t>
      </w:r>
      <w:r>
        <w:rPr>
          <w:rFonts w:ascii="Arial" w:hAnsi="Arial"/>
          <w:sz w:val="14"/>
          <w:szCs w:val="14"/>
          <w:rtl/>
        </w:rPr>
        <w:t xml:space="preserve">(ב"מ ז: ד"ה ושניהם) </w:t>
      </w:r>
      <w:r>
        <w:rPr>
          <w:rFonts w:ascii="Arial" w:hAnsi="Arial"/>
          <w:rtl/>
        </w:rPr>
        <w:t xml:space="preserve">וכ"ה בערוך ערך טפס הראשון, וכן משמעות הש"ס </w:t>
      </w:r>
      <w:r>
        <w:rPr>
          <w:rFonts w:ascii="Arial" w:hAnsi="Arial"/>
          <w:sz w:val="14"/>
          <w:szCs w:val="14"/>
          <w:rtl/>
        </w:rPr>
        <w:t xml:space="preserve">(גיטין כו.) </w:t>
      </w:r>
      <w:r>
        <w:rPr>
          <w:rFonts w:ascii="Arial" w:hAnsi="Arial"/>
          <w:rtl/>
        </w:rPr>
        <w:t>להדיא. א"כ כל השטר נפסל, והוי רק כתביעה בע"פ ושכנגדו נשבע ונפטר, פת"ש</w:t>
      </w:r>
      <w:r>
        <w:rPr>
          <w:rFonts w:ascii="Arial" w:hAnsi="Arial"/>
          <w:sz w:val="14"/>
          <w:szCs w:val="14"/>
          <w:rtl/>
        </w:rPr>
        <w:t xml:space="preserve"> (סק"א)</w:t>
      </w:r>
      <w:r>
        <w:rPr>
          <w:rFonts w:ascii="Arial" w:hAnsi="Arial"/>
          <w:rtl/>
        </w:rPr>
        <w:t>.</w:t>
      </w:r>
    </w:p>
  </w:footnote>
  <w:footnote w:id="3510">
    <w:p w14:paraId="4E96BE5F" w14:textId="77777777" w:rsidR="0013116F" w:rsidRDefault="0013116F" w:rsidP="001D49D4">
      <w:pPr>
        <w:pStyle w:val="a9"/>
        <w:spacing w:after="60"/>
        <w:rPr>
          <w:rFonts w:ascii="Arial" w:hAnsi="Arial"/>
          <w:rtl/>
        </w:rPr>
      </w:pPr>
      <w:r>
        <w:rPr>
          <w:rStyle w:val="ab"/>
          <w:rFonts w:ascii="Arial" w:hAnsi="Arial"/>
        </w:rPr>
        <w:footnoteRef/>
      </w:r>
      <w:r>
        <w:rPr>
          <w:rFonts w:ascii="Arial" w:hAnsi="Arial"/>
          <w:rtl/>
        </w:rPr>
        <w:t xml:space="preserve"> רמ"ה </w:t>
      </w:r>
      <w:r>
        <w:rPr>
          <w:rFonts w:ascii="Arial" w:hAnsi="Arial"/>
          <w:sz w:val="16"/>
          <w:szCs w:val="16"/>
          <w:rtl/>
        </w:rPr>
        <w:t xml:space="preserve">(כתובות נו.) </w:t>
      </w:r>
      <w:r>
        <w:rPr>
          <w:rFonts w:ascii="Arial" w:hAnsi="Arial"/>
          <w:rtl/>
        </w:rPr>
        <w:t>רא"ש</w:t>
      </w:r>
      <w:r>
        <w:rPr>
          <w:rFonts w:ascii="Arial" w:hAnsi="Arial"/>
          <w:sz w:val="16"/>
          <w:szCs w:val="16"/>
          <w:rtl/>
        </w:rPr>
        <w:t xml:space="preserve"> (כלל סח סי' יז) </w:t>
      </w:r>
      <w:r>
        <w:rPr>
          <w:rFonts w:ascii="Arial" w:hAnsi="Arial"/>
          <w:rtl/>
        </w:rPr>
        <w:t xml:space="preserve">(וריב"ש </w:t>
      </w:r>
      <w:r>
        <w:rPr>
          <w:rFonts w:ascii="Arial" w:hAnsi="Arial"/>
          <w:sz w:val="16"/>
          <w:szCs w:val="16"/>
          <w:rtl/>
        </w:rPr>
        <w:t>סי' שפ"ב, להב' הדרכ"מ [אות ב**]</w:t>
      </w:r>
      <w:r>
        <w:rPr>
          <w:rFonts w:ascii="Arial" w:hAnsi="Arial"/>
          <w:rtl/>
        </w:rPr>
        <w:t xml:space="preserve">). </w:t>
      </w:r>
    </w:p>
  </w:footnote>
  <w:footnote w:id="3511">
    <w:p w14:paraId="08121A7B" w14:textId="77777777" w:rsidR="0013116F" w:rsidRDefault="0013116F" w:rsidP="001D49D4">
      <w:pPr>
        <w:pStyle w:val="a9"/>
        <w:spacing w:after="60"/>
        <w:rPr>
          <w:rFonts w:ascii="Arial" w:hAnsi="Arial"/>
          <w:rtl/>
        </w:rPr>
      </w:pPr>
      <w:r>
        <w:rPr>
          <w:rStyle w:val="ab"/>
          <w:rFonts w:ascii="Arial" w:hAnsi="Arial"/>
        </w:rPr>
        <w:footnoteRef/>
      </w:r>
      <w:r>
        <w:rPr>
          <w:rFonts w:ascii="Arial" w:hAnsi="Arial"/>
          <w:rtl/>
        </w:rPr>
        <w:t xml:space="preserve"> הש"ך </w:t>
      </w:r>
      <w:r>
        <w:rPr>
          <w:rFonts w:ascii="Arial" w:hAnsi="Arial"/>
          <w:sz w:val="14"/>
          <w:szCs w:val="14"/>
          <w:rtl/>
        </w:rPr>
        <w:t xml:space="preserve">(סקט"ו) </w:t>
      </w:r>
      <w:r>
        <w:rPr>
          <w:rFonts w:ascii="Arial" w:hAnsi="Arial"/>
          <w:rtl/>
        </w:rPr>
        <w:t xml:space="preserve">הקשה על השו"ע אמאי הכשיר בכה"ג, שהרי נהגו לכתוב הפרעון מאחוריו א"כ ודאי לא שייך בכהאי גוונא לומר אוקמיה שטר אחזקתיה, כיון דיש ריעותא דמחק לפנינו ונהגו לכתוב פרעון מאחריו, וכיון דאיהו פסק לקמן </w:t>
      </w:r>
      <w:r>
        <w:rPr>
          <w:rFonts w:ascii="Arial" w:hAnsi="Arial"/>
          <w:sz w:val="14"/>
          <w:szCs w:val="14"/>
          <w:rtl/>
        </w:rPr>
        <w:t xml:space="preserve">(סי' ס"ה סע' כ) </w:t>
      </w:r>
      <w:r>
        <w:rPr>
          <w:rFonts w:ascii="Arial" w:hAnsi="Arial"/>
          <w:rtl/>
        </w:rPr>
        <w:t xml:space="preserve">בסתם כדברי הרמב"ם </w:t>
      </w:r>
      <w:r>
        <w:rPr>
          <w:rFonts w:ascii="Arial" w:hAnsi="Arial"/>
          <w:sz w:val="14"/>
          <w:szCs w:val="14"/>
          <w:rtl/>
        </w:rPr>
        <w:t xml:space="preserve">(פט"ז ה"י) </w:t>
      </w:r>
      <w:r>
        <w:rPr>
          <w:rFonts w:ascii="Arial" w:hAnsi="Arial"/>
          <w:rtl/>
        </w:rPr>
        <w:t>וסיעתו דעל גבי השטר מאחוריו מהני, היאך הביא כאן דעת המכשירים במקום שנהגו לכתוב פרעון מאחוריו. והשאיר הש"ך את זה בצ"ע, וכ' שעיקר לדינא דפסול.</w:t>
      </w:r>
    </w:p>
  </w:footnote>
  <w:footnote w:id="3512">
    <w:p w14:paraId="398E9D9A" w14:textId="77777777" w:rsidR="0013116F" w:rsidRDefault="0013116F" w:rsidP="001D49D4">
      <w:pPr>
        <w:pStyle w:val="a9"/>
        <w:spacing w:after="60"/>
        <w:rPr>
          <w:rFonts w:ascii="Arial" w:hAnsi="Arial"/>
          <w:rtl/>
        </w:rPr>
      </w:pPr>
      <w:r>
        <w:rPr>
          <w:rStyle w:val="ab"/>
          <w:rFonts w:ascii="Arial" w:hAnsi="Arial"/>
        </w:rPr>
        <w:footnoteRef/>
      </w:r>
      <w:r>
        <w:rPr>
          <w:rFonts w:ascii="Arial" w:hAnsi="Arial"/>
          <w:rtl/>
        </w:rPr>
        <w:t xml:space="preserve"> שם בתשובת </w:t>
      </w:r>
      <w:r>
        <w:rPr>
          <w:rFonts w:ascii="Arial" w:hAnsi="Arial"/>
          <w:sz w:val="16"/>
          <w:szCs w:val="16"/>
          <w:rtl/>
        </w:rPr>
        <w:t>[הרשב"א המיוחסות ל]</w:t>
      </w:r>
      <w:r>
        <w:rPr>
          <w:rFonts w:ascii="Arial" w:hAnsi="Arial"/>
          <w:rtl/>
        </w:rPr>
        <w:t xml:space="preserve">הרמב"ן </w:t>
      </w:r>
      <w:r>
        <w:rPr>
          <w:rFonts w:ascii="Arial" w:hAnsi="Arial"/>
          <w:sz w:val="16"/>
          <w:szCs w:val="16"/>
          <w:rtl/>
        </w:rPr>
        <w:t>[המובאת בציונים אות ט"ו]</w:t>
      </w:r>
      <w:r>
        <w:rPr>
          <w:rFonts w:ascii="Arial" w:hAnsi="Arial"/>
          <w:rtl/>
        </w:rPr>
        <w:t xml:space="preserve"> כתב טעם לדבריו ז"ל, לפי </w:t>
      </w:r>
      <w:r>
        <w:rPr>
          <w:rFonts w:ascii="Arial" w:hAnsi="Arial"/>
          <w:sz w:val="16"/>
          <w:szCs w:val="16"/>
          <w:rtl/>
        </w:rPr>
        <w:t>[ש]</w:t>
      </w:r>
      <w:r>
        <w:rPr>
          <w:rFonts w:ascii="Arial" w:hAnsi="Arial"/>
          <w:rtl/>
        </w:rPr>
        <w:t>השטר מוחזק ביד המלוה וכאילו הממון שכתוב בו מוחזק בידו, והביא ראיה לדבריו, סמ"ע (סק"י).</w:t>
      </w:r>
    </w:p>
  </w:footnote>
  <w:footnote w:id="3513">
    <w:p w14:paraId="2F40EA46" w14:textId="77777777" w:rsidR="0013116F" w:rsidRDefault="0013116F" w:rsidP="001D49D4">
      <w:pPr>
        <w:pStyle w:val="a9"/>
        <w:spacing w:after="60"/>
        <w:rPr>
          <w:rFonts w:ascii="Arial" w:hAnsi="Arial"/>
          <w:rtl/>
        </w:rPr>
      </w:pPr>
      <w:r>
        <w:rPr>
          <w:rStyle w:val="ab"/>
          <w:rFonts w:ascii="Arial" w:hAnsi="Arial"/>
        </w:rPr>
        <w:footnoteRef/>
      </w:r>
      <w:r>
        <w:rPr>
          <w:rFonts w:ascii="Arial" w:hAnsi="Arial"/>
          <w:rtl/>
        </w:rPr>
        <w:t xml:space="preserve"> שיעור כתיבת השיטין ואויר חלק בינתים נפסל אבל פחות מיכן אינו נפסל, רשב"ם.</w:t>
      </w:r>
    </w:p>
  </w:footnote>
  <w:footnote w:id="3514">
    <w:p w14:paraId="68684449" w14:textId="77777777" w:rsidR="0013116F" w:rsidRDefault="0013116F" w:rsidP="001D49D4">
      <w:pPr>
        <w:pStyle w:val="a9"/>
        <w:spacing w:after="60"/>
        <w:rPr>
          <w:rFonts w:ascii="Arial" w:hAnsi="Arial"/>
          <w:rtl/>
        </w:rPr>
      </w:pPr>
      <w:r>
        <w:rPr>
          <w:rStyle w:val="ab"/>
          <w:rFonts w:ascii="Arial" w:hAnsi="Arial"/>
        </w:rPr>
        <w:footnoteRef/>
      </w:r>
      <w:r>
        <w:rPr>
          <w:rFonts w:ascii="Arial" w:hAnsi="Arial"/>
          <w:rtl/>
        </w:rPr>
        <w:t xml:space="preserve"> כך כ' רשב"ם שצריך לגרוס, וכ"כ בהגהות הב"ח, אך רבנו גרשום תוס' ומהרי"ו מחקו רק את תיבות- "בלא אוירה", והתוס' מביאים בשם יש מפרשים את הגירסה המלאה שמובאת לפנינו בגמ' </w:t>
      </w:r>
      <w:r>
        <w:rPr>
          <w:rFonts w:ascii="Arial" w:hAnsi="Arial"/>
          <w:sz w:val="16"/>
          <w:szCs w:val="16"/>
          <w:rtl/>
        </w:rPr>
        <w:t xml:space="preserve">(ופירושה כך- אם תאמר ששתי שיטין היינו בלי אוירן, אז ה"ה בשיטה אחת בלי אוירה, וא"כ, מדוע חכמים הודיעו לנו שרווח של שיטה אחת (בלי אוירה כנ"ל) כשר? והרי פשוט שכשר, שהרי א"א לכתוב כרגיל בשיטה אחת ללא אוירה אלא צריך להקטין את הכתב, וא"כ זהו שטר שאינו יכול להזדייף שבודאי שכשר ולא היו צריכים חכמים להודיע לנו דין זה, אלא ע"כ צ"ל שחכמים רצו לומר שהשטר כשר אף כשהשאירו שיטה אחת </w:t>
      </w:r>
      <w:r>
        <w:rPr>
          <w:rFonts w:ascii="Arial" w:hAnsi="Arial"/>
          <w:sz w:val="16"/>
          <w:szCs w:val="16"/>
          <w:u w:val="single"/>
          <w:rtl/>
        </w:rPr>
        <w:t>עם אוירה</w:t>
      </w:r>
      <w:r>
        <w:rPr>
          <w:rFonts w:ascii="Arial" w:hAnsi="Arial"/>
          <w:sz w:val="16"/>
          <w:szCs w:val="16"/>
          <w:rtl/>
        </w:rPr>
        <w:t>, וה"ה לשתי שיטין, שרק אם יש שתי שיטין עם אוירן- פסול)</w:t>
      </w:r>
      <w:r>
        <w:rPr>
          <w:rFonts w:ascii="Arial" w:hAnsi="Arial"/>
          <w:rtl/>
        </w:rPr>
        <w:t>, ומ"מ לדינא הכל אחד.</w:t>
      </w:r>
    </w:p>
  </w:footnote>
  <w:footnote w:id="3515">
    <w:p w14:paraId="0310A1F4" w14:textId="77777777" w:rsidR="0013116F" w:rsidRDefault="0013116F" w:rsidP="001D49D4">
      <w:pPr>
        <w:pStyle w:val="a9"/>
        <w:spacing w:after="60"/>
        <w:rPr>
          <w:rFonts w:ascii="Arial" w:hAnsi="Arial"/>
          <w:rtl/>
        </w:rPr>
      </w:pPr>
      <w:r>
        <w:rPr>
          <w:rStyle w:val="ab"/>
          <w:rFonts w:ascii="Arial" w:hAnsi="Arial"/>
        </w:rPr>
        <w:footnoteRef/>
      </w:r>
      <w:r>
        <w:rPr>
          <w:rFonts w:ascii="Arial" w:hAnsi="Arial"/>
          <w:rtl/>
        </w:rPr>
        <w:t xml:space="preserve"> והלא ניכר הזיוף לפי שצריך לכתוב אותיות דקות יותר משאר אותיות השטר כדי לתת חלק בין שיטה לשיטה, ואם יכתוב כתיבה גסה גם עתה ניכר הזיוף שאין חלק בינתים כשאר שיטות שבשטר</w:t>
      </w:r>
      <w:r>
        <w:rPr>
          <w:rFonts w:ascii="Arial" w:hAnsi="Arial"/>
          <w:sz w:val="16"/>
          <w:szCs w:val="16"/>
          <w:rtl/>
        </w:rPr>
        <w:t xml:space="preserve"> {נמצא שזהו שטר שאינו יכול להזדייף ולמה יהא פסול? לכן ע"כ חייב לומר ששתי שיטין היינו עם אוירן כדי שיוכל להזדייף}</w:t>
      </w:r>
      <w:r>
        <w:rPr>
          <w:rFonts w:ascii="Arial" w:hAnsi="Arial"/>
          <w:rtl/>
        </w:rPr>
        <w:t>, רשב"ם.</w:t>
      </w:r>
    </w:p>
  </w:footnote>
  <w:footnote w:id="3516">
    <w:p w14:paraId="3021C3AA" w14:textId="77777777" w:rsidR="0013116F" w:rsidRDefault="0013116F" w:rsidP="001D49D4">
      <w:pPr>
        <w:pStyle w:val="a9"/>
        <w:spacing w:after="60"/>
        <w:rPr>
          <w:rFonts w:ascii="Arial" w:hAnsi="Arial"/>
          <w:rtl/>
        </w:rPr>
      </w:pPr>
      <w:r>
        <w:rPr>
          <w:rStyle w:val="ab"/>
          <w:rFonts w:ascii="Arial" w:hAnsi="Arial"/>
        </w:rPr>
        <w:footnoteRef/>
      </w:r>
      <w:r>
        <w:rPr>
          <w:rFonts w:ascii="Arial" w:hAnsi="Arial"/>
          <w:rtl/>
        </w:rPr>
        <w:t xml:space="preserve"> חידושי דינין והלכות סי' סט, הביאו הב"י (מהרי"ו הוא רבי יעקב בן יהודה וויל, חי בגרמניה לפני שנת ה"א רט"ז (1456), למד אצל המהרי"ל (ר' יעקב מולין) והיה אחד מגדולי אשכנז בדורו, ביוגרפיה פרוייקט השו"ת).</w:t>
      </w:r>
    </w:p>
  </w:footnote>
  <w:footnote w:id="3517">
    <w:p w14:paraId="1A5C292E" w14:textId="77777777" w:rsidR="0013116F" w:rsidRDefault="0013116F" w:rsidP="001D49D4">
      <w:pPr>
        <w:pStyle w:val="a9"/>
        <w:spacing w:after="60"/>
        <w:rPr>
          <w:rFonts w:ascii="Arial" w:hAnsi="Arial"/>
          <w:rtl/>
        </w:rPr>
      </w:pPr>
      <w:r>
        <w:rPr>
          <w:rStyle w:val="ab"/>
          <w:rFonts w:ascii="Arial" w:hAnsi="Arial"/>
        </w:rPr>
        <w:footnoteRef/>
      </w:r>
      <w:r>
        <w:rPr>
          <w:rFonts w:ascii="Arial" w:hAnsi="Arial"/>
          <w:rtl/>
        </w:rPr>
        <w:t xml:space="preserve"> וכן אם יש אויר שיטה כשר, ט"ז (סע' ט).</w:t>
      </w:r>
    </w:p>
  </w:footnote>
  <w:footnote w:id="3518">
    <w:p w14:paraId="5CA47AB6" w14:textId="77777777" w:rsidR="0013116F" w:rsidRDefault="0013116F" w:rsidP="001D49D4">
      <w:pPr>
        <w:pStyle w:val="a9"/>
        <w:spacing w:after="60"/>
        <w:rPr>
          <w:rFonts w:ascii="Arial" w:hAnsi="Arial"/>
          <w:rtl/>
        </w:rPr>
      </w:pPr>
      <w:r>
        <w:rPr>
          <w:rStyle w:val="ab"/>
          <w:rFonts w:ascii="Arial" w:hAnsi="Arial"/>
        </w:rPr>
        <w:footnoteRef/>
      </w:r>
      <w:r>
        <w:rPr>
          <w:rFonts w:ascii="Arial" w:hAnsi="Arial"/>
          <w:rtl/>
        </w:rPr>
        <w:t xml:space="preserve"> וכל שכן אם שיעור המחק יותר מזה, רשב"ם. וכ"כ התוס' (קסא. ד"ה וכשיעור).</w:t>
      </w:r>
    </w:p>
  </w:footnote>
  <w:footnote w:id="3519">
    <w:p w14:paraId="2D049061" w14:textId="77777777" w:rsidR="0013116F" w:rsidRDefault="0013116F" w:rsidP="001D49D4">
      <w:pPr>
        <w:pStyle w:val="a9"/>
        <w:spacing w:after="60"/>
        <w:rPr>
          <w:rFonts w:ascii="Arial" w:hAnsi="Arial"/>
        </w:rPr>
      </w:pPr>
      <w:r>
        <w:rPr>
          <w:rStyle w:val="ab"/>
          <w:rFonts w:ascii="Arial" w:hAnsi="Arial"/>
        </w:rPr>
        <w:footnoteRef/>
      </w:r>
      <w:r>
        <w:rPr>
          <w:rFonts w:ascii="Arial" w:hAnsi="Arial"/>
          <w:rtl/>
        </w:rPr>
        <w:t xml:space="preserve"> אבל אם הוא פחות משיעור "שריר וקיים" ליכא למיחש למידי, תוס' (קסא. ד"ה וכשיעור, הביאו הב"י).</w:t>
      </w:r>
    </w:p>
  </w:footnote>
  <w:footnote w:id="3520">
    <w:p w14:paraId="2323A12C" w14:textId="77777777" w:rsidR="0013116F" w:rsidRDefault="0013116F" w:rsidP="001D49D4">
      <w:pPr>
        <w:pStyle w:val="a9"/>
        <w:spacing w:after="60"/>
        <w:rPr>
          <w:rFonts w:ascii="Arial" w:hAnsi="Arial"/>
          <w:rtl/>
        </w:rPr>
      </w:pPr>
      <w:r>
        <w:rPr>
          <w:rStyle w:val="ab"/>
          <w:rFonts w:ascii="Arial" w:hAnsi="Arial"/>
        </w:rPr>
        <w:footnoteRef/>
      </w:r>
      <w:r>
        <w:rPr>
          <w:rFonts w:ascii="Arial" w:hAnsi="Arial"/>
          <w:rtl/>
        </w:rPr>
        <w:t xml:space="preserve"> דכיון דהדין הוא דאסור להניח שני שיטין (כמ"ש בסי' מ"ה סע' ו) מסתמא עשו כהוגן, סמ"ע (סקי"ג).</w:t>
      </w:r>
    </w:p>
  </w:footnote>
  <w:footnote w:id="3521">
    <w:p w14:paraId="28EAD6D9" w14:textId="77777777" w:rsidR="0013116F" w:rsidRDefault="0013116F" w:rsidP="001D49D4">
      <w:pPr>
        <w:pStyle w:val="a9"/>
        <w:spacing w:after="60"/>
        <w:rPr>
          <w:rFonts w:ascii="Arial" w:hAnsi="Arial"/>
          <w:rtl/>
        </w:rPr>
      </w:pPr>
      <w:r>
        <w:rPr>
          <w:rStyle w:val="ab"/>
          <w:rFonts w:ascii="Arial" w:hAnsi="Arial"/>
        </w:rPr>
        <w:footnoteRef/>
      </w:r>
      <w:r>
        <w:rPr>
          <w:rFonts w:ascii="Arial" w:hAnsi="Arial"/>
          <w:rtl/>
        </w:rPr>
        <w:t xml:space="preserve"> ולפי זה בעלמא נמי חיישינן דילמא הניחו שני שיטין, ומה שאמרו אין למדין משיטה אחרונה, היינו כשעדים מוחזקים ביודעים, דאל"כ אף משני שיטין או יותר אין למדין, וכן בשאר דוכתי דאמרינן מסתמא העדים עשו כהוגן היינו נמי כשמוחזקים ביודעים אותו הדין שאנו דנין בו, וכן בסמוך סעיף ט', ש"ך (סקי"ט).</w:t>
      </w:r>
    </w:p>
  </w:footnote>
  <w:footnote w:id="3522">
    <w:p w14:paraId="54410FB5" w14:textId="77777777" w:rsidR="0013116F" w:rsidRDefault="0013116F" w:rsidP="001D49D4">
      <w:pPr>
        <w:pStyle w:val="a9"/>
        <w:spacing w:after="60"/>
        <w:rPr>
          <w:rFonts w:ascii="Arial" w:hAnsi="Arial"/>
          <w:rtl/>
        </w:rPr>
      </w:pPr>
      <w:r>
        <w:rPr>
          <w:rStyle w:val="ab"/>
          <w:rFonts w:ascii="Arial" w:hAnsi="Arial"/>
        </w:rPr>
        <w:footnoteRef/>
      </w:r>
      <w:r>
        <w:rPr>
          <w:rFonts w:ascii="Arial" w:hAnsi="Arial"/>
          <w:rtl/>
        </w:rPr>
        <w:t xml:space="preserve"> רשב"א </w:t>
      </w:r>
      <w:r>
        <w:rPr>
          <w:rFonts w:ascii="Arial" w:hAnsi="Arial"/>
          <w:sz w:val="14"/>
          <w:szCs w:val="14"/>
          <w:rtl/>
        </w:rPr>
        <w:t>(</w:t>
      </w:r>
      <w:r>
        <w:rPr>
          <w:rFonts w:ascii="Arial" w:hAnsi="Arial"/>
          <w:sz w:val="16"/>
          <w:szCs w:val="16"/>
          <w:rtl/>
        </w:rPr>
        <w:t>במיוחסות סי' צד, וכ"כ הרשב"ש ורי"ו בשמו)</w:t>
      </w:r>
      <w:r>
        <w:rPr>
          <w:rFonts w:ascii="Arial" w:hAnsi="Arial"/>
          <w:rtl/>
        </w:rPr>
        <w:t xml:space="preserve"> ריטב"א </w:t>
      </w:r>
      <w:r>
        <w:rPr>
          <w:rFonts w:ascii="Arial" w:hAnsi="Arial"/>
          <w:sz w:val="16"/>
          <w:szCs w:val="16"/>
          <w:rtl/>
        </w:rPr>
        <w:t>(ד"ה הא דאמרינן)</w:t>
      </w:r>
      <w:r>
        <w:rPr>
          <w:rFonts w:ascii="Arial" w:hAnsi="Arial"/>
          <w:rtl/>
        </w:rPr>
        <w:t xml:space="preserve"> ורי"ו </w:t>
      </w:r>
      <w:r>
        <w:rPr>
          <w:rFonts w:ascii="Arial" w:hAnsi="Arial"/>
          <w:sz w:val="16"/>
          <w:szCs w:val="16"/>
          <w:rtl/>
        </w:rPr>
        <w:t>(נ"ד ח"ב)</w:t>
      </w:r>
      <w:r>
        <w:rPr>
          <w:rFonts w:ascii="Arial" w:hAnsi="Arial"/>
          <w:rtl/>
        </w:rPr>
        <w:t>.</w:t>
      </w:r>
      <w:r>
        <w:rPr>
          <w:rFonts w:ascii="Arial" w:hAnsi="Arial"/>
          <w:sz w:val="16"/>
          <w:szCs w:val="16"/>
          <w:rtl/>
        </w:rPr>
        <w:t xml:space="preserve"> (הב"י כ' שהרשב"ץ כ' כן בשם הרשב"א אבל בהגוה"ע כתוב שלא נמצא כן ברשב"ץ אבל הובאו ברשב"ש בספרו תקון סופרים שער הששי ד"ה ובענין שריר וקיים, הרשב"ש הוא בנו של הרשב"ץ ושמו ר' שלמה בן ר' שמעון דוראן, נולד באלג'יר בשנת ה"א ק"ס (1400))</w:t>
      </w:r>
    </w:p>
  </w:footnote>
  <w:footnote w:id="3523">
    <w:p w14:paraId="5F047A87" w14:textId="77777777" w:rsidR="0013116F" w:rsidRDefault="0013116F" w:rsidP="001D49D4">
      <w:pPr>
        <w:pStyle w:val="a9"/>
        <w:spacing w:after="60"/>
        <w:rPr>
          <w:rFonts w:ascii="Arial" w:hAnsi="Arial"/>
          <w:rtl/>
        </w:rPr>
      </w:pPr>
      <w:r>
        <w:rPr>
          <w:rStyle w:val="ab"/>
          <w:rFonts w:ascii="Arial" w:hAnsi="Arial"/>
        </w:rPr>
        <w:footnoteRef/>
      </w:r>
      <w:r>
        <w:rPr>
          <w:rFonts w:ascii="Arial" w:hAnsi="Arial"/>
          <w:rtl/>
        </w:rPr>
        <w:t xml:space="preserve"> לאו דוקא החזיר מעניינו של שטר, אלא כל שכתוב בשיטה אחרונה משהו, א"נ שיש שיטה ריקה- יש להכשיר, דאין סיבה שרק חזרה מעניינו של שטר תכשיר, מאירי</w:t>
      </w:r>
      <w:r>
        <w:rPr>
          <w:rFonts w:ascii="Arial" w:hAnsi="Arial"/>
          <w:sz w:val="14"/>
          <w:szCs w:val="14"/>
          <w:rtl/>
        </w:rPr>
        <w:t xml:space="preserve"> (קסא.)</w:t>
      </w:r>
      <w:r>
        <w:rPr>
          <w:rFonts w:ascii="Arial" w:hAnsi="Arial"/>
          <w:rtl/>
        </w:rPr>
        <w:t xml:space="preserve"> וגר"א</w:t>
      </w:r>
      <w:r>
        <w:rPr>
          <w:rFonts w:ascii="Arial" w:hAnsi="Arial"/>
          <w:sz w:val="14"/>
          <w:szCs w:val="14"/>
          <w:rtl/>
        </w:rPr>
        <w:t xml:space="preserve"> (סקכ"ה)</w:t>
      </w:r>
      <w:r>
        <w:rPr>
          <w:rFonts w:ascii="Arial" w:hAnsi="Arial"/>
          <w:rtl/>
        </w:rPr>
        <w:t>. ועיין לקמן ויתבאר עוד בס"ד.</w:t>
      </w:r>
    </w:p>
  </w:footnote>
  <w:footnote w:id="3524">
    <w:p w14:paraId="49DD7CD6" w14:textId="77777777" w:rsidR="0013116F" w:rsidRDefault="0013116F" w:rsidP="001D49D4">
      <w:pPr>
        <w:pStyle w:val="a9"/>
        <w:spacing w:after="60"/>
        <w:rPr>
          <w:rFonts w:ascii="Arial" w:hAnsi="Arial"/>
        </w:rPr>
      </w:pPr>
      <w:r>
        <w:rPr>
          <w:rStyle w:val="ab"/>
          <w:rFonts w:ascii="Arial" w:hAnsi="Arial"/>
        </w:rPr>
        <w:footnoteRef/>
      </w:r>
      <w:r>
        <w:rPr>
          <w:rFonts w:ascii="Arial" w:hAnsi="Arial"/>
          <w:rtl/>
        </w:rPr>
        <w:t xml:space="preserve"> מדובר כאן שלא סיים בשריר וקיים אלא כ' בשיטה שלפני האחרונה שריר וקיים ויש עוד שריר וקיים למעלה ממנה, ואין ריוח בין סוף השטר לחתימת העדים. </w:t>
      </w:r>
      <w:r>
        <w:rPr>
          <w:rFonts w:ascii="Arial" w:hAnsi="Arial"/>
          <w:sz w:val="16"/>
          <w:szCs w:val="16"/>
          <w:rtl/>
        </w:rPr>
        <w:t>(שכך מוכרח מלשונו, שכ'- "אע"פ שכתב תרי שריר וקיים בשיטות של מעלה..." ואנחנו מדברים רק על תרי שריר וקיים וא"כ שניהם למעלה מחזרת השטר. אבל אה"נ שאם יהיה כ' פעם ה-ג' שריר וקיים בסוף לאחר חזרת השטר- השטר יהיה כשר, אבל, בתנאי שיש שיטה חלקה ריוח)</w:t>
      </w:r>
    </w:p>
  </w:footnote>
  <w:footnote w:id="3525">
    <w:p w14:paraId="510AF7E1" w14:textId="77777777" w:rsidR="0013116F" w:rsidRDefault="0013116F" w:rsidP="001D49D4">
      <w:pPr>
        <w:pStyle w:val="a9"/>
        <w:spacing w:after="60"/>
        <w:rPr>
          <w:rFonts w:ascii="Arial" w:hAnsi="Arial"/>
          <w:rtl/>
        </w:rPr>
      </w:pPr>
      <w:r>
        <w:rPr>
          <w:rStyle w:val="ab"/>
          <w:rFonts w:ascii="Arial" w:hAnsi="Arial"/>
        </w:rPr>
        <w:footnoteRef/>
      </w:r>
      <w:r>
        <w:rPr>
          <w:rFonts w:ascii="Arial" w:hAnsi="Arial"/>
          <w:rtl/>
        </w:rPr>
        <w:t xml:space="preserve"> ר"י ברצלוני</w:t>
      </w:r>
      <w:r>
        <w:rPr>
          <w:rFonts w:ascii="Arial" w:hAnsi="Arial"/>
          <w:sz w:val="16"/>
          <w:szCs w:val="16"/>
          <w:rtl/>
        </w:rPr>
        <w:t xml:space="preserve"> (הביאוהו הב"י [מחודש' י"ב] רשב"ץ רשב"א [במיוחסות סי' צ"ד] וט"ז [סע' ט])</w:t>
      </w:r>
      <w:r>
        <w:rPr>
          <w:rFonts w:ascii="Arial" w:hAnsi="Arial"/>
          <w:rtl/>
        </w:rPr>
        <w:t xml:space="preserve"> ורמב"ן </w:t>
      </w:r>
      <w:r>
        <w:rPr>
          <w:rFonts w:ascii="Arial" w:hAnsi="Arial"/>
          <w:sz w:val="16"/>
          <w:szCs w:val="16"/>
          <w:rtl/>
        </w:rPr>
        <w:t>(כן משמע ממסקנתו בחידושים [קסב. ד"ה הרי למדנו], וכ"כ הנמוק"י (עה:) בשמו, וז"ל- "בגט פשוט לא תקנו מכל זה כלום ואף על פי שלא כתב שריר וקיים או שיש בו שריר וקיים תרי זימני אין בכך כלום וכן המנהג לכתוב ב' ג' פעמים")</w:t>
      </w:r>
      <w:r>
        <w:rPr>
          <w:rFonts w:ascii="Arial" w:hAnsi="Arial"/>
          <w:rtl/>
        </w:rPr>
        <w:t>.</w:t>
      </w:r>
    </w:p>
  </w:footnote>
  <w:footnote w:id="3526">
    <w:p w14:paraId="2CD46049" w14:textId="77777777" w:rsidR="0013116F" w:rsidRDefault="0013116F" w:rsidP="001D49D4">
      <w:pPr>
        <w:pStyle w:val="a9"/>
        <w:spacing w:after="60"/>
        <w:rPr>
          <w:rFonts w:ascii="Arial" w:hAnsi="Arial"/>
          <w:rtl/>
        </w:rPr>
      </w:pPr>
      <w:r>
        <w:rPr>
          <w:rStyle w:val="ab"/>
          <w:rFonts w:ascii="Arial" w:hAnsi="Arial"/>
        </w:rPr>
        <w:footnoteRef/>
      </w:r>
      <w:r>
        <w:rPr>
          <w:rFonts w:ascii="Arial" w:hAnsi="Arial"/>
          <w:rtl/>
        </w:rPr>
        <w:t xml:space="preserve"> לאפוקי גט מקושר שעדיו חתומים בחוץ </w:t>
      </w:r>
      <w:r>
        <w:rPr>
          <w:rFonts w:ascii="Arial" w:hAnsi="Arial"/>
          <w:sz w:val="16"/>
          <w:szCs w:val="16"/>
          <w:rtl/>
        </w:rPr>
        <w:t>(בצד השני של הקלף- הצד שאינו כתוב, וכל שטר נקרא גט בלשון גמ')</w:t>
      </w:r>
      <w:r>
        <w:rPr>
          <w:rFonts w:ascii="Arial" w:hAnsi="Arial"/>
          <w:rtl/>
        </w:rPr>
        <w:t>, והוסיף הש"ך</w:t>
      </w:r>
      <w:r>
        <w:rPr>
          <w:rFonts w:ascii="Arial" w:hAnsi="Arial"/>
          <w:sz w:val="16"/>
          <w:szCs w:val="16"/>
          <w:rtl/>
        </w:rPr>
        <w:t xml:space="preserve"> (סקכ"ג) </w:t>
      </w:r>
      <w:r>
        <w:rPr>
          <w:rFonts w:ascii="Arial" w:hAnsi="Arial"/>
          <w:rtl/>
        </w:rPr>
        <w:t xml:space="preserve">דבמקושר חיישינן שמא הוא כתב את השריר וקיים השני, משא"כ בפשוט שעדיו מתוכו ואינן מניחים חלק ב' שיטות רק שיטה א'. </w:t>
      </w:r>
    </w:p>
  </w:footnote>
  <w:footnote w:id="3527">
    <w:p w14:paraId="6A7E996C" w14:textId="77777777" w:rsidR="0013116F" w:rsidRDefault="0013116F" w:rsidP="001D49D4">
      <w:pPr>
        <w:pStyle w:val="a9"/>
        <w:spacing w:after="60"/>
        <w:rPr>
          <w:rFonts w:ascii="Arial" w:hAnsi="Arial"/>
          <w:rtl/>
        </w:rPr>
      </w:pPr>
      <w:r>
        <w:rPr>
          <w:rStyle w:val="ab"/>
          <w:rFonts w:ascii="Arial" w:hAnsi="Arial"/>
        </w:rPr>
        <w:footnoteRef/>
      </w:r>
      <w:r>
        <w:rPr>
          <w:rFonts w:ascii="Arial" w:hAnsi="Arial"/>
          <w:rtl/>
        </w:rPr>
        <w:t xml:space="preserve"> לשון הטור היא- "היה נראה לפסול... דשמא אחר קיום הראשון זייף וקיימו פעם שנית", ונראה מדברי הפרישה (אות יב) שדעת הטור לפסול, והלשון "היה נראה" היא לאו דוקא. והט"ז כ' בפירוש שדעת הטור לפסול.</w:t>
      </w:r>
    </w:p>
  </w:footnote>
  <w:footnote w:id="3528">
    <w:p w14:paraId="15D0BA53" w14:textId="77777777" w:rsidR="0013116F" w:rsidRDefault="0013116F" w:rsidP="001D49D4">
      <w:pPr>
        <w:pStyle w:val="a9"/>
        <w:spacing w:after="60"/>
        <w:rPr>
          <w:rFonts w:ascii="Arial" w:hAnsi="Arial"/>
        </w:rPr>
      </w:pPr>
      <w:r>
        <w:rPr>
          <w:rStyle w:val="ab"/>
          <w:rFonts w:ascii="Arial" w:hAnsi="Arial"/>
        </w:rPr>
        <w:footnoteRef/>
      </w:r>
      <w:r>
        <w:rPr>
          <w:rFonts w:ascii="Arial" w:hAnsi="Arial"/>
          <w:rtl/>
        </w:rPr>
        <w:t xml:space="preserve"> ר"י </w:t>
      </w:r>
      <w:r>
        <w:rPr>
          <w:rFonts w:ascii="Arial" w:hAnsi="Arial"/>
          <w:sz w:val="16"/>
          <w:szCs w:val="16"/>
          <w:rtl/>
        </w:rPr>
        <w:t xml:space="preserve">(הובא במרדכי רמז תרמא) </w:t>
      </w:r>
      <w:r>
        <w:rPr>
          <w:rFonts w:ascii="Arial" w:hAnsi="Arial"/>
          <w:rtl/>
        </w:rPr>
        <w:t>ורא"ש</w:t>
      </w:r>
      <w:r>
        <w:rPr>
          <w:rFonts w:ascii="Arial" w:hAnsi="Arial"/>
          <w:sz w:val="16"/>
          <w:szCs w:val="16"/>
          <w:rtl/>
        </w:rPr>
        <w:t xml:space="preserve"> (סי' ב)</w:t>
      </w:r>
      <w:r>
        <w:rPr>
          <w:rFonts w:ascii="Arial" w:hAnsi="Arial"/>
          <w:rtl/>
        </w:rPr>
        <w:t>.</w:t>
      </w:r>
    </w:p>
  </w:footnote>
  <w:footnote w:id="3529">
    <w:p w14:paraId="0388BFD3" w14:textId="77777777" w:rsidR="0013116F" w:rsidRDefault="0013116F" w:rsidP="001D49D4">
      <w:pPr>
        <w:pStyle w:val="a9"/>
        <w:spacing w:after="60"/>
        <w:rPr>
          <w:rFonts w:ascii="Arial" w:hAnsi="Arial"/>
          <w:rtl/>
        </w:rPr>
      </w:pPr>
      <w:r>
        <w:rPr>
          <w:rStyle w:val="ab"/>
          <w:rFonts w:ascii="Arial" w:hAnsi="Arial"/>
        </w:rPr>
        <w:footnoteRef/>
      </w:r>
      <w:r>
        <w:rPr>
          <w:rFonts w:ascii="Arial" w:hAnsi="Arial"/>
          <w:rtl/>
        </w:rPr>
        <w:t xml:space="preserve"> קודם שריר וקיים. לפי שהורגלו כו'. אבל בתר שריר וקיים לא מהני קיום המחקין, שאין למדין ממה שנכתב בתר שריר וקיים. ואותן שמקיימים בתר שריר וקיים טועים הם, ש"ך</w:t>
      </w:r>
      <w:r>
        <w:rPr>
          <w:rFonts w:ascii="Arial" w:hAnsi="Arial"/>
          <w:sz w:val="16"/>
          <w:szCs w:val="16"/>
          <w:rtl/>
        </w:rPr>
        <w:t xml:space="preserve"> </w:t>
      </w:r>
      <w:r>
        <w:rPr>
          <w:rFonts w:ascii="Arial" w:hAnsi="Arial"/>
          <w:sz w:val="14"/>
          <w:szCs w:val="14"/>
          <w:rtl/>
        </w:rPr>
        <w:t>(סק"כ)</w:t>
      </w:r>
      <w:r>
        <w:rPr>
          <w:rFonts w:ascii="Arial" w:hAnsi="Arial"/>
          <w:rtl/>
        </w:rPr>
        <w:t>. ואפי' כתוב שם לחובת בעל השטר אינו מועיל, תומים</w:t>
      </w:r>
      <w:r>
        <w:rPr>
          <w:rFonts w:ascii="Arial" w:hAnsi="Arial"/>
          <w:sz w:val="14"/>
          <w:szCs w:val="14"/>
          <w:rtl/>
        </w:rPr>
        <w:t xml:space="preserve"> (סקי"א)</w:t>
      </w:r>
      <w:r>
        <w:rPr>
          <w:rFonts w:ascii="Arial" w:hAnsi="Arial"/>
          <w:rtl/>
        </w:rPr>
        <w:t>.</w:t>
      </w:r>
    </w:p>
  </w:footnote>
  <w:footnote w:id="3530">
    <w:p w14:paraId="3033A193" w14:textId="77777777" w:rsidR="0013116F" w:rsidRDefault="0013116F" w:rsidP="001D49D4">
      <w:pPr>
        <w:pStyle w:val="a9"/>
        <w:spacing w:after="60"/>
        <w:rPr>
          <w:rFonts w:ascii="Arial" w:hAnsi="Arial"/>
          <w:rtl/>
        </w:rPr>
      </w:pPr>
      <w:r>
        <w:rPr>
          <w:rStyle w:val="ab"/>
          <w:rFonts w:ascii="Arial" w:hAnsi="Arial"/>
        </w:rPr>
        <w:footnoteRef/>
      </w:r>
      <w:r>
        <w:rPr>
          <w:rFonts w:ascii="Arial" w:hAnsi="Arial"/>
          <w:rtl/>
        </w:rPr>
        <w:t xml:space="preserve"> </w:t>
      </w:r>
      <w:r>
        <w:rPr>
          <w:rFonts w:ascii="Arial" w:hAnsi="Arial" w:hint="cs"/>
          <w:rtl/>
        </w:rPr>
        <w:t>דהוא שטר שהיה עומד לזיוף, שהרי היה יכול להוסיף זכותו בשורה שהניחו העדים חלק ולכתוב בסוף שריר וקיים, ואז למדין גם משורה אחרונה, סמ"ע (סקט"ו).</w:t>
      </w:r>
    </w:p>
  </w:footnote>
  <w:footnote w:id="3531">
    <w:p w14:paraId="47CA466A" w14:textId="77777777" w:rsidR="0013116F" w:rsidRDefault="0013116F" w:rsidP="001D49D4">
      <w:pPr>
        <w:pStyle w:val="a9"/>
        <w:spacing w:after="60"/>
        <w:rPr>
          <w:rFonts w:ascii="Arial" w:hAnsi="Arial"/>
        </w:rPr>
      </w:pPr>
      <w:r>
        <w:rPr>
          <w:rStyle w:val="ab"/>
          <w:rFonts w:ascii="Arial" w:hAnsi="Arial"/>
        </w:rPr>
        <w:footnoteRef/>
      </w:r>
      <w:r>
        <w:rPr>
          <w:rFonts w:ascii="Arial" w:hAnsi="Arial"/>
          <w:rtl/>
        </w:rPr>
        <w:t xml:space="preserve"> אף אם ירצו לחתום מיד בסמוך לשטר, דכיון דא"א לצמצם, חיישינן שמא יניחו שיטה חלק ויכתוב מה דבעי, ויכתוב שריר וקיים, ש"ך (סקכ"א).</w:t>
      </w:r>
    </w:p>
  </w:footnote>
  <w:footnote w:id="3532">
    <w:p w14:paraId="35FC2B52" w14:textId="77777777" w:rsidR="0013116F" w:rsidRDefault="0013116F" w:rsidP="001D49D4">
      <w:pPr>
        <w:pStyle w:val="a9"/>
        <w:spacing w:after="60"/>
        <w:rPr>
          <w:rFonts w:ascii="Arial" w:hAnsi="Arial"/>
          <w:rtl/>
        </w:rPr>
      </w:pPr>
      <w:r>
        <w:rPr>
          <w:rStyle w:val="ab"/>
          <w:rFonts w:ascii="Arial" w:hAnsi="Arial"/>
        </w:rPr>
        <w:footnoteRef/>
      </w:r>
      <w:r>
        <w:rPr>
          <w:rFonts w:ascii="Arial" w:hAnsi="Arial"/>
          <w:rtl/>
        </w:rPr>
        <w:t xml:space="preserve"> בציונים לרמ"א כאן כ' שמקור דברי הרמ"א הם מהרא"ש בתשו' הנ"ל, א"כ יוצא שהרמ"א הבין שהרא"ש דיבר רק לעניין לכתח', ולכאורה אינו מובן שהרי לא מפורש שם כך, אלא כ'- "דתרי שריר וקיים לא כתבינן", ואין הוכחה מלשון זו לשום צד, לכן, או שנאמר שכותב הציונים </w:t>
      </w:r>
      <w:r>
        <w:rPr>
          <w:rFonts w:ascii="Arial" w:hAnsi="Arial"/>
          <w:sz w:val="14"/>
          <w:szCs w:val="14"/>
          <w:rtl/>
        </w:rPr>
        <w:t>(סמ"ע/ש"ך/באה"ג, ממהדורת שס"ז)</w:t>
      </w:r>
      <w:r>
        <w:rPr>
          <w:rFonts w:ascii="Arial" w:hAnsi="Arial"/>
          <w:rtl/>
        </w:rPr>
        <w:t xml:space="preserve"> הבין שסוף דברי הרא"ש בתשו' קשורים לנאמר בצמוד אליהם </w:t>
      </w:r>
      <w:r>
        <w:rPr>
          <w:rFonts w:ascii="Arial" w:hAnsi="Arial"/>
          <w:sz w:val="14"/>
          <w:szCs w:val="14"/>
          <w:rtl/>
        </w:rPr>
        <w:t xml:space="preserve">(כך- "דתרי שריר וקיים לא כתבינן, והשטר כשר אם לא חזר בו בשיטה אחרונה מענינו") </w:t>
      </w:r>
      <w:r>
        <w:rPr>
          <w:rFonts w:ascii="Arial" w:hAnsi="Arial"/>
          <w:rtl/>
        </w:rPr>
        <w:t xml:space="preserve">דאז משמע שלכתחילה לא אבל אם כבר כ' אז כשר </w:t>
      </w:r>
      <w:r>
        <w:rPr>
          <w:rFonts w:ascii="Arial" w:hAnsi="Arial"/>
          <w:sz w:val="14"/>
          <w:szCs w:val="14"/>
          <w:rtl/>
        </w:rPr>
        <w:t>(אך יותר נראה לי לפרש אחרת את דברי הרא"ש, שסוף דבריו שם קשורים למש"כ לפנ"כ [כך- "אבל אם כתב בשטר שריר וקיים תו ליכא למיחש לזיופא... והשטר כשר אם לא חזר בו בשיטה אחרונה מענינו"])</w:t>
      </w:r>
      <w:r>
        <w:rPr>
          <w:rFonts w:ascii="Arial" w:hAnsi="Arial"/>
          <w:rtl/>
        </w:rPr>
        <w:t>. או שנאמר שהש"ך הוא זה שכ' ציון זה, ואזיל לשיטתה</w:t>
      </w:r>
      <w:r>
        <w:rPr>
          <w:rFonts w:ascii="Arial" w:hAnsi="Arial"/>
          <w:sz w:val="14"/>
          <w:szCs w:val="14"/>
          <w:rtl/>
        </w:rPr>
        <w:t xml:space="preserve"> (בסקי"א-י"ב)</w:t>
      </w:r>
      <w:r>
        <w:rPr>
          <w:rFonts w:ascii="Arial" w:hAnsi="Arial"/>
          <w:rtl/>
        </w:rPr>
        <w:t xml:space="preserve"> שהרא"ש סובר שאין למדין משיטה אחרונה אף כשכ' שריר וקיים, ואז גם כאן אין אפשרות לזייף, וממילא השטר לא פסול </w:t>
      </w:r>
      <w:r>
        <w:rPr>
          <w:rFonts w:ascii="Arial" w:hAnsi="Arial"/>
          <w:sz w:val="14"/>
          <w:szCs w:val="14"/>
          <w:rtl/>
        </w:rPr>
        <w:t>(דברי הרמב"ן)</w:t>
      </w:r>
      <w:r>
        <w:rPr>
          <w:rFonts w:ascii="Arial" w:hAnsi="Arial"/>
          <w:rtl/>
        </w:rPr>
        <w:t xml:space="preserve">, ולכן יכול לכתוב כמה שרוצה שריר וקיים שמ"מ אין למדין מזה </w:t>
      </w:r>
      <w:r>
        <w:rPr>
          <w:rFonts w:ascii="Arial" w:hAnsi="Arial"/>
          <w:sz w:val="14"/>
          <w:szCs w:val="14"/>
          <w:rtl/>
        </w:rPr>
        <w:t>(אבל אז קשה למה סייג הרמ"א וכ' שלכתח' אין לעשות כן, והרי לסברת הש"ך אפשר לעשות כך לכתח')</w:t>
      </w:r>
      <w:r>
        <w:rPr>
          <w:rFonts w:ascii="Arial" w:hAnsi="Arial"/>
          <w:rtl/>
        </w:rPr>
        <w:t xml:space="preserve">. ומפשט דברי המרדכי </w:t>
      </w:r>
      <w:r>
        <w:rPr>
          <w:rFonts w:ascii="Arial" w:hAnsi="Arial"/>
          <w:sz w:val="16"/>
          <w:szCs w:val="16"/>
          <w:rtl/>
        </w:rPr>
        <w:t>(רמז תרמא, ד"ה תרי שריר, וד"ה וצריך שיחזור)</w:t>
      </w:r>
      <w:r>
        <w:rPr>
          <w:rFonts w:ascii="Arial" w:hAnsi="Arial"/>
          <w:rtl/>
        </w:rPr>
        <w:t xml:space="preserve"> נראה שלא כ' כן לעניין לכתחילה אלא שאם כ' תרי שריר וקיים יש לפסול את השטר.</w:t>
      </w:r>
    </w:p>
  </w:footnote>
  <w:footnote w:id="3533">
    <w:p w14:paraId="2616C853" w14:textId="77777777" w:rsidR="0013116F" w:rsidRDefault="0013116F" w:rsidP="001D49D4">
      <w:pPr>
        <w:pStyle w:val="a9"/>
        <w:spacing w:after="60"/>
        <w:rPr>
          <w:rFonts w:ascii="Arial" w:hAnsi="Arial"/>
          <w:rtl/>
        </w:rPr>
      </w:pPr>
      <w:r>
        <w:rPr>
          <w:rStyle w:val="ab"/>
          <w:rFonts w:ascii="Arial" w:hAnsi="Arial"/>
        </w:rPr>
        <w:footnoteRef/>
      </w:r>
      <w:r>
        <w:rPr>
          <w:rFonts w:ascii="Arial" w:hAnsi="Arial"/>
          <w:rtl/>
        </w:rPr>
        <w:t xml:space="preserve"> ואז מה שכתוב אח"כ הוי כחזרה מעניינו של שטר, ואין חוששין שהעדים הרחיקו שתי שיטין בחתימתן. </w:t>
      </w:r>
    </w:p>
  </w:footnote>
  <w:footnote w:id="3534">
    <w:p w14:paraId="530FE255" w14:textId="77777777" w:rsidR="0013116F" w:rsidRDefault="0013116F" w:rsidP="001D49D4">
      <w:pPr>
        <w:pStyle w:val="a9"/>
        <w:spacing w:after="60"/>
        <w:rPr>
          <w:rFonts w:ascii="Arial" w:hAnsi="Arial"/>
        </w:rPr>
      </w:pPr>
      <w:r>
        <w:rPr>
          <w:rStyle w:val="ab"/>
          <w:rFonts w:ascii="Arial" w:hAnsi="Arial"/>
        </w:rPr>
        <w:footnoteRef/>
      </w:r>
      <w:r>
        <w:rPr>
          <w:rFonts w:ascii="Arial" w:hAnsi="Arial"/>
          <w:rtl/>
        </w:rPr>
        <w:t xml:space="preserve"> והש"ך </w:t>
      </w:r>
      <w:r>
        <w:rPr>
          <w:rFonts w:ascii="Arial" w:hAnsi="Arial"/>
          <w:sz w:val="16"/>
          <w:szCs w:val="16"/>
          <w:rtl/>
        </w:rPr>
        <w:t xml:space="preserve">(סקכ"ג) </w:t>
      </w:r>
      <w:r>
        <w:rPr>
          <w:rFonts w:ascii="Arial" w:hAnsi="Arial"/>
          <w:rtl/>
        </w:rPr>
        <w:t xml:space="preserve">הקשה דאע"פ שנראה כדעת הסמ"ע </w:t>
      </w:r>
      <w:r>
        <w:rPr>
          <w:rFonts w:ascii="Arial" w:hAnsi="Arial"/>
          <w:sz w:val="16"/>
          <w:szCs w:val="16"/>
          <w:rtl/>
        </w:rPr>
        <w:t xml:space="preserve">(שכן מוכח מדברי ר"י ברצלוני) </w:t>
      </w:r>
      <w:r>
        <w:rPr>
          <w:rFonts w:ascii="Arial" w:hAnsi="Arial"/>
          <w:rtl/>
        </w:rPr>
        <w:t>מדוע השו"ע סתם ולא פירש, והשאיר זאת בצ"ע. אך נ"ל שע"פ דברי מרן בבדה"ב יתפרשו דבריו כאן בשו"ע, שכ' בבדה"ב- "ולענין הלכה כיון שהר"י ברצלוני והרמב"ן והרשב"א מכשירין הכי נקטינן", ז"א דכי היכי דהני רבוותא מכשירים הכי נמי אנן מכשירינין, והם מכשירים בתנאי שאין השריר וקיים האחרון בשיטה אחרונה, וביארנו לעיל שיש להכשיר כשיש שיטה ריוח, הכי נמי נימא דהשו"ע מכשיר בכה"ג.</w:t>
      </w:r>
    </w:p>
  </w:footnote>
  <w:footnote w:id="3535">
    <w:p w14:paraId="236AA9FA" w14:textId="77777777" w:rsidR="0013116F" w:rsidRDefault="0013116F" w:rsidP="001D49D4">
      <w:pPr>
        <w:pStyle w:val="a9"/>
        <w:spacing w:after="60"/>
        <w:rPr>
          <w:rFonts w:ascii="Arial" w:hAnsi="Arial"/>
        </w:rPr>
      </w:pPr>
      <w:r>
        <w:rPr>
          <w:rStyle w:val="ab"/>
          <w:rFonts w:ascii="Arial" w:hAnsi="Arial"/>
        </w:rPr>
        <w:footnoteRef/>
      </w:r>
      <w:r>
        <w:rPr>
          <w:rFonts w:ascii="Arial" w:hAnsi="Arial"/>
          <w:rtl/>
        </w:rPr>
        <w:t xml:space="preserve"> עיין בתומים </w:t>
      </w:r>
      <w:r>
        <w:rPr>
          <w:rFonts w:ascii="Arial" w:hAnsi="Arial"/>
          <w:sz w:val="16"/>
          <w:szCs w:val="16"/>
          <w:rtl/>
        </w:rPr>
        <w:t>(סקי"ב)</w:t>
      </w:r>
      <w:r>
        <w:rPr>
          <w:rFonts w:ascii="Arial" w:hAnsi="Arial"/>
          <w:rtl/>
        </w:rPr>
        <w:t xml:space="preserve"> שיש לו פירוש אחר בדברי הראשונים והשו"ע, דמה שכתוב "תרי שריר וקיים כשר" אין הפירוש להכשיר שיטה אחרונה ללמוד הימנו, דפשיטא דלא, אלא מכיון דלעיל כתב שטר שאין בו שריר וקיים פסול כל השטר </w:t>
      </w:r>
      <w:r>
        <w:rPr>
          <w:rFonts w:ascii="Arial" w:hAnsi="Arial"/>
          <w:sz w:val="16"/>
          <w:szCs w:val="16"/>
          <w:rtl/>
        </w:rPr>
        <w:t>(דכך קיימו וקבלו לפסול כל השטר שאין בו שריר וקיים)</w:t>
      </w:r>
      <w:r>
        <w:rPr>
          <w:rFonts w:ascii="Arial" w:hAnsi="Arial"/>
          <w:rtl/>
        </w:rPr>
        <w:t>, ע"ז קאמר דאם נכתב שני שריר וקיים השטר כשר, דהא הסופר עכ"פ עשה כתיקון וכתב שריר וקיים, ואם הוא הוסיף וכתב עוד, בשביל כך לא נפסל השטר שהיה כתוב כדינו, ודי דלא ללמוד משיטה אחרונה כי יש חשש זיוף, אבל השטר נכתב כדינו ולכך השטר כשר.</w:t>
      </w:r>
    </w:p>
  </w:footnote>
  <w:footnote w:id="3536">
    <w:p w14:paraId="4E07A028" w14:textId="77777777" w:rsidR="0013116F" w:rsidRDefault="0013116F" w:rsidP="001D49D4">
      <w:pPr>
        <w:pStyle w:val="a9"/>
        <w:spacing w:after="60"/>
        <w:rPr>
          <w:rFonts w:ascii="Arial" w:hAnsi="Arial"/>
          <w:rtl/>
        </w:rPr>
      </w:pPr>
      <w:r>
        <w:rPr>
          <w:rStyle w:val="ab"/>
          <w:rFonts w:ascii="Arial" w:hAnsi="Arial"/>
        </w:rPr>
        <w:footnoteRef/>
      </w:r>
      <w:r>
        <w:rPr>
          <w:rFonts w:ascii="Arial" w:hAnsi="Arial"/>
          <w:rtl/>
        </w:rPr>
        <w:t xml:space="preserve"> וכ"כ המאירי (קסא.) בפירוש וז"ל- "כל שנמצאו בשטה שאחריה שטה אחרת אם חלק אם מענינו של שטר כשר". וכ"כ הגר"א (סקכ"ה). וכן נראה מדברי הסמ"ע (סקט"ז) שהרי כ' שכהטעם שהביא הוא עצמו כ' ג"כ הרשב"ץ בשם הרשב"א, ולכאורה לא מובן, שהרי הסמ"ע התנה בכך שתיהיה שורה ריוח, והרשב"ץ בשם הרשב"א התנה בזה שהשריר וקיים לא יהיה כ' בשיטה אחרונה א"נ שתיהיה חזרה מעניינו של שטר, ולפני דברינו אתי שפיר.</w:t>
      </w:r>
    </w:p>
  </w:footnote>
  <w:footnote w:id="3537">
    <w:p w14:paraId="1597EB30" w14:textId="77777777" w:rsidR="0013116F" w:rsidRDefault="0013116F" w:rsidP="001D49D4">
      <w:pPr>
        <w:pStyle w:val="a9"/>
        <w:spacing w:after="60"/>
        <w:rPr>
          <w:rFonts w:ascii="Arial" w:hAnsi="Arial"/>
        </w:rPr>
      </w:pPr>
      <w:r>
        <w:rPr>
          <w:rStyle w:val="ab"/>
          <w:rFonts w:ascii="Arial" w:hAnsi="Arial"/>
        </w:rPr>
        <w:footnoteRef/>
      </w:r>
      <w:r>
        <w:rPr>
          <w:rFonts w:ascii="Arial" w:hAnsi="Arial"/>
          <w:rtl/>
        </w:rPr>
        <w:t xml:space="preserve"> דהיינו שאין שיטה ריוח, דאם יש שיטה ריוח כו"ע מודי דפסול.</w:t>
      </w:r>
    </w:p>
  </w:footnote>
  <w:footnote w:id="3538">
    <w:p w14:paraId="00263CF3" w14:textId="77777777" w:rsidR="0013116F" w:rsidRDefault="0013116F" w:rsidP="001D49D4">
      <w:pPr>
        <w:pStyle w:val="a9"/>
        <w:spacing w:after="60"/>
        <w:rPr>
          <w:rFonts w:ascii="Arial" w:hAnsi="Arial"/>
        </w:rPr>
      </w:pPr>
      <w:r>
        <w:rPr>
          <w:rStyle w:val="ab"/>
          <w:rFonts w:ascii="Arial" w:hAnsi="Arial"/>
        </w:rPr>
        <w:footnoteRef/>
      </w:r>
      <w:r>
        <w:rPr>
          <w:rFonts w:ascii="Arial" w:hAnsi="Arial"/>
          <w:rtl/>
        </w:rPr>
        <w:t xml:space="preserve"> דבר זה לא מפורש בתשו', אבל מוכרח לומר כן, דאל"כ איך יכול לבוא לגבות בשטר? וכן אמאי יש לפסול את השטר?.</w:t>
      </w:r>
    </w:p>
  </w:footnote>
  <w:footnote w:id="3539">
    <w:p w14:paraId="55FCE5B5" w14:textId="77777777" w:rsidR="0013116F" w:rsidRDefault="0013116F" w:rsidP="001D49D4">
      <w:pPr>
        <w:pStyle w:val="a9"/>
        <w:spacing w:after="60"/>
        <w:rPr>
          <w:rFonts w:ascii="Arial" w:hAnsi="Arial"/>
          <w:rtl/>
        </w:rPr>
      </w:pPr>
      <w:r>
        <w:rPr>
          <w:rStyle w:val="ab"/>
          <w:rFonts w:ascii="Arial" w:hAnsi="Arial"/>
        </w:rPr>
        <w:footnoteRef/>
      </w:r>
      <w:r>
        <w:rPr>
          <w:rFonts w:ascii="Arial" w:hAnsi="Arial"/>
          <w:rtl/>
        </w:rPr>
        <w:t xml:space="preserve"> וכ' הב"י וז"ל- ותמהני למה לא גער בסופר וגזר עליו שלא יוציא מידו שטר כיוצא בזה.</w:t>
      </w:r>
    </w:p>
  </w:footnote>
  <w:footnote w:id="3540">
    <w:p w14:paraId="620529C5" w14:textId="77777777" w:rsidR="0013116F" w:rsidRDefault="0013116F" w:rsidP="001D49D4">
      <w:pPr>
        <w:pStyle w:val="a9"/>
        <w:spacing w:after="60"/>
        <w:rPr>
          <w:rFonts w:ascii="Arial" w:hAnsi="Arial"/>
          <w:rtl/>
        </w:rPr>
      </w:pPr>
      <w:r>
        <w:rPr>
          <w:rStyle w:val="ab"/>
          <w:rFonts w:ascii="Arial" w:hAnsi="Arial"/>
        </w:rPr>
        <w:footnoteRef/>
      </w:r>
      <w:r>
        <w:rPr>
          <w:rFonts w:ascii="Arial" w:hAnsi="Arial"/>
          <w:rtl/>
        </w:rPr>
        <w:t xml:space="preserve"> וה"ה מילה אחרת.</w:t>
      </w:r>
    </w:p>
  </w:footnote>
  <w:footnote w:id="3541">
    <w:p w14:paraId="7B204AB2" w14:textId="77777777" w:rsidR="0013116F" w:rsidRDefault="0013116F" w:rsidP="001D49D4">
      <w:pPr>
        <w:pStyle w:val="a9"/>
        <w:spacing w:after="60"/>
        <w:rPr>
          <w:rFonts w:ascii="Arial" w:hAnsi="Arial"/>
          <w:rtl/>
        </w:rPr>
      </w:pPr>
      <w:r>
        <w:rPr>
          <w:rStyle w:val="ab"/>
          <w:rFonts w:ascii="Arial" w:hAnsi="Arial"/>
        </w:rPr>
        <w:footnoteRef/>
      </w:r>
      <w:r>
        <w:rPr>
          <w:rFonts w:ascii="Arial" w:hAnsi="Arial"/>
          <w:rtl/>
        </w:rPr>
        <w:t xml:space="preserve"> ונ"ל שדוקא גרר, אבל אם היה כתוב בקיום שיש מחק או תלויה בזה א"א לתלות ולומר שהעדים כן ידעו איפה השינוי רק שאנחנו לא רואים מחמת דקות השינוי.</w:t>
      </w:r>
    </w:p>
  </w:footnote>
  <w:footnote w:id="3542">
    <w:p w14:paraId="20DE9098" w14:textId="77777777" w:rsidR="0013116F" w:rsidRDefault="0013116F" w:rsidP="001D49D4">
      <w:pPr>
        <w:pStyle w:val="a9"/>
        <w:spacing w:after="60"/>
        <w:rPr>
          <w:rFonts w:ascii="Arial" w:hAnsi="Arial"/>
          <w:rtl/>
        </w:rPr>
      </w:pPr>
      <w:r>
        <w:rPr>
          <w:rStyle w:val="ab"/>
          <w:rFonts w:ascii="Arial" w:hAnsi="Arial"/>
        </w:rPr>
        <w:footnoteRef/>
      </w:r>
      <w:r>
        <w:rPr>
          <w:rFonts w:ascii="Arial" w:hAnsi="Arial"/>
          <w:rtl/>
        </w:rPr>
        <w:t xml:space="preserve"> דכיון שנתקיים השטר בחותמיו כבר העידו העדים על כל מה שכתוב בו שהוא כן ואולי שנגרר כ"כ בדקות שלא ניכר מקומו עכשיו, ואם נפשך לומר: כיון שאמר כאן שיש אות פלונית על הגרר ניחוש שמא היה להם לגרור טעות שיש בו ולכתוב עליו אותו אות ונשאר הטעות כמו שהיה- זה דבר רחוק מאד שהם יכתבו כן על העתיד לגרור וישתכח מהם ולא יגררו ולא יתקנו איני רואה לחוש לזה ולפסול השטר ע"ז, רשב"א</w:t>
      </w:r>
      <w:r>
        <w:rPr>
          <w:rFonts w:ascii="Arial" w:hAnsi="Arial"/>
          <w:sz w:val="16"/>
          <w:szCs w:val="16"/>
          <w:rtl/>
        </w:rPr>
        <w:t xml:space="preserve"> (ח"ב סימן נו)</w:t>
      </w:r>
      <w:r>
        <w:rPr>
          <w:rFonts w:ascii="Arial" w:hAnsi="Arial"/>
          <w:rtl/>
        </w:rPr>
        <w:t>.</w:t>
      </w:r>
    </w:p>
  </w:footnote>
  <w:footnote w:id="3543">
    <w:p w14:paraId="155DC980" w14:textId="77777777" w:rsidR="0013116F" w:rsidRDefault="0013116F" w:rsidP="001D49D4">
      <w:pPr>
        <w:pStyle w:val="a9"/>
        <w:spacing w:after="60"/>
        <w:rPr>
          <w:rFonts w:ascii="Arial" w:hAnsi="Arial"/>
        </w:rPr>
      </w:pPr>
      <w:r>
        <w:rPr>
          <w:rStyle w:val="ab"/>
          <w:rFonts w:ascii="Arial" w:hAnsi="Arial"/>
        </w:rPr>
        <w:footnoteRef/>
      </w:r>
      <w:r>
        <w:rPr>
          <w:rFonts w:ascii="Arial" w:hAnsi="Arial"/>
          <w:rtl/>
        </w:rPr>
        <w:t xml:space="preserve"> ושיהיה בכתב יד של אחד מן העדים, שאם העד הראשון כתב זה, הנה שניהם מעידים בזה, ואם העד השני כתב זה, ג"כ אין לחוש שהוא עושה זה מעצמו מבלי הסכמת הראשון, שאין להחזיק העד במזוייף </w:t>
      </w:r>
      <w:r>
        <w:rPr>
          <w:rFonts w:ascii="Arial" w:hAnsi="Arial"/>
          <w:sz w:val="14"/>
          <w:szCs w:val="14"/>
          <w:rtl/>
        </w:rPr>
        <w:t>(כפי דעת הרשב"א)</w:t>
      </w:r>
      <w:r>
        <w:rPr>
          <w:rFonts w:ascii="Arial" w:hAnsi="Arial"/>
          <w:rtl/>
        </w:rPr>
        <w:t>, אבל אם כתוב מיד אחר, אינו כלום, שהרי אנו תולין שהניחו העדים חלק בין עד לעד ובא זה וזייף</w:t>
      </w:r>
      <w:r>
        <w:rPr>
          <w:rFonts w:ascii="Arial" w:hAnsi="Arial"/>
          <w:sz w:val="16"/>
          <w:szCs w:val="16"/>
          <w:rtl/>
        </w:rPr>
        <w:t xml:space="preserve"> (וכיון שאין הקיום מועיל בין עד לעד, זולתי בכתב ידי אחד מן העדים, אין לפסול שטר שיש חלק בין סהדא לסהדא, שהרי מעתה אין לחוש לזיוף. וכי תימא, עדיין יש לחוש דילמא גייז כל השטר וחתימת העד הראשון, ויכתוב על החלק שהעד חייב לו מנה, אין לפסול השטר בשביל זה, כיון שאינו יכול להזדייף לחובת אחרים רק לחובת העד, והוא יחוש לעצמו, וכ"כ הרמב"ן)</w:t>
      </w:r>
      <w:r>
        <w:rPr>
          <w:rFonts w:ascii="Arial" w:hAnsi="Arial"/>
          <w:rtl/>
        </w:rPr>
        <w:t>, ריב"ש (סי' מט).</w:t>
      </w:r>
    </w:p>
  </w:footnote>
  <w:footnote w:id="3544">
    <w:p w14:paraId="4A07E268" w14:textId="77777777" w:rsidR="0013116F" w:rsidRDefault="0013116F" w:rsidP="001D49D4">
      <w:pPr>
        <w:pStyle w:val="a9"/>
        <w:spacing w:after="60"/>
        <w:rPr>
          <w:rFonts w:ascii="Arial" w:hAnsi="Arial"/>
        </w:rPr>
      </w:pPr>
      <w:r>
        <w:rPr>
          <w:rStyle w:val="ab"/>
          <w:rFonts w:ascii="Arial" w:hAnsi="Arial"/>
        </w:rPr>
        <w:footnoteRef/>
      </w:r>
      <w:r>
        <w:rPr>
          <w:rFonts w:ascii="Arial" w:hAnsi="Arial"/>
          <w:rtl/>
        </w:rPr>
        <w:t xml:space="preserve"> וסיים שם הרשב"א- זו...</w:t>
      </w:r>
    </w:p>
  </w:footnote>
  <w:footnote w:id="3545">
    <w:p w14:paraId="2B857E62" w14:textId="77777777" w:rsidR="0013116F" w:rsidRDefault="0013116F" w:rsidP="001D49D4">
      <w:pPr>
        <w:pStyle w:val="a9"/>
        <w:spacing w:after="60"/>
        <w:rPr>
          <w:rFonts w:ascii="Arial" w:hAnsi="Arial"/>
        </w:rPr>
      </w:pPr>
      <w:r>
        <w:rPr>
          <w:rStyle w:val="ab"/>
          <w:rFonts w:ascii="Arial" w:hAnsi="Arial"/>
        </w:rPr>
        <w:footnoteRef/>
      </w:r>
      <w:r>
        <w:rPr>
          <w:rFonts w:ascii="Arial" w:hAnsi="Arial"/>
          <w:rtl/>
        </w:rPr>
        <w:t xml:space="preserve"> הב"י הביא עוד תשובה של הרשב"א (במיוחסות סי' צד) שהתוכן שלה זהה לתשובה שהובאה כאן, רק ששם לא ציין הרשב"א שהיא להלכה ולא למעשה, לכן הב"י כ' שה"ה לתשובה זו (במיוחסות) שאין לסמוך עליה למעשה. והה"מ (פכ"ז הי"א) העתיק את דברי הרשב"א במיוחסות בסתם, ולא כתב שאין לסמוך עליה למעשה.</w:t>
      </w:r>
    </w:p>
  </w:footnote>
  <w:footnote w:id="3546">
    <w:p w14:paraId="3B4E3DD5" w14:textId="77777777" w:rsidR="0013116F" w:rsidRDefault="0013116F" w:rsidP="001D49D4">
      <w:pPr>
        <w:pStyle w:val="a9"/>
        <w:spacing w:after="60"/>
        <w:rPr>
          <w:rFonts w:ascii="Arial" w:hAnsi="Arial"/>
        </w:rPr>
      </w:pPr>
      <w:r>
        <w:rPr>
          <w:rStyle w:val="ab"/>
          <w:rFonts w:ascii="Arial" w:hAnsi="Arial"/>
        </w:rPr>
        <w:footnoteRef/>
      </w:r>
      <w:r>
        <w:rPr>
          <w:rFonts w:ascii="Arial" w:hAnsi="Arial"/>
          <w:rtl/>
        </w:rPr>
        <w:t xml:space="preserve"> עיין בתומים (סקי"ג) שכ' דאי אין חתום אלא עד אחד דכתוב בין סהדא לסהדא, ואותו קיום הוא כתב ידי עד השני, י"ל דבדיעבד כשר, ועל כל פנים יכול המוחזק לומר קים לי בלי פקפוק.</w:t>
      </w:r>
    </w:p>
  </w:footnote>
  <w:footnote w:id="3547">
    <w:p w14:paraId="43A6F21D" w14:textId="77777777" w:rsidR="0013116F" w:rsidRDefault="0013116F" w:rsidP="001D49D4">
      <w:pPr>
        <w:pStyle w:val="a9"/>
        <w:spacing w:after="60"/>
        <w:rPr>
          <w:rFonts w:ascii="Arial" w:hAnsi="Arial"/>
          <w:rtl/>
        </w:rPr>
      </w:pPr>
      <w:r>
        <w:rPr>
          <w:rStyle w:val="ab"/>
          <w:rFonts w:ascii="Arial" w:hAnsi="Arial"/>
        </w:rPr>
        <w:footnoteRef/>
      </w:r>
      <w:r>
        <w:rPr>
          <w:rFonts w:ascii="Arial" w:hAnsi="Arial"/>
          <w:rtl/>
        </w:rPr>
        <w:t xml:space="preserve"> לסיעת הפוסלים שטר שכ' בו תרי שריר וקיים-...</w:t>
      </w:r>
    </w:p>
  </w:footnote>
  <w:footnote w:id="3548">
    <w:p w14:paraId="76A3254A" w14:textId="77777777" w:rsidR="0013116F" w:rsidRDefault="0013116F" w:rsidP="001D49D4">
      <w:pPr>
        <w:pStyle w:val="a9"/>
        <w:spacing w:after="60"/>
        <w:rPr>
          <w:rFonts w:ascii="Arial" w:hAnsi="Arial"/>
          <w:rtl/>
        </w:rPr>
      </w:pPr>
      <w:r>
        <w:rPr>
          <w:rStyle w:val="ab"/>
          <w:rFonts w:ascii="Arial" w:hAnsi="Arial"/>
        </w:rPr>
        <w:footnoteRef/>
      </w:r>
      <w:r>
        <w:rPr>
          <w:rFonts w:ascii="Arial" w:hAnsi="Arial"/>
          <w:rtl/>
        </w:rPr>
        <w:t xml:space="preserve"> נראה דהיינו ביומו, או שכותבין יום אחר להדיא, דאל"כ הוה ליה מוקדם, ופשוט, אורים (סקכ"ו).</w:t>
      </w:r>
    </w:p>
  </w:footnote>
  <w:footnote w:id="3549">
    <w:p w14:paraId="6BDA7128" w14:textId="77777777" w:rsidR="0013116F" w:rsidRDefault="0013116F" w:rsidP="001D49D4">
      <w:pPr>
        <w:pStyle w:val="a9"/>
        <w:rPr>
          <w:rFonts w:ascii="Calibri" w:hAnsi="Calibri"/>
        </w:rPr>
      </w:pPr>
      <w:r>
        <w:rPr>
          <w:rStyle w:val="ab"/>
        </w:rPr>
        <w:footnoteRef/>
      </w:r>
      <w:r>
        <w:rPr>
          <w:rtl/>
        </w:rPr>
        <w:t xml:space="preserve"> </w:t>
      </w:r>
      <w:r>
        <w:rPr>
          <w:rFonts w:hint="cs"/>
          <w:rtl/>
        </w:rPr>
        <w:t>סימן – פלומבה בזנב.</w:t>
      </w:r>
    </w:p>
  </w:footnote>
  <w:footnote w:id="3550">
    <w:p w14:paraId="3633ED50" w14:textId="77777777" w:rsidR="0013116F" w:rsidRDefault="0013116F" w:rsidP="001D49D4">
      <w:pPr>
        <w:pStyle w:val="a9"/>
      </w:pPr>
      <w:r>
        <w:rPr>
          <w:rStyle w:val="ab"/>
        </w:rPr>
        <w:footnoteRef/>
      </w:r>
      <w:r>
        <w:rPr>
          <w:rtl/>
        </w:rPr>
        <w:t xml:space="preserve"> כלומר ולא מן הצדדין ולא מלמעלה כדתנן בסוף גיטין, ב"י.</w:t>
      </w:r>
    </w:p>
  </w:footnote>
  <w:footnote w:id="3551">
    <w:p w14:paraId="0123F18E" w14:textId="77777777" w:rsidR="0013116F" w:rsidRDefault="0013116F" w:rsidP="001D49D4">
      <w:pPr>
        <w:pStyle w:val="a9"/>
      </w:pPr>
      <w:r>
        <w:rPr>
          <w:rStyle w:val="ab"/>
        </w:rPr>
        <w:footnoteRef/>
      </w:r>
      <w:r>
        <w:rPr>
          <w:rtl/>
        </w:rPr>
        <w:t xml:space="preserve"> </w:t>
      </w:r>
      <w:r>
        <w:rPr>
          <w:rFonts w:hint="cs"/>
          <w:rtl/>
        </w:rPr>
        <w:t>סימן – יודעי טקסט.</w:t>
      </w:r>
    </w:p>
  </w:footnote>
  <w:footnote w:id="3552">
    <w:p w14:paraId="5AF67FBE" w14:textId="77777777" w:rsidR="0013116F" w:rsidRDefault="0013116F" w:rsidP="001D49D4">
      <w:pPr>
        <w:pStyle w:val="a9"/>
      </w:pPr>
      <w:r>
        <w:rPr>
          <w:rStyle w:val="ab"/>
        </w:rPr>
        <w:footnoteRef/>
      </w:r>
      <w:r>
        <w:rPr>
          <w:rtl/>
        </w:rPr>
        <w:t xml:space="preserve"> להא דרב גמדא, רש"י.</w:t>
      </w:r>
    </w:p>
  </w:footnote>
  <w:footnote w:id="3553">
    <w:p w14:paraId="3D8F8DD7" w14:textId="77777777" w:rsidR="0013116F" w:rsidRDefault="0013116F" w:rsidP="001D49D4">
      <w:pPr>
        <w:pStyle w:val="a9"/>
      </w:pPr>
      <w:r>
        <w:rPr>
          <w:rStyle w:val="ab"/>
        </w:rPr>
        <w:footnoteRef/>
      </w:r>
      <w:r>
        <w:rPr>
          <w:rtl/>
        </w:rPr>
        <w:t xml:space="preserve"> שאם יודעים לחתום אף על פי שאין יודעים לקרות קרו קמייהו אחריני כרבנן ודרב כהנא בשאין יודעים לחתום, רש"י.</w:t>
      </w:r>
    </w:p>
  </w:footnote>
  <w:footnote w:id="3554">
    <w:p w14:paraId="47415309" w14:textId="77777777" w:rsidR="0013116F" w:rsidRDefault="0013116F" w:rsidP="001D49D4">
      <w:pPr>
        <w:pStyle w:val="a9"/>
      </w:pPr>
      <w:r>
        <w:rPr>
          <w:rStyle w:val="ab"/>
        </w:rPr>
        <w:footnoteRef/>
      </w:r>
      <w:r>
        <w:rPr>
          <w:rtl/>
        </w:rPr>
        <w:t xml:space="preserve"> זקן היה ועיניו כהות וכשהיה צריך לחתום בעד או בדיין מצטער בקריאת שטר וקורהו וחותם, רש"י.</w:t>
      </w:r>
    </w:p>
  </w:footnote>
  <w:footnote w:id="3555">
    <w:p w14:paraId="301B699F" w14:textId="77777777" w:rsidR="0013116F" w:rsidRDefault="0013116F" w:rsidP="001D49D4">
      <w:pPr>
        <w:pStyle w:val="a9"/>
      </w:pPr>
      <w:r>
        <w:rPr>
          <w:rStyle w:val="ab"/>
        </w:rPr>
        <w:footnoteRef/>
      </w:r>
      <w:r>
        <w:rPr>
          <w:rtl/>
        </w:rPr>
        <w:t xml:space="preserve"> בקי מכל חביריו ובמס' נדה מפרש אמאי קרי ליה מרא דארעא דישראל בפרק שני דנדה (דף כ:), רש"י. </w:t>
      </w:r>
      <w:r>
        <w:rPr>
          <w:sz w:val="16"/>
          <w:szCs w:val="16"/>
          <w:rtl/>
        </w:rPr>
        <w:t>(שם בגמרא כתוב כך: ואמאי קרו ליה מרא דארעא דישראל? דההיא אתתא דאייתא דמא לקמיה דרבי אלעזר, הוה יתיב רבי אמי קמיה, ארחיה, אמר לה: האי דם חימוד הוא. בתר דנפקה אטפל לה רבי אמי. א"ל: בעלי היה בדרך וחמדתיו, קרי עליה: סוד ה' ליראיו)</w:t>
      </w:r>
    </w:p>
  </w:footnote>
  <w:footnote w:id="3556">
    <w:p w14:paraId="26AFBB13" w14:textId="77777777" w:rsidR="0013116F" w:rsidRDefault="0013116F" w:rsidP="001D49D4">
      <w:pPr>
        <w:pStyle w:val="a9"/>
      </w:pPr>
      <w:r>
        <w:rPr>
          <w:rStyle w:val="ab"/>
        </w:rPr>
        <w:footnoteRef/>
      </w:r>
      <w:r>
        <w:rPr>
          <w:rtl/>
        </w:rPr>
        <w:t xml:space="preserve"> דיין היה ממונה מפי ריש גלותא וחתנא דבי נשיאה כדאמרינן בהעור והרוטב (חולין קכד:) וסופרי הדיינים יראים ממנו ולא משקרי, רש"י. וכתב הב"י דלאו כעד מפי עד דמי שהרי הוא בעצמו ראה אותה העדות ואינו מאמין אחרים בה אלא לומר שכך כתוב בשטר זה וזו אינה עדות אלא מילתא דעבידא לאיגלויי היא וכיון דאית להו אימתא דידיה מהימני.</w:t>
      </w:r>
    </w:p>
  </w:footnote>
  <w:footnote w:id="3557">
    <w:p w14:paraId="3EA8983A" w14:textId="77777777" w:rsidR="0013116F" w:rsidRDefault="0013116F" w:rsidP="001D49D4">
      <w:pPr>
        <w:pStyle w:val="a9"/>
      </w:pPr>
      <w:r>
        <w:rPr>
          <w:rStyle w:val="ab"/>
        </w:rPr>
        <w:footnoteRef/>
      </w:r>
      <w:r>
        <w:rPr>
          <w:rtl/>
        </w:rPr>
        <w:t xml:space="preserve"> </w:t>
      </w:r>
      <w:r>
        <w:rPr>
          <w:rFonts w:hint="cs"/>
          <w:rtl/>
        </w:rPr>
        <w:t xml:space="preserve">כתב הרא"ש שהרי"ף </w:t>
      </w:r>
      <w:r>
        <w:rPr>
          <w:rtl/>
        </w:rPr>
        <w:t>לא הביא הא ד-'אמר רב גמדא אין הלכה כרשב"ג' משום דכיון דסתמא דתלמודא קאמר ד-'רבא אמר הלכה כרשב"ג' - סמכינן עלה יותר מאהא דאמר רב גמדא משמיה דרבא, הילכך הלכה כרשב"ג בין בקריאה בין בחתימה. עכ"ל הרא"ש. ובהגהות בפרק הנזכר (אות ג) כתב שר"ח וראבי"ה פסקו כרשב"ג, ב"י.</w:t>
      </w:r>
    </w:p>
  </w:footnote>
  <w:footnote w:id="3558">
    <w:p w14:paraId="64E4B81E" w14:textId="77777777" w:rsidR="0013116F" w:rsidRDefault="0013116F" w:rsidP="001D49D4">
      <w:pPr>
        <w:pStyle w:val="a9"/>
        <w:rPr>
          <w:rtl/>
        </w:rPr>
      </w:pPr>
      <w:r>
        <w:rPr>
          <w:rStyle w:val="ab"/>
        </w:rPr>
        <w:footnoteRef/>
      </w:r>
      <w:r>
        <w:rPr>
          <w:rtl/>
        </w:rPr>
        <w:t xml:space="preserve"> </w:t>
      </w:r>
      <w:r>
        <w:rPr>
          <w:rFonts w:hint="cs"/>
          <w:rtl/>
        </w:rPr>
        <w:t>וכתב הרא"ש</w:t>
      </w:r>
      <w:r>
        <w:rPr>
          <w:rtl/>
        </w:rPr>
        <w:t xml:space="preserve"> שלפי דברי הרי"ף צריך לפרש הא דקאמר ת"ק קורין לפניהם וחותמים - אפילו באחד קורא לפניו סגי, דכיון דמילתא דעבידא לאיגלויי היא מירתת, דאי בשנים קורין לפניו בהא לא הוה פסיל רשב"ג, דאפילו בשני גוים מסיחים לפי תומם מכשר רב פפא (שם).</w:t>
      </w:r>
    </w:p>
  </w:footnote>
  <w:footnote w:id="3559">
    <w:p w14:paraId="357848F1" w14:textId="77777777" w:rsidR="0013116F" w:rsidRDefault="0013116F" w:rsidP="001D49D4">
      <w:pPr>
        <w:pStyle w:val="a9"/>
        <w:rPr>
          <w:rtl/>
        </w:rPr>
      </w:pPr>
      <w:r>
        <w:rPr>
          <w:rStyle w:val="ab"/>
        </w:rPr>
        <w:footnoteRef/>
      </w:r>
      <w:r>
        <w:rPr>
          <w:rtl/>
        </w:rPr>
        <w:t xml:space="preserve"> </w:t>
      </w:r>
      <w:r>
        <w:rPr>
          <w:rFonts w:hint="cs"/>
          <w:rtl/>
        </w:rPr>
        <w:t>וכן פירשו ה</w:t>
      </w:r>
      <w:r>
        <w:rPr>
          <w:rtl/>
        </w:rPr>
        <w:t xml:space="preserve">תוס' </w:t>
      </w:r>
      <w:r>
        <w:rPr>
          <w:sz w:val="16"/>
          <w:szCs w:val="16"/>
          <w:rtl/>
        </w:rPr>
        <w:t>(ט: ד"ה קורין לפניהם)</w:t>
      </w:r>
      <w:r>
        <w:rPr>
          <w:rtl/>
        </w:rPr>
        <w:t xml:space="preserve"> דמיירי כששני עדים קורין בפניו.</w:t>
      </w:r>
    </w:p>
  </w:footnote>
  <w:footnote w:id="3560">
    <w:p w14:paraId="62930A8F" w14:textId="77777777" w:rsidR="0013116F" w:rsidRDefault="0013116F" w:rsidP="001D49D4">
      <w:pPr>
        <w:pStyle w:val="a9"/>
      </w:pPr>
      <w:r>
        <w:rPr>
          <w:rStyle w:val="ab"/>
        </w:rPr>
        <w:footnoteRef/>
      </w:r>
      <w:r>
        <w:rPr>
          <w:rtl/>
        </w:rPr>
        <w:t xml:space="preserve"> ובגיטי נשים אחד קורא לפניהם והם חותמים, קיצור פסקי הרא"ש.</w:t>
      </w:r>
      <w:r>
        <w:rPr>
          <w:color w:val="FF0000"/>
          <w:rtl/>
        </w:rPr>
        <w:t xml:space="preserve"> וצל"ע מניין הוציא כן שהרי מדברי הרא"ש לא משמע כן.</w:t>
      </w:r>
    </w:p>
  </w:footnote>
  <w:footnote w:id="3561">
    <w:p w14:paraId="3E08F4F4" w14:textId="77777777" w:rsidR="0013116F" w:rsidRDefault="0013116F" w:rsidP="001D49D4">
      <w:pPr>
        <w:pStyle w:val="a9"/>
        <w:rPr>
          <w:rtl/>
        </w:rPr>
      </w:pPr>
      <w:r>
        <w:rPr>
          <w:rStyle w:val="ab"/>
        </w:rPr>
        <w:footnoteRef/>
      </w:r>
      <w:r>
        <w:rPr>
          <w:rtl/>
        </w:rPr>
        <w:t xml:space="preserve"> וכ"פ באו"ז </w:t>
      </w:r>
      <w:r>
        <w:rPr>
          <w:sz w:val="16"/>
          <w:szCs w:val="16"/>
          <w:rtl/>
        </w:rPr>
        <w:t>{שאם קראו שנים לפניו שיכול לחתום, ב"י}</w:t>
      </w:r>
      <w:r>
        <w:rPr>
          <w:rtl/>
        </w:rPr>
        <w:t>, והוא שיודעים בלשון הקודש שמבינים מה שקורין לפניהם שאל"כ מה מועיל מה שקורין לפניהם, הג"א (סי' יב אות ג). והביאו הב"י, וכתב דכוונתו לומר דלאו דווקא צריך שיבינו לשון הקודש אלא ה"ה אם תרגמו להם השטר בלשון שהם מבינים, ולא בא למעט אלא שאם קראוהו להם בלשון הקודש והם אינם מבינים דלא מהני, וכ"כ רבינו באהע"ז סי' קל (ל.) על דברי הרמב"ם (הל' גירושין שם).</w:t>
      </w:r>
      <w:r>
        <w:rPr>
          <w:color w:val="00B0F0"/>
          <w:rtl/>
        </w:rPr>
        <w:t xml:space="preserve"> (וכ"פ הרמ"א)</w:t>
      </w:r>
    </w:p>
  </w:footnote>
  <w:footnote w:id="3562">
    <w:p w14:paraId="78AA08C8" w14:textId="77777777" w:rsidR="0013116F" w:rsidRDefault="0013116F" w:rsidP="001D49D4">
      <w:pPr>
        <w:pStyle w:val="a9"/>
        <w:rPr>
          <w:rtl/>
        </w:rPr>
      </w:pPr>
      <w:r>
        <w:rPr>
          <w:rStyle w:val="ab"/>
        </w:rPr>
        <w:footnoteRef/>
      </w:r>
      <w:r>
        <w:rPr>
          <w:rtl/>
        </w:rPr>
        <w:t xml:space="preserve"> לאחר שהביא הב"י את הבנת הרא"ש ברי"ף כתב וז"ל- אבל הר"ן בפירושו להרי"ף (שם ד"ה ודוקא) לא הזכיר חילוק בין קראוהו שנים לקראוהו אחד, גם הרמב"ם והה"מ בפכ"ד ממלוה ולוה (ה"ה, ז) לא הזכירוהו, ובפ"א דגירושין (הכ"ג) כתב דבגט אע"פ שאין יודעין לקרות קורין לפניהם וחותמים וכן מקרעין להם נייר וחותמים ואין עושין כן בשאר שטרות, ומשמע דקאי לתרוייהו והיינו כרשב"ג דסתמא דתלמודא אמר משמיה דרבא דהלכה כותיה, ומשמע נמי דהרמב"ם כשיטת הרי"ף רבו אמרה, כך נ"ל. ומה שהביא הרא"ש ראיה מדאכשר רב פפא בשני גוים - שאני התם שהם מסיחים לפי תומם.</w:t>
      </w:r>
    </w:p>
  </w:footnote>
  <w:footnote w:id="3563">
    <w:p w14:paraId="2E1FE030" w14:textId="77777777" w:rsidR="0013116F" w:rsidRDefault="0013116F" w:rsidP="001D49D4">
      <w:pPr>
        <w:pStyle w:val="a9"/>
        <w:rPr>
          <w:rtl/>
        </w:rPr>
      </w:pPr>
      <w:r>
        <w:rPr>
          <w:rStyle w:val="ab"/>
        </w:rPr>
        <w:footnoteRef/>
      </w:r>
      <w:r>
        <w:rPr>
          <w:rtl/>
        </w:rPr>
        <w:t xml:space="preserve"> הביאו הרא"ש (סי' יב) וכתב דמה שכתב במסיח לפי תומו לא נהירא דלא בעינן לפי תומו אלא בגוי משום דאי הוה ידע דסמכינן עליה הוה משקר אבל בי תרי ישראל לא חשידי לשקר. עכ"ל. וכתב הב"י דודאי בהעי"ט כהרמב"ם סבירא ליה, אלא דהוה קשה לו מדאכשר רב פפא בשני גוים ותירצה דהתם במסיח לפי תומו, ואפשר דלהרמב"ם בשני ישראלים אפילו מסיחים לפי תומם לא שרינן, דהתם אי אפשר בלאו הכי דלא שכיח מי שיודע לקרות כתב הגוים ואם לא נאמין לשני גוים מסיחים לפי תומם למי נאמין.</w:t>
      </w:r>
    </w:p>
  </w:footnote>
  <w:footnote w:id="3564">
    <w:p w14:paraId="17E84AE9" w14:textId="77777777" w:rsidR="0013116F" w:rsidRDefault="0013116F" w:rsidP="001D49D4">
      <w:pPr>
        <w:pStyle w:val="a9"/>
        <w:rPr>
          <w:rtl/>
        </w:rPr>
      </w:pPr>
      <w:r>
        <w:rPr>
          <w:rStyle w:val="ab"/>
        </w:rPr>
        <w:footnoteRef/>
      </w:r>
      <w:r>
        <w:rPr>
          <w:rtl/>
        </w:rPr>
        <w:t xml:space="preserve"> </w:t>
      </w:r>
      <w:r>
        <w:rPr>
          <w:rFonts w:hint="cs"/>
          <w:rtl/>
        </w:rPr>
        <w:t xml:space="preserve">וכתב עוד בהעי"ט- </w:t>
      </w:r>
      <w:r>
        <w:rPr>
          <w:rtl/>
        </w:rPr>
        <w:t>והילכתא היכא דחתומי סהדי בשטר ולא קי"ל אי ידעי למיקר' אי לא - בחזקת כשרין קיימי ומקיימי ליה בי דינא ומגבינן ביה כדי שלא תנעול דלת בפני לווין. ואי קים לן דלא ידעי למיקרי אע"ג דמסהדי אחתימות ידיהו דייקי בסהדותא ע"פ, אי מכווני אשטרא - מקיימי' ליה, כדכתב לעיל, והכין כתבי רבוותא. והא דאמרינן בשטרא פרסאה והא לא ידעי למיקרי - דוקא בשטרא פרסאה. אבל דידן חזקה דידעי. ודווקא בליתנהו קמן, אבל איתנהו קמא בדקינן להו אי אמרי אקרינן להו למאן דידעי למיקרי - סמכינן עליהו, ואי לא לא. ודווקא רב נחמן וספרי דדייני. אבל רב נחמן וספרי אחריני א"נ ספרי דדייני ואיניש אחרינא לא.</w:t>
      </w:r>
    </w:p>
  </w:footnote>
  <w:footnote w:id="3565">
    <w:p w14:paraId="458E8C55" w14:textId="77777777" w:rsidR="0013116F" w:rsidRDefault="0013116F" w:rsidP="001D49D4">
      <w:pPr>
        <w:pStyle w:val="a9"/>
        <w:rPr>
          <w:rtl/>
        </w:rPr>
      </w:pPr>
      <w:r>
        <w:rPr>
          <w:rStyle w:val="ab"/>
        </w:rPr>
        <w:footnoteRef/>
      </w:r>
      <w:r>
        <w:rPr>
          <w:rtl/>
        </w:rPr>
        <w:t xml:space="preserve"> כלומר שלא הכשירו אלא בשטר מעשה בית דין, ואין הלשון מוכיח כן, שאמרו אי נמי ספרי דדייני ואיניש אחרינא לא ולא אמרו ודיינא אחרינא, הה"מ (מלוה פכ"ד ה"ז).</w:t>
      </w:r>
    </w:p>
  </w:footnote>
  <w:footnote w:id="3566">
    <w:p w14:paraId="08AA81DB" w14:textId="77777777" w:rsidR="0013116F" w:rsidRDefault="0013116F" w:rsidP="001D49D4">
      <w:pPr>
        <w:pStyle w:val="a9"/>
        <w:rPr>
          <w:rFonts w:ascii="Arial" w:hAnsi="Arial"/>
          <w:rtl/>
        </w:rPr>
      </w:pPr>
      <w:r>
        <w:rPr>
          <w:rStyle w:val="ab"/>
          <w:rFonts w:ascii="Arial" w:hAnsi="Arial"/>
        </w:rPr>
        <w:footnoteRef/>
      </w:r>
      <w:r>
        <w:rPr>
          <w:rFonts w:ascii="Arial" w:hAnsi="Arial"/>
          <w:rtl/>
        </w:rPr>
        <w:t xml:space="preserve"> </w:t>
      </w:r>
      <w:r>
        <w:rPr>
          <w:rFonts w:ascii="Arial" w:hAnsi="Arial" w:hint="cs"/>
          <w:rtl/>
        </w:rPr>
        <w:t xml:space="preserve">ז"ל- </w:t>
      </w:r>
      <w:r>
        <w:rPr>
          <w:rtl/>
        </w:rPr>
        <w:t xml:space="preserve">וספרי דייני דאית להו אימתא, על זה סמכו חכמי הקהל לחתום הכתובה קודם הברכה דאיכא אימתא דציבורא לשקר, וגם העדים חותמים קודם הברכה וליכא משום מיחזי כשיקרא כיון דעסוקים באותו ענין. ויש מקומות שאין חותמין עד אחר הברכה שכבר הקנין נעשה בפניהם. עכ"ל. </w:t>
      </w:r>
      <w:r>
        <w:rPr>
          <w:rFonts w:ascii="Arial" w:hAnsi="Arial"/>
          <w:rtl/>
        </w:rPr>
        <w:t>וכ' הגר"א</w:t>
      </w:r>
      <w:r>
        <w:rPr>
          <w:rFonts w:ascii="Arial" w:hAnsi="Arial"/>
          <w:sz w:val="16"/>
          <w:szCs w:val="16"/>
          <w:rtl/>
        </w:rPr>
        <w:t xml:space="preserve"> (אהע"ז סי' סו סק"ט) </w:t>
      </w:r>
      <w:r>
        <w:rPr>
          <w:rFonts w:ascii="Arial" w:hAnsi="Arial"/>
          <w:rtl/>
        </w:rPr>
        <w:t>וז"ל- המרדכי הזה קשה להולמו, ומצאתי במרדכי מוגה וז"ל- ע"ז סמכו חכמים שמניחין לחתום הכתובה בני אדם שאינם יודעים לקרותה וטעמא משום שקראוהו חכמי הקהל ואיכא אימתא דציבורא לשקר וגם העדים כו'. וכן הוא בהגה"א שם ד"ה ובכתובות שלנו כו', ומ"מ סוף דברי המרדכי איני יכול להולמו מאי מיחזי כשיקרא איכא וכי בלא קנין אינם יכולים לחתום, לא מיבעיא לדעת רב האי בסע' ח'</w:t>
      </w:r>
      <w:r>
        <w:rPr>
          <w:rFonts w:ascii="Arial" w:hAnsi="Arial"/>
          <w:sz w:val="16"/>
          <w:szCs w:val="16"/>
          <w:rtl/>
        </w:rPr>
        <w:t xml:space="preserve"> (שם)</w:t>
      </w:r>
      <w:r>
        <w:rPr>
          <w:rFonts w:ascii="Arial" w:hAnsi="Arial"/>
          <w:rtl/>
        </w:rPr>
        <w:t xml:space="preserve"> דא"צ קניין אלא אפילו לדעת החולקים מ"מ כיון שאמר להם כתובו וחתומו ודאי א"צ דלא גרע משאר מתנה, וכמ"ש בר"פ אף על פי ושאר מקומות, ואפשר לדחוק דלא אמר להם כתובו וחתומו וצ"ל דקנין לאו דוקא, וצ"ע.</w:t>
      </w:r>
    </w:p>
  </w:footnote>
  <w:footnote w:id="3567">
    <w:p w14:paraId="10447465" w14:textId="77777777" w:rsidR="0013116F" w:rsidRDefault="0013116F" w:rsidP="001D49D4">
      <w:pPr>
        <w:pStyle w:val="a9"/>
        <w:rPr>
          <w:rFonts w:ascii="Calibri" w:hAnsi="Calibri"/>
          <w:rtl/>
        </w:rPr>
      </w:pPr>
      <w:r>
        <w:rPr>
          <w:rStyle w:val="ab"/>
        </w:rPr>
        <w:footnoteRef/>
      </w:r>
      <w:r>
        <w:rPr>
          <w:rtl/>
        </w:rPr>
        <w:t xml:space="preserve"> דלאו כעד מפי עד דמי שהרי הוא בעצמו ראה אותה העדות ואינו מאמין אחרים בה אלא לומר שכך כתוב בשטר זה וזו אינה עדות אלא מילתא דעבידא לאיגלויי היא וכיון דאית להו אימתא דידיה מהימני, ב"י.</w:t>
      </w:r>
    </w:p>
  </w:footnote>
  <w:footnote w:id="3568">
    <w:p w14:paraId="2D320542" w14:textId="77777777" w:rsidR="0013116F" w:rsidRDefault="0013116F" w:rsidP="001D49D4">
      <w:pPr>
        <w:pStyle w:val="a9"/>
        <w:rPr>
          <w:rtl/>
        </w:rPr>
      </w:pPr>
      <w:r>
        <w:rPr>
          <w:rStyle w:val="ab"/>
        </w:rPr>
        <w:footnoteRef/>
      </w:r>
      <w:r>
        <w:rPr>
          <w:rtl/>
        </w:rPr>
        <w:t xml:space="preserve"> עיין ש"ך </w:t>
      </w:r>
      <w:r>
        <w:rPr>
          <w:sz w:val="16"/>
          <w:szCs w:val="16"/>
          <w:rtl/>
        </w:rPr>
        <w:t xml:space="preserve">(סק"ג-ד) </w:t>
      </w:r>
      <w:r>
        <w:rPr>
          <w:rtl/>
        </w:rPr>
        <w:t xml:space="preserve">שחולק על הכרעה זו, ודעתו דהעיקר כסברא ראשונה דאפילו שנים קורין לא מהני, וכתב דנראה דאף מסיח לפי תומו לא מהני ודלא כבהעי"ט כו', אך כל זה לכתחילה אבל בדיעבד השטר כשר, וכן מוכח דעת המחבר </w:t>
      </w:r>
      <w:r>
        <w:rPr>
          <w:sz w:val="16"/>
          <w:szCs w:val="16"/>
          <w:rtl/>
        </w:rPr>
        <w:t xml:space="preserve">(סע' ה) </w:t>
      </w:r>
      <w:r>
        <w:rPr>
          <w:rtl/>
        </w:rPr>
        <w:t xml:space="preserve">וכמו שכתב </w:t>
      </w:r>
      <w:r>
        <w:rPr>
          <w:sz w:val="16"/>
          <w:szCs w:val="16"/>
          <w:rtl/>
        </w:rPr>
        <w:t xml:space="preserve">[הש"ך] </w:t>
      </w:r>
      <w:r>
        <w:rPr>
          <w:rtl/>
        </w:rPr>
        <w:t xml:space="preserve">לקמן סק"י ע"ש, אמנם בספר קרבן נתנאל </w:t>
      </w:r>
      <w:r>
        <w:rPr>
          <w:sz w:val="16"/>
          <w:szCs w:val="16"/>
          <w:rtl/>
        </w:rPr>
        <w:t xml:space="preserve">(פ"ב דגיטין סי' יב אות מ' וס') </w:t>
      </w:r>
      <w:r>
        <w:rPr>
          <w:rtl/>
        </w:rPr>
        <w:t xml:space="preserve">כתב שדעת הרי"ף והרמב"ם כדעת בהעי"ט </w:t>
      </w:r>
      <w:r>
        <w:rPr>
          <w:sz w:val="16"/>
          <w:szCs w:val="16"/>
          <w:rtl/>
        </w:rPr>
        <w:t xml:space="preserve">[קיום, נ"ה ע"ד] </w:t>
      </w:r>
      <w:r>
        <w:rPr>
          <w:rtl/>
        </w:rPr>
        <w:t xml:space="preserve">שהביא הרא"ש שם, דאי מקרי להו לתרי דידעי למיקרי במסיח לפי תומו חותמין ע"ש. ועיין בספר שער משפט </w:t>
      </w:r>
      <w:r>
        <w:rPr>
          <w:sz w:val="16"/>
          <w:szCs w:val="16"/>
          <w:rtl/>
        </w:rPr>
        <w:t xml:space="preserve">[סק"א] </w:t>
      </w:r>
      <w:r>
        <w:rPr>
          <w:rtl/>
        </w:rPr>
        <w:t xml:space="preserve">מ"ש בזה, פת"ש </w:t>
      </w:r>
      <w:r>
        <w:rPr>
          <w:sz w:val="16"/>
          <w:szCs w:val="16"/>
          <w:rtl/>
        </w:rPr>
        <w:t>(סק"א)</w:t>
      </w:r>
      <w:r>
        <w:rPr>
          <w:rtl/>
        </w:rPr>
        <w:t>.</w:t>
      </w:r>
    </w:p>
  </w:footnote>
  <w:footnote w:id="3569">
    <w:p w14:paraId="73008226" w14:textId="77777777" w:rsidR="0013116F" w:rsidRDefault="0013116F" w:rsidP="001D49D4">
      <w:pPr>
        <w:pStyle w:val="a9"/>
      </w:pPr>
      <w:r>
        <w:rPr>
          <w:rStyle w:val="ab"/>
        </w:rPr>
        <w:footnoteRef/>
      </w:r>
      <w:r>
        <w:rPr>
          <w:rtl/>
        </w:rPr>
        <w:t xml:space="preserve"> ומכאן ראיה על מנהגינו ותיקון המדינה בענין הממרמו"ת </w:t>
      </w:r>
      <w:r>
        <w:rPr>
          <w:sz w:val="16"/>
          <w:szCs w:val="16"/>
          <w:rtl/>
        </w:rPr>
        <w:t>{כעין צ'ק}</w:t>
      </w:r>
      <w:r>
        <w:rPr>
          <w:rtl/>
        </w:rPr>
        <w:t>. ועוד ראיה ממה שכתבו הטור והמחבר לעיל ס"ב מב ז"ל- לשון שרגילין לכתוב בשטרות, אע"פ שאינו מתיקון חכמים אלא לשון שנהגו הדיוטות במקום ההוא הולכין אחריו, ואפילו לא נכתב כאילו נכתב דמי, סמ"ע (סק"ה).</w:t>
      </w:r>
    </w:p>
  </w:footnote>
  <w:footnote w:id="3570">
    <w:p w14:paraId="758DEF73" w14:textId="77777777" w:rsidR="0013116F" w:rsidRDefault="0013116F" w:rsidP="001D49D4">
      <w:pPr>
        <w:pStyle w:val="a9"/>
        <w:rPr>
          <w:rtl/>
        </w:rPr>
      </w:pPr>
      <w:r>
        <w:rPr>
          <w:rStyle w:val="ab"/>
        </w:rPr>
        <w:footnoteRef/>
      </w:r>
      <w:r>
        <w:rPr>
          <w:rtl/>
        </w:rPr>
        <w:t xml:space="preserve"> </w:t>
      </w:r>
      <w:r>
        <w:rPr>
          <w:rFonts w:hint="cs"/>
          <w:rtl/>
        </w:rPr>
        <w:t>לינן – לית אנן.</w:t>
      </w:r>
    </w:p>
  </w:footnote>
  <w:footnote w:id="3571">
    <w:p w14:paraId="61281486" w14:textId="77777777" w:rsidR="0013116F" w:rsidRDefault="0013116F" w:rsidP="001D49D4">
      <w:pPr>
        <w:pStyle w:val="a9"/>
      </w:pPr>
      <w:r>
        <w:rPr>
          <w:rStyle w:val="ab"/>
        </w:rPr>
        <w:footnoteRef/>
      </w:r>
      <w:r>
        <w:rPr>
          <w:rtl/>
        </w:rPr>
        <w:t xml:space="preserve"> ולמה אין אנו אומרים רושמין לפניהם במים או בכל דבר שאינו מתקיים והוא ממלאו בדיו, קרבן העדה.</w:t>
      </w:r>
    </w:p>
  </w:footnote>
  <w:footnote w:id="3572">
    <w:p w14:paraId="59A83B5C" w14:textId="77777777" w:rsidR="0013116F" w:rsidRDefault="0013116F" w:rsidP="001D49D4">
      <w:pPr>
        <w:pStyle w:val="a9"/>
      </w:pPr>
      <w:r>
        <w:rPr>
          <w:rStyle w:val="ab"/>
        </w:rPr>
        <w:footnoteRef/>
      </w:r>
      <w:r>
        <w:rPr>
          <w:rtl/>
        </w:rPr>
        <w:t xml:space="preserve"> הבעל וערער קודם שנמחק הרושם מדבר שאינו מתקיים ויאמר מעולם לא חתמו העדים בדיו אלא בדבר שאינו מתקיים והאשה מילאה את החתימות בדיו, קרבן העדה.</w:t>
      </w:r>
    </w:p>
  </w:footnote>
  <w:footnote w:id="3573">
    <w:p w14:paraId="25FA1ABB" w14:textId="77777777" w:rsidR="0013116F" w:rsidRDefault="0013116F" w:rsidP="001D49D4">
      <w:pPr>
        <w:pStyle w:val="a9"/>
      </w:pPr>
      <w:r>
        <w:rPr>
          <w:rStyle w:val="ab"/>
        </w:rPr>
        <w:footnoteRef/>
      </w:r>
      <w:r>
        <w:rPr>
          <w:rtl/>
        </w:rPr>
        <w:t xml:space="preserve"> שהרי דברים נכרים הם, קרבן העדה.</w:t>
      </w:r>
    </w:p>
  </w:footnote>
  <w:footnote w:id="3574">
    <w:p w14:paraId="06E03767" w14:textId="77777777" w:rsidR="0013116F" w:rsidRDefault="0013116F" w:rsidP="001D49D4">
      <w:pPr>
        <w:pStyle w:val="a9"/>
      </w:pPr>
      <w:r>
        <w:rPr>
          <w:rStyle w:val="ab"/>
        </w:rPr>
        <w:footnoteRef/>
      </w:r>
      <w:r>
        <w:rPr>
          <w:rtl/>
        </w:rPr>
        <w:t xml:space="preserve"> </w:t>
      </w:r>
      <w:r>
        <w:rPr>
          <w:rFonts w:hint="cs"/>
          <w:rtl/>
        </w:rPr>
        <w:t>סימן – יודעי טקסט.</w:t>
      </w:r>
    </w:p>
  </w:footnote>
  <w:footnote w:id="3575">
    <w:p w14:paraId="62BA181F" w14:textId="77777777" w:rsidR="0013116F" w:rsidRDefault="0013116F" w:rsidP="001D49D4">
      <w:pPr>
        <w:pStyle w:val="a9"/>
      </w:pPr>
      <w:r>
        <w:rPr>
          <w:rStyle w:val="ab"/>
        </w:rPr>
        <w:footnoteRef/>
      </w:r>
      <w:r>
        <w:rPr>
          <w:rtl/>
        </w:rPr>
        <w:t xml:space="preserve"> </w:t>
      </w:r>
      <w:bookmarkStart w:id="479" w:name="_Hlk531597619"/>
      <w:r>
        <w:rPr>
          <w:rFonts w:hint="cs"/>
          <w:rtl/>
        </w:rPr>
        <w:t>יתבאר לקמן מה פירוש דברי הגמרא.</w:t>
      </w:r>
      <w:bookmarkEnd w:id="479"/>
    </w:p>
  </w:footnote>
  <w:footnote w:id="3576">
    <w:p w14:paraId="183C55D3" w14:textId="77777777" w:rsidR="0013116F" w:rsidRDefault="0013116F" w:rsidP="001D49D4">
      <w:pPr>
        <w:pStyle w:val="a9"/>
      </w:pPr>
      <w:r>
        <w:rPr>
          <w:rStyle w:val="ab"/>
        </w:rPr>
        <w:footnoteRef/>
      </w:r>
      <w:r>
        <w:rPr>
          <w:rtl/>
        </w:rPr>
        <w:t xml:space="preserve"> להא דרב גמדא, רש"י.</w:t>
      </w:r>
    </w:p>
  </w:footnote>
  <w:footnote w:id="3577">
    <w:p w14:paraId="5DB53D18" w14:textId="77777777" w:rsidR="0013116F" w:rsidRDefault="0013116F" w:rsidP="001D49D4">
      <w:pPr>
        <w:pStyle w:val="a9"/>
      </w:pPr>
      <w:r>
        <w:rPr>
          <w:rStyle w:val="ab"/>
        </w:rPr>
        <w:footnoteRef/>
      </w:r>
      <w:r>
        <w:rPr>
          <w:rtl/>
        </w:rPr>
        <w:t xml:space="preserve"> שאם יודעים לחתום אף על פי שאין יודעים לקרות קרו קמייהו אחריני כרבנן ודרב כהנא בשאין יודעים לחתום, רש"י.</w:t>
      </w:r>
    </w:p>
  </w:footnote>
  <w:footnote w:id="3578">
    <w:p w14:paraId="0CF59977" w14:textId="77777777" w:rsidR="0013116F" w:rsidRDefault="0013116F" w:rsidP="001D49D4">
      <w:pPr>
        <w:pStyle w:val="a9"/>
      </w:pPr>
      <w:r>
        <w:rPr>
          <w:rStyle w:val="ab"/>
        </w:rPr>
        <w:footnoteRef/>
      </w:r>
      <w:r>
        <w:rPr>
          <w:rtl/>
        </w:rPr>
        <w:t xml:space="preserve"> </w:t>
      </w:r>
      <w:r>
        <w:rPr>
          <w:rFonts w:hint="cs"/>
          <w:rtl/>
        </w:rPr>
        <w:t xml:space="preserve">הרשב"א הביא את דעת הרמב"ם </w:t>
      </w:r>
      <w:r>
        <w:rPr>
          <w:rtl/>
        </w:rPr>
        <w:t>וכתב עוד: ואיכא מאן דאמר ד-...</w:t>
      </w:r>
    </w:p>
  </w:footnote>
  <w:footnote w:id="3579">
    <w:p w14:paraId="450D123E" w14:textId="77777777" w:rsidR="0013116F" w:rsidRDefault="0013116F" w:rsidP="001D49D4">
      <w:pPr>
        <w:pStyle w:val="a9"/>
        <w:rPr>
          <w:rtl/>
        </w:rPr>
      </w:pPr>
      <w:r>
        <w:rPr>
          <w:rStyle w:val="ab"/>
        </w:rPr>
        <w:footnoteRef/>
      </w:r>
      <w:r>
        <w:rPr>
          <w:rtl/>
        </w:rPr>
        <w:t xml:space="preserve"> וכדאמרינן בעלמא </w:t>
      </w:r>
      <w:r>
        <w:rPr>
          <w:sz w:val="16"/>
          <w:szCs w:val="16"/>
          <w:rtl/>
        </w:rPr>
        <w:t xml:space="preserve">(יבמות נב.) </w:t>
      </w:r>
      <w:r>
        <w:rPr>
          <w:rtl/>
        </w:rPr>
        <w:t xml:space="preserve">רב מנגיד אמאן דמקדש בביאה נגודי מנגיד ליה וקדושיו קדושין, וכן הדעת נוטה דכיון דבגיטין שרינן להו - חתימתן חתימה היא, וכיון שכן בדיעבד בשאר שטרות אמאי פסלינן לשטרא, רשב"א. והביא הה"מ </w:t>
      </w:r>
      <w:r>
        <w:rPr>
          <w:sz w:val="16"/>
          <w:szCs w:val="16"/>
          <w:rtl/>
        </w:rPr>
        <w:t xml:space="preserve">(שם) </w:t>
      </w:r>
      <w:r>
        <w:rPr>
          <w:rtl/>
        </w:rPr>
        <w:t>את דבריו וכתב- ואני אומר שאם היה השטר כשר אמאי נגדיה רב כהנא, וכי כל מי שעבר על לא תעשה של דבריהם מכין אותו מכת מרדות, אלא ודאי השטר פסול ומתוך כך הוא בן מרדות לפי שהיה אפשר שתארע תקלה על ידו, כי ברוב הימים יגבה המלוה עם השטר ההוא ואין זיוף זה ניכר מתוך השטר ונמצא גובה בשטר פסול. וגיטין שאני דמשום עיגונא הקילו.</w:t>
      </w:r>
    </w:p>
  </w:footnote>
  <w:footnote w:id="3580">
    <w:p w14:paraId="2181AE37" w14:textId="77777777" w:rsidR="0013116F" w:rsidRDefault="0013116F" w:rsidP="001D49D4">
      <w:pPr>
        <w:pStyle w:val="a9"/>
        <w:rPr>
          <w:rtl/>
        </w:rPr>
      </w:pPr>
      <w:r>
        <w:rPr>
          <w:rStyle w:val="ab"/>
        </w:rPr>
        <w:footnoteRef/>
      </w:r>
      <w:r>
        <w:rPr>
          <w:rtl/>
        </w:rPr>
        <w:t xml:space="preserve"> היינו מסרטין להם סריטות כעין אותיות והם משימין על הסריטות דיו, ר"ן </w:t>
      </w:r>
      <w:r>
        <w:rPr>
          <w:sz w:val="16"/>
          <w:szCs w:val="16"/>
          <w:rtl/>
        </w:rPr>
        <w:t>(ט. ד"ה מקרעין)</w:t>
      </w:r>
      <w:r>
        <w:rPr>
          <w:rtl/>
        </w:rPr>
        <w:t xml:space="preserve">. וכתב עוד הר"ן (שם)- ולא נהירא דשריטה הרי היא ככתיבה כדמוכח בגמרא (שם כ.) וכשמשימין על הסריטות דיו הוה ליה כתב ע"ג כתב ופסול (יט.), ואיפשר שלא מסרטין אלא מקצת כל אות ואות, ומיהו לשון מקרעין לא משמע הכי. עכ"ל. וכתב הב"י- נ"ל דהוא הדין לשטרות אם רשמו להם שמם בדבר שרישומו ניכר והם נתנו דיו על הרשמים הוה ליה כתב על גבי כתב ופסול, ודברים שרישומם ניכר ושאין רישומם ניכר מתבאר בגמרא באותו פרק (יט.). אמנם התוס' </w:t>
      </w:r>
      <w:r>
        <w:rPr>
          <w:sz w:val="16"/>
          <w:szCs w:val="16"/>
          <w:rtl/>
        </w:rPr>
        <w:t>(ט: ד"ה מקרעין להם נייר חלק)</w:t>
      </w:r>
      <w:r>
        <w:rPr>
          <w:rtl/>
        </w:rPr>
        <w:t xml:space="preserve"> יישבו את דברי רש"י, וז"ל- אע"ג דחקיקה חשיבה כתיבה כמו כתב ע"ג טבלא ופינקס - הכא לא חשיב כתב ע"ג כתב דפסלינן בפ"ב (לקמן דף יט.), דאין כאן כתיבה גמורה אלא שרושמין קצת כדי לחתום עליו עדים, ועוד דאפי' דיו ע"ג סיקרא חשיבא לקמן בפ"ב (גז"ש) כתב לענין שבת אע"פ שהסיקרא לבדה היא כתב, אבל לשון מקרעין לא משמע כפי' הקונט' דהוה ליה למימר מסרטין. עכ"ל. וגם הרשב"א כתב (חידו' פ"ק דגיטין ט: ד"ה למעוטי) דמה שהקשו על פירושו של רש"י ז"ל אינו קשה, דרושם אינו כתב ואינו כחקיקה, וכן מצאתי בירושלמי [שם פ"ב ה"ג] דגרסינן התם, המקרע על העור כעין כתב כשר, הרושם על העור כעין כתב פסול, אלמא רשימה אינה כתיבה, וכן פירש הרב בעל העיטור רושמין להם נייר חלק. עכ"ל. והביאם הש"ך (סק"ו).</w:t>
      </w:r>
    </w:p>
  </w:footnote>
  <w:footnote w:id="3581">
    <w:p w14:paraId="070537B8" w14:textId="77777777" w:rsidR="0013116F" w:rsidRDefault="0013116F" w:rsidP="001D49D4">
      <w:pPr>
        <w:pStyle w:val="a9"/>
        <w:rPr>
          <w:rtl/>
        </w:rPr>
      </w:pPr>
      <w:r>
        <w:rPr>
          <w:rStyle w:val="ab"/>
        </w:rPr>
        <w:footnoteRef/>
      </w:r>
      <w:r>
        <w:rPr>
          <w:rtl/>
        </w:rPr>
        <w:t xml:space="preserve"> ובירושלמי פריך- והלא כתב ראשונה הוא, פירוש- ואין הגט יכול להתקיים בחותמיו, ומשני- כשהרחיב להם את הקרעים והעדים אין ממלאין לגמרי כל רחב הקרע, תוס' </w:t>
      </w:r>
      <w:r>
        <w:rPr>
          <w:sz w:val="16"/>
          <w:szCs w:val="16"/>
          <w:rtl/>
        </w:rPr>
        <w:t>(ט: ד"ה מקרעין להם נייר חלק)</w:t>
      </w:r>
      <w:r>
        <w:rPr>
          <w:rtl/>
        </w:rPr>
        <w:t>.</w:t>
      </w:r>
    </w:p>
  </w:footnote>
  <w:footnote w:id="3582">
    <w:p w14:paraId="6E37491C" w14:textId="77777777" w:rsidR="0013116F" w:rsidRDefault="0013116F" w:rsidP="001D49D4">
      <w:pPr>
        <w:pStyle w:val="a9"/>
      </w:pPr>
      <w:r>
        <w:rPr>
          <w:rStyle w:val="ab"/>
        </w:rPr>
        <w:footnoteRef/>
      </w:r>
      <w:r>
        <w:rPr>
          <w:rtl/>
        </w:rPr>
        <w:t xml:space="preserve"> ואין עושין כן בשאר שטרות, קל הוא שהקלו בגיטי נשים כדי שלא יהיו בנות ישראל עגונות הואיל וחתימת העדים בגט מדבריהם כמו שביארנו, רמב"ם.</w:t>
      </w:r>
    </w:p>
  </w:footnote>
  <w:footnote w:id="3583">
    <w:p w14:paraId="59FCAB03" w14:textId="77777777" w:rsidR="0013116F" w:rsidRDefault="0013116F" w:rsidP="001D49D4">
      <w:pPr>
        <w:pStyle w:val="a9"/>
      </w:pPr>
      <w:r>
        <w:rPr>
          <w:rStyle w:val="ab"/>
        </w:rPr>
        <w:footnoteRef/>
      </w:r>
      <w:r>
        <w:rPr>
          <w:rtl/>
        </w:rPr>
        <w:t xml:space="preserve"> ובאהע"ז סי' קל כתב הטור </w:t>
      </w:r>
      <w:r>
        <w:rPr>
          <w:sz w:val="16"/>
          <w:szCs w:val="16"/>
          <w:rtl/>
        </w:rPr>
        <w:t xml:space="preserve">[ד"ה עדים שאין יודעים, וכ"כ בקיצור פסקי הרא"ש פ"ב סי' יב] </w:t>
      </w:r>
      <w:r>
        <w:rPr>
          <w:rtl/>
        </w:rPr>
        <w:t>ז"ל- והדיין המחתים כן בשאר שטרות מנגדינן ליה. וכן משמע בגמרא [גיטין יט.] דאדיין קאי, כמו שכתבתי בפרישה [סע' ד]. וכן משמע קצת לשון המחבר, שהתחיל בלשון רבים, וחתמו, וסיים בלשון יחיד, מכין אותו. וכן מסתבר, דאילו העדים קטלי קני נינהו ולא ידעי דאסור ולמה ינגדוהו. אבל במיימוני [פכ"ד ממלוה ה"ו] נדפס אותם, וכן בשו"ע דפוס גדול נדפס שם אותם, לשון רבים. וגם מסתימת לשון הטור [סע' ד] והשו"ע משמע דאעדים קאי, סמ"ע (סק"ז). וכתב הש"ך (סק"ז) דדברי השו"ע קאי אעדים, ובקצת ספרים איתא אותו, ולכך רצה לפרש בסמ"ע [סק"ז] דאדיין המחתים קאי. ולא נהירא כלל, שהרי הטור והמחבר [סע' ד] לא הזכירו בדבריהם דיין כלל, אלא פשיטא דצ"ל אותם.</w:t>
      </w:r>
    </w:p>
  </w:footnote>
  <w:footnote w:id="3584">
    <w:p w14:paraId="4D396509" w14:textId="77777777" w:rsidR="0013116F" w:rsidRDefault="0013116F" w:rsidP="001D49D4">
      <w:pPr>
        <w:pStyle w:val="a9"/>
      </w:pPr>
      <w:r>
        <w:rPr>
          <w:rStyle w:val="ab"/>
        </w:rPr>
        <w:footnoteRef/>
      </w:r>
      <w:r>
        <w:rPr>
          <w:rtl/>
        </w:rPr>
        <w:t xml:space="preserve"> פירש הסמ"ע (סק"ו) דמה שאמרו וקרעו להם נייר וכו' פירושו דחתכו בתוך הנייר צורת אותיות והניחו על גבי שטר, והעדים מילאו מקום שנחתכו אותיות דיו, ואח"כ הסירו הנייר והרי עדים חתומים, זהו דכשר בגיטין ופסול בשטרות, אבל לרשום על השטר עצמו, אף בגט פסול, דהוי כתב על גבי כתב, ע"כ. ולדבריו אפילו יש מכשירין בהגה"ה, בכה"ג מודים דפסול, ועיין בש"ך סק"ו דהאריך לחלק </w:t>
      </w:r>
      <w:r>
        <w:rPr>
          <w:sz w:val="16"/>
          <w:szCs w:val="16"/>
          <w:rtl/>
        </w:rPr>
        <w:t>{שזה לא נקרא כתב ע"ג כתב אף בגיטין, והביא את דברי התוס' והרשב"א}</w:t>
      </w:r>
      <w:r>
        <w:rPr>
          <w:rtl/>
        </w:rPr>
        <w:t>, ואין צריך לאריכות דאפילו נימא בגיטין פסול משום דבעינן וכתב וזהו לא הוי כתב, אבל כאן בשטרות וכי כתב בעינן, הא לא צריך סהדי אלא לשקרא, ואם כן מה נפ"מ אי קרוי כתב או לא, סוף כל סוף עדים מעידים על גוף הענין, ועוד הא אמרינן שם (יט.) דלגבי שבת קרוי כתב, רק הגמ' קאמר וכי בשביל שאנו מדמים נעשה מעשה, וזהו להחמיר בדין גיטין לחומר אשת איש, אבל בדיני ממונות לא שייך זהו, ואוקמי אדינא והוי כתב מעליא, ולכך לשיטת יש מכשירין, אף בכה"ג כשר, תומים (סק"ד).</w:t>
      </w:r>
    </w:p>
  </w:footnote>
  <w:footnote w:id="3585">
    <w:p w14:paraId="2DE5E708" w14:textId="77777777" w:rsidR="0013116F" w:rsidRDefault="0013116F" w:rsidP="001D49D4">
      <w:pPr>
        <w:pStyle w:val="a9"/>
      </w:pPr>
      <w:r>
        <w:rPr>
          <w:rStyle w:val="ab"/>
        </w:rPr>
        <w:footnoteRef/>
      </w:r>
      <w:r>
        <w:rPr>
          <w:rtl/>
        </w:rPr>
        <w:t xml:space="preserve"> </w:t>
      </w:r>
      <w:r>
        <w:rPr>
          <w:rFonts w:hint="cs"/>
          <w:rtl/>
        </w:rPr>
        <w:t>וז"ל-</w:t>
      </w:r>
      <w:r>
        <w:rPr>
          <w:rtl/>
        </w:rPr>
        <w:t xml:space="preserve"> הוי יודע שהעד שבשעה שהוא חותם בשטר הרי הוא כאלו מעיד בב"ד, דעדים החתומים על השטר כמי שנחקרה עדותן בבית דין </w:t>
      </w:r>
      <w:r>
        <w:rPr>
          <w:sz w:val="16"/>
          <w:szCs w:val="16"/>
          <w:rtl/>
        </w:rPr>
        <w:t>(כתובות יח:)</w:t>
      </w:r>
      <w:r>
        <w:rPr>
          <w:rtl/>
        </w:rPr>
        <w:t xml:space="preserve">, וא"כ שטר שחתם בו ראובן במצות שמעון פסול הוא, שאם בא ראובן בב"ד והעיד במצות שמעון לא מקבלינן סהדותיה, ואפילו עומד בפני בית דין ואין בית דין מכירים לשונו אלא על ידי תורגמן עדותו פסול </w:t>
      </w:r>
      <w:r>
        <w:rPr>
          <w:sz w:val="16"/>
          <w:szCs w:val="16"/>
          <w:rtl/>
        </w:rPr>
        <w:t>(מכות ו:)</w:t>
      </w:r>
      <w:r>
        <w:rPr>
          <w:rtl/>
        </w:rPr>
        <w:t xml:space="preserve">, הוא הדין אי חתים חד במצות העד, וכ"כ הרשב"א בתשובה </w:t>
      </w:r>
      <w:r>
        <w:rPr>
          <w:sz w:val="16"/>
          <w:szCs w:val="16"/>
          <w:rtl/>
        </w:rPr>
        <w:t xml:space="preserve">(שם) </w:t>
      </w:r>
      <w:r>
        <w:rPr>
          <w:rtl/>
        </w:rPr>
        <w:t>שאין עדות החותם במצות העד כלום, אלא שלפעמים החתן אינו יודע לחתום וחותם אחר במצותו, וקרוב לומר שאם לא נמצא קיום אלא לחתימת עד אחד שבכתובה וחתימת החותם במצות החתן דמכשירים לההיא כתובה אם חתם אני פלוני בן פלוני חתמתי במצות החתן פלוני בן פלוני, דודאי כיון שהוא חתם במצותו הרי הוא עד בדבר, אלא שלענין מעשה הוא מכוער משום דאיפשר למיפק מיניה חורבה אם החותם הוא קרוב לחתן או לכלה או לאחד מהעדים, דאפילו לדעת הגאון שכתב הרי"ף בפ"ק דמכות</w:t>
      </w:r>
      <w:r>
        <w:rPr>
          <w:sz w:val="16"/>
          <w:szCs w:val="16"/>
          <w:rtl/>
        </w:rPr>
        <w:t xml:space="preserve"> (ב:) </w:t>
      </w:r>
      <w:r>
        <w:rPr>
          <w:rtl/>
        </w:rPr>
        <w:t xml:space="preserve">שמכשיר בעד קרוב חתום אם יש שנים רחוקים אפשר לפסול כאן, דליכא למימר רוחא שבק למאן דקשיש מיניה, דאיכא למימר דמסתמא החתן הוא חותם תחלה או החותם במצותו, וראה תשובה לרש"י </w:t>
      </w:r>
      <w:r>
        <w:rPr>
          <w:sz w:val="16"/>
          <w:szCs w:val="16"/>
          <w:rtl/>
        </w:rPr>
        <w:t xml:space="preserve">(מהדו' אלפנביין סי' קצג) </w:t>
      </w:r>
      <w:r>
        <w:rPr>
          <w:rtl/>
        </w:rPr>
        <w:t>על כתובה שאחר שחתם העד האחד חזר וחתם בשביל העד השני שהכתובה פסולה וצריך למחוק אותה חתימה.</w:t>
      </w:r>
    </w:p>
  </w:footnote>
  <w:footnote w:id="3586">
    <w:p w14:paraId="67DCF2CC" w14:textId="77777777" w:rsidR="0013116F" w:rsidRDefault="0013116F" w:rsidP="001D49D4">
      <w:pPr>
        <w:pStyle w:val="a9"/>
      </w:pPr>
      <w:r>
        <w:rPr>
          <w:rStyle w:val="ab"/>
        </w:rPr>
        <w:footnoteRef/>
      </w:r>
      <w:r>
        <w:rPr>
          <w:rtl/>
        </w:rPr>
        <w:t xml:space="preserve"> </w:t>
      </w:r>
      <w:r>
        <w:rPr>
          <w:rFonts w:hint="cs"/>
          <w:rtl/>
        </w:rPr>
        <w:t xml:space="preserve">הב"י כתב ראשי תיבות- מ"מ, אך נראה שצריך לגרוס- מ"כ, שפירושו מצאתי כתוב </w:t>
      </w:r>
      <w:r>
        <w:rPr>
          <w:sz w:val="16"/>
          <w:szCs w:val="16"/>
          <w:rtl/>
        </w:rPr>
        <w:t>(ואין דברים אלו המשך דברי התשב"ץ, שהרי תשובותו מסתיימת במילים 'וצריך למחוק אותה חתימה')</w:t>
      </w:r>
      <w:r>
        <w:rPr>
          <w:rtl/>
        </w:rPr>
        <w:t xml:space="preserve">. </w:t>
      </w:r>
    </w:p>
  </w:footnote>
  <w:footnote w:id="3587">
    <w:p w14:paraId="225B7499" w14:textId="77777777" w:rsidR="0013116F" w:rsidRDefault="0013116F" w:rsidP="001D49D4">
      <w:pPr>
        <w:pStyle w:val="a9"/>
        <w:rPr>
          <w:rtl/>
        </w:rPr>
      </w:pPr>
      <w:r>
        <w:rPr>
          <w:rStyle w:val="ab"/>
        </w:rPr>
        <w:footnoteRef/>
      </w:r>
      <w:r>
        <w:rPr>
          <w:rtl/>
        </w:rPr>
        <w:t xml:space="preserve"> וכבר כתבתי בזה בסימן ל"ט (מחו' יב), ב"י.</w:t>
      </w:r>
    </w:p>
  </w:footnote>
  <w:footnote w:id="3588">
    <w:p w14:paraId="2994C80E" w14:textId="77777777" w:rsidR="0013116F" w:rsidRDefault="0013116F" w:rsidP="001D49D4">
      <w:pPr>
        <w:pStyle w:val="a9"/>
      </w:pPr>
      <w:r>
        <w:rPr>
          <w:rStyle w:val="ab"/>
        </w:rPr>
        <w:footnoteRef/>
      </w:r>
      <w:r>
        <w:rPr>
          <w:rtl/>
        </w:rPr>
        <w:t xml:space="preserve"> </w:t>
      </w:r>
      <w:r>
        <w:rPr>
          <w:rFonts w:hint="cs"/>
          <w:rtl/>
        </w:rPr>
        <w:t xml:space="preserve">סימן - </w:t>
      </w:r>
      <w:r>
        <w:rPr>
          <w:rFonts w:hint="cs"/>
          <w:b/>
          <w:bCs/>
          <w:rtl/>
        </w:rPr>
        <w:t>ח</w:t>
      </w:r>
      <w:r>
        <w:rPr>
          <w:rFonts w:hint="cs"/>
          <w:rtl/>
        </w:rPr>
        <w:t xml:space="preserve">תימת </w:t>
      </w:r>
      <w:r>
        <w:rPr>
          <w:rFonts w:hint="cs"/>
          <w:b/>
          <w:bCs/>
          <w:rtl/>
        </w:rPr>
        <w:t>י</w:t>
      </w:r>
      <w:r>
        <w:rPr>
          <w:rFonts w:hint="cs"/>
          <w:rtl/>
        </w:rPr>
        <w:t>ראים מ</w:t>
      </w:r>
      <w:r>
        <w:rPr>
          <w:rFonts w:hint="cs"/>
          <w:b/>
          <w:bCs/>
          <w:rtl/>
        </w:rPr>
        <w:t>ח</w:t>
      </w:r>
      <w:r>
        <w:rPr>
          <w:rFonts w:hint="cs"/>
          <w:rtl/>
        </w:rPr>
        <w:t xml:space="preserve">תימת </w:t>
      </w:r>
      <w:r>
        <w:rPr>
          <w:rFonts w:hint="cs"/>
          <w:b/>
          <w:bCs/>
          <w:rtl/>
        </w:rPr>
        <w:t>י</w:t>
      </w:r>
      <w:r>
        <w:rPr>
          <w:rFonts w:hint="cs"/>
          <w:rtl/>
        </w:rPr>
        <w:t>לדים.</w:t>
      </w:r>
    </w:p>
  </w:footnote>
  <w:footnote w:id="3589">
    <w:p w14:paraId="4BCB9CF3" w14:textId="77777777" w:rsidR="0013116F" w:rsidRDefault="0013116F" w:rsidP="001D49D4">
      <w:pPr>
        <w:pStyle w:val="a9"/>
        <w:rPr>
          <w:rtl/>
        </w:rPr>
      </w:pPr>
      <w:r>
        <w:rPr>
          <w:rStyle w:val="ab"/>
        </w:rPr>
        <w:footnoteRef/>
      </w:r>
      <w:r>
        <w:rPr>
          <w:rtl/>
        </w:rPr>
        <w:t xml:space="preserve"> מ"ש אי מכווני אשטרא מקיימינן להו ואי אמרי אקרינן ליה וכו', עניינו שאם באו לפנינו ושאלנו את פיהם וכיוונו לשטר השטר כשר, ואם קודם שנשאל להם דבר אמרו אקרינן ליה וכו' שוב אין אנו צריכים לשאלם דבר, והכי משמע מדברי הרא"ש (שם), ב"י.</w:t>
      </w:r>
    </w:p>
  </w:footnote>
  <w:footnote w:id="3590">
    <w:p w14:paraId="5D50E447" w14:textId="77777777" w:rsidR="0013116F" w:rsidRDefault="0013116F" w:rsidP="001D49D4">
      <w:pPr>
        <w:pStyle w:val="a9"/>
        <w:rPr>
          <w:rtl/>
        </w:rPr>
      </w:pPr>
      <w:r>
        <w:rPr>
          <w:rStyle w:val="ab"/>
        </w:rPr>
        <w:footnoteRef/>
      </w:r>
      <w:r>
        <w:rPr>
          <w:rtl/>
        </w:rPr>
        <w:t xml:space="preserve"> והוא הדין לוה המחייב עצמו בכתב ידו או בממר"ם... כנ"ל בסק"ה, וכך נראה מתשו' התשב"ץ </w:t>
      </w:r>
      <w:r>
        <w:rPr>
          <w:sz w:val="16"/>
          <w:szCs w:val="16"/>
          <w:rtl/>
        </w:rPr>
        <w:t xml:space="preserve">(ח"א סי' קכח) </w:t>
      </w:r>
      <w:r>
        <w:rPr>
          <w:rtl/>
        </w:rPr>
        <w:t xml:space="preserve">לענין כתובה, אם אחר חתם בשביל החתן, שהרי הוא עד בדבר, אלא שמכוער הדבר לענין מעשה משום דאפשר דתיפוק מיניה חורבה, ע"פ סמ"ע </w:t>
      </w:r>
      <w:r>
        <w:rPr>
          <w:sz w:val="16"/>
          <w:szCs w:val="16"/>
          <w:rtl/>
        </w:rPr>
        <w:t>(סק"ח)</w:t>
      </w:r>
      <w:r>
        <w:rPr>
          <w:rtl/>
        </w:rPr>
        <w:t xml:space="preserve">. והביא הש"ך (סק"ח) את דברי הסמ"ע </w:t>
      </w:r>
      <w:r>
        <w:rPr>
          <w:sz w:val="16"/>
          <w:szCs w:val="16"/>
          <w:rtl/>
        </w:rPr>
        <w:t>{דה"ה ללוה שמחייב עצמו בכתב ידו או בממר"ם}</w:t>
      </w:r>
      <w:r>
        <w:rPr>
          <w:rtl/>
        </w:rPr>
        <w:t xml:space="preserve"> וכתב דבזה נראה דאפילו לא קיבלו בני העיר מנהג זה מהני, דהא דבעינן קיבלו בני העיר היינו דוקא בעד, משום דאל"כ הוי כעד מפי עד דאינו כלום, וכדאיתא בב"י מחודש ג' בשם רשב"צ [תשב"ץ ח"א סי' קכ"ח], משא"כ הכא שמתחייב הוא עצמו בכך.</w:t>
      </w:r>
    </w:p>
  </w:footnote>
  <w:footnote w:id="3591">
    <w:p w14:paraId="03525502" w14:textId="77777777" w:rsidR="0013116F" w:rsidRDefault="0013116F" w:rsidP="001D49D4">
      <w:pPr>
        <w:pStyle w:val="a9"/>
        <w:rPr>
          <w:rtl/>
        </w:rPr>
      </w:pPr>
      <w:r>
        <w:rPr>
          <w:rStyle w:val="ab"/>
        </w:rPr>
        <w:footnoteRef/>
      </w:r>
      <w:r>
        <w:rPr>
          <w:rtl/>
        </w:rPr>
        <w:t xml:space="preserve"> אע"פ דמיירי שהעדים מעידים על חתימת העדים, מ"מ קמ"ל בזה דלא תימא דילמא קרעו להן נייר ומילאו העדים הקרע דיו דפסול השטר בכה"ג כנ"ל [סעיף ד'], לכך אמר דמוקמינן אחזקתיה דיודעין לחתום עצמן, סמ"ע (סק"י).</w:t>
      </w:r>
    </w:p>
  </w:footnote>
  <w:footnote w:id="3592">
    <w:p w14:paraId="0893DFB5" w14:textId="77777777" w:rsidR="0013116F" w:rsidRDefault="0013116F" w:rsidP="001D49D4">
      <w:pPr>
        <w:pStyle w:val="a9"/>
      </w:pPr>
      <w:r>
        <w:rPr>
          <w:rStyle w:val="ab"/>
        </w:rPr>
        <w:footnoteRef/>
      </w:r>
      <w:r>
        <w:rPr>
          <w:rtl/>
        </w:rPr>
        <w:t xml:space="preserve"> אבל מסתמא אמרינן דידעי למיקרי ואין צריך לשואלן אפילו הם לפנינו, וכן משמע בטור [סעיף ו'] ופוסקים, ש"ך (סק"ט).</w:t>
      </w:r>
    </w:p>
  </w:footnote>
  <w:footnote w:id="3593">
    <w:p w14:paraId="2BF9DC27" w14:textId="77777777" w:rsidR="0013116F" w:rsidRDefault="0013116F" w:rsidP="001D49D4">
      <w:pPr>
        <w:pStyle w:val="a9"/>
      </w:pPr>
      <w:r>
        <w:rPr>
          <w:rStyle w:val="ab"/>
        </w:rPr>
        <w:footnoteRef/>
      </w:r>
      <w:r>
        <w:rPr>
          <w:rtl/>
        </w:rPr>
        <w:t xml:space="preserve"> יש לדקדק דהא מדברי הרמב"ם (פכ"ד ממלוה ה"ז) והמחבר לעיל סעיף ב', מבואר דאפילו שנים קורין לא מהני. בשלמא הרא"ש (גיטין פ"ב סי' י"ב) וטור (סעיף ה-ו) שכתבו כן, לטעמייהו אזלי, וכן הבהעי"ט [סוף קיום נ"ב ע"ד] שממנו מקור דבר זה, יש לפרש דמיירי שאמרו אקרינן לשנים מסיחין לפי תומם כמו שהזכיר שם מקודם, אבל המחבר שאין מחלק בין מסל"ת, קשה. ונראה דס"ל להמחבר דדוקא לכתחילה אמרינן דאין יכולים לחתום, אבל אם עשו כן כשר השטר בדיעבד, וכמו שכתבתי לעיל סעיף ב' סק"ד, וכן עיקר, ש"ך (סק"י).</w:t>
      </w:r>
    </w:p>
  </w:footnote>
  <w:footnote w:id="3594">
    <w:p w14:paraId="2B7F93E2" w14:textId="77777777" w:rsidR="0013116F" w:rsidRDefault="0013116F" w:rsidP="001D49D4">
      <w:pPr>
        <w:pStyle w:val="a9"/>
      </w:pPr>
      <w:r>
        <w:rPr>
          <w:rStyle w:val="ab"/>
        </w:rPr>
        <w:footnoteRef/>
      </w:r>
      <w:r>
        <w:rPr>
          <w:rtl/>
        </w:rPr>
        <w:t xml:space="preserve"> שואלין אותן נמי אי מקרי מתחילה למאן דידעי למיקרי, דאי אמרי דלא יהבי למיקרי - הו"ל חתימת ידייהו מתחילה בפסול ולא מתכשר במה שמכונין ענין השטר, דדילמא ידעי המעשה כאשר היה ולא היה להם לחתום דילמא זיוף יש בשטר, אבל כשאמרו מעצמן קודם ששאלן הב"ד דאקרינן להו - מוקמינן להו אחזקתיה דהאמת אתם דאקרינן להו, ומשום הכי א"צ לדקדק בהו אי מכווני אשטרא, סמ"ע </w:t>
      </w:r>
      <w:r>
        <w:rPr>
          <w:sz w:val="16"/>
          <w:szCs w:val="16"/>
          <w:rtl/>
        </w:rPr>
        <w:t>(סקי"ב)</w:t>
      </w:r>
      <w:r>
        <w:rPr>
          <w:rtl/>
        </w:rPr>
        <w:t xml:space="preserve">. אך הש"ך </w:t>
      </w:r>
      <w:r>
        <w:rPr>
          <w:sz w:val="16"/>
          <w:szCs w:val="16"/>
          <w:rtl/>
        </w:rPr>
        <w:t xml:space="preserve">(סקי"א) </w:t>
      </w:r>
      <w:r>
        <w:rPr>
          <w:rtl/>
        </w:rPr>
        <w:t xml:space="preserve">כתב על דברי הסמ"ע דלא נהירא, דמשמע מדברי הטור והמחבר ובעל העיטור </w:t>
      </w:r>
      <w:r>
        <w:rPr>
          <w:sz w:val="16"/>
          <w:szCs w:val="16"/>
          <w:rtl/>
        </w:rPr>
        <w:t xml:space="preserve">(סוף קיום נ"ה ע"ד) </w:t>
      </w:r>
      <w:r>
        <w:rPr>
          <w:rtl/>
        </w:rPr>
        <w:t xml:space="preserve">והרא"ש </w:t>
      </w:r>
      <w:r>
        <w:rPr>
          <w:sz w:val="16"/>
          <w:szCs w:val="16"/>
          <w:rtl/>
        </w:rPr>
        <w:t xml:space="preserve">(פ"ב סי' יב) </w:t>
      </w:r>
      <w:r>
        <w:rPr>
          <w:rtl/>
        </w:rPr>
        <w:t>דכי מכוני בשטרא א"צ לשואלם כלל אי מקרי למאן דידעי למיקרי, וגם משמע דאפילו אומרים בפירוש לא אקרינן כשר. אלא נראה דאפילו לא אקרי וסמכי אהמלוה גופיה והאמינו לו, נהי דלא ה"ל לחתום לכתחילה דדילמא יש זיוף בשטר, מ"מ כיון דמכוני אשטרא והשתא אומרים שהשטר כשר, ואילו היו נותנים למאן דידעי למיקרי היו חותמין, כשר השטר כיון דהשתא לא נעשה שום זיוף.</w:t>
      </w:r>
    </w:p>
  </w:footnote>
  <w:footnote w:id="3595">
    <w:p w14:paraId="585919E2" w14:textId="77777777" w:rsidR="0013116F" w:rsidRDefault="0013116F" w:rsidP="001D49D4">
      <w:pPr>
        <w:pStyle w:val="a9"/>
      </w:pPr>
      <w:r>
        <w:rPr>
          <w:rStyle w:val="ab"/>
        </w:rPr>
        <w:footnoteRef/>
      </w:r>
      <w:r>
        <w:rPr>
          <w:rtl/>
        </w:rPr>
        <w:t xml:space="preserve"> </w:t>
      </w:r>
      <w:r>
        <w:rPr>
          <w:rFonts w:hint="cs"/>
          <w:rtl/>
        </w:rPr>
        <w:t xml:space="preserve">סימן </w:t>
      </w:r>
      <w:r>
        <w:rPr>
          <w:sz w:val="16"/>
          <w:szCs w:val="16"/>
          <w:rtl/>
        </w:rPr>
        <w:t>(לדף קסב:)</w:t>
      </w:r>
      <w:r>
        <w:rPr>
          <w:rtl/>
        </w:rPr>
        <w:t xml:space="preserve"> – קיום סהדותא בשאר/בכשרים. וכן – קודם סהדותו ב'</w:t>
      </w:r>
      <w:r>
        <w:rPr>
          <w:sz w:val="16"/>
          <w:szCs w:val="16"/>
          <w:rtl/>
        </w:rPr>
        <w:t xml:space="preserve"> {שורות}</w:t>
      </w:r>
      <w:r>
        <w:rPr>
          <w:rtl/>
        </w:rPr>
        <w:t xml:space="preserve">. סימן </w:t>
      </w:r>
      <w:r>
        <w:rPr>
          <w:sz w:val="16"/>
          <w:szCs w:val="16"/>
          <w:rtl/>
        </w:rPr>
        <w:t>(לדף קסג.)</w:t>
      </w:r>
      <w:r>
        <w:rPr>
          <w:rtl/>
        </w:rPr>
        <w:t xml:space="preserve"> – קודם סהדותא גואש.</w:t>
      </w:r>
    </w:p>
  </w:footnote>
  <w:footnote w:id="3596">
    <w:p w14:paraId="6D42CDF3" w14:textId="77777777" w:rsidR="0013116F" w:rsidRDefault="0013116F" w:rsidP="001D49D4">
      <w:pPr>
        <w:pStyle w:val="a9"/>
      </w:pPr>
      <w:r>
        <w:rPr>
          <w:rStyle w:val="ab"/>
        </w:rPr>
        <w:footnoteRef/>
      </w:r>
      <w:r>
        <w:rPr>
          <w:rtl/>
        </w:rPr>
        <w:t xml:space="preserve"> כלומר </w:t>
      </w:r>
      <w:r>
        <w:rPr>
          <w:sz w:val="16"/>
          <w:szCs w:val="16"/>
          <w:rtl/>
        </w:rPr>
        <w:t xml:space="preserve">{שנוכל לומר שהעדים חתמו שם כדי לומר ש-} </w:t>
      </w:r>
      <w:r>
        <w:rPr>
          <w:rtl/>
        </w:rPr>
        <w:t>'בפנינו נמחק בדיו', כדי שלא יחשדו על בעל השטר שמחק לאיזה דבר חיוב שהיה כתוב בו. ונמצא שלא באו להעיד על עיקרו של שטר. או אפילו היה מלא נקודות שאין בו מחוק כלל והלובן נראה בין נקודה לנקודה - חיישינן שמא מעידין בו, הלכך פסול, נמוק"י</w:t>
      </w:r>
      <w:r>
        <w:rPr>
          <w:sz w:val="16"/>
          <w:szCs w:val="16"/>
          <w:rtl/>
        </w:rPr>
        <w:t xml:space="preserve"> (עה: ד"ה גמ')</w:t>
      </w:r>
      <w:r>
        <w:rPr>
          <w:rtl/>
        </w:rPr>
        <w:t>.</w:t>
      </w:r>
    </w:p>
  </w:footnote>
  <w:footnote w:id="3597">
    <w:p w14:paraId="36E3D984" w14:textId="77777777" w:rsidR="0013116F" w:rsidRDefault="0013116F" w:rsidP="001D49D4">
      <w:pPr>
        <w:pStyle w:val="a9"/>
      </w:pPr>
      <w:r>
        <w:rPr>
          <w:rStyle w:val="ab"/>
        </w:rPr>
        <w:footnoteRef/>
      </w:r>
      <w:r>
        <w:rPr>
          <w:rtl/>
        </w:rPr>
        <w:t xml:space="preserve"> כך דעת הרא"ש שם (סי' ב) וכמו שכתבתי בסימן שלפני זה (ס"ג) גבי אם לא החזיר מענינו של שטר בשטה אחרונה. ונראה דאפילו לדברי המכשירים שם הכא מודו דפסול לפי שאע"פ שכתב שריר וקים שניכר שהוא סיום השטר איכא למיחש שמא יגוז הכל ויכתוב בשני השיטין שטר אחר, וכ"כ הרשב"א בתשובה (סי' אלף לו), ב"י. ודלא כהמרדכי שכתבתי לעיל סימן מ"ד (אות ד) בשמו דמכשיר, דרכ"מ (אות ב).</w:t>
      </w:r>
    </w:p>
  </w:footnote>
  <w:footnote w:id="3598">
    <w:p w14:paraId="5E1C68B4" w14:textId="77777777" w:rsidR="0013116F" w:rsidRDefault="0013116F" w:rsidP="001D49D4">
      <w:pPr>
        <w:pStyle w:val="a9"/>
      </w:pPr>
      <w:r>
        <w:rPr>
          <w:rStyle w:val="ab"/>
        </w:rPr>
        <w:footnoteRef/>
      </w:r>
      <w:r>
        <w:rPr>
          <w:rtl/>
        </w:rPr>
        <w:t xml:space="preserve"> והוא האומר שלהרמב"ם אם לא החזיר מענינו של שטר בשטה אחרונה - שהשטר כשר ואין למדין ממנו, משום דהתם אין אנו צריכים לעדים אחרים, שהשטר בעצמו כשר, דהא ליכא למיחש ביה לדילמא זייף אלא שאין למדין משטה אחרונה, אבל הכא השטר בעצמו עשוי בפיסול עד שיבואו ויעידו עליו להכשירו, וא"כ אע"פ שהעידו עליו הרי השטר עשוי שלא כתיקון חכמים ואינו שטר, ב"י.</w:t>
      </w:r>
    </w:p>
  </w:footnote>
  <w:footnote w:id="3599">
    <w:p w14:paraId="02E9B3BC" w14:textId="77777777" w:rsidR="0013116F" w:rsidRDefault="0013116F" w:rsidP="001D49D4">
      <w:pPr>
        <w:pStyle w:val="a9"/>
        <w:rPr>
          <w:rtl/>
        </w:rPr>
      </w:pPr>
      <w:r>
        <w:rPr>
          <w:rStyle w:val="ab"/>
        </w:rPr>
        <w:footnoteRef/>
      </w:r>
      <w:r>
        <w:rPr>
          <w:rtl/>
        </w:rPr>
        <w:t xml:space="preserve"> מפני שלא נעשה כתקנת חז"ל, שהיה יכול לחתוך השטר ולעשות שטר חדש בזיוף בשתי השורות </w:t>
      </w:r>
      <w:r>
        <w:rPr>
          <w:sz w:val="16"/>
          <w:szCs w:val="16"/>
          <w:rtl/>
        </w:rPr>
        <w:t>(ואין לחוש שיוסיף באותו שטר עצמו ויכתוב לבסוף שריר וקיים ואז למדין משיטה אחרונה כמו שכתב בסוף סימן מ"ד [סעיף ט'], דהא נתבאר שם דבזמן הזה כותבין בכל שטר שריר וקיים, וא"כ יהיו כותבין ב' פעמים שריר וקיים, ואז אינו כשר אא"כ נשאר אויר שורה בין השטר לעדים וכמו שכתבתי שם [סקט"ז])</w:t>
      </w:r>
      <w:r>
        <w:rPr>
          <w:rtl/>
        </w:rPr>
        <w:t xml:space="preserve">, סמ"ע (סקי"ג). וכתב הש"ך (סקי"ב) דטעם זה </w:t>
      </w:r>
      <w:r>
        <w:rPr>
          <w:sz w:val="16"/>
          <w:szCs w:val="16"/>
          <w:rtl/>
        </w:rPr>
        <w:t xml:space="preserve">(שמא יחתוך ויעשה שטר חדש) </w:t>
      </w:r>
      <w:r>
        <w:rPr>
          <w:rtl/>
        </w:rPr>
        <w:t xml:space="preserve">כתב גם הב"י וכתב הש"ך דלא היו צריכים </w:t>
      </w:r>
      <w:r>
        <w:rPr>
          <w:sz w:val="16"/>
          <w:szCs w:val="16"/>
          <w:rtl/>
        </w:rPr>
        <w:t xml:space="preserve">{הסמ"ע והב"י} </w:t>
      </w:r>
      <w:r>
        <w:rPr>
          <w:rtl/>
        </w:rPr>
        <w:t>לזה הטעם, דבלא"ה פסול שיכול לכתוב בשורה שלפני אחרונה מה שירצה, ואפילו כתוב בסוף השטר שריר וקיים, יכול למחוק השריר וקיים ולקיים בשיטה שלפני אחרונה ולכתוב שם מה דבעי, כדלעיל סוף סימן מ"ד [סעיף ח'].</w:t>
      </w:r>
    </w:p>
  </w:footnote>
  <w:footnote w:id="3600">
    <w:p w14:paraId="5AA0EDD1" w14:textId="77777777" w:rsidR="0013116F" w:rsidRDefault="0013116F" w:rsidP="001D49D4">
      <w:pPr>
        <w:pStyle w:val="a9"/>
      </w:pPr>
      <w:r>
        <w:rPr>
          <w:rStyle w:val="ab"/>
        </w:rPr>
        <w:footnoteRef/>
      </w:r>
      <w:r>
        <w:rPr>
          <w:rtl/>
        </w:rPr>
        <w:t xml:space="preserve"> אפילו אין בו מחק רק נקודות ושריטות והלובן נראה בין הנקודות. נמוק"י. ומביאו ב"י [סעיף ז'] וסמ"ע סקי"ד. וכ"כ התוס' פרק גט פשוט (קסג. ד"ה דמטייט) בשם ר"ת והה"מ (פכ"ז מהל' מלוה ה"ז), וכתב שכן פירשו ז"ל. וכן מוכח מדברי הרמב"ם [שם] והטור והמחבר לקמן סימן מ"ו [בטור סעיף כ"ח ומחבר] סעיף ל"ב. ומה שהעתיקו הע"ש [סע' ו] והסמ"ע בתחילה דברי הנ"י שלא יאמרו חתמו אטיוטא, כלומר שמעידים שבפניהם נמחק בדיו ולא יחשדו לבעל השטר שמחק איזה דבר של חיוב כו'. בחינם טרחו, דעל כרחך המחבר מיירי אפילו שהוא שריטות, וכמו שכתבו הפוסקים הנ"ל, וכדמוכח מדבריו וכדלקמן סימן מ"ו סעיף ל"ב. ועיין מה שכתבתי שם בסקפ"ח דנראה לי דאפשר דבשריטות כשר, ובש"ס מיירי בטיוטא מלא דיו, ש"ך (סקי"ג).</w:t>
      </w:r>
    </w:p>
  </w:footnote>
  <w:footnote w:id="3601">
    <w:p w14:paraId="6AD03F72" w14:textId="77777777" w:rsidR="0013116F" w:rsidRDefault="0013116F" w:rsidP="001D49D4">
      <w:pPr>
        <w:pStyle w:val="a9"/>
        <w:rPr>
          <w:rtl/>
        </w:rPr>
      </w:pPr>
      <w:r>
        <w:rPr>
          <w:rStyle w:val="ab"/>
        </w:rPr>
        <w:footnoteRef/>
      </w:r>
      <w:r>
        <w:rPr>
          <w:rtl/>
        </w:rPr>
        <w:t xml:space="preserve"> ואפילו בשטרי חוב המוקדמים נ"ל לדון כן, כיון דלא פסלינן ליה לשטרא אלא מחמת גזרה שמא יגבה מזמן ראשון, דדוקא ממשועבדים קפסלינן כוליה זמן, ולא גבי אפילו מזמן שני, דגזרינן אטו זמן ראשון, אבל גבייה מבני חרי שהיא אפילו בשטר שאין בו זמן - לא בטלה מהאי שטרא, שהרי עדים כשרים הם, אלמא דשטרא הוא דפסלינן משום גזרה הילכך לא מצי טעין להד"מ, ה"ר יונה. וכ"כ הטור. וכ"פ הש"ך</w:t>
      </w:r>
      <w:r>
        <w:rPr>
          <w:sz w:val="16"/>
          <w:szCs w:val="16"/>
          <w:rtl/>
        </w:rPr>
        <w:t xml:space="preserve"> (סקי"ד)</w:t>
      </w:r>
      <w:r>
        <w:rPr>
          <w:rtl/>
        </w:rPr>
        <w:t>, וכתב שאף הפוסלים שט"ח המוקדמים מודים בזה.</w:t>
      </w:r>
    </w:p>
  </w:footnote>
  <w:footnote w:id="3602">
    <w:p w14:paraId="521EE50F" w14:textId="77777777" w:rsidR="0013116F" w:rsidRDefault="0013116F" w:rsidP="001D49D4">
      <w:pPr>
        <w:pStyle w:val="a9"/>
        <w:rPr>
          <w:rtl/>
        </w:rPr>
      </w:pPr>
      <w:r>
        <w:rPr>
          <w:rStyle w:val="ab"/>
        </w:rPr>
        <w:footnoteRef/>
      </w:r>
      <w:r>
        <w:rPr>
          <w:rtl/>
        </w:rPr>
        <w:t xml:space="preserve"> דאף אם השטר פסול מפני שהיה יכול לזייפו, מ"מ נראים הדברים מהעדים שהענין הוא אמת, והו"ל כמלוה או מכר בלא שטר אלא בעדים דאינו יכול לומר להד"ם, סמ"ע (סקט"ו). ואף הפוסקים בשטרי חוב המוקדמים דפסולים לגמרי ויכול לטעון להד"ם, וכמו שכתבתי לעיל סי' מג סקי"ב, מודים הכא מטעם שכתב הרב רבינו יונה (בטור, ובעליות דר"י ב"ב קסב: ד"ה ונראה לי) כיון שניתנה עדות זו להכשיר אילו מילאוהו בקרובים, או בחזרת דברים, כן נ"ל, ש"ך (סקי"ד).</w:t>
      </w:r>
    </w:p>
  </w:footnote>
  <w:footnote w:id="3603">
    <w:p w14:paraId="064658FA" w14:textId="77777777" w:rsidR="0013116F" w:rsidRDefault="0013116F" w:rsidP="001D49D4">
      <w:pPr>
        <w:pStyle w:val="a9"/>
      </w:pPr>
      <w:r>
        <w:rPr>
          <w:rStyle w:val="ab"/>
        </w:rPr>
        <w:footnoteRef/>
      </w:r>
      <w:r>
        <w:rPr>
          <w:rtl/>
        </w:rPr>
        <w:t xml:space="preserve"> </w:t>
      </w:r>
      <w:r>
        <w:rPr>
          <w:rFonts w:hint="cs"/>
          <w:rtl/>
        </w:rPr>
        <w:t>סימן – קודם סהדותו ג'</w:t>
      </w:r>
      <w:r>
        <w:rPr>
          <w:sz w:val="16"/>
          <w:szCs w:val="16"/>
          <w:rtl/>
        </w:rPr>
        <w:t xml:space="preserve"> {שורות בכתב יד של סופר}</w:t>
      </w:r>
      <w:r>
        <w:rPr>
          <w:rtl/>
        </w:rPr>
        <w:t>.</w:t>
      </w:r>
    </w:p>
  </w:footnote>
  <w:footnote w:id="3604">
    <w:p w14:paraId="53D03135" w14:textId="77777777" w:rsidR="0013116F" w:rsidRDefault="0013116F" w:rsidP="001D49D4">
      <w:pPr>
        <w:pStyle w:val="a9"/>
      </w:pPr>
      <w:r>
        <w:rPr>
          <w:rStyle w:val="ab"/>
        </w:rPr>
        <w:footnoteRef/>
      </w:r>
      <w:r>
        <w:rPr>
          <w:rtl/>
        </w:rPr>
        <w:t xml:space="preserve"> ורי"ו בנ"ד ח"ג (כ סוע"א) כתב דברי הרמב"ן וכתב עוד בשם הירושלמי (ב"ב פ"י ה"א) שאם כתב הסופר יותר גס משל עדים שמשערינן בכתב הסופר להקל.</w:t>
      </w:r>
    </w:p>
  </w:footnote>
  <w:footnote w:id="3605">
    <w:p w14:paraId="74FC958B" w14:textId="77777777" w:rsidR="0013116F" w:rsidRDefault="0013116F" w:rsidP="001D49D4">
      <w:pPr>
        <w:pStyle w:val="a9"/>
      </w:pPr>
      <w:r>
        <w:rPr>
          <w:rStyle w:val="ab"/>
        </w:rPr>
        <w:footnoteRef/>
      </w:r>
      <w:r>
        <w:rPr>
          <w:rtl/>
        </w:rPr>
        <w:t xml:space="preserve"> וכ"כ הריב"ש (סי' שפב). וכ"כ המרדכי (סי' תרמג) בשם ראבי"ה (כרך ד סי' תתקיט עמ' שסב), ב"י.</w:t>
      </w:r>
    </w:p>
  </w:footnote>
  <w:footnote w:id="3606">
    <w:p w14:paraId="1901E6CA" w14:textId="77777777" w:rsidR="0013116F" w:rsidRDefault="0013116F" w:rsidP="001D49D4">
      <w:pPr>
        <w:pStyle w:val="a9"/>
        <w:rPr>
          <w:rtl/>
        </w:rPr>
      </w:pPr>
      <w:r>
        <w:rPr>
          <w:rStyle w:val="ab"/>
        </w:rPr>
        <w:footnoteRef/>
      </w:r>
      <w:r>
        <w:rPr>
          <w:rtl/>
        </w:rPr>
        <w:t xml:space="preserve"> פירוש, בין שיזייף להוסיף בשטר זה שורה אחת ויכתוב לבסוף שריר וקיים, בין שיזייף לחתוך שטר העליון ולעשות שטר חדש וכמו שכתוב בסמוך [סע' י], אינו הולך אל הסופר לכתוב לו, ובאם כן היה שהלך אל הסופר, אפילו לא הניח אלא כשיעור שורה ומחצה דכתב דעלמא היה אפשר לזייף ולכתוב עליו שתי שורות מכתיבת ידי הסופר, סמ"ע (סקי"ז).</w:t>
      </w:r>
    </w:p>
  </w:footnote>
  <w:footnote w:id="3607">
    <w:p w14:paraId="78FF9F6F" w14:textId="77777777" w:rsidR="0013116F" w:rsidRDefault="0013116F" w:rsidP="001D49D4">
      <w:pPr>
        <w:pStyle w:val="a9"/>
        <w:rPr>
          <w:rtl/>
        </w:rPr>
      </w:pPr>
      <w:r>
        <w:rPr>
          <w:rStyle w:val="ab"/>
        </w:rPr>
        <w:footnoteRef/>
      </w:r>
      <w:r>
        <w:rPr>
          <w:rtl/>
        </w:rPr>
        <w:t xml:space="preserve"> </w:t>
      </w:r>
      <w:r>
        <w:rPr>
          <w:rFonts w:hint="cs"/>
          <w:rtl/>
        </w:rPr>
        <w:t>סימן</w:t>
      </w:r>
      <w:r>
        <w:rPr>
          <w:sz w:val="16"/>
          <w:szCs w:val="16"/>
          <w:rtl/>
        </w:rPr>
        <w:t xml:space="preserve"> </w:t>
      </w:r>
      <w:r>
        <w:rPr>
          <w:rtl/>
        </w:rPr>
        <w:t>– קודם סהדותו ב'</w:t>
      </w:r>
      <w:r>
        <w:rPr>
          <w:sz w:val="16"/>
          <w:szCs w:val="16"/>
          <w:rtl/>
        </w:rPr>
        <w:t xml:space="preserve"> {שורות}</w:t>
      </w:r>
      <w:r>
        <w:rPr>
          <w:rtl/>
        </w:rPr>
        <w:t xml:space="preserve">. </w:t>
      </w:r>
    </w:p>
  </w:footnote>
  <w:footnote w:id="3608">
    <w:p w14:paraId="01944D2E" w14:textId="77777777" w:rsidR="0013116F" w:rsidRDefault="0013116F" w:rsidP="001D49D4">
      <w:pPr>
        <w:pStyle w:val="a9"/>
      </w:pPr>
      <w:r>
        <w:rPr>
          <w:rStyle w:val="ab"/>
        </w:rPr>
        <w:footnoteRef/>
      </w:r>
      <w:r>
        <w:rPr>
          <w:rtl/>
        </w:rPr>
        <w:t xml:space="preserve"> שיעור כתיבת השיטין ואויר חלק בינתים נפסל אבל פחות מיכן אינו נפסל, רשב"ם.</w:t>
      </w:r>
    </w:p>
  </w:footnote>
  <w:footnote w:id="3609">
    <w:p w14:paraId="316187E6" w14:textId="77777777" w:rsidR="0013116F" w:rsidRDefault="0013116F" w:rsidP="001D49D4">
      <w:pPr>
        <w:pStyle w:val="a9"/>
        <w:rPr>
          <w:rtl/>
        </w:rPr>
      </w:pPr>
      <w:r>
        <w:rPr>
          <w:rStyle w:val="ab"/>
        </w:rPr>
        <w:footnoteRef/>
      </w:r>
      <w:r>
        <w:rPr>
          <w:rtl/>
        </w:rPr>
        <w:t xml:space="preserve"> והלא ניכר הזיוף לפי שצריך לכתוב אותיות דקות יותר משאר אותיות השטר כדי לתת חלק בין שיטה לשיטה ואם יכתוב כתיבה גסה גם עתה ניכר הזיוף שאין חלק בינתים כשאר שיטות שבשטר, רשב"ם.</w:t>
      </w:r>
    </w:p>
  </w:footnote>
  <w:footnote w:id="3610">
    <w:p w14:paraId="05A74027" w14:textId="77777777" w:rsidR="0013116F" w:rsidRDefault="0013116F" w:rsidP="001D49D4">
      <w:pPr>
        <w:pStyle w:val="a9"/>
        <w:rPr>
          <w:rtl/>
        </w:rPr>
      </w:pPr>
      <w:r>
        <w:rPr>
          <w:rStyle w:val="ab"/>
        </w:rPr>
        <w:footnoteRef/>
      </w:r>
      <w:r>
        <w:rPr>
          <w:rtl/>
        </w:rPr>
        <w:t xml:space="preserve"> </w:t>
      </w:r>
      <w:r>
        <w:rPr>
          <w:rFonts w:hint="cs"/>
          <w:rtl/>
        </w:rPr>
        <w:t>וכתב הב"י ד</w:t>
      </w:r>
      <w:r>
        <w:rPr>
          <w:rtl/>
        </w:rPr>
        <w:t>מ"ש הטור ששיעור זה הוא 'שני שיטין ושלשה אוירין' כן הוא בגמרא לר' חייא בר אמי, וכ"כ הה"מ (שם) ורי"ו (נ"ד ח"ג שם), אכן הרי"ף והרא"ש (שם) כתבו שהוא שני שיטין ושני אוירין ונראה שטעות סופר הוא בספרי הרי"ף והרא"ש. כתוב בספר תיקון סופרים לה"ר שלמה בן דוראן (השער השביעי ד"ה תניא) הרמב"ם פסק כר' חייא בר אמי כגון למ"ד למעלה וכ"ף למטה בשני שיטין דהוו שתי שיטין ושני אוירין ונראה דפסק הכי משום דהויא מילתא מציעתא ועוד דהוו שתי שיטין ואילו לרבי אבהו לא הויא אלא שטה אחת.</w:t>
      </w:r>
    </w:p>
  </w:footnote>
  <w:footnote w:id="3611">
    <w:p w14:paraId="7C54BC9E" w14:textId="77777777" w:rsidR="0013116F" w:rsidRDefault="0013116F" w:rsidP="001D49D4">
      <w:pPr>
        <w:pStyle w:val="a9"/>
      </w:pPr>
      <w:r>
        <w:rPr>
          <w:rStyle w:val="ab"/>
        </w:rPr>
        <w:footnoteRef/>
      </w:r>
      <w:r>
        <w:rPr>
          <w:rtl/>
        </w:rPr>
        <w:t xml:space="preserve"> ודברי הראב"ד מטין לדברי הרמב"ם, הה"מ.</w:t>
      </w:r>
    </w:p>
  </w:footnote>
  <w:footnote w:id="3612">
    <w:p w14:paraId="59D4F48B" w14:textId="77777777" w:rsidR="0013116F" w:rsidRDefault="0013116F" w:rsidP="001D49D4">
      <w:pPr>
        <w:pStyle w:val="a9"/>
        <w:rPr>
          <w:rtl/>
        </w:rPr>
      </w:pPr>
      <w:r>
        <w:rPr>
          <w:rStyle w:val="ab"/>
        </w:rPr>
        <w:footnoteRef/>
      </w:r>
      <w:r>
        <w:rPr>
          <w:rtl/>
        </w:rPr>
        <w:t xml:space="preserve"> </w:t>
      </w:r>
      <w:r>
        <w:rPr>
          <w:rFonts w:hint="cs"/>
          <w:rtl/>
        </w:rPr>
        <w:t>סימן</w:t>
      </w:r>
      <w:r>
        <w:rPr>
          <w:sz w:val="16"/>
          <w:szCs w:val="16"/>
          <w:rtl/>
        </w:rPr>
        <w:t xml:space="preserve"> </w:t>
      </w:r>
      <w:r>
        <w:rPr>
          <w:rtl/>
        </w:rPr>
        <w:t>– קודם סהדותו ב'</w:t>
      </w:r>
      <w:r>
        <w:rPr>
          <w:sz w:val="16"/>
          <w:szCs w:val="16"/>
          <w:rtl/>
        </w:rPr>
        <w:t xml:space="preserve"> {שורות}</w:t>
      </w:r>
      <w:r>
        <w:rPr>
          <w:rtl/>
        </w:rPr>
        <w:t xml:space="preserve">. </w:t>
      </w:r>
    </w:p>
  </w:footnote>
  <w:footnote w:id="3613">
    <w:p w14:paraId="59B65362" w14:textId="77777777" w:rsidR="0013116F" w:rsidRDefault="0013116F" w:rsidP="001D49D4">
      <w:pPr>
        <w:pStyle w:val="a9"/>
      </w:pPr>
      <w:r>
        <w:rPr>
          <w:rStyle w:val="ab"/>
        </w:rPr>
        <w:footnoteRef/>
      </w:r>
      <w:r>
        <w:rPr>
          <w:rtl/>
        </w:rPr>
        <w:t xml:space="preserve"> וכן דעת הרב הנשיא אלברגילוני אלא שחילק בין מחצה ושטה לשטה ומחצה וכו', ר"ש בן דוראן.</w:t>
      </w:r>
    </w:p>
  </w:footnote>
  <w:footnote w:id="3614">
    <w:p w14:paraId="42A9BD1B" w14:textId="77777777" w:rsidR="0013116F" w:rsidRDefault="0013116F" w:rsidP="001D49D4">
      <w:pPr>
        <w:pStyle w:val="a9"/>
        <w:rPr>
          <w:rtl/>
        </w:rPr>
      </w:pPr>
      <w:r>
        <w:rPr>
          <w:rStyle w:val="ab"/>
        </w:rPr>
        <w:footnoteRef/>
      </w:r>
      <w:r>
        <w:rPr>
          <w:rtl/>
        </w:rPr>
        <w:t xml:space="preserve"> הר"ש ב"ד תמה על הטור איך פסק היפך הגמ', וז"ל- אבל בספר החשן </w:t>
      </w:r>
      <w:r>
        <w:rPr>
          <w:sz w:val="16"/>
          <w:szCs w:val="16"/>
          <w:rtl/>
        </w:rPr>
        <w:t xml:space="preserve">(כאן) </w:t>
      </w:r>
      <w:r>
        <w:rPr>
          <w:rtl/>
        </w:rPr>
        <w:t xml:space="preserve">פסל בין שטה ומחצה בין מחצה ושטה ואני תמה מהרב ז"ל איך פסק דשטה ומחצה פסול והא איפשיטא בעיין דשטה ומחצה כשר עכ"ל. וכ' הב"י שמדבריו נראה שלא ראה פסקי הרא"ש </w:t>
      </w:r>
      <w:r>
        <w:rPr>
          <w:sz w:val="12"/>
          <w:szCs w:val="12"/>
          <w:rtl/>
        </w:rPr>
        <w:t xml:space="preserve">(סי' ג) </w:t>
      </w:r>
      <w:r>
        <w:rPr>
          <w:rtl/>
        </w:rPr>
        <w:t xml:space="preserve">שאילו ראה אותם לא הוה קשה ליה מידי שהרי דברי רבינו מועתקים מדברי הרא"ש שכתב על האי בעיא וז"ל- לא קא מיבעיא ליה אם סיים השטר באמצע השיטה והניח אותה חצי שיטה ועוד שיטה אחרת, דפשיטא דפסול, שיכול לכתוב באותה חצי שיטה מה שירצה ויחזור מעניינו של שטר בשיטה אחרונה. וגם נמי אם סיים השטר באותה השיטה והרחיק שיטה שלימה חתמו העדים באמצע שיטה שניה לא מיבעיא ליה, דהא ודאי אם חתמו העדים בזה אחר זה באותה חצי שיטה פסול שיכתוב בחצי שיטה החלק פלוני לוה מפלוני מנה ויהיה שטר הבא הוא ועדיו בשיטה אחת ויחתוך כל השטר העליון, ואם חתמו בזה תחת זה כשר אם שני עדים בשני שטרות אין מצטרפין </w:t>
      </w:r>
      <w:r>
        <w:rPr>
          <w:sz w:val="16"/>
          <w:szCs w:val="16"/>
          <w:rtl/>
        </w:rPr>
        <w:t>(כלומר דאי מצטרפי איכא למיחש שיכתוב שפלוני חייב לו מנה בחלק שלפני עד ראשון ויחתכנו, ובחלק שלפני עד שני יכתוב עוד פעם אחרת שאותו פלוני חייב לו מנה, והרי כאן שני עדים על איש אחד אלא שהם בשני שטרות, ואי מצטרפי - אפילו חתמו זה אחר זה פסול, שהרי יכול לזייף כמו שכתבתי, ואי לא מצטרפי - כיון שחתמו זה תחת זה כשר דתו ליכא למיחש לזייופא, ב"י. והוסיף הדרכ"מ (אות ב*) דליכא למיחש שיעשה כן בשטר אחד דאז הדבר ניכר שזייף. עכ"ל. וכתב עוד הב"י וז"ל- וא"ת אפילו אי שני עדים בשני שטרות אין מצטרפין מכל מקום ליפסול שהרי יכול לכתוב לפני חתימת כל עד 'אני החתום חייב לפלוני מנה', וי"ל שאין לפסול השטר אלא כשיכול לזייף ולעשות שטר שיש עליו שני עדים להוציא ממון מאחרים, אבל משום שיכול לעשות שטר שהעד עצמו חייב לו לא פסלינן ליה לשטרא דאיהו אפסיד אנפשיה שחתם במקום שיכולין לעשות שטר עליו, כך כתבו התוס' בפרק גט פשוט (קסג: ד"ה שטה) ונמוק"י (עו. דיבור ראשון) בשם הריטב"א (קסג: ד"ה ומדאמרינן) ורבותיו)</w:t>
      </w:r>
      <w:r>
        <w:rPr>
          <w:rtl/>
        </w:rPr>
        <w:t>, אבל הא ליכא למיחש דלמא כתב מאי דבעי בשיטה השלימה ויחזור מענינו של שטר בחצי שיטה, דפשיטא דגם מן השלימה אין למדין כיון דליכא אלא חצי שיטה בין כתיבת השטר לחתימת עדים משום דאיכא למיחש שמא התחילו העדים לחתום באמצע השיטה והרחיקו שיטה אחת מן הכתיבה. אלא-...</w:t>
      </w:r>
    </w:p>
  </w:footnote>
  <w:footnote w:id="3615">
    <w:p w14:paraId="04C87ADF" w14:textId="77777777" w:rsidR="0013116F" w:rsidRDefault="0013116F" w:rsidP="001D49D4">
      <w:pPr>
        <w:pStyle w:val="a9"/>
        <w:rPr>
          <w:rtl/>
        </w:rPr>
      </w:pPr>
      <w:r>
        <w:rPr>
          <w:rStyle w:val="ab"/>
        </w:rPr>
        <w:footnoteRef/>
      </w:r>
      <w:r>
        <w:rPr>
          <w:rtl/>
        </w:rPr>
        <w:t xml:space="preserve"> והתוס' </w:t>
      </w:r>
      <w:r>
        <w:rPr>
          <w:sz w:val="16"/>
          <w:szCs w:val="16"/>
          <w:rtl/>
        </w:rPr>
        <w:t>(קסב: ד"ה איבעיא)</w:t>
      </w:r>
      <w:r>
        <w:rPr>
          <w:rtl/>
        </w:rPr>
        <w:t xml:space="preserve"> הביאו שני פירושים, תירוץ ראשון שאיבעיא לגמ' מה הדין כשהרחיקו שורה וחתמו באמצע השורה שאחריה, והכשירו</w:t>
      </w:r>
      <w:r>
        <w:rPr>
          <w:sz w:val="16"/>
          <w:szCs w:val="16"/>
          <w:rtl/>
        </w:rPr>
        <w:t xml:space="preserve"> (ולכאורה היה נראה שהרא"ש חולק עליהם, אבל אפשר לומר שהרא"ש פירש את דבריהם כך שמה שהכשירו בכה"ג הוא רק אם חתמו העדים זה תחת זה, דודאי יודו התוס' שאם חתמו זא"ז פסול)</w:t>
      </w:r>
      <w:r>
        <w:rPr>
          <w:rtl/>
        </w:rPr>
        <w:t>. ותירוץ שני כדברי הרא"ש.</w:t>
      </w:r>
    </w:p>
  </w:footnote>
  <w:footnote w:id="3616">
    <w:p w14:paraId="1A1E6A1F" w14:textId="77777777" w:rsidR="0013116F" w:rsidRDefault="0013116F" w:rsidP="001D49D4">
      <w:pPr>
        <w:pStyle w:val="a9"/>
        <w:rPr>
          <w:rtl/>
        </w:rPr>
      </w:pPr>
      <w:r>
        <w:rPr>
          <w:rStyle w:val="ab"/>
        </w:rPr>
        <w:footnoteRef/>
      </w:r>
      <w:r>
        <w:rPr>
          <w:rtl/>
        </w:rPr>
        <w:t xml:space="preserve"> וז"ל- אין מסיימין הגט רק בסוף שטה פן יחתמו העדים באותו אמצע השטה ואין למדין מן השטה שלמעלה הימנה ולפעמים יהיה באותה שטה עיקרו של גט, או אם יחתמו העדים רחוק מן הכתב אמצע שטה אחרונה יכול לזייף בחצי החלק כל מה שירצה. וכן נהגו העולם להחתים העדים בתחלת השטה זה תחת זה.</w:t>
      </w:r>
    </w:p>
  </w:footnote>
  <w:footnote w:id="3617">
    <w:p w14:paraId="1BD9E814" w14:textId="77777777" w:rsidR="0013116F" w:rsidRDefault="0013116F" w:rsidP="001D49D4">
      <w:pPr>
        <w:pStyle w:val="a9"/>
      </w:pPr>
      <w:r>
        <w:rPr>
          <w:rStyle w:val="ab"/>
        </w:rPr>
        <w:footnoteRef/>
      </w:r>
      <w:r>
        <w:rPr>
          <w:rtl/>
        </w:rPr>
        <w:t xml:space="preserve"> </w:t>
      </w:r>
      <w:r>
        <w:rPr>
          <w:rFonts w:hint="cs"/>
          <w:rtl/>
        </w:rPr>
        <w:t xml:space="preserve">וז"ל- </w:t>
      </w:r>
      <w:r>
        <w:rPr>
          <w:rtl/>
        </w:rPr>
        <w:t xml:space="preserve">אם העדים חתומים באמצע שטה - למדין אפילו בלא שריר וקיים משטה אחרונה אפילו אותה שטה שהם חתומים בה וכל שכן אותם שלמעלה ממנה, הפך מה שכתוב בשם בעל ארחות חיים </w:t>
      </w:r>
      <w:r>
        <w:rPr>
          <w:sz w:val="16"/>
          <w:szCs w:val="16"/>
          <w:rtl/>
        </w:rPr>
        <w:t>(ח"ב הל' גיטין עמ' 164)</w:t>
      </w:r>
      <w:r>
        <w:rPr>
          <w:rtl/>
        </w:rPr>
        <w:t>. לפי שאין דרכן של עדים לחתום באמצע שטה כדי שלא יפסל השטר משום הנחת הגליון, ומה שאין למדין משטה אחרונה אינו אלא מפני חשש זה דשמא אחר שחתמו הוסיפו אותה שטה שרוב החותמים דרכם להתרחק מעט כשיעור שטה מהכתב. וכיון שחתמו באמצע שטה אין לחוש שאחר שחתמו העדים הוסיפו שטה זו כאן, שאין דרכן של עדים לחתום באמצע שטה. אם כן למדים משטה אחרונה אפילו אותה שהם חתומים בה וכל שכן אותה שלמעלה ממנה.</w:t>
      </w:r>
    </w:p>
  </w:footnote>
  <w:footnote w:id="3618">
    <w:p w14:paraId="11A8FF51" w14:textId="77777777" w:rsidR="0013116F" w:rsidRDefault="0013116F" w:rsidP="001D49D4">
      <w:pPr>
        <w:pStyle w:val="a9"/>
      </w:pPr>
      <w:r>
        <w:rPr>
          <w:rStyle w:val="ab"/>
        </w:rPr>
        <w:footnoteRef/>
      </w:r>
      <w:r>
        <w:rPr>
          <w:rtl/>
        </w:rPr>
        <w:t xml:space="preserve"> </w:t>
      </w:r>
      <w:r>
        <w:rPr>
          <w:rFonts w:hint="cs"/>
          <w:rtl/>
        </w:rPr>
        <w:t xml:space="preserve">וכתבו הדרכ"מ </w:t>
      </w:r>
      <w:r>
        <w:rPr>
          <w:sz w:val="16"/>
          <w:szCs w:val="16"/>
          <w:rtl/>
        </w:rPr>
        <w:t xml:space="preserve">(ארוך סע' י) </w:t>
      </w:r>
      <w:r>
        <w:rPr>
          <w:rtl/>
        </w:rPr>
        <w:t xml:space="preserve">והב"ח </w:t>
      </w:r>
      <w:r>
        <w:rPr>
          <w:sz w:val="16"/>
          <w:szCs w:val="16"/>
          <w:rtl/>
        </w:rPr>
        <w:t xml:space="preserve">(סע' י) </w:t>
      </w:r>
      <w:r>
        <w:rPr>
          <w:rtl/>
        </w:rPr>
        <w:t xml:space="preserve">דדעת הרא"ש והטור שלא ללמוד מן השיטה ומחצה ודלא כהרשב"ץ והרשב"א. ותמה עליהם הש"ך </w:t>
      </w:r>
      <w:r>
        <w:rPr>
          <w:sz w:val="16"/>
          <w:szCs w:val="16"/>
          <w:rtl/>
        </w:rPr>
        <w:t xml:space="preserve">(סקט"ז) </w:t>
      </w:r>
      <w:r>
        <w:rPr>
          <w:rtl/>
        </w:rPr>
        <w:t xml:space="preserve">וז"ל- ודבריהן תמוהין בעיני, דפשיטא דהרא"ש וטור שוים עם הרשב"ץ ורשב"א, דהרא"ש וטור מיירי להדיא בחתמו זה תחת זה, אין למדין משום דזה יכולים העדים לעשות, אבל בחתמו זה אחר זה, כתבו להדיא דהשטר פסול, משום שיכול לעשות שטר הבא הוא ועדיו בשיטה אחת, ואם כן ודאי דהעדים לא הניחו כן - ולכך למדין </w:t>
      </w:r>
      <w:r>
        <w:rPr>
          <w:sz w:val="16"/>
          <w:szCs w:val="16"/>
          <w:rtl/>
        </w:rPr>
        <w:t>(והרשב"ץ מיירי להדיא דוקא בחתומים זה אחר זה, שהרי כתב הרשב"ץ, לפי שאין דרכן של עדים לחתום באמצע שיטה כדי שלא יפסל השטר משום הנחת הגליון כו', ואי בחתומים זה תחת זה מאי פסול משום הנחת הגליון שייך כאן...)</w:t>
      </w:r>
      <w:r>
        <w:rPr>
          <w:rtl/>
        </w:rPr>
        <w:t>.</w:t>
      </w:r>
    </w:p>
  </w:footnote>
  <w:footnote w:id="3619">
    <w:p w14:paraId="1B5774CF" w14:textId="77777777" w:rsidR="0013116F" w:rsidRDefault="0013116F" w:rsidP="001D49D4">
      <w:pPr>
        <w:pStyle w:val="a9"/>
      </w:pPr>
      <w:r>
        <w:rPr>
          <w:rStyle w:val="ab"/>
        </w:rPr>
        <w:footnoteRef/>
      </w:r>
      <w:r>
        <w:rPr>
          <w:rtl/>
        </w:rPr>
        <w:t xml:space="preserve"> וכבר נתבאר בסמוך דדעת הרא"ש והטור לפוסלו, וכ"כ המרדכי פרק גט פשוט (סי' תרמג), דרכ"מ (אות ג).</w:t>
      </w:r>
    </w:p>
  </w:footnote>
  <w:footnote w:id="3620">
    <w:p w14:paraId="0528ED63" w14:textId="77777777" w:rsidR="0013116F" w:rsidRDefault="0013116F" w:rsidP="001D49D4">
      <w:pPr>
        <w:pStyle w:val="a9"/>
        <w:rPr>
          <w:rtl/>
        </w:rPr>
      </w:pPr>
      <w:r>
        <w:rPr>
          <w:rStyle w:val="ab"/>
        </w:rPr>
        <w:footnoteRef/>
      </w:r>
      <w:r>
        <w:rPr>
          <w:rtl/>
        </w:rPr>
        <w:t xml:space="preserve"> בזה אין חילוק בין חתמו זה תחת זה או זה בצד זה, כיון שהתחילו לחתום בריש השיטה, סמ"ע (סקי"ט).</w:t>
      </w:r>
    </w:p>
  </w:footnote>
  <w:footnote w:id="3621">
    <w:p w14:paraId="0E27ADAF" w14:textId="77777777" w:rsidR="0013116F" w:rsidRDefault="0013116F" w:rsidP="001D49D4">
      <w:pPr>
        <w:pStyle w:val="a9"/>
      </w:pPr>
      <w:r>
        <w:rPr>
          <w:rStyle w:val="ab"/>
        </w:rPr>
        <w:footnoteRef/>
      </w:r>
      <w:r>
        <w:rPr>
          <w:rtl/>
        </w:rPr>
        <w:t xml:space="preserve"> נראה דבכה"ג כל השטר פסול, אף אם בא לב"ד לגבות בו ועדיין לא נכתב כלום בהשורה וחצי, מ"מ היה ראוי לזייף בו ולא היינו מרגישים הזיוף, ודומיא דהפסול דכתב המחבר בבבא שאחר זה, הניחו שורה אחת ובשורה שאחריה התחילו לחתום באמצע השורה זה בצד זה, דשם נמי כל השטר פסול כשיבוא לגבות בו כיון שהיה יכול לזייף לחתכו ולעשות שטר ועדיו בשורה אחת וכדמסיק, וכמו שכתב מור"ם בסי' מד בסוף סע' ג. ולא דמי למ"ש המחבר ומור"ם [שם] דאם הרחיקו והניחו שורה וחצי אויר והתחילו העדים לחתום בחצי השורה אחריתי זה תחת זה, דאין כל השטר פסול כי אם שורה וחצי האחרונה אם נמצא דבר כתוב בו. דשאני התם דאי אפשר לזייף ולעשות ממנו שטר ועדיו בשיטה אחת כיון שהעדים חתומים זה תחת זה, וגם אם יבוא להוסיף ולכתוב באויר שהניח לא יהיה בו תועלת בההוספה, דהא דאין למדין משיטה התחתונה, היינו שורה שלמה רצופה, וא"כ לא ילמדו גם בזה מכל השיטה שעל גבי העדים, ומכל שכן מחצי השיטה שתחתיה שלפני העדים. משא"כ כשהניח אויר חצי שורה ואחריו עוד שורה שלימה, דלא יהיה ניכר זיופו וילכו וילמדו מחצי שיטה הראשונה. </w:t>
      </w:r>
      <w:r>
        <w:rPr>
          <w:sz w:val="16"/>
          <w:szCs w:val="16"/>
          <w:rtl/>
        </w:rPr>
        <w:t>(ועי' מש"כ עוד מזה בסי' מד סע' ג בסמ"ע סק"ה)</w:t>
      </w:r>
      <w:r>
        <w:rPr>
          <w:rtl/>
        </w:rPr>
        <w:t>, סמ"ע</w:t>
      </w:r>
      <w:r>
        <w:rPr>
          <w:sz w:val="16"/>
          <w:szCs w:val="16"/>
          <w:rtl/>
        </w:rPr>
        <w:t xml:space="preserve"> (סק"כ)</w:t>
      </w:r>
      <w:r>
        <w:rPr>
          <w:rtl/>
        </w:rPr>
        <w:t>.</w:t>
      </w:r>
    </w:p>
  </w:footnote>
  <w:footnote w:id="3622">
    <w:p w14:paraId="233EC753" w14:textId="77777777" w:rsidR="0013116F" w:rsidRDefault="0013116F" w:rsidP="001D49D4">
      <w:pPr>
        <w:pStyle w:val="a9"/>
      </w:pPr>
      <w:r>
        <w:rPr>
          <w:rStyle w:val="ab"/>
        </w:rPr>
        <w:footnoteRef/>
      </w:r>
      <w:r>
        <w:rPr>
          <w:rtl/>
        </w:rPr>
        <w:t xml:space="preserve"> כתב הב"ח (בטור סע' ט) דהיינו דוקא לדינא דש"ס, אבל לדידן דכתבינן שריר וקיים, אין לחוש אם סיים באמצע השיטה.. עכ"ל. ואין נ"ל, דכיון דקי"ל דאף לדידן אם כתוב תרי שריר וקיים בשיטה שלפני שיטה אחרונה כשר </w:t>
      </w:r>
      <w:r>
        <w:rPr>
          <w:sz w:val="16"/>
          <w:szCs w:val="16"/>
          <w:rtl/>
        </w:rPr>
        <w:t>(וכ"פ המחבר סי' מד סע' ט)</w:t>
      </w:r>
      <w:r>
        <w:rPr>
          <w:rtl/>
        </w:rPr>
        <w:t xml:space="preserve"> א"כ יש לחוש שיכתוב עוד איזה דבר בחצי שיטה הנשארת ויכתוב אחר כך באותה שיטה שריר וקיים, ש"ך (סקט"ו).</w:t>
      </w:r>
    </w:p>
  </w:footnote>
  <w:footnote w:id="3623">
    <w:p w14:paraId="3A719032" w14:textId="77777777" w:rsidR="0013116F" w:rsidRDefault="0013116F" w:rsidP="001D49D4">
      <w:pPr>
        <w:pStyle w:val="a9"/>
        <w:rPr>
          <w:rtl/>
        </w:rPr>
      </w:pPr>
      <w:r>
        <w:rPr>
          <w:rStyle w:val="ab"/>
        </w:rPr>
        <w:footnoteRef/>
      </w:r>
      <w:r>
        <w:rPr>
          <w:rtl/>
        </w:rPr>
        <w:t xml:space="preserve"> אבל כשחתמו זה תחת זה ליכא למיחש שיכתוב לפני כל עד, פלוני לוה מפלוני, דשני עדים בשני שטרות כל אחד בפני עצמו... אין מצטרפין..., סמ"ע (סקכ"א). וכ"כ הע"ש. וכתב הש"ך (סקי"ז) דלא נראה טעמם, דהא קי"ל לקמן סי' נ"א [סע' א] איפכא דמצטרפים עכ"פ לגבות מבני חרי ע"ש. אלא נ"ל כאן הטעם דכיון דליכא אלא שיטה אחת בכל שטר ליכא למיחש למידי - דיהיה ניכר הזיוף, וב' שטרות בכה"ג שאין בשום אחד רק שיטה אחת אין מצטרפים </w:t>
      </w:r>
      <w:r>
        <w:rPr>
          <w:sz w:val="16"/>
          <w:szCs w:val="16"/>
          <w:rtl/>
        </w:rPr>
        <w:t>(ואע"פ שהרא"ש [ב"ב פ"י סי' ב] והטור [סע' י] כתבו דכשר אם נאמר דב' עדים בב' שטרות אין מצטרפים, מ"מ י"ל דדעת המחבר כמו שכתבתי. וגם דברי הרא"ש וטור יש לפרש דה"ק, אם נאמר דב' עדים בב' שטרות אין מצטרפים מוכרח דכשר, משא"כ אם מצטרפים י"ל דפסול ואינו מוכרח דכשר אבל מ"מ יכול להיות דכשר, מטעמא דפרישית, וכן עיקר)</w:t>
      </w:r>
      <w:r>
        <w:rPr>
          <w:rtl/>
        </w:rPr>
        <w:t>.</w:t>
      </w:r>
    </w:p>
  </w:footnote>
  <w:footnote w:id="3624">
    <w:p w14:paraId="31B5AE39" w14:textId="77777777" w:rsidR="0013116F" w:rsidRDefault="0013116F" w:rsidP="001D49D4">
      <w:pPr>
        <w:pStyle w:val="a9"/>
      </w:pPr>
      <w:r>
        <w:rPr>
          <w:rStyle w:val="ab"/>
        </w:rPr>
        <w:footnoteRef/>
      </w:r>
      <w:r>
        <w:rPr>
          <w:rtl/>
        </w:rPr>
        <w:t xml:space="preserve"> הטעם, דמוקמינן העדים אחזקתייהו, דאם לא ראו שהשטר היה כתוב גם באותו חצי שורה שקודם חתימתן לא היו חותמין נפשם בחצי שורה, כיון שיכול לזייפו ולעשות ממנו שטר ועדיו בשיטה אחת, סמ"ע (סקכ"ב).</w:t>
      </w:r>
    </w:p>
  </w:footnote>
  <w:footnote w:id="3625">
    <w:p w14:paraId="21E9954E" w14:textId="77777777" w:rsidR="0013116F" w:rsidRDefault="0013116F" w:rsidP="001D49D4">
      <w:pPr>
        <w:pStyle w:val="a9"/>
      </w:pPr>
      <w:r>
        <w:rPr>
          <w:rStyle w:val="ab"/>
        </w:rPr>
        <w:footnoteRef/>
      </w:r>
      <w:r>
        <w:rPr>
          <w:rtl/>
        </w:rPr>
        <w:t xml:space="preserve"> </w:t>
      </w:r>
      <w:r>
        <w:rPr>
          <w:rFonts w:hint="cs"/>
          <w:rtl/>
        </w:rPr>
        <w:t>סימן</w:t>
      </w:r>
      <w:r>
        <w:rPr>
          <w:sz w:val="16"/>
          <w:szCs w:val="16"/>
          <w:rtl/>
        </w:rPr>
        <w:t xml:space="preserve"> </w:t>
      </w:r>
      <w:r>
        <w:rPr>
          <w:rtl/>
        </w:rPr>
        <w:t xml:space="preserve">– קלף וסהדותא בגוש. </w:t>
      </w:r>
    </w:p>
  </w:footnote>
  <w:footnote w:id="3626">
    <w:p w14:paraId="19118796" w14:textId="77777777" w:rsidR="0013116F" w:rsidRDefault="0013116F" w:rsidP="001D49D4">
      <w:pPr>
        <w:pStyle w:val="a9"/>
      </w:pPr>
      <w:r>
        <w:rPr>
          <w:rStyle w:val="ab"/>
        </w:rPr>
        <w:footnoteRef/>
      </w:r>
      <w:r>
        <w:rPr>
          <w:rtl/>
        </w:rPr>
        <w:t xml:space="preserve"> </w:t>
      </w:r>
      <w:r>
        <w:rPr>
          <w:rFonts w:hint="cs"/>
          <w:rtl/>
        </w:rPr>
        <w:t>הרחיק את העדים כשיעור שני שיטין פסול</w:t>
      </w:r>
      <w:r>
        <w:rPr>
          <w:rtl/>
        </w:rPr>
        <w:t>, רשב"ם.</w:t>
      </w:r>
    </w:p>
  </w:footnote>
  <w:footnote w:id="3627">
    <w:p w14:paraId="508B4C73" w14:textId="77777777" w:rsidR="0013116F" w:rsidRDefault="0013116F" w:rsidP="001D49D4">
      <w:pPr>
        <w:pStyle w:val="a9"/>
        <w:rPr>
          <w:rtl/>
        </w:rPr>
      </w:pPr>
      <w:r>
        <w:rPr>
          <w:rStyle w:val="ab"/>
        </w:rPr>
        <w:footnoteRef/>
      </w:r>
      <w:r>
        <w:rPr>
          <w:rtl/>
        </w:rPr>
        <w:t xml:space="preserve"> </w:t>
      </w:r>
      <w:r>
        <w:rPr>
          <w:rFonts w:hint="cs"/>
          <w:rtl/>
        </w:rPr>
        <w:t>היינו לקיום, וגם הקיום נעשה ע"י חתימת ב' עדים.</w:t>
      </w:r>
    </w:p>
  </w:footnote>
  <w:footnote w:id="3628">
    <w:p w14:paraId="0B00B225" w14:textId="77777777" w:rsidR="0013116F" w:rsidRDefault="0013116F" w:rsidP="001D49D4">
      <w:pPr>
        <w:pStyle w:val="a9"/>
      </w:pPr>
      <w:r>
        <w:rPr>
          <w:rStyle w:val="ab"/>
        </w:rPr>
        <w:footnoteRef/>
      </w:r>
      <w:r>
        <w:rPr>
          <w:rtl/>
        </w:rPr>
        <w:t xml:space="preserve"> ואע"ג דמטייט ומפרש טעמא דרבי יוחנן דקסבר שטר שכתוב כולו בשיטה אחת וגם העדים חתומין באותה שיטה כשר ויכול לחתוך את העליון ויכתוב שטר ועדים פסולים באותה שיטה ואנו נסמוך אאשרתא לקיימן ואם השטר כולו בשיטה אחת והעדים בשיטה אחרת פסול, רשב"ם.</w:t>
      </w:r>
    </w:p>
  </w:footnote>
  <w:footnote w:id="3629">
    <w:p w14:paraId="34BEEB2A" w14:textId="77777777" w:rsidR="0013116F" w:rsidRDefault="0013116F" w:rsidP="001D49D4">
      <w:pPr>
        <w:pStyle w:val="a9"/>
      </w:pPr>
      <w:r>
        <w:rPr>
          <w:rStyle w:val="ab"/>
        </w:rPr>
        <w:footnoteRef/>
      </w:r>
      <w:r>
        <w:rPr>
          <w:rtl/>
        </w:rPr>
        <w:t xml:space="preserve"> </w:t>
      </w:r>
      <w:r>
        <w:rPr>
          <w:rFonts w:hint="cs"/>
          <w:rtl/>
        </w:rPr>
        <w:t>כ"כ התוס' ריש פרק גט פשוט (שם), ועיין עוד שם בחידושי הרמב"ן (ד"ה דילמא) והר"ן (ד"ה שטר), ודין זה כתוב בהגה"מ פ"א מהל' גירושין (מהדו' פרנקל אות ג), ועיין במגיד משנה פכ"ז מהלכות מלוה (ה"ד ד"ה היה)</w:t>
      </w:r>
      <w:r>
        <w:rPr>
          <w:rtl/>
        </w:rPr>
        <w:t>, ב"י.</w:t>
      </w:r>
    </w:p>
  </w:footnote>
  <w:footnote w:id="3630">
    <w:p w14:paraId="1B508D2A" w14:textId="77777777" w:rsidR="0013116F" w:rsidRDefault="0013116F" w:rsidP="001D49D4">
      <w:pPr>
        <w:pStyle w:val="a9"/>
        <w:rPr>
          <w:rtl/>
        </w:rPr>
      </w:pPr>
      <w:r>
        <w:rPr>
          <w:rStyle w:val="ab"/>
        </w:rPr>
        <w:footnoteRef/>
      </w:r>
      <w:r>
        <w:rPr>
          <w:rtl/>
        </w:rPr>
        <w:t xml:space="preserve"> פירוש, אף אם יתחילו לחתום בראש השיטה שוה לשיטת השטר דלמעלה לחתימתן, מ"מ כשיש בגליון דלפני השיטה חלק הרבה, אז יכול לזייף לחתוך שטר העליון ולעשות שטר ועדיו בשיטה אחת [וכן הוא בהדיא בלשון מהרי"ל בהל' נישואין, ד"מ מ"ב סעיף ג'], וכ"ש דלא יחתמו זה אחר זה ויתחילו באמצע השיטה מה"ט, סמ"ע (סקכ"ד).</w:t>
      </w:r>
    </w:p>
  </w:footnote>
  <w:footnote w:id="3631">
    <w:p w14:paraId="7C44551A" w14:textId="77777777" w:rsidR="0013116F" w:rsidRDefault="0013116F" w:rsidP="001D49D4">
      <w:pPr>
        <w:pStyle w:val="a9"/>
        <w:rPr>
          <w:rtl/>
        </w:rPr>
      </w:pPr>
      <w:r>
        <w:rPr>
          <w:rStyle w:val="ab"/>
        </w:rPr>
        <w:footnoteRef/>
      </w:r>
      <w:r>
        <w:rPr>
          <w:rtl/>
        </w:rPr>
        <w:t xml:space="preserve"> עיין ד"מ סעיף י"א דכתב דיש פלוגתא בזה אם חתמו כן, אם השטר נפסל בכך, ע"ש, עכ"ל סמ"ע [סקכ"ג]. ושתי הדעות הם בתוספות פרק גט פשוט [קסג: ד"ה שיטה], וכתבו הטעם, דלא פסלינן אלא כשחותכים אותו השטר נפסל בכך, משא"כ הכא. ומביאם בית יוסף מחודש ז'. ונראה לי כונתם, דהא אכתי שטר זה כשר הוא, ואי משום חשש פיסול, יחתכו עדיין הגליון. מה שאין כן בשאר דבר שאם היו חותכים אותו, השטר פסול, ואם כן השטר פסול ממה נפשך, ש"ך (סקי"ט).</w:t>
      </w:r>
    </w:p>
  </w:footnote>
  <w:footnote w:id="3632">
    <w:p w14:paraId="6481C645" w14:textId="77777777" w:rsidR="0013116F" w:rsidRDefault="0013116F" w:rsidP="001D49D4">
      <w:pPr>
        <w:pStyle w:val="a9"/>
      </w:pPr>
      <w:r>
        <w:rPr>
          <w:rStyle w:val="ab"/>
        </w:rPr>
        <w:footnoteRef/>
      </w:r>
      <w:r>
        <w:rPr>
          <w:rtl/>
        </w:rPr>
        <w:t xml:space="preserve"> הטעם, דעדותן על זה למה לו להמלוה, דהא אי בעי היה חותך הגליון שיש בו הטיוטא ותו לא יהיה עליו חשד, אבל כשהטיוטא בהשיטה לפני חתימתן שייך לומר גם כן דאטיוטא חתמו. ולפי"ז מה שכתב המחבר אחר זה דאם התחילו כו' וחתכו החלק כו', ה"ה אם טייטו בדיו לפני חתימתן פסול, סמ"ע (סקכ"ה).</w:t>
      </w:r>
    </w:p>
  </w:footnote>
  <w:footnote w:id="3633">
    <w:p w14:paraId="61A040C5" w14:textId="77777777" w:rsidR="0013116F" w:rsidRDefault="0013116F" w:rsidP="001D49D4">
      <w:pPr>
        <w:pStyle w:val="a9"/>
        <w:rPr>
          <w:rtl/>
        </w:rPr>
      </w:pPr>
      <w:r>
        <w:rPr>
          <w:rStyle w:val="ab"/>
        </w:rPr>
        <w:footnoteRef/>
      </w:r>
      <w:r>
        <w:rPr>
          <w:rtl/>
        </w:rPr>
        <w:t xml:space="preserve"> ואף דאין למדין משיטה אחרונה, היינו דוקא זכותו דבעל השטר, וכמו שכתב בסימן מ"ד סעיף א' ע"ש, סמ"ע (סקכ"ו). וכתב הש"ך (סק"כ) דלא נהירא, דא"כ איך כתבו הרא"ש [ב"ב פ"י סי' ב] והטור [סע' יג] והמחבר אח"כ 'ומיהו אם כתב למעלה בסוף השיטה שריר וקיים כשר', ניחוש שמא כתב דבר חובה בתר שריר וקיים... אלא נלפע"ד דהרא"ש והטור והמחבר מיירי האידנא דלמדין משיטה אחרונה כיון דכתבינן שריר וקיים, וס"ל להרא"ש וטור והמחבר דלדין הש"ס אפילו היה דבר של חובה אין למדין משיטה אחרונה </w:t>
      </w:r>
      <w:r>
        <w:rPr>
          <w:sz w:val="16"/>
          <w:szCs w:val="16"/>
          <w:rtl/>
        </w:rPr>
        <w:t>[וכדמוכח להדיא מפירשב"ם דף קסא: בסופו ד"ה וצריך]</w:t>
      </w:r>
      <w:r>
        <w:rPr>
          <w:rtl/>
        </w:rPr>
        <w:t xml:space="preserve">, וא"כ ה"ה לדידן אפילו דבר של חובה אין למדין בתר שריר וקיים, וא"כ למאי דקי"ל </w:t>
      </w:r>
      <w:r>
        <w:rPr>
          <w:sz w:val="16"/>
          <w:szCs w:val="16"/>
          <w:rtl/>
        </w:rPr>
        <w:t>(לעיל סי' מב סע' ה ור"ס מד בהגה"ה)</w:t>
      </w:r>
      <w:r>
        <w:rPr>
          <w:rtl/>
        </w:rPr>
        <w:t xml:space="preserve"> דדבר של חובה למדין, ליתא להך דינא. </w:t>
      </w:r>
    </w:p>
  </w:footnote>
  <w:footnote w:id="3634">
    <w:p w14:paraId="5BE1C17F" w14:textId="77777777" w:rsidR="0013116F" w:rsidRDefault="0013116F" w:rsidP="001D49D4">
      <w:pPr>
        <w:pStyle w:val="a9"/>
        <w:rPr>
          <w:rtl/>
        </w:rPr>
      </w:pPr>
      <w:r>
        <w:rPr>
          <w:rStyle w:val="ab"/>
        </w:rPr>
        <w:footnoteRef/>
      </w:r>
      <w:r>
        <w:rPr>
          <w:rtl/>
        </w:rPr>
        <w:t xml:space="preserve"> מכאן יש ללמוד שלא יעשו שטר ועדיו בשיטה אחת כשיש חלק מלמעלה, אלא יטייטנו בדיו או יחתכנו. ומ"מ כיון שיש ריעותא לפנינו, חיישינן שמא אירע כן, סמ"ע (סקכ"ח). וכ"כ הב"ח (סע' יג). וכתב הש"ך (סקכ"א) דלא נהירא, דמשמע בש"ס [ב"ב קסג:] ופוסקים דשטר ועדיו בשיטה אחת כשר בכל ענין, ועיין לקמן סעיף י"ט. וגם לא נהירא לחשוד את העדים שעשו שלא כדין. אלא נראה דשטר כזה כשר ולא חיישינן שיחתוך ממה שלמעלה, משום דמסתמא כל שטר יש לו גליון מן הצדדים, וא"כ כשיחתוך לא יהיה לו גליון כלל מן הצד ויהא ניכר הזיוף, ולפי זה צריכים העדים ליזהר כשכותבים שטר כזה שהוא ועדיו בשיטה אחת והוא חלק מלמעלה, שלא יניחו שום ריוח כלל בין השטר ובין חתימת העדים, ובלאו הכי נמי צריכים ליזהר בזה וכמו שכתבו הטור והמחבר לעיל סימן מ"ב [טור סעיף ד' - ה' ומחבר] סעיף ג' שיהיה הכתב מיושר ואל ידחוק במקום אחד וירחיק במקום אחר כו'. ואם רואה בו הדיין שום שינוי לא יגבה בו עד שיבדוק הדבר היטב כו'.</w:t>
      </w:r>
    </w:p>
  </w:footnote>
  <w:footnote w:id="3635">
    <w:p w14:paraId="7EC90F9B" w14:textId="77777777" w:rsidR="0013116F" w:rsidRDefault="0013116F" w:rsidP="001D49D4">
      <w:pPr>
        <w:pStyle w:val="a9"/>
      </w:pPr>
      <w:r>
        <w:rPr>
          <w:rStyle w:val="ab"/>
        </w:rPr>
        <w:footnoteRef/>
      </w:r>
      <w:r>
        <w:rPr>
          <w:rtl/>
        </w:rPr>
        <w:t xml:space="preserve"> </w:t>
      </w:r>
      <w:r>
        <w:rPr>
          <w:rFonts w:hint="cs"/>
          <w:rtl/>
        </w:rPr>
        <w:t>סימן</w:t>
      </w:r>
      <w:r>
        <w:rPr>
          <w:sz w:val="16"/>
          <w:szCs w:val="16"/>
          <w:rtl/>
        </w:rPr>
        <w:t xml:space="preserve"> </w:t>
      </w:r>
      <w:r>
        <w:rPr>
          <w:rtl/>
        </w:rPr>
        <w:t>– קודם סהדותו ב'</w:t>
      </w:r>
      <w:r>
        <w:rPr>
          <w:sz w:val="16"/>
          <w:szCs w:val="16"/>
          <w:rtl/>
        </w:rPr>
        <w:t xml:space="preserve"> {שורות}</w:t>
      </w:r>
      <w:r>
        <w:rPr>
          <w:rtl/>
        </w:rPr>
        <w:t xml:space="preserve">. </w:t>
      </w:r>
    </w:p>
  </w:footnote>
  <w:footnote w:id="3636">
    <w:p w14:paraId="0268B1C9" w14:textId="77777777" w:rsidR="0013116F" w:rsidRDefault="0013116F" w:rsidP="001D49D4">
      <w:pPr>
        <w:pStyle w:val="a9"/>
      </w:pPr>
      <w:r>
        <w:rPr>
          <w:rStyle w:val="ab"/>
        </w:rPr>
        <w:footnoteRef/>
      </w:r>
      <w:r>
        <w:rPr>
          <w:rtl/>
        </w:rPr>
        <w:t xml:space="preserve"> </w:t>
      </w:r>
      <w:r>
        <w:rPr>
          <w:rFonts w:hint="cs"/>
          <w:rtl/>
        </w:rPr>
        <w:t>כן היא גירסתנו בגמרא</w:t>
      </w:r>
      <w:r>
        <w:rPr>
          <w:rtl/>
        </w:rPr>
        <w:t xml:space="preserve">, וכתב הב"י דלפי גיר' זו משמע דאיירי בהחתים קרוב בין בתחלה בין באמצע בין בסוף מדלא קבע ליה דוכתא. אך ר"ח ור"י </w:t>
      </w:r>
      <w:r>
        <w:rPr>
          <w:sz w:val="16"/>
          <w:szCs w:val="16"/>
          <w:rtl/>
        </w:rPr>
        <w:t xml:space="preserve">(בתוס' קסב: ד"ה נמצא) </w:t>
      </w:r>
      <w:r>
        <w:rPr>
          <w:rtl/>
        </w:rPr>
        <w:t xml:space="preserve">גורסים כך- 'ונמצאו [שנים] הראשונים קרובים או פסולים' </w:t>
      </w:r>
      <w:r>
        <w:rPr>
          <w:sz w:val="16"/>
          <w:szCs w:val="16"/>
          <w:rtl/>
        </w:rPr>
        <w:t>(וכן גרסו בה"ג (סי' נא הל' עדות קיד ע"ג) רשב"ם (ד"ה הכי גרסינן) והרשב"א (פ"ב דגטין יח: ד"ה ולחתום), וכתב הרשב"א (שם) דכן היא גירסת רוב הספרים)</w:t>
      </w:r>
      <w:r>
        <w:rPr>
          <w:rtl/>
        </w:rPr>
        <w:t>. ולפי זה אין מקיימין את השטר אלא מעדים שלמטה. הלכך נמצאו קרובים בסוף – פסול. ואם נמצאו בתחלה תתקיים בעדות שלמטה.</w:t>
      </w:r>
    </w:p>
  </w:footnote>
  <w:footnote w:id="3637">
    <w:p w14:paraId="057924E5" w14:textId="77777777" w:rsidR="0013116F" w:rsidRDefault="0013116F" w:rsidP="001D49D4">
      <w:pPr>
        <w:pStyle w:val="a9"/>
        <w:rPr>
          <w:rtl/>
        </w:rPr>
      </w:pPr>
      <w:r>
        <w:rPr>
          <w:rStyle w:val="ab"/>
        </w:rPr>
        <w:footnoteRef/>
      </w:r>
      <w:r>
        <w:rPr>
          <w:rtl/>
        </w:rPr>
        <w:t xml:space="preserve"> בה"ג </w:t>
      </w:r>
      <w:r>
        <w:rPr>
          <w:sz w:val="16"/>
          <w:szCs w:val="16"/>
          <w:rtl/>
        </w:rPr>
        <w:t>(סי' נא הל' עדות קיד ע"ג)</w:t>
      </w:r>
      <w:r>
        <w:rPr>
          <w:rtl/>
        </w:rPr>
        <w:t xml:space="preserve"> ר"ח ר"י </w:t>
      </w:r>
      <w:r>
        <w:rPr>
          <w:sz w:val="16"/>
          <w:szCs w:val="16"/>
          <w:rtl/>
        </w:rPr>
        <w:t xml:space="preserve">(בתוס' קסב: ד"ה נמצא) </w:t>
      </w:r>
      <w:r>
        <w:rPr>
          <w:rtl/>
        </w:rPr>
        <w:t xml:space="preserve">ר"ת </w:t>
      </w:r>
      <w:r>
        <w:rPr>
          <w:sz w:val="16"/>
          <w:szCs w:val="16"/>
          <w:rtl/>
        </w:rPr>
        <w:t>(כ"כ בשמו התוס' [קסב: ד"ה נמצא, ובגיטין יח: ד"ה אמרי], וחזר בו ממש"כ בספר הישר [חי' סי' תרעב])</w:t>
      </w:r>
      <w:r>
        <w:rPr>
          <w:rtl/>
        </w:rPr>
        <w:t xml:space="preserve"> רשב"ם </w:t>
      </w:r>
      <w:r>
        <w:rPr>
          <w:sz w:val="16"/>
          <w:szCs w:val="16"/>
          <w:rtl/>
        </w:rPr>
        <w:t xml:space="preserve">(ד"ה הכי גרסינן) </w:t>
      </w:r>
      <w:r>
        <w:rPr>
          <w:rtl/>
        </w:rPr>
        <w:t xml:space="preserve">רשב"א </w:t>
      </w:r>
      <w:r>
        <w:rPr>
          <w:sz w:val="16"/>
          <w:szCs w:val="16"/>
          <w:rtl/>
        </w:rPr>
        <w:t>(פ"ב דגטין יח: ד"ה ולחתום)</w:t>
      </w:r>
      <w:r>
        <w:rPr>
          <w:rtl/>
        </w:rPr>
        <w:t xml:space="preserve"> רא"ש </w:t>
      </w:r>
      <w:r>
        <w:rPr>
          <w:sz w:val="16"/>
          <w:szCs w:val="16"/>
          <w:rtl/>
        </w:rPr>
        <w:t>(פרק גט פשוט סי' ג, ובתשו' כלל ס סי' ב)</w:t>
      </w:r>
      <w:r>
        <w:rPr>
          <w:rtl/>
        </w:rPr>
        <w:t xml:space="preserve"> וטור.</w:t>
      </w:r>
    </w:p>
  </w:footnote>
  <w:footnote w:id="3638">
    <w:p w14:paraId="13891381" w14:textId="77777777" w:rsidR="0013116F" w:rsidRDefault="0013116F" w:rsidP="001D49D4">
      <w:pPr>
        <w:pStyle w:val="a9"/>
      </w:pPr>
      <w:r>
        <w:rPr>
          <w:rStyle w:val="ab"/>
        </w:rPr>
        <w:footnoteRef/>
      </w:r>
      <w:r>
        <w:rPr>
          <w:rtl/>
        </w:rPr>
        <w:t xml:space="preserve"> </w:t>
      </w:r>
      <w:r>
        <w:rPr>
          <w:rFonts w:hint="cs"/>
          <w:rtl/>
        </w:rPr>
        <w:t>וז"ל</w:t>
      </w:r>
      <w:r>
        <w:rPr>
          <w:sz w:val="16"/>
          <w:szCs w:val="16"/>
          <w:rtl/>
        </w:rPr>
        <w:t xml:space="preserve"> (כ"כ הטור בשמם)</w:t>
      </w:r>
      <w:r>
        <w:rPr>
          <w:rtl/>
        </w:rPr>
        <w:t>- שטר שהיו חתומין עליו עדים הרבה ונמצא קצתן קרובין או פסולין אם יש עדות גמורה שישבו כולם לחתום פסול ואם לאו אין פוסלין אותו מספק אלא מקיימין אותו בעדות הכשרים והפסולים שמא רווחא שביק למאן דקשיש מיניה וחתים שמיה בלא דעת חבירו. עכ"ל. ורי"ו כתב סברא זו נ"ב ח"ב (שם) עיין עליו.</w:t>
      </w:r>
    </w:p>
  </w:footnote>
  <w:footnote w:id="3639">
    <w:p w14:paraId="0CBDE9B7" w14:textId="77777777" w:rsidR="0013116F" w:rsidRDefault="0013116F" w:rsidP="001D49D4">
      <w:pPr>
        <w:pStyle w:val="a9"/>
      </w:pPr>
      <w:r>
        <w:rPr>
          <w:rStyle w:val="ab"/>
        </w:rPr>
        <w:footnoteRef/>
      </w:r>
      <w:r>
        <w:rPr>
          <w:rtl/>
        </w:rPr>
        <w:t xml:space="preserve"> ונראה שהגאונים לא גרסי גירסת ר"ח ור"י אלא הגירסא הראשונה שכתבתי, ואפילו אי גרסי גירסת ר"ח ור"י מפרשים אותה כמו שהיה מפרש אותה ר"ת מקודם. ומשמע עוד מדברי הרמב"ם שכששטר זה יוצא לפנינו אם העדים קיימים צריך לשאול אותם. ונראה לכאורה שמה שהם נאמנים לומר שכולם ישבו לחתום דוקא כשאין כתב ידן יוצא ממקום אחר, ואפשר שאפילו כשכתב ידן יוצא ממקום אחר נמי נאמנים לומר שכולם ישבו לחתום דכיון דחתימי עליה פסולים איתרע ומהימנינן להו, ולזה הדעת נוטה, ואם הם אומרים שלא ישבו כולם לחתום ועדים אחרים מעידים עליהם שישבו כולם לחתום אוקי תרי בהדי תרי ואוקי ממונא בחזקת מריה (כתובות כ.), ב"י. והביאו הדרכ"מ (ארוך סע' יח). וכן העתיק דבריו הסמ"ע (סקכ"ט).</w:t>
      </w:r>
    </w:p>
  </w:footnote>
  <w:footnote w:id="3640">
    <w:p w14:paraId="6CBBBC00" w14:textId="77777777" w:rsidR="0013116F" w:rsidRDefault="0013116F" w:rsidP="001D49D4">
      <w:pPr>
        <w:pStyle w:val="a9"/>
      </w:pPr>
      <w:r>
        <w:rPr>
          <w:rStyle w:val="ab"/>
        </w:rPr>
        <w:footnoteRef/>
      </w:r>
      <w:r>
        <w:rPr>
          <w:rtl/>
        </w:rPr>
        <w:t xml:space="preserve"> </w:t>
      </w:r>
      <w:r>
        <w:rPr>
          <w:rFonts w:hint="cs"/>
          <w:rtl/>
        </w:rPr>
        <w:t xml:space="preserve">והש"ך (סקכ"ג) כתב </w:t>
      </w:r>
      <w:r>
        <w:rPr>
          <w:rtl/>
        </w:rPr>
        <w:t>דלפי דעתו דעת הרשב"א</w:t>
      </w:r>
      <w:r>
        <w:rPr>
          <w:sz w:val="16"/>
          <w:szCs w:val="16"/>
          <w:rtl/>
        </w:rPr>
        <w:t xml:space="preserve"> {צל"ע משום שנראה לי שגם הב"י מודה שדעת הרשב"א אינה כהגאונים, עיין בב"י בתחילתו}</w:t>
      </w:r>
      <w:r>
        <w:rPr>
          <w:rtl/>
        </w:rPr>
        <w:t xml:space="preserve"> והרי"ף הוא להיפך, וכן הוא דעת הרבה פוסקים מאד, וכן עיקר ומוכרח בש"ס.</w:t>
      </w:r>
    </w:p>
  </w:footnote>
  <w:footnote w:id="3641">
    <w:p w14:paraId="79283C21" w14:textId="77777777" w:rsidR="0013116F" w:rsidRDefault="0013116F" w:rsidP="001D49D4">
      <w:pPr>
        <w:pStyle w:val="a9"/>
      </w:pPr>
      <w:r>
        <w:rPr>
          <w:rStyle w:val="ab"/>
        </w:rPr>
        <w:footnoteRef/>
      </w:r>
      <w:r>
        <w:rPr>
          <w:rtl/>
        </w:rPr>
        <w:t xml:space="preserve">  וכן נראה שהוא דעת הרשב"א (שם) והמרדכי (ב"ב סי' תרמג) והעיטור (אות ק קבלת עדות ס.), ב"י.</w:t>
      </w:r>
    </w:p>
  </w:footnote>
  <w:footnote w:id="3642">
    <w:p w14:paraId="1797A46B" w14:textId="77777777" w:rsidR="0013116F" w:rsidRDefault="0013116F" w:rsidP="001D49D4">
      <w:pPr>
        <w:pStyle w:val="a9"/>
        <w:rPr>
          <w:rtl/>
        </w:rPr>
      </w:pPr>
      <w:r>
        <w:rPr>
          <w:rStyle w:val="ab"/>
        </w:rPr>
        <w:footnoteRef/>
      </w:r>
      <w:r>
        <w:rPr>
          <w:rtl/>
        </w:rPr>
        <w:t xml:space="preserve"> ואפשר לומר דלא פליג הרא"ש אהנך רבוותא דפסלי בחתם פסול באמצע, דהנך רבוותא מיירו בשטר שיוצא לפנינו סתם ואין אנו יודעים באיזה סדר נחתם, והרא"ש מיירי בשנודע לנו שסדר חתימתן היא כמו שהם חתומים בשטר ובהא דוקא מכשיר הרא"ש דפסול חתום באמצע, ב"י.</w:t>
      </w:r>
    </w:p>
  </w:footnote>
  <w:footnote w:id="3643">
    <w:p w14:paraId="2F8B5C09" w14:textId="77777777" w:rsidR="0013116F" w:rsidRDefault="0013116F" w:rsidP="001D49D4">
      <w:pPr>
        <w:pStyle w:val="a9"/>
      </w:pPr>
      <w:r>
        <w:rPr>
          <w:rStyle w:val="ab"/>
        </w:rPr>
        <w:footnoteRef/>
      </w:r>
      <w:r>
        <w:rPr>
          <w:rtl/>
        </w:rPr>
        <w:t xml:space="preserve"> </w:t>
      </w:r>
      <w:r>
        <w:rPr>
          <w:rFonts w:hint="cs"/>
          <w:rtl/>
        </w:rPr>
        <w:t xml:space="preserve">שם מיירי באחד שאמר לעשרה אנשים 'כתבו גט לאשתי', ואמר ר' יוחנן ששנים הם משום עדים וכל השאר הם משום תנאי. ופירש רש"י דאין כוונת הבעל שוכלם יהיו עדים אלא </w:t>
      </w:r>
      <w:r>
        <w:rPr>
          <w:rtl/>
        </w:rPr>
        <w:t>לא החתים בו אלא לביישה ברבים ותנאי גמור הטיל בגט זה דלא ליהוי גיטא אלא א"כ חותמין בו כולן.</w:t>
      </w:r>
    </w:p>
  </w:footnote>
  <w:footnote w:id="3644">
    <w:p w14:paraId="1056A3D5" w14:textId="77777777" w:rsidR="0013116F" w:rsidRDefault="0013116F" w:rsidP="001D49D4">
      <w:pPr>
        <w:pStyle w:val="a9"/>
        <w:rPr>
          <w:rtl/>
        </w:rPr>
      </w:pPr>
      <w:r>
        <w:rPr>
          <w:rStyle w:val="ab"/>
        </w:rPr>
        <w:footnoteRef/>
      </w:r>
      <w:r>
        <w:rPr>
          <w:rtl/>
        </w:rPr>
        <w:t xml:space="preserve"> וא"ת דהאמר חזקיה מלאוהו בקרובים כשר משמע אפילו חתומים שנים או שלשה קרובים כשר כיון שאח"כ חתומים שנים כשרים והרי שפסול חתם באמצע ואפילו הכי כשר. וי"ל שכל זמן שהפסולים כלם רצופים כשר בשנים האחרונים אבל כשחתם אחד כשר ואח"כ אחד פסול אע"פ שאח"כ חתומים שנים כשרים – פסול, דחיישינן דכיון שהעד שקודם הפסול הוא כשר דילמא יחשבו שגם עד שחתום אחריו כשר ואתו לקיומי השטר בתרווייהו ולפיכך פסול. ולפי שטה זו היה נראה בעיני שאם היו ארבעה או חמשה עדים חתומים כלם בשטה אחת והראשון פסול והשאר כשרים דינם כאלו חתומים זה תחת זה ויתקיים השטר בשנים האחרונים הכשרים, אבל מצאתי שכתב בעל נמוק"י בגט פשוט (עה: ד"ה גמ') שאם חתמו כולם יחד בשטה אחת ודאי אמרינן לשם עדות גמור נתכוונו, ב"י. והביא הדרכ"מ (ארוך סע' טו) את דברי הנמוק"י. וכ"פ הסמ"ע (סק"ל).</w:t>
      </w:r>
    </w:p>
  </w:footnote>
  <w:footnote w:id="3645">
    <w:p w14:paraId="66D7DEB2" w14:textId="77777777" w:rsidR="0013116F" w:rsidRDefault="0013116F" w:rsidP="001D49D4">
      <w:pPr>
        <w:pStyle w:val="a9"/>
        <w:rPr>
          <w:rtl/>
        </w:rPr>
      </w:pPr>
      <w:r>
        <w:rPr>
          <w:rStyle w:val="ab"/>
        </w:rPr>
        <w:footnoteRef/>
      </w:r>
      <w:r>
        <w:rPr>
          <w:rtl/>
        </w:rPr>
        <w:t xml:space="preserve"> כל הטעם שאם העדים חתמו רחוק מהכתב פסול, זה משום שיכול לזייף ולכתוב בריווח הזה שקר, ולכן פעמים כשיש ריווח אדרבה ממלאים את הריווח בקרובים רק כדי שלא יוכל לזייף ולהוסיף במקום הריק דברי שקר, ידיד נפש. </w:t>
      </w:r>
    </w:p>
  </w:footnote>
  <w:footnote w:id="3646">
    <w:p w14:paraId="028734F9" w14:textId="77777777" w:rsidR="0013116F" w:rsidRDefault="0013116F" w:rsidP="001D49D4">
      <w:pPr>
        <w:pStyle w:val="a9"/>
      </w:pPr>
      <w:r>
        <w:rPr>
          <w:rStyle w:val="ab"/>
        </w:rPr>
        <w:footnoteRef/>
      </w:r>
      <w:r>
        <w:rPr>
          <w:rtl/>
        </w:rPr>
        <w:t xml:space="preserve"> כך גרס המרדכי בירושלמי. וכתב הש"ך (סקכ"ג) וחיפשתי ולא מצאתי כן בירושלמי, והוא נגד משמעות הש"ס וכל הפוסקים שכתבו להדיא דבסתמא תלינן דלמילוי חתמו וכן עיקר.</w:t>
      </w:r>
    </w:p>
  </w:footnote>
  <w:footnote w:id="3647">
    <w:p w14:paraId="1807F3ED" w14:textId="77777777" w:rsidR="0013116F" w:rsidRDefault="0013116F" w:rsidP="001D49D4">
      <w:pPr>
        <w:pStyle w:val="a9"/>
      </w:pPr>
      <w:r>
        <w:rPr>
          <w:rStyle w:val="ab"/>
        </w:rPr>
        <w:footnoteRef/>
      </w:r>
      <w:r>
        <w:rPr>
          <w:rtl/>
        </w:rPr>
        <w:t xml:space="preserve"> פי' שכך חתמו כל אחד אני פלוני חתמתי במלוי, מרדכי </w:t>
      </w:r>
      <w:r>
        <w:rPr>
          <w:sz w:val="16"/>
          <w:szCs w:val="16"/>
          <w:rtl/>
        </w:rPr>
        <w:t>(פ"ק דמכות סי' תשכח)</w:t>
      </w:r>
      <w:r>
        <w:rPr>
          <w:rtl/>
        </w:rPr>
        <w:t>.</w:t>
      </w:r>
    </w:p>
  </w:footnote>
  <w:footnote w:id="3648">
    <w:p w14:paraId="042578CF" w14:textId="77777777" w:rsidR="0013116F" w:rsidRDefault="0013116F" w:rsidP="001D49D4">
      <w:pPr>
        <w:pStyle w:val="a9"/>
      </w:pPr>
      <w:r>
        <w:rPr>
          <w:rStyle w:val="ab"/>
        </w:rPr>
        <w:footnoteRef/>
      </w:r>
      <w:r>
        <w:rPr>
          <w:rtl/>
        </w:rPr>
        <w:t xml:space="preserve"> ונראה לדברי ר"ת שאפילו הכשרים עצמם אומרים שלא חתמו הפסולים למילוי, אם כתב ידם יוצא ממקום אחר - אינן נאמנין, דהוה להו חוזרים ומגידים (כתובות יח:), וכ"כ גם כן בפרק גט פשוט (שם) בשם ראבי"ה (ח"ד סי' תתקיט עמ' שסו). וכתב דכשחותמין השושבינין משמע דלמילוי חותמין שהרי כותבין שושבין, ב"י. </w:t>
      </w:r>
      <w:r>
        <w:rPr>
          <w:sz w:val="16"/>
          <w:szCs w:val="16"/>
          <w:rtl/>
        </w:rPr>
        <w:t xml:space="preserve">(משמע ממש"כ הב"י בשם ראביה דטעמא חדא הוא, אך לפנינו בראבי"ה כתוב דכשחותמין השושבינין משמע דלמילוי חותמין, </w:t>
      </w:r>
      <w:r>
        <w:rPr>
          <w:b/>
          <w:bCs/>
          <w:sz w:val="16"/>
          <w:szCs w:val="16"/>
          <w:u w:val="single"/>
          <w:rtl/>
        </w:rPr>
        <w:t>ועוד</w:t>
      </w:r>
      <w:r>
        <w:rPr>
          <w:sz w:val="16"/>
          <w:szCs w:val="16"/>
          <w:rtl/>
        </w:rPr>
        <w:t xml:space="preserve"> שהרי כותבין שושבין. ע"כ)</w:t>
      </w:r>
      <w:r>
        <w:rPr>
          <w:rtl/>
        </w:rPr>
        <w:t xml:space="preserve"> ועיין לעיל שהב"י כתב לאחר שהביא את דברי הרמב"ם שאפילו אם כתב ידם יוצא ממקום אחר נאמנים הכשרים לומר שכולם חתמו בתורת עדות </w:t>
      </w:r>
      <w:r>
        <w:rPr>
          <w:sz w:val="16"/>
          <w:szCs w:val="16"/>
          <w:rtl/>
        </w:rPr>
        <w:t>(ומכיון שחתמו בתורת עדות - אם יש שם פסולים/קרובים נפסל השטר. וצל"ע האם כוונתו שם שנאמנים לומר גם שהפסולים חתמו רק לשם מילוי, ולהפך ממה שנראה לו מדברי ר"ת, או לא)</w:t>
      </w:r>
      <w:r>
        <w:rPr>
          <w:rtl/>
        </w:rPr>
        <w:t>.</w:t>
      </w:r>
    </w:p>
  </w:footnote>
  <w:footnote w:id="3649">
    <w:p w14:paraId="2C986009" w14:textId="77777777" w:rsidR="0013116F" w:rsidRDefault="0013116F" w:rsidP="001D49D4">
      <w:pPr>
        <w:pStyle w:val="a9"/>
        <w:rPr>
          <w:rtl/>
        </w:rPr>
      </w:pPr>
      <w:r>
        <w:rPr>
          <w:rStyle w:val="ab"/>
        </w:rPr>
        <w:footnoteRef/>
      </w:r>
      <w:r>
        <w:rPr>
          <w:rtl/>
        </w:rPr>
        <w:t xml:space="preserve"> </w:t>
      </w:r>
      <w:r>
        <w:rPr>
          <w:rFonts w:hint="cs"/>
          <w:rtl/>
        </w:rPr>
        <w:t>וז"ל-</w:t>
      </w:r>
      <w:r>
        <w:rPr>
          <w:rtl/>
        </w:rPr>
        <w:t xml:space="preserve"> ובשטרי כתובות בכל מקום כשרים ותתקיים העדות בשנים הכשרים כי הדבר ידוע ומפורסם שחותמים הרבה בערבוביא לכבוד ואפילו אין השנים הכשרים רצופים וכהאי גוונא מידק דייקי בית דין ולא מקיימי ליה אלא בכשרים.</w:t>
      </w:r>
    </w:p>
  </w:footnote>
  <w:footnote w:id="3650">
    <w:p w14:paraId="6CA91401" w14:textId="77777777" w:rsidR="0013116F" w:rsidRDefault="0013116F" w:rsidP="001D49D4">
      <w:pPr>
        <w:pStyle w:val="a9"/>
        <w:rPr>
          <w:rtl/>
        </w:rPr>
      </w:pPr>
      <w:r>
        <w:rPr>
          <w:rStyle w:val="ab"/>
        </w:rPr>
        <w:footnoteRef/>
      </w:r>
      <w:r>
        <w:rPr>
          <w:rtl/>
        </w:rPr>
        <w:t xml:space="preserve"> בהעי"ט </w:t>
      </w:r>
      <w:r>
        <w:rPr>
          <w:sz w:val="16"/>
          <w:szCs w:val="16"/>
          <w:rtl/>
        </w:rPr>
        <w:t>(אות ק' קבלת עדות ס.)</w:t>
      </w:r>
      <w:r>
        <w:rPr>
          <w:rtl/>
        </w:rPr>
        <w:t xml:space="preserve"> רמב"ן </w:t>
      </w:r>
      <w:r>
        <w:rPr>
          <w:sz w:val="16"/>
          <w:szCs w:val="16"/>
          <w:rtl/>
        </w:rPr>
        <w:t xml:space="preserve">(פרק גט פשוט קסג: ד"ה דילמא) </w:t>
      </w:r>
      <w:r>
        <w:rPr>
          <w:rtl/>
        </w:rPr>
        <w:t xml:space="preserve">ריב"ש </w:t>
      </w:r>
      <w:r>
        <w:rPr>
          <w:sz w:val="16"/>
          <w:szCs w:val="16"/>
          <w:rtl/>
        </w:rPr>
        <w:t>(סי' תטו, הביא את דברי בהעי"ט)</w:t>
      </w:r>
      <w:r>
        <w:rPr>
          <w:rtl/>
        </w:rPr>
        <w:t xml:space="preserve"> נמוק"י </w:t>
      </w:r>
      <w:r>
        <w:rPr>
          <w:sz w:val="16"/>
          <w:szCs w:val="16"/>
          <w:rtl/>
        </w:rPr>
        <w:t xml:space="preserve">(פרק גט פשוט עו.) </w:t>
      </w:r>
      <w:r>
        <w:rPr>
          <w:rtl/>
        </w:rPr>
        <w:t xml:space="preserve">רי"ו </w:t>
      </w:r>
      <w:r>
        <w:rPr>
          <w:sz w:val="16"/>
          <w:szCs w:val="16"/>
          <w:rtl/>
        </w:rPr>
        <w:t>(מישרים נ"ב ח"ב יא ע"ד)</w:t>
      </w:r>
      <w:r>
        <w:rPr>
          <w:rtl/>
        </w:rPr>
        <w:t xml:space="preserve"> ור"ן </w:t>
      </w:r>
      <w:r>
        <w:rPr>
          <w:sz w:val="16"/>
          <w:szCs w:val="16"/>
          <w:rtl/>
        </w:rPr>
        <w:t>(חי' ב"ב קסב: ד"ה מילאוהו)</w:t>
      </w:r>
      <w:r>
        <w:rPr>
          <w:rtl/>
        </w:rPr>
        <w:t>.</w:t>
      </w:r>
    </w:p>
  </w:footnote>
  <w:footnote w:id="3651">
    <w:p w14:paraId="2D71694B" w14:textId="77777777" w:rsidR="0013116F" w:rsidRDefault="0013116F" w:rsidP="001D49D4">
      <w:pPr>
        <w:pStyle w:val="a9"/>
        <w:rPr>
          <w:rtl/>
        </w:rPr>
      </w:pPr>
      <w:r>
        <w:rPr>
          <w:rStyle w:val="ab"/>
        </w:rPr>
        <w:footnoteRef/>
      </w:r>
      <w:r>
        <w:rPr>
          <w:rtl/>
        </w:rPr>
        <w:t xml:space="preserve"> ומדברי ראבי"ה דלעיל לא משמע כן, דרכ"מ (אות ג*). (ולפי גירסתנו בראבי"ה לכאורה לא משמע אחרת מהנמוק"י והר"ן)</w:t>
      </w:r>
    </w:p>
  </w:footnote>
  <w:footnote w:id="3652">
    <w:p w14:paraId="72E130B1" w14:textId="77777777" w:rsidR="0013116F" w:rsidRDefault="0013116F" w:rsidP="001D49D4">
      <w:pPr>
        <w:pStyle w:val="a9"/>
        <w:rPr>
          <w:rtl/>
        </w:rPr>
      </w:pPr>
      <w:r>
        <w:rPr>
          <w:rStyle w:val="ab"/>
        </w:rPr>
        <w:footnoteRef/>
      </w:r>
      <w:r>
        <w:rPr>
          <w:rtl/>
        </w:rPr>
        <w:t xml:space="preserve"> </w:t>
      </w:r>
      <w:r>
        <w:rPr>
          <w:rFonts w:hint="cs"/>
          <w:rtl/>
        </w:rPr>
        <w:t xml:space="preserve">אמנם הוסיף הרמב"ן </w:t>
      </w:r>
      <w:r>
        <w:rPr>
          <w:sz w:val="16"/>
          <w:szCs w:val="16"/>
          <w:rtl/>
        </w:rPr>
        <w:t>(פרק גט פשוט קסג: ד"ה דילמא)</w:t>
      </w:r>
      <w:r>
        <w:rPr>
          <w:rtl/>
        </w:rPr>
        <w:t xml:space="preserve"> דמה שנהגו לחתום בכתובה קרובים ושושבינים ומרחיקים מחתימת העדים או מכתיבת השטר הרבה הם טועים וראוי לגעור בהם ולמחות בידם אבל השטר משמע שאינו נפסל בכך, שהם לא לעדות הם באים כדי שיפסל בחתימתן, אבל העדים יזהרו בה יותר שמא יפסל השטר כדברי רבותינו הצרפתים, וכן נראה שהן צריכים שלא להניח גליון בראשו של שטר ואם עשו כן נראה שפסלו השטר עכ"ל. וכ"כ המרדכי</w:t>
      </w:r>
      <w:r>
        <w:rPr>
          <w:sz w:val="16"/>
          <w:szCs w:val="16"/>
          <w:rtl/>
        </w:rPr>
        <w:t xml:space="preserve"> (פרק גט פשוט סי' תרמג, הביאו הדרכ"מ אות ד)</w:t>
      </w:r>
      <w:r>
        <w:rPr>
          <w:rtl/>
        </w:rPr>
        <w:t xml:space="preserve"> דיש למנוע לחתום השושבינים בכתובות.</w:t>
      </w:r>
    </w:p>
  </w:footnote>
  <w:footnote w:id="3653">
    <w:p w14:paraId="4415FD52" w14:textId="77777777" w:rsidR="0013116F" w:rsidRDefault="0013116F" w:rsidP="001D49D4">
      <w:pPr>
        <w:pStyle w:val="a9"/>
      </w:pPr>
      <w:r>
        <w:rPr>
          <w:rStyle w:val="ab"/>
        </w:rPr>
        <w:footnoteRef/>
      </w:r>
      <w:r>
        <w:rPr>
          <w:rtl/>
        </w:rPr>
        <w:t xml:space="preserve"> ואם הרחיקו העדים שני שיטין מן חתימות הקרובים השטר פסול, מרדכי</w:t>
      </w:r>
      <w:r>
        <w:rPr>
          <w:sz w:val="16"/>
          <w:szCs w:val="16"/>
          <w:rtl/>
        </w:rPr>
        <w:t xml:space="preserve"> (פרק גט פשוט סי' תרמג, הביאו הדרכ"מ אות ד)</w:t>
      </w:r>
      <w:r>
        <w:rPr>
          <w:rtl/>
        </w:rPr>
        <w:t>. ועיין בתשובת הרא"ש כלל ס' (סי' ד), דרכ"מ (אות ד).</w:t>
      </w:r>
    </w:p>
  </w:footnote>
  <w:footnote w:id="3654">
    <w:p w14:paraId="1AA418EB" w14:textId="77777777" w:rsidR="0013116F" w:rsidRDefault="0013116F" w:rsidP="001D49D4">
      <w:pPr>
        <w:pStyle w:val="a9"/>
      </w:pPr>
      <w:r>
        <w:rPr>
          <w:rStyle w:val="ab"/>
        </w:rPr>
        <w:footnoteRef/>
      </w:r>
      <w:r>
        <w:rPr>
          <w:rtl/>
        </w:rPr>
        <w:t xml:space="preserve"> </w:t>
      </w:r>
      <w:r>
        <w:rPr>
          <w:rFonts w:hint="cs"/>
          <w:rtl/>
        </w:rPr>
        <w:t>סימן – י' חתומים.</w:t>
      </w:r>
    </w:p>
  </w:footnote>
  <w:footnote w:id="3655">
    <w:p w14:paraId="245CB8F4" w14:textId="77777777" w:rsidR="0013116F" w:rsidRDefault="0013116F" w:rsidP="001D49D4">
      <w:pPr>
        <w:pStyle w:val="a9"/>
      </w:pPr>
      <w:r>
        <w:rPr>
          <w:rStyle w:val="ab"/>
        </w:rPr>
        <w:footnoteRef/>
      </w:r>
      <w:r>
        <w:rPr>
          <w:rtl/>
        </w:rPr>
        <w:t xml:space="preserve"> האי בתחלה דאמרי' הכא היינו שחתם</w:t>
      </w:r>
      <w:r>
        <w:rPr>
          <w:sz w:val="16"/>
          <w:szCs w:val="16"/>
          <w:rtl/>
        </w:rPr>
        <w:t xml:space="preserve"> {הפסול/הקרוב}</w:t>
      </w:r>
      <w:r>
        <w:rPr>
          <w:rtl/>
        </w:rPr>
        <w:t xml:space="preserve"> בראש, וקודם שחתמו הכשרים, כמו שכתבנו, רשב"א.</w:t>
      </w:r>
    </w:p>
  </w:footnote>
  <w:footnote w:id="3656">
    <w:p w14:paraId="14302A5B" w14:textId="77777777" w:rsidR="0013116F" w:rsidRDefault="0013116F" w:rsidP="001D49D4">
      <w:pPr>
        <w:pStyle w:val="a9"/>
      </w:pPr>
      <w:r>
        <w:rPr>
          <w:rStyle w:val="ab"/>
        </w:rPr>
        <w:footnoteRef/>
      </w:r>
      <w:r>
        <w:rPr>
          <w:rtl/>
        </w:rPr>
        <w:t xml:space="preserve"> למאן דאמר משום תנאי דאע"ג דאיחתים ברישא קרוב או פסול העדות תתקיים בראויים לעדות והוא יחשב לתנאי דמסתמא את הכשרים מינה לשם עדות והקרוב לתנאי, רש"י.</w:t>
      </w:r>
    </w:p>
  </w:footnote>
  <w:footnote w:id="3657">
    <w:p w14:paraId="16D5A400" w14:textId="77777777" w:rsidR="0013116F" w:rsidRDefault="0013116F" w:rsidP="001D49D4">
      <w:pPr>
        <w:pStyle w:val="a9"/>
      </w:pPr>
      <w:r>
        <w:rPr>
          <w:rStyle w:val="ab"/>
        </w:rPr>
        <w:footnoteRef/>
      </w:r>
      <w:r>
        <w:rPr>
          <w:rtl/>
        </w:rPr>
        <w:t xml:space="preserve"> דכיון דחתם ברישא אתי למימר זה ודאי לשם עדות חתם ויכשירו קרוב בכל השטרות, רש"י.</w:t>
      </w:r>
    </w:p>
  </w:footnote>
  <w:footnote w:id="3658">
    <w:p w14:paraId="1D015DA8" w14:textId="77777777" w:rsidR="0013116F" w:rsidRDefault="0013116F" w:rsidP="001D49D4">
      <w:pPr>
        <w:pStyle w:val="a9"/>
        <w:rPr>
          <w:rtl/>
        </w:rPr>
      </w:pPr>
      <w:r>
        <w:rPr>
          <w:rStyle w:val="ab"/>
        </w:rPr>
        <w:footnoteRef/>
      </w:r>
      <w:r>
        <w:rPr>
          <w:rtl/>
        </w:rPr>
        <w:t xml:space="preserve"> הרא"ש (שם) כתב דהא דאמרינן בפרק שני דגיטין (יח:) גבי האומר לעשרה כתבו גט לאשתי דהוו שנים משום עדים והשאר משום תנאי ואפילו אם השאר קרובים או פסולים וקאמר התם אי חתים קרוב או פסול בתחילה דאתי לאיחלופי בקיום שטרות דעלמא הכא נמי כשנמצאו הראשונים קרובים או פסולים אמאי לא חיישינן דילמא אתי לאחלופי בקיום שטרות דעלמא. ותירץ ר"ת ז"ל דהתם מיירי כגון שאנו רואים שחתם ראשון דאז ודאי אתי לאיחלופי שיאמרו מדחתם ראשון לשם עדות חתם, ואתי למימר קרוב כשר להעיד, אבל אם בא לפנינו שטר שחתומין עליו קרובים בתחלה אמרינן עדים החתומים על השטר כמי שנחקרה עדותן בבית דין דמי ובודאי אחר שחתמו העדים למטה באו העדים הקרובים וחתמו למעלה לשם מילוי או לשם תנאי או לכבוד עכ"ל. וכתב הב"י דנראה מדבריו דלרבינו תם-...</w:t>
      </w:r>
    </w:p>
  </w:footnote>
  <w:footnote w:id="3659">
    <w:p w14:paraId="5872BEB6" w14:textId="77777777" w:rsidR="0013116F" w:rsidRDefault="0013116F" w:rsidP="001D49D4">
      <w:pPr>
        <w:pStyle w:val="a9"/>
      </w:pPr>
      <w:r>
        <w:rPr>
          <w:rStyle w:val="ab"/>
        </w:rPr>
        <w:footnoteRef/>
      </w:r>
      <w:r>
        <w:rPr>
          <w:rtl/>
        </w:rPr>
        <w:t xml:space="preserve"> גם הר"ן </w:t>
      </w:r>
      <w:r>
        <w:rPr>
          <w:sz w:val="16"/>
          <w:szCs w:val="16"/>
          <w:rtl/>
        </w:rPr>
        <w:t xml:space="preserve">(ט. דיבור ראשון) </w:t>
      </w:r>
      <w:r>
        <w:rPr>
          <w:rtl/>
        </w:rPr>
        <w:t xml:space="preserve">והמרדכי </w:t>
      </w:r>
      <w:r>
        <w:rPr>
          <w:sz w:val="16"/>
          <w:szCs w:val="16"/>
          <w:rtl/>
        </w:rPr>
        <w:t xml:space="preserve">(סי' שלח) </w:t>
      </w:r>
      <w:r>
        <w:rPr>
          <w:rtl/>
        </w:rPr>
        <w:t xml:space="preserve">והרשב"א </w:t>
      </w:r>
      <w:r>
        <w:rPr>
          <w:sz w:val="16"/>
          <w:szCs w:val="16"/>
          <w:rtl/>
        </w:rPr>
        <w:t xml:space="preserve">(יח: ד"ה ולחתום) </w:t>
      </w:r>
      <w:r>
        <w:rPr>
          <w:rtl/>
        </w:rPr>
        <w:t xml:space="preserve">בפ"ב דגטין כתבו כן, וכן משמע מדברי העיטור באות ק' </w:t>
      </w:r>
      <w:r>
        <w:rPr>
          <w:sz w:val="16"/>
          <w:szCs w:val="16"/>
          <w:rtl/>
        </w:rPr>
        <w:t>(קבלת עדות ס.)</w:t>
      </w:r>
      <w:r>
        <w:rPr>
          <w:rtl/>
        </w:rPr>
        <w:t>, ולכן צ"ל שמה שכתב רבינו ודוקא בדיעבד מכשרינן וכו'</w:t>
      </w:r>
      <w:r>
        <w:rPr>
          <w:sz w:val="16"/>
          <w:szCs w:val="16"/>
          <w:rtl/>
        </w:rPr>
        <w:t xml:space="preserve"> (ז"ל- לפיכך שטר שעדיו מרובין אין מקיימין אותו אלא מעידיו שלמטה, ודוקא בדיעבד מכשרינן שטר הבא לפנינו שעידיו הראשונים פסולין אבל לכתחלה אין לחתום קרוב או פסול למעלה וכשרין אחריו דאיכא למיחש שמא יאמר הרואה לשם עדות חתמו ויבא להכשיר קרוב או פסול בעלמא)</w:t>
      </w:r>
      <w:r>
        <w:rPr>
          <w:rtl/>
        </w:rPr>
        <w:t xml:space="preserve"> דהכי פירושו - כשאנו מכשרינן השטר בשביל עדים החתומים למטה שהם כשרים - היינו בשטר היוצא לפנינו דתלינן להכשיר, אבל לא תלמוד מכאן כשתרצה להחתים כשרים ופסולים להחתימם על הסדר פסולים תחלה והדר כשרים דכה"ג פסול הוא דילמא אתו לאיחלופי שיאמרו מדחתם ראשון לשם עדות חתם ואתו לאכשורי קרוב ופסול, ב"י. ועוד כתב הב"י בסוף הסעיף שכן דעת הרמב"ן בפ"ב דגטין</w:t>
      </w:r>
      <w:r>
        <w:rPr>
          <w:sz w:val="16"/>
          <w:szCs w:val="16"/>
          <w:rtl/>
        </w:rPr>
        <w:t xml:space="preserve"> (יח: ד"ה דלמא אתי) </w:t>
      </w:r>
      <w:r>
        <w:rPr>
          <w:rtl/>
        </w:rPr>
        <w:t xml:space="preserve">שאף כשחתמו יחד הכשרים והפסולים זה בפני זה לא הוי כמו אתו לאסהודי </w:t>
      </w:r>
      <w:r>
        <w:rPr>
          <w:sz w:val="16"/>
          <w:szCs w:val="16"/>
          <w:rtl/>
        </w:rPr>
        <w:t xml:space="preserve">(מכות ו.) </w:t>
      </w:r>
      <w:r>
        <w:rPr>
          <w:rtl/>
        </w:rPr>
        <w:t>לפסול השטר אלא כשהפסולים חתמו ראשונים, אבל אם הכשרים חתמו ראשונה אפילו חתמו הפסולים בפניהם השטר כשר. עכ"ל הב"י בשם הרמב"ן. וכ"פ הסמ"ע (סקל"ב).</w:t>
      </w:r>
    </w:p>
  </w:footnote>
  <w:footnote w:id="3660">
    <w:p w14:paraId="450B2D4D" w14:textId="77777777" w:rsidR="0013116F" w:rsidRDefault="0013116F" w:rsidP="001D49D4">
      <w:pPr>
        <w:pStyle w:val="a9"/>
        <w:rPr>
          <w:rtl/>
        </w:rPr>
      </w:pPr>
      <w:r>
        <w:rPr>
          <w:rStyle w:val="ab"/>
        </w:rPr>
        <w:footnoteRef/>
      </w:r>
      <w:r>
        <w:rPr>
          <w:rtl/>
        </w:rPr>
        <w:t xml:space="preserve"> ולהסברא הראשונה דלעיל סי' ל"ו סע' ב, מיירי כאן כשאנו יודעים שהכשר מכיר בפיסול של חבירו, כגון שהוא אחיו או שרגיל בו וכה"ג </w:t>
      </w:r>
      <w:r>
        <w:rPr>
          <w:sz w:val="16"/>
          <w:szCs w:val="16"/>
          <w:rtl/>
        </w:rPr>
        <w:t>(וכן פירש ב"י לקמן סימן נ"א סעיף ה' [ד"ה וכתב])</w:t>
      </w:r>
      <w:r>
        <w:rPr>
          <w:rtl/>
        </w:rPr>
        <w:t xml:space="preserve">. וכתבו עוד בהעי"ט </w:t>
      </w:r>
      <w:r>
        <w:rPr>
          <w:sz w:val="16"/>
          <w:szCs w:val="16"/>
          <w:rtl/>
        </w:rPr>
        <w:t>(קבלת עדות נ"ט ע"ב)</w:t>
      </w:r>
      <w:r>
        <w:rPr>
          <w:rtl/>
        </w:rPr>
        <w:t xml:space="preserve"> והנמוק"י </w:t>
      </w:r>
      <w:r>
        <w:rPr>
          <w:sz w:val="16"/>
          <w:szCs w:val="16"/>
          <w:rtl/>
        </w:rPr>
        <w:t>(פרק זה בורר ז. מדפה"ר)</w:t>
      </w:r>
      <w:r>
        <w:rPr>
          <w:rtl/>
        </w:rPr>
        <w:t xml:space="preserve"> ומביאם ב"י שם, דהיכא דליתנהו לסהדי מכשרינן לשטרא ולא פסלינן ליה מספק, דאמרינן דילמא לא הוי ידעי הכשרים בפיסולו, ואפילו נודע שישבו שלשתן להעיד. והיכא דאיתנהו לסהדי קמן שיילינן להו ונאמנין. מיהו לסברא האחרונה דלעיל ס"ס ל"ו אין חילוק, דאפילו לא ידעו הכשרים בפיסולו בטל השטר, וכדמוכח בהרא"ש פ"ק דמכות [סי' יא] </w:t>
      </w:r>
      <w:r>
        <w:rPr>
          <w:sz w:val="16"/>
          <w:szCs w:val="16"/>
          <w:rtl/>
        </w:rPr>
        <w:t>(ועי' מש"כ עוד מזה בס"ס לו סקכ"א)</w:t>
      </w:r>
      <w:r>
        <w:rPr>
          <w:rtl/>
        </w:rPr>
        <w:t>, ש"ך (סקכ"ב).</w:t>
      </w:r>
    </w:p>
  </w:footnote>
  <w:footnote w:id="3661">
    <w:p w14:paraId="58D5AD00" w14:textId="77777777" w:rsidR="0013116F" w:rsidRDefault="0013116F" w:rsidP="001D49D4">
      <w:pPr>
        <w:pStyle w:val="a9"/>
      </w:pPr>
      <w:r>
        <w:rPr>
          <w:rStyle w:val="ab"/>
        </w:rPr>
        <w:footnoteRef/>
      </w:r>
      <w:r>
        <w:rPr>
          <w:rtl/>
        </w:rPr>
        <w:t xml:space="preserve"> ועיין בנמוק"י (פרק גט פשוט עה: מדפה"ר ד"ה הראשונים) דאף אם חתמו שנים האחרונים הכשרים זה אצל זה השטר כשר, דרכמ"א (סע' יד), הגה בסמ"ע (סקל"ג).</w:t>
      </w:r>
    </w:p>
  </w:footnote>
  <w:footnote w:id="3662">
    <w:p w14:paraId="185AC486" w14:textId="77777777" w:rsidR="0013116F" w:rsidRDefault="0013116F" w:rsidP="001D49D4">
      <w:pPr>
        <w:pStyle w:val="a9"/>
      </w:pPr>
      <w:r>
        <w:rPr>
          <w:rStyle w:val="ab"/>
        </w:rPr>
        <w:footnoteRef/>
      </w:r>
      <w:r>
        <w:rPr>
          <w:rtl/>
        </w:rPr>
        <w:t xml:space="preserve"> זהו מתשובת הרא"ש כלל ס' דין ג', וכתב בסמ"ע סקל"ד, דממה שכתב הרא"ש בתשובה שם סי' ה' נראה כסותר למה שכתב בסי' ג', ששם כתב דאפילו כשחתומים בשטר אין לכשרים לחזור ולהעיד אא"כ שהפסולים לא היו עמהם בראיית ההלואה אלא שישבו אח"כ וחתמו יחד, ומש"ה אמרינן דהשטר פסול והעדות כשרה, ולא כשהיו הפסולים עמהן וכיונו להעיד גם בשעת הלואה. ואפשר דמה שכתב בדין ה' לא כתב כן כי אם לדעת הרמב"ם </w:t>
      </w:r>
      <w:r>
        <w:rPr>
          <w:sz w:val="16"/>
          <w:szCs w:val="16"/>
          <w:rtl/>
        </w:rPr>
        <w:t xml:space="preserve">[פ"ה מעדות ה"ה] </w:t>
      </w:r>
      <w:r>
        <w:rPr>
          <w:rtl/>
        </w:rPr>
        <w:t xml:space="preserve">דס"ל דבראיה לחוד מיפסל העדות, אבל הרא"ש </w:t>
      </w:r>
      <w:r>
        <w:rPr>
          <w:sz w:val="16"/>
          <w:szCs w:val="16"/>
          <w:rtl/>
        </w:rPr>
        <w:t xml:space="preserve">[מכות פ"א סי' יא] </w:t>
      </w:r>
      <w:r>
        <w:rPr>
          <w:rtl/>
        </w:rPr>
        <w:t xml:space="preserve">ס"ל דתרתי בעינן ראיה והגדה וכמ"ש הטור בסימן ל"ו </w:t>
      </w:r>
      <w:r>
        <w:rPr>
          <w:sz w:val="16"/>
          <w:szCs w:val="16"/>
          <w:rtl/>
        </w:rPr>
        <w:t>[סע' ב]</w:t>
      </w:r>
      <w:r>
        <w:rPr>
          <w:rtl/>
        </w:rPr>
        <w:t xml:space="preserve">, מש"ה כתב שם בדין ג' דיכולים החתומים על השטר לחזור ולהעיד ודוחק וצ"ע, עכ"ל. ולא נהירא. אלא נראה דהרא"ש בסי' ג' וכן המחבר כאן מיירי שהפסולים לא היו עמהם בשעת ראיה, ולא הוצרכו לבאר זה, דפשיטא דכשהפסולים היו עמהם דבטלה העדות לכו"ע, דהא הו"ל ראיה והגדה, דעדים החתומים על השטר כמו שנחקרה עדותם בב"ד דמי, ומה"ט קי"ל בכל דוכתי </w:t>
      </w:r>
      <w:r>
        <w:rPr>
          <w:sz w:val="16"/>
          <w:szCs w:val="16"/>
          <w:rtl/>
        </w:rPr>
        <w:t xml:space="preserve">[סי' מו סע' לז-לח] </w:t>
      </w:r>
      <w:r>
        <w:rPr>
          <w:rtl/>
        </w:rPr>
        <w:t>עדים החתומים על השטר אין יכולים לחזור ולהעיד, דכיון שהגיד שוב אינו חוזר ומגיד, דהגדה בשטר כהגדה בב"ד היא. כן נ"ל. ולפי מה שהעליתי לעיל סי' ל"ו סק"ח דבנצטרפו בראיה לחוד בטלה העדות אפילו לא העידו אח"כ, א"כ אם היו הפסולים עמהם בשעת ראיית המעשה נתבטלה העדות אפילו לא חתמו בשטר, ואם לא היו הפסולים עמהם בשעת ראיית המעשה וחתמו על השטר, פסול..., ש"ך</w:t>
      </w:r>
      <w:r>
        <w:rPr>
          <w:sz w:val="16"/>
          <w:szCs w:val="16"/>
          <w:rtl/>
        </w:rPr>
        <w:t xml:space="preserve"> (סקכ"ד)</w:t>
      </w:r>
      <w:r>
        <w:rPr>
          <w:rtl/>
        </w:rPr>
        <w:t>.</w:t>
      </w:r>
      <w:r>
        <w:rPr>
          <w:color w:val="FF0000"/>
          <w:rtl/>
        </w:rPr>
        <w:t xml:space="preserve"> </w:t>
      </w:r>
    </w:p>
  </w:footnote>
  <w:footnote w:id="3663">
    <w:p w14:paraId="6D321541" w14:textId="77777777" w:rsidR="0013116F" w:rsidRDefault="0013116F" w:rsidP="001D49D4">
      <w:pPr>
        <w:pStyle w:val="a9"/>
      </w:pPr>
      <w:r>
        <w:rPr>
          <w:rStyle w:val="ab"/>
        </w:rPr>
        <w:footnoteRef/>
      </w:r>
      <w:r>
        <w:rPr>
          <w:rtl/>
        </w:rPr>
        <w:t xml:space="preserve"> נ"ל דוקא קאמר בית דין, אבל הם עצמם לא, שכבר עשו שליחותן, שלא נעשו שלוחים לחתום את השטר אלא בצירוף הפסול, ש"ך (סקכ"ה). </w:t>
      </w:r>
      <w:r>
        <w:rPr>
          <w:color w:val="FF0000"/>
          <w:rtl/>
        </w:rPr>
        <w:t>וצל"ע דהרי הרמב"ם והשו"ע כתבו שאותו עד פסול בא לחתום על דעת עצמו ולא ניתנה לו שליחות מתחילה</w:t>
      </w:r>
      <w:r>
        <w:rPr>
          <w:rtl/>
        </w:rPr>
        <w:t>, וא"כ משמע שלא עשו הכשרים שליחותם ויכולים לכתוב עוד שטר, רק כדי שיוכל לגבות בו מזמן ראשון כדאי לעשות את השטר בבי"ד, דאם יעשו בעצמם שטר חדש הוי שטר מאוחר דכשר אבל גובה בו מזמן אחרון.</w:t>
      </w:r>
    </w:p>
  </w:footnote>
  <w:footnote w:id="3664">
    <w:p w14:paraId="356650E1" w14:textId="77777777" w:rsidR="0013116F" w:rsidRDefault="0013116F" w:rsidP="001D49D4">
      <w:pPr>
        <w:pStyle w:val="a9"/>
        <w:rPr>
          <w:rtl/>
        </w:rPr>
      </w:pPr>
      <w:r>
        <w:rPr>
          <w:rStyle w:val="ab"/>
        </w:rPr>
        <w:footnoteRef/>
      </w:r>
      <w:r>
        <w:rPr>
          <w:rtl/>
        </w:rPr>
        <w:t xml:space="preserve"> פירוש, בשטרי דלאו אקנייתא, הה"מ </w:t>
      </w:r>
      <w:r>
        <w:rPr>
          <w:sz w:val="16"/>
          <w:szCs w:val="16"/>
          <w:rtl/>
        </w:rPr>
        <w:t>(סוף מלוה ולוה פכ"ז ה"ד)</w:t>
      </w:r>
      <w:r>
        <w:rPr>
          <w:rtl/>
        </w:rPr>
        <w:t>. ופשוט הוא, דאי בשטר שיש בו קנין הרי משעת הקנין הוא משתעבד ואפילו לא נכתב השטר אלא אחר כמה ימים כשר וגובה מיום הקנין כמו שנתבאר (סי' מג סי"ב), ב"י.</w:t>
      </w:r>
    </w:p>
  </w:footnote>
  <w:footnote w:id="3665">
    <w:p w14:paraId="3139A1BA" w14:textId="77777777" w:rsidR="0013116F" w:rsidRDefault="0013116F" w:rsidP="001D49D4">
      <w:pPr>
        <w:pStyle w:val="a9"/>
      </w:pPr>
      <w:r>
        <w:rPr>
          <w:rStyle w:val="ab"/>
        </w:rPr>
        <w:footnoteRef/>
      </w:r>
      <w:r>
        <w:rPr>
          <w:rtl/>
        </w:rPr>
        <w:t xml:space="preserve"> דכיון שבא לפני ב"ד בעוד שיש בו חשש זיוף שוב אין לו תקנה, טור בשם הי"א.</w:t>
      </w:r>
    </w:p>
  </w:footnote>
  <w:footnote w:id="3666">
    <w:p w14:paraId="0AFE3C2F" w14:textId="77777777" w:rsidR="0013116F" w:rsidRDefault="0013116F" w:rsidP="001D49D4">
      <w:pPr>
        <w:pStyle w:val="a9"/>
      </w:pPr>
      <w:r>
        <w:rPr>
          <w:rStyle w:val="ab"/>
        </w:rPr>
        <w:footnoteRef/>
      </w:r>
      <w:r>
        <w:rPr>
          <w:rtl/>
        </w:rPr>
        <w:t xml:space="preserve"> </w:t>
      </w:r>
      <w:r>
        <w:rPr>
          <w:rFonts w:hint="cs"/>
          <w:rtl/>
        </w:rPr>
        <w:t>וז"ל-</w:t>
      </w:r>
      <w:r>
        <w:rPr>
          <w:rtl/>
        </w:rPr>
        <w:t xml:space="preserve"> אם קדם בעל השטר עד שלא הוחזק בב"ד ומלאו בחזרת דברים או בקרובים הרי זה זריז ונשכר, וכן כתב הראב"ד ז"ל.</w:t>
      </w:r>
    </w:p>
  </w:footnote>
  <w:footnote w:id="3667">
    <w:p w14:paraId="565781DB" w14:textId="77777777" w:rsidR="0013116F" w:rsidRDefault="0013116F" w:rsidP="001D49D4">
      <w:pPr>
        <w:pStyle w:val="a9"/>
      </w:pPr>
      <w:r>
        <w:rPr>
          <w:rStyle w:val="ab"/>
        </w:rPr>
        <w:footnoteRef/>
      </w:r>
      <w:r>
        <w:rPr>
          <w:rtl/>
        </w:rPr>
        <w:t xml:space="preserve"> נ"ל דסברא מעלייתא היא</w:t>
      </w:r>
      <w:r>
        <w:rPr>
          <w:sz w:val="16"/>
          <w:szCs w:val="16"/>
          <w:rtl/>
        </w:rPr>
        <w:t xml:space="preserve"> {סברת הי"א שהביא ה"ר יונה שהיא סברת הראב"ד}</w:t>
      </w:r>
      <w:r>
        <w:rPr>
          <w:rtl/>
        </w:rPr>
        <w:t xml:space="preserve">, דחכמים פסלי שטר זה </w:t>
      </w:r>
      <w:r>
        <w:rPr>
          <w:sz w:val="16"/>
          <w:szCs w:val="16"/>
          <w:rtl/>
        </w:rPr>
        <w:t xml:space="preserve">{שהרחיקו ב' שיטין} </w:t>
      </w:r>
      <w:r>
        <w:rPr>
          <w:rtl/>
        </w:rPr>
        <w:t xml:space="preserve">לעשותו מעיקרא משום חשש זיוף, ואם בא לפני בית דין ולא נעשה בו זיוף היה ראוי להכשיר אלא דאלמוה חכמים לתקנתם ואמרו כיון דלא נעשה כתיקון חכמים חספא בעלמא הוא, ומ"מ הכשירוהו אם מילאהו בקרובים, ואם הובא לפני בית דין בלא מילוי קרובים צריכין בית דין לפוסלו לחזק תקנתן, רא"ש. </w:t>
      </w:r>
    </w:p>
  </w:footnote>
  <w:footnote w:id="3668">
    <w:p w14:paraId="761DA3E5" w14:textId="77777777" w:rsidR="0013116F" w:rsidRDefault="0013116F" w:rsidP="001D49D4">
      <w:pPr>
        <w:pStyle w:val="a9"/>
        <w:rPr>
          <w:rtl/>
        </w:rPr>
      </w:pPr>
      <w:r>
        <w:rPr>
          <w:rStyle w:val="ab"/>
        </w:rPr>
        <w:footnoteRef/>
      </w:r>
      <w:r>
        <w:rPr>
          <w:rtl/>
        </w:rPr>
        <w:t xml:space="preserve"> וכ"כ בב"י וז"ל- ואע"פ שכתב הה"מ שדברי רבינו יונה נראה עיקר נ"ל למיסמך על כל הני רבוותא דפליגי עליה.</w:t>
      </w:r>
    </w:p>
  </w:footnote>
  <w:footnote w:id="3669">
    <w:p w14:paraId="6A257343" w14:textId="77777777" w:rsidR="0013116F" w:rsidRDefault="0013116F" w:rsidP="001D49D4">
      <w:pPr>
        <w:pStyle w:val="a9"/>
        <w:rPr>
          <w:rtl/>
        </w:rPr>
      </w:pPr>
      <w:r>
        <w:rPr>
          <w:rStyle w:val="ab"/>
        </w:rPr>
        <w:footnoteRef/>
      </w:r>
      <w:r>
        <w:rPr>
          <w:rtl/>
        </w:rPr>
        <w:t xml:space="preserve"> שאין שם פסול עליו לאמר שאין בידו לעשות ממנו שטר בלא דעת הלוה. ומהאי טעמא נראה פשוט דס"ל דיכול המלוה למלאותו מדעתו בקרובים אפילו אחר היום שנחתם, כל זמן שלא נראה בב"ד. וכן מוכח באשר"י [ב"ב פ"י סי' ג'] וכמ"ש בפרישה [דרישה סע' כ]. ומה שכתב המחבר בסמוך סעיף ט"ו דאם מילאוהו למחר כו' פסול - לא כתב כן אלא לדעת הי"א שכתב בשמם בסוף סעיף זה דבעינן שימלאוהו מדעת הלוה, וסבירא ליה דשם פסול עליו כל זמן שלא מילאוהו, וכל שמילאוהו שלא מדעת הלוה לא נשתעבד בו הלוה, והוא דעת רבינו יונה... אבל הב"י דכתב עליו דעת הרב רבינו אשר שחולק עמו, נראה עיקר. ואם כן קשה דלא הוה ליה להמחבר לסתום ולכתוב בסעיף ט"ו שלא כדעת הרא"ש. ולכן נראה שהכל סעיף אחד הוא, והוא מצורף למה שכתב לפני זה בשם הי"א, ולהגיה וי"ו, וצ"ל והא דמכשרינן כו', סמ"ע (סקל"ו). אך הש"ך (סקכ"ו) כתב דלא נהירא, דא"כ לא הו"ל להמחבר לעשות מזה סעיף מיוחד. אלא נראה דס"ל דכו"ע מודו בזה, דנהי דיכול לעשותו שלא מדעת הלוה, היינו כיון שמסר השטר לידו כאילו הרשהו לעשות, אבל מ"מ אין השטר נכשר אלא משעת המילוי, וגם באשר"י לא מוכח מידי, וי"ל דמודה בזה לה"ר יונה.</w:t>
      </w:r>
    </w:p>
  </w:footnote>
  <w:footnote w:id="3670">
    <w:p w14:paraId="39C3C0E9" w14:textId="77777777" w:rsidR="0013116F" w:rsidRDefault="0013116F" w:rsidP="001D49D4">
      <w:pPr>
        <w:pStyle w:val="a9"/>
      </w:pPr>
      <w:r>
        <w:rPr>
          <w:rStyle w:val="ab"/>
        </w:rPr>
        <w:footnoteRef/>
      </w:r>
      <w:r>
        <w:rPr>
          <w:rtl/>
        </w:rPr>
        <w:t xml:space="preserve"> דאילו יש בו קנין, כבר נתבאר בסי' לט </w:t>
      </w:r>
      <w:r>
        <w:rPr>
          <w:sz w:val="16"/>
          <w:szCs w:val="16"/>
          <w:rtl/>
        </w:rPr>
        <w:t xml:space="preserve">[סע' ג] </w:t>
      </w:r>
      <w:r>
        <w:rPr>
          <w:rtl/>
        </w:rPr>
        <w:t xml:space="preserve">ובסי' מג </w:t>
      </w:r>
      <w:r>
        <w:rPr>
          <w:sz w:val="16"/>
          <w:szCs w:val="16"/>
          <w:rtl/>
        </w:rPr>
        <w:t xml:space="preserve">[סע' טז] </w:t>
      </w:r>
      <w:r>
        <w:rPr>
          <w:rtl/>
        </w:rPr>
        <w:t xml:space="preserve">דיכול לכתוב אימת שירצה ומזמן הקנין, אבל כשאין בו קנין, אף למ"ד עדיו בחתומיו זכין לו </w:t>
      </w:r>
      <w:r>
        <w:rPr>
          <w:sz w:val="16"/>
          <w:szCs w:val="16"/>
          <w:rtl/>
        </w:rPr>
        <w:t>[ב"מ יג.]</w:t>
      </w:r>
      <w:r>
        <w:rPr>
          <w:rtl/>
        </w:rPr>
        <w:t xml:space="preserve">, בשטר כזה דלא נחתם כראוי מודה דאינן זוכין לו, סמ"ע </w:t>
      </w:r>
      <w:r>
        <w:rPr>
          <w:sz w:val="16"/>
          <w:szCs w:val="16"/>
          <w:rtl/>
        </w:rPr>
        <w:t>(סקל"ז)</w:t>
      </w:r>
      <w:r>
        <w:rPr>
          <w:rtl/>
        </w:rPr>
        <w:t xml:space="preserve">. וכ"כ ב"ח </w:t>
      </w:r>
      <w:r>
        <w:rPr>
          <w:sz w:val="16"/>
          <w:szCs w:val="16"/>
          <w:rtl/>
        </w:rPr>
        <w:t xml:space="preserve">(סע' כ) </w:t>
      </w:r>
      <w:r>
        <w:rPr>
          <w:rtl/>
        </w:rPr>
        <w:t xml:space="preserve">וש"ך </w:t>
      </w:r>
      <w:r>
        <w:rPr>
          <w:sz w:val="16"/>
          <w:szCs w:val="16"/>
          <w:rtl/>
        </w:rPr>
        <w:t>(סקכ"ז)</w:t>
      </w:r>
      <w:r>
        <w:rPr>
          <w:rtl/>
        </w:rPr>
        <w:t>.</w:t>
      </w:r>
    </w:p>
  </w:footnote>
  <w:footnote w:id="3671">
    <w:p w14:paraId="25CC6FE1" w14:textId="77777777" w:rsidR="0013116F" w:rsidRDefault="0013116F" w:rsidP="001D49D4">
      <w:pPr>
        <w:pStyle w:val="a9"/>
      </w:pPr>
      <w:r>
        <w:rPr>
          <w:rStyle w:val="ab"/>
        </w:rPr>
        <w:footnoteRef/>
      </w:r>
      <w:r>
        <w:rPr>
          <w:rtl/>
        </w:rPr>
        <w:t xml:space="preserve"> העלה הסמ"ע (סקל"ח) דהיינו ראובן יש לו שטר על גוי והגוי מכר שדהו לשמעון, וראובן בא לטרוף משמעון, ושמעון טען כל שטר על הגוי עשוי לזייף הואיל ויש בו פנוי שני שיטין, ופסק הואיל ושמעון הלוקח בא מכח הגוי, הרי הוא כמו גוי, ואילו היה השדה ביד גוי היה ראובן מוציא בדיניהם ממנו על פי שטרו, הוא הדין שמעון הבא מכח גוי. אבל אילו היה לגוי שטר שיש בו חלל שני שיטות על שמעון, ומכר הגוי השטר לראובן, אפשר דאין ראובן יכול להוציא מעות מיד שמעון, דלא אמרינן הבא מכח גוי כגוי למעליותא, ע"ש, ועיין מש"כ להלן בסימן ס"ו (תומים סקמ"ה) בארוכה בדין זה, אורים (סקל"ח).</w:t>
      </w:r>
    </w:p>
  </w:footnote>
  <w:footnote w:id="3672">
    <w:p w14:paraId="2EECDE49" w14:textId="77777777" w:rsidR="0013116F" w:rsidRDefault="0013116F" w:rsidP="001D49D4">
      <w:pPr>
        <w:pStyle w:val="a9"/>
        <w:rPr>
          <w:rtl/>
        </w:rPr>
      </w:pPr>
      <w:r>
        <w:rPr>
          <w:rStyle w:val="ab"/>
        </w:rPr>
        <w:footnoteRef/>
      </w:r>
      <w:r>
        <w:rPr>
          <w:rtl/>
        </w:rPr>
        <w:t xml:space="preserve"> </w:t>
      </w:r>
      <w:r>
        <w:rPr>
          <w:rFonts w:hint="cs"/>
          <w:rtl/>
        </w:rPr>
        <w:t>סימן</w:t>
      </w:r>
      <w:r>
        <w:rPr>
          <w:sz w:val="16"/>
          <w:szCs w:val="16"/>
          <w:rtl/>
        </w:rPr>
        <w:t xml:space="preserve"> </w:t>
      </w:r>
      <w:r>
        <w:rPr>
          <w:rtl/>
        </w:rPr>
        <w:t xml:space="preserve">– קלף וסהדותא בגוש. </w:t>
      </w:r>
    </w:p>
  </w:footnote>
  <w:footnote w:id="3673">
    <w:p w14:paraId="50185E4D" w14:textId="77777777" w:rsidR="0013116F" w:rsidRDefault="0013116F" w:rsidP="001D49D4">
      <w:pPr>
        <w:pStyle w:val="a9"/>
      </w:pPr>
      <w:r>
        <w:rPr>
          <w:rStyle w:val="ab"/>
        </w:rPr>
        <w:footnoteRef/>
      </w:r>
      <w:r>
        <w:rPr>
          <w:rtl/>
        </w:rPr>
        <w:t xml:space="preserve"> </w:t>
      </w:r>
      <w:r>
        <w:rPr>
          <w:rFonts w:hint="cs"/>
          <w:rtl/>
        </w:rPr>
        <w:t>הרחיק את העדים כשיעור שני שיטין פסול</w:t>
      </w:r>
      <w:r>
        <w:rPr>
          <w:rtl/>
        </w:rPr>
        <w:t>, רשב"ם.</w:t>
      </w:r>
    </w:p>
  </w:footnote>
  <w:footnote w:id="3674">
    <w:p w14:paraId="51E68A43" w14:textId="77777777" w:rsidR="0013116F" w:rsidRDefault="0013116F" w:rsidP="001D49D4">
      <w:pPr>
        <w:pStyle w:val="a9"/>
        <w:rPr>
          <w:rtl/>
        </w:rPr>
      </w:pPr>
      <w:r>
        <w:rPr>
          <w:rStyle w:val="ab"/>
        </w:rPr>
        <w:footnoteRef/>
      </w:r>
      <w:r>
        <w:rPr>
          <w:rtl/>
        </w:rPr>
        <w:t xml:space="preserve"> </w:t>
      </w:r>
      <w:r>
        <w:rPr>
          <w:rFonts w:hint="cs"/>
          <w:rtl/>
        </w:rPr>
        <w:t>היינו לקיום, וגם הקיום נעשה ע"י חתימת ב' עדים.</w:t>
      </w:r>
    </w:p>
  </w:footnote>
  <w:footnote w:id="3675">
    <w:p w14:paraId="14530176" w14:textId="77777777" w:rsidR="0013116F" w:rsidRDefault="0013116F" w:rsidP="001D49D4">
      <w:pPr>
        <w:pStyle w:val="a9"/>
      </w:pPr>
      <w:r>
        <w:rPr>
          <w:rStyle w:val="ab"/>
        </w:rPr>
        <w:footnoteRef/>
      </w:r>
      <w:r>
        <w:rPr>
          <w:rtl/>
        </w:rPr>
        <w:t xml:space="preserve"> ואע"ג דמטייט ומפרש טעמא דרבי יוחנן דקסבר שטר שכתוב כולו בשיטה אחת וגם העדים חתומין באותה שיטה כשר ויכול לחתוך את העליון ויכתוב שטר ועדים פסולים באותה שיטה ואנו נסמוך אאשרתא לקיימן ואם השטר כולו בשיטה אחת והעדים בשיטה אחרת פסול, רשב"ם.</w:t>
      </w:r>
    </w:p>
  </w:footnote>
  <w:footnote w:id="3676">
    <w:p w14:paraId="4F6BCC88" w14:textId="77777777" w:rsidR="0013116F" w:rsidRDefault="0013116F" w:rsidP="001D49D4">
      <w:pPr>
        <w:pStyle w:val="a9"/>
      </w:pPr>
      <w:r>
        <w:rPr>
          <w:rStyle w:val="ab"/>
        </w:rPr>
        <w:footnoteRef/>
      </w:r>
      <w:r>
        <w:rPr>
          <w:rtl/>
        </w:rPr>
        <w:t xml:space="preserve"> הש"ך </w:t>
      </w:r>
      <w:r>
        <w:rPr>
          <w:sz w:val="16"/>
          <w:szCs w:val="16"/>
          <w:rtl/>
        </w:rPr>
        <w:t xml:space="preserve">(סקכ"ט) </w:t>
      </w:r>
      <w:r>
        <w:rPr>
          <w:rtl/>
        </w:rPr>
        <w:t xml:space="preserve">הניח דברי הרב בצ"ע מחמת קושית הסמ"ע </w:t>
      </w:r>
      <w:r>
        <w:rPr>
          <w:sz w:val="16"/>
          <w:szCs w:val="16"/>
          <w:rtl/>
        </w:rPr>
        <w:t xml:space="preserve">(סק"מ) </w:t>
      </w:r>
      <w:r>
        <w:rPr>
          <w:rtl/>
        </w:rPr>
        <w:t xml:space="preserve">דהא עדים אסורים לעשות כן להניח חצי שיטה ושיטה שניה חלק, דהרי יכול לכתוב בו כל שירצה, ואף דכתוב כבר שריר וקיים הרי יכול לכתוב שנית שריר וקיים, ע"ש. ונראה ליישב דברי רמ"א, דידוע בשטר משערין הכל לפי כתב השטר, דאם כתב השטר גס אף ערך שני שיטות הכל בכתב גס דאין עושה בשטר שני מיני כתיבה דקות וגסות דאז יהיה זיופו ניכר, וכ"כ התוס' להדיא </w:t>
      </w:r>
      <w:r>
        <w:rPr>
          <w:sz w:val="16"/>
          <w:szCs w:val="16"/>
          <w:rtl/>
        </w:rPr>
        <w:t xml:space="preserve">(ב"ב קסג. ד"ה שיטה) </w:t>
      </w:r>
      <w:r>
        <w:rPr>
          <w:rtl/>
        </w:rPr>
        <w:t xml:space="preserve">ע"ש ולעיל סי' מ"ד </w:t>
      </w:r>
      <w:r>
        <w:rPr>
          <w:sz w:val="16"/>
          <w:szCs w:val="16"/>
          <w:rtl/>
        </w:rPr>
        <w:t>(סע' ז)</w:t>
      </w:r>
      <w:r>
        <w:rPr>
          <w:rtl/>
        </w:rPr>
        <w:t>, ולפ"ז אם בשטר הכתב גס ועב ביותר עד שבשיטה אינו פנוי לפי ערך כתב ההוא, שהאותיות גדולים ורחבים יותר מכדי לכתוב בו הכל שריר וקיים, אזי מותרים להניחו פנוי אם כבר נכתב שריר וקיים, דמה יש לחוש, אם יזייף ויכתוב דבר לטובתו ולא יכתוב שנית שריר קיים, הא אין מועיל, ואי יכתוב שנית, הא אין מקום מכיל לכתוב עוד דבר ולכתוב גם כן שריר וקיים כהנ"ל, ואי דישנה הכתב ויכתוב כתב דקה משארי אותיות השטר, הא זיופו ניכר כמש"כ לעיל, וא"כ מותרים להניח, ומה עשה זה יחתוך כל השטר והוא צמצם הכתב לכתוב אותיות קטנות מן שטר ההוא וזייף וכתב בחצי שיטה מה דבעי והרבה בכתיבה לקטנות הכתב והזיוף לפנינו, וביותר יש לחוש בזה דריעותא לפניך דחצי שיטה נחתך ואין זה גדר וסדר השטרות וחוששין בו כל חששא דאיכא למיחש, ודברי רמ"א ברורים, תומים (סקי"ח).</w:t>
      </w:r>
    </w:p>
  </w:footnote>
  <w:footnote w:id="3677">
    <w:p w14:paraId="75924DE0" w14:textId="77777777" w:rsidR="0013116F" w:rsidRDefault="0013116F" w:rsidP="001D49D4">
      <w:pPr>
        <w:pStyle w:val="a9"/>
      </w:pPr>
      <w:r>
        <w:rPr>
          <w:rStyle w:val="ab"/>
        </w:rPr>
        <w:footnoteRef/>
      </w:r>
      <w:r>
        <w:rPr>
          <w:rtl/>
        </w:rPr>
        <w:t xml:space="preserve"> </w:t>
      </w:r>
      <w:r>
        <w:rPr>
          <w:rFonts w:hint="cs"/>
          <w:rtl/>
        </w:rPr>
        <w:t>סימן</w:t>
      </w:r>
      <w:r>
        <w:rPr>
          <w:sz w:val="16"/>
          <w:szCs w:val="16"/>
          <w:rtl/>
        </w:rPr>
        <w:t xml:space="preserve"> </w:t>
      </w:r>
      <w:r>
        <w:rPr>
          <w:rtl/>
        </w:rPr>
        <w:t xml:space="preserve">– קלף וסהדותא בגוש. </w:t>
      </w:r>
    </w:p>
  </w:footnote>
  <w:footnote w:id="3678">
    <w:p w14:paraId="08C28DBA" w14:textId="77777777" w:rsidR="0013116F" w:rsidRDefault="0013116F" w:rsidP="001D49D4">
      <w:pPr>
        <w:pStyle w:val="a9"/>
      </w:pPr>
      <w:r>
        <w:rPr>
          <w:rStyle w:val="ab"/>
        </w:rPr>
        <w:footnoteRef/>
      </w:r>
      <w:r>
        <w:rPr>
          <w:rtl/>
        </w:rPr>
        <w:t xml:space="preserve"> הרחיק את העדים כשיעור שני שיטין פסול, רשב"ם.</w:t>
      </w:r>
    </w:p>
  </w:footnote>
  <w:footnote w:id="3679">
    <w:p w14:paraId="2AC3DC15" w14:textId="77777777" w:rsidR="0013116F" w:rsidRDefault="0013116F" w:rsidP="001D49D4">
      <w:pPr>
        <w:pStyle w:val="a9"/>
        <w:rPr>
          <w:rtl/>
        </w:rPr>
      </w:pPr>
      <w:r>
        <w:rPr>
          <w:rStyle w:val="ab"/>
        </w:rPr>
        <w:footnoteRef/>
      </w:r>
      <w:r>
        <w:rPr>
          <w:rtl/>
        </w:rPr>
        <w:t xml:space="preserve"> </w:t>
      </w:r>
      <w:r>
        <w:rPr>
          <w:rFonts w:hint="cs"/>
          <w:rtl/>
        </w:rPr>
        <w:t>היינו לקיום, וגם הקיום נעשה ע"י חתימת ב' עדים.</w:t>
      </w:r>
    </w:p>
  </w:footnote>
  <w:footnote w:id="3680">
    <w:p w14:paraId="36DEDE5B" w14:textId="77777777" w:rsidR="0013116F" w:rsidRDefault="0013116F" w:rsidP="001D49D4">
      <w:pPr>
        <w:pStyle w:val="a9"/>
      </w:pPr>
      <w:r>
        <w:rPr>
          <w:rStyle w:val="ab"/>
        </w:rPr>
        <w:footnoteRef/>
      </w:r>
      <w:r>
        <w:rPr>
          <w:rtl/>
        </w:rPr>
        <w:t xml:space="preserve"> ואע"ג דמטייט ומפרש טעמא דרבי יוחנן דקסבר שטר שכתוב כולו בשיטה אחת וגם העדים חתומין באותה שיטה כשר ויכול לחתוך את העליון ויכתוב שטר ועדים פסולים באותה שיטה ואנו נסמוך אאשרתא לקיימן ואם השטר כולו בשיטה אחת והעדים בשיטה אחרת פסול, רשב"ם.</w:t>
      </w:r>
    </w:p>
  </w:footnote>
  <w:footnote w:id="3681">
    <w:p w14:paraId="1F0522E6" w14:textId="77777777" w:rsidR="0013116F" w:rsidRDefault="0013116F" w:rsidP="001D49D4">
      <w:pPr>
        <w:pStyle w:val="a9"/>
      </w:pPr>
      <w:r>
        <w:rPr>
          <w:rStyle w:val="ab"/>
        </w:rPr>
        <w:footnoteRef/>
      </w:r>
      <w:r>
        <w:rPr>
          <w:rtl/>
        </w:rPr>
        <w:t xml:space="preserve"> </w:t>
      </w:r>
      <w:r>
        <w:rPr>
          <w:rFonts w:hint="cs"/>
          <w:rtl/>
        </w:rPr>
        <w:t>סימן</w:t>
      </w:r>
      <w:r>
        <w:rPr>
          <w:sz w:val="16"/>
          <w:szCs w:val="16"/>
          <w:rtl/>
        </w:rPr>
        <w:t xml:space="preserve"> </w:t>
      </w:r>
      <w:r>
        <w:rPr>
          <w:rtl/>
        </w:rPr>
        <w:t xml:space="preserve">– לדמות קלף וסהדותא. </w:t>
      </w:r>
    </w:p>
  </w:footnote>
  <w:footnote w:id="3682">
    <w:p w14:paraId="2318A33B" w14:textId="77777777" w:rsidR="0013116F" w:rsidRDefault="0013116F" w:rsidP="001D49D4">
      <w:pPr>
        <w:pStyle w:val="a9"/>
      </w:pPr>
      <w:r>
        <w:rPr>
          <w:rStyle w:val="ab"/>
        </w:rPr>
        <w:footnoteRef/>
      </w:r>
      <w:r>
        <w:rPr>
          <w:rtl/>
        </w:rPr>
        <w:t xml:space="preserve"> שלא יפסיד בעל השטר עדות של עדיו ואחר כך נמחוק ונכתוב בההיא מגילתא גופא ונדמייה, רשב"ם.</w:t>
      </w:r>
    </w:p>
  </w:footnote>
  <w:footnote w:id="3683">
    <w:p w14:paraId="033AC177" w14:textId="77777777" w:rsidR="0013116F" w:rsidRDefault="0013116F" w:rsidP="001D49D4">
      <w:pPr>
        <w:pStyle w:val="a9"/>
      </w:pPr>
      <w:r>
        <w:rPr>
          <w:rStyle w:val="ab"/>
        </w:rPr>
        <w:footnoteRef/>
      </w:r>
      <w:r>
        <w:rPr>
          <w:rtl/>
        </w:rPr>
        <w:t xml:space="preserve"> לשטר שלשה ימים אחר מחיקת העדים דהשתא אידי ואידי כמה ימים ונדמייה, ב"י בשם רשב"ם</w:t>
      </w:r>
      <w:r>
        <w:rPr>
          <w:sz w:val="16"/>
          <w:szCs w:val="16"/>
          <w:rtl/>
        </w:rPr>
        <w:t xml:space="preserve"> </w:t>
      </w:r>
      <w:r>
        <w:rPr>
          <w:color w:val="FF0000"/>
          <w:sz w:val="16"/>
          <w:szCs w:val="16"/>
          <w:rtl/>
        </w:rPr>
        <w:t>(לא מצאתי היכן כתב כן)</w:t>
      </w:r>
      <w:r>
        <w:rPr>
          <w:rtl/>
        </w:rPr>
        <w:t>.</w:t>
      </w:r>
    </w:p>
  </w:footnote>
  <w:footnote w:id="3684">
    <w:p w14:paraId="001C9A19" w14:textId="77777777" w:rsidR="0013116F" w:rsidRDefault="0013116F" w:rsidP="001D49D4">
      <w:pPr>
        <w:pStyle w:val="a9"/>
        <w:rPr>
          <w:rtl/>
        </w:rPr>
      </w:pPr>
      <w:r>
        <w:rPr>
          <w:rStyle w:val="ab"/>
        </w:rPr>
        <w:footnoteRef/>
      </w:r>
      <w:r>
        <w:rPr>
          <w:rtl/>
        </w:rPr>
        <w:t xml:space="preserve"> שלא יבדקוהו אלא גבו מיניה לאלתר, ב"י בשם רשב"ם</w:t>
      </w:r>
      <w:r>
        <w:rPr>
          <w:sz w:val="16"/>
          <w:szCs w:val="16"/>
          <w:rtl/>
        </w:rPr>
        <w:t xml:space="preserve"> </w:t>
      </w:r>
      <w:r>
        <w:rPr>
          <w:color w:val="FF0000"/>
          <w:sz w:val="16"/>
          <w:szCs w:val="16"/>
          <w:rtl/>
        </w:rPr>
        <w:t>(צ"ע משום שרשב"ם כתב יותר מכן)</w:t>
      </w:r>
      <w:r>
        <w:rPr>
          <w:rtl/>
        </w:rPr>
        <w:t>.</w:t>
      </w:r>
    </w:p>
  </w:footnote>
  <w:footnote w:id="3685">
    <w:p w14:paraId="64505679" w14:textId="77777777" w:rsidR="0013116F" w:rsidRDefault="0013116F" w:rsidP="001D49D4">
      <w:pPr>
        <w:pStyle w:val="a9"/>
      </w:pPr>
      <w:r>
        <w:rPr>
          <w:rStyle w:val="ab"/>
        </w:rPr>
        <w:footnoteRef/>
      </w:r>
      <w:r>
        <w:rPr>
          <w:rtl/>
        </w:rPr>
        <w:t xml:space="preserve"> יש שלא גרסו את מה שהוכנס בסוגריים. וכתבו התוס' </w:t>
      </w:r>
      <w:r>
        <w:rPr>
          <w:sz w:val="16"/>
          <w:szCs w:val="16"/>
          <w:rtl/>
        </w:rPr>
        <w:t xml:space="preserve">(ד"ה לישהייה) </w:t>
      </w:r>
      <w:r>
        <w:rPr>
          <w:rtl/>
        </w:rPr>
        <w:t xml:space="preserve">דמאן דלא גריס ליה </w:t>
      </w:r>
      <w:r>
        <w:rPr>
          <w:sz w:val="16"/>
          <w:szCs w:val="16"/>
          <w:rtl/>
        </w:rPr>
        <w:t>{הוא משום דסבר}</w:t>
      </w:r>
      <w:r>
        <w:rPr>
          <w:rtl/>
        </w:rPr>
        <w:t xml:space="preserve"> דכמו כן </w:t>
      </w:r>
      <w:r>
        <w:rPr>
          <w:sz w:val="16"/>
          <w:szCs w:val="16"/>
          <w:rtl/>
        </w:rPr>
        <w:t>{כמו שאינו דומה נמחק בן יומו לנמחק בן שני ימים כך}</w:t>
      </w:r>
      <w:r>
        <w:rPr>
          <w:rtl/>
        </w:rPr>
        <w:t xml:space="preserve"> אינו דומה נמחק בן שני ימים לנמחק בן שלשה ימים. עכ"ל. וכתב הב"י דנראה דלא גרסינן ליה, דאי גרסינן ליה הא קיי"ל בסוף יש נוחלין </w:t>
      </w:r>
      <w:r>
        <w:rPr>
          <w:sz w:val="16"/>
          <w:szCs w:val="16"/>
          <w:rtl/>
        </w:rPr>
        <w:t xml:space="preserve">(קלח:) </w:t>
      </w:r>
      <w:r>
        <w:rPr>
          <w:rtl/>
        </w:rPr>
        <w:t>דלא חיישינן לבית דין טועים, וא"כ תירוצא דרבי ירמיה לא קאי, אלא בדקינן ליה ע"י שיהוי וכשר, והפוסקים פסקו דפסול. ואפילו אי גרסינן ליה אין לפרשו כרשב"ם, אלא הכי קאמר- חיישינן שבית דין יטעו ולא ידמו יפה יפה על ידו שאע"פ ששהו שלשה ימים אולי היה צריך להשהותו יותר ואלו דברים שאין להם שיעור</w:t>
      </w:r>
      <w:r>
        <w:rPr>
          <w:color w:val="FF0000"/>
          <w:sz w:val="16"/>
          <w:szCs w:val="16"/>
          <w:rtl/>
        </w:rPr>
        <w:t xml:space="preserve"> (צל"ע משום שהב"י לא הביא את כל הפירוש של רשב"ם כמו שיש לפנינו אלא רק את פירושו השני לדברי ר' ירמיה, אבל מהפירוש הראשון שלו לדברי ר' ירמיה משמע לי שגם רשב"ם פירש כך, וז"ל- ונישהייה אמר רבי ירמיה חוששין לב"ד טועין ולא ידעו לדקדק כל כך)</w:t>
      </w:r>
      <w:r>
        <w:rPr>
          <w:rtl/>
        </w:rPr>
        <w:t xml:space="preserve">. וא"כ צריכים העדים ליזהר כשיש דיו על הקלף, ומוחקין אותו לכתוב עליו השטר - שימחקו כולו לפניהם בו ביום ולא שימחקו היום חציו ומחר חציו, דאינו דומה נמחק בן יום אחד לנמחק בן שני ימים </w:t>
      </w:r>
      <w:r>
        <w:rPr>
          <w:color w:val="00B0F0"/>
          <w:sz w:val="16"/>
          <w:szCs w:val="16"/>
          <w:rtl/>
        </w:rPr>
        <w:t>(וכ"פ הרמ"א)</w:t>
      </w:r>
      <w:r>
        <w:rPr>
          <w:rtl/>
        </w:rPr>
        <w:t xml:space="preserve">. ועי' במה שכתבתי בס"ס שקודם זה </w:t>
      </w:r>
      <w:r>
        <w:rPr>
          <w:sz w:val="16"/>
          <w:szCs w:val="16"/>
          <w:rtl/>
        </w:rPr>
        <w:t>(מחו' יא)</w:t>
      </w:r>
      <w:r>
        <w:rPr>
          <w:rtl/>
        </w:rPr>
        <w:t>.</w:t>
      </w:r>
    </w:p>
  </w:footnote>
  <w:footnote w:id="3686">
    <w:p w14:paraId="791242EE" w14:textId="77777777" w:rsidR="0013116F" w:rsidRDefault="0013116F" w:rsidP="001D49D4">
      <w:pPr>
        <w:pStyle w:val="a9"/>
        <w:rPr>
          <w:rtl/>
        </w:rPr>
      </w:pPr>
      <w:r>
        <w:rPr>
          <w:rStyle w:val="ab"/>
        </w:rPr>
        <w:footnoteRef/>
      </w:r>
      <w:r>
        <w:rPr>
          <w:rtl/>
        </w:rPr>
        <w:t xml:space="preserve"> וכתב הריב"ש בתשובה (סי' מט) דמהא שמעינן שאם יש ריוח בין עד לעד דהשטר כשר הואיל ואין השטר על המחק, דדוקא כשהשטר על המחק אמרו דמפסל כשיש ריוח בין עד לעד, וע"ש בדין זה, דרכ"מ (אות ה).</w:t>
      </w:r>
    </w:p>
  </w:footnote>
  <w:footnote w:id="3687">
    <w:p w14:paraId="4C9E9261" w14:textId="77777777" w:rsidR="0013116F" w:rsidRDefault="0013116F" w:rsidP="001D49D4">
      <w:pPr>
        <w:pStyle w:val="a9"/>
      </w:pPr>
      <w:r>
        <w:rPr>
          <w:rStyle w:val="ab"/>
        </w:rPr>
        <w:footnoteRef/>
      </w:r>
      <w:r>
        <w:rPr>
          <w:rtl/>
        </w:rPr>
        <w:t xml:space="preserve"> כתב הה"מ סוף הלכות מלוה ולוה (פכ"ז הי"א) דמדאמרינן שאם כתבו העדים בין חתימת עד אחד לעד שני אנחנא סהדי וכו' למד הרשב"א בתשובה לשטר שטעה הסופר שהיה לו לכתוב מאתים וכתב מנה וחתם העד האחד ולא הספיק לחתום השני עד שהרגישו בטעות ותקנוהו וכתבו בין עד לעד אנחנו העדים חתמנו על השטר זה שכתוב בו מאתים על המחק שכשר ע"כ דבריו והאריך להוכיח כן מן הסוגיא עכ"ל ותמצאנו בתשובות להרמב"ן סימן צ"ד ונתבארו דברים אלו בסוף סימן מ"ד (שם).</w:t>
      </w:r>
    </w:p>
  </w:footnote>
  <w:footnote w:id="3688">
    <w:p w14:paraId="7A627F0F" w14:textId="77777777" w:rsidR="0013116F" w:rsidRDefault="0013116F" w:rsidP="001D49D4">
      <w:pPr>
        <w:pStyle w:val="a9"/>
      </w:pPr>
      <w:r>
        <w:rPr>
          <w:rStyle w:val="ab"/>
        </w:rPr>
        <w:footnoteRef/>
      </w:r>
      <w:r>
        <w:rPr>
          <w:rtl/>
        </w:rPr>
        <w:t xml:space="preserve"> ואע"פ שמדברי הר"ש בן דוראן בספר תיקון סופרים (סוף השער השביעי) נראה שלא הכשיר הריב"ש אלא בשאין אויר בין עד לעד אלא כדי חתימת עד אחד המעיין בתשובה הנזכרת יראה שאפילו יש ביניהם הרבה או יותר הוא מכשיר, ב"י.</w:t>
      </w:r>
    </w:p>
  </w:footnote>
  <w:footnote w:id="3689">
    <w:p w14:paraId="2FB14AE7" w14:textId="77777777" w:rsidR="0013116F" w:rsidRDefault="0013116F" w:rsidP="001D49D4">
      <w:pPr>
        <w:pStyle w:val="a9"/>
        <w:rPr>
          <w:rtl/>
        </w:rPr>
      </w:pPr>
      <w:r>
        <w:rPr>
          <w:rStyle w:val="ab"/>
        </w:rPr>
        <w:footnoteRef/>
      </w:r>
      <w:r>
        <w:rPr>
          <w:rtl/>
        </w:rPr>
        <w:t xml:space="preserve"> וה"ה שלא יהא שינוי בשטר עצמו בין מקום שטר זה למקום שטר זה, אלא משום דבשטר עצמו יכול למחוק כל השטר ולא יהא בו שום שינוי, לכך קאמר למקום חתימת העדים, ש"ך (סק"ל).</w:t>
      </w:r>
    </w:p>
  </w:footnote>
  <w:footnote w:id="3690">
    <w:p w14:paraId="3F933B7C" w14:textId="77777777" w:rsidR="0013116F" w:rsidRDefault="0013116F" w:rsidP="001D49D4">
      <w:pPr>
        <w:pStyle w:val="a9"/>
      </w:pPr>
      <w:r>
        <w:rPr>
          <w:rStyle w:val="ab"/>
        </w:rPr>
        <w:footnoteRef/>
      </w:r>
      <w:r>
        <w:rPr>
          <w:rtl/>
        </w:rPr>
        <w:t xml:space="preserve"> והעדים לא ירגישו בזה בשעה שיבואו לחתום, דאין ניכר ההפרש בין נמחק פעם אחת לנמחק שתי פעמים רק לאחר שנכתב על המחק ונתייבש הכתיבה, והעדים ילכו משם קודם לכן, כ"כ התוס' פרק גט פשוט (קסג: ד"ה גופא) לשיטת רב"י. ולשיטת ריב"ם דלקמן דס"ל דההפרש ניכר מיד, כתבו דהיינו דוקא לבית דין ניכר, דדייקי, אבל לעדים אינו ניכר, דלא דייקי, ש"ך (סקל"א).</w:t>
      </w:r>
    </w:p>
  </w:footnote>
  <w:footnote w:id="3691">
    <w:p w14:paraId="0E5DED66" w14:textId="77777777" w:rsidR="0013116F" w:rsidRDefault="0013116F" w:rsidP="001D49D4">
      <w:pPr>
        <w:pStyle w:val="a9"/>
        <w:rPr>
          <w:rtl/>
        </w:rPr>
      </w:pPr>
      <w:r>
        <w:rPr>
          <w:rStyle w:val="ab"/>
        </w:rPr>
        <w:footnoteRef/>
      </w:r>
      <w:r>
        <w:rPr>
          <w:rtl/>
        </w:rPr>
        <w:t xml:space="preserve"> </w:t>
      </w:r>
      <w:r>
        <w:rPr>
          <w:rFonts w:hint="cs"/>
          <w:rtl/>
        </w:rPr>
        <w:t xml:space="preserve">פירוש – </w:t>
      </w:r>
      <w:r>
        <w:rPr>
          <w:rtl/>
        </w:rPr>
        <w:t>'צריכים העדים ליזהר כשיש דיו על הקלף, ומוחקין אותו לכתוב עליו השטר - שימחקו כולו לפניהם בו ביום ולא שימחקו היום חציו ומחר חציו, דאינו דומה נמחק בן יום אחד לנמחק בן שני ימים'</w:t>
      </w:r>
      <w:r>
        <w:rPr>
          <w:sz w:val="16"/>
          <w:szCs w:val="16"/>
          <w:rtl/>
        </w:rPr>
        <w:t xml:space="preserve"> (ל' הב"י, והרמ"א פסק כאן את דבריו)</w:t>
      </w:r>
      <w:r>
        <w:rPr>
          <w:rtl/>
        </w:rPr>
        <w:t>.</w:t>
      </w:r>
    </w:p>
  </w:footnote>
  <w:footnote w:id="3692">
    <w:p w14:paraId="4469245E" w14:textId="77777777" w:rsidR="0013116F" w:rsidRDefault="0013116F" w:rsidP="001D49D4">
      <w:pPr>
        <w:pStyle w:val="a9"/>
      </w:pPr>
      <w:r>
        <w:rPr>
          <w:rStyle w:val="ab"/>
        </w:rPr>
        <w:footnoteRef/>
      </w:r>
      <w:r>
        <w:rPr>
          <w:rtl/>
        </w:rPr>
        <w:t xml:space="preserve"> כ"כ התוס' פרק גט פשוט </w:t>
      </w:r>
      <w:r>
        <w:rPr>
          <w:sz w:val="16"/>
          <w:szCs w:val="16"/>
          <w:rtl/>
        </w:rPr>
        <w:t xml:space="preserve">(קסג: - קסד. ד"ה גופא) </w:t>
      </w:r>
      <w:r>
        <w:rPr>
          <w:rtl/>
        </w:rPr>
        <w:t xml:space="preserve">לשיטת רב"י, וכ"כ בהג"א שם </w:t>
      </w:r>
      <w:r>
        <w:rPr>
          <w:sz w:val="16"/>
          <w:szCs w:val="16"/>
          <w:rtl/>
        </w:rPr>
        <w:t xml:space="preserve">[סי' ד] </w:t>
      </w:r>
      <w:r>
        <w:rPr>
          <w:rtl/>
        </w:rPr>
        <w:t xml:space="preserve">בשם פיר"י, אבל בשם ריב"ם כתבו התוס' שם דאפילו יש ריוח כשר, כשאינו ניכר שנמחק שתי פעמים, דאף קודם שנכתב עליו ניכר ההפרש בין נמחק פעם אחת לנמחק שתי פעמים. וכ"כ בהג"א שם לשון אחר, דכשר אפילו יש הפרש בין עד לעד, וכ"כ הריב"ש סימן מ"ט בשם הרמ"ה </w:t>
      </w:r>
      <w:r>
        <w:rPr>
          <w:sz w:val="16"/>
          <w:szCs w:val="16"/>
          <w:rtl/>
        </w:rPr>
        <w:t>(וז"ל- ומלשון הרמ"ה ז"ל בההיא סוגיא נראה שאין חלק פוסל בין עד לעד, שהוא ז"ל כתב ששטר הבא הוא ועדיו על המחק שהוא כשר, שצריך לדקדק בו שחלק שיש בין עד לעד לא יהיה נמחק שתי פעמים, כיון שהשטר ועדיו על המחק פעם אחת, שאל"כ יש לחוש שמא שטר זה היה על הנייר ועדיו על המחק והיה כתוב בין עד לעד אנחנא סהדי חתימנא אמחקא כו', וזה מחק השטר וכתב כרצונו על המחק, ומחק הכתב שבין עד לעד והרי הוא נמחק שתי פעמים, אבל כשהחלק שבין עד לעד הוא דומה לכתב ולחתימות אין לחוש, עכ"ל)</w:t>
      </w:r>
      <w:r>
        <w:rPr>
          <w:rtl/>
        </w:rPr>
        <w:t>, ונראה שגם הריב"ש מסכים לזה, וכן משמע לכאורה פשטא לישנא דבש"ס [ב"ב קסד.] ואם תאמר חוזר ומוחק, אינו דומה נמחק פעם אחת לנמחק שתי פעמים כו'. משמע דהמחק גופיה אינו דומה אף קודם שנכתב עליו. ויש לתמוה על המחבר איך סתם כדברי הטור [סעיף כ"ז]. ולא הביא אף בב"י שום חולק עליו, שהרי גדולי הפוסקים חולקין, ונראה לכאורה עיקר כדבריהם וכמ"ש, ואולי הוא מפני ששטר הבא הוא ועדיו על המחק לא שכיחי, ש"ך (סקל"ב).</w:t>
      </w:r>
    </w:p>
  </w:footnote>
  <w:footnote w:id="3693">
    <w:p w14:paraId="10A4FA7A" w14:textId="77777777" w:rsidR="0013116F" w:rsidRDefault="0013116F" w:rsidP="001D49D4">
      <w:pPr>
        <w:pStyle w:val="a9"/>
        <w:rPr>
          <w:rtl/>
        </w:rPr>
      </w:pPr>
      <w:r>
        <w:rPr>
          <w:rStyle w:val="ab"/>
        </w:rPr>
        <w:footnoteRef/>
      </w:r>
      <w:r>
        <w:rPr>
          <w:rtl/>
        </w:rPr>
        <w:t xml:space="preserve"> ה"ה לא כתבו נמי, אם יש ריוח בין עד לעד תו ליכא למיחש לזיוף שימחוק להשטר דאז יהיה השטר פסול, דיאמרו שהיה כתוב בין עד לעד שהשטר על הנייר, אם לא שתאמר דאיירי דהעדים הם על המחק לבד ובין עד לעד אין הקלף מחוק. והיותר נראה דלכתחילה צריך לברר ולכתוב כן בפירוש, סמ"ע (סקמ"ה).</w:t>
      </w:r>
    </w:p>
  </w:footnote>
  <w:footnote w:id="3694">
    <w:p w14:paraId="2429C302" w14:textId="77777777" w:rsidR="0013116F" w:rsidRDefault="0013116F" w:rsidP="001D49D4">
      <w:pPr>
        <w:pStyle w:val="a9"/>
      </w:pPr>
      <w:r>
        <w:rPr>
          <w:rStyle w:val="ab"/>
        </w:rPr>
        <w:footnoteRef/>
      </w:r>
      <w:r>
        <w:rPr>
          <w:rtl/>
        </w:rPr>
        <w:t xml:space="preserve"> כלומר, אפילו כתבו כן על הנייר לפני חתימתן ובא שטר כזה לפנינו, דודאי השתא לא נעשה בשטר זה שום זיוף, אפ"ה פסול מטעם דסוף סוף ימחקנו כו', אבל אין לפרש אפילו כתבו העדים כן בין עד לעד, דא"כ בלאו הכי פסול, דשמא היה שטר זה כפשוטו כולו על הנייר וחתם עד הראשון ואחר כך מחק כל השטר, והעד השני כתב כן אחר עד הראשון, והעד הראשון אינו מסכים על זה, ונמצא שאין השטר נכשר רק על פי עד אחד ואינו כלום. ולא דמי לסעיף שלפני זה, דהתם מה שנכתב בין עד לעד הוא לתועלת הלוה שלא יזייף המלוה השטר, משא"כ הכא שהוא לתועלת המלוה, פשיטא שאינו כלום כיון שאין כאן אלא עד אחד, דאל"כ כל מלוה אחר שיחתום עד אחד יזייף בשטר מה שירצה ויקיימנו בין עד לעד ויעשה קנוניא עם העד השני. אלא ודאי כמו שביארתי, ובזה דחיתי לעיל סוף סימן מ"ד ראיות הרשב"א ע"ש, ש"ך (סקל"ד). </w:t>
      </w:r>
    </w:p>
  </w:footnote>
  <w:footnote w:id="3695">
    <w:p w14:paraId="712AEF67" w14:textId="77777777" w:rsidR="0013116F" w:rsidRDefault="0013116F" w:rsidP="001D49D4">
      <w:pPr>
        <w:pStyle w:val="a9"/>
        <w:rPr>
          <w:rtl/>
        </w:rPr>
      </w:pPr>
      <w:r>
        <w:rPr>
          <w:rStyle w:val="ab"/>
        </w:rPr>
        <w:footnoteRef/>
      </w:r>
      <w:r>
        <w:rPr>
          <w:rtl/>
        </w:rPr>
        <w:t xml:space="preserve"> לפ"ז אפילו אם יכתבו בין עד לעד דמקום השטר נמחק פעם אחת לא מהני, סמ"ע (סקמ"ז).</w:t>
      </w:r>
    </w:p>
  </w:footnote>
  <w:footnote w:id="3696">
    <w:p w14:paraId="172F2DCB" w14:textId="77777777" w:rsidR="0013116F" w:rsidRDefault="0013116F" w:rsidP="001D49D4">
      <w:pPr>
        <w:pStyle w:val="a9"/>
        <w:rPr>
          <w:rtl/>
        </w:rPr>
      </w:pPr>
      <w:r>
        <w:rPr>
          <w:rStyle w:val="ab"/>
        </w:rPr>
        <w:footnoteRef/>
      </w:r>
      <w:r>
        <w:rPr>
          <w:rtl/>
        </w:rPr>
        <w:t xml:space="preserve"> ועיין בתשובות הרשב"א ולהרמב"ן שכתבתי בסימן מ"ד (מחודש ו - ז, יא), ב"י.</w:t>
      </w:r>
    </w:p>
  </w:footnote>
  <w:footnote w:id="3697">
    <w:p w14:paraId="07FC8377" w14:textId="77777777" w:rsidR="0013116F" w:rsidRDefault="0013116F" w:rsidP="001D49D4">
      <w:pPr>
        <w:pStyle w:val="a9"/>
      </w:pPr>
      <w:r>
        <w:rPr>
          <w:rStyle w:val="ab"/>
        </w:rPr>
        <w:footnoteRef/>
      </w:r>
      <w:r>
        <w:rPr>
          <w:rtl/>
        </w:rPr>
        <w:t xml:space="preserve"> </w:t>
      </w:r>
      <w:r>
        <w:rPr>
          <w:rFonts w:hint="cs"/>
          <w:rtl/>
        </w:rPr>
        <w:t>סימן – יהודי טוב. וכן – יודה בטופס.</w:t>
      </w:r>
    </w:p>
  </w:footnote>
  <w:footnote w:id="3698">
    <w:p w14:paraId="7D4C20FA" w14:textId="77777777" w:rsidR="0013116F" w:rsidRDefault="0013116F" w:rsidP="001D49D4">
      <w:pPr>
        <w:pStyle w:val="a9"/>
      </w:pPr>
      <w:r>
        <w:rPr>
          <w:rStyle w:val="ab"/>
        </w:rPr>
        <w:footnoteRef/>
      </w:r>
      <w:r>
        <w:rPr>
          <w:rtl/>
        </w:rPr>
        <w:t xml:space="preserve"> כלומר שאם הלוה מודה ששטר זה על פיו נכתב ונחתם שוב אינו נאמן לומר פרעתיו ואין המלוה צריך להביא עדים לקיימו, ב"י.</w:t>
      </w:r>
    </w:p>
  </w:footnote>
  <w:footnote w:id="3699">
    <w:p w14:paraId="6C9A123A" w14:textId="77777777" w:rsidR="0013116F" w:rsidRDefault="0013116F" w:rsidP="001D49D4">
      <w:pPr>
        <w:pStyle w:val="a9"/>
        <w:rPr>
          <w:rtl/>
        </w:rPr>
      </w:pPr>
      <w:r>
        <w:rPr>
          <w:rStyle w:val="ab"/>
        </w:rPr>
        <w:footnoteRef/>
      </w:r>
      <w:r>
        <w:rPr>
          <w:rtl/>
        </w:rPr>
        <w:t xml:space="preserve"> כלומר אני אומר למלוים שיקיימו שטרותיהם, שאע"פ שהלוים מודים שעל פיהם נכתב ונחתם יכולין לומר פרענו כל עוד שאין השטר מקוים אלא מפי הלוה, דהפה שאסר הוא הפה שהתיר (שם יח:), ב"י.</w:t>
      </w:r>
    </w:p>
  </w:footnote>
  <w:footnote w:id="3700">
    <w:p w14:paraId="6DBA1B33" w14:textId="77777777" w:rsidR="0013116F" w:rsidRDefault="0013116F" w:rsidP="001D49D4">
      <w:pPr>
        <w:pStyle w:val="a9"/>
      </w:pPr>
      <w:r>
        <w:rPr>
          <w:rStyle w:val="ab"/>
        </w:rPr>
        <w:footnoteRef/>
      </w:r>
      <w:r>
        <w:rPr>
          <w:rtl/>
        </w:rPr>
        <w:t xml:space="preserve"> </w:t>
      </w:r>
      <w:r>
        <w:rPr>
          <w:rFonts w:hint="cs"/>
          <w:rtl/>
        </w:rPr>
        <w:t>וז"ל-</w:t>
      </w:r>
      <w:r>
        <w:rPr>
          <w:rtl/>
        </w:rPr>
        <w:t xml:space="preserve"> תקנת חכמים לקיים השטר, שכל זמן שלא נתקיים, לא מיבעיא אם הלוה אומר שהוא מזוייף ומעולם לא צוה לכותבו שהוא נאמן, אלא אפילו אם מודה שכתבו אלא שאומר שהוא שטר אמנה או פרוע נאמן במגו שהיה יכול לומר מזוייף הוא.</w:t>
      </w:r>
    </w:p>
  </w:footnote>
  <w:footnote w:id="3701">
    <w:p w14:paraId="17B27588" w14:textId="77777777" w:rsidR="0013116F" w:rsidRDefault="0013116F" w:rsidP="001D49D4">
      <w:pPr>
        <w:pStyle w:val="a9"/>
      </w:pPr>
      <w:r>
        <w:rPr>
          <w:rStyle w:val="ab"/>
        </w:rPr>
        <w:footnoteRef/>
      </w:r>
      <w:r>
        <w:rPr>
          <w:rtl/>
        </w:rPr>
        <w:t xml:space="preserve"> פירוש שטר אמנה הוא שלא לוה כלום אלא כתבו ומסרו למלוה שאם יצטרך ללות ילוה והאמינו שלא יתבענו אא"כ הלוהו, ב"י.</w:t>
      </w:r>
    </w:p>
  </w:footnote>
  <w:footnote w:id="3702">
    <w:p w14:paraId="34539B94" w14:textId="77777777" w:rsidR="0013116F" w:rsidRDefault="0013116F" w:rsidP="001D49D4">
      <w:pPr>
        <w:pStyle w:val="a9"/>
        <w:rPr>
          <w:rtl/>
        </w:rPr>
      </w:pPr>
      <w:r>
        <w:rPr>
          <w:rStyle w:val="ab"/>
        </w:rPr>
        <w:footnoteRef/>
      </w:r>
      <w:r>
        <w:rPr>
          <w:rtl/>
        </w:rPr>
        <w:t xml:space="preserve"> בטור </w:t>
      </w:r>
      <w:r>
        <w:rPr>
          <w:sz w:val="16"/>
          <w:szCs w:val="16"/>
          <w:rtl/>
        </w:rPr>
        <w:t xml:space="preserve">[סע' א] </w:t>
      </w:r>
      <w:r>
        <w:rPr>
          <w:rtl/>
        </w:rPr>
        <w:t xml:space="preserve">לא כתב כאן אלא שטר אמנה הוא, אבל לקמן בר"ס פ"ב כתב רבינו שטר אמנה היה או כתבתיהו ללוות ולא לויתי, וכדברי המחבר שבכאן. ושם פירש הב"י דשטר אמנה הוא שאומר לא נתתיו בידו כדי ללוות בו, אלא הכנתי אותו שאם אצטרך ללוות ילוה לי בו, והאמנתיו שלא יתבעני בו כל זמן שלא אלוה. וכתבתי ללוות כו', כלומר לא מסרתיהו לידו אלא ממני נפל ומצאו זה, עכ"ל. ועי' בטור ובדברי המחבר בסי' זה </w:t>
      </w:r>
      <w:r>
        <w:rPr>
          <w:sz w:val="16"/>
          <w:szCs w:val="16"/>
          <w:rtl/>
        </w:rPr>
        <w:t>[טור סע' לד ומחבר]</w:t>
      </w:r>
      <w:r>
        <w:rPr>
          <w:rtl/>
        </w:rPr>
        <w:t xml:space="preserve"> סע' לז, דאין העדים נאמנים לומר שטר אמנה הוא, משום דעולה היא ואין אדם משים עצמו רשע, ולא כתב כן אאם אמרו כתב ללוות בו ולא לוה, והיינו טעמא דבזה אינן משוין עצמם רשעים, דיכולין לומר בהיתר חתמנו דדעתו היתה ללוות מיד, וגם כותבין שטר ללוה אע"פ שאין מלוה עמו כשדעתו ללוות מיד, אלא שאח"כ באה איזה סיבה שלא הלוה לו </w:t>
      </w:r>
      <w:r>
        <w:rPr>
          <w:sz w:val="16"/>
          <w:szCs w:val="16"/>
          <w:rtl/>
        </w:rPr>
        <w:t>[ועי' מש"כ סי' מג סקי"ב]</w:t>
      </w:r>
      <w:r>
        <w:rPr>
          <w:rtl/>
        </w:rPr>
        <w:t>, משא"כ באמרם שמשעה הראשונה כתבו בשביל אמנה, סמ"ע</w:t>
      </w:r>
      <w:r>
        <w:rPr>
          <w:sz w:val="16"/>
          <w:szCs w:val="16"/>
          <w:rtl/>
        </w:rPr>
        <w:t xml:space="preserve"> (סק"א)</w:t>
      </w:r>
      <w:r>
        <w:rPr>
          <w:rtl/>
        </w:rPr>
        <w:t>.</w:t>
      </w:r>
    </w:p>
  </w:footnote>
  <w:footnote w:id="3703">
    <w:p w14:paraId="068446F3" w14:textId="77777777" w:rsidR="0013116F" w:rsidRDefault="0013116F" w:rsidP="001D49D4">
      <w:pPr>
        <w:pStyle w:val="a9"/>
        <w:rPr>
          <w:rtl/>
        </w:rPr>
      </w:pPr>
      <w:r>
        <w:rPr>
          <w:rStyle w:val="ab"/>
        </w:rPr>
        <w:footnoteRef/>
      </w:r>
      <w:r>
        <w:rPr>
          <w:rtl/>
        </w:rPr>
        <w:t xml:space="preserve"> כלומר שאם יש בו נאמנות אין הלוה יכול לומר אמנה הוא או פרוע הוא שהרי האמין את המלוה עליו, ואע"ג דאיכא מגו כיון דבטענה שטוען אינו נאמן הוה ליה כאילו יש עדים שמעידים כדברי המלוה, ומגו במקום עדים לא אמרינן (ב"מ פא:), ב"י.</w:t>
      </w:r>
    </w:p>
  </w:footnote>
  <w:footnote w:id="3704">
    <w:p w14:paraId="1BA28503" w14:textId="77777777" w:rsidR="0013116F" w:rsidRDefault="0013116F" w:rsidP="001D49D4">
      <w:pPr>
        <w:pStyle w:val="a9"/>
        <w:rPr>
          <w:rtl/>
        </w:rPr>
      </w:pPr>
      <w:r>
        <w:rPr>
          <w:rStyle w:val="ab"/>
        </w:rPr>
        <w:footnoteRef/>
      </w:r>
      <w:r>
        <w:rPr>
          <w:rtl/>
        </w:rPr>
        <w:t xml:space="preserve"> דכיון דהוה מצי למיטען מזוייף הוא והיה נאמן השתא נמי מהימן דלאו מגו במקום עדים הוא דלא אלים נאמנות כעדים, ב"י.</w:t>
      </w:r>
    </w:p>
  </w:footnote>
  <w:footnote w:id="3705">
    <w:p w14:paraId="44D5886D" w14:textId="77777777" w:rsidR="0013116F" w:rsidRDefault="0013116F" w:rsidP="001D49D4">
      <w:pPr>
        <w:pStyle w:val="a9"/>
        <w:rPr>
          <w:rtl/>
        </w:rPr>
      </w:pPr>
      <w:r>
        <w:rPr>
          <w:rStyle w:val="ab"/>
        </w:rPr>
        <w:footnoteRef/>
      </w:r>
      <w:r>
        <w:rPr>
          <w:rtl/>
        </w:rPr>
        <w:t xml:space="preserve"> הטעם הוא, משום דכל שהאמינו הו"ל כאילו יש עדים שלא פרעו כל זמן שהניח שטר בנאמנות בידו, וא"כ הו"ל כמיגו במקום עדים. והבעל התרומות ס"ל דלא אלים הנאמנות כעדים, דלפעמים מניחו בידו באיזה סיבה אע"פ שפרעו ולא הו"ל מיגו במקום עדים, בפרט בזה שאינו מקוים, שיכול לומר הנחתיו בידו על דעת שאם יתבעני אימא מזויף הוא, סמ"ע (סק"ב).</w:t>
      </w:r>
    </w:p>
  </w:footnote>
  <w:footnote w:id="3706">
    <w:p w14:paraId="4EDF8A40" w14:textId="77777777" w:rsidR="0013116F" w:rsidRDefault="0013116F" w:rsidP="001D49D4">
      <w:pPr>
        <w:pStyle w:val="a9"/>
      </w:pPr>
      <w:r>
        <w:rPr>
          <w:rStyle w:val="ab"/>
        </w:rPr>
        <w:footnoteRef/>
      </w:r>
      <w:r>
        <w:rPr>
          <w:rtl/>
        </w:rPr>
        <w:t xml:space="preserve"> </w:t>
      </w:r>
      <w:r>
        <w:rPr>
          <w:rFonts w:hint="cs"/>
          <w:rtl/>
        </w:rPr>
        <w:t>סימן – כעת ב'. וכן – כמעט ברח. וכן איתא בב"ב (קסה:) בשם רבי ירמיה.</w:t>
      </w:r>
    </w:p>
  </w:footnote>
  <w:footnote w:id="3707">
    <w:p w14:paraId="70C78C1E" w14:textId="77777777" w:rsidR="0013116F" w:rsidRDefault="0013116F" w:rsidP="001D49D4">
      <w:pPr>
        <w:pStyle w:val="a9"/>
      </w:pPr>
      <w:r>
        <w:rPr>
          <w:rStyle w:val="ab"/>
        </w:rPr>
        <w:footnoteRef/>
      </w:r>
      <w:r>
        <w:rPr>
          <w:rtl/>
        </w:rPr>
        <w:t xml:space="preserve"> מ"ש וחותמין למטה הוא לאפוקי שלא יחתמו למעלה או מן הצד כמו שנתבאר לגבי עדים בסימן שלפני זה (ס"א), ב"י.</w:t>
      </w:r>
    </w:p>
  </w:footnote>
  <w:footnote w:id="3708">
    <w:p w14:paraId="3257570E" w14:textId="77777777" w:rsidR="0013116F" w:rsidRDefault="0013116F" w:rsidP="001D49D4">
      <w:pPr>
        <w:pStyle w:val="a9"/>
      </w:pPr>
      <w:r>
        <w:rPr>
          <w:rStyle w:val="ab"/>
        </w:rPr>
        <w:footnoteRef/>
      </w:r>
      <w:r>
        <w:rPr>
          <w:rtl/>
        </w:rPr>
        <w:t xml:space="preserve"> או שאר עדים, או ע"י דימוי ושאר דרכי הקיום וכדלקמן סעיף ז', ש"ך (סק"ב).</w:t>
      </w:r>
    </w:p>
  </w:footnote>
  <w:footnote w:id="3709">
    <w:p w14:paraId="5BB38D2D" w14:textId="77777777" w:rsidR="0013116F" w:rsidRDefault="0013116F" w:rsidP="001D49D4">
      <w:pPr>
        <w:pStyle w:val="a9"/>
      </w:pPr>
      <w:r>
        <w:rPr>
          <w:rStyle w:val="ab"/>
        </w:rPr>
        <w:footnoteRef/>
      </w:r>
      <w:r>
        <w:rPr>
          <w:rtl/>
        </w:rPr>
        <w:t xml:space="preserve"> היינו לכתחילה יש לכתוב הדרך שנתקיים בו, אבל בדיעבד אם לא כתבו רק נתקיים שטר זה דיו, כדלקמן סע' ח' וסע' כ"ט בהג"ה, ש"ך (סק"ג).</w:t>
      </w:r>
    </w:p>
  </w:footnote>
  <w:footnote w:id="3710">
    <w:p w14:paraId="123BD011" w14:textId="77777777" w:rsidR="0013116F" w:rsidRDefault="0013116F" w:rsidP="001D49D4">
      <w:pPr>
        <w:pStyle w:val="a9"/>
      </w:pPr>
      <w:r>
        <w:rPr>
          <w:rStyle w:val="ab"/>
        </w:rPr>
        <w:footnoteRef/>
      </w:r>
      <w:r>
        <w:rPr>
          <w:rtl/>
        </w:rPr>
        <w:t xml:space="preserve"> פירוש, תחת כתיבה זו שכתבו במותב תלתא הוינא כו', וכאילו אמר וחותמין זה. ולקמן בסעיף ל"א יתבאר דאם אי אפשר לכתוב הקיום תחת השטר יכתבו הקיום על גבי השטר באחורי הדף. ועיין לקמן בסמוך </w:t>
      </w:r>
      <w:r>
        <w:rPr>
          <w:sz w:val="16"/>
          <w:szCs w:val="16"/>
          <w:rtl/>
        </w:rPr>
        <w:t>(סע' קטן ס')</w:t>
      </w:r>
      <w:r>
        <w:rPr>
          <w:rtl/>
        </w:rPr>
        <w:t xml:space="preserve"> נוסחא אחרת היאך כותבין הקיום לדעת הטור [סעיף כ"א] כשקיבלו העדות כל אחד בפני עצמו, סמ"ע (סק"ה).</w:t>
      </w:r>
    </w:p>
  </w:footnote>
  <w:footnote w:id="3711">
    <w:p w14:paraId="1BA9D20D" w14:textId="77777777" w:rsidR="0013116F" w:rsidRDefault="0013116F" w:rsidP="001D49D4">
      <w:pPr>
        <w:pStyle w:val="a9"/>
      </w:pPr>
      <w:r>
        <w:rPr>
          <w:rStyle w:val="ab"/>
        </w:rPr>
        <w:footnoteRef/>
      </w:r>
      <w:r>
        <w:rPr>
          <w:rtl/>
        </w:rPr>
        <w:t xml:space="preserve"> </w:t>
      </w:r>
      <w:r>
        <w:rPr>
          <w:rFonts w:hint="cs"/>
          <w:rtl/>
        </w:rPr>
        <w:t>סימן – דין לילה</w:t>
      </w:r>
      <w:r>
        <w:rPr>
          <w:sz w:val="16"/>
          <w:szCs w:val="16"/>
          <w:rtl/>
        </w:rPr>
        <w:t xml:space="preserve"> (הסימן לדף לד: שבו עיקר ענייננו)</w:t>
      </w:r>
      <w:r>
        <w:rPr>
          <w:rtl/>
        </w:rPr>
        <w:t>.</w:t>
      </w:r>
    </w:p>
  </w:footnote>
  <w:footnote w:id="3712">
    <w:p w14:paraId="5CEC0733" w14:textId="77777777" w:rsidR="0013116F" w:rsidRDefault="0013116F" w:rsidP="001D49D4">
      <w:pPr>
        <w:pStyle w:val="a9"/>
      </w:pPr>
      <w:r>
        <w:rPr>
          <w:rStyle w:val="ab"/>
        </w:rPr>
        <w:footnoteRef/>
      </w:r>
      <w:r>
        <w:rPr>
          <w:rtl/>
        </w:rPr>
        <w:t xml:space="preserve"> משפט נחלות, דהיינו דיני ממונות ביום, רש"י.</w:t>
      </w:r>
    </w:p>
  </w:footnote>
  <w:footnote w:id="3713">
    <w:p w14:paraId="65DD1E7F" w14:textId="77777777" w:rsidR="0013116F" w:rsidRDefault="0013116F" w:rsidP="001D49D4">
      <w:pPr>
        <w:pStyle w:val="a9"/>
        <w:rPr>
          <w:rtl/>
        </w:rPr>
      </w:pPr>
      <w:r>
        <w:rPr>
          <w:rStyle w:val="ab"/>
        </w:rPr>
        <w:footnoteRef/>
      </w:r>
      <w:r>
        <w:rPr>
          <w:rtl/>
        </w:rPr>
        <w:t xml:space="preserve"> דכתיב ושפטו, ועיקר משפט היינו גמר דין, רש"י. אך התוס' (ד"ה יום לתחלת) כתבו דתחילת דין עיקר.</w:t>
      </w:r>
    </w:p>
  </w:footnote>
  <w:footnote w:id="3714">
    <w:p w14:paraId="6EE7C859" w14:textId="77777777" w:rsidR="0013116F" w:rsidRDefault="0013116F" w:rsidP="001D49D4">
      <w:pPr>
        <w:pStyle w:val="a9"/>
        <w:rPr>
          <w:rtl/>
        </w:rPr>
      </w:pPr>
      <w:r>
        <w:rPr>
          <w:rStyle w:val="ab"/>
        </w:rPr>
        <w:footnoteRef/>
      </w:r>
      <w:r>
        <w:rPr>
          <w:rtl/>
        </w:rPr>
        <w:t xml:space="preserve"> </w:t>
      </w:r>
      <w:r>
        <w:rPr>
          <w:rFonts w:hint="cs"/>
          <w:rtl/>
        </w:rPr>
        <w:t>סימן – כעת ב'. וכן – כמעט ברח. וכן איתא בב"ב (קסה:) בשם רבי ירמיה.</w:t>
      </w:r>
    </w:p>
  </w:footnote>
  <w:footnote w:id="3715">
    <w:p w14:paraId="4CFDF2D8" w14:textId="77777777" w:rsidR="0013116F" w:rsidRDefault="0013116F" w:rsidP="001D49D4">
      <w:pPr>
        <w:pStyle w:val="a9"/>
      </w:pPr>
      <w:r>
        <w:rPr>
          <w:rStyle w:val="ab"/>
        </w:rPr>
        <w:footnoteRef/>
      </w:r>
      <w:r>
        <w:rPr>
          <w:rtl/>
        </w:rPr>
        <w:t xml:space="preserve"> </w:t>
      </w:r>
      <w:r>
        <w:rPr>
          <w:rFonts w:hint="cs"/>
          <w:rtl/>
        </w:rPr>
        <w:t>וכ"כ המרדכי (פרק השולח גיטין סי' שסח) דאם קיימו בשנים לאו קיום הוא, וכן הוא בהגמ"ר (קדושין סי' תקע), דרכ"מ (אות א).</w:t>
      </w:r>
    </w:p>
  </w:footnote>
  <w:footnote w:id="3716">
    <w:p w14:paraId="455A33B1" w14:textId="77777777" w:rsidR="0013116F" w:rsidRDefault="0013116F" w:rsidP="001D49D4">
      <w:pPr>
        <w:pStyle w:val="a9"/>
        <w:rPr>
          <w:rtl/>
        </w:rPr>
      </w:pPr>
      <w:r>
        <w:rPr>
          <w:rStyle w:val="ab"/>
        </w:rPr>
        <w:footnoteRef/>
      </w:r>
      <w:r>
        <w:rPr>
          <w:rtl/>
        </w:rPr>
        <w:t xml:space="preserve"> ואנו לא ראינו ולא שמענו מי שנהג כן, ב"י. אמנם הדרכ"מ (אות ב) כתב דכן המנהג פשוט במדינותיהם. וכתב שנראה לו למצוא קצת טעם, דדיינין ליה כיחיד מומחה לדבר זה והוי כמו שלשה הדיוטות ומקרי בית דין כמו שנתבאר לעיל סימן כ"ה (ס"א-ג), ואע"ג דבתשובת מהרא"י דלעיל משמע דיחיד מומחה לא מהני מדינא והביא ראיה מרב אשי (כתובות כב.) שהיה מקיים בשלשה וכו' אין נראה לי ראיה משם כל כך דאפשר שלא היה רוצה לעשות ביחידי אבל אם היה עושה אפשר דמהני.</w:t>
      </w:r>
    </w:p>
  </w:footnote>
  <w:footnote w:id="3717">
    <w:p w14:paraId="307DE45E" w14:textId="77777777" w:rsidR="0013116F" w:rsidRDefault="0013116F" w:rsidP="001D49D4">
      <w:pPr>
        <w:pStyle w:val="a9"/>
        <w:rPr>
          <w:rtl/>
        </w:rPr>
      </w:pPr>
      <w:r>
        <w:rPr>
          <w:rStyle w:val="ab"/>
        </w:rPr>
        <w:footnoteRef/>
      </w:r>
      <w:r>
        <w:rPr>
          <w:rtl/>
        </w:rPr>
        <w:t xml:space="preserve"> עיין לעיל סי' ה' סק"ז דכתבתי דבזמן שבאו שני הבעלי דינין לפני הדיין בלילה וביקשו לדון אותן, דנין אותן, משום דהו"ל כקיבלו עליהן קרוב או פסול. אבל בקיום דבא המלוה לחוד לקיימו אין שייך זה. ואע"פ שלא בעינן דעת הלוה ומקיימין ביום בעל כרחו, וכמו שכתבו הטור [סע' ח] והמחבר [סע' ה] בסימן זה, מ"מ בלילה שלא מדעתיה אסור, סמ"ע </w:t>
      </w:r>
      <w:r>
        <w:rPr>
          <w:sz w:val="16"/>
          <w:szCs w:val="16"/>
          <w:rtl/>
        </w:rPr>
        <w:t>(סק"ו)</w:t>
      </w:r>
      <w:r>
        <w:rPr>
          <w:rtl/>
        </w:rPr>
        <w:t>. והביא הש"ך</w:t>
      </w:r>
      <w:r>
        <w:rPr>
          <w:sz w:val="16"/>
          <w:szCs w:val="16"/>
          <w:rtl/>
        </w:rPr>
        <w:t xml:space="preserve"> (סק"ד)</w:t>
      </w:r>
      <w:r>
        <w:rPr>
          <w:rtl/>
        </w:rPr>
        <w:t xml:space="preserve"> דבריו.</w:t>
      </w:r>
    </w:p>
  </w:footnote>
  <w:footnote w:id="3718">
    <w:p w14:paraId="68AEC688" w14:textId="77777777" w:rsidR="0013116F" w:rsidRDefault="0013116F" w:rsidP="001D49D4">
      <w:pPr>
        <w:pStyle w:val="a9"/>
      </w:pPr>
      <w:r>
        <w:rPr>
          <w:rStyle w:val="ab"/>
        </w:rPr>
        <w:footnoteRef/>
      </w:r>
      <w:r>
        <w:rPr>
          <w:rtl/>
        </w:rPr>
        <w:t xml:space="preserve"> אפילו בדיעבד כדלקמן סעיף כ"ט. וכתב בסמ"ע (סק"ז) דהיינו דוקא כשאין הן עצמן מכירים חתימות עדי השטר אלא שעדי החתימה מודים לפניהם שהיא חתימתן, אבל כשהן עצמם מכירים החתימות ה"ל כאילו מעידים על מנה שבשטר, עכ"ל. ולא נהירא לי, דאף כשמכירים החתימות הלא לא היו אצל ההלואה, אלא על חתימת ידן הן מעידים ולא על מנה שבשטר והילכך צריך שלשה, דאל"כ ה"ל כעד מפי עד אע"פ שמכירים החתימות </w:t>
      </w:r>
      <w:r>
        <w:rPr>
          <w:sz w:val="16"/>
          <w:szCs w:val="16"/>
          <w:rtl/>
        </w:rPr>
        <w:t>(והכי מוכח בש"ס פ"ב דכתובות [כא:] גבי הא דאמרינן שלשה שישבו לקיים השטר שנים מהם מכירים חתימת ידי העדים ואחד אינו מכיר, ונתבאר בטור ומחבר לקמן [טור סעיף כ' ומחבר] סעיף כ"ד ע"ש)</w:t>
      </w:r>
      <w:r>
        <w:rPr>
          <w:rtl/>
        </w:rPr>
        <w:t xml:space="preserve">... והיכא דנכתב בקיום שהעידו העדים לפניהם, או אחרים העידו לפניהם על חתימות ידם, לא הוי אפילו העדאת עדות, דהו"ל עד מפי עד כיון דלא העידו כן לפני ב"ד של שלשה. וכן הוא בהגמ"ר (סוף קדושין סי' תקע]) תשובת ה"ר חיים, ש"ך (סק"ו-ז). עוד כתב הסמ"ע (שם) דאם השטר הוא חתימת יד הלוה והלוה מודה לפני שני עדים שהיא חתימת ידו, נראה דמהני קיומם. עכ"ל. וכתב עוד הש"ך (סק"ז) דהא דלא הוי קיום היינו קיום בית דין, מיהו העדאת עדות הוי להריב"ש (סי' שפב וסי' תיג) והר"ב (לקמן סע' ז בהג"ה) דיכולים להעיד עדות זה מתוך כתבם, ונפקא מיניה טובא בין קיום לעדות כמו שכתבתי לקמן סעיף כ"ט סק"ע. </w:t>
      </w:r>
    </w:p>
  </w:footnote>
  <w:footnote w:id="3719">
    <w:p w14:paraId="14034E30" w14:textId="77777777" w:rsidR="0013116F" w:rsidRDefault="0013116F" w:rsidP="001D49D4">
      <w:pPr>
        <w:pStyle w:val="a9"/>
      </w:pPr>
      <w:r>
        <w:rPr>
          <w:rStyle w:val="ab"/>
        </w:rPr>
        <w:footnoteRef/>
      </w:r>
      <w:r>
        <w:rPr>
          <w:rtl/>
        </w:rPr>
        <w:t xml:space="preserve"> גם הב"ח </w:t>
      </w:r>
      <w:r>
        <w:rPr>
          <w:sz w:val="16"/>
          <w:szCs w:val="16"/>
          <w:rtl/>
        </w:rPr>
        <w:t xml:space="preserve">[סע' ד] </w:t>
      </w:r>
      <w:r>
        <w:rPr>
          <w:rtl/>
        </w:rPr>
        <w:t xml:space="preserve">ושאר אחרונים נמשכו אחר הר"ב בטעם זה. ולפע"ד אין טעם זה נכון, דלא דמי קיום לדין וכמו שכתבתי לעיל סי' ג' סק"ח, דדוקא לענין דין הוי יחיד מומחה כשלשה, אבל לא לענין הודאה וקיום. א"כ גבי קיום הוי כעד מפי עד ובעי שלשה דהוא ב"ד, וכמו שכתבו התוס' </w:t>
      </w:r>
      <w:r>
        <w:rPr>
          <w:sz w:val="16"/>
          <w:szCs w:val="16"/>
          <w:rtl/>
        </w:rPr>
        <w:t xml:space="preserve">[כתובות כא: ד"ה וש"מ] </w:t>
      </w:r>
      <w:r>
        <w:rPr>
          <w:rtl/>
        </w:rPr>
        <w:t xml:space="preserve">והרא"ש </w:t>
      </w:r>
      <w:r>
        <w:rPr>
          <w:sz w:val="16"/>
          <w:szCs w:val="16"/>
          <w:rtl/>
        </w:rPr>
        <w:t xml:space="preserve">[ב"ב פ"ג סי' ל-לא] </w:t>
      </w:r>
      <w:r>
        <w:rPr>
          <w:rtl/>
        </w:rPr>
        <w:t xml:space="preserve">ושאר פוסקים, ועיין לעיל סימן כ"ח סעיף כ' וכ"א. וכ"כ הריטב"א פ"ב דכתובות </w:t>
      </w:r>
      <w:r>
        <w:rPr>
          <w:sz w:val="16"/>
          <w:szCs w:val="16"/>
          <w:rtl/>
        </w:rPr>
        <w:t>[כא: ד"ה א"ר הונא]</w:t>
      </w:r>
      <w:r>
        <w:rPr>
          <w:rtl/>
        </w:rPr>
        <w:t xml:space="preserve">.... וגם מהרש"ל </w:t>
      </w:r>
      <w:r>
        <w:rPr>
          <w:sz w:val="16"/>
          <w:szCs w:val="16"/>
          <w:rtl/>
        </w:rPr>
        <w:t xml:space="preserve">(יש"ש ב"ק פרק הגוזל בתרא סי' יא) </w:t>
      </w:r>
      <w:r>
        <w:rPr>
          <w:rtl/>
        </w:rPr>
        <w:t xml:space="preserve">כתב- ואילו בא אחד לפני והיה מערער על הקיום הייתי פוסק הלכה למעשה שהוא כחספא בעלמא, וע"ש שהאריך. ונראה שבדברים כאלו הולכים אחר המנהג וכדלעיל סימן כ"ח סעיף כ"ג ואפילו הוא נגד הדין, וכ"כ בתרוה"ד שם </w:t>
      </w:r>
      <w:r>
        <w:rPr>
          <w:sz w:val="16"/>
          <w:szCs w:val="16"/>
          <w:rtl/>
        </w:rPr>
        <w:t xml:space="preserve">(סי' שלב) </w:t>
      </w:r>
      <w:r>
        <w:rPr>
          <w:rtl/>
        </w:rPr>
        <w:t xml:space="preserve">דמנהג כזה מבטל הלכה. וכ' הב"ח </w:t>
      </w:r>
      <w:r>
        <w:rPr>
          <w:sz w:val="16"/>
          <w:szCs w:val="16"/>
          <w:rtl/>
        </w:rPr>
        <w:t xml:space="preserve">[סע' ז] </w:t>
      </w:r>
      <w:r>
        <w:rPr>
          <w:rtl/>
        </w:rPr>
        <w:t>דלענין מנהגינו אין הרב יכול לקיים השטר בלילה. ואפשר דהיכא דנהוג לקיים בלילה, גם בזה אמרינן מנהג מבטל הלכה, ש"ך (סק"ח).</w:t>
      </w:r>
    </w:p>
  </w:footnote>
  <w:footnote w:id="3720">
    <w:p w14:paraId="5DDB47CD" w14:textId="77777777" w:rsidR="0013116F" w:rsidRDefault="0013116F" w:rsidP="001D49D4">
      <w:pPr>
        <w:pStyle w:val="a9"/>
      </w:pPr>
      <w:r>
        <w:rPr>
          <w:rStyle w:val="ab"/>
        </w:rPr>
        <w:footnoteRef/>
      </w:r>
      <w:r>
        <w:rPr>
          <w:rtl/>
        </w:rPr>
        <w:t xml:space="preserve"> וכן כתב מור"ם לעיל לענין לדון יחידי בסימן ג' סעיף ב', וביורה דעה ריש סימן רכ"ח [במחבר] לענין היתר נדרים ביחיד מומחה, ושם בסימן של"ד [סעיף מ"ז] ג"כ לענין לקנוס ליטרא דדהבא להמבייש הזקן שהוא מומחה, סמ"ע (סק"י).</w:t>
      </w:r>
    </w:p>
  </w:footnote>
  <w:footnote w:id="3721">
    <w:p w14:paraId="405E5E70" w14:textId="77777777" w:rsidR="0013116F" w:rsidRDefault="0013116F" w:rsidP="001D49D4">
      <w:pPr>
        <w:pStyle w:val="a9"/>
        <w:rPr>
          <w:rtl/>
        </w:rPr>
      </w:pPr>
      <w:r>
        <w:rPr>
          <w:rStyle w:val="ab"/>
        </w:rPr>
        <w:footnoteRef/>
      </w:r>
      <w:r>
        <w:rPr>
          <w:rtl/>
        </w:rPr>
        <w:t xml:space="preserve"> והנה אף שמור"ם נדחק ליתן טעם להמנהג, מ"מ הבו דלא להוסיף עלה כמו שנוהגין עתה שמקיימים השטרות הסופרים והחזנים, דודאי בכה"ג מצי בעל דין לערער, והיינו דוקא שאין יכול לקיים עדי השטר, אבל אם היא חתימת יד הלוה והלוה מודה לפניו שהיא חתימתו, מהני קיומו לענין שאם טוען לא היו דברים מעולם שצריך לישבע נגדו, וכמבואר לקמן סי' פ"א סע' י', ועיין ד"מ [סעיף ד'] ותמצא שם שגם על טעם דמור"ם יש לפקפק מההיא דרב אשי [כתובות כב.] ע"ש, סמ"ע (סק"ח).</w:t>
      </w:r>
    </w:p>
  </w:footnote>
  <w:footnote w:id="3722">
    <w:p w14:paraId="7F59B5CA" w14:textId="77777777" w:rsidR="0013116F" w:rsidRDefault="0013116F" w:rsidP="001D49D4">
      <w:pPr>
        <w:pStyle w:val="a9"/>
      </w:pPr>
      <w:r>
        <w:rPr>
          <w:rStyle w:val="ab"/>
        </w:rPr>
        <w:footnoteRef/>
      </w:r>
      <w:r>
        <w:rPr>
          <w:rtl/>
        </w:rPr>
        <w:t xml:space="preserve"> </w:t>
      </w:r>
      <w:r>
        <w:rPr>
          <w:rFonts w:hint="cs"/>
          <w:rtl/>
        </w:rPr>
        <w:t>סימן – קיום בלעדיו/בפניו.</w:t>
      </w:r>
    </w:p>
  </w:footnote>
  <w:footnote w:id="3723">
    <w:p w14:paraId="2FA0150C" w14:textId="77777777" w:rsidR="0013116F" w:rsidRDefault="0013116F" w:rsidP="001D49D4">
      <w:pPr>
        <w:pStyle w:val="a9"/>
      </w:pPr>
      <w:r>
        <w:rPr>
          <w:rStyle w:val="ab"/>
        </w:rPr>
        <w:footnoteRef/>
      </w:r>
      <w:r>
        <w:rPr>
          <w:rtl/>
        </w:rPr>
        <w:t xml:space="preserve"> בעל דין וצווח אל תקיימוהו מזויף הוא אין חוששין, רש"י.</w:t>
      </w:r>
    </w:p>
  </w:footnote>
  <w:footnote w:id="3724">
    <w:p w14:paraId="2B544135" w14:textId="77777777" w:rsidR="0013116F" w:rsidRDefault="0013116F" w:rsidP="001D49D4">
      <w:pPr>
        <w:pStyle w:val="a9"/>
        <w:rPr>
          <w:rtl/>
        </w:rPr>
      </w:pPr>
      <w:r>
        <w:rPr>
          <w:rStyle w:val="ab"/>
        </w:rPr>
        <w:footnoteRef/>
      </w:r>
      <w:r>
        <w:rPr>
          <w:rtl/>
        </w:rPr>
        <w:t xml:space="preserve"> וכתבו התוס' </w:t>
      </w:r>
      <w:r>
        <w:rPr>
          <w:sz w:val="16"/>
          <w:szCs w:val="16"/>
          <w:rtl/>
        </w:rPr>
        <w:t>(ד"ה מקיימין)</w:t>
      </w:r>
      <w:r>
        <w:rPr>
          <w:rtl/>
        </w:rPr>
        <w:t xml:space="preserve"> דאין נראה לר"י דא"כ אמאי נקט קיום שטר הא אפילו קבלת עדות אמרינן לעיל דבכה"ג מקבלין.</w:t>
      </w:r>
    </w:p>
  </w:footnote>
  <w:footnote w:id="3725">
    <w:p w14:paraId="5A564B8B" w14:textId="77777777" w:rsidR="0013116F" w:rsidRDefault="0013116F" w:rsidP="001D49D4">
      <w:pPr>
        <w:pStyle w:val="a9"/>
        <w:rPr>
          <w:rtl/>
        </w:rPr>
      </w:pPr>
      <w:r>
        <w:rPr>
          <w:rStyle w:val="ab"/>
        </w:rPr>
        <w:footnoteRef/>
      </w:r>
      <w:r>
        <w:rPr>
          <w:rtl/>
        </w:rPr>
        <w:t xml:space="preserve"> וכתב הב"י דמה שהקשו על רש"י י"ל דלענין קבלת עדות בעינן דשלחו לו ולא בא בהדי עדיו רוצים לילך למדינת הים, כדמפורש בדברי התוס' שם (ד"ה ושלחו), ובקיום שטרות בעדיו רוצים סגי אע"ג דלא שלחו לו. אבל התוספות לא פירשו כן בדברי רש"י משום דמאן פלג ליה לחלקו מקבלת עדות לחצאין, או נדמייה לגמרי או נחלקנו לגמרי, לפיכך פירשו דבריו דמדמי קיום לקבלת עדות וכתב כגון שהיו עדיו רוצים כלומר ועם התנאי הנזכר דהיינו שלחו לו, או שרש"י סובר דאפילו לענין קבלת עדות לא בעינן שלחו לו אלא בעדיו רוצים לחוד סגי ולכך הקשו עליו ופירשו דבכל ענין קאמר, וכ"כ הרא"ש (סי' ה), והם דברי רבינו. ואפשר דגם רש"י יודה לדברי התוספות, אלא דלדוגמא נקט כגון שהיו עדים החתומים וכו', לומר דלפיכך באים לקיימו שלא בפני בעל דין אבל בלא טענה אע"פ שיכולין לקיימו שלא בפני בעל דין מכל מקום אין ראוי. ומה שקשה על תשובת הרא"ש (כלל פה סי' ט) שכתב רבינו בסימן ק"י (סי"א-יב) שאין מקיימין שטר שלא בפני בעל דין יתבאר שם.</w:t>
      </w:r>
    </w:p>
  </w:footnote>
  <w:footnote w:id="3726">
    <w:p w14:paraId="3B9D03AA" w14:textId="77777777" w:rsidR="0013116F" w:rsidRDefault="0013116F" w:rsidP="001D49D4">
      <w:pPr>
        <w:pStyle w:val="a9"/>
        <w:rPr>
          <w:rtl/>
        </w:rPr>
      </w:pPr>
      <w:r>
        <w:rPr>
          <w:rStyle w:val="ab"/>
        </w:rPr>
        <w:footnoteRef/>
      </w:r>
      <w:r>
        <w:rPr>
          <w:rtl/>
        </w:rPr>
        <w:t xml:space="preserve"> וכתב הרשב"א בתשובה </w:t>
      </w:r>
      <w:r>
        <w:rPr>
          <w:sz w:val="16"/>
          <w:szCs w:val="16"/>
          <w:rtl/>
        </w:rPr>
        <w:t xml:space="preserve">(ח"ב סימן שעו) </w:t>
      </w:r>
      <w:r>
        <w:rPr>
          <w:rtl/>
        </w:rPr>
        <w:t>דטעמא דמקיימין שטר שלא בפני בעל דין מפני שהמקיימים לא על מנה שבשטר הם מעידים אלא על חתימת העדים.</w:t>
      </w:r>
    </w:p>
  </w:footnote>
  <w:footnote w:id="3727">
    <w:p w14:paraId="11A26761" w14:textId="77777777" w:rsidR="0013116F" w:rsidRDefault="0013116F" w:rsidP="001D49D4">
      <w:pPr>
        <w:pStyle w:val="a9"/>
      </w:pPr>
      <w:r>
        <w:rPr>
          <w:rStyle w:val="ab"/>
        </w:rPr>
        <w:footnoteRef/>
      </w:r>
      <w:r>
        <w:rPr>
          <w:rtl/>
        </w:rPr>
        <w:t xml:space="preserve"> והביא דבריו המהרי"ק </w:t>
      </w:r>
      <w:r>
        <w:rPr>
          <w:sz w:val="16"/>
          <w:szCs w:val="16"/>
          <w:rtl/>
        </w:rPr>
        <w:t>(שורש עד)</w:t>
      </w:r>
      <w:r>
        <w:rPr>
          <w:rtl/>
        </w:rPr>
        <w:t xml:space="preserve"> וחלק עליו וכתב- ראיתי מעיין מתגבר... ושמו הר"ר אביגדור כהן... ואתה אדוני כתבת בכתבך זה השני... ומטובתיך נראה בעיני שהוא כשגג' היוצא מלפני השליט... וכ"כ רבינו שמואל בפרק גט פשוט [הנזכר לעיל]... וגם רבינו שמשון בפרק מי שהיה נשוי [בתוספות הנ"ל]...</w:t>
      </w:r>
    </w:p>
  </w:footnote>
  <w:footnote w:id="3728">
    <w:p w14:paraId="1E64A6D1" w14:textId="77777777" w:rsidR="0013116F" w:rsidRDefault="0013116F" w:rsidP="001D49D4">
      <w:pPr>
        <w:pStyle w:val="a9"/>
      </w:pPr>
      <w:r>
        <w:rPr>
          <w:rStyle w:val="ab"/>
        </w:rPr>
        <w:footnoteRef/>
      </w:r>
      <w:r>
        <w:rPr>
          <w:rtl/>
        </w:rPr>
        <w:t xml:space="preserve"> תוס' </w:t>
      </w:r>
      <w:r>
        <w:rPr>
          <w:sz w:val="16"/>
          <w:szCs w:val="16"/>
          <w:rtl/>
        </w:rPr>
        <w:t xml:space="preserve">(ב"ב פרק יש נוחלין קכח: ד"ה נשבע, וכן בכתובות פ"ב יט. ד"ה מודה) </w:t>
      </w:r>
      <w:r>
        <w:rPr>
          <w:rtl/>
        </w:rPr>
        <w:t xml:space="preserve">רשב"ם </w:t>
      </w:r>
      <w:r>
        <w:rPr>
          <w:sz w:val="16"/>
          <w:szCs w:val="16"/>
          <w:rtl/>
        </w:rPr>
        <w:t>(פרק גט פשוט קע. ד"ה אין צריך)</w:t>
      </w:r>
      <w:r>
        <w:rPr>
          <w:rtl/>
        </w:rPr>
        <w:t xml:space="preserve"> רשב"א </w:t>
      </w:r>
      <w:r>
        <w:rPr>
          <w:sz w:val="16"/>
          <w:szCs w:val="16"/>
          <w:rtl/>
        </w:rPr>
        <w:t xml:space="preserve">(חידו' גיטין פ"ק ט. ד"ה גמרא ערער) </w:t>
      </w:r>
      <w:r>
        <w:rPr>
          <w:rtl/>
        </w:rPr>
        <w:t xml:space="preserve">ריטב"א </w:t>
      </w:r>
      <w:r>
        <w:rPr>
          <w:sz w:val="16"/>
          <w:szCs w:val="16"/>
          <w:rtl/>
        </w:rPr>
        <w:t xml:space="preserve">(פ"ק דב"מ ז. ד"ה שם ת"ר) </w:t>
      </w:r>
      <w:r>
        <w:rPr>
          <w:rtl/>
        </w:rPr>
        <w:t xml:space="preserve">תשובות מיימוניות </w:t>
      </w:r>
      <w:r>
        <w:rPr>
          <w:sz w:val="16"/>
          <w:szCs w:val="16"/>
          <w:rtl/>
        </w:rPr>
        <w:t xml:space="preserve">(ספר שופטים סי' יב) </w:t>
      </w:r>
      <w:r>
        <w:rPr>
          <w:rtl/>
        </w:rPr>
        <w:t xml:space="preserve">טור ומהרי"ק </w:t>
      </w:r>
      <w:r>
        <w:rPr>
          <w:sz w:val="16"/>
          <w:szCs w:val="16"/>
          <w:rtl/>
        </w:rPr>
        <w:t>(שורש עד)</w:t>
      </w:r>
      <w:r>
        <w:rPr>
          <w:rtl/>
        </w:rPr>
        <w:t>.</w:t>
      </w:r>
    </w:p>
  </w:footnote>
  <w:footnote w:id="3729">
    <w:p w14:paraId="16606AB5" w14:textId="77777777" w:rsidR="0013116F" w:rsidRDefault="0013116F" w:rsidP="001D49D4">
      <w:pPr>
        <w:pStyle w:val="a9"/>
      </w:pPr>
      <w:r>
        <w:rPr>
          <w:rStyle w:val="ab"/>
        </w:rPr>
        <w:footnoteRef/>
      </w:r>
      <w:r>
        <w:rPr>
          <w:rtl/>
        </w:rPr>
        <w:t xml:space="preserve"> וכתב הש"ך (סק"ט) דבזה דס"ל לה"ר אביגדור כהן דהיכא דהעדים לפנינו ואומרים לא חתמנו [וכו'], היה נראה לכאורה כדבריו ואין משמעות בש"ס ופוסקים דלא כוותיה, דנהי דבכל דוכתא אמרינן סתמא קיום שטרות דרבנן, היינו משום דמסתמא מיירי שאין העדים מכחישים חתימתם לפנינו. אך בתשובה ההיא שבמהרי"ק שם, חולק על ה"ר אביגדור גם בזה, ומוכיח מן הירושלמי [שביעית פ"י ה"ג] דקאמר ריש לקיש עדים החתומים על השטר כמי שנחקרה עדותן בבית דין, תמן כשאמרו לא חתמנו כו'. דהיינו אפילו אין כתב ידן יוצא ממקום אחר ואומרים לא חתמנו, אין נאמנים מדאורייתא כיון שבא השטר לבית דין קודם לכן, וע"ש. וכן מפרש הנמוק"י פרק איזה נשך [ב"מ מב: מדפה"ר ד"ה ת"ר] והר"ן פ"ק דר"ה [ב. מדפה"ר ד"ה וגרסי'] בשם הרמב"ן [ב"מ עב. ד"ה והמאוחרין], הירושלמי, בשאין כתב ידם יוצא ממקום אחר ואליבא דר' מאיר כו', ומביא ב"י דברי הר"ן, לעיל סימן מ"ג סעיף ח'... וכ"כ בתשובות מיימוניות לספר שופטים סי' י"ב, דמן התורה אפילו אמרו לא חתמנו לא מהימני, וע"ש, ומ"מ צ"ע בזה לדינא.</w:t>
      </w:r>
    </w:p>
  </w:footnote>
  <w:footnote w:id="3730">
    <w:p w14:paraId="0BEA5FDF" w14:textId="77777777" w:rsidR="0013116F" w:rsidRDefault="0013116F" w:rsidP="001D49D4">
      <w:pPr>
        <w:pStyle w:val="a9"/>
      </w:pPr>
      <w:r>
        <w:rPr>
          <w:rStyle w:val="ab"/>
        </w:rPr>
        <w:footnoteRef/>
      </w:r>
      <w:r>
        <w:rPr>
          <w:rtl/>
        </w:rPr>
        <w:t xml:space="preserve"> נראה דוקא שטר </w:t>
      </w:r>
      <w:r>
        <w:rPr>
          <w:sz w:val="16"/>
          <w:szCs w:val="16"/>
          <w:rtl/>
        </w:rPr>
        <w:t>(או מטעמא דכתב הרשב"א בתשובה [ח"ב סי' שע"ו] מביאה ב"י [סעיף ח'], מפני שהמקיימים לא על מנה שבשטר הם מעידים אלא על חתימות העדים, ובין לטעמא שכתבו התוס' [ב"ק פרק הגוזל בתרא קיב: ד"ה מקיימין] והרא"ש [שם פ"י סי' ה'] והטור [סעיף ח'] וסמ"ג [עשין קט] דכיון דקיום שטרות דרבנן, דדבר תורה העדים החתומים על השטר כמי שנחקרה עדותן בב"ד דמי וא"צ קיום, ומדרבנן הוא דצריך, והילכך מקיימים שלא בפני בע"ד)</w:t>
      </w:r>
      <w:r>
        <w:rPr>
          <w:rtl/>
        </w:rPr>
        <w:t xml:space="preserve"> אבל בחתימת יד הלוה לא שייכי הני טעמי ואין מקיימים אלא בפניו </w:t>
      </w:r>
      <w:r>
        <w:rPr>
          <w:sz w:val="16"/>
          <w:szCs w:val="16"/>
          <w:rtl/>
        </w:rPr>
        <w:t>(דהא ר' יוחנן פליג בש"ס התם דאין מקיימים אלא בפניו מטעם דאמר קרא [שמות כ"א כ"ט] והועד בבעליו, יבוא בעל השור ויעמוד על שורו, ונהי דרבא פסיק הלכתא התם כרב, היינו מהנך טעמי דאמרן, אבל בחתימת יד דהלוה שהמעידים באים לחייב את הלוה עצמו ולא שייכי הני טעמי, נראה דלכו"ע אין מקיימים אלא בפניו. וכן מוכח להדיא בסמ"ע לעיל סי' לה סק"ט דבכתב יד הלוה מדאו' בעי קיום. וכן מוכח בדברי רב שרירא גאון שהביאו הבעל התרומות [שער י"ג ח"א ס"ג] והטור לקמן סימן ס"ט [סעיף ט'] וכמו שכתבתי שם בסקי"ב, וכתבתי שם שגם הבעה"ת והטור מודו ליה בזה לדינא, וגם הב"ח פסק שם לגמרי כרב שרירא ע"ש. ועוד כתבתי שם דבכל הני קיומי דמקילינן משום קיום שטרות דרבנן, לא מקילינן בכת"י דהלוה)</w:t>
      </w:r>
      <w:r>
        <w:rPr>
          <w:rtl/>
        </w:rPr>
        <w:t xml:space="preserve">. מיהו כמדומה שנהגו להקל לקיים אף כתב יד לוה שלא בפני בעל דין, ואפשר לומר בזה מנהג מבטל הלכה כמו שמקיים הרב שטרות ביחידי </w:t>
      </w:r>
      <w:r>
        <w:rPr>
          <w:sz w:val="16"/>
          <w:szCs w:val="16"/>
          <w:rtl/>
        </w:rPr>
        <w:t>(וכמו שכתבתי לעיל סק"ח)</w:t>
      </w:r>
      <w:r>
        <w:rPr>
          <w:rtl/>
        </w:rPr>
        <w:t>, דהיינו נמי מטעם מנהג מבטל הלכה. אבל היכא דלא נהוג אין להקל, ש"ך (סק"י).</w:t>
      </w:r>
    </w:p>
  </w:footnote>
  <w:footnote w:id="3731">
    <w:p w14:paraId="396CB7BE" w14:textId="77777777" w:rsidR="0013116F" w:rsidRDefault="0013116F" w:rsidP="001D49D4">
      <w:pPr>
        <w:pStyle w:val="a9"/>
        <w:rPr>
          <w:rtl/>
        </w:rPr>
      </w:pPr>
      <w:r>
        <w:rPr>
          <w:rStyle w:val="ab"/>
        </w:rPr>
        <w:footnoteRef/>
      </w:r>
      <w:r>
        <w:rPr>
          <w:rtl/>
        </w:rPr>
        <w:t xml:space="preserve"> לקמן סימן ק"י סע' ד' וסע' ו' פסק המחבר דגם להוציא מיתומים קטנים מקיימין, ועיין מה שכתבתי כאן [בדרישה סעיף ח'], ושם [סימן ק"י סקי"א], ובריש סימן ע"ח בפרישה דלהרא"ש [כלל פ"ה סי' ט'] והטור [סימן ק"י סע' יא-יב] צריכים לחלק ביתומים בין מטא זמן השטר לגבות דאז אין מקיימין או לא, ועיין מה שכתבתי [בפרישה ודרישה שם] עוד מזה, סמ"ע (סקי"א).</w:t>
      </w:r>
    </w:p>
  </w:footnote>
  <w:footnote w:id="3732">
    <w:p w14:paraId="1AD1C3AD" w14:textId="77777777" w:rsidR="0013116F" w:rsidRDefault="0013116F" w:rsidP="001D49D4">
      <w:pPr>
        <w:pStyle w:val="a9"/>
        <w:rPr>
          <w:rtl/>
        </w:rPr>
      </w:pPr>
      <w:r>
        <w:rPr>
          <w:rStyle w:val="ab"/>
        </w:rPr>
        <w:footnoteRef/>
      </w:r>
      <w:r>
        <w:rPr>
          <w:rtl/>
        </w:rPr>
        <w:t xml:space="preserve"> </w:t>
      </w:r>
      <w:r>
        <w:rPr>
          <w:rFonts w:hint="cs"/>
          <w:rtl/>
        </w:rPr>
        <w:t>סימן – כת ואלהים כאחד.</w:t>
      </w:r>
    </w:p>
  </w:footnote>
  <w:footnote w:id="3733">
    <w:p w14:paraId="7C4C7A8B" w14:textId="77777777" w:rsidR="0013116F" w:rsidRDefault="0013116F" w:rsidP="001D49D4">
      <w:pPr>
        <w:pStyle w:val="a9"/>
      </w:pPr>
      <w:r>
        <w:rPr>
          <w:rStyle w:val="ab"/>
        </w:rPr>
        <w:footnoteRef/>
      </w:r>
      <w:r>
        <w:rPr>
          <w:rtl/>
        </w:rPr>
        <w:t xml:space="preserve"> שטר שכתוב בו הנפק, וחתמו הדיינין על הנפק שלו, ולאחר זמן כשהוציאו המלוה לגבות ערער הלוה לומר מזוייף הוא, ובא אחד מעדי השטר והעיד על כתב ידו, ואחד מן הדיינים העיד על כתב ידו, מצטרפין להכשירו, רש"י.</w:t>
      </w:r>
    </w:p>
  </w:footnote>
  <w:footnote w:id="3734">
    <w:p w14:paraId="1D061744" w14:textId="77777777" w:rsidR="0013116F" w:rsidRDefault="0013116F" w:rsidP="001D49D4">
      <w:pPr>
        <w:pStyle w:val="a9"/>
      </w:pPr>
      <w:r>
        <w:rPr>
          <w:rStyle w:val="ab"/>
        </w:rPr>
        <w:footnoteRef/>
      </w:r>
      <w:r>
        <w:rPr>
          <w:rtl/>
        </w:rPr>
        <w:t xml:space="preserve"> </w:t>
      </w:r>
      <w:r>
        <w:rPr>
          <w:rFonts w:hint="cs"/>
          <w:rtl/>
        </w:rPr>
        <w:t>וז"ל-</w:t>
      </w:r>
      <w:r>
        <w:rPr>
          <w:rtl/>
        </w:rPr>
        <w:t xml:space="preserve"> שאלת שטר שכתוב בו הנפק אם גובה בו אע"פ שאין מכירין חתימת הדיינין. תשובה, בגמרא מפורש שאינו גובה בו עד שיכירו חתימת שני עדיו או משני הדיינים, דאמרינן בפ"ב דכתובות </w:t>
      </w:r>
      <w:r>
        <w:rPr>
          <w:sz w:val="16"/>
          <w:szCs w:val="16"/>
          <w:rtl/>
        </w:rPr>
        <w:t>(כא.)</w:t>
      </w:r>
      <w:r>
        <w:rPr>
          <w:rtl/>
        </w:rPr>
        <w:t xml:space="preserve"> אמר רב יהודה אמר שמואל עד ודיין מצטרפין ואקשינן וכו' ואסיקנא דאין מצטרפין. אלא שבירושלמי משמע שאין צריך קיום, ועליו סמך מי שאומר שגובין בו, ואנו אין לנו לסמוך אלא על הגמרא שלנו, ויש מפרשים אותה שבירושלמי כגון שאותו בית דין הוא מומחה לרבים ובית דין קבוע שאין אדם חצוף לזייף חתימת דיינים קבועים שמן הסתם חתימתן ניכרת לרבים. ועם כל זה אין אנו סומכין עליו.</w:t>
      </w:r>
    </w:p>
  </w:footnote>
  <w:footnote w:id="3735">
    <w:p w14:paraId="0DB74D6B" w14:textId="77777777" w:rsidR="0013116F" w:rsidRDefault="0013116F" w:rsidP="001D49D4">
      <w:pPr>
        <w:pStyle w:val="a9"/>
      </w:pPr>
      <w:r>
        <w:rPr>
          <w:rStyle w:val="ab"/>
        </w:rPr>
        <w:footnoteRef/>
      </w:r>
      <w:r>
        <w:rPr>
          <w:rtl/>
        </w:rPr>
        <w:t xml:space="preserve"> וגם הרשב"צ </w:t>
      </w:r>
      <w:r>
        <w:rPr>
          <w:sz w:val="16"/>
          <w:szCs w:val="16"/>
          <w:rtl/>
        </w:rPr>
        <w:t xml:space="preserve">(ח"א סי' קעג) </w:t>
      </w:r>
      <w:r>
        <w:rPr>
          <w:rtl/>
        </w:rPr>
        <w:t xml:space="preserve">כתב שר"ח והרמב"ן </w:t>
      </w:r>
      <w:r>
        <w:rPr>
          <w:sz w:val="16"/>
          <w:szCs w:val="16"/>
          <w:rtl/>
        </w:rPr>
        <w:t xml:space="preserve">(כתובות שם ד"ה א"ל רבא) </w:t>
      </w:r>
      <w:r>
        <w:rPr>
          <w:rtl/>
        </w:rPr>
        <w:t>ותלמידיו סוברים דמעשה בית דין צריך קיום וכן הסכים הוא ז"ל, ב"י.</w:t>
      </w:r>
    </w:p>
  </w:footnote>
  <w:footnote w:id="3736">
    <w:p w14:paraId="4C21C0CF" w14:textId="77777777" w:rsidR="0013116F" w:rsidRDefault="0013116F" w:rsidP="001D49D4">
      <w:pPr>
        <w:pStyle w:val="a9"/>
        <w:rPr>
          <w:rtl/>
        </w:rPr>
      </w:pPr>
      <w:r>
        <w:rPr>
          <w:rStyle w:val="ab"/>
        </w:rPr>
        <w:footnoteRef/>
      </w:r>
      <w:r>
        <w:rPr>
          <w:rtl/>
        </w:rPr>
        <w:t xml:space="preserve"> פירוש, דייני הקיום, סמ"ע (סקי"ב). וכתב הש"ך (סקי"א) דמה שכתב המחבר דבהכרת שני הדיינים סגי, הוא מתשובת רשב"א </w:t>
      </w:r>
      <w:r>
        <w:rPr>
          <w:sz w:val="16"/>
          <w:szCs w:val="16"/>
          <w:rtl/>
        </w:rPr>
        <w:t>[ח"ז סי' שפד]</w:t>
      </w:r>
      <w:r>
        <w:rPr>
          <w:rtl/>
        </w:rPr>
        <w:t xml:space="preserve"> שבב"י כאן סע' ט'. מיהו היינו דוקא כשחתומים שלשה דיינים, וכן הבאתי לקמן סע' טו סקמ"ג דברי הריטב"א והר"ן.</w:t>
      </w:r>
    </w:p>
  </w:footnote>
  <w:footnote w:id="3737">
    <w:p w14:paraId="45EEB538" w14:textId="77777777" w:rsidR="0013116F" w:rsidRDefault="0013116F" w:rsidP="001D49D4">
      <w:pPr>
        <w:pStyle w:val="a9"/>
        <w:rPr>
          <w:rtl/>
        </w:rPr>
      </w:pPr>
      <w:r>
        <w:rPr>
          <w:rStyle w:val="ab"/>
        </w:rPr>
        <w:footnoteRef/>
      </w:r>
      <w:r>
        <w:rPr>
          <w:rtl/>
        </w:rPr>
        <w:t xml:space="preserve"> וראיה מדתנן </w:t>
      </w:r>
      <w:r>
        <w:rPr>
          <w:sz w:val="16"/>
          <w:szCs w:val="16"/>
          <w:rtl/>
        </w:rPr>
        <w:t xml:space="preserve">(יח:) </w:t>
      </w:r>
      <w:r>
        <w:rPr>
          <w:rtl/>
        </w:rPr>
        <w:t xml:space="preserve">שאם כתב ידם יוצא ממקום אחר ואמרו אנוסים או קטנים היינו אינם נאמנים, וכמ"ש בסימן זה </w:t>
      </w:r>
      <w:r>
        <w:rPr>
          <w:sz w:val="16"/>
          <w:szCs w:val="16"/>
          <w:rtl/>
        </w:rPr>
        <w:t>(סל"ד)</w:t>
      </w:r>
      <w:r>
        <w:rPr>
          <w:rtl/>
        </w:rPr>
        <w:t>, אלמא שאע"פ שהם במדינה ואמרו אנוסים או קטנים היינו יכולים לקיים השטר על פי עדים אחרים. וכל שכן היכא דלא אמרו מידי, ב"י.</w:t>
      </w:r>
    </w:p>
  </w:footnote>
  <w:footnote w:id="3738">
    <w:p w14:paraId="71AAEE06" w14:textId="77777777" w:rsidR="0013116F" w:rsidRDefault="0013116F" w:rsidP="001D49D4">
      <w:pPr>
        <w:pStyle w:val="a9"/>
      </w:pPr>
      <w:r>
        <w:rPr>
          <w:rStyle w:val="ab"/>
        </w:rPr>
        <w:footnoteRef/>
      </w:r>
      <w:r>
        <w:rPr>
          <w:rtl/>
        </w:rPr>
        <w:t xml:space="preserve"> </w:t>
      </w:r>
      <w:r>
        <w:rPr>
          <w:rFonts w:hint="cs"/>
          <w:rtl/>
        </w:rPr>
        <w:t xml:space="preserve">סימן – כת אינה כס אלהים. וכן איתא בב"ק דף צ ע"ב </w:t>
      </w:r>
      <w:r>
        <w:rPr>
          <w:sz w:val="16"/>
          <w:szCs w:val="16"/>
          <w:rtl/>
        </w:rPr>
        <w:t>(ובתוס' שם [ד"ה כגון] מביאים את המקומות בהם הגמרות דנה בזה)</w:t>
      </w:r>
      <w:r>
        <w:rPr>
          <w:rtl/>
        </w:rPr>
        <w:t xml:space="preserve"> והסימן לדף זה – צל"ש (צופה לא שופט).</w:t>
      </w:r>
    </w:p>
  </w:footnote>
  <w:footnote w:id="3739">
    <w:p w14:paraId="457A3D5D" w14:textId="77777777" w:rsidR="0013116F" w:rsidRDefault="0013116F" w:rsidP="001D49D4">
      <w:pPr>
        <w:pStyle w:val="a9"/>
      </w:pPr>
      <w:r>
        <w:rPr>
          <w:rStyle w:val="ab"/>
        </w:rPr>
        <w:footnoteRef/>
      </w:r>
      <w:r>
        <w:rPr>
          <w:rtl/>
        </w:rPr>
        <w:t xml:space="preserve"> </w:t>
      </w:r>
      <w:r>
        <w:rPr>
          <w:rFonts w:hint="cs"/>
          <w:rtl/>
        </w:rPr>
        <w:t xml:space="preserve">סימן – </w:t>
      </w:r>
      <w:r>
        <w:rPr>
          <w:sz w:val="16"/>
          <w:szCs w:val="16"/>
          <w:rtl/>
        </w:rPr>
        <w:t xml:space="preserve">{זה} </w:t>
      </w:r>
      <w:r>
        <w:rPr>
          <w:rtl/>
        </w:rPr>
        <w:t xml:space="preserve">כתבי </w:t>
      </w:r>
      <w:r>
        <w:rPr>
          <w:sz w:val="16"/>
          <w:szCs w:val="16"/>
          <w:rtl/>
        </w:rPr>
        <w:t>{זה}</w:t>
      </w:r>
      <w:r>
        <w:rPr>
          <w:rtl/>
        </w:rPr>
        <w:t xml:space="preserve"> כתבו.</w:t>
      </w:r>
    </w:p>
  </w:footnote>
  <w:footnote w:id="3740">
    <w:p w14:paraId="7D90E2E3" w14:textId="77777777" w:rsidR="0013116F" w:rsidRDefault="0013116F" w:rsidP="001D49D4">
      <w:pPr>
        <w:pStyle w:val="a9"/>
      </w:pPr>
      <w:r>
        <w:rPr>
          <w:rStyle w:val="ab"/>
        </w:rPr>
        <w:footnoteRef/>
      </w:r>
      <w:r>
        <w:rPr>
          <w:rtl/>
        </w:rPr>
        <w:t xml:space="preserve"> כשמקיימין השטר בבית דין ולפיכך צריך שנים להעיד על כל חתימה וחתימה, ב"י.</w:t>
      </w:r>
    </w:p>
  </w:footnote>
  <w:footnote w:id="3741">
    <w:p w14:paraId="3A5D10F5" w14:textId="77777777" w:rsidR="0013116F" w:rsidRDefault="0013116F" w:rsidP="001D49D4">
      <w:pPr>
        <w:pStyle w:val="a9"/>
      </w:pPr>
      <w:r>
        <w:rPr>
          <w:rStyle w:val="ab"/>
        </w:rPr>
        <w:footnoteRef/>
      </w:r>
      <w:r>
        <w:rPr>
          <w:rtl/>
        </w:rPr>
        <w:t xml:space="preserve"> </w:t>
      </w:r>
      <w:r>
        <w:rPr>
          <w:rFonts w:hint="cs"/>
          <w:rtl/>
        </w:rPr>
        <w:t xml:space="preserve">היינו </w:t>
      </w:r>
      <w:r>
        <w:rPr>
          <w:rtl/>
        </w:rPr>
        <w:t>דסבירא להו דכשהעדים עצמם מקיימין חתימותיהן הרי הם כאילו אומרים אנו ראינו המלוה וחתמנו הילכך בתרי סגי, ב"י.</w:t>
      </w:r>
    </w:p>
  </w:footnote>
  <w:footnote w:id="3742">
    <w:p w14:paraId="1F604F76" w14:textId="77777777" w:rsidR="0013116F" w:rsidRDefault="0013116F" w:rsidP="001D49D4">
      <w:pPr>
        <w:pStyle w:val="a9"/>
      </w:pPr>
      <w:r>
        <w:rPr>
          <w:rStyle w:val="ab"/>
        </w:rPr>
        <w:footnoteRef/>
      </w:r>
      <w:r>
        <w:rPr>
          <w:rtl/>
        </w:rPr>
        <w:t xml:space="preserve"> </w:t>
      </w:r>
      <w:r>
        <w:rPr>
          <w:rFonts w:hint="cs"/>
          <w:rtl/>
        </w:rPr>
        <w:t>סימן – כיול כת כרטיס מכרטיס.</w:t>
      </w:r>
    </w:p>
  </w:footnote>
  <w:footnote w:id="3743">
    <w:p w14:paraId="4CD52E25" w14:textId="77777777" w:rsidR="0013116F" w:rsidRDefault="0013116F" w:rsidP="001D49D4">
      <w:pPr>
        <w:pStyle w:val="a9"/>
      </w:pPr>
      <w:r>
        <w:rPr>
          <w:rStyle w:val="ab"/>
        </w:rPr>
        <w:footnoteRef/>
      </w:r>
      <w:r>
        <w:rPr>
          <w:rtl/>
        </w:rPr>
        <w:t xml:space="preserve"> הב"י כתב שהר"ן סובר שדעת הרמב"ם כדעת הרי"ף וכ"כ במישרים נ"ב ח"ח (יד:). וכתב הב"י- ולי נראה שהרמב"ם גורס כרש"י, והראיה דלגירסת רי"ף רבי אסי אמר בלשון שלילה- אין מקיימין משטר שקרא עליו ערער וכו', דמשמע הא לא קרא מקיימין אע"ג דלא הוחזק, והרמב"ם כתב מקיימין השטר משטר שקרא עליו ערער והוחזק דמשמע דוקא משום שקרא עליו ערער והוחזק הוא דמקיימין הא לאו הכי - לא. ועוד שהראב"ד כתב- וכן מקיימין השטר וכו' אמר אברהם אין הגירסא שלו כגירסא שלנו. והר"ן אחר שכתב גירסת רי"ף קודם שיכתוב גירסת רש"י כתב- אבל הראב"ד כתב דלעולם אין מקיימין את השטר משטר אחר ואפילו הוחזק אלא משנים, ושני שדות שאכלום בעליהם בשופי שלש שנים כהוחזק בבית דין דמי, הילכך- אין מקיימין אלא משנים או שהוחזק כל אחד מהם בבית דין או שאכלום בעליהן לכל אחד שלש שנים עכ"ל. נראה מדברי הר"ן דהראב"ד גריס כהרי"ף, דאי לאו הכי הוה ליה לכתוב סברת הראב"ד אחר גירסת רש"י, ועוד שמדברי הראב"ד נלמוד דלא קפיד אקרא עליו ערער כדקפיד רש"י, וכיון שהר"ן כותב שגירסת רמב"ם כגירסת רי"ף אם כן מאי קאמר הראב"ד אין הגירסא שלו כגירסא שלנו, אלא ודאי הראב"ד סובר דהרמב"ם גריס כרש"י והראב"ד גופיה גריס כהרי"ף. והכי פירושו אליבא דהראב"ד- אין מקיימין משטר שקרא עליו ערער אא"כ הוחזק אבל כי לא קרא עליו ערער אע"פ שלא הוחזק מקיימין ממנו, ואתו נהרדעי לפרושי ברבי אסי שני דברים, חדא- שכל מה שמזכיר רבי אסי שטר אין כונתו שטר אחד לבד אלא שני שטרות. שנית- דהא דמשמע מדבריו דכי לא קרא ערער אע"פ שלא הוחזק מקיימין היינו דוקא כשהן שטרי שדות או כתובות ואכלום בעליהם בשופי שלש שנים דהוי ליה כאילו הוחזקו, אבל משטרות אחרות לא כמו שיתבאר בסייעתא דשמיא.</w:t>
      </w:r>
    </w:p>
  </w:footnote>
  <w:footnote w:id="3744">
    <w:p w14:paraId="295817D6" w14:textId="77777777" w:rsidR="0013116F" w:rsidRDefault="0013116F" w:rsidP="001D49D4">
      <w:pPr>
        <w:pStyle w:val="a9"/>
        <w:rPr>
          <w:rtl/>
        </w:rPr>
      </w:pPr>
      <w:r>
        <w:rPr>
          <w:rStyle w:val="ab"/>
        </w:rPr>
        <w:footnoteRef/>
      </w:r>
      <w:r>
        <w:rPr>
          <w:rtl/>
        </w:rPr>
        <w:t xml:space="preserve"> כלומר בהשקט ולא בערעור, ב"י.</w:t>
      </w:r>
    </w:p>
  </w:footnote>
  <w:footnote w:id="3745">
    <w:p w14:paraId="339730C7" w14:textId="77777777" w:rsidR="0013116F" w:rsidRDefault="0013116F" w:rsidP="001D49D4">
      <w:pPr>
        <w:pStyle w:val="a9"/>
        <w:rPr>
          <w:rtl/>
        </w:rPr>
      </w:pPr>
      <w:r>
        <w:rPr>
          <w:rStyle w:val="ab"/>
        </w:rPr>
        <w:footnoteRef/>
      </w:r>
      <w:r>
        <w:rPr>
          <w:rtl/>
        </w:rPr>
        <w:t xml:space="preserve"> </w:t>
      </w:r>
      <w:r>
        <w:rPr>
          <w:rFonts w:hint="cs"/>
          <w:rtl/>
        </w:rPr>
        <w:t xml:space="preserve">וכתב הב"י </w:t>
      </w:r>
      <w:r>
        <w:rPr>
          <w:rtl/>
        </w:rPr>
        <w:t xml:space="preserve">דהראב"ד גריס כהרי"ף </w:t>
      </w:r>
      <w:r>
        <w:rPr>
          <w:sz w:val="16"/>
          <w:szCs w:val="16"/>
          <w:rtl/>
        </w:rPr>
        <w:t>(וכתב שגם מדברי הר"ן נראה שהראב"ד גריס כהרי"ף)</w:t>
      </w:r>
      <w:r>
        <w:rPr>
          <w:rtl/>
        </w:rPr>
        <w:t>.</w:t>
      </w:r>
    </w:p>
  </w:footnote>
  <w:footnote w:id="3746">
    <w:p w14:paraId="4A37196F" w14:textId="77777777" w:rsidR="0013116F" w:rsidRDefault="0013116F" w:rsidP="001D49D4">
      <w:pPr>
        <w:pStyle w:val="a9"/>
        <w:rPr>
          <w:rtl/>
        </w:rPr>
      </w:pPr>
      <w:r>
        <w:rPr>
          <w:rStyle w:val="ab"/>
        </w:rPr>
        <w:footnoteRef/>
      </w:r>
      <w:r>
        <w:rPr>
          <w:rtl/>
        </w:rPr>
        <w:t xml:space="preserve"> זו היא גירסת רי"ף (ז.). וכתב הרא"ש (סי' טז) שאינה נכונה, דמלתא דפשיטא היא, דמאחר שמערערין עליו לומר שהוא מזוייף היאך יקיימו מתוכו, מאי אולמיה מזה שרוצים לקיים ממנו. והר"ן (ד"ה אין מזימין) תירץ דסלקא דעתא אמינא כיון דשתק הערער מקיימין ממנו – קמ"ל דלא, ולפי גירסא זו משמע דטעמא - שקרא עליו ערער, אבל לא קרא עליו ערער - מקיימין ממנו ואע"פ שלא הוחזק בבית דין. ואתו נהרדעי לפרושי דכי אמר דמשטר שלא קרא עליו ערער מקיימין ואע"פ שלא הוחזק בבית דין - דוקא משתי שדות וכו' אבל משטר אחד אין מקיימין אא"כ נתקיים בבית דין</w:t>
      </w:r>
      <w:r>
        <w:rPr>
          <w:sz w:val="16"/>
          <w:szCs w:val="16"/>
          <w:rtl/>
        </w:rPr>
        <w:t xml:space="preserve"> (עכ"ל הר"ן)</w:t>
      </w:r>
      <w:r>
        <w:rPr>
          <w:rtl/>
        </w:rPr>
        <w:t>.</w:t>
      </w:r>
    </w:p>
  </w:footnote>
  <w:footnote w:id="3747">
    <w:p w14:paraId="3ED79AAE" w14:textId="77777777" w:rsidR="0013116F" w:rsidRDefault="0013116F" w:rsidP="001D49D4">
      <w:pPr>
        <w:pStyle w:val="a9"/>
        <w:rPr>
          <w:rtl/>
        </w:rPr>
      </w:pPr>
      <w:r>
        <w:rPr>
          <w:rStyle w:val="ab"/>
        </w:rPr>
        <w:footnoteRef/>
      </w:r>
      <w:r>
        <w:rPr>
          <w:rtl/>
        </w:rPr>
        <w:t xml:space="preserve"> אבל אם לא החוזק בב"ד אין מקיימים ממנו אע"ג דשתק הערער, ר"ן בשם הרי"ף.</w:t>
      </w:r>
    </w:p>
  </w:footnote>
  <w:footnote w:id="3748">
    <w:p w14:paraId="7055D981" w14:textId="77777777" w:rsidR="0013116F" w:rsidRDefault="0013116F" w:rsidP="001D49D4">
      <w:pPr>
        <w:pStyle w:val="a9"/>
      </w:pPr>
      <w:r>
        <w:rPr>
          <w:rStyle w:val="ab"/>
        </w:rPr>
        <w:footnoteRef/>
      </w:r>
      <w:r>
        <w:rPr>
          <w:rtl/>
        </w:rPr>
        <w:t xml:space="preserve"> </w:t>
      </w:r>
      <w:r>
        <w:rPr>
          <w:rFonts w:hint="cs"/>
          <w:rtl/>
        </w:rPr>
        <w:t>ז"ל הב"י בשם הראב"ד-</w:t>
      </w:r>
      <w:r>
        <w:rPr>
          <w:rtl/>
        </w:rPr>
        <w:t xml:space="preserve"> אין מקיימין משטר שקרא עליו ערער אא"כ הוחזק, אבל כי לא קרא עליו ערער אע"פ שלא הוחזק - מקיימין ממנו, ואתו נהרדעי לפרושי ברבי אסי שני דברים, חדא- שכל מה שמזכיר רבי אסי שטר אין כונתו שטר אחד לבד אלא שני שטרות. שנית- דהא דמשמע מדבריו דכי לא קרא ערער אע"פ שלא הוחזק מקיימין היינו דוקא כשהן שטרי שדות או כתובות ואכלום בעליהם בשופי שלש שנים דהוי ליה כאילו הוחזקו, אבל משטרות אחרות לא.</w:t>
      </w:r>
    </w:p>
  </w:footnote>
  <w:footnote w:id="3749">
    <w:p w14:paraId="288610F7" w14:textId="77777777" w:rsidR="0013116F" w:rsidRDefault="0013116F" w:rsidP="001D49D4">
      <w:pPr>
        <w:pStyle w:val="a9"/>
      </w:pPr>
      <w:r>
        <w:rPr>
          <w:rStyle w:val="ab"/>
        </w:rPr>
        <w:footnoteRef/>
      </w:r>
      <w:r>
        <w:rPr>
          <w:rtl/>
        </w:rPr>
        <w:t xml:space="preserve"> </w:t>
      </w:r>
      <w:r>
        <w:rPr>
          <w:rFonts w:hint="cs"/>
          <w:rtl/>
        </w:rPr>
        <w:t>ואפילו שיצא עליהם ערער, ב"י בשם הראב"ד.</w:t>
      </w:r>
    </w:p>
  </w:footnote>
  <w:footnote w:id="3750">
    <w:p w14:paraId="3A45AB2C" w14:textId="77777777" w:rsidR="0013116F" w:rsidRDefault="0013116F" w:rsidP="001D49D4">
      <w:pPr>
        <w:pStyle w:val="a9"/>
        <w:rPr>
          <w:rtl/>
        </w:rPr>
      </w:pPr>
      <w:r>
        <w:rPr>
          <w:rStyle w:val="ab"/>
        </w:rPr>
        <w:footnoteRef/>
      </w:r>
      <w:r>
        <w:rPr>
          <w:rtl/>
        </w:rPr>
        <w:t xml:space="preserve"> </w:t>
      </w:r>
      <w:r>
        <w:rPr>
          <w:rFonts w:hint="cs"/>
          <w:rtl/>
        </w:rPr>
        <w:t>וז"ל-</w:t>
      </w:r>
      <w:r>
        <w:rPr>
          <w:rtl/>
        </w:rPr>
        <w:t xml:space="preserve"> אין מקיימין את השטר מתוך שטר אחר אא"כ קרא ערער על אותו שטר והוחזק בבית דין על ידי עדיו, דאי לא קרא עליו ערער חיישינן דילמא ההוא גופיה מזוייף הוא.</w:t>
      </w:r>
    </w:p>
  </w:footnote>
  <w:footnote w:id="3751">
    <w:p w14:paraId="1DC48FDA" w14:textId="77777777" w:rsidR="0013116F" w:rsidRDefault="0013116F" w:rsidP="001D49D4">
      <w:pPr>
        <w:pStyle w:val="a9"/>
      </w:pPr>
      <w:r>
        <w:rPr>
          <w:rStyle w:val="ab"/>
        </w:rPr>
        <w:footnoteRef/>
      </w:r>
      <w:r>
        <w:rPr>
          <w:rtl/>
        </w:rPr>
        <w:t xml:space="preserve"> ואפשר לומר עוד דלרבותא נקט קרא עליו ערער דהא איתרע טפי ממי שלא ערערו עליו דאיכא למימר טרח וכיון וזייף אפילו הכי כיון דמקויים הוא מקיימין ממנו, ב"י. ועיין לקמן דאע"ג שהביא הב"י טעם לדברי הרא"ש מ"מ פסק כרש"י ורמב"ם </w:t>
      </w:r>
      <w:r>
        <w:rPr>
          <w:sz w:val="16"/>
          <w:szCs w:val="16"/>
          <w:rtl/>
        </w:rPr>
        <w:t>(וזה מש"כ- 'ומיהו')</w:t>
      </w:r>
      <w:r>
        <w:rPr>
          <w:rtl/>
        </w:rPr>
        <w:t xml:space="preserve">. </w:t>
      </w:r>
    </w:p>
  </w:footnote>
  <w:footnote w:id="3752">
    <w:p w14:paraId="18CF6202" w14:textId="77777777" w:rsidR="0013116F" w:rsidRDefault="0013116F" w:rsidP="001D49D4">
      <w:pPr>
        <w:pStyle w:val="a9"/>
      </w:pPr>
      <w:r>
        <w:rPr>
          <w:rStyle w:val="ab"/>
        </w:rPr>
        <w:footnoteRef/>
      </w:r>
      <w:r>
        <w:rPr>
          <w:rtl/>
        </w:rPr>
        <w:t xml:space="preserve"> והקשה הרא"ש </w:t>
      </w:r>
      <w:r>
        <w:rPr>
          <w:sz w:val="16"/>
          <w:szCs w:val="16"/>
          <w:rtl/>
        </w:rPr>
        <w:t>(סי' טז)</w:t>
      </w:r>
      <w:r>
        <w:rPr>
          <w:rtl/>
        </w:rPr>
        <w:t xml:space="preserve"> דא"ת ביוצא מתחת ידי עצמו חיישינן דילמא זייף, א"כ, אם העד סופר - אפילו ביוצא מתחת יד אחר היאך מקיימין אפילו משתי שדות ניחוש שמא זייף מתחת ספרו. וי"ל דהכא ליכא למיחש לזיוף אלא מחתימת יד העדים אבל מתוך ספר אין אדם יכול ללקט האותיות יחד ולזייף וכן מוכח קצת לקמן (כא.) דקאמר לכתוב חתימת ידיה אחספא ולא קאמר לכתוב אלפא ביתא אפילו אמגילתא אלא ודאי אי אפשר לדמותם יחד אלא כשחותם שמו, עכ"ל. והביא הב"י דבריו וכתב- ונראה לי ראיה מהירושלמי שכתבתי בסמוך (מחו' כח) דמשמע דוקא מאילין ספרי דאסי שהוא חתימת שמו הוא דמקיימינן אבל לא משאר הספר וטעמא לפי שדרך בני אדם לחתום שמם בשינוי מכתיבתם, והמרדכי (שם) האריך בזה עיין עליו.</w:t>
      </w:r>
    </w:p>
  </w:footnote>
  <w:footnote w:id="3753">
    <w:p w14:paraId="66EFA8F6" w14:textId="77777777" w:rsidR="0013116F" w:rsidRDefault="0013116F" w:rsidP="001D49D4">
      <w:pPr>
        <w:pStyle w:val="a9"/>
        <w:rPr>
          <w:rtl/>
        </w:rPr>
      </w:pPr>
      <w:r>
        <w:rPr>
          <w:rStyle w:val="ab"/>
        </w:rPr>
        <w:footnoteRef/>
      </w:r>
      <w:r>
        <w:rPr>
          <w:rtl/>
        </w:rPr>
        <w:t xml:space="preserve"> </w:t>
      </w:r>
      <w:r>
        <w:rPr>
          <w:rFonts w:hint="cs"/>
          <w:rtl/>
        </w:rPr>
        <w:t xml:space="preserve">וכן נראה לי דעת הטור שכתב- </w:t>
      </w:r>
      <w:r>
        <w:rPr>
          <w:rtl/>
        </w:rPr>
        <w:t xml:space="preserve">והוא שיצאו שני השטרות מתחת יד אחר ולא מתחת יד זה שבא לקיים השטר, דשמא זייף </w:t>
      </w:r>
      <w:r>
        <w:rPr>
          <w:b/>
          <w:bCs/>
          <w:rtl/>
        </w:rPr>
        <w:t>מתוכם</w:t>
      </w:r>
      <w:r>
        <w:rPr>
          <w:rtl/>
        </w:rPr>
        <w:t>. עכ"ל.</w:t>
      </w:r>
    </w:p>
  </w:footnote>
  <w:footnote w:id="3754">
    <w:p w14:paraId="1331D517" w14:textId="77777777" w:rsidR="0013116F" w:rsidRDefault="0013116F" w:rsidP="001D49D4">
      <w:pPr>
        <w:pStyle w:val="a9"/>
        <w:rPr>
          <w:rtl/>
        </w:rPr>
      </w:pPr>
      <w:r>
        <w:rPr>
          <w:rStyle w:val="ab"/>
        </w:rPr>
        <w:footnoteRef/>
      </w:r>
      <w:r>
        <w:rPr>
          <w:rtl/>
        </w:rPr>
        <w:t xml:space="preserve"> וכתב הר"ן </w:t>
      </w:r>
      <w:r>
        <w:rPr>
          <w:sz w:val="16"/>
          <w:szCs w:val="16"/>
          <w:rtl/>
        </w:rPr>
        <w:t>(ז: ד"ה וביוצא)</w:t>
      </w:r>
      <w:r>
        <w:rPr>
          <w:rtl/>
        </w:rPr>
        <w:t xml:space="preserve"> שלפי דעת הרמב"ם אם אותם שטרות שהוא מוציא מקויימות בבית דין מקיימין מהם אפילו משטר אחד עכ"ל. ואפילו לפי מה שכתבתי דהרמב"ם גורס כרש"י דאין מקיימין משטר מקויים אא"כ קרא עליו ערער הכא כיון שאכלום בעליהם בשופי עדיף מקרא עליו ערער, ב"י.</w:t>
      </w:r>
    </w:p>
  </w:footnote>
  <w:footnote w:id="3755">
    <w:p w14:paraId="79C88029" w14:textId="77777777" w:rsidR="0013116F" w:rsidRDefault="0013116F" w:rsidP="001D49D4">
      <w:pPr>
        <w:pStyle w:val="a9"/>
        <w:rPr>
          <w:rtl/>
        </w:rPr>
      </w:pPr>
      <w:r>
        <w:rPr>
          <w:rStyle w:val="ab"/>
        </w:rPr>
        <w:footnoteRef/>
      </w:r>
      <w:r>
        <w:rPr>
          <w:rtl/>
        </w:rPr>
        <w:t xml:space="preserve"> שישיבתה תחת בעלה ג' שנים בשופי, רמ"ה. כ"כ הטור בשמו. וכתב הש"ך (סק"כ) דלא משמע כן מדברי הרמב"ם (פ"ו מעדות ה"ג) והמחבר וכן הסמ"ג (עשין קט קצ ע"ב) שכתבו שאכלום בעליהם ג' שנים לעיל גבי שדות, ולא כתבוהו כאן. ובפרט שבש"ס [כתובות כ.] איתא, והוא שאכלום ג' שנים בתר שתי שדות ושתי כתובות, והם הפכוהו וכתבוהו מיד בתר שתי שדות, משמע דס"ל דדוקא בב' שדות בעינן ג' שנים, דחזקת הבתים ושדות הוא בג' שנים, אבל אשה, ישיבתה תחת בעלה בכל דהו סגי. וגם לשון הש"ס והוא שאכלום בעליהן ג' שנים, משמע דוקא בשדות דשייך בהו לשון אכילה. וכן נראה דעת שאר הפוסקים, וכן עיקר.</w:t>
      </w:r>
    </w:p>
  </w:footnote>
  <w:footnote w:id="3756">
    <w:p w14:paraId="1BE99690" w14:textId="77777777" w:rsidR="0013116F" w:rsidRDefault="0013116F" w:rsidP="001D49D4">
      <w:pPr>
        <w:pStyle w:val="a9"/>
      </w:pPr>
      <w:r>
        <w:rPr>
          <w:rStyle w:val="ab"/>
        </w:rPr>
        <w:footnoteRef/>
      </w:r>
      <w:r>
        <w:rPr>
          <w:rtl/>
        </w:rPr>
        <w:t xml:space="preserve"> כן כתב גם כן הר"ן (ז. ד"ה אין), וטעמא דמסתבר הוא, ב"י.</w:t>
      </w:r>
    </w:p>
  </w:footnote>
  <w:footnote w:id="3757">
    <w:p w14:paraId="6B41DAEA" w14:textId="77777777" w:rsidR="0013116F" w:rsidRDefault="0013116F" w:rsidP="001D49D4">
      <w:pPr>
        <w:pStyle w:val="a9"/>
        <w:rPr>
          <w:rtl/>
        </w:rPr>
      </w:pPr>
      <w:r>
        <w:rPr>
          <w:rStyle w:val="ab"/>
        </w:rPr>
        <w:footnoteRef/>
      </w:r>
      <w:r>
        <w:rPr>
          <w:rtl/>
        </w:rPr>
        <w:t xml:space="preserve"> כתב הב"י- נ"ל פירוש דברי הרמ"ה דכי היכי דאיכא למיתלי בחד שטרא שהוא גם כן מזוייף ולפיכך אין מקיימין משטר אחד - הכי נמי כשהשני שטרות יוצאין מיד לוקח אחד איכא למיתלי שאותו לוקח זייף שניהם, ואין מקיימין אלא משני שטרות היוצאין מיד שני לקוחות. ורבינו הבין בדבריו דהכי קאמר דכי היכי דאיכא למיתלי בחד שמא בעל השטר הזה שאנו באים לקיימו ראה אותו שטר וכיון וזייף ה"נ איכא למיחש שכיון לחתום כחתימת שני השטרות אבל כששני שטרות יוצאים מיד שני לקוחות כולי האי ליכא למיחש שראה שני השטרות ביד שני הלקוחות וכיון לחתום כחתימת שני השטרות, ולפיכך כתב ולא נהירא לי וכו' שאין הטעם משום שמא כיון וזייף אלא שמא השטר שביד הלוקח מזוייף הוא ובתרי לא חיישינן.</w:t>
      </w:r>
    </w:p>
  </w:footnote>
  <w:footnote w:id="3758">
    <w:p w14:paraId="58784395" w14:textId="77777777" w:rsidR="0013116F" w:rsidRDefault="0013116F" w:rsidP="001D49D4">
      <w:pPr>
        <w:pStyle w:val="a9"/>
        <w:rPr>
          <w:rtl/>
        </w:rPr>
      </w:pPr>
      <w:r>
        <w:rPr>
          <w:rStyle w:val="ab"/>
        </w:rPr>
        <w:footnoteRef/>
      </w:r>
      <w:r>
        <w:rPr>
          <w:rtl/>
        </w:rPr>
        <w:t xml:space="preserve"> </w:t>
      </w:r>
      <w:r>
        <w:rPr>
          <w:rFonts w:hint="cs"/>
          <w:rtl/>
        </w:rPr>
        <w:t>הביא הטור את דברי הרמ"ה וכתב עליהם-</w:t>
      </w:r>
      <w:r>
        <w:rPr>
          <w:rtl/>
        </w:rPr>
        <w:t xml:space="preserve"> ולא נהירא לי דכל היכא דיוצא מיד אחר לא חיישינן שמא זייף כיון שאינו מצוי אצלו אלא היינו טעמא דבעינן שני שטרות דאיכא למיחש שמא אותו עצמו שאנו מקיימין מתוכו שמא מזוייף הוא ובתרי לא חיישינן שיהו שניהן מזוייפין תדע לך שהרי משטר אחד מקויים מקיימין אפילו יוצא מתחת ידו כיון שידוע שאינו מזוייף ולא חיישינן שמא כיון וזייף וכיון דהכי הוא-...</w:t>
      </w:r>
    </w:p>
  </w:footnote>
  <w:footnote w:id="3759">
    <w:p w14:paraId="18C59FA5" w14:textId="77777777" w:rsidR="0013116F" w:rsidRDefault="0013116F" w:rsidP="001D49D4">
      <w:pPr>
        <w:pStyle w:val="a9"/>
        <w:rPr>
          <w:rtl/>
        </w:rPr>
      </w:pPr>
      <w:r>
        <w:rPr>
          <w:rStyle w:val="ab"/>
        </w:rPr>
        <w:footnoteRef/>
      </w:r>
      <w:r>
        <w:rPr>
          <w:rtl/>
        </w:rPr>
        <w:t xml:space="preserve"> </w:t>
      </w:r>
      <w:r>
        <w:rPr>
          <w:rFonts w:hint="cs"/>
          <w:rtl/>
        </w:rPr>
        <w:t>וכתב שם דנראה דכן הסכמת הפוסקים מדלא חילקו בזה.</w:t>
      </w:r>
    </w:p>
  </w:footnote>
  <w:footnote w:id="3760">
    <w:p w14:paraId="708A41B9" w14:textId="77777777" w:rsidR="0013116F" w:rsidRDefault="0013116F" w:rsidP="001D49D4">
      <w:pPr>
        <w:pStyle w:val="a9"/>
      </w:pPr>
      <w:r>
        <w:rPr>
          <w:rStyle w:val="ab"/>
        </w:rPr>
        <w:footnoteRef/>
      </w:r>
      <w:r>
        <w:rPr>
          <w:rtl/>
        </w:rPr>
        <w:t xml:space="preserve"> ספר הישר שו"ת סי' לה, גם התוס' כאן (כ. ד"ה דלמא) הביאו דבריו.</w:t>
      </w:r>
    </w:p>
  </w:footnote>
  <w:footnote w:id="3761">
    <w:p w14:paraId="03084CAC" w14:textId="77777777" w:rsidR="0013116F" w:rsidRDefault="0013116F" w:rsidP="001D49D4">
      <w:pPr>
        <w:pStyle w:val="a9"/>
        <w:rPr>
          <w:rtl/>
        </w:rPr>
      </w:pPr>
      <w:r>
        <w:rPr>
          <w:rStyle w:val="ab"/>
        </w:rPr>
        <w:footnoteRef/>
      </w:r>
      <w:r>
        <w:rPr>
          <w:rtl/>
        </w:rPr>
        <w:t xml:space="preserve"> וכתב סמ"ג (עשין קט קצ:) על דברי רבינו תם- וקשה לי שהרי רבא טעה בחתימתו בפרק גט פשוט (ב"ב קסז.), עכ"ל. וכתב הב"י דלאו קושיא היא דאנן הכי אמרינן דלא שכיח למיטעי כשמקיים החתימה בטביעות עין כי היכי דשכיח למיטעי כשמקיימין על ידי דימוי חתימה לחתימה, וכיון דלא שכיח למיטעי בטביעות עין לא חיישינן לזיופא.</w:t>
      </w:r>
    </w:p>
  </w:footnote>
  <w:footnote w:id="3762">
    <w:p w14:paraId="70721CB3" w14:textId="77777777" w:rsidR="0013116F" w:rsidRDefault="0013116F" w:rsidP="001D49D4">
      <w:pPr>
        <w:pStyle w:val="a9"/>
      </w:pPr>
      <w:r>
        <w:rPr>
          <w:rStyle w:val="ab"/>
        </w:rPr>
        <w:footnoteRef/>
      </w:r>
      <w:r>
        <w:rPr>
          <w:rtl/>
        </w:rPr>
        <w:t xml:space="preserve"> </w:t>
      </w:r>
      <w:r>
        <w:rPr>
          <w:rFonts w:hint="cs"/>
          <w:rtl/>
        </w:rPr>
        <w:t xml:space="preserve">זו לשון הר"ן, אך הב"י כתב בשם הר"ן קצת אחרת, וז"ל הב"י- </w:t>
      </w:r>
      <w:r>
        <w:rPr>
          <w:rtl/>
        </w:rPr>
        <w:t>והר"ן (ז:) פירש כגון אילין ספרי דאסי כלומר שכתוב בו ספר זה כתב אסי והרי שמו חתום שם. עכ"ל הב"י. וכתב הש"ך (סקכ"ח) על הב"י- ותמיה לי דליתא כן בהר"ן, ואדרבא בהר"ן שם משמע להדיא איפכא... וע"כ נראה דמקיימים מתוך הספר וכהריב"ש והריטב"א והר"ן שהבאתי לעיל [סקכ"ז], וכדמוכח מהירושלמי דלעיל. ובב"י מחודשים כ"ז כתב על דברי הרא"ש, ונ"ל ראיה לדבריו מהירושלמי דמשמע דוקא מאילין ספרי דאסי שהוא חתימת שמו הוא דמקיימים, אבל לא משאר הספר. וטעמא לפי שדרך בני אדם לחתום בשינוי מכתיבתם, עכ"ל. ולא ירדתי לסוף דעתו, דאדרבה בירושלמי משמע איפכא דמקיימים מן הספר עצמו וכמו שכתבתי. עכ"ל הש"ך.</w:t>
      </w:r>
    </w:p>
  </w:footnote>
  <w:footnote w:id="3763">
    <w:p w14:paraId="64C40466" w14:textId="77777777" w:rsidR="0013116F" w:rsidRDefault="0013116F" w:rsidP="001D49D4">
      <w:pPr>
        <w:pStyle w:val="a9"/>
      </w:pPr>
      <w:r>
        <w:rPr>
          <w:rStyle w:val="ab"/>
        </w:rPr>
        <w:footnoteRef/>
      </w:r>
      <w:r>
        <w:rPr>
          <w:rtl/>
        </w:rPr>
        <w:t xml:space="preserve"> </w:t>
      </w:r>
      <w:r>
        <w:rPr>
          <w:rFonts w:hint="cs"/>
          <w:rtl/>
        </w:rPr>
        <w:t xml:space="preserve">וכן נראה עיקר, דלפירוש הריב"ש (סי' קלו) למה ליה למימר כגון דאמרי אילין ספרי דאסי, לא הוי ליה למימר אלא- 'למדין מספר מוגה ובאילין אגרתא צריכא'. וגם למה קאמר מספר מוגה, מה לי מוגה או לא, אלא משמע דה"ק- למדין מספר מוגה שלמדו ממנו אחרים והגיהו אותו, כגון דאמרי אילין ספרי דאסי, שהמגיהים אומרים שלמדו מספרי דאסי, א"כ הוא בחזקה שהוא ספר אסי, ועל זה קאמר ובאילין אגרתא צריכא. משמע הא אם ידוע בבירור שהאיגרת הזאת כתבו עד זה, מקיימים ממנו, ש"ך </w:t>
      </w:r>
      <w:r>
        <w:rPr>
          <w:sz w:val="16"/>
          <w:szCs w:val="16"/>
          <w:rtl/>
        </w:rPr>
        <w:t>(סקכ"ז)</w:t>
      </w:r>
      <w:r>
        <w:rPr>
          <w:rtl/>
        </w:rPr>
        <w:t xml:space="preserve">. וכתב עוד הש"ך שם דכן נראה מדברי הריטב"א שלאחר מכן </w:t>
      </w:r>
      <w:r>
        <w:rPr>
          <w:sz w:val="16"/>
          <w:szCs w:val="16"/>
          <w:rtl/>
        </w:rPr>
        <w:t>(כתובות כא. ד"ה ותנן, והביאו הב"י לקמן סי"ג)</w:t>
      </w:r>
      <w:r>
        <w:rPr>
          <w:rtl/>
        </w:rPr>
        <w:t xml:space="preserve"> וז"ל הריטב"א- וה"ה נמי דאפילו בסיפא דמגילתא יכול למיכתב תשר"ק צפעס"ן או אלפא ביתא, דליכא למיחש למידי, ובהא מחזקי כתב ידיה בשטרא, וכדאמרינן בירושלמי (שם) דלמדין מספר מוגה. עכ"ל. משמע דאפילו מאיגרת מקיימים.</w:t>
      </w:r>
    </w:p>
  </w:footnote>
  <w:footnote w:id="3764">
    <w:p w14:paraId="4EE9BA42" w14:textId="77777777" w:rsidR="0013116F" w:rsidRDefault="0013116F" w:rsidP="001D49D4">
      <w:pPr>
        <w:pStyle w:val="a9"/>
        <w:rPr>
          <w:rtl/>
        </w:rPr>
      </w:pPr>
      <w:r>
        <w:rPr>
          <w:rStyle w:val="ab"/>
        </w:rPr>
        <w:footnoteRef/>
      </w:r>
      <w:r>
        <w:rPr>
          <w:rtl/>
        </w:rPr>
        <w:t xml:space="preserve"> ונראה לי ראיה מהירושלמי שכתבתי בסמוך (מחו' כח)... והמרדכי (שם) האריך בזה עיין עליו, ב"י.</w:t>
      </w:r>
    </w:p>
  </w:footnote>
  <w:footnote w:id="3765">
    <w:p w14:paraId="779B63D2" w14:textId="77777777" w:rsidR="0013116F" w:rsidRDefault="0013116F" w:rsidP="001D49D4">
      <w:pPr>
        <w:pStyle w:val="a9"/>
        <w:rPr>
          <w:rtl/>
        </w:rPr>
      </w:pPr>
      <w:r>
        <w:rPr>
          <w:rStyle w:val="ab"/>
        </w:rPr>
        <w:footnoteRef/>
      </w:r>
      <w:r>
        <w:rPr>
          <w:rtl/>
        </w:rPr>
        <w:t xml:space="preserve"> ובהגמ"ר דסוף בתרא (סי' תרע) כתוב בשם העיטור (שם נב ע"ד) שבעה, ב"י.</w:t>
      </w:r>
    </w:p>
  </w:footnote>
  <w:footnote w:id="3766">
    <w:p w14:paraId="1F515412" w14:textId="77777777" w:rsidR="0013116F" w:rsidRDefault="0013116F" w:rsidP="001D49D4">
      <w:pPr>
        <w:pStyle w:val="a9"/>
      </w:pPr>
      <w:r>
        <w:rPr>
          <w:rStyle w:val="ab"/>
        </w:rPr>
        <w:footnoteRef/>
      </w:r>
      <w:r>
        <w:rPr>
          <w:rtl/>
        </w:rPr>
        <w:t xml:space="preserve"> והביאוהו הב"י [מחו' ה'] והדרכ"מ [סע' ד] וסמ"ע (סקי"ד). והמחלוקת הזו ראיתיה בירושלמי פ"ב דכתובות [ה"ג]. וז"ל הריטב"א (כתובות כ: ד"ה מתניתין זה אומר כתב ידי כו'), גרסינן בירושלמי הם אומרין כתב ידינו הוא זה, ואחרים אומרין אינו כתב ידם, הא תרי ותרי. פירוש, דאף על גב דלרבנן אין אחד מהעדים מעיד אלא על כתב ידו בלבד, ואילו השנים האחרים מעידים על כל אחד ואחד, לא חשיבי תרי לגבי אחד, דכיון שהעדים על מנה שבשטר הם מעידים הא חשיב כאידך תרי. אבל הם אומרים אינו כתב ידינו ואחרים אומרים כתב ידם הוא, תני ר' חייא לא מעלין עדי השטר ולא מורידין. פירוש, שהעדים האומרים אינו כתב ידינו מיירי שאין אחד מהן מעיד אלא על שלו, ואידך דמכחישים מעידים על כל אחד ואחד מהם והוה ליה תרי לגבי חד. אמר ר' יוסי מתניתין אמרה כן, אם יש עדים שהוא כתב ידם אין נאמנים. פירוש, וטעמא משום דליכא למימר הפה שאסר הוא הפה שהתיר, דאפילו אמרי אינו כתב ידינו לא מהני להו כיון שיש עדים שהוא כתב ידם, כן נ"ל פירוש הירושלמי הזה, עכ"ל. ומשמע דאם עדי השטר כל אחד מעיד גם כן על של חבירו שאינו כתב ידו, הו"ל תרי ותרי, ש"ך (סקי"ב).</w:t>
      </w:r>
    </w:p>
  </w:footnote>
  <w:footnote w:id="3767">
    <w:p w14:paraId="0E12F5DB" w14:textId="77777777" w:rsidR="0013116F" w:rsidRDefault="0013116F" w:rsidP="001D49D4">
      <w:pPr>
        <w:pStyle w:val="a9"/>
      </w:pPr>
      <w:r>
        <w:rPr>
          <w:rStyle w:val="ab"/>
        </w:rPr>
        <w:footnoteRef/>
      </w:r>
      <w:r>
        <w:rPr>
          <w:rtl/>
        </w:rPr>
        <w:t xml:space="preserve"> הוא לשון הרמב"ם (פ"ו מעדות ה"ב) ולטעמיה אזיל דס"ל (בפ"ח מעדות ה"א-ד) דבעינן שיזכור העדות וכדלקמן סעיף י' סקל"א. ולהחולקים שם, אפילו אינו זוכר העדות סגי כשיעיד גם על כתב יד חבירו. ומיהו אף להרמב"ם א"צ לומר בפירוש כן שזוכרים, אלא מסתמא נמי אמרינן שזוכרים. וכ"כ בסמ"ע (סקט"ו), וכן הוכחתי עוד לקמן סעיף י' (סקל"ב), ש"ך (סקי"ג).</w:t>
      </w:r>
    </w:p>
  </w:footnote>
  <w:footnote w:id="3768">
    <w:p w14:paraId="086E98B2" w14:textId="77777777" w:rsidR="0013116F" w:rsidRDefault="0013116F" w:rsidP="001D49D4">
      <w:pPr>
        <w:pStyle w:val="a9"/>
      </w:pPr>
      <w:r>
        <w:rPr>
          <w:rStyle w:val="ab"/>
        </w:rPr>
        <w:footnoteRef/>
      </w:r>
      <w:r>
        <w:rPr>
          <w:rtl/>
        </w:rPr>
        <w:t xml:space="preserve"> ואף אם העדים החתומים בפנינו, יכולים לקיים ע"י עדות אחרים. ב"י ודרכ"מ [סע' י] וסמ"ע (סקט"ז), ופשוט הוא. וגדולה מזו נתבאר בסמוך (סקי"ב), דאפילו אומרים אין זה כתב ידינו, אין נאמנים, ש"ך (סקי"ד).</w:t>
      </w:r>
    </w:p>
  </w:footnote>
  <w:footnote w:id="3769">
    <w:p w14:paraId="15E498BE" w14:textId="77777777" w:rsidR="0013116F" w:rsidRDefault="0013116F" w:rsidP="001D49D4">
      <w:pPr>
        <w:pStyle w:val="a9"/>
        <w:rPr>
          <w:rtl/>
        </w:rPr>
      </w:pPr>
      <w:r>
        <w:rPr>
          <w:rStyle w:val="ab"/>
        </w:rPr>
        <w:footnoteRef/>
      </w:r>
      <w:r>
        <w:rPr>
          <w:rtl/>
        </w:rPr>
        <w:t xml:space="preserve"> שחתמו לפניהם, או שמכירים חתימתן. וכתב בהעי"ט (קיום נ"ה ע"ד)- ומסתברא דהיכא דמכירים רוב החתימה של שמו או של אחיו או של אביו כשר, וא"צ שיכירו כל אות ואות. דהא רב הושעיא חתם עי"ן ורב חסדא סמ"ך [גיטין לו.], שמע מינה שבאות אחת ניכרת החתימה והכל לפי מה שמכירין שדומה להן, ע"כ, ש"ך (סקט"ו).</w:t>
      </w:r>
    </w:p>
  </w:footnote>
  <w:footnote w:id="3770">
    <w:p w14:paraId="7DC46DB6" w14:textId="77777777" w:rsidR="0013116F" w:rsidRDefault="0013116F" w:rsidP="001D49D4">
      <w:pPr>
        <w:pStyle w:val="a9"/>
      </w:pPr>
      <w:r>
        <w:rPr>
          <w:rStyle w:val="ab"/>
        </w:rPr>
        <w:footnoteRef/>
      </w:r>
      <w:r>
        <w:rPr>
          <w:rtl/>
        </w:rPr>
        <w:t xml:space="preserve"> עיין בריב"ש (סי' שפב) שנסתפק בזה, דכיון דקיום שטרות מדרבנן וסגי אפילו שלא בפני בעל דין, דילמא סגי נמי מפי כתבם, ולא הכריע. ומביאו ב"י לקמן מחודש כ"א. רק בסי' תי"ג כתב שדן לפני מורו הר"ן, דכיון דלא בעינן רשות בע"ד ומקיימין אפילו עומד וצווח, כותבים עדותן ושולחים לבית דין ע"ש, ומביאו ב"י ר"ס זה מחודש ב'. ומדברי הרא"ש [גיטין] ריש פרק מי שאחזו [סי' ב'] והנמשכים אחריו, נראה שחולקים על זה, שכתב שם דבנשתתק פסול לעדות דעלמא, דרחמנא אמר מפיהם ולא מפי כתבם, ואם היה חתום על השטר, חתימתו מתקיימת ע"י אחרים ולא ע"י עצמו, עכ"ל. וכ"כ רי"ו (ני"ט ח"א) והטור והמחבר לקמן [טור סעיף ל' ומחבר] סעיף ל"ו. וא"כ קשה על הר"ב כיון דסתם לקמן סעיף ל"ו כדברי הטור והמחבר, איך פסק כאן כדברי הריב"ש... ודוחק לחלק בין נשתתק שאינו ראוי להגיד, דהא אנן לא קי"ל הכי לעיל סימן כ"ח סעיף י"א, אלא קי"ל דאין חילוק בין אילם לאינו אילם, דסבירא לן דמאי דקאמר בש"ס [גיטין עא.] דאילם פסול להעיד מטעמא דמפיהם ולא מפי כתבם, הוא לאו דוקא אילם, אלא הוא הדין מי שאינו אילם אינו יכול להעיד בכתב, וא"כ הוא הדין דבדרבנן אין טעם לחלק בין אילם או לא, וצ"ע, ש"ך (סקי"ז).</w:t>
      </w:r>
    </w:p>
  </w:footnote>
  <w:footnote w:id="3771">
    <w:p w14:paraId="73B1E443" w14:textId="77777777" w:rsidR="0013116F" w:rsidRDefault="0013116F" w:rsidP="001D49D4">
      <w:pPr>
        <w:pStyle w:val="a9"/>
      </w:pPr>
      <w:r>
        <w:rPr>
          <w:rStyle w:val="ab"/>
        </w:rPr>
        <w:footnoteRef/>
      </w:r>
      <w:r>
        <w:rPr>
          <w:rtl/>
        </w:rPr>
        <w:t xml:space="preserve"> אחר שנחתמו. הריטב"א (פ"ב דכתובות כ. ד"ה אמרי נהרדעי), ש"ך (סקי"ט).</w:t>
      </w:r>
    </w:p>
  </w:footnote>
  <w:footnote w:id="3772">
    <w:p w14:paraId="0A8ED601" w14:textId="77777777" w:rsidR="0013116F" w:rsidRDefault="0013116F" w:rsidP="001D49D4">
      <w:pPr>
        <w:pStyle w:val="a9"/>
      </w:pPr>
      <w:r>
        <w:rPr>
          <w:rStyle w:val="ab"/>
        </w:rPr>
        <w:footnoteRef/>
      </w:r>
      <w:r>
        <w:rPr>
          <w:rtl/>
        </w:rPr>
        <w:t xml:space="preserve"> ולפי זה אם אותם שטרות שהוא מוציא מקוימים בבית דין, מקיימים מהם ואפילו משטר אחד, עכ"ל הר"ן </w:t>
      </w:r>
      <w:r>
        <w:rPr>
          <w:sz w:val="16"/>
          <w:szCs w:val="16"/>
          <w:rtl/>
        </w:rPr>
        <w:t>(כתובות ז: מדפה"ר ד"ה וביוצא)</w:t>
      </w:r>
      <w:r>
        <w:rPr>
          <w:rtl/>
        </w:rPr>
        <w:t xml:space="preserve">. וכ"כ בהעי"ט </w:t>
      </w:r>
      <w:r>
        <w:rPr>
          <w:sz w:val="16"/>
          <w:szCs w:val="16"/>
          <w:rtl/>
        </w:rPr>
        <w:t xml:space="preserve">(קיום נ"ד ע"ב) </w:t>
      </w:r>
      <w:r>
        <w:rPr>
          <w:rtl/>
        </w:rPr>
        <w:t>דאיכא מ"ד אימור זייף הכל. וכ"כ הריטב"א</w:t>
      </w:r>
      <w:r>
        <w:rPr>
          <w:sz w:val="16"/>
          <w:szCs w:val="16"/>
          <w:rtl/>
        </w:rPr>
        <w:t xml:space="preserve"> (כתובות כ. ד"ה אמר רב שימי)</w:t>
      </w:r>
      <w:r>
        <w:rPr>
          <w:rtl/>
        </w:rPr>
        <w:t xml:space="preserve">, ש"ך </w:t>
      </w:r>
      <w:r>
        <w:rPr>
          <w:sz w:val="16"/>
          <w:szCs w:val="16"/>
          <w:rtl/>
        </w:rPr>
        <w:t>(סקכ"ב)</w:t>
      </w:r>
      <w:r>
        <w:rPr>
          <w:rtl/>
        </w:rPr>
        <w:t xml:space="preserve">. וכתב עוד הש"ך (סקכ"ג) דאין לשון הר"ב </w:t>
      </w:r>
      <w:r>
        <w:rPr>
          <w:sz w:val="16"/>
          <w:szCs w:val="16"/>
          <w:rtl/>
        </w:rPr>
        <w:t xml:space="preserve">{לקמן} </w:t>
      </w:r>
      <w:r>
        <w:rPr>
          <w:rtl/>
        </w:rPr>
        <w:t>מדוקדק, דהא לפי טעם הרמב"ם (פ"ו מעדות ה"ג) והמחבר, מהני כשהשטרות מקוימים... והכי הו"ל למימר, ואם השטרות מקוימים, מקיימים מהם אפילו מאחד, ויש חולקין דאפילו ב' השטרות מקוימים כו'.</w:t>
      </w:r>
    </w:p>
  </w:footnote>
  <w:footnote w:id="3773">
    <w:p w14:paraId="24B49AFD" w14:textId="77777777" w:rsidR="0013116F" w:rsidRDefault="0013116F" w:rsidP="001D49D4">
      <w:pPr>
        <w:pStyle w:val="a9"/>
        <w:rPr>
          <w:rtl/>
        </w:rPr>
      </w:pPr>
      <w:r>
        <w:rPr>
          <w:rStyle w:val="ab"/>
        </w:rPr>
        <w:footnoteRef/>
      </w:r>
      <w:r>
        <w:rPr>
          <w:rtl/>
        </w:rPr>
        <w:t xml:space="preserve"> דכיון שהם לפניו חיישינן שמא זייף זה מתוכם, כן דעת רש"י [כתובות כ. ד"ה זיופי], וכן דעת התוס' [שם ד"ה דילמא] בשם ר"ת [בספר הישר תשו' סי' לה] והרא"ש [שם סי' טז] והמרדכי [שם סי' קמו] והטור [סע' כד]. וכתבו, דהיינו דוקא כשאין מכירין אלא על ידי דמיון החתימה לחתימה, אבל היכא דמכירים חתימת העדים בטביעת עין, אע"פ שיש לו חתימה אחרת תחת ידו, ליכא למיחש דילמא זייף, וכן כתב הטור [שם]... וכתב הרא"ש [שם] דמזה נלמד דמי שיש לו ב' שטרות בחתימת שני עדים, שאין לקיימן אלא בטביעת עין ולא בדימוי, ע"כ. וכ"כ רי"ו (נ"ב ח"ח). ולהרמב"ם וסיעתו דלעיל מקיימים אף בדימוי... והכי נקטינן, ש"ך (סקכ"ד).</w:t>
      </w:r>
    </w:p>
  </w:footnote>
  <w:footnote w:id="3774">
    <w:p w14:paraId="3FAA9F59" w14:textId="77777777" w:rsidR="0013116F" w:rsidRDefault="0013116F" w:rsidP="001D49D4">
      <w:pPr>
        <w:pStyle w:val="a9"/>
        <w:rPr>
          <w:rtl/>
        </w:rPr>
      </w:pPr>
      <w:r>
        <w:rPr>
          <w:rStyle w:val="ab"/>
        </w:rPr>
        <w:footnoteRef/>
      </w:r>
      <w:r>
        <w:rPr>
          <w:rtl/>
        </w:rPr>
        <w:t xml:space="preserve"> ולפי עניות דעתי נראה דגם הרמב"ם </w:t>
      </w:r>
      <w:r>
        <w:rPr>
          <w:sz w:val="16"/>
          <w:szCs w:val="16"/>
          <w:rtl/>
        </w:rPr>
        <w:t>(פ"ו מעדות ה"ג)</w:t>
      </w:r>
      <w:r>
        <w:rPr>
          <w:rtl/>
        </w:rPr>
        <w:t xml:space="preserve"> והרי"ף </w:t>
      </w:r>
      <w:r>
        <w:rPr>
          <w:sz w:val="16"/>
          <w:szCs w:val="16"/>
          <w:rtl/>
        </w:rPr>
        <w:t xml:space="preserve">(כתובות ז. מדפה"ר) </w:t>
      </w:r>
      <w:r>
        <w:rPr>
          <w:rtl/>
        </w:rPr>
        <w:t xml:space="preserve">ורש"י </w:t>
      </w:r>
      <w:r>
        <w:rPr>
          <w:sz w:val="16"/>
          <w:szCs w:val="16"/>
          <w:rtl/>
        </w:rPr>
        <w:t xml:space="preserve">(שם כ. ד"ה אא"כ) </w:t>
      </w:r>
      <w:r>
        <w:rPr>
          <w:rtl/>
        </w:rPr>
        <w:t>מודים דבמקוים אפילו לא קרא עליו ערער סגי, דודאי דבר תימה לומר דקיום לא מהני מטעם שמא לא דקדקו הבית דין בקיומו, דפשיטא דבית דין לא חתמי אא"כ דקדקו בדבר, ואל"כ אין לדבר סוף</w:t>
      </w:r>
      <w:r>
        <w:rPr>
          <w:sz w:val="16"/>
          <w:szCs w:val="16"/>
          <w:rtl/>
        </w:rPr>
        <w:t xml:space="preserve"> (ומה שכתב רש"י דדוקא קרא עליו ערער, היינו כשאין מכירין הקיום דחיישינן שמא הקיום גופיה זיוף... אבל בקרא עליו ערער לא חיישינן להכי, דכיון שידוע ששטר כזה קרא עליו ערער והוחזק בב"ד, א"כ מסתמא הוא אמת, והוי ממש כמו שטרי שדות ושטרי כתובות, דאע"ג דאין אנו מכירים עדי החתימות, מ"מ כיון דידעינן שיש להן כתובות הוא אמת, וה"ה הכא... וכן נלפע"ד עיקר, ודלא כנראה מהב"י [סע' כד] דאפילו מכירים הקיום אין מקיימים ממנו אא"כ קרא עליו ערער, מטעם דחיישינן שמא לא דקדקו הב"ד בקיומו, ואחריו נמשכו העיר שושן [סע' ז] והסמ"ע סקכ"ב, ולא נהירא. ואף שהרמ"ה בטור סובר כן, מ"מ אינו מחוור לפע"ד. והעיקר בזה כמו שכתבו הריטב"א והרא"ש דאם הוא מקוים, מהני, ולא חיישינן שמא לא דקדקו הב"ד בקיומו, דא"כ ביטלת כל קיום שטרות)</w:t>
      </w:r>
      <w:r>
        <w:rPr>
          <w:rtl/>
        </w:rPr>
        <w:t xml:space="preserve">, ש"ך </w:t>
      </w:r>
      <w:r>
        <w:rPr>
          <w:sz w:val="16"/>
          <w:szCs w:val="16"/>
          <w:rtl/>
        </w:rPr>
        <w:t>(סקכ"ה)</w:t>
      </w:r>
      <w:r>
        <w:rPr>
          <w:rtl/>
        </w:rPr>
        <w:t xml:space="preserve">. וכתב עוד הש"ך </w:t>
      </w:r>
      <w:r>
        <w:rPr>
          <w:sz w:val="16"/>
          <w:szCs w:val="16"/>
          <w:rtl/>
        </w:rPr>
        <w:t xml:space="preserve">(סקכ"ו) </w:t>
      </w:r>
      <w:r>
        <w:rPr>
          <w:rtl/>
        </w:rPr>
        <w:t xml:space="preserve">דכן יש לפרש את דברי הראב"ד </w:t>
      </w:r>
      <w:r>
        <w:rPr>
          <w:sz w:val="16"/>
          <w:szCs w:val="16"/>
          <w:rtl/>
        </w:rPr>
        <w:t>(דכשמכירים הקיום - כשר אפי' בחד)</w:t>
      </w:r>
      <w:r>
        <w:rPr>
          <w:rtl/>
        </w:rPr>
        <w:t>.</w:t>
      </w:r>
    </w:p>
  </w:footnote>
  <w:footnote w:id="3775">
    <w:p w14:paraId="0FAFDF18" w14:textId="77777777" w:rsidR="0013116F" w:rsidRDefault="0013116F" w:rsidP="001D49D4">
      <w:pPr>
        <w:pStyle w:val="a9"/>
      </w:pPr>
      <w:r>
        <w:rPr>
          <w:rStyle w:val="ab"/>
        </w:rPr>
        <w:footnoteRef/>
      </w:r>
      <w:r>
        <w:rPr>
          <w:rtl/>
        </w:rPr>
        <w:t xml:space="preserve"> </w:t>
      </w:r>
      <w:r>
        <w:rPr>
          <w:rFonts w:hint="cs"/>
          <w:rtl/>
        </w:rPr>
        <w:t xml:space="preserve">סימן – </w:t>
      </w:r>
      <w:r>
        <w:rPr>
          <w:sz w:val="16"/>
          <w:szCs w:val="16"/>
          <w:rtl/>
        </w:rPr>
        <w:t xml:space="preserve">{זה} </w:t>
      </w:r>
      <w:r>
        <w:rPr>
          <w:rtl/>
        </w:rPr>
        <w:t xml:space="preserve">כתבי </w:t>
      </w:r>
      <w:r>
        <w:rPr>
          <w:sz w:val="16"/>
          <w:szCs w:val="16"/>
          <w:rtl/>
        </w:rPr>
        <w:t>{זה}</w:t>
      </w:r>
      <w:r>
        <w:rPr>
          <w:rtl/>
        </w:rPr>
        <w:t xml:space="preserve"> כתבו.</w:t>
      </w:r>
    </w:p>
  </w:footnote>
  <w:footnote w:id="3776">
    <w:p w14:paraId="690E5350" w14:textId="77777777" w:rsidR="0013116F" w:rsidRDefault="0013116F" w:rsidP="001D49D4">
      <w:pPr>
        <w:pStyle w:val="a9"/>
      </w:pPr>
      <w:r>
        <w:rPr>
          <w:rStyle w:val="ab"/>
        </w:rPr>
        <w:footnoteRef/>
      </w:r>
      <w:r>
        <w:rPr>
          <w:rtl/>
        </w:rPr>
        <w:t xml:space="preserve"> </w:t>
      </w:r>
      <w:r>
        <w:rPr>
          <w:rFonts w:hint="cs"/>
          <w:rtl/>
        </w:rPr>
        <w:t>סימן – חלק</w:t>
      </w:r>
      <w:r>
        <w:rPr>
          <w:sz w:val="16"/>
          <w:szCs w:val="16"/>
          <w:rtl/>
        </w:rPr>
        <w:t xml:space="preserve"> {היינו בלי טעויות}</w:t>
      </w:r>
      <w:r>
        <w:rPr>
          <w:rtl/>
        </w:rPr>
        <w:t xml:space="preserve">. קדושים </w:t>
      </w:r>
      <w:r>
        <w:rPr>
          <w:sz w:val="16"/>
          <w:szCs w:val="16"/>
          <w:rtl/>
        </w:rPr>
        <w:t xml:space="preserve">{היינו ב"ד} </w:t>
      </w:r>
      <w:r>
        <w:rPr>
          <w:rtl/>
        </w:rPr>
        <w:t xml:space="preserve">חקרו לגמרי. קטנים </w:t>
      </w:r>
      <w:r>
        <w:rPr>
          <w:sz w:val="16"/>
          <w:szCs w:val="16"/>
          <w:rtl/>
        </w:rPr>
        <w:t xml:space="preserve">{היינו עדים} </w:t>
      </w:r>
      <w:r>
        <w:rPr>
          <w:rtl/>
        </w:rPr>
        <w:t>לא חקרו. וכן – קדושים לא חפיפניקים.</w:t>
      </w:r>
    </w:p>
  </w:footnote>
  <w:footnote w:id="3777">
    <w:p w14:paraId="659F1BB9" w14:textId="77777777" w:rsidR="0013116F" w:rsidRDefault="0013116F" w:rsidP="001D49D4">
      <w:pPr>
        <w:pStyle w:val="a9"/>
        <w:rPr>
          <w:rtl/>
        </w:rPr>
      </w:pPr>
      <w:r>
        <w:rPr>
          <w:rStyle w:val="ab"/>
        </w:rPr>
        <w:footnoteRef/>
      </w:r>
      <w:r>
        <w:rPr>
          <w:rtl/>
        </w:rPr>
        <w:t xml:space="preserve"> ונראה שהרמב"ם מפרש שמן הדין לא היה צריך לכתוב הדרך שנתקיים בה אלא שחש שמואל שמא הבית דין שיבא לפניו שטר זה יאמר דילמא בית דין שקיימוהו טועין היו ולא אחזיקנו כמקויים אחר שלא נתבאר בו הדרך שבו נתקיים וסבר אם אכתוב כרבנן דילמא איכא דסבירא ליה הלכה כרבי וכו' וסובר הרב ז"ל דמדאמרינן וחש שמואל חששא בעלמא היתה אבל מן הדין לא היה צריך לכתוב הדרך שבה נתקיים השטר, ב"י.</w:t>
      </w:r>
    </w:p>
  </w:footnote>
  <w:footnote w:id="3778">
    <w:p w14:paraId="23F7651F" w14:textId="77777777" w:rsidR="0013116F" w:rsidRDefault="0013116F" w:rsidP="001D49D4">
      <w:pPr>
        <w:pStyle w:val="a9"/>
      </w:pPr>
      <w:r>
        <w:rPr>
          <w:rStyle w:val="ab"/>
        </w:rPr>
        <w:footnoteRef/>
      </w:r>
      <w:r>
        <w:rPr>
          <w:rtl/>
        </w:rPr>
        <w:t xml:space="preserve"> ר"ל, שמא טעו במה שיש חילוק בקיום, דאם העדים בעצמן מעידין על חתימתן, אז א"צ שיעיד כל אחד על חתימת חבירו, ואם אחרים מעידין על חתימתן, אז צריך כל אחד להעיד גם על חתימת חבירו או יצטרף שלישי עמהן, וכמו שכתבו הטור והמחבר [טור סעיף י"א ומחבר] בסעיף ט' וי"א, סמ"ע (סקכ"ו).</w:t>
      </w:r>
    </w:p>
  </w:footnote>
  <w:footnote w:id="3779">
    <w:p w14:paraId="64EF12BA" w14:textId="77777777" w:rsidR="0013116F" w:rsidRDefault="0013116F" w:rsidP="001D49D4">
      <w:pPr>
        <w:pStyle w:val="a9"/>
        <w:rPr>
          <w:rtl/>
        </w:rPr>
      </w:pPr>
      <w:r>
        <w:rPr>
          <w:rStyle w:val="ab"/>
        </w:rPr>
        <w:footnoteRef/>
      </w:r>
      <w:r>
        <w:rPr>
          <w:rtl/>
        </w:rPr>
        <w:t xml:space="preserve"> וכיוצא בזה כתב הרמב"ם </w:t>
      </w:r>
      <w:r>
        <w:rPr>
          <w:sz w:val="16"/>
          <w:szCs w:val="16"/>
          <w:rtl/>
        </w:rPr>
        <w:t xml:space="preserve">(עדות פ"ו ה"ד) </w:t>
      </w:r>
      <w:r>
        <w:rPr>
          <w:rtl/>
        </w:rPr>
        <w:t>וכתב דמ"מ טוב לכתוב הדרך שבו נתקיים השטר</w:t>
      </w:r>
      <w:r>
        <w:rPr>
          <w:sz w:val="16"/>
          <w:szCs w:val="16"/>
          <w:rtl/>
        </w:rPr>
        <w:t xml:space="preserve"> {ואע"ג דהרמב"ם לא כתב כן בפירוש אפ"ל שכך הבין הב"י ממה שכתב הרמב"ם שכך נהגו בתי הדינים וכו'}</w:t>
      </w:r>
      <w:r>
        <w:rPr>
          <w:rtl/>
        </w:rPr>
        <w:t>, וראיתי קיום שטר מספרד ואין כתוב בו אלא אתקיים שטרא דנן קדמנא, ב"י.</w:t>
      </w:r>
    </w:p>
  </w:footnote>
  <w:footnote w:id="3780">
    <w:p w14:paraId="42AE59D0" w14:textId="77777777" w:rsidR="0013116F" w:rsidRDefault="0013116F" w:rsidP="001D49D4">
      <w:pPr>
        <w:pStyle w:val="a9"/>
      </w:pPr>
      <w:r>
        <w:rPr>
          <w:rStyle w:val="ab"/>
        </w:rPr>
        <w:footnoteRef/>
      </w:r>
      <w:r>
        <w:rPr>
          <w:rtl/>
        </w:rPr>
        <w:t xml:space="preserve"> בב"י (ס"ס כט) כתב, וראיתי קיום שטר מספרד ואין כתוב בו אלא אתקיים שטרא דנא קדמנא, ע"כ. כלומר, ולא נהגו לדקדק לכתוב הדרך שנתקיים בו. גם האידנא במדינתינו לא נהגו לדקדק בכך, ש"ך (סקכ"ט).</w:t>
      </w:r>
    </w:p>
  </w:footnote>
  <w:footnote w:id="3781">
    <w:p w14:paraId="35B85E26" w14:textId="77777777" w:rsidR="0013116F" w:rsidRDefault="0013116F" w:rsidP="001D49D4">
      <w:pPr>
        <w:pStyle w:val="a9"/>
        <w:rPr>
          <w:rtl/>
        </w:rPr>
      </w:pPr>
      <w:r>
        <w:rPr>
          <w:rStyle w:val="ab"/>
        </w:rPr>
        <w:footnoteRef/>
      </w:r>
      <w:r>
        <w:rPr>
          <w:rtl/>
        </w:rPr>
        <w:t xml:space="preserve"> ונ"ל הטעם, דאף דלא חיישינן לב"ד טועין, מ"מ שמא ע"י זה יוודע הלוה שלא נתקיים כראוי, והיינו שיברר שעדי הקיום פסולין הן, או משום צד אחר, משא"כ כשעדי השטר בעצמן העידו על חתימתן, סמ"ע (סקכ"ז).</w:t>
      </w:r>
    </w:p>
  </w:footnote>
  <w:footnote w:id="3782">
    <w:p w14:paraId="7D00AC9F" w14:textId="77777777" w:rsidR="0013116F" w:rsidRDefault="0013116F" w:rsidP="001D49D4">
      <w:pPr>
        <w:pStyle w:val="a9"/>
      </w:pPr>
      <w:r>
        <w:rPr>
          <w:rStyle w:val="ab"/>
        </w:rPr>
        <w:footnoteRef/>
      </w:r>
      <w:r>
        <w:rPr>
          <w:rtl/>
        </w:rPr>
        <w:t xml:space="preserve"> </w:t>
      </w:r>
      <w:r>
        <w:rPr>
          <w:rFonts w:hint="cs"/>
          <w:rtl/>
        </w:rPr>
        <w:t>סימן – אינו כאן, כתבו אטום.</w:t>
      </w:r>
    </w:p>
  </w:footnote>
  <w:footnote w:id="3783">
    <w:p w14:paraId="1DEB4148" w14:textId="77777777" w:rsidR="0013116F" w:rsidRDefault="0013116F" w:rsidP="001D49D4">
      <w:pPr>
        <w:pStyle w:val="a9"/>
      </w:pPr>
      <w:r>
        <w:rPr>
          <w:rStyle w:val="ab"/>
        </w:rPr>
        <w:footnoteRef/>
      </w:r>
      <w:r>
        <w:rPr>
          <w:rtl/>
        </w:rPr>
        <w:t xml:space="preserve"> דדוקא כשמתקיים ע"י עצמם סגי לעיל סעיף ז' כשכל אחד אומר זה כתב ידי, לפי שעל מנה שבשטר הם מעידים, משא"כ הכא דלא על מנה שבשטר הם מעידים רק על כתב ידם, לכן צריך ב' עדים על כל חתימה, ש"ך (סק"ל).</w:t>
      </w:r>
    </w:p>
  </w:footnote>
  <w:footnote w:id="3784">
    <w:p w14:paraId="653421D3" w14:textId="77777777" w:rsidR="0013116F" w:rsidRDefault="0013116F" w:rsidP="001D49D4">
      <w:pPr>
        <w:pStyle w:val="a9"/>
      </w:pPr>
      <w:r>
        <w:rPr>
          <w:rStyle w:val="ab"/>
        </w:rPr>
        <w:footnoteRef/>
      </w:r>
      <w:r>
        <w:rPr>
          <w:rtl/>
        </w:rPr>
        <w:t xml:space="preserve"> </w:t>
      </w:r>
      <w:r>
        <w:rPr>
          <w:rFonts w:hint="cs"/>
          <w:rtl/>
        </w:rPr>
        <w:t>סימן - כותב כתב כשזוכר.</w:t>
      </w:r>
    </w:p>
  </w:footnote>
  <w:footnote w:id="3785">
    <w:p w14:paraId="1C027E1C" w14:textId="77777777" w:rsidR="0013116F" w:rsidRDefault="0013116F" w:rsidP="001D49D4">
      <w:pPr>
        <w:pStyle w:val="a9"/>
        <w:rPr>
          <w:rtl/>
        </w:rPr>
      </w:pPr>
      <w:r>
        <w:rPr>
          <w:rStyle w:val="ab"/>
        </w:rPr>
        <w:footnoteRef/>
      </w:r>
      <w:r>
        <w:rPr>
          <w:rtl/>
        </w:rPr>
        <w:t xml:space="preserve"> היינו כל עוד שלא נצטרף עמהם אחר, ב"י.</w:t>
      </w:r>
    </w:p>
  </w:footnote>
  <w:footnote w:id="3786">
    <w:p w14:paraId="26ACC593" w14:textId="77777777" w:rsidR="0013116F" w:rsidRDefault="0013116F" w:rsidP="001D49D4">
      <w:pPr>
        <w:pStyle w:val="a9"/>
      </w:pPr>
      <w:r>
        <w:rPr>
          <w:rStyle w:val="ab"/>
        </w:rPr>
        <w:footnoteRef/>
      </w:r>
      <w:r>
        <w:rPr>
          <w:rtl/>
        </w:rPr>
        <w:t xml:space="preserve"> ונ"ל שהרמב"ם למד כן מירושלמי </w:t>
      </w:r>
      <w:r>
        <w:rPr>
          <w:sz w:val="16"/>
          <w:szCs w:val="16"/>
          <w:rtl/>
        </w:rPr>
        <w:t>(פ"ב דכתובות)</w:t>
      </w:r>
      <w:r>
        <w:rPr>
          <w:rtl/>
        </w:rPr>
        <w:t xml:space="preserve">,כתבתיו לעיל </w:t>
      </w:r>
      <w:r>
        <w:rPr>
          <w:sz w:val="16"/>
          <w:szCs w:val="16"/>
          <w:rtl/>
        </w:rPr>
        <w:t>(דמשמע מהתם דכשאין זוכרין העדות ע"י ראיית השטר לכו"ע אין עדותן עדות, וטעמא משום דכי אמרינן נאמן כל אחד לומר זה כתב ידי - היינו משום שעל מנה שבשטר הם מעידים, אבל כשאינם זוכרים העדות הרי על כרחך על כתב ידם הם מעידין וצריך שני עדים לכל חתימה, וה"ה אם יצטרף אחר עמהם שמעיד על שני החתימות שמתקיים השטר על פיהם)</w:t>
      </w:r>
      <w:r>
        <w:rPr>
          <w:rtl/>
        </w:rPr>
        <w:t>... וזה הירושלמי כתבו הרא"ש בפרק הנזכר (סי' טז) אלמא דהכי סבירא ליה, וכ"כ במישרים בנ"ב ח"ח (יד ע"ג) דהרא"ש סבירא ליה כהרמב"ם, ב"י.</w:t>
      </w:r>
    </w:p>
  </w:footnote>
  <w:footnote w:id="3787">
    <w:p w14:paraId="4D24643B" w14:textId="77777777" w:rsidR="0013116F" w:rsidRDefault="0013116F" w:rsidP="001D49D4">
      <w:pPr>
        <w:pStyle w:val="a9"/>
        <w:rPr>
          <w:sz w:val="16"/>
          <w:szCs w:val="16"/>
          <w:rtl/>
        </w:rPr>
      </w:pPr>
      <w:r>
        <w:rPr>
          <w:rStyle w:val="ab"/>
        </w:rPr>
        <w:footnoteRef/>
      </w:r>
      <w:r>
        <w:rPr>
          <w:rtl/>
        </w:rPr>
        <w:t xml:space="preserve"> וכתב הראב"ד על דברי הרמב"ם הללו- אמר אברהם ויש מי שאין מורין כן ויודעין בדינין כמותו שאם אמרו אין לנו זכרון כלל אין זו סתירה, ויותר מזה שאפילו אמרו כתב ידינו הוא אבל מעולם לא היתה מלוה כי אם אמנה היתה אינן נאמנין. </w:t>
      </w:r>
      <w:r>
        <w:rPr>
          <w:sz w:val="16"/>
          <w:szCs w:val="16"/>
          <w:rtl/>
        </w:rPr>
        <w:t>(הבאתי את דברי הראב"ד כאן ולא כאחת מהדעות למעלה משום שלא ידעתי דעתו כמי, משום שלא פירש האם נאמן לבד ללא צירוף [כמהר"ם], או שנאמן רק בצירוף [טור]. ומ"מ צל"ע מדוע הב"י לא הביא תא דברי הראב"ד הללו אלא רק את מה שכתב אח"כ [מובא לקמן] גבי עדים שבטוחים שזה זיוף כתב ידם)</w:t>
      </w:r>
    </w:p>
  </w:footnote>
  <w:footnote w:id="3788">
    <w:p w14:paraId="0825FE62" w14:textId="77777777" w:rsidR="0013116F" w:rsidRDefault="0013116F" w:rsidP="001D49D4">
      <w:pPr>
        <w:pStyle w:val="a9"/>
        <w:rPr>
          <w:rtl/>
        </w:rPr>
      </w:pPr>
      <w:r>
        <w:rPr>
          <w:rStyle w:val="ab"/>
        </w:rPr>
        <w:footnoteRef/>
      </w:r>
      <w:r>
        <w:rPr>
          <w:rtl/>
        </w:rPr>
        <w:t xml:space="preserve"> הביא הטור </w:t>
      </w:r>
      <w:r>
        <w:rPr>
          <w:sz w:val="16"/>
          <w:szCs w:val="16"/>
          <w:rtl/>
        </w:rPr>
        <w:t>(בסע' לז)</w:t>
      </w:r>
      <w:r>
        <w:rPr>
          <w:rtl/>
        </w:rPr>
        <w:t xml:space="preserve"> את דברי הרמב"ם וחלק עליו וכתב- ונראה שאפילו אם אין זוכרין שלוה או שחתמו מעולם כיון שמעידים שזהו כתב ידם - מקיימין אותם על פיהם</w:t>
      </w:r>
      <w:r>
        <w:rPr>
          <w:sz w:val="16"/>
          <w:szCs w:val="16"/>
          <w:rtl/>
        </w:rPr>
        <w:t xml:space="preserve"> {כגון שמעיד כל אחד על כתב ידו ועל כתב יד חברו, דהרי צריך ב' עדים על כל חתימה כשאינו זוכר המעשה, כמבואר בדבריו לעיל}</w:t>
      </w:r>
      <w:r>
        <w:rPr>
          <w:rtl/>
        </w:rPr>
        <w:t xml:space="preserve">. עכ"ל. </w:t>
      </w:r>
      <w:r>
        <w:rPr>
          <w:sz w:val="16"/>
          <w:szCs w:val="16"/>
          <w:rtl/>
        </w:rPr>
        <w:t xml:space="preserve">(וקשה על הב"י שכתב על דברי הטור הללו וז"ל- הוא ממה שכתבתי לעיל בסימן זה (סי"ג) בשם התוספות </w:t>
      </w:r>
      <w:r>
        <w:rPr>
          <w:sz w:val="12"/>
          <w:szCs w:val="12"/>
          <w:rtl/>
        </w:rPr>
        <w:t>(כ: ד"ה על)</w:t>
      </w:r>
      <w:r>
        <w:rPr>
          <w:sz w:val="16"/>
          <w:szCs w:val="16"/>
          <w:rtl/>
        </w:rPr>
        <w:t xml:space="preserve"> דלרבנן אפילו אומרים על כתב ידינו אנו מעידים - אינם צריכין לצרף עמהם אחר ולעולם על מנה שבשטר הם מעידים, והכא נמי כשהם אומרים שאין זוכרין הוה להו כאומרים על כתב ידינו אנו מעידים - ולא חיישינן לדבריהם אלא על מנה שבשטר הם מעידין ואינם צריכין לצרף עמהם אחר, ומטעם זה כתב מהרי"ק בשורש ע"ד דלא נראו לו דברי בה"ג והרמב"ם. עכ"ל הב"י. וקשה משום דלעיל משמע להדיא בדברי הטור (סי"ד) דבכה"ג צריך שיצרף עמו עוד אחד להעיד על כתב ידו, וכאן כתב הב"י שלא צריך. ועיין עוד בדרישה (בסוף הסי' ד"ה ודבריו תמוהין) מספר קושיות על דבריו אלו. ועיין שם תירוצו)</w:t>
      </w:r>
      <w:r>
        <w:rPr>
          <w:rtl/>
        </w:rPr>
        <w:t xml:space="preserve"> </w:t>
      </w:r>
    </w:p>
  </w:footnote>
  <w:footnote w:id="3789">
    <w:p w14:paraId="349CAC00" w14:textId="77777777" w:rsidR="0013116F" w:rsidRDefault="0013116F" w:rsidP="001D49D4">
      <w:pPr>
        <w:pStyle w:val="a9"/>
      </w:pPr>
      <w:r>
        <w:rPr>
          <w:rStyle w:val="ab"/>
        </w:rPr>
        <w:footnoteRef/>
      </w:r>
      <w:r>
        <w:rPr>
          <w:rtl/>
        </w:rPr>
        <w:t xml:space="preserve"> משמע אפילו ע"י צירוף עד אחר. ודלא ככסף משנה [פ"ח מעדות ה"א] וב"י ס"ס זה. וגם הב"ח [שם] והלח"מ פ"ח מהל' עדות [שם] השיגו עליו. ונראה שגם המחבר חזר בו כדמוכח בדבריו בשו"ע כאן ממה שכתב לקמן ויש חולקים כו' ולפי דבריהם או שיצטרף אחר כו', ש"ך (סקל"א).</w:t>
      </w:r>
    </w:p>
  </w:footnote>
  <w:footnote w:id="3790">
    <w:p w14:paraId="797F50E4" w14:textId="77777777" w:rsidR="0013116F" w:rsidRDefault="0013116F" w:rsidP="001D49D4">
      <w:pPr>
        <w:pStyle w:val="a9"/>
      </w:pPr>
      <w:r>
        <w:rPr>
          <w:rStyle w:val="ab"/>
        </w:rPr>
        <w:footnoteRef/>
      </w:r>
      <w:r>
        <w:rPr>
          <w:rtl/>
        </w:rPr>
        <w:t xml:space="preserve"> ומטעם זה אמרו דאין צריך שיעידו כל אחד גם אחתימת יד חבירו, וכמו שכתבו הטור [סע' יג] והמחבר סעיף ז', וס"ל להרמב"ם דכמו שאמרו כן לקולא, כן נמי אמרינן לחומרא, דאם שכחו ההלואה ואין כתיבת ידן יוצא ממקום אחר לקיים חתימה זו מהן, כמו שמאמינים להן שהוא חתימתן, כן נאמין להם שאינן זוכרין מההלואה כלום, ומשו"ה אפילו אם כל אחד מעיד גם על חתימת חבירו אין עדותו נחשב לכלום, סמ"ע (סקכ"ח).</w:t>
      </w:r>
    </w:p>
  </w:footnote>
  <w:footnote w:id="3791">
    <w:p w14:paraId="244F3351" w14:textId="77777777" w:rsidR="0013116F" w:rsidRDefault="0013116F" w:rsidP="001D49D4">
      <w:pPr>
        <w:pStyle w:val="a9"/>
      </w:pPr>
      <w:r>
        <w:rPr>
          <w:rStyle w:val="ab"/>
        </w:rPr>
        <w:footnoteRef/>
      </w:r>
      <w:r>
        <w:rPr>
          <w:rtl/>
        </w:rPr>
        <w:t xml:space="preserve"> פירוש, העדים החתומים נחשבים בעדות זה שבשטר כחרש שאינו שומע ואינו מדבר דפסול לעדות לכו"ע, כמ"ש בסימן כ"ח [סעיף י"א בהגה] בדין אילם ובסימן ל"ה [סעיף י"א] בדין שאינו שומע. ומהרי"ק [המובא בציונים אות כ'] הביא דברי הרמב"ם [פ"ח מעדות ה"ד] וכתוב בו, הרי הוא כחרס. ולפ"ז קאי אשטר דנחשב "כחרס" בעלמא. וכן כתב המחבר לקמן בסימן נ"א סעיף ג', ושם ג"כ העתיק לשון הרמב"ם [שם פי"ד ה"ו], ע"ש. וכלשון זה כתב המחבר בסוף סימן מ"ז ז"ל, והרי השטר "כחרש". ולשון "כחרש" מלשון בכלי חרש, וגם לשון הרי הם "כחרשים" נוכל לפרש כן, ור"ל חתימתן שבשטר נחשב לחרש, סמ"ע (סקכ"ט).</w:t>
      </w:r>
    </w:p>
  </w:footnote>
  <w:footnote w:id="3792">
    <w:p w14:paraId="0D7060E7" w14:textId="77777777" w:rsidR="0013116F" w:rsidRDefault="0013116F" w:rsidP="001D49D4">
      <w:pPr>
        <w:pStyle w:val="a9"/>
      </w:pPr>
      <w:r>
        <w:rPr>
          <w:rStyle w:val="ab"/>
        </w:rPr>
        <w:footnoteRef/>
      </w:r>
      <w:r>
        <w:rPr>
          <w:rtl/>
        </w:rPr>
        <w:t xml:space="preserve"> זה לשון הרמב"ם [פ"ח מעדות ה"ד], שאנו חוששין שחוזרין בהן ורוצין לבטל השטר, וכאילו אמרו קטנים היינו, שאינם נאמנים הואיל ומקיימין שלא על פיהם, סמ"ע (סק"ל).</w:t>
      </w:r>
    </w:p>
  </w:footnote>
  <w:footnote w:id="3793">
    <w:p w14:paraId="2B42336B" w14:textId="77777777" w:rsidR="0013116F" w:rsidRDefault="0013116F" w:rsidP="001D49D4">
      <w:pPr>
        <w:pStyle w:val="a9"/>
        <w:rPr>
          <w:rtl/>
        </w:rPr>
      </w:pPr>
      <w:r>
        <w:rPr>
          <w:rStyle w:val="ab"/>
        </w:rPr>
        <w:footnoteRef/>
      </w:r>
      <w:r>
        <w:rPr>
          <w:rtl/>
        </w:rPr>
        <w:t xml:space="preserve"> ס"ל דלא גרע מעדים דעלמא שמעידים על חתימת העדים, וה"נ אם כל אחד מעיד גם על חתימת חבירו, או שמצטרף שלישי עמהן המעיד על חתימת שניהן וכדמסיק, סגי בהכי, סמ"ע (סקל"א).</w:t>
      </w:r>
    </w:p>
  </w:footnote>
  <w:footnote w:id="3794">
    <w:p w14:paraId="25BB5DE0" w14:textId="77777777" w:rsidR="0013116F" w:rsidRDefault="0013116F" w:rsidP="001D49D4">
      <w:pPr>
        <w:pStyle w:val="a9"/>
        <w:rPr>
          <w:rtl/>
        </w:rPr>
      </w:pPr>
      <w:r>
        <w:rPr>
          <w:rStyle w:val="ab"/>
        </w:rPr>
        <w:footnoteRef/>
      </w:r>
      <w:r>
        <w:rPr>
          <w:rtl/>
        </w:rPr>
        <w:t xml:space="preserve"> נראה דהכי פירושו, כשאין חתום על השטר אלא עד אחד, שאין תורת שטר עליו לשלחו לב"ד לפסוק שבועה על פיו וכו'... אלא צריך שיזכור העד החתום עדותו על פי השטר ויבוא לב"ד ויעיד לפניהן ע"פ</w:t>
      </w:r>
      <w:r>
        <w:rPr>
          <w:sz w:val="16"/>
          <w:szCs w:val="16"/>
          <w:rtl/>
        </w:rPr>
        <w:t xml:space="preserve"> (לפי מה שפסק המחבר ומור"ם בסי' כ"ח סע' י"א דאין עד מעיד ע"פ כתבו אפילו אינו אילם, אם לא כששני עדים חתומים בשטר ומשום תיקון העולם, וזה אינו שטר)</w:t>
      </w:r>
      <w:r>
        <w:rPr>
          <w:rtl/>
        </w:rPr>
        <w:t>, סמ"ע (סקל"ב). והש"ך (סקל"ג) חלק על הרמ"א וכתב- לא נהירא לי לחלק בין עד אחד לשני עדים, דהא קי"ל לקמן סימן נ"א [סע' א] דעד אחד בכתב מועיל כמו שני עדים... וא"כ עד אחד הוא כמו ב' עדים, וכמו שבב' עדים אם נכתב במצות הלוה א"צ שיזכרו עדותן להתוס' והרא"ש וטור, ה"ה בעד אחד לענין שבועה או בב' אגרות לענין צירוף, כן נ"ל ברור ועיקר. והר"ב שכתב בפשיטות דבעד אחד בעינן שיזכור עדות, דבריו צל"ע.</w:t>
      </w:r>
    </w:p>
  </w:footnote>
  <w:footnote w:id="3795">
    <w:p w14:paraId="200D113A" w14:textId="77777777" w:rsidR="0013116F" w:rsidRDefault="0013116F" w:rsidP="001D49D4">
      <w:pPr>
        <w:pStyle w:val="a9"/>
        <w:rPr>
          <w:rtl/>
        </w:rPr>
      </w:pPr>
      <w:r>
        <w:rPr>
          <w:rStyle w:val="ab"/>
        </w:rPr>
        <w:footnoteRef/>
      </w:r>
      <w:r>
        <w:rPr>
          <w:rtl/>
        </w:rPr>
        <w:t xml:space="preserve"> מש"כ או בב' עדים לענין קיום השטר, ר"ל כששנים חתומים על השטר ואין אחד מכיר חתימתו של חבירו, צריכין שיהיו זוכרים ג"כ ענין השטר, דאז אמרינן שניהן אמנה שבשטר הן מעידים, וכמ"ש הטור </w:t>
      </w:r>
      <w:r>
        <w:rPr>
          <w:sz w:val="16"/>
          <w:szCs w:val="16"/>
          <w:rtl/>
        </w:rPr>
        <w:t>(סי' זה סע' יג)</w:t>
      </w:r>
      <w:r>
        <w:rPr>
          <w:rtl/>
        </w:rPr>
        <w:t xml:space="preserve"> והתוס' </w:t>
      </w:r>
      <w:r>
        <w:rPr>
          <w:sz w:val="16"/>
          <w:szCs w:val="16"/>
          <w:rtl/>
        </w:rPr>
        <w:t>(סד"ה ור"י)</w:t>
      </w:r>
      <w:r>
        <w:rPr>
          <w:rtl/>
        </w:rPr>
        <w:t xml:space="preserve">, סמ"ע </w:t>
      </w:r>
      <w:r>
        <w:rPr>
          <w:sz w:val="16"/>
          <w:szCs w:val="16"/>
          <w:rtl/>
        </w:rPr>
        <w:t>(סקל"ב)</w:t>
      </w:r>
      <w:r>
        <w:rPr>
          <w:rtl/>
        </w:rPr>
        <w:t>.</w:t>
      </w:r>
    </w:p>
  </w:footnote>
  <w:footnote w:id="3796">
    <w:p w14:paraId="305A900C" w14:textId="77777777" w:rsidR="0013116F" w:rsidRDefault="0013116F" w:rsidP="001D49D4">
      <w:pPr>
        <w:pStyle w:val="a9"/>
        <w:rPr>
          <w:rtl/>
        </w:rPr>
      </w:pPr>
      <w:r>
        <w:rPr>
          <w:rStyle w:val="ab"/>
        </w:rPr>
        <w:footnoteRef/>
      </w:r>
      <w:r>
        <w:rPr>
          <w:rtl/>
        </w:rPr>
        <w:t xml:space="preserve"> ר"ל נתקיים כתיקונו, ששנים מעידים על כל חתימה, משום הכי א"צ לזכרו ומהני השטר אע"פ שלא נכתב כתיקונו וכדמסיק, וכ"כ מהרי"ו בשם הגה"מ </w:t>
      </w:r>
      <w:r>
        <w:rPr>
          <w:sz w:val="16"/>
          <w:szCs w:val="16"/>
          <w:rtl/>
        </w:rPr>
        <w:t xml:space="preserve">[בתשובות השייכות לספר משפטים סי' לט] </w:t>
      </w:r>
      <w:r>
        <w:rPr>
          <w:rtl/>
        </w:rPr>
        <w:t xml:space="preserve">שכ"כ בשם מהר"ם </w:t>
      </w:r>
      <w:r>
        <w:rPr>
          <w:sz w:val="16"/>
          <w:szCs w:val="16"/>
          <w:rtl/>
        </w:rPr>
        <w:t>[מרוטנברג, ד"ק סי' רי]</w:t>
      </w:r>
      <w:r>
        <w:rPr>
          <w:rtl/>
        </w:rPr>
        <w:t xml:space="preserve"> </w:t>
      </w:r>
      <w:r>
        <w:rPr>
          <w:sz w:val="16"/>
          <w:szCs w:val="16"/>
          <w:rtl/>
        </w:rPr>
        <w:t>(ע"ש במהרי"ו (סי' צד) שחילק [מהר"ם] ג"כ בין עד אחד לשני עדים לענין זה, ועיין מה שכתב עוד מור"ם מזה בד"מ בר"ס לט [סע' ד] וגם בשו"ע שם סע' ג בהג"ה)</w:t>
      </w:r>
      <w:r>
        <w:rPr>
          <w:rtl/>
        </w:rPr>
        <w:t xml:space="preserve">, סמ"ע </w:t>
      </w:r>
      <w:r>
        <w:rPr>
          <w:sz w:val="16"/>
          <w:szCs w:val="16"/>
          <w:rtl/>
        </w:rPr>
        <w:t>(סקל"ג)</w:t>
      </w:r>
      <w:r>
        <w:rPr>
          <w:rtl/>
        </w:rPr>
        <w:t>.</w:t>
      </w:r>
    </w:p>
  </w:footnote>
  <w:footnote w:id="3797">
    <w:p w14:paraId="1D54FC1F" w14:textId="77777777" w:rsidR="0013116F" w:rsidRDefault="0013116F" w:rsidP="001D49D4">
      <w:pPr>
        <w:pStyle w:val="a9"/>
      </w:pPr>
      <w:bookmarkStart w:id="511" w:name="_Hlk14090735"/>
      <w:r>
        <w:rPr>
          <w:rStyle w:val="ab"/>
        </w:rPr>
        <w:footnoteRef/>
      </w:r>
      <w:r>
        <w:rPr>
          <w:rtl/>
        </w:rPr>
        <w:t xml:space="preserve"> עיין מה שכתבתי לעיל סי' לט סק"ט דאין כאן מחלוקת, וגם הרשב"א </w:t>
      </w:r>
      <w:r>
        <w:rPr>
          <w:sz w:val="16"/>
          <w:szCs w:val="16"/>
          <w:rtl/>
        </w:rPr>
        <w:t xml:space="preserve">(ח"א סי' אלף רט) </w:t>
      </w:r>
      <w:r>
        <w:rPr>
          <w:rtl/>
        </w:rPr>
        <w:t xml:space="preserve">מודה דהיכא דאין השטר כתוב כתיקונו כשר לגמרי, אלא דהיכא דנכתב שלא מדעת הלוה פסול לגמרי דלא ניתן לכתוב ולא חשיב הגדת עדים כלל וצריכים לבוא ולהגיד בפה, וגם מהרי"ו </w:t>
      </w:r>
      <w:r>
        <w:rPr>
          <w:sz w:val="16"/>
          <w:szCs w:val="16"/>
          <w:rtl/>
        </w:rPr>
        <w:t xml:space="preserve">(סי' צד) </w:t>
      </w:r>
      <w:r>
        <w:rPr>
          <w:rtl/>
        </w:rPr>
        <w:t>ס"ל כן</w:t>
      </w:r>
      <w:r>
        <w:rPr>
          <w:sz w:val="16"/>
          <w:szCs w:val="16"/>
          <w:rtl/>
        </w:rPr>
        <w:t xml:space="preserve"> {וכן מפורש בתוס' [כ: דיבור ראשון] ובמהר"ם [ד"ק סי' רי])</w:t>
      </w:r>
      <w:r>
        <w:rPr>
          <w:rtl/>
        </w:rPr>
        <w:t xml:space="preserve">, וכן עיקר. ודברי הר"ב אינם מחוורים, ש"ך </w:t>
      </w:r>
      <w:r>
        <w:rPr>
          <w:sz w:val="16"/>
          <w:szCs w:val="16"/>
          <w:rtl/>
        </w:rPr>
        <w:t>(סקל"ד)</w:t>
      </w:r>
      <w:r>
        <w:rPr>
          <w:rtl/>
        </w:rPr>
        <w:t>.</w:t>
      </w:r>
      <w:bookmarkEnd w:id="511"/>
    </w:p>
  </w:footnote>
  <w:footnote w:id="3798">
    <w:p w14:paraId="6058E9FB" w14:textId="77777777" w:rsidR="0013116F" w:rsidRDefault="0013116F" w:rsidP="001D49D4">
      <w:pPr>
        <w:pStyle w:val="a9"/>
      </w:pPr>
      <w:r>
        <w:rPr>
          <w:rStyle w:val="ab"/>
        </w:rPr>
        <w:footnoteRef/>
      </w:r>
      <w:r>
        <w:rPr>
          <w:rtl/>
        </w:rPr>
        <w:t xml:space="preserve"> כיון דקיימא לן (סי"ג) על מנה שבשטר הם מעידים אם כן כשזה אומר זה כתב ידי - יוצא על פיו חצי הממון, וכשמצטרף עם האחר להעיד על חתימת ידי השני - חוזר ויוצא רביע הממון על פיו, נמצאו שלשת רבעי הממון יוצאים על פי עד אחד, ואנן על פי שנים עדים בעינן, חצי דבר על פיו של זה וחציו על פיו של זה. וכיוצא בזה אמרינן גבי מת אחד מהעדים דבסמוך (סט"ז), ב"י.</w:t>
      </w:r>
    </w:p>
  </w:footnote>
  <w:footnote w:id="3799">
    <w:p w14:paraId="4E152F47" w14:textId="77777777" w:rsidR="0013116F" w:rsidRDefault="0013116F" w:rsidP="001D49D4">
      <w:pPr>
        <w:pStyle w:val="a9"/>
        <w:rPr>
          <w:rtl/>
        </w:rPr>
      </w:pPr>
      <w:r>
        <w:rPr>
          <w:rStyle w:val="ab"/>
        </w:rPr>
        <w:footnoteRef/>
      </w:r>
      <w:r>
        <w:rPr>
          <w:rtl/>
        </w:rPr>
        <w:t xml:space="preserve"> </w:t>
      </w:r>
      <w:r>
        <w:rPr>
          <w:rFonts w:hint="cs"/>
          <w:rtl/>
        </w:rPr>
        <w:t>סימן – ניכוי זהה.</w:t>
      </w:r>
    </w:p>
  </w:footnote>
  <w:footnote w:id="3800">
    <w:p w14:paraId="1DC3A29E" w14:textId="77777777" w:rsidR="0013116F" w:rsidRDefault="0013116F" w:rsidP="001D49D4">
      <w:pPr>
        <w:pStyle w:val="a9"/>
      </w:pPr>
      <w:r>
        <w:rPr>
          <w:rStyle w:val="ab"/>
        </w:rPr>
        <w:footnoteRef/>
      </w:r>
      <w:r>
        <w:rPr>
          <w:rtl/>
        </w:rPr>
        <w:t xml:space="preserve"> החצי הממון יוצא ע"פ שלשה שבשוק כמו ע"פ שלשה אחין, אבל הכא שני אחין נינהו וליכא אלא עד אחד שבשוק והממון חסר רביע ע"פ האחין, נמוק"י (ל: מדפה"ר).</w:t>
      </w:r>
    </w:p>
  </w:footnote>
  <w:footnote w:id="3801">
    <w:p w14:paraId="7542497B" w14:textId="77777777" w:rsidR="0013116F" w:rsidRDefault="0013116F" w:rsidP="001D49D4">
      <w:pPr>
        <w:pStyle w:val="a9"/>
        <w:rPr>
          <w:rtl/>
        </w:rPr>
      </w:pPr>
      <w:r>
        <w:rPr>
          <w:rStyle w:val="ab"/>
        </w:rPr>
        <w:footnoteRef/>
      </w:r>
      <w:r>
        <w:rPr>
          <w:rtl/>
        </w:rPr>
        <w:t xml:space="preserve"> ויטלוה הדיינים ויקיפוה אצל חתימתו שבשטר, ב"י.</w:t>
      </w:r>
    </w:p>
  </w:footnote>
  <w:footnote w:id="3802">
    <w:p w14:paraId="0B09FBD5" w14:textId="77777777" w:rsidR="0013116F" w:rsidRDefault="0013116F" w:rsidP="001D49D4">
      <w:pPr>
        <w:pStyle w:val="a9"/>
        <w:rPr>
          <w:rtl/>
        </w:rPr>
      </w:pPr>
      <w:r>
        <w:rPr>
          <w:rStyle w:val="ab"/>
        </w:rPr>
        <w:footnoteRef/>
      </w:r>
      <w:r>
        <w:rPr>
          <w:rtl/>
        </w:rPr>
        <w:t xml:space="preserve"> לחתימה דשטרא מהך דחספא, ב"י.</w:t>
      </w:r>
    </w:p>
  </w:footnote>
  <w:footnote w:id="3803">
    <w:p w14:paraId="190ECF81" w14:textId="77777777" w:rsidR="0013116F" w:rsidRDefault="0013116F" w:rsidP="001D49D4">
      <w:pPr>
        <w:pStyle w:val="a9"/>
        <w:rPr>
          <w:rtl/>
        </w:rPr>
      </w:pPr>
      <w:r>
        <w:rPr>
          <w:rStyle w:val="ab"/>
        </w:rPr>
        <w:footnoteRef/>
      </w:r>
      <w:r>
        <w:rPr>
          <w:rtl/>
        </w:rPr>
        <w:t xml:space="preserve"> ויכתוב למעלה מהחתימה שזה החתום מודה שלוה ממנו מנה, ב"י.</w:t>
      </w:r>
    </w:p>
  </w:footnote>
  <w:footnote w:id="3804">
    <w:p w14:paraId="683B5962" w14:textId="77777777" w:rsidR="0013116F" w:rsidRDefault="0013116F" w:rsidP="001D49D4">
      <w:pPr>
        <w:pStyle w:val="a9"/>
      </w:pPr>
      <w:r>
        <w:rPr>
          <w:rStyle w:val="ab"/>
        </w:rPr>
        <w:footnoteRef/>
      </w:r>
      <w:r>
        <w:rPr>
          <w:rtl/>
        </w:rPr>
        <w:t xml:space="preserve"> והוא הדין אי איכא עדים לקיים חתימת העד החי, נמוק"י </w:t>
      </w:r>
      <w:r>
        <w:rPr>
          <w:sz w:val="16"/>
          <w:szCs w:val="16"/>
          <w:rtl/>
        </w:rPr>
        <w:t>(פרק חזקת ל: ד"ה אמר המחבר)</w:t>
      </w:r>
      <w:r>
        <w:rPr>
          <w:rtl/>
        </w:rPr>
        <w:t>. הביאו הדרכ"מ</w:t>
      </w:r>
      <w:r>
        <w:rPr>
          <w:sz w:val="16"/>
          <w:szCs w:val="16"/>
          <w:rtl/>
        </w:rPr>
        <w:t xml:space="preserve"> (אות ד)</w:t>
      </w:r>
      <w:r>
        <w:rPr>
          <w:rtl/>
        </w:rPr>
        <w:t xml:space="preserve">. </w:t>
      </w:r>
      <w:r>
        <w:rPr>
          <w:color w:val="00B0F0"/>
          <w:rtl/>
        </w:rPr>
        <w:t>(וכ"פ בהג"ה)</w:t>
      </w:r>
    </w:p>
  </w:footnote>
  <w:footnote w:id="3805">
    <w:p w14:paraId="47E0F66B" w14:textId="77777777" w:rsidR="0013116F" w:rsidRDefault="0013116F" w:rsidP="001D49D4">
      <w:pPr>
        <w:pStyle w:val="a9"/>
        <w:rPr>
          <w:rtl/>
        </w:rPr>
      </w:pPr>
      <w:r>
        <w:rPr>
          <w:rStyle w:val="ab"/>
        </w:rPr>
        <w:footnoteRef/>
      </w:r>
      <w:r>
        <w:rPr>
          <w:rtl/>
        </w:rPr>
        <w:t xml:space="preserve"> והדין עמו </w:t>
      </w:r>
      <w:r>
        <w:rPr>
          <w:sz w:val="16"/>
          <w:szCs w:val="16"/>
          <w:rtl/>
        </w:rPr>
        <w:t xml:space="preserve">{עם הרמב"ם} </w:t>
      </w:r>
      <w:r>
        <w:rPr>
          <w:rtl/>
        </w:rPr>
        <w:t>שאל"כ היאך יכירו שזו חתימת ידו היא לשיקיימנו השטר ממנה, ב"י. ועיין פרישה [סעיף ט"ז] שם כתבתי טעם הטור דלא כתב הכי, סמ"ע (סקל"ו). והב"ח (שם) כתב דהטור קיצר במובן. וכתב הש"ך (סקל"ו) דמה שכתב הטור יכתוב חתימת ידו על החרס וישליכנו בפני ב"ד כו'. ר"ל דהכל יהיה בפני ב"ד שיכתוב וישליכנו בפני ב"ד, והיינו שכתב בפני ב"ד, ולא כתב וישליכנו בב"ד. וגם הרמב"ם (פ"ז מעדות ה"ה) נראה דמודה דאם כותב חתימת ידו בפני ב"ד לא צריך עדים, דהיא היא. או אפשר דס"ל להרמב"ם דדוקא חוץ לב"ד בפני עדים יחתום, דאי יעשה כן בב"ד נמצא דהו"ל כמעיד בב"ד, כיון שחותם בב"ד כדי להכיר מתוך כך כתב ידו, הו"ל כמעיד ממש על חתימתו, וצל"ע.</w:t>
      </w:r>
    </w:p>
  </w:footnote>
  <w:footnote w:id="3806">
    <w:p w14:paraId="1C5A3D57" w14:textId="77777777" w:rsidR="0013116F" w:rsidRDefault="0013116F" w:rsidP="001D49D4">
      <w:pPr>
        <w:pStyle w:val="a9"/>
        <w:rPr>
          <w:rtl/>
        </w:rPr>
      </w:pPr>
      <w:r>
        <w:rPr>
          <w:rStyle w:val="ab"/>
        </w:rPr>
        <w:footnoteRef/>
      </w:r>
      <w:r>
        <w:rPr>
          <w:rtl/>
        </w:rPr>
        <w:t xml:space="preserve"> שחצי הממון יוצא ע"פ האח החתום שמעיד על חתימתו וחצי האחר יוצא בין אחיו ואחר שבשוק, נמצא דנפיק נכי ריבעא דממונא אפומא דאחי ורחמנא אמר ע"פ שנים, החצי ע"פ זה והחצי ע"פ זה, והכא ג' חלקים ע"פ א', דשני אחין כא' חשבינן להו, נמוק"י.</w:t>
      </w:r>
    </w:p>
  </w:footnote>
  <w:footnote w:id="3807">
    <w:p w14:paraId="4CEFFD9C" w14:textId="77777777" w:rsidR="0013116F" w:rsidRDefault="0013116F" w:rsidP="001D49D4">
      <w:pPr>
        <w:pStyle w:val="a9"/>
        <w:rPr>
          <w:rtl/>
        </w:rPr>
      </w:pPr>
      <w:r>
        <w:rPr>
          <w:rStyle w:val="ab"/>
        </w:rPr>
        <w:footnoteRef/>
      </w:r>
      <w:r>
        <w:rPr>
          <w:rtl/>
        </w:rPr>
        <w:t xml:space="preserve"> וה"ה אם הוא חי ואינו לפנינו, וכ"כ הסמ"ע (סקל"ה), וכן מוכח להדיא בתשובות הר"ב סי' ק"י שהבאתי לקמן סוף סימן זה, ודלא כהב"ח (סע' טו), ש"ך (סקל"ה).</w:t>
      </w:r>
    </w:p>
  </w:footnote>
  <w:footnote w:id="3808">
    <w:p w14:paraId="2DE11CB2" w14:textId="77777777" w:rsidR="0013116F" w:rsidRDefault="0013116F" w:rsidP="001D49D4">
      <w:pPr>
        <w:pStyle w:val="a9"/>
        <w:rPr>
          <w:rtl/>
        </w:rPr>
      </w:pPr>
      <w:r>
        <w:rPr>
          <w:rStyle w:val="ab"/>
        </w:rPr>
        <w:footnoteRef/>
      </w:r>
      <w:r>
        <w:rPr>
          <w:rtl/>
        </w:rPr>
        <w:t xml:space="preserve"> פירוש, אע"פ שאין כותבין שטר על חרס כמ"ש הטור והמחבר בר"ס מ"ב, משום דהוא דבר שיכול להזדייף מה שכתב עליו, מ"מ לקיים ממנו חתימה זו מיד כותבין אחרס. ומ"ש אפילו "אחרס", דמשמע מכל שכן אמגילתא, אע"ג דבגמ' </w:t>
      </w:r>
      <w:r>
        <w:rPr>
          <w:sz w:val="16"/>
          <w:szCs w:val="16"/>
          <w:rtl/>
        </w:rPr>
        <w:t xml:space="preserve">(כתובות כא.) </w:t>
      </w:r>
      <w:r>
        <w:rPr>
          <w:rtl/>
        </w:rPr>
        <w:t xml:space="preserve">אמרו, דאמגילתא לא יחתום דילמא ימצאנו אינש דלא מעלי ויכתוב עליו שטר חוב. היינו דלא יחתום אמגילה באמצעיתו, אבל יכול לחתום נפשו ארישא דמגילתא דאז לא מצי לכתוב לפניו שטר עליו, ואם יבוא לכתוב אחר חתימתו לא מהני כיון שהוא כתב אחר, וכמ"ש הטור והמחבר לקמן ר"ס ס"ט [טור סע' ד ומחבר סע' א] ע"ש, סמ"ע (סקל"ז). </w:t>
      </w:r>
    </w:p>
  </w:footnote>
  <w:footnote w:id="3809">
    <w:p w14:paraId="30169608" w14:textId="77777777" w:rsidR="0013116F" w:rsidRDefault="0013116F" w:rsidP="001D49D4">
      <w:pPr>
        <w:pStyle w:val="a9"/>
      </w:pPr>
      <w:r>
        <w:rPr>
          <w:rStyle w:val="ab"/>
        </w:rPr>
        <w:footnoteRef/>
      </w:r>
      <w:r>
        <w:rPr>
          <w:rtl/>
        </w:rPr>
        <w:t xml:space="preserve"> דאמגילתא יש לחוש שימצאנו אחר, אבל אחספא ליכא למיחש למידי, דכתב שיכול להזדייף הוא ולא גבי אפילו מבני חורין, עכ"ל הר"ן </w:t>
      </w:r>
      <w:r>
        <w:rPr>
          <w:sz w:val="16"/>
          <w:szCs w:val="16"/>
          <w:rtl/>
        </w:rPr>
        <w:t>[כתובות ח. מדפה"ר ד"ה גובה]</w:t>
      </w:r>
      <w:r>
        <w:rPr>
          <w:rtl/>
        </w:rPr>
        <w:t xml:space="preserve">. וכ"כ הריטב"א </w:t>
      </w:r>
      <w:r>
        <w:rPr>
          <w:sz w:val="16"/>
          <w:szCs w:val="16"/>
          <w:rtl/>
        </w:rPr>
        <w:t xml:space="preserve">[שם כא. ד"ה ודוקא] </w:t>
      </w:r>
      <w:r>
        <w:rPr>
          <w:rtl/>
        </w:rPr>
        <w:t xml:space="preserve">והתוס' </w:t>
      </w:r>
      <w:r>
        <w:rPr>
          <w:sz w:val="16"/>
          <w:szCs w:val="16"/>
          <w:rtl/>
        </w:rPr>
        <w:t>[שם ד"ה ודוקא]</w:t>
      </w:r>
      <w:r>
        <w:rPr>
          <w:rtl/>
        </w:rPr>
        <w:t xml:space="preserve">. ומוכח עוד בתוס' </w:t>
      </w:r>
      <w:r>
        <w:rPr>
          <w:sz w:val="16"/>
          <w:szCs w:val="16"/>
          <w:rtl/>
        </w:rPr>
        <w:t xml:space="preserve">[שם] </w:t>
      </w:r>
      <w:r>
        <w:rPr>
          <w:rtl/>
        </w:rPr>
        <w:t xml:space="preserve">דאתיא כרבי מאיר </w:t>
      </w:r>
      <w:r>
        <w:rPr>
          <w:sz w:val="16"/>
          <w:szCs w:val="16"/>
          <w:rtl/>
        </w:rPr>
        <w:t>[גיטין כא:]</w:t>
      </w:r>
      <w:r>
        <w:rPr>
          <w:rtl/>
        </w:rPr>
        <w:t xml:space="preserve">, דלרבי אליעזר דאמר </w:t>
      </w:r>
      <w:r>
        <w:rPr>
          <w:sz w:val="16"/>
          <w:szCs w:val="16"/>
          <w:rtl/>
        </w:rPr>
        <w:t xml:space="preserve">[שם פו.] </w:t>
      </w:r>
      <w:r>
        <w:rPr>
          <w:rtl/>
        </w:rPr>
        <w:t xml:space="preserve">עדי מסירה כרתי, יכול לכתוב עליו שטר מתנה ויועיל וכמו שכתבתי לעיל סימן מ"ב סק"ב. אך מדברי הרמב"ם </w:t>
      </w:r>
      <w:r>
        <w:rPr>
          <w:sz w:val="16"/>
          <w:szCs w:val="16"/>
          <w:rtl/>
        </w:rPr>
        <w:t xml:space="preserve">[פ"א מגירושין הט"ו] </w:t>
      </w:r>
      <w:r>
        <w:rPr>
          <w:rtl/>
        </w:rPr>
        <w:t xml:space="preserve">והמחבר </w:t>
      </w:r>
      <w:r>
        <w:rPr>
          <w:sz w:val="16"/>
          <w:szCs w:val="16"/>
          <w:rtl/>
        </w:rPr>
        <w:t xml:space="preserve">[אהע"ז סי' קלג סע' א] </w:t>
      </w:r>
      <w:r>
        <w:rPr>
          <w:rtl/>
        </w:rPr>
        <w:t xml:space="preserve">והרא"ש </w:t>
      </w:r>
      <w:r>
        <w:rPr>
          <w:sz w:val="16"/>
          <w:szCs w:val="16"/>
          <w:rtl/>
        </w:rPr>
        <w:t xml:space="preserve">[גיטין פ"ט סי' ז] </w:t>
      </w:r>
      <w:r>
        <w:rPr>
          <w:rtl/>
        </w:rPr>
        <w:t xml:space="preserve">וטור </w:t>
      </w:r>
      <w:r>
        <w:rPr>
          <w:sz w:val="16"/>
          <w:szCs w:val="16"/>
          <w:rtl/>
        </w:rPr>
        <w:t xml:space="preserve">[אהע"ז שם] </w:t>
      </w:r>
      <w:r>
        <w:rPr>
          <w:rtl/>
        </w:rPr>
        <w:t xml:space="preserve">ושאר פוסקים לא משמע כן, דהא פסקו כר' אליעזר ואפ"ה כתבו כאן </w:t>
      </w:r>
      <w:r>
        <w:rPr>
          <w:sz w:val="16"/>
          <w:szCs w:val="16"/>
          <w:rtl/>
        </w:rPr>
        <w:t>[הרמב"ם פ"ז מעדות ה"ה, הרא"ש כתובות פ"ב סי' י"ז, הטור סעיף ט"ז]</w:t>
      </w:r>
      <w:r>
        <w:rPr>
          <w:rtl/>
        </w:rPr>
        <w:t xml:space="preserve"> דיחתום על החרס. ואין לומר דס"ל דשטר מתנה נמי פסול על החרס, דהא לקמן ר"ס קצ"א כתבו דכשר. ונראה דסבירא להו הטעם כאן דיחתום על החרס כמו שכתב הריטב"א </w:t>
      </w:r>
      <w:r>
        <w:rPr>
          <w:sz w:val="16"/>
          <w:szCs w:val="16"/>
          <w:rtl/>
        </w:rPr>
        <w:t xml:space="preserve">[שם] </w:t>
      </w:r>
      <w:r>
        <w:rPr>
          <w:rtl/>
        </w:rPr>
        <w:t>בשם ה"ר יחיאל וז"ל- דהא דאמרינן הכא אחספא, טעמא דמילתא דכיון דשדו ליה בי דינא לברא, לא רמי אינש אדעתיה לומר דאית ביה שום כתב ולא שקליה, אבל במגילה איכא למיחש דכי חזי ליה בארעא שקיל ליה וחזי ליה וכתב עליה מאי דבעי, עכ"ל. עוד נ"ל לומר, דאחספא כיון דמילתא דלא שכיחא הוא לעשות שטר ולחתום אחספא, יזכור הוא האמת שחתם לפני ב"ד אחספא ויתברר הדבר, וגם יהא נאמן במיגו דפרעתי, או במיגו דתנאי היה בו וזייפו, ואף אם יהא כתוב בו נאמנות, יהא נאמן במיגו דיוכל לומר הנאמנות נכתב בזיוף, כיון שהחרס הוא דבר שיוכל להזדייף, משא"כ במגילתא דיש לחוש שמא יכתוב בו נאמנות ותו לא יהא לו מיגו אף אם יזכור, וגם שמא ישכח ענין חתימתו וכמו שכתב הבעל התרומות שער י"ג [ח"ד] מביאו ב"י לקמן סימן ס"ט סעיף ט', כן נ"ל ברור, ש"ך (סקל"ז).</w:t>
      </w:r>
    </w:p>
  </w:footnote>
  <w:footnote w:id="3810">
    <w:p w14:paraId="6D8681AD" w14:textId="77777777" w:rsidR="0013116F" w:rsidRDefault="0013116F" w:rsidP="001D49D4">
      <w:pPr>
        <w:pStyle w:val="a9"/>
      </w:pPr>
      <w:r>
        <w:rPr>
          <w:rStyle w:val="ab"/>
        </w:rPr>
        <w:footnoteRef/>
      </w:r>
      <w:r>
        <w:rPr>
          <w:rtl/>
        </w:rPr>
        <w:t xml:space="preserve"> דבכה"ג אין צריך לחתום החי על החרס, כיון דכבר העידו עליו אחרים, סמ"ע (סקל"ח). אבל אם כבר העיד בב"ד על כתב ידו, שוב אינו מועיל מה שיבאו אח"כ עדים ויעידו שהוא כתב ידו, דהא יתר כנטול דמי, דכבר הו"ל כאילו מעיד על מנה בשטר, נימוק"י (ב"ב ל: ד"ה אמר המחבר) בשם ריטב"א (שם נז. ד"ה התם), והוא הדין דאינו מועיל אם ישליך אח"כ כתב ידו לב"ד, ש"ך </w:t>
      </w:r>
      <w:r>
        <w:rPr>
          <w:sz w:val="16"/>
          <w:szCs w:val="16"/>
          <w:rtl/>
        </w:rPr>
        <w:t>(סקל"ח)</w:t>
      </w:r>
      <w:r>
        <w:rPr>
          <w:rtl/>
        </w:rPr>
        <w:t>, ופשוט, אורים (סקמ"ט). ובספר קצוה"ח [סקי"ב], חולק עליו</w:t>
      </w:r>
      <w:r>
        <w:rPr>
          <w:sz w:val="16"/>
          <w:szCs w:val="16"/>
          <w:rtl/>
        </w:rPr>
        <w:t xml:space="preserve"> {על הש"ך דאינו מועיל שישליך וכו'}</w:t>
      </w:r>
      <w:r>
        <w:rPr>
          <w:rtl/>
        </w:rPr>
        <w:t>, מטעם דכיון שנתקיים על פי ב"ד, לא הוי כנטול, ע"ש. וכתב הנתיבות (ביאורים סקי"ב) דאין לדבריו שחר, דכיון שכבר העיד בפיו וא"צ להב"ד, הב"ד הוי כנטול.</w:t>
      </w:r>
    </w:p>
  </w:footnote>
  <w:footnote w:id="3811">
    <w:p w14:paraId="5C29C2B5" w14:textId="77777777" w:rsidR="0013116F" w:rsidRDefault="0013116F" w:rsidP="001D49D4">
      <w:pPr>
        <w:pStyle w:val="a9"/>
        <w:rPr>
          <w:rtl/>
        </w:rPr>
      </w:pPr>
      <w:r>
        <w:rPr>
          <w:rStyle w:val="ab"/>
        </w:rPr>
        <w:footnoteRef/>
      </w:r>
      <w:r>
        <w:rPr>
          <w:rtl/>
        </w:rPr>
        <w:t xml:space="preserve"> </w:t>
      </w:r>
      <w:r>
        <w:rPr>
          <w:rFonts w:hint="cs"/>
          <w:rtl/>
        </w:rPr>
        <w:t>סימן – כת ואלהים אינה כת.</w:t>
      </w:r>
    </w:p>
  </w:footnote>
  <w:footnote w:id="3812">
    <w:p w14:paraId="491F7325" w14:textId="77777777" w:rsidR="0013116F" w:rsidRDefault="0013116F" w:rsidP="001D49D4">
      <w:pPr>
        <w:pStyle w:val="a9"/>
      </w:pPr>
      <w:r>
        <w:rPr>
          <w:rStyle w:val="ab"/>
        </w:rPr>
        <w:footnoteRef/>
      </w:r>
      <w:r>
        <w:rPr>
          <w:rtl/>
        </w:rPr>
        <w:t xml:space="preserve"> שטר שכתוב בו הנפק, וחתמו הדיינין על הנפק שלו, ולאחר זמן כשהוציאו המלוה לגבות ערער הלוה לומר מזוייף הוא, ובא אחד מעדי השטר והעיד על כתב ידו, ואחד מן הדיינים העיד על כתב ידו, מצטרפין להכשירו, רש"י.</w:t>
      </w:r>
    </w:p>
  </w:footnote>
  <w:footnote w:id="3813">
    <w:p w14:paraId="569120AA" w14:textId="77777777" w:rsidR="0013116F" w:rsidRDefault="0013116F" w:rsidP="001D49D4">
      <w:pPr>
        <w:pStyle w:val="a9"/>
      </w:pPr>
      <w:r>
        <w:rPr>
          <w:rStyle w:val="ab"/>
        </w:rPr>
        <w:footnoteRef/>
      </w:r>
      <w:r>
        <w:rPr>
          <w:rtl/>
        </w:rPr>
        <w:t xml:space="preserve"> </w:t>
      </w:r>
      <w:r>
        <w:rPr>
          <w:rFonts w:hint="cs"/>
          <w:rtl/>
        </w:rPr>
        <w:t>וז"ל-</w:t>
      </w:r>
      <w:r>
        <w:rPr>
          <w:rtl/>
        </w:rPr>
        <w:t xml:space="preserve"> 'אמר רב יהודה אמר שמואל עד ודיין מצטרפין'. אם עד אחד החתום בשטר מעיד על כתב ידו ושני עדים מעידים על כתב יד אחד מן הדיינין או הדיין עצמו ואחר עמו מצטרפין אבל הדיין לבדו לא אפילו לרבנן דאין מעיד על מנה שבשטר. וכן העד אינו מצטרף עם הדיין להעיד על כתב ידו דא"כ נפיק כולי ממונא נכי ריבעא על ידו. 'אמר רמי בר חמא כמה מעליא הא שמעתתא, א"ר מאי מעליותא מאי דקא מסהיד סהדא לא מסהיד דיינא ומאי דקא מסהיד דיינא לא מסהיד סהדא', אלא לא מצטרפין, וכן הלכתא, הלכך כיון שאין השטר מתקיים ע"פ עד אחד ודיין אחד אין אנו חוששין אם הדיינין קרובים לעדים, ואע"פ דגרסינן בירושלמי בפרק שבועת העדות (ה"א) שלא יהיו העדים קרובים לדיינין היינו בעדים המעידין לפני הדיינין לפי שלא יקבלו עליהן הזמה וטעמא דהזמה לא שייך הכא. וה"ר יונה ז"ל כתב אם שני דייני הקיום כל אחד מעיד על כתב ידו השטר מקויים ולא אמרינן על כתב ידן הן מעידים אלא כל אחד ואחד מהן מעיד על קיום השטר שהוא כשר והרי הם כשני עדים שמקיימין השטר, ודברים של טעם הם.</w:t>
      </w:r>
    </w:p>
  </w:footnote>
  <w:footnote w:id="3814">
    <w:p w14:paraId="189F0BE0" w14:textId="77777777" w:rsidR="0013116F" w:rsidRDefault="0013116F" w:rsidP="001D49D4">
      <w:pPr>
        <w:pStyle w:val="a9"/>
      </w:pPr>
      <w:r>
        <w:rPr>
          <w:rStyle w:val="ab"/>
        </w:rPr>
        <w:footnoteRef/>
      </w:r>
      <w:r>
        <w:rPr>
          <w:rtl/>
        </w:rPr>
        <w:t xml:space="preserve"> כתב רבינו פירוש אם אין מכירין וכו' ללמדנו דבעדות חתימת הדיין צריך שני עדים ואפילו הוא עצמו מעיד על חתימת ידו צריך שיצטרף אחר עמו דלעולם הדיין על כתב ידו הוא מעיד כל שאין דיין אחר מעיד על חתימת ידו, ב"י. וכתב הש"ך (סקל"ט) דנראה שמחלק הב"י דאע"פ שכתבו הרא"ש [שם] וטור [סע' יט] בשם הר"ר יונה דאם שני דייני הקיום כל אחד מעיד על כתב ידו השטר מקוים וכדלקמן סעיף ט"ו, שאני התם ששני הדיינים מעידים כן, משא"כ הכא בדיין אחד. אבל לא מסתבר לחלק בכך. אלא נראה דמה שכתב הטור כאן 'או הדיין בעצמו ואחר עמו' לרבותא כתב כן, דאפ"ה לא מצטרפי כיון דמאי דמסהיד האי לא מסהיד האי, וכ"כ הסמ"ע (סקמ"ב) והב"ח (סע' יט). ובדברי הרא"ש אי אפשר לפרש כן, שהרי כתב כן בדברי רב יודא אמר שמואל דמצטרפים. אך נראה דמה שכתב הרא"ש וה"ר יונה כתב כו', הוא פלוגתא, ומסקנתו כדברי ה"ר יונה </w:t>
      </w:r>
      <w:r>
        <w:rPr>
          <w:sz w:val="16"/>
          <w:szCs w:val="16"/>
          <w:rtl/>
        </w:rPr>
        <w:t>(וכ"כ הקו"נ שם אות ע)</w:t>
      </w:r>
      <w:r>
        <w:rPr>
          <w:rtl/>
        </w:rPr>
        <w:t xml:space="preserve">. ולפ"ז אם עד אחד מן השוק מעיד על חתימת עדי השטר, ודיין אחד </w:t>
      </w:r>
      <w:r>
        <w:rPr>
          <w:b/>
          <w:bCs/>
          <w:rtl/>
        </w:rPr>
        <w:t>לבד</w:t>
      </w:r>
      <w:r>
        <w:rPr>
          <w:rtl/>
        </w:rPr>
        <w:t xml:space="preserve"> מעיד על חתימתו, מצטרפים. דבדיין לא אמרינן על כתב ידו הוא מעיד, רק על קיום השטר. וכן נראה להדיא מדברי הסמ"ע והב"ח, וכן נראה מדברי הר"ן [שם ח. מדפה"ר ד"ה עד ודיין]. והמחבר לקמן סע' ט"ז </w:t>
      </w:r>
      <w:r>
        <w:rPr>
          <w:sz w:val="16"/>
          <w:szCs w:val="16"/>
          <w:rtl/>
        </w:rPr>
        <w:t>(שכתב בסתם, אם עד אחד כו' ודיין מעיד על חתימתו, מצטרפים, ולא כתב ודיין אחד ואחר עמו מעיד על חתימתו כו', כמו שכתב אח"כ ששנים מן השוק מעידים על הדיין כו')</w:t>
      </w:r>
      <w:r>
        <w:rPr>
          <w:rtl/>
        </w:rPr>
        <w:t xml:space="preserve"> ונראה שחזר בו ממה שכתב בב"י, וס"ל דכשהדיין עצמו מעיד על חתימתו, לעולם אין צריך אחר עמו, דלעולם על קיום השטר הוא מעיד, והו"ל כאומר בפני נתקיים השטר, וכן עיקר.</w:t>
      </w:r>
    </w:p>
  </w:footnote>
  <w:footnote w:id="3815">
    <w:p w14:paraId="28975C5B" w14:textId="77777777" w:rsidR="0013116F" w:rsidRDefault="0013116F" w:rsidP="001D49D4">
      <w:pPr>
        <w:pStyle w:val="a9"/>
      </w:pPr>
      <w:r>
        <w:rPr>
          <w:rStyle w:val="ab"/>
        </w:rPr>
        <w:footnoteRef/>
      </w:r>
      <w:r>
        <w:rPr>
          <w:rtl/>
        </w:rPr>
        <w:t xml:space="preserve"> וכן העד אינו מצטרף עם הדיין להעיד על כתב ידו דאם כן נפיק כוליה ממונא נכי ריבעא על ידו, רא"ש. וכן מבואר בדברי הריטב"א (כתובות כא. ד"ה אמר רמי). וכ"כ הש"ך (סק"מ).</w:t>
      </w:r>
    </w:p>
  </w:footnote>
  <w:footnote w:id="3816">
    <w:p w14:paraId="51BEC994" w14:textId="77777777" w:rsidR="0013116F" w:rsidRDefault="0013116F" w:rsidP="001D49D4">
      <w:pPr>
        <w:pStyle w:val="a9"/>
      </w:pPr>
      <w:r>
        <w:rPr>
          <w:rStyle w:val="ab"/>
        </w:rPr>
        <w:footnoteRef/>
      </w:r>
      <w:r>
        <w:rPr>
          <w:rtl/>
        </w:rPr>
        <w:t xml:space="preserve"> </w:t>
      </w:r>
      <w:r>
        <w:rPr>
          <w:rFonts w:hint="cs"/>
          <w:rtl/>
        </w:rPr>
        <w:t>בפירוש דברים אלו (שמספיק שיעידו על עד אחד ועל דיין אחד) עיין לקמן סע' טז במחלוקת בין הב"י לש"ך (סקמ"ו) בהב' הר"ן.</w:t>
      </w:r>
    </w:p>
  </w:footnote>
  <w:footnote w:id="3817">
    <w:p w14:paraId="1F480749" w14:textId="77777777" w:rsidR="0013116F" w:rsidRDefault="0013116F" w:rsidP="001D49D4">
      <w:pPr>
        <w:pStyle w:val="a9"/>
        <w:rPr>
          <w:rtl/>
        </w:rPr>
      </w:pPr>
      <w:r>
        <w:rPr>
          <w:rStyle w:val="ab"/>
        </w:rPr>
        <w:footnoteRef/>
      </w:r>
      <w:r>
        <w:rPr>
          <w:rtl/>
        </w:rPr>
        <w:t xml:space="preserve"> הביאם הש"ך (סקמ"א) וכתב וז"ל- וכן הוכחתי לקמן סקמ"ו כהריטב"א והר"ן בשם הרא"ה דמקיימין באחד מן הדיינים ואחד מן העדים. אם כן הכא דברי מהר"מ עיקר, כן נראה לי. וכן נוהגין שאין הדיינים מקיימין חתימת יד העדים קרוביהן. מיהו נראה דאם אירע שקיימו הדיינים חתימת יד קרוביהם ומכירים חתימת ידיהם של השלשה או אפילו שני דיינים, סגי בדיעבד, ש"ך (סקמ"א).</w:t>
      </w:r>
    </w:p>
  </w:footnote>
  <w:footnote w:id="3818">
    <w:p w14:paraId="294C512A" w14:textId="77777777" w:rsidR="0013116F" w:rsidRDefault="0013116F" w:rsidP="001D49D4">
      <w:pPr>
        <w:pStyle w:val="a9"/>
        <w:rPr>
          <w:rtl/>
        </w:rPr>
      </w:pPr>
      <w:r>
        <w:rPr>
          <w:rStyle w:val="ab"/>
        </w:rPr>
        <w:footnoteRef/>
      </w:r>
      <w:r>
        <w:rPr>
          <w:rtl/>
        </w:rPr>
        <w:t xml:space="preserve"> נראה דמיירי כשהסופר מעיד על פה, והיינו שכתב 'כמו שכתבתי בגביית חוב', ובגביית חוב (נ"ו ח"ו) מיירי להדיא בהכי, ע"ש. והיינו בדרך שנתבאר לקמן סימן נ"א סעיף א' בעד אחד בכתב ועד אחד על פה ע"ש, ש"ך (סקמ"ב).</w:t>
      </w:r>
    </w:p>
  </w:footnote>
  <w:footnote w:id="3819">
    <w:p w14:paraId="6FD28355" w14:textId="77777777" w:rsidR="0013116F" w:rsidRDefault="0013116F" w:rsidP="001D49D4">
      <w:pPr>
        <w:pStyle w:val="a9"/>
      </w:pPr>
      <w:r>
        <w:rPr>
          <w:rStyle w:val="ab"/>
        </w:rPr>
        <w:footnoteRef/>
      </w:r>
      <w:r>
        <w:rPr>
          <w:rtl/>
        </w:rPr>
        <w:t xml:space="preserve"> אבל כשיש עד אחד על חתימת העד הב', מהני עם קיום חתימת דיין אחד, כגון ששני עדים מעידים על חתימת הדיין, דזה הוי כב' עדים על חתימת עד הב' </w:t>
      </w:r>
      <w:r>
        <w:rPr>
          <w:sz w:val="16"/>
          <w:szCs w:val="16"/>
          <w:rtl/>
        </w:rPr>
        <w:t>{ועל העד הא' - העד עצמו מעיד, כמפורש בשו"ע והטור [והש"ך לא ראה צורך להזכירו]}</w:t>
      </w:r>
      <w:r>
        <w:rPr>
          <w:rtl/>
        </w:rPr>
        <w:t xml:space="preserve"> ודמי לדלעיל סעיף י"ג. וה"ה שהדיין לחוד סגי כשמעיד על חתימתו וכמו שכתבתי בסמוך סקל"ט, ומצטרף בכה"ג להעד שמעיד על חתימת הב' </w:t>
      </w:r>
      <w:r>
        <w:rPr>
          <w:sz w:val="16"/>
          <w:szCs w:val="16"/>
          <w:rtl/>
        </w:rPr>
        <w:t>{היינו שמעיד על חתימת שני העדים}</w:t>
      </w:r>
      <w:r>
        <w:rPr>
          <w:rtl/>
        </w:rPr>
        <w:t>, ש"ך (סק"מ).</w:t>
      </w:r>
    </w:p>
  </w:footnote>
  <w:footnote w:id="3820">
    <w:p w14:paraId="7A05543A" w14:textId="77777777" w:rsidR="0013116F" w:rsidRDefault="0013116F" w:rsidP="001D49D4">
      <w:pPr>
        <w:pStyle w:val="a9"/>
      </w:pPr>
      <w:r>
        <w:rPr>
          <w:rStyle w:val="ab"/>
        </w:rPr>
        <w:footnoteRef/>
      </w:r>
      <w:r>
        <w:rPr>
          <w:rtl/>
        </w:rPr>
        <w:t xml:space="preserve"> ולא אמרינן על כתב ידם הם מעידים דנימא שיכיר כל אחד גם חתימת חבירו הדיין, או יעיד אחר עמו על חתימתו, אלא כל אחד מעיד על קיום השטר. וכן כששני עדים מעידים על חתימת שני דייני קיום, נתקיים השטר אם חתומים ג' דיינים עליו אע"פ שאין מכירים חתימת השלישי, ולא חיישינן שמא לא היו רק שנים וחתימת השלישי היא מזוייפת, ואע"פ שאין כתוב בו במותב תלתא הוינא כו', כ"כ הר"ן </w:t>
      </w:r>
      <w:r>
        <w:rPr>
          <w:sz w:val="16"/>
          <w:szCs w:val="16"/>
          <w:rtl/>
        </w:rPr>
        <w:t xml:space="preserve">[כתובות ח. מדפה"ר ד"ה עד] </w:t>
      </w:r>
      <w:r>
        <w:rPr>
          <w:rtl/>
        </w:rPr>
        <w:t xml:space="preserve">והריטב"א </w:t>
      </w:r>
      <w:r>
        <w:rPr>
          <w:sz w:val="16"/>
          <w:szCs w:val="16"/>
          <w:rtl/>
        </w:rPr>
        <w:t xml:space="preserve">[שם כא. ד"ה אמר רמי] </w:t>
      </w:r>
      <w:r>
        <w:rPr>
          <w:rtl/>
        </w:rPr>
        <w:t xml:space="preserve">וע"ש </w:t>
      </w:r>
      <w:r>
        <w:rPr>
          <w:sz w:val="16"/>
          <w:szCs w:val="16"/>
          <w:rtl/>
        </w:rPr>
        <w:t>[סע' טו]</w:t>
      </w:r>
      <w:r>
        <w:rPr>
          <w:rtl/>
        </w:rPr>
        <w:t xml:space="preserve">, וכ"ה בבהעי"ט </w:t>
      </w:r>
      <w:r>
        <w:rPr>
          <w:sz w:val="16"/>
          <w:szCs w:val="16"/>
          <w:rtl/>
        </w:rPr>
        <w:t>[קיום נ"ה ע"ב]</w:t>
      </w:r>
      <w:r>
        <w:rPr>
          <w:rtl/>
        </w:rPr>
        <w:t xml:space="preserve">, ש"ך </w:t>
      </w:r>
      <w:r>
        <w:rPr>
          <w:sz w:val="16"/>
          <w:szCs w:val="16"/>
          <w:rtl/>
        </w:rPr>
        <w:t>(סקמ"ג)</w:t>
      </w:r>
      <w:r>
        <w:rPr>
          <w:rtl/>
        </w:rPr>
        <w:t>.</w:t>
      </w:r>
    </w:p>
  </w:footnote>
  <w:footnote w:id="3821">
    <w:p w14:paraId="397D3B1E" w14:textId="77777777" w:rsidR="0013116F" w:rsidRDefault="0013116F" w:rsidP="001D49D4">
      <w:pPr>
        <w:pStyle w:val="a9"/>
        <w:rPr>
          <w:rtl/>
        </w:rPr>
      </w:pPr>
      <w:r>
        <w:rPr>
          <w:rStyle w:val="ab"/>
        </w:rPr>
        <w:footnoteRef/>
      </w:r>
      <w:r>
        <w:rPr>
          <w:rtl/>
        </w:rPr>
        <w:t xml:space="preserve"> ז"ל הר"ן בשם הרא"ה- משכחת לה דעד ודיין מצטרפין, כגון שיש עד מן השוק שהעיד על חתימות שני העדים ודיין אחד שמעיד על חתימתו, שהרי יש לנו על ידי העד מחצית הקיום ועל ידי הדיין מחצית הקיום אחר. </w:t>
      </w:r>
    </w:p>
  </w:footnote>
  <w:footnote w:id="3822">
    <w:p w14:paraId="1451C618" w14:textId="77777777" w:rsidR="0013116F" w:rsidRDefault="0013116F" w:rsidP="001D49D4">
      <w:pPr>
        <w:pStyle w:val="a9"/>
        <w:rPr>
          <w:rtl/>
        </w:rPr>
      </w:pPr>
      <w:r>
        <w:rPr>
          <w:rStyle w:val="ab"/>
        </w:rPr>
        <w:footnoteRef/>
      </w:r>
      <w:r>
        <w:rPr>
          <w:rtl/>
        </w:rPr>
        <w:t xml:space="preserve"> כתב הריב"ש דאע"פ שכתב העיטור </w:t>
      </w:r>
      <w:r>
        <w:rPr>
          <w:sz w:val="16"/>
          <w:szCs w:val="16"/>
          <w:rtl/>
        </w:rPr>
        <w:t xml:space="preserve">(אות ק קיום נב ע"ד) </w:t>
      </w:r>
      <w:r>
        <w:rPr>
          <w:rtl/>
        </w:rPr>
        <w:t xml:space="preserve">עד ודיין מצטרפים וכו' דעת חיצוני הוא, גם בעל העיטור עצמו כתב לקמן </w:t>
      </w:r>
      <w:r>
        <w:rPr>
          <w:sz w:val="16"/>
          <w:szCs w:val="16"/>
          <w:rtl/>
        </w:rPr>
        <w:t xml:space="preserve">(שם נד ע"ג) </w:t>
      </w:r>
      <w:r>
        <w:rPr>
          <w:rtl/>
        </w:rPr>
        <w:t>דהלכתא אין מצטרפין, ואם כן דבריו סותרין את דבריו ותפוס לשון אחרון, ואפשר שמה שכתוב למעלה הוא ללמדנו היאך כותבין למאן דאמר מצטרפין, ונפקא מינה לדידן-...</w:t>
      </w:r>
    </w:p>
  </w:footnote>
  <w:footnote w:id="3823">
    <w:p w14:paraId="2029322E" w14:textId="77777777" w:rsidR="0013116F" w:rsidRDefault="0013116F" w:rsidP="001D49D4">
      <w:pPr>
        <w:pStyle w:val="a9"/>
        <w:rPr>
          <w:rtl/>
        </w:rPr>
      </w:pPr>
      <w:r>
        <w:rPr>
          <w:rStyle w:val="ab"/>
        </w:rPr>
        <w:footnoteRef/>
      </w:r>
      <w:r>
        <w:rPr>
          <w:rtl/>
        </w:rPr>
        <w:t xml:space="preserve"> וכתב הב"י (בבדה"ב)- ויש לתמוה שהרי על העד השני אין כאן אלא עדות הדיין בלבד ולכן נראה למחוק תיבות 'העד ועל' ולגרוס אלא ששנים מן השוק מעידים על הדיין, שהרי זה כמו שכתבתי בסמוך בשם הריב"ש. עכ"ל הב"י. </w:t>
      </w:r>
      <w:r>
        <w:rPr>
          <w:color w:val="E36C0A" w:themeColor="accent6" w:themeShade="BF"/>
          <w:rtl/>
        </w:rPr>
        <w:t>(וכ"פ בשו"ע)</w:t>
      </w:r>
      <w:r>
        <w:rPr>
          <w:rtl/>
        </w:rPr>
        <w:t xml:space="preserve">. וכן הסכימו הסמ"ע </w:t>
      </w:r>
      <w:r>
        <w:rPr>
          <w:sz w:val="16"/>
          <w:szCs w:val="16"/>
          <w:rtl/>
        </w:rPr>
        <w:t xml:space="preserve">(סקמ"ו, ובהגהות דו"פ אות ו') </w:t>
      </w:r>
      <w:r>
        <w:rPr>
          <w:rtl/>
        </w:rPr>
        <w:t xml:space="preserve">והב"ח </w:t>
      </w:r>
      <w:r>
        <w:rPr>
          <w:sz w:val="16"/>
          <w:szCs w:val="16"/>
          <w:rtl/>
        </w:rPr>
        <w:t>(סע' יז)</w:t>
      </w:r>
      <w:r>
        <w:rPr>
          <w:rtl/>
        </w:rPr>
        <w:t xml:space="preserve">. אך הש"ך </w:t>
      </w:r>
      <w:r>
        <w:rPr>
          <w:sz w:val="16"/>
          <w:szCs w:val="16"/>
          <w:rtl/>
        </w:rPr>
        <w:t xml:space="preserve">(סקמ"ו) </w:t>
      </w:r>
      <w:r>
        <w:rPr>
          <w:rtl/>
        </w:rPr>
        <w:t xml:space="preserve">כתב שכולם לא ירדו לעומק דברי הר"ן, דמוכרח הוא שאין כאן טעות סופר ודברי הר"ן ברורים... וברור דס"ל להר"ן בשם הרא"ה דכששנים מן השוק מעידים רק על עד אחד ועל דיין אחד סגי בהכי, ומוכרח כן בש"ס... וכן ראיתי בהריטב"א פ"ב דכתובות </w:t>
      </w:r>
      <w:r>
        <w:rPr>
          <w:sz w:val="16"/>
          <w:szCs w:val="16"/>
          <w:rtl/>
        </w:rPr>
        <w:t>(כא. ד"ה אמר רמי בר חמא)</w:t>
      </w:r>
      <w:r>
        <w:rPr>
          <w:rtl/>
        </w:rPr>
        <w:t xml:space="preserve">... וכן הוא בתשובות מהר"מ מרוטנבורק </w:t>
      </w:r>
      <w:r>
        <w:rPr>
          <w:sz w:val="16"/>
          <w:szCs w:val="16"/>
          <w:rtl/>
        </w:rPr>
        <w:t xml:space="preserve">(ד"פ סי' מח) </w:t>
      </w:r>
      <w:r>
        <w:rPr>
          <w:rtl/>
        </w:rPr>
        <w:t xml:space="preserve">והיא נדפסת ג"כ בתשובות רשב"א </w:t>
      </w:r>
      <w:r>
        <w:rPr>
          <w:sz w:val="16"/>
          <w:szCs w:val="16"/>
          <w:rtl/>
        </w:rPr>
        <w:t xml:space="preserve">(ח"א סי' תתנג, וגם הדרכ"מ [אות ז***] שלח לעיין בתשו' זו) </w:t>
      </w:r>
      <w:r>
        <w:rPr>
          <w:rtl/>
        </w:rPr>
        <w:t xml:space="preserve">וז"ל- עד ודיין מצטרפין, לפי מה שהוכיח ר"י </w:t>
      </w:r>
      <w:r>
        <w:rPr>
          <w:sz w:val="16"/>
          <w:szCs w:val="16"/>
          <w:rtl/>
        </w:rPr>
        <w:t xml:space="preserve">(שם בתוד"ה עד) </w:t>
      </w:r>
      <w:r>
        <w:rPr>
          <w:rtl/>
        </w:rPr>
        <w:t xml:space="preserve">שצריך שיכיר חתימות הדיינים על ההנפק, מהני מה שהם חותמים, שאם לאחר זמן יעידו על חתימת אחד מן העדים וחתימת אחד מן הדיינין או שני הדיינין סגי בהכי, עכ"ל. נראה דמהר"מ מפרש ג"כ כמ"ש הריטב"א, וא"כ אף למאי דמסיק רבא דלא מצטרפי, מ"מ בכה"ג עד ודיין מצטרפים, וזה נראה ברור דעת הר"ן בשם הרא"ה, ודלא כהמחבר וסמ"ע וב"ח, כן נ"ל ברור. וכן נ"ל עיקר לדינא </w:t>
      </w:r>
      <w:r>
        <w:rPr>
          <w:sz w:val="16"/>
          <w:szCs w:val="16"/>
          <w:rtl/>
        </w:rPr>
        <w:t>(ואע"ג דמדברי הריב"ש (סי' שפב) גבי דיין החתום על החליצה ודיין החתום על האשרתא, וכן מדברי הרא"ש (שם פ"ב סי' יח) וטור (סע' יח) שהבאתי לעיל סע' יד סקמ"א מוכח דס"ל דעד ודיין לעולם אין מצטרפים)</w:t>
      </w:r>
      <w:r>
        <w:rPr>
          <w:rtl/>
        </w:rPr>
        <w:t>.</w:t>
      </w:r>
    </w:p>
  </w:footnote>
  <w:footnote w:id="3824">
    <w:p w14:paraId="6776CFAC" w14:textId="77777777" w:rsidR="0013116F" w:rsidRDefault="0013116F" w:rsidP="001D49D4">
      <w:pPr>
        <w:pStyle w:val="a9"/>
        <w:rPr>
          <w:rtl/>
        </w:rPr>
      </w:pPr>
      <w:r>
        <w:rPr>
          <w:rStyle w:val="ab"/>
        </w:rPr>
        <w:footnoteRef/>
      </w:r>
      <w:r>
        <w:rPr>
          <w:rtl/>
        </w:rPr>
        <w:t xml:space="preserve"> כגון שאומר שמכיר אותם או שחתמו לפניו וכה"ג, וה"ה אם אומר בפניו נתקיים השטר בפני ב"ד, מהני בצירוף דיין אחד שמעיד על חתימתו, ש"ך (סקמ"ד).</w:t>
      </w:r>
    </w:p>
  </w:footnote>
  <w:footnote w:id="3825">
    <w:p w14:paraId="5409E5D4" w14:textId="77777777" w:rsidR="0013116F" w:rsidRDefault="0013116F" w:rsidP="001D49D4">
      <w:pPr>
        <w:pStyle w:val="a9"/>
        <w:rPr>
          <w:rtl/>
        </w:rPr>
      </w:pPr>
      <w:r>
        <w:rPr>
          <w:rStyle w:val="ab"/>
        </w:rPr>
        <w:footnoteRef/>
      </w:r>
      <w:r>
        <w:rPr>
          <w:rtl/>
        </w:rPr>
        <w:t xml:space="preserve"> משמע דבדיין מעיד על חתימתו לחוד סגי, ולא בעינן צירוף אחר עמו, וכמו שכתבתי לעיל סע' י"ד סקל"ט, ש"ך (סקמ"ה).</w:t>
      </w:r>
    </w:p>
  </w:footnote>
  <w:footnote w:id="3826">
    <w:p w14:paraId="1AC2E8E2" w14:textId="77777777" w:rsidR="0013116F" w:rsidRDefault="0013116F" w:rsidP="001D49D4">
      <w:pPr>
        <w:pStyle w:val="a9"/>
      </w:pPr>
      <w:r>
        <w:rPr>
          <w:rStyle w:val="ab"/>
        </w:rPr>
        <w:footnoteRef/>
      </w:r>
      <w:r>
        <w:rPr>
          <w:rtl/>
        </w:rPr>
        <w:t xml:space="preserve"> גם הדיין שמעיד על חתימתו הו"ל כאילו מעיד ואומר אלו הן החתימות שראיתי שחתמו או הועד לפני על חתימתן, סמ"ע</w:t>
      </w:r>
      <w:r>
        <w:rPr>
          <w:sz w:val="16"/>
          <w:szCs w:val="16"/>
          <w:rtl/>
        </w:rPr>
        <w:t xml:space="preserve"> (סקמ"ג)</w:t>
      </w:r>
      <w:r>
        <w:rPr>
          <w:rtl/>
        </w:rPr>
        <w:t>.</w:t>
      </w:r>
    </w:p>
  </w:footnote>
  <w:footnote w:id="3827">
    <w:p w14:paraId="426CEB09" w14:textId="77777777" w:rsidR="0013116F" w:rsidRDefault="0013116F" w:rsidP="001D49D4">
      <w:pPr>
        <w:pStyle w:val="a9"/>
      </w:pPr>
      <w:r>
        <w:rPr>
          <w:rStyle w:val="ab"/>
        </w:rPr>
        <w:footnoteRef/>
      </w:r>
      <w:r>
        <w:rPr>
          <w:rtl/>
        </w:rPr>
        <w:t xml:space="preserve"> </w:t>
      </w:r>
      <w:r>
        <w:rPr>
          <w:rFonts w:hint="cs"/>
          <w:rtl/>
        </w:rPr>
        <w:t xml:space="preserve">סימן – כתב חרוט. כלה חרוטה. כהן חרוט. </w:t>
      </w:r>
    </w:p>
  </w:footnote>
  <w:footnote w:id="3828">
    <w:p w14:paraId="6781964D" w14:textId="77777777" w:rsidR="0013116F" w:rsidRDefault="0013116F" w:rsidP="001D49D4">
      <w:pPr>
        <w:pStyle w:val="a9"/>
        <w:rPr>
          <w:rtl/>
        </w:rPr>
      </w:pPr>
      <w:r>
        <w:rPr>
          <w:rStyle w:val="ab"/>
        </w:rPr>
        <w:footnoteRef/>
      </w:r>
      <w:r>
        <w:rPr>
          <w:rtl/>
        </w:rPr>
        <w:t xml:space="preserve"> כלומר מעיד עמו, ב"י.</w:t>
      </w:r>
    </w:p>
  </w:footnote>
  <w:footnote w:id="3829">
    <w:p w14:paraId="71700699" w14:textId="77777777" w:rsidR="0013116F" w:rsidRDefault="0013116F" w:rsidP="001D49D4">
      <w:pPr>
        <w:pStyle w:val="a9"/>
      </w:pPr>
      <w:r>
        <w:rPr>
          <w:rStyle w:val="ab"/>
        </w:rPr>
        <w:footnoteRef/>
      </w:r>
      <w:r>
        <w:rPr>
          <w:rtl/>
        </w:rPr>
        <w:t xml:space="preserve"> דמדאורייתא לא בעי קיום דאמר ריש לקיש עדים החתומים על השטר נעשה כמי שנחקרה עדותן בבית דין, רש"י.</w:t>
      </w:r>
    </w:p>
  </w:footnote>
  <w:footnote w:id="3830">
    <w:p w14:paraId="71BA1ABC" w14:textId="77777777" w:rsidR="0013116F" w:rsidRDefault="0013116F" w:rsidP="001D49D4">
      <w:pPr>
        <w:pStyle w:val="a9"/>
      </w:pPr>
      <w:r>
        <w:rPr>
          <w:rStyle w:val="ab"/>
        </w:rPr>
        <w:footnoteRef/>
      </w:r>
      <w:r>
        <w:rPr>
          <w:rtl/>
        </w:rPr>
        <w:t xml:space="preserve"> בדבר שהוא מדבריהם האמינו ואין זה עוקר דבר מן התורה שהם אמרו והם אמרו הם הצריכו קיום העדות והם הכשירו בו את אלו, ב"י.</w:t>
      </w:r>
    </w:p>
  </w:footnote>
  <w:footnote w:id="3831">
    <w:p w14:paraId="0BA08195" w14:textId="77777777" w:rsidR="0013116F" w:rsidRDefault="0013116F" w:rsidP="001D49D4">
      <w:pPr>
        <w:pStyle w:val="a9"/>
        <w:rPr>
          <w:rtl/>
        </w:rPr>
      </w:pPr>
      <w:r>
        <w:rPr>
          <w:rStyle w:val="ab"/>
        </w:rPr>
        <w:footnoteRef/>
      </w:r>
      <w:r>
        <w:rPr>
          <w:rtl/>
        </w:rPr>
        <w:t xml:space="preserve"> והכי נמי אמרינן בירושלמי </w:t>
      </w:r>
      <w:r>
        <w:rPr>
          <w:sz w:val="16"/>
          <w:szCs w:val="16"/>
          <w:rtl/>
        </w:rPr>
        <w:t xml:space="preserve">(הובא לעיל) </w:t>
      </w:r>
      <w:r>
        <w:rPr>
          <w:rtl/>
        </w:rPr>
        <w:t>'תני ובלבד דברים שרגילים בהם', כלומר דאלו השלשה שהוא תמיד מצוי ורגיל אצלם, אבל באיניש דעלמא אפילו אם היה רגיל אצלו אינו חשוב רגילות, רא"ש</w:t>
      </w:r>
      <w:r>
        <w:rPr>
          <w:sz w:val="16"/>
          <w:szCs w:val="16"/>
          <w:rtl/>
        </w:rPr>
        <w:t xml:space="preserve"> (שם)</w:t>
      </w:r>
      <w:r>
        <w:rPr>
          <w:rtl/>
        </w:rPr>
        <w:t>. וכתב הב"י</w:t>
      </w:r>
      <w:r>
        <w:rPr>
          <w:sz w:val="16"/>
          <w:szCs w:val="16"/>
          <w:rtl/>
        </w:rPr>
        <w:t xml:space="preserve"> (בבדה"ב) </w:t>
      </w:r>
      <w:r>
        <w:rPr>
          <w:rtl/>
        </w:rPr>
        <w:t>והפוסקים השמיטו זה הירושלמי משום דבתלמודא דידן לא חילק בכך אלמא לא סבירא ליה הכי או שהם מפרשים זה הירושלמי בענין אחר.</w:t>
      </w:r>
      <w:r>
        <w:rPr>
          <w:color w:val="E36C0A" w:themeColor="accent6" w:themeShade="BF"/>
          <w:rtl/>
        </w:rPr>
        <w:t xml:space="preserve"> (וכ"ס בשו"ע)</w:t>
      </w:r>
      <w:r>
        <w:rPr>
          <w:rtl/>
        </w:rPr>
        <w:t>. וכתב הש"ך (סקמ"ח) דבאמת אפשר לפרש כך את לשון הירושלמי, וכך פירושו- תני ובלבד דברים שהם רגילים בהם, דהיינו הוא הדין אחרים כאלו שהם רגילים בהם, דאילו להרא"ש הוה ליה למימר, תני מפני שהם רגילים בהם, אלא ודאי ר"ל ה"ה לאינך ובלבד דברים שהם רגילים בהם.</w:t>
      </w:r>
    </w:p>
  </w:footnote>
  <w:footnote w:id="3832">
    <w:p w14:paraId="2797D82B" w14:textId="77777777" w:rsidR="0013116F" w:rsidRDefault="0013116F" w:rsidP="001D49D4">
      <w:pPr>
        <w:pStyle w:val="a9"/>
        <w:rPr>
          <w:rtl/>
        </w:rPr>
      </w:pPr>
      <w:r>
        <w:rPr>
          <w:rStyle w:val="ab"/>
        </w:rPr>
        <w:footnoteRef/>
      </w:r>
      <w:r>
        <w:rPr>
          <w:rtl/>
        </w:rPr>
        <w:t xml:space="preserve"> </w:t>
      </w:r>
      <w:r>
        <w:rPr>
          <w:rFonts w:hint="cs"/>
          <w:rtl/>
        </w:rPr>
        <w:t xml:space="preserve">ודייני קיום ה"ה והוא הטעם שיכולים להיות קרובים לעידי השטר, ר"ן (ספ"ב דכתובות יב: [ד"ה ונמצינו]). </w:t>
      </w:r>
      <w:r>
        <w:rPr>
          <w:rFonts w:hint="cs"/>
          <w:color w:val="FF0000"/>
          <w:rtl/>
        </w:rPr>
        <w:t>וצל"ע מדוע אף אחד לא הביא דבריו, ואולי משום דפשוט הוא.</w:t>
      </w:r>
    </w:p>
  </w:footnote>
  <w:footnote w:id="3833">
    <w:p w14:paraId="074CB574" w14:textId="77777777" w:rsidR="0013116F" w:rsidRDefault="0013116F" w:rsidP="001D49D4">
      <w:pPr>
        <w:pStyle w:val="a9"/>
      </w:pPr>
      <w:r>
        <w:rPr>
          <w:rStyle w:val="ab"/>
        </w:rPr>
        <w:footnoteRef/>
      </w:r>
      <w:r>
        <w:rPr>
          <w:rtl/>
        </w:rPr>
        <w:t xml:space="preserve"> פירוש, עם אחר שראה החתימות בגדלותו אע"פ שגם הוא קרוב לעדי השטר, סמ"ע (סקמ"ו). וכתב הש"ך (סקמ"ז) דכ"כ הר"ן [כתובות יב: מדפה"ר ד"ה דכיון] וכ"כ הריטב"א [שם כח. ד"ה נאמן] בשם קצת רבוותא ושכן נראין הדברים לדינא, מיהו כל זה להעיד על חתימת קרוב שהוא עד, מטעם דעדים החתומים על השטר כמי שנחקרה עדותם בב"ד דמי ומדאורייתא לא בעי קיום. אבל להעיד על חתימת הלוה, פשיטא דאין קרוב נאמן לחייבו, וכ"כ בסמ"ע סימן ל"ה סק"ט, והוא פשוט. עכ"ל הש"ך. וכתב עוד הסמ"ע (שם) דבעינן נמי שיהיו שני עדי הקיום הללו כשרים זה לזה</w:t>
      </w:r>
      <w:r>
        <w:rPr>
          <w:sz w:val="16"/>
          <w:szCs w:val="16"/>
          <w:rtl/>
        </w:rPr>
        <w:t xml:space="preserve"> {וכמש"כ הרמ"א בסע' הבא בשם הר"ן}</w:t>
      </w:r>
      <w:r>
        <w:rPr>
          <w:rtl/>
        </w:rPr>
        <w:t xml:space="preserve">. </w:t>
      </w:r>
    </w:p>
  </w:footnote>
  <w:footnote w:id="3834">
    <w:p w14:paraId="24D9CFBA" w14:textId="77777777" w:rsidR="0013116F" w:rsidRDefault="0013116F" w:rsidP="001D49D4">
      <w:pPr>
        <w:pStyle w:val="a9"/>
      </w:pPr>
      <w:r>
        <w:rPr>
          <w:rStyle w:val="ab"/>
        </w:rPr>
        <w:footnoteRef/>
      </w:r>
      <w:r>
        <w:rPr>
          <w:rtl/>
        </w:rPr>
        <w:t xml:space="preserve"> וכן לעיל סימן ל"ה סעיף ד' כתב המחבר דין זה בשם יש מי שאומר, ותמה בסמ"ע שם סק"י למה כתב המחבר זה בלשון יש מי שאומר, דאין שום פוסק חולק ע"ז כו'. ואישתמיטתיה דברי הרב המחבר בספר בדה"ב כאן בסימן זה [סע' לב]... גם ראיתי בריטב"א </w:t>
      </w:r>
      <w:r>
        <w:rPr>
          <w:sz w:val="16"/>
          <w:szCs w:val="16"/>
          <w:rtl/>
        </w:rPr>
        <w:t>(פ"ב דכתובות כח. ד"ה אמר רב הונא)</w:t>
      </w:r>
      <w:r>
        <w:rPr>
          <w:rtl/>
        </w:rPr>
        <w:t xml:space="preserve"> שחולק להדיא, ש"ך (סקמ"ח).</w:t>
      </w:r>
    </w:p>
  </w:footnote>
  <w:footnote w:id="3835">
    <w:p w14:paraId="5302C8F8" w14:textId="77777777" w:rsidR="0013116F" w:rsidRDefault="0013116F" w:rsidP="001D49D4">
      <w:pPr>
        <w:pStyle w:val="a9"/>
      </w:pPr>
      <w:r>
        <w:rPr>
          <w:rStyle w:val="ab"/>
        </w:rPr>
        <w:footnoteRef/>
      </w:r>
      <w:r>
        <w:rPr>
          <w:rtl/>
        </w:rPr>
        <w:t xml:space="preserve"> הטור כתב – "לפיכך אין לחוש אם העדים קרובים לעדי הקיום". וכתב הב"י דנראה שטעות סופר הוא וצריך להגיה ולכתוב לדייני הקיום במקום לעדי הקיום.</w:t>
      </w:r>
    </w:p>
  </w:footnote>
  <w:footnote w:id="3836">
    <w:p w14:paraId="2CE4A6FD" w14:textId="77777777" w:rsidR="0013116F" w:rsidRDefault="0013116F" w:rsidP="001D49D4">
      <w:pPr>
        <w:pStyle w:val="a9"/>
      </w:pPr>
      <w:r>
        <w:rPr>
          <w:rStyle w:val="ab"/>
        </w:rPr>
        <w:footnoteRef/>
      </w:r>
      <w:r>
        <w:rPr>
          <w:rtl/>
        </w:rPr>
        <w:t xml:space="preserve"> ועוד כתב שם הר"ן שעידי הקיום יכולין להיות קרובים לעדי השטר, ומשנתינו היא זו (כתובות כח.) זה כתב ידו של אבא</w:t>
      </w:r>
      <w:r>
        <w:rPr>
          <w:sz w:val="16"/>
          <w:szCs w:val="16"/>
          <w:rtl/>
        </w:rPr>
        <w:t xml:space="preserve"> {עכ"ל הר"ן}</w:t>
      </w:r>
      <w:r>
        <w:rPr>
          <w:rtl/>
        </w:rPr>
        <w:t>. ונ"ל דהוא הדין דעדים המעידים על חתימת ידי דייני הקיום יכולים להיות קרובים לעידי הקיום</w:t>
      </w:r>
      <w:r>
        <w:rPr>
          <w:sz w:val="16"/>
          <w:szCs w:val="16"/>
          <w:rtl/>
        </w:rPr>
        <w:t xml:space="preserve"> </w:t>
      </w:r>
      <w:r>
        <w:rPr>
          <w:color w:val="00B0F0"/>
          <w:sz w:val="16"/>
          <w:szCs w:val="16"/>
          <w:rtl/>
        </w:rPr>
        <w:t>(וכ"פ הרמ"א)</w:t>
      </w:r>
      <w:r>
        <w:rPr>
          <w:rtl/>
        </w:rPr>
        <w:t>. אבל ראיתי בשם הרשב"א דיכולין עידי קיום להיות קרובים לדייני קיום דכיון שאין הזמה מצויה בהם אלא היכא דאמרי בפנינו חתמו עדי השטר ביום פלוני וזה דבר רחוק לא חיישינן להכי בקיום שטרות הואיל ואינו אלא מדרבנן והביא ראיה על זה. וכך הם דברי רי"ו בנ"ב ח"ג (יב:), ובחלק ח' (יד ע"ג) כתב שתי הסברות. ומכל מקום העלה הר"ן שצריך שעדי קיום יהיו רחוקים מדייני קיום, ב"י.</w:t>
      </w:r>
    </w:p>
  </w:footnote>
  <w:footnote w:id="3837">
    <w:p w14:paraId="5AE70A08" w14:textId="77777777" w:rsidR="0013116F" w:rsidRDefault="0013116F" w:rsidP="001D49D4">
      <w:pPr>
        <w:pStyle w:val="a9"/>
        <w:rPr>
          <w:rtl/>
        </w:rPr>
      </w:pPr>
      <w:r>
        <w:rPr>
          <w:rStyle w:val="ab"/>
        </w:rPr>
        <w:footnoteRef/>
      </w:r>
      <w:r>
        <w:rPr>
          <w:rtl/>
        </w:rPr>
        <w:t xml:space="preserve"> משום דבעינן עדות שיכול להזימה, ודיינים אלו לא יקבלו הזמה על קרוביהם, עכ"ל עיר שושן </w:t>
      </w:r>
      <w:r>
        <w:rPr>
          <w:sz w:val="16"/>
          <w:szCs w:val="16"/>
          <w:rtl/>
        </w:rPr>
        <w:t xml:space="preserve">[סע' יח] </w:t>
      </w:r>
      <w:r>
        <w:rPr>
          <w:rtl/>
        </w:rPr>
        <w:t xml:space="preserve">וסמ"ע </w:t>
      </w:r>
      <w:r>
        <w:rPr>
          <w:sz w:val="16"/>
          <w:szCs w:val="16"/>
          <w:rtl/>
        </w:rPr>
        <w:t>[סקמ"ח]</w:t>
      </w:r>
      <w:r>
        <w:rPr>
          <w:rtl/>
        </w:rPr>
        <w:t xml:space="preserve">. ובאמת כתבו כן קצת פוסקים, אבל הר"ן ספ"ב דכתובות </w:t>
      </w:r>
      <w:r>
        <w:rPr>
          <w:sz w:val="16"/>
          <w:szCs w:val="16"/>
          <w:rtl/>
        </w:rPr>
        <w:t xml:space="preserve">[יב: מדפה"ר ד"ה דכיון] </w:t>
      </w:r>
      <w:r>
        <w:rPr>
          <w:rtl/>
        </w:rPr>
        <w:t xml:space="preserve">השיג על זה, והוכיח מסוף פרק זה בורר </w:t>
      </w:r>
      <w:r>
        <w:rPr>
          <w:sz w:val="16"/>
          <w:szCs w:val="16"/>
          <w:rtl/>
        </w:rPr>
        <w:t xml:space="preserve">[סנהדרין כח.] </w:t>
      </w:r>
      <w:r>
        <w:rPr>
          <w:rtl/>
        </w:rPr>
        <w:t xml:space="preserve">דלא קי"ל כהירושלמי [שם פ"ג ה"ט] דפוסל עדים קרובים מטעם הזמה, אלא גזירת הכתוב הוא מלא יומתו אבות על בנים [דברים כד טז], דכל שהדבר יוצא ע"פ קרובים, הן ששניהם עדים, או האחד עד והשני דיין, דא ודא אחת היא ופסולים. והשיג על הרשב"א שכתב דיכולים להיות עדי קיום קרובים לדייני קיום, כיון דאין הזמה שכיחא בהו לא חיישינן להכי בקיום שטרות דרבנן כו', ש"ך </w:t>
      </w:r>
      <w:r>
        <w:rPr>
          <w:sz w:val="16"/>
          <w:szCs w:val="16"/>
          <w:rtl/>
        </w:rPr>
        <w:t>(סקמ"ט)</w:t>
      </w:r>
      <w:r>
        <w:rPr>
          <w:rtl/>
        </w:rPr>
        <w:t>.</w:t>
      </w:r>
    </w:p>
  </w:footnote>
  <w:footnote w:id="3838">
    <w:p w14:paraId="6C78B1BD" w14:textId="77777777" w:rsidR="0013116F" w:rsidRDefault="0013116F" w:rsidP="001D49D4">
      <w:pPr>
        <w:pStyle w:val="a9"/>
        <w:rPr>
          <w:rtl/>
        </w:rPr>
      </w:pPr>
      <w:r>
        <w:rPr>
          <w:rStyle w:val="ab"/>
        </w:rPr>
        <w:footnoteRef/>
      </w:r>
      <w:r>
        <w:rPr>
          <w:rtl/>
        </w:rPr>
        <w:t xml:space="preserve"> משום דסתם קיום הוא שמעידין שמכירין החתימה, ובזה לא שייך הזמה, משו"ה הקילו בקיום שטרות להכשיר אף אם מעידין שבפניהן חתמו אף דשייך ביה הזמה, סמ"ע (סקמ"ט).</w:t>
      </w:r>
    </w:p>
  </w:footnote>
  <w:footnote w:id="3839">
    <w:p w14:paraId="6D47A1E2" w14:textId="77777777" w:rsidR="0013116F" w:rsidRDefault="0013116F" w:rsidP="001D49D4">
      <w:pPr>
        <w:pStyle w:val="a9"/>
      </w:pPr>
      <w:r>
        <w:rPr>
          <w:rStyle w:val="ab"/>
        </w:rPr>
        <w:footnoteRef/>
      </w:r>
      <w:r>
        <w:rPr>
          <w:rtl/>
        </w:rPr>
        <w:t xml:space="preserve"> שאין עדותם עדות אחת, אלו מעידים על השטר שהוא כשר, ואלו מעידים על חתימת ידי הדיינים, עיר שושן (סע' יח).</w:t>
      </w:r>
    </w:p>
  </w:footnote>
  <w:footnote w:id="3840">
    <w:p w14:paraId="701A4F9D" w14:textId="77777777" w:rsidR="0013116F" w:rsidRDefault="0013116F" w:rsidP="001D49D4">
      <w:pPr>
        <w:pStyle w:val="a9"/>
        <w:rPr>
          <w:rtl/>
        </w:rPr>
      </w:pPr>
      <w:r>
        <w:rPr>
          <w:rStyle w:val="ab"/>
        </w:rPr>
        <w:footnoteRef/>
      </w:r>
      <w:r>
        <w:rPr>
          <w:rtl/>
        </w:rPr>
        <w:t xml:space="preserve"> </w:t>
      </w:r>
      <w:r>
        <w:rPr>
          <w:rFonts w:hint="cs"/>
          <w:rtl/>
        </w:rPr>
        <w:t>סימן - קריאת טופס.</w:t>
      </w:r>
    </w:p>
  </w:footnote>
  <w:footnote w:id="3841">
    <w:p w14:paraId="3C6D2542" w14:textId="77777777" w:rsidR="0013116F" w:rsidRDefault="0013116F" w:rsidP="001D49D4">
      <w:pPr>
        <w:pStyle w:val="a9"/>
      </w:pPr>
      <w:r>
        <w:rPr>
          <w:rStyle w:val="ab"/>
        </w:rPr>
        <w:footnoteRef/>
      </w:r>
      <w:r>
        <w:rPr>
          <w:rtl/>
        </w:rPr>
        <w:t xml:space="preserve"> שהרי על דברי השטר הם באים להעיד, רש"י.</w:t>
      </w:r>
    </w:p>
  </w:footnote>
  <w:footnote w:id="3842">
    <w:p w14:paraId="423B2C1E" w14:textId="77777777" w:rsidR="0013116F" w:rsidRDefault="0013116F" w:rsidP="001D49D4">
      <w:pPr>
        <w:pStyle w:val="a9"/>
      </w:pPr>
      <w:r>
        <w:rPr>
          <w:rStyle w:val="ab"/>
        </w:rPr>
        <w:footnoteRef/>
      </w:r>
      <w:r>
        <w:rPr>
          <w:rtl/>
        </w:rPr>
        <w:t xml:space="preserve"> בקיום אע"פ שלא קראוהו שהרי אינן מעידין אלא ששטר זה בא לפנינו והעדים הכירו שהיא חתימתן, רש"י.</w:t>
      </w:r>
    </w:p>
  </w:footnote>
  <w:footnote w:id="3843">
    <w:p w14:paraId="73185E40" w14:textId="77777777" w:rsidR="0013116F" w:rsidRDefault="0013116F" w:rsidP="001D49D4">
      <w:pPr>
        <w:pStyle w:val="a9"/>
      </w:pPr>
      <w:r>
        <w:rPr>
          <w:rStyle w:val="ab"/>
        </w:rPr>
        <w:footnoteRef/>
      </w:r>
      <w:r>
        <w:rPr>
          <w:rtl/>
        </w:rPr>
        <w:t xml:space="preserve"> ריטב"א </w:t>
      </w:r>
      <w:r>
        <w:rPr>
          <w:sz w:val="16"/>
          <w:szCs w:val="16"/>
          <w:rtl/>
        </w:rPr>
        <w:t xml:space="preserve">(שם קט: ד"ה הא דאמרן) </w:t>
      </w:r>
      <w:r>
        <w:rPr>
          <w:rtl/>
        </w:rPr>
        <w:t xml:space="preserve">ר"ן </w:t>
      </w:r>
      <w:r>
        <w:rPr>
          <w:sz w:val="16"/>
          <w:szCs w:val="16"/>
          <w:rtl/>
        </w:rPr>
        <w:t>(כתובות סד. מדפה"ר ד"ה גמ' אבל הדיינים)</w:t>
      </w:r>
      <w:r>
        <w:rPr>
          <w:rtl/>
        </w:rPr>
        <w:t xml:space="preserve"> בשם הרא"ה וריב"ש </w:t>
      </w:r>
      <w:r>
        <w:rPr>
          <w:sz w:val="16"/>
          <w:szCs w:val="16"/>
          <w:rtl/>
        </w:rPr>
        <w:t>(סי' שפב ד"ה עוד השני)</w:t>
      </w:r>
      <w:r>
        <w:rPr>
          <w:rtl/>
        </w:rPr>
        <w:t>.</w:t>
      </w:r>
    </w:p>
  </w:footnote>
  <w:footnote w:id="3844">
    <w:p w14:paraId="08E4B7E9" w14:textId="77777777" w:rsidR="0013116F" w:rsidRDefault="0013116F" w:rsidP="001D49D4">
      <w:pPr>
        <w:pStyle w:val="a9"/>
        <w:rPr>
          <w:rtl/>
        </w:rPr>
      </w:pPr>
      <w:r>
        <w:rPr>
          <w:rStyle w:val="ab"/>
        </w:rPr>
        <w:footnoteRef/>
      </w:r>
      <w:r>
        <w:rPr>
          <w:rtl/>
        </w:rPr>
        <w:t xml:space="preserve"> וכתב עוד הריטב"א (שם) אי נמי שלא קראוהו כלל והוא שכתבו באשרתא בפירוש שמות המעידים על כתב העדים עכ"ל. וכ"כ נמוק"י בסוף פרק יש נוחלין (ב"ב סד: דיבור ראשון). </w:t>
      </w:r>
      <w:r>
        <w:rPr>
          <w:color w:val="00B0F0"/>
          <w:rtl/>
        </w:rPr>
        <w:t>(וכ"פ הרמ"א)</w:t>
      </w:r>
    </w:p>
  </w:footnote>
  <w:footnote w:id="3845">
    <w:p w14:paraId="49702675" w14:textId="77777777" w:rsidR="0013116F" w:rsidRDefault="0013116F" w:rsidP="001D49D4">
      <w:pPr>
        <w:pStyle w:val="a9"/>
        <w:rPr>
          <w:rtl/>
        </w:rPr>
      </w:pPr>
      <w:r>
        <w:rPr>
          <w:rStyle w:val="ab"/>
        </w:rPr>
        <w:footnoteRef/>
      </w:r>
      <w:r>
        <w:rPr>
          <w:rtl/>
        </w:rPr>
        <w:t xml:space="preserve"> וז"ל הג"א- ה"ר ברוך שאל את ר' דוד בר קלונימוס ולבנו רבי משולם כיון דקיום שטרות דרבנן אם היה יכול לקיים בקרובים דמלוה ולוה והשיב להכשיר וק"ו ומה קטן שלא היה כשר לשום עדות ובכל עדות אמרינן תחילתו בפסלות וסופו בכשרות פסול אעפ"כ יתקיים השטר על פיו קרוב שכשר לכל העדות אינו דין שכשר השטר על פיו. וכ"כ בא"ז להכשיר מק"ו ומה הכא שמעיד בגודלו מה שראה בקטנו מה שראה בגודלו לא כ"ש. וה"ר שמואל בן ר"ב דחה דשאני הכא שהוא בא להעיד על חתימת אביו ואינו קרוב לא לזה ולא לזה לכך נאמן שהרי נאמן לומר זה כתב ידי אבל אם קרובים דמלוה נאמנין לקיים השטר א"כ לא שבקת חיי לכל בריה. ועוד דשאני קטן שבא לכלל עדות משא"כ בקרוב ולכך אין לקיים בקרובים. וכן פסק האלפסי וכן פי' ר"ח ובפ' חזקת הבתים משמע שאין אדם יכול לקיים חתימת העד חתום עם אחיו או עם אביו דא"כ נפק נכי ריבעא דממונא אפומא דאחין. מרדכי.</w:t>
      </w:r>
    </w:p>
  </w:footnote>
  <w:footnote w:id="3846">
    <w:p w14:paraId="6E8034E9" w14:textId="77777777" w:rsidR="0013116F" w:rsidRDefault="0013116F" w:rsidP="001D49D4">
      <w:pPr>
        <w:pStyle w:val="a9"/>
        <w:rPr>
          <w:rtl/>
        </w:rPr>
      </w:pPr>
      <w:r>
        <w:rPr>
          <w:rStyle w:val="ab"/>
        </w:rPr>
        <w:footnoteRef/>
      </w:r>
      <w:r>
        <w:rPr>
          <w:rtl/>
        </w:rPr>
        <w:t xml:space="preserve"> </w:t>
      </w:r>
      <w:r>
        <w:rPr>
          <w:rFonts w:hint="cs"/>
          <w:rtl/>
        </w:rPr>
        <w:t xml:space="preserve">אמנם </w:t>
      </w:r>
      <w:r>
        <w:rPr>
          <w:rtl/>
        </w:rPr>
        <w:t xml:space="preserve">הריטב"א </w:t>
      </w:r>
      <w:r>
        <w:rPr>
          <w:sz w:val="16"/>
          <w:szCs w:val="16"/>
          <w:rtl/>
        </w:rPr>
        <w:t>(שם קט: ד"ה הא דאמרן)</w:t>
      </w:r>
      <w:r>
        <w:rPr>
          <w:rtl/>
        </w:rPr>
        <w:t xml:space="preserve"> והר"ן </w:t>
      </w:r>
      <w:r>
        <w:rPr>
          <w:sz w:val="16"/>
          <w:szCs w:val="16"/>
          <w:rtl/>
        </w:rPr>
        <w:t>(כתובות סד. ד"ה גמ' אבל)</w:t>
      </w:r>
      <w:r>
        <w:rPr>
          <w:rtl/>
        </w:rPr>
        <w:t xml:space="preserve"> ענו על זה שדוקא מה שיש בגוף השטר אין צריכין הדיינים לקרות אבל מ"מ צריכין הם לראות מי הם המלוה והלוה כדי שלא יהיו קרובים לדיינים ולא לעדים המעידים בפניהם. עכ"ל הר"ן. </w:t>
      </w:r>
    </w:p>
  </w:footnote>
  <w:footnote w:id="3847">
    <w:p w14:paraId="477AC9C0" w14:textId="77777777" w:rsidR="0013116F" w:rsidRDefault="0013116F" w:rsidP="001D49D4">
      <w:pPr>
        <w:pStyle w:val="a9"/>
        <w:rPr>
          <w:rtl/>
        </w:rPr>
      </w:pPr>
      <w:r>
        <w:rPr>
          <w:rStyle w:val="ab"/>
        </w:rPr>
        <w:footnoteRef/>
      </w:r>
      <w:r>
        <w:rPr>
          <w:rtl/>
        </w:rPr>
        <w:t xml:space="preserve"> בהעי"ט </w:t>
      </w:r>
      <w:r>
        <w:rPr>
          <w:sz w:val="16"/>
          <w:szCs w:val="16"/>
          <w:rtl/>
        </w:rPr>
        <w:t>(אות ק קבלת העדות סא ע"ד)</w:t>
      </w:r>
      <w:r>
        <w:rPr>
          <w:rtl/>
        </w:rPr>
        <w:t xml:space="preserve"> רא"ש </w:t>
      </w:r>
      <w:r>
        <w:rPr>
          <w:sz w:val="16"/>
          <w:szCs w:val="16"/>
          <w:rtl/>
        </w:rPr>
        <w:t xml:space="preserve">(כלל ס סי' ד, וכ"כ הדרכ"מ [אות ז**] בשמו) </w:t>
      </w:r>
      <w:r>
        <w:rPr>
          <w:rtl/>
        </w:rPr>
        <w:t xml:space="preserve">ריטב"א </w:t>
      </w:r>
      <w:r>
        <w:rPr>
          <w:sz w:val="16"/>
          <w:szCs w:val="16"/>
          <w:rtl/>
        </w:rPr>
        <w:t xml:space="preserve">(שם קט: ד"ה הא דאמרן) </w:t>
      </w:r>
      <w:r>
        <w:rPr>
          <w:rtl/>
        </w:rPr>
        <w:t xml:space="preserve">ר"ן </w:t>
      </w:r>
      <w:r>
        <w:rPr>
          <w:sz w:val="16"/>
          <w:szCs w:val="16"/>
          <w:rtl/>
        </w:rPr>
        <w:t>(כתובות סד. מדפה"ר ד"ה גמ' אבל הדיינים)</w:t>
      </w:r>
      <w:r>
        <w:rPr>
          <w:rtl/>
        </w:rPr>
        <w:t xml:space="preserve"> בשם הרא"ה וריב"ש </w:t>
      </w:r>
      <w:r>
        <w:rPr>
          <w:sz w:val="16"/>
          <w:szCs w:val="16"/>
          <w:rtl/>
        </w:rPr>
        <w:t>(סי' שפב ד"ה עוד השני)</w:t>
      </w:r>
      <w:r>
        <w:rPr>
          <w:rtl/>
        </w:rPr>
        <w:t>.</w:t>
      </w:r>
    </w:p>
  </w:footnote>
  <w:footnote w:id="3848">
    <w:p w14:paraId="4C9AB55F" w14:textId="77777777" w:rsidR="0013116F" w:rsidRDefault="0013116F" w:rsidP="001D49D4">
      <w:pPr>
        <w:pStyle w:val="a9"/>
        <w:rPr>
          <w:rtl/>
        </w:rPr>
      </w:pPr>
      <w:r>
        <w:rPr>
          <w:rStyle w:val="ab"/>
        </w:rPr>
        <w:footnoteRef/>
      </w:r>
      <w:r>
        <w:rPr>
          <w:rtl/>
        </w:rPr>
        <w:t xml:space="preserve"> ולא תיקשי הא דאמרינן </w:t>
      </w:r>
      <w:r>
        <w:rPr>
          <w:sz w:val="16"/>
          <w:szCs w:val="16"/>
          <w:rtl/>
        </w:rPr>
        <w:t xml:space="preserve">(כתובות קט:) </w:t>
      </w:r>
      <w:r>
        <w:rPr>
          <w:rtl/>
        </w:rPr>
        <w:t xml:space="preserve">הדיינים חותמים על השטר אע"פ שלא קראוהו דהתם לא קאמר אלא שאין צריכין לקרות מיהו אם נודע שהם קרובים ודאי פסולים, ועוד דהאי אע"פ שלא קראוהו לא בעי למימר אלא שאין צריך שיקראו כל השטר משא"כ בעדים שאין חותמין אא"כ קראו כל השטר ומיהו אף הדיינים יש להם לראות מי הם הבעלי דינים כדי שלא יחתמו על שטר קרוביהם, וכמדומה לי שכ"כ התוס' בפרק שני דייני, וכ"כ העטור </w:t>
      </w:r>
      <w:r>
        <w:rPr>
          <w:sz w:val="16"/>
          <w:szCs w:val="16"/>
          <w:rtl/>
        </w:rPr>
        <w:t xml:space="preserve">(אות ק קבלת העדות סא ע"ד) </w:t>
      </w:r>
      <w:r>
        <w:rPr>
          <w:rtl/>
        </w:rPr>
        <w:t xml:space="preserve">גם הרשב"א כתב כן בפ"ק דגיטין </w:t>
      </w:r>
      <w:r>
        <w:rPr>
          <w:sz w:val="16"/>
          <w:szCs w:val="16"/>
          <w:rtl/>
        </w:rPr>
        <w:t xml:space="preserve">(ה: ד"ה </w:t>
      </w:r>
      <w:r>
        <w:rPr>
          <w:color w:val="000000" w:themeColor="text1"/>
          <w:sz w:val="16"/>
          <w:szCs w:val="16"/>
          <w:rtl/>
        </w:rPr>
        <w:t>איתמר. לפנינו ליתא, ואדרבה כתב להיפך, ועיין בש"ך סוף סק"נ שגם כתב שלפניו ליתא כן ברשב"א)</w:t>
      </w:r>
      <w:r>
        <w:rPr>
          <w:color w:val="000000" w:themeColor="text1"/>
          <w:rtl/>
        </w:rPr>
        <w:t>, ריב</w:t>
      </w:r>
      <w:r>
        <w:rPr>
          <w:rtl/>
        </w:rPr>
        <w:t xml:space="preserve">"ש. </w:t>
      </w:r>
    </w:p>
  </w:footnote>
  <w:footnote w:id="3849">
    <w:p w14:paraId="662CE98E" w14:textId="77777777" w:rsidR="0013116F" w:rsidRDefault="0013116F" w:rsidP="001D49D4">
      <w:pPr>
        <w:pStyle w:val="a9"/>
        <w:rPr>
          <w:rtl/>
        </w:rPr>
      </w:pPr>
      <w:r>
        <w:rPr>
          <w:rStyle w:val="ab"/>
        </w:rPr>
        <w:footnoteRef/>
      </w:r>
      <w:r>
        <w:rPr>
          <w:rtl/>
        </w:rPr>
        <w:t xml:space="preserve"> נראה מדברי הר"ב דאף מאן דמכשיר בעדי קיום פוסל בדייני קיום, וכ"כ בעיר שושן [סעיף י"ט] להדיא, אבל דייני קיום הקרובים למלוה או ללוה פסולים לכו"ע. ודבריהם תמוהין בעיני, דפשיטא דמאן דמכשיר בעדי קיום ה"ה בדייני קיום, דאין טעם לחלק כלל. ועוד, דהא לפי טעם המכשיר, הוא משום דקיום שטרות דרבנן הקלו בה ואוקמוה אדאורייתא דלא צריך קיום כלל, א"כ האי טעמא שייך נמי בדייני קיום, ואדרבה טפי נראה להכשיר בדייני קיום מעדי קיום... וא"כ דברי הר"ב והעיר שושן צל"ע, ש"ך (סק"נ).</w:t>
      </w:r>
    </w:p>
  </w:footnote>
  <w:footnote w:id="3850">
    <w:p w14:paraId="6408E9F0" w14:textId="77777777" w:rsidR="0013116F" w:rsidRDefault="0013116F" w:rsidP="001D49D4">
      <w:pPr>
        <w:pStyle w:val="a9"/>
        <w:rPr>
          <w:rtl/>
        </w:rPr>
      </w:pPr>
      <w:r>
        <w:rPr>
          <w:rStyle w:val="ab"/>
        </w:rPr>
        <w:footnoteRef/>
      </w:r>
      <w:r>
        <w:rPr>
          <w:rtl/>
        </w:rPr>
        <w:t xml:space="preserve"> ודיינים של קיום פשיטא שיהיו ניכרים מכח חתימתן שבקיום אם הם קרובים, ומשו"ה אינו צריך לכותבן, משא"כ עדי קיום שאינן נזכרים בשום מקום, משו"ה צריך לכותבן, סמ"ע (סקנ"א).</w:t>
      </w:r>
    </w:p>
  </w:footnote>
  <w:footnote w:id="3851">
    <w:p w14:paraId="450397F8" w14:textId="77777777" w:rsidR="0013116F" w:rsidRDefault="0013116F" w:rsidP="001D49D4">
      <w:pPr>
        <w:pStyle w:val="a9"/>
      </w:pPr>
      <w:r>
        <w:rPr>
          <w:rStyle w:val="ab"/>
        </w:rPr>
        <w:footnoteRef/>
      </w:r>
      <w:r>
        <w:rPr>
          <w:rtl/>
        </w:rPr>
        <w:t xml:space="preserve"> מה שנראה מדברי הרב והעיר שושן [סעיף כ'] דלסברא זו האחרונה צריך שיכתבו, ליתא. וגם מה שנראה מדבריהם דלסברא הראשונה לא מהני שיכתבו, ליתא. אלא לסברא הראשונה כי היכא דמהני כשיראו מי הם המלוה ולוה, ה"נ מהני כשיכתבו מי הם עדי הקיום, ולסברא האחרונה א"צ לקרותו כלל ולא לכתוב מי הם עדי הקיום וכמו שכתבתי בסמוך [סקנ"א]..., ש"ך (סקנ"ב).</w:t>
      </w:r>
    </w:p>
  </w:footnote>
  <w:footnote w:id="3852">
    <w:p w14:paraId="35E9E1A2" w14:textId="77777777" w:rsidR="0013116F" w:rsidRDefault="0013116F" w:rsidP="001D49D4">
      <w:pPr>
        <w:pStyle w:val="a9"/>
      </w:pPr>
      <w:r>
        <w:rPr>
          <w:rStyle w:val="ab"/>
        </w:rPr>
        <w:footnoteRef/>
      </w:r>
      <w:r>
        <w:rPr>
          <w:rtl/>
        </w:rPr>
        <w:t xml:space="preserve"> ולפי זה משמע דה"ה אם העידו עדים בע"פ לפני ב"ד אחר וכתבו הב"ד עדותן, אין יכולים בית דין אחר הקרובים לעדים לדון במלוה זו על פי עדות קרוביהן שהעידו כבר, ש"ך (סקנ"ג).</w:t>
      </w:r>
    </w:p>
  </w:footnote>
  <w:footnote w:id="3853">
    <w:p w14:paraId="6881C3D7" w14:textId="77777777" w:rsidR="0013116F" w:rsidRDefault="0013116F" w:rsidP="001D49D4">
      <w:pPr>
        <w:pStyle w:val="a9"/>
        <w:rPr>
          <w:rtl/>
        </w:rPr>
      </w:pPr>
      <w:r>
        <w:rPr>
          <w:rStyle w:val="ab"/>
        </w:rPr>
        <w:footnoteRef/>
      </w:r>
      <w:r>
        <w:rPr>
          <w:rtl/>
        </w:rPr>
        <w:t xml:space="preserve"> כתב הר"ן </w:t>
      </w:r>
      <w:r>
        <w:rPr>
          <w:sz w:val="16"/>
          <w:szCs w:val="16"/>
          <w:rtl/>
        </w:rPr>
        <w:t>(כתובות יב: מדפה"ר בסופו)</w:t>
      </w:r>
      <w:r>
        <w:rPr>
          <w:rtl/>
        </w:rPr>
        <w:t xml:space="preserve"> דיש לדון אם צריך שיהו דייני הקיום [ועידי הקיום] רחוקים מהדיינים שדנין על המלוה בעצמו, או שנאמר שכיון שענין הקיום נגמר כבר ע"פ עדיו ודייניו, אע"פ שדייני המלוה קרובים להם, כשרים, לפי שכל א' ואחד ענין בפני עצמו הוא, ואע"פ שאין דין דייני מלוה יוצא אלא מחמת הקיום הראשון, ה"ל כי ההיא דתנן גבי חזקה הרי אלו ג' עדיות, וכאן ג"כ ב' דינים חלוקים הם, והרא"ה ז"ל כתב ש-...</w:t>
      </w:r>
    </w:p>
  </w:footnote>
  <w:footnote w:id="3854">
    <w:p w14:paraId="5542ED97" w14:textId="77777777" w:rsidR="0013116F" w:rsidRDefault="0013116F" w:rsidP="001D49D4">
      <w:pPr>
        <w:pStyle w:val="a9"/>
      </w:pPr>
      <w:r>
        <w:rPr>
          <w:rStyle w:val="ab"/>
        </w:rPr>
        <w:footnoteRef/>
      </w:r>
      <w:r>
        <w:rPr>
          <w:rtl/>
        </w:rPr>
        <w:t xml:space="preserve"> וכתב הר"ן דלפי זה הדבר ברור שהוא הדין שעידי קיום יכולין להיות קרובים לדייני מלוה כל שלא העידו בפניהם. אבל לא נראה לי כן אלא כי היכי דאמרינן שצריך שיהו דייני המלוה רחוקים מעידי השטר </w:t>
      </w:r>
      <w:r>
        <w:rPr>
          <w:sz w:val="16"/>
          <w:szCs w:val="16"/>
          <w:rtl/>
        </w:rPr>
        <w:t>(לפי שאע"פ שעידי השטר נסתלקו משעה שחתמו מכל מקום דייני מלוה על פי חתימתן צריכין לדון וקנפיק ממונא על פי קרובים)</w:t>
      </w:r>
      <w:r>
        <w:rPr>
          <w:rtl/>
        </w:rPr>
        <w:t xml:space="preserve"> כך ראוי שנאמר שצריך שיהו דייני מלוה רחוקים מדייני הקיום </w:t>
      </w:r>
      <w:r>
        <w:rPr>
          <w:sz w:val="16"/>
          <w:szCs w:val="16"/>
          <w:rtl/>
        </w:rPr>
        <w:t>(שהרי ע"פ קיומן צריכין לדון ואע"פ שיש לחלק מפני שעידי השטר על המנה עצמה הם מעידים ודייני קיום אין עניינם אלא על הקיום אינו נראה דמ"מ דייני מלוה ע"פ קרוביהן צריכין לדון. וכי תימא א"כ אף עידי הקיום צריכין להיות רחוקים מדייני המלוה וא"כ היה צריך לכתוב בקיום שמות עידי הקיום כדי להזהר בדייני המלוה שלא יהו קרוביהן ועכשיו לא נהגו כן אלא כותבין סתם, ליתא, שאין עידי קיום דומים לדייני קיום, שכיון שנתקיים השטר בדיינים, דייני מלוה ע"פ דייני הקיום הם דנים ולא ע"פ עידי הקיום, שאפילו היו עידי הקיום קרוביהם דייני מלוה כשמגבין את השטר אינן מצטרפין מהם, שאינן צריכין אלא דייני קיום, ואע"פ שקרוביהם גרמו להיות מגבים ממון זה כל שאין כאן צירוף קרובים אלא גרמתן בעלמא לא איכפת לן כדתנן [ב"ב נו:] הרי אלו ג' עדיות והן עדות אחת להזמה)</w:t>
      </w:r>
      <w:r>
        <w:rPr>
          <w:rtl/>
        </w:rPr>
        <w:t>.</w:t>
      </w:r>
    </w:p>
  </w:footnote>
  <w:footnote w:id="3855">
    <w:p w14:paraId="03A19592" w14:textId="77777777" w:rsidR="0013116F" w:rsidRDefault="0013116F" w:rsidP="001D49D4">
      <w:pPr>
        <w:pStyle w:val="a9"/>
        <w:rPr>
          <w:rtl/>
        </w:rPr>
      </w:pPr>
      <w:r>
        <w:rPr>
          <w:rStyle w:val="ab"/>
        </w:rPr>
        <w:footnoteRef/>
      </w:r>
      <w:r>
        <w:rPr>
          <w:rtl/>
        </w:rPr>
        <w:t xml:space="preserve"> כתב הר"ן לאחר שהשיג על דברי הרא"ה וז"ל- ונמצא לפי מה שכתבנו ש-...</w:t>
      </w:r>
    </w:p>
  </w:footnote>
  <w:footnote w:id="3856">
    <w:p w14:paraId="68F3C21A" w14:textId="77777777" w:rsidR="0013116F" w:rsidRDefault="0013116F" w:rsidP="001D49D4">
      <w:pPr>
        <w:pStyle w:val="a9"/>
        <w:rPr>
          <w:rtl/>
        </w:rPr>
      </w:pPr>
      <w:r>
        <w:rPr>
          <w:rStyle w:val="ab"/>
        </w:rPr>
        <w:footnoteRef/>
      </w:r>
      <w:r>
        <w:rPr>
          <w:rtl/>
        </w:rPr>
        <w:t xml:space="preserve"> מפני שדינם על המלוה בא ע"י דייני הקיום שיקיימוהו להשטר, טפי ממה שבא ע"י עדי הקיום, שעל ידי דייני הקיום נגמר הקיום, סמ"ע (סקנ"ג).</w:t>
      </w:r>
    </w:p>
  </w:footnote>
  <w:footnote w:id="3857">
    <w:p w14:paraId="6A6A44E5" w14:textId="77777777" w:rsidR="0013116F" w:rsidRDefault="0013116F" w:rsidP="001D49D4">
      <w:pPr>
        <w:pStyle w:val="a9"/>
      </w:pPr>
      <w:r>
        <w:rPr>
          <w:rStyle w:val="ab"/>
        </w:rPr>
        <w:footnoteRef/>
      </w:r>
      <w:r>
        <w:rPr>
          <w:rtl/>
        </w:rPr>
        <w:t xml:space="preserve"> שהעידו ונתקיים השטר בפני ב"ד אחר, ש"ך (סקנ"ו).</w:t>
      </w:r>
    </w:p>
  </w:footnote>
  <w:footnote w:id="3858">
    <w:p w14:paraId="09E20326" w14:textId="77777777" w:rsidR="0013116F" w:rsidRDefault="0013116F" w:rsidP="001D49D4">
      <w:pPr>
        <w:pStyle w:val="a9"/>
      </w:pPr>
      <w:r>
        <w:rPr>
          <w:rStyle w:val="ab"/>
        </w:rPr>
        <w:footnoteRef/>
      </w:r>
      <w:r>
        <w:rPr>
          <w:rtl/>
        </w:rPr>
        <w:t xml:space="preserve"> </w:t>
      </w:r>
      <w:r>
        <w:rPr>
          <w:rFonts w:hint="cs"/>
          <w:rtl/>
        </w:rPr>
        <w:t>סימן – כתיבת אלהים אינה כלום. וכן – כת אלהים.</w:t>
      </w:r>
    </w:p>
  </w:footnote>
  <w:footnote w:id="3859">
    <w:p w14:paraId="3E9F893E" w14:textId="77777777" w:rsidR="0013116F" w:rsidRDefault="0013116F" w:rsidP="001D49D4">
      <w:pPr>
        <w:pStyle w:val="a9"/>
      </w:pPr>
      <w:r>
        <w:rPr>
          <w:rStyle w:val="ab"/>
        </w:rPr>
        <w:footnoteRef/>
      </w:r>
      <w:r>
        <w:rPr>
          <w:rtl/>
        </w:rPr>
        <w:t xml:space="preserve"> </w:t>
      </w:r>
      <w:r>
        <w:rPr>
          <w:rFonts w:hint="cs"/>
          <w:rtl/>
        </w:rPr>
        <w:t>שנים על ההנפק, ר"ן (ח: מדפה"ר).</w:t>
      </w:r>
    </w:p>
  </w:footnote>
  <w:footnote w:id="3860">
    <w:p w14:paraId="0960F175" w14:textId="77777777" w:rsidR="0013116F" w:rsidRDefault="0013116F" w:rsidP="001D49D4">
      <w:pPr>
        <w:pStyle w:val="a9"/>
      </w:pPr>
      <w:r>
        <w:rPr>
          <w:rStyle w:val="ab"/>
        </w:rPr>
        <w:footnoteRef/>
      </w:r>
      <w:r>
        <w:rPr>
          <w:rtl/>
        </w:rPr>
        <w:t xml:space="preserve"> לפני השלישי שזהו כתב ידן של חתומין, ר"ן (ח: מדפה"ר).</w:t>
      </w:r>
    </w:p>
  </w:footnote>
  <w:footnote w:id="3861">
    <w:p w14:paraId="671BD87D" w14:textId="77777777" w:rsidR="0013116F" w:rsidRDefault="0013116F" w:rsidP="001D49D4">
      <w:pPr>
        <w:pStyle w:val="a9"/>
      </w:pPr>
      <w:r>
        <w:rPr>
          <w:rStyle w:val="ab"/>
        </w:rPr>
        <w:footnoteRef/>
      </w:r>
      <w:r>
        <w:rPr>
          <w:rtl/>
        </w:rPr>
        <w:t xml:space="preserve"> וחותם עמהם על מה שכותבין 'אשרנוהו וקיימנוהו לשטרא דנא דאשתמודענא דחתימת ידא דסהדי הוא', ר"ן (ח: מדפה"ר).</w:t>
      </w:r>
    </w:p>
  </w:footnote>
  <w:footnote w:id="3862">
    <w:p w14:paraId="324D1C16" w14:textId="77777777" w:rsidR="0013116F" w:rsidRDefault="0013116F" w:rsidP="001D49D4">
      <w:pPr>
        <w:pStyle w:val="a9"/>
      </w:pPr>
      <w:r>
        <w:rPr>
          <w:rStyle w:val="ab"/>
        </w:rPr>
        <w:footnoteRef/>
      </w:r>
      <w:r>
        <w:rPr>
          <w:rtl/>
        </w:rPr>
        <w:t xml:space="preserve"> לא הם ולא אחרים, משום דחתימה קמייתא בשקרא הוה דלא הוו ידעי לה ומכיון שחתמו ולא נצטרף השלישי עמהם שוב אינו יכול להצטרף עמהם דמשחתמו נתבטל מעמד שלשתן ובשעת חתימה נמי לא היו במעמד שלשה והם ב"ד שהשלישי לא היה ראוי להצטרף עמהם כיון שלא היה מכיר בחתימות ידי העדים, ר"ן (ח: מדפה"ר).</w:t>
      </w:r>
    </w:p>
  </w:footnote>
  <w:footnote w:id="3863">
    <w:p w14:paraId="533B4851" w14:textId="77777777" w:rsidR="0013116F" w:rsidRDefault="0013116F" w:rsidP="001D49D4">
      <w:pPr>
        <w:pStyle w:val="a9"/>
      </w:pPr>
      <w:r>
        <w:rPr>
          <w:rStyle w:val="ab"/>
        </w:rPr>
        <w:footnoteRef/>
      </w:r>
      <w:r>
        <w:rPr>
          <w:rtl/>
        </w:rPr>
        <w:t xml:space="preserve"> וכ"ת דהיכי מהני האי עדות שמעידין אלו השנים בפני השלישי דהא בקבלת העדות שלשה בעינן והכא ליכא אלא אחד, תירץ הרשב"א ז"ל</w:t>
      </w:r>
      <w:r>
        <w:rPr>
          <w:sz w:val="16"/>
          <w:szCs w:val="16"/>
          <w:rtl/>
        </w:rPr>
        <w:t xml:space="preserve"> (ד"ה הנח ובמיוחסות סי' קיב)</w:t>
      </w:r>
      <w:r>
        <w:rPr>
          <w:rtl/>
        </w:rPr>
        <w:t xml:space="preserve"> דכיון דקיום שטרות דרבנן אפילו השנים בשעה שמעידין נעשים דיינים ומצטרפין עם השלישי לקבל עדות עצמן, וה"נ אמרינן בפ"ק דגטין (ה:) דשליח המביא גט נותנו לה בפני שנים ואומר בפניהם 'בפני נכתב ובפני נחתם' ומפרשי' טעמא משום דשליח נעשה עד ועד נעשה דיין, והכא נמי בשעה שמעיד הוא נעשה דיין והיינו טעמא משום דקיום שטרות דרבנן הוא, ר"ן (ח: מדפה"ר).</w:t>
      </w:r>
    </w:p>
  </w:footnote>
  <w:footnote w:id="3864">
    <w:p w14:paraId="24521A7A" w14:textId="77777777" w:rsidR="0013116F" w:rsidRDefault="0013116F" w:rsidP="001D49D4">
      <w:pPr>
        <w:pStyle w:val="a9"/>
      </w:pPr>
      <w:r>
        <w:rPr>
          <w:rStyle w:val="ab"/>
        </w:rPr>
        <w:footnoteRef/>
      </w:r>
      <w:r>
        <w:rPr>
          <w:rtl/>
        </w:rPr>
        <w:t xml:space="preserve"> בסע' קטן ס', משום דרוב פוסקים </w:t>
      </w:r>
      <w:r>
        <w:rPr>
          <w:sz w:val="16"/>
          <w:szCs w:val="16"/>
          <w:rtl/>
        </w:rPr>
        <w:t>(רי"ף [כתובות ח:] רמב"ם (סוף פ"ו מעדות) רשב"א (חידו' גיטין כו: ד"ה וליתא] סמ"ג (עשין ק"ט דף ק"ץ ע"ג) הגה"מ (ס"פ ו' מהל' עדות [אות ז'], וכ"כ בעל העיטור דף ל"ד ע"ד [קיום נ"ד ע"ד] ר"ן [גיטין יג: מדפה"ר ד"ה ומיהו] ריטב"א [כתובות כא: ד"ה והאמר] ור"ת [שם בתוד"ה האמר])</w:t>
      </w:r>
      <w:r>
        <w:rPr>
          <w:rtl/>
        </w:rPr>
        <w:t xml:space="preserve"> חולקים אהרא"ש, והנכון עמו, אורים (סקע"א).</w:t>
      </w:r>
    </w:p>
  </w:footnote>
  <w:footnote w:id="3865">
    <w:p w14:paraId="7CCE85FF" w14:textId="77777777" w:rsidR="0013116F" w:rsidRDefault="0013116F" w:rsidP="001D49D4">
      <w:pPr>
        <w:pStyle w:val="a9"/>
        <w:rPr>
          <w:rtl/>
        </w:rPr>
      </w:pPr>
      <w:r>
        <w:rPr>
          <w:rStyle w:val="ab"/>
        </w:rPr>
        <w:footnoteRef/>
      </w:r>
      <w:r>
        <w:rPr>
          <w:rtl/>
        </w:rPr>
        <w:t xml:space="preserve"> וכתב הש"ך (סקנ"ח) דמה שכתב בסוף דבריו נכון הוא, כיון דקי"ל למיחזי כשיקרא לא חיישינן והיו במותב תלתא בשעת החתימה, ועיין לעיל סימן ל"ט סעיף י"ג סקל"ח. אבל מה שכתב בתחילה ואני אומר כו'. לא נהירא לי, שהוא נגד כל הפוסקים ומשמעות הש"ס. וגם מה שכתב וכך היא שיטת ר"ח. לא ידענא מנא ליה הא, ואולי מיירי שיחתמו כל השלשתן מחדש ביחד, דלא נימא כיון שכבר חתמו שוב לא יועיל חתימתן לעולם מטעם דנוגעים הן כיון שכבר חתמו, והיינו שכתב וכך היא שיטת ר"ח דלקמן בסעיף כ"ו ס"ק ס"ו דלא ס"ל כפירש"י דנוגעים כיון שכבר חתמו, וצ"ע.</w:t>
      </w:r>
    </w:p>
  </w:footnote>
  <w:footnote w:id="3866">
    <w:p w14:paraId="19F77303" w14:textId="77777777" w:rsidR="0013116F" w:rsidRDefault="0013116F" w:rsidP="001D49D4">
      <w:pPr>
        <w:pStyle w:val="a9"/>
        <w:rPr>
          <w:rtl/>
        </w:rPr>
      </w:pPr>
      <w:r>
        <w:rPr>
          <w:rStyle w:val="ab"/>
        </w:rPr>
        <w:footnoteRef/>
      </w:r>
      <w:r>
        <w:rPr>
          <w:rtl/>
        </w:rPr>
        <w:t xml:space="preserve"> הביאו הדרכ"א (אות יב) וסמ"ע (סקנ"ד). וכתב הש"ך (סקנ"ז) דלעיל סי' ז (מחודש ו) כתבו הב"י ודרכ"מ (סעיף ו') וז"ל- כתב רי"ו (בריש ספר משרים נ"א ח"א) שעד החתום בשטר אינו דן באותו שטר, וכ"כ בהעי"ט [בירורין ב., ועיין קיום נ"ד ע"ג] בשם רב אלפס [בתשו' סי' קסט], והרשב"א כתב בתשובה שיש לדון ולהכשיר אפילו עד החתום בשטר להיות דיין, והיא בתשו' המיוחסת להרמב"ן ז"ל סי' קי"ב, עכ"ל. משמע מדבריהם דרי"ו ובהעי"ט בשם רב אלפס פליגי עם הרשב"א. ובאמת נראה דלא פליגי, דרי"ו מיירי שאינו דן באותו שטר על המלוה שבו, והרשב"א מיירי שיכול להיות דיין בקיום השטר לבד וכדאמרינן בש"ס [כתובות כא:] דעד נעשה דיין בקיום שטרות דרבנן. אבל בענין השטר עצמו פשיטא דגם הרשב"א מודה. וכן הביא הב"י גופיה שם בסימן ז' </w:t>
      </w:r>
      <w:r>
        <w:rPr>
          <w:sz w:val="16"/>
          <w:szCs w:val="16"/>
          <w:rtl/>
        </w:rPr>
        <w:t xml:space="preserve">(מחו' ח) </w:t>
      </w:r>
      <w:r>
        <w:rPr>
          <w:rtl/>
        </w:rPr>
        <w:t>תשו' הרשב"א בעד שחתום בצואה אינו רשאי להיות דיין על הצואה ההיא, והיא בתשובת הרשב"א ח"א סי' אלף ק"ל.</w:t>
      </w:r>
    </w:p>
  </w:footnote>
  <w:footnote w:id="3867">
    <w:p w14:paraId="4503F8CE" w14:textId="77777777" w:rsidR="0013116F" w:rsidRDefault="0013116F" w:rsidP="001D49D4">
      <w:pPr>
        <w:pStyle w:val="a9"/>
      </w:pPr>
      <w:r>
        <w:rPr>
          <w:rStyle w:val="ab"/>
        </w:rPr>
        <w:footnoteRef/>
      </w:r>
      <w:r>
        <w:rPr>
          <w:rtl/>
        </w:rPr>
        <w:t xml:space="preserve"> ונחלקו האחרונים בפירוש דברי הרמב"ם והשו"ע. </w:t>
      </w:r>
      <w:r>
        <w:rPr>
          <w:u w:val="single"/>
          <w:rtl/>
        </w:rPr>
        <w:t xml:space="preserve">הש"ך </w:t>
      </w:r>
      <w:r>
        <w:rPr>
          <w:sz w:val="16"/>
          <w:szCs w:val="16"/>
          <w:u w:val="single"/>
          <w:rtl/>
        </w:rPr>
        <w:t>(סקנ"ט</w:t>
      </w:r>
      <w:r>
        <w:rPr>
          <w:sz w:val="16"/>
          <w:szCs w:val="16"/>
          <w:rtl/>
        </w:rPr>
        <w:t>, וכ"כ השלט"ג, הביאו הש"ך בסקנ"ח, וכ"כ הש"ך בסי' לט סע' יג סקל"ח)</w:t>
      </w:r>
      <w:r>
        <w:rPr>
          <w:rtl/>
        </w:rPr>
        <w:t xml:space="preserve"> כתב דהכוונה היא שהדיינים יכולים לכתוב את הקיום ולחתום בו אפילו עד שלא יעידו בפניהם, ובלבד שלא יצא מתחת ידם עד שיעידו בפניהם, והוא כיון דקי"ל למיחזי כשיקרא לא חיישינן והיו במותב תלתא בשעת החתימה </w:t>
      </w:r>
      <w:r>
        <w:rPr>
          <w:sz w:val="16"/>
          <w:szCs w:val="16"/>
          <w:rtl/>
        </w:rPr>
        <w:t xml:space="preserve">(והא דאמרינן בש"ס ופוסקים משחתמו אין מעידים בפניו וחותם, היינו משום דבשעת חתימה לא היו שלשתן יחד וא"כ הקיום היה שלא כדין. ומה שכתבו הרמב"ם והשו"ע 'ומותר לכתוב וכו' שאין הכתיבה עיקר אלא החתימה' - אתי לאפוקי שלא יקבלו שנים עדות ויחתמו ושוב יעידו בפני השלישי ויחתום, דאז לא מהני אף שיעידו אח"כ בפני שלשתן יחד </w:t>
      </w:r>
      <w:r>
        <w:rPr>
          <w:sz w:val="14"/>
          <w:szCs w:val="14"/>
          <w:rtl/>
        </w:rPr>
        <w:t xml:space="preserve">(דחתימה קמייתא בשיקרא הוי ובשעת חתימה לא היו במעמד שלשתן, וכיון שחתמו ולא נצטרף שוב אינו יכול להצטרף) </w:t>
      </w:r>
      <w:r>
        <w:rPr>
          <w:sz w:val="16"/>
          <w:szCs w:val="16"/>
          <w:rtl/>
        </w:rPr>
        <w:t>אבל כשכתבו ולא חתמו, אף שלא היו רק שנים בשעת הכתיבה, מותר כשיעידו אח"כ בפני שלשתן יחד, שאין הכתיבה עיקר אלא החתימה)</w:t>
      </w:r>
      <w:r>
        <w:rPr>
          <w:rtl/>
        </w:rPr>
        <w:t xml:space="preserve">, וסיים דכן נראה עיקר לדינא. אך </w:t>
      </w:r>
      <w:r>
        <w:rPr>
          <w:u w:val="single"/>
          <w:rtl/>
        </w:rPr>
        <w:t xml:space="preserve">התומים </w:t>
      </w:r>
      <w:r>
        <w:rPr>
          <w:sz w:val="16"/>
          <w:szCs w:val="16"/>
          <w:u w:val="single"/>
          <w:rtl/>
        </w:rPr>
        <w:t>(סקכ"ה)</w:t>
      </w:r>
      <w:r>
        <w:rPr>
          <w:rtl/>
        </w:rPr>
        <w:t xml:space="preserve"> חלק עליו וכתב דחיישינן למחזי כשיקרא בחתימה, ובב"ד יותר ריעותא איכא, ולכן אפילו בדיעבד פסול, אך זהו בחתימה, אבל טופס הקיום שכותב ספרא טרם חתימת הב"ד הוא רק כמו מעשה עדים ולא עדיף מיניה, ולכך כיון דלא חיישינן בעדים לשקרא מעידים בפניו, ואז חותמים כולם.</w:t>
      </w:r>
    </w:p>
  </w:footnote>
  <w:footnote w:id="3868">
    <w:p w14:paraId="446CD1F3" w14:textId="77777777" w:rsidR="0013116F" w:rsidRDefault="0013116F" w:rsidP="001D49D4">
      <w:pPr>
        <w:pStyle w:val="a9"/>
      </w:pPr>
      <w:r>
        <w:rPr>
          <w:rStyle w:val="ab"/>
        </w:rPr>
        <w:footnoteRef/>
      </w:r>
      <w:r>
        <w:rPr>
          <w:rtl/>
        </w:rPr>
        <w:t xml:space="preserve"> הוא הרא"ש (כתובות פ"ב סי' יט) והטור (סעיף כ) דסבירא להו דמעשה ב"ד אפילו כתיבה של קיום אפילו לא חתמו אסור, משום למחזי כשקרא חיישינן במעשה ב"ד, והך יש חולקים מוסב גם על בבא דרישא דשנים שיודעים והשלישי אין יודע עד שלא כתבו יכולים להעיד, אבל משכתבו אע"פ שלא חתמו אינו יכול להעיד, וכן הוא בטור..., אורים (סקע"א). </w:t>
      </w:r>
    </w:p>
  </w:footnote>
  <w:footnote w:id="3869">
    <w:p w14:paraId="1DBF2C53" w14:textId="77777777" w:rsidR="0013116F" w:rsidRDefault="0013116F" w:rsidP="001D49D4">
      <w:pPr>
        <w:pStyle w:val="a9"/>
      </w:pPr>
      <w:r>
        <w:rPr>
          <w:rStyle w:val="ab"/>
        </w:rPr>
        <w:footnoteRef/>
      </w:r>
      <w:r>
        <w:rPr>
          <w:rtl/>
        </w:rPr>
        <w:t xml:space="preserve"> </w:t>
      </w:r>
      <w:r>
        <w:rPr>
          <w:rFonts w:hint="cs"/>
          <w:rtl/>
        </w:rPr>
        <w:t xml:space="preserve">וז"ל- </w:t>
      </w:r>
      <w:r>
        <w:rPr>
          <w:rtl/>
        </w:rPr>
        <w:t>אבל אם ידעו כולם קודם שכתבו אפילו אם לא העידו בפני שלשה כאחד אלא בפני כל אחד ואחד לבדו כשר.</w:t>
      </w:r>
    </w:p>
  </w:footnote>
  <w:footnote w:id="3870">
    <w:p w14:paraId="4A1425D9" w14:textId="77777777" w:rsidR="0013116F" w:rsidRDefault="0013116F" w:rsidP="001D49D4">
      <w:pPr>
        <w:pStyle w:val="a9"/>
      </w:pPr>
      <w:r>
        <w:rPr>
          <w:rStyle w:val="ab"/>
        </w:rPr>
        <w:footnoteRef/>
      </w:r>
      <w:r>
        <w:rPr>
          <w:rtl/>
        </w:rPr>
        <w:t xml:space="preserve"> וקשה לי איך יכתבו 'במותב תלתא הוינא ואתו פלוני ופלוני ואסהידו' דהא לא העידו בפניהם כשהיו במותב תלתא, ונ"ל שיכתבו 'במותב תלתא הוינא כד הנפק שטרא דנא קדמנא ומדאיתברר לנא דדא היא חתימת ידייהו אישרנוהו וקיימנוהו כד חזי', שאע"פ שאין צריך להעיד בפני כל שלשתן יחד מ"מ צריכים להמצא שלשתן יחד להודיע זה לזה ששלשתן יודעים שהיא חתימת ידי עדים אלו, ב"י. וכתב עוד הב"י (בבדה"ב) דאע"פ שמדברי הרמב"ם פ"ז מהלכות עדות (ה"ו) יש לדקדק שסבר כדברי הרא"ש שאין צריך להעיד על החתימות בפני שלשתם יחד שכתב 'אין מקיימין השטר אלא עד שיהיו שלשתם מכירים או יעידו העדים בפני כל אחד ואחד' עכ"ל, מכל מקום אינו מוכרח לפרשו כן שזהו לישנא דגמרא (כתובות כא:), וכמו שיתפרש לישנא דגמרא יתפרש זה. ומההיא (כב.) דשלשה שישבו לקיים השטר ומת אחד מהם צריכים לכתוב במותב שלשה היינו והאחד איננו שמא יאמר בשנים קיימוהו - משמע שצריך שיהיו שלשתם יחד. ומה שדקדק הרא"ש יש לדחות שכיון שמעידים השנים בפני השלישי שהם מכירים חתימות העדים ועד נעשה דיין הוי כאילו הועד בפני שלשתם יחד וכמו שכתבתי בסמוך (ס"כ) שכתב הר"ן בשם הרשב"א.</w:t>
      </w:r>
    </w:p>
  </w:footnote>
  <w:footnote w:id="3871">
    <w:p w14:paraId="01FCCA6E" w14:textId="77777777" w:rsidR="0013116F" w:rsidRDefault="0013116F" w:rsidP="001D49D4">
      <w:pPr>
        <w:pStyle w:val="a9"/>
        <w:rPr>
          <w:rtl/>
        </w:rPr>
      </w:pPr>
      <w:r>
        <w:rPr>
          <w:rStyle w:val="ab"/>
        </w:rPr>
        <w:footnoteRef/>
      </w:r>
      <w:r>
        <w:rPr>
          <w:rtl/>
        </w:rPr>
        <w:t xml:space="preserve"> ודייני הקיום אינם נאמנים לומר לא היינו ביחד כשהעידו העדים דא"כ היה עולה ואעולה לא חתמי </w:t>
      </w:r>
      <w:r>
        <w:rPr>
          <w:sz w:val="16"/>
          <w:szCs w:val="16"/>
          <w:rtl/>
        </w:rPr>
        <w:t>(כתובות יט:)</w:t>
      </w:r>
      <w:r>
        <w:rPr>
          <w:rtl/>
        </w:rPr>
        <w:t>, רשב"א.</w:t>
      </w:r>
      <w:r>
        <w:rPr>
          <w:color w:val="E36C0A" w:themeColor="accent6" w:themeShade="BF"/>
          <w:rtl/>
        </w:rPr>
        <w:t xml:space="preserve"> (וכ"פ בשו"ע)</w:t>
      </w:r>
    </w:p>
  </w:footnote>
  <w:footnote w:id="3872">
    <w:p w14:paraId="59EE9435" w14:textId="77777777" w:rsidR="0013116F" w:rsidRDefault="0013116F" w:rsidP="001D49D4">
      <w:pPr>
        <w:pStyle w:val="a9"/>
        <w:rPr>
          <w:rtl/>
        </w:rPr>
      </w:pPr>
      <w:r>
        <w:rPr>
          <w:rStyle w:val="ab"/>
        </w:rPr>
        <w:footnoteRef/>
      </w:r>
      <w:r>
        <w:rPr>
          <w:rtl/>
        </w:rPr>
        <w:t xml:space="preserve"> הקיום, אבל השטר כשר. וכן הוא בתשובת רמב"ן שם (במיוחסות סי' צא) ועיין לקמן סע' כח סע' קטן סח, ש"ך (סע' קטן סא).</w:t>
      </w:r>
    </w:p>
  </w:footnote>
  <w:footnote w:id="3873">
    <w:p w14:paraId="30B8A294" w14:textId="77777777" w:rsidR="0013116F" w:rsidRDefault="0013116F" w:rsidP="001D49D4">
      <w:pPr>
        <w:pStyle w:val="a9"/>
        <w:rPr>
          <w:rtl/>
        </w:rPr>
      </w:pPr>
      <w:r>
        <w:rPr>
          <w:rStyle w:val="ab"/>
        </w:rPr>
        <w:footnoteRef/>
      </w:r>
      <w:r>
        <w:rPr>
          <w:rtl/>
        </w:rPr>
        <w:t xml:space="preserve"> אפילו אין כתב ידם יוצא ממקום אחר כו', מטעם כיון דעולה הוא לא מצי משוי נפשייהו רשיעי, וכ"ה בתשו' רמב"ן שם, ש"ך (סע' קטן סב).</w:t>
      </w:r>
    </w:p>
  </w:footnote>
  <w:footnote w:id="3874">
    <w:p w14:paraId="3641D2C5" w14:textId="77777777" w:rsidR="0013116F" w:rsidRDefault="0013116F" w:rsidP="001D49D4">
      <w:pPr>
        <w:pStyle w:val="a9"/>
        <w:rPr>
          <w:rtl/>
        </w:rPr>
      </w:pPr>
      <w:r>
        <w:rPr>
          <w:rStyle w:val="ab"/>
        </w:rPr>
        <w:footnoteRef/>
      </w:r>
      <w:r>
        <w:rPr>
          <w:rtl/>
        </w:rPr>
        <w:t xml:space="preserve"> </w:t>
      </w:r>
      <w:r>
        <w:rPr>
          <w:rFonts w:hint="cs"/>
          <w:rtl/>
        </w:rPr>
        <w:t>סימן – כת כחכחה באלהים. וכן - כשרות אלהים.</w:t>
      </w:r>
    </w:p>
  </w:footnote>
  <w:footnote w:id="3875">
    <w:p w14:paraId="163FA297" w14:textId="77777777" w:rsidR="0013116F" w:rsidRDefault="0013116F" w:rsidP="001D49D4">
      <w:pPr>
        <w:pStyle w:val="a9"/>
      </w:pPr>
      <w:r>
        <w:rPr>
          <w:rStyle w:val="ab"/>
        </w:rPr>
        <w:footnoteRef/>
      </w:r>
      <w:r>
        <w:rPr>
          <w:rtl/>
        </w:rPr>
        <w:t xml:space="preserve"> שהוא פסול, רש"י.</w:t>
      </w:r>
    </w:p>
  </w:footnote>
  <w:footnote w:id="3876">
    <w:p w14:paraId="224D3839" w14:textId="77777777" w:rsidR="0013116F" w:rsidRDefault="0013116F" w:rsidP="001D49D4">
      <w:pPr>
        <w:pStyle w:val="a9"/>
      </w:pPr>
      <w:r>
        <w:rPr>
          <w:rStyle w:val="ab"/>
        </w:rPr>
        <w:footnoteRef/>
      </w:r>
      <w:r>
        <w:rPr>
          <w:rtl/>
        </w:rPr>
        <w:t xml:space="preserve"> השני דיינים על האשרתא, רש"י.</w:t>
      </w:r>
    </w:p>
  </w:footnote>
  <w:footnote w:id="3877">
    <w:p w14:paraId="0772B37C" w14:textId="77777777" w:rsidR="0013116F" w:rsidRDefault="0013116F" w:rsidP="001D49D4">
      <w:pPr>
        <w:pStyle w:val="a9"/>
      </w:pPr>
      <w:r>
        <w:rPr>
          <w:rStyle w:val="ab"/>
        </w:rPr>
        <w:footnoteRef/>
      </w:r>
      <w:r>
        <w:rPr>
          <w:rtl/>
        </w:rPr>
        <w:t xml:space="preserve"> על זה שהוא כשר, רש"י.</w:t>
      </w:r>
    </w:p>
  </w:footnote>
  <w:footnote w:id="3878">
    <w:p w14:paraId="565C482E" w14:textId="77777777" w:rsidR="0013116F" w:rsidRDefault="0013116F" w:rsidP="001D49D4">
      <w:pPr>
        <w:pStyle w:val="a9"/>
      </w:pPr>
      <w:r>
        <w:rPr>
          <w:rStyle w:val="ab"/>
        </w:rPr>
        <w:footnoteRef/>
      </w:r>
      <w:r>
        <w:rPr>
          <w:rtl/>
        </w:rPr>
        <w:t xml:space="preserve"> הוו להו נוגעים בעדות שגנאי להם שישבו עם פסול בדין, רש"י.</w:t>
      </w:r>
    </w:p>
  </w:footnote>
  <w:footnote w:id="3879">
    <w:p w14:paraId="2D49E607" w14:textId="77777777" w:rsidR="0013116F" w:rsidRDefault="0013116F" w:rsidP="001D49D4">
      <w:pPr>
        <w:pStyle w:val="a9"/>
      </w:pPr>
      <w:r>
        <w:rPr>
          <w:rStyle w:val="ab"/>
        </w:rPr>
        <w:footnoteRef/>
      </w:r>
      <w:r>
        <w:rPr>
          <w:rtl/>
        </w:rPr>
        <w:t xml:space="preserve"> כי אמרי לא גזל הוו להו תרי ותרי ולא מתכשר בהכי, דקיימא לן (שם כו.) אין ערער פחות משנים, רש"י.</w:t>
      </w:r>
    </w:p>
  </w:footnote>
  <w:footnote w:id="3880">
    <w:p w14:paraId="070A61CE" w14:textId="77777777" w:rsidR="0013116F" w:rsidRDefault="0013116F" w:rsidP="001D49D4">
      <w:pPr>
        <w:pStyle w:val="a9"/>
      </w:pPr>
      <w:r>
        <w:rPr>
          <w:rStyle w:val="ab"/>
        </w:rPr>
        <w:footnoteRef/>
      </w:r>
      <w:r>
        <w:rPr>
          <w:rtl/>
        </w:rPr>
        <w:t xml:space="preserve"> שהעידו עליו שהוא עבד ועבד פסול לדין ולעדות (ב"ק פח.), רש"י.</w:t>
      </w:r>
    </w:p>
  </w:footnote>
  <w:footnote w:id="3881">
    <w:p w14:paraId="3456C559" w14:textId="77777777" w:rsidR="0013116F" w:rsidRDefault="0013116F" w:rsidP="001D49D4">
      <w:pPr>
        <w:pStyle w:val="a9"/>
      </w:pPr>
      <w:r>
        <w:rPr>
          <w:rStyle w:val="ab"/>
        </w:rPr>
        <w:footnoteRef/>
      </w:r>
      <w:r>
        <w:rPr>
          <w:rtl/>
        </w:rPr>
        <w:t xml:space="preserve"> משחתמו אמאי אין מעידין עליו, מאי חשד נוגע בעדות איכא הכא, דבר זה צריכים הן לברר, ודבר העשוי ליגלות הוא, שיבדקו אחריו עד שיבורר הדבר, ואין עדותן של אלו תלוי בהגדתן ואינן אלא מגלי דבר בעלמא, רש"י.</w:t>
      </w:r>
    </w:p>
  </w:footnote>
  <w:footnote w:id="3882">
    <w:p w14:paraId="7FDDB2EE" w14:textId="77777777" w:rsidR="0013116F" w:rsidRDefault="0013116F" w:rsidP="001D49D4">
      <w:pPr>
        <w:pStyle w:val="a9"/>
      </w:pPr>
      <w:r>
        <w:rPr>
          <w:rStyle w:val="ab"/>
        </w:rPr>
        <w:footnoteRef/>
      </w:r>
      <w:r>
        <w:rPr>
          <w:rtl/>
        </w:rPr>
        <w:t xml:space="preserve"> והשיב את הגזילה, רש"י.</w:t>
      </w:r>
    </w:p>
  </w:footnote>
  <w:footnote w:id="3883">
    <w:p w14:paraId="77265F3A" w14:textId="77777777" w:rsidR="0013116F" w:rsidRDefault="0013116F" w:rsidP="001D49D4">
      <w:pPr>
        <w:pStyle w:val="a9"/>
      </w:pPr>
      <w:r>
        <w:rPr>
          <w:rStyle w:val="ab"/>
        </w:rPr>
        <w:footnoteRef/>
      </w:r>
      <w:r>
        <w:rPr>
          <w:rtl/>
        </w:rPr>
        <w:t xml:space="preserve"> ארישא דמילתא קאי שיצא עליו ערעור שהוא גזלן ושנים מן השוק מעידין שעשה תשובה, ב"י.</w:t>
      </w:r>
    </w:p>
  </w:footnote>
  <w:footnote w:id="3884">
    <w:p w14:paraId="16201D33" w14:textId="77777777" w:rsidR="0013116F" w:rsidRDefault="0013116F" w:rsidP="001D49D4">
      <w:pPr>
        <w:pStyle w:val="a9"/>
        <w:rPr>
          <w:rtl/>
        </w:rPr>
      </w:pPr>
      <w:r>
        <w:rPr>
          <w:rStyle w:val="ab"/>
        </w:rPr>
        <w:footnoteRef/>
      </w:r>
      <w:r>
        <w:rPr>
          <w:rtl/>
        </w:rPr>
        <w:t xml:space="preserve"> וגם הר"ן</w:t>
      </w:r>
      <w:r>
        <w:rPr>
          <w:sz w:val="16"/>
          <w:szCs w:val="16"/>
          <w:rtl/>
        </w:rPr>
        <w:t xml:space="preserve"> (ט. מדפה"ר ד"ה עד שלא)</w:t>
      </w:r>
      <w:r>
        <w:rPr>
          <w:rtl/>
        </w:rPr>
        <w:t xml:space="preserve"> הסכים לפירוש רש"י, וכ"כ השלט"ג </w:t>
      </w:r>
      <w:r>
        <w:rPr>
          <w:sz w:val="16"/>
          <w:szCs w:val="16"/>
          <w:rtl/>
        </w:rPr>
        <w:t xml:space="preserve">(ט. מדפה"ר) </w:t>
      </w:r>
      <w:r>
        <w:rPr>
          <w:rtl/>
        </w:rPr>
        <w:t>בשם ריא"ז.</w:t>
      </w:r>
    </w:p>
  </w:footnote>
  <w:footnote w:id="3885">
    <w:p w14:paraId="690CDB02" w14:textId="77777777" w:rsidR="0013116F" w:rsidRDefault="0013116F" w:rsidP="001D49D4">
      <w:pPr>
        <w:pStyle w:val="a9"/>
        <w:rPr>
          <w:rtl/>
        </w:rPr>
      </w:pPr>
      <w:r>
        <w:rPr>
          <w:rStyle w:val="ab"/>
        </w:rPr>
        <w:footnoteRef/>
      </w:r>
      <w:r>
        <w:rPr>
          <w:rtl/>
        </w:rPr>
        <w:t xml:space="preserve"> התוס' (כב. ד"ה תרי) הקשו על פירוש רש"י, וכתבו- על כן נראה כפירוש רבינו חננאל דלא איירי בעדות דיינים אלא בעדות אחרים... וכך הם דברי הרי"ף (ט.) וכן הם דברי הרמב"ם בפ"ו מהלכות עדות (ה"ז) והכי נקטינן, ב"י.</w:t>
      </w:r>
    </w:p>
  </w:footnote>
  <w:footnote w:id="3886">
    <w:p w14:paraId="2D3ABF62" w14:textId="77777777" w:rsidR="0013116F" w:rsidRDefault="0013116F" w:rsidP="001D49D4">
      <w:pPr>
        <w:pStyle w:val="a9"/>
      </w:pPr>
      <w:r>
        <w:rPr>
          <w:rStyle w:val="ab"/>
        </w:rPr>
        <w:footnoteRef/>
      </w:r>
      <w:r>
        <w:rPr>
          <w:rtl/>
        </w:rPr>
        <w:t xml:space="preserve"> והוא הדין הם עצמם נאמנים להעיד קודם שחתמו על שלישי שעשה תשובה, ונקט אחרים משום סיפא, סמ"ע (סע' קטן סא). וכ"כ הש"ך (סע' קטן סד) אף לפירש"י (ד"ה משחתמו) דלא מיקרי נוגעים כל זמן שלא חתמו. אלא דנקט אחרים משום סיפא דאפילו אחרים אינו מועיל.</w:t>
      </w:r>
    </w:p>
  </w:footnote>
  <w:footnote w:id="3887">
    <w:p w14:paraId="41CCDC68" w14:textId="77777777" w:rsidR="0013116F" w:rsidRDefault="0013116F" w:rsidP="001D49D4">
      <w:pPr>
        <w:pStyle w:val="a9"/>
      </w:pPr>
      <w:r>
        <w:rPr>
          <w:rStyle w:val="ab"/>
        </w:rPr>
        <w:footnoteRef/>
      </w:r>
      <w:r>
        <w:rPr>
          <w:rtl/>
        </w:rPr>
        <w:t xml:space="preserve"> דכיון שנתכשר קודם שחתמו שום אחד מהן, הרי כל השלשה חוזרים להיות ראויים לב"ד כבתחילה וכאילו לא נתבטל ועד הראשון מעולם וחותמין שלשתן יחד וכשר, משא"כ כשכבר חתמו השנים הרי נתבטל ועד הראשון בהערער קודם חתימת השלישי, ואחר שהוכשר צריכין לחזור ולהתועד ולחתום יחד כל שלשתן. ועיין דרישה [סעיף כ"ב], שם כתבתי דנ"ל דצריך לקבל העדות מחדש ולחתום אח"כ מחדש, ושגם מסתבר לומר דבעינן אשרתא חדשה, סמ"ע (סע' קטן סג).</w:t>
      </w:r>
    </w:p>
  </w:footnote>
  <w:footnote w:id="3888">
    <w:p w14:paraId="6B305865" w14:textId="77777777" w:rsidR="0013116F" w:rsidRDefault="0013116F" w:rsidP="001D49D4">
      <w:pPr>
        <w:pStyle w:val="a9"/>
        <w:rPr>
          <w:rtl/>
        </w:rPr>
      </w:pPr>
      <w:r>
        <w:rPr>
          <w:rStyle w:val="ab"/>
        </w:rPr>
        <w:footnoteRef/>
      </w:r>
      <w:r>
        <w:rPr>
          <w:rtl/>
        </w:rPr>
        <w:t xml:space="preserve"> </w:t>
      </w:r>
      <w:r>
        <w:rPr>
          <w:rFonts w:hint="cs"/>
          <w:rtl/>
        </w:rPr>
        <w:t>פירוש, איגלאי מילתא שלא היה פסול מעולם ולא נתבטל ועד הראשון. משא"כ בהעידו עליו שגזל, אף שבאו שנים והעידו עליו אחר שחתמו שעשה תשובה קודם שנתועדו יחד, מ"מ מאחר שגזל מתחילה חל עליו הערעור, ולא נתכשר אלא עתה מיום שהועד עליו בב"ד והלאה</w:t>
      </w:r>
      <w:r>
        <w:rPr>
          <w:rtl/>
        </w:rPr>
        <w:t>, סמ"ע (סע' קטן סד).</w:t>
      </w:r>
    </w:p>
  </w:footnote>
  <w:footnote w:id="3889">
    <w:p w14:paraId="38BC19FF" w14:textId="77777777" w:rsidR="0013116F" w:rsidRDefault="0013116F" w:rsidP="001D49D4">
      <w:pPr>
        <w:pStyle w:val="a9"/>
        <w:rPr>
          <w:rtl/>
        </w:rPr>
      </w:pPr>
      <w:r>
        <w:rPr>
          <w:rStyle w:val="ab"/>
        </w:rPr>
        <w:footnoteRef/>
      </w:r>
      <w:r>
        <w:rPr>
          <w:rtl/>
        </w:rPr>
        <w:t xml:space="preserve"> וכ"כ הרשב"א (במיוחסות סי' צא), ב"י.</w:t>
      </w:r>
    </w:p>
  </w:footnote>
  <w:footnote w:id="3890">
    <w:p w14:paraId="233E167E" w14:textId="77777777" w:rsidR="0013116F" w:rsidRDefault="0013116F" w:rsidP="001D49D4">
      <w:pPr>
        <w:pStyle w:val="a9"/>
      </w:pPr>
      <w:r>
        <w:rPr>
          <w:rStyle w:val="ab"/>
        </w:rPr>
        <w:footnoteRef/>
      </w:r>
      <w:r>
        <w:rPr>
          <w:rtl/>
        </w:rPr>
        <w:t xml:space="preserve"> נראה דלאו דוקא, אלא רצה לומר דהקיום הוא פסול, וכיון שהוא ללא צורך יחתכו אותו שמא יסמכו עליו ולא ידעו שהוא פסול. ואין הכי נמי אם הוא בענין שאינו יכול לחתכו, כגון שהוא נכתב על גבי השטר מצד השני כנגד הכתב וכה"ג, אין צריך לחתכו. ואי משום שיסמכו על הקיום, אפשר לתקנו שיעביר שריטות של דיו על הקיום. או נראה דלא חיישינן להא שיסמכו על הקיום. ועל כל פנים אינו נפסל השטר אף שלא נחתך הקיום. וכ"כ בתשובה [במיוחסות] להרמב"ן ס"ס צא... מיהו נראה דלכתחילה יש לתקנו ולהעביר שריטות על הקיום וכמו שכתבתי, דכל כמה דאפשר לתיקוני מילתא עבדינן, כן נראה לי, ש"ך (סע' קטן סח).</w:t>
      </w:r>
    </w:p>
  </w:footnote>
  <w:footnote w:id="3891">
    <w:p w14:paraId="1FF1A4DC" w14:textId="77777777" w:rsidR="0013116F" w:rsidRDefault="0013116F" w:rsidP="001D49D4">
      <w:pPr>
        <w:pStyle w:val="a9"/>
      </w:pPr>
      <w:r>
        <w:rPr>
          <w:rStyle w:val="ab"/>
        </w:rPr>
        <w:footnoteRef/>
      </w:r>
      <w:r>
        <w:rPr>
          <w:rtl/>
        </w:rPr>
        <w:t xml:space="preserve"> ונראה דהיינו דוקא כשנתקיים מחדש ע"פ ג' כשרים, או שיש עדים לפנינו שנוכל לקיימן על ידן, וקא משמע לן דלא נפסל השטר מחמת חתימת הפסול שחתם כבר על הקיום, סמ"ע (סע' קטן סה).</w:t>
      </w:r>
    </w:p>
  </w:footnote>
  <w:footnote w:id="3892">
    <w:p w14:paraId="144E5189" w14:textId="77777777" w:rsidR="0013116F" w:rsidRDefault="0013116F" w:rsidP="001D49D4">
      <w:pPr>
        <w:pStyle w:val="a9"/>
        <w:rPr>
          <w:rtl/>
        </w:rPr>
      </w:pPr>
      <w:r>
        <w:rPr>
          <w:rStyle w:val="ab"/>
        </w:rPr>
        <w:footnoteRef/>
      </w:r>
      <w:r>
        <w:rPr>
          <w:rtl/>
        </w:rPr>
        <w:t xml:space="preserve"> </w:t>
      </w:r>
      <w:r>
        <w:rPr>
          <w:rFonts w:hint="cs"/>
          <w:rtl/>
        </w:rPr>
        <w:t>סימן – כעת ב'. וכן – כמעט ברח.</w:t>
      </w:r>
    </w:p>
  </w:footnote>
  <w:footnote w:id="3893">
    <w:p w14:paraId="1B9A9E6F" w14:textId="77777777" w:rsidR="0013116F" w:rsidRDefault="0013116F" w:rsidP="001D49D4">
      <w:pPr>
        <w:pStyle w:val="a9"/>
      </w:pPr>
      <w:r>
        <w:rPr>
          <w:rStyle w:val="ab"/>
        </w:rPr>
        <w:footnoteRef/>
      </w:r>
      <w:r>
        <w:rPr>
          <w:rtl/>
        </w:rPr>
        <w:t xml:space="preserve"> דקיום השטר בשלשה והרואה שנים חתומין בו יאמר שבשנים קיימוהו, רש"י.</w:t>
      </w:r>
    </w:p>
  </w:footnote>
  <w:footnote w:id="3894">
    <w:p w14:paraId="15BCBB81" w14:textId="77777777" w:rsidR="0013116F" w:rsidRDefault="0013116F" w:rsidP="001D49D4">
      <w:pPr>
        <w:pStyle w:val="a9"/>
      </w:pPr>
      <w:r>
        <w:rPr>
          <w:rStyle w:val="ab"/>
        </w:rPr>
        <w:footnoteRef/>
      </w:r>
      <w:r>
        <w:rPr>
          <w:rtl/>
        </w:rPr>
        <w:t xml:space="preserve"> דלא מיקרי בי דינא בציר מתלתא, רש"י.</w:t>
      </w:r>
    </w:p>
  </w:footnote>
  <w:footnote w:id="3895">
    <w:p w14:paraId="0471F9AA" w14:textId="77777777" w:rsidR="0013116F" w:rsidRDefault="0013116F" w:rsidP="001D49D4">
      <w:pPr>
        <w:pStyle w:val="a9"/>
      </w:pPr>
      <w:r>
        <w:rPr>
          <w:rStyle w:val="ab"/>
        </w:rPr>
        <w:footnoteRef/>
      </w:r>
      <w:r>
        <w:rPr>
          <w:rtl/>
        </w:rPr>
        <w:t xml:space="preserve"> אורחא דמילתא נקט שהוא היה ראש ישיבה בימי רב נחמן דהוא מרא דשמעתא דודאי רבנן דבי רב אשי לא עבדי בתרין, רש"י.</w:t>
      </w:r>
    </w:p>
  </w:footnote>
  <w:footnote w:id="3896">
    <w:p w14:paraId="2383B245" w14:textId="77777777" w:rsidR="0013116F" w:rsidRDefault="0013116F" w:rsidP="001D49D4">
      <w:pPr>
        <w:pStyle w:val="a9"/>
      </w:pPr>
      <w:r>
        <w:rPr>
          <w:rStyle w:val="ab"/>
        </w:rPr>
        <w:footnoteRef/>
      </w:r>
      <w:r>
        <w:rPr>
          <w:rtl/>
        </w:rPr>
        <w:t xml:space="preserve"> לאזדקוקי ליה ולקיומי דכיון דרב אשי הזקיקן איהו ודאי לתלתא אמר ויש מפרשים ואמר לנא רבנא אשי תלתא נינהו ולא נהירא לי דאי רב אשי חד מנהון מאי ואמר לנא דכתבי ביה, רש"י. וכתב הב"י שהטור תופס הפירוש הראשון והרמב"ם (עדות פ"ו ה"ו) תופס הפירוש השני, והטור בסימן ל"ט (סט"ו) כתב שני הפירושים בסתם גבי שטר הודאה שחתמו בו שנים וכו'.</w:t>
      </w:r>
    </w:p>
  </w:footnote>
  <w:footnote w:id="3897">
    <w:p w14:paraId="0E5ACDCC" w14:textId="77777777" w:rsidR="0013116F" w:rsidRDefault="0013116F" w:rsidP="001D49D4">
      <w:pPr>
        <w:pStyle w:val="a9"/>
      </w:pPr>
      <w:r>
        <w:rPr>
          <w:rStyle w:val="ab"/>
        </w:rPr>
        <w:footnoteRef/>
      </w:r>
      <w:r>
        <w:rPr>
          <w:rtl/>
        </w:rPr>
        <w:t xml:space="preserve"> </w:t>
      </w:r>
      <w:r>
        <w:rPr>
          <w:rFonts w:hint="cs"/>
          <w:rtl/>
        </w:rPr>
        <w:t>דווקא אם כתבו 'במותב תלתא...' השאלה הזו שייכת, משום שאם כתבו 'בי דינא' - לכו"ע הקיום כשר אע"ג דלא כתבו 'וחד ליתוהי', וכמו שיתבאר לקמן.</w:t>
      </w:r>
    </w:p>
  </w:footnote>
  <w:footnote w:id="3898">
    <w:p w14:paraId="4C95BE96" w14:textId="77777777" w:rsidR="0013116F" w:rsidRDefault="0013116F" w:rsidP="001D49D4">
      <w:pPr>
        <w:pStyle w:val="a9"/>
      </w:pPr>
      <w:r>
        <w:rPr>
          <w:rStyle w:val="ab"/>
        </w:rPr>
        <w:footnoteRef/>
      </w:r>
      <w:r>
        <w:rPr>
          <w:rtl/>
        </w:rPr>
        <w:t xml:space="preserve"> </w:t>
      </w:r>
      <w:r>
        <w:rPr>
          <w:rFonts w:hint="cs"/>
          <w:rtl/>
        </w:rPr>
        <w:t xml:space="preserve">בחידושים (דף </w:t>
      </w:r>
      <w:r>
        <w:rPr>
          <w:rtl/>
        </w:rPr>
        <w:t xml:space="preserve">קסה: ד"ה צריכי). והביאוהו הר"ן </w:t>
      </w:r>
      <w:r>
        <w:rPr>
          <w:sz w:val="16"/>
          <w:szCs w:val="16"/>
          <w:rtl/>
        </w:rPr>
        <w:t xml:space="preserve">(ט:) </w:t>
      </w:r>
      <w:r>
        <w:rPr>
          <w:rtl/>
        </w:rPr>
        <w:t xml:space="preserve">ונמוק"י </w:t>
      </w:r>
      <w:r>
        <w:rPr>
          <w:sz w:val="16"/>
          <w:szCs w:val="16"/>
          <w:rtl/>
        </w:rPr>
        <w:t>(קסה: ד"ה אמר המחבר, וז"ל- אמר המחבר כתב הריטב"א ז"ל בשם רבו הרא"ה ז"ל דכיון דאמר 'במותב תלתא כחדא הוינא' - 'וחד ליתוהי' לא מעכב, ולרווחא לומר קושטא דמילתא נקט ליה. וכן מה שנהגו לכתוב 'וחתימנא תרי מגו תלתא' אינו אלא לברר אבל אינו צריך ואין מעכב כלל עכ"ל)</w:t>
      </w:r>
      <w:r>
        <w:rPr>
          <w:rtl/>
        </w:rPr>
        <w:t>. וכתב הדרכ"מ (אות י) דכן הוא בתשו' הרשב"א סי' קנג.</w:t>
      </w:r>
    </w:p>
  </w:footnote>
  <w:footnote w:id="3899">
    <w:p w14:paraId="27BD522A" w14:textId="77777777" w:rsidR="0013116F" w:rsidRDefault="0013116F" w:rsidP="001D49D4">
      <w:pPr>
        <w:pStyle w:val="a9"/>
        <w:rPr>
          <w:rtl/>
        </w:rPr>
      </w:pPr>
      <w:r>
        <w:rPr>
          <w:rStyle w:val="ab"/>
        </w:rPr>
        <w:footnoteRef/>
      </w:r>
      <w:r>
        <w:rPr>
          <w:rtl/>
        </w:rPr>
        <w:t xml:space="preserve"> וז"ל- צריך למיכתב במותב תלתא וכו' שאם לא יכתבו במותב תלתא הוינא אתי למימר דקיום שטרות בשנים, הילכך כיון שאין חותמין עליו אלא שנים צריך לכתוב שהיה מתחלה שלשה, וכיון שכותבין שהיו שלשה טוב הוא שגם יכתבו 'וחד ליתוהי', שאם לא יכתבוהו אתי למיטעי ולומר שאין צריך בית דין בקיום השטר ומה שכתבו במותב תלתא לא לשם בית דין כתבו אלא שהיה בדעתם לרבות ולא נזדמן להם אלא שנים שחתמו, אבל כשכתבו וחד ליתוהי תו ליכא למיטעי, אבל כשלא כתבו וחד ליתוהי לא מיפסל בהכי, תדע מדקאמר 'ואי כתב בי דינא תו לא צריך' ומיירי דלא כתיב ביה וחד ליתוהי מדפריך ודילמא בית דין חצוף הוא כלומר ולא גרע במותב תלתא מבי דינא.</w:t>
      </w:r>
    </w:p>
  </w:footnote>
  <w:footnote w:id="3900">
    <w:p w14:paraId="2505EEA6" w14:textId="77777777" w:rsidR="0013116F" w:rsidRDefault="0013116F" w:rsidP="001D49D4">
      <w:pPr>
        <w:pStyle w:val="a9"/>
        <w:rPr>
          <w:rtl/>
        </w:rPr>
      </w:pPr>
      <w:r>
        <w:rPr>
          <w:rStyle w:val="ab"/>
        </w:rPr>
        <w:footnoteRef/>
      </w:r>
      <w:r>
        <w:rPr>
          <w:rtl/>
        </w:rPr>
        <w:t xml:space="preserve"> דעיקר חדושיה דרבי זירא הוא דכיון דלא חתימי ביה אלא תרי צריך למיכתב במותב תלתא, דאילו חתימי ביה תלתא לא היה צריך למיכתב במותב תלתא כחדא הוינא, דכיון דכולהו חתימי לא חיישינן דלאו במותב חד הוו, אבל כי לא חתימי אלא תרי חיישינן דילמא לא הוו טפי ולפיכך צריך למיכתב במותב תלתא, אבל חד ליתוהי לא מעלה ולא מוריד, ר"ן בשם הרא"ה. והביאו דבריהם הנמוק"י (ב"ב עו: ד"ה רבינא) והריב"ש (סי' תיג ד"ה ההקדמה הב'), וכתב הריב"ש כן גם בשם בהעי"ט (אות ק קיום נה.).</w:t>
      </w:r>
    </w:p>
  </w:footnote>
  <w:footnote w:id="3901">
    <w:p w14:paraId="6FA12487" w14:textId="77777777" w:rsidR="0013116F" w:rsidRDefault="0013116F" w:rsidP="001D49D4">
      <w:pPr>
        <w:pStyle w:val="a9"/>
        <w:rPr>
          <w:rtl/>
        </w:rPr>
      </w:pPr>
      <w:r>
        <w:rPr>
          <w:rStyle w:val="ab"/>
        </w:rPr>
        <w:footnoteRef/>
      </w:r>
      <w:r>
        <w:rPr>
          <w:rtl/>
        </w:rPr>
        <w:t xml:space="preserve"> </w:t>
      </w:r>
      <w:r>
        <w:rPr>
          <w:rFonts w:hint="cs"/>
          <w:rtl/>
        </w:rPr>
        <w:t>משמע מדברי הרמ"ה שאם לא כתב 'וחד ליתוהי' – פסול. וכן משמע ממה שחילק הריב"ש בין דעת הרמ"ה לדעת התוס' שהביא לאחריה. וכ"כ בהדיא הקו"נ (פ"ב אות ח) שכך דעת הרמ"ה וכך הבנת הריב"ש ברמ"ה.</w:t>
      </w:r>
    </w:p>
  </w:footnote>
  <w:footnote w:id="3902">
    <w:p w14:paraId="14034129" w14:textId="77777777" w:rsidR="0013116F" w:rsidRDefault="0013116F" w:rsidP="001D49D4">
      <w:pPr>
        <w:pStyle w:val="a9"/>
      </w:pPr>
      <w:r>
        <w:rPr>
          <w:rStyle w:val="ab"/>
        </w:rPr>
        <w:footnoteRef/>
      </w:r>
      <w:r>
        <w:rPr>
          <w:rtl/>
        </w:rPr>
        <w:t xml:space="preserve"> </w:t>
      </w:r>
      <w:r>
        <w:rPr>
          <w:rFonts w:hint="cs"/>
          <w:rtl/>
        </w:rPr>
        <w:t xml:space="preserve">וז"ל- </w:t>
      </w:r>
      <w:r>
        <w:rPr>
          <w:rtl/>
        </w:rPr>
        <w:t>אי כתבו במותב בי דינא הוינא והזכירו בו שהיה הענין בפני מומחה שידוע הוא שלא היה טועה לומר קיום שטרות בפני שנים - אפילו לכתחילה אין צריך לכתוב וחד ליתוהי.</w:t>
      </w:r>
    </w:p>
  </w:footnote>
  <w:footnote w:id="3903">
    <w:p w14:paraId="5BE78DF2" w14:textId="77777777" w:rsidR="0013116F" w:rsidRDefault="0013116F" w:rsidP="001D49D4">
      <w:pPr>
        <w:pStyle w:val="a9"/>
      </w:pPr>
      <w:r>
        <w:rPr>
          <w:rStyle w:val="ab"/>
        </w:rPr>
        <w:footnoteRef/>
      </w:r>
      <w:r>
        <w:rPr>
          <w:rtl/>
        </w:rPr>
        <w:t xml:space="preserve"> וכתב הב"י דכ"כ נמוק"י בפרק גט פשוט (שם) בשם הרא"ה (שם) והריטב"א (שם).</w:t>
      </w:r>
    </w:p>
  </w:footnote>
  <w:footnote w:id="3904">
    <w:p w14:paraId="5D3D64C3" w14:textId="77777777" w:rsidR="0013116F" w:rsidRDefault="0013116F" w:rsidP="001D49D4">
      <w:pPr>
        <w:pStyle w:val="a9"/>
        <w:rPr>
          <w:rtl/>
        </w:rPr>
      </w:pPr>
      <w:r>
        <w:rPr>
          <w:rStyle w:val="ab"/>
        </w:rPr>
        <w:footnoteRef/>
      </w:r>
      <w:r>
        <w:rPr>
          <w:rtl/>
        </w:rPr>
        <w:t xml:space="preserve"> והוא הדין אם הוא חי ואינו בנמצא שיחתום, וכמו שכתב המחבר בסעיף שאחרי זה, וכן משמע בפוסקים, ש"ך (סע' קטן סט).</w:t>
      </w:r>
    </w:p>
  </w:footnote>
  <w:footnote w:id="3905">
    <w:p w14:paraId="174F839B" w14:textId="77777777" w:rsidR="0013116F" w:rsidRDefault="0013116F" w:rsidP="001D49D4">
      <w:pPr>
        <w:pStyle w:val="a9"/>
      </w:pPr>
      <w:r>
        <w:rPr>
          <w:rStyle w:val="ab"/>
        </w:rPr>
        <w:footnoteRef/>
      </w:r>
      <w:r>
        <w:rPr>
          <w:rtl/>
        </w:rPr>
        <w:t xml:space="preserve"> להריב"ש (סי' שפב) והרב (לעיל סע' ז בהג"ה) דיכולים להעיד עדות הקיום מפי כתב, נראה לומר דהא דצריכים הכא לכתוב במותב תלתא כו', היינו כדי שיהיה השטר מקוים קיום בית דין, אבל מ"מ העדאת עדים מיהא איכא, דאע"ג דכתוב בלשון שמורה שישבו להיות בית דין, מ"מ שנים נהי דבית דין לא הוי, עדים מיהא הוי. והיינו במקום דשייך העדאת עדים, כגון שכתבו שמכירים החתימות או שבפניהם חתמו או שבפניהם נתקיים השטר. אבל אם כתוב בקיום, בפנינו העידו פלוני ופלוני על חתימתן, כיון דאין כאן שלשה אלא שנים, אינן יכולים לקבל עדות, והו"ל עד מפי עד </w:t>
      </w:r>
      <w:r>
        <w:rPr>
          <w:sz w:val="16"/>
          <w:szCs w:val="16"/>
          <w:rtl/>
        </w:rPr>
        <w:t>(וכמש"כ הנמוק"י [פרק חזקת הבתים כ: מדפה"ר ד"ה קיום] ומביאו ב"י ודרכ"מ לעיל ריש סימן זה [סעיף ד']. וכ"כ רשב"ם [פרק חזקת הבתים מ. ד"ה קיום]. וכן הרב והסמ"ע לעיל סע' ד [סק"ז בסמ"ע] כתבו דאם קיימו בשנים אינו כלום, דהו"ל עד מפי עד, וא"כ בטל לגמרי דאפילו העדאת עדים לא הוי)</w:t>
      </w:r>
      <w:r>
        <w:rPr>
          <w:rtl/>
        </w:rPr>
        <w:t xml:space="preserve">. </w:t>
      </w:r>
      <w:r>
        <w:rPr>
          <w:u w:val="single"/>
          <w:rtl/>
        </w:rPr>
        <w:t>עוד נפ"מ</w:t>
      </w:r>
      <w:r>
        <w:rPr>
          <w:rtl/>
        </w:rPr>
        <w:t xml:space="preserve"> בין קיום ב"ד להעדאת עדים, לענין מה שכתבתי לעיל סע' טז סקמ"ו בשם הר"ן והרא"ה והריטב"א ומהר"מ דעד ודיין מצטרפים. </w:t>
      </w:r>
      <w:r>
        <w:rPr>
          <w:u w:val="single"/>
          <w:rtl/>
        </w:rPr>
        <w:t>ועוד נפ"מ</w:t>
      </w:r>
      <w:r>
        <w:rPr>
          <w:rtl/>
        </w:rPr>
        <w:t xml:space="preserve"> לענין שיחיד מומחה או אם קיבלו אחד שיהיה כיחיד מומחה, שיכול לדון לבדו על שטר שנתקיים בב"ד כשמכיר הקיום, אבל אין יכול לדון לבדו כשמכיר העדאת עדים, דלענין קבלת עדות לא מהני יחיד מומחה </w:t>
      </w:r>
      <w:r>
        <w:rPr>
          <w:sz w:val="16"/>
          <w:szCs w:val="16"/>
          <w:rtl/>
        </w:rPr>
        <w:t>(וכמש"כ לעיל סי' ג סק"ח וסי' זה סע' ד סק"ח)</w:t>
      </w:r>
      <w:r>
        <w:rPr>
          <w:rtl/>
        </w:rPr>
        <w:t xml:space="preserve"> רק בעינן שלשה. עוד איכא נפקותא אחריתי. וגם נראה דהיכא דלא הוי רק העדאת עדים וצריך עוד ב"ד לקבל עדותם מתוך כתבם זה </w:t>
      </w:r>
      <w:r>
        <w:rPr>
          <w:sz w:val="16"/>
          <w:szCs w:val="16"/>
          <w:rtl/>
        </w:rPr>
        <w:t>(וכמש"כ לעיל סע' ז סקט"ז)</w:t>
      </w:r>
      <w:r>
        <w:rPr>
          <w:rtl/>
        </w:rPr>
        <w:t>, בעינן שיהיו העדים חיים בשעה שמקבלים הבית דין עדותם מתוך כתבם, דבעינן שיהיו ראויים להגיד בפה בשעת קבלת העדות, ש"ך (סק"ע).</w:t>
      </w:r>
    </w:p>
  </w:footnote>
  <w:footnote w:id="3906">
    <w:p w14:paraId="607880F6" w14:textId="77777777" w:rsidR="0013116F" w:rsidRDefault="0013116F" w:rsidP="001D49D4">
      <w:pPr>
        <w:pStyle w:val="a9"/>
      </w:pPr>
      <w:r>
        <w:rPr>
          <w:rStyle w:val="ab"/>
        </w:rPr>
        <w:footnoteRef/>
      </w:r>
      <w:r>
        <w:rPr>
          <w:rtl/>
        </w:rPr>
        <w:t xml:space="preserve"> פירוש, דכתב במותב ב"ד הוינא לחוד..., סמ"ע (ס"ק סז).</w:t>
      </w:r>
    </w:p>
  </w:footnote>
  <w:footnote w:id="3907">
    <w:p w14:paraId="09F84B4A" w14:textId="77777777" w:rsidR="0013116F" w:rsidRDefault="0013116F" w:rsidP="001D49D4">
      <w:pPr>
        <w:pStyle w:val="a9"/>
        <w:rPr>
          <w:rtl/>
        </w:rPr>
      </w:pPr>
      <w:r>
        <w:rPr>
          <w:rStyle w:val="ab"/>
        </w:rPr>
        <w:footnoteRef/>
      </w:r>
      <w:r>
        <w:rPr>
          <w:rtl/>
        </w:rPr>
        <w:t xml:space="preserve"> וכתב הריב"ש </w:t>
      </w:r>
      <w:r>
        <w:rPr>
          <w:sz w:val="16"/>
          <w:szCs w:val="16"/>
          <w:rtl/>
        </w:rPr>
        <w:t>(סי' תיג)</w:t>
      </w:r>
      <w:r>
        <w:rPr>
          <w:rtl/>
        </w:rPr>
        <w:t xml:space="preserve"> נראה דהשתא כבר מפורסם לכל דאין בית דין פחות מג' וכל דכתיב בי דינא תו לא צריך </w:t>
      </w:r>
      <w:r>
        <w:rPr>
          <w:sz w:val="16"/>
          <w:szCs w:val="16"/>
          <w:rtl/>
        </w:rPr>
        <w:t>(ומביאו ד"מ [סעיף כ"ג] וב"י מחודש כ"ד)</w:t>
      </w:r>
      <w:r>
        <w:rPr>
          <w:rtl/>
        </w:rPr>
        <w:t>. ומ"מ נראה דהכל לפי מה שהן החתומים, ש"ך (סקע"א). וכתב האורים (סקפ"ז) דכוונת הש"ך לומר שהכל לפי הזמן, ויפה כתב, ובפרט לפי מה שכתב הרמ"א דהמנהג דהרב מקיים יחיד, א"כ ממנו ילמדו דגם אחרים יכולים לקיים.</w:t>
      </w:r>
    </w:p>
  </w:footnote>
  <w:footnote w:id="3908">
    <w:p w14:paraId="156D1B45" w14:textId="77777777" w:rsidR="0013116F" w:rsidRDefault="0013116F" w:rsidP="001D49D4">
      <w:pPr>
        <w:pStyle w:val="a9"/>
        <w:rPr>
          <w:rtl/>
        </w:rPr>
      </w:pPr>
      <w:r>
        <w:rPr>
          <w:rStyle w:val="ab"/>
        </w:rPr>
        <w:footnoteRef/>
      </w:r>
      <w:r>
        <w:rPr>
          <w:rtl/>
        </w:rPr>
        <w:t xml:space="preserve"> כגון ואמר לנו פלוני, או ואמרנו ליה לפלוני, ש"ך (סקע"ב). וכתב עוד הש"ך דצריך שיהיו מכירים אותו פלוני שאינו קרוב או פסול </w:t>
      </w:r>
      <w:r>
        <w:rPr>
          <w:sz w:val="16"/>
          <w:szCs w:val="16"/>
          <w:rtl/>
        </w:rPr>
        <w:t>(והוא בריב"ש [סי' תיג] בשם הרמ"ה דכתב- וצריך לכתוב וחד ליתוהי משום דלא ניחוש שהיו שלשה אלא שהאחד היה פסול או קרוב ומפני זה לא חתם עמהם כדי שלא יתברר ויתגלה פסולו)</w:t>
      </w:r>
      <w:r>
        <w:rPr>
          <w:rtl/>
        </w:rPr>
        <w:t>.</w:t>
      </w:r>
    </w:p>
  </w:footnote>
  <w:footnote w:id="3909">
    <w:p w14:paraId="15BBE130" w14:textId="77777777" w:rsidR="0013116F" w:rsidRDefault="0013116F" w:rsidP="001D49D4">
      <w:pPr>
        <w:pStyle w:val="a9"/>
      </w:pPr>
      <w:r>
        <w:rPr>
          <w:rStyle w:val="ab"/>
        </w:rPr>
        <w:footnoteRef/>
      </w:r>
      <w:r>
        <w:rPr>
          <w:rtl/>
        </w:rPr>
        <w:t xml:space="preserve"> ונ"ל דאפילו אם אותו פלוני אינו מומחה וגם לא זכרו שאמר להם לקיים, מ"מ מדמוכח מיניה שהיה אז שלישי, ולפני זה כתוב במותב ב"ד או במותב תלתא הוינא, לא אתי הרואה למיחשד להו. ומה שאמרו בגמ' [כב.] ואמר לנו רבנא אשי, לאו דוקא קאמר, וכמו שכתבתי בפרישה [שם], </w:t>
      </w:r>
      <w:r>
        <w:rPr>
          <w:sz w:val="16"/>
          <w:szCs w:val="16"/>
          <w:rtl/>
        </w:rPr>
        <w:t xml:space="preserve">(ולא כמ"ש בע"ש [סע' כט] בזה ז"ל- ואם יש בו משמעות אחר שהיו ג', כגון שכתוב בו פלוני זה והוא מומחה לרבים אמר לנו נקיים השטר, או שנעשה זה בפניו, שוב א"צ וחד ליתוהי, דודאי הוא לא טעה לומר ששנים נקראו ב"ד, עכ"ל. הרי שהצריך להיות אותו השלישי מומחה, ושאומר להם לקיים. ולא נהירא, כי דוקא רש"י </w:t>
      </w:r>
      <w:r>
        <w:rPr>
          <w:sz w:val="14"/>
          <w:szCs w:val="14"/>
          <w:rtl/>
        </w:rPr>
        <w:t xml:space="preserve">[ד"ה ואמר לנא] </w:t>
      </w:r>
      <w:r>
        <w:rPr>
          <w:sz w:val="16"/>
          <w:szCs w:val="16"/>
          <w:rtl/>
        </w:rPr>
        <w:t>אפירושו כתב כן, והוא פירשו בענין אחר, שכתב, שהזכירו שהיה הענין בפני מומחה כו', ר"ל שאותו השלישי ודאי לא היה עמהן בקיום, אלא מדנעשה לפניו אמרינן ודאי נעשה הקיום בהכשר, דבזה ודאי בעינן שיהיה בו מומחה דלא טעה כו', אבל לפירוש הרמב"ם א"צ לזה וכמש"כ לעיל סי' לט [סקל"ג] ובפרישה [כאן, ובסי' לט סע' טו])</w:t>
      </w:r>
      <w:r>
        <w:rPr>
          <w:rtl/>
        </w:rPr>
        <w:t>, סמ"ע</w:t>
      </w:r>
      <w:r>
        <w:rPr>
          <w:sz w:val="16"/>
          <w:szCs w:val="16"/>
          <w:rtl/>
        </w:rPr>
        <w:t xml:space="preserve"> (סע' קטן סח)</w:t>
      </w:r>
      <w:r>
        <w:rPr>
          <w:rtl/>
        </w:rPr>
        <w:t xml:space="preserve">. וכ' הש"ך </w:t>
      </w:r>
      <w:r>
        <w:rPr>
          <w:sz w:val="16"/>
          <w:szCs w:val="16"/>
          <w:rtl/>
        </w:rPr>
        <w:t xml:space="preserve">(סקע"ג) </w:t>
      </w:r>
      <w:r>
        <w:rPr>
          <w:rtl/>
        </w:rPr>
        <w:t xml:space="preserve">דאין כאן השגה, דהעיר שושן ראה שרש"י </w:t>
      </w:r>
      <w:r>
        <w:rPr>
          <w:sz w:val="16"/>
          <w:szCs w:val="16"/>
          <w:rtl/>
        </w:rPr>
        <w:t xml:space="preserve">[ד"ה ואמר] </w:t>
      </w:r>
      <w:r>
        <w:rPr>
          <w:rtl/>
        </w:rPr>
        <w:t>חולק על פירוש הרמב"ם, ונראין דברי רש"י בטעמם בש"ס, ועל כן כתב דבריו על פי פירש"י, ואפשר גם הרמב"ם מודה לרש"י לדינא, אלא דהרמב"ם מיירי כשאותו פלוני הוא אחד מן השלשה, ורש"י והעיר שושן מיירי אפילו הוא אינו מן השלשה.</w:t>
      </w:r>
    </w:p>
  </w:footnote>
  <w:footnote w:id="3910">
    <w:p w14:paraId="63BAADFA" w14:textId="77777777" w:rsidR="0013116F" w:rsidRDefault="0013116F" w:rsidP="001D49D4">
      <w:pPr>
        <w:pStyle w:val="a9"/>
      </w:pPr>
      <w:r>
        <w:rPr>
          <w:rStyle w:val="ab"/>
        </w:rPr>
        <w:footnoteRef/>
      </w:r>
      <w:r>
        <w:rPr>
          <w:rtl/>
        </w:rPr>
        <w:t xml:space="preserve"> </w:t>
      </w:r>
      <w:r>
        <w:rPr>
          <w:rFonts w:hint="cs"/>
          <w:rtl/>
        </w:rPr>
        <w:t>משמע מהגר"א (סקנ"ח) שהיש אומרים הזה חוזר רק על המקרה שכתב 'בי דינא' ולא כתב 'וחד ליתוהי'. ולא על המקרה שכתב 'במותב תלתא' ולא כתב 'וחד ליתוהי'. וכדעת הרמ"ה. ולגבי דעת השו"ע שהעתיק עד יש אומרים זה את לשון הרמב"ם, אפשר לומר שהבין בדעת הרמב"ם שפוסל אם לא כתוב 'וחד ליתוהי', בין כשכתב 'במותב תלתא' ובין כשכתב 'בי דינא'. ואפשר לומר דלא בא לגלות דעתו בזה כיון דהרמב"ם סתם ולא פירש.</w:t>
      </w:r>
    </w:p>
  </w:footnote>
  <w:footnote w:id="3911">
    <w:p w14:paraId="0BB12ADD" w14:textId="77777777" w:rsidR="0013116F" w:rsidRDefault="0013116F" w:rsidP="001D49D4">
      <w:pPr>
        <w:pStyle w:val="a9"/>
        <w:rPr>
          <w:rtl/>
        </w:rPr>
      </w:pPr>
      <w:r>
        <w:rPr>
          <w:rStyle w:val="ab"/>
        </w:rPr>
        <w:footnoteRef/>
      </w:r>
      <w:r>
        <w:rPr>
          <w:rtl/>
        </w:rPr>
        <w:t xml:space="preserve"> דהא כתיב במותב תלתא וא"כ ג' הוו, וליכא למיחש שמא חד קרוב או פסול היה, דבי דינא כשרים משמע, ש"ך (סקע"ד).</w:t>
      </w:r>
    </w:p>
  </w:footnote>
  <w:footnote w:id="3912">
    <w:p w14:paraId="26C60800" w14:textId="77777777" w:rsidR="0013116F" w:rsidRDefault="0013116F" w:rsidP="001D49D4">
      <w:pPr>
        <w:pStyle w:val="a9"/>
      </w:pPr>
      <w:r>
        <w:rPr>
          <w:rStyle w:val="ab"/>
        </w:rPr>
        <w:footnoteRef/>
      </w:r>
      <w:r>
        <w:rPr>
          <w:rtl/>
        </w:rPr>
        <w:t xml:space="preserve"> ומשמע שם</w:t>
      </w:r>
      <w:r>
        <w:rPr>
          <w:sz w:val="16"/>
          <w:szCs w:val="16"/>
          <w:rtl/>
        </w:rPr>
        <w:t xml:space="preserve"> (במיוחסות סי' צא)</w:t>
      </w:r>
      <w:r>
        <w:rPr>
          <w:rtl/>
        </w:rPr>
        <w:t xml:space="preserve"> דחתימת שלשתן בעינן, ואדלפני זה קאי, וכן הביאו הב"י [מחודש כג] ע"ש, סמ"ע (סע' קטן סט).</w:t>
      </w:r>
    </w:p>
  </w:footnote>
  <w:footnote w:id="3913">
    <w:p w14:paraId="162DA5D2" w14:textId="77777777" w:rsidR="0013116F" w:rsidRDefault="0013116F" w:rsidP="001D49D4">
      <w:pPr>
        <w:pStyle w:val="a9"/>
        <w:rPr>
          <w:rtl/>
        </w:rPr>
      </w:pPr>
      <w:r>
        <w:rPr>
          <w:rStyle w:val="ab"/>
        </w:rPr>
        <w:footnoteRef/>
      </w:r>
      <w:r>
        <w:t xml:space="preserve"> </w:t>
      </w:r>
      <w:r>
        <w:rPr>
          <w:rtl/>
        </w:rPr>
        <w:t xml:space="preserve">כדמשמע בפ"ב דכתובות (כב.) גבי שלשה שישבו לקיים השטר ומת אחד מהם שאין לשון קיום הרגיל מוכיח שהם בית דין, וכן בפרק זה בורר (סנהדרין כט:) ההוא אודיתא דהוה כתוב בה דוכרן פתגמייא וכו', ולא דמי למאי דאמרינן בהשולח (גיטין לג.) גבי פרוזבול לא שנא כתוב בלשון דיינים וחתימי סהדי וכו' דהתם כיון שמסר דבריו לדיינים גמר מעשה הפרוזבול ומה שחותמין אינו אלא לראיה בעלמא אבל בקיום זה משעת ישיבתן עד שעת חתימתן הוו עדים ולא דיינין, ריב"ש. </w:t>
      </w:r>
    </w:p>
  </w:footnote>
  <w:footnote w:id="3914">
    <w:p w14:paraId="703F1724" w14:textId="77777777" w:rsidR="0013116F" w:rsidRDefault="0013116F" w:rsidP="001D49D4">
      <w:pPr>
        <w:pStyle w:val="a9"/>
        <w:rPr>
          <w:rtl/>
        </w:rPr>
      </w:pPr>
      <w:r>
        <w:rPr>
          <w:rStyle w:val="ab"/>
        </w:rPr>
        <w:footnoteRef/>
      </w:r>
      <w:r>
        <w:rPr>
          <w:rtl/>
        </w:rPr>
        <w:t xml:space="preserve"> </w:t>
      </w:r>
      <w:r>
        <w:rPr>
          <w:rFonts w:hint="cs"/>
          <w:rtl/>
        </w:rPr>
        <w:t xml:space="preserve">כך דעת הדרכ"מ </w:t>
      </w:r>
      <w:r>
        <w:rPr>
          <w:rtl/>
        </w:rPr>
        <w:t>דהרא"ש בתשו' חולק על הריב"ש, אך הש"ך</w:t>
      </w:r>
      <w:r>
        <w:rPr>
          <w:sz w:val="16"/>
          <w:szCs w:val="16"/>
          <w:rtl/>
        </w:rPr>
        <w:t xml:space="preserve"> (סקע"ז)</w:t>
      </w:r>
      <w:r>
        <w:rPr>
          <w:rtl/>
        </w:rPr>
        <w:t xml:space="preserve"> כתב דהרא"ש אינו חולק כלל, דמיירי כשידוע שלא היה שלישי אחר, רק אלו הג' שחתומים בו, וע"ש בתשובת הרא"ש ותראה שכן הוא, ולא הזכיר שם כלל דלא תלינן שג' אחרים היו.</w:t>
      </w:r>
    </w:p>
  </w:footnote>
  <w:footnote w:id="3915">
    <w:p w14:paraId="3F67C693" w14:textId="77777777" w:rsidR="0013116F" w:rsidRDefault="0013116F" w:rsidP="001D49D4">
      <w:pPr>
        <w:pStyle w:val="a9"/>
        <w:rPr>
          <w:rtl/>
        </w:rPr>
      </w:pPr>
      <w:r>
        <w:rPr>
          <w:rStyle w:val="ab"/>
        </w:rPr>
        <w:footnoteRef/>
      </w:r>
      <w:r>
        <w:rPr>
          <w:rtl/>
        </w:rPr>
        <w:t xml:space="preserve"> </w:t>
      </w:r>
      <w:r>
        <w:rPr>
          <w:rFonts w:hint="cs"/>
          <w:rtl/>
        </w:rPr>
        <w:t>וכן הכשיר ה</w:t>
      </w:r>
      <w:r>
        <w:rPr>
          <w:rtl/>
        </w:rPr>
        <w:t xml:space="preserve">רא"ש </w:t>
      </w:r>
      <w:r>
        <w:rPr>
          <w:sz w:val="16"/>
          <w:szCs w:val="16"/>
          <w:rtl/>
        </w:rPr>
        <w:t>(כלל ס סי' ד)</w:t>
      </w:r>
      <w:r>
        <w:rPr>
          <w:rtl/>
        </w:rPr>
        <w:t>.</w:t>
      </w:r>
    </w:p>
  </w:footnote>
  <w:footnote w:id="3916">
    <w:p w14:paraId="0B39D10B" w14:textId="77777777" w:rsidR="0013116F" w:rsidRDefault="0013116F" w:rsidP="001D49D4">
      <w:pPr>
        <w:pStyle w:val="a9"/>
      </w:pPr>
      <w:r>
        <w:rPr>
          <w:rStyle w:val="ab"/>
        </w:rPr>
        <w:footnoteRef/>
      </w:r>
      <w:r>
        <w:rPr>
          <w:rtl/>
        </w:rPr>
        <w:t xml:space="preserve"> ובסי' שי"ח</w:t>
      </w:r>
      <w:r>
        <w:rPr>
          <w:sz w:val="16"/>
          <w:szCs w:val="16"/>
          <w:rtl/>
        </w:rPr>
        <w:t xml:space="preserve"> (הביאו גם הב"י </w:t>
      </w:r>
      <w:r>
        <w:rPr>
          <w:sz w:val="14"/>
          <w:szCs w:val="14"/>
          <w:rtl/>
        </w:rPr>
        <w:t>[סע' כח]</w:t>
      </w:r>
      <w:r>
        <w:rPr>
          <w:sz w:val="16"/>
          <w:szCs w:val="16"/>
          <w:rtl/>
        </w:rPr>
        <w:t xml:space="preserve">) </w:t>
      </w:r>
      <w:r>
        <w:rPr>
          <w:rtl/>
        </w:rPr>
        <w:t>כ' הריב"ש לענין שליחות גט דאע"פ שמזכיר בשטר שליחות שהם עדים ואין מזכיר שהיו ב"ד - אין חשש בזה, לפי שכבר נראה מתוך לשונם שהיו ג' וכבר הם ב"ד אלא שהם חתומים עתה עדים על מה שנעשה בפניהם עכ"ל.</w:t>
      </w:r>
    </w:p>
  </w:footnote>
  <w:footnote w:id="3917">
    <w:p w14:paraId="44154C17" w14:textId="77777777" w:rsidR="0013116F" w:rsidRDefault="0013116F" w:rsidP="001D49D4">
      <w:pPr>
        <w:pStyle w:val="a9"/>
        <w:rPr>
          <w:rtl/>
        </w:rPr>
      </w:pPr>
      <w:r>
        <w:rPr>
          <w:rStyle w:val="ab"/>
        </w:rPr>
        <w:footnoteRef/>
      </w:r>
      <w:r>
        <w:rPr>
          <w:rtl/>
        </w:rPr>
        <w:t xml:space="preserve"> כשרוצים לשלוח הקיום והשלישי אינו נמצא, ש"ך (סקע"ה).</w:t>
      </w:r>
    </w:p>
  </w:footnote>
  <w:footnote w:id="3918">
    <w:p w14:paraId="0014F7EF" w14:textId="77777777" w:rsidR="0013116F" w:rsidRDefault="0013116F" w:rsidP="001D49D4">
      <w:pPr>
        <w:pStyle w:val="a9"/>
      </w:pPr>
      <w:r>
        <w:rPr>
          <w:rStyle w:val="ab"/>
        </w:rPr>
        <w:footnoteRef/>
      </w:r>
      <w:r>
        <w:rPr>
          <w:rtl/>
        </w:rPr>
        <w:t xml:space="preserve"> פירוש, בקיום הב"ד היו רגילין לכתוב קדמנא נפק שטר זה, ועל שם זה נקרא הקיום הנפק. וע"ל סי' סה סע' ז, סמ"ע (סקע"א).</w:t>
      </w:r>
    </w:p>
  </w:footnote>
  <w:footnote w:id="3919">
    <w:p w14:paraId="3F783CAE" w14:textId="77777777" w:rsidR="0013116F" w:rsidRDefault="0013116F" w:rsidP="001D49D4">
      <w:pPr>
        <w:pStyle w:val="a9"/>
        <w:rPr>
          <w:rtl/>
        </w:rPr>
      </w:pPr>
      <w:r>
        <w:rPr>
          <w:rStyle w:val="ab"/>
        </w:rPr>
        <w:footnoteRef/>
      </w:r>
      <w:r>
        <w:rPr>
          <w:rtl/>
        </w:rPr>
        <w:t xml:space="preserve"> לשון הריב"ש </w:t>
      </w:r>
      <w:r>
        <w:rPr>
          <w:sz w:val="16"/>
          <w:szCs w:val="16"/>
          <w:rtl/>
        </w:rPr>
        <w:t xml:space="preserve">(סי' תיג-תטו) </w:t>
      </w:r>
      <w:r>
        <w:rPr>
          <w:rtl/>
        </w:rPr>
        <w:t xml:space="preserve">כשר דתלינן שזה הקרוב חתם מעצמו לבסוף, או שהניחו ריוח וחתם למעלה כו', ומביאו ב"י מחודש כ"ו. ונראה דהריב"ש לשיטתו אזיל דהסכים שם בסי' תי"ג ובסי' תט"ו להרמב"ן </w:t>
      </w:r>
      <w:r>
        <w:rPr>
          <w:sz w:val="16"/>
          <w:szCs w:val="16"/>
          <w:rtl/>
        </w:rPr>
        <w:t xml:space="preserve">[ב"ב קסב: ד"ה מילאהו] </w:t>
      </w:r>
      <w:r>
        <w:rPr>
          <w:rtl/>
        </w:rPr>
        <w:t xml:space="preserve">דבין נמצא קרוב או פסול חתום בתחילה, או בסוף, תלינן שחתם אח"כ מעצמו. אבל לפי מה שכתב הר"ב בסי' מה סע' יב בהג"ה וכן העליתי שם </w:t>
      </w:r>
      <w:r>
        <w:rPr>
          <w:sz w:val="16"/>
          <w:szCs w:val="16"/>
          <w:rtl/>
        </w:rPr>
        <w:t xml:space="preserve">[סקכ"ג] </w:t>
      </w:r>
      <w:r>
        <w:rPr>
          <w:rtl/>
        </w:rPr>
        <w:t xml:space="preserve">דהעיקר דאינו כשר אא"כ חתום הפסול בתחילה, דאז אמרו, הראשונים רווחא שבקי למאן דקשיש מינייהו, וחתם זה מעצמו כדי להשלים המילוי, משא"כ בחתם לבסוף. א"כ ה"ה הכא. ונראה שלזה כיון הרב כאן בהג"ה במה שכתב והשלישי הקרוב או הפסול חתם אח"כ כמו שנתבאר לעיל סימן מ"ה סעיף י"ב לענין שאר שטרות, ר"ל דדוקא בחתום בתחילה אמרינן הכי כמו בשאר שטרות, ש"ך </w:t>
      </w:r>
      <w:r>
        <w:rPr>
          <w:sz w:val="16"/>
          <w:szCs w:val="16"/>
          <w:rtl/>
        </w:rPr>
        <w:t>(סקע"ו)</w:t>
      </w:r>
      <w:r>
        <w:rPr>
          <w:rtl/>
        </w:rPr>
        <w:t>.</w:t>
      </w:r>
    </w:p>
  </w:footnote>
  <w:footnote w:id="3920">
    <w:p w14:paraId="02BCA32D" w14:textId="77777777" w:rsidR="0013116F" w:rsidRDefault="0013116F" w:rsidP="001D49D4">
      <w:pPr>
        <w:pStyle w:val="a9"/>
      </w:pPr>
      <w:r>
        <w:rPr>
          <w:rStyle w:val="ab"/>
        </w:rPr>
        <w:footnoteRef/>
      </w:r>
      <w:r>
        <w:rPr>
          <w:rtl/>
        </w:rPr>
        <w:t xml:space="preserve"> פירוש, הקיום פסול, אבל השטר נשאר בכשרותו, סמ"ע (סקע"ב).</w:t>
      </w:r>
    </w:p>
  </w:footnote>
  <w:footnote w:id="3921">
    <w:p w14:paraId="19CCACCC" w14:textId="77777777" w:rsidR="0013116F" w:rsidRDefault="0013116F" w:rsidP="001D49D4">
      <w:pPr>
        <w:pStyle w:val="a9"/>
      </w:pPr>
      <w:r>
        <w:rPr>
          <w:rStyle w:val="ab"/>
        </w:rPr>
        <w:footnoteRef/>
      </w:r>
      <w:r>
        <w:rPr>
          <w:rtl/>
        </w:rPr>
        <w:t xml:space="preserve"> היינו כשכתבו אשתמודענא או אתברר לנא, דאז יכול להיות שהיו עדים ודיינים כאחד. אבל אי כתבו אתברר קדמנא, פשיטא דאין לו דין קיום אלא דין עדים. כן הוא בריב"ש שם ומביאו ב"י מחודש כ"א, ש"ך (סקע"ט). וכתב הש"ך עוד (סקע"ח) דבאמת הריב"ש (סי' שפב) לא החליט דין זה רק שכתב שיש לומר כן, ע"ש שצידד בדבר לכאן ולכאן. ובאמת צ"ע לדינא, כיון דכתיב אנחנא סהדי, היאך נאמר שכונתם שהיו עדים ודיינים כאחד, א"כ לא ה"ל לכתוב כלל אנן סהדי, או ה"ל לכתוב אנן סהדי ודייני.</w:t>
      </w:r>
    </w:p>
  </w:footnote>
  <w:footnote w:id="3922">
    <w:p w14:paraId="5C0DD179" w14:textId="77777777" w:rsidR="0013116F" w:rsidRDefault="0013116F" w:rsidP="001D49D4">
      <w:pPr>
        <w:pStyle w:val="a9"/>
        <w:rPr>
          <w:rtl/>
        </w:rPr>
      </w:pPr>
      <w:r>
        <w:rPr>
          <w:rStyle w:val="ab"/>
        </w:rPr>
        <w:footnoteRef/>
      </w:r>
      <w:r>
        <w:rPr>
          <w:rtl/>
        </w:rPr>
        <w:t xml:space="preserve"> כתב הסמ"ע (סקע"ג) וז"ל- בריב"ש סימן שפ"ב כתב הטעם, די"ל שהן עצמן הכירו החתימות והרי הם עדים ובית דין, דגם זה בכלל לא תהיה גדולה שמיעה מראיה וכמ"ש לעיל בסמ"ע סקי"ג, ולא כמ"ש בעיר שושן שם וגם כאן, עכ"ל. ותמהני שהשיג על העיר שושן בזה, שהעיר שושן כתב וז"ל- והרי הם עדים ובית דין וכבר אמרנו דבקיום שטרות קי"ל דעד נעשה דיין, עכ"ל. וכדבריו ממש כתב גם הריב"ש עצמו ומביאו ב"י מחודש כ"א וז"ל- ונעשו עדים ודיינים בבת אחת, דבדרבנן עד נעשה דיין בבת אחת כו' עכ"ל. וכונתו דאי נימא שראו כולם שחתמו ביום בענין דלא תהא שמיעה גדולה מראיה וכמ"ש בסמ"ע, א"כ אינם עדים כלל, ואיך כתבו אנן סהדי, אלא ודאי משום שאפשר שראוהו מתחילה בלילה וכמ"ש בסמ"ע גופיה לעיל סקי"ג, או ששנים הכירו ולא שלשה והוצרכו להעיד בפני השלישי וכה"ג, בענין שנעשו עדים ודיינים בבת אחת, ש"ך (סק"פ).</w:t>
      </w:r>
    </w:p>
  </w:footnote>
  <w:footnote w:id="3923">
    <w:p w14:paraId="1929E4C1" w14:textId="77777777" w:rsidR="0013116F" w:rsidRDefault="0013116F" w:rsidP="001D49D4">
      <w:pPr>
        <w:pStyle w:val="a9"/>
      </w:pPr>
      <w:r>
        <w:rPr>
          <w:rStyle w:val="ab"/>
        </w:rPr>
        <w:footnoteRef/>
      </w:r>
      <w:r>
        <w:rPr>
          <w:rtl/>
        </w:rPr>
        <w:t xml:space="preserve"> </w:t>
      </w:r>
      <w:r>
        <w:rPr>
          <w:rFonts w:hint="cs"/>
          <w:rtl/>
        </w:rPr>
        <w:t>סימן – קודם סהדותו ב'.</w:t>
      </w:r>
    </w:p>
  </w:footnote>
  <w:footnote w:id="3924">
    <w:p w14:paraId="773972C3" w14:textId="77777777" w:rsidR="0013116F" w:rsidRDefault="0013116F" w:rsidP="001D49D4">
      <w:pPr>
        <w:pStyle w:val="a9"/>
      </w:pPr>
      <w:r>
        <w:rPr>
          <w:rStyle w:val="ab"/>
        </w:rPr>
        <w:footnoteRef/>
      </w:r>
      <w:r>
        <w:rPr>
          <w:rtl/>
        </w:rPr>
        <w:t xml:space="preserve"> שני שיטין דפסול אא"כ הרחיק בין העדים לשטר אבל אם הוא בין העדים לקיום הנקרא אשרתא על שם ואישרנוהו וקיימנוהו הכתוב בו כגון שטר שכתב בו הנפק דהיינו אשרתא אפילו הרחיק יותר משני שיטין כשר כדמסיק ואזיל במטשטשו בדיו וסתם ב"ד אטיוטא לא חתימי אלא אעיקרו של שטר, רשב"ם.</w:t>
      </w:r>
    </w:p>
  </w:footnote>
  <w:footnote w:id="3925">
    <w:p w14:paraId="71F49AF2" w14:textId="77777777" w:rsidR="0013116F" w:rsidRDefault="0013116F" w:rsidP="001D49D4">
      <w:pPr>
        <w:pStyle w:val="a9"/>
      </w:pPr>
      <w:r>
        <w:rPr>
          <w:rStyle w:val="ab"/>
        </w:rPr>
        <w:footnoteRef/>
      </w:r>
      <w:r>
        <w:rPr>
          <w:rtl/>
        </w:rPr>
        <w:t xml:space="preserve"> כלומר מלכלכו בדיו ואין יכול לכתוב בו שום זיוף אבל אם בא הנפק לפנינו ויש בו שני שיטין חלק בלא טיאוט פסול הוא שלא נעשה כתיקון חכמים, רשב"ם.</w:t>
      </w:r>
    </w:p>
  </w:footnote>
  <w:footnote w:id="3926">
    <w:p w14:paraId="4FE93CB6" w14:textId="77777777" w:rsidR="0013116F" w:rsidRDefault="0013116F" w:rsidP="001D49D4">
      <w:pPr>
        <w:pStyle w:val="a9"/>
      </w:pPr>
      <w:r>
        <w:rPr>
          <w:rStyle w:val="ab"/>
        </w:rPr>
        <w:footnoteRef/>
      </w:r>
      <w:r>
        <w:rPr>
          <w:rtl/>
        </w:rPr>
        <w:t xml:space="preserve"> ולא אעיקר של שטר, כדאמרי' בגיטין (פז.) חיישינן שמא אשאילת שלום שכתב בשטר חתמו ולא אעיקרו של שטר, הכא נמי כך מעידין בפנינו אטייט בדיו ונמחק כדי שלא יחשדו בבעל השטר, רשב"ם.</w:t>
      </w:r>
    </w:p>
  </w:footnote>
  <w:footnote w:id="3927">
    <w:p w14:paraId="41CAE344" w14:textId="77777777" w:rsidR="0013116F" w:rsidRDefault="0013116F" w:rsidP="001D49D4">
      <w:pPr>
        <w:pStyle w:val="a9"/>
      </w:pPr>
      <w:r>
        <w:rPr>
          <w:rStyle w:val="ab"/>
        </w:rPr>
        <w:footnoteRef/>
      </w:r>
      <w:r>
        <w:rPr>
          <w:rtl/>
        </w:rPr>
        <w:t xml:space="preserve"> אין דרכן לחתום אבל עדים הכל מצויין לחתום ואפי' עמי הארץ ואתי למיחתם אטיוטא, רשב"ם.</w:t>
      </w:r>
    </w:p>
  </w:footnote>
  <w:footnote w:id="3928">
    <w:p w14:paraId="1F7D76AE" w14:textId="77777777" w:rsidR="0013116F" w:rsidRDefault="0013116F" w:rsidP="001D49D4">
      <w:pPr>
        <w:pStyle w:val="a9"/>
      </w:pPr>
      <w:r>
        <w:rPr>
          <w:rStyle w:val="ab"/>
        </w:rPr>
        <w:footnoteRef/>
      </w:r>
      <w:r>
        <w:rPr>
          <w:rtl/>
        </w:rPr>
        <w:t xml:space="preserve"> לשטר העליון לגמרי ומחיק ליה לטיוטא וכתב הוא והלוואתו ועדיו מזוייפין על המחק, רשב"ם.</w:t>
      </w:r>
    </w:p>
  </w:footnote>
  <w:footnote w:id="3929">
    <w:p w14:paraId="2B3EB5EC" w14:textId="77777777" w:rsidR="0013116F" w:rsidRDefault="0013116F" w:rsidP="001D49D4">
      <w:pPr>
        <w:pStyle w:val="a9"/>
      </w:pPr>
      <w:r>
        <w:rPr>
          <w:rStyle w:val="ab"/>
        </w:rPr>
        <w:footnoteRef/>
      </w:r>
      <w:r>
        <w:rPr>
          <w:rtl/>
        </w:rPr>
        <w:t xml:space="preserve"> כלומר כל שטר שיש בו הנפק והוא ועדיו על המחק לא סמכינן אאשרתא ולא תתקיים אלא בהכרת ידי עדים הכתובים על המחק והלכך הרחיק שני שיטין את האשרתא מן העדים מלמעלה וטייטו כשר וסמכינן אאשרתא דהא לא כתיבי הוא ועדיו על המחק דנימא כי האי גוונא אין מקיימין ובית דין אטיוטא לא חתימי אלא אעיקר השטר הלכך כשר השטר והאשרתא, רשב"ם.</w:t>
      </w:r>
    </w:p>
  </w:footnote>
  <w:footnote w:id="3930">
    <w:p w14:paraId="1FD5E7DE" w14:textId="77777777" w:rsidR="0013116F" w:rsidRDefault="0013116F" w:rsidP="001D49D4">
      <w:pPr>
        <w:pStyle w:val="a9"/>
      </w:pPr>
      <w:r>
        <w:rPr>
          <w:rStyle w:val="ab"/>
        </w:rPr>
        <w:footnoteRef/>
      </w:r>
      <w:r>
        <w:rPr>
          <w:rtl/>
        </w:rPr>
        <w:t xml:space="preserve"> הרחיק את העדים כשיעור שני שיטין פסול, רשב"ם.</w:t>
      </w:r>
    </w:p>
  </w:footnote>
  <w:footnote w:id="3931">
    <w:p w14:paraId="6C2CEDE9" w14:textId="77777777" w:rsidR="0013116F" w:rsidRDefault="0013116F" w:rsidP="001D49D4">
      <w:pPr>
        <w:pStyle w:val="a9"/>
      </w:pPr>
      <w:r>
        <w:rPr>
          <w:rStyle w:val="ab"/>
        </w:rPr>
        <w:footnoteRef/>
      </w:r>
      <w:r>
        <w:rPr>
          <w:rtl/>
        </w:rPr>
        <w:t xml:space="preserve"> </w:t>
      </w:r>
      <w:r>
        <w:rPr>
          <w:rFonts w:hint="cs"/>
          <w:rtl/>
        </w:rPr>
        <w:t>ועיין לקמן שנחלקו המפרשים במה חלק רבי יוחנן על רב, האם רק על כמה ירחיק ויפסל (לרב – ב' שיטין, ולרבי יוחנן – אפילו  שיטה אחת), או שחולק גם על מה שהכשיר רב כשטייטו את הריוח.</w:t>
      </w:r>
    </w:p>
  </w:footnote>
  <w:footnote w:id="3932">
    <w:p w14:paraId="12B001AD" w14:textId="77777777" w:rsidR="0013116F" w:rsidRDefault="0013116F" w:rsidP="001D49D4">
      <w:pPr>
        <w:pStyle w:val="a9"/>
        <w:rPr>
          <w:rtl/>
        </w:rPr>
      </w:pPr>
      <w:r>
        <w:rPr>
          <w:rStyle w:val="ab"/>
        </w:rPr>
        <w:footnoteRef/>
      </w:r>
      <w:r>
        <w:rPr>
          <w:rtl/>
        </w:rPr>
        <w:t xml:space="preserve"> שהרי"ף </w:t>
      </w:r>
      <w:r>
        <w:rPr>
          <w:sz w:val="16"/>
          <w:szCs w:val="16"/>
          <w:rtl/>
        </w:rPr>
        <w:t xml:space="preserve">(עה:) </w:t>
      </w:r>
      <w:r>
        <w:rPr>
          <w:rtl/>
        </w:rPr>
        <w:t xml:space="preserve">והרא"ש </w:t>
      </w:r>
      <w:r>
        <w:rPr>
          <w:sz w:val="16"/>
          <w:szCs w:val="16"/>
          <w:rtl/>
        </w:rPr>
        <w:t xml:space="preserve">(סו"ס ד) </w:t>
      </w:r>
      <w:r>
        <w:rPr>
          <w:rtl/>
        </w:rPr>
        <w:t xml:space="preserve">לא הזכירו כלל המשא ומתן הנאמר על דברי רב, דסבירא להו דרבי יוחנן אכל מאי דאיתמר אליבא דרב פליג, וא"כ אפילו בי דינא אמרינן דחתמי אטיוטא. וכ"כ התוס' </w:t>
      </w:r>
      <w:r>
        <w:rPr>
          <w:sz w:val="16"/>
          <w:szCs w:val="16"/>
          <w:rtl/>
        </w:rPr>
        <w:t xml:space="preserve">(קסג. ד"ה שטר) </w:t>
      </w:r>
      <w:r>
        <w:rPr>
          <w:rtl/>
        </w:rPr>
        <w:t xml:space="preserve">לאחד מהתירוצין, וכ"כ הג"א </w:t>
      </w:r>
      <w:r>
        <w:rPr>
          <w:sz w:val="16"/>
          <w:szCs w:val="16"/>
          <w:rtl/>
        </w:rPr>
        <w:t xml:space="preserve">(שם) </w:t>
      </w:r>
      <w:r>
        <w:rPr>
          <w:rtl/>
        </w:rPr>
        <w:t>בשם ר"י, ב"י. וכן נראה לי דעת רשב"ם (קסג: ד"ה אלא בין העדים). וכתב הה"מ (פכ"ז ה"ז) שכן דעת הרשב"א. וכתב הדרישה (אות כח) דלית בזה שום פלוגתא וגם הרי"ף והרא"ש סבירא להו כשיטת הרמב"ם ורבינו וכתירוצא בתרא שכתבו התוספות הנ"ל, ע"ש.</w:t>
      </w:r>
    </w:p>
  </w:footnote>
  <w:footnote w:id="3933">
    <w:p w14:paraId="053D1168" w14:textId="77777777" w:rsidR="0013116F" w:rsidRDefault="0013116F" w:rsidP="001D49D4">
      <w:pPr>
        <w:pStyle w:val="a9"/>
      </w:pPr>
      <w:r>
        <w:rPr>
          <w:rStyle w:val="ab"/>
        </w:rPr>
        <w:footnoteRef/>
      </w:r>
      <w:r>
        <w:rPr>
          <w:rtl/>
        </w:rPr>
        <w:t xml:space="preserve"> </w:t>
      </w:r>
      <w:r>
        <w:rPr>
          <w:rFonts w:hint="cs"/>
          <w:rtl/>
        </w:rPr>
        <w:t xml:space="preserve">וז"ל- </w:t>
      </w:r>
      <w:r>
        <w:rPr>
          <w:rtl/>
        </w:rPr>
        <w:t>אם הרחיקוהו ומלאוהו טיוטא כשר, דב"ד לא חתימי אטיוטא.</w:t>
      </w:r>
    </w:p>
  </w:footnote>
  <w:footnote w:id="3934">
    <w:p w14:paraId="12D1882B" w14:textId="77777777" w:rsidR="0013116F" w:rsidRDefault="0013116F" w:rsidP="001D49D4">
      <w:pPr>
        <w:pStyle w:val="a9"/>
      </w:pPr>
      <w:r>
        <w:rPr>
          <w:rStyle w:val="ab"/>
        </w:rPr>
        <w:footnoteRef/>
      </w:r>
      <w:r>
        <w:rPr>
          <w:rtl/>
        </w:rPr>
        <w:t xml:space="preserve"> אפילו קאמר, וכל שכן בשיטה אחת כשמלא אותה שריטות, וזה פשוט לפי שיטתו, הה"מ. </w:t>
      </w:r>
      <w:r>
        <w:rPr>
          <w:color w:val="E36C0A" w:themeColor="accent6" w:themeShade="BF"/>
          <w:rtl/>
        </w:rPr>
        <w:t>(וכ"כ בשו"ע)</w:t>
      </w:r>
    </w:p>
  </w:footnote>
  <w:footnote w:id="3935">
    <w:p w14:paraId="0B6194BE" w14:textId="77777777" w:rsidR="0013116F" w:rsidRDefault="0013116F" w:rsidP="001D49D4">
      <w:pPr>
        <w:pStyle w:val="a9"/>
        <w:rPr>
          <w:rtl/>
        </w:rPr>
      </w:pPr>
      <w:r>
        <w:rPr>
          <w:rStyle w:val="ab"/>
        </w:rPr>
        <w:footnoteRef/>
      </w:r>
      <w:r>
        <w:rPr>
          <w:rtl/>
        </w:rPr>
        <w:t xml:space="preserve"> הב"י כתב שיש שני דרכים לפרש כיצד פסק הרמב"ם (מלוה פכ"ז ה"ו-ז). </w:t>
      </w:r>
      <w:r>
        <w:rPr>
          <w:u w:val="single"/>
          <w:rtl/>
        </w:rPr>
        <w:t>דרך אחת</w:t>
      </w:r>
      <w:r>
        <w:rPr>
          <w:rtl/>
        </w:rPr>
        <w:t xml:space="preserve">, שהרמב"ם סובר דלא פליגי רב ורבי יוחנן אלא בשטר הבא הוא ועדיו בשטה אחת, דלרב אם הרחיק שטה אחת כשר בלא טיוטא, דליכא למיחש דלמא גייז לעילאי וכתב הוא ועדיו בשטה אחת, דשטר הבא הוא ועדיו בשטה אחת פסול, ולרבי יוחנן כשר, הילכך הרחיק שטה אחת בלא שריטות פסול, אבל בהרחיק הקיום שני שיטין לכו"ע אי מטייט ליה כשר. </w:t>
      </w:r>
      <w:r>
        <w:rPr>
          <w:u w:val="single"/>
          <w:rtl/>
        </w:rPr>
        <w:t>דרך שניה</w:t>
      </w:r>
      <w:r>
        <w:rPr>
          <w:rtl/>
        </w:rPr>
        <w:t>, דסבירא ליה כתירוץ שני שכתבו התוס', דלא פליגי, אלא רב מיירי בטיוטא ורבי יוחנן מיירי בלא טיוטא, ולפיכך כתב בפכ"ז ממלוה ולוה שאם טייטו כשר דבי דינא לא חתמי אטיוטא.</w:t>
      </w:r>
    </w:p>
  </w:footnote>
  <w:footnote w:id="3936">
    <w:p w14:paraId="3993FC90" w14:textId="77777777" w:rsidR="0013116F" w:rsidRDefault="0013116F" w:rsidP="001D49D4">
      <w:pPr>
        <w:pStyle w:val="a9"/>
        <w:rPr>
          <w:rtl/>
        </w:rPr>
      </w:pPr>
      <w:r>
        <w:rPr>
          <w:rStyle w:val="ab"/>
        </w:rPr>
        <w:footnoteRef/>
      </w:r>
      <w:r>
        <w:rPr>
          <w:rtl/>
        </w:rPr>
        <w:t xml:space="preserve"> </w:t>
      </w:r>
      <w:r>
        <w:rPr>
          <w:rFonts w:hint="cs"/>
          <w:rtl/>
        </w:rPr>
        <w:t>וכתב הב"י ד</w:t>
      </w:r>
      <w:r>
        <w:rPr>
          <w:rtl/>
        </w:rPr>
        <w:t xml:space="preserve">כן כתב הרמב"ם בפרק הנזכר, עכ"ל. וכתב הה"מ </w:t>
      </w:r>
      <w:r>
        <w:rPr>
          <w:sz w:val="16"/>
          <w:szCs w:val="16"/>
          <w:rtl/>
        </w:rPr>
        <w:t xml:space="preserve">(פכ"ז ממלוה ה"ז) </w:t>
      </w:r>
      <w:r>
        <w:rPr>
          <w:rtl/>
        </w:rPr>
        <w:t xml:space="preserve">על דברי הרמב"ם וז"ל- ושריטות אלו הוא פירוש לטיוטא, ויפה כיון, שאין לפרש שממלא כל החלק דיו, שא"כ יש לחוש שמא שטר אחר היה שם וקיימוהו, והוא כתב על גבו שטר זה ומילא זה בדיו, וכן פירשו ז"ל, עכ"ל. וכ"כ הרמב"ן בחידושיו </w:t>
      </w:r>
      <w:r>
        <w:rPr>
          <w:sz w:val="16"/>
          <w:szCs w:val="16"/>
          <w:rtl/>
        </w:rPr>
        <w:t>[ב"ב קסג. ד"ה פי' טיוטא]</w:t>
      </w:r>
      <w:r>
        <w:rPr>
          <w:rtl/>
        </w:rPr>
        <w:t xml:space="preserve">, וכ"כ התוס' </w:t>
      </w:r>
      <w:r>
        <w:rPr>
          <w:sz w:val="16"/>
          <w:szCs w:val="16"/>
          <w:rtl/>
        </w:rPr>
        <w:t>[דלעיל]</w:t>
      </w:r>
      <w:r>
        <w:rPr>
          <w:rtl/>
        </w:rPr>
        <w:t xml:space="preserve">. וכ"כ בהג"א </w:t>
      </w:r>
      <w:r>
        <w:rPr>
          <w:sz w:val="16"/>
          <w:szCs w:val="16"/>
          <w:rtl/>
        </w:rPr>
        <w:t>[שם פ"י סי' ד]</w:t>
      </w:r>
      <w:r>
        <w:rPr>
          <w:rtl/>
        </w:rPr>
        <w:t xml:space="preserve">. אך הש"ך </w:t>
      </w:r>
      <w:r>
        <w:rPr>
          <w:sz w:val="16"/>
          <w:szCs w:val="16"/>
          <w:rtl/>
        </w:rPr>
        <w:t xml:space="preserve">(סקפ"ו) </w:t>
      </w:r>
      <w:r>
        <w:rPr>
          <w:rtl/>
        </w:rPr>
        <w:t xml:space="preserve">כתב דדוחק לפרש טיוטא – שריטות, דטיוטא משמע מלא דיו, וכן משמע להדיא מפירוש רשב"ם שכתב </w:t>
      </w:r>
      <w:r>
        <w:rPr>
          <w:sz w:val="16"/>
          <w:szCs w:val="16"/>
          <w:rtl/>
        </w:rPr>
        <w:t xml:space="preserve">[שם בד"ה ומשני] </w:t>
      </w:r>
      <w:r>
        <w:rPr>
          <w:rtl/>
        </w:rPr>
        <w:t xml:space="preserve">דמטייט ליה, כלומר מלכלכו בדיו כו', ובד"ה אטיוטא חתימי וכו', מעידים בפנינו אטייט בדיו ונמחק כדי שלא יחשדו בבעל השטר, ע"כ. וכ"כ הנמוק"י </w:t>
      </w:r>
      <w:r>
        <w:rPr>
          <w:sz w:val="16"/>
          <w:szCs w:val="16"/>
          <w:rtl/>
        </w:rPr>
        <w:t>[שם עה: מדפה"ר ד"ה תניא]</w:t>
      </w:r>
      <w:r>
        <w:rPr>
          <w:rtl/>
        </w:rPr>
        <w:t xml:space="preserve"> ומביאו ב"י לעיל סי' מה סע' ז. ולא קשיא מה שהקשו התוס' והה"מ, דלא חיישינן שמא ימחוק כל השטר והעדים, דלעולם לא חיישינן שמא ימחוק השטר עם העדים, דשמא יתברר אח"כ הזיוף ע"י דייני הקיום ונמצא יפסיד שטרו לגמרי שלא יהיה לו שטר בעדים, וכמ"ש לקמן סקפ"ט, כן נ"ל ברור. ונראה דגם הרמב"ם שכתב שריטות של דיו, אינו משום קושית התוס' והה"מ, דהא כתבתי לקמן סקפ"ט דס"ל דלא חיישינן שמחק שטר עם העדים, אלא דפוסל מטעם שמא היה כתוב שם דבר של חובה, ועל כן הוא מפרש טיוטא, שריטות. מיהו לפי מה שכתבתי דטיוטא היינו אפילו כולו דיו, י"ל דלא היו רגילים לכתוב שום דבר חובה אחר חתימת העדים, דנהי דאם כתוב שובר לאחר חיתום שטרות כשר כמ"ש לקמן סי' ס"ה סקע"א, מיהו לא חיישינן שמא היה שם שובר שנפרע מקצתו או דבר של חובה, כיון דלא רגילי אינשי לכתוב אחר חיתום שטרות, וכן מוכח מדברי התוס' והה"מ דיש לומר כן, דאל"כ היה להם להוכיח מכח זה דמיירי בשריטות.</w:t>
      </w:r>
    </w:p>
  </w:footnote>
  <w:footnote w:id="3937">
    <w:p w14:paraId="7D4CFB59" w14:textId="77777777" w:rsidR="0013116F" w:rsidRDefault="0013116F" w:rsidP="001D49D4">
      <w:pPr>
        <w:pStyle w:val="a9"/>
      </w:pPr>
      <w:r>
        <w:rPr>
          <w:rStyle w:val="ab"/>
        </w:rPr>
        <w:footnoteRef/>
      </w:r>
      <w:r>
        <w:rPr>
          <w:rtl/>
        </w:rPr>
        <w:t xml:space="preserve"> </w:t>
      </w:r>
      <w:r>
        <w:rPr>
          <w:rFonts w:hint="cs"/>
          <w:rtl/>
        </w:rPr>
        <w:t>וכ"כ הה"מ בפרק הנזכר (שם) בשם המפרשים, וכ"כ בתשובות להרמב"ן סימן צ"א, ונכון הוא, ב"י.</w:t>
      </w:r>
    </w:p>
  </w:footnote>
  <w:footnote w:id="3938">
    <w:p w14:paraId="0D5379C6" w14:textId="77777777" w:rsidR="0013116F" w:rsidRDefault="0013116F" w:rsidP="001D49D4">
      <w:pPr>
        <w:pStyle w:val="a9"/>
        <w:rPr>
          <w:rtl/>
        </w:rPr>
      </w:pPr>
      <w:r>
        <w:rPr>
          <w:rStyle w:val="ab"/>
        </w:rPr>
        <w:footnoteRef/>
      </w:r>
      <w:r>
        <w:rPr>
          <w:rtl/>
        </w:rPr>
        <w:t xml:space="preserve"> וכתב הה"מ שיכתבו בקיום שהשטר כתוב מאחורי הקיום וכנגדו ואז אין לחוש לכלום.</w:t>
      </w:r>
    </w:p>
  </w:footnote>
  <w:footnote w:id="3939">
    <w:p w14:paraId="56735EE5" w14:textId="77777777" w:rsidR="0013116F" w:rsidRDefault="0013116F" w:rsidP="001D49D4">
      <w:pPr>
        <w:pStyle w:val="a9"/>
        <w:rPr>
          <w:rtl/>
        </w:rPr>
      </w:pPr>
      <w:r>
        <w:rPr>
          <w:rStyle w:val="ab"/>
        </w:rPr>
        <w:footnoteRef/>
      </w:r>
      <w:r>
        <w:rPr>
          <w:rtl/>
        </w:rPr>
        <w:t xml:space="preserve"> הביאם הה"מ, וכתב על דבריהם- ואיני יודע איזה סימן מובהק יועיל אא"כ יכתבו הדיינים מחתימת ידיהם איזה דבר בגוף השטר ואם יזייף נדמה כתיבה לכתיבה ולא תדמה, אבל כל שאר הסימנין הרי הן יכולין להזדייף. ודברי הרמב"ם עיקר.</w:t>
      </w:r>
    </w:p>
  </w:footnote>
  <w:footnote w:id="3940">
    <w:p w14:paraId="230C5959" w14:textId="77777777" w:rsidR="0013116F" w:rsidRDefault="0013116F" w:rsidP="001D49D4">
      <w:pPr>
        <w:pStyle w:val="a9"/>
        <w:rPr>
          <w:rtl/>
        </w:rPr>
      </w:pPr>
      <w:r>
        <w:rPr>
          <w:rStyle w:val="ab"/>
        </w:rPr>
        <w:footnoteRef/>
      </w:r>
      <w:r>
        <w:rPr>
          <w:rtl/>
        </w:rPr>
        <w:t xml:space="preserve"> היינו מן הצד על הגליון, וכותבין בו שכותבים הקיום על הגליון בארכו, ושהעדים חתומים בו בשטר למטה ברחבו, או שעושים שריטות בצד השני של הגליון מאחוריו, דאל"כ יש לחוש שיחתוך הקיום ויעשה שטר אחר עם אותן עדים בצד שני של הגליון שהיה מן הצד, ויכתוב אחר חתימת העדים אנחנו דייני דחתימי מעבר לדף מקיימים שטרא דנא דכתוב מאחוריו, ש"ך (סקפ"א).</w:t>
      </w:r>
    </w:p>
  </w:footnote>
  <w:footnote w:id="3941">
    <w:p w14:paraId="2BCC8339" w14:textId="77777777" w:rsidR="0013116F" w:rsidRDefault="0013116F" w:rsidP="001D49D4">
      <w:pPr>
        <w:pStyle w:val="a9"/>
      </w:pPr>
      <w:r>
        <w:rPr>
          <w:rStyle w:val="ab"/>
        </w:rPr>
        <w:footnoteRef/>
      </w:r>
      <w:r>
        <w:rPr>
          <w:rtl/>
        </w:rPr>
        <w:t xml:space="preserve"> נראה שצריך שיכתבו הב"ד שהקיום הוא מאחוריו, או שלא יתחילו הקיום בראש הנייר מאחוריו רק אחר ריוח שיטה אחת, דאל"כ קיום מאחוריו פסול דיש לחוש שמא קיימו שטר דעלמא למטה כפשוטו, וחתך השטר וכתב שטר אחר מאחוריו. וכשהקיום הוא רחוק מראש הנייר אין לחוש לכך, דא"כ היה בין הקיום ובין העדים ריוח שיטה אחת וזה פסול, וא"כ ודאי דהדיינים לא הוה עבדי הכי, ש"ך (סקפ"ב).</w:t>
      </w:r>
    </w:p>
  </w:footnote>
  <w:footnote w:id="3942">
    <w:p w14:paraId="5FD2FE04" w14:textId="77777777" w:rsidR="0013116F" w:rsidRDefault="0013116F" w:rsidP="001D49D4">
      <w:pPr>
        <w:pStyle w:val="a9"/>
      </w:pPr>
      <w:r>
        <w:rPr>
          <w:rStyle w:val="ab"/>
        </w:rPr>
        <w:footnoteRef/>
      </w:r>
      <w:r>
        <w:rPr>
          <w:rtl/>
        </w:rPr>
        <w:t xml:space="preserve"> פירוש, לאפוקי על הגליון. אלא דוקא כנגד כתב שבשטר, ולאו דוקא נגד העדים, סמ"ע (סקע"ד). הביאו הש"ך (סקפ"ג) וכתב דלא אתא לאפוקי על הגליון לעולם, דפשיטא דכשהקיום הוא מאחוריו על הגליון וכותבים בפירוש בקיום אנחנו מקיימים את העדים החתומים על השטר הזה בשולי השטר שארכו כך וכך, דמועיל. אלא אתא לאפוקי כשיקיימו סתם ויכתבו שהם מקיימים העדים שחתומים מעבר לדף, אז בעינן כנגד הכתב, דאל"כ יש לחוש שיחתוך הקיום עם הגליון ויכתוב שטר אחר עם אותם עדים בצד השני של הגליון. וה"ה אם עשו שריטות של דיו בצד השני של גליון, מועיל הקיום על הגליון אף שכתוב הקיום סתם על העדים שמעבר לדף. </w:t>
      </w:r>
    </w:p>
  </w:footnote>
  <w:footnote w:id="3943">
    <w:p w14:paraId="3C67D744" w14:textId="77777777" w:rsidR="0013116F" w:rsidRDefault="0013116F" w:rsidP="001D49D4">
      <w:pPr>
        <w:pStyle w:val="a9"/>
      </w:pPr>
      <w:r>
        <w:rPr>
          <w:rStyle w:val="ab"/>
        </w:rPr>
        <w:footnoteRef/>
      </w:r>
      <w:r>
        <w:rPr>
          <w:rtl/>
        </w:rPr>
        <w:t xml:space="preserve"> ולאפוקי הגמ"ר (סוף ב"ב) דכתב דמלפף ביה ניירא וכתב ביה סימן. וכ"כ המ"מ שם בשם גאון. וכתב עליו, דא"א לעשות סימן שלא יזייף, עכ"ל סמ"ע [סקע"ה]. ובאמת גם מדברי הרב בהג"ה ובד"מ [סע' כה] נראה כן. אבל לי נראה כדברי הגאון, וחלילה לדחות דברי גאון בלי שום ראיה, דכבר ידוע שאין לחלוק על הגאון אם לא בראיה ברורה מן הש"ס, וכל שכן כאן דהבהעי"ט [קיום נ"ג ע"א] והגמ"ר הביאו דברי הגאון לפסק הלכה, וכן רי"ו [סוף נ"ב ח"ח] הביא דברי בהעי"ט בשם גאון לפסק הלכה. ומה שכתב המ"מ (פכ"ז ממלוה ה"ו) ומביאו ב"י [מחודש ל'], ודברי הרמב"ם עיקר. לפי עניות דעתי נראה דאף הרמב"ם מודה להגאון, אלא דהרמב"ם מיירי כשיש חלק מאחוריו אם כן פשיטא דעדיף טפי לכתוב הקיום מאחוריו, והגאון מיירי היכא דליכא חלק בנייר כלל, כגון שהנייר כתוב מכל צדדיו פנים ואחור, אז מלפף ביה ניירא וכותב בקיום סימן מובהק. וסימן מובהק הוא כמו שכתב המגיד משנה, דהיינו, שיכתבו הדיינים מחתימת ידיהם איזה דבר בגוף השטר, ויכתבו בקיום שאותן עדים שחתומים על השטר שנכתב איזה דבר כזה בגוף השטר הם מקויימים, ואם יזייף נדמה כתיבה לכתיבה ולא תידמה. אבל כל שאר הסימנים הרי הן יכולים להזדייף כיון שהשטר והקיום הוא תחת ידו, ובזה ודאי דברי הגאון ברורים בטעמן, ועיקר, ש"ך (סקפ"ד).</w:t>
      </w:r>
    </w:p>
  </w:footnote>
  <w:footnote w:id="3944">
    <w:p w14:paraId="76BA102F" w14:textId="77777777" w:rsidR="0013116F" w:rsidRDefault="0013116F" w:rsidP="001D49D4">
      <w:pPr>
        <w:pStyle w:val="a9"/>
        <w:rPr>
          <w:rtl/>
        </w:rPr>
      </w:pPr>
      <w:r>
        <w:rPr>
          <w:rStyle w:val="ab"/>
        </w:rPr>
        <w:footnoteRef/>
      </w:r>
      <w:r>
        <w:rPr>
          <w:rtl/>
        </w:rPr>
        <w:t xml:space="preserve"> נראה היינו דוקא כשהקיום כתוב בסתם, אבל אם כתוב בקיום שהעדים חתומים זה תחת זה, כשר הקיום, ש"ך (סקפ"ה).</w:t>
      </w:r>
    </w:p>
  </w:footnote>
  <w:footnote w:id="3945">
    <w:p w14:paraId="5B0BDC06" w14:textId="77777777" w:rsidR="0013116F" w:rsidRDefault="0013116F" w:rsidP="001D49D4">
      <w:pPr>
        <w:pStyle w:val="a9"/>
      </w:pPr>
      <w:r>
        <w:rPr>
          <w:rStyle w:val="ab"/>
        </w:rPr>
        <w:footnoteRef/>
      </w:r>
      <w:r>
        <w:rPr>
          <w:rtl/>
        </w:rPr>
        <w:t xml:space="preserve"> דדוקא בעדים החתומים על השטר דהן בעלי בתים דעלמא, בהן אמרו דאין רגילין לדקדק ומניחין שיעור שיטה אחת ושני אוירין ריוח בין חתימתן להשטר, וכמו שכתבו הטור והמחבר בסי' מה </w:t>
      </w:r>
      <w:r>
        <w:rPr>
          <w:sz w:val="16"/>
          <w:szCs w:val="16"/>
          <w:rtl/>
        </w:rPr>
        <w:t>[טור סע' ח ומחבר סע' ו]</w:t>
      </w:r>
      <w:r>
        <w:rPr>
          <w:rtl/>
        </w:rPr>
        <w:t xml:space="preserve">, משא"כ בב"ד דצריכין לדקדק, סמ"ע </w:t>
      </w:r>
      <w:r>
        <w:rPr>
          <w:sz w:val="16"/>
          <w:szCs w:val="16"/>
          <w:rtl/>
        </w:rPr>
        <w:t>(סקע"ה)</w:t>
      </w:r>
      <w:r>
        <w:rPr>
          <w:rtl/>
        </w:rPr>
        <w:t>.</w:t>
      </w:r>
    </w:p>
  </w:footnote>
  <w:footnote w:id="3946">
    <w:p w14:paraId="7104C33E" w14:textId="77777777" w:rsidR="0013116F" w:rsidRDefault="0013116F" w:rsidP="001D49D4">
      <w:pPr>
        <w:pStyle w:val="a9"/>
        <w:rPr>
          <w:rtl/>
        </w:rPr>
      </w:pPr>
      <w:r>
        <w:rPr>
          <w:rStyle w:val="ab"/>
        </w:rPr>
        <w:footnoteRef/>
      </w:r>
      <w:r>
        <w:rPr>
          <w:rtl/>
        </w:rPr>
        <w:t xml:space="preserve"> אם הטיוטא בקיום אחר כתיבת הקיום קודם חתימת הדיינים - הקיום פסול, משום דאמרי - בי דינא אטיוטא חתמי, והיינו דלא מכשירינן בש"ס ופוסקים אלא בהרחיק בין עדים לאשרתא, ולא בין דיינים לאשרתא, ש"ך (סקפ"ח).</w:t>
      </w:r>
    </w:p>
  </w:footnote>
  <w:footnote w:id="3947">
    <w:p w14:paraId="5EC32565" w14:textId="77777777" w:rsidR="0013116F" w:rsidRDefault="0013116F" w:rsidP="001D49D4">
      <w:pPr>
        <w:pStyle w:val="a9"/>
        <w:rPr>
          <w:rtl/>
        </w:rPr>
      </w:pPr>
      <w:r>
        <w:rPr>
          <w:rStyle w:val="ab"/>
        </w:rPr>
        <w:footnoteRef/>
      </w:r>
      <w:r>
        <w:rPr>
          <w:rtl/>
        </w:rPr>
        <w:t xml:space="preserve"> המחבר לטעמו, שבב"י [סע' כח] כתב שכן נראה לו מדהשמיטו הרי"ף [ב"ב עה: מדפה"ר] והרא"ש [שם פ"י סי' ד] לסוגיא דאיתמר בגמרא עלה דרב, ובדרישה כתבתי שם דנ"ל דלית בזה שום פלוגתא, סמ"ע (סק"פ).</w:t>
      </w:r>
    </w:p>
  </w:footnote>
  <w:footnote w:id="3948">
    <w:p w14:paraId="7F7E87E7" w14:textId="77777777" w:rsidR="0013116F" w:rsidRDefault="0013116F" w:rsidP="001D49D4">
      <w:pPr>
        <w:pStyle w:val="a9"/>
      </w:pPr>
      <w:r>
        <w:rPr>
          <w:rStyle w:val="ab"/>
        </w:rPr>
        <w:footnoteRef/>
      </w:r>
      <w:r>
        <w:rPr>
          <w:rtl/>
        </w:rPr>
        <w:t xml:space="preserve"> </w:t>
      </w:r>
      <w:r>
        <w:rPr>
          <w:rFonts w:hint="cs"/>
          <w:rtl/>
        </w:rPr>
        <w:t>סימן – קודם סהדותו ב'.</w:t>
      </w:r>
    </w:p>
  </w:footnote>
  <w:footnote w:id="3949">
    <w:p w14:paraId="34309E8E" w14:textId="77777777" w:rsidR="0013116F" w:rsidRDefault="0013116F" w:rsidP="001D49D4">
      <w:pPr>
        <w:pStyle w:val="a9"/>
      </w:pPr>
      <w:r>
        <w:rPr>
          <w:rStyle w:val="ab"/>
        </w:rPr>
        <w:footnoteRef/>
      </w:r>
      <w:r>
        <w:rPr>
          <w:rtl/>
        </w:rPr>
        <w:t xml:space="preserve"> לשטר העליון לגמרי ומחיק ליה לטיוטא וכתב הוא והלוואתו ועדיו מזוייפין על המחק, רשב"ם.</w:t>
      </w:r>
    </w:p>
  </w:footnote>
  <w:footnote w:id="3950">
    <w:p w14:paraId="483F8E51" w14:textId="77777777" w:rsidR="0013116F" w:rsidRDefault="0013116F" w:rsidP="001D49D4">
      <w:pPr>
        <w:pStyle w:val="a9"/>
      </w:pPr>
      <w:r>
        <w:rPr>
          <w:rStyle w:val="ab"/>
        </w:rPr>
        <w:footnoteRef/>
      </w:r>
      <w:r>
        <w:rPr>
          <w:rtl/>
        </w:rPr>
        <w:t xml:space="preserve"> כלומר כל שטר שיש בו הנפק והוא ועדיו על המחק לא סמכינן אאשרתא ולא תתקיים אלא בהכרת ידי עדים הכתובים על המחק והלכך הרחיק שני שיטין את האשרתא מן העדים מלמעלה וטייטו כשר וסמכינן אאשרתא דהא לא כתיבי הוא ועדיו על המחק דנימא כי האי גוונא אין מקיימין ובית דין אטיוטא לא חתימי אלא אעיקר השטר הלכך כשר השטר והאשרתא, רשב"ם.</w:t>
      </w:r>
    </w:p>
  </w:footnote>
  <w:footnote w:id="3951">
    <w:p w14:paraId="4943A65F" w14:textId="77777777" w:rsidR="0013116F" w:rsidRDefault="0013116F" w:rsidP="001D49D4">
      <w:pPr>
        <w:pStyle w:val="a9"/>
      </w:pPr>
      <w:r>
        <w:rPr>
          <w:rStyle w:val="ab"/>
        </w:rPr>
        <w:footnoteRef/>
      </w:r>
      <w:r>
        <w:rPr>
          <w:rtl/>
        </w:rPr>
        <w:t xml:space="preserve"> וכתב הב"י דהרמב"ם אזדא לטעמיה דלא פליגי רב ורבי יוחנן אלא בשטר הבא הוא ועדיו בשטה אחת אבל בשאר דברים מודי ליה לרב, ואם כן הא דאמרינן כי האי גוונא אין מקיימין אותו מן העדים שבו וכו' - לכו"ע איתיה </w:t>
      </w:r>
      <w:r>
        <w:rPr>
          <w:sz w:val="16"/>
          <w:szCs w:val="16"/>
          <w:rtl/>
        </w:rPr>
        <w:t>(ויש לתמוה על רבינו למה כתב זה בשם הרמב"ם דהא בגמרא איתיה, ואי משום דמדברי הרי"ף והרא"ש משמע דלא סבירא להו הכי לא כתבה בסתם, גם ההיא דבסמוך (סכ"ח) ובי דינא אטיוטא לא חתמי לא הוה ליה למיכתבה סתם אלא בשם הרמב"ם)</w:t>
      </w:r>
      <w:r>
        <w:rPr>
          <w:rtl/>
        </w:rPr>
        <w:t>.</w:t>
      </w:r>
    </w:p>
  </w:footnote>
  <w:footnote w:id="3952">
    <w:p w14:paraId="43526866" w14:textId="77777777" w:rsidR="0013116F" w:rsidRDefault="0013116F" w:rsidP="001D49D4">
      <w:pPr>
        <w:pStyle w:val="a9"/>
      </w:pPr>
      <w:r>
        <w:rPr>
          <w:rStyle w:val="ab"/>
        </w:rPr>
        <w:footnoteRef/>
      </w:r>
      <w:r>
        <w:rPr>
          <w:rtl/>
        </w:rPr>
        <w:t xml:space="preserve"> מדהוצרך לכתוב שמא היה הקיום רחוק, ולא כתב דבלאו הכי פסול משום דיש לחוש שמא היה כתוב במקום שטר זה הנכתב על המחיקה שטר ועדים אחרים ומחקו וכתב עליו שטר ועדיו והניח הקיום הראשון לקיים זיופיה, ש"מ דהרמב"ם והמחבר איירי בכאן אפילו היה שטר כתוב על נייר שאינו קלף דא"א למחוק כתבו של שטר ולכתוב עליו כתב שטר אחר דלא יהא ניכר, אפ"ה חיישינן שהיה שטר כתוב עליו מלמעלה רחוק מן הקיום וביניהם היה מלא שריטות, ושריטות יכול בקל למחקו ולכתוב במקומו, סמ"ע</w:t>
      </w:r>
      <w:r>
        <w:rPr>
          <w:sz w:val="16"/>
          <w:szCs w:val="16"/>
          <w:rtl/>
        </w:rPr>
        <w:t xml:space="preserve"> (סקפ"א)</w:t>
      </w:r>
      <w:r>
        <w:rPr>
          <w:rtl/>
        </w:rPr>
        <w:t>.</w:t>
      </w:r>
    </w:p>
  </w:footnote>
  <w:footnote w:id="3953">
    <w:p w14:paraId="4B7BDB62" w14:textId="77777777" w:rsidR="0013116F" w:rsidRDefault="0013116F" w:rsidP="001D49D4">
      <w:pPr>
        <w:pStyle w:val="a9"/>
      </w:pPr>
      <w:r>
        <w:rPr>
          <w:rStyle w:val="ab"/>
        </w:rPr>
        <w:footnoteRef/>
      </w:r>
      <w:r>
        <w:rPr>
          <w:rtl/>
        </w:rPr>
        <w:t xml:space="preserve"> גם בזה המחבר לטעמו ע"פ מה שכתב בב"י </w:t>
      </w:r>
      <w:r>
        <w:rPr>
          <w:sz w:val="16"/>
          <w:szCs w:val="16"/>
          <w:rtl/>
        </w:rPr>
        <w:t>[סע' כח, והבאתי לשונו בדרישה שם]</w:t>
      </w:r>
      <w:r>
        <w:rPr>
          <w:rtl/>
        </w:rPr>
        <w:t xml:space="preserve">, וכתבתי שם דנ"ל דאין בזה פלוגתא, סמ"ע </w:t>
      </w:r>
      <w:r>
        <w:rPr>
          <w:sz w:val="16"/>
          <w:szCs w:val="16"/>
          <w:rtl/>
        </w:rPr>
        <w:t>(סקפ"ב)</w:t>
      </w:r>
      <w:r>
        <w:rPr>
          <w:rtl/>
        </w:rPr>
        <w:t>.</w:t>
      </w:r>
    </w:p>
  </w:footnote>
  <w:footnote w:id="3954">
    <w:p w14:paraId="699C1FA2" w14:textId="77777777" w:rsidR="0013116F" w:rsidRDefault="0013116F" w:rsidP="001D49D4">
      <w:pPr>
        <w:pStyle w:val="a9"/>
        <w:rPr>
          <w:rtl/>
        </w:rPr>
      </w:pPr>
      <w:r>
        <w:rPr>
          <w:rStyle w:val="ab"/>
        </w:rPr>
        <w:footnoteRef/>
      </w:r>
      <w:r>
        <w:rPr>
          <w:rtl/>
        </w:rPr>
        <w:t xml:space="preserve"> טעמו כמ"ש בב"י</w:t>
      </w:r>
      <w:r>
        <w:rPr>
          <w:sz w:val="16"/>
          <w:szCs w:val="16"/>
          <w:rtl/>
        </w:rPr>
        <w:t xml:space="preserve"> [סע' כח] </w:t>
      </w:r>
      <w:r>
        <w:rPr>
          <w:rtl/>
        </w:rPr>
        <w:t>בשם יש פוסקים דבי דינא נמי אמרינן אטיוטא חתמי, וא"כ שריטות לפני קיום פסול, וא"כ ודאי לא היה כן. ולפי זה מוכח דאף להרמב"ם לא חיישינן שמא מחק כל השטר וכתב אחר במקומו, דאי תימא דחיישינן, א"כ מנ"ל להמחבר דיש מכשירים לקיימו מדייני הקיום, דילמא נהי דבי דינא נמי אמרינן אטיוטא חתמי, דילמא היה שטר כשר בלא שריטות ומחק כל השטר וכתב אחר במקומו. אלא ודאי כמ"ש לעיל סקפ"ח-פט, ש"ך (סק"צ).</w:t>
      </w:r>
    </w:p>
  </w:footnote>
  <w:footnote w:id="3955">
    <w:p w14:paraId="25766C4F" w14:textId="77777777" w:rsidR="0013116F" w:rsidRDefault="0013116F" w:rsidP="001D49D4">
      <w:pPr>
        <w:pStyle w:val="a9"/>
      </w:pPr>
      <w:r>
        <w:rPr>
          <w:rStyle w:val="ab"/>
        </w:rPr>
        <w:footnoteRef/>
      </w:r>
      <w:r>
        <w:rPr>
          <w:rtl/>
        </w:rPr>
        <w:t xml:space="preserve"> </w:t>
      </w:r>
      <w:r>
        <w:rPr>
          <w:rFonts w:hint="cs"/>
          <w:rtl/>
        </w:rPr>
        <w:t>סימן – קוים טרם נפסל.</w:t>
      </w:r>
    </w:p>
  </w:footnote>
  <w:footnote w:id="3956">
    <w:p w14:paraId="4B25E01A" w14:textId="77777777" w:rsidR="0013116F" w:rsidRDefault="0013116F" w:rsidP="001D49D4">
      <w:pPr>
        <w:pStyle w:val="a9"/>
      </w:pPr>
      <w:r>
        <w:rPr>
          <w:rStyle w:val="ab"/>
        </w:rPr>
        <w:footnoteRef/>
      </w:r>
      <w:r>
        <w:rPr>
          <w:rtl/>
        </w:rPr>
        <w:t xml:space="preserve"> והלא שמא הוא עצמו חתם קיום שקר, רשב"ם.</w:t>
      </w:r>
    </w:p>
  </w:footnote>
  <w:footnote w:id="3957">
    <w:p w14:paraId="07131147" w14:textId="77777777" w:rsidR="0013116F" w:rsidRDefault="0013116F" w:rsidP="001D49D4">
      <w:pPr>
        <w:pStyle w:val="a9"/>
      </w:pPr>
      <w:r>
        <w:rPr>
          <w:rStyle w:val="ab"/>
        </w:rPr>
        <w:footnoteRef/>
      </w:r>
      <w:r>
        <w:rPr>
          <w:rtl/>
        </w:rPr>
        <w:t xml:space="preserve"> והשתא ליכא למיפרך איהו לא מהימן אחריני מהימני, דהני אחריני אכתב ידן הם מעידים ולא אכתב ידו, ושטרא מקיימא וקאי ממילא, רשב"ם.</w:t>
      </w:r>
    </w:p>
  </w:footnote>
  <w:footnote w:id="3958">
    <w:p w14:paraId="018A7D61" w14:textId="77777777" w:rsidR="0013116F" w:rsidRDefault="0013116F" w:rsidP="001D49D4">
      <w:pPr>
        <w:pStyle w:val="a9"/>
        <w:rPr>
          <w:rtl/>
        </w:rPr>
      </w:pPr>
      <w:r>
        <w:rPr>
          <w:rStyle w:val="ab"/>
        </w:rPr>
        <w:footnoteRef/>
      </w:r>
      <w:r>
        <w:rPr>
          <w:rtl/>
        </w:rPr>
        <w:t xml:space="preserve"> התוס' כתבו את מסקנת רשב"ם, וכתבו דאין נראה לר"י, דאינך דיינים גופייהו מי לא מצי למיטעי בההוא גברא אי גזלן הוא אי לא? שהרי אין חותמין אלא על חתימת העדים ואפי' מה שבשטר אין צריכין הדיינים לקרות, אלא ה"פ-...</w:t>
      </w:r>
    </w:p>
  </w:footnote>
  <w:footnote w:id="3959">
    <w:p w14:paraId="38F8A8A3" w14:textId="77777777" w:rsidR="0013116F" w:rsidRDefault="0013116F" w:rsidP="001D49D4">
      <w:pPr>
        <w:pStyle w:val="a9"/>
      </w:pPr>
      <w:r>
        <w:rPr>
          <w:rStyle w:val="ab"/>
        </w:rPr>
        <w:footnoteRef/>
      </w:r>
      <w:r>
        <w:rPr>
          <w:rtl/>
        </w:rPr>
        <w:t xml:space="preserve"> וממה שכתבו הפוסקים גבי היה יודע לו עדות עד שלא נעשה גזלן יתבאר שאם לא ראו חתימתו באותו שטר קודם שנשתמד פסול, ב"י. (וכ"כ הסמ"ע </w:t>
      </w:r>
      <w:r>
        <w:rPr>
          <w:sz w:val="16"/>
          <w:szCs w:val="16"/>
          <w:rtl/>
        </w:rPr>
        <w:t>[סקפ"ד]</w:t>
      </w:r>
      <w:r>
        <w:rPr>
          <w:rtl/>
        </w:rPr>
        <w:t>)</w:t>
      </w:r>
    </w:p>
  </w:footnote>
  <w:footnote w:id="3960">
    <w:p w14:paraId="366A4A1C" w14:textId="77777777" w:rsidR="0013116F" w:rsidRDefault="0013116F" w:rsidP="001D49D4">
      <w:pPr>
        <w:pStyle w:val="a9"/>
        <w:rPr>
          <w:rtl/>
        </w:rPr>
      </w:pPr>
      <w:r>
        <w:rPr>
          <w:rStyle w:val="ab"/>
        </w:rPr>
        <w:footnoteRef/>
      </w:r>
      <w:r>
        <w:rPr>
          <w:rtl/>
        </w:rPr>
        <w:t xml:space="preserve"> כלומר שיום השטר הוא קודם שנעשה גזלן, או שראו השטר קודם שנעשה גזלן, ש"ך (סקצ"א).</w:t>
      </w:r>
    </w:p>
  </w:footnote>
  <w:footnote w:id="3961">
    <w:p w14:paraId="26A9F1C2" w14:textId="77777777" w:rsidR="0013116F" w:rsidRDefault="0013116F" w:rsidP="001D49D4">
      <w:pPr>
        <w:pStyle w:val="a9"/>
        <w:rPr>
          <w:rtl/>
        </w:rPr>
      </w:pPr>
      <w:r>
        <w:rPr>
          <w:rStyle w:val="ab"/>
        </w:rPr>
        <w:footnoteRef/>
      </w:r>
      <w:r>
        <w:rPr>
          <w:rtl/>
        </w:rPr>
        <w:t xml:space="preserve"> לא שידוע זה בעדים שראו שחתם הגזלן מקודם, דא"כ לא היינו צריכין לעדות דגזלן ולא להעיד עליו שזו חתימתו ומאיזה זמן חתם. אלא ר"ל לפי הזמן הנכתב לפנינו בשטר נראה שנכתב קודם שנעשה גזלן, אלא שיש לחוש שמא כתב הזמן בזיוף, שכתב היום השטר והקדים הזמן וכדמסיק, סמ"ע (סקפ"ג).</w:t>
      </w:r>
    </w:p>
  </w:footnote>
  <w:footnote w:id="3962">
    <w:p w14:paraId="60AC744B" w14:textId="77777777" w:rsidR="0013116F" w:rsidRDefault="0013116F" w:rsidP="001D49D4">
      <w:pPr>
        <w:pStyle w:val="a9"/>
        <w:rPr>
          <w:rtl/>
        </w:rPr>
      </w:pPr>
      <w:r>
        <w:rPr>
          <w:rStyle w:val="ab"/>
        </w:rPr>
        <w:footnoteRef/>
      </w:r>
      <w:r>
        <w:rPr>
          <w:rtl/>
        </w:rPr>
        <w:t xml:space="preserve"> והיינו דוקא כשיש עדים שראו שטר החתום בהני החתימות קודם שנעשה גזלן, אלא שאין מכירין החתימות דעליה קאי, דאם לא ראוהו כלל איכא למיחש שעתה זייף והקדים הזמן, סמ"ע (סקפ"ד).</w:t>
      </w:r>
    </w:p>
  </w:footnote>
  <w:footnote w:id="3963">
    <w:p w14:paraId="52F652C3" w14:textId="77777777" w:rsidR="0013116F" w:rsidRDefault="0013116F" w:rsidP="001D49D4">
      <w:pPr>
        <w:pStyle w:val="a9"/>
      </w:pPr>
      <w:r>
        <w:rPr>
          <w:rStyle w:val="ab"/>
        </w:rPr>
        <w:footnoteRef/>
      </w:r>
      <w:r>
        <w:rPr>
          <w:rtl/>
        </w:rPr>
        <w:t xml:space="preserve"> </w:t>
      </w:r>
      <w:r>
        <w:rPr>
          <w:rFonts w:hint="cs"/>
          <w:rtl/>
        </w:rPr>
        <w:t>סימן – קוים טרם נפסל.</w:t>
      </w:r>
    </w:p>
  </w:footnote>
  <w:footnote w:id="3964">
    <w:p w14:paraId="4ED1E3CC" w14:textId="77777777" w:rsidR="0013116F" w:rsidRDefault="0013116F" w:rsidP="001D49D4">
      <w:pPr>
        <w:pStyle w:val="a9"/>
      </w:pPr>
      <w:r>
        <w:rPr>
          <w:rStyle w:val="ab"/>
        </w:rPr>
        <w:footnoteRef/>
      </w:r>
      <w:r>
        <w:rPr>
          <w:rtl/>
        </w:rPr>
        <w:t xml:space="preserve"> היינו שפסלות הקרובים אינו לפי שאינם נאמנים כי היכי דתיקשי לן אינהו לא מהימני אחריני מהימני אלא פסולם הוא משום גזרת מלך שגזר שעדות הקרובים אינה כלום וכיון שכן ליכא למיחש שמא עתה זייף וחתם, ב"י.</w:t>
      </w:r>
    </w:p>
  </w:footnote>
  <w:footnote w:id="3965">
    <w:p w14:paraId="651CE498" w14:textId="77777777" w:rsidR="0013116F" w:rsidRDefault="0013116F" w:rsidP="001D49D4">
      <w:pPr>
        <w:pStyle w:val="a9"/>
        <w:rPr>
          <w:rtl/>
        </w:rPr>
      </w:pPr>
      <w:r>
        <w:rPr>
          <w:rStyle w:val="ab"/>
        </w:rPr>
        <w:footnoteRef/>
      </w:r>
      <w:r>
        <w:rPr>
          <w:rtl/>
        </w:rPr>
        <w:t xml:space="preserve"> וכתב הב"י דהכי נקיטינן ודלא כרבינו מאיר שכתב המרדכי שהצריך שיראו חתימתו קודם שנעשה חתנו. וכמו שכתבתי כן נראה מדברי התוס' </w:t>
      </w:r>
      <w:r>
        <w:rPr>
          <w:sz w:val="16"/>
          <w:szCs w:val="16"/>
          <w:rtl/>
        </w:rPr>
        <w:t xml:space="preserve">(ד"ה ואף על פי) </w:t>
      </w:r>
      <w:r>
        <w:rPr>
          <w:rtl/>
        </w:rPr>
        <w:t xml:space="preserve">שכתבו שמכאן יש ללמוד שאם היו שנים מעידים ואח"כ נעשו קרובים שאחרים מעידים על כתב ידן שמכירין אותו ולא חיישינן שמא היום חתם. ודע דהא דמכשרינן חתימת קרוב אע"פ שהשטר יוצא לפני בית דין בזמן שהם פסולים לפי שהעדים החתומים על השטר כמי שנחקרה עדותן דמי </w:t>
      </w:r>
      <w:r>
        <w:rPr>
          <w:sz w:val="16"/>
          <w:szCs w:val="16"/>
          <w:rtl/>
        </w:rPr>
        <w:t xml:space="preserve">(כתובות יח:) </w:t>
      </w:r>
      <w:r>
        <w:rPr>
          <w:rtl/>
        </w:rPr>
        <w:t xml:space="preserve">וכיון שבשעה שחתמו כשרים היו הוה ליה כאלו קבלו בית דין עדותן באותה שעה ועדים המעידים על חתימתן כאלו הם מעידים שראו שבית דין קבלו עדות אלו בשעה שחתמו וגמרו הדין על פיהם </w:t>
      </w:r>
      <w:r>
        <w:rPr>
          <w:sz w:val="16"/>
          <w:szCs w:val="16"/>
          <w:rtl/>
        </w:rPr>
        <w:t>(עכ"ל הב"י)</w:t>
      </w:r>
      <w:r>
        <w:rPr>
          <w:rtl/>
        </w:rPr>
        <w:t>.</w:t>
      </w:r>
    </w:p>
  </w:footnote>
  <w:footnote w:id="3966">
    <w:p w14:paraId="207A931B" w14:textId="77777777" w:rsidR="0013116F" w:rsidRDefault="0013116F" w:rsidP="001D49D4">
      <w:pPr>
        <w:pStyle w:val="a9"/>
        <w:rPr>
          <w:rtl/>
        </w:rPr>
      </w:pPr>
      <w:r>
        <w:rPr>
          <w:rStyle w:val="ab"/>
        </w:rPr>
        <w:footnoteRef/>
      </w:r>
      <w:r>
        <w:rPr>
          <w:rtl/>
        </w:rPr>
        <w:t xml:space="preserve"> </w:t>
      </w:r>
      <w:bookmarkStart w:id="538" w:name="_Hlk14603659"/>
      <w:r>
        <w:rPr>
          <w:rtl/>
        </w:rPr>
        <w:t xml:space="preserve">הטעם, משום דפסול קורבה אינו משום שחשוד לזייף, אלא גזירת המלך היא. וכיון שחתם נעשה כמי שנחקרה עדותו בב"ד. וה"ה בשטר ששני עדיו נעשו אח"כ חתניו או נעשו קרובים זה לזה, וכן הוא בתוס' </w:t>
      </w:r>
      <w:r>
        <w:rPr>
          <w:sz w:val="16"/>
          <w:szCs w:val="16"/>
          <w:rtl/>
        </w:rPr>
        <w:t>[ב"ב קנט. ד"ה ואף על פי]</w:t>
      </w:r>
      <w:r>
        <w:rPr>
          <w:rtl/>
        </w:rPr>
        <w:t xml:space="preserve"> ופשוט הוא, ש"ך</w:t>
      </w:r>
      <w:r>
        <w:rPr>
          <w:sz w:val="16"/>
          <w:szCs w:val="16"/>
          <w:rtl/>
        </w:rPr>
        <w:t xml:space="preserve"> (סקצ"ב)</w:t>
      </w:r>
      <w:r>
        <w:rPr>
          <w:rtl/>
        </w:rPr>
        <w:t>.</w:t>
      </w:r>
      <w:bookmarkEnd w:id="538"/>
    </w:p>
  </w:footnote>
  <w:footnote w:id="3967">
    <w:p w14:paraId="196A3E44" w14:textId="77777777" w:rsidR="0013116F" w:rsidRDefault="0013116F" w:rsidP="001D49D4">
      <w:pPr>
        <w:pStyle w:val="a9"/>
      </w:pPr>
      <w:r>
        <w:rPr>
          <w:rStyle w:val="ab"/>
        </w:rPr>
        <w:footnoteRef/>
      </w:r>
      <w:r>
        <w:rPr>
          <w:rtl/>
        </w:rPr>
        <w:t xml:space="preserve"> אבל אם היה אלם מתחילתו אין לכתוב שטר לכו"ע, עיין תומים </w:t>
      </w:r>
      <w:r>
        <w:rPr>
          <w:sz w:val="16"/>
          <w:szCs w:val="16"/>
          <w:rtl/>
        </w:rPr>
        <w:t xml:space="preserve">(סקל"ט) </w:t>
      </w:r>
      <w:r>
        <w:rPr>
          <w:rtl/>
        </w:rPr>
        <w:t xml:space="preserve">מש"כ בזה בישוב קושית הש"ך </w:t>
      </w:r>
      <w:r>
        <w:rPr>
          <w:sz w:val="16"/>
          <w:szCs w:val="16"/>
          <w:rtl/>
        </w:rPr>
        <w:t>(סקצ"ג)</w:t>
      </w:r>
      <w:r>
        <w:rPr>
          <w:rtl/>
        </w:rPr>
        <w:t xml:space="preserve">, אורים </w:t>
      </w:r>
      <w:r>
        <w:rPr>
          <w:sz w:val="16"/>
          <w:szCs w:val="16"/>
          <w:rtl/>
        </w:rPr>
        <w:t>(סקק"י)</w:t>
      </w:r>
      <w:r>
        <w:rPr>
          <w:rtl/>
        </w:rPr>
        <w:t>.</w:t>
      </w:r>
    </w:p>
  </w:footnote>
  <w:footnote w:id="3968">
    <w:p w14:paraId="1BE366CF" w14:textId="77777777" w:rsidR="0013116F" w:rsidRDefault="0013116F" w:rsidP="001D49D4">
      <w:pPr>
        <w:pStyle w:val="a9"/>
      </w:pPr>
      <w:r>
        <w:rPr>
          <w:rStyle w:val="ab"/>
        </w:rPr>
        <w:footnoteRef/>
      </w:r>
      <w:r>
        <w:rPr>
          <w:rtl/>
        </w:rPr>
        <w:t xml:space="preserve"> פירוש, ע"י חתימתו או הרכנת ראשו, כמו שכתב לעיל בסימן ל"ה [סעיף י"א], סמ"ע (סקפ"ח).</w:t>
      </w:r>
    </w:p>
  </w:footnote>
  <w:footnote w:id="3969">
    <w:p w14:paraId="7DEBDE33" w14:textId="77777777" w:rsidR="0013116F" w:rsidRDefault="0013116F" w:rsidP="001D49D4">
      <w:pPr>
        <w:pStyle w:val="a9"/>
      </w:pPr>
      <w:r>
        <w:rPr>
          <w:rStyle w:val="ab"/>
        </w:rPr>
        <w:footnoteRef/>
      </w:r>
      <w:r>
        <w:rPr>
          <w:rtl/>
        </w:rPr>
        <w:t xml:space="preserve"> כנ"ל בחתנו, גר"א (סקע"ז). </w:t>
      </w:r>
    </w:p>
  </w:footnote>
  <w:footnote w:id="3970">
    <w:p w14:paraId="5CB843E9" w14:textId="77777777" w:rsidR="0013116F" w:rsidRDefault="0013116F" w:rsidP="001D49D4">
      <w:pPr>
        <w:pStyle w:val="a9"/>
      </w:pPr>
      <w:r>
        <w:rPr>
          <w:rStyle w:val="ab"/>
        </w:rPr>
        <w:footnoteRef/>
      </w:r>
      <w:r>
        <w:rPr>
          <w:rtl/>
        </w:rPr>
        <w:t xml:space="preserve"> </w:t>
      </w:r>
      <w:r>
        <w:rPr>
          <w:rFonts w:hint="cs"/>
          <w:rtl/>
        </w:rPr>
        <w:t>סימן – ידענו טרפתם. וכן – טופס ילדים.</w:t>
      </w:r>
    </w:p>
  </w:footnote>
  <w:footnote w:id="3971">
    <w:p w14:paraId="24122560" w14:textId="77777777" w:rsidR="0013116F" w:rsidRDefault="0013116F" w:rsidP="001D49D4">
      <w:pPr>
        <w:pStyle w:val="a9"/>
      </w:pPr>
      <w:r>
        <w:rPr>
          <w:rStyle w:val="ab"/>
        </w:rPr>
        <w:footnoteRef/>
      </w:r>
      <w:r>
        <w:rPr>
          <w:rtl/>
        </w:rPr>
        <w:t xml:space="preserve"> וכתב הר"ן </w:t>
      </w:r>
      <w:r>
        <w:rPr>
          <w:sz w:val="16"/>
          <w:szCs w:val="16"/>
          <w:rtl/>
        </w:rPr>
        <w:t>(שם סוד"ה אלא)</w:t>
      </w:r>
      <w:r>
        <w:rPr>
          <w:rtl/>
        </w:rPr>
        <w:t xml:space="preserve"> דהאי פסולי עדות ליכא לפרושי גזלנין, דאי הכי אפילו בשכתב ידם יוצא ממקום אחר מהימני דאגופייהו דסהדי מסהדי, אלא כי אמרי פסולי עדות היו - היו קרובים בנשותיהם, כלומר שאינם מעידים על גוף העדים שהם פסולים. ואיכא מאן דאמר דהכא בדאמרי גזלנין היו עסקינן ומשום דכיון שמתו לא על גופן של עדים הם מעידים אלא על מנה שבשטר, והיינו דנקט בברייתא ומתו.</w:t>
      </w:r>
    </w:p>
  </w:footnote>
  <w:footnote w:id="3972">
    <w:p w14:paraId="6730A4A5" w14:textId="77777777" w:rsidR="0013116F" w:rsidRDefault="0013116F" w:rsidP="001D49D4">
      <w:pPr>
        <w:pStyle w:val="a9"/>
      </w:pPr>
      <w:r>
        <w:rPr>
          <w:rStyle w:val="ab"/>
        </w:rPr>
        <w:footnoteRef/>
      </w:r>
      <w:r>
        <w:rPr>
          <w:rtl/>
        </w:rPr>
        <w:t xml:space="preserve"> ומ"ש רבינו 'משטר מקויים בב"ד אע"פ שלא קרא עליו ערער'. כן כתב הרא"ש שם </w:t>
      </w:r>
      <w:r>
        <w:rPr>
          <w:sz w:val="16"/>
          <w:szCs w:val="16"/>
          <w:rtl/>
        </w:rPr>
        <w:t>(סי' יג, וז"ל- יראה דקרא עליו ערער לאו דוקא וכו')</w:t>
      </w:r>
      <w:r>
        <w:rPr>
          <w:rtl/>
        </w:rPr>
        <w:t xml:space="preserve">. וכבר נתבאר בסימן זה (סכ"ד) שאין כן דעת הפוסקים, ב"י. </w:t>
      </w:r>
      <w:r>
        <w:rPr>
          <w:color w:val="E36C0A" w:themeColor="accent6" w:themeShade="BF"/>
          <w:rtl/>
        </w:rPr>
        <w:t>וכ"ס בשו"ע</w:t>
      </w:r>
      <w:r>
        <w:rPr>
          <w:rtl/>
        </w:rPr>
        <w:t>. וכ"פ לעיל בסע' ז.</w:t>
      </w:r>
    </w:p>
  </w:footnote>
  <w:footnote w:id="3973">
    <w:p w14:paraId="502946CD" w14:textId="77777777" w:rsidR="0013116F" w:rsidRDefault="0013116F" w:rsidP="001D49D4">
      <w:pPr>
        <w:pStyle w:val="a9"/>
      </w:pPr>
      <w:r>
        <w:rPr>
          <w:rStyle w:val="ab"/>
        </w:rPr>
        <w:footnoteRef/>
      </w:r>
      <w:r>
        <w:rPr>
          <w:rtl/>
        </w:rPr>
        <w:t xml:space="preserve"> </w:t>
      </w:r>
      <w:r>
        <w:rPr>
          <w:rFonts w:hint="cs"/>
          <w:rtl/>
        </w:rPr>
        <w:t>וז"ל-</w:t>
      </w:r>
      <w:r>
        <w:rPr>
          <w:rtl/>
        </w:rPr>
        <w:t xml:space="preserve"> ולי נראה דאפילו אי אמרי פסולי עדות הם גם עכשיו לא מהימני לפסול השטר שהרי מן הדין אף על פי שכתב ידם יוצא ממקום אחר היה לנו להאמין לאחרונים שהרי אינם באים לזייף חתימתם אלא מגרעין השטר בפיסול אחר והאי דלא מהימני היינו טעמא דאנן סהדי דכל שטר שנכתב ונחתם בלא שום פיסול נחתם הילכך אפילו אי אמרינן פסולי עדות הם עכשיו לא מהימני לפסול השטר כיון דכתב ידן יוצא ממקום אחר.</w:t>
      </w:r>
    </w:p>
  </w:footnote>
  <w:footnote w:id="3974">
    <w:p w14:paraId="5A8DFFC9" w14:textId="77777777" w:rsidR="0013116F" w:rsidRDefault="0013116F" w:rsidP="001D49D4">
      <w:pPr>
        <w:pStyle w:val="a9"/>
      </w:pPr>
      <w:r>
        <w:rPr>
          <w:rStyle w:val="ab"/>
        </w:rPr>
        <w:footnoteRef/>
      </w:r>
      <w:r>
        <w:rPr>
          <w:rtl/>
        </w:rPr>
        <w:t xml:space="preserve"> והא דמהני תפיסה מספק כתבתיו בפרק קמא דבבא מציעא (סי' יג) גבי תקפו כהן אין מוציאין מידו ומיירי בדתפס קודם שנולד הספק אי נמי שאני הכא שטוען בריא, רא"ש.</w:t>
      </w:r>
    </w:p>
  </w:footnote>
  <w:footnote w:id="3975">
    <w:p w14:paraId="149AAFA5" w14:textId="77777777" w:rsidR="0013116F" w:rsidRDefault="0013116F" w:rsidP="001D49D4">
      <w:pPr>
        <w:pStyle w:val="a9"/>
        <w:rPr>
          <w:rtl/>
        </w:rPr>
      </w:pPr>
      <w:r>
        <w:rPr>
          <w:rStyle w:val="ab"/>
        </w:rPr>
        <w:footnoteRef/>
      </w:r>
      <w:r>
        <w:rPr>
          <w:rtl/>
        </w:rPr>
        <w:t xml:space="preserve"> כדאמרינן בפרק חזקת הבתים (ב"ב לב.) אנן אחתינן ליה ואנן מסקינן ליה ואפילו במטלטלין אמרינן בבבא קמא (קיב:) דאינה מועלת התפסת בית דין דאמרינן התם לא שנא הכי ולא שנא הכי אדרכתא במטלטלין לא כתבינן דילמא משתדפי קרקעי דמלוה ומייתי הך סהדי ומרע לשטרא וליכא לאשתלומי מיניה משמע הא איכא לאישתלומי אף על פי שכבר הורידוהו בית דין חוזרים ומוציאין ממנו אפילו במטלטלין, רמ"ה (כ"כ הרא"ש בשמו). ולאחר שהביא הרא"ש את דברי ה"ר יונה והרמ"ה כתב וז"ל- ואין בהם ממש בכל אלו הדברים, דההיא דאלמנה ששמה לעצמה איירי ששמה לעצמה נכסי היתומים בכתובתה ואח"כ הוקרו הנכסים דאמרינן אין שומתה כלום ולא יצאו הנכסים מרשות היתומים וברשותם הוקרו. וההיא דאדרכתא דקאמר אי מרע לשטרא ואיכא לאשתלומי מיניה מפקינן מיניה מיירי דמרע לשטרא בעדי פרעון אבל אם היה מביא עדים להכחיש השטר כיון שתפס לא מפקינן מיניה כיון שטען בריא דלא אשכחן דלא מהניא תפיסה אלא בספק בכור (ב"מ ו:) וכן בבא בסוף החודש (שם קב:) דכולו למשכיר דבהני אין לתופס טענת בריא אבל כל היכא שמוחזק במטלטלין טוען בריא אין כח בית דין להוציא מידו עכ"ל.</w:t>
      </w:r>
    </w:p>
  </w:footnote>
  <w:footnote w:id="3976">
    <w:p w14:paraId="0D50F675" w14:textId="77777777" w:rsidR="0013116F" w:rsidRDefault="0013116F" w:rsidP="001D49D4">
      <w:pPr>
        <w:pStyle w:val="a9"/>
        <w:rPr>
          <w:rtl/>
        </w:rPr>
      </w:pPr>
      <w:r>
        <w:rPr>
          <w:rStyle w:val="ab"/>
        </w:rPr>
        <w:footnoteRef/>
      </w:r>
      <w:r>
        <w:rPr>
          <w:rtl/>
        </w:rPr>
        <w:t xml:space="preserve"> ואי תימא אפילו הכי תיפוק לי משום מגו דאי בעי אמר לא תפיסנא, י"ל דאי קאמר ידענא בהני סהדי דמהימני אין הכי נמי, אבל הכא במאי עסקינן כגון שמצא שטר בין שטרותיו ואינו יודע מה טיבו ברישא מפקינן מיניה אפילו שלא בעדים, דכיון דמודה דבהאי שטרא הוא דתפוס - האי שטרא חספא בעלמא הוא, י"א</w:t>
      </w:r>
      <w:r>
        <w:rPr>
          <w:sz w:val="16"/>
          <w:szCs w:val="16"/>
          <w:rtl/>
        </w:rPr>
        <w:t xml:space="preserve"> (שהביא הר"ן)</w:t>
      </w:r>
      <w:r>
        <w:rPr>
          <w:rtl/>
        </w:rPr>
        <w:t>.</w:t>
      </w:r>
    </w:p>
  </w:footnote>
  <w:footnote w:id="3977">
    <w:p w14:paraId="760B8BBE" w14:textId="77777777" w:rsidR="0013116F" w:rsidRDefault="0013116F" w:rsidP="001D49D4">
      <w:pPr>
        <w:pStyle w:val="a9"/>
      </w:pPr>
      <w:r>
        <w:rPr>
          <w:rStyle w:val="ab"/>
        </w:rPr>
        <w:footnoteRef/>
      </w:r>
      <w:r>
        <w:rPr>
          <w:rtl/>
        </w:rPr>
        <w:t xml:space="preserve"> </w:t>
      </w:r>
      <w:r>
        <w:rPr>
          <w:rFonts w:hint="cs"/>
          <w:rtl/>
        </w:rPr>
        <w:t>סימן – חתימת ידינו. חתמנו ילדים.</w:t>
      </w:r>
    </w:p>
  </w:footnote>
  <w:footnote w:id="3978">
    <w:p w14:paraId="33FCDC6E" w14:textId="77777777" w:rsidR="0013116F" w:rsidRDefault="0013116F" w:rsidP="001D49D4">
      <w:pPr>
        <w:pStyle w:val="a9"/>
      </w:pPr>
      <w:r>
        <w:rPr>
          <w:rStyle w:val="ab"/>
        </w:rPr>
        <w:footnoteRef/>
      </w:r>
      <w:r>
        <w:rPr>
          <w:rtl/>
        </w:rPr>
        <w:t xml:space="preserve"> וכ"כ הר"ן (ו. ד"ה גמ' ל"ש) דהא דנאמנין דוקא כשמיד תוך כדי דיבור אמרו אנוסים היינו, אבל אחר תוך כדי דיבור לא מהימני דכיון שהגיד שוב אינו חוזר ומגיד, וכן נראה מדברי התוס' (ד"ה אין), ב"י.</w:t>
      </w:r>
    </w:p>
  </w:footnote>
  <w:footnote w:id="3979">
    <w:p w14:paraId="06A12ABA" w14:textId="77777777" w:rsidR="0013116F" w:rsidRDefault="0013116F" w:rsidP="001D49D4">
      <w:pPr>
        <w:pStyle w:val="a9"/>
      </w:pPr>
      <w:r>
        <w:rPr>
          <w:rStyle w:val="ab"/>
        </w:rPr>
        <w:footnoteRef/>
      </w:r>
      <w:r>
        <w:rPr>
          <w:rtl/>
        </w:rPr>
        <w:t xml:space="preserve"> וכ"כ ברמזים (קיצור פסקי הרא"ש סי' ח) שאע"פ שאומרים שחוזרים בתשובה אינן נאמנין, ב"י.</w:t>
      </w:r>
    </w:p>
  </w:footnote>
  <w:footnote w:id="3980">
    <w:p w14:paraId="6FF0CEF9" w14:textId="77777777" w:rsidR="0013116F" w:rsidRDefault="0013116F" w:rsidP="001D49D4">
      <w:pPr>
        <w:pStyle w:val="a9"/>
      </w:pPr>
      <w:r>
        <w:rPr>
          <w:rStyle w:val="ab"/>
        </w:rPr>
        <w:footnoteRef/>
      </w:r>
      <w:r>
        <w:rPr>
          <w:rtl/>
        </w:rPr>
        <w:t xml:space="preserve"> ונ"ל שמה שכתב ונתרחקו היינו לדיוקי לשון קרובים היינו דמשמע ועכשיו אין אנו קרובים וכן מה שכתב שהיו קרובים בנשותיהם היינו נמי לדיוקי לישנא דקרובים היינו דמשמע ועכשיו אין אנו קרובים ואם הם קרובים מחמת עצמם אי אפשר להתרחק, ב"י.</w:t>
      </w:r>
    </w:p>
  </w:footnote>
  <w:footnote w:id="3981">
    <w:p w14:paraId="04412983" w14:textId="77777777" w:rsidR="0013116F" w:rsidRDefault="0013116F" w:rsidP="001D49D4">
      <w:pPr>
        <w:pStyle w:val="a9"/>
        <w:rPr>
          <w:rtl/>
        </w:rPr>
      </w:pPr>
      <w:r>
        <w:rPr>
          <w:rStyle w:val="ab"/>
        </w:rPr>
        <w:footnoteRef/>
      </w:r>
      <w:r>
        <w:rPr>
          <w:rtl/>
        </w:rPr>
        <w:t xml:space="preserve"> עיין לעיל סימן ל"ח (ס"ה) דכתב בשם רבינו חננאל דפטורים לשלם, ועיין לעיל מה שכתבתי שם (אות א). ועיין במרדכי סוף פרק הגוזל בתרא (ב"ק סי' קצג) אם היו אנוסים מחמת ממון אם צריכין לשלם, דרכ"מ (אות יג).</w:t>
      </w:r>
    </w:p>
  </w:footnote>
  <w:footnote w:id="3982">
    <w:p w14:paraId="52E22E3A" w14:textId="77777777" w:rsidR="0013116F" w:rsidRDefault="0013116F" w:rsidP="001D49D4">
      <w:pPr>
        <w:pStyle w:val="a9"/>
      </w:pPr>
      <w:r>
        <w:rPr>
          <w:rStyle w:val="ab"/>
        </w:rPr>
        <w:footnoteRef/>
      </w:r>
      <w:r>
        <w:rPr>
          <w:rtl/>
        </w:rPr>
        <w:t xml:space="preserve"> </w:t>
      </w:r>
      <w:r>
        <w:rPr>
          <w:rFonts w:hint="cs"/>
          <w:rtl/>
        </w:rPr>
        <w:t>סימן – טופס יקוש.</w:t>
      </w:r>
    </w:p>
  </w:footnote>
  <w:footnote w:id="3983">
    <w:p w14:paraId="4A144448" w14:textId="77777777" w:rsidR="0013116F" w:rsidRDefault="0013116F" w:rsidP="001D49D4">
      <w:pPr>
        <w:pStyle w:val="a9"/>
      </w:pPr>
      <w:r>
        <w:rPr>
          <w:rStyle w:val="ab"/>
        </w:rPr>
        <w:footnoteRef/>
      </w:r>
      <w:r>
        <w:rPr>
          <w:rtl/>
        </w:rPr>
        <w:t xml:space="preserve"> החתומים בשטר ואמרו אמנה היו דברינו לא הלוהו כלום אלא כתבנו לו לכשיצטרך ילוה לו וזה שיעבד לו נכסיו מעכשיו אם ילוה אפילו לאחר זמן דלאו מוקדם ליהוי לטרוף שלא כדין, רש"י.</w:t>
      </w:r>
    </w:p>
  </w:footnote>
  <w:footnote w:id="3984">
    <w:p w14:paraId="068C5680" w14:textId="77777777" w:rsidR="0013116F" w:rsidRDefault="0013116F" w:rsidP="001D49D4">
      <w:pPr>
        <w:pStyle w:val="a9"/>
      </w:pPr>
      <w:r>
        <w:rPr>
          <w:rStyle w:val="ab"/>
        </w:rPr>
        <w:footnoteRef/>
      </w:r>
      <w:r>
        <w:rPr>
          <w:rtl/>
        </w:rPr>
        <w:t xml:space="preserve"> אם שטר מכר הוא ואמרו עדים החתומים בו המוכר מסר מודעא בפנינו והראנו אונסו והכרנו בו, רש"י.</w:t>
      </w:r>
    </w:p>
  </w:footnote>
  <w:footnote w:id="3985">
    <w:p w14:paraId="50DF25E5" w14:textId="77777777" w:rsidR="0013116F" w:rsidRDefault="0013116F" w:rsidP="001D49D4">
      <w:pPr>
        <w:pStyle w:val="a9"/>
      </w:pPr>
      <w:r>
        <w:rPr>
          <w:rStyle w:val="ab"/>
        </w:rPr>
        <w:footnoteRef/>
      </w:r>
      <w:r>
        <w:rPr>
          <w:rtl/>
        </w:rPr>
        <w:t xml:space="preserve"> ניתן לעדים לכתוב את השטר כדי להציל האנוס מאונסו, אמנה לא ניתן להכתב דעולה הואי וכי אמרו חתמנו משוי לנפשייהו רשעים ואין אדם נאמן לשום עצמו רשע, רש"י.</w:t>
      </w:r>
    </w:p>
  </w:footnote>
  <w:footnote w:id="3986">
    <w:p w14:paraId="1BBDA147" w14:textId="77777777" w:rsidR="0013116F" w:rsidRDefault="0013116F" w:rsidP="001D49D4">
      <w:pPr>
        <w:pStyle w:val="a9"/>
      </w:pPr>
      <w:r>
        <w:rPr>
          <w:rStyle w:val="ab"/>
        </w:rPr>
        <w:footnoteRef/>
      </w:r>
      <w:r>
        <w:rPr>
          <w:rtl/>
        </w:rPr>
        <w:t xml:space="preserve"> ופסקו הרי"ף (ו:) הרמב"ם (פ"ג מהל' עדות ה"ח) והרא"ש (סי' יב) כמר בר רב אשי, ב"י.</w:t>
      </w:r>
    </w:p>
  </w:footnote>
  <w:footnote w:id="3987">
    <w:p w14:paraId="54E0E786" w14:textId="77777777" w:rsidR="0013116F" w:rsidRDefault="0013116F" w:rsidP="001D49D4">
      <w:pPr>
        <w:pStyle w:val="a9"/>
        <w:rPr>
          <w:rtl/>
        </w:rPr>
      </w:pPr>
      <w:r>
        <w:rPr>
          <w:rStyle w:val="ab"/>
        </w:rPr>
        <w:footnoteRef/>
      </w:r>
      <w:r>
        <w:rPr>
          <w:rtl/>
        </w:rPr>
        <w:t xml:space="preserve"> וכתב הר"ן (שם ד"ה תנאי) דהיינו טעמא דמהימני טפי כי אמרי תנאי היו דברינו מכי אמרי אמנה היו דברינו משום דבאמנה אכתי לא משתעבד ליה למלוה אבל על מנת שידבר עליו לשלטון וכיוצא בו חייל שעבודא מהשתא בעל כרחיה דלוה שהרי ביד המלוה לקיים תנאו.</w:t>
      </w:r>
    </w:p>
  </w:footnote>
  <w:footnote w:id="3988">
    <w:p w14:paraId="531EEB80" w14:textId="77777777" w:rsidR="0013116F" w:rsidRDefault="0013116F" w:rsidP="001D49D4">
      <w:pPr>
        <w:pStyle w:val="a9"/>
        <w:rPr>
          <w:rtl/>
        </w:rPr>
      </w:pPr>
      <w:r>
        <w:rPr>
          <w:rStyle w:val="ab"/>
        </w:rPr>
        <w:footnoteRef/>
      </w:r>
      <w:r>
        <w:rPr>
          <w:rtl/>
        </w:rPr>
        <w:t xml:space="preserve"> פירוש שהיו שני עדים חתומים בשטר ואחד אומר כתב ידי הוא אבל תנאי היה בו ולא ראיתי שנתקיים, והשני אומר זה כתב ידי ולא שמעתי בו תנאי. אבל ליכא לפרושי דודאי לא היה בו תנאי ומכחיש את העד, דאם כן חד מינייהו משקר והוה ליה עד אחד בהכחשה ואינו כלום, ריטב"א (יט: ד"ה עד). וכ"כ הרמב"ן (יט: ד"ה ומ"מ) וז"ל- צריכים אנו לפרש שמועתינו בשאינם מכחישים זה את זה כגון שזה שמע וזה לא שמע, הא אילו הכחישו זה את זה ממש לא נתקיים כלל השטר על פיהם שהרי אחד מהם פסול לעדות כדאמרינן התם (שבועות מז:) בענין שתי כיתי עדים המכחישות זו את זו עכ"ל, ב"י (בבדה"ב).</w:t>
      </w:r>
    </w:p>
  </w:footnote>
  <w:footnote w:id="3989">
    <w:p w14:paraId="643D75F3" w14:textId="77777777" w:rsidR="0013116F" w:rsidRDefault="0013116F" w:rsidP="001D49D4">
      <w:pPr>
        <w:pStyle w:val="a9"/>
      </w:pPr>
      <w:r>
        <w:rPr>
          <w:rStyle w:val="ab"/>
        </w:rPr>
        <w:footnoteRef/>
      </w:r>
      <w:r>
        <w:rPr>
          <w:rtl/>
        </w:rPr>
        <w:t xml:space="preserve"> דכי היכי דכששנים אומרים תנאי היו דברינו נאמנים ולא אמרינן שהם חוזרים ומגידים, משום דתנאי מילתא אחריתי היא שאומרים לא חתמנו אלא על מנת שיתקיים התנאי, הכי נמי כי אמר חד תנאי היה עוקר חתימת ידו לומר לא חתמתי אלא על מנת כן, וכיון דאית לן דמילתא אחריתי היא ושטרא ממילא מעקר אשתכח דאין בשטר חתום אלא עד אחד, ב"י.</w:t>
      </w:r>
    </w:p>
  </w:footnote>
  <w:footnote w:id="3990">
    <w:p w14:paraId="24E2CD10" w14:textId="77777777" w:rsidR="0013116F" w:rsidRDefault="0013116F" w:rsidP="001D49D4">
      <w:pPr>
        <w:pStyle w:val="a9"/>
      </w:pPr>
      <w:r>
        <w:rPr>
          <w:rStyle w:val="ab"/>
        </w:rPr>
        <w:footnoteRef/>
      </w:r>
      <w:r>
        <w:rPr>
          <w:rtl/>
        </w:rPr>
        <w:t xml:space="preserve"> ופסקו הרי"ף (ו:) והרא"ש (סי' יב) כרב הונא בריה דרב יהושע, וכן פסק הרמב"ם בפרק הנזכר (ה"י), ב"י.</w:t>
      </w:r>
    </w:p>
  </w:footnote>
  <w:footnote w:id="3991">
    <w:p w14:paraId="2BE193DD" w14:textId="77777777" w:rsidR="0013116F" w:rsidRDefault="0013116F" w:rsidP="001D49D4">
      <w:pPr>
        <w:pStyle w:val="a9"/>
        <w:rPr>
          <w:rtl/>
        </w:rPr>
      </w:pPr>
      <w:r>
        <w:rPr>
          <w:rStyle w:val="ab"/>
        </w:rPr>
        <w:footnoteRef/>
      </w:r>
      <w:r>
        <w:rPr>
          <w:rtl/>
        </w:rPr>
        <w:t xml:space="preserve"> הטור כתב- 'והרמב"ם ואדוני אבי הרא"ש ז"ל כתבו כסברא ראשונה', היינו שבכל דבר אין נאמנין, וכתב הב"י שהוא טעות סופר, שבפ"ג מהלכות עדות (ה"ח) כתב דבמודעא אפילו כתב ידם יוצא ממקום אחר נאמנין, ואם כן יש להגיה בדברי רבינו 'וכן כתב הרמב"ם, ואדוני אבי כתב כסברא ראשונה' וכן מצאתי בנוסחת כתיבת יד. </w:t>
      </w:r>
    </w:p>
  </w:footnote>
  <w:footnote w:id="3992">
    <w:p w14:paraId="07F24FD8" w14:textId="77777777" w:rsidR="0013116F" w:rsidRDefault="0013116F" w:rsidP="001D49D4">
      <w:pPr>
        <w:pStyle w:val="a9"/>
        <w:rPr>
          <w:rtl/>
        </w:rPr>
      </w:pPr>
      <w:r>
        <w:rPr>
          <w:rStyle w:val="ab"/>
        </w:rPr>
        <w:footnoteRef/>
      </w:r>
      <w:r>
        <w:rPr>
          <w:rtl/>
        </w:rPr>
        <w:t xml:space="preserve"> וכתב הב"י דכ"כ רי"ו (נ"ב ח"ב יא:). והוסיף הב"י (בבדה"ב) דזה הוא שכתב רבינו ואם אומרים שבשעה שחתמו לא ידעו שהיה אמנה, וזה בכלל מה שכתב הרמב"ם (שם ה"ו) שנאמנים לומר מוטעים היינו.</w:t>
      </w:r>
    </w:p>
  </w:footnote>
  <w:footnote w:id="3993">
    <w:p w14:paraId="75EDBAAD" w14:textId="77777777" w:rsidR="0013116F" w:rsidRDefault="0013116F" w:rsidP="001D49D4">
      <w:pPr>
        <w:pStyle w:val="a9"/>
        <w:rPr>
          <w:rtl/>
        </w:rPr>
      </w:pPr>
      <w:r>
        <w:rPr>
          <w:rStyle w:val="ab"/>
        </w:rPr>
        <w:footnoteRef/>
      </w:r>
      <w:r>
        <w:rPr>
          <w:rtl/>
        </w:rPr>
        <w:t xml:space="preserve"> </w:t>
      </w:r>
      <w:r>
        <w:rPr>
          <w:rFonts w:hint="cs"/>
          <w:rtl/>
        </w:rPr>
        <w:t>הביא הטור את דברי הרמ"ה וכתב וז"ל-</w:t>
      </w:r>
      <w:r>
        <w:rPr>
          <w:rtl/>
        </w:rPr>
        <w:t xml:space="preserve"> ואיני יודע למה נחשב דברי האומר שלא היה תנאי בשנים יותר מדברי האומר תנאי, ונראין דברי רב מתתיה שכתב ד-...</w:t>
      </w:r>
    </w:p>
  </w:footnote>
  <w:footnote w:id="3994">
    <w:p w14:paraId="3C1F7B4E" w14:textId="77777777" w:rsidR="0013116F" w:rsidRDefault="0013116F" w:rsidP="001D49D4">
      <w:pPr>
        <w:pStyle w:val="a9"/>
        <w:rPr>
          <w:rtl/>
        </w:rPr>
      </w:pPr>
      <w:r>
        <w:rPr>
          <w:rStyle w:val="ab"/>
        </w:rPr>
        <w:footnoteRef/>
      </w:r>
      <w:r>
        <w:rPr>
          <w:rtl/>
        </w:rPr>
        <w:t xml:space="preserve"> וכתב הב"י שהרמ"ה סובר שעד אחד המסייעו אינו פוטרו משבועה וכיון שכן הרי הוא חייב שבועה על פי העד המכחישו, ואותו העד הוה ליה כשנים ואין דבריו של אחד במקום שנים ולפיכך נשבע שבועה דאורייתא כאלו אין שם עד המסייעו. ורב מתתיה סובר דכשם שעד המכחישו מחייבו שבועה כך עד המסייעו פוטרו משבועה דאורייתא ומ"מ נשבע היסת מדרב נחמן </w:t>
      </w:r>
      <w:r>
        <w:rPr>
          <w:sz w:val="16"/>
          <w:szCs w:val="16"/>
          <w:rtl/>
        </w:rPr>
        <w:t>(ב"מ ה.)</w:t>
      </w:r>
      <w:r>
        <w:rPr>
          <w:rtl/>
        </w:rPr>
        <w:t xml:space="preserve">. ודעת רבינו כרב מתתיה שבסימן ע"ה </w:t>
      </w:r>
      <w:r>
        <w:rPr>
          <w:sz w:val="16"/>
          <w:szCs w:val="16"/>
          <w:rtl/>
        </w:rPr>
        <w:t xml:space="preserve">(ס"ג) </w:t>
      </w:r>
      <w:r>
        <w:rPr>
          <w:rtl/>
        </w:rPr>
        <w:t xml:space="preserve">כתב שעד אחד המסייעו פוטרו משבועה ולכן לעיל סימן כ"ט </w:t>
      </w:r>
      <w:r>
        <w:rPr>
          <w:sz w:val="16"/>
          <w:szCs w:val="16"/>
          <w:rtl/>
        </w:rPr>
        <w:t xml:space="preserve">(ס"ב) </w:t>
      </w:r>
      <w:r>
        <w:rPr>
          <w:rtl/>
        </w:rPr>
        <w:t xml:space="preserve">לא כתב אלא דברי רב מתתיה גם בסימן פ"ד </w:t>
      </w:r>
      <w:r>
        <w:rPr>
          <w:sz w:val="16"/>
          <w:szCs w:val="16"/>
          <w:rtl/>
        </w:rPr>
        <w:t xml:space="preserve">(ס"ז) </w:t>
      </w:r>
      <w:r>
        <w:rPr>
          <w:rtl/>
        </w:rPr>
        <w:t xml:space="preserve">כתב שדעתו שעד אחד המסייעו פוטרו משבועה ושבעל התרומות </w:t>
      </w:r>
      <w:r>
        <w:rPr>
          <w:sz w:val="16"/>
          <w:szCs w:val="16"/>
          <w:rtl/>
        </w:rPr>
        <w:t xml:space="preserve">(שער כא ח"ה סי' ב) </w:t>
      </w:r>
      <w:r>
        <w:rPr>
          <w:rtl/>
        </w:rPr>
        <w:t xml:space="preserve">חולק עליו ובסימן פ"ז </w:t>
      </w:r>
      <w:r>
        <w:rPr>
          <w:sz w:val="16"/>
          <w:szCs w:val="16"/>
          <w:rtl/>
        </w:rPr>
        <w:t xml:space="preserve">(סי"א) </w:t>
      </w:r>
      <w:r>
        <w:rPr>
          <w:rtl/>
        </w:rPr>
        <w:t xml:space="preserve">כתב שדעת הרא"ש </w:t>
      </w:r>
      <w:r>
        <w:rPr>
          <w:sz w:val="16"/>
          <w:szCs w:val="16"/>
          <w:rtl/>
        </w:rPr>
        <w:t xml:space="preserve">(ב"מ פ"א סי' ג) </w:t>
      </w:r>
      <w:r>
        <w:rPr>
          <w:rtl/>
        </w:rPr>
        <w:t xml:space="preserve">דפוטרו משבועה והיא דעת התוס' בריש מציעא </w:t>
      </w:r>
      <w:r>
        <w:rPr>
          <w:sz w:val="16"/>
          <w:szCs w:val="16"/>
          <w:rtl/>
        </w:rPr>
        <w:t>(ב: ד"ה וליחזי)</w:t>
      </w:r>
      <w:r>
        <w:rPr>
          <w:rtl/>
        </w:rPr>
        <w:t>, עכ"ל הב"י.</w:t>
      </w:r>
    </w:p>
  </w:footnote>
  <w:footnote w:id="3995">
    <w:p w14:paraId="1ECA2DF0" w14:textId="77777777" w:rsidR="0013116F" w:rsidRDefault="0013116F" w:rsidP="001D49D4">
      <w:pPr>
        <w:pStyle w:val="a9"/>
        <w:rPr>
          <w:rtl/>
        </w:rPr>
      </w:pPr>
      <w:r>
        <w:rPr>
          <w:rStyle w:val="ab"/>
        </w:rPr>
        <w:footnoteRef/>
      </w:r>
      <w:r>
        <w:rPr>
          <w:rtl/>
        </w:rPr>
        <w:t xml:space="preserve"> וכן כתוב בספר התרומות שער כ"א (ח"ג סי' א, ג), וכתבו רבינו בסוף סימן פ"ב (סע' יח - כ), ב"י.</w:t>
      </w:r>
    </w:p>
  </w:footnote>
  <w:footnote w:id="3996">
    <w:p w14:paraId="4D51186B" w14:textId="77777777" w:rsidR="0013116F" w:rsidRDefault="0013116F" w:rsidP="001D49D4">
      <w:pPr>
        <w:pStyle w:val="a9"/>
        <w:rPr>
          <w:rtl/>
        </w:rPr>
      </w:pPr>
      <w:r>
        <w:rPr>
          <w:rStyle w:val="ab"/>
        </w:rPr>
        <w:footnoteRef/>
      </w:r>
      <w:r>
        <w:rPr>
          <w:rtl/>
        </w:rPr>
        <w:t xml:space="preserve"> וכל שכן בזכרון דברים שכותבים העדים לעצמם ראשי פרקים שהכל תלוי בעדותן ובמה שיחתמו בשטר. ואף אם אמרו כנגד התנאים הכתובים אצלם בכתיבת ידם ואומרים מוטעים היינו – נאמנים, שהרי אין לאותה כתיבה תורת שטר כלל, ריב"ש.</w:t>
      </w:r>
    </w:p>
  </w:footnote>
  <w:footnote w:id="3997">
    <w:p w14:paraId="3B229E9B" w14:textId="77777777" w:rsidR="0013116F" w:rsidRDefault="0013116F" w:rsidP="001D49D4">
      <w:pPr>
        <w:pStyle w:val="a9"/>
        <w:rPr>
          <w:rtl/>
        </w:rPr>
      </w:pPr>
      <w:r>
        <w:rPr>
          <w:rStyle w:val="ab"/>
        </w:rPr>
        <w:footnoteRef/>
      </w:r>
      <w:r>
        <w:rPr>
          <w:rtl/>
        </w:rPr>
        <w:t xml:space="preserve"> כ"כ במישרים נ"ב ח"ב (יב.) וכ"כ הרשב"א בתשובה (ח"ב סי' נ), ועיין בתשובת הרא"ש שכתבתי בסימן ס"א (מחו' ח) ובתשובות הרשב"א שכתבתי בסימן כ"ט (מחו' יג - יד), ב"י.</w:t>
      </w:r>
    </w:p>
  </w:footnote>
  <w:footnote w:id="3998">
    <w:p w14:paraId="3A2B8311" w14:textId="77777777" w:rsidR="0013116F" w:rsidRDefault="0013116F" w:rsidP="001D49D4">
      <w:pPr>
        <w:pStyle w:val="a9"/>
      </w:pPr>
      <w:r>
        <w:rPr>
          <w:rStyle w:val="ab"/>
        </w:rPr>
        <w:footnoteRef/>
      </w:r>
      <w:r>
        <w:rPr>
          <w:rtl/>
        </w:rPr>
        <w:t xml:space="preserve"> וכתב עוד שם </w:t>
      </w:r>
      <w:r>
        <w:rPr>
          <w:sz w:val="16"/>
          <w:szCs w:val="16"/>
          <w:rtl/>
        </w:rPr>
        <w:t xml:space="preserve">(ברי"ו ריש ח"ב יא:) </w:t>
      </w:r>
      <w:r>
        <w:rPr>
          <w:rtl/>
        </w:rPr>
        <w:t xml:space="preserve">שום דבר שאינו צריך בענין, אם שינו - אינו עדות שקר ודנין על פיו, כגון אם שינו מקום הכתיבה וכדומה כמו שמבואר פ"ח דגיטין </w:t>
      </w:r>
      <w:r>
        <w:rPr>
          <w:sz w:val="16"/>
          <w:szCs w:val="16"/>
          <w:rtl/>
        </w:rPr>
        <w:t xml:space="preserve">(פ ב) </w:t>
      </w:r>
      <w:r>
        <w:rPr>
          <w:rtl/>
        </w:rPr>
        <w:t xml:space="preserve">עכ"ל. וכ"כ נמוק"י פרק מי שמת </w:t>
      </w:r>
      <w:r>
        <w:rPr>
          <w:sz w:val="16"/>
          <w:szCs w:val="16"/>
          <w:rtl/>
        </w:rPr>
        <w:t xml:space="preserve">(ב"ב עב. ד"ה גמ') </w:t>
      </w:r>
      <w:r>
        <w:rPr>
          <w:rtl/>
        </w:rPr>
        <w:t xml:space="preserve">דעדים שלא העידו כל עדותן אלא כתבו סתם לאו שיקרא הוא, וטעמא משום דמה שחוזרין ופירשו דבריהם אינו עקירת השטר כלל דהא סתמא נכתב והם יכולין לברר הענין ואע"פ שכתב ידן יוצא ממקום אחר עכ"ל. ועיין בתשו' הריב"ש סי' קס"ז ורס"ו </w:t>
      </w:r>
      <w:r>
        <w:rPr>
          <w:sz w:val="16"/>
          <w:szCs w:val="16"/>
          <w:rtl/>
        </w:rPr>
        <w:t>(ד"ה אבל)</w:t>
      </w:r>
      <w:r>
        <w:rPr>
          <w:rtl/>
        </w:rPr>
        <w:t xml:space="preserve">, דרכ"מ </w:t>
      </w:r>
      <w:r>
        <w:rPr>
          <w:sz w:val="16"/>
          <w:szCs w:val="16"/>
          <w:rtl/>
        </w:rPr>
        <w:t>(אות יז)</w:t>
      </w:r>
      <w:r>
        <w:rPr>
          <w:rtl/>
        </w:rPr>
        <w:t>.</w:t>
      </w:r>
      <w:r>
        <w:rPr>
          <w:color w:val="00B0F0"/>
          <w:rtl/>
        </w:rPr>
        <w:t xml:space="preserve"> (וכ"פ בהג"ה)</w:t>
      </w:r>
    </w:p>
  </w:footnote>
  <w:footnote w:id="3999">
    <w:p w14:paraId="324FE617" w14:textId="77777777" w:rsidR="0013116F" w:rsidRDefault="0013116F" w:rsidP="001D49D4">
      <w:pPr>
        <w:pStyle w:val="a9"/>
        <w:rPr>
          <w:rtl/>
        </w:rPr>
      </w:pPr>
      <w:r>
        <w:rPr>
          <w:rStyle w:val="ab"/>
        </w:rPr>
        <w:footnoteRef/>
      </w:r>
      <w:r>
        <w:rPr>
          <w:rtl/>
        </w:rPr>
        <w:t xml:space="preserve"> אפילו אין כת"י יוצא ממקום אחר אין נאמנים, ש"ך (סקקי"ח).</w:t>
      </w:r>
    </w:p>
  </w:footnote>
  <w:footnote w:id="4000">
    <w:p w14:paraId="3E3ABBB3" w14:textId="77777777" w:rsidR="0013116F" w:rsidRDefault="0013116F" w:rsidP="001D49D4">
      <w:pPr>
        <w:pStyle w:val="a9"/>
        <w:rPr>
          <w:rtl/>
        </w:rPr>
      </w:pPr>
      <w:r>
        <w:rPr>
          <w:rStyle w:val="ab"/>
        </w:rPr>
        <w:footnoteRef/>
      </w:r>
      <w:r>
        <w:rPr>
          <w:rtl/>
        </w:rPr>
        <w:t xml:space="preserve"> </w:t>
      </w:r>
      <w:r>
        <w:rPr>
          <w:rFonts w:hint="cs"/>
          <w:rtl/>
        </w:rPr>
        <w:t>דאין ב"ד חוקרים על עד אחד. וכתב הש"ך</w:t>
      </w:r>
      <w:r>
        <w:rPr>
          <w:sz w:val="16"/>
          <w:szCs w:val="16"/>
          <w:rtl/>
        </w:rPr>
        <w:t xml:space="preserve"> (סקקי"ט) </w:t>
      </w:r>
      <w:r>
        <w:rPr>
          <w:rtl/>
        </w:rPr>
        <w:t>דצ"ע בזה דהא קיי"ל בסי' נא דעד אחד בכתב זוקק לשבועה, א"כ הו"ל כמעיד על פה, ובעדות ע"פ אינו יכול לחזור כמ"ש ר"ס כט. ע"כ דברי הש"ך. וכתב הנתיבות (ביאורים סקכ"ז) דבעד אחד לא הוי כנחקרה עדותו בשעת חתימה רק בשעה שבא לבי"ד, ולכך יכול לחזור בו קודם שבא לבי"ד, אבל כשהוא מקויים שכבר היה אצל הבי"ד להתקיים, שוב אין יכול לחזור בו.</w:t>
      </w:r>
    </w:p>
  </w:footnote>
  <w:footnote w:id="4001">
    <w:p w14:paraId="6E3F9678" w14:textId="77777777" w:rsidR="0013116F" w:rsidRDefault="0013116F" w:rsidP="001D49D4">
      <w:pPr>
        <w:pStyle w:val="a9"/>
        <w:rPr>
          <w:rtl/>
        </w:rPr>
      </w:pPr>
      <w:r>
        <w:rPr>
          <w:rStyle w:val="ab"/>
        </w:rPr>
        <w:footnoteRef/>
      </w:r>
      <w:r>
        <w:rPr>
          <w:rtl/>
        </w:rPr>
        <w:t xml:space="preserve"> </w:t>
      </w:r>
      <w:r>
        <w:rPr>
          <w:rFonts w:hint="cs"/>
          <w:rtl/>
        </w:rPr>
        <w:t>סימן – טופס יקוש. וכן – יהודי טוב.</w:t>
      </w:r>
    </w:p>
  </w:footnote>
  <w:footnote w:id="4002">
    <w:p w14:paraId="187C6EA2" w14:textId="77777777" w:rsidR="0013116F" w:rsidRDefault="0013116F" w:rsidP="001D49D4">
      <w:pPr>
        <w:pStyle w:val="a9"/>
      </w:pPr>
      <w:r>
        <w:rPr>
          <w:rStyle w:val="ab"/>
        </w:rPr>
        <w:footnoteRef/>
      </w:r>
      <w:r>
        <w:rPr>
          <w:rtl/>
        </w:rPr>
        <w:t xml:space="preserve"> כלומר שחב לאחרים בדיבורו, כגון שחייב לאחרים ואין לו נכסים שיוכל לפרוע אלא מחוב זה, רא"ש (סי' ט).</w:t>
      </w:r>
    </w:p>
  </w:footnote>
  <w:footnote w:id="4003">
    <w:p w14:paraId="78AD0C33" w14:textId="77777777" w:rsidR="0013116F" w:rsidRDefault="0013116F" w:rsidP="001D49D4">
      <w:pPr>
        <w:pStyle w:val="a9"/>
      </w:pPr>
      <w:r>
        <w:rPr>
          <w:rStyle w:val="ab"/>
        </w:rPr>
        <w:footnoteRef/>
      </w:r>
      <w:r>
        <w:rPr>
          <w:rtl/>
        </w:rPr>
        <w:t xml:space="preserve"> ואם תאמר ולהימני' במיגו דאי בעי מחיל, כדאמרי' לקמן (פה:) המוכר שטר חוב לחבירו וחזר ומחלו מחול, וי"ל דהאי לאו מיגו הוא, שאין דעתו למחול ולהפסיד חובו, אבל במה שאומר שטר אמנה הוא לא יפסיד חובו שידוע שהלוה אינו גזלן ולא יעכב מעותיו. וא"ת ואכתי להימניה במיגו דאי בעי מצנע ליה ולא מפיק ליה, וי"ל דכבר איתחזק בבי דינא ותו ליכא מיגו כדאמרי' בפ' זה בורר (לא.) גבי ההיא אתתא דנפק שטרא מתותי ידה, א"נ מיירי שהשטר ביד שליש. וה"ה נמי דלא מצי למימר פרוע הוא, רא"ש.</w:t>
      </w:r>
    </w:p>
  </w:footnote>
  <w:footnote w:id="4004">
    <w:p w14:paraId="21B9E815" w14:textId="77777777" w:rsidR="0013116F" w:rsidRDefault="0013116F" w:rsidP="001D49D4">
      <w:pPr>
        <w:pStyle w:val="a9"/>
      </w:pPr>
      <w:r>
        <w:rPr>
          <w:rStyle w:val="ab"/>
        </w:rPr>
        <w:footnoteRef/>
      </w:r>
      <w:r>
        <w:rPr>
          <w:rtl/>
        </w:rPr>
        <w:t xml:space="preserve"> מה שהשוה רבינו אומר פרוע לאומר אמנה, כך כתב הרא"ש (שם), וכ"כ בעל התרומות בשער נ"א (ח"ב סי' ב) בשם הראב"ד. אבל ה"ר אברהם בר יצחק ובהעי"ט (אות ק קיום נג.) כתבו דדוקא אמנה דמבטל ליה לשטרא, אבל פרוע הוא נאמן, כיון דשטרא לגוביינא קאי - מהימן, ב"י.</w:t>
      </w:r>
    </w:p>
  </w:footnote>
  <w:footnote w:id="4005">
    <w:p w14:paraId="7409224D" w14:textId="77777777" w:rsidR="0013116F" w:rsidRDefault="0013116F" w:rsidP="001D49D4">
      <w:pPr>
        <w:pStyle w:val="a9"/>
      </w:pPr>
      <w:r>
        <w:rPr>
          <w:rStyle w:val="ab"/>
        </w:rPr>
        <w:footnoteRef/>
      </w:r>
      <w:r>
        <w:rPr>
          <w:rtl/>
        </w:rPr>
        <w:t xml:space="preserve"> כך כתב הרא"ש (סי' ט), ב"י.</w:t>
      </w:r>
    </w:p>
  </w:footnote>
  <w:footnote w:id="4006">
    <w:p w14:paraId="1D75D86A" w14:textId="77777777" w:rsidR="0013116F" w:rsidRDefault="0013116F" w:rsidP="001D49D4">
      <w:pPr>
        <w:pStyle w:val="a9"/>
      </w:pPr>
      <w:r>
        <w:rPr>
          <w:rStyle w:val="ab"/>
        </w:rPr>
        <w:footnoteRef/>
      </w:r>
      <w:r>
        <w:rPr>
          <w:rtl/>
        </w:rPr>
        <w:t xml:space="preserve"> כתב בעל התרומות בשער נ"א (שם סי' ה) שיש אומרים דהיכא דמפסיד גם לעצמו נאמן ומסתברא דליתא להאי סברא משום דחיישינן לקנוניא עכ"ל, ב"י.</w:t>
      </w:r>
    </w:p>
  </w:footnote>
  <w:footnote w:id="4007">
    <w:p w14:paraId="4CFC1879" w14:textId="77777777" w:rsidR="0013116F" w:rsidRDefault="0013116F" w:rsidP="001D49D4">
      <w:pPr>
        <w:pStyle w:val="a9"/>
      </w:pPr>
      <w:r>
        <w:rPr>
          <w:rStyle w:val="ab"/>
        </w:rPr>
        <w:footnoteRef/>
      </w:r>
      <w:r>
        <w:rPr>
          <w:rtl/>
        </w:rPr>
        <w:t xml:space="preserve"> כך כתב בעל התרומות בשער נ"א (שם סי' ד), וסיים בדבר ומחרים המלוה סתם על הלוה שלו האומר שטר אמנה הוא שכן האמת כדבריו, ויש אומרים דמשתבע שבועה חמורה בנקיטת חפץ כדין הטוען אין לי במה לפרוע שטר חובי. ודעת רבינו נראה שהיא כדעת יש אומרים שסתם דבריו ונשארו כדין שאר אדם הטוען אין לי במה לפרוע שנשבע כמו שיתבאר (סי' צט ס"ב), ב"י.</w:t>
      </w:r>
    </w:p>
  </w:footnote>
  <w:footnote w:id="4008">
    <w:p w14:paraId="7E43BC1C" w14:textId="77777777" w:rsidR="0013116F" w:rsidRDefault="0013116F" w:rsidP="001D49D4">
      <w:pPr>
        <w:pStyle w:val="a9"/>
      </w:pPr>
      <w:r>
        <w:rPr>
          <w:rStyle w:val="ab"/>
        </w:rPr>
        <w:footnoteRef/>
      </w:r>
      <w:r>
        <w:rPr>
          <w:rtl/>
        </w:rPr>
        <w:t xml:space="preserve"> אבל אם אין בו נאמנות נאמן אף במקום שחב לאחרים, כיון שאינו יכול לגבות בו אלא בשבועה, והרי אומר שהוא פרוע, כ"כ בטור, וישבע לבע"ח דפרוע הוא כטוען אין לי, כמ"ש בסימן ס"ו סעיף ט"ו, סמ"ע (סק"ב). והש"ך (סק"ד) חולק ע"ש.</w:t>
      </w:r>
    </w:p>
  </w:footnote>
  <w:footnote w:id="4009">
    <w:p w14:paraId="07947C6E" w14:textId="77777777" w:rsidR="0013116F" w:rsidRDefault="0013116F" w:rsidP="001D49D4">
      <w:pPr>
        <w:pStyle w:val="a9"/>
      </w:pPr>
      <w:r>
        <w:rPr>
          <w:rStyle w:val="ab"/>
        </w:rPr>
        <w:footnoteRef/>
      </w:r>
      <w:r>
        <w:rPr>
          <w:rtl/>
        </w:rPr>
        <w:t xml:space="preserve"> </w:t>
      </w:r>
      <w:r>
        <w:rPr>
          <w:rFonts w:hint="cs"/>
          <w:rtl/>
        </w:rPr>
        <w:t>פירש הסמ"ע (סק"ג) שנתקיים בב"ד. והש"ך (סק"ה) השיג עליו, וכתב שפירושו כפשוטו שהוחזק בב"ד וראוהו בידו, דאל"כ יש לו מיגו דאי בעי מצנא ליה או קלייה. ועוד נראה דהוחזק בב"ד פירוש שראוהו בידו קודם שנפל החילוק בניהם, אבל אם מיד שראוהו הב"ד בידו אומר פרוע הוא פשיטא דיש לו מיגו דאי בעי לא היה מראהו לב"ד כלל. וכתב עוד (סק"ו) דהרמב"ן והה"מ חולקין על דין זה וס"ל דאפילו הוא תחת ידו אינו נאמן בשום מיגו, דחזקה כל מה שהוא ביד אדם הוא שלו, ואין אומרים מיגו במקום חזקה זו. ותימה על המחבר שלא הביא דעתן בביאור, רק בסי' צט בב"י ס"י הביא דבריהם בקצרה, ולעניין הלכה נראה אע"ג דקיי"ל כל מה שנמצא ביד אדם בחזקת שלו הוא, מ"מ היינו דוקא בממון או במטלטלין וכה"ג דבר שגופו ממון, משא"כ הכא, דנהי שהשטר הוא תחת ידו מ"מ המעות אינן תחת ידו, וכן נראה דעת הר"ב והמחבר לחלק בכך כמו שכתבתי בסי' צט, לכך נראה דכאן הוי ספיקא דדינא.</w:t>
      </w:r>
    </w:p>
  </w:footnote>
  <w:footnote w:id="4010">
    <w:p w14:paraId="66763DFB" w14:textId="77777777" w:rsidR="0013116F" w:rsidRDefault="0013116F" w:rsidP="001D49D4">
      <w:pPr>
        <w:pStyle w:val="a9"/>
        <w:rPr>
          <w:rtl/>
        </w:rPr>
      </w:pPr>
      <w:r>
        <w:rPr>
          <w:rStyle w:val="ab"/>
        </w:rPr>
        <w:footnoteRef/>
      </w:r>
      <w:r>
        <w:rPr>
          <w:rtl/>
        </w:rPr>
        <w:t xml:space="preserve"> עיין בעיר שושן שכתב לתרץ למה לא יהא נאמן במיגו דאי בעי הוה מחיל ליה, משום שאין בדעתו למחול ולהפסיד חובו כו'. ואני אומר אף דכתבו התוס' והרא"ש לחד שינויא כן, לא קי"ל הכי אלא כשינויא בתרא, וכמ"ש הטור וגם המחבר בסימן פ"ו סעיף ה' בהדיא שאינו יכול למחלו להלוה, עכ"ל סמ"ע [סק"א]. ויפה כתב, דכ"כ הטור והמחבר בהדיא לקמן סימן פ"ו, וכן הכרעתי לקמן סימן פ"ו סעיף ה' סקי"א והעליתי שכן עיקר, ע"ש. וגם אע"פ שהרא"ש בפסקיו פ"ב דכתובות [שם] לא הזכיר שינויא בתרא דהתוס', מ"מ בתשובותיו כלל ס"ח דין ג' כתב, אף אם היתה האלמנה רוצה למחול ליתום אינה יכולה, כי כבר נשתעבדו כל מי שחייב לה לנושיה מדר' נתן, כדמוכח בכתובות [שם] שאם אמר המלוה שטר אמנה הוא, אינו נאמן משום דחב לנושיו כו', עכ"ל. וכ"כ עוד הרא"ש בתשובה כלל ס"ט דין ג'. ונראה ברור דהרא"ש בתשובותיו חזר בו ממ"ש בפסקיו, והיה ידוע לו להטור כן, או היה נראה לו כן עיקר, לכך כתב הטור לקמן סימן פ"ו [סעיף ו'] תשובות הרא"ש... עוד כתב הסמ"ע [סק"א], דהני מילי כשהגיע הז"פ של לוה שני, אבל אם עדיין לא הגיע זמנו אפשר דיכול למחלו כו'. ונראה שהוציא כן מדברי הר"ן פ"ב דכתובות [שם], ולקמן סימן פ"ו סעיף ה' סקי"א הארכתי בזה דאפילו לשיטת הר"ן אין זה מוכרח, והעליתי שם דאפילו בכתובה שאין חיובה ברור ולא הגיע הז"פ אינה יכולה למחול היכא דמשתעבד הבעל מדר' נתן, וכל שכן בשט"ח שלא הגיע הז"פ דאינו יכול למחול, ש"ך (סק"ז).</w:t>
      </w:r>
    </w:p>
  </w:footnote>
  <w:footnote w:id="4011">
    <w:p w14:paraId="6134C4F6" w14:textId="77777777" w:rsidR="0013116F" w:rsidRDefault="0013116F" w:rsidP="001D49D4">
      <w:pPr>
        <w:pStyle w:val="a9"/>
      </w:pPr>
      <w:r>
        <w:rPr>
          <w:rStyle w:val="ab"/>
        </w:rPr>
        <w:footnoteRef/>
      </w:r>
      <w:r>
        <w:rPr>
          <w:rtl/>
        </w:rPr>
        <w:t xml:space="preserve"> וזהו פוחת שטרו שיתבאר בסימן פ"ד (ס"ד), ב"י.</w:t>
      </w:r>
    </w:p>
  </w:footnote>
  <w:footnote w:id="4012">
    <w:p w14:paraId="4074F818" w14:textId="77777777" w:rsidR="0013116F" w:rsidRDefault="0013116F" w:rsidP="001D49D4">
      <w:pPr>
        <w:pStyle w:val="a9"/>
        <w:rPr>
          <w:rtl/>
        </w:rPr>
      </w:pPr>
      <w:r>
        <w:rPr>
          <w:rStyle w:val="ab"/>
        </w:rPr>
        <w:footnoteRef/>
      </w:r>
      <w:r>
        <w:rPr>
          <w:rtl/>
        </w:rPr>
        <w:t xml:space="preserve"> ונראה, דדוקא כשאומר על מעות שבידו שפלוני הלוה לו, הוא דאין שומעין לו מטעם הנ"ל, אבל כשאומר מעות שבידו הן של פלוני שהפקידן בידי, וידוע שהיה לו פקדון מאחרים, נאמן במיגו דאי בעי הוי נותנם לו דומיא דפרקמטיא הנ"ל. וראיה לזה ממ"ש הטור והמחבר באה"ע סי' פו... דאם אשה אומרת אממון שנמצא תחת ידה דשל פלוני הוא, אפילו הבעל עומד וצווח שלי הוא, נאמנת במיגו דאם היתה רוצה היתה נותנת לו, ומיירי שם אפילו באם ידוע שממון זה תחת ידה, ע"ש. ודוקא להוציא מיד המלוה כתבו הטור והמחבר לקמן סימן צ"ט [טור סעיף י"א ומחבר] סעיף ג' דאינו נאמן, כיון דכבר מוחזק בידו, סמ"ע (סק"ד). וכתב הש"ך דלא נהירא, והראיה שהביא מאה"ע (סי' פו) אינה כלום, דאפילו באשה גופה שלותה, אם המעות הן בעין צריך להחזירו למלוה, וכמ"ש הרמב"ם ס"פ כ"ו מהל' מלוה, וכן שאר פוסקים, והרב בהג"ה באה"ע סימן צ"א סעיף ד', וכן בסמ"ע גופיה לקמן סימן קל"ב ס"ק ג', וא"כ לא עדיף מעות פקדון שביד האשה ממעות ההלואה. משא"כ הכא, דנראה דדוקא בעיסקא קאמר הרא"ש דהוי פלגא מלוה ופלגא פקדון וכדאיתא בש"ס פרק המקבל [ב"מ ק"ד ע"ב] ונתבאר לקמן סימן ק"ח סעיף ד', א"כ לעולם החצי של פקדון של הנותן הוא, וכל הריוח שמגיע מן החצי של הנותן הוא, ואין לו רשות להתעסק באותו חצי של פקדון לצרכו. אבל במעות פקדון הא כתבו התוס' פרק אלו מציאות (כט. ד"ה והוי) דהמפקיד מעות אצל חבירו, אפילו אותן מעות עצמן הם בעין אינו צריך להחזיר לו הם עצמן, דכיון דיש לו רשות להשתמש בהן, הו"ל לוה עלייהו ויכול ליתן לו אחרים תחתיהן. וכדבריהם מוכח בש"ס [ב"מ] פרק המפקיד [דף מ"ג ע"א], א"כ הכא נהי שהפקידן אצלו, מ"מ דידיה נינהו ודין הלואה יש להם. ואולי מיירי הסמ"ע כשהם צרורים וחתומים, אבל פשט לשונו לא משמע כן. ועיין מה שכתבתי בזה עוד לקמן סי' צט סע' א סק"ז-ח.</w:t>
      </w:r>
    </w:p>
  </w:footnote>
  <w:footnote w:id="4013">
    <w:p w14:paraId="625E8BAE" w14:textId="77777777" w:rsidR="0013116F" w:rsidRDefault="0013116F" w:rsidP="001D49D4">
      <w:pPr>
        <w:pStyle w:val="a9"/>
      </w:pPr>
      <w:r>
        <w:rPr>
          <w:rStyle w:val="ab"/>
        </w:rPr>
        <w:footnoteRef/>
      </w:r>
      <w:r>
        <w:rPr>
          <w:rtl/>
        </w:rPr>
        <w:t xml:space="preserve"> כל סעיף זה אין לו שייכות לכאן, דמיירי דוקא כשאין המלוה חב לאחרים בהודאתו, ודין זה הוא בש"ס פרק הכותב </w:t>
      </w:r>
      <w:r>
        <w:rPr>
          <w:sz w:val="16"/>
          <w:szCs w:val="16"/>
          <w:rtl/>
        </w:rPr>
        <w:t>[כתובות פז:]</w:t>
      </w:r>
      <w:r>
        <w:rPr>
          <w:rtl/>
        </w:rPr>
        <w:t>. ומקומו לקמן ס"ס פד, ושם כתבוהו הטור</w:t>
      </w:r>
      <w:r>
        <w:rPr>
          <w:sz w:val="16"/>
          <w:szCs w:val="16"/>
          <w:rtl/>
        </w:rPr>
        <w:t xml:space="preserve"> [סע' ד-ה] </w:t>
      </w:r>
      <w:r>
        <w:rPr>
          <w:rtl/>
        </w:rPr>
        <w:t xml:space="preserve">והמחבר </w:t>
      </w:r>
      <w:r>
        <w:rPr>
          <w:sz w:val="16"/>
          <w:szCs w:val="16"/>
          <w:rtl/>
        </w:rPr>
        <w:t>[סע' ד]</w:t>
      </w:r>
      <w:r>
        <w:rPr>
          <w:rtl/>
        </w:rPr>
        <w:t xml:space="preserve">, ועיין מה שכתבתי שם סק"ו ולא ידעתי למה כתבו המחבר פה, ש"ך </w:t>
      </w:r>
      <w:r>
        <w:rPr>
          <w:sz w:val="16"/>
          <w:szCs w:val="16"/>
          <w:rtl/>
        </w:rPr>
        <w:t>(סק"י)</w:t>
      </w:r>
      <w:r>
        <w:rPr>
          <w:rtl/>
        </w:rPr>
        <w:t>.</w:t>
      </w:r>
    </w:p>
  </w:footnote>
  <w:footnote w:id="4014">
    <w:p w14:paraId="60217FAE" w14:textId="77777777" w:rsidR="0013116F" w:rsidRDefault="0013116F" w:rsidP="001D49D4">
      <w:pPr>
        <w:pStyle w:val="a9"/>
        <w:rPr>
          <w:rtl/>
        </w:rPr>
      </w:pPr>
      <w:r>
        <w:rPr>
          <w:rStyle w:val="ab"/>
        </w:rPr>
        <w:footnoteRef/>
      </w:r>
      <w:r>
        <w:rPr>
          <w:rtl/>
        </w:rPr>
        <w:t xml:space="preserve"> </w:t>
      </w:r>
      <w:r>
        <w:rPr>
          <w:rFonts w:hint="cs"/>
          <w:rtl/>
        </w:rPr>
        <w:t>סימן – כותב וכותב וכותב...</w:t>
      </w:r>
    </w:p>
  </w:footnote>
  <w:footnote w:id="4015">
    <w:p w14:paraId="002C1E84" w14:textId="77777777" w:rsidR="0013116F" w:rsidRDefault="0013116F" w:rsidP="001D49D4">
      <w:pPr>
        <w:pStyle w:val="a9"/>
        <w:rPr>
          <w:rtl/>
        </w:rPr>
      </w:pPr>
      <w:r>
        <w:rPr>
          <w:rStyle w:val="ab"/>
        </w:rPr>
        <w:footnoteRef/>
      </w:r>
      <w:r>
        <w:rPr>
          <w:rtl/>
        </w:rPr>
        <w:t xml:space="preserve"> כלומר מפני תקנת הסופר שיהו מזומנים לו, ב"י.</w:t>
      </w:r>
    </w:p>
  </w:footnote>
  <w:footnote w:id="4016">
    <w:p w14:paraId="379B5B6F" w14:textId="77777777" w:rsidR="0013116F" w:rsidRDefault="0013116F" w:rsidP="001D49D4">
      <w:pPr>
        <w:pStyle w:val="a9"/>
        <w:rPr>
          <w:rtl/>
        </w:rPr>
      </w:pPr>
      <w:r>
        <w:rPr>
          <w:rStyle w:val="ab"/>
        </w:rPr>
        <w:footnoteRef/>
      </w:r>
      <w:r>
        <w:rPr>
          <w:rtl/>
        </w:rPr>
        <w:t xml:space="preserve"> </w:t>
      </w:r>
      <w:r>
        <w:rPr>
          <w:rFonts w:hint="cs"/>
          <w:rtl/>
        </w:rPr>
        <w:t>סימן – ירדה זכותו.</w:t>
      </w:r>
    </w:p>
  </w:footnote>
  <w:footnote w:id="4017">
    <w:p w14:paraId="5E0F94FB" w14:textId="77777777" w:rsidR="0013116F" w:rsidRDefault="0013116F" w:rsidP="001D49D4">
      <w:pPr>
        <w:pStyle w:val="a9"/>
      </w:pPr>
      <w:r>
        <w:rPr>
          <w:rStyle w:val="ab"/>
        </w:rPr>
        <w:footnoteRef/>
      </w:r>
      <w:r>
        <w:rPr>
          <w:rtl/>
        </w:rPr>
        <w:t xml:space="preserve"> ואי פרע מקצת חובו אינו חוזר ולוה באותו שטר אותו מקצת דהוי נמחל שעבודו לאותו מקצת, כ"כ רבינו בסי' נ"ד (סי"ב), ב"י. </w:t>
      </w:r>
      <w:r>
        <w:rPr>
          <w:color w:val="E36C0A" w:themeColor="accent6" w:themeShade="BF"/>
          <w:rtl/>
        </w:rPr>
        <w:t>(וכ"פ בשו"ע)</w:t>
      </w:r>
    </w:p>
  </w:footnote>
  <w:footnote w:id="4018">
    <w:p w14:paraId="16D33961" w14:textId="77777777" w:rsidR="0013116F" w:rsidRDefault="0013116F" w:rsidP="001D49D4">
      <w:pPr>
        <w:pStyle w:val="a9"/>
        <w:rPr>
          <w:rtl/>
        </w:rPr>
      </w:pPr>
      <w:r>
        <w:rPr>
          <w:rStyle w:val="ab"/>
        </w:rPr>
        <w:footnoteRef/>
      </w:r>
      <w:r>
        <w:rPr>
          <w:rtl/>
        </w:rPr>
        <w:t xml:space="preserve"> ונראה דסבירא ליה דעדי מסירה כרתי אף בשטרות, מרדכי. ועידי מסירה כרתי יתבאר בסימן נ"א (ס"ז) בסייעתא דשמיא, ב"י.</w:t>
      </w:r>
    </w:p>
  </w:footnote>
  <w:footnote w:id="4019">
    <w:p w14:paraId="404CE9B2" w14:textId="77777777" w:rsidR="0013116F" w:rsidRDefault="0013116F" w:rsidP="001D49D4">
      <w:pPr>
        <w:pStyle w:val="a9"/>
        <w:rPr>
          <w:rtl/>
        </w:rPr>
      </w:pPr>
      <w:r>
        <w:rPr>
          <w:rStyle w:val="ab"/>
        </w:rPr>
        <w:footnoteRef/>
      </w:r>
      <w:r>
        <w:rPr>
          <w:rtl/>
        </w:rPr>
        <w:t xml:space="preserve"> וכתב ב"י (סי' סא מחו' יח) בשם הר"ש בר צמח (ח"א סי' כד) שאם אינו רוצה להחזירו מנדין אותו עד שיחזירנו עכ"ל, ועיין לקמן סימן נ"ז (ס"א) ועיין לקמן סימן ע"א מדין זה. וכתב ב"י סימן ס"א (שם) עוד בשם הרשב"א (ח"ג סו"ס נז) מי שהוציא שטר על חבירו והדין שלא יגבה בו והלוה טוען שיחזיר לו שטרו - אינו חייב להחזיר, דהתם המלוה נותן שכר הסופר על כן הנייר שלו לצור על פי צלוחיתו, אבל בלאו הכי לא, דרכ"מ (אות א).</w:t>
      </w:r>
    </w:p>
  </w:footnote>
  <w:footnote w:id="4020">
    <w:p w14:paraId="61AE38FD" w14:textId="77777777" w:rsidR="0013116F" w:rsidRDefault="0013116F" w:rsidP="001D49D4">
      <w:pPr>
        <w:pStyle w:val="a9"/>
        <w:rPr>
          <w:rtl/>
        </w:rPr>
      </w:pPr>
      <w:r>
        <w:rPr>
          <w:rStyle w:val="ab"/>
        </w:rPr>
        <w:footnoteRef/>
      </w:r>
      <w:r>
        <w:rPr>
          <w:rtl/>
        </w:rPr>
        <w:t xml:space="preserve"> ומכיון דאינו מצי לגבות בו משועבדים אינו גובה מיניה אפילו מבני חורין, דכיון דנתבטלה העדות לענין שעבוד, ה"ל עדות שבטלה מקצתה בטלה כולה, עיר שושן. והסמ"ע </w:t>
      </w:r>
      <w:r>
        <w:rPr>
          <w:sz w:val="16"/>
          <w:szCs w:val="16"/>
          <w:rtl/>
        </w:rPr>
        <w:t>(סק"א)</w:t>
      </w:r>
      <w:r>
        <w:rPr>
          <w:rtl/>
        </w:rPr>
        <w:t xml:space="preserve"> חלק עליו וכתב דמצי גובה בו. אך הש"ך (סק"ב) כתב שכל דברי הסמ"ע אינם נהירים וכתב שעיקר כדברי העיר שושן. וכתב שכ"כ הריב"ש (סי' שפב), והרמב"ם (פי"ד מהל' מלוה ה"ז), ומביאו ב"י בקצרה בסימן מ"ג סוף סעיף ח'.</w:t>
      </w:r>
    </w:p>
  </w:footnote>
  <w:footnote w:id="4021">
    <w:p w14:paraId="73CD2E41" w14:textId="77777777" w:rsidR="0013116F" w:rsidRDefault="0013116F" w:rsidP="001D49D4">
      <w:pPr>
        <w:pStyle w:val="a9"/>
        <w:rPr>
          <w:rtl/>
        </w:rPr>
      </w:pPr>
      <w:r>
        <w:rPr>
          <w:rStyle w:val="ab"/>
        </w:rPr>
        <w:footnoteRef/>
      </w:r>
      <w:r>
        <w:rPr>
          <w:rtl/>
        </w:rPr>
        <w:t xml:space="preserve"> לשון המרדכי- אם היו עדי חתימה - יכולים לחזור וללוות בו, שהרי עיקר שעבודו במסירתו כו'. וכתב הש"ך (סק"ה) דמשמע דר"ל דהיינו דוקא כשחזר ומסרו לו בפני עדי החתימה, או שלא היו שם עדי חתימה כלל רק עדי מסירה, וחזר ומסרו לו עתה בפני עדים אחרים. אבל אם היו שם עדי חתימה ועתה מסרו לו בפני עדים אחרים, לא מהני. והטעם נראה לפע"ד, דכיון דעדים אלו שחתומים מעידים שחייב לו, ובאמת כבר בטל שטר זה, א"כ ה"ל שטר זה כמזוייף מתוכו דמודה ביה ר' אליעזר דלא מהני עדי מסירה. ולפי זה קיצר הר"ב בדבר.</w:t>
      </w:r>
    </w:p>
  </w:footnote>
  <w:footnote w:id="4022">
    <w:p w14:paraId="2174667B" w14:textId="77777777" w:rsidR="0013116F" w:rsidRDefault="0013116F" w:rsidP="001D49D4">
      <w:pPr>
        <w:pStyle w:val="a9"/>
      </w:pPr>
      <w:r>
        <w:rPr>
          <w:rStyle w:val="ab"/>
        </w:rPr>
        <w:footnoteRef/>
      </w:r>
      <w:r>
        <w:rPr>
          <w:rtl/>
        </w:rPr>
        <w:t xml:space="preserve"> בסופו סע' ז. שם [בסק"ט] כתבתי דהרבה פוסקים חולקין, וס"ל דלא אמרינן עדי מסירה כרתי בשטרות ע"ש, ש"ך (סק"ו).</w:t>
      </w:r>
    </w:p>
  </w:footnote>
  <w:footnote w:id="4023">
    <w:p w14:paraId="098C41B2" w14:textId="77777777" w:rsidR="0013116F" w:rsidRDefault="0013116F" w:rsidP="001D49D4">
      <w:pPr>
        <w:pStyle w:val="a9"/>
      </w:pPr>
      <w:r>
        <w:rPr>
          <w:rStyle w:val="ab"/>
        </w:rPr>
        <w:footnoteRef/>
      </w:r>
      <w:r>
        <w:rPr>
          <w:rtl/>
        </w:rPr>
        <w:t xml:space="preserve"> ויפה כיון, וכן נ"ל. ומיהו נראה דהיינו דוקא אם חזר ולוה בו ביום, דאל"כ אף שאינו טורף בו ממשעבדי, מ"מ הא קי"ל דמלוה על פה מוקדם קודם למלוה בשטר מאוחר לענין גביה מבני חרי, וכמ"ש הטור והמחבר בסי' קד סע' יג. ואפילו למאן דפליג שם אזה וכמ"ש הטור שם, מ"מ כו"ע מודים דמלוה על פה מוקדם קודם למלוה על פה מאוחר, ואם יחזור וילוה בזה תהיה קדימתו שלא כדין, סמ"ע (סק"א). וכתב הש"ך (סק"ב) דהסמ"ע מיירי שהלוה לו בעדים, דאל"כ אינו קודם למלוה ע"פ כלל, וא"כ אפילו ביום אחר יכול ללוות בו. ומיירי נמי שלא מסר לו הכת"י בפני עדים, דאל"כ טורף נמי ממשעבדי למ"ד דעדי מסירה כרתי, כדלעיל סימן מ' [סע' ב] ולקמן סוף סימן נ"א [סע' ז], ואם כן כשפרעו נמחל שעבודו ובטל כולו, ואינו חוזר ולוה בו אפילו בו ביום.</w:t>
      </w:r>
    </w:p>
  </w:footnote>
  <w:footnote w:id="4024">
    <w:p w14:paraId="64C1084D" w14:textId="77777777" w:rsidR="0013116F" w:rsidRDefault="0013116F" w:rsidP="001D49D4">
      <w:pPr>
        <w:pStyle w:val="a9"/>
        <w:rPr>
          <w:rtl/>
        </w:rPr>
      </w:pPr>
      <w:r>
        <w:rPr>
          <w:rStyle w:val="ab"/>
        </w:rPr>
        <w:footnoteRef/>
      </w:r>
      <w:r>
        <w:rPr>
          <w:rtl/>
        </w:rPr>
        <w:t xml:space="preserve"> מיהו, אם כתב בכת"י כל מי שמוציאו גובה בו, או בממרמו"ת שלנו, ודאי דגם הב"ח מודה שחוזר ולוה בו, ש"ך (סק"ב).</w:t>
      </w:r>
    </w:p>
  </w:footnote>
  <w:footnote w:id="4025">
    <w:p w14:paraId="5C686C7B" w14:textId="77777777" w:rsidR="0013116F" w:rsidRDefault="0013116F" w:rsidP="001D49D4">
      <w:pPr>
        <w:pStyle w:val="a9"/>
      </w:pPr>
      <w:r>
        <w:rPr>
          <w:rStyle w:val="ab"/>
        </w:rPr>
        <w:footnoteRef/>
      </w:r>
      <w:r>
        <w:rPr>
          <w:rtl/>
        </w:rPr>
        <w:t xml:space="preserve"> ר"ל, יכתוב נגד חתימתו שנתחייב לו בכפליים ממה שהיה כתוב בראשונה למטה מחתימתו. ומה שכתב כנגדה ממש, לאו דוקא קאמר, דהא אף אם יכתוב הסך למעלה מחתימתו בשורה שניה אין לחוש שיחתוך אותו סך, דא"כ לא נשאר בהנייר למעלה מחתימתו כי אם כדי שורה אחת חלק, ואנן בעינן שיהא ראוי לכתוב שטר בהנייר שעל גבי חתימתו, ושטר שנכתב בשורה אחת הוא פסול... וכן אם יכתוב הסך למטה מחתימתו ממש אין לחוש שיחתכנו, דא"כ יהיה זיופו ניכר, דאין דרך בני אדם שיחתום אדם על ממר"ם למטה בשולי נייר ממש. לכן א"צ אדם ליזהר בכתיבת הסך שיהא נגד החתימה ממש, רק שלא יהא הרבה למעלה או למטה ממנו, סמ"ע (סק"א). אך הש"ך (סק"ב) כתב כדברי העיר שושן דצריך לחתום דוקא כנגדו ממש, דאל"כ פסול אם חתם למטה בענין שיכול לחתכו, דשמא יכתוב למעלה מחתימתו מה דבעי, ויעשה חתימתו מטה ולא ממרני, וכדאמרינן [ב"ב קסז.] לא ליחתום אינש אלא ארישא דמגילתא.</w:t>
      </w:r>
    </w:p>
  </w:footnote>
  <w:footnote w:id="4026">
    <w:p w14:paraId="2D1683DA" w14:textId="77777777" w:rsidR="0013116F" w:rsidRDefault="0013116F" w:rsidP="001D49D4">
      <w:pPr>
        <w:pStyle w:val="a9"/>
        <w:rPr>
          <w:rtl/>
        </w:rPr>
      </w:pPr>
      <w:r>
        <w:rPr>
          <w:rStyle w:val="ab"/>
        </w:rPr>
        <w:footnoteRef/>
      </w:r>
      <w:r>
        <w:rPr>
          <w:rtl/>
        </w:rPr>
        <w:t xml:space="preserve"> ומאי דפשיט ליה קמיבעיא לי טובא, דהא הלכתא כרבא דאמר בפרק גט פשוט </w:t>
      </w:r>
      <w:r>
        <w:rPr>
          <w:sz w:val="16"/>
          <w:szCs w:val="16"/>
          <w:rtl/>
        </w:rPr>
        <w:t xml:space="preserve">[ב"ב קעב:] </w:t>
      </w:r>
      <w:r>
        <w:rPr>
          <w:rtl/>
        </w:rPr>
        <w:t xml:space="preserve">דלנפילה לא חיישינן. וגם אין זה חזקה כ"כ דלא יאמין לו, דהא בגמ' </w:t>
      </w:r>
      <w:r>
        <w:rPr>
          <w:sz w:val="16"/>
          <w:szCs w:val="16"/>
          <w:rtl/>
        </w:rPr>
        <w:t>[כתובות יט.]</w:t>
      </w:r>
      <w:r>
        <w:rPr>
          <w:rtl/>
        </w:rPr>
        <w:t xml:space="preserve"> ובכל הפוסקים איירי בדין לוה דטען שטר אמנה הוא דמדרך בני אדם להאמין זה לזה, ולא חילקו אף אם השטר הוא על סך אלפי אלפים... והמחבר נראה דמחלק, וס"ל דרגיל אדם להאמין לחבירו, אבל למי שחייב לו מעט אינו נותן בידו שטר שיכול לתובעו בו הרבה. ולע"ד נראה איפכא, דכשאדם צריך למעות ואין חבירו רוצה להלוות לו כי אם באופן זה שיתן לו סתם ממר"ם, כדי שיוכל לכתוב עליו סך הזיקותיו או שאר עניניו שיארע לו שאינו יכול למפרט עתה, עביד הוא דמאמין הלוה למלוה ומשתעבד ליה מרצונו לזה, וגם זה הוא בכלל אמרם עבד לוה לאיש מלוה, לעת דחקו הגדול, סמ"ע (סק"א).</w:t>
      </w:r>
    </w:p>
  </w:footnote>
  <w:footnote w:id="4027">
    <w:p w14:paraId="53CCFB84" w14:textId="77777777" w:rsidR="0013116F" w:rsidRDefault="0013116F" w:rsidP="001D49D4">
      <w:pPr>
        <w:pStyle w:val="a9"/>
        <w:rPr>
          <w:rtl/>
        </w:rPr>
      </w:pPr>
      <w:r>
        <w:rPr>
          <w:rStyle w:val="ab"/>
        </w:rPr>
        <w:footnoteRef/>
      </w:r>
      <w:r>
        <w:rPr>
          <w:rtl/>
        </w:rPr>
        <w:t xml:space="preserve"> ובעיני נראה פשוט דז"א לפי סברתו, דמאחר דהוא מודה דמתחילה מסר ביד זה סתם ממר"ם זו והלוה עליו, הרי מעיד אנפשיה לפנינו שהוא האמין לו, ואיך נאמין לו במה שאומר פרעתי במיגו דלא לויתי עליו דהיה נאמן עליו משום דחזקה הוא דאין אדם מאמין ממר"ם כזה, כיון דלפי הודאתו אינו הוא בכלל החזקה שהרי האמינו, סמ"ע (סק"א). וכתב הש"ך (סק"ב) לעיין במה שכתב לקמן סימן ס"ט סקי"ז מזה. </w:t>
      </w:r>
    </w:p>
  </w:footnote>
  <w:footnote w:id="4028">
    <w:p w14:paraId="79D9CF11" w14:textId="77777777" w:rsidR="0013116F" w:rsidRDefault="0013116F" w:rsidP="001D49D4">
      <w:pPr>
        <w:pStyle w:val="a9"/>
        <w:spacing w:after="60"/>
        <w:rPr>
          <w:rFonts w:ascii="Arial" w:hAnsi="Arial"/>
          <w:rtl/>
        </w:rPr>
      </w:pPr>
      <w:r>
        <w:rPr>
          <w:rStyle w:val="ab"/>
          <w:rFonts w:ascii="Arial" w:hAnsi="Arial"/>
        </w:rPr>
        <w:footnoteRef/>
      </w:r>
      <w:r>
        <w:rPr>
          <w:rFonts w:ascii="Arial" w:hAnsi="Arial"/>
          <w:rtl/>
        </w:rPr>
        <w:t xml:space="preserve"> </w:t>
      </w:r>
      <w:r>
        <w:rPr>
          <w:rFonts w:ascii="Arial" w:hAnsi="Arial" w:hint="cs"/>
          <w:rtl/>
        </w:rPr>
        <w:t>סימן – לכתוב דאתקרי. וכן – דיווח לוואי.</w:t>
      </w:r>
    </w:p>
  </w:footnote>
  <w:footnote w:id="4029">
    <w:p w14:paraId="33E9B065" w14:textId="77777777" w:rsidR="0013116F" w:rsidRDefault="0013116F" w:rsidP="001D49D4">
      <w:pPr>
        <w:pStyle w:val="a9"/>
        <w:spacing w:after="60"/>
        <w:rPr>
          <w:rFonts w:ascii="Arial" w:hAnsi="Arial"/>
        </w:rPr>
      </w:pPr>
      <w:r>
        <w:rPr>
          <w:rStyle w:val="ab"/>
          <w:rFonts w:ascii="Arial" w:hAnsi="Arial"/>
        </w:rPr>
        <w:footnoteRef/>
      </w:r>
      <w:r>
        <w:rPr>
          <w:rFonts w:ascii="Arial" w:hAnsi="Arial"/>
          <w:rtl/>
        </w:rPr>
        <w:t xml:space="preserve"> כשהיו לו שני שמות אחד כאן ואחד במדינת הים היה מגרשה בשם הנוהג במקום כתיבת הגט ולא היה מקפיד לכתוב שניהם, רש"י.</w:t>
      </w:r>
    </w:p>
  </w:footnote>
  <w:footnote w:id="4030">
    <w:p w14:paraId="2720D7DA" w14:textId="77777777" w:rsidR="0013116F" w:rsidRDefault="0013116F" w:rsidP="001D49D4">
      <w:pPr>
        <w:pStyle w:val="a9"/>
        <w:spacing w:after="60"/>
        <w:rPr>
          <w:rFonts w:ascii="Arial" w:hAnsi="Arial"/>
        </w:rPr>
      </w:pPr>
      <w:r>
        <w:rPr>
          <w:rStyle w:val="ab"/>
          <w:rFonts w:ascii="Arial" w:hAnsi="Arial"/>
        </w:rPr>
        <w:footnoteRef/>
      </w:r>
      <w:r>
        <w:rPr>
          <w:rFonts w:ascii="Arial" w:hAnsi="Arial"/>
          <w:rtl/>
        </w:rPr>
        <w:t xml:space="preserve"> שלא יוציאו לעז על בניה מן השני לאמר לא גירשה בעלה שאין זה שמו, רש"י.</w:t>
      </w:r>
    </w:p>
  </w:footnote>
  <w:footnote w:id="4031">
    <w:p w14:paraId="320592C6" w14:textId="77777777" w:rsidR="0013116F" w:rsidRDefault="0013116F" w:rsidP="001D49D4">
      <w:pPr>
        <w:pStyle w:val="a9"/>
        <w:spacing w:after="60"/>
        <w:rPr>
          <w:rFonts w:ascii="Arial" w:hAnsi="Arial"/>
        </w:rPr>
      </w:pPr>
      <w:r>
        <w:rPr>
          <w:rStyle w:val="ab"/>
          <w:rFonts w:ascii="Arial" w:hAnsi="Arial"/>
        </w:rPr>
        <w:footnoteRef/>
      </w:r>
      <w:r>
        <w:rPr>
          <w:rFonts w:ascii="Arial" w:hAnsi="Arial"/>
          <w:rtl/>
        </w:rPr>
        <w:t xml:space="preserve"> אבל לא אתחזק כאן שיש לו שני שמות אין צריך לכתוב וכל שום שיש לו ואפי' נודע לאחר זמן שיש לו שם אחר הוי הגט כשר שאין לנו אלא שם שקרא הוא לעצמו בפנינו והוחזק בו, רש"י.</w:t>
      </w:r>
    </w:p>
  </w:footnote>
  <w:footnote w:id="4032">
    <w:p w14:paraId="1ADC81D6" w14:textId="77777777" w:rsidR="0013116F" w:rsidRDefault="0013116F" w:rsidP="001D49D4">
      <w:pPr>
        <w:pStyle w:val="a9"/>
        <w:spacing w:after="60"/>
        <w:rPr>
          <w:rFonts w:ascii="Arial" w:hAnsi="Arial"/>
        </w:rPr>
      </w:pPr>
      <w:r>
        <w:rPr>
          <w:rStyle w:val="ab"/>
          <w:rFonts w:ascii="Arial" w:hAnsi="Arial"/>
        </w:rPr>
        <w:footnoteRef/>
      </w:r>
      <w:r>
        <w:rPr>
          <w:rFonts w:ascii="Arial" w:hAnsi="Arial"/>
          <w:rtl/>
        </w:rPr>
        <w:t xml:space="preserve"> מיעוט בני עירם היו קוראין את שמה שרה, רש"י.</w:t>
      </w:r>
    </w:p>
  </w:footnote>
  <w:footnote w:id="4033">
    <w:p w14:paraId="186DA24C" w14:textId="77777777" w:rsidR="0013116F" w:rsidRDefault="0013116F" w:rsidP="001D49D4">
      <w:pPr>
        <w:pStyle w:val="a9"/>
        <w:spacing w:after="60"/>
        <w:rPr>
          <w:rFonts w:ascii="Arial" w:hAnsi="Arial"/>
        </w:rPr>
      </w:pPr>
      <w:r>
        <w:rPr>
          <w:rStyle w:val="ab"/>
          <w:rFonts w:ascii="Arial" w:hAnsi="Arial"/>
        </w:rPr>
        <w:footnoteRef/>
      </w:r>
      <w:r>
        <w:rPr>
          <w:rFonts w:ascii="Arial" w:hAnsi="Arial"/>
          <w:rtl/>
        </w:rPr>
        <w:t xml:space="preserve"> צריך לכתוב בגט שהוא עיקר והדר וכל שום דאית לה, רש"י. </w:t>
      </w:r>
    </w:p>
  </w:footnote>
  <w:footnote w:id="4034">
    <w:p w14:paraId="40F7EFE3" w14:textId="77777777" w:rsidR="0013116F" w:rsidRDefault="0013116F" w:rsidP="001D49D4">
      <w:pPr>
        <w:pStyle w:val="a9"/>
        <w:spacing w:after="60"/>
        <w:rPr>
          <w:rFonts w:ascii="Arial" w:hAnsi="Arial"/>
          <w:rtl/>
        </w:rPr>
      </w:pPr>
      <w:r>
        <w:rPr>
          <w:rStyle w:val="ab"/>
          <w:rFonts w:ascii="Arial" w:hAnsi="Arial"/>
        </w:rPr>
        <w:footnoteRef/>
      </w:r>
      <w:r>
        <w:rPr>
          <w:rFonts w:ascii="Arial" w:hAnsi="Arial"/>
          <w:rtl/>
        </w:rPr>
        <w:t xml:space="preserve"> שם שמלוין אותו לשם העצם.</w:t>
      </w:r>
    </w:p>
  </w:footnote>
  <w:footnote w:id="4035">
    <w:p w14:paraId="02BAACBD" w14:textId="77777777" w:rsidR="0013116F" w:rsidRDefault="0013116F" w:rsidP="001D49D4">
      <w:pPr>
        <w:pStyle w:val="a9"/>
        <w:spacing w:after="60"/>
        <w:rPr>
          <w:rFonts w:ascii="Arial" w:hAnsi="Arial"/>
        </w:rPr>
      </w:pPr>
      <w:r>
        <w:rPr>
          <w:rStyle w:val="ab"/>
          <w:rFonts w:ascii="Arial" w:hAnsi="Arial"/>
        </w:rPr>
        <w:footnoteRef/>
      </w:r>
      <w:r>
        <w:rPr>
          <w:rFonts w:ascii="Arial" w:hAnsi="Arial"/>
          <w:rtl/>
        </w:rPr>
        <w:t xml:space="preserve"> וראיה לזה מהמשנה בבבא בתרא שמובאת בסמוך.</w:t>
      </w:r>
    </w:p>
  </w:footnote>
  <w:footnote w:id="4036">
    <w:p w14:paraId="4E8176E5" w14:textId="77777777" w:rsidR="0013116F" w:rsidRDefault="0013116F" w:rsidP="001D49D4">
      <w:pPr>
        <w:pStyle w:val="a9"/>
        <w:spacing w:after="60"/>
        <w:rPr>
          <w:rFonts w:ascii="Arial" w:hAnsi="Arial"/>
        </w:rPr>
      </w:pPr>
      <w:r>
        <w:rPr>
          <w:rStyle w:val="ab"/>
          <w:rFonts w:ascii="Arial" w:hAnsi="Arial"/>
        </w:rPr>
        <w:footnoteRef/>
      </w:r>
      <w:r>
        <w:rPr>
          <w:rFonts w:ascii="Arial" w:hAnsi="Arial"/>
          <w:rtl/>
        </w:rPr>
        <w:t xml:space="preserve"> </w:t>
      </w:r>
      <w:r>
        <w:rPr>
          <w:rFonts w:ascii="Arial" w:hAnsi="Arial" w:hint="cs"/>
          <w:rtl/>
        </w:rPr>
        <w:t>סימן – ב' קרואים ערן. וכן - ב' קרואים בעיר. וכן - ב' קרנא בעיר.</w:t>
      </w:r>
    </w:p>
  </w:footnote>
  <w:footnote w:id="4037">
    <w:p w14:paraId="57BB1DC9" w14:textId="77777777" w:rsidR="0013116F" w:rsidRDefault="0013116F" w:rsidP="001D49D4">
      <w:pPr>
        <w:pStyle w:val="a9"/>
        <w:spacing w:after="60"/>
        <w:rPr>
          <w:rFonts w:ascii="Arial" w:hAnsi="Arial"/>
        </w:rPr>
      </w:pPr>
      <w:r>
        <w:rPr>
          <w:rStyle w:val="ab"/>
          <w:rFonts w:ascii="Arial" w:hAnsi="Arial"/>
        </w:rPr>
        <w:footnoteRef/>
      </w:r>
      <w:r>
        <w:rPr>
          <w:rFonts w:ascii="Arial" w:hAnsi="Arial"/>
          <w:rtl/>
        </w:rPr>
        <w:t xml:space="preserve"> שיכול הלה לטעון שטר זה שבידך אני החזרתיו לך כשהחזרת לי ממון שלוית בו ממני, רשב"ם.</w:t>
      </w:r>
    </w:p>
  </w:footnote>
  <w:footnote w:id="4038">
    <w:p w14:paraId="40729CC2" w14:textId="77777777" w:rsidR="0013116F" w:rsidRDefault="0013116F" w:rsidP="001D49D4">
      <w:pPr>
        <w:pStyle w:val="a9"/>
        <w:spacing w:after="60"/>
        <w:rPr>
          <w:rFonts w:ascii="Arial" w:hAnsi="Arial"/>
          <w:rtl/>
        </w:rPr>
      </w:pPr>
      <w:r>
        <w:rPr>
          <w:rStyle w:val="ab"/>
          <w:rFonts w:ascii="Arial" w:hAnsi="Arial"/>
        </w:rPr>
        <w:footnoteRef/>
      </w:r>
      <w:r>
        <w:rPr>
          <w:rFonts w:ascii="Arial" w:hAnsi="Arial"/>
          <w:rtl/>
        </w:rPr>
        <w:t xml:space="preserve"> על אחד מהם דכל חד מצי מדחי ליה אצל חבירו אא"כ יש עדים בדבר שמעידין זה לוה מזה אבל מן השטר אין יכולין להביא ראיה, רשב"ם. </w:t>
      </w:r>
    </w:p>
  </w:footnote>
  <w:footnote w:id="4039">
    <w:p w14:paraId="07F4982B" w14:textId="77777777" w:rsidR="0013116F" w:rsidRDefault="0013116F" w:rsidP="001D49D4">
      <w:pPr>
        <w:pStyle w:val="a9"/>
        <w:spacing w:after="60"/>
        <w:rPr>
          <w:rFonts w:ascii="Arial" w:hAnsi="Arial"/>
          <w:rtl/>
        </w:rPr>
      </w:pPr>
      <w:r>
        <w:rPr>
          <w:rStyle w:val="ab"/>
          <w:rFonts w:ascii="Arial" w:hAnsi="Arial"/>
        </w:rPr>
        <w:footnoteRef/>
      </w:r>
      <w:r>
        <w:rPr>
          <w:rFonts w:ascii="Arial" w:hAnsi="Arial"/>
          <w:rtl/>
        </w:rPr>
        <w:t xml:space="preserve"> אם רוצים ללוות זה מזה או מאיש אחר או לקנות קרקע, רשב"ם.</w:t>
      </w:r>
    </w:p>
  </w:footnote>
  <w:footnote w:id="4040">
    <w:p w14:paraId="4D7E6D5B" w14:textId="77777777" w:rsidR="0013116F" w:rsidRDefault="0013116F" w:rsidP="001D49D4">
      <w:pPr>
        <w:pStyle w:val="a9"/>
        <w:spacing w:after="60"/>
        <w:rPr>
          <w:rFonts w:ascii="Arial" w:hAnsi="Arial"/>
          <w:rtl/>
        </w:rPr>
      </w:pPr>
      <w:r>
        <w:rPr>
          <w:rStyle w:val="ab"/>
          <w:rFonts w:ascii="Arial" w:hAnsi="Arial"/>
        </w:rPr>
        <w:footnoteRef/>
      </w:r>
      <w:r>
        <w:rPr>
          <w:rFonts w:ascii="Arial" w:hAnsi="Arial"/>
          <w:rtl/>
        </w:rPr>
        <w:t xml:space="preserve"> אבי אביו ויכתוב יוסף בן שמעון בן יעקב וזה יכתוב יוסף בן שמעון בן נפתלי, רשב"ם.</w:t>
      </w:r>
    </w:p>
  </w:footnote>
  <w:footnote w:id="4041">
    <w:p w14:paraId="06361DB2" w14:textId="77777777" w:rsidR="0013116F" w:rsidRDefault="0013116F" w:rsidP="001D49D4">
      <w:pPr>
        <w:pStyle w:val="a9"/>
        <w:spacing w:after="60"/>
        <w:rPr>
          <w:rFonts w:ascii="Arial" w:hAnsi="Arial"/>
          <w:rtl/>
        </w:rPr>
      </w:pPr>
      <w:r>
        <w:rPr>
          <w:rStyle w:val="ab"/>
          <w:rFonts w:ascii="Arial" w:hAnsi="Arial"/>
        </w:rPr>
        <w:footnoteRef/>
      </w:r>
      <w:r>
        <w:rPr>
          <w:rFonts w:ascii="Arial" w:hAnsi="Arial"/>
          <w:rtl/>
        </w:rPr>
        <w:t xml:space="preserve"> ששמותיהן ושמות אביהן ושמות אבי אביהן שוין, רשב"ם.</w:t>
      </w:r>
    </w:p>
  </w:footnote>
  <w:footnote w:id="4042">
    <w:p w14:paraId="651DDCC6" w14:textId="77777777" w:rsidR="0013116F" w:rsidRDefault="0013116F" w:rsidP="001D49D4">
      <w:pPr>
        <w:pStyle w:val="a9"/>
        <w:spacing w:after="60"/>
        <w:rPr>
          <w:rFonts w:ascii="Arial" w:hAnsi="Arial"/>
        </w:rPr>
      </w:pPr>
      <w:r>
        <w:rPr>
          <w:rStyle w:val="ab"/>
          <w:rFonts w:ascii="Arial" w:hAnsi="Arial"/>
        </w:rPr>
        <w:footnoteRef/>
      </w:r>
      <w:r>
        <w:rPr>
          <w:rFonts w:ascii="Arial" w:hAnsi="Arial"/>
          <w:rtl/>
        </w:rPr>
        <w:t xml:space="preserve"> יוסף בן שמעון שהוא גוץ או לבן או גיחור לוה מיוסף בן שמעון שהוא ארוך או שחור, רשב"ם.</w:t>
      </w:r>
    </w:p>
  </w:footnote>
  <w:footnote w:id="4043">
    <w:p w14:paraId="45AB9117" w14:textId="77777777" w:rsidR="0013116F" w:rsidRDefault="0013116F" w:rsidP="001D49D4">
      <w:pPr>
        <w:pStyle w:val="a9"/>
        <w:spacing w:after="60"/>
        <w:rPr>
          <w:rFonts w:ascii="Arial" w:hAnsi="Arial"/>
        </w:rPr>
      </w:pPr>
      <w:r>
        <w:rPr>
          <w:rStyle w:val="ab"/>
          <w:rFonts w:ascii="Arial" w:hAnsi="Arial"/>
        </w:rPr>
        <w:footnoteRef/>
      </w:r>
      <w:r>
        <w:rPr>
          <w:rFonts w:ascii="Arial" w:hAnsi="Arial"/>
          <w:rtl/>
        </w:rPr>
        <w:t xml:space="preserve"> שוין, רשב"ם.</w:t>
      </w:r>
    </w:p>
  </w:footnote>
  <w:footnote w:id="4044">
    <w:p w14:paraId="61E9EE2E" w14:textId="77777777" w:rsidR="0013116F" w:rsidRDefault="0013116F" w:rsidP="001D49D4">
      <w:pPr>
        <w:pStyle w:val="a9"/>
        <w:spacing w:after="60"/>
        <w:rPr>
          <w:rFonts w:ascii="Arial" w:hAnsi="Arial"/>
          <w:rtl/>
        </w:rPr>
      </w:pPr>
      <w:r>
        <w:rPr>
          <w:rStyle w:val="ab"/>
          <w:rFonts w:ascii="Arial" w:hAnsi="Arial"/>
        </w:rPr>
        <w:footnoteRef/>
      </w:r>
      <w:r>
        <w:rPr>
          <w:rFonts w:ascii="Arial" w:hAnsi="Arial"/>
          <w:rtl/>
        </w:rPr>
        <w:t xml:space="preserve"> אם אחד מהן כהן יכתבו יוסף כהן לוה מיוסף ישראל, רשב"ם.</w:t>
      </w:r>
    </w:p>
  </w:footnote>
  <w:footnote w:id="4045">
    <w:p w14:paraId="666337D8" w14:textId="77777777" w:rsidR="0013116F" w:rsidRDefault="0013116F" w:rsidP="001D49D4">
      <w:pPr>
        <w:pStyle w:val="a9"/>
        <w:spacing w:after="60"/>
        <w:rPr>
          <w:rFonts w:ascii="Arial" w:hAnsi="Arial"/>
        </w:rPr>
      </w:pPr>
      <w:r>
        <w:rPr>
          <w:rStyle w:val="ab"/>
          <w:rFonts w:ascii="Arial" w:hAnsi="Arial"/>
        </w:rPr>
        <w:footnoteRef/>
      </w:r>
      <w:r>
        <w:rPr>
          <w:rFonts w:ascii="Arial" w:hAnsi="Arial"/>
          <w:rtl/>
        </w:rPr>
        <w:t xml:space="preserve"> פירוש, אפילו לכתחילה אין צריך, משא"כ בגט דצריך לכתוב לכתחילה שם העיקר וכל שום וחניכה דאית ליה כמ"ש באה"ע (סי' קכ"ט ס"א), סמ"ע (סק"א).</w:t>
      </w:r>
    </w:p>
  </w:footnote>
  <w:footnote w:id="4046">
    <w:p w14:paraId="07625135" w14:textId="77777777" w:rsidR="0013116F" w:rsidRDefault="0013116F" w:rsidP="001D49D4">
      <w:pPr>
        <w:spacing w:after="60" w:line="240" w:lineRule="auto"/>
        <w:rPr>
          <w:rFonts w:ascii="Arial" w:hAnsi="Arial"/>
          <w:sz w:val="20"/>
          <w:szCs w:val="20"/>
          <w:rtl/>
        </w:rPr>
      </w:pPr>
      <w:r>
        <w:rPr>
          <w:rStyle w:val="ab"/>
          <w:rFonts w:ascii="Arial" w:hAnsi="Arial"/>
          <w:sz w:val="20"/>
          <w:szCs w:val="20"/>
        </w:rPr>
        <w:footnoteRef/>
      </w:r>
      <w:r>
        <w:rPr>
          <w:rFonts w:ascii="Arial" w:hAnsi="Arial"/>
          <w:sz w:val="20"/>
          <w:szCs w:val="20"/>
          <w:rtl/>
        </w:rPr>
        <w:t xml:space="preserve"> כותבין וחותמין לו והוא יגרש בו את אשתו כשירצה אף על פי שאין אשתו עמו בשעה שנותנין לו הגט כתוב וחתום דהא לא בעינן דעתה שהרי היא מתגרשת בעל כרחה, רשב"ם.</w:t>
      </w:r>
    </w:p>
  </w:footnote>
  <w:footnote w:id="4047">
    <w:p w14:paraId="61D21BC5" w14:textId="77777777" w:rsidR="0013116F" w:rsidRDefault="0013116F" w:rsidP="001D49D4">
      <w:pPr>
        <w:pStyle w:val="a9"/>
        <w:spacing w:after="60"/>
        <w:rPr>
          <w:rFonts w:ascii="Arial" w:hAnsi="Arial"/>
          <w:rtl/>
        </w:rPr>
      </w:pPr>
      <w:r>
        <w:rPr>
          <w:rStyle w:val="ab"/>
          <w:rFonts w:ascii="Arial" w:hAnsi="Arial"/>
        </w:rPr>
        <w:footnoteRef/>
      </w:r>
      <w:r>
        <w:rPr>
          <w:rFonts w:ascii="Arial" w:hAnsi="Arial"/>
          <w:rtl/>
        </w:rPr>
        <w:t xml:space="preserve"> דלדידה חוב הוא ולבעלה הוי זכות וזכין לאדם שלא בפניו והיא צריכה להזהר בו שלא יבא ליד בעלה עד שתקבל כסף כתובתה, רשב"ם.</w:t>
      </w:r>
    </w:p>
  </w:footnote>
  <w:footnote w:id="4048">
    <w:p w14:paraId="54803346" w14:textId="77777777" w:rsidR="0013116F" w:rsidRDefault="0013116F" w:rsidP="001D49D4">
      <w:pPr>
        <w:pStyle w:val="a9"/>
        <w:spacing w:after="60"/>
        <w:rPr>
          <w:rFonts w:ascii="Arial" w:hAnsi="Arial"/>
        </w:rPr>
      </w:pPr>
      <w:r>
        <w:rPr>
          <w:rStyle w:val="ab"/>
          <w:rFonts w:ascii="Arial" w:hAnsi="Arial"/>
        </w:rPr>
        <w:footnoteRef/>
      </w:r>
      <w:r>
        <w:rPr>
          <w:rFonts w:ascii="Arial" w:hAnsi="Arial"/>
          <w:rtl/>
        </w:rPr>
        <w:t xml:space="preserve"> הסופר והעדים צריכין שיכירו שזהו שמו דאיכא למיחש אין גט זה אלא לאיש אחר ויבא לרמות ולהגבות כתובה לשום אשה כדתנן (כתובות דף פט) הוציאה גט ואין עמה כתובה גובה כתובתה, רשב"ם.</w:t>
      </w:r>
    </w:p>
  </w:footnote>
  <w:footnote w:id="4049">
    <w:p w14:paraId="553BF50C" w14:textId="77777777" w:rsidR="0013116F" w:rsidRDefault="0013116F" w:rsidP="001D49D4">
      <w:pPr>
        <w:pStyle w:val="a9"/>
        <w:spacing w:after="60"/>
        <w:rPr>
          <w:rFonts w:ascii="Arial" w:hAnsi="Arial"/>
        </w:rPr>
      </w:pPr>
      <w:r>
        <w:rPr>
          <w:rStyle w:val="ab"/>
          <w:rFonts w:ascii="Arial" w:hAnsi="Arial"/>
        </w:rPr>
        <w:footnoteRef/>
      </w:r>
      <w:r>
        <w:rPr>
          <w:rFonts w:ascii="Arial" w:hAnsi="Arial"/>
          <w:rtl/>
        </w:rPr>
        <w:t xml:space="preserve"> שלא תרמה ליתנו לאיש שגרש אשתו ותפסיד כתובתה על ידה, רשב"ם.</w:t>
      </w:r>
    </w:p>
  </w:footnote>
  <w:footnote w:id="4050">
    <w:p w14:paraId="7834A76C" w14:textId="77777777" w:rsidR="0013116F" w:rsidRDefault="0013116F" w:rsidP="001D49D4">
      <w:pPr>
        <w:pStyle w:val="a9"/>
        <w:spacing w:after="60"/>
        <w:rPr>
          <w:rFonts w:ascii="Arial" w:hAnsi="Arial"/>
        </w:rPr>
      </w:pPr>
      <w:r>
        <w:rPr>
          <w:rStyle w:val="ab"/>
          <w:rFonts w:ascii="Arial" w:hAnsi="Arial"/>
        </w:rPr>
        <w:footnoteRef/>
      </w:r>
      <w:r>
        <w:rPr>
          <w:rFonts w:ascii="Arial" w:hAnsi="Arial"/>
          <w:rtl/>
        </w:rPr>
        <w:t xml:space="preserve"> הביאו הה"מ (שם) וכ' עליו- "ודברי תימה כתב".</w:t>
      </w:r>
    </w:p>
  </w:footnote>
  <w:footnote w:id="4051">
    <w:p w14:paraId="1707C0D0" w14:textId="77777777" w:rsidR="0013116F" w:rsidRDefault="0013116F" w:rsidP="001D49D4">
      <w:pPr>
        <w:pStyle w:val="a9"/>
        <w:spacing w:after="60"/>
        <w:rPr>
          <w:rFonts w:ascii="Arial" w:hAnsi="Arial"/>
          <w:rtl/>
        </w:rPr>
      </w:pPr>
      <w:r>
        <w:rPr>
          <w:rStyle w:val="ab"/>
          <w:rFonts w:ascii="Arial" w:hAnsi="Arial"/>
        </w:rPr>
        <w:footnoteRef/>
      </w:r>
      <w:r>
        <w:rPr>
          <w:rFonts w:ascii="Arial" w:hAnsi="Arial"/>
          <w:rtl/>
        </w:rPr>
        <w:t xml:space="preserve"> שאין כותבין אותם ללוה ולמוכר בלא מלוה ולוקח, צריך שיכירו שהם אלו, שאל"כ שמא אינן אלו ונמצאו כותבין ללוה ולמוכר בלא מלוה ולוקח, הה"מ.</w:t>
      </w:r>
    </w:p>
  </w:footnote>
  <w:footnote w:id="4052">
    <w:p w14:paraId="1F7CB8AB" w14:textId="77777777" w:rsidR="0013116F" w:rsidRDefault="0013116F" w:rsidP="001D49D4">
      <w:pPr>
        <w:pStyle w:val="a9"/>
        <w:spacing w:after="60"/>
        <w:rPr>
          <w:rFonts w:ascii="Arial" w:hAnsi="Arial"/>
          <w:rtl/>
        </w:rPr>
      </w:pPr>
      <w:r>
        <w:rPr>
          <w:rStyle w:val="ab"/>
          <w:rFonts w:ascii="Arial" w:hAnsi="Arial"/>
        </w:rPr>
        <w:footnoteRef/>
      </w:r>
      <w:r>
        <w:rPr>
          <w:rFonts w:ascii="Arial" w:hAnsi="Arial"/>
          <w:rtl/>
        </w:rPr>
        <w:t xml:space="preserve"> בין יש בו קנין ובין אין בו. </w:t>
      </w:r>
    </w:p>
  </w:footnote>
  <w:footnote w:id="4053">
    <w:p w14:paraId="0EC52814" w14:textId="77777777" w:rsidR="0013116F" w:rsidRDefault="0013116F" w:rsidP="001D49D4">
      <w:pPr>
        <w:pStyle w:val="a9"/>
        <w:spacing w:after="60"/>
        <w:rPr>
          <w:rFonts w:ascii="Arial" w:hAnsi="Arial"/>
          <w:rtl/>
        </w:rPr>
      </w:pPr>
      <w:r>
        <w:rPr>
          <w:rStyle w:val="ab"/>
          <w:rFonts w:ascii="Arial" w:hAnsi="Arial"/>
        </w:rPr>
        <w:footnoteRef/>
      </w:r>
      <w:r>
        <w:rPr>
          <w:rFonts w:ascii="Arial" w:hAnsi="Arial"/>
          <w:rtl/>
        </w:rPr>
        <w:t xml:space="preserve"> כיון שכותבין אותם בלא ראיית מלוה ולוקח, הה"מ. וסיים הה"מ- "אלא שיש לתמוה שלא הצריך רבינו</w:t>
      </w:r>
      <w:r>
        <w:rPr>
          <w:rFonts w:ascii="Arial" w:hAnsi="Arial"/>
          <w:sz w:val="16"/>
          <w:szCs w:val="16"/>
          <w:rtl/>
        </w:rPr>
        <w:t xml:space="preserve"> (ה"א)</w:t>
      </w:r>
      <w:r>
        <w:rPr>
          <w:rFonts w:ascii="Arial" w:hAnsi="Arial"/>
          <w:rtl/>
        </w:rPr>
        <w:t xml:space="preserve"> קנין בשטר מכר".</w:t>
      </w:r>
    </w:p>
  </w:footnote>
  <w:footnote w:id="4054">
    <w:p w14:paraId="3C9F4455" w14:textId="77777777" w:rsidR="0013116F" w:rsidRDefault="0013116F" w:rsidP="001D49D4">
      <w:pPr>
        <w:pStyle w:val="a9"/>
        <w:spacing w:after="60"/>
        <w:rPr>
          <w:rFonts w:ascii="Arial" w:hAnsi="Arial"/>
          <w:rtl/>
        </w:rPr>
      </w:pPr>
      <w:r>
        <w:rPr>
          <w:rStyle w:val="ab"/>
          <w:rFonts w:ascii="Arial" w:hAnsi="Arial"/>
        </w:rPr>
        <w:footnoteRef/>
      </w:r>
      <w:r>
        <w:rPr>
          <w:rFonts w:ascii="Arial" w:hAnsi="Arial"/>
          <w:rtl/>
        </w:rPr>
        <w:t xml:space="preserve"> לאחר זמן אתאי ההיא איתתא לקמיה לתבוע כתובה ואמרה לו לאו אנא הואי אותה אשה שאתה אומר שחתמת על שוברה ושמא אשה אחרת ששמה כשמי ושם בעלה כשם בעלי אבל אני לא התקבלתי כתובתי עדיין, רשב"ם.</w:t>
      </w:r>
    </w:p>
  </w:footnote>
  <w:footnote w:id="4055">
    <w:p w14:paraId="450D4C24" w14:textId="77777777" w:rsidR="0013116F" w:rsidRDefault="0013116F" w:rsidP="001D49D4">
      <w:pPr>
        <w:pStyle w:val="a9"/>
        <w:spacing w:after="60"/>
        <w:rPr>
          <w:rFonts w:ascii="Arial" w:hAnsi="Arial"/>
        </w:rPr>
      </w:pPr>
      <w:r>
        <w:rPr>
          <w:rStyle w:val="ab"/>
          <w:rFonts w:ascii="Arial" w:hAnsi="Arial"/>
        </w:rPr>
        <w:footnoteRef/>
      </w:r>
      <w:r>
        <w:rPr>
          <w:rFonts w:ascii="Arial" w:hAnsi="Arial"/>
          <w:rtl/>
        </w:rPr>
        <w:t xml:space="preserve"> לסהדי החתומים עמי על השובר שאינך אותה האשה שחתמנו על שוברה והדין עמה והם השיבו לי שטעיתי במה שנשתנה והוחלף קולה והדין עמהם וכבר התקבלת כתובתך, רשב"ם.</w:t>
      </w:r>
    </w:p>
  </w:footnote>
  <w:footnote w:id="4056">
    <w:p w14:paraId="2A2EE40F" w14:textId="77777777" w:rsidR="0013116F" w:rsidRDefault="0013116F" w:rsidP="001D49D4">
      <w:pPr>
        <w:spacing w:after="60" w:line="240" w:lineRule="auto"/>
        <w:rPr>
          <w:rFonts w:ascii="Arial" w:hAnsi="Arial"/>
          <w:sz w:val="20"/>
          <w:szCs w:val="20"/>
          <w:rtl/>
        </w:rPr>
      </w:pPr>
      <w:r>
        <w:rPr>
          <w:rStyle w:val="ab"/>
          <w:rFonts w:ascii="Arial" w:hAnsi="Arial"/>
        </w:rPr>
        <w:footnoteRef/>
      </w:r>
      <w:r>
        <w:rPr>
          <w:rFonts w:ascii="Arial" w:hAnsi="Arial"/>
          <w:sz w:val="20"/>
          <w:szCs w:val="20"/>
          <w:rtl/>
        </w:rPr>
        <w:t xml:space="preserve"> הזקינה וכבר נשתנה ונעשה קולה עבה, רשב"ם.</w:t>
      </w:r>
    </w:p>
  </w:footnote>
  <w:footnote w:id="4057">
    <w:p w14:paraId="63EFEB43" w14:textId="77777777" w:rsidR="0013116F" w:rsidRDefault="0013116F" w:rsidP="001D49D4">
      <w:pPr>
        <w:pStyle w:val="a9"/>
        <w:spacing w:after="60"/>
        <w:rPr>
          <w:rFonts w:ascii="Arial" w:hAnsi="Arial"/>
          <w:rtl/>
        </w:rPr>
      </w:pPr>
      <w:r>
        <w:rPr>
          <w:rStyle w:val="ab"/>
          <w:rFonts w:ascii="Arial" w:hAnsi="Arial"/>
        </w:rPr>
        <w:footnoteRef/>
      </w:r>
      <w:r>
        <w:rPr>
          <w:rFonts w:ascii="Arial" w:hAnsi="Arial"/>
          <w:rtl/>
        </w:rPr>
        <w:t xml:space="preserve"> כגון רב ירמיה בר אבא לאו דרכיה למידק ולהכיר בנשים כל כך והגדה קמייתא שאמר דלאו איהי היא לאו כלום היא ולא מיקרי חוזר ומגיד במה שאמר לבסוף את היא אלא שנשתנה קולך דכיון דאמר השתא דקדקתי יפה סמכינן עליה ומהימנינן ליה, רשב"ם.</w:t>
      </w:r>
    </w:p>
  </w:footnote>
  <w:footnote w:id="4058">
    <w:p w14:paraId="0621650D" w14:textId="77777777" w:rsidR="0013116F" w:rsidRDefault="0013116F" w:rsidP="001D49D4">
      <w:pPr>
        <w:pStyle w:val="a9"/>
        <w:spacing w:after="60"/>
        <w:rPr>
          <w:rFonts w:ascii="Arial" w:hAnsi="Arial"/>
        </w:rPr>
      </w:pPr>
      <w:r>
        <w:rPr>
          <w:rStyle w:val="ab"/>
          <w:rFonts w:ascii="Arial" w:hAnsi="Arial"/>
        </w:rPr>
        <w:footnoteRef/>
      </w:r>
      <w:r>
        <w:rPr>
          <w:rFonts w:ascii="Arial" w:hAnsi="Arial"/>
          <w:rtl/>
        </w:rPr>
        <w:t xml:space="preserve"> דאמור רבנן צורבא מרבנן לאו אורחיה למידק כגון רב ירמיה שטען תחלה שלא הכירה אפי' הכי כיון דאמר דקדקתי יפה עתה ומכירה סמכינן עליה כדאמרי' גבי רב ירמיה שסמכינן על מה שאמר לבסוף דכיון דדק דק, רשב"ם.</w:t>
      </w:r>
    </w:p>
  </w:footnote>
  <w:footnote w:id="4059">
    <w:p w14:paraId="4A2E52ED" w14:textId="77777777" w:rsidR="0013116F" w:rsidRDefault="0013116F" w:rsidP="001D49D4">
      <w:pPr>
        <w:pStyle w:val="a9"/>
        <w:spacing w:after="60"/>
        <w:rPr>
          <w:rFonts w:ascii="Arial" w:hAnsi="Arial"/>
          <w:rtl/>
        </w:rPr>
      </w:pPr>
      <w:r>
        <w:rPr>
          <w:rStyle w:val="ab"/>
          <w:rFonts w:ascii="Arial" w:hAnsi="Arial"/>
        </w:rPr>
        <w:footnoteRef/>
      </w:r>
      <w:r>
        <w:rPr>
          <w:rFonts w:ascii="Arial" w:hAnsi="Arial"/>
          <w:rtl/>
        </w:rPr>
        <w:t xml:space="preserve"> וכ' הב"י- "ונראה מדבריו שבכל העניינים לאו אורחיה למידק".</w:t>
      </w:r>
    </w:p>
  </w:footnote>
  <w:footnote w:id="4060">
    <w:p w14:paraId="6E303891" w14:textId="77777777" w:rsidR="0013116F" w:rsidRDefault="0013116F" w:rsidP="001D49D4">
      <w:pPr>
        <w:pStyle w:val="a9"/>
        <w:spacing w:after="60"/>
        <w:rPr>
          <w:rFonts w:ascii="Arial" w:hAnsi="Arial"/>
          <w:rtl/>
        </w:rPr>
      </w:pPr>
      <w:r>
        <w:rPr>
          <w:rStyle w:val="ab"/>
          <w:rFonts w:ascii="Arial" w:hAnsi="Arial"/>
        </w:rPr>
        <w:footnoteRef/>
      </w:r>
      <w:r>
        <w:rPr>
          <w:rFonts w:ascii="Arial" w:hAnsi="Arial"/>
          <w:rtl/>
        </w:rPr>
        <w:t xml:space="preserve"> (רשב"ם בעל התרומות</w:t>
      </w:r>
      <w:r>
        <w:rPr>
          <w:rFonts w:ascii="Arial" w:hAnsi="Arial"/>
          <w:sz w:val="16"/>
          <w:szCs w:val="16"/>
          <w:rtl/>
        </w:rPr>
        <w:t xml:space="preserve"> </w:t>
      </w:r>
      <w:r>
        <w:rPr>
          <w:rFonts w:ascii="Arial" w:hAnsi="Arial"/>
          <w:sz w:val="12"/>
          <w:szCs w:val="12"/>
          <w:rtl/>
        </w:rPr>
        <w:t>[שער לג ח"ג סי' ב]</w:t>
      </w:r>
      <w:r>
        <w:rPr>
          <w:rFonts w:ascii="Arial" w:hAnsi="Arial"/>
          <w:sz w:val="14"/>
          <w:szCs w:val="14"/>
          <w:rtl/>
        </w:rPr>
        <w:t xml:space="preserve"> </w:t>
      </w:r>
      <w:r>
        <w:rPr>
          <w:rFonts w:ascii="Arial" w:hAnsi="Arial"/>
          <w:rtl/>
        </w:rPr>
        <w:t>בשם הראב"ד וטור</w:t>
      </w:r>
      <w:r>
        <w:rPr>
          <w:rFonts w:ascii="Arial" w:hAnsi="Arial"/>
          <w:sz w:val="16"/>
          <w:szCs w:val="16"/>
          <w:rtl/>
        </w:rPr>
        <w:t xml:space="preserve"> </w:t>
      </w:r>
      <w:r>
        <w:rPr>
          <w:rFonts w:ascii="Arial" w:hAnsi="Arial"/>
          <w:sz w:val="14"/>
          <w:szCs w:val="14"/>
          <w:rtl/>
        </w:rPr>
        <w:t>[אעה"ז סי' קי]</w:t>
      </w:r>
      <w:r>
        <w:rPr>
          <w:rFonts w:ascii="Arial" w:hAnsi="Arial"/>
          <w:sz w:val="16"/>
          <w:szCs w:val="16"/>
          <w:rtl/>
        </w:rPr>
        <w:t xml:space="preserve"> להב' ב"י </w:t>
      </w:r>
      <w:r>
        <w:rPr>
          <w:rFonts w:ascii="Arial" w:hAnsi="Arial"/>
          <w:sz w:val="14"/>
          <w:szCs w:val="14"/>
          <w:rtl/>
        </w:rPr>
        <w:t>[חו"מ סי' כט סע' א</w:t>
      </w:r>
      <w:r>
        <w:rPr>
          <w:rFonts w:ascii="Arial" w:hAnsi="Arial"/>
          <w:sz w:val="10"/>
          <w:szCs w:val="10"/>
          <w:rtl/>
        </w:rPr>
        <w:t>(ב)</w:t>
      </w:r>
      <w:r>
        <w:rPr>
          <w:rFonts w:ascii="Arial" w:hAnsi="Arial"/>
          <w:sz w:val="16"/>
          <w:szCs w:val="16"/>
          <w:rtl/>
        </w:rPr>
        <w:t xml:space="preserve">] מבי"ט </w:t>
      </w:r>
      <w:r>
        <w:rPr>
          <w:rFonts w:ascii="Arial" w:hAnsi="Arial"/>
          <w:sz w:val="14"/>
          <w:szCs w:val="14"/>
          <w:rtl/>
        </w:rPr>
        <w:t>[ח"ג סי' לג]</w:t>
      </w:r>
      <w:r>
        <w:rPr>
          <w:rFonts w:ascii="Arial" w:hAnsi="Arial"/>
          <w:sz w:val="16"/>
          <w:szCs w:val="16"/>
          <w:rtl/>
        </w:rPr>
        <w:t xml:space="preserve"> ש"ך </w:t>
      </w:r>
      <w:r>
        <w:rPr>
          <w:rFonts w:ascii="Arial" w:hAnsi="Arial"/>
          <w:sz w:val="14"/>
          <w:szCs w:val="14"/>
          <w:rtl/>
        </w:rPr>
        <w:t>[סק"ד]</w:t>
      </w:r>
      <w:r>
        <w:rPr>
          <w:rFonts w:ascii="Arial" w:hAnsi="Arial"/>
          <w:sz w:val="16"/>
          <w:szCs w:val="16"/>
          <w:rtl/>
        </w:rPr>
        <w:t xml:space="preserve"> ואורים</w:t>
      </w:r>
      <w:r>
        <w:rPr>
          <w:rFonts w:ascii="Arial" w:hAnsi="Arial"/>
          <w:sz w:val="14"/>
          <w:szCs w:val="14"/>
          <w:rtl/>
        </w:rPr>
        <w:t xml:space="preserve"> [סק"ו]</w:t>
      </w:r>
      <w:r>
        <w:rPr>
          <w:rFonts w:ascii="Arial" w:hAnsi="Arial"/>
          <w:rtl/>
        </w:rPr>
        <w:t xml:space="preserve">). </w:t>
      </w:r>
    </w:p>
  </w:footnote>
  <w:footnote w:id="4061">
    <w:p w14:paraId="4AF71726" w14:textId="77777777" w:rsidR="0013116F" w:rsidRDefault="0013116F" w:rsidP="001D49D4">
      <w:pPr>
        <w:pStyle w:val="a9"/>
        <w:spacing w:after="60"/>
        <w:rPr>
          <w:rFonts w:ascii="Arial" w:hAnsi="Arial"/>
        </w:rPr>
      </w:pPr>
      <w:r>
        <w:rPr>
          <w:rStyle w:val="ab"/>
          <w:rFonts w:ascii="Arial" w:hAnsi="Arial"/>
        </w:rPr>
        <w:footnoteRef/>
      </w:r>
      <w:r>
        <w:rPr>
          <w:rFonts w:ascii="Arial" w:hAnsi="Arial"/>
          <w:rtl/>
        </w:rPr>
        <w:t xml:space="preserve"> וכ' הב"י- "והכי מסתבר". וכ' עוד שגם רי"ו איפשר דהכי קאמר אע"פ שהגיד חוזר ומגיד במילתא דלאו אורחיה למידק כלומר כי עדות היכר אשה.</w:t>
      </w:r>
      <w:r>
        <w:rPr>
          <w:rFonts w:ascii="Arial" w:hAnsi="Arial"/>
          <w:sz w:val="16"/>
          <w:szCs w:val="16"/>
          <w:rtl/>
        </w:rPr>
        <w:t xml:space="preserve"> </w:t>
      </w:r>
    </w:p>
  </w:footnote>
  <w:footnote w:id="4062">
    <w:p w14:paraId="043FEC0B" w14:textId="77777777" w:rsidR="0013116F" w:rsidRDefault="0013116F" w:rsidP="001D49D4">
      <w:pPr>
        <w:pStyle w:val="a9"/>
        <w:spacing w:after="60"/>
        <w:rPr>
          <w:rFonts w:ascii="Arial" w:hAnsi="Arial"/>
        </w:rPr>
      </w:pPr>
      <w:r>
        <w:rPr>
          <w:rStyle w:val="ab"/>
          <w:rFonts w:ascii="Arial" w:hAnsi="Arial"/>
        </w:rPr>
        <w:footnoteRef/>
      </w:r>
      <w:r>
        <w:rPr>
          <w:rFonts w:ascii="Arial" w:hAnsi="Arial"/>
          <w:rtl/>
        </w:rPr>
        <w:t xml:space="preserve"> הסמ"ע </w:t>
      </w:r>
      <w:r>
        <w:rPr>
          <w:rFonts w:ascii="Arial" w:hAnsi="Arial"/>
          <w:sz w:val="14"/>
          <w:szCs w:val="14"/>
          <w:rtl/>
        </w:rPr>
        <w:t xml:space="preserve">(סק"ו) </w:t>
      </w:r>
      <w:r>
        <w:rPr>
          <w:rFonts w:ascii="Arial" w:hAnsi="Arial"/>
          <w:rtl/>
        </w:rPr>
        <w:t xml:space="preserve">מפרש שהרשב"ם והטור סוברים </w:t>
      </w:r>
      <w:r>
        <w:rPr>
          <w:rFonts w:ascii="Arial" w:hAnsi="Arial"/>
          <w:u w:val="single"/>
          <w:rtl/>
        </w:rPr>
        <w:t>שת"ח</w:t>
      </w:r>
      <w:r>
        <w:rPr>
          <w:rFonts w:ascii="Arial" w:hAnsi="Arial"/>
          <w:rtl/>
        </w:rPr>
        <w:t xml:space="preserve"> יכול לסמוך על אחרים ואח"כ לומר טעיתי ונקבל דבריו בשנית משום שהוא טרוד בגירסתו, משא"כ </w:t>
      </w:r>
      <w:r>
        <w:rPr>
          <w:rFonts w:ascii="Arial" w:hAnsi="Arial"/>
          <w:u w:val="single"/>
          <w:rtl/>
        </w:rPr>
        <w:t>דיין</w:t>
      </w:r>
      <w:r>
        <w:rPr>
          <w:rFonts w:ascii="Arial" w:hAnsi="Arial"/>
          <w:rtl/>
        </w:rPr>
        <w:t xml:space="preserve"> שאינו ת"ח שלא סומך על מי שאומר לו לבד אלא דורש וחוקר בעצמו שאז אינו יכול לומר "הטעוני", והא דכתב רשב"ם שאין דרכו להסתכל באשה כו', ללמדנו דבאשה אף שאין צריך לבטל לימודו בדרישה וחקירה, והיינו שהאשה עומדת לפניו ואם הסתכל בה היה מכירה, אפ"ה מקבלין מיניה כשאומר לא רציתי להסתכל בה. </w:t>
      </w:r>
      <w:r>
        <w:rPr>
          <w:rFonts w:ascii="Arial" w:hAnsi="Arial"/>
          <w:sz w:val="16"/>
          <w:szCs w:val="16"/>
          <w:rtl/>
        </w:rPr>
        <w:t>(משא"כ כשיש לפניו איש, דבכה"ג אינו נאמן לומר לא רציתי להסתכל בו וסמכתי על אחרים והטעוני, כי אם כשאינו מכיר אותו אף אם הסתכל בו, דבזה מאמינים לו ואמרינן שמכח טרדתו בגירסא לא היה רוצה לבטל לעשות דרישה וחקירה)</w:t>
      </w:r>
      <w:r>
        <w:rPr>
          <w:rFonts w:ascii="Arial" w:hAnsi="Arial"/>
          <w:rtl/>
        </w:rPr>
        <w:t xml:space="preserve">. וכ' עוד שכן דעת הב"י </w:t>
      </w:r>
      <w:r>
        <w:rPr>
          <w:rFonts w:ascii="Arial" w:hAnsi="Arial"/>
          <w:sz w:val="16"/>
          <w:szCs w:val="16"/>
          <w:rtl/>
        </w:rPr>
        <w:t>(מזה שהב"י בסימן כ"ט הביא ראיה לדבריו מדכתבו רבינו באה"ע סימן ק"י אעדות אשה, ובסימן זה [מחודש א'] דכתב הב"י דגם בשאר דברים נאמן הת"ח לומר שהטעוהו הביא ג"כ ההיא דכתב רבינו באה"ע, ולא עוד אלא שהזכיר הב"י כאן מ"ש בסימן כ"ט, הרי לפנינו דבשעה שכתב הב"י דבריו שבכאן זכר מ"ש בסימן כ"ט)</w:t>
      </w:r>
      <w:r>
        <w:rPr>
          <w:rFonts w:ascii="Arial" w:hAnsi="Arial"/>
          <w:rtl/>
        </w:rPr>
        <w:t xml:space="preserve"> אך לא הצלחתי להבין איך אומר כן בדעת הב"י והרי הב"י </w:t>
      </w:r>
      <w:r>
        <w:rPr>
          <w:rFonts w:ascii="Arial" w:hAnsi="Arial"/>
          <w:sz w:val="16"/>
          <w:szCs w:val="16"/>
          <w:rtl/>
        </w:rPr>
        <w:t xml:space="preserve">(סי' כט) </w:t>
      </w:r>
      <w:r>
        <w:rPr>
          <w:rFonts w:ascii="Arial" w:hAnsi="Arial"/>
          <w:rtl/>
        </w:rPr>
        <w:t>כ' שעיקר כפ' רשב"ם שרק בעדות היכר אשה אומרים כן, והיא גופא קושייתו של הרמ"א. וכן תמה הש"ך</w:t>
      </w:r>
      <w:r>
        <w:rPr>
          <w:rFonts w:ascii="Arial" w:hAnsi="Arial"/>
          <w:sz w:val="16"/>
          <w:szCs w:val="16"/>
          <w:rtl/>
        </w:rPr>
        <w:t xml:space="preserve"> (סק"ד)</w:t>
      </w:r>
      <w:r>
        <w:rPr>
          <w:rFonts w:ascii="Arial" w:hAnsi="Arial"/>
          <w:rtl/>
        </w:rPr>
        <w:t xml:space="preserve"> על דבריו.</w:t>
      </w:r>
    </w:p>
  </w:footnote>
  <w:footnote w:id="4063">
    <w:p w14:paraId="234F104E" w14:textId="77777777" w:rsidR="0013116F" w:rsidRDefault="0013116F" w:rsidP="001D49D4">
      <w:pPr>
        <w:pStyle w:val="a9"/>
        <w:spacing w:after="60"/>
        <w:rPr>
          <w:rFonts w:ascii="Arial" w:hAnsi="Arial"/>
          <w:rtl/>
        </w:rPr>
      </w:pPr>
      <w:r>
        <w:rPr>
          <w:rStyle w:val="ab"/>
          <w:rFonts w:ascii="Arial" w:hAnsi="Arial"/>
        </w:rPr>
        <w:footnoteRef/>
      </w:r>
      <w:r>
        <w:rPr>
          <w:rFonts w:ascii="Arial" w:hAnsi="Arial"/>
          <w:rtl/>
        </w:rPr>
        <w:t xml:space="preserve"> כגון שהצורבא מרבנן היה טרוד בלימודו ולא בירר די את שם המלוה- כיון שסמך על עדות קרוב או אשה שוב לאו חוזר ומגיד הוא דהגדה ראשונה לאו מפיהו הוה, וה"ה שלא רצה להסתכל על האשה וכ' את שמה שאמרה לו היא, שיכול לחזור ולומר טעיתי.</w:t>
      </w:r>
    </w:p>
  </w:footnote>
  <w:footnote w:id="4064">
    <w:p w14:paraId="2B313D8E" w14:textId="77777777" w:rsidR="0013116F" w:rsidRDefault="0013116F" w:rsidP="001D49D4">
      <w:pPr>
        <w:pStyle w:val="a9"/>
        <w:spacing w:after="60"/>
        <w:rPr>
          <w:rFonts w:ascii="Arial" w:hAnsi="Arial"/>
          <w:rtl/>
        </w:rPr>
      </w:pPr>
      <w:r>
        <w:rPr>
          <w:rStyle w:val="ab"/>
          <w:rFonts w:ascii="Arial" w:hAnsi="Arial"/>
        </w:rPr>
        <w:footnoteRef/>
      </w:r>
      <w:r>
        <w:rPr>
          <w:rFonts w:ascii="Arial" w:hAnsi="Arial"/>
          <w:rtl/>
        </w:rPr>
        <w:t xml:space="preserve"> ח"ב סי' קצו, הביאו הב"י.</w:t>
      </w:r>
    </w:p>
  </w:footnote>
  <w:footnote w:id="4065">
    <w:p w14:paraId="1B13336D" w14:textId="77777777" w:rsidR="0013116F" w:rsidRDefault="0013116F" w:rsidP="001D49D4">
      <w:pPr>
        <w:pStyle w:val="a9"/>
        <w:spacing w:after="60"/>
        <w:rPr>
          <w:rFonts w:ascii="Arial" w:hAnsi="Arial"/>
        </w:rPr>
      </w:pPr>
      <w:r>
        <w:rPr>
          <w:rStyle w:val="ab"/>
          <w:rFonts w:ascii="Arial" w:hAnsi="Arial"/>
        </w:rPr>
        <w:footnoteRef/>
      </w:r>
      <w:r>
        <w:rPr>
          <w:rFonts w:ascii="Arial" w:hAnsi="Arial"/>
          <w:rtl/>
        </w:rPr>
        <w:t xml:space="preserve"> אבל שם המלוה... אינו מצריך המחבר להכיר... דליכא למיחש שמא יש עוד איש אחר ששמו כשמו דזה הלוה, וילך זה למסור זה השטר לאיש זה שהוא אמר שחייב לו, כדי שילך אותו האיש להוציא ממון מאותו האיש ששמו כשם זה הלוה, דא"כ גם כשיכיר גם שם המלוה איכא למיחש להכי. ומשו"ה אמרו דכל היכא דאיכא שנים ששמותיהן שוין אין אחר יכול להוציא שטר על שום אחד, סמ"ע </w:t>
      </w:r>
      <w:r>
        <w:rPr>
          <w:rFonts w:ascii="Arial" w:hAnsi="Arial"/>
          <w:sz w:val="16"/>
          <w:szCs w:val="16"/>
          <w:rtl/>
        </w:rPr>
        <w:t>(סק"ב)</w:t>
      </w:r>
      <w:r>
        <w:rPr>
          <w:rFonts w:ascii="Arial" w:hAnsi="Arial"/>
          <w:rtl/>
        </w:rPr>
        <w:t xml:space="preserve">. ואין לחוש שהלוה הזה עצמו חייב לאיש אחר ששמו כשם מלוה זה הבא לפני עדים, משום דכשלוה זה יוציא שובר זה נגד המלוה שלו האחר, והאחר יטעון שמעולם לא ציוה לכתוב שובר, ישאלו את העדים, וכיון שכבר ראו העדים את הלוה יכירוהו ויזכרו שאז היה עמו מלוה אחר, משא"כ אם יבוא השובר ליד לוה שמעולם לא ראו העדים לא את הלוה ולא את המלוה, לא יוכלו להעלות על דעתם כלל, ויעשו הב"ד כפי השובר, דגמ"ר </w:t>
      </w:r>
      <w:r>
        <w:rPr>
          <w:rFonts w:ascii="Arial" w:hAnsi="Arial"/>
          <w:sz w:val="16"/>
          <w:szCs w:val="16"/>
          <w:rtl/>
        </w:rPr>
        <w:t>(הובא בפת"ש סק"א)</w:t>
      </w:r>
      <w:r>
        <w:rPr>
          <w:rFonts w:ascii="Arial" w:hAnsi="Arial"/>
          <w:rtl/>
        </w:rPr>
        <w:t xml:space="preserve">. </w:t>
      </w:r>
    </w:p>
  </w:footnote>
  <w:footnote w:id="4066">
    <w:p w14:paraId="4AA890F9" w14:textId="77777777" w:rsidR="0013116F" w:rsidRDefault="0013116F" w:rsidP="001D49D4">
      <w:pPr>
        <w:pStyle w:val="a9"/>
        <w:spacing w:after="60"/>
        <w:rPr>
          <w:rFonts w:ascii="Arial" w:hAnsi="Arial"/>
          <w:rtl/>
        </w:rPr>
      </w:pPr>
      <w:r>
        <w:rPr>
          <w:rStyle w:val="ab"/>
          <w:rFonts w:ascii="Arial" w:hAnsi="Arial"/>
        </w:rPr>
        <w:footnoteRef/>
      </w:r>
      <w:r>
        <w:rPr>
          <w:rFonts w:ascii="Arial" w:hAnsi="Arial"/>
          <w:rtl/>
        </w:rPr>
        <w:t xml:space="preserve"> משמע מדברי המחבר דבשטר מכר א"צ להכיר שם הלוקח אף בשטר שאין בו קנין, וקשה, שהרי היינו דוקא למש"כ הה"מ בד' הרמב"ם </w:t>
      </w:r>
      <w:r>
        <w:rPr>
          <w:rFonts w:ascii="Arial" w:hAnsi="Arial"/>
          <w:sz w:val="16"/>
          <w:szCs w:val="16"/>
          <w:rtl/>
        </w:rPr>
        <w:t>(שמותר לכתוב למוכר בלא לוקח אף בשטר מכר שאין בו קנין)</w:t>
      </w:r>
      <w:r>
        <w:rPr>
          <w:rFonts w:ascii="Arial" w:hAnsi="Arial"/>
          <w:rtl/>
        </w:rPr>
        <w:t xml:space="preserve">, משא"כ לרוב הפוסקים החולקין על הרמב"ם דאף בשטר מכר אין כותבים למוכר בלא לוקח, וכ"פ המחבר גופיה בסי' רל"ח סע' א, וא"כ הכא ה"ל להשוות שטר מכר לשטר הלואה. </w:t>
      </w:r>
      <w:r>
        <w:rPr>
          <w:rFonts w:ascii="Arial" w:hAnsi="Arial"/>
          <w:sz w:val="16"/>
          <w:szCs w:val="16"/>
          <w:rtl/>
        </w:rPr>
        <w:t>(עד כאן דברי הש"ך בסק"ב, והשאיר את דברי השו"ע בצ"ע, ובסק"ג כ' את מסקנתו ש-)</w:t>
      </w:r>
      <w:r>
        <w:rPr>
          <w:rFonts w:ascii="Arial" w:hAnsi="Arial"/>
          <w:rtl/>
        </w:rPr>
        <w:t xml:space="preserve"> לכן ה"ה בשטר מכר בלא קנין שצריך להכיר אף שם הלוקח, להפוסקים והמחבר לקמן ר"ס רל"ח, דאין כותבים שטר למוכר בלא לוקח רק בשטר קנין, עכ"ל הש"ך . וכ"כ הגר"א </w:t>
      </w:r>
      <w:r>
        <w:rPr>
          <w:rFonts w:ascii="Arial" w:hAnsi="Arial"/>
          <w:sz w:val="16"/>
          <w:szCs w:val="16"/>
          <w:rtl/>
        </w:rPr>
        <w:t>(סק"ו)</w:t>
      </w:r>
      <w:r>
        <w:rPr>
          <w:rFonts w:ascii="Arial" w:hAnsi="Arial"/>
          <w:rtl/>
        </w:rPr>
        <w:t xml:space="preserve">. </w:t>
      </w:r>
      <w:r>
        <w:rPr>
          <w:rFonts w:ascii="Arial" w:hAnsi="Arial"/>
          <w:sz w:val="16"/>
          <w:szCs w:val="16"/>
          <w:rtl/>
        </w:rPr>
        <w:t>(ועוד דסוגייא בדוכתא עדיף והרי שם מדובר על שטר מכר לבד, א"כ צריך ללכת אחר ד' השו"ע בסי' רלח) (ועי' בתומים סק"ב שיישב את ד' השו"ע דבמכר לעולם א"צ להכיר הלוקח)</w:t>
      </w:r>
    </w:p>
  </w:footnote>
  <w:footnote w:id="4067">
    <w:p w14:paraId="3FCE7906" w14:textId="77777777" w:rsidR="0013116F" w:rsidRDefault="0013116F" w:rsidP="001D49D4">
      <w:pPr>
        <w:pStyle w:val="a9"/>
        <w:spacing w:after="60"/>
        <w:rPr>
          <w:rFonts w:ascii="Arial" w:hAnsi="Arial"/>
        </w:rPr>
      </w:pPr>
      <w:r>
        <w:rPr>
          <w:rStyle w:val="ab"/>
          <w:rFonts w:ascii="Arial" w:hAnsi="Arial"/>
        </w:rPr>
        <w:footnoteRef/>
      </w:r>
      <w:r>
        <w:rPr>
          <w:rFonts w:ascii="Arial" w:hAnsi="Arial"/>
          <w:rtl/>
        </w:rPr>
        <w:t xml:space="preserve"> עיין תומים (סק"א) שהעלה דפירוש הכרה בשובר דצריכים לידע דשמעון חייב בודאי לראובן הכותב שובר.</w:t>
      </w:r>
    </w:p>
  </w:footnote>
  <w:footnote w:id="4068">
    <w:p w14:paraId="6F05A97A" w14:textId="77777777" w:rsidR="0013116F" w:rsidRDefault="0013116F" w:rsidP="001D49D4">
      <w:pPr>
        <w:pStyle w:val="a9"/>
        <w:spacing w:after="60"/>
        <w:rPr>
          <w:rFonts w:ascii="Arial" w:hAnsi="Arial"/>
        </w:rPr>
      </w:pPr>
      <w:r>
        <w:rPr>
          <w:rStyle w:val="ab"/>
          <w:rFonts w:ascii="Arial" w:hAnsi="Arial"/>
        </w:rPr>
        <w:footnoteRef/>
      </w:r>
      <w:r>
        <w:rPr>
          <w:rFonts w:ascii="Arial" w:hAnsi="Arial"/>
          <w:rtl/>
        </w:rPr>
        <w:t xml:space="preserve"> שמא יכתוב עתה ללות ממנו בניסן, ולא ילוה ממנו עד תשרי</w:t>
      </w:r>
      <w:r>
        <w:rPr>
          <w:rFonts w:ascii="Arial" w:hAnsi="Arial"/>
          <w:sz w:val="14"/>
          <w:szCs w:val="14"/>
          <w:rtl/>
        </w:rPr>
        <w:t xml:space="preserve"> {סמ"ע}</w:t>
      </w:r>
      <w:r>
        <w:rPr>
          <w:rFonts w:ascii="Arial" w:hAnsi="Arial"/>
          <w:rtl/>
        </w:rPr>
        <w:t>, או לא ימסור לו השטר</w:t>
      </w:r>
      <w:r>
        <w:rPr>
          <w:rFonts w:ascii="Arial" w:hAnsi="Arial"/>
          <w:sz w:val="14"/>
          <w:szCs w:val="14"/>
          <w:rtl/>
        </w:rPr>
        <w:t xml:space="preserve"> {ש"ך}</w:t>
      </w:r>
      <w:r>
        <w:rPr>
          <w:rFonts w:ascii="Arial" w:hAnsi="Arial"/>
          <w:rtl/>
        </w:rPr>
        <w:t xml:space="preserve">, ונמצא המלוה טורף בשטר זה מניסן שלא כדין, שלא הגיע לידו עד תשרי, שו"ע </w:t>
      </w:r>
      <w:r>
        <w:rPr>
          <w:rFonts w:ascii="Arial" w:hAnsi="Arial"/>
          <w:sz w:val="16"/>
          <w:szCs w:val="16"/>
          <w:rtl/>
        </w:rPr>
        <w:t>(סי' לט סי"ג)</w:t>
      </w:r>
      <w:r>
        <w:rPr>
          <w:rFonts w:ascii="Arial" w:hAnsi="Arial"/>
          <w:rtl/>
        </w:rPr>
        <w:t>. והיינו דוקא בשטר דלית ביה קנין דאין השעבוד חל עד שעת הלואה, אבל בשטר דאית ביה קנין דמשעה שקנה מידו דהלוה נשתעבד להמלוה לית ביה משום מוקדם, סמ"ע</w:t>
      </w:r>
      <w:r>
        <w:rPr>
          <w:rFonts w:ascii="Arial" w:hAnsi="Arial"/>
          <w:sz w:val="16"/>
          <w:szCs w:val="16"/>
          <w:rtl/>
        </w:rPr>
        <w:t xml:space="preserve"> (סק"ג)</w:t>
      </w:r>
      <w:r>
        <w:rPr>
          <w:rFonts w:ascii="Arial" w:hAnsi="Arial"/>
          <w:rtl/>
        </w:rPr>
        <w:t xml:space="preserve">. וכל זה הוא לד' הה"מ והמחבר, אבל לד' הרא"ש </w:t>
      </w:r>
      <w:r>
        <w:rPr>
          <w:rFonts w:ascii="Arial" w:hAnsi="Arial"/>
          <w:sz w:val="16"/>
          <w:szCs w:val="16"/>
          <w:rtl/>
        </w:rPr>
        <w:t xml:space="preserve">(ב"מ פ"א סי' מט) </w:t>
      </w:r>
      <w:r>
        <w:rPr>
          <w:rFonts w:ascii="Arial" w:hAnsi="Arial"/>
          <w:rtl/>
        </w:rPr>
        <w:t>והטור</w:t>
      </w:r>
      <w:r>
        <w:rPr>
          <w:rFonts w:ascii="Arial" w:hAnsi="Arial"/>
          <w:sz w:val="16"/>
          <w:szCs w:val="16"/>
          <w:rtl/>
        </w:rPr>
        <w:t xml:space="preserve"> (סי' לט סכ"ג) </w:t>
      </w:r>
      <w:r>
        <w:rPr>
          <w:rFonts w:ascii="Arial" w:hAnsi="Arial"/>
          <w:rtl/>
        </w:rPr>
        <w:t xml:space="preserve">וסיעתייהו דס"ל דעדים בחתומייהו זכין להמלוה- גם בשטר דלית ביה קנין לית ביה משום מוקדם, סמ"ע </w:t>
      </w:r>
      <w:r>
        <w:rPr>
          <w:rFonts w:ascii="Arial" w:hAnsi="Arial"/>
          <w:sz w:val="16"/>
          <w:szCs w:val="16"/>
          <w:rtl/>
        </w:rPr>
        <w:t xml:space="preserve">(סק"ג) </w:t>
      </w:r>
      <w:r>
        <w:rPr>
          <w:rFonts w:ascii="Arial" w:hAnsi="Arial"/>
          <w:rtl/>
        </w:rPr>
        <w:t xml:space="preserve">וש"ך </w:t>
      </w:r>
      <w:r>
        <w:rPr>
          <w:rFonts w:ascii="Arial" w:hAnsi="Arial"/>
          <w:sz w:val="16"/>
          <w:szCs w:val="16"/>
          <w:rtl/>
        </w:rPr>
        <w:t>(סק"ג)</w:t>
      </w:r>
      <w:r>
        <w:rPr>
          <w:rFonts w:ascii="Arial" w:hAnsi="Arial"/>
          <w:rtl/>
        </w:rPr>
        <w:t>.</w:t>
      </w:r>
    </w:p>
  </w:footnote>
  <w:footnote w:id="4069">
    <w:p w14:paraId="4743A668" w14:textId="77777777" w:rsidR="0013116F" w:rsidRDefault="0013116F" w:rsidP="001D49D4">
      <w:pPr>
        <w:pStyle w:val="a9"/>
        <w:spacing w:after="60"/>
        <w:rPr>
          <w:rFonts w:ascii="Arial" w:hAnsi="Arial"/>
          <w:rtl/>
        </w:rPr>
      </w:pPr>
      <w:r>
        <w:rPr>
          <w:rStyle w:val="ab"/>
          <w:rFonts w:ascii="Arial" w:hAnsi="Arial"/>
        </w:rPr>
        <w:footnoteRef/>
      </w:r>
      <w:r>
        <w:rPr>
          <w:rFonts w:ascii="Arial" w:hAnsi="Arial"/>
          <w:rtl/>
        </w:rPr>
        <w:t xml:space="preserve"> רא"ש </w:t>
      </w:r>
      <w:r>
        <w:rPr>
          <w:rFonts w:ascii="Arial" w:hAnsi="Arial"/>
          <w:sz w:val="16"/>
          <w:szCs w:val="16"/>
          <w:rtl/>
        </w:rPr>
        <w:t>(סי' יז)</w:t>
      </w:r>
      <w:r>
        <w:rPr>
          <w:rFonts w:ascii="Arial" w:hAnsi="Arial"/>
          <w:rtl/>
        </w:rPr>
        <w:t xml:space="preserve"> נמוק"י בעל התרומות </w:t>
      </w:r>
      <w:r>
        <w:rPr>
          <w:rFonts w:ascii="Arial" w:hAnsi="Arial"/>
          <w:sz w:val="16"/>
          <w:szCs w:val="16"/>
          <w:rtl/>
        </w:rPr>
        <w:t xml:space="preserve">(שער ל"ג ח"ג סי' ב) </w:t>
      </w:r>
      <w:r>
        <w:rPr>
          <w:rFonts w:ascii="Arial" w:hAnsi="Arial"/>
          <w:rtl/>
        </w:rPr>
        <w:t xml:space="preserve">בשם הראב"ד והה"מ </w:t>
      </w:r>
      <w:r>
        <w:rPr>
          <w:rFonts w:ascii="Arial" w:hAnsi="Arial"/>
          <w:sz w:val="16"/>
          <w:szCs w:val="16"/>
          <w:rtl/>
        </w:rPr>
        <w:t xml:space="preserve">(פכ"ד ה"ד) </w:t>
      </w:r>
      <w:r>
        <w:rPr>
          <w:rFonts w:ascii="Arial" w:hAnsi="Arial"/>
          <w:rtl/>
        </w:rPr>
        <w:t xml:space="preserve">בשם הרשב"א </w:t>
      </w:r>
      <w:r>
        <w:rPr>
          <w:rFonts w:ascii="Arial" w:hAnsi="Arial"/>
          <w:sz w:val="16"/>
          <w:szCs w:val="16"/>
          <w:rtl/>
        </w:rPr>
        <w:t>(קסז: ד"ה מיהא)</w:t>
      </w:r>
      <w:r>
        <w:rPr>
          <w:rFonts w:ascii="Arial" w:hAnsi="Arial"/>
          <w:rtl/>
        </w:rPr>
        <w:t xml:space="preserve">. והוא משום דמילתא דעבידא לגלויי לא משקרי בה, סמ"ע </w:t>
      </w:r>
      <w:r>
        <w:rPr>
          <w:rFonts w:ascii="Arial" w:hAnsi="Arial"/>
          <w:sz w:val="16"/>
          <w:szCs w:val="16"/>
          <w:rtl/>
        </w:rPr>
        <w:t>(סק"ד)</w:t>
      </w:r>
      <w:r>
        <w:rPr>
          <w:rFonts w:ascii="Arial" w:hAnsi="Arial"/>
          <w:rtl/>
        </w:rPr>
        <w:t>.</w:t>
      </w:r>
    </w:p>
  </w:footnote>
  <w:footnote w:id="4070">
    <w:p w14:paraId="0953ABA4" w14:textId="77777777" w:rsidR="0013116F" w:rsidRDefault="0013116F" w:rsidP="001D49D4">
      <w:pPr>
        <w:pStyle w:val="a9"/>
        <w:spacing w:after="60"/>
        <w:rPr>
          <w:rFonts w:ascii="Arial" w:hAnsi="Arial"/>
          <w:rtl/>
        </w:rPr>
      </w:pPr>
      <w:r>
        <w:rPr>
          <w:rStyle w:val="ab"/>
          <w:rFonts w:ascii="Arial" w:hAnsi="Arial"/>
        </w:rPr>
        <w:footnoteRef/>
      </w:r>
      <w:r>
        <w:rPr>
          <w:rFonts w:ascii="Arial" w:hAnsi="Arial"/>
          <w:rtl/>
        </w:rPr>
        <w:t xml:space="preserve"> לאפוקי אם הכירו מעצמו או ע"פ עדים כשרים, דלאו כל כמיניה לומר טעיתי, סמ"ע (סק"ה).</w:t>
      </w:r>
    </w:p>
  </w:footnote>
  <w:footnote w:id="4071">
    <w:p w14:paraId="69EC6D78" w14:textId="77777777" w:rsidR="0013116F" w:rsidRDefault="0013116F" w:rsidP="001D49D4">
      <w:pPr>
        <w:pStyle w:val="a9"/>
        <w:spacing w:after="60"/>
        <w:rPr>
          <w:rFonts w:ascii="Arial" w:hAnsi="Arial"/>
        </w:rPr>
      </w:pPr>
      <w:r>
        <w:rPr>
          <w:rStyle w:val="ab"/>
          <w:rFonts w:ascii="Arial" w:hAnsi="Arial"/>
        </w:rPr>
        <w:footnoteRef/>
      </w:r>
      <w:r>
        <w:rPr>
          <w:rFonts w:ascii="Arial" w:hAnsi="Arial"/>
          <w:rtl/>
        </w:rPr>
        <w:t xml:space="preserve"> אך הש"ך (סק"ד) כ' דלא קשיא, וגם כאן בשו"ע מיירי בת"ח שמעיד על אשה, וכמש"כ בב"י סימן כ"ט, דרי"ו אע"ג דסתמא קאמר, מיירי במילתא דלאו אורחיה למידק כי הכרת אשה. וכן במקור דין זה שהוא מהראב"ד בשם בעל התרומות </w:t>
      </w:r>
      <w:r>
        <w:rPr>
          <w:rFonts w:ascii="Arial" w:hAnsi="Arial"/>
          <w:sz w:val="16"/>
          <w:szCs w:val="16"/>
          <w:rtl/>
        </w:rPr>
        <w:t xml:space="preserve">(שער ל"ג ח"ג סי' ב) </w:t>
      </w:r>
      <w:r>
        <w:rPr>
          <w:rFonts w:ascii="Arial" w:hAnsi="Arial"/>
          <w:rtl/>
        </w:rPr>
        <w:t xml:space="preserve">משמע דמיירי דוקא בהכרת אשה </w:t>
      </w:r>
      <w:r>
        <w:rPr>
          <w:rFonts w:ascii="Arial" w:hAnsi="Arial"/>
          <w:sz w:val="16"/>
          <w:szCs w:val="16"/>
          <w:rtl/>
        </w:rPr>
        <w:t>(ואע"ג דלכאורה לא משמע כן מדברי בעל התרומות בשם הראב"ד שכ'- "היכא דסמיך אאתתא או אקרוב וחזר ואשתכח טעותא וקא הדר ביה- לצורבא מרבנן מקבלין, לגברא אחרינא דאורחיה למידק לא מקבלינן, דודאי מידק דק והשתא הדר וקא משקר" דמשמע כל זמן שהעד שעליו סמך הת"ח פסול לעדות שרי ליה לת"ח למיהדר ביה ומקבלינן מינה ולאו דוקא בעדות היכר אשה! כ' הש"ך דאין לומר כן, דיש לפרש את דברי בעל התרומות כדפירש הב"י את דברי רי"ו דאע"ג דסתמא קאמר, מיירי במילתא דלאו אורחיה למידק כי הכרת אשה, שהרי בעל התרומות מיירי דוקא בהכרת אשה, שכתב שם קודם לכן [שם ס"א]- מכל זה למדנו שת"ח שהעיד על עדות אשה שלותה וכו' וקא מודה לה שטעה בהכרת פניה מהימנינן ליה ולא מיקרי חוזר ומגיד כו', ע"כ)</w:t>
      </w:r>
      <w:r>
        <w:rPr>
          <w:rFonts w:ascii="Arial" w:hAnsi="Arial"/>
          <w:rtl/>
        </w:rPr>
        <w:t xml:space="preserve">, וכן משמע פשט דברי הש"ס ורשב"ם, וכן מוכח בטור אה"ע סימן ק"י, שכתב דין זה דוקא גבי שובר דאשה שיכול הת"ח לומר שטעה ולא כתב כן בשום מקום אחר. והיינו שכתב הב"י כאן בסימן זה </w:t>
      </w:r>
      <w:r>
        <w:rPr>
          <w:rFonts w:ascii="Arial" w:hAnsi="Arial"/>
          <w:sz w:val="16"/>
          <w:szCs w:val="16"/>
          <w:rtl/>
        </w:rPr>
        <w:t>(מחודש א')</w:t>
      </w:r>
      <w:r>
        <w:rPr>
          <w:rFonts w:ascii="Arial" w:hAnsi="Arial"/>
          <w:rtl/>
        </w:rPr>
        <w:t xml:space="preserve"> על דברי הראב"ד וז"ל- וכבר נתבאר כיוצא בזה בטור אה"ע סימן ק"י, וכתבתיו בטור סימן כ"ט, עכ"ל. וכ"כ בתשו' המבי"ט</w:t>
      </w:r>
      <w:r>
        <w:rPr>
          <w:rFonts w:ascii="Arial" w:hAnsi="Arial"/>
          <w:sz w:val="16"/>
          <w:szCs w:val="16"/>
          <w:rtl/>
        </w:rPr>
        <w:t xml:space="preserve"> (ח"ג בשאלות השניות סי' ל"ג דף קט"ו ע"ב)</w:t>
      </w:r>
      <w:r>
        <w:rPr>
          <w:rFonts w:ascii="Arial" w:hAnsi="Arial"/>
          <w:rtl/>
        </w:rPr>
        <w:t xml:space="preserve"> וכן עיקר.</w:t>
      </w:r>
    </w:p>
  </w:footnote>
  <w:footnote w:id="4072">
    <w:p w14:paraId="2E308BF5" w14:textId="77777777" w:rsidR="0013116F" w:rsidRDefault="0013116F" w:rsidP="001D49D4">
      <w:pPr>
        <w:pStyle w:val="a9"/>
        <w:spacing w:after="60"/>
        <w:rPr>
          <w:rFonts w:ascii="Arial" w:hAnsi="Arial"/>
        </w:rPr>
      </w:pPr>
      <w:r>
        <w:rPr>
          <w:rStyle w:val="ab"/>
          <w:rFonts w:ascii="Arial" w:hAnsi="Arial"/>
        </w:rPr>
        <w:footnoteRef/>
      </w:r>
      <w:r>
        <w:rPr>
          <w:rFonts w:ascii="Arial" w:hAnsi="Arial"/>
          <w:rtl/>
        </w:rPr>
        <w:t xml:space="preserve"> אבל כל זמן שלא הוחזק שמו ובא לפני ב"ד ואמר כתבו עלי שאני חייב לפלוני כך וכך אין כותבין עד שיביא ראיה ששמו כך וכך </w:t>
      </w:r>
      <w:r>
        <w:rPr>
          <w:rFonts w:ascii="Arial" w:hAnsi="Arial"/>
          <w:sz w:val="14"/>
          <w:szCs w:val="14"/>
          <w:rtl/>
        </w:rPr>
        <w:t>(ל' הטור)</w:t>
      </w:r>
      <w:r>
        <w:rPr>
          <w:rFonts w:ascii="Arial" w:hAnsi="Arial"/>
          <w:rtl/>
        </w:rPr>
        <w:t>, שמא מעלה שמו בשם אחר לחייבו</w:t>
      </w:r>
      <w:r>
        <w:rPr>
          <w:rFonts w:ascii="Arial" w:hAnsi="Arial"/>
          <w:sz w:val="14"/>
          <w:szCs w:val="14"/>
          <w:rtl/>
        </w:rPr>
        <w:t xml:space="preserve"> (ל' הלבוש)</w:t>
      </w:r>
      <w:r>
        <w:rPr>
          <w:rFonts w:ascii="Arial" w:hAnsi="Arial"/>
          <w:rtl/>
        </w:rPr>
        <w:t>.</w:t>
      </w:r>
    </w:p>
  </w:footnote>
  <w:footnote w:id="4073">
    <w:p w14:paraId="1775F70B" w14:textId="77777777" w:rsidR="0013116F" w:rsidRDefault="0013116F" w:rsidP="001D49D4">
      <w:pPr>
        <w:pStyle w:val="a9"/>
        <w:spacing w:after="60"/>
        <w:rPr>
          <w:rFonts w:ascii="Arial" w:hAnsi="Arial"/>
        </w:rPr>
      </w:pPr>
      <w:r>
        <w:rPr>
          <w:rStyle w:val="ab"/>
          <w:rFonts w:ascii="Arial" w:hAnsi="Arial"/>
        </w:rPr>
        <w:footnoteRef/>
      </w:r>
      <w:r>
        <w:rPr>
          <w:rFonts w:ascii="Arial" w:hAnsi="Arial"/>
          <w:rtl/>
        </w:rPr>
        <w:t xml:space="preserve"> כאביי, דרב זביד לא פליג עליה אלא לזכותו, ט"ז.</w:t>
      </w:r>
    </w:p>
  </w:footnote>
  <w:footnote w:id="4074">
    <w:p w14:paraId="23932DF3" w14:textId="77777777" w:rsidR="0013116F" w:rsidRDefault="0013116F" w:rsidP="001D49D4">
      <w:pPr>
        <w:pStyle w:val="a9"/>
        <w:spacing w:after="60"/>
        <w:rPr>
          <w:rFonts w:ascii="Arial" w:hAnsi="Arial"/>
          <w:rtl/>
        </w:rPr>
      </w:pPr>
      <w:r>
        <w:rPr>
          <w:rStyle w:val="ab"/>
          <w:rFonts w:ascii="Arial" w:hAnsi="Arial"/>
        </w:rPr>
        <w:footnoteRef/>
      </w:r>
      <w:r>
        <w:rPr>
          <w:rFonts w:ascii="Arial" w:hAnsi="Arial"/>
          <w:rtl/>
        </w:rPr>
        <w:t xml:space="preserve"> תוספת מהדורת הסמ"ע.</w:t>
      </w:r>
    </w:p>
  </w:footnote>
  <w:footnote w:id="4075">
    <w:p w14:paraId="60568BA8" w14:textId="77777777" w:rsidR="0013116F" w:rsidRDefault="0013116F" w:rsidP="001D49D4">
      <w:pPr>
        <w:pStyle w:val="a9"/>
        <w:spacing w:after="60"/>
        <w:rPr>
          <w:rFonts w:ascii="Arial" w:hAnsi="Arial"/>
          <w:rtl/>
        </w:rPr>
      </w:pPr>
      <w:r>
        <w:rPr>
          <w:rStyle w:val="ab"/>
          <w:rFonts w:ascii="Arial" w:hAnsi="Arial"/>
        </w:rPr>
        <w:footnoteRef/>
      </w:r>
      <w:r>
        <w:rPr>
          <w:rFonts w:ascii="Arial" w:hAnsi="Arial"/>
          <w:rtl/>
        </w:rPr>
        <w:t xml:space="preserve"> שחזקה הוא שאין העדים חותמין על השטר אא"כ מכירין אלו הנזכרים בו, רמב"ם </w:t>
      </w:r>
      <w:r>
        <w:rPr>
          <w:rFonts w:ascii="Arial" w:hAnsi="Arial"/>
          <w:sz w:val="16"/>
          <w:szCs w:val="16"/>
          <w:rtl/>
        </w:rPr>
        <w:t xml:space="preserve">(פכ"ד ה"ה) </w:t>
      </w:r>
      <w:r>
        <w:rPr>
          <w:rFonts w:ascii="Arial" w:hAnsi="Arial"/>
          <w:rtl/>
        </w:rPr>
        <w:t xml:space="preserve">בעל התרומות </w:t>
      </w:r>
      <w:r>
        <w:rPr>
          <w:rFonts w:ascii="Arial" w:hAnsi="Arial"/>
          <w:sz w:val="16"/>
          <w:szCs w:val="16"/>
          <w:rtl/>
        </w:rPr>
        <w:t>(לג, ב, ב)</w:t>
      </w:r>
      <w:r>
        <w:rPr>
          <w:rFonts w:ascii="Arial" w:hAnsi="Arial"/>
          <w:rtl/>
        </w:rPr>
        <w:t xml:space="preserve"> וטור ע"פ הגמ'. "ואין חוששין שמא יכתוב שטר כשמו ששמו יוסי בן שמעון ויש בעיר אחרת אדם אחר ששמו כך ונותן למלוה שבשטר ועושין קנוניא ע"ז... שאם אתה חושש לקנוניא כזו אין לדבר סוף" עכ"ל הרמב"ן </w:t>
      </w:r>
      <w:r>
        <w:rPr>
          <w:rFonts w:ascii="Arial" w:hAnsi="Arial"/>
          <w:sz w:val="16"/>
          <w:szCs w:val="16"/>
          <w:rtl/>
        </w:rPr>
        <w:t>(קסז: ד"ה שם)</w:t>
      </w:r>
      <w:r>
        <w:rPr>
          <w:rFonts w:ascii="Arial" w:hAnsi="Arial"/>
          <w:rtl/>
        </w:rPr>
        <w:t xml:space="preserve">, וכ"כ הרשב"א </w:t>
      </w:r>
      <w:r>
        <w:rPr>
          <w:rFonts w:ascii="Arial" w:hAnsi="Arial"/>
          <w:sz w:val="16"/>
          <w:szCs w:val="16"/>
          <w:rtl/>
        </w:rPr>
        <w:t xml:space="preserve">(שם ד"ה כל) </w:t>
      </w:r>
      <w:r>
        <w:rPr>
          <w:rFonts w:ascii="Arial" w:hAnsi="Arial"/>
          <w:rtl/>
        </w:rPr>
        <w:t>בשמו.</w:t>
      </w:r>
    </w:p>
  </w:footnote>
  <w:footnote w:id="4076">
    <w:p w14:paraId="733897B3" w14:textId="77777777" w:rsidR="0013116F" w:rsidRDefault="0013116F" w:rsidP="001D49D4">
      <w:pPr>
        <w:pStyle w:val="a9"/>
        <w:spacing w:after="60"/>
        <w:rPr>
          <w:rFonts w:ascii="Arial" w:hAnsi="Arial"/>
        </w:rPr>
      </w:pPr>
      <w:r>
        <w:rPr>
          <w:rStyle w:val="ab"/>
          <w:rFonts w:ascii="Arial" w:hAnsi="Arial"/>
        </w:rPr>
        <w:footnoteRef/>
      </w:r>
      <w:r>
        <w:rPr>
          <w:rFonts w:ascii="Arial" w:hAnsi="Arial"/>
          <w:rtl/>
        </w:rPr>
        <w:t xml:space="preserve"> כך שמה, רש"י.</w:t>
      </w:r>
    </w:p>
  </w:footnote>
  <w:footnote w:id="4077">
    <w:p w14:paraId="5D20AEE7" w14:textId="77777777" w:rsidR="0013116F" w:rsidRDefault="0013116F" w:rsidP="001D49D4">
      <w:pPr>
        <w:pStyle w:val="a9"/>
        <w:spacing w:after="60"/>
        <w:rPr>
          <w:rFonts w:ascii="Arial" w:hAnsi="Arial"/>
        </w:rPr>
      </w:pPr>
      <w:r>
        <w:rPr>
          <w:rStyle w:val="ab"/>
          <w:rFonts w:ascii="Arial" w:hAnsi="Arial"/>
        </w:rPr>
        <w:footnoteRef/>
      </w:r>
      <w:r>
        <w:rPr>
          <w:rFonts w:ascii="Arial" w:hAnsi="Arial"/>
          <w:rtl/>
        </w:rPr>
        <w:t xml:space="preserve"> </w:t>
      </w:r>
      <w:r>
        <w:rPr>
          <w:rFonts w:ascii="Arial" w:hAnsi="Arial" w:hint="cs"/>
          <w:rtl/>
        </w:rPr>
        <w:t>שאמר להם בעל כתבו גט ותנו לה, רש"י.</w:t>
      </w:r>
    </w:p>
  </w:footnote>
  <w:footnote w:id="4078">
    <w:p w14:paraId="49E2BDF1" w14:textId="77777777" w:rsidR="0013116F" w:rsidRDefault="0013116F" w:rsidP="001D49D4">
      <w:pPr>
        <w:pStyle w:val="a9"/>
        <w:spacing w:after="60"/>
        <w:rPr>
          <w:rFonts w:ascii="Arial" w:hAnsi="Arial"/>
          <w:rtl/>
        </w:rPr>
      </w:pPr>
      <w:r>
        <w:rPr>
          <w:rStyle w:val="ab"/>
          <w:rFonts w:ascii="Arial" w:hAnsi="Arial"/>
        </w:rPr>
        <w:footnoteRef/>
      </w:r>
      <w:r>
        <w:rPr>
          <w:rFonts w:ascii="Arial" w:hAnsi="Arial"/>
          <w:rtl/>
        </w:rPr>
        <w:t xml:space="preserve"> טעו בשמה, רש"י.</w:t>
      </w:r>
    </w:p>
  </w:footnote>
  <w:footnote w:id="4079">
    <w:p w14:paraId="1A9DA137" w14:textId="77777777" w:rsidR="0013116F" w:rsidRDefault="0013116F" w:rsidP="001D49D4">
      <w:pPr>
        <w:pStyle w:val="a9"/>
        <w:spacing w:after="60"/>
        <w:rPr>
          <w:rFonts w:ascii="Arial" w:hAnsi="Arial"/>
        </w:rPr>
      </w:pPr>
      <w:r>
        <w:rPr>
          <w:rStyle w:val="ab"/>
          <w:rFonts w:ascii="Arial" w:hAnsi="Arial"/>
        </w:rPr>
        <w:footnoteRef/>
      </w:r>
      <w:r>
        <w:rPr>
          <w:rFonts w:ascii="Arial" w:hAnsi="Arial"/>
          <w:rtl/>
        </w:rPr>
        <w:t xml:space="preserve"> לגט אחד עשאם שלוחים ועדים והרי כתבו גט אחד ואינן שלוחים עוד לחזור ולכתוב גט כשר, רש"י.</w:t>
      </w:r>
    </w:p>
  </w:footnote>
  <w:footnote w:id="4080">
    <w:p w14:paraId="2C3E8C94" w14:textId="77777777" w:rsidR="0013116F" w:rsidRDefault="0013116F" w:rsidP="001D49D4">
      <w:pPr>
        <w:pStyle w:val="a9"/>
        <w:spacing w:after="60"/>
        <w:rPr>
          <w:rFonts w:ascii="Arial" w:hAnsi="Arial"/>
          <w:rtl/>
        </w:rPr>
      </w:pPr>
      <w:r>
        <w:rPr>
          <w:rStyle w:val="ab"/>
          <w:rFonts w:ascii="Arial" w:hAnsi="Arial"/>
        </w:rPr>
        <w:footnoteRef/>
      </w:r>
      <w:r>
        <w:rPr>
          <w:rFonts w:ascii="Arial" w:hAnsi="Arial"/>
          <w:rtl/>
        </w:rPr>
        <w:t xml:space="preserve"> קודם שנתנוהו לה, רש"י.</w:t>
      </w:r>
    </w:p>
  </w:footnote>
  <w:footnote w:id="4081">
    <w:p w14:paraId="76A3DC2F" w14:textId="77777777" w:rsidR="0013116F" w:rsidRDefault="0013116F" w:rsidP="001D49D4">
      <w:pPr>
        <w:pStyle w:val="a9"/>
        <w:spacing w:after="60"/>
        <w:rPr>
          <w:rFonts w:ascii="Arial" w:hAnsi="Arial"/>
        </w:rPr>
      </w:pPr>
      <w:r>
        <w:rPr>
          <w:rStyle w:val="ab"/>
          <w:rFonts w:ascii="Arial" w:hAnsi="Arial"/>
        </w:rPr>
        <w:footnoteRef/>
      </w:r>
      <w:r>
        <w:rPr>
          <w:rFonts w:ascii="Arial" w:hAnsi="Arial"/>
          <w:rtl/>
        </w:rPr>
        <w:t xml:space="preserve"> ואינן רשאין לכתוב גט שני וליתן לה שהרי כבר כתבו גט כשר, רש"י.</w:t>
      </w:r>
    </w:p>
  </w:footnote>
  <w:footnote w:id="4082">
    <w:p w14:paraId="0742EFCA" w14:textId="77777777" w:rsidR="0013116F" w:rsidRDefault="0013116F" w:rsidP="001D49D4">
      <w:pPr>
        <w:pStyle w:val="a9"/>
        <w:spacing w:after="60"/>
        <w:rPr>
          <w:rFonts w:ascii="Arial" w:hAnsi="Arial"/>
        </w:rPr>
      </w:pPr>
      <w:r>
        <w:rPr>
          <w:rStyle w:val="ab"/>
          <w:rFonts w:ascii="Arial" w:hAnsi="Arial"/>
        </w:rPr>
        <w:footnoteRef/>
      </w:r>
      <w:r>
        <w:rPr>
          <w:rFonts w:ascii="Arial" w:hAnsi="Arial"/>
          <w:rtl/>
        </w:rPr>
        <w:t xml:space="preserve"> וכיוצא בזה כ' הה"מ </w:t>
      </w:r>
      <w:r>
        <w:rPr>
          <w:rFonts w:ascii="Arial" w:hAnsi="Arial"/>
          <w:sz w:val="16"/>
          <w:szCs w:val="16"/>
          <w:rtl/>
        </w:rPr>
        <w:t xml:space="preserve">(מלוה פכ"ד ה"ח) </w:t>
      </w:r>
      <w:r>
        <w:rPr>
          <w:rFonts w:ascii="Arial" w:hAnsi="Arial"/>
          <w:rtl/>
        </w:rPr>
        <w:t xml:space="preserve">לדעת הרמב"ם </w:t>
      </w:r>
      <w:r>
        <w:rPr>
          <w:rFonts w:ascii="Arial" w:hAnsi="Arial"/>
          <w:sz w:val="16"/>
          <w:szCs w:val="16"/>
          <w:rtl/>
        </w:rPr>
        <w:t xml:space="preserve">(שם) </w:t>
      </w:r>
      <w:r>
        <w:rPr>
          <w:rFonts w:ascii="Arial" w:hAnsi="Arial"/>
          <w:rtl/>
        </w:rPr>
        <w:t xml:space="preserve">וכמו שאכתוב בסמוך </w:t>
      </w:r>
      <w:r>
        <w:rPr>
          <w:rFonts w:ascii="Arial" w:hAnsi="Arial"/>
          <w:sz w:val="16"/>
          <w:szCs w:val="16"/>
          <w:rtl/>
        </w:rPr>
        <w:t xml:space="preserve">(סי"ב) </w:t>
      </w:r>
      <w:r>
        <w:rPr>
          <w:rFonts w:ascii="Arial" w:hAnsi="Arial"/>
          <w:rtl/>
        </w:rPr>
        <w:t>גבי אא"כ שבאו עדי השטר בעצמן, ב"י.</w:t>
      </w:r>
    </w:p>
  </w:footnote>
  <w:footnote w:id="4083">
    <w:p w14:paraId="2DF5BD79" w14:textId="77777777" w:rsidR="0013116F" w:rsidRDefault="0013116F" w:rsidP="001D49D4">
      <w:pPr>
        <w:pStyle w:val="a9"/>
        <w:spacing w:after="60"/>
        <w:rPr>
          <w:rFonts w:ascii="Arial" w:hAnsi="Arial"/>
          <w:rtl/>
        </w:rPr>
      </w:pPr>
      <w:r>
        <w:rPr>
          <w:rStyle w:val="ab"/>
          <w:rFonts w:ascii="Arial" w:hAnsi="Arial"/>
        </w:rPr>
        <w:footnoteRef/>
      </w:r>
      <w:r>
        <w:rPr>
          <w:rFonts w:ascii="Arial" w:hAnsi="Arial"/>
          <w:rtl/>
        </w:rPr>
        <w:t xml:space="preserve"> ונראה שהשו"ע לא פסק כן, שהרי כ' בסתם את המקרה שטעו ואז כתבו שוב, ובזה הכשיר, ואח"כ כ' בשם יש מי שאומר (והיא ד' הרא"ש כאן) שאף אם לא כתבו שטר אחר כשר, וכללא בידנו סתם ויש הלכה כסתם.  </w:t>
      </w:r>
    </w:p>
  </w:footnote>
  <w:footnote w:id="4084">
    <w:p w14:paraId="4772A16D" w14:textId="77777777" w:rsidR="0013116F" w:rsidRDefault="0013116F" w:rsidP="001D49D4">
      <w:pPr>
        <w:pStyle w:val="a9"/>
        <w:spacing w:after="60"/>
        <w:rPr>
          <w:rFonts w:ascii="Arial" w:hAnsi="Arial"/>
        </w:rPr>
      </w:pPr>
      <w:r>
        <w:rPr>
          <w:rStyle w:val="ab"/>
          <w:rFonts w:ascii="Arial" w:hAnsi="Arial"/>
        </w:rPr>
        <w:footnoteRef/>
      </w:r>
      <w:r>
        <w:rPr>
          <w:rFonts w:ascii="Arial" w:hAnsi="Arial"/>
          <w:rtl/>
        </w:rPr>
        <w:t xml:space="preserve"> ח"ג סימן יב.</w:t>
      </w:r>
    </w:p>
  </w:footnote>
  <w:footnote w:id="4085">
    <w:p w14:paraId="13A79D9B" w14:textId="77777777" w:rsidR="0013116F" w:rsidRDefault="0013116F" w:rsidP="001D49D4">
      <w:pPr>
        <w:pStyle w:val="a9"/>
        <w:spacing w:after="60"/>
        <w:rPr>
          <w:rFonts w:ascii="Arial" w:hAnsi="Arial"/>
        </w:rPr>
      </w:pPr>
      <w:r>
        <w:rPr>
          <w:rStyle w:val="ab"/>
          <w:rFonts w:ascii="Arial" w:hAnsi="Arial"/>
        </w:rPr>
        <w:footnoteRef/>
      </w:r>
      <w:r>
        <w:rPr>
          <w:rFonts w:ascii="Arial" w:hAnsi="Arial"/>
          <w:rtl/>
        </w:rPr>
        <w:t xml:space="preserve"> היינו שטר שלא נכתב בו קנין, כגון שטר מכר שלא באחריות וכגון שטר מתנה.</w:t>
      </w:r>
    </w:p>
  </w:footnote>
  <w:footnote w:id="4086">
    <w:p w14:paraId="2055EFF8" w14:textId="77777777" w:rsidR="0013116F" w:rsidRDefault="0013116F" w:rsidP="001D49D4">
      <w:pPr>
        <w:pStyle w:val="a9"/>
        <w:spacing w:after="60"/>
        <w:rPr>
          <w:rFonts w:ascii="Arial" w:hAnsi="Arial"/>
          <w:rtl/>
        </w:rPr>
      </w:pPr>
      <w:r>
        <w:rPr>
          <w:rStyle w:val="ab"/>
          <w:rFonts w:ascii="Arial" w:hAnsi="Arial"/>
        </w:rPr>
        <w:footnoteRef/>
      </w:r>
      <w:r>
        <w:rPr>
          <w:rFonts w:ascii="Arial" w:hAnsi="Arial"/>
          <w:rtl/>
        </w:rPr>
        <w:t xml:space="preserve"> כן הבין הש"ך</w:t>
      </w:r>
      <w:r>
        <w:rPr>
          <w:rFonts w:ascii="Arial" w:hAnsi="Arial"/>
          <w:sz w:val="16"/>
          <w:szCs w:val="16"/>
          <w:rtl/>
        </w:rPr>
        <w:t xml:space="preserve"> (סק"ט)</w:t>
      </w:r>
      <w:r>
        <w:rPr>
          <w:rFonts w:ascii="Arial" w:hAnsi="Arial"/>
          <w:rtl/>
        </w:rPr>
        <w:t xml:space="preserve"> מדבריו, וכ"מ שהבין הב"י </w:t>
      </w:r>
      <w:r>
        <w:rPr>
          <w:rFonts w:ascii="Arial" w:hAnsi="Arial"/>
          <w:sz w:val="16"/>
          <w:szCs w:val="16"/>
          <w:rtl/>
        </w:rPr>
        <w:t>(מדלא חילק בין הרשב"א לר"ן במסקנה שכ' אחר דברי הר"ן)</w:t>
      </w:r>
      <w:r>
        <w:rPr>
          <w:rFonts w:ascii="Arial" w:hAnsi="Arial"/>
          <w:rtl/>
        </w:rPr>
        <w:t xml:space="preserve">. וכ"פ בשו"ע בסי' מא סע' א. וכן מוכח ל' הרשב"א בתשו' </w:t>
      </w:r>
      <w:r>
        <w:rPr>
          <w:rFonts w:ascii="Arial" w:hAnsi="Arial"/>
          <w:sz w:val="16"/>
          <w:szCs w:val="16"/>
          <w:rtl/>
        </w:rPr>
        <w:t>(ח"ג סי' יב)</w:t>
      </w:r>
      <w:r>
        <w:rPr>
          <w:rFonts w:ascii="Arial" w:hAnsi="Arial"/>
          <w:rtl/>
        </w:rPr>
        <w:t>, וז"ל- "ואם היו סבורים שהיא עשויה כתקנה ומצאו שאינה כתקנה חוזרין וכותבין... ולא אמרו עשו עדים שליחותן אלא גבי גט...  וכן נמי</w:t>
      </w:r>
      <w:r>
        <w:rPr>
          <w:rFonts w:ascii="Arial" w:hAnsi="Arial"/>
          <w:sz w:val="16"/>
          <w:szCs w:val="16"/>
          <w:rtl/>
        </w:rPr>
        <w:t xml:space="preserve"> </w:t>
      </w:r>
      <w:r>
        <w:rPr>
          <w:rFonts w:ascii="Arial" w:hAnsi="Arial"/>
          <w:rtl/>
        </w:rPr>
        <w:t xml:space="preserve">בשטר מכר כל שחוזרים וכותבים האחריות עכשיו משתעבדים נכסיו בשטר זה והם כבר עשו שליחותן". והכי מוכח נמי בתשו' אחרת להרשב"א </w:t>
      </w:r>
      <w:r>
        <w:rPr>
          <w:rFonts w:ascii="Arial" w:hAnsi="Arial"/>
          <w:sz w:val="16"/>
          <w:szCs w:val="16"/>
          <w:rtl/>
        </w:rPr>
        <w:t xml:space="preserve">(ח"ג סי' י"ג) </w:t>
      </w:r>
      <w:r>
        <w:rPr>
          <w:rFonts w:ascii="Arial" w:hAnsi="Arial"/>
          <w:rtl/>
        </w:rPr>
        <w:t xml:space="preserve">"כיון שהם זכורים שטעו כותבים לו שטר אחר כתיקונו, דכל שטעו אע"פ שמסרו אותו למלוה לא עשו שליחותן" אלמא דוקא כשטעו הא לאו הכי לא </w:t>
      </w:r>
      <w:r>
        <w:rPr>
          <w:rFonts w:ascii="Arial" w:hAnsi="Arial"/>
          <w:sz w:val="16"/>
          <w:szCs w:val="16"/>
          <w:rtl/>
        </w:rPr>
        <w:t>(ועי' בש"ך סק"ט שהביא עוד ראיות)</w:t>
      </w:r>
      <w:r>
        <w:rPr>
          <w:rFonts w:ascii="Arial" w:hAnsi="Arial"/>
          <w:rtl/>
        </w:rPr>
        <w:t>.</w:t>
      </w:r>
    </w:p>
  </w:footnote>
  <w:footnote w:id="4087">
    <w:p w14:paraId="1BE3BA76" w14:textId="77777777" w:rsidR="0013116F" w:rsidRDefault="0013116F" w:rsidP="001D49D4">
      <w:pPr>
        <w:pStyle w:val="a9"/>
        <w:spacing w:after="60"/>
        <w:rPr>
          <w:rFonts w:ascii="Arial" w:hAnsi="Arial"/>
          <w:rtl/>
        </w:rPr>
      </w:pPr>
      <w:r>
        <w:rPr>
          <w:rStyle w:val="ab"/>
          <w:rFonts w:ascii="Arial" w:hAnsi="Arial"/>
        </w:rPr>
        <w:footnoteRef/>
      </w:r>
      <w:r>
        <w:rPr>
          <w:rFonts w:ascii="Arial" w:hAnsi="Arial"/>
          <w:rtl/>
        </w:rPr>
        <w:t xml:space="preserve"> (רשב"א </w:t>
      </w:r>
      <w:r>
        <w:rPr>
          <w:rFonts w:ascii="Arial" w:hAnsi="Arial"/>
          <w:sz w:val="16"/>
          <w:szCs w:val="16"/>
          <w:rtl/>
        </w:rPr>
        <w:t>להב' ב"י וש"ך</w:t>
      </w:r>
      <w:r>
        <w:rPr>
          <w:rFonts w:ascii="Arial" w:hAnsi="Arial"/>
          <w:sz w:val="14"/>
          <w:szCs w:val="14"/>
          <w:rtl/>
        </w:rPr>
        <w:t xml:space="preserve"> [סק"ט]</w:t>
      </w:r>
      <w:r>
        <w:rPr>
          <w:rFonts w:ascii="Arial" w:hAnsi="Arial"/>
          <w:sz w:val="16"/>
          <w:szCs w:val="16"/>
          <w:rtl/>
        </w:rPr>
        <w:t>)</w:t>
      </w:r>
      <w:r>
        <w:rPr>
          <w:rFonts w:ascii="Arial" w:hAnsi="Arial"/>
          <w:rtl/>
        </w:rPr>
        <w:t xml:space="preserve"> ר"ן </w:t>
      </w:r>
      <w:r>
        <w:rPr>
          <w:rFonts w:ascii="Arial" w:hAnsi="Arial"/>
          <w:sz w:val="16"/>
          <w:szCs w:val="16"/>
          <w:rtl/>
        </w:rPr>
        <w:t>(גיטין כט. ד"ה אלא)</w:t>
      </w:r>
      <w:r>
        <w:rPr>
          <w:rFonts w:ascii="Arial" w:hAnsi="Arial"/>
          <w:rtl/>
        </w:rPr>
        <w:t xml:space="preserve"> (הה"מ</w:t>
      </w:r>
      <w:r>
        <w:rPr>
          <w:rFonts w:ascii="Arial" w:hAnsi="Arial"/>
          <w:sz w:val="14"/>
          <w:szCs w:val="14"/>
          <w:rtl/>
        </w:rPr>
        <w:t xml:space="preserve"> [פכ"ד מהל' מלוה]</w:t>
      </w:r>
      <w:r>
        <w:rPr>
          <w:rFonts w:ascii="Arial" w:hAnsi="Arial"/>
          <w:sz w:val="16"/>
          <w:szCs w:val="16"/>
          <w:rtl/>
        </w:rPr>
        <w:t xml:space="preserve"> להב' הדרכ"מ</w:t>
      </w:r>
      <w:r>
        <w:rPr>
          <w:rFonts w:ascii="Arial" w:hAnsi="Arial"/>
          <w:sz w:val="14"/>
          <w:szCs w:val="14"/>
          <w:rtl/>
        </w:rPr>
        <w:t xml:space="preserve"> [אות ב]</w:t>
      </w:r>
      <w:r>
        <w:rPr>
          <w:rFonts w:ascii="Arial" w:hAnsi="Arial"/>
          <w:rtl/>
        </w:rPr>
        <w:t>) וב"י.</w:t>
      </w:r>
    </w:p>
  </w:footnote>
  <w:footnote w:id="4088">
    <w:p w14:paraId="0A7511A5" w14:textId="77777777" w:rsidR="0013116F" w:rsidRDefault="0013116F" w:rsidP="001D49D4">
      <w:pPr>
        <w:pStyle w:val="a9"/>
        <w:spacing w:after="60"/>
        <w:rPr>
          <w:rFonts w:ascii="Arial" w:hAnsi="Arial"/>
          <w:rtl/>
        </w:rPr>
      </w:pPr>
      <w:r>
        <w:rPr>
          <w:rStyle w:val="ab"/>
          <w:rFonts w:ascii="Arial" w:hAnsi="Arial"/>
        </w:rPr>
        <w:footnoteRef/>
      </w:r>
      <w:r>
        <w:rPr>
          <w:rFonts w:ascii="Arial" w:hAnsi="Arial"/>
          <w:rtl/>
        </w:rPr>
        <w:t xml:space="preserve"> </w:t>
      </w:r>
      <w:r>
        <w:rPr>
          <w:rFonts w:ascii="Arial" w:hAnsi="Arial" w:hint="cs"/>
          <w:b/>
          <w:bCs/>
          <w:rtl/>
        </w:rPr>
        <w:t xml:space="preserve">גיטין סג ע"ב: </w:t>
      </w:r>
      <w:r>
        <w:rPr>
          <w:rFonts w:ascii="Arial" w:hAnsi="Arial" w:hint="cs"/>
          <w:u w:val="single"/>
          <w:rtl/>
        </w:rPr>
        <w:t>בעא מיניה רבא מרב נחמן</w:t>
      </w:r>
      <w:r>
        <w:rPr>
          <w:rFonts w:ascii="Arial" w:hAnsi="Arial" w:hint="cs"/>
          <w:rtl/>
        </w:rPr>
        <w:t>: כתבו ותנו לשליח, מהו? סלוקי סליק להו, או דילמא לטירחא דידהו חייש? א"ל רבינא לרב אשי: ויוליך לה, מהו? תיקו.</w:t>
      </w:r>
    </w:p>
  </w:footnote>
  <w:footnote w:id="4089">
    <w:p w14:paraId="48329313" w14:textId="77777777" w:rsidR="0013116F" w:rsidRDefault="0013116F" w:rsidP="001D49D4">
      <w:pPr>
        <w:pStyle w:val="a9"/>
        <w:spacing w:after="60"/>
        <w:rPr>
          <w:rFonts w:ascii="Arial" w:hAnsi="Arial"/>
          <w:rtl/>
        </w:rPr>
      </w:pPr>
      <w:r>
        <w:rPr>
          <w:rStyle w:val="ab"/>
          <w:rFonts w:ascii="Arial" w:hAnsi="Arial"/>
        </w:rPr>
        <w:footnoteRef/>
      </w:r>
      <w:r>
        <w:rPr>
          <w:rFonts w:ascii="Arial" w:hAnsi="Arial"/>
          <w:rtl/>
        </w:rPr>
        <w:t xml:space="preserve"> לכן אמרינן בהו עשו שליחותן וצריך לצוותם מחדש, ש"ך (סק"ט).</w:t>
      </w:r>
    </w:p>
  </w:footnote>
  <w:footnote w:id="4090">
    <w:p w14:paraId="57411937" w14:textId="77777777" w:rsidR="0013116F" w:rsidRDefault="0013116F" w:rsidP="001D49D4">
      <w:pPr>
        <w:pStyle w:val="a9"/>
        <w:spacing w:after="60"/>
        <w:rPr>
          <w:rFonts w:ascii="Arial" w:hAnsi="Arial"/>
        </w:rPr>
      </w:pPr>
      <w:r>
        <w:rPr>
          <w:rStyle w:val="ab"/>
          <w:rFonts w:ascii="Arial" w:hAnsi="Arial"/>
        </w:rPr>
        <w:footnoteRef/>
      </w:r>
      <w:r>
        <w:rPr>
          <w:rFonts w:ascii="Arial" w:hAnsi="Arial"/>
          <w:rtl/>
        </w:rPr>
        <w:t xml:space="preserve"> היינו שטר שנכתב בו קנין, כגון שטר מכר באחריות וכגון שטר הלואה.</w:t>
      </w:r>
    </w:p>
  </w:footnote>
  <w:footnote w:id="4091">
    <w:p w14:paraId="77714099" w14:textId="77777777" w:rsidR="0013116F" w:rsidRDefault="0013116F" w:rsidP="001D49D4">
      <w:pPr>
        <w:pStyle w:val="a9"/>
        <w:spacing w:after="60"/>
        <w:rPr>
          <w:rFonts w:ascii="Arial" w:hAnsi="Arial"/>
          <w:rtl/>
        </w:rPr>
      </w:pPr>
      <w:r>
        <w:rPr>
          <w:rStyle w:val="ab"/>
          <w:rFonts w:ascii="Arial" w:hAnsi="Arial"/>
        </w:rPr>
        <w:footnoteRef/>
      </w:r>
      <w:r>
        <w:rPr>
          <w:rFonts w:ascii="Arial" w:hAnsi="Arial"/>
          <w:rtl/>
        </w:rPr>
        <w:t xml:space="preserve"> דוקא בשמו </w:t>
      </w:r>
      <w:r>
        <w:rPr>
          <w:rFonts w:ascii="Arial" w:hAnsi="Arial"/>
          <w:sz w:val="16"/>
          <w:szCs w:val="16"/>
          <w:rtl/>
        </w:rPr>
        <w:t>(דמסתמא אין לו אלא שם אחד אמרינן שטעה)</w:t>
      </w:r>
      <w:r>
        <w:rPr>
          <w:rFonts w:ascii="Arial" w:hAnsi="Arial"/>
          <w:rtl/>
        </w:rPr>
        <w:t xml:space="preserve"> משא"כ בכינוי, סמ"ע (סק"ט).</w:t>
      </w:r>
    </w:p>
  </w:footnote>
  <w:footnote w:id="4092">
    <w:p w14:paraId="4EC823D1" w14:textId="77777777" w:rsidR="0013116F" w:rsidRDefault="0013116F" w:rsidP="001D49D4">
      <w:pPr>
        <w:pStyle w:val="a9"/>
        <w:spacing w:after="60"/>
        <w:rPr>
          <w:rFonts w:ascii="Arial" w:hAnsi="Arial"/>
          <w:rtl/>
        </w:rPr>
      </w:pPr>
      <w:r>
        <w:rPr>
          <w:rStyle w:val="ab"/>
          <w:rFonts w:ascii="Arial" w:hAnsi="Arial"/>
        </w:rPr>
        <w:footnoteRef/>
      </w:r>
      <w:r>
        <w:rPr>
          <w:rFonts w:ascii="Arial" w:hAnsi="Arial"/>
          <w:rtl/>
        </w:rPr>
        <w:t xml:space="preserve"> דוקא ודאי טעות אבל ספק לא דשמא שטר זה כשר הוא וכבר עשו שליחותן, ש"ך </w:t>
      </w:r>
      <w:r>
        <w:rPr>
          <w:rFonts w:ascii="Arial" w:hAnsi="Arial"/>
          <w:sz w:val="14"/>
          <w:szCs w:val="14"/>
          <w:rtl/>
        </w:rPr>
        <w:t xml:space="preserve">(סק"ו) </w:t>
      </w:r>
      <w:r>
        <w:rPr>
          <w:rFonts w:ascii="Arial" w:hAnsi="Arial"/>
          <w:rtl/>
        </w:rPr>
        <w:t>ואורים</w:t>
      </w:r>
      <w:r>
        <w:rPr>
          <w:rFonts w:ascii="Arial" w:hAnsi="Arial"/>
          <w:sz w:val="16"/>
          <w:szCs w:val="16"/>
          <w:rtl/>
        </w:rPr>
        <w:t xml:space="preserve"> </w:t>
      </w:r>
      <w:r>
        <w:rPr>
          <w:rFonts w:ascii="Arial" w:hAnsi="Arial"/>
          <w:sz w:val="14"/>
          <w:szCs w:val="14"/>
          <w:rtl/>
        </w:rPr>
        <w:t>(סק"י)</w:t>
      </w:r>
      <w:r>
        <w:rPr>
          <w:rFonts w:ascii="Arial" w:hAnsi="Arial"/>
          <w:rtl/>
        </w:rPr>
        <w:t xml:space="preserve">. אך קצוה"ח </w:t>
      </w:r>
      <w:r>
        <w:rPr>
          <w:rFonts w:ascii="Arial" w:hAnsi="Arial"/>
          <w:sz w:val="14"/>
          <w:szCs w:val="14"/>
          <w:rtl/>
        </w:rPr>
        <w:t xml:space="preserve">(סק"ג) </w:t>
      </w:r>
      <w:r>
        <w:rPr>
          <w:rFonts w:ascii="Arial" w:hAnsi="Arial"/>
          <w:rtl/>
        </w:rPr>
        <w:t xml:space="preserve">כ' דבדיני ממונות אף בספק טעות נמי לא עשו שליחותן </w:t>
      </w:r>
      <w:r>
        <w:rPr>
          <w:rFonts w:ascii="Arial" w:hAnsi="Arial"/>
          <w:sz w:val="16"/>
          <w:szCs w:val="16"/>
          <w:rtl/>
        </w:rPr>
        <w:t>(כיון דמ"מ פסול הוא)</w:t>
      </w:r>
      <w:r>
        <w:rPr>
          <w:rFonts w:ascii="Arial" w:hAnsi="Arial"/>
          <w:rtl/>
        </w:rPr>
        <w:t xml:space="preserve"> וכותבין אחר, ואפילו לא נמצא בו אלא פסול דרבנן</w:t>
      </w:r>
      <w:r>
        <w:rPr>
          <w:rFonts w:ascii="Arial" w:hAnsi="Arial"/>
          <w:sz w:val="16"/>
          <w:szCs w:val="16"/>
          <w:rtl/>
        </w:rPr>
        <w:t xml:space="preserve"> (דבשטרי ממון ליכא חומרות, אלא או ספיקות תורה או ספיקות דרבנן, לכן אם ע"י ספיקן אינו יכול לגבות בשטרו ודאי כותבין אחר, ולהכי השמיטו בשו"ע ורמ"א לחלק בין טעות ודאי לספק כמו שחילקו בגיטין סי' קכ"ב משום דדיני ממונות עיקר יסודם או כדברי תורה או בדבריהם שהוא נמי תורה וא"כ ספיקו כיוצא בו ולא עשו שליחותן)</w:t>
      </w:r>
      <w:r>
        <w:rPr>
          <w:rFonts w:ascii="Arial" w:hAnsi="Arial"/>
          <w:rtl/>
        </w:rPr>
        <w:t>.</w:t>
      </w:r>
    </w:p>
  </w:footnote>
  <w:footnote w:id="4093">
    <w:p w14:paraId="6F12FB0A" w14:textId="77777777" w:rsidR="0013116F" w:rsidRDefault="0013116F" w:rsidP="001D49D4">
      <w:pPr>
        <w:pStyle w:val="a9"/>
        <w:spacing w:after="60"/>
        <w:rPr>
          <w:rFonts w:ascii="Arial" w:hAnsi="Arial"/>
          <w:rtl/>
        </w:rPr>
      </w:pPr>
      <w:r>
        <w:rPr>
          <w:rStyle w:val="ab"/>
          <w:rFonts w:ascii="Arial" w:hAnsi="Arial"/>
        </w:rPr>
        <w:footnoteRef/>
      </w:r>
      <w:r>
        <w:rPr>
          <w:rFonts w:ascii="Arial" w:hAnsi="Arial"/>
          <w:rtl/>
        </w:rPr>
        <w:t xml:space="preserve"> אבל כשנכתב בו קנין הוי כאילו הגיע לידו, ושוב אין כותבין אחר כיון שעשו שליחותן, ש"ך (סק"ז).</w:t>
      </w:r>
    </w:p>
  </w:footnote>
  <w:footnote w:id="4094">
    <w:p w14:paraId="4635A0F9" w14:textId="77777777" w:rsidR="0013116F" w:rsidRDefault="0013116F" w:rsidP="001D49D4">
      <w:pPr>
        <w:pStyle w:val="a9"/>
        <w:spacing w:after="60"/>
        <w:rPr>
          <w:rFonts w:ascii="Arial" w:hAnsi="Arial"/>
          <w:rtl/>
        </w:rPr>
      </w:pPr>
      <w:r>
        <w:rPr>
          <w:rStyle w:val="ab"/>
          <w:rFonts w:ascii="Arial" w:hAnsi="Arial"/>
        </w:rPr>
        <w:footnoteRef/>
      </w:r>
      <w:r>
        <w:rPr>
          <w:rFonts w:ascii="Arial" w:hAnsi="Arial"/>
          <w:rtl/>
        </w:rPr>
        <w:t xml:space="preserve"> דעת עצמו בדברי הרשב"א כדלעיל, ובציונים לרמ"א נכתב כאן- 'ב"י בשם הרשב"א', לכן נראה לומר שהוא ציון של הסמ"ע (שדעתו בזה כדעת הרמ"א), שכידוע הציונים מלוקטים מסמ"ע ש"ך ובאה"ג.</w:t>
      </w:r>
    </w:p>
  </w:footnote>
  <w:footnote w:id="4095">
    <w:p w14:paraId="126D517E" w14:textId="77777777" w:rsidR="0013116F" w:rsidRDefault="0013116F" w:rsidP="001D49D4">
      <w:pPr>
        <w:pStyle w:val="a9"/>
        <w:spacing w:after="60"/>
        <w:rPr>
          <w:rFonts w:ascii="Arial" w:hAnsi="Arial"/>
        </w:rPr>
      </w:pPr>
      <w:r>
        <w:rPr>
          <w:rStyle w:val="ab"/>
          <w:rFonts w:ascii="Arial" w:hAnsi="Arial"/>
        </w:rPr>
        <w:footnoteRef/>
      </w:r>
      <w:r>
        <w:rPr>
          <w:rFonts w:ascii="Arial" w:hAnsi="Arial"/>
          <w:rtl/>
        </w:rPr>
        <w:t xml:space="preserve"> דדין זה במחלוקת שנויה כיון דלא הוי מוכח מתוכו, ולכך כתבו המחבר בלשון ויש אומרים, אבל אי מוכח מתוך השטר דהוי טעות, כו"ע מודים דהוי מוכח מתוכו, לכך כתב רמ"א לעיל סעיף ב' הך דינא ולא כפל הדברים לחנם, רק שם דמוכח דטעה- לכו"ע כשר, ואין כאן מחלוקת כלל, אורים (סקט"ו).</w:t>
      </w:r>
    </w:p>
  </w:footnote>
  <w:footnote w:id="4096">
    <w:p w14:paraId="06DC0ADF" w14:textId="77777777" w:rsidR="0013116F" w:rsidRDefault="0013116F" w:rsidP="001D49D4">
      <w:pPr>
        <w:pStyle w:val="a9"/>
        <w:spacing w:after="60"/>
        <w:rPr>
          <w:rFonts w:ascii="Arial" w:hAnsi="Arial"/>
          <w:rtl/>
        </w:rPr>
      </w:pPr>
      <w:r>
        <w:rPr>
          <w:rStyle w:val="ab"/>
          <w:rFonts w:ascii="Arial" w:hAnsi="Arial"/>
        </w:rPr>
        <w:footnoteRef/>
      </w:r>
      <w:r>
        <w:rPr>
          <w:rFonts w:ascii="Arial" w:hAnsi="Arial"/>
          <w:rtl/>
        </w:rPr>
        <w:t xml:space="preserve"> </w:t>
      </w:r>
      <w:r>
        <w:rPr>
          <w:rFonts w:ascii="Arial" w:hAnsi="Arial" w:hint="cs"/>
          <w:rtl/>
        </w:rPr>
        <w:t>סימן – ב' קרואים ערן. וכן - ב' קרואים בעיר. וכן - ב' קרנא בעיר.</w:t>
      </w:r>
    </w:p>
  </w:footnote>
  <w:footnote w:id="4097">
    <w:p w14:paraId="4299B40D" w14:textId="77777777" w:rsidR="0013116F" w:rsidRDefault="0013116F" w:rsidP="001D49D4">
      <w:pPr>
        <w:pStyle w:val="a9"/>
        <w:spacing w:after="60"/>
        <w:rPr>
          <w:rFonts w:ascii="Arial" w:hAnsi="Arial"/>
        </w:rPr>
      </w:pPr>
      <w:r>
        <w:rPr>
          <w:rStyle w:val="ab"/>
          <w:rFonts w:ascii="Arial" w:hAnsi="Arial"/>
        </w:rPr>
        <w:footnoteRef/>
      </w:r>
      <w:r>
        <w:rPr>
          <w:rFonts w:ascii="Arial" w:hAnsi="Arial"/>
          <w:rtl/>
        </w:rPr>
        <w:t xml:space="preserve"> שיכול הלה לטעון שטר זה שבידך אני החזרתיו לך כשהחזרת לי ממון שלוית בו ממני, רשב"ם.</w:t>
      </w:r>
    </w:p>
  </w:footnote>
  <w:footnote w:id="4098">
    <w:p w14:paraId="1D9D228D" w14:textId="77777777" w:rsidR="0013116F" w:rsidRDefault="0013116F" w:rsidP="001D49D4">
      <w:pPr>
        <w:pStyle w:val="a9"/>
        <w:spacing w:after="60"/>
        <w:rPr>
          <w:rFonts w:ascii="Arial" w:hAnsi="Arial"/>
          <w:rtl/>
        </w:rPr>
      </w:pPr>
      <w:r>
        <w:rPr>
          <w:rStyle w:val="ab"/>
          <w:rFonts w:ascii="Arial" w:hAnsi="Arial"/>
        </w:rPr>
        <w:footnoteRef/>
      </w:r>
      <w:r>
        <w:rPr>
          <w:rFonts w:ascii="Arial" w:hAnsi="Arial"/>
          <w:rtl/>
        </w:rPr>
        <w:t xml:space="preserve"> על אחד מהם דכל חד מצי מדחי ליה אצל חבירו אא"כ יש עדים בדבר שמעידין זה לוה מזה אבל מן השטר אין יכולין להביא ראיה, רשב"ם. </w:t>
      </w:r>
    </w:p>
  </w:footnote>
  <w:footnote w:id="4099">
    <w:p w14:paraId="30434E2B" w14:textId="77777777" w:rsidR="0013116F" w:rsidRDefault="0013116F" w:rsidP="001D49D4">
      <w:pPr>
        <w:pStyle w:val="a9"/>
        <w:spacing w:after="60"/>
        <w:rPr>
          <w:rFonts w:ascii="Arial" w:hAnsi="Arial"/>
          <w:rtl/>
        </w:rPr>
      </w:pPr>
      <w:r>
        <w:rPr>
          <w:rStyle w:val="ab"/>
          <w:rFonts w:ascii="Arial" w:hAnsi="Arial"/>
        </w:rPr>
        <w:footnoteRef/>
      </w:r>
      <w:r>
        <w:rPr>
          <w:rFonts w:ascii="Arial" w:hAnsi="Arial"/>
          <w:rtl/>
        </w:rPr>
        <w:t xml:space="preserve"> אם רוצים ללוות זה מזה או מאיש אחר או לקנות קרקע, רשב"ם.</w:t>
      </w:r>
    </w:p>
  </w:footnote>
  <w:footnote w:id="4100">
    <w:p w14:paraId="211AA462" w14:textId="77777777" w:rsidR="0013116F" w:rsidRDefault="0013116F" w:rsidP="001D49D4">
      <w:pPr>
        <w:pStyle w:val="a9"/>
        <w:spacing w:after="60"/>
        <w:rPr>
          <w:rFonts w:ascii="Arial" w:hAnsi="Arial"/>
          <w:rtl/>
        </w:rPr>
      </w:pPr>
      <w:r>
        <w:rPr>
          <w:rStyle w:val="ab"/>
          <w:rFonts w:ascii="Arial" w:hAnsi="Arial"/>
        </w:rPr>
        <w:footnoteRef/>
      </w:r>
      <w:r>
        <w:rPr>
          <w:rFonts w:ascii="Arial" w:hAnsi="Arial"/>
          <w:rtl/>
        </w:rPr>
        <w:t xml:space="preserve"> אבי אביו ויכתוב יוסף בן שמעון בן יעקב וזה יכתוב יוסף בן שמעון בן נפתלי, רשב"ם.</w:t>
      </w:r>
    </w:p>
  </w:footnote>
  <w:footnote w:id="4101">
    <w:p w14:paraId="16211880" w14:textId="77777777" w:rsidR="0013116F" w:rsidRDefault="0013116F" w:rsidP="001D49D4">
      <w:pPr>
        <w:pStyle w:val="a9"/>
        <w:spacing w:after="60"/>
        <w:rPr>
          <w:rFonts w:ascii="Arial" w:hAnsi="Arial"/>
          <w:rtl/>
        </w:rPr>
      </w:pPr>
      <w:r>
        <w:rPr>
          <w:rStyle w:val="ab"/>
          <w:rFonts w:ascii="Arial" w:hAnsi="Arial"/>
        </w:rPr>
        <w:footnoteRef/>
      </w:r>
      <w:r>
        <w:rPr>
          <w:rFonts w:ascii="Arial" w:hAnsi="Arial"/>
          <w:rtl/>
        </w:rPr>
        <w:t xml:space="preserve"> ששמותיהן ושמות אביהן ושמות אבי אביהן שוין, רשב"ם.</w:t>
      </w:r>
    </w:p>
  </w:footnote>
  <w:footnote w:id="4102">
    <w:p w14:paraId="0EB59243" w14:textId="77777777" w:rsidR="0013116F" w:rsidRDefault="0013116F" w:rsidP="001D49D4">
      <w:pPr>
        <w:pStyle w:val="a9"/>
        <w:spacing w:after="60"/>
        <w:rPr>
          <w:rFonts w:ascii="Arial" w:hAnsi="Arial"/>
        </w:rPr>
      </w:pPr>
      <w:r>
        <w:rPr>
          <w:rStyle w:val="ab"/>
          <w:rFonts w:ascii="Arial" w:hAnsi="Arial"/>
        </w:rPr>
        <w:footnoteRef/>
      </w:r>
      <w:r>
        <w:rPr>
          <w:rFonts w:ascii="Arial" w:hAnsi="Arial"/>
          <w:rtl/>
        </w:rPr>
        <w:t xml:space="preserve"> יוסף בן שמעון שהוא גוץ או לבן או גיחור לוה מיוסף בן שמעון שהוא ארוך או שחור, רשב"ם.</w:t>
      </w:r>
    </w:p>
  </w:footnote>
  <w:footnote w:id="4103">
    <w:p w14:paraId="66B8CAD0" w14:textId="77777777" w:rsidR="0013116F" w:rsidRDefault="0013116F" w:rsidP="001D49D4">
      <w:pPr>
        <w:pStyle w:val="a9"/>
        <w:spacing w:after="60"/>
        <w:rPr>
          <w:rFonts w:ascii="Arial" w:hAnsi="Arial"/>
        </w:rPr>
      </w:pPr>
      <w:r>
        <w:rPr>
          <w:rStyle w:val="ab"/>
          <w:rFonts w:ascii="Arial" w:hAnsi="Arial"/>
        </w:rPr>
        <w:footnoteRef/>
      </w:r>
      <w:r>
        <w:rPr>
          <w:rFonts w:ascii="Arial" w:hAnsi="Arial"/>
          <w:rtl/>
        </w:rPr>
        <w:t xml:space="preserve"> שוין, רשב"ם.</w:t>
      </w:r>
    </w:p>
  </w:footnote>
  <w:footnote w:id="4104">
    <w:p w14:paraId="5A49696C" w14:textId="77777777" w:rsidR="0013116F" w:rsidRDefault="0013116F" w:rsidP="001D49D4">
      <w:pPr>
        <w:pStyle w:val="a9"/>
        <w:spacing w:after="60"/>
        <w:rPr>
          <w:rFonts w:ascii="Arial" w:hAnsi="Arial"/>
          <w:rtl/>
        </w:rPr>
      </w:pPr>
      <w:r>
        <w:rPr>
          <w:rStyle w:val="ab"/>
          <w:rFonts w:ascii="Arial" w:hAnsi="Arial"/>
        </w:rPr>
        <w:footnoteRef/>
      </w:r>
      <w:r>
        <w:rPr>
          <w:rFonts w:ascii="Arial" w:hAnsi="Arial"/>
          <w:rtl/>
        </w:rPr>
        <w:t xml:space="preserve"> אם אחד מהן כהן יכתבו יוסף כהן לוה מיוסף ישראל, רשב"ם.</w:t>
      </w:r>
    </w:p>
  </w:footnote>
  <w:footnote w:id="4105">
    <w:p w14:paraId="4D5E4899" w14:textId="77777777" w:rsidR="0013116F" w:rsidRDefault="0013116F" w:rsidP="001D49D4">
      <w:pPr>
        <w:pStyle w:val="a9"/>
        <w:spacing w:after="60"/>
        <w:rPr>
          <w:rFonts w:ascii="Arial" w:hAnsi="Arial"/>
        </w:rPr>
      </w:pPr>
      <w:r>
        <w:rPr>
          <w:rStyle w:val="ab"/>
          <w:rFonts w:ascii="Arial" w:hAnsi="Arial"/>
        </w:rPr>
        <w:footnoteRef/>
      </w:r>
      <w:r>
        <w:rPr>
          <w:rFonts w:ascii="Arial" w:hAnsi="Arial"/>
          <w:rtl/>
        </w:rPr>
        <w:t xml:space="preserve"> רבה לאביי.</w:t>
      </w:r>
    </w:p>
  </w:footnote>
  <w:footnote w:id="4106">
    <w:p w14:paraId="3513F2CB" w14:textId="77777777" w:rsidR="0013116F" w:rsidRDefault="0013116F" w:rsidP="001D49D4">
      <w:pPr>
        <w:pStyle w:val="a9"/>
        <w:spacing w:after="60"/>
        <w:rPr>
          <w:rFonts w:ascii="Arial" w:hAnsi="Arial"/>
        </w:rPr>
      </w:pPr>
      <w:r>
        <w:rPr>
          <w:rStyle w:val="ab"/>
          <w:rFonts w:ascii="Arial" w:hAnsi="Arial"/>
        </w:rPr>
        <w:footnoteRef/>
      </w:r>
      <w:r>
        <w:rPr>
          <w:rFonts w:ascii="Arial" w:hAnsi="Arial"/>
          <w:rtl/>
        </w:rPr>
        <w:t xml:space="preserve"> היינו שיפול השטר, וחברו </w:t>
      </w:r>
      <w:r>
        <w:rPr>
          <w:rFonts w:ascii="Arial" w:hAnsi="Arial"/>
          <w:sz w:val="16"/>
          <w:szCs w:val="16"/>
          <w:rtl/>
        </w:rPr>
        <w:t>(ששמו כשמו)</w:t>
      </w:r>
      <w:r>
        <w:rPr>
          <w:rFonts w:ascii="Arial" w:hAnsi="Arial"/>
          <w:rtl/>
        </w:rPr>
        <w:t xml:space="preserve"> ימצאו ויגבה בו. </w:t>
      </w:r>
    </w:p>
  </w:footnote>
  <w:footnote w:id="4107">
    <w:p w14:paraId="59562E16" w14:textId="77777777" w:rsidR="0013116F" w:rsidRDefault="0013116F" w:rsidP="001D49D4">
      <w:pPr>
        <w:pStyle w:val="a9"/>
        <w:spacing w:after="60"/>
        <w:rPr>
          <w:rFonts w:ascii="Arial" w:hAnsi="Arial"/>
          <w:rtl/>
        </w:rPr>
      </w:pPr>
      <w:r>
        <w:rPr>
          <w:rStyle w:val="ab"/>
          <w:rFonts w:ascii="Arial" w:hAnsi="Arial"/>
        </w:rPr>
        <w:footnoteRef/>
      </w:r>
      <w:r>
        <w:rPr>
          <w:rFonts w:ascii="Arial" w:hAnsi="Arial"/>
          <w:rtl/>
        </w:rPr>
        <w:t xml:space="preserve"> כסבור הוא לרמות בו חבירו ולגבות ממנו בשטר זה והוא אינו יודע מה ששנינו שאין יכול להוציא על חבירו ששמו כשמו, רשב"ם.</w:t>
      </w:r>
    </w:p>
  </w:footnote>
  <w:footnote w:id="4108">
    <w:p w14:paraId="5A32E1C0" w14:textId="77777777" w:rsidR="0013116F" w:rsidRDefault="0013116F" w:rsidP="001D49D4">
      <w:pPr>
        <w:pStyle w:val="a9"/>
        <w:spacing w:after="60"/>
        <w:rPr>
          <w:rFonts w:ascii="Arial" w:hAnsi="Arial"/>
        </w:rPr>
      </w:pPr>
      <w:r>
        <w:rPr>
          <w:rStyle w:val="ab"/>
          <w:rFonts w:ascii="Arial" w:hAnsi="Arial"/>
        </w:rPr>
        <w:footnoteRef/>
      </w:r>
      <w:r>
        <w:rPr>
          <w:rFonts w:ascii="Arial" w:hAnsi="Arial"/>
          <w:rtl/>
        </w:rPr>
        <w:t xml:space="preserve"> ומסתמא שניהם היו במעמד מקום שנכתב וכיון דאינהו ידעי ואין מקפידים זה על זה לא חיישינן תו לשום רמאות כיון דלנפילה לא חיישינן, רשב"ם. וכ' הרשב"א </w:t>
      </w:r>
      <w:r>
        <w:rPr>
          <w:rFonts w:ascii="Arial" w:hAnsi="Arial"/>
          <w:sz w:val="16"/>
          <w:szCs w:val="16"/>
          <w:rtl/>
        </w:rPr>
        <w:t>([קעג. ד"ה מיהא] הביאו הה"מ [פכ"ד ה"ח], הביאם הב"י)</w:t>
      </w:r>
      <w:r>
        <w:rPr>
          <w:rFonts w:ascii="Arial" w:hAnsi="Arial"/>
          <w:rtl/>
        </w:rPr>
        <w:t xml:space="preserve"> דמהא שמעינן דבשטרי דלאו אקניאתא לכו"ע מוציאין אפי' זע"ז, דהא אוקימנא מתני' דכותבין שטר ללוה אע"פ שאין מלוה עמו דוקא בשטרי אקנייתא, דמשעת קנין שעבד נפשיה, הא בשטרי דלא אקנייתא כי ליכא מלוה בהדיה לא כתבינן, הילכך אפי' לתנא דמתני' כל כי הא כיון דאין כותבין- מוציאין.</w:t>
      </w:r>
    </w:p>
  </w:footnote>
  <w:footnote w:id="4109">
    <w:p w14:paraId="6D0B61D5" w14:textId="77777777" w:rsidR="0013116F" w:rsidRDefault="0013116F" w:rsidP="001D49D4">
      <w:pPr>
        <w:pStyle w:val="a9"/>
        <w:spacing w:after="60"/>
        <w:rPr>
          <w:rFonts w:ascii="Arial" w:hAnsi="Arial"/>
        </w:rPr>
      </w:pPr>
      <w:r>
        <w:rPr>
          <w:rStyle w:val="ab"/>
          <w:rFonts w:ascii="Arial" w:hAnsi="Arial"/>
        </w:rPr>
        <w:footnoteRef/>
      </w:r>
      <w:r>
        <w:rPr>
          <w:rFonts w:ascii="Arial" w:hAnsi="Arial"/>
          <w:rtl/>
        </w:rPr>
        <w:t xml:space="preserve"> מלוה, שטרו של יוסף בן שמעון שחייב לי ממון פרוע, שטרות שניהם פרועים, ואע"ג דאמרן בשילהי שנים אוחזין</w:t>
      </w:r>
      <w:r>
        <w:rPr>
          <w:rFonts w:ascii="Arial" w:hAnsi="Arial"/>
          <w:sz w:val="16"/>
          <w:szCs w:val="16"/>
          <w:rtl/>
        </w:rPr>
        <w:t xml:space="preserve"> (ב"מ כ:) </w:t>
      </w:r>
      <w:r>
        <w:rPr>
          <w:rFonts w:ascii="Arial" w:hAnsi="Arial"/>
          <w:rtl/>
        </w:rPr>
        <w:t>סימפון היוצא מתחת ידי מלוה אינו אלא כמשחק ופסול- הא אוקימנא להך משנה התם כגון שנמצא השטר בין שטרותיו קרועין הלכך השובר כשר, רשב"ם.</w:t>
      </w:r>
    </w:p>
  </w:footnote>
  <w:footnote w:id="4110">
    <w:p w14:paraId="68B51579" w14:textId="77777777" w:rsidR="0013116F" w:rsidRDefault="0013116F" w:rsidP="001D49D4">
      <w:pPr>
        <w:pStyle w:val="a9"/>
        <w:spacing w:after="60"/>
        <w:rPr>
          <w:rFonts w:ascii="Arial" w:hAnsi="Arial"/>
          <w:rtl/>
        </w:rPr>
      </w:pPr>
      <w:r>
        <w:rPr>
          <w:rStyle w:val="ab"/>
          <w:rFonts w:ascii="Arial" w:hAnsi="Arial"/>
        </w:rPr>
        <w:footnoteRef/>
      </w:r>
      <w:r>
        <w:rPr>
          <w:rFonts w:ascii="Arial" w:hAnsi="Arial"/>
          <w:rtl/>
        </w:rPr>
        <w:t xml:space="preserve"> פירוש בשטר שלשה דורות יוסף בן יעקב בן יצחק ובאידך כתב יוסף בן יעקב בן דוד ובשובר כתב סתם יוסף בן יעקב כדמתרץ לקמן הלכך איתרע כחם והם בחזקת פרועים שכל אחד טוען שלי פרוע והמלוה אינו יכול להכחישו הואיל ונמצאו השטרות בין השטרות קרועים, רשב"ם.</w:t>
      </w:r>
    </w:p>
  </w:footnote>
  <w:footnote w:id="4111">
    <w:p w14:paraId="0605AEC8" w14:textId="77777777" w:rsidR="0013116F" w:rsidRDefault="0013116F" w:rsidP="001D49D4">
      <w:pPr>
        <w:pStyle w:val="a9"/>
        <w:spacing w:after="60"/>
        <w:rPr>
          <w:rFonts w:ascii="Arial" w:hAnsi="Arial"/>
          <w:rtl/>
        </w:rPr>
      </w:pPr>
      <w:r>
        <w:rPr>
          <w:rStyle w:val="ab"/>
          <w:rFonts w:ascii="Arial" w:hAnsi="Arial"/>
        </w:rPr>
        <w:footnoteRef/>
      </w:r>
      <w:r>
        <w:rPr>
          <w:rFonts w:ascii="Arial" w:hAnsi="Arial"/>
          <w:rtl/>
        </w:rPr>
        <w:t xml:space="preserve"> מתני' כשנמצאו בבית לוה מיירי והכי קתני, נמצא ללוה אחד בין שטרותיו שובר שהשטר שהיה נושה בו יוסף בן שמעון פרוע הוא והיו שני יוסף בן שמעון נושים בו ואילמלא זה השובר היו שניהם נפרעין ממנו שטרותם כדאוקמינן שהם יכולין להוציא שט"ח על אחרים ועכשיו בזה השובר הורע חזקתם דקיי"ל יד בעל השטר על התחתונה וכשיוציא כל אחד מהם שטרו אומר לו הנה השובר עליו ומיהו נראה בעיני שאם שניהם באים בהרשאה זה מזה על הלוה יכולין לגבות אחד מן השטרות ממ"נ מן הלוה שהרי מודה הוא בע"כ בשני השטרות אלא שפרע אחד מהן ומיהו אי טעין לוה ואומר לשניכם פרעתי והשובר נכתב סתם על שניכם נראה בעיני דטענה מעלייתא היא אבל היכא דמודה בב' הלוואות אלא שפרע אחת נהי נמי דהורע כח המלוין לגבות כל אחד חובו אבל יעשו שטר ביניהם ויגבו בין שניהם מן הלוה שטר אחד ע"י שיכתבו הרשאה זה לזה, רשב"ם.</w:t>
      </w:r>
      <w:r>
        <w:rPr>
          <w:rFonts w:ascii="Arial" w:hAnsi="Arial"/>
          <w:sz w:val="16"/>
          <w:szCs w:val="16"/>
          <w:rtl/>
        </w:rPr>
        <w:t xml:space="preserve"> (וכ"כ הרא"ש [סו"ס לז], וכ' הה"מ [פכ"ד ה"ח] שכך הסכים הרשב"א [שם ד"ה נמצא])</w:t>
      </w:r>
    </w:p>
  </w:footnote>
  <w:footnote w:id="4112">
    <w:p w14:paraId="230EF0BF" w14:textId="77777777" w:rsidR="0013116F" w:rsidRDefault="0013116F" w:rsidP="001D49D4">
      <w:pPr>
        <w:pStyle w:val="a9"/>
        <w:spacing w:after="60"/>
        <w:rPr>
          <w:rFonts w:ascii="Arial" w:hAnsi="Arial"/>
        </w:rPr>
      </w:pPr>
      <w:r>
        <w:rPr>
          <w:rStyle w:val="ab"/>
          <w:rFonts w:ascii="Arial" w:hAnsi="Arial"/>
        </w:rPr>
        <w:footnoteRef/>
      </w:r>
      <w:r>
        <w:rPr>
          <w:rFonts w:ascii="Arial" w:hAnsi="Arial"/>
          <w:rtl/>
        </w:rPr>
        <w:t xml:space="preserve"> משולשים וכהנים, רשב"ם.</w:t>
      </w:r>
    </w:p>
  </w:footnote>
  <w:footnote w:id="4113">
    <w:p w14:paraId="0F368ACF" w14:textId="77777777" w:rsidR="0013116F" w:rsidRDefault="0013116F" w:rsidP="001D49D4">
      <w:pPr>
        <w:pStyle w:val="a9"/>
        <w:spacing w:after="60"/>
        <w:rPr>
          <w:rFonts w:ascii="Arial" w:hAnsi="Arial"/>
          <w:rtl/>
        </w:rPr>
      </w:pPr>
      <w:r>
        <w:rPr>
          <w:rStyle w:val="ab"/>
          <w:rFonts w:ascii="Arial" w:hAnsi="Arial"/>
        </w:rPr>
        <w:footnoteRef/>
      </w:r>
      <w:r>
        <w:rPr>
          <w:rFonts w:ascii="Arial" w:hAnsi="Arial"/>
          <w:rtl/>
        </w:rPr>
        <w:t xml:space="preserve"> מרובעים יוסף בן יעקב בן יצחק בן אברהם יוסף בן יעקב בן יצחק בן דוד דכולי האי לא יהיו שמות אבותיהן שוין, רשב"ם.</w:t>
      </w:r>
    </w:p>
  </w:footnote>
  <w:footnote w:id="4114">
    <w:p w14:paraId="3A77DC40" w14:textId="77777777" w:rsidR="0013116F" w:rsidRDefault="0013116F" w:rsidP="001D49D4">
      <w:pPr>
        <w:pStyle w:val="a9"/>
        <w:spacing w:after="60"/>
        <w:rPr>
          <w:rFonts w:ascii="Arial" w:hAnsi="Arial"/>
        </w:rPr>
      </w:pPr>
      <w:r>
        <w:rPr>
          <w:rStyle w:val="ab"/>
          <w:rFonts w:ascii="Arial" w:hAnsi="Arial"/>
        </w:rPr>
        <w:footnoteRef/>
      </w:r>
      <w:r>
        <w:rPr>
          <w:rFonts w:ascii="Arial" w:hAnsi="Arial"/>
          <w:rtl/>
        </w:rPr>
        <w:t xml:space="preserve"> שמא יש אדם ששמו כשם הלוה בעיר אחרת, ויאמר הלוה- "לא אני לויתי ממך אלא אותו שמעיר אחרת לוה ממך".</w:t>
      </w:r>
    </w:p>
  </w:footnote>
  <w:footnote w:id="4115">
    <w:p w14:paraId="23494DCE" w14:textId="77777777" w:rsidR="0013116F" w:rsidRDefault="0013116F" w:rsidP="001D49D4">
      <w:pPr>
        <w:pStyle w:val="a9"/>
        <w:spacing w:after="60"/>
        <w:rPr>
          <w:rFonts w:ascii="Arial" w:hAnsi="Arial"/>
        </w:rPr>
      </w:pPr>
      <w:r>
        <w:rPr>
          <w:rStyle w:val="ab"/>
          <w:rFonts w:ascii="Arial" w:hAnsi="Arial"/>
        </w:rPr>
        <w:footnoteRef/>
      </w:r>
      <w:r>
        <w:rPr>
          <w:rFonts w:ascii="Arial" w:hAnsi="Arial"/>
          <w:rtl/>
        </w:rPr>
        <w:t xml:space="preserve"> דאפילו תאמר שאין כותבין ללוה אא"כ מלוה עמו, אפ"ל ששניהם עושים קנוניא על יוסף בן שמעון שבעיר אחרת, אלא לכל זה אין חוששים, ע"פ רמב"ן.</w:t>
      </w:r>
    </w:p>
  </w:footnote>
  <w:footnote w:id="4116">
    <w:p w14:paraId="4E3AA769" w14:textId="77777777" w:rsidR="0013116F" w:rsidRDefault="0013116F" w:rsidP="001D49D4">
      <w:pPr>
        <w:pStyle w:val="a9"/>
        <w:spacing w:after="60"/>
        <w:rPr>
          <w:rFonts w:ascii="Arial" w:hAnsi="Arial"/>
          <w:rtl/>
        </w:rPr>
      </w:pPr>
      <w:r>
        <w:rPr>
          <w:rStyle w:val="ab"/>
          <w:rFonts w:ascii="Arial" w:hAnsi="Arial"/>
        </w:rPr>
        <w:footnoteRef/>
      </w:r>
      <w:r>
        <w:rPr>
          <w:rFonts w:ascii="Arial" w:hAnsi="Arial"/>
          <w:rtl/>
        </w:rPr>
        <w:t xml:space="preserve"> עיין לקמן בהערה על ההג"ה לגבי האם לד' רבנו ישעיה צריך לכתוב מקום שניהם/אחד מהם/הלוה.</w:t>
      </w:r>
    </w:p>
  </w:footnote>
  <w:footnote w:id="4117">
    <w:p w14:paraId="3B353D3D" w14:textId="77777777" w:rsidR="0013116F" w:rsidRDefault="0013116F" w:rsidP="001D49D4">
      <w:pPr>
        <w:pStyle w:val="a9"/>
        <w:spacing w:after="60"/>
        <w:rPr>
          <w:rFonts w:ascii="Arial" w:hAnsi="Arial"/>
          <w:rtl/>
        </w:rPr>
      </w:pPr>
      <w:r>
        <w:rPr>
          <w:rStyle w:val="ab"/>
          <w:rFonts w:ascii="Arial" w:hAnsi="Arial"/>
        </w:rPr>
        <w:footnoteRef/>
      </w:r>
      <w:r>
        <w:rPr>
          <w:rFonts w:ascii="Arial" w:hAnsi="Arial"/>
          <w:rtl/>
        </w:rPr>
        <w:t xml:space="preserve"> והוכיח הב"י כן מדתניא בכתובות (קי:) המוציא שטר חוב על חבירו ולא היה בשטר שם מקום- גובה ממטבע מקום שיצא בו השטר, וכמ"ש בדברי רבינו סימן מ"ב (סי"ט), ולמד הרמב"ם (פי"ז ה"ט) מאותה ברייתא דשטר שאין בו מקום שנכתב בו כשר, וכ"כ הטור בשם הרא"ש סימן ס"א (ס"ד). ומ"ש ר' ישעיה דאין חילוק בין שטרות לגיטין- היינו לומר דלכתחלה צריך לכתוב גם בשטרות שם המקום של כתב אבל בדיעבד כשר.</w:t>
      </w:r>
      <w:r>
        <w:rPr>
          <w:rFonts w:ascii="Arial" w:hAnsi="Arial"/>
          <w:color w:val="FF0000"/>
          <w:rtl/>
        </w:rPr>
        <w:t xml:space="preserve"> וצל"ע שוב במש"כ הדרכ"מ באות ג* שלא הבנתי את דבריו.</w:t>
      </w:r>
    </w:p>
  </w:footnote>
  <w:footnote w:id="4118">
    <w:p w14:paraId="047B1BB0" w14:textId="77777777" w:rsidR="0013116F" w:rsidRDefault="0013116F" w:rsidP="001D49D4">
      <w:pPr>
        <w:pStyle w:val="a9"/>
        <w:spacing w:after="60"/>
        <w:rPr>
          <w:rFonts w:ascii="Arial" w:hAnsi="Arial"/>
        </w:rPr>
      </w:pPr>
      <w:r>
        <w:rPr>
          <w:rStyle w:val="ab"/>
          <w:rFonts w:ascii="Arial" w:hAnsi="Arial"/>
        </w:rPr>
        <w:footnoteRef/>
      </w:r>
      <w:r>
        <w:rPr>
          <w:rFonts w:ascii="Arial" w:hAnsi="Arial"/>
          <w:rtl/>
        </w:rPr>
        <w:t xml:space="preserve"> ומסי' ס"א לא קשיא דא"צ לכתוב מקום </w:t>
      </w:r>
      <w:r>
        <w:rPr>
          <w:rFonts w:ascii="Arial" w:hAnsi="Arial"/>
          <w:u w:val="single"/>
          <w:rtl/>
        </w:rPr>
        <w:t>הכתיבה</w:t>
      </w:r>
      <w:r>
        <w:rPr>
          <w:rFonts w:ascii="Arial" w:hAnsi="Arial"/>
          <w:rtl/>
        </w:rPr>
        <w:t xml:space="preserve"> בשטר </w:t>
      </w:r>
      <w:r>
        <w:rPr>
          <w:rFonts w:ascii="Arial" w:hAnsi="Arial"/>
          <w:sz w:val="16"/>
          <w:szCs w:val="16"/>
          <w:rtl/>
        </w:rPr>
        <w:t>(כדמשמע בסוף כתובות והביאו ב"י בסי' מ"ג ובשו"ע שם סע' כ"ב)</w:t>
      </w:r>
      <w:r>
        <w:rPr>
          <w:rFonts w:ascii="Arial" w:hAnsi="Arial"/>
          <w:rtl/>
        </w:rPr>
        <w:t xml:space="preserve">, אבל לעולם מקום </w:t>
      </w:r>
      <w:r>
        <w:rPr>
          <w:rFonts w:ascii="Arial" w:hAnsi="Arial"/>
          <w:u w:val="single"/>
          <w:rtl/>
        </w:rPr>
        <w:t>הלוה והמלוה</w:t>
      </w:r>
      <w:r>
        <w:rPr>
          <w:rFonts w:ascii="Arial" w:hAnsi="Arial"/>
          <w:rtl/>
        </w:rPr>
        <w:t xml:space="preserve"> ודאי צריך לכתוב מטעם חששות, דרישה וש"ך (סקי"ג).</w:t>
      </w:r>
    </w:p>
  </w:footnote>
  <w:footnote w:id="4119">
    <w:p w14:paraId="01E1F034" w14:textId="77777777" w:rsidR="0013116F" w:rsidRDefault="0013116F" w:rsidP="001D49D4">
      <w:pPr>
        <w:pStyle w:val="a9"/>
        <w:spacing w:after="60"/>
        <w:rPr>
          <w:rFonts w:ascii="Arial" w:hAnsi="Arial"/>
        </w:rPr>
      </w:pPr>
      <w:r>
        <w:rPr>
          <w:rStyle w:val="ab"/>
          <w:rFonts w:ascii="Arial" w:hAnsi="Arial"/>
        </w:rPr>
        <w:footnoteRef/>
      </w:r>
      <w:r>
        <w:rPr>
          <w:rFonts w:ascii="Arial" w:hAnsi="Arial"/>
          <w:rtl/>
        </w:rPr>
        <w:t xml:space="preserve"> (רש"י ר"ת ור"י </w:t>
      </w:r>
      <w:r>
        <w:rPr>
          <w:rFonts w:ascii="Arial" w:hAnsi="Arial"/>
          <w:sz w:val="14"/>
          <w:szCs w:val="14"/>
          <w:rtl/>
        </w:rPr>
        <w:t>(תוס' שם ד"ה בעדי)</w:t>
      </w:r>
      <w:r>
        <w:rPr>
          <w:rFonts w:ascii="Arial" w:hAnsi="Arial"/>
          <w:rtl/>
        </w:rPr>
        <w:t xml:space="preserve"> </w:t>
      </w:r>
      <w:r>
        <w:rPr>
          <w:rFonts w:ascii="Arial" w:hAnsi="Arial"/>
          <w:sz w:val="16"/>
          <w:szCs w:val="16"/>
          <w:rtl/>
        </w:rPr>
        <w:t>כ"כ הרשב"א בשמם</w:t>
      </w:r>
      <w:r>
        <w:rPr>
          <w:rFonts w:ascii="Arial" w:hAnsi="Arial"/>
          <w:sz w:val="14"/>
          <w:szCs w:val="14"/>
          <w:rtl/>
        </w:rPr>
        <w:t xml:space="preserve"> [גיטין  (ב: ד"ה הא דאמרי' סתם,</w:t>
      </w:r>
      <w:r>
        <w:rPr>
          <w:rFonts w:ascii="Arial" w:hAnsi="Arial"/>
          <w:rtl/>
        </w:rPr>
        <w:t xml:space="preserve"> </w:t>
      </w:r>
      <w:r>
        <w:rPr>
          <w:rFonts w:ascii="Arial" w:hAnsi="Arial"/>
          <w:sz w:val="14"/>
          <w:szCs w:val="14"/>
          <w:rtl/>
        </w:rPr>
        <w:t>ובסי' אלף וס"ד]</w:t>
      </w:r>
      <w:r>
        <w:rPr>
          <w:rFonts w:ascii="Arial" w:hAnsi="Arial"/>
          <w:rtl/>
        </w:rPr>
        <w:t xml:space="preserve">) רמב"ם </w:t>
      </w:r>
      <w:r>
        <w:rPr>
          <w:rFonts w:ascii="Arial" w:hAnsi="Arial"/>
          <w:sz w:val="16"/>
          <w:szCs w:val="16"/>
          <w:rtl/>
        </w:rPr>
        <w:t>(פכ"ד ה"ח)</w:t>
      </w:r>
      <w:r>
        <w:rPr>
          <w:rFonts w:ascii="Arial" w:hAnsi="Arial"/>
          <w:rtl/>
        </w:rPr>
        <w:t xml:space="preserve"> רשב"א וריב"ש </w:t>
      </w:r>
      <w:r>
        <w:rPr>
          <w:rFonts w:ascii="Arial" w:hAnsi="Arial"/>
          <w:sz w:val="16"/>
          <w:szCs w:val="16"/>
          <w:rtl/>
        </w:rPr>
        <w:t>(סי' שכ"ג)</w:t>
      </w:r>
      <w:r>
        <w:rPr>
          <w:rFonts w:ascii="Arial" w:hAnsi="Arial"/>
          <w:rtl/>
        </w:rPr>
        <w:t>.</w:t>
      </w:r>
    </w:p>
  </w:footnote>
  <w:footnote w:id="4120">
    <w:p w14:paraId="53C8B662" w14:textId="77777777" w:rsidR="0013116F" w:rsidRDefault="0013116F" w:rsidP="001D49D4">
      <w:pPr>
        <w:pStyle w:val="a9"/>
        <w:spacing w:after="60"/>
        <w:rPr>
          <w:rFonts w:ascii="Arial" w:hAnsi="Arial"/>
          <w:rtl/>
        </w:rPr>
      </w:pPr>
      <w:r>
        <w:rPr>
          <w:rStyle w:val="ab"/>
          <w:rFonts w:ascii="Arial" w:hAnsi="Arial"/>
        </w:rPr>
        <w:footnoteRef/>
      </w:r>
      <w:r>
        <w:rPr>
          <w:rFonts w:ascii="Arial" w:hAnsi="Arial"/>
          <w:rtl/>
        </w:rPr>
        <w:t xml:space="preserve"> לשון הב"י, וכ' כן הב"י להשיג על דברי הרשב"א. וכ' הדרכ"מ </w:t>
      </w:r>
      <w:r>
        <w:rPr>
          <w:rFonts w:ascii="Arial" w:hAnsi="Arial"/>
          <w:sz w:val="16"/>
          <w:szCs w:val="16"/>
          <w:rtl/>
        </w:rPr>
        <w:t>(אות ה)</w:t>
      </w:r>
      <w:r>
        <w:rPr>
          <w:rFonts w:ascii="Arial" w:hAnsi="Arial"/>
          <w:rtl/>
        </w:rPr>
        <w:t xml:space="preserve"> על דברי הב"י "ואין דבריו נראין, דאין רגילות לכתוב נ"ר אשם הבן אלא על שם האב דא"כ הוה ליה לכותבו קודם שם האב ולכן נראה דהוה סימן ואין אנו תולין בדבר שאינו רגיל".</w:t>
      </w:r>
    </w:p>
  </w:footnote>
  <w:footnote w:id="4121">
    <w:p w14:paraId="5609AFFC" w14:textId="77777777" w:rsidR="0013116F" w:rsidRDefault="0013116F" w:rsidP="001D49D4">
      <w:pPr>
        <w:spacing w:after="60" w:line="240" w:lineRule="auto"/>
        <w:rPr>
          <w:rFonts w:ascii="Arial" w:hAnsi="Arial"/>
          <w:sz w:val="20"/>
          <w:szCs w:val="20"/>
          <w:rtl/>
        </w:rPr>
      </w:pPr>
      <w:r>
        <w:rPr>
          <w:rStyle w:val="ab"/>
          <w:rFonts w:ascii="Arial" w:hAnsi="Arial"/>
        </w:rPr>
        <w:footnoteRef/>
      </w:r>
      <w:r>
        <w:rPr>
          <w:rFonts w:ascii="Arial" w:hAnsi="Arial"/>
          <w:sz w:val="20"/>
          <w:szCs w:val="20"/>
          <w:rtl/>
        </w:rPr>
        <w:t xml:space="preserve"> הביאו הדרכ"מ (אות ד), והוסיף דנראה דאם היה להם הרשאה זה מזה גובין מן היורשים.</w:t>
      </w:r>
    </w:p>
  </w:footnote>
  <w:footnote w:id="4122">
    <w:p w14:paraId="4CB133FB" w14:textId="77777777" w:rsidR="0013116F" w:rsidRDefault="0013116F" w:rsidP="001D49D4">
      <w:pPr>
        <w:spacing w:after="60" w:line="240" w:lineRule="auto"/>
        <w:rPr>
          <w:rFonts w:ascii="Arial" w:hAnsi="Arial"/>
          <w:sz w:val="20"/>
          <w:szCs w:val="20"/>
          <w:rtl/>
        </w:rPr>
      </w:pPr>
      <w:r>
        <w:rPr>
          <w:rStyle w:val="ab"/>
          <w:rFonts w:ascii="Arial" w:hAnsi="Arial"/>
        </w:rPr>
        <w:footnoteRef/>
      </w:r>
      <w:r>
        <w:rPr>
          <w:rFonts w:ascii="Arial" w:hAnsi="Arial"/>
          <w:sz w:val="20"/>
          <w:szCs w:val="20"/>
          <w:rtl/>
        </w:rPr>
        <w:t xml:space="preserve"> הש"ך </w:t>
      </w:r>
      <w:r>
        <w:rPr>
          <w:rFonts w:ascii="Arial" w:hAnsi="Arial"/>
          <w:sz w:val="16"/>
          <w:szCs w:val="16"/>
          <w:rtl/>
        </w:rPr>
        <w:t>(סק"י)</w:t>
      </w:r>
      <w:r>
        <w:rPr>
          <w:rFonts w:ascii="Arial" w:hAnsi="Arial"/>
          <w:sz w:val="20"/>
          <w:szCs w:val="20"/>
          <w:rtl/>
        </w:rPr>
        <w:t xml:space="preserve"> העיר שאפשר שטענה זו שייכת רק בשטר חוב על הלואה שבזה שמחזיר לו השט"ח- החוב בטל, משא"כ בשטר מכר או שטר מתנה דלא מהני כשטוען 'שלי היה והחזרתיו לך כשחזרת ולקחת ממני', דהא קיי"ל </w:t>
      </w:r>
      <w:r>
        <w:rPr>
          <w:rFonts w:ascii="Arial" w:hAnsi="Arial"/>
          <w:sz w:val="16"/>
          <w:szCs w:val="16"/>
          <w:rtl/>
        </w:rPr>
        <w:t>(ב"ב קסט)</w:t>
      </w:r>
      <w:r>
        <w:rPr>
          <w:rFonts w:ascii="Arial" w:hAnsi="Arial"/>
          <w:sz w:val="20"/>
          <w:szCs w:val="20"/>
          <w:rtl/>
        </w:rPr>
        <w:t xml:space="preserve"> דבשטר מכר ומתנה אם החזיר לו השטר לא חזרה מתנתו ומכירתו אלא צריך קנין חדש, וא"כ לאיזה צורך החזיר לו השטר, וא"כ לא מהני במכר או מתנה אלא כשטוען כתבת לך מתחילה שטר לעצמך.</w:t>
      </w:r>
    </w:p>
  </w:footnote>
  <w:footnote w:id="4123">
    <w:p w14:paraId="4524116E" w14:textId="77777777" w:rsidR="0013116F" w:rsidRDefault="0013116F" w:rsidP="001D49D4">
      <w:pPr>
        <w:pStyle w:val="a9"/>
        <w:spacing w:after="60"/>
        <w:rPr>
          <w:rFonts w:ascii="Arial" w:hAnsi="Arial"/>
        </w:rPr>
      </w:pPr>
      <w:r>
        <w:rPr>
          <w:rStyle w:val="ab"/>
          <w:rFonts w:ascii="Arial" w:hAnsi="Arial"/>
        </w:rPr>
        <w:footnoteRef/>
      </w:r>
      <w:r>
        <w:rPr>
          <w:rFonts w:ascii="Arial" w:hAnsi="Arial"/>
          <w:rtl/>
        </w:rPr>
        <w:t xml:space="preserve">  וכן הקשה בדרכ"מ על דברי הטור (שהשו"ע כ' כדבריו), </w:t>
      </w:r>
      <w:r>
        <w:rPr>
          <w:rFonts w:ascii="Arial" w:hAnsi="Arial"/>
          <w:u w:val="single"/>
          <w:rtl/>
        </w:rPr>
        <w:t>ויש כמה תירוצים לקושיתו:</w:t>
      </w:r>
    </w:p>
    <w:p w14:paraId="13BD7C5C" w14:textId="77777777" w:rsidR="0013116F" w:rsidRDefault="0013116F" w:rsidP="004B0475">
      <w:pPr>
        <w:pStyle w:val="a9"/>
        <w:numPr>
          <w:ilvl w:val="0"/>
          <w:numId w:val="278"/>
        </w:numPr>
        <w:spacing w:after="60"/>
        <w:rPr>
          <w:rFonts w:ascii="Arial" w:hAnsi="Arial"/>
          <w:rtl/>
        </w:rPr>
      </w:pPr>
      <w:r>
        <w:rPr>
          <w:rFonts w:ascii="Arial" w:hAnsi="Arial"/>
          <w:rtl/>
        </w:rPr>
        <w:t xml:space="preserve">ט"ז ש"ך </w:t>
      </w:r>
      <w:r>
        <w:rPr>
          <w:rFonts w:ascii="Arial" w:hAnsi="Arial"/>
          <w:sz w:val="16"/>
          <w:szCs w:val="16"/>
          <w:rtl/>
        </w:rPr>
        <w:t>(סק"י)</w:t>
      </w:r>
      <w:r>
        <w:rPr>
          <w:rFonts w:ascii="Arial" w:hAnsi="Arial"/>
          <w:rtl/>
        </w:rPr>
        <w:t xml:space="preserve"> באה"ט</w:t>
      </w:r>
      <w:r>
        <w:rPr>
          <w:rFonts w:ascii="Arial" w:hAnsi="Arial"/>
          <w:sz w:val="16"/>
          <w:szCs w:val="16"/>
          <w:rtl/>
        </w:rPr>
        <w:t xml:space="preserve"> (סק"ט)</w:t>
      </w:r>
      <w:r>
        <w:rPr>
          <w:rFonts w:ascii="Arial" w:hAnsi="Arial"/>
          <w:rtl/>
        </w:rPr>
        <w:t xml:space="preserve"> ונתיבות</w:t>
      </w:r>
      <w:r>
        <w:rPr>
          <w:rFonts w:ascii="Arial" w:hAnsi="Arial"/>
          <w:sz w:val="16"/>
          <w:szCs w:val="16"/>
          <w:rtl/>
        </w:rPr>
        <w:t xml:space="preserve"> (ביאורים סק"ז)</w:t>
      </w:r>
      <w:r>
        <w:rPr>
          <w:rFonts w:ascii="Arial" w:hAnsi="Arial"/>
          <w:rtl/>
        </w:rPr>
        <w:t xml:space="preserve">- אין כאן מחלוקת בין הטעמים, אלא כו"ע ס"ל תרי טעמי, ושייך לחלק בין שטר שיש בו קנין לבין שטר שאין בו קנין בין בטעם המוזכר בגמ' ובין בטעם שכ' השו"ע </w:t>
      </w:r>
      <w:r>
        <w:rPr>
          <w:rFonts w:ascii="Arial" w:hAnsi="Arial"/>
          <w:sz w:val="14"/>
          <w:szCs w:val="14"/>
          <w:rtl/>
        </w:rPr>
        <w:t>(שהוא הטעם שכ' הרשב"ם במשנה)</w:t>
      </w:r>
      <w:r>
        <w:rPr>
          <w:rFonts w:ascii="Arial" w:hAnsi="Arial"/>
          <w:rtl/>
        </w:rPr>
        <w:t xml:space="preserve"> </w:t>
      </w:r>
      <w:r>
        <w:rPr>
          <w:rFonts w:ascii="Arial" w:hAnsi="Arial"/>
          <w:sz w:val="16"/>
          <w:szCs w:val="16"/>
          <w:rtl/>
        </w:rPr>
        <w:t xml:space="preserve">(דאם נאמר כדברי הרמ"א </w:t>
      </w:r>
      <w:r>
        <w:rPr>
          <w:rFonts w:ascii="Arial" w:hAnsi="Arial"/>
          <w:sz w:val="14"/>
          <w:szCs w:val="14"/>
          <w:rtl/>
        </w:rPr>
        <w:t>[שלטעמו של השו"ע כותבין ללוה אף כשהמלוה לא עמו]</w:t>
      </w:r>
      <w:r>
        <w:rPr>
          <w:rFonts w:ascii="Arial" w:hAnsi="Arial"/>
          <w:sz w:val="16"/>
          <w:szCs w:val="16"/>
          <w:rtl/>
        </w:rPr>
        <w:t xml:space="preserve">- קשה למה נתנו לו בשלימות, כשפרע לו היה לו לקרעו שלא יתבענו בו </w:t>
      </w:r>
      <w:r>
        <w:rPr>
          <w:rFonts w:ascii="Arial" w:hAnsi="Arial"/>
          <w:sz w:val="14"/>
          <w:szCs w:val="14"/>
          <w:rtl/>
        </w:rPr>
        <w:t>[כמו שתובעו עתה באמת]</w:t>
      </w:r>
      <w:r>
        <w:rPr>
          <w:rFonts w:ascii="Arial" w:hAnsi="Arial"/>
          <w:sz w:val="16"/>
          <w:szCs w:val="16"/>
          <w:rtl/>
        </w:rPr>
        <w:t xml:space="preserve">, שהרי הוא לקח שטר כזה מתחילה לתבעו בו. לכך קאמר בגמ' דתנא דמתני' סבר כותבים שטר ללוה אע"פ שאין מלוה עמו, וא"כ יוכל לומר מה שהחזרתי לך כשפרעת לי ולא קרעתיו, היינו משום שלא חששתי לזה שתתבעני בו, מפני שידעתי ששטר כזה אינו כלום מטעם דכותבים שטר ללוה בלא מלוה </w:t>
      </w:r>
      <w:r>
        <w:rPr>
          <w:rFonts w:ascii="Arial" w:hAnsi="Arial"/>
          <w:sz w:val="14"/>
          <w:szCs w:val="14"/>
          <w:rtl/>
        </w:rPr>
        <w:t>[ואין להקשות א"כ איך לקח שטר כזה מתחילה. י"ל דיוכל לומר מתחילה לא ידעתי ששטר כזה אינו כלום, כי הייתי סבור כתנא ברא דאין כותבין ללוה בלא מלוה]</w:t>
      </w:r>
      <w:r>
        <w:rPr>
          <w:rFonts w:ascii="Arial" w:hAnsi="Arial"/>
          <w:sz w:val="16"/>
          <w:szCs w:val="16"/>
          <w:rtl/>
        </w:rPr>
        <w:t>)</w:t>
      </w:r>
      <w:r>
        <w:rPr>
          <w:rFonts w:ascii="Arial" w:hAnsi="Arial"/>
          <w:rtl/>
        </w:rPr>
        <w:t>.</w:t>
      </w:r>
      <w:r>
        <w:rPr>
          <w:rFonts w:ascii="Arial" w:hAnsi="Arial"/>
          <w:sz w:val="16"/>
          <w:szCs w:val="16"/>
          <w:rtl/>
        </w:rPr>
        <w:t xml:space="preserve"> (אלו דברי הש"ך, והעתיקם הבאה"ט, אמנם הט"ז והנתיבות כ' טעמים מעט שונים אך דומים לזה שכ' הש"ך, ומכיון שמסקנתם כדברי הש"ך לא הבאתי טעמם, וכן מסקנת האו"ת</w:t>
      </w:r>
      <w:r>
        <w:rPr>
          <w:rFonts w:ascii="Arial" w:hAnsi="Arial"/>
          <w:sz w:val="14"/>
          <w:szCs w:val="14"/>
          <w:rtl/>
        </w:rPr>
        <w:t xml:space="preserve"> [אורים סקט"ז]</w:t>
      </w:r>
      <w:r>
        <w:rPr>
          <w:rFonts w:ascii="Arial" w:hAnsi="Arial"/>
          <w:sz w:val="16"/>
          <w:szCs w:val="16"/>
          <w:rtl/>
        </w:rPr>
        <w:t>)</w:t>
      </w:r>
      <w:r>
        <w:rPr>
          <w:rFonts w:ascii="Arial" w:hAnsi="Arial"/>
          <w:rtl/>
        </w:rPr>
        <w:t xml:space="preserve"> </w:t>
      </w:r>
    </w:p>
    <w:p w14:paraId="67588F44" w14:textId="77777777" w:rsidR="0013116F" w:rsidRDefault="0013116F" w:rsidP="004B0475">
      <w:pPr>
        <w:pStyle w:val="a9"/>
        <w:numPr>
          <w:ilvl w:val="0"/>
          <w:numId w:val="278"/>
        </w:numPr>
        <w:spacing w:after="60"/>
        <w:rPr>
          <w:rFonts w:ascii="Arial" w:hAnsi="Arial"/>
          <w:rtl/>
        </w:rPr>
      </w:pPr>
      <w:r>
        <w:rPr>
          <w:rFonts w:ascii="Arial" w:hAnsi="Arial"/>
          <w:rtl/>
        </w:rPr>
        <w:t>סמ"ע</w:t>
      </w:r>
      <w:r>
        <w:rPr>
          <w:rFonts w:ascii="Arial" w:hAnsi="Arial"/>
          <w:sz w:val="16"/>
          <w:szCs w:val="16"/>
          <w:rtl/>
        </w:rPr>
        <w:t xml:space="preserve"> (סקי"ג)</w:t>
      </w:r>
      <w:r>
        <w:rPr>
          <w:rFonts w:ascii="Arial" w:hAnsi="Arial"/>
          <w:rtl/>
        </w:rPr>
        <w:t xml:space="preserve"> ובאה"ג </w:t>
      </w:r>
      <w:r>
        <w:rPr>
          <w:rFonts w:ascii="Arial" w:hAnsi="Arial"/>
          <w:sz w:val="16"/>
          <w:szCs w:val="16"/>
          <w:rtl/>
        </w:rPr>
        <w:t>(אות ק)</w:t>
      </w:r>
      <w:r>
        <w:rPr>
          <w:rFonts w:ascii="Arial" w:hAnsi="Arial"/>
          <w:rtl/>
        </w:rPr>
        <w:t xml:space="preserve">- ס"ל להמחבר כהטעם שכתבו רשב"ם והטור, ואפ"ה מצריך שיהא בשטר קנין, דבשטר שאין בו קנין ירא הלוה לשקר ולומר שלי הוא כו', מאחר שלא ניתן להכתב שטר כזה שהוא בלא קנין ללוה לחוד אם לא שהמלוה עמו, א"כ יכירו העדים שניהן ויתנו לב להדבר ויהא נתפס בשקרו, משא"כ כשיש בו קנין דניתן להכתב ללוה לחוד אף אם אין מכירין להמלוה כלל. </w:t>
      </w:r>
      <w:r>
        <w:rPr>
          <w:rFonts w:ascii="Arial" w:hAnsi="Arial"/>
          <w:color w:val="FF0000"/>
          <w:sz w:val="16"/>
          <w:szCs w:val="16"/>
          <w:rtl/>
        </w:rPr>
        <w:t>(צל"ע שהרי גם אם יש בו קניין והלך הלוה ואמר להם להעיד על ההלואה- הרי הם יודעים שהוא הלוה וכיצד אח"כ יגיד שהוא המלוה? והרי יכירו בו העדים)</w:t>
      </w:r>
    </w:p>
    <w:p w14:paraId="4B7D063C" w14:textId="77777777" w:rsidR="0013116F" w:rsidRDefault="0013116F" w:rsidP="004B0475">
      <w:pPr>
        <w:pStyle w:val="a9"/>
        <w:numPr>
          <w:ilvl w:val="0"/>
          <w:numId w:val="278"/>
        </w:numPr>
        <w:spacing w:after="60"/>
        <w:rPr>
          <w:rFonts w:ascii="Arial" w:hAnsi="Arial"/>
        </w:rPr>
      </w:pPr>
      <w:r>
        <w:rPr>
          <w:rFonts w:ascii="Arial" w:hAnsi="Arial"/>
          <w:rtl/>
        </w:rPr>
        <w:t xml:space="preserve">ב"ח </w:t>
      </w:r>
      <w:r>
        <w:rPr>
          <w:rFonts w:ascii="Arial" w:hAnsi="Arial"/>
          <w:sz w:val="16"/>
          <w:szCs w:val="16"/>
          <w:rtl/>
        </w:rPr>
        <w:t>(סע' יב)</w:t>
      </w:r>
      <w:r>
        <w:rPr>
          <w:rFonts w:ascii="Arial" w:hAnsi="Arial"/>
          <w:rtl/>
        </w:rPr>
        <w:t xml:space="preserve">- יש טעות סופר בשו"ע, דלפי טעם זה אפי' אין בו קנין נמי אין מוציאין זע"ז, אלא צריך להיות 'אם </w:t>
      </w:r>
      <w:r>
        <w:rPr>
          <w:rFonts w:ascii="Arial" w:hAnsi="Arial"/>
          <w:u w:val="single"/>
          <w:rtl/>
        </w:rPr>
        <w:t>אין</w:t>
      </w:r>
      <w:r>
        <w:rPr>
          <w:rFonts w:ascii="Arial" w:hAnsi="Arial"/>
          <w:rtl/>
        </w:rPr>
        <w:t xml:space="preserve"> בו קנין אין מוציאין'. </w:t>
      </w:r>
    </w:p>
    <w:p w14:paraId="1665002B" w14:textId="77777777" w:rsidR="0013116F" w:rsidRDefault="0013116F" w:rsidP="004B0475">
      <w:pPr>
        <w:pStyle w:val="a9"/>
        <w:numPr>
          <w:ilvl w:val="0"/>
          <w:numId w:val="278"/>
        </w:numPr>
        <w:spacing w:after="60"/>
        <w:rPr>
          <w:rFonts w:ascii="Arial" w:hAnsi="Arial"/>
        </w:rPr>
      </w:pPr>
      <w:r>
        <w:rPr>
          <w:rFonts w:ascii="Arial" w:hAnsi="Arial"/>
          <w:rtl/>
        </w:rPr>
        <w:t>תומים- עי' בדבריו שחלק על כל הנ"ל, ומחמת אריכות דבריו לא הבאתי תירוצו.</w:t>
      </w:r>
    </w:p>
  </w:footnote>
  <w:footnote w:id="4124">
    <w:p w14:paraId="3BC43954" w14:textId="77777777" w:rsidR="0013116F" w:rsidRDefault="0013116F" w:rsidP="001D49D4">
      <w:pPr>
        <w:pStyle w:val="a9"/>
        <w:spacing w:after="60"/>
        <w:rPr>
          <w:rFonts w:ascii="Arial" w:hAnsi="Arial"/>
        </w:rPr>
      </w:pPr>
      <w:r>
        <w:rPr>
          <w:rStyle w:val="ab"/>
          <w:rFonts w:ascii="Arial" w:hAnsi="Arial"/>
        </w:rPr>
        <w:footnoteRef/>
      </w:r>
      <w:r>
        <w:rPr>
          <w:rFonts w:ascii="Arial" w:hAnsi="Arial"/>
          <w:rtl/>
        </w:rPr>
        <w:t xml:space="preserve"> בשער משפט (סק"ב) כ' דנראה דבכה"ג אם תפס בעל השטר מאחד מהן מהני תפיסה (וראיה מסי' מ"ב סע' ח'), פת"ש (סק"ג).</w:t>
      </w:r>
    </w:p>
  </w:footnote>
  <w:footnote w:id="4125">
    <w:p w14:paraId="71D81ED5" w14:textId="77777777" w:rsidR="0013116F" w:rsidRDefault="0013116F" w:rsidP="001D49D4">
      <w:pPr>
        <w:pStyle w:val="a9"/>
        <w:spacing w:after="60"/>
        <w:rPr>
          <w:rFonts w:ascii="Arial" w:hAnsi="Arial"/>
          <w:color w:val="000000" w:themeColor="text1"/>
        </w:rPr>
      </w:pPr>
      <w:r>
        <w:rPr>
          <w:rStyle w:val="ab"/>
          <w:rFonts w:ascii="Arial" w:hAnsi="Arial"/>
          <w:color w:val="000000" w:themeColor="text1"/>
        </w:rPr>
        <w:footnoteRef/>
      </w:r>
      <w:r>
        <w:rPr>
          <w:rFonts w:ascii="Arial" w:hAnsi="Arial"/>
          <w:color w:val="000000" w:themeColor="text1"/>
          <w:rtl/>
        </w:rPr>
        <w:t xml:space="preserve"> היינו זה הלוה ולא אחר. (ועיין בטור שכ'- "זה הוא אשר העדנו עליו וזהו שהעדנו לו בהלואה", וכ' הסמ"ע שהוא יותר נכון)</w:t>
      </w:r>
    </w:p>
  </w:footnote>
  <w:footnote w:id="4126">
    <w:p w14:paraId="0B23D0FC" w14:textId="77777777" w:rsidR="0013116F" w:rsidRDefault="0013116F" w:rsidP="001D49D4">
      <w:pPr>
        <w:pStyle w:val="a9"/>
        <w:spacing w:after="60"/>
        <w:rPr>
          <w:rFonts w:ascii="Arial" w:hAnsi="Arial"/>
          <w:rtl/>
        </w:rPr>
      </w:pPr>
      <w:r>
        <w:rPr>
          <w:rStyle w:val="ab"/>
          <w:rFonts w:ascii="Arial" w:hAnsi="Arial"/>
        </w:rPr>
        <w:footnoteRef/>
      </w:r>
      <w:r>
        <w:rPr>
          <w:rFonts w:ascii="Arial" w:hAnsi="Arial"/>
          <w:rtl/>
        </w:rPr>
        <w:t xml:space="preserve"> דבר זה שהעדים אומרים קאי אשני בבות דלעיל </w:t>
      </w:r>
      <w:r>
        <w:rPr>
          <w:rFonts w:ascii="Arial" w:hAnsi="Arial"/>
          <w:sz w:val="16"/>
          <w:szCs w:val="16"/>
          <w:rtl/>
        </w:rPr>
        <w:t>(היינו גם ע"ז שאמר 'שטר זה שאתה מוציא עלי שלי הוא והחזרתי לך כשפרעת לי', ובין ע"ז שאמר 'לא עלי נכתב שטר זה אלא חברי')</w:t>
      </w:r>
      <w:r>
        <w:rPr>
          <w:rFonts w:ascii="Arial" w:hAnsi="Arial"/>
          <w:rtl/>
        </w:rPr>
        <w:t>, סמ"ע (סקט"ו).</w:t>
      </w:r>
    </w:p>
  </w:footnote>
  <w:footnote w:id="4127">
    <w:p w14:paraId="781513E8" w14:textId="77777777" w:rsidR="0013116F" w:rsidRDefault="0013116F" w:rsidP="001D49D4">
      <w:pPr>
        <w:pStyle w:val="a9"/>
        <w:spacing w:after="60"/>
        <w:rPr>
          <w:rFonts w:ascii="Arial" w:hAnsi="Arial"/>
          <w:rtl/>
        </w:rPr>
      </w:pPr>
      <w:r>
        <w:rPr>
          <w:rStyle w:val="ab"/>
          <w:rFonts w:ascii="Arial" w:hAnsi="Arial"/>
        </w:rPr>
        <w:footnoteRef/>
      </w:r>
      <w:r>
        <w:rPr>
          <w:rFonts w:ascii="Arial" w:hAnsi="Arial"/>
          <w:rtl/>
        </w:rPr>
        <w:t xml:space="preserve"> דכל שאינו מבורר מתוך השטר מי הוא המלוה והלוה, הרי השטר כאילו אינו. אבל אם אלו עדי השטר עצמן- אמרינן דלא גמרו שליחותן ויכולים לעשות שטר אחר ולשלש שמותן עד שיהיו ניכרין מתוך השטר. ואעפ"י שלא כתבו שטר חדש, הרי הוא כאילו ניכר מתוכו, הה"מ </w:t>
      </w:r>
      <w:r>
        <w:rPr>
          <w:rFonts w:ascii="Arial" w:hAnsi="Arial"/>
          <w:sz w:val="16"/>
          <w:szCs w:val="16"/>
          <w:rtl/>
        </w:rPr>
        <w:t>(פכ"ד ה"ח, הביאו הסמ"ע [סקט"ז])</w:t>
      </w:r>
      <w:r>
        <w:rPr>
          <w:rFonts w:ascii="Arial" w:hAnsi="Arial"/>
          <w:rtl/>
        </w:rPr>
        <w:t>.</w:t>
      </w:r>
    </w:p>
  </w:footnote>
  <w:footnote w:id="4128">
    <w:p w14:paraId="5BA9AC9B" w14:textId="77777777" w:rsidR="0013116F" w:rsidRDefault="0013116F" w:rsidP="001D49D4">
      <w:pPr>
        <w:pStyle w:val="a9"/>
        <w:spacing w:after="60"/>
        <w:rPr>
          <w:rFonts w:ascii="Arial" w:hAnsi="Arial"/>
        </w:rPr>
      </w:pPr>
      <w:r>
        <w:rPr>
          <w:rStyle w:val="ab"/>
          <w:rFonts w:ascii="Arial" w:hAnsi="Arial"/>
        </w:rPr>
        <w:footnoteRef/>
      </w:r>
      <w:r>
        <w:rPr>
          <w:rFonts w:ascii="Arial" w:hAnsi="Arial"/>
          <w:rtl/>
        </w:rPr>
        <w:t xml:space="preserve"> משום דאמרינן </w:t>
      </w:r>
      <w:r>
        <w:rPr>
          <w:rFonts w:ascii="Arial" w:hAnsi="Arial"/>
          <w:sz w:val="14"/>
          <w:szCs w:val="14"/>
          <w:rtl/>
        </w:rPr>
        <w:t>(ב"ב קנה.)</w:t>
      </w:r>
      <w:r>
        <w:rPr>
          <w:rFonts w:ascii="Arial" w:hAnsi="Arial"/>
          <w:rtl/>
        </w:rPr>
        <w:t xml:space="preserve"> חזקה אין העדים חותמין אא"כ נעשה בגדול, נמוק"י </w:t>
      </w:r>
      <w:r>
        <w:rPr>
          <w:rFonts w:ascii="Arial" w:hAnsi="Arial"/>
          <w:sz w:val="16"/>
          <w:szCs w:val="16"/>
          <w:rtl/>
        </w:rPr>
        <w:t>(עט: ד"ה מתני' שנים)</w:t>
      </w:r>
      <w:r>
        <w:rPr>
          <w:rFonts w:ascii="Arial" w:hAnsi="Arial"/>
          <w:rtl/>
        </w:rPr>
        <w:t xml:space="preserve"> בשם ריטב"א </w:t>
      </w:r>
      <w:r>
        <w:rPr>
          <w:rFonts w:ascii="Arial" w:hAnsi="Arial"/>
          <w:sz w:val="16"/>
          <w:szCs w:val="16"/>
          <w:rtl/>
        </w:rPr>
        <w:t>(קעב. ד"ה וכבר)</w:t>
      </w:r>
      <w:r>
        <w:rPr>
          <w:rFonts w:ascii="Arial" w:hAnsi="Arial"/>
          <w:rtl/>
        </w:rPr>
        <w:t xml:space="preserve">. </w:t>
      </w:r>
    </w:p>
  </w:footnote>
  <w:footnote w:id="4129">
    <w:p w14:paraId="174FA3EE" w14:textId="77777777" w:rsidR="0013116F" w:rsidRDefault="0013116F" w:rsidP="001D49D4">
      <w:pPr>
        <w:pStyle w:val="a9"/>
        <w:spacing w:after="60"/>
        <w:rPr>
          <w:rFonts w:ascii="Arial" w:hAnsi="Arial"/>
        </w:rPr>
      </w:pPr>
      <w:r>
        <w:rPr>
          <w:rStyle w:val="ab"/>
          <w:rFonts w:ascii="Arial" w:hAnsi="Arial"/>
        </w:rPr>
        <w:footnoteRef/>
      </w:r>
      <w:r>
        <w:rPr>
          <w:rFonts w:ascii="Arial" w:hAnsi="Arial"/>
          <w:rtl/>
        </w:rPr>
        <w:t xml:space="preserve"> פירוש- שיכתוב יוסף בן שמעון שהוא גוץ או לבן לוה מיוסף בן שמעון שהוא ארוך או שחור, ב"י.</w:t>
      </w:r>
    </w:p>
  </w:footnote>
  <w:footnote w:id="4130">
    <w:p w14:paraId="6550B155" w14:textId="77777777" w:rsidR="0013116F" w:rsidRDefault="0013116F" w:rsidP="001D49D4">
      <w:pPr>
        <w:pStyle w:val="a9"/>
        <w:spacing w:after="60"/>
        <w:rPr>
          <w:rFonts w:ascii="Arial" w:hAnsi="Arial"/>
        </w:rPr>
      </w:pPr>
      <w:r>
        <w:rPr>
          <w:rStyle w:val="ab"/>
          <w:rFonts w:ascii="Arial" w:hAnsi="Arial"/>
        </w:rPr>
        <w:footnoteRef/>
      </w:r>
      <w:r>
        <w:rPr>
          <w:rFonts w:ascii="Arial" w:hAnsi="Arial"/>
          <w:rtl/>
        </w:rPr>
        <w:t xml:space="preserve"> רבנו ישעיה </w:t>
      </w:r>
      <w:r>
        <w:rPr>
          <w:rFonts w:ascii="Arial" w:hAnsi="Arial"/>
          <w:sz w:val="14"/>
          <w:szCs w:val="14"/>
          <w:rtl/>
        </w:rPr>
        <w:t>(שהטור מעתיק לשונו, עי' ט"ז והגוה"ע אות נב*)</w:t>
      </w:r>
      <w:r>
        <w:rPr>
          <w:rFonts w:ascii="Arial" w:hAnsi="Arial"/>
          <w:rtl/>
        </w:rPr>
        <w:t xml:space="preserve"> כ' בתחילת דבריו שצריך לכתוב רק שם מקום </w:t>
      </w:r>
      <w:r>
        <w:rPr>
          <w:rFonts w:ascii="Arial" w:hAnsi="Arial"/>
          <w:u w:val="single"/>
          <w:rtl/>
        </w:rPr>
        <w:t>הלוה</w:t>
      </w:r>
      <w:r>
        <w:rPr>
          <w:rFonts w:ascii="Arial" w:hAnsi="Arial"/>
          <w:rtl/>
        </w:rPr>
        <w:t xml:space="preserve">, ובסוף דבריו כ' שצריך לכתוב גם מקום </w:t>
      </w:r>
      <w:r>
        <w:rPr>
          <w:rFonts w:ascii="Arial" w:hAnsi="Arial"/>
          <w:u w:val="single"/>
          <w:rtl/>
        </w:rPr>
        <w:t>הלוה</w:t>
      </w:r>
      <w:r>
        <w:rPr>
          <w:rFonts w:ascii="Arial" w:hAnsi="Arial"/>
          <w:rtl/>
        </w:rPr>
        <w:t xml:space="preserve"> ו</w:t>
      </w:r>
      <w:r>
        <w:rPr>
          <w:rFonts w:ascii="Arial" w:hAnsi="Arial"/>
          <w:u w:val="single"/>
          <w:rtl/>
        </w:rPr>
        <w:t>המלוה</w:t>
      </w:r>
      <w:r>
        <w:rPr>
          <w:rFonts w:ascii="Arial" w:hAnsi="Arial"/>
          <w:rtl/>
        </w:rPr>
        <w:t xml:space="preserve">. </w:t>
      </w:r>
      <w:r>
        <w:rPr>
          <w:rFonts w:ascii="Arial" w:hAnsi="Arial"/>
          <w:u w:val="double"/>
          <w:rtl/>
        </w:rPr>
        <w:t>והרמ"א</w:t>
      </w:r>
      <w:r>
        <w:rPr>
          <w:rFonts w:ascii="Arial" w:hAnsi="Arial"/>
          <w:rtl/>
        </w:rPr>
        <w:t xml:space="preserve"> כאן כ' שלדעת רבנו ישעיה צריך לכתוב שם העיר של "לוה </w:t>
      </w:r>
      <w:r>
        <w:rPr>
          <w:rFonts w:ascii="Arial" w:hAnsi="Arial"/>
          <w:u w:val="single"/>
          <w:rtl/>
        </w:rPr>
        <w:t>או</w:t>
      </w:r>
      <w:r>
        <w:rPr>
          <w:rFonts w:ascii="Arial" w:hAnsi="Arial"/>
          <w:rtl/>
        </w:rPr>
        <w:t xml:space="preserve"> מלוה", וזה אינו מבואר בדברי רבנו ישעיה לא בתחילה ולא בסוף, ובאמת הקשה עליו </w:t>
      </w:r>
      <w:r>
        <w:rPr>
          <w:rFonts w:ascii="Arial" w:hAnsi="Arial"/>
          <w:u w:val="double"/>
          <w:rtl/>
        </w:rPr>
        <w:t>הסמ"ע</w:t>
      </w:r>
      <w:r>
        <w:rPr>
          <w:rFonts w:ascii="Arial" w:hAnsi="Arial"/>
          <w:rtl/>
        </w:rPr>
        <w:t xml:space="preserve"> </w:t>
      </w:r>
      <w:r>
        <w:rPr>
          <w:rFonts w:ascii="Arial" w:hAnsi="Arial"/>
          <w:sz w:val="16"/>
          <w:szCs w:val="16"/>
          <w:rtl/>
        </w:rPr>
        <w:t>(סקי"ח)</w:t>
      </w:r>
      <w:r>
        <w:rPr>
          <w:rFonts w:ascii="Arial" w:hAnsi="Arial"/>
          <w:rtl/>
        </w:rPr>
        <w:t xml:space="preserve"> וכ' שלא סגי בכתיבת שם מקום </w:t>
      </w:r>
      <w:r>
        <w:rPr>
          <w:rFonts w:ascii="Arial" w:hAnsi="Arial"/>
          <w:u w:val="single"/>
          <w:rtl/>
        </w:rPr>
        <w:t>המלוה</w:t>
      </w:r>
      <w:r>
        <w:rPr>
          <w:rFonts w:ascii="Arial" w:hAnsi="Arial"/>
          <w:rtl/>
        </w:rPr>
        <w:t xml:space="preserve"> לחוד, דעדיין אם מוציא אחד שט"ח שנזכר בו שם עירו על אחד מהן יכול לומר לא אני הלוה כי אם אחר הדר במקום האחר, אלא העיקר לכתוב את מקום </w:t>
      </w:r>
      <w:r>
        <w:rPr>
          <w:rFonts w:ascii="Arial" w:hAnsi="Arial"/>
          <w:u w:val="single"/>
          <w:rtl/>
        </w:rPr>
        <w:t>הלוה</w:t>
      </w:r>
      <w:r>
        <w:rPr>
          <w:rFonts w:ascii="Arial" w:hAnsi="Arial"/>
          <w:rtl/>
        </w:rPr>
        <w:t xml:space="preserve">, ולכתחי' יכתוב את מקום שניהם כמו בגיטין. </w:t>
      </w:r>
      <w:r>
        <w:rPr>
          <w:rFonts w:ascii="Arial" w:hAnsi="Arial"/>
          <w:u w:val="double"/>
          <w:rtl/>
        </w:rPr>
        <w:t>והט"ז</w:t>
      </w:r>
      <w:r>
        <w:rPr>
          <w:rFonts w:ascii="Arial" w:hAnsi="Arial"/>
          <w:rtl/>
        </w:rPr>
        <w:t xml:space="preserve"> כ' דלעיקר הדין צריך לכתוב את </w:t>
      </w:r>
      <w:r>
        <w:rPr>
          <w:rFonts w:ascii="Arial" w:hAnsi="Arial"/>
          <w:u w:val="single"/>
          <w:rtl/>
        </w:rPr>
        <w:t>מקום שניהם</w:t>
      </w:r>
      <w:r>
        <w:rPr>
          <w:rFonts w:ascii="Arial" w:hAnsi="Arial"/>
          <w:rtl/>
        </w:rPr>
        <w:t xml:space="preserve">. וכן משמע </w:t>
      </w:r>
      <w:r>
        <w:rPr>
          <w:rFonts w:ascii="Arial" w:hAnsi="Arial"/>
          <w:u w:val="double"/>
          <w:rtl/>
        </w:rPr>
        <w:t>מהש"ך</w:t>
      </w:r>
      <w:r>
        <w:rPr>
          <w:rFonts w:ascii="Arial" w:hAnsi="Arial"/>
          <w:rtl/>
        </w:rPr>
        <w:t xml:space="preserve"> </w:t>
      </w:r>
      <w:r>
        <w:rPr>
          <w:rFonts w:ascii="Arial" w:hAnsi="Arial"/>
          <w:sz w:val="16"/>
          <w:szCs w:val="16"/>
          <w:rtl/>
        </w:rPr>
        <w:t>(סקי"ג, ומהוספת הש"ך בכ"י על דברי הסמ"ע בסקי"ח)</w:t>
      </w:r>
      <w:r>
        <w:rPr>
          <w:rFonts w:ascii="Arial" w:hAnsi="Arial"/>
          <w:rtl/>
        </w:rPr>
        <w:t xml:space="preserve">. </w:t>
      </w:r>
      <w:r>
        <w:rPr>
          <w:rFonts w:ascii="Arial" w:hAnsi="Arial"/>
          <w:u w:val="double"/>
          <w:rtl/>
        </w:rPr>
        <w:t>ובתומים</w:t>
      </w:r>
      <w:r>
        <w:rPr>
          <w:rFonts w:ascii="Arial" w:hAnsi="Arial"/>
          <w:sz w:val="16"/>
          <w:szCs w:val="16"/>
          <w:rtl/>
        </w:rPr>
        <w:t xml:space="preserve"> (סקכ"א)</w:t>
      </w:r>
      <w:r>
        <w:rPr>
          <w:rFonts w:ascii="Arial" w:hAnsi="Arial"/>
          <w:rtl/>
        </w:rPr>
        <w:t xml:space="preserve"> הסכים לסמ"ע בזה שהעיקר תלוי בהזכרת שם דירת </w:t>
      </w:r>
      <w:r>
        <w:rPr>
          <w:rFonts w:ascii="Arial" w:hAnsi="Arial"/>
          <w:u w:val="single"/>
          <w:rtl/>
        </w:rPr>
        <w:t>הלוה</w:t>
      </w:r>
      <w:r>
        <w:rPr>
          <w:rFonts w:ascii="Arial" w:hAnsi="Arial"/>
          <w:rtl/>
        </w:rPr>
        <w:t xml:space="preserve"> </w:t>
      </w:r>
      <w:r>
        <w:rPr>
          <w:rFonts w:ascii="Arial" w:hAnsi="Arial"/>
          <w:sz w:val="16"/>
          <w:szCs w:val="16"/>
          <w:rtl/>
        </w:rPr>
        <w:t>(אמנם כ' דנראה כי דברי (השו"ע)[הרמ"א] סובבים על הנך תרי בבי הנאמרים לעיל אחר שיוציא שטר חוב עליהם או זע"ז, ובאחר המוציא פשיטא דעיקר תלוי בהזכרת מקום דירת הלוה כדי שלא יאמר יוסף בן שמעון השני הוא הלוה, אבל בשני יוסף בן שמעון זע"ז אם מוזכר מקום דירת המלוה גם כן מועיל לענין זה דאין יכול לומר את היה הלוה דהא הזכירו דירת המלוה, וגם לא יוכל לומר החזרתי לך כשפרעתני דהא נזכר בביאור דיוסף ב"ש הדר במקום פלוני הוא המלוה)</w:t>
      </w:r>
      <w:r>
        <w:rPr>
          <w:rFonts w:ascii="Arial" w:hAnsi="Arial"/>
          <w:rtl/>
        </w:rPr>
        <w:t xml:space="preserve">, רק שחלק עליו עמש"כ על דברי הטור בשם רבנו ישעיה שלכתחי' צריך לכתוב מקום שניהם כמו בגיטין, שזה דחוק </w:t>
      </w:r>
      <w:r>
        <w:rPr>
          <w:rFonts w:ascii="Arial" w:hAnsi="Arial"/>
          <w:sz w:val="16"/>
          <w:szCs w:val="16"/>
          <w:rtl/>
        </w:rPr>
        <w:t>(תומים סקי"א)</w:t>
      </w:r>
      <w:r>
        <w:rPr>
          <w:rFonts w:ascii="Arial" w:hAnsi="Arial"/>
          <w:rtl/>
        </w:rPr>
        <w:t xml:space="preserve">, ועיי"ש מש"כ טעם אחר בכוונת הטור למה צריך לכתוב מקום דירת </w:t>
      </w:r>
      <w:r>
        <w:rPr>
          <w:rFonts w:ascii="Arial" w:hAnsi="Arial"/>
          <w:u w:val="single"/>
          <w:rtl/>
        </w:rPr>
        <w:t>המלוה</w:t>
      </w:r>
      <w:r>
        <w:rPr>
          <w:rFonts w:ascii="Arial" w:hAnsi="Arial"/>
          <w:rtl/>
        </w:rPr>
        <w:t>.</w:t>
      </w:r>
    </w:p>
  </w:footnote>
  <w:footnote w:id="4131">
    <w:p w14:paraId="63AFFBD8" w14:textId="77777777" w:rsidR="0013116F" w:rsidRDefault="0013116F" w:rsidP="001D49D4">
      <w:pPr>
        <w:pStyle w:val="a9"/>
        <w:spacing w:after="60"/>
        <w:rPr>
          <w:rFonts w:ascii="Arial" w:hAnsi="Arial"/>
          <w:rtl/>
        </w:rPr>
      </w:pPr>
      <w:r>
        <w:rPr>
          <w:rStyle w:val="ab"/>
          <w:rFonts w:ascii="Arial" w:hAnsi="Arial"/>
        </w:rPr>
        <w:footnoteRef/>
      </w:r>
      <w:r>
        <w:rPr>
          <w:rFonts w:ascii="Arial" w:hAnsi="Arial"/>
          <w:rtl/>
        </w:rPr>
        <w:t xml:space="preserve"> בציונים נכתב כאן- רמב"ם</w:t>
      </w:r>
      <w:r>
        <w:rPr>
          <w:rFonts w:ascii="Arial" w:hAnsi="Arial"/>
          <w:sz w:val="14"/>
          <w:szCs w:val="14"/>
          <w:rtl/>
        </w:rPr>
        <w:t xml:space="preserve"> (פי"ז ה"ט)</w:t>
      </w:r>
      <w:r>
        <w:rPr>
          <w:rFonts w:ascii="Arial" w:hAnsi="Arial"/>
          <w:rtl/>
        </w:rPr>
        <w:t xml:space="preserve"> וטור</w:t>
      </w:r>
      <w:r>
        <w:rPr>
          <w:rFonts w:ascii="Arial" w:hAnsi="Arial"/>
          <w:sz w:val="14"/>
          <w:szCs w:val="14"/>
          <w:rtl/>
        </w:rPr>
        <w:t xml:space="preserve"> (סי' ס"א ס"ד)</w:t>
      </w:r>
      <w:r>
        <w:rPr>
          <w:rFonts w:ascii="Arial" w:hAnsi="Arial"/>
          <w:rtl/>
        </w:rPr>
        <w:t xml:space="preserve">, דשם כתבו- "המוציא שטר חוב על חבירו... לא היה בשטר שם מקום והוציאו בבבל מגבהו ממעות בבל" משמע דכי לא כתב כשר, אך אין הוכחה מכאן שהרי כאן משמע בדיעבד ולא מצינו מקום שגילו דעתם מאי לכתחילה, לכן צריך לציין כאן את הרמב"ן </w:t>
      </w:r>
      <w:r>
        <w:rPr>
          <w:rFonts w:ascii="Arial" w:hAnsi="Arial"/>
          <w:sz w:val="16"/>
          <w:szCs w:val="16"/>
          <w:rtl/>
        </w:rPr>
        <w:t xml:space="preserve">(קסז: ד"ה שם) </w:t>
      </w:r>
      <w:r>
        <w:rPr>
          <w:rFonts w:ascii="Arial" w:hAnsi="Arial"/>
          <w:rtl/>
        </w:rPr>
        <w:t xml:space="preserve">והרשב"א </w:t>
      </w:r>
      <w:r>
        <w:rPr>
          <w:rFonts w:ascii="Arial" w:hAnsi="Arial"/>
          <w:sz w:val="16"/>
          <w:szCs w:val="16"/>
          <w:rtl/>
        </w:rPr>
        <w:t>(שם ד"ה כל)</w:t>
      </w:r>
      <w:r>
        <w:rPr>
          <w:rFonts w:ascii="Arial" w:hAnsi="Arial"/>
          <w:rtl/>
        </w:rPr>
        <w:t xml:space="preserve"> דכ' שא"צ לכתחילה לכתוב שם העיר.</w:t>
      </w:r>
    </w:p>
  </w:footnote>
  <w:footnote w:id="4132">
    <w:p w14:paraId="715D71DF" w14:textId="77777777" w:rsidR="0013116F" w:rsidRDefault="0013116F" w:rsidP="001D49D4">
      <w:pPr>
        <w:pStyle w:val="a9"/>
        <w:spacing w:after="60"/>
        <w:rPr>
          <w:rFonts w:ascii="Arial" w:hAnsi="Arial"/>
        </w:rPr>
      </w:pPr>
      <w:r>
        <w:rPr>
          <w:rStyle w:val="ab"/>
          <w:rFonts w:ascii="Arial" w:hAnsi="Arial"/>
        </w:rPr>
        <w:footnoteRef/>
      </w:r>
      <w:r>
        <w:rPr>
          <w:rFonts w:ascii="Arial" w:hAnsi="Arial"/>
          <w:rtl/>
        </w:rPr>
        <w:t xml:space="preserve"> ואין חוששין לנפילה</w:t>
      </w:r>
      <w:r>
        <w:rPr>
          <w:rFonts w:ascii="Arial" w:hAnsi="Arial"/>
          <w:sz w:val="16"/>
          <w:szCs w:val="16"/>
          <w:rtl/>
        </w:rPr>
        <w:t xml:space="preserve"> (ב"ב קע"ב:, וכ"פ הרמב"ם פכ"ד ה"ט)</w:t>
      </w:r>
      <w:r>
        <w:rPr>
          <w:rFonts w:ascii="Arial" w:hAnsi="Arial"/>
          <w:rtl/>
        </w:rPr>
        <w:t>. אבל אם מודה זה שהשטר בידו שהוא של יוסף בן שמעון האחר ושקנהו ממנו, אינו כלום, דאף ששמו כשמו אינו נקנה במסירה לחוד</w:t>
      </w:r>
      <w:r>
        <w:rPr>
          <w:rFonts w:ascii="Arial" w:hAnsi="Arial"/>
          <w:sz w:val="16"/>
          <w:szCs w:val="16"/>
          <w:rtl/>
        </w:rPr>
        <w:t xml:space="preserve"> (בעל התרומות </w:t>
      </w:r>
      <w:r>
        <w:rPr>
          <w:rFonts w:ascii="Arial" w:hAnsi="Arial"/>
          <w:sz w:val="14"/>
          <w:szCs w:val="14"/>
          <w:rtl/>
        </w:rPr>
        <w:t>[שער ל"ג ריש חלק ד' ס"ב]</w:t>
      </w:r>
      <w:r>
        <w:rPr>
          <w:rFonts w:ascii="Arial" w:hAnsi="Arial"/>
          <w:sz w:val="16"/>
          <w:szCs w:val="16"/>
          <w:rtl/>
        </w:rPr>
        <w:t xml:space="preserve"> בשם הראב"ד </w:t>
      </w:r>
      <w:r>
        <w:rPr>
          <w:rFonts w:ascii="Arial" w:hAnsi="Arial"/>
          <w:sz w:val="14"/>
          <w:szCs w:val="14"/>
          <w:rtl/>
        </w:rPr>
        <w:t xml:space="preserve">[בספר כתוב שם ב"ב שם] </w:t>
      </w:r>
      <w:r>
        <w:rPr>
          <w:rFonts w:ascii="Arial" w:hAnsi="Arial"/>
          <w:sz w:val="16"/>
          <w:szCs w:val="16"/>
          <w:rtl/>
        </w:rPr>
        <w:t xml:space="preserve">והרמב"ן </w:t>
      </w:r>
      <w:r>
        <w:rPr>
          <w:rFonts w:ascii="Arial" w:hAnsi="Arial"/>
          <w:sz w:val="14"/>
          <w:szCs w:val="14"/>
          <w:rtl/>
        </w:rPr>
        <w:t>[שם קע"ג ע"א]</w:t>
      </w:r>
      <w:r>
        <w:rPr>
          <w:rFonts w:ascii="Arial" w:hAnsi="Arial"/>
          <w:sz w:val="16"/>
          <w:szCs w:val="16"/>
          <w:rtl/>
        </w:rPr>
        <w:t xml:space="preserve">, וכ"כ הרמב"ן במלחמות </w:t>
      </w:r>
      <w:r>
        <w:rPr>
          <w:rFonts w:ascii="Arial" w:hAnsi="Arial"/>
          <w:sz w:val="14"/>
          <w:szCs w:val="14"/>
          <w:rtl/>
        </w:rPr>
        <w:t>[פ. מדפי הרי"ף]</w:t>
      </w:r>
      <w:r>
        <w:rPr>
          <w:rFonts w:ascii="Arial" w:hAnsi="Arial"/>
          <w:sz w:val="16"/>
          <w:szCs w:val="16"/>
          <w:rtl/>
        </w:rPr>
        <w:t xml:space="preserve">, ודלא כבעל המאור שם, וכן הסכמת הפוסקים, וכ"כ הרמ"א לקמן </w:t>
      </w:r>
      <w:r>
        <w:rPr>
          <w:rFonts w:ascii="Arial" w:hAnsi="Arial"/>
          <w:sz w:val="14"/>
          <w:szCs w:val="14"/>
          <w:rtl/>
        </w:rPr>
        <w:t>[סי' ס"ו סע' א']</w:t>
      </w:r>
      <w:r>
        <w:rPr>
          <w:rFonts w:ascii="Arial" w:hAnsi="Arial"/>
          <w:sz w:val="16"/>
          <w:szCs w:val="16"/>
          <w:rtl/>
        </w:rPr>
        <w:t>)</w:t>
      </w:r>
      <w:r>
        <w:rPr>
          <w:rFonts w:ascii="Arial" w:hAnsi="Arial"/>
          <w:rtl/>
        </w:rPr>
        <w:t>, ש"ך</w:t>
      </w:r>
      <w:r>
        <w:rPr>
          <w:rFonts w:ascii="Arial" w:hAnsi="Arial"/>
          <w:sz w:val="16"/>
          <w:szCs w:val="16"/>
          <w:rtl/>
        </w:rPr>
        <w:t xml:space="preserve"> (סקט"ז)</w:t>
      </w:r>
      <w:r>
        <w:rPr>
          <w:rFonts w:ascii="Arial" w:hAnsi="Arial"/>
          <w:rtl/>
        </w:rPr>
        <w:t>.</w:t>
      </w:r>
    </w:p>
  </w:footnote>
  <w:footnote w:id="4133">
    <w:p w14:paraId="28E66123" w14:textId="77777777" w:rsidR="0013116F" w:rsidRDefault="0013116F" w:rsidP="001D49D4">
      <w:pPr>
        <w:pStyle w:val="a9"/>
        <w:spacing w:after="60"/>
        <w:rPr>
          <w:rFonts w:ascii="Arial" w:hAnsi="Arial"/>
          <w:rtl/>
        </w:rPr>
      </w:pPr>
      <w:r>
        <w:rPr>
          <w:rStyle w:val="ab"/>
          <w:rFonts w:ascii="Arial" w:hAnsi="Arial"/>
        </w:rPr>
        <w:footnoteRef/>
      </w:r>
      <w:r>
        <w:rPr>
          <w:rFonts w:ascii="Arial" w:hAnsi="Arial"/>
          <w:rtl/>
        </w:rPr>
        <w:t xml:space="preserve"> דיכול לדחות לכל אחד, וה"ה אם נפטר החייב ובאו לגבות מהיורשים שאינם צריכים לשלם לשום א' מהם, נמוק"י </w:t>
      </w:r>
      <w:r>
        <w:rPr>
          <w:rFonts w:ascii="Arial" w:hAnsi="Arial"/>
          <w:sz w:val="16"/>
          <w:szCs w:val="16"/>
          <w:rtl/>
        </w:rPr>
        <w:t>(ב"ב פ:)</w:t>
      </w:r>
      <w:r>
        <w:rPr>
          <w:rFonts w:ascii="Arial" w:hAnsi="Arial"/>
          <w:rtl/>
        </w:rPr>
        <w:t>.</w:t>
      </w:r>
    </w:p>
  </w:footnote>
  <w:footnote w:id="4134">
    <w:p w14:paraId="29294F90" w14:textId="77777777" w:rsidR="0013116F" w:rsidRDefault="0013116F" w:rsidP="001D49D4">
      <w:pPr>
        <w:pStyle w:val="a9"/>
        <w:rPr>
          <w:rFonts w:ascii="Calibri" w:hAnsi="Calibri"/>
        </w:rPr>
      </w:pPr>
      <w:r>
        <w:rPr>
          <w:rStyle w:val="ab"/>
        </w:rPr>
        <w:footnoteRef/>
      </w:r>
      <w:r>
        <w:rPr>
          <w:rtl/>
        </w:rPr>
        <w:t xml:space="preserve"> </w:t>
      </w:r>
      <w:r>
        <w:rPr>
          <w:rFonts w:hint="cs"/>
          <w:rtl/>
        </w:rPr>
        <w:t>סימן – קרא ג' בעלון. וכן – ג' קפיצות בעלון.</w:t>
      </w:r>
    </w:p>
  </w:footnote>
  <w:footnote w:id="4135">
    <w:p w14:paraId="30DE049B" w14:textId="77777777" w:rsidR="0013116F" w:rsidRDefault="0013116F" w:rsidP="001D49D4">
      <w:pPr>
        <w:pStyle w:val="a9"/>
        <w:spacing w:after="60"/>
        <w:rPr>
          <w:rFonts w:ascii="Arial" w:hAnsi="Arial"/>
          <w:rtl/>
        </w:rPr>
      </w:pPr>
      <w:r>
        <w:rPr>
          <w:rStyle w:val="ab"/>
          <w:rFonts w:ascii="Arial" w:hAnsi="Arial"/>
        </w:rPr>
        <w:footnoteRef/>
      </w:r>
      <w:r>
        <w:rPr>
          <w:rFonts w:ascii="Arial" w:hAnsi="Arial"/>
          <w:rtl/>
        </w:rPr>
        <w:t xml:space="preserve"> מלוה, שטרו של יוסף בן שמעון שחייב לי ממון פרוע, שטרות שניהם פרועים, ואע"ג דאמרן בשילהי שנים אוחזין</w:t>
      </w:r>
      <w:r>
        <w:rPr>
          <w:rFonts w:ascii="Arial" w:hAnsi="Arial"/>
          <w:sz w:val="16"/>
          <w:szCs w:val="16"/>
          <w:rtl/>
        </w:rPr>
        <w:t xml:space="preserve"> (ב"מ כ:) </w:t>
      </w:r>
      <w:r>
        <w:rPr>
          <w:rFonts w:ascii="Arial" w:hAnsi="Arial"/>
          <w:rtl/>
        </w:rPr>
        <w:t>סימפון היוצא מתחת ידי מלוה אינו אלא כמשחק ופסול- הא אוקימנא להך משנה התם כגון שנמצא השטר בין שטרותיו קרועין הלכך השובר כשר, רשב"ם.</w:t>
      </w:r>
    </w:p>
  </w:footnote>
  <w:footnote w:id="4136">
    <w:p w14:paraId="5063781D" w14:textId="77777777" w:rsidR="0013116F" w:rsidRDefault="0013116F" w:rsidP="001D49D4">
      <w:pPr>
        <w:pStyle w:val="a9"/>
        <w:spacing w:after="60"/>
        <w:rPr>
          <w:rFonts w:ascii="Arial" w:hAnsi="Arial"/>
          <w:rtl/>
        </w:rPr>
      </w:pPr>
      <w:r>
        <w:rPr>
          <w:rStyle w:val="ab"/>
          <w:rFonts w:ascii="Arial" w:hAnsi="Arial"/>
        </w:rPr>
        <w:footnoteRef/>
      </w:r>
      <w:r>
        <w:rPr>
          <w:rFonts w:ascii="Arial" w:hAnsi="Arial"/>
          <w:rtl/>
        </w:rPr>
        <w:t xml:space="preserve"> פירוש בשטר שלשה דורות יוסף בן יעקב בן יצחק ובאידך כתב יוסף בן יעקב בן דוד ובשובר כתב סתם יוסף בן יעקב כדמתרץ לקמן הלכך איתרע כחם והם בחזקת פרועים שכל אחד טוען שלי פרוע והמלוה אינו יכול להכחישו הואיל ונמצאו השטרות בין השטרות קרועים, רשב"ם.</w:t>
      </w:r>
    </w:p>
  </w:footnote>
  <w:footnote w:id="4137">
    <w:p w14:paraId="1303C728" w14:textId="77777777" w:rsidR="0013116F" w:rsidRDefault="0013116F" w:rsidP="001D49D4">
      <w:pPr>
        <w:pStyle w:val="a9"/>
        <w:spacing w:after="60"/>
        <w:rPr>
          <w:rFonts w:ascii="Arial" w:hAnsi="Arial"/>
          <w:rtl/>
        </w:rPr>
      </w:pPr>
      <w:r>
        <w:rPr>
          <w:rStyle w:val="ab"/>
          <w:rFonts w:ascii="Arial" w:hAnsi="Arial"/>
        </w:rPr>
        <w:footnoteRef/>
      </w:r>
      <w:r>
        <w:rPr>
          <w:rFonts w:ascii="Arial" w:hAnsi="Arial"/>
          <w:rtl/>
        </w:rPr>
        <w:t xml:space="preserve"> מתני' כשנמצאו בבית לוה מיירי והכי קתני, נמצא ללוה אחד בין שטרותיו שובר שהשטר שהיה נושה בו יוסף בן שמעון פרוע הוא והיו שני יוסף בן שמעון נושים בו ואילמלא זה השובר היו שניהם נפרעין ממנו שטרותם כדאוקמינן שהם יכולין להוציא שט"ח על אחרים ועכשיו בזה השובר הורע חזקתם דקיי"ל יד בעל השטר על התחתונה וכשיוציא כל אחד מהם שטרו אומר לו הנה השובר עליו..., רשב"ם.</w:t>
      </w:r>
      <w:r>
        <w:rPr>
          <w:rFonts w:ascii="Arial" w:hAnsi="Arial"/>
          <w:sz w:val="16"/>
          <w:szCs w:val="16"/>
          <w:rtl/>
        </w:rPr>
        <w:t xml:space="preserve"> </w:t>
      </w:r>
    </w:p>
  </w:footnote>
  <w:footnote w:id="4138">
    <w:p w14:paraId="12FBFC1C" w14:textId="77777777" w:rsidR="0013116F" w:rsidRDefault="0013116F" w:rsidP="001D49D4">
      <w:pPr>
        <w:pStyle w:val="a9"/>
        <w:spacing w:after="60"/>
        <w:rPr>
          <w:rFonts w:ascii="Arial" w:hAnsi="Arial"/>
        </w:rPr>
      </w:pPr>
      <w:r>
        <w:rPr>
          <w:rStyle w:val="ab"/>
          <w:rFonts w:ascii="Arial" w:hAnsi="Arial"/>
        </w:rPr>
        <w:footnoteRef/>
      </w:r>
      <w:r>
        <w:rPr>
          <w:rFonts w:ascii="Arial" w:hAnsi="Arial"/>
          <w:rtl/>
        </w:rPr>
        <w:t xml:space="preserve"> משולשים וכהנים, רשב"ם.</w:t>
      </w:r>
    </w:p>
  </w:footnote>
  <w:footnote w:id="4139">
    <w:p w14:paraId="680388F3" w14:textId="77777777" w:rsidR="0013116F" w:rsidRDefault="0013116F" w:rsidP="001D49D4">
      <w:pPr>
        <w:pStyle w:val="a9"/>
        <w:spacing w:after="60"/>
        <w:rPr>
          <w:rFonts w:ascii="Arial" w:hAnsi="Arial"/>
          <w:rtl/>
        </w:rPr>
      </w:pPr>
      <w:r>
        <w:rPr>
          <w:rStyle w:val="ab"/>
          <w:rFonts w:ascii="Arial" w:hAnsi="Arial"/>
        </w:rPr>
        <w:footnoteRef/>
      </w:r>
      <w:r>
        <w:rPr>
          <w:rFonts w:ascii="Arial" w:hAnsi="Arial"/>
          <w:rtl/>
        </w:rPr>
        <w:t xml:space="preserve"> מרובעים יוסף בן יעקב בן יצחק בן אברהם יוסף בן יעקב בן יצחק בן דוד דכולי האי לא יהיו שמות אבותיהן שוין, רשב"ם.</w:t>
      </w:r>
    </w:p>
  </w:footnote>
  <w:footnote w:id="4140">
    <w:p w14:paraId="6AA9B6C1" w14:textId="77777777" w:rsidR="0013116F" w:rsidRDefault="0013116F" w:rsidP="001D49D4">
      <w:pPr>
        <w:pStyle w:val="a9"/>
        <w:spacing w:after="60"/>
        <w:rPr>
          <w:rFonts w:ascii="Arial" w:hAnsi="Arial"/>
        </w:rPr>
      </w:pPr>
      <w:r>
        <w:rPr>
          <w:rStyle w:val="ab"/>
          <w:rFonts w:ascii="Arial" w:hAnsi="Arial"/>
        </w:rPr>
        <w:footnoteRef/>
      </w:r>
      <w:r>
        <w:rPr>
          <w:rFonts w:ascii="Arial" w:hAnsi="Arial"/>
          <w:rtl/>
        </w:rPr>
        <w:t xml:space="preserve"> דאם השטר והשובר אינם משולשים אין שום אחד מהן יכול לתובעו שיאמר לכל אחד מהם אתה כתבת לי זה השובר.</w:t>
      </w:r>
    </w:p>
  </w:footnote>
  <w:footnote w:id="4141">
    <w:p w14:paraId="0BD4FA36" w14:textId="77777777" w:rsidR="0013116F" w:rsidRDefault="0013116F" w:rsidP="001D49D4">
      <w:pPr>
        <w:pStyle w:val="a9"/>
        <w:spacing w:after="60"/>
        <w:rPr>
          <w:rFonts w:ascii="Arial" w:hAnsi="Arial"/>
          <w:rtl/>
        </w:rPr>
      </w:pPr>
      <w:r>
        <w:rPr>
          <w:rStyle w:val="ab"/>
          <w:rFonts w:ascii="Arial" w:hAnsi="Arial"/>
        </w:rPr>
        <w:footnoteRef/>
      </w:r>
      <w:r>
        <w:rPr>
          <w:rFonts w:ascii="Arial" w:hAnsi="Arial"/>
          <w:rtl/>
        </w:rPr>
        <w:t xml:space="preserve"> וכ' הטור על דברי הרמ"ה- " ואיני מבין מה יועיל שילוש שטרות לענין שובר זה". וכ' הב"י על דבריו- "לא ידעתי למה לא הבין רבינו דברי הרמ"ה שהרי בדין שכ' רבינו לקמן אשכחן שמועיל שילוש השטר לענין השובר ה"נ מועיל שילוש השטרות לענין שבעל השטר מוכיח מתוך השטר שזה חייב לו ובעל השובר אינו מוכיח מתוך שוברו שפרע לזה הילכך יד בעל השובר על התחתונה".</w:t>
      </w:r>
    </w:p>
  </w:footnote>
  <w:footnote w:id="4142">
    <w:p w14:paraId="048F92E8" w14:textId="77777777" w:rsidR="0013116F" w:rsidRDefault="0013116F" w:rsidP="001D49D4">
      <w:pPr>
        <w:pStyle w:val="a9"/>
        <w:spacing w:after="60"/>
        <w:rPr>
          <w:rFonts w:ascii="Arial" w:hAnsi="Arial"/>
          <w:rtl/>
        </w:rPr>
      </w:pPr>
      <w:r>
        <w:rPr>
          <w:rStyle w:val="ab"/>
          <w:rFonts w:ascii="Arial" w:hAnsi="Arial"/>
        </w:rPr>
        <w:footnoteRef/>
      </w:r>
      <w:r>
        <w:rPr>
          <w:rFonts w:ascii="Arial" w:hAnsi="Arial"/>
          <w:rtl/>
        </w:rPr>
        <w:t xml:space="preserve"> דמכיון שהשובר דוחה את בעל השטר אע"פ שהוא מוחזק- דוחה ג"כ כשיש שילוש בשטר, פרישה (אות יד).</w:t>
      </w:r>
    </w:p>
  </w:footnote>
  <w:footnote w:id="4143">
    <w:p w14:paraId="130384FB" w14:textId="77777777" w:rsidR="0013116F" w:rsidRDefault="0013116F" w:rsidP="001D49D4">
      <w:pPr>
        <w:pStyle w:val="a9"/>
        <w:spacing w:after="60"/>
        <w:rPr>
          <w:rFonts w:ascii="Arial" w:hAnsi="Arial"/>
        </w:rPr>
      </w:pPr>
      <w:r>
        <w:rPr>
          <w:rStyle w:val="ab"/>
          <w:rFonts w:ascii="Arial" w:hAnsi="Arial"/>
        </w:rPr>
        <w:footnoteRef/>
      </w:r>
      <w:r>
        <w:rPr>
          <w:rFonts w:ascii="Arial" w:hAnsi="Arial"/>
          <w:rtl/>
        </w:rPr>
        <w:t xml:space="preserve"> דרישה </w:t>
      </w:r>
      <w:r>
        <w:rPr>
          <w:rFonts w:ascii="Arial" w:hAnsi="Arial"/>
          <w:sz w:val="16"/>
          <w:szCs w:val="16"/>
          <w:rtl/>
        </w:rPr>
        <w:t xml:space="preserve">[אות יד עיי"ש בסוף דבריו] </w:t>
      </w:r>
      <w:r>
        <w:rPr>
          <w:rFonts w:ascii="Arial" w:hAnsi="Arial"/>
          <w:rtl/>
        </w:rPr>
        <w:t xml:space="preserve">אגוד"א </w:t>
      </w:r>
      <w:r>
        <w:rPr>
          <w:rFonts w:ascii="Arial" w:hAnsi="Arial"/>
          <w:sz w:val="16"/>
          <w:szCs w:val="16"/>
          <w:rtl/>
        </w:rPr>
        <w:t xml:space="preserve">[ע"ח ע"ג לטור כאן] </w:t>
      </w:r>
      <w:r>
        <w:rPr>
          <w:rFonts w:ascii="Arial" w:hAnsi="Arial"/>
          <w:rtl/>
        </w:rPr>
        <w:t>שארית יוסף</w:t>
      </w:r>
      <w:r>
        <w:rPr>
          <w:rFonts w:ascii="Arial" w:hAnsi="Arial"/>
          <w:sz w:val="16"/>
          <w:szCs w:val="16"/>
          <w:rtl/>
        </w:rPr>
        <w:t xml:space="preserve"> [בביאורו לשו"ע] </w:t>
      </w:r>
      <w:r>
        <w:rPr>
          <w:rFonts w:ascii="Arial" w:hAnsi="Arial"/>
          <w:rtl/>
        </w:rPr>
        <w:t xml:space="preserve">ט"ז </w:t>
      </w:r>
      <w:r>
        <w:rPr>
          <w:rFonts w:ascii="Arial" w:hAnsi="Arial"/>
          <w:sz w:val="16"/>
          <w:szCs w:val="16"/>
          <w:rtl/>
        </w:rPr>
        <w:t xml:space="preserve">[סי' מב סע' ח] </w:t>
      </w:r>
      <w:r>
        <w:rPr>
          <w:rFonts w:ascii="Arial" w:hAnsi="Arial"/>
          <w:rtl/>
        </w:rPr>
        <w:t>ש"ך</w:t>
      </w:r>
      <w:r>
        <w:rPr>
          <w:rFonts w:ascii="Arial" w:hAnsi="Arial"/>
          <w:sz w:val="16"/>
          <w:szCs w:val="16"/>
          <w:rtl/>
        </w:rPr>
        <w:t xml:space="preserve"> [סקי"ז]</w:t>
      </w:r>
      <w:r>
        <w:rPr>
          <w:rFonts w:ascii="Arial" w:hAnsi="Arial"/>
          <w:rtl/>
        </w:rPr>
        <w:t xml:space="preserve"> ובאה"ט.</w:t>
      </w:r>
    </w:p>
  </w:footnote>
  <w:footnote w:id="4144">
    <w:p w14:paraId="09115B97" w14:textId="77777777" w:rsidR="0013116F" w:rsidRDefault="0013116F" w:rsidP="001D49D4">
      <w:pPr>
        <w:pStyle w:val="a9"/>
        <w:spacing w:after="60"/>
        <w:rPr>
          <w:rFonts w:ascii="Arial" w:hAnsi="Arial"/>
        </w:rPr>
      </w:pPr>
      <w:r>
        <w:rPr>
          <w:rStyle w:val="ab"/>
          <w:rFonts w:ascii="Arial" w:hAnsi="Arial"/>
        </w:rPr>
        <w:footnoteRef/>
      </w:r>
      <w:r>
        <w:rPr>
          <w:rFonts w:ascii="Arial" w:hAnsi="Arial"/>
          <w:rtl/>
        </w:rPr>
        <w:t xml:space="preserve"> אם יש ביד אדם שובר מיוסף בן שמעון, ויש שנים בשם זה, אין שום אחד מהן יכול לתובעו שיאמר לכל אחד מהם אתה כתבת לי זה השובר, במה....</w:t>
      </w:r>
    </w:p>
  </w:footnote>
  <w:footnote w:id="4145">
    <w:p w14:paraId="79F3717D" w14:textId="77777777" w:rsidR="0013116F" w:rsidRDefault="0013116F" w:rsidP="001D49D4">
      <w:pPr>
        <w:pStyle w:val="a9"/>
        <w:spacing w:after="60"/>
        <w:rPr>
          <w:rFonts w:ascii="Arial" w:hAnsi="Arial"/>
          <w:rtl/>
        </w:rPr>
      </w:pPr>
      <w:r>
        <w:rPr>
          <w:rStyle w:val="ab"/>
          <w:rFonts w:ascii="Arial" w:hAnsi="Arial"/>
        </w:rPr>
        <w:footnoteRef/>
      </w:r>
      <w:r>
        <w:rPr>
          <w:rFonts w:ascii="Arial" w:hAnsi="Arial"/>
          <w:rtl/>
        </w:rPr>
        <w:t xml:space="preserve"> דאז בעל חוב הוא דאפסיד אנפשיה דאוזיף בשטר שאינו משולש, רמ"ה.</w:t>
      </w:r>
    </w:p>
  </w:footnote>
  <w:footnote w:id="4146">
    <w:p w14:paraId="0B55CD1D" w14:textId="77777777" w:rsidR="0013116F" w:rsidRDefault="0013116F" w:rsidP="001D49D4">
      <w:pPr>
        <w:pStyle w:val="a9"/>
        <w:spacing w:after="60"/>
        <w:rPr>
          <w:rFonts w:ascii="Arial" w:hAnsi="Arial"/>
        </w:rPr>
      </w:pPr>
      <w:r>
        <w:rPr>
          <w:rStyle w:val="ab"/>
          <w:rFonts w:ascii="Arial" w:hAnsi="Arial"/>
        </w:rPr>
        <w:footnoteRef/>
      </w:r>
      <w:r>
        <w:rPr>
          <w:rFonts w:ascii="Arial" w:hAnsi="Arial"/>
          <w:rtl/>
        </w:rPr>
        <w:t xml:space="preserve"> </w:t>
      </w:r>
      <w:r>
        <w:rPr>
          <w:rFonts w:ascii="Arial" w:hAnsi="Arial" w:hint="cs"/>
          <w:rtl/>
        </w:rPr>
        <w:t xml:space="preserve">כך תקנו חכמים מפני תקנת יוסף בן שמעון, שאל"כ לא יהיו יכולים להלות לשום אדם דילך ליוב"ש חבירו ויקח שובר, ולכך תקנו אם משולש בשטר לא מהני שובר בלתי שילוש וא"כ ליכא חשש יותר, ואם המלוה לא השליש שטרו אפסיד אנפשיה, אורים </w:t>
      </w:r>
      <w:r>
        <w:rPr>
          <w:rFonts w:ascii="Arial" w:hAnsi="Arial"/>
          <w:sz w:val="14"/>
          <w:szCs w:val="14"/>
          <w:rtl/>
        </w:rPr>
        <w:t>(סקכ"ח)</w:t>
      </w:r>
      <w:r>
        <w:rPr>
          <w:rFonts w:ascii="Arial" w:hAnsi="Arial"/>
          <w:rtl/>
        </w:rPr>
        <w:t>.</w:t>
      </w:r>
    </w:p>
  </w:footnote>
  <w:footnote w:id="4147">
    <w:p w14:paraId="75AA7905" w14:textId="77777777" w:rsidR="0013116F" w:rsidRDefault="0013116F" w:rsidP="001D49D4">
      <w:pPr>
        <w:pStyle w:val="a9"/>
        <w:spacing w:after="60"/>
        <w:rPr>
          <w:rFonts w:ascii="Arial" w:hAnsi="Arial"/>
        </w:rPr>
      </w:pPr>
      <w:r>
        <w:rPr>
          <w:rStyle w:val="ab"/>
          <w:rFonts w:ascii="Arial" w:hAnsi="Arial"/>
        </w:rPr>
        <w:footnoteRef/>
      </w:r>
      <w:r>
        <w:rPr>
          <w:rFonts w:ascii="Arial" w:hAnsi="Arial"/>
          <w:rtl/>
        </w:rPr>
        <w:t xml:space="preserve"> </w:t>
      </w:r>
      <w:r>
        <w:rPr>
          <w:rFonts w:ascii="Arial" w:hAnsi="Arial" w:hint="cs"/>
          <w:rtl/>
        </w:rPr>
        <w:t xml:space="preserve">סימן – </w:t>
      </w:r>
      <w:r>
        <w:rPr>
          <w:rtl/>
        </w:rPr>
        <w:t>כרטיסים כסוחים כמוסים</w:t>
      </w:r>
      <w:r>
        <w:rPr>
          <w:rFonts w:ascii="Arial" w:hAnsi="Arial"/>
          <w:rtl/>
        </w:rPr>
        <w:t>.</w:t>
      </w:r>
    </w:p>
  </w:footnote>
  <w:footnote w:id="4148">
    <w:p w14:paraId="27F1AA75" w14:textId="77777777" w:rsidR="0013116F" w:rsidRDefault="0013116F" w:rsidP="001D49D4">
      <w:pPr>
        <w:pStyle w:val="a9"/>
        <w:spacing w:after="60"/>
        <w:rPr>
          <w:rFonts w:ascii="Arial" w:hAnsi="Arial"/>
        </w:rPr>
      </w:pPr>
      <w:r>
        <w:rPr>
          <w:rStyle w:val="ab"/>
          <w:rFonts w:ascii="Arial" w:hAnsi="Arial"/>
        </w:rPr>
        <w:footnoteRef/>
      </w:r>
      <w:r>
        <w:rPr>
          <w:rFonts w:ascii="Arial" w:hAnsi="Arial"/>
          <w:rtl/>
        </w:rPr>
        <w:t xml:space="preserve"> שובר המבטל שטר, וכל דבר המבטל דבר קרי סמפון, כדאמר גבי קדושי אשה ומכירת עבד שהמום קרוי סמפון, מפני שמבטל את המקח, רש"י.</w:t>
      </w:r>
    </w:p>
  </w:footnote>
  <w:footnote w:id="4149">
    <w:p w14:paraId="7D2504DF" w14:textId="77777777" w:rsidR="0013116F" w:rsidRDefault="0013116F" w:rsidP="001D49D4">
      <w:pPr>
        <w:pStyle w:val="a9"/>
        <w:spacing w:after="60"/>
        <w:rPr>
          <w:rFonts w:ascii="Arial" w:hAnsi="Arial"/>
        </w:rPr>
      </w:pPr>
      <w:r>
        <w:rPr>
          <w:rStyle w:val="ab"/>
          <w:rFonts w:ascii="Arial" w:hAnsi="Arial"/>
        </w:rPr>
        <w:footnoteRef/>
      </w:r>
      <w:r>
        <w:rPr>
          <w:rFonts w:ascii="Arial" w:hAnsi="Arial"/>
          <w:rtl/>
        </w:rPr>
        <w:t xml:space="preserve"> שהוא מונח בידו, ולא ביד הלוה, רש"י.</w:t>
      </w:r>
    </w:p>
  </w:footnote>
  <w:footnote w:id="4150">
    <w:p w14:paraId="1038CBF6" w14:textId="77777777" w:rsidR="0013116F" w:rsidRDefault="0013116F" w:rsidP="001D49D4">
      <w:pPr>
        <w:pStyle w:val="a9"/>
        <w:spacing w:after="60"/>
        <w:rPr>
          <w:rFonts w:ascii="Arial" w:hAnsi="Arial"/>
          <w:rtl/>
        </w:rPr>
      </w:pPr>
      <w:r>
        <w:rPr>
          <w:rStyle w:val="ab"/>
          <w:rFonts w:ascii="Arial" w:hAnsi="Arial"/>
        </w:rPr>
        <w:footnoteRef/>
      </w:r>
      <w:r>
        <w:rPr>
          <w:rFonts w:ascii="Arial" w:hAnsi="Arial"/>
          <w:rtl/>
        </w:rPr>
        <w:t xml:space="preserve"> והכא במלוה עסקינן, דקתני: מצא שטר בין שטרותיו כו', רש"י.</w:t>
      </w:r>
    </w:p>
  </w:footnote>
  <w:footnote w:id="4151">
    <w:p w14:paraId="6DF55409" w14:textId="77777777" w:rsidR="0013116F" w:rsidRDefault="0013116F" w:rsidP="001D49D4">
      <w:pPr>
        <w:pStyle w:val="a9"/>
        <w:spacing w:after="60"/>
        <w:rPr>
          <w:rFonts w:ascii="Arial" w:hAnsi="Arial"/>
        </w:rPr>
      </w:pPr>
      <w:r>
        <w:rPr>
          <w:rStyle w:val="ab"/>
          <w:rFonts w:ascii="Arial" w:hAnsi="Arial"/>
        </w:rPr>
        <w:footnoteRef/>
      </w:r>
      <w:r>
        <w:rPr>
          <w:rFonts w:ascii="Arial" w:hAnsi="Arial"/>
          <w:rtl/>
        </w:rPr>
        <w:t xml:space="preserve"> מתי אינו כמשחק ויעשה מה שבסימפונות? כשנמצא...</w:t>
      </w:r>
    </w:p>
  </w:footnote>
  <w:footnote w:id="4152">
    <w:p w14:paraId="77A5DBE5" w14:textId="77777777" w:rsidR="0013116F" w:rsidRDefault="0013116F" w:rsidP="001D49D4">
      <w:pPr>
        <w:pStyle w:val="a9"/>
        <w:spacing w:after="60"/>
        <w:rPr>
          <w:rFonts w:ascii="Arial" w:hAnsi="Arial"/>
          <w:rtl/>
        </w:rPr>
      </w:pPr>
      <w:r>
        <w:rPr>
          <w:rStyle w:val="ab"/>
          <w:rFonts w:ascii="Arial" w:hAnsi="Arial"/>
        </w:rPr>
        <w:footnoteRef/>
      </w:r>
      <w:r>
        <w:rPr>
          <w:rFonts w:ascii="Arial" w:hAnsi="Arial"/>
          <w:rtl/>
        </w:rPr>
        <w:t xml:space="preserve"> השטר שהשובר יוצא עליו, רש"י.</w:t>
      </w:r>
    </w:p>
  </w:footnote>
  <w:footnote w:id="4153">
    <w:p w14:paraId="30F1DF7F" w14:textId="77777777" w:rsidR="0013116F" w:rsidRDefault="0013116F" w:rsidP="001D49D4">
      <w:pPr>
        <w:pStyle w:val="a9"/>
        <w:spacing w:after="60"/>
        <w:rPr>
          <w:rFonts w:ascii="Arial" w:hAnsi="Arial"/>
        </w:rPr>
      </w:pPr>
      <w:r>
        <w:rPr>
          <w:rStyle w:val="ab"/>
          <w:rFonts w:ascii="Arial" w:hAnsi="Arial"/>
        </w:rPr>
        <w:footnoteRef/>
      </w:r>
      <w:r>
        <w:rPr>
          <w:rFonts w:ascii="Arial" w:hAnsi="Arial"/>
          <w:rtl/>
        </w:rPr>
        <w:t xml:space="preserve"> והוא אינו קרוע, לפיכך סומכין על השובר, שמקום השטר מוכיח על השובר שהוא אמת, שאם לא נפרע לא היה נותן השטר אצל השטרות קרועין, רש"י.</w:t>
      </w:r>
      <w:r>
        <w:rPr>
          <w:rFonts w:ascii="Arial" w:hAnsi="Arial"/>
          <w:sz w:val="16"/>
          <w:szCs w:val="16"/>
          <w:rtl/>
        </w:rPr>
        <w:t xml:space="preserve"> (כך פירש רש"י לפי מה ששמע, ומוסיף שם שנראה לו פירוש אחר, ולא הבאתיו מכיון שהוא לא מתאים לדין שכ' הטור והשו"ע כאן)</w:t>
      </w:r>
    </w:p>
  </w:footnote>
  <w:footnote w:id="4154">
    <w:p w14:paraId="4A17D5FD" w14:textId="77777777" w:rsidR="0013116F" w:rsidRDefault="0013116F" w:rsidP="001D49D4">
      <w:pPr>
        <w:pStyle w:val="a9"/>
        <w:spacing w:after="60"/>
        <w:rPr>
          <w:rFonts w:ascii="Arial" w:hAnsi="Arial"/>
          <w:rtl/>
        </w:rPr>
      </w:pPr>
      <w:r>
        <w:rPr>
          <w:rStyle w:val="ab"/>
          <w:rFonts w:ascii="Arial" w:hAnsi="Arial"/>
        </w:rPr>
        <w:footnoteRef/>
      </w:r>
      <w:r>
        <w:rPr>
          <w:rFonts w:ascii="Arial" w:hAnsi="Arial"/>
          <w:rtl/>
        </w:rPr>
        <w:t xml:space="preserve"> מתניתין היא בגט פשוט (בבא בתרא קעב, א): שני יוסף בן שמעון בעיר אחת, ונמצא שובר לאדם אחד בין שטרותיו, וכתוב בו: שטרו של יוסף בן שמעון שבידי פרוע הוא, והיה לו שני שטרות על שניהם, רש"י.</w:t>
      </w:r>
    </w:p>
  </w:footnote>
  <w:footnote w:id="4155">
    <w:p w14:paraId="0F79365C" w14:textId="77777777" w:rsidR="0013116F" w:rsidRDefault="0013116F" w:rsidP="001D49D4">
      <w:pPr>
        <w:pStyle w:val="a9"/>
        <w:spacing w:after="60"/>
        <w:rPr>
          <w:rFonts w:ascii="Arial" w:hAnsi="Arial"/>
          <w:rtl/>
        </w:rPr>
      </w:pPr>
      <w:r>
        <w:rPr>
          <w:rStyle w:val="ab"/>
          <w:rFonts w:ascii="Arial" w:hAnsi="Arial"/>
        </w:rPr>
        <w:footnoteRef/>
      </w:r>
      <w:r>
        <w:rPr>
          <w:rFonts w:ascii="Arial" w:hAnsi="Arial"/>
          <w:rtl/>
        </w:rPr>
        <w:t xml:space="preserve"> שכל אחד יכול לומר: על שלי נכתב שובר, ובבבא בתרא פרכינן: בלא שובר נמי, הא תנן: אין אחד יכול להוציא שטר חוב עליהם, ומוקמינן ליה במשולשין בשטר, ואין משולשין בשובר, והא הכא דיוצא מתחת יד מלוה הוא, רש"י.</w:t>
      </w:r>
    </w:p>
  </w:footnote>
  <w:footnote w:id="4156">
    <w:p w14:paraId="38272D08" w14:textId="77777777" w:rsidR="0013116F" w:rsidRDefault="0013116F" w:rsidP="001D49D4">
      <w:pPr>
        <w:pStyle w:val="a9"/>
        <w:spacing w:after="60"/>
        <w:rPr>
          <w:rFonts w:ascii="Arial" w:hAnsi="Arial"/>
        </w:rPr>
      </w:pPr>
      <w:r>
        <w:rPr>
          <w:rStyle w:val="ab"/>
          <w:rFonts w:ascii="Arial" w:hAnsi="Arial"/>
        </w:rPr>
        <w:footnoteRef/>
      </w:r>
      <w:r>
        <w:rPr>
          <w:rFonts w:ascii="Arial" w:hAnsi="Arial"/>
          <w:rtl/>
        </w:rPr>
        <w:t xml:space="preserve"> השטר בין השטרות פרועין, וכל אחד אמר זהו שטר שלי, רש"י.</w:t>
      </w:r>
    </w:p>
  </w:footnote>
  <w:footnote w:id="4157">
    <w:p w14:paraId="51F75BEE" w14:textId="77777777" w:rsidR="0013116F" w:rsidRDefault="0013116F" w:rsidP="001D49D4">
      <w:pPr>
        <w:pStyle w:val="a9"/>
        <w:spacing w:after="60"/>
        <w:rPr>
          <w:rFonts w:ascii="Arial" w:hAnsi="Arial"/>
          <w:rtl/>
        </w:rPr>
      </w:pPr>
      <w:r>
        <w:rPr>
          <w:rStyle w:val="ab"/>
          <w:rFonts w:ascii="Arial" w:hAnsi="Arial"/>
        </w:rPr>
        <w:footnoteRef/>
      </w:r>
      <w:r>
        <w:rPr>
          <w:rFonts w:ascii="Arial" w:hAnsi="Arial"/>
          <w:rtl/>
        </w:rPr>
        <w:t xml:space="preserve"> </w:t>
      </w:r>
      <w:r>
        <w:rPr>
          <w:rFonts w:ascii="Arial" w:hAnsi="Arial" w:hint="cs"/>
          <w:rtl/>
        </w:rPr>
        <w:t>סימן – ב' קרואים ערן. וכן - ב' קרואים בעיר. וכן - ב' קרנא בעיר.</w:t>
      </w:r>
    </w:p>
  </w:footnote>
  <w:footnote w:id="4158">
    <w:p w14:paraId="198E9301" w14:textId="77777777" w:rsidR="0013116F" w:rsidRDefault="0013116F" w:rsidP="001D49D4">
      <w:pPr>
        <w:pStyle w:val="a9"/>
        <w:spacing w:after="60"/>
        <w:rPr>
          <w:rFonts w:ascii="Arial" w:hAnsi="Arial"/>
        </w:rPr>
      </w:pPr>
      <w:r>
        <w:rPr>
          <w:rStyle w:val="ab"/>
          <w:rFonts w:ascii="Arial" w:hAnsi="Arial"/>
        </w:rPr>
        <w:footnoteRef/>
      </w:r>
      <w:r>
        <w:rPr>
          <w:rFonts w:ascii="Arial" w:hAnsi="Arial"/>
          <w:rtl/>
        </w:rPr>
        <w:t xml:space="preserve"> מלוה 'שטרו של יוסף בן שמעון שחייב לי ממון פרוע'- שטרות שניהם פרועים..., רשב"ם.</w:t>
      </w:r>
    </w:p>
  </w:footnote>
  <w:footnote w:id="4159">
    <w:p w14:paraId="0DAA432A" w14:textId="77777777" w:rsidR="0013116F" w:rsidRDefault="0013116F" w:rsidP="001D49D4">
      <w:pPr>
        <w:pStyle w:val="a9"/>
        <w:spacing w:after="60"/>
        <w:rPr>
          <w:rFonts w:ascii="Arial" w:hAnsi="Arial"/>
          <w:rtl/>
        </w:rPr>
      </w:pPr>
      <w:r>
        <w:rPr>
          <w:rStyle w:val="ab"/>
          <w:rFonts w:ascii="Arial" w:hAnsi="Arial"/>
        </w:rPr>
        <w:footnoteRef/>
      </w:r>
      <w:r>
        <w:rPr>
          <w:rFonts w:ascii="Arial" w:hAnsi="Arial"/>
          <w:rtl/>
        </w:rPr>
        <w:t xml:space="preserve"> פירוש בשטר שלשה דורות יוסף בן יעקב בן יצחק, ובאידך כתב יוסף בן יעקב בן דוד, ובשובר כתב סתם יוסף בן יעקב כדמתרץ לקמן, הלכך איתרע כחם והם בחזקת פרועים שכל אחד טוען שלי פרוע, והמלוה אינו יכול להכחישו הואיל ונמצאו השטרות בין השטרות קרועים</w:t>
      </w:r>
      <w:r>
        <w:rPr>
          <w:rFonts w:ascii="Arial" w:hAnsi="Arial"/>
          <w:sz w:val="16"/>
          <w:szCs w:val="16"/>
          <w:rtl/>
        </w:rPr>
        <w:t xml:space="preserve"> {כדאוקימנא בב"מ כ:}</w:t>
      </w:r>
      <w:r>
        <w:rPr>
          <w:rFonts w:ascii="Arial" w:hAnsi="Arial"/>
          <w:rtl/>
        </w:rPr>
        <w:t xml:space="preserve">, רשב"ם. </w:t>
      </w:r>
    </w:p>
  </w:footnote>
  <w:footnote w:id="4160">
    <w:p w14:paraId="57DF65C4" w14:textId="77777777" w:rsidR="0013116F" w:rsidRDefault="0013116F" w:rsidP="001D49D4">
      <w:pPr>
        <w:pStyle w:val="a9"/>
        <w:spacing w:after="60"/>
        <w:rPr>
          <w:rFonts w:ascii="Arial" w:hAnsi="Arial"/>
          <w:rtl/>
        </w:rPr>
      </w:pPr>
      <w:r>
        <w:rPr>
          <w:rStyle w:val="ab"/>
          <w:rFonts w:ascii="Arial" w:hAnsi="Arial"/>
        </w:rPr>
        <w:footnoteRef/>
      </w:r>
      <w:r>
        <w:rPr>
          <w:rFonts w:ascii="Arial" w:hAnsi="Arial"/>
          <w:rtl/>
        </w:rPr>
        <w:t xml:space="preserve"> מתני' כשנמצאו בבית לוה מיירי והכי קתני נמצא ללוה אחד בין שטרותיו שובר שהשטר שהיה נושה בו יוסף בן שמעון פרוע הוא והיו שני יוסף בן שמעון נושים בו ואילמלא זה השובר היו שניהם נפרעין ממנו שטרותם כדאוקמינן שהם יכולין להוציא שט"ח על אחרים ועכשיו בזה השובר הורע חזקתם דקיי"ל יד בעל השטר על התחתונה וכשיוציא כל אחד מהם שטרו אומר לו הנה השובר עליו...., רשב"ם.</w:t>
      </w:r>
    </w:p>
  </w:footnote>
  <w:footnote w:id="4161">
    <w:p w14:paraId="3050034B" w14:textId="77777777" w:rsidR="0013116F" w:rsidRDefault="0013116F" w:rsidP="001D49D4">
      <w:pPr>
        <w:pStyle w:val="a9"/>
        <w:spacing w:after="60"/>
        <w:rPr>
          <w:rFonts w:ascii="Arial" w:hAnsi="Arial"/>
        </w:rPr>
      </w:pPr>
      <w:r>
        <w:rPr>
          <w:rStyle w:val="ab"/>
          <w:rFonts w:ascii="Arial" w:hAnsi="Arial"/>
        </w:rPr>
        <w:footnoteRef/>
      </w:r>
      <w:r>
        <w:rPr>
          <w:rFonts w:ascii="Arial" w:hAnsi="Arial"/>
          <w:rtl/>
        </w:rPr>
        <w:t xml:space="preserve"> והוסיף הב"י- "אבל תמיהא לי מילתא, שרבינו נמשך לסברת הרא"ש, והרא"ש (סו"ס לז) והרי"ף (פ.) לא כתבו תירוצא דרבי ירמיה אלמא ס"ל דפליגי וכאביי דהוה בתרא קיי"ל וצ"ע". ובבדה"ב שבסמוך תירץ- "ונ"ל שסבור רבינו דלא משום דלא סבירא להו כרבי ירמיה השמיטוה דכיון דאפשר דמר אמר חדא ומר אמר חדא אמאי נשוי פלוגתא אלא לפי שהוא דבר שאינו מצוי קצרו בדבר ועוד דההיא דרבי ירמיה לא הוצרכו לכתבה משום דמלתא דפשיטא היא".</w:t>
      </w:r>
    </w:p>
  </w:footnote>
  <w:footnote w:id="4162">
    <w:p w14:paraId="089B2E17" w14:textId="77777777" w:rsidR="0013116F" w:rsidRDefault="0013116F" w:rsidP="001D49D4">
      <w:pPr>
        <w:pStyle w:val="a9"/>
        <w:spacing w:after="60"/>
        <w:rPr>
          <w:rFonts w:ascii="Arial" w:hAnsi="Arial"/>
        </w:rPr>
      </w:pPr>
      <w:r>
        <w:rPr>
          <w:rStyle w:val="ab"/>
          <w:rFonts w:ascii="Arial" w:hAnsi="Arial"/>
        </w:rPr>
        <w:footnoteRef/>
      </w:r>
      <w:r>
        <w:rPr>
          <w:rFonts w:ascii="Arial" w:hAnsi="Arial"/>
          <w:rtl/>
        </w:rPr>
        <w:t xml:space="preserve"> דהרי בסי' ס"ה סע' י"ח מבואר דאפילו שהשובר אינו מקויים מ"מ כיון שנמצא בין שטרותיו הקרועים סגי, וכן כשהוא מקויים סגי אפי' אינו בין שטרותיו הקרועים, וא"כ, מדוע הצריכו כאן גם שהשובר יהיה מקויים וגם שהשטרות ימצאו בין שטרותיו הקרועים? </w:t>
      </w:r>
      <w:r>
        <w:rPr>
          <w:rFonts w:ascii="Arial" w:hAnsi="Arial"/>
          <w:sz w:val="16"/>
          <w:szCs w:val="16"/>
          <w:rtl/>
        </w:rPr>
        <w:t>(שובר מקויים פירושו שחותמים עדים על השובר לאחר שפרע הלוה את החוב והשובר המקויים נשאר ביד הלוה)</w:t>
      </w:r>
    </w:p>
  </w:footnote>
  <w:footnote w:id="4163">
    <w:p w14:paraId="4443D3AA" w14:textId="77777777" w:rsidR="0013116F" w:rsidRDefault="0013116F" w:rsidP="001D49D4">
      <w:pPr>
        <w:pStyle w:val="a9"/>
        <w:spacing w:after="60"/>
        <w:rPr>
          <w:rFonts w:ascii="Arial" w:hAnsi="Arial"/>
          <w:rtl/>
        </w:rPr>
      </w:pPr>
      <w:r>
        <w:rPr>
          <w:rStyle w:val="ab"/>
          <w:rFonts w:ascii="Arial" w:hAnsi="Arial"/>
        </w:rPr>
        <w:footnoteRef/>
      </w:r>
      <w:r>
        <w:rPr>
          <w:rFonts w:ascii="Arial" w:hAnsi="Arial"/>
          <w:rtl/>
        </w:rPr>
        <w:t xml:space="preserve"> וכ' הש"ך דכן הוא בבעה"ת </w:t>
      </w:r>
      <w:r>
        <w:rPr>
          <w:rFonts w:ascii="Arial" w:hAnsi="Arial"/>
          <w:sz w:val="16"/>
          <w:szCs w:val="16"/>
          <w:rtl/>
        </w:rPr>
        <w:t>(שער ל"ג ח"ד ס"ג)</w:t>
      </w:r>
      <w:r>
        <w:rPr>
          <w:rFonts w:ascii="Arial" w:hAnsi="Arial"/>
          <w:rtl/>
        </w:rPr>
        <w:t xml:space="preserve"> וז"ל- "שנמצא השובר מקוים, א"נ שנמצאו השט"ח בין שטרות הקרועים". וכ"כ בספר גדות"ר </w:t>
      </w:r>
      <w:r>
        <w:rPr>
          <w:rFonts w:ascii="Arial" w:hAnsi="Arial"/>
          <w:sz w:val="16"/>
          <w:szCs w:val="16"/>
          <w:rtl/>
        </w:rPr>
        <w:t xml:space="preserve">(קמה:) </w:t>
      </w:r>
      <w:r>
        <w:rPr>
          <w:rFonts w:ascii="Arial" w:hAnsi="Arial"/>
          <w:rtl/>
        </w:rPr>
        <w:t xml:space="preserve">וז"ל- "ואי איישר חילי הייתי מגיה בלשון הטור או נמצא ב' השטרות כו', והוא כלשון רבינו". </w:t>
      </w:r>
    </w:p>
  </w:footnote>
  <w:footnote w:id="4164">
    <w:p w14:paraId="791BFA25" w14:textId="77777777" w:rsidR="0013116F" w:rsidRDefault="0013116F" w:rsidP="001D49D4">
      <w:pPr>
        <w:pStyle w:val="a9"/>
        <w:spacing w:after="60"/>
        <w:rPr>
          <w:rFonts w:ascii="Arial" w:hAnsi="Arial"/>
          <w:rtl/>
        </w:rPr>
      </w:pPr>
      <w:r>
        <w:rPr>
          <w:rStyle w:val="ab"/>
          <w:rFonts w:ascii="Arial" w:hAnsi="Arial"/>
        </w:rPr>
        <w:footnoteRef/>
      </w:r>
      <w:r>
        <w:rPr>
          <w:rFonts w:ascii="Arial" w:hAnsi="Arial"/>
          <w:rtl/>
        </w:rPr>
        <w:t xml:space="preserve"> וכ' עוד שם הט"ז- "והפסול ברור כ"כ דאנן מחזקינן להשטרות בחזקת ודאי פרועים ולא מספק, ונ"מ דאפילו אי תפס מן יוסף בן שמעון אחד ויאמר כיון שאני מוחזק יכילנא למימר אתה הוא שלא פרעתני והשובר כתבתי על יוסף בן שמעון האחר, אנן מוציאין מידו דהא אנן סהדי שפרועים הם, ולזה לא היה מועיל מה שהשובר מקוים, אלא הטעם השני מועיל לזה, דהיינו מה שהונחו השטרות בין הקרועים וזה הוכחה ששניהם פרועים. ובהא לחוד לא סגי כשאין השובר מקוים וכו", עכ"ל, עיי"ש.</w:t>
      </w:r>
    </w:p>
  </w:footnote>
  <w:footnote w:id="4165">
    <w:p w14:paraId="41585208" w14:textId="77777777" w:rsidR="0013116F" w:rsidRDefault="0013116F" w:rsidP="001D49D4">
      <w:pPr>
        <w:pStyle w:val="a9"/>
        <w:spacing w:after="60"/>
        <w:rPr>
          <w:rFonts w:ascii="Arial" w:hAnsi="Arial"/>
          <w:rtl/>
        </w:rPr>
      </w:pPr>
      <w:r>
        <w:rPr>
          <w:rStyle w:val="ab"/>
          <w:rFonts w:ascii="Arial" w:hAnsi="Arial"/>
        </w:rPr>
        <w:footnoteRef/>
      </w:r>
      <w:r>
        <w:rPr>
          <w:rFonts w:ascii="Arial" w:hAnsi="Arial"/>
          <w:rtl/>
        </w:rPr>
        <w:t xml:space="preserve"> </w:t>
      </w:r>
      <w:r>
        <w:rPr>
          <w:rFonts w:ascii="Arial" w:hAnsi="Arial" w:hint="cs"/>
          <w:rtl/>
        </w:rPr>
        <w:t>סימן – חוב משותף.</w:t>
      </w:r>
    </w:p>
  </w:footnote>
  <w:footnote w:id="4166">
    <w:p w14:paraId="744FC8A8" w14:textId="77777777" w:rsidR="0013116F" w:rsidRDefault="0013116F" w:rsidP="001D49D4">
      <w:pPr>
        <w:pStyle w:val="a9"/>
        <w:spacing w:after="60"/>
        <w:rPr>
          <w:rFonts w:ascii="Arial" w:hAnsi="Arial"/>
          <w:rtl/>
        </w:rPr>
      </w:pPr>
      <w:r>
        <w:rPr>
          <w:rStyle w:val="ab"/>
          <w:rFonts w:ascii="Arial" w:hAnsi="Arial"/>
        </w:rPr>
        <w:footnoteRef/>
      </w:r>
      <w:r>
        <w:rPr>
          <w:rFonts w:ascii="Arial" w:hAnsi="Arial"/>
          <w:rtl/>
        </w:rPr>
        <w:t xml:space="preserve"> שהיה איש אחד מוציא על אחד מהן שטר חוב, וכל אחד מהן היה מדחהו לאמר- לא אני הוא כי אם חבירי, ולקחו בין שניהם שדה אחת, טורף בעל חוב חציה, רש"י.</w:t>
      </w:r>
    </w:p>
  </w:footnote>
  <w:footnote w:id="4167">
    <w:p w14:paraId="33D1C75F" w14:textId="77777777" w:rsidR="0013116F" w:rsidRDefault="0013116F" w:rsidP="001D49D4">
      <w:pPr>
        <w:pStyle w:val="a9"/>
        <w:spacing w:after="60"/>
        <w:rPr>
          <w:rFonts w:ascii="Arial" w:hAnsi="Arial"/>
          <w:rtl/>
        </w:rPr>
      </w:pPr>
      <w:r>
        <w:rPr>
          <w:rStyle w:val="ab"/>
          <w:rFonts w:ascii="Arial" w:hAnsi="Arial"/>
        </w:rPr>
        <w:footnoteRef/>
      </w:r>
      <w:r>
        <w:rPr>
          <w:rFonts w:ascii="Arial" w:hAnsi="Arial"/>
          <w:rtl/>
        </w:rPr>
        <w:t xml:space="preserve"> דכל חד וחד מדחי ליה, רש"י.</w:t>
      </w:r>
    </w:p>
  </w:footnote>
  <w:footnote w:id="4168">
    <w:p w14:paraId="11DA688C" w14:textId="77777777" w:rsidR="0013116F" w:rsidRDefault="0013116F" w:rsidP="001D49D4">
      <w:pPr>
        <w:pStyle w:val="a9"/>
        <w:spacing w:after="60"/>
        <w:rPr>
          <w:rFonts w:ascii="Arial" w:hAnsi="Arial"/>
        </w:rPr>
      </w:pPr>
      <w:r>
        <w:rPr>
          <w:rStyle w:val="ab"/>
          <w:rFonts w:ascii="Arial" w:hAnsi="Arial"/>
        </w:rPr>
        <w:footnoteRef/>
      </w:r>
      <w:r>
        <w:rPr>
          <w:rFonts w:ascii="Arial" w:hAnsi="Arial"/>
          <w:rtl/>
        </w:rPr>
        <w:t xml:space="preserve"> עד שיתבע מן הלוה ולא יהא לו מה לפרוע, רש"י.</w:t>
      </w:r>
    </w:p>
  </w:footnote>
  <w:footnote w:id="4169">
    <w:p w14:paraId="02E97EF5" w14:textId="77777777" w:rsidR="0013116F" w:rsidRDefault="0013116F" w:rsidP="001D49D4">
      <w:pPr>
        <w:pStyle w:val="a9"/>
        <w:spacing w:after="60"/>
        <w:rPr>
          <w:rFonts w:ascii="Arial" w:hAnsi="Arial"/>
          <w:rtl/>
        </w:rPr>
      </w:pPr>
      <w:r>
        <w:rPr>
          <w:rStyle w:val="ab"/>
          <w:rFonts w:ascii="Arial" w:hAnsi="Arial"/>
        </w:rPr>
        <w:footnoteRef/>
      </w:r>
      <w:r>
        <w:rPr>
          <w:rFonts w:ascii="Arial" w:hAnsi="Arial"/>
          <w:rtl/>
        </w:rPr>
        <w:t xml:space="preserve"> פירוש לאו דוקא דלית ליה, אלא אפילו אית ליה, רק כיון דאין יכול לגבות ממונו הו"ל כאילו אין לו בני חורין, והוי כמו נשתדוף נכסים דגובה מנכסים משועבדים ולא מצי למימר הנחתי לך מקום, כן צ"ל בגמרא דבכורות (מח.) אשר מקור הדין נלמד דשם אית ללוה נכסים, אורים (סק"ל).</w:t>
      </w:r>
    </w:p>
  </w:footnote>
  <w:footnote w:id="4170">
    <w:p w14:paraId="52B8240A" w14:textId="77777777" w:rsidR="0013116F" w:rsidRDefault="0013116F" w:rsidP="001D49D4">
      <w:pPr>
        <w:pStyle w:val="a9"/>
        <w:spacing w:after="60"/>
        <w:rPr>
          <w:rFonts w:ascii="Arial" w:hAnsi="Arial"/>
          <w:rtl/>
        </w:rPr>
      </w:pPr>
      <w:r>
        <w:rPr>
          <w:rStyle w:val="ab"/>
          <w:rFonts w:ascii="Arial" w:hAnsi="Arial"/>
        </w:rPr>
        <w:footnoteRef/>
      </w:r>
      <w:r>
        <w:rPr>
          <w:rFonts w:ascii="Arial" w:hAnsi="Arial"/>
          <w:rtl/>
        </w:rPr>
        <w:t xml:space="preserve"> וכ' הש"ך (סקי"ט) דנראה דה"ה בירש שדה מיוסף בן שמעון דודו דינא הכי מהאי טעמא. ובתומים (סקכ"א) חלק עליו וכ' דנראה דגובה מיורש, ולוקח שאני דאין טורף משעבדי.</w:t>
      </w:r>
    </w:p>
  </w:footnote>
  <w:footnote w:id="4171">
    <w:p w14:paraId="7D4B85D3" w14:textId="77777777" w:rsidR="0013116F" w:rsidRDefault="0013116F" w:rsidP="001D49D4">
      <w:pPr>
        <w:pStyle w:val="a9"/>
        <w:spacing w:after="60"/>
        <w:rPr>
          <w:rFonts w:ascii="Arial" w:hAnsi="Arial"/>
        </w:rPr>
      </w:pPr>
      <w:r>
        <w:rPr>
          <w:rStyle w:val="ab"/>
          <w:rFonts w:ascii="Arial" w:hAnsi="Arial"/>
        </w:rPr>
        <w:footnoteRef/>
      </w:r>
      <w:r>
        <w:rPr>
          <w:rFonts w:ascii="Arial" w:hAnsi="Arial"/>
          <w:rtl/>
        </w:rPr>
        <w:t xml:space="preserve"> וכ' הש"ך (סק"כ) דנראה דה"ה יוסף בן שמעון שערב בעד יוסף בן שמעון, כשם שאינו יכול לתבוע את הלוה, כך אינו יכול לתבוע הערב. ובתומים (סקכ"א) חלק עליו וכ' דנראה דגובה.</w:t>
      </w:r>
    </w:p>
  </w:footnote>
  <w:footnote w:id="4172">
    <w:p w14:paraId="5559D99A" w14:textId="77777777" w:rsidR="0013116F" w:rsidRDefault="0013116F" w:rsidP="001D49D4">
      <w:pPr>
        <w:pStyle w:val="a9"/>
        <w:rPr>
          <w:rFonts w:ascii="Calibri" w:hAnsi="Calibri"/>
        </w:rPr>
      </w:pPr>
      <w:r>
        <w:rPr>
          <w:rStyle w:val="ab"/>
        </w:rPr>
        <w:footnoteRef/>
      </w:r>
      <w:r>
        <w:rPr>
          <w:rtl/>
        </w:rPr>
        <w:t xml:space="preserve"> </w:t>
      </w:r>
      <w:r>
        <w:rPr>
          <w:rFonts w:hint="cs"/>
          <w:rtl/>
        </w:rPr>
        <w:t>סימן – קלף בשביל עלמא. וכן – בלי עקבות קוֹבֵל. וכן – קלף על בעליו. וכן – ערקו בעלי קלף.</w:t>
      </w:r>
    </w:p>
  </w:footnote>
  <w:footnote w:id="4173">
    <w:p w14:paraId="72FDBCCA" w14:textId="77777777" w:rsidR="0013116F" w:rsidRDefault="0013116F" w:rsidP="001D49D4">
      <w:pPr>
        <w:pStyle w:val="a9"/>
        <w:rPr>
          <w:rtl/>
        </w:rPr>
      </w:pPr>
      <w:r>
        <w:rPr>
          <w:rStyle w:val="ab"/>
        </w:rPr>
        <w:footnoteRef/>
      </w:r>
      <w:r>
        <w:rPr>
          <w:rtl/>
        </w:rPr>
        <w:t xml:space="preserve"> ועיין בתשובות הרא"ש שכתבתי בסימן ס"א (מחו' ו), ב"י.</w:t>
      </w:r>
    </w:p>
  </w:footnote>
  <w:footnote w:id="4174">
    <w:p w14:paraId="0B40750A" w14:textId="77777777" w:rsidR="0013116F" w:rsidRDefault="0013116F" w:rsidP="001D49D4">
      <w:pPr>
        <w:pStyle w:val="a9"/>
        <w:rPr>
          <w:rtl/>
        </w:rPr>
      </w:pPr>
      <w:r>
        <w:rPr>
          <w:rStyle w:val="ab"/>
        </w:rPr>
        <w:footnoteRef/>
      </w:r>
      <w:r>
        <w:rPr>
          <w:rtl/>
        </w:rPr>
        <w:t xml:space="preserve"> כך כתב בעל התרומות בשער י"ג (ח"א סי' ב) בשם הרמב"ן שפירש בתשובה דההוא שטרא דהוה כתיב ביה מינך - הודאה בעדים הות, תדע דאל"כ מגו דיכול למימר פרעתיך הוה מהימן לומר דההוא מינך מריש גלותא הוא ולא מיניה. וכ"כ עוד בעל התרומות בשער ל"ב, ב"י.</w:t>
      </w:r>
    </w:p>
  </w:footnote>
  <w:footnote w:id="4175">
    <w:p w14:paraId="42D6CA96" w14:textId="77777777" w:rsidR="0013116F" w:rsidRDefault="0013116F" w:rsidP="001D49D4">
      <w:pPr>
        <w:pStyle w:val="a9"/>
        <w:rPr>
          <w:rtl/>
        </w:rPr>
      </w:pPr>
      <w:r>
        <w:rPr>
          <w:rStyle w:val="ab"/>
        </w:rPr>
        <w:footnoteRef/>
      </w:r>
      <w:r>
        <w:rPr>
          <w:rtl/>
        </w:rPr>
        <w:t xml:space="preserve"> אין הכונה שצריך שיהיה כתוב בלשון שטר בפנינו עדים חתומי מטה וכו' דאפילו אינו כתוב בלשון זה כיון שחתום בעדים כשר כמו שיתבאר בסימן ס"ט (מחו' ב), וכן ההוא שטרא דנפק בבי דינא דרב הונא לא היה כתוב אלא בלשון כתב ידו 'אני פלוני לויתי ממך מנה', דאל"כ הכי הוה ליה למימר- והוה כתיב ביה מעידים אנו שפלוני בן פלוני לוה מינך מנה, ואפילו הכי גבי המוציאו כיון שחתומים עליו עדים, ב"י.</w:t>
      </w:r>
    </w:p>
  </w:footnote>
  <w:footnote w:id="4176">
    <w:p w14:paraId="4526C10C" w14:textId="77777777" w:rsidR="0013116F" w:rsidRDefault="0013116F" w:rsidP="001D49D4">
      <w:pPr>
        <w:pStyle w:val="a9"/>
      </w:pPr>
      <w:r>
        <w:rPr>
          <w:rStyle w:val="ab"/>
        </w:rPr>
        <w:footnoteRef/>
      </w:r>
      <w:r>
        <w:rPr>
          <w:rtl/>
        </w:rPr>
        <w:t xml:space="preserve"> כל שחתומים עליו עדים, אפילו לא כתוב בו בפנינו עדים אלא בלשון כתיבת יד, דין שטר יש לו. וכן מוכח בטור, וכמ"ש המחבר בס"ס מ' ולקמן בסי' ס"ט [סע' ג], וכן כתב כאן בבית יוסף ובפרישה, סמ"ע (סק"א). וכתב הש"ך (סק"א, </w:t>
      </w:r>
      <w:r>
        <w:rPr>
          <w:color w:val="FF0000"/>
          <w:rtl/>
        </w:rPr>
        <w:t>צל"ע אם חולקים</w:t>
      </w:r>
      <w:r>
        <w:rPr>
          <w:rtl/>
        </w:rPr>
        <w:t>) שהעדים חתומים למטה לא לקיים החתימה אלא לקיים הענין, אז אינו נאמן לומר פרעתי, כדלקמן סימן ס"ט סעיף ג'.</w:t>
      </w:r>
    </w:p>
  </w:footnote>
  <w:footnote w:id="4177">
    <w:p w14:paraId="7AC8BA0E" w14:textId="77777777" w:rsidR="0013116F" w:rsidRDefault="0013116F" w:rsidP="001D49D4">
      <w:pPr>
        <w:pStyle w:val="a9"/>
      </w:pPr>
      <w:r>
        <w:rPr>
          <w:rStyle w:val="ab"/>
        </w:rPr>
        <w:footnoteRef/>
      </w:r>
      <w:r>
        <w:rPr>
          <w:rtl/>
        </w:rPr>
        <w:t xml:space="preserve"> משמע, דפשיטא דבכתב ידו יכול לטעון פרעתי, וכמ"ש המחבר לקמן סי' סט סע' ב. וקצת קשה על הר"ב דכתב שם די"א דאינו נאמן לומר פרעתי, וכאן כתב כדברי הטור והמחבר. מיהו, לענין דינא כבר העליתי שם סקי"ד דיכול לטעון פרעתי, ש"ך (סק"ג).</w:t>
      </w:r>
    </w:p>
  </w:footnote>
  <w:footnote w:id="4178">
    <w:p w14:paraId="01969CFB" w14:textId="77777777" w:rsidR="0013116F" w:rsidRDefault="0013116F" w:rsidP="001D49D4">
      <w:pPr>
        <w:pStyle w:val="a9"/>
      </w:pPr>
      <w:r>
        <w:rPr>
          <w:rStyle w:val="ab"/>
        </w:rPr>
        <w:footnoteRef/>
      </w:r>
      <w:r>
        <w:rPr>
          <w:rtl/>
        </w:rPr>
        <w:t xml:space="preserve"> אבל להד"ם לא מצי טעין. ולא אמרינן דילמא לא כתב לשם חיוב, אלא שכתב כעין מזכרת, או שיחק בו, או שלא להשביע, כ"כ הב"ח. ודבריו צ"ע, ועיין מה שכתבתי לקמן סימן ס"ט סקט"ז, ש"ך (סק"ד).</w:t>
      </w:r>
    </w:p>
  </w:footnote>
  <w:footnote w:id="4179">
    <w:p w14:paraId="0A110042" w14:textId="77777777" w:rsidR="0013116F" w:rsidRDefault="0013116F" w:rsidP="001D49D4">
      <w:pPr>
        <w:pStyle w:val="a9"/>
      </w:pPr>
      <w:r>
        <w:rPr>
          <w:rStyle w:val="ab"/>
        </w:rPr>
        <w:footnoteRef/>
      </w:r>
      <w:r>
        <w:rPr>
          <w:rtl/>
        </w:rPr>
        <w:t xml:space="preserve"> היינו למ"ד דאינו נאמן לומר פרעתי נגד פסק דין, וכמ"ש לעיל בסימן ל"ט סעיף י', דאל"כ, ליהוי נאמן לומר אינני חייב לך במיגו דפרעתי כמו בכתיבת יד הנ"ל, סמ"ע (סק"ב).</w:t>
      </w:r>
    </w:p>
  </w:footnote>
  <w:footnote w:id="4180">
    <w:p w14:paraId="4943AADC" w14:textId="77777777" w:rsidR="0013116F" w:rsidRDefault="0013116F" w:rsidP="001D49D4">
      <w:pPr>
        <w:pStyle w:val="a9"/>
        <w:rPr>
          <w:rtl/>
        </w:rPr>
      </w:pPr>
      <w:r>
        <w:rPr>
          <w:rStyle w:val="ab"/>
        </w:rPr>
        <w:footnoteRef/>
      </w:r>
      <w:r>
        <w:rPr>
          <w:rtl/>
        </w:rPr>
        <w:t xml:space="preserve"> האי מלשון השטר הוא, ולכך מסיק ודוקא בבא מחמת אותו פלוני כו'. אבל אם לא הוזכר בשטר שום אדם, רק כתוב בסתם שנתחייב לכל מי שמוציאו, חייב לשלם למי שמוציאו אף שאינו בא מחמת מלוה הראשון </w:t>
      </w:r>
      <w:r>
        <w:rPr>
          <w:sz w:val="16"/>
          <w:szCs w:val="16"/>
          <w:rtl/>
        </w:rPr>
        <w:t>(ועיין מה שכתבתי בסימן ס"א סעיף ד' סק"ה, ובסימן ס"ו סע' א סק"י בזה באריכות)</w:t>
      </w:r>
      <w:r>
        <w:rPr>
          <w:rtl/>
        </w:rPr>
        <w:t>, ש"ך (סק"ו).</w:t>
      </w:r>
    </w:p>
  </w:footnote>
  <w:footnote w:id="4181">
    <w:p w14:paraId="43FE98D2" w14:textId="77777777" w:rsidR="0013116F" w:rsidRDefault="0013116F" w:rsidP="001D49D4">
      <w:pPr>
        <w:pStyle w:val="a9"/>
      </w:pPr>
      <w:r>
        <w:rPr>
          <w:rStyle w:val="ab"/>
        </w:rPr>
        <w:footnoteRef/>
      </w:r>
      <w:r>
        <w:rPr>
          <w:rtl/>
        </w:rPr>
        <w:t xml:space="preserve"> פירוש, שבא מכחו ומכח תביעתו. והטעם, דכיון שכתוב בשטר שם המלוה, הוא עיקר, ומה שכתוב בו עוד ולכל המוציאו, הוה ליה כאילו כתוב בו ולבאי כחו. ועיין לקמן סימן ס"א סעיף ד' וסימן ס"ו סעיף א' ובסמ"ע סק"ח, סמ"ע (סק"ג). וכתב </w:t>
      </w:r>
      <w:r>
        <w:rPr>
          <w:sz w:val="16"/>
          <w:szCs w:val="16"/>
          <w:rtl/>
        </w:rPr>
        <w:t>)</w:t>
      </w:r>
      <w:r>
        <w:rPr>
          <w:rtl/>
        </w:rPr>
        <w:t>. וכתב הש"ך (סק"ו) שבתשובת מבי"ט (ח"א סי' רסו) כתב דאם פרע קצתו לזה שמוציאו ואח"כ הוציאו המלוה עצמו, פטור הלוה מסך שפרע אף שלא היתה לו הרשאה. וע"ש [במבי"ט] עוד שהאריך.</w:t>
      </w:r>
    </w:p>
  </w:footnote>
  <w:footnote w:id="4182">
    <w:p w14:paraId="193978D3" w14:textId="77777777" w:rsidR="0013116F" w:rsidRDefault="0013116F" w:rsidP="001D49D4">
      <w:pPr>
        <w:pStyle w:val="a9"/>
      </w:pPr>
      <w:r>
        <w:rPr>
          <w:rStyle w:val="ab"/>
        </w:rPr>
        <w:footnoteRef/>
      </w:r>
      <w:r>
        <w:rPr>
          <w:rtl/>
        </w:rPr>
        <w:t xml:space="preserve"> זה קאי ארישא אאם לא נזכר בו שום מלוה, אבל אם כתוב בשטר שחייב לפלוני או לכל מי שמוציאו, דאז צריך לבוא האחר בכח אותו פלוני, נראה דלא מהני בזה השובר שביד הלוה, אף שיאמר הלוה פלוני הנחתם בשובר בא בכחך ושילמתי לו על פי השובר. ולא עוד, אלא אפילו אם כתוב בשובר בפירוש שבא בכח של אותו פלוני וקיבל מעות מזה הלוה, לא מהני, דלא מצי לחייב בהודאתו לאחר ולאורועי כת"י כל זמן שאין ידוע שהיה לו כח מהמלוה כנ"ל, סמ"ע </w:t>
      </w:r>
      <w:r>
        <w:rPr>
          <w:sz w:val="16"/>
          <w:szCs w:val="16"/>
          <w:rtl/>
        </w:rPr>
        <w:t>(סק"ד)</w:t>
      </w:r>
      <w:r>
        <w:rPr>
          <w:rtl/>
        </w:rPr>
        <w:t xml:space="preserve">. והביאו הש"ך </w:t>
      </w:r>
      <w:r>
        <w:rPr>
          <w:sz w:val="16"/>
          <w:szCs w:val="16"/>
          <w:rtl/>
        </w:rPr>
        <w:t xml:space="preserve">(סק"ז) </w:t>
      </w:r>
      <w:r>
        <w:rPr>
          <w:rtl/>
        </w:rPr>
        <w:t>וכתב שכן בנמוק"י (שם) במקור דין זה מיירי שלא הוזכר שום אדם בשטר. ומ"ש הסמ"ע, אפילו כתוב בשובר בפירוש שבא בכח אותו פלוני כו', היינו בשובר שכתב הגובה עצמו בכתב ידו, אבל בשובר שכתבו עדים בפירוש שבא בכח של אותו פלוני, אין לך ידוע גדול מזה.</w:t>
      </w:r>
    </w:p>
    <w:p w14:paraId="4CDCE389" w14:textId="77777777" w:rsidR="0013116F" w:rsidRDefault="0013116F" w:rsidP="001D49D4">
      <w:pPr>
        <w:pStyle w:val="a9"/>
        <w:rPr>
          <w:rtl/>
        </w:rPr>
      </w:pPr>
      <w:r>
        <w:rPr>
          <w:rtl/>
        </w:rPr>
        <w:t xml:space="preserve">ונ"ל, דהא דמהני שובר משום אדם על שטר שנכתב סתם לכל מי שמוציאו, היינו כשידע זה שקנהו אח"כ שכתב לו שובר עליו </w:t>
      </w:r>
      <w:r>
        <w:rPr>
          <w:sz w:val="16"/>
          <w:szCs w:val="16"/>
          <w:rtl/>
        </w:rPr>
        <w:t>(וקמ"ל דלא תימא כיון שנכתב לשם כל מי שמוציאו, השטר בתקפו אף שפרע למלוה הראשון וכתב לו שובר, כיון שלא נכתב השובר על השטר עצמו והוא מוציא עתה השטר, אלא כיון שפרעו ועשה ממנו שובר נמחל השטר. וכן משמע לשון הנ"י עצמו מקור דין זה, שכתב וז"ל, ומיהו כל שהוציא א' שטר זה ופרעו לו ועשה ממנו שובר, נמחל שעבודו לכל אדם שיוציאנו מכאן ואילך, שלא נתחייב אלא במנה בלבד, עכ"ל. משמע דר"ל דלא תימא שנתחייב לכל מי שיוציאו אפילו בכמה מנים זה אחר זה, אלא כיון שנפרע פעם אחת תו לא מגבינן ביה)</w:t>
      </w:r>
      <w:r>
        <w:rPr>
          <w:rtl/>
        </w:rPr>
        <w:t xml:space="preserve">, אבל אם זה שקנהו טוען שלא ידע שפרע למלוה הראשון ולא ידע משובר זה, נהי דלא נתחייב אלא במנה אחד בלבד, מ"מ ה"ל כאילו נתחייב לו מתחילה, ומה שפרע למלוה הראשון איהו דאפסיד אנפשיה שפרע לו ולא כתב שובר ע"ג השטר עצמו והאמינו. ולא מיבעיא היכא דאין ידוע בעדים שפרע לו, רק שמלוה הראשון כתב לו שובר בכתב ידו, דאיכא למיחש לקנוניא שמא אחר שמכר לו שטר זה עשה לו שובר בכתב ידו, ואפילו הוחזק כתב ידו בבית דין קודם המכירה, כיון דכת"י לית ליה קלא, יכול המוציא השטר לטעון שלא ידע מן הכתב יד. וכן אפילו פרע בעדים יכול לטעון לא ידעתי, ואנכי כיון שקניתי השטר ונתחייבת לכל מי שמוציאו, והרי אני מוציאו עכשיו, וה"ל כאילו נתחייבת לי מתחילה. מיהו, אם עשה לו המלוה הראשון שובר כתוב בעדים, כיון דשובר בעדים קלא אית ליה, א"כ ה"ל לקונה זה לידע, ואיהו דאפסיד אנפשיה, </w:t>
      </w:r>
      <w:r>
        <w:rPr>
          <w:sz w:val="16"/>
          <w:szCs w:val="16"/>
          <w:rtl/>
        </w:rPr>
        <w:t>(דהא אמרינן בסוף פ"ק דמציעא [סוף דף י"ט] ונתבאר בפוסקים בכמה דוכתי, דלוה טורף בשובר מלקוחות שקנו השטר מן המלוה ולא אמרינן דלקוחות לא ידעי, אלא שובר בעדים קלא אית ליה, וה"ה הכא)</w:t>
      </w:r>
      <w:r>
        <w:rPr>
          <w:rtl/>
        </w:rPr>
        <w:t>. וכן המנהג בזמנינו שקונין ממרנו"ת זה מזה, ואילו היה הממרנ"י בטלה בזה לא היה שום אדם קונה שום ממרנ"י, דהיה חושש שמא פרע לו בעדים או שמא נתן כתב ידו בעדים שפרע לו. ותו, דהיכא דלא ידע ה"ל כלקח חפץ מחבירו ונודע אח"כ שהוא גניבה בידו ואינו שלו, דמ"מ צריך להחזיר לו מעותיו משום תקנת השוק וכדלקמן סימן שנ"ו [סעיף ב'], וה"ה הכא. ואע"ג דכתבו הרא"ש [בתשובה כלל ע"ט סי' ה'] והטור והמחבר לקמן סימן ס' [טור סעיף ז' ומחבר] סוף סעיף א', דלא שייך בשטרות תקנת השוק דלא שכיח, היינו בסתם שטרות דעלמא, אבל בממרנות שבזמנינו דשכיח טובא שקונין זה מזה יותר מן המטלטלים, פשיטא דשייך תקנת השוק. ועוד, דבתר דכתבו הרא"ש והטור שם דבשטרות לא שייך תקנת השוק דלא שכיח, כתבו וז"ל, ועוד שלא יצא השטר מרשותו לגמרי, שעדיין נשאר בידו כח למחול השטר, הילכך חשיב שפיר ממונו לגבות ממנו. לפיכך בממרנ"ות שא"י למחול וכדלקמן סימן ס"ו סק"י, שייך בהו תקנת השוק. ולפ"ז הכא בממרנ"י כשמברר זה שפרע למלוה הראשון קודם שקנהו זה, צריך הקונה לישבע בכמה קנה הממרנ"י ויטול כדלקמן סימן שנ"ו [סעיף ד'], אבל בידע או בשובר בעדים דהוה כידע שהוא גנב מפורסם לקמן סימן שנ"ו [סעיף ב'] - אין צריך להחזיר לו מעותיו. כן נ"ל בדינים הללו.</w:t>
      </w:r>
    </w:p>
  </w:footnote>
  <w:footnote w:id="4183">
    <w:p w14:paraId="5111D10A" w14:textId="77777777" w:rsidR="0013116F" w:rsidRDefault="0013116F" w:rsidP="001D49D4">
      <w:pPr>
        <w:pStyle w:val="a9"/>
        <w:rPr>
          <w:rtl/>
        </w:rPr>
      </w:pPr>
      <w:r>
        <w:rPr>
          <w:rStyle w:val="ab"/>
        </w:rPr>
        <w:footnoteRef/>
      </w:r>
      <w:r>
        <w:rPr>
          <w:rtl/>
        </w:rPr>
        <w:t xml:space="preserve"> בסמ"ע </w:t>
      </w:r>
      <w:r>
        <w:rPr>
          <w:sz w:val="16"/>
          <w:szCs w:val="16"/>
          <w:rtl/>
        </w:rPr>
        <w:t>(בציוני הסמ"ע)</w:t>
      </w:r>
      <w:r>
        <w:rPr>
          <w:rtl/>
        </w:rPr>
        <w:t xml:space="preserve"> רשם בכאן בהג"ה 'שם כתבו המחבר גופא'. ולי נראה דודאי הר"ב לא יכתוב מ"ש המחבר כבר, ובפרט שכתב הוא עצמו 'ועיין לקמן סימן ס"א ס"י'. אלא הר"ב בא לחדש דאע"ג שהמתחייב לא היה חייב מעולם שום דבר לשום אדם, שלא הלוה לו שום אדם כלום, אלא שחייב את עצמו בדבר שלא היה חייב כדלעיל סי' מ' סע' א'. וזה לא כתבו המחבר לקמן סימן ס"א סעיף י' כלל. והוא מבואר בתשובות הרא"ש (כלל ס"ח סי' ט) במ"ש שם- וכן מצינו [שמואל א יז כה] בשאול על מעשה דגלית הפלשתי, ששעבד עצמו ונכסיו ליתן עושר גדול למי שיכה הפלשתי, ובא דוד והכהו, ונתחייב שאול לדוד באותו ממון, דבפ"ב דסנהדרין [יט:] קאמר שקידש דוד את בת שאול באותו ממון כו', עכ"ל. וזהו מדוקדק בדברי הר"ב שכתב נשתעבד נגדו, וכמו שנתבאר לעיל סימן מ' כו', והרי בסימן מ' מיירי במי שחייב את עצמו בדבר שלא היה חייב כלל, ע"ש, וזה ברור, ש"ך (סק"ט).</w:t>
      </w:r>
    </w:p>
  </w:footnote>
  <w:footnote w:id="4184">
    <w:p w14:paraId="338D5768" w14:textId="77777777" w:rsidR="0013116F" w:rsidRDefault="0013116F" w:rsidP="001D49D4">
      <w:pPr>
        <w:pStyle w:val="a9"/>
        <w:rPr>
          <w:rtl/>
        </w:rPr>
      </w:pPr>
      <w:r>
        <w:rPr>
          <w:rStyle w:val="ab"/>
        </w:rPr>
        <w:footnoteRef/>
      </w:r>
      <w:r>
        <w:rPr>
          <w:rtl/>
        </w:rPr>
        <w:t xml:space="preserve"> ועיין בתשובת מהר"מ אלשיך סי' צח, ובתשובת מהר"א ן' חיים סי' כא, ש"ך (סק"ח).</w:t>
      </w:r>
    </w:p>
  </w:footnote>
  <w:footnote w:id="4185">
    <w:p w14:paraId="505F0467" w14:textId="77777777" w:rsidR="0013116F" w:rsidRDefault="0013116F" w:rsidP="001D49D4">
      <w:pPr>
        <w:pStyle w:val="a9"/>
        <w:rPr>
          <w:rtl/>
        </w:rPr>
      </w:pPr>
      <w:r>
        <w:rPr>
          <w:rStyle w:val="ab"/>
        </w:rPr>
        <w:footnoteRef/>
      </w:r>
      <w:r>
        <w:rPr>
          <w:rtl/>
        </w:rPr>
        <w:t xml:space="preserve"> </w:t>
      </w:r>
      <w:r>
        <w:rPr>
          <w:rFonts w:hint="cs"/>
          <w:rtl/>
        </w:rPr>
        <w:t>סימן – קיבוץ סהדי</w:t>
      </w:r>
      <w:r>
        <w:rPr>
          <w:sz w:val="14"/>
          <w:szCs w:val="14"/>
          <w:rtl/>
        </w:rPr>
        <w:t xml:space="preserve"> (הסימן הוא לדף קסה שבו עיקר ענייננו)</w:t>
      </w:r>
      <w:r>
        <w:rPr>
          <w:rtl/>
        </w:rPr>
        <w:t>.</w:t>
      </w:r>
    </w:p>
  </w:footnote>
  <w:footnote w:id="4186">
    <w:p w14:paraId="6838B22A" w14:textId="77777777" w:rsidR="0013116F" w:rsidRDefault="0013116F" w:rsidP="001D49D4">
      <w:pPr>
        <w:pStyle w:val="a9"/>
      </w:pPr>
      <w:r>
        <w:rPr>
          <w:rStyle w:val="ab"/>
        </w:rPr>
        <w:footnoteRef/>
      </w:r>
      <w:r>
        <w:rPr>
          <w:rtl/>
        </w:rPr>
        <w:t xml:space="preserve"> וז"ל - וכן אם היה עד אחד בכתב ואחד על פה מצטרפין, ואם אמר זה שלא כתב עדותו אני קניתי מידו על דבר זה ולא בא המלוה הזה ולא שאל ממני לכתוב - שניהם מצטרפין לעשות המלוה בשטר ואינו יכול לומר פרעתי. עכ"ל. וכתב הב"י דמשמע דמפרש להא דאמימר דלא גבי אלא מבני חרי.</w:t>
      </w:r>
    </w:p>
  </w:footnote>
  <w:footnote w:id="4187">
    <w:p w14:paraId="6217F1C9" w14:textId="77777777" w:rsidR="0013116F" w:rsidRDefault="0013116F" w:rsidP="001D49D4">
      <w:pPr>
        <w:pStyle w:val="a9"/>
        <w:rPr>
          <w:rtl/>
        </w:rPr>
      </w:pPr>
      <w:r>
        <w:rPr>
          <w:rStyle w:val="ab"/>
        </w:rPr>
        <w:footnoteRef/>
      </w:r>
      <w:r>
        <w:rPr>
          <w:rtl/>
        </w:rPr>
        <w:t xml:space="preserve"> ר"י מיגאש </w:t>
      </w:r>
      <w:r>
        <w:rPr>
          <w:sz w:val="16"/>
          <w:szCs w:val="16"/>
          <w:rtl/>
        </w:rPr>
        <w:t>(שם ד"ה עד, כ"כ בשמו בעל התרומות [ש"ט ח"ב סי' ב])</w:t>
      </w:r>
      <w:r>
        <w:rPr>
          <w:rtl/>
        </w:rPr>
        <w:t xml:space="preserve"> רמב"ם </w:t>
      </w:r>
      <w:r>
        <w:rPr>
          <w:sz w:val="16"/>
          <w:szCs w:val="16"/>
          <w:rtl/>
        </w:rPr>
        <w:t>(הל' עדות פ"ד ה"ה)</w:t>
      </w:r>
      <w:r>
        <w:rPr>
          <w:rtl/>
        </w:rPr>
        <w:t xml:space="preserve"> רמב"ן </w:t>
      </w:r>
      <w:r>
        <w:rPr>
          <w:sz w:val="16"/>
          <w:szCs w:val="16"/>
          <w:rtl/>
        </w:rPr>
        <w:t xml:space="preserve">(שם ד"ה לא) </w:t>
      </w:r>
      <w:r>
        <w:rPr>
          <w:rtl/>
        </w:rPr>
        <w:t xml:space="preserve">ה"ר יונה </w:t>
      </w:r>
      <w:r>
        <w:rPr>
          <w:sz w:val="16"/>
          <w:szCs w:val="16"/>
          <w:rtl/>
        </w:rPr>
        <w:t>(שם ד"ה אלא)</w:t>
      </w:r>
      <w:r>
        <w:rPr>
          <w:rtl/>
        </w:rPr>
        <w:t xml:space="preserve"> רא"ש </w:t>
      </w:r>
      <w:r>
        <w:rPr>
          <w:sz w:val="16"/>
          <w:szCs w:val="16"/>
          <w:rtl/>
        </w:rPr>
        <w:t>(סי' ז, כ"כ הב"י בשמו)</w:t>
      </w:r>
      <w:r>
        <w:rPr>
          <w:rtl/>
        </w:rPr>
        <w:t xml:space="preserve"> וטור.</w:t>
      </w:r>
    </w:p>
  </w:footnote>
  <w:footnote w:id="4188">
    <w:p w14:paraId="4BA3A7E0" w14:textId="77777777" w:rsidR="0013116F" w:rsidRDefault="0013116F" w:rsidP="001D49D4">
      <w:pPr>
        <w:pStyle w:val="a9"/>
        <w:rPr>
          <w:rtl/>
        </w:rPr>
      </w:pPr>
      <w:r>
        <w:rPr>
          <w:rStyle w:val="ab"/>
        </w:rPr>
        <w:footnoteRef/>
      </w:r>
      <w:r>
        <w:rPr>
          <w:rtl/>
        </w:rPr>
        <w:t xml:space="preserve"> והרמב"ן </w:t>
      </w:r>
      <w:r>
        <w:rPr>
          <w:sz w:val="16"/>
          <w:szCs w:val="16"/>
          <w:rtl/>
        </w:rPr>
        <w:t xml:space="preserve">(שם ד"ה לא) </w:t>
      </w:r>
      <w:r>
        <w:rPr>
          <w:rtl/>
        </w:rPr>
        <w:t xml:space="preserve">וה"ר יונה </w:t>
      </w:r>
      <w:r>
        <w:rPr>
          <w:sz w:val="16"/>
          <w:szCs w:val="16"/>
          <w:rtl/>
        </w:rPr>
        <w:t xml:space="preserve">(שם ד"ה אלא) </w:t>
      </w:r>
      <w:r>
        <w:rPr>
          <w:rtl/>
        </w:rPr>
        <w:t>כתבו דלא מסתבר האי פירושא</w:t>
      </w:r>
      <w:r>
        <w:rPr>
          <w:sz w:val="16"/>
          <w:szCs w:val="16"/>
          <w:rtl/>
        </w:rPr>
        <w:t xml:space="preserve"> {של רשב"ם}</w:t>
      </w:r>
      <w:r>
        <w:rPr>
          <w:rtl/>
        </w:rPr>
        <w:t xml:space="preserve"> דאין זה מלוה בשטר, דלית ליה קלא כיון שבשטר ליכא תרי סהדי, שלקוחות לא נשמע להם עדות של עד שמעיד על פה, ובשביל השטר שחתום עליו עד אחד לא ימנעו מליקח. ועוד דלא עדיף קלא דעד אחד מקלא דכתב ידו דתנן (שם קעה:) הוציא עליו כתב ידו שהוא חייב לו גובה מנכסים בני חורין. ועוד דאמרינן בגמרא (קסה:) דשלחו ליה לרבי ירמיה עד אחד בכתב ועד אחד על פה אליבא דרבי יהושע בן קרחא דאמר עדותן מצטרפת אע"פ שלא ראו שניהם כאחד מהו שיצטרפו. משמע דמספקא להו אי מודה בהא רבי יהושע לת"ק ואין מצטרפין כלל ועדותן בטלה. והשיב להם דעדותן עדות ולגבות מבני חרי אבל לא להיות כמלוה בשטר. ובהא פליגי נמי אביי ואמימר ד-...</w:t>
      </w:r>
    </w:p>
  </w:footnote>
  <w:footnote w:id="4189">
    <w:p w14:paraId="606C1FE1" w14:textId="77777777" w:rsidR="0013116F" w:rsidRDefault="0013116F" w:rsidP="001D49D4">
      <w:pPr>
        <w:pStyle w:val="a9"/>
        <w:rPr>
          <w:color w:val="FF0000"/>
        </w:rPr>
      </w:pPr>
      <w:r>
        <w:rPr>
          <w:rStyle w:val="ab"/>
        </w:rPr>
        <w:footnoteRef/>
      </w:r>
      <w:r>
        <w:rPr>
          <w:rtl/>
        </w:rPr>
        <w:t xml:space="preserve"> </w:t>
      </w:r>
      <w:r>
        <w:rPr>
          <w:rFonts w:hint="cs"/>
          <w:rtl/>
        </w:rPr>
        <w:t xml:space="preserve">ואינו יכול לומר פרעתי, ר"י מיגאש. </w:t>
      </w:r>
      <w:r>
        <w:rPr>
          <w:rFonts w:hint="cs"/>
          <w:color w:val="FF0000"/>
          <w:rtl/>
        </w:rPr>
        <w:t>צל"ע, שנראה לי שכל שאר הראשונים כאן לא מסכימים לו בזה.</w:t>
      </w:r>
    </w:p>
  </w:footnote>
  <w:footnote w:id="4190">
    <w:p w14:paraId="2F0FDCF8" w14:textId="77777777" w:rsidR="0013116F" w:rsidRDefault="0013116F" w:rsidP="001D49D4">
      <w:pPr>
        <w:pStyle w:val="a9"/>
        <w:rPr>
          <w:rtl/>
        </w:rPr>
      </w:pPr>
      <w:r>
        <w:rPr>
          <w:rStyle w:val="ab"/>
        </w:rPr>
        <w:footnoteRef/>
      </w:r>
      <w:r>
        <w:rPr>
          <w:rtl/>
        </w:rPr>
        <w:t xml:space="preserve"> וכתב הב"י דהוה ליה רשב"ם יחידאה. ואע"פ שהרא"ש לא הכריע בין שני הפירושים, מ"מ כיון שכתב מה שהקשו על רשב"ם ולא תירצם משמע דלא סבירא ליה כוותיה. וגם לפי מה שכתב ואפשר דהכי פירושא דשמעתין וכו', על כרחך לא קאמר אמימר דגבי ממשעבדי אלא משום שנמסר בפני עד שבעל פה הא לאו הכי מודה דלא גבי ממשעבדי, ולפיכך פסק רבינו דלא גבי אלא מבני חרי. ומתוך דברי הרא"ש נתבאר לך שעיקר הפירוש בעד אחד בכתב ועד אחד בעל פה שאין חתום בשטר אלא עד אחד ועד אחד מעיד על פה ואינו חתום בשטר. ובמישרים נתיב ו' ח"ו (כה:) כתב שכך כתב הרשב"א (שם ד"ה אמימר) וכן עיקר. וכתב עוד פירוש אחר שעד אחד בשטר היינו שמעיד שהיה בו קנין והיה בו אחריות נכסים ועד אחד על פה כלומר כמו מלוה על פה בלא אחריות ובלא קנין. ועיין בהריב"ש סי' קצג.</w:t>
      </w:r>
    </w:p>
  </w:footnote>
  <w:footnote w:id="4191">
    <w:p w14:paraId="0E9CF4F5" w14:textId="77777777" w:rsidR="0013116F" w:rsidRDefault="0013116F" w:rsidP="001D49D4">
      <w:pPr>
        <w:pStyle w:val="a9"/>
      </w:pPr>
      <w:r>
        <w:rPr>
          <w:rStyle w:val="ab"/>
        </w:rPr>
        <w:footnoteRef/>
      </w:r>
      <w:r>
        <w:rPr>
          <w:rtl/>
        </w:rPr>
        <w:t xml:space="preserve"> וכתב הב"י דנראה שדעת הטור דבהא כו"ע מודו משום דסתם קנין לכתיבה עומד (ב"ב מ.), ולפיכך לא כתב 'אבל הרמב"ם כתב' דלישתמע דפליג, אלא כתב הדברים בשם אומרם וכולי עלמא מודו בהם. ומכל מקום בנוסחאות הרמב"ם כתוב 'שניהם מצטרפין לעשות המלוה בשטר ואינו יכול לומר פרעתי', ומשמע דהכי פירושו שניהם מצטרפין לעשות המלוה בשטר לענין שלא יוכל לומר פרעתי דוקא אבל לא לטרוף מלקוחות, דאע"ג דסתם קנין לכתיבה עומד כל שלא נכתב כלל לא גבי ממשעבדי, אבל כשנכתב לבסוף גובה למפרע מיום הקנין, וכיון שקנין זה לא נחתם מהעד השני הוה ליה כאלו לא נכתב ולא גבי ממשעבדי ולא הוי כמלוה בשטר אלא לענין שלא יוכל לומר פרעתי ובכלל זה שגובה מהיורשים, אבל הטור כתב 'נעשה מלוה בשטר גמורה', נראה דסבירא ליה דכיון דסתם קנין לכתיבה עומד קלא אית ליה וגבי ממשעבדי אע"פ שלא נחתם מהעד השני לעולם, ואולי כך היתה גירסתו בהרמב"ם, ואפילו לפי גירסא שלנו אפשר לפרש דואינו יכול לומר פרעתי דנקט לאו למימר דדוקא לענין זה הויא מלוה בשטר אלא אחד מהעניינים דמהני בהו מלוה בשטר נקט והוא הדין לאינך.</w:t>
      </w:r>
    </w:p>
  </w:footnote>
  <w:footnote w:id="4192">
    <w:p w14:paraId="366E0CD5" w14:textId="77777777" w:rsidR="0013116F" w:rsidRDefault="0013116F" w:rsidP="001D49D4">
      <w:pPr>
        <w:pStyle w:val="a9"/>
      </w:pPr>
      <w:r>
        <w:rPr>
          <w:rStyle w:val="ab"/>
        </w:rPr>
        <w:footnoteRef/>
      </w:r>
      <w:r>
        <w:rPr>
          <w:rtl/>
        </w:rPr>
        <w:t xml:space="preserve"> ואפשר דהכי פירושא דשמעתין- עד אחד בכתב ועד אחד בעל פה שמעיד על הכתב שחתום בו העד שנמסר בפניו ואפילו הכי לאביי לא מצטרפי למיגבא ממשעבדי, רא"ש. ואיפשר היה לתת טעם לדבר שכיון שבעדי חתימה או בעדי מסירה השטר כשר ה"ה נמי כי איכא חד עד דכתיבה וחד עד דמסירה, אבל הרא"ש כתב שהטעם דחשיב כאילו יש שני עדי מסירה שהעד שהוא חתום על השטר אמרינן שגם הוא בפניו נמסר עכ"ל </w:t>
      </w:r>
      <w:r>
        <w:rPr>
          <w:sz w:val="16"/>
          <w:szCs w:val="16"/>
          <w:rtl/>
        </w:rPr>
        <w:t>{פירוש, דמסתמא בפני אותו עד החתום נמסר ג"כ השטר, וכ"כ בעיר שושן [סעיף א'], אבל לא אמרינן דמסתמא הקנה לו, דהא כמה שטרות הן בלא קנין, ש"ך</w:t>
      </w:r>
      <w:r>
        <w:rPr>
          <w:sz w:val="14"/>
          <w:szCs w:val="14"/>
          <w:rtl/>
        </w:rPr>
        <w:t xml:space="preserve"> [סק"א]</w:t>
      </w:r>
      <w:r>
        <w:rPr>
          <w:sz w:val="16"/>
          <w:szCs w:val="16"/>
          <w:rtl/>
        </w:rPr>
        <w:t>}</w:t>
      </w:r>
      <w:r>
        <w:rPr>
          <w:rtl/>
        </w:rPr>
        <w:t>, ונראה מדבריו שאם העד החתום הוא בפנינו ואומר לא נמסר בפני - דלא טריף ממשעבדי, דהא ודאי נאמן הוא לומר לא נמסר בפני שאינו מכחיש עדותו בכך, ב"י.</w:t>
      </w:r>
    </w:p>
  </w:footnote>
  <w:footnote w:id="4193">
    <w:p w14:paraId="36EF1934" w14:textId="77777777" w:rsidR="0013116F" w:rsidRDefault="0013116F" w:rsidP="001D49D4">
      <w:pPr>
        <w:pStyle w:val="a9"/>
      </w:pPr>
      <w:r>
        <w:rPr>
          <w:rStyle w:val="ab"/>
        </w:rPr>
        <w:footnoteRef/>
      </w:r>
      <w:r>
        <w:rPr>
          <w:rtl/>
        </w:rPr>
        <w:t xml:space="preserve"> </w:t>
      </w:r>
      <w:r>
        <w:rPr>
          <w:rFonts w:hint="cs"/>
          <w:rtl/>
        </w:rPr>
        <w:t xml:space="preserve">וז"ל- </w:t>
      </w:r>
      <w:r>
        <w:rPr>
          <w:rtl/>
        </w:rPr>
        <w:t>שני שטרות שנעשו על הלואה אחת כל אחד אין חתום בו אלא עד אחד ונמסר בעד אחד אינו גובה בו ממשעבדי.</w:t>
      </w:r>
    </w:p>
  </w:footnote>
  <w:footnote w:id="4194">
    <w:p w14:paraId="0DA6A0DB" w14:textId="77777777" w:rsidR="0013116F" w:rsidRDefault="0013116F" w:rsidP="001D49D4">
      <w:pPr>
        <w:pStyle w:val="a9"/>
      </w:pPr>
      <w:r>
        <w:rPr>
          <w:rStyle w:val="ab"/>
        </w:rPr>
        <w:footnoteRef/>
      </w:r>
      <w:r>
        <w:rPr>
          <w:rtl/>
        </w:rPr>
        <w:t xml:space="preserve"> </w:t>
      </w:r>
      <w:r>
        <w:rPr>
          <w:u w:val="single"/>
          <w:rtl/>
        </w:rPr>
        <w:t>וכתב הב"י דיש תימה גדול בדבר דכיון ששטר שחתום עליו עד אחד ונמסר בפני אחר גבי ממשעבדי, כי איכא שני שטרות שחתומים על כל אחד עד אחד ונמסר בפני עד אחר מי גרע</w:t>
      </w:r>
      <w:r>
        <w:rPr>
          <w:rtl/>
        </w:rPr>
        <w:t>:</w:t>
      </w:r>
    </w:p>
    <w:p w14:paraId="4C75B78B" w14:textId="77777777" w:rsidR="0013116F" w:rsidRDefault="0013116F" w:rsidP="004B0475">
      <w:pPr>
        <w:pStyle w:val="a9"/>
        <w:numPr>
          <w:ilvl w:val="0"/>
          <w:numId w:val="323"/>
        </w:numPr>
        <w:rPr>
          <w:rtl/>
        </w:rPr>
      </w:pPr>
      <w:r>
        <w:rPr>
          <w:rtl/>
        </w:rPr>
        <w:t xml:space="preserve">ה"ר אהרן מטרני </w:t>
      </w:r>
      <w:r>
        <w:rPr>
          <w:sz w:val="16"/>
          <w:szCs w:val="16"/>
          <w:rtl/>
        </w:rPr>
        <w:t>(הביאו הב"י)</w:t>
      </w:r>
      <w:r>
        <w:rPr>
          <w:rtl/>
        </w:rPr>
        <w:t xml:space="preserve">- כי אמרינן דבעד אחד בכתב ועד אחד על פה דגבי ממשעבדי היינו כשהעד שבעל פה מעיד על ההלואה וכמבואר בתחלת דברי רבינו אבל כשאינו מעיד אלא על המסירה לא גבי ממשעבדי. </w:t>
      </w:r>
      <w:r>
        <w:rPr>
          <w:sz w:val="16"/>
          <w:szCs w:val="16"/>
          <w:rtl/>
        </w:rPr>
        <w:t>(וקשה לי דא"כ ליפלוג בשטר אחד ועד אחד בכתב ועד אחד בעל פה מעידין על ההלואה לכשאין העד מעיד על ההלואה אלא על המסירה, ועוד דמנא ליה לרבינו לפלוגי בהכי, ב"י)</w:t>
      </w:r>
      <w:r>
        <w:rPr>
          <w:rtl/>
        </w:rPr>
        <w:t xml:space="preserve"> </w:t>
      </w:r>
    </w:p>
    <w:p w14:paraId="5B0F1BFF" w14:textId="77777777" w:rsidR="0013116F" w:rsidRDefault="0013116F" w:rsidP="004B0475">
      <w:pPr>
        <w:pStyle w:val="a9"/>
        <w:numPr>
          <w:ilvl w:val="0"/>
          <w:numId w:val="323"/>
        </w:numPr>
        <w:rPr>
          <w:rtl/>
        </w:rPr>
      </w:pPr>
      <w:r>
        <w:rPr>
          <w:rtl/>
        </w:rPr>
        <w:t xml:space="preserve">ב"י </w:t>
      </w:r>
      <w:r>
        <w:rPr>
          <w:sz w:val="16"/>
          <w:szCs w:val="16"/>
          <w:rtl/>
        </w:rPr>
        <w:t>(תירוץ א)</w:t>
      </w:r>
      <w:r>
        <w:rPr>
          <w:rtl/>
        </w:rPr>
        <w:t xml:space="preserve">- אפשר היה לפרש דברי הרא"ש דה"ה שני שטרות שאין שום עד חתום עליהם אלא כל אחד נמסר לפני עד אחד, דסלקא דעתך אמינא דכיון ששניהם על הלואה אחת הוה ליה כשטר אחת שנמסר בפני שנים, קמ"ל דלא, שאין הלקוחות נמנעין בשביל שטר שאין עליו אלא עד אחד של מסירה. </w:t>
      </w:r>
    </w:p>
    <w:p w14:paraId="6DB1F0EE" w14:textId="77777777" w:rsidR="0013116F" w:rsidRDefault="0013116F" w:rsidP="004B0475">
      <w:pPr>
        <w:pStyle w:val="a9"/>
        <w:numPr>
          <w:ilvl w:val="0"/>
          <w:numId w:val="323"/>
        </w:numPr>
        <w:rPr>
          <w:rtl/>
        </w:rPr>
      </w:pPr>
      <w:r>
        <w:rPr>
          <w:rtl/>
        </w:rPr>
        <w:t xml:space="preserve">ב"י </w:t>
      </w:r>
      <w:r>
        <w:rPr>
          <w:sz w:val="16"/>
          <w:szCs w:val="16"/>
          <w:rtl/>
        </w:rPr>
        <w:t>(תירוץ ב)</w:t>
      </w:r>
      <w:r>
        <w:rPr>
          <w:rtl/>
        </w:rPr>
        <w:t xml:space="preserve">- הכי קאמר, כל אחד אין חתום בו אלא עד אחד ונמסר בפני אותו עד עצמו החתום בו. </w:t>
      </w:r>
    </w:p>
    <w:p w14:paraId="5E74DEDC" w14:textId="77777777" w:rsidR="0013116F" w:rsidRDefault="0013116F" w:rsidP="004B0475">
      <w:pPr>
        <w:pStyle w:val="a9"/>
        <w:numPr>
          <w:ilvl w:val="0"/>
          <w:numId w:val="323"/>
        </w:numPr>
        <w:rPr>
          <w:rtl/>
        </w:rPr>
      </w:pPr>
      <w:r>
        <w:rPr>
          <w:rtl/>
        </w:rPr>
        <w:t xml:space="preserve">ב"י </w:t>
      </w:r>
      <w:r>
        <w:rPr>
          <w:sz w:val="16"/>
          <w:szCs w:val="16"/>
          <w:rtl/>
        </w:rPr>
        <w:t>(תירוץ ג)</w:t>
      </w:r>
      <w:r>
        <w:rPr>
          <w:rtl/>
        </w:rPr>
        <w:t xml:space="preserve">- הכי קאמר, בין שאין חתום על כל שטר אלא עד אחד ומסרו בינו לבינו בין שנמסר כל שטר בפני עד אחד ואין חתומים עליהם שום עד לא מצטרפי הנך שני עדים </w:t>
      </w:r>
      <w:r>
        <w:rPr>
          <w:sz w:val="16"/>
          <w:szCs w:val="16"/>
          <w:rtl/>
        </w:rPr>
        <w:t>(וזה היה דרך נכון אילו היה כותב רבינו או נמסר בעד אחר אבל כיון שכתב ונמסר משמע דאפילו דאיכא עד אחד חתום ועד אחד שנמסר בפניו לא מצטרפי, ודוחק לומר שכתב רבינו וי"ו המדבקת במקום או המחלקת)</w:t>
      </w:r>
      <w:r>
        <w:rPr>
          <w:rtl/>
        </w:rPr>
        <w:t xml:space="preserve">. </w:t>
      </w:r>
    </w:p>
    <w:p w14:paraId="44967643" w14:textId="77777777" w:rsidR="0013116F" w:rsidRDefault="0013116F" w:rsidP="004B0475">
      <w:pPr>
        <w:pStyle w:val="a9"/>
        <w:numPr>
          <w:ilvl w:val="0"/>
          <w:numId w:val="323"/>
        </w:numPr>
        <w:rPr>
          <w:rtl/>
        </w:rPr>
      </w:pPr>
      <w:r>
        <w:rPr>
          <w:rtl/>
        </w:rPr>
        <w:t xml:space="preserve">ב"י </w:t>
      </w:r>
      <w:r>
        <w:rPr>
          <w:sz w:val="16"/>
          <w:szCs w:val="16"/>
          <w:rtl/>
        </w:rPr>
        <w:t>(תירוץ ד)</w:t>
      </w:r>
      <w:r>
        <w:rPr>
          <w:rtl/>
        </w:rPr>
        <w:t xml:space="preserve">- הכי קאמר, עד אחד חתום על כל אחד וידענו שלא נמסר בפניו אלא בפני עד אחר, דעד דחתימה שלא נמסר בפניו לא מצטרף בהדי עד דמסירה, כמו שדייקתי לעיל מדברי הרא"ש, ושני עדי המסירה או החתימה לא מצטרפי אע"פ שהכל על הלואה אחת, דכיון שאין על כל שטר אלא עד אחד לית ליה קלא. </w:t>
      </w:r>
      <w:r>
        <w:rPr>
          <w:sz w:val="16"/>
          <w:szCs w:val="16"/>
          <w:rtl/>
        </w:rPr>
        <w:t>(וכתב הדרכ"מ (אות ג) וזה התירוץ האחרון הוא הנראה בעיני והוא פשוט בדברי רבינו, דהא לעיל גבי שטר אחד לא קאמר שנמסר באחד רק שאמר בפני נמסר ור"ל שנמסר בפניו ובפני עד החתום אבל כשהיה המסירה בעד אחד ולא בפני עד החתום אין מצטרפים, ופשוט הוא שזו היא דעת רבינו ולא כתבתי אלא לפי שראיתי שב"י מסתפק בדבר וכתב בו כמה תירוצים דחוקים)</w:t>
      </w:r>
      <w:r>
        <w:rPr>
          <w:color w:val="00B0F0"/>
          <w:rtl/>
        </w:rPr>
        <w:t xml:space="preserve"> (וכ"פ הרמ"א)</w:t>
      </w:r>
    </w:p>
  </w:footnote>
  <w:footnote w:id="4195">
    <w:p w14:paraId="5B43C819" w14:textId="77777777" w:rsidR="0013116F" w:rsidRDefault="0013116F" w:rsidP="001D49D4">
      <w:pPr>
        <w:pStyle w:val="a9"/>
        <w:rPr>
          <w:rtl/>
        </w:rPr>
      </w:pPr>
      <w:r>
        <w:rPr>
          <w:rStyle w:val="ab"/>
        </w:rPr>
        <w:footnoteRef/>
      </w:r>
      <w:r>
        <w:rPr>
          <w:rtl/>
        </w:rPr>
        <w:t xml:space="preserve"> לענין שאינו יכול לטעון להד"ם לכו"ע, שכיון שמכחישין אותו להדיא לא יהא אלא כמו ששניהם הם בע"פ ומכחישין אותו שאינו נאמן. אבל אי טעין פרעתי, זה תלוי בפלוגתא שבסעיף שאחר זה, דלהסברא האחרונה שם שאם טוען פרעתי נאמן בהיסת, דעד אחד בשטר לא חשיב כמו עדות בשטר רק כעדות בעל פה, א"כ הכא נמי נהי דמצטרפין לא הוי אלא כעדות בע"פ, ויכול לטעון פרעתי, ש"ך (סק"א).</w:t>
      </w:r>
    </w:p>
  </w:footnote>
  <w:footnote w:id="4196">
    <w:p w14:paraId="5260462A" w14:textId="77777777" w:rsidR="0013116F" w:rsidRDefault="0013116F" w:rsidP="001D49D4">
      <w:pPr>
        <w:pStyle w:val="a9"/>
      </w:pPr>
      <w:r>
        <w:rPr>
          <w:rStyle w:val="ab"/>
        </w:rPr>
        <w:footnoteRef/>
      </w:r>
      <w:r>
        <w:rPr>
          <w:rtl/>
        </w:rPr>
        <w:t xml:space="preserve"> ומ"מ לא הוי שטר גמור לגבות בו ממשעבדי, כיון שאינם שוים, דעד אחד הוא בכתב ועד אחד הוא בקנין</w:t>
      </w:r>
      <w:r>
        <w:rPr>
          <w:sz w:val="16"/>
          <w:szCs w:val="16"/>
          <w:rtl/>
        </w:rPr>
        <w:t xml:space="preserve"> (וכמ"ש המחבר להדיא בספרו כס"מ [פ"ד ה"ה] וז"ל- ומדקדוק לשון הרמב"ם נראה, שכתב שניהם מצטרפים לעשות המלוה בשטר ואינו יכול לומר פרעתי, משמע דלא אמרינן שנעשית מלוה בשטר אלא לענין שלא יכול לומר פרעתי, אבל לא לטרוף מלקוחות, דאע"ג דסתם קנין לכתיבה עומד, הני מילי כשנטל קנין בפני שנים, אבל הכא שנטל קנין בפני אחד, לא, והטור כתב בסימן נ"א [סעיף א'] בשם הרמב"ם שנעשה מלוה בשטר גמור, ומה שכתבתי נראה יותר, עכ"ל כסף משנה)</w:t>
      </w:r>
      <w:r>
        <w:rPr>
          <w:rtl/>
        </w:rPr>
        <w:t xml:space="preserve">, וכן נלפע"ד עיקר לדינא, ש"ך (סק"א). אך הסמ"ע (סק"ב) כתב דפשוט דמ"ש הרמב"ם והמחבר בזה דשניהם מצטרפים לעשות המלוה בשטר, ר"ל לטרוף בו אפילו ממשעבדי </w:t>
      </w:r>
      <w:r>
        <w:rPr>
          <w:sz w:val="16"/>
          <w:szCs w:val="16"/>
          <w:rtl/>
        </w:rPr>
        <w:t>(וז"ש הטור בשם הרמב"ם "ונעשה מלוה בשטר גמור")</w:t>
      </w:r>
      <w:r>
        <w:rPr>
          <w:rtl/>
        </w:rPr>
        <w:t>, והא דהוצרך לסיים ולכתוב ואינו יכול לומר פרעתי, משום דמצינו לפעמים אף דיכול לטרוף ממשועבדים אפילו הכי יכול לומר פרעתי. עכ"ל. והש"ך (שם) דחה דבריו ע"ש. והוסיף הש"ך (שם) דאינו יכול לטעון פרעתי אף לסברא האחרונה שבסעיף שאחר זה, דכיון דאותו שבע"פ אמר אני קניתי וקי"ל [סי' לט סע' ג] סתם קנין לכתיבה עומד, א"כ הוה ליה כשניהם כתבו שטר, ואינו יכול לטעון פרעתי.</w:t>
      </w:r>
    </w:p>
  </w:footnote>
  <w:footnote w:id="4197">
    <w:p w14:paraId="5270A65A" w14:textId="77777777" w:rsidR="0013116F" w:rsidRDefault="0013116F" w:rsidP="001D49D4">
      <w:pPr>
        <w:pStyle w:val="a9"/>
        <w:rPr>
          <w:rtl/>
        </w:rPr>
      </w:pPr>
      <w:r>
        <w:rPr>
          <w:rStyle w:val="ab"/>
        </w:rPr>
        <w:footnoteRef/>
      </w:r>
      <w:r>
        <w:rPr>
          <w:rtl/>
        </w:rPr>
        <w:t xml:space="preserve"> לטעמיה אזיל שכתב לקמן בסוף הסימן דעדי מסירה כרתי, אבל באמת הרבה פוסקים חולקין, וכמ"ש לקמן סק"ט, ש"ך (סק"ב).</w:t>
      </w:r>
    </w:p>
  </w:footnote>
  <w:footnote w:id="4198">
    <w:p w14:paraId="46AAB684" w14:textId="77777777" w:rsidR="0013116F" w:rsidRDefault="0013116F" w:rsidP="001D49D4">
      <w:pPr>
        <w:pStyle w:val="a9"/>
      </w:pPr>
      <w:r>
        <w:rPr>
          <w:rStyle w:val="ab"/>
        </w:rPr>
        <w:footnoteRef/>
      </w:r>
      <w:r>
        <w:rPr>
          <w:rtl/>
        </w:rPr>
        <w:t xml:space="preserve"> פירוש, כל אחד מהן נמסר רק לפני עד אחד, הן לפני אותו עד החתום בו, הן לפני אחר ולא נמסר גם לפני זה החתום בו, אינן מצטרפים לטרוף ממשועבדים. ואפילו לגבות בהן מבני חרי מסתפק הטור בסימן מ"ה סעיף י' אי מצטרפין </w:t>
      </w:r>
      <w:r>
        <w:rPr>
          <w:sz w:val="16"/>
          <w:szCs w:val="16"/>
          <w:rtl/>
        </w:rPr>
        <w:t>(וספיקתו נראה דהוא אי הלכתא כהראב"ד שכתב הטור בשמו בסימן זה סעיף ד' דאינן מצטרפין כלל, דלא תיקנו חז"ל שיהנה עדות בשטר כי אם בשנים ולא באחד, ושכן היא דעת השאילתות [סוף שאילתא נ"ה], או אי הלכתא כהלכות גדולות [הלכות עדות] והרמב"ם [פי"ד ממלוה ה"י] החולקים עמו ע"ש)</w:t>
      </w:r>
      <w:r>
        <w:rPr>
          <w:rtl/>
        </w:rPr>
        <w:t>. ומ"ש הטור בסעיף ב' ומור"ם כאן 'אינו טורף ממשעבדי' ר"ל ממשעבדי עכ"פ אינו טורף, ומבני חורין יש להסתפק, סמ"ע (סק"ג).</w:t>
      </w:r>
    </w:p>
  </w:footnote>
  <w:footnote w:id="4199">
    <w:p w14:paraId="1E28CE68" w14:textId="77777777" w:rsidR="0013116F" w:rsidRDefault="0013116F" w:rsidP="001D49D4">
      <w:pPr>
        <w:pStyle w:val="a9"/>
      </w:pPr>
      <w:r>
        <w:rPr>
          <w:rStyle w:val="ab"/>
        </w:rPr>
        <w:footnoteRef/>
      </w:r>
      <w:r>
        <w:rPr>
          <w:rtl/>
        </w:rPr>
        <w:t xml:space="preserve"> </w:t>
      </w:r>
      <w:r>
        <w:rPr>
          <w:rFonts w:hint="cs"/>
          <w:rtl/>
        </w:rPr>
        <w:t>סימן – קיבוץ סהדי</w:t>
      </w:r>
      <w:r>
        <w:rPr>
          <w:sz w:val="14"/>
          <w:szCs w:val="14"/>
          <w:rtl/>
        </w:rPr>
        <w:t xml:space="preserve"> (הסימן הוא לדף קסה שבו עיקר ענייננו)</w:t>
      </w:r>
      <w:r>
        <w:rPr>
          <w:rtl/>
        </w:rPr>
        <w:t>.</w:t>
      </w:r>
    </w:p>
  </w:footnote>
  <w:footnote w:id="4200">
    <w:p w14:paraId="1E832734" w14:textId="77777777" w:rsidR="0013116F" w:rsidRDefault="0013116F" w:rsidP="001D49D4">
      <w:pPr>
        <w:pStyle w:val="a9"/>
      </w:pPr>
      <w:r>
        <w:rPr>
          <w:rStyle w:val="ab"/>
        </w:rPr>
        <w:footnoteRef/>
      </w:r>
      <w:r>
        <w:rPr>
          <w:rtl/>
        </w:rPr>
        <w:t xml:space="preserve"> כתב הב"י דהשאילתות מפרש דמה שכתוב בגמרא דידן 'עד אחד בכתב' פירושו  כהירושלמי, דהיינו כשהיו שנים ומצאו לקיים כתב ידו של אחד ולא מצאו לקיים כתב ידו של שני אבל-...</w:t>
      </w:r>
    </w:p>
  </w:footnote>
  <w:footnote w:id="4201">
    <w:p w14:paraId="2883AAF1" w14:textId="77777777" w:rsidR="0013116F" w:rsidRDefault="0013116F" w:rsidP="001D49D4">
      <w:pPr>
        <w:pStyle w:val="a9"/>
        <w:rPr>
          <w:rtl/>
        </w:rPr>
      </w:pPr>
      <w:r>
        <w:rPr>
          <w:rStyle w:val="ab"/>
        </w:rPr>
        <w:footnoteRef/>
      </w:r>
      <w:r>
        <w:rPr>
          <w:rtl/>
        </w:rPr>
        <w:t xml:space="preserve"> ולפיכך כתב 'יכול לכפור בו', שאל"כ לא הוה ליה למימר יכול לכפור שהרי מחוייב שבועה הוא, ב"י. וכתב הדרכ"מ (אות ב) שמשמעות המרדכי (פרק גט פשוט סי' תרמד) כהשאלתות. ועוד כתב לעיין במגיד משנה פי"ד דמלוה ולוה (ה"י) שהאריך בזה.</w:t>
      </w:r>
    </w:p>
  </w:footnote>
  <w:footnote w:id="4202">
    <w:p w14:paraId="5E41AA1A" w14:textId="77777777" w:rsidR="0013116F" w:rsidRDefault="0013116F" w:rsidP="001D49D4">
      <w:pPr>
        <w:pStyle w:val="a9"/>
      </w:pPr>
      <w:r>
        <w:rPr>
          <w:rStyle w:val="ab"/>
        </w:rPr>
        <w:footnoteRef/>
      </w:r>
      <w:r>
        <w:rPr>
          <w:rtl/>
        </w:rPr>
        <w:t xml:space="preserve"> </w:t>
      </w:r>
      <w:r>
        <w:rPr>
          <w:rFonts w:hint="cs"/>
          <w:rtl/>
        </w:rPr>
        <w:t>וז"ל-</w:t>
      </w:r>
      <w:r>
        <w:rPr>
          <w:rtl/>
        </w:rPr>
        <w:t xml:space="preserve"> קאמרי רבנן דשטרא דחתימי עליה סהדי ואשתכח חד מינייהו קרוב או פסול נהי דממונא לא מפקינן מיניה אבל שבועה משבעינן ליה אפומא דהאי עד כשר והאי דלא מיפסיל עד כשר בצירופא דעד פסול דאמר רווחא שביק למאן דקשיש מיניה ואתא פסול וחתם.</w:t>
      </w:r>
    </w:p>
  </w:footnote>
  <w:footnote w:id="4203">
    <w:p w14:paraId="18279D63" w14:textId="77777777" w:rsidR="0013116F" w:rsidRDefault="0013116F" w:rsidP="001D49D4">
      <w:pPr>
        <w:pStyle w:val="a9"/>
      </w:pPr>
      <w:r>
        <w:rPr>
          <w:rStyle w:val="ab"/>
        </w:rPr>
        <w:footnoteRef/>
      </w:r>
      <w:r>
        <w:rPr>
          <w:rtl/>
        </w:rPr>
        <w:t xml:space="preserve"> בה"ג </w:t>
      </w:r>
      <w:r>
        <w:rPr>
          <w:sz w:val="16"/>
          <w:szCs w:val="16"/>
          <w:rtl/>
        </w:rPr>
        <w:t>(סי' נא הל' עדות קיד ע"ג, וכ"כ הרא"ש בשמו)</w:t>
      </w:r>
      <w:r>
        <w:rPr>
          <w:rtl/>
        </w:rPr>
        <w:t xml:space="preserve"> ורא"ש </w:t>
      </w:r>
      <w:r>
        <w:rPr>
          <w:sz w:val="16"/>
          <w:szCs w:val="16"/>
          <w:rtl/>
        </w:rPr>
        <w:t>(פרק גט פשוט סי' ז)</w:t>
      </w:r>
      <w:r>
        <w:rPr>
          <w:rtl/>
        </w:rPr>
        <w:t>.</w:t>
      </w:r>
    </w:p>
  </w:footnote>
  <w:footnote w:id="4204">
    <w:p w14:paraId="42CD8EB2" w14:textId="77777777" w:rsidR="0013116F" w:rsidRDefault="0013116F" w:rsidP="001D49D4">
      <w:pPr>
        <w:pStyle w:val="a9"/>
        <w:rPr>
          <w:rtl/>
        </w:rPr>
      </w:pPr>
      <w:r>
        <w:rPr>
          <w:rStyle w:val="ab"/>
        </w:rPr>
        <w:footnoteRef/>
      </w:r>
      <w:r>
        <w:rPr>
          <w:rtl/>
        </w:rPr>
        <w:t xml:space="preserve"> כתב הרא"ש </w:t>
      </w:r>
      <w:r>
        <w:rPr>
          <w:sz w:val="16"/>
          <w:szCs w:val="16"/>
          <w:rtl/>
        </w:rPr>
        <w:t>(פרק גט פשוט סי' ז)</w:t>
      </w:r>
      <w:r>
        <w:rPr>
          <w:rtl/>
        </w:rPr>
        <w:t xml:space="preserve"> דה"ר יונה ז"ל (ירמיה לב יא) כתב טעם הירושלמי דלא חשוב כלום עד אחד בכתב משום דקרינא ביה מפיהם ולא מפי כתבם אבל שטר שחותמין עליו שני עדים במצות המוכר והלוה גלי ביה קרא דכשר דכתיב ואקח את ספר המקנה. וגמרא דידן פליגא על הירושלמי בסברא זו כיון דקאמר עד אחד בכתב סתם משמע שאין חתום בו אלא עד אחד דאילו איירי כשחותמין בו שנים ולא מצאו לקיים אלא עד אחד אם כן הוה ליה לפרושי כמו שביאר אותו בירושלמי </w:t>
      </w:r>
      <w:r>
        <w:rPr>
          <w:sz w:val="16"/>
          <w:szCs w:val="16"/>
          <w:rtl/>
        </w:rPr>
        <w:t>(ועיין ברא"ש שהביא עוד ראיות לדבר)</w:t>
      </w:r>
      <w:r>
        <w:rPr>
          <w:rtl/>
        </w:rPr>
        <w:t>... ומדלא משני הכי ש"מ דאמימר אכשיר אפילו אין חתום בו אלא אחד להצטרף עם עד שבעל פה, ושמעינן מינה ד-...</w:t>
      </w:r>
    </w:p>
  </w:footnote>
  <w:footnote w:id="4205">
    <w:p w14:paraId="62E81130" w14:textId="77777777" w:rsidR="0013116F" w:rsidRDefault="0013116F" w:rsidP="001D49D4">
      <w:pPr>
        <w:pStyle w:val="a9"/>
      </w:pPr>
      <w:r>
        <w:rPr>
          <w:rStyle w:val="ab"/>
        </w:rPr>
        <w:footnoteRef/>
      </w:r>
      <w:r>
        <w:rPr>
          <w:rtl/>
        </w:rPr>
        <w:t xml:space="preserve"> </w:t>
      </w:r>
      <w:r>
        <w:rPr>
          <w:rFonts w:hint="cs"/>
          <w:rtl/>
        </w:rPr>
        <w:t xml:space="preserve">וכתב הה"מ </w:t>
      </w:r>
      <w:r>
        <w:rPr>
          <w:rtl/>
        </w:rPr>
        <w:t>שכן דעת הגאונים שעד אחד בכתב זוקק לשבועה כדרך ששנים מחייבין אותו ממון, ושכן דעת הרמב"ם</w:t>
      </w:r>
      <w:r>
        <w:rPr>
          <w:sz w:val="16"/>
          <w:szCs w:val="16"/>
          <w:rtl/>
        </w:rPr>
        <w:t xml:space="preserve"> (כ"כ הה"מ בשמו)</w:t>
      </w:r>
      <w:r>
        <w:rPr>
          <w:rtl/>
        </w:rPr>
        <w:t xml:space="preserve"> והרשב"א</w:t>
      </w:r>
      <w:r>
        <w:rPr>
          <w:sz w:val="16"/>
          <w:szCs w:val="16"/>
          <w:rtl/>
        </w:rPr>
        <w:t xml:space="preserve"> (קסה. סוד"ה אמימר, ובתשו' סי' אלף צ)</w:t>
      </w:r>
      <w:r>
        <w:rPr>
          <w:rtl/>
        </w:rPr>
        <w:t xml:space="preserve">. </w:t>
      </w:r>
    </w:p>
  </w:footnote>
  <w:footnote w:id="4206">
    <w:p w14:paraId="7BE8460F" w14:textId="77777777" w:rsidR="0013116F" w:rsidRDefault="0013116F" w:rsidP="001D49D4">
      <w:pPr>
        <w:pStyle w:val="a9"/>
        <w:rPr>
          <w:color w:val="FF0000"/>
          <w:rtl/>
        </w:rPr>
      </w:pPr>
      <w:r>
        <w:rPr>
          <w:rStyle w:val="ab"/>
        </w:rPr>
        <w:footnoteRef/>
      </w:r>
      <w:r>
        <w:rPr>
          <w:rtl/>
        </w:rPr>
        <w:t xml:space="preserve"> וכ"כ הראב"ד </w:t>
      </w:r>
      <w:r>
        <w:rPr>
          <w:sz w:val="16"/>
          <w:szCs w:val="16"/>
          <w:rtl/>
        </w:rPr>
        <w:t>(בתשו', הביאו בספר התרומות [ש"ט ח"א סי' ג])</w:t>
      </w:r>
      <w:r>
        <w:rPr>
          <w:rtl/>
        </w:rPr>
        <w:t xml:space="preserve"> שאפילו אחד חתם בכתב זה ואחד חתם בכתב אחר אינו כלום שאינן מצטרפין, טור. </w:t>
      </w:r>
    </w:p>
  </w:footnote>
  <w:footnote w:id="4207">
    <w:p w14:paraId="18D4B5AC" w14:textId="77777777" w:rsidR="0013116F" w:rsidRDefault="0013116F" w:rsidP="001D49D4">
      <w:pPr>
        <w:pStyle w:val="a9"/>
        <w:rPr>
          <w:rtl/>
        </w:rPr>
      </w:pPr>
      <w:r>
        <w:rPr>
          <w:rStyle w:val="ab"/>
        </w:rPr>
        <w:footnoteRef/>
      </w:r>
      <w:r>
        <w:rPr>
          <w:rtl/>
        </w:rPr>
        <w:t xml:space="preserve"> וכתב הה"מ שדימה הרמב"ם ז"ל דין זה לנסכא דרבי אבא (ב"ב לג:) דאמר אין חטפי ודידי חטפי ונתבאר פ"ד מהלכות גזילה (הי"ד). וטעם זה כתבו בעל התרומות בשער ט'... ואף כן נראה מדברי קצת מפרשים שכל מי שבא לפטור עצמו מדברי עד אחד בטענה אחרת שאינו מכחיש בה העד - נקרא מחוייב שבועה שאינו יכול לישבע, ומשלם. ואצלי הוא דבר תימה היאך יפה כח עד אחד בשטר משני עדים על פה, שאם לוה בפני עדים, נאמן לומר פרעתי, ואיך לא יהיה נאמן בעד אחד בכתב. וא"ת שאני הכא דמצי אמר ליה שטרך בידי מאי בעי, א"כ אף בהוציא עליו כתב ידו לא יהא נאמן לומר פרעתי. אלא מאי אית לך למימר, כיון דאי מודה לא גבי אלא מבני חרי לא חשש להניחו בידו דהא אי בעי יהיב ומזבין לכולהו נכסי ולא טריף מידי, הכא נמי בעד אחד ודאי אפילו מודה לא טריף ממשעבדי ולמה לא יהא נאמן לומר פרעתי, ובהדיא מוכח בהמגרש (גיטין פו.) דלענין גט עדיף טפי כתב ידו מחתימת עד אחד בלא כתב ידו עכ"ל. וכתב הב"י- ולי נראה דאין הכי נמי דעדיף עד אחד בשטר משני עדים על פה משום דאמר ליה שטרך בידי מאי בעי, ולא דמי להוציא עליו כתב ידו, דכתב ידו כיון שאין שם עד חתום בו לא משמע לאינשי דליהוי שטרא להתחייב בו אלא שלזכרון דברים בעלמא פן ישכח אחד מהם סך המעות הוא שכותבין כן, הילכך לא חשש להניחו בידו, אבל שטר שחתום עליו עד אחד כיון שרואה שמחתימין עליו מן השוק סובר שדין שטר יש לו, ולפיכך כשפורע אינו מניחו בידו, הילכך יכול למימר ליה שטרך בידי מאי בעי, וההיא דפרק המגרש איכא למימר דשאני התם דכתיב (דברים כד א) וכתב, דמשמע שהוא עצמו יכתוב, ומשום הכי כתיבת ידו עדיף מחתימת עד אחד בלא כתב ידו.</w:t>
      </w:r>
    </w:p>
  </w:footnote>
  <w:footnote w:id="4208">
    <w:p w14:paraId="334A43A7" w14:textId="77777777" w:rsidR="0013116F" w:rsidRDefault="0013116F" w:rsidP="001D49D4">
      <w:pPr>
        <w:pStyle w:val="a9"/>
      </w:pPr>
      <w:r>
        <w:rPr>
          <w:rStyle w:val="ab"/>
        </w:rPr>
        <w:footnoteRef/>
      </w:r>
      <w:r>
        <w:rPr>
          <w:rtl/>
        </w:rPr>
        <w:t xml:space="preserve"> פירוש, דקי"ל [שבועות מ.] בכל מקום ששני עדים מחייבין אותו ממון - עד אחד מחייבו שבועה, ובשבועה שנאמן נגדו היינו דוקא שצריך להכחיש העד בעדותו, ובעדות זה שמעיד העד שלוה ממנו אינו נפטר אם לא שנשבע שלא לוה [וכדמסיק המחבר אחר זה], וזה אינו יכול לישבע שהרי מודה שלוה אלא שאומר שפרע. ואע"פ דקי"ל [סי' ע סע' א] דאפילו לוה בשני עדים א"צ לפרעו בעדים ונאמן לומר פרעתי, היינו דוקא כשאין כאן שטר כלל על הלוה, משא"כ בזה שיש שטר על הלוה, ואף שאין בו אלא עד אחד, ובכתיבת יד מהימן לומר פרעתי [בסי' סט סע' ב], מ"מ ס"ל להרמב"ם [פי"ד ממלוה ה"י] כיון שנכתב בלשון שטר וגם חתם עליו אחד מן השוק, לא היה מניחו בידו אם איתא דפרעו, והחולקים עליו ס"ל דדינו ככתיבת יד, סמ"ע (סק"ד).</w:t>
      </w:r>
    </w:p>
  </w:footnote>
  <w:footnote w:id="4209">
    <w:p w14:paraId="4312320A" w14:textId="77777777" w:rsidR="0013116F" w:rsidRDefault="0013116F" w:rsidP="001D49D4">
      <w:pPr>
        <w:pStyle w:val="a9"/>
      </w:pPr>
      <w:r>
        <w:rPr>
          <w:rStyle w:val="ab"/>
        </w:rPr>
        <w:footnoteRef/>
      </w:r>
      <w:r>
        <w:rPr>
          <w:rtl/>
        </w:rPr>
        <w:t xml:space="preserve"> איירי אפילו יש בו נאמנות בשטר, דאל"כ פשיטא דצריך לישבע אפילו היו חתומים עליו ב' עדים כמ"ש בר"ס פב, סמ"ע (סק"ה).</w:t>
      </w:r>
    </w:p>
  </w:footnote>
  <w:footnote w:id="4210">
    <w:p w14:paraId="2C167157" w14:textId="77777777" w:rsidR="0013116F" w:rsidRDefault="0013116F" w:rsidP="001D49D4">
      <w:pPr>
        <w:pStyle w:val="a9"/>
        <w:rPr>
          <w:rtl/>
        </w:rPr>
      </w:pPr>
      <w:r>
        <w:rPr>
          <w:rStyle w:val="ab"/>
        </w:rPr>
        <w:footnoteRef/>
      </w:r>
      <w:r>
        <w:rPr>
          <w:rtl/>
        </w:rPr>
        <w:t xml:space="preserve"> הוא דברי המ"מ שתמה על הרמב"ם, גר"א (סוף אות ח בליקוט).</w:t>
      </w:r>
    </w:p>
  </w:footnote>
  <w:footnote w:id="4211">
    <w:p w14:paraId="7406E9EC" w14:textId="77777777" w:rsidR="0013116F" w:rsidRDefault="0013116F" w:rsidP="001D49D4">
      <w:pPr>
        <w:pStyle w:val="a9"/>
        <w:rPr>
          <w:rtl/>
        </w:rPr>
      </w:pPr>
      <w:r>
        <w:rPr>
          <w:rStyle w:val="ab"/>
        </w:rPr>
        <w:footnoteRef/>
      </w:r>
      <w:r>
        <w:rPr>
          <w:rtl/>
        </w:rPr>
        <w:t xml:space="preserve"> פירוש בשבועת היסת, כן משמע בפוסקים, וכן הוא בתשו' הרשב"א (ח"ג סי' מב) שהביא ב"י ס"ס ס"א (מחודש כ' סוף ד"ה וכתב עוד) בהדיא, והטעם איתא ברשב"א שם, דכיון שאינו אלא בעד אחד לא חשש להניחו בידו, ולא שייך לומר שטרך בידי מאי בעי כשאר שטר, וכן הוא בהה"מ (פי"ד ממלוה ה"י) ומביאו ב"י (סי' זה סע' ד), וכן נראה דעת הטור (סע' ה) והריב"ש (סי' שצב ד"ה ומה שכתבת). וכן מוכח ברשב"ם פרק גט פשוט (ב"ב קסה. ד"ה אמר אביי) ובהג"א שם (פ"י סי' ז) בשם או"ז ע"ש, וכן נראה דעת שאר פוסקים, וכן פסק הב"ח (סע' ה), ועיקר, ש"ך (סק"ג).</w:t>
      </w:r>
    </w:p>
  </w:footnote>
  <w:footnote w:id="4212">
    <w:p w14:paraId="48490256" w14:textId="77777777" w:rsidR="0013116F" w:rsidRDefault="0013116F" w:rsidP="001D49D4">
      <w:pPr>
        <w:pStyle w:val="a9"/>
        <w:rPr>
          <w:rtl/>
        </w:rPr>
      </w:pPr>
      <w:r>
        <w:rPr>
          <w:rStyle w:val="ab"/>
        </w:rPr>
        <w:footnoteRef/>
      </w:r>
      <w:r>
        <w:rPr>
          <w:rtl/>
        </w:rPr>
        <w:t xml:space="preserve"> </w:t>
      </w:r>
      <w:r>
        <w:rPr>
          <w:rFonts w:hint="cs"/>
          <w:rtl/>
        </w:rPr>
        <w:t>סימן – כבולים חתומים. וכן – כת חתנים.</w:t>
      </w:r>
    </w:p>
  </w:footnote>
  <w:footnote w:id="4213">
    <w:p w14:paraId="33EB83F8" w14:textId="77777777" w:rsidR="0013116F" w:rsidRDefault="0013116F" w:rsidP="001D49D4">
      <w:pPr>
        <w:pStyle w:val="a9"/>
      </w:pPr>
      <w:r>
        <w:rPr>
          <w:rStyle w:val="ab"/>
        </w:rPr>
        <w:footnoteRef/>
      </w:r>
      <w:r>
        <w:rPr>
          <w:rtl/>
        </w:rPr>
        <w:t xml:space="preserve"> קסלקא דעתך כר' יוסי דמתניתין דלא פסול אלא קרוב הראוי לירש, וגיסו אינו ראוי ליורשו, רש"י.</w:t>
      </w:r>
    </w:p>
  </w:footnote>
  <w:footnote w:id="4214">
    <w:p w14:paraId="6D329C0E" w14:textId="77777777" w:rsidR="0013116F" w:rsidRDefault="0013116F" w:rsidP="001D49D4">
      <w:pPr>
        <w:pStyle w:val="a9"/>
        <w:rPr>
          <w:rtl/>
        </w:rPr>
      </w:pPr>
      <w:r>
        <w:rPr>
          <w:rStyle w:val="ab"/>
        </w:rPr>
        <w:footnoteRef/>
      </w:r>
      <w:r>
        <w:rPr>
          <w:rtl/>
        </w:rPr>
        <w:t xml:space="preserve"> דקתני גיסו לבדו, רש"י.</w:t>
      </w:r>
    </w:p>
  </w:footnote>
  <w:footnote w:id="4215">
    <w:p w14:paraId="4999B28E" w14:textId="77777777" w:rsidR="0013116F" w:rsidRDefault="0013116F" w:rsidP="001D49D4">
      <w:pPr>
        <w:pStyle w:val="a9"/>
        <w:rPr>
          <w:rtl/>
        </w:rPr>
      </w:pPr>
      <w:r>
        <w:rPr>
          <w:rStyle w:val="ab"/>
        </w:rPr>
        <w:footnoteRef/>
      </w:r>
      <w:r>
        <w:rPr>
          <w:rtl/>
        </w:rPr>
        <w:t xml:space="preserve"> דהא בהדיא פריש שמואל לפסולא דגיסו, כגון אנא ופנחס שהיה אחיו וגיסו, מכלל דגיסו דעלמא כשרין, רש"י.</w:t>
      </w:r>
    </w:p>
  </w:footnote>
  <w:footnote w:id="4216">
    <w:p w14:paraId="2863D9F6" w14:textId="77777777" w:rsidR="0013116F" w:rsidRDefault="0013116F" w:rsidP="001D49D4">
      <w:pPr>
        <w:pStyle w:val="a9"/>
        <w:rPr>
          <w:rtl/>
        </w:rPr>
      </w:pPr>
      <w:r>
        <w:rPr>
          <w:rStyle w:val="ab"/>
        </w:rPr>
        <w:footnoteRef/>
      </w:r>
      <w:r>
        <w:rPr>
          <w:rtl/>
        </w:rPr>
        <w:t xml:space="preserve"> ושמואל פירושא דגיסו אתא לאשמעינן, רש"י.</w:t>
      </w:r>
    </w:p>
  </w:footnote>
  <w:footnote w:id="4217">
    <w:p w14:paraId="19AD8D2F" w14:textId="77777777" w:rsidR="0013116F" w:rsidRDefault="0013116F" w:rsidP="001D49D4">
      <w:pPr>
        <w:pStyle w:val="a9"/>
        <w:rPr>
          <w:rtl/>
        </w:rPr>
      </w:pPr>
      <w:r>
        <w:rPr>
          <w:rStyle w:val="ab"/>
        </w:rPr>
        <w:footnoteRef/>
      </w:r>
      <w:r>
        <w:rPr>
          <w:rtl/>
        </w:rPr>
        <w:t xml:space="preserve"> למקבל מתנה, רש"י.</w:t>
      </w:r>
    </w:p>
  </w:footnote>
  <w:footnote w:id="4218">
    <w:p w14:paraId="320DFD3F" w14:textId="77777777" w:rsidR="0013116F" w:rsidRDefault="0013116F" w:rsidP="001D49D4">
      <w:pPr>
        <w:pStyle w:val="a9"/>
        <w:rPr>
          <w:rtl/>
        </w:rPr>
      </w:pPr>
      <w:r>
        <w:rPr>
          <w:rStyle w:val="ab"/>
        </w:rPr>
        <w:footnoteRef/>
      </w:r>
      <w:r>
        <w:rPr>
          <w:rtl/>
        </w:rPr>
        <w:t xml:space="preserve"> אם יש לך עדים אחרים שמסר לך שטר זה בפניהם, הביאם ויעידו ותהיה שלך, דסבר כר' אלעזר דאמרינן במסכת גיטין (ג, ב): אפילו לא חתמו בו עדים אלא שנתנו לה בפני עדים - כשר וגובה מנכסים משועבדים, שאין העדים חותמים על הגט אלא מפני תקון העולם, רש"י.</w:t>
      </w:r>
    </w:p>
  </w:footnote>
  <w:footnote w:id="4219">
    <w:p w14:paraId="5DB92410" w14:textId="77777777" w:rsidR="0013116F" w:rsidRDefault="0013116F" w:rsidP="001D49D4">
      <w:pPr>
        <w:pStyle w:val="a9"/>
        <w:rPr>
          <w:rtl/>
        </w:rPr>
      </w:pPr>
      <w:r>
        <w:rPr>
          <w:rStyle w:val="ab"/>
        </w:rPr>
        <w:footnoteRef/>
      </w:r>
      <w:r>
        <w:rPr>
          <w:rtl/>
        </w:rPr>
        <w:t xml:space="preserve"> חתמו בו עדים פסולים שהוא פסול, דבמאי קני ליה בהאי שטרא האי שטרא חספא בעלמא הוא, רש"י.</w:t>
      </w:r>
    </w:p>
  </w:footnote>
  <w:footnote w:id="4220">
    <w:p w14:paraId="22A97346" w14:textId="77777777" w:rsidR="0013116F" w:rsidRDefault="0013116F" w:rsidP="001D49D4">
      <w:pPr>
        <w:pStyle w:val="a9"/>
        <w:rPr>
          <w:rtl/>
        </w:rPr>
      </w:pPr>
      <w:r>
        <w:rPr>
          <w:rStyle w:val="ab"/>
        </w:rPr>
        <w:footnoteRef/>
      </w:r>
      <w:r>
        <w:rPr>
          <w:rtl/>
        </w:rPr>
        <w:t xml:space="preserve"> רב יוסף למקבל מתנה.</w:t>
      </w:r>
    </w:p>
  </w:footnote>
  <w:footnote w:id="4221">
    <w:p w14:paraId="59B808C3" w14:textId="77777777" w:rsidR="0013116F" w:rsidRDefault="0013116F" w:rsidP="001D49D4">
      <w:pPr>
        <w:pStyle w:val="a9"/>
        <w:rPr>
          <w:rtl/>
        </w:rPr>
      </w:pPr>
      <w:r>
        <w:rPr>
          <w:rStyle w:val="ab"/>
        </w:rPr>
        <w:footnoteRef/>
      </w:r>
      <w:r>
        <w:rPr>
          <w:rtl/>
        </w:rPr>
        <w:t xml:space="preserve"> תלמידי אינו נותן שאתן לך את הזכות לקבל את המתנה.</w:t>
      </w:r>
    </w:p>
  </w:footnote>
  <w:footnote w:id="4222">
    <w:p w14:paraId="043513DC" w14:textId="77777777" w:rsidR="0013116F" w:rsidRDefault="0013116F" w:rsidP="001D49D4">
      <w:pPr>
        <w:pStyle w:val="a9"/>
      </w:pPr>
      <w:r>
        <w:rPr>
          <w:rStyle w:val="ab"/>
        </w:rPr>
        <w:footnoteRef/>
      </w:r>
      <w:r>
        <w:rPr>
          <w:rtl/>
        </w:rPr>
        <w:t xml:space="preserve"> </w:t>
      </w:r>
      <w:r>
        <w:rPr>
          <w:rFonts w:hint="cs"/>
          <w:rtl/>
        </w:rPr>
        <w:t>לפני דברי בה"ג הללו הביא הטור את דברי הרמב"ם שהובאו בסעיף הקודם, ולאחר דברי הרמב"ם כתב הטור וז"ל-</w:t>
      </w:r>
      <w:r>
        <w:rPr>
          <w:rtl/>
        </w:rPr>
        <w:t xml:space="preserve"> וכן כתב בה"ג שטרא דחתים וכו' ואתא פסול וחתים. עכ"ל. וכתב הב"י</w:t>
      </w:r>
      <w:r>
        <w:rPr>
          <w:sz w:val="16"/>
          <w:szCs w:val="16"/>
          <w:rtl/>
        </w:rPr>
        <w:t xml:space="preserve"> (בבדה"ב) </w:t>
      </w:r>
      <w:r>
        <w:rPr>
          <w:rtl/>
        </w:rPr>
        <w:t xml:space="preserve">דאיכא למידק, שהרי הרמב"ם כתב בפי"ד מהל' עדות </w:t>
      </w:r>
      <w:r>
        <w:rPr>
          <w:sz w:val="16"/>
          <w:szCs w:val="16"/>
          <w:rtl/>
        </w:rPr>
        <w:t xml:space="preserve">(ה"ו) </w:t>
      </w:r>
      <w:r>
        <w:rPr>
          <w:rtl/>
        </w:rPr>
        <w:t>שטר שיש בו שני עדים ואחד מהם פסול הרי הוא כחרס. ומפשט דבריו משמע דאפילו על הכשר אין לסמוך בעד אחד אם לא שיבא ויעיד בפיו, וזה היפך בה"ג. ויש לומר שלענין שעד אחד בשטר מהני שוים הם, ולאפוקי משאלתות והראב"ד, ולענין זה שייך לומר 'וכ"כ בה"ג' אע"פ שיהיה חילוף ביניהם בענין אי מיפסל בצירוף הפסול. ועוד יש לומר שמש"כ הרמב"ם הרי הוא כחרס הוא לענין שאינו חשוב שטר לגבות בו מבני חרי אע"פ שיש שם עדי מסירה אבל להשביעו כדין שטר שיש בו עד אחד אה"נ שמשביעין אותו, וזה נראה דעת הרמב"ם דאמרינן רווחא שבק למאן דקשיש מיניה כמ"ש בפ"ה מהל' עדות ואכתוב לשונו בסמוך.</w:t>
      </w:r>
    </w:p>
  </w:footnote>
  <w:footnote w:id="4223">
    <w:p w14:paraId="03478B6F" w14:textId="77777777" w:rsidR="0013116F" w:rsidRDefault="0013116F" w:rsidP="001D49D4">
      <w:pPr>
        <w:pStyle w:val="a9"/>
      </w:pPr>
      <w:r>
        <w:rPr>
          <w:rStyle w:val="ab"/>
        </w:rPr>
        <w:footnoteRef/>
      </w:r>
      <w:r>
        <w:rPr>
          <w:rtl/>
        </w:rPr>
        <w:t xml:space="preserve"> מש"כ הרמב"ם הרי הוא כחרס הוא לענין שאינו חשוב שטר לגבות בו מבני חרי אע"פ שיש שם עדי מסירה אבל להשביעו כדין שטר שיש בו עד אחד אה"נ שמשביעין אותו, ב"י (בבדה"ב).</w:t>
      </w:r>
    </w:p>
  </w:footnote>
  <w:footnote w:id="4224">
    <w:p w14:paraId="6ABCD0C0" w14:textId="77777777" w:rsidR="0013116F" w:rsidRDefault="0013116F" w:rsidP="001D49D4">
      <w:pPr>
        <w:pStyle w:val="a9"/>
      </w:pPr>
      <w:r>
        <w:rPr>
          <w:rStyle w:val="ab"/>
        </w:rPr>
        <w:footnoteRef/>
      </w:r>
      <w:r>
        <w:rPr>
          <w:rtl/>
        </w:rPr>
        <w:t xml:space="preserve"> לאחר שהביא הב"י את דברי הרמב"ם דלעיל כתב שדקדק הרמב"ם לכתוב 'שטר שיש בו שני עדים בלבד' לומר שאם היו חתומים בו יותר משנים מן הסתם יש להחזיק שטר זה דכשר וכמו שכתב בפ"ה מהלכות הנזכר (הל' ו - ז) וז"ל-...</w:t>
      </w:r>
    </w:p>
  </w:footnote>
  <w:footnote w:id="4225">
    <w:p w14:paraId="68A15521" w14:textId="77777777" w:rsidR="0013116F" w:rsidRDefault="0013116F" w:rsidP="001D49D4">
      <w:pPr>
        <w:pStyle w:val="a9"/>
        <w:rPr>
          <w:rtl/>
        </w:rPr>
      </w:pPr>
      <w:r>
        <w:rPr>
          <w:rStyle w:val="ab"/>
        </w:rPr>
        <w:footnoteRef/>
      </w:r>
      <w:r>
        <w:rPr>
          <w:rtl/>
        </w:rPr>
        <w:t xml:space="preserve"> וכל זה כתב רי"ו בנ"ב ח"ב (יא ע"ד). ובפ"ק דמכות כתב נמוק"י (ב: ד"ה ובתשובה) שהרמב"ן (ד"ה הא דתנן) הביא ראיה לתשובה זו מהתוספתא (פ"א ה"ו) ואע"פ שמדברי הרי"ף עצמו בפ"ק דמכות (ב:) משמע שאם נודע שישבו שלשתן להעיד שפסול י"ל דהתם בשאנו יודעים שרגילין עמו ומכירין אותו כנ"ל, ב"י.</w:t>
      </w:r>
    </w:p>
  </w:footnote>
  <w:footnote w:id="4226">
    <w:p w14:paraId="104BBBBE" w14:textId="77777777" w:rsidR="0013116F" w:rsidRDefault="0013116F" w:rsidP="001D49D4">
      <w:pPr>
        <w:pStyle w:val="a9"/>
        <w:rPr>
          <w:rtl/>
        </w:rPr>
      </w:pPr>
      <w:r>
        <w:rPr>
          <w:rStyle w:val="ab"/>
        </w:rPr>
        <w:footnoteRef/>
      </w:r>
      <w:r>
        <w:rPr>
          <w:rtl/>
        </w:rPr>
        <w:t xml:space="preserve"> </w:t>
      </w:r>
      <w:r>
        <w:rPr>
          <w:rFonts w:hint="cs"/>
          <w:rtl/>
        </w:rPr>
        <w:t>וכתב ה</w:t>
      </w:r>
      <w:r>
        <w:rPr>
          <w:rtl/>
        </w:rPr>
        <w:t xml:space="preserve">ריב"ש </w:t>
      </w:r>
      <w:r>
        <w:rPr>
          <w:sz w:val="16"/>
          <w:szCs w:val="16"/>
          <w:rtl/>
        </w:rPr>
        <w:t>(סי' תטו ד"ה ותחלה)</w:t>
      </w:r>
      <w:r>
        <w:rPr>
          <w:rtl/>
        </w:rPr>
        <w:t xml:space="preserve"> שבעל המתיבות מדבר על מציאות כמו שכתב הרי"ף שלא נודע שישבו לחתום ביחד </w:t>
      </w:r>
      <w:r>
        <w:rPr>
          <w:sz w:val="16"/>
          <w:szCs w:val="16"/>
          <w:rtl/>
        </w:rPr>
        <w:t>{או שאינו רגיל עמו, ונמצא לפי דבריו שדברי הרי"ף והמתיבות שוים}</w:t>
      </w:r>
      <w:r>
        <w:rPr>
          <w:rtl/>
        </w:rPr>
        <w:t>. ועוד כתב הריב"ש (שם) שמדבריהם אתה למד דכל היכא דאיכא למימר רוחא שבק או שחתם מעצמו לבסוף - תלינן.</w:t>
      </w:r>
    </w:p>
  </w:footnote>
  <w:footnote w:id="4227">
    <w:p w14:paraId="446E18F4" w14:textId="77777777" w:rsidR="0013116F" w:rsidRDefault="0013116F" w:rsidP="001D49D4">
      <w:pPr>
        <w:pStyle w:val="a9"/>
        <w:rPr>
          <w:rtl/>
        </w:rPr>
      </w:pPr>
      <w:r>
        <w:rPr>
          <w:rStyle w:val="ab"/>
        </w:rPr>
        <w:footnoteRef/>
      </w:r>
      <w:r>
        <w:rPr>
          <w:rtl/>
        </w:rPr>
        <w:t xml:space="preserve"> </w:t>
      </w:r>
      <w:r>
        <w:rPr>
          <w:rFonts w:hint="cs"/>
          <w:rtl/>
        </w:rPr>
        <w:t xml:space="preserve">כך העתיק הריב"ש </w:t>
      </w:r>
      <w:r>
        <w:rPr>
          <w:sz w:val="16"/>
          <w:szCs w:val="16"/>
          <w:rtl/>
        </w:rPr>
        <w:t xml:space="preserve">(סי' תטו) </w:t>
      </w:r>
      <w:r>
        <w:rPr>
          <w:rtl/>
        </w:rPr>
        <w:t>את דברי המתיבות, שלאחר שבעל המתיבות אמר דעתו (דלעיל) כתב - 'וגאון כתב', אך הב"י העתיק אחרת ולאחר שבעל המתיבות אמר את דעתו כתוב - 'ומסתברא'.</w:t>
      </w:r>
    </w:p>
  </w:footnote>
  <w:footnote w:id="4228">
    <w:p w14:paraId="4EC01391" w14:textId="77777777" w:rsidR="0013116F" w:rsidRDefault="0013116F" w:rsidP="001D49D4">
      <w:pPr>
        <w:pStyle w:val="a9"/>
        <w:rPr>
          <w:rtl/>
        </w:rPr>
      </w:pPr>
      <w:r>
        <w:rPr>
          <w:rStyle w:val="ab"/>
        </w:rPr>
        <w:footnoteRef/>
      </w:r>
      <w:r>
        <w:rPr>
          <w:rtl/>
        </w:rPr>
        <w:t xml:space="preserve"> וכתב הריב"ש </w:t>
      </w:r>
      <w:r>
        <w:rPr>
          <w:sz w:val="16"/>
          <w:szCs w:val="16"/>
          <w:rtl/>
        </w:rPr>
        <w:t>(סי' תטו)</w:t>
      </w:r>
      <w:r>
        <w:rPr>
          <w:rtl/>
        </w:rPr>
        <w:t xml:space="preserve"> שטעמו הוא משום דכיון שלא חתמו בשטר כי אם שנים אחד כשר ואחד פסול כשנסתלק הפסול הוה ליה הכשר עד אחד בשטר ולאו כלום הוא ואפילו לשבועה. וכתב עוד הריב"ש דכבר הכריעו הרמב"ן והרשב"א ז"ל דעד אחד בשטר קם הוא לשבועה כמ"ש בה"ג משום רבנן קמאי כמ"ש זה בחדושיהם פ' גט פשוט. עכ"ל. ושלח הב"י לעי' בתשו' הריב"ש בסי' תי"ג ותי"ד ותט"ו.</w:t>
      </w:r>
    </w:p>
  </w:footnote>
  <w:footnote w:id="4229">
    <w:p w14:paraId="39BB9418" w14:textId="77777777" w:rsidR="0013116F" w:rsidRDefault="0013116F" w:rsidP="001D49D4">
      <w:pPr>
        <w:pStyle w:val="a9"/>
        <w:rPr>
          <w:rtl/>
        </w:rPr>
      </w:pPr>
      <w:r>
        <w:rPr>
          <w:rStyle w:val="ab"/>
        </w:rPr>
        <w:footnoteRef/>
      </w:r>
      <w:r>
        <w:rPr>
          <w:rtl/>
        </w:rPr>
        <w:t xml:space="preserve"> וכתב הש"ך </w:t>
      </w:r>
      <w:r>
        <w:rPr>
          <w:sz w:val="16"/>
          <w:szCs w:val="16"/>
          <w:rtl/>
        </w:rPr>
        <w:t xml:space="preserve">(סק"ד) </w:t>
      </w:r>
      <w:r>
        <w:rPr>
          <w:rtl/>
        </w:rPr>
        <w:t xml:space="preserve">דנראה מדברי המחבר, דלהרמב"ם </w:t>
      </w:r>
      <w:r>
        <w:rPr>
          <w:sz w:val="16"/>
          <w:szCs w:val="16"/>
          <w:rtl/>
        </w:rPr>
        <w:t xml:space="preserve">(פי"ד מעדות ה"ו) </w:t>
      </w:r>
      <w:r>
        <w:rPr>
          <w:rtl/>
        </w:rPr>
        <w:t xml:space="preserve">שהוא בעל סברא הראשונה לא הוי כשטר בעד אחד, ואזיל לטעמיה שכתב בב"י סעיף ה' דדוקא בשטר שעדיו מרובים כתב הרמב"ם </w:t>
      </w:r>
      <w:r>
        <w:rPr>
          <w:sz w:val="16"/>
          <w:szCs w:val="16"/>
          <w:rtl/>
        </w:rPr>
        <w:t>(פ"ה מעדות ה"ו, והעתיק המחבר לשונו בסעיף שאח"ז)</w:t>
      </w:r>
      <w:r>
        <w:rPr>
          <w:rtl/>
        </w:rPr>
        <w:t xml:space="preserve"> שאפשר שחתמו הכשרים והניחו מקום לגדול, משא"כ בשטר בשני עדים לבד, ולכך כתב כאן הרמב"ם הרי הוא כחרס. ולפע"ד לא מסתבר כלל לחלק בכך, וכך לי שנים לענין ממון כמו אחד לענין שבועה, ומ"ש הרמב"ם כאן הרי הוא כחרס, לא בא אלא לומר שעדי מסירה אינן מועילין בשטר כזה שמזויף מתוכו, ונמצא שהשטר הוא כחרס, אבל אין הכי נמי דהוי כשטר בעד אחד לענין שבועה, ואיכא למימר ביה נמי רווחא שבק </w:t>
      </w:r>
      <w:r>
        <w:rPr>
          <w:sz w:val="16"/>
          <w:szCs w:val="16"/>
          <w:rtl/>
        </w:rPr>
        <w:t>(וכמ"ש הבה"ג [הל' עדות]. וכן מדוקדק למעיין בהרי"ף פ"ק דמכות [ב" מדפה"ר], שנראה לעין שמשם הוציא הרמב"ם דבריו אלו שהשטר הוא כחרס, דמתחילה כתב הרי"ף דהיכא דאיכא בשטר תלתא סהדי וחד מינייהו פסול תתקיים העדות בשאר, ולא פסלינן לשטרא מספק אם אין עדות ברורה שישבו כולם לחתום, דאיכא למימר רווחא שבק למאן דקשיש מיניה, ובתר הכי כתב [שם ג.], והיכא דליכא בשטרא אלא תרי וחד מינייהו פסול, אי נמי תרי קרובים להדדי, אפילו מסריה ניהליה באפי סהדי אחריני דכשירי לא מהני מידי דהו"ל מזויף מתוכו כו', כדגרסינן בפרק אחד דיני ממונות [סנהדרין כח:] בענין ההיא מתנתא כו', עכ"ל. משמע דבא לומר דאמרינן בכל גוונא רווחא שבק, והלכך בשטר שיש בו ג' עדים וחד מינייהו פסול יתקיים השטר בשני עדים הנשארים. והיכא דליכא בשטרא אלא תרי, נהי דנימא ביה רווחא שבק, הא ליכא אלא חד, ולא מהני שטרא מידי לאפוקי ממונא, וה"ה לענין מתנה שנקנה בשטר לא זכה המקבל מתנה, אבל אה"נ דמועיל השטר לענין עד אחד דקם לשבועה. נמצא דינו של בה"ג אין חולק עליו. וכן מוכח בנ"י פ"ק דמכות [ב:] שהביא דברי הרי"ף, ע"ש שדברי בה"ג הלכה הם, והרי"ף מודה ליה, ע"ש, [והכי משמע בש"ס פ"ק דגיטין י: דבשטר בב' עדים נמי אמרינן רווחא שבק וע"ש]... א"כ גם דברי הרמב"ם שכתב כאן הרי הוא כחרס, יש לפרש כן, דהיינו לענין שאינו כשטר בשני עדים אבל הוי כעד אחד לענין שבועה. א"נ דמ"ש הרי הוא כחרס, מיירי שידוע שחתמו יחד, אבל אה"נ דדין שטר בשני עדים כשטר שעדיו מרובים, לכך לא כתב הרמב"ם ב' דינים אלו סמוכים זה לזה, רק האי דינא והרי הוא כחרס, בפי"ד מהל' עדות [ה"ו], והאי דינא דיתקיים העדות בשאר, כתב בפ"ה מהל' עדות [ה"ו], משום דבפרק ה' לא מיירי אלא מדיני עדות שבטלה מקצתה בטלה כולה, ובפרק י"ד מיירי מדיני פסול קורבה, וע"ש. וכן הוא להדיא בריב"ש סי' תט"ו וז"ל- כי מה שכתב הרב האלפסי, הוא בשטר שידענו שחתמו יחד כו', וגם מיירי בשטר מתנה שעושה קנין כו', אבל היכא שלא נודע זה ואיכא למימר רווחא שבק, אף רב אלפס יודה וכו', כמו שהכריעו הרמב"ן והרשב"א ז"ל דעד אחד בשטר קם לשבועה, כמ"ש בה"ג משם רבנן קמאי, עכ"ל. וע"ש. ודברי הרמב"ן הם בחידושיו פרק גט פשוט [ב"ב קסה:] ע"ש. וא"כ מ"ש המחבר כאן דעת בה"ג בלשון וי"א, לומר שהרמב"ם שהוא בעל סברא ראשונה חולק עליו, ליתא, אלא כולי עלמא מודו לבה"ג, ודינו אמת וברור)</w:t>
      </w:r>
      <w:r>
        <w:rPr>
          <w:rtl/>
        </w:rPr>
        <w:t xml:space="preserve">. שוב ראיתי בבדק הבית להמחבר </w:t>
      </w:r>
      <w:r>
        <w:rPr>
          <w:sz w:val="16"/>
          <w:szCs w:val="16"/>
          <w:rtl/>
        </w:rPr>
        <w:t>[בב"י סע' ה]</w:t>
      </w:r>
      <w:r>
        <w:rPr>
          <w:rtl/>
        </w:rPr>
        <w:t xml:space="preserve"> כתב הוא עצמו במסקנתו כדברי, וז"ל- ועוד י"ל שמ"ש הרמב"ם הרי הוא כחרס, הוא לענין שאינו חשוב שטר לגבות בו מבני חרי אעפ"י שיש שם עדי מסירה, אבל להשביעו כדין שטר שיש בו עד אחד, אה"נ שמשביעין אותו, וזה נראה דעת הרמב"ם דאמרינן רווחא שבק למאן דקשיש מיניה כמו שכתב בפ"ה מהל' עדות [ה"ו], עכ"ל. הרי שחזר המחבר בספרו בדה"ב ממ"ש בב"י. ועפ"ז נ"ל לפרש מ"ש כאן בשו"ע וי"א, לאו לאפלוגי אתא, אלא לפי שהסברא ראשונה לא הזכיר מזה כלום, כתב דינו של בה"ג בלשון וי"א. ודלא כהעיר שושן [סע' ג] והסמ"ע סק"ו שהבינו דלסברא הראשונה א"צ אפילו שבועה נגד הכשר, דלא אמרינן רווחא שבק בשטר שאין בו רק ב' עדים, דליתא, אלא כדפירשתי, וכן עיקר.</w:t>
      </w:r>
    </w:p>
  </w:footnote>
  <w:footnote w:id="4230">
    <w:p w14:paraId="6C2D1E34" w14:textId="77777777" w:rsidR="0013116F" w:rsidRDefault="0013116F" w:rsidP="001D49D4">
      <w:pPr>
        <w:pStyle w:val="a9"/>
      </w:pPr>
      <w:r>
        <w:rPr>
          <w:rStyle w:val="ab"/>
        </w:rPr>
        <w:footnoteRef/>
      </w:r>
      <w:r>
        <w:rPr>
          <w:rtl/>
        </w:rPr>
        <w:t xml:space="preserve"> פירוש, ותליא בפלוגתא שכתב המחבר בסעיף שלפני זה, סמ"ע (סק"ז).</w:t>
      </w:r>
    </w:p>
  </w:footnote>
  <w:footnote w:id="4231">
    <w:p w14:paraId="19ECA7A8" w14:textId="77777777" w:rsidR="0013116F" w:rsidRDefault="0013116F" w:rsidP="001D49D4">
      <w:pPr>
        <w:pStyle w:val="a9"/>
      </w:pPr>
      <w:r>
        <w:rPr>
          <w:rStyle w:val="ab"/>
        </w:rPr>
        <w:footnoteRef/>
      </w:r>
      <w:r>
        <w:rPr>
          <w:rtl/>
        </w:rPr>
        <w:t xml:space="preserve"> אדברי הי"א הסמוך ליה קאי, ואמר דלא פליג אלא כשלא ישבו בודאי יחד לחתום, אבל לא כשישבו בודאי יחד דאז לכו"ע נתבטלה גם העדות הכשרה, כמ"ש בסעיף שאחר זה, סמ"ע (סק"ח).</w:t>
      </w:r>
    </w:p>
  </w:footnote>
  <w:footnote w:id="4232">
    <w:p w14:paraId="26E887C3" w14:textId="77777777" w:rsidR="0013116F" w:rsidRDefault="0013116F" w:rsidP="001D49D4">
      <w:pPr>
        <w:pStyle w:val="a9"/>
      </w:pPr>
      <w:r>
        <w:rPr>
          <w:rStyle w:val="ab"/>
        </w:rPr>
        <w:footnoteRef/>
      </w:r>
      <w:r>
        <w:rPr>
          <w:rtl/>
        </w:rPr>
        <w:t xml:space="preserve"> וגם ידעינן שהכשרים ידעו בפיסולם, כגון שהם רגילים זה עם זה, הא לאו הכי לא פסלינן לשטרא מספק ואמרינן דילמא לא ידעי ביה, כן נראה שמפרש הב"י </w:t>
      </w:r>
      <w:r>
        <w:rPr>
          <w:sz w:val="16"/>
          <w:szCs w:val="16"/>
          <w:rtl/>
        </w:rPr>
        <w:t>[עי' בסע' ה ד"ה וכתב נמוק"י]</w:t>
      </w:r>
      <w:r>
        <w:rPr>
          <w:rtl/>
        </w:rPr>
        <w:t xml:space="preserve"> דברי הרמב"ם דהכא </w:t>
      </w:r>
      <w:r>
        <w:rPr>
          <w:sz w:val="16"/>
          <w:szCs w:val="16"/>
          <w:rtl/>
        </w:rPr>
        <w:t xml:space="preserve">(פ"ה מעדות ה"ו) </w:t>
      </w:r>
      <w:r>
        <w:rPr>
          <w:rtl/>
        </w:rPr>
        <w:t xml:space="preserve">לפי תשו' הרי"ף </w:t>
      </w:r>
      <w:r>
        <w:rPr>
          <w:sz w:val="16"/>
          <w:szCs w:val="16"/>
          <w:rtl/>
        </w:rPr>
        <w:t xml:space="preserve">(סי' קסז) </w:t>
      </w:r>
      <w:r>
        <w:rPr>
          <w:rtl/>
        </w:rPr>
        <w:t xml:space="preserve">שבבהעי"ט </w:t>
      </w:r>
      <w:r>
        <w:rPr>
          <w:sz w:val="16"/>
          <w:szCs w:val="16"/>
          <w:rtl/>
        </w:rPr>
        <w:t>(אות ק קבלת עדות נט:)</w:t>
      </w:r>
      <w:r>
        <w:rPr>
          <w:rtl/>
        </w:rPr>
        <w:t xml:space="preserve">, ונ"ל פירוש זה ברור. מיהו הרא"ש פ"ק דמכות </w:t>
      </w:r>
      <w:r>
        <w:rPr>
          <w:sz w:val="16"/>
          <w:szCs w:val="16"/>
          <w:rtl/>
        </w:rPr>
        <w:t xml:space="preserve">(סי' יא) </w:t>
      </w:r>
      <w:r>
        <w:rPr>
          <w:rtl/>
        </w:rPr>
        <w:t xml:space="preserve">חולק וס"ל דאין חילוק בין ידעי הכשרים בפסולים או לא, אלא אפילו לא ידעי בטלה עדותן. וכבר הביאו הטור והמחבר לעיל ס"ס ל"ו שתי הסברות אלו, וע"ש </w:t>
      </w:r>
      <w:r>
        <w:rPr>
          <w:sz w:val="16"/>
          <w:szCs w:val="16"/>
          <w:rtl/>
        </w:rPr>
        <w:t>[בש"ך סק"כ-כא]</w:t>
      </w:r>
      <w:r>
        <w:rPr>
          <w:rtl/>
        </w:rPr>
        <w:t xml:space="preserve">, ש"ך </w:t>
      </w:r>
      <w:r>
        <w:rPr>
          <w:sz w:val="16"/>
          <w:szCs w:val="16"/>
          <w:rtl/>
        </w:rPr>
        <w:t>(סק"ה)</w:t>
      </w:r>
      <w:r>
        <w:rPr>
          <w:rtl/>
        </w:rPr>
        <w:t>.</w:t>
      </w:r>
    </w:p>
  </w:footnote>
  <w:footnote w:id="4233">
    <w:p w14:paraId="41AD125D" w14:textId="77777777" w:rsidR="0013116F" w:rsidRDefault="0013116F" w:rsidP="001D49D4">
      <w:pPr>
        <w:pStyle w:val="a9"/>
        <w:rPr>
          <w:rtl/>
        </w:rPr>
      </w:pPr>
      <w:r>
        <w:rPr>
          <w:rStyle w:val="ab"/>
        </w:rPr>
        <w:footnoteRef/>
      </w:r>
      <w:r>
        <w:rPr>
          <w:rtl/>
        </w:rPr>
        <w:t xml:space="preserve"> כתב זה ליתן טעם אפילו אי חתמו הפסולין קודם הכשרים, וס"ל דכל שכן אם הפסולים נמצאו חתומין לבסוף דכשר כיון דכבר נכשר השטר בהכשרים, וכמ"ש בסי' מה סע' יב, ע"ש דשם כתב מור"ם בהג"ה דעת החולקים ופוסלים כשהפסולים חתומין לבסוף, סמ"ע (סק"י).</w:t>
      </w:r>
    </w:p>
  </w:footnote>
  <w:footnote w:id="4234">
    <w:p w14:paraId="27A6616A" w14:textId="77777777" w:rsidR="0013116F" w:rsidRDefault="0013116F" w:rsidP="001D49D4">
      <w:pPr>
        <w:pStyle w:val="a9"/>
      </w:pPr>
      <w:r>
        <w:rPr>
          <w:rStyle w:val="ab"/>
        </w:rPr>
        <w:footnoteRef/>
      </w:r>
      <w:r>
        <w:rPr>
          <w:rtl/>
        </w:rPr>
        <w:t xml:space="preserve"> וצ"ע בתשובת הרא"ש כלל ס' סימן ג' דמשמע שם דאין מצטרף עמו. ועיין מדין צוואה הנעשית בפסולי עדות בתשובת מוהר"ם פדואה סימן נ"ו שהאריך בזה, דרכ"מ (אות ה).</w:t>
      </w:r>
    </w:p>
  </w:footnote>
  <w:footnote w:id="4235">
    <w:p w14:paraId="34F3DB00" w14:textId="77777777" w:rsidR="0013116F" w:rsidRDefault="0013116F" w:rsidP="001D49D4">
      <w:pPr>
        <w:pStyle w:val="a9"/>
      </w:pPr>
      <w:r>
        <w:rPr>
          <w:rStyle w:val="ab"/>
        </w:rPr>
        <w:footnoteRef/>
      </w:r>
      <w:r>
        <w:rPr>
          <w:rtl/>
        </w:rPr>
        <w:t xml:space="preserve"> ר"ל שנתחברו יחד בתורת עדות ובא לפני ב"ד כו'. וה"ה בשטר הלואה הדין כן דיכול לבוא לב"ד להעיד מחדש ולחייבו שבועה או להצטרף עם אחר כל שלא העיד עם הפסול בב"ד, כמ"ש הר"ב בסי' לו בהג"ה בסוף סע' א', אלא שהמחבר העתיק לשון הטור, ובטור כ"כ בתשובה </w:t>
      </w:r>
      <w:r>
        <w:rPr>
          <w:sz w:val="16"/>
          <w:szCs w:val="16"/>
          <w:rtl/>
        </w:rPr>
        <w:t xml:space="preserve">[הרא"ש כלל ס' סי' ג'] </w:t>
      </w:r>
      <w:r>
        <w:rPr>
          <w:rtl/>
        </w:rPr>
        <w:t>אמעשה שהיה בצואה ע"ש, ועמ"ש בסי' מ"ה סע' י"ג [וסמ"ע סקל"ד], סמ"ע (סקי"א).</w:t>
      </w:r>
    </w:p>
  </w:footnote>
  <w:footnote w:id="4236">
    <w:p w14:paraId="0A257162" w14:textId="77777777" w:rsidR="0013116F" w:rsidRDefault="0013116F" w:rsidP="001D49D4">
      <w:pPr>
        <w:pStyle w:val="a9"/>
      </w:pPr>
      <w:r>
        <w:rPr>
          <w:rStyle w:val="ab"/>
        </w:rPr>
        <w:footnoteRef/>
      </w:r>
      <w:r>
        <w:rPr>
          <w:rtl/>
        </w:rPr>
        <w:t xml:space="preserve"> ומיירי כשהעד שאינו קרוב לא היה עם הקרוב בשעת מעשה, דאם היו יחד בשעת הצואה א"כ נצטרפו יחד ותו לא מהני כשיעידו על פה, וכמו שכתבתי לעיל סי' מ"ה סע' י"ג סקכ"ד, ש"ך (סק"ו).</w:t>
      </w:r>
    </w:p>
  </w:footnote>
  <w:footnote w:id="4237">
    <w:p w14:paraId="597B8308" w14:textId="77777777" w:rsidR="0013116F" w:rsidRDefault="0013116F" w:rsidP="001D49D4">
      <w:pPr>
        <w:pStyle w:val="a9"/>
      </w:pPr>
      <w:r>
        <w:rPr>
          <w:rStyle w:val="ab"/>
        </w:rPr>
        <w:footnoteRef/>
      </w:r>
      <w:r>
        <w:rPr>
          <w:rtl/>
        </w:rPr>
        <w:t xml:space="preserve"> כלומר ותו מיבעיא לן הא דתנן הכותב כל נכסיו לעבדו יצא לחירות ושטר זה הוא גט שחרור ושטר מתנה כאחד מיבעיא לן אם הביא העבד שטר מתנה זה ואמר בפ"נ ובפ"נ מי מהני אמירה זו גם למתנה וזוכה גם בנכסים וא"צ לקיימו או דלמא כיון דשניהן כלולין בלשון אחד לא פלגינן דיבורא ולא מהני גם לשחרור עד שיקיים בחותמיו, קרבן העדה.</w:t>
      </w:r>
    </w:p>
  </w:footnote>
  <w:footnote w:id="4238">
    <w:p w14:paraId="725EC037" w14:textId="77777777" w:rsidR="0013116F" w:rsidRDefault="0013116F" w:rsidP="001D49D4">
      <w:pPr>
        <w:pStyle w:val="a9"/>
      </w:pPr>
      <w:r>
        <w:rPr>
          <w:rStyle w:val="ab"/>
        </w:rPr>
        <w:footnoteRef/>
      </w:r>
      <w:r>
        <w:rPr>
          <w:rtl/>
        </w:rPr>
        <w:t xml:space="preserve"> כיון דבריש גיטין (ח:) איפליגו אביי ורבא בכתב כל נכסיו לעבדו וס"ל לרבא פלגינן דיבורא, והוא הדין בכתב כל נכסיו לשני בני אדם, שהרי בירושלמי תלאום זו בזו, ואפילו בירושלמי אכמ"ד לא יאות אמר רבי אלעזר דמסייע לרבי יוחנן, ב"י בשם רב האי.</w:t>
      </w:r>
    </w:p>
  </w:footnote>
  <w:footnote w:id="4239">
    <w:p w14:paraId="3800F6EA" w14:textId="77777777" w:rsidR="0013116F" w:rsidRDefault="0013116F" w:rsidP="001D49D4">
      <w:pPr>
        <w:pStyle w:val="a9"/>
        <w:rPr>
          <w:rtl/>
        </w:rPr>
      </w:pPr>
      <w:r>
        <w:rPr>
          <w:rStyle w:val="ab"/>
        </w:rPr>
        <w:footnoteRef/>
      </w:r>
      <w:r>
        <w:rPr>
          <w:rtl/>
        </w:rPr>
        <w:t xml:space="preserve"> ר"ח </w:t>
      </w:r>
      <w:r>
        <w:rPr>
          <w:sz w:val="16"/>
          <w:szCs w:val="16"/>
          <w:rtl/>
        </w:rPr>
        <w:t>(כ"כ הטור בשמו)</w:t>
      </w:r>
      <w:r>
        <w:rPr>
          <w:rtl/>
        </w:rPr>
        <w:t xml:space="preserve"> רי"ף </w:t>
      </w:r>
      <w:r>
        <w:rPr>
          <w:sz w:val="16"/>
          <w:szCs w:val="16"/>
          <w:rtl/>
        </w:rPr>
        <w:t>(מכות ג.)</w:t>
      </w:r>
      <w:r>
        <w:rPr>
          <w:rtl/>
        </w:rPr>
        <w:t xml:space="preserve"> רמב"ם </w:t>
      </w:r>
      <w:r>
        <w:rPr>
          <w:sz w:val="16"/>
          <w:szCs w:val="16"/>
          <w:rtl/>
        </w:rPr>
        <w:t xml:space="preserve">(פי"ד מהל' עדות ה"ז) </w:t>
      </w:r>
      <w:r>
        <w:rPr>
          <w:rtl/>
        </w:rPr>
        <w:t xml:space="preserve">מרדכי </w:t>
      </w:r>
      <w:r>
        <w:rPr>
          <w:sz w:val="16"/>
          <w:szCs w:val="16"/>
          <w:rtl/>
        </w:rPr>
        <w:t xml:space="preserve">(כתובות סי' רנד, גיטין סי' שכג, כ"כ הדרכ"מ בשמו [אות ו*]) </w:t>
      </w:r>
      <w:r>
        <w:rPr>
          <w:rtl/>
        </w:rPr>
        <w:t xml:space="preserve">ורא"ש </w:t>
      </w:r>
      <w:r>
        <w:rPr>
          <w:sz w:val="16"/>
          <w:szCs w:val="16"/>
          <w:rtl/>
        </w:rPr>
        <w:t>(פ"ק דמכות סי' יג-יד)</w:t>
      </w:r>
      <w:r>
        <w:rPr>
          <w:rtl/>
        </w:rPr>
        <w:t>.</w:t>
      </w:r>
    </w:p>
  </w:footnote>
  <w:footnote w:id="4240">
    <w:p w14:paraId="180D4F71" w14:textId="77777777" w:rsidR="0013116F" w:rsidRDefault="0013116F" w:rsidP="001D49D4">
      <w:pPr>
        <w:pStyle w:val="a9"/>
        <w:rPr>
          <w:rtl/>
        </w:rPr>
      </w:pPr>
      <w:r>
        <w:rPr>
          <w:rStyle w:val="ab"/>
        </w:rPr>
        <w:footnoteRef/>
      </w:r>
      <w:r>
        <w:rPr>
          <w:rtl/>
        </w:rPr>
        <w:t xml:space="preserve"> </w:t>
      </w:r>
      <w:r>
        <w:rPr>
          <w:rFonts w:hint="cs"/>
          <w:rtl/>
        </w:rPr>
        <w:t>וכתב ה</w:t>
      </w:r>
      <w:r>
        <w:rPr>
          <w:rtl/>
        </w:rPr>
        <w:t xml:space="preserve">ב"י שטעמם של ר"ח וסיעתו דאע"ג דאיכא מאן דאמר דלאו יאות אמר רבי יוחנן מ"מ כוותיה קיי"ל לגבי ריש לקיש, ואע"ג דרבא, דקיי"ל כוותיה לגבי אביי, אמר פלגינן דיבורא - תלמודא פליג אירושלמי וס"ל דלא תלי הא בהא, ומודה רבי יוחנן בכותב כל נכסיו לעבדו, דטעמא דכותב נכסיו לשני בני אדם דפסולים זה לזה היינו משום דאתי לאיחלופי בשטרות דעלמא שיאמרו קרוב כשר להעיד, אבל בגט שחרור לא חיישינן לאיחלופי הואיל וצריך לומר בפני נכתב ובפני נחתם. </w:t>
      </w:r>
    </w:p>
  </w:footnote>
  <w:footnote w:id="4241">
    <w:p w14:paraId="51AD731F" w14:textId="77777777" w:rsidR="0013116F" w:rsidRDefault="0013116F" w:rsidP="001D49D4">
      <w:pPr>
        <w:pStyle w:val="a9"/>
        <w:rPr>
          <w:rtl/>
        </w:rPr>
      </w:pPr>
      <w:r>
        <w:rPr>
          <w:rStyle w:val="ab"/>
        </w:rPr>
        <w:footnoteRef/>
      </w:r>
      <w:r>
        <w:rPr>
          <w:rtl/>
        </w:rPr>
        <w:t xml:space="preserve"> </w:t>
      </w:r>
      <w:r>
        <w:rPr>
          <w:rFonts w:hint="cs"/>
          <w:rtl/>
        </w:rPr>
        <w:t xml:space="preserve">נראה דצריך לומר הרמב"ן, וכתב כן </w:t>
      </w:r>
      <w:r>
        <w:rPr>
          <w:rtl/>
        </w:rPr>
        <w:t>בחידו' בבא בתרא (מג. ד"ה ואמאי ליסלקו).</w:t>
      </w:r>
    </w:p>
  </w:footnote>
  <w:footnote w:id="4242">
    <w:p w14:paraId="06265AA3" w14:textId="77777777" w:rsidR="0013116F" w:rsidRDefault="0013116F" w:rsidP="001D49D4">
      <w:pPr>
        <w:pStyle w:val="a9"/>
      </w:pPr>
      <w:r>
        <w:rPr>
          <w:rStyle w:val="ab"/>
        </w:rPr>
        <w:footnoteRef/>
      </w:r>
      <w:r>
        <w:rPr>
          <w:rtl/>
        </w:rPr>
        <w:t xml:space="preserve"> </w:t>
      </w:r>
      <w:r>
        <w:rPr>
          <w:rFonts w:hint="cs"/>
          <w:rtl/>
        </w:rPr>
        <w:t xml:space="preserve">הש"ך (סק"ז) חלק הב"י בדין זה וכתב שגם מדברי הרמב"ן והרא"ש אין להוציא כן, ולכן כתב שלא מועיל סילוק בשטר </w:t>
      </w:r>
      <w:r>
        <w:rPr>
          <w:sz w:val="16"/>
          <w:szCs w:val="16"/>
          <w:rtl/>
        </w:rPr>
        <w:t>(ומה שכתב הרמב"ן שמועיל סילוק הוא דוקא בעדות בעל פה, שיש לחוש שמעיד משום צד הנאה לקרוביו, כגון שנגנב לשניהם דבר ובא להעיד שזה גנבו, ואחד משניהן הוא קרוב דאינו יכול להעיד, ובכה"ג מהני סילוק קודם שיעיד. אבל הכא דפסלינן לשטרא משום עדות שבטלה מקצתה בטלה כולה, אפילו אין הנאה לקרוביו, שהרי אפילו אם יאמר הרחוק תנו לי חלקי ממתנה הנזכר בשטר וחלק של הקרוב אל תתנו, אין שומעים לו, כיון דטעמא הוא משום עדות שבטלה מקצתה בטלה כולה, וא"כ מה יועיל שיסתלק הקרוב כיון דכבר נתבטלה העדות שבשטר משום עדות שבטלה מקצתה בטלה כולה)</w:t>
      </w:r>
      <w:r>
        <w:rPr>
          <w:rtl/>
        </w:rPr>
        <w:t>, ע"ש.</w:t>
      </w:r>
    </w:p>
  </w:footnote>
  <w:footnote w:id="4243">
    <w:p w14:paraId="086FC1B0" w14:textId="77777777" w:rsidR="0013116F" w:rsidRDefault="0013116F" w:rsidP="001D49D4">
      <w:pPr>
        <w:pStyle w:val="a9"/>
        <w:rPr>
          <w:rtl/>
        </w:rPr>
      </w:pPr>
      <w:r>
        <w:rPr>
          <w:rStyle w:val="ab"/>
        </w:rPr>
        <w:footnoteRef/>
      </w:r>
      <w:r>
        <w:rPr>
          <w:rtl/>
        </w:rPr>
        <w:t xml:space="preserve"> כבר נתבאר טעם סילוק בס"ס לג [בטור וב"י סע' לט ובשו"ע סע' טו] ובסי' לז [בטור וב"י ושו"ע סע' א], ע"ש, סמ"ע (סקי"ב).</w:t>
      </w:r>
    </w:p>
  </w:footnote>
  <w:footnote w:id="4244">
    <w:p w14:paraId="42661F54" w14:textId="77777777" w:rsidR="0013116F" w:rsidRDefault="0013116F" w:rsidP="001D49D4">
      <w:pPr>
        <w:pStyle w:val="a9"/>
      </w:pPr>
      <w:r>
        <w:rPr>
          <w:rStyle w:val="ab"/>
        </w:rPr>
        <w:footnoteRef/>
      </w:r>
      <w:r>
        <w:rPr>
          <w:rtl/>
        </w:rPr>
        <w:t xml:space="preserve"> מיירי דוקא בכה"ג, כגון בכותב נכסיו לשני בני אדם וכה"ג, דאין לעדים נגיעה משום קורבה, דסוף סוף לא יתנו להשני רק החצי, ואף אם היו מעידים שנתן חצי נכסיו להרחוק היו נותנים לו, אבל היכא שיש לחוש לנגיעה משום קורבה, כגון שאין השטר מקוים ובאו עדים שהם קרובים לאחד ורחוקים משני לקיים השטר וכה"ג, אף בע"פ פסולים, דבלא עדותן אי אפשר לקיים השטר כלל, וא"כ יש לחוש שמעידים משום הקרוב. וכן אם נגנב לשנים דבר, ובאו עדים שרחוקים לאחד וקרובים לשני שזה גנבו, אין יכולים להעיד אפילו בע"פ אא"כ נסתלק הקרוב, וכמ"ש הרמב"ן והנמוק"י פרק חזקת הבתים [שם כג. מדפה"ר], דאל"כ יש לחוש שמעידים כן משום הקרוב, כיון שאי אפשר להם להעיד על החצי, ש"ך (סק"ח).</w:t>
      </w:r>
    </w:p>
  </w:footnote>
  <w:footnote w:id="4245">
    <w:p w14:paraId="62CCC1AA" w14:textId="77777777" w:rsidR="0013116F" w:rsidRDefault="0013116F" w:rsidP="001D49D4">
      <w:pPr>
        <w:pStyle w:val="a9"/>
        <w:rPr>
          <w:rtl/>
        </w:rPr>
      </w:pPr>
      <w:r>
        <w:rPr>
          <w:rStyle w:val="ab"/>
        </w:rPr>
        <w:footnoteRef/>
      </w:r>
      <w:r>
        <w:rPr>
          <w:rtl/>
        </w:rPr>
        <w:t xml:space="preserve"> פירוש, שנתבטל מכח גוף הענין ולא מכח פסול העדים, משום הכי מתקיימת עדותן לשאר ענינים שבשטר, סמ"ע (סקי"ג).</w:t>
      </w:r>
    </w:p>
  </w:footnote>
  <w:footnote w:id="4246">
    <w:p w14:paraId="642E8307" w14:textId="77777777" w:rsidR="0013116F" w:rsidRDefault="0013116F" w:rsidP="001D49D4">
      <w:pPr>
        <w:pStyle w:val="a9"/>
      </w:pPr>
      <w:r>
        <w:rPr>
          <w:rStyle w:val="ab"/>
        </w:rPr>
        <w:footnoteRef/>
      </w:r>
      <w:r>
        <w:rPr>
          <w:rtl/>
        </w:rPr>
        <w:t xml:space="preserve"> </w:t>
      </w:r>
      <w:r>
        <w:rPr>
          <w:rFonts w:hint="cs"/>
          <w:rtl/>
        </w:rPr>
        <w:t xml:space="preserve">סימן – וויטנס </w:t>
      </w:r>
      <w:r>
        <w:rPr>
          <w:sz w:val="16"/>
          <w:szCs w:val="16"/>
          <w:rtl/>
        </w:rPr>
        <w:t xml:space="preserve">{עדים} </w:t>
      </w:r>
      <w:r>
        <w:rPr>
          <w:rtl/>
        </w:rPr>
        <w:t>פַּרְסֵי</w:t>
      </w:r>
      <w:r>
        <w:rPr>
          <w:sz w:val="16"/>
          <w:szCs w:val="16"/>
          <w:rtl/>
        </w:rPr>
        <w:t xml:space="preserve"> {היינו כרתי}</w:t>
      </w:r>
      <w:r>
        <w:rPr>
          <w:rtl/>
        </w:rPr>
        <w:t>.</w:t>
      </w:r>
    </w:p>
  </w:footnote>
  <w:footnote w:id="4247">
    <w:p w14:paraId="67658F70" w14:textId="77777777" w:rsidR="0013116F" w:rsidRDefault="0013116F" w:rsidP="001D49D4">
      <w:pPr>
        <w:pStyle w:val="a9"/>
      </w:pPr>
      <w:r>
        <w:rPr>
          <w:rStyle w:val="ab"/>
        </w:rPr>
        <w:footnoteRef/>
      </w:r>
      <w:r>
        <w:rPr>
          <w:rtl/>
        </w:rPr>
        <w:t xml:space="preserve"> מדגרסינן בפרק זה בורר (סנהדרין כח:) ההיא מתנתא דהוו חתימי עלה תרי גיסי אתא לקמיה דרב יוסף אמר ליה זיל קנייה בעדי מסירה אמר ליה אביי והאמר רבי אבא מודה רבי אלעזר במזוייף מתוכו אלמא דרבי יוסף ואביי סברי דהלכה כרבי אלעזר אף בשטרות. ועוד ראיה מדאמרינן פ"ב דגיטין דרבא מגבי מבני חרי בשטרא פרסאה דמסריה ניהליה באפי תרי ישראל ומשמע התם דאי לאו דלית ליה קלא משום דשטרא פרסאה הוא הוה מגבי ביה אפילו ממשעבדי. וכן במי שהיה נשוי (כתובות צד:) עבד רב נחמן עובדא כרבי אלעזר בשטרות, וכן הלכתא בין בשטרי מכר ומתנה בין בשטרי הלואות, רא"ש. ועוד כתב הרא"ש בפ"ק דגיטין (סי' יא) גבי הא 'דאמר רבא שטרא פרסאה דמסריה ניהליה באפי ישראל וכו' גבי מבני חרי ופריך אפילו ממשעבדי נמי לית ליה קלא' - מכאן מוכח דלרבי אלעזר דאמר עדי מסירה כרתי ואע"ג דליכא עדי חתימה כלל גבי ממשעבדי, דדוקא הכא לית ליה קלא לפי שנעשה בפני גוים אבל בשטרי ישראל גבי ממשעבדי בלא חתימה, אבל מתוך לשון רש"י (יא. ד"ה לית) משמע דבעדי מסירה בלא עדי חתימה לא גבי בשום שטר ממשעבדי דעדי חתימה דוקא הוא דמפקי לקלא, עכ"ל הרא"ש. ועוד כתב הרא"ש </w:t>
      </w:r>
      <w:r>
        <w:rPr>
          <w:sz w:val="14"/>
          <w:szCs w:val="14"/>
          <w:rtl/>
        </w:rPr>
        <w:t xml:space="preserve">(שם) </w:t>
      </w:r>
      <w:r>
        <w:rPr>
          <w:rtl/>
        </w:rPr>
        <w:t>דלא מצריך רבי אלעזר עדי מסירה אלא בשטר קנין או בגיטי נשים אבל שטרות שאינן אלא לראיה בעלמא לא בעי עדי מסירה.</w:t>
      </w:r>
    </w:p>
  </w:footnote>
  <w:footnote w:id="4248">
    <w:p w14:paraId="3E3CAB1B" w14:textId="77777777" w:rsidR="0013116F" w:rsidRDefault="0013116F" w:rsidP="001D49D4">
      <w:pPr>
        <w:pStyle w:val="a9"/>
        <w:rPr>
          <w:rtl/>
        </w:rPr>
      </w:pPr>
      <w:r>
        <w:rPr>
          <w:rStyle w:val="ab"/>
        </w:rPr>
        <w:footnoteRef/>
      </w:r>
      <w:r>
        <w:rPr>
          <w:rtl/>
        </w:rPr>
        <w:t xml:space="preserve"> </w:t>
      </w:r>
      <w:r>
        <w:rPr>
          <w:rFonts w:hint="cs"/>
          <w:rtl/>
        </w:rPr>
        <w:t>וכתב הב"י ד</w:t>
      </w:r>
      <w:r>
        <w:rPr>
          <w:rtl/>
        </w:rPr>
        <w:t xml:space="preserve">משמע דסבירא ליה דוקא בגיטין ולא בשטרות. והביא הב"י את דברי הר"ן </w:t>
      </w:r>
      <w:r>
        <w:rPr>
          <w:sz w:val="16"/>
          <w:szCs w:val="16"/>
          <w:rtl/>
        </w:rPr>
        <w:t xml:space="preserve">(שם) </w:t>
      </w:r>
      <w:r>
        <w:rPr>
          <w:rtl/>
        </w:rPr>
        <w:t xml:space="preserve">שכתב שנמצאת הגהה במקצת נוסחאות </w:t>
      </w:r>
      <w:r>
        <w:rPr>
          <w:sz w:val="16"/>
          <w:szCs w:val="16"/>
          <w:rtl/>
        </w:rPr>
        <w:t>{הרי"ף}</w:t>
      </w:r>
      <w:r>
        <w:rPr>
          <w:rtl/>
        </w:rPr>
        <w:t xml:space="preserve"> 'והלכתא כרבי אלעזר אף בשטרות...'. אמנם הרמב"ן </w:t>
      </w:r>
      <w:r>
        <w:rPr>
          <w:sz w:val="16"/>
          <w:szCs w:val="16"/>
          <w:rtl/>
        </w:rPr>
        <w:t xml:space="preserve">(ספר הזכות גיטין מו: ד"ה אמר המחבר) </w:t>
      </w:r>
      <w:r>
        <w:rPr>
          <w:rtl/>
        </w:rPr>
        <w:t>כתב וז"ל- אמר המחבר ואנו מצאנוה לזו תלויה בהלכות וכבר בדקנו אחריהן וזכינו ההלכה לנסחא ישנה מוגהת מכתיבת ידי המחבר זצ"ל וכך היה כתוב בה תחלה 'והלכה כר"א בגיטין ולא בשטרות' וחזר ומחק 'ולא בשטרות' והניח הדבר בסתם 'כר"א בגיטין' וזהו עיקר נוסח ההלכה.</w:t>
      </w:r>
    </w:p>
  </w:footnote>
  <w:footnote w:id="4249">
    <w:p w14:paraId="387D0878" w14:textId="77777777" w:rsidR="0013116F" w:rsidRDefault="0013116F" w:rsidP="001D49D4">
      <w:pPr>
        <w:pStyle w:val="a9"/>
        <w:rPr>
          <w:rtl/>
        </w:rPr>
      </w:pPr>
      <w:r>
        <w:rPr>
          <w:rStyle w:val="ab"/>
        </w:rPr>
        <w:footnoteRef/>
      </w:r>
      <w:r>
        <w:rPr>
          <w:rtl/>
        </w:rPr>
        <w:t xml:space="preserve"> הש"ך </w:t>
      </w:r>
      <w:r>
        <w:rPr>
          <w:sz w:val="16"/>
          <w:szCs w:val="16"/>
          <w:rtl/>
        </w:rPr>
        <w:t xml:space="preserve">(סק"ט) </w:t>
      </w:r>
      <w:r>
        <w:rPr>
          <w:rtl/>
        </w:rPr>
        <w:t xml:space="preserve">כתב על מה שפסק השו"ע שעדי מסירה כרתי אף בשטרות דצ"ע למעשה בדין זה, כי בב"י לא הביא רק את דעת הרי"ף </w:t>
      </w:r>
      <w:r>
        <w:rPr>
          <w:sz w:val="16"/>
          <w:szCs w:val="16"/>
          <w:rtl/>
        </w:rPr>
        <w:t xml:space="preserve">(מז.) </w:t>
      </w:r>
      <w:r>
        <w:rPr>
          <w:rtl/>
        </w:rPr>
        <w:t xml:space="preserve">שאין הלכה כר"א בשטרות... ובאמת גם הר"ן </w:t>
      </w:r>
      <w:r>
        <w:rPr>
          <w:sz w:val="16"/>
          <w:szCs w:val="16"/>
          <w:rtl/>
        </w:rPr>
        <w:t xml:space="preserve">(שם) </w:t>
      </w:r>
      <w:r>
        <w:rPr>
          <w:rtl/>
        </w:rPr>
        <w:t xml:space="preserve">ס"ל עיקר דאין הלכה כר"א בשטרות, וכן דעת הרשב"א </w:t>
      </w:r>
      <w:r>
        <w:rPr>
          <w:sz w:val="16"/>
          <w:szCs w:val="16"/>
          <w:rtl/>
        </w:rPr>
        <w:t xml:space="preserve">(בחידו' פ"ק דגיטין ד. ד"ה ומהדרינן, ופרק המגרש פו:, ובתשו' ח"א סי' אלף סד) </w:t>
      </w:r>
      <w:r>
        <w:rPr>
          <w:rtl/>
        </w:rPr>
        <w:t xml:space="preserve">ראב"ד </w:t>
      </w:r>
      <w:r>
        <w:rPr>
          <w:sz w:val="16"/>
          <w:szCs w:val="16"/>
          <w:rtl/>
        </w:rPr>
        <w:t xml:space="preserve">(בהשגות לרי"ף שם) </w:t>
      </w:r>
      <w:r>
        <w:rPr>
          <w:rtl/>
        </w:rPr>
        <w:t xml:space="preserve">ובעל התרומות </w:t>
      </w:r>
      <w:r>
        <w:rPr>
          <w:sz w:val="16"/>
          <w:szCs w:val="16"/>
          <w:rtl/>
        </w:rPr>
        <w:t>(שער יג ח"ג ס"ב, רק שדעת הרשב"א פרק המגרש והראב"ד שבבעה"ת שם דשטר מתנה דינו כגיטין, ומדברי הרמב"ן ובעה"ת והר"ן שם משמע להדיא דאף בשטר מתנה אין עדי מסירה כרתי ע"ש)</w:t>
      </w:r>
      <w:r>
        <w:rPr>
          <w:rtl/>
        </w:rPr>
        <w:t xml:space="preserve">, וכ"כ התוס' </w:t>
      </w:r>
      <w:r>
        <w:rPr>
          <w:sz w:val="16"/>
          <w:szCs w:val="16"/>
          <w:rtl/>
        </w:rPr>
        <w:t xml:space="preserve">(פ"ק דגיטין ג: ד"ה וגובה) </w:t>
      </w:r>
      <w:r>
        <w:rPr>
          <w:rtl/>
        </w:rPr>
        <w:t xml:space="preserve">בשם ר"ח דאין גובה ממשעבדי בעדי מסירה, וגם מסקנת התוס' שם נראה כן. וגם כתבו התוס' שכן נראה מלשון רש"י, וכ"כ הרא"ש פ"ק דגיטין </w:t>
      </w:r>
      <w:r>
        <w:rPr>
          <w:sz w:val="16"/>
          <w:szCs w:val="16"/>
          <w:rtl/>
        </w:rPr>
        <w:t>(סי' י)</w:t>
      </w:r>
      <w:r>
        <w:rPr>
          <w:rtl/>
        </w:rPr>
        <w:t xml:space="preserve">, וכן נראה באמת מלשון רש"י שם </w:t>
      </w:r>
      <w:r>
        <w:rPr>
          <w:sz w:val="16"/>
          <w:szCs w:val="16"/>
          <w:rtl/>
        </w:rPr>
        <w:t>(יא. ד"ה לית ליה קלא)</w:t>
      </w:r>
      <w:r>
        <w:rPr>
          <w:rtl/>
        </w:rPr>
        <w:t xml:space="preserve">, וכן מלשון הר"ן שם </w:t>
      </w:r>
      <w:r>
        <w:rPr>
          <w:sz w:val="16"/>
          <w:szCs w:val="16"/>
          <w:rtl/>
        </w:rPr>
        <w:t>(ד. מדפה"ר ד"ה אמר שמואל)</w:t>
      </w:r>
      <w:r>
        <w:rPr>
          <w:rtl/>
        </w:rPr>
        <w:t xml:space="preserve">... וכ"כ בהעי"ט </w:t>
      </w:r>
      <w:r>
        <w:rPr>
          <w:sz w:val="16"/>
          <w:szCs w:val="16"/>
          <w:rtl/>
        </w:rPr>
        <w:t xml:space="preserve">(אות ע דיני עיסקא וחוב יד ע"א) </w:t>
      </w:r>
      <w:r>
        <w:rPr>
          <w:rtl/>
        </w:rPr>
        <w:t xml:space="preserve">דלית הלכתא כר"א בשטרות. וכ"כ רב האי גאון </w:t>
      </w:r>
      <w:r>
        <w:rPr>
          <w:sz w:val="16"/>
          <w:szCs w:val="16"/>
          <w:rtl/>
        </w:rPr>
        <w:t>(בספר מקח וממכר שער יג כו ע"ג)</w:t>
      </w:r>
      <w:r>
        <w:rPr>
          <w:rtl/>
        </w:rPr>
        <w:t xml:space="preserve">, וכ"כ הריטב"א </w:t>
      </w:r>
      <w:r>
        <w:rPr>
          <w:sz w:val="16"/>
          <w:szCs w:val="16"/>
          <w:rtl/>
        </w:rPr>
        <w:t xml:space="preserve">(פ"ק דקדושין ט. ד"ה ת"ר בשטר) </w:t>
      </w:r>
      <w:r>
        <w:rPr>
          <w:rtl/>
        </w:rPr>
        <w:t>וכן קיבל הריטב"א מפי מורו. ואם כן כיון דכל הני רבוותא ס"ל דאין גובים ממשעבדי בעדי מסירה, נהי דשאר רבוותא טובי ס"ל דגובין ממשעבדי, מ"מ פשיטא דיוכל המוחזק לומר קים לי כהנך רבוותא דאמרן, וצ"ע. עכ"ל הש"ך. והעתיקו הנתיבות (סקט"ז) והאורים (סק"כ) את מסקנתו.</w:t>
      </w:r>
    </w:p>
  </w:footnote>
  <w:footnote w:id="4250">
    <w:p w14:paraId="2FBABF62" w14:textId="77777777" w:rsidR="0013116F" w:rsidRDefault="0013116F" w:rsidP="001D49D4">
      <w:pPr>
        <w:pStyle w:val="a9"/>
        <w:rPr>
          <w:rtl/>
        </w:rPr>
      </w:pPr>
      <w:r>
        <w:rPr>
          <w:rStyle w:val="ab"/>
        </w:rPr>
        <w:footnoteRef/>
      </w:r>
      <w:r>
        <w:rPr>
          <w:rtl/>
        </w:rPr>
        <w:t xml:space="preserve"> כן מוכיח עובדא דשטרא פרסאה פ"ק דגיטין וכרבי אלעזר דאמר </w:t>
      </w:r>
      <w:r>
        <w:rPr>
          <w:sz w:val="14"/>
          <w:szCs w:val="14"/>
          <w:rtl/>
        </w:rPr>
        <w:t xml:space="preserve">(גיטין כב:) </w:t>
      </w:r>
      <w:r>
        <w:rPr>
          <w:rtl/>
        </w:rPr>
        <w:t>דבשאר שטרות בעינן כתב שאינו יכול להזדייף, הה"מ.</w:t>
      </w:r>
    </w:p>
  </w:footnote>
  <w:footnote w:id="4251">
    <w:p w14:paraId="2A4CD9A3" w14:textId="77777777" w:rsidR="0013116F" w:rsidRDefault="0013116F" w:rsidP="001D49D4">
      <w:pPr>
        <w:pStyle w:val="a9"/>
      </w:pPr>
      <w:r>
        <w:rPr>
          <w:rStyle w:val="ab"/>
        </w:rPr>
        <w:footnoteRef/>
      </w:r>
      <w:r>
        <w:rPr>
          <w:rtl/>
        </w:rPr>
        <w:t xml:space="preserve"> נראה טעם סברא זו כדי שיהיה לזה קול, שהרי אם העדים ירצו יעשו שטר שזה הכתב נמסר בפניהם ואם לא אמר כן להם לא היו כותבין ולא היה לו קול, ורבינו </w:t>
      </w:r>
      <w:r>
        <w:rPr>
          <w:sz w:val="16"/>
          <w:szCs w:val="16"/>
          <w:rtl/>
        </w:rPr>
        <w:t xml:space="preserve">{הרמב"ם} </w:t>
      </w:r>
      <w:r>
        <w:rPr>
          <w:rtl/>
        </w:rPr>
        <w:t>לא הכריע סברא זו, והיא סברת רבינו האיי ורבינו שרירא ז"ל כתובה בעיטור</w:t>
      </w:r>
      <w:r>
        <w:rPr>
          <w:sz w:val="16"/>
          <w:szCs w:val="16"/>
          <w:rtl/>
        </w:rPr>
        <w:t xml:space="preserve"> (אות ח עסקא וחוב יד.)</w:t>
      </w:r>
      <w:r>
        <w:rPr>
          <w:rtl/>
        </w:rPr>
        <w:t>, הה"מ.</w:t>
      </w:r>
    </w:p>
  </w:footnote>
  <w:footnote w:id="4252">
    <w:p w14:paraId="6145FD2F" w14:textId="77777777" w:rsidR="0013116F" w:rsidRDefault="0013116F" w:rsidP="001D49D4">
      <w:pPr>
        <w:pStyle w:val="a9"/>
        <w:rPr>
          <w:rtl/>
        </w:rPr>
      </w:pPr>
      <w:r>
        <w:rPr>
          <w:rStyle w:val="ab"/>
        </w:rPr>
        <w:footnoteRef/>
      </w:r>
      <w:r>
        <w:rPr>
          <w:rtl/>
        </w:rPr>
        <w:t xml:space="preserve"> נלמד מההיא מתנתא דחתימי עלה תרי גיסי שכתבתי בסמוך (סע' ג), ב"י. </w:t>
      </w:r>
    </w:p>
  </w:footnote>
  <w:footnote w:id="4253">
    <w:p w14:paraId="550ECC0A" w14:textId="77777777" w:rsidR="0013116F" w:rsidRDefault="0013116F" w:rsidP="001D49D4">
      <w:pPr>
        <w:pStyle w:val="a9"/>
        <w:rPr>
          <w:rtl/>
        </w:rPr>
      </w:pPr>
      <w:r>
        <w:rPr>
          <w:rStyle w:val="ab"/>
        </w:rPr>
        <w:footnoteRef/>
      </w:r>
      <w:r>
        <w:rPr>
          <w:rtl/>
        </w:rPr>
        <w:t xml:space="preserve"> </w:t>
      </w:r>
      <w:r>
        <w:rPr>
          <w:rFonts w:hint="cs"/>
          <w:rtl/>
        </w:rPr>
        <w:t xml:space="preserve">בכת"י שבשולי מהדורת שכ"ז תוקן 'שהם' ל-'שאין' </w:t>
      </w:r>
      <w:r>
        <w:rPr>
          <w:sz w:val="16"/>
          <w:szCs w:val="16"/>
          <w:rtl/>
        </w:rPr>
        <w:t>(ע"פ שינויי נוסחאות בשו"ע פריעדמאן)</w:t>
      </w:r>
      <w:r>
        <w:rPr>
          <w:rtl/>
        </w:rPr>
        <w:t>.</w:t>
      </w:r>
    </w:p>
  </w:footnote>
  <w:footnote w:id="4254">
    <w:p w14:paraId="33B67EEA" w14:textId="77777777" w:rsidR="0013116F" w:rsidRDefault="0013116F" w:rsidP="001D49D4">
      <w:pPr>
        <w:pStyle w:val="a9"/>
        <w:rPr>
          <w:rtl/>
        </w:rPr>
      </w:pPr>
      <w:r>
        <w:rPr>
          <w:rStyle w:val="ab"/>
        </w:rPr>
        <w:footnoteRef/>
      </w:r>
      <w:r>
        <w:rPr>
          <w:rtl/>
        </w:rPr>
        <w:t xml:space="preserve"> לאו דוקא "הם" קאמר, דהא אם אחרים היו חתומים בו א"צ עדי מסירה, סמ"ע (סקי"ד).</w:t>
      </w:r>
    </w:p>
  </w:footnote>
  <w:footnote w:id="4255">
    <w:p w14:paraId="7B2FA455" w14:textId="77777777" w:rsidR="0013116F" w:rsidRDefault="0013116F" w:rsidP="001D49D4">
      <w:pPr>
        <w:pStyle w:val="a9"/>
      </w:pPr>
      <w:r>
        <w:rPr>
          <w:rStyle w:val="ab"/>
        </w:rPr>
        <w:footnoteRef/>
      </w:r>
      <w:r>
        <w:rPr>
          <w:rtl/>
        </w:rPr>
        <w:t xml:space="preserve"> ואף אם יבואו אלו עדי מסירה ויעידו לפני ב"ד שראו ההלואה ושנמסר לפניהן שטר, מ"מ אין הב"ד יכולין לכתוב שטר חדש על פיהם כדין עדים החתומין על השטר ונמצא אחד מהן קרוב, דשאני הכא דלא נעשו שלוחים אהלואה לדבר זה, סמ"ע (סקט"ו).</w:t>
      </w:r>
    </w:p>
  </w:footnote>
  <w:footnote w:id="4256">
    <w:p w14:paraId="6DC03C19" w14:textId="77777777" w:rsidR="0013116F" w:rsidRDefault="0013116F" w:rsidP="001D49D4">
      <w:pPr>
        <w:pStyle w:val="a9"/>
      </w:pPr>
      <w:r>
        <w:rPr>
          <w:rStyle w:val="ab"/>
        </w:rPr>
        <w:footnoteRef/>
      </w:r>
      <w:r>
        <w:rPr>
          <w:rtl/>
        </w:rPr>
        <w:t xml:space="preserve"> </w:t>
      </w:r>
      <w:r>
        <w:rPr>
          <w:rFonts w:hint="cs"/>
          <w:rtl/>
        </w:rPr>
        <w:t>סימן –</w:t>
      </w:r>
      <w:r>
        <w:rPr>
          <w:sz w:val="14"/>
          <w:szCs w:val="14"/>
          <w:rtl/>
        </w:rPr>
        <w:t xml:space="preserve"> </w:t>
      </w:r>
      <w:r>
        <w:rPr>
          <w:rtl/>
        </w:rPr>
        <w:t xml:space="preserve">עב </w:t>
      </w:r>
      <w:r>
        <w:rPr>
          <w:sz w:val="14"/>
          <w:szCs w:val="14"/>
          <w:rtl/>
        </w:rPr>
        <w:t>{שטר מנופח}</w:t>
      </w:r>
      <w:r>
        <w:rPr>
          <w:rtl/>
        </w:rPr>
        <w:t>. וכן איתא בפרק המניח (ב"ק ל:).</w:t>
      </w:r>
    </w:p>
  </w:footnote>
  <w:footnote w:id="4257">
    <w:p w14:paraId="02CE8897" w14:textId="77777777" w:rsidR="0013116F" w:rsidRDefault="0013116F" w:rsidP="001D49D4">
      <w:pPr>
        <w:pStyle w:val="a9"/>
      </w:pPr>
      <w:r>
        <w:rPr>
          <w:rStyle w:val="ab"/>
        </w:rPr>
        <w:footnoteRef/>
      </w:r>
      <w:r>
        <w:rPr>
          <w:rtl/>
        </w:rPr>
        <w:t xml:space="preserve"> ואע"ג דקיי"ל בפרק אף על פי </w:t>
      </w:r>
      <w:r>
        <w:rPr>
          <w:sz w:val="14"/>
          <w:szCs w:val="14"/>
          <w:rtl/>
        </w:rPr>
        <w:t xml:space="preserve">(כתובות ס:) </w:t>
      </w:r>
      <w:r>
        <w:rPr>
          <w:rtl/>
        </w:rPr>
        <w:t>דהלכה כרבי מאיר בגזרותיו הכא הלכה כרבנן דבקנסותיו לא קיי"ל כוותיה, תוס' ורא"ש.</w:t>
      </w:r>
    </w:p>
  </w:footnote>
  <w:footnote w:id="4258">
    <w:p w14:paraId="485AC5EC" w14:textId="77777777" w:rsidR="0013116F" w:rsidRDefault="0013116F" w:rsidP="001D49D4">
      <w:pPr>
        <w:pStyle w:val="a9"/>
        <w:rPr>
          <w:rtl/>
        </w:rPr>
      </w:pPr>
      <w:r>
        <w:rPr>
          <w:rStyle w:val="ab"/>
        </w:rPr>
        <w:footnoteRef/>
      </w:r>
      <w:r>
        <w:rPr>
          <w:rtl/>
        </w:rPr>
        <w:t xml:space="preserve"> </w:t>
      </w:r>
      <w:r>
        <w:rPr>
          <w:rFonts w:hint="cs"/>
          <w:rtl/>
        </w:rPr>
        <w:t xml:space="preserve">אמנם יש עוד אפשרות שהביאו התוס' והרא"ש ליישב את הקושי </w:t>
      </w:r>
      <w:r>
        <w:rPr>
          <w:sz w:val="16"/>
          <w:szCs w:val="16"/>
          <w:rtl/>
        </w:rPr>
        <w:t>(וז"ל- אי נמי הכא איירי ברבית דרבנן ולא מיפסלי ברבית דרבנן כיון שאין מרויחין כלום)</w:t>
      </w:r>
      <w:r>
        <w:rPr>
          <w:rtl/>
        </w:rPr>
        <w:t>, אך כתב הרא"ש דבתשובות הגאונים משמע כתירוצא קמא דלא שנא לן בין רבית דרבנן לדאורייתא דלא תשימון לא משמע לאינשי בעדים. וכתב הב"י דלכן כתב הטור 'אפילו אם הוא רבית דאורייתא'. וכ"כ הרמב"ם בפ"ד מהלכות מלוה (ה"ו).</w:t>
      </w:r>
    </w:p>
  </w:footnote>
  <w:footnote w:id="4259">
    <w:p w14:paraId="5D67C9FF" w14:textId="77777777" w:rsidR="0013116F" w:rsidRDefault="0013116F" w:rsidP="001D49D4">
      <w:pPr>
        <w:pStyle w:val="a9"/>
      </w:pPr>
      <w:r>
        <w:rPr>
          <w:rStyle w:val="ab"/>
        </w:rPr>
        <w:footnoteRef/>
      </w:r>
      <w:r>
        <w:rPr>
          <w:rtl/>
        </w:rPr>
        <w:t xml:space="preserve"> </w:t>
      </w:r>
      <w:r>
        <w:rPr>
          <w:rFonts w:hint="cs"/>
          <w:rtl/>
        </w:rPr>
        <w:t xml:space="preserve">והתוס' העלו אפשרות זו וכתבו שאין לומר דמיירי באין ניכר הרבית בשטר אלא כתוב סתמא פלוני חייב לפלוני מנה וסברו העדים שהכל קרן ואח"כ נודע שהוא רבית, דבפרק איזהו נשך מתרץ רבי יוחנן על ההיא דשטרי חוב המוקדמין פסולין אפילו תימא רבנן שמא יגבה מזמן ראשון ואי אין ניכר בשטר שיש בו רבית ליגזור נמי שמא יגבה רבית במקום קרן. </w:t>
      </w:r>
    </w:p>
  </w:footnote>
  <w:footnote w:id="4260">
    <w:p w14:paraId="71BD359E" w14:textId="77777777" w:rsidR="0013116F" w:rsidRDefault="0013116F" w:rsidP="001D49D4">
      <w:pPr>
        <w:pStyle w:val="a9"/>
        <w:rPr>
          <w:rtl/>
        </w:rPr>
      </w:pPr>
      <w:r>
        <w:rPr>
          <w:rStyle w:val="ab"/>
        </w:rPr>
        <w:footnoteRef/>
      </w:r>
      <w:r>
        <w:rPr>
          <w:rtl/>
        </w:rPr>
        <w:t xml:space="preserve"> ולא גזרינן שמא יגבה הריבית כדפסלינן (לעיל סי' מג סע' ז) שט"ח המוקדמין אפילו מזמן שני דילמא אתי למיגבי מזמן ראשון, דהתם אי גבי מזמן ראשון הרי הכל אסור שטרף מן הלקוחות שלא כדין כל הממון, אבל כאן אפילו יגבה את הריבית, בקרן שבשטר לא עביד איסורא, ולא קנסינן היתרא אטו איסורא, רמב"ן.</w:t>
      </w:r>
    </w:p>
  </w:footnote>
  <w:footnote w:id="4261">
    <w:p w14:paraId="02BEE384" w14:textId="77777777" w:rsidR="0013116F" w:rsidRDefault="0013116F" w:rsidP="001D49D4">
      <w:pPr>
        <w:pStyle w:val="a9"/>
      </w:pPr>
      <w:r>
        <w:rPr>
          <w:rStyle w:val="ab"/>
        </w:rPr>
        <w:footnoteRef/>
      </w:r>
      <w:r>
        <w:rPr>
          <w:rtl/>
        </w:rPr>
        <w:t xml:space="preserve"> בה"ג</w:t>
      </w:r>
      <w:r>
        <w:rPr>
          <w:sz w:val="16"/>
          <w:szCs w:val="16"/>
          <w:rtl/>
        </w:rPr>
        <w:t xml:space="preserve"> (סי' מה הל' רבית צה:)</w:t>
      </w:r>
      <w:r>
        <w:rPr>
          <w:rtl/>
        </w:rPr>
        <w:t xml:space="preserve"> רש"י </w:t>
      </w:r>
      <w:r>
        <w:rPr>
          <w:sz w:val="16"/>
          <w:szCs w:val="16"/>
          <w:rtl/>
        </w:rPr>
        <w:t xml:space="preserve">(ב"מ שם ד"ה שטר) </w:t>
      </w:r>
      <w:r>
        <w:rPr>
          <w:rtl/>
        </w:rPr>
        <w:t xml:space="preserve">תוס' </w:t>
      </w:r>
      <w:r>
        <w:rPr>
          <w:sz w:val="16"/>
          <w:szCs w:val="16"/>
          <w:rtl/>
        </w:rPr>
        <w:t xml:space="preserve">(ב"מ עב. ד"ה שטר, וכן בב"ק שם ד"ה וחכמים) </w:t>
      </w:r>
      <w:r>
        <w:rPr>
          <w:rtl/>
        </w:rPr>
        <w:t xml:space="preserve">רא"ש </w:t>
      </w:r>
      <w:r>
        <w:rPr>
          <w:sz w:val="16"/>
          <w:szCs w:val="16"/>
          <w:rtl/>
        </w:rPr>
        <w:t xml:space="preserve">(ב"ק שם סי' ח) </w:t>
      </w:r>
      <w:r>
        <w:rPr>
          <w:rtl/>
        </w:rPr>
        <w:t xml:space="preserve">הגמ"ר </w:t>
      </w:r>
      <w:r>
        <w:rPr>
          <w:sz w:val="16"/>
          <w:szCs w:val="16"/>
          <w:rtl/>
        </w:rPr>
        <w:t xml:space="preserve">(פרק איזהו נשך סי' תמ וסי' תנו, כ"כ בשמו הדרכ"מ [יו"ד סי' קסא אות ו]) </w:t>
      </w:r>
      <w:r>
        <w:rPr>
          <w:rtl/>
        </w:rPr>
        <w:t>וטור.</w:t>
      </w:r>
    </w:p>
  </w:footnote>
  <w:footnote w:id="4262">
    <w:p w14:paraId="702AEED4" w14:textId="77777777" w:rsidR="0013116F" w:rsidRDefault="0013116F" w:rsidP="001D49D4">
      <w:pPr>
        <w:pStyle w:val="a9"/>
      </w:pPr>
      <w:r>
        <w:rPr>
          <w:rStyle w:val="ab"/>
        </w:rPr>
        <w:footnoteRef/>
      </w:r>
      <w:r>
        <w:rPr>
          <w:rtl/>
        </w:rPr>
        <w:t xml:space="preserve"> אלא שאינו גובה מכח השטר ונפקא מינה שלא יגבה ממשועבדים, דרכ"מ (יו"ד סי' קסא אות ו).</w:t>
      </w:r>
    </w:p>
  </w:footnote>
  <w:footnote w:id="4263">
    <w:p w14:paraId="3A193DD8" w14:textId="77777777" w:rsidR="0013116F" w:rsidRDefault="0013116F" w:rsidP="001D49D4">
      <w:pPr>
        <w:pStyle w:val="a9"/>
        <w:rPr>
          <w:rtl/>
        </w:rPr>
      </w:pPr>
      <w:r>
        <w:rPr>
          <w:rStyle w:val="ab"/>
        </w:rPr>
        <w:footnoteRef/>
      </w:r>
      <w:r>
        <w:rPr>
          <w:rtl/>
        </w:rPr>
        <w:t xml:space="preserve"> </w:t>
      </w:r>
      <w:r>
        <w:rPr>
          <w:rFonts w:hint="cs"/>
          <w:rtl/>
        </w:rPr>
        <w:t xml:space="preserve">וכתב הש"ך שמצא בתשו' מהר"י בן לב (ספר ג ס"ס כא) שכתב וז"ל- ושוב עיינתי במ"ש הרא"ש בתשובותיו (כלל קח סי' כב) ולפי מה שאני מבין מתוך דבריו ליתנהו להנהו מילי שכתב מהרי"ק שורש י"ז, עכ"ל. וכתב הש"ך שלפי דעתו עיקר כדברי מהרי"ק, כי דבריו ברורים בטעמם. ומ"ש הרא"ש לישנא דקנסא, לאו בדוקא הוא, </w:t>
      </w:r>
      <w:r>
        <w:rPr>
          <w:rtl/>
        </w:rPr>
        <w:t>אלא כלומר דהיכא דאיכא חששא דיגבה שלא כדין קנסינן ליה לפסול השטר, ומיירי כשהלוה טוען פרעתי.</w:t>
      </w:r>
    </w:p>
    <w:p w14:paraId="75665790" w14:textId="77777777" w:rsidR="0013116F" w:rsidRDefault="0013116F" w:rsidP="001D49D4">
      <w:pPr>
        <w:pStyle w:val="a9"/>
        <w:rPr>
          <w:rtl/>
        </w:rPr>
      </w:pPr>
    </w:p>
  </w:footnote>
  <w:footnote w:id="4264">
    <w:p w14:paraId="723A362E" w14:textId="77777777" w:rsidR="0013116F" w:rsidRDefault="0013116F" w:rsidP="001D49D4">
      <w:pPr>
        <w:pStyle w:val="a9"/>
      </w:pPr>
      <w:r>
        <w:rPr>
          <w:rStyle w:val="ab"/>
        </w:rPr>
        <w:footnoteRef/>
      </w:r>
      <w:r>
        <w:rPr>
          <w:rtl/>
        </w:rPr>
        <w:t xml:space="preserve"> וכן הוא במרדכי פרק המניח (סי' לד), דרכ"מ (אות א).</w:t>
      </w:r>
    </w:p>
  </w:footnote>
  <w:footnote w:id="4265">
    <w:p w14:paraId="3E3D811E" w14:textId="77777777" w:rsidR="0013116F" w:rsidRDefault="0013116F" w:rsidP="001D49D4">
      <w:pPr>
        <w:pStyle w:val="a9"/>
        <w:rPr>
          <w:rtl/>
        </w:rPr>
      </w:pPr>
      <w:r>
        <w:rPr>
          <w:rStyle w:val="ab"/>
        </w:rPr>
        <w:footnoteRef/>
      </w:r>
      <w:r>
        <w:rPr>
          <w:rtl/>
        </w:rPr>
        <w:t xml:space="preserve"> </w:t>
      </w:r>
      <w:r>
        <w:rPr>
          <w:rFonts w:hint="cs"/>
          <w:rtl/>
        </w:rPr>
        <w:t>סימן – קדושים חתכו בסכין.</w:t>
      </w:r>
    </w:p>
  </w:footnote>
  <w:footnote w:id="4266">
    <w:p w14:paraId="588F1FDB" w14:textId="77777777" w:rsidR="0013116F" w:rsidRDefault="0013116F" w:rsidP="001D49D4">
      <w:pPr>
        <w:pStyle w:val="a9"/>
        <w:rPr>
          <w:rtl/>
        </w:rPr>
      </w:pPr>
      <w:r>
        <w:rPr>
          <w:rStyle w:val="ab"/>
        </w:rPr>
        <w:footnoteRef/>
      </w:r>
      <w:r>
        <w:rPr>
          <w:rtl/>
        </w:rPr>
        <w:t xml:space="preserve"> </w:t>
      </w:r>
      <w:r>
        <w:rPr>
          <w:rFonts w:hint="cs"/>
          <w:rtl/>
        </w:rPr>
        <w:t>וז"ל-</w:t>
      </w:r>
      <w:r>
        <w:rPr>
          <w:rtl/>
        </w:rPr>
        <w:t xml:space="preserve"> אם יש בקריעתו שתי וערב אע"פ שאינן מכוונין חיישינן ולא מגבינן ביה, אבל אם נתקרע לצד אחד שלא במקום מהמקומות שאמר רב יהודה ואף אינו נקרע שתי וערב - ראיה שנקרע ליכא ולא חיישינן ומגבינן ביה.</w:t>
      </w:r>
    </w:p>
  </w:footnote>
  <w:footnote w:id="4267">
    <w:p w14:paraId="05C60B19" w14:textId="77777777" w:rsidR="0013116F" w:rsidRDefault="0013116F" w:rsidP="001D49D4">
      <w:pPr>
        <w:pStyle w:val="a9"/>
      </w:pPr>
      <w:r>
        <w:rPr>
          <w:rStyle w:val="ab"/>
        </w:rPr>
        <w:footnoteRef/>
      </w:r>
      <w:r>
        <w:rPr>
          <w:rtl/>
        </w:rPr>
        <w:t xml:space="preserve"> הב"י כתב שהרי"ף והרא"ש כתבו את דברי רב יהודה ודברי אביי ולא הכריעו ביניהם, משמע דסבירא להו שלא בא אביי לחלוק על דברי רב יהודה אלא להוסיף עליו דשתי וערב נמי מקרי קרע בית דין אע"פ שאינו במקום העדים והזמן, וכן פירש הרשב"א בתשובה (סי' תשח), ולפיכך כתב רבינו דברי שניהם... וכתב הה"מ ושמעתי שכן כתב ר"מ וכן השיב רבינו האי דתפסינן לחומרא כאביי וכרב יהודה דבין כך ובין כך פסול וזה נראה עיקר עכ"ל</w:t>
      </w:r>
      <w:r>
        <w:rPr>
          <w:sz w:val="16"/>
          <w:szCs w:val="16"/>
          <w:rtl/>
        </w:rPr>
        <w:t xml:space="preserve"> {הה"מ}</w:t>
      </w:r>
      <w:r>
        <w:rPr>
          <w:rtl/>
        </w:rPr>
        <w:t>.</w:t>
      </w:r>
    </w:p>
  </w:footnote>
  <w:footnote w:id="4268">
    <w:p w14:paraId="19A47F33" w14:textId="77777777" w:rsidR="0013116F" w:rsidRDefault="0013116F" w:rsidP="001D49D4">
      <w:pPr>
        <w:pStyle w:val="a9"/>
        <w:rPr>
          <w:rtl/>
        </w:rPr>
      </w:pPr>
      <w:r>
        <w:rPr>
          <w:rStyle w:val="ab"/>
        </w:rPr>
        <w:footnoteRef/>
      </w:r>
      <w:r>
        <w:rPr>
          <w:rtl/>
        </w:rPr>
        <w:t xml:space="preserve"> </w:t>
      </w:r>
      <w:r>
        <w:rPr>
          <w:rFonts w:hint="cs"/>
          <w:rtl/>
        </w:rPr>
        <w:t xml:space="preserve">וז"ל- </w:t>
      </w:r>
      <w:r>
        <w:rPr>
          <w:rtl/>
        </w:rPr>
        <w:t>אמר אביי שתי וערב, כתב הריב"ם ואפי' אינו במקום עדים והזמן. ואם לא יהיה שתי וערב אפילו נקרע מקום העדים והזמן והתורף לא הוי קרע ב"ד לאביי וכשר.</w:t>
      </w:r>
    </w:p>
  </w:footnote>
  <w:footnote w:id="4269">
    <w:p w14:paraId="56B07515" w14:textId="77777777" w:rsidR="0013116F" w:rsidRDefault="0013116F" w:rsidP="001D49D4">
      <w:pPr>
        <w:pStyle w:val="a9"/>
      </w:pPr>
      <w:r>
        <w:rPr>
          <w:rStyle w:val="ab"/>
        </w:rPr>
        <w:footnoteRef/>
      </w:r>
      <w:r>
        <w:rPr>
          <w:rtl/>
        </w:rPr>
        <w:t xml:space="preserve"> </w:t>
      </w:r>
      <w:r>
        <w:rPr>
          <w:rFonts w:hint="cs"/>
          <w:rtl/>
        </w:rPr>
        <w:t>וז"ל-</w:t>
      </w:r>
      <w:r>
        <w:rPr>
          <w:rtl/>
        </w:rPr>
        <w:t xml:space="preserve"> שטר חוב שנתקרע כשר, נמחק או נתטשטש אם רשומו ניכר כשר, נקרע קרע ב"ד ה"ז פסול, איזהו קרע ב"ד שתי וערב.</w:t>
      </w:r>
    </w:p>
  </w:footnote>
  <w:footnote w:id="4270">
    <w:p w14:paraId="4A889140" w14:textId="77777777" w:rsidR="0013116F" w:rsidRDefault="0013116F" w:rsidP="001D49D4">
      <w:pPr>
        <w:pStyle w:val="a9"/>
      </w:pPr>
      <w:r>
        <w:rPr>
          <w:rStyle w:val="ab"/>
        </w:rPr>
        <w:footnoteRef/>
      </w:r>
      <w:r>
        <w:rPr>
          <w:rtl/>
        </w:rPr>
        <w:t xml:space="preserve"> </w:t>
      </w:r>
      <w:r>
        <w:rPr>
          <w:rFonts w:hint="cs"/>
          <w:rtl/>
        </w:rPr>
        <w:t xml:space="preserve">ואפי' אינו במקום עדים והזמן, ריב"ם (הביאו הג"א שם). דאביי לאיפלוגי אתא. </w:t>
      </w:r>
      <w:r>
        <w:rPr>
          <w:sz w:val="16"/>
          <w:szCs w:val="16"/>
          <w:rtl/>
        </w:rPr>
        <w:t>(ומה שכתב הב"י אחר דברי הג"א דהלכה כאביי דבתרא הוא, נראה שכוונתו לומר שלדעת הג"א וריב"ם כך ההלכה. או שכוונתו דלכו"ע הלכה כאביי השאלה רק אם בא לחלוק או להוסיף, ולבסוף פסק הב"י שאביי בא להוסיף)</w:t>
      </w:r>
      <w:r>
        <w:rPr>
          <w:rtl/>
        </w:rPr>
        <w:t xml:space="preserve"> </w:t>
      </w:r>
    </w:p>
  </w:footnote>
  <w:footnote w:id="4271">
    <w:p w14:paraId="7439304B" w14:textId="77777777" w:rsidR="0013116F" w:rsidRDefault="0013116F" w:rsidP="001D49D4">
      <w:pPr>
        <w:pStyle w:val="a9"/>
        <w:rPr>
          <w:rtl/>
        </w:rPr>
      </w:pPr>
      <w:r>
        <w:rPr>
          <w:rStyle w:val="ab"/>
        </w:rPr>
        <w:footnoteRef/>
      </w:r>
      <w:r>
        <w:rPr>
          <w:rtl/>
        </w:rPr>
        <w:t xml:space="preserve"> </w:t>
      </w:r>
      <w:r>
        <w:rPr>
          <w:rFonts w:hint="cs"/>
          <w:rtl/>
        </w:rPr>
        <w:t>ובתשו' הרשב"א (ח"א סי' תשעו) חולק בזו וכתב שאין חוששין שמא במקום נקב קרע בית דין היה דאין פוסלין את השטר מספק, ועיין שם. ואפשר דלא פליגי כי תלוי בראיית הדיין אם רואה שיש לחוש לערמה חוששין, דרכ"מ (אות ב).</w:t>
      </w:r>
    </w:p>
  </w:footnote>
  <w:footnote w:id="4272">
    <w:p w14:paraId="50FEAA9A" w14:textId="77777777" w:rsidR="0013116F" w:rsidRDefault="0013116F" w:rsidP="001D49D4">
      <w:pPr>
        <w:pStyle w:val="a9"/>
      </w:pPr>
      <w:r>
        <w:rPr>
          <w:rStyle w:val="ab"/>
        </w:rPr>
        <w:footnoteRef/>
      </w:r>
      <w:r>
        <w:rPr>
          <w:rtl/>
        </w:rPr>
        <w:t xml:space="preserve"> אבל במקום שהשטר כשר אלא שנקרע אין ב"ד עושין לו שטר אחר דהואיל וזה כשר יגבה חובו בזה, רשב"א</w:t>
      </w:r>
      <w:r>
        <w:rPr>
          <w:sz w:val="16"/>
          <w:szCs w:val="16"/>
          <w:rtl/>
        </w:rPr>
        <w:t xml:space="preserve"> (ח"א סי' תשח, הביאו הדרכ"מ [אות ג])</w:t>
      </w:r>
      <w:r>
        <w:rPr>
          <w:rtl/>
        </w:rPr>
        <w:t>.</w:t>
      </w:r>
    </w:p>
  </w:footnote>
  <w:footnote w:id="4273">
    <w:p w14:paraId="54E3AB70" w14:textId="77777777" w:rsidR="0013116F" w:rsidRDefault="0013116F" w:rsidP="001D49D4">
      <w:pPr>
        <w:pStyle w:val="a9"/>
        <w:rPr>
          <w:rtl/>
        </w:rPr>
      </w:pPr>
      <w:r>
        <w:rPr>
          <w:rStyle w:val="ab"/>
        </w:rPr>
        <w:footnoteRef/>
      </w:r>
      <w:r>
        <w:rPr>
          <w:rtl/>
        </w:rPr>
        <w:t xml:space="preserve"> ושלח הב"י לעיין בהריב"ש (סי' שפג) ובתשובת הר"ן (סי' עו).</w:t>
      </w:r>
    </w:p>
  </w:footnote>
  <w:footnote w:id="4274">
    <w:p w14:paraId="3D34CB31" w14:textId="77777777" w:rsidR="0013116F" w:rsidRDefault="0013116F" w:rsidP="001D49D4">
      <w:pPr>
        <w:pStyle w:val="a9"/>
        <w:rPr>
          <w:rtl/>
        </w:rPr>
      </w:pPr>
      <w:r>
        <w:rPr>
          <w:rStyle w:val="ab"/>
        </w:rPr>
        <w:footnoteRef/>
      </w:r>
      <w:r>
        <w:rPr>
          <w:rtl/>
        </w:rPr>
        <w:t xml:space="preserve"> אפילו מפורש בו ריבית דאורייתא, כמ"ש התוס' (שם) והרא"ש (שם) ושאר פוסקים, והטור והמחבר ביו"ד ס"ס קס"א, דהעדים לא נפסלו בכך, דלא תשימון עליו נשך לא משמע לאיניש אלא במלוה ולוה, כדלעיל סימן ל"ד סעיף י', ש"ך (סק"א). וכתב הסמ"ע (סק"א) דלא תשימון עליו נשך לא קאי רק אלוה ומלוה וערב, ע"כ. וכתב הש"ך (סק"א) דהיינו כמ"ש קצת פוסקים, אבל יש פוסקים דערב דינו כעדים, הביאם ב"י לעיל סימן ל"ד [סעיף ט"ז], וכ"כ הטור שם [סעיף ט"ז] בשם הרא"ש, וכן נראה מדברי המחבר שם בב"י וגם בשו"ע שם סעיף י' שכתב, המלוה והלוה בריבית פסולים, ולא מנה ערב ועדים עמהם.</w:t>
      </w:r>
    </w:p>
  </w:footnote>
  <w:footnote w:id="4275">
    <w:p w14:paraId="2D63F909" w14:textId="77777777" w:rsidR="0013116F" w:rsidRDefault="0013116F" w:rsidP="001D49D4">
      <w:pPr>
        <w:pStyle w:val="a9"/>
        <w:rPr>
          <w:rtl/>
        </w:rPr>
      </w:pPr>
      <w:r>
        <w:rPr>
          <w:rStyle w:val="ab"/>
        </w:rPr>
        <w:footnoteRef/>
      </w:r>
      <w:r>
        <w:rPr>
          <w:rtl/>
        </w:rPr>
        <w:t xml:space="preserve"> אבל אם נכלל ריבית דרבנן עם הקרן, בזה יראה לי דלכו"ע גבי בו ממשעבדי </w:t>
      </w:r>
      <w:r>
        <w:rPr>
          <w:sz w:val="16"/>
          <w:szCs w:val="16"/>
          <w:rtl/>
        </w:rPr>
        <w:t>(דע"כ לא גזרו התוס' קרן אטו ריבית אלא בדאורייתא, וגם להרמב"ן ז"ל לא יפסלו העדים כיון דלא עברי אדאורייתא)</w:t>
      </w:r>
      <w:r>
        <w:rPr>
          <w:rtl/>
        </w:rPr>
        <w:t>, גדולי תרומה (שם). וכתב הש"ך (סק"א) דמיירי כשידוע שהעדים החתומים על השטר ידעו שיש בו ריבית, דאל"כ בלאו הכי העדים כשרים להרמב"ן.</w:t>
      </w:r>
    </w:p>
  </w:footnote>
  <w:footnote w:id="4276">
    <w:p w14:paraId="6F5586C3" w14:textId="77777777" w:rsidR="0013116F" w:rsidRDefault="0013116F" w:rsidP="001D49D4">
      <w:pPr>
        <w:pStyle w:val="a9"/>
        <w:rPr>
          <w:rtl/>
        </w:rPr>
      </w:pPr>
      <w:r>
        <w:rPr>
          <w:rStyle w:val="ab"/>
        </w:rPr>
        <w:footnoteRef/>
      </w:r>
      <w:r>
        <w:rPr>
          <w:rtl/>
        </w:rPr>
        <w:t xml:space="preserve"> </w:t>
      </w:r>
      <w:r>
        <w:rPr>
          <w:rFonts w:hint="cs"/>
          <w:rtl/>
        </w:rPr>
        <w:t>ו</w:t>
      </w:r>
      <w:r>
        <w:rPr>
          <w:rtl/>
        </w:rPr>
        <w:t xml:space="preserve">לא מהני אם רוצה לכתוב עליו דלא ניתן השטר לגבות הריבית כי אם הקרן, דמ"מ מתחילה נכתב בפסול דהרי יכולין לגבות בו גם הריבית, ומשו"ה קנסינן ליה גם הקרן שלא להגבותו ממשועבדים, סמ"ע </w:t>
      </w:r>
      <w:r>
        <w:rPr>
          <w:sz w:val="16"/>
          <w:szCs w:val="16"/>
          <w:rtl/>
        </w:rPr>
        <w:t>(סק"ב)</w:t>
      </w:r>
      <w:r>
        <w:rPr>
          <w:rtl/>
        </w:rPr>
        <w:t xml:space="preserve">. וכ' הש"ך </w:t>
      </w:r>
      <w:r>
        <w:rPr>
          <w:sz w:val="16"/>
          <w:szCs w:val="16"/>
          <w:rtl/>
        </w:rPr>
        <w:t xml:space="preserve">(סק"ב) </w:t>
      </w:r>
      <w:r>
        <w:rPr>
          <w:rtl/>
        </w:rPr>
        <w:t xml:space="preserve">דהיינו כיון שנראה פיסולו בב"ד שוב אין לו תקנה, אבל אם המלוה כותב על גביו קודם שנראה השטר בב"ד מהני </w:t>
      </w:r>
      <w:r>
        <w:rPr>
          <w:sz w:val="16"/>
          <w:szCs w:val="16"/>
          <w:rtl/>
        </w:rPr>
        <w:t>(וכדלעיל סי' מה סע' יד, וכן כתבתי לעיל סי' מג סקי"א גבי שטר מוקדם)</w:t>
      </w:r>
      <w:r>
        <w:rPr>
          <w:rtl/>
        </w:rPr>
        <w:t>.</w:t>
      </w:r>
    </w:p>
  </w:footnote>
  <w:footnote w:id="4277">
    <w:p w14:paraId="3F1FE565" w14:textId="77777777" w:rsidR="0013116F" w:rsidRDefault="0013116F" w:rsidP="001D49D4">
      <w:pPr>
        <w:pStyle w:val="a9"/>
        <w:rPr>
          <w:rtl/>
        </w:rPr>
      </w:pPr>
      <w:r>
        <w:rPr>
          <w:rStyle w:val="ab"/>
        </w:rPr>
        <w:footnoteRef/>
      </w:r>
      <w:r>
        <w:rPr>
          <w:rtl/>
        </w:rPr>
        <w:t xml:space="preserve"> וה"ה אם יש עדים על הקרן (מהרי"ק שורש יז), ולפי מ"ש הפוסקים דהעדים לא נפסלו א"כ גם העדים החתומים על השטר נאמנים על הקרן, ש"ך (סק"ג).</w:t>
      </w:r>
    </w:p>
  </w:footnote>
  <w:footnote w:id="4278">
    <w:p w14:paraId="45B02597" w14:textId="77777777" w:rsidR="0013116F" w:rsidRDefault="0013116F" w:rsidP="001D49D4">
      <w:pPr>
        <w:pStyle w:val="a9"/>
      </w:pPr>
      <w:r>
        <w:rPr>
          <w:rStyle w:val="ab"/>
        </w:rPr>
        <w:footnoteRef/>
      </w:r>
      <w:r>
        <w:rPr>
          <w:rtl/>
        </w:rPr>
        <w:t xml:space="preserve"> הסמ"ע (סק"ד) כתב דכ"כ התוס' בב"ק (ל: ד"ה שטר), וכתבו שם דלא דמי לשטר מוקדם </w:t>
      </w:r>
      <w:r>
        <w:rPr>
          <w:sz w:val="16"/>
          <w:szCs w:val="16"/>
          <w:rtl/>
        </w:rPr>
        <w:t>(כמ"ש בסי' מג סע' ז)</w:t>
      </w:r>
      <w:r>
        <w:rPr>
          <w:rtl/>
        </w:rPr>
        <w:t xml:space="preserve"> דהשטר פסול אבל לא מפסיד המלוה, וטעמו, דשם רק השטר נעשה באיסור, משא"כ כאן דהלואה נעשתה באיסור, וגם סיימו שם, ולא אמרינן הא הלוה חוטא ונשכר, דשאני לוה דלא היתה כונתו להרויח משא"כ המלוה, ואף דשם כתבו כן אליבא דרבי מאיר ובסוף </w:t>
      </w:r>
      <w:r>
        <w:rPr>
          <w:sz w:val="16"/>
          <w:szCs w:val="16"/>
          <w:rtl/>
        </w:rPr>
        <w:t>(שם ד"ה וחכמים)</w:t>
      </w:r>
      <w:r>
        <w:rPr>
          <w:rtl/>
        </w:rPr>
        <w:t xml:space="preserve"> פסקו כרבנן, מ"מ יש נ"מ לדינא אם כלל הקרן עם הריבית דבזה מודים רבנן דפסול, וכדפסק כאן. עכ"ל הסמ"ע. וגם המשאת בנימין (סי' לד) והעיר שושן (סע' א) נמשכו אחר פסק הרמ"א. אך הש"ך (סק"ד) חלק על פסיקת הרמ"א וכתב דליכא מאן דאמר הכי. ודחה את דברי הסמ"ע ואת הוכחותיו וכתב שהתוס' לא כתבו כן אלא לרבי מאיר ואין ללמוד מזה לרבנן אלא מדמינן לה לשטר מוקדם. וכ"כ הגר"א (סק"ה). וגם רי"ו (נ"ב ח"ד) כתב שכשחייב מודה או כשיש לו עדים גובים מזה השטר. וגם הט"ז השיג על הסמ"ע בזה ומסיק וכתב וז"ל- ונראה דלא קי"ל כהך י"א כל עיקר כיון שמהרי"ק פירש בהדיא דגובה הקרן, וכן משמעות המרדכי [שם] והגה"מ [ד"ק פ"ד ממלוה ה"ו ותשובות מיימוניות משפטים סי' נט], וגם דעת הטור יש לפרש דמיירי בלא הודאה.</w:t>
      </w:r>
    </w:p>
  </w:footnote>
  <w:footnote w:id="4279">
    <w:p w14:paraId="119ED9CA" w14:textId="77777777" w:rsidR="0013116F" w:rsidRDefault="0013116F" w:rsidP="001D49D4">
      <w:pPr>
        <w:pStyle w:val="a9"/>
        <w:rPr>
          <w:rtl/>
        </w:rPr>
      </w:pPr>
      <w:r>
        <w:rPr>
          <w:rStyle w:val="ab"/>
        </w:rPr>
        <w:footnoteRef/>
      </w:r>
      <w:r>
        <w:rPr>
          <w:rtl/>
        </w:rPr>
        <w:t xml:space="preserve"> היינו דוקא לסברא האחרונה</w:t>
      </w:r>
      <w:r>
        <w:rPr>
          <w:sz w:val="16"/>
          <w:szCs w:val="16"/>
          <w:rtl/>
        </w:rPr>
        <w:t xml:space="preserve"> {שדחה הש"ך לפנ"כ}</w:t>
      </w:r>
      <w:r>
        <w:rPr>
          <w:rtl/>
        </w:rPr>
        <w:t>, וכן משמע להדיא במהרי"ק שם דקאי אחייב מודה, אבל לפי הסברא הראשונה</w:t>
      </w:r>
      <w:r>
        <w:rPr>
          <w:sz w:val="16"/>
          <w:szCs w:val="16"/>
          <w:rtl/>
        </w:rPr>
        <w:t xml:space="preserve"> {בריש הג"ה זו}</w:t>
      </w:r>
      <w:r>
        <w:rPr>
          <w:rtl/>
        </w:rPr>
        <w:t xml:space="preserve"> אין חילוק בהלוה ע"י שליח, דהקרן גובה לעולם מבני חרי כשחייב מודה, וממשעבדי או כשאין החייב מודה לא גבי הקרן אף שהלוה ע"י שליח, דמ"מ השטר נפסל, כן נ"ל, ש"ך (סק"ה).</w:t>
      </w:r>
    </w:p>
  </w:footnote>
  <w:footnote w:id="4280">
    <w:p w14:paraId="1615DC3F" w14:textId="77777777" w:rsidR="0013116F" w:rsidRDefault="0013116F" w:rsidP="001D49D4">
      <w:pPr>
        <w:pStyle w:val="a9"/>
        <w:rPr>
          <w:rtl/>
        </w:rPr>
      </w:pPr>
      <w:r>
        <w:rPr>
          <w:rStyle w:val="ab"/>
        </w:rPr>
        <w:footnoteRef/>
      </w:r>
      <w:r>
        <w:rPr>
          <w:rtl/>
        </w:rPr>
        <w:t xml:space="preserve"> דעת הר"ן בתשובה סי' ע"ו דאם יש קרע באחד משלשתן דפסול, ואולם הגידו"ת (שער נז ח"א ס"ב) השיג עליו, דלשון הגמ' (ב"ב קסח:) משמע דצריך להיות הקרע בכל שלשת המקומות. וכתב הש"ך (סק"ו) שבנמוק"י פרק גט פשוט </w:t>
      </w:r>
      <w:r>
        <w:rPr>
          <w:sz w:val="16"/>
          <w:szCs w:val="16"/>
          <w:rtl/>
        </w:rPr>
        <w:t xml:space="preserve">[ב"ב עח: מדפה"ר, </w:t>
      </w:r>
      <w:r>
        <w:rPr>
          <w:color w:val="FF0000"/>
          <w:sz w:val="16"/>
          <w:szCs w:val="16"/>
          <w:rtl/>
        </w:rPr>
        <w:t>לא מצאתי היכן</w:t>
      </w:r>
      <w:r>
        <w:rPr>
          <w:sz w:val="16"/>
          <w:szCs w:val="16"/>
          <w:rtl/>
        </w:rPr>
        <w:t xml:space="preserve">] </w:t>
      </w:r>
      <w:r>
        <w:rPr>
          <w:rtl/>
        </w:rPr>
        <w:t xml:space="preserve">כתב כדברי הר"ן, ומביאו הב"ח </w:t>
      </w:r>
      <w:r>
        <w:rPr>
          <w:sz w:val="16"/>
          <w:szCs w:val="16"/>
          <w:rtl/>
        </w:rPr>
        <w:t xml:space="preserve">[סע' ג] </w:t>
      </w:r>
      <w:r>
        <w:rPr>
          <w:rtl/>
        </w:rPr>
        <w:t>בסתם. ע"כ. אמנם האורים (סק"ז) הניח מחלוקת זו בצ"ע כי נראה לכאורה שהריב"ש (סי' שפג) חולק על דברי הר"ן רבו ומביא הוכחה מהגמ'.</w:t>
      </w:r>
    </w:p>
  </w:footnote>
  <w:footnote w:id="4281">
    <w:p w14:paraId="5FAF29C3" w14:textId="77777777" w:rsidR="0013116F" w:rsidRDefault="0013116F" w:rsidP="001D49D4">
      <w:pPr>
        <w:pStyle w:val="a9"/>
      </w:pPr>
      <w:r>
        <w:rPr>
          <w:rStyle w:val="ab"/>
        </w:rPr>
        <w:footnoteRef/>
      </w:r>
      <w:r>
        <w:rPr>
          <w:rtl/>
        </w:rPr>
        <w:t xml:space="preserve"> נראה דבעינן שתי וערב על כל הכתב של השטר, דאל"כ נתת דבריך לשיעורין, ולא מסתבר לומר דבקרוע שתי וערב בכל שהוא מיפסל. ועוד דלפעמים מזדמן קריעת שתי וערב כל שהוא בכפלי השטר ע"י משמוש השטר והנחתו, ש"ך (סק"ז).</w:t>
      </w:r>
    </w:p>
  </w:footnote>
  <w:footnote w:id="4282">
    <w:p w14:paraId="5DE2059D" w14:textId="77777777" w:rsidR="0013116F" w:rsidRDefault="0013116F" w:rsidP="001D49D4">
      <w:pPr>
        <w:pStyle w:val="a9"/>
        <w:rPr>
          <w:rtl/>
        </w:rPr>
      </w:pPr>
      <w:r>
        <w:rPr>
          <w:rStyle w:val="ab"/>
        </w:rPr>
        <w:footnoteRef/>
      </w:r>
      <w:r>
        <w:rPr>
          <w:rtl/>
        </w:rPr>
        <w:t xml:space="preserve"> הטעם, דכל שנעשה בסכין אמרינן במתכוין נעשה כדי לפסלו, סמ"ע (סק"ו).</w:t>
      </w:r>
    </w:p>
  </w:footnote>
  <w:footnote w:id="4283">
    <w:p w14:paraId="42FE47D4" w14:textId="77777777" w:rsidR="0013116F" w:rsidRDefault="0013116F" w:rsidP="001D49D4">
      <w:pPr>
        <w:pStyle w:val="a9"/>
      </w:pPr>
      <w:r>
        <w:rPr>
          <w:rStyle w:val="ab"/>
        </w:rPr>
        <w:footnoteRef/>
      </w:r>
      <w:r>
        <w:rPr>
          <w:rtl/>
        </w:rPr>
        <w:t xml:space="preserve"> פירוש, ואינו מעורה כלל, סמ"ע (סק"ז).</w:t>
      </w:r>
    </w:p>
  </w:footnote>
  <w:footnote w:id="4284">
    <w:p w14:paraId="30166A28" w14:textId="77777777" w:rsidR="0013116F" w:rsidRDefault="0013116F" w:rsidP="001D49D4">
      <w:pPr>
        <w:pStyle w:val="a9"/>
      </w:pPr>
      <w:r>
        <w:rPr>
          <w:rStyle w:val="ab"/>
        </w:rPr>
        <w:footnoteRef/>
      </w:r>
      <w:r>
        <w:rPr>
          <w:rtl/>
        </w:rPr>
        <w:t xml:space="preserve"> כתב בסמ"ע [סק"ח] דהיינו דוקא כשאינו נקרע בכפליו, אבל נקרע בכפליו אפילו לגמרי תולין אותו במשמוש היד וכשר, ע"כ. וכה"ג כתב הב"ח [סע' ד] דמשמע מתשו' הרא"ש [כלל ס"ח סי' ל] דבכפליו אפילו במקום העדים והזמן והתורף כשר. ואין דבריהם מוכרחים. ונראה דבקרע ב"ד אפילו בכפליו פסול, דלא מחלקינן בש"ס ופוסקים בנקרע קרע ב"ד בין בכפליו או לא, אלא סתמא אמרינן דבמקום העדים והזמן והתורף או שתי וערב פסול, וא"כ ה"ה בנקרע לשנים דגרע מקרע ב"ד. ומה דמשמע מתשו' הרא"ש דבכפליו כשר, היינו שלא בקרע בית דין. וטעמא דמילתא, דודאי לא שכיח שבמשמוש היד יתקרע בפעם אחת בכפליו, רק שדרכו להתקרע מעט מעט, וא"כ היה לו לילך לב"ד קודם שנקרע קרע ב"ד או לשנים, ומדלא עשה כן נראה שנעשה בכונה, ש"ך (סק"ח). וכתב האורים (סק"ט) דכבר נהגו לפסוק כסמ"ע והיא מילתא שכיחא ואין כאן ריעותא כלל. וכ"כ הנתיבות (סק"ה).</w:t>
      </w:r>
    </w:p>
  </w:footnote>
  <w:footnote w:id="4285">
    <w:p w14:paraId="66F347B6" w14:textId="77777777" w:rsidR="0013116F" w:rsidRDefault="0013116F" w:rsidP="001D49D4">
      <w:pPr>
        <w:pStyle w:val="a9"/>
      </w:pPr>
      <w:r>
        <w:rPr>
          <w:rStyle w:val="ab"/>
        </w:rPr>
        <w:footnoteRef/>
      </w:r>
      <w:r>
        <w:rPr>
          <w:rtl/>
        </w:rPr>
        <w:t xml:space="preserve"> כגון שמצא נקב גדול אין אומרים קרע ב"ד היה וזה נטל סביבותיה, דאין פוסלים השטר מספק. רשב"א (ח"א סי' תשעו), ש"ך (סק"ט). וכ"כ הסמ"ע (סקי"א).</w:t>
      </w:r>
    </w:p>
  </w:footnote>
  <w:footnote w:id="4286">
    <w:p w14:paraId="1E130063" w14:textId="77777777" w:rsidR="0013116F" w:rsidRDefault="0013116F" w:rsidP="001D49D4">
      <w:pPr>
        <w:pStyle w:val="a9"/>
        <w:rPr>
          <w:rtl/>
        </w:rPr>
      </w:pPr>
      <w:r>
        <w:rPr>
          <w:rStyle w:val="ab"/>
        </w:rPr>
        <w:footnoteRef/>
      </w:r>
      <w:r>
        <w:rPr>
          <w:rtl/>
        </w:rPr>
        <w:t xml:space="preserve"> </w:t>
      </w:r>
      <w:r>
        <w:rPr>
          <w:rFonts w:hint="cs"/>
          <w:rtl/>
        </w:rPr>
        <w:t>סימן – שטר שנתקסח.</w:t>
      </w:r>
    </w:p>
  </w:footnote>
  <w:footnote w:id="4287">
    <w:p w14:paraId="5A02A5B0" w14:textId="77777777" w:rsidR="0013116F" w:rsidRDefault="0013116F" w:rsidP="001D49D4">
      <w:pPr>
        <w:pStyle w:val="a9"/>
      </w:pPr>
      <w:r>
        <w:rPr>
          <w:rStyle w:val="ab"/>
        </w:rPr>
        <w:footnoteRef/>
      </w:r>
      <w:r>
        <w:rPr>
          <w:rtl/>
        </w:rPr>
        <w:t xml:space="preserve"> </w:t>
      </w:r>
      <w:r>
        <w:rPr>
          <w:rFonts w:hint="cs"/>
          <w:rtl/>
        </w:rPr>
        <w:t>הסמ"ע (סקי"ב) כתב שצריך לגרוס 'הרקיב או נעשה'.</w:t>
      </w:r>
    </w:p>
  </w:footnote>
  <w:footnote w:id="4288">
    <w:p w14:paraId="329B34F8" w14:textId="77777777" w:rsidR="0013116F" w:rsidRDefault="0013116F" w:rsidP="001D49D4">
      <w:pPr>
        <w:pStyle w:val="a9"/>
        <w:rPr>
          <w:rtl/>
        </w:rPr>
      </w:pPr>
      <w:r>
        <w:rPr>
          <w:rStyle w:val="ab"/>
        </w:rPr>
        <w:footnoteRef/>
      </w:r>
      <w:r>
        <w:rPr>
          <w:rtl/>
        </w:rPr>
        <w:t xml:space="preserve"> </w:t>
      </w:r>
      <w:r>
        <w:rPr>
          <w:rFonts w:hint="cs"/>
          <w:rtl/>
        </w:rPr>
        <w:t xml:space="preserve">סימן – בקע </w:t>
      </w:r>
      <w:r>
        <w:rPr>
          <w:sz w:val="16"/>
          <w:szCs w:val="16"/>
          <w:rtl/>
        </w:rPr>
        <w:t>{את השטר}</w:t>
      </w:r>
      <w:r>
        <w:rPr>
          <w:rtl/>
        </w:rPr>
        <w:t>.</w:t>
      </w:r>
    </w:p>
  </w:footnote>
  <w:footnote w:id="4289">
    <w:p w14:paraId="074BD461" w14:textId="77777777" w:rsidR="0013116F" w:rsidRDefault="0013116F" w:rsidP="001D49D4">
      <w:pPr>
        <w:pStyle w:val="a9"/>
      </w:pPr>
      <w:r>
        <w:rPr>
          <w:rStyle w:val="ab"/>
        </w:rPr>
        <w:footnoteRef/>
      </w:r>
      <w:r>
        <w:rPr>
          <w:rtl/>
        </w:rPr>
        <w:t xml:space="preserve"> מלוה דנקיט שטר מלוה בר מאה זוזי ואמר להם כתבו לי תרי בני חמשים שכשיפרע לי הלוה חמשים זוזי אקרע שטרא של חמשים ולא יהיה צריך לכתוב שובר לא כתבינן שלא מדעת הלוה, רשב"ם.</w:t>
      </w:r>
    </w:p>
  </w:footnote>
  <w:footnote w:id="4290">
    <w:p w14:paraId="031F4F41" w14:textId="77777777" w:rsidR="0013116F" w:rsidRDefault="0013116F" w:rsidP="001D49D4">
      <w:pPr>
        <w:pStyle w:val="a9"/>
        <w:rPr>
          <w:rtl/>
        </w:rPr>
      </w:pPr>
      <w:r>
        <w:rPr>
          <w:rStyle w:val="ab"/>
        </w:rPr>
        <w:footnoteRef/>
      </w:r>
      <w:r>
        <w:rPr>
          <w:rtl/>
        </w:rPr>
        <w:t xml:space="preserve"> שתקנו שלא ישתנה שטרו מכמות שהיה דניחא ליה כו', רשב"ם.</w:t>
      </w:r>
    </w:p>
  </w:footnote>
  <w:footnote w:id="4291">
    <w:p w14:paraId="63302510" w14:textId="77777777" w:rsidR="0013116F" w:rsidRDefault="0013116F" w:rsidP="001D49D4">
      <w:pPr>
        <w:pStyle w:val="a9"/>
        <w:rPr>
          <w:rtl/>
        </w:rPr>
      </w:pPr>
      <w:r>
        <w:rPr>
          <w:rStyle w:val="ab"/>
        </w:rPr>
        <w:footnoteRef/>
      </w:r>
      <w:r>
        <w:rPr>
          <w:rtl/>
        </w:rPr>
        <w:t xml:space="preserve"> כשיפרענו לוה למלוה חצי חובו יכופנו מלוה לפרוע לו השאר כי ידאג הלוה פן יפסיד שוברו ויתבעהו מלוה כל חובו, רשב"ם. וכתב הרמב"ם בפכ"ג ממלוה (הי"ז) דהיינו שלא יכוף אותו בדין בפעם אחת לגבות הכל.</w:t>
      </w:r>
    </w:p>
  </w:footnote>
  <w:footnote w:id="4292">
    <w:p w14:paraId="490AB659" w14:textId="77777777" w:rsidR="0013116F" w:rsidRDefault="0013116F" w:rsidP="001D49D4">
      <w:pPr>
        <w:pStyle w:val="a9"/>
        <w:rPr>
          <w:rtl/>
        </w:rPr>
      </w:pPr>
      <w:r>
        <w:rPr>
          <w:rStyle w:val="ab"/>
        </w:rPr>
        <w:footnoteRef/>
      </w:r>
      <w:r>
        <w:rPr>
          <w:rtl/>
        </w:rPr>
        <w:t xml:space="preserve"> כשיפרע חמשים זוז הרי נמצא שטר שביד מלוה פגום ותנן (כתובות פז.) הפוגמת כתובתה לא תפרע אלא בשבועה וה"ה לכל השטרות כדאמרי' במסכת שבועות וכי מה בין זה לפוגם שטרו כו' בפ' שבועת הדיינין (מא.), רשב"ם.</w:t>
      </w:r>
    </w:p>
  </w:footnote>
  <w:footnote w:id="4293">
    <w:p w14:paraId="3B025584" w14:textId="77777777" w:rsidR="0013116F" w:rsidRDefault="0013116F" w:rsidP="001D49D4">
      <w:pPr>
        <w:pStyle w:val="a9"/>
        <w:rPr>
          <w:rtl/>
        </w:rPr>
      </w:pPr>
      <w:r>
        <w:rPr>
          <w:rStyle w:val="ab"/>
        </w:rPr>
        <w:footnoteRef/>
      </w:r>
      <w:r>
        <w:rPr>
          <w:rtl/>
        </w:rPr>
        <w:t xml:space="preserve"> אך כשיפרענו חמשים זוז יחזיר לו שטר של חמשים ונשאר בידו שטר של חמשים שני שלם, רשב"ם. וכתב הה"מ (פכ"ג ממלוה ולוה) דהני טעמי איצטריכו להיכא דנודע שלא נפרע ולוה מודה כן, דאי לא - תיפוק ליה דלא גרע מהדין הנזכר בסמוך (הי"ח) דחיישינן דילמא פרעיה וכו', והכא נמי דכוותה, וכ"כ התוס' (ד"ה עבידו), ב"י.</w:t>
      </w:r>
    </w:p>
  </w:footnote>
  <w:footnote w:id="4294">
    <w:p w14:paraId="639772FB" w14:textId="77777777" w:rsidR="0013116F" w:rsidRDefault="0013116F" w:rsidP="001D49D4">
      <w:pPr>
        <w:pStyle w:val="a9"/>
        <w:rPr>
          <w:rtl/>
        </w:rPr>
      </w:pPr>
      <w:r>
        <w:rPr>
          <w:rStyle w:val="ab"/>
        </w:rPr>
        <w:footnoteRef/>
      </w:r>
      <w:r>
        <w:rPr>
          <w:rtl/>
        </w:rPr>
        <w:t xml:space="preserve"> מלוה בר מאה זוזי ואמר להו לספרי כתובו חד בר חמשים מההוא זמן ראשון שהרי פרע לי המותר וקרעו שטר זה לא כתבינן ליה שטר אחרינא לא מזמן ראשון וכל שכן מזמן זה של יום כתיבה ואילך שמא שטר פרוע הוא זה ויש לו שובר ללוה עליו ויוציא המלוה עליו שטר של חמשים ויאמר חוב אחר הוא זה שהלויתי לך פעם אחרת, רשב"ם.</w:t>
      </w:r>
    </w:p>
  </w:footnote>
  <w:footnote w:id="4295">
    <w:p w14:paraId="4422F2B5" w14:textId="77777777" w:rsidR="0013116F" w:rsidRDefault="0013116F" w:rsidP="001D49D4">
      <w:pPr>
        <w:pStyle w:val="a9"/>
        <w:rPr>
          <w:rtl/>
        </w:rPr>
      </w:pPr>
      <w:r>
        <w:rPr>
          <w:rStyle w:val="ab"/>
        </w:rPr>
        <w:footnoteRef/>
      </w:r>
      <w:r>
        <w:rPr>
          <w:rtl/>
        </w:rPr>
        <w:t xml:space="preserve"> </w:t>
      </w:r>
      <w:r>
        <w:rPr>
          <w:rFonts w:hint="cs"/>
          <w:rtl/>
        </w:rPr>
        <w:t>וכתב הב"י דפשוט הוא.</w:t>
      </w:r>
    </w:p>
  </w:footnote>
  <w:footnote w:id="4296">
    <w:p w14:paraId="0BC5D656" w14:textId="77777777" w:rsidR="0013116F" w:rsidRDefault="0013116F" w:rsidP="001D49D4">
      <w:pPr>
        <w:pStyle w:val="a9"/>
      </w:pPr>
      <w:r>
        <w:rPr>
          <w:rStyle w:val="ab"/>
        </w:rPr>
        <w:footnoteRef/>
      </w:r>
      <w:r>
        <w:rPr>
          <w:rtl/>
        </w:rPr>
        <w:t xml:space="preserve"> הטור והמחבר לא איירי אלא בלא ידעינן אי פרעו, מדכתבו עליה ואפילו אם יש לו אחד של מאה כו' הכל בבבא אחת. ובהאי דינא בתרא, פשיטא כשידוע שלא פרעו מותר לשנות ולעשות ממאה אחד של חמשים, אלא שמור"ם אתי ללמדנו דינא דאפילו ידוע שלא פרעו אסור..., סמ"ע (סק"א).</w:t>
      </w:r>
    </w:p>
  </w:footnote>
  <w:footnote w:id="4297">
    <w:p w14:paraId="3FBC46C8" w14:textId="77777777" w:rsidR="0013116F" w:rsidRDefault="0013116F" w:rsidP="001D49D4">
      <w:pPr>
        <w:pStyle w:val="a9"/>
        <w:rPr>
          <w:rtl/>
        </w:rPr>
      </w:pPr>
      <w:r>
        <w:rPr>
          <w:rStyle w:val="ab"/>
        </w:rPr>
        <w:footnoteRef/>
      </w:r>
      <w:r>
        <w:rPr>
          <w:rtl/>
        </w:rPr>
        <w:t xml:space="preserve"> </w:t>
      </w:r>
      <w:r>
        <w:rPr>
          <w:rFonts w:hint="cs"/>
          <w:rtl/>
        </w:rPr>
        <w:t xml:space="preserve">סימן – קצתו עשוי. עלון קרע </w:t>
      </w:r>
      <w:r>
        <w:rPr>
          <w:sz w:val="16"/>
          <w:szCs w:val="16"/>
          <w:rtl/>
        </w:rPr>
        <w:t>{ר' יהודה}</w:t>
      </w:r>
      <w:r>
        <w:rPr>
          <w:rtl/>
        </w:rPr>
        <w:t xml:space="preserve">, עשה קבלה </w:t>
      </w:r>
      <w:r>
        <w:rPr>
          <w:sz w:val="16"/>
          <w:szCs w:val="16"/>
          <w:rtl/>
        </w:rPr>
        <w:t>{ר' יוסי}</w:t>
      </w:r>
      <w:r>
        <w:rPr>
          <w:rtl/>
        </w:rPr>
        <w:t>.</w:t>
      </w:r>
    </w:p>
  </w:footnote>
  <w:footnote w:id="4298">
    <w:p w14:paraId="34F44092" w14:textId="77777777" w:rsidR="0013116F" w:rsidRDefault="0013116F" w:rsidP="001D49D4">
      <w:pPr>
        <w:pStyle w:val="a9"/>
      </w:pPr>
      <w:r>
        <w:rPr>
          <w:rStyle w:val="ab"/>
        </w:rPr>
        <w:footnoteRef/>
      </w:r>
      <w:r>
        <w:rPr>
          <w:rtl/>
        </w:rPr>
        <w:t xml:space="preserve"> וכתב בעל התרומות (שער לא ח"א סי' ב) מכאן למדנו שכותבין שובר בין כשפורע מקצת שטרו בין כשפורע כולו עכ"ל, ב"י.</w:t>
      </w:r>
    </w:p>
  </w:footnote>
  <w:footnote w:id="4299">
    <w:p w14:paraId="195DF9AF" w14:textId="77777777" w:rsidR="0013116F" w:rsidRDefault="0013116F" w:rsidP="001D49D4">
      <w:pPr>
        <w:pStyle w:val="a9"/>
        <w:rPr>
          <w:rtl/>
        </w:rPr>
      </w:pPr>
      <w:r>
        <w:rPr>
          <w:rStyle w:val="ab"/>
        </w:rPr>
        <w:footnoteRef/>
      </w:r>
      <w:r>
        <w:rPr>
          <w:rtl/>
        </w:rPr>
        <w:t xml:space="preserve"> מקרעין ומחליפין אחר וכותבין אותו מזמן ראשון לטרוף שלא כדין מזמן ראשון דמן הדין לא אלים שטרא למיטרף אלא מיום שנכתב ואילך אלא ב"ד אלימי ומפקעי ממונא דהפקר ב"ד הפקר כדנפק"ל מאלה הנחלות </w:t>
      </w:r>
      <w:r>
        <w:rPr>
          <w:sz w:val="16"/>
          <w:szCs w:val="16"/>
          <w:rtl/>
        </w:rPr>
        <w:t>(גיטין לו.)</w:t>
      </w:r>
      <w:r>
        <w:rPr>
          <w:rtl/>
        </w:rPr>
        <w:t xml:space="preserve">, רשב"ם. וכ"כ הג"א </w:t>
      </w:r>
      <w:r>
        <w:rPr>
          <w:sz w:val="16"/>
          <w:szCs w:val="16"/>
          <w:rtl/>
        </w:rPr>
        <w:t>(פ"י סי' כח)</w:t>
      </w:r>
      <w:r>
        <w:rPr>
          <w:rtl/>
        </w:rPr>
        <w:t>.</w:t>
      </w:r>
    </w:p>
  </w:footnote>
  <w:footnote w:id="4300">
    <w:p w14:paraId="45405D7B" w14:textId="77777777" w:rsidR="0013116F" w:rsidRDefault="0013116F" w:rsidP="001D49D4">
      <w:pPr>
        <w:pStyle w:val="a9"/>
      </w:pPr>
      <w:r>
        <w:rPr>
          <w:rStyle w:val="ab"/>
        </w:rPr>
        <w:footnoteRef/>
      </w:r>
      <w:r>
        <w:rPr>
          <w:rtl/>
        </w:rPr>
        <w:t xml:space="preserve"> לכתוב ולהעיד בשטר הראשון היאך חוזרין ועושין שליחות אחרת ומי נתן להם כח זה, רשב"ם. ואפי' הלוה אומר לכתוב, דהוה ליה מוקדם ופסול, וב"ד דוקא אלימי לאפקועי ממונא, הג"א (שם) בשם ר"י. </w:t>
      </w:r>
      <w:r>
        <w:rPr>
          <w:color w:val="00B0F0"/>
          <w:rtl/>
        </w:rPr>
        <w:t>(וכ"פ הרמ"א)</w:t>
      </w:r>
      <w:r>
        <w:rPr>
          <w:rtl/>
        </w:rPr>
        <w:t>. וכתב הב"י דמשמע מדבריהם שאפילו אין הלוה אומר להם</w:t>
      </w:r>
      <w:r>
        <w:rPr>
          <w:sz w:val="16"/>
          <w:szCs w:val="16"/>
          <w:rtl/>
        </w:rPr>
        <w:t xml:space="preserve"> {לעדים}</w:t>
      </w:r>
      <w:r>
        <w:rPr>
          <w:rtl/>
        </w:rPr>
        <w:t xml:space="preserve"> לכתוב - כותבין מזמן שני. ועוד כתבו ההג"א (שם) פירוש אחר בשם ר"י דעדים אפי' מזמן שני אין כותבין בלא צווי הלוה דכיון דעשו שליחותן אין חוזרין ועושין, כמו גבי גט. </w:t>
      </w:r>
      <w:r>
        <w:rPr>
          <w:color w:val="00B0F0"/>
          <w:rtl/>
        </w:rPr>
        <w:t>(וכ"פ הרמ"א)</w:t>
      </w:r>
    </w:p>
  </w:footnote>
  <w:footnote w:id="4301">
    <w:p w14:paraId="514F0648" w14:textId="77777777" w:rsidR="0013116F" w:rsidRDefault="0013116F" w:rsidP="001D49D4">
      <w:pPr>
        <w:pStyle w:val="a9"/>
      </w:pPr>
      <w:r>
        <w:rPr>
          <w:rStyle w:val="ab"/>
        </w:rPr>
        <w:footnoteRef/>
      </w:r>
      <w:r>
        <w:rPr>
          <w:rtl/>
        </w:rPr>
        <w:t xml:space="preserve"> כתב נמוק"י </w:t>
      </w:r>
      <w:r>
        <w:rPr>
          <w:sz w:val="16"/>
          <w:szCs w:val="16"/>
          <w:rtl/>
        </w:rPr>
        <w:t>(פרק גט פשוט עז: ד"ה גמ' שיהא)</w:t>
      </w:r>
      <w:r>
        <w:rPr>
          <w:rtl/>
        </w:rPr>
        <w:t xml:space="preserve"> דהמלוה יתן שכר כתיבת השובר. ומשמע שם דוקא כשיש לו שטר למלוה אבל אם אין שטר למלוה והלוה מבקש ממנו שובר הלוה נותן השכר וע"ש, דרכ"מ (אות א). </w:t>
      </w:r>
      <w:r>
        <w:rPr>
          <w:color w:val="00B0F0"/>
          <w:rtl/>
        </w:rPr>
        <w:t>(וכ"פ בהג"ה)</w:t>
      </w:r>
    </w:p>
  </w:footnote>
  <w:footnote w:id="4302">
    <w:p w14:paraId="5FB0E6C0" w14:textId="77777777" w:rsidR="0013116F" w:rsidRDefault="0013116F" w:rsidP="001D49D4">
      <w:pPr>
        <w:pStyle w:val="a9"/>
      </w:pPr>
      <w:r>
        <w:rPr>
          <w:rStyle w:val="ab"/>
        </w:rPr>
        <w:footnoteRef/>
      </w:r>
      <w:r>
        <w:rPr>
          <w:rtl/>
        </w:rPr>
        <w:t xml:space="preserve"> אפילו לדעת רוב הגאונים והמחבר דס"ל דאם זוכרים העדים זמן הקנין כותבין בשטר אותו הזמן אפילו כותבין השטר אחר זמן טובא, וכמ"ש בסי' לט (סע' ג) ובסי' מג (סע' טז), מ"מ כאן בעדים כיון דכבר כתבו שטר אחד, כשיכתבו עתה שטר מזמן הראשון יהא נראה כמוקדם, אבל ב"ד או עדים ברשות ב"ד - אלימי לאפוקי ממון, סמ"ע (סק"ב).</w:t>
      </w:r>
    </w:p>
  </w:footnote>
  <w:footnote w:id="4303">
    <w:p w14:paraId="2091317D" w14:textId="77777777" w:rsidR="0013116F" w:rsidRDefault="0013116F" w:rsidP="001D49D4">
      <w:pPr>
        <w:pStyle w:val="a9"/>
      </w:pPr>
      <w:r>
        <w:rPr>
          <w:rStyle w:val="ab"/>
        </w:rPr>
        <w:footnoteRef/>
      </w:r>
      <w:r>
        <w:rPr>
          <w:rtl/>
        </w:rPr>
        <w:t xml:space="preserve"> ואע"פ שיצטרך הלוה לשמור את שוברו, נתנו חז"ל הברירה להמלוה בזה. וכ' הב"ח</w:t>
      </w:r>
      <w:r>
        <w:rPr>
          <w:sz w:val="16"/>
          <w:szCs w:val="16"/>
          <w:rtl/>
        </w:rPr>
        <w:t xml:space="preserve"> (סע' ב)</w:t>
      </w:r>
      <w:r>
        <w:rPr>
          <w:rtl/>
        </w:rPr>
        <w:t xml:space="preserve"> דה"ה שאין הלוה יכול לכוף אותו שיכתוב הפרעון על השטר. מיהו נראה לי דכל זה לא מיירי אלא כשהגיע זמן פרעון של כל השטר, לכך הברירה ביד המלוה משום שהמלוה יכול לומר פרע לי שטרי ותו לא צריך מידי, אבל כשלא הגיע זמן פרעון של כל השטר, כגון שהשטר לשני זמנים ופורע לו לזמן פרעון הראשון וכה"ג, הברירה ביד הלוה, ומחויב המלוה להחליף לו השטר, או לכתוב הפרעון על גבי השטר אם ירצה הלוה, ש"ך (סק"ב).</w:t>
      </w:r>
    </w:p>
  </w:footnote>
  <w:footnote w:id="4304">
    <w:p w14:paraId="7D2444CD" w14:textId="77777777" w:rsidR="0013116F" w:rsidRDefault="0013116F" w:rsidP="001D49D4">
      <w:pPr>
        <w:pStyle w:val="a9"/>
      </w:pPr>
      <w:r>
        <w:rPr>
          <w:rStyle w:val="ab"/>
        </w:rPr>
        <w:footnoteRef/>
      </w:r>
      <w:r>
        <w:rPr>
          <w:rtl/>
        </w:rPr>
        <w:t xml:space="preserve"> הטעם, כיון שבחר בשובר לטובתו כדי שיפרע לו הלוה המותר מהר, סמ"ע (סק"ד). וכתב הש"ך (סק"ב) שבדרכ"מ כתב כן בשם הנמוק"י פרק גט פשוט (ב"ב עז: מדפה"ר), אבל באמת ליתא כן בנמוק"י שם </w:t>
      </w:r>
      <w:r>
        <w:rPr>
          <w:sz w:val="16"/>
          <w:szCs w:val="16"/>
          <w:rtl/>
        </w:rPr>
        <w:t>(שלא כתב הנמוק"י רק דבאשה הכותבת שובר לבעלה, הבעל נותן שכר השובר אם הוא במקום שאין כותבין כתובה והיא גובה בתנאי ב"ד, או שיש עדים שלא כתב לה, שצריך השובר כדי שלא תגבה ממנו בעדים, אבל במקום שכותבין כתובה, כיון שהיא לא נזהרה בכתובתה והוא פורע לה, היא פורעת שכר השובר, וכן אתה דן בשטרות דעלמא שאם אבד המלוה השטר, הוא נותן שכר [כלומר שכר השובר], עכ"ל. וכ"כ הה"מ (פכ"ד מהל' מלוה ה"ב) בשם הרשב"א (ב"ב קסז. ד"ה והבעל) וע"ש [וע"ל ס"ס לט, ובש"ך סקנ"א])</w:t>
      </w:r>
      <w:r>
        <w:rPr>
          <w:rtl/>
        </w:rPr>
        <w:t>, וא"כ נראה בהך דינא דפורע מקצת חובו, כיון דהמלוה אין צריך לשובר כלל אלא הלוה צריך לו - צריך הלוה לשלם שכר השובר. וגם מ"ש הר"ב ואם אין שטר למלוה כו', צריך לפרש דמיירי שלא היה לו שטר כלל והיה גובה בלא שטר, כגון שהתנה עמו בפני עדים אל תפרעני אלא בעדים כדלקמן סי' ע' [סע' ג] וכה"ג... וא"כ דבריו צל"ע, ש"ך (סק"ג).</w:t>
      </w:r>
    </w:p>
  </w:footnote>
  <w:footnote w:id="4305">
    <w:p w14:paraId="737055BE" w14:textId="77777777" w:rsidR="0013116F" w:rsidRDefault="0013116F" w:rsidP="001D49D4">
      <w:pPr>
        <w:pStyle w:val="a9"/>
      </w:pPr>
      <w:r>
        <w:rPr>
          <w:rStyle w:val="ab"/>
        </w:rPr>
        <w:footnoteRef/>
      </w:r>
      <w:r>
        <w:rPr>
          <w:rtl/>
        </w:rPr>
        <w:t xml:space="preserve"> </w:t>
      </w:r>
      <w:r>
        <w:rPr>
          <w:rFonts w:hint="cs"/>
          <w:rtl/>
        </w:rPr>
        <w:t>סימן – קבלה על אבדון.</w:t>
      </w:r>
    </w:p>
  </w:footnote>
  <w:footnote w:id="4306">
    <w:p w14:paraId="3796622B" w14:textId="77777777" w:rsidR="0013116F" w:rsidRDefault="0013116F" w:rsidP="001D49D4">
      <w:pPr>
        <w:pStyle w:val="a9"/>
      </w:pPr>
      <w:r>
        <w:rPr>
          <w:rStyle w:val="ab"/>
        </w:rPr>
        <w:footnoteRef/>
      </w:r>
      <w:r>
        <w:rPr>
          <w:rtl/>
        </w:rPr>
        <w:t xml:space="preserve"> ופשוט הוא שעל טענת בריא נשבע שבועת היסת ולא על טענת שמא, אלא מחרימים סתם </w:t>
      </w:r>
      <w:r>
        <w:rPr>
          <w:sz w:val="16"/>
          <w:szCs w:val="16"/>
          <w:rtl/>
        </w:rPr>
        <w:t xml:space="preserve">{בטענת שמא} </w:t>
      </w:r>
      <w:r>
        <w:rPr>
          <w:rtl/>
        </w:rPr>
        <w:t>מתקנת הגאונים, ב"י.</w:t>
      </w:r>
    </w:p>
  </w:footnote>
  <w:footnote w:id="4307">
    <w:p w14:paraId="1F40E71C" w14:textId="77777777" w:rsidR="0013116F" w:rsidRDefault="0013116F" w:rsidP="001D49D4">
      <w:pPr>
        <w:pStyle w:val="a9"/>
      </w:pPr>
      <w:r>
        <w:rPr>
          <w:rStyle w:val="ab"/>
        </w:rPr>
        <w:footnoteRef/>
      </w:r>
      <w:r>
        <w:rPr>
          <w:rtl/>
        </w:rPr>
        <w:t xml:space="preserve"> ואע"פ שאין ניירו של שטר שוה פרוטה, מ"מ מחמת ראיה שבו אפילו אחר שכתוב שובר יתן לו הלוה יותר מפרוטה, ולפיכך כשטען טענת בריא יש לו למלוה לישבע היסת, עכ"ל הה"מ [פכ"ג ממלוה הט"ז]. וכתב בספר גידו"ת (שער לא ח"א ס"ג) וז"ל- ולא ידעתי למה הוזקק לזה שהרי אם לא ישבע שאבד השטר לא היה פורע כלום כיון שהוא טוען בריא שהוא ביד המלוה עד שיתן לו שטרו (כדלקמן סע' ג) ואין לך ממון גדול מזה, עכ"ל. ולפע"ד הוזקק הה"מ לזה, דע"כ לא קאמרינן לקמן סע' ג' דא"צ לפרוע לו עד שיתן לו שטרו, אלא משום דסוף סוף יהיה המלוה פרוע, שהרי לאחר זמן יחזיר לו שטרו, והלוה רוצה לפרוע לו אחר שיחזיר לו השטר, א"כ אמרינן למלוה הרי אין לך היזק בזה רק המתן המעות עד אחר שתחזיר לו שטרו ואז יפרע לך, אבל שיעכב הלוה המעות בידו ולא יפרע לו כלל עד שיחזיר לו שטרו, זה לא מסתבר כלל, כיון שכותב לו שובר, ולכך דקדק הה"מ וכתב, מ"מ מחמת ראיה שבו אפילו אחר שכתב שובר יתן לו הלוה יותר מפרוטה... ונפקא מינה מזה דאין הלוה יכול לעכב המעות עד שישבע לו, דשבועה זו לא תלי בפרעון אלא תביעה אחרת היא על שווי השטר. ובלאו הכי מוכרח לומר כן דלא מצינו בשום מקום שבועת היסת קודם פרעון כדי ליטול. וזהו ג"כ סתירה לדברי הגדולי תרומה. ולפ"ז מ"ש הרמב"ם [פכ"ג ממלוה הט"ז] והמחבר, ישבע המלוה היסת כו' ואח"כ יפרע חובו כו', הוא לאו דוקא, אלא הלשון הוא מהופך, יפרע חובו כו' וישבע המלוה היסת כו' </w:t>
      </w:r>
      <w:r>
        <w:rPr>
          <w:sz w:val="16"/>
          <w:szCs w:val="16"/>
          <w:rtl/>
        </w:rPr>
        <w:t>(וכה"ג אשכחן בכמה דוכתי שהלשון מהופך בענין זה, לקמן סימן ע"ב ריש סעיף י"ח נשבע הלוה כו', [ופירושו] ונוטל משכונו ואח"כ נשבע וכו' [ע"ש בש"ך סקפ"ב]. לקמן סימן קל"ג בטור [סעיף ח'] ובסמ"ע ס"ק י"ב, וצריך להחזירו אחר שישבע המערער היסת כו', ופירושו שמחזירו ואח"כ נשבע היסת [ע"ש בש"ך סק"ח]. וכן לקמן ריש סימן קל"ה נשבע היסת ונוטל, ופירושו נוטל ואח"כ נשבע היסת [ע"ש בש"ך סק"א]. וכמו שכתבתי בכל המקומות הנ"ל, וה"ה הכא)</w:t>
      </w:r>
      <w:r>
        <w:rPr>
          <w:rtl/>
        </w:rPr>
        <w:t>, ש"ך (סק"ד).</w:t>
      </w:r>
    </w:p>
  </w:footnote>
  <w:footnote w:id="4308">
    <w:p w14:paraId="17EEEEB2" w14:textId="77777777" w:rsidR="0013116F" w:rsidRDefault="0013116F" w:rsidP="001D49D4">
      <w:pPr>
        <w:pStyle w:val="a9"/>
      </w:pPr>
      <w:r>
        <w:rPr>
          <w:rStyle w:val="ab"/>
        </w:rPr>
        <w:footnoteRef/>
      </w:r>
      <w:r>
        <w:rPr>
          <w:rtl/>
        </w:rPr>
        <w:t xml:space="preserve"> וכ"כ שם סימן אלף קי"ג, ונ"ל דאם אינו מאמינו ישלישו לו השטר, דרכ"מ (אות ד).</w:t>
      </w:r>
    </w:p>
  </w:footnote>
  <w:footnote w:id="4309">
    <w:p w14:paraId="4447EE1E" w14:textId="77777777" w:rsidR="0013116F" w:rsidRDefault="0013116F" w:rsidP="001D49D4">
      <w:pPr>
        <w:pStyle w:val="a9"/>
      </w:pPr>
      <w:r>
        <w:rPr>
          <w:rStyle w:val="ab"/>
        </w:rPr>
        <w:footnoteRef/>
      </w:r>
      <w:r>
        <w:rPr>
          <w:rtl/>
        </w:rPr>
        <w:t xml:space="preserve"> סימן – אין עידן/עת בקבלה.</w:t>
      </w:r>
    </w:p>
  </w:footnote>
  <w:footnote w:id="4310">
    <w:p w14:paraId="1686CB5E" w14:textId="77777777" w:rsidR="0013116F" w:rsidRDefault="0013116F" w:rsidP="001D49D4">
      <w:pPr>
        <w:pStyle w:val="a9"/>
      </w:pPr>
      <w:r>
        <w:rPr>
          <w:rStyle w:val="ab"/>
        </w:rPr>
        <w:footnoteRef/>
      </w:r>
      <w:r>
        <w:rPr>
          <w:rtl/>
        </w:rPr>
        <w:t xml:space="preserve"> נלמד מהא דאמר ליה רב ספרא לספריה... וכתב בעל התרומות שער ל"א (ח"א סי' ח) גם צריך ליזהר בכתיבת השובר אם יודה בעדים או מכתיבת ידי המלוה אחר שיש בשטר חוב נאמנות בשני עדים כשרים עכ"ל וזה יתבאר בסימן ע"א (ס"י - יא), ב"י.</w:t>
      </w:r>
    </w:p>
  </w:footnote>
  <w:footnote w:id="4311">
    <w:p w14:paraId="4C34A027" w14:textId="77777777" w:rsidR="0013116F" w:rsidRDefault="0013116F" w:rsidP="001D49D4">
      <w:pPr>
        <w:pStyle w:val="a9"/>
      </w:pPr>
      <w:r>
        <w:rPr>
          <w:rStyle w:val="ab"/>
        </w:rPr>
        <w:footnoteRef/>
      </w:r>
      <w:r>
        <w:rPr>
          <w:rtl/>
        </w:rPr>
        <w:t xml:space="preserve"> בסוף סימן מ"ג (מחו' יד - ח) כתבתי תשובות אלו ועוד כתבתי שם כמה תשובות להרא"ש בדינים אלו, וכתבתי שהריב"ש האריך בדין שטר מחילה ושטר שעבוד שנעשו ביום אחד בסימן ת"ד, ועוד כתב בסימן תע"ח בדין מי שהוציא שני שוברות על חבירו מחוב ידוע ותובע ממנו שנפרע פעמים, ב"י.</w:t>
      </w:r>
    </w:p>
  </w:footnote>
  <w:footnote w:id="4312">
    <w:p w14:paraId="19F0CB31" w14:textId="77777777" w:rsidR="0013116F" w:rsidRDefault="0013116F" w:rsidP="001D49D4">
      <w:pPr>
        <w:pStyle w:val="a9"/>
        <w:rPr>
          <w:rtl/>
        </w:rPr>
      </w:pPr>
      <w:r>
        <w:rPr>
          <w:rStyle w:val="ab"/>
        </w:rPr>
        <w:footnoteRef/>
      </w:r>
      <w:r>
        <w:rPr>
          <w:rtl/>
        </w:rPr>
        <w:t xml:space="preserve"> דאנן סהדי דאדעתא דהכי לא נשבע, סמ"ע (סק"ו).</w:t>
      </w:r>
    </w:p>
  </w:footnote>
  <w:footnote w:id="4313">
    <w:p w14:paraId="45AFD42B" w14:textId="77777777" w:rsidR="0013116F" w:rsidRDefault="0013116F" w:rsidP="001D49D4">
      <w:pPr>
        <w:pStyle w:val="a9"/>
      </w:pPr>
      <w:r>
        <w:rPr>
          <w:rStyle w:val="ab"/>
        </w:rPr>
        <w:footnoteRef/>
      </w:r>
      <w:r>
        <w:rPr>
          <w:rtl/>
        </w:rPr>
        <w:t xml:space="preserve"> בריש סימן כ"ד כתב הטור ג"כ בשם הרא"ש [ב"ק פ"ה סי' א'] דבכה"ג אין נזקקין לתובע תחילה, סמ"ע (סק"ז).</w:t>
      </w:r>
    </w:p>
  </w:footnote>
  <w:footnote w:id="4314">
    <w:p w14:paraId="056B4666" w14:textId="77777777" w:rsidR="0013116F" w:rsidRDefault="0013116F" w:rsidP="001D49D4">
      <w:pPr>
        <w:pStyle w:val="a9"/>
      </w:pPr>
      <w:r>
        <w:rPr>
          <w:rStyle w:val="ab"/>
        </w:rPr>
        <w:footnoteRef/>
      </w:r>
      <w:r>
        <w:rPr>
          <w:rtl/>
        </w:rPr>
        <w:t xml:space="preserve"> בספר אגודת אזוב (דף עט ע"ד לטור כאן) תמה בזה על הר"ב, ונראה לו דכיון שהשטר בעולם אין לכתוב שובר, ושגם הרשב"א בתשו' [סי' תתקל] לא אמרה על דרך הבירור, ע"ש. ואין דבריו מוכרחים. גם בעיר שושן [סעיף ג'] כתב על דברי הר"ב והכי מסתבר. ומ"מ נ"ל דאם אפשר לכתוב הפרעון ע"ג השטר או ביני שיטי יכתוב, ואין המלוה יכול לעכב בזה הדין, ש"ך (סק"ו).</w:t>
      </w:r>
    </w:p>
  </w:footnote>
  <w:footnote w:id="4315">
    <w:p w14:paraId="7F78632F" w14:textId="77777777" w:rsidR="0013116F" w:rsidRDefault="0013116F" w:rsidP="001D49D4">
      <w:pPr>
        <w:pStyle w:val="a9"/>
      </w:pPr>
      <w:r>
        <w:rPr>
          <w:rStyle w:val="ab"/>
        </w:rPr>
        <w:footnoteRef/>
      </w:r>
      <w:r>
        <w:rPr>
          <w:rtl/>
        </w:rPr>
        <w:t xml:space="preserve"> דלאו עליו ממש קאמר, וכדלקמן סימן ע"א סעיף ה' בהג"ה, וכן הוא מבואר במהרי"ק עצמו, ש"ך (סק"ז).</w:t>
      </w:r>
    </w:p>
  </w:footnote>
  <w:footnote w:id="4316">
    <w:p w14:paraId="488201C0" w14:textId="77777777" w:rsidR="0013116F" w:rsidRDefault="0013116F" w:rsidP="001D49D4">
      <w:pPr>
        <w:pStyle w:val="a9"/>
      </w:pPr>
      <w:r>
        <w:rPr>
          <w:rStyle w:val="ab"/>
        </w:rPr>
        <w:footnoteRef/>
      </w:r>
      <w:r>
        <w:rPr>
          <w:rtl/>
        </w:rPr>
        <w:t xml:space="preserve"> משמע דלכתחילה יכתוב בשובר זמן השטר דהיינו שהוא על שטר שזמנו כך וכך, דאע"ג דבדיעבד אם לא נזכר בו זמן השטר השובר כשר, וכדלעיל סי' מג סע' כד, מ"מ כשזוכרים זמן השטר יש לכתוב לכתחילה בשובר זמנו </w:t>
      </w:r>
      <w:r>
        <w:rPr>
          <w:sz w:val="16"/>
          <w:szCs w:val="16"/>
          <w:rtl/>
        </w:rPr>
        <w:t>(וכן משמע בש"ס [ב"ב קעא"] ופוסקים, ולשון בעל התרומות [שער ל"א סוף ח"א ושער נ"ו ח"א ס"ו] מגומגם בזה)</w:t>
      </w:r>
      <w:r>
        <w:rPr>
          <w:rtl/>
        </w:rPr>
        <w:t>. ונראה עוד דאם ידוע עוד שידעו זמן השטר ואעפ"כ כתבו השובר סתם בלא זמן בלי ידיעת המלוה, השובר פסול מפני שמגרעין כח המלוה שלא כדין, וכמ"ש לקמן סקי"א. ודמי לשובר מאוחר שכתבתי לקמן סקי"א דפסול, ש"ך (סק"ט).</w:t>
      </w:r>
    </w:p>
  </w:footnote>
  <w:footnote w:id="4317">
    <w:p w14:paraId="3E8A105F" w14:textId="77777777" w:rsidR="0013116F" w:rsidRDefault="0013116F" w:rsidP="001D49D4">
      <w:pPr>
        <w:pStyle w:val="a9"/>
      </w:pPr>
      <w:r>
        <w:rPr>
          <w:rStyle w:val="ab"/>
        </w:rPr>
        <w:footnoteRef/>
      </w:r>
      <w:r>
        <w:rPr>
          <w:rtl/>
        </w:rPr>
        <w:t xml:space="preserve"> ומשמע שא"צ להודיע למלוה שכותבים את השובר סתם אע"פ שהוא מגרע כח המלוה, מפני שהמלוה בעצמו יודע שיכתבו את השובר סתם כיון שאין ידוע זמן השטר. ולפ"ז אם היה ידוע זמן השטר בשעת הפרעון ואח"כ שכחו העדים אותו, לא יכתבו השובר סתם בלי ידיעת המלוה, שיש לחוש שיחזור וילוה ללוה כסכום הראשון, שיחשוב שהשובר הוא על שטר שזמנו כך וכך, והלוה יוציא שובר שנכתב סתם ויפסיד המלוה שלא כדין. וגם לא יכתבו בשובר הזמן ויכתבו בו שנתפרע קודם לזמן זה </w:t>
      </w:r>
      <w:r>
        <w:rPr>
          <w:sz w:val="16"/>
          <w:szCs w:val="16"/>
          <w:rtl/>
        </w:rPr>
        <w:t>(כגון שהפרעון היה בר"ח אייר יכתבו בשובר זמן ר"ח אייר שנתפרע המלוה סכום כך וכך על שטר שזמנו קודם אייר, דמ"מ יש לחוש שמא יש למלוה עוד שטר שזמנו קודם אייר, ומה שלא אמר כן לעדי השובר, משום שחשב שיכתבו בשובר על שטר שזמנו בי"ד בניסן כיון שיודע זמן השטר בשעת הפרעון, ושטר זה הוא על ט"ו בניסן וכה"ג, אלא אין תקנה לזה עד שיודיעו את המלוה שכותבים את השובר בסתם בלא זמן)</w:t>
      </w:r>
      <w:r>
        <w:rPr>
          <w:rtl/>
        </w:rPr>
        <w:t>, ש"ך (סק"י).</w:t>
      </w:r>
    </w:p>
  </w:footnote>
  <w:footnote w:id="4318">
    <w:p w14:paraId="51A2DC62" w14:textId="77777777" w:rsidR="0013116F" w:rsidRDefault="0013116F" w:rsidP="001D49D4">
      <w:pPr>
        <w:pStyle w:val="a9"/>
        <w:rPr>
          <w:rtl/>
        </w:rPr>
      </w:pPr>
      <w:r>
        <w:rPr>
          <w:rStyle w:val="ab"/>
        </w:rPr>
        <w:footnoteRef/>
      </w:r>
      <w:r>
        <w:rPr>
          <w:rtl/>
        </w:rPr>
        <w:t xml:space="preserve"> פירוש, זמן הכתוב בשטר אימת נעשית ההלואה, אבל לא שיכתבו היום שראו שהלוה לו, דהא כבר כתב שיש לחשוש שמא איחרו זמן ההלואה בשטר, סמ"ע (סק"ח).</w:t>
      </w:r>
    </w:p>
  </w:footnote>
  <w:footnote w:id="4319">
    <w:p w14:paraId="6FED8D91" w14:textId="77777777" w:rsidR="0013116F" w:rsidRDefault="0013116F" w:rsidP="001D49D4">
      <w:pPr>
        <w:pStyle w:val="a9"/>
      </w:pPr>
      <w:r>
        <w:rPr>
          <w:rStyle w:val="ab"/>
        </w:rPr>
        <w:footnoteRef/>
      </w:r>
      <w:r>
        <w:rPr>
          <w:rtl/>
        </w:rPr>
        <w:t xml:space="preserve"> כלומר הברירה ביד הלוה לומר גדול פרוע, וכדלקמן ס"ס סה..., ש"ך </w:t>
      </w:r>
      <w:r>
        <w:rPr>
          <w:sz w:val="16"/>
          <w:szCs w:val="16"/>
          <w:rtl/>
        </w:rPr>
        <w:t>(סקי"ד)</w:t>
      </w:r>
      <w:r>
        <w:rPr>
          <w:rtl/>
        </w:rPr>
        <w:t xml:space="preserve">. ואע"ג דמסיק מור"ם וכתב כל שטרותיו פרועים, "כל" לאו דוקא קאמר, אלא ר"ל אף שאומר שטר אחר היה, אנו אומרים שזהו השטר שפרע עד שיבורר..., סמ"ע </w:t>
      </w:r>
      <w:r>
        <w:rPr>
          <w:sz w:val="16"/>
          <w:szCs w:val="16"/>
          <w:rtl/>
        </w:rPr>
        <w:t>(סק"ט)</w:t>
      </w:r>
      <w:r>
        <w:rPr>
          <w:rtl/>
        </w:rPr>
        <w:t>.</w:t>
      </w:r>
    </w:p>
  </w:footnote>
  <w:footnote w:id="4320">
    <w:p w14:paraId="075CD815" w14:textId="77777777" w:rsidR="0013116F" w:rsidRDefault="0013116F" w:rsidP="001D49D4">
      <w:pPr>
        <w:pStyle w:val="a9"/>
      </w:pPr>
      <w:r>
        <w:rPr>
          <w:rStyle w:val="ab"/>
        </w:rPr>
        <w:footnoteRef/>
      </w:r>
      <w:r>
        <w:rPr>
          <w:rtl/>
        </w:rPr>
        <w:t xml:space="preserve"> </w:t>
      </w:r>
      <w:r>
        <w:rPr>
          <w:rFonts w:hint="cs"/>
          <w:rtl/>
        </w:rPr>
        <w:t>סעיף כו (תוספת מהדורת הסמ"ע).</w:t>
      </w:r>
    </w:p>
  </w:footnote>
  <w:footnote w:id="4321">
    <w:p w14:paraId="0FDA6065" w14:textId="77777777" w:rsidR="0013116F" w:rsidRDefault="0013116F" w:rsidP="001D49D4">
      <w:pPr>
        <w:pStyle w:val="a9"/>
        <w:rPr>
          <w:rtl/>
        </w:rPr>
      </w:pPr>
      <w:r>
        <w:rPr>
          <w:rStyle w:val="ab"/>
        </w:rPr>
        <w:footnoteRef/>
      </w:r>
      <w:r>
        <w:rPr>
          <w:rtl/>
        </w:rPr>
        <w:t xml:space="preserve"> </w:t>
      </w:r>
      <w:r>
        <w:rPr>
          <w:rFonts w:hint="cs"/>
          <w:rtl/>
        </w:rPr>
        <w:t xml:space="preserve">וז"ל בעל התרומות בשם הרמב"ן- </w:t>
      </w:r>
      <w:r>
        <w:rPr>
          <w:rtl/>
        </w:rPr>
        <w:t xml:space="preserve">שובר שכתוב בו דינרים סתם מבטל כל חוב שיש לו עליו, ואע"ג דבפ"ק דמציעא (ד:) גבי שטר שכתוב בו סילעין דינרין משמע דסתם דינרים לא הוו אלא שנים, ההוא בשטרי הלואה איתמר דאמרינן כיון דידעי עדים דיד בעל השטר על התחתונה אילו היו יותר משנים היו כותבין בפירוש, אבל בשובר אדרבה אמרינן איפכא דילמא לא ידעי סכום ממון השטר וכתבו סתם דכל מאי דמפיק לורעיה. אבל שובר שהיה כתוב בו כך וכך דינרים ונמחק הסכום ונשאר דינרים, או שכתוב במקום הסכום תיבה שלא נתקיימה למטה, אומר אני שאותו שובר פסול ויד מוציא על התחתונה, וראיה מפרק ארבעה אחין </w:t>
      </w:r>
      <w:r>
        <w:rPr>
          <w:sz w:val="16"/>
          <w:szCs w:val="16"/>
          <w:rtl/>
        </w:rPr>
        <w:t xml:space="preserve">(יבמות לא:) </w:t>
      </w:r>
      <w:r>
        <w:rPr>
          <w:rtl/>
        </w:rPr>
        <w:t xml:space="preserve">וגם מדאמרינן בירושלמי </w:t>
      </w:r>
      <w:r>
        <w:rPr>
          <w:sz w:val="16"/>
          <w:szCs w:val="16"/>
          <w:rtl/>
        </w:rPr>
        <w:t xml:space="preserve">(ב"ב פ"י ה"א) </w:t>
      </w:r>
      <w:r>
        <w:rPr>
          <w:rtl/>
        </w:rPr>
        <w:t>כל מה שאתה יכול לתלות במחק תלינן.</w:t>
      </w:r>
    </w:p>
  </w:footnote>
  <w:footnote w:id="4322">
    <w:p w14:paraId="47B0B019" w14:textId="77777777" w:rsidR="0013116F" w:rsidRDefault="0013116F" w:rsidP="001D49D4">
      <w:pPr>
        <w:pStyle w:val="a9"/>
        <w:rPr>
          <w:rtl/>
        </w:rPr>
      </w:pPr>
      <w:r>
        <w:rPr>
          <w:rStyle w:val="ab"/>
        </w:rPr>
        <w:footnoteRef/>
      </w:r>
      <w:r>
        <w:rPr>
          <w:rtl/>
        </w:rPr>
        <w:t xml:space="preserve"> רמב"ן </w:t>
      </w:r>
      <w:r>
        <w:rPr>
          <w:sz w:val="16"/>
          <w:szCs w:val="16"/>
          <w:rtl/>
        </w:rPr>
        <w:t>(כ"כ בשמו בעל התרומות [שם] והה"מ [שם])</w:t>
      </w:r>
      <w:r>
        <w:rPr>
          <w:rtl/>
        </w:rPr>
        <w:t xml:space="preserve"> בעל התרומות </w:t>
      </w:r>
      <w:r>
        <w:rPr>
          <w:sz w:val="16"/>
          <w:szCs w:val="16"/>
          <w:rtl/>
        </w:rPr>
        <w:t xml:space="preserve">(שער נג ח"ד סי' ב) </w:t>
      </w:r>
      <w:r>
        <w:rPr>
          <w:rtl/>
        </w:rPr>
        <w:t xml:space="preserve">הה"מ </w:t>
      </w:r>
      <w:r>
        <w:rPr>
          <w:sz w:val="16"/>
          <w:szCs w:val="16"/>
          <w:rtl/>
        </w:rPr>
        <w:t>(פט"ז מהל' מלוה הי"ב)</w:t>
      </w:r>
      <w:r>
        <w:rPr>
          <w:rtl/>
        </w:rPr>
        <w:t xml:space="preserve"> וטור.</w:t>
      </w:r>
    </w:p>
  </w:footnote>
  <w:footnote w:id="4323">
    <w:p w14:paraId="60608BC4" w14:textId="77777777" w:rsidR="0013116F" w:rsidRDefault="0013116F" w:rsidP="001D49D4">
      <w:pPr>
        <w:pStyle w:val="a9"/>
      </w:pPr>
      <w:r>
        <w:rPr>
          <w:rStyle w:val="ab"/>
        </w:rPr>
        <w:footnoteRef/>
      </w:r>
      <w:r>
        <w:rPr>
          <w:rtl/>
        </w:rPr>
        <w:t xml:space="preserve"> ובדין זה דכתב דינרים סתם מבטל כל שטר שיש לו עליו כתב הריב"ש בסי' של"ו עיין עליו, ב"י. </w:t>
      </w:r>
    </w:p>
  </w:footnote>
  <w:footnote w:id="4324">
    <w:p w14:paraId="72DED27D" w14:textId="77777777" w:rsidR="0013116F" w:rsidRDefault="0013116F" w:rsidP="001D49D4">
      <w:pPr>
        <w:pStyle w:val="a9"/>
      </w:pPr>
      <w:r>
        <w:rPr>
          <w:rStyle w:val="ab"/>
        </w:rPr>
        <w:footnoteRef/>
      </w:r>
      <w:r>
        <w:rPr>
          <w:rtl/>
        </w:rPr>
        <w:t xml:space="preserve"> ואע"ג דבפ"ק דמציעא (ד:) גבי שטר שכתוב בו סילעין דינרין משמע דסתם דינרים לא הוו אלא שנים, ההוא בשטרי הלואה איתמר דאמרינן כיון דידעי עדים דיד בעל השטר על התחתונה אילו היו יותר משנים היו כותבין בפירוש, אבל בשובר אדרבה אמרינן איפכא דילמא לא ידעי סכום ממון השטר וכתבו סתם דכל מאי דמפיק לורעיה, רמב"ן.</w:t>
      </w:r>
    </w:p>
  </w:footnote>
  <w:footnote w:id="4325">
    <w:p w14:paraId="693E0204" w14:textId="77777777" w:rsidR="0013116F" w:rsidRDefault="0013116F" w:rsidP="001D49D4">
      <w:pPr>
        <w:pStyle w:val="a9"/>
        <w:rPr>
          <w:rtl/>
        </w:rPr>
      </w:pPr>
      <w:r>
        <w:rPr>
          <w:rStyle w:val="ab"/>
        </w:rPr>
        <w:footnoteRef/>
      </w:r>
      <w:r>
        <w:rPr>
          <w:rtl/>
        </w:rPr>
        <w:t xml:space="preserve"> היינו שאין דנין בו אלא בפחות שבלשונות כדי שלא יבואו להערים ואין דנין נמחק אלא להורעת כחו של מוציא, רמב"ן</w:t>
      </w:r>
      <w:r>
        <w:rPr>
          <w:sz w:val="14"/>
          <w:szCs w:val="14"/>
          <w:rtl/>
        </w:rPr>
        <w:t xml:space="preserve"> (כ"כ בשמו הה"מ)</w:t>
      </w:r>
      <w:r>
        <w:rPr>
          <w:rtl/>
        </w:rPr>
        <w:t>.</w:t>
      </w:r>
      <w:r>
        <w:rPr>
          <w:color w:val="E36C0A" w:themeColor="accent6" w:themeShade="BF"/>
          <w:rtl/>
        </w:rPr>
        <w:t xml:space="preserve"> (וכ"פ בשו"ע)</w:t>
      </w:r>
    </w:p>
  </w:footnote>
  <w:footnote w:id="4326">
    <w:p w14:paraId="0AE02FFE" w14:textId="77777777" w:rsidR="0013116F" w:rsidRDefault="0013116F" w:rsidP="001D49D4">
      <w:pPr>
        <w:pStyle w:val="a9"/>
      </w:pPr>
      <w:r>
        <w:rPr>
          <w:rStyle w:val="ab"/>
        </w:rPr>
        <w:footnoteRef/>
      </w:r>
      <w:r>
        <w:rPr>
          <w:rtl/>
        </w:rPr>
        <w:t xml:space="preserve"> הטעם איתא ברמב"ן </w:t>
      </w:r>
      <w:r>
        <w:rPr>
          <w:sz w:val="16"/>
          <w:szCs w:val="16"/>
          <w:rtl/>
        </w:rPr>
        <w:t xml:space="preserve">(כ"כ בספר התרומות שער נ"ג ח"ד ס"ב) </w:t>
      </w:r>
      <w:r>
        <w:rPr>
          <w:rtl/>
        </w:rPr>
        <w:t xml:space="preserve">דיד בעל השטר על התחתונה, ואמרינן דילמא לא ידעי עדים סכום השטר וכתבו סתם דכל מאי דליפוק לורעיה. משמע דמספיקא לא מפקינן ממונא. ולפ"ז אם תפס המלוה המותר מב' דינרים מהני תפיסה </w:t>
      </w:r>
      <w:r>
        <w:rPr>
          <w:sz w:val="16"/>
          <w:szCs w:val="16"/>
          <w:rtl/>
        </w:rPr>
        <w:t>(וכ"כ ב"י סי' זה [מחו' ה] בשם תשו' רשב"א [ח"ב סי' שנה] דליקום שטרא ביד מלוה, ומעות היכא דקיימי לוקמו עד שיתגלה הדבר, ואי תפס לא מפקינן מיניה, עכ"ל. וכן העליתי בספרי תקפו כהן (סי' נה), והשגתי שם על גידו"ת [סוף שנ"ג שם] שנראה מדבריו שהרמב"ן חולק אתשו' רשב"א, וליתא)</w:t>
      </w:r>
      <w:r>
        <w:rPr>
          <w:rtl/>
        </w:rPr>
        <w:t xml:space="preserve">, ש"ך </w:t>
      </w:r>
      <w:r>
        <w:rPr>
          <w:sz w:val="16"/>
          <w:szCs w:val="16"/>
          <w:rtl/>
        </w:rPr>
        <w:t>(סקט"ו)</w:t>
      </w:r>
      <w:r>
        <w:rPr>
          <w:rtl/>
        </w:rPr>
        <w:t>.</w:t>
      </w:r>
    </w:p>
  </w:footnote>
  <w:footnote w:id="4327">
    <w:p w14:paraId="559DE343" w14:textId="77777777" w:rsidR="0013116F" w:rsidRDefault="0013116F" w:rsidP="001D49D4">
      <w:pPr>
        <w:pStyle w:val="a9"/>
      </w:pPr>
      <w:r>
        <w:rPr>
          <w:rStyle w:val="ab"/>
        </w:rPr>
        <w:footnoteRef/>
      </w:r>
      <w:r>
        <w:rPr>
          <w:rtl/>
        </w:rPr>
        <w:t xml:space="preserve"> </w:t>
      </w:r>
      <w:r>
        <w:rPr>
          <w:rFonts w:hint="cs"/>
          <w:rtl/>
        </w:rPr>
        <w:t>סימן – סילק קצת חובו. קלף סגר</w:t>
      </w:r>
      <w:r>
        <w:rPr>
          <w:sz w:val="16"/>
          <w:szCs w:val="16"/>
          <w:rtl/>
        </w:rPr>
        <w:t xml:space="preserve"> </w:t>
      </w:r>
      <w:r>
        <w:rPr>
          <w:rtl/>
        </w:rPr>
        <w:t>בחברו</w:t>
      </w:r>
      <w:r>
        <w:rPr>
          <w:sz w:val="14"/>
          <w:szCs w:val="14"/>
          <w:rtl/>
        </w:rPr>
        <w:t xml:space="preserve"> </w:t>
      </w:r>
      <w:r>
        <w:rPr>
          <w:sz w:val="16"/>
          <w:szCs w:val="16"/>
          <w:rtl/>
        </w:rPr>
        <w:t>{שליש}</w:t>
      </w:r>
      <w:r>
        <w:rPr>
          <w:rtl/>
        </w:rPr>
        <w:t>.</w:t>
      </w:r>
    </w:p>
  </w:footnote>
  <w:footnote w:id="4328">
    <w:p w14:paraId="25245FD4" w14:textId="77777777" w:rsidR="0013116F" w:rsidRDefault="0013116F" w:rsidP="001D49D4">
      <w:pPr>
        <w:pStyle w:val="a9"/>
      </w:pPr>
      <w:r>
        <w:rPr>
          <w:rStyle w:val="ab"/>
        </w:rPr>
        <w:footnoteRef/>
      </w:r>
      <w:r>
        <w:rPr>
          <w:rtl/>
        </w:rPr>
        <w:t xml:space="preserve"> דיני אסמכתא, רשב"ם.</w:t>
      </w:r>
    </w:p>
  </w:footnote>
  <w:footnote w:id="4329">
    <w:p w14:paraId="7F7CFD5C" w14:textId="77777777" w:rsidR="0013116F" w:rsidRDefault="0013116F" w:rsidP="001D49D4">
      <w:pPr>
        <w:pStyle w:val="a9"/>
      </w:pPr>
      <w:r>
        <w:rPr>
          <w:rStyle w:val="ab"/>
        </w:rPr>
        <w:footnoteRef/>
      </w:r>
      <w:r>
        <w:rPr>
          <w:rtl/>
        </w:rPr>
        <w:t xml:space="preserve"> כלומר כמה פעמים לימדנו רבי יוחנן הלכה כר' יוסי אני מה אעשה והיאך אומר לא קניא, רשב"ם.</w:t>
      </w:r>
    </w:p>
  </w:footnote>
  <w:footnote w:id="4330">
    <w:p w14:paraId="7910BF35" w14:textId="77777777" w:rsidR="0013116F" w:rsidRDefault="0013116F" w:rsidP="001D49D4">
      <w:pPr>
        <w:pStyle w:val="a9"/>
      </w:pPr>
      <w:r>
        <w:rPr>
          <w:rStyle w:val="ab"/>
        </w:rPr>
        <w:footnoteRef/>
      </w:r>
      <w:r>
        <w:rPr>
          <w:rtl/>
        </w:rPr>
        <w:t xml:space="preserve"> אע"פ שנימוקו עמו, דאסמכתא לא קניא אא"כ קנו מיניה בבית דין חשוב ובדלא אניס כדאמר במסכת נדרים (כז:), רשב"ם.</w:t>
      </w:r>
    </w:p>
  </w:footnote>
  <w:footnote w:id="4331">
    <w:p w14:paraId="12846026" w14:textId="77777777" w:rsidR="0013116F" w:rsidRDefault="0013116F" w:rsidP="001D49D4">
      <w:pPr>
        <w:pStyle w:val="a9"/>
      </w:pPr>
      <w:r>
        <w:rPr>
          <w:rStyle w:val="ab"/>
        </w:rPr>
        <w:footnoteRef/>
      </w:r>
      <w:r>
        <w:rPr>
          <w:rtl/>
        </w:rPr>
        <w:t xml:space="preserve"> </w:t>
      </w:r>
      <w:r>
        <w:rPr>
          <w:rFonts w:hint="cs"/>
          <w:rtl/>
        </w:rPr>
        <w:t>סימן – כל זכויותי כלים לזמן.</w:t>
      </w:r>
    </w:p>
  </w:footnote>
  <w:footnote w:id="4332">
    <w:p w14:paraId="7B694A13" w14:textId="77777777" w:rsidR="0013116F" w:rsidRDefault="0013116F" w:rsidP="001D49D4">
      <w:pPr>
        <w:pStyle w:val="a9"/>
      </w:pPr>
      <w:r>
        <w:rPr>
          <w:rStyle w:val="ab"/>
        </w:rPr>
        <w:footnoteRef/>
      </w:r>
      <w:r>
        <w:rPr>
          <w:rtl/>
        </w:rPr>
        <w:t xml:space="preserve"> דאמר בטלן זכוותיה אמאי הא אסמכתא הוא דברים בעלמא וסמך על דעתו כסבור שהוא יכול לבא בזמנו להכי קאמר הכי ואסמכתא לא קניא, רש"י.</w:t>
      </w:r>
    </w:p>
  </w:footnote>
  <w:footnote w:id="4333">
    <w:p w14:paraId="114BA48E" w14:textId="77777777" w:rsidR="0013116F" w:rsidRDefault="0013116F" w:rsidP="001D49D4">
      <w:pPr>
        <w:pStyle w:val="a9"/>
      </w:pPr>
      <w:r>
        <w:rPr>
          <w:rStyle w:val="ab"/>
        </w:rPr>
        <w:footnoteRef/>
      </w:r>
      <w:r>
        <w:rPr>
          <w:rtl/>
        </w:rPr>
        <w:t xml:space="preserve"> להכי קני, רש"י.</w:t>
      </w:r>
    </w:p>
  </w:footnote>
  <w:footnote w:id="4334">
    <w:p w14:paraId="1DF4938F" w14:textId="77777777" w:rsidR="0013116F" w:rsidRDefault="0013116F" w:rsidP="001D49D4">
      <w:pPr>
        <w:pStyle w:val="a9"/>
      </w:pPr>
      <w:r>
        <w:rPr>
          <w:rStyle w:val="ab"/>
        </w:rPr>
        <w:footnoteRef/>
      </w:r>
      <w:r>
        <w:rPr>
          <w:rtl/>
        </w:rPr>
        <w:t xml:space="preserve"> לבית דין, דכגבוי דמי ולא הוה אסמכתא, רש"י.</w:t>
      </w:r>
    </w:p>
  </w:footnote>
  <w:footnote w:id="4335">
    <w:p w14:paraId="4ACDA2B9" w14:textId="77777777" w:rsidR="0013116F" w:rsidRDefault="0013116F" w:rsidP="001D49D4">
      <w:pPr>
        <w:pStyle w:val="a9"/>
      </w:pPr>
      <w:r>
        <w:rPr>
          <w:rStyle w:val="ab"/>
        </w:rPr>
        <w:footnoteRef/>
      </w:r>
      <w:r>
        <w:rPr>
          <w:rtl/>
        </w:rPr>
        <w:t xml:space="preserve"> דס"ל אסמכתא קניא, ויגבה כל חובו מבני חרי, אבל ממשעבדי לא, שכבר נמחל שעבוד חצי החוב, ושטר שלוה בו ופרעו אינו חוזר ולוה בו שכבר נמחל שעבודו </w:t>
      </w:r>
      <w:r>
        <w:rPr>
          <w:sz w:val="16"/>
          <w:szCs w:val="16"/>
          <w:rtl/>
        </w:rPr>
        <w:t>(כתובות פה.)</w:t>
      </w:r>
      <w:r>
        <w:rPr>
          <w:rtl/>
        </w:rPr>
        <w:t xml:space="preserve">. ואפילו חצי החוב שלא פרע אינו גובה בשטר זה ממשעבדי, דחיישינן שמא יגבה בו חצי האחר שנפרע, כדאמרינן </w:t>
      </w:r>
      <w:r>
        <w:rPr>
          <w:sz w:val="16"/>
          <w:szCs w:val="16"/>
          <w:rtl/>
        </w:rPr>
        <w:t xml:space="preserve">(ב"מ עב.) </w:t>
      </w:r>
      <w:r>
        <w:rPr>
          <w:rtl/>
        </w:rPr>
        <w:t xml:space="preserve">בשטר חוב מוקדם דאפילו מזמן שני לא גבי דילמא אתי למגבי מזמן ראשון, ומבני חרי גבי ביה דקני ליה במסירה. א"נ גבי ממשעבדי כל החוב שכך התנה מתחלה שאם לא אתן לו לזמן פלוני שיהיו המעות שנתן לו מתנה וישאר השטר כבתחלה, והאי פירושא ניחא טפי, דבקניית אותיות בעי כתיבה ומסירה </w:t>
      </w:r>
      <w:r>
        <w:rPr>
          <w:sz w:val="16"/>
          <w:szCs w:val="16"/>
          <w:rtl/>
        </w:rPr>
        <w:t>(ב"ב עז.)</w:t>
      </w:r>
      <w:r>
        <w:rPr>
          <w:rtl/>
        </w:rPr>
        <w:t xml:space="preserve">, רא"ש </w:t>
      </w:r>
      <w:r>
        <w:rPr>
          <w:sz w:val="16"/>
          <w:szCs w:val="16"/>
          <w:rtl/>
        </w:rPr>
        <w:t>(בפירושו כז: ד"ה רבי יוסי)</w:t>
      </w:r>
      <w:r>
        <w:rPr>
          <w:rtl/>
        </w:rPr>
        <w:t xml:space="preserve">. וכן דעת הרמב"ן </w:t>
      </w:r>
      <w:r>
        <w:rPr>
          <w:sz w:val="16"/>
          <w:szCs w:val="16"/>
          <w:rtl/>
        </w:rPr>
        <w:t>(ב"ב קע: ד"ה מתני' מי שפרע)</w:t>
      </w:r>
      <w:r>
        <w:rPr>
          <w:rtl/>
        </w:rPr>
        <w:t xml:space="preserve">, וכ"כ הרשב"א בתשובה </w:t>
      </w:r>
      <w:r>
        <w:rPr>
          <w:sz w:val="16"/>
          <w:szCs w:val="16"/>
          <w:rtl/>
        </w:rPr>
        <w:t>(ח"א סי' תתקיז וסי' אלף קסא)</w:t>
      </w:r>
      <w:r>
        <w:rPr>
          <w:rtl/>
        </w:rPr>
        <w:t xml:space="preserve"> והר"ן בפרק הזהב דבאומר אם לא פרעתי ביום פלוני יהיו המעות מתנה וישאר החוב כמו שהיה מתחלה מיירי, דאילו באומר תן שטרו שאני רוצה להתחייב לו בדמי כל השטר אע"פ שפרעתי מקצתו - לא הוה אמר רבי יוסי יתן דהא נמחל שעבודו, ב"י. וכ"כ הטור. </w:t>
      </w:r>
    </w:p>
  </w:footnote>
  <w:footnote w:id="4336">
    <w:p w14:paraId="4DE881E0" w14:textId="77777777" w:rsidR="0013116F" w:rsidRDefault="0013116F" w:rsidP="001D49D4">
      <w:pPr>
        <w:pStyle w:val="a9"/>
      </w:pPr>
      <w:r>
        <w:rPr>
          <w:rStyle w:val="ab"/>
        </w:rPr>
        <w:footnoteRef/>
      </w:r>
      <w:r>
        <w:rPr>
          <w:rtl/>
        </w:rPr>
        <w:t xml:space="preserve"> שלא יהא בהן ממש דזהו חמור מתן לו שטרו, רש"י.</w:t>
      </w:r>
    </w:p>
  </w:footnote>
  <w:footnote w:id="4337">
    <w:p w14:paraId="6BCB5314" w14:textId="77777777" w:rsidR="0013116F" w:rsidRDefault="0013116F" w:rsidP="001D49D4">
      <w:pPr>
        <w:pStyle w:val="a9"/>
      </w:pPr>
      <w:r>
        <w:rPr>
          <w:rStyle w:val="ab"/>
        </w:rPr>
        <w:footnoteRef/>
      </w:r>
      <w:r>
        <w:rPr>
          <w:rtl/>
        </w:rPr>
        <w:t xml:space="preserve"> דהא דאסיק תלמודא והלכתא אסמכתא קניא קאי אההיא דרב הונא דאתפיס זכוותיה ודוקא בההוא גוונא אסיק דקניא אבל אי לא אתפיס זכוותיה לא, ב"י.</w:t>
      </w:r>
    </w:p>
  </w:footnote>
  <w:footnote w:id="4338">
    <w:p w14:paraId="723F04E6" w14:textId="77777777" w:rsidR="0013116F" w:rsidRDefault="0013116F" w:rsidP="001D49D4">
      <w:pPr>
        <w:pStyle w:val="a9"/>
      </w:pPr>
      <w:r>
        <w:rPr>
          <w:rStyle w:val="ab"/>
        </w:rPr>
        <w:footnoteRef/>
      </w:r>
      <w:r>
        <w:rPr>
          <w:rtl/>
        </w:rPr>
        <w:t xml:space="preserve"> דלא אסיק תלמודא דאסמכתא קניא אלא בהנהו גווני דקאמר מקמי הכי, ב"י.</w:t>
      </w:r>
    </w:p>
  </w:footnote>
  <w:footnote w:id="4339">
    <w:p w14:paraId="76ABD547" w14:textId="77777777" w:rsidR="0013116F" w:rsidRDefault="0013116F" w:rsidP="001D49D4">
      <w:pPr>
        <w:pStyle w:val="a9"/>
      </w:pPr>
      <w:r>
        <w:rPr>
          <w:rStyle w:val="ab"/>
        </w:rPr>
        <w:footnoteRef/>
      </w:r>
      <w:r>
        <w:rPr>
          <w:rtl/>
        </w:rPr>
        <w:t xml:space="preserve"> הטור הביא את דברי הרי"ף תחילה ואח"כ את דברי הרמ"ה וחילק בניהם, וכתב הב"י שמדברי רבינו </w:t>
      </w:r>
      <w:r>
        <w:rPr>
          <w:sz w:val="16"/>
          <w:szCs w:val="16"/>
          <w:rtl/>
        </w:rPr>
        <w:t xml:space="preserve">{הטור} </w:t>
      </w:r>
      <w:r>
        <w:rPr>
          <w:rtl/>
        </w:rPr>
        <w:t>נראה דמשמע ליה דלהרי"ף במתפיס זכוותיה ואפילו שלא בבית דין סגי, ואפילו לא אמר ליבטלן זכוותיה, וכ"כ הרא"ש בתשובה (כלל עב סי' ז) וז"ל- רב אלפס כתב בשם גאון דלא בעינן בית דין חשוב ולא כתב לא טעם ולא ראיה עכ"ל. ואינו נראה לי כן אלא דעת רי"ף שוה לדעת הרמ"ה, דכיון דסבירא ליה להרי"ף דלא קאי מסקנא דאסמכתא קניא אלא אההיא דרב הונא - הוא הדין דקאי לכל הנך מילי דאיתמרו על ההיא מימרא... ובסימן ר"ז (סי"ג - כו) אכתוב דיני אסמכתא באורך ושם יתבארו דברי הרי"ף ודברי הרמב"ם.</w:t>
      </w:r>
    </w:p>
  </w:footnote>
  <w:footnote w:id="4340">
    <w:p w14:paraId="3921EA06" w14:textId="77777777" w:rsidR="0013116F" w:rsidRDefault="0013116F" w:rsidP="001D49D4">
      <w:pPr>
        <w:pStyle w:val="a9"/>
      </w:pPr>
      <w:r>
        <w:rPr>
          <w:rStyle w:val="ab"/>
        </w:rPr>
        <w:footnoteRef/>
      </w:r>
      <w:r>
        <w:rPr>
          <w:rtl/>
        </w:rPr>
        <w:t xml:space="preserve"> ובתשובה כתב </w:t>
      </w:r>
      <w:r>
        <w:rPr>
          <w:sz w:val="16"/>
          <w:szCs w:val="16"/>
          <w:rtl/>
        </w:rPr>
        <w:t xml:space="preserve">(כלל עב סי' ד) </w:t>
      </w:r>
      <w:r>
        <w:rPr>
          <w:rtl/>
        </w:rPr>
        <w:t xml:space="preserve">על ראובן שהיה חייב לשמעון אלף זהובים בשני שטרות, כל אחד ת"ק, ופרע לו אחד מהם, ונתפשרו שימתין לו מהשני עד זמן ידוע, והניחו השטרות ביד נאמן על מנת שאם לא יפרע בזמן שקבע לו שיחזיר לו הנאמן השני שטרות, ועבר הזמן ולא פרע, וז"ל- ופירש הר"מ דבית דין חשוב היינו שלשה בקיאים בדיני אסמכתא מה נקרא אסמכתא ומה אינו נקרא, כמו שמחלקים </w:t>
      </w:r>
      <w:r>
        <w:rPr>
          <w:sz w:val="16"/>
          <w:szCs w:val="16"/>
          <w:rtl/>
        </w:rPr>
        <w:t xml:space="preserve">(ב"מ עד. ושם תוד"ה הכא) </w:t>
      </w:r>
      <w:r>
        <w:rPr>
          <w:rtl/>
        </w:rPr>
        <w:t>בין היכא דגזים להיכא דלא גזים ובין היכא שבידו לעשות מה שקיים עליו או אין בידו לעשות, דכיון דשלשה הם הבקיאים בדיני אסמכתא והקנו דלא כאסמכתא - הפקר בית דין הפקר וקניא, ובנדון זה נראה שלא היה שם קנין, ואף אם היה קנין לא היה בית דין חשוב, הילכך לא יחזיר הנאמן השטרות לשמעון כי אינו חייב לו ראובן אלא ת"ק זהובים.</w:t>
      </w:r>
    </w:p>
  </w:footnote>
  <w:footnote w:id="4341">
    <w:p w14:paraId="651BAAF0" w14:textId="77777777" w:rsidR="0013116F" w:rsidRDefault="0013116F" w:rsidP="001D49D4">
      <w:pPr>
        <w:pStyle w:val="a9"/>
      </w:pPr>
      <w:r>
        <w:rPr>
          <w:rStyle w:val="ab"/>
        </w:rPr>
        <w:footnoteRef/>
      </w:r>
      <w:r>
        <w:rPr>
          <w:rtl/>
        </w:rPr>
        <w:t xml:space="preserve"> רמב"ן </w:t>
      </w:r>
      <w:r>
        <w:rPr>
          <w:sz w:val="16"/>
          <w:szCs w:val="16"/>
          <w:rtl/>
        </w:rPr>
        <w:t>(ב"ב קע: ד"ה מתני' מי שפרע)</w:t>
      </w:r>
      <w:r>
        <w:rPr>
          <w:rtl/>
        </w:rPr>
        <w:t xml:space="preserve"> רשב"א </w:t>
      </w:r>
      <w:r>
        <w:rPr>
          <w:sz w:val="16"/>
          <w:szCs w:val="16"/>
          <w:rtl/>
        </w:rPr>
        <w:t>(ח"א סי' תתקיז וסי' אלף קסא)</w:t>
      </w:r>
      <w:r>
        <w:rPr>
          <w:rtl/>
        </w:rPr>
        <w:t xml:space="preserve"> רא"ש </w:t>
      </w:r>
      <w:r>
        <w:rPr>
          <w:sz w:val="16"/>
          <w:szCs w:val="16"/>
          <w:rtl/>
        </w:rPr>
        <w:t>(בפירושו כז: ד"ה רבי יוסי)</w:t>
      </w:r>
      <w:r>
        <w:rPr>
          <w:rtl/>
        </w:rPr>
        <w:t xml:space="preserve"> טור ור"ן </w:t>
      </w:r>
      <w:r>
        <w:rPr>
          <w:sz w:val="16"/>
          <w:szCs w:val="16"/>
          <w:rtl/>
        </w:rPr>
        <w:t>(פרק הזהב)</w:t>
      </w:r>
      <w:r>
        <w:rPr>
          <w:rtl/>
        </w:rPr>
        <w:t>.</w:t>
      </w:r>
    </w:p>
  </w:footnote>
  <w:footnote w:id="4342">
    <w:p w14:paraId="7179B351" w14:textId="77777777" w:rsidR="0013116F" w:rsidRDefault="0013116F" w:rsidP="001D49D4">
      <w:pPr>
        <w:pStyle w:val="a9"/>
        <w:rPr>
          <w:rtl/>
        </w:rPr>
      </w:pPr>
      <w:r>
        <w:rPr>
          <w:rStyle w:val="ab"/>
        </w:rPr>
        <w:footnoteRef/>
      </w:r>
      <w:r>
        <w:rPr>
          <w:rtl/>
        </w:rPr>
        <w:t xml:space="preserve"> </w:t>
      </w:r>
      <w:r>
        <w:rPr>
          <w:rFonts w:hint="cs"/>
          <w:rtl/>
        </w:rPr>
        <w:t xml:space="preserve">עיין לעיל </w:t>
      </w:r>
      <w:r>
        <w:rPr>
          <w:sz w:val="16"/>
          <w:szCs w:val="16"/>
          <w:rtl/>
        </w:rPr>
        <w:t>(בגמרא פרק ארבעה נדרים בהערה שמובאת על מה שכתוב 'רבי יוסי אומר יתן')</w:t>
      </w:r>
      <w:r>
        <w:rPr>
          <w:rtl/>
        </w:rPr>
        <w:t xml:space="preserve"> בטעם הדברים.</w:t>
      </w:r>
    </w:p>
  </w:footnote>
  <w:footnote w:id="4343">
    <w:p w14:paraId="64E12D79" w14:textId="77777777" w:rsidR="0013116F" w:rsidRDefault="0013116F" w:rsidP="001D49D4">
      <w:pPr>
        <w:pStyle w:val="a9"/>
      </w:pPr>
      <w:r>
        <w:rPr>
          <w:rStyle w:val="ab"/>
        </w:rPr>
        <w:footnoteRef/>
      </w:r>
      <w:r>
        <w:rPr>
          <w:rtl/>
        </w:rPr>
        <w:t xml:space="preserve"> </w:t>
      </w:r>
      <w:r>
        <w:rPr>
          <w:rFonts w:hint="cs"/>
          <w:rtl/>
        </w:rPr>
        <w:t xml:space="preserve">הביאו הר"ן </w:t>
      </w:r>
      <w:r>
        <w:rPr>
          <w:sz w:val="16"/>
          <w:szCs w:val="16"/>
          <w:rtl/>
        </w:rPr>
        <w:t xml:space="preserve">(נדרים כז: ד"ה והוא דקנו </w:t>
      </w:r>
      <w:r>
        <w:rPr>
          <w:sz w:val="14"/>
          <w:szCs w:val="14"/>
          <w:rtl/>
        </w:rPr>
        <w:t>[בנדרים הר"ן מובא על הדף במקום התוס']</w:t>
      </w:r>
      <w:r>
        <w:rPr>
          <w:sz w:val="16"/>
          <w:szCs w:val="16"/>
          <w:rtl/>
        </w:rPr>
        <w:t xml:space="preserve">) </w:t>
      </w:r>
      <w:r>
        <w:rPr>
          <w:rtl/>
        </w:rPr>
        <w:t xml:space="preserve">וחלק עליו וכתב דאם כדבריו היה לו </w:t>
      </w:r>
      <w:r>
        <w:rPr>
          <w:sz w:val="16"/>
          <w:szCs w:val="16"/>
          <w:rtl/>
        </w:rPr>
        <w:t xml:space="preserve">{לגמ'} </w:t>
      </w:r>
      <w:r>
        <w:rPr>
          <w:rtl/>
        </w:rPr>
        <w:t>לומר בב"ד מומחה.</w:t>
      </w:r>
    </w:p>
  </w:footnote>
  <w:footnote w:id="4344">
    <w:p w14:paraId="2D9A6F52" w14:textId="77777777" w:rsidR="0013116F" w:rsidRDefault="0013116F" w:rsidP="001D49D4">
      <w:pPr>
        <w:pStyle w:val="a9"/>
        <w:rPr>
          <w:rtl/>
        </w:rPr>
      </w:pPr>
      <w:r>
        <w:rPr>
          <w:rStyle w:val="ab"/>
        </w:rPr>
        <w:footnoteRef/>
      </w:r>
      <w:r>
        <w:rPr>
          <w:rtl/>
        </w:rPr>
        <w:t xml:space="preserve"> וכתב ב"י בסי' נה (מחו' יב) עוד בשם תשובת הרשב"א (ח"ב סי' לה) שליש שהחזיר שטר שלא היה לו להחזיר לא עשה ולא כלום ואין זה יכול לגבות בו עכ"ל. </w:t>
      </w:r>
      <w:r>
        <w:rPr>
          <w:color w:val="00B0F0"/>
          <w:rtl/>
        </w:rPr>
        <w:t>(וכ"פ בהג"ה)</w:t>
      </w:r>
      <w:r>
        <w:rPr>
          <w:rtl/>
        </w:rPr>
        <w:t>. וכתב עוד (שם מחו' יג) הא דכתב בתשובה לעיל דאם החזיר שלא כדין כייפינן ליה לסלק היזקא היינו שאין המלוה כאן אבל אם המלוה כאן ומודה דשלא כדין בא לידו כייפינן ליה להחזיר שטר או לכתוב עליו שובר עכ"ל, ופשוט הוא, דרכ"מ (אות ה*).</w:t>
      </w:r>
    </w:p>
  </w:footnote>
  <w:footnote w:id="4345">
    <w:p w14:paraId="18AD7A01" w14:textId="77777777" w:rsidR="0013116F" w:rsidRDefault="0013116F" w:rsidP="001D49D4">
      <w:pPr>
        <w:pStyle w:val="a9"/>
        <w:rPr>
          <w:rtl/>
        </w:rPr>
      </w:pPr>
      <w:r>
        <w:rPr>
          <w:rStyle w:val="ab"/>
        </w:rPr>
        <w:footnoteRef/>
      </w:r>
      <w:r>
        <w:rPr>
          <w:rtl/>
        </w:rPr>
        <w:t xml:space="preserve"> וכתב הב"י- נ"ל הטעם לפי שכשהגיע השטר ליד שמעון זכה בשדה למפרע משעה שנכתב כדאיתא בסימן ל"ט (סכ"ג). אח"כ מצאתי שדין זה תשובת שאלה להראב"ד, כתבה בעל התרומות בשער ס"ג (ח"א סי' ג), ויהיב טעמא לפי שנעשה המכר מעכשיו בלי שום תנאי ושיור ובקנין והשלישות אינה אלא כמי שאמר לכשיהיו לך מעות ליום פלוני אחזירה לך שאסור הלוקח לאכול פירות תוך זמן אלא מאותו יום ואילך (ב"מ סו.) וכבר עמד המכר קיים מיום ראשון שעושה שדהו מכר אלא שמחוסר השלמת התנאי כאילו אמר שדה זו מכורה לך מעכשיו על מנת שתתן לי מאתים זוז מכאן ועד יום פלוני ואם השלים תנאו לאותו יום אע"פ שמכרו לוקח תוך זמן לאחר מקחו קיים והמדמה זאת השלישות לאסמכתא טועה כי אם אבד שטר המכר אינו בטל שכבר קנאו במעותיו משעת מתן מעות אבל שלישות דמתניתין דמי שפרע מקצת חובו מחייב את עצמו במה שאינו חייב באסמכתא ולא קניא.</w:t>
      </w:r>
    </w:p>
  </w:footnote>
  <w:footnote w:id="4346">
    <w:p w14:paraId="522E2A57" w14:textId="77777777" w:rsidR="0013116F" w:rsidRDefault="0013116F" w:rsidP="001D49D4">
      <w:pPr>
        <w:pStyle w:val="a9"/>
        <w:rPr>
          <w:rtl/>
        </w:rPr>
      </w:pPr>
      <w:r>
        <w:rPr>
          <w:rStyle w:val="ab"/>
        </w:rPr>
        <w:footnoteRef/>
      </w:r>
      <w:r>
        <w:rPr>
          <w:rtl/>
        </w:rPr>
        <w:t xml:space="preserve"> פירוש שתלה שעבודו בדעת עצמו ובמידי דבידו ולאו בידו וסמכא דעתיה שלא יחול השעבוד ולכן לא גמר ומקנה </w:t>
      </w:r>
      <w:r>
        <w:rPr>
          <w:sz w:val="16"/>
          <w:szCs w:val="16"/>
          <w:rtl/>
        </w:rPr>
        <w:t>(ממהדורת של"ד)</w:t>
      </w:r>
      <w:r>
        <w:rPr>
          <w:rtl/>
        </w:rPr>
        <w:t>.</w:t>
      </w:r>
    </w:p>
  </w:footnote>
  <w:footnote w:id="4347">
    <w:p w14:paraId="501B2B5D" w14:textId="77777777" w:rsidR="0013116F" w:rsidRDefault="0013116F" w:rsidP="001D49D4">
      <w:pPr>
        <w:pStyle w:val="a9"/>
      </w:pPr>
      <w:r>
        <w:rPr>
          <w:rStyle w:val="ab"/>
        </w:rPr>
        <w:footnoteRef/>
      </w:r>
      <w:r>
        <w:rPr>
          <w:rtl/>
        </w:rPr>
        <w:t xml:space="preserve"> עיין בספרי שפתי כהן ביו"ד סי' רל"ב סק"כ הוכחתי דדוקא אונס דשכיח ולא שכיח, וכל שכן לא שכיח כלל, הוי אונס לענין נדרים וממון, אבל אי שכיח לא הוי אונס, דה"ל לאתנויי. וכתבתי שם בשם הרא"ש (בפירושו לנדרים כז: ד"ה שאני) ורי"ו (ספר אדם ני"ד ח"ג) דעכבו נהר היינו שגדל הנהר ממי גשמים או הפשרת שלגים, דאונסא דלא שכיח הוא, אבל אי פסקיה מברא וכה"ג, אונסא דשכיח הוא וה"ל לאסוקי אדעתיה, עיין שם, ש"ך (סק"א).</w:t>
      </w:r>
    </w:p>
  </w:footnote>
  <w:footnote w:id="4348">
    <w:p w14:paraId="3D5B6DDF" w14:textId="77777777" w:rsidR="0013116F" w:rsidRDefault="0013116F" w:rsidP="001D49D4">
      <w:pPr>
        <w:pStyle w:val="a9"/>
      </w:pPr>
      <w:r>
        <w:rPr>
          <w:rStyle w:val="ab"/>
        </w:rPr>
        <w:footnoteRef/>
      </w:r>
      <w:r>
        <w:rPr>
          <w:rtl/>
        </w:rPr>
        <w:t xml:space="preserve"> שם נתבארו דינים אלו על נכון כי שם עיקר דיני אסמכתא, ש"ך (סק"ב). ועיין שם סע' טו (תוספת מהדורת הסמ"ע).</w:t>
      </w:r>
    </w:p>
  </w:footnote>
  <w:footnote w:id="4349">
    <w:p w14:paraId="7792CABE" w14:textId="77777777" w:rsidR="0013116F" w:rsidRDefault="0013116F" w:rsidP="001D49D4">
      <w:pPr>
        <w:pStyle w:val="a9"/>
        <w:rPr>
          <w:rtl/>
        </w:rPr>
      </w:pPr>
      <w:r>
        <w:rPr>
          <w:rStyle w:val="ab"/>
        </w:rPr>
        <w:footnoteRef/>
      </w:r>
      <w:r>
        <w:rPr>
          <w:rtl/>
        </w:rPr>
        <w:t xml:space="preserve"> עיין לקמן סימן ס"ה סעיף א' וסעיף ט"ז. וצ"ל דכאן הכל מודים דלא יגבה בו כיון שודאי אינו חייב לו סך כל השטר, משא"כ התם דאיכא למימר שמיד המלוה נפל וחייב לו כו' [ע"ש סק"ב וסקנ"ד], סמ"ע (סק"ד). וכ"כ הש"ך (סק"ג).</w:t>
      </w:r>
    </w:p>
  </w:footnote>
  <w:footnote w:id="4350">
    <w:p w14:paraId="5578C6D8" w14:textId="77777777" w:rsidR="0013116F" w:rsidRDefault="0013116F" w:rsidP="001D49D4">
      <w:pPr>
        <w:pStyle w:val="a9"/>
        <w:rPr>
          <w:rtl/>
        </w:rPr>
      </w:pPr>
      <w:r>
        <w:rPr>
          <w:rStyle w:val="ab"/>
        </w:rPr>
        <w:footnoteRef/>
      </w:r>
      <w:r>
        <w:rPr>
          <w:rtl/>
        </w:rPr>
        <w:t xml:space="preserve"> כתב בתשובת משאת בנימין סי' פ"ה, דוקא כשהחזירו למלוה הוי גרמא, אבל שטר שאינו פרוע שהחזירו ללוה מיקרי גרמי וחייב השליש, כדמוכח בתשובת הרא"ש כלל ל"ט סי' ב', ודמי לשורף שטרות של חבירו דלקמן סימן שפ"ו סעיף ב', ש"ך (סק"ד).</w:t>
      </w:r>
    </w:p>
  </w:footnote>
  <w:footnote w:id="4351">
    <w:p w14:paraId="157134FF" w14:textId="77777777" w:rsidR="0013116F" w:rsidRDefault="0013116F" w:rsidP="001D49D4">
      <w:pPr>
        <w:pStyle w:val="a9"/>
      </w:pPr>
      <w:r>
        <w:rPr>
          <w:rStyle w:val="ab"/>
        </w:rPr>
        <w:footnoteRef/>
      </w:r>
      <w:r>
        <w:rPr>
          <w:rtl/>
        </w:rPr>
        <w:t xml:space="preserve"> ולא דמי למ"ש הטור והמחבר לעיל בסימן מ"ו [טור סעיף ל"ד ומחבר] בסעיף ל"ז בהודאת עדים ששקר חתמו שצריכין לשלם מדיני דגרמי, גם בסימן כ"ט סעיף ב' גם בסימן ל"ח כ"כ (הטור ו)המחבר. דחילוק יש בין דיני דגרמי לגרמא דניזקין כמבואר בתוס' [עיין ב"ב כ"ב ע"ב ד"ה זאת] והרא"ש [שם פ"ב סי' י"ז וב"ק פ"ט סי' י"ג], והטור והמחבר כתבוהו לקמן בסימן שפ"ו, והחילוק שביניהן הוא בין אם ההיזק נעשה מיד, וגם אם הוא ברי הזיקא או לא, ע"ש. ולפי מה שכתבתי בדרישה ובסמ"ע שם סעיף ג' [סק"ט] שהרשב"א [המובא לעיל בסק"ג] וסיעתו מחלקין בין היזק המגיע לו קודם שקיבל עליו לפרוע לו ובין לאחר שקיבל עליו מכח השמתא, ושבזה המה מחולקים עם הרא"ש, דהרא"ש [ב"מ פ"ט סי' כ"ח] מחייב בכל ענין וכמ"ש לקמן הטור והמחבר סימן קע"ה [טור סעיף נ"ח ומחבר] בסעיף מ' במוכר שדה לגוי בצד שדה חבירו ומזיקו. ולפ"ז היה נראה לומר, דלעיל בסימן מ"ו העתיק המחבר דברי הרא"ש וכאן העתיק מור"ם דברי הרשב"א, אלא שא"כ לא ה"ל למור"ם ז"ל לסתום כאן אלא לפרש דיש פלוגתא בזה, לכך מחוורתא כמ"ש בראשונה וגם הרא"ש מודה בהא ודוק, סמ"ע (סק"ה).</w:t>
      </w:r>
    </w:p>
  </w:footnote>
  <w:footnote w:id="4352">
    <w:p w14:paraId="330ADD06" w14:textId="77777777" w:rsidR="0013116F" w:rsidRDefault="0013116F" w:rsidP="001D49D4">
      <w:pPr>
        <w:pStyle w:val="a9"/>
      </w:pPr>
      <w:r>
        <w:rPr>
          <w:rStyle w:val="ab"/>
        </w:rPr>
        <w:footnoteRef/>
      </w:r>
      <w:r>
        <w:rPr>
          <w:rtl/>
        </w:rPr>
        <w:t xml:space="preserve"> נראה דהיינו דוקא המותר במה שעדיין לא פרעו, דאילו מה שפרעו כתב הרא"ש שם דאינו חוזר וגובה ממנו אם לא בכתיבה ומסירה כדין אותיות דשטר, וכמ"ש בריש סימן ס"ו. וממשועבדים אפילו אותו שלא פרע אינו גובה, דחיישינן שיגבה בו ג"כ החצי שכבר פרע, וכדין שטר מוקדם, אלא שבגביות מבני חורין ממנו עצמו לא חששו לגזור הא אטו הא. וז"ש מור"ם ואינו גובה כלום, ר"ל כלום אפילו מה שלא נפרע עדיין, ומ"ש אלא מבני חורין, ר"ל גובה אותו שלא פרע לחוד. אבל צ"ע דבדרכ"מ [סי' נ"ד סעיף י"ב] כתב דגובה כולו מבני חורין, והיה לו לכתוב בצידו דהיינו דוקא בכתיבה עם המסירה, סמ"ע (סק"ו). והש"ך (סק"ה) האריך להשיג על הרמ"א והסמ"ע בדין זה </w:t>
      </w:r>
      <w:r>
        <w:rPr>
          <w:sz w:val="16"/>
          <w:szCs w:val="16"/>
          <w:rtl/>
        </w:rPr>
        <w:t>(ואף שגם בפירוש הרא"ש שם נראה לכאורה כן – כתב הש"ך שגם הרא"ש מודה במסקנא לדבריו)</w:t>
      </w:r>
      <w:r>
        <w:rPr>
          <w:rtl/>
        </w:rPr>
        <w:t>, ע"ש דמסיק לענין דינא דגובה החצי שלא נפרע אף ממשעבדי ולא גזרינן בכה"ג. וכן נראה דעת הטור והמחבר ושאר פוסקים שכתבו סתמא הוי שטר שנמחל שעבודו כדי המעות שנתן, משמע דלמה שלא נתן הוי שטר גמור, ולמה שנתן בטל לגמרי ואינו גובה אפילו מבני חרי, וכן עיקר. וכתב עוד הש"ך (סק"ו) דמה שהקשה הסמ"ע על הדרכ"מ שהיה לו לכתוב בצדו דהיינו דוקא בכתיבה ומסירה, לא קשיא מידי, דלפי דבריו יגבה נמי ממשעבדי, אלא ודאי דלא נתכוין הרא"ש לומר דיועיל כאן כתיבה ומסירה, דהא כיון דהו"ל שטר שנמחל שעבודו היאך יועיל כתיבה ומסירה, דהא צריך למכתב ליה קני לך איהו וכל שעבודא דאית ביה וכדלקמן ר"ס ס"ו, והכא הא נמחל שעבודו כדי המעות שנתן. ועוד קשה דהא ה"ל מוקדם ודוק. ועוד דא"כ היאך קאמר הרא"ש והאי פירושא ניחא טפי, דבקניית אותיות בעי כתיבה ומסירה, הו"ל לאוקמי דמיירי בכתיבה ומסירה. אלא ודאי ה"ק, והאי פירושא שיהיה המעות מתנה ניחא טפי, דבקניית אותיות בעי כתיבה ומסירה, ולא מיקנו במסירה לחוד עד שיכתוב לו קני לך איהו וכל שעבודא דאית ביה, וזה לא שייך הכא כיון שנמחל שעבודו. ועיין מש"כ לקמן סי' רז סע' יב סקט"ז עוד מזה. עכ"ד הש"ך. וגם הט"ז השיג על הסמ"ע בזה.</w:t>
      </w:r>
    </w:p>
  </w:footnote>
  <w:footnote w:id="4353">
    <w:p w14:paraId="42CE0679" w14:textId="77777777" w:rsidR="0013116F" w:rsidRDefault="0013116F" w:rsidP="001D49D4">
      <w:pPr>
        <w:pStyle w:val="a9"/>
      </w:pPr>
      <w:r>
        <w:rPr>
          <w:rStyle w:val="ab"/>
        </w:rPr>
        <w:footnoteRef/>
      </w:r>
      <w:r>
        <w:rPr>
          <w:rtl/>
        </w:rPr>
        <w:t xml:space="preserve"> </w:t>
      </w:r>
      <w:r>
        <w:rPr>
          <w:rFonts w:hint="cs"/>
          <w:rtl/>
        </w:rPr>
        <w:t>סימן – סומך דעתו על סוס. וכן - סמכו דוור. וכן - סמכא דעתיה. וכן – דעת סכסוך.</w:t>
      </w:r>
    </w:p>
  </w:footnote>
  <w:footnote w:id="4354">
    <w:p w14:paraId="74DB1AE2" w14:textId="77777777" w:rsidR="0013116F" w:rsidRDefault="0013116F" w:rsidP="001D49D4">
      <w:pPr>
        <w:pStyle w:val="a9"/>
        <w:rPr>
          <w:color w:val="FF0000"/>
          <w:rtl/>
        </w:rPr>
      </w:pPr>
      <w:r>
        <w:rPr>
          <w:rStyle w:val="ab"/>
        </w:rPr>
        <w:footnoteRef/>
      </w:r>
      <w:r>
        <w:rPr>
          <w:rtl/>
        </w:rPr>
        <w:t xml:space="preserve"> </w:t>
      </w:r>
      <w:r>
        <w:rPr>
          <w:rFonts w:hint="cs"/>
          <w:rtl/>
        </w:rPr>
        <w:t xml:space="preserve">סימן – אמינות ליידי. וכן – אישור ללהבות. </w:t>
      </w:r>
    </w:p>
  </w:footnote>
  <w:footnote w:id="4355">
    <w:p w14:paraId="14A34285" w14:textId="77777777" w:rsidR="0013116F" w:rsidRDefault="0013116F" w:rsidP="001D49D4">
      <w:pPr>
        <w:pStyle w:val="a9"/>
      </w:pPr>
      <w:r>
        <w:rPr>
          <w:rStyle w:val="ab"/>
        </w:rPr>
        <w:footnoteRef/>
      </w:r>
      <w:r>
        <w:rPr>
          <w:rtl/>
        </w:rPr>
        <w:t xml:space="preserve"> שהאמינוה המלוה והלוה לשמרו, רש"י.</w:t>
      </w:r>
    </w:p>
  </w:footnote>
  <w:footnote w:id="4356">
    <w:p w14:paraId="563BA9E1" w14:textId="77777777" w:rsidR="0013116F" w:rsidRDefault="0013116F" w:rsidP="001D49D4">
      <w:pPr>
        <w:pStyle w:val="a9"/>
      </w:pPr>
      <w:r>
        <w:rPr>
          <w:rStyle w:val="ab"/>
        </w:rPr>
        <w:footnoteRef/>
      </w:r>
      <w:r>
        <w:rPr>
          <w:rtl/>
        </w:rPr>
        <w:t xml:space="preserve"> שכתוב בו הנפק, רש"י. והתוס' (שם ע"ב ד"ה וכיון) פירשו דאתחזק בבית דין - שראוהו בידה.</w:t>
      </w:r>
    </w:p>
  </w:footnote>
  <w:footnote w:id="4357">
    <w:p w14:paraId="49F0F41B" w14:textId="77777777" w:rsidR="0013116F" w:rsidRDefault="0013116F" w:rsidP="001D49D4">
      <w:pPr>
        <w:pStyle w:val="a9"/>
      </w:pPr>
      <w:r>
        <w:rPr>
          <w:rStyle w:val="ab"/>
        </w:rPr>
        <w:footnoteRef/>
      </w:r>
      <w:r>
        <w:rPr>
          <w:rtl/>
        </w:rPr>
        <w:t xml:space="preserve"> וכתב (שם) דיש פוסקים כלישנא בתרא ולדבריהם אם מתחלה הוציאו השליש לזכות הלוה מהימן אפילו אתחזק שטרא בבית דין, וההיא דרב נחמן דלא הימנה מיירי בשהוציאו השטר לתביעת המלוה וכיון ששתק עד שנתקיים הוה ליה כמאן דאמר ידענא דלאו פריעא הוא והשתא מהדר קא הדרא ביה ומשום הכי לא הימנה אבל אם מיד כשהביאתו לפני בית דין היתה אומרת פרוע הוא היתה נאמנת אע"פ שהוציאתו לתביעת המלוה וכל זה שהוצרכתי לדחוק מפני שיש פוסקים כלישנא בתרא אבל אנן לא פסקינן כההיא לישנא דהא איתותב וכיון דאיתותב בכל ענין נאמן השליש ואע"ג דאפקיה בבית דין ואתחזק בבית דין.</w:t>
      </w:r>
    </w:p>
  </w:footnote>
  <w:footnote w:id="4358">
    <w:p w14:paraId="3BD181B5" w14:textId="77777777" w:rsidR="0013116F" w:rsidRDefault="0013116F" w:rsidP="001D49D4">
      <w:pPr>
        <w:pStyle w:val="a9"/>
      </w:pPr>
      <w:r>
        <w:rPr>
          <w:rStyle w:val="ab"/>
        </w:rPr>
        <w:footnoteRef/>
      </w:r>
      <w:r>
        <w:rPr>
          <w:rtl/>
        </w:rPr>
        <w:t xml:space="preserve"> כ"כ בספר התרומות</w:t>
      </w:r>
      <w:r>
        <w:rPr>
          <w:sz w:val="16"/>
          <w:szCs w:val="16"/>
          <w:rtl/>
        </w:rPr>
        <w:t xml:space="preserve"> (שער נב ח"ג סי' ה) </w:t>
      </w:r>
      <w:r>
        <w:rPr>
          <w:rtl/>
        </w:rPr>
        <w:t xml:space="preserve">ויהיב טעמא דהא הימנוה ותנן </w:t>
      </w:r>
      <w:r>
        <w:rPr>
          <w:sz w:val="16"/>
          <w:szCs w:val="16"/>
          <w:rtl/>
        </w:rPr>
        <w:t xml:space="preserve">(סנהדרין כד.) </w:t>
      </w:r>
      <w:r>
        <w:rPr>
          <w:rtl/>
        </w:rPr>
        <w:t>נאמן עלי אבא נאמן עלי אביך אינו יכול לחזור בו, ב"י.</w:t>
      </w:r>
    </w:p>
  </w:footnote>
  <w:footnote w:id="4359">
    <w:p w14:paraId="6F69C4AF" w14:textId="77777777" w:rsidR="0013116F" w:rsidRDefault="0013116F" w:rsidP="001D49D4">
      <w:pPr>
        <w:pStyle w:val="a9"/>
      </w:pPr>
      <w:r>
        <w:rPr>
          <w:rStyle w:val="ab"/>
        </w:rPr>
        <w:footnoteRef/>
      </w:r>
      <w:r>
        <w:rPr>
          <w:rtl/>
        </w:rPr>
        <w:t xml:space="preserve"> כ"כ בעל התרומות </w:t>
      </w:r>
      <w:r>
        <w:rPr>
          <w:sz w:val="16"/>
          <w:szCs w:val="16"/>
          <w:rtl/>
        </w:rPr>
        <w:t xml:space="preserve">(בשער נב שם סי' ד) </w:t>
      </w:r>
      <w:r>
        <w:rPr>
          <w:rtl/>
        </w:rPr>
        <w:t xml:space="preserve">בשם רבינו האי, וכ"כ המרדכי </w:t>
      </w:r>
      <w:r>
        <w:rPr>
          <w:sz w:val="16"/>
          <w:szCs w:val="16"/>
          <w:rtl/>
        </w:rPr>
        <w:t>(בריש מציעא (סי' ריח) ובפרק זה בורר (סנהדרין סו"ס תשו) ובפרק התקבל (סי' תי))</w:t>
      </w:r>
      <w:r>
        <w:rPr>
          <w:rtl/>
        </w:rPr>
        <w:t xml:space="preserve"> בשם הר"מ </w:t>
      </w:r>
      <w:r>
        <w:rPr>
          <w:sz w:val="16"/>
          <w:szCs w:val="16"/>
          <w:rtl/>
        </w:rPr>
        <w:t>{ובשם ר"ח ר"י ורבנו ברוך}</w:t>
      </w:r>
      <w:r>
        <w:rPr>
          <w:rtl/>
        </w:rPr>
        <w:t xml:space="preserve">, ובתשובות מיימון </w:t>
      </w:r>
      <w:r>
        <w:rPr>
          <w:sz w:val="16"/>
          <w:szCs w:val="16"/>
          <w:rtl/>
        </w:rPr>
        <w:t>(דספר משפטים סי' מד)</w:t>
      </w:r>
      <w:r>
        <w:rPr>
          <w:rtl/>
        </w:rPr>
        <w:t xml:space="preserve">, ב"י. </w:t>
      </w:r>
    </w:p>
  </w:footnote>
  <w:footnote w:id="4360">
    <w:p w14:paraId="47AB55CD" w14:textId="77777777" w:rsidR="0013116F" w:rsidRDefault="0013116F" w:rsidP="001D49D4">
      <w:pPr>
        <w:pStyle w:val="a9"/>
        <w:rPr>
          <w:rtl/>
        </w:rPr>
      </w:pPr>
      <w:r>
        <w:rPr>
          <w:rStyle w:val="ab"/>
        </w:rPr>
        <w:footnoteRef/>
      </w:r>
      <w:r>
        <w:rPr>
          <w:rtl/>
        </w:rPr>
        <w:t xml:space="preserve"> כתב בהגמ"ר ספ"ק דב"מ (סי' תכג) דהשליש נאמן ואין חילוק בין אומר שכל השטר פרוע או מקצתו פרוע, דרכ"מ </w:t>
      </w:r>
      <w:r>
        <w:rPr>
          <w:sz w:val="16"/>
          <w:szCs w:val="16"/>
          <w:rtl/>
        </w:rPr>
        <w:t>(אות א)</w:t>
      </w:r>
      <w:r>
        <w:rPr>
          <w:rtl/>
        </w:rPr>
        <w:t>.</w:t>
      </w:r>
    </w:p>
  </w:footnote>
  <w:footnote w:id="4361">
    <w:p w14:paraId="1307666D" w14:textId="77777777" w:rsidR="0013116F" w:rsidRDefault="0013116F" w:rsidP="001D49D4">
      <w:pPr>
        <w:pStyle w:val="a9"/>
        <w:rPr>
          <w:rtl/>
        </w:rPr>
      </w:pPr>
      <w:r>
        <w:rPr>
          <w:rStyle w:val="ab"/>
        </w:rPr>
        <w:footnoteRef/>
      </w:r>
      <w:r>
        <w:rPr>
          <w:rtl/>
        </w:rPr>
        <w:t xml:space="preserve"> ובהגמ"ר (גיטין סי' תסה) הביא תשובות מוהר"ם בזה וכתב שם דאפילו בטענות שמא יכולין להשביעו ועיין שם, דרכ"מ (אות ד). </w:t>
      </w:r>
      <w:r>
        <w:rPr>
          <w:color w:val="00B0F0"/>
          <w:rtl/>
        </w:rPr>
        <w:t>(וכ"פ בהג"ה)</w:t>
      </w:r>
    </w:p>
  </w:footnote>
  <w:footnote w:id="4362">
    <w:p w14:paraId="1DF12BFB" w14:textId="77777777" w:rsidR="0013116F" w:rsidRDefault="0013116F" w:rsidP="001D49D4">
      <w:pPr>
        <w:pStyle w:val="a9"/>
        <w:rPr>
          <w:rtl/>
        </w:rPr>
      </w:pPr>
      <w:r>
        <w:rPr>
          <w:rStyle w:val="ab"/>
        </w:rPr>
        <w:footnoteRef/>
      </w:r>
      <w:r>
        <w:rPr>
          <w:rtl/>
        </w:rPr>
        <w:t xml:space="preserve"> ועיין במרדכי ריש מציעא (שם)... ועיין בתשובות מיימון דספר משפטים סימן מ"ד </w:t>
      </w:r>
      <w:r>
        <w:rPr>
          <w:sz w:val="16"/>
          <w:szCs w:val="16"/>
          <w:rtl/>
        </w:rPr>
        <w:t>{דשם משמע דהשליש צריך לישבע אם התובע אמר לפקדון נתתי ועיין שם, דרכ"מ [אות ג]}</w:t>
      </w:r>
      <w:r>
        <w:rPr>
          <w:rtl/>
        </w:rPr>
        <w:t>, ב"י.</w:t>
      </w:r>
    </w:p>
  </w:footnote>
  <w:footnote w:id="4363">
    <w:p w14:paraId="4831017E" w14:textId="77777777" w:rsidR="0013116F" w:rsidRDefault="0013116F" w:rsidP="001D49D4">
      <w:pPr>
        <w:pStyle w:val="a9"/>
        <w:rPr>
          <w:rtl/>
        </w:rPr>
      </w:pPr>
      <w:r>
        <w:rPr>
          <w:rStyle w:val="ab"/>
        </w:rPr>
        <w:footnoteRef/>
      </w:r>
      <w:r>
        <w:rPr>
          <w:rtl/>
        </w:rPr>
        <w:t xml:space="preserve"> סברת י"א כתבה בעל התרומות </w:t>
      </w:r>
      <w:r>
        <w:rPr>
          <w:sz w:val="16"/>
          <w:szCs w:val="16"/>
          <w:rtl/>
        </w:rPr>
        <w:t>(שער נב שם סי' ז)</w:t>
      </w:r>
      <w:r>
        <w:rPr>
          <w:rtl/>
        </w:rPr>
        <w:t xml:space="preserve"> ודחאה מדאמ' בהתקבל </w:t>
      </w:r>
      <w:r>
        <w:rPr>
          <w:sz w:val="16"/>
          <w:szCs w:val="16"/>
          <w:rtl/>
        </w:rPr>
        <w:t xml:space="preserve">(סד.) </w:t>
      </w:r>
      <w:r>
        <w:rPr>
          <w:rtl/>
        </w:rPr>
        <w:t>גבי בעל אומר לפקדון שאני ממון כלומר דאתיהיב למחילה ומודה ביה רב הונא דשליש נאמן, וכ'</w:t>
      </w:r>
      <w:r>
        <w:rPr>
          <w:sz w:val="16"/>
          <w:szCs w:val="16"/>
          <w:rtl/>
        </w:rPr>
        <w:t xml:space="preserve"> </w:t>
      </w:r>
      <w:r>
        <w:rPr>
          <w:sz w:val="14"/>
          <w:szCs w:val="14"/>
          <w:rtl/>
        </w:rPr>
        <w:t xml:space="preserve">(שם סי' ח) </w:t>
      </w:r>
      <w:r>
        <w:rPr>
          <w:rtl/>
        </w:rPr>
        <w:t xml:space="preserve">שכן השיב לו הרמב"ן </w:t>
      </w:r>
      <w:r>
        <w:rPr>
          <w:sz w:val="14"/>
          <w:szCs w:val="14"/>
          <w:rtl/>
        </w:rPr>
        <w:t>(סי' נח)</w:t>
      </w:r>
      <w:r>
        <w:rPr>
          <w:sz w:val="16"/>
          <w:szCs w:val="16"/>
          <w:rtl/>
        </w:rPr>
        <w:t xml:space="preserve"> </w:t>
      </w:r>
      <w:r>
        <w:rPr>
          <w:rtl/>
        </w:rPr>
        <w:t>ושכן קבלה בידו מסברת הראשונים, ב"י.</w:t>
      </w:r>
    </w:p>
  </w:footnote>
  <w:footnote w:id="4364">
    <w:p w14:paraId="1B13194A" w14:textId="77777777" w:rsidR="0013116F" w:rsidRDefault="0013116F" w:rsidP="001D49D4">
      <w:pPr>
        <w:pStyle w:val="a9"/>
        <w:rPr>
          <w:rtl/>
        </w:rPr>
      </w:pPr>
      <w:r>
        <w:rPr>
          <w:rStyle w:val="ab"/>
        </w:rPr>
        <w:footnoteRef/>
      </w:r>
      <w:r>
        <w:rPr>
          <w:rtl/>
        </w:rPr>
        <w:t xml:space="preserve"> </w:t>
      </w:r>
      <w:r>
        <w:rPr>
          <w:rFonts w:hint="cs"/>
          <w:rtl/>
        </w:rPr>
        <w:t xml:space="preserve">וז"ל- </w:t>
      </w:r>
      <w:r>
        <w:rPr>
          <w:rtl/>
        </w:rPr>
        <w:t>אם לוי עומד בפנינו, ובידו שטר שיש לראובן על שמעון, ואומר על מנת כן נתנו לי שאחזירנו לשמעון כי מחל לו ראובן. וראובן אומר שקר הוא אלא ממני נפל ומצאו - צריך לוי להחזירו לראובן, ולא דמי לההיא דפרק זה בורר דאמרה ידענא ביה דפריע הוא והימנה רב נחמן, דהתם הושלש השטר בידה, אבל הכא אין ראובן מודה שהשליש ביד לוי כלום.</w:t>
      </w:r>
    </w:p>
  </w:footnote>
  <w:footnote w:id="4365">
    <w:p w14:paraId="46BDEF8B" w14:textId="77777777" w:rsidR="0013116F" w:rsidRDefault="0013116F" w:rsidP="001D49D4">
      <w:pPr>
        <w:pStyle w:val="a9"/>
      </w:pPr>
      <w:r>
        <w:rPr>
          <w:rStyle w:val="ab"/>
        </w:rPr>
        <w:footnoteRef/>
      </w:r>
      <w:r>
        <w:rPr>
          <w:rtl/>
        </w:rPr>
        <w:t xml:space="preserve"> </w:t>
      </w:r>
      <w:r>
        <w:rPr>
          <w:rFonts w:hint="cs"/>
          <w:rtl/>
        </w:rPr>
        <w:t xml:space="preserve">וכתב הש"ך (סק"ה) שכן מוכח מדברי </w:t>
      </w:r>
      <w:r>
        <w:rPr>
          <w:rtl/>
        </w:rPr>
        <w:t>התוס' (פרק התקבל גיטין סד. ד"ה שליש) ועוד ראשונים, ע"ש.</w:t>
      </w:r>
    </w:p>
  </w:footnote>
  <w:footnote w:id="4366">
    <w:p w14:paraId="7F9B8228" w14:textId="77777777" w:rsidR="0013116F" w:rsidRDefault="0013116F" w:rsidP="001D49D4">
      <w:pPr>
        <w:pStyle w:val="a9"/>
      </w:pPr>
      <w:r>
        <w:rPr>
          <w:rStyle w:val="ab"/>
        </w:rPr>
        <w:footnoteRef/>
      </w:r>
      <w:r>
        <w:rPr>
          <w:rtl/>
        </w:rPr>
        <w:t xml:space="preserve"> תוס' (פרק התקבל גיטין סד. ד"ה שליש) מהר"ם (ד"פ סי' תשלט) רא"ש (כלל סח סי' כב) אגודה (שם סי' קיב) ונמוק"י (שם).</w:t>
      </w:r>
    </w:p>
  </w:footnote>
  <w:footnote w:id="4367">
    <w:p w14:paraId="0BDD307F" w14:textId="77777777" w:rsidR="0013116F" w:rsidRDefault="0013116F" w:rsidP="001D49D4">
      <w:pPr>
        <w:pStyle w:val="a9"/>
      </w:pPr>
      <w:r>
        <w:rPr>
          <w:rStyle w:val="ab"/>
        </w:rPr>
        <w:footnoteRef/>
      </w:r>
      <w:r>
        <w:rPr>
          <w:rtl/>
        </w:rPr>
        <w:t xml:space="preserve"> ועיין בתשובת הריב"ש סימן של"ו ושמ"ג אימת אמרינן דנאמן במיגו דאי בעי קלתיה או כביש לשטרא, דרכ"מ (אות ב).</w:t>
      </w:r>
    </w:p>
  </w:footnote>
  <w:footnote w:id="4368">
    <w:p w14:paraId="3F9A2445" w14:textId="77777777" w:rsidR="0013116F" w:rsidRDefault="0013116F" w:rsidP="001D49D4">
      <w:pPr>
        <w:pStyle w:val="a9"/>
        <w:rPr>
          <w:rtl/>
        </w:rPr>
      </w:pPr>
      <w:r>
        <w:rPr>
          <w:rStyle w:val="ab"/>
        </w:rPr>
        <w:footnoteRef/>
      </w:r>
      <w:r>
        <w:rPr>
          <w:rtl/>
        </w:rPr>
        <w:t xml:space="preserve"> ואפילו לא הוציא היום בפנינו מזכרת השלישות הוא נאמן משום דמגו דאי בעי מהדר להאי או להאי כדאמרינן, רשב"א. וכתב עוד (סי' אלף קמז) שכתב יד השליש, אם נתקיים ונודע שהוא כתב ידו - הוא נאמן כמוהו. (וכתב הב"י לעיין במה שכתב בסימן ס"ה (סע' ה - ו מחו' ב) בשם הרמב"ם)</w:t>
      </w:r>
    </w:p>
  </w:footnote>
  <w:footnote w:id="4369">
    <w:p w14:paraId="176E4462" w14:textId="77777777" w:rsidR="0013116F" w:rsidRDefault="0013116F" w:rsidP="001D49D4">
      <w:pPr>
        <w:pStyle w:val="a9"/>
      </w:pPr>
      <w:r>
        <w:rPr>
          <w:rStyle w:val="ab"/>
        </w:rPr>
        <w:footnoteRef/>
      </w:r>
      <w:r>
        <w:rPr>
          <w:rtl/>
        </w:rPr>
        <w:t xml:space="preserve"> וכתב עוד שם הרשב"א- ושמא אף במקום עדים נאמן, וכמדומה שכן דעת התוס' בפרק התקבל </w:t>
      </w:r>
      <w:r>
        <w:rPr>
          <w:sz w:val="16"/>
          <w:szCs w:val="16"/>
          <w:rtl/>
        </w:rPr>
        <w:t>(סד. ד"ה שליש)</w:t>
      </w:r>
      <w:r>
        <w:rPr>
          <w:rtl/>
        </w:rPr>
        <w:t>. עכ"ל. ובתשובה אחרת (ח"ג סי' קצט, הביאו הב"י) כתב כבר השבתי על מה ששאלת בענין השליש ואמרתי כי הוא נאמן אפילו במקום עדים ותן לחכם ויחכם עוד (משלי ט ט) כי חקרת ודרשת היטב והנה נכון מצאת בעיטור (שלישות גט מז ע"ד) ומשם הרב בעל הלכות גם חקרת ודרשת בשמועת בעל אומר לפקדון (גיטין סד.) שלמדו ממנה כן התוספות ומה ששאלת אם יש הפרש בין שליש לנפקד זה נראה לי ברור דהיינו שליש היינו נפקד והטעם שכל המפקיד על אמונתו של נפקד הוא מפקיד והיינו דקאמר בעל אומר לפקדון ומייתי רב חסדא משליש נאמן משניהם. ויתבאר עניין זה בסעיף הבא.</w:t>
      </w:r>
    </w:p>
  </w:footnote>
  <w:footnote w:id="4370">
    <w:p w14:paraId="7C422ADB" w14:textId="77777777" w:rsidR="0013116F" w:rsidRDefault="0013116F" w:rsidP="001D49D4">
      <w:pPr>
        <w:pStyle w:val="a9"/>
        <w:rPr>
          <w:rtl/>
        </w:rPr>
      </w:pPr>
      <w:r>
        <w:rPr>
          <w:rStyle w:val="ab"/>
        </w:rPr>
        <w:footnoteRef/>
      </w:r>
      <w:r>
        <w:rPr>
          <w:rtl/>
        </w:rPr>
        <w:t xml:space="preserve"> ומיירי במקום שאילו היה השטר ביד המלוה לא היה פסול משום מחק או גרר זה, וכגון במקום שלא נהגו לכתוב פרעון או איזה תנאי מאחוריו... אבל במקום שנהגו לכתוב פרעון מאחוריו דיש פוסלים השטר לעיל סימן מ"ד סעיף ו', א"כ ה"ה הכא פסול, דלא עדיף השליש מהבעל דבר עצמו. ואפילו להיש פוסקים שהבאתי בסק"א דכל שהיה ביד שליש בשום פעם לעשותו שטר כשר, הוא כשר, מאן לימא לן דכאן היה יכול לעשותו כשר בשום פעם, דילמא תנאי או פרעון היה בו מעיקרא, ש"ך (סק"ו).</w:t>
      </w:r>
    </w:p>
  </w:footnote>
  <w:footnote w:id="4371">
    <w:p w14:paraId="117309CC" w14:textId="77777777" w:rsidR="0013116F" w:rsidRDefault="0013116F" w:rsidP="001D49D4">
      <w:pPr>
        <w:pStyle w:val="a9"/>
        <w:rPr>
          <w:rtl/>
        </w:rPr>
      </w:pPr>
      <w:r>
        <w:rPr>
          <w:rStyle w:val="ab"/>
        </w:rPr>
        <w:footnoteRef/>
      </w:r>
      <w:r>
        <w:rPr>
          <w:rtl/>
        </w:rPr>
        <w:t xml:space="preserve"> ונראה דבזה שכתב על תנאי זה בלבד נמסר בידי שלישות זה - אינו נאמן לומר שיש תנאי אחר אלא כשאומר שאחר שכתב כן התנו עוד תנאי, אבל אם אומר שקודם לכן היה עוד תנאי אחר שלא כתבו, אינו נאמן, ואפילו הבעל דבר עצמו אילו כתב כן בכתב ידו לא היה נאמן להכחיש כתב ידו, ולא עדיף השליש מהבעלים עצמו, ש"ך (סק"ג).</w:t>
      </w:r>
    </w:p>
  </w:footnote>
  <w:footnote w:id="4372">
    <w:p w14:paraId="054BA2DE" w14:textId="77777777" w:rsidR="0013116F" w:rsidRDefault="0013116F" w:rsidP="001D49D4">
      <w:pPr>
        <w:pStyle w:val="a9"/>
        <w:rPr>
          <w:rtl/>
        </w:rPr>
      </w:pPr>
      <w:r>
        <w:rPr>
          <w:rStyle w:val="ab"/>
        </w:rPr>
        <w:footnoteRef/>
      </w:r>
      <w:r>
        <w:rPr>
          <w:rtl/>
        </w:rPr>
        <w:t xml:space="preserve"> ובתשובה אחרת </w:t>
      </w:r>
      <w:r>
        <w:rPr>
          <w:sz w:val="16"/>
          <w:szCs w:val="16"/>
          <w:rtl/>
        </w:rPr>
        <w:t>(ח"ב סי' צט)</w:t>
      </w:r>
      <w:r>
        <w:rPr>
          <w:rtl/>
        </w:rPr>
        <w:t xml:space="preserve"> כתב שהרמב"ן סבור שכל שטר שיש בו זמן שהושלש ביד שליש על תנאי כך וכך אע"פ שבשלישות לא הוזכר מעכשיו אין כאן אסמכתא. והרשב"א חולק עליו. ועיין בתשובות (המיוחסות) להרמב"ן סימן כ"ה, ב"י.</w:t>
      </w:r>
    </w:p>
  </w:footnote>
  <w:footnote w:id="4373">
    <w:p w14:paraId="41B3C443" w14:textId="77777777" w:rsidR="0013116F" w:rsidRDefault="0013116F" w:rsidP="001D49D4">
      <w:pPr>
        <w:pStyle w:val="a9"/>
        <w:rPr>
          <w:rtl/>
        </w:rPr>
      </w:pPr>
      <w:r>
        <w:rPr>
          <w:rStyle w:val="ab"/>
        </w:rPr>
        <w:footnoteRef/>
      </w:r>
      <w:r>
        <w:rPr>
          <w:rtl/>
        </w:rPr>
        <w:t xml:space="preserve"> ונראה לי שאם המלוה מצוי לפנינו והוא מודה בדבר כופין אותו שיחזיר השטר לשליש או שיכתוב לו שובר או פרעון על גביו, ב"י. </w:t>
      </w:r>
    </w:p>
  </w:footnote>
  <w:footnote w:id="4374">
    <w:p w14:paraId="287D1F39" w14:textId="77777777" w:rsidR="0013116F" w:rsidRDefault="0013116F" w:rsidP="001D49D4">
      <w:pPr>
        <w:pStyle w:val="a9"/>
        <w:rPr>
          <w:rtl/>
        </w:rPr>
      </w:pPr>
      <w:r>
        <w:rPr>
          <w:rStyle w:val="ab"/>
        </w:rPr>
        <w:footnoteRef/>
      </w:r>
      <w:r>
        <w:rPr>
          <w:rtl/>
        </w:rPr>
        <w:t xml:space="preserve"> פירוש, נאמן נגד המלוה והלוה כשני עדים, אבל מ"מ אם עדים מכחישין אותו הן נאמנים יותר ממנו כמו שכתבו הטור [סימן נ"ה סעיף ג'] והמחבר בסמוך סעיף ב', סמ"ע (סק"א). והש"ך (סק"ב) כתב דלעניין זה נאמן כב' עדים, דאם עד אחד מכחישו אין שכנגדו צריך לישבע שבועה דאו' כנגד העד, ואפילו היסת אין צריך לישבע דנימא דהשליש ה"ל עד כנגד עד דאז צריך הנתבע לישבע היסת, כמו שנתבאר בסי' פז סע' ו, אלא השליש ה"ל כב' עדים, וא"כ זה שהשליש מסייעו א"צ לישבע אפילו היסת אע"פ שיש עד אחד שמכחישו, דלעולם כל שאין ב' עדים מכחישין השליש נאמן הוא כב' עדים.</w:t>
      </w:r>
    </w:p>
  </w:footnote>
  <w:footnote w:id="4375">
    <w:p w14:paraId="6323A239" w14:textId="77777777" w:rsidR="0013116F" w:rsidRDefault="0013116F" w:rsidP="001D49D4">
      <w:pPr>
        <w:pStyle w:val="a9"/>
        <w:rPr>
          <w:rtl/>
        </w:rPr>
      </w:pPr>
      <w:r>
        <w:rPr>
          <w:rStyle w:val="ab"/>
        </w:rPr>
        <w:footnoteRef/>
      </w:r>
      <w:r>
        <w:rPr>
          <w:rtl/>
        </w:rPr>
        <w:t xml:space="preserve"> </w:t>
      </w:r>
      <w:r>
        <w:rPr>
          <w:rFonts w:hint="cs"/>
          <w:rtl/>
        </w:rPr>
        <w:t>תוספת באה"ג (אות ה).</w:t>
      </w:r>
    </w:p>
  </w:footnote>
  <w:footnote w:id="4376">
    <w:p w14:paraId="691360B6" w14:textId="77777777" w:rsidR="0013116F" w:rsidRDefault="0013116F" w:rsidP="001D49D4">
      <w:pPr>
        <w:pStyle w:val="a9"/>
        <w:rPr>
          <w:rtl/>
        </w:rPr>
      </w:pPr>
      <w:r>
        <w:rPr>
          <w:rStyle w:val="ab"/>
        </w:rPr>
        <w:footnoteRef/>
      </w:r>
      <w:r>
        <w:rPr>
          <w:rtl/>
        </w:rPr>
        <w:t xml:space="preserve"> אבל אם השליש המלוה שטרו ביד אחר, שהשליש יעשה לו פשרה או דין עד זמן פלוני, ועבר הזמן ולא עשה, יחזיר לו שטרו, כ"כ הרשב"א בתשובה, עכ"ל סמ"ע [סק"ו]. ותשובת רשב"א זו הביא הב"י בסימן שלפני זה [סי' נה מחודש ח'] וז"ל שם- זה פשוט שכיון שקבעו לו זמן לפסקו או לפשרתו ולא אמר כלום בתוך הזמן, כבר נתבטלה דעת השליש ויחזיר השטר למלוה, עכ"ל. ולא דמי לכאן דכשהגיע הזמן ממילא הוא שייך לאחד מהן, ולא גרע בשביל מה שנתעכב עדיין בידו, וק"ל, ש"ך (סק"ד).</w:t>
      </w:r>
    </w:p>
  </w:footnote>
  <w:footnote w:id="4377">
    <w:p w14:paraId="2772178F" w14:textId="77777777" w:rsidR="0013116F" w:rsidRDefault="0013116F" w:rsidP="001D49D4">
      <w:pPr>
        <w:pStyle w:val="a9"/>
      </w:pPr>
      <w:r>
        <w:rPr>
          <w:rStyle w:val="ab"/>
        </w:rPr>
        <w:footnoteRef/>
      </w:r>
      <w:r>
        <w:rPr>
          <w:rtl/>
        </w:rPr>
        <w:t xml:space="preserve"> </w:t>
      </w:r>
      <w:r>
        <w:rPr>
          <w:rFonts w:hint="cs"/>
          <w:rtl/>
        </w:rPr>
        <w:t xml:space="preserve">וכתב הש"ך (סק"ה) </w:t>
      </w:r>
      <w:r>
        <w:rPr>
          <w:rtl/>
        </w:rPr>
        <w:t xml:space="preserve">וז"ל- אבל באמת דין זה תמוה בעיני, דא"כ לא שבקת חיי לכל בריה, דכל אחד יגזול משל חבירו ויאמר שליש אני ויעשה קנוניא עם איש אחר ויחלוק עמו... וחקרתי לדעת דעת שאר פוסקים, והנה ראיתי הרבה פוסקים חולקים על הבעה"ת, והב"י והד"מ לא הביאום כלל, וע"כ נלפע"ד עיקר לדינא כדעת האיכא רבוותא שדחה הבעה"ת דאין השליש נאמן היכא שהבעל דבר מכחישו... וכן דעת הרא"ש (כלל סח סי' כב)... וכן מצאתי בתשובת מהר"ם (ד"פ סי' תשלט)... וכן בתשו' מיימוני </w:t>
      </w:r>
      <w:r>
        <w:rPr>
          <w:sz w:val="16"/>
          <w:szCs w:val="16"/>
          <w:rtl/>
        </w:rPr>
        <w:t xml:space="preserve">(ספר משפטים סי' מד) </w:t>
      </w:r>
      <w:r>
        <w:rPr>
          <w:rtl/>
        </w:rPr>
        <w:t xml:space="preserve">הביא דברי תשובת מהר"ם בארוכה... וכ"מ בתוס' פרק התקבל </w:t>
      </w:r>
      <w:r>
        <w:rPr>
          <w:sz w:val="16"/>
          <w:szCs w:val="16"/>
          <w:rtl/>
        </w:rPr>
        <w:t xml:space="preserve">(גיטין סד. ד"ה שליש) </w:t>
      </w:r>
      <w:r>
        <w:rPr>
          <w:rtl/>
        </w:rPr>
        <w:t xml:space="preserve">ואגודה שם </w:t>
      </w:r>
      <w:r>
        <w:rPr>
          <w:sz w:val="16"/>
          <w:szCs w:val="16"/>
          <w:rtl/>
        </w:rPr>
        <w:t>(סי' קיב)</w:t>
      </w:r>
      <w:r>
        <w:rPr>
          <w:rtl/>
        </w:rPr>
        <w:t>. עכ"ל. וכתב עוד הש"ך (סק"ה) שגם לדעת בעל התרומות והטור והמחבר שנאמן השליש אם אם שני הצדדים מכחישים אותו – לא היה להם לחלק בין הכחשה בסכום להכחשה בעיקר השלישות.</w:t>
      </w:r>
    </w:p>
  </w:footnote>
  <w:footnote w:id="4378">
    <w:p w14:paraId="5EFEA2F0" w14:textId="77777777" w:rsidR="0013116F" w:rsidRDefault="0013116F" w:rsidP="001D49D4">
      <w:pPr>
        <w:pStyle w:val="a9"/>
        <w:rPr>
          <w:rtl/>
        </w:rPr>
      </w:pPr>
      <w:r>
        <w:rPr>
          <w:rStyle w:val="ab"/>
        </w:rPr>
        <w:footnoteRef/>
      </w:r>
      <w:r>
        <w:rPr>
          <w:rtl/>
        </w:rPr>
        <w:t xml:space="preserve"> ואפילו יש עדים שעשאוהו שליש או ששניהם מודים שעשאוהו שליש, מ"מ כשיש הכחשה ביניהם ובין שליש בסך הממון, צריך השליש לישבע נגד התובע המכחישו, וכמ"ש לקמן סק"כ, ודלא כהב"ח סעיף א', ע"ש, ש"ך (סק"ז).</w:t>
      </w:r>
    </w:p>
  </w:footnote>
  <w:footnote w:id="4379">
    <w:p w14:paraId="69BDB0CB" w14:textId="77777777" w:rsidR="0013116F" w:rsidRDefault="0013116F" w:rsidP="001D49D4">
      <w:pPr>
        <w:pStyle w:val="a9"/>
      </w:pPr>
      <w:r>
        <w:rPr>
          <w:rStyle w:val="ab"/>
        </w:rPr>
        <w:footnoteRef/>
      </w:r>
      <w:r>
        <w:rPr>
          <w:rtl/>
        </w:rPr>
        <w:t xml:space="preserve"> הלשון מגומגם, דודאי כשאינו נאמן משום דהוי שליש, אע"פ שיש לו מיגו אינו נאמן להיות עד, שהרי מ"מ הוא נוגע בדבר, אלא שהוא נאמן מ"מ לעשות בו מה שירצה משום מיגו, וא"כ האי נאמן שכתב הר"ב לא הוי דומיא דנאמן שכתבו הטור והמחבר, ונ"מ דאם ירצה יכול להשביע את אותו שכנגדו, אע"פ שזה השליש מסייעו לא הוי עד מסייע לפטור משבועה, ש"ך (סק"ח).</w:t>
      </w:r>
    </w:p>
  </w:footnote>
  <w:footnote w:id="4380">
    <w:p w14:paraId="2D345342" w14:textId="77777777" w:rsidR="0013116F" w:rsidRDefault="0013116F" w:rsidP="001D49D4">
      <w:pPr>
        <w:pStyle w:val="a9"/>
      </w:pPr>
      <w:r>
        <w:rPr>
          <w:rStyle w:val="ab"/>
        </w:rPr>
        <w:footnoteRef/>
      </w:r>
      <w:r>
        <w:rPr>
          <w:rtl/>
        </w:rPr>
        <w:t xml:space="preserve"> פירוש לזה שיש הכחשה ביניהן בסך המעות, וסיים שם בהגמ"ר (שם) ז"ל- כדאיתא בפרק כל הנשבעין, עכ"ל. ונראה דר"ל דאיתא שם </w:t>
      </w:r>
      <w:r>
        <w:rPr>
          <w:sz w:val="16"/>
          <w:szCs w:val="16"/>
          <w:rtl/>
        </w:rPr>
        <w:t xml:space="preserve">[שבועות מח:] </w:t>
      </w:r>
      <w:r>
        <w:rPr>
          <w:rtl/>
        </w:rPr>
        <w:t xml:space="preserve">השותפים ושלוחים והנושא והנותן בתוך הבית צריכים לישבע אפילו בטענת שמא כשחושדם בב' מעה כסף, וכמ"ש ג"כ הטור והמחבר לקמן בר"ס צ"ג, ע"ש, וה"ה זה השליש כשיש להן תרעומות עליו, וע"ש, סמ"ע </w:t>
      </w:r>
      <w:r>
        <w:rPr>
          <w:sz w:val="16"/>
          <w:szCs w:val="16"/>
          <w:rtl/>
        </w:rPr>
        <w:t>(סק"ט)</w:t>
      </w:r>
      <w:r>
        <w:rPr>
          <w:rtl/>
        </w:rPr>
        <w:t xml:space="preserve">. אך הש"ך </w:t>
      </w:r>
      <w:r>
        <w:rPr>
          <w:sz w:val="16"/>
          <w:szCs w:val="16"/>
          <w:rtl/>
        </w:rPr>
        <w:t xml:space="preserve">(סק"ט) </w:t>
      </w:r>
      <w:r>
        <w:rPr>
          <w:rtl/>
        </w:rPr>
        <w:t xml:space="preserve">תמה על דבריו </w:t>
      </w:r>
      <w:r>
        <w:rPr>
          <w:sz w:val="16"/>
          <w:szCs w:val="16"/>
          <w:rtl/>
        </w:rPr>
        <w:t>(דא"כ למה ישבע השליש הא קי"ל דאין נשבעין על טענת שמא, ולא דמי לשלוחין דלקמן סי' צ"ג [סע' ד], דהתם מורי היתרא. ועוד, דיש אומרים שם דוקא כשנוטל השליח שכר, ואפילו למאן דס"ל התם דאפילו אינו בא ליטול שכר צריך לישבע, היינו דוקא התם ששלח לו לקנות או למכור והיה מתעסק בשלו, ושייך לומר שהרויח יותר ומורי היתרא שלוקח ריוח שהרויח בעד טרחתו, משא"כ הכא דלא התעסק בשלו כלום, וגם לא שייך לומר דמורי היתרא לומר לא הפקדת אצלי אלא כך, וכי בשביל שהיה של חבירו אצלו בפקדון יכפור לו את שלו שלא הפקיד אצלו כך וכך...)</w:t>
      </w:r>
      <w:r>
        <w:rPr>
          <w:rtl/>
        </w:rPr>
        <w:t xml:space="preserve"> וכ'- נלפע"ד דמיירי בלוה שהשליש בידו ק"ך למוסרם למלוה מה שהיה חייב לו, והמלוה אומר שלא נתן לו אלא ק', נמצא שחייב לשלם לו עוד כ', צריך השליש לישבע נגד הלוה, דאע"פ שאינו טוען ברי שעיכבם לעצמו, שהרי אינו יודע, ושמא נתן ק"ך למלוה, מ"מ כה"ג נשבעים אפילו בטענת שמא, כדאיתא בפרק כל הנשבעין</w:t>
      </w:r>
      <w:r>
        <w:rPr>
          <w:sz w:val="16"/>
          <w:szCs w:val="16"/>
          <w:rtl/>
        </w:rPr>
        <w:t xml:space="preserve"> (שבועות מה.) </w:t>
      </w:r>
      <w:r>
        <w:rPr>
          <w:rtl/>
        </w:rPr>
        <w:t>דחנוני על פנקסו צריכים הפועלים והחנוני לישבע אע"ג דאין לבעל הבית עליהם אלא טענת שמא, כיון דמכחשי להו אהדדי, וה"ה הכא. ואע"ג דהתם נשבעים ליטול והכא לפטור, מ"מ היכא דמכחשי אהדדי אין לחלק בכך, וכמו שהסכימו הפוסקים ונתבאר לקמן סי' קכ"א סע' ח-ט להדיא ע"ש... ואולי גם הר"ב מיירי בהכי ודלא כסמ"ע.</w:t>
      </w:r>
    </w:p>
  </w:footnote>
  <w:footnote w:id="4381">
    <w:p w14:paraId="4B6AD9F3" w14:textId="77777777" w:rsidR="0013116F" w:rsidRDefault="0013116F" w:rsidP="001D49D4">
      <w:pPr>
        <w:pStyle w:val="a9"/>
        <w:rPr>
          <w:rtl/>
        </w:rPr>
      </w:pPr>
      <w:r>
        <w:rPr>
          <w:rStyle w:val="ab"/>
        </w:rPr>
        <w:footnoteRef/>
      </w:r>
      <w:r>
        <w:rPr>
          <w:rtl/>
        </w:rPr>
        <w:t xml:space="preserve"> לשון הטור [סימן נ"ה סעיף א'], ואפילו נראה כבר בב"ד, שהוציא השטר מתחת ידו סתם ושתק עד שנתקיים, ואמר פרוע הוא כו', סמ"ע (סק"י). והש"ך (סק"י) הניח את דברי הטור בצ"ע.</w:t>
      </w:r>
    </w:p>
  </w:footnote>
  <w:footnote w:id="4382">
    <w:p w14:paraId="5D382A59" w14:textId="77777777" w:rsidR="0013116F" w:rsidRDefault="0013116F" w:rsidP="001D49D4">
      <w:pPr>
        <w:pStyle w:val="a9"/>
        <w:rPr>
          <w:rtl/>
        </w:rPr>
      </w:pPr>
      <w:r>
        <w:rPr>
          <w:rStyle w:val="ab"/>
        </w:rPr>
        <w:footnoteRef/>
      </w:r>
      <w:r>
        <w:rPr>
          <w:rtl/>
        </w:rPr>
        <w:t xml:space="preserve"> ואע"פ שהוחזק כבר השטר בב"ד ולית ליה מיגו, מ"מ כיון שהיה יכול לקרעו בשום פעם, נאמן השליש, כיון דהימנוהו, לאפוקי אם לא היתה יכולת בידו לעשות כן בשום פעם, דאז לא היה נאמן, ועיין מה שכתבתי באריכות מזה בסק"א, ש"ך (סקי"א).</w:t>
      </w:r>
    </w:p>
  </w:footnote>
  <w:footnote w:id="4383">
    <w:p w14:paraId="4EBD87D3" w14:textId="77777777" w:rsidR="0013116F" w:rsidRDefault="0013116F" w:rsidP="001D49D4">
      <w:pPr>
        <w:pStyle w:val="a9"/>
      </w:pPr>
      <w:r>
        <w:rPr>
          <w:rStyle w:val="ab"/>
        </w:rPr>
        <w:footnoteRef/>
      </w:r>
      <w:r>
        <w:rPr>
          <w:rtl/>
        </w:rPr>
        <w:t xml:space="preserve"> הוא לשון הרמב"ם פט"ז מהל' מלוה [ה"ח]... ונראה דהרמב"ם הוציא דבריו מש"ס ערוך סוף פרק זה בורר [סנהדרין לא:] שהבאתי לעיל סק"א, וגם הוא ש"ס ערוך בספ"ק דמציעא [כא.], סמפון שאין עליו עדים ויוצא מתחת ידי שליש כשר, ועל פי פירוש הראשון שכתבו התוס' סוף פרק זה בורר [שם ד"ה אין] שהשטר והסמפון יוצא מתחת ידי שליש, והבאתיו לעיל סק"א, אלא דהוסיף דמיירי שהשליש מת כדי ליישב דא"כ למה לי סמפון, וכמ"ש לקמן סימן ס"ה ס"ק ס"ה. ואפשר גם כונת התוס' כן, ולכך כתב הרמב"ם וכן אם מת השליש כו', כי היכא דבש"ס מדמי להו להדדי דרבא פריך מיניה לרב נחמן, ולחנם נדחק הרב המגיד. [שוב ראיתי בב"י סימן ס"ה מחודש ב' ובספר לחם משנה [שם], כתבו ג"כ שהרמב"ם הוציא דבריו מש"ס זו, וע"ש], ש"ך (סקי"ב).</w:t>
      </w:r>
    </w:p>
  </w:footnote>
  <w:footnote w:id="4384">
    <w:p w14:paraId="58108E48" w14:textId="77777777" w:rsidR="0013116F" w:rsidRDefault="0013116F" w:rsidP="001D49D4">
      <w:pPr>
        <w:pStyle w:val="a9"/>
      </w:pPr>
      <w:r>
        <w:rPr>
          <w:rStyle w:val="ab"/>
        </w:rPr>
        <w:footnoteRef/>
      </w:r>
      <w:r>
        <w:rPr>
          <w:rtl/>
        </w:rPr>
        <w:t xml:space="preserve"> בין שהוא כתיבת יד השליש או מכתיבת אחר, כ"כ הטור </w:t>
      </w:r>
      <w:r>
        <w:rPr>
          <w:sz w:val="16"/>
          <w:szCs w:val="16"/>
          <w:rtl/>
        </w:rPr>
        <w:t xml:space="preserve">[סי' נו סע' ד] </w:t>
      </w:r>
      <w:r>
        <w:rPr>
          <w:rtl/>
        </w:rPr>
        <w:t xml:space="preserve">וכ"ה בע"ש </w:t>
      </w:r>
      <w:r>
        <w:rPr>
          <w:sz w:val="16"/>
          <w:szCs w:val="16"/>
          <w:rtl/>
        </w:rPr>
        <w:t>[שם סע' א]</w:t>
      </w:r>
      <w:r>
        <w:rPr>
          <w:rtl/>
        </w:rPr>
        <w:t xml:space="preserve">, וכ"כ בעה"ת </w:t>
      </w:r>
      <w:r>
        <w:rPr>
          <w:sz w:val="16"/>
          <w:szCs w:val="16"/>
          <w:rtl/>
        </w:rPr>
        <w:t>(שער נ"ב ח"ג ס"ג)</w:t>
      </w:r>
      <w:r>
        <w:rPr>
          <w:rtl/>
        </w:rPr>
        <w:t xml:space="preserve">, וכן משמע מדברי הרמב"ם </w:t>
      </w:r>
      <w:r>
        <w:rPr>
          <w:sz w:val="16"/>
          <w:szCs w:val="16"/>
          <w:rtl/>
        </w:rPr>
        <w:t xml:space="preserve">(פט"ז ממלוה ה"ח) </w:t>
      </w:r>
      <w:r>
        <w:rPr>
          <w:rtl/>
        </w:rPr>
        <w:t>והמחבר דכתבו סתמא יוצא מתחת ידי שליש. ועוד, מדכתבו אח"כ אבל כתב שיוצא מתחת ידי המלוה כו' אפילו היה בכתב ידי המלוה כו', משמע דסתם כתב שיוצא מתחת ידי כו' משמע שהוא אינו כתב ידו. ומ"מ נראה דהיינו דוקא כשידוע שבא מן השליש, כגון שהיה צרור וחתום בחותמו של השליש או שהוא סגור בתיבתו, או שיש בו איזה סימן אחר שמדעת השליש הוא, או שהמלוה מודה בכך שמדעת השליש הוא אלא שאומר שהשטר אינו פרוע, דאל"כ יש לחוש שמא אחר הניחו שם, וכל שטר שהוא ביד שליש שמת יבקש הלוה ליורשי שליש שיניחו שם כתב שהוא פרוע, ואנן לא קאמרינן אלא דשליש מהימן מטעם דהימנוהו לשליש, אבל לא ליורשי שליש, אלא ודאי כמו שכתבתי, וע"ל סי' סה ס"ק ס"ה, ש"ך (סקי"ג).</w:t>
      </w:r>
    </w:p>
  </w:footnote>
  <w:footnote w:id="4385">
    <w:p w14:paraId="0E2F37D3" w14:textId="77777777" w:rsidR="0013116F" w:rsidRDefault="0013116F" w:rsidP="001D49D4">
      <w:pPr>
        <w:pStyle w:val="a9"/>
        <w:rPr>
          <w:rtl/>
        </w:rPr>
      </w:pPr>
      <w:r>
        <w:rPr>
          <w:rStyle w:val="ab"/>
        </w:rPr>
        <w:footnoteRef/>
      </w:r>
      <w:r>
        <w:rPr>
          <w:rtl/>
        </w:rPr>
        <w:t xml:space="preserve"> כ"כ הטור (סע' כד) והמחבר (סע' יח) לקמן ס"ס ס"ה דאפילו נמצא שובר ביד המלוה על אחד משטרותיו, לא נתגרע כח השטר הזה, אלא אמרינן שהכינו באולי יבוא הלוה פתאום לפרוע לו, שיהיה השובר מוכן בידו ליתננו לו. וכתבתיה ג"כ לעיל ס"ס מ"ט [סקכ"ג], סמ"ע (סקי"ב).</w:t>
      </w:r>
    </w:p>
  </w:footnote>
  <w:footnote w:id="4386">
    <w:p w14:paraId="447D610F" w14:textId="77777777" w:rsidR="0013116F" w:rsidRDefault="0013116F" w:rsidP="001D49D4">
      <w:pPr>
        <w:pStyle w:val="a9"/>
      </w:pPr>
      <w:r>
        <w:rPr>
          <w:rStyle w:val="ab"/>
        </w:rPr>
        <w:footnoteRef/>
      </w:r>
      <w:r>
        <w:rPr>
          <w:rtl/>
        </w:rPr>
        <w:t xml:space="preserve"> דלעולם מי שהדבר בא לו לזכות ולתועלת, הוא צריך לשלם השכירות, סמ"ע (סקי"ג).</w:t>
      </w:r>
    </w:p>
  </w:footnote>
  <w:footnote w:id="4387">
    <w:p w14:paraId="19015A43" w14:textId="77777777" w:rsidR="0013116F" w:rsidRDefault="0013116F" w:rsidP="001D49D4">
      <w:pPr>
        <w:pStyle w:val="a9"/>
      </w:pPr>
      <w:r>
        <w:rPr>
          <w:rStyle w:val="ab"/>
        </w:rPr>
        <w:footnoteRef/>
      </w:r>
      <w:r>
        <w:rPr>
          <w:rtl/>
        </w:rPr>
        <w:t xml:space="preserve"> בההיא דבעל אומר לפקדון ושליש אומר לגירושין דשליש נאמן אפילו יש עדים שאומרים לפקדון.</w:t>
      </w:r>
    </w:p>
  </w:footnote>
  <w:footnote w:id="4388">
    <w:p w14:paraId="63F07FB3" w14:textId="77777777" w:rsidR="0013116F" w:rsidRDefault="0013116F" w:rsidP="001D49D4">
      <w:pPr>
        <w:pStyle w:val="a9"/>
      </w:pPr>
      <w:r>
        <w:rPr>
          <w:rStyle w:val="ab"/>
        </w:rPr>
        <w:footnoteRef/>
      </w:r>
      <w:r>
        <w:rPr>
          <w:rtl/>
        </w:rPr>
        <w:t xml:space="preserve"> ואפילו אית ליה לשליש מיגו, דמיגו במקום עדים לא אמרינן. כ"ה בתשו' הרמב"ן שבבעל התרומות </w:t>
      </w:r>
      <w:r>
        <w:rPr>
          <w:sz w:val="16"/>
          <w:szCs w:val="16"/>
          <w:rtl/>
        </w:rPr>
        <w:t>(שער נב ח"ג סי' ח)</w:t>
      </w:r>
      <w:r>
        <w:rPr>
          <w:rtl/>
        </w:rPr>
        <w:t xml:space="preserve">, ש"ך </w:t>
      </w:r>
      <w:r>
        <w:rPr>
          <w:sz w:val="14"/>
          <w:szCs w:val="14"/>
          <w:rtl/>
        </w:rPr>
        <w:t>(סקט"ו)</w:t>
      </w:r>
      <w:r>
        <w:rPr>
          <w:rtl/>
        </w:rPr>
        <w:t>.</w:t>
      </w:r>
    </w:p>
  </w:footnote>
  <w:footnote w:id="4389">
    <w:p w14:paraId="1C5FDB2F" w14:textId="77777777" w:rsidR="0013116F" w:rsidRDefault="0013116F" w:rsidP="001D49D4">
      <w:pPr>
        <w:pStyle w:val="a9"/>
      </w:pPr>
      <w:r>
        <w:rPr>
          <w:rStyle w:val="ab"/>
        </w:rPr>
        <w:footnoteRef/>
      </w:r>
      <w:r>
        <w:rPr>
          <w:rtl/>
        </w:rPr>
        <w:t xml:space="preserve"> וכן אם עשאוהו שליש ע"פ אותו תנאי בעדים, והעדים אינם כאן כגון שמתו או הלכו למדינת הים, לא יוכל לומר לא סמכתי עליך שהרי לא עשיתיך שליש אלא בפני עדים, אלא כיון דזימנין מייתי עדים או אזלי להו, סמך על השליש והימניה. כן הוא להדיא בתוס' [גיטין סד. ד"ה שליש] והרשב"א [שם] ומרדכי [שם סי' תי] ואגודה פרק התקבל [שם סי' קיב], ע"ש, ש"ך (סקט"ז).</w:t>
      </w:r>
    </w:p>
  </w:footnote>
  <w:footnote w:id="4390">
    <w:p w14:paraId="246855CB" w14:textId="77777777" w:rsidR="0013116F" w:rsidRDefault="0013116F" w:rsidP="001D49D4">
      <w:pPr>
        <w:pStyle w:val="a9"/>
        <w:rPr>
          <w:rtl/>
        </w:rPr>
      </w:pPr>
      <w:r>
        <w:rPr>
          <w:rStyle w:val="ab"/>
        </w:rPr>
        <w:footnoteRef/>
      </w:r>
      <w:r>
        <w:rPr>
          <w:rtl/>
        </w:rPr>
        <w:t xml:space="preserve"> וא"ת הא כתבו הטור והמחבר בסימן ל' [טור סעיף ו' ומחבר] סוף סעיף ג' ז"ל, וכן אם העידו סתם, דנין הדבר כמכחישין להקל, שהמוציא מחבירו עליו הראיה. שאני הכא דהשליש עם שטר שבידו בחזקת נאמן והעדים באין להוציאו מנאמנותו, בזה אמרינן דמתרצין דבריהן באופן דלא יסתרו אהדדי, משא"כ התם דהממון הוא בחזקת בעליו והעדים באין להוציאו מידו, משום הכי כל שאין עדות גמורה לפנינו דנין אותו כמוכחשים. ועיין פרישה [סעיף ג'] מה שכתבתי עוד מזה, סמ"ע (סקי"ד).</w:t>
      </w:r>
    </w:p>
  </w:footnote>
  <w:footnote w:id="4391">
    <w:p w14:paraId="51B01DAB" w14:textId="77777777" w:rsidR="0013116F" w:rsidRDefault="0013116F" w:rsidP="001D49D4">
      <w:pPr>
        <w:pStyle w:val="a9"/>
      </w:pPr>
      <w:r>
        <w:rPr>
          <w:rStyle w:val="ab"/>
        </w:rPr>
        <w:footnoteRef/>
      </w:r>
      <w:r>
        <w:rPr>
          <w:rtl/>
        </w:rPr>
        <w:t xml:space="preserve"> והלוה טוען ברי, אבל כשטוען שמא ואינו [יודע] כי אם ע"פ השליש והמלוה מכחישו, לא הוי שליש. ש"ך [סקי"ח]. ועיין ביאורים סק"ה דזהו דוקא בשטר, אבל במטלטלין אפילו אין יודע כי אם ע"פ השליש נאמן, וכן כתב בתומים [סק"ה] דבחפץ ודאי דליתא לדינו של הש"ך, ע"ש, נתיבות  (חידושים סקי"ז).</w:t>
      </w:r>
    </w:p>
  </w:footnote>
  <w:footnote w:id="4392">
    <w:p w14:paraId="6C6F098D" w14:textId="77777777" w:rsidR="0013116F" w:rsidRDefault="0013116F" w:rsidP="001D49D4">
      <w:pPr>
        <w:pStyle w:val="a9"/>
      </w:pPr>
      <w:r>
        <w:rPr>
          <w:rStyle w:val="ab"/>
        </w:rPr>
        <w:footnoteRef/>
      </w:r>
      <w:r>
        <w:rPr>
          <w:rtl/>
        </w:rPr>
        <w:t xml:space="preserve"> היינו כשכבר הוציא הממון או השטרות מידו, ריב"ש (סי' תנב, הביאו הב"י).</w:t>
      </w:r>
    </w:p>
  </w:footnote>
  <w:footnote w:id="4393">
    <w:p w14:paraId="7ACE5DA8" w14:textId="77777777" w:rsidR="0013116F" w:rsidRDefault="0013116F" w:rsidP="001D49D4">
      <w:pPr>
        <w:pStyle w:val="a9"/>
      </w:pPr>
      <w:r>
        <w:rPr>
          <w:rStyle w:val="ab"/>
        </w:rPr>
        <w:footnoteRef/>
      </w:r>
      <w:r>
        <w:rPr>
          <w:rtl/>
        </w:rPr>
        <w:t xml:space="preserve"> ובתשובת הרא"ש </w:t>
      </w:r>
      <w:r>
        <w:rPr>
          <w:sz w:val="16"/>
          <w:szCs w:val="16"/>
          <w:rtl/>
        </w:rPr>
        <w:t xml:space="preserve">(כלל צד סי' ג, כלל קה סי' ג) </w:t>
      </w:r>
      <w:r>
        <w:rPr>
          <w:rtl/>
        </w:rPr>
        <w:t xml:space="preserve">משמע דפליג </w:t>
      </w:r>
      <w:r>
        <w:rPr>
          <w:sz w:val="16"/>
          <w:szCs w:val="16"/>
          <w:rtl/>
        </w:rPr>
        <w:t>{וז"ל [בכלל צד סי' ג]- ומה ששאלת ראובן הפקיד ביד לוי חפצים אם נאמן לוי בדיבורו לומר עשיתי בהם מה שצוני ראובן או לא. תשובה נאמן לוי בשבועתו לומר כך וכך צוני לעשות וכן עשיתי במגו דאי בעי משתבע אין בידי כלום משלו או החזרתיו לו}</w:t>
      </w:r>
      <w:r>
        <w:rPr>
          <w:rtl/>
        </w:rPr>
        <w:t xml:space="preserve">, דרכ"מ </w:t>
      </w:r>
      <w:r>
        <w:rPr>
          <w:sz w:val="16"/>
          <w:szCs w:val="16"/>
          <w:rtl/>
        </w:rPr>
        <w:t>(אות א)</w:t>
      </w:r>
      <w:r>
        <w:rPr>
          <w:rtl/>
        </w:rPr>
        <w:t xml:space="preserve">. </w:t>
      </w:r>
      <w:r>
        <w:rPr>
          <w:color w:val="FF0000"/>
          <w:rtl/>
        </w:rPr>
        <w:t>לכאורה נראה שאפשר לחלק כך שלא יהיו דבריהם חלוקים.</w:t>
      </w:r>
    </w:p>
  </w:footnote>
  <w:footnote w:id="4394">
    <w:p w14:paraId="59EBE48D" w14:textId="77777777" w:rsidR="0013116F" w:rsidRDefault="0013116F" w:rsidP="001D49D4">
      <w:pPr>
        <w:pStyle w:val="a9"/>
        <w:rPr>
          <w:rtl/>
        </w:rPr>
      </w:pPr>
      <w:r>
        <w:rPr>
          <w:rStyle w:val="ab"/>
        </w:rPr>
        <w:footnoteRef/>
      </w:r>
      <w:r>
        <w:rPr>
          <w:rtl/>
        </w:rPr>
        <w:t xml:space="preserve"> וראייתו מפרק המקבל גבי בעל אמר לגירושין ומפרק זה בורר, ושם פירשתי, ומיהו מה ששייך לפטור השליש משבועה היינו בשאין הדבר שייך לו אלא המפקידים חלוקין זה אומר כך וזה אומר כך ושליש מסייע לחד מינייהו דינא הוא דשליש נאמן דאין אדם חוטא ולא לו ואדעתא דהכי הימנוהו, אבל אם הוא נוגע בדבר שאומר לו עכבת משלנו כך וכך דינו כשאר נפקדים דאמר קרא ונקרב בעל הבית אל האלהים אם לא שלח ידו וגו' דלגבי נפשיה לא מהימן בלא שבועה ע"כ דברי הרב רבי עזריאל, מרדכי.</w:t>
      </w:r>
    </w:p>
  </w:footnote>
  <w:footnote w:id="4395">
    <w:p w14:paraId="49ABCC10" w14:textId="77777777" w:rsidR="0013116F" w:rsidRDefault="0013116F" w:rsidP="001D49D4">
      <w:pPr>
        <w:pStyle w:val="a9"/>
        <w:rPr>
          <w:rtl/>
        </w:rPr>
      </w:pPr>
      <w:r>
        <w:rPr>
          <w:rStyle w:val="ab"/>
        </w:rPr>
        <w:footnoteRef/>
      </w:r>
      <w:r>
        <w:rPr>
          <w:rtl/>
        </w:rPr>
        <w:t xml:space="preserve"> מה שאמר ומחייב שבועת התורה לשכנגדו. פשוט הוא וכן כתב בעל התרומות בשער נ"ב (שם סי' א) בשם רבוותא, ב"י.</w:t>
      </w:r>
    </w:p>
  </w:footnote>
  <w:footnote w:id="4396">
    <w:p w14:paraId="5EC06FA8" w14:textId="77777777" w:rsidR="0013116F" w:rsidRDefault="0013116F" w:rsidP="001D49D4">
      <w:pPr>
        <w:pStyle w:val="a9"/>
        <w:rPr>
          <w:rtl/>
        </w:rPr>
      </w:pPr>
      <w:r>
        <w:rPr>
          <w:rStyle w:val="ab"/>
        </w:rPr>
        <w:footnoteRef/>
      </w:r>
      <w:r>
        <w:rPr>
          <w:rtl/>
        </w:rPr>
        <w:t xml:space="preserve"> היינו שהוא אומר לא השלשתם בידי אלא כך והם או אחד מהם אומר שיותר השלישו בידו, דכיון דמחייב להו שבועה נוגע בעדות מיקרי ותו לא מהימן דבעל דבר הדר ביניהון ותו לא מיקרי שליש, וכדאמרינן בקידושין (מג.) גבי הן הן שלוחיו הן הן עדיו דכיון דתקון רבנן שבועת היסת הוו להו נוגעין בעדותן, כך כתב בעל התרומות בשער נ"ב (שם סי' ז - ח), ב"י.</w:t>
      </w:r>
    </w:p>
  </w:footnote>
  <w:footnote w:id="4397">
    <w:p w14:paraId="178864D0" w14:textId="77777777" w:rsidR="0013116F" w:rsidRDefault="0013116F" w:rsidP="001D49D4">
      <w:pPr>
        <w:pStyle w:val="a9"/>
      </w:pPr>
      <w:r>
        <w:rPr>
          <w:rStyle w:val="ab"/>
        </w:rPr>
        <w:footnoteRef/>
      </w:r>
      <w:r>
        <w:rPr>
          <w:rtl/>
        </w:rPr>
        <w:t xml:space="preserve"> לא עבר זמן ממש אלא אפילו בסוף הזמן לא יתן השלישות אלא לפני בית דין וכו', ב"י.</w:t>
      </w:r>
    </w:p>
  </w:footnote>
  <w:footnote w:id="4398">
    <w:p w14:paraId="66903ECD" w14:textId="77777777" w:rsidR="0013116F" w:rsidRDefault="0013116F" w:rsidP="001D49D4">
      <w:pPr>
        <w:pStyle w:val="a9"/>
        <w:rPr>
          <w:rtl/>
        </w:rPr>
      </w:pPr>
      <w:r>
        <w:rPr>
          <w:rStyle w:val="ab"/>
        </w:rPr>
        <w:footnoteRef/>
      </w:r>
      <w:r>
        <w:rPr>
          <w:rtl/>
        </w:rPr>
        <w:t xml:space="preserve"> </w:t>
      </w:r>
      <w:r>
        <w:rPr>
          <w:rFonts w:hint="cs"/>
          <w:rtl/>
        </w:rPr>
        <w:t>וכתב מהרי"ל (שו"ת סי' לז, הביאו הדרכ"מ [אות ו*]) דאם הן שנים הרי הן כשני עדים ודוקא שאין נוגעין בעדותן כגון שאין שלישותן בידן שאז נאמן ויכול להעיד.</w:t>
      </w:r>
    </w:p>
  </w:footnote>
  <w:footnote w:id="4399">
    <w:p w14:paraId="46C62400" w14:textId="77777777" w:rsidR="0013116F" w:rsidRDefault="0013116F" w:rsidP="001D49D4">
      <w:pPr>
        <w:pStyle w:val="a9"/>
      </w:pPr>
      <w:r>
        <w:rPr>
          <w:rStyle w:val="ab"/>
        </w:rPr>
        <w:footnoteRef/>
      </w:r>
      <w:r>
        <w:rPr>
          <w:rtl/>
        </w:rPr>
        <w:t xml:space="preserve"> כבר כתבו המחבר בסעיף א', אלא דשם איירי דעוד השלישות בידו ולהיות נאמן לחוד בכל דבריו, וכאן איירי באין שלישותו בידו ולהיות כעד אחד, משום הכי חזר וכתבו, וכן כתב הטור [סעיף א' - ב'] שניהן מה"ט, סמ"ע (סקט"ז). אך הש"ך (סק"כ) כתב שדברי הסמ"ע אינם נלפע"ד בפירוש דברי הר"ב והטור. דפשט לשון הר"ב והטור ובעה"ת דדוקא בשאין שלישותו יוצא מתחת ידו הוא דמפליגינן בין יש להם עליו תרעומת או לא, אבל בששלישות יוצא מתחת ידו אין חילוק... לכך נלפע"ד דאין פירוש תרעומות כמו שהבינו הב"י והסמ"ע והב"ח </w:t>
      </w:r>
      <w:r>
        <w:rPr>
          <w:sz w:val="16"/>
          <w:szCs w:val="16"/>
          <w:rtl/>
        </w:rPr>
        <w:t>(דהיינו שהם מחולקים עמו בסך הממון שהוא אומר לא השלשתם בידי אלא כך, והם או אחד מהם אומר שהשלישו יותר)</w:t>
      </w:r>
      <w:r>
        <w:rPr>
          <w:rtl/>
        </w:rPr>
        <w:t xml:space="preserve">. אלא נלפע"ד דהכי פירושו, דוקא שאין להם עליו תרעומות על שהוציא השלישות מתחת ידו, ותרווייהו מודו דכדין עבד במה שהוציא השלישות מתחת ידו, אלא שמחולקים בענינים אחרים </w:t>
      </w:r>
      <w:r>
        <w:rPr>
          <w:sz w:val="16"/>
          <w:szCs w:val="16"/>
          <w:rtl/>
        </w:rPr>
        <w:t>(כגון שזה תובע לחבירו שניתן לו השלישות שהיה תנאי ביניהם בפני השליש שאף לאחר שיתן לו השלישות יכול לפדותו לזמן פלוני או בסך פלוני, וזה מכחישו, נאמן השליש, וחייב זה שניתן לו השלישות לישבע נגדו שבועה דאורייתא להכחיש העד, או כשהשליש מסייעו פטור אפילו משבועת היסת, משום דהשליש הו"ל עד מסייע שפוטר משבועה)</w:t>
      </w:r>
      <w:r>
        <w:rPr>
          <w:rtl/>
        </w:rPr>
        <w:t xml:space="preserve">, אבל אם יש עליו תרעומות שהוציא השלישות מתחת ידו שלא כדין, א"כ בין שתובע לחבירו שיחזיר לו השלישות לגמרי מפני שניתן לו שלא כדין, או שתובעו מחמת ענינים אחרים שביניהם, אפילו לו יהי כדבריו שניתן לו כדין, אין השליש יכול להעיד, דנוגע בעדות הוא, שהרי בע"כ צריך הוא להעיד, שאל"כ יאמר לו זה תתן לי השלישות שלי שהוצאת מתחת ידך שלא כדין </w:t>
      </w:r>
      <w:r>
        <w:rPr>
          <w:sz w:val="16"/>
          <w:szCs w:val="16"/>
          <w:rtl/>
        </w:rPr>
        <w:t>(וא"כ יצטרך לישבע נגדו, וכיון שאינו נאמן אלא בשבועה לא הוי עד, וכדלקמן סימן קכ"א סקנ"א, וא"כ בין שאומר לסיועת התובע או לסיועת הנתבע לא הוי עד המכחיש ולא עד המסייע)</w:t>
      </w:r>
      <w:r>
        <w:rPr>
          <w:rtl/>
        </w:rPr>
        <w:t>, אבל כשהשלישות תחת ידו לא שייך לומר שיש להם עליו תרעומות, שהרי בידו ליתנו למי שירצה... ונראה דאם רוצה זה שניתן לו השלישות להחזיר השלישות לשליש כדי שיעיד, לאו נוגע בעדות הוא, וכמ"ש הטור בסימן ל"ז [סע' ה] ובסימן ק"מ [סע' ח] בשם ה"ר יונה גבי שכירות, וכן פסק המחבר בסימן ל"ז סעיף י"ב, ואף להיש מי שחולק שהביא המחבר בסימן ק"מ סעיף ט' והוא הרשב"א [ב"ב כט. ד"ה מי], י"ל דמודה כאן שהיה שליש ביניהם מתחילה והימנוהו מתחילה, אם כן השתא שמחזיר לו הדר להימנותיה.</w:t>
      </w:r>
    </w:p>
  </w:footnote>
  <w:footnote w:id="4400">
    <w:p w14:paraId="3A5FF28F" w14:textId="77777777" w:rsidR="0013116F" w:rsidRDefault="0013116F" w:rsidP="001D49D4">
      <w:pPr>
        <w:pStyle w:val="a9"/>
      </w:pPr>
      <w:r>
        <w:rPr>
          <w:rStyle w:val="ab"/>
        </w:rPr>
        <w:footnoteRef/>
      </w:r>
      <w:r>
        <w:rPr>
          <w:rtl/>
        </w:rPr>
        <w:t xml:space="preserve"> דכיון דאין לו דין שליש אלא כעד, וקרוב או פסול אין בעדותו ממש, סמ"ע (סקי"ז).</w:t>
      </w:r>
    </w:p>
  </w:footnote>
  <w:footnote w:id="4401">
    <w:p w14:paraId="0DE93AA2" w14:textId="77777777" w:rsidR="0013116F" w:rsidRDefault="0013116F" w:rsidP="001D49D4">
      <w:pPr>
        <w:pStyle w:val="a9"/>
      </w:pPr>
      <w:r>
        <w:rPr>
          <w:rStyle w:val="ab"/>
        </w:rPr>
        <w:footnoteRef/>
      </w:r>
      <w:r>
        <w:rPr>
          <w:rtl/>
        </w:rPr>
        <w:t xml:space="preserve"> עיין מה שכתבתי לעיל סק"א בשם הנ"י שחולק על זה, דאם טוען פרוע, כיון שהיה השליש יכול לקיימו בשום פעם, אע"פ שאין יכולים לקיים עכשיו חתימת העדים, נאמן השליש, והוכחתי שם באריכות שכן היא ג"כ כונת התוספות ס"פ זה בורר. מיהו אם טוען הלוה מזויף כו"ע מודו דאין השליש נאמן, וכמ"ש שם ע"ש, ש"ך (סקכ"ג).</w:t>
      </w:r>
    </w:p>
  </w:footnote>
  <w:footnote w:id="4402">
    <w:p w14:paraId="477B14CB" w14:textId="77777777" w:rsidR="0013116F" w:rsidRDefault="0013116F" w:rsidP="001D49D4">
      <w:pPr>
        <w:pStyle w:val="a9"/>
      </w:pPr>
      <w:r>
        <w:rPr>
          <w:rStyle w:val="ab"/>
        </w:rPr>
        <w:footnoteRef/>
      </w:r>
      <w:r>
        <w:rPr>
          <w:rtl/>
        </w:rPr>
        <w:t xml:space="preserve"> כתב הסמ"ע [סקי"ח] בשם מהרש"ל, דאפילו שבועה דאו' אינו מחייב השליש לשכנגדו על מה שאומר שהודה בפניו שחייב לו כך וכך בשטר זה, אם לא אמר לו בתחילה אתה תהיה עד בדבר, ע"פ מ"ש לקמן (סי' פא סע' י) דיכול לומר משטה הייתי בך או שלא להשביע אמרתי כן. והב"ח [סעיף ח'] חלק עליו וז"ל- והא ודאי דלא מצי טעין הכא השטאה או השבעה, כיון דשניהם מודים שעשאוהו שליש על תנאי כך וכך, א"כ עדיף טפי מהיכא דלא א"ל כי אם אתה עד בדבר זה, שהרי עשו גם מעשה והניחו השטר בידו שיהא נאמן עליהם, ודלא כמ"ש מהרו"ך בשם מהרש"ל דאפילו שבועה דאו' אינו חייב, דליתא, ואני ראיתי בכתב יד מהרש"ל דהיה מסתפק בדבר, ולפע"ד אין כאן ספק דפשיטא דחייב שבועה דאו', והכי נקטינן, עכ"ל</w:t>
      </w:r>
      <w:r>
        <w:rPr>
          <w:sz w:val="16"/>
          <w:szCs w:val="16"/>
          <w:rtl/>
        </w:rPr>
        <w:t xml:space="preserve"> {הב"ח}</w:t>
      </w:r>
      <w:r>
        <w:rPr>
          <w:rtl/>
        </w:rPr>
        <w:t>. וכן נראה עיקר, ש"ך (סקכ"ד).</w:t>
      </w:r>
    </w:p>
  </w:footnote>
  <w:footnote w:id="4403">
    <w:p w14:paraId="57D99593" w14:textId="77777777" w:rsidR="0013116F" w:rsidRDefault="0013116F" w:rsidP="001D49D4">
      <w:pPr>
        <w:pStyle w:val="a9"/>
      </w:pPr>
      <w:r>
        <w:rPr>
          <w:rStyle w:val="ab"/>
        </w:rPr>
        <w:footnoteRef/>
      </w:r>
      <w:r>
        <w:rPr>
          <w:rtl/>
        </w:rPr>
        <w:t xml:space="preserve"> וכ"כ מהר"ם </w:t>
      </w:r>
      <w:r>
        <w:rPr>
          <w:sz w:val="16"/>
          <w:szCs w:val="16"/>
          <w:rtl/>
        </w:rPr>
        <w:t>(שו"ת מהר"ם ב"ב ד"פ סי' תמז, הביאו הב"י בשם מצאתי כתוב)</w:t>
      </w:r>
      <w:r>
        <w:rPr>
          <w:rtl/>
        </w:rPr>
        <w:t xml:space="preserve"> וז"ל- אשר שאלת שעשו אותך נאמן משטרי ראובן ושמעון שאם יעבור הזמן שלא יתן זקוק שתמסור השטר לשכנגדו ואינך יודע אם ראובן קיים, נראה שאתה חייב ליתן השטר ליד שמעון דאם איתא דפרעיה לדידך הוי מודע כדי לקרוע השטר או למיכתב שובר.</w:t>
      </w:r>
    </w:p>
  </w:footnote>
  <w:footnote w:id="4404">
    <w:p w14:paraId="514BFC79" w14:textId="77777777" w:rsidR="0013116F" w:rsidRDefault="0013116F" w:rsidP="001D49D4">
      <w:pPr>
        <w:pStyle w:val="a9"/>
      </w:pPr>
      <w:r>
        <w:rPr>
          <w:rStyle w:val="ab"/>
        </w:rPr>
        <w:footnoteRef/>
      </w:r>
      <w:r>
        <w:rPr>
          <w:rtl/>
        </w:rPr>
        <w:t xml:space="preserve"> והוא שאין נאמנות בשטרו, בעל התרומות (שם, הביאו הב"י). ונאמנות זה אם צריך שיפרש שמאמינו על יורשיו או אם סגי בנאמנות סתם יתבאר בדברי רבינו בסימן ע"א (סל"ב-לה), ב"י.</w:t>
      </w:r>
    </w:p>
  </w:footnote>
  <w:footnote w:id="4405">
    <w:p w14:paraId="6B218027" w14:textId="77777777" w:rsidR="0013116F" w:rsidRDefault="0013116F" w:rsidP="001D49D4">
      <w:pPr>
        <w:pStyle w:val="a9"/>
      </w:pPr>
      <w:r>
        <w:rPr>
          <w:rStyle w:val="ab"/>
        </w:rPr>
        <w:footnoteRef/>
      </w:r>
      <w:r>
        <w:rPr>
          <w:rtl/>
        </w:rPr>
        <w:t xml:space="preserve"> </w:t>
      </w:r>
      <w:r>
        <w:rPr>
          <w:rFonts w:hint="cs"/>
          <w:rtl/>
        </w:rPr>
        <w:t>סימן – הונפק וקשור לו.</w:t>
      </w:r>
    </w:p>
  </w:footnote>
  <w:footnote w:id="4406">
    <w:p w14:paraId="7F3E3BF8" w14:textId="77777777" w:rsidR="0013116F" w:rsidRDefault="0013116F" w:rsidP="001D49D4">
      <w:pPr>
        <w:pStyle w:val="a9"/>
        <w:rPr>
          <w:rtl/>
        </w:rPr>
      </w:pPr>
      <w:r>
        <w:rPr>
          <w:rStyle w:val="ab"/>
        </w:rPr>
        <w:footnoteRef/>
      </w:r>
      <w:r>
        <w:rPr>
          <w:rtl/>
        </w:rPr>
        <w:t xml:space="preserve"> והוא הדין אם נמצא ביד המחייב עצמו ומת, וכן הוא הדין עדים שקנו משמעון בסתם שחייב עצמו לראובן במנה ולא פירש להם למי ימסרו השטר, בעל התרומות. וכתב הב"י שלמד כן מדתנן בפרק יש נוחלין (ב"ב קלה:) מי שמת ונמצאת דיאתיקי קשורה על יריכו הרי זה אינו כלום, וכפי שפירשה הרמב"ם (לעיל).</w:t>
      </w:r>
    </w:p>
  </w:footnote>
  <w:footnote w:id="4407">
    <w:p w14:paraId="118F9734" w14:textId="77777777" w:rsidR="0013116F" w:rsidRDefault="0013116F" w:rsidP="001D49D4">
      <w:pPr>
        <w:pStyle w:val="a9"/>
        <w:rPr>
          <w:rtl/>
        </w:rPr>
      </w:pPr>
      <w:r>
        <w:rPr>
          <w:rStyle w:val="ab"/>
        </w:rPr>
        <w:footnoteRef/>
      </w:r>
      <w:r>
        <w:rPr>
          <w:rtl/>
        </w:rPr>
        <w:t xml:space="preserve"> פירוש, ואנן טענינן ליתמי כל מה שאביהן הוה מצי למיטען, סמ"ע (סקי"ט).</w:t>
      </w:r>
    </w:p>
  </w:footnote>
  <w:footnote w:id="4408">
    <w:p w14:paraId="4CA84DFA" w14:textId="77777777" w:rsidR="0013116F" w:rsidRDefault="0013116F" w:rsidP="001D49D4">
      <w:pPr>
        <w:pStyle w:val="a9"/>
      </w:pPr>
      <w:r>
        <w:rPr>
          <w:rStyle w:val="ab"/>
        </w:rPr>
        <w:footnoteRef/>
      </w:r>
      <w:r>
        <w:rPr>
          <w:rtl/>
        </w:rPr>
        <w:t xml:space="preserve"> נראה דהיינו דאין הב"ד טוענין לו שישבע שלא פרעו, וקמל"ן דאע"ג דאין השטר ביד המלוה אפילו הכי אינו נאמן הלוה. אבל אם טען הלוה בעצמו שישבע לו, צריך לישבע לו, דלא עדיף כשהוא ביד שליש מכשהוא ביד המלוה עצמו כשאין בו נאמנות, וכמ"ש הטור (סע' ג) והמחבר (סע' ב) בסימן פ"ב, סמ"ע (סק"כ). וכ"כ הב"ח (סע' ט). והביאם הש"ך (סקכ"ה). וכתב עוד הש"ך (שם) דכשיש בו נאמנות באופן המועיל (לקמן סי' עא סע' א וסע' יז) א"צ לישבע נגדו או נגד היורשים... וגם נראה דכל זה לא מיירי אלא כשהושלש בידו בסתם שיפרענו ליום פלוני, אבל אם התנו שיפרענו דוקא בפני השליש, א"צ שבועה כלל, בין אומר אשתבע לי ובין בא ליפרע מן היתומים, אלא השליש נאמן שלא פרעו וגובה זה שטרו.</w:t>
      </w:r>
    </w:p>
  </w:footnote>
  <w:footnote w:id="4409">
    <w:p w14:paraId="6FC4507A" w14:textId="77777777" w:rsidR="0013116F" w:rsidRDefault="0013116F" w:rsidP="001D49D4">
      <w:pPr>
        <w:pStyle w:val="a9"/>
        <w:rPr>
          <w:rtl/>
        </w:rPr>
      </w:pPr>
      <w:r>
        <w:rPr>
          <w:rStyle w:val="ab"/>
        </w:rPr>
        <w:footnoteRef/>
      </w:r>
      <w:r>
        <w:rPr>
          <w:rtl/>
        </w:rPr>
        <w:t xml:space="preserve"> ואם מת המלוה אח"כ, אמרינן גם בזה אין אדם מוריש שבועה לבניו</w:t>
      </w:r>
      <w:r>
        <w:rPr>
          <w:sz w:val="16"/>
          <w:szCs w:val="16"/>
          <w:rtl/>
        </w:rPr>
        <w:t xml:space="preserve"> (לקמן סי' קח סי"א)</w:t>
      </w:r>
      <w:r>
        <w:rPr>
          <w:rtl/>
        </w:rPr>
        <w:t xml:space="preserve">, כ"כ הב"ח </w:t>
      </w:r>
      <w:r>
        <w:rPr>
          <w:sz w:val="16"/>
          <w:szCs w:val="16"/>
          <w:rtl/>
        </w:rPr>
        <w:t>(סע' ט)</w:t>
      </w:r>
      <w:r>
        <w:rPr>
          <w:rtl/>
        </w:rPr>
        <w:t xml:space="preserve"> ופשוט הוא, ש"ך </w:t>
      </w:r>
      <w:r>
        <w:rPr>
          <w:sz w:val="16"/>
          <w:szCs w:val="16"/>
          <w:rtl/>
        </w:rPr>
        <w:t>(סקכ"ו)</w:t>
      </w:r>
      <w:r>
        <w:rPr>
          <w:rtl/>
        </w:rPr>
        <w:t>.</w:t>
      </w:r>
    </w:p>
  </w:footnote>
  <w:footnote w:id="4410">
    <w:p w14:paraId="59503E4C" w14:textId="77777777" w:rsidR="0013116F" w:rsidRDefault="0013116F" w:rsidP="001D49D4">
      <w:pPr>
        <w:pStyle w:val="a9"/>
        <w:rPr>
          <w:rtl/>
        </w:rPr>
      </w:pPr>
      <w:r>
        <w:rPr>
          <w:rStyle w:val="ab"/>
        </w:rPr>
        <w:footnoteRef/>
      </w:r>
      <w:r>
        <w:rPr>
          <w:rtl/>
        </w:rPr>
        <w:t xml:space="preserve"> ר"ל דאז נשתעבדו נכסיו משעת קנין וכותבין ללוה בלא מלוה, משו"ה שייך הני טעמים שאכתוב בסמוך סקכ"ב, סמ"ע</w:t>
      </w:r>
      <w:r>
        <w:rPr>
          <w:sz w:val="16"/>
          <w:szCs w:val="16"/>
          <w:rtl/>
        </w:rPr>
        <w:t xml:space="preserve"> (סקכ"א)</w:t>
      </w:r>
      <w:r>
        <w:rPr>
          <w:rtl/>
        </w:rPr>
        <w:t>.</w:t>
      </w:r>
    </w:p>
  </w:footnote>
  <w:footnote w:id="4411">
    <w:p w14:paraId="7672CBB0" w14:textId="77777777" w:rsidR="0013116F" w:rsidRDefault="0013116F" w:rsidP="001D49D4">
      <w:pPr>
        <w:pStyle w:val="a9"/>
      </w:pPr>
      <w:r>
        <w:rPr>
          <w:rStyle w:val="ab"/>
        </w:rPr>
        <w:footnoteRef/>
      </w:r>
      <w:r>
        <w:rPr>
          <w:rtl/>
        </w:rPr>
        <w:t xml:space="preserve"> דחיישינן שמא התנה עם העדים וכו' דלא זכה בו המלוה, טור. וכתב הש"ך (סקכ"ז) דיש להקשות, דהא לפי האי טעמא שכתב הטור גם אם הוא שטר מתנה דלא שייך ביה פרעון לא יתננו ליד המקבל, ולקמן ס"ס ר"ן כתב הטור [סע' מד] וז"ל- כתב הרמב"ם [פ"ט מזכיה הכ"ו] וכן מי שכתב שטר חוב על עצמו בשם אחר או בשם א' מבניו ונתן אותו ביד שליש ואמר לו יהא אצלך ולא פירש כלום, או אמר לו הנח עד שאומר לך מה תעשה ומת, ה"ז אינו כלום. וכתב א"א ז"ל בתשובה (כלל סו סי' ג) על דבריו, דהיינו דוקא בשטר חוב לפי שכותבין שטר ללוה אע"פ שאין מלוה עמו, ושמא כתב ללוות ולא לוה, אבל במתנת בריא בקנין, כשהקנה זכה המקבל, עכ"ל, וביאר שם טעם הדבר דשטר מתנה בקנין א"צ שיגיע השטר ליד המקבל, כי מיד משעת קנין קנה השדה והשטר אינו אלא לראיה בעלמא ע"ש. וכן מוסכם מכל הפוסקים... וכ"פ ב"י ס"ס לט [סע' כג] דבשטר הקנאה לא בעינן דמטא שטרא לידיה, אלא אפילו לא הגיע לידו כלל קנה משעת הקנין... וצ"ל דהטור לקמן ס"ס ר"ן מיירי כשידוע שהקנה לפני העדים בסתם ולא התנה עמהם שיתנו השטר לידו ולא ליד המלוה, כגון שעדי הקנין הם לפנינו וכיוצא בזה, וכזה תירץ הב"ח (סע' י)... ומה שכתבתי הוא מוכרח בדעת הטור והמחבר ועיקר.</w:t>
      </w:r>
    </w:p>
  </w:footnote>
  <w:footnote w:id="4412">
    <w:p w14:paraId="2CFD163A" w14:textId="77777777" w:rsidR="0013116F" w:rsidRDefault="0013116F" w:rsidP="001D49D4">
      <w:pPr>
        <w:pStyle w:val="a9"/>
      </w:pPr>
      <w:r>
        <w:rPr>
          <w:rStyle w:val="ab"/>
        </w:rPr>
        <w:footnoteRef/>
      </w:r>
      <w:r>
        <w:rPr>
          <w:rtl/>
        </w:rPr>
        <w:t xml:space="preserve"> </w:t>
      </w:r>
      <w:r>
        <w:rPr>
          <w:rFonts w:hint="cs"/>
          <w:rtl/>
        </w:rPr>
        <w:t xml:space="preserve">צל"ע היכן. ואולי מיירי הכא שכבר יצא השלישות מתחת ידו שבזה המהר"ם (הביאו המרדכי ב"מ סי' ריח) פסק דנאמן בלא שבוע </w:t>
      </w:r>
      <w:r>
        <w:rPr>
          <w:rtl/>
        </w:rPr>
        <w:t>אמאי דעבד בעוד ששלישותו היה בידו.</w:t>
      </w:r>
    </w:p>
  </w:footnote>
  <w:footnote w:id="4413">
    <w:p w14:paraId="044A6925" w14:textId="77777777" w:rsidR="0013116F" w:rsidRDefault="0013116F" w:rsidP="001D49D4">
      <w:pPr>
        <w:pStyle w:val="a9"/>
        <w:rPr>
          <w:rtl/>
        </w:rPr>
      </w:pPr>
      <w:r>
        <w:rPr>
          <w:rStyle w:val="ab"/>
        </w:rPr>
        <w:footnoteRef/>
      </w:r>
      <w:r>
        <w:rPr>
          <w:rtl/>
        </w:rPr>
        <w:t xml:space="preserve"> דוקא נקט שבא הלוה עמו, שאיהו יודע בזכותו וטוען ברי שעל תנאי כך וכך נמסר ליד השליח, משא"כ אם הלוה לא ידע מזה דאינו יכול לטעון כן בברי, סמ"ע (סקכ"ג). וכתב הש"ך (סקכ"ח) דמש"כ הסמ"ע כשהלוה לא ידע כו' הוא נכון לדינא, ואז אינו נאמן השליח, וכמש"כ לעיל סק"ה באריכות דאפילו יש לשליח מיגו לא מהימן בכה"ג, ואפילו נתנו כבר להלוה צריך להחזירו למלוה.</w:t>
      </w:r>
    </w:p>
  </w:footnote>
  <w:footnote w:id="4414">
    <w:p w14:paraId="35B05B27" w14:textId="77777777" w:rsidR="0013116F" w:rsidRDefault="0013116F" w:rsidP="001D49D4">
      <w:pPr>
        <w:pStyle w:val="a9"/>
      </w:pPr>
      <w:r>
        <w:rPr>
          <w:rStyle w:val="ab"/>
        </w:rPr>
        <w:footnoteRef/>
      </w:r>
      <w:r>
        <w:rPr>
          <w:rtl/>
        </w:rPr>
        <w:t xml:space="preserve"> ולפי דעת הרא"ש וסיעתו שהבאתי לעיל ס"ק ה' דהיכא דמכחיש את השליש אינו נאמן אלא במיגו דלהד"ם או החזרתי או קלייה, צריך לומר דמיירי כאן דיש להשליח האי מיגו, דאי לית ליה האי מיגו ליתא להאי דינא, ואע"ג דמדברי הר"ב בהג"ה דבסמוך נראה דמפרש לה דלית ליה האי מיגו וכמ"ש בסק"ל, מ"מ לפי מה שהעליתי לעיל [סק"ה] לענין דינא, צריך לפרש כמו שכתבתי, ודלא כמ"ש בתשובת מהרשד"ם סי' ע"ז דהרא"ש בתשובה חולק על הרמב"ן בזה, ע"ש, ש"ך (סקכ"ט).</w:t>
      </w:r>
    </w:p>
  </w:footnote>
  <w:footnote w:id="4415">
    <w:p w14:paraId="49A5AF2C" w14:textId="77777777" w:rsidR="0013116F" w:rsidRDefault="0013116F" w:rsidP="001D49D4">
      <w:pPr>
        <w:pStyle w:val="a9"/>
        <w:rPr>
          <w:rtl/>
        </w:rPr>
      </w:pPr>
      <w:r>
        <w:rPr>
          <w:rStyle w:val="ab"/>
        </w:rPr>
        <w:footnoteRef/>
      </w:r>
      <w:r>
        <w:rPr>
          <w:rtl/>
        </w:rPr>
        <w:t xml:space="preserve"> נראה דהיינו כשאין לשליח מיגו דהחזרתי או להד"ם, אבל אם יש לו מיגו יכול ליתנו לשכנגדו ע"פ מה שהותנה לפניו ויהיה הדין בינו ובין הנותן. אבל אם היה לו דין שליש, היה נאמן אע"ג דלית ליה השתא מיגו וכמו שנתבאר [בסק"א וסק"ה], ש"ך (סק"ל).</w:t>
      </w:r>
    </w:p>
  </w:footnote>
  <w:footnote w:id="4416">
    <w:p w14:paraId="743E1A2D" w14:textId="77777777" w:rsidR="0013116F" w:rsidRDefault="0013116F" w:rsidP="001D49D4">
      <w:pPr>
        <w:pStyle w:val="a9"/>
      </w:pPr>
      <w:r>
        <w:rPr>
          <w:rStyle w:val="ab"/>
        </w:rPr>
        <w:footnoteRef/>
      </w:r>
      <w:r>
        <w:rPr>
          <w:rtl/>
        </w:rPr>
        <w:t xml:space="preserve"> </w:t>
      </w:r>
      <w:r>
        <w:rPr>
          <w:rFonts w:hint="cs"/>
          <w:rtl/>
        </w:rPr>
        <w:t>תוספת מהדורת הסמ"ע.</w:t>
      </w:r>
    </w:p>
  </w:footnote>
  <w:footnote w:id="4417">
    <w:p w14:paraId="0D7F1F78" w14:textId="77777777" w:rsidR="0013116F" w:rsidRDefault="0013116F" w:rsidP="001D49D4">
      <w:pPr>
        <w:pStyle w:val="a9"/>
        <w:rPr>
          <w:rtl/>
        </w:rPr>
      </w:pPr>
      <w:r>
        <w:rPr>
          <w:rStyle w:val="ab"/>
        </w:rPr>
        <w:footnoteRef/>
      </w:r>
      <w:r>
        <w:rPr>
          <w:rtl/>
        </w:rPr>
        <w:t xml:space="preserve"> בסעיף ג' כתב המחבר דאין לו ליתן השלישות אלא בפני בית דין כו', וזה וזה כתבן ג"כ הטור רצופין זה אחר זה בסע' ו-ז. ועיין פרישה (סע' ז) שם כתבתי דבסתם שלישות דאין אנו יודעים אם היה טענה וערעורים ביניהן, סגי במה שמוסר השליש בפני ב"ד, אבל בזה השלישות שהתנה עמו שבאם לא יפרענו באחד מהזמנים שיפרע לו הכל בפעם אחת, דה"ל אסמכתא, וטענתו וזכותו ידוע, משום הכי הצריך לתקנה גדולה כזו להיות זה זכותו בידו כו'..., סמ"ע (סקכ"ו). וכתב הש"ך (סקל"א) שדבריו מגומגמים, ועוד דודאי בכל דוכתא בית דין עדיפי מעדים, דודאי לעיל בסעיף ג' מיירי שהב"ד יזכרו הדבר או שיכתבו לו הענין, דאל"כ מאי מועיל לו הב"ד, וכ"כ הטור והמחבר שם להדיא, לפיכך צריך שיכתבו ב"ד ויחתמו כו', וא"כ פשיטא דב"ד עדיפי מעדים. אלא נלפע"ד דשאני התם בסעיף ג' שידוע הוא בבירור שיתן לו השלישות ע"פ הדין, אלא שמתירא שמא יכחישנו ולא יהיה אלא כעד אחד, ולכך יתננו בפני ב"ד, שהרי פשיטא שגם הב"ד יאמרו לו ליתנו לו, משא"כ הכא שאין זה לפנינו והוא מסופק בדבר שמא הוא אסמכתא או שמא יטעון זה אסמכתא, א"כ לא יוכל ליתנו לפני ב"ד, שהרי הב"ד הם דיינים וטוענים לאדם שלא בפניו, ולא יצוו לו ליתן שמא יטעון זה אסמכתא, ושמא לא יטעון אסמכתא וירצה לקיים מעצמו התנאי לפרוע הכל בפעם אחת, לכך יעשה הוא שלו ויתננו לו בפני עדים, והעדים הרי אינם דיינים שלא יצוו לו ליתן, ויתנו לו כתוב וחתום אופן השלישות והוא ימסרנו לו, ואם יטעון אח"כ אסמכתא, יטעון, ואם לאו יזכה זה בשטרו.</w:t>
      </w:r>
    </w:p>
  </w:footnote>
  <w:footnote w:id="4418">
    <w:p w14:paraId="60E70074" w14:textId="77777777" w:rsidR="0013116F" w:rsidRDefault="0013116F" w:rsidP="001D49D4">
      <w:pPr>
        <w:spacing w:after="0" w:line="240" w:lineRule="auto"/>
        <w:rPr>
          <w:sz w:val="20"/>
          <w:szCs w:val="20"/>
          <w:rtl/>
        </w:rPr>
      </w:pPr>
      <w:r>
        <w:rPr>
          <w:rStyle w:val="ab"/>
          <w:rFonts w:ascii="Arial" w:hAnsi="Arial"/>
          <w:sz w:val="20"/>
          <w:szCs w:val="20"/>
        </w:rPr>
        <w:footnoteRef/>
      </w:r>
      <w:r>
        <w:rPr>
          <w:rFonts w:ascii="Arial" w:hAnsi="Arial"/>
          <w:sz w:val="20"/>
          <w:szCs w:val="20"/>
          <w:rtl/>
        </w:rPr>
        <w:t xml:space="preserve"> צ"</w:t>
      </w:r>
      <w:r>
        <w:rPr>
          <w:sz w:val="20"/>
          <w:szCs w:val="20"/>
          <w:rtl/>
        </w:rPr>
        <w:t>ע על תיבת "ולכן" שכתב מור"ם, דאינו מוכרח לומר ממה שקדם דאין לחוש, סמ"ע (סקכ"ח). וכתב הש"ך (סקל"ב) דלפי מה שכתב [בסקל"א] לק"מ, דה"ק ולכן, כיון שמחמת שספק לו מוכרח ליקח כתוב וחתום מעדים, כל שהחזיר השליש השטר, אע"פ שאין ביד חבירו כתוב וחתום מעדים, אין לחוש שנעשה שלא כדין שהיה ספק בדבר, דאם איתא שהיה שום ספק בדבר היה מוסר ע"פ כתב בעדים, וכיון שלא עשה כן ודאי שהיה הדבר ברור לו והחזיר כדין.</w:t>
      </w:r>
    </w:p>
  </w:footnote>
  <w:footnote w:id="4419">
    <w:p w14:paraId="19095562" w14:textId="77777777" w:rsidR="0013116F" w:rsidRDefault="0013116F" w:rsidP="001D49D4">
      <w:pPr>
        <w:pStyle w:val="a9"/>
      </w:pPr>
      <w:r>
        <w:rPr>
          <w:rStyle w:val="ab"/>
        </w:rPr>
        <w:footnoteRef/>
      </w:r>
      <w:r>
        <w:rPr>
          <w:rtl/>
        </w:rPr>
        <w:t xml:space="preserve"> וזה שניתן לו השלישות פטור ג"כ אפילו משבועת היסת, דכיון שהוציאו מתחת ידו הרי הוא כמעיד, והו"ל עד מסייע ופוטר אותו משבועה, שזה לא חשיב תרעומות על השליש וכמ"ש לעיל סעיף ג' סק"כ ע"ש, ש"ך (סקל"ג).</w:t>
      </w:r>
    </w:p>
  </w:footnote>
  <w:footnote w:id="4420">
    <w:p w14:paraId="161D5204" w14:textId="77777777" w:rsidR="0013116F" w:rsidRDefault="0013116F" w:rsidP="001D49D4">
      <w:pPr>
        <w:pStyle w:val="a9"/>
      </w:pPr>
      <w:r>
        <w:rPr>
          <w:rStyle w:val="ab"/>
        </w:rPr>
        <w:footnoteRef/>
      </w:r>
      <w:r>
        <w:rPr>
          <w:rtl/>
        </w:rPr>
        <w:t xml:space="preserve"> ועיין עוד בתשובות הרא"ש כלל נ' סימן ז' ובכלל ס"ד סימן ה', ב"י.</w:t>
      </w:r>
    </w:p>
  </w:footnote>
  <w:footnote w:id="4421">
    <w:p w14:paraId="7DE02CE1" w14:textId="77777777" w:rsidR="0013116F" w:rsidRDefault="0013116F" w:rsidP="001D49D4">
      <w:pPr>
        <w:pStyle w:val="a9"/>
        <w:rPr>
          <w:rtl/>
        </w:rPr>
      </w:pPr>
      <w:r>
        <w:rPr>
          <w:rStyle w:val="ab"/>
        </w:rPr>
        <w:footnoteRef/>
      </w:r>
      <w:r>
        <w:rPr>
          <w:rtl/>
        </w:rPr>
        <w:t xml:space="preserve"> כאן מיירי באשה שהיתה שולטת בנכסי בעלה בכל אשר לו, והיה הבעל נותן לה נאמנות בכל דבר והיה לה דין שליש, א"כ להכי נאמנת, דהא אפילו במיגו למפרע, דאפילו אינש דעלמא לא מהימן, מהימנת איהי מהאי טעמא דיש לה דין שליש </w:t>
      </w:r>
      <w:r>
        <w:rPr>
          <w:sz w:val="16"/>
          <w:szCs w:val="16"/>
          <w:rtl/>
        </w:rPr>
        <w:t xml:space="preserve">(אבל לקמן סי' סב מיירי הר"ב בסתם אשה הנושאת ונותנת בתוך הבית, ולא היתה שולטת בכל אשר לבעלה ולא היה הבעל מאמינה בכל דבר, א"כ אין לה דין שליש אלא דין סתם אשה הנושאת ונותנת בתוך הבית. ואין להקשות שהרי המחבר כאן כתב סתם אשה הנושאת ונותנת בתוך הבית, ולא ביאר דמיירי שהאמינה הבעל בנכסיו. י"ל דאדרבה, מדכתב המחבר דין זה בסימן זה דמיירי מדיני שלישות, ולא קבעו לדין זה לקמן סימן ס"ב, משמע דכונתו לומר דמיירי באשה שיש לה דין שליש והיינו שהאמינה, ולכך לא הוצרך לבאר שהאמינה, דבכל הסימן מיירי בהכי. ובכך לא קשה מה שהקשו הסמ"ע [סי' סב סק"ז] והב"ח [סי' סב סע' ג] </w:t>
      </w:r>
      <w:r>
        <w:rPr>
          <w:sz w:val="14"/>
          <w:szCs w:val="14"/>
          <w:rtl/>
        </w:rPr>
        <w:t>{הם הקשו על דברי הרמ"א דהכא סתם הר"ב כדברי המחבר דנאמנת במיגו, וזה שייך לומר אף בדלא ידוע שהיה להממון מיוחד שאינו של בעל, ולקמן סי' סב כתב הר"ב וז"ל- אשה שכתבה לאחרים שמה שתחת ידה הוא של אחרים, אם ידוע שהיה לה ממון שאינו של בעל נאמנת, ואין הבעל יכול לומר שהוא שלו, עכ"ל. הרי להדיא דאם אינו ידוע שהיה לה ממון מיוחד שאינו של בעל אינה נאמנת לומר שהוא של אחרים}</w:t>
      </w:r>
      <w:r>
        <w:rPr>
          <w:sz w:val="16"/>
          <w:szCs w:val="16"/>
          <w:rtl/>
        </w:rPr>
        <w:t>)</w:t>
      </w:r>
      <w:r>
        <w:rPr>
          <w:rtl/>
        </w:rPr>
        <w:t>, ש"ך (סקל"ד).</w:t>
      </w:r>
    </w:p>
  </w:footnote>
  <w:footnote w:id="4422">
    <w:p w14:paraId="1C26B43E" w14:textId="77777777" w:rsidR="0013116F" w:rsidRDefault="0013116F" w:rsidP="001D49D4">
      <w:pPr>
        <w:pStyle w:val="a9"/>
        <w:rPr>
          <w:rtl/>
        </w:rPr>
      </w:pPr>
      <w:r>
        <w:rPr>
          <w:rStyle w:val="ab"/>
        </w:rPr>
        <w:footnoteRef/>
      </w:r>
      <w:r>
        <w:rPr>
          <w:rtl/>
        </w:rPr>
        <w:t xml:space="preserve"> </w:t>
      </w:r>
      <w:r>
        <w:rPr>
          <w:rFonts w:hint="cs"/>
          <w:rtl/>
        </w:rPr>
        <w:t>סימן – טופס יקוש.</w:t>
      </w:r>
    </w:p>
  </w:footnote>
  <w:footnote w:id="4423">
    <w:p w14:paraId="13DD75C9" w14:textId="77777777" w:rsidR="0013116F" w:rsidRDefault="0013116F" w:rsidP="001D49D4">
      <w:pPr>
        <w:pStyle w:val="a9"/>
      </w:pPr>
      <w:r>
        <w:rPr>
          <w:rStyle w:val="ab"/>
        </w:rPr>
        <w:footnoteRef/>
      </w:r>
      <w:r>
        <w:rPr>
          <w:rtl/>
        </w:rPr>
        <w:t xml:space="preserve"> שעל הלוה ליתן שכר הסופר ופעמים שאין לו ונותנו המלוה וחוזר וגובהו ממנו בשעת פרעון ומעכב השטר עליו, רש"י.</w:t>
      </w:r>
    </w:p>
  </w:footnote>
  <w:footnote w:id="4424">
    <w:p w14:paraId="31FC4988" w14:textId="77777777" w:rsidR="0013116F" w:rsidRDefault="0013116F" w:rsidP="001D49D4">
      <w:pPr>
        <w:pStyle w:val="a9"/>
      </w:pPr>
      <w:r>
        <w:rPr>
          <w:rStyle w:val="ab"/>
        </w:rPr>
        <w:footnoteRef/>
      </w:r>
      <w:r>
        <w:rPr>
          <w:rtl/>
        </w:rPr>
        <w:t xml:space="preserve"> וכתב הר"ש בר צמח (ח"א סי' כד) שאם אינו רוצה להחזיר ללוה שטר פרוע ראוי לנדותו עד שיחזירנו, ב"י. </w:t>
      </w:r>
      <w:r>
        <w:rPr>
          <w:color w:val="E36C0A" w:themeColor="accent6" w:themeShade="BF"/>
          <w:rtl/>
        </w:rPr>
        <w:t>(וכ"פ בשו"ע)</w:t>
      </w:r>
    </w:p>
  </w:footnote>
  <w:footnote w:id="4425">
    <w:p w14:paraId="369DB203" w14:textId="77777777" w:rsidR="0013116F" w:rsidRDefault="0013116F" w:rsidP="001D49D4">
      <w:pPr>
        <w:pStyle w:val="a9"/>
        <w:rPr>
          <w:rtl/>
        </w:rPr>
      </w:pPr>
      <w:r>
        <w:rPr>
          <w:rStyle w:val="ab"/>
        </w:rPr>
        <w:footnoteRef/>
      </w:r>
      <w:r>
        <w:rPr>
          <w:rtl/>
        </w:rPr>
        <w:t xml:space="preserve"> </w:t>
      </w:r>
      <w:r>
        <w:rPr>
          <w:rFonts w:hint="cs"/>
          <w:rtl/>
        </w:rPr>
        <w:t>הב"י הביא את דבריהם בבדה"ב. ומכאן נראת הוכחה שבדה"ב נכתב לאחר השו"ע, שקשה לומר שיפסוק כהר"ן ולא כהתוס' והרא"ש וריטב"א.</w:t>
      </w:r>
    </w:p>
  </w:footnote>
  <w:footnote w:id="4426">
    <w:p w14:paraId="5AC2DB21" w14:textId="77777777" w:rsidR="0013116F" w:rsidRDefault="0013116F" w:rsidP="001D49D4">
      <w:pPr>
        <w:pStyle w:val="a9"/>
      </w:pPr>
      <w:r>
        <w:rPr>
          <w:rStyle w:val="ab"/>
        </w:rPr>
        <w:footnoteRef/>
      </w:r>
      <w:r>
        <w:rPr>
          <w:rtl/>
        </w:rPr>
        <w:t xml:space="preserve"> אע"פ שכל שטר פרוע הוא שטר שנמחל שעבודו, מ"מ מצינו שטר שנמחל שעבודו אף דעדיין לא פרעו, והיינו שמחל לו שעבוד קרקעות שלו ונתן לו רשות למוכרן למי שירצה ולא יטרפנו מהלקוחות. גם י"ל שנמחל שעבודו ר"ל שפרעו וחזר ולוה על אותו השטר, וכמ"ש הטור והמחבר בסימן מ"ח, סמ"ע (סק"ב).</w:t>
      </w:r>
    </w:p>
  </w:footnote>
  <w:footnote w:id="4427">
    <w:p w14:paraId="005D6A1E" w14:textId="77777777" w:rsidR="0013116F" w:rsidRDefault="0013116F" w:rsidP="001D49D4">
      <w:pPr>
        <w:pStyle w:val="a9"/>
        <w:rPr>
          <w:rtl/>
        </w:rPr>
      </w:pPr>
      <w:r>
        <w:rPr>
          <w:rStyle w:val="ab"/>
        </w:rPr>
        <w:footnoteRef/>
      </w:r>
      <w:r>
        <w:rPr>
          <w:rtl/>
        </w:rPr>
        <w:t xml:space="preserve"> לפי שעובר על לאו של דברי קבלה, שו"ע (סי' סא סע' יא). וכתב הש"ך שם (סי' סא סקט"ז) דנראה דמיירי אע"פ שהלוה שותק ואינו מבקש השטר, או שרוצה המלוה ליתן לו השטר אלא שדוחהו מיום ליום, וקמ"ל דמנדין אותו שיתן מיד, דאי מיירי שהלוה מבקש השטר והמלוה אינו רוצה ליתנו כלל, למה לי לטעמא שעובר על לאו של דברי קבלה, תיפוק ליה שמחויב להחזיר לו שטרו שלא יתבענו עוד פעם אחרת, דעל כרחך מיירי כשלא יתן לו שובר, דאי נותן לו שובר ליכא איסור דאל תשכן באהליך עולה, וכמו שהוכחתי לעיל סימן נ"ז סק"ו. או אפשר דאפילו נותן שובר איכא איסורא דאל תשכן, ואע"פ שהוכחתי בסימן נ"ז דליכא איסורא היינו כשכותב שובר על גבי השטר עצמו, או כשנשאר חייב לו מקצת דבע"כ צריך להשהות השטר אצלו, אבל הכא דאין צריך להשהות השטר כלל, מיקרי עולה דדילמא יאבד השובר, ולמה לו להשהות השטר אצלו בחנם.</w:t>
      </w:r>
    </w:p>
  </w:footnote>
  <w:footnote w:id="4428">
    <w:p w14:paraId="1ABCAE4F" w14:textId="77777777" w:rsidR="0013116F" w:rsidRDefault="0013116F" w:rsidP="001D49D4">
      <w:pPr>
        <w:pStyle w:val="a9"/>
      </w:pPr>
      <w:r>
        <w:rPr>
          <w:rStyle w:val="ab"/>
        </w:rPr>
        <w:footnoteRef/>
      </w:r>
      <w:r>
        <w:rPr>
          <w:rtl/>
        </w:rPr>
        <w:t xml:space="preserve"> ומדברי התוס' (שם) והרא"ש (שם) מבואר להדיא דיכול לעכב השטר בשביל פשיטי דספרא, ומביאם הב"י בספרו בדה"ב, וכתב שכ"כ ג"כ הריטב"א (שם), וצ"ע למה סתם כאן בשו"ע כדברי הר"ן, מ"מ נלפע"ד דאם רוצה לקרעו או לכתוב על גבו שהוא פרוע, רשאי לעכבו משום פשיטי דספרא לכולי עלמא, ודלא כנראה מדברי המחבר, וכמו שכתבתי לקמן סק"ה, ש"ך (סק"ד).</w:t>
      </w:r>
    </w:p>
  </w:footnote>
  <w:footnote w:id="4429">
    <w:p w14:paraId="5377C306" w14:textId="77777777" w:rsidR="0013116F" w:rsidRDefault="0013116F" w:rsidP="001D49D4">
      <w:pPr>
        <w:pStyle w:val="a9"/>
        <w:rPr>
          <w:rtl/>
        </w:rPr>
      </w:pPr>
      <w:r>
        <w:rPr>
          <w:rStyle w:val="ab"/>
        </w:rPr>
        <w:footnoteRef/>
      </w:r>
      <w:r>
        <w:rPr>
          <w:rtl/>
        </w:rPr>
        <w:t xml:space="preserve"> הרשב"א </w:t>
      </w:r>
      <w:r>
        <w:rPr>
          <w:sz w:val="16"/>
          <w:szCs w:val="16"/>
          <w:rtl/>
        </w:rPr>
        <w:t xml:space="preserve">(בתשו' ח"ג סי' נז שהביא ב"י סי' סא ודרכ"מ סי' מח) </w:t>
      </w:r>
      <w:r>
        <w:rPr>
          <w:rtl/>
        </w:rPr>
        <w:t>לא מיירי מאיסורא, אלא גופו של שטר של מי הוא לענין לצור ע"פ צלוחיתו, ש"ך (סק"ה).</w:t>
      </w:r>
    </w:p>
  </w:footnote>
  <w:footnote w:id="4430">
    <w:p w14:paraId="3481997E" w14:textId="77777777" w:rsidR="0013116F" w:rsidRDefault="0013116F" w:rsidP="001D49D4">
      <w:pPr>
        <w:pStyle w:val="a9"/>
      </w:pPr>
      <w:r>
        <w:rPr>
          <w:rStyle w:val="ab"/>
        </w:rPr>
        <w:footnoteRef/>
      </w:r>
      <w:r>
        <w:rPr>
          <w:rtl/>
        </w:rPr>
        <w:t xml:space="preserve"> אבל אם הלוה נותן שכר הסופר, אפילו במקום דאין דרך הלוה ליתנו, צריך להחזיר השטר לידו דשלו הוא, סמ"ע (סק"ה).</w:t>
      </w:r>
    </w:p>
  </w:footnote>
  <w:footnote w:id="4431">
    <w:p w14:paraId="6AEA4838" w14:textId="77777777" w:rsidR="0013116F" w:rsidRDefault="0013116F" w:rsidP="001D49D4">
      <w:pPr>
        <w:pStyle w:val="a9"/>
      </w:pPr>
      <w:r>
        <w:rPr>
          <w:rStyle w:val="ab"/>
        </w:rPr>
        <w:footnoteRef/>
      </w:r>
      <w:r>
        <w:rPr>
          <w:rtl/>
        </w:rPr>
        <w:t xml:space="preserve"> </w:t>
      </w:r>
      <w:r>
        <w:rPr>
          <w:rFonts w:hint="cs"/>
          <w:rtl/>
        </w:rPr>
        <w:t xml:space="preserve">הש"ך (סק"ו) כתב שנראה שהשו"ע הבין כן מדברי הר"ן, וחלק עליו וכתב שאין להבין כן מדברי הר"ן, אלא </w:t>
      </w:r>
      <w:r>
        <w:rPr>
          <w:rtl/>
        </w:rPr>
        <w:t>אע"פ דהר"ן סובר דאסור להשהותו אפשיטי דספרא, מ"מ סובר דכשנשאר חייב לו שום דבר מסך שבשטר מותר לו להשהותו אע"פ שאינו כותב עליו שובר כלל. וסיים הש"ך דכן נראה לו עיקר ודלא כהמחבר.</w:t>
      </w:r>
    </w:p>
  </w:footnote>
  <w:footnote w:id="4432">
    <w:p w14:paraId="38E17731" w14:textId="77777777" w:rsidR="0013116F" w:rsidRDefault="0013116F" w:rsidP="001D49D4">
      <w:pPr>
        <w:pStyle w:val="a9"/>
        <w:rPr>
          <w:rtl/>
        </w:rPr>
      </w:pPr>
      <w:r>
        <w:rPr>
          <w:rStyle w:val="ab"/>
        </w:rPr>
        <w:footnoteRef/>
      </w:r>
      <w:r>
        <w:rPr>
          <w:rtl/>
        </w:rPr>
        <w:t xml:space="preserve"> </w:t>
      </w:r>
      <w:r>
        <w:rPr>
          <w:rFonts w:hint="cs"/>
          <w:rtl/>
        </w:rPr>
        <w:t>סימן – ירדה זכותו.</w:t>
      </w:r>
    </w:p>
  </w:footnote>
  <w:footnote w:id="4433">
    <w:p w14:paraId="3CA66D8A" w14:textId="77777777" w:rsidR="0013116F" w:rsidRDefault="0013116F" w:rsidP="001D49D4">
      <w:pPr>
        <w:pStyle w:val="a9"/>
        <w:rPr>
          <w:rtl/>
        </w:rPr>
      </w:pPr>
      <w:r>
        <w:rPr>
          <w:rStyle w:val="ab"/>
        </w:rPr>
        <w:footnoteRef/>
      </w:r>
      <w:r>
        <w:rPr>
          <w:rtl/>
        </w:rPr>
        <w:t xml:space="preserve"> </w:t>
      </w:r>
      <w:r>
        <w:rPr>
          <w:rFonts w:hint="cs"/>
          <w:rtl/>
        </w:rPr>
        <w:t>סימן – לָקַחְתָּ ב'</w:t>
      </w:r>
      <w:r>
        <w:rPr>
          <w:sz w:val="18"/>
          <w:szCs w:val="18"/>
          <w:rtl/>
        </w:rPr>
        <w:t xml:space="preserve"> </w:t>
      </w:r>
      <w:r>
        <w:rPr>
          <w:sz w:val="16"/>
          <w:szCs w:val="16"/>
          <w:rtl/>
        </w:rPr>
        <w:t>{פעמים}</w:t>
      </w:r>
      <w:r>
        <w:rPr>
          <w:rtl/>
        </w:rPr>
        <w:t>. וכן – לא ברורים.</w:t>
      </w:r>
    </w:p>
  </w:footnote>
  <w:footnote w:id="4434">
    <w:p w14:paraId="57C51FB2" w14:textId="77777777" w:rsidR="0013116F" w:rsidRDefault="0013116F" w:rsidP="001D49D4">
      <w:pPr>
        <w:pStyle w:val="a9"/>
      </w:pPr>
      <w:r>
        <w:rPr>
          <w:rStyle w:val="ab"/>
        </w:rPr>
        <w:footnoteRef/>
      </w:r>
      <w:r>
        <w:rPr>
          <w:rtl/>
        </w:rPr>
        <w:t xml:space="preserve"> כגון ערב קבלן א"נ כגון שאמר המלוה בשעת ההלואה ממי שארצה אפרע, רשב"ם.</w:t>
      </w:r>
    </w:p>
  </w:footnote>
  <w:footnote w:id="4435">
    <w:p w14:paraId="405DE454" w14:textId="77777777" w:rsidR="0013116F" w:rsidRDefault="0013116F" w:rsidP="001D49D4">
      <w:pPr>
        <w:pStyle w:val="a9"/>
      </w:pPr>
      <w:r>
        <w:rPr>
          <w:rStyle w:val="ab"/>
        </w:rPr>
        <w:footnoteRef/>
      </w:r>
      <w:r>
        <w:rPr>
          <w:rtl/>
        </w:rPr>
        <w:t xml:space="preserve"> שטר שהיה לו למלוה עליך והחזירו לי לפי שפרעתי חובו והרי אתה משועבד לי בשטר זה כמו שהיית משועבד לו, רשב"ם.</w:t>
      </w:r>
    </w:p>
  </w:footnote>
  <w:footnote w:id="4436">
    <w:p w14:paraId="6D0D3D3C" w14:textId="77777777" w:rsidR="0013116F" w:rsidRDefault="0013116F" w:rsidP="001D49D4">
      <w:pPr>
        <w:pStyle w:val="a9"/>
      </w:pPr>
      <w:r>
        <w:rPr>
          <w:rStyle w:val="ab"/>
        </w:rPr>
        <w:footnoteRef/>
      </w:r>
      <w:r>
        <w:rPr>
          <w:rtl/>
        </w:rPr>
        <w:t xml:space="preserve"> לוה לערב וכי לא פרעתיך בתמיה, רשב"ם.</w:t>
      </w:r>
    </w:p>
  </w:footnote>
  <w:footnote w:id="4437">
    <w:p w14:paraId="2FF31505" w14:textId="77777777" w:rsidR="0013116F" w:rsidRDefault="0013116F" w:rsidP="001D49D4">
      <w:pPr>
        <w:pStyle w:val="a9"/>
      </w:pPr>
      <w:r>
        <w:rPr>
          <w:rStyle w:val="ab"/>
        </w:rPr>
        <w:footnoteRef/>
      </w:r>
      <w:r>
        <w:rPr>
          <w:rtl/>
        </w:rPr>
        <w:t xml:space="preserve"> וכמי שלא פרעת דמי. ולוה לא הודה לו בכך, רשב"ם.</w:t>
      </w:r>
    </w:p>
  </w:footnote>
  <w:footnote w:id="4438">
    <w:p w14:paraId="1B7A1BCA" w14:textId="77777777" w:rsidR="0013116F" w:rsidRDefault="0013116F" w:rsidP="001D49D4">
      <w:pPr>
        <w:pStyle w:val="a9"/>
      </w:pPr>
      <w:r>
        <w:rPr>
          <w:rStyle w:val="ab"/>
        </w:rPr>
        <w:footnoteRef/>
      </w:r>
      <w:r>
        <w:rPr>
          <w:rtl/>
        </w:rPr>
        <w:t xml:space="preserve"> דאמרינן 'היכא דקיימי זוזי תיקום' ולא מיחייב לוה לפרוע לערב - היכא דטעין ערב כדאמר לעיל, דאמר פרעתינהו אבל הדר יזפתינהו מנאי, דערב גופיה מודה שהשטר שבידו נמחל שעבודו, רשב"ם.</w:t>
      </w:r>
    </w:p>
  </w:footnote>
  <w:footnote w:id="4439">
    <w:p w14:paraId="3688C5FC" w14:textId="77777777" w:rsidR="0013116F" w:rsidRDefault="0013116F" w:rsidP="001D49D4">
      <w:pPr>
        <w:pStyle w:val="a9"/>
      </w:pPr>
      <w:r>
        <w:rPr>
          <w:rStyle w:val="ab"/>
        </w:rPr>
        <w:footnoteRef/>
      </w:r>
      <w:r>
        <w:rPr>
          <w:rtl/>
        </w:rPr>
        <w:t xml:space="preserve"> פירוש, אי טעין ערב אני החזרתי לך אותם מעות עצמן משום דנשתייפה צורתן או שהאדים נחשתן יותר מדאי - נמצא שעדיין לא פרעו, ואכתי איתיה לשעבודא דשטרא, וכאילו טעין לא פרעתני דמי </w:t>
      </w:r>
      <w:r>
        <w:rPr>
          <w:sz w:val="16"/>
          <w:szCs w:val="16"/>
          <w:rtl/>
        </w:rPr>
        <w:t>(ע"פ פירוש רשב"ם)</w:t>
      </w:r>
      <w:r>
        <w:rPr>
          <w:rtl/>
        </w:rPr>
        <w:t>. ופירש רשב"ם שייפי וסומקי נשפפה צורתן והאדים נחושתן שאין יוצאין בהוצאה. אבל הה"מ (פי"ד ממלוה ולוה ה"ח) כתב בשם רבינו יונה (שם ד"ה אבל א"ל) שאפילו היו המעות יוצאין על ידי הדחק אין שיעבוד השטר בטל כיון שאילו היה מכיר בהם לא היה מקבלם, ועיקר עכ"ל</w:t>
      </w:r>
      <w:r>
        <w:rPr>
          <w:sz w:val="16"/>
          <w:szCs w:val="16"/>
          <w:rtl/>
        </w:rPr>
        <w:t xml:space="preserve"> {הה"מ}</w:t>
      </w:r>
      <w:r>
        <w:rPr>
          <w:rtl/>
        </w:rPr>
        <w:t xml:space="preserve">, ב"י. </w:t>
      </w:r>
      <w:r>
        <w:rPr>
          <w:color w:val="E36C0A" w:themeColor="accent6" w:themeShade="BF"/>
          <w:rtl/>
        </w:rPr>
        <w:t>(וכ"פ בשו"ע)</w:t>
      </w:r>
      <w:r>
        <w:rPr>
          <w:rtl/>
        </w:rPr>
        <w:t>. וכתב עוד הב"י לעיין בתשובות הרא"ש כלל ס"ד סימן ד'.</w:t>
      </w:r>
    </w:p>
  </w:footnote>
  <w:footnote w:id="4440">
    <w:p w14:paraId="382037D4" w14:textId="77777777" w:rsidR="0013116F" w:rsidRDefault="0013116F" w:rsidP="001D49D4">
      <w:pPr>
        <w:pStyle w:val="a9"/>
        <w:rPr>
          <w:rtl/>
        </w:rPr>
      </w:pPr>
      <w:r>
        <w:rPr>
          <w:rStyle w:val="ab"/>
        </w:rPr>
        <w:footnoteRef/>
      </w:r>
      <w:r>
        <w:rPr>
          <w:rtl/>
        </w:rPr>
        <w:t xml:space="preserve"> ואינו גובה בו אפילו מלוה עצמו, וכן הוכחתי לעיל סי' מ"ח </w:t>
      </w:r>
      <w:r>
        <w:rPr>
          <w:sz w:val="16"/>
          <w:szCs w:val="16"/>
          <w:rtl/>
        </w:rPr>
        <w:t xml:space="preserve">[סק"ב] </w:t>
      </w:r>
      <w:r>
        <w:rPr>
          <w:rtl/>
        </w:rPr>
        <w:t xml:space="preserve">ודלא כסמ"ע שם </w:t>
      </w:r>
      <w:r>
        <w:rPr>
          <w:sz w:val="16"/>
          <w:szCs w:val="16"/>
          <w:rtl/>
        </w:rPr>
        <w:t>[סק"א]</w:t>
      </w:r>
      <w:r>
        <w:rPr>
          <w:rtl/>
        </w:rPr>
        <w:t xml:space="preserve">. והא דאינו נאמן לומר החזרתים לך במיגו שהיה אומר לא פרעת לי, דהוי מיגו להוציא. ולהפוסקים דאמרינן מיגו להוציא </w:t>
      </w:r>
      <w:r>
        <w:rPr>
          <w:sz w:val="16"/>
          <w:szCs w:val="16"/>
          <w:rtl/>
        </w:rPr>
        <w:t xml:space="preserve">(עיין לקמן סי' פב סע' יב בהג"ה) </w:t>
      </w:r>
      <w:r>
        <w:rPr>
          <w:rtl/>
        </w:rPr>
        <w:t xml:space="preserve">צ"ל דמיירי כאן שהשטר אינו מקוים, וקמ"ל דאע"פ שיכול לקיימו אח"כ, כיון דהשתא אינו מקוים והודה שהוא פרוע, הרי הוא כחרס ושוב לא מהימן אף כשיקיימנו, וכמ"ש כל זה בס"ס פג </w:t>
      </w:r>
      <w:r>
        <w:rPr>
          <w:sz w:val="16"/>
          <w:szCs w:val="16"/>
          <w:rtl/>
        </w:rPr>
        <w:t xml:space="preserve">(סק"ז) </w:t>
      </w:r>
      <w:r>
        <w:rPr>
          <w:rtl/>
        </w:rPr>
        <w:t xml:space="preserve">גבי שטר מזויף או אמנה, ובש"ס פרק חזקת הבתים </w:t>
      </w:r>
      <w:r>
        <w:rPr>
          <w:sz w:val="16"/>
          <w:szCs w:val="16"/>
          <w:rtl/>
        </w:rPr>
        <w:t xml:space="preserve">(ב"ב לב:) </w:t>
      </w:r>
      <w:r>
        <w:rPr>
          <w:rtl/>
        </w:rPr>
        <w:t xml:space="preserve">מדמי להדדי. ועיין מש"כ עוד שם </w:t>
      </w:r>
      <w:r>
        <w:rPr>
          <w:sz w:val="16"/>
          <w:szCs w:val="16"/>
          <w:rtl/>
        </w:rPr>
        <w:t xml:space="preserve">[סק"ט] </w:t>
      </w:r>
      <w:r>
        <w:rPr>
          <w:rtl/>
        </w:rPr>
        <w:t xml:space="preserve">דבכל גווני הוי ספיקא דדינא, ואי תפס המלוה אפילו בעדים לא מפקינן מיניה וה"ה הכא, ש"ך </w:t>
      </w:r>
      <w:r>
        <w:rPr>
          <w:sz w:val="16"/>
          <w:szCs w:val="16"/>
          <w:rtl/>
        </w:rPr>
        <w:t>(סק"ח)</w:t>
      </w:r>
      <w:r>
        <w:rPr>
          <w:rtl/>
        </w:rPr>
        <w:t>.</w:t>
      </w:r>
    </w:p>
  </w:footnote>
  <w:footnote w:id="4441">
    <w:p w14:paraId="470A8D57" w14:textId="77777777" w:rsidR="0013116F" w:rsidRDefault="0013116F" w:rsidP="001D49D4">
      <w:pPr>
        <w:pStyle w:val="a9"/>
        <w:rPr>
          <w:rtl/>
        </w:rPr>
      </w:pPr>
      <w:r>
        <w:rPr>
          <w:rStyle w:val="ab"/>
        </w:rPr>
        <w:footnoteRef/>
      </w:r>
      <w:r>
        <w:rPr>
          <w:rtl/>
        </w:rPr>
        <w:t xml:space="preserve"> וכ"ש אם לא היו יוצאים כלל. ונלפע"ד דגם רשב"ם (ב"ב שם ד"ה אבל) מודה לזה, וכן משמע בב"ח (סע' ב), ודלא כנראה מהב"י [שם] שרשב"ם ס"ל דבעינן שלא היה יוצא כלל, ע"ש, ש"ך (סק"ט).</w:t>
      </w:r>
    </w:p>
  </w:footnote>
  <w:footnote w:id="4442">
    <w:p w14:paraId="7ADD2DD3" w14:textId="77777777" w:rsidR="0013116F" w:rsidRDefault="0013116F" w:rsidP="001D49D4">
      <w:pPr>
        <w:pStyle w:val="a9"/>
      </w:pPr>
      <w:r>
        <w:rPr>
          <w:rStyle w:val="ab"/>
        </w:rPr>
        <w:footnoteRef/>
      </w:r>
      <w:r>
        <w:rPr>
          <w:rtl/>
        </w:rPr>
        <w:t xml:space="preserve"> </w:t>
      </w:r>
      <w:r>
        <w:rPr>
          <w:rFonts w:hint="cs"/>
          <w:rtl/>
        </w:rPr>
        <w:t>סימן – מסקי ביה מִלוה ב'. וכן - מסקי ביה ב' מילוות.</w:t>
      </w:r>
    </w:p>
  </w:footnote>
  <w:footnote w:id="4443">
    <w:p w14:paraId="1233F516" w14:textId="77777777" w:rsidR="0013116F" w:rsidRDefault="0013116F" w:rsidP="001D49D4">
      <w:pPr>
        <w:pStyle w:val="a9"/>
      </w:pPr>
      <w:r>
        <w:rPr>
          <w:rStyle w:val="ab"/>
        </w:rPr>
        <w:footnoteRef/>
      </w:r>
      <w:r>
        <w:rPr>
          <w:rtl/>
        </w:rPr>
        <w:t xml:space="preserve"> מצד אחר היית חייב לי, רש"י.</w:t>
      </w:r>
    </w:p>
  </w:footnote>
  <w:footnote w:id="4444">
    <w:p w14:paraId="6E4E032A" w14:textId="77777777" w:rsidR="0013116F" w:rsidRDefault="0013116F" w:rsidP="001D49D4">
      <w:pPr>
        <w:pStyle w:val="a9"/>
      </w:pPr>
      <w:r>
        <w:rPr>
          <w:rStyle w:val="ab"/>
        </w:rPr>
        <w:footnoteRef/>
      </w:r>
      <w:r>
        <w:rPr>
          <w:rtl/>
        </w:rPr>
        <w:t xml:space="preserve"> הואיל ומודה שקיבלם ולאו כל כמיניה לומר סיטראי נינהו, רש"י.</w:t>
      </w:r>
    </w:p>
  </w:footnote>
  <w:footnote w:id="4445">
    <w:p w14:paraId="41DC489C" w14:textId="77777777" w:rsidR="0013116F" w:rsidRDefault="0013116F" w:rsidP="001D49D4">
      <w:pPr>
        <w:pStyle w:val="a9"/>
        <w:rPr>
          <w:rtl/>
        </w:rPr>
      </w:pPr>
      <w:r>
        <w:rPr>
          <w:rStyle w:val="ab"/>
        </w:rPr>
        <w:footnoteRef/>
      </w:r>
      <w:r>
        <w:rPr>
          <w:rtl/>
        </w:rPr>
        <w:t xml:space="preserve"> </w:t>
      </w:r>
      <w:r>
        <w:rPr>
          <w:rFonts w:hint="cs"/>
          <w:rtl/>
        </w:rPr>
        <w:t>סימן – החזר פינתי.</w:t>
      </w:r>
    </w:p>
  </w:footnote>
  <w:footnote w:id="4446">
    <w:p w14:paraId="3ADA674F" w14:textId="77777777" w:rsidR="0013116F" w:rsidRDefault="0013116F" w:rsidP="001D49D4">
      <w:pPr>
        <w:pStyle w:val="a9"/>
      </w:pPr>
      <w:r>
        <w:rPr>
          <w:rStyle w:val="ab"/>
        </w:rPr>
        <w:footnoteRef/>
      </w:r>
      <w:r>
        <w:rPr>
          <w:rtl/>
        </w:rPr>
        <w:t xml:space="preserve"> בני העיר חוזאי הלוו לו כסף, והיו נושים בו.</w:t>
      </w:r>
    </w:p>
  </w:footnote>
  <w:footnote w:id="4447">
    <w:p w14:paraId="67BA04FC" w14:textId="77777777" w:rsidR="0013116F" w:rsidRDefault="0013116F" w:rsidP="001D49D4">
      <w:pPr>
        <w:pStyle w:val="a9"/>
      </w:pPr>
      <w:r>
        <w:rPr>
          <w:rStyle w:val="ab"/>
        </w:rPr>
        <w:footnoteRef/>
      </w:r>
      <w:r>
        <w:rPr>
          <w:rtl/>
        </w:rPr>
        <w:t xml:space="preserve"> מצד אחר היינו נושים בו מלוה על פה ומחמת אותה מלוה נחזיק בהם, רש"י.</w:t>
      </w:r>
    </w:p>
  </w:footnote>
  <w:footnote w:id="4448">
    <w:p w14:paraId="665E15BB" w14:textId="77777777" w:rsidR="0013116F" w:rsidRDefault="0013116F" w:rsidP="001D49D4">
      <w:pPr>
        <w:pStyle w:val="a9"/>
      </w:pPr>
      <w:r>
        <w:rPr>
          <w:rStyle w:val="ab"/>
        </w:rPr>
        <w:footnoteRef/>
      </w:r>
      <w:r>
        <w:rPr>
          <w:rtl/>
        </w:rPr>
        <w:t xml:space="preserve"> למשלח, רש"י.</w:t>
      </w:r>
    </w:p>
  </w:footnote>
  <w:footnote w:id="4449">
    <w:p w14:paraId="42748D23" w14:textId="77777777" w:rsidR="0013116F" w:rsidRDefault="0013116F" w:rsidP="001D49D4">
      <w:pPr>
        <w:pStyle w:val="a9"/>
      </w:pPr>
      <w:r>
        <w:rPr>
          <w:rStyle w:val="ab"/>
        </w:rPr>
        <w:footnoteRef/>
      </w:r>
      <w:r>
        <w:rPr>
          <w:rtl/>
        </w:rPr>
        <w:t xml:space="preserve"> מי הוה פושע שהחזיר המעות עד שלא קבל מהם השטר, רש"י.</w:t>
      </w:r>
    </w:p>
  </w:footnote>
  <w:footnote w:id="4450">
    <w:p w14:paraId="0C574844" w14:textId="77777777" w:rsidR="0013116F" w:rsidRDefault="0013116F" w:rsidP="001D49D4">
      <w:pPr>
        <w:pStyle w:val="a9"/>
      </w:pPr>
      <w:r>
        <w:rPr>
          <w:rStyle w:val="ab"/>
        </w:rPr>
        <w:footnoteRef/>
      </w:r>
      <w:r>
        <w:rPr>
          <w:rtl/>
        </w:rPr>
        <w:t xml:space="preserve"> והיה לך לדקדק בתקנתי, רש"י.</w:t>
      </w:r>
    </w:p>
  </w:footnote>
  <w:footnote w:id="4451">
    <w:p w14:paraId="0B7C164C" w14:textId="77777777" w:rsidR="0013116F" w:rsidRDefault="0013116F" w:rsidP="001D49D4">
      <w:pPr>
        <w:pStyle w:val="a9"/>
      </w:pPr>
      <w:r>
        <w:rPr>
          <w:rStyle w:val="ab"/>
        </w:rPr>
        <w:footnoteRef/>
      </w:r>
      <w:r>
        <w:rPr>
          <w:rtl/>
        </w:rPr>
        <w:t xml:space="preserve"> מ"ש וגובה בלא שבועה אם יש בו נאמנות ואם אחר כך יתבענו. נלמד ממ"ש בעל התרומות (שער סו ח"ב סי' ג) לדעת ר"י הלוי בשיש עדים וכתבתיו בסוף סימן זה (סוף ס"ג), ב"י.</w:t>
      </w:r>
    </w:p>
  </w:footnote>
  <w:footnote w:id="4452">
    <w:p w14:paraId="327020ED" w14:textId="77777777" w:rsidR="0013116F" w:rsidRDefault="0013116F" w:rsidP="001D49D4">
      <w:pPr>
        <w:pStyle w:val="a9"/>
        <w:rPr>
          <w:sz w:val="16"/>
          <w:szCs w:val="16"/>
        </w:rPr>
      </w:pPr>
      <w:r>
        <w:rPr>
          <w:rStyle w:val="ab"/>
        </w:rPr>
        <w:footnoteRef/>
      </w:r>
      <w:r>
        <w:rPr>
          <w:rtl/>
        </w:rPr>
        <w:t xml:space="preserve"> </w:t>
      </w:r>
      <w:r>
        <w:rPr>
          <w:u w:val="single"/>
          <w:rtl/>
        </w:rPr>
        <w:t>תימה, דאמאי לא יאמר השליח 'אני נתתי המעות בשביל השטר, מה אני חושש אם חייב לך במקום אחר, או תחזיר לי מעות או לא תתפש בשטר חוב</w:t>
      </w:r>
      <w:r>
        <w:rPr>
          <w:sz w:val="16"/>
          <w:szCs w:val="16"/>
          <w:u w:val="single"/>
          <w:rtl/>
        </w:rPr>
        <w:t xml:space="preserve"> </w:t>
      </w:r>
      <w:r>
        <w:rPr>
          <w:sz w:val="14"/>
          <w:szCs w:val="14"/>
          <w:u w:val="single"/>
          <w:rtl/>
        </w:rPr>
        <w:t>(ל' המרדכי [כתובות סי' ריח])</w:t>
      </w:r>
      <w:r>
        <w:rPr>
          <w:u w:val="single"/>
          <w:rtl/>
        </w:rPr>
        <w:t>:</w:t>
      </w:r>
      <w:r>
        <w:rPr>
          <w:rtl/>
        </w:rPr>
        <w:t xml:space="preserve"> </w:t>
      </w:r>
      <w:r>
        <w:rPr>
          <w:sz w:val="16"/>
          <w:szCs w:val="16"/>
          <w:rtl/>
        </w:rPr>
        <w:t>(דרכ"מ אות א)</w:t>
      </w:r>
    </w:p>
    <w:p w14:paraId="12ABEA3C" w14:textId="77777777" w:rsidR="0013116F" w:rsidRDefault="0013116F" w:rsidP="004B0475">
      <w:pPr>
        <w:pStyle w:val="a9"/>
        <w:numPr>
          <w:ilvl w:val="0"/>
          <w:numId w:val="324"/>
        </w:numPr>
        <w:rPr>
          <w:rtl/>
        </w:rPr>
      </w:pPr>
      <w:r>
        <w:rPr>
          <w:rtl/>
        </w:rPr>
        <w:t xml:space="preserve">ר"י </w:t>
      </w:r>
      <w:r>
        <w:rPr>
          <w:sz w:val="14"/>
          <w:szCs w:val="14"/>
          <w:rtl/>
        </w:rPr>
        <w:t>(כ"כ בשמו המרדכי [כתובות סי' ריז])</w:t>
      </w:r>
      <w:r>
        <w:rPr>
          <w:rtl/>
        </w:rPr>
        <w:t>- מדובר שטוען 'השליח נתנם לי לשם סטראי', והוי מגו להחזיק את השטר בידו. (וכ"פ הש"ך</w:t>
      </w:r>
      <w:r>
        <w:rPr>
          <w:sz w:val="16"/>
          <w:szCs w:val="16"/>
          <w:rtl/>
        </w:rPr>
        <w:t xml:space="preserve"> [סק"ז]</w:t>
      </w:r>
      <w:r>
        <w:rPr>
          <w:rtl/>
        </w:rPr>
        <w:t>)</w:t>
      </w:r>
    </w:p>
    <w:p w14:paraId="6845B3DF" w14:textId="77777777" w:rsidR="0013116F" w:rsidRDefault="0013116F" w:rsidP="004B0475">
      <w:pPr>
        <w:pStyle w:val="a9"/>
        <w:numPr>
          <w:ilvl w:val="0"/>
          <w:numId w:val="324"/>
        </w:numPr>
        <w:rPr>
          <w:rtl/>
        </w:rPr>
      </w:pPr>
      <w:r>
        <w:rPr>
          <w:rtl/>
        </w:rPr>
        <w:t>אלפסי</w:t>
      </w:r>
      <w:r>
        <w:rPr>
          <w:sz w:val="14"/>
          <w:szCs w:val="14"/>
          <w:rtl/>
        </w:rPr>
        <w:t xml:space="preserve"> (כ"כ בשמו המרדכי [כתובות סי' ריח])</w:t>
      </w:r>
      <w:r>
        <w:rPr>
          <w:rtl/>
        </w:rPr>
        <w:t>- המלוה יאמר 'כיון שתפסתי מבע"ח לא תוציא מידי כי הוא חייב לי'.</w:t>
      </w:r>
    </w:p>
  </w:footnote>
  <w:footnote w:id="4453">
    <w:p w14:paraId="55125511" w14:textId="77777777" w:rsidR="0013116F" w:rsidRDefault="0013116F" w:rsidP="001D49D4">
      <w:pPr>
        <w:pStyle w:val="a9"/>
      </w:pPr>
      <w:r>
        <w:rPr>
          <w:rStyle w:val="ab"/>
        </w:rPr>
        <w:footnoteRef/>
      </w:r>
      <w:r>
        <w:rPr>
          <w:rtl/>
        </w:rPr>
        <w:t xml:space="preserve"> כ"כ התוס' </w:t>
      </w:r>
      <w:r>
        <w:rPr>
          <w:sz w:val="16"/>
          <w:szCs w:val="16"/>
          <w:rtl/>
        </w:rPr>
        <w:t xml:space="preserve">(כתובות פד: ד"ה לתקוני) </w:t>
      </w:r>
      <w:r>
        <w:rPr>
          <w:rtl/>
        </w:rPr>
        <w:t xml:space="preserve">והרי"ף </w:t>
      </w:r>
      <w:r>
        <w:rPr>
          <w:sz w:val="16"/>
          <w:szCs w:val="16"/>
          <w:rtl/>
        </w:rPr>
        <w:t xml:space="preserve">(שם מב:) </w:t>
      </w:r>
      <w:r>
        <w:rPr>
          <w:rtl/>
        </w:rPr>
        <w:t>והרא"ש</w:t>
      </w:r>
      <w:r>
        <w:rPr>
          <w:sz w:val="16"/>
          <w:szCs w:val="16"/>
          <w:rtl/>
        </w:rPr>
        <w:t xml:space="preserve"> (שם סי' ד) </w:t>
      </w:r>
      <w:r>
        <w:rPr>
          <w:rtl/>
        </w:rPr>
        <w:t xml:space="preserve">שם וכ"כ בתשובות (המיוחסות) להרמב"ן </w:t>
      </w:r>
      <w:r>
        <w:rPr>
          <w:sz w:val="16"/>
          <w:szCs w:val="16"/>
          <w:rtl/>
        </w:rPr>
        <w:t>(סי' נה)</w:t>
      </w:r>
      <w:r>
        <w:rPr>
          <w:rtl/>
        </w:rPr>
        <w:t>, ב"י.</w:t>
      </w:r>
    </w:p>
  </w:footnote>
  <w:footnote w:id="4454">
    <w:p w14:paraId="3B564BF6" w14:textId="77777777" w:rsidR="0013116F" w:rsidRDefault="0013116F" w:rsidP="001D49D4">
      <w:pPr>
        <w:pStyle w:val="a9"/>
      </w:pPr>
      <w:r>
        <w:rPr>
          <w:rStyle w:val="ab"/>
        </w:rPr>
        <w:footnoteRef/>
      </w:r>
      <w:r>
        <w:rPr>
          <w:rtl/>
        </w:rPr>
        <w:t xml:space="preserve"> כך כתב שם הרי"ף והרא"ש, ב"י.</w:t>
      </w:r>
      <w:r>
        <w:rPr>
          <w:rtl/>
        </w:rPr>
        <w:tab/>
      </w:r>
    </w:p>
  </w:footnote>
  <w:footnote w:id="4455">
    <w:p w14:paraId="78ACED96" w14:textId="77777777" w:rsidR="0013116F" w:rsidRDefault="0013116F" w:rsidP="001D49D4">
      <w:pPr>
        <w:pStyle w:val="a9"/>
      </w:pPr>
      <w:r>
        <w:rPr>
          <w:rStyle w:val="ab"/>
        </w:rPr>
        <w:footnoteRef/>
      </w:r>
      <w:r>
        <w:rPr>
          <w:rtl/>
        </w:rPr>
        <w:t xml:space="preserve"> וכ"כ בעל התרומות </w:t>
      </w:r>
      <w:r>
        <w:rPr>
          <w:sz w:val="16"/>
          <w:szCs w:val="16"/>
          <w:rtl/>
        </w:rPr>
        <w:t>(שער נ ח"ג סי' א)</w:t>
      </w:r>
      <w:r>
        <w:rPr>
          <w:rtl/>
        </w:rPr>
        <w:t xml:space="preserve"> דאע"פ שהודיעוהו שחוב בשטר היה לו עליו, כל זמן שלא אמר לו שקול שטרא - פטור, דמצי למימר סבור הייתי שהיית סומך על אמונתו. (וכ"כ הש"ך </w:t>
      </w:r>
      <w:r>
        <w:rPr>
          <w:sz w:val="16"/>
          <w:szCs w:val="16"/>
          <w:rtl/>
        </w:rPr>
        <w:t>[סק"ה]</w:t>
      </w:r>
      <w:r>
        <w:rPr>
          <w:rtl/>
        </w:rPr>
        <w:t>). וכתב הב"י לעיין במהרי"ק (שורש קכ).</w:t>
      </w:r>
    </w:p>
  </w:footnote>
  <w:footnote w:id="4456">
    <w:p w14:paraId="1D238FCD" w14:textId="77777777" w:rsidR="0013116F" w:rsidRDefault="0013116F" w:rsidP="001D49D4">
      <w:pPr>
        <w:pStyle w:val="a9"/>
        <w:rPr>
          <w:color w:val="FF0000"/>
          <w:rtl/>
        </w:rPr>
      </w:pPr>
      <w:r>
        <w:rPr>
          <w:rStyle w:val="ab"/>
          <w:color w:val="FF0000"/>
        </w:rPr>
        <w:footnoteRef/>
      </w:r>
      <w:r>
        <w:rPr>
          <w:color w:val="FF0000"/>
          <w:rtl/>
        </w:rPr>
        <w:t xml:space="preserve"> </w:t>
      </w:r>
      <w:r>
        <w:rPr>
          <w:rFonts w:hint="cs"/>
          <w:color w:val="FF0000"/>
          <w:rtl/>
        </w:rPr>
        <w:t>צל"ע משום שלא ראיתי עוד פרשן שמדייק כך מדבריו.</w:t>
      </w:r>
    </w:p>
  </w:footnote>
  <w:footnote w:id="4457">
    <w:p w14:paraId="78506C22" w14:textId="77777777" w:rsidR="0013116F" w:rsidRDefault="0013116F" w:rsidP="001D49D4">
      <w:pPr>
        <w:pStyle w:val="a9"/>
        <w:rPr>
          <w:rtl/>
        </w:rPr>
      </w:pPr>
      <w:r>
        <w:rPr>
          <w:rStyle w:val="ab"/>
        </w:rPr>
        <w:footnoteRef/>
      </w:r>
      <w:r>
        <w:rPr>
          <w:rtl/>
        </w:rPr>
        <w:t xml:space="preserve"> ואפי' למאן דאמ' התם השואל פרה מחבירו והשאילה לאחר תחזור פרה לבעלים הראשוני', התם הוא לפי שעומדת ברשות בעלים לאונסין אבל הכא כבר נתחייב לו בשמירתו ולמעבד ליה השבה גמורה. תדע שאל"כ למה מתחייב האחרון באונסין לימא ליה לאו בעל דברים דידי את, כי לא היתה הפרה שלך, אלא ודאי חייב הוא לשני שנעשה לו שומר ושואל, ואע"פ שהשני עשה שלא כראוי שהשאילה לאחר, ריטב"א.</w:t>
      </w:r>
    </w:p>
  </w:footnote>
  <w:footnote w:id="4458">
    <w:p w14:paraId="40514B30" w14:textId="77777777" w:rsidR="0013116F" w:rsidRDefault="0013116F" w:rsidP="001D49D4">
      <w:pPr>
        <w:pStyle w:val="a9"/>
        <w:rPr>
          <w:rtl/>
        </w:rPr>
      </w:pPr>
      <w:r>
        <w:rPr>
          <w:rStyle w:val="ab"/>
        </w:rPr>
        <w:footnoteRef/>
      </w:r>
      <w:r>
        <w:rPr>
          <w:rtl/>
        </w:rPr>
        <w:t xml:space="preserve"> הביאו הב"י ס"ס פג (מחו' א-ב) וכתב דהוא הדין לא פשע שהרי שואל חייב באונסין. ונ"ל דהוא הדין בתשובה שכתבתי בשם הריב"ש נמי דינא הכי, דרכ"מ (אות א).</w:t>
      </w:r>
    </w:p>
  </w:footnote>
  <w:footnote w:id="4459">
    <w:p w14:paraId="09BE4D94" w14:textId="77777777" w:rsidR="0013116F" w:rsidRDefault="0013116F" w:rsidP="001D49D4">
      <w:pPr>
        <w:pStyle w:val="a9"/>
        <w:rPr>
          <w:rtl/>
        </w:rPr>
      </w:pPr>
      <w:r>
        <w:rPr>
          <w:rStyle w:val="ab"/>
        </w:rPr>
        <w:footnoteRef/>
      </w:r>
      <w:r>
        <w:rPr>
          <w:rtl/>
        </w:rPr>
        <w:t xml:space="preserve"> וה"ה אינו מקוים, אם יקיימנו אח"כ נאמן מה שכבר טען סיטראי במיגו דלהד"ם וכדלקמן ר"ס פ"ב..., ש"ך (סק"א). וכ"כ האורים (סק"א) והנתיבות (סק"א).</w:t>
      </w:r>
    </w:p>
  </w:footnote>
  <w:footnote w:id="4460">
    <w:p w14:paraId="64B2D1C6" w14:textId="77777777" w:rsidR="0013116F" w:rsidRDefault="0013116F" w:rsidP="001D49D4">
      <w:pPr>
        <w:pStyle w:val="a9"/>
        <w:rPr>
          <w:rtl/>
        </w:rPr>
      </w:pPr>
      <w:r>
        <w:rPr>
          <w:rStyle w:val="ab"/>
        </w:rPr>
        <w:footnoteRef/>
      </w:r>
      <w:r>
        <w:rPr>
          <w:rtl/>
        </w:rPr>
        <w:t xml:space="preserve"> פירוש, אף שמודה לו שנתן לו לפרעון שטר זה, כל שאינו מודה שהוא קיבלם ג"כ על חוב זה, יכול לומר סיטראי נינהו, וכמ"ש המחבר בסוף סימן זה [סע' ד], גם בסי' פג [סע' ב], סמ"ע (סק"א).</w:t>
      </w:r>
    </w:p>
  </w:footnote>
  <w:footnote w:id="4461">
    <w:p w14:paraId="3B267CCF" w14:textId="77777777" w:rsidR="0013116F" w:rsidRDefault="0013116F" w:rsidP="001D49D4">
      <w:pPr>
        <w:pStyle w:val="a9"/>
      </w:pPr>
      <w:r>
        <w:rPr>
          <w:rStyle w:val="ab"/>
        </w:rPr>
        <w:footnoteRef/>
      </w:r>
      <w:r>
        <w:rPr>
          <w:rtl/>
        </w:rPr>
        <w:t xml:space="preserve"> אע"ג דאומר הלוה ישבע לי, ש"ך (סק"ג).</w:t>
      </w:r>
    </w:p>
  </w:footnote>
  <w:footnote w:id="4462">
    <w:p w14:paraId="4E8EEFE8" w14:textId="77777777" w:rsidR="0013116F" w:rsidRDefault="0013116F" w:rsidP="001D49D4">
      <w:pPr>
        <w:pStyle w:val="a9"/>
      </w:pPr>
      <w:r>
        <w:rPr>
          <w:rStyle w:val="ab"/>
        </w:rPr>
        <w:footnoteRef/>
      </w:r>
      <w:r>
        <w:rPr>
          <w:rtl/>
        </w:rPr>
        <w:t xml:space="preserve"> קמ"ל דלא תימא כיון דאיכא ריעותא לפנינו שהרי מודה שנפרע, יצטרך לישבע אע"פ שיש בו נאמנות, סמ"ע (סק"ב).</w:t>
      </w:r>
    </w:p>
  </w:footnote>
  <w:footnote w:id="4463">
    <w:p w14:paraId="5C9687E6" w14:textId="77777777" w:rsidR="0013116F" w:rsidRDefault="0013116F" w:rsidP="001D49D4">
      <w:pPr>
        <w:pStyle w:val="a9"/>
        <w:rPr>
          <w:rtl/>
        </w:rPr>
      </w:pPr>
      <w:r>
        <w:rPr>
          <w:rStyle w:val="ab"/>
        </w:rPr>
        <w:footnoteRef/>
      </w:r>
      <w:r>
        <w:rPr>
          <w:rtl/>
        </w:rPr>
        <w:t xml:space="preserve"> נראה דקמ"ל בזה דס"ל דהדין כן דאע"פ שלא טען הלוה ישבע לי, אנן טענינן ליה כיון דאיכא ריעותא דהודה לו, וכדין הפוגם את שטרו דלקמן בסי' פד (סע' א), משא"כ כשלא הודה שפרעו, וכמו שכתבו הטור והמחבר בר"ס פב, סמ"ע (סק"ג). וכ"כ הב"ח (סע' א). אך הש"ך (סק"ד) חלק עליהם וכתב דכיון דלא איתרע שטרא למה יגרע שטר זה משטר אחר</w:t>
      </w:r>
      <w:r>
        <w:rPr>
          <w:sz w:val="16"/>
          <w:szCs w:val="16"/>
          <w:rtl/>
        </w:rPr>
        <w:t xml:space="preserve"> {שלא טענינן ליה}</w:t>
      </w:r>
      <w:r>
        <w:rPr>
          <w:rtl/>
        </w:rPr>
        <w:t xml:space="preserve">. ועוד, כיון דנאמן במיגו דלהד"ם, כי היכא דבטענת להד"ם לא היה צריך לישבע אא"כ טען הלוה ישבע לי, ה"ה בטענת סיטראי... אלא נראה דהבעל התרומות והטור והמחבר מיירי כשאמר לו הלוה ישבע לי, ואשמועינן דדין שטר זה הוא כשאר שטר...  </w:t>
      </w:r>
    </w:p>
  </w:footnote>
  <w:footnote w:id="4464">
    <w:p w14:paraId="15E85C9F" w14:textId="77777777" w:rsidR="0013116F" w:rsidRDefault="0013116F" w:rsidP="001D49D4">
      <w:pPr>
        <w:pStyle w:val="a9"/>
      </w:pPr>
      <w:r>
        <w:rPr>
          <w:rStyle w:val="ab"/>
        </w:rPr>
        <w:footnoteRef/>
      </w:r>
      <w:r>
        <w:rPr>
          <w:rtl/>
        </w:rPr>
        <w:t xml:space="preserve"> פירוש, אף דהאמינו ליתן לו המעות תחילה, מ"מ כיון שאמר לו ליקח מידו השטר ה"ל לשום על לב שלא יתנם לו אא"כ היה בטוח שיתן לו השטר, סמ"ע (סק"ד).</w:t>
      </w:r>
    </w:p>
  </w:footnote>
  <w:footnote w:id="4465">
    <w:p w14:paraId="0E35FFFB" w14:textId="77777777" w:rsidR="0013116F" w:rsidRDefault="0013116F" w:rsidP="001D49D4">
      <w:pPr>
        <w:pStyle w:val="a9"/>
      </w:pPr>
      <w:r>
        <w:rPr>
          <w:rStyle w:val="ab"/>
        </w:rPr>
        <w:footnoteRef/>
      </w:r>
      <w:r>
        <w:rPr>
          <w:rtl/>
        </w:rPr>
        <w:t xml:space="preserve"> שיאמר כיון שאתה גורם לי היזק בתפיסתך הרי כאילו אתה תופס משלי, ש"ך (סק"ו).</w:t>
      </w:r>
    </w:p>
  </w:footnote>
  <w:footnote w:id="4466">
    <w:p w14:paraId="48A9E6D9" w14:textId="77777777" w:rsidR="0013116F" w:rsidRDefault="0013116F" w:rsidP="001D49D4">
      <w:pPr>
        <w:pStyle w:val="a9"/>
        <w:rPr>
          <w:rtl/>
        </w:rPr>
      </w:pPr>
      <w:r>
        <w:rPr>
          <w:rStyle w:val="ab"/>
        </w:rPr>
        <w:footnoteRef/>
      </w:r>
      <w:r>
        <w:rPr>
          <w:rtl/>
        </w:rPr>
        <w:t xml:space="preserve"> זהו כדעת היש חולקין הנ"ל דס"ל דאע"פ שיגיע היזק להשליח, אפ"ה יכול לומר סיטראי נינהו כיון דנתנם לידו בשם המשלח, משא"כ לסברא הראשונה דס"ל דלא סגי בהכי, שהרי איירי שם בנותן לו בשם המשלח, אפ"ה מצריך שיתנו לידו דוקא על חוב אחר, סמ"ע (סק"ז). אך הב"ח (סע' ב) והש"ך (סק"ז) חלקו עליו, וכתב הש"ך דהאי 'וכן מי שהפקיד' קאי בשיטת הי"א הראשונים שכתבם הר"ב, ומ"ש הר"ב אח"כ וי"א דוקא שבא ליד הנפקד כו', קאי בשיטת היש חולקין </w:t>
      </w:r>
      <w:r>
        <w:rPr>
          <w:sz w:val="16"/>
          <w:szCs w:val="16"/>
          <w:rtl/>
        </w:rPr>
        <w:t>(דהא דין זה דמי שהפקיד ביד אחר ולא הזכיר לו שבשליחות אותו פלוני הפקידו אצלו דלא יוכל לעכבן, הטעם הוא דכיון שהשליח חייב לשלם הרי הוא כאילו תופס משל השליח ולא משל אותו פלוני, וכיון שהתופס יודע האמת שלא נתנם לו בשליחות אותו פלוני, לא יוכל לעכבן שיגיע נזק לשליח ע"י תפיסתו, וכמבואר בהריב"ש (סי' שצג) להדיא ע"ש, וא"כ היינו ממש כדעת הי"א הראשונים שכתב הר"ב)</w:t>
      </w:r>
      <w:r>
        <w:rPr>
          <w:rtl/>
        </w:rPr>
        <w:t xml:space="preserve">. וגם לענין דינא נראה עיקר כסברא הראשונה ודלא כהיש חולקין, וכן נראה מדברי הב"ח ע"ש, וכן משמע בעיר שושן [סעיף א'] </w:t>
      </w:r>
      <w:r>
        <w:rPr>
          <w:sz w:val="16"/>
          <w:szCs w:val="16"/>
          <w:rtl/>
        </w:rPr>
        <w:t xml:space="preserve">(וסברא גדולה היא, דהיאך יוכל זה לתפוס מחבירו ולהזיק לו בתפיסתו בעל כרחו) </w:t>
      </w:r>
      <w:r>
        <w:rPr>
          <w:rtl/>
        </w:rPr>
        <w:t xml:space="preserve">ושוב מצאתי בתשובת מהר"מ בר ברוך </w:t>
      </w:r>
      <w:r>
        <w:rPr>
          <w:sz w:val="16"/>
          <w:szCs w:val="16"/>
          <w:rtl/>
        </w:rPr>
        <w:t xml:space="preserve">(סי' תתיא ד"פ) </w:t>
      </w:r>
      <w:r>
        <w:rPr>
          <w:rtl/>
        </w:rPr>
        <w:t xml:space="preserve">שפסק ג"כ דלא יכול לתפוס ע"ש. ועוד מצאתי תשובת הרא"ש </w:t>
      </w:r>
      <w:r>
        <w:rPr>
          <w:sz w:val="16"/>
          <w:szCs w:val="16"/>
          <w:rtl/>
        </w:rPr>
        <w:t xml:space="preserve">(ריש כלל קו) </w:t>
      </w:r>
      <w:r>
        <w:rPr>
          <w:rtl/>
        </w:rPr>
        <w:t xml:space="preserve">משמע שם כדעת הריב"ש... וגם בתשובת מהר"א ן' ששון </w:t>
      </w:r>
      <w:r>
        <w:rPr>
          <w:sz w:val="16"/>
          <w:szCs w:val="16"/>
          <w:rtl/>
        </w:rPr>
        <w:t xml:space="preserve">(סי' קא) </w:t>
      </w:r>
      <w:r>
        <w:rPr>
          <w:rtl/>
        </w:rPr>
        <w:t xml:space="preserve">כתב דתשובת הרא"ש הנ"ל היינו כדעת הריב"ש ופסק שם כן, וכתב שדבריהם ברורים ע"ש, וכ"כ בתשובת מהר"ר יוסף טראני </w:t>
      </w:r>
      <w:r>
        <w:rPr>
          <w:sz w:val="16"/>
          <w:szCs w:val="16"/>
          <w:rtl/>
        </w:rPr>
        <w:t xml:space="preserve">(ח"א סי' עב וסי' קה) </w:t>
      </w:r>
      <w:r>
        <w:rPr>
          <w:rtl/>
        </w:rPr>
        <w:t xml:space="preserve">שכן דעת הרא"ש בתשובה הנ"ל, וכ"כ עוד מהר"ר חיים בנבנשתי בתשובת מהרי"ט </w:t>
      </w:r>
      <w:r>
        <w:rPr>
          <w:sz w:val="16"/>
          <w:szCs w:val="16"/>
          <w:rtl/>
        </w:rPr>
        <w:t xml:space="preserve">(ח"א סי' קנא) </w:t>
      </w:r>
      <w:r>
        <w:rPr>
          <w:rtl/>
        </w:rPr>
        <w:t>ומהרי"ט שם הסכים עמו בזה... וכן עיקר.</w:t>
      </w:r>
    </w:p>
  </w:footnote>
  <w:footnote w:id="4467">
    <w:p w14:paraId="3909E22F" w14:textId="77777777" w:rsidR="0013116F" w:rsidRDefault="0013116F" w:rsidP="001D49D4">
      <w:pPr>
        <w:pStyle w:val="a9"/>
        <w:rPr>
          <w:rtl/>
        </w:rPr>
      </w:pPr>
      <w:r>
        <w:rPr>
          <w:rStyle w:val="ab"/>
        </w:rPr>
        <w:footnoteRef/>
      </w:r>
      <w:r>
        <w:rPr>
          <w:rtl/>
        </w:rPr>
        <w:t xml:space="preserve"> כבר כתבתי לעיל (סק"ז) דהרא"ש והריב"ש פליגי על זה... וע"ש בריב"ש (סי' שצג) מבואר להדיא דאין חילוק בין הפקידו בידו או שתפסו מידו בעל כרחו, אלא לעולם שהתופס מודה להנתפס ואם יתפסנו יהיה הנתפס חייב לשלם, לא יוכל לתפוס, כי איך יגרום לו נזק בתפיסתו, אבל היכא שהתופס אומר שכדין תפסו ושהנתפס מתחייב בהודאת פיו ואם יודה לדברי התופס יהיה פטור, אז יוכל לתפוס, ע"ש, וכן עיקר, ש"ך (סק"ח).</w:t>
      </w:r>
    </w:p>
  </w:footnote>
  <w:footnote w:id="4468">
    <w:p w14:paraId="4B36E643" w14:textId="77777777" w:rsidR="0013116F" w:rsidRDefault="0013116F" w:rsidP="001D49D4">
      <w:pPr>
        <w:pStyle w:val="a9"/>
        <w:rPr>
          <w:rtl/>
        </w:rPr>
      </w:pPr>
      <w:r>
        <w:rPr>
          <w:rStyle w:val="ab"/>
        </w:rPr>
        <w:footnoteRef/>
      </w:r>
      <w:r>
        <w:rPr>
          <w:rtl/>
        </w:rPr>
        <w:t xml:space="preserve"> אבל אם טוען ואומר שזה תפסו ממנו בכח ולא פשע, נשבע גם הוא ונפטר, עיר שושן (סע' א). וכן הסכים הש"ך (סק"ט) שכיון שהשומר יכול לפטור עצמו בטענה של אמת שתפסו ממנו באונס, א"כ אינו גורם לו נזק בתפיסתו.</w:t>
      </w:r>
    </w:p>
  </w:footnote>
  <w:footnote w:id="4469">
    <w:p w14:paraId="142C733B" w14:textId="77777777" w:rsidR="0013116F" w:rsidRDefault="0013116F" w:rsidP="001D49D4">
      <w:pPr>
        <w:pStyle w:val="a9"/>
      </w:pPr>
      <w:r>
        <w:rPr>
          <w:rStyle w:val="ab"/>
        </w:rPr>
        <w:footnoteRef/>
      </w:r>
      <w:r>
        <w:rPr>
          <w:rtl/>
        </w:rPr>
        <w:t xml:space="preserve"> </w:t>
      </w:r>
      <w:r>
        <w:rPr>
          <w:rFonts w:hint="cs"/>
          <w:rtl/>
        </w:rPr>
        <w:t>תוספת מהדורת הש"ך.</w:t>
      </w:r>
    </w:p>
  </w:footnote>
  <w:footnote w:id="4470">
    <w:p w14:paraId="084D5E93" w14:textId="77777777" w:rsidR="0013116F" w:rsidRDefault="0013116F" w:rsidP="001D49D4">
      <w:pPr>
        <w:pStyle w:val="a9"/>
        <w:rPr>
          <w:rtl/>
        </w:rPr>
      </w:pPr>
      <w:r>
        <w:rPr>
          <w:rStyle w:val="ab"/>
        </w:rPr>
        <w:footnoteRef/>
      </w:r>
      <w:r>
        <w:rPr>
          <w:rtl/>
        </w:rPr>
        <w:t xml:space="preserve"> פירוש, פשע בשמירתו, דאילו שמרו כראוי לא היה זה תופסו. והריטב"א (סי' קפה) כתב דין זה אשואל, וכתב הב"י עליו (סי' פג מחו' ב) דבלא פשע נמי השואל חייב באונסין, וכמ"ש בדרכ"מ (אות א) לשונו ע"ש. ומור"ם כתב הדין לענין מפקיד ונפקד דאינו חייב המפקיד אא"כ פשע, ונלמד ממנו ממילא לדין שואל שחייב להראשון אפילו בלא פשע, סמ"ע (סק"ח). </w:t>
      </w:r>
    </w:p>
  </w:footnote>
  <w:footnote w:id="4471">
    <w:p w14:paraId="1B31F376" w14:textId="77777777" w:rsidR="0013116F" w:rsidRDefault="0013116F" w:rsidP="001D49D4">
      <w:pPr>
        <w:pStyle w:val="a9"/>
      </w:pPr>
      <w:r>
        <w:rPr>
          <w:rStyle w:val="ab"/>
        </w:rPr>
        <w:footnoteRef/>
      </w:r>
      <w:r>
        <w:rPr>
          <w:rtl/>
        </w:rPr>
        <w:t xml:space="preserve"> פירוש, וסבר שהוא נאמן בעיניו, דאילו אמר לו ליתנם בפני עדים, אף על גב דלא אמר ליה שיקח השטר, היה חייב השליח, דאילו מסרו בפני עדים לא היה נאמן לומר סיטראי נינהו במיגו דהחזרתי לך או להד"ם, סמ"ע (סק"ח).</w:t>
      </w:r>
    </w:p>
  </w:footnote>
  <w:footnote w:id="4472">
    <w:p w14:paraId="6655C956" w14:textId="77777777" w:rsidR="0013116F" w:rsidRDefault="0013116F" w:rsidP="001D49D4">
      <w:pPr>
        <w:pStyle w:val="a9"/>
      </w:pPr>
      <w:r>
        <w:rPr>
          <w:rStyle w:val="ab"/>
        </w:rPr>
        <w:footnoteRef/>
      </w:r>
      <w:r>
        <w:rPr>
          <w:rtl/>
        </w:rPr>
        <w:t xml:space="preserve"> </w:t>
      </w:r>
      <w:r>
        <w:rPr>
          <w:rFonts w:hint="cs"/>
          <w:rtl/>
        </w:rPr>
        <w:t>סימן – מסקי ביה מִלוה ב'. וכן - מסקי ביה ב' מילוות.</w:t>
      </w:r>
    </w:p>
  </w:footnote>
  <w:footnote w:id="4473">
    <w:p w14:paraId="0419CF6C" w14:textId="77777777" w:rsidR="0013116F" w:rsidRDefault="0013116F" w:rsidP="001D49D4">
      <w:pPr>
        <w:pStyle w:val="a9"/>
      </w:pPr>
      <w:r>
        <w:rPr>
          <w:rStyle w:val="ab"/>
        </w:rPr>
        <w:footnoteRef/>
      </w:r>
      <w:r>
        <w:rPr>
          <w:rtl/>
        </w:rPr>
        <w:t xml:space="preserve"> </w:t>
      </w:r>
      <w:r>
        <w:rPr>
          <w:rFonts w:hint="cs"/>
          <w:rtl/>
        </w:rPr>
        <w:t>וכתב הב"י וז"ל-</w:t>
      </w:r>
      <w:r>
        <w:rPr>
          <w:rtl/>
        </w:rPr>
        <w:t xml:space="preserve"> נ"ל שדעת הרמב"ן אין חולק עליה דלישנא דגמרא (שבועות מב.) הכי דייק 'והני מילי דפרעיה באפי סהדי' דמשמע שני עדים, וכן נראה ממש"כ רבינו בסימן ל' (ס"ח) בשם בעל התרומות </w:t>
      </w:r>
      <w:r>
        <w:rPr>
          <w:sz w:val="16"/>
          <w:szCs w:val="16"/>
          <w:rtl/>
        </w:rPr>
        <w:t>(שאפילו לא פרעו בפני שניהם כאחד אלא פרעו בפני זה והודה בפני חבירו שפרעו או הודה בפני זה וחזר והודה בפני זה מצטרפין ותו לא מהימן לומר סטראי נינהו, משמע דכל שלא בפני שנים יכול לומר סטראי נינהו אע"פ שפרעו בפני עד אחד)</w:t>
      </w:r>
      <w:r>
        <w:rPr>
          <w:rtl/>
        </w:rPr>
        <w:t xml:space="preserve">. אח"כ מצאתי שכתב בעל התרומות שער י"ט (ח"א סי' ג) ויש לעיין אי אתי חד סהדא ומסהיד דפרעיה לוה למלוה זוזי באפיה בתורת פרעון ולא אדכר ליה דמההוא שטר פרעיה ואיהו טעין סטראי נינהו מהו </w:t>
      </w:r>
      <w:r>
        <w:rPr>
          <w:sz w:val="16"/>
          <w:szCs w:val="16"/>
          <w:rtl/>
        </w:rPr>
        <w:t>(מי אמרינן דוקא מתרי סהדי איתרע אבל מחד סהדא לא איתרע ומשתבע דסטראי נינהו ושקיל או דילמא הוה ליה כנסכא דרבי אבא (שבועות לב:) דאמר לישלם וכו' הכא נמי אמרינן ליתרע לשטריה ליכא תרי סהדי לא איתרע איכא חד סהדא לישתבע דסיטראי נינהו הא קא מודה ושאלתי את פי הרמב"ן והשיב לי בודאי זה הדין אינו דומה לנסכא דרבי אבא משום דנסכא דרבי אבא כיון דמסהיד דנסכא ממש אית ליה גביה לשבועה קא אתי ושבועה מחייב ליה וכי לא מכחיש ליה הוה מחוייב שבועה ואינו יכול לישבע אבל האי כי אתי מעיקרא להעיד על שטרו שהוא פרוע קא אתי ועד אחד מעיד שהוא פרוע לא מחייב שבועה דאורייתא אלא שבועת תקנה דקיימא לן גבי שבועה דרבנן דהיכא דלא מצי לאשתבועי שקיל בלא שבועה דהא איפסיק בגמרא (שבועות מח:) הבו דלא לוסיף עלה דרב ושמואל וכל שכן הכא דמצי משתבע דאף על גב דלא מצי למיעבד בטכסיס דידיה הא מצי משתבע דלא פרע הלכך דבר ברור הוא דליכא בהאי דינא דין נסכא דרבי אבא כלל אלא כי מחמרת בה משתבע ושקיל הוא)</w:t>
      </w:r>
      <w:r>
        <w:rPr>
          <w:rtl/>
        </w:rPr>
        <w:t xml:space="preserve">, ומסתברא לן דליכא עליה ריעות שטרא ולא מחייב שבועה על פי העד כלל </w:t>
      </w:r>
      <w:r>
        <w:rPr>
          <w:sz w:val="16"/>
          <w:szCs w:val="16"/>
          <w:rtl/>
        </w:rPr>
        <w:t>(דכי תקינו רבנן עד אחד מעיד ששטר שבידו פרוע נשבע כדי להפיס דעתו של בעל הבית (כתובות פז:) הוא, הא היכא דאין העד מעיד בפירוש שהשטר הוא פרוע מפוייס ועומד הוא ולא מסייע ליה עד כלל וכל דלאו דינא הוא אלא תקנתא אין דנין בה להחמיר אלא להקל)</w:t>
      </w:r>
      <w:r>
        <w:rPr>
          <w:rtl/>
        </w:rPr>
        <w:t xml:space="preserve"> עכ"ל.</w:t>
      </w:r>
    </w:p>
  </w:footnote>
  <w:footnote w:id="4474">
    <w:p w14:paraId="6D371A47" w14:textId="77777777" w:rsidR="0013116F" w:rsidRDefault="0013116F" w:rsidP="001D49D4">
      <w:pPr>
        <w:pStyle w:val="a9"/>
        <w:rPr>
          <w:rtl/>
        </w:rPr>
      </w:pPr>
      <w:r>
        <w:rPr>
          <w:rStyle w:val="ab"/>
        </w:rPr>
        <w:footnoteRef/>
      </w:r>
      <w:r>
        <w:rPr>
          <w:rtl/>
        </w:rPr>
        <w:t xml:space="preserve"> הרא"ש (שם) והר"ן (שם) דחו את דברי הרי"ף, וכתב הר"ן- מחוורתא דהאי דינא דהאי שטרא לא אגבויי מגבינן ביה ולא מיקרע קרעינן ליה, כדאמרינן בשטרא ריעא פרק אלו נערות (כתובות לו:), ובפרק הכותב (פה.) נמי אמרינן כגון אבא מר ברי קרענא שטרא אפומיה, קרענא סלקא דעתך, אלא אימא מרענא, ומהני משמע דכל היכא דדיינינן בשטרא ריעא לא מגבינן ביה ולא קרעינן ליה, וכיון דלא קרעינן ליה לא אמרינן ללוה דלישתבע היסת כמו שכתב הרי"ף, שאינו בדין שנשביע אותו ואכתי לנקוט מלוה שטרא עילויה, אלא אם רצה מלוה שישבע לוה היסת יחזיר לו שטרו ומשבעינן ליה.</w:t>
      </w:r>
    </w:p>
  </w:footnote>
  <w:footnote w:id="4475">
    <w:p w14:paraId="75F810E6" w14:textId="77777777" w:rsidR="0013116F" w:rsidRDefault="0013116F" w:rsidP="001D49D4">
      <w:pPr>
        <w:pStyle w:val="a9"/>
        <w:rPr>
          <w:rtl/>
        </w:rPr>
      </w:pPr>
      <w:r>
        <w:rPr>
          <w:rStyle w:val="ab"/>
        </w:rPr>
        <w:footnoteRef/>
      </w:r>
      <w:r>
        <w:rPr>
          <w:rtl/>
        </w:rPr>
        <w:t xml:space="preserve"> ואי תפיש לא מפקינן מיניה, טור. וכתב הב"י דהיא הנפקותא היוצאת מהדין הנזכר דלא גבינן ביה ולא קרעינן ליה.</w:t>
      </w:r>
      <w:r>
        <w:rPr>
          <w:color w:val="00B0F0"/>
          <w:rtl/>
        </w:rPr>
        <w:t xml:space="preserve"> (וכ"פ הרמ"א)</w:t>
      </w:r>
    </w:p>
  </w:footnote>
  <w:footnote w:id="4476">
    <w:p w14:paraId="48AD322D" w14:textId="77777777" w:rsidR="0013116F" w:rsidRDefault="0013116F" w:rsidP="001D49D4">
      <w:pPr>
        <w:pStyle w:val="a9"/>
        <w:rPr>
          <w:rtl/>
        </w:rPr>
      </w:pPr>
      <w:r>
        <w:rPr>
          <w:rStyle w:val="ab"/>
        </w:rPr>
        <w:footnoteRef/>
      </w:r>
      <w:r>
        <w:rPr>
          <w:rtl/>
        </w:rPr>
        <w:t xml:space="preserve"> רב האי </w:t>
      </w:r>
      <w:r>
        <w:rPr>
          <w:sz w:val="16"/>
          <w:szCs w:val="16"/>
          <w:rtl/>
        </w:rPr>
        <w:t xml:space="preserve">(כ"כ הרי"ף והטור בשמם) </w:t>
      </w:r>
      <w:r>
        <w:rPr>
          <w:rtl/>
        </w:rPr>
        <w:t xml:space="preserve">רב שרירא </w:t>
      </w:r>
      <w:r>
        <w:rPr>
          <w:sz w:val="16"/>
          <w:szCs w:val="16"/>
          <w:rtl/>
        </w:rPr>
        <w:t xml:space="preserve">(כ"כ הרי"ף והטור בשמם) </w:t>
      </w:r>
      <w:r>
        <w:rPr>
          <w:rtl/>
        </w:rPr>
        <w:t xml:space="preserve">רי"ף </w:t>
      </w:r>
      <w:r>
        <w:rPr>
          <w:sz w:val="16"/>
          <w:szCs w:val="16"/>
          <w:rtl/>
        </w:rPr>
        <w:t>(פרק שבועת הדיינים כא:-כב.)</w:t>
      </w:r>
      <w:r>
        <w:rPr>
          <w:rtl/>
        </w:rPr>
        <w:t xml:space="preserve"> ורמב"ם </w:t>
      </w:r>
      <w:r>
        <w:rPr>
          <w:sz w:val="16"/>
          <w:szCs w:val="16"/>
          <w:rtl/>
        </w:rPr>
        <w:t>(פי"ד מהל' מלוה ה"ט)</w:t>
      </w:r>
      <w:r>
        <w:rPr>
          <w:rtl/>
        </w:rPr>
        <w:t>.</w:t>
      </w:r>
    </w:p>
  </w:footnote>
  <w:footnote w:id="4477">
    <w:p w14:paraId="376AD478" w14:textId="77777777" w:rsidR="0013116F" w:rsidRDefault="0013116F" w:rsidP="001D49D4">
      <w:pPr>
        <w:pStyle w:val="a9"/>
        <w:rPr>
          <w:rtl/>
        </w:rPr>
      </w:pPr>
      <w:r>
        <w:rPr>
          <w:rStyle w:val="ab"/>
        </w:rPr>
        <w:footnoteRef/>
      </w:r>
      <w:r>
        <w:rPr>
          <w:rtl/>
        </w:rPr>
        <w:t xml:space="preserve"> ונשבע הלוה היסת ונפטר, רב האי ורב שרירא (כ"כ הטור בשמם). </w:t>
      </w:r>
    </w:p>
  </w:footnote>
  <w:footnote w:id="4478">
    <w:p w14:paraId="1865DD8E" w14:textId="77777777" w:rsidR="0013116F" w:rsidRDefault="0013116F" w:rsidP="001D49D4">
      <w:pPr>
        <w:pStyle w:val="a9"/>
        <w:rPr>
          <w:rtl/>
        </w:rPr>
      </w:pPr>
      <w:r>
        <w:rPr>
          <w:rStyle w:val="ab"/>
        </w:rPr>
        <w:footnoteRef/>
      </w:r>
      <w:r>
        <w:rPr>
          <w:rtl/>
        </w:rPr>
        <w:t xml:space="preserve"> בב"י כתב על דבריהם דהכי נקיטינן. וכתב הדרכ"מ (סק"ג) דאין דבריו נראין כי מאחר שהרא"ש והר"ן בתראי דחו דבריהם והסכימו לדברי התוספות אין לנו אלא דבריהם ואין מוציאין מיד התופס.</w:t>
      </w:r>
    </w:p>
  </w:footnote>
  <w:footnote w:id="4479">
    <w:p w14:paraId="16F161E3" w14:textId="77777777" w:rsidR="0013116F" w:rsidRDefault="0013116F" w:rsidP="001D49D4">
      <w:pPr>
        <w:pStyle w:val="a9"/>
        <w:rPr>
          <w:rtl/>
        </w:rPr>
      </w:pPr>
      <w:r>
        <w:rPr>
          <w:rStyle w:val="ab"/>
        </w:rPr>
        <w:footnoteRef/>
      </w:r>
      <w:r>
        <w:rPr>
          <w:rtl/>
        </w:rPr>
        <w:t xml:space="preserve"> היינו היסת, ש"ך (סקט"ו).</w:t>
      </w:r>
    </w:p>
  </w:footnote>
  <w:footnote w:id="4480">
    <w:p w14:paraId="4544F803" w14:textId="77777777" w:rsidR="0013116F" w:rsidRDefault="0013116F" w:rsidP="001D49D4">
      <w:pPr>
        <w:pStyle w:val="a9"/>
      </w:pPr>
      <w:r>
        <w:rPr>
          <w:rStyle w:val="ab"/>
        </w:rPr>
        <w:footnoteRef/>
      </w:r>
      <w:r>
        <w:rPr>
          <w:rtl/>
        </w:rPr>
        <w:t xml:space="preserve"> ודע דהא דאינו נאמן לומר 'על חוב אחר קבלתי' כשנותנן בעדים היינו דוקא כשהלוה כופר באותו חוב האחר, אבל אם אינו כופר רשות ביד המלוה לתפוס הפרעון על איזה חוב שירצה </w:t>
      </w:r>
      <w:r>
        <w:rPr>
          <w:sz w:val="16"/>
          <w:szCs w:val="16"/>
          <w:rtl/>
        </w:rPr>
        <w:t>(כמו שיתבאר לקמן סי' פג וע"ש חילוקים בזה)</w:t>
      </w:r>
      <w:r>
        <w:rPr>
          <w:rtl/>
        </w:rPr>
        <w:t>. ואם אמר לו המלוה אל תפרעני אלא בפני פלוני ופלוני ואזיל ופרעו לפני עדים אחרים יכול לומר סיטראי נינהו אע"ג דפרעו בעדים כדלקמן סי' ע</w:t>
      </w:r>
      <w:r>
        <w:rPr>
          <w:sz w:val="16"/>
          <w:szCs w:val="16"/>
          <w:rtl/>
        </w:rPr>
        <w:t xml:space="preserve"> (אות ה)</w:t>
      </w:r>
      <w:r>
        <w:rPr>
          <w:rtl/>
        </w:rPr>
        <w:t xml:space="preserve">, דרכ"מ </w:t>
      </w:r>
      <w:r>
        <w:rPr>
          <w:sz w:val="16"/>
          <w:szCs w:val="16"/>
          <w:rtl/>
        </w:rPr>
        <w:t>(אות ב)</w:t>
      </w:r>
      <w:r>
        <w:rPr>
          <w:rtl/>
        </w:rPr>
        <w:t>.</w:t>
      </w:r>
    </w:p>
  </w:footnote>
  <w:footnote w:id="4481">
    <w:p w14:paraId="01EB6DED" w14:textId="77777777" w:rsidR="0013116F" w:rsidRDefault="0013116F" w:rsidP="001D49D4">
      <w:pPr>
        <w:pStyle w:val="a9"/>
        <w:rPr>
          <w:rtl/>
        </w:rPr>
      </w:pPr>
      <w:r>
        <w:rPr>
          <w:rStyle w:val="ab"/>
        </w:rPr>
        <w:footnoteRef/>
      </w:r>
      <w:r>
        <w:rPr>
          <w:rtl/>
        </w:rPr>
        <w:t xml:space="preserve"> רי"ף</w:t>
      </w:r>
      <w:r>
        <w:rPr>
          <w:sz w:val="16"/>
          <w:szCs w:val="16"/>
          <w:rtl/>
        </w:rPr>
        <w:t xml:space="preserve"> (כ"כ הר"ן בשמו [שבועות כב.])</w:t>
      </w:r>
      <w:r>
        <w:rPr>
          <w:rtl/>
        </w:rPr>
        <w:t xml:space="preserve"> ר"י מיגאש </w:t>
      </w:r>
      <w:r>
        <w:rPr>
          <w:sz w:val="16"/>
          <w:szCs w:val="16"/>
          <w:rtl/>
        </w:rPr>
        <w:t>(שבועות מב. ד"ה ההוא)</w:t>
      </w:r>
      <w:r>
        <w:rPr>
          <w:rtl/>
        </w:rPr>
        <w:t xml:space="preserve"> רמב"ם </w:t>
      </w:r>
      <w:r>
        <w:rPr>
          <w:sz w:val="16"/>
          <w:szCs w:val="16"/>
          <w:rtl/>
        </w:rPr>
        <w:t xml:space="preserve">(פי"ד מהל' מלוה ה"ט) </w:t>
      </w:r>
      <w:r>
        <w:rPr>
          <w:rtl/>
        </w:rPr>
        <w:t xml:space="preserve">בעל התרומות </w:t>
      </w:r>
      <w:r>
        <w:rPr>
          <w:sz w:val="16"/>
          <w:szCs w:val="16"/>
          <w:rtl/>
        </w:rPr>
        <w:t>(שער יט ח"א סי' ב)</w:t>
      </w:r>
      <w:r>
        <w:rPr>
          <w:rtl/>
        </w:rPr>
        <w:t xml:space="preserve"> ומהר"ם </w:t>
      </w:r>
      <w:r>
        <w:rPr>
          <w:sz w:val="16"/>
          <w:szCs w:val="16"/>
          <w:rtl/>
        </w:rPr>
        <w:t>(כ"כ הה"מ בשמו פי"ד ממלוה ולוה שם)</w:t>
      </w:r>
      <w:r>
        <w:rPr>
          <w:rtl/>
        </w:rPr>
        <w:t>.</w:t>
      </w:r>
    </w:p>
  </w:footnote>
  <w:footnote w:id="4482">
    <w:p w14:paraId="3FE4C09D" w14:textId="77777777" w:rsidR="0013116F" w:rsidRDefault="0013116F" w:rsidP="001D49D4">
      <w:pPr>
        <w:pStyle w:val="a9"/>
        <w:rPr>
          <w:rtl/>
        </w:rPr>
      </w:pPr>
      <w:r>
        <w:rPr>
          <w:rStyle w:val="ab"/>
        </w:rPr>
        <w:footnoteRef/>
      </w:r>
      <w:r>
        <w:rPr>
          <w:rtl/>
        </w:rPr>
        <w:t xml:space="preserve"> אבל אם אמר בעל השטר לא היו דברים מעולם הוחזק כפרן ובטל השטר, רמב"ם</w:t>
      </w:r>
      <w:r>
        <w:rPr>
          <w:sz w:val="16"/>
          <w:szCs w:val="16"/>
          <w:rtl/>
        </w:rPr>
        <w:t xml:space="preserve"> (שם, הביא דבריו הטור, וכתב הב"י דפשוט הוא)</w:t>
      </w:r>
      <w:r>
        <w:rPr>
          <w:rtl/>
        </w:rPr>
        <w:t xml:space="preserve">. וכתב בעל התרומות </w:t>
      </w:r>
      <w:r>
        <w:rPr>
          <w:sz w:val="16"/>
          <w:szCs w:val="16"/>
          <w:rtl/>
        </w:rPr>
        <w:t xml:space="preserve">(שער יט שם) </w:t>
      </w:r>
      <w:r>
        <w:rPr>
          <w:rtl/>
        </w:rPr>
        <w:t>שכשהוחזק המלוה כפרן נשבע הלוה היסת ונפטר ואיכא מאן דאמר שכיון שהוחזק כפרן אין על הלוה שום שבועה כלל. עכ"ל. וכתב הש"ך (סק"כ) דנשבע הלוה היסת ונפטר, כסברא ראשונה שהביא בעל התרומות, עיין לקמן.</w:t>
      </w:r>
    </w:p>
  </w:footnote>
  <w:footnote w:id="4483">
    <w:p w14:paraId="45BE249F" w14:textId="77777777" w:rsidR="0013116F" w:rsidRDefault="0013116F" w:rsidP="001D49D4">
      <w:pPr>
        <w:pStyle w:val="a9"/>
      </w:pPr>
      <w:r>
        <w:rPr>
          <w:rStyle w:val="ab"/>
        </w:rPr>
        <w:footnoteRef/>
      </w:r>
      <w:r>
        <w:rPr>
          <w:rtl/>
        </w:rPr>
        <w:t xml:space="preserve"> וכתב בעל התרומות בשער י"ט (שם) דלדעת ר"י הלוי כי פרעו בעדים וטעין במתנה יהבם ניהלי או סטראי נינהו נאמן ויטול בלא שבועה אם יש נאמנות בשטרו, ומשתבע היסת בתר דפרעיה אי קא תבע ליה לוה דממונא שקל מיניה שלא כדין, ואם אין נאמנות בשטרו ישבע עליו ויטול.</w:t>
      </w:r>
    </w:p>
  </w:footnote>
  <w:footnote w:id="4484">
    <w:p w14:paraId="2A8FD396" w14:textId="77777777" w:rsidR="0013116F" w:rsidRDefault="0013116F" w:rsidP="001D49D4">
      <w:pPr>
        <w:pStyle w:val="a9"/>
        <w:rPr>
          <w:rtl/>
        </w:rPr>
      </w:pPr>
      <w:r>
        <w:rPr>
          <w:rStyle w:val="ab"/>
        </w:rPr>
        <w:footnoteRef/>
      </w:r>
      <w:r>
        <w:rPr>
          <w:rtl/>
        </w:rPr>
        <w:t xml:space="preserve"> גם הרא"ש כתב כן בשמו </w:t>
      </w:r>
      <w:r>
        <w:rPr>
          <w:sz w:val="16"/>
          <w:szCs w:val="16"/>
          <w:rtl/>
        </w:rPr>
        <w:t xml:space="preserve">{של הר"י מיגאש} </w:t>
      </w:r>
      <w:r>
        <w:rPr>
          <w:rtl/>
        </w:rPr>
        <w:t>בפרק שבועת הדיינים (שם) וכתב שלמד כן מדאמרינן בפרק שבועת העדות (לד.) מנה מניתי לך בפני פלוני ופלוני, ועדים רואים אותו מבחוץ, ואמרינן והלה מה טוען, אי דקאמר במתנה נתנם לי כי עדים רואים אותו מאי הוי, אלמא אף על גב דאיכא עדים דיהיב דמי קמייהו כיון דלא ידעי לשם מה נתנם לו מהימן לומר לשם מתנה נתנם לי, ואין לומר דהתם להחזיק והכא להוציא, דהכא נמי לאו להוציא הוא דהני סהדי לאו אגופא דשטרא מסהדי דפריע הוא אלא השטר במקומו עומד ואדמי בעלמא דיהיב באנפייהו קא מסהדי ולא ידעי לשום מה יהבינהו ניהליה, הלכך השטר במקומו עומד לגבות ועל המעות מהימן במגו. והרמב"ן (שבועות מב. ד"ה כתב) לא הודה לו דמנלן דמהימן לומר במתנה נתנם לי עד דמהימנינן ליה לומר סטראי נינהו במגו דבמתנה נתנם לי, אדרבה גריעא טענת מתנה מטענת סטראי, דאדם יותר ברצון פורע חובותיו ממה שיתן שלו במתנה, ולא דמי לההיא דשבועת העדות דהתם לא היה חייב לו תחלה כלום, ועל המעות שנתן לו חלוקין - המוציא מחבירו עליו הראיה, אבל הכא שהיה חייב לו מעות ויהיב לו מעות בסתם בפני עדים כיון דלא מהימן לומר סטראי כל שכן דלא מהימן לומר במתנה נתנם לי, דודאי לשם פרעון השטר נתנם, ונראין דבריו, דמתנה לא שכיחא וגריעא טענת מתנה מטענת סטראי. עכ"ל הרא"ש. וגם הר"ן (שם) כתב שאין דבריהם</w:t>
      </w:r>
      <w:r>
        <w:rPr>
          <w:sz w:val="16"/>
          <w:szCs w:val="16"/>
          <w:rtl/>
        </w:rPr>
        <w:t xml:space="preserve"> {של הרי"ף ור"י מיגאש}</w:t>
      </w:r>
      <w:r>
        <w:rPr>
          <w:rtl/>
        </w:rPr>
        <w:t xml:space="preserve"> מכוונין.</w:t>
      </w:r>
    </w:p>
  </w:footnote>
  <w:footnote w:id="4485">
    <w:p w14:paraId="6AB4E394" w14:textId="77777777" w:rsidR="0013116F" w:rsidRDefault="0013116F" w:rsidP="001D49D4">
      <w:pPr>
        <w:pStyle w:val="a9"/>
        <w:rPr>
          <w:rtl/>
        </w:rPr>
      </w:pPr>
      <w:r>
        <w:rPr>
          <w:rStyle w:val="ab"/>
        </w:rPr>
        <w:footnoteRef/>
      </w:r>
      <w:r>
        <w:rPr>
          <w:rtl/>
        </w:rPr>
        <w:t xml:space="preserve"> וה"ה אם יש ביד הלוה כתיבת יד המלוה שקיבל ממנו מעות, אינו נאמן לומר סיטראי נינהו, דהודאת בע"ד כמאה עדים דמי, ואפילו לענין נאמנות סתם כמו שכתבו הטור והמחבר בסימן ע"א סעיף ט', אם לא שהאמינהו כשני עדים וכמ"ש, סמ"ע (סקי"א).</w:t>
      </w:r>
    </w:p>
  </w:footnote>
  <w:footnote w:id="4486">
    <w:p w14:paraId="388B868C" w14:textId="77777777" w:rsidR="0013116F" w:rsidRDefault="0013116F" w:rsidP="001D49D4">
      <w:pPr>
        <w:pStyle w:val="a9"/>
        <w:rPr>
          <w:rtl/>
        </w:rPr>
      </w:pPr>
      <w:r>
        <w:rPr>
          <w:rStyle w:val="ab"/>
        </w:rPr>
        <w:footnoteRef/>
      </w:r>
      <w:r>
        <w:rPr>
          <w:rtl/>
        </w:rPr>
        <w:t xml:space="preserve"> עיין בתשובת מהרשד"ם [חו"מ] סי' נ"א שרוצה לומר דדוקא בסך השטר ולא פחות. ולא נהירא לפע"ד. גם מדברי בעל התרומות שער ס"ו [שם] ומדברי הטור והמחבר לעיל סימן ל' סעיף ח' לא משמע כן, ע"ש, ש"ך (סקי"ב).</w:t>
      </w:r>
    </w:p>
  </w:footnote>
  <w:footnote w:id="4487">
    <w:p w14:paraId="5BB58445" w14:textId="77777777" w:rsidR="0013116F" w:rsidRDefault="0013116F" w:rsidP="001D49D4">
      <w:pPr>
        <w:pStyle w:val="a9"/>
        <w:rPr>
          <w:rtl/>
        </w:rPr>
      </w:pPr>
      <w:r>
        <w:rPr>
          <w:rStyle w:val="ab"/>
        </w:rPr>
        <w:footnoteRef/>
      </w:r>
      <w:r>
        <w:rPr>
          <w:rtl/>
        </w:rPr>
        <w:t xml:space="preserve"> ונשבע הלוה היסת ונפטר. ועיין לעיל סימן ל' [סעיף ח'] מ"ש עוד מדיני סיטראי, ש"ך (סקי"ד).</w:t>
      </w:r>
    </w:p>
  </w:footnote>
  <w:footnote w:id="4488">
    <w:p w14:paraId="5DA03BFB" w14:textId="77777777" w:rsidR="0013116F" w:rsidRDefault="0013116F" w:rsidP="001D49D4">
      <w:pPr>
        <w:pStyle w:val="a9"/>
        <w:rPr>
          <w:rtl/>
        </w:rPr>
      </w:pPr>
      <w:r>
        <w:rPr>
          <w:rStyle w:val="ab"/>
        </w:rPr>
        <w:footnoteRef/>
      </w:r>
      <w:r>
        <w:rPr>
          <w:rtl/>
        </w:rPr>
        <w:t xml:space="preserve"> וכיון דלא קרעינן ליה לא אמרינן ללוה דלישתבע היסת, שאינו בדין שנשביע אותו ואכתי לינקוט מלוה שטרא עילויה, אלא אם רצה מלוה שישבע לוה היסת יחזיר לו שטרו ומשבעינן ליה, כ"כ הר"ן (שבועות כד: מדפה"ר) ומביאו ב"י (סע' ג). ועיין מה שכתבתי לקמן סי' עה סקפ"ה-פו, ור"ס פב סק"ד, ש"ך (סקט"ז).</w:t>
      </w:r>
    </w:p>
  </w:footnote>
  <w:footnote w:id="4489">
    <w:p w14:paraId="672A021E" w14:textId="77777777" w:rsidR="0013116F" w:rsidRDefault="0013116F" w:rsidP="001D49D4">
      <w:pPr>
        <w:pStyle w:val="a9"/>
      </w:pPr>
      <w:r>
        <w:rPr>
          <w:rStyle w:val="ab"/>
        </w:rPr>
        <w:footnoteRef/>
      </w:r>
      <w:r>
        <w:rPr>
          <w:rtl/>
        </w:rPr>
        <w:t xml:space="preserve"> וישבע הלוה היסת ויפטר. ואיכא מאן דאמר שאחר שהוחזק כפרן אין על הלוה שום שבועה כלל, עכ"ל בעה"ת (שער י"ט ח"א ס"ב) ומביאו ב"י (סע' ג). וכתב בספר גדולי תרומה [שם] וז"ל, לא ידעתי היאך מביא הסברא הראשונה בסתם כאילו היא יותר נכונה, והאחרת בשם יש אומרים, כי כפי הנראה הדין עם היש אומרים, דהא בסתם הוחזק כפרן דעלמא אמרינן דאין על שכנגדו שבועה כלל... עכ"ל. ואין דבריו נכונים לפע"ד... ולא קשיא מסתם הוחזק כפרן דעלמא (דקי"ל לקמן סי' עט סע' א וסע' ח) דאין על שכנגדו שבועה כלל, דהיינו דוקא כשהוחזק כפרן לאותו ממון, אבל הכא שטוען שחייב לו עוד מצד אחר, הרי זה ממון אחר, ובהדיא אמרינן בש"ס (ב"מ יז.) ופוסקים ובטור ומחבר לקמן סי' עט סע' ה' דהוחזק כפרן לממון זה לא הוחזק כפרן לממון אחר, הלכך העיקר כאן כסברא הראשונה דצריך הלוה לישבע היסת, ש"ך (סק"כ).</w:t>
      </w:r>
    </w:p>
  </w:footnote>
  <w:footnote w:id="4490">
    <w:p w14:paraId="51A0355B" w14:textId="77777777" w:rsidR="0013116F" w:rsidRDefault="0013116F" w:rsidP="001D49D4">
      <w:pPr>
        <w:pStyle w:val="a9"/>
        <w:rPr>
          <w:rtl/>
        </w:rPr>
      </w:pPr>
      <w:r>
        <w:rPr>
          <w:rStyle w:val="ab"/>
        </w:rPr>
        <w:footnoteRef/>
      </w:r>
      <w:r>
        <w:rPr>
          <w:rtl/>
        </w:rPr>
        <w:t xml:space="preserve"> ר"ל שהרי לא נתנה בפירוש בתורת פרעון בפני העדים, סמ"ע (סקי"ד). וכ"כ הש"ך (סקכ"א).</w:t>
      </w:r>
    </w:p>
  </w:footnote>
  <w:footnote w:id="4491">
    <w:p w14:paraId="0A2BB296" w14:textId="77777777" w:rsidR="0013116F" w:rsidRDefault="0013116F" w:rsidP="001D49D4">
      <w:pPr>
        <w:pStyle w:val="a9"/>
        <w:rPr>
          <w:rtl/>
        </w:rPr>
      </w:pPr>
      <w:r>
        <w:rPr>
          <w:rStyle w:val="ab"/>
        </w:rPr>
        <w:footnoteRef/>
      </w:r>
      <w:r>
        <w:rPr>
          <w:rtl/>
        </w:rPr>
        <w:t xml:space="preserve"> הטעם, דמתנה לא שכיחא, ובפרט במקום דחייב לו אין מדרך בני אדם ליתן לו במתנה עד שישלם לו חובו תחילה, סמ"ע</w:t>
      </w:r>
      <w:r>
        <w:rPr>
          <w:sz w:val="16"/>
          <w:szCs w:val="16"/>
          <w:rtl/>
        </w:rPr>
        <w:t xml:space="preserve"> (סקט"ו)</w:t>
      </w:r>
      <w:r>
        <w:rPr>
          <w:rtl/>
        </w:rPr>
        <w:t>.</w:t>
      </w:r>
    </w:p>
  </w:footnote>
  <w:footnote w:id="4492">
    <w:p w14:paraId="496EE5C1" w14:textId="77777777" w:rsidR="0013116F" w:rsidRDefault="0013116F" w:rsidP="001D49D4">
      <w:pPr>
        <w:pStyle w:val="a9"/>
      </w:pPr>
      <w:r>
        <w:rPr>
          <w:rStyle w:val="ab"/>
        </w:rPr>
        <w:footnoteRef/>
      </w:r>
      <w:r>
        <w:rPr>
          <w:rtl/>
        </w:rPr>
        <w:t xml:space="preserve"> </w:t>
      </w:r>
      <w:r>
        <w:rPr>
          <w:rFonts w:hint="cs"/>
          <w:rtl/>
        </w:rPr>
        <w:t xml:space="preserve">כתב הש"ך (סקכ"ג) </w:t>
      </w:r>
      <w:r>
        <w:rPr>
          <w:rtl/>
        </w:rPr>
        <w:t xml:space="preserve">דדין זה צ"ע, דבהדיא חולקים ע"ז התוס' בעובדא דאבימי </w:t>
      </w:r>
      <w:r>
        <w:rPr>
          <w:sz w:val="16"/>
          <w:szCs w:val="16"/>
          <w:rtl/>
        </w:rPr>
        <w:t>(כתובות פרק הכותב פד: ד"ה מיגו, ופרק חזקת הבתים ב"ב לד. סד"ה הוי מחויב שבועה)</w:t>
      </w:r>
      <w:r>
        <w:rPr>
          <w:rtl/>
        </w:rPr>
        <w:t xml:space="preserve">, וכן הר"ן </w:t>
      </w:r>
      <w:r>
        <w:rPr>
          <w:sz w:val="16"/>
          <w:szCs w:val="16"/>
          <w:rtl/>
        </w:rPr>
        <w:t>(פרק הכותב שם מב: מדפה"ר, וכן בפרק כל הנשבעין שבועות כט. מדפה"ר)</w:t>
      </w:r>
      <w:r>
        <w:rPr>
          <w:rtl/>
        </w:rPr>
        <w:t xml:space="preserve"> גבי נסכא דר' אבא, ומבואר להדיא מדבריהם כיון שאם היה מכחיש העד היה צריך לישבע להכחיש נגד העד, לא הוי מיגו ואתרע שטר, וגם תמיה לי על הבעל התרומות [שם] בשם הרמב"ן, דהא מדברי הרמב"ן בחידושיו פרק חזקת הבתים [לג: ד"ה סבור] מבואר להדיא כדברי התוס' שם. ואפשר לישב דהתוס' והר"ן והרמב"ן בפרק חזקת מיירי בתר פרעון, דהיינו אי פקח הוא מייתי ליה לידי שבועה דאורייתא </w:t>
      </w:r>
      <w:r>
        <w:rPr>
          <w:sz w:val="16"/>
          <w:szCs w:val="16"/>
          <w:rtl/>
        </w:rPr>
        <w:t>(וכדאיתא בפרק הכותב [כתובות פח., ונתבאר באה"ע סי' צו סע' יג, וכמש"כ לקמן סי' קכא סקנ"ו)</w:t>
      </w:r>
      <w:r>
        <w:rPr>
          <w:rtl/>
        </w:rPr>
        <w:t xml:space="preserve">, א"כ אי טעין בתר פרעון סיטראי ה"ל מחויב שבועה ואינו יכול לישבע משלם, דומיא דנסכא דר' אבא דאיכא עד א' דחטף ואמר אין חטפי ודידי חטפי, ובעל התרומות בשם הרמב"ן והטור [סעיף ג'] והר"ב בהג"ה כאן מיירי דלא איתרע שטרא בעד אחד לענין דעכ"פ צריך לפרוע לו שטרו, אבל מודו דבתר פרעון יכול לתבעו דלמהוי מחויב שבועה ואינו יכול לישבע משלם. ובזה ניחא דלא סתרי דברי הרמב"ן אהדדי, וניחא נמי דלא קשיא דהא בשבועה דרבנן לא אמרינן מחויב שבועה ואינו יכול לישבע משלם. מיהו פשט דברי התוס' והר"ן והרמב"ן שהקשו מהך דאבימי לא משמע כן, שהרי לא הזכירו בדבריהם כלל מהך סוגיא דאי פקח הוא דבפרק הכותב. ועוד, דמאי קשיא להו, דילמא אבימי לאו פקח הוה בדין זה. אלא משמע מפשט דבריהם דאפילו קודם פרעון אינו יכול לטעון סיטראי ואיתרע שטרא, עיין שם וצל"ע </w:t>
      </w:r>
      <w:r>
        <w:rPr>
          <w:sz w:val="16"/>
          <w:szCs w:val="16"/>
          <w:rtl/>
        </w:rPr>
        <w:t>(ואין להקשות ע"ז ממאי דקי"ל לקמן סימן ע"ה סעיף י"ד דבשבועה דרבנן לא אמרינן דהוי מחויב שבועה ואינו יכול לישבע משלם. י"ל דהיינו דוקא בעלמא היכא שגוף הטענה טענה מעליותא היא, או אפילו היכא שאינו נאמן אלא במיגו ועל טענת המיגו לא היה צריך לישבע שבועה חמורה יותר מעכשיו, כגון אי הוי טען אין חטפי ודידי חטפי בשטרות ועבדים וכה"ג, דאע"פ שהיה העד מכחישו לא היה צריך רק היסת, משא"כ הכא שטענת סיטראי גרועה היא ולא מהניא אלא היכא דאית ליה מיגו דלהד"ם, והכא כיון שהיה צריך לישבע נגד העד שבועה חמורה כעין דאורייתא והשתא א"צ לישבע אלא היסת, אזיל ליה מיגו ואיתרע ליה שטרא, וכיון דתקון חכמי המשנה שבועה כעין דאורייתא, לכל מילי תיקנוה דליהוי כעין דאו')</w:t>
      </w:r>
      <w:r>
        <w:rPr>
          <w:rtl/>
        </w:rPr>
        <w:t>.</w:t>
      </w:r>
    </w:p>
  </w:footnote>
  <w:footnote w:id="4493">
    <w:p w14:paraId="3E70FEF8" w14:textId="77777777" w:rsidR="0013116F" w:rsidRDefault="0013116F" w:rsidP="001D49D4">
      <w:pPr>
        <w:pStyle w:val="a9"/>
        <w:rPr>
          <w:rtl/>
        </w:rPr>
      </w:pPr>
      <w:r>
        <w:rPr>
          <w:rStyle w:val="ab"/>
        </w:rPr>
        <w:footnoteRef/>
      </w:r>
      <w:r>
        <w:rPr>
          <w:rtl/>
        </w:rPr>
        <w:t xml:space="preserve"> ואפילו שבועה אין צריך לישבע אם יש בו נאמנות, סמ"ע </w:t>
      </w:r>
      <w:r>
        <w:rPr>
          <w:sz w:val="16"/>
          <w:szCs w:val="16"/>
          <w:rtl/>
        </w:rPr>
        <w:t>(סקט"ז)</w:t>
      </w:r>
      <w:r>
        <w:rPr>
          <w:rtl/>
        </w:rPr>
        <w:t xml:space="preserve">. וכ"כ בד"מ </w:t>
      </w:r>
      <w:r>
        <w:rPr>
          <w:sz w:val="16"/>
          <w:szCs w:val="16"/>
          <w:rtl/>
        </w:rPr>
        <w:t xml:space="preserve">(סע' ג) </w:t>
      </w:r>
      <w:r>
        <w:rPr>
          <w:rtl/>
        </w:rPr>
        <w:t xml:space="preserve">בשם בעל התרומות, וכ"כ בספר גידות </w:t>
      </w:r>
      <w:r>
        <w:rPr>
          <w:sz w:val="16"/>
          <w:szCs w:val="16"/>
          <w:rtl/>
        </w:rPr>
        <w:t xml:space="preserve">(שער יט ח"א ס"ג) </w:t>
      </w:r>
      <w:r>
        <w:rPr>
          <w:rtl/>
        </w:rPr>
        <w:t xml:space="preserve">דמ"ש הבעל התרומות בשם הרמב"ן דמסתברא דלא מחייב שבועה כו', היינו ע"כ בשטר שיש בו נאמנות, דאי בלא נאמנות, קשה דהא אפילו היכא דאיכא מיגו וליכא עד כלל כתב הבעל התרומות לעיל דאם אין בו נאמנות ישבע ויטול כו', עכ"ל. הביאם הש"ך </w:t>
      </w:r>
      <w:r>
        <w:rPr>
          <w:sz w:val="16"/>
          <w:szCs w:val="16"/>
          <w:rtl/>
        </w:rPr>
        <w:t>(סקכ"ו)</w:t>
      </w:r>
      <w:r>
        <w:rPr>
          <w:rtl/>
        </w:rPr>
        <w:t xml:space="preserve"> וכתב דהא ליתא וכמו שהוכחתי לעיל סק"ד דהבעל התרומות בשם הרמב"ן מיירי אפילו בלא נאמנות. והא דכתב המחבר לעיל סע' א' אם אין בו נאמנות ישבע ויטול, היינו כשטען הלוה ישבע לי וכדין שאר שטר דלקמן סי' פב סע' ב.</w:t>
      </w:r>
    </w:p>
  </w:footnote>
  <w:footnote w:id="4494">
    <w:p w14:paraId="0FF2527A" w14:textId="77777777" w:rsidR="0013116F" w:rsidRDefault="0013116F" w:rsidP="001D49D4">
      <w:pPr>
        <w:pStyle w:val="a9"/>
        <w:rPr>
          <w:rtl/>
        </w:rPr>
      </w:pPr>
      <w:r>
        <w:rPr>
          <w:rStyle w:val="ab"/>
        </w:rPr>
        <w:footnoteRef/>
      </w:r>
      <w:r>
        <w:rPr>
          <w:rtl/>
        </w:rPr>
        <w:t xml:space="preserve"> סעיף ד'. ביארתי שם [סקי"ט] כמה דינים מסיטראי וע"ש, ש"ך (סקכ"ז).</w:t>
      </w:r>
    </w:p>
  </w:footnote>
  <w:footnote w:id="4495">
    <w:p w14:paraId="5E52D8C0" w14:textId="77777777" w:rsidR="0013116F" w:rsidRDefault="0013116F" w:rsidP="001D49D4">
      <w:pPr>
        <w:pStyle w:val="a9"/>
        <w:rPr>
          <w:rtl/>
        </w:rPr>
      </w:pPr>
      <w:r>
        <w:rPr>
          <w:rStyle w:val="ab"/>
        </w:rPr>
        <w:footnoteRef/>
      </w:r>
      <w:r>
        <w:rPr>
          <w:rtl/>
        </w:rPr>
        <w:t xml:space="preserve"> הביאו הש"ך </w:t>
      </w:r>
      <w:r>
        <w:rPr>
          <w:sz w:val="16"/>
          <w:szCs w:val="16"/>
          <w:rtl/>
        </w:rPr>
        <w:t xml:space="preserve">(סקי"א) </w:t>
      </w:r>
      <w:r>
        <w:rPr>
          <w:rtl/>
        </w:rPr>
        <w:t>וחלק על דבריו, וכתב דבין מעידים בפירוש על פרעון זה ובין מעידים על פרעון סתם, בכל ענין יכול לטעון סיטראי כשהאמינו כבי תרי. וכתב עוד שכ"פ בעל התרומות</w:t>
      </w:r>
      <w:r>
        <w:rPr>
          <w:sz w:val="16"/>
          <w:szCs w:val="16"/>
          <w:rtl/>
        </w:rPr>
        <w:t xml:space="preserve"> (שער יט ח"א ס"ב, שער סו ח"ב ס"ג) </w:t>
      </w:r>
      <w:r>
        <w:rPr>
          <w:rtl/>
        </w:rPr>
        <w:t xml:space="preserve">דברי ריבות </w:t>
      </w:r>
      <w:r>
        <w:rPr>
          <w:sz w:val="16"/>
          <w:szCs w:val="16"/>
          <w:rtl/>
        </w:rPr>
        <w:t xml:space="preserve">(סי' רעד) </w:t>
      </w:r>
      <w:r>
        <w:rPr>
          <w:rtl/>
        </w:rPr>
        <w:t xml:space="preserve">גידו"ת </w:t>
      </w:r>
      <w:r>
        <w:rPr>
          <w:sz w:val="16"/>
          <w:szCs w:val="16"/>
          <w:rtl/>
        </w:rPr>
        <w:t xml:space="preserve">(שער כו ח"ב ס"ג) </w:t>
      </w:r>
      <w:r>
        <w:rPr>
          <w:rtl/>
        </w:rPr>
        <w:t>והב"ח</w:t>
      </w:r>
      <w:r>
        <w:rPr>
          <w:sz w:val="16"/>
          <w:szCs w:val="16"/>
          <w:rtl/>
        </w:rPr>
        <w:t xml:space="preserve"> (סע' ג)</w:t>
      </w:r>
      <w:r>
        <w:rPr>
          <w:rtl/>
        </w:rPr>
        <w:t>.</w:t>
      </w:r>
    </w:p>
  </w:footnote>
  <w:footnote w:id="4496">
    <w:p w14:paraId="2B523410" w14:textId="77777777" w:rsidR="0013116F" w:rsidRDefault="0013116F" w:rsidP="001D49D4">
      <w:pPr>
        <w:pStyle w:val="a9"/>
        <w:rPr>
          <w:rtl/>
        </w:rPr>
      </w:pPr>
      <w:r>
        <w:rPr>
          <w:rStyle w:val="ab"/>
        </w:rPr>
        <w:footnoteRef/>
      </w:r>
      <w:r>
        <w:rPr>
          <w:rtl/>
        </w:rPr>
        <w:t xml:space="preserve"> ולפי מה שהעליתי לעיל סק"ז צ"ל דכאן מיירי שהמלוה טוען שהשליח נתנם לו ג"כ על חוב אחר, דאל"כ כיון שהשליח חייב לשלם, אינו יכול לתפוס ולטעון סיטראי, ש"ך (סקכ"ז).</w:t>
      </w:r>
    </w:p>
  </w:footnote>
  <w:footnote w:id="4497">
    <w:p w14:paraId="0BA41C63" w14:textId="77777777" w:rsidR="0013116F" w:rsidRDefault="0013116F" w:rsidP="001D49D4">
      <w:pPr>
        <w:pStyle w:val="a9"/>
      </w:pPr>
      <w:r>
        <w:rPr>
          <w:rStyle w:val="ab"/>
        </w:rPr>
        <w:footnoteRef/>
      </w:r>
      <w:r>
        <w:rPr>
          <w:rtl/>
        </w:rPr>
        <w:t xml:space="preserve"> </w:t>
      </w:r>
      <w:r>
        <w:rPr>
          <w:rFonts w:hint="cs"/>
          <w:rtl/>
        </w:rPr>
        <w:t>סימן – מסקי ביה מִלוה ב'. וכן - מסקי ביה ב' מילוות. וכן – מִלְוה בשר.</w:t>
      </w:r>
    </w:p>
  </w:footnote>
  <w:footnote w:id="4498">
    <w:p w14:paraId="31E1BBE3" w14:textId="77777777" w:rsidR="0013116F" w:rsidRDefault="0013116F" w:rsidP="001D49D4">
      <w:pPr>
        <w:pStyle w:val="a9"/>
      </w:pPr>
      <w:r>
        <w:rPr>
          <w:rStyle w:val="ab"/>
        </w:rPr>
        <w:footnoteRef/>
      </w:r>
      <w:r>
        <w:rPr>
          <w:rtl/>
        </w:rPr>
        <w:t xml:space="preserve"> לקנות מהן שוורים לשחיטה למחצית שכר, רש"י.</w:t>
      </w:r>
    </w:p>
  </w:footnote>
  <w:footnote w:id="4499">
    <w:p w14:paraId="3BF1B69A" w14:textId="77777777" w:rsidR="0013116F" w:rsidRDefault="0013116F" w:rsidP="001D49D4">
      <w:pPr>
        <w:pStyle w:val="a9"/>
        <w:rPr>
          <w:rtl/>
        </w:rPr>
      </w:pPr>
      <w:r>
        <w:rPr>
          <w:rStyle w:val="ab"/>
        </w:rPr>
        <w:footnoteRef/>
      </w:r>
      <w:r>
        <w:rPr>
          <w:rtl/>
        </w:rPr>
        <w:t xml:space="preserve"> מקום שמקצבין הבשר ומוכרין, רש"י.</w:t>
      </w:r>
    </w:p>
  </w:footnote>
  <w:footnote w:id="4500">
    <w:p w14:paraId="42F70232" w14:textId="77777777" w:rsidR="0013116F" w:rsidRDefault="0013116F" w:rsidP="001D49D4">
      <w:pPr>
        <w:pStyle w:val="a9"/>
        <w:rPr>
          <w:rtl/>
        </w:rPr>
      </w:pPr>
      <w:r>
        <w:rPr>
          <w:rStyle w:val="ab"/>
        </w:rPr>
        <w:footnoteRef/>
      </w:r>
      <w:r>
        <w:rPr>
          <w:rtl/>
        </w:rPr>
        <w:t xml:space="preserve"> וכתב בעל התרומות (שער יט ח"ב סי' א) דטעמא משום דמסתמא בפרעון אותו שטר נטלם דהכי אורחא דמלתא, ב"י.</w:t>
      </w:r>
    </w:p>
  </w:footnote>
  <w:footnote w:id="4501">
    <w:p w14:paraId="191C003F" w14:textId="77777777" w:rsidR="0013116F" w:rsidRDefault="0013116F" w:rsidP="001D49D4">
      <w:pPr>
        <w:pStyle w:val="a9"/>
        <w:rPr>
          <w:rtl/>
        </w:rPr>
      </w:pPr>
      <w:r>
        <w:rPr>
          <w:rStyle w:val="ab"/>
        </w:rPr>
        <w:footnoteRef/>
      </w:r>
      <w:r>
        <w:rPr>
          <w:rtl/>
        </w:rPr>
        <w:t xml:space="preserve"> וכתב בעל התרומות (שער יט שם) שלא ירד לסוף דעת הרמב"ם. וכתב עוד שם שפירש רי"ף </w:t>
      </w:r>
      <w:r>
        <w:rPr>
          <w:sz w:val="16"/>
          <w:szCs w:val="16"/>
          <w:rtl/>
        </w:rPr>
        <w:t>(כב.)</w:t>
      </w:r>
      <w:r>
        <w:rPr>
          <w:rtl/>
        </w:rPr>
        <w:t xml:space="preserve"> שאע"פ שיש נאמנות בשטרו ישבע הלוה ויפטר, ב"י.</w:t>
      </w:r>
    </w:p>
  </w:footnote>
  <w:footnote w:id="4502">
    <w:p w14:paraId="624240AF" w14:textId="77777777" w:rsidR="0013116F" w:rsidRDefault="0013116F" w:rsidP="001D49D4">
      <w:pPr>
        <w:pStyle w:val="a9"/>
        <w:rPr>
          <w:rtl/>
        </w:rPr>
      </w:pPr>
      <w:r>
        <w:rPr>
          <w:rStyle w:val="ab"/>
        </w:rPr>
        <w:footnoteRef/>
      </w:r>
      <w:r>
        <w:rPr>
          <w:rtl/>
        </w:rPr>
        <w:t xml:space="preserve"> ואין דבריו נראין כלל לפסוק משום הסכמתן כוותייהו בלא ראיה במקום שהאחרונים ז"ל כתבו עליהן שלא מסתבר טעמייהו. וכמה פעמים מצינו שנחלקו תנאים יחיד ורבים שהכלל הוא יחיד ורבים הלכה כרבים מכל מקום אם פסקו האמוראי האחרונים כדברי היחיד אזלינן בתרייהו כל שכן בכלל זה שעשה הרב ב"י מעצמו לפסוק כהסכמת הרי"ף והרמב"ם במקום שרוב האחרונים פסקו דלא כוותייהו דלא אזלינן בתרייהו ולכן דברי ב"י בטלים בזה וכיוצא בזה, דרכ"מ (אות ד). </w:t>
      </w:r>
    </w:p>
  </w:footnote>
  <w:footnote w:id="4503">
    <w:p w14:paraId="22B86493" w14:textId="77777777" w:rsidR="0013116F" w:rsidRDefault="0013116F" w:rsidP="001D49D4">
      <w:pPr>
        <w:pStyle w:val="a9"/>
      </w:pPr>
      <w:r>
        <w:rPr>
          <w:rStyle w:val="ab"/>
        </w:rPr>
        <w:footnoteRef/>
      </w:r>
      <w:r>
        <w:rPr>
          <w:rtl/>
        </w:rPr>
        <w:t xml:space="preserve"> זה פשוט דביש לו עדים אפילו לא הודה לו שנפרע מהשור השטר בטל, כמ"ש המחבר לפני זה בסעיף ב', ולא הוי ליה למימר לשון "הואיל" והודה. אלא שהמחבר תפס לשון הרמב"ם שככ"כ (פי"ד ממלוה) לסברתו דבהודה דמדמי השור קיבל, אפילו ליכא עדים השטר בטל, ולא רצה המחבר לשנות לשון הרמב"ם אף שכתב דעת האומרים דבעינן ג"כ עדים לזה קודם שכתב דעת הרמב"ם, סמ"ע (סקי"ז). אך הש"ך (סקכ"ח) כתב שזה דוחק לפרש כן. וכתב דמיירי שהעדים אינם מעידים שקיבל דמי השור בתורת פרעון ממנו, אלא מעידים שקיבל בסתם דמי השור בפרעון מאותן הלוקחים ששילמו בעד בשר השור, ולישנא דאם יש עדים שפרע לו כו', הוא לאו דוקא, אלא ר"ל שקיבל המעות בפרעון מהלוקחים בעד הבשר. או צ"ל אם יש עדים שפרעו לו דמי השור, ואלוקחים קאי. עכ"ד. והקשה עליו התומים (סק"י) ע"ש.</w:t>
      </w:r>
    </w:p>
  </w:footnote>
  <w:footnote w:id="4504">
    <w:p w14:paraId="16F71D91" w14:textId="77777777" w:rsidR="0013116F" w:rsidRDefault="0013116F" w:rsidP="001D49D4">
      <w:pPr>
        <w:pStyle w:val="a9"/>
        <w:rPr>
          <w:rtl/>
        </w:rPr>
      </w:pPr>
      <w:r>
        <w:rPr>
          <w:rStyle w:val="ab"/>
        </w:rPr>
        <w:footnoteRef/>
      </w:r>
      <w:r>
        <w:rPr>
          <w:rtl/>
        </w:rPr>
        <w:t xml:space="preserve"> כן הוא ג"כ לשון הטור. ועיין דרישה (שם) דהוכחתי דלאו דוקא קאמר, אלא אפילו אין עדים שמדמי השור פרע לו אלא שמעידין שנתן לו מעות בתורת פרעון, ס"ל בעל סברא זו דהשטר בטל לגמרי, סמ"ע (סקי"ח). ועיין בש"ך (סקכ"ט) שחולק ואזיל לשיטתיה. וכתב עוד הסמ"ע (שם) דלר"ת ולהרא"ש הנ"ל בסעיף שלפני זה בהג"ה דס"ל דאפילו אם מעידין סתם שראו שנתן לו מעות איתרע שטרא דלא קרעינן ליה ולא מגבינן ביה, ס"ל דבכה"ג דבדין זה דמודה דדמי השור היה דהשטר בטל לגמרי. והי"א ס"ל דאפילו אין עדים כלל שנתן לו דמיו אינו נאמן, כיון דהודה מעצמו שקיבל דמי השור ה"ל מיגו במקום חזקה, סמ"ע (סקי"ח). והש"ך (שם) חלק עליו וכתב דאין לומר כן בדעת ר"ת והרא"ש דבהדיא מוכח בהרא"ש והר"ן דגם בדין זה לא איתרע שטרא אלא לענין דלא מגבינן ביה ולא קרעינן ליה... כיון שאין מעידים בפירוש שקיבל על פרעון השטר, וכן משמע בב"ח סוף סימן זה ע"ש. </w:t>
      </w:r>
    </w:p>
  </w:footnote>
  <w:footnote w:id="4505">
    <w:p w14:paraId="21360611" w14:textId="77777777" w:rsidR="0013116F" w:rsidRDefault="0013116F" w:rsidP="001D49D4">
      <w:pPr>
        <w:pStyle w:val="a9"/>
      </w:pPr>
      <w:r>
        <w:rPr>
          <w:rStyle w:val="ab"/>
        </w:rPr>
        <w:footnoteRef/>
      </w:r>
      <w:r>
        <w:rPr>
          <w:rtl/>
        </w:rPr>
        <w:t xml:space="preserve"> וקרוב אצלי שגם הרמב"ם (שם) מודה לזה, ומה שכתב אע"פ שאין עליו עדים שפרע מדמיו, ר"ל שאין עדים שקיבל בתורת פרעון, וכ"כ בספר גדולי תרומה [שער י"ט ח"ב]..., ש"ך (סקל"א).</w:t>
      </w:r>
    </w:p>
  </w:footnote>
  <w:footnote w:id="4506">
    <w:p w14:paraId="30936B1B" w14:textId="77777777" w:rsidR="0013116F" w:rsidRDefault="0013116F" w:rsidP="001D49D4">
      <w:pPr>
        <w:pStyle w:val="a9"/>
      </w:pPr>
      <w:r>
        <w:rPr>
          <w:rStyle w:val="ab"/>
        </w:rPr>
        <w:footnoteRef/>
      </w:r>
      <w:r>
        <w:rPr>
          <w:rtl/>
        </w:rPr>
        <w:t xml:space="preserve"> צל"ע בדין זה שהוא חידוש ולא נמצא בשאר פוסקים שיחלקו בכך, וגם מהרי"ק (שם) גופיה לא החליט כן להלכה רק צירף זה לטעמים אחרים שבנידון דידיה, ע"ש, ש"ך (סקל"ב).</w:t>
      </w:r>
    </w:p>
  </w:footnote>
  <w:footnote w:id="4507">
    <w:p w14:paraId="2280B5BD" w14:textId="77777777" w:rsidR="0013116F" w:rsidRDefault="0013116F" w:rsidP="001D49D4">
      <w:pPr>
        <w:pStyle w:val="a9"/>
        <w:rPr>
          <w:rtl/>
        </w:rPr>
      </w:pPr>
      <w:r>
        <w:rPr>
          <w:rStyle w:val="ab"/>
        </w:rPr>
        <w:footnoteRef/>
      </w:r>
      <w:r>
        <w:rPr>
          <w:rtl/>
        </w:rPr>
        <w:t xml:space="preserve"> וכ"כ הרשב"א בתשובה (ח"ג סי' שכ, ח"ז סי' קכח) והביא ראיה לדבר דהתופס לבעל חוב שלא לדעתו מה שתפס תפס, ועוד מדתניא בפ"ק דקדושין (יג.) אמר לה כנסי סלע זה שאני חייב ליכי וחזר ואמר התקדשי לי בו בשעת מתן מעות רצתה מקודשת וכו' עד מ"ש דאמרה אין שקלי ודידי שקלי, ועל פי כן פסק בראובן שהיה חייב לשמעון שני חובות האחד בשבועה והאחר שלא בשבועה ופרע לו סך מעות וטוען שמחמת אותו חוב שיש לו עליו שבועה פרעו, והלה אומר לא כי אלא מחמת החוב האחר קבלתים והחוב שיש עליו שבועה נשאר עליך - הדין עם שמעון, ב"י.</w:t>
      </w:r>
    </w:p>
  </w:footnote>
  <w:footnote w:id="4508">
    <w:p w14:paraId="3EC8DFB6" w14:textId="77777777" w:rsidR="0013116F" w:rsidRDefault="0013116F" w:rsidP="001D49D4">
      <w:pPr>
        <w:pStyle w:val="a9"/>
        <w:rPr>
          <w:rtl/>
        </w:rPr>
      </w:pPr>
      <w:r>
        <w:rPr>
          <w:rStyle w:val="ab"/>
        </w:rPr>
        <w:footnoteRef/>
      </w:r>
      <w:r>
        <w:rPr>
          <w:rtl/>
        </w:rPr>
        <w:t xml:space="preserve"> </w:t>
      </w:r>
      <w:r>
        <w:rPr>
          <w:rFonts w:hint="cs"/>
          <w:rtl/>
        </w:rPr>
        <w:t>ממהדורת הסמ"ע והלאה.</w:t>
      </w:r>
    </w:p>
  </w:footnote>
  <w:footnote w:id="4509">
    <w:p w14:paraId="3B3B30F8" w14:textId="77777777" w:rsidR="0013116F" w:rsidRDefault="0013116F" w:rsidP="001D49D4">
      <w:pPr>
        <w:pStyle w:val="a9"/>
        <w:rPr>
          <w:rtl/>
        </w:rPr>
      </w:pPr>
      <w:r>
        <w:rPr>
          <w:rStyle w:val="ab"/>
        </w:rPr>
        <w:footnoteRef/>
      </w:r>
      <w:r>
        <w:rPr>
          <w:rtl/>
        </w:rPr>
        <w:t xml:space="preserve"> ראובן שחייב לשמעון מנה ואמר שמעון לראובן חפץ פלוני או קרקע פלוני אמכור לך במנה ונתן לו ראובן מנה אם יוכל שמעון לומר מנה אני נוטל בחובי עיין במרדכי סוף כתובות (סי' רעח). תשלום דיני הטוען סטראי נינהו כתב רבינו בסימן פ"ג, ב"י.</w:t>
      </w:r>
    </w:p>
  </w:footnote>
  <w:footnote w:id="4510">
    <w:p w14:paraId="68D26A7D" w14:textId="77777777" w:rsidR="0013116F" w:rsidRDefault="0013116F" w:rsidP="001D49D4">
      <w:pPr>
        <w:pStyle w:val="a9"/>
        <w:rPr>
          <w:rtl/>
        </w:rPr>
      </w:pPr>
      <w:r>
        <w:rPr>
          <w:rStyle w:val="ab"/>
        </w:rPr>
        <w:footnoteRef/>
      </w:r>
      <w:r>
        <w:rPr>
          <w:rtl/>
        </w:rPr>
        <w:t xml:space="preserve"> מה שכתב המחבר כאן, חזר וכתבו מור"ם בסי' פ"ג [סעיף ב'] בהג"ה ע"ש. ועיין לקמן סימן קכ"ה מעין דינים אלו בטור ובדברי המחבר ומור"ם ז"ל שם, סמ"ע (סק"כ).</w:t>
      </w:r>
    </w:p>
  </w:footnote>
  <w:footnote w:id="4511">
    <w:p w14:paraId="6B4C39CA" w14:textId="77777777" w:rsidR="0013116F" w:rsidRDefault="0013116F" w:rsidP="001D49D4">
      <w:pPr>
        <w:pStyle w:val="a9"/>
      </w:pPr>
      <w:r>
        <w:rPr>
          <w:rStyle w:val="ab"/>
        </w:rPr>
        <w:footnoteRef/>
      </w:r>
      <w:r>
        <w:rPr>
          <w:rtl/>
        </w:rPr>
        <w:t xml:space="preserve"> </w:t>
      </w:r>
      <w:r>
        <w:rPr>
          <w:rFonts w:hint="cs"/>
          <w:rtl/>
        </w:rPr>
        <w:t>סימן – כרטיסים בכסוי.</w:t>
      </w:r>
    </w:p>
  </w:footnote>
  <w:footnote w:id="4512">
    <w:p w14:paraId="6651E84D" w14:textId="77777777" w:rsidR="0013116F" w:rsidRDefault="0013116F" w:rsidP="001D49D4">
      <w:pPr>
        <w:pStyle w:val="a9"/>
      </w:pPr>
      <w:r>
        <w:rPr>
          <w:rStyle w:val="ab"/>
        </w:rPr>
        <w:footnoteRef/>
      </w:r>
      <w:r>
        <w:rPr>
          <w:rtl/>
        </w:rPr>
        <w:t xml:space="preserve"> </w:t>
      </w:r>
      <w:r>
        <w:rPr>
          <w:rFonts w:hint="cs"/>
          <w:rtl/>
        </w:rPr>
        <w:t xml:space="preserve">וז"ל- </w:t>
      </w:r>
      <w:r>
        <w:rPr>
          <w:rtl/>
        </w:rPr>
        <w:t>גרסינן בב"מ ת"ר מצא בין שטרותיו ואינו יודע מה טיבו יהא מונח עד שיבא אליהו ואם יש עמהם סמפונות יעשה מה שבסמפונות. משנה זו אע"פ שהעמדנו אותה בשליש, יש מן הגאונים שהעמידו אותה במלוה. וזה מה שכתב בזה הר"ר יהודה אלברצלוני ז"ל, איצטריכינן לפרושי ולברורי היכא שהמלוה והלוה שניהם בחיים ויש למלוה שטר על הלוה וטוען הלוה בודאי זה השטר פרוע הוא והמלוה אומר איני ידוע אם הוא פרוע אם לאו, מה דינו, כי יש שר"ל שהשטר נעמיד בחזקתו... ובודאי מסתברא מילתא דפקע שטריה ואין למלוה כח לתבעו כלל אחר שהוא אינו ידוע אם שטרו פרוע אם לאו. ודמיא לההיא דחשוד דמפיק שטרא אחבריה וא"ל אידך שטרא פריעא הוא שאינו יכול לישבע ופקע שטריה, ואע"ג דהתם המלוה שהוא חשוד בבריא מיהא טוען טענתו על הלוה וה"ל כשאר מלוה ע"פ, אבל כאן שהמלוה נסתפק לו אם שטרו פרוע וזה מכחישו וזה אינו יכול להכחישו אלא שאומר איני יודע איתרע שטריה ויצא מחזקתו ויש עליו להחזיר לו את שטרו ואין על הלוה אלא חרם סתם, שאין לך שבועת היסת אלא על טענת בריא, דכלל גדול אמרו בדבר זה בריא ושמא בריא עדיף... וא"ת למה שנינו במשנתנו יהא מונח עד שיבא אליהו ומשמע שאין אנו מוציאין אותו מתחת ידו של מלוה ולמעלה פסקנו כי מן הדין חייב להחזירו לשטר ללוה. הא לא קשיא לן, שאין אנו פוסקין דיננו במשנתנו אלא בזמן שהלוה שותק ואינו בא לדין עם המלוה על שטרו, והיינו דמוקמינן לה לההיא כשמצאה בין שטרות קרועין, דדוקא בשמצאה בין שטרות קרועין יהא מונח עד שיבוא אליהו ואסור לו לתבוע, כי יש לחוש שמא שכח הלוה אם פרעו אם לאו ואולי יכשילהו שיודה לו מה שכבר פרע, אבל לא מצא בין שטרות קרועין בודאי נדון שיתבעם ולא יניחם עד שיבא אליהו, ואם יודה הלוה יפרעהו ואם יטעון פרעתי נדון בזה די של מעלה שיפטר ואין עליו אלא חרם סתם. אבל היכא דלוה תובע למלוה להחזיר לו שטרו שכבר פרעו ומלוה טוען שאינו יודע, בהא לא איירי כלל במשנתנו, ומשמע דאפילו לא מצא בין קרועין יחזיר לו שטרו, ומטעמא דלעיל. וה"ר יהודה אלברצלוני ז"ל תירץ ענין זה על דרך אחר... עכ"ל. עיי"ש.</w:t>
      </w:r>
    </w:p>
  </w:footnote>
  <w:footnote w:id="4513">
    <w:p w14:paraId="6F49BDCB" w14:textId="77777777" w:rsidR="0013116F" w:rsidRDefault="0013116F" w:rsidP="001D49D4">
      <w:pPr>
        <w:pStyle w:val="a9"/>
      </w:pPr>
      <w:r>
        <w:rPr>
          <w:rStyle w:val="ab"/>
        </w:rPr>
        <w:footnoteRef/>
      </w:r>
      <w:r>
        <w:rPr>
          <w:rtl/>
        </w:rPr>
        <w:t xml:space="preserve"> בתשובת מהרשד"ם (חו"מ סי' מ) דקדק דדוקא כשהלוה טוען ברי, אבל אם טוען שמא, אע"פ שגם המלוה טוען שמא, לא מבטלינן שטרא מספק. ויפה כיון בדינא, ולא הוצרך להביא ראיה מכאן שכן מבואר להדיא לקמן סימן פ"ב סעיף ב' ע"ש. ועיין מה שכתבתי לקמן סימן ע"ה ס"ק ס"ה, ש"ך (סק"א).</w:t>
      </w:r>
    </w:p>
  </w:footnote>
  <w:footnote w:id="4514">
    <w:p w14:paraId="7B02FD31" w14:textId="77777777" w:rsidR="0013116F" w:rsidRDefault="0013116F" w:rsidP="001D49D4">
      <w:pPr>
        <w:pStyle w:val="a9"/>
      </w:pPr>
      <w:r>
        <w:rPr>
          <w:rStyle w:val="ab"/>
        </w:rPr>
        <w:footnoteRef/>
      </w:r>
      <w:r>
        <w:rPr>
          <w:rtl/>
        </w:rPr>
        <w:t xml:space="preserve"> לשון הטור, צריך להחזיר לו שטרו ואין לו עליו אלא חרם סתם, ע"כ. ור"ל, דאם הלוה תובע למלוה שאינו רוצה שיעוכב השטר אצלו דדילמא ימות ויגבו בו היורשים או איזה חשש אחר, צריך המלוה להחזיר לו שטרו, וכן הוא בבעל התרומות (שער נג ח"א) דאם הלוה תובע למלוה, צריך להחזיר לו שטרו ואין לו עליו אלא חרם סתם, וע"ש, ש"ך (סק"ב).</w:t>
      </w:r>
    </w:p>
  </w:footnote>
  <w:footnote w:id="4515">
    <w:p w14:paraId="3CB84919" w14:textId="77777777" w:rsidR="0013116F" w:rsidRDefault="0013116F" w:rsidP="001D49D4">
      <w:pPr>
        <w:pStyle w:val="a9"/>
        <w:rPr>
          <w:rtl/>
        </w:rPr>
      </w:pPr>
      <w:r>
        <w:rPr>
          <w:rStyle w:val="ab"/>
        </w:rPr>
        <w:footnoteRef/>
      </w:r>
      <w:r>
        <w:rPr>
          <w:rtl/>
        </w:rPr>
        <w:t xml:space="preserve"> כתב הסמ"ע</w:t>
      </w:r>
      <w:r>
        <w:rPr>
          <w:sz w:val="16"/>
          <w:szCs w:val="16"/>
          <w:rtl/>
        </w:rPr>
        <w:t xml:space="preserve"> (סק"ב) </w:t>
      </w:r>
      <w:r>
        <w:rPr>
          <w:rtl/>
        </w:rPr>
        <w:t xml:space="preserve">דטורף אפילו ממשועבדים. ונראה דהיינו דוקא מלקוחות שקנו קודם שאמר פרוע, אבל לקוחות שאחר שאמר פרוע אינו טורף מהן, דהא יכולים לומר אנן אדיבוריה דידיה שאמר פרוע סמכינן וזבנינן, ואילו הוה לוה בעי לשטרא הוה צריך לאהדורי ליה, ואיהו דאפסיד אנפשיה שלא תבע שטרו עד שנזכר. ואפשר דכל זמן שהשטר ביד המלוה הו"ל ללקוחות להזהר, וצ"ע לדינא, ש"ך </w:t>
      </w:r>
      <w:r>
        <w:rPr>
          <w:sz w:val="16"/>
          <w:szCs w:val="16"/>
          <w:rtl/>
        </w:rPr>
        <w:t>(סק"ג)</w:t>
      </w:r>
      <w:r>
        <w:rPr>
          <w:rtl/>
        </w:rPr>
        <w:t xml:space="preserve">. ואם כבר פסקו הב"ד להוציא השטר מידו להחזיר ללוה, אינו יכול לטעון נזכרתי, נתיבות </w:t>
      </w:r>
      <w:r>
        <w:rPr>
          <w:sz w:val="16"/>
          <w:szCs w:val="16"/>
          <w:rtl/>
        </w:rPr>
        <w:t>(ביאורים סק"ב)</w:t>
      </w:r>
      <w:r>
        <w:rPr>
          <w:rtl/>
        </w:rPr>
        <w:t>.</w:t>
      </w:r>
    </w:p>
  </w:footnote>
  <w:footnote w:id="4516">
    <w:p w14:paraId="04D90726" w14:textId="77777777" w:rsidR="0013116F" w:rsidRDefault="0013116F" w:rsidP="001D49D4">
      <w:pPr>
        <w:pStyle w:val="a9"/>
        <w:rPr>
          <w:rtl/>
        </w:rPr>
      </w:pPr>
      <w:r>
        <w:rPr>
          <w:rStyle w:val="ab"/>
        </w:rPr>
        <w:footnoteRef/>
      </w:r>
      <w:r>
        <w:rPr>
          <w:rtl/>
        </w:rPr>
        <w:t xml:space="preserve"> </w:t>
      </w:r>
      <w:r>
        <w:rPr>
          <w:rFonts w:hint="cs"/>
          <w:rtl/>
        </w:rPr>
        <w:t>סימן – קנינא בנייר זכויותיו. וכן - קודם נולד זיכה. וכן - זקן = דיקנא = דאיקני.</w:t>
      </w:r>
    </w:p>
  </w:footnote>
  <w:footnote w:id="4517">
    <w:p w14:paraId="14F3DFB9" w14:textId="77777777" w:rsidR="0013116F" w:rsidRDefault="0013116F" w:rsidP="001D49D4">
      <w:pPr>
        <w:pStyle w:val="a9"/>
        <w:rPr>
          <w:rtl/>
        </w:rPr>
      </w:pPr>
      <w:r>
        <w:rPr>
          <w:rStyle w:val="ab"/>
        </w:rPr>
        <w:footnoteRef/>
      </w:r>
      <w:r>
        <w:rPr>
          <w:rtl/>
        </w:rPr>
        <w:t xml:space="preserve"> הכותב לחבירו משעבד אני לך בחובך כל נכסים שאקנה מהו והיינו שכותבין בשטרות דקנאי ודעתיד אנא למיקני, רשב"ם.</w:t>
      </w:r>
    </w:p>
  </w:footnote>
  <w:footnote w:id="4518">
    <w:p w14:paraId="6ADA8868" w14:textId="77777777" w:rsidR="0013116F" w:rsidRDefault="0013116F" w:rsidP="001D49D4">
      <w:pPr>
        <w:pStyle w:val="a9"/>
      </w:pPr>
      <w:r>
        <w:rPr>
          <w:rStyle w:val="ab"/>
        </w:rPr>
        <w:footnoteRef/>
      </w:r>
      <w:r>
        <w:rPr>
          <w:rtl/>
        </w:rPr>
        <w:t xml:space="preserve"> מי טריף מלקוחות נכסים שקנה הלוה אחר כתיבת השטר ומכרן לאלו, רשב"ם.</w:t>
      </w:r>
    </w:p>
  </w:footnote>
  <w:footnote w:id="4519">
    <w:p w14:paraId="5CAFF391" w14:textId="77777777" w:rsidR="0013116F" w:rsidRDefault="0013116F" w:rsidP="001D49D4">
      <w:pPr>
        <w:pStyle w:val="a9"/>
      </w:pPr>
      <w:r>
        <w:rPr>
          <w:rStyle w:val="ab"/>
        </w:rPr>
        <w:footnoteRef/>
      </w:r>
      <w:r>
        <w:rPr>
          <w:rtl/>
        </w:rPr>
        <w:t xml:space="preserve"> ומיניה לא קא מיבעיה לן דאפילו מגלימא דעל כתפיה גבינן, אלא-...</w:t>
      </w:r>
    </w:p>
  </w:footnote>
  <w:footnote w:id="4520">
    <w:p w14:paraId="651FF031" w14:textId="77777777" w:rsidR="0013116F" w:rsidRDefault="0013116F" w:rsidP="001D49D4">
      <w:pPr>
        <w:pStyle w:val="a9"/>
        <w:rPr>
          <w:rtl/>
        </w:rPr>
      </w:pPr>
      <w:r>
        <w:rPr>
          <w:rStyle w:val="ab"/>
        </w:rPr>
        <w:footnoteRef/>
      </w:r>
      <w:r>
        <w:rPr>
          <w:rtl/>
        </w:rPr>
        <w:t xml:space="preserve"> לוה, וכתב למלוה 'שעבדתי לך כל נכסיי דקנאי ודאיקני', וחזר ולוה מאחר וכתב לו כמו שכתב לו לראשון, ואח"כ קנה נכסים ומכרן או שמת והורישם ליורשים, ובאו שני הנושים לטרוף אותן הנכסים, הדין עם מי? לקמא משתעבד, שהרי כתוב בשטר מוקדם, או לבתרא משתעבד, דלא אלים דאיקני לתפוס עד שיבואו הנכסים בעולם וכי קנה הני נכסים אחרי כן הא הדר ביה מקמא ויקנה בתרא, רשב"ם.</w:t>
      </w:r>
    </w:p>
  </w:footnote>
  <w:footnote w:id="4521">
    <w:p w14:paraId="154E84EF" w14:textId="77777777" w:rsidR="0013116F" w:rsidRDefault="0013116F" w:rsidP="001D49D4">
      <w:pPr>
        <w:pStyle w:val="a9"/>
        <w:rPr>
          <w:rtl/>
        </w:rPr>
      </w:pPr>
      <w:r>
        <w:rPr>
          <w:rStyle w:val="ab"/>
        </w:rPr>
        <w:footnoteRef/>
      </w:r>
      <w:r>
        <w:rPr>
          <w:rtl/>
        </w:rPr>
        <w:t xml:space="preserve"> כל אחד לפי מעותיו דבבת אחת נשתעבדו להם שהרי אחר ב' ההלואות קנאה ובאותה העת שקנאה מיד נשתעבדו לשניהן שאין קדימה לאחד מהן, רשב"ם.</w:t>
      </w:r>
    </w:p>
  </w:footnote>
  <w:footnote w:id="4522">
    <w:p w14:paraId="004E8557" w14:textId="77777777" w:rsidR="0013116F" w:rsidRDefault="0013116F" w:rsidP="001D49D4">
      <w:pPr>
        <w:pStyle w:val="a9"/>
        <w:rPr>
          <w:rtl/>
        </w:rPr>
      </w:pPr>
      <w:r>
        <w:rPr>
          <w:rStyle w:val="ab"/>
        </w:rPr>
        <w:footnoteRef/>
      </w:r>
      <w:r>
        <w:rPr>
          <w:rtl/>
        </w:rPr>
        <w:t xml:space="preserve"> כשחזר לימודו פעם שניה. נמצא בתשובת רב האי ובפר"ח רב אשי חיה ששים שנה ובכל שנה מחזר לימודו בשני חדשי הכלה ניסן ותשרי ולכשהגיעו שלשים שנה סיים כל לימודו וכן עשה בשלשים שנים אחרונים ומהדורא קמא היינו שלשים שנים ראשונים ומהדורא בתרא הן שלשים שנים אחרונים, רשב"ם.</w:t>
      </w:r>
    </w:p>
  </w:footnote>
  <w:footnote w:id="4523">
    <w:p w14:paraId="5F5E1D24" w14:textId="77777777" w:rsidR="0013116F" w:rsidRDefault="0013116F" w:rsidP="001D49D4">
      <w:pPr>
        <w:pStyle w:val="a9"/>
      </w:pPr>
      <w:r>
        <w:rPr>
          <w:rStyle w:val="ab"/>
        </w:rPr>
        <w:footnoteRef/>
      </w:r>
      <w:r>
        <w:rPr>
          <w:rtl/>
        </w:rPr>
        <w:t xml:space="preserve"> הלוקח.</w:t>
      </w:r>
    </w:p>
  </w:footnote>
  <w:footnote w:id="4524">
    <w:p w14:paraId="3890D34F" w14:textId="77777777" w:rsidR="0013116F" w:rsidRDefault="0013116F" w:rsidP="001D49D4">
      <w:pPr>
        <w:pStyle w:val="a9"/>
      </w:pPr>
      <w:r>
        <w:rPr>
          <w:rStyle w:val="ab"/>
        </w:rPr>
        <w:footnoteRef/>
      </w:r>
      <w:r>
        <w:rPr>
          <w:rtl/>
        </w:rPr>
        <w:t xml:space="preserve"> מהמוכר (כיון שמכרה לו באחריות).</w:t>
      </w:r>
    </w:p>
  </w:footnote>
  <w:footnote w:id="4525">
    <w:p w14:paraId="27074EC6" w14:textId="77777777" w:rsidR="0013116F" w:rsidRDefault="0013116F" w:rsidP="001D49D4">
      <w:pPr>
        <w:pStyle w:val="a9"/>
      </w:pPr>
      <w:r>
        <w:rPr>
          <w:rStyle w:val="ab"/>
        </w:rPr>
        <w:footnoteRef/>
      </w:r>
      <w:r>
        <w:rPr>
          <w:rtl/>
        </w:rPr>
        <w:t xml:space="preserve"> שכיון שמכר הלוה שדהו וכתב לו אחריות עליו, ואחרי כן השביחן הלוקח, נמצא המלוה והלוקח שניהן נושין בלוה, ונמצא השבח קנוי ללוה אחר שעבוד שניהן, למלוה בחובו וללוקח בכסף מקנתו, לפיכך חולקין השבח כדין לוה ולוה וחזר וקנה, הלכך אין למלוה בכל מקום אלא חצי השבח, רשב"ם.</w:t>
      </w:r>
    </w:p>
  </w:footnote>
  <w:footnote w:id="4526">
    <w:p w14:paraId="5E65C9EF" w14:textId="77777777" w:rsidR="0013116F" w:rsidRDefault="0013116F" w:rsidP="001D49D4">
      <w:pPr>
        <w:pStyle w:val="a9"/>
      </w:pPr>
      <w:r>
        <w:rPr>
          <w:rStyle w:val="ab"/>
        </w:rPr>
        <w:footnoteRef/>
      </w:r>
      <w:r>
        <w:rPr>
          <w:rtl/>
        </w:rPr>
        <w:t xml:space="preserve"> וכתב הב"י דדבר פשוט הוא שאין דברי הרא"ש אמורים אלא במכר או משכן הלוה, דהתם הוא דאיכא משום תקנת השוק, אבל לענין בעל חוב מאוחר שקדם וגבה מאי תקנת השוק איכא, הילכך דיינינן ליה כדיניה שנתבאר בסימן ק"ד </w:t>
      </w:r>
      <w:r>
        <w:rPr>
          <w:sz w:val="16"/>
          <w:szCs w:val="16"/>
          <w:rtl/>
        </w:rPr>
        <w:t>(ס"ב)</w:t>
      </w:r>
      <w:r>
        <w:rPr>
          <w:rtl/>
        </w:rPr>
        <w:t xml:space="preserve">, וזה דבר פשוט ומבואר </w:t>
      </w:r>
      <w:r>
        <w:rPr>
          <w:sz w:val="16"/>
          <w:szCs w:val="16"/>
          <w:rtl/>
        </w:rPr>
        <w:t xml:space="preserve">(וכל דיינא דלא דיין הכי לאו דיינא הוא וטועה בדבר משנה הוא וחוזר ונ"ל שראוי לסלקו מדיין, והוצרכתי לכתוב לפי שראיתי מי שטעה בזה והחזיק בטעותו לעשות מעשה כדברי טעותו אחר שחלקו עליו כל בעלי הוראה. [בדק הבית] כאשר ראה הדיין הטועה הנזכר זה שכתבתי כתב </w:t>
      </w:r>
      <w:r>
        <w:rPr>
          <w:sz w:val="12"/>
          <w:szCs w:val="12"/>
          <w:rtl/>
        </w:rPr>
        <w:t xml:space="preserve">(שו"ת מבי"ט ח"ב סי' ה) </w:t>
      </w:r>
      <w:r>
        <w:rPr>
          <w:sz w:val="16"/>
          <w:szCs w:val="16"/>
          <w:rtl/>
        </w:rPr>
        <w:t xml:space="preserve">וז"ל מה שכתב הבעל חוב מאוחר שקדם וגבה מאי תקנת השוק איכא ותקשי ליה במקבל מתנה מאי תקנת השוק איכא שהרי כתב הוא עצמו בסמוך לזה (ס"ז) דמשמע דסבירא ליה להרא"ש דבמתנה נמי איכא תקנת השוק ושאין כן דעת הרשב"א ושסוגיין דעלמא כהרא"ש וכו' וכדאי הוא הרא"ש לסמוך עליו ועוד שחכמי דורו הכי סבירא להו ועוד דלהרא"ש מוקמינן ממונא בדוכתיה ע"כ. וכיון שכן הוא כדברי הרא"ש מהני טעמי טובא, כל שכן בבעל חוב מאוחר שקדם וגבה שיסבור הרא"ש דאית ביה משום תקנת השוק, דאם במקבל מתנה דלאו במידי חסריה מוקמינן ממונא בדוכתיה, וכל שכן בבעל חוב מאוחר דחסר אי מפקי מיניה דפשיטא דאית ביה תקנת השוק להרא"ש עכ"ל. ואני אומר דאישתמיטתיה בפרק בני העיר </w:t>
      </w:r>
      <w:r>
        <w:rPr>
          <w:sz w:val="12"/>
          <w:szCs w:val="12"/>
          <w:rtl/>
        </w:rPr>
        <w:t xml:space="preserve">(מגילה כו:) </w:t>
      </w:r>
      <w:r>
        <w:rPr>
          <w:sz w:val="16"/>
          <w:szCs w:val="16"/>
          <w:rtl/>
        </w:rPr>
        <w:t>גבי מתנה אי לאו דהוה ליה הנאה מיניה לא הוה יהיב ליה מתנה הדר הוה ליה מתנה כזבינא הרי בהדיא דמתנה כמכר הוא ומה ענין זה לבעל חוב מאוחר שקדם וגבה ותמה על עצמך שהרי תקנת השוק להפקיע כח כל השטרי חובות לא נזכר בגמרא ולא בדברי הפוסקים ראשונים ואחרונים זולת הרא"ש שאמרו מאומד הדעת שאין לך אדם שקונה חפץ מחבירו והבו דלא לוסיף עלה הוא דדוקא במכר או במתנה שהיא כמכר אמרה מהטעם הנזכר ולא במקום אחר</w:t>
      </w:r>
      <w:r>
        <w:rPr>
          <w:sz w:val="12"/>
          <w:szCs w:val="12"/>
          <w:rtl/>
        </w:rPr>
        <w:t xml:space="preserve"> </w:t>
      </w:r>
      <w:r>
        <w:rPr>
          <w:sz w:val="16"/>
          <w:szCs w:val="16"/>
          <w:rtl/>
        </w:rPr>
        <w:t>[עד כאן]. עכ"ל הב"י)</w:t>
      </w:r>
      <w:r>
        <w:rPr>
          <w:rtl/>
        </w:rPr>
        <w:t>. וכ"פ הסמ"ע (סק"ז). אך הש"ך (סק"ח) חלק על הב"י והסמ"ע וכתב כדברי מהרי"ט דמה שגבה בעל חוב מאוחר – גבה, דגם בזה עשו תקנת השוק.</w:t>
      </w:r>
    </w:p>
  </w:footnote>
  <w:footnote w:id="4527">
    <w:p w14:paraId="0200C506" w14:textId="77777777" w:rsidR="0013116F" w:rsidRDefault="0013116F" w:rsidP="001D49D4">
      <w:pPr>
        <w:pStyle w:val="a9"/>
        <w:rPr>
          <w:rtl/>
        </w:rPr>
      </w:pPr>
      <w:r>
        <w:rPr>
          <w:rStyle w:val="ab"/>
        </w:rPr>
        <w:footnoteRef/>
      </w:r>
      <w:r>
        <w:rPr>
          <w:rtl/>
        </w:rPr>
        <w:t xml:space="preserve"> </w:t>
      </w:r>
      <w:r>
        <w:rPr>
          <w:rFonts w:hint="cs"/>
          <w:rtl/>
        </w:rPr>
        <w:t xml:space="preserve">וכתב הטור </w:t>
      </w:r>
      <w:r>
        <w:rPr>
          <w:rtl/>
        </w:rPr>
        <w:t>דחזר השואל ואמר שאי אפשר לו לברר המנהג כיצד נהגו ועל זה השיב לו</w:t>
      </w:r>
      <w:r>
        <w:rPr>
          <w:sz w:val="16"/>
          <w:szCs w:val="16"/>
          <w:rtl/>
        </w:rPr>
        <w:t xml:space="preserve"> {הרא"ש}</w:t>
      </w:r>
      <w:r>
        <w:rPr>
          <w:rtl/>
        </w:rPr>
        <w:t>-...</w:t>
      </w:r>
    </w:p>
  </w:footnote>
  <w:footnote w:id="4528">
    <w:p w14:paraId="72931992" w14:textId="77777777" w:rsidR="0013116F" w:rsidRDefault="0013116F" w:rsidP="001D49D4">
      <w:pPr>
        <w:pStyle w:val="a9"/>
      </w:pPr>
      <w:r>
        <w:rPr>
          <w:rStyle w:val="ab"/>
        </w:rPr>
        <w:footnoteRef/>
      </w:r>
      <w:r>
        <w:rPr>
          <w:rtl/>
        </w:rPr>
        <w:t xml:space="preserve"> </w:t>
      </w:r>
      <w:r>
        <w:rPr>
          <w:rFonts w:hint="cs"/>
          <w:rtl/>
        </w:rPr>
        <w:t xml:space="preserve">כתב הב"י </w:t>
      </w:r>
      <w:r>
        <w:rPr>
          <w:rtl/>
        </w:rPr>
        <w:t>דממה שכתב הרא"ש בתשובה זו כבר נהגו בכל הארץ הזאת שאין מגבין לבעל חוב ממטלטלי שמכר או נתן הלוה מפני תקנת השוק משמע דסבירא ליה ד-...</w:t>
      </w:r>
    </w:p>
  </w:footnote>
  <w:footnote w:id="4529">
    <w:p w14:paraId="1048DE32" w14:textId="77777777" w:rsidR="0013116F" w:rsidRDefault="0013116F" w:rsidP="001D49D4">
      <w:pPr>
        <w:pStyle w:val="a9"/>
        <w:rPr>
          <w:rtl/>
        </w:rPr>
      </w:pPr>
      <w:r>
        <w:rPr>
          <w:rStyle w:val="ab"/>
        </w:rPr>
        <w:footnoteRef/>
      </w:r>
      <w:r>
        <w:rPr>
          <w:rtl/>
        </w:rPr>
        <w:t xml:space="preserve"> </w:t>
      </w:r>
      <w:r>
        <w:rPr>
          <w:rFonts w:hint="cs"/>
          <w:rtl/>
        </w:rPr>
        <w:t>וז"ל-</w:t>
      </w:r>
      <w:r>
        <w:rPr>
          <w:rtl/>
        </w:rPr>
        <w:t xml:space="preserve"> ומכל מקום סוגיין דעלמא בהא כהרא"ש ואע"פ שאיפשר שטעמם מפני שלא ראו חולק עליו מכל מקום כדאי הוא הרא"ש לסמוך עליו, ועוד דמשמע שחכמי דורו הכי סבירא להו, ועוד דלהרא"ש מוקמינן ממונא בדוכתיה. עכ"ל. אך הש"ך </w:t>
      </w:r>
      <w:r>
        <w:rPr>
          <w:sz w:val="16"/>
          <w:szCs w:val="16"/>
          <w:rtl/>
        </w:rPr>
        <w:t xml:space="preserve">(סק"ז, ובסי' שנו סק"ד) </w:t>
      </w:r>
      <w:r>
        <w:rPr>
          <w:rtl/>
        </w:rPr>
        <w:t>השיג על הב"י ודרכ"מ בזה, והוכיח דהרשב"א והרא"ש לא פליגי.</w:t>
      </w:r>
    </w:p>
  </w:footnote>
  <w:footnote w:id="4530">
    <w:p w14:paraId="5680DAC9" w14:textId="77777777" w:rsidR="0013116F" w:rsidRDefault="0013116F" w:rsidP="001D49D4">
      <w:pPr>
        <w:pStyle w:val="a9"/>
        <w:rPr>
          <w:rtl/>
        </w:rPr>
      </w:pPr>
      <w:r>
        <w:rPr>
          <w:rStyle w:val="ab"/>
        </w:rPr>
        <w:footnoteRef/>
      </w:r>
      <w:r>
        <w:rPr>
          <w:rtl/>
        </w:rPr>
        <w:t xml:space="preserve"> </w:t>
      </w:r>
      <w:r>
        <w:rPr>
          <w:rFonts w:hint="cs"/>
          <w:rtl/>
        </w:rPr>
        <w:t xml:space="preserve">סימן – משטח ודונקי </w:t>
      </w:r>
      <w:r>
        <w:rPr>
          <w:sz w:val="16"/>
          <w:szCs w:val="16"/>
          <w:rtl/>
        </w:rPr>
        <w:t>(מקרקעי ומטלטלי)</w:t>
      </w:r>
      <w:r>
        <w:rPr>
          <w:rtl/>
        </w:rPr>
        <w:t>. ודעתו מכוונת</w:t>
      </w:r>
      <w:r>
        <w:rPr>
          <w:sz w:val="16"/>
          <w:szCs w:val="16"/>
          <w:rtl/>
        </w:rPr>
        <w:t xml:space="preserve"> (לא כאסמכתא/כטופסי)</w:t>
      </w:r>
      <w:r>
        <w:rPr>
          <w:rtl/>
        </w:rPr>
        <w:t xml:space="preserve">. </w:t>
      </w:r>
    </w:p>
  </w:footnote>
  <w:footnote w:id="4531">
    <w:p w14:paraId="28563AD2" w14:textId="77777777" w:rsidR="0013116F" w:rsidRDefault="0013116F" w:rsidP="001D49D4">
      <w:pPr>
        <w:pStyle w:val="a9"/>
        <w:rPr>
          <w:rtl/>
        </w:rPr>
      </w:pPr>
      <w:r>
        <w:rPr>
          <w:rStyle w:val="ab"/>
        </w:rPr>
        <w:footnoteRef/>
      </w:r>
      <w:r>
        <w:rPr>
          <w:rtl/>
        </w:rPr>
        <w:t xml:space="preserve"> ואפילו לא כתב לו אחריות, דאחריות טעות סופר היא </w:t>
      </w:r>
      <w:r>
        <w:rPr>
          <w:sz w:val="16"/>
          <w:szCs w:val="16"/>
          <w:rtl/>
        </w:rPr>
        <w:t>(כדלעיל ר"ס ל"ט)</w:t>
      </w:r>
      <w:r>
        <w:rPr>
          <w:rtl/>
        </w:rPr>
        <w:t>. ועיין לקמן סימן קי"ב [סעיף א'] דכתב מור"ם די"א דגם באחריות דדאקני אמרינן שהיא טעות סופר. מיהו כתבתי שם [סק"ו] דהיינו דוקא בדלא כתב בהשטר שום אחריות, אבל אם כתוב בו אחריות ולא כתוב בו דאקני, אמרינן מאי דלא כתב לא קנה, ומזה איירי המחבר כאן במ"ש דצריך לכתוב לו דאקני, סמ"ע (סק"א). ועיקר דיני טריפה נתבארו לקמן מסימן קי"א עד סוף סימן קי"ד.</w:t>
      </w:r>
    </w:p>
  </w:footnote>
  <w:footnote w:id="4532">
    <w:p w14:paraId="0F1B500D" w14:textId="77777777" w:rsidR="0013116F" w:rsidRDefault="0013116F" w:rsidP="001D49D4">
      <w:pPr>
        <w:pStyle w:val="a9"/>
      </w:pPr>
      <w:r>
        <w:rPr>
          <w:rStyle w:val="ab"/>
        </w:rPr>
        <w:footnoteRef/>
      </w:r>
      <w:r>
        <w:rPr>
          <w:rtl/>
        </w:rPr>
        <w:t xml:space="preserve"> ואם חזר בו הלוה עד שכבר בא לעולם, כו"ע מודים דשוב אינו יכול לחזור בו וקנהו למפרע משעת השעבוד אף שלא היה אז בעולם </w:t>
      </w:r>
      <w:r>
        <w:rPr>
          <w:sz w:val="16"/>
          <w:szCs w:val="16"/>
          <w:rtl/>
        </w:rPr>
        <w:t>(אף דבקנין גמור בכה"ג קי"ל [סי' רט ס"ד] כרבנן דאמרי דיכול לחזור אף לאחר שבא לעולם, בהא השעבוד עדיף מקנין דאינו יכול לחזור בו)</w:t>
      </w:r>
      <w:r>
        <w:rPr>
          <w:rtl/>
        </w:rPr>
        <w:t>, אבל אי בא לחזור משעבודו קודם שבא לעולם, בזה יש פלוגתא, דהרמב"ן</w:t>
      </w:r>
      <w:r>
        <w:rPr>
          <w:sz w:val="16"/>
          <w:szCs w:val="16"/>
          <w:rtl/>
        </w:rPr>
        <w:t xml:space="preserve"> (ב"ב מד: ד"ה כגון, הביאו הנמוק"י [ב"ב כד. מדפה"ר])</w:t>
      </w:r>
      <w:r>
        <w:rPr>
          <w:rtl/>
        </w:rPr>
        <w:t xml:space="preserve"> ס"ל דאינו יכול לחזור בו, והרשב"א </w:t>
      </w:r>
      <w:r>
        <w:rPr>
          <w:sz w:val="16"/>
          <w:szCs w:val="16"/>
          <w:rtl/>
        </w:rPr>
        <w:t>(שם ד"ה ומיהא, הביאו הנמוק"י [שם])</w:t>
      </w:r>
      <w:r>
        <w:rPr>
          <w:rtl/>
        </w:rPr>
        <w:t xml:space="preserve"> כתב דיכול לחזור בו. וכתב מילתא בטעמא, והוא דלא עדיף שעבוד לרבנן מקנין לר"מ דס"ל דאדם יכול להקנות דבר שלא בא לעולם, ומפרשו רב הונא </w:t>
      </w:r>
      <w:r>
        <w:rPr>
          <w:sz w:val="16"/>
          <w:szCs w:val="16"/>
          <w:rtl/>
        </w:rPr>
        <w:t xml:space="preserve">[יבמות צג.] </w:t>
      </w:r>
      <w:r>
        <w:rPr>
          <w:rtl/>
        </w:rPr>
        <w:t xml:space="preserve">דהיינו לאחר שבא לעולם... ועי' בסימן קי"ב בסמ"ע </w:t>
      </w:r>
      <w:r>
        <w:rPr>
          <w:sz w:val="16"/>
          <w:szCs w:val="16"/>
          <w:rtl/>
        </w:rPr>
        <w:t xml:space="preserve">[סק"ה] </w:t>
      </w:r>
      <w:r>
        <w:rPr>
          <w:rtl/>
        </w:rPr>
        <w:t xml:space="preserve">מש"כ עוד מזה, סמ"ע </w:t>
      </w:r>
      <w:r>
        <w:rPr>
          <w:sz w:val="16"/>
          <w:szCs w:val="16"/>
          <w:rtl/>
        </w:rPr>
        <w:t>(סק"ב)</w:t>
      </w:r>
      <w:r>
        <w:rPr>
          <w:rtl/>
        </w:rPr>
        <w:t xml:space="preserve">. והש"ך </w:t>
      </w:r>
      <w:r>
        <w:rPr>
          <w:sz w:val="16"/>
          <w:szCs w:val="16"/>
          <w:rtl/>
        </w:rPr>
        <w:t xml:space="preserve">(סק"ב) </w:t>
      </w:r>
      <w:r>
        <w:rPr>
          <w:rtl/>
        </w:rPr>
        <w:t xml:space="preserve">כתב דלקמן ר"ס קי"ב </w:t>
      </w:r>
      <w:r>
        <w:rPr>
          <w:sz w:val="16"/>
          <w:szCs w:val="16"/>
          <w:rtl/>
        </w:rPr>
        <w:t>[סק"ב]</w:t>
      </w:r>
      <w:r>
        <w:rPr>
          <w:rtl/>
        </w:rPr>
        <w:t xml:space="preserve"> העלה כהרמב"ן דאינו יכול לחזור בו.</w:t>
      </w:r>
    </w:p>
  </w:footnote>
  <w:footnote w:id="4533">
    <w:p w14:paraId="25DABA52" w14:textId="77777777" w:rsidR="0013116F" w:rsidRDefault="0013116F" w:rsidP="001D49D4">
      <w:pPr>
        <w:pStyle w:val="a9"/>
      </w:pPr>
      <w:r>
        <w:rPr>
          <w:rStyle w:val="ab"/>
        </w:rPr>
        <w:footnoteRef/>
      </w:r>
      <w:r>
        <w:rPr>
          <w:rtl/>
        </w:rPr>
        <w:t xml:space="preserve"> היינו דאפילו מכרן לשעתו ולא ממכר עולם אינו טורף מהם</w:t>
      </w:r>
      <w:r>
        <w:rPr>
          <w:sz w:val="16"/>
          <w:szCs w:val="16"/>
          <w:rtl/>
        </w:rPr>
        <w:t xml:space="preserve"> (ע"ש ברמב"ם (ה"ד) שמחלק בין מכר לשעתה למכרה ממכר עולם)</w:t>
      </w:r>
      <w:r>
        <w:rPr>
          <w:rtl/>
        </w:rPr>
        <w:t>, ש"ך (סק"ג). והסמ"ע (סק"ד) פירש דר"ל בעת שהיה חייב לו עדיין, אי נמי ר"ל בעת שהיה צריך לו למכור או ליתנו לזה.</w:t>
      </w:r>
    </w:p>
  </w:footnote>
  <w:footnote w:id="4534">
    <w:p w14:paraId="532AAD16" w14:textId="77777777" w:rsidR="0013116F" w:rsidRDefault="0013116F" w:rsidP="001D49D4">
      <w:pPr>
        <w:pStyle w:val="a9"/>
        <w:rPr>
          <w:rtl/>
        </w:rPr>
      </w:pPr>
      <w:r>
        <w:rPr>
          <w:rStyle w:val="ab"/>
        </w:rPr>
        <w:footnoteRef/>
      </w:r>
      <w:r>
        <w:rPr>
          <w:rtl/>
        </w:rPr>
        <w:t xml:space="preserve"> וקשה שהרי בהרמב"ם וכל הפוסקים ראשונים ואחרונים לא נזכר מנהג זה, ואדרבה הרשב"א והריב"ש ושאר אחרונים כתבו כמה פעמים בתשובותיהם הלכה למעשה לטרוף ממטלטלים ולא הזכירו שום מנהג, וגם מדברי התוס' והג"א פרק חזקת הבתים </w:t>
      </w:r>
      <w:r>
        <w:rPr>
          <w:sz w:val="16"/>
          <w:szCs w:val="16"/>
          <w:rtl/>
        </w:rPr>
        <w:t>(מד: תוס' ד"ה דלא והג"א סי' מג)</w:t>
      </w:r>
      <w:r>
        <w:rPr>
          <w:rtl/>
        </w:rPr>
        <w:t xml:space="preserve"> מבואר דאף בזמנם היו טורפים ממטלטלים... וגם הרא"ש בפסקיו לא הזכירו, רק בתשובתו (כלל ע"ט סי' ד) כתב שבארץ ההיא נהגו כך, וגם באותה תשובה היה מסופק אם נהגו כך, וכתב שיש לעמוד על המנהג, ואם אי אפשר לברר המנהג יעמוד הדבר על דין התורה ויטרוף הבעל חוב מטלטלים... ומוכח מדברי הרא"ש וטור דדוקא היכא שנהגו לכתוב בכל השטרות שעבוד מטלטלי אגב קרקע, הוא דאין נוהגים לטרוף ממטלטלי, הא לאו הכי טורפים ממטלטלי. ונראה דגם המחבר מיירי דוקא במקומות שלו שהיה המנהג פשוט כן שלא לטרוף ממטלטלים, והיינו נמי משום שהיו נוהגים לכתוב שעבוד מטלטלי אגב קרקע בכל השטרות, אבל בשאר מקומות שאין ידוע המנהג בבירור אין לזוז מדין תורה, וגם היכא שאין נוהגים כן לכתוב שעבוד מטלטלי אגב קרקע בכל השטרות, פשיטא דטורפים ממטלטלים, ואין צריך לחקור כלל על המנהג, דכיון שאין כותבים שעבוד מטלטלי אגב קרקע רק במקצת שטרות כששיעבד לו בפירוש וציוה לכתוב כן, א"כ לא שייך תקנת השוק, ודאי דלא נהגו בהיפך מדין תורה, ש"ך (סק"ד).</w:t>
      </w:r>
    </w:p>
  </w:footnote>
  <w:footnote w:id="4535">
    <w:p w14:paraId="273F01E8" w14:textId="77777777" w:rsidR="0013116F" w:rsidRDefault="0013116F" w:rsidP="001D49D4">
      <w:pPr>
        <w:pStyle w:val="a9"/>
        <w:rPr>
          <w:rtl/>
        </w:rPr>
      </w:pPr>
      <w:r>
        <w:rPr>
          <w:rStyle w:val="ab"/>
        </w:rPr>
        <w:footnoteRef/>
      </w:r>
      <w:r>
        <w:rPr>
          <w:rtl/>
        </w:rPr>
        <w:t xml:space="preserve"> ומ"מ כותבין כן משום הני תרי ענינים דמסיק המחבר וכתב, דהיינו אם כתב כל נכסיו לאחר ולא שייר לנפשו כלום, או אם מכר שט"ח, וגם איכא נפקא מינא בזה לענין בעל חוב מאוחר, וכמו שכתבתי אחר זה [סק"ז] בשם ב"י, סמ"ע (סק"ו).</w:t>
      </w:r>
    </w:p>
  </w:footnote>
  <w:footnote w:id="4536">
    <w:p w14:paraId="3738DDC0" w14:textId="77777777" w:rsidR="0013116F" w:rsidRDefault="0013116F" w:rsidP="001D49D4">
      <w:pPr>
        <w:pStyle w:val="a9"/>
      </w:pPr>
      <w:r>
        <w:rPr>
          <w:rStyle w:val="ab"/>
        </w:rPr>
        <w:footnoteRef/>
      </w:r>
      <w:r>
        <w:rPr>
          <w:rtl/>
        </w:rPr>
        <w:t xml:space="preserve"> </w:t>
      </w:r>
      <w:r>
        <w:rPr>
          <w:rFonts w:hint="cs"/>
          <w:rtl/>
        </w:rPr>
        <w:t xml:space="preserve">ואפילו באו אחר המכירה ליד זה הבעל חוב ששיעבד לו מטלטלי אגב קרקע, צריך להחזירם לו להלוקח או להמקבל מתנה כיון שכבר קנו אותם לפי קנינם </w:t>
      </w:r>
      <w:r>
        <w:rPr>
          <w:sz w:val="16"/>
          <w:szCs w:val="16"/>
          <w:rtl/>
        </w:rPr>
        <w:t>(עיין מה שכתבתי לקמן ס"ס קכ"ו)</w:t>
      </w:r>
      <w:r>
        <w:rPr>
          <w:rtl/>
        </w:rPr>
        <w:t>, ש"ך (סק"ה).</w:t>
      </w:r>
    </w:p>
  </w:footnote>
  <w:footnote w:id="4537">
    <w:p w14:paraId="1B9FD8A2" w14:textId="77777777" w:rsidR="0013116F" w:rsidRDefault="0013116F" w:rsidP="001D49D4">
      <w:pPr>
        <w:pStyle w:val="a9"/>
      </w:pPr>
      <w:r>
        <w:rPr>
          <w:rStyle w:val="ab"/>
        </w:rPr>
        <w:footnoteRef/>
      </w:r>
      <w:r>
        <w:rPr>
          <w:rtl/>
        </w:rPr>
        <w:t xml:space="preserve"> מוכח מכאן מדברי הרא"ש </w:t>
      </w:r>
      <w:r>
        <w:rPr>
          <w:sz w:val="16"/>
          <w:szCs w:val="16"/>
          <w:rtl/>
        </w:rPr>
        <w:t>(כלל עט סי' ה)</w:t>
      </w:r>
      <w:r>
        <w:rPr>
          <w:rtl/>
        </w:rPr>
        <w:t xml:space="preserve"> והטור והמחבר ושאר אחרונים דשטרות משתעבדי באגב, ותימה שלא הביא בב"י מחלוקת בזה, שהרי הרשב"א בתשובה </w:t>
      </w:r>
      <w:r>
        <w:rPr>
          <w:sz w:val="16"/>
          <w:szCs w:val="16"/>
          <w:rtl/>
        </w:rPr>
        <w:t xml:space="preserve">(ח"א סי' תתקיד) </w:t>
      </w:r>
      <w:r>
        <w:rPr>
          <w:rtl/>
        </w:rPr>
        <w:t xml:space="preserve">חולק וס"ל דשטרות אינם משתעבדים באגב כלל, ומביאו ב"י לקמן סימן ק"ד </w:t>
      </w:r>
      <w:r>
        <w:rPr>
          <w:sz w:val="16"/>
          <w:szCs w:val="16"/>
          <w:rtl/>
        </w:rPr>
        <w:t xml:space="preserve">(מחודש ה) </w:t>
      </w:r>
      <w:r>
        <w:rPr>
          <w:rtl/>
        </w:rPr>
        <w:t>בקצרה, א"כ לפי דעת הרשב"א פשיטא דאין הבעל חוב יכול לגבות מן השטר חוב שמכר אף לפי דינא דש"ס, ולקמן סימן ס"ו סקכ"ו כתבתי שנ"ל כדברי הרשב"א. ומ"מ צ"ע כיון דהאחרונים לא כתבו רק דברי הרא"ש וטור בסתם. ומיהו אף להרשב"א נ"מ בזה שכתב הרא"ש דבשטרות לא שייך תקנת השוק, לענין אם מכר מתחילה השטר חוב במכירת אגב קרקע או בשאר קנין המועיל כדלקמן סימן ס"ו, וחזר ומכרו לאחר, הלוקח הראשון מוציא מיד הלוקח השני בחנם, דלא שייך בשטרות תקנת השוק כיון דלא שכיח, ש"ך (סק"ט).</w:t>
      </w:r>
    </w:p>
  </w:footnote>
  <w:footnote w:id="4538">
    <w:p w14:paraId="5E467612" w14:textId="77777777" w:rsidR="0013116F" w:rsidRDefault="0013116F" w:rsidP="001D49D4">
      <w:pPr>
        <w:pStyle w:val="a9"/>
        <w:rPr>
          <w:rtl/>
        </w:rPr>
      </w:pPr>
      <w:r>
        <w:rPr>
          <w:rStyle w:val="ab"/>
        </w:rPr>
        <w:footnoteRef/>
      </w:r>
      <w:r>
        <w:rPr>
          <w:rtl/>
        </w:rPr>
        <w:t xml:space="preserve"> ר"ל דשם כתב מור"ם בהג"ה דאם נראה לב"ד שלא כיונו לערמה אלא למתנה גמורה, קנה המקבל אע"פ שנתנו לו להפקיע חובו, ע"ש, סמ"ע (סק"ח).</w:t>
      </w:r>
    </w:p>
  </w:footnote>
  <w:footnote w:id="4539">
    <w:p w14:paraId="502C8BB8" w14:textId="77777777" w:rsidR="0013116F" w:rsidRDefault="0013116F" w:rsidP="001D49D4">
      <w:pPr>
        <w:pStyle w:val="a9"/>
      </w:pPr>
      <w:r>
        <w:rPr>
          <w:rStyle w:val="ab"/>
        </w:rPr>
        <w:footnoteRef/>
      </w:r>
      <w:r>
        <w:rPr>
          <w:rtl/>
        </w:rPr>
        <w:t xml:space="preserve"> </w:t>
      </w:r>
      <w:r>
        <w:rPr>
          <w:rFonts w:hint="cs"/>
          <w:rtl/>
        </w:rPr>
        <w:t>סימן – קנין באמירה. וכן – קנין קיחה בת.</w:t>
      </w:r>
    </w:p>
  </w:footnote>
  <w:footnote w:id="4540">
    <w:p w14:paraId="57F9035C" w14:textId="77777777" w:rsidR="0013116F" w:rsidRDefault="0013116F" w:rsidP="001D49D4">
      <w:pPr>
        <w:pStyle w:val="a9"/>
      </w:pPr>
      <w:r>
        <w:rPr>
          <w:rStyle w:val="ab"/>
        </w:rPr>
        <w:footnoteRef/>
      </w:r>
      <w:r>
        <w:rPr>
          <w:rtl/>
        </w:rPr>
        <w:t xml:space="preserve"> </w:t>
      </w:r>
      <w:r>
        <w:rPr>
          <w:rFonts w:hint="cs"/>
          <w:rtl/>
        </w:rPr>
        <w:t>סימן – נתינה נקובה.</w:t>
      </w:r>
    </w:p>
  </w:footnote>
  <w:footnote w:id="4541">
    <w:p w14:paraId="0702C162" w14:textId="77777777" w:rsidR="0013116F" w:rsidRDefault="0013116F" w:rsidP="001D49D4">
      <w:pPr>
        <w:pStyle w:val="a9"/>
      </w:pPr>
      <w:r>
        <w:rPr>
          <w:rStyle w:val="ab"/>
        </w:rPr>
        <w:footnoteRef/>
      </w:r>
      <w:r>
        <w:rPr>
          <w:rtl/>
        </w:rPr>
        <w:t xml:space="preserve"> והראב"ד כתב שלא ידע מאין הורו כן דהא בגמרא משמע איפכא. והרב המגיד דחה ראייתו ומכל מקום כתב שאינו יודע ראיה לדין זה. ולי נראה שלמדו כן מדאמרינן בפרק הנושא (כתובות קב:) דכיון דבנות לא היו בשעת קנין אף על פי שקנו מידו לא טרפי ממשעבדי ובעי לאשכוחי דנהוו בנות בשעת קנין וקאמר מי לא עסקינן דהואי בשעת קנין והיכי דמי כגון שגירשה ואהדרה כלומר שילדה לו בת וגירשה ואהדרה ופסק עמה לזון בתו ואם איתא דקנין מהני בדבר שאינו קצוב למה ליה לאוקמה בגירשה לוקמה בילדה והתנה עמה לזונה וקנו מידו אלא ודאי משמע דקנין לא מהני שלא בשעת קידושין מפני שהוא דבר שאינו קצוב, ב"י. אך הגר"א (סק"י) כתב שהרמב"ם למד דבר זה מהירושלמי (הביאו תוס' והרא"ש בר"פ הנושא) במה הוא מתחייב לזון את בת אשתו לא כן כו' וכדי שלא יחלוק הירושלמי על הגמ' שלנו שאמרו דר"י ור"ל פליגי בזה מוקי הרמב"ם את הירושלמי במתחייב דבר שאינו קצוב דומיא דמתני' ובזה מודה ר' יוחנן ותירצו בירו' שם בשטרי פסיקתא וכ"כ הרמב"ם שם בה' מכירה פי"א הי"ז ומפני מה הפוסק עם אשתו כו'.</w:t>
      </w:r>
    </w:p>
  </w:footnote>
  <w:footnote w:id="4542">
    <w:p w14:paraId="0FC181BB" w14:textId="77777777" w:rsidR="0013116F" w:rsidRDefault="0013116F" w:rsidP="001D49D4">
      <w:pPr>
        <w:pStyle w:val="a9"/>
        <w:rPr>
          <w:rtl/>
        </w:rPr>
      </w:pPr>
      <w:r>
        <w:rPr>
          <w:rStyle w:val="ab"/>
        </w:rPr>
        <w:footnoteRef/>
      </w:r>
      <w:r>
        <w:rPr>
          <w:rtl/>
        </w:rPr>
        <w:t xml:space="preserve"> הטור כתב וז"ל- והראב"ד ז"ל השיג עליו </w:t>
      </w:r>
      <w:r>
        <w:rPr>
          <w:sz w:val="16"/>
          <w:szCs w:val="16"/>
          <w:rtl/>
        </w:rPr>
        <w:t>{על הרמב"ם}</w:t>
      </w:r>
      <w:r>
        <w:rPr>
          <w:rtl/>
        </w:rPr>
        <w:t xml:space="preserve"> וכן כתב הרמב"ן ז"ל המחייב עצמו בדבר וכו'. עכ"ל הטור. וכתב הב"י דמפשטן של דברים שזהו </w:t>
      </w:r>
      <w:r>
        <w:rPr>
          <w:sz w:val="16"/>
          <w:szCs w:val="16"/>
          <w:rtl/>
        </w:rPr>
        <w:t xml:space="preserve">{היינו מש"כ הטור 'המחייב עצמו...'} </w:t>
      </w:r>
      <w:r>
        <w:rPr>
          <w:rtl/>
        </w:rPr>
        <w:t xml:space="preserve">לשון הרמב"ן, ואם כן הוא קשה שנראה מדבריו שאפשר לאדם להתחייב שלא בשטר בדבר שאינו חייב בו והה"מ פי"א מהלכות מכירה (הט"ו) כתב שלדעת הרמב"ן אי אפשר להתחייב שלא בשטר בדבר שאינו חייב בו וכתבתיו סימן מ' (ס"א), ולכן צ"ל דהכי קאמר וכן כתב הרמב"ן כהראב"ד והמחייב עצמו הם דברי רבינו. עכ"ל הב"י. ובדרישה כתב שדברי הטור הללו הם מדברי הרמב"ן וס"ל לטור כדבריו. </w:t>
      </w:r>
      <w:r>
        <w:rPr>
          <w:color w:val="FF0000"/>
          <w:rtl/>
        </w:rPr>
        <w:t>(צריך לעיין בש"ך סי' מ סק"ה)</w:t>
      </w:r>
    </w:p>
  </w:footnote>
  <w:footnote w:id="4543">
    <w:p w14:paraId="0D9A8E18" w14:textId="77777777" w:rsidR="0013116F" w:rsidRDefault="0013116F" w:rsidP="001D49D4">
      <w:pPr>
        <w:pStyle w:val="a9"/>
        <w:rPr>
          <w:rtl/>
        </w:rPr>
      </w:pPr>
      <w:r>
        <w:rPr>
          <w:rStyle w:val="ab"/>
        </w:rPr>
        <w:footnoteRef/>
      </w:r>
      <w:r>
        <w:rPr>
          <w:rtl/>
        </w:rPr>
        <w:t xml:space="preserve"> והביא ראיה לדבר ומיהו כתב בעיקר דברי הרמב"ם אינם תפוסים בידינו בעיקר ומעשים בכל יום אנו עושין בהפכן עכ"ל. עיין בהריב"ש סימן שמ"ה, ב"י.</w:t>
      </w:r>
    </w:p>
  </w:footnote>
  <w:footnote w:id="4544">
    <w:p w14:paraId="7D49FA2B" w14:textId="77777777" w:rsidR="0013116F" w:rsidRDefault="0013116F" w:rsidP="001D49D4">
      <w:pPr>
        <w:pStyle w:val="a9"/>
        <w:rPr>
          <w:rtl/>
        </w:rPr>
      </w:pPr>
      <w:r>
        <w:rPr>
          <w:rStyle w:val="ab"/>
        </w:rPr>
        <w:footnoteRef/>
      </w:r>
      <w:r>
        <w:rPr>
          <w:rtl/>
        </w:rPr>
        <w:t xml:space="preserve"> שלא כפירוש רש"י בהניזקין </w:t>
      </w:r>
      <w:r>
        <w:rPr>
          <w:sz w:val="16"/>
          <w:szCs w:val="16"/>
          <w:rtl/>
        </w:rPr>
        <w:t xml:space="preserve">(גיטין נא. ד"ה ניזונית) </w:t>
      </w:r>
      <w:r>
        <w:rPr>
          <w:rtl/>
        </w:rPr>
        <w:t>שכתב מיקץ קיצי שהרי פסק לזונה חמש שנים, רמב"ן.</w:t>
      </w:r>
    </w:p>
  </w:footnote>
  <w:footnote w:id="4545">
    <w:p w14:paraId="1A0F4074" w14:textId="77777777" w:rsidR="0013116F" w:rsidRDefault="0013116F" w:rsidP="001D49D4">
      <w:pPr>
        <w:pStyle w:val="a9"/>
      </w:pPr>
      <w:r>
        <w:rPr>
          <w:rStyle w:val="ab"/>
        </w:rPr>
        <w:footnoteRef/>
      </w:r>
      <w:r>
        <w:rPr>
          <w:rtl/>
        </w:rPr>
        <w:t xml:space="preserve"> </w:t>
      </w:r>
      <w:r>
        <w:rPr>
          <w:rFonts w:hint="cs"/>
          <w:rtl/>
        </w:rPr>
        <w:t xml:space="preserve">וכתב בעל התרומות בשער הנזכר </w:t>
      </w:r>
      <w:r>
        <w:rPr>
          <w:sz w:val="16"/>
          <w:szCs w:val="16"/>
          <w:rtl/>
        </w:rPr>
        <w:t xml:space="preserve">(שם סי' א - ב) </w:t>
      </w:r>
      <w:r>
        <w:rPr>
          <w:rtl/>
        </w:rPr>
        <w:t xml:space="preserve">גרסינן בהניזקין </w:t>
      </w:r>
      <w:r>
        <w:rPr>
          <w:sz w:val="16"/>
          <w:szCs w:val="16"/>
          <w:rtl/>
        </w:rPr>
        <w:t xml:space="preserve">(גיטין מח:) </w:t>
      </w:r>
      <w:r>
        <w:rPr>
          <w:rtl/>
        </w:rPr>
        <w:t xml:space="preserve">אין מוציאין לאכילת פירות מנכסים משועבדים וטעמא לפי שאינן קצובים, ומכאן ראיה שהמחייב עצמו בדבר שאינו קצוב לגבי דידיה מהני ומחייב ביה, גם הרמב"ם בפכ"ג </w:t>
      </w:r>
      <w:r>
        <w:rPr>
          <w:sz w:val="16"/>
          <w:szCs w:val="16"/>
          <w:rtl/>
        </w:rPr>
        <w:t xml:space="preserve">(מהל' אישות הי"ז) </w:t>
      </w:r>
      <w:r>
        <w:rPr>
          <w:rtl/>
        </w:rPr>
        <w:t>כתב הנושא את האשה ופסק עמה וכו' אלמא שפשוט הוא שהקנין מועיל אפילו בדבר שאין לו קצבה, זהו הנראה לנו ועל זה היו סומכים כל בני דורינו כמנהגם להתחייב כל אחד ואחד במזונות לחבירו ובדבר שאין לו קצבה, אך מצאנו להרמב"ם עצמו שכתב בפי"א מהלכות מכירה המחייב עצמו בדבר שאינו קצוב וכו', ולא נתבררו דבריו מפני שהן כסותרים זו את זו, ועוד שגלה דעתו שאף המפרש חמש שנים נקרא דבר שאינו קצוב עכ"ל. ובביאורי להרמב"ם פרק כ"ג מהלכות אישות כתבתי בזה, ב"י. וכתב הדרכ"מ (אות ג) דלא קיימא לן כדברי הרמב"ם ואין נפקותא בדבר לענין דין זה, מיהו כתבתי ללמוד ממנו איזה מקרי דבר קצוב לענין דינים אחרים שיש נפקותא בזה, ועיין לקמן סוף סימן ר"ז (סכ"ז - כט) מדינים אלו ומדין המקבל עליו לזון חבירו.</w:t>
      </w:r>
    </w:p>
  </w:footnote>
  <w:footnote w:id="4546">
    <w:p w14:paraId="56286D4B" w14:textId="77777777" w:rsidR="0013116F" w:rsidRDefault="0013116F" w:rsidP="001D49D4">
      <w:pPr>
        <w:pStyle w:val="a9"/>
      </w:pPr>
      <w:r>
        <w:rPr>
          <w:rStyle w:val="ab"/>
        </w:rPr>
        <w:footnoteRef/>
      </w:r>
      <w:r>
        <w:rPr>
          <w:rtl/>
        </w:rPr>
        <w:t xml:space="preserve"> דאף דהשנים קצובין, הכסות והלבוש אינו קצוב שמא יתייקרו, סמ"ע (סק"ט). אמנם הש"ך (סק"י) הביא כמה פוסקים דס"ל דזה נקרא דבר קצוב הואיל והשנים קצובות, וסיים דעל כן צ"ע לדינא.</w:t>
      </w:r>
    </w:p>
  </w:footnote>
  <w:footnote w:id="4547">
    <w:p w14:paraId="67F5B734" w14:textId="77777777" w:rsidR="0013116F" w:rsidRDefault="0013116F" w:rsidP="001D49D4">
      <w:pPr>
        <w:pStyle w:val="a9"/>
      </w:pPr>
      <w:r>
        <w:rPr>
          <w:rStyle w:val="ab"/>
        </w:rPr>
        <w:footnoteRef/>
      </w:r>
      <w:r>
        <w:rPr>
          <w:rtl/>
        </w:rPr>
        <w:t xml:space="preserve"> להרמב"ם (שם) כל שכן הוא, ולא כתבו מור"ם אלא בשביל החולקים עליו, ללמדנו דאפילו לא נתן קצבה לשנים ס"ל דקנה. אי נמי הכי קאמר, או שהקנה לו דבר הקצוב בענין שאין לחוש שיתייקר אלא שלא נתן קצבה בהשנים. אבל הרשב"א (בתשו' ח"ב סי' פט) כתב והביאו בדרכ"מ (סע' ט) דזה מיקרי דבר קצוב אפילו לדעת הרמב"ם, סמ"ע (סק"י). והביא הש"ך (סקי"א) את דברי הרשב"א ותמה על הרמ"א מניין לו לחלוק על הרשב"א.</w:t>
      </w:r>
    </w:p>
  </w:footnote>
  <w:footnote w:id="4548">
    <w:p w14:paraId="58822160" w14:textId="77777777" w:rsidR="0013116F" w:rsidRDefault="0013116F" w:rsidP="001D49D4">
      <w:pPr>
        <w:pStyle w:val="a9"/>
        <w:rPr>
          <w:rtl/>
        </w:rPr>
      </w:pPr>
      <w:r>
        <w:rPr>
          <w:rStyle w:val="ab"/>
        </w:rPr>
        <w:footnoteRef/>
      </w:r>
      <w:r>
        <w:rPr>
          <w:rtl/>
        </w:rPr>
        <w:t xml:space="preserve"> </w:t>
      </w:r>
      <w:r>
        <w:rPr>
          <w:rFonts w:hint="cs"/>
          <w:rtl/>
        </w:rPr>
        <w:t xml:space="preserve">ובתשו' מהר"י בן לב </w:t>
      </w:r>
      <w:r>
        <w:rPr>
          <w:sz w:val="16"/>
          <w:szCs w:val="16"/>
          <w:rtl/>
        </w:rPr>
        <w:t xml:space="preserve">(ספר א סוף כלל יב סי' עו) </w:t>
      </w:r>
      <w:r>
        <w:rPr>
          <w:rtl/>
        </w:rPr>
        <w:t xml:space="preserve">כתב דמצי המוחזק לומר קים לי כהרמב"ם, וכ"כ הרשד"ם </w:t>
      </w:r>
      <w:r>
        <w:rPr>
          <w:sz w:val="16"/>
          <w:szCs w:val="16"/>
          <w:rtl/>
        </w:rPr>
        <w:t>(סי' פב, צט, קכא, קכד, קעו)</w:t>
      </w:r>
      <w:r>
        <w:rPr>
          <w:rtl/>
        </w:rPr>
        <w:t xml:space="preserve"> מהרש"ך </w:t>
      </w:r>
      <w:r>
        <w:rPr>
          <w:sz w:val="16"/>
          <w:szCs w:val="16"/>
          <w:rtl/>
        </w:rPr>
        <w:t xml:space="preserve">(ספר ב' סי' כ, ספר ג' סי' ז וסי' לד) </w:t>
      </w:r>
      <w:r>
        <w:rPr>
          <w:rtl/>
        </w:rPr>
        <w:t xml:space="preserve">וגידו"ת </w:t>
      </w:r>
      <w:r>
        <w:rPr>
          <w:sz w:val="16"/>
          <w:szCs w:val="16"/>
          <w:rtl/>
        </w:rPr>
        <w:t>(שער סד סוף ח"א)</w:t>
      </w:r>
      <w:r>
        <w:rPr>
          <w:rtl/>
        </w:rPr>
        <w:t xml:space="preserve">. אך הש"ך </w:t>
      </w:r>
      <w:r>
        <w:rPr>
          <w:sz w:val="16"/>
          <w:szCs w:val="16"/>
          <w:rtl/>
        </w:rPr>
        <w:t xml:space="preserve">(סקי"ב) </w:t>
      </w:r>
      <w:r>
        <w:rPr>
          <w:rtl/>
        </w:rPr>
        <w:t>כתב שאין דבריהם נראין, דכבר ידוע דאין לומר קים לי כהיחיד היכא שכל חכמי ישראל חלוקים עליו, ודחה את כל הראיות שהביאו לדברי הרמב"ם. וכתב דמיהו כל זה לעניין בני חורין אבל לטרוף ממשועבדים צ"ע.</w:t>
      </w:r>
    </w:p>
  </w:footnote>
  <w:footnote w:id="4549">
    <w:p w14:paraId="134757C3" w14:textId="77777777" w:rsidR="0013116F" w:rsidRDefault="0013116F" w:rsidP="001D49D4">
      <w:pPr>
        <w:pStyle w:val="a9"/>
      </w:pPr>
      <w:r>
        <w:rPr>
          <w:rStyle w:val="ab"/>
        </w:rPr>
        <w:footnoteRef/>
      </w:r>
      <w:r>
        <w:rPr>
          <w:rtl/>
        </w:rPr>
        <w:t xml:space="preserve"> </w:t>
      </w:r>
      <w:r>
        <w:rPr>
          <w:rFonts w:hint="cs"/>
          <w:rtl/>
        </w:rPr>
        <w:t>סימן – קניין באמירה.</w:t>
      </w:r>
    </w:p>
  </w:footnote>
  <w:footnote w:id="4550">
    <w:p w14:paraId="32FE9F4B" w14:textId="77777777" w:rsidR="0013116F" w:rsidRDefault="0013116F" w:rsidP="001D49D4">
      <w:pPr>
        <w:pStyle w:val="a9"/>
        <w:rPr>
          <w:color w:val="000000" w:themeColor="text1"/>
        </w:rPr>
      </w:pPr>
      <w:r>
        <w:rPr>
          <w:rStyle w:val="ab"/>
          <w:color w:val="000000" w:themeColor="text1"/>
        </w:rPr>
        <w:footnoteRef/>
      </w:r>
      <w:r>
        <w:rPr>
          <w:color w:val="000000" w:themeColor="text1"/>
          <w:rtl/>
        </w:rPr>
        <w:t xml:space="preserve"> </w:t>
      </w:r>
      <w:r>
        <w:rPr>
          <w:rFonts w:hint="cs"/>
          <w:color w:val="000000" w:themeColor="text1"/>
          <w:rtl/>
        </w:rPr>
        <w:t>סימן – קשורה לגור.</w:t>
      </w:r>
    </w:p>
  </w:footnote>
  <w:footnote w:id="4551">
    <w:p w14:paraId="6D31D6B6" w14:textId="77777777" w:rsidR="0013116F" w:rsidRDefault="0013116F" w:rsidP="001D49D4">
      <w:pPr>
        <w:pStyle w:val="a9"/>
      </w:pPr>
      <w:r>
        <w:rPr>
          <w:rStyle w:val="ab"/>
        </w:rPr>
        <w:footnoteRef/>
      </w:r>
      <w:r>
        <w:rPr>
          <w:rtl/>
        </w:rPr>
        <w:t xml:space="preserve"> האי סיפא לא מתוקמא אלא באשת איש וכגון שהיו לבעלה בנים מאשה אחרת והם בחורים והיא ילדה והיא אומרת איני רוצה לדור עמהם כדי שלא נבוא לידי איסור אשת אב א"נ שלא הניח בנים ואינה רוצה לשבת עם האחים שהיא אסורה עליהם משום ערוה וחוששת שלא יבואו לידי הרגל עבירה נותנין לה מזונות הצריכין לה משלם בבית אביה דחייבין לה מזונות בענין שלא יהיה לדבר חשש אבל אם היתה אמה אינה יכולה לטעון זה דגבי אם ליכא למיחש להאי חששא כלל. תלמידי רבינו יונה ז"ל... וכן פירש רש"י ז"ל במהדורא קמא, ריטב"א (הביאו השטמ"ק).</w:t>
      </w:r>
    </w:p>
  </w:footnote>
  <w:footnote w:id="4552">
    <w:p w14:paraId="2C06F57C" w14:textId="77777777" w:rsidR="0013116F" w:rsidRDefault="0013116F" w:rsidP="001D49D4">
      <w:pPr>
        <w:pStyle w:val="a9"/>
      </w:pPr>
      <w:r>
        <w:rPr>
          <w:rStyle w:val="ab"/>
        </w:rPr>
        <w:footnoteRef/>
      </w:r>
      <w:r>
        <w:rPr>
          <w:rtl/>
        </w:rPr>
        <w:t xml:space="preserve"> בני אדם שעוזרין זה את זה משתכרין ומזל דרבים עדיף, רש"י.</w:t>
      </w:r>
    </w:p>
  </w:footnote>
  <w:footnote w:id="4553">
    <w:p w14:paraId="22046925" w14:textId="77777777" w:rsidR="0013116F" w:rsidRDefault="0013116F" w:rsidP="001D49D4">
      <w:pPr>
        <w:pStyle w:val="a9"/>
      </w:pPr>
      <w:r>
        <w:rPr>
          <w:rStyle w:val="ab"/>
        </w:rPr>
        <w:footnoteRef/>
      </w:r>
      <w:r>
        <w:rPr>
          <w:rtl/>
        </w:rPr>
        <w:t xml:space="preserve"> לפי מה שנתמעטה ברכת הבית ביציאתה, רש"י.</w:t>
      </w:r>
    </w:p>
  </w:footnote>
  <w:footnote w:id="4554">
    <w:p w14:paraId="1E4274C7" w14:textId="77777777" w:rsidR="0013116F" w:rsidRDefault="0013116F" w:rsidP="001D49D4">
      <w:pPr>
        <w:pStyle w:val="a9"/>
      </w:pPr>
      <w:r>
        <w:rPr>
          <w:rStyle w:val="ab"/>
        </w:rPr>
        <w:footnoteRef/>
      </w:r>
      <w:r>
        <w:rPr>
          <w:rtl/>
        </w:rPr>
        <w:t xml:space="preserve"> עיין בטור אבן העזר סימן קי"ד ושם תמצא דין המקבל עליו לזון את חבירו ועיין עוד בטור זה סימן ר"ז (סע' כז - כט), ב"י.</w:t>
      </w:r>
    </w:p>
  </w:footnote>
  <w:footnote w:id="4555">
    <w:p w14:paraId="7686C2F1" w14:textId="77777777" w:rsidR="0013116F" w:rsidRDefault="0013116F" w:rsidP="001D49D4">
      <w:pPr>
        <w:pStyle w:val="a9"/>
      </w:pPr>
      <w:r>
        <w:rPr>
          <w:rStyle w:val="ab"/>
        </w:rPr>
        <w:footnoteRef/>
      </w:r>
      <w:r>
        <w:rPr>
          <w:rtl/>
        </w:rPr>
        <w:t xml:space="preserve"> סימן – מתחייב לחבירו חיוב מפורש. וכן - חיוב מציאותי כחיוב מפורש.</w:t>
      </w:r>
    </w:p>
  </w:footnote>
  <w:footnote w:id="4556">
    <w:p w14:paraId="2AF190C9" w14:textId="77777777" w:rsidR="0013116F" w:rsidRDefault="0013116F" w:rsidP="001D49D4">
      <w:pPr>
        <w:pStyle w:val="a9"/>
      </w:pPr>
      <w:r>
        <w:rPr>
          <w:rStyle w:val="ab"/>
        </w:rPr>
        <w:footnoteRef/>
      </w:r>
      <w:r>
        <w:rPr>
          <w:rtl/>
        </w:rPr>
        <w:t xml:space="preserve"> שיהא לולד שתי שנים שכך הוא זמן הנקתו ולענין לשמש את אביו כל ימי חייו, רש"י.</w:t>
      </w:r>
    </w:p>
  </w:footnote>
  <w:footnote w:id="4557">
    <w:p w14:paraId="104C44F7" w14:textId="77777777" w:rsidR="0013116F" w:rsidRDefault="0013116F" w:rsidP="001D49D4">
      <w:pPr>
        <w:pStyle w:val="a9"/>
      </w:pPr>
      <w:r>
        <w:rPr>
          <w:rStyle w:val="ab"/>
        </w:rPr>
        <w:footnoteRef/>
      </w:r>
      <w:r>
        <w:rPr>
          <w:rtl/>
        </w:rPr>
        <w:t xml:space="preserve"> מתני' דאמר שתי שנים תניקי בסתם וברייתא במפרש יום אחד, רש"י.</w:t>
      </w:r>
    </w:p>
  </w:footnote>
  <w:footnote w:id="4558">
    <w:p w14:paraId="58FE7851" w14:textId="77777777" w:rsidR="0013116F" w:rsidRDefault="0013116F" w:rsidP="001D49D4">
      <w:pPr>
        <w:pStyle w:val="a9"/>
      </w:pPr>
      <w:r>
        <w:rPr>
          <w:rStyle w:val="ab"/>
        </w:rPr>
        <w:footnoteRef/>
      </w:r>
      <w:r>
        <w:rPr>
          <w:rtl/>
        </w:rPr>
        <w:t xml:space="preserve"> פירוש, מזונות, סמ"ע (סקי"א).</w:t>
      </w:r>
    </w:p>
  </w:footnote>
  <w:footnote w:id="4559">
    <w:p w14:paraId="355AAB4B" w14:textId="77777777" w:rsidR="0013116F" w:rsidRDefault="0013116F" w:rsidP="001D49D4">
      <w:pPr>
        <w:pStyle w:val="a9"/>
      </w:pPr>
      <w:r>
        <w:rPr>
          <w:rStyle w:val="ab"/>
        </w:rPr>
        <w:footnoteRef/>
      </w:r>
      <w:r>
        <w:rPr>
          <w:rtl/>
        </w:rPr>
        <w:t xml:space="preserve"> הטעם, דסתם לזונו משמע שיהא ניזון כרצונו בביתו של הניזון, ויקנה לנפשו מה שירצה בדרך העולם. ואפילו רוצה המתחייב לזונו על שולחנו, יכול הניזון לומר אינני רוצה להתפרנס אלא בפני עצמי על שולחני, סמ"ע (סקי"א-יב).</w:t>
      </w:r>
    </w:p>
  </w:footnote>
  <w:footnote w:id="4560">
    <w:p w14:paraId="726A3D5A" w14:textId="77777777" w:rsidR="0013116F" w:rsidRDefault="0013116F" w:rsidP="001D49D4">
      <w:pPr>
        <w:pStyle w:val="a9"/>
      </w:pPr>
      <w:r>
        <w:rPr>
          <w:rStyle w:val="ab"/>
        </w:rPr>
        <w:footnoteRef/>
      </w:r>
      <w:r>
        <w:rPr>
          <w:rtl/>
        </w:rPr>
        <w:t xml:space="preserve"> פירוש, ברכת הבית הוא במרובים, שרבים האוכלים יחד אין מוציאין כל כך כאילו אכלו כל אחד בפני עצמו, ונותנין לזה לפי ערך מה שהיה מגיע להוצאתו אם היה אוכל עמהן, וכ"כ הטור והמחבר לקמן סימן קע"ז סע' ד..., סמ"ע (סקי"ג).</w:t>
      </w:r>
    </w:p>
  </w:footnote>
  <w:footnote w:id="4561">
    <w:p w14:paraId="70C08F1E" w14:textId="77777777" w:rsidR="0013116F" w:rsidRDefault="0013116F" w:rsidP="001D49D4">
      <w:pPr>
        <w:pStyle w:val="a9"/>
      </w:pPr>
      <w:r>
        <w:rPr>
          <w:rStyle w:val="ab"/>
        </w:rPr>
        <w:footnoteRef/>
      </w:r>
      <w:r>
        <w:rPr>
          <w:rtl/>
        </w:rPr>
        <w:t xml:space="preserve"> כ' הב"ח</w:t>
      </w:r>
      <w:r>
        <w:rPr>
          <w:sz w:val="16"/>
          <w:szCs w:val="16"/>
          <w:rtl/>
        </w:rPr>
        <w:t xml:space="preserve"> (סע' ט)</w:t>
      </w:r>
      <w:r>
        <w:rPr>
          <w:rtl/>
        </w:rPr>
        <w:t>, נראה דהיינו כשאינו רוצה לזונו, וה"ה עכבה אחרת כגון זו דהעיכוב הוא מבני ביתו דמחרחרים עמו ריב ומדון, ואצ"ל אם המתחייב עצמו מראה לו שנאה או מרגיל עמו קטטה, דכל זה בכלל עכבה שהיא באה מהמתחייב וחייב לתת לו כל דמי מזונות, ואע"פ שאומר בפיו שרוצה לזונו על שולחנו, מ"מ לבו בל עמו, וזה תלוי לפי ראות עיני הדיין, וכן נראה מדברי הרב בהג"ה, עכ"ל. ומ"ש כגון דבני ביתו מחרחרים עמו ריב ומדון, נראה דהיינו דוקא שנראה שהוא ברצון המתחייב, או שיש בידו למחות בבני ביתו ואינו מוחה וכיוצ"ב, הלא"ה אין בדין שיתחייב מכח גרם בני ביתו. ועי' באה"ע סי' קיד</w:t>
      </w:r>
      <w:r>
        <w:rPr>
          <w:sz w:val="16"/>
          <w:szCs w:val="16"/>
          <w:rtl/>
        </w:rPr>
        <w:t xml:space="preserve"> (סע' א)</w:t>
      </w:r>
      <w:r>
        <w:rPr>
          <w:rtl/>
        </w:rPr>
        <w:t xml:space="preserve">, ש"ך </w:t>
      </w:r>
      <w:r>
        <w:rPr>
          <w:sz w:val="16"/>
          <w:szCs w:val="16"/>
          <w:rtl/>
        </w:rPr>
        <w:t>(סקי"ג)</w:t>
      </w:r>
      <w:r>
        <w:rPr>
          <w:rtl/>
        </w:rPr>
        <w:t>.</w:t>
      </w:r>
    </w:p>
  </w:footnote>
  <w:footnote w:id="4562">
    <w:p w14:paraId="263F619E" w14:textId="77777777" w:rsidR="0013116F" w:rsidRDefault="0013116F" w:rsidP="001D49D4">
      <w:pPr>
        <w:pStyle w:val="a9"/>
        <w:rPr>
          <w:rtl/>
        </w:rPr>
      </w:pPr>
      <w:r>
        <w:rPr>
          <w:rStyle w:val="ab"/>
        </w:rPr>
        <w:footnoteRef/>
      </w:r>
      <w:r>
        <w:rPr>
          <w:rtl/>
        </w:rPr>
        <w:t xml:space="preserve"> ומדברי התוס' (פרק נערה שנתפתתה נ: סד"ה ומאי עלייה) נראה דחייב לרפאותו. ודברי הריטב"א (כתובות קא: ד"ה וכן) עיקר כדמוכח בירושלמי ר"פ הנושא (ה"א) גבי פסק לזון את בת אשתו, והביאוהו הריטב"א [שם] והרא"ש שם [סי' א'], וכתב הרא"ש [שם] גבי פסק לזון את בת אשתו, דאם חלתה אינו חייב לרפאותה, ואע"ג דאמרינן במזון האשה דרפואה שאין לה קצבה הרי הן כמזונות, הני מילי באוכלת בתנאי ב"ד שהוא מחויב להספיק כל צרכיה, אבל המקבל עליו לפרנס אין הרפואה בכלל, עכ"ל. וכ"כ הטור באה"ע סוף סימן קי"ד ע"ש, וכן המנהג, ש"ך (סקי"ד).</w:t>
      </w:r>
    </w:p>
  </w:footnote>
  <w:footnote w:id="4563">
    <w:p w14:paraId="6890BDA4" w14:textId="77777777" w:rsidR="0013116F" w:rsidRDefault="0013116F" w:rsidP="001D49D4">
      <w:pPr>
        <w:pStyle w:val="a9"/>
      </w:pPr>
      <w:r>
        <w:rPr>
          <w:rStyle w:val="ab"/>
        </w:rPr>
        <w:footnoteRef/>
      </w:r>
      <w:r>
        <w:rPr>
          <w:rtl/>
        </w:rPr>
        <w:t xml:space="preserve"> מדלא קיצר וכתב "משמע כל זמן שצריך" אפשר לומר דהכי קאמר, אם נדר לו כן בשעה שצריך, סתמא דעתו היתה כל זמן שצריך, ואם נדר לו בשעה שאינו צריך, אז דעתו היתה אכל ימי חייו </w:t>
      </w:r>
      <w:r>
        <w:rPr>
          <w:sz w:val="16"/>
          <w:szCs w:val="16"/>
          <w:rtl/>
        </w:rPr>
        <w:t>(ודוחק לומר דכתב כן משום דנסתפק בו אי משמעותו כל ימי חייו או כל זמן שהוא צריך)</w:t>
      </w:r>
      <w:r>
        <w:rPr>
          <w:rtl/>
        </w:rPr>
        <w:t>, וצ"ע, ע"פ סמ"ע (סקט"ו). והעתיקו הש"ך (סקט"ו).</w:t>
      </w:r>
    </w:p>
  </w:footnote>
  <w:footnote w:id="4564">
    <w:p w14:paraId="13C83537" w14:textId="77777777" w:rsidR="0013116F" w:rsidRDefault="0013116F" w:rsidP="001D49D4">
      <w:pPr>
        <w:pStyle w:val="a9"/>
      </w:pPr>
      <w:r>
        <w:rPr>
          <w:rStyle w:val="ab"/>
        </w:rPr>
        <w:footnoteRef/>
      </w:r>
      <w:r>
        <w:rPr>
          <w:rtl/>
        </w:rPr>
        <w:t xml:space="preserve"> ע"ש בתשובת הרא"ש דנשאל על מעשה שהיה כן, וכתב שם טעם בצדו משום דהמוציא מחבירו עליו הראיה, וכתב שמהאי טעמא קהל שפטרו ליחיד ממס סתם, וחזרו בהן בטענה שלא קבעו לו זמן לפטור, דהדין עמהן, דמאחר שהוא היה חייב ליתן מס עמהן רק שבא בטענה שפטרוהו, יכולין לומר שלא פטרוהו כי אם זמן מה </w:t>
      </w:r>
      <w:r>
        <w:rPr>
          <w:sz w:val="16"/>
          <w:szCs w:val="16"/>
          <w:rtl/>
        </w:rPr>
        <w:t>(וכתבו מור"ם לקמן בסוף סימן קס"ג דיכולין הקהל לומר שלא פטרוהו אלא משנה, ע"ש [ובסמ"ע סק"מ])</w:t>
      </w:r>
      <w:r>
        <w:rPr>
          <w:rtl/>
        </w:rPr>
        <w:t xml:space="preserve">... ונלמד ממה שמצינו דבלשון פלוגתא כתב מור"ם השני יש אומרים זה אחר זה, דהי"א הראשון דהמקבל עליו לזון חבירו סתם כל ימי חייו משמע, הוא דעת הרשב"א, והי"א השני דנפטר בשנה אחת, הוא דעת הרא"ש הנ"ל, וכן מוכח ממ"ש ב"י והד"מ כאן ובאבן העזר סימן קי"ד, ע"ש. ולא כעיר שושן [סעיף ג'] דכתב דלא פליגי... והא דכתב בהגמ"ר (ב"ב סי' תרעא) וכתבו מור"ם בהג"ה לקמן בסימן רי"ב סעיף א', באומר ידור פלוני בביתי סתם, דאפילו שעה אחת במשמע. נראה דהוא ג"כ מהאי טעמא, דכל שלא קבע זמן יכול לומר שדעתו לא היתה אלא לשעה אחת והמוציא מחבירו עליו הראיה. והא דפסק כאן דנפטר בשנה אחת, ומשמע דשנה אחת עכ"פ צריך לזונו, הוא מטעם דגילה דעתו דשנה אחת רוצה לזונו מדאמר או יתן מאה זהובים לשנה, ונלמד מזה דפליג אהי"א קמייתא פלוגתא רחוקה, דהוא ס"ל דצריך לזונו בסתם כל ימי חייו, והרא"ש ס"ל דבסתם אפילו בשעה אחת סגי דומיא דדירה. ובפטרוהו ממס סתם דכתב מור"ם בסוף סימן קס"ג [סעיף ו'] דנפטר בשנה אחת, הא כל שנה אחת נפטר, נראה דלא בכל ענין איירי </w:t>
      </w:r>
      <w:r>
        <w:rPr>
          <w:sz w:val="16"/>
          <w:szCs w:val="16"/>
          <w:rtl/>
        </w:rPr>
        <w:t>(דא"כ קשה מנ"ל למור"ם הא, כיון דאותו דין למדו מתשובת הרא"ש הנ"ל וכמ"ש בד"מ שם [סעיף ט"ז], ובתשובת הרא"ש סתם וכתב דהדין עם הקהל, ושיכולין לומר שלא פטרוהו כי אם זמן מה. ואין לומר דס"ל דסתם זמן אינו פחות משנה, דא"כ בדירה נמי, ולמה כתב מור"ם והוא מהגהות מרדכי דנפטר בשעה אחת וכנ"ל)</w:t>
      </w:r>
      <w:r>
        <w:rPr>
          <w:rtl/>
        </w:rPr>
        <w:t xml:space="preserve"> אלא נראה דמור"ם דכתב דנפטר ממס שנה אחת, איירי ממס פרטי, דומיא למס דאיירי שם בתשובת הרא"ש, דקאי שם אמי שפטרוהו ממס דגולגולת דהוא אינו נגבה כי אם פעם אחת בשנה, אי נמי במקום שגובין מס דכל השנה בפעם אחת </w:t>
      </w:r>
      <w:r>
        <w:rPr>
          <w:sz w:val="16"/>
          <w:szCs w:val="16"/>
          <w:rtl/>
        </w:rPr>
        <w:t>(כן נראה ביאור דברי מור"ם מ"ש כאן ובסוף סימן קס"ג ובריש סימן רי"ב, ומוכרח הוא ע"פ מ"ש הרא"ש בתשובה הנ"ל דלמד מינייהו מור"ם דין המקבל עליו לזון או לפטור ממס וכנ"ל, וא"כ קשה דלא הוה ליה למור"ם לסתום בג' המקומות הנ"ל אלא לפרשו לפחות במקום אחד. ועיין לקמן בסימן רי"ב [סק"ד] מה שכתבתי ישוב אחר, אבל זה יותר נכון בעיני)</w:t>
      </w:r>
      <w:r>
        <w:rPr>
          <w:rtl/>
        </w:rPr>
        <w:t>, סמ"ע (סקט"ז).</w:t>
      </w:r>
    </w:p>
  </w:footnote>
  <w:footnote w:id="4565">
    <w:p w14:paraId="02AE4365" w14:textId="77777777" w:rsidR="0013116F" w:rsidRDefault="0013116F" w:rsidP="001D49D4">
      <w:pPr>
        <w:pStyle w:val="a9"/>
      </w:pPr>
      <w:r>
        <w:rPr>
          <w:rStyle w:val="ab"/>
        </w:rPr>
        <w:footnoteRef/>
      </w:r>
      <w:r>
        <w:rPr>
          <w:rtl/>
        </w:rPr>
        <w:t xml:space="preserve"> דברי הר"ב והעיר שושן כאן [סעיף ג'] סתומים, דלכאורה משמע מדברי הר"ב דבקצב סך נמי פטור לגמרי מחלקה, מטעמא שלא נתחייב אלא לזונה כל זמן שתהא צריכה למזונות, וכן משמע יותר בעיר שושן, עיין שם. ואי אפשר לומר כן, דבתשובת הרשב"א [ח"א] סימן תתק"ע שמשם מקור דין זה מבואר להדיא דאינו פטור אלא מבעלה, מטעם דאין הבעל יורש מלוה של אשתו דאין הבעל נוטל בראוי, ומלוה ראויה היא אצלו [וכמו שנתבאר באבן העזר ריש סימן צ'], וכן כתב הרב בהג"ה באבן העזר סוף סימן קי"ד, אם כתב לו ולאשתו אינו יורש חלק אשתו, וכן מסיים בלבוש באבן העזר שם [סעיף י"ב] דאינו יורש חלק אשתו שהוא ראוי, וע"כ צריך לפרש גם דברי הר"ב והעיר שושן כאן כן. ולפי זה קיבל עליו לזונם לזמן וקצב להן סך, אין דינם שוה, דבמזונות סתם לזמן פטור לגמרי אפילו מיורשיה, ובקצב לה סך חייב לשלם ליורשיה אלא שפטור מבעלה. זה נ"ל ברור, ש"ך (סקי"ז).</w:t>
      </w:r>
    </w:p>
  </w:footnote>
  <w:footnote w:id="4566">
    <w:p w14:paraId="725C26F2" w14:textId="77777777" w:rsidR="0013116F" w:rsidRDefault="0013116F" w:rsidP="001D49D4">
      <w:pPr>
        <w:pStyle w:val="a9"/>
      </w:pPr>
      <w:r>
        <w:rPr>
          <w:rStyle w:val="ab"/>
        </w:rPr>
        <w:footnoteRef/>
      </w:r>
      <w:r>
        <w:rPr>
          <w:rtl/>
        </w:rPr>
        <w:t xml:space="preserve"> </w:t>
      </w:r>
      <w:r>
        <w:rPr>
          <w:rFonts w:hint="cs"/>
          <w:rtl/>
        </w:rPr>
        <w:t>סימן – קניין באמירה.</w:t>
      </w:r>
    </w:p>
  </w:footnote>
  <w:footnote w:id="4567">
    <w:p w14:paraId="544F0707" w14:textId="77777777" w:rsidR="0013116F" w:rsidRDefault="0013116F" w:rsidP="001D49D4">
      <w:pPr>
        <w:pStyle w:val="a9"/>
      </w:pPr>
      <w:r>
        <w:rPr>
          <w:rStyle w:val="ab"/>
        </w:rPr>
        <w:footnoteRef/>
      </w:r>
      <w:r>
        <w:rPr>
          <w:rtl/>
        </w:rPr>
        <w:t xml:space="preserve"> דלא כתב על שולחנו אלא לאפוקי שיתחייב לזונו בפני עצמו במקום שהוא שם, סמ"ע (סקי"ז).</w:t>
      </w:r>
    </w:p>
  </w:footnote>
  <w:footnote w:id="4568">
    <w:p w14:paraId="76CD84B6" w14:textId="77777777" w:rsidR="0013116F" w:rsidRDefault="0013116F" w:rsidP="001D49D4">
      <w:pPr>
        <w:pStyle w:val="a9"/>
      </w:pPr>
      <w:r>
        <w:rPr>
          <w:rStyle w:val="ab"/>
        </w:rPr>
        <w:footnoteRef/>
      </w:r>
      <w:r>
        <w:rPr>
          <w:rtl/>
        </w:rPr>
        <w:t xml:space="preserve"> </w:t>
      </w:r>
      <w:r>
        <w:rPr>
          <w:rFonts w:hint="cs"/>
          <w:rtl/>
        </w:rPr>
        <w:t>סימן – קנינא בנייר זכויותיו. וכן – קודם נולד זיכה.</w:t>
      </w:r>
    </w:p>
  </w:footnote>
  <w:footnote w:id="4569">
    <w:p w14:paraId="45692CE8" w14:textId="77777777" w:rsidR="0013116F" w:rsidRDefault="0013116F" w:rsidP="001D49D4">
      <w:pPr>
        <w:pStyle w:val="a9"/>
        <w:rPr>
          <w:rtl/>
        </w:rPr>
      </w:pPr>
      <w:r>
        <w:rPr>
          <w:rStyle w:val="ab"/>
        </w:rPr>
        <w:footnoteRef/>
      </w:r>
      <w:r>
        <w:rPr>
          <w:rtl/>
        </w:rPr>
        <w:t xml:space="preserve"> הכותב לחבירו משעבד אני לך בחובך כל נכסים שאקנה מהו והיינו שכותבין בשטרות דקנאי ודעתיד אנא למיקני, רשב"ם.</w:t>
      </w:r>
    </w:p>
  </w:footnote>
  <w:footnote w:id="4570">
    <w:p w14:paraId="6EECA49C" w14:textId="77777777" w:rsidR="0013116F" w:rsidRDefault="0013116F" w:rsidP="001D49D4">
      <w:pPr>
        <w:pStyle w:val="a9"/>
      </w:pPr>
      <w:r>
        <w:rPr>
          <w:rStyle w:val="ab"/>
        </w:rPr>
        <w:footnoteRef/>
      </w:r>
      <w:r>
        <w:rPr>
          <w:rtl/>
        </w:rPr>
        <w:t xml:space="preserve"> מי טריף מלקוחות נכסים שקנה הלוה אחר כתיבת השטר ומכרן לאלו, רשב"ם.</w:t>
      </w:r>
    </w:p>
  </w:footnote>
  <w:footnote w:id="4571">
    <w:p w14:paraId="0773D6D5" w14:textId="77777777" w:rsidR="0013116F" w:rsidRDefault="0013116F" w:rsidP="001D49D4">
      <w:pPr>
        <w:pStyle w:val="a9"/>
      </w:pPr>
      <w:r>
        <w:rPr>
          <w:rStyle w:val="ab"/>
        </w:rPr>
        <w:footnoteRef/>
      </w:r>
      <w:r>
        <w:rPr>
          <w:rtl/>
        </w:rPr>
        <w:t xml:space="preserve"> ומיניה לא קא מיבעיה לן דאפילו מגלימא דעל כתפיה גבינן, אלא-...</w:t>
      </w:r>
    </w:p>
  </w:footnote>
  <w:footnote w:id="4572">
    <w:p w14:paraId="02055B0F" w14:textId="77777777" w:rsidR="0013116F" w:rsidRDefault="0013116F" w:rsidP="001D49D4">
      <w:pPr>
        <w:pStyle w:val="a9"/>
        <w:rPr>
          <w:rtl/>
        </w:rPr>
      </w:pPr>
      <w:r>
        <w:rPr>
          <w:rStyle w:val="ab"/>
        </w:rPr>
        <w:footnoteRef/>
      </w:r>
      <w:r>
        <w:rPr>
          <w:rtl/>
        </w:rPr>
        <w:t xml:space="preserve"> לוה, וכתב למלוה 'שעבדתי לך כל נכסיי דקנאי ודאיקני', וחזר ולוה מאחר וכתב לו כמו שכתב לו לראשון, ואח"כ קנה נכסים ומכרן או שמת והורישם ליורשים, ובאו שני הנושים לטרוף אותן הנכסים, הדין עם מי? לקמא משתעבד, שהרי כתוב בשטר מוקדם, או לבתרא משתעבד, דלא אלים דאיקני לתפוס עד שיבואו הנכסים בעולם וכי קנה הני נכסים אחרי כן הא הדר ביה מקמא ויקנה בתרא, רשב"ם.</w:t>
      </w:r>
    </w:p>
  </w:footnote>
  <w:footnote w:id="4573">
    <w:p w14:paraId="22831256" w14:textId="77777777" w:rsidR="0013116F" w:rsidRDefault="0013116F" w:rsidP="001D49D4">
      <w:pPr>
        <w:pStyle w:val="a9"/>
        <w:rPr>
          <w:rtl/>
        </w:rPr>
      </w:pPr>
      <w:r>
        <w:rPr>
          <w:rStyle w:val="ab"/>
        </w:rPr>
        <w:footnoteRef/>
      </w:r>
      <w:r>
        <w:rPr>
          <w:rtl/>
        </w:rPr>
        <w:t xml:space="preserve"> כל אחד לפי מעותיו דבבת אחת נשתעבדו להם שהרי אחר ב' ההלואות קנאה ובאותה העת שקנאה מיד נשתעבדו לשניהן שאין קדימה לאחד מהן, רשב"ם.</w:t>
      </w:r>
    </w:p>
  </w:footnote>
  <w:footnote w:id="4574">
    <w:p w14:paraId="19633674" w14:textId="77777777" w:rsidR="0013116F" w:rsidRDefault="0013116F" w:rsidP="001D49D4">
      <w:pPr>
        <w:pStyle w:val="a9"/>
        <w:rPr>
          <w:rtl/>
        </w:rPr>
      </w:pPr>
      <w:r>
        <w:rPr>
          <w:rStyle w:val="ab"/>
        </w:rPr>
        <w:footnoteRef/>
      </w:r>
      <w:r>
        <w:rPr>
          <w:rtl/>
        </w:rPr>
        <w:t xml:space="preserve"> למד כן מדאמרינן בהשולח </w:t>
      </w:r>
      <w:r>
        <w:rPr>
          <w:sz w:val="16"/>
          <w:szCs w:val="16"/>
          <w:rtl/>
        </w:rPr>
        <w:t xml:space="preserve">(גיטין מ:) </w:t>
      </w:r>
      <w:r>
        <w:rPr>
          <w:rtl/>
        </w:rPr>
        <w:t>האומר נתתי שדה פלוני לפלוני והוא אומר לא כתב ולא נתן הודאת בעל דין כמאה עדים דמי, ב"י.</w:t>
      </w:r>
    </w:p>
  </w:footnote>
  <w:footnote w:id="4575">
    <w:p w14:paraId="0E2CB604" w14:textId="77777777" w:rsidR="0013116F" w:rsidRDefault="0013116F" w:rsidP="001D49D4">
      <w:pPr>
        <w:pStyle w:val="a9"/>
        <w:rPr>
          <w:rtl/>
        </w:rPr>
      </w:pPr>
      <w:r>
        <w:rPr>
          <w:rStyle w:val="ab"/>
        </w:rPr>
        <w:footnoteRef/>
      </w:r>
      <w:r>
        <w:rPr>
          <w:rtl/>
        </w:rPr>
        <w:t xml:space="preserve"> כתב כן משום דלא גרע מערב דלא מקבל מידי ומשעבד נפשיה </w:t>
      </w:r>
      <w:r>
        <w:rPr>
          <w:b/>
          <w:bCs/>
          <w:rtl/>
        </w:rPr>
        <w:t>בקנין</w:t>
      </w:r>
      <w:r>
        <w:rPr>
          <w:rtl/>
        </w:rPr>
        <w:t xml:space="preserve"> אפילו לאחר מתן מעות, ב"י.</w:t>
      </w:r>
      <w:r>
        <w:rPr>
          <w:color w:val="E36C0A" w:themeColor="accent6" w:themeShade="BF"/>
          <w:rtl/>
        </w:rPr>
        <w:t xml:space="preserve"> (וכ"פ בשו"ע)</w:t>
      </w:r>
    </w:p>
  </w:footnote>
  <w:footnote w:id="4576">
    <w:p w14:paraId="644F81EE" w14:textId="77777777" w:rsidR="0013116F" w:rsidRDefault="0013116F" w:rsidP="001D49D4">
      <w:pPr>
        <w:pStyle w:val="a9"/>
      </w:pPr>
      <w:r>
        <w:rPr>
          <w:rStyle w:val="ab"/>
        </w:rPr>
        <w:footnoteRef/>
      </w:r>
      <w:r>
        <w:t xml:space="preserve"> </w:t>
      </w:r>
      <w:r>
        <w:rPr>
          <w:rtl/>
        </w:rPr>
        <w:t>עיין בהגמ"ר סוף בבא בתרא (סי' תרעג) דמשמע שם דאע"ג דאין אדם מקנה דבר שלא בא לעולם או שאינו ברשותו מכל מקום אם תפס המקבל לא מפקינן מיניה ועיין שם, דרכ"מ (אות ה).</w:t>
      </w:r>
    </w:p>
  </w:footnote>
  <w:footnote w:id="4577">
    <w:p w14:paraId="5938766E" w14:textId="77777777" w:rsidR="0013116F" w:rsidRDefault="0013116F" w:rsidP="001D49D4">
      <w:pPr>
        <w:pStyle w:val="a9"/>
      </w:pPr>
      <w:r>
        <w:rPr>
          <w:rStyle w:val="ab"/>
        </w:rPr>
        <w:footnoteRef/>
      </w:r>
      <w:r>
        <w:rPr>
          <w:rtl/>
        </w:rPr>
        <w:t xml:space="preserve"> וכ"כ המרדכי פ"ק דקידושין (סי' תפג-תפד), אמנם כתב שם דהרבה גאונים חולקים וסבירא להו דלא יתן לו המשכון עד שיתן לו המתנה, וכן הוא בתשובת מיימוני סוף ספר משפטים סימן ס"ז, דרכ"מ (אות ו).</w:t>
      </w:r>
    </w:p>
  </w:footnote>
  <w:footnote w:id="4578">
    <w:p w14:paraId="6624342C" w14:textId="77777777" w:rsidR="0013116F" w:rsidRDefault="0013116F" w:rsidP="001D49D4">
      <w:pPr>
        <w:pStyle w:val="a9"/>
      </w:pPr>
      <w:r>
        <w:rPr>
          <w:rStyle w:val="ab"/>
        </w:rPr>
        <w:footnoteRef/>
      </w:r>
      <w:r>
        <w:rPr>
          <w:rtl/>
        </w:rPr>
        <w:t xml:space="preserve"> דברים ברורים הם. וכתב שם (בעה"ת סי' ג) שכ"כ הרי"ף בתשובה (דפ' בילגוריי סי' קסח), ונלמד מדאמרינן בפ"ק דקידושין מנה אין כאן משכון אין כאן, ועיין שם בסוף עלה ח', ועיין בסימן כ"ט, ב"י (בב"י ובבדה"ב).</w:t>
      </w:r>
    </w:p>
  </w:footnote>
  <w:footnote w:id="4579">
    <w:p w14:paraId="15F27080" w14:textId="77777777" w:rsidR="0013116F" w:rsidRDefault="0013116F" w:rsidP="001D49D4">
      <w:pPr>
        <w:pStyle w:val="a9"/>
        <w:rPr>
          <w:rtl/>
        </w:rPr>
      </w:pPr>
      <w:r>
        <w:rPr>
          <w:rStyle w:val="ab"/>
        </w:rPr>
        <w:footnoteRef/>
      </w:r>
      <w:r>
        <w:rPr>
          <w:rtl/>
        </w:rPr>
        <w:t xml:space="preserve"> ועיין שם שהאריך ועיין לקמן סימן רי"א בדינים אלו, דרכ"מ (אות ה).</w:t>
      </w:r>
    </w:p>
  </w:footnote>
  <w:footnote w:id="4580">
    <w:p w14:paraId="10D2A34A" w14:textId="77777777" w:rsidR="0013116F" w:rsidRDefault="0013116F" w:rsidP="001D49D4">
      <w:pPr>
        <w:pStyle w:val="a9"/>
        <w:rPr>
          <w:rtl/>
        </w:rPr>
      </w:pPr>
      <w:r>
        <w:rPr>
          <w:rStyle w:val="ab"/>
        </w:rPr>
        <w:footnoteRef/>
      </w:r>
      <w:r>
        <w:rPr>
          <w:rtl/>
        </w:rPr>
        <w:t xml:space="preserve"> ועיין בהגהת מרדכי סוף בתרא (סי' תרעב), ב"י.</w:t>
      </w:r>
    </w:p>
  </w:footnote>
  <w:footnote w:id="4581">
    <w:p w14:paraId="7BCEF79D" w14:textId="77777777" w:rsidR="0013116F" w:rsidRDefault="0013116F" w:rsidP="001D49D4">
      <w:pPr>
        <w:pStyle w:val="a9"/>
      </w:pPr>
      <w:r>
        <w:rPr>
          <w:rStyle w:val="ab"/>
        </w:rPr>
        <w:footnoteRef/>
      </w:r>
      <w:r>
        <w:rPr>
          <w:rtl/>
        </w:rPr>
        <w:t xml:space="preserve"> </w:t>
      </w:r>
      <w:r>
        <w:rPr>
          <w:rFonts w:hint="cs"/>
          <w:rtl/>
        </w:rPr>
        <w:t>וז"ל-</w:t>
      </w:r>
      <w:r>
        <w:rPr>
          <w:rtl/>
        </w:rPr>
        <w:t xml:space="preserve"> מי שנתן קרקע מתנה לחבירו ונתן לו על גבה מאה דינרים, אם היו הדינרים מצויים ברשותו - כיון שזכה בשדה זכה בדינרים, ואם אין לו דינרים - אין מחייבים את הנותן ליתן לו מאה דינרים עד שיביא הזוכה ראיה שהיו לזה דינרים בעת המתנה. והוא הדין לשאר מטלטלים שמקנה אדם אותם על קרקע - אם אינם ברשות המוכר או הנותן לא קנה, שאין אדם מקנה דבר שאינו ברשותו. עכ"ל. וכתב הב"י שזה מבואר כדברי תשובת הרי"ף ז"ל. אך הדרכ"מ (אות ו*) כתב שאין דברי הב"י מוכרחים כי הרמב"ם לא כתב דלא מהני בלשון נתתי דהוי הודאה אלא ר"ל נותן וע"ש. וגם הש"ך (סקכ"ט) כתב דאין מהרמב"ם ראיה כלל, דלא קאמר התם אלא לענין שצריך שיהא ברשותו, אבל יכול להיות דמודה דלשון נתתי הוא באופן המועיל.</w:t>
      </w:r>
    </w:p>
  </w:footnote>
  <w:footnote w:id="4582">
    <w:p w14:paraId="4DFE48E8" w14:textId="77777777" w:rsidR="0013116F" w:rsidRDefault="0013116F" w:rsidP="001D49D4">
      <w:pPr>
        <w:pStyle w:val="a9"/>
      </w:pPr>
      <w:r>
        <w:rPr>
          <w:rStyle w:val="ab"/>
        </w:rPr>
        <w:footnoteRef/>
      </w:r>
      <w:r>
        <w:rPr>
          <w:rtl/>
        </w:rPr>
        <w:t xml:space="preserve"> והרשב"א בתשובה </w:t>
      </w:r>
      <w:r>
        <w:rPr>
          <w:sz w:val="16"/>
          <w:szCs w:val="16"/>
          <w:rtl/>
        </w:rPr>
        <w:t xml:space="preserve">(ח"ד סי' קכט) </w:t>
      </w:r>
      <w:r>
        <w:rPr>
          <w:rtl/>
        </w:rPr>
        <w:t xml:space="preserve">הסכים לדברי הרי"ף דאם לא היו לו באותה שעה לא עשה כלום </w:t>
      </w:r>
      <w:r>
        <w:rPr>
          <w:sz w:val="16"/>
          <w:szCs w:val="16"/>
          <w:rtl/>
        </w:rPr>
        <w:t>(חדא דפלוגתא דרב ושמואל היא בפרק שבועת הדיינים (שבועות לט:) דשמואל סבירא ליה דדוקא קאמר, והלכתא כוותיה. ועוד נ"ל דאפילו רב לא אמר דשוה קאמר אלא בתובע ונתבע שדרכן לשום, אבל נותן או מודה מעצמו כך וכך זהובים יש לפלוני בידי אפילו רב מודה דדוקא קאמר, אבל אם כתב לו 'כך וכך זהובים מנכסי' בהא ודאי שכיון שאמר מנכסי או שוה קאמר או שימכור מנכסיו ויתן לה אותם הזהובים ע"כ. ובתשובה אחרת (ח"ב סי' תה) כתב אפילו לדברי שמואל אם אמר 'אני נותן או מקנה מנכסי חמש מאות זהובים' שוה קאמר, וזה נראה לי ברור והכי משמע בספ"ק דגטין (יג.) גבי תנו מנה לפלוני, ומת וכיון שכן בכאן שאמר נתתי לה משלי חמש מאות זהובים לכאורה משמע דלשון משלי כאומר מנכסי עכ"ל. ובתשו' אחרת (ח"א סי' תתקנב ח"ב סי' קך) כתב שהרמב"ן כתב כדברי הרי"ף, וכתב עליו- דברי הרב נכונים במה שכתב שאין יכול לתת מעות אגב קרקע או בקניה אחרת אא"כ הם בעין, ולפיכך צריכה לאה הנזכרת לברר שהיו בעין בשעת המתנה, ואם לא בררה והיא טוענת שהיו בעין והניחתם אצלו בפקדון והוא טוען שלא היו בעין הבעל נאמן בשבועת היסת, ואם נתברר שהיו בעין אלא שטוען שנגנבו או אבדו אפילו אם פשע בהם פטור לפי שאשתו עמו במלאכתו (ב"מ צו:), אבל משביעין אותו שתי שבועות, אחת שאינם ברשותו, ואחת שלא שלח בהם יד שלא מדעתה עכ"ל. ובתשו' אחרת (ח"ב סי' תה) כתב אם הבעל טוען שכבר קבלה אותם- נאמן, מפני שכך כתוב בשטר המתנה מעכשיו תלך ותחזיק בזהובים שלי. ועיין עוד בתשו' הרשב"א סי' תתקלד)</w:t>
      </w:r>
      <w:r>
        <w:rPr>
          <w:rtl/>
        </w:rPr>
        <w:t xml:space="preserve">. כתוב בתרומות בשער הנזכר </w:t>
      </w:r>
      <w:r>
        <w:rPr>
          <w:sz w:val="16"/>
          <w:szCs w:val="16"/>
          <w:rtl/>
        </w:rPr>
        <w:t xml:space="preserve">(שם) </w:t>
      </w:r>
      <w:r>
        <w:rPr>
          <w:rtl/>
        </w:rPr>
        <w:t xml:space="preserve">שהשיב הרי"ף- ואין הולכין אחר האומד, שיש עשיר שאין לו זהובים. והרשב"א כתב בתשובה אחרת </w:t>
      </w:r>
      <w:r>
        <w:rPr>
          <w:sz w:val="16"/>
          <w:szCs w:val="16"/>
          <w:rtl/>
        </w:rPr>
        <w:t xml:space="preserve">(ח"ב סי' קצד) </w:t>
      </w:r>
      <w:r>
        <w:rPr>
          <w:rtl/>
        </w:rPr>
        <w:t xml:space="preserve">שאין דברי התשובה ברורים כל הצורך ואף בהעי"ט </w:t>
      </w:r>
      <w:r>
        <w:rPr>
          <w:sz w:val="16"/>
          <w:szCs w:val="16"/>
          <w:rtl/>
        </w:rPr>
        <w:t xml:space="preserve">(שם) </w:t>
      </w:r>
      <w:r>
        <w:rPr>
          <w:rtl/>
        </w:rPr>
        <w:t xml:space="preserve">נראה שאינו מודה לו. כתב בעל התרומות בשער ס"ד </w:t>
      </w:r>
      <w:r>
        <w:rPr>
          <w:sz w:val="16"/>
          <w:szCs w:val="16"/>
          <w:rtl/>
        </w:rPr>
        <w:t xml:space="preserve">(שם סי' ד) </w:t>
      </w:r>
      <w:r>
        <w:rPr>
          <w:rtl/>
        </w:rPr>
        <w:t xml:space="preserve">שכתב הראב"ד בסוף התשובה שהשיג על הרי"ף ששטר מתנה שכתוב בו 'הקניתי לפלוני אגב קרקע מאתים דינרים אלו' הרי שזיכה לו עתה ע"י העדים שקנו מידו בזכיית הקרקע וזכיית המעות, הרי הודה על עצמו שהקנהו הקרקע והמעות ונשארו בידו שלא יגבה אותם עד יום פלוני, וכתב לו אחריות עליהם חוץ מזה, שהרי כתוב בה מאתים דינרים אלו הרי שהם בעין וקנה אותם מיד ונשארו בידו, ונעשה עליהם בעל חוב וכתב עליהם אחריות שיגבה אותן לזמן פלוני והממון נקנה והאחריות קיים, ואני איני כדאי להשיב על דברי הרי"ף וכו'. עיין בדברי הרמב"ם ובדברי מגיד משנה בפכ"ב מהל' מכירה (ה"ח). וכדברי הרמב"ם כתב הרשב"א בתשובה ועיין בדברי רבינו סימן קי"ב </w:t>
      </w:r>
      <w:r>
        <w:rPr>
          <w:sz w:val="16"/>
          <w:szCs w:val="16"/>
          <w:rtl/>
        </w:rPr>
        <w:t xml:space="preserve">(סע' ג - ד) </w:t>
      </w:r>
      <w:r>
        <w:rPr>
          <w:rtl/>
        </w:rPr>
        <w:t xml:space="preserve">ובהריב"ש סימן שמ"ה כי שם האריך בדין זה, ב"י </w:t>
      </w:r>
      <w:r>
        <w:rPr>
          <w:sz w:val="16"/>
          <w:szCs w:val="16"/>
          <w:rtl/>
        </w:rPr>
        <w:t>(בב"י ובבדה"ב)</w:t>
      </w:r>
      <w:r>
        <w:rPr>
          <w:rtl/>
        </w:rPr>
        <w:t>.</w:t>
      </w:r>
    </w:p>
  </w:footnote>
  <w:footnote w:id="4583">
    <w:p w14:paraId="2F3FC453" w14:textId="77777777" w:rsidR="0013116F" w:rsidRDefault="0013116F" w:rsidP="001D49D4">
      <w:pPr>
        <w:pStyle w:val="a9"/>
        <w:rPr>
          <w:rtl/>
        </w:rPr>
      </w:pPr>
      <w:r>
        <w:rPr>
          <w:rStyle w:val="ab"/>
        </w:rPr>
        <w:footnoteRef/>
      </w:r>
      <w:r>
        <w:rPr>
          <w:rtl/>
        </w:rPr>
        <w:t xml:space="preserve"> </w:t>
      </w:r>
      <w:r>
        <w:rPr>
          <w:rFonts w:hint="cs"/>
          <w:rtl/>
        </w:rPr>
        <w:t>וז"ל-</w:t>
      </w:r>
      <w:r>
        <w:rPr>
          <w:rtl/>
        </w:rPr>
        <w:t xml:space="preserve"> כיון שהודה ראובן שהיו המעות ברשותו הודאת בעל דין כמאה עדים דמי, ולא אמרו שאין הודאתו הודאה אלא במקום שחב לאחרים, כגון לקוחות שלקחו ממנו או בעלי חובות שלו או מקבלי מתנה שלו, אבל לגביה דידיה הודאתו הודאה, וה"ה לגבי יורשיו. ואפילו במקום שחב ללקוחות וחביריו, לא אמרו אלא כשהודה אחר שנתחייב להם דוקא, אבל אם אחר שמכר- צריך להביא ראיה. ודוקא לגבי מוכר ובעל חוב, אבל לגבי יורש לא שנא הכי ולא שנא הכי הודאתו הודאה. וכתב עוד דבההיא דפרק שני דכתובות </w:t>
      </w:r>
      <w:r>
        <w:rPr>
          <w:sz w:val="16"/>
          <w:szCs w:val="16"/>
          <w:rtl/>
        </w:rPr>
        <w:t xml:space="preserve">(יט.) </w:t>
      </w:r>
      <w:r>
        <w:rPr>
          <w:rtl/>
        </w:rPr>
        <w:t xml:space="preserve">האומר שטר אמנה הוא זה וכו' דעת המפרשים שאפילו היתה ההודאה אחר שמכר או נתן היא, ואיני מודה להם. וכתב עוד, גם מה שטען שאין במשמעות לשון 'ונתתי' אלא שנתנם כבר בודאי, כי לשון ונתתי שתי לשונות משמע- לשעבר ולהבא, שהרי אמרו בפרק השולח </w:t>
      </w:r>
      <w:r>
        <w:rPr>
          <w:sz w:val="16"/>
          <w:szCs w:val="16"/>
          <w:rtl/>
        </w:rPr>
        <w:t xml:space="preserve">(גיטין מ:) </w:t>
      </w:r>
      <w:r>
        <w:rPr>
          <w:rtl/>
        </w:rPr>
        <w:t>האומר נתתי שדה פלונית לפלוני וכו' הרי היא שלו, אמר ר' יוחנן וכולן בשטר מפני שאינו לשון הודאה, שאילו בהודאה בלא שטר נמי קנה אלא מפני שהוא לשון מתנה להבא צריך שטר, וכן פירשוה הרמב"ן והרמ"ה והשתא לשון השטר מוכיח שהוא להבא שהרי הודה בשעת כתיבה שהיו המעות בידו ואם כבר נתנם לה היאך הוא אומר כן.</w:t>
      </w:r>
    </w:p>
  </w:footnote>
  <w:footnote w:id="4584">
    <w:p w14:paraId="3C5B680A" w14:textId="77777777" w:rsidR="0013116F" w:rsidRDefault="0013116F" w:rsidP="001D49D4">
      <w:pPr>
        <w:pStyle w:val="a9"/>
        <w:rPr>
          <w:rtl/>
        </w:rPr>
      </w:pPr>
      <w:r>
        <w:rPr>
          <w:rStyle w:val="ab"/>
        </w:rPr>
        <w:footnoteRef/>
      </w:r>
      <w:r>
        <w:rPr>
          <w:rtl/>
        </w:rPr>
        <w:t xml:space="preserve"> הראב"ד כתב שלא נראה לו תשובת הרי"ף הזו כי-...</w:t>
      </w:r>
    </w:p>
  </w:footnote>
  <w:footnote w:id="4585">
    <w:p w14:paraId="19B310D7" w14:textId="77777777" w:rsidR="0013116F" w:rsidRDefault="0013116F" w:rsidP="001D49D4">
      <w:pPr>
        <w:pStyle w:val="a9"/>
        <w:rPr>
          <w:rtl/>
        </w:rPr>
      </w:pPr>
      <w:r>
        <w:rPr>
          <w:rStyle w:val="ab"/>
        </w:rPr>
        <w:footnoteRef/>
      </w:r>
      <w:r>
        <w:rPr>
          <w:rtl/>
        </w:rPr>
        <w:t xml:space="preserve"> תשובת הרי"ף (שם) כתובה בעיטור (מאמר שני קנין י ע"ג) ובעל העיטור חולק עליה והאריך בראיות. ובספר התרומות שער ס"ד (ח"ב סי' ג-ד) כתב גם כן תשובת הרי"ף והשגת הראב"ד עליה וחתם הראב"ד דבריו ואני איני כדאי להשיב על דברי הרי"ף אך הדיין יחוש לעצמו. ועיין בתשובות מיימון דספר משפטים סימן ס"ז ובמרדכי פ"ק דקדושין (סי' תפב). ועיין בתשובת הרשב"א שכתבתי בסימן ר"ן (סמ"ד מחו' יד), ב"י (בב"י ובבדה"ב).</w:t>
      </w:r>
    </w:p>
  </w:footnote>
  <w:footnote w:id="4586">
    <w:p w14:paraId="0599CD58" w14:textId="77777777" w:rsidR="0013116F" w:rsidRDefault="0013116F" w:rsidP="001D49D4">
      <w:pPr>
        <w:pStyle w:val="a9"/>
        <w:rPr>
          <w:rtl/>
        </w:rPr>
      </w:pPr>
      <w:r>
        <w:rPr>
          <w:rStyle w:val="ab"/>
        </w:rPr>
        <w:footnoteRef/>
      </w:r>
      <w:r>
        <w:rPr>
          <w:rtl/>
        </w:rPr>
        <w:t xml:space="preserve"> לאחר שהטור הביא את דברי הרי"ף והראב"ד דלעיל כתב- וא"א הרא"ש ז"ל כתב ש-...</w:t>
      </w:r>
    </w:p>
  </w:footnote>
  <w:footnote w:id="4587">
    <w:p w14:paraId="78675626" w14:textId="77777777" w:rsidR="0013116F" w:rsidRDefault="0013116F" w:rsidP="001D49D4">
      <w:pPr>
        <w:pStyle w:val="a9"/>
      </w:pPr>
      <w:r>
        <w:rPr>
          <w:rStyle w:val="ab"/>
        </w:rPr>
        <w:footnoteRef/>
      </w:r>
      <w:r>
        <w:rPr>
          <w:rtl/>
        </w:rPr>
        <w:t xml:space="preserve"> וכתב הב"י שנראה מדברי רבינו שהוא סובר שהרא"ש חולק על תשובת הרי"ף, ולי נראה דאינם ענין זו לזו שהרי"ף מודה בההיא דהרא"ש שאדם יכול להתחייב בדבר שאינו חייב אע"פ שאין לו נכסים לפי שגופו ועצמו הוא מחייב ומשעבד, אבל בההיא דהרי"ף לא חייב עצמו ליתן אלא הודה שנתן לו במתנה כך זהובים ואם לא היו מצויים בידו באותה שעה אין כאן מתנה כלל, וכי שעבד נכסיו לגבותם מאי הוי, דכיון דמתנה אין כאן שעבוד לאו כלום הוא, וכיו"ב כתב הרשב"א בתשו' </w:t>
      </w:r>
      <w:r>
        <w:rPr>
          <w:sz w:val="16"/>
          <w:szCs w:val="16"/>
          <w:rtl/>
        </w:rPr>
        <w:t>(ח"ג סי' סה)</w:t>
      </w:r>
      <w:r>
        <w:rPr>
          <w:rtl/>
        </w:rPr>
        <w:t>, וכן מצאתי להרא"ש ז"ל שכתב בתשו' סוף כלל ל"ו (סי' ח) צריך לדקדק בלשון שרגילים לכתוב, אם כותבין 'אני נותן לפלוני כך וכך מעות אגב קרקע' – קונה. ואם בקנין חליפין בלא אגב - אין מטבע נקנה בחליפין. ואם כותבים 'חייב אני לך מנה בשטר' - חייב כדאיתא בר"פ הנושא. אבל רואה אני בשאלתך שנותן לה אגב ארבע אמות, וא"כ אז היא קונה אפילו לא היה לו המטבע באותה שעה, הרי הודה שיש לו והודאת בעל דין כמאה עדים דמי עכ"ל. הרי שחילק בין מחייב לנותן וא"כ אין ראיה ממה שכתב בר"פ אף על פי, אבל מתשובה זו יש להוכיח שהוא חולק על דברי הרי"ף שכתב בסוף דבריו דנותן נמי חייב אע"פ שלא היה לו, כיון שהודה שיש לו.</w:t>
      </w:r>
    </w:p>
  </w:footnote>
  <w:footnote w:id="4588">
    <w:p w14:paraId="2F60DDF3" w14:textId="77777777" w:rsidR="0013116F" w:rsidRDefault="0013116F" w:rsidP="001D49D4">
      <w:pPr>
        <w:pStyle w:val="a9"/>
      </w:pPr>
      <w:r>
        <w:rPr>
          <w:rStyle w:val="ab"/>
        </w:rPr>
        <w:footnoteRef/>
      </w:r>
      <w:r>
        <w:rPr>
          <w:rtl/>
        </w:rPr>
        <w:t xml:space="preserve"> כ"כ שם התוס' </w:t>
      </w:r>
      <w:r>
        <w:rPr>
          <w:sz w:val="16"/>
          <w:szCs w:val="16"/>
          <w:rtl/>
        </w:rPr>
        <w:t xml:space="preserve">(כתובות נד: ד"ה אם רצה) </w:t>
      </w:r>
      <w:r>
        <w:rPr>
          <w:rtl/>
        </w:rPr>
        <w:t>ויהבי טעמא דכיון שמשעבד גופו לזה החוב מעתה ולכשיהיו לו נכסים - חל שעבודו מעתה. ויש מפרשים דכיון שכותב סתמא שיהיו כל נכסיו אחראין לכל מה שנתחייב הרי הודה שיש לו נכסים, ואע"פ שאנו יודעים שאין לו - הודאת בעל דין כמאה עדים דמי, ב"י.</w:t>
      </w:r>
    </w:p>
  </w:footnote>
  <w:footnote w:id="4589">
    <w:p w14:paraId="322F8DB8" w14:textId="77777777" w:rsidR="0013116F" w:rsidRDefault="0013116F" w:rsidP="001D49D4">
      <w:pPr>
        <w:pStyle w:val="a9"/>
        <w:rPr>
          <w:rtl/>
        </w:rPr>
      </w:pPr>
      <w:r>
        <w:rPr>
          <w:rStyle w:val="ab"/>
        </w:rPr>
        <w:footnoteRef/>
      </w:r>
      <w:r>
        <w:rPr>
          <w:rtl/>
        </w:rPr>
        <w:t xml:space="preserve"> ושמעון מכחיש ואומר אם כן שטרך בידי מאי בעי, בעל התרומות בשם הרי"ף.</w:t>
      </w:r>
    </w:p>
  </w:footnote>
  <w:footnote w:id="4590">
    <w:p w14:paraId="655C8889" w14:textId="77777777" w:rsidR="0013116F" w:rsidRDefault="0013116F" w:rsidP="001D49D4">
      <w:pPr>
        <w:pStyle w:val="a9"/>
      </w:pPr>
      <w:r>
        <w:rPr>
          <w:rStyle w:val="ab"/>
        </w:rPr>
        <w:footnoteRef/>
      </w:r>
      <w:r>
        <w:rPr>
          <w:rtl/>
        </w:rPr>
        <w:t xml:space="preserve"> כגון שיש עדים שהיו בידו באותה שעה, בעל התרומות בשם הרי"ף.</w:t>
      </w:r>
    </w:p>
  </w:footnote>
  <w:footnote w:id="4591">
    <w:p w14:paraId="29EECE8E" w14:textId="77777777" w:rsidR="0013116F" w:rsidRDefault="0013116F" w:rsidP="001D49D4">
      <w:pPr>
        <w:pStyle w:val="a9"/>
      </w:pPr>
      <w:r>
        <w:rPr>
          <w:rStyle w:val="ab"/>
        </w:rPr>
        <w:footnoteRef/>
      </w:r>
      <w:r>
        <w:rPr>
          <w:rtl/>
        </w:rPr>
        <w:t xml:space="preserve"> ונתבאר עוד בתשובה הנזכרת אם הניח לו משכון עליה אינו כלום, וכתבוה הגהות בפכ"ג מהלכות מלוה, ב"י.</w:t>
      </w:r>
    </w:p>
  </w:footnote>
  <w:footnote w:id="4592">
    <w:p w14:paraId="4976EECF" w14:textId="77777777" w:rsidR="0013116F" w:rsidRDefault="0013116F" w:rsidP="001D49D4">
      <w:pPr>
        <w:pStyle w:val="a9"/>
        <w:rPr>
          <w:rtl/>
        </w:rPr>
      </w:pPr>
      <w:r>
        <w:rPr>
          <w:rStyle w:val="ab"/>
        </w:rPr>
        <w:footnoteRef/>
      </w:r>
      <w:r>
        <w:rPr>
          <w:rtl/>
        </w:rPr>
        <w:t xml:space="preserve"> מדכתב בלשון כו', משמע שהכל תלוי בלשון, ומשום הכי אם כתב הריני מחייב נפשי ליתן לך כו', אף שהוא במתנה והוא דבר שאינו מצוי בידו, מ"מ החיוב חל על גופו שהוא בעולם... ואפילו לדעת האומרים דאם קנו מידו ליתן או אתן, לא קנה דהוה ליה קנין דברים, וכמ"ש מור"ם בשמן לקמן סימן רמ"ה סעיף א', מ"מ בזה שחייב נפשו ליתן לזה, הכל מודים דקנה, וכן משמע מהג"ה מור"ם שכתב בסמוך על שטר שכתוב בו מחמת שנתתי כו', ז"ל, אבל לא שיעבד עצמו להתחייב, עכ"ל. דמשמע הא שיעבד עצמו להתחייב, היה חייב אפילו בלשון "נתתי", אף שלמ"ד זה נתתי הוה כמו אתן, סמ"ע (סקי"ח). והביא הש"ך (סקכ"ד) דבריו.</w:t>
      </w:r>
    </w:p>
  </w:footnote>
  <w:footnote w:id="4593">
    <w:p w14:paraId="72B45124" w14:textId="77777777" w:rsidR="0013116F" w:rsidRDefault="0013116F" w:rsidP="001D49D4">
      <w:pPr>
        <w:pStyle w:val="a9"/>
      </w:pPr>
      <w:r>
        <w:rPr>
          <w:rStyle w:val="ab"/>
        </w:rPr>
        <w:footnoteRef/>
      </w:r>
      <w:r>
        <w:rPr>
          <w:rtl/>
        </w:rPr>
        <w:t xml:space="preserve"> בספר גידו"ת </w:t>
      </w:r>
      <w:r>
        <w:rPr>
          <w:sz w:val="16"/>
          <w:szCs w:val="16"/>
          <w:rtl/>
        </w:rPr>
        <w:t xml:space="preserve">(שער מג ח"ד ס"ו ד"ה אך) </w:t>
      </w:r>
      <w:r>
        <w:rPr>
          <w:rtl/>
        </w:rPr>
        <w:t xml:space="preserve">הקשה, שהרי מדברי תשובת הרמב"ן שהביא הבעל התרומות שם בשער מ"ג ומביאו ב"י עצמו בסמוך תיכף ומיד </w:t>
      </w:r>
      <w:r>
        <w:rPr>
          <w:sz w:val="16"/>
          <w:szCs w:val="16"/>
          <w:rtl/>
        </w:rPr>
        <w:t>(סע' יא)</w:t>
      </w:r>
      <w:r>
        <w:rPr>
          <w:rtl/>
        </w:rPr>
        <w:t xml:space="preserve">, מבואר שחולק, וס"ל דאם קיבל עליו אחריות חייב להעמידה בידו. ולי נראה דהרמב"ן מיירי שחייב עצמו בכך וקיבל אחריות להעמידה בידו, והלכך, נהי דהקנין אינו כלום, מ"מ החיוב חל על גופו לענין שחייב להעמידה בידו. </w:t>
      </w:r>
      <w:r>
        <w:rPr>
          <w:sz w:val="16"/>
          <w:szCs w:val="16"/>
          <w:rtl/>
        </w:rPr>
        <w:t>(וזה מוכרח בדברי בעל התרומות שם, דאל"כ היאך היה מביא שם מיד דברי הרמב"ן שהם סותרים דבריו שכתב מתחילה דמסתברא דלא מהני כו', וכ"כ עוד הבעל התרומות בסתם בשער סד (ח"ב ס"ב-ג) ושכ"כ הרי"ף בתשו' (דפוס בילגוריי סי' קסח), ולא הביא שם דברי הרמב"ן כלל, אלא ודאי כמ"ש)</w:t>
      </w:r>
      <w:r>
        <w:rPr>
          <w:rtl/>
        </w:rPr>
        <w:t>, ש"ך (סקכ"א).</w:t>
      </w:r>
    </w:p>
  </w:footnote>
  <w:footnote w:id="4594">
    <w:p w14:paraId="0A99B908" w14:textId="77777777" w:rsidR="0013116F" w:rsidRDefault="0013116F" w:rsidP="001D49D4">
      <w:pPr>
        <w:pStyle w:val="a9"/>
      </w:pPr>
      <w:r>
        <w:rPr>
          <w:rStyle w:val="ab"/>
        </w:rPr>
        <w:footnoteRef/>
      </w:r>
      <w:r>
        <w:rPr>
          <w:rtl/>
        </w:rPr>
        <w:t xml:space="preserve"> וכ"כ במרדכי ריש פ"ק דקדושין [סי' תפ"ב], אמנם כתב שם [בסי' תפ"ד] דהרבה גאונים חולקים וס"ל דלא יתן המשכון עד שיתן לו המתנה, וכן הוא בתשובות מיימוני דספר משפטים סי' ס"ז, עכ"ל דרכ"מ [אות ה]. וכן הוא באמת שם, ותמיה לי על מה שסתם הרב כאן כדברי הטור [סעיף י"א] והמחבר, ולא הגיה דיש חולקין. ועיין לקמן סימן ר"ז סעיף י"א וסימן של"ג סעיף א' ומה שכתבתי שם [סק"ה], ש"ך (סקכ"ב).</w:t>
      </w:r>
    </w:p>
  </w:footnote>
  <w:footnote w:id="4595">
    <w:p w14:paraId="465C3190" w14:textId="77777777" w:rsidR="0013116F" w:rsidRDefault="0013116F" w:rsidP="001D49D4">
      <w:pPr>
        <w:pStyle w:val="a9"/>
      </w:pPr>
      <w:r>
        <w:rPr>
          <w:rStyle w:val="ab"/>
        </w:rPr>
        <w:footnoteRef/>
      </w:r>
      <w:r>
        <w:rPr>
          <w:rtl/>
        </w:rPr>
        <w:t xml:space="preserve"> מיהו היינו דוקא לגבות מבני חרי, אבל לגבות ממשעבדי אף שכתב לו שטר על זה לא מהני אפילו הוא דבר קצוב, כגון שכתב לו בית זה או סך זה שאירש מאבא אני מחייב עצמי ליתנו לך, דכיון שלא היה בעולם בשעת כתיבה אין קול יוצא לאותה כתיבה, כן מתבאר מדברי רש"י והתוס' פרק הניזקין (נ: ד"ה לפי) להפוסקים דפסקו כמ"ד שאין כתובין, והבאתי דבריהם לעיל סקי"ב. אכן להרמב"ם וסיעתו שהבאתי שם, משמע דטורף בדבר קצוב כשמתחייב עצמו בשטר אף שלא היה בעולם, ש"ך (סקכ"ה).</w:t>
      </w:r>
    </w:p>
  </w:footnote>
  <w:footnote w:id="4596">
    <w:p w14:paraId="59E629FE" w14:textId="77777777" w:rsidR="0013116F" w:rsidRDefault="0013116F" w:rsidP="001D49D4">
      <w:pPr>
        <w:pStyle w:val="a9"/>
        <w:rPr>
          <w:rtl/>
        </w:rPr>
      </w:pPr>
      <w:r>
        <w:rPr>
          <w:rStyle w:val="ab"/>
        </w:rPr>
        <w:footnoteRef/>
      </w:r>
      <w:r>
        <w:rPr>
          <w:rtl/>
        </w:rPr>
        <w:t xml:space="preserve"> נראה שהמחבר הוציא כן מבעל התרומות</w:t>
      </w:r>
      <w:r>
        <w:rPr>
          <w:sz w:val="16"/>
          <w:szCs w:val="16"/>
          <w:rtl/>
        </w:rPr>
        <w:t xml:space="preserve"> (שער סד ח"ב ס"ב)</w:t>
      </w:r>
      <w:r>
        <w:rPr>
          <w:rtl/>
        </w:rPr>
        <w:t xml:space="preserve">, וכן נרשם בסמ"ע </w:t>
      </w:r>
      <w:r>
        <w:rPr>
          <w:sz w:val="16"/>
          <w:szCs w:val="16"/>
          <w:rtl/>
        </w:rPr>
        <w:t>[בציוניו]</w:t>
      </w:r>
      <w:r>
        <w:rPr>
          <w:rtl/>
        </w:rPr>
        <w:t xml:space="preserve">. אבל לפעד"נ דבעה"ת לטעמיה אזיל דס"ל שם בסוף שער ההוא </w:t>
      </w:r>
      <w:r>
        <w:rPr>
          <w:sz w:val="16"/>
          <w:szCs w:val="16"/>
          <w:rtl/>
        </w:rPr>
        <w:t xml:space="preserve">[ח"ד ס"א] </w:t>
      </w:r>
      <w:r>
        <w:rPr>
          <w:rtl/>
        </w:rPr>
        <w:t>מביאו ב"י לעיל ס"ס מ' דא"א לאדם להתחייב בדבר שאינו חייב אלא בקנין, ולא מהני אתם עדי, אבל להרמב"ם</w:t>
      </w:r>
      <w:r>
        <w:rPr>
          <w:sz w:val="16"/>
          <w:szCs w:val="16"/>
          <w:rtl/>
        </w:rPr>
        <w:t xml:space="preserve"> [פי"א ממכירה הט"ו] </w:t>
      </w:r>
      <w:r>
        <w:rPr>
          <w:rtl/>
        </w:rPr>
        <w:t>דפסק דבאומר אתם עדי חייב, א"כ ה"ה הכא כיון שאמר הוו עלי עדים שאני מתחייב כו', חייב אף בלא קנין, וא"כ קשה על המחבר, דלעיל ר"ס מ' פסק כהרמב"ם, וכאן כתב והוא שקנו מידו. ואפשר דס"ל להמחבר דבדבר שאינו בעולם או שאינו ברשותו לא מהני הוו עלי עדים לכו"ע, אבל לא מסתבר לי לחלק בכך ודעת המחבר צל"ע, ש"ך</w:t>
      </w:r>
      <w:r>
        <w:rPr>
          <w:sz w:val="16"/>
          <w:szCs w:val="16"/>
          <w:rtl/>
        </w:rPr>
        <w:t xml:space="preserve"> (סקכ"ו)</w:t>
      </w:r>
      <w:r>
        <w:rPr>
          <w:rtl/>
        </w:rPr>
        <w:t>.</w:t>
      </w:r>
    </w:p>
  </w:footnote>
  <w:footnote w:id="4597">
    <w:p w14:paraId="6DE5D674" w14:textId="77777777" w:rsidR="0013116F" w:rsidRDefault="0013116F" w:rsidP="001D49D4">
      <w:pPr>
        <w:pStyle w:val="a9"/>
      </w:pPr>
      <w:r>
        <w:rPr>
          <w:rStyle w:val="ab"/>
        </w:rPr>
        <w:footnoteRef/>
      </w:r>
      <w:r>
        <w:rPr>
          <w:rtl/>
        </w:rPr>
        <w:t xml:space="preserve"> וכ"פ מור"ם בסי' קי"ב (סע' ג) ובסמ"ע (סקי"א). והמחבר כתב שם פלוגתא בזה, ובס"ס ר"נ סתם המחבר וכתב דעל היורשים להביא ראיה שלא היה לו בשעת מיתה, והיינו דלא כמ"ש כאן ובסימן קי"ב, גם מור"ם לא כתב שם (סי' ר"נ) כלום רק כתב ז"ל, ועיין לעיל סימן ס' סעיף ו', עכ"ל. ורימז לזה שכתבתי דכאן כתב הפך מ"ש שם. ונ"ל לישב, דכאן איירי דהנתבע טוען ברי שלא היה לו המטבע בשעת הקנאה, משום הכי אמרינן דעל המוציא להביא ראיה, משא"כ בס"ס ר"נ דשם כתב דטוענים היורשים שמא לאחר מכאן לקחם וכמ"ש שם, משום הכי אזלינן בתר טענת ברי דתובע ואמרינן כאן נמצאו וכאן היו, ואף דבסימן קי"ב איירי ג"כ ביורשים, וסתם יורשים אין טענתם במילי דאבוה בברי, וגם סתימתו כפירושו דמי, דאיירי גם בשמא דומיא דבבא דלפני זה דאיירי גם בטוען הלוקח שמא, וכמ"ש בטור [שם סעיף ג'] בהדיא, י"ל דשאני התם בסימן קי"ב דאיירי בקרקעות, ובקרקעות לא שייך למימר כאן נמצא כאן היה, דהקרקע במקומה עומדת, ואף שיצאה מרשות לרשות מקומה לא תזוז, ודוקא במטלטלים הנמצאים בבית בעליהן, בהן כתב שם בסימן ר"נ כאן נמצאו בביתו כאן היו גם בשעת המתנה. וכאן אף דאיירי במטלטלין, מ"מ כיון דטוען הנתבע ברי המוציא מחבירו עליו הראיה וכנ"ל, סמ"ע (סק"כ). והש"ך (סקכ"ח) כתב שתירוץ הסמ"ע דחוק. וכתב- לי נראה דשאני התם כיון דהמטלטלין הם בעין אמרינן כיון שעתה כאן נמצאו כאן היו, משא"כ הכא שהמטבע אינו בעין. מיהו קשה בהך דס"ס ר"נ מהך דלקמן סימן קי"ב סע' ג'. ומה שמחלק בסמ"ע בין מטלטלי לקרקע, לא נהירא. גם מנא ליה להמחבר לחלק בכך. והעיקר לדינא, דלקמן [בסימן ר"נ] הוא מתשובת הרשב"א [ח"ב סי' ל"ו] משמם של גאונים, והם דברי הגאונים שהביא הטור לקמן סימן קי"ב [סעיף ד'], וא"כ לפי מאי דקי"ל לקמן סימן קי"ב [סעיף ג'] דלא כהגאונים שם, הוא הדין דלא קי"ל כהך דלקמן ס"ס ר"נ, וכ"כ הב"ח סוף סימן זה דהפסקים סותרים זה את זה ולעולם על המקבל להביא ראיה, וכן עיקר.</w:t>
      </w:r>
    </w:p>
  </w:footnote>
  <w:footnote w:id="4598">
    <w:p w14:paraId="25611089" w14:textId="77777777" w:rsidR="0013116F" w:rsidRDefault="0013116F" w:rsidP="001D49D4">
      <w:pPr>
        <w:pStyle w:val="a9"/>
        <w:rPr>
          <w:rtl/>
        </w:rPr>
      </w:pPr>
      <w:r>
        <w:rPr>
          <w:rStyle w:val="ab"/>
        </w:rPr>
        <w:footnoteRef/>
      </w:r>
      <w:r>
        <w:rPr>
          <w:rtl/>
        </w:rPr>
        <w:t xml:space="preserve"> </w:t>
      </w:r>
      <w:r>
        <w:rPr>
          <w:rFonts w:hint="cs"/>
          <w:rtl/>
        </w:rPr>
        <w:t>הנתבע היסת שלא היו בידו.</w:t>
      </w:r>
    </w:p>
  </w:footnote>
  <w:footnote w:id="4599">
    <w:p w14:paraId="17C41CEE" w14:textId="77777777" w:rsidR="0013116F" w:rsidRDefault="0013116F" w:rsidP="001D49D4">
      <w:pPr>
        <w:pStyle w:val="a9"/>
        <w:rPr>
          <w:rtl/>
        </w:rPr>
      </w:pPr>
      <w:r>
        <w:rPr>
          <w:rStyle w:val="ab"/>
        </w:rPr>
        <w:footnoteRef/>
      </w:r>
      <w:r>
        <w:rPr>
          <w:rtl/>
        </w:rPr>
        <w:t xml:space="preserve"> בב"י [סע' יב] כתב שגם דעת הרמב"ם פכ"ב מהלכות מכירה [ה"ח] כהרי"ף. ועוד כתב בב"י [בבדה"ב], וכיון שהרי"ף והרמב"ם מסכימים לדעה אחת הכי נקטינן. ולזה לא הביא כאן בשו"ע רק דברי הרי"ף. אבל באמת אין מהרמב"ם ראיה כלל, דלא קאמר התם אלא לענין שצריך שיהא ברשותו, אבל יכול להיות דמודה דלשון נתתי הוא באופן המועיל. גם מ"ש הב"י [שם ד"ה וכתב עוד], והרשב"א בתשובה [ח"ד סי' קכט] הסכים לדברי הרי"ף דאם לא היה לו באותה שעה לא עשה כלום כו'. לא ידענא מאי קאמר, דפשיטא דגם הראב"ד אינו חולק בזה על הרי"ף דאם ידוע שלא היה לו באותה שעה לא עשה כלום, אלא דאלשון נתתי פליג. גם הרב בתשובה סי' צ"ב השיג על דברי ב"י בזה..., ש"ך (סקכ"ט).</w:t>
      </w:r>
    </w:p>
  </w:footnote>
  <w:footnote w:id="4600">
    <w:p w14:paraId="5996A309" w14:textId="77777777" w:rsidR="0013116F" w:rsidRDefault="0013116F" w:rsidP="001D49D4">
      <w:pPr>
        <w:pStyle w:val="a9"/>
      </w:pPr>
      <w:r>
        <w:rPr>
          <w:rStyle w:val="ab"/>
        </w:rPr>
        <w:footnoteRef/>
      </w:r>
      <w:r>
        <w:rPr>
          <w:rtl/>
        </w:rPr>
        <w:t xml:space="preserve"> כיון שהודה על עצמו וכתב נתתי, אבל לקמן סימן קי"ב סעיף ג' בהג"ה שכתב אני נותן, צריך המקבל להביא ראיה שהנכסים היו בידו באותה שעה, וכן פירש הב"ח [סעיף כ'], וע"ש, ש"ך (סק"ל).</w:t>
      </w:r>
    </w:p>
  </w:footnote>
  <w:footnote w:id="4601">
    <w:p w14:paraId="02F9828A" w14:textId="77777777" w:rsidR="0013116F" w:rsidRDefault="0013116F" w:rsidP="001D49D4">
      <w:pPr>
        <w:pStyle w:val="a9"/>
        <w:rPr>
          <w:rtl/>
        </w:rPr>
      </w:pPr>
      <w:r>
        <w:rPr>
          <w:rStyle w:val="ab"/>
        </w:rPr>
        <w:footnoteRef/>
      </w:r>
      <w:r>
        <w:rPr>
          <w:rtl/>
        </w:rPr>
        <w:t xml:space="preserve"> כלומר ואם ימכור הלוה שדה המשכונא יוציאנה המלוה מיד הלוקח, ב"י.</w:t>
      </w:r>
    </w:p>
  </w:footnote>
  <w:footnote w:id="4602">
    <w:p w14:paraId="39119BAF" w14:textId="77777777" w:rsidR="0013116F" w:rsidRDefault="0013116F" w:rsidP="001D49D4">
      <w:pPr>
        <w:pStyle w:val="a9"/>
      </w:pPr>
      <w:r>
        <w:rPr>
          <w:rStyle w:val="ab"/>
        </w:rPr>
        <w:footnoteRef/>
      </w:r>
      <w:r>
        <w:rPr>
          <w:rtl/>
        </w:rPr>
        <w:t xml:space="preserve"> כלומר דהוה ס"ד אמינא שכיון שמלוה להוצאה ניתנה, כשנותן לו המשכונא במה זוכה בה? הילכך אם מכרה הלוה מכרו קיים ואין המלוה יכול להוציא מיד הלוקח דמלוה על פה היא ולא טרפה ממשעבדי - קא משמע לן דלא אמרינן הכי, משום שאפילו לא היה חייב לו כלום היה מתחייב לו בהודאתו, ועוד שאפילו לא היה משתעבד לו מצד הודאתו, בשלמא אם היה משעבד לו הקרקע לענין שיפרע מגופו הוה שייך למימר זה בא לקנותו בכסף שהלוה והא מתאכלי זוזי דמלוה להוצאה ניתנה ולא קנה, אבל זה לא משכן לו לשיפרע מגוף הקרקע אלא להחזיק בו ולאכול פירותיו עד שיפרע מחובו. ודין זה כתוב בספר התרומות (שער סד ח"ג סי' א) ומסיים ביה- ומסתברא שאילו לא היה כאן לא שטר ולא קנין באמת היה דינו שכשם שאין הקרקע נקנה במלוה כדאיתא בקדושין (מז.) כך אין המשכונא נקנית במלוה, אבל עכשיו בדין זה שהיה בקנין ובשטר נסתלק מכאן כל ספק, שיש לנו לומר דל זוזי מהכא וליקני בקנין ובשטר, ועוד שאין לנו לדקדק אם קנה המשכונא אם לאו שהרי מכל מקום שיעבוד חובו קיים ואין קנין המשכונא מועיל אלא לאכילת פירות בלבד עכ"ל. ואם באנו להסכים דברי רבינו עם דברי בעל התרומות צ"ל שמה שכתב רבינו שהרי נשתעבד לו בחובו בשביל הודאה שהודה שלוה ממנו מנה לא בשביל הודאה גרידא קאמר אלא משום דהקנה בקנין ושטר ואם נפשך לומר דבשביל הודאה גרידתא קאמר אסיפא דלישנא סמיך שאין קנין המשכונא לגוף הקרקע וכו', ב"י.</w:t>
      </w:r>
    </w:p>
  </w:footnote>
  <w:footnote w:id="4603">
    <w:p w14:paraId="738E6137" w14:textId="77777777" w:rsidR="0013116F" w:rsidRDefault="0013116F" w:rsidP="001D49D4">
      <w:pPr>
        <w:pStyle w:val="a9"/>
        <w:rPr>
          <w:rtl/>
        </w:rPr>
      </w:pPr>
      <w:r>
        <w:rPr>
          <w:rStyle w:val="ab"/>
        </w:rPr>
        <w:footnoteRef/>
      </w:r>
      <w:r>
        <w:rPr>
          <w:rtl/>
        </w:rPr>
        <w:t xml:space="preserve"> נראה דמיירי דלא עשה לו קנין בפני עצמו, אלא ר"ל שכתב לו שטר קנין ולאפוקי שטר ראיה, ובשטר לחוד אינו קונה עד שיתן ג"כ דמי הקניה </w:t>
      </w:r>
      <w:r>
        <w:rPr>
          <w:sz w:val="16"/>
          <w:szCs w:val="16"/>
          <w:rtl/>
        </w:rPr>
        <w:t>(אם לא במוכר שדה מפני רעתה, וכמ"ש הטור והמחבר לקמן סימן ק"ץ וקצ"א [סעיף ב'] ע"ש)</w:t>
      </w:r>
      <w:r>
        <w:rPr>
          <w:rtl/>
        </w:rPr>
        <w:t>, ומשום הכי הוצרך לכתוב דאפ"ה זכה בזה במשכונא, דאילו עשה לו קנין סודר בפני עצמו פשיטא דקנה ואפילו גוף השדה קנה, ומשום הכי דקדק הטור וכתב בשטר ובקנין, ולא כתב קנין ושטר, שהרי קנין גמור הוא קודם לשטר, סמ"ע (סקכ"ב). והביא הש"ך (סקל"א) דבריו.</w:t>
      </w:r>
    </w:p>
  </w:footnote>
  <w:footnote w:id="4604">
    <w:p w14:paraId="38346741" w14:textId="77777777" w:rsidR="0013116F" w:rsidRDefault="0013116F" w:rsidP="001D49D4">
      <w:pPr>
        <w:pStyle w:val="a9"/>
      </w:pPr>
      <w:r>
        <w:rPr>
          <w:rStyle w:val="ab"/>
        </w:rPr>
        <w:footnoteRef/>
      </w:r>
      <w:r>
        <w:rPr>
          <w:rtl/>
        </w:rPr>
        <w:t xml:space="preserve"> פירוש, אע"ג דקי"ל דבהלואה אפילו לא הוציאה עדיין, כיון דמלוה להוצאה ניתנה הוי ליה כאילו כבר הוציאה ואין כאן דמים לקנות בו גוף הקרקע </w:t>
      </w:r>
      <w:r>
        <w:rPr>
          <w:sz w:val="16"/>
          <w:szCs w:val="16"/>
          <w:rtl/>
        </w:rPr>
        <w:t xml:space="preserve">(וכמ"ש הטור לקמן בסי' רד [סע' ז] בשם הרא"ש [קדושין פ"א סי' ה]) </w:t>
      </w:r>
      <w:r>
        <w:rPr>
          <w:rtl/>
        </w:rPr>
        <w:t>מ"מ כאן קנה במשכונא אפילו כבר הוציא המעות, כיון שלא בא לקנות גוף הקרקע אלא לאכול ממנה הפירות עד שיתן לו דמיו, הוה ליה כמלוה ע"פ ונותן לו משכון עליה, דאינו יכול להוציא מידו המשכון עד שיתן לו דמיו. טור [סעיף ט"ז], ע"ש, סמ"ע (סקכ"א).</w:t>
      </w:r>
    </w:p>
  </w:footnote>
  <w:footnote w:id="4605">
    <w:p w14:paraId="4D69EE39" w14:textId="77777777" w:rsidR="0013116F" w:rsidRDefault="0013116F" w:rsidP="001D49D4">
      <w:pPr>
        <w:pStyle w:val="a9"/>
      </w:pPr>
      <w:r>
        <w:rPr>
          <w:rStyle w:val="ab"/>
        </w:rPr>
        <w:footnoteRef/>
      </w:r>
      <w:r>
        <w:rPr>
          <w:rtl/>
        </w:rPr>
        <w:t xml:space="preserve"> כתב בעל התרומות </w:t>
      </w:r>
      <w:r>
        <w:rPr>
          <w:sz w:val="16"/>
          <w:szCs w:val="16"/>
          <w:rtl/>
        </w:rPr>
        <w:t xml:space="preserve">(שער נא ח"ח סי' א) </w:t>
      </w:r>
      <w:r>
        <w:rPr>
          <w:rtl/>
        </w:rPr>
        <w:t>שיש אומרים שאם הודאת לוי לראובן לא היתה במעמד שלשתן אלא שהודה לוי כן בפני עדים לא נכוף הלוה לפרוע ליה עד שיכתוב וימסור, והוא ז"ל חלק עליהם וכתב דכיון דאודי לוי לראובן ששלוחו היה איגלאי מילתא דמשעת הלואה הוה ההוא ממונא דראובן, ואינו צריך כתיבה ומסירה אלא למי שבא לזכות ממונו לאחר שלא היה לו עד עתה שום זכות, אבל זה שממונו הוא אינו צריך שום הקנאה, ולא עוד אלא שאם בא לוי למחול החוב לשמעון אינו יכול דכיון שהשטר ביד ראובן והודה לוי דשלוחו היה נמצא שראובן היה הלוה ולא לוי. ורבינו סתם הדברים כדעת בעל התרומות, ב"י.</w:t>
      </w:r>
      <w:r>
        <w:rPr>
          <w:color w:val="E36C0A" w:themeColor="accent6" w:themeShade="BF"/>
          <w:rtl/>
        </w:rPr>
        <w:t xml:space="preserve"> (וכ"פ בשו"ע)</w:t>
      </w:r>
    </w:p>
  </w:footnote>
  <w:footnote w:id="4606">
    <w:p w14:paraId="73E4D0BA" w14:textId="77777777" w:rsidR="0013116F" w:rsidRDefault="0013116F" w:rsidP="001D49D4">
      <w:pPr>
        <w:pStyle w:val="a9"/>
        <w:rPr>
          <w:rtl/>
        </w:rPr>
      </w:pPr>
      <w:r>
        <w:rPr>
          <w:rStyle w:val="ab"/>
        </w:rPr>
        <w:footnoteRef/>
      </w:r>
      <w:r>
        <w:rPr>
          <w:rtl/>
        </w:rPr>
        <w:t xml:space="preserve"> דין זה צ"ע, דמסתבר כהחולקים בבעל התרומות </w:t>
      </w:r>
      <w:r>
        <w:rPr>
          <w:sz w:val="16"/>
          <w:szCs w:val="16"/>
          <w:rtl/>
        </w:rPr>
        <w:t xml:space="preserve">(שער נא ח"ח ס"א) </w:t>
      </w:r>
      <w:r>
        <w:rPr>
          <w:rtl/>
        </w:rPr>
        <w:t xml:space="preserve">ונהי דמה שכתבו החולקים דהך דאיסור גיורא </w:t>
      </w:r>
      <w:r>
        <w:rPr>
          <w:sz w:val="16"/>
          <w:szCs w:val="16"/>
          <w:rtl/>
        </w:rPr>
        <w:t xml:space="preserve">[ב"ב קמט.] </w:t>
      </w:r>
      <w:r>
        <w:rPr>
          <w:rtl/>
        </w:rPr>
        <w:t xml:space="preserve">מיירי דוקא בשכיב מרע ולא בבריא, ליתא, וכל הפוסקים חולקים ע"ז, מ"מ כאן יכול להיות הדין עמהם, דכיון שנכתב כבר השטר על שם לוי, א"כ ממונו של לוי היה, ואע"פ שלוי שלוחו של ראובן היה, מ"מ כיון דמעות להוצאה ניתנו, נעשה שמעון לוה של לוי, ולוי לוה של ראובן, וההוא שטרא דלוי הוא, ולא מהני הודאה דיליה עד שיקנהו לו בכתיבה ומסירה. ועוד דאפי' אומר ששלוחו היה בענין שלא יצאו המעות מרשותו כלל </w:t>
      </w:r>
      <w:r>
        <w:rPr>
          <w:sz w:val="16"/>
          <w:szCs w:val="16"/>
          <w:rtl/>
        </w:rPr>
        <w:t>(וכגון הך דלקמן סי' סו ס"ה סקי"ז)</w:t>
      </w:r>
      <w:r>
        <w:rPr>
          <w:rtl/>
        </w:rPr>
        <w:t>, מאן לימא לן דלוי נאמן בכה"ג כיון שהשטר כבר נכתב על שמו, והיינו שלא מצינו בשום מקום בפוסקים הקנאה לשטר רק בכתיבה ומסירה, ולא הוזכר שיודה לו שהמעות שלו היו, ואע"פ שי"ל דהם מדברים בכל מקום כשידוע שהמעות מתחילה של בעל השטר היו, מ"מ לא הוה להו לסתום בכל המקומות, וצל"ע..., ש"ך</w:t>
      </w:r>
      <w:r>
        <w:rPr>
          <w:sz w:val="16"/>
          <w:szCs w:val="16"/>
          <w:rtl/>
        </w:rPr>
        <w:t xml:space="preserve"> (סקל"ב)</w:t>
      </w:r>
      <w:r>
        <w:rPr>
          <w:rtl/>
        </w:rPr>
        <w:t>.</w:t>
      </w:r>
    </w:p>
  </w:footnote>
  <w:footnote w:id="4607">
    <w:p w14:paraId="2C286F79" w14:textId="77777777" w:rsidR="0013116F" w:rsidRDefault="0013116F" w:rsidP="001D49D4">
      <w:pPr>
        <w:pStyle w:val="a9"/>
      </w:pPr>
      <w:r>
        <w:rPr>
          <w:rStyle w:val="ab"/>
        </w:rPr>
        <w:footnoteRef/>
      </w:r>
      <w:r>
        <w:rPr>
          <w:rtl/>
        </w:rPr>
        <w:t xml:space="preserve"> </w:t>
      </w:r>
      <w:r>
        <w:rPr>
          <w:rFonts w:hint="cs"/>
          <w:rtl/>
        </w:rPr>
        <w:t>סימן – קנה בשם קודקוד גלותא</w:t>
      </w:r>
      <w:r>
        <w:rPr>
          <w:sz w:val="16"/>
          <w:szCs w:val="16"/>
          <w:rtl/>
        </w:rPr>
        <w:t xml:space="preserve"> (סימן לשני הדפים)</w:t>
      </w:r>
      <w:r>
        <w:rPr>
          <w:rtl/>
        </w:rPr>
        <w:t xml:space="preserve">. </w:t>
      </w:r>
    </w:p>
  </w:footnote>
  <w:footnote w:id="4608">
    <w:p w14:paraId="26495132" w14:textId="77777777" w:rsidR="0013116F" w:rsidRDefault="0013116F" w:rsidP="001D49D4">
      <w:pPr>
        <w:pStyle w:val="a9"/>
      </w:pPr>
      <w:r>
        <w:rPr>
          <w:rStyle w:val="ab"/>
        </w:rPr>
        <w:footnoteRef/>
      </w:r>
      <w:r>
        <w:rPr>
          <w:rtl/>
        </w:rPr>
        <w:t xml:space="preserve"> שאמר לו למוכר לצורך ריש גלותא אני לוקחה ונתכוון להטיל אימה שלא יצאו עליה עסיקין וכתב המוכר שטר המכירה בשם ריש גלותא, רש"י.</w:t>
      </w:r>
    </w:p>
  </w:footnote>
  <w:footnote w:id="4609">
    <w:p w14:paraId="65BCB5A4" w14:textId="77777777" w:rsidR="0013116F" w:rsidRDefault="0013116F" w:rsidP="001D49D4">
      <w:pPr>
        <w:pStyle w:val="a9"/>
      </w:pPr>
      <w:r>
        <w:rPr>
          <w:rStyle w:val="ab"/>
        </w:rPr>
        <w:footnoteRef/>
      </w:r>
      <w:r>
        <w:rPr>
          <w:rtl/>
        </w:rPr>
        <w:t xml:space="preserve"> לחזור ולכתוב שטר מכירה שהוא מכרה ללוקח, ואם אומר לו לוקח למוכר על מנת שיכתוב לי ריש גלותא בשמו לשמי שטר אחר כופין ריש גלותא למכור, רש"י.</w:t>
      </w:r>
    </w:p>
  </w:footnote>
  <w:footnote w:id="4610">
    <w:p w14:paraId="1391438D" w14:textId="77777777" w:rsidR="0013116F" w:rsidRDefault="0013116F" w:rsidP="001D49D4">
      <w:pPr>
        <w:pStyle w:val="a9"/>
      </w:pPr>
      <w:r>
        <w:rPr>
          <w:rStyle w:val="ab"/>
        </w:rPr>
        <w:footnoteRef/>
      </w:r>
      <w:r>
        <w:rPr>
          <w:rtl/>
        </w:rPr>
        <w:t xml:space="preserve"> שעשיתם אותי ראש להטיל אימה, רש"י.</w:t>
      </w:r>
    </w:p>
  </w:footnote>
  <w:footnote w:id="4611">
    <w:p w14:paraId="46D92C13" w14:textId="77777777" w:rsidR="0013116F" w:rsidRDefault="0013116F" w:rsidP="001D49D4">
      <w:pPr>
        <w:pStyle w:val="a9"/>
      </w:pPr>
      <w:r>
        <w:rPr>
          <w:rStyle w:val="ab"/>
        </w:rPr>
        <w:footnoteRef/>
      </w:r>
      <w:r>
        <w:rPr>
          <w:rtl/>
        </w:rPr>
        <w:t xml:space="preserve"> שאתם באים לעשות אותי למוכר שדות, רש"י.</w:t>
      </w:r>
    </w:p>
  </w:footnote>
  <w:footnote w:id="4612">
    <w:p w14:paraId="147CA30E" w14:textId="77777777" w:rsidR="0013116F" w:rsidRDefault="0013116F" w:rsidP="001D49D4">
      <w:pPr>
        <w:pStyle w:val="a9"/>
      </w:pPr>
      <w:r>
        <w:rPr>
          <w:rStyle w:val="ab"/>
        </w:rPr>
        <w:footnoteRef/>
      </w:r>
      <w:r>
        <w:rPr>
          <w:rtl/>
        </w:rPr>
        <w:t xml:space="preserve"> לחזור ולכתוב שטר מכירה אחר ללוקח, שהיה לו להתנות ולהודיעו- כתוב שטרי בשם ריש גלותא שאם יצאו עסיקין אראה להם שהוא של ריש גלותא וכתוב לי שטר אחר בשמי שלא יבאו היום או למחר יורשי ראש גולה לתובעה ממני, רש"י.</w:t>
      </w:r>
    </w:p>
  </w:footnote>
  <w:footnote w:id="4613">
    <w:p w14:paraId="0C8814E0" w14:textId="77777777" w:rsidR="0013116F" w:rsidRDefault="0013116F" w:rsidP="001D49D4">
      <w:pPr>
        <w:pStyle w:val="a9"/>
      </w:pPr>
      <w:r>
        <w:rPr>
          <w:rStyle w:val="ab"/>
        </w:rPr>
        <w:footnoteRef/>
      </w:r>
      <w:r>
        <w:rPr>
          <w:rtl/>
        </w:rPr>
        <w:t xml:space="preserve"> כלומר להצלה נתכוונתי פנחיא לשון חוזק..., רש"י.</w:t>
      </w:r>
    </w:p>
  </w:footnote>
  <w:footnote w:id="4614">
    <w:p w14:paraId="5B957F1C" w14:textId="77777777" w:rsidR="0013116F" w:rsidRDefault="0013116F" w:rsidP="001D49D4">
      <w:pPr>
        <w:pStyle w:val="a9"/>
      </w:pPr>
      <w:r>
        <w:rPr>
          <w:rStyle w:val="ab"/>
        </w:rPr>
        <w:footnoteRef/>
      </w:r>
      <w:r>
        <w:rPr>
          <w:rtl/>
        </w:rPr>
        <w:t xml:space="preserve"> תנאי, רש"י.</w:t>
      </w:r>
    </w:p>
  </w:footnote>
  <w:footnote w:id="4615">
    <w:p w14:paraId="113A35AF" w14:textId="77777777" w:rsidR="0013116F" w:rsidRDefault="0013116F" w:rsidP="001D49D4">
      <w:pPr>
        <w:pStyle w:val="a9"/>
      </w:pPr>
      <w:r>
        <w:rPr>
          <w:rStyle w:val="ab"/>
        </w:rPr>
        <w:footnoteRef/>
      </w:r>
      <w:r>
        <w:rPr>
          <w:rtl/>
        </w:rPr>
        <w:t xml:space="preserve"> דאמר להו לוקח לסהדי קמי מוכר חזו כו' - ובהדי מוכר גופיה לא אתני, רש"י.</w:t>
      </w:r>
    </w:p>
  </w:footnote>
  <w:footnote w:id="4616">
    <w:p w14:paraId="012A2C41" w14:textId="77777777" w:rsidR="0013116F" w:rsidRDefault="0013116F" w:rsidP="001D49D4">
      <w:pPr>
        <w:pStyle w:val="a9"/>
      </w:pPr>
      <w:r>
        <w:rPr>
          <w:rStyle w:val="ab"/>
        </w:rPr>
        <w:footnoteRef/>
      </w:r>
      <w:r>
        <w:rPr>
          <w:rtl/>
        </w:rPr>
        <w:t xml:space="preserve"> אני הייתי סובר שאתה אומר לעדים בעינא דנכתוב לי שטרא אחרינא ריש גלותא, רש"י.</w:t>
      </w:r>
    </w:p>
  </w:footnote>
  <w:footnote w:id="4617">
    <w:p w14:paraId="49F07D7F" w14:textId="77777777" w:rsidR="0013116F" w:rsidRDefault="0013116F" w:rsidP="001D49D4">
      <w:pPr>
        <w:pStyle w:val="a9"/>
      </w:pPr>
      <w:r>
        <w:rPr>
          <w:rStyle w:val="ab"/>
        </w:rPr>
        <w:footnoteRef/>
      </w:r>
      <w:r>
        <w:rPr>
          <w:rtl/>
        </w:rPr>
        <w:t xml:space="preserve"> לא מבעיא לדעת הרמב"ם שסובר שנאמן לומר שטר מכר היה לי ואבד </w:t>
      </w:r>
      <w:r>
        <w:rPr>
          <w:sz w:val="16"/>
          <w:szCs w:val="16"/>
          <w:rtl/>
        </w:rPr>
        <w:t>(וכמ"ש סימן ס"ב (שם) וסימן ס"ו (שם))</w:t>
      </w:r>
      <w:r>
        <w:rPr>
          <w:rtl/>
        </w:rPr>
        <w:t xml:space="preserve"> שנאמן ראובן בכל טענותיו במגו דשטר מכר היה לי ואבד, אלא אפילו לדברי החולקים עליו כיון שמודה שמעון שלא היה מממונו אין זה לשון זכיה, וכן השיב הרמב"ן (סי' נז), בעל התרומות (שם).</w:t>
      </w:r>
    </w:p>
  </w:footnote>
  <w:footnote w:id="4618">
    <w:p w14:paraId="2A0B60B5" w14:textId="77777777" w:rsidR="0013116F" w:rsidRDefault="0013116F" w:rsidP="001D49D4">
      <w:pPr>
        <w:pStyle w:val="a9"/>
      </w:pPr>
      <w:r>
        <w:rPr>
          <w:rStyle w:val="ab"/>
        </w:rPr>
        <w:footnoteRef/>
      </w:r>
      <w:r>
        <w:rPr>
          <w:rtl/>
        </w:rPr>
        <w:t xml:space="preserve"> וכתב בעל התרומות שם (סי' ב) שכן פירש הראב"ד בפירושיו.</w:t>
      </w:r>
    </w:p>
  </w:footnote>
  <w:footnote w:id="4619">
    <w:p w14:paraId="1189D074" w14:textId="77777777" w:rsidR="0013116F" w:rsidRDefault="0013116F" w:rsidP="001D49D4">
      <w:pPr>
        <w:pStyle w:val="a9"/>
        <w:rPr>
          <w:rtl/>
        </w:rPr>
      </w:pPr>
      <w:r>
        <w:rPr>
          <w:rStyle w:val="ab"/>
        </w:rPr>
        <w:footnoteRef/>
      </w:r>
      <w:r>
        <w:rPr>
          <w:rtl/>
        </w:rPr>
        <w:t xml:space="preserve"> והוה ליה דומה לנאמנות ולאל תפרעני אלא בעדים, דמהני כשהתנה בשעת הלואה, וכמ"ש בסי' ע' וע"א ור"ז, סמ"ע (סקכ"ו).</w:t>
      </w:r>
    </w:p>
  </w:footnote>
  <w:footnote w:id="4620">
    <w:p w14:paraId="6F0EBDAA" w14:textId="77777777" w:rsidR="0013116F" w:rsidRDefault="0013116F" w:rsidP="001D49D4">
      <w:pPr>
        <w:pStyle w:val="a9"/>
      </w:pPr>
      <w:r>
        <w:rPr>
          <w:rStyle w:val="ab"/>
        </w:rPr>
        <w:footnoteRef/>
      </w:r>
      <w:r>
        <w:rPr>
          <w:rtl/>
        </w:rPr>
        <w:t xml:space="preserve"> </w:t>
      </w:r>
      <w:r>
        <w:rPr>
          <w:rFonts w:hint="cs"/>
          <w:rtl/>
        </w:rPr>
        <w:t xml:space="preserve">האחרונים נחלקו בטעם פסיקת הרא"ש ובנפ"מ היוצאת מהטעם, לכן אעתיק את לשון הרא"ש במלואה, וז"ל- </w:t>
      </w:r>
      <w:r>
        <w:rPr>
          <w:rtl/>
        </w:rPr>
        <w:t xml:space="preserve">שאלה, ילמדנו רבינו קהל שהיה מנהגם לחכור חכירות הקדשים או האלמעונה </w:t>
      </w:r>
      <w:r>
        <w:rPr>
          <w:sz w:val="16"/>
          <w:szCs w:val="16"/>
          <w:rtl/>
        </w:rPr>
        <w:t>{מכס}</w:t>
      </w:r>
      <w:r>
        <w:rPr>
          <w:rtl/>
        </w:rPr>
        <w:t xml:space="preserve">, וכשכותבין השטר של החכירות כותבין אותו בשם אחד מן הקהל ובסוף השטר אומר קודם חתימת העדים וזה הממון הוא מהחכירות כך וכך של הקהל. ועכשיו ראובן הוציא שטר על שמעון והוא כתוב בשם ראובן ואומר בסופו 'ואלו המעות הם מחכירות כך וכך של הקהל'. וכשראו הקהל השטר אמרו לשמעון אלו המעות שלנו אל תתנם לראובן אע"פ שהשטר כתוב על שמו כיון שכתוב בסופו שהוא מחכירות הקהל. וכן היה מנהגם לכתוב השטר על שם אחד. וראובן אומר כיון שכתוב על שמו שלו הן. ועוד אומר שהקהל נתנו שטר זה לגבות ממנו מעות שהיה לו אצל הקהל. והקהל טוענין שאין לו אצלם כלום ושמעולם לא נתנו לו שטר זה לגבותו אלא כתבו אותו על שמו כמנהגם. </w:t>
      </w:r>
      <w:r>
        <w:rPr>
          <w:u w:val="single"/>
          <w:rtl/>
        </w:rPr>
        <w:t>תשובה</w:t>
      </w:r>
      <w:r>
        <w:rPr>
          <w:rtl/>
        </w:rPr>
        <w:t xml:space="preserve">, כיון שמנהג הקהל הוא כשחוכרין חכירות שכותבין אותו בשם אחד מן הקהל וכותבין בסוף השטר 'וזה הממון הוא מחכירות הקהל' וכך נמצא כתוב בשטר שביד ראובן לאו כל כמיניה לומר כל המעות שלו הם, כי עליו להביא ראיה, כיון שכתוב בשטר שהוא מחכירות הקהל וגם מנהג הוא לכתוב חכירות הקהל על שם היחיד. ומה שטוען ראובן שהקהל נתנו לו שטר זה לגבות ממנו מעות שהיה לו אצל הקהל, זו אינה טענה, שאם נתנו לו הקהל השטר לגבות בו היה צריך עם כתיבה ומסירה דאותיות אינן נקנות אלא בכתיבה ומסירה, הילכך אין טענתו טענה והמעות שחייב שמעון של הקהל הם. </w:t>
      </w:r>
    </w:p>
  </w:footnote>
  <w:footnote w:id="4621">
    <w:p w14:paraId="238F268F" w14:textId="77777777" w:rsidR="0013116F" w:rsidRDefault="0013116F" w:rsidP="001D49D4">
      <w:pPr>
        <w:pStyle w:val="a9"/>
        <w:rPr>
          <w:rtl/>
        </w:rPr>
      </w:pPr>
      <w:r>
        <w:rPr>
          <w:rStyle w:val="ab"/>
        </w:rPr>
        <w:footnoteRef/>
      </w:r>
      <w:r>
        <w:rPr>
          <w:rtl/>
        </w:rPr>
        <w:t xml:space="preserve"> </w:t>
      </w:r>
      <w:r>
        <w:rPr>
          <w:rFonts w:hint="cs"/>
          <w:rtl/>
        </w:rPr>
        <w:t>תוספת הסמ"ע (סקכ"ד).</w:t>
      </w:r>
    </w:p>
  </w:footnote>
  <w:footnote w:id="4622">
    <w:p w14:paraId="45C702E8" w14:textId="77777777" w:rsidR="0013116F" w:rsidRDefault="0013116F" w:rsidP="001D49D4">
      <w:pPr>
        <w:pStyle w:val="a9"/>
        <w:rPr>
          <w:rtl/>
        </w:rPr>
      </w:pPr>
      <w:r>
        <w:rPr>
          <w:rStyle w:val="ab"/>
        </w:rPr>
        <w:footnoteRef/>
      </w:r>
      <w:r>
        <w:rPr>
          <w:rtl/>
        </w:rPr>
        <w:t xml:space="preserve"> ומהרש"ל כתב </w:t>
      </w:r>
      <w:r>
        <w:rPr>
          <w:sz w:val="16"/>
          <w:szCs w:val="16"/>
          <w:rtl/>
        </w:rPr>
        <w:t>(ביש"ש בפרק הגוזל קמא סי' לג)</w:t>
      </w:r>
      <w:r>
        <w:rPr>
          <w:rtl/>
        </w:rPr>
        <w:t xml:space="preserve"> שצריך ליתן טעם לדבריו, שאל"כ כופים אותו על מדת סדום, וע"ש. ועיין לקמן סימן קפ"ד סעיף ב'. ועיין בתשובת מהרש"ך ספר ב' סי' קע"ד, ש"ך (סקל"ד).</w:t>
      </w:r>
    </w:p>
  </w:footnote>
  <w:footnote w:id="4623">
    <w:p w14:paraId="7EC758A4" w14:textId="77777777" w:rsidR="0013116F" w:rsidRDefault="0013116F" w:rsidP="001D49D4">
      <w:pPr>
        <w:pStyle w:val="a9"/>
      </w:pPr>
      <w:r>
        <w:rPr>
          <w:rStyle w:val="ab"/>
        </w:rPr>
        <w:footnoteRef/>
      </w:r>
      <w:r>
        <w:rPr>
          <w:rtl/>
        </w:rPr>
        <w:t xml:space="preserve"> דה"ה אם אמר כן ללוה אע"פ שלא פירש דבריו, אלא אורחא דמילתא נקט, דכל שאמר כן בפני עדים מסתמא אינו מפרשו כדי שלא להשביע את עצמו, דאל"כ מתחילה מאי סבר לכתבו על שם שמעון, משא"כ כשמדבר עם הלוה, דהלוה היה יודע האמת שהמעות של ההלואה הן שלו, ואז מסתמא מפרש ואומר שטר אחר תכתוב על שמי, סמ"ע (סקכ"ז).</w:t>
      </w:r>
    </w:p>
  </w:footnote>
  <w:footnote w:id="4624">
    <w:p w14:paraId="40A08E07" w14:textId="77777777" w:rsidR="0013116F" w:rsidRDefault="0013116F" w:rsidP="001D49D4">
      <w:pPr>
        <w:pStyle w:val="a9"/>
      </w:pPr>
      <w:r>
        <w:rPr>
          <w:rStyle w:val="ab"/>
        </w:rPr>
        <w:footnoteRef/>
      </w:r>
      <w:r>
        <w:rPr>
          <w:rtl/>
        </w:rPr>
        <w:t xml:space="preserve"> </w:t>
      </w:r>
      <w:r>
        <w:rPr>
          <w:rFonts w:hint="cs"/>
          <w:rtl/>
        </w:rPr>
        <w:t xml:space="preserve">תוספת הסמ"ע </w:t>
      </w:r>
      <w:r>
        <w:rPr>
          <w:sz w:val="16"/>
          <w:szCs w:val="16"/>
          <w:rtl/>
        </w:rPr>
        <w:t>(סקכ"ט)</w:t>
      </w:r>
      <w:r>
        <w:rPr>
          <w:rtl/>
        </w:rPr>
        <w:t>. וכן הוא בתשובת הרא"ש להדיא. וכתב הש"ך</w:t>
      </w:r>
      <w:r>
        <w:rPr>
          <w:sz w:val="16"/>
          <w:szCs w:val="16"/>
          <w:rtl/>
        </w:rPr>
        <w:t xml:space="preserve"> (סקל"ו) </w:t>
      </w:r>
      <w:r>
        <w:rPr>
          <w:rtl/>
        </w:rPr>
        <w:t>דאף אי לא גרסינן בדברי המחבר כך, משמעו כך.</w:t>
      </w:r>
    </w:p>
  </w:footnote>
  <w:footnote w:id="4625">
    <w:p w14:paraId="6A758585" w14:textId="77777777" w:rsidR="0013116F" w:rsidRDefault="0013116F" w:rsidP="001D49D4">
      <w:pPr>
        <w:pStyle w:val="a9"/>
        <w:rPr>
          <w:rtl/>
        </w:rPr>
      </w:pPr>
      <w:r>
        <w:rPr>
          <w:rStyle w:val="ab"/>
        </w:rPr>
        <w:footnoteRef/>
      </w:r>
      <w:r>
        <w:rPr>
          <w:rtl/>
        </w:rPr>
        <w:t xml:space="preserve"> </w:t>
      </w:r>
      <w:r>
        <w:rPr>
          <w:rFonts w:hint="cs"/>
          <w:rtl/>
        </w:rPr>
        <w:t xml:space="preserve">הסמ"ע (סקכ"ח) כתב </w:t>
      </w:r>
      <w:r>
        <w:rPr>
          <w:rtl/>
        </w:rPr>
        <w:t xml:space="preserve">שהמחבר קיצר כאן, ובתשובת הרא"ש מפורש דלא כתב כן אלא במקום שמנהג הקהלה לכתוב שטרי הכנסתם על שם היחיד </w:t>
      </w:r>
      <w:r>
        <w:rPr>
          <w:sz w:val="16"/>
          <w:szCs w:val="16"/>
          <w:rtl/>
        </w:rPr>
        <w:t>(כדי שלא יהא עסקם כקדירה דבי שותפי, או מטעם אחר הידוע להם למה כותבין כן)</w:t>
      </w:r>
      <w:r>
        <w:rPr>
          <w:rtl/>
        </w:rPr>
        <w:t xml:space="preserve">, הלא"ה נאמן זה לומר שמעות אלו שלו היו, וכדי שלא להשביע את עצמו כתב בסוף שהמעות הן של הקהל </w:t>
      </w:r>
      <w:r>
        <w:rPr>
          <w:sz w:val="16"/>
          <w:szCs w:val="16"/>
          <w:rtl/>
        </w:rPr>
        <w:t>(גם בס"ס ס"ה [סע' כב ובסמ"ע סקע"ד] יתבאר דאם כתב בגוף השט"ח שהוא של פלוני, אין לאותו פלוני טענה עליו, דיכול לומר שלא להשביע כו' כתבתיהו)</w:t>
      </w:r>
      <w:r>
        <w:rPr>
          <w:rtl/>
        </w:rPr>
        <w:t xml:space="preserve">, ולא כמ"ש בעיר שושן </w:t>
      </w:r>
      <w:r>
        <w:rPr>
          <w:sz w:val="16"/>
          <w:szCs w:val="16"/>
          <w:rtl/>
        </w:rPr>
        <w:t>(סע' ט)</w:t>
      </w:r>
      <w:r>
        <w:rPr>
          <w:rtl/>
        </w:rPr>
        <w:t xml:space="preserve"> טעם לדין זה מסברא דנפשיה והוא- דאין היחיד דרכו לתלות מעותיו בהקהל משום כדי שלא להשביע, עכ"ל, דהרי מתשובה הנ"ל דכפל ושילש לתלותו במנהגן, משמע דדוקא בכה"ג קאמר. עכ"ל הסמ"ע. אך הש"ך (סקל"ה) כתב דנראה לו עיקר בזה כהעיר שושן, והמעיין בהרא"ש שם יראה דעיקר טעמו כיון שכתוב בסוף 'ואלו המעות הם מחכירות הקהל'. ומ"ש הרא"ש שם שמנהג הקהל כך, י"ל דלרווחא דמילתא כתב כן, וכן נראה להדיא דעת המחבר, שלא העתיק זה בב"י ולא כאן בשו"ע. וכן נראה בדין, דכיון דכתב הרא"ש דאינו נאמן כיון שאין לו כתיבה ומסירה, א"כ כיון דכתוב שאלו המעות הם מחכירות הקהל, הרי מוכח שהשטר של הקהל הוא, והיאך יוכל זה לטעון ששלו הוא בלא כתיבה ומסירה. ומה שהקשו העיר שושן והסמ"ע דאמאי אינו יכול לטעון שלא להשביע את עצמי כתבתי </w:t>
      </w:r>
      <w:r>
        <w:rPr>
          <w:sz w:val="16"/>
          <w:szCs w:val="16"/>
          <w:rtl/>
        </w:rPr>
        <w:t>(וכדלקמן סי' סה סע' כב)</w:t>
      </w:r>
      <w:r>
        <w:rPr>
          <w:rtl/>
        </w:rPr>
        <w:t>, נ"ל דשאני הכא כיון שכתוב כן בשטר עצמו קודם חתימת העדים, דזה ודאי נכתב בתחילה בשעת עשיית השטר, וכולי האי לא עבדי שלא להשביע, משא"כ לקמן סימן ס"ה דמיירי שכתב בכתב ידו בעצמו לאחר חיתום השטר.</w:t>
      </w:r>
    </w:p>
  </w:footnote>
  <w:footnote w:id="4626">
    <w:p w14:paraId="39903D7F" w14:textId="77777777" w:rsidR="0013116F" w:rsidRDefault="0013116F" w:rsidP="001D49D4">
      <w:pPr>
        <w:pStyle w:val="a9"/>
        <w:rPr>
          <w:rtl/>
        </w:rPr>
      </w:pPr>
      <w:r>
        <w:rPr>
          <w:rStyle w:val="ab"/>
        </w:rPr>
        <w:footnoteRef/>
      </w:r>
      <w:r>
        <w:rPr>
          <w:rtl/>
        </w:rPr>
        <w:t xml:space="preserve"> </w:t>
      </w:r>
      <w:r>
        <w:rPr>
          <w:rFonts w:hint="cs"/>
          <w:rtl/>
        </w:rPr>
        <w:t xml:space="preserve">גם כאן נחלקו האחרונים מאיזה טעם פסק כן ובנפ"מ היוצאת מהטעם, לכן אעתיק את לשון הרשב"א במלואה, וז"ל- </w:t>
      </w:r>
      <w:r>
        <w:rPr>
          <w:rtl/>
        </w:rPr>
        <w:t xml:space="preserve">שאלת שמעון היה חייב לראובן מנה, ונתפשרו ביניהם שיעשה שמעון שטר חוב ללוי מעשרים דינר. ואח"כ נתרצה ראובן לשמעון ועשה לו שטר מחילה גמורה מכל תביעת ממון. ואחר כתב לוי לראובן שטר הרשאה לתבוע משמעון אותם עשרים דינרים, ובא ראובן ותבע לשמעון העשרים דינרים. ושמעון טוען כי לוי לא הלוהו שום ממון אלא העשרים דינרים שלך הם אלא שעשיתי השטר בשם לוי ואתה כבר מחלת לי כל תביעת ממון. הדין עם מי?. </w:t>
      </w:r>
      <w:r>
        <w:rPr>
          <w:u w:val="single"/>
          <w:rtl/>
        </w:rPr>
        <w:t>תשובה</w:t>
      </w:r>
      <w:r>
        <w:rPr>
          <w:rtl/>
        </w:rPr>
        <w:t xml:space="preserve">, אם העשרים דינרים של ראובן אע"פ ששטר בשם לוי הכל נכנס בכלל מחילה שעשה לשמעון. שאע"פ שכתב ראובן את השטר בשם לוי לא הקנה את המעות ללוי. וכן שמעון שיודע שהמעות של ראובן אע"פ שנכתבו ללוי - לראובן הוא מחוייב. והכי מוכח בר"פ הגוזל עצים (צה.) בשמעתא דהלוקח שדה בשם חברו. </w:t>
      </w:r>
    </w:p>
  </w:footnote>
  <w:footnote w:id="4627">
    <w:p w14:paraId="6D94067A" w14:textId="77777777" w:rsidR="0013116F" w:rsidRDefault="0013116F" w:rsidP="001D49D4">
      <w:pPr>
        <w:pStyle w:val="a9"/>
        <w:rPr>
          <w:rtl/>
        </w:rPr>
      </w:pPr>
      <w:r>
        <w:rPr>
          <w:rStyle w:val="ab"/>
        </w:rPr>
        <w:footnoteRef/>
      </w:r>
      <w:r>
        <w:rPr>
          <w:rtl/>
        </w:rPr>
        <w:t xml:space="preserve"> </w:t>
      </w:r>
      <w:r>
        <w:rPr>
          <w:rFonts w:hint="cs"/>
          <w:rtl/>
        </w:rPr>
        <w:t>ממהדורת הסמ"ע ואילך.</w:t>
      </w:r>
    </w:p>
  </w:footnote>
  <w:footnote w:id="4628">
    <w:p w14:paraId="62C97240" w14:textId="77777777" w:rsidR="0013116F" w:rsidRDefault="0013116F" w:rsidP="001D49D4">
      <w:pPr>
        <w:pStyle w:val="a9"/>
        <w:rPr>
          <w:rtl/>
        </w:rPr>
      </w:pPr>
      <w:r>
        <w:rPr>
          <w:rStyle w:val="ab"/>
        </w:rPr>
        <w:footnoteRef/>
      </w:r>
      <w:r>
        <w:rPr>
          <w:rtl/>
        </w:rPr>
        <w:t xml:space="preserve"> מיירי כשהחוב עדיין של ראובן, רק שכתב השטר על שם לוי לאיזה טעם... ופשוט הוא דאם היה מקנה המעות ללוי שוב אין ראובן יכול למחול. ובעיר שושן [סע' י] וסמ"ע (סק"ל) פירשו שהשטר לא בא ליד לוי עדיין. ולא היו צריכים לזה, אלא אפילו בא ליד לוי, אם הוא בענין שלא הקנה לו המעות רק שכתבו על שמו, לא זכה בו לוי, כדלעיל סע' ט, ש"ך (סקל"ז).</w:t>
      </w:r>
    </w:p>
  </w:footnote>
  <w:footnote w:id="4629">
    <w:p w14:paraId="6530EBDF" w14:textId="77777777" w:rsidR="0013116F" w:rsidRDefault="0013116F" w:rsidP="001D49D4">
      <w:pPr>
        <w:pStyle w:val="a9"/>
      </w:pPr>
      <w:r>
        <w:rPr>
          <w:rStyle w:val="ab"/>
        </w:rPr>
        <w:footnoteRef/>
      </w:r>
      <w:r>
        <w:rPr>
          <w:rtl/>
        </w:rPr>
        <w:t xml:space="preserve"> ויש לתמוה על רבינו שכתב כאן דברי הרמב"ם סתם כאילו אין חולק עליהם ובסימן י"ו (ס"ג) כתב שהרא"ש חולק בדבר</w:t>
      </w:r>
      <w:r>
        <w:rPr>
          <w:sz w:val="16"/>
          <w:szCs w:val="16"/>
          <w:rtl/>
        </w:rPr>
        <w:t xml:space="preserve"> {וס"ל דא"צ שבועה ולא חרם ואפילו נראה לב"ד שיש לו בו זכות אין כופין אותו להראות לו שטרו אלא יראה שטרו לב"ד, דרכ"מ [אות ט]}</w:t>
      </w:r>
      <w:r>
        <w:rPr>
          <w:rtl/>
        </w:rPr>
        <w:t>, וכתבתי שם שדעת הרשב"א כדעת הרא"ש, ב"י.</w:t>
      </w:r>
    </w:p>
  </w:footnote>
  <w:footnote w:id="4630">
    <w:p w14:paraId="20D5B60F" w14:textId="77777777" w:rsidR="0013116F" w:rsidRDefault="0013116F" w:rsidP="001D49D4">
      <w:pPr>
        <w:pStyle w:val="a9"/>
        <w:rPr>
          <w:rtl/>
        </w:rPr>
      </w:pPr>
      <w:r>
        <w:rPr>
          <w:rStyle w:val="ab"/>
        </w:rPr>
        <w:footnoteRef/>
      </w:r>
      <w:r>
        <w:rPr>
          <w:rtl/>
        </w:rPr>
        <w:t xml:space="preserve"> </w:t>
      </w:r>
      <w:r>
        <w:rPr>
          <w:rFonts w:hint="cs"/>
          <w:rtl/>
        </w:rPr>
        <w:t xml:space="preserve">וז"ל- </w:t>
      </w:r>
      <w:r>
        <w:rPr>
          <w:rtl/>
        </w:rPr>
        <w:t>דעת מורי הרב ומורי הרשב"א שהטוען לחבירו שיתן לו טופס משטרו שמוציא עליו כולי עלמא מודו שיכול לומר בעל השטר אתה רוצה לבקש עקיפין של שקר על שטר שלי כדי שתפסידני וזו טענה גדולה היא אבל מראהו לו בבית דין לקרותו ולראותו וכן דנתי לפני רבותי פעמים הרבה.</w:t>
      </w:r>
    </w:p>
  </w:footnote>
  <w:footnote w:id="4631">
    <w:p w14:paraId="41B63471" w14:textId="77777777" w:rsidR="0013116F" w:rsidRDefault="0013116F" w:rsidP="001D49D4">
      <w:pPr>
        <w:pStyle w:val="a9"/>
        <w:rPr>
          <w:rtl/>
        </w:rPr>
      </w:pPr>
      <w:r>
        <w:rPr>
          <w:rStyle w:val="ab"/>
        </w:rPr>
        <w:footnoteRef/>
      </w:r>
      <w:r>
        <w:rPr>
          <w:rtl/>
        </w:rPr>
        <w:t xml:space="preserve"> וז"ל הרמב"ם- שטר ראובן המלוה אע"פ שכתוב בו בלא טפיסת טופס מזה השטר אין טענה לראובן להמנע מנתינת הטופס ממנו, ואפילו התנה זה על טפסו בביאור. מפני שזה הענין אינו מחייב השהיית הפרעון אלא לאחר ברור ההפסד והזיוף שבשטרו, א"כ כל זמן שיראה מן הדין לפי טענת בעלי דינין שיתן לו הטופס בלא זה התנאי שלא יועיל זה התנאי לעכב נתינת זה הטופס, לפי שאם הדין יחייב בלא זה התנאי השהיית הפרעון בעבור זמן ב"ד או בעבור דבר שלא ישתהה הפרעון יותר ממה שהיה משתהה בעבורו בלא נתינת הטופס ובלא זה התנאי הנזכר בו ר"ל בלא תביעת טופס מזה השטר. וזה לפי שכבר נתברר ממה שסדרתי מן החילוק ההכרחי עיקר אותו הסברא בו דתית שעל שני הפנים אין בנתינת הטופס סבה להשהיית הפרעון. והיה בלא ספק התנאי בזה אינו מזיק בפרעון זה הממון אם הוא אמיתי מחוייב והדבר המזיק בו מה שיתכן שיהיה סבה לזיוף השטר מעיקרו. וכשיזייף השטר מעיקרו בלי ספק כבר פקעו כל פרקין מעיקרן לפי שהן שקראין חששה להם. ולא נאמר כל תנאי שבממון תנאו קיים אלא עם קיום העדות שנתקיימה על אותו התנאי. אבל תנאי שיהיה לקיום עדות עדים שמעידים בשקר לא נפל על זה תנאי שבממון כלל, וזה מבואר שאין צריך לראיה כלל.</w:t>
      </w:r>
    </w:p>
  </w:footnote>
  <w:footnote w:id="4632">
    <w:p w14:paraId="0606A879" w14:textId="77777777" w:rsidR="0013116F" w:rsidRDefault="0013116F" w:rsidP="001D49D4">
      <w:pPr>
        <w:pStyle w:val="a9"/>
        <w:rPr>
          <w:rtl/>
        </w:rPr>
      </w:pPr>
      <w:r>
        <w:rPr>
          <w:rStyle w:val="ab"/>
        </w:rPr>
        <w:footnoteRef/>
      </w:r>
      <w:r>
        <w:rPr>
          <w:rtl/>
        </w:rPr>
        <w:t xml:space="preserve"> </w:t>
      </w:r>
      <w:r>
        <w:rPr>
          <w:rFonts w:hint="cs"/>
          <w:rtl/>
        </w:rPr>
        <w:t>ו</w:t>
      </w:r>
      <w:r>
        <w:rPr>
          <w:rtl/>
        </w:rPr>
        <w:t>נראה מדברי הרא"ש דדוקא כשזה טוען 'מזוייף הוא' נותנין לו הטפסת השטר, אבל בטענה אחרת כיון שמודה שהשטר אינו מזוייף נראה שאין נותנין הטפסת השטר, שאינו נוטל אותו אלא להתחכם לשנות את הידוע ולבטל דברי אמת הכתובים בשטר ולהטעים דברי שקרו, דומיא דלא בעינא דתהוי טענתי גבי טענתך. וכך מטין דברי הרמב"ם שכתב 'אלא לאחר בירור דברי ההפסד וזיוף שבשטר', וגם כתב 'כל זמן שיראה מן הדין לפי טענת בעלי דינין שיתן לו הטופס', ומשמע דהכי קאמר- אם זה טוען 'מזוייף הוא' הדין נותן שיתנו לו טופס השטר, ואם זה מודה שהשטר כשר אלא שטוען טענה אחרת אין נותנין לו, כנ"ל, ב"י.</w:t>
      </w:r>
    </w:p>
  </w:footnote>
  <w:footnote w:id="4633">
    <w:p w14:paraId="4879E021" w14:textId="77777777" w:rsidR="0013116F" w:rsidRDefault="0013116F" w:rsidP="001D49D4">
      <w:pPr>
        <w:pStyle w:val="a9"/>
        <w:rPr>
          <w:rtl/>
        </w:rPr>
      </w:pPr>
      <w:r>
        <w:rPr>
          <w:rStyle w:val="ab"/>
        </w:rPr>
        <w:footnoteRef/>
      </w:r>
      <w:r>
        <w:rPr>
          <w:rtl/>
        </w:rPr>
        <w:t xml:space="preserve"> היינו באינה נושאת ונותנת בתוך הבית, וכמ"ש בסי' ס"ב סע' א, שם חזר וכתבו מור"ם, עכ"ל סמ"ע (סקל"ב). אמנם במקור דין זה בתשובת הרא"ש (כלל צו סי' ד) משמע אפילו בנושאת ונותנת תוך הבית כשהבעל עצמו כתב השטרות, וכמו שכתבתי לקמן סי' ס"ב סק"ז, וכ"כ בסמ"ע גופיה שם (סק"ה) לדעת הטור אה"ע ס"ס פו, ובעל כרחך שהטור הוציא דבריו מתשובת הרא"ש זו, וכמ"ש שם [בסי' סב]. מיהו לענין דינא כתבתי שם שהעיקר כתשו' הרשב"א (סי' תתקנז) שחולק, ש"ך (סקל"ט).</w:t>
      </w:r>
    </w:p>
  </w:footnote>
  <w:footnote w:id="4634">
    <w:p w14:paraId="06983858" w14:textId="77777777" w:rsidR="0013116F" w:rsidRDefault="0013116F" w:rsidP="001D49D4">
      <w:pPr>
        <w:pStyle w:val="a9"/>
      </w:pPr>
      <w:r>
        <w:rPr>
          <w:rStyle w:val="ab"/>
        </w:rPr>
        <w:footnoteRef/>
      </w:r>
      <w:r>
        <w:rPr>
          <w:rtl/>
        </w:rPr>
        <w:t xml:space="preserve"> וכן הוא בתשו' הרא"ש כלל ס"ח סימן א' משום דכתב ידו לא גרע מעדים ועוד כתב שם טעמים אחרים, וע"ש, דרכ"מ</w:t>
      </w:r>
      <w:r>
        <w:rPr>
          <w:sz w:val="16"/>
          <w:szCs w:val="16"/>
          <w:rtl/>
        </w:rPr>
        <w:t xml:space="preserve"> (אות א)</w:t>
      </w:r>
      <w:r>
        <w:rPr>
          <w:rtl/>
        </w:rPr>
        <w:t>.</w:t>
      </w:r>
    </w:p>
  </w:footnote>
  <w:footnote w:id="4635">
    <w:p w14:paraId="18B64018" w14:textId="77777777" w:rsidR="0013116F" w:rsidRDefault="0013116F" w:rsidP="001D49D4">
      <w:pPr>
        <w:pStyle w:val="a9"/>
      </w:pPr>
      <w:r>
        <w:rPr>
          <w:rStyle w:val="ab"/>
        </w:rPr>
        <w:footnoteRef/>
      </w:r>
      <w:r>
        <w:rPr>
          <w:rtl/>
        </w:rPr>
        <w:t xml:space="preserve"> פירוש, כתיבתן וחתימתן. דמשום חשש זיוף רגילין לתקן כן שלא יקחו סופרים ועדים מאן דהו, והעיקר תלוי בחתימת העדים, סמ"ע (סק"א).</w:t>
      </w:r>
    </w:p>
  </w:footnote>
  <w:footnote w:id="4636">
    <w:p w14:paraId="22C58E12" w14:textId="77777777" w:rsidR="0013116F" w:rsidRDefault="0013116F" w:rsidP="001D49D4">
      <w:pPr>
        <w:pStyle w:val="a9"/>
      </w:pPr>
      <w:r>
        <w:rPr>
          <w:rStyle w:val="ab"/>
        </w:rPr>
        <w:footnoteRef/>
      </w:r>
      <w:r>
        <w:rPr>
          <w:rtl/>
        </w:rPr>
        <w:t xml:space="preserve"> וה"ה הלואה בחתימת יד הלוה ג"כ אינו בכלל, דזיל בתר טעמא, דאמרינן הודאה</w:t>
      </w:r>
      <w:r>
        <w:rPr>
          <w:sz w:val="16"/>
          <w:szCs w:val="16"/>
          <w:rtl/>
        </w:rPr>
        <w:t xml:space="preserve"> [פירוש, בחתימתו] </w:t>
      </w:r>
      <w:r>
        <w:rPr>
          <w:rtl/>
        </w:rPr>
        <w:t>כמאה עדים דמי, אלא שמעשה כך היה שנשאל הרא"ש על שטר מחילה, מש"ה נקטה המחבר. גם משום אורחא דמילתא נקט, שרוב המלוים אינם מלוים כי אם בשטר שיש בו עדים שיוכל לטרוף על ידו מלקוחות וממקבלי מתנה, משא"כ בחתימת ידן, אבל במחילה אין נפ"מ בזה, סמ"ע</w:t>
      </w:r>
      <w:r>
        <w:rPr>
          <w:sz w:val="16"/>
          <w:szCs w:val="16"/>
          <w:rtl/>
        </w:rPr>
        <w:t xml:space="preserve"> (סק"ב)</w:t>
      </w:r>
      <w:r>
        <w:rPr>
          <w:rtl/>
        </w:rPr>
        <w:t>. וכתב הש"ך (סק"א) דכן משמע ממה שכתבו הטור והר"ב דודאי אין הכונה רק על השטר כו', ופשוט הוא.</w:t>
      </w:r>
    </w:p>
  </w:footnote>
  <w:footnote w:id="4637">
    <w:p w14:paraId="0FE8089B" w14:textId="77777777" w:rsidR="0013116F" w:rsidRDefault="0013116F" w:rsidP="001D49D4">
      <w:pPr>
        <w:pStyle w:val="a9"/>
      </w:pPr>
      <w:r>
        <w:rPr>
          <w:rStyle w:val="ab"/>
        </w:rPr>
        <w:footnoteRef/>
      </w:r>
      <w:r>
        <w:rPr>
          <w:rtl/>
        </w:rPr>
        <w:t xml:space="preserve"> היינו שטרי הלואות ושל מקח וממכר שלוקחים עדים המפקיעים קול ויוכל לטרוף על ידו מלקוחות, סמ"ע (סק"ד).</w:t>
      </w:r>
    </w:p>
  </w:footnote>
  <w:footnote w:id="4638">
    <w:p w14:paraId="539EE166" w14:textId="77777777" w:rsidR="0013116F" w:rsidRDefault="0013116F" w:rsidP="001D49D4">
      <w:pPr>
        <w:pStyle w:val="a9"/>
      </w:pPr>
      <w:r>
        <w:rPr>
          <w:rStyle w:val="ab"/>
        </w:rPr>
        <w:footnoteRef/>
      </w:r>
      <w:r>
        <w:rPr>
          <w:rtl/>
        </w:rPr>
        <w:t xml:space="preserve"> נתבאר בסימן מ"ג, ב"י.</w:t>
      </w:r>
    </w:p>
  </w:footnote>
  <w:footnote w:id="4639">
    <w:p w14:paraId="1139DDA6" w14:textId="77777777" w:rsidR="0013116F" w:rsidRDefault="0013116F" w:rsidP="001D49D4">
      <w:pPr>
        <w:pStyle w:val="a9"/>
        <w:rPr>
          <w:rtl/>
        </w:rPr>
      </w:pPr>
      <w:r>
        <w:rPr>
          <w:rStyle w:val="ab"/>
        </w:rPr>
        <w:footnoteRef/>
      </w:r>
      <w:r>
        <w:rPr>
          <w:rtl/>
        </w:rPr>
        <w:t xml:space="preserve"> נתבאר בסימן מ"ב (סי"ח), ב"י.</w:t>
      </w:r>
    </w:p>
  </w:footnote>
  <w:footnote w:id="4640">
    <w:p w14:paraId="73F8E9BD" w14:textId="77777777" w:rsidR="0013116F" w:rsidRDefault="0013116F" w:rsidP="001D49D4">
      <w:pPr>
        <w:pStyle w:val="a9"/>
        <w:rPr>
          <w:rtl/>
        </w:rPr>
      </w:pPr>
      <w:r>
        <w:rPr>
          <w:rStyle w:val="ab"/>
        </w:rPr>
        <w:footnoteRef/>
      </w:r>
      <w:r>
        <w:rPr>
          <w:rtl/>
        </w:rPr>
        <w:t xml:space="preserve"> וז"ל- עדים שכתבו טופס השטר בפנקס כדי שיכתוב השטר בנוסח ההוא - אין דנין על פי אותו הטופס, דלא הוי אלא כמי שכתבו עדותן בפנקסן לזכרון דברים בעלמא דלא דנין על פי אותו עדות דהוה מפיהן ולא מפי כתבן. ולא דמי לשאר שטרות שנמסרו ליד בעלים - שחתימתן הוה כאלו נחקרה עדותן בב"ד ואף אם לא נמסרו ליד בעלי הדבר, הואיל וחתמו על מנת למסור. אבל כתב שעושין העדים לעצמן לזכרון אע"פ שחתומין בו כיון שלא נעשה לשם שטר - הוי כפנקס בעלמא ואין גובין בו, דהוי מפי כתבם. עכ"ל. וכתב הב"י לאחר שהביא את דברי הריב"ש- 'וכן נראה מדברי הרשב"א שאין גובין...', לכן צריך לומר שהב"י הבין שגם הריב"ש יודה שאם המנהג לגבות בטופס השטר – גובין, ואז אין מחלוקת בינו לבין הרשב"א. וכתב הדרכ"מ </w:t>
      </w:r>
      <w:r>
        <w:rPr>
          <w:sz w:val="16"/>
          <w:szCs w:val="16"/>
          <w:rtl/>
        </w:rPr>
        <w:t xml:space="preserve">(סי' כח אות ז) </w:t>
      </w:r>
      <w:r>
        <w:rPr>
          <w:rtl/>
        </w:rPr>
        <w:t>שמדברי התוס' משמע שלא כדברי הריב"ש.</w:t>
      </w:r>
    </w:p>
  </w:footnote>
  <w:footnote w:id="4641">
    <w:p w14:paraId="2F2BFFF5" w14:textId="77777777" w:rsidR="0013116F" w:rsidRDefault="0013116F" w:rsidP="001D49D4">
      <w:pPr>
        <w:pStyle w:val="a9"/>
        <w:rPr>
          <w:rtl/>
        </w:rPr>
      </w:pPr>
      <w:r>
        <w:rPr>
          <w:rStyle w:val="ab"/>
        </w:rPr>
        <w:footnoteRef/>
      </w:r>
      <w:r>
        <w:rPr>
          <w:rtl/>
        </w:rPr>
        <w:t xml:space="preserve"> אלא העדים כתבוהו מעצמן שלא מדעת הלוה, דפסול מטעם מפיהם ולא מפי כתבם, דאין דנין על פי אותו שטר כלל, וכמ"ש לעיל סימן ל"ט סע' ג סק"ט באריכות. וכן משמע מדברי הרא"ש פרק גט פשוט (ב"ב פ"י סי' ז) , ש"ך (סק"ב).</w:t>
      </w:r>
    </w:p>
  </w:footnote>
  <w:footnote w:id="4642">
    <w:p w14:paraId="46071D11" w14:textId="77777777" w:rsidR="0013116F" w:rsidRDefault="0013116F" w:rsidP="001D49D4">
      <w:pPr>
        <w:pStyle w:val="a9"/>
        <w:rPr>
          <w:rtl/>
        </w:rPr>
      </w:pPr>
      <w:r>
        <w:rPr>
          <w:rStyle w:val="ab"/>
        </w:rPr>
        <w:footnoteRef/>
      </w:r>
      <w:r>
        <w:rPr>
          <w:rtl/>
        </w:rPr>
        <w:t xml:space="preserve"> ר"ל, איכא למימר שטעו וכתבו ונתנו לו שטר שלא עומד להכתב, ולא אמרינן אף שמסתמא לא ניתן להכתב דילמא אשתני דעת לוה זה ואמר להם לכותבו, סמ"ע (סק"ו).</w:t>
      </w:r>
    </w:p>
  </w:footnote>
  <w:footnote w:id="4643">
    <w:p w14:paraId="19F2DE75" w14:textId="77777777" w:rsidR="0013116F" w:rsidRDefault="0013116F" w:rsidP="001D49D4">
      <w:pPr>
        <w:pStyle w:val="a9"/>
        <w:rPr>
          <w:rtl/>
        </w:rPr>
      </w:pPr>
      <w:r>
        <w:rPr>
          <w:rStyle w:val="ab"/>
        </w:rPr>
        <w:footnoteRef/>
      </w:r>
      <w:r>
        <w:rPr>
          <w:rtl/>
        </w:rPr>
        <w:t xml:space="preserve"> פירוש, וכתיב [דברים י"ט ט"ו] על פי שני עדים, ודרשינן [גיטין ע"א ע"א] ולא מפי כתבן, אבל שטר הניתן להכתב ולהיות ביד הלוקח או ביד המלוה, התירו חכמים משום תיקון העולם, וכמ"ש הטור והמחבר בסימן כ"ח [טור סעיף ט"ו ומחבר] סעיף י"ב, סמ"ע (סק"ו).</w:t>
      </w:r>
    </w:p>
  </w:footnote>
  <w:footnote w:id="4644">
    <w:p w14:paraId="154CFAB5" w14:textId="77777777" w:rsidR="0013116F" w:rsidRDefault="0013116F" w:rsidP="001D49D4">
      <w:pPr>
        <w:pStyle w:val="a9"/>
      </w:pPr>
      <w:r>
        <w:rPr>
          <w:rStyle w:val="ab"/>
        </w:rPr>
        <w:footnoteRef/>
      </w:r>
      <w:r>
        <w:rPr>
          <w:rtl/>
        </w:rPr>
        <w:t xml:space="preserve"> הש"ך (סק"ב) כתב דנ"ל דאין כאן מחלוקת כלל, דאע"ג דבב"י וד"מ וב"ח [סעיף ג'] כתבו דהרא"ש (כלל ס"ח סי' ה) פליג אהריב"ש (סי' ר"י) וכמ"ש הרב בהג"ה כאן, מ"מ לפעד"נ דלא פליגי, דהריב"ש מיירי שהלוה נתחייב בפני שני עדים בשטר במנה, ולא נתחייב עצמו כלל שיכתוב הסופר השטר רק שהם יכתבו שטר גמור, א"כ טופס זה שכתבו בספר הסופר אין לו דין שטר כיון שלא כתבוהו ליתן ליד המלוה שהרי הניחוהו ביד הסופר. אבל הרא"ש מיירי שנתחייב עצמו שהעדים יכתבו עליו שהוא מחויב לעשות שטר מהיום בכל יפוי כח שייפה הסופר, וקיבל על עצמו בקנין כן בפני עדים, א"כ כל שאינו עושה כן, כתיבת העדים עומדת במקום כתיבת הסופר כיון שמסרו כתיבתם ליד המלוה, ע"ש בריב"ש ובתשובת הרא"ש ותראה שדבריהם מכוונים כמו שכתבתי. מיהו נראה דהרא"ש וריב"ש מיירי שהלוה ציוה להם לכתוב שטר, א"כ השטר ניתן לכתוב, אבל כל שכתבוהו שלא מדעת הלוה, פסול מטעם מפיהם ולא מפי כתבם ואין דנין על פיו כלל, והעדאת עדים נמי לא חשיב.</w:t>
      </w:r>
    </w:p>
  </w:footnote>
  <w:footnote w:id="4645">
    <w:p w14:paraId="453AC12E" w14:textId="77777777" w:rsidR="0013116F" w:rsidRDefault="0013116F" w:rsidP="001D49D4">
      <w:pPr>
        <w:pStyle w:val="a9"/>
        <w:rPr>
          <w:rtl/>
        </w:rPr>
      </w:pPr>
      <w:r>
        <w:rPr>
          <w:rStyle w:val="ab"/>
        </w:rPr>
        <w:footnoteRef/>
      </w:r>
      <w:r>
        <w:rPr>
          <w:rtl/>
        </w:rPr>
        <w:t xml:space="preserve"> אינו ר"ל שרצונה לשלם בקרקע והמלוה אומר שיש בידה מטלטלין לפרוע מהן, וקאמר שצריכה לישבע ע"ז שאין לה, דזה אינו מתקנת הגאונים, דלא תיקנו שבועה אלא אמי שאומר אין לי במה לפרוע כלל </w:t>
      </w:r>
      <w:r>
        <w:rPr>
          <w:sz w:val="16"/>
          <w:szCs w:val="16"/>
          <w:rtl/>
        </w:rPr>
        <w:t>(וכמש"כ לקמן בטור ובדברי המחבר סי' צט [בסמ"ע סק"א] וקא [בסמ"ע סקי"ד])</w:t>
      </w:r>
      <w:r>
        <w:rPr>
          <w:rtl/>
        </w:rPr>
        <w:t xml:space="preserve">, אלא מפני שכל הטוען אין לי, מסתמא אם היה לו קרקעות היה זה ידוע, משא"כ במטלטלין דיכול להיות שיש ממון בחדרו או מופקד ביד אחר בסוד, משום הכי קאמר דישבע ע"ז כתקנת הגאונים שאין לו, ואגב זה מגלגלין עליו ג"כ אם יש לו קרקע בשום צד, סמ"ע (סק"ז). אך הש"ך (סק"ג) חלק עליו וכתב דמשמע אפילו רוצה לשלם קרקע, צריכה לישבע ע"פ תקנת הגאונים אם יש לה מטלטלי </w:t>
      </w:r>
      <w:r>
        <w:rPr>
          <w:sz w:val="16"/>
          <w:szCs w:val="16"/>
          <w:rtl/>
        </w:rPr>
        <w:t>(וכתב דכן משמע להדיא בטור ובתשו' הרא"ש (כלל ל"ט סי' ה), ומ"ש הטור והמחבר לקמן סימן ק"א [סעיף י'], היינו לדינא דש"ס, וכמו שכתבתי שם [סק"ה] באריכות)</w:t>
      </w:r>
      <w:r>
        <w:rPr>
          <w:rtl/>
        </w:rPr>
        <w:t>.</w:t>
      </w:r>
    </w:p>
  </w:footnote>
  <w:footnote w:id="4646">
    <w:p w14:paraId="7A11C9DD" w14:textId="77777777" w:rsidR="0013116F" w:rsidRDefault="0013116F" w:rsidP="001D49D4">
      <w:pPr>
        <w:pStyle w:val="a9"/>
      </w:pPr>
      <w:r>
        <w:rPr>
          <w:rStyle w:val="ab"/>
        </w:rPr>
        <w:footnoteRef/>
      </w:r>
      <w:r>
        <w:rPr>
          <w:rtl/>
        </w:rPr>
        <w:t xml:space="preserve"> </w:t>
      </w:r>
      <w:r>
        <w:rPr>
          <w:rFonts w:hint="cs"/>
          <w:rtl/>
        </w:rPr>
        <w:t>בטור שלפנינו הגירסא היא 'על הכפל', וכ"ה בשו"ע, ובמקצת כת"י ודפוס ואדי אל חגארה הגירסא היא 'עד הכפל', וכתב הסמ"ע (סקי"ב) דכך היא הגירסא בספרי הטור המדוייקים.</w:t>
      </w:r>
    </w:p>
  </w:footnote>
  <w:footnote w:id="4647">
    <w:p w14:paraId="177A206B" w14:textId="77777777" w:rsidR="0013116F" w:rsidRDefault="0013116F" w:rsidP="001D49D4">
      <w:pPr>
        <w:pStyle w:val="a9"/>
        <w:rPr>
          <w:rtl/>
        </w:rPr>
      </w:pPr>
      <w:r>
        <w:rPr>
          <w:rStyle w:val="ab"/>
        </w:rPr>
        <w:footnoteRef/>
      </w:r>
      <w:r>
        <w:rPr>
          <w:rtl/>
        </w:rPr>
        <w:t xml:space="preserve"> ומשמע מדבריו</w:t>
      </w:r>
      <w:r>
        <w:rPr>
          <w:sz w:val="16"/>
          <w:szCs w:val="16"/>
          <w:rtl/>
        </w:rPr>
        <w:t xml:space="preserve"> (בתשובה זו וגם מתשובה אחרת (שם סי' יג) שכתב רבינו בסימן זה (סי"ג))</w:t>
      </w:r>
      <w:r>
        <w:rPr>
          <w:rtl/>
        </w:rPr>
        <w:t xml:space="preserve"> דדוקא בטוליטולה שנהגו כך הוא דאין גובה המוציאו אם אין כתוב בו 'ואף בלא הרשאה', אבל בסתם מקומות כיון שכתוב בו לכל מוציא שטר זה גובה בלא הרשאה </w:t>
      </w:r>
      <w:r>
        <w:rPr>
          <w:sz w:val="16"/>
          <w:szCs w:val="16"/>
          <w:rtl/>
        </w:rPr>
        <w:t>(וכ"כ בתשו' אחרת בכלל הנזכר (סי' ז), וגם בכלל פ"ז סי' ג', ונראה מדבריו שם שאפילו כתוב בו 'לכל מוציאו בין יהודי בין גוי' גובה בו ישראל המוציאו מיהא, ואע"פ שבכלל ס"ח (סי' ז) כתב דמסתבר מדכוללן יחד יהודי וגוי דבר פשוט הוא שאינו יכול לגבות בו, ומדהא ליתא הא נמי ליתא, לא כתב כן אלא לתת סברא למנהג טוליטולה, וכמבואר בדבריו שם, אבל במקום שלא נהגו כן אין ספק שגובה בו ישראל המוציאו בלא הרשאה ואפילו כתוב בו בין ישראל בין גוי, ועיין ברי"ו (נו ח"ה) וכתבתיו בסי' נ (ס"א))</w:t>
      </w:r>
      <w:r>
        <w:rPr>
          <w:rtl/>
        </w:rPr>
        <w:t xml:space="preserve"> דמדינא תנאם קיים, וכך פירש דבריו בתרוה"ד</w:t>
      </w:r>
      <w:r>
        <w:rPr>
          <w:sz w:val="16"/>
          <w:szCs w:val="16"/>
          <w:rtl/>
        </w:rPr>
        <w:t xml:space="preserve"> (סי' שלא)</w:t>
      </w:r>
      <w:r>
        <w:rPr>
          <w:rtl/>
        </w:rPr>
        <w:t>, ב"י.</w:t>
      </w:r>
    </w:p>
  </w:footnote>
  <w:footnote w:id="4648">
    <w:p w14:paraId="433A6989" w14:textId="77777777" w:rsidR="0013116F" w:rsidRDefault="0013116F" w:rsidP="001D49D4">
      <w:pPr>
        <w:pStyle w:val="a9"/>
        <w:rPr>
          <w:rtl/>
        </w:rPr>
      </w:pPr>
      <w:r>
        <w:rPr>
          <w:rStyle w:val="ab"/>
        </w:rPr>
        <w:footnoteRef/>
      </w:r>
      <w:r>
        <w:rPr>
          <w:rtl/>
        </w:rPr>
        <w:t xml:space="preserve"> דמסתמא דעתו שיכתבוהו כמנהג המדינה וכל אותם דברים הם קיימים ועושים על פיהם, ובסימן ע"א (סכ"ה) אכתוב אם יש מי שחולק בזה. ועיין במה שכתבתי בסוף סימן ק"א (ס"ט מחו' ה) בשם תשובת הרשב"א, ב"י.</w:t>
      </w:r>
    </w:p>
  </w:footnote>
  <w:footnote w:id="4649">
    <w:p w14:paraId="32EF7D3E" w14:textId="77777777" w:rsidR="0013116F" w:rsidRDefault="0013116F" w:rsidP="001D49D4">
      <w:pPr>
        <w:pStyle w:val="a9"/>
        <w:rPr>
          <w:rtl/>
        </w:rPr>
      </w:pPr>
      <w:r>
        <w:rPr>
          <w:rStyle w:val="ab"/>
        </w:rPr>
        <w:footnoteRef/>
      </w:r>
      <w:r>
        <w:rPr>
          <w:rtl/>
        </w:rPr>
        <w:t xml:space="preserve"> הבאתי את לשון הרא"ש במלואה משום שהטור ציטט רק חלק מהתשובה וכתב הב"י שיש בדברי שאלה זו שכתב הטור חסרון.</w:t>
      </w:r>
    </w:p>
  </w:footnote>
  <w:footnote w:id="4650">
    <w:p w14:paraId="28A49083" w14:textId="77777777" w:rsidR="0013116F" w:rsidRDefault="0013116F" w:rsidP="001D49D4">
      <w:pPr>
        <w:pStyle w:val="a9"/>
        <w:rPr>
          <w:rtl/>
        </w:rPr>
      </w:pPr>
      <w:r>
        <w:rPr>
          <w:rStyle w:val="ab"/>
        </w:rPr>
        <w:footnoteRef/>
      </w:r>
      <w:r>
        <w:rPr>
          <w:rtl/>
        </w:rPr>
        <w:t xml:space="preserve"> </w:t>
      </w:r>
      <w:r>
        <w:rPr>
          <w:rFonts w:hint="cs"/>
          <w:rtl/>
        </w:rPr>
        <w:t>בשאלה שנשאל הרא"ש ישנן שלוש שאלות, והרא"ש מחלק תשובתו ג"כ לשלוש, ותשובת הרשב"א מתייחסת רק לנושא של השאלה הראשונה (האם מוציאים ללא הרשאה כיון שכך כתב בשטר).</w:t>
      </w:r>
    </w:p>
  </w:footnote>
  <w:footnote w:id="4651">
    <w:p w14:paraId="4C48B506" w14:textId="77777777" w:rsidR="0013116F" w:rsidRDefault="0013116F" w:rsidP="001D49D4">
      <w:pPr>
        <w:pStyle w:val="a9"/>
      </w:pPr>
      <w:r>
        <w:rPr>
          <w:rStyle w:val="ab"/>
        </w:rPr>
        <w:footnoteRef/>
      </w:r>
      <w:r>
        <w:rPr>
          <w:rtl/>
        </w:rPr>
        <w:t xml:space="preserve"> וזה כמו שכתבתי בדעת הרא"ש דדוקא למנהג טוליטולה כתב כן אבל בשאר מקומות גובה בלא הרשאה, ב"י.</w:t>
      </w:r>
    </w:p>
  </w:footnote>
  <w:footnote w:id="4652">
    <w:p w14:paraId="1C55934E" w14:textId="77777777" w:rsidR="0013116F" w:rsidRDefault="0013116F" w:rsidP="001D49D4">
      <w:pPr>
        <w:pStyle w:val="a9"/>
        <w:rPr>
          <w:rtl/>
        </w:rPr>
      </w:pPr>
      <w:r>
        <w:rPr>
          <w:rStyle w:val="ab"/>
        </w:rPr>
        <w:footnoteRef/>
      </w:r>
      <w:r>
        <w:rPr>
          <w:rtl/>
        </w:rPr>
        <w:t xml:space="preserve"> עיין בתשו' הרא"ש (שם) שמשמע ומוכח משם דאם כתב בשטר בפירוש בלי הרשאה - פשיטא דגובין בו בכל המקומות, דכל תנאי שבממון קיים. ודוקא אם לא כתב בשטר בפירוש בלא הרשאה, אלא כתב שיוכל לגבות בו כל המוציאו, בזה כתבו כמ"ש המחבר כאן - דבכל המקומות מסתמא יכולין לגבות בו בלא הרשאה אם לא במקום שנהגו שלא לגבות בו אם לא כתב בשטר בפירוש בלא הרשאה </w:t>
      </w:r>
      <w:r>
        <w:rPr>
          <w:sz w:val="16"/>
          <w:szCs w:val="16"/>
          <w:rtl/>
        </w:rPr>
        <w:t>(וכ"כ מהרא"י בתרוה"ד סי' שלא והביאו מור"ם בהגהותיו ר"ס סו)</w:t>
      </w:r>
      <w:r>
        <w:rPr>
          <w:rtl/>
        </w:rPr>
        <w:t xml:space="preserve">. ועל פי הדברים האלה היה נראה דגם דברי המחבר צריכין לפרש כן, דאינו ר"ל שכתב בשטר בהדיא בלא הרשאה, אלא ר"ל שטר שכתוב בו שכל המוציאו יוכל לגבות בו, כונתו היא אפילו בלא הרשאה, וע"ז מסיק וכתב דאם אין מנהג כו'. אלא דא"כ קשה דלא ה"ל לסתום אלא לפרש, וצ"ע, סמ"ע (סק"ח). אך הב"ח (סוף סע' ז) והש"ך (סק"ה) השיגו עליו, וכתבו דאם יש מקום שנהגו שאין כופין אף כשכתוב בו בפירוש בלי הרשאה, אזלינן בתריה, וכן נראה דעת המחבר. ועיין לקמן סימן ק"ג סעיף ז' </w:t>
      </w:r>
      <w:r>
        <w:rPr>
          <w:sz w:val="16"/>
          <w:szCs w:val="16"/>
          <w:rtl/>
        </w:rPr>
        <w:t>{שם מפורש שכן דעת המחבר}</w:t>
      </w:r>
      <w:r>
        <w:rPr>
          <w:rtl/>
        </w:rPr>
        <w:t>.</w:t>
      </w:r>
    </w:p>
  </w:footnote>
  <w:footnote w:id="4653">
    <w:p w14:paraId="1A00CEEF" w14:textId="77777777" w:rsidR="0013116F" w:rsidRDefault="0013116F" w:rsidP="001D49D4">
      <w:pPr>
        <w:pStyle w:val="a9"/>
        <w:rPr>
          <w:rtl/>
        </w:rPr>
      </w:pPr>
      <w:r>
        <w:rPr>
          <w:rStyle w:val="ab"/>
        </w:rPr>
        <w:footnoteRef/>
      </w:r>
      <w:r>
        <w:rPr>
          <w:rtl/>
        </w:rPr>
        <w:t xml:space="preserve"> פירוש, ולא אמרינן מדלגבי גוי לא חל התנאי דהא איסור יש בדבר, לא יחול ג"כ גבי ישראל אחר המוציאו, סמ"ע (סק"ט).</w:t>
      </w:r>
    </w:p>
  </w:footnote>
  <w:footnote w:id="4654">
    <w:p w14:paraId="2C0F781F" w14:textId="77777777" w:rsidR="0013116F" w:rsidRDefault="0013116F" w:rsidP="001D49D4">
      <w:pPr>
        <w:pStyle w:val="a9"/>
        <w:rPr>
          <w:rtl/>
        </w:rPr>
      </w:pPr>
      <w:r>
        <w:rPr>
          <w:rStyle w:val="ab"/>
        </w:rPr>
        <w:footnoteRef/>
      </w:r>
      <w:r>
        <w:rPr>
          <w:rtl/>
        </w:rPr>
        <w:t xml:space="preserve"> דמסתמא דעתו שיכתבוהו כמנהג המדינה וכל אותם דברים הם קיימים ועושים על פיהם, ובסימן ע"א (סכ"ה) אכתוב אם יש מי שחולק בזה. ועיין במה שכתבתי בסוף סימן ק"א (ס"ט מחו' ה) בשם תשובת הרשב"א, ב"י.</w:t>
      </w:r>
    </w:p>
  </w:footnote>
  <w:footnote w:id="4655">
    <w:p w14:paraId="68801A2C" w14:textId="77777777" w:rsidR="0013116F" w:rsidRDefault="0013116F" w:rsidP="001D49D4">
      <w:pPr>
        <w:pStyle w:val="a9"/>
        <w:rPr>
          <w:rtl/>
        </w:rPr>
      </w:pPr>
      <w:r>
        <w:rPr>
          <w:rStyle w:val="ab"/>
        </w:rPr>
        <w:footnoteRef/>
      </w:r>
      <w:r>
        <w:rPr>
          <w:rtl/>
        </w:rPr>
        <w:t xml:space="preserve"> </w:t>
      </w:r>
      <w:r>
        <w:rPr>
          <w:rFonts w:hint="cs"/>
          <w:rtl/>
        </w:rPr>
        <w:t>בטור שלפנינו הגירסא היא 'על הכפל', וכ"ה בשו"ע, ובמקצת כת"י ודפוס ואדי אל חגארה הגירסא היא 'עד הכפל', וכתב הסמ"ע (סקי"ב) דכך היא הגירסא בספרי הטור המדוייקים.</w:t>
      </w:r>
    </w:p>
  </w:footnote>
  <w:footnote w:id="4656">
    <w:p w14:paraId="1578ECD1" w14:textId="77777777" w:rsidR="0013116F" w:rsidRDefault="0013116F" w:rsidP="001D49D4">
      <w:pPr>
        <w:pStyle w:val="a9"/>
        <w:rPr>
          <w:rtl/>
        </w:rPr>
      </w:pPr>
      <w:r>
        <w:rPr>
          <w:rStyle w:val="ab"/>
        </w:rPr>
        <w:footnoteRef/>
      </w:r>
      <w:r>
        <w:rPr>
          <w:rtl/>
        </w:rPr>
        <w:t xml:space="preserve"> ועיין במה שאכתוב בסימן ע"א (סכ"ה), ב"י.</w:t>
      </w:r>
    </w:p>
  </w:footnote>
  <w:footnote w:id="4657">
    <w:p w14:paraId="5B21D7CE" w14:textId="77777777" w:rsidR="0013116F" w:rsidRDefault="0013116F" w:rsidP="001D49D4">
      <w:pPr>
        <w:pStyle w:val="a9"/>
        <w:rPr>
          <w:rtl/>
        </w:rPr>
      </w:pPr>
      <w:r>
        <w:rPr>
          <w:rStyle w:val="ab"/>
        </w:rPr>
        <w:footnoteRef/>
      </w:r>
      <w:r>
        <w:rPr>
          <w:rtl/>
        </w:rPr>
        <w:t xml:space="preserve"> וכ"כ ב"י לקמן סימן ע"א (סכ"ה) בשם הריטב"א (סי' יב), דרכ"מ (אות ג*).</w:t>
      </w:r>
    </w:p>
  </w:footnote>
  <w:footnote w:id="4658">
    <w:p w14:paraId="3C60D76C" w14:textId="77777777" w:rsidR="0013116F" w:rsidRDefault="0013116F" w:rsidP="001D49D4">
      <w:pPr>
        <w:pStyle w:val="a9"/>
        <w:rPr>
          <w:rtl/>
        </w:rPr>
      </w:pPr>
      <w:r>
        <w:rPr>
          <w:rStyle w:val="ab"/>
        </w:rPr>
        <w:footnoteRef/>
      </w:r>
      <w:r>
        <w:rPr>
          <w:rtl/>
        </w:rPr>
        <w:t xml:space="preserve"> ועיין לקמן סימן רמ"ב (ס"ח) בזה, דרכ"מ (אות ג*).</w:t>
      </w:r>
    </w:p>
  </w:footnote>
  <w:footnote w:id="4659">
    <w:p w14:paraId="6A351F0D" w14:textId="77777777" w:rsidR="0013116F" w:rsidRDefault="0013116F" w:rsidP="001D49D4">
      <w:pPr>
        <w:pStyle w:val="a9"/>
        <w:rPr>
          <w:rtl/>
        </w:rPr>
      </w:pPr>
      <w:r>
        <w:rPr>
          <w:rStyle w:val="ab"/>
        </w:rPr>
        <w:footnoteRef/>
      </w:r>
      <w:r>
        <w:rPr>
          <w:rtl/>
        </w:rPr>
        <w:t xml:space="preserve"> ע"ל סי' מ"ב סע' י' דכותבין כן כדי להיות יד בעל השטר על העליונה, ודורשין מחמתו לשון השטר ליפוי כח דבעל השטר. ודלא כטופסי דשטרא. עי' לקמן סי' קי"ג דפירשו הטור [סע' ד] דר"ל דנכתב לגבות בו מיד, ולא שטופס השטרות כך הוא, סמ"ע (סק"י).</w:t>
      </w:r>
    </w:p>
  </w:footnote>
  <w:footnote w:id="4660">
    <w:p w14:paraId="12F5273E" w14:textId="77777777" w:rsidR="0013116F" w:rsidRDefault="0013116F" w:rsidP="001D49D4">
      <w:pPr>
        <w:pStyle w:val="a9"/>
        <w:rPr>
          <w:rtl/>
        </w:rPr>
      </w:pPr>
      <w:r>
        <w:rPr>
          <w:rStyle w:val="ab"/>
        </w:rPr>
        <w:footnoteRef/>
      </w:r>
      <w:r>
        <w:rPr>
          <w:rtl/>
        </w:rPr>
        <w:t xml:space="preserve"> </w:t>
      </w:r>
      <w:r>
        <w:rPr>
          <w:rFonts w:hint="cs"/>
          <w:u w:val="single"/>
          <w:rtl/>
        </w:rPr>
        <w:t>ונחלקו האחרונים בפירוש דברים אלו:</w:t>
      </w:r>
    </w:p>
    <w:p w14:paraId="61EF301E" w14:textId="77777777" w:rsidR="0013116F" w:rsidRDefault="0013116F" w:rsidP="004B0475">
      <w:pPr>
        <w:pStyle w:val="a9"/>
        <w:numPr>
          <w:ilvl w:val="0"/>
          <w:numId w:val="325"/>
        </w:numPr>
        <w:rPr>
          <w:rtl/>
        </w:rPr>
      </w:pPr>
      <w:r>
        <w:rPr>
          <w:rtl/>
        </w:rPr>
        <w:t xml:space="preserve">סמ"ע </w:t>
      </w:r>
      <w:r>
        <w:rPr>
          <w:sz w:val="16"/>
          <w:szCs w:val="16"/>
          <w:rtl/>
        </w:rPr>
        <w:t>(סקי"א)</w:t>
      </w:r>
      <w:r>
        <w:rPr>
          <w:rtl/>
        </w:rPr>
        <w:t>- נראה דר"ל דמה שקיבל עליו לכתוב 'בכל זכוותא' קאי דוקא לכללים וענינים המסתברים לומר שהיתה דעתו עליהן שזולתן לא היה נגמר ענין השטר</w:t>
      </w:r>
      <w:r>
        <w:rPr>
          <w:sz w:val="16"/>
          <w:szCs w:val="16"/>
          <w:rtl/>
        </w:rPr>
        <w:t xml:space="preserve"> (וזה שכתב 'בתחילת ענינא' שכל המתחייב נפשו בשטר חוב, מסתמא דעתו בתחילה אאותו ענין הוה. ובסי' עא </w:t>
      </w:r>
      <w:r>
        <w:rPr>
          <w:sz w:val="14"/>
          <w:szCs w:val="14"/>
          <w:rtl/>
        </w:rPr>
        <w:t xml:space="preserve">(מחו' כ) </w:t>
      </w:r>
      <w:r>
        <w:rPr>
          <w:sz w:val="16"/>
          <w:szCs w:val="16"/>
          <w:rtl/>
        </w:rPr>
        <w:t>חזר הב"י להביא זה, וכתב בה 'דתחות ענינא', והיא היא. וגם שם לפני זה הביא ב"י לשון ריטב"א</w:t>
      </w:r>
      <w:r>
        <w:rPr>
          <w:sz w:val="14"/>
          <w:szCs w:val="14"/>
          <w:rtl/>
        </w:rPr>
        <w:t xml:space="preserve"> [סי' יב]</w:t>
      </w:r>
      <w:r>
        <w:rPr>
          <w:sz w:val="16"/>
          <w:szCs w:val="16"/>
          <w:rtl/>
        </w:rPr>
        <w:t xml:space="preserve"> שכ' ג"כ עד"ז)</w:t>
      </w:r>
      <w:r>
        <w:rPr>
          <w:rtl/>
        </w:rPr>
        <w:t>.</w:t>
      </w:r>
    </w:p>
    <w:p w14:paraId="3015CA63" w14:textId="77777777" w:rsidR="0013116F" w:rsidRDefault="0013116F" w:rsidP="004B0475">
      <w:pPr>
        <w:pStyle w:val="a9"/>
        <w:numPr>
          <w:ilvl w:val="0"/>
          <w:numId w:val="325"/>
        </w:numPr>
      </w:pPr>
      <w:r>
        <w:rPr>
          <w:rtl/>
        </w:rPr>
        <w:t xml:space="preserve">ש"ך </w:t>
      </w:r>
      <w:r>
        <w:rPr>
          <w:sz w:val="16"/>
          <w:szCs w:val="16"/>
          <w:rtl/>
        </w:rPr>
        <w:t>(סק"ח)</w:t>
      </w:r>
      <w:r>
        <w:rPr>
          <w:rtl/>
        </w:rPr>
        <w:t xml:space="preserve">- 'קאי לכל כללי דתחילת ענינא' היינו לכל כללי דאחריות שמזכיר בתחילת הענין. וה"ה אם כתב ונאמנות שטרא דנן קבילת עלי ככל שטרי כו', קאי לכל כללי דנאמנות ולא לכללי דאחריות </w:t>
      </w:r>
      <w:r>
        <w:rPr>
          <w:sz w:val="16"/>
          <w:szCs w:val="16"/>
          <w:rtl/>
        </w:rPr>
        <w:t>(וכ"מ להדיא בבהעי"ט סוף מאמר ה' יב ע"ד)</w:t>
      </w:r>
      <w:r>
        <w:rPr>
          <w:rtl/>
        </w:rPr>
        <w:t>.</w:t>
      </w:r>
    </w:p>
  </w:footnote>
  <w:footnote w:id="4661">
    <w:p w14:paraId="4F02097C" w14:textId="77777777" w:rsidR="0013116F" w:rsidRDefault="0013116F" w:rsidP="001D49D4">
      <w:pPr>
        <w:pStyle w:val="a9"/>
        <w:rPr>
          <w:rtl/>
        </w:rPr>
      </w:pPr>
      <w:r>
        <w:rPr>
          <w:rStyle w:val="ab"/>
        </w:rPr>
        <w:footnoteRef/>
      </w:r>
      <w:r>
        <w:rPr>
          <w:rtl/>
        </w:rPr>
        <w:t xml:space="preserve"> פירוש, אע"פ שנוהגין לכתוב נאמנות בכל השטרות </w:t>
      </w:r>
      <w:r>
        <w:rPr>
          <w:sz w:val="16"/>
          <w:szCs w:val="16"/>
          <w:rtl/>
        </w:rPr>
        <w:t>(וכדאיתא בהריטב"א [סי' יב, הובא בב"י סי' עא סכ"ה])</w:t>
      </w:r>
      <w:r>
        <w:rPr>
          <w:rtl/>
        </w:rPr>
        <w:t>, לא מחשבינן עד דמפרשי, דדילמא לא היתה דעתו לכתוב נאמנות. והיינו כשלא ידוע אם הלוה ידע שנוהגים לכתוב נאמנות בכל השטרות, אבל כשידע המנהג, אז אע"פ שלא נכתב כנכתב דמי..., ש"ך (סק"ט).</w:t>
      </w:r>
    </w:p>
  </w:footnote>
  <w:footnote w:id="4662">
    <w:p w14:paraId="1C32CBDE" w14:textId="77777777" w:rsidR="0013116F" w:rsidRDefault="0013116F" w:rsidP="001D49D4">
      <w:pPr>
        <w:pStyle w:val="a9"/>
        <w:rPr>
          <w:rtl/>
        </w:rPr>
      </w:pPr>
      <w:r>
        <w:rPr>
          <w:rStyle w:val="ab"/>
        </w:rPr>
        <w:footnoteRef/>
      </w:r>
      <w:r>
        <w:rPr>
          <w:rtl/>
        </w:rPr>
        <w:t xml:space="preserve"> </w:t>
      </w:r>
      <w:r>
        <w:rPr>
          <w:rFonts w:hint="cs"/>
          <w:rtl/>
        </w:rPr>
        <w:t xml:space="preserve">כן היא הגירסא בטור שלפנינו, ובספרי טור אחרים הגירסא היא 'עם הכפל', </w:t>
      </w:r>
      <w:r>
        <w:rPr>
          <w:rFonts w:hint="cs"/>
          <w:rtl/>
        </w:rPr>
        <w:tab/>
        <w:t>ובמקצת כת"י ודפוס ואדי אל חגארה הגירסא היא 'עד הכפל', וכתב הסמ"ע (סקי"ב) דכך היא הגירסא בספרי הטור המדוייקים.</w:t>
      </w:r>
    </w:p>
  </w:footnote>
  <w:footnote w:id="4663">
    <w:p w14:paraId="63C3B3C0" w14:textId="77777777" w:rsidR="0013116F" w:rsidRDefault="0013116F" w:rsidP="001D49D4">
      <w:pPr>
        <w:pStyle w:val="a9"/>
        <w:rPr>
          <w:rtl/>
        </w:rPr>
      </w:pPr>
      <w:r>
        <w:rPr>
          <w:rStyle w:val="ab"/>
        </w:rPr>
        <w:footnoteRef/>
      </w:r>
      <w:r>
        <w:rPr>
          <w:rtl/>
        </w:rPr>
        <w:t xml:space="preserve"> בספרי הטור המדויקים כתוב "עד" הכפל, והיה נראה דדוקא בכה"ג דקיבל עליו כולי האי מחשב אסמכתא </w:t>
      </w:r>
      <w:r>
        <w:rPr>
          <w:sz w:val="16"/>
          <w:szCs w:val="16"/>
          <w:rtl/>
        </w:rPr>
        <w:t>(וכמו אם לא אעביד אשלם אלפי זוזי [ב"מ קד:])</w:t>
      </w:r>
      <w:r>
        <w:rPr>
          <w:rtl/>
        </w:rPr>
        <w:t xml:space="preserve">, אבל בחיוב סתם הוצאה אין זה אסמכתא, אלא אמרינן ביה ג"כ כל תנאי שבממון קיים </w:t>
      </w:r>
      <w:r>
        <w:rPr>
          <w:sz w:val="16"/>
          <w:szCs w:val="16"/>
          <w:rtl/>
        </w:rPr>
        <w:t>(וכן משמע מתשובת הרא"ש [כלל ע"א סי' ח']. גם הביאה הטור בסימן ע"א סעיף כ"ב, ומור"ם הביאו שם בשו"ע בהג"ה בסוף סעיף ג' ע"ש. גם בד"מ [סעיף ז'] כתוב דלא מיקרי זה אסמכתא כיון שקיבל עליו לשלם הוצאות וה"ל בכלל אמרם כל תנאי שבממון קיים, ותמה על הרא"ש [כלל ס"ח סי' י"ב] שכתב דה"ל אסמכתא. ולפי מה שכתבתי ניחא, דלא קרי ליה אסמכתא אלא בתנאי דקיבל עליו עד הכפל, דאף אם אירע דהוציא עליו כ"כ, מסברא יש לומר דלא עלתה על דעתו שיוציא כ"כ ועל דרך אסמכתא כתב לו כן, וכמ"ש בהגד"מ ע"ש)</w:t>
      </w:r>
      <w:r>
        <w:rPr>
          <w:rtl/>
        </w:rPr>
        <w:t xml:space="preserve">. וגם עיין בס"ס י"ד דלא כתבו הטור והמחבר [סע' ה] דא"צ לשלם לו הוצאה אם לא משעת סירובו ואילך, אלא כשלא קיבל עליו בפירוש, סמ"ע (סקי"ב). </w:t>
      </w:r>
    </w:p>
  </w:footnote>
  <w:footnote w:id="4664">
    <w:p w14:paraId="65D3BE1D" w14:textId="77777777" w:rsidR="0013116F" w:rsidRDefault="0013116F" w:rsidP="001D49D4">
      <w:pPr>
        <w:pStyle w:val="a9"/>
      </w:pPr>
      <w:r>
        <w:rPr>
          <w:rStyle w:val="ab"/>
        </w:rPr>
        <w:footnoteRef/>
      </w:r>
      <w:r>
        <w:rPr>
          <w:rtl/>
        </w:rPr>
        <w:t xml:space="preserve"> פירוש, שם מפורש בטור [סעיף כ"ג] ובדברי המחבר בסעיף י"ח דלא מהני כתיבת דלא כאסמכתא היכי דמפורש בשטר או דאנן חזינן דהוא אסמכתא, סמ"ע (סקי"ג).</w:t>
      </w:r>
    </w:p>
  </w:footnote>
  <w:footnote w:id="4665">
    <w:p w14:paraId="073157EC" w14:textId="77777777" w:rsidR="0013116F" w:rsidRDefault="0013116F" w:rsidP="001D49D4">
      <w:pPr>
        <w:pStyle w:val="a9"/>
      </w:pPr>
      <w:r>
        <w:rPr>
          <w:rStyle w:val="ab"/>
        </w:rPr>
        <w:footnoteRef/>
      </w:r>
      <w:r>
        <w:rPr>
          <w:rtl/>
        </w:rPr>
        <w:t xml:space="preserve"> והיינו דוקא היכא שאין מנהג פשוט בעיר לירד בלי רשות ב"ד ובלי שומא, אז י"ל דאף דכותבין כן בשטרות, לא היתה דעתו אלא כשלא ימצא דיין וכדמסיק, אבל אי מנהג פשוט כן בעיר, אזלינן בתריה כיון דקיבל כן עליה בשטרא. והכי דייק לשון תשובת הרא"ש... וכ"פ המחבר בסימן ק"ג סעיף ז' בהדיא... ומכאן ראיה למה שכתבתי בסימן כ"ו (סמ"ע סקי"א) דאם כתב בפירוש שידון עמו בדין גוים מפני הזכות שיש לו בדיניהן יותר מבדין ישראל, צריך לדון עמו בדייני גוים אף במקום שיש דייני ישראל שיכולין לדונו ולהוציאו מידו, והיינו דוקא במקום שיש איסור לדייני ישראל לדון בדיני גוים כגון להוציא מידו ממון שעבר עליו השמיטה וכיוצא בו, אבל במקום שאין איסור, ידונו דייני ישראל באותו זכות שיש לו לפני דייני גוים מאחר שקיבל עליו וחייב נפשו בזה, ועל דרך שכתב מור"ם בהג"ה לקמן ס"ס שס"ט ע"ש, סמ"ע (סקי"ד). וכתב הש"ך (סקי"א) שדבריו ברורים </w:t>
      </w:r>
      <w:r>
        <w:rPr>
          <w:sz w:val="16"/>
          <w:szCs w:val="16"/>
          <w:rtl/>
        </w:rPr>
        <w:t>{מש"כ דהיכא דיש מנהג בעיר לרדת בלא שומת ב"ד וכו'. אבל הא דיכול גם בדיני גוים לא הזכיר הש"ך}</w:t>
      </w:r>
      <w:r>
        <w:rPr>
          <w:rtl/>
        </w:rPr>
        <w:t>, וכתב דפשיטא דגם למהרו"ך</w:t>
      </w:r>
      <w:r>
        <w:rPr>
          <w:sz w:val="16"/>
          <w:szCs w:val="16"/>
          <w:rtl/>
        </w:rPr>
        <w:t xml:space="preserve"> {הסמ"ע}</w:t>
      </w:r>
      <w:r>
        <w:rPr>
          <w:rtl/>
        </w:rPr>
        <w:t xml:space="preserve"> אם לא היה מנהג בעיר </w:t>
      </w:r>
      <w:r>
        <w:rPr>
          <w:sz w:val="16"/>
          <w:szCs w:val="16"/>
          <w:rtl/>
        </w:rPr>
        <w:t xml:space="preserve">{לא לכאן ולא לכאן} </w:t>
      </w:r>
      <w:r>
        <w:rPr>
          <w:rtl/>
        </w:rPr>
        <w:t>נמי אסור, וכמבואר בדבריו להדיא</w:t>
      </w:r>
      <w:r>
        <w:rPr>
          <w:sz w:val="14"/>
          <w:szCs w:val="14"/>
          <w:rtl/>
        </w:rPr>
        <w:t xml:space="preserve"> </w:t>
      </w:r>
      <w:r>
        <w:rPr>
          <w:sz w:val="16"/>
          <w:szCs w:val="16"/>
          <w:rtl/>
        </w:rPr>
        <w:t>{ולא כמו שהבין הב"ח מדברי הסמ"ע דהיכא שאין מנהג יכול לרדת בלא רשות}</w:t>
      </w:r>
      <w:r>
        <w:rPr>
          <w:rtl/>
        </w:rPr>
        <w:t xml:space="preserve">.   </w:t>
      </w:r>
    </w:p>
  </w:footnote>
  <w:footnote w:id="4666">
    <w:p w14:paraId="0B06B61B" w14:textId="77777777" w:rsidR="0013116F" w:rsidRDefault="0013116F" w:rsidP="001D49D4">
      <w:pPr>
        <w:pStyle w:val="a9"/>
        <w:rPr>
          <w:rtl/>
        </w:rPr>
      </w:pPr>
      <w:r>
        <w:rPr>
          <w:rStyle w:val="ab"/>
        </w:rPr>
        <w:footnoteRef/>
      </w:r>
      <w:r>
        <w:rPr>
          <w:rtl/>
        </w:rPr>
        <w:t xml:space="preserve"> דהא אין לכתיבת יד קול דיאמרו סמכנו לקנות כל זמן שלא יצא הקול דכתיבת ידו, וגם לקיום ב"ד, דכתיבת יד</w:t>
      </w:r>
      <w:r>
        <w:rPr>
          <w:sz w:val="14"/>
          <w:szCs w:val="14"/>
          <w:rtl/>
        </w:rPr>
        <w:t xml:space="preserve"> </w:t>
      </w:r>
      <w:r>
        <w:rPr>
          <w:rtl/>
        </w:rPr>
        <w:t>אין לו קול לסמוך עליו, ומה"ט אין טורפין בשטר כתיבת ידו אע"פ שהוא מקוים בב"ד, וכמ"ש בסימן ס"ט (סע' ב), סמ"ע (סקט"ו).</w:t>
      </w:r>
    </w:p>
  </w:footnote>
  <w:footnote w:id="4667">
    <w:p w14:paraId="1B84D438" w14:textId="77777777" w:rsidR="0013116F" w:rsidRDefault="0013116F" w:rsidP="001D49D4">
      <w:pPr>
        <w:pStyle w:val="a9"/>
        <w:rPr>
          <w:rtl/>
        </w:rPr>
      </w:pPr>
      <w:r>
        <w:rPr>
          <w:rStyle w:val="ab"/>
        </w:rPr>
        <w:footnoteRef/>
      </w:r>
      <w:r>
        <w:rPr>
          <w:rtl/>
        </w:rPr>
        <w:t xml:space="preserve"> ר"ל, לוי בקש משמעון שיאמר לעדים שיכתבו שטר עליו איך שהוא חייב לראובן מאה זהובים, ואותו שטר ימסרו העדים ללוי, ועשה לוי כן מאיזה טעם ידוע אצלו בדבר זה, וכדי שיהא שמעון בטוח שלא יגיע לו היזק מזה השטר, נתן לוי ביד שמעון משכון שכל היזק שיגיענו יקחנו מהמשכון, סמ"ע (סקט"ז).</w:t>
      </w:r>
    </w:p>
  </w:footnote>
  <w:footnote w:id="4668">
    <w:p w14:paraId="51CE3AD7" w14:textId="77777777" w:rsidR="0013116F" w:rsidRDefault="0013116F" w:rsidP="001D49D4">
      <w:pPr>
        <w:pStyle w:val="a9"/>
      </w:pPr>
      <w:r>
        <w:rPr>
          <w:rStyle w:val="ab"/>
        </w:rPr>
        <w:footnoteRef/>
      </w:r>
      <w:r>
        <w:rPr>
          <w:rtl/>
        </w:rPr>
        <w:t xml:space="preserve"> וכתב מהרי"ק </w:t>
      </w:r>
      <w:r>
        <w:rPr>
          <w:sz w:val="16"/>
          <w:szCs w:val="16"/>
          <w:rtl/>
        </w:rPr>
        <w:t>(שורש קצ סי' ד, הב"י שלח לעיין בו והדרכ"מ הביאו)</w:t>
      </w:r>
      <w:r>
        <w:rPr>
          <w:rtl/>
        </w:rPr>
        <w:t xml:space="preserve"> דבשטר רעוע כזה אע"פ דהלוה קבל עליו בשבועה וחרם שלא לטעון שום טענה נגד השטר מכל מקום הבית דין מחויבים להחרים אחר העדות כדי לברר הדין על אמיתתו, וכ"כ הרא"ש בתשובה </w:t>
      </w:r>
      <w:r>
        <w:rPr>
          <w:sz w:val="16"/>
          <w:szCs w:val="16"/>
          <w:rtl/>
        </w:rPr>
        <w:t>(כלל פה סי' י, הב"י שלח לעיין בו והדרכ"מ הביאו)</w:t>
      </w:r>
      <w:r>
        <w:rPr>
          <w:rtl/>
        </w:rPr>
        <w:t xml:space="preserve"> שיש להחרים מי שיודע ששטר זה פרוע הוא מאחר ששטר זה ישן כל כך, דרכ"מ (אות ה). </w:t>
      </w:r>
      <w:r>
        <w:rPr>
          <w:color w:val="00B0F0"/>
          <w:rtl/>
        </w:rPr>
        <w:t>(וכ"פ בהג"ה)</w:t>
      </w:r>
      <w:r>
        <w:rPr>
          <w:rtl/>
        </w:rPr>
        <w:t>. וכתב עוד הדרכ"מ וז"ל- הב"י כאן כתב הרבה דינים ואני כתבתי כל אחד ואחד במקומו המיוחד לו בעזרת השם יתברך, ועיין לעיל סימן כ"ח (דמה"א ס"ה, ב"י מחו' טו) תקנות שתקנו הקהל בענין כתיבת וחתימת שטרות היא קיימת.</w:t>
      </w:r>
    </w:p>
  </w:footnote>
  <w:footnote w:id="4669">
    <w:p w14:paraId="6FB4236B" w14:textId="77777777" w:rsidR="0013116F" w:rsidRDefault="0013116F" w:rsidP="001D49D4">
      <w:pPr>
        <w:pStyle w:val="a9"/>
        <w:rPr>
          <w:rtl/>
        </w:rPr>
      </w:pPr>
      <w:r>
        <w:rPr>
          <w:rStyle w:val="ab"/>
        </w:rPr>
        <w:footnoteRef/>
      </w:r>
      <w:r>
        <w:rPr>
          <w:rtl/>
        </w:rPr>
        <w:t xml:space="preserve"> </w:t>
      </w:r>
      <w:r>
        <w:rPr>
          <w:rFonts w:hint="cs"/>
          <w:rtl/>
        </w:rPr>
        <w:t>ממהדורת הסמ"ע ואילך.</w:t>
      </w:r>
    </w:p>
  </w:footnote>
  <w:footnote w:id="4670">
    <w:p w14:paraId="6CBFAD7D" w14:textId="77777777" w:rsidR="0013116F" w:rsidRDefault="0013116F" w:rsidP="001D49D4">
      <w:pPr>
        <w:pStyle w:val="a9"/>
        <w:rPr>
          <w:rtl/>
        </w:rPr>
      </w:pPr>
      <w:r>
        <w:rPr>
          <w:rStyle w:val="ab"/>
        </w:rPr>
        <w:footnoteRef/>
      </w:r>
      <w:r>
        <w:rPr>
          <w:rtl/>
        </w:rPr>
        <w:t xml:space="preserve"> דיכול להתנצל ולומר לא היה השטר בידי לתבוע את אביך, וגם בשעת עניי לא היה בידי, רא"ש (שם, הביאו הסמ"ע סקי"ט).</w:t>
      </w:r>
    </w:p>
  </w:footnote>
  <w:footnote w:id="4671">
    <w:p w14:paraId="106F8ABA" w14:textId="77777777" w:rsidR="0013116F" w:rsidRDefault="0013116F" w:rsidP="001D49D4">
      <w:pPr>
        <w:pStyle w:val="a9"/>
      </w:pPr>
      <w:r>
        <w:rPr>
          <w:rStyle w:val="ab"/>
        </w:rPr>
        <w:footnoteRef/>
      </w:r>
      <w:r>
        <w:rPr>
          <w:rtl/>
        </w:rPr>
        <w:t xml:space="preserve"> </w:t>
      </w:r>
      <w:r>
        <w:rPr>
          <w:rFonts w:hint="cs"/>
          <w:rtl/>
        </w:rPr>
        <w:t>כל התשובות מכאן עד סוף הסעיף לא הובאו בב"י בשלמותם אלא הב"י ציטט את טורף השאלה והפנה לתשו' הרא"ש שעוסקת בה.</w:t>
      </w:r>
    </w:p>
  </w:footnote>
  <w:footnote w:id="4672">
    <w:p w14:paraId="2229ADDB" w14:textId="77777777" w:rsidR="0013116F" w:rsidRDefault="0013116F" w:rsidP="001D49D4">
      <w:pPr>
        <w:pStyle w:val="a9"/>
        <w:rPr>
          <w:rtl/>
        </w:rPr>
      </w:pPr>
      <w:r>
        <w:rPr>
          <w:rStyle w:val="ab"/>
        </w:rPr>
        <w:footnoteRef/>
      </w:r>
      <w:r>
        <w:rPr>
          <w:rtl/>
        </w:rPr>
        <w:t xml:space="preserve"> ועיין בדברי רבינו סימן נ' (ס"א), ב"י.</w:t>
      </w:r>
    </w:p>
  </w:footnote>
  <w:footnote w:id="4673">
    <w:p w14:paraId="33FF6B73" w14:textId="77777777" w:rsidR="0013116F" w:rsidRDefault="0013116F" w:rsidP="001D49D4">
      <w:pPr>
        <w:pStyle w:val="a9"/>
        <w:rPr>
          <w:rtl/>
        </w:rPr>
      </w:pPr>
      <w:r>
        <w:rPr>
          <w:rStyle w:val="ab"/>
        </w:rPr>
        <w:footnoteRef/>
      </w:r>
      <w:r>
        <w:rPr>
          <w:rtl/>
        </w:rPr>
        <w:t xml:space="preserve"> ולגבי שאלה שנשאל על שטר שלשונו מורה על הודאה אך אינו מורה עליה כלל עיין בכלל צ"א סימן א'.</w:t>
      </w:r>
    </w:p>
  </w:footnote>
  <w:footnote w:id="4674">
    <w:p w14:paraId="68C9D9CA" w14:textId="77777777" w:rsidR="0013116F" w:rsidRDefault="0013116F" w:rsidP="001D49D4">
      <w:pPr>
        <w:pStyle w:val="a9"/>
        <w:rPr>
          <w:rtl/>
        </w:rPr>
      </w:pPr>
      <w:r>
        <w:rPr>
          <w:rStyle w:val="ab"/>
        </w:rPr>
        <w:footnoteRef/>
      </w:r>
      <w:r>
        <w:rPr>
          <w:rtl/>
        </w:rPr>
        <w:t xml:space="preserve"> ונראה דה"ה דיכול לטעון פרעתי, דכיון שאין טורף ממשעבדי לא חשש להניח בידו </w:t>
      </w:r>
      <w:r>
        <w:rPr>
          <w:sz w:val="16"/>
          <w:szCs w:val="16"/>
          <w:rtl/>
        </w:rPr>
        <w:t>(וכמו שכתבתי לקמן סימן ס"ט סק"ז)</w:t>
      </w:r>
      <w:r>
        <w:rPr>
          <w:rtl/>
        </w:rPr>
        <w:t xml:space="preserve">. וגדולה מזו נראה, דאפילו העדאת עדים לא הוי דה"ל מפיהם ולא מפי כתבם כיון שנכתב בלא צואת הלוה </w:t>
      </w:r>
      <w:r>
        <w:rPr>
          <w:sz w:val="16"/>
          <w:szCs w:val="16"/>
          <w:rtl/>
        </w:rPr>
        <w:t>(וכמו שכתבתי לעיל סימן ל"ט סק"ט ובסימן זה סק"ב)</w:t>
      </w:r>
      <w:r>
        <w:rPr>
          <w:rtl/>
        </w:rPr>
        <w:t xml:space="preserve">. ומ"ש הרא"ש </w:t>
      </w:r>
      <w:r>
        <w:rPr>
          <w:sz w:val="16"/>
          <w:szCs w:val="16"/>
          <w:rtl/>
        </w:rPr>
        <w:t>(כלל ס"ה סי' ג בסוף התשובה ומביאה הטור סוף סימן זה)</w:t>
      </w:r>
      <w:r>
        <w:rPr>
          <w:rtl/>
        </w:rPr>
        <w:t xml:space="preserve"> 'ולענין זה הוה עדות מעליא לקיים מה שהודה בפניהם' התם מיירי להדיא שמודה בעיקר הדברים שהודה בפניהם, דלענין זה הוי עדות שלא יוכל לטעון השטאה או השבעה, ש"ך</w:t>
      </w:r>
      <w:r>
        <w:rPr>
          <w:sz w:val="16"/>
          <w:szCs w:val="16"/>
          <w:rtl/>
        </w:rPr>
        <w:t xml:space="preserve"> (סקי"ג)</w:t>
      </w:r>
      <w:r>
        <w:rPr>
          <w:rtl/>
        </w:rPr>
        <w:t>.</w:t>
      </w:r>
    </w:p>
  </w:footnote>
  <w:footnote w:id="4675">
    <w:p w14:paraId="22B5115F" w14:textId="77777777" w:rsidR="0013116F" w:rsidRDefault="0013116F" w:rsidP="001D49D4">
      <w:pPr>
        <w:pStyle w:val="a9"/>
        <w:rPr>
          <w:rtl/>
        </w:rPr>
      </w:pPr>
      <w:r>
        <w:rPr>
          <w:rStyle w:val="ab"/>
        </w:rPr>
        <w:footnoteRef/>
      </w:r>
      <w:r>
        <w:rPr>
          <w:rtl/>
        </w:rPr>
        <w:t xml:space="preserve"> כ"כ הנוסח גם כן בתשו' הרא"ש</w:t>
      </w:r>
      <w:r>
        <w:rPr>
          <w:sz w:val="16"/>
          <w:szCs w:val="16"/>
          <w:rtl/>
        </w:rPr>
        <w:t xml:space="preserve"> (שהייתה לפני הסמ"ע)</w:t>
      </w:r>
      <w:r>
        <w:rPr>
          <w:rtl/>
        </w:rPr>
        <w:t xml:space="preserve"> ובספרי טור של קלף. ולפ"ז צ"ל דמ"ש בשטר 'ביאור מה שהודה בפנינו', תוספות תיבת 'ביאור' הוא מגרע כח לשון הודאה שכתב אח"כ 'שהודה בפנינו', דלשון ביאור מורה על חשבון בעלמא ולא שהיתה הודאה גמורה. והוא קצת דוחק. ובכל ספרי הטור הנדפסים לא כתוב בהן תיבת 'ולא', אלא תיבת </w:t>
      </w:r>
      <w:r>
        <w:rPr>
          <w:b/>
          <w:bCs/>
          <w:rtl/>
        </w:rPr>
        <w:t>'אלא</w:t>
      </w:r>
      <w:r>
        <w:rPr>
          <w:rtl/>
        </w:rPr>
        <w:t xml:space="preserve"> הודה בפנינו', סמ"ע (סק"כ). וכן הסכים הגר"א (אות ל). וכן הגירסא בתשו' הרא"ש שלפני. אך הש"ך (סקי"ד) כתב כפירושו הראשון של הסמ"ע. ושלח לעיין לעיל בסימן ל"ט סעיף י"א.</w:t>
      </w:r>
    </w:p>
  </w:footnote>
  <w:footnote w:id="4676">
    <w:p w14:paraId="17682E13" w14:textId="77777777" w:rsidR="0013116F" w:rsidRDefault="0013116F" w:rsidP="001D49D4">
      <w:pPr>
        <w:pStyle w:val="a9"/>
      </w:pPr>
      <w:r>
        <w:rPr>
          <w:rStyle w:val="ab"/>
        </w:rPr>
        <w:footnoteRef/>
      </w:r>
      <w:r>
        <w:rPr>
          <w:rtl/>
        </w:rPr>
        <w:t xml:space="preserve"> </w:t>
      </w:r>
      <w:r>
        <w:rPr>
          <w:rFonts w:hint="cs"/>
          <w:rtl/>
        </w:rPr>
        <w:t>התיבות 'שם המלוה' הם תוספת באה"ג (אות ש).</w:t>
      </w:r>
    </w:p>
  </w:footnote>
  <w:footnote w:id="4677">
    <w:p w14:paraId="12BC4A19" w14:textId="77777777" w:rsidR="0013116F" w:rsidRDefault="0013116F" w:rsidP="001D49D4">
      <w:pPr>
        <w:pStyle w:val="a9"/>
        <w:rPr>
          <w:rtl/>
        </w:rPr>
      </w:pPr>
      <w:r>
        <w:rPr>
          <w:rStyle w:val="ab"/>
        </w:rPr>
        <w:footnoteRef/>
      </w:r>
      <w:r>
        <w:rPr>
          <w:rtl/>
        </w:rPr>
        <w:t xml:space="preserve"> והוא אל תשכן באהליך עולה (איוב י"א י"ד), סמ"ע (סקכ"א). וביאר הש"ך (סקט"ז) דנראה דמיירי אע"פ שהלוה שותק ואינו מבקש השטר, או שרוצה המלוה ליתן לו השטר אלא שדוחהו מיום ליום, וקמ"ל דמנדין אותו שיתן מיד. דאי מיירי שהלוה מבקש השטר והמלוה אינו רוצה ליתנו כלל, למה לי לטעמא שעובר על לאו של דברי קבלה, תיפוק ליה שמחויב להחזיר לו שטרו שלא יתבענו עוד פעם אחרת, דעל כרחך מיירי כשלא יתן לו שובר, דאי נותן לו שובר ליכא איסור דאל תשכן באהליך עולה, וכמו שהוכחתי לעיל סימן נ"ז [סק"ו]. או אפשר דאפילו נותן שובר איכא איסורא דאל תשכן. ואע"פ שהוכחתי בסימן נ"ז דליכא איסורא, היינו כשכותב שובר על גבי השטר עצמו, או כשנשאר חייב לו מקצת דבע"כ צריך להשהות השטר אצלו, אבל הכא דאין צריך להשהות השטר כלל, מיקרי עולה דדילמא יאבד השובר, ולמה לו להשהות השטר אצלו בחנם.</w:t>
      </w:r>
    </w:p>
  </w:footnote>
  <w:footnote w:id="4678">
    <w:p w14:paraId="5C736797" w14:textId="77777777" w:rsidR="0013116F" w:rsidRDefault="0013116F" w:rsidP="001D49D4">
      <w:pPr>
        <w:pStyle w:val="a9"/>
        <w:rPr>
          <w:rtl/>
        </w:rPr>
      </w:pPr>
      <w:r>
        <w:rPr>
          <w:rStyle w:val="ab"/>
        </w:rPr>
        <w:footnoteRef/>
      </w:r>
      <w:r>
        <w:rPr>
          <w:rtl/>
        </w:rPr>
        <w:t xml:space="preserve"> עיין בתשובת הרשב"א שאכתוב בסמוך (מחו' יח), ב"י.</w:t>
      </w:r>
    </w:p>
  </w:footnote>
  <w:footnote w:id="4679">
    <w:p w14:paraId="5259E2C6" w14:textId="77777777" w:rsidR="0013116F" w:rsidRDefault="0013116F" w:rsidP="001D49D4">
      <w:pPr>
        <w:pStyle w:val="a9"/>
        <w:rPr>
          <w:rtl/>
        </w:rPr>
      </w:pPr>
      <w:r>
        <w:rPr>
          <w:rStyle w:val="ab"/>
        </w:rPr>
        <w:footnoteRef/>
      </w:r>
      <w:r>
        <w:rPr>
          <w:rtl/>
        </w:rPr>
        <w:t xml:space="preserve"> דהלוה נותן שכר הסופר, וכמ"ש הטור לעיל סימן ל"ט סעיף כ"ב ע"ש. ואם נתן המלוה שכר הסופר, מחשב הלואה גביה וצריך הלוה לחזור ולשלם לו, אבל מ"מ אין לו למלוה לעכב בשביל זה השט"ח, כמ"ש המחבר לעיל סימן נ"ז סעיף א', סמ"ע (סקכ"ב). וכתב הש"ך (סקי"ז) דנראה מדברי הסמ"ע דאפילו שיכתוב על גבו שהוא פרוע או שיקרענו אינו יכול לעכבו. ובאמת כן נראה מדברי המחבר בסימן נ"ז. אבל כבר השגתי שם עליו והוכחתי דכשיכתוב עליו שהוא פרוע או יקרענו, יכול לעכב הנייר עד שיפרע לו פשיטי דספרא. וע"ש בס"ק ד' ה' ו' באריכות.</w:t>
      </w:r>
    </w:p>
  </w:footnote>
  <w:footnote w:id="4680">
    <w:p w14:paraId="5D5D9461" w14:textId="77777777" w:rsidR="0013116F" w:rsidRDefault="0013116F" w:rsidP="001D49D4">
      <w:pPr>
        <w:pStyle w:val="a9"/>
      </w:pPr>
      <w:r>
        <w:rPr>
          <w:rStyle w:val="ab"/>
        </w:rPr>
        <w:footnoteRef/>
      </w:r>
      <w:r>
        <w:rPr>
          <w:rtl/>
        </w:rPr>
        <w:t xml:space="preserve"> דה"ל לומר כן מתחילה אינני מבינו, תפרשוהו לי ואדע, וכל שתיקה בענינים אלו ה"ל כקבלה שקיבל עליו לקיים מה שהסופרים נוהגים לכתוב בשטרות ובכתובות ובדקדוקיהן. ועיין לעיל סימן מ"ה סעיף ג', סמ"ע (סקכ"ג).</w:t>
      </w:r>
    </w:p>
  </w:footnote>
  <w:footnote w:id="4681">
    <w:p w14:paraId="6A122DE5" w14:textId="77777777" w:rsidR="0013116F" w:rsidRDefault="0013116F" w:rsidP="001D49D4">
      <w:pPr>
        <w:pStyle w:val="a9"/>
        <w:rPr>
          <w:rtl/>
        </w:rPr>
      </w:pPr>
      <w:r>
        <w:rPr>
          <w:rStyle w:val="ab"/>
        </w:rPr>
        <w:footnoteRef/>
      </w:r>
      <w:r>
        <w:rPr>
          <w:rtl/>
        </w:rPr>
        <w:t xml:space="preserve"> ר"ל, מיד אחר זה בסעיף ט"ו כתבו המחבר. וא"ת א"כ למה כתבו מור"ם כאן. י"ל משום שיש לטעות ולפרש דמ"ש בסמוך דיש לדקדק בלשון השטר ולא אמרינן כו', ר"ל דמדקדקין ולא חיישינן דהאי גברא לא גמיר, אבל אם אירע דטען כן הוה אמינא דשומעין לו, קמל"ן מור"ם כאן דכמו שמי שטוען על כתובת אשתו שלא הבינה אין שומעין לו, כן הדין נמי בשאר דקדוקים, סמ"ע (סקכ"ד). ואפילו ידוע שאינו מבין לשון השטר, מתחייב הוא בכך כיון שקיבל על עצמו ושתק. וע"ל סי' מה סע' ג' עוד מזה, ש"ך (סקי"ח).</w:t>
      </w:r>
    </w:p>
  </w:footnote>
  <w:footnote w:id="4682">
    <w:p w14:paraId="5677902B" w14:textId="77777777" w:rsidR="0013116F" w:rsidRDefault="0013116F" w:rsidP="001D49D4">
      <w:pPr>
        <w:pStyle w:val="a9"/>
      </w:pPr>
      <w:r>
        <w:rPr>
          <w:rStyle w:val="ab"/>
        </w:rPr>
        <w:footnoteRef/>
      </w:r>
      <w:r>
        <w:rPr>
          <w:rtl/>
        </w:rPr>
        <w:t xml:space="preserve"> וכתב בשורש כ"ג על אשר הוציא ה"ר שמואל כתב יד מהר"י מוכיח שנכתב שטר אחר איך ה"ר ברוך היה לו ליחד מאתיים דוקטאי לאם היתומות והיא נתנתו ליתומות דבר פשוט הוא שמאחר שאין השטר יוצא מתחת ידה ולא מתחת יד בנותיה ואין השטר נמצא דודאי ה"ר ברוך נאמן במה שטען שהוא פרוע כיון דליכא למימר שטרך בידי מאי בעי.</w:t>
      </w:r>
      <w:r>
        <w:rPr>
          <w:color w:val="FF0000"/>
          <w:rtl/>
        </w:rPr>
        <w:t xml:space="preserve"> לא הבנתי.</w:t>
      </w:r>
    </w:p>
  </w:footnote>
  <w:footnote w:id="4683">
    <w:p w14:paraId="43E2A3A1" w14:textId="77777777" w:rsidR="0013116F" w:rsidRDefault="0013116F" w:rsidP="001D49D4">
      <w:pPr>
        <w:pStyle w:val="a9"/>
        <w:rPr>
          <w:rtl/>
        </w:rPr>
      </w:pPr>
      <w:r>
        <w:rPr>
          <w:rStyle w:val="ab"/>
        </w:rPr>
        <w:footnoteRef/>
      </w:r>
      <w:r>
        <w:rPr>
          <w:rtl/>
        </w:rPr>
        <w:t xml:space="preserve"> כל ענייני שטרות הולכים בהם אחר לשון בני אדם ואימתי הולכים בהם אחר לשון תורה, עיין בהריב"ש סימן ר"ז (ד"ה אצ"ל). וכן לגבי פירוש לשונות שטרות, וכן שיש מקומות שאין אומרים בהם יד בעל השטר על התחתונה (ד"ה מעתה נג ע"ב). ולגבי פירוש לשונות שטרות עיין גם במהרי"ק (שורש קפב) והריב"ש (סי' רנ). ולענין מי שטען טענות לבעל שטר שהוציאו עליו בתנאים עיין בכתבי מה"ר איסרלן סימן ע"ג. ועיין בתשובות הרשב"א (ח"ג סי' לו) שכתבתי בסוף סימן ע"ב (מחו' מו) ותמצא דלא אמרינן שלא נכתב לשון נוסף שבשטר אלא לשופרא דשטרא בלבד אלא היכא דליכא למילף מיניה אבל היכא דאיכא למילף ילפינן. ולגבי ענין מגו דאי בעי כביש לשטריה או מגו דאי בעי קלתיה בהריב"ש סימן של"ו ושמ"ג, ע"פ ב"י.</w:t>
      </w:r>
    </w:p>
  </w:footnote>
  <w:footnote w:id="4684">
    <w:p w14:paraId="68AC2171" w14:textId="77777777" w:rsidR="0013116F" w:rsidRDefault="0013116F" w:rsidP="001D49D4">
      <w:pPr>
        <w:pStyle w:val="a9"/>
      </w:pPr>
      <w:r>
        <w:rPr>
          <w:rStyle w:val="ab"/>
        </w:rPr>
        <w:footnoteRef/>
      </w:r>
      <w:r>
        <w:rPr>
          <w:rtl/>
        </w:rPr>
        <w:t xml:space="preserve"> וכן הדין בנדרים, וכמ"ש ביו"ד בסימן רי"ח ע"ש, סמ"ע (סקכ"ו).</w:t>
      </w:r>
    </w:p>
  </w:footnote>
  <w:footnote w:id="4685">
    <w:p w14:paraId="2E8BD09B" w14:textId="77777777" w:rsidR="0013116F" w:rsidRDefault="0013116F" w:rsidP="001D49D4">
      <w:pPr>
        <w:spacing w:after="0" w:line="240" w:lineRule="auto"/>
        <w:rPr>
          <w:sz w:val="20"/>
          <w:szCs w:val="20"/>
          <w:rtl/>
        </w:rPr>
      </w:pPr>
      <w:r>
        <w:rPr>
          <w:rStyle w:val="ab"/>
        </w:rPr>
        <w:footnoteRef/>
      </w:r>
      <w:r>
        <w:rPr>
          <w:rtl/>
        </w:rPr>
        <w:t xml:space="preserve"> </w:t>
      </w:r>
      <w:r>
        <w:rPr>
          <w:sz w:val="20"/>
          <w:szCs w:val="20"/>
          <w:rtl/>
        </w:rPr>
        <w:t>סימן – נושא ונותן</w:t>
      </w:r>
      <w:r>
        <w:rPr>
          <w:sz w:val="16"/>
          <w:szCs w:val="16"/>
          <w:rtl/>
        </w:rPr>
        <w:t xml:space="preserve"> (או- נושאת ונותנת)</w:t>
      </w:r>
      <w:r>
        <w:rPr>
          <w:sz w:val="20"/>
          <w:szCs w:val="20"/>
          <w:rtl/>
        </w:rPr>
        <w:t xml:space="preserve"> בבית - נכסיו בבדיקה. וכן – בדיקת נכסים. וכן - </w:t>
      </w:r>
      <w:r>
        <w:rPr>
          <w:rtl/>
        </w:rPr>
        <w:t>בדיקת נכסי בנים ונכדים.</w:t>
      </w:r>
    </w:p>
  </w:footnote>
  <w:footnote w:id="4686">
    <w:p w14:paraId="44CE9B02" w14:textId="77777777" w:rsidR="0013116F" w:rsidRDefault="0013116F" w:rsidP="001D49D4">
      <w:pPr>
        <w:spacing w:after="0" w:line="240" w:lineRule="auto"/>
        <w:rPr>
          <w:sz w:val="20"/>
          <w:szCs w:val="20"/>
        </w:rPr>
      </w:pPr>
      <w:r>
        <w:rPr>
          <w:rStyle w:val="ab"/>
        </w:rPr>
        <w:footnoteRef/>
      </w:r>
      <w:r>
        <w:rPr>
          <w:rtl/>
        </w:rPr>
        <w:t xml:space="preserve"> </w:t>
      </w:r>
      <w:r>
        <w:rPr>
          <w:sz w:val="20"/>
          <w:szCs w:val="20"/>
          <w:rtl/>
        </w:rPr>
        <w:t xml:space="preserve">שטרי מכירות, רשב"ם. </w:t>
      </w:r>
    </w:p>
  </w:footnote>
  <w:footnote w:id="4687">
    <w:p w14:paraId="451D6741" w14:textId="77777777" w:rsidR="0013116F" w:rsidRDefault="0013116F" w:rsidP="001D49D4">
      <w:pPr>
        <w:spacing w:after="0" w:line="240" w:lineRule="auto"/>
        <w:rPr>
          <w:sz w:val="20"/>
          <w:szCs w:val="20"/>
        </w:rPr>
      </w:pPr>
      <w:r>
        <w:rPr>
          <w:rStyle w:val="ab"/>
        </w:rPr>
        <w:footnoteRef/>
      </w:r>
      <w:r>
        <w:rPr>
          <w:rtl/>
        </w:rPr>
        <w:t xml:space="preserve"> </w:t>
      </w:r>
      <w:r>
        <w:rPr>
          <w:sz w:val="20"/>
          <w:szCs w:val="20"/>
          <w:rtl/>
        </w:rPr>
        <w:t>של הלואה, רשב"ם.</w:t>
      </w:r>
    </w:p>
  </w:footnote>
  <w:footnote w:id="4688">
    <w:p w14:paraId="140F060D" w14:textId="77777777" w:rsidR="0013116F" w:rsidRDefault="0013116F" w:rsidP="001D49D4">
      <w:pPr>
        <w:spacing w:after="0" w:line="240" w:lineRule="auto"/>
        <w:rPr>
          <w:sz w:val="20"/>
          <w:szCs w:val="20"/>
        </w:rPr>
      </w:pPr>
      <w:r>
        <w:rPr>
          <w:rStyle w:val="ab"/>
        </w:rPr>
        <w:footnoteRef/>
      </w:r>
      <w:r>
        <w:rPr>
          <w:rtl/>
        </w:rPr>
        <w:t xml:space="preserve"> </w:t>
      </w:r>
      <w:r>
        <w:rPr>
          <w:sz w:val="20"/>
          <w:szCs w:val="20"/>
          <w:rtl/>
        </w:rPr>
        <w:t>שהוא כדבריו ואם לאו הכל בחזקת תפיסת הבית, רשב"ם.</w:t>
      </w:r>
    </w:p>
  </w:footnote>
  <w:footnote w:id="4689">
    <w:p w14:paraId="1F67E79B" w14:textId="77777777" w:rsidR="0013116F" w:rsidRDefault="0013116F" w:rsidP="001D49D4">
      <w:pPr>
        <w:pStyle w:val="a9"/>
      </w:pPr>
      <w:r>
        <w:rPr>
          <w:rStyle w:val="ab"/>
        </w:rPr>
        <w:footnoteRef/>
      </w:r>
      <w:r>
        <w:rPr>
          <w:rtl/>
        </w:rPr>
        <w:t xml:space="preserve"> רב, כך היה שמו, כדקרי ליה בשחיטת חולין (קלז:) אבא אריכא, דאמרינן מאן ריש סדרא בבבל - אבא אריכא. ואמרינן במסכת נדה (כד:) רב ארוך בדורו היה. והאי דקרי ליה רב, כמו שקורין לר' יהודה הנשיא רבי בארץ ישראל קרו ליה נמי בבבל רב, וכן מצאתי בספר ערוך המובא מרומא, רשב"ם.</w:t>
      </w:r>
    </w:p>
  </w:footnote>
  <w:footnote w:id="4690">
    <w:p w14:paraId="702CF8B3" w14:textId="77777777" w:rsidR="0013116F" w:rsidRDefault="0013116F" w:rsidP="001D49D4">
      <w:pPr>
        <w:spacing w:after="0" w:line="240" w:lineRule="auto"/>
        <w:rPr>
          <w:sz w:val="20"/>
          <w:szCs w:val="20"/>
          <w:rtl/>
        </w:rPr>
      </w:pPr>
      <w:r>
        <w:rPr>
          <w:rStyle w:val="ab"/>
        </w:rPr>
        <w:footnoteRef/>
      </w:r>
      <w:r>
        <w:rPr>
          <w:rtl/>
        </w:rPr>
        <w:t xml:space="preserve"> </w:t>
      </w:r>
      <w:r>
        <w:rPr>
          <w:sz w:val="20"/>
          <w:szCs w:val="20"/>
          <w:rtl/>
        </w:rPr>
        <w:t>הא דקאמר רב עליו להביא ראיה, רשב"ם.</w:t>
      </w:r>
    </w:p>
  </w:footnote>
  <w:footnote w:id="4691">
    <w:p w14:paraId="084DF19A" w14:textId="77777777" w:rsidR="0013116F" w:rsidRDefault="0013116F" w:rsidP="001D49D4">
      <w:pPr>
        <w:spacing w:after="0" w:line="240" w:lineRule="auto"/>
        <w:rPr>
          <w:sz w:val="20"/>
          <w:szCs w:val="20"/>
        </w:rPr>
      </w:pPr>
      <w:r>
        <w:rPr>
          <w:rStyle w:val="ab"/>
        </w:rPr>
        <w:footnoteRef/>
      </w:r>
      <w:r>
        <w:rPr>
          <w:rtl/>
        </w:rPr>
        <w:t xml:space="preserve"> </w:t>
      </w:r>
      <w:r>
        <w:rPr>
          <w:sz w:val="20"/>
          <w:szCs w:val="20"/>
          <w:rtl/>
        </w:rPr>
        <w:t>בשום דבר בעולם אפי' בעיסתן הלכך מאין לו לזה כלום בלא אחיו, רשב"ם.</w:t>
      </w:r>
    </w:p>
  </w:footnote>
  <w:footnote w:id="4692">
    <w:p w14:paraId="313A5D1D" w14:textId="77777777" w:rsidR="0013116F" w:rsidRDefault="0013116F" w:rsidP="001D49D4">
      <w:pPr>
        <w:spacing w:after="0" w:line="240" w:lineRule="auto"/>
        <w:rPr>
          <w:sz w:val="20"/>
          <w:szCs w:val="20"/>
        </w:rPr>
      </w:pPr>
      <w:r>
        <w:rPr>
          <w:rStyle w:val="ab"/>
        </w:rPr>
        <w:footnoteRef/>
      </w:r>
      <w:r>
        <w:rPr>
          <w:rtl/>
        </w:rPr>
        <w:t xml:space="preserve"> </w:t>
      </w:r>
      <w:r>
        <w:rPr>
          <w:sz w:val="20"/>
          <w:szCs w:val="20"/>
          <w:rtl/>
        </w:rPr>
        <w:t xml:space="preserve">עצרן ביותר ולכך נתעשר והיה לו ממון לבדו שאין לאחיו חלק בו ומהממון ההוא לקח קרקעות והלוה לאחרים, רשב"ם. וכתבו התוס' </w:t>
      </w:r>
      <w:r>
        <w:rPr>
          <w:sz w:val="16"/>
          <w:szCs w:val="16"/>
          <w:rtl/>
        </w:rPr>
        <w:t>(נב: ד"ה אימא)</w:t>
      </w:r>
      <w:r>
        <w:rPr>
          <w:sz w:val="20"/>
          <w:szCs w:val="20"/>
          <w:rtl/>
        </w:rPr>
        <w:t xml:space="preserve"> אע"ג דלא טעין הכי אלא אומר מבית אבי אמא מ"מ נאמן במגו דאי בעי אמר מעיסתי קמצתי. וכ"פ הטור.</w:t>
      </w:r>
    </w:p>
  </w:footnote>
  <w:footnote w:id="4693">
    <w:p w14:paraId="2712F5E8" w14:textId="77777777" w:rsidR="0013116F" w:rsidRDefault="0013116F" w:rsidP="001D49D4">
      <w:pPr>
        <w:spacing w:after="0" w:line="240" w:lineRule="auto"/>
        <w:rPr>
          <w:sz w:val="20"/>
          <w:szCs w:val="20"/>
        </w:rPr>
      </w:pPr>
      <w:r>
        <w:rPr>
          <w:rStyle w:val="ab"/>
        </w:rPr>
        <w:footnoteRef/>
      </w:r>
      <w:r>
        <w:rPr>
          <w:rtl/>
        </w:rPr>
        <w:t xml:space="preserve"> </w:t>
      </w:r>
      <w:r>
        <w:rPr>
          <w:sz w:val="20"/>
          <w:szCs w:val="20"/>
          <w:rtl/>
        </w:rPr>
        <w:t>על בעל השטר להביא ראיה דמעיסתו קימץ או מאבי אמו ירש והיה ממון של שטרות הללו שלו, רשב"ם.</w:t>
      </w:r>
    </w:p>
  </w:footnote>
  <w:footnote w:id="4694">
    <w:p w14:paraId="1D708CFD" w14:textId="77777777" w:rsidR="0013116F" w:rsidRDefault="0013116F" w:rsidP="001D49D4">
      <w:pPr>
        <w:spacing w:after="0" w:line="240" w:lineRule="auto"/>
        <w:rPr>
          <w:sz w:val="20"/>
          <w:szCs w:val="20"/>
        </w:rPr>
      </w:pPr>
      <w:r>
        <w:rPr>
          <w:rStyle w:val="ab"/>
        </w:rPr>
        <w:footnoteRef/>
      </w:r>
      <w:r>
        <w:rPr>
          <w:rtl/>
        </w:rPr>
        <w:t xml:space="preserve"> </w:t>
      </w:r>
      <w:r>
        <w:rPr>
          <w:sz w:val="20"/>
          <w:szCs w:val="20"/>
          <w:rtl/>
        </w:rPr>
        <w:t>שכתבו לו בית דין הנפק על שטר זה וכיון דקיימוהו ב"ד בדקו השטר וחקרו ועמדו על אמיתת הדבר שכל הכתוב בשטר אמת הוא והשטר הרי כתוב בשמו של זה, רשב"ם.</w:t>
      </w:r>
    </w:p>
  </w:footnote>
  <w:footnote w:id="4695">
    <w:p w14:paraId="01DD993C" w14:textId="77777777" w:rsidR="0013116F" w:rsidRDefault="0013116F" w:rsidP="001D49D4">
      <w:pPr>
        <w:pStyle w:val="a9"/>
      </w:pPr>
      <w:r>
        <w:rPr>
          <w:rStyle w:val="ab"/>
        </w:rPr>
        <w:footnoteRef/>
      </w:r>
      <w:r>
        <w:rPr>
          <w:rtl/>
        </w:rPr>
        <w:t xml:space="preserve"> מ"ש רבינו ואין צריך שיעידו על אלו השטרות וכו'. כ"כ בעל התרומות</w:t>
      </w:r>
      <w:r>
        <w:rPr>
          <w:sz w:val="16"/>
          <w:szCs w:val="16"/>
          <w:rtl/>
        </w:rPr>
        <w:t xml:space="preserve"> (שער נא ח"ט סי' ג)</w:t>
      </w:r>
      <w:r>
        <w:rPr>
          <w:rtl/>
        </w:rPr>
        <w:t xml:space="preserve">, וכך נראה מלשון רשב"ם שכתב- 'בעדים, שמאבי אמו ירש ממון או ממון אחר הוא'. ובהגה"מ בפרק הנזכר </w:t>
      </w:r>
      <w:r>
        <w:rPr>
          <w:sz w:val="16"/>
          <w:szCs w:val="16"/>
          <w:rtl/>
        </w:rPr>
        <w:t xml:space="preserve">(אות ז) </w:t>
      </w:r>
      <w:r>
        <w:rPr>
          <w:rtl/>
        </w:rPr>
        <w:t xml:space="preserve">כתבו בשם ראב"ן </w:t>
      </w:r>
      <w:r>
        <w:rPr>
          <w:sz w:val="16"/>
          <w:szCs w:val="16"/>
          <w:rtl/>
        </w:rPr>
        <w:t xml:space="preserve">(ב"ב יג. ד"ה אפרש) </w:t>
      </w:r>
      <w:r>
        <w:rPr>
          <w:rtl/>
        </w:rPr>
        <w:t xml:space="preserve">'ראיה בעדים- שיודעים שהיו לו נכסים מאבי אמו אבל לא ידעי זה השטר אם מאותם נכסים אם לאו', וזה הפירוש רחוק בעיני, ולפי האמת נראה לי ראיה בעדים שידעו שממון זה הכתוב בשטר היה ממון של אבי אמו. והר"מ כהן הביא ראיה לפירוש ראב"ן מדאמרינן אימור מעיסתו קמץ משמע דמספק תלינן להעמיד הממון בידו, וכן נראה מדברי הרמב"ם שכתב עליה להביא ראיה שנפלו לה בירושה. ובהג"א </w:t>
      </w:r>
      <w:r>
        <w:rPr>
          <w:sz w:val="16"/>
          <w:szCs w:val="16"/>
          <w:rtl/>
        </w:rPr>
        <w:t xml:space="preserve">(שם) </w:t>
      </w:r>
      <w:r>
        <w:rPr>
          <w:rtl/>
        </w:rPr>
        <w:t>כתב שריב"ם פירש כראב"ן ורבינו ברוך כתב דצריך ראיה שנפלה לו ירושה כשיעור ההוא, וכריב"ם מסתבר עכ"ל</w:t>
      </w:r>
      <w:r>
        <w:rPr>
          <w:sz w:val="16"/>
          <w:szCs w:val="16"/>
          <w:rtl/>
        </w:rPr>
        <w:t xml:space="preserve"> {הג"א}</w:t>
      </w:r>
      <w:r>
        <w:rPr>
          <w:rtl/>
        </w:rPr>
        <w:t>, ב"י.</w:t>
      </w:r>
    </w:p>
  </w:footnote>
  <w:footnote w:id="4696">
    <w:p w14:paraId="2D4C45AD" w14:textId="77777777" w:rsidR="0013116F" w:rsidRDefault="0013116F" w:rsidP="001D49D4">
      <w:pPr>
        <w:pStyle w:val="a9"/>
      </w:pPr>
      <w:r>
        <w:rPr>
          <w:rStyle w:val="ab"/>
        </w:rPr>
        <w:footnoteRef/>
      </w:r>
      <w:r>
        <w:rPr>
          <w:rtl/>
        </w:rPr>
        <w:t xml:space="preserve"> וכתב הש"ך (סק"ה) שגם מדברי התוס' (פרק חזקת הבתים נא: ד"ה קיבל מן האשה) והרא"ש שם (סי' נה) מוכח להדיא כמ"ש הטור בשם הרמ"ה, וכן הוא במרדכי שם (סי' תקמו), עד שאני תמה למה כתב הטור כן בשם הרמ"ה, והלא כך מבואר בהרא"ש ותוס' להדיא דאף במעות או מטלטלים דינא הכי... וכ"כ עוד הטור והמחבר באה"ע ס"ס פ"ו ע"ש. ועיין לקמן סקי"ד. וכן נראה להדיא מתשובת רשב"א [ח"ה סי' ע"ב] שהביא ב"י באה"ע סי' פ"ה [ד"ה ומ"ש שאם] ע"ש, וכן עיקר.</w:t>
      </w:r>
      <w:r>
        <w:rPr>
          <w:rtl/>
        </w:rPr>
        <w:tab/>
      </w:r>
    </w:p>
  </w:footnote>
  <w:footnote w:id="4697">
    <w:p w14:paraId="6219BE23" w14:textId="77777777" w:rsidR="0013116F" w:rsidRDefault="0013116F" w:rsidP="001D49D4">
      <w:pPr>
        <w:pStyle w:val="a9"/>
      </w:pPr>
      <w:r>
        <w:rPr>
          <w:rStyle w:val="ab"/>
        </w:rPr>
        <w:footnoteRef/>
      </w:r>
      <w:r>
        <w:rPr>
          <w:rtl/>
        </w:rPr>
        <w:t xml:space="preserve">  </w:t>
      </w:r>
      <w:r>
        <w:rPr>
          <w:rFonts w:hint="cs"/>
          <w:rtl/>
        </w:rPr>
        <w:t xml:space="preserve">ויש מי שכתב דאם מת המטלטלים בחזקת האחים דלא דמו לשטרות שיוצאות בשמו, אבל בחייו דין אחד להם, רי"ו </w:t>
      </w:r>
      <w:r>
        <w:rPr>
          <w:sz w:val="16"/>
          <w:szCs w:val="16"/>
          <w:rtl/>
        </w:rPr>
        <w:t>(נכ"ו ח"ב עב ע"ד)</w:t>
      </w:r>
      <w:r>
        <w:rPr>
          <w:rtl/>
        </w:rPr>
        <w:t>. ועיין במה שכתבתי בסוף סימן קע"ז (מחו' א) בשם העיטור (אות שין שיתוף), ב"י (בבדה"ב).</w:t>
      </w:r>
    </w:p>
  </w:footnote>
  <w:footnote w:id="4698">
    <w:p w14:paraId="10A02FB7" w14:textId="77777777" w:rsidR="0013116F" w:rsidRDefault="0013116F" w:rsidP="001D49D4">
      <w:pPr>
        <w:pStyle w:val="a9"/>
        <w:rPr>
          <w:rtl/>
        </w:rPr>
      </w:pPr>
      <w:r>
        <w:rPr>
          <w:rStyle w:val="ab"/>
        </w:rPr>
        <w:footnoteRef/>
      </w:r>
      <w:r>
        <w:rPr>
          <w:rtl/>
        </w:rPr>
        <w:t xml:space="preserve"> ה"ר נתן ב"ר מאיר</w:t>
      </w:r>
      <w:r>
        <w:rPr>
          <w:sz w:val="16"/>
          <w:szCs w:val="16"/>
          <w:rtl/>
        </w:rPr>
        <w:t xml:space="preserve"> (מרבותיו של הרמב"ן, כ"כ בשמו בעה"ת בשער נא ח"ח)</w:t>
      </w:r>
      <w:r>
        <w:rPr>
          <w:rtl/>
        </w:rPr>
        <w:t xml:space="preserve"> בעל התרומות</w:t>
      </w:r>
      <w:r>
        <w:rPr>
          <w:sz w:val="16"/>
          <w:szCs w:val="16"/>
          <w:rtl/>
        </w:rPr>
        <w:t xml:space="preserve"> (שער מט חט"ז ס"א, ומביאו ב"י בסי' קעט ס"א)</w:t>
      </w:r>
      <w:r>
        <w:rPr>
          <w:rtl/>
        </w:rPr>
        <w:t>.</w:t>
      </w:r>
    </w:p>
  </w:footnote>
  <w:footnote w:id="4699">
    <w:p w14:paraId="6C5341A4" w14:textId="77777777" w:rsidR="0013116F" w:rsidRDefault="0013116F" w:rsidP="001D49D4">
      <w:pPr>
        <w:pStyle w:val="a9"/>
        <w:rPr>
          <w:rtl/>
        </w:rPr>
      </w:pPr>
      <w:r>
        <w:rPr>
          <w:rStyle w:val="ab"/>
        </w:rPr>
        <w:footnoteRef/>
      </w:r>
      <w:r>
        <w:rPr>
          <w:rtl/>
        </w:rPr>
        <w:t xml:space="preserve"> וכתב המרדכי </w:t>
      </w:r>
      <w:r>
        <w:rPr>
          <w:sz w:val="16"/>
          <w:szCs w:val="16"/>
          <w:rtl/>
        </w:rPr>
        <w:t xml:space="preserve">(ב"ב סי' תקכז, הביאו הדרכ"מ [אות א]) </w:t>
      </w:r>
      <w:r>
        <w:rPr>
          <w:rtl/>
        </w:rPr>
        <w:t>בשם תשובת מהר"ם- הא דעל האחין להביא ראיה היינו דוקא בדבר שאינו ידוע שהיה של אחין, אבל בדבר ידוע שהיה של האחין על היתומים להביא ראיה. ובקרקע אפילו שלא נודע בבירור שהיתה של אחין מוקמינן אחזקת מרא קמא ועל היתומים להביא ראיה.</w:t>
      </w:r>
      <w:r>
        <w:rPr>
          <w:color w:val="00B0F0"/>
          <w:rtl/>
        </w:rPr>
        <w:t xml:space="preserve"> (וכ"פ הרמ"א)</w:t>
      </w:r>
    </w:p>
  </w:footnote>
  <w:footnote w:id="4700">
    <w:p w14:paraId="510A1954" w14:textId="77777777" w:rsidR="0013116F" w:rsidRDefault="0013116F" w:rsidP="001D49D4">
      <w:pPr>
        <w:pStyle w:val="a9"/>
        <w:rPr>
          <w:rtl/>
        </w:rPr>
      </w:pPr>
      <w:r>
        <w:rPr>
          <w:rStyle w:val="ab"/>
        </w:rPr>
        <w:footnoteRef/>
      </w:r>
      <w:r>
        <w:rPr>
          <w:rtl/>
        </w:rPr>
        <w:t xml:space="preserve"> כלומר שאם בתחלה היו שותפין ולא היו חלוקין בעיסתן ואח"כ חלקו עיסתם ועודם שותפים, אם זמן שטרות אלו הוא מאחר שחלקו עיסתן אמרינן שמא מעיסתו קמץ, אבל אם זמן השטרות הוא מקודם שחלקו עיסתן אע"פ שעתה חלוקים בעיסתן עליו להביא ראיה שנפלו לו בירושה, דהא ליכא למיתלי במעיסתו קמץ, וכ"כ בעל התרומות (שער נא שם) בשם תשובת קמאי. עיין בהריב"ש סימן קס"ט, ב"י.</w:t>
      </w:r>
    </w:p>
  </w:footnote>
  <w:footnote w:id="4701">
    <w:p w14:paraId="0B7A82F6" w14:textId="77777777" w:rsidR="0013116F" w:rsidRDefault="0013116F" w:rsidP="001D49D4">
      <w:pPr>
        <w:spacing w:after="0" w:line="240" w:lineRule="auto"/>
        <w:rPr>
          <w:sz w:val="20"/>
          <w:szCs w:val="20"/>
          <w:rtl/>
        </w:rPr>
      </w:pPr>
      <w:r>
        <w:rPr>
          <w:rStyle w:val="ab"/>
        </w:rPr>
        <w:footnoteRef/>
      </w:r>
      <w:r>
        <w:rPr>
          <w:rtl/>
        </w:rPr>
        <w:t xml:space="preserve"> </w:t>
      </w:r>
      <w:r>
        <w:rPr>
          <w:sz w:val="20"/>
          <w:szCs w:val="20"/>
          <w:rtl/>
        </w:rPr>
        <w:t xml:space="preserve">וכתב הה"מ בפרק הנזכר </w:t>
      </w:r>
      <w:r>
        <w:rPr>
          <w:sz w:val="16"/>
          <w:szCs w:val="16"/>
          <w:rtl/>
        </w:rPr>
        <w:t xml:space="preserve">(ה"ח) </w:t>
      </w:r>
      <w:r>
        <w:rPr>
          <w:sz w:val="20"/>
          <w:szCs w:val="20"/>
          <w:rtl/>
        </w:rPr>
        <w:t xml:space="preserve">דאין נראה כן מדברי שאר המפרשים, אלא י"ל שמן המועט שקמץ אסף הרבה, ולמה לא, וכמה פעמים נראה כן, עכ"ל. כלומר שאפשר שמאותו מעט שקמץ נשא ונתן עד שאסף הון רב. וכן נראה מדקדוק דברי רשב"ם </w:t>
      </w:r>
      <w:r>
        <w:rPr>
          <w:sz w:val="16"/>
          <w:szCs w:val="16"/>
          <w:rtl/>
        </w:rPr>
        <w:t>(הובא לעיל בגמרא)</w:t>
      </w:r>
      <w:r>
        <w:rPr>
          <w:sz w:val="20"/>
          <w:szCs w:val="20"/>
          <w:rtl/>
        </w:rPr>
        <w:t xml:space="preserve">. גם בעל התרומות </w:t>
      </w:r>
      <w:r>
        <w:rPr>
          <w:sz w:val="16"/>
          <w:szCs w:val="16"/>
          <w:rtl/>
        </w:rPr>
        <w:t xml:space="preserve">(שער נא שם) </w:t>
      </w:r>
      <w:r>
        <w:rPr>
          <w:sz w:val="20"/>
          <w:szCs w:val="20"/>
          <w:rtl/>
        </w:rPr>
        <w:t>כתב תשובה לקמאי שאם לא יעלה הקומץ כפי אומד ממון השטרות אמרינן מההוא פורתא נזדמן ביה רווחא, דזמנין דקובץ על יד ירבה, ואיכא מאן דפליג ואומר שצריך להיות מאומד הקיבוץ כמו ממון השטרות עכ"ל. ורבינו תפס כסברא ראשונה שמשמע מלשון בעל התרומות שהיא נראית בעיניו עיקר וגם שהיא סברת המפרשים, ב"י.</w:t>
      </w:r>
    </w:p>
  </w:footnote>
  <w:footnote w:id="4702">
    <w:p w14:paraId="75FEC9DE" w14:textId="77777777" w:rsidR="0013116F" w:rsidRDefault="0013116F" w:rsidP="001D49D4">
      <w:pPr>
        <w:pStyle w:val="a9"/>
      </w:pPr>
      <w:r>
        <w:rPr>
          <w:rStyle w:val="ab"/>
        </w:rPr>
        <w:footnoteRef/>
      </w:r>
      <w:r>
        <w:rPr>
          <w:rtl/>
        </w:rPr>
        <w:t xml:space="preserve"> </w:t>
      </w:r>
      <w:r>
        <w:rPr>
          <w:rFonts w:hint="cs"/>
          <w:rtl/>
        </w:rPr>
        <w:t xml:space="preserve">סימן – קרב קומונה על גליון גר. </w:t>
      </w:r>
    </w:p>
  </w:footnote>
  <w:footnote w:id="4703">
    <w:p w14:paraId="4A9333D2" w14:textId="77777777" w:rsidR="0013116F" w:rsidRDefault="0013116F" w:rsidP="001D49D4">
      <w:pPr>
        <w:pStyle w:val="a9"/>
      </w:pPr>
      <w:r>
        <w:rPr>
          <w:rStyle w:val="ab"/>
        </w:rPr>
        <w:footnoteRef/>
      </w:r>
      <w:r>
        <w:rPr>
          <w:rtl/>
        </w:rPr>
        <w:t xml:space="preserve"> מכך שהברייתא דיברה במקרה של אחים, מדויק שרק גבי אחין הוא שצריך להביא ראיה שמסרו לו את השטר לקנותו, כיון שדרך האחים שנוטלים זה מזה. אבל גבי אחריני שאין חשש זה לא צריך להביא ראיה שהשטר נמסר לו לקנין ולא לפקדון</w:t>
      </w:r>
      <w:r>
        <w:rPr>
          <w:sz w:val="14"/>
          <w:szCs w:val="14"/>
          <w:rtl/>
        </w:rPr>
        <w:t xml:space="preserve"> (חברותא)</w:t>
      </w:r>
      <w:r>
        <w:rPr>
          <w:rtl/>
        </w:rPr>
        <w:t>.</w:t>
      </w:r>
    </w:p>
  </w:footnote>
  <w:footnote w:id="4704">
    <w:p w14:paraId="0C37E7F8" w14:textId="77777777" w:rsidR="0013116F" w:rsidRDefault="0013116F" w:rsidP="001D49D4">
      <w:pPr>
        <w:pStyle w:val="a9"/>
      </w:pPr>
      <w:r>
        <w:rPr>
          <w:rStyle w:val="ab"/>
        </w:rPr>
        <w:footnoteRef/>
      </w:r>
      <w:r>
        <w:rPr>
          <w:rtl/>
        </w:rPr>
        <w:t xml:space="preserve"> וכתב הה"מ דכתב הרב ן' מיגאש </w:t>
      </w:r>
      <w:r>
        <w:rPr>
          <w:sz w:val="16"/>
          <w:szCs w:val="16"/>
          <w:rtl/>
        </w:rPr>
        <w:t xml:space="preserve">(ב"ב שם ד"ה איתמר) </w:t>
      </w:r>
      <w:r>
        <w:rPr>
          <w:rtl/>
        </w:rPr>
        <w:t xml:space="preserve">דאע"ג דלא קיי"ל כמאן דאמר אותיות נקנות במסירה אלא דוקא בכתיבה ומסירה מ"מ קיי"ל כרבא דאין צריך להביא ראיה אלא באחים בדוקא אבל באחר נאמן לומר שטר קניה היה לי ואבד והן הן דברי רבינו </w:t>
      </w:r>
      <w:r>
        <w:rPr>
          <w:sz w:val="16"/>
          <w:szCs w:val="16"/>
          <w:rtl/>
        </w:rPr>
        <w:t xml:space="preserve">{הרמב"ם} </w:t>
      </w:r>
      <w:r>
        <w:rPr>
          <w:rtl/>
        </w:rPr>
        <w:t xml:space="preserve">תלמידו, וכבר כתב רבינו </w:t>
      </w:r>
      <w:r>
        <w:rPr>
          <w:sz w:val="16"/>
          <w:szCs w:val="16"/>
          <w:rtl/>
        </w:rPr>
        <w:t>{הרמב"ם}</w:t>
      </w:r>
      <w:r>
        <w:rPr>
          <w:rtl/>
        </w:rPr>
        <w:t xml:space="preserve"> פ"ו מהלכות מכירה (הי"א) דבר זה, ז"ל- ואינו צריך עדים לענין קנייתו אבל צריך עדים לענין תביעה שהרי הנתבע אומר לו מי יאמר שבעל דברים דידי כתב ומסר לך. ע"כ. בכאן מבואר שמה שהוא סובר שגובה ואין צריך להביא ראיה הוא כשהלוה רוצה לפרעו אבל אם הלוה טוען לאו בעל דברים דידי את - טענתו טענה. </w:t>
      </w:r>
    </w:p>
  </w:footnote>
  <w:footnote w:id="4705">
    <w:p w14:paraId="57CABF0D" w14:textId="77777777" w:rsidR="0013116F" w:rsidRDefault="0013116F" w:rsidP="001D49D4">
      <w:pPr>
        <w:pStyle w:val="a9"/>
        <w:rPr>
          <w:rtl/>
        </w:rPr>
      </w:pPr>
      <w:r>
        <w:rPr>
          <w:rStyle w:val="ab"/>
        </w:rPr>
        <w:footnoteRef/>
      </w:r>
      <w:r>
        <w:rPr>
          <w:rtl/>
        </w:rPr>
        <w:t xml:space="preserve"> כתב הה"מ (הל' נחלות פ"ט ה"ט) שלפי הנראה הראב"ד בהשגות להל' מכירה (פ"ו הי"א) הודה לדברי הרמב"ם, וגם בפירושיו נראה שהוא סובר כדעת הרב ן' מיגאש, אבל כאן</w:t>
      </w:r>
      <w:r>
        <w:rPr>
          <w:sz w:val="16"/>
          <w:szCs w:val="16"/>
          <w:rtl/>
        </w:rPr>
        <w:t xml:space="preserve"> {בהשגות על הל' נחלות פ"ט ה"ט}</w:t>
      </w:r>
      <w:r>
        <w:rPr>
          <w:rtl/>
        </w:rPr>
        <w:t xml:space="preserve"> חזר בו </w:t>
      </w:r>
      <w:r>
        <w:rPr>
          <w:sz w:val="16"/>
          <w:szCs w:val="16"/>
          <w:rtl/>
        </w:rPr>
        <w:t xml:space="preserve">{הראב"ד} </w:t>
      </w:r>
      <w:r>
        <w:rPr>
          <w:rtl/>
        </w:rPr>
        <w:t xml:space="preserve">והסכים לדעת הרמב"ן </w:t>
      </w:r>
      <w:r>
        <w:rPr>
          <w:sz w:val="16"/>
          <w:szCs w:val="16"/>
          <w:rtl/>
        </w:rPr>
        <w:t xml:space="preserve">(ב"ב שם ד"ה אלא) </w:t>
      </w:r>
      <w:r>
        <w:rPr>
          <w:rtl/>
        </w:rPr>
        <w:t xml:space="preserve">והרשב"א </w:t>
      </w:r>
      <w:r>
        <w:rPr>
          <w:sz w:val="16"/>
          <w:szCs w:val="16"/>
          <w:rtl/>
        </w:rPr>
        <w:t xml:space="preserve">(ב"ב שם ד"ה ובפלוגתא) </w:t>
      </w:r>
      <w:r>
        <w:rPr>
          <w:rtl/>
        </w:rPr>
        <w:t xml:space="preserve">דכיון דקיי"ל צריך כתיבה ומסירה כל שלא הביא ראיה - אינה כלום, וברייתא דקתני אחים בדוקא אתיא כמאן דאמר אותיות נקנות במסירה, אבל לדידן לא שנא אחין ולא שנא אחרים כולם צריכין להביא ראיה, וכבר כתבתי בדין זה פ"ו מהל' מכירה ופי"ו מהלכות מלוה </w:t>
      </w:r>
      <w:r>
        <w:rPr>
          <w:sz w:val="16"/>
          <w:szCs w:val="16"/>
          <w:rtl/>
        </w:rPr>
        <w:t>(ה"ז)</w:t>
      </w:r>
      <w:r>
        <w:rPr>
          <w:rtl/>
        </w:rPr>
        <w:t>. עכ"ל הה"מ.</w:t>
      </w:r>
    </w:p>
  </w:footnote>
  <w:footnote w:id="4706">
    <w:p w14:paraId="18104B23" w14:textId="77777777" w:rsidR="0013116F" w:rsidRDefault="0013116F" w:rsidP="001D49D4">
      <w:pPr>
        <w:pStyle w:val="a9"/>
      </w:pPr>
      <w:r>
        <w:rPr>
          <w:rStyle w:val="ab"/>
        </w:rPr>
        <w:footnoteRef/>
      </w:r>
      <w:r>
        <w:rPr>
          <w:rtl/>
        </w:rPr>
        <w:t xml:space="preserve"> ר"י</w:t>
      </w:r>
      <w:r>
        <w:rPr>
          <w:sz w:val="16"/>
          <w:szCs w:val="16"/>
          <w:rtl/>
        </w:rPr>
        <w:t xml:space="preserve"> (כ"כ הטור בשמו) </w:t>
      </w:r>
      <w:r>
        <w:rPr>
          <w:rtl/>
        </w:rPr>
        <w:t xml:space="preserve">ראב"ד </w:t>
      </w:r>
      <w:r>
        <w:rPr>
          <w:sz w:val="16"/>
          <w:szCs w:val="16"/>
          <w:rtl/>
        </w:rPr>
        <w:t>(שם בהשגות)</w:t>
      </w:r>
      <w:r>
        <w:rPr>
          <w:rtl/>
        </w:rPr>
        <w:t xml:space="preserve"> רמב"ן </w:t>
      </w:r>
      <w:r>
        <w:rPr>
          <w:sz w:val="16"/>
          <w:szCs w:val="16"/>
          <w:rtl/>
        </w:rPr>
        <w:t xml:space="preserve">(ב"ב שם ד"ה אלא) </w:t>
      </w:r>
      <w:r>
        <w:rPr>
          <w:rtl/>
        </w:rPr>
        <w:t xml:space="preserve">רשב"א </w:t>
      </w:r>
      <w:r>
        <w:rPr>
          <w:sz w:val="16"/>
          <w:szCs w:val="16"/>
          <w:rtl/>
        </w:rPr>
        <w:t>(ב"ב שם ד"ה ובפלוגתא)</w:t>
      </w:r>
      <w:r>
        <w:rPr>
          <w:rtl/>
        </w:rPr>
        <w:t xml:space="preserve"> ור"ן </w:t>
      </w:r>
      <w:r>
        <w:rPr>
          <w:sz w:val="16"/>
          <w:szCs w:val="16"/>
          <w:rtl/>
        </w:rPr>
        <w:t>(פרק הכותב כתובות מג. ד"ה ההיא)</w:t>
      </w:r>
      <w:r>
        <w:rPr>
          <w:rtl/>
        </w:rPr>
        <w:t>.</w:t>
      </w:r>
    </w:p>
  </w:footnote>
  <w:footnote w:id="4707">
    <w:p w14:paraId="441F4964" w14:textId="77777777" w:rsidR="0013116F" w:rsidRDefault="0013116F" w:rsidP="001D49D4">
      <w:pPr>
        <w:pStyle w:val="a9"/>
        <w:rPr>
          <w:rtl/>
        </w:rPr>
      </w:pPr>
      <w:r>
        <w:rPr>
          <w:rStyle w:val="ab"/>
        </w:rPr>
        <w:footnoteRef/>
      </w:r>
      <w:r>
        <w:rPr>
          <w:rtl/>
        </w:rPr>
        <w:t xml:space="preserve"> ומן הדין לא היה לרבינו</w:t>
      </w:r>
      <w:r>
        <w:rPr>
          <w:sz w:val="16"/>
          <w:szCs w:val="16"/>
          <w:rtl/>
        </w:rPr>
        <w:t xml:space="preserve"> {הטור}</w:t>
      </w:r>
      <w:r>
        <w:rPr>
          <w:rtl/>
        </w:rPr>
        <w:t xml:space="preserve"> לכתוב דין זה כאן דלקמן סי' ס"ו (ס"י) איבעי ליה לכותבו דהתם כתב דיני אותיות במה נקנין אלא משום דנפקא ליה להרמב"ם מדיוקא דאחים נקטיה הכא ובסימן הנזכר יתבארו עוד דינים אלו, ועיין במה שכתב רבינו בסימן ס' (סי"ח), ב"י.</w:t>
      </w:r>
    </w:p>
  </w:footnote>
  <w:footnote w:id="4708">
    <w:p w14:paraId="7F4F6CB2" w14:textId="77777777" w:rsidR="0013116F" w:rsidRDefault="0013116F" w:rsidP="001D49D4">
      <w:pPr>
        <w:pStyle w:val="a9"/>
      </w:pPr>
      <w:r>
        <w:rPr>
          <w:rStyle w:val="ab"/>
        </w:rPr>
        <w:footnoteRef/>
      </w:r>
      <w:r>
        <w:rPr>
          <w:rtl/>
        </w:rPr>
        <w:t xml:space="preserve"> ודע דלא שנא לן בין אם טען שנפלו לו בירושה או שמצא מציאה או שניתנו לו במתנה, וכ"כ הרמב"ם בפרק הנזכר (שם) וכ"כ בהג"א (סי' נח) בשם ריב"ם, ב"י. </w:t>
      </w:r>
      <w:r>
        <w:rPr>
          <w:color w:val="E36C0A" w:themeColor="accent6" w:themeShade="BF"/>
          <w:rtl/>
        </w:rPr>
        <w:t>(וכ"פ בשו"ע)</w:t>
      </w:r>
      <w:r>
        <w:rPr>
          <w:rtl/>
        </w:rPr>
        <w:t>. ועיין באבן עזר סימן פ"ו נתבארו הרבה חילוקים בדין זה, דרכ"מ (אות ב).</w:t>
      </w:r>
    </w:p>
  </w:footnote>
  <w:footnote w:id="4709">
    <w:p w14:paraId="2509F408" w14:textId="77777777" w:rsidR="0013116F" w:rsidRDefault="0013116F" w:rsidP="001D49D4">
      <w:pPr>
        <w:pStyle w:val="a9"/>
      </w:pPr>
      <w:r>
        <w:rPr>
          <w:rStyle w:val="ab"/>
        </w:rPr>
        <w:footnoteRef/>
      </w:r>
      <w:r>
        <w:rPr>
          <w:rtl/>
        </w:rPr>
        <w:t xml:space="preserve"> כן הוא לשון הטור [סעיף א']. ומיירי בין טוענת כן עם הבעל בחייו, בין אם טוענת כן עם היורשים לאחר מות בעלה. וכ"כ הרמב"ם בפ"ט מהל' נחלות [ה"ז], וכתבן שם בשני בבות, מתחילה כתב "אשה" הנושאת ונותנת בתוך הבית כו', ואח"כ כתב וכן "אלמנה" שהיתה נושאת ונותנת כו'. וזהו ג"כ כונת מור"ם שכתב בהג"ה ואפילו אלמנה כו'. ומ"ש אלמנה בלשון "אפילו", משום דבגמרא [ב"ב נב:] קאמר דהוה אמינא אלמנה אין צריכה ראיה כיון דשבח הוא לה שהאמינוה בב"ד להיות אפוטרופוס על היתומים ודאי לא גנבה משלהם, קמל"ן דאפ"ה צריכה להביא ראיה, סמ"ע (סק"א).</w:t>
      </w:r>
    </w:p>
  </w:footnote>
  <w:footnote w:id="4710">
    <w:p w14:paraId="09E3AB0E" w14:textId="77777777" w:rsidR="0013116F" w:rsidRDefault="0013116F" w:rsidP="001D49D4">
      <w:pPr>
        <w:pStyle w:val="a9"/>
        <w:rPr>
          <w:rtl/>
        </w:rPr>
      </w:pPr>
      <w:r>
        <w:rPr>
          <w:rStyle w:val="ab"/>
        </w:rPr>
        <w:footnoteRef/>
      </w:r>
      <w:r>
        <w:rPr>
          <w:rtl/>
        </w:rPr>
        <w:t xml:space="preserve"> שנפלו לי מבית אבא כו'. אפילו השטרות תחת ידה כו'. ומשמע אפילו השטרות והמטלטלים תחת ידה ואית לה מיגו דלהד"ם או החזרתי, אינה נאמנת... ודלא כתשובת מהר"מ אלשיך (סי' פג) ותשובת מהר"א ן' ששון (ס"ס לד), ש"ך (סק"א).</w:t>
      </w:r>
    </w:p>
  </w:footnote>
  <w:footnote w:id="4711">
    <w:p w14:paraId="7E25EAE2" w14:textId="77777777" w:rsidR="0013116F" w:rsidRDefault="0013116F" w:rsidP="001D49D4">
      <w:pPr>
        <w:pStyle w:val="a9"/>
      </w:pPr>
      <w:r>
        <w:rPr>
          <w:rStyle w:val="ab"/>
        </w:rPr>
        <w:footnoteRef/>
      </w:r>
      <w:r>
        <w:rPr>
          <w:rtl/>
        </w:rPr>
        <w:t xml:space="preserve"> פירוש, לאפוקי ממ"ד [ב"ב שם] דסגי בזה שמתקיים השטר ואז אמרינן דה"ל כנחקרה עדותן בב"ד, קמל"ן דלא, סמ"ע (סק"ב).</w:t>
      </w:r>
    </w:p>
  </w:footnote>
  <w:footnote w:id="4712">
    <w:p w14:paraId="0FB0E627" w14:textId="77777777" w:rsidR="0013116F" w:rsidRDefault="0013116F" w:rsidP="001D49D4">
      <w:pPr>
        <w:pStyle w:val="a9"/>
      </w:pPr>
      <w:r>
        <w:rPr>
          <w:rStyle w:val="ab"/>
        </w:rPr>
        <w:footnoteRef/>
      </w:r>
      <w:r>
        <w:rPr>
          <w:rtl/>
        </w:rPr>
        <w:t xml:space="preserve"> ואז אפילו הבעל חי וטוען ברי שנעשה מממון שלו, עליו להביא ראיה. כ"כ הב"י באה"ע ס"ס פ"ו בשם תשו' רשב"א, ש"ך</w:t>
      </w:r>
      <w:r>
        <w:rPr>
          <w:sz w:val="16"/>
          <w:szCs w:val="16"/>
          <w:rtl/>
        </w:rPr>
        <w:t xml:space="preserve"> (סק"ג)</w:t>
      </w:r>
      <w:r>
        <w:rPr>
          <w:rtl/>
        </w:rPr>
        <w:t>.</w:t>
      </w:r>
    </w:p>
  </w:footnote>
  <w:footnote w:id="4713">
    <w:p w14:paraId="107A1800" w14:textId="77777777" w:rsidR="0013116F" w:rsidRDefault="0013116F" w:rsidP="001D49D4">
      <w:pPr>
        <w:pStyle w:val="a9"/>
        <w:rPr>
          <w:rtl/>
        </w:rPr>
      </w:pPr>
      <w:r>
        <w:rPr>
          <w:rStyle w:val="ab"/>
        </w:rPr>
        <w:footnoteRef/>
      </w:r>
      <w:r>
        <w:rPr>
          <w:rtl/>
        </w:rPr>
        <w:t xml:space="preserve"> פירוש, דלא תימא דוקא בשטרות שאין גופן ממון והן מחוסרין גוביינא הוא דצריך ראיה, משא"כ במטלטלין, קמל"ן. והשתא דקמל"ן דאין לחלק בזה, אמרינן נמי בסמוך דעדיפי כחייהו דמטלטלין דאפילו אם מתה האשה או אחד מהאחין, דצריך היורש להביא ראיה, וכמ"ש בסמוך סק"ח, סמ"ע (סק"ג).</w:t>
      </w:r>
    </w:p>
  </w:footnote>
  <w:footnote w:id="4714">
    <w:p w14:paraId="36F76376" w14:textId="77777777" w:rsidR="0013116F" w:rsidRDefault="0013116F" w:rsidP="001D49D4">
      <w:pPr>
        <w:pStyle w:val="a9"/>
      </w:pPr>
      <w:r>
        <w:rPr>
          <w:rStyle w:val="ab"/>
        </w:rPr>
        <w:footnoteRef/>
      </w:r>
      <w:r>
        <w:rPr>
          <w:rtl/>
        </w:rPr>
        <w:t xml:space="preserve"> בחלק מהגירסאות כתוב 'ואפילו היו השטרות בידה ואפילו אלמנה', הפוך ממה שנכתב למעלה, ומה שנכתב למעלה הוא ע"פ מהדורת הסמ"ע והש"ך, וכתב הסמ"ע (סק"ד) דכך צריך לגרוס כדי שלא יהיו דברי הרמ"א ככפל דברים שהרי כבר כתב הרמ"א לפנ"כ 'ואפילו השטרות תחת ידה'.</w:t>
      </w:r>
    </w:p>
  </w:footnote>
  <w:footnote w:id="4715">
    <w:p w14:paraId="4BAF66D4" w14:textId="77777777" w:rsidR="0013116F" w:rsidRDefault="0013116F" w:rsidP="001D49D4">
      <w:pPr>
        <w:pStyle w:val="a9"/>
        <w:rPr>
          <w:rtl/>
        </w:rPr>
      </w:pPr>
      <w:r>
        <w:rPr>
          <w:rStyle w:val="ab"/>
        </w:rPr>
        <w:footnoteRef/>
      </w:r>
      <w:r>
        <w:rPr>
          <w:rtl/>
        </w:rPr>
        <w:t xml:space="preserve"> בטור אה"ע סוף סימן פ"ו כתב דאפילו אם נושאת ונותנת בתוך הבית, מ"מ אם הוא ידוע שהבעל עצמו כתב השטר על שמה הרי הוא שלה, ואם כתבו הבעל על שם שניהם, הרי הוא של שניהם. ומור"ם איירי כאן בכתבה האשה מעצמה על שם עצמה או על שם שניהן, דאז צריכין דוקא שלא תהא נושאת ונותנת בתוך הבית, סמ"ע (סק"ה). וכתב הש"ך (סק"ו) דאין כן דעת הרמ"א אלא דאזיל לטעמיה שכתב בדרכ"מ באהע"ז שם בשם הרשב"א דסתם אשה נושאת וכו' וכל מה שיש לה בחזקת בעלה הוא וכו', וכן נראה לי עיקר, דמה שעשה הבעל השטר על שמה אין ראיה, דדילמא לגלויי זוזי הוא דבעי כמש"כ באהע"ז סי' פ"ה ופ"ו.</w:t>
      </w:r>
    </w:p>
  </w:footnote>
  <w:footnote w:id="4716">
    <w:p w14:paraId="2308BF5D" w14:textId="77777777" w:rsidR="0013116F" w:rsidRDefault="0013116F" w:rsidP="001D49D4">
      <w:pPr>
        <w:pStyle w:val="a9"/>
        <w:rPr>
          <w:rtl/>
        </w:rPr>
      </w:pPr>
      <w:r>
        <w:rPr>
          <w:rStyle w:val="ab"/>
        </w:rPr>
        <w:footnoteRef/>
      </w:r>
      <w:r>
        <w:rPr>
          <w:rtl/>
        </w:rPr>
        <w:t xml:space="preserve"> הטעם, דהאי נושאת ונותנת אינו ר"ל דוקא שתתעסק בפרקמטיא, אלא כל שהבעל מאמינה ומפקיד את אשר יש לו בבית בידה. וכ"כ הטור בהדיא באבן העזר סוף סימן פ"ו ע"ש, סמ"ע (סק"ו). והש"ך (סק"ז) כתב דדין זה צ"ע דנראה דבעינן דוקא שהיא לבדה נושאת ונותנת גם בתשו' ר"ל בן חביב כתב דסתם אשה אינה נושאת וכו', ועיין בתשו' מהרש"ך (ספר ג' סי' כט).</w:t>
      </w:r>
    </w:p>
  </w:footnote>
  <w:footnote w:id="4717">
    <w:p w14:paraId="21A21F4A" w14:textId="77777777" w:rsidR="0013116F" w:rsidRDefault="0013116F" w:rsidP="001D49D4">
      <w:pPr>
        <w:pStyle w:val="a9"/>
        <w:rPr>
          <w:rtl/>
        </w:rPr>
      </w:pPr>
      <w:r>
        <w:rPr>
          <w:rStyle w:val="ab"/>
        </w:rPr>
        <w:footnoteRef/>
      </w:r>
      <w:r>
        <w:rPr>
          <w:rtl/>
        </w:rPr>
        <w:t xml:space="preserve"> ועיין לעיל סוף סימן נ"ו דלא כתב כן, אלא נאמן במיגו, וזה שייך לומר אף בדלא ידוע שהיה לו ממון כו'. וצריך לומר דשאני הכא דמיירי שכתבה לאחרים והיא מתה, על כן אין לה מיגו, סמ"ע (סק"ז). והש"ך (סק"י) כתב שהב"ח השיג ע"ז ותירץ דשאני התם שהבעל מת והיורשים אינם טוענים ברי, ובסי' הנ"ל השגתי על שניהם והוכחתי דכאן אפילו מיגו לא מהני, כיון דנושאת ונותנת כו' מסתמא הכל של בעלה אם לא שידוע שהיה לה ממון מיוחד. וגם הט"ז מיישב כעין זה ומשיג על הסמ"ע.</w:t>
      </w:r>
    </w:p>
  </w:footnote>
  <w:footnote w:id="4718">
    <w:p w14:paraId="63971ED1" w14:textId="77777777" w:rsidR="0013116F" w:rsidRDefault="0013116F" w:rsidP="001D49D4">
      <w:pPr>
        <w:pStyle w:val="a9"/>
      </w:pPr>
      <w:r>
        <w:rPr>
          <w:rStyle w:val="ab"/>
        </w:rPr>
        <w:footnoteRef/>
      </w:r>
      <w:r>
        <w:rPr>
          <w:rtl/>
        </w:rPr>
        <w:t xml:space="preserve"> </w:t>
      </w:r>
      <w:r>
        <w:rPr>
          <w:rFonts w:hint="cs"/>
          <w:rtl/>
        </w:rPr>
        <w:t>ואפילו אם יורשי הבעל טוענים ברי לא מהני, ש"ך (סקי"א).</w:t>
      </w:r>
    </w:p>
  </w:footnote>
  <w:footnote w:id="4719">
    <w:p w14:paraId="378615F6" w14:textId="77777777" w:rsidR="0013116F" w:rsidRDefault="0013116F" w:rsidP="001D49D4">
      <w:pPr>
        <w:pStyle w:val="a9"/>
      </w:pPr>
      <w:r>
        <w:rPr>
          <w:rStyle w:val="ab"/>
        </w:rPr>
        <w:footnoteRef/>
      </w:r>
      <w:r>
        <w:rPr>
          <w:rtl/>
        </w:rPr>
        <w:t xml:space="preserve"> </w:t>
      </w:r>
      <w:r>
        <w:rPr>
          <w:rFonts w:hint="cs"/>
          <w:rtl/>
        </w:rPr>
        <w:t>ומכאן משמע דאחין או שותפין שמצא אחד מהם מציאה - הוא לעצמו, וכן עיקר, ודלא כמי שפסק הלכה למעשה שחולקין. ולפ"ז קשה על הרמ"א דפסק בסי' קע"ו סי"ב דשותף שגנב או גזל צריך לחלוק עם חברו. דהא בירושלמי</w:t>
      </w:r>
      <w:r>
        <w:rPr>
          <w:sz w:val="16"/>
          <w:szCs w:val="16"/>
          <w:rtl/>
        </w:rPr>
        <w:t xml:space="preserve"> (ב"ב פ"ט ה"ג) </w:t>
      </w:r>
      <w:r>
        <w:rPr>
          <w:rtl/>
        </w:rPr>
        <w:t>מדמי להו להדדי.</w:t>
      </w:r>
    </w:p>
  </w:footnote>
  <w:footnote w:id="4720">
    <w:p w14:paraId="2E0556A2" w14:textId="77777777" w:rsidR="0013116F" w:rsidRDefault="0013116F" w:rsidP="001D49D4">
      <w:pPr>
        <w:pStyle w:val="a9"/>
      </w:pPr>
      <w:r>
        <w:rPr>
          <w:rStyle w:val="ab"/>
        </w:rPr>
        <w:footnoteRef/>
      </w:r>
      <w:r>
        <w:rPr>
          <w:rtl/>
        </w:rPr>
        <w:t xml:space="preserve"> הטעם, כיון דהשטר נכתב על שמו סברא הוא דהוא ממונו, אלא דבחייו אמרינן אי איתא דהוא שלו, א"א דלא יוכל להביא ראיה שהיה לו ממון מיוחד, משא"כ לאחר מותו, דבן לא ידע כולי האי במילי דאבוה. ומהאי טעמא כתב רי"ו [נכ"ו ח"ב] והביאו הב"י [סע' א'] והדרכ"מ [סעיף ב'] דאם מתה והניחה מטלטלין, דלא אמרינן בהו דעל האחין להביא ראיה כיון דלית כאן דבר שמסייע לזה היורש להעמידו בחזקתו. וכ"כ בדרכ"מ ס"ס קל"ג בשם רשב"א (ח"א סי' תתקסא), ע"ש, סמ"ע (סק"ח). וכתב הש"ך (דלא מהני טענת ברי של האחים אפילו אם השטרות תחת ידם.</w:t>
      </w:r>
    </w:p>
  </w:footnote>
  <w:footnote w:id="4721">
    <w:p w14:paraId="1DD95DA5" w14:textId="77777777" w:rsidR="0013116F" w:rsidRDefault="0013116F" w:rsidP="001D49D4">
      <w:pPr>
        <w:pStyle w:val="a9"/>
      </w:pPr>
      <w:r>
        <w:rPr>
          <w:rStyle w:val="ab"/>
        </w:rPr>
        <w:footnoteRef/>
      </w:r>
      <w:r>
        <w:rPr>
          <w:rtl/>
        </w:rPr>
        <w:t xml:space="preserve"> פירוש, שאכלו כל אחד בפני עצמו, סמ"ע (סק"ט).</w:t>
      </w:r>
    </w:p>
  </w:footnote>
  <w:footnote w:id="4722">
    <w:p w14:paraId="36EA3FC9" w14:textId="77777777" w:rsidR="0013116F" w:rsidRDefault="0013116F" w:rsidP="001D49D4">
      <w:pPr>
        <w:pStyle w:val="a9"/>
      </w:pPr>
      <w:r>
        <w:rPr>
          <w:rStyle w:val="ab"/>
        </w:rPr>
        <w:footnoteRef/>
      </w:r>
      <w:r>
        <w:rPr>
          <w:rtl/>
        </w:rPr>
        <w:t xml:space="preserve"> זהו אתיא אפילו למ"ד [ב"ב קעג.] דנאמן לומר כתב לי המוכר שטר קני לך איהו וכל שעבודיה ואין צריך ראיה לזה, מ"מ באחין מודה דאינו נאמן, משום דדרך האחין להורות לנפשם היתר ומשמטי זה מזה, סמ"ע (סקי"א).</w:t>
      </w:r>
    </w:p>
  </w:footnote>
  <w:footnote w:id="4723">
    <w:p w14:paraId="539DC860" w14:textId="77777777" w:rsidR="0013116F" w:rsidRDefault="0013116F" w:rsidP="001D49D4">
      <w:pPr>
        <w:pStyle w:val="a9"/>
      </w:pPr>
      <w:r>
        <w:rPr>
          <w:rStyle w:val="ab"/>
        </w:rPr>
        <w:footnoteRef/>
      </w:r>
      <w:r>
        <w:rPr>
          <w:rtl/>
        </w:rPr>
        <w:t xml:space="preserve"> עיין שם במישרים ריש נתיב ל' דשם קאי אמטלטלים שהפקיד הבן בית. ומביא ראיה מהירושלמי דסוף פרק הכונס [ה"ז], ומוכח משם דלא מיבעיא דאין מוציאין מיד הבן בית או הנפקד מידו, אלא אפילו הוא מוציא מיד הבעל בית או יורשיו מכח חזקה זו שכל מה שהיה נמצא תחת ידו הוא שלו ע"ש. ומינה דאם היה שטר ממר"ם בידו חתום על הבעל בית על סך מה, אין הבעל הבית יכול לומר שט"ח זה היה ביד אחר שהייתי חייב לו ושלחתיך לפדותו, אלא הבן בית יכול להוציא אותו הסך מבעל הבית או מיורשיו. ומוכח מזה שמה שכתב מור"ם כאן אבל בן בית כו', לא אשטרות הכתובים על שמו כו' קאי, אלא על כל הנ"ל בסימן קאי. ונראה שהיינו טעמא, שדוקא באשתו ואחין שהן שולטין בהממון זה כזה חששו שמלאו לבו לומר כולו שלי שלא כדין, משא"כ בבן הבית דאין לו שייכות להממון אם לא מכח שמאמינו הבעל הבית, וכיון שהאמינו האמינו, סמ"ע (סקי"ב).</w:t>
      </w:r>
    </w:p>
  </w:footnote>
  <w:footnote w:id="4724">
    <w:p w14:paraId="671CFA37" w14:textId="77777777" w:rsidR="0013116F" w:rsidRDefault="0013116F" w:rsidP="001D49D4">
      <w:pPr>
        <w:pStyle w:val="a9"/>
        <w:rPr>
          <w:rtl/>
        </w:rPr>
      </w:pPr>
      <w:r>
        <w:rPr>
          <w:rStyle w:val="ab"/>
        </w:rPr>
        <w:footnoteRef/>
      </w:r>
      <w:r>
        <w:rPr>
          <w:rtl/>
        </w:rPr>
        <w:t xml:space="preserve"> </w:t>
      </w:r>
      <w:r>
        <w:rPr>
          <w:rFonts w:hint="cs"/>
          <w:rtl/>
        </w:rPr>
        <w:t>סימן – ליקט/ליבעי/לופט לאייר וויטנס</w:t>
      </w:r>
      <w:r>
        <w:rPr>
          <w:sz w:val="16"/>
          <w:szCs w:val="16"/>
          <w:rtl/>
        </w:rPr>
        <w:t xml:space="preserve"> </w:t>
      </w:r>
      <w:r>
        <w:rPr>
          <w:sz w:val="16"/>
          <w:szCs w:val="16"/>
        </w:rPr>
        <w:t>(liar witnesses)</w:t>
      </w:r>
      <w:r>
        <w:rPr>
          <w:rtl/>
        </w:rPr>
        <w:t>. וכן – לזייף לו.</w:t>
      </w:r>
    </w:p>
  </w:footnote>
  <w:footnote w:id="4725">
    <w:p w14:paraId="5DB80D09" w14:textId="77777777" w:rsidR="0013116F" w:rsidRDefault="0013116F" w:rsidP="001D49D4">
      <w:pPr>
        <w:pStyle w:val="a9"/>
        <w:rPr>
          <w:rtl/>
        </w:rPr>
      </w:pPr>
      <w:r>
        <w:rPr>
          <w:rStyle w:val="ab"/>
        </w:rPr>
        <w:footnoteRef/>
      </w:r>
      <w:r>
        <w:rPr>
          <w:rtl/>
        </w:rPr>
        <w:t xml:space="preserve"> הוא עצמו למד לכוין כתב הדומה לכתב ידי עדים שחתם בו, רש"י.</w:t>
      </w:r>
    </w:p>
  </w:footnote>
  <w:footnote w:id="4726">
    <w:p w14:paraId="78D8F22D" w14:textId="77777777" w:rsidR="0013116F" w:rsidRDefault="0013116F" w:rsidP="001D49D4">
      <w:pPr>
        <w:pStyle w:val="a9"/>
      </w:pPr>
      <w:r>
        <w:rPr>
          <w:rStyle w:val="ab"/>
        </w:rPr>
        <w:footnoteRef/>
      </w:r>
      <w:r>
        <w:rPr>
          <w:rtl/>
        </w:rPr>
        <w:t xml:space="preserve"> וז"ל- שטר שקרא עליו ערער והוא שיבאו שנים ויאמרו ממנו שאל לזייף לו שטר זה אע"פ שנתקיים השטר מחותמיו - אין גובין בו לעולם. ויראה לי שאם באו עדי השטר והעידו הן בעצמן על כתב ידן גובין בו. </w:t>
      </w:r>
    </w:p>
  </w:footnote>
  <w:footnote w:id="4727">
    <w:p w14:paraId="35CF955F" w14:textId="77777777" w:rsidR="0013116F" w:rsidRDefault="0013116F" w:rsidP="001D49D4">
      <w:pPr>
        <w:pStyle w:val="a9"/>
        <w:rPr>
          <w:rtl/>
        </w:rPr>
      </w:pPr>
      <w:r>
        <w:rPr>
          <w:rStyle w:val="ab"/>
        </w:rPr>
        <w:footnoteRef/>
      </w:r>
      <w:r>
        <w:rPr>
          <w:rtl/>
        </w:rPr>
        <w:t xml:space="preserve"> יש מפרשים כיון דהעידו עליו דמהדר אזיופא כל שטרות היוצאים מתחת ידו מחזקינן להו בחזקת מזוייפים עד שיבואו העדים החתומים עליהם ויעידו שחתמו עליהם. ולא מסתבר כן, דלישנא דתלמודא לא משמע הכי, דקאמר 'האי שטרא ריעא לא מגבינן ביה' דמשמע האי שטרא דוקא דאית ביה ריעותא </w:t>
      </w:r>
      <w:r>
        <w:rPr>
          <w:sz w:val="16"/>
          <w:szCs w:val="16"/>
          <w:rtl/>
        </w:rPr>
        <w:t>(כגון שאמרו העדים פלוני בקשנו לכתוב ולחתום לו שטר של מנה על פלוני ואח"כ הוציא שטר של מנה על פלוני האי שטרא ודאי איתרעי)</w:t>
      </w:r>
      <w:r>
        <w:rPr>
          <w:rtl/>
        </w:rPr>
        <w:t xml:space="preserve"> ולא שאר שטרות היוצאים מתחת ידו </w:t>
      </w:r>
      <w:r>
        <w:rPr>
          <w:sz w:val="16"/>
          <w:szCs w:val="16"/>
          <w:rtl/>
        </w:rPr>
        <w:t>(שלא הוחזק לזייף שטרות על כל בני אדם אלא דוקא על אותו פלוני שהזכיר לעדים, דתלינן שמא מנה היה אצלו בעל פה וירא שמא יכפור)</w:t>
      </w:r>
      <w:r>
        <w:rPr>
          <w:rtl/>
        </w:rPr>
        <w:t xml:space="preserve">, רא"ש. וכ"כ הטור. וכתב הר"ן </w:t>
      </w:r>
      <w:r>
        <w:rPr>
          <w:sz w:val="16"/>
          <w:szCs w:val="16"/>
          <w:rtl/>
        </w:rPr>
        <w:t xml:space="preserve">(יג: סוף ד"ה ומדברי הרי"ף) </w:t>
      </w:r>
      <w:r>
        <w:rPr>
          <w:rtl/>
        </w:rPr>
        <w:t>שכן נראה דעת הרי"ף ר"ח והרמב"ם.</w:t>
      </w:r>
    </w:p>
  </w:footnote>
  <w:footnote w:id="4728">
    <w:p w14:paraId="77A21C13" w14:textId="77777777" w:rsidR="0013116F" w:rsidRDefault="0013116F" w:rsidP="001D49D4">
      <w:pPr>
        <w:pStyle w:val="a9"/>
      </w:pPr>
      <w:r>
        <w:rPr>
          <w:rStyle w:val="ab"/>
        </w:rPr>
        <w:footnoteRef/>
      </w:r>
      <w:r>
        <w:rPr>
          <w:rtl/>
        </w:rPr>
        <w:t xml:space="preserve"> ובשכתב ידן יוצא ממקום אחר דאי לא כיון שאין זוכרין ההלואה אין עדותן עדות כמ"ש הרמב"ם פ"ח מהלכות הנזכרות וכתבו רבינו סימן מ"ו (סל"ז), ב"י. וכתב הסמ"ע (סק"ז) דאם שאמרו שזו היא חתימתן והלכו להן, אמרינן מסתמא זוכרין ג"כ ההלואה.</w:t>
      </w:r>
    </w:p>
  </w:footnote>
  <w:footnote w:id="4729">
    <w:p w14:paraId="211BF872" w14:textId="77777777" w:rsidR="0013116F" w:rsidRDefault="0013116F" w:rsidP="001D49D4">
      <w:pPr>
        <w:pStyle w:val="a9"/>
        <w:rPr>
          <w:rtl/>
        </w:rPr>
      </w:pPr>
      <w:r>
        <w:rPr>
          <w:rStyle w:val="ab"/>
        </w:rPr>
        <w:footnoteRef/>
      </w:r>
      <w:r>
        <w:rPr>
          <w:rtl/>
        </w:rPr>
        <w:t xml:space="preserve"> כלומר ואע"פ שאינם זוכרים אם חתמו בשטר זה ואפשר שזאת לא היתה אלא מלוה על פה וזה זייף ועשאה מלוה בשטר, מכל מקום כיון דעדים מעידים שראו ההלואה וזה כתב ידן רגלים לדבר דקושטא קאמר ולא זייף, ב"י. </w:t>
      </w:r>
    </w:p>
  </w:footnote>
  <w:footnote w:id="4730">
    <w:p w14:paraId="4916E47C" w14:textId="77777777" w:rsidR="0013116F" w:rsidRDefault="0013116F" w:rsidP="001D49D4">
      <w:pPr>
        <w:pStyle w:val="a9"/>
      </w:pPr>
      <w:r>
        <w:rPr>
          <w:rStyle w:val="ab"/>
        </w:rPr>
        <w:footnoteRef/>
      </w:r>
      <w:r>
        <w:rPr>
          <w:rtl/>
        </w:rPr>
        <w:t xml:space="preserve"> </w:t>
      </w:r>
      <w:r>
        <w:rPr>
          <w:rFonts w:hint="cs"/>
          <w:rtl/>
        </w:rPr>
        <w:t xml:space="preserve">וגם הר"ן </w:t>
      </w:r>
      <w:r>
        <w:rPr>
          <w:sz w:val="16"/>
          <w:szCs w:val="16"/>
          <w:rtl/>
        </w:rPr>
        <w:t xml:space="preserve">(יג: סוף דיבור ראשון) </w:t>
      </w:r>
      <w:r>
        <w:rPr>
          <w:rtl/>
        </w:rPr>
        <w:t xml:space="preserve">הביא אפשרות זו בדרך אפשר, אבל סיים שהרמב"ם לא כתב כן, לפיכך נ"ל דדעתו לפסוק כהרמב"ם. וז"ל הר"ן- ואפשר שאפילו באו עדים ואמרו כתב ידינו הוא כל שאינן זכורים על ההלואה לא מגבינן ביה דהא עבידי סהדי דטעו בכי הא כדאשכחן בפרק גט פשוט (קסז.) בההוא שטרא זייפא דהוה חתים עליה רבא ואמר אין חתימת ידי היא אבל הרמב"ם כתב בסוף הלכות עדות (שם) ויראה לי שאם באו עדי השטר והעידו הן בעצמן על כתב ידן גובין בו. עכ"ל. </w:t>
      </w:r>
    </w:p>
  </w:footnote>
  <w:footnote w:id="4731">
    <w:p w14:paraId="0E48564C" w14:textId="77777777" w:rsidR="0013116F" w:rsidRDefault="0013116F" w:rsidP="001D49D4">
      <w:pPr>
        <w:pStyle w:val="a9"/>
      </w:pPr>
      <w:r>
        <w:rPr>
          <w:rStyle w:val="ab"/>
        </w:rPr>
        <w:footnoteRef/>
      </w:r>
      <w:r>
        <w:rPr>
          <w:rtl/>
        </w:rPr>
        <w:t xml:space="preserve"> כלומר של סך זה על איש זה, לכך אין גובין בשטר זה, אבל שאר שטרותיו על אחרים אפילו מסך זה או על אותו פלוני מסך אחר לא ריעי... וכתב הב"ח (ריש סע' א) דאם יש לו ב' שטרות מאותו סך על אותו פלוני, גובה אחד מהם, ומהלקוחות מאותו שזמנו מאוחר, ע"כ. ולא דמי לדלקמן סעיף ב' בהג"ה היכא שאמר להם זייפו לי שטר אחד, דהתם כיון שלא הזכיר שום סך, מסתמא דעתו היתה גם על סך הרבה וכל השטרות בכלל סך רב, משא"כ הכא שלא הזכיר רק סך פלוני, סמ"ע (סק"א).</w:t>
      </w:r>
    </w:p>
  </w:footnote>
  <w:footnote w:id="4732">
    <w:p w14:paraId="08234EA5" w14:textId="77777777" w:rsidR="0013116F" w:rsidRDefault="0013116F" w:rsidP="001D49D4">
      <w:pPr>
        <w:pStyle w:val="a9"/>
      </w:pPr>
      <w:r>
        <w:rPr>
          <w:rStyle w:val="ab"/>
        </w:rPr>
        <w:footnoteRef/>
      </w:r>
      <w:r>
        <w:rPr>
          <w:rtl/>
        </w:rPr>
        <w:t xml:space="preserve"> פירוש, אנשים דעלמא באו והעידו איך שמכירין חתימתן של אלו החתומים, דאמרינן דזה טרח וזייף, סמ"ע (סק"ב).</w:t>
      </w:r>
    </w:p>
  </w:footnote>
  <w:footnote w:id="4733">
    <w:p w14:paraId="4D8CC9C9" w14:textId="77777777" w:rsidR="0013116F" w:rsidRDefault="0013116F" w:rsidP="001D49D4">
      <w:pPr>
        <w:pStyle w:val="a9"/>
      </w:pPr>
      <w:r>
        <w:rPr>
          <w:rStyle w:val="ab"/>
        </w:rPr>
        <w:footnoteRef/>
      </w:r>
      <w:r>
        <w:rPr>
          <w:rtl/>
        </w:rPr>
        <w:t xml:space="preserve"> ודוקא כשלא ראוהו בידו קודם לכן, אבל אם ראו אותו בידו קודם הזמן שהיה מחזר על הזיוף, אין השטר נפסל למפרע שהרי באותו זמן היה בחזקת כשרות, כ"כ הב"ח [סע' א ד"ה האי]. והיינו כשנתקיים אז כשראוהו, או שיודעים בודאי שזהו השטר שראו קודם לכן כגון שיש להם איזה סימן מובהק בו וכה"ג, או שאומרים ראינו השטר בידו קודם לכן והכרנו אז החתימות, ומועיל זה לענין אם טוען שלא לוה, אבל מ"מ יכול לטעון פרעתי ושטר זה שטר אחר הוא ומזויף הוא, אם לא כשנתקיים כבר או יש להם בו סימן, ש"ך (סק"ב).</w:t>
      </w:r>
    </w:p>
  </w:footnote>
  <w:footnote w:id="4734">
    <w:p w14:paraId="2D26068D" w14:textId="77777777" w:rsidR="0013116F" w:rsidRDefault="0013116F" w:rsidP="001D49D4">
      <w:pPr>
        <w:pStyle w:val="a9"/>
        <w:rPr>
          <w:rtl/>
        </w:rPr>
      </w:pPr>
      <w:r>
        <w:rPr>
          <w:rStyle w:val="ab"/>
        </w:rPr>
        <w:footnoteRef/>
      </w:r>
      <w:r>
        <w:rPr>
          <w:rtl/>
        </w:rPr>
        <w:t xml:space="preserve"> נראה דכתב "לעולם", ללמדנו דאפילו תפס אח"כ מעצמו מהלוה הנזכר בשטר, חוזרין ומוציאין מידו, וכמ"ש בפרישה [סעיף ב'], ע"ש. ומיהו ג"כ לא קרעינן ליה דילמא יברר שאינו זיוף, וכדמסיק, סמ"ע (סק"ד).</w:t>
      </w:r>
    </w:p>
  </w:footnote>
  <w:footnote w:id="4735">
    <w:p w14:paraId="26D62398" w14:textId="77777777" w:rsidR="0013116F" w:rsidRDefault="0013116F" w:rsidP="001D49D4">
      <w:pPr>
        <w:pStyle w:val="a9"/>
      </w:pPr>
      <w:r>
        <w:rPr>
          <w:rStyle w:val="ab"/>
        </w:rPr>
        <w:footnoteRef/>
      </w:r>
      <w:r>
        <w:rPr>
          <w:rtl/>
        </w:rPr>
        <w:t xml:space="preserve"> פירוש, ואפילו אינן יודעין שאותה הלואה היתה מלוה בשטר, ויכול להיות שמלוה על פה היתה אותה הלואה, וגם אין עדי השטר רואים השטר עתה שיעידו על חתימתן, מ"מ מאחר שאחרים מכירים חתימת העדים החתומים, מצטרפין זה לזה וגובין בשטר זה, סמ"ע </w:t>
      </w:r>
      <w:r>
        <w:rPr>
          <w:sz w:val="16"/>
          <w:szCs w:val="16"/>
          <w:rtl/>
        </w:rPr>
        <w:t>(סק"ה)</w:t>
      </w:r>
      <w:r>
        <w:rPr>
          <w:rtl/>
        </w:rPr>
        <w:t xml:space="preserve">. וכתב הש"ך </w:t>
      </w:r>
      <w:r>
        <w:rPr>
          <w:sz w:val="16"/>
          <w:szCs w:val="16"/>
          <w:rtl/>
        </w:rPr>
        <w:t xml:space="preserve">(סק"ג) </w:t>
      </w:r>
      <w:r>
        <w:rPr>
          <w:rtl/>
        </w:rPr>
        <w:t xml:space="preserve">דהיינו כמ"ש בב"י </w:t>
      </w:r>
      <w:r>
        <w:rPr>
          <w:sz w:val="16"/>
          <w:szCs w:val="16"/>
          <w:rtl/>
        </w:rPr>
        <w:t>[סע' א,</w:t>
      </w:r>
      <w:r>
        <w:rPr>
          <w:color w:val="FF0000"/>
          <w:sz w:val="16"/>
          <w:szCs w:val="16"/>
          <w:rtl/>
        </w:rPr>
        <w:t xml:space="preserve"> לא הבנתי, הרי הב"י דיבר בעניין אחר מהסמ"ע, והוא שחתימת העדים שזוכרים את ההלואה נמצאת על השטר רק שלא זוכרים שחתמו שם</w:t>
      </w:r>
      <w:r>
        <w:rPr>
          <w:sz w:val="16"/>
          <w:szCs w:val="16"/>
          <w:rtl/>
        </w:rPr>
        <w:t>]</w:t>
      </w:r>
      <w:r>
        <w:rPr>
          <w:rtl/>
        </w:rPr>
        <w:t xml:space="preserve"> לדעת הרמ"ה, וכ"כ הב"ח </w:t>
      </w:r>
      <w:r>
        <w:rPr>
          <w:sz w:val="16"/>
          <w:szCs w:val="16"/>
          <w:rtl/>
        </w:rPr>
        <w:t>[שם ד"ה ומ"ש והרמ"ה]</w:t>
      </w:r>
      <w:r>
        <w:rPr>
          <w:rtl/>
        </w:rPr>
        <w:t>. אבל לא נהירא לי, דכיון דחיישינן לזיופא, היאך נצטרף זה לזה, ואדרבא טפי איכא למיחש שהלוה לו בעל פה ושוב פרע לו ורצה לזייף לעשות מלוה בשטר שלא יוכל לטעון פרעתי או שיטרוף לקוחות וכה"ג. אלא נראה לפרש דברי הרמ"ה כמ"ש לקמן סק"ד להר"ן, וס"ל דלא מהני הכרת החתימות בשום ענין, ואפילו העדים החתומים בעצמם מעידים על חתימתן, ואף שידוע שההלואה היא אמת כגון שעדי השטר מעידים שראו ההלואה או אחרים מעידים שראו שחתמו, מ"מ יכול לטעון פרעתי, דשמא זהו שטר אחר הוא ומזויף, והלכך לא מהני שום עדות, רק לענין אם הלוה טוען שלא לוה אז מהני אם עדי השטר מעידים שראו ההלואה או אחרים מעידים עליהם שחתמו.</w:t>
      </w:r>
    </w:p>
  </w:footnote>
  <w:footnote w:id="4736">
    <w:p w14:paraId="002045EE" w14:textId="77777777" w:rsidR="0013116F" w:rsidRDefault="0013116F" w:rsidP="001D49D4">
      <w:pPr>
        <w:pStyle w:val="a9"/>
      </w:pPr>
      <w:r>
        <w:rPr>
          <w:rStyle w:val="ab"/>
        </w:rPr>
        <w:footnoteRef/>
      </w:r>
      <w:r>
        <w:rPr>
          <w:rtl/>
        </w:rPr>
        <w:t xml:space="preserve"> דוקא שראו שחתמו שטר זה קאמר, אבל לא סגי במה שהעידו שמכירין חתימת החתומין, וכמ"ש לפני זה דאע"פ שנתקיים השטר אין גובין בו, סמ"ע (סק"ה).</w:t>
      </w:r>
    </w:p>
  </w:footnote>
  <w:footnote w:id="4737">
    <w:p w14:paraId="7127686A" w14:textId="77777777" w:rsidR="0013116F" w:rsidRDefault="0013116F" w:rsidP="001D49D4">
      <w:pPr>
        <w:pStyle w:val="a9"/>
      </w:pPr>
      <w:r>
        <w:rPr>
          <w:rStyle w:val="ab"/>
        </w:rPr>
        <w:footnoteRef/>
      </w:r>
      <w:r>
        <w:rPr>
          <w:rtl/>
        </w:rPr>
        <w:t xml:space="preserve"> ובשכתב ידן יוצא ממקום אחר דאי לא כיון שאין זוכרין ההלואה אין עדותן עדות כמ"ש הרמב"ם פ"ח מהלכות הנזכרות וכתבו רבינו סימן מ"ו (סל"ז), ב"י.</w:t>
      </w:r>
    </w:p>
  </w:footnote>
  <w:footnote w:id="4738">
    <w:p w14:paraId="0FDDAA1E" w14:textId="77777777" w:rsidR="0013116F" w:rsidRDefault="0013116F" w:rsidP="001D49D4">
      <w:pPr>
        <w:pStyle w:val="a9"/>
      </w:pPr>
      <w:r>
        <w:rPr>
          <w:rStyle w:val="ab"/>
        </w:rPr>
        <w:footnoteRef/>
      </w:r>
      <w:r>
        <w:rPr>
          <w:rtl/>
        </w:rPr>
        <w:t xml:space="preserve"> דהיינו אפילו אינן זוכרין שחתמו זה השטר, אלא אומרים מכירין אנו שזו היא חתימתנו, גובין בו, דקיומן של העדים עצמן הוא עדיף מקיום אנשים דעלמא, דאיכא למימר בהו דטעו. והמחבר נקט הני תלתא בבא בלא זו אף זו. והשתא אתי שפיר מה שמסיק מור"ם וכתב ע"ז דיש חולקין וס"ל דהכרת חתימתן לא מהני. ור"ל דבכה"ג דהעדים אינן זוכרים שחתמו שטר זה אלא מכירין חתימתן, לא מהני, אבל בשני בבות הראשונות, דהיינו שראו ההלואה או שאחרים מעידים שראו שחתמו, ליכא מאן דפליג. וגם אם עדי השטר מעידין ואומרים זהו חתימת ידינו ואנו זוכרין שחתמנו זה השטר, אין סברא לומר שיהא גרע מאילו העידו אחרים שראו שחתמו השטר </w:t>
      </w:r>
      <w:r>
        <w:rPr>
          <w:sz w:val="16"/>
          <w:szCs w:val="16"/>
          <w:rtl/>
        </w:rPr>
        <w:t>(וע"ל ס"ס לא דכתב המחבר ג"כ דין זה, ולא כתב שם מור"ם דעת החולקין, וסמך אמה שכתב כאן שהוא מקור הדין)</w:t>
      </w:r>
      <w:r>
        <w:rPr>
          <w:rtl/>
        </w:rPr>
        <w:t xml:space="preserve">, סמ"ע </w:t>
      </w:r>
      <w:r>
        <w:rPr>
          <w:sz w:val="16"/>
          <w:szCs w:val="16"/>
          <w:rtl/>
        </w:rPr>
        <w:t>(סק"ז)</w:t>
      </w:r>
      <w:r>
        <w:rPr>
          <w:rtl/>
        </w:rPr>
        <w:t xml:space="preserve">. אך עיין לעיל בש"ך </w:t>
      </w:r>
      <w:r>
        <w:rPr>
          <w:sz w:val="16"/>
          <w:szCs w:val="16"/>
          <w:rtl/>
        </w:rPr>
        <w:t xml:space="preserve">(סק"ג) </w:t>
      </w:r>
      <w:r>
        <w:rPr>
          <w:rtl/>
        </w:rPr>
        <w:t>שכתב שהרמ"ה והר"ן חולקים גם על ב' הבבות הראשונות דאפילו העדים החתומים בעצמם מעידים על חתימתן, ואף שידוע שההלואה היא אמת כגון שעדי השטר מעידים שראו ההלואה או אחרים מעידים שראו שחתמו מ"מ יכול לטעון פרעתי.</w:t>
      </w:r>
    </w:p>
  </w:footnote>
  <w:footnote w:id="4739">
    <w:p w14:paraId="45D3E949" w14:textId="77777777" w:rsidR="0013116F" w:rsidRDefault="0013116F" w:rsidP="001D49D4">
      <w:pPr>
        <w:pStyle w:val="a9"/>
        <w:rPr>
          <w:rtl/>
        </w:rPr>
      </w:pPr>
      <w:r>
        <w:rPr>
          <w:rStyle w:val="ab"/>
        </w:rPr>
        <w:footnoteRef/>
      </w:r>
      <w:r>
        <w:rPr>
          <w:rtl/>
        </w:rPr>
        <w:t xml:space="preserve"> </w:t>
      </w:r>
      <w:r>
        <w:rPr>
          <w:rFonts w:hint="cs"/>
          <w:rtl/>
        </w:rPr>
        <w:t>וכתב הב"י ד</w:t>
      </w:r>
      <w:r>
        <w:rPr>
          <w:rtl/>
        </w:rPr>
        <w:t xml:space="preserve">לעיל קאי דקאמר כל שטרותיו איתרעו ולא מגבינן בהו ומיהו לא משהינן להו בידיה דילמא מיית לוה וכו'. אך הש"ך (סק"ג) כתב דזוהי המשך לשון הרמ"ה ולישנא דמגבינן ביה דכתב הרמ"ה הוא לאו דוקא, אלא משום דכתב ברישא לא מגבינן ביה כתב הכא מגבינן ביה, וה"ה אפילו בלא שטר חייב לשלם... והיינו דכתב הרמ"ה אבל אם עדי השטר וכו' מגבינן ביה דהא תו ליכא למיחש לזיופא, ומיהו לא משהינן ליה בידיה דילמא מיית לוה וכו' </w:t>
      </w:r>
      <w:r>
        <w:rPr>
          <w:sz w:val="16"/>
          <w:szCs w:val="16"/>
          <w:rtl/>
        </w:rPr>
        <w:t>(דאי כפירוש הב"י והסמ"ע והב"ח, אמאי לא משהינן ליה בידיה כיון דשטרא מעליא הוא ולית ביה חשש זיופא. וצריך לדחוק לדבריהם דאדלעיל קאי כשלא גבינן ביה, וכ"כ בב"י [סעיף ב'], ועל כן כתב המחבר בסעיף ב' כשאמרו אין גובים בו, לא משהינן ליה בידיה כו'. אבל באמת לשון רמ"ה לא משמע הכי כלל, אלא משמע דאדסמיך ליה קאי-)</w:t>
      </w:r>
      <w:r>
        <w:rPr>
          <w:rtl/>
        </w:rPr>
        <w:t xml:space="preserve">, וה"ק, דאע"ג דמגבינן ביה, מ"מ לא משהינן ליה בידיה, אלא לענין זה מגבינן ביה דחייב לשלם לו מיד, אבל אם אינו משלם לו מיד כגון שאין לו עתה לפרוע או שעדיין לא הגיע הזמן פרעון וכה"ג, לא משהינן ליה. </w:t>
      </w:r>
      <w:r>
        <w:rPr>
          <w:sz w:val="16"/>
          <w:szCs w:val="16"/>
          <w:rtl/>
        </w:rPr>
        <w:t>(וא"כ ה"ה להרמב"ם והמחבר לא מהני כשעדי השטר מעידים על ההלואה ואחרים מכירים החתימות או אחרים מעידים שראו שחתמו, שיהיה השטר כשר לגמרי, דהא לא כתב הרמב"ם אלא דכשהעדים עצמם אומרים שזהו חתימתן גובים בו משום שהעדים עצמם אינם טועים, אבל בעדים אחרים מודה דחיישינן שמא הם טועין והוא זייף עד שסוברים שזהו חתימת העדים, אם כן מה בכך שראו שחתמו, דילמא פרע לו ושטר זה זיוף הוא, והיינו דלא כתב הרמב"ם שום גוונא דמהני רק כשהעדים עצמם אומרים שזהו חתימתן)</w:t>
      </w:r>
      <w:r>
        <w:rPr>
          <w:rtl/>
        </w:rPr>
        <w:t>.</w:t>
      </w:r>
    </w:p>
  </w:footnote>
  <w:footnote w:id="4740">
    <w:p w14:paraId="6DA96BAF" w14:textId="77777777" w:rsidR="0013116F" w:rsidRDefault="0013116F" w:rsidP="001D49D4">
      <w:pPr>
        <w:pStyle w:val="a9"/>
        <w:rPr>
          <w:rtl/>
        </w:rPr>
      </w:pPr>
      <w:r>
        <w:rPr>
          <w:rStyle w:val="ab"/>
        </w:rPr>
        <w:footnoteRef/>
      </w:r>
      <w:r>
        <w:rPr>
          <w:rtl/>
        </w:rPr>
        <w:t xml:space="preserve"> דוקא בזה דיש ריעותא לפנינו דמהדר אזיופא ולא מהני ביה תפיסה וכמ"ש לעיל [סק"ד], משום הכי חששו שיגבה בב"ד אחר, משא"כ לעיל בסימן נ"ח [סעיף ב' בהג"ה] בדין סיטראי, ובסימן מ"ו [סעיף ל"ז בהג"ה] בדין אם באו שנים ואמרו שהעדים פסולים היו, דאף דאמרינן גם שם דלא מגבינן ביה ולא קרעינן אותו, מ"מ מניחין אותו בידו, דכיון דמהני בהו תפיסה כמבואר שם, משום הכי לא חששו אף אם יגבה בו בב"ד אחר, דמה לי תפיסה ומה לי גבייה בב"ד אחר, סמ"ע (סק"ח).</w:t>
      </w:r>
    </w:p>
  </w:footnote>
  <w:footnote w:id="4741">
    <w:p w14:paraId="1795146F" w14:textId="77777777" w:rsidR="0013116F" w:rsidRDefault="0013116F" w:rsidP="001D49D4">
      <w:pPr>
        <w:pStyle w:val="a9"/>
        <w:rPr>
          <w:rtl/>
        </w:rPr>
      </w:pPr>
      <w:r>
        <w:rPr>
          <w:rStyle w:val="ab"/>
        </w:rPr>
        <w:footnoteRef/>
      </w:r>
      <w:r>
        <w:rPr>
          <w:rtl/>
        </w:rPr>
        <w:t xml:space="preserve"> האי תיבת "שביקש" קאי אדסמיך ליה אתיבת "של זה", ולא קאי "אכל שטרותיו", דהא מיירי דלא בקש מהן לזייף אלא שטר אחד, אלא משום דלא ידעינן שם הלוה והסך, קאמר דכל שטרותיו הם בספק והמע"ה. ולפ"ז אם יש לו על לוה אחד שני שטרות, מסתבר לומר שיגבה האחד, וכמ"ש הטור והמחבר לעיל סימן ל"א [סעיף ב'] בדין ב' כיתי עדים המכחישים זה את זה. אלא שא"כ ה"ל להפוסקים לפרש זה. גם בהטור מוכח דס"ל דאף אם יש לו ב' שטרות על אחד, דאין גובין שום אחד מהן דבכה"ג דאמר לו לזייף שטר סתם, יש לחוש לכל שטר ושטר, ושכן משמע מדברי הרא"ש [כתובות פ"ג סי' ג'], סמ"ע (סק"ט). וכ"כ הש"ך (סק"ה).</w:t>
      </w:r>
    </w:p>
  </w:footnote>
  <w:footnote w:id="4742">
    <w:p w14:paraId="4D3DA38A" w14:textId="77777777" w:rsidR="0013116F" w:rsidRDefault="0013116F" w:rsidP="001D49D4">
      <w:pPr>
        <w:pStyle w:val="a9"/>
      </w:pPr>
      <w:r>
        <w:rPr>
          <w:rStyle w:val="ab"/>
        </w:rPr>
        <w:footnoteRef/>
      </w:r>
      <w:r>
        <w:rPr>
          <w:rtl/>
        </w:rPr>
        <w:t xml:space="preserve"> </w:t>
      </w:r>
      <w:r>
        <w:rPr>
          <w:rFonts w:hint="cs"/>
          <w:rtl/>
        </w:rPr>
        <w:t>סימן – התנגדה בפניו. וכן – הפקיד הונו, פרעה הונה.</w:t>
      </w:r>
    </w:p>
  </w:footnote>
  <w:footnote w:id="4743">
    <w:p w14:paraId="50B7CE55" w14:textId="77777777" w:rsidR="0013116F" w:rsidRDefault="0013116F" w:rsidP="001D49D4">
      <w:pPr>
        <w:pStyle w:val="a9"/>
        <w:rPr>
          <w:rtl/>
        </w:rPr>
      </w:pPr>
      <w:r>
        <w:rPr>
          <w:rStyle w:val="ab"/>
        </w:rPr>
        <w:footnoteRef/>
      </w:r>
      <w:r>
        <w:rPr>
          <w:rtl/>
        </w:rPr>
        <w:t xml:space="preserve"> תיק מלא שטרות, רש"י.</w:t>
      </w:r>
    </w:p>
  </w:footnote>
  <w:footnote w:id="4744">
    <w:p w14:paraId="36736D9E" w14:textId="77777777" w:rsidR="0013116F" w:rsidRDefault="0013116F" w:rsidP="001D49D4">
      <w:pPr>
        <w:pStyle w:val="a9"/>
      </w:pPr>
      <w:r>
        <w:rPr>
          <w:rStyle w:val="ab"/>
        </w:rPr>
        <w:footnoteRef/>
      </w:r>
      <w:r>
        <w:rPr>
          <w:rtl/>
        </w:rPr>
        <w:t xml:space="preserve"> בחוב שהיה חייב לי החזקתי בהם, רש"י.</w:t>
      </w:r>
    </w:p>
  </w:footnote>
  <w:footnote w:id="4745">
    <w:p w14:paraId="05411EF8" w14:textId="77777777" w:rsidR="0013116F" w:rsidRDefault="0013116F" w:rsidP="001D49D4">
      <w:pPr>
        <w:pStyle w:val="a9"/>
      </w:pPr>
      <w:r>
        <w:rPr>
          <w:rStyle w:val="ab"/>
        </w:rPr>
        <w:footnoteRef/>
      </w:r>
      <w:r>
        <w:rPr>
          <w:rtl/>
        </w:rPr>
        <w:t xml:space="preserve"> שכל זמן שהיה חי היו פקדון בידך והרי הן כמונחין ברשותיה, וכי אמרי' תפיסה מחיים כגון שראהו קרוב למות ותפס מטלטלין לשם חובו ולא היו פקדון בידו, רש"י. </w:t>
      </w:r>
    </w:p>
  </w:footnote>
  <w:footnote w:id="4746">
    <w:p w14:paraId="2E4DB808" w14:textId="77777777" w:rsidR="0013116F" w:rsidRDefault="0013116F" w:rsidP="001D49D4">
      <w:pPr>
        <w:pStyle w:val="a9"/>
      </w:pPr>
      <w:r>
        <w:rPr>
          <w:rStyle w:val="ab"/>
        </w:rPr>
        <w:footnoteRef/>
      </w:r>
      <w:r>
        <w:rPr>
          <w:rtl/>
        </w:rPr>
        <w:t xml:space="preserve"> וז"ל- מצוה על היתומין לפרוע חוב אביהן מן המטלטלין שהניח ואם לא רצה היורש ליתן אין כופין אותו ואם תפס ב"ח מחיים גובה מהן, טען שמחיים תפסן והיורש טען שאחר מיתה תפס על היורש להביא ראיה או ישבע המלוה שכך וכך הוא חייב לו ויכול לטעון עד כדי דמיהן וכולל בשבועתו שמחיים תפס, היו הדברים שתפס שטרות וטען שהן משכון בידו על חובו ושמחיים תפס, על המלוה להביא ראיה שמחיים תפס, ואם לא הביא ראיה יחזיר ליורשים מפני שאינו טוען לקנות גופם אלא לראיה שבהן.</w:t>
      </w:r>
    </w:p>
  </w:footnote>
  <w:footnote w:id="4747">
    <w:p w14:paraId="7699DDA0" w14:textId="77777777" w:rsidR="0013116F" w:rsidRDefault="0013116F" w:rsidP="001D49D4">
      <w:pPr>
        <w:pStyle w:val="a9"/>
      </w:pPr>
      <w:r>
        <w:rPr>
          <w:rStyle w:val="ab"/>
        </w:rPr>
        <w:footnoteRef/>
      </w:r>
      <w:r>
        <w:rPr>
          <w:rtl/>
        </w:rPr>
        <w:t xml:space="preserve"> </w:t>
      </w:r>
      <w:r>
        <w:rPr>
          <w:rFonts w:hint="cs"/>
          <w:rtl/>
        </w:rPr>
        <w:t>דקדק לכתוב 'אם ירצה לפרעו' משום דכבר הביא בסי' סב את דברי הה"מ שכתב דמבואר מדברי הרמב"ם ב</w:t>
      </w:r>
      <w:r>
        <w:rPr>
          <w:rtl/>
        </w:rPr>
        <w:t xml:space="preserve">פ"ו מהלכות מכירה (הי"א) דמה שכתב הרמב"ם </w:t>
      </w:r>
      <w:r>
        <w:rPr>
          <w:sz w:val="16"/>
          <w:szCs w:val="16"/>
          <w:rtl/>
        </w:rPr>
        <w:t>(בהל' נחלות פ"ט ה"י)</w:t>
      </w:r>
      <w:r>
        <w:rPr>
          <w:rtl/>
        </w:rPr>
        <w:t xml:space="preserve"> 'גובה בו ואינו צריך להביא ראיה' - היינו כשהלוה רוצה לפרעו, ואינו צריך להביא ראיה שקנה מהמלוה, אבל אם הלוה טוען לאו בעל דברים דידי את - טענתו טענה.</w:t>
      </w:r>
    </w:p>
  </w:footnote>
  <w:footnote w:id="4748">
    <w:p w14:paraId="07D83159" w14:textId="77777777" w:rsidR="0013116F" w:rsidRDefault="0013116F" w:rsidP="001D49D4">
      <w:pPr>
        <w:pStyle w:val="a9"/>
      </w:pPr>
      <w:r>
        <w:rPr>
          <w:rStyle w:val="ab"/>
        </w:rPr>
        <w:footnoteRef/>
      </w:r>
      <w:r>
        <w:rPr>
          <w:rtl/>
        </w:rPr>
        <w:t xml:space="preserve"> כך כתב הרא"ש (שם). והר"ן (מג: ד"ה ומסתברא) כתב וא"ת ולהימנה במגו דלקוחים הם בידי ומהימנא לגוף השטרות שגופן ממון לצור על פי צלוחיתו. י"ל דאי טענה הקנה לי גוף השטרות לא מהימנא דאין אדם עשוי למכור שטרי ראיה שלו לצור על פי צלוחית, ואי אמרה מכרן לי בין לגופן בין לשעבודן ושטר הקנאה היה לי ואבד, כיון דלא מהימנינן לשעבוד שבהן אף לגוף השטרות אינה נאמנת. ואחרים פירשו דהכא במאי עסקינן בדאיכא עדים וראיה ודינא דתפיסה אתא לאשמועינן עכ"ל.</w:t>
      </w:r>
    </w:p>
  </w:footnote>
  <w:footnote w:id="4749">
    <w:p w14:paraId="0BE9DE4E" w14:textId="77777777" w:rsidR="0013116F" w:rsidRDefault="0013116F" w:rsidP="001D49D4">
      <w:pPr>
        <w:pStyle w:val="a9"/>
        <w:rPr>
          <w:rtl/>
        </w:rPr>
      </w:pPr>
      <w:r>
        <w:rPr>
          <w:rStyle w:val="ab"/>
        </w:rPr>
        <w:footnoteRef/>
      </w:r>
      <w:r>
        <w:rPr>
          <w:rtl/>
        </w:rPr>
        <w:t xml:space="preserve"> מ"ש רבינו וכל זה לדינא דגמרא וכו', הם דברי הרי"ף והרא"ש שם. והאריך בזה הריב"ש בסימן שצ"ב להוכיח דהאידנא מהניא תפיסה לאחר מיתה. וכ"כ בהגמ"ר (פ"ק דב"ק סי' רא), וכן נראה מסידור דברי הרמב"ם בפרק הנזכר, שאחר שכתב הדין הנ"ל כתב (הי"א) שתקנו הגאונים שיגבה בעל חוב מטלטלים מן היורשים, ב"י.</w:t>
      </w:r>
    </w:p>
  </w:footnote>
  <w:footnote w:id="4750">
    <w:p w14:paraId="260207F1" w14:textId="77777777" w:rsidR="0013116F" w:rsidRDefault="0013116F" w:rsidP="001D49D4">
      <w:pPr>
        <w:pStyle w:val="a9"/>
      </w:pPr>
      <w:r>
        <w:rPr>
          <w:rStyle w:val="ab"/>
        </w:rPr>
        <w:footnoteRef/>
      </w:r>
      <w:r>
        <w:rPr>
          <w:rtl/>
        </w:rPr>
        <w:t xml:space="preserve"> וכ"כ רי"ו </w:t>
      </w:r>
      <w:r>
        <w:rPr>
          <w:sz w:val="16"/>
          <w:szCs w:val="16"/>
          <w:rtl/>
        </w:rPr>
        <w:t>(נכ"ו ח"ג עו.)</w:t>
      </w:r>
      <w:r>
        <w:rPr>
          <w:rtl/>
        </w:rPr>
        <w:t>, וכתב עוד שם שאחר התקנה אם הם שני בעלי חוב ותפס שטרות אחד מהם נראה דלא זכה בקדימתו מחמת אותה תפיסה ויחלוקו השטר חוב, ב"י. וכתב הדרכ"מ</w:t>
      </w:r>
      <w:r>
        <w:rPr>
          <w:sz w:val="16"/>
          <w:szCs w:val="16"/>
          <w:rtl/>
        </w:rPr>
        <w:t xml:space="preserve"> (אות ג)</w:t>
      </w:r>
      <w:r>
        <w:rPr>
          <w:rtl/>
        </w:rPr>
        <w:t xml:space="preserve"> שטעמו משום דאין תפיסת השטר מהני לגבי ממון כמ"ש לעיל </w:t>
      </w:r>
      <w:r>
        <w:rPr>
          <w:sz w:val="16"/>
          <w:szCs w:val="16"/>
          <w:rtl/>
        </w:rPr>
        <w:t xml:space="preserve">(אות א) </w:t>
      </w:r>
      <w:r>
        <w:rPr>
          <w:rtl/>
        </w:rPr>
        <w:t>בשם מוהר"ם. עכ"ל. וכתב עוד הב"י דבענין מגו דאי בעיא קלתיה או מגו דאי בעי כביש לשטריה עי' בריב"ש סי' שלו ושמג.</w:t>
      </w:r>
    </w:p>
  </w:footnote>
  <w:footnote w:id="4751">
    <w:p w14:paraId="36F76578" w14:textId="77777777" w:rsidR="0013116F" w:rsidRDefault="0013116F" w:rsidP="001D49D4">
      <w:pPr>
        <w:pStyle w:val="a9"/>
        <w:rPr>
          <w:rtl/>
        </w:rPr>
      </w:pPr>
      <w:r>
        <w:rPr>
          <w:rStyle w:val="ab"/>
        </w:rPr>
        <w:footnoteRef/>
      </w:r>
      <w:r>
        <w:rPr>
          <w:rtl/>
        </w:rPr>
        <w:t xml:space="preserve"> כתב הדרכ"מ</w:t>
      </w:r>
      <w:r>
        <w:rPr>
          <w:sz w:val="16"/>
          <w:szCs w:val="16"/>
          <w:rtl/>
        </w:rPr>
        <w:t xml:space="preserve"> (אות ב) </w:t>
      </w:r>
      <w:r>
        <w:rPr>
          <w:rtl/>
        </w:rPr>
        <w:t xml:space="preserve">שמדברי התשובה שכתב ב"י בשם הרשב"א מוכח דאיירי שהוא ידוע שהמפקיד היה חייב לו רק שלא ידעינן אם אלו השטרות באו לידו בתורת משכון או לא ולהכי נאמן אם תפסן מחיים אבל אם אין ידוע שהיה חייב לו אינו נאמן לומר שבתורת משכון בא לידו ושהיה חייב לו כמו שאינו נאמן לומר לקוחים הם בידי. אבל התוס' </w:t>
      </w:r>
      <w:r>
        <w:rPr>
          <w:sz w:val="16"/>
          <w:szCs w:val="16"/>
          <w:rtl/>
        </w:rPr>
        <w:t xml:space="preserve">(ד"ה אית לך) </w:t>
      </w:r>
      <w:r>
        <w:rPr>
          <w:rtl/>
        </w:rPr>
        <w:t>והרא"ש כתבו ד-...</w:t>
      </w:r>
    </w:p>
  </w:footnote>
  <w:footnote w:id="4752">
    <w:p w14:paraId="4BFC79EB" w14:textId="77777777" w:rsidR="0013116F" w:rsidRDefault="0013116F" w:rsidP="001D49D4">
      <w:pPr>
        <w:pStyle w:val="a9"/>
        <w:rPr>
          <w:rtl/>
        </w:rPr>
      </w:pPr>
      <w:r>
        <w:rPr>
          <w:rStyle w:val="ab"/>
        </w:rPr>
        <w:footnoteRef/>
      </w:r>
      <w:r>
        <w:rPr>
          <w:rtl/>
        </w:rPr>
        <w:t xml:space="preserve"> וכן הוא בתשובת הרא"ש כלל ק"ה סימן ח' וכן הוא לקמן בהדיא סימן ס"ה (ס"ז), דרכ"מ (אות ב).</w:t>
      </w:r>
    </w:p>
  </w:footnote>
  <w:footnote w:id="4753">
    <w:p w14:paraId="2FDE1798" w14:textId="77777777" w:rsidR="0013116F" w:rsidRDefault="0013116F" w:rsidP="001D49D4">
      <w:pPr>
        <w:pStyle w:val="a9"/>
        <w:rPr>
          <w:rtl/>
        </w:rPr>
      </w:pPr>
      <w:r>
        <w:rPr>
          <w:rStyle w:val="ab"/>
        </w:rPr>
        <w:footnoteRef/>
      </w:r>
      <w:r>
        <w:rPr>
          <w:rtl/>
        </w:rPr>
        <w:t xml:space="preserve"> כלומר להחזיק הנייר, דלא יוכל לגבות מהלוה אלא אם כן טוען שמכרו לו בכתיבה ומסירה, הא לאו הכי אפילו טוען שנתנו לו למשכון לגבות מהלוה לא מהני, כיון שלא קנה החוב שבשטר במה יגבה מהלוה. והשתא ניחא הא דהוצרכו הרא"ש [כתובות פ"ט סי' ה'] והטור והמחבר לפרש דמיירי שיש עדים וראה, הא אי הוה טען להד"ם או נאנסו לא היה יכול לגבות מהלוה, אלא ודאי כמ"ש. וכן משמע בהרא"ש להדיא, ע"ש, ש"ך (סק"א).</w:t>
      </w:r>
    </w:p>
  </w:footnote>
  <w:footnote w:id="4754">
    <w:p w14:paraId="763BF948" w14:textId="77777777" w:rsidR="0013116F" w:rsidRDefault="0013116F" w:rsidP="001D49D4">
      <w:pPr>
        <w:pStyle w:val="a9"/>
        <w:rPr>
          <w:rtl/>
        </w:rPr>
      </w:pPr>
      <w:r>
        <w:rPr>
          <w:rStyle w:val="ab"/>
        </w:rPr>
        <w:footnoteRef/>
      </w:r>
      <w:r>
        <w:rPr>
          <w:rtl/>
        </w:rPr>
        <w:t xml:space="preserve"> פירוש, כתיבת השטר קנין שבו קונין השטרות, והיינו קני לך איהו וכל שעבודא דאית ביה, וכמ"ש בסימן ס"ו [סעיף א'], ע"ש. ואפילו להרמב"ם [בפט"ז ממלוה ה"ז] דס"ל דנאמן לומר שטר כתיבה היה בידי ואבדתיהו, הכא מודה דאינו נאמן, כיון דיש עדים דבפקדון באו לידו, וכמ"ש בסמוך [סק"ד], סמ"ע (סק"ב). ואע"ג דמיירי שיש עדי פקדון וראה ובלאו הכי לא היה יכול לטעון לקוח, מ"מ כיון שהחוב של הנפקד ידוע והיו עדים שתפס מחיים, הוה אמינא דיכול לגבות החוב, קמ"ל כיון דאין אותיות נקנות אלא בכתיבה ומסירה, אם כן לא נקנו לו השטרות ולא מהני תפיסתו לגבות מהלוה רק להחזיק גוף הנייר עד שישלמו לו, ש"ך (סק"ב).</w:t>
      </w:r>
    </w:p>
  </w:footnote>
  <w:footnote w:id="4755">
    <w:p w14:paraId="75D741E7" w14:textId="77777777" w:rsidR="0013116F" w:rsidRDefault="0013116F" w:rsidP="001D49D4">
      <w:pPr>
        <w:pStyle w:val="a9"/>
      </w:pPr>
      <w:r>
        <w:rPr>
          <w:rStyle w:val="ab"/>
        </w:rPr>
        <w:footnoteRef/>
      </w:r>
      <w:r>
        <w:rPr>
          <w:rtl/>
        </w:rPr>
        <w:t xml:space="preserve"> והר"ן </w:t>
      </w:r>
      <w:r>
        <w:rPr>
          <w:sz w:val="16"/>
          <w:szCs w:val="16"/>
          <w:rtl/>
        </w:rPr>
        <w:t xml:space="preserve">(כתובות מג. מדפה"ר) </w:t>
      </w:r>
      <w:r>
        <w:rPr>
          <w:rtl/>
        </w:rPr>
        <w:t xml:space="preserve">כתב לדעת הרי"ף דמיירי אפילו ליכא עדים וראה, ואפילו הכי לא מהימן אפילו להחזיק גוף השטר למשכון, ע"ש, וכן מוכח באמת דעת הרי"ף שם. וכן מוכח להדיא דעת התוס' </w:t>
      </w:r>
      <w:r>
        <w:rPr>
          <w:sz w:val="16"/>
          <w:szCs w:val="16"/>
          <w:rtl/>
        </w:rPr>
        <w:t xml:space="preserve">(שם פה. ד"ה אית) </w:t>
      </w:r>
      <w:r>
        <w:rPr>
          <w:rtl/>
        </w:rPr>
        <w:t xml:space="preserve">הה"מ </w:t>
      </w:r>
      <w:r>
        <w:rPr>
          <w:sz w:val="16"/>
          <w:szCs w:val="16"/>
          <w:rtl/>
        </w:rPr>
        <w:t xml:space="preserve">(פי"א מהל' מלוה ה"ח) </w:t>
      </w:r>
      <w:r>
        <w:rPr>
          <w:rtl/>
        </w:rPr>
        <w:t xml:space="preserve">ובעל התרומות </w:t>
      </w:r>
      <w:r>
        <w:rPr>
          <w:sz w:val="16"/>
          <w:szCs w:val="16"/>
          <w:rtl/>
        </w:rPr>
        <w:t xml:space="preserve">(שער נא ח"ח ס"ג) </w:t>
      </w:r>
      <w:r>
        <w:rPr>
          <w:rtl/>
        </w:rPr>
        <w:t xml:space="preserve">בשם הראב"ד וה"ר נתן בן ה"ר מאיר. ותימה שלא הביא המחבר דבריהם אף בב"י. וגם דעת בעל המאור והרמב"ן </w:t>
      </w:r>
      <w:r>
        <w:rPr>
          <w:sz w:val="16"/>
          <w:szCs w:val="16"/>
          <w:rtl/>
        </w:rPr>
        <w:t xml:space="preserve">(בספר המלחמות שם) </w:t>
      </w:r>
      <w:r>
        <w:rPr>
          <w:rtl/>
        </w:rPr>
        <w:t xml:space="preserve">נראה כן להדיא </w:t>
      </w:r>
      <w:r>
        <w:rPr>
          <w:sz w:val="16"/>
          <w:szCs w:val="16"/>
          <w:rtl/>
        </w:rPr>
        <w:t>(ומה שהקשו הרא"ש (פ"ט סי' ה) והטור והמחבר דיהא נאמן במיגו דנאנסו או להד"ם או החזרתי להחזיק גוף השטרות. י"ל משום דאז לא היה יכול להראותם והיה נפסד הכל, אבל עכשיו סובר שהשטרות שוים הרבה ויועיל תפיסתו כדי שווי השטרות. א"נ דוקא במטלטלים אמרינן האי מיגו, משום שאם טוען להד"ם או נאנסו היה מוכר המטלטלים לאחרים, משא"כ בשטרות שלא היה מי שלוקחן כיון שהם כתובים על שם אחרים ואין לזה כתיבה. ועוד שאם היה מוכרן לאחרים היה נתגלה אח"כ שהיו בידו ולא נאנסו שהרי השטרות כתובים על שם המפקיד, ולכך טוען למשכון תפסתים וחושב שבזה יזכה בדין שיוכל לגבותם או למכרם. א"נ הוא חושב שהלווים יפרעו לו, כי מה איכפת להו שמשלמים לו או למפקיד, אבל כשהיה טוען להד"ם או נאנסו כשהיה מבקש אח"כ מהלווים לא היו משלמים לו, כי היו יודעים שהוא משקר. וליכא למימר שהיה עושה קנוניא עם הלווים, דמי יימר דשמעי ליה הלווים, ודילמא כשרים נינהו ולא מקבלי קנוניא, אבל עכשיו סובר שהלווים ישמעו לו שיחשבו שאומר אמת שהם משכון בידו וישלמו לו)</w:t>
      </w:r>
      <w:r>
        <w:rPr>
          <w:rtl/>
        </w:rPr>
        <w:t xml:space="preserve">, וכן נראה לי עיקר. ונפקא מיניה בדינים אלו האידנא, היכא שאין ידוע שחייב לו המפקיד לנפקד, והנפקד תפס שטרות, דבשטרות ליכא מיגו וכמו שכתבתי. וכן משמע בתשובת הרשב"א </w:t>
      </w:r>
      <w:r>
        <w:rPr>
          <w:sz w:val="16"/>
          <w:szCs w:val="16"/>
          <w:rtl/>
        </w:rPr>
        <w:t>((ח"ב סי' ריא) שהביא הב"י לקמן (ר"ס סו סע' ג) וז"ל- דבשטרות ליכא מיגו דאי בעי אמר לא באו לידי מעולם, שאם אמר כן היה מתירא להוציא ולתבוע מבעלי החוב וכענין מלוגא דשטרי בפרק הכותב [שם] עכ"ל)</w:t>
      </w:r>
      <w:r>
        <w:rPr>
          <w:rtl/>
        </w:rPr>
        <w:t>, ש"ך (סק"ד).</w:t>
      </w:r>
    </w:p>
  </w:footnote>
  <w:footnote w:id="4756">
    <w:p w14:paraId="5E0839C5" w14:textId="77777777" w:rsidR="0013116F" w:rsidRDefault="0013116F" w:rsidP="001D49D4">
      <w:pPr>
        <w:pStyle w:val="a9"/>
        <w:rPr>
          <w:rtl/>
        </w:rPr>
      </w:pPr>
      <w:r>
        <w:rPr>
          <w:rStyle w:val="ab"/>
        </w:rPr>
        <w:footnoteRef/>
      </w:r>
      <w:r>
        <w:rPr>
          <w:rtl/>
        </w:rPr>
        <w:t xml:space="preserve"> פירוש, נאמן בשבועת היסת, דגם אם היה טוען נאנסו לא היה נשבע אלא היסת, דשטרות אתמעטו משבועה דאורייתא, וכמ"ש הטור והמחבר לקמן ר"ס צ"ה ע"ש, וכ"כ מור"ש [בחידושיו על הטור שם], סמ"ע (סק"ז). אך הש"ך (סק"ז) כתב דלא היה נשבע אפילו היסת, דאין נשבעין היסת על טענת שמא... מיהו למה שכתבתי לקמן סימן ס"ו (סע' לט סקקכ"ד) דמכל מקום צריך לישבע מדרבנן על שטרות שאינן ברשותו, אם כן צריך כאן לישבע היכא דטוען החזרתי לכם או לאביכם.</w:t>
      </w:r>
    </w:p>
  </w:footnote>
  <w:footnote w:id="4757">
    <w:p w14:paraId="7C9D2855" w14:textId="77777777" w:rsidR="0013116F" w:rsidRDefault="0013116F" w:rsidP="001D49D4">
      <w:pPr>
        <w:pStyle w:val="a9"/>
        <w:rPr>
          <w:rtl/>
        </w:rPr>
      </w:pPr>
      <w:r>
        <w:rPr>
          <w:rStyle w:val="ab"/>
        </w:rPr>
        <w:footnoteRef/>
      </w:r>
      <w:r>
        <w:rPr>
          <w:rtl/>
        </w:rPr>
        <w:t xml:space="preserve"> פירוש, לא היינו צריכין עדים שתבעם ממנו בחייו אלא היה נאמן על זה בדיבורו, ואף שהפקידו בידו בעדים, כל שלא ראו אותו עתה בידו נאמן במיגו דאי בעי הוה אמר נאנסו מידי, ואף שאז לא היה יכול להראותן, מ"מ היה בידו לעשות קנוניא עם הלווין ליקח מידן מה, ולמסור לידן השט"ח קרוע. גם י"ל דהמיגו הוא כשיבואו היורשין לתבעו שיחזיר לידם השטרות שהפקידו בעדים, ישיב להן בפני ב"ד שנאנסו, ובינו לבינם יגלה להן שהן בידו ושיחזירו להן כשישלמו מה שחייב לו אביהן. ומשום הכי בסימן ס"ו בסעיף י"א ששם מיירי שצריכין להראותו בב"ד כדי לגבות בהאי שטרא, לא אמרינן האי מיגו דנאנסו, ועיין לקמן סימן קל"ג (סק"ד-ה) מה שכתבתי עוד מזה, סמ"ע (סק"ו). וכתב עוד הסמ"ע (שם) דהא דלא קאמר מיגו דהחזרתיהן לאביך, משום דאז לא היה צריך עדות דראוהו עתה בידו, אלא שראוהו בידו אחר מות אביהן. וגם מיגו דהחזרתיהן להיורשים ליכא למימר, דה"ל מיגו דהעזה </w:t>
      </w:r>
      <w:r>
        <w:rPr>
          <w:sz w:val="16"/>
          <w:szCs w:val="16"/>
          <w:rtl/>
        </w:rPr>
        <w:t>(ואם ראו אותו עתה בידו וליכא עדים שבאו לידו בתורת פקדון, נאמן בדיבורו במיגו דהוה אמר להד"ם, פירוש להד"ם שבאו לידי בתורת פקדון, אלא בתורת משכון באו לידו מתחילה, והוה נאמן, דלמשכון א"צ להיות בידו כתיבה וראיה)</w:t>
      </w:r>
      <w:r>
        <w:rPr>
          <w:rtl/>
        </w:rPr>
        <w:t xml:space="preserve">. וחלק עליו הש"ך (סק"ו) וכתב דאע"ג דהיה מעיז הוי מיגו, אלא דהטור לאו דוקא נקט. וכ"כ הב"ח [בסוף הסימן] דחד מהנך נקט וה"ה במיגו דהחזרתי </w:t>
      </w:r>
      <w:r>
        <w:rPr>
          <w:sz w:val="16"/>
          <w:szCs w:val="16"/>
          <w:rtl/>
        </w:rPr>
        <w:t>(ובלאו הכי מוכרח לומר כן, דאל"כ תיקשי ל"ל עדים שהפקידם בידו, הא בעדי ראה לחוד תו ליכא מיגו דנאנסו או להד"ם, אלא ודאי עדים שהפקידו צריך מטעם שכתב הרא"ש [כתובות פ"ט סי' ה'] דאל"כ נאמן במיגו שהיו ממושכנים אצלו מעיקרא. והטור דלא נקט האי מיגו, חד מהני נקט. ומה שכתב בסמ"ע דלהד"ם פירושו להד"ם שבאו לידו בתורת פקדון אלא בתורת משכון, הוא דוחק. ועוד, דהא הרא"ש נקט מיגו שהיו ממושכנים אצלו מעיקרא או החזרתי לך או נאנסו או להד"ם כו')</w:t>
      </w:r>
      <w:r>
        <w:rPr>
          <w:rtl/>
        </w:rPr>
        <w:t>.</w:t>
      </w:r>
    </w:p>
  </w:footnote>
  <w:footnote w:id="4758">
    <w:p w14:paraId="3421490E" w14:textId="77777777" w:rsidR="0013116F" w:rsidRDefault="0013116F" w:rsidP="001D49D4">
      <w:pPr>
        <w:pStyle w:val="a9"/>
      </w:pPr>
      <w:r>
        <w:rPr>
          <w:rStyle w:val="ab"/>
        </w:rPr>
        <w:footnoteRef/>
      </w:r>
      <w:r>
        <w:rPr>
          <w:rtl/>
        </w:rPr>
        <w:t xml:space="preserve"> קאי אמ"ש אם יש עדים שתבעם ממנו כו', אז הוה תפיסה, וכתב דמיירי שיש עדים שהפקידם בידו, וגם ראו אותו עתה בידו. על זה כתב מור"ם דאע"ג שאין לו מיגו כלל, ר"ל לא מיגו דנאנסו ולא מיגו דבתורת משכון בא לידו, סמ"ע (סק"ד).</w:t>
      </w:r>
    </w:p>
  </w:footnote>
  <w:footnote w:id="4759">
    <w:p w14:paraId="7BFC6171" w14:textId="77777777" w:rsidR="0013116F" w:rsidRDefault="0013116F" w:rsidP="001D49D4">
      <w:pPr>
        <w:pStyle w:val="a9"/>
      </w:pPr>
      <w:r>
        <w:rPr>
          <w:rStyle w:val="ab"/>
        </w:rPr>
        <w:footnoteRef/>
      </w:r>
      <w:r>
        <w:rPr>
          <w:rtl/>
        </w:rPr>
        <w:t xml:space="preserve"> פירוש, וגם אינו יכול לומר לקוחין הן בידי שתאמר שיהא נאמן במיגו דלקוח, מ"מ אם כו'. והא דאינו נאמן לומר לקוח הוא בידי, הוא מכח תרתי. חדא, דכל היכא דאיכא עדים דבתורת פקדון בא לידו, וגם איכא עדים דראוהו עתה בידו, אינו נאמן לומר לקחתיו אח"כ ממנו, כמ"ש הטור והמחבר בסימן ע"ב [טור סעיף י"ג ומחבר סעיף י"ח] וקל"ג [טור סעיף ה' ומחבר סעיף ב']. ועוד, דבלאו ה"נ לכל הפוסקים זולת הרי"ף והרמב"ם [פט"ז ממלוה ה"ז], לא מהימנינן בשטרות לומר שלקחן עד שיהיה לו בידו שטר דכתוב בו קני לך כו', וכמ"ש הטור בסוף סימן ס"ב וס"ו [סעיף י"ב], ע"ש, סמ"ע (סק"ד).</w:t>
      </w:r>
    </w:p>
  </w:footnote>
  <w:footnote w:id="4760">
    <w:p w14:paraId="1C333792" w14:textId="77777777" w:rsidR="0013116F" w:rsidRDefault="0013116F" w:rsidP="001D49D4">
      <w:pPr>
        <w:pStyle w:val="a9"/>
      </w:pPr>
      <w:r>
        <w:rPr>
          <w:rStyle w:val="ab"/>
        </w:rPr>
        <w:footnoteRef/>
      </w:r>
      <w:r>
        <w:rPr>
          <w:rtl/>
        </w:rPr>
        <w:t xml:space="preserve"> דברי מור"ם תמוהין הן בזה, כי נ"ל פשוט דליכא פלוגתא בהא ושגם התוס' והרא"ש  והטור כולהו ס"ל דצריך להיות ידוע שחייב לו, דהא קי"ל דכל היכא דאיכא עדים שראו אותו עתה בידו אינו נאמן לטעון עליו עד כדי דמיו אלא היכא דאית ליה מיגו דאי בעי אמר לקוחין הן בידי, וכמבואר בתלמוד בכמה מקומות [ב"מ קטז., שבועות מו:], וכמ"ש הטור והמחבר בסימן ע"ב [טור סעיף י"ג ומחבר סעיף י"ח] וקל"ג [טור סעיף ה' ומחבר סעיף ב'] וזולתן, ולמה יהנה לזה הא דיש לו עדים שתבעו ממנו בחיים ולא רצה להחזירם, כיון דאילו באו שניהן לפנינו בכהאי גוונא היה צריך התופס להחזירו להנתפס ולא יגרע כח יתומיו, סמ"ע (סק"ה). וגם הש"ך (סק"ה) השיג על דברי הרמ"א והביא את דברי הסמ"ע הנ"ל, וכתב דכן השיג עליו הב"ח. וגם בעיר שושן השמיט הג"ה זו, ויפה כיון. וכ"כ הראב"ד וה"ר נתן בן ה"ר מאיר בספר התרומות שער נ"א סוף חלק ח' דמיירי בחוב ידוע. ונראה דאפילו האידנא לא מהני תפיסתו היכא דלית ליה מיגו ואין החוב ידוע לכו"ע</w:t>
      </w:r>
      <w:r>
        <w:rPr>
          <w:sz w:val="14"/>
          <w:szCs w:val="14"/>
          <w:rtl/>
        </w:rPr>
        <w:t xml:space="preserve"> (עכ"ל הש"ך)</w:t>
      </w:r>
      <w:r>
        <w:rPr>
          <w:rtl/>
        </w:rPr>
        <w:t>.</w:t>
      </w:r>
    </w:p>
  </w:footnote>
  <w:footnote w:id="4761">
    <w:p w14:paraId="73E797E7" w14:textId="77777777" w:rsidR="0013116F" w:rsidRDefault="0013116F" w:rsidP="001D49D4">
      <w:pPr>
        <w:pStyle w:val="a9"/>
      </w:pPr>
      <w:r>
        <w:rPr>
          <w:rStyle w:val="ab"/>
        </w:rPr>
        <w:footnoteRef/>
      </w:r>
      <w:r>
        <w:rPr>
          <w:rtl/>
        </w:rPr>
        <w:t xml:space="preserve"> ולי נראה דלא דק, דרש"י לא בא אלא לומר למה לי שיביא ראיה דתבעם ממנו בחיים ולא רצה להחזירם, הרי הן מופקדים בידו מחיים, לזה פירש דכיון דהיו פקדון בידו הרי הן כמונחים ברשותיה דמפקיד ולא הוי תפיסה כיון שלא תפס לשם חובו, עיין שם. אבל אה"נ מיירי בענין דלית ליה מיגו דלקוח וכמ"ש כל הפוסקים, כנ"ל ברור, ש"ך (סק"ג).</w:t>
      </w:r>
    </w:p>
  </w:footnote>
  <w:footnote w:id="4762">
    <w:p w14:paraId="16BB7E25" w14:textId="77777777" w:rsidR="0013116F" w:rsidRDefault="0013116F" w:rsidP="001D49D4">
      <w:pPr>
        <w:pStyle w:val="a9"/>
      </w:pPr>
      <w:r>
        <w:rPr>
          <w:rStyle w:val="ab"/>
        </w:rPr>
        <w:footnoteRef/>
      </w:r>
      <w:r>
        <w:rPr>
          <w:rtl/>
        </w:rPr>
        <w:t xml:space="preserve"> </w:t>
      </w:r>
      <w:r>
        <w:rPr>
          <w:rFonts w:hint="cs"/>
          <w:rtl/>
        </w:rPr>
        <w:t>סימן – כרטיסים כמוסים.</w:t>
      </w:r>
    </w:p>
  </w:footnote>
  <w:footnote w:id="4763">
    <w:p w14:paraId="31E3036B" w14:textId="77777777" w:rsidR="0013116F" w:rsidRDefault="0013116F" w:rsidP="001D49D4">
      <w:pPr>
        <w:pStyle w:val="a9"/>
      </w:pPr>
      <w:r>
        <w:rPr>
          <w:rStyle w:val="ab"/>
        </w:rPr>
        <w:footnoteRef/>
      </w:r>
      <w:r>
        <w:rPr>
          <w:rtl/>
        </w:rPr>
        <w:t xml:space="preserve"> אצלו, אם הלוה הפקידו אצלו או המלוה, או שמא מקצתו פרוע ומסרוהו לו להיות שליש ביניהם, ושכח, רש"י.</w:t>
      </w:r>
    </w:p>
  </w:footnote>
  <w:footnote w:id="4764">
    <w:p w14:paraId="6D06FFA1" w14:textId="77777777" w:rsidR="0013116F" w:rsidRDefault="0013116F" w:rsidP="001D49D4">
      <w:pPr>
        <w:pStyle w:val="a9"/>
      </w:pPr>
      <w:r>
        <w:rPr>
          <w:rStyle w:val="ab"/>
        </w:rPr>
        <w:footnoteRef/>
      </w:r>
      <w:r>
        <w:rPr>
          <w:rtl/>
        </w:rPr>
        <w:t xml:space="preserve"> בידו, ולא יחזיר לא לזה ולא לזה, רש"י.</w:t>
      </w:r>
    </w:p>
  </w:footnote>
  <w:footnote w:id="4765">
    <w:p w14:paraId="4089A293" w14:textId="77777777" w:rsidR="0013116F" w:rsidRDefault="0013116F" w:rsidP="001D49D4">
      <w:pPr>
        <w:pStyle w:val="a9"/>
        <w:rPr>
          <w:rtl/>
        </w:rPr>
      </w:pPr>
      <w:r>
        <w:rPr>
          <w:rStyle w:val="ab"/>
        </w:rPr>
        <w:footnoteRef/>
      </w:r>
      <w:r>
        <w:rPr>
          <w:rtl/>
        </w:rPr>
        <w:t xml:space="preserve"> ועיין לקמן בסימן זה (סט"ז - יז) החילוק בין יש בו קנין לאין בו קנין, דרכ"מ (אות א*). </w:t>
      </w:r>
    </w:p>
  </w:footnote>
  <w:footnote w:id="4766">
    <w:p w14:paraId="7B2EA835" w14:textId="77777777" w:rsidR="0013116F" w:rsidRDefault="0013116F" w:rsidP="001D49D4">
      <w:pPr>
        <w:pStyle w:val="a9"/>
        <w:rPr>
          <w:rtl/>
        </w:rPr>
      </w:pPr>
      <w:r>
        <w:rPr>
          <w:rStyle w:val="ab"/>
        </w:rPr>
        <w:footnoteRef/>
      </w:r>
      <w:r>
        <w:rPr>
          <w:rtl/>
        </w:rPr>
        <w:t xml:space="preserve"> וזה כפי שטתו (ב"מ יג. ד"ה בשטרי, יט: ד"ה הא) ושטת הרמב"ן (ב"מ יג. ד"ה הא דאוקמא) שכתבתי בפי"ח מהלכות גזילה (ה"ט) דבשטרי אקנייתא לא בעינן מטא שטרא לידיה, הה"מ.</w:t>
      </w:r>
    </w:p>
  </w:footnote>
  <w:footnote w:id="4767">
    <w:p w14:paraId="47F7EC0B" w14:textId="77777777" w:rsidR="0013116F" w:rsidRDefault="0013116F" w:rsidP="001D49D4">
      <w:pPr>
        <w:pStyle w:val="a9"/>
        <w:rPr>
          <w:rtl/>
        </w:rPr>
      </w:pPr>
      <w:r>
        <w:rPr>
          <w:rStyle w:val="ab"/>
        </w:rPr>
        <w:footnoteRef/>
      </w:r>
      <w:r>
        <w:rPr>
          <w:rtl/>
        </w:rPr>
        <w:t xml:space="preserve"> </w:t>
      </w:r>
      <w:r>
        <w:rPr>
          <w:rFonts w:hint="cs"/>
          <w:rtl/>
        </w:rPr>
        <w:t>ולדעה זו הסכים הרדב"ז (ח"ב סי' רכא). וכן נראה דעת כנה"ג (הגב"י סוף אות ב).</w:t>
      </w:r>
    </w:p>
  </w:footnote>
  <w:footnote w:id="4768">
    <w:p w14:paraId="0D274654" w14:textId="77777777" w:rsidR="0013116F" w:rsidRDefault="0013116F" w:rsidP="001D49D4">
      <w:pPr>
        <w:pStyle w:val="a9"/>
        <w:rPr>
          <w:rtl/>
        </w:rPr>
      </w:pPr>
      <w:r>
        <w:rPr>
          <w:rStyle w:val="ab"/>
        </w:rPr>
        <w:footnoteRef/>
      </w:r>
      <w:r>
        <w:rPr>
          <w:rtl/>
        </w:rPr>
        <w:t xml:space="preserve"> ונראה שיצא לו לרבינו</w:t>
      </w:r>
      <w:r>
        <w:rPr>
          <w:sz w:val="16"/>
          <w:szCs w:val="16"/>
          <w:rtl/>
        </w:rPr>
        <w:t xml:space="preserve"> {הרמב"ם}</w:t>
      </w:r>
      <w:r>
        <w:rPr>
          <w:rtl/>
        </w:rPr>
        <w:t xml:space="preserve"> מדאמרינן במתניתין </w:t>
      </w:r>
      <w:r>
        <w:rPr>
          <w:sz w:val="16"/>
          <w:szCs w:val="16"/>
          <w:rtl/>
        </w:rPr>
        <w:t xml:space="preserve">(ב"מ כ.) </w:t>
      </w:r>
      <w:r>
        <w:rPr>
          <w:rtl/>
        </w:rPr>
        <w:t xml:space="preserve">ובכל דוכתא לא יחזיר דמשמע דוקא לכתחילה ולא יאמר הרי זה פסול, ואינו מוכרח. והרשב"א </w:t>
      </w:r>
      <w:r>
        <w:rPr>
          <w:sz w:val="16"/>
          <w:szCs w:val="16"/>
          <w:rtl/>
        </w:rPr>
        <w:t xml:space="preserve">(ב"מ יב: ד"ה א"ה) </w:t>
      </w:r>
      <w:r>
        <w:rPr>
          <w:rtl/>
        </w:rPr>
        <w:t>הקשה עליו ותירץ הקושיא ולא הכריע, הה"מ. והביא הה"מ גם את השגת הראב"ד.</w:t>
      </w:r>
    </w:p>
  </w:footnote>
  <w:footnote w:id="4769">
    <w:p w14:paraId="36C1C04F" w14:textId="77777777" w:rsidR="0013116F" w:rsidRDefault="0013116F" w:rsidP="001D49D4">
      <w:pPr>
        <w:pStyle w:val="a9"/>
      </w:pPr>
      <w:r>
        <w:rPr>
          <w:rStyle w:val="ab"/>
        </w:rPr>
        <w:footnoteRef/>
      </w:r>
      <w:r>
        <w:rPr>
          <w:rtl/>
        </w:rPr>
        <w:t xml:space="preserve"> </w:t>
      </w:r>
      <w:r>
        <w:rPr>
          <w:rFonts w:hint="cs"/>
          <w:rtl/>
        </w:rPr>
        <w:t>וז"ל-</w:t>
      </w:r>
      <w:r>
        <w:rPr>
          <w:rtl/>
        </w:rPr>
        <w:t xml:space="preserve"> אפילו אם החזירו אינו מוחזר ושלא כדעת הרמב"ם (הל' גזילה ואבידה פי"ח הי"ד) ויש לנו בזה ראיה מכרעת.</w:t>
      </w:r>
    </w:p>
  </w:footnote>
  <w:footnote w:id="4770">
    <w:p w14:paraId="41FB6E97" w14:textId="77777777" w:rsidR="0013116F" w:rsidRDefault="0013116F" w:rsidP="001D49D4">
      <w:pPr>
        <w:pStyle w:val="a9"/>
      </w:pPr>
      <w:r>
        <w:rPr>
          <w:rStyle w:val="ab"/>
        </w:rPr>
        <w:footnoteRef/>
      </w:r>
      <w:r>
        <w:rPr>
          <w:rtl/>
        </w:rPr>
        <w:t xml:space="preserve"> היינו שהוא בטל ואין גובין בו, טור (סע' יט). וכתב נמוק"י פ"ק דמציעא (ו. ד"ה מתני' מצא, הביאו הב"י) שהרנב"ר (ב"מ יג: ד"ה ולענין פסק) הסכים לדברי הראב"ד.</w:t>
      </w:r>
    </w:p>
  </w:footnote>
  <w:footnote w:id="4771">
    <w:p w14:paraId="65CE732A" w14:textId="77777777" w:rsidR="0013116F" w:rsidRDefault="0013116F" w:rsidP="001D49D4">
      <w:pPr>
        <w:pStyle w:val="a9"/>
        <w:rPr>
          <w:rtl/>
        </w:rPr>
      </w:pPr>
      <w:r>
        <w:rPr>
          <w:rStyle w:val="ab"/>
        </w:rPr>
        <w:footnoteRef/>
      </w:r>
      <w:r>
        <w:rPr>
          <w:rtl/>
        </w:rPr>
        <w:t xml:space="preserve"> ועוד דאפוקי ממונא הוא ולדברי האומרים שלא להוציא שומעין, ב"י (בבדה"ב). וכן הסכים הדרכ"מ (ארוך אות ג, קצר אות ה*). וכ"פ הב"ח.</w:t>
      </w:r>
    </w:p>
  </w:footnote>
  <w:footnote w:id="4772">
    <w:p w14:paraId="3C250A12" w14:textId="77777777" w:rsidR="0013116F" w:rsidRDefault="0013116F" w:rsidP="001D49D4">
      <w:pPr>
        <w:pStyle w:val="a9"/>
        <w:rPr>
          <w:rtl/>
        </w:rPr>
      </w:pPr>
      <w:r>
        <w:rPr>
          <w:rStyle w:val="ab"/>
        </w:rPr>
        <w:footnoteRef/>
      </w:r>
      <w:r>
        <w:rPr>
          <w:rtl/>
        </w:rPr>
        <w:t xml:space="preserve"> בין שטר הלואה וממכר ומתנה ושאר שטרות כיוצא בהן, ש"ך (סק"א).</w:t>
      </w:r>
    </w:p>
  </w:footnote>
  <w:footnote w:id="4773">
    <w:p w14:paraId="74001905" w14:textId="77777777" w:rsidR="0013116F" w:rsidRDefault="0013116F" w:rsidP="001D49D4">
      <w:pPr>
        <w:pStyle w:val="a9"/>
        <w:rPr>
          <w:rtl/>
        </w:rPr>
      </w:pPr>
      <w:r>
        <w:rPr>
          <w:rStyle w:val="ab"/>
        </w:rPr>
        <w:footnoteRef/>
      </w:r>
      <w:r>
        <w:rPr>
          <w:rtl/>
        </w:rPr>
        <w:t xml:space="preserve"> כלשון הזה כתב נמי הטור [סע' ג] בשם הרא"ש [כלל קה סי' ח]. ומדכתב "היה יכול לגבות בו" משמע שאינו מילתא דפסיקא שיבוא לגבות בו, דהיינו טעמא, משום דאינו יכול לגבות בו עד שישבע שבועה חמורה כעין דאורייתא נגד זה שאמר שכבר היה בידו </w:t>
      </w:r>
      <w:r>
        <w:rPr>
          <w:sz w:val="16"/>
          <w:szCs w:val="16"/>
          <w:rtl/>
        </w:rPr>
        <w:t>(דכל שליש אף שיצאה שלישותו מידו הוה כעד אחד</w:t>
      </w:r>
      <w:r>
        <w:rPr>
          <w:sz w:val="12"/>
          <w:szCs w:val="12"/>
          <w:rtl/>
        </w:rPr>
        <w:t xml:space="preserve"> (כמ"ש בסי' נו סע' ג)</w:t>
      </w:r>
      <w:r>
        <w:rPr>
          <w:sz w:val="16"/>
          <w:szCs w:val="16"/>
          <w:rtl/>
        </w:rPr>
        <w:t>. אבל אינו נשבע שבועה דאו' ממש, דכל הנשבעין שבתורה הן נשבעין ונפטרין וזה נשבע ונוטל, וכמ"ש בסימן פ"ט [סע' א] וק"ח [סע' יד]. וגם אין זה בכלל מ"ש דאין נשבעין אלא היסת על השטרות, וכמ"ש הטור (סע' א וי"ג) והמחבר (סע' א) למן סי' צ"ה, דהא אין זה נשבע נגד השטר אלא נגד העד האומר שמסר לו השטר)</w:t>
      </w:r>
      <w:r>
        <w:rPr>
          <w:rtl/>
        </w:rPr>
        <w:t xml:space="preserve">, סמ"ע </w:t>
      </w:r>
      <w:r>
        <w:rPr>
          <w:sz w:val="16"/>
          <w:szCs w:val="16"/>
          <w:rtl/>
        </w:rPr>
        <w:t>(סק"א)</w:t>
      </w:r>
      <w:r>
        <w:rPr>
          <w:rtl/>
        </w:rPr>
        <w:t xml:space="preserve">. אך הש"ך </w:t>
      </w:r>
      <w:r>
        <w:rPr>
          <w:sz w:val="16"/>
          <w:szCs w:val="16"/>
          <w:rtl/>
        </w:rPr>
        <w:t xml:space="preserve">(סק"ג) </w:t>
      </w:r>
      <w:r>
        <w:rPr>
          <w:rtl/>
        </w:rPr>
        <w:t xml:space="preserve">כתב דלא נתכונו הטור והמחבר לזה, דא"כ סוף סוף מיהא גבי, אלא ודאי כונתו במ"ש היה יכול לגבות בו, דאף שמודה שנתנו לו ומחזירו לשליש, עבר השליש על דברי חכמים כיון שהיה יכול לגבות בו ודילמא היה מכחישו </w:t>
      </w:r>
      <w:r>
        <w:rPr>
          <w:sz w:val="16"/>
          <w:szCs w:val="16"/>
          <w:rtl/>
        </w:rPr>
        <w:t>(וע"ע בש"ך שם שחלק עוד על הסמ"ע במה שהצריך שבועה חמורה להכחיש העד)</w:t>
      </w:r>
      <w:r>
        <w:rPr>
          <w:rtl/>
        </w:rPr>
        <w:t>.</w:t>
      </w:r>
    </w:p>
  </w:footnote>
  <w:footnote w:id="4774">
    <w:p w14:paraId="42CCD5C5" w14:textId="77777777" w:rsidR="0013116F" w:rsidRDefault="0013116F" w:rsidP="001D49D4">
      <w:pPr>
        <w:pStyle w:val="a9"/>
        <w:rPr>
          <w:rtl/>
        </w:rPr>
      </w:pPr>
      <w:r>
        <w:rPr>
          <w:rStyle w:val="ab"/>
        </w:rPr>
        <w:footnoteRef/>
      </w:r>
      <w:r>
        <w:rPr>
          <w:rtl/>
        </w:rPr>
        <w:t xml:space="preserve"> דין זה כתב הטור </w:t>
      </w:r>
      <w:r>
        <w:rPr>
          <w:sz w:val="16"/>
          <w:szCs w:val="16"/>
          <w:rtl/>
        </w:rPr>
        <w:t xml:space="preserve">(סע' ג) </w:t>
      </w:r>
      <w:r>
        <w:rPr>
          <w:rtl/>
        </w:rPr>
        <w:t xml:space="preserve">בשם תשו' הרא"ש. וחיפשתי בכל תשובות הרא"ש ולא מצאתיו, וגם הוא תמוה בעיני, דמה בכך שהוא טוען שנתנו לו, הרי הוא אומר ששלו היה, ולמה לא יהא נאמן במיגו שהיה מכחישו </w:t>
      </w:r>
      <w:r>
        <w:rPr>
          <w:sz w:val="16"/>
          <w:szCs w:val="16"/>
          <w:rtl/>
        </w:rPr>
        <w:t>(ולא מיבעיא לדעת בעל התרומות בשם הרמב"ן שהבאתי בס"ק הקודם, דכיון דהתם לא איתרע שטרא, כ"ש הכא, אלא אפילו לדעת התוס' והר"ן שהבאתי יש לחלק, וכמו שכתבתי בסמוך. ואפילו אם תאמר שאין לחלק, מ"מ קשה על הטור והר"ב שכתבו לעיל סי' נ"ח [טור סע' ג והר"ב סע' ב] כדברי בעל התרומות בשם הרמב"ן בסתם, וכאן כתבו דאם הוא מודה שנתנו לידו צריך להחזירו לו, ואמאי, הא כי היכי דהתם מודה לדברי העד שפרע לו אלא שטוען סיטראי לא איתרע שטרא, הכי נמי הכא שמודה לו שנתנו לידו אלא שטוען שהוא שלו לא איתרע שטרא, וצ"ע)</w:t>
      </w:r>
      <w:r>
        <w:rPr>
          <w:rtl/>
        </w:rPr>
        <w:t xml:space="preserve">. ונראה דהטור והמחבר מיירי שהמלוה עצמו אינו טוען ברי שהלוה חייב לו, שהוא ג"כ מסופק שמא פרע, לכך אם מכחיש דברי אותו שנתנו היה יכול לגבות בו אם היה הלוה ג"כ מסופק, וכדלקמן סי' פב סע' ב, ואם הוא מודה שנתנו לידו אלא שרוצה לזכות בו, כיון שגם הלוה הוא מסופק, צריך להחזירו לו כיון שהיה מתחילה ביד אחר, והשתא לא שייך מיגו </w:t>
      </w:r>
      <w:r>
        <w:rPr>
          <w:sz w:val="16"/>
          <w:szCs w:val="16"/>
          <w:rtl/>
        </w:rPr>
        <w:t>(ובזה א"ש מ"ש הטור והמחבר, לא יפה עשה שעבר על דברי חכמים, דהכי הוה ליה למימר, שלא כדין עשה, שיוציא מן הלוה שלא כדין. ואתי נמי שפיר לישנא דהיה יכול לגבות בו שנדחק בו הסמ"ע [סק"א], וכמו שכתבתי לעיל סק"ג, וה"ק, היה יכול לגבות בו אם יסתפק הלוה ג"כ, לאפוקי אם היה טוען הלוה ברי היה השטר בטל וכדלעיל סי' נ"ט. ואתי נמי שפיר מה שהקשו השארית יוסף [בביאורו לטור סע' יט] והסמ"ע סק"ב והב"ח [סע' יט] על הטור והמחבר, דלקמן סע' ט"ז כתבו פלוגתא וכאן כתבו בסתם צריך להחזיר לו, ונכנסו בדוחקים ובחילוקים אשר לא שערום הראשונים וכמו שכתבתי לקמן סקמ"ו. ולפי מה שכתבתי ניחא הכל</w:t>
      </w:r>
      <w:r>
        <w:rPr>
          <w:rtl/>
        </w:rPr>
        <w:t>, ש"ך</w:t>
      </w:r>
      <w:r>
        <w:rPr>
          <w:sz w:val="16"/>
          <w:szCs w:val="16"/>
          <w:rtl/>
        </w:rPr>
        <w:t xml:space="preserve"> (סק"ד)</w:t>
      </w:r>
      <w:r>
        <w:rPr>
          <w:rtl/>
        </w:rPr>
        <w:t>.</w:t>
      </w:r>
    </w:p>
  </w:footnote>
  <w:footnote w:id="4775">
    <w:p w14:paraId="4731B145" w14:textId="77777777" w:rsidR="0013116F" w:rsidRDefault="0013116F" w:rsidP="001D49D4">
      <w:pPr>
        <w:pStyle w:val="a9"/>
        <w:rPr>
          <w:rtl/>
        </w:rPr>
      </w:pPr>
      <w:r>
        <w:rPr>
          <w:rStyle w:val="ab"/>
        </w:rPr>
        <w:footnoteRef/>
      </w:r>
      <w:r>
        <w:rPr>
          <w:rtl/>
        </w:rPr>
        <w:t xml:space="preserve"> </w:t>
      </w:r>
      <w:r>
        <w:rPr>
          <w:rFonts w:hint="cs"/>
          <w:rtl/>
        </w:rPr>
        <w:t>עיין בסמ"ע (סק"ב, ובדרישה סע' ג ביתר ביאור) דכאן מיירי</w:t>
      </w:r>
      <w:r>
        <w:rPr>
          <w:rtl/>
        </w:rPr>
        <w:t xml:space="preserve"> כשהיה ביד שליש דיכול להחזירו לידו כמו שהיה, משא"כ בסע' ט"ז דמיירי כשהיה נפול ואחר מצאו, דלא האמינו לאותו אחר לחזור ליתנו לידו וכ"ש לחזור וליתנו על הקרקע שמצאו שם.</w:t>
      </w:r>
    </w:p>
  </w:footnote>
  <w:footnote w:id="4776">
    <w:p w14:paraId="586A8193" w14:textId="77777777" w:rsidR="0013116F" w:rsidRDefault="0013116F" w:rsidP="001D49D4">
      <w:pPr>
        <w:pStyle w:val="a9"/>
      </w:pPr>
      <w:r>
        <w:rPr>
          <w:rStyle w:val="ab"/>
        </w:rPr>
        <w:footnoteRef/>
      </w:r>
      <w:r>
        <w:rPr>
          <w:rtl/>
        </w:rPr>
        <w:t xml:space="preserve"> פירוש, ואם טוען האב שהלוה חייב לו גובה בו, דאל"כ קשה, הא גם בנמצא תחת ידי עצמו ואינו יודע אם פרוע הוא או לאו והלוה טוען שפרע לו, כבר נתבאר לעיל [בטור] סימן נ"ט דבכה"ג צריך המלוה להחזיר ללוה שטרו אף על פי שהוא מקוים, דה"ל לידע בשטרו אם הוא פרוע, סמ"ע (סק"ה).</w:t>
      </w:r>
    </w:p>
  </w:footnote>
  <w:footnote w:id="4777">
    <w:p w14:paraId="08F9D89F" w14:textId="77777777" w:rsidR="0013116F" w:rsidRDefault="0013116F" w:rsidP="001D49D4">
      <w:pPr>
        <w:pStyle w:val="a9"/>
        <w:rPr>
          <w:rtl/>
        </w:rPr>
      </w:pPr>
      <w:r>
        <w:rPr>
          <w:rStyle w:val="ab"/>
        </w:rPr>
        <w:footnoteRef/>
      </w:r>
      <w:r>
        <w:rPr>
          <w:rtl/>
        </w:rPr>
        <w:t xml:space="preserve"> וכן אם הנפקד הלך למדינת הים, בעל התרומות </w:t>
      </w:r>
      <w:r>
        <w:rPr>
          <w:sz w:val="16"/>
          <w:szCs w:val="16"/>
          <w:rtl/>
        </w:rPr>
        <w:t>(שער נב ח"ג סי' יב)</w:t>
      </w:r>
      <w:r>
        <w:rPr>
          <w:rtl/>
        </w:rPr>
        <w:t>.</w:t>
      </w:r>
    </w:p>
  </w:footnote>
  <w:footnote w:id="4778">
    <w:p w14:paraId="73F7F4AB" w14:textId="77777777" w:rsidR="0013116F" w:rsidRDefault="0013116F" w:rsidP="001D49D4">
      <w:pPr>
        <w:pStyle w:val="a9"/>
      </w:pPr>
      <w:r>
        <w:rPr>
          <w:rStyle w:val="ab"/>
        </w:rPr>
        <w:footnoteRef/>
      </w:r>
      <w:r>
        <w:rPr>
          <w:rtl/>
        </w:rPr>
        <w:t xml:space="preserve"> כן משמע ספ"ק דמציעא </w:t>
      </w:r>
      <w:r>
        <w:rPr>
          <w:sz w:val="16"/>
          <w:szCs w:val="16"/>
          <w:rtl/>
        </w:rPr>
        <w:t xml:space="preserve">(כ:, </w:t>
      </w:r>
      <w:r>
        <w:rPr>
          <w:color w:val="FF0000"/>
          <w:sz w:val="16"/>
          <w:szCs w:val="16"/>
          <w:rtl/>
        </w:rPr>
        <w:t>צל"ע לא הבנתי מהיכא משמע כן</w:t>
      </w:r>
      <w:r>
        <w:rPr>
          <w:sz w:val="16"/>
          <w:szCs w:val="16"/>
          <w:rtl/>
        </w:rPr>
        <w:t>)</w:t>
      </w:r>
      <w:r>
        <w:rPr>
          <w:rtl/>
        </w:rPr>
        <w:t>, וכיוצ"ב נראה מדברי בעל התרומות</w:t>
      </w:r>
      <w:r>
        <w:rPr>
          <w:sz w:val="16"/>
          <w:szCs w:val="16"/>
          <w:rtl/>
        </w:rPr>
        <w:t xml:space="preserve"> (שער נב ח"ג סי' יב)</w:t>
      </w:r>
      <w:r>
        <w:rPr>
          <w:rtl/>
        </w:rPr>
        <w:t>, ב"י.</w:t>
      </w:r>
    </w:p>
  </w:footnote>
  <w:footnote w:id="4779">
    <w:p w14:paraId="0A724B12" w14:textId="77777777" w:rsidR="0013116F" w:rsidRDefault="0013116F" w:rsidP="001D49D4">
      <w:pPr>
        <w:pStyle w:val="a9"/>
        <w:rPr>
          <w:rtl/>
        </w:rPr>
      </w:pPr>
      <w:r>
        <w:rPr>
          <w:rStyle w:val="ab"/>
        </w:rPr>
        <w:footnoteRef/>
      </w:r>
      <w:r>
        <w:rPr>
          <w:rtl/>
        </w:rPr>
        <w:t xml:space="preserve"> קמ"ל בזה דלא תימא דוקא כשהנפקד חי דאיכא ריעותא לפנינו כשאינו יודע שהמלוה הנזכר בשטר הפקידו בידו, משא"כ ביורשיו דלא ה"ל למידע והוה אמינא דיחזירו למלוה, קמ"ל. וצ"ע דבסי' רמ"ג סע' י"ג פסק המחבר גבי שטר מתנה שנמצא אצל יורשי הנפקד דיחזירו ליורשי הנותן </w:t>
      </w:r>
      <w:r>
        <w:rPr>
          <w:sz w:val="16"/>
          <w:szCs w:val="16"/>
          <w:rtl/>
        </w:rPr>
        <w:t>(ודוחק לחלק דשאני הכא דאינו ידוע מיד מי בא לידו, משא"כ התם דידוע שהנותן נתנו לידו אלא שאינו יודע באיזה אופן נתנו לידו)</w:t>
      </w:r>
      <w:r>
        <w:rPr>
          <w:rtl/>
        </w:rPr>
        <w:t xml:space="preserve">. ואפשר לחלק, דשאני מתנה די"ל דעדיין לא זכה בהמתנה ולא הגיע השטר לידו, דמיירי שם בשטר מתנה שאין בו קנין, מש"ה יחזירו ליורשי נותן </w:t>
      </w:r>
      <w:r>
        <w:rPr>
          <w:sz w:val="16"/>
          <w:szCs w:val="16"/>
          <w:rtl/>
        </w:rPr>
        <w:t>(אבל כשהוא בקנין מחזירין להמקבל כמ"ש מור"ם בס"ס ר"ן סע' כ"ה)</w:t>
      </w:r>
      <w:r>
        <w:rPr>
          <w:rtl/>
        </w:rPr>
        <w:t xml:space="preserve">, משא"כ בהלואה, כיון דיש שטר כשר לפנינו מורה שהלוה לו אלא דחיישינן שמא פרע לו הלוה </w:t>
      </w:r>
      <w:r>
        <w:rPr>
          <w:sz w:val="16"/>
          <w:szCs w:val="16"/>
          <w:rtl/>
        </w:rPr>
        <w:t>(כמ"ש המחבר בר"ס זה)</w:t>
      </w:r>
      <w:r>
        <w:rPr>
          <w:rtl/>
        </w:rPr>
        <w:t>, מש"ה לא יחזירו לשום אחד מהן, סמ"ע</w:t>
      </w:r>
      <w:r>
        <w:rPr>
          <w:sz w:val="16"/>
          <w:szCs w:val="16"/>
          <w:rtl/>
        </w:rPr>
        <w:t xml:space="preserve"> (סק"ו)</w:t>
      </w:r>
      <w:r>
        <w:rPr>
          <w:rtl/>
        </w:rPr>
        <w:t xml:space="preserve">. אך הש"ך </w:t>
      </w:r>
      <w:r>
        <w:rPr>
          <w:sz w:val="16"/>
          <w:szCs w:val="16"/>
          <w:rtl/>
        </w:rPr>
        <w:t xml:space="preserve">(סק"ו) </w:t>
      </w:r>
      <w:r>
        <w:rPr>
          <w:rtl/>
        </w:rPr>
        <w:t xml:space="preserve">כתב דתירוץ זה אינו, דבהדיא מוכח בש"ס פ"ק דמציעא </w:t>
      </w:r>
      <w:r>
        <w:rPr>
          <w:sz w:val="16"/>
          <w:szCs w:val="16"/>
          <w:rtl/>
        </w:rPr>
        <w:t xml:space="preserve">[יג., יט.] </w:t>
      </w:r>
      <w:r>
        <w:rPr>
          <w:rtl/>
        </w:rPr>
        <w:t xml:space="preserve">דאפילו שטר מתנה שאין בו קנין שנמצא, לא יחזיר לא לזה ולא לזה, וכ"כ הרמב"ם והה"מ </w:t>
      </w:r>
      <w:r>
        <w:rPr>
          <w:sz w:val="16"/>
          <w:szCs w:val="16"/>
          <w:rtl/>
        </w:rPr>
        <w:t>(פי"ח מהל' גזילה ה"ט)</w:t>
      </w:r>
      <w:r>
        <w:rPr>
          <w:rtl/>
        </w:rPr>
        <w:t xml:space="preserve">, ופשיטא דנמצא ביד אביהן דמי לנמצא בשוק. וגם ממה שכתבו הטור </w:t>
      </w:r>
      <w:r>
        <w:rPr>
          <w:sz w:val="16"/>
          <w:szCs w:val="16"/>
          <w:rtl/>
        </w:rPr>
        <w:t xml:space="preserve">[סע' ד] </w:t>
      </w:r>
      <w:r>
        <w:rPr>
          <w:rtl/>
        </w:rPr>
        <w:t xml:space="preserve">והמחבר כאן לא יחזירו שום שטר כו', משמע אפילו שטר מתנה, וכן הוא בהדיא בתוספתא דריש מציעא </w:t>
      </w:r>
      <w:r>
        <w:rPr>
          <w:sz w:val="16"/>
          <w:szCs w:val="16"/>
          <w:rtl/>
        </w:rPr>
        <w:t xml:space="preserve">(ה"ה-ו) </w:t>
      </w:r>
      <w:r>
        <w:rPr>
          <w:rtl/>
        </w:rPr>
        <w:t xml:space="preserve">דייתיקאות ופותיקאות ומתנות בזמן שהנותן מודה יחזיר למקבל, ואם לאו לא יחזיר לא לזה ולא לזה כו', בין שמצאן בשוק ובין שמצאן בין שטרותיו של אביו, ע"כ. אלא העיקר דלקמן סי' רמ"ג מיירי דידוע שהנותן נתנו לידו, וכמו שכתבתי שם </w:t>
      </w:r>
      <w:r>
        <w:rPr>
          <w:sz w:val="16"/>
          <w:szCs w:val="16"/>
          <w:rtl/>
        </w:rPr>
        <w:t>[סק"ד]</w:t>
      </w:r>
      <w:r>
        <w:rPr>
          <w:rtl/>
        </w:rPr>
        <w:t>. ואע"פ שהסמ"ע כ' שדוחק לחלק בכך, ליתא, דאינו דוחק כלל, והרי להדיא ס"ל להרא"ש דכשידוע שהוא מיד הנותן מחזירין לו וכמ"ש לקמן סע' ה.</w:t>
      </w:r>
    </w:p>
  </w:footnote>
  <w:footnote w:id="4780">
    <w:p w14:paraId="5DB6AA42" w14:textId="77777777" w:rsidR="0013116F" w:rsidRDefault="0013116F" w:rsidP="001D49D4">
      <w:pPr>
        <w:pStyle w:val="a9"/>
        <w:rPr>
          <w:rtl/>
        </w:rPr>
      </w:pPr>
      <w:r>
        <w:rPr>
          <w:rStyle w:val="ab"/>
        </w:rPr>
        <w:footnoteRef/>
      </w:r>
      <w:r>
        <w:rPr>
          <w:rtl/>
        </w:rPr>
        <w:t xml:space="preserve"> </w:t>
      </w:r>
      <w:r>
        <w:rPr>
          <w:rFonts w:hint="cs"/>
          <w:rtl/>
        </w:rPr>
        <w:t>הוא הרשב"א (שם), ועיין בש"ך (סק"ז) שפסק שלא כמותו.</w:t>
      </w:r>
    </w:p>
  </w:footnote>
  <w:footnote w:id="4781">
    <w:p w14:paraId="43AE9312" w14:textId="77777777" w:rsidR="0013116F" w:rsidRDefault="0013116F" w:rsidP="001D49D4">
      <w:pPr>
        <w:pStyle w:val="a9"/>
      </w:pPr>
      <w:r>
        <w:rPr>
          <w:rStyle w:val="ab"/>
        </w:rPr>
        <w:footnoteRef/>
      </w:r>
      <w:r>
        <w:rPr>
          <w:rtl/>
        </w:rPr>
        <w:t xml:space="preserve"> נראה דהאי ליד אחר לאו דוקא קאמר, אלא ר"ל כל זמן שלא נשמע מפיו דהאחר ספיקתו, אף אם כבר בא לידו והמלוה לקחו מידו לא נולד הספק ביד אחר, ולא אמר אלא לאפוקי אם כבר אמר אותו האחר השטר מצאתי ואיני יודע מה טיבו, שוב אינו מועיל לקיחתו של מלוה הנ"ל. ואף ששם בתשובת רשב"א סי' אלף ל"ה כתב כמ"ש המחבר כאן, מ"מ אין טעם לדבר, סמ"ע (סק"ז). והביא הש"ך (סק"ח) את דבריו וכתב שהב"ח [סעיף ז'] השיג עליו.</w:t>
      </w:r>
    </w:p>
  </w:footnote>
  <w:footnote w:id="4782">
    <w:p w14:paraId="1B4D055D" w14:textId="77777777" w:rsidR="0013116F" w:rsidRDefault="0013116F" w:rsidP="001D49D4">
      <w:pPr>
        <w:pStyle w:val="a9"/>
      </w:pPr>
      <w:r>
        <w:rPr>
          <w:rStyle w:val="ab"/>
        </w:rPr>
        <w:footnoteRef/>
      </w:r>
      <w:r>
        <w:rPr>
          <w:rtl/>
        </w:rPr>
        <w:t xml:space="preserve"> </w:t>
      </w:r>
      <w:r>
        <w:rPr>
          <w:rFonts w:hint="cs"/>
          <w:rtl/>
        </w:rPr>
        <w:t>תוספת הסמ"ע (סק"ח).</w:t>
      </w:r>
    </w:p>
  </w:footnote>
  <w:footnote w:id="4783">
    <w:p w14:paraId="74D382DE" w14:textId="77777777" w:rsidR="0013116F" w:rsidRDefault="0013116F" w:rsidP="001D49D4">
      <w:pPr>
        <w:pStyle w:val="a9"/>
        <w:rPr>
          <w:rtl/>
        </w:rPr>
      </w:pPr>
      <w:r>
        <w:rPr>
          <w:rStyle w:val="ab"/>
        </w:rPr>
        <w:footnoteRef/>
      </w:r>
      <w:r>
        <w:rPr>
          <w:rtl/>
        </w:rPr>
        <w:t xml:space="preserve"> היינו טעמא, משום דאין כתובה עומדת להפרע עד אחר מות בעלה. וסיים שם בריטב"א- והיא הנותנת שאין היורש נאמן לומר האשה מכרה לי הכתובה בכתיבה ומסירה </w:t>
      </w:r>
      <w:r>
        <w:rPr>
          <w:sz w:val="16"/>
          <w:szCs w:val="16"/>
          <w:rtl/>
        </w:rPr>
        <w:t>(אפילו לדעת הרי"ף והרמב"ם [עיין לקמן סימן ס"ו])</w:t>
      </w:r>
      <w:r>
        <w:rPr>
          <w:rtl/>
        </w:rPr>
        <w:t xml:space="preserve"> או באגב או משכנה אצלי, עכ"ל. והא דכתב הרא"ש </w:t>
      </w:r>
      <w:r>
        <w:rPr>
          <w:sz w:val="16"/>
          <w:szCs w:val="16"/>
          <w:rtl/>
        </w:rPr>
        <w:t>(והביאו המחבר בסמוך בסע' ה)</w:t>
      </w:r>
      <w:r>
        <w:rPr>
          <w:rtl/>
        </w:rPr>
        <w:t xml:space="preserve"> דשטר נדונייתה הנמצא הוא כשט"ח. נ"ל דדוקא קאמר נדונייתה שהיא נתנה לו בשעת שכנסה שהוא עומד להפרע טפי, משא"כ כתובה דאסור לו לפרוע לה בחייו ולשהות עם אשתו בלא כתובה והיא קלה בעיניו להוציאה, וכמ"ש באה"ע סימן ק', סמ"ע (סק"ט). אך הש"ך (סק"ט) כתב דהסמ"ע לא דק ובחנם דחק, דפשיטא דמדינא אף בכתובה חיישינן לפרעון כשנמצא ביד אחר לאחר שנתארמלה, וכדאיתא להדיא בש"ס פ"ק דמציעא [ז:] ופוסקים, וכן בריטב"א גופיה שם, וכמו שכתבתי סע' י"ב סקל"ב. אלא הכא היינו מצד המנהג כמה שכתוב בריטב"א שהביא ב"י (סע' ז) מנהג הוא בגלילותינו שהיורש מחזיר לאשה שחזקה שהיא הצניעה כו', וכ"כ בעיר שושן [סעיף ב'] שכן דרך הנשים להפקיד כתובתן כו', והר"ב קיצר בדבר. ולפי זה היכא דאין מנהג ברור, חיישינן לפרעון.</w:t>
      </w:r>
    </w:p>
  </w:footnote>
  <w:footnote w:id="4784">
    <w:p w14:paraId="715086CA" w14:textId="77777777" w:rsidR="0013116F" w:rsidRDefault="0013116F" w:rsidP="001D49D4">
      <w:pPr>
        <w:pStyle w:val="a9"/>
      </w:pPr>
      <w:r>
        <w:rPr>
          <w:rStyle w:val="ab"/>
        </w:rPr>
        <w:footnoteRef/>
      </w:r>
      <w:r>
        <w:rPr>
          <w:rtl/>
        </w:rPr>
        <w:t xml:space="preserve"> אפילו יש בו קנין, בעל התרומות.</w:t>
      </w:r>
    </w:p>
  </w:footnote>
  <w:footnote w:id="4785">
    <w:p w14:paraId="394FF53C" w14:textId="77777777" w:rsidR="0013116F" w:rsidRDefault="0013116F" w:rsidP="001D49D4">
      <w:pPr>
        <w:pStyle w:val="a9"/>
      </w:pPr>
      <w:r>
        <w:rPr>
          <w:rStyle w:val="ab"/>
        </w:rPr>
        <w:footnoteRef/>
      </w:r>
      <w:r>
        <w:rPr>
          <w:rtl/>
        </w:rPr>
        <w:t xml:space="preserve"> היינו כשהמלוה מודה ללוה, ש"ך (סק"י).</w:t>
      </w:r>
    </w:p>
  </w:footnote>
  <w:footnote w:id="4786">
    <w:p w14:paraId="4B7FD065" w14:textId="77777777" w:rsidR="0013116F" w:rsidRDefault="0013116F" w:rsidP="001D49D4">
      <w:pPr>
        <w:pStyle w:val="a9"/>
      </w:pPr>
      <w:r>
        <w:rPr>
          <w:rStyle w:val="ab"/>
        </w:rPr>
        <w:footnoteRef/>
      </w:r>
      <w:r>
        <w:rPr>
          <w:rtl/>
        </w:rPr>
        <w:t xml:space="preserve"> פירוש, שכבר פרעו הלוה, ומה שאומר להחזירו למלוה, כדי שיבוא להפקיע מיד הלקוחות שלקחו מהלוה אחר זמן הלואה דשטר חוב זה, סמ"ע (סק"ו).</w:t>
      </w:r>
    </w:p>
  </w:footnote>
  <w:footnote w:id="4787">
    <w:p w14:paraId="016A851E" w14:textId="77777777" w:rsidR="0013116F" w:rsidRDefault="0013116F" w:rsidP="001D49D4">
      <w:pPr>
        <w:pStyle w:val="a9"/>
      </w:pPr>
      <w:r>
        <w:rPr>
          <w:rStyle w:val="ab"/>
        </w:rPr>
        <w:footnoteRef/>
      </w:r>
      <w:r>
        <w:rPr>
          <w:rtl/>
        </w:rPr>
        <w:t xml:space="preserve"> כן הוא ג"כ לשון הרא"ש [שם], והטור [שם] הביאו. וכתב עליו ז"ל, פירוש, אם יתפשרו ביניהן שיאמין האחד לחבירו בשבועה... עכ"ל... ולפי"ז לא ה"ל להמחבר שכתב דעת הרא"ש לקצר בדבריו, אלא לפרשו דעכ"פ שבועה מיהא צריך, סמ"ע (סקי"ב). אך הש"ך (סקי"א) חלק עליו וכתב דיפה כיון המחבר, והוא, דדעת הרא"ש דאם שניהם רוצים, אפילו בלא שבועה יחזירו למלוה, וכן פירש הב"ח [סעיף ו'] דברי הטור והשיג על הסמ"ע בזה ע"ש, וכן עיקר בדעת הרא"ש. וכן משמע בתשובת הרא"ש (כלל קה סי' ח) שכתב דכל שהמלוה אומר שהלוה ישבע היסת והלוה שותק או שאומר שאינו רוצה לישבע, יחזירו השטר למלוה אפילו בלא שבועה, רק כשאומר הלוה למלוה אשתבע לי, אז צריך לישבע או שיתפשרו מי ישבע כדי שלא יהא השטר שלהם מונח, אבל כששניהם מודים זה לזה יעשו כמאמרם אפילו בלא שבועה לדעת הרא"ש.</w:t>
      </w:r>
    </w:p>
  </w:footnote>
  <w:footnote w:id="4788">
    <w:p w14:paraId="6E817BE1" w14:textId="77777777" w:rsidR="0013116F" w:rsidRDefault="0013116F" w:rsidP="001D49D4">
      <w:pPr>
        <w:pStyle w:val="a9"/>
      </w:pPr>
      <w:r>
        <w:rPr>
          <w:rStyle w:val="ab"/>
        </w:rPr>
        <w:footnoteRef/>
      </w:r>
      <w:r>
        <w:rPr>
          <w:rtl/>
        </w:rPr>
        <w:t xml:space="preserve"> פירוש, כתיבה דקני לך איהו וכל שיעבודיה דאית ביה, סמ"ע (סקי"ג).</w:t>
      </w:r>
    </w:p>
  </w:footnote>
  <w:footnote w:id="4789">
    <w:p w14:paraId="787A587A" w14:textId="77777777" w:rsidR="0013116F" w:rsidRDefault="0013116F" w:rsidP="001D49D4">
      <w:pPr>
        <w:pStyle w:val="a9"/>
      </w:pPr>
      <w:r>
        <w:rPr>
          <w:rStyle w:val="ab"/>
        </w:rPr>
        <w:footnoteRef/>
      </w:r>
      <w:r>
        <w:rPr>
          <w:rtl/>
        </w:rPr>
        <w:t xml:space="preserve"> עיין בתשו' הרא"ש </w:t>
      </w:r>
      <w:r>
        <w:rPr>
          <w:sz w:val="16"/>
          <w:szCs w:val="16"/>
          <w:rtl/>
        </w:rPr>
        <w:t xml:space="preserve">[שם] </w:t>
      </w:r>
      <w:r>
        <w:rPr>
          <w:rtl/>
        </w:rPr>
        <w:t xml:space="preserve">דמייתי ראיה מעובדא דר' מיישא </w:t>
      </w:r>
      <w:r>
        <w:rPr>
          <w:sz w:val="16"/>
          <w:szCs w:val="16"/>
          <w:rtl/>
        </w:rPr>
        <w:t xml:space="preserve">[כתובות פה:] </w:t>
      </w:r>
      <w:r>
        <w:rPr>
          <w:rtl/>
        </w:rPr>
        <w:t xml:space="preserve">ומנאנסו </w:t>
      </w:r>
      <w:r>
        <w:rPr>
          <w:sz w:val="16"/>
          <w:szCs w:val="16"/>
          <w:rtl/>
        </w:rPr>
        <w:t xml:space="preserve">[ב"ב ע:] </w:t>
      </w:r>
      <w:r>
        <w:rPr>
          <w:rtl/>
        </w:rPr>
        <w:t xml:space="preserve">דמילתא דלא שכיחא לא טענינן ליתמי. ולפ"ז להפוסקים החולקים שם </w:t>
      </w:r>
      <w:r>
        <w:rPr>
          <w:sz w:val="16"/>
          <w:szCs w:val="16"/>
          <w:rtl/>
        </w:rPr>
        <w:t>(וכמש"כ לקמן סי' קח סע' ד [סק"ח] ובסי' רצז וסי' שסא [סק"ד])</w:t>
      </w:r>
      <w:r>
        <w:rPr>
          <w:rtl/>
        </w:rPr>
        <w:t>, הוא הדין הכא טענינן להו, וצ"ע, ש"ך</w:t>
      </w:r>
      <w:r>
        <w:rPr>
          <w:sz w:val="16"/>
          <w:szCs w:val="16"/>
          <w:rtl/>
        </w:rPr>
        <w:t xml:space="preserve"> (סקי"ד)</w:t>
      </w:r>
      <w:r>
        <w:rPr>
          <w:rtl/>
        </w:rPr>
        <w:t>.</w:t>
      </w:r>
    </w:p>
  </w:footnote>
  <w:footnote w:id="4790">
    <w:p w14:paraId="08A141BA" w14:textId="77777777" w:rsidR="0013116F" w:rsidRDefault="0013116F" w:rsidP="001D49D4">
      <w:pPr>
        <w:pStyle w:val="a9"/>
      </w:pPr>
      <w:r>
        <w:rPr>
          <w:rStyle w:val="ab"/>
        </w:rPr>
        <w:footnoteRef/>
      </w:r>
      <w:r>
        <w:rPr>
          <w:rtl/>
        </w:rPr>
        <w:t xml:space="preserve"> וכן אמרינן [לקמן סע' ט] מצא בחפיסה או בדלוסקמא יחזיר, שכיון שנותן סימן בכלי שהשטר בתוכו יחזיר לו גם השטר, וכן פירות בכלי [לקמן סי' רסב סע' יט] מחזיר הפירות אגב סימני הכלי. ומ"מ אין ראית הרא"ש (שם) מוכרחת, דהתם לא ידענו שהיה ביד אחר ואמרינן כיון שזהו ודאי שלו, א"כ גם זה שקשור בו הוא שלו ומהיכי תיתי נימא שבא ליד אחר, משא"כ הכא שהכל הוא בידי שליש, מאן לימא לן שהשליש לא קשרם יחד, דילמא ראובן שמת קשר כל הענינים המושלשים אצלו יחד, וצ"ע, ש"ך (סקט"ו).</w:t>
      </w:r>
    </w:p>
  </w:footnote>
  <w:footnote w:id="4791">
    <w:p w14:paraId="2D63245C" w14:textId="77777777" w:rsidR="0013116F" w:rsidRDefault="0013116F" w:rsidP="001D49D4">
      <w:pPr>
        <w:pStyle w:val="a9"/>
        <w:rPr>
          <w:rtl/>
        </w:rPr>
      </w:pPr>
      <w:r>
        <w:rPr>
          <w:rStyle w:val="ab"/>
        </w:rPr>
        <w:footnoteRef/>
      </w:r>
      <w:r>
        <w:rPr>
          <w:rtl/>
        </w:rPr>
        <w:t xml:space="preserve"> פירוש, עדיין לא זיכתה המתנה לבעלה. והיינו דוקא כשהוא בשטר מתנה בקנין צריך שיהיו קשורים יחד, אבל אם הוא בלא קנין יתבאר לקמן בסי' רמ"ג סעיף י"ג, דאף בנמצא שטר מתנה לחוד מחזירין לנותן, וכ"כ בהדיא מור"ם האי חילוק בסימן ר"ן סעיף כ"ה ע"ש, סמ"ע (סקט"ז). אך הש"ך (סקט"ז) כתב דזה אינו, דהא לא הוזכר שיש בו קנין, וגם בש"ס מוכח להדיא דאף שטר מתנה שאין בו קנין אין מחזירין לנותן וכמו שכתבתי סק"ו, אלא בסימן רמ"ג מיירי שהוא ידוע שהנותן הפקידו אצלו וכמו שכתבתי שם [סק"ד]. ומה שכתב וכ"כ בהדיא מור"ם האי חילוק כו'. ליתא, וכמ"ש בס"ס ר"ן [סקכ"ב] ע"ש. גם מ"ש בשטר של קנין לחלק בין קשורים. ליתא, אלא בשטר שיש בו קנין אפילו ידוע שבא מהנותן מחזירין להמקבל, דמשעת קנין שיעבד נפשיה וכמ"ש הרא"ש בתשובה כלל (ס"ז) ס"ו סי' ג' ע"ש, וכן משמע לקמן סוף סימן ר"ן ע"ש, ועיין מה שכתבתי בסימן נ"ו סעיף ה' סקכ"ז.</w:t>
      </w:r>
    </w:p>
  </w:footnote>
  <w:footnote w:id="4792">
    <w:p w14:paraId="4F76A235" w14:textId="77777777" w:rsidR="0013116F" w:rsidRDefault="0013116F" w:rsidP="001D49D4">
      <w:pPr>
        <w:pStyle w:val="a9"/>
      </w:pPr>
      <w:r>
        <w:rPr>
          <w:rStyle w:val="ab"/>
        </w:rPr>
        <w:footnoteRef/>
      </w:r>
      <w:r>
        <w:rPr>
          <w:rtl/>
        </w:rPr>
        <w:t xml:space="preserve"> </w:t>
      </w:r>
      <w:r>
        <w:rPr>
          <w:rFonts w:hint="cs"/>
          <w:rtl/>
        </w:rPr>
        <w:t>סימן – ירחונים בדורים.</w:t>
      </w:r>
    </w:p>
  </w:footnote>
  <w:footnote w:id="4793">
    <w:p w14:paraId="15399B5B" w14:textId="77777777" w:rsidR="0013116F" w:rsidRDefault="0013116F" w:rsidP="001D49D4">
      <w:pPr>
        <w:pStyle w:val="a9"/>
      </w:pPr>
      <w:r>
        <w:rPr>
          <w:rStyle w:val="ab"/>
        </w:rPr>
        <w:footnoteRef/>
      </w:r>
      <w:r>
        <w:rPr>
          <w:rtl/>
        </w:rPr>
        <w:t xml:space="preserve"> זה פשוט דתו ליכא למיחש לקנוניא וכ"כ הרמב"ם בסוף הלכות גזילה (פי"ח ה"א), ב"י.</w:t>
      </w:r>
    </w:p>
  </w:footnote>
  <w:footnote w:id="4794">
    <w:p w14:paraId="5E09AC34" w14:textId="77777777" w:rsidR="0013116F" w:rsidRDefault="0013116F" w:rsidP="001D49D4">
      <w:pPr>
        <w:pStyle w:val="a9"/>
        <w:rPr>
          <w:rtl/>
        </w:rPr>
      </w:pPr>
      <w:r>
        <w:rPr>
          <w:rStyle w:val="ab"/>
        </w:rPr>
        <w:footnoteRef/>
      </w:r>
      <w:r>
        <w:rPr>
          <w:rtl/>
        </w:rPr>
        <w:t xml:space="preserve"> כלומר שאין הלוה מודה אלא אומר שפרעו ומידו נפל ונותן בו סימן אפילו הכי אין מחזירין לידו, ב"י.</w:t>
      </w:r>
    </w:p>
  </w:footnote>
  <w:footnote w:id="4795">
    <w:p w14:paraId="34201EEF" w14:textId="77777777" w:rsidR="0013116F" w:rsidRDefault="0013116F" w:rsidP="001D49D4">
      <w:pPr>
        <w:pStyle w:val="a9"/>
        <w:rPr>
          <w:rtl/>
        </w:rPr>
      </w:pPr>
      <w:r>
        <w:rPr>
          <w:rStyle w:val="ab"/>
        </w:rPr>
        <w:footnoteRef/>
      </w:r>
      <w:r>
        <w:rPr>
          <w:rtl/>
        </w:rPr>
        <w:t xml:space="preserve"> אין לשונו מכוון, דהא בשטרי דלאו אקנייתא אין כותבין ללוה בלא מלוה כדלעיל סימן ל"ט סעיף י"ג, ומסתמא מיירי הכא אפילו בשטרי דלאו אקנייתא. אלא עיקר טעמא הוא שהשטר הוא מתחילה ביד לוה גם כן, ש"ך (סקכ"א).</w:t>
      </w:r>
    </w:p>
  </w:footnote>
  <w:footnote w:id="4796">
    <w:p w14:paraId="4F4F7AB5" w14:textId="77777777" w:rsidR="0013116F" w:rsidRDefault="0013116F" w:rsidP="001D49D4">
      <w:pPr>
        <w:pStyle w:val="a9"/>
      </w:pPr>
      <w:r>
        <w:rPr>
          <w:rStyle w:val="ab"/>
        </w:rPr>
        <w:footnoteRef/>
      </w:r>
      <w:r>
        <w:rPr>
          <w:rtl/>
        </w:rPr>
        <w:t xml:space="preserve"> </w:t>
      </w:r>
      <w:r>
        <w:rPr>
          <w:rFonts w:hint="cs"/>
          <w:rtl/>
        </w:rPr>
        <w:t>סימן - ירחון זרוק יום זה יזף.</w:t>
      </w:r>
    </w:p>
  </w:footnote>
  <w:footnote w:id="4797">
    <w:p w14:paraId="37236153" w14:textId="77777777" w:rsidR="0013116F" w:rsidRDefault="0013116F" w:rsidP="001D49D4">
      <w:pPr>
        <w:pStyle w:val="a9"/>
        <w:rPr>
          <w:rtl/>
        </w:rPr>
      </w:pPr>
      <w:r>
        <w:rPr>
          <w:rStyle w:val="ab"/>
        </w:rPr>
        <w:footnoteRef/>
      </w:r>
      <w:r>
        <w:rPr>
          <w:rtl/>
        </w:rPr>
        <w:t xml:space="preserve"> </w:t>
      </w:r>
      <w:r>
        <w:rPr>
          <w:rFonts w:hint="cs"/>
          <w:rtl/>
        </w:rPr>
        <w:t>ונתבאר בהמשך הגמ' דלא חוזר וגובה בו ביומיה.</w:t>
      </w:r>
    </w:p>
  </w:footnote>
  <w:footnote w:id="4798">
    <w:p w14:paraId="63597262" w14:textId="77777777" w:rsidR="0013116F" w:rsidRDefault="0013116F" w:rsidP="001D49D4">
      <w:pPr>
        <w:pStyle w:val="a9"/>
        <w:rPr>
          <w:rtl/>
        </w:rPr>
      </w:pPr>
      <w:r>
        <w:rPr>
          <w:rStyle w:val="ab"/>
        </w:rPr>
        <w:footnoteRef/>
      </w:r>
      <w:r>
        <w:rPr>
          <w:rtl/>
        </w:rPr>
        <w:t xml:space="preserve"> שנמחל שעבודו, רש"י.</w:t>
      </w:r>
    </w:p>
  </w:footnote>
  <w:footnote w:id="4799">
    <w:p w14:paraId="79861382" w14:textId="77777777" w:rsidR="0013116F" w:rsidRDefault="0013116F" w:rsidP="001D49D4">
      <w:pPr>
        <w:pStyle w:val="a9"/>
        <w:rPr>
          <w:rtl/>
        </w:rPr>
      </w:pPr>
      <w:r>
        <w:rPr>
          <w:rStyle w:val="ab"/>
        </w:rPr>
        <w:footnoteRef/>
      </w:r>
      <w:r>
        <w:rPr>
          <w:rtl/>
        </w:rPr>
        <w:t xml:space="preserve"> למטרף לקוחות, משום דשטרי חוב המוקדמין פסולין, דכיון דהאי דאוקמא הכי לית ליה עדיו בחתומיו זכין לו - אף זה מן המוקדמין, רש"י.</w:t>
      </w:r>
    </w:p>
  </w:footnote>
  <w:footnote w:id="4800">
    <w:p w14:paraId="27A7505F" w14:textId="77777777" w:rsidR="0013116F" w:rsidRDefault="0013116F" w:rsidP="001D49D4">
      <w:pPr>
        <w:pStyle w:val="a9"/>
        <w:rPr>
          <w:rtl/>
        </w:rPr>
      </w:pPr>
      <w:r>
        <w:rPr>
          <w:rStyle w:val="ab"/>
        </w:rPr>
        <w:footnoteRef/>
      </w:r>
      <w:r>
        <w:rPr>
          <w:rtl/>
        </w:rPr>
        <w:t xml:space="preserve"> וכתב הה"מ שתמה עליהם הרשב"א (ב"מ יז. ד"ה רב כהנא) דכיון דחייב מודה, כתוב בו הנפק למה לי, דאם משום קנוניא, ליכא, דאי בעי כתיב ליה שטר אחר מהשתא, דלאו בירושלם יתבינן דכתבי שעות, אלא לרב כהנא ודאי לא צריך שיהא כתוב בו הנפק, ולדבריו ליתא בדרב אסי אמר רבי יוחנן הנפק כלל עכ"ל, ורבינו יונתן כתב בפירוש ההלכות- ורבי יוחנן לא סבירא ליה עדיו בחתומיו זכין לו ומשום הכי בעי שיהא כתוב בו הנפק, וגם זה צ"ע. עכ"ל הה"מ.</w:t>
      </w:r>
    </w:p>
  </w:footnote>
  <w:footnote w:id="4801">
    <w:p w14:paraId="58C326F3" w14:textId="77777777" w:rsidR="0013116F" w:rsidRDefault="0013116F" w:rsidP="001D49D4">
      <w:pPr>
        <w:pStyle w:val="a9"/>
        <w:rPr>
          <w:rtl/>
        </w:rPr>
      </w:pPr>
      <w:r>
        <w:rPr>
          <w:rStyle w:val="ab"/>
        </w:rPr>
        <w:footnoteRef/>
      </w:r>
      <w:r>
        <w:rPr>
          <w:rtl/>
        </w:rPr>
        <w:t xml:space="preserve"> ז"ל הב"י- הרא"ש כתב 'והני מילי בשחייב מודה' ולא כתב בדרבי יוחנן שכתוב בו הנפק, ואחריו נמשך רבינו ז"ל. עכ"ל הב"י. </w:t>
      </w:r>
      <w:r>
        <w:rPr>
          <w:color w:val="FF0000"/>
          <w:rtl/>
        </w:rPr>
        <w:t>וצ"ע שהרי הרא"ש כתב רק את דברי רבי אסי בשם רבי יוחנן והזכיר שם דבעינן גם הנפק. וכן העיר הפלפולא חריפתא (שם אות ח) וכתב שאולי הייתה נוסחא אחרת לפני הב"י</w:t>
      </w:r>
      <w:r>
        <w:rPr>
          <w:rtl/>
        </w:rPr>
        <w:t>.</w:t>
      </w:r>
    </w:p>
  </w:footnote>
  <w:footnote w:id="4802">
    <w:p w14:paraId="51BA1B55" w14:textId="77777777" w:rsidR="0013116F" w:rsidRDefault="0013116F" w:rsidP="001D49D4">
      <w:pPr>
        <w:pStyle w:val="a9"/>
      </w:pPr>
      <w:r>
        <w:rPr>
          <w:rStyle w:val="ab"/>
        </w:rPr>
        <w:footnoteRef/>
      </w:r>
      <w:r>
        <w:rPr>
          <w:rtl/>
        </w:rPr>
        <w:t xml:space="preserve"> אע"פ דחזקה שאין אדם פורע תוך זמנו כמ"ש בסימן ע"ח [סעיף א']. מ"מ כיון דאיכא ריעותא דנפילה אמרינן שמא אירע דפרע ומשום הכי לא נזהר בשמירתו, סמ"ע (סקי"ז).</w:t>
      </w:r>
    </w:p>
  </w:footnote>
  <w:footnote w:id="4803">
    <w:p w14:paraId="6BB76AA9" w14:textId="77777777" w:rsidR="0013116F" w:rsidRDefault="0013116F" w:rsidP="001D49D4">
      <w:pPr>
        <w:pStyle w:val="a9"/>
        <w:rPr>
          <w:rtl/>
        </w:rPr>
      </w:pPr>
      <w:r>
        <w:rPr>
          <w:rStyle w:val="ab"/>
        </w:rPr>
        <w:footnoteRef/>
      </w:r>
      <w:r>
        <w:rPr>
          <w:rtl/>
        </w:rPr>
        <w:t xml:space="preserve"> ונתבטל השטר, ולקנוניא, ולא שייך כאן לומר עדיו בחתומיו זכין לו, ש"ך (סקי"ט).</w:t>
      </w:r>
    </w:p>
  </w:footnote>
  <w:footnote w:id="4804">
    <w:p w14:paraId="7683CCFA" w14:textId="77777777" w:rsidR="0013116F" w:rsidRDefault="0013116F" w:rsidP="001D49D4">
      <w:pPr>
        <w:pStyle w:val="a9"/>
      </w:pPr>
      <w:r>
        <w:rPr>
          <w:rStyle w:val="ab"/>
        </w:rPr>
        <w:footnoteRef/>
      </w:r>
      <w:r>
        <w:rPr>
          <w:rtl/>
        </w:rPr>
        <w:t xml:space="preserve"> כלומר שאין הלוה מודה אלא שאומר שפרעו ומידו נפל ונותן בו סימן, אפ"ה אין מחזירין לידו, כ"כ ב"י [סעיף ח']. והוא הדין כשהמלוה נותן סימן זה לא מהני לענין לגבות מהלוה עצמו, אבל סימן אחר מובהק מהני. ולענין לגבות ממשעבדי לא מהני סימן כלל היכא דאיכא למיחש שהלוה הגיד לו הסימן, או שהלוה יודע ג"כ הסימן ועושה עצמו כלא יודע, דהא אפילו שניהם מודים חיישינן לקנוניא, ש"ך (סק"כ).</w:t>
      </w:r>
    </w:p>
  </w:footnote>
  <w:footnote w:id="4805">
    <w:p w14:paraId="395B8F21" w14:textId="77777777" w:rsidR="0013116F" w:rsidRDefault="0013116F" w:rsidP="001D49D4">
      <w:pPr>
        <w:pStyle w:val="a9"/>
        <w:rPr>
          <w:rtl/>
        </w:rPr>
      </w:pPr>
      <w:r>
        <w:rPr>
          <w:rStyle w:val="ab"/>
        </w:rPr>
        <w:footnoteRef/>
      </w:r>
      <w:r>
        <w:rPr>
          <w:rtl/>
        </w:rPr>
        <w:t xml:space="preserve"> בסמ"ע (סקי"ט) פירש, דכיון דיש שטר כשר בידו לא חיישינן שמא לוה מאחרים אחר זמנו של שטר זה, דלא חיישינן אלא היכא דאיכא ודאי פסידא דלקוחות. וכה"ג כתב הב"ח (סע' ח) דלא חיישינן לבעלי חובות או ללקוחות אחרים שאין ידועים לנו, דאינהו דאפסידו אנפשייהו שלא חקרו לדעת לבעל חוב המוקדם. ודבריהם תמוהין, דכולהו סוגיא דש"ס פ"ק דמציעא ושאר דוכתי וכן בכל הפוסקים משמע להדיא דחיישינן לבע"ח וללקוחות אע"פ שאין ידועים לנו, וה"נ אמרינן גבי שטר מכר ומתנה לקמן סעיף י"ד. אלא ודאי לא שייך בכה"ג לומר אינהו דאפסידו אנפשייהו, דיכול להיות שחקרו ונתברר להם האמת ששטר זה אינו כלום. ועוד, דמ"מ תיקשי דילמא חייב לאחרים שלוה מהן קודם זמנו של שטר זה, והם יגבו מקרקעות אילו שביד הלוה, וזה יגבה השטר זה מהלקוחות שידועים לנו שלא כדין. אלא פשיטא דכל היכא דאיכא למיחש חיישינן, וכ"כ מהרש"ל להדיא [בחידושיו לטור] ומביאו הב"ח [שם]... אלא נראה אם יש ללוה בני חורין כו', ר"ל שידוע בבירור שהם בני חורין ואינם מכורין או משועבדין וגם אינו חייב עוד לשום אדם כלל, דאי לאו הכי לא נקראו בני חורין, ומשכחת לה כגון שהכריז אם חייב עוד לאחרים או מכר קרקע זו, או שיש תיקון בעיר שכל שטר שאינו נכתב בפנקס הסופר אינו כלום וכה"ג טובי, וזה ברור, ש"ך (סקכ"ב).</w:t>
      </w:r>
    </w:p>
  </w:footnote>
  <w:footnote w:id="4806">
    <w:p w14:paraId="088EA5A8" w14:textId="77777777" w:rsidR="0013116F" w:rsidRDefault="0013116F" w:rsidP="001D49D4">
      <w:pPr>
        <w:pStyle w:val="a9"/>
      </w:pPr>
      <w:r>
        <w:rPr>
          <w:rStyle w:val="ab"/>
        </w:rPr>
        <w:footnoteRef/>
      </w:r>
      <w:r>
        <w:rPr>
          <w:rtl/>
        </w:rPr>
        <w:t xml:space="preserve"> פירוש, דאז ליכא למיחש לקנוניא, דהא אי בעי הוה כתב לו הלוה שטר מחדש. ואף שי"ל שכבר נפרע שטר זה ורוצה הלוה לחזור וללות ממנו בו וחושש למה שיצטרך ליתן להסופר שכירתו משטר חדש. זה אינו, דהמלוה אינו מסכים עמו לעשות כן, כיון דלית ליה רווחא בזה בהקדמת הזמן, חושש שמא נתוודע או יוודע שהשטר זה פרוע ונמחל שעבודו ויבואו לפוסלו אחר שילוה עליו שנית, סמ"ע (סק"כ).</w:t>
      </w:r>
    </w:p>
  </w:footnote>
  <w:footnote w:id="4807">
    <w:p w14:paraId="6375C824" w14:textId="77777777" w:rsidR="0013116F" w:rsidRDefault="0013116F" w:rsidP="001D49D4">
      <w:pPr>
        <w:pStyle w:val="a9"/>
      </w:pPr>
      <w:r>
        <w:rPr>
          <w:rStyle w:val="ab"/>
        </w:rPr>
        <w:footnoteRef/>
      </w:r>
      <w:r>
        <w:rPr>
          <w:rtl/>
        </w:rPr>
        <w:t xml:space="preserve"> כ"כ הרי"ף והרמב"ם. והמ"מ תמה עליהן למה הצריכו להנפק, מאחר שנכתב בו ביום והחייב מודה ליכא למיחש לפרעון ולקנוניא כמ"ש [סק"כ]. ועיין דרישה (סע' ח) שכתבתי ישוב לזה, דס"ל דאיכא למיחש כיון דאתיליד ריעותא בנפילה, דילמא אין ביד המלוה מעות ולא ילוהו עד זמן מה ויעשה קנוניא עם הלוה בשביל הקדמת הזמן מהיום, והלוה יעשהו בשביל פשיטי דספרא, אבל כשהוא מקוים דהיינו הנפק ליכא למיחש להכי. ולמאן דאמר עדיו בחתומיו זכין לו אין צריך הנפק, ולכן לא כתבו הטור, סמ"ע (סקכ"א). וכתב הש"ך (סקכ"ג) דמש"כ הסמ"ע בזה לא מחוור... והמעיין בש"ס יראה דהעיקר כהרשב"א והה"מ, וכן דעת התוס' (יז. ד"ה רב כהנא)</w:t>
      </w:r>
      <w:r>
        <w:rPr>
          <w:sz w:val="16"/>
          <w:szCs w:val="16"/>
          <w:rtl/>
        </w:rPr>
        <w:t xml:space="preserve"> {דלרב כהנא לא בעינן הנפק, אבל לא פסקו שם אם הלכה כרבי אסי או כרב כהנא}</w:t>
      </w:r>
      <w:r>
        <w:rPr>
          <w:rtl/>
        </w:rPr>
        <w:t>, וכן השיג בעל המאור [שם י. מדפה"ר] על הרי"ף וכתב דלרב כהנא לא בעינן הנפק, והרמב"ן בספר המלחמות לא השיב עליו בזה, ע"ש. ואפשר גם דעת הטור כן, ועיין ב"ח [סע' ח]. וכן מסקנת רי"ו (נ"כ ח"ב) בשם רוב הפוסקים, וכן נראה דעת הרב בדרכ"מ [שם] שכתב- וכן הוא סברת התוס' אע"ג דאין בו הנפק ודלא כרי"ף ורמב"ם כו', ע"ש.</w:t>
      </w:r>
    </w:p>
  </w:footnote>
  <w:footnote w:id="4808">
    <w:p w14:paraId="388BEA11" w14:textId="77777777" w:rsidR="0013116F" w:rsidRDefault="0013116F" w:rsidP="001D49D4">
      <w:pPr>
        <w:pStyle w:val="a9"/>
      </w:pPr>
      <w:r>
        <w:rPr>
          <w:rStyle w:val="ab"/>
        </w:rPr>
        <w:footnoteRef/>
      </w:r>
      <w:r>
        <w:rPr>
          <w:rtl/>
        </w:rPr>
        <w:t xml:space="preserve"> הלשון מגומגם, דהא לסברא קמייתא ג"כ ס"ל כן והוסיף עוד עליה דבעינן דוקא שיהא החייב מודה, ואיפכא הל"ל, ויש מי שאומר דדוקא כשאיתא קמן ואומר פרעתיו אין מחזירין, אבל בסתמא לא חיישינן לפרעתי. וצ"ל שהמחבר נקט לשון תשו' הרא"ש </w:t>
      </w:r>
      <w:r>
        <w:rPr>
          <w:sz w:val="16"/>
          <w:szCs w:val="16"/>
          <w:rtl/>
        </w:rPr>
        <w:t>(שם)</w:t>
      </w:r>
      <w:r>
        <w:rPr>
          <w:rtl/>
        </w:rPr>
        <w:t xml:space="preserve">, והוא שפיר כתב שם כן לפי ענינו. אלא שצ"ע דהרא"ש בעצמו </w:t>
      </w:r>
      <w:r>
        <w:rPr>
          <w:sz w:val="16"/>
          <w:szCs w:val="16"/>
          <w:rtl/>
        </w:rPr>
        <w:t xml:space="preserve">[ב"מ פ"א סי' מג] </w:t>
      </w:r>
      <w:r>
        <w:rPr>
          <w:rtl/>
        </w:rPr>
        <w:t xml:space="preserve">ס"ל כאוקימתא דרב כהנא </w:t>
      </w:r>
      <w:r>
        <w:rPr>
          <w:sz w:val="16"/>
          <w:szCs w:val="16"/>
          <w:rtl/>
        </w:rPr>
        <w:t xml:space="preserve">[שם יז.] </w:t>
      </w:r>
      <w:r>
        <w:rPr>
          <w:rtl/>
        </w:rPr>
        <w:t xml:space="preserve">דבעינן דוקא שיהא החייב מודה, ועיין דרישה בסע' כ"א מה שכתבתי בישוב זה, סמ"ע </w:t>
      </w:r>
      <w:r>
        <w:rPr>
          <w:sz w:val="16"/>
          <w:szCs w:val="16"/>
          <w:rtl/>
        </w:rPr>
        <w:t>(סקכ"ג)</w:t>
      </w:r>
      <w:r>
        <w:rPr>
          <w:rtl/>
        </w:rPr>
        <w:t xml:space="preserve">. וגם הב"ח </w:t>
      </w:r>
      <w:r>
        <w:rPr>
          <w:sz w:val="16"/>
          <w:szCs w:val="16"/>
          <w:rtl/>
        </w:rPr>
        <w:t xml:space="preserve">(סע' כ) </w:t>
      </w:r>
      <w:r>
        <w:rPr>
          <w:rtl/>
        </w:rPr>
        <w:t xml:space="preserve">והש"ך </w:t>
      </w:r>
      <w:r>
        <w:rPr>
          <w:sz w:val="16"/>
          <w:szCs w:val="16"/>
          <w:rtl/>
        </w:rPr>
        <w:t xml:space="preserve">(סקכ"ד) </w:t>
      </w:r>
      <w:r>
        <w:rPr>
          <w:rtl/>
        </w:rPr>
        <w:t>השיגו על המחבר בזה.</w:t>
      </w:r>
    </w:p>
  </w:footnote>
  <w:footnote w:id="4809">
    <w:p w14:paraId="6A9F519C" w14:textId="77777777" w:rsidR="0013116F" w:rsidRDefault="0013116F" w:rsidP="001D49D4">
      <w:pPr>
        <w:pStyle w:val="a9"/>
      </w:pPr>
      <w:r>
        <w:rPr>
          <w:rStyle w:val="ab"/>
        </w:rPr>
        <w:footnoteRef/>
      </w:r>
      <w:r>
        <w:rPr>
          <w:rtl/>
        </w:rPr>
        <w:t xml:space="preserve"> </w:t>
      </w:r>
      <w:r>
        <w:rPr>
          <w:rFonts w:hint="cs"/>
          <w:rtl/>
        </w:rPr>
        <w:t>סימן - כרטיסים כמוסים.</w:t>
      </w:r>
    </w:p>
  </w:footnote>
  <w:footnote w:id="4810">
    <w:p w14:paraId="7D0AB9CA" w14:textId="77777777" w:rsidR="0013116F" w:rsidRDefault="0013116F" w:rsidP="001D49D4">
      <w:pPr>
        <w:pStyle w:val="a9"/>
        <w:rPr>
          <w:rtl/>
        </w:rPr>
      </w:pPr>
      <w:r>
        <w:rPr>
          <w:rStyle w:val="ab"/>
        </w:rPr>
        <w:footnoteRef/>
      </w:r>
      <w:r>
        <w:rPr>
          <w:rtl/>
        </w:rPr>
        <w:t xml:space="preserve"> פירוש, וגם אותן שטרות נכתבו על שם מלוה זה הנזכר בשטר זה השלם הנמצא ביניהן, וקמ"ל דלא אמרינן כיון שנמצא בשוק וגם בין שטרות הקרועים ודאי גם זה פרוע ולהחזירו להלוה, אלא יהא מונח ביד ב"ד כאילו נמצא זה השטר לבדו בשוק. ומה שמסיק וכתב ואם יש עמהן שובר כו' יחזיר להלוה, דין זה הוא אפילו לא נמצא בשוק, אלא אפילו נמצא השט"ח בבית המלוה בין הקרועים ויש עמהם שובר, לא יחזירנו למלוה כמ"ש הטור והמחבר בסימן זה [טור סע' כ"ה ומחבר] סע' י"ח, ע"ש, סמ"ע (סקכ"ד).</w:t>
      </w:r>
    </w:p>
  </w:footnote>
  <w:footnote w:id="4811">
    <w:p w14:paraId="1F867EB5" w14:textId="77777777" w:rsidR="0013116F" w:rsidRDefault="0013116F" w:rsidP="001D49D4">
      <w:pPr>
        <w:pStyle w:val="a9"/>
      </w:pPr>
      <w:r>
        <w:rPr>
          <w:rStyle w:val="ab"/>
        </w:rPr>
        <w:footnoteRef/>
      </w:r>
      <w:r>
        <w:rPr>
          <w:rtl/>
        </w:rPr>
        <w:t xml:space="preserve"> אבל אם מצא שטר שיש בו ריבית יקרענו המוצאו או הב"ד אם בא לפניהן, כ"כ הגה"מ בתשובות בספר משפטים סי' נ"ט. ד"מ סימן נ"ב [סעיף א'], סמ"ע (סקכ"ה).</w:t>
      </w:r>
    </w:p>
  </w:footnote>
  <w:footnote w:id="4812">
    <w:p w14:paraId="05B7B734" w14:textId="77777777" w:rsidR="0013116F" w:rsidRDefault="0013116F" w:rsidP="001D49D4">
      <w:pPr>
        <w:pStyle w:val="a9"/>
        <w:rPr>
          <w:rtl/>
        </w:rPr>
      </w:pPr>
      <w:r>
        <w:rPr>
          <w:rStyle w:val="ab"/>
        </w:rPr>
        <w:footnoteRef/>
      </w:r>
      <w:r>
        <w:rPr>
          <w:rtl/>
        </w:rPr>
        <w:t xml:space="preserve"> ואפילו גם אין עליו חתימת יד המלוה וגם אינו כתיבת ידו, אעפ"כ כיון שנמצא בין השטרות הקרועין וגם נמצא שובר כל דהו עליו, אמרינן שפרוע הוא, ועיין לקמן סעיף י"ח, סמ"ע (סקכ"ו). ואפילו בא מיד המלוה - סמפון היוצא מתחת ידי מלוה כשר, והוא שנמצא השטר בין שטרות קרועים, ע"פ ש"ך (סקכ"ה).</w:t>
      </w:r>
    </w:p>
  </w:footnote>
  <w:footnote w:id="4813">
    <w:p w14:paraId="73FC0A5F" w14:textId="77777777" w:rsidR="0013116F" w:rsidRDefault="0013116F" w:rsidP="001D49D4">
      <w:pPr>
        <w:pStyle w:val="a9"/>
      </w:pPr>
      <w:r>
        <w:rPr>
          <w:rStyle w:val="ab"/>
        </w:rPr>
        <w:footnoteRef/>
      </w:r>
      <w:r>
        <w:rPr>
          <w:rtl/>
        </w:rPr>
        <w:t xml:space="preserve"> </w:t>
      </w:r>
      <w:r>
        <w:rPr>
          <w:rFonts w:hint="cs"/>
          <w:rtl/>
        </w:rPr>
        <w:t>סימן – כרטיס כרוך. וכן – כרטיס בכלי/בכיס.</w:t>
      </w:r>
    </w:p>
  </w:footnote>
  <w:footnote w:id="4814">
    <w:p w14:paraId="2726DF77" w14:textId="77777777" w:rsidR="0013116F" w:rsidRDefault="0013116F" w:rsidP="001D49D4">
      <w:pPr>
        <w:pStyle w:val="a9"/>
        <w:rPr>
          <w:sz w:val="14"/>
          <w:szCs w:val="14"/>
        </w:rPr>
      </w:pPr>
      <w:r>
        <w:rPr>
          <w:rStyle w:val="ab"/>
        </w:rPr>
        <w:footnoteRef/>
      </w:r>
      <w:r>
        <w:rPr>
          <w:rtl/>
        </w:rPr>
        <w:t xml:space="preserve"> </w:t>
      </w:r>
      <w:r>
        <w:rPr>
          <w:rFonts w:hint="cs"/>
          <w:rtl/>
        </w:rPr>
        <w:t>שום שטר, או שמצא-...</w:t>
      </w:r>
      <w:r>
        <w:rPr>
          <w:sz w:val="14"/>
          <w:szCs w:val="14"/>
          <w:rtl/>
        </w:rPr>
        <w:t xml:space="preserve"> (ב"י ע"פ רש"י)</w:t>
      </w:r>
    </w:p>
  </w:footnote>
  <w:footnote w:id="4815">
    <w:p w14:paraId="1957A2F0" w14:textId="77777777" w:rsidR="0013116F" w:rsidRDefault="0013116F" w:rsidP="001D49D4">
      <w:pPr>
        <w:pStyle w:val="a9"/>
        <w:rPr>
          <w:rtl/>
        </w:rPr>
      </w:pPr>
      <w:r>
        <w:rPr>
          <w:rStyle w:val="ab"/>
        </w:rPr>
        <w:footnoteRef/>
      </w:r>
      <w:r>
        <w:rPr>
          <w:rtl/>
        </w:rPr>
        <w:t xml:space="preserve"> דדבר שיש בו סימן הוא, כדמפרש בגמרא שהכלי סימן, כשיאמרו הבעלים בכלי כך וכך מצאת אותם, וכן תכריך ואגודה הרי זה יחזיר, דדבר שיש בו סימן הוא, כדמפרש בגמרא, רש"י.</w:t>
      </w:r>
    </w:p>
  </w:footnote>
  <w:footnote w:id="4816">
    <w:p w14:paraId="52128855" w14:textId="77777777" w:rsidR="0013116F" w:rsidRDefault="0013116F" w:rsidP="001D49D4">
      <w:pPr>
        <w:pStyle w:val="a9"/>
      </w:pPr>
      <w:r>
        <w:rPr>
          <w:rStyle w:val="ab"/>
        </w:rPr>
        <w:footnoteRef/>
      </w:r>
      <w:r>
        <w:rPr>
          <w:rtl/>
        </w:rPr>
        <w:t xml:space="preserve"> וכ"כ בעל התרומות</w:t>
      </w:r>
      <w:r>
        <w:rPr>
          <w:sz w:val="16"/>
          <w:szCs w:val="16"/>
          <w:rtl/>
        </w:rPr>
        <w:t xml:space="preserve"> (שער נב ח"א סי' א, הביאו הב"י)</w:t>
      </w:r>
      <w:r>
        <w:rPr>
          <w:rtl/>
        </w:rPr>
        <w:t xml:space="preserve"> וז"ל- הכלי סימן הוא כשיאמרו הבעלים בכלי שכך וכך סימן בו מצאת אותם, וכן נראה כמו שפירש רש"י שצריך שיתן סימן בכלי ולא די לו בשיאמר בחפיסה או בדלוסקמא היה, דהא קיימא לן (ב"מ כח.) היא אומרת בחפיסה וכו' מאי טעמא מידע ידעא דכל מאי דאית ליה בחפיסה מנח ליה, דלוסקמא נמי דרך בני אדם לתת בדלוסקמא שטרות, וכדתניא בתוספתא דשבועות (פ"ה ה"ו) עשרה דלוסקמין מלאין שטרות, אלמא דרך בני אדם להטמין שטרותיהם בדלוסקמין, הילכך צריך ליתן סימן בענין הדלוסקמא והחפיסה, ולדידן בכיסו וארנקי, דכוותה היא, עכ"ל. וכ"כ התוס'</w:t>
      </w:r>
      <w:r>
        <w:rPr>
          <w:sz w:val="16"/>
          <w:szCs w:val="16"/>
          <w:rtl/>
        </w:rPr>
        <w:t xml:space="preserve"> (כ: ד"ה מצא)</w:t>
      </w:r>
      <w:r>
        <w:rPr>
          <w:rtl/>
        </w:rPr>
        <w:t>.</w:t>
      </w:r>
    </w:p>
  </w:footnote>
  <w:footnote w:id="4817">
    <w:p w14:paraId="2C051918" w14:textId="77777777" w:rsidR="0013116F" w:rsidRDefault="0013116F" w:rsidP="001D49D4">
      <w:pPr>
        <w:pStyle w:val="a9"/>
      </w:pPr>
      <w:r>
        <w:rPr>
          <w:rStyle w:val="ab"/>
        </w:rPr>
        <w:footnoteRef/>
      </w:r>
      <w:r>
        <w:rPr>
          <w:rtl/>
        </w:rPr>
        <w:t xml:space="preserve"> אפילו אינו יודע שהשטר היה מונח בכלי, ש"ך (סקכ"ו). ולא חיישינן לשאלה, דבממון לא חיישינן לשאלה, או"ת (אורים סקכ"ז). וכתב עוד (תומים סקי"ב) דהש"ך (סקכ"ו) פקפק על זה, אך סיכם האו"ת דאין דבריו מוכרחים לדחות דברי התוס' והרא"ש ומחברים הנ"ל, ועוד דבכה"ג לכולי עלמא לא חיישינן דהוי שאלה דיחיד.</w:t>
      </w:r>
    </w:p>
  </w:footnote>
  <w:footnote w:id="4818">
    <w:p w14:paraId="5AA07CFE" w14:textId="77777777" w:rsidR="0013116F" w:rsidRDefault="0013116F" w:rsidP="001D49D4">
      <w:pPr>
        <w:pStyle w:val="a9"/>
        <w:rPr>
          <w:rtl/>
        </w:rPr>
      </w:pPr>
      <w:r>
        <w:rPr>
          <w:rStyle w:val="ab"/>
        </w:rPr>
        <w:footnoteRef/>
      </w:r>
      <w:r>
        <w:rPr>
          <w:rtl/>
        </w:rPr>
        <w:t xml:space="preserve"> </w:t>
      </w:r>
      <w:r>
        <w:rPr>
          <w:rFonts w:hint="cs"/>
          <w:rtl/>
        </w:rPr>
        <w:t>סימן – כרטיס כרוך. וכן – כרטיס בכלי/בכיס.</w:t>
      </w:r>
    </w:p>
  </w:footnote>
  <w:footnote w:id="4819">
    <w:p w14:paraId="59E7FCDB" w14:textId="77777777" w:rsidR="0013116F" w:rsidRDefault="0013116F" w:rsidP="001D49D4">
      <w:pPr>
        <w:pStyle w:val="a9"/>
      </w:pPr>
      <w:r>
        <w:rPr>
          <w:rStyle w:val="ab"/>
        </w:rPr>
        <w:footnoteRef/>
      </w:r>
      <w:r>
        <w:rPr>
          <w:rtl/>
        </w:rPr>
        <w:t xml:space="preserve"> דדבר שיש בו סימן הוא, כדמפרש בגמרא שהכלי סימן, כשיאמרו הבעלים בכלי כך וכך מצאת אותם, וכן תכריך ואגודה הרי זה יחזיר, דדבר שיש בו סימן הוא, כדמפרש בגמרא, רש"י.</w:t>
      </w:r>
    </w:p>
  </w:footnote>
  <w:footnote w:id="4820">
    <w:p w14:paraId="33DC3C92" w14:textId="77777777" w:rsidR="0013116F" w:rsidRDefault="0013116F" w:rsidP="001D49D4">
      <w:pPr>
        <w:pStyle w:val="a9"/>
      </w:pPr>
      <w:r>
        <w:rPr>
          <w:rStyle w:val="ab"/>
        </w:rPr>
        <w:footnoteRef/>
      </w:r>
      <w:r>
        <w:rPr>
          <w:rtl/>
        </w:rPr>
        <w:t xml:space="preserve"> של עור, שנותנין בו יין, רש"י.</w:t>
      </w:r>
    </w:p>
  </w:footnote>
  <w:footnote w:id="4821">
    <w:p w14:paraId="230C6CCE" w14:textId="77777777" w:rsidR="0013116F" w:rsidRDefault="0013116F" w:rsidP="001D49D4">
      <w:pPr>
        <w:pStyle w:val="a9"/>
      </w:pPr>
      <w:r>
        <w:rPr>
          <w:rStyle w:val="ab"/>
        </w:rPr>
        <w:footnoteRef/>
      </w:r>
      <w:r>
        <w:rPr>
          <w:rtl/>
        </w:rPr>
        <w:t xml:space="preserve"> טסקא </w:t>
      </w:r>
      <w:r>
        <w:rPr>
          <w:sz w:val="16"/>
          <w:szCs w:val="16"/>
          <w:rtl/>
        </w:rPr>
        <w:t>(ארנק)</w:t>
      </w:r>
      <w:r>
        <w:rPr>
          <w:rtl/>
        </w:rPr>
        <w:t xml:space="preserve"> שהזקנים מצניעים בה כלי תשמישן, שלא יצטרכו לחפש אחריהם, רש"י.</w:t>
      </w:r>
    </w:p>
  </w:footnote>
  <w:footnote w:id="4822">
    <w:p w14:paraId="2EB6E46B" w14:textId="77777777" w:rsidR="0013116F" w:rsidRDefault="0013116F" w:rsidP="001D49D4">
      <w:pPr>
        <w:pStyle w:val="a9"/>
      </w:pPr>
      <w:r>
        <w:rPr>
          <w:rStyle w:val="ab"/>
        </w:rPr>
        <w:footnoteRef/>
      </w:r>
      <w:r>
        <w:rPr>
          <w:rtl/>
        </w:rPr>
        <w:t xml:space="preserve"> וזהו סימן שהבעלים נותנים בהם, זה יכריז מציאה: שטרות מצאתי, וזה יאמר: שלי הם, ושלשה הן, כרוכין הן זה בזה, רש"י.</w:t>
      </w:r>
    </w:p>
  </w:footnote>
  <w:footnote w:id="4823">
    <w:p w14:paraId="39659E95" w14:textId="77777777" w:rsidR="0013116F" w:rsidRDefault="0013116F" w:rsidP="001D49D4">
      <w:pPr>
        <w:pStyle w:val="a9"/>
      </w:pPr>
      <w:r>
        <w:rPr>
          <w:rStyle w:val="ab"/>
        </w:rPr>
        <w:footnoteRef/>
      </w:r>
      <w:r>
        <w:rPr>
          <w:rtl/>
        </w:rPr>
        <w:t xml:space="preserve"> שיש קשרים שאינן דומין זה לזה, ויאמר: כך וכך הוא עשוי, דאי לא תימא הכי מאי סימנא איכא הכא, ותפשוט מינה בעלמא</w:t>
      </w:r>
      <w:r>
        <w:rPr>
          <w:sz w:val="16"/>
          <w:szCs w:val="16"/>
          <w:rtl/>
        </w:rPr>
        <w:t xml:space="preserve"> {לגבי אבדה}</w:t>
      </w:r>
      <w:r>
        <w:rPr>
          <w:rtl/>
        </w:rPr>
        <w:t xml:space="preserve"> דקשר סימן. ובעיא בעלמא היא. ומשני - מהכא לא תפשוט, דתני רבי חייא שלשה כרוכין זה בזה הוא אגודה, דכרך הוי סימן, דכולי עלמא כרכי שטרא שטרא לעצמו וקושרין אותן יחד, וזה כרך שלשתן יחד, רש"י.</w:t>
      </w:r>
    </w:p>
  </w:footnote>
  <w:footnote w:id="4824">
    <w:p w14:paraId="0A819F6F" w14:textId="77777777" w:rsidR="0013116F" w:rsidRDefault="0013116F" w:rsidP="001D49D4">
      <w:pPr>
        <w:pStyle w:val="a9"/>
      </w:pPr>
      <w:r>
        <w:rPr>
          <w:rStyle w:val="ab"/>
        </w:rPr>
        <w:footnoteRef/>
      </w:r>
      <w:r>
        <w:rPr>
          <w:rtl/>
        </w:rPr>
        <w:t xml:space="preserve"> אם אגודה של שטרות הכוונה לשטרות הכרוכים זה בזה ולא קשורים זה בזה </w:t>
      </w:r>
      <w:r>
        <w:rPr>
          <w:sz w:val="16"/>
          <w:szCs w:val="16"/>
          <w:rtl/>
        </w:rPr>
        <w:t>(חברותא)</w:t>
      </w:r>
      <w:r>
        <w:rPr>
          <w:rtl/>
        </w:rPr>
        <w:t>.</w:t>
      </w:r>
    </w:p>
  </w:footnote>
  <w:footnote w:id="4825">
    <w:p w14:paraId="29CE2EFB" w14:textId="77777777" w:rsidR="0013116F" w:rsidRDefault="0013116F" w:rsidP="001D49D4">
      <w:pPr>
        <w:pStyle w:val="a9"/>
      </w:pPr>
      <w:r>
        <w:rPr>
          <w:rStyle w:val="ab"/>
        </w:rPr>
        <w:footnoteRef/>
      </w:r>
      <w:r>
        <w:rPr>
          <w:rtl/>
        </w:rPr>
        <w:t xml:space="preserve"> שגלל שטר אחד ועליו גלל עוד שטר, ועל שניהם גלל את השלישי </w:t>
      </w:r>
      <w:r>
        <w:rPr>
          <w:sz w:val="16"/>
          <w:szCs w:val="16"/>
          <w:rtl/>
        </w:rPr>
        <w:t>(חברותא)</w:t>
      </w:r>
      <w:r>
        <w:rPr>
          <w:rtl/>
        </w:rPr>
        <w:t>.</w:t>
      </w:r>
    </w:p>
  </w:footnote>
  <w:footnote w:id="4826">
    <w:p w14:paraId="65ED1BDD" w14:textId="77777777" w:rsidR="0013116F" w:rsidRDefault="0013116F" w:rsidP="001D49D4">
      <w:pPr>
        <w:pStyle w:val="a9"/>
        <w:rPr>
          <w:rtl/>
        </w:rPr>
      </w:pPr>
      <w:r>
        <w:rPr>
          <w:rStyle w:val="ab"/>
        </w:rPr>
        <w:footnoteRef/>
      </w:r>
      <w:r>
        <w:rPr>
          <w:rtl/>
        </w:rPr>
        <w:t xml:space="preserve"> השכיבן זה על זה ארכו על ארכו של חבירו, רש"י.</w:t>
      </w:r>
    </w:p>
  </w:footnote>
  <w:footnote w:id="4827">
    <w:p w14:paraId="5452CE77" w14:textId="77777777" w:rsidR="0013116F" w:rsidRDefault="0013116F" w:rsidP="001D49D4">
      <w:pPr>
        <w:pStyle w:val="a9"/>
        <w:rPr>
          <w:rtl/>
        </w:rPr>
      </w:pPr>
      <w:r>
        <w:rPr>
          <w:rStyle w:val="ab"/>
        </w:rPr>
        <w:footnoteRef/>
      </w:r>
      <w:r>
        <w:rPr>
          <w:rtl/>
        </w:rPr>
        <w:t xml:space="preserve"> המוצא מנין שלשה שטרות וזה בא ונותן סימן שכרוכים היו יחד, רש"י.</w:t>
      </w:r>
    </w:p>
  </w:footnote>
  <w:footnote w:id="4828">
    <w:p w14:paraId="07C79BA0" w14:textId="77777777" w:rsidR="0013116F" w:rsidRDefault="0013116F" w:rsidP="001D49D4">
      <w:pPr>
        <w:pStyle w:val="a9"/>
      </w:pPr>
      <w:r>
        <w:rPr>
          <w:rStyle w:val="ab"/>
        </w:rPr>
        <w:footnoteRef/>
      </w:r>
      <w:r>
        <w:rPr>
          <w:rtl/>
        </w:rPr>
        <w:t xml:space="preserve"> אם הוא מכריז מנין, שמצא שלושה שטרות, וזה בא ואומר סימן שהיו כרוכים יחד </w:t>
      </w:r>
      <w:r>
        <w:rPr>
          <w:sz w:val="16"/>
          <w:szCs w:val="16"/>
          <w:rtl/>
        </w:rPr>
        <w:t>(חברותא)</w:t>
      </w:r>
      <w:r>
        <w:rPr>
          <w:rtl/>
        </w:rPr>
        <w:t>.</w:t>
      </w:r>
    </w:p>
  </w:footnote>
  <w:footnote w:id="4829">
    <w:p w14:paraId="0FAA0E49" w14:textId="77777777" w:rsidR="0013116F" w:rsidRDefault="0013116F" w:rsidP="001D49D4">
      <w:pPr>
        <w:pStyle w:val="a9"/>
        <w:rPr>
          <w:rtl/>
        </w:rPr>
      </w:pPr>
      <w:r>
        <w:rPr>
          <w:rStyle w:val="ab"/>
        </w:rPr>
        <w:footnoteRef/>
      </w:r>
      <w:r>
        <w:rPr>
          <w:rtl/>
        </w:rPr>
        <w:t xml:space="preserve"> הואיל ואין צריך לבעלים לתת סימן אלא כריכתן, רש"י.</w:t>
      </w:r>
    </w:p>
  </w:footnote>
  <w:footnote w:id="4830">
    <w:p w14:paraId="09F2D31A" w14:textId="77777777" w:rsidR="0013116F" w:rsidRDefault="0013116F" w:rsidP="001D49D4">
      <w:pPr>
        <w:pStyle w:val="a9"/>
        <w:rPr>
          <w:rtl/>
        </w:rPr>
      </w:pPr>
      <w:r>
        <w:rPr>
          <w:rStyle w:val="ab"/>
        </w:rPr>
        <w:footnoteRef/>
      </w:r>
      <w:r>
        <w:rPr>
          <w:rtl/>
        </w:rPr>
        <w:t xml:space="preserve"> שטרות מצאתי וזה צריך שיאמר כך וכך היו וכרוכין היו הילכך דוקא תלתא אבל תרי מידע ידיע דמיעוט שטרות שנים ואין מנין סימן, רש"י.</w:t>
      </w:r>
    </w:p>
  </w:footnote>
  <w:footnote w:id="4831">
    <w:p w14:paraId="439931FC" w14:textId="77777777" w:rsidR="0013116F" w:rsidRDefault="0013116F" w:rsidP="001D49D4">
      <w:pPr>
        <w:pStyle w:val="a9"/>
      </w:pPr>
      <w:r>
        <w:rPr>
          <w:rStyle w:val="ab"/>
        </w:rPr>
        <w:footnoteRef/>
      </w:r>
      <w:r>
        <w:rPr>
          <w:rtl/>
        </w:rPr>
        <w:t xml:space="preserve"> </w:t>
      </w:r>
      <w:r>
        <w:rPr>
          <w:rFonts w:hint="cs"/>
          <w:rtl/>
        </w:rPr>
        <w:t>וז"ל-</w:t>
      </w:r>
      <w:r>
        <w:rPr>
          <w:rtl/>
        </w:rPr>
        <w:t xml:space="preserve"> מאי מכריז? שטרי, והלה נותן סימן במנין. ותכריך ואגודה היינו כדי שיוכל ליתן סימן במנין, דאי לאו הכי שמא לא נפיל אהדדי ומתייאש כי לא יוכל ליתן סימן במנין.</w:t>
      </w:r>
    </w:p>
  </w:footnote>
  <w:footnote w:id="4832">
    <w:p w14:paraId="671F6A75" w14:textId="77777777" w:rsidR="0013116F" w:rsidRDefault="0013116F" w:rsidP="001D49D4">
      <w:pPr>
        <w:pStyle w:val="a9"/>
      </w:pPr>
      <w:r>
        <w:rPr>
          <w:rStyle w:val="ab"/>
        </w:rPr>
        <w:footnoteRef/>
      </w:r>
      <w:r>
        <w:rPr>
          <w:rtl/>
        </w:rPr>
        <w:t xml:space="preserve"> ואם לאו, יהיו מונחים, ש"ך (סקל"א). ודברי הרמב"ם בפרק הנזכר (ה"ג) סתומים שכתב מצא שלשה שטרות כרוכין בכרך אחד או מונחים זה על זה ואגודים אגד אחד יחזיר למי שנתן סימן עכ"ל, ב"י.</w:t>
      </w:r>
    </w:p>
  </w:footnote>
  <w:footnote w:id="4833">
    <w:p w14:paraId="3B440982" w14:textId="77777777" w:rsidR="0013116F" w:rsidRDefault="0013116F" w:rsidP="001D49D4">
      <w:pPr>
        <w:pStyle w:val="a9"/>
      </w:pPr>
      <w:r>
        <w:rPr>
          <w:rStyle w:val="ab"/>
        </w:rPr>
        <w:footnoteRef/>
      </w:r>
      <w:r>
        <w:rPr>
          <w:rtl/>
        </w:rPr>
        <w:t xml:space="preserve"> </w:t>
      </w:r>
      <w:r>
        <w:rPr>
          <w:rFonts w:hint="cs"/>
          <w:rtl/>
        </w:rPr>
        <w:t xml:space="preserve">וכתב הש"ך (סקל"א) דרש"י וסיעתו </w:t>
      </w:r>
      <w:r>
        <w:rPr>
          <w:sz w:val="16"/>
          <w:szCs w:val="16"/>
          <w:rtl/>
        </w:rPr>
        <w:t xml:space="preserve">(בעל התרומות ונמוק"י) </w:t>
      </w:r>
      <w:r>
        <w:rPr>
          <w:rtl/>
        </w:rPr>
        <w:t xml:space="preserve">מיירי באין שניהן </w:t>
      </w:r>
      <w:r>
        <w:rPr>
          <w:sz w:val="16"/>
          <w:szCs w:val="16"/>
          <w:rtl/>
        </w:rPr>
        <w:t xml:space="preserve">(הלוה והמלוה) </w:t>
      </w:r>
      <w:r>
        <w:rPr>
          <w:rtl/>
        </w:rPr>
        <w:t>לפנינו.</w:t>
      </w:r>
    </w:p>
  </w:footnote>
  <w:footnote w:id="4834">
    <w:p w14:paraId="3C2D957F" w14:textId="77777777" w:rsidR="0013116F" w:rsidRDefault="0013116F" w:rsidP="001D49D4">
      <w:pPr>
        <w:pStyle w:val="a9"/>
      </w:pPr>
      <w:r>
        <w:rPr>
          <w:rStyle w:val="ab"/>
        </w:rPr>
        <w:footnoteRef/>
      </w:r>
      <w:r>
        <w:rPr>
          <w:rtl/>
        </w:rPr>
        <w:t xml:space="preserve"> הב"י כתב שנראה מדבריו שסובר כדעת רש"י דתרי בעינן, מנין ואופן הכריכה. אך כתב הב"י שדברי הרמ"ה צריכים יישוב דעת שכתב 'דהני שטרי דחד לוה ומלוה אינון', וכבר אפשר דליהוו נמי לווין שלשה ומלוין שלשה דסתמא תנן, וכ"כ הה"מ בפרק הנזכר. ועוד שכתב 'ושמא בפעם אחת פרעיה הלוה והמלוה נתנן לו כרוכין ולכך ידע שהן כרוכין', וקשה שאם כן גם המנין ידע. ועוד דלפי דבריו לא סגי טעם אלא לומר שסימן כריכה לחוד לא מהני אבל סימן למנין מהני. ועוד שכתב 'או כשלוה הלוה... והאחר לא שת אל לבו' משמע דבשניהם בפנינו עסקינן, וסיום דבריו לא עסקינן אלא כשאינם לפנינו, וצ"ע... ומכל מקום מה שכתב דהנך תרי שטרי נראה שהוא טעות סופר דתלתא נינהו. ואפשר לומר דהנך תרי שטרי היינו תכריך ואגודה. עכ"ל הב"י. אך הדרכ"מ (אות ג) כתב דכל זה אינו נראה, אלא נראה לתרץ כל הקושיות בדרך אחר בלא טעות סופר, וזה כי הרמ"ה לא קאמר אלא דבעינן מנין עם הכריכה והקשירה - אבל לא דבעינן כריכה וקשירה עם המנין, וכדברי הטור דלעיל</w:t>
      </w:r>
      <w:r>
        <w:rPr>
          <w:sz w:val="16"/>
          <w:szCs w:val="16"/>
          <w:rtl/>
        </w:rPr>
        <w:t xml:space="preserve"> </w:t>
      </w:r>
      <w:r>
        <w:rPr>
          <w:color w:val="00B0F0"/>
          <w:sz w:val="16"/>
          <w:szCs w:val="16"/>
          <w:rtl/>
        </w:rPr>
        <w:t>(וכ"פ בהג"ה)</w:t>
      </w:r>
      <w:r>
        <w:rPr>
          <w:rtl/>
        </w:rPr>
        <w:t xml:space="preserve">, ודייק לה מדבעינן שלשה שטרות ולא סגי לן בתרי, דאי בכריכה או בקשירה לחוד סגי אם כן מאי שנא תרי מתלת הלא הכריכה הוא שוה, בשלמא אי בעינן מנין ניחא דאז דוקא שלשה הוי סימן אבל לא שנים מאחר דשטרי מכריז ומיעוט שטרות שנים וכדאמרינן בענין זה ספ"ק דמציעא (כ:), ומעתה כל דברי הרמ"ה נכונים כי אמר דבעינן מנין עם הכריכה דהיינו שלשה שטרות דהוי מנין סימן, אבל לא סגי בכריכה או קשירה לחוד דאז אפילו תרי נמי, וטעמא, דבתרי שטרי דחד לוה כו' שהאחר לא נתן לבו כו', ר"ל - לא נתן לבו לשנות הכריכה כדי שחבירו לא ידע הסימן שבהם, ולכך הכריכה לא הוי סימן, אבל מנין הוי סימן דעל המנין נותן לבו להפרידם זו מזו ולא להניחן ביחד. ומה שהקשה עוד בדברי הרמ"ה שמוקי לה שהן דחד לוה ומלוה כו' גם זה מתורץ לפי דרך זה, דהוצרך לתרץ מאי שנא תרי מתלת ותירץ דנקט תלת משום דאם היה דחד לוה ומלוה אין אנו מחזירין רק תלת אבל לא תרי ע"י סימן כריכה וקשירה מטעם שכתב, אבל אם הם משני לווין ושני מלוין אה"נ דס"ל לרמ"ה דמחזירים בשנים ע"י סימן כריכה וקשירה מאחר דליכא למיחש למידי, אלא דהתנא מילתא דפסיקא נקיט בתלת שטרי דמיירי בין בהרבה מלוין ולווין בין במלוה ולוה אחד. עכ"ל הדרכ"מ. והסמ"ע (סקכ"ח) הסכים לדברי הב"י. וגם הש"ך (סקכ"ז-כח) חלק על איך שפירש הרמ"א את דברי הרמ"ה ועל הדינים שהוציא מפירושו </w:t>
      </w:r>
      <w:r>
        <w:rPr>
          <w:sz w:val="16"/>
          <w:szCs w:val="16"/>
          <w:rtl/>
        </w:rPr>
        <w:t>(וזה תורף דבריו- מש"כ הר"ב דמנין לחוד הוי סימן אף שאין שניהן לפנינו והשטרות הם של לוה ומלוה אחד - לא נהירא לי, דכיון שהשטרות הם של לוה ומלוה אחד, פשיטא שזה יודע סימן דמנין כמו זה והנך שלשה כחד שטרא חשיבי, וכן מוכח בדברי הרמ"ה דלא כפירושו של הר"ב. ונראה דגם הרא"ש [ב"מ פ"א סי' נ"ב] דס"ל דמנין לחודיה מהני, מודה לזה, דאיהו לא מוקי הש"ס בחד לוה ומלוה. ומ"ש הטור, והרמ"ה כתב כו', ר"ל דלא כמ"ש לעיל דאין צריך לומר סימן הכריכה, אלא הרמ"ה כתב דצ"ל ג"כ סימן הכריכה, ומוקי לה בחד לוה ומלוה... ומדכתב הטור, והרמ"ה כתב כו', משמע דאדלעיל קאי, דהרמ"ה כתב דמנין לחודיה לא הוי סימן. ועוד קשה, שכתב הרמ"ה- ואע"ג דקי"ל דקשר או מנין לחודיה הוי סימן כו'. ולדבריו לא הל"ל או מנין. וגם פירושו במ"ש והאחר לא נתן אל לבו, לא מחוור כלל)</w:t>
      </w:r>
      <w:r>
        <w:rPr>
          <w:rtl/>
        </w:rPr>
        <w:t xml:space="preserve"> אך גם לא הסכים לפירוש הב"י בדברי הרמ"ה, עיין בסקל"א טעמו.</w:t>
      </w:r>
    </w:p>
  </w:footnote>
  <w:footnote w:id="4835">
    <w:p w14:paraId="3BCCF7BD" w14:textId="77777777" w:rsidR="0013116F" w:rsidRDefault="0013116F" w:rsidP="001D49D4">
      <w:pPr>
        <w:pStyle w:val="a9"/>
      </w:pPr>
      <w:r>
        <w:rPr>
          <w:rStyle w:val="ab"/>
        </w:rPr>
        <w:footnoteRef/>
      </w:r>
      <w:r>
        <w:rPr>
          <w:rtl/>
        </w:rPr>
        <w:t xml:space="preserve"> וכל זה לפי שיטתו שכתב שסימן מנין וכריכה הם שווין, אבל כבר כתבתי מה שנראה לי שסימן מנין עדיף מסימן כריכה וקשירה אם הם ממלוה ולוה אחד, ולכן נראה לי דבכל ענין ינתן לנותן סימן מנין, דרכ"מ (אות ב). אך הסמ"ע (סקכ"ט) חלק על הרמ"א וכתב דלפי מה שכתב בסקכ"ח שניהן שוין הן ואין נותנין לשום אחד. </w:t>
      </w:r>
    </w:p>
  </w:footnote>
  <w:footnote w:id="4836">
    <w:p w14:paraId="4148D5E4" w14:textId="77777777" w:rsidR="0013116F" w:rsidRDefault="0013116F" w:rsidP="001D49D4">
      <w:pPr>
        <w:pStyle w:val="a9"/>
      </w:pPr>
      <w:r>
        <w:rPr>
          <w:rStyle w:val="ab"/>
        </w:rPr>
        <w:footnoteRef/>
      </w:r>
      <w:r>
        <w:rPr>
          <w:rtl/>
        </w:rPr>
        <w:t xml:space="preserve"> </w:t>
      </w:r>
      <w:r>
        <w:rPr>
          <w:rFonts w:hint="cs"/>
          <w:rtl/>
        </w:rPr>
        <w:t>הש"ך (סק"ל) הסכים לדינו של הדרכ"מ אך לא מטעמיה</w:t>
      </w:r>
      <w:r>
        <w:rPr>
          <w:sz w:val="16"/>
          <w:szCs w:val="16"/>
          <w:rtl/>
        </w:rPr>
        <w:t xml:space="preserve"> (וטעמו, דאותו שכרכן מכיר בכריכתן, וטעמא דהאחר לא נתן אל לבו שייך דוקא בכריכה אפילו שניהם לפנינו, ולא במנין, וגם כיון שחבירו אינו יודע המנין מוכחא מילתא דלאו דידיה נינהו, א"כ נותנין לזה שאומר המנין)</w:t>
      </w:r>
      <w:r>
        <w:rPr>
          <w:rtl/>
        </w:rPr>
        <w:t>.</w:t>
      </w:r>
    </w:p>
  </w:footnote>
  <w:footnote w:id="4837">
    <w:p w14:paraId="22426991" w14:textId="77777777" w:rsidR="0013116F" w:rsidRDefault="0013116F" w:rsidP="001D49D4">
      <w:pPr>
        <w:pStyle w:val="a9"/>
      </w:pPr>
      <w:r>
        <w:rPr>
          <w:rStyle w:val="ab"/>
        </w:rPr>
        <w:footnoteRef/>
      </w:r>
      <w:r>
        <w:rPr>
          <w:rtl/>
        </w:rPr>
        <w:t xml:space="preserve"> </w:t>
      </w:r>
      <w:r>
        <w:rPr>
          <w:rFonts w:hint="cs"/>
          <w:rtl/>
        </w:rPr>
        <w:t xml:space="preserve">והש"ך (סקל"א) חלק על הב"י בזה </w:t>
      </w:r>
      <w:r>
        <w:rPr>
          <w:rtl/>
        </w:rPr>
        <w:t>וכתב דאם השני אומר מנין, הם שקולין דאמרינן סימן דכריכה לא נתן אל לבו, אבל כשאינו אומר רק סימן דכריכה ינתן לאומר שניהם, ואפילו לא היה אומר רק סימן דמנין לחוד ינתן לו וכמ"ש לעיל. ואע"ג שראיתי ברי"ו (נ"כ ח"ב) שכתב דינתן לאומר שנים, רי"ו לא מיירי התם בשטרות דחד לוה ומלוה, ע"ש.</w:t>
      </w:r>
    </w:p>
  </w:footnote>
  <w:footnote w:id="4838">
    <w:p w14:paraId="68D89C11" w14:textId="77777777" w:rsidR="0013116F" w:rsidRDefault="0013116F" w:rsidP="001D49D4">
      <w:pPr>
        <w:pStyle w:val="a9"/>
        <w:rPr>
          <w:rtl/>
        </w:rPr>
      </w:pPr>
      <w:r>
        <w:rPr>
          <w:rStyle w:val="ab"/>
        </w:rPr>
        <w:footnoteRef/>
      </w:r>
      <w:r>
        <w:rPr>
          <w:rtl/>
        </w:rPr>
        <w:t xml:space="preserve"> והא דהתחיל וכתב כרוכין זה על זה, משום דאל"כ אף אם היה נופל מיד המלוה ודאי כבר נתיאש, דמימר אמר לא נפלו במקום אחד ולית למיתן סימן מנין, סמ"ע (סקכ"ז).</w:t>
      </w:r>
    </w:p>
  </w:footnote>
  <w:footnote w:id="4839">
    <w:p w14:paraId="58E82173" w14:textId="77777777" w:rsidR="0013116F" w:rsidRDefault="0013116F" w:rsidP="001D49D4">
      <w:pPr>
        <w:pStyle w:val="a9"/>
      </w:pPr>
      <w:r>
        <w:rPr>
          <w:rStyle w:val="ab"/>
        </w:rPr>
        <w:footnoteRef/>
      </w:r>
      <w:r>
        <w:rPr>
          <w:rtl/>
        </w:rPr>
        <w:t xml:space="preserve"> נראה מדברי הר"ב דכשאחד יודע הכריכה אפילו בתרי שטרי נותנים לו כיון שחבירו אינו יודע. ובסמ"ע לא דקדק על הר"ב בזה ונראה שמסכים עמו בזה. אבל לפעד"נ דז"ש הר"ב ליתא, דאזיל לטעמיה בד"מ בפירוש והאחר לא נתן אל לבו, אבל כבר כתבתי [לעיל סקכ"ח] שאין פירושו מחוור, אלא אפילו יודע אין נותנין לו דשמא האחר לא נתן אל לבו, אא"כ יש ג"כ סימן דמנין, דהיינו שהם ג' או יותר דאז מהני סימן דכריכה, דכיון שהשני אינו יודע לא זה ולא זה, מוכחא מילתא דלאו דידיה נינהו... העולה מזה, בתרי שטרי שהם של חד לוה ומלוה, אפילו שניהם לפנינו אין מחזירין בשום ענין, אפילו אחד אומר סימן דמנין וכריכה או קשירה והשני אינו אומר שום סימן, אלא יהיו מונחים עד שיבוא אליהו... ולעיל סק"כ ביארתי דלענין לגבות ממשעבדי לא מהני סימן היכא דאיכא למיחש שהלוה הגיד לו הסימן או עושה עצמו כלא יודע, דחיישינן לקנוניא, ש"ך (סקכ"ט ובסוף סקל"א).</w:t>
      </w:r>
    </w:p>
  </w:footnote>
  <w:footnote w:id="4840">
    <w:p w14:paraId="5C581A7C" w14:textId="77777777" w:rsidR="0013116F" w:rsidRDefault="0013116F" w:rsidP="001D49D4">
      <w:pPr>
        <w:pStyle w:val="a9"/>
      </w:pPr>
      <w:r>
        <w:rPr>
          <w:rStyle w:val="ab"/>
        </w:rPr>
        <w:footnoteRef/>
      </w:r>
      <w:r>
        <w:rPr>
          <w:rtl/>
        </w:rPr>
        <w:t xml:space="preserve"> </w:t>
      </w:r>
      <w:r>
        <w:rPr>
          <w:rFonts w:hint="cs"/>
          <w:rtl/>
        </w:rPr>
        <w:t>סימן – כרטיסים כנוסים בכביש.</w:t>
      </w:r>
    </w:p>
  </w:footnote>
  <w:footnote w:id="4841">
    <w:p w14:paraId="3AFCDB7E" w14:textId="77777777" w:rsidR="0013116F" w:rsidRDefault="0013116F" w:rsidP="001D49D4">
      <w:pPr>
        <w:pStyle w:val="a9"/>
      </w:pPr>
      <w:r>
        <w:rPr>
          <w:rStyle w:val="ab"/>
        </w:rPr>
        <w:footnoteRef/>
      </w:r>
      <w:r>
        <w:rPr>
          <w:rtl/>
        </w:rPr>
        <w:t xml:space="preserve"> </w:t>
      </w:r>
      <w:r>
        <w:rPr>
          <w:rFonts w:hint="cs"/>
          <w:rtl/>
        </w:rPr>
        <w:t xml:space="preserve">לפיכך אם אינם מקויימים, כיון שיש לחוש שנתנם לדיין כדי שיקיימן ונפלו מידו לפני שקיימם - יחזיר למי שיתן סימן. </w:t>
      </w:r>
      <w:r>
        <w:rPr>
          <w:rtl/>
        </w:rPr>
        <w:t xml:space="preserve">משא"כ אם הם מקויימים לא חיישינן לנפילה דכיון שמקיימם אינו משהה אותם בידו אלא מיד נותנם לבעליהם </w:t>
      </w:r>
      <w:r>
        <w:rPr>
          <w:sz w:val="16"/>
          <w:szCs w:val="16"/>
          <w:rtl/>
        </w:rPr>
        <w:t>(ע"פ ב"י בהבנת הרמב"ם)</w:t>
      </w:r>
      <w:r>
        <w:rPr>
          <w:rtl/>
        </w:rPr>
        <w:t>.</w:t>
      </w:r>
    </w:p>
  </w:footnote>
  <w:footnote w:id="4842">
    <w:p w14:paraId="117D3F74" w14:textId="77777777" w:rsidR="0013116F" w:rsidRDefault="0013116F" w:rsidP="001D49D4">
      <w:pPr>
        <w:pStyle w:val="a9"/>
      </w:pPr>
      <w:r>
        <w:rPr>
          <w:rStyle w:val="ab"/>
        </w:rPr>
        <w:footnoteRef/>
      </w:r>
      <w:r>
        <w:rPr>
          <w:rtl/>
        </w:rPr>
        <w:t xml:space="preserve"> אפילו הלה נותן סימן, ב"י (בהבנת הטור והרמב"ם).</w:t>
      </w:r>
    </w:p>
  </w:footnote>
  <w:footnote w:id="4843">
    <w:p w14:paraId="0CF7EDFB" w14:textId="77777777" w:rsidR="0013116F" w:rsidRDefault="0013116F" w:rsidP="001D49D4">
      <w:pPr>
        <w:pStyle w:val="a9"/>
      </w:pPr>
      <w:r>
        <w:rPr>
          <w:rStyle w:val="ab"/>
        </w:rPr>
        <w:footnoteRef/>
      </w:r>
      <w:r>
        <w:rPr>
          <w:rtl/>
        </w:rPr>
        <w:t xml:space="preserve"> הטעם, שהמלוה דרכו לילך לב"ד לקיים שטרו, ומיד שנתקיים דרכו ליקחו מהב"ד ולא להשהות שטר מקוים ביד ב"ד, וכיון שהוא משלשה מלוים, אין לומר דמיד המלוים נפל, דא"כ מי כרכן יחד, אלא ודאי הלוה האחד שלוה משלשתן פרע לשלשתן ולקח שטרותיו מידן וכרכן יחד ומידו נפלו יחד. מה שאין כן כשאינן מקוימין עדיין, דיש להסתפק שמא המלוים הלכו כאחד לב"ד לקיים שטרותיהם, והב"ד כרכן יחד עד עת שיקיימן, ומידם נפלו קודם שקיימו אותן, וא"כ הם הוו של מלוים. וג"כ איכא למימר דמיד הלוה האחד נפלו קודם שלוה מהן או לאחר שלוה ופרע להן, לכך יחזיר למי שנותן בהן סימן. והאי סימן אינו ר"ל בגוף השטר כגון נקב בצד אות פלוני, דכבר כתבו הטור [סעיף ח'] והמחבר בסעיף ו' דאין מחזירין בסימן כזה, וכמ"ש מילתא בטעמא, אלא ר"ל סימן מנין וכריכה הנ"ל [סע' י], ואף ששלשה מלוים הם, יכולין לומר ראינו שהב"ד כרך שלשתן יחד כשהלכנו יחד לקיימן, סמ"ע (סק"ל).</w:t>
      </w:r>
    </w:p>
  </w:footnote>
  <w:footnote w:id="4844">
    <w:p w14:paraId="1E716970" w14:textId="77777777" w:rsidR="0013116F" w:rsidRDefault="0013116F" w:rsidP="001D49D4">
      <w:pPr>
        <w:pStyle w:val="a9"/>
        <w:rPr>
          <w:rtl/>
        </w:rPr>
      </w:pPr>
      <w:r>
        <w:rPr>
          <w:rStyle w:val="ab"/>
        </w:rPr>
        <w:footnoteRef/>
      </w:r>
      <w:r>
        <w:rPr>
          <w:rtl/>
        </w:rPr>
        <w:t xml:space="preserve"> דאז איכא למימר דלאחר שכתבן לשלשתן כרכן יחד עד שיבואו הלווים ליתן לכל אחד שטר חובו ונפלו יחד מידו, ואיכא למימר נמי מיד המלוה האחד שהלוה לשלשתן נפל, סמ"ע (סקל"ב).</w:t>
      </w:r>
    </w:p>
  </w:footnote>
  <w:footnote w:id="4845">
    <w:p w14:paraId="7FE6AA73" w14:textId="77777777" w:rsidR="0013116F" w:rsidRDefault="0013116F" w:rsidP="001D49D4">
      <w:pPr>
        <w:pStyle w:val="a9"/>
        <w:rPr>
          <w:rtl/>
        </w:rPr>
      </w:pPr>
      <w:r>
        <w:rPr>
          <w:rStyle w:val="ab"/>
        </w:rPr>
        <w:footnoteRef/>
      </w:r>
      <w:r>
        <w:rPr>
          <w:rtl/>
        </w:rPr>
        <w:t xml:space="preserve"> לכאורה נראה דהיינו כשאינן מקוימים, דאם הם מקוימים אין לומר דמיד הסופר נפלו, דא"כ מי קיימן. מיהו אינו מוכרח, די"ל ששלשתן עם המלוה ביקשו להסופר שילך בשליחותן לב"ד לקיימן, ואמרו להשליח שאחר שיהיה מקוים לא ימסור השטרות למלוה עד שילוה להלווים. מיהו זה דוחק דא"כ ידעי הסימן בשוה, סמ"ע (סקל"ג).</w:t>
      </w:r>
    </w:p>
  </w:footnote>
  <w:footnote w:id="4846">
    <w:p w14:paraId="4F2609E5" w14:textId="77777777" w:rsidR="0013116F" w:rsidRDefault="0013116F" w:rsidP="001D49D4">
      <w:pPr>
        <w:pStyle w:val="a9"/>
      </w:pPr>
      <w:r>
        <w:rPr>
          <w:rStyle w:val="ab"/>
        </w:rPr>
        <w:footnoteRef/>
      </w:r>
      <w:r>
        <w:rPr>
          <w:rtl/>
        </w:rPr>
        <w:t xml:space="preserve"> פירוש, לאו דוקא קאמר הגמרא והפוסקים מצא שלשה שטרות משלשה מלוים כו' או שלשה שטרות משלשה לווין כנ"ל, אלא הוא הדין שני שטרות כו'. ועיין פרישה שכתבתי דאפשר לומר דהגמרא והפוסקים דכתבו שלשה, ס"ל דגם בהני דמחזירין למי שנותן בו סימן, היינו דוקא סימן מנין וכריכה, ולסימן מנין בעינן דוקא שלשה וכמ"ש לעיל [סעיף י'], סמ"ע (סקל"ד).</w:t>
      </w:r>
    </w:p>
  </w:footnote>
  <w:footnote w:id="4847">
    <w:p w14:paraId="01566372" w14:textId="77777777" w:rsidR="0013116F" w:rsidRDefault="0013116F" w:rsidP="001D49D4">
      <w:pPr>
        <w:pStyle w:val="a9"/>
      </w:pPr>
      <w:r>
        <w:rPr>
          <w:rStyle w:val="ab"/>
        </w:rPr>
        <w:footnoteRef/>
      </w:r>
      <w:r>
        <w:rPr>
          <w:rtl/>
        </w:rPr>
        <w:t xml:space="preserve"> </w:t>
      </w:r>
      <w:r>
        <w:rPr>
          <w:rFonts w:hint="cs"/>
          <w:rtl/>
        </w:rPr>
        <w:t>סימן – כרטיסי כרטיסנים.</w:t>
      </w:r>
    </w:p>
  </w:footnote>
  <w:footnote w:id="4848">
    <w:p w14:paraId="6A31CA4D" w14:textId="77777777" w:rsidR="0013116F" w:rsidRDefault="0013116F" w:rsidP="001D49D4">
      <w:pPr>
        <w:pStyle w:val="a9"/>
      </w:pPr>
      <w:r>
        <w:rPr>
          <w:rStyle w:val="ab"/>
        </w:rPr>
        <w:footnoteRef/>
      </w:r>
      <w:r>
        <w:rPr>
          <w:rtl/>
        </w:rPr>
        <w:t xml:space="preserve"> ששמו בית דין נכסי לוה למלוה בחובו, רש"י.</w:t>
      </w:r>
    </w:p>
  </w:footnote>
  <w:footnote w:id="4849">
    <w:p w14:paraId="132AED87" w14:textId="77777777" w:rsidR="0013116F" w:rsidRDefault="0013116F" w:rsidP="001D49D4">
      <w:pPr>
        <w:pStyle w:val="a9"/>
      </w:pPr>
      <w:r>
        <w:rPr>
          <w:rStyle w:val="ab"/>
        </w:rPr>
        <w:footnoteRef/>
      </w:r>
      <w:r>
        <w:rPr>
          <w:rtl/>
        </w:rPr>
        <w:t xml:space="preserve"> שקיבל לזון את בת אשתו, רש"י.</w:t>
      </w:r>
    </w:p>
  </w:footnote>
  <w:footnote w:id="4850">
    <w:p w14:paraId="70E71527" w14:textId="77777777" w:rsidR="0013116F" w:rsidRDefault="0013116F" w:rsidP="001D49D4">
      <w:pPr>
        <w:pStyle w:val="a9"/>
        <w:rPr>
          <w:rtl/>
        </w:rPr>
      </w:pPr>
      <w:r>
        <w:rPr>
          <w:rStyle w:val="ab"/>
        </w:rPr>
        <w:footnoteRef/>
      </w:r>
      <w:r>
        <w:rPr>
          <w:rtl/>
        </w:rPr>
        <w:t xml:space="preserve"> קטנה יתומה שהשיאוה אמה ואחיה לדעתה, יוצאה ממנו במיאון, ואינה צריכה גט, אלא אומרת בפני שלשה: אי אפשי בפלוני בעלי, וכותבין לה בית דין שטר שמיאנה בפניהם, להיות לה עדות שמותרת לינשא, רש"י.</w:t>
      </w:r>
    </w:p>
  </w:footnote>
  <w:footnote w:id="4851">
    <w:p w14:paraId="6C237373" w14:textId="77777777" w:rsidR="0013116F" w:rsidRDefault="0013116F" w:rsidP="001D49D4">
      <w:pPr>
        <w:pStyle w:val="a9"/>
        <w:rPr>
          <w:rtl/>
        </w:rPr>
      </w:pPr>
      <w:r>
        <w:rPr>
          <w:rStyle w:val="ab"/>
        </w:rPr>
        <w:footnoteRef/>
      </w:r>
      <w:r>
        <w:rPr>
          <w:rtl/>
        </w:rPr>
        <w:t xml:space="preserve"> דליכא למיחש לשמא נמלך דהא בית דין לא כותבין אלא בדבר מקויים ולפרעון נמי לא שייך בהו פרעון כדאמר לעיל (טז:) ואפילו למאן דאמר שומא הדר (ב"מ לה.) איהו דאפסיד אנפשיה, רש"י. </w:t>
      </w:r>
    </w:p>
  </w:footnote>
  <w:footnote w:id="4852">
    <w:p w14:paraId="2710ED67" w14:textId="77777777" w:rsidR="0013116F" w:rsidRDefault="0013116F" w:rsidP="001D49D4">
      <w:pPr>
        <w:pStyle w:val="a9"/>
        <w:rPr>
          <w:rtl/>
        </w:rPr>
      </w:pPr>
      <w:r>
        <w:rPr>
          <w:rStyle w:val="ab"/>
        </w:rPr>
        <w:footnoteRef/>
      </w:r>
      <w:r>
        <w:rPr>
          <w:rtl/>
        </w:rPr>
        <w:t xml:space="preserve"> </w:t>
      </w:r>
      <w:r>
        <w:rPr>
          <w:rFonts w:hint="cs"/>
          <w:rtl/>
        </w:rPr>
        <w:t>סימן – טופס זרוק.</w:t>
      </w:r>
    </w:p>
  </w:footnote>
  <w:footnote w:id="4853">
    <w:p w14:paraId="4F704E2D" w14:textId="77777777" w:rsidR="0013116F" w:rsidRDefault="0013116F" w:rsidP="001D49D4">
      <w:pPr>
        <w:pStyle w:val="a9"/>
      </w:pPr>
      <w:r>
        <w:rPr>
          <w:rStyle w:val="ab"/>
        </w:rPr>
        <w:footnoteRef/>
      </w:r>
      <w:r>
        <w:rPr>
          <w:rtl/>
        </w:rPr>
        <w:t xml:space="preserve"> והאי נמי מעשה בית דין הוא, רש"י.</w:t>
      </w:r>
    </w:p>
  </w:footnote>
  <w:footnote w:id="4854">
    <w:p w14:paraId="2273F24F" w14:textId="77777777" w:rsidR="0013116F" w:rsidRDefault="0013116F" w:rsidP="001D49D4">
      <w:pPr>
        <w:pStyle w:val="a9"/>
        <w:rPr>
          <w:rtl/>
        </w:rPr>
      </w:pPr>
      <w:r>
        <w:rPr>
          <w:rStyle w:val="ab"/>
        </w:rPr>
        <w:footnoteRef/>
      </w:r>
      <w:r>
        <w:rPr>
          <w:rtl/>
        </w:rPr>
        <w:t xml:space="preserve"> לוה זה כפרן פעם אחרת, לפיכך אין נאמן לומר, פרעתי, ובההיא תנן יחזיר, רש"י.</w:t>
      </w:r>
    </w:p>
  </w:footnote>
  <w:footnote w:id="4855">
    <w:p w14:paraId="552391FF" w14:textId="77777777" w:rsidR="0013116F" w:rsidRDefault="0013116F" w:rsidP="001D49D4">
      <w:pPr>
        <w:pStyle w:val="a9"/>
        <w:rPr>
          <w:rtl/>
        </w:rPr>
      </w:pPr>
      <w:r>
        <w:rPr>
          <w:rStyle w:val="ab"/>
        </w:rPr>
        <w:footnoteRef/>
      </w:r>
      <w:r>
        <w:rPr>
          <w:rtl/>
        </w:rPr>
        <w:t xml:space="preserve"> שטר שכתבו בית דין למוציא שטר על חבירו וחייבוהו לשלם ולא שילם, וירדו לנכסיו ושמו לבעל חוב אחד מהם, ונתנו לו שטר שעל פי בית דין באה לו, רש"י (ד"ה בשטרי חלטאתא).</w:t>
      </w:r>
    </w:p>
  </w:footnote>
  <w:footnote w:id="4856">
    <w:p w14:paraId="50A4C08C" w14:textId="77777777" w:rsidR="0013116F" w:rsidRDefault="0013116F" w:rsidP="001D49D4">
      <w:pPr>
        <w:pStyle w:val="a9"/>
        <w:rPr>
          <w:rtl/>
        </w:rPr>
      </w:pPr>
      <w:r>
        <w:rPr>
          <w:rStyle w:val="ab"/>
        </w:rPr>
        <w:footnoteRef/>
      </w:r>
      <w:r>
        <w:rPr>
          <w:rtl/>
        </w:rPr>
        <w:t xml:space="preserve"> שלא מצאו לו עכשיו נכסים, וכתבו לו שירדוף לחזור על נכסיו, ואם ימצא – יגבה, רש"י. וכתב עוד רש"י דאדרכתא - לשון רודף ומשיג, כמו: פרסה בחלא ולא אדרכיה (כתובות ס, ב), ולשון המקרא כתרו את בנימין הרדיפוהו מנוחה הדריכוהו (שופטים כ).</w:t>
      </w:r>
    </w:p>
  </w:footnote>
  <w:footnote w:id="4857">
    <w:p w14:paraId="5B7B9DB0" w14:textId="77777777" w:rsidR="0013116F" w:rsidRDefault="0013116F" w:rsidP="001D49D4">
      <w:pPr>
        <w:pStyle w:val="a9"/>
      </w:pPr>
      <w:r>
        <w:rPr>
          <w:rStyle w:val="ab"/>
        </w:rPr>
        <w:footnoteRef/>
      </w:r>
      <w:r>
        <w:rPr>
          <w:rtl/>
        </w:rPr>
        <w:t xml:space="preserve"> ולא ידעתי למה השמיט רבינו שטרי בירורין ואולי נכלל במעשה בית דין דאמרינן בגמרא (כ.) מאי שטרי בירורין הכא תרגימו שטרי טענתא רבי ירמיה אמר זה בורר לו אחד וזה בורר לו אחד, ב"י.</w:t>
      </w:r>
    </w:p>
  </w:footnote>
  <w:footnote w:id="4858">
    <w:p w14:paraId="305D592E" w14:textId="77777777" w:rsidR="0013116F" w:rsidRDefault="0013116F" w:rsidP="001D49D4">
      <w:pPr>
        <w:pStyle w:val="a9"/>
        <w:rPr>
          <w:rtl/>
        </w:rPr>
      </w:pPr>
      <w:r>
        <w:rPr>
          <w:rStyle w:val="ab"/>
        </w:rPr>
        <w:footnoteRef/>
      </w:r>
      <w:r>
        <w:rPr>
          <w:rtl/>
        </w:rPr>
        <w:t xml:space="preserve"> דין כתובה הוא מחלוקת בש"ס ריש פ"ק דמציעא בסוגיא דשנים אדוקין בשטר </w:t>
      </w:r>
      <w:r>
        <w:rPr>
          <w:sz w:val="16"/>
          <w:szCs w:val="16"/>
          <w:rtl/>
        </w:rPr>
        <w:t>(ז:)</w:t>
      </w:r>
      <w:r>
        <w:rPr>
          <w:rtl/>
        </w:rPr>
        <w:t xml:space="preserve">, דגרסינן התם, מצא שטר חוב לא יוציאו עולמית. ר' יוסי אומר הרי הוא בחזקתו, ולא חייש ר' יוסי לפרעון. והתניא מצא שטר כתובה בשוק, בזמן שהבעל מודה - יחזיר לאשה, אין הבעל מודה - לא יחזיר לא לזה ולא לזה. רבי יוסי אומר: עודה תחת בעלה - יחזיר לאשה, נתארמלה או נתגרשה - לא יחזיר לא לזה ולא לזה כו'... ונ"ל דעת הרמב"ם, שפסק כרב פפא דקאמר התם לעולם לא תיפוך ורבי יוסי לדבריהם דרבנן קאמר, לדידי אפילו נתארמלה או נתגרשה נמי לא חיישינן לפרעון, לדידכו אודו לי מיהת בעודה תחת בעלה דיחזיר לאשה דלאו בת פרעון היא, ואמרי ליה רבנן: אימר צררי אתפסה. ומשמע ליה להרמב"ם דאע"ג דרבינא בתרא הוא, מ"מ כיון דרב פפא מתרץ לה כפשוטה וא"צ להפך ברייתא, קי"ל כוותיה. ועוד, דאפשר דגם רבינא מודה לדינא לרב פפא, אלא דבעי לתרוצי דמאי דקא אמרינן לעיל איפוך קמייתא ומהדרינן לומר בבתרייתא חסורי מחסרא, ולעולם איפוך ולא חסורי מחסרא כו'. עוד נראה דס"ל להרמב"ם דגם רבינא ס"ל דטעמא דרבנן משום דחיישינן לפרעון, ש"ך </w:t>
      </w:r>
      <w:r>
        <w:rPr>
          <w:sz w:val="16"/>
          <w:szCs w:val="16"/>
          <w:rtl/>
        </w:rPr>
        <w:t>(סקל"ב)</w:t>
      </w:r>
      <w:r>
        <w:rPr>
          <w:rtl/>
        </w:rPr>
        <w:t>.</w:t>
      </w:r>
    </w:p>
  </w:footnote>
  <w:footnote w:id="4859">
    <w:p w14:paraId="0833174D" w14:textId="77777777" w:rsidR="0013116F" w:rsidRDefault="0013116F" w:rsidP="001D49D4">
      <w:pPr>
        <w:pStyle w:val="a9"/>
        <w:rPr>
          <w:rtl/>
        </w:rPr>
      </w:pPr>
      <w:r>
        <w:rPr>
          <w:rStyle w:val="ab"/>
        </w:rPr>
        <w:footnoteRef/>
      </w:r>
      <w:r>
        <w:rPr>
          <w:rtl/>
        </w:rPr>
        <w:t xml:space="preserve"> כתב בעל התרומות</w:t>
      </w:r>
      <w:r>
        <w:rPr>
          <w:sz w:val="16"/>
          <w:szCs w:val="16"/>
          <w:rtl/>
        </w:rPr>
        <w:t xml:space="preserve"> (ש"ג ח"ו סי"ג)</w:t>
      </w:r>
      <w:r>
        <w:rPr>
          <w:rtl/>
        </w:rPr>
        <w:t xml:space="preserve"> שאגרת שום שמכרו ב"ד קרקע וכל הנ"ל, היינו כשהלוה והמלוה שניהן לפני ב"ד ואז שמין ומכריזין וכותבין לו, וז"ל הנוסח- 'בא לפנינו פלוני כו' וירדנו לשום אותו והכרזנו עליו וקרענו שטר הלואה והורדנו לפלוני בשדה פלונית...', ואגרת חלטתא היינו כשאין הלוה בפני הב"ד, שאז כותבין הנוסח בענין אחר. אבל אין לפרש אגרת השום - תחילת השומא ששמוהו ב"ד ומכריזין עליה ל' יום ובסוף כותבין שטר חלטתא, וכמ"ש לקמן סימן ק"ג [סע' א] וק"ט [סע' א], דאשטר כזה לא הוה אמרי בגמרא [טז:] דאי איתא דפרע ה"ל למיקרעיה, דאינו חושש למיקרעיה, אלא דוקא השטר שמוציאין בו הקרקע מידו, סמ"ע (סקל"ו).</w:t>
      </w:r>
    </w:p>
  </w:footnote>
  <w:footnote w:id="4860">
    <w:p w14:paraId="2B11936E" w14:textId="77777777" w:rsidR="0013116F" w:rsidRDefault="0013116F" w:rsidP="001D49D4">
      <w:pPr>
        <w:pStyle w:val="a9"/>
      </w:pPr>
      <w:r>
        <w:rPr>
          <w:rStyle w:val="ab"/>
        </w:rPr>
        <w:footnoteRef/>
      </w:r>
      <w:r>
        <w:rPr>
          <w:rtl/>
        </w:rPr>
        <w:t xml:space="preserve"> משום דליכא למימר בהו שמא נמלך שלא ליתנם, דב"ד אין כותבין אלא דבר המקוים, וגם אינן עומדין לפרוע. ואגרת שומא אף שעומדת לפרוע דשומא הדרא כדלקמן סימן ק"ג [סע' ט], מ"מ מחזירין אותו משום דאיהו אפסיד אנפשיה, דאם איתא דפרעיה ה"ל לחזור וליקח שטר קנין חדש מיד המלוה, סמ"ע (סקל"ז).</w:t>
      </w:r>
    </w:p>
  </w:footnote>
  <w:footnote w:id="4861">
    <w:p w14:paraId="5C51AE1D" w14:textId="77777777" w:rsidR="0013116F" w:rsidRDefault="0013116F" w:rsidP="001D49D4">
      <w:pPr>
        <w:pStyle w:val="a9"/>
      </w:pPr>
      <w:r>
        <w:rPr>
          <w:rStyle w:val="ab"/>
        </w:rPr>
        <w:footnoteRef/>
      </w:r>
      <w:r>
        <w:rPr>
          <w:rtl/>
        </w:rPr>
        <w:t xml:space="preserve"> </w:t>
      </w:r>
      <w:r>
        <w:rPr>
          <w:rFonts w:hint="cs"/>
          <w:rtl/>
        </w:rPr>
        <w:t>סימן – ירחון חופש. וכן - ירחון טבי</w:t>
      </w:r>
      <w:r>
        <w:rPr>
          <w:sz w:val="14"/>
          <w:szCs w:val="14"/>
          <w:rtl/>
        </w:rPr>
        <w:t xml:space="preserve"> </w:t>
      </w:r>
      <w:r>
        <w:rPr>
          <w:sz w:val="16"/>
          <w:szCs w:val="16"/>
          <w:rtl/>
        </w:rPr>
        <w:t>(שם של עבד, הסימן הוא לדף יט שבו עיקר ענייננו)</w:t>
      </w:r>
      <w:r>
        <w:rPr>
          <w:rtl/>
        </w:rPr>
        <w:t>.</w:t>
      </w:r>
    </w:p>
  </w:footnote>
  <w:footnote w:id="4862">
    <w:p w14:paraId="44916F7E" w14:textId="77777777" w:rsidR="0013116F" w:rsidRDefault="0013116F" w:rsidP="001D49D4">
      <w:pPr>
        <w:pStyle w:val="a9"/>
      </w:pPr>
      <w:r>
        <w:rPr>
          <w:rStyle w:val="ab"/>
        </w:rPr>
        <w:footnoteRef/>
      </w:r>
      <w:r>
        <w:rPr>
          <w:rtl/>
        </w:rPr>
        <w:t xml:space="preserve"> פלוגתא בפרק קמא דגיטין (יב:), רש"י.</w:t>
      </w:r>
    </w:p>
  </w:footnote>
  <w:footnote w:id="4863">
    <w:p w14:paraId="1A6F1043" w14:textId="77777777" w:rsidR="0013116F" w:rsidRDefault="0013116F" w:rsidP="001D49D4">
      <w:pPr>
        <w:pStyle w:val="a9"/>
        <w:rPr>
          <w:rtl/>
        </w:rPr>
      </w:pPr>
      <w:r>
        <w:rPr>
          <w:rStyle w:val="ab"/>
        </w:rPr>
        <w:footnoteRef/>
      </w:r>
      <w:r>
        <w:rPr>
          <w:rtl/>
        </w:rPr>
        <w:t xml:space="preserve"> טובה היא אצלו שמתירו בקהל, וכיון דזכות הוא - איכא לתרוצי דמשעה שנכתב זוכה בשחרור, דלכי מטא שטר גט לידיה נעשה בן חורין למפרע, משעת חתימה, רש"י.</w:t>
      </w:r>
    </w:p>
  </w:footnote>
  <w:footnote w:id="4864">
    <w:p w14:paraId="31CFABDD" w14:textId="77777777" w:rsidR="0013116F" w:rsidRDefault="0013116F" w:rsidP="001D49D4">
      <w:pPr>
        <w:pStyle w:val="a9"/>
      </w:pPr>
      <w:r>
        <w:rPr>
          <w:rStyle w:val="ab"/>
        </w:rPr>
        <w:footnoteRef/>
      </w:r>
      <w:r>
        <w:rPr>
          <w:rtl/>
        </w:rPr>
        <w:t xml:space="preserve"> חובתו הוא שיוצא מתחת רבו, כלומר: הפסד הוא לו, שאם עבד כהן הוא - פוסלו מן התרומה, ואם של ישראל - אוסרו בשפחה כנענית, דזילא ליה, ושכיחא ליה, ופריצא ליה, רש"י.</w:t>
      </w:r>
    </w:p>
  </w:footnote>
  <w:footnote w:id="4865">
    <w:p w14:paraId="070108BE" w14:textId="77777777" w:rsidR="0013116F" w:rsidRDefault="0013116F" w:rsidP="001D49D4">
      <w:pPr>
        <w:pStyle w:val="a9"/>
      </w:pPr>
      <w:r>
        <w:rPr>
          <w:rStyle w:val="ab"/>
        </w:rPr>
        <w:footnoteRef/>
      </w:r>
      <w:r>
        <w:rPr>
          <w:rtl/>
        </w:rPr>
        <w:t xml:space="preserve"> דהשתא ליכא למימר עדיו בחתומיו חבין לו, דאין חבין לאדם שלא בפניו, רש"י.</w:t>
      </w:r>
    </w:p>
  </w:footnote>
  <w:footnote w:id="4866">
    <w:p w14:paraId="4DB91120" w14:textId="77777777" w:rsidR="0013116F" w:rsidRDefault="0013116F" w:rsidP="001D49D4">
      <w:pPr>
        <w:pStyle w:val="a9"/>
      </w:pPr>
      <w:r>
        <w:rPr>
          <w:rStyle w:val="ab"/>
        </w:rPr>
        <w:footnoteRef/>
      </w:r>
      <w:r>
        <w:rPr>
          <w:rtl/>
        </w:rPr>
        <w:t xml:space="preserve"> </w:t>
      </w:r>
      <w:r>
        <w:rPr>
          <w:rFonts w:hint="cs"/>
          <w:rtl/>
        </w:rPr>
        <w:t xml:space="preserve">ועיין בש"ך (סקל"ג) שהביא תירוץ לדברי הרא"ש, אמנם כתב שם </w:t>
      </w:r>
      <w:r>
        <w:rPr>
          <w:rtl/>
        </w:rPr>
        <w:t>דלענין דינא נראה עיקר דהרא"ש לא העתיק רק דברי הרי"ף וליה לא ס"ל, וכן דרכו בכמה מקומות.</w:t>
      </w:r>
    </w:p>
  </w:footnote>
  <w:footnote w:id="4867">
    <w:p w14:paraId="4FD2E9FE" w14:textId="77777777" w:rsidR="0013116F" w:rsidRDefault="0013116F" w:rsidP="001D49D4">
      <w:pPr>
        <w:pStyle w:val="a9"/>
        <w:rPr>
          <w:rtl/>
        </w:rPr>
      </w:pPr>
      <w:r>
        <w:rPr>
          <w:rStyle w:val="ab"/>
        </w:rPr>
        <w:footnoteRef/>
      </w:r>
      <w:r>
        <w:rPr>
          <w:rtl/>
        </w:rPr>
        <w:t xml:space="preserve"> הטעם שנתן 'כיון דאיתרע בנפילה' כך כתבו שם התוס' (שם ד"ה אימת) והרא"ש (שם) ז"ל, ב"י.</w:t>
      </w:r>
    </w:p>
  </w:footnote>
  <w:footnote w:id="4868">
    <w:p w14:paraId="6967884B" w14:textId="77777777" w:rsidR="0013116F" w:rsidRDefault="0013116F" w:rsidP="001D49D4">
      <w:pPr>
        <w:pStyle w:val="a9"/>
      </w:pPr>
      <w:r>
        <w:rPr>
          <w:rStyle w:val="ab"/>
        </w:rPr>
        <w:footnoteRef/>
      </w:r>
      <w:r>
        <w:rPr>
          <w:rtl/>
        </w:rPr>
        <w:t xml:space="preserve"> גם זה מטעם שכתבתי לעיל סקי"ט שכיון שהשטר מסייע להודאתו דהאדון, לא חיישינן לקנוניא, סמ"ע (סקל"ח).</w:t>
      </w:r>
    </w:p>
  </w:footnote>
  <w:footnote w:id="4869">
    <w:p w14:paraId="43E488FA" w14:textId="77777777" w:rsidR="0013116F" w:rsidRDefault="0013116F" w:rsidP="001D49D4">
      <w:pPr>
        <w:pStyle w:val="a9"/>
      </w:pPr>
      <w:r>
        <w:rPr>
          <w:rStyle w:val="ab"/>
        </w:rPr>
        <w:footnoteRef/>
      </w:r>
      <w:r>
        <w:rPr>
          <w:rtl/>
        </w:rPr>
        <w:t xml:space="preserve"> כיון דאיתרע בנפילה. טור </w:t>
      </w:r>
      <w:r>
        <w:rPr>
          <w:sz w:val="16"/>
          <w:szCs w:val="16"/>
          <w:rtl/>
        </w:rPr>
        <w:t>(סע' טו)</w:t>
      </w:r>
      <w:r>
        <w:rPr>
          <w:rtl/>
        </w:rPr>
        <w:t xml:space="preserve">. משמע אבל בשאר שטר שחרור וגט דלא איתרע בנפילה א"צ להביא ראיה </w:t>
      </w:r>
      <w:r>
        <w:rPr>
          <w:sz w:val="16"/>
          <w:szCs w:val="16"/>
          <w:rtl/>
        </w:rPr>
        <w:t>(וכתב דכן משמע יותר ברא"ש [ב"מ פ"א סי' מו] רי"ו [נ"כ ח"ב] תוס' [שם יט. ד"ה אימת] הגמ"ר [שם סי' תכג], וכן הוכיחו עוד התוס' פ"ב דגיטין [יז: ד"ה עד] והרא"ש [שם סי' ד] והרשב"א [ד"ה ור' יוחנן] והר"ן שם [ח. מדפה"ר ד"ה אבל משום], והשיגו על פירש"י שם [ד"ה עד] שפירש דבכל גיטין אמרינן אייתי ראיה אימת מטא גיטך לידך לענין טריפת לקוחות. ואין להקשות א"כ בגיטין שנפלו ניחוש דילמא בשעת טריפה לא ידעו הלקוחות שנפל. דכל גט שנמסר לאחר זמן הכתיבה קלא אית ליה, וכ"ה להדיא בדברי הפוסקים הנ"ל, ועמ"ש בסי' מ"ג סקל"ג)</w:t>
      </w:r>
      <w:r>
        <w:rPr>
          <w:rtl/>
        </w:rPr>
        <w:t xml:space="preserve">, ש"ך </w:t>
      </w:r>
      <w:r>
        <w:rPr>
          <w:sz w:val="16"/>
          <w:szCs w:val="16"/>
          <w:rtl/>
        </w:rPr>
        <w:t>(סקל"ד)</w:t>
      </w:r>
      <w:r>
        <w:rPr>
          <w:rtl/>
        </w:rPr>
        <w:t>.</w:t>
      </w:r>
    </w:p>
  </w:footnote>
  <w:footnote w:id="4870">
    <w:p w14:paraId="3167AF98" w14:textId="77777777" w:rsidR="0013116F" w:rsidRDefault="0013116F" w:rsidP="001D49D4">
      <w:pPr>
        <w:pStyle w:val="a9"/>
        <w:rPr>
          <w:rtl/>
        </w:rPr>
      </w:pPr>
      <w:r>
        <w:rPr>
          <w:rStyle w:val="ab"/>
        </w:rPr>
        <w:footnoteRef/>
      </w:r>
      <w:r>
        <w:rPr>
          <w:rtl/>
        </w:rPr>
        <w:t xml:space="preserve"> דכיון דאיתרע בנפילה איכא למיחש לקנוניא שאין דעתו לשחררו בו, ומה שאומר ליתנו להעבד, היינו כדי שילך העבד ויטרוף מהלוקחים מהאדון אחר זמן הכתיבה, ומשום הכי לא סגי כשמביא ראיה שבא לידו קודם הנפילה, דאכתי איכא למיחש לקנוניא. ואף הרא"ש </w:t>
      </w:r>
      <w:r>
        <w:rPr>
          <w:sz w:val="16"/>
          <w:szCs w:val="16"/>
          <w:rtl/>
        </w:rPr>
        <w:t>(ב"מ פ"א סי' מט)</w:t>
      </w:r>
      <w:r>
        <w:rPr>
          <w:rtl/>
        </w:rPr>
        <w:t xml:space="preserve"> דס"ל עדיו בחתומיו זכין לו </w:t>
      </w:r>
      <w:r>
        <w:rPr>
          <w:sz w:val="16"/>
          <w:szCs w:val="16"/>
          <w:rtl/>
        </w:rPr>
        <w:t>(וכמ"ש הטור בסימן ל"ט [סעיף כ"ג])</w:t>
      </w:r>
      <w:r>
        <w:rPr>
          <w:rtl/>
        </w:rPr>
        <w:t xml:space="preserve"> מודה בזה </w:t>
      </w:r>
      <w:r>
        <w:rPr>
          <w:sz w:val="16"/>
          <w:szCs w:val="16"/>
          <w:rtl/>
        </w:rPr>
        <w:t>(וכמו שכתבתי בסי' מ"ג בסמ"ע סקכ"ו ע"ש)</w:t>
      </w:r>
      <w:r>
        <w:rPr>
          <w:rtl/>
        </w:rPr>
        <w:t xml:space="preserve">, וזהו דלא כמ"ש הב"י ודרכ"מ [סע' טו] וכמ"ש בסעיף שאחר זה [סקמ"ב] ע"ש, סמ"ע </w:t>
      </w:r>
      <w:r>
        <w:rPr>
          <w:sz w:val="16"/>
          <w:szCs w:val="16"/>
          <w:rtl/>
        </w:rPr>
        <w:t>(סקל"ט)</w:t>
      </w:r>
      <w:r>
        <w:rPr>
          <w:rtl/>
        </w:rPr>
        <w:t xml:space="preserve">. וכתב הש"ך </w:t>
      </w:r>
      <w:r>
        <w:rPr>
          <w:sz w:val="16"/>
          <w:szCs w:val="16"/>
          <w:rtl/>
        </w:rPr>
        <w:t>(סקל"ה)</w:t>
      </w:r>
      <w:r>
        <w:rPr>
          <w:rtl/>
        </w:rPr>
        <w:t xml:space="preserve"> דנראה מדבריו דאפילו משעה שראוהו בידו אינו טורף עד הנפילה, רק משעת נפילה ואילך... דכיון שלא ראו בידו ביום הכתיבה, חיישינן שמא לא ניתן לו הגט ע"מ לשחרר רק לטרוף מיום הכתיבה. כן נראה דעת הסמ"ע. אבל לפע"ד אין דבריו נכונים, דמשמע בש"ס ופוסקים דכל אימת דמייתי ראיה שהיה הגט בידו טורף מזמן שראוהו בידו ואילך, ולא חיישינן רק לקנוניא דשמא לא ניתן לו הגט בזמנו, אבל משעת נתינת הגט ואילך תו ליכא למיחש לקנוניא, דכיון שניתן לו הגט ודאי דעתו לשחררו.</w:t>
      </w:r>
    </w:p>
  </w:footnote>
  <w:footnote w:id="4871">
    <w:p w14:paraId="71C82CB6" w14:textId="77777777" w:rsidR="0013116F" w:rsidRDefault="0013116F" w:rsidP="001D49D4">
      <w:pPr>
        <w:pStyle w:val="a9"/>
        <w:rPr>
          <w:rtl/>
        </w:rPr>
      </w:pPr>
      <w:r>
        <w:rPr>
          <w:rStyle w:val="ab"/>
        </w:rPr>
        <w:footnoteRef/>
      </w:r>
      <w:r>
        <w:rPr>
          <w:rtl/>
        </w:rPr>
        <w:t xml:space="preserve"> דאז לא חיישינן לקנוניא, דלקוחות אינהו דאפסידו אנפשייהו, סמ"ע (סק"מ).</w:t>
      </w:r>
    </w:p>
  </w:footnote>
  <w:footnote w:id="4872">
    <w:p w14:paraId="276841CC" w14:textId="77777777" w:rsidR="0013116F" w:rsidRDefault="0013116F" w:rsidP="001D49D4">
      <w:pPr>
        <w:pStyle w:val="a9"/>
        <w:rPr>
          <w:rtl/>
        </w:rPr>
      </w:pPr>
      <w:r>
        <w:rPr>
          <w:rStyle w:val="ab"/>
        </w:rPr>
        <w:footnoteRef/>
      </w:r>
      <w:r>
        <w:rPr>
          <w:rtl/>
        </w:rPr>
        <w:t xml:space="preserve"> היינו כשכתוב בשטר בהדיא מעכשיו, או מיירי שהעדים זכו מיד בהשטר להמלוה ושיהא מיד ברשות המלוה דהוה כאילו זכה ביה המלוה, סמ"ע (סקמ"א). וכתב הש"ך (סקל"ו)- ולפי מה שהשגתי בסימן ל"ט סק"מ על הר"ב בזה, א"כ להמחבר והפוסקים כרב אסי אין חילוק בין מעכשיו, אך למאן דפסק כאביי א"כ גם בכאן עדיו בחתומיו זכין לו וכמ"ש הב"י וד"מ וכמ"ש לעיל סקל"ג.</w:t>
      </w:r>
    </w:p>
  </w:footnote>
  <w:footnote w:id="4873">
    <w:p w14:paraId="65B0F65D" w14:textId="77777777" w:rsidR="0013116F" w:rsidRDefault="0013116F" w:rsidP="001D49D4">
      <w:pPr>
        <w:pStyle w:val="a9"/>
        <w:rPr>
          <w:rtl/>
        </w:rPr>
      </w:pPr>
      <w:r>
        <w:rPr>
          <w:rStyle w:val="ab"/>
        </w:rPr>
        <w:footnoteRef/>
      </w:r>
      <w:r>
        <w:rPr>
          <w:rtl/>
        </w:rPr>
        <w:t xml:space="preserve"> </w:t>
      </w:r>
      <w:r>
        <w:rPr>
          <w:rFonts w:hint="cs"/>
          <w:rtl/>
        </w:rPr>
        <w:t>סימן – ירחון טעים</w:t>
      </w:r>
      <w:r>
        <w:rPr>
          <w:sz w:val="14"/>
          <w:szCs w:val="14"/>
          <w:rtl/>
        </w:rPr>
        <w:t xml:space="preserve"> </w:t>
      </w:r>
      <w:r>
        <w:rPr>
          <w:sz w:val="16"/>
          <w:szCs w:val="16"/>
          <w:rtl/>
        </w:rPr>
        <w:t>(היינו מתנה שהיא נעימה למקבלה, הסימן הוא לדף יט שבו עיקר ענייננו)</w:t>
      </w:r>
      <w:r>
        <w:rPr>
          <w:rtl/>
        </w:rPr>
        <w:t>.</w:t>
      </w:r>
    </w:p>
  </w:footnote>
  <w:footnote w:id="4874">
    <w:p w14:paraId="50E84405" w14:textId="77777777" w:rsidR="0013116F" w:rsidRDefault="0013116F" w:rsidP="001D49D4">
      <w:pPr>
        <w:pStyle w:val="a9"/>
      </w:pPr>
      <w:r>
        <w:rPr>
          <w:rStyle w:val="ab"/>
        </w:rPr>
        <w:footnoteRef/>
      </w:r>
      <w:r>
        <w:rPr>
          <w:rtl/>
        </w:rPr>
        <w:t xml:space="preserve"> </w:t>
      </w:r>
      <w:r>
        <w:rPr>
          <w:rFonts w:hint="cs"/>
          <w:rtl/>
        </w:rPr>
        <w:t>מתנת שכיב מרע, ב"י.</w:t>
      </w:r>
    </w:p>
  </w:footnote>
  <w:footnote w:id="4875">
    <w:p w14:paraId="798665C7" w14:textId="77777777" w:rsidR="0013116F" w:rsidRDefault="0013116F" w:rsidP="001D49D4">
      <w:pPr>
        <w:pStyle w:val="a9"/>
      </w:pPr>
      <w:r>
        <w:rPr>
          <w:rStyle w:val="ab"/>
        </w:rPr>
        <w:footnoteRef/>
      </w:r>
      <w:r>
        <w:rPr>
          <w:rtl/>
        </w:rPr>
        <w:t xml:space="preserve"> </w:t>
      </w:r>
      <w:r>
        <w:rPr>
          <w:rFonts w:hint="cs"/>
          <w:rtl/>
        </w:rPr>
        <w:t>מתנת ברי, ב"י.</w:t>
      </w:r>
    </w:p>
  </w:footnote>
  <w:footnote w:id="4876">
    <w:p w14:paraId="33FB8E10" w14:textId="77777777" w:rsidR="0013116F" w:rsidRDefault="0013116F" w:rsidP="001D49D4">
      <w:pPr>
        <w:pStyle w:val="a9"/>
      </w:pPr>
      <w:r>
        <w:rPr>
          <w:rStyle w:val="ab"/>
        </w:rPr>
        <w:footnoteRef/>
      </w:r>
      <w:r>
        <w:rPr>
          <w:rtl/>
        </w:rPr>
        <w:t xml:space="preserve"> שטר זה יהיה לקום ולהיות בכל הכתוב בו, דדברי שכיב מרע ככתובין וכמסורין דמי, רש"י.</w:t>
      </w:r>
    </w:p>
  </w:footnote>
  <w:footnote w:id="4877">
    <w:p w14:paraId="5485BE93" w14:textId="77777777" w:rsidR="0013116F" w:rsidRDefault="0013116F" w:rsidP="001D49D4">
      <w:pPr>
        <w:pStyle w:val="a9"/>
        <w:rPr>
          <w:sz w:val="14"/>
          <w:szCs w:val="14"/>
        </w:rPr>
      </w:pPr>
      <w:r>
        <w:rPr>
          <w:rStyle w:val="ab"/>
        </w:rPr>
        <w:footnoteRef/>
      </w:r>
      <w:r>
        <w:rPr>
          <w:rtl/>
        </w:rPr>
        <w:t xml:space="preserve"> כלומר: שטר שכתוב בו מה שציוה השכיב מרע, שיעשו בנכסיו לאחר מותו, ואף שלא נמסר שטר זה לידי המקבל הרי הוא כאילו נמסר לו ויקום ויהיה, כי דברי שכיב מרע ככתובין וכמסורין דמי, ואין צריך שטר או קנין </w:t>
      </w:r>
      <w:r>
        <w:rPr>
          <w:sz w:val="14"/>
          <w:szCs w:val="14"/>
          <w:rtl/>
        </w:rPr>
        <w:t>(חברותא)</w:t>
      </w:r>
      <w:r>
        <w:rPr>
          <w:rtl/>
        </w:rPr>
        <w:t>.</w:t>
      </w:r>
    </w:p>
  </w:footnote>
  <w:footnote w:id="4878">
    <w:p w14:paraId="29ECE12D" w14:textId="77777777" w:rsidR="0013116F" w:rsidRDefault="0013116F" w:rsidP="001D49D4">
      <w:pPr>
        <w:pStyle w:val="a9"/>
        <w:rPr>
          <w:rtl/>
        </w:rPr>
      </w:pPr>
      <w:r>
        <w:rPr>
          <w:rStyle w:val="ab"/>
        </w:rPr>
        <w:footnoteRef/>
      </w:r>
      <w:r>
        <w:rPr>
          <w:rtl/>
        </w:rPr>
        <w:t xml:space="preserve"> מתנת בריא איזו היא, כל שכתוב בו כו', רש"י. </w:t>
      </w:r>
    </w:p>
  </w:footnote>
  <w:footnote w:id="4879">
    <w:p w14:paraId="7F8731AB" w14:textId="77777777" w:rsidR="0013116F" w:rsidRDefault="0013116F" w:rsidP="001D49D4">
      <w:pPr>
        <w:pStyle w:val="a9"/>
      </w:pPr>
      <w:r>
        <w:rPr>
          <w:rStyle w:val="ab"/>
        </w:rPr>
        <w:footnoteRef/>
      </w:r>
      <w:r>
        <w:rPr>
          <w:rtl/>
        </w:rPr>
        <w:t xml:space="preserve"> גוף הקרקע קנוי לו מן היום, ואין לו עוד רשות למוכרה וליתנה ולהורישה, והפירות אינו אוכל כל ימי חייו אלא לאחר מיתה, רש"י.</w:t>
      </w:r>
    </w:p>
  </w:footnote>
  <w:footnote w:id="4880">
    <w:p w14:paraId="0089616A" w14:textId="77777777" w:rsidR="0013116F" w:rsidRDefault="0013116F" w:rsidP="001D49D4">
      <w:pPr>
        <w:pStyle w:val="a9"/>
      </w:pPr>
      <w:r>
        <w:rPr>
          <w:rStyle w:val="ab"/>
        </w:rPr>
        <w:footnoteRef/>
      </w:r>
      <w:r>
        <w:rPr>
          <w:rtl/>
        </w:rPr>
        <w:t xml:space="preserve"> וכי אין אדם יכול לתת מתנה גמורה מהיום? דהרי כל שכן הוא דאם יהיב ליה גוף ופירות במעכשיו דקני טפי, דסתם מתנת שכיב מרע לא קניא לו אלא לאחר מיתה, דמחמת מיתה הוא מצווה, ע"פ רש"י.</w:t>
      </w:r>
    </w:p>
  </w:footnote>
  <w:footnote w:id="4881">
    <w:p w14:paraId="316ACF63" w14:textId="77777777" w:rsidR="0013116F" w:rsidRDefault="0013116F" w:rsidP="001D49D4">
      <w:pPr>
        <w:pStyle w:val="a9"/>
        <w:rPr>
          <w:color w:val="000000" w:themeColor="text1"/>
          <w:rtl/>
        </w:rPr>
      </w:pPr>
      <w:r>
        <w:rPr>
          <w:rStyle w:val="ab"/>
        </w:rPr>
        <w:footnoteRef/>
      </w:r>
      <w:r>
        <w:rPr>
          <w:rtl/>
        </w:rPr>
        <w:t xml:space="preserve"> פירוש, שמפורש בה מהיום אם לא אחזור בי כל ימי חיי אז תחול המתנה מהיום, וכל ימי חייו יכול לחזור בו. ובהכי מיתוקמא מתנות דמתניתין דדייקינן הא אמר תנו נותנין, רא"ש (סי' מז). וכתב הב"י דנראה הטעם דכיון ששייר לעצמו כדי שיוכל לחזור בו, תו לא מצי מקבל מתנה למטרף לקוחות, דכיון שמכר הנותן ולא נשארו לו נכסים אחרים שיגבה מהם המקבל מתנה - נמצא שחזר בו הנותן. ורש"י פירש בענין </w:t>
      </w:r>
      <w:r>
        <w:rPr>
          <w:color w:val="000000" w:themeColor="text1"/>
          <w:rtl/>
        </w:rPr>
        <w:t>אחר. והטעם דכשהיא מתנת בריא לגמרי מהיום אמר תנו אין נותנין - משום דשמא כתב ליתן ולא נתן ואח"כ מכר או נתן שדה זו לאחר וחוזר בו ומודה לזה כדי לעשות קנוניא על האחרון שנתן או מכר לו</w:t>
      </w:r>
      <w:r>
        <w:rPr>
          <w:color w:val="000000" w:themeColor="text1"/>
          <w:sz w:val="16"/>
          <w:szCs w:val="16"/>
          <w:rtl/>
        </w:rPr>
        <w:t xml:space="preserve"> {וכמו שיתבאר לקמן בסמוך}</w:t>
      </w:r>
      <w:r>
        <w:rPr>
          <w:color w:val="000000" w:themeColor="text1"/>
          <w:rtl/>
        </w:rPr>
        <w:t>.</w:t>
      </w:r>
    </w:p>
  </w:footnote>
  <w:footnote w:id="4882">
    <w:p w14:paraId="69A2E56D" w14:textId="77777777" w:rsidR="0013116F" w:rsidRDefault="0013116F" w:rsidP="001D49D4">
      <w:pPr>
        <w:pStyle w:val="a9"/>
        <w:rPr>
          <w:rtl/>
        </w:rPr>
      </w:pPr>
      <w:r>
        <w:rPr>
          <w:rStyle w:val="ab"/>
        </w:rPr>
        <w:footnoteRef/>
      </w:r>
      <w:r>
        <w:rPr>
          <w:rtl/>
        </w:rPr>
        <w:t xml:space="preserve"> מ"ש רבינו בשטר הקנאה דמחזירין בכל גוונא. כתב הה"מ (פי"ח מהל' גזילה ה"ט ד"ה מצא) שכך כתבו הרמב"ן (יג. ד"ה הא) והרשב"א (יג. ד"ה בשטרי) משום דסבירא להו דמשעה שקנו מידו זכה אפילו לא מטא שטרא לידיה, וכן דעת רש"י ון' מיגאש. אבל להרי"ף ור"ח דסברי דכל דלא מטא שטרא לידיה לא קנה, וכמש"כ סי' ל"ט (סכ"ג), אפילו בשטרי הקנאה לא יחזיר </w:t>
      </w:r>
      <w:r>
        <w:rPr>
          <w:sz w:val="16"/>
          <w:szCs w:val="16"/>
          <w:rtl/>
        </w:rPr>
        <w:t>(ואם כן אין חילוק בין שטרי הקנאה לשטרי אחריני, דרכ"מ [אות ד])</w:t>
      </w:r>
      <w:r>
        <w:rPr>
          <w:rtl/>
        </w:rPr>
        <w:t xml:space="preserve">. וכבר כתבתי בסימן ל"ט דלית הלכתא כר"ח והרי"ף בהא לפי שכל הפוסקים חולקים עליהם. וכתב נמוק"י (יא.) שהקשה הרנב"ר </w:t>
      </w:r>
      <w:r>
        <w:rPr>
          <w:sz w:val="16"/>
          <w:szCs w:val="16"/>
          <w:rtl/>
        </w:rPr>
        <w:t xml:space="preserve">(יט: ד"ה הא ביה) </w:t>
      </w:r>
      <w:r>
        <w:rPr>
          <w:rtl/>
        </w:rPr>
        <w:t>דכיון דלאו שטרי אקנייתא נינהו למאי חיישינן דילמא כתב ליתן ונמלך, הא בשטרי דלאו אקנייתא לית להו לסהדי למיכתב לנותן אא"כ מקבל מתנה עמו ומסר ליה לדידיה. ותירץ דאפילו בשטרי דלאו אקנייתא כותבין אפילו לכתחלה, משום דמילתא דלא שכיחא הוא שיחזור הנותן ויתן לאחר ואח"כ יתן השטר האחר ליד זה, ב"י.</w:t>
      </w:r>
    </w:p>
  </w:footnote>
  <w:footnote w:id="4883">
    <w:p w14:paraId="2948717C" w14:textId="77777777" w:rsidR="0013116F" w:rsidRDefault="0013116F" w:rsidP="001D49D4">
      <w:pPr>
        <w:pStyle w:val="a9"/>
        <w:rPr>
          <w:color w:val="000000" w:themeColor="text1"/>
        </w:rPr>
      </w:pPr>
      <w:r>
        <w:rPr>
          <w:rStyle w:val="ab"/>
          <w:color w:val="000000" w:themeColor="text1"/>
        </w:rPr>
        <w:footnoteRef/>
      </w:r>
      <w:r>
        <w:rPr>
          <w:color w:val="000000" w:themeColor="text1"/>
          <w:rtl/>
        </w:rPr>
        <w:t xml:space="preserve"> אמתניתין פריך, דתלי טעמא בשאני אומר נמלך עליהם שלא לתנן, רש"י.</w:t>
      </w:r>
    </w:p>
  </w:footnote>
  <w:footnote w:id="4884">
    <w:p w14:paraId="5B366CF9" w14:textId="77777777" w:rsidR="0013116F" w:rsidRDefault="0013116F" w:rsidP="001D49D4">
      <w:pPr>
        <w:pStyle w:val="a9"/>
        <w:rPr>
          <w:color w:val="000000" w:themeColor="text1"/>
          <w:rtl/>
        </w:rPr>
      </w:pPr>
      <w:r>
        <w:rPr>
          <w:rStyle w:val="ab"/>
          <w:color w:val="000000" w:themeColor="text1"/>
        </w:rPr>
        <w:footnoteRef/>
      </w:r>
      <w:r>
        <w:rPr>
          <w:color w:val="000000" w:themeColor="text1"/>
          <w:rtl/>
        </w:rPr>
        <w:t xml:space="preserve"> שעשה לו שדה אפותיקי למלוה על פה, שהיתה לו עליו מלוה ישנה, רש"י.</w:t>
      </w:r>
    </w:p>
  </w:footnote>
  <w:footnote w:id="4885">
    <w:p w14:paraId="51FF7EDF" w14:textId="77777777" w:rsidR="0013116F" w:rsidRDefault="0013116F" w:rsidP="001D49D4">
      <w:pPr>
        <w:pStyle w:val="a9"/>
      </w:pPr>
      <w:r>
        <w:rPr>
          <w:rStyle w:val="ab"/>
        </w:rPr>
        <w:footnoteRef/>
      </w:r>
      <w:r>
        <w:rPr>
          <w:rtl/>
        </w:rPr>
        <w:t xml:space="preserve"> שמא כתבה לזה ולא מסר לו, ולא זכה בקרקע, וחזר וכתב לאחר ומסר לו השטר, וזכה בו, ובא לחזור בו מן השני, ורוצה לתת לראשון, וחפץ שימסרו לו שטר זה שיוציאנה בבית דין, ונמצא זמן שטר של זה קודם לשטרו של שני, ויוציאנה מידו בדין, רש"י.</w:t>
      </w:r>
    </w:p>
  </w:footnote>
  <w:footnote w:id="4886">
    <w:p w14:paraId="51B318DD" w14:textId="77777777" w:rsidR="0013116F" w:rsidRDefault="0013116F" w:rsidP="001D49D4">
      <w:pPr>
        <w:pStyle w:val="a9"/>
        <w:rPr>
          <w:rtl/>
        </w:rPr>
      </w:pPr>
      <w:r>
        <w:rPr>
          <w:rStyle w:val="ab"/>
        </w:rPr>
        <w:footnoteRef/>
      </w:r>
      <w:r>
        <w:rPr>
          <w:rtl/>
        </w:rPr>
        <w:t xml:space="preserve"> שיכול לחזור במתנתו אם כתב שני שטרות - השני זוכה שהרי חזר בו מראשון, רש"י.</w:t>
      </w:r>
    </w:p>
  </w:footnote>
  <w:footnote w:id="4887">
    <w:p w14:paraId="5ECDA6AF" w14:textId="77777777" w:rsidR="0013116F" w:rsidRDefault="0013116F" w:rsidP="001D49D4">
      <w:pPr>
        <w:pStyle w:val="a9"/>
        <w:rPr>
          <w:rtl/>
        </w:rPr>
      </w:pPr>
      <w:r>
        <w:rPr>
          <w:rStyle w:val="ab"/>
        </w:rPr>
        <w:footnoteRef/>
      </w:r>
      <w:r>
        <w:rPr>
          <w:rtl/>
        </w:rPr>
        <w:t xml:space="preserve"> </w:t>
      </w:r>
      <w:r>
        <w:rPr>
          <w:rFonts w:hint="cs"/>
          <w:rtl/>
        </w:rPr>
        <w:t>פירוש, אחרי שמת אביו.</w:t>
      </w:r>
    </w:p>
  </w:footnote>
  <w:footnote w:id="4888">
    <w:p w14:paraId="12805D98" w14:textId="77777777" w:rsidR="0013116F" w:rsidRDefault="0013116F" w:rsidP="001D49D4">
      <w:pPr>
        <w:pStyle w:val="a9"/>
        <w:rPr>
          <w:rtl/>
        </w:rPr>
      </w:pPr>
      <w:r>
        <w:rPr>
          <w:rStyle w:val="ab"/>
        </w:rPr>
        <w:footnoteRef/>
      </w:r>
      <w:r>
        <w:rPr>
          <w:rtl/>
        </w:rPr>
        <w:t xml:space="preserve"> שמא כתב אביו של זה את השטר שלפנינו, אך נתחרט ולא מסר לו את השטר, ולא זכה המקבל בשדה, ולאחר מיתת האב, הלך הבן שירש את אביו וכתב שטר על השדה לאדם אחר ומסרה לו, ושלו היא כיון שהאב לא נתן את השטר לראשון, ושמא עכשיו חוזר בו הבן ממה שנתן לשני, ואומר הוא בלבו: "הרי לחזור בי איני יכול, ולכן: אשקר לב"ד, ואומר: שאבא נתן את השטר הזה לראשון, ויתנו לו את השטר, ונלך ונוציא את השדה מן השני שהוא הזוכה האמיתי, ואחלוק אני עם הראשון בשדה" </w:t>
      </w:r>
      <w:r>
        <w:rPr>
          <w:sz w:val="14"/>
          <w:szCs w:val="14"/>
          <w:rtl/>
        </w:rPr>
        <w:t>(חברותא)</w:t>
      </w:r>
      <w:r>
        <w:rPr>
          <w:rtl/>
        </w:rPr>
        <w:t>.</w:t>
      </w:r>
    </w:p>
  </w:footnote>
  <w:footnote w:id="4889">
    <w:p w14:paraId="619357C6" w14:textId="77777777" w:rsidR="0013116F" w:rsidRDefault="0013116F" w:rsidP="001D49D4">
      <w:pPr>
        <w:pStyle w:val="a9"/>
        <w:rPr>
          <w:rtl/>
        </w:rPr>
      </w:pPr>
      <w:r>
        <w:rPr>
          <w:rStyle w:val="ab"/>
        </w:rPr>
        <w:footnoteRef/>
      </w:r>
      <w:r>
        <w:rPr>
          <w:rtl/>
        </w:rPr>
        <w:t xml:space="preserve"> ולפיכך אומרים אנו לבן: "אנחנו את השטר לא נחזיר לזה, ומשום שחוששים אנו שמא אביך כתב לו ולא מסרה, ואחר כך נתת אתה את השדה לאיש אחר, ואילו עכשיו חוזר אתה בך, ולכן אתה אומר להחזיר לשני; ולכן אומרים אנו לך: אם אכן אמת הוא כאשר אתה אומר, שאביך נתן לו את השטר, אם כן כתוב לו עכשיו שטר אחר, ובאופן זה בטוחים אנו שלא יפסיד שום אדם, כי אם באמת לא נתן אביך לזה את השטר ואתה נתת את השדה לאחר, הלוא לא ייפסד אותו אחר, שהרי לכשיבואו שני השטרות לבית הדין יזכה בה האחר שנתת לו, שתאריכו קודם לשטר החדש, וכשיש ראשון ושני זוכה הראשון, היות ומתנותיך מתנות בריא הם", והיינו ברייתא! </w:t>
      </w:r>
      <w:r>
        <w:rPr>
          <w:sz w:val="14"/>
          <w:szCs w:val="14"/>
          <w:rtl/>
        </w:rPr>
        <w:t>(חברותא)</w:t>
      </w:r>
      <w:r>
        <w:rPr>
          <w:rtl/>
        </w:rPr>
        <w:t>.</w:t>
      </w:r>
    </w:p>
  </w:footnote>
  <w:footnote w:id="4890">
    <w:p w14:paraId="6C9B32AD" w14:textId="77777777" w:rsidR="0013116F" w:rsidRDefault="0013116F" w:rsidP="001D49D4">
      <w:pPr>
        <w:pStyle w:val="a9"/>
        <w:rPr>
          <w:rtl/>
        </w:rPr>
      </w:pPr>
      <w:r>
        <w:rPr>
          <w:rStyle w:val="ab"/>
        </w:rPr>
        <w:footnoteRef/>
      </w:r>
      <w:r>
        <w:rPr>
          <w:rtl/>
        </w:rPr>
        <w:t xml:space="preserve"> הוא ג"כ מטעם שכתבתי דחיישינן לקנוניא, דשמא אין דעתו שיזכה בו זה אלא נתנו לו כדי שיפקיע בשטר זה מיד מי שנתן או מכר לו זה השדה אחר זמן שנכתב שטר זה. ומשום הכי נראה דגם בזה אם יביא זה המקבל או הלוקח הנזכר בשטר זה ראיה שבא לידו השטר מיום הכתיבה, דמחזירין אותו לידו, ולא הוצרך לפרשו כאן דסמך אמ"ש בדין דלפני זה, אבל בשט"ח אין מחזירין להמלוה אפילו מביא ראיה שמטא לידו מזמן שכתוב בו, דאכתי איכא למיחש שפרע לו דהא שט"ח עומד להפרע..., סמ"ע (סקמ"ב). וכתב הש"ך (סקל"ז)- כתב מהרש"ל (בחידושיו לטור) דדין זה הוא לדעת הרי"ף (ב"מ ו. מדפה"ר) והרמב"ם (פכ"ג ממלוה ה"ה), ולא אליבא דהלכתא לפי מה שפסקו התוס' (כתובות צד: ד"ה כתב) והרא"ש (ב"מ פ"א סי' מט) כאביי דעדיו בחתומיו זכין לו, דלדידהו אין חילוק בין שטר הקנאה לשאר שטרות, אלא לעולם כשמודה נותנים לו, אם לא בשכ"מ ובבריה, עכ"ל. וכן עיקר, ודלא כהב"ח [סעיף י"ז] שהשיג עליו וכתב דמ"מ חיישינן שמא כתב ליתן ולא נתן והשליכו לאשפה, דנתבטל השטר לגמרי וחספא בעלמא הוא ולא אמרינן בכה"ג עדיו בחתומיו זכין לו כו', ע"ש שהאריך בזה.</w:t>
      </w:r>
    </w:p>
  </w:footnote>
  <w:footnote w:id="4891">
    <w:p w14:paraId="18F3F855" w14:textId="77777777" w:rsidR="0013116F" w:rsidRDefault="0013116F" w:rsidP="001D49D4">
      <w:pPr>
        <w:pStyle w:val="a9"/>
        <w:rPr>
          <w:rtl/>
        </w:rPr>
      </w:pPr>
      <w:r>
        <w:rPr>
          <w:rStyle w:val="ab"/>
        </w:rPr>
        <w:footnoteRef/>
      </w:r>
      <w:r>
        <w:rPr>
          <w:rtl/>
        </w:rPr>
        <w:t xml:space="preserve"> ה"ה אם שייר בשטר מכר. והטעם, דאז אם מכר או נתן לאחר אינו יכול להפקיע מידו בשטר זה, דהרי כשמכר או נתן לאחר חזר בו מהראשון, סמ"ע (סקמ"ג).</w:t>
      </w:r>
    </w:p>
  </w:footnote>
  <w:footnote w:id="4892">
    <w:p w14:paraId="628A947E" w14:textId="77777777" w:rsidR="0013116F" w:rsidRDefault="0013116F" w:rsidP="001D49D4">
      <w:pPr>
        <w:pStyle w:val="a9"/>
      </w:pPr>
      <w:r>
        <w:rPr>
          <w:rStyle w:val="ab"/>
        </w:rPr>
        <w:footnoteRef/>
      </w:r>
      <w:r>
        <w:rPr>
          <w:rtl/>
        </w:rPr>
        <w:t xml:space="preserve"> פירוש, אפילו ידוע שלא הגיע לידו, וגם הנותן והמוכר מוחים עתה ליתן לו, אפ"ה יחזיר </w:t>
      </w:r>
      <w:r>
        <w:rPr>
          <w:sz w:val="16"/>
          <w:szCs w:val="16"/>
          <w:rtl/>
        </w:rPr>
        <w:t>(וכמש"כ לעיל סי' לט סקל"ט)</w:t>
      </w:r>
      <w:r>
        <w:rPr>
          <w:rtl/>
        </w:rPr>
        <w:t>, ש"ך</w:t>
      </w:r>
      <w:r>
        <w:rPr>
          <w:sz w:val="16"/>
          <w:szCs w:val="16"/>
          <w:rtl/>
        </w:rPr>
        <w:t xml:space="preserve"> (סקל"ח)</w:t>
      </w:r>
      <w:r>
        <w:rPr>
          <w:rtl/>
        </w:rPr>
        <w:t>.</w:t>
      </w:r>
    </w:p>
  </w:footnote>
  <w:footnote w:id="4893">
    <w:p w14:paraId="796F87C7" w14:textId="77777777" w:rsidR="0013116F" w:rsidRDefault="0013116F" w:rsidP="001D49D4">
      <w:pPr>
        <w:pStyle w:val="a9"/>
        <w:rPr>
          <w:rtl/>
        </w:rPr>
      </w:pPr>
      <w:r>
        <w:rPr>
          <w:rStyle w:val="ab"/>
        </w:rPr>
        <w:footnoteRef/>
      </w:r>
      <w:r>
        <w:rPr>
          <w:rtl/>
        </w:rPr>
        <w:t xml:space="preserve"> דבשכיב מרע אף שלא פירש ששייר לעצמו כח שיוכל לחזור בו, סתמא כפירושו דמי, וכמ"ש לקמן סי' ר"ן </w:t>
      </w:r>
      <w:r>
        <w:rPr>
          <w:sz w:val="16"/>
          <w:szCs w:val="16"/>
          <w:rtl/>
        </w:rPr>
        <w:t>[סע' ב]</w:t>
      </w:r>
      <w:r>
        <w:rPr>
          <w:rtl/>
        </w:rPr>
        <w:t>, סמ"ע</w:t>
      </w:r>
      <w:r>
        <w:rPr>
          <w:sz w:val="16"/>
          <w:szCs w:val="16"/>
          <w:rtl/>
        </w:rPr>
        <w:t xml:space="preserve"> (סקמ"ה)</w:t>
      </w:r>
      <w:r>
        <w:rPr>
          <w:rtl/>
        </w:rPr>
        <w:t>.</w:t>
      </w:r>
    </w:p>
  </w:footnote>
  <w:footnote w:id="4894">
    <w:p w14:paraId="46B8CD9C" w14:textId="77777777" w:rsidR="0013116F" w:rsidRDefault="0013116F" w:rsidP="001D49D4">
      <w:pPr>
        <w:pStyle w:val="a9"/>
        <w:rPr>
          <w:rtl/>
        </w:rPr>
      </w:pPr>
      <w:r>
        <w:rPr>
          <w:rStyle w:val="ab"/>
        </w:rPr>
        <w:footnoteRef/>
      </w:r>
      <w:r>
        <w:rPr>
          <w:rtl/>
        </w:rPr>
        <w:t xml:space="preserve"> </w:t>
      </w:r>
      <w:r>
        <w:rPr>
          <w:rFonts w:hint="cs"/>
          <w:rtl/>
        </w:rPr>
        <w:t>סימן - זה זכה זהב וזה זכה זעיר.</w:t>
      </w:r>
    </w:p>
  </w:footnote>
  <w:footnote w:id="4895">
    <w:p w14:paraId="3AB4BE4D" w14:textId="77777777" w:rsidR="0013116F" w:rsidRDefault="0013116F" w:rsidP="001D49D4">
      <w:pPr>
        <w:pStyle w:val="a9"/>
        <w:rPr>
          <w:rtl/>
        </w:rPr>
      </w:pPr>
      <w:r>
        <w:rPr>
          <w:rStyle w:val="ab"/>
        </w:rPr>
        <w:footnoteRef/>
      </w:r>
      <w:r>
        <w:rPr>
          <w:rtl/>
        </w:rPr>
        <w:t xml:space="preserve"> ופסקו הרי"ף (ג:) והרא"ש (סי' טו) הלכה כרבי, וכ"פ הרמב"ם פי"ד מהל' מלוה ולוה (הי"ד), ב"י.</w:t>
      </w:r>
    </w:p>
  </w:footnote>
  <w:footnote w:id="4896">
    <w:p w14:paraId="42F567A4" w14:textId="77777777" w:rsidR="0013116F" w:rsidRDefault="0013116F" w:rsidP="001D49D4">
      <w:pPr>
        <w:pStyle w:val="a9"/>
        <w:rPr>
          <w:rtl/>
        </w:rPr>
      </w:pPr>
      <w:r>
        <w:rPr>
          <w:rStyle w:val="ab"/>
        </w:rPr>
        <w:footnoteRef/>
      </w:r>
      <w:r>
        <w:rPr>
          <w:rtl/>
        </w:rPr>
        <w:t xml:space="preserve"> דכי אמרינן דיתקיים השטר בחותמיו - לא למגבי מלוה כולו קאמר, אלא למגבי פלגיה, ופלוגתייהו כשאינו מקוים, רבי סבר אף על פי שהלוה מודה ליה שכתב שטר זה ולוה לו מעות - צריך המלוה לקיימו בחותמיו, ואפילו השטר בידו - נאמן הלוה לומר פרעתיך, דכל זמן שאינו מקוים מאן קמשוי ליה שטרא - לוה שמודה לו שכתבו, הא אמר דפריע, אבל משהשטר מוחזק על פי עדיו - אין הלוה נאמן לומר פרעתי, הלכך, זה ששניהם מוחזקים, אי מקיים ליה מלוה בעדות ומשוי ליה שטר מעליא - אין הלוה נאמן באמירתו אלא על ידי חזקה, זה שאדוק בו, והרי הוא כשאר מציאה – ופליג, רש"י.</w:t>
      </w:r>
    </w:p>
  </w:footnote>
  <w:footnote w:id="4897">
    <w:p w14:paraId="5B95C5FC" w14:textId="77777777" w:rsidR="0013116F" w:rsidRDefault="0013116F" w:rsidP="001D49D4">
      <w:pPr>
        <w:pStyle w:val="a9"/>
        <w:rPr>
          <w:rtl/>
        </w:rPr>
      </w:pPr>
      <w:r>
        <w:rPr>
          <w:rStyle w:val="ab"/>
        </w:rPr>
        <w:footnoteRef/>
      </w:r>
      <w:r>
        <w:rPr>
          <w:rtl/>
        </w:rPr>
        <w:t xml:space="preserve"> האי יחלוקו דקאמר רבי שמעון, רש"י. ועיין לקמן דכתב הב"י שהטור ס"ל דאע"ג דפירש"י דברים אילו אגב דברי רבי שמעון בן גמליאל – מכל מקום חילוק זה שייך אף אמאי דאמר רבא 'במקויים דברי הכל יחלוקו'.</w:t>
      </w:r>
    </w:p>
  </w:footnote>
  <w:footnote w:id="4898">
    <w:p w14:paraId="1BD9325C" w14:textId="77777777" w:rsidR="0013116F" w:rsidRDefault="0013116F" w:rsidP="001D49D4">
      <w:pPr>
        <w:pStyle w:val="a9"/>
      </w:pPr>
      <w:r>
        <w:rPr>
          <w:rStyle w:val="ab"/>
        </w:rPr>
        <w:footnoteRef/>
      </w:r>
      <w:r>
        <w:rPr>
          <w:rtl/>
        </w:rPr>
        <w:t xml:space="preserve"> ומר אמר חדא ומר אמר חדא ולא פליגי, רש"י.</w:t>
      </w:r>
    </w:p>
  </w:footnote>
  <w:footnote w:id="4899">
    <w:p w14:paraId="766DB6C8" w14:textId="77777777" w:rsidR="0013116F" w:rsidRDefault="0013116F" w:rsidP="001D49D4">
      <w:pPr>
        <w:pStyle w:val="a9"/>
        <w:rPr>
          <w:rtl/>
        </w:rPr>
      </w:pPr>
      <w:r>
        <w:rPr>
          <w:rStyle w:val="ab"/>
        </w:rPr>
        <w:footnoteRef/>
      </w:r>
      <w:r>
        <w:rPr>
          <w:rtl/>
        </w:rPr>
        <w:t xml:space="preserve"> סובר רבינו דאע"ג דפירש רש"י 'מחלוקת - האי יחלוקו דקאמר רבי שמעון' הוא הדין דקאי נמי אמאי דאמר רבא במקויים דברי הכל יחלוקו, וכל יחלוקו דהאי שמעתתא היינו כגוונא דמתניתין (ב.) דכל אחד ישבע שאין לו בה פחות מחציה ויחלוקו, ב"י.</w:t>
      </w:r>
    </w:p>
  </w:footnote>
  <w:footnote w:id="4900">
    <w:p w14:paraId="6A09FBCF" w14:textId="77777777" w:rsidR="0013116F" w:rsidRDefault="0013116F" w:rsidP="001D49D4">
      <w:pPr>
        <w:pStyle w:val="a9"/>
      </w:pPr>
      <w:r>
        <w:rPr>
          <w:rStyle w:val="ab"/>
        </w:rPr>
        <w:footnoteRef/>
      </w:r>
      <w:r>
        <w:rPr>
          <w:rtl/>
        </w:rPr>
        <w:t xml:space="preserve"> כן משמע מדברי בעל התרומות שאכתוב בסמוך אצל לא נמצא עליו שובר אע"פ שנמצא בין שטרות קרועים לא גרע</w:t>
      </w:r>
      <w:r>
        <w:rPr>
          <w:sz w:val="16"/>
          <w:szCs w:val="16"/>
          <w:rtl/>
        </w:rPr>
        <w:t xml:space="preserve"> (סכ"ה)</w:t>
      </w:r>
      <w:r>
        <w:rPr>
          <w:rtl/>
        </w:rPr>
        <w:t>, ב"י.</w:t>
      </w:r>
    </w:p>
  </w:footnote>
  <w:footnote w:id="4901">
    <w:p w14:paraId="1C0E166F" w14:textId="77777777" w:rsidR="0013116F" w:rsidRDefault="0013116F" w:rsidP="001D49D4">
      <w:pPr>
        <w:pStyle w:val="a9"/>
        <w:rPr>
          <w:rtl/>
        </w:rPr>
      </w:pPr>
      <w:r>
        <w:rPr>
          <w:rStyle w:val="ab"/>
        </w:rPr>
        <w:footnoteRef/>
      </w:r>
      <w:r>
        <w:rPr>
          <w:rtl/>
        </w:rPr>
        <w:t xml:space="preserve"> </w:t>
      </w:r>
      <w:r>
        <w:rPr>
          <w:rFonts w:hint="cs"/>
          <w:rtl/>
        </w:rPr>
        <w:t xml:space="preserve">ישנה מחלוקת האם זמן הוא חלק מהתורף, הרמב"ם הה"מ </w:t>
      </w:r>
      <w:r>
        <w:rPr>
          <w:rFonts w:ascii="Arial" w:hAnsi="Arial"/>
          <w:sz w:val="16"/>
          <w:szCs w:val="16"/>
          <w:rtl/>
        </w:rPr>
        <w:t>(סוף פי"ד מהל' מלוה הי"ד)</w:t>
      </w:r>
      <w:r>
        <w:rPr>
          <w:rtl/>
        </w:rPr>
        <w:t xml:space="preserve"> והרשב"א </w:t>
      </w:r>
      <w:r>
        <w:rPr>
          <w:sz w:val="16"/>
          <w:szCs w:val="16"/>
          <w:rtl/>
        </w:rPr>
        <w:t xml:space="preserve">(שם) </w:t>
      </w:r>
      <w:r>
        <w:rPr>
          <w:rtl/>
        </w:rPr>
        <w:t xml:space="preserve">סוברים שזמן הוא לא חלק מהתורף, וכ"פ בשו"ע (סי' מג סע' ז וסי' מד סע' ה). אמנם הערוך </w:t>
      </w:r>
      <w:r>
        <w:rPr>
          <w:sz w:val="16"/>
          <w:szCs w:val="16"/>
          <w:rtl/>
        </w:rPr>
        <w:t xml:space="preserve">(ערך טפס) </w:t>
      </w:r>
      <w:r>
        <w:rPr>
          <w:rtl/>
        </w:rPr>
        <w:t xml:space="preserve">רש"י </w:t>
      </w:r>
      <w:r>
        <w:rPr>
          <w:sz w:val="16"/>
          <w:szCs w:val="16"/>
          <w:rtl/>
        </w:rPr>
        <w:t>(ב"מ ז: ד"ה ושניהם)</w:t>
      </w:r>
      <w:r>
        <w:rPr>
          <w:rtl/>
        </w:rPr>
        <w:t xml:space="preserve"> תוס' </w:t>
      </w:r>
      <w:r>
        <w:rPr>
          <w:sz w:val="16"/>
          <w:szCs w:val="16"/>
          <w:rtl/>
        </w:rPr>
        <w:t xml:space="preserve">(ז: ד"ה דאית) </w:t>
      </w:r>
      <w:r>
        <w:rPr>
          <w:rtl/>
        </w:rPr>
        <w:t xml:space="preserve">רא"ש </w:t>
      </w:r>
      <w:r>
        <w:rPr>
          <w:sz w:val="16"/>
          <w:szCs w:val="16"/>
          <w:rtl/>
        </w:rPr>
        <w:t xml:space="preserve">(פ"א סי' טו) </w:t>
      </w:r>
      <w:r>
        <w:rPr>
          <w:rtl/>
        </w:rPr>
        <w:t xml:space="preserve">והטור </w:t>
      </w:r>
      <w:r>
        <w:rPr>
          <w:sz w:val="16"/>
          <w:szCs w:val="16"/>
          <w:rtl/>
        </w:rPr>
        <w:t xml:space="preserve">(כאן) </w:t>
      </w:r>
      <w:r>
        <w:rPr>
          <w:rtl/>
        </w:rPr>
        <w:t>סוברים שזמן הוא חלק מהתורף, וכ"פ הרמ"א (סי' מג סע' ז) והסמ"ע (כאן סקנ"ו).</w:t>
      </w:r>
    </w:p>
  </w:footnote>
  <w:footnote w:id="4902">
    <w:p w14:paraId="637F58D1" w14:textId="77777777" w:rsidR="0013116F" w:rsidRDefault="0013116F" w:rsidP="001D49D4">
      <w:pPr>
        <w:pStyle w:val="a9"/>
      </w:pPr>
      <w:r>
        <w:rPr>
          <w:rStyle w:val="ab"/>
        </w:rPr>
        <w:footnoteRef/>
      </w:r>
      <w:r>
        <w:rPr>
          <w:rtl/>
        </w:rPr>
        <w:t xml:space="preserve"> קרוב לזה כתבו התוספות (ז: ד"ה דאית) בשם הירושלמי (ב"מ פ"א ה"א), ב"י.</w:t>
      </w:r>
    </w:p>
  </w:footnote>
  <w:footnote w:id="4903">
    <w:p w14:paraId="277F487B" w14:textId="77777777" w:rsidR="0013116F" w:rsidRDefault="0013116F" w:rsidP="001D49D4">
      <w:pPr>
        <w:pStyle w:val="a9"/>
      </w:pPr>
      <w:r>
        <w:rPr>
          <w:rStyle w:val="ab"/>
        </w:rPr>
        <w:footnoteRef/>
      </w:r>
      <w:r>
        <w:rPr>
          <w:rtl/>
        </w:rPr>
        <w:t xml:space="preserve"> והיינו למ"ד עדי מסירה כרתי אף בשטרות (ועיין בס"ס נא דאיכא פלוגתא בזה).</w:t>
      </w:r>
    </w:p>
  </w:footnote>
  <w:footnote w:id="4904">
    <w:p w14:paraId="590C6881" w14:textId="77777777" w:rsidR="0013116F" w:rsidRDefault="0013116F" w:rsidP="001D49D4">
      <w:pPr>
        <w:pStyle w:val="a9"/>
        <w:rPr>
          <w:rtl/>
        </w:rPr>
      </w:pPr>
      <w:r>
        <w:rPr>
          <w:rStyle w:val="ab"/>
        </w:rPr>
        <w:footnoteRef/>
      </w:r>
      <w:r>
        <w:rPr>
          <w:rtl/>
        </w:rPr>
        <w:t xml:space="preserve"> </w:t>
      </w:r>
      <w:r>
        <w:rPr>
          <w:rFonts w:hint="cs"/>
          <w:rtl/>
        </w:rPr>
        <w:t xml:space="preserve">כתב הש"ך (סקמ"ב) דהמחבר </w:t>
      </w:r>
      <w:r>
        <w:rPr>
          <w:rtl/>
        </w:rPr>
        <w:t>השמיט דעת י"א אלו וגם בב"י רשם דין זה ולא הראה מקומו משום דלא ס"ל כי"א אילו, משום שבש"ס ופוסקים לא חילקו בכך, וגם הרמב"ם והסמ"ג (עשין צד) כתבו בפירוש בדין זה, זה ישבע כו', והעתיק המחבר דבריו לעיל בסמוך.</w:t>
      </w:r>
    </w:p>
  </w:footnote>
  <w:footnote w:id="4905">
    <w:p w14:paraId="4C120430" w14:textId="77777777" w:rsidR="0013116F" w:rsidRDefault="0013116F" w:rsidP="001D49D4">
      <w:pPr>
        <w:pStyle w:val="a9"/>
      </w:pPr>
      <w:r>
        <w:rPr>
          <w:rStyle w:val="ab"/>
        </w:rPr>
        <w:footnoteRef/>
      </w:r>
      <w:r>
        <w:rPr>
          <w:rtl/>
        </w:rPr>
        <w:t xml:space="preserve"> ודע שהרי"ף </w:t>
      </w:r>
      <w:r>
        <w:rPr>
          <w:sz w:val="16"/>
          <w:szCs w:val="16"/>
          <w:rtl/>
        </w:rPr>
        <w:t xml:space="preserve">(ג:) </w:t>
      </w:r>
      <w:r>
        <w:rPr>
          <w:rtl/>
        </w:rPr>
        <w:t xml:space="preserve">והרמב"ם </w:t>
      </w:r>
      <w:r>
        <w:rPr>
          <w:sz w:val="16"/>
          <w:szCs w:val="16"/>
          <w:rtl/>
        </w:rPr>
        <w:t>(פי"ד ממלוה ולוה שם)</w:t>
      </w:r>
      <w:r>
        <w:rPr>
          <w:rtl/>
        </w:rPr>
        <w:t xml:space="preserve"> לא חילקו בין טופס לתורף אלא כיון ששניהם אדוקים יחלוקו כרבי יוחנן דאמר לעולם חולקים. וכתב הה"מ שכן דעת בהעי"ט </w:t>
      </w:r>
      <w:r>
        <w:rPr>
          <w:sz w:val="16"/>
          <w:szCs w:val="16"/>
          <w:rtl/>
        </w:rPr>
        <w:t>(מאמר עשירי שטרות היוצאין לה:)</w:t>
      </w:r>
      <w:r>
        <w:rPr>
          <w:rtl/>
        </w:rPr>
        <w:t>, ואולי גירסא אחרת היתה להם</w:t>
      </w:r>
      <w:r>
        <w:rPr>
          <w:sz w:val="16"/>
          <w:szCs w:val="16"/>
          <w:rtl/>
        </w:rPr>
        <w:t xml:space="preserve"> {עכ"ד הה"מ}</w:t>
      </w:r>
      <w:r>
        <w:rPr>
          <w:rtl/>
        </w:rPr>
        <w:t xml:space="preserve">. והרא"ש </w:t>
      </w:r>
      <w:r>
        <w:rPr>
          <w:sz w:val="16"/>
          <w:szCs w:val="16"/>
          <w:rtl/>
        </w:rPr>
        <w:t xml:space="preserve">(שם) </w:t>
      </w:r>
      <w:r>
        <w:rPr>
          <w:rtl/>
        </w:rPr>
        <w:t>כתב דרבי אלעזר ולא דרבי יוחנן, נראה דס"ל דפליגי ופסק כרבי אלעזר משום דשקלו וטרו בגמרא אליביה. אבל להרי"ף והרמב"ם קשה, דאפילו נימא דפליגי ושפסקו כרבי יוחנן, מכל מקום איבעי להו לפלוגי בין קאי תורף בי מיצעי להיכא דלא קאי, ולפיכך כתב הה"מ שגירסא אחרת היתה להם</w:t>
      </w:r>
      <w:r>
        <w:rPr>
          <w:sz w:val="16"/>
          <w:szCs w:val="16"/>
          <w:rtl/>
        </w:rPr>
        <w:t xml:space="preserve"> {ועיין בש"ך סק"מ שכתב שלא הייתה להם גירסא אחרת וכתב מדוע פסקו כך אעפ"כ}</w:t>
      </w:r>
      <w:r>
        <w:rPr>
          <w:rtl/>
        </w:rPr>
        <w:t xml:space="preserve">. והתימה על רבינו שדרכו לימשך לדעת הרא"ש וכאן נראה שהוא חלוק עליו, ב"י. וכתב הדרכ"מ </w:t>
      </w:r>
      <w:r>
        <w:rPr>
          <w:sz w:val="16"/>
          <w:szCs w:val="16"/>
          <w:rtl/>
        </w:rPr>
        <w:t>(אות ה)</w:t>
      </w:r>
      <w:r>
        <w:rPr>
          <w:rtl/>
        </w:rPr>
        <w:t xml:space="preserve">- ואיני יודע למה </w:t>
      </w:r>
      <w:r>
        <w:rPr>
          <w:sz w:val="16"/>
          <w:szCs w:val="16"/>
          <w:rtl/>
        </w:rPr>
        <w:t xml:space="preserve">{נראה לב"י שהטור חלוק על הרא"ש} </w:t>
      </w:r>
      <w:r>
        <w:rPr>
          <w:rtl/>
        </w:rPr>
        <w:t xml:space="preserve">דהרי כתב </w:t>
      </w:r>
      <w:r>
        <w:rPr>
          <w:sz w:val="16"/>
          <w:szCs w:val="16"/>
          <w:rtl/>
        </w:rPr>
        <w:t xml:space="preserve">{הרא"ש} </w:t>
      </w:r>
      <w:r>
        <w:rPr>
          <w:rtl/>
        </w:rPr>
        <w:t xml:space="preserve">דברי הגמרא שלנו שהם כדברי הטור. עכ"ל. וגם הש"ך (סקמ"א) כתב שלא ירד לסוף דעת הב"י בזה </w:t>
      </w:r>
      <w:r>
        <w:rPr>
          <w:sz w:val="16"/>
          <w:szCs w:val="16"/>
          <w:rtl/>
        </w:rPr>
        <w:t>(דאפילו תימא דהרא"ש [ב"מ פ"א סי' טו] ס"ל דפליגי ופסק כר"א, מ"מ היאך נראה שהטור חולק עליו, דהא הטור כתב ממש כדברי ר"א. ועוד, דאין הכרע בדברי הרא"ש, ואדרבה יותר נראה דס"ל כפירש"י דלא פליגי ולכך לא הביא רק דברי ר"א כיון דר' יוחנן לא פליג עליו, ודברי ר' יוחנן לא הוצרך להביא שהרי ר' יוחנן לא חידש כלום, ומה דס"ל לרבי יוחנן דחולקים היכא דקאי תורף בי מיצעי הוא בכלל דברי ר' אלעזר, אבל אי הוה ס"ל להרא"ש דפליגי, קשה אמאי לא פסק כרבי יוחנן, דהא קי"ל בכל דוכתי הלכה כר' יוחנן לגבי ר"א)</w:t>
      </w:r>
      <w:r>
        <w:rPr>
          <w:rtl/>
        </w:rPr>
        <w:t>.</w:t>
      </w:r>
    </w:p>
  </w:footnote>
  <w:footnote w:id="4906">
    <w:p w14:paraId="6A3791C8" w14:textId="77777777" w:rsidR="0013116F" w:rsidRDefault="0013116F" w:rsidP="001D49D4">
      <w:pPr>
        <w:pStyle w:val="a9"/>
      </w:pPr>
      <w:r>
        <w:rPr>
          <w:rStyle w:val="ab"/>
        </w:rPr>
        <w:footnoteRef/>
      </w:r>
      <w:r>
        <w:rPr>
          <w:rtl/>
        </w:rPr>
        <w:t xml:space="preserve"> דיש שטר דאין יכול להוציא בו מיד הלוה כל סך הנכתב בשטר מכח עניותו או אלמותו, סמ"ע (סקמ"ט).</w:t>
      </w:r>
    </w:p>
  </w:footnote>
  <w:footnote w:id="4907">
    <w:p w14:paraId="70E09885" w14:textId="77777777" w:rsidR="0013116F" w:rsidRDefault="0013116F" w:rsidP="001D49D4">
      <w:pPr>
        <w:pStyle w:val="a9"/>
      </w:pPr>
      <w:r>
        <w:rPr>
          <w:rStyle w:val="ab"/>
        </w:rPr>
        <w:footnoteRef/>
      </w:r>
      <w:r>
        <w:rPr>
          <w:rtl/>
        </w:rPr>
        <w:t xml:space="preserve"> דנאמן לומר ממני נפל במיגו דאי בעי הוה אמר שהוא מזויף, סמ"ע (סק"נ).</w:t>
      </w:r>
    </w:p>
  </w:footnote>
  <w:footnote w:id="4908">
    <w:p w14:paraId="7348119C" w14:textId="77777777" w:rsidR="0013116F" w:rsidRDefault="0013116F" w:rsidP="001D49D4">
      <w:pPr>
        <w:pStyle w:val="a9"/>
      </w:pPr>
      <w:r>
        <w:rPr>
          <w:rStyle w:val="ab"/>
        </w:rPr>
        <w:footnoteRef/>
      </w:r>
      <w:r>
        <w:rPr>
          <w:rtl/>
        </w:rPr>
        <w:t xml:space="preserve"> זו דעת הרמב"ם, וכתב הב"י וז"ל- ולענין הלכה נראה דלא קיי"ל כהרמב"ם בהא דה"ל יחידאה לגבי כל הני רבוותא דפליגי עליה. והוסיף הב"י (בבדה"ב)- ועוד דאפוקי ממונא הוא ולדברי האומרים שלא להוציא שומעין. עכ"ל. וכן הסכים הדרכ"מ (ארוך אות ג, קצר אות ה*). וכ"פ הב"ח.</w:t>
      </w:r>
    </w:p>
  </w:footnote>
  <w:footnote w:id="4909">
    <w:p w14:paraId="2ED89212" w14:textId="77777777" w:rsidR="0013116F" w:rsidRDefault="0013116F" w:rsidP="001D49D4">
      <w:pPr>
        <w:pStyle w:val="a9"/>
        <w:rPr>
          <w:rtl/>
        </w:rPr>
      </w:pPr>
      <w:r>
        <w:rPr>
          <w:rStyle w:val="ab"/>
        </w:rPr>
        <w:footnoteRef/>
      </w:r>
      <w:r>
        <w:rPr>
          <w:rtl/>
        </w:rPr>
        <w:t xml:space="preserve"> מ"ש בתשובה זו שיש לדון על פי אומדנא דמוכחי, בסימן ע"א (סכ"א) כתב רבינו תשובה אחרת (חזה התנופה סי' נא) שכתוב בה דאיכא אומדני דלא מוכחי כולי האי ואין לדון על פיהם, וע"ש. ועיין בכתבי מה"ר איסרלן סימן ר"ס, ב"י. וכתב הדרכ"מ (אות ו) דגם מהרי"ק שורש קכ"ט (ענף ב) האריך בזה וכתב דלא אזלינן בתר אומדנא אלא באומדנא דברור אצל הדיינים שכך הוא, אבל בדבר המסופק לא, וע"ש. ובהגמ"ר דקדושין (סי' תקסד) כתב גם כן דאזלינן בתר אומדנות דמוכחות, וכן האריך בזה הרא"ש סוף כלל ק"ז (סי' ו ד"ה עוד שאלוהו הרבה) והריב"ש בתשובה סימן ק"ח. ועיין בדין זה באבן עזר סימן צ'.</w:t>
      </w:r>
    </w:p>
  </w:footnote>
  <w:footnote w:id="4910">
    <w:p w14:paraId="456894E1" w14:textId="77777777" w:rsidR="0013116F" w:rsidRDefault="0013116F" w:rsidP="001D49D4">
      <w:pPr>
        <w:pStyle w:val="a9"/>
      </w:pPr>
      <w:r>
        <w:rPr>
          <w:rStyle w:val="ab"/>
        </w:rPr>
        <w:footnoteRef/>
      </w:r>
      <w:r>
        <w:rPr>
          <w:rtl/>
        </w:rPr>
        <w:t xml:space="preserve"> לאפוקי אומדנות דאינו מוכחי דלא אזלינן בתרייהו, כמ"ש הטור לקמן סימן ע"א סעיף כ"א [ושו"ע סעיף י"א], סמ"ע (סקנ"ו).</w:t>
      </w:r>
    </w:p>
  </w:footnote>
  <w:footnote w:id="4911">
    <w:p w14:paraId="58245B7F" w14:textId="77777777" w:rsidR="0013116F" w:rsidRDefault="0013116F" w:rsidP="001D49D4">
      <w:pPr>
        <w:pStyle w:val="a9"/>
        <w:rPr>
          <w:rtl/>
        </w:rPr>
      </w:pPr>
      <w:r>
        <w:rPr>
          <w:rStyle w:val="ab"/>
        </w:rPr>
        <w:footnoteRef/>
      </w:r>
      <w:r>
        <w:rPr>
          <w:rtl/>
        </w:rPr>
        <w:t xml:space="preserve"> פירוש, כותבין שידוע להן שהיה ביד זה שטר חוב מכך וכך על פלוני לפרוע לו בזמן פלוני ועדי השטר היו פלוני ופלוני ונאבד מידו, וכדין מי שנמחק שטרו ורישומו ניכר או שנשרף שטרו באונס, שנתפרש דינו לעיל סימן מ"א [סעיף א'-ג'], וגם [שם] בתשובה דימה זה לדין מי שנמחק שטרו ורישומו ניכר, דגם כאן ה"ל כרישומו ניכר מכח האומדנות המוכיחות ע"ז, ע"ש, סמ"ע (סקנ"ז).</w:t>
      </w:r>
    </w:p>
  </w:footnote>
  <w:footnote w:id="4912">
    <w:p w14:paraId="05D6F639" w14:textId="77777777" w:rsidR="0013116F" w:rsidRDefault="0013116F" w:rsidP="001D49D4">
      <w:pPr>
        <w:pStyle w:val="a9"/>
        <w:rPr>
          <w:rtl/>
        </w:rPr>
      </w:pPr>
      <w:r>
        <w:rPr>
          <w:rStyle w:val="ab"/>
        </w:rPr>
        <w:footnoteRef/>
      </w:r>
      <w:r>
        <w:rPr>
          <w:rtl/>
        </w:rPr>
        <w:t xml:space="preserve"> </w:t>
      </w:r>
      <w:r>
        <w:rPr>
          <w:rFonts w:hint="cs"/>
          <w:rtl/>
        </w:rPr>
        <w:t>סימן - ירחון טוב/טעים טרוק.</w:t>
      </w:r>
    </w:p>
  </w:footnote>
  <w:footnote w:id="4913">
    <w:p w14:paraId="22B0AF71" w14:textId="77777777" w:rsidR="0013116F" w:rsidRDefault="0013116F" w:rsidP="001D49D4">
      <w:pPr>
        <w:pStyle w:val="a9"/>
      </w:pPr>
      <w:r>
        <w:rPr>
          <w:rStyle w:val="ab"/>
        </w:rPr>
        <w:footnoteRef/>
      </w:r>
      <w:r>
        <w:rPr>
          <w:rtl/>
        </w:rPr>
        <w:t xml:space="preserve"> </w:t>
      </w:r>
      <w:r>
        <w:rPr>
          <w:rFonts w:hint="cs"/>
          <w:rtl/>
        </w:rPr>
        <w:t xml:space="preserve">שובר כתובה, </w:t>
      </w:r>
      <w:r>
        <w:rPr>
          <w:rtl/>
        </w:rPr>
        <w:t>והוא הדין לשובר מלוה, ב"י.</w:t>
      </w:r>
    </w:p>
  </w:footnote>
  <w:footnote w:id="4914">
    <w:p w14:paraId="6F474782" w14:textId="77777777" w:rsidR="0013116F" w:rsidRDefault="0013116F" w:rsidP="001D49D4">
      <w:pPr>
        <w:pStyle w:val="a9"/>
      </w:pPr>
      <w:r>
        <w:rPr>
          <w:rStyle w:val="ab"/>
        </w:rPr>
        <w:footnoteRef/>
      </w:r>
      <w:r>
        <w:rPr>
          <w:rtl/>
        </w:rPr>
        <w:t xml:space="preserve"> </w:t>
      </w:r>
      <w:r>
        <w:rPr>
          <w:rFonts w:hint="cs"/>
          <w:rtl/>
        </w:rPr>
        <w:t>סימן – כרטיס כילוי.</w:t>
      </w:r>
    </w:p>
  </w:footnote>
  <w:footnote w:id="4915">
    <w:p w14:paraId="1C8F2EAE" w14:textId="77777777" w:rsidR="0013116F" w:rsidRDefault="0013116F" w:rsidP="001D49D4">
      <w:pPr>
        <w:pStyle w:val="a9"/>
        <w:rPr>
          <w:rtl/>
        </w:rPr>
      </w:pPr>
      <w:r>
        <w:rPr>
          <w:rStyle w:val="ab"/>
        </w:rPr>
        <w:footnoteRef/>
      </w:r>
      <w:r>
        <w:rPr>
          <w:rtl/>
        </w:rPr>
        <w:t xml:space="preserve"> והוא אינו קרוע, לפיכך סומכין על השובר, שמקום השטר מוכיח על השובר שהוא אמת, שאם לא נפרע לא היה נותן השטר אצל השטרות קרועין, כך שמעתי</w:t>
      </w:r>
      <w:r>
        <w:rPr>
          <w:sz w:val="16"/>
          <w:szCs w:val="16"/>
          <w:rtl/>
        </w:rPr>
        <w:t xml:space="preserve"> {וכ"כ הטור}</w:t>
      </w:r>
      <w:r>
        <w:rPr>
          <w:rtl/>
        </w:rPr>
        <w:t xml:space="preserve">. ולי נראה: שנמצא השובר בין השטרות קרועין, הלכך איכא למימר שנתקבל החוב, והשובר הזה אין צריך למלוה הזה אלא ללוה, והלוה שכח ביד זה, לפיכך נתנו זה עם השטרות שאין צריכין לו, דאי סלקא דעתך מלוה כתבו להיות מוכן לו כשירצה לוה לפרעו - לא נתנו עם שטרות שאין צריכין לו, רש"י. ולפירוש האחרון הסכים הש"ך (סקנ"ד) וכתב שכן פירש מהר"א ן' ששון </w:t>
      </w:r>
      <w:r>
        <w:rPr>
          <w:sz w:val="16"/>
          <w:szCs w:val="16"/>
          <w:rtl/>
        </w:rPr>
        <w:t xml:space="preserve">(סי' קפה) </w:t>
      </w:r>
      <w:r>
        <w:rPr>
          <w:rtl/>
        </w:rPr>
        <w:t xml:space="preserve">בשם הריטב"א בשם התוס', וכ"כ רי"ו </w:t>
      </w:r>
      <w:r>
        <w:rPr>
          <w:sz w:val="16"/>
          <w:szCs w:val="16"/>
          <w:rtl/>
        </w:rPr>
        <w:t>(נ"ל ח"א)</w:t>
      </w:r>
      <w:r>
        <w:rPr>
          <w:rtl/>
        </w:rPr>
        <w:t>. וכן מוכרח דעת בהעי"ט</w:t>
      </w:r>
      <w:r>
        <w:rPr>
          <w:sz w:val="16"/>
          <w:szCs w:val="16"/>
          <w:rtl/>
        </w:rPr>
        <w:t xml:space="preserve"> (אות שי"ן שובר כה ע"ג)</w:t>
      </w:r>
      <w:r>
        <w:rPr>
          <w:rtl/>
        </w:rPr>
        <w:t>.</w:t>
      </w:r>
    </w:p>
  </w:footnote>
  <w:footnote w:id="4916">
    <w:p w14:paraId="3BFE84C8" w14:textId="77777777" w:rsidR="0013116F" w:rsidRDefault="0013116F" w:rsidP="001D49D4">
      <w:pPr>
        <w:pStyle w:val="a9"/>
      </w:pPr>
      <w:r>
        <w:rPr>
          <w:rStyle w:val="ab"/>
        </w:rPr>
        <w:footnoteRef/>
      </w:r>
      <w:r>
        <w:rPr>
          <w:rtl/>
        </w:rPr>
        <w:t xml:space="preserve"> כ"כ בעל התרומות (שער נג ח"ג סי' ו, הביאו הב"י) וז"ל- ויש לברר שובר היוצא מתחת ידי מלוה וכתוב מכתיבת יד לוה מה דינו, על זה נסתפק ה"ר יהודה ברצלוני וכתב שיש לנו לומר כיון שכתב ידי הלוה הוא בודאי נתחברו יחד המלוה והלוה ויש לומר שפרע הממון ושכח השובר בבית המלוה, או יש לומר דאדרבה כיון שכתב ידי לוה הוא ובודאי נתחברו יחד הלוה והמלוה אם איתא שפרע היה מוליך השובר בידו ע"כ. ולדידן מסתברא לן דפסול, דבהא נמי איכא למימר חששא דלעיל (שם סי' א) סבר דילמא מיתרמי ואתי בין השמשות וכו' ואמר ליה ללוה לכתביה ולנחיה בידא דמלוה דכי אתי ליתיב ליה ושקיל זוזי עכ"ל. אך הש"ך (סקנ"ב) כתב דאין הכרעתו מוכרחת. ובהדיא איתא בירושלמי ספ"ק דמציעא דבכתב יד הלוה השובר כשר. והכי איתא התם... ר' יצחק בר נחמן בשם שמואל, לעולם אין סמפון כשר עד שיצא מתחת ידי המלוה בכתב ידי הלוה... ע"ש.</w:t>
      </w:r>
    </w:p>
  </w:footnote>
  <w:footnote w:id="4917">
    <w:p w14:paraId="2E38AFA5" w14:textId="77777777" w:rsidR="0013116F" w:rsidRDefault="0013116F" w:rsidP="001D49D4">
      <w:pPr>
        <w:pStyle w:val="a9"/>
        <w:rPr>
          <w:rtl/>
        </w:rPr>
      </w:pPr>
      <w:r>
        <w:rPr>
          <w:rStyle w:val="ab"/>
        </w:rPr>
        <w:footnoteRef/>
      </w:r>
      <w:r>
        <w:rPr>
          <w:rtl/>
        </w:rPr>
        <w:t xml:space="preserve"> נראה שגורס פרועים במקום קרועים, וכ"ה גיר' הרמב"ם בפי"ו מהל' מלוה</w:t>
      </w:r>
      <w:r>
        <w:rPr>
          <w:sz w:val="16"/>
          <w:szCs w:val="16"/>
          <w:rtl/>
        </w:rPr>
        <w:t xml:space="preserve"> (ה"י) </w:t>
      </w:r>
      <w:r>
        <w:rPr>
          <w:rtl/>
        </w:rPr>
        <w:t>אבל בפי"ח מהל' גזילה</w:t>
      </w:r>
      <w:r>
        <w:rPr>
          <w:sz w:val="16"/>
          <w:szCs w:val="16"/>
          <w:rtl/>
        </w:rPr>
        <w:t xml:space="preserve"> (ה"ה) </w:t>
      </w:r>
      <w:r>
        <w:rPr>
          <w:rtl/>
        </w:rPr>
        <w:t>כתב קרועים, ב"י.</w:t>
      </w:r>
    </w:p>
  </w:footnote>
  <w:footnote w:id="4918">
    <w:p w14:paraId="4FB70F41" w14:textId="77777777" w:rsidR="0013116F" w:rsidRDefault="0013116F" w:rsidP="001D49D4">
      <w:pPr>
        <w:pStyle w:val="a9"/>
        <w:rPr>
          <w:rtl/>
        </w:rPr>
      </w:pPr>
      <w:r>
        <w:rPr>
          <w:rStyle w:val="ab"/>
        </w:rPr>
        <w:footnoteRef/>
      </w:r>
      <w:r>
        <w:rPr>
          <w:rtl/>
        </w:rPr>
        <w:t xml:space="preserve"> כ"כ בעל התרומות (שער נ"ג שם סי' ג) דאע"ג דתניא שובר שאין עליו עדים פסול הני מילי בשלא נמצא השטר בין הקרועים אבל נמצא בין הקרועים בודאי ההוא תברא דוקא היה. וכ"כ הרמב"ם בפרק הנזכר, ב"י.</w:t>
      </w:r>
    </w:p>
  </w:footnote>
  <w:footnote w:id="4919">
    <w:p w14:paraId="3CD100F0" w14:textId="77777777" w:rsidR="0013116F" w:rsidRDefault="0013116F" w:rsidP="001D49D4">
      <w:pPr>
        <w:pStyle w:val="a9"/>
        <w:rPr>
          <w:rtl/>
        </w:rPr>
      </w:pPr>
      <w:r>
        <w:rPr>
          <w:rStyle w:val="ab"/>
        </w:rPr>
        <w:footnoteRef/>
      </w:r>
      <w:r>
        <w:rPr>
          <w:rtl/>
        </w:rPr>
        <w:t xml:space="preserve"> זה לשון בעל התרומות </w:t>
      </w:r>
      <w:r>
        <w:rPr>
          <w:sz w:val="16"/>
          <w:szCs w:val="16"/>
          <w:rtl/>
        </w:rPr>
        <w:t>(שער נג ח"ב סי' א-ב)</w:t>
      </w:r>
      <w:r>
        <w:rPr>
          <w:rtl/>
        </w:rPr>
        <w:t>- תנן מצא שטר בין שטרותיו ואינו יודע מה טיבו וכו' ודוקא אינו יודע מה טיבו הוא דאיתרע ליה אבל אם המלוה ברור לו שאינו פרוע אפילו נודע שבין שטרות קרועים מצאו לא הורע כחו דאמרינן איתרמויי אתרמי ליה. וכן יורשו אם יודע מה טיבו ושאינו פרוע בודאי - הרי זה גובה בשטר זה, שלא הורע כחו אלא כשנמצא בין קרועים ובסמפון, דכיון דאיכא תרתי לריעותא אע"ג דהמלוה או יורשו טוענין ידענו שאינו פרוע לא מהימנינן ליה דאיתרע שטריה מיד ומחזירו ללוה. אבל מצאו בין קרועין בלא סמפון ויודע מה טיבו בין הוא בין יורשו גובה מהלוה בלא פיקפוק. מיהו באינו יודע מה טיבו וליכא סמפון אלא שנמצא השטר בין שטרות קרועין, אם המלוה קיים - יחזירנו ללוה, דאפילו לא יהיה בין קרועים כיון דאינו יודע מה טיבו צריך להחזירו ללוה, ואם אין המלוה קיים והיורש מצא השטר בין שטרותיו קרועין וליכא סמפון ואינו יודע אם הוא פרוע - יש אומרים כיון דליכא סמפון והיורש לא פשע כשאינו יודע אם הוא פרוע נשבע שאינו יודע שהוא פרוע וגובה בו. ויש אומרים דכיון שנמצא בין קרועים איתרע שטרא ואינו גובה בו ויהא מונח עד שיבא אליהו. ומסתברא דכל שטרא דלא ידע מה טיבו או שנמצא בין קרועין ויש עמהם סמפון אע"ג דאית ביה נאמנות איתרע איהו והנאמנות שלו אינו מעלה ולא מוריד דנאמנות נמי איתרע ליה עכ"ל. ורבינו שכתב וגובין בו יורשיו תפס לו כסברא ראשונה, ב"י.</w:t>
      </w:r>
    </w:p>
  </w:footnote>
  <w:footnote w:id="4920">
    <w:p w14:paraId="391DC63D" w14:textId="77777777" w:rsidR="0013116F" w:rsidRDefault="0013116F" w:rsidP="001D49D4">
      <w:pPr>
        <w:pStyle w:val="a9"/>
        <w:rPr>
          <w:rtl/>
        </w:rPr>
      </w:pPr>
      <w:r>
        <w:rPr>
          <w:rStyle w:val="ab"/>
        </w:rPr>
        <w:footnoteRef/>
      </w:r>
      <w:r>
        <w:rPr>
          <w:rtl/>
        </w:rPr>
        <w:t xml:space="preserve"> הואיל ויוצא מתחת ידי המלוה או מתחת ידי יורשיו, בעל התרומות (שם). ודבר פשוט הוא דבשלא נמצא השטר בין שטרות קרועים עסקינן, דאילו בנמצא בין שטרות קרועים דין אחר יש לו כמו שנתבאר (סכ"ה), ב"י.</w:t>
      </w:r>
    </w:p>
  </w:footnote>
  <w:footnote w:id="4921">
    <w:p w14:paraId="464ADDD6" w14:textId="77777777" w:rsidR="0013116F" w:rsidRDefault="0013116F" w:rsidP="001D49D4">
      <w:pPr>
        <w:pStyle w:val="a9"/>
        <w:rPr>
          <w:rtl/>
        </w:rPr>
      </w:pPr>
      <w:r>
        <w:rPr>
          <w:rStyle w:val="ab"/>
        </w:rPr>
        <w:footnoteRef/>
      </w:r>
      <w:r>
        <w:rPr>
          <w:rtl/>
        </w:rPr>
        <w:t xml:space="preserve"> איירי שאין השובר מקוים אלא שאפשר לקיימו, כגון שהב"ד מכירים החתימות, או שאפשר לקיימו באחד מן הדרכים שנתבאר בסימן מ"ו [סעיף ז'], דאי במקוים ממש דהיינו שנכתב הקיום בשובר, פשיטא דאפילו אין המלוה מודה יחזיר ללוה, דאפילו היה ביד המלוה כשר וכדלקמן, ואם אי אפשר לקיימו אפילו היה ביד הלוה אינו כלום, אלא כדפירשתי, ש"ך (סק"נ).</w:t>
      </w:r>
    </w:p>
  </w:footnote>
  <w:footnote w:id="4922">
    <w:p w14:paraId="412D461D" w14:textId="77777777" w:rsidR="0013116F" w:rsidRDefault="0013116F" w:rsidP="001D49D4">
      <w:pPr>
        <w:pStyle w:val="a9"/>
      </w:pPr>
      <w:r>
        <w:rPr>
          <w:rStyle w:val="ab"/>
        </w:rPr>
        <w:footnoteRef/>
      </w:r>
      <w:r>
        <w:rPr>
          <w:rtl/>
        </w:rPr>
        <w:t xml:space="preserve"> דוקא נקט המלוה מודה, דאז ליכא למיחש לקנוניא דבעי לאפקועי חובו ממי שהוא חייב לו. גם זה מטעם הנ"ל בסקי"ט, דכיון שיש לפנינו שובר כשר מסייע להודאתו, לא חששו אלא היכא דאיכא ודאי פסידא דבעל חוב כמ"ש לקמן סימן פ"ו סעיף ה' [ועמ"ש לעיל ר"ס מז], אבל אם הלוה מודה שעדיין לא פרע, אין מחזירין אותו להמלוה, כיון דאיתרע בנפילה חיישינן לקנוניא דבעי לאפקועי מלקוחות שקנו מהלוה וכמ"ש לעיל סעיף ו' ע"ש, סמ"ע (סקנ"ח). וכתב הש"ך (סקמ"ט) דאין דבריו נכונים מתחילתן ועד סופן. מ"ש לקנוניא דבעי לאפקועי חובו כו'. ודאי ליתא, דלקנוניא זו ודאי ליכא למיחש אפילו היה ודאי פסידא דבע"ח, דהא אי בעי המלוה הוה קרע ליה לשטר או קלייה או מצנע ליה... גם מ"ש, אבל אם הלוה מודה כו' אין מחזירין כיון דאיתרע בנפילה כו'. הוא תמוה, דאדרבה כיון שהשובר איתרע בנפילה כל שכן שהשטר בתקפו הוא ובשטר לא איתעבד ריעותא ומאי ניחוש לקנוניא...</w:t>
      </w:r>
    </w:p>
  </w:footnote>
  <w:footnote w:id="4923">
    <w:p w14:paraId="00E7AB8B" w14:textId="77777777" w:rsidR="0013116F" w:rsidRDefault="0013116F" w:rsidP="001D49D4">
      <w:pPr>
        <w:pStyle w:val="a9"/>
      </w:pPr>
      <w:r>
        <w:rPr>
          <w:rStyle w:val="ab"/>
        </w:rPr>
        <w:footnoteRef/>
      </w:r>
      <w:r>
        <w:rPr>
          <w:rtl/>
        </w:rPr>
        <w:t xml:space="preserve"> אפילו עדים חתומים על השובר ואפשר לקיים חתימתן. ובס"ק שאח"ז הבאתי בשם הירושלמי דבשטר מתנה כגון שכתוב בו תנו ר' זוז לפלוני וכה"ג ונמצא אצל בעל השטר מתנה שובר שהוא פרוע, השטר מתנה שבידו בטל. והא דלא משני בש"ס דילן </w:t>
      </w:r>
      <w:r>
        <w:rPr>
          <w:sz w:val="16"/>
          <w:szCs w:val="16"/>
          <w:rtl/>
        </w:rPr>
        <w:t xml:space="preserve">[ב"מ כ:] </w:t>
      </w:r>
      <w:r>
        <w:rPr>
          <w:rtl/>
        </w:rPr>
        <w:t xml:space="preserve">הכי, היינו משום דמשמע לש"ס דילן דמסתמא מתניתין מיירי בכל שטרות. גם בהעי"ט </w:t>
      </w:r>
      <w:r>
        <w:rPr>
          <w:sz w:val="16"/>
          <w:szCs w:val="16"/>
          <w:rtl/>
        </w:rPr>
        <w:t xml:space="preserve">[אות ש' שובר] </w:t>
      </w:r>
      <w:r>
        <w:rPr>
          <w:rtl/>
        </w:rPr>
        <w:t xml:space="preserve">הביא הירושלמי, ש"ך </w:t>
      </w:r>
      <w:r>
        <w:rPr>
          <w:sz w:val="16"/>
          <w:szCs w:val="16"/>
          <w:rtl/>
        </w:rPr>
        <w:t>(סקנ"א)</w:t>
      </w:r>
      <w:r>
        <w:rPr>
          <w:rtl/>
        </w:rPr>
        <w:t>.</w:t>
      </w:r>
    </w:p>
  </w:footnote>
  <w:footnote w:id="4924">
    <w:p w14:paraId="52ACA147" w14:textId="77777777" w:rsidR="0013116F" w:rsidRDefault="0013116F" w:rsidP="001D49D4">
      <w:pPr>
        <w:pStyle w:val="a9"/>
      </w:pPr>
      <w:r>
        <w:rPr>
          <w:rStyle w:val="ab"/>
        </w:rPr>
        <w:footnoteRef/>
      </w:r>
      <w:r>
        <w:rPr>
          <w:rtl/>
        </w:rPr>
        <w:t xml:space="preserve"> בין שהוא ביד המלוה או יורשיו </w:t>
      </w:r>
      <w:r>
        <w:rPr>
          <w:sz w:val="16"/>
          <w:szCs w:val="16"/>
          <w:rtl/>
        </w:rPr>
        <w:t>(רמב"ם [פט"ז מהל' מלוה ה"ט-י] בעל התרומות [שער נג ח"ג ס"ג] טור והמחבר)</w:t>
      </w:r>
      <w:r>
        <w:rPr>
          <w:rtl/>
        </w:rPr>
        <w:t>, ואפילו טוען המלוה ברי שאינו פרוע, דאילו באינו יודע בלאו הכי השטר בטל כדלעיל סימן נ"ט, ש"ך (סקנ"ח).</w:t>
      </w:r>
    </w:p>
  </w:footnote>
  <w:footnote w:id="4925">
    <w:p w14:paraId="43B3F9F5" w14:textId="77777777" w:rsidR="0013116F" w:rsidRDefault="0013116F" w:rsidP="001D49D4">
      <w:pPr>
        <w:pStyle w:val="a9"/>
      </w:pPr>
      <w:r>
        <w:rPr>
          <w:rStyle w:val="ab"/>
        </w:rPr>
        <w:footnoteRef/>
      </w:r>
      <w:r>
        <w:rPr>
          <w:rtl/>
        </w:rPr>
        <w:t xml:space="preserve"> ר"ל דגם אין עליו חתימת יד המלוה </w:t>
      </w:r>
      <w:r>
        <w:rPr>
          <w:sz w:val="16"/>
          <w:szCs w:val="16"/>
          <w:rtl/>
        </w:rPr>
        <w:t>(וגם זה נכלל במ"ש שאין עליו עדים, דחתימת ידו כעדים דמי)</w:t>
      </w:r>
      <w:r>
        <w:rPr>
          <w:rtl/>
        </w:rPr>
        <w:t>, סמ"ע (ס"ק ס').</w:t>
      </w:r>
    </w:p>
  </w:footnote>
  <w:footnote w:id="4926">
    <w:p w14:paraId="6A891726" w14:textId="77777777" w:rsidR="0013116F" w:rsidRDefault="0013116F" w:rsidP="001D49D4">
      <w:pPr>
        <w:pStyle w:val="a9"/>
      </w:pPr>
      <w:r>
        <w:rPr>
          <w:rStyle w:val="ab"/>
        </w:rPr>
        <w:footnoteRef/>
      </w:r>
      <w:r>
        <w:rPr>
          <w:rtl/>
        </w:rPr>
        <w:t xml:space="preserve"> ר"ל אף יורשיו... דכל שנמצא בבית המלוה הוא בחזקתו ואמרינן איתרמי שנתערב בין הקרועי, סמ"ע (ס"ק סא).</w:t>
      </w:r>
    </w:p>
  </w:footnote>
  <w:footnote w:id="4927">
    <w:p w14:paraId="284A0345" w14:textId="77777777" w:rsidR="0013116F" w:rsidRDefault="0013116F" w:rsidP="001D49D4">
      <w:pPr>
        <w:pStyle w:val="a9"/>
      </w:pPr>
      <w:r>
        <w:rPr>
          <w:rStyle w:val="ab"/>
        </w:rPr>
        <w:footnoteRef/>
      </w:r>
      <w:r>
        <w:rPr>
          <w:rtl/>
        </w:rPr>
        <w:t xml:space="preserve"> פירוש, הא דאמרינן דשובר הנמצא ביד המלוה אינו כלום דאמרינן המלוה הכינו כו', היינו דוקא כשהוא בלא עדים, אבל אם עדים חתומים עליו ישאלו אותן, סמ"ע (ס"ק סב).</w:t>
      </w:r>
    </w:p>
  </w:footnote>
  <w:footnote w:id="4928">
    <w:p w14:paraId="3A6C2836" w14:textId="77777777" w:rsidR="0013116F" w:rsidRDefault="0013116F" w:rsidP="001D49D4">
      <w:pPr>
        <w:pStyle w:val="a9"/>
        <w:rPr>
          <w:rtl/>
        </w:rPr>
      </w:pPr>
      <w:r>
        <w:rPr>
          <w:rStyle w:val="ab"/>
        </w:rPr>
        <w:footnoteRef/>
      </w:r>
      <w:r>
        <w:rPr>
          <w:rtl/>
        </w:rPr>
        <w:t xml:space="preserve"> </w:t>
      </w:r>
      <w:r>
        <w:rPr>
          <w:rFonts w:hint="cs"/>
          <w:rtl/>
        </w:rPr>
        <w:t>סימן – כרטיס כילוי אצל אחראי.</w:t>
      </w:r>
    </w:p>
  </w:footnote>
  <w:footnote w:id="4929">
    <w:p w14:paraId="624F77A8" w14:textId="77777777" w:rsidR="0013116F" w:rsidRDefault="0013116F" w:rsidP="001D49D4">
      <w:pPr>
        <w:pStyle w:val="a9"/>
      </w:pPr>
      <w:r>
        <w:rPr>
          <w:rStyle w:val="ab"/>
        </w:rPr>
        <w:footnoteRef/>
      </w:r>
      <w:r>
        <w:rPr>
          <w:rtl/>
        </w:rPr>
        <w:t xml:space="preserve"> מ"ש ואפילו אין עליו עדים ואפילו מת השליש השובר כשר - כ"כ בעל התרומות (שער נג ח"ג סי' ד) אם יוצא מתחת ידי שליש השטר חוב והשובר אע"פ שאין עליו עדים ואע"פ שמת שליש הרי זה שטר פרוע, וכדתניא בספ"ק דמציעא סמפון שאין עליו עדים ויוצא מתחת ידי שליש כשר דהא הימניה מלוה לשליש, וכיון דאי בעי מסר לשטרא ללוה או קורעו או שורפו </w:t>
      </w:r>
      <w:r>
        <w:rPr>
          <w:b/>
          <w:bCs/>
          <w:rtl/>
        </w:rPr>
        <w:t>כי</w:t>
      </w:r>
      <w:r>
        <w:rPr>
          <w:rtl/>
        </w:rPr>
        <w:t xml:space="preserve"> </w:t>
      </w:r>
      <w:r>
        <w:rPr>
          <w:b/>
          <w:bCs/>
          <w:rtl/>
        </w:rPr>
        <w:t>אמר פריעא הוא</w:t>
      </w:r>
      <w:r>
        <w:rPr>
          <w:rtl/>
        </w:rPr>
        <w:t xml:space="preserve"> נאמן עכ"ל. ומשמע מדבריו דהא דאמר אפילו מת שליש דוקא בשאמר קודם שמת שהוא פרוע. וקשה לי אם השליש אומר פרוע הוא למה לי שיהא שובר בידו. ומדברי הרמב"ם בפי"ו מהלכות מלוה (ה"ח) נראה דאפילו לא אמר השליש כלום אלא שמת ונמצא שובר תחת ידו אע"פ שאין עליו עדים סומכין על השובר, ב"י.</w:t>
      </w:r>
    </w:p>
  </w:footnote>
  <w:footnote w:id="4930">
    <w:p w14:paraId="1DAE5248" w14:textId="77777777" w:rsidR="0013116F" w:rsidRDefault="0013116F" w:rsidP="001D49D4">
      <w:pPr>
        <w:pStyle w:val="a9"/>
        <w:rPr>
          <w:rtl/>
        </w:rPr>
      </w:pPr>
      <w:r>
        <w:rPr>
          <w:rStyle w:val="ab"/>
        </w:rPr>
        <w:footnoteRef/>
      </w:r>
      <w:r>
        <w:rPr>
          <w:rtl/>
        </w:rPr>
        <w:t xml:space="preserve"> כ"כ בעל התרומות (שער נג שם). וכתב הראב"ד- אבל אם לא מסר לו שטר חוב - שלישות השובר אינו כלום, דמי יימר דעבדיה שליש דילמא שקרא הוא, ומיהו בשלישות השובר נמי הוי השליש מהימן אם עדים חתומין בו ומקויימת חתימתן, דהא ודאי מידו דמלוה נפק ליה ליד שליש, והילכך אע"ג דליכא עדי פרעון שליש מהימן עכ"ל. וקשה בעיני אם השטר יוצא מתחת ידו והוא אומר פרוע הוא אפילו אין שובר יוצא מתחת ידו נאמן, ב"י.</w:t>
      </w:r>
    </w:p>
  </w:footnote>
  <w:footnote w:id="4931">
    <w:p w14:paraId="43975D5C" w14:textId="77777777" w:rsidR="0013116F" w:rsidRDefault="0013116F" w:rsidP="001D49D4">
      <w:pPr>
        <w:pStyle w:val="a9"/>
      </w:pPr>
      <w:r>
        <w:rPr>
          <w:rStyle w:val="ab"/>
        </w:rPr>
        <w:footnoteRef/>
      </w:r>
      <w:r>
        <w:rPr>
          <w:rtl/>
        </w:rPr>
        <w:t xml:space="preserve"> לשון זה קשה בעיני שאם נתקיים השובר בחותמיו מה צורך לנאמנותו של שליש. ואיפשר דהכי קאמר ואז כשאינו מקויים שייך נאמנות השליש אם לא נתקיים. ועוד י"ל דיתקיים בחותמיו לא כתיבת הנפק קאמר אלא היינו לומר יתקיים מחותמיו כלומר שישאלו לעדים אם יודעים ששטר זה פרוע ויעשו על פיהם ואם אינם יודעים או שאינם לפנינו אז השליש נאמן, ב"י. אך הדרכ"מ (אות ז) כתב דפירוש 'יתקיים בחותמיו' שהעדים יעידו על חתימת ידיהן שעל השובר ואז השליש נאמן לומר פרוע הוא במיגו דיכול להחזיר השובר ללוה והיה נפטר בזה מחובו מאחר שהעדים קיימו את חתימתן, אבל כשהשליש מת אין מחזירין השובר ללוה דשמא המלוה הפקידו לשליש, אבל כשהשטר חוב יוצא עם השובר מחזירין השובר ללוה מאחר שהשטר ביד שליש עם השובר נראה שהשובר אמת </w:t>
      </w:r>
      <w:r>
        <w:rPr>
          <w:sz w:val="16"/>
          <w:szCs w:val="16"/>
          <w:rtl/>
        </w:rPr>
        <w:t>(כן נ"ל פירוש דברי הטור, ופשוט הוא בעיני ולא כתבתי כן אלא להוציאו מדברי ב"י שכתב בו פירושים זרים שאינם נראים בעיני)</w:t>
      </w:r>
      <w:r>
        <w:rPr>
          <w:rtl/>
        </w:rPr>
        <w:t>. וגם הסמ"ע (ס"ק סט) הב"ח (סע' כז) העיר שושן (סע' יט) והש"ך (ס"ק סו) תמהו על הב"י בזה. והסמ"ע תמה גם על הרמ"א שלא הגיה והוסיף על דברי המחבר בשו"ע כלום, שהרי גם הוא תמה על הב"י בדרכ"מ שלו.</w:t>
      </w:r>
    </w:p>
  </w:footnote>
  <w:footnote w:id="4932">
    <w:p w14:paraId="20E57E05" w14:textId="77777777" w:rsidR="0013116F" w:rsidRDefault="0013116F" w:rsidP="001D49D4">
      <w:pPr>
        <w:pStyle w:val="a9"/>
        <w:rPr>
          <w:rtl/>
        </w:rPr>
      </w:pPr>
      <w:r>
        <w:rPr>
          <w:rStyle w:val="ab"/>
        </w:rPr>
        <w:footnoteRef/>
      </w:r>
      <w:r>
        <w:rPr>
          <w:rtl/>
        </w:rPr>
        <w:t xml:space="preserve"> ז"ל ספר התרומות </w:t>
      </w:r>
      <w:r>
        <w:rPr>
          <w:sz w:val="16"/>
          <w:szCs w:val="16"/>
          <w:rtl/>
        </w:rPr>
        <w:t>(שער נב ח"ג סי' יב)</w:t>
      </w:r>
      <w:r>
        <w:rPr>
          <w:rtl/>
        </w:rPr>
        <w:t>- שליש שמת ונמצא שטר חוב של אחרים בתיבתו ואין אנו יודעים מי הפקידו אצלו לא ינתן לא ללוה ולא למלוה ואפילו לוה מודה ואע"פ שהוא בקנין, דדיינינן ליה כמצא שטר חוב בשוק דחיישינן לפרעון ולקנוניא עכ"ל.</w:t>
      </w:r>
    </w:p>
  </w:footnote>
  <w:footnote w:id="4933">
    <w:p w14:paraId="1F20595D" w14:textId="77777777" w:rsidR="0013116F" w:rsidRDefault="0013116F" w:rsidP="001D49D4">
      <w:pPr>
        <w:pStyle w:val="a9"/>
        <w:rPr>
          <w:rtl/>
        </w:rPr>
      </w:pPr>
      <w:r>
        <w:rPr>
          <w:rStyle w:val="ab"/>
        </w:rPr>
        <w:footnoteRef/>
      </w:r>
      <w:r>
        <w:rPr>
          <w:rtl/>
        </w:rPr>
        <w:t xml:space="preserve"> </w:t>
      </w:r>
      <w:r>
        <w:rPr>
          <w:rFonts w:hint="cs"/>
          <w:rtl/>
        </w:rPr>
        <w:t xml:space="preserve">וכתב דהא </w:t>
      </w:r>
      <w:r>
        <w:rPr>
          <w:rtl/>
        </w:rPr>
        <w:t>דהתחיל הטור וכתב 'ואמר פרוע', שם מיירי בשובר שיש עליו עדים, דאז אין צריך שיהיה השט"ח בידו כל שבידו לקיים החתימות ואמר שהוא פרוע. א"נ משום הכי כתב ואומר פרוע, לאפוקי אומר אינו פרוע, דכל היכא דאיכא לברורי מבררינן לכתחילה ושואלין את פיו אם יודע שהוא פרוע או לא.</w:t>
      </w:r>
    </w:p>
  </w:footnote>
  <w:footnote w:id="4934">
    <w:p w14:paraId="37110C91" w14:textId="77777777" w:rsidR="0013116F" w:rsidRDefault="0013116F" w:rsidP="001D49D4">
      <w:pPr>
        <w:pStyle w:val="a9"/>
      </w:pPr>
      <w:r>
        <w:rPr>
          <w:rStyle w:val="ab"/>
        </w:rPr>
        <w:footnoteRef/>
      </w:r>
      <w:r>
        <w:rPr>
          <w:rtl/>
        </w:rPr>
        <w:t xml:space="preserve"> דאז ליכא מיגו דאי בעי הוה נותנו ליד הלוה, מ"מ אמרינן כיון דהימניה מעיקרא ונתן השובר בידו, הימניה בכל דבריו, סמ"ע</w:t>
      </w:r>
      <w:r>
        <w:rPr>
          <w:sz w:val="16"/>
          <w:szCs w:val="16"/>
          <w:rtl/>
        </w:rPr>
        <w:t xml:space="preserve"> (ס"ק סד)</w:t>
      </w:r>
      <w:r>
        <w:rPr>
          <w:rtl/>
        </w:rPr>
        <w:t xml:space="preserve">. וכתב הש"ך </w:t>
      </w:r>
      <w:r>
        <w:rPr>
          <w:sz w:val="16"/>
          <w:szCs w:val="16"/>
          <w:rtl/>
        </w:rPr>
        <w:t xml:space="preserve">(ס"ק סג) </w:t>
      </w:r>
      <w:r>
        <w:rPr>
          <w:rtl/>
        </w:rPr>
        <w:t xml:space="preserve">דהיינו כשיש עליו עדים, דאל"כ מאי אפילו שייך כאן </w:t>
      </w:r>
      <w:r>
        <w:rPr>
          <w:sz w:val="16"/>
          <w:szCs w:val="16"/>
          <w:rtl/>
        </w:rPr>
        <w:t>(דהא ליכא כאן מיגו, דאי הוה יהביה ניהליה לא היה כלום, וכן מבואר בהרא"ש ובנמוק"י ספ"ק דמציעא שמשם מקור דבר זה)</w:t>
      </w:r>
      <w:r>
        <w:rPr>
          <w:rtl/>
        </w:rPr>
        <w:t xml:space="preserve">. והטעם מבואר שם דהא הימניה לשליש. ולפי זה מיירי דוקא כשידוע שעשאו שליש או שהמלוה מודה בכך, דאל"כ כיון דראו ב"ד כבר בידו השובר ולית ליה מיגו, לא עדיף מאיש אחר ואינו נאמן. וכן מ"ש אח"כ ואפילו אין עליו עדים ואפילו מת השליש כו', הכל מיירי שידוע שהוא שליש </w:t>
      </w:r>
      <w:r>
        <w:rPr>
          <w:sz w:val="16"/>
          <w:szCs w:val="16"/>
          <w:rtl/>
        </w:rPr>
        <w:t>(דאל"כ אע"פ שנמצא שם שובר בלא עדים, או אפילו בעדים וליכא כאן מיגו דהיה יכול ליתנו להלוה, אינו כלום. והשתא ניחא הא דתניא בתוספתא [ב"מ פ"א ה"ו] בין שמצאן בשוק בין שמצאן בין שטרותיו של אביו, אם יש עמהן סמפונות יעשה מה שבסמפונות, וא"כ כיון דמוקמינן לה בש"ס [כ:] שנמצא [השטר, להרמב"ם וסיעתו דלעיל סקנ"ד] בין שטרות קרועין, משמע דכולה מיירי שנמצא בין שטרות קרועין, וא"כ במצא בין שטרות של אביו השובר והשטר ל"ל שיהא בין שטרות קרועין. אלא ודאי דהתם מיירי שאביו אינו שליש. ובהא ניחא נמי הא דכתב הרמב"ם סוף פט"ז מהל' מלוה [הי"א], המוצא שטר בין שטרותיו ואינו יודע מה טיבו יהא מונח עד שיבוא אליהו, ולא כתב דין דאם יש עמהן סמפונות, דהא לפי מ"ש לעיל ס"ק כ"ה הרמב"ם מפרש אם יש עמהן סמפונות אכולה מתניתין דלעיל, א"כ גם אמוצא שטר בין שטרותיו כו' קאי, אלא ודאי סמך אמ"ש בפי"ח מהל' גזילה דין ה' והביאוהו הטור והמחבר לעיל [טור סעיף ט' ומחבר] סעיף ח' מצא שטרות כו' ואם יש עמהם שובר כו', דאין חילוק בין מצא בשוק ובין מצא בין שטרותיו, כיון שהוא אינו שליש ואינו זכור שבשלישות בא לידו)</w:t>
      </w:r>
      <w:r>
        <w:rPr>
          <w:rtl/>
        </w:rPr>
        <w:t>.</w:t>
      </w:r>
    </w:p>
  </w:footnote>
  <w:footnote w:id="4935">
    <w:p w14:paraId="241BF0F7" w14:textId="77777777" w:rsidR="0013116F" w:rsidRDefault="0013116F" w:rsidP="001D49D4">
      <w:pPr>
        <w:pStyle w:val="a9"/>
        <w:rPr>
          <w:rtl/>
        </w:rPr>
      </w:pPr>
      <w:r>
        <w:rPr>
          <w:rStyle w:val="ab"/>
        </w:rPr>
        <w:footnoteRef/>
      </w:r>
      <w:r>
        <w:rPr>
          <w:rtl/>
        </w:rPr>
        <w:t xml:space="preserve"> פירוש, אפילו השליש חי ואומר שהוא פרוע. והיינו טעמא, דלא עדיף השליש מהלוה עצמו שיש בידו שובר שאין עליו עדים דאינו כלום. ומיירי דג"כ אין עליו חתימת יד המלוה, דא"כ הוה מהני ביד השליש כמו שמהני כשהוא ביד לוה, סמ"ע (ס"ק סו).</w:t>
      </w:r>
    </w:p>
  </w:footnote>
  <w:footnote w:id="4936">
    <w:p w14:paraId="5EF808D9" w14:textId="77777777" w:rsidR="0013116F" w:rsidRDefault="0013116F" w:rsidP="001D49D4">
      <w:pPr>
        <w:pStyle w:val="a9"/>
      </w:pPr>
      <w:r>
        <w:rPr>
          <w:rStyle w:val="ab"/>
        </w:rPr>
        <w:footnoteRef/>
      </w:r>
      <w:r>
        <w:rPr>
          <w:rtl/>
        </w:rPr>
        <w:t xml:space="preserve"> פירוש, אפילו אם אין השט"ח בידו ואפילו מת השליש. והיינו טעמא, דהלוה מקיים ולא המלוה </w:t>
      </w:r>
      <w:r>
        <w:rPr>
          <w:sz w:val="16"/>
          <w:szCs w:val="16"/>
          <w:rtl/>
        </w:rPr>
        <w:t>(וכמ"ש לפנ"כ ס"ק סג)</w:t>
      </w:r>
      <w:r>
        <w:rPr>
          <w:rtl/>
        </w:rPr>
        <w:t>, סמ"ע</w:t>
      </w:r>
      <w:r>
        <w:rPr>
          <w:sz w:val="16"/>
          <w:szCs w:val="16"/>
          <w:rtl/>
        </w:rPr>
        <w:t xml:space="preserve"> (ס"ק סז)</w:t>
      </w:r>
      <w:r>
        <w:rPr>
          <w:rtl/>
        </w:rPr>
        <w:t>.</w:t>
      </w:r>
    </w:p>
  </w:footnote>
  <w:footnote w:id="4937">
    <w:p w14:paraId="6C7853DB" w14:textId="77777777" w:rsidR="0013116F" w:rsidRDefault="0013116F" w:rsidP="001D49D4">
      <w:pPr>
        <w:pStyle w:val="a9"/>
      </w:pPr>
      <w:r>
        <w:rPr>
          <w:rStyle w:val="ab"/>
        </w:rPr>
        <w:footnoteRef/>
      </w:r>
      <w:r>
        <w:rPr>
          <w:rtl/>
        </w:rPr>
        <w:t xml:space="preserve"> ואז נאמן השליש לומר שהוא פרוע, כן הוא בטור [סעיף כ"ח]. והמחבר שהשמיטו, לטעמיה בב"י אזיל שהקשה דאם הוא מקוים מה צורך לנאמנותו של שליש. ואין דבריו נכונים, וכבר השיגו עליו הד"מ [שם] וסמ"ע [סקס"ח] וב"ח [סעיף כ"ז] ושאר אחרונים. אלא ה"פ, דעכשיו אינו מקוים על כן בעינן שיאמר שהוא פרוע ואז נאמן כשאפשר לקיימו, או כשמקיימים אותו נאמן אח"כ לומר פרוע </w:t>
      </w:r>
      <w:r>
        <w:rPr>
          <w:sz w:val="16"/>
          <w:szCs w:val="16"/>
          <w:rtl/>
        </w:rPr>
        <w:t>[אע"פ שראו הב"ד השובר כבר ביד השליש ולית ליה מיגו, נאמן, כיון שהיה יכול ליתנו ללוה כבר, דהא מיירי שידוע או שמודה המלוה שעשאו שליש והימניה וכמ"ש לעיל ס"ק ס"ג]</w:t>
      </w:r>
      <w:r>
        <w:rPr>
          <w:rtl/>
        </w:rPr>
        <w:t xml:space="preserve">, ונותנים השובר ללוה וקורעים השטר, אבל אי לא אמר כלום לא היו נותנים השובר ליד הלוה כיון שעכשיו אינו מקוים, אלא היה מונח, ולכך במת השליש לא יחזיר לא לזה ולא לזה, ומיירי כשהשובר אינו מקוים ואפשר לקיימו, דאי במקוים אצל השליש פשיטא דמחזירים ללוה, דהא אפילו היה ביד המלוה היו מחזירים אותו ללוה וכדלעיל סוף סעיף י"ח, ואי באי אפשר לקיימו כלל פשיטא שאינו כלום, אלא ודאי כדאמרן, ש"ך (ס"ק סו). </w:t>
      </w:r>
    </w:p>
  </w:footnote>
  <w:footnote w:id="4938">
    <w:p w14:paraId="5F35EF65" w14:textId="77777777" w:rsidR="0013116F" w:rsidRDefault="0013116F" w:rsidP="001D49D4">
      <w:pPr>
        <w:pStyle w:val="a9"/>
      </w:pPr>
      <w:r>
        <w:rPr>
          <w:rStyle w:val="ab"/>
        </w:rPr>
        <w:footnoteRef/>
      </w:r>
      <w:r>
        <w:rPr>
          <w:rtl/>
        </w:rPr>
        <w:t xml:space="preserve"> </w:t>
      </w:r>
      <w:r>
        <w:rPr>
          <w:rFonts w:hint="cs"/>
          <w:rtl/>
        </w:rPr>
        <w:t>היינו כשנמצא אצלו רק השובר בלי השטר.</w:t>
      </w:r>
    </w:p>
  </w:footnote>
  <w:footnote w:id="4939">
    <w:p w14:paraId="332DD2D4" w14:textId="77777777" w:rsidR="0013116F" w:rsidRDefault="0013116F" w:rsidP="001D49D4">
      <w:pPr>
        <w:pStyle w:val="a9"/>
      </w:pPr>
      <w:r>
        <w:rPr>
          <w:rStyle w:val="ab"/>
        </w:rPr>
        <w:footnoteRef/>
      </w:r>
      <w:r>
        <w:rPr>
          <w:rtl/>
        </w:rPr>
        <w:t xml:space="preserve"> אבל כשהמלוה מודה שהוא פרוע מחזירין ללוה </w:t>
      </w:r>
      <w:r>
        <w:rPr>
          <w:sz w:val="16"/>
          <w:szCs w:val="16"/>
          <w:rtl/>
        </w:rPr>
        <w:t>(וכמ"ש לפני זה בסע' יח סקנ"ח)</w:t>
      </w:r>
      <w:r>
        <w:rPr>
          <w:rtl/>
        </w:rPr>
        <w:t xml:space="preserve">, סמ"ע </w:t>
      </w:r>
      <w:r>
        <w:rPr>
          <w:sz w:val="16"/>
          <w:szCs w:val="16"/>
          <w:rtl/>
        </w:rPr>
        <w:t>(סק"ע)</w:t>
      </w:r>
      <w:r>
        <w:rPr>
          <w:rtl/>
        </w:rPr>
        <w:t xml:space="preserve">. וכבר השגתי עליו שם בסקמ"ט, וא"כ הכא כיון דאיתרע שטרא </w:t>
      </w:r>
      <w:r>
        <w:rPr>
          <w:sz w:val="16"/>
          <w:szCs w:val="16"/>
          <w:rtl/>
        </w:rPr>
        <w:t>(וכמ"ש לקמן ס"ק סט)</w:t>
      </w:r>
      <w:r>
        <w:rPr>
          <w:rtl/>
        </w:rPr>
        <w:t xml:space="preserve">, אע"פ שהמלוה מודה אין מחזירין ללוה דשמא הלוה יחזירנו למלוה, ש"ך </w:t>
      </w:r>
      <w:r>
        <w:rPr>
          <w:sz w:val="16"/>
          <w:szCs w:val="16"/>
          <w:rtl/>
        </w:rPr>
        <w:t>(ס"ק סח)</w:t>
      </w:r>
      <w:r>
        <w:rPr>
          <w:rtl/>
        </w:rPr>
        <w:t>.</w:t>
      </w:r>
    </w:p>
  </w:footnote>
  <w:footnote w:id="4940">
    <w:p w14:paraId="7FFDE062" w14:textId="77777777" w:rsidR="0013116F" w:rsidRDefault="0013116F" w:rsidP="001D49D4">
      <w:pPr>
        <w:pStyle w:val="a9"/>
      </w:pPr>
      <w:r>
        <w:rPr>
          <w:rStyle w:val="ab"/>
        </w:rPr>
        <w:footnoteRef/>
      </w:r>
      <w:r>
        <w:rPr>
          <w:rtl/>
        </w:rPr>
        <w:t xml:space="preserve"> ונראה דאם אין המלוה מודה שעשאו שליש אלא שאומר שאבד השובר ומצאו זה שמת, לא איתרע שטרא כלל, ודינו כנמצא השובר בשוק דכשהלוה מודה יחזיר למלוה, ש"ך (ס"ק סט).</w:t>
      </w:r>
    </w:p>
  </w:footnote>
  <w:footnote w:id="4941">
    <w:p w14:paraId="499619D8" w14:textId="77777777" w:rsidR="0013116F" w:rsidRDefault="0013116F" w:rsidP="001D49D4">
      <w:pPr>
        <w:pStyle w:val="a9"/>
      </w:pPr>
      <w:r>
        <w:rPr>
          <w:rStyle w:val="ab"/>
        </w:rPr>
        <w:footnoteRef/>
      </w:r>
      <w:r>
        <w:rPr>
          <w:rtl/>
        </w:rPr>
        <w:t xml:space="preserve"> זה ממשעבדי אף שהחייב מודה, ש"ך (סק"ע).</w:t>
      </w:r>
    </w:p>
  </w:footnote>
  <w:footnote w:id="4942">
    <w:p w14:paraId="1E6A5241" w14:textId="77777777" w:rsidR="0013116F" w:rsidRDefault="0013116F" w:rsidP="001D49D4">
      <w:pPr>
        <w:pStyle w:val="a9"/>
      </w:pPr>
      <w:r>
        <w:rPr>
          <w:rStyle w:val="ab"/>
        </w:rPr>
        <w:footnoteRef/>
      </w:r>
      <w:r>
        <w:rPr>
          <w:rtl/>
        </w:rPr>
        <w:t xml:space="preserve"> </w:t>
      </w:r>
      <w:r>
        <w:rPr>
          <w:rFonts w:hint="cs"/>
          <w:rtl/>
        </w:rPr>
        <w:t>סימן – כרטיס כילוי אחר כרטיס. וכן - אשכח כילוי באמצע כרטיס.</w:t>
      </w:r>
    </w:p>
  </w:footnote>
  <w:footnote w:id="4943">
    <w:p w14:paraId="6FE258D5" w14:textId="77777777" w:rsidR="0013116F" w:rsidRDefault="0013116F" w:rsidP="001D49D4">
      <w:pPr>
        <w:pStyle w:val="a9"/>
      </w:pPr>
      <w:r>
        <w:rPr>
          <w:rStyle w:val="ab"/>
        </w:rPr>
        <w:footnoteRef/>
      </w:r>
      <w:r>
        <w:rPr>
          <w:rtl/>
        </w:rPr>
        <w:t xml:space="preserve"> כגון שכתב בגופו של שטר לאחר חתימת העדים 'שטר זה פרוע', רי"ף (יב.).</w:t>
      </w:r>
    </w:p>
  </w:footnote>
  <w:footnote w:id="4944">
    <w:p w14:paraId="5976DFAF" w14:textId="77777777" w:rsidR="0013116F" w:rsidRDefault="0013116F" w:rsidP="001D49D4">
      <w:pPr>
        <w:pStyle w:val="a9"/>
      </w:pPr>
      <w:r>
        <w:rPr>
          <w:rStyle w:val="ab"/>
        </w:rPr>
        <w:footnoteRef/>
      </w:r>
      <w:r>
        <w:rPr>
          <w:rtl/>
        </w:rPr>
        <w:t xml:space="preserve"> </w:t>
      </w:r>
      <w:r>
        <w:rPr>
          <w:rFonts w:hint="cs"/>
          <w:rtl/>
        </w:rPr>
        <w:t>וז"ל-</w:t>
      </w:r>
      <w:r>
        <w:rPr>
          <w:rtl/>
        </w:rPr>
        <w:t xml:space="preserve"> כיון שכתוב על גב השטר או במקום אחר ששטר זה פרוע סומכין על מה שכתוב ונדון על פיו.</w:t>
      </w:r>
    </w:p>
  </w:footnote>
  <w:footnote w:id="4945">
    <w:p w14:paraId="4070239A" w14:textId="77777777" w:rsidR="0013116F" w:rsidRDefault="0013116F" w:rsidP="001D49D4">
      <w:pPr>
        <w:pStyle w:val="a9"/>
        <w:rPr>
          <w:rtl/>
        </w:rPr>
      </w:pPr>
      <w:r>
        <w:rPr>
          <w:rStyle w:val="ab"/>
        </w:rPr>
        <w:footnoteRef/>
      </w:r>
      <w:r>
        <w:rPr>
          <w:rtl/>
        </w:rPr>
        <w:t xml:space="preserve"> </w:t>
      </w:r>
      <w:r>
        <w:rPr>
          <w:rFonts w:hint="cs"/>
          <w:rtl/>
        </w:rPr>
        <w:t>וכתב הב"י דצ"ע.</w:t>
      </w:r>
    </w:p>
  </w:footnote>
  <w:footnote w:id="4946">
    <w:p w14:paraId="29129B6C" w14:textId="77777777" w:rsidR="0013116F" w:rsidRDefault="0013116F" w:rsidP="001D49D4">
      <w:pPr>
        <w:pStyle w:val="a9"/>
      </w:pPr>
      <w:r>
        <w:rPr>
          <w:rStyle w:val="ab"/>
        </w:rPr>
        <w:footnoteRef/>
      </w:r>
      <w:r>
        <w:rPr>
          <w:rtl/>
        </w:rPr>
        <w:t xml:space="preserve"> כן הוא לשון הרמב"ם. ונראה דר"ל דמקצת השובר נכתב נגד השטר ומקצתו למטה ממנו, לאפוקי אם היה כולו למטה ממנו דאינו כלום, דאי בעי גייז ליה והשטר נשאר בשלימותו </w:t>
      </w:r>
      <w:r>
        <w:rPr>
          <w:sz w:val="16"/>
          <w:szCs w:val="16"/>
          <w:rtl/>
        </w:rPr>
        <w:t>(והיינו דוקא כשהמלוה עצמו חי וטוען ברי שאינו פרוע, משא"כ כשנפטר, דאף אם השובר כולו למטה ממנו במקום דיכול לחתכן, אין גובין בשטר זה. ובזה מיושב מ"ש בסעיף שאחר זה, ראובן נפטר כו' עושין כמ"ש בשובר, דקשה מאי קמל"ן, הא אף אם המלוה חי וטוען ברי שאינו פרוע הדין כן, אלא ודאי קמל"ן שם דאף שנכתב השובר במקום שיכול לחתכו, עושין כמו שכתוב בשובר כיון שהן יתומים וטוענין שמא, דאין טוענין בזה עבורם, משא"כ כשהוא חי וטוען ברי, דכתב כאן דצריך שיהא נכתב השובר במקום שא"א לחתכו. ולפ"ז צ"ל דמ"ש בין מלפניו, מיירי שכתב שם באופן שאינו יכול לחתכו, דהיינו ביני שיטי)</w:t>
      </w:r>
      <w:r>
        <w:rPr>
          <w:rtl/>
        </w:rPr>
        <w:t xml:space="preserve">, סמ"ע </w:t>
      </w:r>
      <w:r>
        <w:rPr>
          <w:sz w:val="16"/>
          <w:szCs w:val="16"/>
          <w:rtl/>
        </w:rPr>
        <w:t>(סק"ע)</w:t>
      </w:r>
      <w:r>
        <w:rPr>
          <w:rtl/>
        </w:rPr>
        <w:t xml:space="preserve">. וכתב הש"ך </w:t>
      </w:r>
      <w:r>
        <w:rPr>
          <w:sz w:val="16"/>
          <w:szCs w:val="16"/>
          <w:rtl/>
        </w:rPr>
        <w:t>(סקע"א)</w:t>
      </w:r>
      <w:r>
        <w:rPr>
          <w:rtl/>
        </w:rPr>
        <w:t xml:space="preserve"> דלא נהירא. והעיקר שצ"ל 'ואפילו בקצתו', וכן העתיק להדיא בבעל התרומות </w:t>
      </w:r>
      <w:r>
        <w:rPr>
          <w:sz w:val="16"/>
          <w:szCs w:val="16"/>
          <w:rtl/>
        </w:rPr>
        <w:t xml:space="preserve">(שער נג ח"ג ס"ה) </w:t>
      </w:r>
      <w:r>
        <w:rPr>
          <w:rtl/>
        </w:rPr>
        <w:t xml:space="preserve">לשון הרמב"ם. ופירושו אפילו בקצה השטר, דאל"כ היאך לא יכתוב הרמב"ם דין סמפון היוצא לאחר חיתום שטרות שבש"ס </w:t>
      </w:r>
      <w:r>
        <w:rPr>
          <w:sz w:val="16"/>
          <w:szCs w:val="16"/>
          <w:rtl/>
        </w:rPr>
        <w:t xml:space="preserve">[ב"מ כא.] </w:t>
      </w:r>
      <w:r>
        <w:rPr>
          <w:rtl/>
        </w:rPr>
        <w:t xml:space="preserve">ויכתוב דין אחר מה שלא נזכר בש"ס כלל. וכ"פ להדיא בהג"א </w:t>
      </w:r>
      <w:r>
        <w:rPr>
          <w:sz w:val="16"/>
          <w:szCs w:val="16"/>
          <w:rtl/>
        </w:rPr>
        <w:t>(פרק זה בורר סי' לח אות ד)</w:t>
      </w:r>
      <w:r>
        <w:rPr>
          <w:rtl/>
        </w:rPr>
        <w:t xml:space="preserve"> דלא אמרינן מיגו דאי בעי גייז ליה, וכן פירש הב"ח [סע' כט] ע"ש שהאריך. וכן הוא בתשובת הרמב"ן המיוחסות </w:t>
      </w:r>
      <w:r>
        <w:rPr>
          <w:sz w:val="16"/>
          <w:szCs w:val="16"/>
          <w:rtl/>
        </w:rPr>
        <w:t>(סי' ק, וז"ל, וכדתניא סמפון היוצא לאחר חיתום שטרות כשר, דאי לאו דפריע לא הוה מרע לשטריה, וההוא ודאי אי בעי גייז ליה כו')</w:t>
      </w:r>
      <w:r>
        <w:rPr>
          <w:rtl/>
        </w:rPr>
        <w:t>, וע"ש. ועיין מ"ש בסעיף שאח"ז ס"ק ע"ג. עכ"ל הש"ך. וכן הוא ברמב"ם מהדורת מקבילי. וגם הט"ז פירש ד-'במקצתו' הכוונה בגליון השטר, וכתב שמעשים בכל יום שכותבים שובר בגוף השטר למטה.</w:t>
      </w:r>
    </w:p>
  </w:footnote>
  <w:footnote w:id="4947">
    <w:p w14:paraId="49E134DB" w14:textId="77777777" w:rsidR="0013116F" w:rsidRDefault="0013116F" w:rsidP="001D49D4">
      <w:pPr>
        <w:pStyle w:val="a9"/>
      </w:pPr>
      <w:r>
        <w:rPr>
          <w:rStyle w:val="ab"/>
        </w:rPr>
        <w:footnoteRef/>
      </w:r>
      <w:r>
        <w:rPr>
          <w:rtl/>
        </w:rPr>
        <w:t xml:space="preserve"> דכל מה שכתוב בפנקסו הוה כאילו העיד עליו שהוא כן... שוב ראיתי ברי"ו דכתב שם "ונמצא כתוב בפנקסו", ור"ל שאחרים מצאו כן כתוב, וא"ש טפי דתו ליכא מיגו. וכן נראה להגיה בדברי מור"ם "ונמצא" במקום "ומצא", ועי' בסקע"ג, סמ"ע</w:t>
      </w:r>
      <w:r>
        <w:rPr>
          <w:sz w:val="16"/>
          <w:szCs w:val="16"/>
          <w:rtl/>
        </w:rPr>
        <w:t xml:space="preserve"> (סק"ע)</w:t>
      </w:r>
      <w:r>
        <w:rPr>
          <w:rtl/>
        </w:rPr>
        <w:t>.</w:t>
      </w:r>
    </w:p>
  </w:footnote>
  <w:footnote w:id="4948">
    <w:p w14:paraId="5FB59F5B" w14:textId="77777777" w:rsidR="0013116F" w:rsidRDefault="0013116F" w:rsidP="001D49D4">
      <w:pPr>
        <w:pStyle w:val="a9"/>
      </w:pPr>
      <w:r>
        <w:rPr>
          <w:rStyle w:val="ab"/>
        </w:rPr>
        <w:footnoteRef/>
      </w:r>
      <w:r>
        <w:rPr>
          <w:rtl/>
        </w:rPr>
        <w:t xml:space="preserve"> עיין לקמן סימן צ"א סעיף ה' [סקכ"ה] מ"ש שם, ש"ך (סקע"ב).</w:t>
      </w:r>
    </w:p>
  </w:footnote>
  <w:footnote w:id="4949">
    <w:p w14:paraId="55AF522E" w14:textId="77777777" w:rsidR="0013116F" w:rsidRDefault="0013116F" w:rsidP="001D49D4">
      <w:pPr>
        <w:pStyle w:val="a9"/>
        <w:rPr>
          <w:rtl/>
        </w:rPr>
      </w:pPr>
      <w:r>
        <w:rPr>
          <w:rStyle w:val="ab"/>
        </w:rPr>
        <w:footnoteRef/>
      </w:r>
      <w:r>
        <w:rPr>
          <w:rtl/>
        </w:rPr>
        <w:t xml:space="preserve"> כתב הע"ש </w:t>
      </w:r>
      <w:r>
        <w:rPr>
          <w:sz w:val="16"/>
          <w:szCs w:val="16"/>
          <w:rtl/>
        </w:rPr>
        <w:t xml:space="preserve">[סע' כא] </w:t>
      </w:r>
      <w:r>
        <w:rPr>
          <w:rtl/>
        </w:rPr>
        <w:t>דמיירי דנמצא מונח כך בתוך השטר, דאל"כ היינו מ"ש בסע' הקודם</w:t>
      </w:r>
      <w:r>
        <w:rPr>
          <w:sz w:val="16"/>
          <w:szCs w:val="16"/>
          <w:rtl/>
        </w:rPr>
        <w:t xml:space="preserve"> {ע"כ}</w:t>
      </w:r>
      <w:r>
        <w:rPr>
          <w:rtl/>
        </w:rPr>
        <w:t xml:space="preserve">. ולא נהירא </w:t>
      </w:r>
      <w:r>
        <w:rPr>
          <w:sz w:val="16"/>
          <w:szCs w:val="16"/>
          <w:rtl/>
        </w:rPr>
        <w:t>(דעיקר חסר מן הספר. ועוד דא"כ מנ"ל להמחבר זה, הא בתשו' הרא"ש (כלל סח סי' טו) מיירי להדיא שכתוב בגוף השטר. ועוד, דסתמא אמרינן בש"ס ספ"ק דמציעא [כ:] וכן לעיל סעיף י"ח סמפון היוצא מתחת ידי מלוה [השטר] כשר, ולא מפליגינן בין נמצא מונח בתוך השטר או לא. ועוד, דא"כ מאי פריך בש"ס התם מכל הנך משניות, ה"ל לשנויי דמיירי שנמצא מונח תוך השטר. אלא ודאי אין חילוק ולעולם אמרינן דילמא המלוה היה צריך גוף השטר לשום ענין והכין השובר ליתנו לו כשיפרע)</w:t>
      </w:r>
      <w:r>
        <w:rPr>
          <w:rtl/>
        </w:rPr>
        <w:t xml:space="preserve">. והסמ"ע </w:t>
      </w:r>
      <w:r>
        <w:rPr>
          <w:sz w:val="16"/>
          <w:szCs w:val="16"/>
          <w:rtl/>
        </w:rPr>
        <w:t xml:space="preserve">[סק"ע] </w:t>
      </w:r>
      <w:r>
        <w:rPr>
          <w:rtl/>
        </w:rPr>
        <w:t xml:space="preserve">פירש דמיירי אף שהשובר כתוב למטה במקום שהיה יכול לחתכו, וקמ"ל דאף שהמלוה היה גובה בו, אין טוענים בזה בעד היתומים. ואין דבריו נכונים </w:t>
      </w:r>
      <w:r>
        <w:rPr>
          <w:sz w:val="16"/>
          <w:szCs w:val="16"/>
          <w:rtl/>
        </w:rPr>
        <w:t>(ובפרט לפי מ"ש בסמוך סקע"א דגם המלוה לא היה גובה בו)</w:t>
      </w:r>
      <w:r>
        <w:rPr>
          <w:rtl/>
        </w:rPr>
        <w:t>. והב"ח</w:t>
      </w:r>
      <w:r>
        <w:rPr>
          <w:sz w:val="16"/>
          <w:szCs w:val="16"/>
          <w:rtl/>
        </w:rPr>
        <w:t xml:space="preserve"> [סע' כט] </w:t>
      </w:r>
      <w:r>
        <w:rPr>
          <w:rtl/>
        </w:rPr>
        <w:t xml:space="preserve">פירש דמיירי שהוא כתב ידו ממש, ולדיוקא איצטריך דאם הוא כתב יד אחר אין עושין כמ"ש בשובר אלא יהא מונח עד שיבוא אליהו, דאע"ג דאם היה המלוה חי הוה קרעינן ליה אפילו הוא כתב יד אחר, מ"מ הכא ליכא חזקה דלא מרע אינש לשטריה, כיון דספק הוא אם נכתב שובר זה בחייו או לא, עכ"ד. וגם זה אינו נכון כלל. </w:t>
      </w:r>
      <w:r>
        <w:rPr>
          <w:sz w:val="16"/>
          <w:szCs w:val="16"/>
          <w:rtl/>
        </w:rPr>
        <w:t>(גם דינו לא נהירא, דכיון שנכתב שובר על גוף השטר, אע"פ שהוא כתב יד אחר קרעינן ליה מכח חזקה דאי איתא דלא נפרע לא היה מרע לשטריה, וכ"מ ברמב"ם ס"פ ט"ז מהל' מלוה ע"ש בה"ט ובה"י)</w:t>
      </w:r>
      <w:r>
        <w:rPr>
          <w:rtl/>
        </w:rPr>
        <w:t>. אלא נראה דהמחבר מיירי כפשוטו, ואע"פ שכתב בסעיף הקודם דשובר בגופו של שטר כשר, הביא בכאן לשון תשובת הרא"ש להורות דאף גבי יורשים הדין כן, דהא בכמה דוכתי יורשים עדיפים ממלוה עצמו, וגם לעיל ס"ק סב אמרינן דמלוה אינו גובה ויורשיו גובים, א"כ ה"א דוקא כשהמלוה חי השטר פסול, אבל ביורשיו לא, דדילמא אי הוה אבוהון קיים הוה מברר דכשלא כדין או בטעות או לרשימה בעלמא נכתב וכה"ג, קמ"ל, ש"ך</w:t>
      </w:r>
      <w:r>
        <w:rPr>
          <w:sz w:val="16"/>
          <w:szCs w:val="16"/>
          <w:rtl/>
        </w:rPr>
        <w:t xml:space="preserve"> (סקע"ג)</w:t>
      </w:r>
      <w:r>
        <w:rPr>
          <w:rtl/>
        </w:rPr>
        <w:t>.</w:t>
      </w:r>
    </w:p>
  </w:footnote>
  <w:footnote w:id="4950">
    <w:p w14:paraId="41F08CAC" w14:textId="77777777" w:rsidR="0013116F" w:rsidRDefault="0013116F" w:rsidP="001D49D4">
      <w:pPr>
        <w:pStyle w:val="a9"/>
      </w:pPr>
      <w:r>
        <w:rPr>
          <w:rStyle w:val="ab"/>
        </w:rPr>
        <w:footnoteRef/>
      </w:r>
      <w:r>
        <w:rPr>
          <w:rtl/>
        </w:rPr>
        <w:t xml:space="preserve"> עיין לקמן סימן פ"א סעיף י"ז וי"ח [סקמ"ה] מ"ש מזה, ש"ך (סקע"ד).</w:t>
      </w:r>
    </w:p>
  </w:footnote>
  <w:footnote w:id="4951">
    <w:p w14:paraId="445173C8" w14:textId="77777777" w:rsidR="0013116F" w:rsidRDefault="0013116F" w:rsidP="001D49D4">
      <w:pPr>
        <w:pStyle w:val="a9"/>
      </w:pPr>
      <w:r>
        <w:rPr>
          <w:rStyle w:val="ab"/>
        </w:rPr>
        <w:footnoteRef/>
      </w:r>
      <w:r>
        <w:rPr>
          <w:rtl/>
        </w:rPr>
        <w:t xml:space="preserve"> </w:t>
      </w:r>
      <w:r>
        <w:rPr>
          <w:rFonts w:hint="cs"/>
          <w:rtl/>
        </w:rPr>
        <w:t>סימן – קלף גדול עקר. קטן עדיין גובה.</w:t>
      </w:r>
    </w:p>
  </w:footnote>
  <w:footnote w:id="4952">
    <w:p w14:paraId="03D39C92" w14:textId="77777777" w:rsidR="0013116F" w:rsidRDefault="0013116F" w:rsidP="001D49D4">
      <w:pPr>
        <w:pStyle w:val="a9"/>
      </w:pPr>
      <w:r>
        <w:rPr>
          <w:rStyle w:val="ab"/>
        </w:rPr>
        <w:footnoteRef/>
      </w:r>
      <w:r>
        <w:rPr>
          <w:rtl/>
        </w:rPr>
        <w:t xml:space="preserve"> </w:t>
      </w:r>
      <w:r>
        <w:rPr>
          <w:rFonts w:hint="cs"/>
          <w:rtl/>
        </w:rPr>
        <w:t>עד כאן העתיקו הנמוק"י והב"י את לשון הריטב"א בשם הרמ"ה, אך בריטב"א סיים וז"ל-</w:t>
      </w:r>
      <w:r>
        <w:rPr>
          <w:rtl/>
        </w:rPr>
        <w:t xml:space="preserve"> אבל מורי ז"ל היה מפקפק בדין זה. ועיין בסי' נט מחודש א דשם הביא ב"י ג"כ דין זה.</w:t>
      </w:r>
    </w:p>
  </w:footnote>
  <w:footnote w:id="4953">
    <w:p w14:paraId="682A4981" w14:textId="77777777" w:rsidR="0013116F" w:rsidRDefault="0013116F" w:rsidP="001D49D4">
      <w:pPr>
        <w:pStyle w:val="a9"/>
      </w:pPr>
      <w:r>
        <w:rPr>
          <w:rStyle w:val="ab"/>
        </w:rPr>
        <w:footnoteRef/>
      </w:r>
      <w:r>
        <w:rPr>
          <w:rtl/>
        </w:rPr>
        <w:t xml:space="preserve"> ואין חילוק בדינים אילו בין שהמלוה חי או שמת אח"כ, אלא דאם הוא חי וטוען אח"כ עיינתי ונזכרתי שזה פרוע והאחרים אינם פרועים, חוזר וגובה בהן כדלעיל סימן נ"ט וע"ש, ש"ך (סקע"ו).</w:t>
      </w:r>
    </w:p>
  </w:footnote>
  <w:footnote w:id="4954">
    <w:p w14:paraId="3952CA1B" w14:textId="77777777" w:rsidR="0013116F" w:rsidRDefault="0013116F" w:rsidP="001D49D4">
      <w:pPr>
        <w:pStyle w:val="a9"/>
      </w:pPr>
      <w:r>
        <w:rPr>
          <w:rStyle w:val="ab"/>
        </w:rPr>
        <w:footnoteRef/>
      </w:r>
      <w:r>
        <w:rPr>
          <w:rtl/>
        </w:rPr>
        <w:t xml:space="preserve"> וה"ה השטרות שעל הלווים האחרים אינן פרועין, דאמרינן אותו שטר שיש ביד לוה זה שובר עליו היה פרוע ולא האחרים, וכן הוא בנמוק"י (שם) להדיא ומביאו ב"י [סעיף ל"ב], ש"ך (סקע"ז).</w:t>
      </w:r>
    </w:p>
  </w:footnote>
  <w:footnote w:id="4955">
    <w:p w14:paraId="38204B65" w14:textId="77777777" w:rsidR="0013116F" w:rsidRDefault="0013116F" w:rsidP="001D49D4">
      <w:pPr>
        <w:pStyle w:val="a9"/>
        <w:rPr>
          <w:rtl/>
        </w:rPr>
      </w:pPr>
      <w:r>
        <w:rPr>
          <w:rStyle w:val="ab"/>
        </w:rPr>
        <w:footnoteRef/>
      </w:r>
      <w:r>
        <w:rPr>
          <w:rtl/>
        </w:rPr>
        <w:t xml:space="preserve"> כ"כ מהרד"ך (שם) שמדמי זה למכר דלקמן ס"ס רי"ח (סע' כ-כג), ומביאו ב"י. ולפע"ד לא דמי, דהתם המוכר מוחזק בשדהו, אבל הכא המקבל מוחזק במעות, ודמי לפרוע, ומהאי טעמא אמרינן לעיל סי' מ"ב סע' ח' דאף בשובר אמרינן יד בעל השובר על העליונה אף נגד שטר, אע"פ שכתוב בשובר לשון מחילה, וכדאיתא בסי' מ"ג סע' כ"ה וסע' כ"ו ע"ש, וצל"ע. ומ"מ נראה דאף מהרד"ך לא קאמר אלא כשידוע בבירור או שהלוה מודה שמחלו לו בחנם, ומטעם שכתב שם שהקונה או המקבל מתנה ידו על התחתונה, והיינו דכתב מהרד"ך שם באומר שטר לך בידי מחול שמחלתיו לך כו', אבל באומר סתם מחול לך והלוה טוען ברי ואומר שמחל לו מחמת שהיה מחויב למחול לו, דמי לפרעון והגדול מחול, והר"ב קיצר בדבר, ש"ך (סקע"ח).</w:t>
      </w:r>
    </w:p>
  </w:footnote>
  <w:footnote w:id="4956">
    <w:p w14:paraId="49F93683" w14:textId="77777777" w:rsidR="0013116F" w:rsidRDefault="0013116F" w:rsidP="001D49D4">
      <w:pPr>
        <w:pStyle w:val="a9"/>
      </w:pPr>
      <w:r>
        <w:rPr>
          <w:rStyle w:val="ab"/>
        </w:rPr>
        <w:footnoteRef/>
      </w:r>
      <w:r>
        <w:rPr>
          <w:rtl/>
        </w:rPr>
        <w:t xml:space="preserve"> </w:t>
      </w:r>
      <w:r>
        <w:rPr>
          <w:rFonts w:hint="cs"/>
          <w:rtl/>
        </w:rPr>
        <w:t>סימן – קלף גדול עקר. קטן עדיין גובה.</w:t>
      </w:r>
    </w:p>
  </w:footnote>
  <w:footnote w:id="4957">
    <w:p w14:paraId="78AD0ABD" w14:textId="77777777" w:rsidR="0013116F" w:rsidRDefault="0013116F" w:rsidP="001D49D4">
      <w:pPr>
        <w:pStyle w:val="a9"/>
      </w:pPr>
      <w:r>
        <w:rPr>
          <w:rStyle w:val="ab"/>
        </w:rPr>
        <w:footnoteRef/>
      </w:r>
      <w:r>
        <w:rPr>
          <w:rtl/>
        </w:rPr>
        <w:t xml:space="preserve"> דכיון דלא הזכיר סכום החוב אמרינן דכל השטרות שנכתבין עליו הן בכלל אותו החוב, ועיין מה שכתבתי לעיל סימן נ"ד [סק"ט] וסימן ס"ג [סק"ט], סמ"ע (סקע"ז).</w:t>
      </w:r>
    </w:p>
  </w:footnote>
  <w:footnote w:id="4958">
    <w:p w14:paraId="2181FBFC" w14:textId="77777777" w:rsidR="0013116F" w:rsidRDefault="0013116F" w:rsidP="001D49D4">
      <w:pPr>
        <w:pStyle w:val="a9"/>
      </w:pPr>
      <w:r>
        <w:rPr>
          <w:rStyle w:val="ab"/>
        </w:rPr>
        <w:footnoteRef/>
      </w:r>
      <w:r>
        <w:rPr>
          <w:rtl/>
        </w:rPr>
        <w:t xml:space="preserve"> </w:t>
      </w:r>
      <w:r>
        <w:rPr>
          <w:rFonts w:hint="cs"/>
          <w:rtl/>
        </w:rPr>
        <w:t>סימן – עותק עובר. וסימן לדף עז – עט וזריקה.</w:t>
      </w:r>
    </w:p>
  </w:footnote>
  <w:footnote w:id="4959">
    <w:p w14:paraId="12ACA7D3" w14:textId="77777777" w:rsidR="0013116F" w:rsidRDefault="0013116F" w:rsidP="001D49D4">
      <w:pPr>
        <w:pStyle w:val="a9"/>
        <w:rPr>
          <w:rtl/>
        </w:rPr>
      </w:pPr>
      <w:r>
        <w:rPr>
          <w:rStyle w:val="ab"/>
        </w:rPr>
        <w:footnoteRef/>
      </w:r>
      <w:r>
        <w:rPr>
          <w:rtl/>
        </w:rPr>
        <w:t xml:space="preserve"> ולפרושי אתא דהלכתא כרבנן דפליגי עליה דרבי ואמרי עד שיכתוב וימסור, וגם בא לפרש היאך יכתוב ליה ההוא שטרא, רשב"ם.</w:t>
      </w:r>
    </w:p>
  </w:footnote>
  <w:footnote w:id="4960">
    <w:p w14:paraId="04AF02C0" w14:textId="77777777" w:rsidR="0013116F" w:rsidRDefault="0013116F" w:rsidP="001D49D4">
      <w:pPr>
        <w:pStyle w:val="a9"/>
      </w:pPr>
      <w:r>
        <w:rPr>
          <w:rStyle w:val="ab"/>
        </w:rPr>
        <w:footnoteRef/>
      </w:r>
      <w:r>
        <w:rPr>
          <w:rtl/>
        </w:rPr>
        <w:t xml:space="preserve"> נתווכחתי בשמועה זו, ורב אשי כרבי סבירא ליה דאותיות נקנות במסירה בלא שטר אחר, רשב"ם.</w:t>
      </w:r>
    </w:p>
  </w:footnote>
  <w:footnote w:id="4961">
    <w:p w14:paraId="490942F6" w14:textId="77777777" w:rsidR="0013116F" w:rsidRDefault="0013116F" w:rsidP="001D49D4">
      <w:pPr>
        <w:pStyle w:val="a9"/>
      </w:pPr>
      <w:r>
        <w:rPr>
          <w:rStyle w:val="ab"/>
        </w:rPr>
        <w:footnoteRef/>
      </w:r>
      <w:r>
        <w:rPr>
          <w:rtl/>
        </w:rPr>
        <w:t xml:space="preserve"> אלא מסר בלא שטר אחר לא קני כרבנן, ואמאי? וכי לצור על פי צלוחיתו קנאו זה? הא סברא היא דמשום גביית חוב הכתוב בו קזבין ליה! והלכך במסירה לחוד מיקני כרבי, רשב"ם.</w:t>
      </w:r>
    </w:p>
  </w:footnote>
  <w:footnote w:id="4962">
    <w:p w14:paraId="035AAE96" w14:textId="77777777" w:rsidR="0013116F" w:rsidRDefault="0013116F" w:rsidP="001D49D4">
      <w:pPr>
        <w:pStyle w:val="a9"/>
      </w:pPr>
      <w:r>
        <w:rPr>
          <w:rStyle w:val="ab"/>
        </w:rPr>
        <w:footnoteRef/>
      </w:r>
      <w:r>
        <w:rPr>
          <w:rtl/>
        </w:rPr>
        <w:t xml:space="preserve"> ואי משום אונאה יתר משתות ליהוי ביטול מקח ומחזיר לו דמיו וזה יחזיר לו שטר חובו, רשב"ם. וכן פירש הרא"ש (שם) דהוי מקח טעות והדמים </w:t>
      </w:r>
      <w:r>
        <w:rPr>
          <w:color w:val="000000" w:themeColor="text1"/>
          <w:rtl/>
        </w:rPr>
        <w:t>חוזרים. וכתב הב"י דלקמן</w:t>
      </w:r>
      <w:r>
        <w:rPr>
          <w:color w:val="000000" w:themeColor="text1"/>
          <w:sz w:val="16"/>
          <w:szCs w:val="16"/>
          <w:rtl/>
        </w:rPr>
        <w:t xml:space="preserve"> (סע' טז, גבי כתב בעל התרומות אם לא כתב המוכר קנה לך וכו') </w:t>
      </w:r>
      <w:r>
        <w:rPr>
          <w:color w:val="000000" w:themeColor="text1"/>
          <w:rtl/>
        </w:rPr>
        <w:t xml:space="preserve">נראה שבעל התרומות מפרש בזה פירוש אחר </w:t>
      </w:r>
      <w:r>
        <w:rPr>
          <w:color w:val="000000" w:themeColor="text1"/>
          <w:sz w:val="16"/>
          <w:szCs w:val="16"/>
          <w:rtl/>
        </w:rPr>
        <w:t>{דשם מתבאר דס"ל לבעל התרומות דקנה הלוקח את גוף השטר לצור על פי צלוחיתו אפילו לא כתב לו המוכר קני לך איהו כו'}</w:t>
      </w:r>
      <w:r>
        <w:rPr>
          <w:color w:val="000000" w:themeColor="text1"/>
          <w:rtl/>
        </w:rPr>
        <w:t>.</w:t>
      </w:r>
    </w:p>
  </w:footnote>
  <w:footnote w:id="4963">
    <w:p w14:paraId="48E87474" w14:textId="77777777" w:rsidR="0013116F" w:rsidRDefault="0013116F" w:rsidP="001D49D4">
      <w:pPr>
        <w:pStyle w:val="a9"/>
        <w:rPr>
          <w:rtl/>
        </w:rPr>
      </w:pPr>
      <w:r>
        <w:rPr>
          <w:rStyle w:val="ab"/>
        </w:rPr>
        <w:footnoteRef/>
      </w:r>
      <w:r>
        <w:rPr>
          <w:rtl/>
        </w:rPr>
        <w:t xml:space="preserve"> וכן הסכמת הפוסקים, ועיין בהר"ן פרק הכותב (כתובות מג. ד"ה ההיא) וברמב"ם פ"ו מהלכות מכירה (הי"ב) אי מכירת שטרות דאורייתא או דרבנן, וגם בנמוק"י פרק מי שמת</w:t>
      </w:r>
      <w:r>
        <w:rPr>
          <w:sz w:val="16"/>
          <w:szCs w:val="16"/>
          <w:rtl/>
        </w:rPr>
        <w:t xml:space="preserve"> (ב"ב סט.)</w:t>
      </w:r>
      <w:r>
        <w:rPr>
          <w:rtl/>
        </w:rPr>
        <w:t xml:space="preserve"> האריך בזה, דרכ"מ </w:t>
      </w:r>
      <w:r>
        <w:rPr>
          <w:sz w:val="16"/>
          <w:szCs w:val="16"/>
          <w:rtl/>
        </w:rPr>
        <w:t>(אות א)</w:t>
      </w:r>
      <w:r>
        <w:rPr>
          <w:rtl/>
        </w:rPr>
        <w:t xml:space="preserve">. ונ"מ אי מוכר שטרותיו לגוי, סמ"ע </w:t>
      </w:r>
      <w:r>
        <w:rPr>
          <w:sz w:val="16"/>
          <w:szCs w:val="16"/>
          <w:rtl/>
        </w:rPr>
        <w:t>(סק"א)</w:t>
      </w:r>
      <w:r>
        <w:rPr>
          <w:rtl/>
        </w:rPr>
        <w:t>. וכתב הש"ך (סק"א) דנראה עיקר דמכירת שטרות דאורייתא. וכתב דכ"כ הריטב"א (סי' יד) והעיר שושן (סע' כה) ושכן נראה דעת השו"ע. אמנם הרא"ש (כלל סט סי' א) ס"ל דהוי מדרבנן. ובדעת הרי"ף נחלקו הראשונים והאחרונים עיין בש"ך שם (סק"א).</w:t>
      </w:r>
    </w:p>
  </w:footnote>
  <w:footnote w:id="4964">
    <w:p w14:paraId="18C85651" w14:textId="77777777" w:rsidR="0013116F" w:rsidRDefault="0013116F" w:rsidP="001D49D4">
      <w:pPr>
        <w:pStyle w:val="a9"/>
        <w:rPr>
          <w:rtl/>
        </w:rPr>
      </w:pPr>
      <w:r>
        <w:rPr>
          <w:rStyle w:val="ab"/>
        </w:rPr>
        <w:footnoteRef/>
      </w:r>
      <w:r>
        <w:rPr>
          <w:rtl/>
        </w:rPr>
        <w:t xml:space="preserve"> </w:t>
      </w:r>
      <w:r>
        <w:rPr>
          <w:rFonts w:hint="cs"/>
          <w:rtl/>
        </w:rPr>
        <w:t xml:space="preserve">וכ"כ </w:t>
      </w:r>
      <w:r>
        <w:rPr>
          <w:rtl/>
        </w:rPr>
        <w:t xml:space="preserve">רי"ו </w:t>
      </w:r>
      <w:r>
        <w:rPr>
          <w:sz w:val="16"/>
          <w:szCs w:val="16"/>
          <w:rtl/>
        </w:rPr>
        <w:t>(ני"ד מה ע"ג)</w:t>
      </w:r>
      <w:r>
        <w:rPr>
          <w:rtl/>
        </w:rPr>
        <w:t xml:space="preserve">בשם הרא"ש בתשובה והרמב"ן </w:t>
      </w:r>
      <w:r>
        <w:rPr>
          <w:sz w:val="16"/>
          <w:szCs w:val="16"/>
          <w:rtl/>
        </w:rPr>
        <w:t xml:space="preserve">(עו: ד"ה צריך למיכתב) </w:t>
      </w:r>
      <w:r>
        <w:rPr>
          <w:rtl/>
        </w:rPr>
        <w:t xml:space="preserve">והרשב"א </w:t>
      </w:r>
      <w:r>
        <w:rPr>
          <w:sz w:val="16"/>
          <w:szCs w:val="16"/>
          <w:rtl/>
        </w:rPr>
        <w:t xml:space="preserve">(ד"ה א"ל) </w:t>
      </w:r>
      <w:r>
        <w:rPr>
          <w:rtl/>
        </w:rPr>
        <w:t>וכתב שכן נראה עיקר.</w:t>
      </w:r>
    </w:p>
  </w:footnote>
  <w:footnote w:id="4965">
    <w:p w14:paraId="58A4228A" w14:textId="77777777" w:rsidR="0013116F" w:rsidRDefault="0013116F" w:rsidP="001D49D4">
      <w:pPr>
        <w:pStyle w:val="a9"/>
        <w:rPr>
          <w:rtl/>
        </w:rPr>
      </w:pPr>
      <w:r>
        <w:rPr>
          <w:rStyle w:val="ab"/>
        </w:rPr>
        <w:footnoteRef/>
      </w:r>
      <w:r>
        <w:rPr>
          <w:rtl/>
        </w:rPr>
        <w:t xml:space="preserve"> </w:t>
      </w:r>
      <w:r>
        <w:rPr>
          <w:rFonts w:hint="cs"/>
          <w:rtl/>
        </w:rPr>
        <w:t xml:space="preserve">וכ"כ </w:t>
      </w:r>
      <w:r>
        <w:rPr>
          <w:rtl/>
        </w:rPr>
        <w:t xml:space="preserve">רי"ו </w:t>
      </w:r>
      <w:r>
        <w:rPr>
          <w:sz w:val="16"/>
          <w:szCs w:val="16"/>
          <w:rtl/>
        </w:rPr>
        <w:t>(ני"ד מה ע"ג)</w:t>
      </w:r>
      <w:r>
        <w:rPr>
          <w:rtl/>
        </w:rPr>
        <w:t>.</w:t>
      </w:r>
    </w:p>
  </w:footnote>
  <w:footnote w:id="4966">
    <w:p w14:paraId="2BCDDC0E" w14:textId="77777777" w:rsidR="0013116F" w:rsidRDefault="0013116F" w:rsidP="001D49D4">
      <w:pPr>
        <w:pStyle w:val="a9"/>
        <w:rPr>
          <w:rtl/>
        </w:rPr>
      </w:pPr>
      <w:r>
        <w:rPr>
          <w:rStyle w:val="ab"/>
        </w:rPr>
        <w:footnoteRef/>
      </w:r>
      <w:r>
        <w:rPr>
          <w:rtl/>
        </w:rPr>
        <w:t xml:space="preserve"> ובספר התרומות שער ל"ג (ח"ד סי' ב) כתב סברת הרז"ה וראייתו ושהראב"ד (ס' כתוב שם עמ' 57) חולק עליו, ב"י.</w:t>
      </w:r>
    </w:p>
  </w:footnote>
  <w:footnote w:id="4967">
    <w:p w14:paraId="137FC959" w14:textId="77777777" w:rsidR="0013116F" w:rsidRDefault="0013116F" w:rsidP="001D49D4">
      <w:pPr>
        <w:pStyle w:val="a9"/>
        <w:rPr>
          <w:rtl/>
        </w:rPr>
      </w:pPr>
      <w:r>
        <w:rPr>
          <w:rStyle w:val="ab"/>
        </w:rPr>
        <w:footnoteRef/>
      </w:r>
      <w:r>
        <w:rPr>
          <w:rtl/>
        </w:rPr>
        <w:t xml:space="preserve"> והביא ראיה לדבר. ומשמע מדבריו שם דהני מילי בשטרי דלאו אקנייתא דאילו בשטרי אקנייתא משעת קנין שעביד נפשיה, ב"י. וכתב עוד הב"י לעיין במיוחסות </w:t>
      </w:r>
      <w:r>
        <w:rPr>
          <w:sz w:val="16"/>
          <w:szCs w:val="16"/>
          <w:rtl/>
        </w:rPr>
        <w:t>(סי' רכג)</w:t>
      </w:r>
      <w:r>
        <w:rPr>
          <w:rtl/>
        </w:rPr>
        <w:t xml:space="preserve"> דנסתפק לרשב"א על רבית הכתוב בשטר אם אפשר לזכותו במכר או במתנה לפי שהוא כמלוה על פה מפני שלא נתחייב בכולו משעת כתיבת השטר ודקדק כן מפרק יש נוחלין (ב"ב קכד:).</w:t>
      </w:r>
    </w:p>
  </w:footnote>
  <w:footnote w:id="4968">
    <w:p w14:paraId="285C2104" w14:textId="77777777" w:rsidR="0013116F" w:rsidRDefault="0013116F" w:rsidP="001D49D4">
      <w:pPr>
        <w:pStyle w:val="a9"/>
        <w:rPr>
          <w:rtl/>
        </w:rPr>
      </w:pPr>
      <w:r>
        <w:rPr>
          <w:rStyle w:val="ab"/>
        </w:rPr>
        <w:footnoteRef/>
      </w:r>
      <w:r>
        <w:rPr>
          <w:rtl/>
        </w:rPr>
        <w:t xml:space="preserve"> והביא ראיה לדבר ואין דבריו ברורים אצלי, ב"י. אך הדרכ"מ </w:t>
      </w:r>
      <w:r>
        <w:rPr>
          <w:sz w:val="16"/>
          <w:szCs w:val="16"/>
          <w:rtl/>
        </w:rPr>
        <w:t xml:space="preserve">(אות ג*) </w:t>
      </w:r>
      <w:r>
        <w:rPr>
          <w:rtl/>
        </w:rPr>
        <w:t xml:space="preserve">כתב דלעיל סי' ס"א </w:t>
      </w:r>
      <w:r>
        <w:rPr>
          <w:sz w:val="16"/>
          <w:szCs w:val="16"/>
          <w:rtl/>
        </w:rPr>
        <w:t xml:space="preserve">(ס"ו) </w:t>
      </w:r>
      <w:r>
        <w:rPr>
          <w:rtl/>
        </w:rPr>
        <w:t xml:space="preserve">משמע כדברי מהרא"י. אך הש"ך </w:t>
      </w:r>
      <w:r>
        <w:rPr>
          <w:sz w:val="16"/>
          <w:szCs w:val="16"/>
          <w:rtl/>
        </w:rPr>
        <w:t xml:space="preserve">(סק"י) </w:t>
      </w:r>
      <w:r>
        <w:rPr>
          <w:rtl/>
        </w:rPr>
        <w:t xml:space="preserve">דחה דבריו וכתב דלא משמע בסי' ס"א מידי, ואין ספק שהב"י ראה הא דלעיל סי' ס"א ואעפ"כ כ' שאין דבריו ברורים, שהרי בתרוה"ד שם הביא דברי הטור חו"מ סי' ס"א. </w:t>
      </w:r>
      <w:r>
        <w:rPr>
          <w:sz w:val="16"/>
          <w:szCs w:val="16"/>
          <w:rtl/>
        </w:rPr>
        <w:t xml:space="preserve">{והאריך הש"ך להקשות על דברי תרוה"ד והרמ"א וכתב בסוף-} </w:t>
      </w:r>
      <w:r>
        <w:rPr>
          <w:rtl/>
        </w:rPr>
        <w:t>והעולה מזה, שטר שנכתב בו 'פלוני נשתעבד לפלוני ולכל מי שמוציאו', זה שמוציאו גובה בו בלא הרשאה ובלא כתיבה ומסירה מן הלוה, ולא יכול הלוה לומר לאו בעל דברים דידי את כשבא מכח אותו פלוני, אבל אם אינו בא בכח אותו פלוני אינו יכול לגבות בו. וכן אם מכרו, לענין שיהא המקח קיים אינו נקנה אלא בכתיבה ומסירה כשאר שטר, ודינו שיכול המלוה למחול השטר לאחר מכירה כמו שאר שטר. ואם כתוב בו 'ולכל מי שמוציאו בין בא מחמתו או שלא בא מחמתו' או שלא נכתב בו שם המלוה כלל רק 'פלוני נתחייב לכל מי שמוציא שטר זה' - הרי זה נקנה במסירה לבד ואין המלוה יכול למחלו לאחר מכירה. מ"מ אינו נקנה בחליפין דחליפין לא הוי כמסירה.</w:t>
      </w:r>
    </w:p>
  </w:footnote>
  <w:footnote w:id="4969">
    <w:p w14:paraId="716B6D71" w14:textId="77777777" w:rsidR="0013116F" w:rsidRDefault="0013116F" w:rsidP="001D49D4">
      <w:pPr>
        <w:pStyle w:val="a9"/>
      </w:pPr>
      <w:r>
        <w:rPr>
          <w:rStyle w:val="ab"/>
        </w:rPr>
        <w:footnoteRef/>
      </w:r>
      <w:r>
        <w:rPr>
          <w:rtl/>
        </w:rPr>
        <w:t xml:space="preserve"> וכתב הגידו"ת (אות ד)- כבר אתה רואה שיסוד הדין תלוי אם הלוקח קנה השטר לצור או לא, ואין הכל מודים שקנאו, דרשב"ם [ב"ב עו:] והרמב"ן ז"ל סברי בהדיא דהמקח טעות והדמים חוזרין ולא קנה הנייר אפילו לצור. וכן הסכימו הרא"ש ובנו ז"ל. ויש תימא על רבינו שלא הזכיר סברת הרמב"ן ז"ל כלל. עכ"ל. וגם הב"י לא העיר בזה. </w:t>
      </w:r>
      <w:r>
        <w:rPr>
          <w:sz w:val="16"/>
          <w:szCs w:val="16"/>
          <w:rtl/>
        </w:rPr>
        <w:t>(ואולי זו כוונתו לעיל דבעל התרומות מפרש אחרת את דברי הגמ' לצור ולצור. אך נראה שהב"י הפנה למקום אחר בבעל התרומות)</w:t>
      </w:r>
    </w:p>
  </w:footnote>
  <w:footnote w:id="4970">
    <w:p w14:paraId="415283D5" w14:textId="77777777" w:rsidR="0013116F" w:rsidRDefault="0013116F" w:rsidP="001D49D4">
      <w:pPr>
        <w:pStyle w:val="a9"/>
        <w:rPr>
          <w:rtl/>
        </w:rPr>
      </w:pPr>
      <w:r>
        <w:rPr>
          <w:rStyle w:val="ab"/>
        </w:rPr>
        <w:footnoteRef/>
      </w:r>
      <w:r>
        <w:rPr>
          <w:rtl/>
        </w:rPr>
        <w:t xml:space="preserve"> והש"ך (סק"ה) כתב שהר"ב לא כיון יפה וגם דברי בעל התרומות אינם ישרים... דנהי דכתב למעלה דיכול הלוקח לומר לצור ע"פ צלוחיתי קניתיו, היינו לענין שאין המוכר יכול להוציא מידו, שהלוקח יכול לומר נהי שלא זכיתי בקנייתי לגבות הממון שבתוכו, מ"מ הנייר קניתי לצור ע"פ צלוחיתי שהרי קניתי השטר וכל מה שבתוכו, אבל אי הלוקח רוצה מעותיו פשיטא שמוכר חייב ליתן לו מעותיו</w:t>
      </w:r>
      <w:r>
        <w:rPr>
          <w:sz w:val="16"/>
          <w:szCs w:val="16"/>
          <w:rtl/>
        </w:rPr>
        <w:t xml:space="preserve"> (וכדאיתא ברשב"ם (ב"ב עו: ד"ה ואמר לי) ורמב"ן (שם ד"ה צריך) והרא"ש (שם סי' ד), וברי"ו (ני"ד) ובטור ומחבר (סע' א), וכן הוא בריטב"א (פרק האיש מקדש קדושין מז: ד"ה דכולי)</w:t>
      </w:r>
      <w:r>
        <w:rPr>
          <w:rtl/>
        </w:rPr>
        <w:t>, כיון שמכר לו השטר לראיה ולא קנה אותו לראיה, ופשיטא דאין המוכר יכול לומר לצור ע"פ צלוחיתו לבד מכרתי לך שזהו שקר הוא, שהרי קנה אותו לגבות החוב שבתוכו. ואף דאין אונאה לשטרות או אפילו ביטול מקח, היינו היכא שקונה שטר ששוה ק' בר', אבל כשהוא קונה שטר אדעתא דלגבות החוב ונמצא שהקנין אינו כלום, פשיטא שצריך להחזיר לו מעותיו כי אדעתא דנייר לא קנהו. ועוד, דהיאך יכול המוכר לומר לצור ע"פ צלוחיתו מכרתיו, דא"כ פשיטא דיש בו אונאה, דהא אמרינן בש"ס פרק הזהב (נו:) וכל הפוסקים ונתבאר לקמן (סע' לח סקקי"ט) שאם מכר שטרותיו לבשם לצור בהן שום דבר יש בהן אונאה כיון שמכר לצורך תשמיש גופן, דדוקא לגבותו אין בהן אונאה אבל לצורך גופן לא, ע"ש. ועוד קשה לי על הר"ב, נהי דכתב הבעל התרומות כן, היינו לשיטת האומרים דקנה הנייר לצור ע"פ צלוחיתו, אבל להאומרים דלא קנה, א"כ צריך לקבל מי שפרע, והיינו שכתב הבעל התרומות ואע"פ שאין ברור אצלינו כמו שכתבנו למעלה, ר"ל דלעיל שם [ס"א] כתב די"א דלא קנה הנייר, וא"כ כיון שהסכימו הפוסקים והטור והמחבר דאין קנין לחצאין ולא קנה אפילו הנייר לצור ע"פ צלוחיתו אלא מקח טעות הוא ומחזיר הנייר ויחזיר לו הדמים, והר"ב סתם כדבריהם, היאך הביא הי"א דא"צ לקבל מי שפרע. ע"כ נ"ל ברור דכמו שהדין לקמן סימן ר"ד [סע' א וסע' ו] בדברים ומעות שהחוזר בו צריך לקבל מי שפרע, ה"ה כאן, ושלא כדברי הר"ב.</w:t>
      </w:r>
    </w:p>
  </w:footnote>
  <w:footnote w:id="4971">
    <w:p w14:paraId="15985EEB" w14:textId="77777777" w:rsidR="0013116F" w:rsidRDefault="0013116F" w:rsidP="001D49D4">
      <w:pPr>
        <w:pStyle w:val="a9"/>
      </w:pPr>
      <w:r>
        <w:rPr>
          <w:rStyle w:val="ab"/>
        </w:rPr>
        <w:footnoteRef/>
      </w:r>
      <w:r>
        <w:rPr>
          <w:rtl/>
        </w:rPr>
        <w:t xml:space="preserve"> </w:t>
      </w:r>
      <w:r>
        <w:rPr>
          <w:rFonts w:hint="cs"/>
          <w:rtl/>
        </w:rPr>
        <w:t>ו</w:t>
      </w:r>
      <w:r>
        <w:rPr>
          <w:rtl/>
        </w:rPr>
        <w:t>לא נהירא, שהרי התוס' פ"ק דבב"ק</w:t>
      </w:r>
      <w:r>
        <w:rPr>
          <w:sz w:val="16"/>
          <w:szCs w:val="16"/>
          <w:rtl/>
        </w:rPr>
        <w:t xml:space="preserve"> (יד: ד"ה עבדים) </w:t>
      </w:r>
      <w:r>
        <w:rPr>
          <w:rtl/>
        </w:rPr>
        <w:t>כתבו דלא גרסינן שטרות, וכן נראה דעת כל הפוסקים, ש"ך</w:t>
      </w:r>
      <w:r>
        <w:rPr>
          <w:sz w:val="16"/>
          <w:szCs w:val="16"/>
          <w:rtl/>
        </w:rPr>
        <w:t xml:space="preserve"> (סק"ב)</w:t>
      </w:r>
      <w:r>
        <w:rPr>
          <w:rtl/>
        </w:rPr>
        <w:t>.</w:t>
      </w:r>
    </w:p>
  </w:footnote>
  <w:footnote w:id="4972">
    <w:p w14:paraId="117E1D5D" w14:textId="77777777" w:rsidR="0013116F" w:rsidRDefault="0013116F" w:rsidP="001D49D4">
      <w:pPr>
        <w:pStyle w:val="a9"/>
      </w:pPr>
      <w:r>
        <w:rPr>
          <w:rStyle w:val="ab"/>
        </w:rPr>
        <w:footnoteRef/>
      </w:r>
      <w:r>
        <w:rPr>
          <w:rtl/>
        </w:rPr>
        <w:t xml:space="preserve"> </w:t>
      </w:r>
      <w:r>
        <w:rPr>
          <w:rFonts w:hint="cs"/>
          <w:rtl/>
        </w:rPr>
        <w:t xml:space="preserve">סימן – כרוז חשוב כשר כחזקה. </w:t>
      </w:r>
    </w:p>
  </w:footnote>
  <w:footnote w:id="4973">
    <w:p w14:paraId="2E3930E8" w14:textId="77777777" w:rsidR="0013116F" w:rsidRDefault="0013116F" w:rsidP="001D49D4">
      <w:pPr>
        <w:pStyle w:val="a9"/>
        <w:rPr>
          <w:rtl/>
        </w:rPr>
      </w:pPr>
      <w:r>
        <w:rPr>
          <w:rStyle w:val="ab"/>
        </w:rPr>
        <w:footnoteRef/>
      </w:r>
      <w:r>
        <w:rPr>
          <w:rtl/>
        </w:rPr>
        <w:t xml:space="preserve"> עיין לעיל ס"ס נ' שכתב מור"ם ז"ל- וכן שטר שכתוב בו פלוני חייב לפלוני או לכל מי שמוציאו, חייב לשלם לכל מי שמוציאו, ודוקא שבא מחמתו כו'. והכא לא חילק. גם שם כתב כן סתמא וכאן כתבו בשם י"א. שאני הכא דמיירי שיש לו עדים או שטר ראיה שמכרו לו, ומש"ה אפילו בא מחמת עצמו מהני, משא"כ שם דאין לו עדים שמכרו לו, וק"ל, ועיין לעיל סי' ס"א סע' ד. ואפשר דאף דמחשב בעל דבר ואינו צריך כתיבה ומסירה, מ"מ לענין מחילה מצי מלוה ראשון למחול להלוה, כיון דכתב בו אני משעבד לך ולכל מי שמוציאו, משמע שמלוה הראשון הוא העיקר ואליו נשתעבד עכ"פ, ועיין לקמן ס"ק ס"ד מה שכתבתי עוד מזה, סמ"ע (סק"ח).</w:t>
      </w:r>
    </w:p>
  </w:footnote>
  <w:footnote w:id="4974">
    <w:p w14:paraId="63160FFE" w14:textId="77777777" w:rsidR="0013116F" w:rsidRDefault="0013116F" w:rsidP="001D49D4">
      <w:pPr>
        <w:pStyle w:val="a9"/>
      </w:pPr>
      <w:r>
        <w:rPr>
          <w:rStyle w:val="ab"/>
        </w:rPr>
        <w:footnoteRef/>
      </w:r>
      <w:r>
        <w:rPr>
          <w:rtl/>
        </w:rPr>
        <w:t xml:space="preserve"> אבל במתנה קנה הנייר מיהת כשמסר ולא כתב, אלא שיש להראותו בב"ד לזכותו של זה כשם שמוציא שאר ראיות מדין עדות, כ"כ הריטב"א פרק האיש מקדש (מז: ד"ה במלוה). ודבריו נכונים, דבשלמא במכר כיון דודאי אדעתא דנייר לא קנהו מתחילה, א"כ המקח טעות ונתבטל לגמרי והוה כאילו לא נמכר כלל, וא"כ גם הנייר לא קנה דאין קנין לחצאין, אבל במתנה כל מה שנתן לו מתנה הוא..., ש"ך (סק"ו).</w:t>
      </w:r>
    </w:p>
  </w:footnote>
  <w:footnote w:id="4975">
    <w:p w14:paraId="607069B3" w14:textId="77777777" w:rsidR="0013116F" w:rsidRDefault="0013116F" w:rsidP="001D49D4">
      <w:pPr>
        <w:pStyle w:val="a9"/>
      </w:pPr>
      <w:r>
        <w:rPr>
          <w:rStyle w:val="ab"/>
        </w:rPr>
        <w:footnoteRef/>
      </w:r>
      <w:r>
        <w:rPr>
          <w:rtl/>
        </w:rPr>
        <w:t xml:space="preserve"> וה"ה אם כתב על השט"ח עצמו קני לך איהו וכל שעבודיה נמי סגי בהכי, סמ"ע ס"ק א'. וכן הוא בסמ"ג (עשין פב) שכן השיב ר"י. מיהו היינו כשמסר לו השט"ח קודם שכתב עליו כן, וכדלקמן סע' ד. ובתשובת מהר"א ן' חיים (סי' צב) נסתפק באם כתוב בשטר שאמר לו קני לך כו' אי מהני כיון שאינו כתוב שכתב לו קני לך כו', וכתב דאפשר דמהני למאי דקי"ל (לקמן סי' קצא סע' ג) דשטרי דידן שטרי קנין הם, ועוד דאפשר כיון שכתוב בשטר שאמר לו קני לך כו', יש בכלל זה עדות על הכתיבה כו', וע"ש, ועיין לקמן סעיף ב', ש"ך (סק"ז).</w:t>
      </w:r>
    </w:p>
  </w:footnote>
  <w:footnote w:id="4976">
    <w:p w14:paraId="5393DD7B" w14:textId="77777777" w:rsidR="0013116F" w:rsidRDefault="0013116F" w:rsidP="001D49D4">
      <w:pPr>
        <w:pStyle w:val="a9"/>
        <w:rPr>
          <w:rtl/>
        </w:rPr>
      </w:pPr>
      <w:r>
        <w:rPr>
          <w:rStyle w:val="ab"/>
        </w:rPr>
        <w:footnoteRef/>
      </w:r>
      <w:r>
        <w:rPr>
          <w:rtl/>
        </w:rPr>
        <w:t xml:space="preserve"> הב"ח [סעיף א'] האריך בכאן להשיג על הב"י ועל מה שהשמיט המחבר לקמן סעיף ט"ז דברי הטור סע' ט"ז בשם בעל התרומות [שער נ"א ח"ד ס"א]. ושלא כדת השיג עליו, דודאי מדברי בעל התרומות שם משמע דקנה הנייר, מדכתב שלא קנה השעבוד והלוקח משתמש בנייר כו', משמע דהשעבוד לא קנה והנייר קנה, וכן משמע עוד יותר בבעל התרומות גופיה למעיין שם בשער נ"א ריש ח"ד, ולכך השמיטו. ועוד נראה, דהמחבר ס"ל כיון דהרשב"א ורי"ו שהבאתי לקמן סע' כג סקע"ו חולקין דאין כופין הלוקח להחזיר השטר, א"כ ה"ה במסר ולא כתב, דחד דינא אית להו בזה, וכמו שכתב הב"י בסע' ט"ז בשם בעל התרומות [שם ס"ב] דחד דינא אית להו, והיינו שכתב הב"י לקמן מחודש כ"ז- ומדברי רש"י נראה כהרשב"א, ורי"ו כתב שכדברי הרשב"א עיקר, ועיין במה שכתבתי בסימן זה בשם בעל התרומות, עכ"ל. ולכך השמיט לקמן סעיף ט"ז דברי בעל התרומות, ולא משום דס"ל כהרשב"א לגמרי, דהא כתבתי לקמן סקע"ו דבאה"ע סימן כ"ח סעיף י"ג משמע דלא ס"ל הכי, אלא ספוקי מספקא ליה לכך לא כתב לקמן דברי בעל התרומות, ש"ך (סק"ט).</w:t>
      </w:r>
    </w:p>
  </w:footnote>
  <w:footnote w:id="4977">
    <w:p w14:paraId="6AA48F46" w14:textId="77777777" w:rsidR="0013116F" w:rsidRDefault="0013116F" w:rsidP="001D49D4">
      <w:pPr>
        <w:pStyle w:val="a9"/>
        <w:rPr>
          <w:color w:val="FF0000"/>
        </w:rPr>
      </w:pPr>
      <w:r>
        <w:rPr>
          <w:rStyle w:val="ab"/>
        </w:rPr>
        <w:footnoteRef/>
      </w:r>
      <w:r>
        <w:rPr>
          <w:rtl/>
        </w:rPr>
        <w:t xml:space="preserve"> וכתב מהרי"ו (סי' קסב) הואיל ואין המקח קיים, אינו על המעות רק שומר שכר אע"ג דנתן לקונה שטר על המעות, ונאמן לומר פרעתי במיגו דנאנסו עכ"ל. דרכ"מ (ארוך אות א), הג"ה בסמ"ע (סק"ב). וכתב הש"ך (סק"ח) דאע"ג דבאמת כן הוא בד"מ, מ"מ זהו שגגה כדמוכח להדיא בש"ס פרק איזהו נשך</w:t>
      </w:r>
      <w:r>
        <w:rPr>
          <w:rFonts w:hint="cs"/>
        </w:rPr>
        <w:t xml:space="preserve"> </w:t>
      </w:r>
      <w:r>
        <w:rPr>
          <w:rtl/>
        </w:rPr>
        <w:t xml:space="preserve">(עב.) בעובדא דפרדיסא, ובכל הפוסקים לקמן ס"ס ע </w:t>
      </w:r>
      <w:r>
        <w:rPr>
          <w:sz w:val="16"/>
          <w:szCs w:val="16"/>
          <w:rtl/>
        </w:rPr>
        <w:t>(ובנמוק"י פ"ק דמציעא [ח: מדפה"ר] גבי הכיר בה שאינו שלו, וכן לקמן סימן שע"ג סעיף א' דהמעות הוי הלואה, וכן בבעל התרומות שער מ"ז מייתי טובי כה"ג דהמעות הוי הלואה, ע"ש, וכ"כ רי"ו (נ"ו ח"ו) כל מקום שהמכר אינו מכר הוי מלוה ע"פ כו', ומביאו ב"י לקמן סימן קי"א מחודש ח')</w:t>
      </w:r>
      <w:r>
        <w:rPr>
          <w:rtl/>
        </w:rPr>
        <w:t>, ומהרי"ו (שם) קאי התם להדיא אכתבים ולא אמעות, שכתב שם וז"ל- ואותן כתבים אפילו לדברי שמעון שמסר אותם לראובן, מ"מ אינן באחריות ראובן להתחייב באונסים מאחר דהמכירה לאו מכירה היא, ולכל היותר אינו חייב אלא כנושא שכר כו', וע"ש.</w:t>
      </w:r>
    </w:p>
  </w:footnote>
  <w:footnote w:id="4978">
    <w:p w14:paraId="4619573B" w14:textId="77777777" w:rsidR="0013116F" w:rsidRDefault="0013116F" w:rsidP="001D49D4">
      <w:pPr>
        <w:pStyle w:val="a9"/>
        <w:rPr>
          <w:rtl/>
        </w:rPr>
      </w:pPr>
      <w:r>
        <w:rPr>
          <w:rStyle w:val="ab"/>
        </w:rPr>
        <w:footnoteRef/>
      </w:r>
      <w:r>
        <w:rPr>
          <w:rtl/>
        </w:rPr>
        <w:t xml:space="preserve"> הפכתי את הגהות הרמ"א </w:t>
      </w:r>
      <w:r>
        <w:rPr>
          <w:sz w:val="16"/>
          <w:szCs w:val="16"/>
          <w:rtl/>
        </w:rPr>
        <w:t>(שהג"ה זו – הייתה למעלה, וזו שלמעלה – הייתה כאן)</w:t>
      </w:r>
      <w:r>
        <w:rPr>
          <w:rtl/>
        </w:rPr>
        <w:t xml:space="preserve"> ע"פ דברי הסמ"ע (סק"ב) והש"ך (סק"ג).</w:t>
      </w:r>
    </w:p>
  </w:footnote>
  <w:footnote w:id="4979">
    <w:p w14:paraId="5534545D" w14:textId="77777777" w:rsidR="0013116F" w:rsidRDefault="0013116F" w:rsidP="001D49D4">
      <w:pPr>
        <w:pStyle w:val="a9"/>
        <w:rPr>
          <w:rtl/>
        </w:rPr>
      </w:pPr>
      <w:r>
        <w:rPr>
          <w:rStyle w:val="ab"/>
        </w:rPr>
        <w:footnoteRef/>
      </w:r>
      <w:r>
        <w:rPr>
          <w:rtl/>
        </w:rPr>
        <w:t xml:space="preserve"> וכן אם תפס הלוקח אין מוציאין מידו כמ"ש לקמן סעיף י"ז, ועיין מה שכתבתי שם בסקמ"ו, סמ"ע (סק"ג). מיהו היינו כשלא פרע הלוה או שאין הלוה מקפיד בכך רק המוכר רוצה הנייר, לכך נגד המוכר יכול לתופסו, אבל אם פרע הלוה ורוצה השטר שלו, יש אומרים שצריך ליתנו לו וכמו שכתב הר"ב לקמן סעיף ט"ז, ועיין מה שכתבתי שם בס"ק ס' באריכות, ש"ך (סק"ג).</w:t>
      </w:r>
    </w:p>
  </w:footnote>
  <w:footnote w:id="4980">
    <w:p w14:paraId="53955D22" w14:textId="77777777" w:rsidR="0013116F" w:rsidRDefault="0013116F" w:rsidP="001D49D4">
      <w:pPr>
        <w:pStyle w:val="a9"/>
        <w:rPr>
          <w:rtl/>
        </w:rPr>
      </w:pPr>
      <w:r>
        <w:rPr>
          <w:rStyle w:val="ab"/>
        </w:rPr>
        <w:footnoteRef/>
      </w:r>
      <w:r>
        <w:rPr>
          <w:rtl/>
        </w:rPr>
        <w:t xml:space="preserve"> פירוש, שחייב לשלם כפי שיווי השטר לגבות בו כיון דקיבל עליו אחריות, דאל"כ מאי קמל"ן, הא דמי המכירה בלא"ה צריך להחזיר לו, סמ"ע (סק"ה). אך הש"ך (סק"ד) כתב דאין זו הוכחה </w:t>
      </w:r>
      <w:r>
        <w:rPr>
          <w:sz w:val="16"/>
          <w:szCs w:val="16"/>
          <w:rtl/>
        </w:rPr>
        <w:t>(די"ל דאם לא היה מקבל עליו אחריות לא היה צריך להחזיר כלום כשיתן לו עתה כתיבה. ואין להקשות כיון דהמקח אינו כלום א"כ הלוקח יוכל לחזור בו. י"ל כגון שאין הלוקח רוצה לחזור בו להיות במי שפרע או במחוסרי אמנה, או שיש לו טעם אחר. ולא דמי למה שכתבתי לקמן סעיף ל"ד סקקי"א שצריך להחזיר לו כל שיווי השטר, דהתם נקנה לו השטר כדין, ואפילו לא כתב לו אחריות דינא הכי משום אחריות ט"ס הוא, אבל הכא שלא נקנה לו השטר אין לך אלא מה שמתחייב בפירוש ע"י כתיבת אחריות, וכן משמע בתשובת הרשב"א [ח"ב סי' קצד] שהביא ב"י מחודש י"ז)</w:t>
      </w:r>
      <w:r>
        <w:rPr>
          <w:rtl/>
        </w:rPr>
        <w:t>, הלכך נראה דוקא אם פירש שאם לא יגבה הלוקח ישלם לו כפי שיווי השטר - חייב כפי מה שחייב עצמו, אבל אם לא פירש כן אלא כתב סתם שהוא מקבל עליו אחריות אם לא יגבה הלוקח השטרות, אין צריך להחזיר אלא המעות שקיבל.</w:t>
      </w:r>
    </w:p>
  </w:footnote>
  <w:footnote w:id="4981">
    <w:p w14:paraId="2422CA07" w14:textId="77777777" w:rsidR="0013116F" w:rsidRDefault="0013116F" w:rsidP="001D49D4">
      <w:pPr>
        <w:pStyle w:val="a9"/>
        <w:rPr>
          <w:rtl/>
        </w:rPr>
      </w:pPr>
      <w:r>
        <w:rPr>
          <w:rStyle w:val="ab"/>
        </w:rPr>
        <w:footnoteRef/>
      </w:r>
      <w:r>
        <w:rPr>
          <w:rtl/>
        </w:rPr>
        <w:t xml:space="preserve"> דינו דמי שפרע עיין לקמן בסימן ר"ד. ונראה דדוקא מי שפרע קאמר דא"צ לקבל עליו כיון דלא קנה דבר שגופו ממון, אבל מ"מ יש בו משום מחוסרי אמנה שנתבאר שם ג"כ בטור בסימן ר"ד [סע' יא], ז"ל שם- ראוי לאדם לעמוד בדיבורו אע"פ שלא נתן דמים ולא רשם המקח ולא נתן משכון, וכל החוזר בו בין לוקח בין מוכר הרי זה ממחוסרי אמנה ואין רוח חכמים נוחה הימנו, עכ"ל. ולא כמו שכתב בעיר שושן בסעיף זה אדין זה ז"ל, אינו חייב לקבל עליו מי שפרע ויכול לחזור בו, אע"פ שקיבל המעות, לא היה כאן אלא קנין דברים ודברים אין בהן משום מחוסרי אמנה, עכ"ל. דלא הוה ליה למימר ודברים אין בהם משום מחוסרי אמנה, ומור"ם לא כתב ויכול לחזור בו אלא לענין שא"צ לקבל עליו מי שפרע, סמ"ע (סק"ו).</w:t>
      </w:r>
    </w:p>
  </w:footnote>
  <w:footnote w:id="4982">
    <w:p w14:paraId="65AD3EDD" w14:textId="77777777" w:rsidR="0013116F" w:rsidRDefault="0013116F" w:rsidP="001D49D4">
      <w:pPr>
        <w:pStyle w:val="a9"/>
        <w:rPr>
          <w:rtl/>
        </w:rPr>
      </w:pPr>
      <w:r>
        <w:rPr>
          <w:rStyle w:val="ab"/>
        </w:rPr>
        <w:footnoteRef/>
      </w:r>
      <w:r>
        <w:rPr>
          <w:rtl/>
        </w:rPr>
        <w:t xml:space="preserve"> וז"ל- יש לברר, המוכר שטר חוב לחבירו וקנו מידו בקנין שמכר לו הוא וכל שעבודו ומסרו לו מהו, אם תמצא לומר דלא קני, היכא דקנו מיניה בקנין והדר כתבו שטרא מאי, ובכל זה דעת הר"י ן' מיגאש (עו: ד"ה אמר ר"פ) דלא קני, אלא בעי למימר לסהדי 'כתבו שטרא דזביני', ולכתוב בה 'קני הוא וכל שעבודא דאית ביה', והדר איבעי לקנות מיניה דמזכי ליה אשטרא דמסר ליה, וכל זמן שלא נכתב - לא קני. וזה טופס לשונו- היכא דמסריה ניהליה לשטריה באפי סהדי, ואמר ליה 'קני לך הוא וכל שעבודא דאית ביה', ולא כתב ליה מידי אלא קנו מיניה בקנין, כיון דלא כתביה אע"ג דקנו מיניה - ההוא קנין לא מהני מידי. וההוא דאמרינן סתם קנין לכתיבה עומד (ב"ב מ.) לא דמי, דאילו התם עיקר ההקנאה לאו בההוא שטרא אלא בההוא קנין דקנו מיניה, ושטרא לראיה בעלמא הוא דכתבו ליה סהדי לאודועי דקנו מיניה על ההוא מידי, ועלה הוא דאמרינן סתם קנין לכתיבה עומד, דכיון דקנו מיניה ואגמרה לה ההיא הקנאה בההוא קנין אית להו רשותא לסהדי למיכתב בה שטרא למיהוי ראיה בהכי ולא צריכי לאמלוכי ביה משום דסתם קנין לכתיבה עומד, אבל הכא האי שטרא דבעי לא למהוי ראיה הוא אלא למיקנא בגופא דשטרא הוא דבעי, אי לא כתיב ליה שטרא אכתי לא מהני בההוא קנין, ואע"ג דכתיבי סהדי בתר הכי שטרא 'בההוא קנין דקנו מיניה' דשטרא דכתיבי בתר הכי לראיה בעלמא הוא דקני מיניה, וכיון דבההוא קנין הוא דאקנו ליה ולא בשטרא אכתי הוה ליה קנין מילי בעלמא ומילי במילי לא מיקנו (ב"ב עז.) עכ"ל </w:t>
      </w:r>
      <w:r>
        <w:rPr>
          <w:sz w:val="16"/>
          <w:szCs w:val="16"/>
          <w:rtl/>
        </w:rPr>
        <w:t>{הר"י מיגאש}</w:t>
      </w:r>
      <w:r>
        <w:rPr>
          <w:rtl/>
        </w:rPr>
        <w:t>, וגם רבינו האי כתב כן עכ"ל.</w:t>
      </w:r>
    </w:p>
  </w:footnote>
  <w:footnote w:id="4983">
    <w:p w14:paraId="425199B3" w14:textId="77777777" w:rsidR="0013116F" w:rsidRDefault="0013116F" w:rsidP="001D49D4">
      <w:pPr>
        <w:pStyle w:val="a9"/>
      </w:pPr>
      <w:r>
        <w:rPr>
          <w:rStyle w:val="ab"/>
        </w:rPr>
        <w:footnoteRef/>
      </w:r>
      <w:r>
        <w:rPr>
          <w:rtl/>
        </w:rPr>
        <w:t xml:space="preserve"> וכ"כ נמוק"י (שם) בהספינה בשם ר"י הלוי ובשם רבינו יונה (עז. ד"ה א"ל ר"א) דאף בקנין ומסירה לא מקניין משום דאין אדם יכול להקנות לחבירו קרקעות המשועבדים לו דעכשיו אינן שלו דקיי"ל כרבא (פסחים ל:) דאמר בעל חוב מכאן ולהבא הוא גובה. וכ"כ הר"ן בפ"ק דמציעא (כ. ד"ה הב"ע) גבי הא דאמרינן הכא במאי עסקינן בששטר כתובה יוצא מתחת ידה כמו שכתב בספר התרומות וסיים דבריו- ולפיכך אפילו קנו מידו ואמר להם כתובו לא מעלה ולא מוריד עד שיאמר להם שיכתבו שטר מכירה ושיקנה באותה כתיבה שטר זה וכל שעבודו, כך כתב הרשב"א (ב"ב עז: ד"ה אגב) בשם הר"י הלוי בהספינה עכ"ל, ב"י.</w:t>
      </w:r>
    </w:p>
  </w:footnote>
  <w:footnote w:id="4984">
    <w:p w14:paraId="4F8233B4" w14:textId="77777777" w:rsidR="0013116F" w:rsidRDefault="0013116F" w:rsidP="001D49D4">
      <w:pPr>
        <w:pStyle w:val="a9"/>
        <w:rPr>
          <w:rtl/>
        </w:rPr>
      </w:pPr>
      <w:r>
        <w:rPr>
          <w:rStyle w:val="ab"/>
        </w:rPr>
        <w:footnoteRef/>
      </w:r>
      <w:r>
        <w:rPr>
          <w:rtl/>
        </w:rPr>
        <w:t xml:space="preserve"> פירוש, העדים יפרשו שהמקנה אמר להן שיכתבו לו בשמו קנה לך איהו כו'. וזהו שכתב וצריך שיכתוב, פירוש, שיכתוב כן בשמו דמקנה, סמ"ע (סק"י).</w:t>
      </w:r>
    </w:p>
  </w:footnote>
  <w:footnote w:id="4985">
    <w:p w14:paraId="51066BC3" w14:textId="77777777" w:rsidR="0013116F" w:rsidRDefault="0013116F" w:rsidP="001D49D4">
      <w:pPr>
        <w:pStyle w:val="a9"/>
        <w:rPr>
          <w:rtl/>
        </w:rPr>
      </w:pPr>
      <w:r>
        <w:rPr>
          <w:rStyle w:val="ab"/>
        </w:rPr>
        <w:footnoteRef/>
      </w:r>
      <w:r>
        <w:rPr>
          <w:rtl/>
        </w:rPr>
        <w:t xml:space="preserve"> והדר איבעי לקנות מיניה דמזכה ליה שטרא דמסר ליה, בעל התרומות (שער נ"א ח"ג ס"ד). הביאו הסמ"ע (סקי"א).</w:t>
      </w:r>
    </w:p>
  </w:footnote>
  <w:footnote w:id="4986">
    <w:p w14:paraId="7E60FCD7" w14:textId="77777777" w:rsidR="0013116F" w:rsidRDefault="0013116F" w:rsidP="001D49D4">
      <w:pPr>
        <w:pStyle w:val="a9"/>
        <w:rPr>
          <w:rtl/>
        </w:rPr>
      </w:pPr>
      <w:r>
        <w:rPr>
          <w:rStyle w:val="ab"/>
        </w:rPr>
        <w:footnoteRef/>
      </w:r>
      <w:r>
        <w:rPr>
          <w:rtl/>
        </w:rPr>
        <w:t xml:space="preserve"> חיפשתי ולא מצאתי מי שאומר כן, ובסמ"ע רשם בציוניו 'טור סוף סימן זה'. וליתא, דלא קאי התם רק אשטרות הנמכרים, ע"ש. מיהו מסתבר כן, דכיון דאין אותיות נקנים אלא בכתיבה, אותו שטר דמי לקרקע שניקנית בשטר דבעינן שיגיע השטר לידו, וכדלקמן ר"ס קצ"א, ולפ"ז נראה דאע"פ שאין שם עדים קנה, דלא איברי סהדי אלא לשיקרא (קדושין סה:), כדלקמן (ר"ס קצ"א) גבי כתב לו על הנייר שדי מכורה לך שדי נתונה לך קנה אע"פ שאין שם עדים, וע"ש, ש"ך (סקי"א).</w:t>
      </w:r>
    </w:p>
  </w:footnote>
  <w:footnote w:id="4987">
    <w:p w14:paraId="69D0BE9C" w14:textId="77777777" w:rsidR="0013116F" w:rsidRDefault="0013116F" w:rsidP="001D49D4">
      <w:pPr>
        <w:pStyle w:val="a9"/>
      </w:pPr>
      <w:r>
        <w:rPr>
          <w:rStyle w:val="ab"/>
        </w:rPr>
        <w:footnoteRef/>
      </w:r>
      <w:r>
        <w:rPr>
          <w:rtl/>
        </w:rPr>
        <w:t xml:space="preserve"> וכ"כ בתשובות הרשב"א סימן תש"צ בשם הר"א וה"ר יונה (שם), ב"י.</w:t>
      </w:r>
    </w:p>
  </w:footnote>
  <w:footnote w:id="4988">
    <w:p w14:paraId="082D6647" w14:textId="77777777" w:rsidR="0013116F" w:rsidRDefault="0013116F" w:rsidP="001D49D4">
      <w:pPr>
        <w:pStyle w:val="a9"/>
        <w:rPr>
          <w:rtl/>
        </w:rPr>
      </w:pPr>
      <w:r>
        <w:rPr>
          <w:rStyle w:val="ab"/>
        </w:rPr>
        <w:footnoteRef/>
      </w:r>
      <w:r>
        <w:rPr>
          <w:rtl/>
        </w:rPr>
        <w:t xml:space="preserve"> פירוש, שהקנה לו נכסיו בדין מטלטלי אגב קרקע, דאילו לא אמר רק מטלטלי, בלא"ה אין שטרות בכלל מטלטלי, רק בכלל נכסי [סמ"ע סקי"ב], נתיבות (סקי"ג). וכ"כ הרמ"א לקמן בסוף סימן זה סעיף מ"ב דאין שטרות בכלל מטלטלין.</w:t>
      </w:r>
    </w:p>
  </w:footnote>
  <w:footnote w:id="4989">
    <w:p w14:paraId="50B97215" w14:textId="77777777" w:rsidR="0013116F" w:rsidRDefault="0013116F" w:rsidP="001D49D4">
      <w:pPr>
        <w:pStyle w:val="a9"/>
      </w:pPr>
      <w:r>
        <w:rPr>
          <w:rStyle w:val="ab"/>
        </w:rPr>
        <w:footnoteRef/>
      </w:r>
      <w:r>
        <w:rPr>
          <w:rtl/>
        </w:rPr>
        <w:t xml:space="preserve"> ומדברי תשו' הריטב"א (סי' קלט) שהביא ב"י ס"ס זה (מחודש לח) מבואר שחולק, וס"ל דשטרי וכל שעבודייהו איקרו נכסי, והשיג על הרשב"א (במיוחסות סי' ז) שכתב דמאי דאמרינן בש"ס נכסי לפלוני אינו אלא בשכיב מרע, אלא הוא הדין בבריא, ור"ל דאע"ג דבבריא לא אמרינן דדבריו ככתובים ומסורים, מ"מ אם אמר נכסי לפלוני ה"ל שטרות בכלל, והוי כמו שאמר בפירוש השטרות וכל שעבודן יהיו לפלוני, וא"כ אם הקנה אותן לו אגב קרקע מהני אפילו במתנת בריא וכדלקמן סעיף י'. וה"ה למה שכתבתי לקמן סקכ"ז דבאגב קרקע כתיבה בעי, הכי נמי אי כתב ליה במתנת בריא נכסיו באגב קרקע, שהשטרות בכלל, וה"ל כאילו כתב לו קני לך הוא וכל שעבודו, ואגב קרקע הוא כמסירה. וה"ה אם השטרות נכתבו לשם כל המוציאן דלא בעי כתיבה וכמו שכתבתי לעיל סק"י, וזכה בהן המקבל כשהקנה לו נכסיו באגב קרקע. וכ"כ עוד הריטב"א פ"ק דקדושין (כז. ד"ה ואידך) וז"ל- וזו היא ששנינו נכסים שאין להם אחריות כו', ושמעינן מהכא דשטר וכל שעבודו מיקרי נכסים אפילו במתנת בריא, שלא כדעת רבינו, עכ"ל. וכתב בתשובת הריטב"א שם שכן דעת הרא"ה והרמב"ן ור"י. וכן הוא בנמוק"י (פרק מי שמת ב"ב ע: מדפה"ר) גבי שטרות איקרי נכסי, ע"ש. וכ"כ ב"י בס"ס זה [שם] בשם הרשב"א (במיוחסות שם) שיש מי שהעמידה אפילו בבריא, ונכסי שאני שהשעבוד בכלל נכסיו הוא, ואע"פ שהביא שם שהרשב"א כתב שאין זה מחוור בעיניו, מ"מ הרי הריטב"א ראה דעתו והשיג עליו בטוב טעם, ש"ך (סקי"ב).</w:t>
      </w:r>
    </w:p>
  </w:footnote>
  <w:footnote w:id="4990">
    <w:p w14:paraId="755A639F" w14:textId="77777777" w:rsidR="0013116F" w:rsidRDefault="0013116F" w:rsidP="001D49D4">
      <w:pPr>
        <w:pStyle w:val="a9"/>
        <w:rPr>
          <w:rtl/>
        </w:rPr>
      </w:pPr>
      <w:r>
        <w:rPr>
          <w:rStyle w:val="ab"/>
        </w:rPr>
        <w:footnoteRef/>
      </w:r>
      <w:r>
        <w:rPr>
          <w:rtl/>
        </w:rPr>
        <w:t xml:space="preserve"> כן הוא לשון הרא"ש בתשובה והביאה הטור (סע' ג), ולשיטתו אתי שפיר דס"ל [ב"ב פ"ה סי' ו'] דשטר אינו נקנה באגב, אבל לפי מאי דפסק הב"י [סע' יא] כהרי"ף [ב"ב לט. מדפה"ר] והרמב"ם [פ"ו ממכירה הי"ד] דס"ל דנקנה באגב, וכמו שכתב המחבר בסמוך סעיף י' וגם מור"ם הסכים שם, צ"ל דהכא מה שכתב שלא "כתב", לאו דוקא כתיבה קאמר, אלא ר"ל שלא אמרו בע"פ, וכמו שכתב הרא"ש [בתשובה שם] דגם להרי"ף והרמב"ם צריך לומר כן בע"פ, וכ"כ המחבר בשו"ע בסמוך בסעיף י' ע"ש. גם לקמן בסימן רמ"ח כתב הטור [סעיף י"ח] אהאי דינא דבמתנת בריא לא מהני כיון דלא כתב ליה קני לך כו', שם נמי לשון "כתב" לאו דוקא הוא, דהא פסק המחבר כאן דבאמירה כן סגי. ויש מתרצין דדוקא היכא דמקני השטרות לחוד אגב קרקע פסק בסעיף י' דסגי באמירה, אבל היכא דמקנה השטרות בכלל שאר מטלטלים בלשון נכסי אגב קרקע, פסק המחבר דלא סגי באמירה כן לחוד אלא בעינן ג"כ כתיבה, ומשום הכי כתב כאן ובסוף סימן רמ"ח לשון כתב. ואין טעם לדבר ואדרבה איפכא מסתברא, דהא לשאר דברים לא בעינן כתיבה ואמירה, וכשכולל שטרות עמהן הוה לן לומר דסגי בכל דהו, סמ"ע (סקי"ד). וכ"כ הש"ך (סקי"ג).</w:t>
      </w:r>
    </w:p>
  </w:footnote>
  <w:footnote w:id="4991">
    <w:p w14:paraId="27ACBC5B" w14:textId="77777777" w:rsidR="0013116F" w:rsidRDefault="0013116F" w:rsidP="001D49D4">
      <w:pPr>
        <w:pStyle w:val="a9"/>
        <w:rPr>
          <w:rtl/>
        </w:rPr>
      </w:pPr>
      <w:r>
        <w:rPr>
          <w:rStyle w:val="ab"/>
        </w:rPr>
        <w:footnoteRef/>
      </w:r>
      <w:r>
        <w:rPr>
          <w:rtl/>
        </w:rPr>
        <w:t xml:space="preserve"> וכתוב עוד שם </w:t>
      </w:r>
      <w:r>
        <w:rPr>
          <w:sz w:val="16"/>
          <w:szCs w:val="16"/>
          <w:rtl/>
        </w:rPr>
        <w:t>(בבעל התרומות)</w:t>
      </w:r>
      <w:r>
        <w:rPr>
          <w:rtl/>
        </w:rPr>
        <w:t xml:space="preserve"> שדעת רבינו האי כדעת הרמב"ן, וכן הוא דעת העיטור (מאמר שני קנין ט ע"ד) כמו שכתבתי בסימן קצ"ה (סי"ד מחו' ח), וכיון דהני רבוותא סברי כהרמב"ן הכי נקטינן, ב"י.</w:t>
      </w:r>
    </w:p>
  </w:footnote>
  <w:footnote w:id="4992">
    <w:p w14:paraId="28C2B09F" w14:textId="77777777" w:rsidR="0013116F" w:rsidRDefault="0013116F" w:rsidP="001D49D4">
      <w:pPr>
        <w:pStyle w:val="a9"/>
        <w:rPr>
          <w:rtl/>
        </w:rPr>
      </w:pPr>
      <w:r>
        <w:rPr>
          <w:rStyle w:val="ab"/>
        </w:rPr>
        <w:footnoteRef/>
      </w:r>
      <w:r>
        <w:rPr>
          <w:rtl/>
        </w:rPr>
        <w:t xml:space="preserve"> כתב הסמ"ע (סקט"ו), עיין מה </w:t>
      </w:r>
      <w:r>
        <w:rPr>
          <w:color w:val="000000" w:themeColor="text1"/>
          <w:rtl/>
        </w:rPr>
        <w:t>שכתב הטור בשם הרמב"ן, ונתבאר לך משם דא"צ שימסור קודם אלא ה"ה בפעם אחת עם הכתיבה, ונראה דגם דעת נ"י כן כו'</w:t>
      </w:r>
      <w:r>
        <w:rPr>
          <w:color w:val="000000" w:themeColor="text1"/>
          <w:sz w:val="16"/>
          <w:szCs w:val="16"/>
          <w:rtl/>
        </w:rPr>
        <w:t xml:space="preserve"> {ע"כ}</w:t>
      </w:r>
      <w:r>
        <w:rPr>
          <w:color w:val="000000" w:themeColor="text1"/>
          <w:rtl/>
        </w:rPr>
        <w:t xml:space="preserve">. ולפע"ד לא נתבאר כלום בדברי הרמב"ן שם דמה שכתב הרמב"ן כיון שלא כתב לו השטר בשעה שהקנה לו כו', רוצה לומר בשעה שלקחו ממנו, לאפוקי דלא סגי אז בקנין לומר דסתם קנין לכתיבה עומד. וגם לשון הנ"י משמע לכאורה דבעינן קודם דוקא, וכן משמע לכאורה לשון הריטב"א פרק האיש מקדש (קידושין מז: ד"ה במלוה </w:t>
      </w:r>
      <w:r>
        <w:rPr>
          <w:rtl/>
        </w:rPr>
        <w:t>בשטר) שכתב, וצריך להקדים המסירה, שהשטר עיקר והוא גורר השעבוד כו'. וגם אי אפשר לצמצם לכתוב ולמסור ביחד, לכן טוב יותר למסור בתחילה ואח"כ לכתוב לו קני לך איהו וכל שעבודיה כו', ש"ך (סקי"ד).</w:t>
      </w:r>
    </w:p>
  </w:footnote>
  <w:footnote w:id="4993">
    <w:p w14:paraId="4FFE9B21" w14:textId="77777777" w:rsidR="0013116F" w:rsidRDefault="0013116F" w:rsidP="001D49D4">
      <w:pPr>
        <w:pStyle w:val="a9"/>
      </w:pPr>
      <w:r>
        <w:rPr>
          <w:rStyle w:val="ab"/>
        </w:rPr>
        <w:footnoteRef/>
      </w:r>
      <w:r>
        <w:rPr>
          <w:rtl/>
        </w:rPr>
        <w:t xml:space="preserve"> ואע"פ שכתב לו שטר מכירה קני לך איהו וכל שעבודיה דאית ביה ומסר לידו אותו כתב, לא מהני, כן הוא בטור [סע' ד] ופוסקים, ועיין מה שכתבתי לעיל בסעיף א' סק"י, ש"ך (סקט"ו).</w:t>
      </w:r>
    </w:p>
  </w:footnote>
  <w:footnote w:id="4994">
    <w:p w14:paraId="759212E2" w14:textId="77777777" w:rsidR="0013116F" w:rsidRDefault="0013116F" w:rsidP="001D49D4">
      <w:pPr>
        <w:pStyle w:val="a9"/>
      </w:pPr>
      <w:r>
        <w:rPr>
          <w:rStyle w:val="ab"/>
        </w:rPr>
        <w:footnoteRef/>
      </w:r>
      <w:r>
        <w:rPr>
          <w:rtl/>
        </w:rPr>
        <w:t xml:space="preserve"> </w:t>
      </w:r>
      <w:r>
        <w:rPr>
          <w:rFonts w:hint="cs"/>
          <w:rtl/>
        </w:rPr>
        <w:t>בחלק מהגירסאות</w:t>
      </w:r>
      <w:r>
        <w:rPr>
          <w:sz w:val="16"/>
          <w:szCs w:val="16"/>
          <w:rtl/>
        </w:rPr>
        <w:t xml:space="preserve"> (שפ"ז ובאה"ג)</w:t>
      </w:r>
      <w:r>
        <w:rPr>
          <w:rtl/>
        </w:rPr>
        <w:t xml:space="preserve"> כתוב 'אלא בכתיבה ומסירה', והגר"א</w:t>
      </w:r>
      <w:r>
        <w:rPr>
          <w:sz w:val="16"/>
          <w:szCs w:val="16"/>
          <w:rtl/>
        </w:rPr>
        <w:t xml:space="preserve"> (סקי"ט בליקוט) </w:t>
      </w:r>
      <w:r>
        <w:rPr>
          <w:rtl/>
        </w:rPr>
        <w:t>כתב שהוא ט"ס, ע"ש, וכן מפורש ברשב"א.</w:t>
      </w:r>
    </w:p>
  </w:footnote>
  <w:footnote w:id="4995">
    <w:p w14:paraId="7FEB5664" w14:textId="77777777" w:rsidR="0013116F" w:rsidRDefault="0013116F" w:rsidP="001D49D4">
      <w:pPr>
        <w:pStyle w:val="a9"/>
      </w:pPr>
      <w:r>
        <w:rPr>
          <w:rStyle w:val="ab"/>
        </w:rPr>
        <w:footnoteRef/>
      </w:r>
      <w:r>
        <w:rPr>
          <w:rtl/>
        </w:rPr>
        <w:t xml:space="preserve"> ולא יזכה בהם שיהיו שלו, רק שיעלה אותם בשמו ויתנם לראובן, ואח"כ נתנם לו בלא כתיבה, לא קנה אותם שמעון, אבל אם נתן לו רשות להעלותם בשמו ושיהיו השטרות שלו, רק שהוא יחזור ויתן המעות או השטרות לראובן, פשיטא שהשטרות הם של שמעון כדלעיל סוף סעיף א' בהג"ה, וא"כ אפילו נתן שמעון השטרות ליד ראובן, כשחזר ראובן ונתנם לשמעון זכה בהם במסירה לבד בלא כתיבה, ש"ך (סקט"ז).</w:t>
      </w:r>
    </w:p>
  </w:footnote>
  <w:footnote w:id="4996">
    <w:p w14:paraId="025E48EC" w14:textId="77777777" w:rsidR="0013116F" w:rsidRDefault="0013116F" w:rsidP="001D49D4">
      <w:pPr>
        <w:pStyle w:val="a9"/>
      </w:pPr>
      <w:r>
        <w:rPr>
          <w:rStyle w:val="ab"/>
        </w:rPr>
        <w:footnoteRef/>
      </w:r>
      <w:r>
        <w:rPr>
          <w:rtl/>
        </w:rPr>
        <w:t xml:space="preserve"> </w:t>
      </w:r>
      <w:r>
        <w:rPr>
          <w:rFonts w:hint="cs"/>
          <w:rtl/>
        </w:rPr>
        <w:t>ממהדורת הסמ"ע ואילך.</w:t>
      </w:r>
    </w:p>
  </w:footnote>
  <w:footnote w:id="4997">
    <w:p w14:paraId="76202C52" w14:textId="77777777" w:rsidR="0013116F" w:rsidRDefault="0013116F" w:rsidP="001D49D4">
      <w:pPr>
        <w:pStyle w:val="a9"/>
        <w:rPr>
          <w:rtl/>
        </w:rPr>
      </w:pPr>
      <w:r>
        <w:rPr>
          <w:rStyle w:val="ab"/>
        </w:rPr>
        <w:footnoteRef/>
      </w:r>
      <w:r>
        <w:rPr>
          <w:rtl/>
        </w:rPr>
        <w:t xml:space="preserve"> </w:t>
      </w:r>
      <w:r>
        <w:rPr>
          <w:rFonts w:hint="cs"/>
          <w:rtl/>
        </w:rPr>
        <w:t xml:space="preserve">הביא הש"ך (שם) את דברי מהרשד"ם </w:t>
      </w:r>
      <w:r>
        <w:rPr>
          <w:rtl/>
        </w:rPr>
        <w:t>וכתב שאין דבריו נכונים, דפשיטא דב-...</w:t>
      </w:r>
    </w:p>
  </w:footnote>
  <w:footnote w:id="4998">
    <w:p w14:paraId="4B513489" w14:textId="77777777" w:rsidR="0013116F" w:rsidRDefault="0013116F" w:rsidP="001D49D4">
      <w:pPr>
        <w:pStyle w:val="a9"/>
        <w:rPr>
          <w:rtl/>
        </w:rPr>
      </w:pPr>
      <w:r>
        <w:rPr>
          <w:rStyle w:val="ab"/>
        </w:rPr>
        <w:footnoteRef/>
      </w:r>
      <w:r>
        <w:rPr>
          <w:rtl/>
        </w:rPr>
        <w:t xml:space="preserve"> וכמו שכתב הרשב"א גופיה להדיא בתשובה (ח"א סי' אלף פב) דשנים שהלוו לאחד בשטר, שיכול אחד לתבוע כל החוב, דכיון שהלוו לזה בשטר אחד הרי הם כשותפים וכאילו הרשו זה לזה לתבוע כל החוב, ולוה זה נמי כמחייב עצמו לפרוע הכל למי משניהם שיתבענו, עכ"ל. ומביאו ב"י בקצרה לקמן ס"ס ע"ז [מחודש ד'], וכ"כ הר"ב שם סעיף י'. ולא מסתבר לומר דאחר שחלקו שוב אין אחד יכול לתבוע, דמה בכך, סוף סוף נתחייב לפרוע הכל למי משניהם שיתבענו. ועוד, דמדברי מהרשד"ם בסוף דבריו שכתב- 'והן כמו שהיו בזמן שותפותם', נראה דאף קודם חלוקה אין אחד יכול לתבוע הכל. ואפשר לקיים דבריו, דנהי דיכול אחד מהם לגבות כל החוב, היינו לענין הלוה דאין צריך הרשאה, אבל מ"מ לענין קנין אינו נקנה אלא בכתיבה ומסירה וכמו שחילקתי לעיל סעיף א' סק"י, וא"כ הכא נמי בשותפים אין החלוקה כלום לענין שיכול השותף לחזור בו, ש"ך (שם).</w:t>
      </w:r>
    </w:p>
  </w:footnote>
  <w:footnote w:id="4999">
    <w:p w14:paraId="05594829" w14:textId="77777777" w:rsidR="0013116F" w:rsidRDefault="0013116F" w:rsidP="001D49D4">
      <w:pPr>
        <w:pStyle w:val="a9"/>
        <w:rPr>
          <w:rtl/>
        </w:rPr>
      </w:pPr>
      <w:r>
        <w:rPr>
          <w:rStyle w:val="ab"/>
        </w:rPr>
        <w:footnoteRef/>
      </w:r>
      <w:r>
        <w:rPr>
          <w:rtl/>
        </w:rPr>
        <w:t xml:space="preserve"> אבל אם השטר פסול בדינינו אע"פ שהגוים נוהגים בו הוה ליה כמלוה על פה ולא מהני כתיבה ומסירה, בעל התרומות (שם). </w:t>
      </w:r>
      <w:r>
        <w:rPr>
          <w:color w:val="E36C0A" w:themeColor="accent6" w:themeShade="BF"/>
          <w:rtl/>
        </w:rPr>
        <w:t>(וכ"פ בשו"ע)</w:t>
      </w:r>
      <w:r>
        <w:rPr>
          <w:rtl/>
        </w:rPr>
        <w:t>. ורי"ו</w:t>
      </w:r>
      <w:r>
        <w:rPr>
          <w:sz w:val="16"/>
          <w:szCs w:val="16"/>
          <w:rtl/>
        </w:rPr>
        <w:t xml:space="preserve"> (מישרים ני"ד ח"א מה ע"ג)</w:t>
      </w:r>
      <w:r>
        <w:rPr>
          <w:rtl/>
        </w:rPr>
        <w:t xml:space="preserve"> כתב ג"כ שכתב ידו כתבו הגאונים והרא"ש בתשובה שנקנה בכתיבה ומסירה, ב"י.</w:t>
      </w:r>
    </w:p>
  </w:footnote>
  <w:footnote w:id="5000">
    <w:p w14:paraId="4D31FEF2" w14:textId="77777777" w:rsidR="0013116F" w:rsidRDefault="0013116F" w:rsidP="001D49D4">
      <w:pPr>
        <w:pStyle w:val="a9"/>
      </w:pPr>
      <w:r>
        <w:rPr>
          <w:rStyle w:val="ab"/>
        </w:rPr>
        <w:footnoteRef/>
      </w:r>
      <w:r>
        <w:rPr>
          <w:rtl/>
        </w:rPr>
        <w:t xml:space="preserve"> על פי מה שנתבאר לקמן סימן ס"ח, ש"ך (סקי"ט).</w:t>
      </w:r>
    </w:p>
  </w:footnote>
  <w:footnote w:id="5001">
    <w:p w14:paraId="120E70A5" w14:textId="77777777" w:rsidR="0013116F" w:rsidRDefault="0013116F" w:rsidP="001D49D4">
      <w:pPr>
        <w:pStyle w:val="a9"/>
      </w:pPr>
      <w:r>
        <w:rPr>
          <w:rStyle w:val="ab"/>
        </w:rPr>
        <w:footnoteRef/>
      </w:r>
      <w:r>
        <w:rPr>
          <w:rtl/>
        </w:rPr>
        <w:t xml:space="preserve"> נראה דר"ל שטר שכתב אחד לחבירו בערכאות הגויים להקנות בו שט"ח, קאמר דאם כתבו הגויים בלשונם לשון שמשמעותו כמו שכותבים בלשונינו קנה לך איהו ושעבודו - אז הוא כאילו כתב לו בלשון הקודש קנה לך כו' וקונה בו, ועיין לקמן סעיף כ"ה מסימן זה דין גוי שמכר שטר שלו לישראל, סמ"ע (סקי"ט).</w:t>
      </w:r>
    </w:p>
  </w:footnote>
  <w:footnote w:id="5002">
    <w:p w14:paraId="4F041E8A" w14:textId="77777777" w:rsidR="0013116F" w:rsidRDefault="0013116F" w:rsidP="001D49D4">
      <w:pPr>
        <w:pStyle w:val="a9"/>
        <w:rPr>
          <w:rtl/>
        </w:rPr>
      </w:pPr>
      <w:r>
        <w:rPr>
          <w:rStyle w:val="ab"/>
        </w:rPr>
        <w:footnoteRef/>
      </w:r>
      <w:r>
        <w:rPr>
          <w:rtl/>
        </w:rPr>
        <w:t xml:space="preserve"> ומפורש שם </w:t>
      </w:r>
      <w:r>
        <w:rPr>
          <w:sz w:val="16"/>
          <w:szCs w:val="16"/>
          <w:rtl/>
        </w:rPr>
        <w:t xml:space="preserve">{בבעל התרומות} </w:t>
      </w:r>
      <w:r>
        <w:rPr>
          <w:rtl/>
        </w:rPr>
        <w:t xml:space="preserve">דבמשכון מטלטלין שהלוה עליהם בשטר, מכיון שמסר המשכון לחבירו וזיכה לו מִלוה שיש לו עליה - קנה אע"פ שלא מסר שטר וגם לא כתב לו שום דבר. ורבינו כתב אע"פ שלא מסר ומינה נשמע ללא כתב נמי. וכ"כ רי"ו </w:t>
      </w:r>
      <w:r>
        <w:rPr>
          <w:sz w:val="16"/>
          <w:szCs w:val="16"/>
          <w:rtl/>
        </w:rPr>
        <w:t>(נ"י)</w:t>
      </w:r>
      <w:r>
        <w:rPr>
          <w:rtl/>
        </w:rPr>
        <w:t>, ב"י.</w:t>
      </w:r>
    </w:p>
  </w:footnote>
  <w:footnote w:id="5003">
    <w:p w14:paraId="6C14819A" w14:textId="77777777" w:rsidR="0013116F" w:rsidRDefault="0013116F" w:rsidP="001D49D4">
      <w:pPr>
        <w:pStyle w:val="a9"/>
        <w:rPr>
          <w:rtl/>
        </w:rPr>
      </w:pPr>
      <w:r>
        <w:rPr>
          <w:rStyle w:val="ab"/>
        </w:rPr>
        <w:footnoteRef/>
      </w:r>
      <w:r>
        <w:rPr>
          <w:rtl/>
        </w:rPr>
        <w:t xml:space="preserve"> פירוש, שהשכין לו קרקע והוא אוכל פירותיה בנכייתא, ומבואר ביו"ד סימן קע"ב דין אתרא דמסלקא או אינו מסלקא לענין דין ריבית, סמ"ע (סק"כ).</w:t>
      </w:r>
    </w:p>
  </w:footnote>
  <w:footnote w:id="5004">
    <w:p w14:paraId="69BCD93E" w14:textId="77777777" w:rsidR="0013116F" w:rsidRDefault="0013116F" w:rsidP="001D49D4">
      <w:pPr>
        <w:pStyle w:val="a9"/>
      </w:pPr>
      <w:r>
        <w:rPr>
          <w:rStyle w:val="ab"/>
        </w:rPr>
        <w:footnoteRef/>
      </w:r>
      <w:r>
        <w:rPr>
          <w:rtl/>
        </w:rPr>
        <w:t xml:space="preserve"> לשון הבעל התרומות (שער נא ח"ד ס"ו)- ולדעת הר"י הלוי ן' אבן מיגאש ז"ל דקאמר כיון דלסלוקי בזוזי קאי דיניה כמלוה, אף שהחזיק בה לא מקניא אלא בכתיבה ומסירה, עכ"ל. משמע דר"ל דלדעת הר"י ן' אבן מיגאש שהביא שם בשער נ"א ח"ו (ס"ג) שכתב דכיון דמצי לסלוקי בזוזי, כשאר מלוה דמי ויכול למחול ולא גבי מיתמי בלא שבועה, ומביאו לקמן בב"י סעיף כ"ט, וא"כ משמע כיון דקי"ל התם (לקמן סע' ל) עיקר דאינו יכול למחול, א"כ קי"ל הכא כהגאונים, ש"ך (סקכ"א).</w:t>
      </w:r>
    </w:p>
  </w:footnote>
  <w:footnote w:id="5005">
    <w:p w14:paraId="0CE719BC" w14:textId="77777777" w:rsidR="0013116F" w:rsidRDefault="0013116F" w:rsidP="001D49D4">
      <w:pPr>
        <w:pStyle w:val="a9"/>
      </w:pPr>
      <w:r>
        <w:rPr>
          <w:rStyle w:val="ab"/>
        </w:rPr>
        <w:footnoteRef/>
      </w:r>
      <w:r>
        <w:rPr>
          <w:rtl/>
        </w:rPr>
        <w:t xml:space="preserve"> פירוש, כשטר שיש לו על חבירו שנשתעבדו לו ג"כ נכסי הלוה, ובעי כתיבה ומסירה, סמ"ע (סקכ"א).</w:t>
      </w:r>
    </w:p>
  </w:footnote>
  <w:footnote w:id="5006">
    <w:p w14:paraId="18D2FE97" w14:textId="77777777" w:rsidR="0013116F" w:rsidRDefault="0013116F" w:rsidP="001D49D4">
      <w:pPr>
        <w:pStyle w:val="a9"/>
        <w:rPr>
          <w:rtl/>
        </w:rPr>
      </w:pPr>
      <w:r>
        <w:rPr>
          <w:rStyle w:val="ab"/>
        </w:rPr>
        <w:footnoteRef/>
      </w:r>
      <w:r>
        <w:rPr>
          <w:rtl/>
        </w:rPr>
        <w:t xml:space="preserve"> וכיון דליכא מסירה, ב"י.</w:t>
      </w:r>
    </w:p>
  </w:footnote>
  <w:footnote w:id="5007">
    <w:p w14:paraId="717DB0A8" w14:textId="77777777" w:rsidR="0013116F" w:rsidRDefault="0013116F" w:rsidP="001D49D4">
      <w:pPr>
        <w:pStyle w:val="a9"/>
      </w:pPr>
      <w:r>
        <w:rPr>
          <w:rStyle w:val="ab"/>
        </w:rPr>
        <w:footnoteRef/>
      </w:r>
      <w:r>
        <w:rPr>
          <w:rtl/>
        </w:rPr>
        <w:t xml:space="preserve"> וז"ל- אין עיקר קניית השטר אלא משום השעבוד הילכך נקנה אפילו במסירה וכל שכן במשיכה והגבהה, וזו היא סברת הרמב"ן </w:t>
      </w:r>
      <w:r>
        <w:rPr>
          <w:sz w:val="16"/>
          <w:szCs w:val="16"/>
          <w:rtl/>
        </w:rPr>
        <w:t xml:space="preserve">(עו. ד"ה והא) </w:t>
      </w:r>
      <w:r>
        <w:rPr>
          <w:rtl/>
        </w:rPr>
        <w:t>וכתבו האחרונים שהיא סברא נכונה.</w:t>
      </w:r>
    </w:p>
  </w:footnote>
  <w:footnote w:id="5008">
    <w:p w14:paraId="7DEF1A02" w14:textId="77777777" w:rsidR="0013116F" w:rsidRDefault="0013116F" w:rsidP="001D49D4">
      <w:pPr>
        <w:pStyle w:val="a9"/>
      </w:pPr>
      <w:r>
        <w:rPr>
          <w:rStyle w:val="ab"/>
        </w:rPr>
        <w:footnoteRef/>
      </w:r>
      <w:r>
        <w:rPr>
          <w:rtl/>
        </w:rPr>
        <w:t xml:space="preserve"> הרמב"ן הביא את דעת התוס' בשם יש מי שפירש וכתב שפירוש זה אינו כלום ש-...</w:t>
      </w:r>
    </w:p>
  </w:footnote>
  <w:footnote w:id="5009">
    <w:p w14:paraId="58C5BE07" w14:textId="77777777" w:rsidR="0013116F" w:rsidRDefault="0013116F" w:rsidP="001D49D4">
      <w:pPr>
        <w:pStyle w:val="a9"/>
        <w:rPr>
          <w:rtl/>
        </w:rPr>
      </w:pPr>
      <w:r>
        <w:rPr>
          <w:rStyle w:val="ab"/>
        </w:rPr>
        <w:footnoteRef/>
      </w:r>
      <w:r>
        <w:rPr>
          <w:rtl/>
        </w:rPr>
        <w:t xml:space="preserve"> </w:t>
      </w:r>
      <w:r>
        <w:rPr>
          <w:rFonts w:hint="cs"/>
          <w:rtl/>
        </w:rPr>
        <w:t xml:space="preserve">וכתב </w:t>
      </w:r>
      <w:r>
        <w:rPr>
          <w:rtl/>
        </w:rPr>
        <w:t>דכן נראה דעת הבעל התרומות (שער נא ח"ג ס"ב)... וכן נראה מדברי הרמב"ם (פ"ו מהל' מכירה הי"א) ושאר פוסקים שכתבו סתמא דשטר נקנה בכתיבה ומסירה, משמע כמו שאר מסירה. וכן נראה מדברי המרדכי (פרק הספינה סי' תקסא)... וכ"כ הנמוק"י פרק הספינה (לט. מדפה"ר)... ומביאו ב"י בקצרה ריש סימן זה, וכן עיקר, ש"ך (סקכ"ב).</w:t>
      </w:r>
    </w:p>
  </w:footnote>
  <w:footnote w:id="5010">
    <w:p w14:paraId="351803C3" w14:textId="77777777" w:rsidR="0013116F" w:rsidRDefault="0013116F" w:rsidP="001D49D4">
      <w:pPr>
        <w:pStyle w:val="a9"/>
      </w:pPr>
      <w:r>
        <w:rPr>
          <w:rStyle w:val="ab"/>
        </w:rPr>
        <w:footnoteRef/>
      </w:r>
      <w:r>
        <w:rPr>
          <w:rtl/>
        </w:rPr>
        <w:t xml:space="preserve"> כלומר אם אפשר להגביה צריך הגבהה ולא מהני משיכה, ואם אין דרכו להגביה מועיל משיכה, כן הוא בתוס' פרק הספינה (עו. ד"ה ר' נתן כו'), וכן נתבאר לקמן ר"ס קצ"ח, ועיין שם עוד מקנינים אילו כי שם ביתם, ש"ך (סקכ"ג).</w:t>
      </w:r>
    </w:p>
  </w:footnote>
  <w:footnote w:id="5011">
    <w:p w14:paraId="755514EC" w14:textId="77777777" w:rsidR="0013116F" w:rsidRDefault="0013116F" w:rsidP="001D49D4">
      <w:pPr>
        <w:pStyle w:val="a9"/>
      </w:pPr>
      <w:r>
        <w:rPr>
          <w:rStyle w:val="ab"/>
        </w:rPr>
        <w:footnoteRef/>
      </w:r>
      <w:r>
        <w:rPr>
          <w:rtl/>
        </w:rPr>
        <w:t xml:space="preserve"> משא"כ בשאר דברים הנקנין בהגבהה או במשיכה. והטעם, כיון דשטר אין גופו ממון בעינן קנין חשוב טפי, וכמו שכתבתי בר"ס זה, וכ"כ הטור </w:t>
      </w:r>
      <w:r>
        <w:rPr>
          <w:sz w:val="16"/>
          <w:szCs w:val="16"/>
          <w:rtl/>
        </w:rPr>
        <w:t>(סע' ח)</w:t>
      </w:r>
      <w:r>
        <w:rPr>
          <w:rtl/>
        </w:rPr>
        <w:t xml:space="preserve">, סמ"ע </w:t>
      </w:r>
      <w:r>
        <w:rPr>
          <w:sz w:val="16"/>
          <w:szCs w:val="16"/>
          <w:rtl/>
        </w:rPr>
        <w:t>(סקכ"ג)</w:t>
      </w:r>
      <w:r>
        <w:rPr>
          <w:rtl/>
        </w:rPr>
        <w:t xml:space="preserve">. וכתב הש"ך </w:t>
      </w:r>
      <w:r>
        <w:rPr>
          <w:sz w:val="16"/>
          <w:szCs w:val="16"/>
          <w:rtl/>
        </w:rPr>
        <w:t xml:space="preserve">(סקכ"ח) </w:t>
      </w:r>
      <w:r>
        <w:rPr>
          <w:rtl/>
        </w:rPr>
        <w:t xml:space="preserve">דלא דק, דפשיטא דאינו יכול להקנות מה שיקנה אח"כ כדאיתא בש"ס וכל הפוסקים ונתבאר לקמן סי' ר"ט </w:t>
      </w:r>
      <w:r>
        <w:rPr>
          <w:sz w:val="16"/>
          <w:szCs w:val="16"/>
          <w:rtl/>
        </w:rPr>
        <w:t>(סע' ד)</w:t>
      </w:r>
      <w:r>
        <w:rPr>
          <w:rtl/>
        </w:rPr>
        <w:t>, והא דלעיל סי' ל"ז וס', שעבוד שאני, דיכול להשתעבד דאקני ולא להקנות כמבואר להדיא חילוק זה בש"ס וכל הפוסקים, אלא כאן דשטר זה בא על הלואה שהלוה כבר הוא אמינא דעדיף, כ"ה בריב"ש</w:t>
      </w:r>
      <w:r>
        <w:rPr>
          <w:sz w:val="16"/>
          <w:szCs w:val="16"/>
          <w:rtl/>
        </w:rPr>
        <w:t xml:space="preserve"> (סי' רי)</w:t>
      </w:r>
      <w:r>
        <w:rPr>
          <w:rtl/>
        </w:rPr>
        <w:t xml:space="preserve"> ע"ש.</w:t>
      </w:r>
    </w:p>
  </w:footnote>
  <w:footnote w:id="5012">
    <w:p w14:paraId="5C108DB4" w14:textId="77777777" w:rsidR="0013116F" w:rsidRDefault="0013116F" w:rsidP="001D49D4">
      <w:pPr>
        <w:pStyle w:val="a9"/>
      </w:pPr>
      <w:r>
        <w:rPr>
          <w:rStyle w:val="ab"/>
        </w:rPr>
        <w:footnoteRef/>
      </w:r>
      <w:r>
        <w:rPr>
          <w:rtl/>
        </w:rPr>
        <w:t xml:space="preserve"> וכן עיקר דלא בעי מסירה מיד ליד, וכן נראה להדיא מדברי הרמב"ן ושאר הפוסקים שהבאתי לעיל ס"ק כ"ב דמסירה זו כמו שאר מסירות דלקמן סימן קצ"ח סעיף ח' דא"צ מיד ליד, וע"ש, ש"ך (סקכ"ד).</w:t>
      </w:r>
    </w:p>
  </w:footnote>
  <w:footnote w:id="5013">
    <w:p w14:paraId="021928DB" w14:textId="77777777" w:rsidR="0013116F" w:rsidRDefault="0013116F" w:rsidP="001D49D4">
      <w:pPr>
        <w:pStyle w:val="a9"/>
      </w:pPr>
      <w:r>
        <w:rPr>
          <w:rStyle w:val="ab"/>
        </w:rPr>
        <w:footnoteRef/>
      </w:r>
      <w:r>
        <w:rPr>
          <w:rtl/>
        </w:rPr>
        <w:t xml:space="preserve"> יש לדקדק דהא בלא"ה נמי לא קנה, כיון דליכא כתיבה. ובתשובת מהר"מ מלובלין (סי' כב) תירץ דלא הצריכו כתיבה אלא מצד המוכר במקום ששייך לומר שנשאר לו שום זכות לבעל השטר עדיין בשט"ח, אבל המפקיר שטרו שנתרוקנה כל זכותו של בעל השטר מהשט"ח לגמרי, הוה אמינא שהזוכה בו קונה השעבוד שבו, עכ"ל. ולא נהירא. ועוד, דהא אפילו באמר לו קני לך איהו וכל שעבודיה כו' לא מהני עד שיכתוב לו, ומי גרע אמר מהפקיר. ועוד יש לדקדק, תיפוק ליה דבלא"ה לא קנה השטר שהפקיר, דהא הלוה שחייב בשטר זה קודם בו, ומיד שהפקיר השטר זכה הלוה במה שבידו, כדמוכח בש"ס פרק הפרה (ב"ק מט:)... הלכך נראה דמיירי בשטר שיש לו על הגוי... ונשתעבד הגוי לכל מי שיוציאו... והלכך אי לאו דבעינן דעת אחרת מקנה, זכה זה שמשכו, ואין ישראל אחר יכול לתבוע אותו חוב מן הגוי... ולפי מה שהעליתי לעיל סקכ"ב דשטרות נקנים במסירה ומשיכה והגבהה, א"כ ה"ה בהפקיר שטר שיש לו על הגוי שנכתב בו שנשתעבד הגוי למי שיוציאו אף בלא כתיבה, או בגר שמת והניח שטרות כאלו על גויים, זכה בהן זה שמשכן, ואין ישראל אחר יכול לתבוע את הגוי באותן שטרות, אבל אם לא משכן רק אחז בהן - לא קנה אותם, דמסירה לא מהני אלא מדעת המוכר במצותו כדלקמן סימן קצ"ח סעיף ח', ש"ך (סקכ"ה).</w:t>
      </w:r>
    </w:p>
  </w:footnote>
  <w:footnote w:id="5014">
    <w:p w14:paraId="1A4113B5" w14:textId="77777777" w:rsidR="0013116F" w:rsidRDefault="0013116F" w:rsidP="001D49D4">
      <w:pPr>
        <w:pStyle w:val="a9"/>
      </w:pPr>
      <w:r>
        <w:rPr>
          <w:rStyle w:val="ab"/>
        </w:rPr>
        <w:footnoteRef/>
      </w:r>
      <w:r>
        <w:rPr>
          <w:rtl/>
        </w:rPr>
        <w:t xml:space="preserve"> </w:t>
      </w:r>
      <w:r>
        <w:rPr>
          <w:rFonts w:hint="cs"/>
          <w:rtl/>
        </w:rPr>
        <w:t>סימן – זבן עלון על זיבורית. וכן איתא שם בדף קנא ע"א. וכן איתא בקידושין כז ע"א.</w:t>
      </w:r>
    </w:p>
  </w:footnote>
  <w:footnote w:id="5015">
    <w:p w14:paraId="4D9DB86F" w14:textId="77777777" w:rsidR="0013116F" w:rsidRDefault="0013116F" w:rsidP="001D49D4">
      <w:pPr>
        <w:pStyle w:val="a9"/>
        <w:rPr>
          <w:rtl/>
        </w:rPr>
      </w:pPr>
      <w:r>
        <w:rPr>
          <w:rStyle w:val="ab"/>
        </w:rPr>
        <w:footnoteRef/>
      </w:r>
      <w:r>
        <w:rPr>
          <w:rtl/>
        </w:rPr>
        <w:t xml:space="preserve"> והא דתנן כיון שהחזיק בקרקע נקנה השטר בכל מקום שהוא - היינו דוקא שטר שכתב מוכר ללוקח שמכר לו שדהו, בההוא שטר קאמר שאם החזיק בקרקע נקנה לו השטר, אבל המוכר לחבירו שטר חוב שיש לו על אחר אינו נקנה על גב קרקע... כיון דאותיות אין נקנות אלא בכתיבה ובמסירה, טור.</w:t>
      </w:r>
    </w:p>
  </w:footnote>
  <w:footnote w:id="5016">
    <w:p w14:paraId="36B95537" w14:textId="77777777" w:rsidR="0013116F" w:rsidRDefault="0013116F" w:rsidP="001D49D4">
      <w:pPr>
        <w:pStyle w:val="a9"/>
        <w:rPr>
          <w:rtl/>
        </w:rPr>
      </w:pPr>
      <w:r>
        <w:rPr>
          <w:rStyle w:val="ab"/>
        </w:rPr>
        <w:footnoteRef/>
      </w:r>
      <w:r>
        <w:rPr>
          <w:rtl/>
        </w:rPr>
        <w:t xml:space="preserve"> </w:t>
      </w:r>
      <w:r>
        <w:rPr>
          <w:rFonts w:hint="cs"/>
          <w:rtl/>
        </w:rPr>
        <w:t xml:space="preserve">וז"ל- </w:t>
      </w:r>
      <w:r>
        <w:rPr>
          <w:rtl/>
        </w:rPr>
        <w:t xml:space="preserve">אע"ג דלא מיקניין במסירה, על גב קרקע מיקניין </w:t>
      </w:r>
      <w:r>
        <w:rPr>
          <w:sz w:val="16"/>
          <w:szCs w:val="16"/>
          <w:rtl/>
        </w:rPr>
        <w:t>{כלומר וקאי במקום מסירה וכתיבה, ב"י}</w:t>
      </w:r>
      <w:r>
        <w:rPr>
          <w:rtl/>
        </w:rPr>
        <w:t>, דהא מטבע לא מיקני בחליפין ועל גב ארעא מיקני.</w:t>
      </w:r>
    </w:p>
  </w:footnote>
  <w:footnote w:id="5017">
    <w:p w14:paraId="7F06DF1E" w14:textId="77777777" w:rsidR="0013116F" w:rsidRDefault="0013116F" w:rsidP="001D49D4">
      <w:pPr>
        <w:pStyle w:val="a9"/>
      </w:pPr>
      <w:r>
        <w:rPr>
          <w:rStyle w:val="ab"/>
        </w:rPr>
        <w:footnoteRef/>
      </w:r>
      <w:r>
        <w:rPr>
          <w:rtl/>
        </w:rPr>
        <w:t xml:space="preserve"> רי"ף </w:t>
      </w:r>
      <w:r>
        <w:rPr>
          <w:sz w:val="16"/>
          <w:szCs w:val="16"/>
          <w:rtl/>
        </w:rPr>
        <w:t>(פרק גט פשוט לט.)</w:t>
      </w:r>
      <w:r>
        <w:rPr>
          <w:rtl/>
        </w:rPr>
        <w:t xml:space="preserve"> ר"י אבן מיגאש </w:t>
      </w:r>
      <w:r>
        <w:rPr>
          <w:sz w:val="16"/>
          <w:szCs w:val="16"/>
          <w:rtl/>
        </w:rPr>
        <w:t>(עו: ד"ה אמר ר"פ, כ"כ בשמו בעל התרומות [שנ"א ח"ג סי' ג])</w:t>
      </w:r>
      <w:r>
        <w:rPr>
          <w:rtl/>
        </w:rPr>
        <w:t xml:space="preserve"> ראב"ד </w:t>
      </w:r>
      <w:r>
        <w:rPr>
          <w:sz w:val="16"/>
          <w:szCs w:val="16"/>
          <w:rtl/>
        </w:rPr>
        <w:t xml:space="preserve">(תמים דעים סי' סא, כ"כ בעל התרומות בשמו [ש"נ ח"ד סי' ג]) </w:t>
      </w:r>
      <w:r>
        <w:rPr>
          <w:rtl/>
        </w:rPr>
        <w:t>רמב"ם</w:t>
      </w:r>
      <w:r>
        <w:rPr>
          <w:sz w:val="16"/>
          <w:szCs w:val="16"/>
          <w:rtl/>
        </w:rPr>
        <w:t xml:space="preserve"> (הל' מכירה פ"ו הי"ד)</w:t>
      </w:r>
      <w:r>
        <w:rPr>
          <w:rtl/>
        </w:rPr>
        <w:t xml:space="preserve"> ונמוק"י </w:t>
      </w:r>
      <w:r>
        <w:rPr>
          <w:sz w:val="16"/>
          <w:szCs w:val="16"/>
          <w:rtl/>
        </w:rPr>
        <w:t>(פרק המוכר את הספינה שם, כ"כ בשמו הדרכ"מ [אות ד])</w:t>
      </w:r>
      <w:r>
        <w:rPr>
          <w:rtl/>
        </w:rPr>
        <w:t>.</w:t>
      </w:r>
    </w:p>
  </w:footnote>
  <w:footnote w:id="5018">
    <w:p w14:paraId="45AA6E52" w14:textId="77777777" w:rsidR="0013116F" w:rsidRDefault="0013116F" w:rsidP="001D49D4">
      <w:pPr>
        <w:pStyle w:val="a9"/>
        <w:rPr>
          <w:rtl/>
        </w:rPr>
      </w:pPr>
      <w:r>
        <w:rPr>
          <w:rStyle w:val="ab"/>
        </w:rPr>
        <w:footnoteRef/>
      </w:r>
      <w:r>
        <w:rPr>
          <w:rtl/>
        </w:rPr>
        <w:t xml:space="preserve"> כלומר ובלבד שיאמר לו קני לך אגב קרקע זה שטר זה וכל שעבודו, ב"י.</w:t>
      </w:r>
    </w:p>
  </w:footnote>
  <w:footnote w:id="5019">
    <w:p w14:paraId="36571356" w14:textId="77777777" w:rsidR="0013116F" w:rsidRDefault="0013116F" w:rsidP="001D49D4">
      <w:pPr>
        <w:pStyle w:val="a9"/>
      </w:pPr>
      <w:r>
        <w:rPr>
          <w:rStyle w:val="ab"/>
        </w:rPr>
        <w:footnoteRef/>
      </w:r>
      <w:r>
        <w:rPr>
          <w:rtl/>
        </w:rPr>
        <w:t xml:space="preserve"> ומ"מ מסירת השטר יותר טוב, שכל שלא מסר לו השטר יכול לוה לטעון לא אפרע עד שתחזיר לי שטר חובי כיון שהוא קיים, בעל התרומות</w:t>
      </w:r>
      <w:r>
        <w:rPr>
          <w:sz w:val="16"/>
          <w:szCs w:val="16"/>
          <w:rtl/>
        </w:rPr>
        <w:t xml:space="preserve"> (ש"נ ח"ד סי' ג)</w:t>
      </w:r>
      <w:r>
        <w:rPr>
          <w:rtl/>
        </w:rPr>
        <w:t>.</w:t>
      </w:r>
    </w:p>
  </w:footnote>
  <w:footnote w:id="5020">
    <w:p w14:paraId="458D9206" w14:textId="77777777" w:rsidR="0013116F" w:rsidRDefault="0013116F" w:rsidP="001D49D4">
      <w:pPr>
        <w:pStyle w:val="a9"/>
        <w:rPr>
          <w:rtl/>
        </w:rPr>
      </w:pPr>
      <w:r>
        <w:rPr>
          <w:rStyle w:val="ab"/>
        </w:rPr>
        <w:footnoteRef/>
      </w:r>
      <w:r>
        <w:rPr>
          <w:rtl/>
        </w:rPr>
        <w:t xml:space="preserve"> וגם הרשב"א כתב בתשובה (ח"ג סי' סב)- איפשר דאגב עומד במקום כתיבה ומסירה וכן דעת רוב המפרשים ז"ל עכ"ל.</w:t>
      </w:r>
    </w:p>
  </w:footnote>
  <w:footnote w:id="5021">
    <w:p w14:paraId="6327CA77" w14:textId="77777777" w:rsidR="0013116F" w:rsidRDefault="0013116F" w:rsidP="001D49D4">
      <w:pPr>
        <w:pStyle w:val="a9"/>
        <w:rPr>
          <w:rtl/>
        </w:rPr>
      </w:pPr>
      <w:r>
        <w:rPr>
          <w:rStyle w:val="ab"/>
        </w:rPr>
        <w:footnoteRef/>
      </w:r>
      <w:r>
        <w:rPr>
          <w:rtl/>
        </w:rPr>
        <w:t xml:space="preserve"> </w:t>
      </w:r>
      <w:r>
        <w:rPr>
          <w:rFonts w:hint="cs"/>
          <w:rtl/>
        </w:rPr>
        <w:t xml:space="preserve">וכ"פ בב"י, </w:t>
      </w:r>
      <w:r>
        <w:rPr>
          <w:rtl/>
        </w:rPr>
        <w:t xml:space="preserve">וז"ל- ולענין הלכה כיון דכל הני רבוותא סבירא להו דנקנין באגב הכי נקיטינן. </w:t>
      </w:r>
    </w:p>
  </w:footnote>
  <w:footnote w:id="5022">
    <w:p w14:paraId="088F32B7" w14:textId="77777777" w:rsidR="0013116F" w:rsidRDefault="0013116F" w:rsidP="001D49D4">
      <w:pPr>
        <w:pStyle w:val="a9"/>
        <w:rPr>
          <w:rtl/>
        </w:rPr>
      </w:pPr>
      <w:r>
        <w:rPr>
          <w:rStyle w:val="ab"/>
        </w:rPr>
        <w:footnoteRef/>
      </w:r>
      <w:r>
        <w:rPr>
          <w:rtl/>
        </w:rPr>
        <w:t xml:space="preserve"> ובמקום שכותבין טופס השטר בפנקס וגובין יכול להקנות לו הפנקס, ריב"ש (שם).</w:t>
      </w:r>
    </w:p>
  </w:footnote>
  <w:footnote w:id="5023">
    <w:p w14:paraId="78995724" w14:textId="77777777" w:rsidR="0013116F" w:rsidRDefault="0013116F" w:rsidP="001D49D4">
      <w:pPr>
        <w:pStyle w:val="a9"/>
        <w:rPr>
          <w:rtl/>
        </w:rPr>
      </w:pPr>
      <w:r>
        <w:rPr>
          <w:rStyle w:val="ab"/>
        </w:rPr>
        <w:footnoteRef/>
      </w:r>
      <w:r>
        <w:rPr>
          <w:rtl/>
        </w:rPr>
        <w:t xml:space="preserve"> וכן דעת הטור (סי' ס ס"ד) ושאר אחרונים שם (סי' ס' סוף סע' א), וכן מוכח מדברי הבעל התרומות בשער נא (ח"ו ס"ט) והטור (סע' לג) והמחבר (ריש סע' לד) לקמן. וכן מוכח עוד מדברי הבעל התרומות בשער מג (ח"ד סי"ח) והטור והמחבר לקמן סימן קי"א (טור סע' יט כ' ומחבר סע' כב-כג) ושאר אחרונים, ש"ך (סקכ"ו). וכ"פ הסמ"ע כאן (סקכ"ו).</w:t>
      </w:r>
    </w:p>
  </w:footnote>
  <w:footnote w:id="5024">
    <w:p w14:paraId="2DB0F6EA" w14:textId="77777777" w:rsidR="0013116F" w:rsidRDefault="0013116F" w:rsidP="001D49D4">
      <w:pPr>
        <w:pStyle w:val="a9"/>
        <w:rPr>
          <w:rtl/>
        </w:rPr>
      </w:pPr>
      <w:r>
        <w:rPr>
          <w:rStyle w:val="ab"/>
        </w:rPr>
        <w:footnoteRef/>
      </w:r>
      <w:r>
        <w:rPr>
          <w:rtl/>
        </w:rPr>
        <w:t xml:space="preserve"> פירוש, אפילו אינו על גבי הקרקע שמקנהו לו אגבה, וכמו שכתב הטור לקמן בסי' ר"ב [סע' א] בדין קניית אגב, סמ"ע (סקכ"ד).</w:t>
      </w:r>
    </w:p>
  </w:footnote>
  <w:footnote w:id="5025">
    <w:p w14:paraId="78FD4C24" w14:textId="77777777" w:rsidR="0013116F" w:rsidRDefault="0013116F" w:rsidP="001D49D4">
      <w:pPr>
        <w:pStyle w:val="a9"/>
      </w:pPr>
      <w:r>
        <w:rPr>
          <w:rStyle w:val="ab"/>
        </w:rPr>
        <w:footnoteRef/>
      </w:r>
      <w:r>
        <w:rPr>
          <w:rtl/>
        </w:rPr>
        <w:t xml:space="preserve"> דכל שמקנה אגב קרקע דינו כקרקע, והקרקע נקנית בכסף בשטר ובחזקה ובקנין, וכמו שכתב הטור בר"ס ק"ץ, סמ"ע (סקכ"ה).</w:t>
      </w:r>
    </w:p>
  </w:footnote>
  <w:footnote w:id="5026">
    <w:p w14:paraId="285EF8D1" w14:textId="77777777" w:rsidR="0013116F" w:rsidRDefault="0013116F" w:rsidP="001D49D4">
      <w:pPr>
        <w:pStyle w:val="a9"/>
        <w:rPr>
          <w:rtl/>
        </w:rPr>
      </w:pPr>
      <w:r>
        <w:rPr>
          <w:rStyle w:val="ab"/>
        </w:rPr>
        <w:footnoteRef/>
      </w:r>
      <w:r>
        <w:rPr>
          <w:rtl/>
        </w:rPr>
        <w:t xml:space="preserve"> משא"כ בשאר דברים דיכול להקנות ולומר 'קנה אגבן פרה או טלית לכשאקנהו', וכמ"ש בסי' ל"ז (בטור סע' ט) ובסי' ס' (סע' א) דיכול להשתעבד מטלטלים בדאקני, ע"ש, סמ"ע (סקכ"ו).</w:t>
      </w:r>
    </w:p>
  </w:footnote>
  <w:footnote w:id="5027">
    <w:p w14:paraId="5E7C2797" w14:textId="77777777" w:rsidR="0013116F" w:rsidRDefault="0013116F" w:rsidP="001D49D4">
      <w:pPr>
        <w:pStyle w:val="a9"/>
      </w:pPr>
      <w:r>
        <w:rPr>
          <w:rStyle w:val="ab"/>
        </w:rPr>
        <w:footnoteRef/>
      </w:r>
      <w:r>
        <w:rPr>
          <w:rtl/>
        </w:rPr>
        <w:t xml:space="preserve"> ב"ב קעג. ד"ה איתמר, כ"כ הטור בשמו (כאן), וכ"כ הב"י בשמו בסי' סב ס"ג.</w:t>
      </w:r>
    </w:p>
  </w:footnote>
  <w:footnote w:id="5028">
    <w:p w14:paraId="5C07B880" w14:textId="77777777" w:rsidR="0013116F" w:rsidRDefault="0013116F" w:rsidP="001D49D4">
      <w:pPr>
        <w:pStyle w:val="a9"/>
        <w:rPr>
          <w:rtl/>
        </w:rPr>
      </w:pPr>
      <w:r>
        <w:rPr>
          <w:rStyle w:val="ab"/>
        </w:rPr>
        <w:footnoteRef/>
      </w:r>
      <w:r>
        <w:rPr>
          <w:rtl/>
        </w:rPr>
        <w:t xml:space="preserve"> </w:t>
      </w:r>
      <w:r>
        <w:rPr>
          <w:rFonts w:hint="cs"/>
          <w:rtl/>
        </w:rPr>
        <w:t xml:space="preserve">וז"ל- </w:t>
      </w:r>
      <w:r>
        <w:rPr>
          <w:rtl/>
        </w:rPr>
        <w:t>אין צריך עדים לענין קנייתו.</w:t>
      </w:r>
    </w:p>
  </w:footnote>
  <w:footnote w:id="5029">
    <w:p w14:paraId="2F3DEEE0" w14:textId="77777777" w:rsidR="0013116F" w:rsidRDefault="0013116F" w:rsidP="001D49D4">
      <w:pPr>
        <w:pStyle w:val="a9"/>
      </w:pPr>
      <w:r>
        <w:rPr>
          <w:rStyle w:val="ab"/>
        </w:rPr>
        <w:footnoteRef/>
      </w:r>
      <w:r>
        <w:rPr>
          <w:rtl/>
        </w:rPr>
        <w:t xml:space="preserve"> </w:t>
      </w:r>
      <w:r>
        <w:rPr>
          <w:rFonts w:hint="cs"/>
          <w:rtl/>
        </w:rPr>
        <w:t xml:space="preserve">וז"ל- </w:t>
      </w:r>
      <w:r>
        <w:rPr>
          <w:rtl/>
        </w:rPr>
        <w:t>ראובן שהוציא שטר חוב שיש ללוי על שמעון וטען שלוי נתנו לו בכתיבה ומסירה ואבד השטר שהקנהו בו או שטען שהקנהו לו על גב הקרקע הרי זה גובה אותו משמעון הואיל ויוצא מתחת ידו.</w:t>
      </w:r>
    </w:p>
  </w:footnote>
  <w:footnote w:id="5030">
    <w:p w14:paraId="7601E22F" w14:textId="77777777" w:rsidR="0013116F" w:rsidRDefault="0013116F" w:rsidP="001D49D4">
      <w:pPr>
        <w:pStyle w:val="a9"/>
      </w:pPr>
      <w:r>
        <w:rPr>
          <w:rStyle w:val="ab"/>
        </w:rPr>
        <w:footnoteRef/>
      </w:r>
      <w:r>
        <w:rPr>
          <w:rtl/>
        </w:rPr>
        <w:t xml:space="preserve"> </w:t>
      </w:r>
      <w:r>
        <w:rPr>
          <w:rFonts w:hint="cs"/>
          <w:rtl/>
        </w:rPr>
        <w:t xml:space="preserve">וז"ל- </w:t>
      </w:r>
      <w:r>
        <w:rPr>
          <w:rtl/>
        </w:rPr>
        <w:t>אחד מן האחין ששטר חוב יוצא מתחת ידו עליו להביא ראיה שאביו נתנו לו בכתיבה ומסירה, או שצוה לו בו כשהוא שכיב מרע ואם לא הביא ראיה הרי הוא לאמצע. במה דברים אמורים באחין מפני שחזקתן שומטין זה מזה, אבל אחר שטען שנתן לו או שקנהו מבעליו גובה בו ואינו צריך להביא ראיה.</w:t>
      </w:r>
    </w:p>
  </w:footnote>
  <w:footnote w:id="5031">
    <w:p w14:paraId="414F2AF9" w14:textId="77777777" w:rsidR="0013116F" w:rsidRDefault="0013116F" w:rsidP="001D49D4">
      <w:pPr>
        <w:pStyle w:val="a9"/>
      </w:pPr>
      <w:r>
        <w:rPr>
          <w:rStyle w:val="ab"/>
        </w:rPr>
        <w:footnoteRef/>
      </w:r>
      <w:r>
        <w:rPr>
          <w:rtl/>
        </w:rPr>
        <w:t xml:space="preserve"> היינו דוקא כשאין הלוה </w:t>
      </w:r>
      <w:r>
        <w:rPr>
          <w:sz w:val="16"/>
          <w:szCs w:val="16"/>
          <w:rtl/>
        </w:rPr>
        <w:t xml:space="preserve">{שמעון} </w:t>
      </w:r>
      <w:r>
        <w:rPr>
          <w:rtl/>
        </w:rPr>
        <w:t>טוען 'מי לימא לי שבעל דברים דידי כתב ומסר לך'</w:t>
      </w:r>
      <w:r>
        <w:rPr>
          <w:sz w:val="16"/>
          <w:szCs w:val="16"/>
          <w:rtl/>
        </w:rPr>
        <w:t xml:space="preserve"> {אלא רוצה לפרעו}</w:t>
      </w:r>
      <w:r>
        <w:rPr>
          <w:rtl/>
        </w:rPr>
        <w:t>, ואע"פ שהמלוה טוען שלא מכרו אין חוששין לדבריו, ב"י. עיין לקמן בסמוך.</w:t>
      </w:r>
    </w:p>
  </w:footnote>
  <w:footnote w:id="5032">
    <w:p w14:paraId="15305CB7" w14:textId="77777777" w:rsidR="0013116F" w:rsidRDefault="0013116F" w:rsidP="001D49D4">
      <w:pPr>
        <w:pStyle w:val="a9"/>
      </w:pPr>
      <w:r>
        <w:rPr>
          <w:rStyle w:val="ab"/>
        </w:rPr>
        <w:footnoteRef/>
      </w:r>
      <w:r>
        <w:rPr>
          <w:rtl/>
        </w:rPr>
        <w:t xml:space="preserve"> ובב"י כתב דהכי נקטינן.</w:t>
      </w:r>
    </w:p>
  </w:footnote>
  <w:footnote w:id="5033">
    <w:p w14:paraId="7B618C2D" w14:textId="77777777" w:rsidR="0013116F" w:rsidRDefault="0013116F" w:rsidP="001D49D4">
      <w:pPr>
        <w:pStyle w:val="a9"/>
      </w:pPr>
      <w:r>
        <w:rPr>
          <w:rStyle w:val="ab"/>
        </w:rPr>
        <w:footnoteRef/>
      </w:r>
      <w:r>
        <w:rPr>
          <w:rtl/>
        </w:rPr>
        <w:t xml:space="preserve"> וז"ל בתשו' (שם)- אינו נאמן לומר שנתנו לו בכתיבה ומסירה דלעולם צריך להביא ראיה על הכתיבה ואפילו לרבא דאמר בפרק גט פשוט (קעג.) דאין צריך להביא ראיה על המסירה וכן מוכיח בפרק זה בורר (סנהדרין לא.) גבי ההיא סבתא דנפק שטרא מתותי ידה בב"ד דרב נחמן וכו' וכן אינו נאמן לומר במתנת שכיב מרע נתנו לו כדמוכח בפרק הכותב (כתובות פה.) בעובדא דמלוגא דשטרי.</w:t>
      </w:r>
    </w:p>
  </w:footnote>
  <w:footnote w:id="5034">
    <w:p w14:paraId="684BA749" w14:textId="77777777" w:rsidR="0013116F" w:rsidRDefault="0013116F" w:rsidP="001D49D4">
      <w:pPr>
        <w:pStyle w:val="a9"/>
        <w:rPr>
          <w:rtl/>
        </w:rPr>
      </w:pPr>
      <w:r>
        <w:rPr>
          <w:rStyle w:val="ab"/>
        </w:rPr>
        <w:footnoteRef/>
      </w:r>
      <w:r>
        <w:rPr>
          <w:rtl/>
        </w:rPr>
        <w:t xml:space="preserve"> ר"ח</w:t>
      </w:r>
      <w:r>
        <w:rPr>
          <w:sz w:val="16"/>
          <w:szCs w:val="16"/>
          <w:rtl/>
        </w:rPr>
        <w:t xml:space="preserve"> (כ"כ הטור בשמו)</w:t>
      </w:r>
      <w:r>
        <w:rPr>
          <w:rtl/>
        </w:rPr>
        <w:t xml:space="preserve"> ר"י</w:t>
      </w:r>
      <w:r>
        <w:rPr>
          <w:sz w:val="16"/>
          <w:szCs w:val="16"/>
          <w:rtl/>
        </w:rPr>
        <w:t xml:space="preserve"> (כ"כ הרא"ש והטור בשמו)</w:t>
      </w:r>
      <w:r>
        <w:rPr>
          <w:rtl/>
        </w:rPr>
        <w:t xml:space="preserve"> רמב"ן </w:t>
      </w:r>
      <w:r>
        <w:rPr>
          <w:sz w:val="16"/>
          <w:szCs w:val="16"/>
          <w:rtl/>
        </w:rPr>
        <w:t>(קעג. ד"ה אלא, וכ"כ הה"מ בשמו)</w:t>
      </w:r>
      <w:r>
        <w:rPr>
          <w:rtl/>
        </w:rPr>
        <w:t xml:space="preserve"> רשב"א </w:t>
      </w:r>
      <w:r>
        <w:rPr>
          <w:sz w:val="16"/>
          <w:szCs w:val="16"/>
          <w:rtl/>
        </w:rPr>
        <w:t>(קעג. ד"ה ובפלוגתא, ובתשו' ח"ג סי' עב, וכ"כ הה"מ בשמו)</w:t>
      </w:r>
      <w:r>
        <w:rPr>
          <w:rtl/>
        </w:rPr>
        <w:t xml:space="preserve"> רא"ש </w:t>
      </w:r>
      <w:r>
        <w:rPr>
          <w:sz w:val="16"/>
          <w:szCs w:val="16"/>
          <w:rtl/>
        </w:rPr>
        <w:t xml:space="preserve">(פרק גט פשוט סי' לז, וכ"כ הטור בשמו) </w:t>
      </w:r>
      <w:r>
        <w:rPr>
          <w:rtl/>
        </w:rPr>
        <w:t xml:space="preserve">הה"מ </w:t>
      </w:r>
      <w:r>
        <w:rPr>
          <w:sz w:val="16"/>
          <w:szCs w:val="16"/>
          <w:rtl/>
        </w:rPr>
        <w:t>(פט"ז מהל' מלוה ריש אות ז)</w:t>
      </w:r>
      <w:r>
        <w:rPr>
          <w:rtl/>
        </w:rPr>
        <w:t xml:space="preserve"> ר"ן </w:t>
      </w:r>
      <w:r>
        <w:rPr>
          <w:sz w:val="16"/>
          <w:szCs w:val="16"/>
          <w:rtl/>
        </w:rPr>
        <w:t>(פרק הכותב כתובות מג.)</w:t>
      </w:r>
      <w:r>
        <w:rPr>
          <w:rtl/>
        </w:rPr>
        <w:t xml:space="preserve"> ונמוק"י </w:t>
      </w:r>
      <w:r>
        <w:rPr>
          <w:sz w:val="16"/>
          <w:szCs w:val="16"/>
          <w:rtl/>
        </w:rPr>
        <w:t>(ס"פ בתרא פ. ד"ה תניא)</w:t>
      </w:r>
      <w:r>
        <w:rPr>
          <w:rtl/>
        </w:rPr>
        <w:t>.</w:t>
      </w:r>
    </w:p>
  </w:footnote>
  <w:footnote w:id="5035">
    <w:p w14:paraId="395D8EFC" w14:textId="77777777" w:rsidR="0013116F" w:rsidRDefault="0013116F" w:rsidP="001D49D4">
      <w:pPr>
        <w:pStyle w:val="a9"/>
        <w:rPr>
          <w:rtl/>
        </w:rPr>
      </w:pPr>
      <w:r>
        <w:rPr>
          <w:rStyle w:val="ab"/>
        </w:rPr>
        <w:footnoteRef/>
      </w:r>
      <w:r>
        <w:rPr>
          <w:rtl/>
        </w:rPr>
        <w:t xml:space="preserve"> הלכך אם פרע הלוה ללוקח בלא ידיעת המוכר, חוזר וגובה ממנו, וכמו שיתבאר לקמן סעיף י"ז, וכ"כ הב"ח [סעיף י"ח]. מיהו אם הלוה טוען ברור לי שהיה לו שטר כתיבה ואבד, נשבע היסת ונפטר, ש"ך (סקכ"ט).</w:t>
      </w:r>
    </w:p>
  </w:footnote>
  <w:footnote w:id="5036">
    <w:p w14:paraId="55432FDD" w14:textId="77777777" w:rsidR="0013116F" w:rsidRDefault="0013116F" w:rsidP="001D49D4">
      <w:pPr>
        <w:pStyle w:val="a9"/>
      </w:pPr>
      <w:r>
        <w:rPr>
          <w:rStyle w:val="ab"/>
        </w:rPr>
        <w:footnoteRef/>
      </w:r>
      <w:r>
        <w:rPr>
          <w:rtl/>
        </w:rPr>
        <w:t xml:space="preserve"> </w:t>
      </w:r>
      <w:r>
        <w:rPr>
          <w:rFonts w:hint="cs"/>
          <w:u w:val="single"/>
          <w:rtl/>
        </w:rPr>
        <w:t>ונחלקו האחרונים מי נשבע:</w:t>
      </w:r>
      <w:r>
        <w:rPr>
          <w:rFonts w:hint="cs"/>
          <w:rtl/>
        </w:rPr>
        <w:t xml:space="preserve"> </w:t>
      </w:r>
    </w:p>
    <w:p w14:paraId="0D9014B8" w14:textId="77777777" w:rsidR="0013116F" w:rsidRDefault="0013116F" w:rsidP="004B0475">
      <w:pPr>
        <w:pStyle w:val="a9"/>
        <w:numPr>
          <w:ilvl w:val="0"/>
          <w:numId w:val="355"/>
        </w:numPr>
        <w:rPr>
          <w:rtl/>
        </w:rPr>
      </w:pPr>
      <w:r>
        <w:rPr>
          <w:rtl/>
        </w:rPr>
        <w:t xml:space="preserve">סמ"ע </w:t>
      </w:r>
      <w:r>
        <w:rPr>
          <w:sz w:val="14"/>
          <w:szCs w:val="14"/>
          <w:rtl/>
        </w:rPr>
        <w:t>(סקל"ג)</w:t>
      </w:r>
      <w:r>
        <w:rPr>
          <w:rtl/>
        </w:rPr>
        <w:t xml:space="preserve">- הלוה נשבע, ובכך נפטר מהמלוה ומהקונה </w:t>
      </w:r>
      <w:r>
        <w:rPr>
          <w:sz w:val="16"/>
          <w:szCs w:val="16"/>
          <w:rtl/>
        </w:rPr>
        <w:t>(וכתב שכך פירש הב"י כאן ובכס"מ)</w:t>
      </w:r>
      <w:r>
        <w:rPr>
          <w:rtl/>
        </w:rPr>
        <w:t>.</w:t>
      </w:r>
    </w:p>
    <w:p w14:paraId="6B778BBE" w14:textId="77777777" w:rsidR="0013116F" w:rsidRDefault="0013116F" w:rsidP="004B0475">
      <w:pPr>
        <w:pStyle w:val="a9"/>
        <w:numPr>
          <w:ilvl w:val="0"/>
          <w:numId w:val="355"/>
        </w:numPr>
      </w:pPr>
      <w:r>
        <w:rPr>
          <w:rtl/>
        </w:rPr>
        <w:t xml:space="preserve">עיר שושן </w:t>
      </w:r>
      <w:r>
        <w:rPr>
          <w:sz w:val="14"/>
          <w:szCs w:val="14"/>
          <w:rtl/>
        </w:rPr>
        <w:t xml:space="preserve">(סע' יא) </w:t>
      </w:r>
      <w:r>
        <w:rPr>
          <w:rtl/>
        </w:rPr>
        <w:t xml:space="preserve">וש"ך </w:t>
      </w:r>
      <w:r>
        <w:rPr>
          <w:sz w:val="14"/>
          <w:szCs w:val="14"/>
          <w:rtl/>
        </w:rPr>
        <w:t>(סקל"ח)</w:t>
      </w:r>
      <w:r>
        <w:rPr>
          <w:rtl/>
        </w:rPr>
        <w:t xml:space="preserve">- המלוה נשבע </w:t>
      </w:r>
      <w:r>
        <w:rPr>
          <w:sz w:val="16"/>
          <w:szCs w:val="16"/>
          <w:rtl/>
        </w:rPr>
        <w:t>(וכתב שכן דעת הב"י רק שהוסיף הב"י מדעתו שגם שמעון נשבע היסת, וכ"כ הב"ח)</w:t>
      </w:r>
      <w:r>
        <w:rPr>
          <w:rtl/>
        </w:rPr>
        <w:t>.</w:t>
      </w:r>
    </w:p>
  </w:footnote>
  <w:footnote w:id="5037">
    <w:p w14:paraId="6438DB00" w14:textId="77777777" w:rsidR="0013116F" w:rsidRDefault="0013116F" w:rsidP="001D49D4">
      <w:pPr>
        <w:pStyle w:val="a9"/>
        <w:rPr>
          <w:rtl/>
        </w:rPr>
      </w:pPr>
      <w:r>
        <w:rPr>
          <w:rStyle w:val="ab"/>
        </w:rPr>
        <w:footnoteRef/>
      </w:r>
      <w:r>
        <w:rPr>
          <w:rtl/>
        </w:rPr>
        <w:t xml:space="preserve"> מפני שאע"פ שאינו צריך להביא ראיה הני מילי לענין גוף השטר אבל להוציא מתחת ידי המוכר ודאי צריך להביא ראיה, הה"מ. וכתב הב"י דבטעם דין זה דנשבע היסת ונפטר נ"ל דשבועה זו שנשבע שמעון היא כדי לפטור עצמו מלוי דומה דין זה לדין הנזכר בפי"ד (ממלוה הי"ג) בשם הוראת רבותיו שאפילו היה השטר יוצא מתחת ידי אחר וכו' נשבע היסת ונפטר.</w:t>
      </w:r>
    </w:p>
  </w:footnote>
  <w:footnote w:id="5038">
    <w:p w14:paraId="74368D40" w14:textId="77777777" w:rsidR="0013116F" w:rsidRDefault="0013116F" w:rsidP="001D49D4">
      <w:pPr>
        <w:pStyle w:val="a9"/>
      </w:pPr>
      <w:r>
        <w:rPr>
          <w:rStyle w:val="ab"/>
        </w:rPr>
        <w:footnoteRef/>
      </w:r>
      <w:r>
        <w:rPr>
          <w:rtl/>
        </w:rPr>
        <w:t xml:space="preserve"> זה נראה פשוט, וכ"כ ה"ר יהודה אלברצלוני וזה דעת הגאונים, ואם יש ראיה שמכר ולא רצה לישבע אע"פ שלא הודה שנפרע חייב לשלם ללוקח, וכ"כ בעיטור (אות מ מחילה נה:), עוד כתוב שם שאם מת מוכר יורשיו נשבעים שבועת היורשין ונוטל לוקח, ואם לא רצו לישבע משלמין ללוקח, הה"מ.</w:t>
      </w:r>
      <w:r>
        <w:rPr>
          <w:color w:val="E36C0A" w:themeColor="accent6" w:themeShade="BF"/>
          <w:rtl/>
        </w:rPr>
        <w:t xml:space="preserve"> (וכ"פ בשו"ע)</w:t>
      </w:r>
    </w:p>
  </w:footnote>
  <w:footnote w:id="5039">
    <w:p w14:paraId="6BD5D2EC" w14:textId="77777777" w:rsidR="0013116F" w:rsidRDefault="0013116F" w:rsidP="001D49D4">
      <w:pPr>
        <w:pStyle w:val="a9"/>
      </w:pPr>
      <w:r>
        <w:rPr>
          <w:rStyle w:val="ab"/>
        </w:rPr>
        <w:footnoteRef/>
      </w:r>
      <w:r>
        <w:rPr>
          <w:rtl/>
        </w:rPr>
        <w:t xml:space="preserve"> פירוש דין זה הוא אפילו בשיש עדים לראובן מהקניה, שהרי לוי היה יכול למחול החוב, ומגו דאי בעי מצי מחיל כי אמר פרוע הוא נאמן, וכ"כ קצת מפרשים. ויש אומרים דכי אמר 'שטר פרוע' - הרי הוא כמוחלו עכשיו, ואין לך מחילה גדולה מזו... ונ"ל שישלם לוי לראובן כל מה שכתוב בשטר ואפילו כתוב בו אלף ומכרו במנה משלם לו אלף כדין מוחל שכתב הרמב"ם פ"ז מהלכות חובל ומזיק (ה"י), הה"מ. וכתב הדרכ"מ </w:t>
      </w:r>
      <w:r>
        <w:rPr>
          <w:sz w:val="16"/>
          <w:szCs w:val="16"/>
          <w:rtl/>
        </w:rPr>
        <w:t xml:space="preserve">(אות ד*) </w:t>
      </w:r>
      <w:r>
        <w:rPr>
          <w:rtl/>
        </w:rPr>
        <w:t xml:space="preserve">לעיין בסמוך </w:t>
      </w:r>
      <w:r>
        <w:rPr>
          <w:sz w:val="16"/>
          <w:szCs w:val="16"/>
          <w:rtl/>
        </w:rPr>
        <w:t xml:space="preserve">(סל"א-לב) </w:t>
      </w:r>
      <w:r>
        <w:rPr>
          <w:rtl/>
        </w:rPr>
        <w:t>מה שכתב הטור בזה.</w:t>
      </w:r>
    </w:p>
  </w:footnote>
  <w:footnote w:id="5040">
    <w:p w14:paraId="05099F8C" w14:textId="77777777" w:rsidR="0013116F" w:rsidRDefault="0013116F" w:rsidP="001D49D4">
      <w:pPr>
        <w:pStyle w:val="a9"/>
      </w:pPr>
      <w:r>
        <w:rPr>
          <w:rStyle w:val="ab"/>
        </w:rPr>
        <w:footnoteRef/>
      </w:r>
      <w:r>
        <w:rPr>
          <w:rtl/>
        </w:rPr>
        <w:t xml:space="preserve"> </w:t>
      </w:r>
      <w:r>
        <w:rPr>
          <w:rFonts w:hint="cs"/>
          <w:rtl/>
        </w:rPr>
        <w:t>יש גירסאות שכתוב 'הרמב"ן' במקום הרמב"ם, עיין הגהות והערות אות קטו.</w:t>
      </w:r>
    </w:p>
  </w:footnote>
  <w:footnote w:id="5041">
    <w:p w14:paraId="5D3A826B" w14:textId="77777777" w:rsidR="0013116F" w:rsidRDefault="0013116F" w:rsidP="001D49D4">
      <w:pPr>
        <w:pStyle w:val="a9"/>
      </w:pPr>
      <w:r>
        <w:rPr>
          <w:rStyle w:val="ab"/>
        </w:rPr>
        <w:footnoteRef/>
      </w:r>
      <w:r>
        <w:rPr>
          <w:rtl/>
        </w:rPr>
        <w:t xml:space="preserve"> ולא נהירא לי, דזה לא תלי בהרמב"ם והרא"ש, דאע"ג דסבירא להו דא"צ לומר קני לך איהו וכל שעבודא, היינו כשידוע שנתן, אבל מ"מ אינה נאמנת שנתנם לה במתנת שכיב מרע, ש"ך (סק"מ).</w:t>
      </w:r>
    </w:p>
  </w:footnote>
  <w:footnote w:id="5042">
    <w:p w14:paraId="28AA246E" w14:textId="77777777" w:rsidR="0013116F" w:rsidRDefault="0013116F" w:rsidP="001D49D4">
      <w:pPr>
        <w:pStyle w:val="a9"/>
        <w:rPr>
          <w:rtl/>
        </w:rPr>
      </w:pPr>
      <w:r>
        <w:rPr>
          <w:rStyle w:val="ab"/>
        </w:rPr>
        <w:footnoteRef/>
      </w:r>
      <w:r>
        <w:rPr>
          <w:rtl/>
        </w:rPr>
        <w:t xml:space="preserve"> </w:t>
      </w:r>
      <w:r>
        <w:rPr>
          <w:rFonts w:hint="cs"/>
          <w:rtl/>
        </w:rPr>
        <w:t xml:space="preserve">וכתב </w:t>
      </w:r>
      <w:r>
        <w:rPr>
          <w:rtl/>
        </w:rPr>
        <w:t>עוד שכן דעת הרמב"ן (כתובות קעג.) הריטב"א (שם פה. ד"ה ההוא) בעל התרומות (שער נא ח"ח ס"ג) וכ"כ בעל התרומות שם בשם הרנב"מ, וכן נראה דעת הרב בהג"ה.</w:t>
      </w:r>
    </w:p>
  </w:footnote>
  <w:footnote w:id="5043">
    <w:p w14:paraId="22445678" w14:textId="77777777" w:rsidR="0013116F" w:rsidRDefault="0013116F" w:rsidP="001D49D4">
      <w:pPr>
        <w:pStyle w:val="a9"/>
      </w:pPr>
      <w:r>
        <w:rPr>
          <w:rStyle w:val="ab"/>
        </w:rPr>
        <w:footnoteRef/>
      </w:r>
      <w:r>
        <w:rPr>
          <w:rtl/>
        </w:rPr>
        <w:t xml:space="preserve"> הטעם, שכיון שבא להוציא מחבירו עליו הראיה, סמ"ע (סקכ"ט).</w:t>
      </w:r>
    </w:p>
  </w:footnote>
  <w:footnote w:id="5044">
    <w:p w14:paraId="32B61083" w14:textId="77777777" w:rsidR="0013116F" w:rsidRDefault="0013116F" w:rsidP="001D49D4">
      <w:pPr>
        <w:pStyle w:val="a9"/>
        <w:rPr>
          <w:rtl/>
        </w:rPr>
      </w:pPr>
      <w:r>
        <w:rPr>
          <w:rStyle w:val="ab"/>
        </w:rPr>
        <w:footnoteRef/>
      </w:r>
      <w:r>
        <w:rPr>
          <w:rtl/>
        </w:rPr>
        <w:t xml:space="preserve"> אע"פ שלא הודה שפרעו... ומחוייב לשלם כל דמי השטר, ולא סגי כשמחזיר לו הדמים שקיבל... והיינו דוקא כשאומר שמעון ישבע לי </w:t>
      </w:r>
      <w:r>
        <w:rPr>
          <w:sz w:val="16"/>
          <w:szCs w:val="16"/>
          <w:rtl/>
        </w:rPr>
        <w:t>(וכמו שכתבו הרמב"ם (פ"ו ממכירה הי"א ופט"ז ממלוה ה"ז) והמחבר)</w:t>
      </w:r>
      <w:r>
        <w:rPr>
          <w:rtl/>
        </w:rPr>
        <w:t xml:space="preserve">, אבל אם אינו אומר ישבע לי אע"פ שאומר שפרע לו, כיון דאינו מחויב לישבע </w:t>
      </w:r>
      <w:r>
        <w:rPr>
          <w:sz w:val="16"/>
          <w:szCs w:val="16"/>
          <w:rtl/>
        </w:rPr>
        <w:t>(כדלקמן סי' פב סע' ב)</w:t>
      </w:r>
      <w:r>
        <w:rPr>
          <w:rtl/>
        </w:rPr>
        <w:t xml:space="preserve"> גובה ראובן... </w:t>
      </w:r>
      <w:r>
        <w:rPr>
          <w:sz w:val="16"/>
          <w:szCs w:val="16"/>
          <w:rtl/>
        </w:rPr>
        <w:t>(כל זה משמע בהה"מ שם, וכ"כ בסמ"ע סקל"א להדיא</w:t>
      </w:r>
      <w:r>
        <w:rPr>
          <w:rtl/>
        </w:rPr>
        <w:t xml:space="preserve">. </w:t>
      </w:r>
      <w:r>
        <w:rPr>
          <w:sz w:val="16"/>
          <w:szCs w:val="16"/>
          <w:rtl/>
        </w:rPr>
        <w:t>ואע"ג דבהה"מ שם לא כתב שצריך לשלם לו כל דמי השטר רק בהודה שפרעו, מ"מ משמע שם בהה"מ להדיא דה"ה הכא כיון שאינו רוצה לישבע הרי הוא כמודה שפרעו, כיון שבגרמתו נפסד השטר, וכן הוא בשלט"ג בשם ריא"ז שהבאתי לקמן סעיף ל"ב סקק"ט, ועיקר)</w:t>
      </w:r>
      <w:r>
        <w:rPr>
          <w:rtl/>
        </w:rPr>
        <w:t>, ש"ך (סקל"ב-לג).</w:t>
      </w:r>
    </w:p>
  </w:footnote>
  <w:footnote w:id="5045">
    <w:p w14:paraId="0DA4400B" w14:textId="77777777" w:rsidR="0013116F" w:rsidRDefault="0013116F" w:rsidP="001D49D4">
      <w:pPr>
        <w:pStyle w:val="a9"/>
      </w:pPr>
      <w:r>
        <w:rPr>
          <w:rStyle w:val="ab"/>
        </w:rPr>
        <w:footnoteRef/>
      </w:r>
      <w:r>
        <w:rPr>
          <w:rtl/>
        </w:rPr>
        <w:t xml:space="preserve"> לשון 'וכן' שכתב המחבר מגומגם הוא, וה"ל למימר 'וכל שכן אם הודה לוי שפרעו...', ש"ך (סקל"ג).</w:t>
      </w:r>
    </w:p>
  </w:footnote>
  <w:footnote w:id="5046">
    <w:p w14:paraId="7139A04A" w14:textId="77777777" w:rsidR="0013116F" w:rsidRDefault="0013116F" w:rsidP="001D49D4">
      <w:pPr>
        <w:pStyle w:val="a9"/>
      </w:pPr>
      <w:r>
        <w:rPr>
          <w:rStyle w:val="ab"/>
        </w:rPr>
        <w:footnoteRef/>
      </w:r>
      <w:r>
        <w:rPr>
          <w:rtl/>
        </w:rPr>
        <w:t xml:space="preserve"> ואם אין לו לשלם אזי יפסיד הלוקח, וכן הדין בסעיף ט"ו במה שכתב בהג"ה 'והמוכר צריך לשלם', וכ"כ ב"י ודרכ"מ (סע' טו) בהדיא. ואם אמר המוכר טעיתי בחשבון, יש בו פלוגתא אם נאמן, סמ"ע (סק"ל).</w:t>
      </w:r>
    </w:p>
  </w:footnote>
  <w:footnote w:id="5047">
    <w:p w14:paraId="4AC71CDC" w14:textId="77777777" w:rsidR="0013116F" w:rsidRDefault="0013116F" w:rsidP="001D49D4">
      <w:pPr>
        <w:pStyle w:val="a9"/>
      </w:pPr>
      <w:r>
        <w:rPr>
          <w:rStyle w:val="ab"/>
        </w:rPr>
        <w:footnoteRef/>
      </w:r>
      <w:r>
        <w:rPr>
          <w:rtl/>
        </w:rPr>
        <w:t xml:space="preserve"> היינו דוקא כשאומר להם הלוה אשתבעו לי, וכמ"ש לקמן סימן ק"ח סעיף ה', ע"ש [ובש"ך סקי"א], ש"ך (סקל"ג).</w:t>
      </w:r>
    </w:p>
  </w:footnote>
  <w:footnote w:id="5048">
    <w:p w14:paraId="53AB0601" w14:textId="77777777" w:rsidR="0013116F" w:rsidRDefault="0013116F" w:rsidP="001D49D4">
      <w:pPr>
        <w:pStyle w:val="a9"/>
      </w:pPr>
      <w:r>
        <w:rPr>
          <w:rStyle w:val="ab"/>
        </w:rPr>
        <w:footnoteRef/>
      </w:r>
      <w:r>
        <w:rPr>
          <w:rtl/>
        </w:rPr>
        <w:t xml:space="preserve"> וכתב הש"ך (סקל"ז) דגם כאן צריכים לשלם כל דמי השטר, דמסתמא כל מה שאביהם היה חייב גם הם חייבין, דאין טעם לחלק בניהם, ודלא כמשמעות הסמ"ע בסע' טו (סקמ"א).</w:t>
      </w:r>
    </w:p>
  </w:footnote>
  <w:footnote w:id="5049">
    <w:p w14:paraId="63122549" w14:textId="77777777" w:rsidR="0013116F" w:rsidRDefault="0013116F" w:rsidP="001D49D4">
      <w:pPr>
        <w:pStyle w:val="a9"/>
      </w:pPr>
      <w:r>
        <w:rPr>
          <w:rStyle w:val="ab"/>
        </w:rPr>
        <w:footnoteRef/>
      </w:r>
      <w:r>
        <w:rPr>
          <w:rtl/>
        </w:rPr>
        <w:t xml:space="preserve"> וצריך להחזיר לו גוף הנייר, כ"כ בעל התרומות </w:t>
      </w:r>
      <w:r>
        <w:rPr>
          <w:sz w:val="16"/>
          <w:szCs w:val="16"/>
          <w:rtl/>
        </w:rPr>
        <w:t xml:space="preserve">(שער נא ח"ח ס"ג) </w:t>
      </w:r>
      <w:r>
        <w:rPr>
          <w:rtl/>
        </w:rPr>
        <w:t xml:space="preserve">בשם ה"ר נתן ב"ר מאיר ר"ן </w:t>
      </w:r>
      <w:r>
        <w:rPr>
          <w:sz w:val="16"/>
          <w:szCs w:val="16"/>
          <w:rtl/>
        </w:rPr>
        <w:t>(פרק הכותב כתובות מג: מדפה"ר)</w:t>
      </w:r>
      <w:r>
        <w:rPr>
          <w:rtl/>
        </w:rPr>
        <w:t xml:space="preserve"> עיר שושן </w:t>
      </w:r>
      <w:r>
        <w:rPr>
          <w:sz w:val="16"/>
          <w:szCs w:val="16"/>
          <w:rtl/>
        </w:rPr>
        <w:t xml:space="preserve">(סע' יא) </w:t>
      </w:r>
      <w:r>
        <w:rPr>
          <w:rtl/>
        </w:rPr>
        <w:t xml:space="preserve">וש"ך </w:t>
      </w:r>
      <w:r>
        <w:rPr>
          <w:sz w:val="16"/>
          <w:szCs w:val="16"/>
          <w:rtl/>
        </w:rPr>
        <w:t>(סקל"ט, ובסי' סד סק"ד)</w:t>
      </w:r>
      <w:r>
        <w:rPr>
          <w:rtl/>
        </w:rPr>
        <w:t>.</w:t>
      </w:r>
    </w:p>
  </w:footnote>
  <w:footnote w:id="5050">
    <w:p w14:paraId="4A2D41F4" w14:textId="77777777" w:rsidR="0013116F" w:rsidRDefault="0013116F" w:rsidP="001D49D4">
      <w:pPr>
        <w:pStyle w:val="a9"/>
        <w:rPr>
          <w:rtl/>
        </w:rPr>
      </w:pPr>
      <w:r>
        <w:rPr>
          <w:rStyle w:val="ab"/>
        </w:rPr>
        <w:footnoteRef/>
      </w:r>
      <w:r>
        <w:rPr>
          <w:rtl/>
        </w:rPr>
        <w:t xml:space="preserve"> הטעם, דאיכא ריעותא, דאם איתא דהקנהו לו בכתיבה ומסירה ה"ל שטר הקניה בידו, ואינו נאמן לומר הקנהו לי אגב קרקע או במעמד שלשתן דמהני ג"כ וכמו שכתבו הטור והמחבר בסמוך סעיף י"ט, כיון דדרך להקנות השטרות טפי בכתיבה ומסירה מבקנין אגב קרקע או במעמד שלשתן, סמ"ע (סקל"ד). </w:t>
      </w:r>
    </w:p>
  </w:footnote>
  <w:footnote w:id="5051">
    <w:p w14:paraId="4547FEB7" w14:textId="77777777" w:rsidR="0013116F" w:rsidRDefault="0013116F" w:rsidP="001D49D4">
      <w:pPr>
        <w:pStyle w:val="a9"/>
        <w:rPr>
          <w:rtl/>
        </w:rPr>
      </w:pPr>
      <w:r>
        <w:rPr>
          <w:rStyle w:val="ab"/>
        </w:rPr>
        <w:footnoteRef/>
      </w:r>
      <w:r>
        <w:rPr>
          <w:rtl/>
        </w:rPr>
        <w:t xml:space="preserve"> נ"ל שצ"ל ואם היה, וכן הוא בעיר שושן [סעיף י"א], ש"ך (סקמ"א).</w:t>
      </w:r>
    </w:p>
  </w:footnote>
  <w:footnote w:id="5052">
    <w:p w14:paraId="76037A7C" w14:textId="77777777" w:rsidR="0013116F" w:rsidRDefault="0013116F" w:rsidP="001D49D4">
      <w:pPr>
        <w:pStyle w:val="a9"/>
        <w:rPr>
          <w:rtl/>
        </w:rPr>
      </w:pPr>
      <w:r>
        <w:rPr>
          <w:rStyle w:val="ab"/>
        </w:rPr>
        <w:footnoteRef/>
      </w:r>
      <w:r>
        <w:rPr>
          <w:rtl/>
        </w:rPr>
        <w:t xml:space="preserve"> הטעם, דלא עדיף השליש מהלוקח, ואילו היה ביד הלוקח לא היה נאמן בלא כתיבה ומסירה, סמ"ע (סקל"ה).</w:t>
      </w:r>
    </w:p>
  </w:footnote>
  <w:footnote w:id="5053">
    <w:p w14:paraId="7E7ED63D" w14:textId="77777777" w:rsidR="0013116F" w:rsidRDefault="0013116F" w:rsidP="001D49D4">
      <w:pPr>
        <w:pStyle w:val="a9"/>
      </w:pPr>
      <w:r>
        <w:rPr>
          <w:rStyle w:val="ab"/>
        </w:rPr>
        <w:footnoteRef/>
      </w:r>
      <w:r>
        <w:rPr>
          <w:rtl/>
        </w:rPr>
        <w:t xml:space="preserve"> יש לדקדק אמאי לא ה"ל הלוה מחויב שבועה להכחיש השליש שהוא עד ואינו יכול לישבע שהרי אינו יודע ומשלם, ולהפוסקים דבדבר דלא ה"ל לידע לא אמרינן מתוך שאינו יכול לישבע משלם, י"ל דהכא נמי לא ה"ל לידע שמכרו, אבל לאינך קשה. ונראה דמיירי שהשליש הוא קרוב או פסול, וכן בנמוק"י (ב"ב פ.-פ: מדפה"ר) שממנו מקור דין זה איתא, כדאמרינן בסנהדרין כו', ובסנהדרין שם בסוף פרק זה בורר [לא.] היה השליש אשה, ע"ש, ש"ך (סקמ"ב).</w:t>
      </w:r>
    </w:p>
  </w:footnote>
  <w:footnote w:id="5054">
    <w:p w14:paraId="62EDD147" w14:textId="77777777" w:rsidR="0013116F" w:rsidRDefault="0013116F" w:rsidP="001D49D4">
      <w:pPr>
        <w:pStyle w:val="a9"/>
        <w:rPr>
          <w:rtl/>
        </w:rPr>
      </w:pPr>
      <w:r>
        <w:rPr>
          <w:rStyle w:val="ab"/>
        </w:rPr>
        <w:footnoteRef/>
      </w:r>
      <w:r>
        <w:rPr>
          <w:rtl/>
        </w:rPr>
        <w:t xml:space="preserve"> </w:t>
      </w:r>
      <w:r>
        <w:rPr>
          <w:rFonts w:hint="cs"/>
          <w:rtl/>
        </w:rPr>
        <w:t>סימן – פוטרת הונם.</w:t>
      </w:r>
    </w:p>
  </w:footnote>
  <w:footnote w:id="5055">
    <w:p w14:paraId="58827904" w14:textId="77777777" w:rsidR="0013116F" w:rsidRDefault="0013116F" w:rsidP="001D49D4">
      <w:pPr>
        <w:pStyle w:val="a9"/>
        <w:rPr>
          <w:rtl/>
        </w:rPr>
      </w:pPr>
      <w:r>
        <w:rPr>
          <w:rStyle w:val="ab"/>
        </w:rPr>
        <w:footnoteRef/>
      </w:r>
      <w:r>
        <w:rPr>
          <w:rtl/>
        </w:rPr>
        <w:t xml:space="preserve"> </w:t>
      </w:r>
      <w:r>
        <w:rPr>
          <w:rFonts w:hint="cs"/>
          <w:rtl/>
        </w:rPr>
        <w:t xml:space="preserve">עד כאן לשון בעל התרומות בשם איכא מאן דאמר, וכן הסכים בעל התרומות בסוף דבריו, וז"ל- </w:t>
      </w:r>
      <w:r>
        <w:rPr>
          <w:rtl/>
        </w:rPr>
        <w:t xml:space="preserve">ומסתברא דכיון שהכניסה לו בתורת נדוניא קנה בעלה ואפילו מלוה על פה ואין צריך לומר מלוה בשטר דהוו להו דברים הנקנין באמירה מדרב גידל </w:t>
      </w:r>
      <w:r>
        <w:rPr>
          <w:sz w:val="16"/>
          <w:szCs w:val="16"/>
          <w:rtl/>
        </w:rPr>
        <w:t>(קדושין ט:)</w:t>
      </w:r>
      <w:r>
        <w:rPr>
          <w:rtl/>
        </w:rPr>
        <w:t>.</w:t>
      </w:r>
    </w:p>
  </w:footnote>
  <w:footnote w:id="5056">
    <w:p w14:paraId="206981B2" w14:textId="77777777" w:rsidR="0013116F" w:rsidRDefault="0013116F" w:rsidP="001D49D4">
      <w:pPr>
        <w:pStyle w:val="a9"/>
      </w:pPr>
      <w:r>
        <w:rPr>
          <w:rStyle w:val="ab"/>
        </w:rPr>
        <w:footnoteRef/>
      </w:r>
      <w:r>
        <w:rPr>
          <w:rtl/>
        </w:rPr>
        <w:t xml:space="preserve"> </w:t>
      </w:r>
      <w:r>
        <w:rPr>
          <w:rFonts w:hint="cs"/>
          <w:rtl/>
        </w:rPr>
        <w:t>סימן – סיבב קלף טוב.</w:t>
      </w:r>
    </w:p>
  </w:footnote>
  <w:footnote w:id="5057">
    <w:p w14:paraId="0AA14B14" w14:textId="77777777" w:rsidR="0013116F" w:rsidRDefault="0013116F" w:rsidP="001D49D4">
      <w:pPr>
        <w:pStyle w:val="a9"/>
      </w:pPr>
      <w:r>
        <w:rPr>
          <w:rStyle w:val="ab"/>
        </w:rPr>
        <w:footnoteRef/>
      </w:r>
      <w:r>
        <w:rPr>
          <w:rtl/>
        </w:rPr>
        <w:t xml:space="preserve"> אע"פ שלא עשה קנין אחר להמתנה אלא בשטר זה כתב לו שדי נתונה לך ומסרו לידו, אפילו הכי לא חזרה המתנה כשחוזר ומוסר השטר בידו עד שיכתוב לו קנה לך איהו וכל שעבודא. אבל כשיכתוב המקבל להנותן כתב מחדש שדי נתונה לך, ודאי מהני אותו כתב לחוד, דאז קנהו באותו כתב כמו שקנהו בכתב זה בראשונה מהנותן, סמ"ע (סקל"ז).</w:t>
      </w:r>
    </w:p>
  </w:footnote>
  <w:footnote w:id="5058">
    <w:p w14:paraId="68CA07B1" w14:textId="77777777" w:rsidR="0013116F" w:rsidRDefault="0013116F" w:rsidP="001D49D4">
      <w:pPr>
        <w:pStyle w:val="a9"/>
      </w:pPr>
      <w:r>
        <w:rPr>
          <w:rStyle w:val="ab"/>
        </w:rPr>
        <w:footnoteRef/>
      </w:r>
      <w:r>
        <w:rPr>
          <w:rtl/>
        </w:rPr>
        <w:t xml:space="preserve"> ולא דמי לשט"ח דהתם לא שייך ביה קנין אלא ממון שהלוהו נתחייב לו ע"פ, אלא שהשטר נכתב לגבות בו ממשעבדי, ובמסירת שט"ח קנה בו שיעבוד הנכסים וגם החוב כתקנת חכמים, וכיון שקנה החוב קונה גם כן שיעבוד הנכסים הכתובים בשטר, אבל בקניית שדה לא אלים כח שני לקנות בשטר שגם לוקח ראשון לא קנה בו, טור בשם הרא"ש (שם).</w:t>
      </w:r>
    </w:p>
  </w:footnote>
  <w:footnote w:id="5059">
    <w:p w14:paraId="299611CE" w14:textId="77777777" w:rsidR="0013116F" w:rsidRDefault="0013116F" w:rsidP="001D49D4">
      <w:pPr>
        <w:pStyle w:val="a9"/>
        <w:rPr>
          <w:rtl/>
        </w:rPr>
      </w:pPr>
      <w:r>
        <w:rPr>
          <w:rStyle w:val="ab"/>
        </w:rPr>
        <w:footnoteRef/>
      </w:r>
      <w:r>
        <w:rPr>
          <w:rtl/>
        </w:rPr>
        <w:t xml:space="preserve"> </w:t>
      </w:r>
      <w:r>
        <w:rPr>
          <w:rFonts w:hint="cs"/>
          <w:rtl/>
        </w:rPr>
        <w:t>היינו שכתוב בו שנעשה קניין, אבל אין הכוונה שכתוב בו 'קני לך...', וכמו שמבאר והולך.</w:t>
      </w:r>
    </w:p>
  </w:footnote>
  <w:footnote w:id="5060">
    <w:p w14:paraId="7D35D304" w14:textId="77777777" w:rsidR="0013116F" w:rsidRDefault="0013116F" w:rsidP="001D49D4">
      <w:pPr>
        <w:pStyle w:val="a9"/>
        <w:rPr>
          <w:rtl/>
        </w:rPr>
      </w:pPr>
      <w:r>
        <w:rPr>
          <w:rStyle w:val="ab"/>
        </w:rPr>
        <w:footnoteRef/>
      </w:r>
      <w:r>
        <w:rPr>
          <w:rtl/>
        </w:rPr>
        <w:t xml:space="preserve"> כי היכי דשטר חוב נקנה במסירה אע"פ שעיקר החיוב לא היה ע"י השטר, ה"ר ישעיה</w:t>
      </w:r>
      <w:r>
        <w:rPr>
          <w:sz w:val="16"/>
          <w:szCs w:val="16"/>
          <w:rtl/>
        </w:rPr>
        <w:t xml:space="preserve"> (כ"כ הטור בשמו)</w:t>
      </w:r>
      <w:r>
        <w:rPr>
          <w:rtl/>
        </w:rPr>
        <w:t>.</w:t>
      </w:r>
    </w:p>
  </w:footnote>
  <w:footnote w:id="5061">
    <w:p w14:paraId="14ED2FB9" w14:textId="77777777" w:rsidR="0013116F" w:rsidRDefault="0013116F" w:rsidP="001D49D4">
      <w:pPr>
        <w:pStyle w:val="a9"/>
        <w:rPr>
          <w:rtl/>
        </w:rPr>
      </w:pPr>
      <w:r>
        <w:rPr>
          <w:rStyle w:val="ab"/>
        </w:rPr>
        <w:footnoteRef/>
      </w:r>
      <w:r>
        <w:rPr>
          <w:rtl/>
        </w:rPr>
        <w:t xml:space="preserve"> או נתונה לך. וה"ה בשטרי דידן שכתוב בהן מכרתי ונתתי</w:t>
      </w:r>
      <w:r>
        <w:rPr>
          <w:sz w:val="16"/>
          <w:szCs w:val="16"/>
          <w:rtl/>
        </w:rPr>
        <w:t xml:space="preserve"> (סי' קצא ס"ג)</w:t>
      </w:r>
      <w:r>
        <w:rPr>
          <w:rtl/>
        </w:rPr>
        <w:t xml:space="preserve"> דשטרי קנין הם וא"כ נקנין בכתיבה ומסירה, ש"ך </w:t>
      </w:r>
      <w:r>
        <w:rPr>
          <w:sz w:val="16"/>
          <w:szCs w:val="16"/>
          <w:rtl/>
        </w:rPr>
        <w:t>(סקמ"ה)</w:t>
      </w:r>
      <w:r>
        <w:rPr>
          <w:rtl/>
        </w:rPr>
        <w:t>.</w:t>
      </w:r>
    </w:p>
  </w:footnote>
  <w:footnote w:id="5062">
    <w:p w14:paraId="6A4C9C01" w14:textId="77777777" w:rsidR="0013116F" w:rsidRDefault="0013116F" w:rsidP="001D49D4">
      <w:pPr>
        <w:pStyle w:val="a9"/>
      </w:pPr>
      <w:r>
        <w:rPr>
          <w:rStyle w:val="ab"/>
        </w:rPr>
        <w:footnoteRef/>
      </w:r>
      <w:r>
        <w:rPr>
          <w:rtl/>
        </w:rPr>
        <w:t xml:space="preserve"> ומשמע דכל שכן שטר חיוב שמתחייב לו עתה בשטר זה ליתן לו מנה כדלעיל סי' מ</w:t>
      </w:r>
      <w:r>
        <w:rPr>
          <w:sz w:val="16"/>
          <w:szCs w:val="16"/>
          <w:rtl/>
        </w:rPr>
        <w:t xml:space="preserve"> (סע' א)</w:t>
      </w:r>
      <w:r>
        <w:rPr>
          <w:rtl/>
        </w:rPr>
        <w:t>, דנקנה בכתיבה ומסירה, ש"ך</w:t>
      </w:r>
      <w:r>
        <w:rPr>
          <w:sz w:val="16"/>
          <w:szCs w:val="16"/>
          <w:rtl/>
        </w:rPr>
        <w:t xml:space="preserve"> (סקמ"ו)</w:t>
      </w:r>
      <w:r>
        <w:rPr>
          <w:rtl/>
        </w:rPr>
        <w:t>.</w:t>
      </w:r>
    </w:p>
  </w:footnote>
  <w:footnote w:id="5063">
    <w:p w14:paraId="1809BD5D" w14:textId="77777777" w:rsidR="0013116F" w:rsidRDefault="0013116F" w:rsidP="001D49D4">
      <w:pPr>
        <w:pStyle w:val="a9"/>
      </w:pPr>
      <w:r>
        <w:rPr>
          <w:rStyle w:val="ab"/>
        </w:rPr>
        <w:footnoteRef/>
      </w:r>
      <w:r>
        <w:rPr>
          <w:rtl/>
        </w:rPr>
        <w:t xml:space="preserve"> </w:t>
      </w:r>
      <w:r>
        <w:rPr>
          <w:color w:val="000000" w:themeColor="text1"/>
          <w:rtl/>
        </w:rPr>
        <w:t xml:space="preserve">ומיהו אין לומר בזה 'כבר נתחייב המוכר שבועה כשמת הלוה' </w:t>
      </w:r>
      <w:r>
        <w:rPr>
          <w:color w:val="000000" w:themeColor="text1"/>
          <w:sz w:val="16"/>
          <w:szCs w:val="16"/>
          <w:rtl/>
        </w:rPr>
        <w:t>{וא"כ לא יגבה זה כיון דליתיה למוכר}</w:t>
      </w:r>
      <w:r>
        <w:rPr>
          <w:color w:val="000000" w:themeColor="text1"/>
          <w:rtl/>
        </w:rPr>
        <w:t>, דכיון שמכרו אין עליו עיקר חיוב אלא שמשביעין אותו מפני שהוא נאמן לומר פרוע במיגו שיכול למחול, רא"ש (שם). וכ"כ הר"ן שם (לב.).</w:t>
      </w:r>
    </w:p>
  </w:footnote>
  <w:footnote w:id="5064">
    <w:p w14:paraId="48B25AF2" w14:textId="77777777" w:rsidR="0013116F" w:rsidRDefault="0013116F" w:rsidP="001D49D4">
      <w:pPr>
        <w:pStyle w:val="a9"/>
      </w:pPr>
      <w:r>
        <w:rPr>
          <w:rStyle w:val="ab"/>
        </w:rPr>
        <w:footnoteRef/>
      </w:r>
      <w:r>
        <w:rPr>
          <w:rtl/>
        </w:rPr>
        <w:t xml:space="preserve"> כלומר אם אח"כ מת מלוה, משום דכבר נתחייב מלוה שבועה ליורשי לוה ואין אדם מוריש שבועה לבניו או לבאי כחו, ב"י</w:t>
      </w:r>
      <w:r>
        <w:rPr>
          <w:sz w:val="14"/>
          <w:szCs w:val="14"/>
          <w:rtl/>
        </w:rPr>
        <w:t xml:space="preserve"> </w:t>
      </w:r>
      <w:r>
        <w:rPr>
          <w:sz w:val="16"/>
          <w:szCs w:val="16"/>
          <w:rtl/>
        </w:rPr>
        <w:t>(בבדה"ב)</w:t>
      </w:r>
      <w:r>
        <w:rPr>
          <w:rtl/>
        </w:rPr>
        <w:t>. אבל אם המוכר חי - נשבע המוכר והלוקח גובה בשבועה אע"פ שלקחו אחר שמת הלוה, ש"ך (סקנ"ה).</w:t>
      </w:r>
    </w:p>
  </w:footnote>
  <w:footnote w:id="5065">
    <w:p w14:paraId="7D57DEA9" w14:textId="77777777" w:rsidR="0013116F" w:rsidRDefault="0013116F" w:rsidP="001D49D4">
      <w:pPr>
        <w:pStyle w:val="a9"/>
      </w:pPr>
      <w:r>
        <w:rPr>
          <w:rStyle w:val="ab"/>
        </w:rPr>
        <w:footnoteRef/>
      </w:r>
      <w:r>
        <w:rPr>
          <w:rtl/>
        </w:rPr>
        <w:t xml:space="preserve"> הטור הוציא דבריו אלו מדברי הרא"ש </w:t>
      </w:r>
      <w:r>
        <w:rPr>
          <w:sz w:val="16"/>
          <w:szCs w:val="16"/>
          <w:rtl/>
        </w:rPr>
        <w:t>(פרק הכותב סי' יח)</w:t>
      </w:r>
      <w:r>
        <w:rPr>
          <w:rtl/>
        </w:rPr>
        <w:t xml:space="preserve">, וז"ל הרא"ש- כתב לה 'נדר ושבועה אין לי עליך' - אינו יכול להשביעה אבל יורשיו משביעים אותה ואת יורשיה ואת הבאים ברשותה, אלו הם הבאים ברשותה כל שמכרה להם או נתנה להם במתנה, פירש רש"י </w:t>
      </w:r>
      <w:r>
        <w:rPr>
          <w:sz w:val="16"/>
          <w:szCs w:val="16"/>
          <w:rtl/>
        </w:rPr>
        <w:t xml:space="preserve">(פו: ד"ה ואת הבאים) </w:t>
      </w:r>
      <w:r>
        <w:rPr>
          <w:rtl/>
        </w:rPr>
        <w:t xml:space="preserve">שאם מכרה כתובתה ומתה נשבעים הלקוחות שאינן יודעים שהיא נתפרעה מכתובתה, ומשמע שאם היא חיה שאין הלקוחות גובין עד שתשבע היא בעצמה, ואם אינה רוצה לישבע יפסידו הלקוחות, וכן מסתבר עכ"ל. ולמד משם הטור למוכר שטר חוב. וכתב הב"י- ומ"מ קשה לי דלמה יפסיד הלוקח מעותיו, יכופו ב"ד למוכר שישבע או שיחזיר לו מעותיו. וי"ל דאין הכי נמי, ומאי יפסיד דקאמר - מלגבות מהלוה, ואם אין למוכר נכסים נמצא שהוא מפסיד </w:t>
      </w:r>
      <w:r>
        <w:rPr>
          <w:color w:val="00B0F0"/>
          <w:sz w:val="16"/>
          <w:szCs w:val="16"/>
          <w:rtl/>
        </w:rPr>
        <w:t>(וכ"פ הרמ"א)</w:t>
      </w:r>
      <w:r>
        <w:rPr>
          <w:rtl/>
        </w:rPr>
        <w:t xml:space="preserve">. ודין זה נלמד ג"כ מדברי הרמב"ם שהביא רבינו לעיל בסימן זה </w:t>
      </w:r>
      <w:r>
        <w:rPr>
          <w:sz w:val="16"/>
          <w:szCs w:val="16"/>
          <w:rtl/>
        </w:rPr>
        <w:t>(סי"ב)</w:t>
      </w:r>
      <w:r>
        <w:rPr>
          <w:rtl/>
        </w:rPr>
        <w:t>.</w:t>
      </w:r>
    </w:p>
  </w:footnote>
  <w:footnote w:id="5066">
    <w:p w14:paraId="2F05F70D" w14:textId="77777777" w:rsidR="0013116F" w:rsidRDefault="0013116F" w:rsidP="001D49D4">
      <w:pPr>
        <w:pStyle w:val="a9"/>
      </w:pPr>
      <w:r>
        <w:rPr>
          <w:rStyle w:val="ab"/>
        </w:rPr>
        <w:footnoteRef/>
      </w:r>
      <w:r>
        <w:rPr>
          <w:rtl/>
        </w:rPr>
        <w:t xml:space="preserve"> דבזה נאמן, דכתב רי"ו </w:t>
      </w:r>
      <w:r>
        <w:rPr>
          <w:sz w:val="16"/>
          <w:szCs w:val="16"/>
          <w:rtl/>
        </w:rPr>
        <w:t xml:space="preserve">(ני"ד מה ע"ד) </w:t>
      </w:r>
      <w:r>
        <w:rPr>
          <w:rtl/>
        </w:rPr>
        <w:t xml:space="preserve">דיכול המוכר לומר אמנה הוא או פרוע מגו דאי בעי מחיל ליה, ויש מי שכתב שאפילו המלוה חייב לאחרים יכול למחול, בין השטר בידו בין מכרו, וכן נראה עיקר, וכתב הראב"ד והיכא שהגבו ב"ד ללוי שטר חוב של ראובן שהיה לו על שמעון מדינא כרבי נתן דאין יכול למוחלו ראובן, דדוקא מוכר יכול למוחלו משום דמכירת שטרות דרבנן אבל שעבודא דאורייתא הילכך במקום שחב לאחרים אינו יכול למחול, וכ"כ הרשב"א </w:t>
      </w:r>
      <w:r>
        <w:rPr>
          <w:sz w:val="16"/>
          <w:szCs w:val="16"/>
          <w:rtl/>
        </w:rPr>
        <w:t xml:space="preserve">(במיוחסות סי' פא) </w:t>
      </w:r>
      <w:r>
        <w:rPr>
          <w:rtl/>
        </w:rPr>
        <w:t xml:space="preserve">עכ"ל. וגם הר"ן כתב בעובדא דהנהו גינאי </w:t>
      </w:r>
      <w:r>
        <w:rPr>
          <w:sz w:val="16"/>
          <w:szCs w:val="16"/>
          <w:rtl/>
        </w:rPr>
        <w:t xml:space="preserve">(גיטין ו. ד"ה הני) </w:t>
      </w:r>
      <w:r>
        <w:rPr>
          <w:rtl/>
        </w:rPr>
        <w:t>דכל היכא שיכול למחול מהימן אפילו חב לאחרים והכי נקיטינן, ב"י.</w:t>
      </w:r>
    </w:p>
  </w:footnote>
  <w:footnote w:id="5067">
    <w:p w14:paraId="12E378BB" w14:textId="77777777" w:rsidR="0013116F" w:rsidRDefault="0013116F" w:rsidP="001D49D4">
      <w:pPr>
        <w:pStyle w:val="a9"/>
      </w:pPr>
      <w:r>
        <w:rPr>
          <w:rStyle w:val="ab"/>
        </w:rPr>
        <w:footnoteRef/>
      </w:r>
      <w:r>
        <w:rPr>
          <w:rtl/>
        </w:rPr>
        <w:t xml:space="preserve"> וגם הדרכ"מ </w:t>
      </w:r>
      <w:r>
        <w:rPr>
          <w:sz w:val="16"/>
          <w:szCs w:val="16"/>
          <w:rtl/>
        </w:rPr>
        <w:t xml:space="preserve">(סע' טו) </w:t>
      </w:r>
      <w:r>
        <w:rPr>
          <w:rtl/>
        </w:rPr>
        <w:t xml:space="preserve">והסמ"ע </w:t>
      </w:r>
      <w:r>
        <w:rPr>
          <w:sz w:val="16"/>
          <w:szCs w:val="16"/>
          <w:rtl/>
        </w:rPr>
        <w:t xml:space="preserve">(סקל"ב) </w:t>
      </w:r>
      <w:r>
        <w:rPr>
          <w:rtl/>
        </w:rPr>
        <w:t xml:space="preserve">מחלקים בין פרוע ובין עיינתי בחשבוני, כמש"כ הב"י. אך הש"ך </w:t>
      </w:r>
      <w:r>
        <w:rPr>
          <w:sz w:val="16"/>
          <w:szCs w:val="16"/>
          <w:rtl/>
        </w:rPr>
        <w:t xml:space="preserve">(סקנ"ב) </w:t>
      </w:r>
      <w:r>
        <w:rPr>
          <w:rtl/>
        </w:rPr>
        <w:t xml:space="preserve">כתב דזה אינו, אלא כי היכי דיכול לומר פרוע במיגו שיוכל למחול, ה"ה שנאמן לומר עיינתי בחושבני וטעיתי </w:t>
      </w:r>
      <w:r>
        <w:rPr>
          <w:sz w:val="16"/>
          <w:szCs w:val="16"/>
          <w:rtl/>
        </w:rPr>
        <w:t xml:space="preserve">(ולא דמי לההוא עובדא דהנהו גינאי דספ"ק דגיטין, דהתם הודה שהוא חייב וחזקה אין אדם מודה אלא אחרי שמדקדק היטב, וכמו שכתבו התוספות והרא"ש שם [תוס' ד"ה ולא פש, וברא"ש סי' יז], אבל הכא הרי לא הודה על עצמו בכלום. וכתב עוד הש"ך דכ"כ הרי"ף </w:t>
      </w:r>
      <w:r>
        <w:rPr>
          <w:sz w:val="14"/>
          <w:szCs w:val="14"/>
          <w:rtl/>
        </w:rPr>
        <w:t>[כתובות מד: מדפה"ר]</w:t>
      </w:r>
      <w:r>
        <w:rPr>
          <w:sz w:val="16"/>
          <w:szCs w:val="16"/>
          <w:rtl/>
        </w:rPr>
        <w:t xml:space="preserve"> והר"ן </w:t>
      </w:r>
      <w:r>
        <w:rPr>
          <w:sz w:val="14"/>
          <w:szCs w:val="14"/>
          <w:rtl/>
        </w:rPr>
        <w:t>[שם פרק הכותב מד.]</w:t>
      </w:r>
      <w:r>
        <w:rPr>
          <w:sz w:val="16"/>
          <w:szCs w:val="16"/>
          <w:rtl/>
        </w:rPr>
        <w:t xml:space="preserve">. וכתב עוד הש"ך דכיון שכן צ"ל דבעל התרומות מיירי בענין דלית ליה מיגו שיכול למחול, כגון שמכרו לחבירו במעמד שלשתן וכה"ג, ובאמת בכה"ג גם פרוע אינו יכול לטעון. ועוד שבעל התרומות עצמו מסיק בשער כ"ח </w:t>
      </w:r>
      <w:r>
        <w:rPr>
          <w:sz w:val="14"/>
          <w:szCs w:val="14"/>
          <w:rtl/>
        </w:rPr>
        <w:t xml:space="preserve">[ח"ה ס"ב] </w:t>
      </w:r>
      <w:r>
        <w:rPr>
          <w:sz w:val="16"/>
          <w:szCs w:val="16"/>
          <w:rtl/>
        </w:rPr>
        <w:t xml:space="preserve">בשם הרמב"ן בספר הזכות </w:t>
      </w:r>
      <w:r>
        <w:rPr>
          <w:sz w:val="14"/>
          <w:szCs w:val="14"/>
          <w:rtl/>
        </w:rPr>
        <w:t xml:space="preserve">[גיטין ו. מדפה"ר] </w:t>
      </w:r>
      <w:r>
        <w:rPr>
          <w:sz w:val="16"/>
          <w:szCs w:val="16"/>
          <w:rtl/>
        </w:rPr>
        <w:t>דגם הרי"ף ס"ל בעובדא דהנך גינאי דיכול לטעון עיינתי בחשבוני וטעיתי במיגו דפרעתי, ולא בא הרי"ף אלא לומר שמצד הטענה עצמה אינו נאמן לומר טעיתי, וכאן בשער נ"א כתב לדעת הרי"ף דבעינא ידיע מילתא בסהדי... אלא ודאי מה שכתב הבעל התרומות כאן בשער נ"א לא בא אלא לומר שטענת טעיתי בעצמה טענה גרועה היא, ולא מהימן אלא בסהדי היכא דלית ליה מיגו. אבל דברי הב"י והד"מ וסמ"ע שנמשכו אחריו א"א לישב כן, שהרי מחלקין בין פרוע לעיינתי בחשבוני, הרי דמיירי להדיא דאית ליה מיגו, ואפ"ה כתב דאינו נאמן לומר טעיתי, וגם כתב ע"ז וכ"כ בספר התרומות שער נ"א, והא ודאי ליתא... וגם לפי מה שכתבתי לעיל סקל"ה דכל דבר המבטל את השטר דינו כפרוע, פשיטא דהכא בלא"ה ליתא להאי דינא שכ' ב"י ד"מ וסמ"ע)</w:t>
      </w:r>
      <w:r>
        <w:rPr>
          <w:rtl/>
        </w:rPr>
        <w:t>.</w:t>
      </w:r>
    </w:p>
  </w:footnote>
  <w:footnote w:id="5068">
    <w:p w14:paraId="3B9B4A97" w14:textId="77777777" w:rsidR="0013116F" w:rsidRDefault="0013116F" w:rsidP="001D49D4">
      <w:pPr>
        <w:pStyle w:val="a9"/>
        <w:rPr>
          <w:rtl/>
        </w:rPr>
      </w:pPr>
      <w:r>
        <w:rPr>
          <w:rStyle w:val="ab"/>
        </w:rPr>
        <w:footnoteRef/>
      </w:r>
      <w:r>
        <w:rPr>
          <w:rtl/>
        </w:rPr>
        <w:t xml:space="preserve"> דאין נפרעים מנכסי יתומים אלא בשבועה, ש"ך (סקמ"ז).</w:t>
      </w:r>
    </w:p>
  </w:footnote>
  <w:footnote w:id="5069">
    <w:p w14:paraId="4F896696" w14:textId="77777777" w:rsidR="0013116F" w:rsidRDefault="0013116F" w:rsidP="001D49D4">
      <w:pPr>
        <w:pStyle w:val="a9"/>
      </w:pPr>
      <w:r>
        <w:rPr>
          <w:rStyle w:val="ab"/>
        </w:rPr>
        <w:footnoteRef/>
      </w:r>
      <w:r>
        <w:rPr>
          <w:rtl/>
        </w:rPr>
        <w:t xml:space="preserve"> משמע הא אם אמר שהוא פרוע היה נאמן אפילו אחר המכירה שנפרע קודם המכירה </w:t>
      </w:r>
      <w:r>
        <w:rPr>
          <w:sz w:val="16"/>
          <w:szCs w:val="16"/>
          <w:rtl/>
        </w:rPr>
        <w:t>(וכן העליתי לקמן סקנ"ו באריכות)</w:t>
      </w:r>
      <w:r>
        <w:rPr>
          <w:rtl/>
        </w:rPr>
        <w:t>, ש"ך</w:t>
      </w:r>
      <w:r>
        <w:rPr>
          <w:sz w:val="16"/>
          <w:szCs w:val="16"/>
          <w:rtl/>
        </w:rPr>
        <w:t xml:space="preserve"> (סקמ"ח)</w:t>
      </w:r>
      <w:r>
        <w:rPr>
          <w:rtl/>
        </w:rPr>
        <w:t>.</w:t>
      </w:r>
    </w:p>
  </w:footnote>
  <w:footnote w:id="5070">
    <w:p w14:paraId="65315943" w14:textId="77777777" w:rsidR="0013116F" w:rsidRDefault="0013116F" w:rsidP="001D49D4">
      <w:pPr>
        <w:pStyle w:val="a9"/>
        <w:rPr>
          <w:rtl/>
        </w:rPr>
      </w:pPr>
      <w:r>
        <w:rPr>
          <w:rStyle w:val="ab"/>
        </w:rPr>
        <w:footnoteRef/>
      </w:r>
      <w:r>
        <w:rPr>
          <w:rtl/>
        </w:rPr>
        <w:t xml:space="preserve"> פירוש, שניהן נשבעין. והטעם, שהב"ד טוענין בעד היורשין מה שהיה אביהן יכול לטעון, ואילו היה חי היה יכול לטעון שפרעו להמוכר או להלוקח, משום הכי ישבעו שניהן מספק, משא"כ אם הלוה חי דא"צ לישבע אלא האחד שאומר בברי שפרעו לו להמוכר או להלוקח, דהרי לא לשניהן פרעו, סמ"ע (סקל"ט). וכ"כ הב"ח (סע' טו) דגם הוא צריך לישבע כו' שהרי כשם שיש ספק שמא פרע ללוקח כך יש ספק שמא פרע למוכר כו'. אך הש"ך (סקמ"ט) כתב דנ"ל לפרש כפשוטו דקאי אשבועה דלעיל, שהלוקח צריך לישבע שאינו יודע הוא שפרע למוכר, דשמא יודע שפרע למוכר, וגם המוכר צריך לישבע שלא נפרע, ואין שבועת המוכר פוטרתו ללוקח, דשמא המוכר נשבע לשקר והלוקח יודע שהוא פרוע, וכיון שבא לגבות מהיתומים צריך לישבע ג"כ [אבל כשהלוה חי אין הלוקח צריך לישבע, דהא אין טוען שהוא יודע שפרע למוכר]. מיהו נראה שצריך לכלול ג"כ שלא נפרע הוא בעצמו מן הלוה. ולפ"ז אפילו היתומים מודים שלא נפרע הלוקח, כגון שיודעים שלא זזה ידו מידם משעה שלקחו וכה"ג, צריך לישבע כמו שכתבתי.</w:t>
      </w:r>
    </w:p>
  </w:footnote>
  <w:footnote w:id="5071">
    <w:p w14:paraId="313A5833" w14:textId="77777777" w:rsidR="0013116F" w:rsidRDefault="0013116F" w:rsidP="001D49D4">
      <w:pPr>
        <w:pStyle w:val="a9"/>
      </w:pPr>
      <w:r>
        <w:rPr>
          <w:rStyle w:val="ab"/>
        </w:rPr>
        <w:footnoteRef/>
      </w:r>
      <w:r>
        <w:rPr>
          <w:rtl/>
        </w:rPr>
        <w:t xml:space="preserve"> שפרע למוכר, ואמר ישבע לי המוכר, לכך צריך לישבע, והיינו שכתבו הרמב"ם והמחבר לעיל</w:t>
      </w:r>
      <w:r>
        <w:rPr>
          <w:sz w:val="16"/>
          <w:szCs w:val="16"/>
          <w:rtl/>
        </w:rPr>
        <w:t xml:space="preserve"> (סע' יא)</w:t>
      </w:r>
      <w:r>
        <w:rPr>
          <w:rtl/>
        </w:rPr>
        <w:t>, ואם טען שמעון שפרע ללוי ואמר ישבע לי כו'. אבל אם אינו אומר ישבע לי, אע"פ שאומר שפרעו א"צ לישבע כדלקמן סי' פ"ב סע' ב, אבל כשמת הלוה צריך לישבע נגד היורשים אפילו אין אומרים ישבע לנו, דאין נפרעין מנכסי יתומים אלא בשבועה כדלקמן סי' קח סע' ג, ש"ך (סקנ"א)</w:t>
      </w:r>
    </w:p>
  </w:footnote>
  <w:footnote w:id="5072">
    <w:p w14:paraId="265675D8" w14:textId="77777777" w:rsidR="0013116F" w:rsidRDefault="0013116F" w:rsidP="001D49D4">
      <w:pPr>
        <w:pStyle w:val="a9"/>
      </w:pPr>
      <w:r>
        <w:rPr>
          <w:rStyle w:val="ab"/>
        </w:rPr>
        <w:footnoteRef/>
      </w:r>
      <w:r>
        <w:rPr>
          <w:rtl/>
        </w:rPr>
        <w:t xml:space="preserve"> אבל אם יש בו נאמנות א"צ לישבע, והלכך אף שאינו רוצה לישבע גובה הלוקח, אבל כשאין בו נאמנות וצריך לישבע, א"כ כשאינו רוצה לישבע אף שאינו אומר שפרוע, מ"מ לא יפרע לו הלוה, אבל אם מודה שהוא פרוע, אף שיש בו נאמנות פטור הלוה כמו שכתבתי לעיל סעיף י"א סקל"ד, והמוכר משלם ללוקח מה שמפסידו בדיבורו. וכ"כ הרא"ש [שבועות פ"ז סי' יד] והר"ן [שם לב. מדפה"ר] והה"מ [פט"ז ממלוה ה"ז] ושאר פוסקים שנאמן לומר פרוע במיגו דאי בעי מחיל, ש"ך (סקנ"ב).</w:t>
      </w:r>
    </w:p>
  </w:footnote>
  <w:footnote w:id="5073">
    <w:p w14:paraId="5DF3A6B9" w14:textId="77777777" w:rsidR="0013116F" w:rsidRDefault="0013116F" w:rsidP="001D49D4">
      <w:pPr>
        <w:pStyle w:val="a9"/>
        <w:rPr>
          <w:rtl/>
        </w:rPr>
      </w:pPr>
      <w:r>
        <w:rPr>
          <w:rStyle w:val="ab"/>
        </w:rPr>
        <w:footnoteRef/>
      </w:r>
      <w:r>
        <w:rPr>
          <w:rtl/>
        </w:rPr>
        <w:t xml:space="preserve"> כבר כתבתי לעיל סעיף י"א [סקל"ב וסקל"ז] דהיינו כל דמי השטר, ולא סגי כשמשלם הדמים שקיבל, וכן כתב עוד המחבר לקמן סעיף כ"ד שמשלם כפי מה שהזיקו, ש"ך (סקנ"ג).</w:t>
      </w:r>
    </w:p>
  </w:footnote>
  <w:footnote w:id="5074">
    <w:p w14:paraId="674FFD71" w14:textId="77777777" w:rsidR="0013116F" w:rsidRDefault="0013116F" w:rsidP="001D49D4">
      <w:pPr>
        <w:pStyle w:val="a9"/>
        <w:rPr>
          <w:rtl/>
        </w:rPr>
      </w:pPr>
      <w:r>
        <w:rPr>
          <w:rStyle w:val="ab"/>
        </w:rPr>
        <w:footnoteRef/>
      </w:r>
      <w:r>
        <w:rPr>
          <w:rtl/>
        </w:rPr>
        <w:t xml:space="preserve"> פירוש, וגובה מנכסים שירש מאביו, אבל לא מנכסי עצמו אף אם אין לו משל אביו, דאף דגרם היזק באשר אינו רוצה לישבע, מ"מ אין משלם מכיסו הזיקו, וכמש"כ הטור בסי' קז (סע' ח) דלכו"ע אם מכרו היורשים מטלטלי אביהן, אף דדמי המטלטלין עדיין בידן אין הבע"ח גובה מידן, אף לבתר תקנת חז"ל שמטלטלים דיתמי משועבדים לבע"ח..., סמ"ע (סקמ"א).</w:t>
      </w:r>
    </w:p>
  </w:footnote>
  <w:footnote w:id="5075">
    <w:p w14:paraId="02BACA05" w14:textId="77777777" w:rsidR="0013116F" w:rsidRDefault="0013116F" w:rsidP="001D49D4">
      <w:pPr>
        <w:pStyle w:val="a9"/>
        <w:rPr>
          <w:rtl/>
        </w:rPr>
      </w:pPr>
      <w:r>
        <w:rPr>
          <w:rStyle w:val="ab"/>
        </w:rPr>
        <w:footnoteRef/>
      </w:r>
      <w:r>
        <w:rPr>
          <w:rtl/>
        </w:rPr>
        <w:t xml:space="preserve"> זה מיירי ג"כ בשאין בו נאמנות, אבל אם יש בו נאמנות גובה כמו שנתבאר בסימן ק"ח סע' י"ג, וע"ש מדינים אלו, ש"ך (סקנ"ו).</w:t>
      </w:r>
    </w:p>
  </w:footnote>
  <w:footnote w:id="5076">
    <w:p w14:paraId="52E4DFDB" w14:textId="77777777" w:rsidR="0013116F" w:rsidRDefault="0013116F" w:rsidP="001D49D4">
      <w:pPr>
        <w:pStyle w:val="a9"/>
        <w:rPr>
          <w:rtl/>
        </w:rPr>
      </w:pPr>
      <w:r>
        <w:rPr>
          <w:rStyle w:val="ab"/>
        </w:rPr>
        <w:footnoteRef/>
      </w:r>
      <w:r>
        <w:rPr>
          <w:rtl/>
        </w:rPr>
        <w:t xml:space="preserve"> אבל אם המוכר חי, נשבע המוכר והלוקח גובה בשבועה אע"פ שלקחו אחר שמת הלוה, ש"ך (סקנ"ה).</w:t>
      </w:r>
    </w:p>
  </w:footnote>
  <w:footnote w:id="5077">
    <w:p w14:paraId="316CBDB0" w14:textId="77777777" w:rsidR="0013116F" w:rsidRDefault="0013116F" w:rsidP="001D49D4">
      <w:pPr>
        <w:pStyle w:val="a9"/>
      </w:pPr>
      <w:r>
        <w:rPr>
          <w:rStyle w:val="ab"/>
        </w:rPr>
        <w:footnoteRef/>
      </w:r>
      <w:r>
        <w:rPr>
          <w:rtl/>
        </w:rPr>
        <w:t xml:space="preserve"> כלומר חוזר וגובה מהמוכר, ב"י.</w:t>
      </w:r>
    </w:p>
  </w:footnote>
  <w:footnote w:id="5078">
    <w:p w14:paraId="33B5CD59" w14:textId="77777777" w:rsidR="0013116F" w:rsidRDefault="0013116F" w:rsidP="001D49D4">
      <w:pPr>
        <w:pStyle w:val="a9"/>
      </w:pPr>
      <w:r>
        <w:rPr>
          <w:rStyle w:val="ab"/>
        </w:rPr>
        <w:footnoteRef/>
      </w:r>
      <w:r>
        <w:rPr>
          <w:rtl/>
        </w:rPr>
        <w:t xml:space="preserve"> וכתב עוד בעל התרומות (שם סי' ב) דלסברא זו אפילו אם כתב ומסר כהלכתו והלך לוה ופרע למלוה הלוקח צריך להחזיר השטר ללוה וילך הלוקח וידין עם המלוה. </w:t>
      </w:r>
    </w:p>
  </w:footnote>
  <w:footnote w:id="5079">
    <w:p w14:paraId="6093A2F3" w14:textId="77777777" w:rsidR="0013116F" w:rsidRDefault="0013116F" w:rsidP="001D49D4">
      <w:pPr>
        <w:pStyle w:val="a9"/>
        <w:rPr>
          <w:rtl/>
        </w:rPr>
      </w:pPr>
      <w:r>
        <w:rPr>
          <w:rStyle w:val="ab"/>
        </w:rPr>
        <w:footnoteRef/>
      </w:r>
      <w:r>
        <w:rPr>
          <w:rtl/>
        </w:rPr>
        <w:t xml:space="preserve"> וכתב בעל התרומות (שם) דלסברא זו אם יאמר הלוה למלוה לא אפרעך עד שתחזיר לי שטרי מאחר שידוע שהשטר ביד הלוקח וישנו בעולם אין כופין אותו לפרוע בשובר עכ"ל. ול"נ דאף דלסברא ראשונה נמי דינא הכי כיון דאיתיה בעולם אע"פ שבית דין כופין ללוקח להחזירו ללוה אעפ"כ יאמר הלוה איני רוצה להוציא המעות מתחת ידי ולמיקם בדינא ודייני ושמא לא יזדמן לי בית דין שיכופהו כנ"ל, וכדאיתא סימן נ"ד (ס"ג), ב"י. וכתב הש"ך (ס"ק ס') דנראה דגם כונת הבעל התרומות כן, אלא דלסברא ראשונה מסתמא מחזיר השטר כיון דכופין אותו, משא"כ בסברא אחרונה. </w:t>
      </w:r>
      <w:r>
        <w:rPr>
          <w:sz w:val="16"/>
          <w:szCs w:val="16"/>
          <w:rtl/>
        </w:rPr>
        <w:t>(שתי דעות אלו שהובאו למעלה - הביאם הב"י בשם בעל התרומות, אך הטור כתב וז"ל- כתב בעל התרומות אם לא כתב המוכר ללוקח קני לך איהו וכו' שלא קנה השיעבוד והלוקח משתמש בנייר לצור ע"פ צלוחיתו ופרע הלוה למוכר ב"ד כופין ללוקח להחזיר השטר ללוה אלא שהלוה נותן לו דמי הנייר. עכ"ל הטור. וכתב הב"י דצריך ליתן טעם למה רבינו כתב סברא הראשונה ולא השניה, וגם הראשונה אינה בעינה - שמדברי רבינו נראה דדוקא שכתב ולא מסר אבל כתב ומסר אין כופין להחזיר)</w:t>
      </w:r>
    </w:p>
  </w:footnote>
  <w:footnote w:id="5080">
    <w:p w14:paraId="1ADF3965" w14:textId="77777777" w:rsidR="0013116F" w:rsidRDefault="0013116F" w:rsidP="001D49D4">
      <w:pPr>
        <w:pStyle w:val="a9"/>
      </w:pPr>
      <w:r>
        <w:rPr>
          <w:rStyle w:val="ab"/>
        </w:rPr>
        <w:footnoteRef/>
      </w:r>
      <w:r>
        <w:rPr>
          <w:rtl/>
        </w:rPr>
        <w:t xml:space="preserve"> וכופין אותו בכך, וכ"כ בתשובת מהר"א ן' ששון (סי' קסו) ופשוט הוא... אבל אם לא השגיח בכל הכפיות ופרע למוכר - נפטר מהלוקח, שנמחל השטר באותו פרעון ושוב אין לבית דין עליו שום עסק, ש"ך (סקנ"ז).</w:t>
      </w:r>
    </w:p>
  </w:footnote>
  <w:footnote w:id="5081">
    <w:p w14:paraId="00A98780" w14:textId="77777777" w:rsidR="0013116F" w:rsidRDefault="0013116F" w:rsidP="001D49D4">
      <w:pPr>
        <w:pStyle w:val="a9"/>
      </w:pPr>
      <w:r>
        <w:rPr>
          <w:rStyle w:val="ab"/>
        </w:rPr>
        <w:footnoteRef/>
      </w:r>
      <w:r>
        <w:rPr>
          <w:rtl/>
        </w:rPr>
        <w:t xml:space="preserve"> מן המוכר, ב"י וכתב הש"ך (סקנ"ח) דיפה פירש, דאילו מן הלוה אינו חוזר אף שעבר הלוה ציווי ב"ד, וכן מסיק בסמ"ע (סקמ"ג), וכ"כ מהרשד"ם (בתשו' סי' קב), וכ"כ הב"ח (שם).</w:t>
      </w:r>
    </w:p>
  </w:footnote>
  <w:footnote w:id="5082">
    <w:p w14:paraId="02BFE8A2" w14:textId="77777777" w:rsidR="0013116F" w:rsidRDefault="0013116F" w:rsidP="001D49D4">
      <w:pPr>
        <w:pStyle w:val="a9"/>
      </w:pPr>
      <w:r>
        <w:rPr>
          <w:rStyle w:val="ab"/>
        </w:rPr>
        <w:footnoteRef/>
      </w:r>
      <w:r>
        <w:rPr>
          <w:rtl/>
        </w:rPr>
        <w:t xml:space="preserve"> כאן כתב הר"ב רק סברא זו, ולקמן סע' כג כתב הר"ב מתחילה בסתם סברת האומרים דא"צ להחזיר שטרו. ונראה לכאורה מדברי הר"ב שהוא מחלק בין פרוע למחילה, אבל א"א לומר כן כדאיתא בכל הפוסקים דחד דינא אית להו וכן מסתבר, ש"ך</w:t>
      </w:r>
      <w:r>
        <w:rPr>
          <w:sz w:val="16"/>
          <w:szCs w:val="16"/>
          <w:rtl/>
        </w:rPr>
        <w:t xml:space="preserve"> (ס"ק ס"א)</w:t>
      </w:r>
      <w:r>
        <w:rPr>
          <w:rtl/>
        </w:rPr>
        <w:t>.</w:t>
      </w:r>
    </w:p>
  </w:footnote>
  <w:footnote w:id="5083">
    <w:p w14:paraId="174C4BFF" w14:textId="77777777" w:rsidR="0013116F" w:rsidRDefault="0013116F" w:rsidP="001D49D4">
      <w:pPr>
        <w:pStyle w:val="a9"/>
        <w:rPr>
          <w:rtl/>
        </w:rPr>
      </w:pPr>
      <w:r>
        <w:rPr>
          <w:rStyle w:val="ab"/>
        </w:rPr>
        <w:footnoteRef/>
      </w:r>
      <w:r>
        <w:rPr>
          <w:rtl/>
        </w:rPr>
        <w:t xml:space="preserve"> בדרישה</w:t>
      </w:r>
      <w:r>
        <w:rPr>
          <w:sz w:val="16"/>
          <w:szCs w:val="16"/>
          <w:rtl/>
        </w:rPr>
        <w:t xml:space="preserve"> (סע' טז)</w:t>
      </w:r>
      <w:r>
        <w:rPr>
          <w:rtl/>
        </w:rPr>
        <w:t xml:space="preserve"> הוכחתי דס"ל לבעל הטור דלא כתב בעל התרומות כן כי אם לסברתו דס"ל דגוף השטר לצור ע"פ צלוחיתו קנאו הלוקח אפילו לא כתב לו קני לך איהו כו', ואפ"ה ס"ל דצריך להחזירו ללוה כשפרע להמוכר, ה"ה נמי ס"ל הכי אף שקנהו בכתיבה ומסירה וקדם הלוה ופרע להמוכר, משא"כ להטור [סע' א] וסיעתו דס"ל דאפילו לצור על פי צלוחיתו לא קנה גוף השטר, דאליביה איכא למימר כשקנהו בכתיבה ומסירה א"צ הלוקח להחזיר גוף השטר להלוה כשקדם ופרע לו, סמ"ע</w:t>
      </w:r>
      <w:r>
        <w:rPr>
          <w:sz w:val="16"/>
          <w:szCs w:val="16"/>
          <w:rtl/>
        </w:rPr>
        <w:t xml:space="preserve"> (סקמ"ד)</w:t>
      </w:r>
      <w:r>
        <w:rPr>
          <w:rtl/>
        </w:rPr>
        <w:t xml:space="preserve">. והש"ך </w:t>
      </w:r>
      <w:r>
        <w:rPr>
          <w:sz w:val="16"/>
          <w:szCs w:val="16"/>
          <w:rtl/>
        </w:rPr>
        <w:t xml:space="preserve">(ס"ק ס') </w:t>
      </w:r>
      <w:r>
        <w:rPr>
          <w:rtl/>
        </w:rPr>
        <w:t>פסק דהוי ספיקא דדינא ואפילו אם הלה רוצה לשלם לו דמי הנייר יכול לומר אני תופסו למשכון נגד הלוה עד שיפרע לי.</w:t>
      </w:r>
    </w:p>
  </w:footnote>
  <w:footnote w:id="5084">
    <w:p w14:paraId="650C3D00" w14:textId="77777777" w:rsidR="0013116F" w:rsidRDefault="0013116F" w:rsidP="001D49D4">
      <w:pPr>
        <w:pStyle w:val="a9"/>
        <w:rPr>
          <w:rtl/>
        </w:rPr>
      </w:pPr>
      <w:r>
        <w:rPr>
          <w:rStyle w:val="ab"/>
        </w:rPr>
        <w:footnoteRef/>
      </w:r>
      <w:r>
        <w:rPr>
          <w:rtl/>
        </w:rPr>
        <w:t xml:space="preserve"> פירוש, אפילו לא אמרו לו ב"ד שיתנהו להלוקח, ואינו יכול לומר לא ידעתי שמכר השטר, שכל קנין קלא אית ליה, סמ"ע</w:t>
      </w:r>
      <w:r>
        <w:rPr>
          <w:sz w:val="16"/>
          <w:szCs w:val="16"/>
          <w:rtl/>
        </w:rPr>
        <w:t xml:space="preserve"> (סקמ"ה)</w:t>
      </w:r>
      <w:r>
        <w:rPr>
          <w:rtl/>
        </w:rPr>
        <w:t xml:space="preserve">. וכתב הש"ך </w:t>
      </w:r>
      <w:r>
        <w:rPr>
          <w:sz w:val="16"/>
          <w:szCs w:val="16"/>
          <w:rtl/>
        </w:rPr>
        <w:t xml:space="preserve">(ס"ק ס"ב) </w:t>
      </w:r>
      <w:r>
        <w:rPr>
          <w:rtl/>
        </w:rPr>
        <w:t>דנ"ל עיקר כסברא הראשונה דנפטר הלוה מהלוקח.</w:t>
      </w:r>
    </w:p>
  </w:footnote>
  <w:footnote w:id="5085">
    <w:p w14:paraId="218D25DF" w14:textId="77777777" w:rsidR="0013116F" w:rsidRDefault="0013116F" w:rsidP="001D49D4">
      <w:pPr>
        <w:pStyle w:val="a9"/>
      </w:pPr>
      <w:r>
        <w:rPr>
          <w:rStyle w:val="ab"/>
        </w:rPr>
        <w:footnoteRef/>
      </w:r>
      <w:r>
        <w:rPr>
          <w:rtl/>
        </w:rPr>
        <w:t xml:space="preserve"> </w:t>
      </w:r>
      <w:r>
        <w:rPr>
          <w:rFonts w:hint="cs"/>
          <w:rtl/>
        </w:rPr>
        <w:t>וז"ל הרשב"א בחידו' (ב"מ שם)-</w:t>
      </w:r>
      <w:r>
        <w:rPr>
          <w:rtl/>
        </w:rPr>
        <w:t xml:space="preserve"> מהא דאמר רב נחמן מודינא דאי שמיט ואכיל לא מפקינן מיניה הביא ר"ת ראיה למוכר שטר חוב לחברו בעדים, אע"ג דקי"ל </w:t>
      </w:r>
      <w:r>
        <w:rPr>
          <w:sz w:val="16"/>
          <w:szCs w:val="16"/>
          <w:rtl/>
        </w:rPr>
        <w:t>(ב"ב עו.)</w:t>
      </w:r>
      <w:r>
        <w:rPr>
          <w:rtl/>
        </w:rPr>
        <w:t xml:space="preserve"> דאין אותיות נקנין אלא בכתיבה ומסירה, אם קדם הלוקח וגבה מְלֹוֶה - אין המוכר יכול לחזור בו, דמחילה בטעות הוי מחילה. עכ"ל. וז"ל בתשו' (ח"ג סי' פו)- ומכאן הביא ר"ת ז"ל ראיה למוכר שטר חוב לחבירו שלא בכתיבה ומסירה שאם קדם וגבה קודם שחזר בו המוכר מה שגבה גבה וכל שכן אם מחל לו אחר שגבה.</w:t>
      </w:r>
    </w:p>
  </w:footnote>
  <w:footnote w:id="5086">
    <w:p w14:paraId="3EF2975B" w14:textId="77777777" w:rsidR="0013116F" w:rsidRDefault="0013116F" w:rsidP="001D49D4">
      <w:pPr>
        <w:pStyle w:val="a9"/>
      </w:pPr>
      <w:r>
        <w:rPr>
          <w:rStyle w:val="ab"/>
        </w:rPr>
        <w:footnoteRef/>
      </w:r>
      <w:r>
        <w:rPr>
          <w:rtl/>
        </w:rPr>
        <w:t xml:space="preserve"> ר"ת </w:t>
      </w:r>
      <w:r>
        <w:rPr>
          <w:sz w:val="16"/>
          <w:szCs w:val="16"/>
          <w:rtl/>
        </w:rPr>
        <w:t xml:space="preserve">(כ"כ הרשב"א בשמו) </w:t>
      </w:r>
      <w:r>
        <w:rPr>
          <w:rtl/>
        </w:rPr>
        <w:t xml:space="preserve">ספר התרומות </w:t>
      </w:r>
      <w:r>
        <w:rPr>
          <w:sz w:val="16"/>
          <w:szCs w:val="16"/>
          <w:rtl/>
        </w:rPr>
        <w:t xml:space="preserve">(שער נא שם סי' ג) </w:t>
      </w:r>
      <w:r>
        <w:rPr>
          <w:rtl/>
        </w:rPr>
        <w:t xml:space="preserve">רשב"א </w:t>
      </w:r>
      <w:r>
        <w:rPr>
          <w:sz w:val="16"/>
          <w:szCs w:val="16"/>
          <w:rtl/>
        </w:rPr>
        <w:t xml:space="preserve">(ב"מ סו: ומהא דאמר, ובתשו' ח"ג סי' פו, ח"ז סי' שלד) </w:t>
      </w:r>
      <w:r>
        <w:rPr>
          <w:rtl/>
        </w:rPr>
        <w:t xml:space="preserve">רא"ש </w:t>
      </w:r>
      <w:r>
        <w:rPr>
          <w:sz w:val="16"/>
          <w:szCs w:val="16"/>
          <w:rtl/>
        </w:rPr>
        <w:t xml:space="preserve">(פרק איזהו נשך סי' לב) </w:t>
      </w:r>
      <w:r>
        <w:rPr>
          <w:rtl/>
        </w:rPr>
        <w:t xml:space="preserve">הה"מ </w:t>
      </w:r>
      <w:r>
        <w:rPr>
          <w:sz w:val="16"/>
          <w:szCs w:val="16"/>
          <w:rtl/>
        </w:rPr>
        <w:t xml:space="preserve">(פכ"ב מהל' מכירה ה"ב) </w:t>
      </w:r>
      <w:r>
        <w:rPr>
          <w:rtl/>
        </w:rPr>
        <w:t xml:space="preserve">ונמוק"י </w:t>
      </w:r>
      <w:r>
        <w:rPr>
          <w:sz w:val="16"/>
          <w:szCs w:val="16"/>
          <w:rtl/>
        </w:rPr>
        <w:t>(פרק איזהו נשך לז: סוד"ה אמר ר"נ, כ"כ בשמו הדרכ"מ [אות ה*])</w:t>
      </w:r>
      <w:r>
        <w:rPr>
          <w:rtl/>
        </w:rPr>
        <w:t>.</w:t>
      </w:r>
    </w:p>
  </w:footnote>
  <w:footnote w:id="5087">
    <w:p w14:paraId="7BA55280" w14:textId="77777777" w:rsidR="0013116F" w:rsidRDefault="0013116F" w:rsidP="001D49D4">
      <w:pPr>
        <w:pStyle w:val="a9"/>
        <w:rPr>
          <w:rtl/>
        </w:rPr>
      </w:pPr>
      <w:r>
        <w:rPr>
          <w:rStyle w:val="ab"/>
        </w:rPr>
        <w:footnoteRef/>
      </w:r>
      <w:r>
        <w:rPr>
          <w:rtl/>
        </w:rPr>
        <w:t xml:space="preserve"> וגם לא אמר לו, רשב"א </w:t>
      </w:r>
      <w:r>
        <w:rPr>
          <w:sz w:val="16"/>
          <w:szCs w:val="16"/>
          <w:rtl/>
        </w:rPr>
        <w:t>(ב"מ סו: ומהא דאמר)</w:t>
      </w:r>
      <w:r>
        <w:rPr>
          <w:rtl/>
        </w:rPr>
        <w:t xml:space="preserve"> הה"מ </w:t>
      </w:r>
      <w:r>
        <w:rPr>
          <w:sz w:val="16"/>
          <w:szCs w:val="16"/>
          <w:rtl/>
        </w:rPr>
        <w:t xml:space="preserve">(שם) </w:t>
      </w:r>
      <w:r>
        <w:rPr>
          <w:rtl/>
        </w:rPr>
        <w:t xml:space="preserve">ונמוק"י </w:t>
      </w:r>
      <w:r>
        <w:rPr>
          <w:sz w:val="16"/>
          <w:szCs w:val="16"/>
          <w:rtl/>
        </w:rPr>
        <w:t>(ב"מ לז: סוד"ה אמר ר"נ, כ"כ בשמו הדרכ"מ [אות ה*])</w:t>
      </w:r>
      <w:r>
        <w:rPr>
          <w:rtl/>
        </w:rPr>
        <w:t>.</w:t>
      </w:r>
      <w:r>
        <w:rPr>
          <w:color w:val="00B0F0"/>
          <w:rtl/>
        </w:rPr>
        <w:t xml:space="preserve"> וכ"כ הרמ"א</w:t>
      </w:r>
    </w:p>
  </w:footnote>
  <w:footnote w:id="5088">
    <w:p w14:paraId="105AED8B" w14:textId="77777777" w:rsidR="0013116F" w:rsidRDefault="0013116F" w:rsidP="001D49D4">
      <w:pPr>
        <w:pStyle w:val="a9"/>
      </w:pPr>
      <w:r>
        <w:rPr>
          <w:rStyle w:val="ab"/>
        </w:rPr>
        <w:footnoteRef/>
      </w:r>
      <w:r>
        <w:rPr>
          <w:rtl/>
        </w:rPr>
        <w:t xml:space="preserve"> </w:t>
      </w:r>
      <w:r>
        <w:rPr>
          <w:rFonts w:hint="cs"/>
          <w:rtl/>
        </w:rPr>
        <w:t xml:space="preserve">כגון שמכר לו את שטר החוב בעדים, </w:t>
      </w:r>
      <w:r>
        <w:rPr>
          <w:rtl/>
        </w:rPr>
        <w:t xml:space="preserve">וקי"ל </w:t>
      </w:r>
      <w:r>
        <w:rPr>
          <w:sz w:val="16"/>
          <w:szCs w:val="16"/>
          <w:rtl/>
        </w:rPr>
        <w:t>(ב"ב עו.)</w:t>
      </w:r>
      <w:r>
        <w:rPr>
          <w:rtl/>
        </w:rPr>
        <w:t xml:space="preserve"> דאין אותיות נקנין אלא בכתיבה ומסירה, ולכן יכול לחזור בו כל עוד שלא גבה.</w:t>
      </w:r>
    </w:p>
  </w:footnote>
  <w:footnote w:id="5089">
    <w:p w14:paraId="0B57967C" w14:textId="77777777" w:rsidR="0013116F" w:rsidRDefault="0013116F" w:rsidP="001D49D4">
      <w:pPr>
        <w:pStyle w:val="a9"/>
        <w:rPr>
          <w:rtl/>
        </w:rPr>
      </w:pPr>
      <w:r>
        <w:rPr>
          <w:rStyle w:val="ab"/>
        </w:rPr>
        <w:footnoteRef/>
      </w:r>
      <w:r>
        <w:rPr>
          <w:rtl/>
        </w:rPr>
        <w:t xml:space="preserve"> דין זה למד בעל התרומות (שער נא ח"ד ס"ג) מדין המוכר לחבירו פירות דקל שהוא דבר שלא בא לעולם, דאמר רב נחמן דלא קנה, ואמר ומודינא דאי שמיט ואכיל לא מפקינן מיניה כו' (ב"מ סו:), דכמו דמהני שם תפיסה לקנין דבר שלא בא לעולם, ה"נ מהני תפיסה לשטר שקנה בלא כתיבה ומסירה..., סמ"ע (סקמ"ו). וכתב הש"ך (ס"ק ס"ג) דעוד משמע דאף אם גבה הלוקח יותר ממה שמכרו, וכ"כ רי"ו (ני"ד) להדיא, דאינו חוזר המותר למוכר, אלא מה שגבה גבה.</w:t>
      </w:r>
    </w:p>
  </w:footnote>
  <w:footnote w:id="5090">
    <w:p w14:paraId="3A34D43C" w14:textId="77777777" w:rsidR="0013116F" w:rsidRDefault="0013116F" w:rsidP="001D49D4">
      <w:pPr>
        <w:pStyle w:val="a9"/>
        <w:rPr>
          <w:rtl/>
        </w:rPr>
      </w:pPr>
      <w:r>
        <w:rPr>
          <w:rStyle w:val="ab"/>
        </w:rPr>
        <w:footnoteRef/>
      </w:r>
      <w:r>
        <w:rPr>
          <w:rtl/>
        </w:rPr>
        <w:t xml:space="preserve"> וכשאמר לו סגי אפילו לא מסר לו השטר, כן מוכח להדיא בהה"מ (שם)</w:t>
      </w:r>
      <w:r>
        <w:rPr>
          <w:rFonts w:hint="cs"/>
        </w:rPr>
        <w:t xml:space="preserve"> </w:t>
      </w:r>
      <w:r>
        <w:rPr>
          <w:rtl/>
        </w:rPr>
        <w:t>ומביאו ב"י (סע' יח), והיינו כדלקמן סימן ר"ט [סעיף ד'], דהתם לא מסר לו מתחילה כלום רק אמר לו שיקנה פירות דקל, ש"ך (ס"ק ס"ד).</w:t>
      </w:r>
    </w:p>
  </w:footnote>
  <w:footnote w:id="5091">
    <w:p w14:paraId="17BEDCB0" w14:textId="77777777" w:rsidR="0013116F" w:rsidRDefault="0013116F" w:rsidP="001D49D4">
      <w:pPr>
        <w:pStyle w:val="a9"/>
      </w:pPr>
      <w:r>
        <w:rPr>
          <w:rStyle w:val="ab"/>
        </w:rPr>
        <w:footnoteRef/>
      </w:r>
      <w:r>
        <w:rPr>
          <w:rtl/>
        </w:rPr>
        <w:t xml:space="preserve"> היינו דוקא כשכבר פרע להלוקח והוציא השטר מידו, אבל כשעדיין לא פרעו והשטר ביד הלוקח, אין המלוה יכול לכוף להלוה שישלם לו אפילו אם ירצה לכתוב לו שובר, כיון שהשטר חוב בעולם </w:t>
      </w:r>
      <w:r>
        <w:rPr>
          <w:sz w:val="16"/>
          <w:szCs w:val="16"/>
          <w:rtl/>
        </w:rPr>
        <w:t>(כמש"כ לעיל סי' נד סע' ג, וכ"כ ב"י סע' יא. דרכ"מ טז)</w:t>
      </w:r>
      <w:r>
        <w:rPr>
          <w:rtl/>
        </w:rPr>
        <w:t>, סמ"ע (סקמ"ח).</w:t>
      </w:r>
    </w:p>
  </w:footnote>
  <w:footnote w:id="5092">
    <w:p w14:paraId="10250C14" w14:textId="77777777" w:rsidR="0013116F" w:rsidRDefault="0013116F" w:rsidP="001D49D4">
      <w:pPr>
        <w:pStyle w:val="a9"/>
      </w:pPr>
      <w:r>
        <w:rPr>
          <w:rStyle w:val="ab"/>
        </w:rPr>
        <w:footnoteRef/>
      </w:r>
      <w:r>
        <w:rPr>
          <w:rtl/>
        </w:rPr>
        <w:t xml:space="preserve"> ואף שהראה לך השטר ואמר לך ששטר כתיבה היה לו ואבד, לא היה לך להאמינו, שהרי לא היה נאמן נגדי כדלעיל סע' י"א, וע"ש בסקכ"ט, ש"ך (ס"ק ס"ה).</w:t>
      </w:r>
    </w:p>
  </w:footnote>
  <w:footnote w:id="5093">
    <w:p w14:paraId="784D2152" w14:textId="77777777" w:rsidR="0013116F" w:rsidRDefault="0013116F" w:rsidP="001D49D4">
      <w:pPr>
        <w:pStyle w:val="a9"/>
        <w:rPr>
          <w:rtl/>
        </w:rPr>
      </w:pPr>
      <w:r>
        <w:rPr>
          <w:rStyle w:val="ab"/>
        </w:rPr>
        <w:footnoteRef/>
      </w:r>
      <w:r>
        <w:rPr>
          <w:rtl/>
        </w:rPr>
        <w:t xml:space="preserve"> דין זה אינו נראה לפע"ד, דהא ודאי כשחוזר וגובה מבעל חוב – על כרחך הבעל חוב חוזר וגובה מהלוקח, דודאי כי אמרינן דחייב הלוה משום דזה לא הוי מכירה, א"כ הוא חוזר על הלוקח, דודאי לא מצי הלוקח לומר אני כדין לקחתי, כיון שעל פי הדין הלוה חייב לשלם, נמצא המכירה לא היתה מכירה, וא"כ כיון שהלוה יכול לחזור על הלוקח, אמאי לא יחזור המוכר על הלוקח כשאין ללוה לשלם מדרבי נתן... דגם לגבי הלוקח לא הוי מכירה. ונלפע"ד דגם התרוה"ד (סי' שיג) לא קאמר דלא יוכל המוכר לגבות מהלוקח כשאין ללוה לשלם... דלא מסתבר כלל לומר דכנגד הלוה לא יהא מכירה וכנגד הלוקח יהא מכירה. ועוד, דהא בתרוה"ד שם הוציא כן מדברי הרא"ש דפרק איזהו נשך [סי' לב] גבי פירות דקל דאי שמיט ואכיל, שיוצא ממנו דין זה דמכירת שטרות, וגבי פירות דקל גופיה מוכח להדיא בהרא"ש שם דאע"ג דשמיט ואכל מפקינן מיניה אם לא שידע המוכר דשמיט ואכיל ומטעם מחילה, ע"ש במה שכתב וי"ל שאני כל הני דלא ידעי ומחלי, אבל בפירות דקל ידע ומחיל כו'. אלמא דאי לאו דידע ומחיל אפילו תפס מפקינן מיניה מהלוקח כיון שאין הקנין נתפס. ומה שכתבו הרא"ש והטור והמחבר חוזר וגובה מבע"ח דאמר ליה כו', ולא כתבו חוזר וגובה מלוקח, היינו משום דמיירי כשיש ללוה לשלם, א"כ המוכר חוזר בשטרו על הלוה ומה לו אצל הלוקח, אבל פשיטא שהלוה חוזר על הלוקח, ולא הוצרכו לכתבו כי פשוט הוא. ונראה שגם כונת התרוה"ד שם היא כן... ואע"ג דפשט דבריו שם לא משמע כן, מ"מ יש לדחוק כמו שכתבתי, דאל"כ קשה עליו הא דאמרן דמה חילוק יש בין לוה ללוקח, ועוד דבהרא"ש מוכח דאפילו לגבי לוקח אין הקנין נתפס אלא כשידע ומטעם מחילה </w:t>
      </w:r>
      <w:r>
        <w:rPr>
          <w:sz w:val="16"/>
          <w:szCs w:val="16"/>
          <w:rtl/>
        </w:rPr>
        <w:t>(והכי מוכח נמי מדברי רש"י (סו: ד"ה לא מפקינן) נמוק"י (לז: מדפה"ר) תוס' (סז. ד"ה התם, ובפרק חזקת הבתים מא. ד"ה אמר ליה) הגמ"ר (שם סי' תלו) בשם ר"ת הג"א (פרק איזהו נשך ובפרק חזקת הבתים סי' לו))</w:t>
      </w:r>
      <w:r>
        <w:rPr>
          <w:rtl/>
        </w:rPr>
        <w:t xml:space="preserve">. ועכ"פ אינו מבואר בתרוה"ד שם דאם אין הלוה יכול לשלם שאין המוכר יכול להוציא מהלוקח </w:t>
      </w:r>
      <w:r>
        <w:rPr>
          <w:sz w:val="16"/>
          <w:szCs w:val="16"/>
          <w:rtl/>
        </w:rPr>
        <w:t>(וכן יש להוכיח עוד מלקמן סי' רב סע' ג וסע' יג [בש"ך סק"ט] וכמה דוכתי דאף אם תפס לא מהני כשאין הקנין כלום)</w:t>
      </w:r>
      <w:r>
        <w:rPr>
          <w:rtl/>
        </w:rPr>
        <w:t>. וא"כ דברי הר"ב והסמ"ע סקמ"ו שנמשך אחריו צל"ע, ש"ך (ס"ק ס"ו).</w:t>
      </w:r>
    </w:p>
  </w:footnote>
  <w:footnote w:id="5094">
    <w:p w14:paraId="4204409F" w14:textId="77777777" w:rsidR="0013116F" w:rsidRDefault="0013116F" w:rsidP="001D49D4">
      <w:pPr>
        <w:pStyle w:val="a9"/>
        <w:rPr>
          <w:rtl/>
        </w:rPr>
      </w:pPr>
      <w:r>
        <w:rPr>
          <w:rStyle w:val="ab"/>
        </w:rPr>
        <w:footnoteRef/>
      </w:r>
      <w:r>
        <w:rPr>
          <w:rtl/>
        </w:rPr>
        <w:t xml:space="preserve"> נראה דדין זה נלמד ממאי דאמרינן בש"ס פרק הכותב [כתובות פו.] כתב ליה שטרא על שמיה וכדלקמן סע' כג, דאלמא כשזקפן על שמו דינו כגבה, ועוד משמע כן מהדינים שנתבארו לקמן סימן ס"ז מסעיף י"ד עד סעיף י"ח, וממה שנתבאר ביו"ד סימן קע"א גבי לוה מן הגר כו', ע"ש [ובש"ך סק"א], וכן עיקר, ש"ך (ס"ק ס"ז).</w:t>
      </w:r>
    </w:p>
  </w:footnote>
  <w:footnote w:id="5095">
    <w:p w14:paraId="382FFB17" w14:textId="77777777" w:rsidR="0013116F" w:rsidRDefault="0013116F" w:rsidP="001D49D4">
      <w:pPr>
        <w:pStyle w:val="a9"/>
      </w:pPr>
      <w:r>
        <w:rPr>
          <w:rStyle w:val="ab"/>
        </w:rPr>
        <w:footnoteRef/>
      </w:r>
      <w:r>
        <w:rPr>
          <w:rtl/>
        </w:rPr>
        <w:t xml:space="preserve"> פירוש, ראובן אמר תנהו לשמעון כשהיו במעמד שלשתן יחד דהיינו ראובן ושמעון ולוי, וזה מהני במלוה על פה כמו שיתבאר לקמן בריש סימן קכ"ו, וכאן בא הטור [סעיף י"ט] והמחבר ללמדנו דכשנותן לו החוב במעמד שלשתן, אע"ג דקנה שמעון ההלואה והשעבוד מהלוה ומלקוחותיו, אפ"ה אינו יכול להוציא גוף השטר מראובן, מפני שאותיות יש להן שני קנינים קנין גוף השטר וקנין השעבוד, ואין אחד מהם נקנה בהקנאת חבירו, וכ"כ הטור ע"ש, סמ"ע (סקמ"ט).</w:t>
      </w:r>
    </w:p>
  </w:footnote>
  <w:footnote w:id="5096">
    <w:p w14:paraId="23C06757" w14:textId="77777777" w:rsidR="0013116F" w:rsidRDefault="0013116F" w:rsidP="001D49D4">
      <w:pPr>
        <w:pStyle w:val="a9"/>
        <w:rPr>
          <w:rtl/>
        </w:rPr>
      </w:pPr>
      <w:r>
        <w:rPr>
          <w:rStyle w:val="ab"/>
        </w:rPr>
        <w:footnoteRef/>
      </w:r>
      <w:r>
        <w:rPr>
          <w:rtl/>
        </w:rPr>
        <w:t xml:space="preserve"> לפי מה שהעליתי לקמן סעיף כ"ט סקצ"ז באריכות דאינו נקנה במעמד שלשתן אלא גוף החוב, אבל לא שיהיה מלוה בשטר, ליתנהו לכל דינים אלו שבסעיף זה ולא נשתעבדו הלקוחות לשמעון, ויכלי למימר לאו בעל דברים דידן את, וגם לוי נאמן לומר פרעתי לשמעון כל שאין השטר בידו בכתיבה ומסירה. ולפי זה גם אין כופין למלוה להוציא השטר. והיה נראה לומר דכיון שנסתלק לוי ממנו במעמד שלשתן והמחהו לשמעון, אם כן הוי ליה השטר שבידו פרוע, אך נראה כיון דלא נפרע בהדיא וגם לא מחלו בפירוש, מסתמא השטר שבידו הוא עד שיפרע לשמעון, ושאם לא יפרע לשמעון או יכפור לו ויאמר פרעתי לו, יוכל לחזור ולהקנות השטר לשמעון בכתיבה ומסירה ויגבה ממנו, ואע"ג דבעלמא מיד שהמחהו שוב אין לממחה כלום על הנמחה, הכא כיון שהניח הממחה השטר אצלו, מסתמא אדעתא דהכי הניחו שלא יתבטל עד שיפרע לשמעון בבירור. ולפי זה אם ראובן היה חייב לשמעון והמחהו ללוי כדי ליפרע בזה חובו, ואח"כ אומר לוי פרעתי לשמעון או שהוצרך לגבות מן הלקוחות, כופין לראובן שיתן כתיבה ומסירה לשמעון, דמאחר שהשטר נשאר ביד ראובן אדעתא דיכול להקנותו אח"כ לשמעון בכתיבה ומסירה, א"כ מסתמא גם אדעתא דהכי נסתלק שמעון מראובן ללוי, והלכך מאחר שעכשיו אומר שמעון שלוי אינו פורע לו או שצריך לגבות מן המשועבדים, צריך ראובן ליתן השטר לשמעון בכתיבה ומסירה, או יפרע לו מעותיו שהיה חייב לו. אבל אם לא היה חייב ראובן לשמעון כלום רק שנתן לו במתנה החוב שהיה לו ביד לוי והמחהו אצל לוי במעמד שלשתן, אינו מחויב ליתן לו עוד השטר בכתיבה ומסירה, כי מה שנתרצה ליתן לו במתנה נתרצה ומה שלא נתרצה לא נתרצה, הלכך אם לוי אומר פרעתי לשמעון נאמן, וכן אפילו מודה שלא פרע אינו יכול לגבות מהמשועבדים דחיישינן לקנוניא, וכדאיתא בדוכתי טובי דהיכא דיכול לטעון פרעתי אין גובים מן המשועבדים, ונתבאר לעיל סימן ל"ט סעיף י"א סקל"ג ולקמן סימן ע"ט סעיף י"ב ס"ק כ"ט. אבל אם רוצה ראובן אח"כ מרצונו הטוב לתת השטר בכתיבה ומסירה לשמעון, יכול לגבות החוב מלוי ולא יהא לוי נאמן לומר פרעתי, וגם יוכל לגבות מן המשועבדים, ש"ך (ס"ק ס"ח).</w:t>
      </w:r>
    </w:p>
  </w:footnote>
  <w:footnote w:id="5097">
    <w:p w14:paraId="2749411C" w14:textId="77777777" w:rsidR="0013116F" w:rsidRDefault="0013116F" w:rsidP="001D49D4">
      <w:pPr>
        <w:pStyle w:val="a9"/>
        <w:rPr>
          <w:rtl/>
        </w:rPr>
      </w:pPr>
      <w:r>
        <w:rPr>
          <w:rStyle w:val="ab"/>
        </w:rPr>
        <w:footnoteRef/>
      </w:r>
      <w:r>
        <w:rPr>
          <w:rtl/>
        </w:rPr>
        <w:t xml:space="preserve"> אך בשער נא ח"ג (סו"ס ד) כתב בעל התרומות ששאל את פי הרמב"ן והשיב לו- 'והנה אין לי ראיה ודבר חזק מזה לסתור... אלא שאין דעת הראשונים נראה כן, מאחר שלא הזכירו אלא כתיבה ומסירה, וכגון דא צריכה רבא'.</w:t>
      </w:r>
    </w:p>
  </w:footnote>
  <w:footnote w:id="5098">
    <w:p w14:paraId="4053941B" w14:textId="77777777" w:rsidR="0013116F" w:rsidRDefault="0013116F" w:rsidP="001D49D4">
      <w:pPr>
        <w:pStyle w:val="a9"/>
        <w:rPr>
          <w:rtl/>
        </w:rPr>
      </w:pPr>
      <w:r>
        <w:rPr>
          <w:rStyle w:val="ab"/>
        </w:rPr>
        <w:footnoteRef/>
      </w:r>
      <w:r>
        <w:rPr>
          <w:rtl/>
        </w:rPr>
        <w:t xml:space="preserve"> האי דין אינו דומה לדין שלפני זה, ששם היה הלוה וגם שמעון הזוכה במעמד בשעה שזיכה לו המנה, אלא שלא הקנה לו גוף השטר, וכאן איירי דלא היה הלוה במעמד, רק הנפקד היה במעמד עם המפקיד והמקבל, ומן הדין היה זוכה לוי בגוף השט"ח שהקנה לו ע"י שמעון כיון שהיו שניהן במעמד, אלא משום שלא זכה בהשעבוד כיון שלא היה הלוה במעמד, לא נקנה לו ג"כ גוף השט"ח, סמ"ע (סקנ"א).</w:t>
      </w:r>
    </w:p>
  </w:footnote>
  <w:footnote w:id="5099">
    <w:p w14:paraId="6165ADD8" w14:textId="77777777" w:rsidR="0013116F" w:rsidRDefault="0013116F" w:rsidP="001D49D4">
      <w:pPr>
        <w:pStyle w:val="a9"/>
      </w:pPr>
      <w:r>
        <w:rPr>
          <w:rStyle w:val="ab"/>
        </w:rPr>
        <w:footnoteRef/>
      </w:r>
      <w:r>
        <w:rPr>
          <w:rtl/>
        </w:rPr>
        <w:t xml:space="preserve"> בחליפין כבר נתבאר בדברי המחבר סעיף ד' וגם בטור [סעיף ד'] לדעת הרמב"ן דלא מהני ליה בחליפין כתיבת קני לך איהו כו', והכי קאמר, כל היכא דלא קנה השעבוד כל אחד לפי מה שהוא, הן בחליפין והיינו דכותב לו קנה לך כו' ולא מסר לו השט"ח, הן במסירה והיינו דמסר לו ולא כתב לו קני כו', לא קנה גוף השטר, סמ"ע (סקנ"ב).</w:t>
      </w:r>
    </w:p>
  </w:footnote>
  <w:footnote w:id="5100">
    <w:p w14:paraId="14CB0FBD" w14:textId="77777777" w:rsidR="0013116F" w:rsidRDefault="0013116F" w:rsidP="001D49D4">
      <w:pPr>
        <w:pStyle w:val="a9"/>
        <w:rPr>
          <w:rtl/>
        </w:rPr>
      </w:pPr>
      <w:r>
        <w:rPr>
          <w:rStyle w:val="ab"/>
        </w:rPr>
        <w:footnoteRef/>
      </w:r>
      <w:r>
        <w:rPr>
          <w:rtl/>
        </w:rPr>
        <w:t xml:space="preserve"> ואם כתב לו כו' והמחהו כו' - נראה שהלשון מהופך, ובעינן שהמחהו תחילה ואח"כ כתב לו, דהא בעינן המסירה קודם הכתיבה כדלעיל סעיף ד', כן נ"ל, ש"ך (ס"ק ס"ט).</w:t>
      </w:r>
    </w:p>
  </w:footnote>
  <w:footnote w:id="5101">
    <w:p w14:paraId="4D277816" w14:textId="77777777" w:rsidR="0013116F" w:rsidRDefault="0013116F" w:rsidP="001D49D4">
      <w:pPr>
        <w:pStyle w:val="a9"/>
        <w:rPr>
          <w:rtl/>
        </w:rPr>
      </w:pPr>
      <w:r>
        <w:rPr>
          <w:rStyle w:val="ab"/>
        </w:rPr>
        <w:footnoteRef/>
      </w:r>
      <w:r>
        <w:rPr>
          <w:rtl/>
        </w:rPr>
        <w:t xml:space="preserve"> צ"ע על הטור [סעיף כ'] והמחבר שכתבו כן בפשיטות, שהרי הרמב"ן חולק על זה ומביאו הבעל התרומות </w:t>
      </w:r>
      <w:r>
        <w:rPr>
          <w:sz w:val="16"/>
          <w:szCs w:val="16"/>
          <w:rtl/>
        </w:rPr>
        <w:t xml:space="preserve">(שער נ"א סוף ח"ג ס"ד) </w:t>
      </w:r>
      <w:r>
        <w:rPr>
          <w:rtl/>
        </w:rPr>
        <w:t xml:space="preserve">וכמו שכתב ב"י בעצמו. וגם קשה שהרי הרמב"ן כתב שם דלדברי הראב"ד </w:t>
      </w:r>
      <w:r>
        <w:rPr>
          <w:sz w:val="16"/>
          <w:szCs w:val="16"/>
          <w:rtl/>
        </w:rPr>
        <w:t xml:space="preserve">(תמים דעים סי' סא) </w:t>
      </w:r>
      <w:r>
        <w:rPr>
          <w:rtl/>
        </w:rPr>
        <w:t xml:space="preserve">דשטרות נקנין בחליפין, ה"ה אם המחהו קנה אותם דהוי ליה המחאה במקום מסירה כו', אלא שאין דעת הראשונים נראה כן, עכ"ל. הרי דמעמד שלשתן וחליפין חד דינא אית להו, וא"כ מאחר שפסקו הטור והמחבר לעיל סע' ד' דשטרות אינם נקנים בחליפין, דחליפין לא הוי כמסירה, למה פסקו כאן דהמחאה הוי כמסירה, וכן הקשה בספר גדולי תרומה </w:t>
      </w:r>
      <w:r>
        <w:rPr>
          <w:sz w:val="16"/>
          <w:szCs w:val="16"/>
          <w:rtl/>
        </w:rPr>
        <w:t>(שער כח ח"ו ס"א)</w:t>
      </w:r>
      <w:r>
        <w:rPr>
          <w:rtl/>
        </w:rPr>
        <w:t xml:space="preserve">. ואולי סבירא להו לחלק, וצ"ע. ומ"מ לענין דינא אין להוציא נגד סברת הרמב"ן, וכן נראה דעת הריטב"א פרק האיש מקדש </w:t>
      </w:r>
      <w:r>
        <w:rPr>
          <w:sz w:val="16"/>
          <w:szCs w:val="16"/>
          <w:rtl/>
        </w:rPr>
        <w:t>(קדושין מח. ד"ה ומלוה)</w:t>
      </w:r>
      <w:r>
        <w:rPr>
          <w:rtl/>
        </w:rPr>
        <w:t xml:space="preserve">... כדעת הרמב"ן, ש"ך </w:t>
      </w:r>
      <w:r>
        <w:rPr>
          <w:sz w:val="16"/>
          <w:szCs w:val="16"/>
          <w:rtl/>
        </w:rPr>
        <w:t>(סק"ע)</w:t>
      </w:r>
      <w:r>
        <w:rPr>
          <w:rtl/>
        </w:rPr>
        <w:t>.</w:t>
      </w:r>
    </w:p>
  </w:footnote>
  <w:footnote w:id="5102">
    <w:p w14:paraId="7E36C732" w14:textId="77777777" w:rsidR="0013116F" w:rsidRDefault="0013116F" w:rsidP="001D49D4">
      <w:pPr>
        <w:pStyle w:val="a9"/>
      </w:pPr>
      <w:r>
        <w:rPr>
          <w:rStyle w:val="ab"/>
        </w:rPr>
        <w:footnoteRef/>
      </w:r>
      <w:r>
        <w:rPr>
          <w:rtl/>
        </w:rPr>
        <w:t xml:space="preserve"> </w:t>
      </w:r>
      <w:r>
        <w:rPr>
          <w:rFonts w:hint="cs"/>
          <w:rtl/>
        </w:rPr>
        <w:t xml:space="preserve">וז"ל - </w:t>
      </w:r>
      <w:r>
        <w:rPr>
          <w:rtl/>
        </w:rPr>
        <w:t>והיכא שהלוה ראובן לשמעון בשטר וחתום בו יהודה ואחר עמו באותו שטר, ועכשו רצה למוכרו או לתתו לאחד מעידי השטר, אם זוכה באותו חוב בכח אותו שטר אם הלוה אינו מודה חובו. ועל זה גרסינן עדים החתומים על שדה מקח ועל גט אשה לא חששו חכמים לדבר. והא איתא בגיטין בפרק האומר, והכי קא מייתי לה הרי"ף ז"ל בהלכותיו במסכת יבמות פרק כיצד, ופסק שאם רצה אחד מן העדים לקנות אותה שדה או לישא אותה אשה הרשות בידו ולא חיישינן לחשדא. וכמו שהביא אותו ירושלמי דקתני שאין שנים מצויים לחתום מפני אחד וכולן מותרות לבנים ולאחיהם, שאין אדם מצוי לחטא לא מפני בנו ולא מפני אחיו. וכתב הרב בהלכותיו ולא ב"ד דוקא, דאפילו שנים נמי לא חשידי. ודוקא חתמו שנעשה כמי שנחקרה עדותן, אבל שיבא ויעיד לא. ומשנה דוקא כשמכרה לאחד מהם אבל אם מכרה לשניהם איכא למיחש.</w:t>
      </w:r>
    </w:p>
  </w:footnote>
  <w:footnote w:id="5103">
    <w:p w14:paraId="1684B5E3" w14:textId="77777777" w:rsidR="0013116F" w:rsidRDefault="0013116F" w:rsidP="001D49D4">
      <w:pPr>
        <w:pStyle w:val="a9"/>
        <w:rPr>
          <w:rtl/>
        </w:rPr>
      </w:pPr>
      <w:r>
        <w:rPr>
          <w:rStyle w:val="ab"/>
        </w:rPr>
        <w:footnoteRef/>
      </w:r>
      <w:r>
        <w:rPr>
          <w:rtl/>
        </w:rPr>
        <w:t xml:space="preserve"> ודוקא חתמו שנעשה כמי שנחקרה עדותן, אבל שיבא ויעיד לא, למיחש בעל התרומות</w:t>
      </w:r>
      <w:r>
        <w:rPr>
          <w:sz w:val="16"/>
          <w:szCs w:val="16"/>
          <w:rtl/>
        </w:rPr>
        <w:t xml:space="preserve"> (שם)</w:t>
      </w:r>
      <w:r>
        <w:rPr>
          <w:rtl/>
        </w:rPr>
        <w:t>.</w:t>
      </w:r>
      <w:r>
        <w:rPr>
          <w:color w:val="00B0F0"/>
          <w:rtl/>
        </w:rPr>
        <w:t xml:space="preserve"> (וכ"כ הרמ"א)</w:t>
      </w:r>
    </w:p>
  </w:footnote>
  <w:footnote w:id="5104">
    <w:p w14:paraId="7C428E84" w14:textId="77777777" w:rsidR="0013116F" w:rsidRDefault="0013116F" w:rsidP="001D49D4">
      <w:pPr>
        <w:pStyle w:val="a9"/>
        <w:rPr>
          <w:rtl/>
        </w:rPr>
      </w:pPr>
      <w:r>
        <w:rPr>
          <w:rStyle w:val="ab"/>
        </w:rPr>
        <w:footnoteRef/>
      </w:r>
      <w:r>
        <w:rPr>
          <w:rtl/>
        </w:rPr>
        <w:t xml:space="preserve"> הטעם, דכל שנחתם מחשב כאילו נחקרה עדותו בב"ד בשעת חתימה ואז לא היה נוגע בדבר, משא"כ כשאינו חתום ובא עתה להעיד, דעתה בשעת עדות כבר הוא נוגע בדבר, סמ"ע (סקנ"ג).</w:t>
      </w:r>
    </w:p>
  </w:footnote>
  <w:footnote w:id="5105">
    <w:p w14:paraId="206261FB" w14:textId="77777777" w:rsidR="0013116F" w:rsidRDefault="0013116F" w:rsidP="001D49D4">
      <w:pPr>
        <w:pStyle w:val="a9"/>
        <w:rPr>
          <w:rtl/>
        </w:rPr>
      </w:pPr>
      <w:r>
        <w:rPr>
          <w:rStyle w:val="ab"/>
        </w:rPr>
        <w:footnoteRef/>
      </w:r>
      <w:r>
        <w:rPr>
          <w:rtl/>
        </w:rPr>
        <w:t xml:space="preserve"> דין זה </w:t>
      </w:r>
      <w:r>
        <w:rPr>
          <w:sz w:val="16"/>
          <w:szCs w:val="16"/>
          <w:rtl/>
        </w:rPr>
        <w:t xml:space="preserve">{ששני עדים שקנו אין יכולים לגבותו} </w:t>
      </w:r>
      <w:r>
        <w:rPr>
          <w:rtl/>
        </w:rPr>
        <w:t>אף שגם הטור כתב כן והוא מבעל התרומות - לא נהירא לי, דאם איתא דבשנים חיישינן להכי לענין שאין יכולים לגבות בו, אם כן גם במכרו לאחד ניחוש להכי, והיאך נאמר שהאחר לא היה מסכים עמו, אם כן אנו נכשיר כל השטר על פי עד אחד, וכה"ג כתבו התוס' פ"ק דגיטין (י: ד"ה אי לאו) והרשב"א (ד"ה הא דאמרינן) ור"ן שם (ג. מדפה"ר ד"ה כל) אהא דאמרינן התם וכגון דחתים ישראל לבסוף, דאי לאו דכותי חבר הוה לא הוה מחתים ליה מקמיה, וז"ל- תימה א"כ כולא שטרא מתקיים אפומא דחד ישראל דחתים לבסוף. ויש לומר דאין לחוש כיון דהוי כותי כשר מדאורייתא דגרי אמת הן, עכ"ל. וא"כ כיון דאיתא להדיא בש"ס פ"ב דיבמות [כה:] ובהרי"ף [ז. מדפה"ר] והרא"ש שם [סי' יב] וכל הפוסקים דעדים החתומים על שטר מקח יכולים ליקח ולא חיישינן להכי והמקח מתקיים, אם כן בשנים נמי. ומה דמחלק הרי"ף שם בין עד אחד לשנים, היינו לענין לכתחילה משום חשדא, דעד אחד יכול ליקח אפילו לכתחילה וליכא משום חשדא, דודאי האחר לא היה חותם עמו שקר בשביל הנאתו, משא"כ כששניהם קונים איכא חשדא לכתחילה... אבל פשיטא דאם כבר מכרו לשנים בדיעבד דיכולים לגבות בו. והכי מוכח נמי בתוס' ר"פ אלו טרפות (חולין מד: ד"ה וכן)... מיהו בבעל התרומות גופיה ליתא האי לישנא דאין יכולים לגבותו. ואפשר לדחוק ולומר דאה"נ דלענין אם ירצו לקנותו לכתחילה מיירי, דאיכא למיחש, ולא יקנו אותו. אבל דברי הטור והמחבר שכתבו- 'אבל אם מכרו לשני עדים החתומים עליו חיישינן כו' ואין יכולים לגבותו' צל"ע, ש"ך (סקע"א).</w:t>
      </w:r>
    </w:p>
  </w:footnote>
  <w:footnote w:id="5106">
    <w:p w14:paraId="79558FC1" w14:textId="77777777" w:rsidR="0013116F" w:rsidRDefault="0013116F" w:rsidP="001D49D4">
      <w:pPr>
        <w:pStyle w:val="a9"/>
        <w:rPr>
          <w:rtl/>
        </w:rPr>
      </w:pPr>
      <w:r>
        <w:rPr>
          <w:rStyle w:val="ab"/>
        </w:rPr>
        <w:footnoteRef/>
      </w:r>
      <w:r>
        <w:rPr>
          <w:rtl/>
        </w:rPr>
        <w:t xml:space="preserve"> וכתב בעל התרומות שם שיש אומרים דלא מקרי נוגע בעדות כיון שסוף סוף צריך לפרוע, ובעל התרומות הסכים לומר דהוי נוגע בעדות משום דשמא השני נוח לו מהראשון, ב"י.</w:t>
      </w:r>
    </w:p>
  </w:footnote>
  <w:footnote w:id="5107">
    <w:p w14:paraId="6278DA72" w14:textId="77777777" w:rsidR="0013116F" w:rsidRDefault="0013116F" w:rsidP="001D49D4">
      <w:pPr>
        <w:pStyle w:val="a9"/>
        <w:rPr>
          <w:rtl/>
        </w:rPr>
      </w:pPr>
      <w:r>
        <w:rPr>
          <w:rStyle w:val="ab"/>
        </w:rPr>
        <w:footnoteRef/>
      </w:r>
      <w:r>
        <w:rPr>
          <w:rtl/>
        </w:rPr>
        <w:t xml:space="preserve"> כלומר שלוי אומר כן וראובן כופר, אבל אם מודה ראובן, קנה לוי אע"פ ששמעון נוגע. וכן משמע מסוף דברי הטור והמחבר, וכן כתב הסמ"ע סקנ"ד, וכן בדין, דמה בכך ששמעון נוגע, אם ראובן מודה שנתנו לו בכתיבה ומסירה וששמעון עד בדבר, וה"ה בכל דבר שצריך עדים בענין, אם הבעל דבר מודה שאלו הם עדים, אע"פ שאחד מהן נוגע או אפילו שניהן נוגעין, הענין כשר. ועוד, דכאן אין צריך עדים כלל דלא איברו סהדי אלא לשיקרא, וכמו שכתבתי לעיל סע' ב סקי"א ע"ש, ש"ך (סקע"ב).</w:t>
      </w:r>
    </w:p>
  </w:footnote>
  <w:footnote w:id="5108">
    <w:p w14:paraId="516120A7" w14:textId="77777777" w:rsidR="0013116F" w:rsidRDefault="0013116F" w:rsidP="001D49D4">
      <w:pPr>
        <w:pStyle w:val="a9"/>
      </w:pPr>
      <w:r>
        <w:rPr>
          <w:rStyle w:val="ab"/>
        </w:rPr>
        <w:footnoteRef/>
      </w:r>
      <w:r>
        <w:rPr>
          <w:rtl/>
        </w:rPr>
        <w:t xml:space="preserve"> </w:t>
      </w:r>
      <w:r>
        <w:rPr>
          <w:rFonts w:hint="cs"/>
          <w:rtl/>
        </w:rPr>
        <w:t xml:space="preserve">סימן – ויתור פתק. וכן - </w:t>
      </w:r>
      <w:r>
        <w:rPr>
          <w:rFonts w:hint="cs"/>
          <w:b/>
          <w:bCs/>
          <w:rtl/>
        </w:rPr>
        <w:t>פו</w:t>
      </w:r>
      <w:r>
        <w:rPr>
          <w:rFonts w:hint="cs"/>
          <w:rtl/>
        </w:rPr>
        <w:t xml:space="preserve">טר </w:t>
      </w:r>
      <w:r>
        <w:rPr>
          <w:sz w:val="16"/>
          <w:szCs w:val="16"/>
          <w:rtl/>
        </w:rPr>
        <w:t>(שטרו)</w:t>
      </w:r>
      <w:r>
        <w:rPr>
          <w:rtl/>
        </w:rPr>
        <w:t>. וכן - פיקח ודאי.</w:t>
      </w:r>
    </w:p>
  </w:footnote>
  <w:footnote w:id="5109">
    <w:p w14:paraId="162E8D53" w14:textId="77777777" w:rsidR="0013116F" w:rsidRDefault="0013116F" w:rsidP="001D49D4">
      <w:pPr>
        <w:pStyle w:val="a9"/>
      </w:pPr>
      <w:r>
        <w:rPr>
          <w:rStyle w:val="ab"/>
        </w:rPr>
        <w:footnoteRef/>
      </w:r>
      <w:r>
        <w:rPr>
          <w:rtl/>
        </w:rPr>
        <w:t xml:space="preserve"> הלוקח, רש"י.</w:t>
      </w:r>
    </w:p>
  </w:footnote>
  <w:footnote w:id="5110">
    <w:p w14:paraId="12F056C9" w14:textId="77777777" w:rsidR="0013116F" w:rsidRDefault="0013116F" w:rsidP="001D49D4">
      <w:pPr>
        <w:pStyle w:val="a9"/>
      </w:pPr>
      <w:r>
        <w:rPr>
          <w:rStyle w:val="ab"/>
        </w:rPr>
        <w:footnoteRef/>
      </w:r>
      <w:r>
        <w:rPr>
          <w:rtl/>
        </w:rPr>
        <w:t xml:space="preserve"> ללוה ושוכרו בהן לכתוב לו שטר החוב בשמו קודם שיעשו קנוניא בין שניהם, רש"י.</w:t>
      </w:r>
    </w:p>
  </w:footnote>
  <w:footnote w:id="5111">
    <w:p w14:paraId="293E2840" w14:textId="77777777" w:rsidR="0013116F" w:rsidRDefault="0013116F" w:rsidP="001D49D4">
      <w:pPr>
        <w:pStyle w:val="a9"/>
      </w:pPr>
      <w:r>
        <w:rPr>
          <w:rStyle w:val="ab"/>
        </w:rPr>
        <w:footnoteRef/>
      </w:r>
      <w:r>
        <w:rPr>
          <w:rtl/>
        </w:rPr>
        <w:t xml:space="preserve"> ואפילו המוכר סלק עצמו מכח החוב ההוא לגמרי וריקן כל כחו בשטר ההוא ליד הקונה אפ"ה אם מחלו - מחול, תשובה בסוף חזה התנופה </w:t>
      </w:r>
      <w:r>
        <w:rPr>
          <w:sz w:val="16"/>
          <w:szCs w:val="16"/>
          <w:rtl/>
        </w:rPr>
        <w:t>(סי' נב, הביאה הב"י)</w:t>
      </w:r>
      <w:r>
        <w:rPr>
          <w:rtl/>
        </w:rPr>
        <w:t xml:space="preserve">. </w:t>
      </w:r>
      <w:r>
        <w:rPr>
          <w:color w:val="E36C0A" w:themeColor="accent6" w:themeShade="BF"/>
          <w:rtl/>
        </w:rPr>
        <w:t>(וכ"פ בשו"ע)</w:t>
      </w:r>
      <w:r>
        <w:rPr>
          <w:rtl/>
        </w:rPr>
        <w:t xml:space="preserve">. ויכול למוחלו אע"פ שלא הגיע עדיין זמן פרעון, מהרי"ק </w:t>
      </w:r>
      <w:r>
        <w:rPr>
          <w:sz w:val="16"/>
          <w:szCs w:val="16"/>
          <w:rtl/>
        </w:rPr>
        <w:t>(שורש פט, הביאו הדרכ"מ [אות ז])</w:t>
      </w:r>
      <w:r>
        <w:rPr>
          <w:rtl/>
        </w:rPr>
        <w:t>. והביא הסמ"ע (סקנ"ה) את דברי מהרי"ק. וכתב הש"ך (סקע"ה) דלחנם כתבו בשם מהרי"ק, דמוכח הוא בש"ס ובכל הפוסקים מכתובה [ב"מ כ.] ומכמה דוכתי, ועיין בסימן פ"ו סקי"א.</w:t>
      </w:r>
    </w:p>
  </w:footnote>
  <w:footnote w:id="5112">
    <w:p w14:paraId="509AE0D0" w14:textId="77777777" w:rsidR="0013116F" w:rsidRDefault="0013116F" w:rsidP="001D49D4">
      <w:pPr>
        <w:pStyle w:val="a9"/>
      </w:pPr>
      <w:r>
        <w:rPr>
          <w:rStyle w:val="ab"/>
        </w:rPr>
        <w:footnoteRef/>
      </w:r>
      <w:r>
        <w:rPr>
          <w:rtl/>
        </w:rPr>
        <w:t xml:space="preserve"> וכתב המרדכי (פרק הכותב סי' ריט) בשם רבינו האי דהוא הדין אם קבל עליו הלוה בקנין או בהודאתו בפני עדים שזקפו עליו במלוה לקונה - אין המוכר יכול למחול, ב"י.</w:t>
      </w:r>
      <w:r>
        <w:rPr>
          <w:color w:val="E36C0A" w:themeColor="accent6" w:themeShade="BF"/>
          <w:rtl/>
        </w:rPr>
        <w:t xml:space="preserve"> (וכ"פ בשו"ע)</w:t>
      </w:r>
    </w:p>
  </w:footnote>
  <w:footnote w:id="5113">
    <w:p w14:paraId="60AF62ED" w14:textId="77777777" w:rsidR="0013116F" w:rsidRDefault="0013116F" w:rsidP="001D49D4">
      <w:pPr>
        <w:pStyle w:val="a9"/>
        <w:rPr>
          <w:rtl/>
        </w:rPr>
      </w:pPr>
      <w:r>
        <w:rPr>
          <w:rStyle w:val="ab"/>
        </w:rPr>
        <w:footnoteRef/>
      </w:r>
      <w:r>
        <w:rPr>
          <w:rtl/>
        </w:rPr>
        <w:t xml:space="preserve"> </w:t>
      </w:r>
      <w:r>
        <w:rPr>
          <w:rFonts w:hint="cs"/>
          <w:rtl/>
        </w:rPr>
        <w:t xml:space="preserve">עיין לקמן האם היורש יכול למחול לעצמו ובכך מפסיד את הלוקח. </w:t>
      </w:r>
    </w:p>
  </w:footnote>
  <w:footnote w:id="5114">
    <w:p w14:paraId="4373165C" w14:textId="77777777" w:rsidR="0013116F" w:rsidRDefault="0013116F" w:rsidP="001D49D4">
      <w:pPr>
        <w:pStyle w:val="a9"/>
      </w:pPr>
      <w:r>
        <w:rPr>
          <w:rStyle w:val="ab"/>
        </w:rPr>
        <w:footnoteRef/>
      </w:r>
      <w:r>
        <w:rPr>
          <w:rtl/>
        </w:rPr>
        <w:t xml:space="preserve"> וטעמו שאי אפשר לו להתנות שלא יוכל לעשות מה שהוא יכול לעשות, ב"י. </w:t>
      </w:r>
    </w:p>
  </w:footnote>
  <w:footnote w:id="5115">
    <w:p w14:paraId="312D8F5B" w14:textId="77777777" w:rsidR="0013116F" w:rsidRDefault="0013116F" w:rsidP="001D49D4">
      <w:pPr>
        <w:pStyle w:val="a9"/>
        <w:rPr>
          <w:rtl/>
        </w:rPr>
      </w:pPr>
      <w:r>
        <w:rPr>
          <w:rStyle w:val="ab"/>
        </w:rPr>
        <w:footnoteRef/>
      </w:r>
      <w:r>
        <w:rPr>
          <w:rtl/>
        </w:rPr>
        <w:t xml:space="preserve"> </w:t>
      </w:r>
      <w:r>
        <w:rPr>
          <w:rFonts w:hint="cs"/>
          <w:rtl/>
        </w:rPr>
        <w:t>סימן – חמס קרובו קרן וחומש.</w:t>
      </w:r>
    </w:p>
  </w:footnote>
  <w:footnote w:id="5116">
    <w:p w14:paraId="3BE157EC" w14:textId="77777777" w:rsidR="0013116F" w:rsidRDefault="0013116F" w:rsidP="001D49D4">
      <w:pPr>
        <w:pStyle w:val="a9"/>
      </w:pPr>
      <w:r>
        <w:rPr>
          <w:rStyle w:val="ab"/>
        </w:rPr>
        <w:footnoteRef/>
      </w:r>
      <w:r>
        <w:rPr>
          <w:rtl/>
        </w:rPr>
        <w:t xml:space="preserve"> של אביו או לאחיו של אביו אם אין לו בנים ואע"ג דנפלה ירושה קמיה דהאיך בעי למעבד השבה ואין מעכב אפילו כנגד חלקו, רש"י.</w:t>
      </w:r>
    </w:p>
  </w:footnote>
  <w:footnote w:id="5117">
    <w:p w14:paraId="4EF6C59C" w14:textId="77777777" w:rsidR="0013116F" w:rsidRDefault="0013116F" w:rsidP="001D49D4">
      <w:pPr>
        <w:pStyle w:val="a9"/>
      </w:pPr>
      <w:r>
        <w:rPr>
          <w:rStyle w:val="ab"/>
        </w:rPr>
        <w:footnoteRef/>
      </w:r>
      <w:r>
        <w:rPr>
          <w:rtl/>
        </w:rPr>
        <w:t xml:space="preserve"> נכסים כל כך שיכול לוותר על חלקו או שאין רוצה להפסיד חלקו, רש"י.</w:t>
      </w:r>
    </w:p>
  </w:footnote>
  <w:footnote w:id="5118">
    <w:p w14:paraId="6C07D972" w14:textId="77777777" w:rsidR="0013116F" w:rsidRDefault="0013116F" w:rsidP="001D49D4">
      <w:pPr>
        <w:pStyle w:val="a9"/>
        <w:rPr>
          <w:rtl/>
        </w:rPr>
      </w:pPr>
      <w:r>
        <w:rPr>
          <w:rStyle w:val="ab"/>
        </w:rPr>
        <w:footnoteRef/>
      </w:r>
      <w:r>
        <w:rPr>
          <w:rtl/>
        </w:rPr>
        <w:t xml:space="preserve"> מאחרים ומשיב לאחיו לקיים מצות השבה, רש"י.</w:t>
      </w:r>
    </w:p>
  </w:footnote>
  <w:footnote w:id="5119">
    <w:p w14:paraId="042DDA36" w14:textId="77777777" w:rsidR="0013116F" w:rsidRDefault="0013116F" w:rsidP="001D49D4">
      <w:pPr>
        <w:pStyle w:val="a9"/>
        <w:rPr>
          <w:rtl/>
        </w:rPr>
      </w:pPr>
      <w:r>
        <w:rPr>
          <w:rStyle w:val="ab"/>
        </w:rPr>
        <w:footnoteRef/>
      </w:r>
      <w:r>
        <w:rPr>
          <w:rtl/>
        </w:rPr>
        <w:t xml:space="preserve"> מן ההשבה את חלקו כגון אם היו שנים אחין והוא שלישי נפרעים בעלי חובים מן שליש הירושה והשאר יגבו ממנו, רש"י.</w:t>
      </w:r>
    </w:p>
  </w:footnote>
  <w:footnote w:id="5120">
    <w:p w14:paraId="6E18FD64" w14:textId="77777777" w:rsidR="0013116F" w:rsidRDefault="0013116F" w:rsidP="001D49D4">
      <w:pPr>
        <w:pStyle w:val="a9"/>
      </w:pPr>
      <w:r>
        <w:rPr>
          <w:rStyle w:val="ab"/>
        </w:rPr>
        <w:footnoteRef/>
      </w:r>
      <w:r>
        <w:rPr>
          <w:rtl/>
        </w:rPr>
        <w:t xml:space="preserve"> אם אינו מוצא יורש לאביו למי ישיב יתן אותה לארנקי של צדקה ולא יעכבנו בידו, רש"י.</w:t>
      </w:r>
    </w:p>
  </w:footnote>
  <w:footnote w:id="5121">
    <w:p w14:paraId="4FBDD2DF" w14:textId="77777777" w:rsidR="0013116F" w:rsidRDefault="0013116F" w:rsidP="001D49D4">
      <w:pPr>
        <w:pStyle w:val="a9"/>
      </w:pPr>
      <w:r>
        <w:rPr>
          <w:rStyle w:val="ab"/>
        </w:rPr>
        <w:footnoteRef/>
      </w:r>
      <w:r>
        <w:rPr>
          <w:rtl/>
        </w:rPr>
        <w:t xml:space="preserve"> כשהוא משיב לארנקי של צדקה זה גזל אבא, רש"י.</w:t>
      </w:r>
    </w:p>
  </w:footnote>
  <w:footnote w:id="5122">
    <w:p w14:paraId="404FA46E" w14:textId="77777777" w:rsidR="0013116F" w:rsidRDefault="0013116F" w:rsidP="001D49D4">
      <w:pPr>
        <w:pStyle w:val="a9"/>
        <w:rPr>
          <w:rtl/>
        </w:rPr>
      </w:pPr>
      <w:r>
        <w:rPr>
          <w:rStyle w:val="ab"/>
        </w:rPr>
        <w:footnoteRef/>
      </w:r>
      <w:r>
        <w:rPr>
          <w:rtl/>
        </w:rPr>
        <w:t xml:space="preserve"> היכא דאין יורש אלא הוא וכולה שלו, רש"י.</w:t>
      </w:r>
    </w:p>
  </w:footnote>
  <w:footnote w:id="5123">
    <w:p w14:paraId="4A63ED9F" w14:textId="77777777" w:rsidR="0013116F" w:rsidRDefault="0013116F" w:rsidP="001D49D4">
      <w:pPr>
        <w:pStyle w:val="a9"/>
      </w:pPr>
      <w:r>
        <w:rPr>
          <w:rStyle w:val="ab"/>
        </w:rPr>
        <w:footnoteRef/>
      </w:r>
      <w:r>
        <w:rPr>
          <w:rtl/>
        </w:rPr>
        <w:t xml:space="preserve"> ולא מקיימא מצות השבה אלמא למיפק ידי גזילה בעינן והא נפקא ליה במחילה הכא נמי כיון דירושה קמיה נפלה נפק ליה מידי גזילה, רש"י.</w:t>
      </w:r>
    </w:p>
  </w:footnote>
  <w:footnote w:id="5124">
    <w:p w14:paraId="769FC88C" w14:textId="77777777" w:rsidR="0013116F" w:rsidRDefault="0013116F" w:rsidP="001D49D4">
      <w:pPr>
        <w:pStyle w:val="a9"/>
      </w:pPr>
      <w:r>
        <w:rPr>
          <w:rStyle w:val="ab"/>
        </w:rPr>
        <w:footnoteRef/>
      </w:r>
      <w:r>
        <w:rPr>
          <w:rtl/>
        </w:rPr>
        <w:t xml:space="preserve"> אם אין לו בן או בת או אח יש לו קרוב עד יעקב אבינו הקרוב קרוב יורש, רש"י.</w:t>
      </w:r>
    </w:p>
  </w:footnote>
  <w:footnote w:id="5125">
    <w:p w14:paraId="6ADD9041" w14:textId="77777777" w:rsidR="0013116F" w:rsidRDefault="0013116F" w:rsidP="001D49D4">
      <w:pPr>
        <w:pStyle w:val="a9"/>
      </w:pPr>
      <w:r>
        <w:rPr>
          <w:rStyle w:val="ab"/>
        </w:rPr>
        <w:footnoteRef/>
      </w:r>
      <w:r>
        <w:rPr>
          <w:rtl/>
        </w:rPr>
        <w:t xml:space="preserve"> לכהנים כדכתיב האשם המושב לה' לכהן ואמרינן לקמן בשמעתין אשם זה קרן, רש"י.</w:t>
      </w:r>
    </w:p>
  </w:footnote>
  <w:footnote w:id="5126">
    <w:p w14:paraId="50F3EEF2" w14:textId="77777777" w:rsidR="0013116F" w:rsidRDefault="0013116F" w:rsidP="001D49D4">
      <w:pPr>
        <w:pStyle w:val="a9"/>
      </w:pPr>
      <w:r>
        <w:rPr>
          <w:rStyle w:val="ab"/>
        </w:rPr>
        <w:footnoteRef/>
      </w:r>
      <w:r>
        <w:rPr>
          <w:rtl/>
        </w:rPr>
        <w:t xml:space="preserve"> גר במלוה נפק ליה מתורת גזילה ולכי מיית גר הוה ליה האי מוחזק וזכה מן ההפקר, רש"י.</w:t>
      </w:r>
    </w:p>
  </w:footnote>
  <w:footnote w:id="5127">
    <w:p w14:paraId="392291F5" w14:textId="77777777" w:rsidR="0013116F" w:rsidRDefault="0013116F" w:rsidP="001D49D4">
      <w:pPr>
        <w:pStyle w:val="a9"/>
      </w:pPr>
      <w:r>
        <w:rPr>
          <w:rStyle w:val="ab"/>
        </w:rPr>
        <w:footnoteRef/>
      </w:r>
      <w:r>
        <w:rPr>
          <w:rtl/>
        </w:rPr>
        <w:t xml:space="preserve"> דלרבי יוסי לנפשיה נמי מצי מחיל דזקפו לאו דוקא וכי אמר רבי עקיבא דלא מצי מחיל לנפשיה הוא דקאמר דאע"ג דגר זקפו כיון דלא מחיל מחילה גמורה לא נפקא ליה מתורת גזילה אבל נגזל לגזלן מודה ר' עקיבא דמחיל, רש"י.</w:t>
      </w:r>
    </w:p>
  </w:footnote>
  <w:footnote w:id="5128">
    <w:p w14:paraId="7E4627E3" w14:textId="77777777" w:rsidR="0013116F" w:rsidRDefault="0013116F" w:rsidP="001D49D4">
      <w:pPr>
        <w:pStyle w:val="a9"/>
        <w:rPr>
          <w:rtl/>
        </w:rPr>
      </w:pPr>
      <w:r>
        <w:rPr>
          <w:rStyle w:val="ab"/>
        </w:rPr>
        <w:footnoteRef/>
      </w:r>
      <w:r>
        <w:rPr>
          <w:rtl/>
        </w:rPr>
        <w:t xml:space="preserve"> </w:t>
      </w:r>
      <w:r>
        <w:rPr>
          <w:rFonts w:hint="cs"/>
          <w:rtl/>
        </w:rPr>
        <w:t>סימן – פוטרת הונה.</w:t>
      </w:r>
    </w:p>
  </w:footnote>
  <w:footnote w:id="5129">
    <w:p w14:paraId="64751F08" w14:textId="77777777" w:rsidR="0013116F" w:rsidRDefault="0013116F" w:rsidP="001D49D4">
      <w:pPr>
        <w:pStyle w:val="a9"/>
      </w:pPr>
      <w:r>
        <w:rPr>
          <w:rStyle w:val="ab"/>
        </w:rPr>
        <w:footnoteRef/>
      </w:r>
      <w:r>
        <w:rPr>
          <w:rtl/>
        </w:rPr>
        <w:t xml:space="preserve"> מכרה שעבוד כתובתה לאחרים בעודה תחת בעלה, רש"י.</w:t>
      </w:r>
    </w:p>
  </w:footnote>
  <w:footnote w:id="5130">
    <w:p w14:paraId="7C346193" w14:textId="77777777" w:rsidR="0013116F" w:rsidRDefault="0013116F" w:rsidP="001D49D4">
      <w:pPr>
        <w:pStyle w:val="a9"/>
      </w:pPr>
      <w:r>
        <w:rPr>
          <w:rStyle w:val="ab"/>
        </w:rPr>
        <w:footnoteRef/>
      </w:r>
      <w:r>
        <w:rPr>
          <w:rtl/>
        </w:rPr>
        <w:t xml:space="preserve"> דבר מועט שאינו אלא כחיזוק טובה שקורין גרי"ד מפיק רצון ולפי שהלוקח מטיל מעותיו בספק שמא תמות היא בחיי בעלה מפחד ואינו לוקחה אלא בדמי' מועטי', רש"י.</w:t>
      </w:r>
    </w:p>
  </w:footnote>
  <w:footnote w:id="5131">
    <w:p w14:paraId="00904548" w14:textId="77777777" w:rsidR="0013116F" w:rsidRDefault="0013116F" w:rsidP="001D49D4">
      <w:pPr>
        <w:pStyle w:val="a9"/>
      </w:pPr>
      <w:r>
        <w:rPr>
          <w:rStyle w:val="ab"/>
        </w:rPr>
        <w:footnoteRef/>
      </w:r>
      <w:r>
        <w:rPr>
          <w:rtl/>
        </w:rPr>
        <w:t xml:space="preserve"> אתו לקוחות וקא תבעי לה לברתה הבאה לגבות כתובת אמה מאביה ולירש הכתובה מכח אמה ואלו באין ליטול אותה הימנה לומר אמך מכרה לנו, רש"י.</w:t>
      </w:r>
    </w:p>
  </w:footnote>
  <w:footnote w:id="5132">
    <w:p w14:paraId="39BE9ED1" w14:textId="77777777" w:rsidR="0013116F" w:rsidRDefault="0013116F" w:rsidP="001D49D4">
      <w:pPr>
        <w:pStyle w:val="a9"/>
      </w:pPr>
      <w:r>
        <w:rPr>
          <w:rStyle w:val="ab"/>
        </w:rPr>
        <w:footnoteRef/>
      </w:r>
      <w:r>
        <w:rPr>
          <w:rtl/>
        </w:rPr>
        <w:t xml:space="preserve"> דאמרינן אפי' יורש מוחל ואמה של זו מכרה להן שטר חוב </w:t>
      </w:r>
      <w:r>
        <w:rPr>
          <w:sz w:val="16"/>
          <w:szCs w:val="16"/>
          <w:rtl/>
        </w:rPr>
        <w:t xml:space="preserve">{היינו כתובתה} </w:t>
      </w:r>
      <w:r>
        <w:rPr>
          <w:rtl/>
        </w:rPr>
        <w:t>שהיה לה על בעלה, רש"י.</w:t>
      </w:r>
    </w:p>
  </w:footnote>
  <w:footnote w:id="5133">
    <w:p w14:paraId="60DF9297" w14:textId="77777777" w:rsidR="0013116F" w:rsidRDefault="0013116F" w:rsidP="001D49D4">
      <w:pPr>
        <w:pStyle w:val="a9"/>
      </w:pPr>
      <w:r>
        <w:rPr>
          <w:rStyle w:val="ab"/>
        </w:rPr>
        <w:footnoteRef/>
      </w:r>
      <w:r>
        <w:rPr>
          <w:rtl/>
        </w:rPr>
        <w:t xml:space="preserve"> כקרוב של בעל דין או אוהבו הבא אצל דיינין ועורכו בראיות אחר זכות אוהבו או קרובו כך למדתי עצה לזו להפסיד שכנגדה, רש"י.</w:t>
      </w:r>
    </w:p>
  </w:footnote>
  <w:footnote w:id="5134">
    <w:p w14:paraId="7C0787EA" w14:textId="77777777" w:rsidR="0013116F" w:rsidRDefault="0013116F" w:rsidP="001D49D4">
      <w:pPr>
        <w:pStyle w:val="a9"/>
      </w:pPr>
      <w:r>
        <w:rPr>
          <w:rStyle w:val="ab"/>
        </w:rPr>
        <w:footnoteRef/>
      </w:r>
      <w:r>
        <w:rPr>
          <w:rtl/>
        </w:rPr>
        <w:t xml:space="preserve"> לפי שלמדין הימנו ויש שיעשו אף שלא לקרובים, רש"י.</w:t>
      </w:r>
    </w:p>
  </w:footnote>
  <w:footnote w:id="5135">
    <w:p w14:paraId="47F60CC6" w14:textId="77777777" w:rsidR="0013116F" w:rsidRDefault="0013116F" w:rsidP="001D49D4">
      <w:pPr>
        <w:pStyle w:val="a9"/>
      </w:pPr>
      <w:r>
        <w:rPr>
          <w:rStyle w:val="ab"/>
        </w:rPr>
        <w:footnoteRef/>
      </w:r>
      <w:r>
        <w:rPr>
          <w:rtl/>
        </w:rPr>
        <w:t xml:space="preserve"> כתב הרא"ש (שם) וז"ל- פירש רש"י שהלקוחות תבעו הבת לדין שבאה לגבות כתובת אמה מאביה. ואין הלשון משמע כן, דמה לו ללוקח אצל הבת, מסתמא כשקנה הכתובה מאמה מסרה לידו הכתובה וכתבה לו עליה שטר מכירה, והאב לא יפרע אלא למי שיחזיר לו הכתובה, הילכך הפירוש הנכון שמת גם האב ואין להם יורש אלא זו הבת, ואשמועינן תלמודא דאף בכה"ג שהמחילה היא לעצמה שיכולה למחול לאביה והיא זוכה במקום אביה, וכיוצא בו מצינו בהגוזל קמא (ב"ק קט.) דפריך דניחליה לנפשיה גבי גוזל את אביו.</w:t>
      </w:r>
    </w:p>
  </w:footnote>
  <w:footnote w:id="5136">
    <w:p w14:paraId="4554F001" w14:textId="77777777" w:rsidR="0013116F" w:rsidRDefault="0013116F" w:rsidP="001D49D4">
      <w:pPr>
        <w:pStyle w:val="a9"/>
      </w:pPr>
      <w:r>
        <w:rPr>
          <w:rStyle w:val="ab"/>
        </w:rPr>
        <w:footnoteRef/>
      </w:r>
      <w:r>
        <w:rPr>
          <w:rtl/>
        </w:rPr>
        <w:t xml:space="preserve"> צ"ל דבעל התרומות מפרש כרש"י ואינו לומד מכאן </w:t>
      </w:r>
      <w:r>
        <w:rPr>
          <w:sz w:val="16"/>
          <w:szCs w:val="16"/>
          <w:rtl/>
        </w:rPr>
        <w:t xml:space="preserve">(כתובות פה:) </w:t>
      </w:r>
      <w:r>
        <w:rPr>
          <w:rtl/>
        </w:rPr>
        <w:t>דין זה אלא מההיא דהגוזל קמא דהא דפריך ניחליה לנפשיה לרבי יוסי הוא אבל לא לרבי עקיבא והלכה כרבי עקיבא, וכ"פ הרמב"ם (הל' גזילה ואבידה פ"ח ה"ד). וכתב בעל התרומות (שער נא ח"ו סי' ו) שמצא בספר הזכות (כתובות מ:) שלמד כן מדתניא (כתובות פא:) הרי שהיה נושה באחיו מנה ומת והניח שומרת יבם לא יאמר הואיל ואני יורש החזקתי אלא מוציאין מידו וכו', ואם איתא אמאי לא יאמר הואיל ואני יורש החזקתיו שמחלתיו לעצמי ובטל שעבוד החוב מעיקרו - אלא ודאי לא מצי מחיל. וכתב עוד- ומסתברא דההיא דהגוזל אין לה ענין בזה, דמאן דאמר התם לנפשיה מצי מחיל משום דממון אביו הוא והוא יורשו אבל כאן הרי מכרו אביו ונשתעבדו נכסיו ללוקח ואין אדם פוטר עצמו משעבודו, עכ"ל בעל התרומות, ב"י.</w:t>
      </w:r>
    </w:p>
  </w:footnote>
  <w:footnote w:id="5137">
    <w:p w14:paraId="66883BAA" w14:textId="77777777" w:rsidR="0013116F" w:rsidRDefault="0013116F" w:rsidP="001D49D4">
      <w:pPr>
        <w:pStyle w:val="a9"/>
      </w:pPr>
      <w:r>
        <w:rPr>
          <w:rStyle w:val="ab"/>
        </w:rPr>
        <w:footnoteRef/>
      </w:r>
      <w:r>
        <w:rPr>
          <w:rtl/>
        </w:rPr>
        <w:t xml:space="preserve"> </w:t>
      </w:r>
      <w:r>
        <w:rPr>
          <w:rFonts w:hint="cs"/>
          <w:rtl/>
        </w:rPr>
        <w:t>וז"ל-</w:t>
      </w:r>
      <w:r>
        <w:rPr>
          <w:rtl/>
        </w:rPr>
        <w:t xml:space="preserve"> מה שאמרו דמאן דלא דאין דינא דגרמי מגבי ביה דמי נייר בעלמא ופירש רש"י אומר שלא מכר לו אלא הנייר והנו בידך ולשון מגבי ליה קשיא ויש לומר דעיקר מילתא איתמר גבי שורף שטרותיו של חבירו </w:t>
      </w:r>
      <w:r>
        <w:rPr>
          <w:sz w:val="16"/>
          <w:szCs w:val="16"/>
          <w:rtl/>
        </w:rPr>
        <w:t xml:space="preserve">(ב"ק צח.) </w:t>
      </w:r>
      <w:r>
        <w:rPr>
          <w:rtl/>
        </w:rPr>
        <w:t xml:space="preserve">ולהכי קאמר מגבי דמי ניירא. וחכמי פרווינצייא אומרים שגם כאן צריך לפרוע המוחל ללוקח דמי הנייר דכיון דמוחלו הרי הוא כפרוע וצריך להחזירו ללוה כי הוא נותן שכר הסופר </w:t>
      </w:r>
      <w:r>
        <w:rPr>
          <w:sz w:val="16"/>
          <w:szCs w:val="16"/>
          <w:rtl/>
        </w:rPr>
        <w:t>(ב"ב קסז:)</w:t>
      </w:r>
      <w:r>
        <w:rPr>
          <w:rtl/>
        </w:rPr>
        <w:t xml:space="preserve"> והנייר שלו. עכ"ל. וכתב הש"ך (סקע"ו) דנראה שדעתו כדעת חכמי פרווינצייא.</w:t>
      </w:r>
    </w:p>
  </w:footnote>
  <w:footnote w:id="5138">
    <w:p w14:paraId="1365D8C7" w14:textId="77777777" w:rsidR="0013116F" w:rsidRDefault="0013116F" w:rsidP="001D49D4">
      <w:pPr>
        <w:pStyle w:val="a9"/>
      </w:pPr>
      <w:r>
        <w:rPr>
          <w:rStyle w:val="ab"/>
        </w:rPr>
        <w:footnoteRef/>
      </w:r>
      <w:r>
        <w:rPr>
          <w:rtl/>
        </w:rPr>
        <w:t xml:space="preserve"> ובתשו' (שם) הביא הרשב"א ראיה לדבר וכתב- וכן דנתי לפני מורי הרמב"ן ואע"פ שהיה סבור להפך נתחבט כמה לדחות ראיה זו ולא עלה בידו עכ"ל וכן נראה מדברי רש"י, וראיות שתי הסברות כתב הר"ן באורך... ועיין במ"ש בסימן זה (סט"ז) בשם בעל התרומות, ב"י. ודחה הש"ך (סקע"ו) את ראיית הרשב"א ונתן טעם לדברי הרמב"ן, וכתב שגם בדברי רש"י אין הכרח לפרש כדברי הרשב"א, וסיים דמכל מקום כיון דהרשב"א והרבה גדולים ס"ל דאין כופין להחזיר הנייר, נראה דדין זה הוי ספיקא דדינא והמוציא מחבירו עליו הראיה ואין כופין ללוקח. ולענין קדושין נמי ספיקא הוי... והעולה מכל זה וממש"כ לעיל סע' טז סקנ"ט, דמי שמכר שט"ח בין שמסר וכתב לו באופן שקנהו, או שמסר ולא כתב, וחזר ומחלו או נפרע, הרי זה ספק אם הלוקח מחויב להחזיר השטר ללוה, ואין כופין אותו מספק שהמוציא מחבירו עליו הראיה, לפיכך לוקח זה שקידש אשה בשט"ח זה, הרי זו ספק מקודשת שמא הנייר שוה פרוטה במדי, אבל אינה מקודשת קדושי ודאי אע"פ שהוא שוה כאן פרוטה, שמא מחויב להחזיר השטר ללוה, וכן מלוה שקידש אשה בשט"ח שיש לו על אחרים, אע"פ שהנייר שוה פרוטה, אינה מקודשת קדושי ודאי, דשמא אשה לא סמכה דעתה וסברה דילמא אזיל ומחיל השט"ח וא"כ צריכה להחזיר גוף הנייר ללוה, אלא הרי זו ספק מקודשת.</w:t>
      </w:r>
    </w:p>
  </w:footnote>
  <w:footnote w:id="5139">
    <w:p w14:paraId="453A12F9" w14:textId="77777777" w:rsidR="0013116F" w:rsidRDefault="0013116F" w:rsidP="001D49D4">
      <w:pPr>
        <w:pStyle w:val="a9"/>
        <w:rPr>
          <w:rtl/>
        </w:rPr>
      </w:pPr>
      <w:r>
        <w:rPr>
          <w:rStyle w:val="ab"/>
        </w:rPr>
        <w:footnoteRef/>
      </w:r>
      <w:r>
        <w:rPr>
          <w:rtl/>
        </w:rPr>
        <w:t xml:space="preserve"> </w:t>
      </w:r>
      <w:r>
        <w:rPr>
          <w:rFonts w:hint="cs"/>
          <w:rtl/>
        </w:rPr>
        <w:t>אך הדרכ"מ (אות ח)</w:t>
      </w:r>
      <w:r>
        <w:rPr>
          <w:rtl/>
        </w:rPr>
        <w:t xml:space="preserve"> כתב בשם מהרי"ק </w:t>
      </w:r>
      <w:r>
        <w:rPr>
          <w:sz w:val="16"/>
          <w:szCs w:val="16"/>
          <w:rtl/>
        </w:rPr>
        <w:t>(שורש פט)</w:t>
      </w:r>
      <w:r>
        <w:rPr>
          <w:rtl/>
        </w:rPr>
        <w:t xml:space="preserve"> דאם קטן מחל שטר חוב הוה מחילה בטעות. והעתיקו הסמ"ע (סקנ"ח) על דברי השו"ע. וכתב הש"ך (סק"פ) דלא הוי ליה להסמ"ע להעתיקו כאן, דמהרי"ק התם בשורש פ"ט מיירי כשהקטן מחל מחמת שהיה סבור שפרע לאביו וכה"ג, והוי מחילה בטעות, והוא הדין בגדול כה"ג, אלא דקטן מסתמא לא ידע כלום במילי דאבוה וכדלעיל ס"ס כ', אבל כאן דמיירי שמוחל השטר אע"פ שלא פרע, פשיטא דמחילת קטן הויא מחילה, וכמבואר בדברי התוס' (כתובות פו. ד"ה תיזיל, ופרק מי שמת קמז: ד"ה המוכר) והר"ן (פרק הכותב מה. מדפה"ר) ובהרא"ש (ספ"ק דמציעא סי' מח) דקטן שהגיע לעונת הפעוטות [וכדלקמן ר"ס רלה] יכול למחול שט"ח אפילו הוא יורש. ומבואר עוד שם דאין צריך לשלם כשיגדיל.</w:t>
      </w:r>
    </w:p>
  </w:footnote>
  <w:footnote w:id="5140">
    <w:p w14:paraId="5FF6BBA3" w14:textId="77777777" w:rsidR="0013116F" w:rsidRDefault="0013116F" w:rsidP="001D49D4">
      <w:pPr>
        <w:pStyle w:val="a9"/>
      </w:pPr>
      <w:r>
        <w:rPr>
          <w:rStyle w:val="ab"/>
        </w:rPr>
        <w:footnoteRef/>
      </w:r>
      <w:r>
        <w:rPr>
          <w:rtl/>
        </w:rPr>
        <w:t xml:space="preserve"> ואפילו כתב תחילה דפוסל כל עדים שיעידו על המחילה, מ"מ יכול למחול, ב"י </w:t>
      </w:r>
      <w:r>
        <w:rPr>
          <w:sz w:val="16"/>
          <w:szCs w:val="16"/>
          <w:rtl/>
        </w:rPr>
        <w:t xml:space="preserve">(מחו' לט) </w:t>
      </w:r>
      <w:r>
        <w:rPr>
          <w:rtl/>
        </w:rPr>
        <w:t xml:space="preserve">בשם רשב"א </w:t>
      </w:r>
      <w:r>
        <w:rPr>
          <w:sz w:val="16"/>
          <w:szCs w:val="16"/>
          <w:rtl/>
        </w:rPr>
        <w:t>(ח"ו סי' רל)</w:t>
      </w:r>
      <w:r>
        <w:rPr>
          <w:rtl/>
        </w:rPr>
        <w:t xml:space="preserve">, סמ"ע </w:t>
      </w:r>
      <w:r>
        <w:rPr>
          <w:sz w:val="16"/>
          <w:szCs w:val="16"/>
          <w:rtl/>
        </w:rPr>
        <w:t>(סקנ"ה)</w:t>
      </w:r>
      <w:r>
        <w:rPr>
          <w:rtl/>
        </w:rPr>
        <w:t xml:space="preserve">. וכ"כ הש"ך </w:t>
      </w:r>
      <w:r>
        <w:rPr>
          <w:sz w:val="16"/>
          <w:szCs w:val="16"/>
          <w:rtl/>
        </w:rPr>
        <w:t>(סקע"ט)</w:t>
      </w:r>
      <w:r>
        <w:rPr>
          <w:rtl/>
        </w:rPr>
        <w:t xml:space="preserve">. וכתב עוד </w:t>
      </w:r>
      <w:r>
        <w:rPr>
          <w:sz w:val="16"/>
          <w:szCs w:val="16"/>
          <w:rtl/>
        </w:rPr>
        <w:t xml:space="preserve">(שם) </w:t>
      </w:r>
      <w:r>
        <w:rPr>
          <w:rtl/>
        </w:rPr>
        <w:t xml:space="preserve">בשם הרמב"ם </w:t>
      </w:r>
      <w:r>
        <w:rPr>
          <w:sz w:val="16"/>
          <w:szCs w:val="16"/>
          <w:rtl/>
        </w:rPr>
        <w:t xml:space="preserve">(פ"ו מהל' מכירה הי"ד) </w:t>
      </w:r>
      <w:r>
        <w:rPr>
          <w:rtl/>
        </w:rPr>
        <w:t xml:space="preserve">דאפילו הקנה לו השט"ח אגב קרקע יכול למחול. וכתב עוד </w:t>
      </w:r>
      <w:r>
        <w:rPr>
          <w:sz w:val="16"/>
          <w:szCs w:val="16"/>
          <w:rtl/>
        </w:rPr>
        <w:t xml:space="preserve">(סקע"ד) </w:t>
      </w:r>
      <w:r>
        <w:rPr>
          <w:rtl/>
        </w:rPr>
        <w:t xml:space="preserve">דאפילו למ"ד דמחילה לא מהני היכא דתפס שטרא </w:t>
      </w:r>
      <w:r>
        <w:rPr>
          <w:sz w:val="16"/>
          <w:szCs w:val="16"/>
          <w:rtl/>
        </w:rPr>
        <w:t>(וכמש"כ סי' רמא סע' ב סק"ד)</w:t>
      </w:r>
      <w:r>
        <w:rPr>
          <w:rtl/>
        </w:rPr>
        <w:t xml:space="preserve"> מודה הכא, דהא ליתא שטרא בידיה דליהדר ליה, כ"כ בהעי"ט </w:t>
      </w:r>
      <w:r>
        <w:rPr>
          <w:sz w:val="16"/>
          <w:szCs w:val="16"/>
          <w:rtl/>
        </w:rPr>
        <w:t>(אות מ' מחילה צג:)</w:t>
      </w:r>
      <w:r>
        <w:rPr>
          <w:rtl/>
        </w:rPr>
        <w:t>. ועוד כתב</w:t>
      </w:r>
      <w:r>
        <w:rPr>
          <w:sz w:val="16"/>
          <w:szCs w:val="16"/>
          <w:rtl/>
        </w:rPr>
        <w:t xml:space="preserve"> (סקע"ה) </w:t>
      </w:r>
      <w:r>
        <w:rPr>
          <w:rtl/>
        </w:rPr>
        <w:t>דאין חילוק בין יש בשטר נאמנות או לא, בכל ענין יכול למחלו.</w:t>
      </w:r>
    </w:p>
  </w:footnote>
  <w:footnote w:id="5141">
    <w:p w14:paraId="17894C9C" w14:textId="77777777" w:rsidR="0013116F" w:rsidRDefault="0013116F" w:rsidP="001D49D4">
      <w:pPr>
        <w:pStyle w:val="a9"/>
        <w:rPr>
          <w:rtl/>
        </w:rPr>
      </w:pPr>
      <w:r>
        <w:rPr>
          <w:rStyle w:val="ab"/>
        </w:rPr>
        <w:footnoteRef/>
      </w:r>
      <w:r>
        <w:rPr>
          <w:rtl/>
        </w:rPr>
        <w:t xml:space="preserve"> כתב הריטב"א פרק הכותב [כתובות פו. ד"ה מקרקש], פירוש, לענין שיתחייב לו לפרוע, ומיהו אם מחלו אינו טורף מזמן הראשון, ע"כ ופשוט הוא, ש"ך (סקע"ז).</w:t>
      </w:r>
    </w:p>
  </w:footnote>
  <w:footnote w:id="5142">
    <w:p w14:paraId="094CC1D6" w14:textId="77777777" w:rsidR="0013116F" w:rsidRDefault="0013116F" w:rsidP="001D49D4">
      <w:pPr>
        <w:pStyle w:val="a9"/>
        <w:rPr>
          <w:rtl/>
        </w:rPr>
      </w:pPr>
      <w:r>
        <w:rPr>
          <w:rStyle w:val="ab"/>
        </w:rPr>
        <w:footnoteRef/>
      </w:r>
      <w:r>
        <w:rPr>
          <w:rtl/>
        </w:rPr>
        <w:t xml:space="preserve"> וה"ה אם התנה עמו שלא ימחול זהו גם כן בכלל טעם זה, שהרי יכול למחול, ואם התנה עמו, מה לו ללוה בכך, וגם דעת הבעל התרומות [שער נ"א ח"ו ס"ד, הובא בב"ח שם] כן... ובכל ענין לא מהני תנאי ומצי מחיל וכדמוכח בש"ס ופוסקים, וליכא מאן דפליג בהא, ודלא כהב"ח וע"ש, ש"ך (סקע"ח).</w:t>
      </w:r>
    </w:p>
  </w:footnote>
  <w:footnote w:id="5143">
    <w:p w14:paraId="60B4D4F4" w14:textId="77777777" w:rsidR="0013116F" w:rsidRDefault="0013116F" w:rsidP="001D49D4">
      <w:pPr>
        <w:pStyle w:val="a9"/>
      </w:pPr>
      <w:r>
        <w:rPr>
          <w:rStyle w:val="ab"/>
        </w:rPr>
        <w:footnoteRef/>
      </w:r>
      <w:r>
        <w:rPr>
          <w:rtl/>
        </w:rPr>
        <w:t xml:space="preserve"> אע"פ שגם כשמוחל המוכר או היורש להלוה פסק המחבר בסע' ל"ב דצריך לשלם להלוקח כל החוב. מ"מ אשמועינן דאין היורש מוחל לעצמו, דאילו הוה מצי מחיל לעצמו, לא היה משלם כלום מטעם שכתב דאין בא להזיק, קמל"ן דאינו בר מחילה וה"ל כאילו לא מחיל, וכיון דהוא עצמו הלוה, צריך לשלם כל דמי השטר לכו"ע, אפילו לדעת החולקים שכתב מור"ם בסמוך בסוף סע' ל"ב בשמם דסבירא להו דהמוחל א"צ לשלם אלא הדמים שקיבל, סמ"ע (סקנ"ט).</w:t>
      </w:r>
    </w:p>
  </w:footnote>
  <w:footnote w:id="5144">
    <w:p w14:paraId="145A86E9" w14:textId="77777777" w:rsidR="0013116F" w:rsidRDefault="0013116F" w:rsidP="001D49D4">
      <w:pPr>
        <w:pStyle w:val="a9"/>
      </w:pPr>
      <w:r>
        <w:rPr>
          <w:rStyle w:val="ab"/>
        </w:rPr>
        <w:footnoteRef/>
      </w:r>
      <w:r>
        <w:rPr>
          <w:rtl/>
        </w:rPr>
        <w:t xml:space="preserve"> כן נראה דעת רוב הפוסקים וכן נראה עיקר, וכן פסק המחבר גופיה בסתם באה"ע סימן ק"ה סעיף ו', ש"ך (סקפ"ב). וכתב הסמ"ע (ס"ק ס') דיש אומרים הללו ס"ל דצריך לשלם להלוקח ואע"ג דאין כונתו היתה להזיק, וממילא דינו כשאר מוחל, והפלוגתא היא בזה דלמר משלם דמי כל השטר ולמר מה שקיבל. אך הש"ך (סקפ"א) כתב דאין זה מוכרח, ויותר נראה דכונת המחבר דפטור לגמרי מטעם שלא כיון להזיק, וכן מסיק הב"ח (סע' כד), וכן ראיתי בבעל התרומות </w:t>
      </w:r>
      <w:r>
        <w:rPr>
          <w:sz w:val="16"/>
          <w:szCs w:val="16"/>
          <w:rtl/>
        </w:rPr>
        <w:t>(שער נא ח"ו ס"ו, שאחר שהביא דברי הרמב"ן (בספר הזכות כתובות מ: מדפה"ר) שאינו יכול למחול כתב שם אח"כ (סוף ס"ח) אחר שהפסיק בדברים אחרים וז"ל- ואיכא מ"ד דאפילו תימא שכל מה שכתוב בשטר משלם המוחל, ברתא פטירא, דהיכי מחייבינן למוחל בזמן שהוא מתכוין להזיק ללוקח והוא אינו מרויח כלום אלא שמפסיד מקחו, אבל האי ברתא להנאת עצמה היא מוחלת כדי שתחזור ותירש מאביה, וה"ה ליורש שמחל שאינו משלם כלום וכמו שכתבתי למעלה. וזו הסברא כתבה הראב"ד בתשובותיו כי יש לה פנים, עכ"ל)</w:t>
      </w:r>
      <w:r>
        <w:rPr>
          <w:rtl/>
        </w:rPr>
        <w:t>. מיהו לענין דינא כתב הש"ך (סוף סקפ"א וסקפ"ב) דאין זה עיקר, אלא נראה עיקר דצריך לשלם מדינא דגרמי, ואינו יכול לומר לא כיונתי להזיק, דכל היכא דחייב מדינא דגרמי, חייב אפילו לא כיון להזיק, וכדמוכח בש"ס ופוסקים בכמה דוכתי, ונפ"מ שאינו טורף ממשעבדי בשטר, ואפילו לי"א שהבאתי לקמן סעיף ל"ה סקקי"ד דיש קול לניזקין, מ"מ אינו חל חיוב התשלומין עליו רק משעה שמחל ולא משעת כתיבת השטר, ואינו טורף מכח השטר, וגם יכול אח"כ לטעון פרעתי לך מה שנתחייבתי לשלם מדינא דגרמי, א"נ אם הוא קטן ומחל לעצמו אין צריך לשלם אף כשיגדיל, וכן אשה שהיא נשואה ויש שט"ח של אביה שמת, יכולה למחול השט"ח ויורשת נכסי אביה, ואינה צריכה לשלם מדינא דגרמי עד שתתאלמן או תתגרש, דכל מה שקנתה אשה קנה בעלה, כל זה נראה לי עיקר בש"ס ופוסקים.</w:t>
      </w:r>
    </w:p>
  </w:footnote>
  <w:footnote w:id="5145">
    <w:p w14:paraId="6FF64C31" w14:textId="77777777" w:rsidR="0013116F" w:rsidRDefault="0013116F" w:rsidP="001D49D4">
      <w:pPr>
        <w:pStyle w:val="a9"/>
        <w:rPr>
          <w:rtl/>
        </w:rPr>
      </w:pPr>
      <w:r>
        <w:rPr>
          <w:rStyle w:val="ab"/>
        </w:rPr>
        <w:footnoteRef/>
      </w:r>
      <w:r>
        <w:rPr>
          <w:rtl/>
        </w:rPr>
        <w:t xml:space="preserve"> </w:t>
      </w:r>
      <w:r>
        <w:rPr>
          <w:rFonts w:hint="cs"/>
          <w:rtl/>
        </w:rPr>
        <w:t>וכתב הש"ך (סקע"ג) ד</w:t>
      </w:r>
      <w:r>
        <w:rPr>
          <w:rtl/>
        </w:rPr>
        <w:t xml:space="preserve">לא נהירא, ובפרט לפי מה שכתבתי לעיל סעיף א' סק"א דמכירת שטרות דאורייתא. </w:t>
      </w:r>
    </w:p>
  </w:footnote>
  <w:footnote w:id="5146">
    <w:p w14:paraId="56D5F2CE" w14:textId="77777777" w:rsidR="0013116F" w:rsidRDefault="0013116F" w:rsidP="001D49D4">
      <w:pPr>
        <w:pStyle w:val="a9"/>
        <w:rPr>
          <w:rtl/>
        </w:rPr>
      </w:pPr>
      <w:r>
        <w:rPr>
          <w:rStyle w:val="ab"/>
        </w:rPr>
        <w:footnoteRef/>
      </w:r>
      <w:r>
        <w:rPr>
          <w:rtl/>
        </w:rPr>
        <w:t xml:space="preserve"> וכמו שמתבאר מתוך סוגיית שנים שהוציאו שטר זה על זה, זה גובה וזה גובה, דבפרק שני דייני גזירות [כתובות קי.]. והריב"ש ז"ל בסי' שצ"ו במי שטען זכיתי בחיטין בעד החוב שלי, חלק עם חכם אחד אם זכה אם לאו, ולדעת החולק זכה משעה ראשונה, ולא נחלק שם אלא מפני שאין בקיאין בשומא, ואע"פ שבנידון דידן ג"כ היו נותני השטרות מחויבים שבועה, לא משום הא חשיב מחוסר גוביינא, מהר"א ן' חיים. וכתב הש"ך (סקע"ד) שדבריו תמוהין, דאדרבה בהדיא מוכח בש"ס פרק שני דייני גזירות בסוגיא דהתם וכן בריב"ש שם סי' שצ"ו הרבה פעמים דזה גובה וזה גובה, וכן מוכח עוד להדיא בכמה דוכתי בש"ס וכל הפוסקים, גם לקמן סימן פ"ה בכל הסימן ובפרט בסעיף ד' וסעיף ו' [ומהך דחיטין דהריב"ש אדרבה מוכח שם להיפך, ע"ש].</w:t>
      </w:r>
    </w:p>
  </w:footnote>
  <w:footnote w:id="5147">
    <w:p w14:paraId="68D09E2D" w14:textId="77777777" w:rsidR="0013116F" w:rsidRDefault="0013116F" w:rsidP="001D49D4">
      <w:pPr>
        <w:pStyle w:val="a9"/>
        <w:rPr>
          <w:rtl/>
        </w:rPr>
      </w:pPr>
      <w:r>
        <w:rPr>
          <w:rStyle w:val="ab"/>
        </w:rPr>
        <w:footnoteRef/>
      </w:r>
      <w:r>
        <w:rPr>
          <w:rtl/>
        </w:rPr>
        <w:t xml:space="preserve"> והוא ממשמעות הש"ס שם [פה:] בעובדא דקריבתיה דרב נחמן, ש"ך (סקפ"ב). </w:t>
      </w:r>
      <w:r>
        <w:rPr>
          <w:color w:val="FF0000"/>
          <w:rtl/>
        </w:rPr>
        <w:t>וצל"ע דהרי בגמ' שם משמע שרק אם הוא קרובו מותר משום ומבשרך וכו'.</w:t>
      </w:r>
    </w:p>
  </w:footnote>
  <w:footnote w:id="5148">
    <w:p w14:paraId="26512048" w14:textId="77777777" w:rsidR="0013116F" w:rsidRDefault="0013116F" w:rsidP="001D49D4">
      <w:pPr>
        <w:pStyle w:val="a9"/>
        <w:rPr>
          <w:rtl/>
        </w:rPr>
      </w:pPr>
      <w:r>
        <w:rPr>
          <w:rStyle w:val="ab"/>
        </w:rPr>
        <w:footnoteRef/>
      </w:r>
      <w:r>
        <w:rPr>
          <w:rtl/>
        </w:rPr>
        <w:t xml:space="preserve"> יש לדקדק מאי קמל"ן, הא כבר כתב כן בסע' יא וסע' טו. ואולי קמ"ל דיכול ליתן לו כך כתוב בשובר שנפרע ואין הלוקח יכול לעכב הכתיבה של השובר. אבל גם זה פשוט, וגם מוכרח הוא בש"ס פ"ק דמציעא (יט.) ובכל הפוסקים, ולא ה"ל להמחבר לכתבו בלשון יש מי שאומר. ואפשר דמשום או להאריך זמן הפרעון נקטיה בלשון יש מי שאומר, שאין זה מבואר בש"ס ופוסקים. אבל מ"מ גם זה נראה נכון, דכך לי מוחלו לזמן כמו מוחלו לגמרי. ומשמע דה"ה דיכול למחול חצי השטר או חלק ממנו, ש"ך (סקפ"ג).</w:t>
      </w:r>
    </w:p>
  </w:footnote>
  <w:footnote w:id="5149">
    <w:p w14:paraId="11502E45" w14:textId="77777777" w:rsidR="0013116F" w:rsidRDefault="0013116F" w:rsidP="001D49D4">
      <w:pPr>
        <w:pStyle w:val="a9"/>
      </w:pPr>
      <w:r>
        <w:rPr>
          <w:rStyle w:val="ab"/>
        </w:rPr>
        <w:footnoteRef/>
      </w:r>
      <w:r>
        <w:rPr>
          <w:rtl/>
        </w:rPr>
        <w:t xml:space="preserve"> פירוש, מה שהזיקו בהארכת זמן, ובסמוך סע' לב כתב דשמין ג"כ ההיזק כשמחל השטר לגמרי כפי מה שהוא, סמ"ע</w:t>
      </w:r>
      <w:r>
        <w:rPr>
          <w:sz w:val="16"/>
          <w:szCs w:val="16"/>
          <w:rtl/>
        </w:rPr>
        <w:t xml:space="preserve"> (ס"ק ס"ב)</w:t>
      </w:r>
      <w:r>
        <w:rPr>
          <w:rtl/>
        </w:rPr>
        <w:t>.</w:t>
      </w:r>
    </w:p>
  </w:footnote>
  <w:footnote w:id="5150">
    <w:p w14:paraId="4C0BC4D0" w14:textId="77777777" w:rsidR="0013116F" w:rsidRDefault="0013116F" w:rsidP="001D49D4">
      <w:pPr>
        <w:pStyle w:val="a9"/>
      </w:pPr>
      <w:r>
        <w:rPr>
          <w:rStyle w:val="ab"/>
        </w:rPr>
        <w:footnoteRef/>
      </w:r>
      <w:r>
        <w:rPr>
          <w:rtl/>
        </w:rPr>
        <w:t xml:space="preserve"> ויש לתמוה עליו דכיון ששמעון גבאו מיד כבר זכה ראובן באותן מעות ושלו הן ובשביל ששמעון הטעהו לא הפסיד זכותו, ב"י.</w:t>
      </w:r>
    </w:p>
  </w:footnote>
  <w:footnote w:id="5151">
    <w:p w14:paraId="7A8A3ECB" w14:textId="77777777" w:rsidR="0013116F" w:rsidRDefault="0013116F" w:rsidP="001D49D4">
      <w:pPr>
        <w:pStyle w:val="a9"/>
        <w:rPr>
          <w:rtl/>
        </w:rPr>
      </w:pPr>
      <w:r>
        <w:rPr>
          <w:rStyle w:val="ab"/>
        </w:rPr>
        <w:footnoteRef/>
      </w:r>
      <w:r>
        <w:rPr>
          <w:rtl/>
        </w:rPr>
        <w:t xml:space="preserve"> </w:t>
      </w:r>
      <w:r>
        <w:rPr>
          <w:rFonts w:hint="cs"/>
          <w:rtl/>
        </w:rPr>
        <w:t xml:space="preserve">הלוה לישראל הלוקח. וכתב הש"ך (סקפ"ד) </w:t>
      </w:r>
      <w:r>
        <w:rPr>
          <w:rtl/>
        </w:rPr>
        <w:t xml:space="preserve">דדיינינן ליה לישראל </w:t>
      </w:r>
      <w:r>
        <w:rPr>
          <w:sz w:val="16"/>
          <w:szCs w:val="16"/>
          <w:rtl/>
        </w:rPr>
        <w:t xml:space="preserve">{הלוקח} </w:t>
      </w:r>
      <w:r>
        <w:rPr>
          <w:rtl/>
        </w:rPr>
        <w:t>כל זכות שהיה לו לגוי, כמו שכתב הרא"ש בתשובה [כלל יח סי' א] והרב לקמן ס"ס שס"ט</w:t>
      </w:r>
      <w:r>
        <w:rPr>
          <w:sz w:val="16"/>
          <w:szCs w:val="16"/>
          <w:rtl/>
        </w:rPr>
        <w:t xml:space="preserve"> (ועיין בתשו' שארית יוסף סי' נח, ועיין מ"ש לקמן ר"ס קכח סק"ב)</w:t>
      </w:r>
      <w:r>
        <w:rPr>
          <w:rtl/>
        </w:rPr>
        <w:t xml:space="preserve">. וכתב מהר"מ מלובלין (סי' כב) אך אם הגוי הוא איש אלם ויש לחוש שיחזור מדבריו ויחזור ויתבע החוב מן הלוה פעם שנית, צריך הלוקח או המקבל מתנה להעמיד ערב שלא יגיע לו שום היזק מהגוי, וע"ש </w:t>
      </w:r>
      <w:r>
        <w:rPr>
          <w:sz w:val="16"/>
          <w:szCs w:val="16"/>
          <w:rtl/>
        </w:rPr>
        <w:t>(ועמש"כ לקמן סי' קכו סקצ"ט. ועיין עוד מדיני ישראל הבא מחמת גוי בסי' מה סע' יז, וסי' סז סע' יז בהג"ה, וסי' קמט סע' טו, וסי' קנד סע' יט וכ', וסוף סי' קנה, ומה שכתבתי שם במקומות אלו)</w:t>
      </w:r>
      <w:r>
        <w:rPr>
          <w:rtl/>
        </w:rPr>
        <w:t>.</w:t>
      </w:r>
    </w:p>
  </w:footnote>
  <w:footnote w:id="5152">
    <w:p w14:paraId="2497ECC8" w14:textId="77777777" w:rsidR="0013116F" w:rsidRDefault="0013116F" w:rsidP="001D49D4">
      <w:pPr>
        <w:pStyle w:val="a9"/>
      </w:pPr>
      <w:r>
        <w:rPr>
          <w:rStyle w:val="ab"/>
        </w:rPr>
        <w:footnoteRef/>
      </w:r>
      <w:r>
        <w:rPr>
          <w:rtl/>
        </w:rPr>
        <w:t xml:space="preserve"> דקי"ל מכירת שטרות דאורייתא, לפיכך אפילו מכרו לגוי מכירתו מכירה, ויש לגוי כח הישראל שמכרו לו, עכ"ל עיר שושן </w:t>
      </w:r>
      <w:r>
        <w:rPr>
          <w:sz w:val="16"/>
          <w:szCs w:val="16"/>
          <w:rtl/>
        </w:rPr>
        <w:t>[סע' כה]</w:t>
      </w:r>
      <w:r>
        <w:rPr>
          <w:rtl/>
        </w:rPr>
        <w:t>. והוא מתשו' ריטב"א (סי' יד) שבב"י (מחודש יח-כג), וכן נראה דעת המחבר, וכבר כתבתי לעיל ר"ס זה דכן עיקר דמכירת שטרות דאורייתא. מיהו נראה לי דאפילו הוה דרבנן - מכירתו מכירה, דכל מה דתקון כעין דאורייתא תקון, ואפשר גם הריטב"א קושטא דמילתא לרווחא דמילתא כתב כן, וכן משמע בנמוק"י, דבפרק הספינה [ב"ב לט. מדפה"ר] כתב דהוי דרבנן, ובפרק מי שמת [שם סט. מדפה"ר] כתב דיכול למכרו לגוי, וע"ש, ש"ך (סקפ"ה).</w:t>
      </w:r>
    </w:p>
  </w:footnote>
  <w:footnote w:id="5153">
    <w:p w14:paraId="73637205" w14:textId="77777777" w:rsidR="0013116F" w:rsidRDefault="0013116F" w:rsidP="001D49D4">
      <w:pPr>
        <w:pStyle w:val="a9"/>
      </w:pPr>
      <w:r>
        <w:rPr>
          <w:rStyle w:val="ab"/>
        </w:rPr>
        <w:footnoteRef/>
      </w:r>
      <w:r>
        <w:rPr>
          <w:rtl/>
        </w:rPr>
        <w:t xml:space="preserve"> ראב"ד </w:t>
      </w:r>
      <w:r>
        <w:rPr>
          <w:sz w:val="16"/>
          <w:szCs w:val="16"/>
          <w:rtl/>
        </w:rPr>
        <w:t>(תמים דעים סי' סה)</w:t>
      </w:r>
      <w:r>
        <w:rPr>
          <w:rtl/>
        </w:rPr>
        <w:t xml:space="preserve"> בהעי"ט</w:t>
      </w:r>
      <w:r>
        <w:rPr>
          <w:sz w:val="16"/>
          <w:szCs w:val="16"/>
          <w:rtl/>
        </w:rPr>
        <w:t xml:space="preserve"> (כ"כ הטור בשמו)</w:t>
      </w:r>
      <w:r>
        <w:rPr>
          <w:rtl/>
        </w:rPr>
        <w:t xml:space="preserve"> רשב"א </w:t>
      </w:r>
      <w:r>
        <w:rPr>
          <w:sz w:val="16"/>
          <w:szCs w:val="16"/>
          <w:rtl/>
        </w:rPr>
        <w:t>(ח"ג סי' כ, ובחידו' ספ"ק דגיטין יג: ד"ה אמר אמימר)</w:t>
      </w:r>
      <w:r>
        <w:rPr>
          <w:rtl/>
        </w:rPr>
        <w:t xml:space="preserve"> ר"ן</w:t>
      </w:r>
      <w:r>
        <w:rPr>
          <w:sz w:val="16"/>
          <w:szCs w:val="16"/>
          <w:rtl/>
        </w:rPr>
        <w:t xml:space="preserve"> (סי' סד)</w:t>
      </w:r>
      <w:r>
        <w:rPr>
          <w:rtl/>
        </w:rPr>
        <w:t xml:space="preserve"> ונמוק"י </w:t>
      </w:r>
      <w:r>
        <w:rPr>
          <w:sz w:val="16"/>
          <w:szCs w:val="16"/>
          <w:rtl/>
        </w:rPr>
        <w:t>(ב"ב פרק מי שמת סט., כ"כ הדרכ"מ אות ט בשמו)</w:t>
      </w:r>
      <w:r>
        <w:rPr>
          <w:rtl/>
        </w:rPr>
        <w:t>.</w:t>
      </w:r>
    </w:p>
  </w:footnote>
  <w:footnote w:id="5154">
    <w:p w14:paraId="491A20F4" w14:textId="77777777" w:rsidR="0013116F" w:rsidRDefault="0013116F" w:rsidP="001D49D4">
      <w:pPr>
        <w:pStyle w:val="a9"/>
        <w:rPr>
          <w:rtl/>
        </w:rPr>
      </w:pPr>
      <w:r>
        <w:rPr>
          <w:rStyle w:val="ab"/>
        </w:rPr>
        <w:footnoteRef/>
      </w:r>
      <w:r>
        <w:rPr>
          <w:rtl/>
        </w:rPr>
        <w:t xml:space="preserve"> סברת הראב"ד כתבה הרא"ש </w:t>
      </w:r>
      <w:r>
        <w:rPr>
          <w:sz w:val="16"/>
          <w:szCs w:val="16"/>
          <w:rtl/>
        </w:rPr>
        <w:t>(פרק הכותב סי' י)</w:t>
      </w:r>
      <w:r>
        <w:rPr>
          <w:rtl/>
        </w:rPr>
        <w:t xml:space="preserve"> וכתב שנראה לו שדקדק כן מדאמרינן ספ"ק דגיטין </w:t>
      </w:r>
      <w:r>
        <w:rPr>
          <w:sz w:val="16"/>
          <w:szCs w:val="16"/>
          <w:rtl/>
        </w:rPr>
        <w:t xml:space="preserve">(יג:) </w:t>
      </w:r>
      <w:r>
        <w:rPr>
          <w:rtl/>
        </w:rPr>
        <w:t xml:space="preserve">דמעמד שלשתן קנה משום דהוי כאומר לו בשעת מתן מעות משתעבדנא לך ולכל דאתי מחמתך אלמא היכא דאמר לו הכי בשעת מתן מעות הוא משועבד לכל הבא מכחו כמו שהיה משועבד לו הילכך אינו יכול למחול לו. ודחה הרא"ש ראיה זו שם ובתשובה כלל ס"ט (סי' א) ועוד הקשה עליו כמה קושיות. ובעל התרומות בשער נ"א </w:t>
      </w:r>
      <w:r>
        <w:rPr>
          <w:sz w:val="16"/>
          <w:szCs w:val="16"/>
          <w:rtl/>
        </w:rPr>
        <w:t xml:space="preserve">(ח"ז סי' א) </w:t>
      </w:r>
      <w:r>
        <w:rPr>
          <w:rtl/>
        </w:rPr>
        <w:t xml:space="preserve">כתב שהרמב"ן </w:t>
      </w:r>
      <w:r>
        <w:rPr>
          <w:sz w:val="16"/>
          <w:szCs w:val="16"/>
          <w:rtl/>
        </w:rPr>
        <w:t xml:space="preserve">(גיטין יג: סוד"ה אמר רבא) </w:t>
      </w:r>
      <w:r>
        <w:rPr>
          <w:rtl/>
        </w:rPr>
        <w:t>חלוק על סברת הראב"ד ז"ל. והרשב"א כתב בתשובה (ח"ג סימן כ)- דברי הראב"ד נכונים וברורים חזקים כראי מוצק לדעתי, וכבר ראית בספ"ק דגיטין (יג: ד"ה אמר אמימר) את אשר החזקתי דבריו, אבל במוכר במעמד שלשתן אין הדבר מוכרח כל כך דיש לבעל דין לחלוק כמו שכתבתי שם עכ"ל. וכתב עוד דאף הראב"ד לא אמרה אלא בשאותו קונה היה נולד כבר בשעת הלואה אבל אם נולד אחר הלואה - לא, מפני שאין אדם משעבד עצמו למי שלא בא לעולם, וכמבואר בגמרא ספ"ק דגיטין. ובתשובה אחרת (ח"ו סי' רל) כתב אם מכרו ויש בשטר משתעבדנא לך ולכל דאתי מחמתך והודיע הקונה לחייב שבעל השטר מכר לו חוב שיש עליו מעתה לא תועיל המחילה ולא אפילו הפרעון כדעת הראב"ד ולזה דעתי נוטה עכ"ל. והר"ן בתשובה (סי' סד) תירץ מה שהקשה הרמב"ן על הראב"ד ובסוף דבריו כתב- וכיון שדחינו קושייתו של הרמב"ן והדבר ברור וסברא מוכרעת אנו סומכים על דברי הראב"ד שכבר הסכימו גדולי האחרונים בדבר עכ"ל, ב"י.</w:t>
      </w:r>
    </w:p>
  </w:footnote>
  <w:footnote w:id="5155">
    <w:p w14:paraId="0A6F034A" w14:textId="77777777" w:rsidR="0013116F" w:rsidRDefault="0013116F" w:rsidP="001D49D4">
      <w:pPr>
        <w:pStyle w:val="a9"/>
        <w:rPr>
          <w:rtl/>
        </w:rPr>
      </w:pPr>
      <w:r>
        <w:rPr>
          <w:rStyle w:val="ab"/>
        </w:rPr>
        <w:footnoteRef/>
      </w:r>
      <w:r>
        <w:rPr>
          <w:rtl/>
        </w:rPr>
        <w:t xml:space="preserve"> וראיה כתובה במרדכי, ולפי דעת הרמב"ם בפ"ו ממכירה (ה"ז) שכתב שאין מטבע נקנה אגב קרקע אלא של פקדון אבל לא של מלוה הכא לא קנה כלום, ב"י. ועיין לקמן סימן ר"ג (סי"א), דרכ"מ (אות ו**).</w:t>
      </w:r>
    </w:p>
  </w:footnote>
  <w:footnote w:id="5156">
    <w:p w14:paraId="5FDDEEC5" w14:textId="77777777" w:rsidR="0013116F" w:rsidRDefault="0013116F" w:rsidP="001D49D4">
      <w:pPr>
        <w:pStyle w:val="a9"/>
        <w:rPr>
          <w:rtl/>
        </w:rPr>
      </w:pPr>
      <w:r>
        <w:rPr>
          <w:rStyle w:val="ab"/>
        </w:rPr>
        <w:footnoteRef/>
      </w:r>
      <w:r>
        <w:rPr>
          <w:rtl/>
        </w:rPr>
        <w:t xml:space="preserve"> </w:t>
      </w:r>
      <w:r>
        <w:rPr>
          <w:rFonts w:hint="cs"/>
          <w:rtl/>
        </w:rPr>
        <w:t xml:space="preserve">וכתב הדרכ"מ (אות ז) שכן דעת הרא"ש (ולא ציין מהיכן הוציא כן). אך הב"י (סע' לו) כתב </w:t>
      </w:r>
      <w:r>
        <w:rPr>
          <w:rtl/>
        </w:rPr>
        <w:t>שמדברי הרא"ש בתשובה כלל ס"ח סימן ג' אפשר למישמע שהמוכר שטר חוב לחבירו אם אין לו נכסים ממה לפרוע אינו יכול למחול.</w:t>
      </w:r>
    </w:p>
  </w:footnote>
  <w:footnote w:id="5157">
    <w:p w14:paraId="601DE0F1" w14:textId="77777777" w:rsidR="0013116F" w:rsidRDefault="0013116F" w:rsidP="001D49D4">
      <w:pPr>
        <w:pStyle w:val="a9"/>
        <w:rPr>
          <w:rtl/>
        </w:rPr>
      </w:pPr>
      <w:r>
        <w:rPr>
          <w:rStyle w:val="ab"/>
        </w:rPr>
        <w:footnoteRef/>
      </w:r>
      <w:r>
        <w:rPr>
          <w:rtl/>
        </w:rPr>
        <w:t xml:space="preserve"> והודיע הקונה לחייב שבעל השטר מכר לו השטר, אינו יכול למחול, כ"כ הרשב"א </w:t>
      </w:r>
      <w:r>
        <w:rPr>
          <w:sz w:val="16"/>
          <w:szCs w:val="16"/>
          <w:rtl/>
        </w:rPr>
        <w:t xml:space="preserve">(ח"ו סי' רל) </w:t>
      </w:r>
      <w:r>
        <w:rPr>
          <w:rtl/>
        </w:rPr>
        <w:t xml:space="preserve">ומביאו ב"י </w:t>
      </w:r>
      <w:r>
        <w:rPr>
          <w:sz w:val="16"/>
          <w:szCs w:val="16"/>
          <w:rtl/>
        </w:rPr>
        <w:t>(כאן סע' כה ולקמן מחודש לט)</w:t>
      </w:r>
      <w:r>
        <w:rPr>
          <w:rtl/>
        </w:rPr>
        <w:t xml:space="preserve">. ונראה דהיינו משום דלשון לכל דאתי מחמתך הכי משמע, לכל דאתי מחמתך שאתרצה לו, ומשמע ליה להרשב"א הכי מדקאמר אמימר בש"ס פ"ק דגיטין </w:t>
      </w:r>
      <w:r>
        <w:rPr>
          <w:sz w:val="16"/>
          <w:szCs w:val="16"/>
          <w:rtl/>
        </w:rPr>
        <w:t xml:space="preserve">[יג:] </w:t>
      </w:r>
      <w:r>
        <w:rPr>
          <w:rtl/>
        </w:rPr>
        <w:t xml:space="preserve">טעמא דמעמד שלשתן הוא משום דנעשה כאומר לו משתעבדנא לך ולכל מאן דאתי מחמתך, ואם כן תיקשי למאן דאמר דמעמד שלשתן לא מהני בעל כרחו של לוה, וכן ס"ל להרשב"א וכמו שכתבתי לקמן סימן קכ"ו ס"ק כ"ח בשמו, אלא ודאי דלישנא דכל מאן דאתי מחמתך פירושו דאתי מחמתך בידיעתי. וכ"כ הרשב"א פ"ק דגיטין בחידושיו </w:t>
      </w:r>
      <w:r>
        <w:rPr>
          <w:sz w:val="16"/>
          <w:szCs w:val="16"/>
          <w:rtl/>
        </w:rPr>
        <w:t xml:space="preserve">[שם ד"ה אמר רבא] </w:t>
      </w:r>
      <w:r>
        <w:rPr>
          <w:rtl/>
        </w:rPr>
        <w:t>להדיא... וכן נראה להדיא מדברי הר"ן בתשובה</w:t>
      </w:r>
      <w:r>
        <w:rPr>
          <w:sz w:val="16"/>
          <w:szCs w:val="16"/>
          <w:rtl/>
        </w:rPr>
        <w:t xml:space="preserve"> (סי' סד)</w:t>
      </w:r>
      <w:r>
        <w:rPr>
          <w:rtl/>
        </w:rPr>
        <w:t xml:space="preserve">... אבל מ"מ כתיבה ומסירה בעי לענין שיהא השטר נקנה בו, דאל"כ לאו אתי מחמתיה הוא, דבעינן שיהא אתי מחמתיה כדין הבא מכחו דהיינו בכתיבה ומסירה, וכמש"כ לקמן בסקפ"ח, ש"ך </w:t>
      </w:r>
      <w:r>
        <w:rPr>
          <w:sz w:val="16"/>
          <w:szCs w:val="16"/>
          <w:rtl/>
        </w:rPr>
        <w:t>(סקפ"ו)</w:t>
      </w:r>
      <w:r>
        <w:rPr>
          <w:rtl/>
        </w:rPr>
        <w:t>.</w:t>
      </w:r>
    </w:p>
  </w:footnote>
  <w:footnote w:id="5158">
    <w:p w14:paraId="754B7489" w14:textId="77777777" w:rsidR="0013116F" w:rsidRDefault="0013116F" w:rsidP="001D49D4">
      <w:pPr>
        <w:pStyle w:val="a9"/>
        <w:rPr>
          <w:rtl/>
        </w:rPr>
      </w:pPr>
      <w:r>
        <w:rPr>
          <w:rStyle w:val="ab"/>
        </w:rPr>
        <w:footnoteRef/>
      </w:r>
      <w:r>
        <w:rPr>
          <w:rtl/>
        </w:rPr>
        <w:t xml:space="preserve"> טעמו, כיון דמתחילת הכתיבה שיעבד נפשו לו ג"כ, ה"ל הוא עצמו עיקר המלוה, סמ"ע (ס"ק ס"ג).</w:t>
      </w:r>
    </w:p>
  </w:footnote>
  <w:footnote w:id="5159">
    <w:p w14:paraId="6AC296B1" w14:textId="77777777" w:rsidR="0013116F" w:rsidRDefault="0013116F" w:rsidP="001D49D4">
      <w:pPr>
        <w:pStyle w:val="a9"/>
        <w:rPr>
          <w:rtl/>
        </w:rPr>
      </w:pPr>
      <w:r>
        <w:rPr>
          <w:rStyle w:val="ab"/>
        </w:rPr>
        <w:footnoteRef/>
      </w:r>
      <w:r>
        <w:rPr>
          <w:rtl/>
        </w:rPr>
        <w:t xml:space="preserve"> הני יש אומרים ס"ל דבזה קונה שטרא מהמוכר בלי כתיבת קני לך כו', כיון דשיעבד נפשו לו מתחילה. ומהאי טעמא נמי כתב מור"ם בר"ס זה סוף סע' א' דשטר שכתב בו אני משעבד לך כו' נקנה במסירה בלא כתיבה, ואעפ"כ ס"ל דהראשון מצי מחיל ליה כיון דנשתעבד לו מתחילה, סמ"ע (ס"ק ס"ד). וכתב הש"ך (סקפ"ח)- ולדעתי לא מוכח מידי בהרא"ש וגם לא נהירא לי, וגדולה מזה נ"ל דאפילו לסברת הראב"ד דאינו יכול למחול, מ"מ לענין קנין בעינן שיכתוב לו קני לך כו', דהא בעינן דאתא מחמתיה. וכן הוא בחידושי רשב"א פ"ק דגיטין (יג: ד"ה אמר אמימר) מאן דאתא מחמתיה כמלוה גופיה חשבינן ליה כו'. וכל זמן שלא כתב לו קני לך כו', לאו אתא מחמתיה מיקרי, ומה יועיל זה שכתב לו משתעבדנא כו' לענין המוכר, הא לא נשתעבד לו רק הלוה ובמה קנהו הלוקח מן המוכר, הא כל זמן שלא קנהו כדין קניית שטרות עדיין ברשות המוכר הוא ויכול למוחלו. וכן משמע בלשון הרמב"ן שהביא הבעל התרומות (שער נא ח"ז ס"א)... וכן משמע עוד בלשון הראב"ד גופיה שהביא הבעל התרומות שם... וכ"כ הר"ן בתשובה סי' סד... ומה שכתב הרשב"א בתשובה ח"א סי' תתקכ"א דהיכא דכתוב בשטר 'ראובן חייב לשמעון ולכל מי שמוציאו או לכל מאן דאתי מחמתיה' ובא יודא ותבע בלא הרשאה צריך ראובן לשלם לו. היינו דוקא לענין ראובן הלוה, דכיון שהשטר בידו והוא בא מחמתיה דשמעון, אין צריך הרשאה, דה"ל כאילו שמעון לפנינו ומרשה ליודא וחייב ראובן לשלם ליודא, אבל לענין שיהא השטר נקנה ללוקח כדין קניית שטרות שלא יהיו המוכר ולוקח יכולים לחזור בהן ושלא יוכל המוכר למחול, אינו מועיל בלא כתיבה ומסירה, וכן חילקתי לעיל סעיף א' סק"י בתשובת הרא"ש. ואם כן כיון דלהראב"ד וסיעתו בעינן כתיבה ומסירה, כ"ש להחולקים עליו ודלא כהסמ"ע. גם מה שכתב הסמ"ע, ומהאי טעמא כתב מור"ם בריש סימן זה כו'. כבר כתבתי בריש סימן זה ס"ק י' דלמור"ם אינו יכול למחול, וא"כ אין ראיה מדבריו לכאן. ועוד, דכבר השגתי שם אדברי מור"ם גופיה ע"ש...</w:t>
      </w:r>
    </w:p>
  </w:footnote>
  <w:footnote w:id="5160">
    <w:p w14:paraId="461BE5EF" w14:textId="77777777" w:rsidR="0013116F" w:rsidRDefault="0013116F" w:rsidP="001D49D4">
      <w:pPr>
        <w:pStyle w:val="a9"/>
      </w:pPr>
      <w:r>
        <w:rPr>
          <w:rStyle w:val="ab"/>
        </w:rPr>
        <w:footnoteRef/>
      </w:r>
      <w:r>
        <w:rPr>
          <w:rtl/>
        </w:rPr>
        <w:t xml:space="preserve"> פירוש, שום חוב ממקום אחר, דאם היה חייב לו היה משועבד לו זה השטר מדרבי נתן אפילו בלי מכירתו, ואין ביד המוכר החייב לו למחלו, וכמו שנתבאר בסי' פו סע' ה' </w:t>
      </w:r>
      <w:r>
        <w:rPr>
          <w:sz w:val="16"/>
          <w:szCs w:val="16"/>
          <w:rtl/>
        </w:rPr>
        <w:t>(ומש"כ מור"ם בר"ס זה ז"ל- וכן אם אין למוכר לשלם לו כו'. היינו לשלם לו הדמים שקיבל ממנו בעד לקיחת השטר, משא"כ כשמחל השטר אף דמי המכירה אין מוציאין מיד הלוה כיון דכבר מחל לו, אף דאין להמוחל לשלם)</w:t>
      </w:r>
      <w:r>
        <w:rPr>
          <w:rtl/>
        </w:rPr>
        <w:t>, סמ"ע (ס"ק ס"ה).</w:t>
      </w:r>
    </w:p>
  </w:footnote>
  <w:footnote w:id="5161">
    <w:p w14:paraId="3750CF4D" w14:textId="77777777" w:rsidR="0013116F" w:rsidRDefault="0013116F" w:rsidP="001D49D4">
      <w:pPr>
        <w:pStyle w:val="a9"/>
        <w:rPr>
          <w:rtl/>
        </w:rPr>
      </w:pPr>
      <w:r>
        <w:rPr>
          <w:rStyle w:val="ab"/>
        </w:rPr>
        <w:footnoteRef/>
      </w:r>
      <w:r>
        <w:rPr>
          <w:rtl/>
        </w:rPr>
        <w:t xml:space="preserve"> משמע דוקא שהיה חייב לו ללוקח בלאו הכי ואין לו לפרוע החוב, שמעכשיו הלוה משועבד ללוקח מדרבי נתן אפילו בלא מכירת השטר, אבל אם לא היה חייב ללוקח בלאו הכי, אע"פ שאין לו לשלם מה שהפסיד לו במחילת השטר, יכול למחול לכו"ע, כן נראה מדברי הר"ב וכ"כ בדרכ"מ (ארוך סעיף כ"ג) להדיא, וכן משמע להדיא בסמ"ע ס"ק ס"ה. ובב"י מחודש כח כתב דמדברי הרא"ש בתשובה (כלל סח סי' ג) אפשר למישמע שהמוכר שטר חוב לחבירו אם אין לו נכסים ממה לפרוע אינו יכול למחול, עכ"ל. ולא נהירא, וגם אין דעת כל הפוסקים כן... והרא"ש בתשובה מיירי התם להדיא באשה שהיתה חייבת לאחרים דאינה יכולה למחול כתובתה... והכי מוכח נמי להדיא מדברי הר"ן פ"ב דכתובות </w:t>
      </w:r>
      <w:r>
        <w:rPr>
          <w:sz w:val="16"/>
          <w:szCs w:val="16"/>
          <w:rtl/>
        </w:rPr>
        <w:t xml:space="preserve">[ו. מדפה"ר ד"ה לעולם] </w:t>
      </w:r>
      <w:r>
        <w:rPr>
          <w:rtl/>
        </w:rPr>
        <w:t xml:space="preserve">והריטב"א </w:t>
      </w:r>
      <w:r>
        <w:rPr>
          <w:sz w:val="16"/>
          <w:szCs w:val="16"/>
          <w:rtl/>
        </w:rPr>
        <w:t xml:space="preserve">[שם יט. ד"ה אמר אביי] </w:t>
      </w:r>
      <w:r>
        <w:rPr>
          <w:rtl/>
        </w:rPr>
        <w:t xml:space="preserve">ותשובות רמב"ן שבבעל התרומות </w:t>
      </w:r>
      <w:r>
        <w:rPr>
          <w:sz w:val="16"/>
          <w:szCs w:val="16"/>
          <w:rtl/>
        </w:rPr>
        <w:t xml:space="preserve">(שער נ"א ח"א ס"ד) </w:t>
      </w:r>
      <w:r>
        <w:rPr>
          <w:rtl/>
        </w:rPr>
        <w:t>וכן מדברי הראב"ד שם בבעל התרומות, דע"כ לא פליג הראב"ד התם אלא בשעבודא דרבי נתן בדלית ליה נכסי, אבל במכירת שטרות משמע שם להדיא דמודה דאף דלית ליה נכסי למוכר יכול למחול..., ש"ך (סקפ"ט).</w:t>
      </w:r>
    </w:p>
  </w:footnote>
  <w:footnote w:id="5162">
    <w:p w14:paraId="322D8FC5" w14:textId="77777777" w:rsidR="0013116F" w:rsidRDefault="0013116F" w:rsidP="001D49D4">
      <w:pPr>
        <w:pStyle w:val="a9"/>
        <w:rPr>
          <w:rtl/>
        </w:rPr>
      </w:pPr>
      <w:r>
        <w:rPr>
          <w:rStyle w:val="ab"/>
        </w:rPr>
        <w:footnoteRef/>
      </w:r>
      <w:r>
        <w:rPr>
          <w:rtl/>
        </w:rPr>
        <w:t xml:space="preserve"> וכן עיקר ודלא כהיש חולקין, וכמו שהעליתי לקמן סימן פ"ו סעיף ה' סקי"א באריכות, וגם הר"ב גופיה סתם שם סעיף ה' כדברי המחבר שם, וגם בעיר שושן כאן [סעיף כ"ו] השמיט היש חולקין, ויפה כיון בזה</w:t>
      </w:r>
      <w:r>
        <w:rPr>
          <w:sz w:val="16"/>
          <w:szCs w:val="16"/>
          <w:rtl/>
        </w:rPr>
        <w:t xml:space="preserve"> (ועי' מה שכתבתי לעיל סימן מ"ז סק"ז)</w:t>
      </w:r>
      <w:r>
        <w:rPr>
          <w:rtl/>
        </w:rPr>
        <w:t>. מיהו היינו דוקא כשחייב עדיין ללוקח בלאו הכי, אבל אם היה חייב לו ונתן לו שטר חוב זה בפרעון חובו, יכול למחול השטר אע"פ שאין לו נכסים, וכמו שהעליתי לקמן סימן פ"ו שם, ש"ך (סק"צ).</w:t>
      </w:r>
    </w:p>
  </w:footnote>
  <w:footnote w:id="5163">
    <w:p w14:paraId="18F14765" w14:textId="77777777" w:rsidR="0013116F" w:rsidRDefault="0013116F" w:rsidP="001D49D4">
      <w:pPr>
        <w:pStyle w:val="a9"/>
      </w:pPr>
      <w:r>
        <w:rPr>
          <w:rStyle w:val="ab"/>
        </w:rPr>
        <w:footnoteRef/>
      </w:r>
      <w:r>
        <w:rPr>
          <w:rtl/>
        </w:rPr>
        <w:t xml:space="preserve"> פירוש, שלא הקנה לו השט"ח, כי אם החוב שבו, סמ"ע (ס"ק ס"ו).</w:t>
      </w:r>
    </w:p>
  </w:footnote>
  <w:footnote w:id="5164">
    <w:p w14:paraId="7B4CA476" w14:textId="77777777" w:rsidR="0013116F" w:rsidRDefault="0013116F" w:rsidP="001D49D4">
      <w:pPr>
        <w:pStyle w:val="a9"/>
      </w:pPr>
      <w:r>
        <w:rPr>
          <w:rStyle w:val="ab"/>
        </w:rPr>
        <w:footnoteRef/>
      </w:r>
      <w:r>
        <w:rPr>
          <w:rtl/>
        </w:rPr>
        <w:t xml:space="preserve"> עיין במרדכי שם (כתובות סי' ריט) דס"ל לבעל סברא זו דהלואה ניקנית באגב קרקע, ולפי זה למאי דקיי"ל ר"ס קכ"ג וסי' ר"ג סע' ט' דאין הלואה ניקנית אגב קרקע – קיי"ל הכא כהיש אומרים דאין כאן קנין כלל, וכ"כ מהרש"ל (יש"ש פרק מרובה סי' י') דאין כאן קנין, אא"כ היה השטר על קרקע דניקנית בקנין סודר או על מעות פקדון דנקנה אגב קרקע, וע"ש, ש"ך (סקצ"א).</w:t>
      </w:r>
    </w:p>
  </w:footnote>
  <w:footnote w:id="5165">
    <w:p w14:paraId="464E3A9A" w14:textId="77777777" w:rsidR="0013116F" w:rsidRDefault="0013116F" w:rsidP="001D49D4">
      <w:pPr>
        <w:pStyle w:val="a9"/>
      </w:pPr>
      <w:r>
        <w:rPr>
          <w:rStyle w:val="ab"/>
        </w:rPr>
        <w:footnoteRef/>
      </w:r>
      <w:r>
        <w:rPr>
          <w:rtl/>
        </w:rPr>
        <w:t xml:space="preserve"> דס"ל דאין מטבע נקנה באגב כי אם בהיות פקדון ולא חוב, ויתבאר לקמן סימן קכ"ב וקכ"ג [סעיף א'] ובסימן ר"ג סעיף ט' ע"ש, אבל במעמד שלשתן נקנה כמו שנתבאר לפני זה בסעיף י"ט, סמ"ע (ס"ק ס"ז).</w:t>
      </w:r>
    </w:p>
  </w:footnote>
  <w:footnote w:id="5166">
    <w:p w14:paraId="422B09FA" w14:textId="77777777" w:rsidR="0013116F" w:rsidRDefault="0013116F" w:rsidP="001D49D4">
      <w:pPr>
        <w:pStyle w:val="a9"/>
      </w:pPr>
      <w:r>
        <w:rPr>
          <w:rStyle w:val="ab"/>
        </w:rPr>
        <w:footnoteRef/>
      </w:r>
      <w:r>
        <w:rPr>
          <w:rtl/>
        </w:rPr>
        <w:t xml:space="preserve"> </w:t>
      </w:r>
      <w:r>
        <w:rPr>
          <w:rFonts w:hint="cs"/>
          <w:rtl/>
        </w:rPr>
        <w:t>סימן – מוחל קלפיו זקן. וכן – מחילה קרוב לז"ל.</w:t>
      </w:r>
    </w:p>
  </w:footnote>
  <w:footnote w:id="5167">
    <w:p w14:paraId="082A821B" w14:textId="77777777" w:rsidR="0013116F" w:rsidRDefault="0013116F" w:rsidP="001D49D4">
      <w:pPr>
        <w:pStyle w:val="a9"/>
        <w:rPr>
          <w:rtl/>
        </w:rPr>
      </w:pPr>
      <w:r>
        <w:rPr>
          <w:rStyle w:val="ab"/>
        </w:rPr>
        <w:footnoteRef/>
      </w:r>
      <w:r>
        <w:rPr>
          <w:rtl/>
        </w:rPr>
        <w:t xml:space="preserve"> פירוש נכסי האשה שהבעל אוכל פירות ומניח הקרן, כעין מליגת הראש שתולשין השער ומניחין הראש.</w:t>
      </w:r>
    </w:p>
  </w:footnote>
  <w:footnote w:id="5168">
    <w:p w14:paraId="61CE07D2" w14:textId="77777777" w:rsidR="0013116F" w:rsidRDefault="0013116F" w:rsidP="001D49D4">
      <w:pPr>
        <w:pStyle w:val="a9"/>
      </w:pPr>
      <w:r>
        <w:rPr>
          <w:rStyle w:val="ab"/>
        </w:rPr>
        <w:footnoteRef/>
      </w:r>
      <w:r>
        <w:rPr>
          <w:rtl/>
        </w:rPr>
        <w:t xml:space="preserve"> ר"ת </w:t>
      </w:r>
      <w:r>
        <w:rPr>
          <w:sz w:val="16"/>
          <w:szCs w:val="16"/>
          <w:rtl/>
        </w:rPr>
        <w:t xml:space="preserve">(ספ"ק דגיטין סי' מח, כ"כ התוס' בשמו [יג: ד"ה תנהו]) </w:t>
      </w:r>
      <w:r>
        <w:rPr>
          <w:rtl/>
        </w:rPr>
        <w:t xml:space="preserve">בעל התרומות </w:t>
      </w:r>
      <w:r>
        <w:rPr>
          <w:sz w:val="16"/>
          <w:szCs w:val="16"/>
          <w:rtl/>
        </w:rPr>
        <w:t>(שער נא ח"ו סוף אות ג)</w:t>
      </w:r>
      <w:r>
        <w:rPr>
          <w:rtl/>
        </w:rPr>
        <w:t xml:space="preserve"> רא"ש </w:t>
      </w:r>
      <w:r>
        <w:rPr>
          <w:sz w:val="16"/>
          <w:szCs w:val="16"/>
          <w:rtl/>
        </w:rPr>
        <w:t xml:space="preserve">(ספ"ק דמציעא) </w:t>
      </w:r>
      <w:r>
        <w:rPr>
          <w:rtl/>
        </w:rPr>
        <w:t xml:space="preserve">טור ור"ן </w:t>
      </w:r>
      <w:r>
        <w:rPr>
          <w:sz w:val="16"/>
          <w:szCs w:val="16"/>
          <w:rtl/>
        </w:rPr>
        <w:t>(סי' סד)</w:t>
      </w:r>
      <w:r>
        <w:rPr>
          <w:rtl/>
        </w:rPr>
        <w:t>.</w:t>
      </w:r>
    </w:p>
  </w:footnote>
  <w:footnote w:id="5169">
    <w:p w14:paraId="380EDE1A" w14:textId="77777777" w:rsidR="0013116F" w:rsidRDefault="0013116F" w:rsidP="001D49D4">
      <w:pPr>
        <w:pStyle w:val="a9"/>
        <w:rPr>
          <w:rtl/>
        </w:rPr>
      </w:pPr>
      <w:r>
        <w:rPr>
          <w:rStyle w:val="ab"/>
        </w:rPr>
        <w:footnoteRef/>
      </w:r>
      <w:r>
        <w:rPr>
          <w:rtl/>
        </w:rPr>
        <w:t xml:space="preserve"> ודחה הר"ן דברי הרמב"ן (ב"ב קמד. ד"ה מנה)... ונדחו דברי נמוק"י שכתב בפרק מי שמת (סז. ד"ה אמר ר"ח) שרוב המפרשים סוברים כהרמב"ן, ב"י. אך הש"ך (סקצ"ז, ולקמן סי' קכו סק"י) השיג על הב"י בזה, והביא הרבה פוסקים שסוברים כהרמב"ן דבמעמד שלשתן יכול למחול. ועוד כתב דמה שנראה מבואר מהתוס' והרא"ש וסיעתם והרמב"ן והרשב"א וסיעתם דלעיל דאין חילוק בין שטר למלוה על פה </w:t>
      </w:r>
      <w:r>
        <w:rPr>
          <w:sz w:val="16"/>
          <w:szCs w:val="16"/>
          <w:rtl/>
        </w:rPr>
        <w:t>(דלהתוס' והרא"ש וסיעתם בכל ענין במעמד שלשתן אינו יכול למחול, ולהרמב"ן והרשב"א וסיעתם בכל ענין יכול למחול)</w:t>
      </w:r>
      <w:r>
        <w:rPr>
          <w:rtl/>
        </w:rPr>
        <w:t xml:space="preserve"> - אין נראה לפע"ד. אלא נראה לפע"ד ברור מתוך הש"ס ומתוך הסברא כמו שכתבתי, דבהלואה על פה במעמד שלשתן אינו יכול למחול, ודין מעמד שלשתן לא שייך בשטר כלל אפילו להקנות גוף החוב </w:t>
      </w:r>
      <w:r>
        <w:rPr>
          <w:sz w:val="16"/>
          <w:szCs w:val="16"/>
          <w:rtl/>
        </w:rPr>
        <w:t>{היינו שלא רק שאינו מקנה מלוה בשטר אלא אינו מקנה גם את המנה שבשטר}</w:t>
      </w:r>
      <w:r>
        <w:rPr>
          <w:rtl/>
        </w:rPr>
        <w:t xml:space="preserve">. אך מסתפינא בזה שלא אכוה בגחלת התוס' והרא"ש והרמב"ן והרשב"א ושאר גדולי הפוסקים, אף כי לפי עניות דעתי נראין דברי כנים ואמיתיים, מ"מ כבר הורו הגדולים הקדמונים והאחרונים. אכן בזה שגוף השטר ושעבודו אינו נקנה במעמד שלשתן, נ"ל ברור הלכה למעשה, כי יש לישב גם דברי התוס' והפוסקים הנ"ל לזה וכמו שכתבתי למעלה, ונ"ל עיקר בזה כי המוכר או הנותן שט"ח במעמד שלשתן ובכתיבה ומסירה באותו מעמד שלשתן וחזר ומחלו מחול והשטר בטל... רק החוב נשאר מלוה על פה שחייב הלוה ללוקח </w:t>
      </w:r>
      <w:r>
        <w:rPr>
          <w:sz w:val="16"/>
          <w:szCs w:val="16"/>
          <w:rtl/>
        </w:rPr>
        <w:t>(אם נתרצה הלוה במעמד שלשתן ליתנו לו, וכמו שכתבתי לקמן סימן קכ"ו סקכ"ח)</w:t>
      </w:r>
      <w:r>
        <w:rPr>
          <w:rtl/>
        </w:rPr>
        <w:t>, ודלא כהטור והמחבר.</w:t>
      </w:r>
    </w:p>
  </w:footnote>
  <w:footnote w:id="5170">
    <w:p w14:paraId="2D6B6AFB" w14:textId="77777777" w:rsidR="0013116F" w:rsidRDefault="0013116F" w:rsidP="001D49D4">
      <w:pPr>
        <w:pStyle w:val="a9"/>
        <w:rPr>
          <w:rtl/>
        </w:rPr>
      </w:pPr>
      <w:r>
        <w:rPr>
          <w:rStyle w:val="ab"/>
        </w:rPr>
        <w:footnoteRef/>
      </w:r>
      <w:r>
        <w:rPr>
          <w:rtl/>
        </w:rPr>
        <w:t xml:space="preserve"> גם אנותן קאי. והטעם, דבהמחאה זו שהעמיד המלוה להמקבל אצל הלוה שיתן מה שבידו, ה"ל כאילו זקפו הלוה במלוה עליו להקונה, דמהני דאינו יכול למחול כמו שנתבאר בסעיף כ"ג, משא"כ לקמן סעיף ל"ו דלא מיירי במעמד שלשתן אלא בנותן בכתיבה ומסירה, משום הכי יכול למחול, סמ"ע (סקע"א).</w:t>
      </w:r>
    </w:p>
  </w:footnote>
  <w:footnote w:id="5171">
    <w:p w14:paraId="0CF3E95E" w14:textId="77777777" w:rsidR="0013116F" w:rsidRDefault="0013116F" w:rsidP="001D49D4">
      <w:pPr>
        <w:pStyle w:val="a9"/>
      </w:pPr>
      <w:r>
        <w:rPr>
          <w:rStyle w:val="ab"/>
        </w:rPr>
        <w:footnoteRef/>
      </w:r>
      <w:r>
        <w:rPr>
          <w:rtl/>
        </w:rPr>
        <w:t xml:space="preserve"> י"א </w:t>
      </w:r>
      <w:r>
        <w:rPr>
          <w:sz w:val="16"/>
          <w:szCs w:val="16"/>
          <w:rtl/>
        </w:rPr>
        <w:t>(כ"כ בעל התרומות בשמו)</w:t>
      </w:r>
      <w:r>
        <w:rPr>
          <w:rtl/>
        </w:rPr>
        <w:t xml:space="preserve"> ה"ר יצחק בן מרן הלוי </w:t>
      </w:r>
      <w:r>
        <w:rPr>
          <w:sz w:val="16"/>
          <w:szCs w:val="16"/>
          <w:rtl/>
        </w:rPr>
        <w:t>(כ"כ הראב"ד בשמו [בתשו'], הביאו בעל התרומות [שם])</w:t>
      </w:r>
      <w:r>
        <w:rPr>
          <w:rtl/>
        </w:rPr>
        <w:t xml:space="preserve"> ורא"ש</w:t>
      </w:r>
      <w:r>
        <w:rPr>
          <w:sz w:val="16"/>
          <w:szCs w:val="16"/>
          <w:rtl/>
        </w:rPr>
        <w:t xml:space="preserve"> (בתשו', כ"כ הטור בשמו, והב"י כתב שמצא כן בתשו' בסוף ספר חזה התנופה סי' כא)</w:t>
      </w:r>
      <w:r>
        <w:rPr>
          <w:rtl/>
        </w:rPr>
        <w:t>.</w:t>
      </w:r>
    </w:p>
  </w:footnote>
  <w:footnote w:id="5172">
    <w:p w14:paraId="044C67E2" w14:textId="77777777" w:rsidR="0013116F" w:rsidRDefault="0013116F" w:rsidP="001D49D4">
      <w:pPr>
        <w:pStyle w:val="a9"/>
        <w:rPr>
          <w:rtl/>
        </w:rPr>
      </w:pPr>
      <w:r>
        <w:rPr>
          <w:rStyle w:val="ab"/>
        </w:rPr>
        <w:footnoteRef/>
      </w:r>
      <w:r>
        <w:rPr>
          <w:rtl/>
        </w:rPr>
        <w:t xml:space="preserve"> ונגבית מן היתומים בלא שבועה, ה"ר יצחק בן מרן הלוי (ראב"ד בתשובותיו בשמו).</w:t>
      </w:r>
    </w:p>
  </w:footnote>
  <w:footnote w:id="5173">
    <w:p w14:paraId="023A0D71" w14:textId="77777777" w:rsidR="0013116F" w:rsidRDefault="0013116F" w:rsidP="001D49D4">
      <w:pPr>
        <w:pStyle w:val="a9"/>
        <w:rPr>
          <w:rtl/>
        </w:rPr>
      </w:pPr>
      <w:r>
        <w:rPr>
          <w:rStyle w:val="ab"/>
        </w:rPr>
        <w:footnoteRef/>
      </w:r>
      <w:r>
        <w:rPr>
          <w:rtl/>
        </w:rPr>
        <w:t xml:space="preserve"> ואע"פ שנמוק"י כתב בפרק מי שמת </w:t>
      </w:r>
      <w:r>
        <w:rPr>
          <w:sz w:val="16"/>
          <w:szCs w:val="16"/>
          <w:rtl/>
        </w:rPr>
        <w:t xml:space="preserve">(שם) </w:t>
      </w:r>
      <w:r>
        <w:rPr>
          <w:rtl/>
        </w:rPr>
        <w:t xml:space="preserve">בשם הריטב"א </w:t>
      </w:r>
      <w:r>
        <w:rPr>
          <w:sz w:val="16"/>
          <w:szCs w:val="16"/>
          <w:rtl/>
        </w:rPr>
        <w:t xml:space="preserve">(קמז: ד"ה וכבר) </w:t>
      </w:r>
      <w:r>
        <w:rPr>
          <w:rtl/>
        </w:rPr>
        <w:t>כדברי בעל התרומות</w:t>
      </w:r>
      <w:r>
        <w:rPr>
          <w:sz w:val="16"/>
          <w:szCs w:val="16"/>
          <w:rtl/>
        </w:rPr>
        <w:t xml:space="preserve"> {היינו כדברי ר"י מיגאש)</w:t>
      </w:r>
      <w:r>
        <w:rPr>
          <w:rtl/>
        </w:rPr>
        <w:t xml:space="preserve">, הרשב"א בתשו' </w:t>
      </w:r>
      <w:r>
        <w:rPr>
          <w:sz w:val="16"/>
          <w:szCs w:val="16"/>
          <w:rtl/>
        </w:rPr>
        <w:t xml:space="preserve">(ח"ג סי' יד וסי' שנד) </w:t>
      </w:r>
      <w:r>
        <w:rPr>
          <w:rtl/>
        </w:rPr>
        <w:t>כתב אם מכר או נתן המשכונא לאחר אפשר שאינו יכול לחזור ולמחול כדרך שאינו יכול למחול כשמכר מלוה שיש עליו משכון מטלטלין, ב"י.</w:t>
      </w:r>
    </w:p>
  </w:footnote>
  <w:footnote w:id="5174">
    <w:p w14:paraId="08224E58" w14:textId="77777777" w:rsidR="0013116F" w:rsidRDefault="0013116F" w:rsidP="001D49D4">
      <w:pPr>
        <w:pStyle w:val="a9"/>
        <w:rPr>
          <w:rtl/>
        </w:rPr>
      </w:pPr>
      <w:r>
        <w:rPr>
          <w:rStyle w:val="ab"/>
        </w:rPr>
        <w:footnoteRef/>
      </w:r>
      <w:r>
        <w:rPr>
          <w:rtl/>
        </w:rPr>
        <w:t xml:space="preserve"> </w:t>
      </w:r>
      <w:r>
        <w:rPr>
          <w:rFonts w:hint="cs"/>
          <w:rtl/>
        </w:rPr>
        <w:t xml:space="preserve">הטור לא הביא דעה זו בשם הר"י מיגאש אלא כתב שבעל התרומות כתב כן, אך עיין בבעל התרומות שהביא את שתי הדעות ולא הכריע כמי מהם, ועיין בכנה"ג (הגה"ט אות עג) שהעיר כן על דברי הטור וכתב </w:t>
      </w:r>
      <w:r>
        <w:rPr>
          <w:rtl/>
        </w:rPr>
        <w:t xml:space="preserve">דיראה שכונת רבינו בעל הטורים ז"ל שרק כתב בעה"ת סברא זו </w:t>
      </w:r>
      <w:r>
        <w:rPr>
          <w:sz w:val="16"/>
          <w:szCs w:val="16"/>
          <w:rtl/>
        </w:rPr>
        <w:t>(אבל לא שהוא מחליט המאמר שדעת בעל התרומות נוטה לסברא זו)</w:t>
      </w:r>
      <w:r>
        <w:rPr>
          <w:rtl/>
        </w:rPr>
        <w:t>.</w:t>
      </w:r>
    </w:p>
  </w:footnote>
  <w:footnote w:id="5175">
    <w:p w14:paraId="2724327B" w14:textId="77777777" w:rsidR="0013116F" w:rsidRDefault="0013116F" w:rsidP="001D49D4">
      <w:pPr>
        <w:pStyle w:val="a9"/>
      </w:pPr>
      <w:r>
        <w:rPr>
          <w:rStyle w:val="ab"/>
        </w:rPr>
        <w:footnoteRef/>
      </w:r>
      <w:r>
        <w:rPr>
          <w:rtl/>
        </w:rPr>
        <w:t xml:space="preserve"> פירוש, במוכר לו שטר על משכנתא שבידו, דאע"פ דהחזיק בה הלוקח, מ"מ כיון דאינו בידו לגמרי, וגם ביד הלוה לסלקו במעות לכשירצה, ה"ל כשאר חוב, משא"כ במשכון דמטלטלין, דלאו כל כמיניה לאפקועי מה שביד הלוקח, סמ"ע (סקע"ג).</w:t>
      </w:r>
    </w:p>
  </w:footnote>
  <w:footnote w:id="5176">
    <w:p w14:paraId="32B15F1C" w14:textId="77777777" w:rsidR="0013116F" w:rsidRDefault="0013116F" w:rsidP="001D49D4">
      <w:pPr>
        <w:pStyle w:val="a9"/>
      </w:pPr>
      <w:r>
        <w:rPr>
          <w:rStyle w:val="ab"/>
        </w:rPr>
        <w:footnoteRef/>
      </w:r>
      <w:r>
        <w:rPr>
          <w:rtl/>
        </w:rPr>
        <w:t xml:space="preserve"> וכתב בעל התרומות דכן השיב הרמב"ן לו ונתן טעם שלא אמרו אלא במלוה שמכר שטר חוב שיכול למוחלו, מפני ששעבודו של תורה וקניינו של תורה וקניינו של לוקח מדבריהם, כדברי הרי"ף, אבל לוקח ראשון שמכר ללוקח שני אינו יכול למחול, מה מכר לו ראשון לשני כל זכות שיש לו ולא נשתייר לו במכירתו כלום.</w:t>
      </w:r>
    </w:p>
  </w:footnote>
  <w:footnote w:id="5177">
    <w:p w14:paraId="599A75DF" w14:textId="77777777" w:rsidR="0013116F" w:rsidRDefault="0013116F" w:rsidP="001D49D4">
      <w:pPr>
        <w:pStyle w:val="a9"/>
        <w:rPr>
          <w:rtl/>
        </w:rPr>
      </w:pPr>
      <w:r>
        <w:rPr>
          <w:rStyle w:val="ab"/>
        </w:rPr>
        <w:footnoteRef/>
      </w:r>
      <w:r>
        <w:rPr>
          <w:rtl/>
        </w:rPr>
        <w:t xml:space="preserve"> שעיקר שעבודו נשאר אצל המלוה הראשון מתחילה. ומהאי טעמא נ"ל דלוקח שט"ח שחזר ומכרו למלוה סגי במסירה לחוד בלא כתיבה. ועוד ראיה מלעיל סעיף א' סק"י, ש"ך (סקצ"ט).</w:t>
      </w:r>
    </w:p>
  </w:footnote>
  <w:footnote w:id="5178">
    <w:p w14:paraId="15A8D327" w14:textId="77777777" w:rsidR="0013116F" w:rsidRDefault="0013116F" w:rsidP="001D49D4">
      <w:pPr>
        <w:pStyle w:val="a9"/>
        <w:rPr>
          <w:rtl/>
        </w:rPr>
      </w:pPr>
      <w:r>
        <w:rPr>
          <w:rStyle w:val="ab"/>
        </w:rPr>
        <w:footnoteRef/>
      </w:r>
      <w:r>
        <w:rPr>
          <w:rtl/>
        </w:rPr>
        <w:t xml:space="preserve"> אבל מוכר ראשון יכול למחול אפילו נמכר אח"כ הרבה פעמים זה אחר זה. מיהו נראה פשוט דמוכר ראשון הוא דחייב מדינא דגרמי לשלם ללוקח האחרון כל מה שהיה שוה השטר, דמוחל הוי כשורף, ומוכר האחרון אינו חייב להחזיר כלום ללוקח שלו מהמעות שקיבל ממנו, ולא אמרינן כיון דידוע שהיה אפשר למחול השטר, תיהוי כהכיר בה שאינה שלו כו' [ב"מ טו:], ש"ך (סק"ק).</w:t>
      </w:r>
    </w:p>
  </w:footnote>
  <w:footnote w:id="5179">
    <w:p w14:paraId="08B946F4" w14:textId="77777777" w:rsidR="0013116F" w:rsidRDefault="0013116F" w:rsidP="001D49D4">
      <w:pPr>
        <w:pStyle w:val="a9"/>
        <w:rPr>
          <w:rtl/>
        </w:rPr>
      </w:pPr>
      <w:r>
        <w:rPr>
          <w:rStyle w:val="ab"/>
        </w:rPr>
        <w:footnoteRef/>
      </w:r>
      <w:r>
        <w:rPr>
          <w:rtl/>
        </w:rPr>
        <w:t xml:space="preserve"> בעל התרומות (שנ"א ח"ו סי' ח) כתב שיש אומרים שיורש שמחל פטור מלשלם אפילו מה שקבל אביו מהלוקח משום דדינא דגרמי קנסא הוא ולמוכר שקבל מעות מהלוקח קנסו לבנו לא קנסו. והוא ז"ל כתב שזה רחוק מן השכל דמשום דינא דגרמי הוא דמחייב ולא משום קנס וכתב שכן נראה מדברי ה"ר אברהם בר יצחק שהמוחל ומת היורש חייב לשלם וכל שכן אם היורש עצמו מחל. וכן דעת הרמב"ם (שם) שהיורש שמחל משלם מהיפה שבנכסיו כשאר מזיק. וכן דעת הראב"ד שכן כתב בתשובה מה שאמרו התלמידים שלא קנסו אלא למוכר שמחל אבל יורש שמחל לא קנסו טעו דדינא דגרמי נקרא ולא דינא דקנסי, ב"י. אך הש"ך (סקק"ד) כתב דהרבה פוסקים מאד חולקים ע"ז וס"ל דדיני דגרמי קנסא ולא קנסו בנו אחריו, וכ"כ מהרי"ל (סי' פו) ומהרי"ו (סי' כח) ושאר הרבה אחרונים, ודבריהם נראה עיקר כמו שהוכחתי לקמן ר"ס שפ"ו, וגם הי"א שמביא הר"ב לקמן סימן שפ"ח סעיף ב' דדוקא שעמד בדין כו', הוא דעת מהר"מ שכתב ששמע שכן פסק ריצב"א, עכ"ל, וכדאיתא במרדכי פרק החובל [סי' צא] ובתשובת מהר"מ מרוטנבורק (ד"פ סי' תקצט). עוד איתא בתשובת מהר"מ (ד"פ סי' תס) שפסק מורי הרב דכל דיני דגרמי משום קנס ולא קנסו לבנו, ע"ש, וא"כ קשה על הר"ב שלא הביא דעת הי"א וסתם כהמחבר, ועיין לקמן ר"ס שפ"ו שהארכתי בזה.</w:t>
      </w:r>
    </w:p>
  </w:footnote>
  <w:footnote w:id="5180">
    <w:p w14:paraId="46E3B291" w14:textId="77777777" w:rsidR="0013116F" w:rsidRDefault="0013116F" w:rsidP="001D49D4">
      <w:pPr>
        <w:pStyle w:val="a9"/>
        <w:rPr>
          <w:rtl/>
        </w:rPr>
      </w:pPr>
      <w:r>
        <w:rPr>
          <w:rStyle w:val="ab"/>
        </w:rPr>
        <w:footnoteRef/>
      </w:r>
      <w:r>
        <w:rPr>
          <w:rtl/>
        </w:rPr>
        <w:t xml:space="preserve"> ודלא כדעת היש אומרים שכתב בהגהות אלפסי פרק הכותב </w:t>
      </w:r>
      <w:r>
        <w:rPr>
          <w:sz w:val="16"/>
          <w:szCs w:val="16"/>
          <w:rtl/>
        </w:rPr>
        <w:t xml:space="preserve">(שלט"ג מד. סוף אות א) </w:t>
      </w:r>
      <w:r>
        <w:rPr>
          <w:rtl/>
        </w:rPr>
        <w:t xml:space="preserve">הא דמחל צריך לשלם היינו אם המוכר עצמו מחלו אבל אם מחלו היורש א"צ לשלם, דרכ"מ (אות י*). </w:t>
      </w:r>
      <w:r>
        <w:rPr>
          <w:sz w:val="16"/>
          <w:szCs w:val="16"/>
          <w:rtl/>
        </w:rPr>
        <w:t xml:space="preserve">(וכ"כ הש"ך (סקק"א) וכתב שכן הסכמת כל הפוסקים רבים וגדולים ראשונים ואחרונים בכמה דוכתי דלא כשלט"ג בשם ריא"ז </w:t>
      </w:r>
      <w:r>
        <w:rPr>
          <w:sz w:val="14"/>
          <w:szCs w:val="14"/>
          <w:rtl/>
        </w:rPr>
        <w:t xml:space="preserve">[שם] </w:t>
      </w:r>
      <w:r>
        <w:rPr>
          <w:sz w:val="16"/>
          <w:szCs w:val="16"/>
          <w:rtl/>
        </w:rPr>
        <w:t xml:space="preserve">והוא כדעת הי"א בבעל התרומות </w:t>
      </w:r>
      <w:r>
        <w:rPr>
          <w:sz w:val="14"/>
          <w:szCs w:val="14"/>
          <w:rtl/>
        </w:rPr>
        <w:t>[שער נא ח"ו ס"ח]</w:t>
      </w:r>
      <w:r>
        <w:rPr>
          <w:sz w:val="16"/>
          <w:szCs w:val="16"/>
          <w:rtl/>
        </w:rPr>
        <w:t xml:space="preserve">, וכבר דחה הבעל התרומות סברא זו בשתי ידים ומביאו ב"י </w:t>
      </w:r>
      <w:r>
        <w:rPr>
          <w:sz w:val="14"/>
          <w:szCs w:val="14"/>
          <w:rtl/>
        </w:rPr>
        <w:t>[סע' לא]</w:t>
      </w:r>
      <w:r>
        <w:rPr>
          <w:sz w:val="16"/>
          <w:szCs w:val="16"/>
          <w:rtl/>
        </w:rPr>
        <w:t xml:space="preserve">, והכי מוכח מדברי התוס' </w:t>
      </w:r>
      <w:r>
        <w:rPr>
          <w:sz w:val="14"/>
          <w:szCs w:val="14"/>
          <w:rtl/>
        </w:rPr>
        <w:t xml:space="preserve">[שם פו. ד"ה תיזיל] </w:t>
      </w:r>
      <w:r>
        <w:rPr>
          <w:sz w:val="16"/>
          <w:szCs w:val="16"/>
          <w:rtl/>
        </w:rPr>
        <w:t xml:space="preserve">והר"ן </w:t>
      </w:r>
      <w:r>
        <w:rPr>
          <w:sz w:val="14"/>
          <w:szCs w:val="14"/>
          <w:rtl/>
        </w:rPr>
        <w:t>[פרק הכותב מה. מדפה"ר]</w:t>
      </w:r>
      <w:r>
        <w:rPr>
          <w:sz w:val="16"/>
          <w:szCs w:val="16"/>
          <w:rtl/>
        </w:rPr>
        <w:t xml:space="preserve">... וכן הרא"ש פרק שנים אוחזין </w:t>
      </w:r>
      <w:r>
        <w:rPr>
          <w:sz w:val="14"/>
          <w:szCs w:val="14"/>
          <w:rtl/>
        </w:rPr>
        <w:t xml:space="preserve">[סי' מח] </w:t>
      </w:r>
      <w:r>
        <w:rPr>
          <w:sz w:val="16"/>
          <w:szCs w:val="16"/>
          <w:rtl/>
        </w:rPr>
        <w:t xml:space="preserve">והתוס' בב"ב </w:t>
      </w:r>
      <w:r>
        <w:rPr>
          <w:sz w:val="14"/>
          <w:szCs w:val="14"/>
          <w:rtl/>
        </w:rPr>
        <w:t>[פרק מי שמת קמז: ד"ה המוכר]</w:t>
      </w:r>
      <w:r>
        <w:rPr>
          <w:sz w:val="16"/>
          <w:szCs w:val="16"/>
          <w:rtl/>
        </w:rPr>
        <w:t>)</w:t>
      </w:r>
    </w:p>
  </w:footnote>
  <w:footnote w:id="5181">
    <w:p w14:paraId="284639CC" w14:textId="77777777" w:rsidR="0013116F" w:rsidRDefault="0013116F" w:rsidP="001D49D4">
      <w:pPr>
        <w:pStyle w:val="a9"/>
        <w:rPr>
          <w:rtl/>
        </w:rPr>
      </w:pPr>
      <w:r>
        <w:rPr>
          <w:rStyle w:val="ab"/>
        </w:rPr>
        <w:footnoteRef/>
      </w:r>
      <w:r>
        <w:rPr>
          <w:rtl/>
        </w:rPr>
        <w:t xml:space="preserve"> סימן – ויתור פתק.</w:t>
      </w:r>
    </w:p>
  </w:footnote>
  <w:footnote w:id="5182">
    <w:p w14:paraId="292407C6" w14:textId="77777777" w:rsidR="0013116F" w:rsidRDefault="0013116F" w:rsidP="001D49D4">
      <w:pPr>
        <w:pStyle w:val="a9"/>
        <w:rPr>
          <w:rtl/>
        </w:rPr>
      </w:pPr>
      <w:r>
        <w:rPr>
          <w:rStyle w:val="ab"/>
        </w:rPr>
        <w:footnoteRef/>
      </w:r>
      <w:r>
        <w:rPr>
          <w:rtl/>
        </w:rPr>
        <w:t xml:space="preserve"> בהאי שטרא מהמוחלו, רש"י.</w:t>
      </w:r>
    </w:p>
  </w:footnote>
  <w:footnote w:id="5183">
    <w:p w14:paraId="664B0767" w14:textId="77777777" w:rsidR="0013116F" w:rsidRDefault="0013116F" w:rsidP="001D49D4">
      <w:pPr>
        <w:pStyle w:val="a9"/>
        <w:rPr>
          <w:rtl/>
        </w:rPr>
      </w:pPr>
      <w:r>
        <w:rPr>
          <w:rStyle w:val="ab"/>
        </w:rPr>
        <w:footnoteRef/>
      </w:r>
      <w:r>
        <w:rPr>
          <w:rtl/>
        </w:rPr>
        <w:t xml:space="preserve"> רש"י</w:t>
      </w:r>
      <w:r>
        <w:rPr>
          <w:sz w:val="16"/>
          <w:szCs w:val="16"/>
          <w:rtl/>
        </w:rPr>
        <w:t xml:space="preserve"> (ד"ה דמי שטרא)</w:t>
      </w:r>
      <w:r>
        <w:rPr>
          <w:rtl/>
        </w:rPr>
        <w:t xml:space="preserve"> רמב"ם </w:t>
      </w:r>
      <w:r>
        <w:rPr>
          <w:sz w:val="16"/>
          <w:szCs w:val="16"/>
          <w:rtl/>
        </w:rPr>
        <w:t xml:space="preserve">(פ"ז דחובל ומזיק ה"י) </w:t>
      </w:r>
      <w:r>
        <w:rPr>
          <w:rtl/>
        </w:rPr>
        <w:t xml:space="preserve">רמב"ן </w:t>
      </w:r>
      <w:r>
        <w:rPr>
          <w:sz w:val="16"/>
          <w:szCs w:val="16"/>
          <w:rtl/>
        </w:rPr>
        <w:t xml:space="preserve">(ב"מ כ. ד"ה שם, וכ"כ הנמוק"י בפ"ק דמציעא יא: מדפה"ר בשמו, כ"כ הש"ך בשמם [סקקי"ז]) </w:t>
      </w:r>
      <w:r>
        <w:rPr>
          <w:rtl/>
        </w:rPr>
        <w:t>רשב"א</w:t>
      </w:r>
      <w:r>
        <w:rPr>
          <w:sz w:val="16"/>
          <w:szCs w:val="16"/>
          <w:rtl/>
        </w:rPr>
        <w:t xml:space="preserve"> (בתשו', כ"כ הב"י בשמו)</w:t>
      </w:r>
      <w:r>
        <w:rPr>
          <w:rtl/>
        </w:rPr>
        <w:t xml:space="preserve"> ור"ן </w:t>
      </w:r>
      <w:r>
        <w:rPr>
          <w:sz w:val="16"/>
          <w:szCs w:val="16"/>
          <w:rtl/>
        </w:rPr>
        <w:t>(פרק הכותב מה.)</w:t>
      </w:r>
      <w:r>
        <w:rPr>
          <w:rtl/>
        </w:rPr>
        <w:t>. וכתב הה"מ שכן כתבו זכרונם לברכה, ב"י.</w:t>
      </w:r>
    </w:p>
  </w:footnote>
  <w:footnote w:id="5184">
    <w:p w14:paraId="6767D767" w14:textId="77777777" w:rsidR="0013116F" w:rsidRDefault="0013116F" w:rsidP="001D49D4">
      <w:pPr>
        <w:pStyle w:val="a9"/>
        <w:rPr>
          <w:rtl/>
        </w:rPr>
      </w:pPr>
      <w:r>
        <w:rPr>
          <w:rStyle w:val="ab"/>
        </w:rPr>
        <w:footnoteRef/>
      </w:r>
      <w:r>
        <w:rPr>
          <w:rtl/>
        </w:rPr>
        <w:t xml:space="preserve"> וכ"כ בב"י </w:t>
      </w:r>
      <w:r>
        <w:rPr>
          <w:sz w:val="16"/>
          <w:szCs w:val="16"/>
          <w:rtl/>
        </w:rPr>
        <w:t>(בבדה"ב)</w:t>
      </w:r>
      <w:r>
        <w:rPr>
          <w:rtl/>
        </w:rPr>
        <w:t>- ולענין הלכה נקטינן כהרמב"ם דסוגיין דעלמא כוותיה בדיני ממונות, וכ"ש דרש"י ורשב"א ור"ן סברי כוותיה.</w:t>
      </w:r>
    </w:p>
  </w:footnote>
  <w:footnote w:id="5185">
    <w:p w14:paraId="15BF7438" w14:textId="77777777" w:rsidR="0013116F" w:rsidRDefault="0013116F" w:rsidP="001D49D4">
      <w:pPr>
        <w:pStyle w:val="a9"/>
        <w:rPr>
          <w:rtl/>
        </w:rPr>
      </w:pPr>
      <w:r>
        <w:rPr>
          <w:rStyle w:val="ab"/>
        </w:rPr>
        <w:footnoteRef/>
      </w:r>
      <w:r>
        <w:rPr>
          <w:rtl/>
        </w:rPr>
        <w:t xml:space="preserve"> רב שרירא גאון </w:t>
      </w:r>
      <w:r>
        <w:rPr>
          <w:sz w:val="16"/>
          <w:szCs w:val="16"/>
          <w:rtl/>
        </w:rPr>
        <w:t xml:space="preserve">(כ"כ הרא"ש בשמו [שם]) </w:t>
      </w:r>
      <w:r>
        <w:rPr>
          <w:rtl/>
        </w:rPr>
        <w:t xml:space="preserve">רשב"ם </w:t>
      </w:r>
      <w:r>
        <w:rPr>
          <w:sz w:val="16"/>
          <w:szCs w:val="16"/>
          <w:rtl/>
        </w:rPr>
        <w:t xml:space="preserve">(פרק מי שמת קמז: ד"ה מחול) </w:t>
      </w:r>
      <w:r>
        <w:rPr>
          <w:rtl/>
        </w:rPr>
        <w:t xml:space="preserve">ר"י </w:t>
      </w:r>
      <w:r>
        <w:rPr>
          <w:sz w:val="16"/>
          <w:szCs w:val="16"/>
          <w:rtl/>
        </w:rPr>
        <w:t>(כ"כ התוס' בשמו [ד"ה תיזיל])</w:t>
      </w:r>
      <w:r>
        <w:rPr>
          <w:rtl/>
        </w:rPr>
        <w:t xml:space="preserve"> מרדכי </w:t>
      </w:r>
      <w:r>
        <w:rPr>
          <w:sz w:val="16"/>
          <w:szCs w:val="16"/>
          <w:rtl/>
        </w:rPr>
        <w:t>(כתובות פרק הכותב סי' ריט)</w:t>
      </w:r>
      <w:r>
        <w:rPr>
          <w:rtl/>
        </w:rPr>
        <w:t xml:space="preserve"> וטור.</w:t>
      </w:r>
    </w:p>
  </w:footnote>
  <w:footnote w:id="5186">
    <w:p w14:paraId="6CDA4E19" w14:textId="77777777" w:rsidR="0013116F" w:rsidRDefault="0013116F" w:rsidP="001D49D4">
      <w:pPr>
        <w:pStyle w:val="a9"/>
        <w:rPr>
          <w:rtl/>
        </w:rPr>
      </w:pPr>
      <w:r>
        <w:rPr>
          <w:rStyle w:val="ab"/>
        </w:rPr>
        <w:footnoteRef/>
      </w:r>
      <w:r>
        <w:rPr>
          <w:rtl/>
        </w:rPr>
        <w:t xml:space="preserve"> וכ"כ הגה"מ פ"ז דחובל ומזיק (אות ו) בשם שר שלום גאון. והרא"ש ספ"ק דמציעא (סי' מח) כתב ראיות האומרים כן ודחה אותם ובסוף כתב ומצאתי כתוב שכתב רב שרירא גאון בתשובה המוכר שטר חוב לחבירו וכו' עד אלא מה שנתן בשטר וכן דעת התוס' ומסתבר הכי עכ"ל. וכתב הב"י- ודע שאע"פ שהרא"ש בפסקיו כתב דמסתבר כרב שרירא - בתשובה לא משמע הכי, שכתב בכלל ס"ט (סי' א) נראה מדקאמר מגבי ביה דמי שטרא מעליא אלמא שחייב לשלם כל מה שהיה כתוב בשטר, ומיהו שמין כמה היה השטר שוה לימכר, כי דבר ידוע הוא שאינו נמכר בכל הדמים הכתובים בו כיון דמחוסר גוביינא, ושמין כל שטר לפי מה שהוא כגון שהלוה הוא גברא אלמא ולא ציית דינא או שאין לו נכסים עכ"ל. </w:t>
      </w:r>
    </w:p>
  </w:footnote>
  <w:footnote w:id="5187">
    <w:p w14:paraId="0DF31969" w14:textId="77777777" w:rsidR="0013116F" w:rsidRDefault="0013116F" w:rsidP="001D49D4">
      <w:pPr>
        <w:pStyle w:val="a9"/>
      </w:pPr>
      <w:r>
        <w:rPr>
          <w:rStyle w:val="ab"/>
        </w:rPr>
        <w:footnoteRef/>
      </w:r>
      <w:r>
        <w:rPr>
          <w:rtl/>
        </w:rPr>
        <w:t xml:space="preserve"> וכתב הב"י דנראה שזה על פי דעת הרמב"ם שמחייב לשלם למוחל כל דמי השטר וכבר נתבאר בסמוך שיש חולקים בזה.</w:t>
      </w:r>
    </w:p>
  </w:footnote>
  <w:footnote w:id="5188">
    <w:p w14:paraId="42227C3A" w14:textId="77777777" w:rsidR="0013116F" w:rsidRDefault="0013116F" w:rsidP="001D49D4">
      <w:pPr>
        <w:pStyle w:val="a9"/>
        <w:rPr>
          <w:rtl/>
        </w:rPr>
      </w:pPr>
      <w:r>
        <w:rPr>
          <w:rStyle w:val="ab"/>
        </w:rPr>
        <w:footnoteRef/>
      </w:r>
      <w:r>
        <w:rPr>
          <w:rtl/>
        </w:rPr>
        <w:t xml:space="preserve"> ז"ל הרשב"א </w:t>
      </w:r>
      <w:r>
        <w:rPr>
          <w:sz w:val="16"/>
          <w:szCs w:val="16"/>
          <w:rtl/>
        </w:rPr>
        <w:t>(ח"ז סי' שלה)</w:t>
      </w:r>
      <w:r>
        <w:rPr>
          <w:rtl/>
        </w:rPr>
        <w:t>- השורף שטרות פרועים של חבירו ונודע בבירור שאם היה מוציא היה גובה מהן פטור וכן השיב ה"ר יצחק ב"ר אברהם לפי שאין זה אלא כמי שהיתה מציאה לפניו ובא חבירו ומנעו ממנה מליטול אותה שאין זה נדון בדינא דגרמי והא נמי דכוותא היא וגריעא מינה ואפילו גרמא בנזיקין דאסור לכתחילה ליכא.</w:t>
      </w:r>
    </w:p>
  </w:footnote>
  <w:footnote w:id="5189">
    <w:p w14:paraId="4004A7EB" w14:textId="77777777" w:rsidR="0013116F" w:rsidRDefault="0013116F" w:rsidP="001D49D4">
      <w:pPr>
        <w:pStyle w:val="a9"/>
      </w:pPr>
      <w:r>
        <w:rPr>
          <w:rStyle w:val="ab"/>
        </w:rPr>
        <w:footnoteRef/>
      </w:r>
      <w:r>
        <w:rPr>
          <w:rtl/>
        </w:rPr>
        <w:t xml:space="preserve"> ועיין במה שכתבתי לעיל בסימן זה בשם הרמב"ם, ב"י. וכתב הש"ך </w:t>
      </w:r>
      <w:r>
        <w:rPr>
          <w:sz w:val="16"/>
          <w:szCs w:val="16"/>
          <w:rtl/>
        </w:rPr>
        <w:t xml:space="preserve">(סקק"י) </w:t>
      </w:r>
      <w:r>
        <w:rPr>
          <w:rtl/>
        </w:rPr>
        <w:t xml:space="preserve">דלכאורה תשובת רשב"א זו תמוהה, גם נצטרך לומר שהוא חולק על הרמב"ם והטור והמחבר לעיל סע' י"א, וכן על בהעי"ט והרמב"ן והרא"ש והר"ן </w:t>
      </w:r>
      <w:r>
        <w:rPr>
          <w:sz w:val="16"/>
          <w:szCs w:val="16"/>
          <w:rtl/>
        </w:rPr>
        <w:t xml:space="preserve">[הובאו בש"ך סקל"ה] </w:t>
      </w:r>
      <w:r>
        <w:rPr>
          <w:rtl/>
        </w:rPr>
        <w:t xml:space="preserve">והטור והמחבר לעיל סע' ט"ו ושאר הרבה פוסקים, שכולם כתבו שהמוכר נאמן לומר פרוע מתוך שיכול למחול </w:t>
      </w:r>
      <w:r>
        <w:rPr>
          <w:sz w:val="16"/>
          <w:szCs w:val="16"/>
          <w:rtl/>
        </w:rPr>
        <w:t>(וכ"כ בתשו' מהר"א ן' חיים (סי' פא בתשו' הראשונה, וסי' צב) שתשובת רשב"א זו חולק אמה שכתבו הפוסקים לעיל שאם לא ישבע המוכר יפסיד הלוקח, וס"ל שאין זוקקין את המלוה לישבע ע"ש. ולא נהירא שיחלוק על כל הפוסקים הנ"ל, ובפרט שדבריהם ברורים. ועוד, שמשמע כן כדבריהם בש"ס ספ"ק דמציעא [יט:-כ.] שהמוכר נאמן לומר פרוע מתוך שיכול למחול. ועוד שבנמוק"י ספ"ק דמציעא [יא: מדפה"ר] משמע דהרשב"א ס"ל כהפוסקים הנ"ל)</w:t>
      </w:r>
      <w:r>
        <w:rPr>
          <w:rtl/>
        </w:rPr>
        <w:t>. לכן נראה דבתשו' רשב"א זו היה המוכר חייב ללוקח בלאו הכי והיה משתעבד לו שטר זה מדרבי נתן, ובכה"ג אינו יכול למחול ולומר פרוע, וכמש"כ לעיל סע' כ"ו סקפ"ט, והיינו שכתב ובמקום שחב לאחרים אינו נאמן כדאיתא בפרק האשה שנתאלמנה, והתם בפרק האשה שנתאלמנה מיירי בשעבודא דרבי נתן.</w:t>
      </w:r>
    </w:p>
  </w:footnote>
  <w:footnote w:id="5190">
    <w:p w14:paraId="0DAABCF6" w14:textId="77777777" w:rsidR="0013116F" w:rsidRDefault="0013116F" w:rsidP="001D49D4">
      <w:pPr>
        <w:pStyle w:val="a9"/>
        <w:rPr>
          <w:rtl/>
        </w:rPr>
      </w:pPr>
      <w:r>
        <w:rPr>
          <w:rStyle w:val="ab"/>
        </w:rPr>
        <w:footnoteRef/>
      </w:r>
      <w:r>
        <w:rPr>
          <w:rtl/>
        </w:rPr>
        <w:t xml:space="preserve"> לשון הרמב"ם </w:t>
      </w:r>
      <w:r>
        <w:rPr>
          <w:sz w:val="16"/>
          <w:szCs w:val="16"/>
          <w:rtl/>
        </w:rPr>
        <w:t>(פ"ז מחובל ה"י)</w:t>
      </w:r>
      <w:r>
        <w:rPr>
          <w:rtl/>
        </w:rPr>
        <w:t xml:space="preserve"> מהיפה שבנכסיו כשאר המזיקין. ור"ל כדין הניזקין גובין מן העידיות, לקמן סי' תיט, ש"ך (סקק"ב).</w:t>
      </w:r>
    </w:p>
  </w:footnote>
  <w:footnote w:id="5191">
    <w:p w14:paraId="6A1FF3FE" w14:textId="77777777" w:rsidR="0013116F" w:rsidRDefault="0013116F" w:rsidP="001D49D4">
      <w:pPr>
        <w:pStyle w:val="a9"/>
        <w:rPr>
          <w:rtl/>
        </w:rPr>
      </w:pPr>
      <w:r>
        <w:rPr>
          <w:rStyle w:val="ab"/>
        </w:rPr>
        <w:footnoteRef/>
      </w:r>
      <w:r>
        <w:rPr>
          <w:rtl/>
        </w:rPr>
        <w:t xml:space="preserve"> שוה למכור בשעת מחילה, ש"ך (סקק"ג).</w:t>
      </w:r>
    </w:p>
  </w:footnote>
  <w:footnote w:id="5192">
    <w:p w14:paraId="66E0542D" w14:textId="77777777" w:rsidR="0013116F" w:rsidRDefault="0013116F" w:rsidP="001D49D4">
      <w:pPr>
        <w:pStyle w:val="a9"/>
      </w:pPr>
      <w:r>
        <w:rPr>
          <w:rStyle w:val="ab"/>
        </w:rPr>
        <w:footnoteRef/>
      </w:r>
      <w:r>
        <w:rPr>
          <w:rtl/>
        </w:rPr>
        <w:t xml:space="preserve"> עיין לקמן סימן ק"ח סעיף ב' סק"ד וסימן שפ"ח סעיף ב' בהג"ה סקט"ו מה שכתבתי בזה ודוק וצ"ע, ש"ך (סקק"ה).</w:t>
      </w:r>
    </w:p>
  </w:footnote>
  <w:footnote w:id="5193">
    <w:p w14:paraId="470A3AAF" w14:textId="77777777" w:rsidR="0013116F" w:rsidRDefault="0013116F" w:rsidP="001D49D4">
      <w:pPr>
        <w:pStyle w:val="a9"/>
        <w:rPr>
          <w:rtl/>
        </w:rPr>
      </w:pPr>
      <w:r>
        <w:rPr>
          <w:rStyle w:val="ab"/>
        </w:rPr>
        <w:footnoteRef/>
      </w:r>
      <w:r>
        <w:rPr>
          <w:rtl/>
        </w:rPr>
        <w:t xml:space="preserve"> דברי הר"ב צ"ע, דנהי שכתב הב"י </w:t>
      </w:r>
      <w:r>
        <w:rPr>
          <w:sz w:val="16"/>
          <w:szCs w:val="16"/>
          <w:rtl/>
        </w:rPr>
        <w:t xml:space="preserve">(מחודש כח) </w:t>
      </w:r>
      <w:r>
        <w:rPr>
          <w:rtl/>
        </w:rPr>
        <w:t>בשם תשובת רשב"א</w:t>
      </w:r>
      <w:r>
        <w:rPr>
          <w:sz w:val="16"/>
          <w:szCs w:val="16"/>
          <w:rtl/>
        </w:rPr>
        <w:t xml:space="preserve"> (וכ"כ רי"ו ני"ד בשם תשובת רשב"א ומביאו ב"י במחודש יז)</w:t>
      </w:r>
      <w:r>
        <w:rPr>
          <w:rtl/>
        </w:rPr>
        <w:t xml:space="preserve"> דצריך לשלם לו גם הריבית, מ"מ הרי הרשב"א גופיה בתשובה אחרת נסתפק אם יכול למכור כלל הריבית, והיא בתשובות המיוחסות להרמב"ן סי' רכ"ג, ומביאו ב"י בקצרה לעיל ר"ס זה מחודש ו' ע"ש, וא"כ כיון שאין הריבית נמכר, אע"ג שהיה יכול לגבותו אינו חייב לשלם לו, דמניעת הריוח לא מיקרי היזק, ופשיטא דהרשב"א בתשו' רמב"ן שם מיירי אף בריבית שעלה כבר כדמשמע התם להדיא. ועוד, דהא הוציא כן מהש"ס דפרק יש נוחלין, ושם מיירי להדיא כן. וגם באמת נראה ראית הרשב"א נכונה מן הש"ס פרק יש נוחלין (קכד:), דמוכח התם דהריבית כל זמן שלא נגבה לאו דיליה הוא, ולהכי אפילו רבנן דאמרי בכור נוטל פי שנים במלוה, אינו נוטל בריבית. ובעל כרחך צ"ל דהרשב"א ורי"ו שכתבו דצריך לשלם לו אף הריבית, מיירי כשזקף הריבית בשטר במלוה, ואז ה"ל כגבוי וכדמוכח בש"ס פרק איזהו נשך (עב.), וכמו שנתבאר ביו"ד סי' קע"א, אבל מלשון הר"ב שכתב צריך לשלם לו אף הריבית שעלה עליו, לא משמע כן, וצ"ע. עיין בתשובת מהר"מ מינץ סי' ס"ו, ש"ך (סקק"ז).</w:t>
      </w:r>
    </w:p>
  </w:footnote>
  <w:footnote w:id="5194">
    <w:p w14:paraId="6E7A1A79" w14:textId="77777777" w:rsidR="0013116F" w:rsidRDefault="0013116F" w:rsidP="001D49D4">
      <w:pPr>
        <w:pStyle w:val="a9"/>
      </w:pPr>
      <w:r>
        <w:rPr>
          <w:rStyle w:val="ab"/>
        </w:rPr>
        <w:footnoteRef/>
      </w:r>
      <w:r>
        <w:rPr>
          <w:rtl/>
        </w:rPr>
        <w:t xml:space="preserve"> כלומר שכבר פרע ללוקח, ש"ך (סקק"ח). היינו שהקרן פרוע אבל הריבית עדיין לא.</w:t>
      </w:r>
    </w:p>
  </w:footnote>
  <w:footnote w:id="5195">
    <w:p w14:paraId="5D56780F" w14:textId="77777777" w:rsidR="0013116F" w:rsidRDefault="0013116F" w:rsidP="001D49D4">
      <w:pPr>
        <w:pStyle w:val="a9"/>
      </w:pPr>
      <w:r>
        <w:rPr>
          <w:rStyle w:val="ab"/>
        </w:rPr>
        <w:footnoteRef/>
      </w:r>
      <w:r>
        <w:rPr>
          <w:rtl/>
        </w:rPr>
        <w:t xml:space="preserve"> את הריבית.</w:t>
      </w:r>
    </w:p>
  </w:footnote>
  <w:footnote w:id="5196">
    <w:p w14:paraId="5948CB10" w14:textId="77777777" w:rsidR="0013116F" w:rsidRDefault="0013116F" w:rsidP="001D49D4">
      <w:pPr>
        <w:pStyle w:val="a9"/>
      </w:pPr>
      <w:r>
        <w:rPr>
          <w:rStyle w:val="ab"/>
        </w:rPr>
        <w:footnoteRef/>
      </w:r>
      <w:r>
        <w:rPr>
          <w:rtl/>
        </w:rPr>
        <w:t xml:space="preserve"> ודוקא בזה ס"ל דא"צ ליתן לו אלא דמיו, משום דע"י מחילה נעשה כנייר בעלמא ומעיקרא זביני ריעי הוה, אבל בא בע"ח וטורפו מיד הלוקח או שבא אחר ואומר ששלו הוא, ואינך דכתבו הטור והמחבר בסמוך [טור סעיף ל"ג ומחבר] סעיף ל"ד, כו"ע מודים דצריך לשלם כל דמי השטר. והטעם, דשם נשאר עליו שם שט"ח וצריך הלוה לפרוע להאחר, וגם לא ה"ל להעלות על דעתו שימכור דבר שאינו שלו, משום הכי לא הוה זביני רעוע, ועיין פרישה [סעיף ל"ג], ולא כב"י [שם], סמ"ע (סקע"ו).</w:t>
      </w:r>
    </w:p>
  </w:footnote>
  <w:footnote w:id="5197">
    <w:p w14:paraId="58A30911" w14:textId="77777777" w:rsidR="0013116F" w:rsidRDefault="0013116F" w:rsidP="001D49D4">
      <w:pPr>
        <w:pStyle w:val="a9"/>
        <w:rPr>
          <w:rtl/>
        </w:rPr>
      </w:pPr>
      <w:r>
        <w:rPr>
          <w:rStyle w:val="ab"/>
        </w:rPr>
        <w:footnoteRef/>
      </w:r>
      <w:r>
        <w:rPr>
          <w:rtl/>
        </w:rPr>
        <w:t xml:space="preserve"> וכתב הטור דגובה כל השטר. וכתב הב"י דהיינו למאן דסבירא ליה במוכר שטר חוב לחבירו וחזר ומחלו גובה כל השטר, אבל למאן דסבירא ליה דאינו גובה אלא מעות שנתן - הכא נמי אינו גובה אלא מעות שנתן. ויש לתמוה שמאחר שרבינו סתם דבריו לעיל בסמוך (סל"א-לב) דאינו משלם אלא דמים שנתן למה כתב כאן דגובה כל השטר. ולא עוד אלא דאפשר דאפילו למאן דאמר התם דגובה כל השטר מודה הכא דאינו גובה אלא דמים שנתן, דכיון דמדין אחריות הוא דחייב דיו שיתחייב במעות שנתן, אבל ביותר מכן מנין לנו. עכ"ל הב"י. אך הדרכ"מ (אות יב) כתב- ונ"ל דמה שכתב כאן דגובה כל השטר הוא לכו"ע דמאחר שהמוכר נהנה בכולה שהרי ב"ח בא וגובה אותו מן הלוה הכל בודאי צריך לשלם לזה כל השטר דהוה כאלו קיבל המוכר החוב שנתבאר לעיל (סי"ז) שצריך ליתנו ללוקח. וכן אם לא היה השטר שלו או שהיה פרוע צריך להעמיד לו שטר אחר כדמשמע בסמוך (סל"ו) בתשובת הרא"ש. עכ"ל הדרכ"מ. וכ"כ הסמ"ע (סקע"ו).</w:t>
      </w:r>
    </w:p>
  </w:footnote>
  <w:footnote w:id="5198">
    <w:p w14:paraId="019FAC5E" w14:textId="77777777" w:rsidR="0013116F" w:rsidRDefault="0013116F" w:rsidP="001D49D4">
      <w:pPr>
        <w:pStyle w:val="a9"/>
        <w:rPr>
          <w:rtl/>
        </w:rPr>
      </w:pPr>
      <w:r>
        <w:rPr>
          <w:rStyle w:val="ab"/>
        </w:rPr>
        <w:footnoteRef/>
      </w:r>
      <w:r>
        <w:rPr>
          <w:rtl/>
        </w:rPr>
        <w:t xml:space="preserve"> הטור העתיק את לשון ספר התרומות ובמקום לכתוב 'של שכן' כתב 'אבל', וכתב הב"י דנראה שטעמו של הטור הוא משום דבבא קדמאה חוזר וגובה מדין אחריות ובבא תניינא הוי מדין מקח טעות, ומשמע לטור דכי חייב מדין אחריות גובה כל השטר וכי חייב מדין מקח טעות המעות חוזרין.</w:t>
      </w:r>
    </w:p>
  </w:footnote>
  <w:footnote w:id="5199">
    <w:p w14:paraId="65A447CC" w14:textId="77777777" w:rsidR="0013116F" w:rsidRDefault="0013116F" w:rsidP="001D49D4">
      <w:pPr>
        <w:pStyle w:val="a9"/>
        <w:rPr>
          <w:rtl/>
        </w:rPr>
      </w:pPr>
      <w:r>
        <w:rPr>
          <w:rStyle w:val="ab"/>
        </w:rPr>
        <w:footnoteRef/>
      </w:r>
      <w:r>
        <w:rPr>
          <w:rtl/>
        </w:rPr>
        <w:t xml:space="preserve"> דמזל דידיה גרם, טור. וכתב הב"י שדבר זה נלמד מהירושלמי דקידושין פרק האומר </w:t>
      </w:r>
      <w:r>
        <w:rPr>
          <w:sz w:val="16"/>
          <w:szCs w:val="16"/>
          <w:rtl/>
        </w:rPr>
        <w:t xml:space="preserve">(פ"ג ה"ד, וז"ל- </w:t>
      </w:r>
      <w:r>
        <w:rPr>
          <w:sz w:val="16"/>
          <w:szCs w:val="16"/>
          <w:u w:val="single"/>
          <w:rtl/>
        </w:rPr>
        <w:t>רבי יעקב בר אחא בשם רבי אימי</w:t>
      </w:r>
      <w:r>
        <w:rPr>
          <w:sz w:val="16"/>
          <w:szCs w:val="16"/>
          <w:rtl/>
        </w:rPr>
        <w:t xml:space="preserve">: ראובן חייב לשמעון, סמכיה גבי לוי </w:t>
      </w:r>
      <w:r>
        <w:rPr>
          <w:sz w:val="14"/>
          <w:szCs w:val="14"/>
          <w:rtl/>
        </w:rPr>
        <w:t>{הפנה אותו אצל לוי שישלם לו את חובו}</w:t>
      </w:r>
      <w:r>
        <w:rPr>
          <w:sz w:val="16"/>
          <w:szCs w:val="16"/>
          <w:rtl/>
        </w:rPr>
        <w:t xml:space="preserve">. אפירסן </w:t>
      </w:r>
      <w:r>
        <w:rPr>
          <w:sz w:val="14"/>
          <w:szCs w:val="14"/>
          <w:rtl/>
        </w:rPr>
        <w:t xml:space="preserve">{העני} </w:t>
      </w:r>
      <w:r>
        <w:rPr>
          <w:sz w:val="16"/>
          <w:szCs w:val="16"/>
          <w:rtl/>
        </w:rPr>
        <w:t xml:space="preserve">לוי. לית ראובן חייב לשמעון </w:t>
      </w:r>
      <w:r>
        <w:rPr>
          <w:sz w:val="14"/>
          <w:szCs w:val="14"/>
          <w:rtl/>
        </w:rPr>
        <w:t>{כיון שראובן העמיד את שמעון לפני לוי במעמד שלשתם, פטור}</w:t>
      </w:r>
      <w:r>
        <w:rPr>
          <w:sz w:val="16"/>
          <w:szCs w:val="16"/>
          <w:rtl/>
        </w:rPr>
        <w:t>. הדא דאת אמר בשלא עשו בהערמה אבל עשו בהערמה חייב)</w:t>
      </w:r>
      <w:r>
        <w:rPr>
          <w:rtl/>
        </w:rPr>
        <w:t xml:space="preserve"> וכתבו הרי"ף בפרק המקבל (ב"מ סח:).</w:t>
      </w:r>
    </w:p>
  </w:footnote>
  <w:footnote w:id="5200">
    <w:p w14:paraId="6A63390C" w14:textId="77777777" w:rsidR="0013116F" w:rsidRDefault="0013116F" w:rsidP="001D49D4">
      <w:pPr>
        <w:pStyle w:val="a9"/>
      </w:pPr>
      <w:r>
        <w:rPr>
          <w:rStyle w:val="ab"/>
        </w:rPr>
        <w:footnoteRef/>
      </w:r>
      <w:r>
        <w:rPr>
          <w:rtl/>
        </w:rPr>
        <w:t xml:space="preserve"> הדבר פשוט שאין פירושו שמכרו ביותר ממה שכתוב בשטר דהא ודאי לאו בשופטני עסקינן אלא הכא במאי עסקינן בשהיה החוב מנה ולפי נכסי הלוה ואלמותו אינו שוה אלא חמשים ומכרו לזה בשבעים, ב"י.</w:t>
      </w:r>
    </w:p>
  </w:footnote>
  <w:footnote w:id="5201">
    <w:p w14:paraId="7B9061CA" w14:textId="77777777" w:rsidR="0013116F" w:rsidRDefault="0013116F" w:rsidP="001D49D4">
      <w:pPr>
        <w:pStyle w:val="a9"/>
      </w:pPr>
      <w:r>
        <w:rPr>
          <w:rStyle w:val="ab"/>
        </w:rPr>
        <w:footnoteRef/>
      </w:r>
      <w:r>
        <w:rPr>
          <w:rtl/>
        </w:rPr>
        <w:t xml:space="preserve"> פירוש, כששמו דהאי הוא כשמו דמוכר זה, ואומר שטעו העדים והסופר ונתנוהו לו, א"נ דאמר מתחילה אמרתי להעדים שיכתבו שטר שלי על שמו, וכמו שכתבו הטור והמחבר בסי' ס' [טור סע' יז-יח ומחבר סע' ח-ט], ע"ש, סמ"ע (סקע"ח).</w:t>
      </w:r>
    </w:p>
  </w:footnote>
  <w:footnote w:id="5202">
    <w:p w14:paraId="6D0479D1" w14:textId="77777777" w:rsidR="0013116F" w:rsidRDefault="0013116F" w:rsidP="001D49D4">
      <w:pPr>
        <w:pStyle w:val="a9"/>
        <w:rPr>
          <w:rtl/>
        </w:rPr>
      </w:pPr>
      <w:r>
        <w:rPr>
          <w:rStyle w:val="ab"/>
        </w:rPr>
        <w:footnoteRef/>
      </w:r>
      <w:r>
        <w:rPr>
          <w:rtl/>
        </w:rPr>
        <w:t xml:space="preserve"> כל מה ששוה השטר אפילו יותר ממה שנתן בעדו, אף להחולקים לעיל סעיף ל"ב בהג"ה, כ"כ בדרכ"מ [אות יב], וכ"כ מהרש"ל [בחידושיו לטור ד"ה חוזר] והב"ח, ודלא כב"י, ועיקר, כדלקמן סימן קט"ז [סעיף א'], ש"ך (סקקי"א). וכ"כ הסמ"ע (סקע"ו).</w:t>
      </w:r>
    </w:p>
  </w:footnote>
  <w:footnote w:id="5203">
    <w:p w14:paraId="5FC23572" w14:textId="77777777" w:rsidR="0013116F" w:rsidRDefault="0013116F" w:rsidP="001D49D4">
      <w:pPr>
        <w:pStyle w:val="a9"/>
      </w:pPr>
      <w:r>
        <w:rPr>
          <w:rStyle w:val="ab"/>
        </w:rPr>
        <w:footnoteRef/>
      </w:r>
      <w:r>
        <w:rPr>
          <w:rtl/>
        </w:rPr>
        <w:t xml:space="preserve"> שנכתב קודם שמכרו ששטר זה פרוע כו' ה"ז מקח טעות והמעות שנתן בעדו חוזרים, ש"ך (סקקי"ב).</w:t>
      </w:r>
    </w:p>
  </w:footnote>
  <w:footnote w:id="5204">
    <w:p w14:paraId="38892D42" w14:textId="77777777" w:rsidR="0013116F" w:rsidRDefault="0013116F" w:rsidP="001D49D4">
      <w:pPr>
        <w:pStyle w:val="a9"/>
      </w:pPr>
      <w:r>
        <w:rPr>
          <w:rStyle w:val="ab"/>
        </w:rPr>
        <w:footnoteRef/>
      </w:r>
      <w:r>
        <w:rPr>
          <w:rtl/>
        </w:rPr>
        <w:t xml:space="preserve"> בתשובת מבי"ט (ח"א סי' קעח) פירש דמיירי כשידע הלוקח שהוא עני, אבל כשלא ידע הוי מקח טעות, וכה"ג פירש הב"ח [סעיף ל"ה] ע"ש. ולפעד"נ מדכתב מתחילה ה"ז מקח טעות, וכאן כתב בסתם בכלל אונאה הוא, משמע דלענין אם היה עני בכל ענין הוי בכלל אונאה ולא בכלל מקח טעות, וכן משמע להדיא בבעל התרומות (שער נ"א ח"ו ס"ט) שממנו מקור דין זה..., ש"ך (סקקי"ג). וכן מפורש בירושלמי </w:t>
      </w:r>
      <w:r>
        <w:rPr>
          <w:sz w:val="16"/>
          <w:szCs w:val="16"/>
          <w:rtl/>
        </w:rPr>
        <w:t>(קידושין פרק האומר פ"ג ה"ד)</w:t>
      </w:r>
      <w:r>
        <w:rPr>
          <w:rtl/>
        </w:rPr>
        <w:t xml:space="preserve"> וברי"ף </w:t>
      </w:r>
      <w:r>
        <w:rPr>
          <w:sz w:val="16"/>
          <w:szCs w:val="16"/>
          <w:rtl/>
        </w:rPr>
        <w:t xml:space="preserve">(פרק המקבל ב"מ סח:) </w:t>
      </w:r>
      <w:r>
        <w:rPr>
          <w:rtl/>
        </w:rPr>
        <w:t>שהביא הב"י כמקור לדין זה.</w:t>
      </w:r>
    </w:p>
  </w:footnote>
  <w:footnote w:id="5205">
    <w:p w14:paraId="019A0476" w14:textId="77777777" w:rsidR="0013116F" w:rsidRDefault="0013116F" w:rsidP="001D49D4">
      <w:pPr>
        <w:pStyle w:val="a9"/>
        <w:rPr>
          <w:rtl/>
        </w:rPr>
      </w:pPr>
      <w:r>
        <w:rPr>
          <w:rStyle w:val="ab"/>
        </w:rPr>
        <w:footnoteRef/>
      </w:r>
      <w:r>
        <w:rPr>
          <w:rtl/>
        </w:rPr>
        <w:t xml:space="preserve"> עיין פרישה [סעיף ל"ה] שם כתבתי שגירסת דפוס ב"י שכתוב בהן "ואם מכרו ביותר מכדי שוויו אין לשטרות אונאה", היא יותר נכונה בעיני. וה"פ, בכלל אונאה הוא, ובמכירת שטרות דעלמא אם מכרן יותר מכדי שוין אין להן אונאה, הכי נמי אם היה עני דמסתמא כל מה שנתן בעדו הוא יותר משויו, אין בו דין אונאה, סמ"ע (סק"פ).</w:t>
      </w:r>
    </w:p>
  </w:footnote>
  <w:footnote w:id="5206">
    <w:p w14:paraId="0CA9E149" w14:textId="77777777" w:rsidR="0013116F" w:rsidRDefault="0013116F" w:rsidP="001D49D4">
      <w:pPr>
        <w:pStyle w:val="a9"/>
        <w:rPr>
          <w:rtl/>
        </w:rPr>
      </w:pPr>
      <w:r>
        <w:rPr>
          <w:rStyle w:val="ab"/>
        </w:rPr>
        <w:footnoteRef/>
      </w:r>
      <w:r>
        <w:rPr>
          <w:rtl/>
        </w:rPr>
        <w:t xml:space="preserve"> לאחר שהביא הטור את דברי בעל התרומות</w:t>
      </w:r>
      <w:r>
        <w:rPr>
          <w:sz w:val="16"/>
          <w:szCs w:val="16"/>
          <w:rtl/>
        </w:rPr>
        <w:t xml:space="preserve"> (שהובאו בסע' הקודם [סע' לד])</w:t>
      </w:r>
      <w:r>
        <w:rPr>
          <w:rtl/>
        </w:rPr>
        <w:t xml:space="preserve"> כתב הטור כך וז"ל- וא"א הרא"ש ז"ל כתב בתשובה </w:t>
      </w:r>
      <w:r>
        <w:rPr>
          <w:sz w:val="16"/>
          <w:szCs w:val="16"/>
          <w:rtl/>
        </w:rPr>
        <w:t xml:space="preserve">(כלל סט סוף סי' א) </w:t>
      </w:r>
      <w:r>
        <w:rPr>
          <w:rtl/>
        </w:rPr>
        <w:t>היכא דמחלו אע"פ שקבל עליו אחריות אינו גובה מנכסיו שמכר אח"כ אפילו אחר המחילה דכל אחריות שמקבלין בשטר היינו אם נמצא שמכר דבר שאינו שלו או אם טרפו בעל חוב מוקדם אבל אינו מקבל עליו אחריות אם יעשה שום היזק במה שמכר לו. ואם מכר לו בית וקבל עליו אחריות ושרפו המוכר אח"כ אינו גובה ממשעבדי אלא מעמידו בדין וגובה ממנו כאילו היה גובה מאחר ששרפו, ומוכר שט"ח ומחלו נמי הוי כאילו שורפו באותה שעה שאין המחילה מבטלת השטר מעיקרו דלימא חספא בעלמא זבין ליה אלא שטרא מעליא היה עד ההיא שעתא דמחילה ועל אותה שעה הוא מתחייב. עכ"ל. וכתב הב"י דנראה שדבריו אינם סותרים לדברי בעל התרומות ולא הוה ליה לרבינו לכתוב 'ואדוני אבי ז"ל כתב...' שנראה כאילו בא לחלוק על מה שכתב קודם לכן, אלא כך הוה ליה לכתוב 'כתב אדוני אבי ז"ל...' דמילתא באפי נפשה, אלא דלא דק. וכדברי הרא"ש כתב במישרים (ני"ד מה ע"ג) בשם התוספות והרשב"א בתשובה (ח"א תתקצב).</w:t>
      </w:r>
    </w:p>
  </w:footnote>
  <w:footnote w:id="5207">
    <w:p w14:paraId="6C346CC2" w14:textId="77777777" w:rsidR="0013116F" w:rsidRDefault="0013116F" w:rsidP="001D49D4">
      <w:pPr>
        <w:pStyle w:val="a9"/>
        <w:rPr>
          <w:rtl/>
        </w:rPr>
      </w:pPr>
      <w:r>
        <w:rPr>
          <w:rStyle w:val="ab"/>
        </w:rPr>
        <w:footnoteRef/>
      </w:r>
      <w:r>
        <w:rPr>
          <w:rtl/>
        </w:rPr>
        <w:t xml:space="preserve"> </w:t>
      </w:r>
      <w:r>
        <w:rPr>
          <w:rFonts w:hint="cs"/>
          <w:rtl/>
        </w:rPr>
        <w:t>וז"ל-</w:t>
      </w:r>
      <w:r>
        <w:rPr>
          <w:rtl/>
        </w:rPr>
        <w:t xml:space="preserve"> כתבו התוספות כי המוכר שטר חוב ומחלו, כשמשלם ללוקח - מנכסים שיש לו עתה, לא ממה שמכר בין מכירה למחילה, ואפילו מכר באחריות שלא היתה מחילה זו בכלל האחריות מעולם, דמה לי מחל מה לי שרף ועתה הוא מזיק ולכן ישלם מן הנמצא בידו, גם האחריות לא שייך אלא על ריעותא דעלמא ופרע קודם מכירה, כלומר שהיה שטר מקויים וראוי לגבות בו. עכ"ל. וכתב הב"י- וגם כי הלשון מוטעה כתבתיו ונראה מסוף דבריו כדברי רבינו (בסע' לא, ובשו"ע סע' לג) דכל היכא שלא גרם לו הפסד ממון במחילתו אינו מתחייב.</w:t>
      </w:r>
    </w:p>
  </w:footnote>
  <w:footnote w:id="5208">
    <w:p w14:paraId="323D3F82" w14:textId="77777777" w:rsidR="0013116F" w:rsidRDefault="0013116F" w:rsidP="001D49D4">
      <w:pPr>
        <w:pStyle w:val="a9"/>
      </w:pPr>
      <w:r>
        <w:rPr>
          <w:rStyle w:val="ab"/>
        </w:rPr>
        <w:footnoteRef/>
      </w:r>
      <w:r>
        <w:rPr>
          <w:rtl/>
        </w:rPr>
        <w:t xml:space="preserve"> וכתב הב"י לעיין במה שכתב רבינו לקמן (סל"ו) בשם הרא"ש בתשובה. וכתב הדרכ"מ (אות י) וכתב הרא"ש בתשובה כלל ס"ט סימן ב' שהמוכר שטר חוב לחבירו באחריות ויצאו עדים ששטר זה פרוע צריך להשלים לו השטר כדי שיהא ראוי לגבות בו החוב דהיינו אחריותו שקבל עליו וחייב ליתן לו דמי החוב כפי מה שישוה שטר כשר כזה לפי עניינו ולפי ממונו עכ"ל. ומדברי בעל התרומות שכתב רבינו (סל"ד) לא משמע כן שהרי כתב דאם נמצא פרוע הוי מקח טעות.</w:t>
      </w:r>
    </w:p>
  </w:footnote>
  <w:footnote w:id="5209">
    <w:p w14:paraId="72BA252E" w14:textId="77777777" w:rsidR="0013116F" w:rsidRDefault="0013116F" w:rsidP="001D49D4">
      <w:pPr>
        <w:pStyle w:val="a9"/>
      </w:pPr>
      <w:r>
        <w:rPr>
          <w:rStyle w:val="ab"/>
        </w:rPr>
        <w:footnoteRef/>
      </w:r>
      <w:r>
        <w:rPr>
          <w:rtl/>
        </w:rPr>
        <w:t xml:space="preserve"> דין זה צל"ע, דהיינו דוקא למאן דס"ל ניזקין דמי למלוה על פה ואינו גובה אא"כ העמידו בדין, וא"כ הא הרבה פוסקים ס"ל דיש קול לניזקין וטורף ממשעבדי וכמ"ש לקמן סימן קי"ט [סע' ג] ור"ס תי"ט [בש"ך סק"א], ע"ש. וגם צ"ע על העיר שושן [סעיף ל"ה] והסמ"ע דכאן [סקפ"ג] העתיקו בסתם לשון הטור, דאינו גובה ממשעבדי אלא מעמידו בדין כו'. ולקמן סימן קי"ט [סקי"ד] כתב בסתם כדברי הה"מ [פי"ט ממלוה ה"ה] דיש קול לניזקין ע"ש, וכ"כ בעיר שושן שם [סע' ג]. מיהו לענין דינא במוחל אפשר לומר דאפילו מאן דס"ל יש קול לניזקין מודה כאן, כיון דלא עביד היזק בידים או אפילו ע"י גורם גמור רק בדיבורא, ואין קול למה דעביד היזק בדיבורא. אך דמ"מ קשה על העיר שושן והסמ"ע דכאן העתיקו בסתם דברי הרא"ש (כלל ס"ט סי' א) וטור (סע' לו) דאם מכר לו בית וקיבל עליו אחריות ושרפו המוכר אח"כ, אינו גובה ממשעבדי אלא מעמידו בדין כו'. אלמא דאפילו בהיזק בידים דשריפה וכה"ג אין קול לניזקין, ולקמן סימן קי"ט כתבו בסתם כדברי הרב המגיד, וצ"ע, ש"ך (סקקי"ד).</w:t>
      </w:r>
    </w:p>
  </w:footnote>
  <w:footnote w:id="5210">
    <w:p w14:paraId="6A31566F" w14:textId="77777777" w:rsidR="0013116F" w:rsidRDefault="0013116F" w:rsidP="001D49D4">
      <w:pPr>
        <w:pStyle w:val="a9"/>
      </w:pPr>
      <w:r>
        <w:rPr>
          <w:rStyle w:val="ab"/>
        </w:rPr>
        <w:footnoteRef/>
      </w:r>
      <w:r>
        <w:rPr>
          <w:rtl/>
        </w:rPr>
        <w:t xml:space="preserve"> נ"ל הטעם, דהוה ליה ללקוחות להזהר שמא ימחול מיד, ודמי למה שכתבו הרא"ש בתשובה [כלל ס"ז סי' ג'] והטור והמחבר לעיל סימן ס"א [טור סעיף י"ד ומחבר] סעיף ז' דשמא נתן לו מיד כתיבת ידו, ע"ש, ש"ך (סקקט"ו).</w:t>
      </w:r>
    </w:p>
  </w:footnote>
  <w:footnote w:id="5211">
    <w:p w14:paraId="01CDE2EE" w14:textId="77777777" w:rsidR="0013116F" w:rsidRDefault="0013116F" w:rsidP="001D49D4">
      <w:pPr>
        <w:pStyle w:val="a9"/>
        <w:rPr>
          <w:rtl/>
        </w:rPr>
      </w:pPr>
      <w:r>
        <w:rPr>
          <w:rStyle w:val="ab"/>
        </w:rPr>
        <w:footnoteRef/>
      </w:r>
      <w:r>
        <w:rPr>
          <w:rtl/>
        </w:rPr>
        <w:t xml:space="preserve"> </w:t>
      </w:r>
      <w:r>
        <w:rPr>
          <w:rFonts w:hint="cs"/>
          <w:rtl/>
        </w:rPr>
        <w:t xml:space="preserve">וכתב שכן דעת </w:t>
      </w:r>
      <w:r>
        <w:rPr>
          <w:rtl/>
        </w:rPr>
        <w:t xml:space="preserve">הה"מ </w:t>
      </w:r>
      <w:r>
        <w:rPr>
          <w:sz w:val="16"/>
          <w:szCs w:val="16"/>
          <w:rtl/>
        </w:rPr>
        <w:t xml:space="preserve">(פט"ז ממלוה ה"ז) </w:t>
      </w:r>
      <w:r>
        <w:rPr>
          <w:rtl/>
        </w:rPr>
        <w:t xml:space="preserve">שלט"ג </w:t>
      </w:r>
      <w:r>
        <w:rPr>
          <w:sz w:val="16"/>
          <w:szCs w:val="16"/>
          <w:rtl/>
        </w:rPr>
        <w:t xml:space="preserve">(פרק הכותב מד: מדפה"ר) </w:t>
      </w:r>
      <w:r>
        <w:rPr>
          <w:rtl/>
        </w:rPr>
        <w:t>בשם ריא"ז והריטב"א</w:t>
      </w:r>
      <w:r>
        <w:rPr>
          <w:sz w:val="16"/>
          <w:szCs w:val="16"/>
          <w:rtl/>
        </w:rPr>
        <w:t xml:space="preserve"> (פרק הכותב פו. ד"ה אמר אמימר)</w:t>
      </w:r>
      <w:r>
        <w:rPr>
          <w:rtl/>
        </w:rPr>
        <w:t>.</w:t>
      </w:r>
    </w:p>
  </w:footnote>
  <w:footnote w:id="5212">
    <w:p w14:paraId="52876893" w14:textId="77777777" w:rsidR="0013116F" w:rsidRDefault="0013116F" w:rsidP="001D49D4">
      <w:pPr>
        <w:pStyle w:val="a9"/>
      </w:pPr>
      <w:r>
        <w:rPr>
          <w:rStyle w:val="ab"/>
        </w:rPr>
        <w:footnoteRef/>
      </w:r>
      <w:r>
        <w:rPr>
          <w:rtl/>
        </w:rPr>
        <w:t xml:space="preserve"> פירוש, אע"פ שנותנו לו במתנה, ואין בסתם מתנה אחריות להמקבל כיון דלא נתן דמים להנותן, אפ"ה מחשב מזיק לו בדבר שכבר זכה בו, וחייב לשלם לו כל דבדמי החוב. ונראה דאפילו להחולקין במוחל שט"ח דכתב מור"ם בשמם</w:t>
      </w:r>
      <w:r>
        <w:rPr>
          <w:sz w:val="16"/>
          <w:szCs w:val="16"/>
          <w:rtl/>
        </w:rPr>
        <w:t xml:space="preserve"> [סע' לב]</w:t>
      </w:r>
      <w:r>
        <w:rPr>
          <w:rtl/>
        </w:rPr>
        <w:t xml:space="preserve"> דס"ל דא"צ לשלם אלא הדמים שנתן להמוכר בעדו, מ"מ בנותן, אע"ג דנתנו לו בחנם, מודים דצריך לשלם דמי כל השטר, דיכול הלוקח לומר היה עושה לי המקבל הנאות כנגדו כדי דמי כל השטר, סמ"ע (סקפ"ד). וכתב הש"ך (סקקי"ז) דיש ט"ס בדבריו וכך צ"ל- 'דיכול המקבל לומר </w:t>
      </w:r>
      <w:r>
        <w:rPr>
          <w:b/>
          <w:bCs/>
          <w:rtl/>
        </w:rPr>
        <w:t>עשיתי</w:t>
      </w:r>
      <w:r>
        <w:rPr>
          <w:rtl/>
        </w:rPr>
        <w:t xml:space="preserve"> להנותן הנאות כנגדו'. ועל דרך שאמרו בפ"ק דמציעא [טז.] אי לאו דטרח וארצי קמיה לא הוי יהיב ליה מתנה. ועד כתב הש"ך שאין דברי הסמ"ע נכונים במש"כ דלכו"ע צריך לשלם לו כל דמי השטר, אלא מי שחלק בסע' לב חולק גם פה וס"ל דא"צ לשלם אלא מה שנתן לו בעד השטר. ומ"מ סיים הש"ך דעיקר כהפוסקים שמחייבים בכל דמי החוב, כבסע' לב. </w:t>
      </w:r>
    </w:p>
  </w:footnote>
  <w:footnote w:id="5213">
    <w:p w14:paraId="2FC3BE60" w14:textId="77777777" w:rsidR="0013116F" w:rsidRDefault="0013116F" w:rsidP="001D49D4">
      <w:pPr>
        <w:pStyle w:val="a9"/>
        <w:rPr>
          <w:rtl/>
        </w:rPr>
      </w:pPr>
      <w:r>
        <w:rPr>
          <w:rStyle w:val="ab"/>
        </w:rPr>
        <w:footnoteRef/>
      </w:r>
      <w:r>
        <w:rPr>
          <w:rtl/>
        </w:rPr>
        <w:t xml:space="preserve"> הש"ך (סקקי"ח) ציטט חלק מדברי בעל התרומות וכתב וז"ל- ואני חיפשתי בכל המחברים קדמונים ואחרונים ולא מצאתי מי שהורה כן, וגם לא דמי כלל למשכון של ישראל ביד גוי, דהתם כיון דאין לגוי על המשכון רק שעבוד ולא קנה ליה משכון כלל, דגוי מישראל לא קני משכון לכו"ע אף שלא בשעת הלואתו וכ"ש בשעת הלואתו, א"כ כשמת פקע שעבודיה, והא אילו הוה ישראל מהדר ליה זוזי דיליה הוה צריך גוי לאהדורי ליה משכוניה, משא"כ הכא דקני ליה לשטרא קנין גמור בכתיבה ומסירה, ואילו הוה מוכר מהדר ליה מעותיו לא היה המקח חוזר בע"כ של לוקח, וא"כ נהי דיכול למחול, מ"מ כל כמה דלא מחיל ליה, דיליה הוא לגמרי, דהא קני ליה קנין גמור, לא מסתבר לומר שבמיתת הגר פקע השטר, וכ"ש למאי דקי"ל מכירת שטרות דאורייתא, וצ"ע. שוב מצאתי בריטב"א פרק האיש מקדש (קדושין מז: ד"ה וכי תימא) שכתב להדיא כדברי, ונתתי שמחה בליבי ת"ל, וז"ל שם, ואילו אנן דאפילו יורש מוחל אמרינן, הא כל זמן שלא מחל היורש, המכירה קיימת, ואיכא למימר שהלוה נעשה בשעת מתן מעות כאומר משתעבדנא לכל מאן דאתי מחמתך כל זמן שלא תמחול לי, ולפיכך-...</w:t>
      </w:r>
    </w:p>
  </w:footnote>
  <w:footnote w:id="5214">
    <w:p w14:paraId="036B33BB" w14:textId="77777777" w:rsidR="0013116F" w:rsidRDefault="0013116F" w:rsidP="001D49D4">
      <w:pPr>
        <w:pStyle w:val="a9"/>
      </w:pPr>
      <w:r>
        <w:rPr>
          <w:rStyle w:val="ab"/>
        </w:rPr>
        <w:footnoteRef/>
      </w:r>
      <w:r>
        <w:rPr>
          <w:rtl/>
        </w:rPr>
        <w:t xml:space="preserve"> </w:t>
      </w:r>
      <w:r>
        <w:rPr>
          <w:rFonts w:hint="cs"/>
          <w:rtl/>
        </w:rPr>
        <w:t xml:space="preserve">סימן – נוֹוּ </w:t>
      </w:r>
      <w:r>
        <w:rPr>
          <w:sz w:val="16"/>
          <w:szCs w:val="16"/>
          <w:rtl/>
        </w:rPr>
        <w:t>(</w:t>
      </w:r>
      <w:r>
        <w:rPr>
          <w:sz w:val="16"/>
          <w:szCs w:val="16"/>
        </w:rPr>
        <w:t>no</w:t>
      </w:r>
      <w:r>
        <w:rPr>
          <w:sz w:val="16"/>
          <w:szCs w:val="16"/>
          <w:rtl/>
        </w:rPr>
        <w:t xml:space="preserve"> - לא)</w:t>
      </w:r>
      <w:r>
        <w:rPr>
          <w:rtl/>
        </w:rPr>
        <w:t xml:space="preserve"> תו</w:t>
      </w:r>
      <w:r>
        <w:rPr>
          <w:b/>
          <w:bCs/>
          <w:rtl/>
        </w:rPr>
        <w:t>נו</w:t>
      </w:r>
      <w:r>
        <w:rPr>
          <w:rtl/>
        </w:rPr>
        <w:t>.</w:t>
      </w:r>
    </w:p>
  </w:footnote>
  <w:footnote w:id="5215">
    <w:p w14:paraId="42AC5205" w14:textId="77777777" w:rsidR="0013116F" w:rsidRDefault="0013116F" w:rsidP="001D49D4">
      <w:pPr>
        <w:pStyle w:val="a9"/>
        <w:rPr>
          <w:rtl/>
        </w:rPr>
      </w:pPr>
      <w:r>
        <w:rPr>
          <w:rStyle w:val="ab"/>
        </w:rPr>
        <w:footnoteRef/>
      </w:r>
      <w:r>
        <w:rPr>
          <w:rtl/>
        </w:rPr>
        <w:t xml:space="preserve"> מי אמרינן מאל תונו </w:t>
      </w:r>
      <w:r>
        <w:rPr>
          <w:sz w:val="16"/>
          <w:szCs w:val="16"/>
          <w:rtl/>
        </w:rPr>
        <w:t xml:space="preserve">(ויקרא כה) </w:t>
      </w:r>
      <w:r>
        <w:rPr>
          <w:rtl/>
        </w:rPr>
        <w:t>הוא דאימעוט - והא לאו בכלל אונאה הוא אלא מקח טעות הוא</w:t>
      </w:r>
      <w:r>
        <w:rPr>
          <w:sz w:val="16"/>
          <w:szCs w:val="16"/>
          <w:rtl/>
        </w:rPr>
        <w:t xml:space="preserve"> {ואז אף בדברים שנתמעטו מאונאה, הרי לא נתמעטו מכך שהמקח חוזר אם היה מקח טעות}</w:t>
      </w:r>
      <w:r>
        <w:rPr>
          <w:rtl/>
        </w:rPr>
        <w:t>. או דלמא כיון דלאו דבר שבמדה הוא ולא אטעייה בדיבוריה - כשאר דין אונאה הוא</w:t>
      </w:r>
      <w:r>
        <w:rPr>
          <w:sz w:val="16"/>
          <w:szCs w:val="16"/>
          <w:rtl/>
        </w:rPr>
        <w:t xml:space="preserve"> {שהמקח בטל ביתר על שתות, אבל באלו מכיון שכתבה המשנה שאין בהם אונאה, אף ביטול מקח אין}</w:t>
      </w:r>
      <w:r>
        <w:rPr>
          <w:rtl/>
        </w:rPr>
        <w:t xml:space="preserve">, רש"י. </w:t>
      </w:r>
    </w:p>
  </w:footnote>
  <w:footnote w:id="5216">
    <w:p w14:paraId="67D34F6C" w14:textId="77777777" w:rsidR="0013116F" w:rsidRDefault="0013116F" w:rsidP="001D49D4">
      <w:pPr>
        <w:pStyle w:val="a9"/>
      </w:pPr>
      <w:r>
        <w:rPr>
          <w:rStyle w:val="ab"/>
        </w:rPr>
        <w:footnoteRef/>
      </w:r>
      <w:r>
        <w:rPr>
          <w:rtl/>
        </w:rPr>
        <w:t xml:space="preserve"> כתב הב"י דמש"כ הטור 'המוכר שטר חוב לחבירו </w:t>
      </w:r>
      <w:r>
        <w:rPr>
          <w:b/>
          <w:bCs/>
          <w:rtl/>
        </w:rPr>
        <w:t>לגבותו</w:t>
      </w:r>
      <w:r>
        <w:rPr>
          <w:rtl/>
        </w:rPr>
        <w:t>' הוא משום דבגמ' (נו:) אמרינן דשטרות אין להם אונאה משום דכתיב</w:t>
      </w:r>
      <w:r>
        <w:rPr>
          <w:sz w:val="16"/>
          <w:szCs w:val="16"/>
          <w:rtl/>
        </w:rPr>
        <w:t xml:space="preserve"> (ויקרא כה יד) </w:t>
      </w:r>
      <w:r>
        <w:rPr>
          <w:rtl/>
        </w:rPr>
        <w:t xml:space="preserve">וכי תמכרו ממכר, דבר שגופו מכור וגופו קנוי, יצאו שטרות שאין גופן מכור ואין גופן קנוי ואין עומדין אלא לראיה שבהם מכאן אמרו המוכר שטרותיו לבשם יש להם אונאה, כלומר שאם מכרם לצור בהם אבקת סמנים נמצא ממכרן של אלו לצורך תשמיש גופן הוא, ולפיכך כתב רבינו 'המוכר שטר חוב לחבירו </w:t>
      </w:r>
      <w:r>
        <w:rPr>
          <w:b/>
          <w:bCs/>
          <w:rtl/>
        </w:rPr>
        <w:t>לגבותו</w:t>
      </w:r>
      <w:r>
        <w:rPr>
          <w:rtl/>
        </w:rPr>
        <w:t xml:space="preserve"> אין לו אונאה', כלומר שאילו מכרו לבשם יש לו אונאה.</w:t>
      </w:r>
    </w:p>
  </w:footnote>
  <w:footnote w:id="5217">
    <w:p w14:paraId="309AD89F" w14:textId="77777777" w:rsidR="0013116F" w:rsidRDefault="0013116F" w:rsidP="001D49D4">
      <w:pPr>
        <w:pStyle w:val="a9"/>
        <w:rPr>
          <w:rtl/>
        </w:rPr>
      </w:pPr>
      <w:r>
        <w:rPr>
          <w:rStyle w:val="ab"/>
        </w:rPr>
        <w:footnoteRef/>
      </w:r>
      <w:r>
        <w:rPr>
          <w:rtl/>
        </w:rPr>
        <w:t xml:space="preserve"> הסמ"ע </w:t>
      </w:r>
      <w:r>
        <w:rPr>
          <w:sz w:val="16"/>
          <w:szCs w:val="16"/>
          <w:rtl/>
        </w:rPr>
        <w:t xml:space="preserve">(סקפ"ז) </w:t>
      </w:r>
      <w:r>
        <w:rPr>
          <w:rtl/>
        </w:rPr>
        <w:t>חלק על הרמ"א וכתב דאם הטעהו בפלגא המקח בטל</w:t>
      </w:r>
      <w:r>
        <w:rPr>
          <w:sz w:val="16"/>
          <w:szCs w:val="16"/>
          <w:rtl/>
        </w:rPr>
        <w:t xml:space="preserve"> (והביא את דברי הטור בשם ר"ת דלעיל שכתב דעד פלגא אין בו משום ביטול מקח ולא פלגא בכלל. וכתב דכן מוכח לקמן בטור בסימן קע"ה סעיף י"ד כתב ז"ל- קנאה במעט פחות ממאתים. וכתב שכן משמע לקמן בסי' רכז [טור סע' מא] דבפלגא הוה ביטול מקח וא"צ ליותר מפלגא)</w:t>
      </w:r>
      <w:r>
        <w:rPr>
          <w:rtl/>
        </w:rPr>
        <w:t xml:space="preserve">. אך הש"ך </w:t>
      </w:r>
      <w:r>
        <w:rPr>
          <w:sz w:val="16"/>
          <w:szCs w:val="16"/>
          <w:rtl/>
        </w:rPr>
        <w:t xml:space="preserve">(כאן ובסי' רכז סקי"ז) </w:t>
      </w:r>
      <w:r>
        <w:rPr>
          <w:rtl/>
        </w:rPr>
        <w:t xml:space="preserve">חלק על הסמ"ע </w:t>
      </w:r>
      <w:r>
        <w:rPr>
          <w:sz w:val="16"/>
          <w:szCs w:val="16"/>
          <w:rtl/>
        </w:rPr>
        <w:t xml:space="preserve">(כאן ובסי' רכז סק"נ) </w:t>
      </w:r>
      <w:r>
        <w:rPr>
          <w:rtl/>
        </w:rPr>
        <w:t xml:space="preserve">וכתב דבפלגא לא הוי ביטול מקח, אלא כדי שיתבטל המקח צריך שיהיה מעט יותר מפלגא. וכמו שכתב הרמ"א. וכ"כ התוס' </w:t>
      </w:r>
      <w:r>
        <w:rPr>
          <w:sz w:val="16"/>
          <w:szCs w:val="16"/>
          <w:rtl/>
        </w:rPr>
        <w:t>(פרק האיש המקדש מב:)</w:t>
      </w:r>
      <w:r>
        <w:rPr>
          <w:rtl/>
        </w:rPr>
        <w:t>. ומ"מ לדינא העלה הש"ך (סקקכ"ב) דהלכה כהרי"ף דאין ביטול מקח אף ביותר מכך.</w:t>
      </w:r>
    </w:p>
  </w:footnote>
  <w:footnote w:id="5218">
    <w:p w14:paraId="3F75254D" w14:textId="77777777" w:rsidR="0013116F" w:rsidRDefault="0013116F" w:rsidP="001D49D4">
      <w:pPr>
        <w:pStyle w:val="a9"/>
        <w:rPr>
          <w:rtl/>
        </w:rPr>
      </w:pPr>
      <w:r>
        <w:rPr>
          <w:rStyle w:val="ab"/>
        </w:rPr>
        <w:footnoteRef/>
      </w:r>
      <w:r>
        <w:rPr>
          <w:rtl/>
        </w:rPr>
        <w:t xml:space="preserve"> פירוש, ומאונאה איתמעטו ולא מדין ביטול מקח, סמ"ע (סקפ"ח).</w:t>
      </w:r>
    </w:p>
  </w:footnote>
  <w:footnote w:id="5219">
    <w:p w14:paraId="0C24D723" w14:textId="77777777" w:rsidR="0013116F" w:rsidRDefault="0013116F" w:rsidP="001D49D4">
      <w:pPr>
        <w:pStyle w:val="a9"/>
      </w:pPr>
      <w:r>
        <w:rPr>
          <w:rStyle w:val="ab"/>
        </w:rPr>
        <w:footnoteRef/>
      </w:r>
      <w:r>
        <w:rPr>
          <w:rtl/>
        </w:rPr>
        <w:t xml:space="preserve"> </w:t>
      </w:r>
      <w:r>
        <w:rPr>
          <w:rFonts w:hint="cs"/>
          <w:rtl/>
        </w:rPr>
        <w:t xml:space="preserve">סימן – נוֹוּ </w:t>
      </w:r>
      <w:r>
        <w:rPr>
          <w:sz w:val="16"/>
          <w:szCs w:val="16"/>
          <w:rtl/>
        </w:rPr>
        <w:t>(</w:t>
      </w:r>
      <w:r>
        <w:rPr>
          <w:sz w:val="16"/>
          <w:szCs w:val="16"/>
        </w:rPr>
        <w:t>no</w:t>
      </w:r>
      <w:r>
        <w:rPr>
          <w:sz w:val="16"/>
          <w:szCs w:val="16"/>
          <w:rtl/>
        </w:rPr>
        <w:t xml:space="preserve"> - לא)</w:t>
      </w:r>
      <w:r>
        <w:rPr>
          <w:rtl/>
        </w:rPr>
        <w:t xml:space="preserve"> תו</w:t>
      </w:r>
      <w:r>
        <w:rPr>
          <w:b/>
          <w:bCs/>
          <w:rtl/>
        </w:rPr>
        <w:t>נו</w:t>
      </w:r>
      <w:r>
        <w:rPr>
          <w:rtl/>
        </w:rPr>
        <w:t>.</w:t>
      </w:r>
    </w:p>
  </w:footnote>
  <w:footnote w:id="5220">
    <w:p w14:paraId="7C5E1D39" w14:textId="77777777" w:rsidR="0013116F" w:rsidRDefault="0013116F" w:rsidP="001D49D4">
      <w:pPr>
        <w:pStyle w:val="a9"/>
        <w:rPr>
          <w:rtl/>
        </w:rPr>
      </w:pPr>
      <w:r>
        <w:rPr>
          <w:rStyle w:val="ab"/>
        </w:rPr>
        <w:footnoteRef/>
      </w:r>
      <w:r>
        <w:rPr>
          <w:rtl/>
        </w:rPr>
        <w:t xml:space="preserve"> </w:t>
      </w:r>
      <w:r>
        <w:rPr>
          <w:rFonts w:hint="cs"/>
          <w:rtl/>
        </w:rPr>
        <w:t>סימן – מאבד ביטאון מיפטר בלי מומתא.</w:t>
      </w:r>
    </w:p>
  </w:footnote>
  <w:footnote w:id="5221">
    <w:p w14:paraId="419406CC" w14:textId="77777777" w:rsidR="0013116F" w:rsidRDefault="0013116F" w:rsidP="001D49D4">
      <w:pPr>
        <w:pStyle w:val="a9"/>
      </w:pPr>
      <w:r>
        <w:rPr>
          <w:rStyle w:val="ab"/>
        </w:rPr>
        <w:footnoteRef/>
      </w:r>
      <w:r>
        <w:rPr>
          <w:rtl/>
        </w:rPr>
        <w:t xml:space="preserve"> </w:t>
      </w:r>
      <w:r>
        <w:rPr>
          <w:rFonts w:hint="cs"/>
          <w:rtl/>
        </w:rPr>
        <w:t xml:space="preserve">וז"ל- </w:t>
      </w:r>
      <w:r>
        <w:rPr>
          <w:rtl/>
        </w:rPr>
        <w:t>והני מילי בפני עצמן אבל ע"י גלגול נשבעין... ובפני עצמן נמי לא אמרן דאין נשבעין עליהן אלא בשבועה דאורייתא אבל בדרבנן נשבעין...</w:t>
      </w:r>
    </w:p>
  </w:footnote>
  <w:footnote w:id="5222">
    <w:p w14:paraId="66D599F2" w14:textId="77777777" w:rsidR="0013116F" w:rsidRDefault="0013116F" w:rsidP="001D49D4">
      <w:pPr>
        <w:pStyle w:val="a9"/>
      </w:pPr>
      <w:r>
        <w:rPr>
          <w:rStyle w:val="ab"/>
        </w:rPr>
        <w:footnoteRef/>
      </w:r>
      <w:r>
        <w:rPr>
          <w:rtl/>
        </w:rPr>
        <w:t xml:space="preserve"> דתנן נכסים שאין להן אחריות זוקקין את הנכסים שיש להן אחריות לישבע עליהן, רי"ף.</w:t>
      </w:r>
    </w:p>
  </w:footnote>
  <w:footnote w:id="5223">
    <w:p w14:paraId="2B7FD0F3" w14:textId="77777777" w:rsidR="0013116F" w:rsidRDefault="0013116F" w:rsidP="001D49D4">
      <w:pPr>
        <w:pStyle w:val="a9"/>
        <w:rPr>
          <w:rtl/>
        </w:rPr>
      </w:pPr>
      <w:r>
        <w:rPr>
          <w:rStyle w:val="ab"/>
        </w:rPr>
        <w:footnoteRef/>
      </w:r>
      <w:r>
        <w:rPr>
          <w:rtl/>
        </w:rPr>
        <w:t xml:space="preserve"> דגרסינן בפרק הכותב בענין הפוגמת כתובתה </w:t>
      </w:r>
      <w:r>
        <w:rPr>
          <w:sz w:val="16"/>
          <w:szCs w:val="16"/>
          <w:rtl/>
        </w:rPr>
        <w:t>[כתובות פז:]</w:t>
      </w:r>
      <w:r>
        <w:rPr>
          <w:rtl/>
        </w:rPr>
        <w:t xml:space="preserve"> לא תפרע אלא בשבועה סבר רמי בר חמא למימר שבועה דאו', אמר רבא שתי תשובות יש בדבר חדא דכל הנשבעין שבתורה נשבעין ולא משלמין והיא נשבעת ונוטלת ועוד אין נשבעין על שעבוד קרקעות אלא אמר רבא מדרבנן דפרע דאיק דמיפרע לא דאיק ורמו רבנן שבועה עלה כי היכי דתידק, רי"ף. </w:t>
      </w:r>
      <w:r>
        <w:rPr>
          <w:sz w:val="16"/>
          <w:szCs w:val="16"/>
          <w:rtl/>
        </w:rPr>
        <w:t xml:space="preserve">(מיד לאחר שהטור סיים את דבריו שמובאים לעיל בפסקה הראשונה {אין בהם דין שומרים... אינו משלם} כתב וז"ל- ומיהו מדרבנן נשבעין עליהן. ע"כ. וכתב הב"י </w:t>
      </w:r>
      <w:r>
        <w:rPr>
          <w:sz w:val="14"/>
          <w:szCs w:val="14"/>
          <w:rtl/>
        </w:rPr>
        <w:t xml:space="preserve">(בבדה"ב) </w:t>
      </w:r>
      <w:r>
        <w:rPr>
          <w:sz w:val="16"/>
          <w:szCs w:val="16"/>
          <w:rtl/>
        </w:rPr>
        <w:t>וז"ל- ודברי רבינו</w:t>
      </w:r>
      <w:r>
        <w:rPr>
          <w:sz w:val="12"/>
          <w:szCs w:val="12"/>
          <w:rtl/>
        </w:rPr>
        <w:t xml:space="preserve"> {הטור}</w:t>
      </w:r>
      <w:r>
        <w:rPr>
          <w:sz w:val="16"/>
          <w:szCs w:val="16"/>
          <w:rtl/>
        </w:rPr>
        <w:t xml:space="preserve"> אינם מכוונים, דמשמע דאמה שכתב ש-'שומר חנם אינו נשבע' קאי, לומר דמדרבנן מיהא נשבעים עליהם, והא ליתא לפי מה שכתב בשם הרי"ף והרא"ש שאף אם פשע בהם ונגנבו פטור, וא"כ מה תועלת יש בשישביעוהו אם פשע, אלא מה שאמרו דמדרבנן נשבעין עליהם לא לענין שומרים איתמר אלא לענין אם טענו טענת ודאי שמסר לו כך שטרות והוא מודה במקצת או כופר בכל ויש לו עד אחד - בכי הא אמרינן שאע"פ שפטורין משבועת התורה נשבעים היסת, אבל שבועת השומרים אין לה מקום אפילו מדרבנן וכדאמרן)</w:t>
      </w:r>
      <w:r>
        <w:rPr>
          <w:rtl/>
        </w:rPr>
        <w:t>.</w:t>
      </w:r>
    </w:p>
  </w:footnote>
  <w:footnote w:id="5224">
    <w:p w14:paraId="617FD3AA" w14:textId="77777777" w:rsidR="0013116F" w:rsidRDefault="0013116F" w:rsidP="001D49D4">
      <w:pPr>
        <w:pStyle w:val="a9"/>
      </w:pPr>
      <w:r>
        <w:rPr>
          <w:rStyle w:val="ab"/>
        </w:rPr>
        <w:footnoteRef/>
      </w:r>
      <w:r>
        <w:rPr>
          <w:rtl/>
        </w:rPr>
        <w:t xml:space="preserve"> </w:t>
      </w:r>
      <w:r>
        <w:rPr>
          <w:rFonts w:hint="cs"/>
          <w:rtl/>
        </w:rPr>
        <w:t xml:space="preserve">אך הש"ך (סקקכ"ד) חולק על הר"ן וכתב שאין לומר כן בדברי הרשב"א דהרי להדיא כתב 'דמכל שבועות פטרו </w:t>
      </w:r>
      <w:r>
        <w:rPr>
          <w:rFonts w:hint="cs"/>
          <w:b/>
          <w:bCs/>
          <w:rtl/>
        </w:rPr>
        <w:t>הכתוב</w:t>
      </w:r>
      <w:r>
        <w:rPr>
          <w:rFonts w:hint="cs"/>
          <w:rtl/>
        </w:rPr>
        <w:t xml:space="preserve">' ורצונו לומר משבועה דאורייתא, אבל שבועה מדרבנן שאינה ברשותו גם הוא מודה לר"ן. </w:t>
      </w:r>
    </w:p>
  </w:footnote>
  <w:footnote w:id="5225">
    <w:p w14:paraId="7FE81558" w14:textId="77777777" w:rsidR="0013116F" w:rsidRDefault="0013116F" w:rsidP="001D49D4">
      <w:pPr>
        <w:pStyle w:val="a9"/>
      </w:pPr>
      <w:r>
        <w:rPr>
          <w:rStyle w:val="ab"/>
        </w:rPr>
        <w:footnoteRef/>
      </w:r>
      <w:r>
        <w:rPr>
          <w:rtl/>
        </w:rPr>
        <w:t xml:space="preserve"> רמב"ם </w:t>
      </w:r>
      <w:r>
        <w:rPr>
          <w:sz w:val="16"/>
          <w:szCs w:val="16"/>
          <w:rtl/>
        </w:rPr>
        <w:t>(פ"ה מטוען ונטען ה"ו, כ"כ בשמו הה"מ [שם] והש"ך [סקקכ"ד])</w:t>
      </w:r>
      <w:r>
        <w:rPr>
          <w:rtl/>
        </w:rPr>
        <w:t xml:space="preserve"> רשב"א </w:t>
      </w:r>
      <w:r>
        <w:rPr>
          <w:sz w:val="16"/>
          <w:szCs w:val="16"/>
          <w:rtl/>
        </w:rPr>
        <w:t>(ב"מ נז. ד"ה ומדמקשינן, כ"כ הר"ן בשמו [שם])</w:t>
      </w:r>
      <w:r>
        <w:rPr>
          <w:rtl/>
        </w:rPr>
        <w:t xml:space="preserve"> וריטב"א </w:t>
      </w:r>
      <w:r>
        <w:rPr>
          <w:sz w:val="16"/>
          <w:szCs w:val="16"/>
          <w:rtl/>
        </w:rPr>
        <w:t>(סי' קצט)</w:t>
      </w:r>
      <w:r>
        <w:rPr>
          <w:rtl/>
        </w:rPr>
        <w:t>.</w:t>
      </w:r>
    </w:p>
  </w:footnote>
  <w:footnote w:id="5226">
    <w:p w14:paraId="0587C317" w14:textId="77777777" w:rsidR="0013116F" w:rsidRDefault="0013116F" w:rsidP="001D49D4">
      <w:pPr>
        <w:pStyle w:val="a9"/>
        <w:rPr>
          <w:rtl/>
        </w:rPr>
      </w:pPr>
      <w:r>
        <w:rPr>
          <w:rStyle w:val="ab"/>
        </w:rPr>
        <w:footnoteRef/>
      </w:r>
      <w:r>
        <w:rPr>
          <w:rtl/>
        </w:rPr>
        <w:t xml:space="preserve"> </w:t>
      </w:r>
      <w:r>
        <w:rPr>
          <w:rFonts w:hint="cs"/>
          <w:rtl/>
        </w:rPr>
        <w:t xml:space="preserve">וכ"כ </w:t>
      </w:r>
      <w:r>
        <w:rPr>
          <w:rtl/>
        </w:rPr>
        <w:t xml:space="preserve">הה"מ </w:t>
      </w:r>
      <w:r>
        <w:rPr>
          <w:sz w:val="16"/>
          <w:szCs w:val="16"/>
          <w:rtl/>
        </w:rPr>
        <w:t xml:space="preserve">(פ"ב משכירות ה"ב) </w:t>
      </w:r>
      <w:r>
        <w:rPr>
          <w:rtl/>
        </w:rPr>
        <w:t>בשם המפרשים.</w:t>
      </w:r>
    </w:p>
  </w:footnote>
  <w:footnote w:id="5227">
    <w:p w14:paraId="4453EF0B" w14:textId="77777777" w:rsidR="0013116F" w:rsidRDefault="0013116F" w:rsidP="001D49D4">
      <w:pPr>
        <w:pStyle w:val="a9"/>
        <w:rPr>
          <w:rtl/>
        </w:rPr>
      </w:pPr>
      <w:r>
        <w:rPr>
          <w:rStyle w:val="ab"/>
        </w:rPr>
        <w:footnoteRef/>
      </w:r>
      <w:r>
        <w:rPr>
          <w:rtl/>
        </w:rPr>
        <w:t xml:space="preserve"> </w:t>
      </w:r>
      <w:r>
        <w:rPr>
          <w:rFonts w:hint="cs"/>
          <w:rtl/>
        </w:rPr>
        <w:t xml:space="preserve">סימן – נוֹוּ </w:t>
      </w:r>
      <w:r>
        <w:rPr>
          <w:sz w:val="16"/>
          <w:szCs w:val="16"/>
          <w:rtl/>
        </w:rPr>
        <w:t>(</w:t>
      </w:r>
      <w:r>
        <w:rPr>
          <w:sz w:val="16"/>
          <w:szCs w:val="16"/>
        </w:rPr>
        <w:t>no</w:t>
      </w:r>
      <w:r>
        <w:rPr>
          <w:sz w:val="16"/>
          <w:szCs w:val="16"/>
          <w:rtl/>
        </w:rPr>
        <w:t xml:space="preserve"> - לא)</w:t>
      </w:r>
      <w:r>
        <w:rPr>
          <w:rtl/>
        </w:rPr>
        <w:t xml:space="preserve"> תו</w:t>
      </w:r>
      <w:r>
        <w:rPr>
          <w:b/>
          <w:bCs/>
          <w:rtl/>
        </w:rPr>
        <w:t>נו</w:t>
      </w:r>
      <w:r>
        <w:rPr>
          <w:rtl/>
        </w:rPr>
        <w:t>.</w:t>
      </w:r>
    </w:p>
  </w:footnote>
  <w:footnote w:id="5228">
    <w:p w14:paraId="630660D8" w14:textId="77777777" w:rsidR="0013116F" w:rsidRDefault="0013116F" w:rsidP="001D49D4">
      <w:pPr>
        <w:pStyle w:val="a9"/>
        <w:rPr>
          <w:rtl/>
        </w:rPr>
      </w:pPr>
      <w:r>
        <w:rPr>
          <w:rStyle w:val="ab"/>
        </w:rPr>
        <w:footnoteRef/>
      </w:r>
      <w:r>
        <w:rPr>
          <w:rtl/>
        </w:rPr>
        <w:t xml:space="preserve"> ואע"פ שכתב במישרים ני"ד (מה ע"ד) שמתוך דבריו פ"ה מטוען ונטען (ה"ו) נראה הפך זה כבר יישב דבריו הה"מ, ב"י.</w:t>
      </w:r>
    </w:p>
  </w:footnote>
  <w:footnote w:id="5229">
    <w:p w14:paraId="06BE353C" w14:textId="77777777" w:rsidR="0013116F" w:rsidRDefault="0013116F" w:rsidP="001D49D4">
      <w:pPr>
        <w:pStyle w:val="a9"/>
        <w:rPr>
          <w:rtl/>
        </w:rPr>
      </w:pPr>
      <w:r>
        <w:rPr>
          <w:rStyle w:val="ab"/>
        </w:rPr>
        <w:footnoteRef/>
      </w:r>
      <w:r>
        <w:rPr>
          <w:rtl/>
        </w:rPr>
        <w:t xml:space="preserve"> </w:t>
      </w:r>
      <w:r>
        <w:rPr>
          <w:rFonts w:hint="cs"/>
          <w:rtl/>
        </w:rPr>
        <w:t>וז"ל-</w:t>
      </w:r>
      <w:r>
        <w:rPr>
          <w:rtl/>
        </w:rPr>
        <w:t xml:space="preserve"> הא דתנן שומר חנם אינו נשבע נושא שכר אינו משלם לכאורה משמע דמשבועה דוקא פטריה רחמנא שלא פשע הא אם מודה שפשע בשמירתו או אם יש עדים שפשע ונגנבו או נאבדו חייב... ורי"ף כתב בתשו' </w:t>
      </w:r>
      <w:r>
        <w:rPr>
          <w:sz w:val="16"/>
          <w:szCs w:val="16"/>
          <w:rtl/>
        </w:rPr>
        <w:t xml:space="preserve">(מהד' לייטער סי' צז, בילגוריא סי' קכט) </w:t>
      </w:r>
      <w:r>
        <w:rPr>
          <w:rtl/>
        </w:rPr>
        <w:t>שפטור, ודבריו נראים דכיון שהוציא את אלו מכלל פרשת שומרים אין לחייבו אלא מטעם אדם המזיק ופושע בדבר, ונאבד לא חשיב אדם המזיק, שהרי פשיעה בבעלים פטור, ואלו חשיב כאדם המזיק אמאי פטור בבעלים, אלא ודאי לא מקרי אדם המזיק כיון דלא אפסידיה בידים אלא שבפשיעתו שלא שמרו כראוי נפסד, אלא על שמירת שומרים חייבתו תורה, הילכך בבעלים פטור דכיון שהוציאה תורה את אלו מדין שומרים פטורים אף בפשיעה.</w:t>
      </w:r>
    </w:p>
  </w:footnote>
  <w:footnote w:id="5230">
    <w:p w14:paraId="4A0CEE73" w14:textId="77777777" w:rsidR="0013116F" w:rsidRDefault="0013116F" w:rsidP="001D49D4">
      <w:pPr>
        <w:pStyle w:val="a9"/>
      </w:pPr>
      <w:r>
        <w:rPr>
          <w:rStyle w:val="ab"/>
        </w:rPr>
        <w:footnoteRef/>
      </w:r>
      <w:r>
        <w:rPr>
          <w:rtl/>
        </w:rPr>
        <w:t xml:space="preserve"> </w:t>
      </w:r>
      <w:r>
        <w:rPr>
          <w:rFonts w:hint="cs"/>
          <w:rtl/>
        </w:rPr>
        <w:t xml:space="preserve">וז"ל- </w:t>
      </w:r>
      <w:r>
        <w:rPr>
          <w:rtl/>
        </w:rPr>
        <w:t xml:space="preserve">דעת הרמב"ם </w:t>
      </w:r>
      <w:r>
        <w:rPr>
          <w:sz w:val="16"/>
          <w:szCs w:val="16"/>
          <w:rtl/>
        </w:rPr>
        <w:t xml:space="preserve">(שכירות פ"ב ה"ג) </w:t>
      </w:r>
      <w:r>
        <w:rPr>
          <w:rtl/>
        </w:rPr>
        <w:t>שלא מיעט הכתוב שטרות אלא מדברים האמורים בפרשה, דהיינו אונסין וגניבה ואבידה, אבל בפשיעה חייבים מדין מזיק, מיהו כל שאין ראיה שפשע אין משביעין אותו שלא פשע ושלא שלח בו יד או שאינו ברשותו דהתורה האמינתו, דמילתא פסיקתא קתני 'שומר חנם אינו נשבע'. ודעת הרי"ף שאפילו יש עדים שפשע בהם פטור, ונראין דבריו, וכן דעת כל רבותי האחרונים, וכ"כ הרמב"ן</w:t>
      </w:r>
      <w:r>
        <w:rPr>
          <w:sz w:val="16"/>
          <w:szCs w:val="16"/>
          <w:rtl/>
        </w:rPr>
        <w:t xml:space="preserve"> (ב"מ נז: ד"ה הא)</w:t>
      </w:r>
      <w:r>
        <w:rPr>
          <w:rtl/>
        </w:rPr>
        <w:t>. ודקשיא לך פושע - מזיק הוא, וחייב שלא מדין שומר, הא ליתא, דפשיעה גרמא בנזקין היא שהוא פטור מדיני אדם, אלא שהתורה חייבה שומרים בפשיעה מפני שסמך עליהם בעל הפקדון והבטיחו שומר לשומרו. מעתה המפקיד שטרות אצל חבירו אפילו בשטר ולא קבל עליו אחריות בפירוש וטען שנאנסו או נגנבו ואפילו בפשיעה - הרי הוא נאמן בלא שבועה ואפילו מדרבנן. וכן לדברי הרמב"ם פטור ונאמן כל זמן שלא פשע בהם. מעתה אם טען החזרתים לך נאמן במגו דאי בעי אמר נאנסו, והיה אפשר לומר דאפילו היסת אינו נשבע במגו דאי טעין נאנסו שאינו נשבע אפילו היסת, אלא דבכה"ג ליכא מגו, דשבועת היסת בפקדון ומלוה שכופר - הכל תקנתא דרבנן בתראי היא, וכיון דמדינא פטור וחייבוהו רבנן - כי אית ליה מגו נמי חייב שבועת היסת, דלא מהני ליה מגו דידיה טפי מטענת חזרה עצמה. וזה דעת רבותינו, אלא שמקצת רבותי פוטרים שטרות אפילו משבועה זו לפי שאין גופן ממון.</w:t>
      </w:r>
    </w:p>
  </w:footnote>
  <w:footnote w:id="5231">
    <w:p w14:paraId="6D249FB2" w14:textId="77777777" w:rsidR="0013116F" w:rsidRDefault="0013116F" w:rsidP="001D49D4">
      <w:pPr>
        <w:pStyle w:val="a9"/>
      </w:pPr>
      <w:r>
        <w:rPr>
          <w:rStyle w:val="ab"/>
        </w:rPr>
        <w:footnoteRef/>
      </w:r>
      <w:r>
        <w:rPr>
          <w:rtl/>
        </w:rPr>
        <w:t xml:space="preserve"> רי"ף </w:t>
      </w:r>
      <w:r>
        <w:rPr>
          <w:sz w:val="16"/>
          <w:szCs w:val="16"/>
          <w:rtl/>
        </w:rPr>
        <w:t>(מהד' לייטער סי' צז, בילגוריא סי' קכט)</w:t>
      </w:r>
      <w:r>
        <w:rPr>
          <w:rtl/>
        </w:rPr>
        <w:t xml:space="preserve"> תוס' </w:t>
      </w:r>
      <w:r>
        <w:rPr>
          <w:sz w:val="16"/>
          <w:szCs w:val="16"/>
          <w:rtl/>
        </w:rPr>
        <w:t xml:space="preserve">(ב"מ נז: ד"ה ש"ח, כ"כ הרא"ש בשמו [כלל צה סי' ה]) </w:t>
      </w:r>
      <w:r>
        <w:rPr>
          <w:rtl/>
        </w:rPr>
        <w:t xml:space="preserve">ראב"ד </w:t>
      </w:r>
      <w:r>
        <w:rPr>
          <w:sz w:val="16"/>
          <w:szCs w:val="16"/>
          <w:rtl/>
        </w:rPr>
        <w:t xml:space="preserve">(בהשגות שם) </w:t>
      </w:r>
      <w:r>
        <w:rPr>
          <w:rtl/>
        </w:rPr>
        <w:t>רמב"ן</w:t>
      </w:r>
      <w:r>
        <w:rPr>
          <w:sz w:val="16"/>
          <w:szCs w:val="16"/>
          <w:rtl/>
        </w:rPr>
        <w:t xml:space="preserve"> (ב"מ נז: ד"ה הא)</w:t>
      </w:r>
      <w:r>
        <w:rPr>
          <w:rtl/>
        </w:rPr>
        <w:t xml:space="preserve"> רא"ש </w:t>
      </w:r>
      <w:r>
        <w:rPr>
          <w:sz w:val="16"/>
          <w:szCs w:val="16"/>
          <w:rtl/>
        </w:rPr>
        <w:t>(פרק שבועת הדיינין סי' כד, ופרק הזהב סי' כא)</w:t>
      </w:r>
      <w:r>
        <w:rPr>
          <w:rtl/>
        </w:rPr>
        <w:t xml:space="preserve"> וריטב"א </w:t>
      </w:r>
      <w:r>
        <w:rPr>
          <w:sz w:val="16"/>
          <w:szCs w:val="16"/>
          <w:rtl/>
        </w:rPr>
        <w:t>(סי' קצט)</w:t>
      </w:r>
      <w:r>
        <w:rPr>
          <w:rtl/>
        </w:rPr>
        <w:t>.</w:t>
      </w:r>
    </w:p>
  </w:footnote>
  <w:footnote w:id="5232">
    <w:p w14:paraId="310F5B6A" w14:textId="77777777" w:rsidR="0013116F" w:rsidRDefault="0013116F" w:rsidP="001D49D4">
      <w:pPr>
        <w:pStyle w:val="a9"/>
        <w:rPr>
          <w:rtl/>
        </w:rPr>
      </w:pPr>
      <w:r>
        <w:rPr>
          <w:rStyle w:val="ab"/>
        </w:rPr>
        <w:footnoteRef/>
      </w:r>
      <w:r>
        <w:rPr>
          <w:rtl/>
        </w:rPr>
        <w:t xml:space="preserve"> וכתב הרא"ש </w:t>
      </w:r>
      <w:r>
        <w:rPr>
          <w:sz w:val="16"/>
          <w:szCs w:val="16"/>
          <w:rtl/>
        </w:rPr>
        <w:t xml:space="preserve">(כלל צד סי' ה) </w:t>
      </w:r>
      <w:r>
        <w:rPr>
          <w:rtl/>
        </w:rPr>
        <w:t xml:space="preserve">שמאחר שהרי"ף והראב"ד ור"י בעל התוספות </w:t>
      </w:r>
      <w:r>
        <w:rPr>
          <w:sz w:val="16"/>
          <w:szCs w:val="16"/>
          <w:rtl/>
        </w:rPr>
        <w:t>(ב"מ נז: ד"ה ש"ח)</w:t>
      </w:r>
      <w:r>
        <w:rPr>
          <w:rtl/>
        </w:rPr>
        <w:t xml:space="preserve"> סוברים דפטור מפשיעה בראיות ברורות וידועות לנו, יותר יש לסמוך עליהם מעל דברי הרמב"ם שכתב לנו דברי נבואה בלא ראיה.</w:t>
      </w:r>
    </w:p>
  </w:footnote>
  <w:footnote w:id="5233">
    <w:p w14:paraId="3532ACC7" w14:textId="77777777" w:rsidR="0013116F" w:rsidRDefault="0013116F" w:rsidP="001D49D4">
      <w:pPr>
        <w:pStyle w:val="a9"/>
        <w:rPr>
          <w:rtl/>
        </w:rPr>
      </w:pPr>
      <w:r>
        <w:rPr>
          <w:rStyle w:val="ab"/>
        </w:rPr>
        <w:footnoteRef/>
      </w:r>
      <w:r>
        <w:rPr>
          <w:rtl/>
        </w:rPr>
        <w:t xml:space="preserve"> וז"ל - בגמרא </w:t>
      </w:r>
      <w:r>
        <w:rPr>
          <w:sz w:val="16"/>
          <w:szCs w:val="16"/>
          <w:rtl/>
        </w:rPr>
        <w:t xml:space="preserve">(ב"מ נח.) </w:t>
      </w:r>
      <w:r>
        <w:rPr>
          <w:rtl/>
        </w:rPr>
        <w:t xml:space="preserve">משמע ששומר שכר פטור מאונסין בכל מקום אם נאנס לא הפסיד שכרו אלא נשבע שנאנס ונוטל שכרו, ועיקר. עכ"ל. </w:t>
      </w:r>
      <w:r>
        <w:rPr>
          <w:color w:val="FF0000"/>
          <w:rtl/>
        </w:rPr>
        <w:t>וצל"ע מדוע הב"י הביא את דבריו בנוסף לדברי הרא"ש, ואולי יש איזה חידוש בדבריו.</w:t>
      </w:r>
    </w:p>
  </w:footnote>
  <w:footnote w:id="5234">
    <w:p w14:paraId="741B1BC4" w14:textId="77777777" w:rsidR="0013116F" w:rsidRDefault="0013116F" w:rsidP="001D49D4">
      <w:pPr>
        <w:pStyle w:val="a9"/>
        <w:rPr>
          <w:rtl/>
        </w:rPr>
      </w:pPr>
      <w:r>
        <w:rPr>
          <w:rStyle w:val="ab"/>
        </w:rPr>
        <w:footnoteRef/>
      </w:r>
      <w:r>
        <w:rPr>
          <w:rtl/>
        </w:rPr>
        <w:t xml:space="preserve"> וכתב הב"י דהכי אמרינן בהזהב </w:t>
      </w:r>
      <w:r>
        <w:rPr>
          <w:sz w:val="16"/>
          <w:szCs w:val="16"/>
          <w:rtl/>
        </w:rPr>
        <w:t xml:space="preserve">(נח.) </w:t>
      </w:r>
      <w:r>
        <w:rPr>
          <w:rtl/>
        </w:rPr>
        <w:t xml:space="preserve">שאם קנו מיד השומרין שיתחייב כדין השומרים - חייבין באחריותן. וכתב עוד- ונ"ל דלא קאי אלא אשומר שכר ומשתעבד ע"י קנין להתחייב בתשלומין אבל לשומר חנם היאך ישתעבד לישבע ע"י קנין, ובגמ' נמי אשומר שכר איתמר </w:t>
      </w:r>
      <w:r>
        <w:rPr>
          <w:sz w:val="16"/>
          <w:szCs w:val="16"/>
          <w:rtl/>
        </w:rPr>
        <w:t>(אמנם הוסיף הב"י (בבדה"ב) דהוא הדין אם קנו מיד שומר חנם להתחייב לשלם כשומר שכר או כשואל שהוא חייב)</w:t>
      </w:r>
      <w:r>
        <w:rPr>
          <w:rtl/>
        </w:rPr>
        <w:t xml:space="preserve">. ולא ידעתי למה השמיט רבינו דין זה. עכ"ל הב"י. ותמה הדרכ"מ </w:t>
      </w:r>
      <w:r>
        <w:rPr>
          <w:sz w:val="16"/>
          <w:szCs w:val="16"/>
          <w:rtl/>
        </w:rPr>
        <w:t xml:space="preserve">(אות יד) </w:t>
      </w:r>
      <w:r>
        <w:rPr>
          <w:rtl/>
        </w:rPr>
        <w:t>על הב"י</w:t>
      </w:r>
      <w:r>
        <w:rPr>
          <w:sz w:val="16"/>
          <w:szCs w:val="16"/>
          <w:rtl/>
        </w:rPr>
        <w:t xml:space="preserve"> </w:t>
      </w:r>
      <w:r>
        <w:rPr>
          <w:rtl/>
        </w:rPr>
        <w:t xml:space="preserve">וכתב- ולא ידעתי מה חילוק יש בין שומר שכר לשומר חנם בדין זה, דהא אף שומר חנם יכול להתנות ולהקנות שישבע או ישלם </w:t>
      </w:r>
      <w:r>
        <w:rPr>
          <w:sz w:val="16"/>
          <w:szCs w:val="16"/>
          <w:rtl/>
        </w:rPr>
        <w:t>(ואי משום דבגמ' נאמר לענין שומר שכר זה אינו כלום דהא עיקר הדין ששומרים פטורים לענין שטרות וכיוצא בזה נאמר לענין שומר חנם ושומר שכר וכתב הרא"ש בתשובה דהוא הדין לשואל וכמו שיתבאר לקמן סימן ש"א (ס"ב) אי"ה והוא הדין לענין זה)</w:t>
      </w:r>
      <w:r>
        <w:rPr>
          <w:rtl/>
        </w:rPr>
        <w:t xml:space="preserve">. ונראה דמשום זה השמיטו רבינו דפשוט הוא דיכול להתנות על עצמו במה שאינו חייב כמו שאמרו מתנה שומר חנם להיות כשואל וכמו שיתבאר בהל' שומרים (סי' רצא סכ"ח) אי"ה. וכן השיג הסמ"ע (סק"צ) על הב"י וכתב דקאי גם אשומר חנם וכדברי הדרכ"מ. וכתב הש"ך (סקקכ"ח) שהדרכ"מ והסמ"ע לא ירדו לדעת הב"י, דכונתו דודאי אם התנה השומר חנם שיתחייב לשלם, חל הקנין על התשלומין, אבל אם התנה שישבע, על מה יחול הקנין, אין זה אלא קנין דברים, וכמש"כ הב"י בספרו בדה"ב ובכס"מ </w:t>
      </w:r>
      <w:r>
        <w:rPr>
          <w:sz w:val="16"/>
          <w:szCs w:val="16"/>
          <w:rtl/>
        </w:rPr>
        <w:t>(פ"ב משכירות ה"א)</w:t>
      </w:r>
      <w:r>
        <w:rPr>
          <w:rtl/>
        </w:rPr>
        <w:t xml:space="preserve"> להדיא דאם קנו מיד השומר חנם שישבע אינו כלום דקנין דברים הוא, אבל אם קנו מיד השומר חנם להתחייב לשלם כשומר שכר או כשואל, חייב, עכ"ל. ודבריו נכונים ומוכרחים מסוגיא דש"ס רפ"ק דב"ב (ג.)... וכ"כ בעיר שושן כאן (סע' מ).</w:t>
      </w:r>
    </w:p>
  </w:footnote>
  <w:footnote w:id="5235">
    <w:p w14:paraId="4F05275D" w14:textId="77777777" w:rsidR="0013116F" w:rsidRDefault="0013116F" w:rsidP="001D49D4">
      <w:pPr>
        <w:pStyle w:val="a9"/>
      </w:pPr>
      <w:r>
        <w:rPr>
          <w:rStyle w:val="ab"/>
        </w:rPr>
        <w:footnoteRef/>
      </w:r>
      <w:r>
        <w:rPr>
          <w:rtl/>
        </w:rPr>
        <w:t xml:space="preserve"> ומפני כך פסק </w:t>
      </w:r>
      <w:r>
        <w:rPr>
          <w:sz w:val="16"/>
          <w:szCs w:val="16"/>
          <w:rtl/>
        </w:rPr>
        <w:t>{הרא"ש שם}</w:t>
      </w:r>
      <w:r>
        <w:rPr>
          <w:rtl/>
        </w:rPr>
        <w:t xml:space="preserve"> על סופר שכתב שטר לשמעון ונתנו לאביו דהוי כמשליכו לאיבוד בידים וחייב אא"כ בא האב לסופר בתורת שליחות הבן וידוע שהבן מאמין את האב ומשליטו בכל נכסיו דאז לא פשע הסופר, ב"י.</w:t>
      </w:r>
    </w:p>
  </w:footnote>
  <w:footnote w:id="5236">
    <w:p w14:paraId="13C3E9B0" w14:textId="77777777" w:rsidR="0013116F" w:rsidRDefault="0013116F" w:rsidP="001D49D4">
      <w:pPr>
        <w:pStyle w:val="a9"/>
        <w:rPr>
          <w:rtl/>
        </w:rPr>
      </w:pPr>
      <w:r>
        <w:rPr>
          <w:rStyle w:val="ab"/>
        </w:rPr>
        <w:footnoteRef/>
      </w:r>
      <w:r>
        <w:rPr>
          <w:rtl/>
        </w:rPr>
        <w:t xml:space="preserve"> ואע"ג דמתנה שומר חנם להיות כשואל אף בדברים בלא קנין, כדלקמן סימן רצ"א סעיף כ"ז. שאני התם שהוא שומר חנם, וכיון שהוא בדין השומרים יכול הוא לחייב את עצמו להיות כשואל אפילו בדברים, אבל כאן שאינו בתורת שומרים כלל, אי אפשר שיחול עליו שום חיוב אא"כ קנו מידו, כן העלו הרשב"א (ב"מ נח. ד"ה ופרקה) והר"ן (שם צד. ד"ה ור"י), כ"כ הנמוק"י (פרק הזהב לב: מדפה"ר) ומביאו ב"י לקמן (ר"ס שא), וכ"כ התוס' (פרק הזהב נח. ד"ה אמר רבי יוחנן)... ונראה הטעם, דבסימן רצ"א מתנה להיות כשואל ושואל חייב התם, והוי כאילו אמר הריני שואל, ודומה להריני כאילו התקבלתי בנדרים כמו שנתבאר ביו"ד ס"ס רל"ב, משא"כ הכא דאפילו שואל פטור, דאין כאן דין שומרים, א"כ במה יחייב את עצמו אם לא בקנין, ש"ך (סקקכ"ט).</w:t>
      </w:r>
    </w:p>
  </w:footnote>
  <w:footnote w:id="5237">
    <w:p w14:paraId="5DE8C2AD" w14:textId="77777777" w:rsidR="0013116F" w:rsidRDefault="0013116F" w:rsidP="001D49D4">
      <w:pPr>
        <w:pStyle w:val="a9"/>
        <w:rPr>
          <w:rtl/>
        </w:rPr>
      </w:pPr>
      <w:r>
        <w:rPr>
          <w:rStyle w:val="ab"/>
        </w:rPr>
        <w:footnoteRef/>
      </w:r>
      <w:r>
        <w:rPr>
          <w:rtl/>
        </w:rPr>
        <w:t xml:space="preserve"> וכתב דכן משמע מדברי הריטב"א (סי' קצט) שהביא הב"י לעיל... וכן נ"ל מדברי הרמב"ם פ"ה מהל' טוען ה"ו... ומביאו רי"ו ני"ד והטור לקמן סי' צה סע' ט. וכן נראה דעת המחבר שסתם וכתב נשבעין היסת אם היתה שם טענת ודאי. וכן נראה להדיא מדבריו בבדה"ב [סע' לט]... ומ"מ למה שכתבתי לעיל בס"ק הקודם דמ"מ צריך לישבע שאינה ברשותו, א"כ בטוען החזרתי פשיטא דהיסת מיהא בעי, דאע"ג דיש לו מיגו דנאנסו, מ"מ גם אם טוען נאנסו היה צריך לישבע מדרבנן שאינה ברשותו, ולא נ"מ הכא מידי. מיהו נ"מ בעלמא היכא דאיכא שבועת היסת משום טענת ברי, אע"ג דיש לו מיגו דהיה טוען טענה דלא היה צריך לישבע משום טענת שמא, צריך עכשיו לישבע היסת.</w:t>
      </w:r>
    </w:p>
  </w:footnote>
  <w:footnote w:id="5238">
    <w:p w14:paraId="45815A76" w14:textId="77777777" w:rsidR="0013116F" w:rsidRDefault="0013116F" w:rsidP="001D49D4">
      <w:pPr>
        <w:pStyle w:val="a9"/>
      </w:pPr>
      <w:r>
        <w:rPr>
          <w:rStyle w:val="ab"/>
        </w:rPr>
        <w:footnoteRef/>
      </w:r>
      <w:r>
        <w:rPr>
          <w:rtl/>
        </w:rPr>
        <w:t xml:space="preserve"> </w:t>
      </w:r>
      <w:r>
        <w:rPr>
          <w:rFonts w:hint="cs"/>
          <w:rtl/>
        </w:rPr>
        <w:t xml:space="preserve">אמנם כתב הש"ך (סקקל"א) </w:t>
      </w:r>
      <w:r>
        <w:rPr>
          <w:rtl/>
        </w:rPr>
        <w:t>דאע"ג דכתב כן הר"ב לקמן סי' קע"א סוף סע' י"ד... מכל מקום נראה דהר"ב לא כתב כן אלא דיש אומרים כן אבל לדינא לא ס"ל הכי, לכך סתם כאן כדברי הטור והמחבר, וחזר וכתב כן בסי' קע"ו סע' כ'.</w:t>
      </w:r>
    </w:p>
  </w:footnote>
  <w:footnote w:id="5239">
    <w:p w14:paraId="0E784520" w14:textId="77777777" w:rsidR="0013116F" w:rsidRDefault="0013116F" w:rsidP="001D49D4">
      <w:pPr>
        <w:pStyle w:val="a9"/>
      </w:pPr>
      <w:r>
        <w:rPr>
          <w:rStyle w:val="ab"/>
        </w:rPr>
        <w:footnoteRef/>
      </w:r>
      <w:r>
        <w:rPr>
          <w:rtl/>
        </w:rPr>
        <w:t xml:space="preserve"> הרא"ש</w:t>
      </w:r>
      <w:r>
        <w:rPr>
          <w:sz w:val="16"/>
          <w:szCs w:val="16"/>
          <w:rtl/>
        </w:rPr>
        <w:t xml:space="preserve"> (כלל צח סי' ז)</w:t>
      </w:r>
      <w:r>
        <w:rPr>
          <w:rtl/>
        </w:rPr>
        <w:t xml:space="preserve"> הטור והמחבר לטעמייהו לקמן סי' קע"א </w:t>
      </w:r>
      <w:r>
        <w:rPr>
          <w:sz w:val="16"/>
          <w:szCs w:val="16"/>
          <w:rtl/>
        </w:rPr>
        <w:t>[טור סע' לג ומחבר סע' א]</w:t>
      </w:r>
      <w:r>
        <w:rPr>
          <w:rtl/>
        </w:rPr>
        <w:t xml:space="preserve"> אזלי. אבל כבר כתבתי שם </w:t>
      </w:r>
      <w:r>
        <w:rPr>
          <w:sz w:val="16"/>
          <w:szCs w:val="16"/>
          <w:rtl/>
        </w:rPr>
        <w:t xml:space="preserve">[סק"א] </w:t>
      </w:r>
      <w:r>
        <w:rPr>
          <w:rtl/>
        </w:rPr>
        <w:t>דהר"י הלוי והראב"ד ונמוק"י בשם ה"ר יונה והרא"ה ושא"פ חולקין, דאין דין דגוד או אגוד רק באחין שירשו ולא בשותפין, ש"ך (סקק"ל).</w:t>
      </w:r>
    </w:p>
  </w:footnote>
  <w:footnote w:id="5240">
    <w:p w14:paraId="37009173" w14:textId="77777777" w:rsidR="0013116F" w:rsidRDefault="0013116F" w:rsidP="001D49D4">
      <w:pPr>
        <w:pStyle w:val="a9"/>
      </w:pPr>
      <w:r>
        <w:rPr>
          <w:rStyle w:val="ab"/>
        </w:rPr>
        <w:footnoteRef/>
      </w:r>
      <w:r>
        <w:rPr>
          <w:rtl/>
        </w:rPr>
        <w:t xml:space="preserve"> פי' משוך או אמשוך כלומר קנה או מכור. וכתב הש"ך (סקקל"א) דאף הרשב"א גופיה מודה להרא"ש והטור והמחבר דאמרינן בשטרות גוד או אגוד. ומה שכתב בתשובה ההיא, היינו לפי מה שהיה נראה לו מתחילה להלכה דשטרות לאו בני גוביינא נינהו, אבל לפי מה שחזר בו בתשובות אחרות וכפף ראשו למעשה לגדולי המורים דיש דין גוביינא בשטרות, וכמש"כ לקמן סימן ק"א סעיף ה' סק"ג בשמו, א"כ הרי הן כמטלטלין לענין גוביינא ולענין חלוקה וכמו שכתבתי שם, וא"כ אומרים בו דין גוד או אגוד. ונראה שזהו דעת המחבר שפסק בפשיטות כהרא"ש וטור ולא כהרשב"א ורי"ו, משום דס"ל דאף הרשב"א מודה למעשה וכמו שכתבתי. וכן משמע בב"י לקמן סימן קע"ו מחודש ט"ז, ע"ש שהביא תשובת הרשב"א </w:t>
      </w:r>
      <w:r>
        <w:rPr>
          <w:sz w:val="16"/>
          <w:szCs w:val="16"/>
          <w:rtl/>
        </w:rPr>
        <w:t>[ח"ג סי' קלז]</w:t>
      </w:r>
      <w:r>
        <w:rPr>
          <w:rtl/>
        </w:rPr>
        <w:t xml:space="preserve"> שאין חולקין שטרות, וכתב עלה שהרשב"א עצמו ראה דנין כהרא"ש ע"ש, וכ"כ הב"ח לקמן סי' קע"ו סע' כ"ו דהכי נהוג כהרא"ש, וכן עיקר.</w:t>
      </w:r>
    </w:p>
  </w:footnote>
  <w:footnote w:id="5241">
    <w:p w14:paraId="2BD8C4CA" w14:textId="77777777" w:rsidR="0013116F" w:rsidRDefault="0013116F" w:rsidP="001D49D4">
      <w:pPr>
        <w:pStyle w:val="a9"/>
      </w:pPr>
      <w:r>
        <w:rPr>
          <w:rStyle w:val="ab"/>
        </w:rPr>
        <w:footnoteRef/>
      </w:r>
      <w:r>
        <w:rPr>
          <w:rtl/>
        </w:rPr>
        <w:t xml:space="preserve"> </w:t>
      </w:r>
      <w:r>
        <w:rPr>
          <w:rFonts w:hint="cs"/>
          <w:rtl/>
        </w:rPr>
        <w:t>סימן – קלף = נכסי.</w:t>
      </w:r>
    </w:p>
  </w:footnote>
  <w:footnote w:id="5242">
    <w:p w14:paraId="36025552" w14:textId="77777777" w:rsidR="0013116F" w:rsidRDefault="0013116F" w:rsidP="001D49D4">
      <w:pPr>
        <w:pStyle w:val="a9"/>
      </w:pPr>
      <w:r>
        <w:rPr>
          <w:rStyle w:val="ab"/>
        </w:rPr>
        <w:footnoteRef/>
      </w:r>
      <w:r>
        <w:rPr>
          <w:rtl/>
        </w:rPr>
        <w:t xml:space="preserve"> וז"ל- יש מי שהעמיד הא דאמרינן דשטרות בכלל נכסי במתנת שכיב מרע משום דדבריו ככתובין וכמסורין דמו, ויש מי שהעמידה אפילו בבריא ו-'נכסי' שאני שהשעבוד בכלל נכסיו הוא, אך אין זה מחוור בעיני.</w:t>
      </w:r>
    </w:p>
  </w:footnote>
  <w:footnote w:id="5243">
    <w:p w14:paraId="128FFFC3" w14:textId="77777777" w:rsidR="0013116F" w:rsidRDefault="0013116F" w:rsidP="001D49D4">
      <w:pPr>
        <w:pStyle w:val="a9"/>
      </w:pPr>
      <w:r>
        <w:rPr>
          <w:rStyle w:val="ab"/>
        </w:rPr>
        <w:footnoteRef/>
      </w:r>
      <w:r>
        <w:rPr>
          <w:rtl/>
        </w:rPr>
        <w:t xml:space="preserve"> היינו דאם הקנה אותן לו אגב קרקע מהני אפילו במתנת בריא, וכדלעיל סע' י, ע"פ ש"ך (סקי"ב).</w:t>
      </w:r>
    </w:p>
  </w:footnote>
  <w:footnote w:id="5244">
    <w:p w14:paraId="39538E91" w14:textId="77777777" w:rsidR="0013116F" w:rsidRDefault="0013116F" w:rsidP="001D49D4">
      <w:pPr>
        <w:pStyle w:val="a9"/>
      </w:pPr>
      <w:r>
        <w:rPr>
          <w:rStyle w:val="ab"/>
        </w:rPr>
        <w:footnoteRef/>
      </w:r>
      <w:r>
        <w:rPr>
          <w:rtl/>
        </w:rPr>
        <w:t xml:space="preserve"> וז"ל- הקנאת שטר איתא במתנת שכיב מרע באמירה בעלמא והוא דהוי מתנה בכולהו נכסי.</w:t>
      </w:r>
    </w:p>
  </w:footnote>
  <w:footnote w:id="5245">
    <w:p w14:paraId="55912964" w14:textId="77777777" w:rsidR="0013116F" w:rsidRDefault="0013116F" w:rsidP="001D49D4">
      <w:pPr>
        <w:pStyle w:val="a9"/>
      </w:pPr>
      <w:r>
        <w:rPr>
          <w:rStyle w:val="ab"/>
        </w:rPr>
        <w:footnoteRef/>
      </w:r>
      <w:r>
        <w:rPr>
          <w:rtl/>
        </w:rPr>
        <w:t xml:space="preserve"> וכתב הה"מ שאע"פ שאין כן דעת הרשב"א (ב"ב קמז: ד"ה שכ"מ) כבר נחלקו עליו, ב"י.</w:t>
      </w:r>
    </w:p>
  </w:footnote>
  <w:footnote w:id="5246">
    <w:p w14:paraId="3CEDBD91" w14:textId="77777777" w:rsidR="0013116F" w:rsidRDefault="0013116F" w:rsidP="001D49D4">
      <w:pPr>
        <w:pStyle w:val="a9"/>
        <w:rPr>
          <w:rtl/>
        </w:rPr>
      </w:pPr>
      <w:r>
        <w:rPr>
          <w:rStyle w:val="ab"/>
        </w:rPr>
        <w:footnoteRef/>
      </w:r>
      <w:r>
        <w:rPr>
          <w:rtl/>
        </w:rPr>
        <w:t xml:space="preserve"> וכבר כתבתי בסמוך (סכ"ה) דברי החולקים עליו, ב"י. </w:t>
      </w:r>
    </w:p>
  </w:footnote>
  <w:footnote w:id="5247">
    <w:p w14:paraId="078E2E29" w14:textId="77777777" w:rsidR="0013116F" w:rsidRDefault="0013116F" w:rsidP="001D49D4">
      <w:pPr>
        <w:pStyle w:val="a9"/>
      </w:pPr>
      <w:r>
        <w:rPr>
          <w:rStyle w:val="ab"/>
        </w:rPr>
        <w:footnoteRef/>
      </w:r>
      <w:r>
        <w:rPr>
          <w:rtl/>
        </w:rPr>
        <w:t xml:space="preserve"> והביא ראיות לדבר, ועיין עוד בתשובותיו סימן תתקי"ד וסימן אלף קי"ב. ועיין במה שכתבתי בדברי רבינו בסימן ק"א (ס"ו), ב"י.</w:t>
      </w:r>
    </w:p>
  </w:footnote>
  <w:footnote w:id="5248">
    <w:p w14:paraId="748D7D22" w14:textId="77777777" w:rsidR="0013116F" w:rsidRDefault="0013116F" w:rsidP="001D49D4">
      <w:pPr>
        <w:pStyle w:val="a9"/>
        <w:rPr>
          <w:rtl/>
        </w:rPr>
      </w:pPr>
      <w:r>
        <w:rPr>
          <w:rStyle w:val="ab"/>
        </w:rPr>
        <w:footnoteRef/>
      </w:r>
      <w:r>
        <w:rPr>
          <w:rtl/>
        </w:rPr>
        <w:t xml:space="preserve"> אבל בבריא לא נפקא מינה וכדאיתא בטור [סע' מג], וכ"כ הטור והמחבר לקמן סוף סימן רמ"ח [טור סעיף ט"ז]. אבל רבים חולקין דנ"מ אפילו בבריא, לפי שהשטר וכל שעבודיה איקרי נכסי, וכבר כתבתי בזה לעיל סעיף ג' סקי"ב, ש"ך (סקקל"ב).</w:t>
      </w:r>
    </w:p>
  </w:footnote>
  <w:footnote w:id="5249">
    <w:p w14:paraId="730681ED" w14:textId="77777777" w:rsidR="0013116F" w:rsidRDefault="0013116F" w:rsidP="001D49D4">
      <w:pPr>
        <w:pStyle w:val="a9"/>
      </w:pPr>
      <w:r>
        <w:rPr>
          <w:rStyle w:val="ab"/>
        </w:rPr>
        <w:footnoteRef/>
      </w:r>
      <w:r>
        <w:rPr>
          <w:rtl/>
        </w:rPr>
        <w:t xml:space="preserve"> דוקא בשעת חופה, וכן מיירי במהרי"ק שם, וכ"כ הריב"ש (סי' סד וסי' קב) והה"מ (פכ"ג מהל' אישות ה"ה) הביאו ב"י באה"ע (ס"ס ס"ט) וז"ל- בכותב לה ועודה ארוסה, א"נ בכותב לה בשעת כניסה, אבל אחר נישואיה לא מהני סילוק כו'. ע"כ. ומה שכתב 'בשעת כניסה לחופה' מיירי בעודה ארוסה, לאפוקי לדידן דמארסין בשעת החופה, וכמו שכתבו הרשב"א (ח"א סי' תתקס) והר"ן (כתובות מא. מדפה"ר) והמחבר והר"ב באה"ע (ר"ס צב) דקודם אירוסין לא מהני סילוק. מ"מ אחר נישואיה לכו"ע לא מהני סילוק, וכדאיתא בש"ס ר"פ הכותב (כתובות פג.) ופוסקים ונתבאר באה"ע שם. ולפי זה גם דברי הר"ב בכאן צריך לפרש דכתב לה בעודה ארוסה, ולדידן דמארסין בשעת החופה לא מהני סילוק, ש"ך (סקקל"ד).</w:t>
      </w:r>
    </w:p>
  </w:footnote>
  <w:footnote w:id="5250">
    <w:p w14:paraId="5BB3559C" w14:textId="77777777" w:rsidR="0013116F" w:rsidRDefault="0013116F" w:rsidP="001D49D4">
      <w:pPr>
        <w:pStyle w:val="a9"/>
      </w:pPr>
      <w:r>
        <w:rPr>
          <w:rStyle w:val="ab"/>
        </w:rPr>
        <w:footnoteRef/>
      </w:r>
      <w:r>
        <w:rPr>
          <w:rtl/>
        </w:rPr>
        <w:t xml:space="preserve"> וה"ה משט"ח שנותן לבתו עם זרעה, סמ"ע (סקצ"ד).</w:t>
      </w:r>
    </w:p>
  </w:footnote>
  <w:footnote w:id="5251">
    <w:p w14:paraId="09E82CE6" w14:textId="77777777" w:rsidR="0013116F" w:rsidRDefault="0013116F" w:rsidP="001D49D4">
      <w:pPr>
        <w:pStyle w:val="a9"/>
      </w:pPr>
      <w:r>
        <w:rPr>
          <w:rStyle w:val="ab"/>
        </w:rPr>
        <w:footnoteRef/>
      </w:r>
      <w:r>
        <w:rPr>
          <w:rtl/>
        </w:rPr>
        <w:t xml:space="preserve"> </w:t>
      </w:r>
      <w:r>
        <w:rPr>
          <w:rFonts w:hint="cs"/>
          <w:rtl/>
        </w:rPr>
        <w:t xml:space="preserve">סימן – לא ויתר ללוה. וכן – </w:t>
      </w:r>
      <w:r>
        <w:rPr>
          <w:rFonts w:hint="cs"/>
          <w:b/>
          <w:bCs/>
          <w:rtl/>
        </w:rPr>
        <w:t>לו</w:t>
      </w:r>
      <w:r>
        <w:rPr>
          <w:rFonts w:hint="cs"/>
          <w:rtl/>
        </w:rPr>
        <w:t>תביה ל</w:t>
      </w:r>
      <w:r>
        <w:rPr>
          <w:rFonts w:hint="cs"/>
          <w:b/>
          <w:bCs/>
          <w:rtl/>
        </w:rPr>
        <w:t>לו</w:t>
      </w:r>
      <w:r>
        <w:rPr>
          <w:rFonts w:hint="cs"/>
          <w:rtl/>
        </w:rPr>
        <w:t>ה. וכן – פרוזב</w:t>
      </w:r>
      <w:r>
        <w:rPr>
          <w:rFonts w:hint="cs"/>
          <w:b/>
          <w:bCs/>
          <w:rtl/>
        </w:rPr>
        <w:t>ול</w:t>
      </w:r>
      <w:r>
        <w:rPr>
          <w:rFonts w:hint="cs"/>
          <w:rtl/>
        </w:rPr>
        <w:t>.</w:t>
      </w:r>
    </w:p>
  </w:footnote>
  <w:footnote w:id="5252">
    <w:p w14:paraId="2B0F2442" w14:textId="77777777" w:rsidR="0013116F" w:rsidRDefault="0013116F" w:rsidP="001D49D4">
      <w:pPr>
        <w:pStyle w:val="a9"/>
        <w:rPr>
          <w:rtl/>
        </w:rPr>
      </w:pPr>
      <w:r>
        <w:rPr>
          <w:rStyle w:val="ab"/>
        </w:rPr>
        <w:footnoteRef/>
      </w:r>
      <w:r>
        <w:rPr>
          <w:rtl/>
        </w:rPr>
        <w:t xml:space="preserve"> גאונים </w:t>
      </w:r>
      <w:r>
        <w:rPr>
          <w:sz w:val="16"/>
          <w:szCs w:val="16"/>
          <w:rtl/>
        </w:rPr>
        <w:t>(כ"כ הרמב"ן בשמם [שם בסוף הדף])</w:t>
      </w:r>
      <w:r>
        <w:rPr>
          <w:rtl/>
        </w:rPr>
        <w:t xml:space="preserve"> רי"ף </w:t>
      </w:r>
      <w:r>
        <w:rPr>
          <w:sz w:val="16"/>
          <w:szCs w:val="16"/>
          <w:rtl/>
        </w:rPr>
        <w:t xml:space="preserve">(כ"כ הרמב"ן בשמו [שם בסוף הדף]) </w:t>
      </w:r>
      <w:r>
        <w:rPr>
          <w:rtl/>
        </w:rPr>
        <w:t xml:space="preserve">רש"י </w:t>
      </w:r>
      <w:r>
        <w:rPr>
          <w:sz w:val="16"/>
          <w:szCs w:val="16"/>
          <w:rtl/>
        </w:rPr>
        <w:t xml:space="preserve">(פ"ק דע"ז ט: ד"ה האי) </w:t>
      </w:r>
      <w:r>
        <w:rPr>
          <w:rtl/>
        </w:rPr>
        <w:t xml:space="preserve">בהעי"ט </w:t>
      </w:r>
      <w:r>
        <w:rPr>
          <w:sz w:val="16"/>
          <w:szCs w:val="16"/>
          <w:rtl/>
        </w:rPr>
        <w:t xml:space="preserve">(אות פ פרוזבול עה ע"ד) </w:t>
      </w:r>
      <w:r>
        <w:rPr>
          <w:rtl/>
        </w:rPr>
        <w:t xml:space="preserve">רמב"ם </w:t>
      </w:r>
      <w:r>
        <w:rPr>
          <w:sz w:val="16"/>
          <w:szCs w:val="16"/>
          <w:rtl/>
        </w:rPr>
        <w:t xml:space="preserve">(פ"ט מהל' שמטה ה"ג) </w:t>
      </w:r>
      <w:r>
        <w:rPr>
          <w:rtl/>
        </w:rPr>
        <w:t xml:space="preserve">רמב"ן </w:t>
      </w:r>
      <w:r>
        <w:rPr>
          <w:sz w:val="16"/>
          <w:szCs w:val="16"/>
          <w:rtl/>
        </w:rPr>
        <w:t>(גיטין לו. סוד"ה הא)</w:t>
      </w:r>
      <w:r>
        <w:rPr>
          <w:rtl/>
        </w:rPr>
        <w:t xml:space="preserve"> רשב"א</w:t>
      </w:r>
      <w:r>
        <w:rPr>
          <w:sz w:val="16"/>
          <w:szCs w:val="16"/>
          <w:rtl/>
        </w:rPr>
        <w:t xml:space="preserve"> (חי' לז: ד"ה ולענין פסק הלכה שו"ת ח"ג סי' לב) </w:t>
      </w:r>
      <w:r>
        <w:rPr>
          <w:rtl/>
        </w:rPr>
        <w:t xml:space="preserve">בעל התרומות </w:t>
      </w:r>
      <w:r>
        <w:rPr>
          <w:sz w:val="16"/>
          <w:szCs w:val="16"/>
          <w:rtl/>
        </w:rPr>
        <w:t xml:space="preserve">(שער מה שם סי' ד) </w:t>
      </w:r>
      <w:r>
        <w:rPr>
          <w:rtl/>
        </w:rPr>
        <w:t xml:space="preserve">טור </w:t>
      </w:r>
      <w:bookmarkStart w:id="727" w:name="_Hlk16621085"/>
      <w:r>
        <w:rPr>
          <w:rtl/>
        </w:rPr>
        <w:t xml:space="preserve">ור"ן </w:t>
      </w:r>
      <w:r>
        <w:rPr>
          <w:sz w:val="16"/>
          <w:szCs w:val="16"/>
          <w:rtl/>
        </w:rPr>
        <w:t>(פרק השולח כ. ד"ה ויש)</w:t>
      </w:r>
      <w:r>
        <w:rPr>
          <w:rtl/>
        </w:rPr>
        <w:t>.</w:t>
      </w:r>
      <w:bookmarkEnd w:id="727"/>
    </w:p>
  </w:footnote>
  <w:footnote w:id="5253">
    <w:p w14:paraId="7EEED45C" w14:textId="77777777" w:rsidR="0013116F" w:rsidRDefault="0013116F" w:rsidP="001D49D4">
      <w:pPr>
        <w:pStyle w:val="a9"/>
        <w:rPr>
          <w:rtl/>
        </w:rPr>
      </w:pPr>
      <w:r>
        <w:rPr>
          <w:rStyle w:val="ab"/>
        </w:rPr>
        <w:footnoteRef/>
      </w:r>
      <w:r>
        <w:rPr>
          <w:rtl/>
        </w:rPr>
        <w:t xml:space="preserve"> ודחה הר"ן את דבריו. וכתב הרשב"א (חי' לז: ד"ה ולענין פסק הלכה שו"ת ח"ג סי' לב) שזה היה דעת הראב"ד (השגות לרי"ף גיטין יט.) ודחה הוא ז"ל דבריו וכתב שגם הראב"ד חזר בו בפ"ק דע"ז (חי' ט: ד"ה כי זה) וגם בהעי"ט (אות פ פרוזבול עה ע"ד) כתב ראיות המקילים ודחה דבריהם, ב"י. </w:t>
      </w:r>
    </w:p>
  </w:footnote>
  <w:footnote w:id="5254">
    <w:p w14:paraId="2B55CC34" w14:textId="77777777" w:rsidR="0013116F" w:rsidRDefault="0013116F" w:rsidP="001D49D4">
      <w:pPr>
        <w:pStyle w:val="a9"/>
      </w:pPr>
      <w:r>
        <w:rPr>
          <w:rStyle w:val="ab"/>
        </w:rPr>
        <w:footnoteRef/>
      </w:r>
      <w:r>
        <w:rPr>
          <w:rtl/>
        </w:rPr>
        <w:t xml:space="preserve"> תשובה זו העתיקה הטור, וכתב הב"י דהרא"ש כתב עוד בזה בכלל ס"ד (סי' ד) ובסוף כלל פ"ו (סי' טו)- באמת כי מה שכתב איני סותר מנהגם וכו' דבר תמוה הוא איך היה מניחם לעבור עבירה. אבל מתוך דבריו בתשובה ההיא ניחא, שאצל מה שכתב 'הרי הוא מתנה על מה שכתוב בתורה' כתב ואיפשר שסמכו מתחלה על זה שרוצים לומר שיש בכלל תנאי זה על מנת שלא תשמיטנו בשביעית דהיינו נמי מתנה על מה שכתוב בתורה, אלא דקיי"ל בדבר שבממון תנאו קיים והיינו בדרכים שאינם דתיים שהוא מתנה שיגבה חובו בדבר שאינו דת דהיינו כשעבר עליו שביעית ובדבר שבממון תנאו קיים. אלא שאין לבי מסכים יפה לדבר זה כיון שאין מפורש שלא תשמיטנו בשביעית, הלכך מיום בואי לארץ הזאת איני דן שלא תשמט שביעית וגם איני סותר מנהגם אלא מניחם לדון כמנהגם, עכ"ל. והשתא אתי שפיר שמפני שהיה להם טענה לא היה סותר מנהגם אע"פ שלא היתה מקובלת בעיניו כל כך, ורבינו קיצר במקום שהיה לו להאריך. ובתשובה אחרת בכלל הנזכר (כלל עז סי' ב) כתב מצאתי כהתנצלות לעצמי על שמטת ידי שאיני מתעורר לבטל מנהגם, ואומר אני כיון שפשט המנהג שלא להשמיט והכל יודעים זה הוה ליה כאילו התנה המלוה על מנת שלא תשמיטנו בשביעית, עכ"ל. וכ"כ עוד בכלל ס"ד סימן ד'. ומהרי"ק בשורש צ"ב האריך לבקש טעם לאותם שנהגו שלא להשמיט כספים בזמן הזה, וגם בתרוה"ד סימן ד"ש כתב בזה. עכ"ל הב"י. וכתב הדרכ"מ (אות א) שגם במהרי"ל (ס' המנהגים, לקוטים פה ב) כתב טעם בזה. ולי נראה דסמכינן האידנא אמקילין דסבירא להו דאין שמטה נוהגת האידנא כמו שהביא הר"ן (גיטין כ. ד"ה ויש) דבריהם.</w:t>
      </w:r>
    </w:p>
  </w:footnote>
  <w:footnote w:id="5255">
    <w:p w14:paraId="1587A742" w14:textId="77777777" w:rsidR="0013116F" w:rsidRDefault="0013116F" w:rsidP="001D49D4">
      <w:pPr>
        <w:pStyle w:val="a9"/>
        <w:rPr>
          <w:rtl/>
        </w:rPr>
      </w:pPr>
      <w:r>
        <w:rPr>
          <w:rStyle w:val="ab"/>
        </w:rPr>
        <w:footnoteRef/>
      </w:r>
      <w:r>
        <w:rPr>
          <w:rtl/>
        </w:rPr>
        <w:t xml:space="preserve"> </w:t>
      </w:r>
      <w:r>
        <w:rPr>
          <w:rFonts w:hint="cs"/>
          <w:rtl/>
        </w:rPr>
        <w:t>יש גירסאות בטור שכתוב 'בשנת פ"ט'.</w:t>
      </w:r>
    </w:p>
  </w:footnote>
  <w:footnote w:id="5256">
    <w:p w14:paraId="10284394" w14:textId="77777777" w:rsidR="0013116F" w:rsidRDefault="0013116F" w:rsidP="001D49D4">
      <w:pPr>
        <w:pStyle w:val="a9"/>
      </w:pPr>
      <w:r>
        <w:rPr>
          <w:rStyle w:val="ab"/>
        </w:rPr>
        <w:footnoteRef/>
      </w:r>
      <w:r>
        <w:rPr>
          <w:rtl/>
        </w:rPr>
        <w:t xml:space="preserve"> וכתב הדרכ"מ (אות ב*) שלפי חישובו של הרמב"ם יוצא שבשנת פ"ט היתה שנת שמטה.</w:t>
      </w:r>
    </w:p>
  </w:footnote>
  <w:footnote w:id="5257">
    <w:p w14:paraId="73B54BDF" w14:textId="77777777" w:rsidR="0013116F" w:rsidRDefault="0013116F" w:rsidP="001D49D4">
      <w:pPr>
        <w:pStyle w:val="a9"/>
      </w:pPr>
      <w:r>
        <w:rPr>
          <w:rStyle w:val="ab"/>
        </w:rPr>
        <w:footnoteRef/>
      </w:r>
      <w:r>
        <w:rPr>
          <w:rtl/>
        </w:rPr>
        <w:t xml:space="preserve"> ודברי ב"י בזה סתומים מאוד... ולכן צריך לבאר דדעת הרמב"ם שבשנת פ"ט היתה שמטה כדמשמע מדבריו פ"י מהל' שמטה ומהר"ל בן חביב פירש דברי ר"י שגם כן הוא סבירא ליה כדעת הרמב"ם שבשנת פ"ט היתה שמטה ולא כמו שביאר הרא"ש והטור דברי ר"י ומעתה שר"י סובר כהרמב"ם שבשנת פ"ט היתה שמטה עולין כל החשבונות כהוגן. וכן הוא סברת רבנן סבוראי שהביא בהגמ"ר דגיטין (סי' תנט) דבשנת פ"ט היתה שמטה, דרכ"מ (אות ג).</w:t>
      </w:r>
    </w:p>
  </w:footnote>
  <w:footnote w:id="5258">
    <w:p w14:paraId="0D2C9251" w14:textId="77777777" w:rsidR="0013116F" w:rsidRDefault="0013116F" w:rsidP="001D49D4">
      <w:pPr>
        <w:pStyle w:val="a9"/>
        <w:rPr>
          <w:rtl/>
        </w:rPr>
      </w:pPr>
      <w:r>
        <w:rPr>
          <w:rStyle w:val="ab"/>
        </w:rPr>
        <w:footnoteRef/>
      </w:r>
      <w:r>
        <w:rPr>
          <w:rtl/>
        </w:rPr>
        <w:t xml:space="preserve"> וטעמם כדי שלא תשתכח תורת שביעית מישראל, אבל חרישה וזריעה לא אסרו בשביעית וביובל כדי שלא תשתכח, שלא היו רוב הציבור יכולין לעמוד בו ליאסר בעבודת קרקע שתי שנים שביעית ויובל, כ"כ התוס' (פרק השולח לו: ד"ה ותקון). דדוקא בזמן שהיה שמיטה ויובל נוהג מן התורה היתה מקויימת בהן הברכה לגדל בשנה שישית לשלש שנים. ולע"ד היה נראה טעם אחר, והוא, דכיון דקדושתן תלויה בארץ ולא שייכא בחו"ל, וכיון דלא שייכא לעשות בהו דבר בחו"ל, גם בא"י לא תיקנוהו, משא"כ שמיטת כספים שהיא חובת הגוף. ועיין בפירוש רש"י (שם לו. ד"ה אי אתה), סמ"ע (סק"ב).</w:t>
      </w:r>
    </w:p>
  </w:footnote>
  <w:footnote w:id="5259">
    <w:p w14:paraId="01F5DAE9" w14:textId="77777777" w:rsidR="0013116F" w:rsidRDefault="0013116F" w:rsidP="001D49D4">
      <w:pPr>
        <w:pStyle w:val="a9"/>
        <w:rPr>
          <w:rtl/>
        </w:rPr>
      </w:pPr>
      <w:r>
        <w:rPr>
          <w:rStyle w:val="ab"/>
        </w:rPr>
        <w:footnoteRef/>
      </w:r>
      <w:r>
        <w:rPr>
          <w:rtl/>
        </w:rPr>
        <w:t xml:space="preserve"> עיין בב"ח [סעיף ה'] מה שכתב בזה. וסיים, והנמנע ועושה על פי הדין תבוא עליו ברכה, ש"ך (סק"ב).</w:t>
      </w:r>
    </w:p>
  </w:footnote>
  <w:footnote w:id="5260">
    <w:p w14:paraId="4FDBD9EF" w14:textId="77777777" w:rsidR="0013116F" w:rsidRDefault="0013116F" w:rsidP="001D49D4">
      <w:pPr>
        <w:pStyle w:val="a9"/>
      </w:pPr>
      <w:r>
        <w:rPr>
          <w:rStyle w:val="ab"/>
        </w:rPr>
        <w:footnoteRef/>
      </w:r>
      <w:r>
        <w:rPr>
          <w:rtl/>
        </w:rPr>
        <w:t xml:space="preserve"> והיינו על פי חשבון הרמב"ם [פ"י משמיטה ה"ו], שעל פי חשבונו שנת פ"ט לאלף השישי היתה שנת שמיטה בימי בעל הטור, ובימי ר' לוי בן חביב שנת הרס"ד, ובימי הרב ב"י שנת ש"ו ושי"ג, ובימי הרב מור"ם ז"ל שנת שכ"ז, והכל עולה לחשבון הרמב"ם... ומחשבון זה תדע ממילא שבזמנינו היתה שנת השמיטה בשנת שס"ט, ותהיה עוד במהרה בימינו בשנת שע"ו, יהי רצון שנזכה במהרה בימינו לקיים המצוה כתיקונה בשמיטת כספים ושביתת הארץ לה', סמ"ע (סק"ה).</w:t>
      </w:r>
    </w:p>
  </w:footnote>
  <w:footnote w:id="5261">
    <w:p w14:paraId="404495FF" w14:textId="77777777" w:rsidR="0013116F" w:rsidRDefault="0013116F" w:rsidP="001D49D4">
      <w:pPr>
        <w:pStyle w:val="a9"/>
        <w:rPr>
          <w:rtl/>
        </w:rPr>
      </w:pPr>
      <w:r>
        <w:rPr>
          <w:rStyle w:val="ab"/>
        </w:rPr>
        <w:footnoteRef/>
      </w:r>
      <w:r>
        <w:rPr>
          <w:rtl/>
        </w:rPr>
        <w:t xml:space="preserve"> </w:t>
      </w:r>
      <w:r>
        <w:rPr>
          <w:rFonts w:hint="cs"/>
          <w:rtl/>
        </w:rPr>
        <w:t>סימן – לוה זוזים לפני ז' ללא זקיפת לטה</w:t>
      </w:r>
      <w:r>
        <w:rPr>
          <w:sz w:val="16"/>
          <w:szCs w:val="16"/>
          <w:rtl/>
        </w:rPr>
        <w:t xml:space="preserve"> (משטח)</w:t>
      </w:r>
      <w:r>
        <w:rPr>
          <w:rtl/>
        </w:rPr>
        <w:t>. וכן – לוה זוזים לפני ז' ללא זהירות.</w:t>
      </w:r>
    </w:p>
  </w:footnote>
  <w:footnote w:id="5262">
    <w:p w14:paraId="223B1EE5" w14:textId="77777777" w:rsidR="0013116F" w:rsidRDefault="0013116F" w:rsidP="001D49D4">
      <w:pPr>
        <w:pStyle w:val="a9"/>
      </w:pPr>
      <w:r>
        <w:rPr>
          <w:rStyle w:val="ab"/>
        </w:rPr>
        <w:footnoteRef/>
      </w:r>
      <w:r>
        <w:rPr>
          <w:rtl/>
        </w:rPr>
        <w:t xml:space="preserve"> פרק בתרא דשביעית מ"א.</w:t>
      </w:r>
    </w:p>
  </w:footnote>
  <w:footnote w:id="5263">
    <w:p w14:paraId="511D0710" w14:textId="77777777" w:rsidR="0013116F" w:rsidRDefault="0013116F" w:rsidP="001D49D4">
      <w:pPr>
        <w:pStyle w:val="a9"/>
      </w:pPr>
      <w:r>
        <w:rPr>
          <w:rStyle w:val="ab"/>
        </w:rPr>
        <w:footnoteRef/>
      </w:r>
      <w:r>
        <w:rPr>
          <w:rtl/>
        </w:rPr>
        <w:t xml:space="preserve"> כלומר דכיון ששעבד לו קרקעותיו כגבוי דמי וכמי שהקרקעות בחזקת המלוה הם וגבויות ממש ואין כאן חוב, ב"י.</w:t>
      </w:r>
    </w:p>
  </w:footnote>
  <w:footnote w:id="5264">
    <w:p w14:paraId="61A4E2C7" w14:textId="77777777" w:rsidR="0013116F" w:rsidRDefault="0013116F" w:rsidP="001D49D4">
      <w:pPr>
        <w:pStyle w:val="a9"/>
        <w:rPr>
          <w:rtl/>
        </w:rPr>
      </w:pPr>
      <w:r>
        <w:rPr>
          <w:rStyle w:val="ab"/>
        </w:rPr>
        <w:footnoteRef/>
      </w:r>
      <w:r>
        <w:rPr>
          <w:rtl/>
        </w:rPr>
        <w:t xml:space="preserve"> כלומר הראה בסימניה ובמצריה וייחדה לו לגבותו כגבוי דמי, ב"י.</w:t>
      </w:r>
    </w:p>
  </w:footnote>
  <w:footnote w:id="5265">
    <w:p w14:paraId="0D9CD0B3" w14:textId="77777777" w:rsidR="0013116F" w:rsidRDefault="0013116F" w:rsidP="001D49D4">
      <w:pPr>
        <w:pStyle w:val="a9"/>
        <w:rPr>
          <w:rtl/>
        </w:rPr>
      </w:pPr>
      <w:r>
        <w:rPr>
          <w:rStyle w:val="ab"/>
        </w:rPr>
        <w:footnoteRef/>
      </w:r>
      <w:r>
        <w:rPr>
          <w:rtl/>
        </w:rPr>
        <w:t xml:space="preserve"> כלומר אע"ג דלא דמי לגבוי כל כך כסיים, ב"י.</w:t>
      </w:r>
    </w:p>
  </w:footnote>
  <w:footnote w:id="5266">
    <w:p w14:paraId="53FF25CA" w14:textId="77777777" w:rsidR="0013116F" w:rsidRDefault="0013116F" w:rsidP="001D49D4">
      <w:pPr>
        <w:pStyle w:val="a9"/>
      </w:pPr>
      <w:r>
        <w:rPr>
          <w:rStyle w:val="ab"/>
        </w:rPr>
        <w:footnoteRef/>
      </w:r>
      <w:r>
        <w:rPr>
          <w:rtl/>
        </w:rPr>
        <w:t xml:space="preserve"> כלומר נראה בעינינו וכמדומים אנחנו כן ולא שמענו מרבותינו נעשה מעשה להוציא ממונו בידים... הרי שאפילו רבי יוחנן פסק דמשמט, ב"י.</w:t>
      </w:r>
    </w:p>
  </w:footnote>
  <w:footnote w:id="5267">
    <w:p w14:paraId="7E598A26" w14:textId="77777777" w:rsidR="0013116F" w:rsidRDefault="0013116F" w:rsidP="001D49D4">
      <w:pPr>
        <w:pStyle w:val="a9"/>
        <w:rPr>
          <w:rtl/>
        </w:rPr>
      </w:pPr>
      <w:r>
        <w:rPr>
          <w:rStyle w:val="ab"/>
        </w:rPr>
        <w:footnoteRef/>
      </w:r>
      <w:r>
        <w:rPr>
          <w:rtl/>
        </w:rPr>
        <w:t xml:space="preserve"> סוטה (כה.).</w:t>
      </w:r>
    </w:p>
  </w:footnote>
  <w:footnote w:id="5268">
    <w:p w14:paraId="4C15D6DB" w14:textId="77777777" w:rsidR="0013116F" w:rsidRDefault="0013116F" w:rsidP="001D49D4">
      <w:pPr>
        <w:pStyle w:val="a9"/>
      </w:pPr>
      <w:r>
        <w:rPr>
          <w:rStyle w:val="ab"/>
        </w:rPr>
        <w:footnoteRef/>
      </w:r>
      <w:r>
        <w:rPr>
          <w:rtl/>
        </w:rPr>
        <w:t xml:space="preserve"> </w:t>
      </w:r>
      <w:r>
        <w:rPr>
          <w:rFonts w:hint="cs"/>
          <w:rtl/>
        </w:rPr>
        <w:t>סימן – סוף ז' סלקי זוזיו</w:t>
      </w:r>
      <w:r>
        <w:rPr>
          <w:sz w:val="16"/>
          <w:szCs w:val="16"/>
          <w:rtl/>
        </w:rPr>
        <w:t xml:space="preserve"> {אף במקום ש-}</w:t>
      </w:r>
      <w:r>
        <w:rPr>
          <w:rtl/>
        </w:rPr>
        <w:t xml:space="preserve"> מסלקי בזוזי.</w:t>
      </w:r>
    </w:p>
  </w:footnote>
  <w:footnote w:id="5269">
    <w:p w14:paraId="7CE05D8E" w14:textId="77777777" w:rsidR="0013116F" w:rsidRDefault="0013116F" w:rsidP="001D49D4">
      <w:pPr>
        <w:pStyle w:val="a9"/>
        <w:rPr>
          <w:rtl/>
        </w:rPr>
      </w:pPr>
      <w:r>
        <w:rPr>
          <w:rStyle w:val="ab"/>
        </w:rPr>
        <w:footnoteRef/>
      </w:r>
      <w:r>
        <w:rPr>
          <w:rtl/>
        </w:rPr>
        <w:t xml:space="preserve"> </w:t>
      </w:r>
      <w:r>
        <w:rPr>
          <w:rFonts w:hint="cs"/>
          <w:rtl/>
        </w:rPr>
        <w:t xml:space="preserve">משכן לו שדה לאכול ממנה פירות, ומנכה המלוה מה שאוכל מהחוב. </w:t>
      </w:r>
    </w:p>
  </w:footnote>
  <w:footnote w:id="5270">
    <w:p w14:paraId="46721429" w14:textId="77777777" w:rsidR="0013116F" w:rsidRDefault="0013116F" w:rsidP="001D49D4">
      <w:pPr>
        <w:pStyle w:val="a9"/>
      </w:pPr>
      <w:r>
        <w:rPr>
          <w:rStyle w:val="ab"/>
        </w:rPr>
        <w:footnoteRef/>
      </w:r>
      <w:r>
        <w:rPr>
          <w:rtl/>
        </w:rPr>
        <w:t xml:space="preserve"> במקום שנהגו להלוות סתם, ומלוה אוכל פירות, ולא פסק עמו בנכייתא כדלקמן, ונהגו לסלק את המלוה ממנה בכל עת שתשיג יד הלוה למעות, רש"י (סז. ד"ה באתרא דמסלקי).</w:t>
      </w:r>
    </w:p>
  </w:footnote>
  <w:footnote w:id="5271">
    <w:p w14:paraId="217C413D" w14:textId="77777777" w:rsidR="0013116F" w:rsidRDefault="0013116F" w:rsidP="001D49D4">
      <w:pPr>
        <w:pStyle w:val="a9"/>
      </w:pPr>
      <w:r>
        <w:rPr>
          <w:rStyle w:val="ab"/>
        </w:rPr>
        <w:footnoteRef/>
      </w:r>
      <w:r>
        <w:rPr>
          <w:rtl/>
        </w:rPr>
        <w:t xml:space="preserve"> כשאר מלוה בשטר שנכסי לוה משועבדין להן ושביעית משמטתן, דאין זה מלוה על משכון שאין שביעית משמטתו, דהתם במשכון של מטלטלין קיימינן, וטעמא משום דבעל חוב קונה משכון שבידו, דילפינן</w:t>
      </w:r>
      <w:r>
        <w:rPr>
          <w:sz w:val="16"/>
          <w:szCs w:val="16"/>
          <w:rtl/>
        </w:rPr>
        <w:t xml:space="preserve"> (ב"מ פב.) </w:t>
      </w:r>
      <w:r>
        <w:rPr>
          <w:rtl/>
        </w:rPr>
        <w:t>מולך תהיה צדקה, והו"ל כגבוי, רש"י.</w:t>
      </w:r>
    </w:p>
  </w:footnote>
  <w:footnote w:id="5272">
    <w:p w14:paraId="36DF7A8E" w14:textId="77777777" w:rsidR="0013116F" w:rsidRDefault="0013116F" w:rsidP="001D49D4">
      <w:pPr>
        <w:pStyle w:val="a9"/>
        <w:rPr>
          <w:rtl/>
        </w:rPr>
      </w:pPr>
      <w:r>
        <w:rPr>
          <w:rStyle w:val="ab"/>
        </w:rPr>
        <w:footnoteRef/>
      </w:r>
      <w:r>
        <w:rPr>
          <w:rtl/>
        </w:rPr>
        <w:t xml:space="preserve"> ותמהני עליו למה כתב כן שהרי אין כן דעת הרמב"ם רמב"ן ורשב"א וגם לא דעת הרא"ש </w:t>
      </w:r>
      <w:r>
        <w:rPr>
          <w:sz w:val="16"/>
          <w:szCs w:val="16"/>
          <w:rtl/>
        </w:rPr>
        <w:t>(דא"כ למה צווח על שהיו גובים שטרות שעברה עליהם שביעית שהרי סתם שטרות כתוב בהם אחריות)</w:t>
      </w:r>
      <w:r>
        <w:rPr>
          <w:rtl/>
        </w:rPr>
        <w:t xml:space="preserve">, ב"י </w:t>
      </w:r>
      <w:r>
        <w:rPr>
          <w:sz w:val="16"/>
          <w:szCs w:val="16"/>
          <w:rtl/>
        </w:rPr>
        <w:t>(בבדה"ב)</w:t>
      </w:r>
      <w:r>
        <w:rPr>
          <w:rtl/>
        </w:rPr>
        <w:t>. ועוד</w:t>
      </w:r>
      <w:r>
        <w:rPr>
          <w:sz w:val="16"/>
          <w:szCs w:val="16"/>
          <w:rtl/>
        </w:rPr>
        <w:t xml:space="preserve"> </w:t>
      </w:r>
      <w:r>
        <w:rPr>
          <w:rtl/>
        </w:rPr>
        <w:t xml:space="preserve">שבגמ' </w:t>
      </w:r>
      <w:r>
        <w:rPr>
          <w:sz w:val="16"/>
          <w:szCs w:val="16"/>
          <w:rtl/>
        </w:rPr>
        <w:t>(גיטין לז.)</w:t>
      </w:r>
      <w:r>
        <w:rPr>
          <w:rtl/>
        </w:rPr>
        <w:t xml:space="preserve"> משמע בהדיא דלא כוותיה, דרכ"מ </w:t>
      </w:r>
      <w:r>
        <w:rPr>
          <w:sz w:val="16"/>
          <w:szCs w:val="16"/>
          <w:rtl/>
        </w:rPr>
        <w:t>(אות א*)</w:t>
      </w:r>
      <w:r>
        <w:rPr>
          <w:rtl/>
        </w:rPr>
        <w:t>.</w:t>
      </w:r>
    </w:p>
  </w:footnote>
  <w:footnote w:id="5273">
    <w:p w14:paraId="366D78AC" w14:textId="77777777" w:rsidR="0013116F" w:rsidRDefault="0013116F" w:rsidP="001D49D4">
      <w:pPr>
        <w:pStyle w:val="a9"/>
      </w:pPr>
      <w:r>
        <w:rPr>
          <w:rStyle w:val="ab"/>
        </w:rPr>
        <w:footnoteRef/>
      </w:r>
      <w:r>
        <w:rPr>
          <w:rtl/>
        </w:rPr>
        <w:t xml:space="preserve"> דהא קסבר האי תנא בכל שטר שיש בו אחריות נכסים שאינו משמט ואידחי ליה, ואמרינן באיזהו נשך (ב"מ סז:) האי משכנתא באתרא דמסלקי שביעית משמטתה - וכל שכן סיים. ואפשר דמוקי לה באפותיקי מפורש, ולאו מילתא היא דאפילו הכי משמט כיון דיכול לסלקו בכל שנה שירצה, ר"ן בשם הרמב"ן.</w:t>
      </w:r>
    </w:p>
  </w:footnote>
  <w:footnote w:id="5274">
    <w:p w14:paraId="20BB2538" w14:textId="77777777" w:rsidR="0013116F" w:rsidRDefault="0013116F" w:rsidP="001D49D4">
      <w:pPr>
        <w:pStyle w:val="a9"/>
        <w:rPr>
          <w:rtl/>
        </w:rPr>
      </w:pPr>
      <w:r>
        <w:rPr>
          <w:rStyle w:val="ab"/>
        </w:rPr>
        <w:footnoteRef/>
      </w:r>
      <w:r>
        <w:rPr>
          <w:rtl/>
        </w:rPr>
        <w:t xml:space="preserve"> הביאו הר"ן (שם) וכתב וז"ל- ומשמע לי דסבירא ליה דלא דחינן אלא מאי דמדחי בגמרא בהדיא אבל סיים לו שדה כיון דלא מידחי לא דחינן ליה </w:t>
      </w:r>
      <w:r>
        <w:rPr>
          <w:sz w:val="16"/>
          <w:szCs w:val="16"/>
          <w:rtl/>
        </w:rPr>
        <w:t>(אע"ג דההוא תנא בכל אחריות נכסים נמי הכי ס"ל ודילמא לטעמיה אזיל. והא דמשכנתא לאו ראיה היא שהרי לא יחדה לפרעון, ואע"ג דבאפותיקי נמי מצי לסלוקי אפילו הכי כיון דרבי יוחנן ור"ל סברי דאפילו באחריות סתם אע"ג דודאי מצי לסלוקי אפ"ה אינו משמט ותניא כוותייהו הבו דלא לוסיף עלה בסיים לו שדה כיון דלא מדחיא בהדיא בגמ')</w:t>
      </w:r>
      <w:r>
        <w:rPr>
          <w:rtl/>
        </w:rPr>
        <w:t>. עכ"ל הר"ן. וכתב בעל התרומות (שער מה סי' י) שהרמב"ם פסק כברייתא דקתני סיים לו בה השדה בהלואתו אינו משמט ומסתברא דמיירי באתרא דלא מסלקי, ב"י.</w:t>
      </w:r>
    </w:p>
  </w:footnote>
  <w:footnote w:id="5275">
    <w:p w14:paraId="468F9ACD" w14:textId="77777777" w:rsidR="0013116F" w:rsidRDefault="0013116F" w:rsidP="001D49D4">
      <w:pPr>
        <w:pStyle w:val="a9"/>
      </w:pPr>
      <w:r>
        <w:rPr>
          <w:rStyle w:val="ab"/>
        </w:rPr>
        <w:footnoteRef/>
      </w:r>
      <w:r>
        <w:rPr>
          <w:rtl/>
        </w:rPr>
        <w:t xml:space="preserve"> ילפינן לה [ירושלמי שביעית פ"י סוף ה"א] מדכתיב [דברים טו ג] ואשר יהיה לך את אחיך כו', והיינו הלואה שלך שהיא ביד אחיך תשמט ידך, ולא כשיש משכון בידך מאחיך. ואפילו כשהוא ביד אחיו ואינו בידו בתורת הלואה כי אם בתורת פקדון, אינו משמט, דכל מקום שהוא ברשותו דמריה הוא, ולא מיקרי את אחיך, וגם אינו צריך לנוגשו, סמ"ע (סק"ו).</w:t>
      </w:r>
    </w:p>
  </w:footnote>
  <w:footnote w:id="5276">
    <w:p w14:paraId="0E3292ED" w14:textId="77777777" w:rsidR="0013116F" w:rsidRDefault="0013116F" w:rsidP="001D49D4">
      <w:pPr>
        <w:pStyle w:val="a9"/>
      </w:pPr>
      <w:r>
        <w:rPr>
          <w:rStyle w:val="ab"/>
        </w:rPr>
        <w:footnoteRef/>
      </w:r>
      <w:r>
        <w:rPr>
          <w:rtl/>
        </w:rPr>
        <w:t xml:space="preserve"> דמ"מ הרי הוא מחוסר גוביינא, סמ"ע (סק"ז).</w:t>
      </w:r>
    </w:p>
  </w:footnote>
  <w:footnote w:id="5277">
    <w:p w14:paraId="453B4984" w14:textId="77777777" w:rsidR="0013116F" w:rsidRDefault="0013116F" w:rsidP="001D49D4">
      <w:pPr>
        <w:pStyle w:val="a9"/>
      </w:pPr>
      <w:r>
        <w:rPr>
          <w:rStyle w:val="ab"/>
        </w:rPr>
        <w:footnoteRef/>
      </w:r>
      <w:r>
        <w:rPr>
          <w:rtl/>
        </w:rPr>
        <w:t xml:space="preserve"> פירוש, כשמלוה לחבירו על שדהו והמלוה אוכל פירות ממנו בנכייתא, והיינו שמנכה לו דבר מועט בכל שנה מחובו, וכמבואר ביו"ד סימן קע"ב בראשו ובסופו, ע"ש, סמ"ע (סק"ח).</w:t>
      </w:r>
    </w:p>
  </w:footnote>
  <w:footnote w:id="5278">
    <w:p w14:paraId="0E80285E" w14:textId="77777777" w:rsidR="0013116F" w:rsidRDefault="0013116F" w:rsidP="001D49D4">
      <w:pPr>
        <w:pStyle w:val="a9"/>
        <w:rPr>
          <w:rtl/>
        </w:rPr>
      </w:pPr>
      <w:r>
        <w:rPr>
          <w:rStyle w:val="ab"/>
        </w:rPr>
        <w:footnoteRef/>
      </w:r>
      <w:r>
        <w:rPr>
          <w:rtl/>
        </w:rPr>
        <w:t xml:space="preserve"> להגמרא (שם) הוא סתם, האי משכנתא באתרא דמסלקי, שביעית משמטתו, ובאתרא דאינו יכול לסלקו, אינו משמט </w:t>
      </w:r>
      <w:r>
        <w:rPr>
          <w:sz w:val="16"/>
          <w:szCs w:val="16"/>
          <w:rtl/>
        </w:rPr>
        <w:t>(וכתבו ג"כ הטור סתמא ביו"ד ס"ס קע"ב)</w:t>
      </w:r>
      <w:r>
        <w:rPr>
          <w:rtl/>
        </w:rPr>
        <w:t>. והמחבר דכתב כאן ברישא באתרא דמסלקין בכל עת, ואח"כ כתב באתר דלא יכול לסלקו עד סוף זמנו, הדיוקים קשיין אהדדי... לכך נראה דמשום דגמרא הנ"ל סתם וקתני דמסלקי ודלא מסלקי, נקט לחומרא וכתב דבאתרא דמסלקי בכל עת פשיטא דמשמטי, ובאתרא דלא מסלקי דקאמר בגמרא דאינו משמט, אין בידינו להקל ולומר דאינו משמט כי אם כשאינו יכול לסלקו עד סוף זמנו, סמ"ע (סק"ט).</w:t>
      </w:r>
    </w:p>
  </w:footnote>
  <w:footnote w:id="5279">
    <w:p w14:paraId="659968B3" w14:textId="77777777" w:rsidR="0013116F" w:rsidRDefault="0013116F" w:rsidP="001D49D4">
      <w:pPr>
        <w:pStyle w:val="a9"/>
        <w:rPr>
          <w:rtl/>
        </w:rPr>
      </w:pPr>
      <w:r>
        <w:rPr>
          <w:rStyle w:val="ab"/>
        </w:rPr>
        <w:footnoteRef/>
      </w:r>
      <w:r>
        <w:rPr>
          <w:rtl/>
        </w:rPr>
        <w:t xml:space="preserve"> פירוש, שהגביל לו מיצרי השדה ואמר לו מכאן תגבה חובך, דאז ה"ל מיוחד יותר לחובו וכגבוי בידו דמי..., סמ"ע (סק"י).</w:t>
      </w:r>
    </w:p>
  </w:footnote>
  <w:footnote w:id="5280">
    <w:p w14:paraId="495290F7" w14:textId="77777777" w:rsidR="0013116F" w:rsidRDefault="0013116F" w:rsidP="001D49D4">
      <w:pPr>
        <w:pStyle w:val="a9"/>
        <w:rPr>
          <w:rtl/>
        </w:rPr>
      </w:pPr>
      <w:r>
        <w:rPr>
          <w:rStyle w:val="ab"/>
        </w:rPr>
        <w:footnoteRef/>
      </w:r>
      <w:r>
        <w:rPr>
          <w:rtl/>
        </w:rPr>
        <w:t xml:space="preserve"> פירוש, הנותן סחורה לחבירו למחצית שכר ונותן לו שכר עמלו, דקי"ל דפלגא הוי דין פקדון, ואחריות הפסד ושכר הוא על הנותן, ופלגא שניה ה"ל דין הלואה דאחריות הפסד ושכר על המקבל, וכמבואר ביו"ד סימן קע"ז [סעיף ב'], סמ"ע (סקי"א).</w:t>
      </w:r>
      <w:r>
        <w:rPr>
          <w:rtl/>
        </w:rPr>
        <w:tab/>
      </w:r>
    </w:p>
  </w:footnote>
  <w:footnote w:id="5281">
    <w:p w14:paraId="7F9029D2" w14:textId="77777777" w:rsidR="0013116F" w:rsidRDefault="0013116F" w:rsidP="001D49D4">
      <w:pPr>
        <w:pStyle w:val="a9"/>
        <w:rPr>
          <w:rtl/>
        </w:rPr>
      </w:pPr>
      <w:r>
        <w:rPr>
          <w:rStyle w:val="ab"/>
        </w:rPr>
        <w:footnoteRef/>
      </w:r>
      <w:r>
        <w:rPr>
          <w:rtl/>
        </w:rPr>
        <w:t xml:space="preserve"> ואפשר דלא פליג אהר"ם דשאני הכא ששניהם היו מתעסקים בשותפות, ב"י.</w:t>
      </w:r>
    </w:p>
  </w:footnote>
  <w:footnote w:id="5282">
    <w:p w14:paraId="58A1522D" w14:textId="77777777" w:rsidR="0013116F" w:rsidRDefault="0013116F" w:rsidP="001D49D4">
      <w:pPr>
        <w:pStyle w:val="a9"/>
        <w:rPr>
          <w:rtl/>
        </w:rPr>
      </w:pPr>
      <w:r>
        <w:rPr>
          <w:rStyle w:val="ab"/>
        </w:rPr>
        <w:footnoteRef/>
      </w:r>
      <w:r>
        <w:rPr>
          <w:rtl/>
        </w:rPr>
        <w:t xml:space="preserve"> </w:t>
      </w:r>
      <w:r>
        <w:rPr>
          <w:rFonts w:hint="cs"/>
          <w:rtl/>
        </w:rPr>
        <w:t>סימן – משמטת השבועה. וכן – מומתא הלכה/הושמטה.</w:t>
      </w:r>
    </w:p>
  </w:footnote>
  <w:footnote w:id="5283">
    <w:p w14:paraId="3FDA6FF9" w14:textId="77777777" w:rsidR="0013116F" w:rsidRDefault="0013116F" w:rsidP="001D49D4">
      <w:pPr>
        <w:pStyle w:val="a9"/>
      </w:pPr>
      <w:r>
        <w:rPr>
          <w:rStyle w:val="ab"/>
        </w:rPr>
        <w:footnoteRef/>
      </w:r>
      <w:r>
        <w:rPr>
          <w:rtl/>
        </w:rPr>
        <w:t xml:space="preserve"> שנאמר </w:t>
      </w:r>
      <w:r>
        <w:rPr>
          <w:sz w:val="16"/>
          <w:szCs w:val="16"/>
          <w:rtl/>
        </w:rPr>
        <w:t xml:space="preserve">(דברים טו ב) </w:t>
      </w:r>
      <w:r>
        <w:rPr>
          <w:rtl/>
        </w:rPr>
        <w:t xml:space="preserve">וזה דבר השמטה </w:t>
      </w:r>
      <w:r>
        <w:rPr>
          <w:sz w:val="16"/>
          <w:szCs w:val="16"/>
          <w:rtl/>
        </w:rPr>
        <w:t>(כך נראה שהייתה גירסת הרא"ש בתוספתא)</w:t>
      </w:r>
      <w:r>
        <w:rPr>
          <w:rtl/>
        </w:rPr>
        <w:t>.</w:t>
      </w:r>
    </w:p>
  </w:footnote>
  <w:footnote w:id="5284">
    <w:p w14:paraId="3A068550" w14:textId="77777777" w:rsidR="0013116F" w:rsidRDefault="0013116F" w:rsidP="001D49D4">
      <w:pPr>
        <w:pStyle w:val="a9"/>
        <w:rPr>
          <w:rtl/>
        </w:rPr>
      </w:pPr>
      <w:r>
        <w:rPr>
          <w:rStyle w:val="ab"/>
        </w:rPr>
        <w:footnoteRef/>
      </w:r>
      <w:r>
        <w:rPr>
          <w:rtl/>
        </w:rPr>
        <w:t xml:space="preserve"> החוב שהאונס והמפתה והמוציא שם רע חייבים, דינם כהלוואה, ואינם כסתם הלוואה שהרי התורה חייבה אותם לשלם, וכיון שכך יש לחוב הזה תוקף של מעשה בית דין ולכן השביעית אינה משמטת, ידיד נפש.</w:t>
      </w:r>
    </w:p>
  </w:footnote>
  <w:footnote w:id="5285">
    <w:p w14:paraId="27353072" w14:textId="77777777" w:rsidR="0013116F" w:rsidRDefault="0013116F" w:rsidP="001D49D4">
      <w:pPr>
        <w:pStyle w:val="a9"/>
        <w:rPr>
          <w:rtl/>
        </w:rPr>
      </w:pPr>
      <w:r>
        <w:rPr>
          <w:rStyle w:val="ab"/>
        </w:rPr>
        <w:footnoteRef/>
      </w:r>
      <w:r>
        <w:rPr>
          <w:rtl/>
        </w:rPr>
        <w:t xml:space="preserve"> פסק דין שבית דין גזרו על הנתבע לשלם לתובע, ואף הם לא נשמטים בשביעית, ידיד נפש.</w:t>
      </w:r>
    </w:p>
  </w:footnote>
  <w:footnote w:id="5286">
    <w:p w14:paraId="3E904BD9" w14:textId="77777777" w:rsidR="0013116F" w:rsidRDefault="0013116F" w:rsidP="001D49D4">
      <w:pPr>
        <w:pStyle w:val="a9"/>
        <w:rPr>
          <w:rtl/>
        </w:rPr>
      </w:pPr>
      <w:r>
        <w:rPr>
          <w:rStyle w:val="ab"/>
        </w:rPr>
        <w:footnoteRef/>
      </w:r>
      <w:r>
        <w:rPr>
          <w:rtl/>
        </w:rPr>
        <w:t xml:space="preserve"> אם הלווה כפר בכל ולאחר שעברה שנת השמיטה התברר ששיקר, ידיד נפש.</w:t>
      </w:r>
    </w:p>
  </w:footnote>
  <w:footnote w:id="5287">
    <w:p w14:paraId="40BA93C8" w14:textId="77777777" w:rsidR="0013116F" w:rsidRDefault="0013116F" w:rsidP="001D49D4">
      <w:pPr>
        <w:pStyle w:val="a9"/>
      </w:pPr>
      <w:r>
        <w:rPr>
          <w:rStyle w:val="ab"/>
        </w:rPr>
        <w:footnoteRef/>
      </w:r>
      <w:r>
        <w:rPr>
          <w:rtl/>
        </w:rPr>
        <w:t xml:space="preserve"> כי בשנה השביעית לא היה חוב, כי רק אחרי השביעית הביא המלווה ראיה לטענתו, ידיד נפש.</w:t>
      </w:r>
    </w:p>
  </w:footnote>
  <w:footnote w:id="5288">
    <w:p w14:paraId="50C4323A" w14:textId="77777777" w:rsidR="0013116F" w:rsidRDefault="0013116F" w:rsidP="001D49D4">
      <w:pPr>
        <w:pStyle w:val="a9"/>
        <w:rPr>
          <w:rtl/>
        </w:rPr>
      </w:pPr>
      <w:r>
        <w:rPr>
          <w:rStyle w:val="ab"/>
        </w:rPr>
        <w:footnoteRef/>
      </w:r>
      <w:r>
        <w:rPr>
          <w:rtl/>
        </w:rPr>
        <w:t xml:space="preserve"> אם הלווה כפר בכל, ובשנה השביעית חזר הלווה והודה, או שהביא המלווה ראיה לדבריו ונדחו דברי הלווה, גם בזה פשיטא שהשביעית משמטת כמו חוב רגיל, ידיד נפש.</w:t>
      </w:r>
    </w:p>
  </w:footnote>
  <w:footnote w:id="5289">
    <w:p w14:paraId="11C7BB5B" w14:textId="77777777" w:rsidR="0013116F" w:rsidRDefault="0013116F" w:rsidP="001D49D4">
      <w:pPr>
        <w:pStyle w:val="a9"/>
      </w:pPr>
      <w:r>
        <w:rPr>
          <w:rStyle w:val="ab"/>
        </w:rPr>
        <w:footnoteRef/>
      </w:r>
      <w:r>
        <w:rPr>
          <w:rtl/>
        </w:rPr>
        <w:t xml:space="preserve"> וז"ל- השביעית משמטת את השבועה שנאמר לא יגוש מ"מ לא לשלם ולא להשבע. בד"א בשבועת הדיינין וכל כיוצא בה מדברים שאם יודה בהן שביעית משמטתן, אבל שבועת השומרין והשותפין וכיוצ"ב משבועות שאם יודה ישלם ה"ז ישבע אחר השמטה. </w:t>
      </w:r>
    </w:p>
  </w:footnote>
  <w:footnote w:id="5290">
    <w:p w14:paraId="366B5532" w14:textId="77777777" w:rsidR="0013116F" w:rsidRDefault="0013116F" w:rsidP="001D49D4">
      <w:pPr>
        <w:pStyle w:val="a9"/>
        <w:rPr>
          <w:rtl/>
        </w:rPr>
      </w:pPr>
      <w:r>
        <w:rPr>
          <w:rStyle w:val="ab"/>
        </w:rPr>
        <w:footnoteRef/>
      </w:r>
      <w:r>
        <w:rPr>
          <w:rtl/>
        </w:rPr>
        <w:t xml:space="preserve"> כיון שאינו מלוה, ב"י (בבדה"ב).</w:t>
      </w:r>
    </w:p>
  </w:footnote>
  <w:footnote w:id="5291">
    <w:p w14:paraId="4EB02F69" w14:textId="77777777" w:rsidR="0013116F" w:rsidRDefault="0013116F" w:rsidP="001D49D4">
      <w:pPr>
        <w:pStyle w:val="a9"/>
        <w:rPr>
          <w:rtl/>
        </w:rPr>
      </w:pPr>
      <w:r>
        <w:rPr>
          <w:rStyle w:val="ab"/>
        </w:rPr>
        <w:footnoteRef/>
      </w:r>
      <w:r>
        <w:rPr>
          <w:rtl/>
        </w:rPr>
        <w:t xml:space="preserve"> וכתב הב"י (בבדה"ב) שדברי רבינו </w:t>
      </w:r>
      <w:r>
        <w:rPr>
          <w:sz w:val="16"/>
          <w:szCs w:val="16"/>
          <w:rtl/>
        </w:rPr>
        <w:t xml:space="preserve">{הטור} </w:t>
      </w:r>
      <w:r>
        <w:rPr>
          <w:rtl/>
        </w:rPr>
        <w:t>מבוארים על פי פירוש זה</w:t>
      </w:r>
      <w:r>
        <w:rPr>
          <w:sz w:val="16"/>
          <w:szCs w:val="16"/>
          <w:rtl/>
        </w:rPr>
        <w:t xml:space="preserve"> {היינו ע"פ דברי הירושלמי שהביא הראב"ד}</w:t>
      </w:r>
      <w:r>
        <w:rPr>
          <w:rtl/>
        </w:rPr>
        <w:t xml:space="preserve"> דשומרים ושותפין אם היה מודה לו קודם שביעית לא היתה שביעית משמטתו כיון שאינו מלוה, אבל להרמב"ם שכתב 'אבל שבועת השומרין והשותפין וכיוצא בהם משבועות שאם יודה ישלם הרי זה ישבע אחר השמטה' קשה, שהרי שבועת הדיינים אם יודה ישלם, וצ"ל דהכי קאמר - אבל שבועת השומרין והשותפין וכיוצא בהם משבועות שאם יודה ואח"כ יעבור עליו שביעית ישלם ולא תהא משמטתו שביעית מפני שאינם דרך מלוה ואין שביעית משמטת אלא מלוה - הרי זה ישבע אחר השמטה. ויש לגמגם על זה, דמהירושלמי משמע דרבנן פליגי ארבי מאיר, ולמה פסק כיחידאה, ואפשר דטעמא משום דסתם לן תנא כוותיה, אי נמי י"ל דליכא מאן דפליג ארבי מאיר דהא מקרא מלא הוא אלא משום דאיתמר משמיה בי מדרשא קבעוה בשמו. ועוד אכתוב בזה אצל הקפת החנות (סי"ט).</w:t>
      </w:r>
    </w:p>
  </w:footnote>
  <w:footnote w:id="5292">
    <w:p w14:paraId="5817BD96" w14:textId="77777777" w:rsidR="0013116F" w:rsidRDefault="0013116F" w:rsidP="001D49D4">
      <w:pPr>
        <w:pStyle w:val="a9"/>
        <w:rPr>
          <w:rtl/>
        </w:rPr>
      </w:pPr>
      <w:r>
        <w:rPr>
          <w:rStyle w:val="ab"/>
        </w:rPr>
        <w:footnoteRef/>
      </w:r>
      <w:r>
        <w:rPr>
          <w:rtl/>
        </w:rPr>
        <w:t xml:space="preserve"> החוב שהאונס והמפתה והמוציא שם רע חייבים, דינם כהלוואה, ואינם כסתם הלוואה שהרי התורה חייבה אותם לשלם, וכיון שכך יש לחוב הזה תוקף של מעשה בית דין ולכן השביעית אינה משמטת, ידיד נפש.</w:t>
      </w:r>
    </w:p>
  </w:footnote>
  <w:footnote w:id="5293">
    <w:p w14:paraId="21D119A8" w14:textId="77777777" w:rsidR="0013116F" w:rsidRDefault="0013116F" w:rsidP="001D49D4">
      <w:pPr>
        <w:pStyle w:val="a9"/>
        <w:rPr>
          <w:rtl/>
        </w:rPr>
      </w:pPr>
      <w:r>
        <w:rPr>
          <w:rStyle w:val="ab"/>
        </w:rPr>
        <w:footnoteRef/>
      </w:r>
      <w:r>
        <w:rPr>
          <w:rtl/>
        </w:rPr>
        <w:t xml:space="preserve"> פסק דין שבית דין גזרו על הנתבע לשלם לתובע, ואף הם לא נשמטים בשביעית, ידיד נפש.</w:t>
      </w:r>
    </w:p>
  </w:footnote>
  <w:footnote w:id="5294">
    <w:p w14:paraId="6DD206AA" w14:textId="77777777" w:rsidR="0013116F" w:rsidRDefault="0013116F" w:rsidP="001D49D4">
      <w:pPr>
        <w:pStyle w:val="a9"/>
        <w:rPr>
          <w:rtl/>
        </w:rPr>
      </w:pPr>
      <w:r>
        <w:rPr>
          <w:rStyle w:val="ab"/>
        </w:rPr>
        <w:footnoteRef/>
      </w:r>
      <w:r>
        <w:rPr>
          <w:rtl/>
        </w:rPr>
        <w:t xml:space="preserve"> אם הלווה כפר בכל ולאחר שעברה שנת השמיטה התברר ששיקר, ידיד נפש.</w:t>
      </w:r>
    </w:p>
  </w:footnote>
  <w:footnote w:id="5295">
    <w:p w14:paraId="2D569049" w14:textId="77777777" w:rsidR="0013116F" w:rsidRDefault="0013116F" w:rsidP="001D49D4">
      <w:pPr>
        <w:pStyle w:val="a9"/>
      </w:pPr>
      <w:r>
        <w:rPr>
          <w:rStyle w:val="ab"/>
        </w:rPr>
        <w:footnoteRef/>
      </w:r>
      <w:r>
        <w:rPr>
          <w:rtl/>
        </w:rPr>
        <w:t xml:space="preserve"> כי בשנה השביעית לא היה חוב, כי רק אחרי השביעית הביא המלווה ראיה לטענתו, ידיד נפש.</w:t>
      </w:r>
    </w:p>
  </w:footnote>
  <w:footnote w:id="5296">
    <w:p w14:paraId="6CEA02FA" w14:textId="77777777" w:rsidR="0013116F" w:rsidRDefault="0013116F" w:rsidP="001D49D4">
      <w:pPr>
        <w:pStyle w:val="a9"/>
        <w:rPr>
          <w:rtl/>
        </w:rPr>
      </w:pPr>
      <w:r>
        <w:rPr>
          <w:rStyle w:val="ab"/>
        </w:rPr>
        <w:footnoteRef/>
      </w:r>
      <w:r>
        <w:rPr>
          <w:rtl/>
        </w:rPr>
        <w:t xml:space="preserve"> אם הלווה כפר בכל, ובשנה השביעית חזר הלווה והודה, או שהביא המלווה ראיה לדבריו ונדחו דברי הלווה, גם בזה פשיטא שהשביעית משמטת כמו חוב רגיל, ידיד נפש.</w:t>
      </w:r>
    </w:p>
  </w:footnote>
  <w:footnote w:id="5297">
    <w:p w14:paraId="68813571" w14:textId="77777777" w:rsidR="0013116F" w:rsidRDefault="0013116F" w:rsidP="001D49D4">
      <w:pPr>
        <w:pStyle w:val="a9"/>
      </w:pPr>
      <w:r>
        <w:rPr>
          <w:rStyle w:val="ab"/>
        </w:rPr>
        <w:footnoteRef/>
      </w:r>
      <w:r>
        <w:rPr>
          <w:rtl/>
        </w:rPr>
        <w:t xml:space="preserve"> וז"ל- הלוהו ותבעו וכפר בו, והגיע השמטה והוא בכפירתו, והודה אחר שעברה שביעית, או שבאו עליו עדים אחר השביעית אין השביעית משמטת. עכ"ל הרמב"ם. ועל לשון הרמב"ם כתב הראב"ד- הנה הוא סובר טעמא דחזר והודה או באו עדים משמט הא אם עמד בכפירתו אינו משמט, כפשוטו של ירושלמי מלוה ונעשית כפרנית אינו משמט, אולי אינו כמו שהוא סובר, דלאו בכפירה תליא מילתא, אלא, או שפטרוהו בית דין בשבועתו ונשבע קודם שביעית וחזר והודה או באו עדים, או שמא שהוא חוזר על 'מעשה בית דין' הסמוך לו ואמר- מלוה שנעשית כפרנית ובא לבית דין וחייבוהו וכתבו לו זכותו שיטרוף אינו משמט, דהיינו מעשה בית דין, אבל כפרנית ונעשית מלוה, כלומר שהאריך לו אותו והמתין עליו לרגלו – משמט. שאם הוא כמו שהוא פושט דברים כפשוטן - מתניתין דשבועות קשיא 'והשביעית משמטת את השבועה' והרי זה עומד בכפירתו עכ"ל. ובמ"ש הר"ן פרק הנשבעין לא קשה להרמב"ם ממתניתין דשבועות, דבמתניתין עסקינן בשתבעו קודם שביעית והודה במקצת וכפר במקצת ואותו מקצת שכפר בו אין שביעית משמטתו, כדאמר בירושלמי מלוה ונעשית כפרנית אינה משמטת. וס"ד אמינא - כיון שתבעו קודם שביעית והודה במקצת וכפר במקצת ותביעת אותה מקצת במקומה עומדת שלא נשמטה בשביעית ישבע עליה לאחר שביעית - קא משמע לן דשביעית משמטת שבועה זו, דכיון שהשמיטה אותו מקצת שהודה בו, נמצא שאינו אלא כופר בכל, ואף השבועה שבאה מחמת אותו מקצת של הודאה נשמטה, כיון שהממון נשמט אף הדיבור של שבועה שבא מכחו נשמט, ב"י.</w:t>
      </w:r>
    </w:p>
  </w:footnote>
  <w:footnote w:id="5298">
    <w:p w14:paraId="3FEC1D5F" w14:textId="77777777" w:rsidR="0013116F" w:rsidRDefault="0013116F" w:rsidP="001D49D4">
      <w:pPr>
        <w:pStyle w:val="a9"/>
      </w:pPr>
      <w:r>
        <w:rPr>
          <w:rStyle w:val="ab"/>
        </w:rPr>
        <w:footnoteRef/>
      </w:r>
      <w:r>
        <w:rPr>
          <w:rtl/>
        </w:rPr>
        <w:t xml:space="preserve"> וכ"כ הרמב"ם פ"ט דשמטה, ונראה דדוקא נשבע תחלה</w:t>
      </w:r>
      <w:r>
        <w:rPr>
          <w:sz w:val="16"/>
          <w:szCs w:val="16"/>
          <w:rtl/>
        </w:rPr>
        <w:t xml:space="preserve"> {כדכתב הטור}</w:t>
      </w:r>
      <w:r>
        <w:rPr>
          <w:rtl/>
        </w:rPr>
        <w:t>, דמאחר שנשבע כבר נעשה כפירה ואין השמטה משמטת כפירה, אבל כל זמן שלא נשבע עדיין מקרי הלואה דשמא לא ישבע ולכן השביעית משמטת השבועה כמו שנתבאר (ס"י), ובזה מסולק קושיית הראב"ד שהשיג על הרמב"ם בזה, ונתבטל תירוצו של ב"י שרצה ליישב דברי הרמב"ם בדבר קלוש ולא ראיתי לכתבו, דרכ"מ (אות ד).</w:t>
      </w:r>
    </w:p>
  </w:footnote>
  <w:footnote w:id="5299">
    <w:p w14:paraId="602F9FE0" w14:textId="77777777" w:rsidR="0013116F" w:rsidRDefault="0013116F" w:rsidP="001D49D4">
      <w:pPr>
        <w:pStyle w:val="a9"/>
        <w:rPr>
          <w:rtl/>
        </w:rPr>
      </w:pPr>
      <w:r>
        <w:rPr>
          <w:rStyle w:val="ab"/>
        </w:rPr>
        <w:footnoteRef/>
      </w:r>
      <w:r>
        <w:rPr>
          <w:rtl/>
        </w:rPr>
        <w:t xml:space="preserve"> כן הוא בירושלמי (שם) כפרנית ונעשית מלוה משמטת. וכתב הרא"ש בתשובה סוף כלל פ"ו (סי' טו) דקשיא להא מדתנן בפירקא בתרא דשביעית (מ"ב) כל מעשה בית דין אינם משמטין ומפרש בירושלמי גזרי כגון התובע את חבירו ממון וכפר לו והביא עדים וחייבוהו בית דין וכתבו לו פסק דין הוי כגבוי ואינו משמט. וי"ל דהא כפרנית ונעשית מלוה מיירי שלא כתבו פסק דין לכך לא הוי כגבוי, ב"י. והוסיף הב"י בבדה"ב דכן נראה מלשון הרמב"ם שכתב בפ"ט (הט"ו) ז"ל- בית דין שחתכו הדין וכתבו איש פלוני אתה חייב ליתן לזה כך וכך אינו נשמט שזה כגבוי הוא וכאילו בא לידו ואינו כמלוה עכ"ל.</w:t>
      </w:r>
    </w:p>
  </w:footnote>
  <w:footnote w:id="5300">
    <w:p w14:paraId="1E153077" w14:textId="77777777" w:rsidR="0013116F" w:rsidRDefault="0013116F" w:rsidP="001D49D4">
      <w:pPr>
        <w:pStyle w:val="a9"/>
        <w:rPr>
          <w:rtl/>
        </w:rPr>
      </w:pPr>
      <w:r>
        <w:rPr>
          <w:rStyle w:val="ab"/>
        </w:rPr>
        <w:footnoteRef/>
      </w:r>
      <w:r>
        <w:rPr>
          <w:rtl/>
        </w:rPr>
        <w:t xml:space="preserve"> דכל מעשה ב"ד כגבוי דמי. ומה שכתוב בסעיף שלפני זה דאם כפר ונשבע והודה קודם סוף שמיטה דמשמט, התם מיירי בדלא כתבו לו הב"ד פסק דין, וכ"כ הב"י [סע' יא], ע"ש. [הגה. וכתב הרא"ש </w:t>
      </w:r>
      <w:r>
        <w:rPr>
          <w:sz w:val="16"/>
          <w:szCs w:val="16"/>
          <w:rtl/>
        </w:rPr>
        <w:t xml:space="preserve">(כלל פו סוף סי' טו) </w:t>
      </w:r>
      <w:r>
        <w:rPr>
          <w:rtl/>
        </w:rPr>
        <w:t>דאף אם פסקו הב"ד הדין אלא שלא כתבו הפסק דין, משמט החוב, ועיין לקמן סקל"א מזה], סמ"ע (סקי"ז).</w:t>
      </w:r>
    </w:p>
  </w:footnote>
  <w:footnote w:id="5301">
    <w:p w14:paraId="2DF101C6" w14:textId="77777777" w:rsidR="0013116F" w:rsidRDefault="0013116F" w:rsidP="001D49D4">
      <w:pPr>
        <w:pStyle w:val="a9"/>
      </w:pPr>
      <w:r>
        <w:rPr>
          <w:rStyle w:val="ab"/>
        </w:rPr>
        <w:footnoteRef/>
      </w:r>
      <w:r>
        <w:rPr>
          <w:rtl/>
        </w:rPr>
        <w:t xml:space="preserve"> </w:t>
      </w:r>
      <w:r>
        <w:rPr>
          <w:rFonts w:hint="cs"/>
          <w:rtl/>
        </w:rPr>
        <w:t>סימן – גדרו גבייה בגרמושקה</w:t>
      </w:r>
      <w:r>
        <w:rPr>
          <w:sz w:val="16"/>
          <w:szCs w:val="16"/>
          <w:rtl/>
        </w:rPr>
        <w:t xml:space="preserve"> {חותמת מיוחדת עם הטבעה, והיינו שהתנאה עמו תנאי מיוחד שלא ישמיט הוא חובו}</w:t>
      </w:r>
      <w:r>
        <w:rPr>
          <w:rtl/>
        </w:rPr>
        <w:t>. וכן – גרם לגבייה.</w:t>
      </w:r>
    </w:p>
  </w:footnote>
  <w:footnote w:id="5302">
    <w:p w14:paraId="11DDD9C8" w14:textId="77777777" w:rsidR="0013116F" w:rsidRDefault="0013116F" w:rsidP="001D49D4">
      <w:pPr>
        <w:pStyle w:val="a9"/>
      </w:pPr>
      <w:r>
        <w:rPr>
          <w:rStyle w:val="ab"/>
        </w:rPr>
        <w:footnoteRef/>
      </w:r>
      <w:r>
        <w:rPr>
          <w:rtl/>
        </w:rPr>
        <w:t xml:space="preserve"> ופירש רש"י אם אמר לו הלויני על מנת שלא תשמיטני אתה בשביעית תנאי הוא זה ואע"פ שעבר על מה שכתוב בתורה תנאו קיים. אבל אם אמר לו על מנת שלא תשמיטני שביעית השביעית אינה מסורה בידו להתנות שלא תהא השביעית משמטת לפיכך אין כאן תנאי, ב"י.</w:t>
      </w:r>
    </w:p>
  </w:footnote>
  <w:footnote w:id="5303">
    <w:p w14:paraId="06F880C3" w14:textId="77777777" w:rsidR="0013116F" w:rsidRDefault="0013116F" w:rsidP="001D49D4">
      <w:pPr>
        <w:pStyle w:val="a9"/>
        <w:rPr>
          <w:rtl/>
        </w:rPr>
      </w:pPr>
      <w:r>
        <w:rPr>
          <w:rStyle w:val="ab"/>
        </w:rPr>
        <w:footnoteRef/>
      </w:r>
      <w:r>
        <w:rPr>
          <w:rtl/>
        </w:rPr>
        <w:t xml:space="preserve"> ומשמע מדבריו שמותר להתנות כן שבידו לוותר ממון שזיכתה לו תורה, ודלא כדברי רש"י שכתב שעבר על מה שכתוב בתורה, וגם דברי רש"י אפשר להתפיס דלישנא דעבר לאו דוקא. וז"ל הרא"ש בתשובה (כלל עז סי' ד) אם אמר על מנת שלא תשמיטנו שביעית אינו מועיל משום דהוה ליה מתנה על מה שכתוב בתורה, אבל אם אמר שלא תשמיטנו בשביעית תנאי זה אגברא קאי, ומועיל. וכ"כ הריטב"א שם (ד"ה א"ר) שכך פירשו הרמב"ן (ב"מ נא: ד"ה ע"מ) והתוספות (ד"ה ע"מ), ב"י.</w:t>
      </w:r>
    </w:p>
  </w:footnote>
  <w:footnote w:id="5304">
    <w:p w14:paraId="067067AD" w14:textId="77777777" w:rsidR="0013116F" w:rsidRDefault="0013116F" w:rsidP="001D49D4">
      <w:pPr>
        <w:pStyle w:val="a9"/>
        <w:rPr>
          <w:rtl/>
        </w:rPr>
      </w:pPr>
      <w:r>
        <w:rPr>
          <w:rStyle w:val="ab"/>
        </w:rPr>
        <w:footnoteRef/>
      </w:r>
      <w:r>
        <w:rPr>
          <w:rtl/>
        </w:rPr>
        <w:t xml:space="preserve"> וכמבואר בסוף סימן מ"ב (סכ"א) ונתן טעם לחלק ביניהם, ב"י.</w:t>
      </w:r>
    </w:p>
  </w:footnote>
  <w:footnote w:id="5305">
    <w:p w14:paraId="2145F91E" w14:textId="77777777" w:rsidR="0013116F" w:rsidRDefault="0013116F" w:rsidP="001D49D4">
      <w:pPr>
        <w:pStyle w:val="a9"/>
        <w:rPr>
          <w:rtl/>
        </w:rPr>
      </w:pPr>
      <w:r>
        <w:rPr>
          <w:rStyle w:val="ab"/>
        </w:rPr>
        <w:footnoteRef/>
      </w:r>
      <w:r>
        <w:rPr>
          <w:rtl/>
        </w:rPr>
        <w:t xml:space="preserve"> בסוף הסימן. ויש ליתן טעם לחלק ביניהן, כיון דמדין מצות שביעית מופקע ועומד הוא ממנו, אין בידו לתובעו ולהוציא מידו מכח מנהג הכתיבה, דהלוה יאמר דהמלוה בכיון לא כתב כפי המנהג כדי לקיים מצות שביעית, סמ"ע (סק"כ).</w:t>
      </w:r>
    </w:p>
  </w:footnote>
  <w:footnote w:id="5306">
    <w:p w14:paraId="1472C041" w14:textId="77777777" w:rsidR="0013116F" w:rsidRDefault="0013116F" w:rsidP="001D49D4">
      <w:pPr>
        <w:pStyle w:val="a9"/>
      </w:pPr>
      <w:r>
        <w:rPr>
          <w:rStyle w:val="ab"/>
        </w:rPr>
        <w:footnoteRef/>
      </w:r>
      <w:r>
        <w:rPr>
          <w:rtl/>
        </w:rPr>
        <w:t xml:space="preserve"> </w:t>
      </w:r>
      <w:r>
        <w:rPr>
          <w:rFonts w:hint="cs"/>
          <w:rtl/>
        </w:rPr>
        <w:t>סימן – גדירת גבייה בגמר גדול. וכן – גרם לגבייה.</w:t>
      </w:r>
    </w:p>
  </w:footnote>
  <w:footnote w:id="5307">
    <w:p w14:paraId="1146349D" w14:textId="77777777" w:rsidR="0013116F" w:rsidRDefault="0013116F" w:rsidP="001D49D4">
      <w:pPr>
        <w:pStyle w:val="a9"/>
      </w:pPr>
      <w:r>
        <w:rPr>
          <w:rStyle w:val="ab"/>
        </w:rPr>
        <w:footnoteRef/>
      </w:r>
      <w:r>
        <w:rPr>
          <w:rtl/>
        </w:rPr>
        <w:t xml:space="preserve"> </w:t>
      </w:r>
      <w:r>
        <w:rPr>
          <w:rFonts w:hint="cs"/>
          <w:rtl/>
        </w:rPr>
        <w:t xml:space="preserve">פירוש – </w:t>
      </w:r>
      <w:r>
        <w:rPr>
          <w:rtl/>
        </w:rPr>
        <w:t xml:space="preserve">אע"ג דהשתא, בסוף השנה השביעית, כשחלה מצות השמטת כספים, עדיין לא קרינן ביה 'לא יגוש' </w:t>
      </w:r>
      <w:r>
        <w:rPr>
          <w:sz w:val="16"/>
          <w:szCs w:val="16"/>
          <w:rtl/>
        </w:rPr>
        <w:t>(שהרי בין כה וכה לא יכול לתובעו אז, כי עדיין לא הגיעה עת הפרעון)</w:t>
      </w:r>
      <w:r>
        <w:rPr>
          <w:rtl/>
        </w:rPr>
        <w:t xml:space="preserve">, בכל זאת, אין אומרים שכל חוב שלא נאמר עליו האיסור 'לא יגוש' לא נאמר עליו גם הצווי 'שמוט כל בעל משה ידו', כיון שלבסוף, בתום השנה העשירית יבוא החוב לידי 'לא יגוש' </w:t>
      </w:r>
      <w:r>
        <w:rPr>
          <w:sz w:val="16"/>
          <w:szCs w:val="16"/>
          <w:rtl/>
        </w:rPr>
        <w:t>(חברותא)</w:t>
      </w:r>
      <w:r>
        <w:rPr>
          <w:rtl/>
        </w:rPr>
        <w:t>.</w:t>
      </w:r>
    </w:p>
  </w:footnote>
  <w:footnote w:id="5308">
    <w:p w14:paraId="4D5D2AF3" w14:textId="77777777" w:rsidR="0013116F" w:rsidRDefault="0013116F" w:rsidP="001D49D4">
      <w:pPr>
        <w:pStyle w:val="a9"/>
      </w:pPr>
      <w:r>
        <w:rPr>
          <w:rStyle w:val="ab"/>
        </w:rPr>
        <w:footnoteRef/>
      </w:r>
      <w:r>
        <w:rPr>
          <w:rtl/>
        </w:rPr>
        <w:t xml:space="preserve"> </w:t>
      </w:r>
      <w:r>
        <w:rPr>
          <w:rFonts w:hint="cs"/>
          <w:rtl/>
        </w:rPr>
        <w:t xml:space="preserve">פירוש – </w:t>
      </w:r>
      <w:r>
        <w:rPr>
          <w:rtl/>
        </w:rPr>
        <w:t>היות ובשעה שחלה שביעית, עדיין לא הגיע זמן הפרעון ולא קוראים כאן 'לא יגוש' – אין כאן אף 'שמוט כל בעל משה ידו'. ואע"ג שיבוא החוב הזה לידי 'לא יגוש' בתום עשר שנים, עתה, בזמן שנת השמיטה, עדיין לא קרינן ביה 'לא יגוש'. וכל חוב שאינו עומד לנגישה בזמן השמיטה - אינו נשמט בשביעית</w:t>
      </w:r>
      <w:r>
        <w:rPr>
          <w:sz w:val="16"/>
          <w:szCs w:val="16"/>
          <w:rtl/>
        </w:rPr>
        <w:t xml:space="preserve"> (חברותא)</w:t>
      </w:r>
      <w:r>
        <w:rPr>
          <w:rtl/>
        </w:rPr>
        <w:t>.</w:t>
      </w:r>
    </w:p>
  </w:footnote>
  <w:footnote w:id="5309">
    <w:p w14:paraId="0A4583CC" w14:textId="77777777" w:rsidR="0013116F" w:rsidRDefault="0013116F" w:rsidP="001D49D4">
      <w:pPr>
        <w:pStyle w:val="a9"/>
      </w:pPr>
      <w:r>
        <w:rPr>
          <w:rStyle w:val="ab"/>
        </w:rPr>
        <w:footnoteRef/>
      </w:r>
      <w:r>
        <w:rPr>
          <w:rtl/>
        </w:rPr>
        <w:t xml:space="preserve"> ר"ת </w:t>
      </w:r>
      <w:r>
        <w:rPr>
          <w:sz w:val="16"/>
          <w:szCs w:val="16"/>
          <w:rtl/>
        </w:rPr>
        <w:t>(כ"כ התוס' בשמו [ד"ה איכא])</w:t>
      </w:r>
      <w:r>
        <w:rPr>
          <w:rtl/>
        </w:rPr>
        <w:t xml:space="preserve"> רמב"ם</w:t>
      </w:r>
      <w:r>
        <w:rPr>
          <w:sz w:val="16"/>
          <w:szCs w:val="16"/>
          <w:rtl/>
        </w:rPr>
        <w:t xml:space="preserve"> (פ"ט משמיטה ה"ט)</w:t>
      </w:r>
      <w:r>
        <w:rPr>
          <w:rtl/>
        </w:rPr>
        <w:t xml:space="preserve"> רמב"ן </w:t>
      </w:r>
      <w:r>
        <w:rPr>
          <w:sz w:val="16"/>
          <w:szCs w:val="16"/>
          <w:rtl/>
        </w:rPr>
        <w:t xml:space="preserve">(ד"ה גמ') </w:t>
      </w:r>
      <w:r>
        <w:rPr>
          <w:rtl/>
        </w:rPr>
        <w:t xml:space="preserve">ספר התרומות </w:t>
      </w:r>
      <w:r>
        <w:rPr>
          <w:sz w:val="16"/>
          <w:szCs w:val="16"/>
          <w:rtl/>
        </w:rPr>
        <w:t>(שער מה סי' ח)</w:t>
      </w:r>
      <w:r>
        <w:rPr>
          <w:rtl/>
        </w:rPr>
        <w:t xml:space="preserve"> רא"ש </w:t>
      </w:r>
      <w:r>
        <w:rPr>
          <w:sz w:val="16"/>
          <w:szCs w:val="16"/>
          <w:rtl/>
        </w:rPr>
        <w:t>(סי' ג)</w:t>
      </w:r>
      <w:r>
        <w:rPr>
          <w:rtl/>
        </w:rPr>
        <w:t xml:space="preserve"> וטור.</w:t>
      </w:r>
    </w:p>
  </w:footnote>
  <w:footnote w:id="5310">
    <w:p w14:paraId="27DDE295" w14:textId="77777777" w:rsidR="0013116F" w:rsidRDefault="0013116F" w:rsidP="001D49D4">
      <w:pPr>
        <w:pStyle w:val="a9"/>
      </w:pPr>
      <w:r>
        <w:rPr>
          <w:rStyle w:val="ab"/>
        </w:rPr>
        <w:footnoteRef/>
      </w:r>
      <w:r>
        <w:rPr>
          <w:rtl/>
        </w:rPr>
        <w:t xml:space="preserve"> יש לדקדק על מה שכתב רבינו אפילו הרחיב הזמן למאה שנה מאי אפילו דאדרבה כל שהרחיב הזמן יותר לא הוי רבותא כולי האי דכל כך זמן אינו יכול לנוגשו. ואפשר לומר דמשמע לרבינו דכל דמרחק זמן טובא הוי רבותא טפי שאע"פ שעברו עליו כמה שמטות אינו משמט, ב"י (בבדה"ב).</w:t>
      </w:r>
    </w:p>
  </w:footnote>
  <w:footnote w:id="5311">
    <w:p w14:paraId="064A2DD2" w14:textId="77777777" w:rsidR="0013116F" w:rsidRDefault="0013116F" w:rsidP="001D49D4">
      <w:pPr>
        <w:pStyle w:val="a9"/>
        <w:rPr>
          <w:rtl/>
        </w:rPr>
      </w:pPr>
      <w:r>
        <w:rPr>
          <w:rStyle w:val="ab"/>
        </w:rPr>
        <w:footnoteRef/>
      </w:r>
      <w:r>
        <w:rPr>
          <w:rtl/>
        </w:rPr>
        <w:t xml:space="preserve"> דמתניתין דמכות מסייעא ליה, ר"ת. ומשום דשביעית דרבנן אזלינן לקולא, רא"ש. וא"ת הא בספיקא דממונא נקטינן קולא לנתבע והכא הוי איפכא קולא לתובע. ונראה לי דטעמיה משום דשמטה איסורא הוא, ומקילין דלא תנהוג כיון דרבנן היא בזמן הזה, ונהי דנפ"מ לענין ממונא והויא חומרא לתובע מכל מקום כיון דבעיקרא דדינא לא אתי למיבעי אי מפקינן ממונא מהאי גברא אלא לענין איסורא אי נהג השביעית או לא - לקולא נקטינן כנ"ל. וכתב במישרים </w:t>
      </w:r>
      <w:r>
        <w:rPr>
          <w:sz w:val="16"/>
          <w:szCs w:val="16"/>
          <w:rtl/>
        </w:rPr>
        <w:t>(נ"ז ח"א כו ע"ג)</w:t>
      </w:r>
      <w:r>
        <w:rPr>
          <w:rtl/>
        </w:rPr>
        <w:t xml:space="preserve"> ורב אלפס לא הביא אחד מן הלשונות נראה דפסק כלישנא קמא דשביעית משמטתה דאיסור הוא עכ"ל. ואני כבר הוכחתי דאדרבה אי הוי איסור אזלינן ביה לקולא דרבנן היא אלא סבירא ליה דכיון דנפקא לענין ממונא ומספקא לן כהי לישנא נקטינן בכל ספק דממונא דהוי חומרא לתובע וקולא לנתבע, ב"י.</w:t>
      </w:r>
    </w:p>
  </w:footnote>
  <w:footnote w:id="5312">
    <w:p w14:paraId="66CC93E6" w14:textId="77777777" w:rsidR="0013116F" w:rsidRDefault="0013116F" w:rsidP="001D49D4">
      <w:pPr>
        <w:pStyle w:val="a9"/>
        <w:rPr>
          <w:rtl/>
        </w:rPr>
      </w:pPr>
      <w:r>
        <w:rPr>
          <w:rStyle w:val="ab"/>
        </w:rPr>
        <w:footnoteRef/>
      </w:r>
      <w:r>
        <w:rPr>
          <w:rtl/>
        </w:rPr>
        <w:t xml:space="preserve"> </w:t>
      </w:r>
      <w:r>
        <w:rPr>
          <w:rFonts w:hint="cs"/>
          <w:rtl/>
        </w:rPr>
        <w:t>סימן – גדירת גבייה בגרירת גליון לגדולים.</w:t>
      </w:r>
    </w:p>
  </w:footnote>
  <w:footnote w:id="5313">
    <w:p w14:paraId="5152CAC0" w14:textId="77777777" w:rsidR="0013116F" w:rsidRDefault="0013116F" w:rsidP="001D49D4">
      <w:pPr>
        <w:pStyle w:val="a9"/>
      </w:pPr>
      <w:r>
        <w:rPr>
          <w:rStyle w:val="ab"/>
        </w:rPr>
        <w:footnoteRef/>
      </w:r>
      <w:r>
        <w:rPr>
          <w:rtl/>
        </w:rPr>
        <w:t xml:space="preserve"> הוא פרוזבול שהתקין הלל שכתוב בו מוסרני לכם פלוני ופלוני הדיינין שבמקום פלוני שכל חוב שיש לי שאגבנו כל זמן שארצה, רש"י. אך התוס' </w:t>
      </w:r>
      <w:r>
        <w:rPr>
          <w:sz w:val="16"/>
          <w:szCs w:val="16"/>
          <w:rtl/>
        </w:rPr>
        <w:t xml:space="preserve">(שם ד"ה המוסר) </w:t>
      </w:r>
      <w:r>
        <w:rPr>
          <w:rtl/>
        </w:rPr>
        <w:t xml:space="preserve">כתבו דלא נראה דהא במסכת שביעית </w:t>
      </w:r>
      <w:r>
        <w:rPr>
          <w:sz w:val="16"/>
          <w:szCs w:val="16"/>
          <w:rtl/>
        </w:rPr>
        <w:t>(פ"י מ"ב)</w:t>
      </w:r>
      <w:r>
        <w:rPr>
          <w:rtl/>
        </w:rPr>
        <w:t xml:space="preserve"> תני המוסר שטרותיו לב"ד והדר קתני פרוזבול אינו משמט, אלמא תרי מילי נינהו. לכך נראה דתרי מילי נינהו ומוסר שטרותיו לב"ד מדאו' אינו משמט </w:t>
      </w:r>
      <w:r>
        <w:rPr>
          <w:sz w:val="14"/>
          <w:szCs w:val="14"/>
          <w:rtl/>
        </w:rPr>
        <w:t>(עכ"ל התוס')</w:t>
      </w:r>
      <w:r>
        <w:rPr>
          <w:rtl/>
        </w:rPr>
        <w:t xml:space="preserve">. ומוסר שטרותיו היינו שתופס שטרותיו בידו ומוסרן לב"ד שיגבוהו, דהשתא לא קרינן ביה לא יגוש שאינו נוגש אלא ב"ד הם הנוגשים, ב"י. </w:t>
      </w:r>
      <w:r>
        <w:rPr>
          <w:color w:val="E36C0A" w:themeColor="accent6" w:themeShade="BF"/>
          <w:rtl/>
        </w:rPr>
        <w:t>(וכ"פ בשו"ע)</w:t>
      </w:r>
    </w:p>
  </w:footnote>
  <w:footnote w:id="5314">
    <w:p w14:paraId="70390CAD" w14:textId="77777777" w:rsidR="0013116F" w:rsidRDefault="0013116F" w:rsidP="001D49D4">
      <w:pPr>
        <w:pStyle w:val="a9"/>
      </w:pPr>
      <w:r>
        <w:rPr>
          <w:rStyle w:val="ab"/>
        </w:rPr>
        <w:footnoteRef/>
      </w:r>
      <w:r>
        <w:rPr>
          <w:rtl/>
        </w:rPr>
        <w:t xml:space="preserve"> אין זה כדין פרוזבול דבסמוך סע' י"ח, דשם מיירי דאינו מוסר גוף השט"ח ביד הדיינים אלא אומר בפניהן בעל פה שהוא מוסר בידם החובות, ומשום הכי בעי דיכתבו לו פרוזבול. וכאן מיירי שמסר ביד הדיינים השט"ח, ומשום הכי לא בעי שום כתיבה, וכן פירשו התוס' בפרק השולח (גיטין לו. ד"ה מי). ולפי מה שכתבו הטור [סע' כג] ומור"ם בסמוך בסע' כ' דאפילו כל אדם יכול לומר כן בעל פה, צריך לומר דמן דין תורה לעולם משמט עד שימסור שטרותיו לב"ד, והלל בא ותיקן פרוזבול שיהא מהני דיבור בעלמא בלי מסירת גוף השט"ח להדיינים. ועיין פרישה (סע' כג) שם כתבתי דנראה מהגמרא (גיטין לז.) ומהרא"ש (שם פ"ד סי' יג) ובישוב דברי הטור (שם) דהלל לדריה תיקן כתיבת פרוזבול, ורב נחמן בא אח"כ ותיקן דאמירת בעל פה בלא כתיבת פרוזבול סגי. וזה שכתב מור"ם בהג"ה דסעיף כ' דיש אומרים דכל אדם נמי יכול לומר דבריו בעל פה, סמ"ע (סקכ"ב).</w:t>
      </w:r>
    </w:p>
  </w:footnote>
  <w:footnote w:id="5315">
    <w:p w14:paraId="57A83C63" w14:textId="77777777" w:rsidR="0013116F" w:rsidRDefault="0013116F" w:rsidP="001D49D4">
      <w:pPr>
        <w:pStyle w:val="a9"/>
        <w:rPr>
          <w:rtl/>
        </w:rPr>
      </w:pPr>
      <w:r>
        <w:rPr>
          <w:rStyle w:val="ab"/>
        </w:rPr>
        <w:footnoteRef/>
      </w:r>
      <w:r>
        <w:rPr>
          <w:rtl/>
        </w:rPr>
        <w:t xml:space="preserve"> דהתורה לא הזהירה אלא דלא יגוש המלוה להלוה בשביעית, משא"כ זה דכבר סילק המלוה נפשו מזה ומסרו לב"ד, ואין הב"ד מוזהר על זה, סמ"ע (סקכ"ג).</w:t>
      </w:r>
    </w:p>
  </w:footnote>
  <w:footnote w:id="5316">
    <w:p w14:paraId="6C217F66" w14:textId="77777777" w:rsidR="0013116F" w:rsidRDefault="0013116F" w:rsidP="001D49D4">
      <w:pPr>
        <w:pStyle w:val="a9"/>
      </w:pPr>
      <w:r>
        <w:rPr>
          <w:rStyle w:val="ab"/>
        </w:rPr>
        <w:footnoteRef/>
      </w:r>
      <w:r>
        <w:rPr>
          <w:rtl/>
        </w:rPr>
        <w:t xml:space="preserve"> </w:t>
      </w:r>
      <w:r>
        <w:rPr>
          <w:rFonts w:hint="cs"/>
          <w:rtl/>
        </w:rPr>
        <w:t>סימן – זהיר לקח ללוה זרבובית.</w:t>
      </w:r>
    </w:p>
  </w:footnote>
  <w:footnote w:id="5317">
    <w:p w14:paraId="5C21594C" w14:textId="77777777" w:rsidR="0013116F" w:rsidRDefault="0013116F" w:rsidP="001D49D4">
      <w:pPr>
        <w:pStyle w:val="a9"/>
        <w:rPr>
          <w:rtl/>
        </w:rPr>
      </w:pPr>
      <w:r>
        <w:rPr>
          <w:rStyle w:val="ab"/>
        </w:rPr>
        <w:footnoteRef/>
      </w:r>
      <w:r>
        <w:rPr>
          <w:rtl/>
        </w:rPr>
        <w:t xml:space="preserve"> כבר נתבאר [בסק"ו] טעמו, דכיון שיש בידו לא שייך ביה לא יגוש. וטעם דהיש אומרים הוא, כיון דמתחילה נטל המשכון בעד כל ההלואה, ה"ל כאילו יש בידו משכון שוה ככל ההלואה, סמ"ע (סקכ"ד).</w:t>
      </w:r>
    </w:p>
  </w:footnote>
  <w:footnote w:id="5318">
    <w:p w14:paraId="066BB286" w14:textId="77777777" w:rsidR="0013116F" w:rsidRDefault="0013116F" w:rsidP="001D49D4">
      <w:pPr>
        <w:pStyle w:val="a9"/>
        <w:rPr>
          <w:rtl/>
        </w:rPr>
      </w:pPr>
      <w:r>
        <w:rPr>
          <w:rStyle w:val="ab"/>
        </w:rPr>
        <w:footnoteRef/>
      </w:r>
      <w:r>
        <w:rPr>
          <w:rtl/>
        </w:rPr>
        <w:t xml:space="preserve"> השב תשיב, ולא תשכב בעבוטו, ועד בא השמש תשיבנו לו, רש"י.</w:t>
      </w:r>
    </w:p>
  </w:footnote>
  <w:footnote w:id="5319">
    <w:p w14:paraId="6CAC6018" w14:textId="77777777" w:rsidR="0013116F" w:rsidRDefault="0013116F" w:rsidP="001D49D4">
      <w:pPr>
        <w:pStyle w:val="a9"/>
      </w:pPr>
      <w:r>
        <w:rPr>
          <w:rStyle w:val="ab"/>
        </w:rPr>
        <w:footnoteRef/>
      </w:r>
      <w:r>
        <w:rPr>
          <w:rtl/>
        </w:rPr>
        <w:t xml:space="preserve"> אם לא החזיר, רש"י.</w:t>
      </w:r>
    </w:p>
  </w:footnote>
  <w:footnote w:id="5320">
    <w:p w14:paraId="2BEF795F" w14:textId="77777777" w:rsidR="0013116F" w:rsidRDefault="0013116F" w:rsidP="001D49D4">
      <w:pPr>
        <w:pStyle w:val="a9"/>
      </w:pPr>
      <w:r>
        <w:rPr>
          <w:rStyle w:val="ab"/>
        </w:rPr>
        <w:footnoteRef/>
      </w:r>
      <w:r>
        <w:rPr>
          <w:rtl/>
        </w:rPr>
        <w:t xml:space="preserve"> בבית דין, רש"י. </w:t>
      </w:r>
    </w:p>
  </w:footnote>
  <w:footnote w:id="5321">
    <w:p w14:paraId="1D1006B5" w14:textId="77777777" w:rsidR="0013116F" w:rsidRDefault="0013116F" w:rsidP="001D49D4">
      <w:pPr>
        <w:pStyle w:val="a9"/>
      </w:pPr>
      <w:r>
        <w:rPr>
          <w:rStyle w:val="ab"/>
        </w:rPr>
        <w:footnoteRef/>
      </w:r>
      <w:r>
        <w:rPr>
          <w:rtl/>
        </w:rPr>
        <w:t xml:space="preserve"> שהביא לו משכונו, רש"י.</w:t>
      </w:r>
    </w:p>
  </w:footnote>
  <w:footnote w:id="5322">
    <w:p w14:paraId="0ADE1564" w14:textId="77777777" w:rsidR="0013116F" w:rsidRDefault="0013116F" w:rsidP="001D49D4">
      <w:pPr>
        <w:pStyle w:val="a9"/>
        <w:rPr>
          <w:rtl/>
        </w:rPr>
      </w:pPr>
      <w:r>
        <w:rPr>
          <w:rStyle w:val="ab"/>
        </w:rPr>
        <w:footnoteRef/>
      </w:r>
      <w:r>
        <w:rPr>
          <w:rtl/>
        </w:rPr>
        <w:t xml:space="preserve"> דקראי בחובלו לאחר הלואה כתיב, דהיכא דאתייה ניהליה - לאו חובלו הוא, רש"י.</w:t>
      </w:r>
    </w:p>
  </w:footnote>
  <w:footnote w:id="5323">
    <w:p w14:paraId="04E74352" w14:textId="77777777" w:rsidR="0013116F" w:rsidRDefault="0013116F" w:rsidP="001D49D4">
      <w:pPr>
        <w:pStyle w:val="a9"/>
      </w:pPr>
      <w:r>
        <w:rPr>
          <w:rStyle w:val="ab"/>
        </w:rPr>
        <w:footnoteRef/>
      </w:r>
      <w:r>
        <w:rPr>
          <w:rtl/>
        </w:rPr>
        <w:t xml:space="preserve"> אמשכנו שלא בשעת הלואתו ולא החזיר לו - עובר בכל השמות הללו, רש"י.</w:t>
      </w:r>
    </w:p>
  </w:footnote>
  <w:footnote w:id="5324">
    <w:p w14:paraId="370E57CA" w14:textId="77777777" w:rsidR="0013116F" w:rsidRDefault="0013116F" w:rsidP="001D49D4">
      <w:pPr>
        <w:pStyle w:val="a9"/>
      </w:pPr>
      <w:r>
        <w:rPr>
          <w:rStyle w:val="ab"/>
        </w:rPr>
        <w:footnoteRef/>
      </w:r>
      <w:r>
        <w:rPr>
          <w:rtl/>
        </w:rPr>
        <w:t xml:space="preserve"> ר"ל דכלי יום צריך להחזיר ביום וכלי לילה בלילה מדין תורת השבת העבוט וכמו שכתב הטור לקמן סימן צ"ז [סעיף ל"ג]. והטעם דאינו משמט, דמיד שמשכנו קנה המשכון והוי שלו בעד חובו עד שישלם לו, אלא שחוזר ומשאיל לו בעת צרכו, והראיה שהלוה צריך להחזיר לו כלי יום בלילה, סמ"ע (סקכ"ה).</w:t>
      </w:r>
    </w:p>
  </w:footnote>
  <w:footnote w:id="5325">
    <w:p w14:paraId="3C4AA04C" w14:textId="77777777" w:rsidR="0013116F" w:rsidRDefault="0013116F" w:rsidP="001D49D4">
      <w:pPr>
        <w:pStyle w:val="a9"/>
        <w:rPr>
          <w:rtl/>
        </w:rPr>
      </w:pPr>
      <w:r>
        <w:rPr>
          <w:rStyle w:val="ab"/>
        </w:rPr>
        <w:footnoteRef/>
      </w:r>
      <w:r>
        <w:rPr>
          <w:rtl/>
        </w:rPr>
        <w:t xml:space="preserve"> ופירש הרמב"ם בפירוש המשנה והקפת חנות היא האמנה ומקח וממכר בין בני אדם ובעלי החנויות שיוציא עליו כל מה שצריך וכשיקבץ סך ממון יפרעהו, וזה הנקבץ לא יהיה נשמט בשנה השביעית מפני שאינו על דרך חוב, ולא מכר לו בעל החנות על מנת שיהיה חוב אבל מכר לו מעט מעט עד שנתקבץ הכל ויתן לו ממונו עכ"ל. ונראה מדבריו שאין שום חוב משמט בשביעית אלא המלוה את חבירו לבד אבל המוכר חפץ ונתחייב לתת לו דמים לא מיקרי הלואה </w:t>
      </w:r>
      <w:r>
        <w:rPr>
          <w:sz w:val="16"/>
          <w:szCs w:val="16"/>
          <w:rtl/>
        </w:rPr>
        <w:t>(ולא תיקשי מהא דתנן בפרק בתרא דשביעית (מ"ב) השוחט את הפרה וחלקה בראש השנה אם היה החודש מעובר משמט דהא אוקמוה בירושלמי (ה"א) דאתיא כרבי יהודה דאמר התם בהקפת חנות אם הקיף וחזר והקיף הראשון משמט והכא נמי בשהקיף הפרה וחזר והקיף דברים אחרים וכיון דלא קיי"ל כרבי יהודה ממילא אידחיא ההיא מתניתין מהלכה. והכי משמע נמי מדתנן התם (שם) האונס והמפתה והמוציא שם רע אין משמטין ואמרינן בירושלמי (שם) רבי מאיר היא דאמר במלוה הדבר תלוי הרי בהדיא דסתם מתניתין סברה דאין שביעית משמטת אלא מלוה דוקא וכמו שכתבתי)</w:t>
      </w:r>
      <w:r>
        <w:rPr>
          <w:rtl/>
        </w:rPr>
        <w:t xml:space="preserve">. אך קשה לי מדתנן האונס והמפתה והמוציא שם רע אין משמטין, וכן נמי תנן </w:t>
      </w:r>
      <w:r>
        <w:rPr>
          <w:sz w:val="16"/>
          <w:szCs w:val="16"/>
          <w:rtl/>
        </w:rPr>
        <w:t xml:space="preserve">(מ"א) </w:t>
      </w:r>
      <w:r>
        <w:rPr>
          <w:rtl/>
        </w:rPr>
        <w:t xml:space="preserve">שכר שכיר אינו משמט ולמה ליה לתנא למימני כי רוכלא והוה ליה למסתם סתומי אין משמט בשביעית אלא מלוה אבל לא אונס ומפתה כו' אא"כ זקפן עליו במלוה. וגם הרמב"ם פסקה לההיא דהשוחט את הפרה בפרק הנזכר </w:t>
      </w:r>
      <w:r>
        <w:rPr>
          <w:sz w:val="16"/>
          <w:szCs w:val="16"/>
          <w:rtl/>
        </w:rPr>
        <w:t xml:space="preserve">(ה"ה) </w:t>
      </w:r>
      <w:r>
        <w:rPr>
          <w:rtl/>
        </w:rPr>
        <w:t xml:space="preserve">וגם פסק </w:t>
      </w:r>
      <w:r>
        <w:rPr>
          <w:sz w:val="16"/>
          <w:szCs w:val="16"/>
          <w:rtl/>
        </w:rPr>
        <w:t xml:space="preserve">(הי"א) </w:t>
      </w:r>
      <w:r>
        <w:rPr>
          <w:rtl/>
        </w:rPr>
        <w:t xml:space="preserve">לההיא דהקפת חנות אינה משמטת, נראה שמצא בשום דוכתא דההיא דהשוחט את הפרה ככו"ע אתיא. וא"כ כל חייב לחבירו בין דרך הלואה בין דמי דבר שמכר לו הרי הוא משמט בשביעית, והקפת חנות שאני שדרך להקיף שנה ושנתים ובסוף נוטל חובו ואין דרך לנגשו, וכיון שכן הוה ליה כהלוהו עד אחר שביעית דלרוב הפוסקים אין שביעית משמטתו. וכן השכיר, דרכו לקבץ שכר שנה או שנתים ביד שוכרו ואינו נוגשו לתתם לו אבל הם בידו כפקדון או כהלוהו עד אחר השביעית. אבל המוכר חפץ לחברו ולא קבע לו זמן לפרעו אחר שביעית - מיד שמכר לו הוה ליה כאילו הלוהו ושביעית משמטתו, והיינו טעמא דההיא דהשוחט את הפרה וחלקה בראש השנה אם היה החודש מעובר משמט </w:t>
      </w:r>
      <w:r>
        <w:rPr>
          <w:sz w:val="16"/>
          <w:szCs w:val="16"/>
          <w:rtl/>
        </w:rPr>
        <w:t xml:space="preserve">(וכן נראה מדברי הרא"ש שכ' </w:t>
      </w:r>
      <w:r>
        <w:rPr>
          <w:sz w:val="14"/>
          <w:szCs w:val="14"/>
          <w:rtl/>
        </w:rPr>
        <w:t>(כלל עז סי' ג)</w:t>
      </w:r>
      <w:r>
        <w:rPr>
          <w:rFonts w:hint="cs"/>
          <w:sz w:val="14"/>
          <w:szCs w:val="14"/>
        </w:rPr>
        <w:t xml:space="preserve"> </w:t>
      </w:r>
      <w:r>
        <w:rPr>
          <w:sz w:val="16"/>
          <w:szCs w:val="16"/>
          <w:rtl/>
        </w:rPr>
        <w:t>על ראובן שתבע את שמעון 'אבי היה שותף עמך תן לי חלקי', ושמעון השיב כבר עברה עליו שמטה ואיני זקוק להשיב. יראה לי שאין שביעית משמטת שותפות דמה שהיה בידו מעסק השותפות - כמו פקדון הוא, ולא קרינן ביה 'כל בעל משה ידו אשר ישה ברעהו', ותנן נמי הקפת חנות אינה משמטת עכ"ל. ונראה דהיינו טעמא דתשו' הרמב"ם שהובאה בתוך תשו' הרא"ש בכלל הנזכר (סי' ד) אין השביעית מפקעת כח היורשים אפילו הם גדולים עכ"ל ומיירי בשהיה למורישם שותפות עם אחר והוי כפקדון וכדברי הרא"ש. ומיהו אפשר דמיירי אפילו במלוה ממש וכגון שהיו קטנים כשמת אביהם דכיון דבאותה שעה הוו שטרותיהם כמסורים ביד ב"ד אפילו הגדילו אח"כ לא פקעה ההיא מסירה)</w:t>
      </w:r>
      <w:r>
        <w:rPr>
          <w:rtl/>
        </w:rPr>
        <w:t>, ב"י.</w:t>
      </w:r>
    </w:p>
  </w:footnote>
  <w:footnote w:id="5326">
    <w:p w14:paraId="15F45B21" w14:textId="77777777" w:rsidR="0013116F" w:rsidRDefault="0013116F" w:rsidP="001D49D4">
      <w:pPr>
        <w:pStyle w:val="a9"/>
      </w:pPr>
      <w:r>
        <w:rPr>
          <w:rStyle w:val="ab"/>
        </w:rPr>
        <w:footnoteRef/>
      </w:r>
      <w:r>
        <w:rPr>
          <w:rtl/>
        </w:rPr>
        <w:t xml:space="preserve"> </w:t>
      </w:r>
      <w:r>
        <w:rPr>
          <w:rFonts w:hint="cs"/>
          <w:rtl/>
        </w:rPr>
        <w:t xml:space="preserve">פירוש, </w:t>
      </w:r>
      <w:r>
        <w:rPr>
          <w:rtl/>
        </w:rPr>
        <w:t>אם הקיף וחזר והקיף - הראשון משמט, ע"פ ב"י.</w:t>
      </w:r>
    </w:p>
  </w:footnote>
  <w:footnote w:id="5327">
    <w:p w14:paraId="5A58BA75" w14:textId="77777777" w:rsidR="0013116F" w:rsidRDefault="0013116F" w:rsidP="001D49D4">
      <w:pPr>
        <w:pStyle w:val="a9"/>
      </w:pPr>
      <w:r>
        <w:rPr>
          <w:rStyle w:val="ab"/>
        </w:rPr>
        <w:footnoteRef/>
      </w:r>
      <w:r>
        <w:rPr>
          <w:rtl/>
        </w:rPr>
        <w:t xml:space="preserve"> </w:t>
      </w:r>
      <w:r>
        <w:rPr>
          <w:rFonts w:hint="cs"/>
          <w:rtl/>
        </w:rPr>
        <w:t xml:space="preserve">שהרי הרמב"ם (הי"ב) לא כתב דברים אלו גבי הקפת החנות אלא גבי אונס ומפתה וכו' כדברי הגמרא, והבין הב"י דכוונתו גם גבי הקפת החנות שכתב דינה בסעיף לפנ"כ (סי"א). </w:t>
      </w:r>
    </w:p>
  </w:footnote>
  <w:footnote w:id="5328">
    <w:p w14:paraId="18F6008F" w14:textId="77777777" w:rsidR="0013116F" w:rsidRDefault="0013116F" w:rsidP="001D49D4">
      <w:pPr>
        <w:pStyle w:val="a9"/>
      </w:pPr>
      <w:r>
        <w:rPr>
          <w:rStyle w:val="ab"/>
        </w:rPr>
        <w:footnoteRef/>
      </w:r>
      <w:r>
        <w:rPr>
          <w:rtl/>
        </w:rPr>
        <w:t xml:space="preserve"> וכתב הב"י דכן משמע בפ"ב דגיטין (יח.) דזקיפה עליו במלוה מיקרי משעת העמדה בדין </w:t>
      </w:r>
      <w:r>
        <w:rPr>
          <w:sz w:val="16"/>
          <w:szCs w:val="16"/>
          <w:rtl/>
        </w:rPr>
        <w:t>(וז"ל הגמרא שם- תניא כוותיה דשמואל: אונס, וקנס, ופיתוי, וכתובת אשה שזקפן במלוה - משמטין, ואם לאו - אין משמטין, מאימתי נזקפים במלוה? משעת העמדה בדין)</w:t>
      </w:r>
      <w:r>
        <w:rPr>
          <w:rtl/>
        </w:rPr>
        <w:t>.</w:t>
      </w:r>
    </w:p>
  </w:footnote>
  <w:footnote w:id="5329">
    <w:p w14:paraId="30803090" w14:textId="77777777" w:rsidR="0013116F" w:rsidRDefault="0013116F" w:rsidP="001D49D4">
      <w:pPr>
        <w:pStyle w:val="a9"/>
      </w:pPr>
      <w:r>
        <w:rPr>
          <w:rStyle w:val="ab"/>
        </w:rPr>
        <w:footnoteRef/>
      </w:r>
      <w:r>
        <w:rPr>
          <w:rtl/>
        </w:rPr>
        <w:t xml:space="preserve"> נראה דסבירא ליה ז"ל דכי אמרינן בפ"ב דגיטין (יח.) מאימתי נזקפין במלוה משעת העמדה בדין לא קאי אלא אאונס ומפתה ואותם ששנוים באותה ברייתא שהם קנסות וכן כתובת אשה דכמעשה בית דין דמיא, הילכך לא מיקרו זקפן עליו במלוה אלא משעת העמדה בדין. אבל בשאר מילי שאינן קנס, זקיפה במלוה דידהו הוי משקבל עליו לפורען לזמן פלוני, כלומר והגיע אותו זמן קודם שביעית, שאם הוא אחר שביעית כבר נתבאר בסימן זה (סי"ג) דאינו משמט לדעת הרא"ש ורוב הפוסקים, ב"י.</w:t>
      </w:r>
    </w:p>
  </w:footnote>
  <w:footnote w:id="5330">
    <w:p w14:paraId="40D3CA25" w14:textId="77777777" w:rsidR="0013116F" w:rsidRDefault="0013116F" w:rsidP="001D49D4">
      <w:pPr>
        <w:pStyle w:val="a9"/>
        <w:rPr>
          <w:rtl/>
        </w:rPr>
      </w:pPr>
      <w:r>
        <w:rPr>
          <w:rStyle w:val="ab"/>
        </w:rPr>
        <w:footnoteRef/>
      </w:r>
      <w:r>
        <w:rPr>
          <w:rtl/>
        </w:rPr>
        <w:t xml:space="preserve"> </w:t>
      </w:r>
      <w:r>
        <w:rPr>
          <w:rFonts w:hint="cs"/>
          <w:rtl/>
        </w:rPr>
        <w:t>וכתב התומים (סקט"ו) ד</w:t>
      </w:r>
      <w:r>
        <w:rPr>
          <w:rtl/>
        </w:rPr>
        <w:t>נראה דלא לחנם השמיטו הב"י בשו"ע, דטרח רק בזה התירוץ ליישב ברמב"ם, דלא תקשה מהך דהקפת חנות (פ"ט משמו"י הי"א) על הך דשחט פרה וחלקה בראש השנה דאם חודש מעובר דמשמט (שם ה"ה).</w:t>
      </w:r>
    </w:p>
  </w:footnote>
  <w:footnote w:id="5331">
    <w:p w14:paraId="17FED25F" w14:textId="77777777" w:rsidR="0013116F" w:rsidRDefault="0013116F" w:rsidP="001D49D4">
      <w:pPr>
        <w:pStyle w:val="a9"/>
        <w:rPr>
          <w:rtl/>
        </w:rPr>
      </w:pPr>
      <w:r>
        <w:rPr>
          <w:rStyle w:val="ab"/>
        </w:rPr>
        <w:footnoteRef/>
      </w:r>
      <w:r>
        <w:rPr>
          <w:rtl/>
        </w:rPr>
        <w:t xml:space="preserve"> וכתב הב"ח שכן מבואר להדיא בדברי התוס' (כתובות נה. ד"ה ולשביעית) והרא"ש (סי' א) והר"ן (ר"פ אף על פי כב: מדפה"ר). וכתב בשער משפט (סק"ו) דכ"כ הרמב"ן והרא"ה והריטב"א בחידושיהם שם ע"ש.</w:t>
      </w:r>
    </w:p>
  </w:footnote>
  <w:footnote w:id="5332">
    <w:p w14:paraId="25D953B1" w14:textId="77777777" w:rsidR="0013116F" w:rsidRDefault="0013116F" w:rsidP="001D49D4">
      <w:pPr>
        <w:pStyle w:val="a9"/>
        <w:rPr>
          <w:rtl/>
        </w:rPr>
      </w:pPr>
      <w:r>
        <w:rPr>
          <w:rStyle w:val="ab"/>
        </w:rPr>
        <w:footnoteRef/>
      </w:r>
      <w:r>
        <w:rPr>
          <w:rtl/>
        </w:rPr>
        <w:t xml:space="preserve"> ועיין בתומים (סקט"ז) שהבאתי ראיה לדבריו, וצריך לומר הטעם דמכל מקום אי תפס מלוה משל לוה בתוך שלשים יום לא מפקינן, משא"כ בקבע לו זמן, ע"ש, אורים (סקכ"ז).</w:t>
      </w:r>
    </w:p>
  </w:footnote>
  <w:footnote w:id="5333">
    <w:p w14:paraId="1D6C643A" w14:textId="77777777" w:rsidR="0013116F" w:rsidRDefault="0013116F" w:rsidP="001D49D4">
      <w:pPr>
        <w:pStyle w:val="a9"/>
        <w:rPr>
          <w:rtl/>
        </w:rPr>
      </w:pPr>
      <w:r>
        <w:rPr>
          <w:rStyle w:val="ab"/>
        </w:rPr>
        <w:footnoteRef/>
      </w:r>
      <w:r>
        <w:rPr>
          <w:rtl/>
        </w:rPr>
        <w:t xml:space="preserve"> וכתב סמ"ע (סקכ"ו) הטעם דדרך השכיר להניח שכירתו שנה או שתים ואינו תובעו. וזהו דוחק, דחכמים אמרו (שבועות מה: ב"מ קיג.) חזקה אין שכיר משהה שכרו, ואין בעל הבית עובר בבל תלין, וע"כ איירי דנשלם שכירתו קודם סוף שביעית, דאל"כ בלא"ה שכירות אין משתלמת אלא לבסוף, ועיין ירושלמי לר' יוסי. ולכן הטעם פשוט דהתורה לא אמרה רק במלוה ולא בשכר שכיר וכדומה, וכן משמע בתוס' בכמה דוכתי (כתובות נה. ד"ה ולשביעית), אורים (סק"ל).</w:t>
      </w:r>
    </w:p>
  </w:footnote>
  <w:footnote w:id="5334">
    <w:p w14:paraId="624DBE04" w14:textId="77777777" w:rsidR="0013116F" w:rsidRDefault="0013116F" w:rsidP="001D49D4">
      <w:pPr>
        <w:pStyle w:val="a9"/>
        <w:rPr>
          <w:sz w:val="16"/>
          <w:szCs w:val="16"/>
        </w:rPr>
      </w:pPr>
      <w:r>
        <w:rPr>
          <w:rStyle w:val="ab"/>
        </w:rPr>
        <w:footnoteRef/>
      </w:r>
      <w:r>
        <w:rPr>
          <w:rtl/>
        </w:rPr>
        <w:t xml:space="preserve"> </w:t>
      </w:r>
      <w:r>
        <w:rPr>
          <w:rFonts w:hint="cs"/>
          <w:rtl/>
        </w:rPr>
        <w:t xml:space="preserve">סימן – </w:t>
      </w:r>
      <w:r>
        <w:rPr>
          <w:rFonts w:hint="cs"/>
          <w:b/>
          <w:bCs/>
          <w:rtl/>
        </w:rPr>
        <w:t>ח</w:t>
      </w:r>
      <w:r>
        <w:rPr>
          <w:rFonts w:hint="cs"/>
          <w:rtl/>
        </w:rPr>
        <w:t xml:space="preserve">ומד </w:t>
      </w:r>
      <w:r>
        <w:rPr>
          <w:rFonts w:hint="cs"/>
          <w:b/>
          <w:bCs/>
          <w:rtl/>
        </w:rPr>
        <w:t>י</w:t>
      </w:r>
      <w:r>
        <w:rPr>
          <w:rFonts w:hint="cs"/>
          <w:rtl/>
        </w:rPr>
        <w:t xml:space="preserve">פות </w:t>
      </w:r>
      <w:r>
        <w:rPr>
          <w:sz w:val="16"/>
          <w:szCs w:val="16"/>
          <w:rtl/>
        </w:rPr>
        <w:t xml:space="preserve">(אונס/קנס/פיתוי) </w:t>
      </w:r>
      <w:r>
        <w:rPr>
          <w:rtl/>
        </w:rPr>
        <w:t>ו</w:t>
      </w:r>
      <w:r>
        <w:rPr>
          <w:b/>
          <w:bCs/>
          <w:rtl/>
        </w:rPr>
        <w:t>י</w:t>
      </w:r>
      <w:r>
        <w:rPr>
          <w:rtl/>
        </w:rPr>
        <w:t>וצאת ל</w:t>
      </w:r>
      <w:r>
        <w:rPr>
          <w:b/>
          <w:bCs/>
          <w:rtl/>
        </w:rPr>
        <w:t>ח</w:t>
      </w:r>
      <w:r>
        <w:rPr>
          <w:rtl/>
        </w:rPr>
        <w:t>ופשי/ל</w:t>
      </w:r>
      <w:r>
        <w:rPr>
          <w:b/>
          <w:bCs/>
          <w:rtl/>
        </w:rPr>
        <w:t>ח</w:t>
      </w:r>
      <w:r>
        <w:rPr>
          <w:rtl/>
        </w:rPr>
        <w:t>וץ</w:t>
      </w:r>
      <w:r>
        <w:rPr>
          <w:sz w:val="16"/>
          <w:szCs w:val="16"/>
          <w:rtl/>
        </w:rPr>
        <w:t xml:space="preserve"> (כתובה)</w:t>
      </w:r>
      <w:r>
        <w:rPr>
          <w:rtl/>
        </w:rPr>
        <w:t xml:space="preserve"> - </w:t>
      </w:r>
      <w:r>
        <w:rPr>
          <w:b/>
          <w:bCs/>
          <w:rtl/>
        </w:rPr>
        <w:t>י</w:t>
      </w:r>
      <w:r>
        <w:rPr>
          <w:rtl/>
        </w:rPr>
        <w:t>שתנה ב</w:t>
      </w:r>
      <w:r>
        <w:rPr>
          <w:b/>
          <w:bCs/>
          <w:rtl/>
        </w:rPr>
        <w:t>ח</w:t>
      </w:r>
      <w:r>
        <w:rPr>
          <w:rtl/>
        </w:rPr>
        <w:t>כמים</w:t>
      </w:r>
      <w:r>
        <w:rPr>
          <w:sz w:val="16"/>
          <w:szCs w:val="16"/>
          <w:rtl/>
        </w:rPr>
        <w:t xml:space="preserve"> (בהגיעו לב"ד)</w:t>
      </w:r>
      <w:r>
        <w:rPr>
          <w:rtl/>
        </w:rPr>
        <w:t>.</w:t>
      </w:r>
    </w:p>
  </w:footnote>
  <w:footnote w:id="5335">
    <w:p w14:paraId="5B7F7B17" w14:textId="77777777" w:rsidR="0013116F" w:rsidRDefault="0013116F" w:rsidP="001D49D4">
      <w:pPr>
        <w:pStyle w:val="a9"/>
        <w:rPr>
          <w:rtl/>
        </w:rPr>
      </w:pPr>
      <w:r>
        <w:rPr>
          <w:rStyle w:val="ab"/>
        </w:rPr>
        <w:footnoteRef/>
      </w:r>
      <w:r>
        <w:rPr>
          <w:rtl/>
        </w:rPr>
        <w:t xml:space="preserve"> הואיל והם מתחילה מעשה ב"ד, לא יצאו מתורת מעשה ב"ד שיחול בהן שמיטה כי אם בהעמדה בדין כראוי. ואיירי שלא כתבו ב"ד פסק דאי כתבו אינו משמט, אורים (סקל"א). ונראה מדבריו, וכן משמע בדברי הסמ"ע (סקכ"ז וסק"ל) להדיא, שמסתימת השו"ע משמע דדוקא כאן מקרי זקיפה במלוה משעת העמדה בדין, משא"כ בהקפת החנות דאף לפנ"כ מקרי זקיפה במלוה </w:t>
      </w:r>
      <w:r>
        <w:rPr>
          <w:sz w:val="16"/>
          <w:szCs w:val="16"/>
          <w:rtl/>
        </w:rPr>
        <w:t>(לרא"ש משקבע לו זמן לפורעו, ולמרדכי משכתבו בפנקסו)</w:t>
      </w:r>
      <w:r>
        <w:rPr>
          <w:rtl/>
        </w:rPr>
        <w:t>.</w:t>
      </w:r>
    </w:p>
  </w:footnote>
  <w:footnote w:id="5336">
    <w:p w14:paraId="44A200D0" w14:textId="77777777" w:rsidR="0013116F" w:rsidRDefault="0013116F" w:rsidP="001D49D4">
      <w:pPr>
        <w:pStyle w:val="a9"/>
        <w:rPr>
          <w:rtl/>
        </w:rPr>
      </w:pPr>
      <w:r>
        <w:rPr>
          <w:rStyle w:val="ab"/>
        </w:rPr>
        <w:footnoteRef/>
      </w:r>
      <w:r>
        <w:rPr>
          <w:rtl/>
        </w:rPr>
        <w:t xml:space="preserve"> ואפילו נכסי צאן ברזל שהכניסה לו דהוי חוב גמור, גם כן אין משמט, עיין תומים (סקי"ח) מש"כ בזה ליישב דברי הטור (אה"ע סימן קא), וכן כתב הכנה"ג (הגה"ט אות כו) בשם מהרשד"ם (חאה"ע סי' רכז), ע"ש, אורים (סקל"ב).</w:t>
      </w:r>
    </w:p>
  </w:footnote>
  <w:footnote w:id="5337">
    <w:p w14:paraId="16061524" w14:textId="77777777" w:rsidR="0013116F" w:rsidRDefault="0013116F" w:rsidP="001D49D4">
      <w:pPr>
        <w:pStyle w:val="a9"/>
      </w:pPr>
      <w:r>
        <w:rPr>
          <w:rStyle w:val="ab"/>
        </w:rPr>
        <w:footnoteRef/>
      </w:r>
      <w:r>
        <w:rPr>
          <w:rtl/>
        </w:rPr>
        <w:t xml:space="preserve"> דיצאה בהמותר משם סתם חיוב כתובה וה"ל כמלוה, סמ"ע (סקל"ב).</w:t>
      </w:r>
    </w:p>
  </w:footnote>
  <w:footnote w:id="5338">
    <w:p w14:paraId="0265B6EF" w14:textId="77777777" w:rsidR="0013116F" w:rsidRDefault="0013116F" w:rsidP="001D49D4">
      <w:pPr>
        <w:pStyle w:val="a9"/>
      </w:pPr>
      <w:r>
        <w:rPr>
          <w:rStyle w:val="ab"/>
        </w:rPr>
        <w:footnoteRef/>
      </w:r>
      <w:r>
        <w:rPr>
          <w:rtl/>
        </w:rPr>
        <w:t xml:space="preserve"> ואע"ג דהוא למעליותא, וכן פסק מור"ם לקמן סימן קנ"ד בהג"ה סעיף י"ח. מיהו י"ל דאפילו המחבר דפסק שם דלא אמרינן הבא מכח גוי הרי הוא כגוי כי אם לגריעותא, מודה בהא, כיון דבשטרותיהן גובין בו מדינא דמלכותא וכמ"ש בסימן מ"ה סעיף י"ז, דשם ג"כ פסק המחבר גופיה דאמרינן כן אפילו למעליותא, ע"ש [סקל"ח] מה שכתבתי עוד מזה, סמ"ע (סקל"ג).</w:t>
      </w:r>
    </w:p>
  </w:footnote>
  <w:footnote w:id="5339">
    <w:p w14:paraId="1327B2CA" w14:textId="77777777" w:rsidR="0013116F" w:rsidRDefault="0013116F" w:rsidP="001D49D4">
      <w:pPr>
        <w:pStyle w:val="a9"/>
        <w:rPr>
          <w:rtl/>
        </w:rPr>
      </w:pPr>
      <w:r>
        <w:rPr>
          <w:rStyle w:val="ab"/>
        </w:rPr>
        <w:footnoteRef/>
      </w:r>
      <w:r>
        <w:rPr>
          <w:rtl/>
        </w:rPr>
        <w:t xml:space="preserve"> פירוש, שאינו תובע באותו שטר אלא שתבעו שהוצרך לפרוע בשבילו, נעשה מלוה ומשמט..., סמ"ע (סקל"ה).</w:t>
      </w:r>
    </w:p>
  </w:footnote>
  <w:footnote w:id="5340">
    <w:p w14:paraId="75029931" w14:textId="77777777" w:rsidR="0013116F" w:rsidRDefault="0013116F" w:rsidP="001D49D4">
      <w:pPr>
        <w:pStyle w:val="a9"/>
      </w:pPr>
      <w:r>
        <w:rPr>
          <w:rStyle w:val="ab"/>
        </w:rPr>
        <w:footnoteRef/>
      </w:r>
      <w:r>
        <w:rPr>
          <w:rtl/>
        </w:rPr>
        <w:t xml:space="preserve"> </w:t>
      </w:r>
      <w:r>
        <w:rPr>
          <w:rFonts w:hint="cs"/>
          <w:rtl/>
        </w:rPr>
        <w:t xml:space="preserve">סימן - </w:t>
      </w:r>
      <w:r>
        <w:rPr>
          <w:rFonts w:hint="cs"/>
          <w:b/>
          <w:bCs/>
          <w:rtl/>
        </w:rPr>
        <w:t>ל</w:t>
      </w:r>
      <w:r>
        <w:rPr>
          <w:rFonts w:hint="cs"/>
          <w:rtl/>
        </w:rPr>
        <w:t xml:space="preserve">א </w:t>
      </w:r>
      <w:r>
        <w:rPr>
          <w:rFonts w:hint="cs"/>
          <w:b/>
          <w:bCs/>
          <w:rtl/>
        </w:rPr>
        <w:t>ו</w:t>
      </w:r>
      <w:r>
        <w:rPr>
          <w:rFonts w:hint="cs"/>
          <w:rtl/>
        </w:rPr>
        <w:t>יתר ל</w:t>
      </w:r>
      <w:r>
        <w:rPr>
          <w:rFonts w:hint="cs"/>
          <w:b/>
          <w:bCs/>
          <w:rtl/>
        </w:rPr>
        <w:t>לו</w:t>
      </w:r>
      <w:r>
        <w:rPr>
          <w:rFonts w:hint="cs"/>
          <w:rtl/>
        </w:rPr>
        <w:t>ה. וכן – פרוזב</w:t>
      </w:r>
      <w:r>
        <w:rPr>
          <w:rFonts w:hint="cs"/>
          <w:b/>
          <w:bCs/>
          <w:rtl/>
        </w:rPr>
        <w:t>ול</w:t>
      </w:r>
      <w:r>
        <w:rPr>
          <w:rFonts w:hint="cs"/>
          <w:rtl/>
        </w:rPr>
        <w:t>.</w:t>
      </w:r>
    </w:p>
  </w:footnote>
  <w:footnote w:id="5341">
    <w:p w14:paraId="7FBBEB47" w14:textId="77777777" w:rsidR="0013116F" w:rsidRDefault="0013116F" w:rsidP="001D49D4">
      <w:pPr>
        <w:pStyle w:val="a9"/>
        <w:rPr>
          <w:rtl/>
        </w:rPr>
      </w:pPr>
      <w:r>
        <w:rPr>
          <w:rStyle w:val="ab"/>
        </w:rPr>
        <w:footnoteRef/>
      </w:r>
      <w:r>
        <w:rPr>
          <w:rtl/>
        </w:rPr>
        <w:t xml:space="preserve"> ופירש רש"י דשנוייא דרבא קאי ג"כ למאי דקשיא לן 'ומי איכא מידי דמדאורייתא משמט'. אבל מדברי הרמב"ם </w:t>
      </w:r>
      <w:r>
        <w:rPr>
          <w:sz w:val="16"/>
          <w:szCs w:val="16"/>
          <w:rtl/>
        </w:rPr>
        <w:t xml:space="preserve">(פ"ט משמיטה הט"ז) </w:t>
      </w:r>
      <w:r>
        <w:rPr>
          <w:rtl/>
        </w:rPr>
        <w:t>משמע שמפרש דלא קאי אלא ל'מי איכא מידי דמדאו' לא משמט ורבנן תקינו דלישמיט', וטעמא דכיון שאין הממון בידו הפקירוהו ב"ד, אבל להוציא מידו שלא בדין תורה, כלומר אלו היתה שמטת כספים דאו' לא הוו מתקני להוציא מידו ע"י הפקר, ב"י.</w:t>
      </w:r>
    </w:p>
  </w:footnote>
  <w:footnote w:id="5342">
    <w:p w14:paraId="673DF402" w14:textId="77777777" w:rsidR="0013116F" w:rsidRDefault="0013116F" w:rsidP="001D49D4">
      <w:pPr>
        <w:pStyle w:val="a9"/>
        <w:rPr>
          <w:rtl/>
        </w:rPr>
      </w:pPr>
      <w:r>
        <w:rPr>
          <w:rStyle w:val="ab"/>
        </w:rPr>
        <w:footnoteRef/>
      </w:r>
      <w:r>
        <w:rPr>
          <w:rtl/>
        </w:rPr>
        <w:t xml:space="preserve"> תקנה, רש"י.</w:t>
      </w:r>
    </w:p>
  </w:footnote>
  <w:footnote w:id="5343">
    <w:p w14:paraId="4EC6DC40" w14:textId="77777777" w:rsidR="0013116F" w:rsidRDefault="0013116F" w:rsidP="001D49D4">
      <w:pPr>
        <w:pStyle w:val="a9"/>
      </w:pPr>
      <w:r>
        <w:rPr>
          <w:rStyle w:val="ab"/>
        </w:rPr>
        <w:footnoteRef/>
      </w:r>
      <w:r>
        <w:rPr>
          <w:rtl/>
        </w:rPr>
        <w:t xml:space="preserve"> עשירים ועניים עשירים שלא יפסידו ועניים שלא ינעלו דלת בפניהם, רש"י.</w:t>
      </w:r>
    </w:p>
  </w:footnote>
  <w:footnote w:id="5344">
    <w:p w14:paraId="3DFC4FD4" w14:textId="77777777" w:rsidR="0013116F" w:rsidRDefault="0013116F" w:rsidP="001D49D4">
      <w:pPr>
        <w:pStyle w:val="a9"/>
      </w:pPr>
      <w:r>
        <w:rPr>
          <w:rStyle w:val="ab"/>
        </w:rPr>
        <w:footnoteRef/>
      </w:r>
      <w:r>
        <w:rPr>
          <w:rtl/>
        </w:rPr>
        <w:t xml:space="preserve"> עשירים, רש"י.</w:t>
      </w:r>
    </w:p>
  </w:footnote>
  <w:footnote w:id="5345">
    <w:p w14:paraId="138F43EC" w14:textId="77777777" w:rsidR="0013116F" w:rsidRDefault="0013116F" w:rsidP="001D49D4">
      <w:pPr>
        <w:pStyle w:val="a9"/>
      </w:pPr>
      <w:r>
        <w:rPr>
          <w:rStyle w:val="ab"/>
        </w:rPr>
        <w:footnoteRef/>
      </w:r>
      <w:r>
        <w:rPr>
          <w:rtl/>
        </w:rPr>
        <w:t xml:space="preserve"> ומי הן הלווים עניים, רש"י.</w:t>
      </w:r>
    </w:p>
  </w:footnote>
  <w:footnote w:id="5346">
    <w:p w14:paraId="7A2D6848" w14:textId="77777777" w:rsidR="0013116F" w:rsidRDefault="0013116F" w:rsidP="001D49D4">
      <w:pPr>
        <w:pStyle w:val="a9"/>
      </w:pPr>
      <w:r>
        <w:rPr>
          <w:rStyle w:val="ab"/>
        </w:rPr>
        <w:footnoteRef/>
      </w:r>
      <w:r>
        <w:rPr>
          <w:rtl/>
        </w:rPr>
        <w:t xml:space="preserve"> שאינו מדבר בלשון עברי הוא לעוזא ואותו ששאל רבא הימנו זאת היה מדבר בלשון פרוזבול ופי' לו שבלשונו פרוז פורסא תקנה, רש"י.</w:t>
      </w:r>
    </w:p>
  </w:footnote>
  <w:footnote w:id="5347">
    <w:p w14:paraId="3B069129" w14:textId="77777777" w:rsidR="0013116F" w:rsidRDefault="0013116F" w:rsidP="001D49D4">
      <w:pPr>
        <w:pStyle w:val="a9"/>
      </w:pPr>
      <w:r>
        <w:rPr>
          <w:rStyle w:val="ab"/>
        </w:rPr>
        <w:footnoteRef/>
      </w:r>
      <w:r>
        <w:rPr>
          <w:rtl/>
        </w:rPr>
        <w:t xml:space="preserve"> לקמן מפרש לשון חוצפא שנוטלים ממון שלא כדין בחזקה, רש"י.</w:t>
      </w:r>
    </w:p>
  </w:footnote>
  <w:footnote w:id="5348">
    <w:p w14:paraId="05FBA73E" w14:textId="77777777" w:rsidR="0013116F" w:rsidRDefault="0013116F" w:rsidP="001D49D4">
      <w:pPr>
        <w:pStyle w:val="a9"/>
        <w:rPr>
          <w:rtl/>
        </w:rPr>
      </w:pPr>
      <w:r>
        <w:rPr>
          <w:rStyle w:val="ab"/>
        </w:rPr>
        <w:footnoteRef/>
      </w:r>
      <w:r>
        <w:rPr>
          <w:rtl/>
        </w:rPr>
        <w:t xml:space="preserve"> אושיב בית דין ואתקין דסתם מלוין יהו כמוסרין שטרותיהן לבית דין ואף על גב דלא כתב ניהוי כמו שכתב, רש"י.</w:t>
      </w:r>
    </w:p>
  </w:footnote>
  <w:footnote w:id="5349">
    <w:p w14:paraId="224BA4BB" w14:textId="77777777" w:rsidR="0013116F" w:rsidRDefault="0013116F" w:rsidP="001D49D4">
      <w:pPr>
        <w:pStyle w:val="a9"/>
      </w:pPr>
      <w:r>
        <w:rPr>
          <w:rStyle w:val="ab"/>
        </w:rPr>
        <w:footnoteRef/>
      </w:r>
      <w:r>
        <w:rPr>
          <w:rtl/>
        </w:rPr>
        <w:t xml:space="preserve"> </w:t>
      </w:r>
      <w:r>
        <w:rPr>
          <w:rFonts w:hint="cs"/>
          <w:rtl/>
        </w:rPr>
        <w:t>ו</w:t>
      </w:r>
      <w:r>
        <w:rPr>
          <w:rtl/>
        </w:rPr>
        <w:t xml:space="preserve">בעיין לא איפשיטא </w:t>
      </w:r>
      <w:r>
        <w:rPr>
          <w:sz w:val="16"/>
          <w:szCs w:val="16"/>
          <w:rtl/>
        </w:rPr>
        <w:t>{היינו שלא נפסק בגמרא האם הלל תיקן רק לדורו או לדורות עולם}</w:t>
      </w:r>
      <w:r>
        <w:rPr>
          <w:rtl/>
        </w:rPr>
        <w:t xml:space="preserve"> אלא שהרי"ף (יט.) כתב 'אי איישר חילי </w:t>
      </w:r>
      <w:r>
        <w:rPr>
          <w:b/>
          <w:bCs/>
          <w:rtl/>
        </w:rPr>
        <w:t>יותר מהלל</w:t>
      </w:r>
      <w:r>
        <w:rPr>
          <w:rtl/>
        </w:rPr>
        <w:t>', משמע דס"ל</w:t>
      </w:r>
      <w:r>
        <w:rPr>
          <w:sz w:val="16"/>
          <w:szCs w:val="16"/>
          <w:rtl/>
        </w:rPr>
        <w:t xml:space="preserve"> {לרי"ף}</w:t>
      </w:r>
      <w:r>
        <w:rPr>
          <w:rtl/>
        </w:rPr>
        <w:t xml:space="preserve"> דלדרי עלמא תקין, ר"ן. והעתיק דבריו הב"י.</w:t>
      </w:r>
    </w:p>
  </w:footnote>
  <w:footnote w:id="5350">
    <w:p w14:paraId="4AFB5E0B" w14:textId="77777777" w:rsidR="0013116F" w:rsidRDefault="0013116F" w:rsidP="001D49D4">
      <w:pPr>
        <w:pStyle w:val="a9"/>
        <w:rPr>
          <w:rtl/>
        </w:rPr>
      </w:pPr>
      <w:r>
        <w:rPr>
          <w:rStyle w:val="ab"/>
        </w:rPr>
        <w:footnoteRef/>
      </w:r>
      <w:r>
        <w:rPr>
          <w:rtl/>
        </w:rPr>
        <w:t xml:space="preserve"> </w:t>
      </w:r>
      <w:r>
        <w:rPr>
          <w:rFonts w:hint="cs"/>
          <w:rtl/>
        </w:rPr>
        <w:t>וז"ל-</w:t>
      </w:r>
      <w:r>
        <w:rPr>
          <w:rtl/>
        </w:rPr>
        <w:t xml:space="preserve"> רבנן דבי רב אשי מסרי מילתייהו להדדי וכן רבי יוחנן מסר לרבי חייא בר אבא, וכן הלכה כאלו אמוראי בתראי, ולא כאמוראי דאמרי דוקא בי דינא דרב אמי ורב אסי.</w:t>
      </w:r>
    </w:p>
  </w:footnote>
  <w:footnote w:id="5351">
    <w:p w14:paraId="2853AA1C" w14:textId="77777777" w:rsidR="0013116F" w:rsidRDefault="0013116F" w:rsidP="001D49D4">
      <w:pPr>
        <w:pStyle w:val="a9"/>
      </w:pPr>
      <w:r>
        <w:rPr>
          <w:rStyle w:val="ab"/>
        </w:rPr>
        <w:footnoteRef/>
      </w:r>
      <w:r>
        <w:rPr>
          <w:rtl/>
        </w:rPr>
        <w:t xml:space="preserve"> וז"ל- מאן דאמר דבעינן בי דינא דאלים היינו שמואל אבל אנן קיי"ל כרב נחמן דאמר אי איישר חילי אקיימיניה ותדע לך דהא רבנן דבי רב אשי מסרי מילי להדדי ואי אפשר דכולהו רבנן דבי רב אשי אלימי כבי דינא דרב אמי ורב אסי, ור"ת כתב דאפילו לשמואל לאו דוקא כרב אמי ורב אסי אלא אלים במקומו דיפתח בדורו וכו' ומיהו אנן בכל ב"ד אמרינן מההיא דרבנן דבי רב אשי.</w:t>
      </w:r>
    </w:p>
  </w:footnote>
  <w:footnote w:id="5352">
    <w:p w14:paraId="2CB1AD0B" w14:textId="77777777" w:rsidR="0013116F" w:rsidRDefault="0013116F" w:rsidP="001D49D4">
      <w:pPr>
        <w:pStyle w:val="a9"/>
      </w:pPr>
      <w:r>
        <w:rPr>
          <w:rStyle w:val="ab"/>
        </w:rPr>
        <w:footnoteRef/>
      </w:r>
      <w:r>
        <w:rPr>
          <w:rtl/>
        </w:rPr>
        <w:t xml:space="preserve"> וז"ל </w:t>
      </w:r>
      <w:r>
        <w:rPr>
          <w:sz w:val="16"/>
          <w:szCs w:val="16"/>
          <w:rtl/>
        </w:rPr>
        <w:t>(גבי הא דגרסינן התם רב נחמן אמר אקיימיניה הא מקיים וקאי הכי קאמר אימא ביה מילתא דאע"ג שלא כתב כמי שכתב דמי)</w:t>
      </w:r>
      <w:r>
        <w:rPr>
          <w:rtl/>
        </w:rPr>
        <w:t xml:space="preserve">- כלומר אע"פ שלא כתב פרוזבול אלא לשון הכתוב בפרוזבול אמרו על פה לפני הדיינין מועיל כאילו הוא כתוב, ואהא סמכו רבנן דבי רב אשי דמסרי מילתייהו להדדי וכן רבי נתן מסר מילי לרבי חייא בר אבא אמר ליה צריכנא מידי אחרינא אמר ליה לא, ורבי חייא בר אבא היה עמו אחר דשנים בעינן כדתנן בפרק בתרא דשביעית, ור"ת כ' בספר הישר </w:t>
      </w:r>
      <w:r>
        <w:rPr>
          <w:sz w:val="16"/>
          <w:szCs w:val="16"/>
          <w:rtl/>
        </w:rPr>
        <w:t xml:space="preserve">(חי' סי' קלח) </w:t>
      </w:r>
      <w:r>
        <w:rPr>
          <w:rtl/>
        </w:rPr>
        <w:t xml:space="preserve">דשביעית נוהגת בזה"ז והביא ראיה מדחזינן לכל הני אמוראי שמואל ורב נחמן רבה ואביי ורבנן דבי רב אשי שהיו נוהגים שמטת כספים בבבל, ואין לכתוב פרוזבול בזה"ז שאין אנו מומחין כרב אמי וכרב אסי. ושוב חזר בו ר"ת וכתב הוא בעצמו פרוזבול כי היה אומר דלא בעינן אלא ב"ד חשוב שבדור ואשכחן נמי רבנן דבי רב אשי דמסרי מילייהו להדדי, ומשמע מתוך דבריו דחשיב לכולהו רבנן דבי רב אשי ב"ד מומחין משום דרב אשי גדול הדור היה. ולא מיסתבר הכי אלא משמע דהני אמוראי בתראי לית להו הא דשמואל דאמר לא כתבינן פרוזבול אלא בב"ד דסורא או בב"ד דנהרדעא, והכי אית ליה לרי"ף דלא הביא דברי שמואל אלא הא דרבנן דבי רב אשי מסרי מילייהו להדדי עכ"ל הרא"ש בפסקיו. </w:t>
      </w:r>
      <w:r>
        <w:rPr>
          <w:sz w:val="16"/>
          <w:szCs w:val="16"/>
          <w:rtl/>
        </w:rPr>
        <w:t xml:space="preserve">(אך בתשובה (סוף כלל עז סי' ו) כתב הרא"ש כדברי ר"ת, וז"ל- הא דנקט תלמודא בי דינא דסורא ונהרדעא ובי דינא דרב אמי ורב אסי לאו דוקא הני אלא אורחא דתלמודא דאמוראי דשקלי וטרו בשמעתא מתירין דבר ההוה בימיהם, דאלו היו ראשי ישיבות בדורם, וה"ה בכל דור ודור המופלג שבכל דור ודור המופלג שבכל מדינה ומדינה יכול לכתוב פרוזבול, וכיוצא בזה רבן גמליאל ובית דינו אביהם של יתומים וה"ה גדולי דור ודור, וכן כתוב בתוספות (לו: ד"ה דאלימי) שרבינו יעקב כתב פרוזבול עכ"ל. </w:t>
      </w:r>
      <w:r>
        <w:rPr>
          <w:sz w:val="14"/>
          <w:szCs w:val="14"/>
          <w:rtl/>
        </w:rPr>
        <w:t>(וכתב הב"י שכיוצא בזה כתוב בתשובת הריב"ש סימן תצ"א בשם הרשב"א, וכתב עוד וכן נראה מדברי הרי"ף שכתב סתם דיני פרוזבול. אך מייד אח"כ הביא הב"י את לשון הרשב"א בתשובה (שו"ת ח"ג סי' לג)  דמוכח להדיא מינה דאין דעתו כן)</w:t>
      </w:r>
      <w:r>
        <w:rPr>
          <w:sz w:val="16"/>
          <w:szCs w:val="16"/>
          <w:rtl/>
        </w:rPr>
        <w:t>. אך נראה לי שהב"י סובר שדעת הרא"ש בפסקיו עיקר ולא כמה שכתב בתשובה, משום שהב"י כתב לאחר דברי הרא"ש בפסקיו וז"ל- 'ולזה הסכים הרשב"א (שו"ת ח"ג סי' לג) ורבינו סתם הדברים לדעתם'. עכ"ל. וברור שדעת הרשב"א בתשובה היא כדברי הטור. ועוד שהרי כתב הב"י שהטור סתם כדעת הרא"ש. כן בדר"כ הטור מכוון למה שעיקר בדעת אביו)</w:t>
      </w:r>
      <w:r>
        <w:rPr>
          <w:rtl/>
        </w:rPr>
        <w:t>.</w:t>
      </w:r>
    </w:p>
  </w:footnote>
  <w:footnote w:id="5353">
    <w:p w14:paraId="374853AA" w14:textId="77777777" w:rsidR="0013116F" w:rsidRDefault="0013116F" w:rsidP="001D49D4">
      <w:pPr>
        <w:pStyle w:val="a9"/>
        <w:rPr>
          <w:rtl/>
        </w:rPr>
      </w:pPr>
      <w:r>
        <w:rPr>
          <w:rStyle w:val="ab"/>
        </w:rPr>
        <w:footnoteRef/>
      </w:r>
      <w:r>
        <w:rPr>
          <w:rtl/>
        </w:rPr>
        <w:t xml:space="preserve"> רי"ף </w:t>
      </w:r>
      <w:r>
        <w:rPr>
          <w:sz w:val="16"/>
          <w:szCs w:val="16"/>
          <w:rtl/>
        </w:rPr>
        <w:t xml:space="preserve">(יט., כ"כ הרא"ש בשמו [שם]) </w:t>
      </w:r>
      <w:r>
        <w:rPr>
          <w:rtl/>
        </w:rPr>
        <w:t xml:space="preserve">רמב"ן </w:t>
      </w:r>
      <w:r>
        <w:rPr>
          <w:sz w:val="16"/>
          <w:szCs w:val="16"/>
          <w:rtl/>
        </w:rPr>
        <w:t>(ד"ה והא)</w:t>
      </w:r>
      <w:r>
        <w:rPr>
          <w:rtl/>
        </w:rPr>
        <w:t xml:space="preserve"> מהר"ם </w:t>
      </w:r>
      <w:r>
        <w:rPr>
          <w:sz w:val="16"/>
          <w:szCs w:val="16"/>
          <w:rtl/>
        </w:rPr>
        <w:t xml:space="preserve">(ד"פ סי' תתקעב, ד"ל סי' קצח) </w:t>
      </w:r>
      <w:r>
        <w:rPr>
          <w:rtl/>
        </w:rPr>
        <w:t xml:space="preserve">מרדכי </w:t>
      </w:r>
      <w:r>
        <w:rPr>
          <w:sz w:val="16"/>
          <w:szCs w:val="16"/>
          <w:rtl/>
        </w:rPr>
        <w:t>(פרק השולח סי' שפא, כ"כ הדרכ"מ בשמו [אות ז*])</w:t>
      </w:r>
      <w:r>
        <w:rPr>
          <w:rtl/>
        </w:rPr>
        <w:t xml:space="preserve"> רשב"א </w:t>
      </w:r>
      <w:r>
        <w:rPr>
          <w:sz w:val="16"/>
          <w:szCs w:val="16"/>
          <w:rtl/>
        </w:rPr>
        <w:t xml:space="preserve">(שו"ת ח"ג סי' לג) </w:t>
      </w:r>
      <w:r>
        <w:rPr>
          <w:rtl/>
        </w:rPr>
        <w:t xml:space="preserve">רא"ש </w:t>
      </w:r>
      <w:r>
        <w:rPr>
          <w:sz w:val="16"/>
          <w:szCs w:val="16"/>
          <w:rtl/>
        </w:rPr>
        <w:t xml:space="preserve">(סי' יג) </w:t>
      </w:r>
      <w:r>
        <w:rPr>
          <w:rtl/>
        </w:rPr>
        <w:t>וטור.</w:t>
      </w:r>
    </w:p>
  </w:footnote>
  <w:footnote w:id="5354">
    <w:p w14:paraId="6CBE8456" w14:textId="77777777" w:rsidR="0013116F" w:rsidRDefault="0013116F" w:rsidP="001D49D4">
      <w:pPr>
        <w:pStyle w:val="a9"/>
        <w:rPr>
          <w:rtl/>
        </w:rPr>
      </w:pPr>
      <w:r>
        <w:rPr>
          <w:rStyle w:val="ab"/>
        </w:rPr>
        <w:footnoteRef/>
      </w:r>
      <w:r>
        <w:rPr>
          <w:rtl/>
        </w:rPr>
        <w:t xml:space="preserve"> פירוש דוקא בית דין הקבוע ומומחה שבדורו, טור. דלא קיימא לן הכי, דשמואל לטעמיה דאמר אי איישר חילי אבטליניה ואנן קיימא לן כרב נחמן דאמר אקיימיניה. ועוד דגרסינן התם (לז.) רבנן דבי רב אשי מסרי מילתייהו להדדי ולא מסרי לרב אשי דהוה בי דינא רבה בשעתייהו אלמא אפילו בי דינא אחרינא דלא אלים כולי האי מצי למיכתב, רמב"ן. ועוד הביא </w:t>
      </w:r>
      <w:r>
        <w:rPr>
          <w:sz w:val="16"/>
          <w:szCs w:val="16"/>
          <w:rtl/>
        </w:rPr>
        <w:t xml:space="preserve">{הרמב"ן} </w:t>
      </w:r>
      <w:r>
        <w:rPr>
          <w:rtl/>
        </w:rPr>
        <w:t>ראיות רבות למימר דלא קיימא לן כשמואל. וכיון דליתא לדשמואל משמע דנקטינן דלדרי עלמא תקין, דאי לדריה תקין וצריכא אפקעותא חדתא משמע דבעינן בי דינא רבה, וכל שכן דלא מפקע ממונא דגברי במסירת דברים בעלמא, ב"י.</w:t>
      </w:r>
    </w:p>
  </w:footnote>
  <w:footnote w:id="5355">
    <w:p w14:paraId="63E7C071" w14:textId="77777777" w:rsidR="0013116F" w:rsidRDefault="0013116F" w:rsidP="001D49D4">
      <w:pPr>
        <w:pStyle w:val="a9"/>
        <w:rPr>
          <w:rtl/>
        </w:rPr>
      </w:pPr>
      <w:r>
        <w:rPr>
          <w:rStyle w:val="ab"/>
        </w:rPr>
        <w:footnoteRef/>
      </w:r>
      <w:r>
        <w:rPr>
          <w:rtl/>
        </w:rPr>
        <w:t xml:space="preserve"> ז"ל בעל התרומות- כגון ב"ד דרב אמי ורב אסי איכא מאן דאמר דהאידנא לית לן בית דין הגדול ולית לן למכתב פרוזבול ואי עבד לא מהני ומסתברא ד-...</w:t>
      </w:r>
    </w:p>
  </w:footnote>
  <w:footnote w:id="5356">
    <w:p w14:paraId="4CCE89CA" w14:textId="77777777" w:rsidR="0013116F" w:rsidRDefault="0013116F" w:rsidP="001D49D4">
      <w:pPr>
        <w:pStyle w:val="a9"/>
        <w:rPr>
          <w:rtl/>
        </w:rPr>
      </w:pPr>
      <w:r>
        <w:rPr>
          <w:rStyle w:val="ab"/>
        </w:rPr>
        <w:footnoteRef/>
      </w:r>
      <w:r>
        <w:rPr>
          <w:rtl/>
        </w:rPr>
        <w:t xml:space="preserve"> </w:t>
      </w:r>
      <w:r>
        <w:rPr>
          <w:rFonts w:hint="cs"/>
          <w:rtl/>
        </w:rPr>
        <w:t xml:space="preserve">וז"ל- </w:t>
      </w:r>
      <w:r>
        <w:rPr>
          <w:sz w:val="16"/>
          <w:szCs w:val="16"/>
          <w:rtl/>
        </w:rPr>
        <w:t>(פ"ט משמיטה הי"ז)</w:t>
      </w:r>
      <w:r>
        <w:rPr>
          <w:rtl/>
        </w:rPr>
        <w:t xml:space="preserve"> אין כותבין פרוזבול אלא חכמים גדולים ביותר כבית דינו של רבי אמי ורבי אסי שהן ראויין להפקיע ממון בני אדם, אבל שאר בתי דינין אין כותבין. עכ"ל. וכתב הב"י שנראה לו שדעת הרמב"ם דכל בית דין חשוב בדורו כותבין, ומה שכתב כבית דינו של רב אמי ורב אסי היינו שהם גדולים בדורם כרב אמי ורב אסי בדורם דכל בית דין חשוב בדורו ראוי להפקיע ממון דיפתח בדורו כשמואל בדורו </w:t>
      </w:r>
      <w:r>
        <w:rPr>
          <w:sz w:val="16"/>
          <w:szCs w:val="16"/>
          <w:rtl/>
        </w:rPr>
        <w:t>(ר"ה כה:)</w:t>
      </w:r>
      <w:r>
        <w:rPr>
          <w:rtl/>
        </w:rPr>
        <w:t xml:space="preserve">. עכ"ל. וכתב הב"ח שכך הבין הר"ן </w:t>
      </w:r>
      <w:r>
        <w:rPr>
          <w:sz w:val="16"/>
          <w:szCs w:val="16"/>
          <w:rtl/>
        </w:rPr>
        <w:t>(יט. סד"ה ואיני רואה)</w:t>
      </w:r>
      <w:r>
        <w:rPr>
          <w:rtl/>
        </w:rPr>
        <w:t xml:space="preserve"> בדעת הרמב"ם. </w:t>
      </w:r>
      <w:r>
        <w:rPr>
          <w:sz w:val="16"/>
          <w:szCs w:val="16"/>
          <w:rtl/>
        </w:rPr>
        <w:t xml:space="preserve">(אמנם לפני שכתב הב"י כדלעיל כתב שהמהר"ם </w:t>
      </w:r>
      <w:r>
        <w:rPr>
          <w:sz w:val="14"/>
          <w:szCs w:val="14"/>
          <w:rtl/>
        </w:rPr>
        <w:t>(ד"פ סי' תתקעב, ד"ל סי' קצח)</w:t>
      </w:r>
      <w:r>
        <w:rPr>
          <w:sz w:val="12"/>
          <w:szCs w:val="12"/>
          <w:rtl/>
        </w:rPr>
        <w:t xml:space="preserve"> </w:t>
      </w:r>
      <w:r>
        <w:rPr>
          <w:sz w:val="16"/>
          <w:szCs w:val="16"/>
          <w:rtl/>
        </w:rPr>
        <w:t>פירש את דברי הרמב"ם אחרת, דדוקא בית דינו דרב אמי ורב אסי. אך לפנינו ליתא כן בדברי מהר"ם)</w:t>
      </w:r>
    </w:p>
  </w:footnote>
  <w:footnote w:id="5357">
    <w:p w14:paraId="2A88E2F3" w14:textId="77777777" w:rsidR="0013116F" w:rsidRDefault="0013116F" w:rsidP="001D49D4">
      <w:pPr>
        <w:pStyle w:val="a9"/>
      </w:pPr>
      <w:r>
        <w:rPr>
          <w:rStyle w:val="ab"/>
        </w:rPr>
        <w:footnoteRef/>
      </w:r>
      <w:r>
        <w:rPr>
          <w:rtl/>
        </w:rPr>
        <w:t xml:space="preserve"> ר"ת </w:t>
      </w:r>
      <w:r>
        <w:rPr>
          <w:sz w:val="16"/>
          <w:szCs w:val="16"/>
          <w:rtl/>
        </w:rPr>
        <w:t xml:space="preserve">(בתוס' לו: ד"ה דאלימי, ובספר הישר חי' סי' קלח, כ"כ בשמו הרא"ש [שם] והר"ן [שם]) </w:t>
      </w:r>
      <w:r>
        <w:rPr>
          <w:rtl/>
        </w:rPr>
        <w:t xml:space="preserve">רמב"ם </w:t>
      </w:r>
      <w:r>
        <w:rPr>
          <w:sz w:val="16"/>
          <w:szCs w:val="16"/>
          <w:rtl/>
        </w:rPr>
        <w:t xml:space="preserve">(פ"ט משמיטה הי"ז) </w:t>
      </w:r>
      <w:r>
        <w:rPr>
          <w:rtl/>
        </w:rPr>
        <w:t xml:space="preserve">ור"ן </w:t>
      </w:r>
      <w:r>
        <w:rPr>
          <w:sz w:val="16"/>
          <w:szCs w:val="16"/>
          <w:rtl/>
        </w:rPr>
        <w:t>(יט. ד"ה גרסי')</w:t>
      </w:r>
      <w:r>
        <w:rPr>
          <w:rtl/>
        </w:rPr>
        <w:t>.</w:t>
      </w:r>
    </w:p>
  </w:footnote>
  <w:footnote w:id="5358">
    <w:p w14:paraId="60775293" w14:textId="77777777" w:rsidR="0013116F" w:rsidRDefault="0013116F" w:rsidP="001D49D4">
      <w:pPr>
        <w:pStyle w:val="a9"/>
        <w:rPr>
          <w:rtl/>
        </w:rPr>
      </w:pPr>
      <w:r>
        <w:rPr>
          <w:rStyle w:val="ab"/>
        </w:rPr>
        <w:footnoteRef/>
      </w:r>
      <w:r>
        <w:rPr>
          <w:rtl/>
        </w:rPr>
        <w:t xml:space="preserve"> הר"ן </w:t>
      </w:r>
      <w:r>
        <w:rPr>
          <w:sz w:val="16"/>
          <w:szCs w:val="16"/>
          <w:rtl/>
        </w:rPr>
        <w:t xml:space="preserve">(יט. ד"ה גרסי') </w:t>
      </w:r>
      <w:r>
        <w:rPr>
          <w:rtl/>
        </w:rPr>
        <w:t>דחה ראיות הרמב"ן וכתב דכי אמרינן 'לדריה תקון' לאו לדריה בלחוד קאמר אלא כל שיהיו נוהגים כדריה שיהיו נמנעין מלהלוות. והעלה דאין ראוי לדחות מימרא פשוטה שבאה בגמרא בלא מחלוקת בדברים שאינן מכריעים, אלא כדברי הרמב"ם ז"ל עיקר שכתבה בפ"ט מהלכות שמטה (הי"ז). ומכל מקום בי דינא דרב אמי ורב אסי לאו דוקא אלא הוא הדין לכל בית דין חשוב שבדור. וכן כתוב בתוספות (לו: ד"ה דאלימי) שרבינו תם כתב פרוזבול מטעם זה. עכ"ל הר"ן.</w:t>
      </w:r>
    </w:p>
  </w:footnote>
  <w:footnote w:id="5359">
    <w:p w14:paraId="5CA7CA7C" w14:textId="77777777" w:rsidR="0013116F" w:rsidRDefault="0013116F" w:rsidP="001D49D4">
      <w:pPr>
        <w:pStyle w:val="a9"/>
      </w:pPr>
      <w:r>
        <w:rPr>
          <w:rStyle w:val="ab"/>
        </w:rPr>
        <w:footnoteRef/>
      </w:r>
      <w:r>
        <w:rPr>
          <w:rtl/>
        </w:rPr>
        <w:t xml:space="preserve"> פירוש, אפילו במדינה שנוהגין בהן שמיטה, כי לא כתב מור"ם בריש סימן זה אלא דבמדינות אלו אין נוהגין, אבל יש מדינות שנוהגין בו, סמ"ע (ל"ז).</w:t>
      </w:r>
    </w:p>
  </w:footnote>
  <w:footnote w:id="5360">
    <w:p w14:paraId="2C0FE545" w14:textId="77777777" w:rsidR="0013116F" w:rsidRDefault="0013116F" w:rsidP="001D49D4">
      <w:pPr>
        <w:pStyle w:val="a9"/>
      </w:pPr>
      <w:r>
        <w:rPr>
          <w:rStyle w:val="ab"/>
        </w:rPr>
        <w:footnoteRef/>
      </w:r>
      <w:r>
        <w:rPr>
          <w:rtl/>
        </w:rPr>
        <w:t xml:space="preserve"> </w:t>
      </w:r>
      <w:r>
        <w:rPr>
          <w:rFonts w:hint="cs"/>
          <w:rtl/>
        </w:rPr>
        <w:t xml:space="preserve">סימן - לבטל </w:t>
      </w:r>
      <w:r>
        <w:rPr>
          <w:sz w:val="16"/>
          <w:szCs w:val="16"/>
          <w:rtl/>
        </w:rPr>
        <w:t>(את הגט)</w:t>
      </w:r>
      <w:r>
        <w:rPr>
          <w:rtl/>
        </w:rPr>
        <w:t xml:space="preserve"> לפני ב'. לבטח </w:t>
      </w:r>
      <w:r>
        <w:rPr>
          <w:sz w:val="16"/>
          <w:szCs w:val="16"/>
          <w:rtl/>
        </w:rPr>
        <w:t>(את החוב)</w:t>
      </w:r>
      <w:r>
        <w:rPr>
          <w:rtl/>
        </w:rPr>
        <w:t xml:space="preserve"> לפני ב'.</w:t>
      </w:r>
    </w:p>
  </w:footnote>
  <w:footnote w:id="5361">
    <w:p w14:paraId="78DB42F5" w14:textId="77777777" w:rsidR="0013116F" w:rsidRDefault="0013116F" w:rsidP="001D49D4">
      <w:pPr>
        <w:pStyle w:val="a9"/>
      </w:pPr>
      <w:r>
        <w:rPr>
          <w:rStyle w:val="ab"/>
        </w:rPr>
        <w:footnoteRef/>
      </w:r>
      <w:r>
        <w:rPr>
          <w:rtl/>
        </w:rPr>
        <w:t xml:space="preserve"> לא היה מבטלו בפני השליח ולא בפני האשה אלא במקום שהיה עומד היה מבטלו בפני שלשה, רש"י.</w:t>
      </w:r>
    </w:p>
  </w:footnote>
  <w:footnote w:id="5362">
    <w:p w14:paraId="0EA4A85E" w14:textId="77777777" w:rsidR="0013116F" w:rsidRDefault="0013116F" w:rsidP="001D49D4">
      <w:pPr>
        <w:pStyle w:val="a9"/>
        <w:rPr>
          <w:rtl/>
        </w:rPr>
      </w:pPr>
      <w:r>
        <w:rPr>
          <w:rStyle w:val="ab"/>
        </w:rPr>
        <w:footnoteRef/>
      </w:r>
      <w:r>
        <w:rPr>
          <w:rtl/>
        </w:rPr>
        <w:t xml:space="preserve"> שהשליח שאינו יודע בדבר מוליכו לה והיא ניסת בו, רש"י.</w:t>
      </w:r>
    </w:p>
  </w:footnote>
  <w:footnote w:id="5363">
    <w:p w14:paraId="5DDBDF42" w14:textId="77777777" w:rsidR="0013116F" w:rsidRDefault="0013116F" w:rsidP="001D49D4">
      <w:pPr>
        <w:pStyle w:val="a9"/>
        <w:rPr>
          <w:rtl/>
        </w:rPr>
      </w:pPr>
      <w:r>
        <w:rPr>
          <w:rStyle w:val="ab"/>
        </w:rPr>
        <w:footnoteRef/>
      </w:r>
      <w:r>
        <w:rPr>
          <w:rtl/>
        </w:rPr>
        <w:t xml:space="preserve"> תרי משמע וקרי להו דיינים, רש"י.</w:t>
      </w:r>
    </w:p>
  </w:footnote>
  <w:footnote w:id="5364">
    <w:p w14:paraId="5710E142" w14:textId="77777777" w:rsidR="0013116F" w:rsidRDefault="0013116F" w:rsidP="001D49D4">
      <w:pPr>
        <w:pStyle w:val="a9"/>
      </w:pPr>
      <w:r>
        <w:rPr>
          <w:rStyle w:val="ab"/>
        </w:rPr>
        <w:footnoteRef/>
      </w:r>
      <w:r>
        <w:rPr>
          <w:rtl/>
        </w:rPr>
        <w:t xml:space="preserve"> אין הכי נמי דשלשה בעינן והא דלא תנא שלשה פלוני ופלוני ופלוני משום דתנא לאו כי רוכלא ליזיל וליתני, ב"י.</w:t>
      </w:r>
    </w:p>
  </w:footnote>
  <w:footnote w:id="5365">
    <w:p w14:paraId="3D9E8B9A" w14:textId="77777777" w:rsidR="0013116F" w:rsidRDefault="0013116F" w:rsidP="001D49D4">
      <w:pPr>
        <w:pStyle w:val="a9"/>
      </w:pPr>
      <w:r>
        <w:rPr>
          <w:rStyle w:val="ab"/>
        </w:rPr>
        <w:footnoteRef/>
      </w:r>
      <w:r>
        <w:rPr>
          <w:rtl/>
        </w:rPr>
        <w:t xml:space="preserve"> גבי פרוזבול תנן לה במסכת שביעית (פ"י מ"ד), רש"י.</w:t>
      </w:r>
    </w:p>
  </w:footnote>
  <w:footnote w:id="5366">
    <w:p w14:paraId="065E58A2" w14:textId="77777777" w:rsidR="0013116F" w:rsidRDefault="0013116F" w:rsidP="001D49D4">
      <w:pPr>
        <w:pStyle w:val="a9"/>
        <w:rPr>
          <w:rtl/>
        </w:rPr>
      </w:pPr>
      <w:r>
        <w:rPr>
          <w:rStyle w:val="ab"/>
        </w:rPr>
        <w:footnoteRef/>
      </w:r>
      <w:r>
        <w:rPr>
          <w:rtl/>
        </w:rPr>
        <w:t xml:space="preserve"> פירוש, דברים הללו הן לשון המלוה שאומר כן להדיינים בעל פה, והדיינים כותבין דבריו בנוסח זה, במותב תלתא כחדא הוינא ואתא פלוני המלוה ואמר לפנינו מוסרני לכם פלוני כו', וחותמין שלשתן למטה פלוני דיין ופלוני דיין כו', או חותמין בלשון עדים, ור"ל שהם עדים בדבר שאמר לפניהן כן כשהיו יחד במותב תלתא</w:t>
      </w:r>
      <w:r>
        <w:rPr>
          <w:sz w:val="16"/>
          <w:szCs w:val="16"/>
          <w:rtl/>
        </w:rPr>
        <w:t xml:space="preserve"> {ועי' בטור שהביא עוד פירוש}</w:t>
      </w:r>
      <w:r>
        <w:rPr>
          <w:rtl/>
        </w:rPr>
        <w:t>..., סמ"ע (סקל"ח).</w:t>
      </w:r>
    </w:p>
  </w:footnote>
  <w:footnote w:id="5367">
    <w:p w14:paraId="6C7AEF7A" w14:textId="77777777" w:rsidR="0013116F" w:rsidRDefault="0013116F" w:rsidP="001D49D4">
      <w:pPr>
        <w:pStyle w:val="a9"/>
      </w:pPr>
      <w:r>
        <w:rPr>
          <w:rStyle w:val="ab"/>
        </w:rPr>
        <w:footnoteRef/>
      </w:r>
      <w:r>
        <w:rPr>
          <w:rtl/>
        </w:rPr>
        <w:t xml:space="preserve"> אינו ר"ל מוסר השטרות, דבפרוזבול אין צריך למסור השט"ח וכמו שכתבתי בסעיף י"א [סקכ"ב], אלא ר"ל מוסרני דברים הללו לכם הב"ד. ולפ"ז לא ה"ל למור"ם להסיק ולכתוב ז"ל, וה"ה שיכול למסור חובותיו שבעל פה. דמהיכי תיתי לחלק כיון דלא כתב המחבר דבשט"ח איירי, סמ"ע (סקל"ט).</w:t>
      </w:r>
    </w:p>
  </w:footnote>
  <w:footnote w:id="5368">
    <w:p w14:paraId="4342171A" w14:textId="77777777" w:rsidR="0013116F" w:rsidRDefault="0013116F" w:rsidP="001D49D4">
      <w:pPr>
        <w:pStyle w:val="a9"/>
        <w:rPr>
          <w:rtl/>
        </w:rPr>
      </w:pPr>
      <w:r>
        <w:rPr>
          <w:rStyle w:val="ab"/>
        </w:rPr>
        <w:footnoteRef/>
      </w:r>
      <w:r>
        <w:rPr>
          <w:rtl/>
        </w:rPr>
        <w:t xml:space="preserve"> </w:t>
      </w:r>
      <w:r>
        <w:rPr>
          <w:rFonts w:hint="cs"/>
          <w:rtl/>
        </w:rPr>
        <w:t xml:space="preserve">סימן – לומר </w:t>
      </w:r>
      <w:bookmarkStart w:id="752" w:name="_Hlk16693431"/>
      <w:r>
        <w:rPr>
          <w:rFonts w:hint="cs"/>
          <w:rtl/>
        </w:rPr>
        <w:t>פרוזב</w:t>
      </w:r>
      <w:r>
        <w:rPr>
          <w:rFonts w:hint="cs"/>
          <w:b/>
          <w:bCs/>
          <w:rtl/>
        </w:rPr>
        <w:t>ול</w:t>
      </w:r>
      <w:bookmarkEnd w:id="752"/>
      <w:r>
        <w:rPr>
          <w:rFonts w:hint="cs"/>
          <w:rtl/>
        </w:rPr>
        <w:t>.</w:t>
      </w:r>
    </w:p>
  </w:footnote>
  <w:footnote w:id="5369">
    <w:p w14:paraId="597D1CFB" w14:textId="77777777" w:rsidR="0013116F" w:rsidRDefault="0013116F" w:rsidP="001D49D4">
      <w:pPr>
        <w:pStyle w:val="a9"/>
      </w:pPr>
      <w:r>
        <w:rPr>
          <w:rStyle w:val="ab"/>
        </w:rPr>
        <w:footnoteRef/>
      </w:r>
      <w:r>
        <w:rPr>
          <w:rtl/>
        </w:rPr>
        <w:t xml:space="preserve"> אושיב בית דין ואתקין דסתם מלוין יהו כמוסרין שטרותיהן לבית דין ואף על גב דלא כתב ניהוי כמו שכתב, רש"י.</w:t>
      </w:r>
    </w:p>
  </w:footnote>
  <w:footnote w:id="5370">
    <w:p w14:paraId="2FCDAF89" w14:textId="77777777" w:rsidR="0013116F" w:rsidRDefault="0013116F" w:rsidP="001D49D4">
      <w:pPr>
        <w:pStyle w:val="a9"/>
      </w:pPr>
      <w:r>
        <w:rPr>
          <w:rStyle w:val="ab"/>
        </w:rPr>
        <w:footnoteRef/>
      </w:r>
      <w:r>
        <w:rPr>
          <w:rtl/>
        </w:rPr>
        <w:t xml:space="preserve"> כלומר אע"פ שלא כתב פרוזבול אלא לשון הכתוב בפרוזבול אמרו על פה לפני הדיינין - מועיל כאילו הוא כתוב, ואהא סמכו רבנן דבי רב אשי דמסרי מילתייהו להדדי וכן רבי נתן מסר מילי לרבי חייא בר אבא אמר ליה צריכנא מידי אחרינא אמר ליה לא, ורבי חייא בר אבא היה עמו אחר דשנים בעינן כדתנן בפרק בתרא דשביעית, רא"ש (סי' יג).</w:t>
      </w:r>
    </w:p>
  </w:footnote>
  <w:footnote w:id="5371">
    <w:p w14:paraId="00D3F942" w14:textId="77777777" w:rsidR="0013116F" w:rsidRDefault="0013116F" w:rsidP="001D49D4">
      <w:pPr>
        <w:pStyle w:val="a9"/>
        <w:rPr>
          <w:rtl/>
        </w:rPr>
      </w:pPr>
      <w:r>
        <w:rPr>
          <w:rStyle w:val="ab"/>
        </w:rPr>
        <w:footnoteRef/>
      </w:r>
      <w:r>
        <w:rPr>
          <w:rtl/>
        </w:rPr>
        <w:t xml:space="preserve"> בלא כתיבת פרוזבול אלא כך אמר לחברים הרי אתם בית דין וחובי מסור לכם לגבותו כל זמן שארצה, רש"י.</w:t>
      </w:r>
    </w:p>
  </w:footnote>
  <w:footnote w:id="5372">
    <w:p w14:paraId="5F0E0E53" w14:textId="77777777" w:rsidR="0013116F" w:rsidRDefault="0013116F" w:rsidP="001D49D4">
      <w:pPr>
        <w:pStyle w:val="a9"/>
        <w:rPr>
          <w:rtl/>
        </w:rPr>
      </w:pPr>
      <w:r>
        <w:rPr>
          <w:rStyle w:val="ab"/>
        </w:rPr>
        <w:footnoteRef/>
      </w:r>
      <w:r>
        <w:rPr>
          <w:rtl/>
        </w:rPr>
        <w:t xml:space="preserve"> אחרי שהב"י הביא את דברי הרא"ש כתב דמשמע דלכולי עלמא נמי בהכי סגי, אבל הרמב"ם כתב בפרק הנזכר-...</w:t>
      </w:r>
    </w:p>
  </w:footnote>
  <w:footnote w:id="5373">
    <w:p w14:paraId="39486C95" w14:textId="77777777" w:rsidR="0013116F" w:rsidRDefault="0013116F" w:rsidP="001D49D4">
      <w:pPr>
        <w:pStyle w:val="a9"/>
        <w:rPr>
          <w:rtl/>
        </w:rPr>
      </w:pPr>
      <w:r>
        <w:rPr>
          <w:rStyle w:val="ab"/>
        </w:rPr>
        <w:footnoteRef/>
      </w:r>
      <w:r>
        <w:rPr>
          <w:rtl/>
        </w:rPr>
        <w:t xml:space="preserve"> וראיתי במצרים נוהגים כהרמב"ם, ועיין בתשובות הר"ן (סי' עז), ב"י. </w:t>
      </w:r>
    </w:p>
  </w:footnote>
  <w:footnote w:id="5374">
    <w:p w14:paraId="2A7A5AAF" w14:textId="77777777" w:rsidR="0013116F" w:rsidRDefault="0013116F" w:rsidP="001D49D4">
      <w:pPr>
        <w:pStyle w:val="a9"/>
        <w:rPr>
          <w:rtl/>
        </w:rPr>
      </w:pPr>
      <w:r>
        <w:rPr>
          <w:rStyle w:val="ab"/>
        </w:rPr>
        <w:footnoteRef/>
      </w:r>
      <w:r>
        <w:rPr>
          <w:rtl/>
        </w:rPr>
        <w:t xml:space="preserve"> </w:t>
      </w:r>
      <w:r>
        <w:rPr>
          <w:rFonts w:hint="cs"/>
          <w:rtl/>
        </w:rPr>
        <w:t>סימן – בלשון ג'</w:t>
      </w:r>
      <w:r>
        <w:rPr>
          <w:sz w:val="14"/>
          <w:szCs w:val="14"/>
          <w:rtl/>
        </w:rPr>
        <w:t xml:space="preserve"> (עדים)</w:t>
      </w:r>
      <w:r>
        <w:rPr>
          <w:rtl/>
        </w:rPr>
        <w:t>, בלשון גדולים</w:t>
      </w:r>
      <w:r>
        <w:rPr>
          <w:sz w:val="14"/>
          <w:szCs w:val="14"/>
          <w:rtl/>
        </w:rPr>
        <w:t xml:space="preserve"> (ב"ד)</w:t>
      </w:r>
      <w:r>
        <w:rPr>
          <w:rtl/>
        </w:rPr>
        <w:t>.</w:t>
      </w:r>
    </w:p>
  </w:footnote>
  <w:footnote w:id="5375">
    <w:p w14:paraId="32F5BB26" w14:textId="77777777" w:rsidR="0013116F" w:rsidRDefault="0013116F" w:rsidP="001D49D4">
      <w:pPr>
        <w:pStyle w:val="a9"/>
      </w:pPr>
      <w:r>
        <w:rPr>
          <w:rStyle w:val="ab"/>
        </w:rPr>
        <w:footnoteRef/>
      </w:r>
      <w:r>
        <w:rPr>
          <w:rtl/>
        </w:rPr>
        <w:t xml:space="preserve"> פשיטא דסגי בהני או בהני וליתני עדים והוא הדין אי חתמי דיינין, רש"י.</w:t>
      </w:r>
    </w:p>
  </w:footnote>
  <w:footnote w:id="5376">
    <w:p w14:paraId="181976E6" w14:textId="77777777" w:rsidR="0013116F" w:rsidRDefault="0013116F" w:rsidP="001D49D4">
      <w:pPr>
        <w:pStyle w:val="a9"/>
        <w:rPr>
          <w:rtl/>
        </w:rPr>
      </w:pPr>
      <w:r>
        <w:rPr>
          <w:rStyle w:val="ab"/>
        </w:rPr>
        <w:footnoteRef/>
      </w:r>
      <w:r>
        <w:rPr>
          <w:rtl/>
        </w:rPr>
        <w:t xml:space="preserve"> כגון בי דינא הוינא ואתא פלוני ואמר לנא מוסרני לכם פלוני ופלוני כו', רש"י.</w:t>
      </w:r>
    </w:p>
  </w:footnote>
  <w:footnote w:id="5377">
    <w:p w14:paraId="23F32415" w14:textId="77777777" w:rsidR="0013116F" w:rsidRDefault="0013116F" w:rsidP="001D49D4">
      <w:pPr>
        <w:pStyle w:val="a9"/>
        <w:rPr>
          <w:rtl/>
        </w:rPr>
      </w:pPr>
      <w:r>
        <w:rPr>
          <w:rStyle w:val="ab"/>
        </w:rPr>
        <w:footnoteRef/>
      </w:r>
      <w:r>
        <w:rPr>
          <w:rtl/>
        </w:rPr>
        <w:t xml:space="preserve"> בלשון עדות כגון איש פלוני עד, רש"י.</w:t>
      </w:r>
    </w:p>
  </w:footnote>
  <w:footnote w:id="5378">
    <w:p w14:paraId="41BBFAE4" w14:textId="77777777" w:rsidR="0013116F" w:rsidRDefault="0013116F" w:rsidP="001D49D4">
      <w:pPr>
        <w:pStyle w:val="a9"/>
        <w:rPr>
          <w:rtl/>
        </w:rPr>
      </w:pPr>
      <w:r>
        <w:rPr>
          <w:rStyle w:val="ab"/>
        </w:rPr>
        <w:footnoteRef/>
      </w:r>
      <w:r>
        <w:rPr>
          <w:rtl/>
        </w:rPr>
        <w:t xml:space="preserve"> כגון דוכרן סהדותא דהוה באנפנא כו' וחתמי למטה אני פלוני דיין, רש"י.</w:t>
      </w:r>
    </w:p>
  </w:footnote>
  <w:footnote w:id="5379">
    <w:p w14:paraId="6394DEAF" w14:textId="77777777" w:rsidR="0013116F" w:rsidRDefault="0013116F" w:rsidP="001D49D4">
      <w:pPr>
        <w:pStyle w:val="a9"/>
        <w:rPr>
          <w:rtl/>
        </w:rPr>
      </w:pPr>
      <w:r>
        <w:rPr>
          <w:rStyle w:val="ab"/>
        </w:rPr>
        <w:footnoteRef/>
      </w:r>
      <w:r>
        <w:rPr>
          <w:rtl/>
        </w:rPr>
        <w:t xml:space="preserve"> נראה דלאו אדלעיל 'הוו עלי סהדי' קאי, אלא כונתו דאם התחיל לכתוב בלשון דיינים במותב תלתא דייני כחדא הוינא, וגם חתמו בו דיינים, זהו טפי מעלי ממה שכתב ראשונה דהעדים יתנו לו כתוב וחתום איך שידוע להן שמסר פרוזבול לפני דיינים אחרים, סמ"ע (סק"מ).</w:t>
      </w:r>
    </w:p>
  </w:footnote>
  <w:footnote w:id="5380">
    <w:p w14:paraId="612FC1F4" w14:textId="77777777" w:rsidR="0013116F" w:rsidRDefault="0013116F" w:rsidP="001D49D4">
      <w:pPr>
        <w:pStyle w:val="a9"/>
        <w:rPr>
          <w:u w:val="single"/>
          <w:rtl/>
        </w:rPr>
      </w:pPr>
      <w:r>
        <w:rPr>
          <w:rStyle w:val="ab"/>
        </w:rPr>
        <w:footnoteRef/>
      </w:r>
      <w:r>
        <w:rPr>
          <w:rtl/>
        </w:rPr>
        <w:t xml:space="preserve"> </w:t>
      </w:r>
      <w:r>
        <w:rPr>
          <w:rFonts w:hint="cs"/>
          <w:u w:val="single"/>
          <w:rtl/>
        </w:rPr>
        <w:t>ונחלקו הראשונים מדוע אין כותבין פרוזבול אלא על הקרקע:</w:t>
      </w:r>
    </w:p>
    <w:p w14:paraId="00309A71" w14:textId="77777777" w:rsidR="0013116F" w:rsidRDefault="0013116F" w:rsidP="004B0475">
      <w:pPr>
        <w:pStyle w:val="a9"/>
        <w:numPr>
          <w:ilvl w:val="0"/>
          <w:numId w:val="350"/>
        </w:numPr>
        <w:rPr>
          <w:rtl/>
        </w:rPr>
      </w:pPr>
      <w:r>
        <w:rPr>
          <w:rtl/>
        </w:rPr>
        <w:t xml:space="preserve">רש"י </w:t>
      </w:r>
      <w:r>
        <w:rPr>
          <w:sz w:val="16"/>
          <w:szCs w:val="16"/>
          <w:rtl/>
        </w:rPr>
        <w:t>(פרק השולח לז.)</w:t>
      </w:r>
      <w:r>
        <w:rPr>
          <w:rtl/>
        </w:rPr>
        <w:t xml:space="preserve">- דלא תקנו אלא בזמן שהחוב כשאר רוב שטרות שהן נגבין מן הקרקע דהוי מילתא דשכיחא, כדאמרינן בכמה דוכתי </w:t>
      </w:r>
      <w:r>
        <w:rPr>
          <w:sz w:val="16"/>
          <w:szCs w:val="16"/>
          <w:rtl/>
        </w:rPr>
        <w:t xml:space="preserve">(עירובין סג:, כתובות נו:) </w:t>
      </w:r>
      <w:r>
        <w:rPr>
          <w:rtl/>
        </w:rPr>
        <w:t xml:space="preserve">דבמילתא דלא שכיחא לא עבדי רבנן תקנתא. </w:t>
      </w:r>
    </w:p>
    <w:p w14:paraId="63A18AA2" w14:textId="77777777" w:rsidR="0013116F" w:rsidRDefault="0013116F" w:rsidP="004B0475">
      <w:pPr>
        <w:pStyle w:val="a9"/>
        <w:numPr>
          <w:ilvl w:val="0"/>
          <w:numId w:val="350"/>
        </w:numPr>
        <w:rPr>
          <w:rtl/>
        </w:rPr>
      </w:pPr>
      <w:r>
        <w:rPr>
          <w:rtl/>
        </w:rPr>
        <w:t xml:space="preserve">ר"ש </w:t>
      </w:r>
      <w:r>
        <w:rPr>
          <w:sz w:val="16"/>
          <w:szCs w:val="16"/>
          <w:rtl/>
        </w:rPr>
        <w:t>(בפהמ"ש שם)</w:t>
      </w:r>
      <w:r>
        <w:rPr>
          <w:rtl/>
        </w:rPr>
        <w:t xml:space="preserve">- משום דאז חשוב החוב כגבוי ביד בית דין ולא קרינן ביה לא יגוש. </w:t>
      </w:r>
    </w:p>
  </w:footnote>
  <w:footnote w:id="5381">
    <w:p w14:paraId="475061CA" w14:textId="77777777" w:rsidR="0013116F" w:rsidRDefault="0013116F" w:rsidP="001D49D4">
      <w:pPr>
        <w:pStyle w:val="a9"/>
        <w:rPr>
          <w:rtl/>
        </w:rPr>
      </w:pPr>
      <w:r>
        <w:rPr>
          <w:rStyle w:val="ab"/>
        </w:rPr>
        <w:footnoteRef/>
      </w:r>
      <w:r>
        <w:rPr>
          <w:rtl/>
        </w:rPr>
        <w:t xml:space="preserve"> שעליהם מוטל המצוה לפרוע חובת אביהן, רש"י.</w:t>
      </w:r>
    </w:p>
  </w:footnote>
  <w:footnote w:id="5382">
    <w:p w14:paraId="71C44AB0" w14:textId="77777777" w:rsidR="0013116F" w:rsidRDefault="0013116F" w:rsidP="001D49D4">
      <w:pPr>
        <w:pStyle w:val="a9"/>
        <w:rPr>
          <w:rtl/>
        </w:rPr>
      </w:pPr>
      <w:r>
        <w:rPr>
          <w:rStyle w:val="ab"/>
        </w:rPr>
        <w:footnoteRef/>
      </w:r>
      <w:r>
        <w:rPr>
          <w:rtl/>
        </w:rPr>
        <w:t xml:space="preserve"> כלומר הניח קרקע מועט אין זה מפריש בחזקת יורשין אלא כשיעור דמי הקרקע, רש"י.</w:t>
      </w:r>
    </w:p>
  </w:footnote>
  <w:footnote w:id="5383">
    <w:p w14:paraId="127226A5" w14:textId="77777777" w:rsidR="0013116F" w:rsidRDefault="0013116F" w:rsidP="001D49D4">
      <w:pPr>
        <w:pStyle w:val="a9"/>
        <w:rPr>
          <w:rtl/>
        </w:rPr>
      </w:pPr>
      <w:r>
        <w:rPr>
          <w:rStyle w:val="ab"/>
        </w:rPr>
        <w:footnoteRef/>
      </w:r>
      <w:r>
        <w:rPr>
          <w:rtl/>
        </w:rPr>
        <w:t xml:space="preserve"> כלומר קרקע הרבה, רש"י.</w:t>
      </w:r>
    </w:p>
  </w:footnote>
  <w:footnote w:id="5384">
    <w:p w14:paraId="40414036" w14:textId="77777777" w:rsidR="0013116F" w:rsidRDefault="0013116F" w:rsidP="001D49D4">
      <w:pPr>
        <w:pStyle w:val="a9"/>
        <w:rPr>
          <w:rtl/>
        </w:rPr>
      </w:pPr>
      <w:r>
        <w:rPr>
          <w:rStyle w:val="ab"/>
        </w:rPr>
        <w:footnoteRef/>
      </w:r>
      <w:r>
        <w:rPr>
          <w:rtl/>
        </w:rPr>
        <w:t xml:space="preserve"> כלומר כל חובו לפי שהוא יכול לטרוף ולחזור ולטרוף כל שעה שיפדוהו ממנו, רש"י.</w:t>
      </w:r>
    </w:p>
  </w:footnote>
  <w:footnote w:id="5385">
    <w:p w14:paraId="22494145" w14:textId="77777777" w:rsidR="0013116F" w:rsidRDefault="0013116F" w:rsidP="001D49D4">
      <w:pPr>
        <w:pStyle w:val="a9"/>
        <w:rPr>
          <w:rtl/>
        </w:rPr>
      </w:pPr>
      <w:r>
        <w:rPr>
          <w:rStyle w:val="ab"/>
        </w:rPr>
        <w:footnoteRef/>
      </w:r>
      <w:r>
        <w:rPr>
          <w:rtl/>
        </w:rPr>
        <w:t xml:space="preserve"> במי שהיה נשוי בכתובות (דף צא:) דההוא דהוו מסקי ביה מאה זוזי ושכיב ושביק קטינא</w:t>
      </w:r>
      <w:r>
        <w:rPr>
          <w:sz w:val="16"/>
          <w:szCs w:val="16"/>
          <w:rtl/>
        </w:rPr>
        <w:t xml:space="preserve"> {חלקת אדמה}</w:t>
      </w:r>
      <w:r>
        <w:rPr>
          <w:rtl/>
        </w:rPr>
        <w:t xml:space="preserve"> שוי חמשים, אתא בעל חוב טרפוה, אתו יתמי יהבי ליה חמשין וסלקוהו, הדר אתא טרפה כו', רש"י.</w:t>
      </w:r>
    </w:p>
  </w:footnote>
  <w:footnote w:id="5386">
    <w:p w14:paraId="6F59ABE3" w14:textId="77777777" w:rsidR="0013116F" w:rsidRDefault="0013116F" w:rsidP="001D49D4">
      <w:pPr>
        <w:pStyle w:val="a9"/>
        <w:rPr>
          <w:rtl/>
        </w:rPr>
      </w:pPr>
      <w:r>
        <w:rPr>
          <w:rStyle w:val="ab"/>
        </w:rPr>
        <w:footnoteRef/>
      </w:r>
      <w:r>
        <w:rPr>
          <w:rtl/>
        </w:rPr>
        <w:t xml:space="preserve"> </w:t>
      </w:r>
      <w:r>
        <w:rPr>
          <w:rFonts w:hint="cs"/>
          <w:rtl/>
        </w:rPr>
        <w:t>סימן - זיכוי לטה לזכות לוה.</w:t>
      </w:r>
    </w:p>
  </w:footnote>
  <w:footnote w:id="5387">
    <w:p w14:paraId="5E2409AA" w14:textId="77777777" w:rsidR="0013116F" w:rsidRDefault="0013116F" w:rsidP="001D49D4">
      <w:pPr>
        <w:pStyle w:val="a9"/>
      </w:pPr>
      <w:r>
        <w:rPr>
          <w:rStyle w:val="ab"/>
        </w:rPr>
        <w:footnoteRef/>
      </w:r>
      <w:r>
        <w:rPr>
          <w:rtl/>
        </w:rPr>
        <w:t xml:space="preserve"> המלוה קרקע כל שהוא בתוך שדהו, רש"י.</w:t>
      </w:r>
    </w:p>
  </w:footnote>
  <w:footnote w:id="5388">
    <w:p w14:paraId="2793B5AC" w14:textId="77777777" w:rsidR="0013116F" w:rsidRDefault="0013116F" w:rsidP="001D49D4">
      <w:pPr>
        <w:pStyle w:val="a9"/>
      </w:pPr>
      <w:r>
        <w:rPr>
          <w:rStyle w:val="ab"/>
        </w:rPr>
        <w:footnoteRef/>
      </w:r>
      <w:r>
        <w:rPr>
          <w:rtl/>
        </w:rPr>
        <w:t xml:space="preserve"> ואע"פ שאינו שוה כל החוב, כדקתני לקמיה קרקע כל שהו הא אמרן </w:t>
      </w:r>
      <w:r>
        <w:rPr>
          <w:sz w:val="16"/>
          <w:szCs w:val="16"/>
          <w:rtl/>
        </w:rPr>
        <w:t xml:space="preserve">(גיטין ל:) </w:t>
      </w:r>
      <w:r>
        <w:rPr>
          <w:rtl/>
        </w:rPr>
        <w:t xml:space="preserve">אפילו מלא מחט גובה מלא קרדום כמעשה דקטינא דאביי </w:t>
      </w:r>
      <w:r>
        <w:rPr>
          <w:sz w:val="16"/>
          <w:szCs w:val="16"/>
          <w:rtl/>
        </w:rPr>
        <w:t>(כתובות צא:)</w:t>
      </w:r>
      <w:r>
        <w:rPr>
          <w:rtl/>
        </w:rPr>
        <w:t xml:space="preserve">, רש"י. וכתב הרשב"א (ד"ה נקוב) וכל שהו זה אפילו ראוי לנעוץ בו מחט כדמשמע פרק קמא דקדושין (כו.) וסוף פ"ב דבתרא (כז.). וכתבו התוס' </w:t>
      </w:r>
      <w:r>
        <w:rPr>
          <w:sz w:val="16"/>
          <w:szCs w:val="16"/>
          <w:rtl/>
        </w:rPr>
        <w:t>(גיטין לז. ד"ה אלא)</w:t>
      </w:r>
      <w:r>
        <w:rPr>
          <w:rtl/>
        </w:rPr>
        <w:t xml:space="preserve"> דהא דכתבינן אקרקע כל שהו פירש רבינו שמואל משום דקרקע כל שהו שוה כל החוב דאין אונאה לקרקעות </w:t>
      </w:r>
      <w:r>
        <w:rPr>
          <w:sz w:val="16"/>
          <w:szCs w:val="16"/>
          <w:rtl/>
        </w:rPr>
        <w:t>(ב"מ נו.)</w:t>
      </w:r>
      <w:r>
        <w:rPr>
          <w:rtl/>
        </w:rPr>
        <w:t xml:space="preserve">. </w:t>
      </w:r>
      <w:r>
        <w:rPr>
          <w:sz w:val="16"/>
          <w:szCs w:val="16"/>
          <w:rtl/>
        </w:rPr>
        <w:t>(כלומר דסבירא ליה כהרי"ף (שם לב.) והרמב"ם (מכירה פי"ג ה"ח) דביטול מקח נמי אין להם, ב"י)</w:t>
      </w:r>
    </w:p>
  </w:footnote>
  <w:footnote w:id="5389">
    <w:p w14:paraId="68AD4513" w14:textId="77777777" w:rsidR="0013116F" w:rsidRDefault="0013116F" w:rsidP="001D49D4">
      <w:pPr>
        <w:pStyle w:val="a9"/>
      </w:pPr>
      <w:r>
        <w:rPr>
          <w:rStyle w:val="ab"/>
        </w:rPr>
        <w:footnoteRef/>
      </w:r>
      <w:r>
        <w:rPr>
          <w:rtl/>
        </w:rPr>
        <w:t xml:space="preserve"> להניח בו תנור או כיריים המטלטלין, רש"י.</w:t>
      </w:r>
    </w:p>
  </w:footnote>
  <w:footnote w:id="5390">
    <w:p w14:paraId="5A3FCF94" w14:textId="77777777" w:rsidR="0013116F" w:rsidRDefault="0013116F" w:rsidP="001D49D4">
      <w:pPr>
        <w:pStyle w:val="a9"/>
      </w:pPr>
      <w:r>
        <w:rPr>
          <w:rStyle w:val="ab"/>
        </w:rPr>
        <w:footnoteRef/>
      </w:r>
      <w:r>
        <w:rPr>
          <w:rtl/>
        </w:rPr>
        <w:t xml:space="preserve"> אמורא הוה, רש"י.</w:t>
      </w:r>
    </w:p>
  </w:footnote>
  <w:footnote w:id="5391">
    <w:p w14:paraId="5D0B4D43" w14:textId="77777777" w:rsidR="0013116F" w:rsidRDefault="0013116F" w:rsidP="001D49D4">
      <w:pPr>
        <w:pStyle w:val="a9"/>
      </w:pPr>
      <w:r>
        <w:rPr>
          <w:rStyle w:val="ab"/>
        </w:rPr>
        <w:footnoteRef/>
      </w:r>
      <w:r>
        <w:rPr>
          <w:rtl/>
        </w:rPr>
        <w:t xml:space="preserve"> שהוא מחובר וכל שכן על קרקע עצמו אם שלו היא, רש"י.</w:t>
      </w:r>
    </w:p>
  </w:footnote>
  <w:footnote w:id="5392">
    <w:p w14:paraId="159FDDC8" w14:textId="77777777" w:rsidR="0013116F" w:rsidRDefault="0013116F" w:rsidP="001D49D4">
      <w:pPr>
        <w:pStyle w:val="a9"/>
      </w:pPr>
      <w:r>
        <w:rPr>
          <w:rStyle w:val="ab"/>
        </w:rPr>
        <w:footnoteRef/>
      </w:r>
      <w:r>
        <w:rPr>
          <w:rtl/>
        </w:rPr>
        <w:t xml:space="preserve"> דהא מקומו או שלו הוא או השאילוהו לו הואיל ועציץ שלו הוא, רש"י.</w:t>
      </w:r>
    </w:p>
  </w:footnote>
  <w:footnote w:id="5393">
    <w:p w14:paraId="310BFE59" w14:textId="77777777" w:rsidR="0013116F" w:rsidRDefault="0013116F" w:rsidP="001D49D4">
      <w:pPr>
        <w:pStyle w:val="a9"/>
      </w:pPr>
      <w:r>
        <w:rPr>
          <w:rStyle w:val="ab"/>
        </w:rPr>
        <w:footnoteRef/>
      </w:r>
      <w:r>
        <w:rPr>
          <w:rtl/>
        </w:rPr>
        <w:t xml:space="preserve"> על גבי יתדות ואין הקרקע שלו הלכך נקוב הוי כמחובר ושאינו נקוב אין כאן קרקע, רש"י.</w:t>
      </w:r>
    </w:p>
  </w:footnote>
  <w:footnote w:id="5394">
    <w:p w14:paraId="34297B1E" w14:textId="77777777" w:rsidR="0013116F" w:rsidRDefault="0013116F" w:rsidP="001D49D4">
      <w:pPr>
        <w:pStyle w:val="a9"/>
      </w:pPr>
      <w:r>
        <w:rPr>
          <w:rStyle w:val="ab"/>
        </w:rPr>
        <w:footnoteRef/>
      </w:r>
      <w:r>
        <w:rPr>
          <w:rtl/>
        </w:rPr>
        <w:t xml:space="preserve"> לאדם אחר שחייב ללוה זה מנה, רש"י. אך הרשב"א (ד"ה לו) פירש דחייב למלוה או לערב קאמר. אבל הטור מפרש ד'חייב לו'- למלוה נמי קאמר, כלומר היכא דיש למי שחייב למלוה דהוי כאילו יש למלוה ויכול לזכות ללוה, ב"י.</w:t>
      </w:r>
    </w:p>
  </w:footnote>
  <w:footnote w:id="5395">
    <w:p w14:paraId="3664FF1F" w14:textId="77777777" w:rsidR="0013116F" w:rsidRDefault="0013116F" w:rsidP="001D49D4">
      <w:pPr>
        <w:pStyle w:val="a9"/>
        <w:rPr>
          <w:rtl/>
        </w:rPr>
      </w:pPr>
      <w:r>
        <w:rPr>
          <w:rStyle w:val="ab"/>
        </w:rPr>
        <w:footnoteRef/>
      </w:r>
      <w:r>
        <w:rPr>
          <w:rtl/>
        </w:rPr>
        <w:t xml:space="preserve"> הוי קרקע לוי החייב לשמעון משועבד לפרוזבולו של ראובן המלוה את שמעון, רש"י.</w:t>
      </w:r>
    </w:p>
  </w:footnote>
  <w:footnote w:id="5396">
    <w:p w14:paraId="5B9C1E34" w14:textId="77777777" w:rsidR="0013116F" w:rsidRDefault="0013116F" w:rsidP="001D49D4">
      <w:pPr>
        <w:pStyle w:val="a9"/>
        <w:rPr>
          <w:rtl/>
        </w:rPr>
      </w:pPr>
      <w:r>
        <w:rPr>
          <w:rStyle w:val="ab"/>
        </w:rPr>
        <w:footnoteRef/>
      </w:r>
      <w:r>
        <w:rPr>
          <w:rtl/>
        </w:rPr>
        <w:t xml:space="preserve"> ללוה.</w:t>
      </w:r>
    </w:p>
  </w:footnote>
  <w:footnote w:id="5397">
    <w:p w14:paraId="0F3F97D8" w14:textId="77777777" w:rsidR="0013116F" w:rsidRDefault="0013116F" w:rsidP="001D49D4">
      <w:pPr>
        <w:pStyle w:val="a9"/>
        <w:rPr>
          <w:rtl/>
        </w:rPr>
      </w:pPr>
      <w:r>
        <w:rPr>
          <w:rStyle w:val="ab"/>
        </w:rPr>
        <w:footnoteRef/>
      </w:r>
      <w:r>
        <w:rPr>
          <w:rtl/>
        </w:rPr>
        <w:t xml:space="preserve"> פירוש, לאלה שחייבים מעות ללווה יש קרקע.</w:t>
      </w:r>
    </w:p>
  </w:footnote>
  <w:footnote w:id="5398">
    <w:p w14:paraId="15B102FA" w14:textId="77777777" w:rsidR="0013116F" w:rsidRDefault="0013116F" w:rsidP="001D49D4">
      <w:pPr>
        <w:pStyle w:val="a9"/>
        <w:rPr>
          <w:rtl/>
        </w:rPr>
      </w:pPr>
      <w:r>
        <w:rPr>
          <w:rStyle w:val="ab"/>
        </w:rPr>
        <w:footnoteRef/>
      </w:r>
      <w:r>
        <w:rPr>
          <w:rtl/>
        </w:rPr>
        <w:t xml:space="preserve"> כמו שראינו לעיל שדיני שמיטה ודיני ממונות דומים, וכמו שבדיני ממונות יש שיעבודא דרבי נתן, כך גם כאן, נמצא שללווה יש קרקע, ידיד נפש.</w:t>
      </w:r>
    </w:p>
  </w:footnote>
  <w:footnote w:id="5399">
    <w:p w14:paraId="42CBEB90" w14:textId="77777777" w:rsidR="0013116F" w:rsidRDefault="0013116F" w:rsidP="001D49D4">
      <w:pPr>
        <w:pStyle w:val="a9"/>
      </w:pPr>
      <w:r>
        <w:rPr>
          <w:rStyle w:val="ab"/>
        </w:rPr>
        <w:footnoteRef/>
      </w:r>
      <w:r>
        <w:rPr>
          <w:rtl/>
        </w:rPr>
        <w:t xml:space="preserve"> כלומר, חלקת שדה קטנה מאד שאפשר לזרוע בה רק קלח אחד, ידיד נפש.</w:t>
      </w:r>
    </w:p>
  </w:footnote>
  <w:footnote w:id="5400">
    <w:p w14:paraId="2418DCBD" w14:textId="77777777" w:rsidR="0013116F" w:rsidRDefault="0013116F" w:rsidP="001D49D4">
      <w:pPr>
        <w:pStyle w:val="a9"/>
      </w:pPr>
      <w:r>
        <w:rPr>
          <w:rStyle w:val="ab"/>
        </w:rPr>
        <w:footnoteRef/>
      </w:r>
      <w:r>
        <w:rPr>
          <w:rtl/>
        </w:rPr>
        <w:t xml:space="preserve"> וכתב הרשב"א (ד"ה לו) נ"ל דחייב למלוה או לערב קאמר. ורבינו</w:t>
      </w:r>
      <w:r>
        <w:rPr>
          <w:sz w:val="16"/>
          <w:szCs w:val="16"/>
          <w:rtl/>
        </w:rPr>
        <w:t xml:space="preserve"> {הטור}</w:t>
      </w:r>
      <w:r>
        <w:rPr>
          <w:rtl/>
        </w:rPr>
        <w:t xml:space="preserve"> מפרש דחייב לו למלוה נמי קאמר כלומר היכא דיש למי שחייב למלוה דהוי כאילו יש למלוה ויכול לזכות ללוה, ב"י.</w:t>
      </w:r>
    </w:p>
  </w:footnote>
  <w:footnote w:id="5401">
    <w:p w14:paraId="68D907F0" w14:textId="77777777" w:rsidR="0013116F" w:rsidRDefault="0013116F" w:rsidP="001D49D4">
      <w:pPr>
        <w:pStyle w:val="a9"/>
      </w:pPr>
      <w:r>
        <w:rPr>
          <w:rStyle w:val="ab"/>
        </w:rPr>
        <w:footnoteRef/>
      </w:r>
      <w:r>
        <w:rPr>
          <w:rtl/>
        </w:rPr>
        <w:t xml:space="preserve"> אפילו ע"י אחר שלא בפניו וכו'. כן כתבו הרא"ש (סי' טו) והר"ן (שם) בהשולח. וכתב הרא"ש דקל הוא שהקילו בפרוזבול דאע"פ שחוב הוא לו יכול לזכותו, ב"י.</w:t>
      </w:r>
    </w:p>
  </w:footnote>
  <w:footnote w:id="5402">
    <w:p w14:paraId="691274C0" w14:textId="77777777" w:rsidR="0013116F" w:rsidRDefault="0013116F" w:rsidP="001D49D4">
      <w:pPr>
        <w:pStyle w:val="a9"/>
        <w:rPr>
          <w:rtl/>
        </w:rPr>
      </w:pPr>
      <w:r>
        <w:rPr>
          <w:rStyle w:val="ab"/>
        </w:rPr>
        <w:footnoteRef/>
      </w:r>
      <w:r>
        <w:rPr>
          <w:rtl/>
        </w:rPr>
        <w:t xml:space="preserve"> והיכא שצווח כששמע, לדברי רש"י שכתב דהא דבעינן קרקע משום שיהא החוב כשאר רוב שטרות שהן נגבין מן הקרקע, קרוב הדבר לומר שכיון שבשעת כתיבת הפרוזבול היה הקרקע בחזקתו - מהני, אבל לדברי רבינו שמשון שכתב דטעמא משום שאז החוב כגבוי ביד בית דין - משמע דלא מהני. וכן הדין אם היה לו קרקע בשעת כתיבת פרוזבול ומכרו קודם שביעית שהדבר תלוי בסברות שני הפירושים זהו דעתי, ר"ן.</w:t>
      </w:r>
    </w:p>
  </w:footnote>
  <w:footnote w:id="5403">
    <w:p w14:paraId="0415DF8B" w14:textId="77777777" w:rsidR="0013116F" w:rsidRDefault="0013116F" w:rsidP="001D49D4">
      <w:pPr>
        <w:pStyle w:val="a9"/>
      </w:pPr>
      <w:r>
        <w:rPr>
          <w:rStyle w:val="ab"/>
        </w:rPr>
        <w:footnoteRef/>
      </w:r>
      <w:r>
        <w:rPr>
          <w:rtl/>
        </w:rPr>
        <w:t xml:space="preserve"> ואיכא למידק היכי משמע להו מהירושלמי הזה שמצריך שיהא קרקע למלוה וללוה להצריך הקנאת קרקע לפרוזבול דמה ענין זה לענין זה. ונראה לי דמשמע להו דלא צריך הירושלמי שיהא קרקע למלוה אלא כדי שיוכל להקנות שטרותיו אגב קרקע. ואכתי איכא למידק שהירושלמי הזה הוא במחלוקת שנוי, דרב הוא דאמר הכי, ורבי יוחנן פליג עליה ואמר למלוה אע"פ שאין ללוה ללוה אע"פ שאין למלוה, ורב ורבי יוחנן הלכה כרבי יוחנן. ואפשר שאעפ"כ לרווחא דמילתא רצה לתקן מילתא דלכו"ע יהא כשר, ב"י.</w:t>
      </w:r>
    </w:p>
  </w:footnote>
  <w:footnote w:id="5404">
    <w:p w14:paraId="562D794A" w14:textId="77777777" w:rsidR="0013116F" w:rsidRDefault="0013116F" w:rsidP="001D49D4">
      <w:pPr>
        <w:pStyle w:val="a9"/>
      </w:pPr>
      <w:r>
        <w:rPr>
          <w:rStyle w:val="ab"/>
        </w:rPr>
        <w:footnoteRef/>
      </w:r>
      <w:r>
        <w:rPr>
          <w:rtl/>
        </w:rPr>
        <w:t xml:space="preserve"> </w:t>
      </w:r>
      <w:r>
        <w:rPr>
          <w:rFonts w:hint="cs"/>
          <w:rtl/>
        </w:rPr>
        <w:t>סימן - זיכוי לטה לזכות לוה.</w:t>
      </w:r>
    </w:p>
  </w:footnote>
  <w:footnote w:id="5405">
    <w:p w14:paraId="2992E2A7" w14:textId="77777777" w:rsidR="0013116F" w:rsidRDefault="0013116F" w:rsidP="001D49D4">
      <w:pPr>
        <w:pStyle w:val="a9"/>
      </w:pPr>
      <w:r>
        <w:rPr>
          <w:rStyle w:val="ab"/>
        </w:rPr>
        <w:footnoteRef/>
      </w:r>
      <w:r>
        <w:rPr>
          <w:rtl/>
        </w:rPr>
        <w:t xml:space="preserve"> להניח בו תנור או כיריים המטלטלין, רש"י.</w:t>
      </w:r>
    </w:p>
  </w:footnote>
  <w:footnote w:id="5406">
    <w:p w14:paraId="030DE12F" w14:textId="77777777" w:rsidR="0013116F" w:rsidRDefault="0013116F" w:rsidP="001D49D4">
      <w:pPr>
        <w:pStyle w:val="a9"/>
      </w:pPr>
      <w:r>
        <w:rPr>
          <w:rStyle w:val="ab"/>
        </w:rPr>
        <w:footnoteRef/>
      </w:r>
      <w:r>
        <w:rPr>
          <w:rtl/>
        </w:rPr>
        <w:t xml:space="preserve"> ולא מצאתי אחד מן הפוסקים שדבר בדבר זה עד שזימן ה' לידי ומצאתי בעיטור מאמר ג' (טו ע"ג) שדקדק מדתנן (פאה פ"ג מ"ו) רבי עקיבא אומר קרקע כל שהו חייבת בפאה וכו' ולכתוב עליה פרוזבול ולקנות עמה נכסים שאין להם אחריות</w:t>
      </w:r>
      <w:r>
        <w:rPr>
          <w:sz w:val="16"/>
          <w:szCs w:val="16"/>
          <w:rtl/>
        </w:rPr>
        <w:t xml:space="preserve"> {היינו קניין אגב}</w:t>
      </w:r>
      <w:r>
        <w:rPr>
          <w:rtl/>
        </w:rPr>
        <w:t>, שמע מינה דפרוזבול ואגב חד דינא אית להו וכי היכי דאמרינן בפרוזבול מזכה לו בתוך שדהו ואמרינן נמי השאיל לו מקום לתנור וכירים כותב עליו פרוזבול הכי נמי לענין אגב בשאלה או בשכירות סגי והוא דאחזיק עכ"ל. וכ"כ בעל התרומות בשער מ"ג (ח"א סי' יב) הרי שהשוה אגב ופרוזבול, וכתב דבאגב בשכירות סגיא, ואם כן הוא הדין לפרוזבול תנן, ב"י.</w:t>
      </w:r>
    </w:p>
  </w:footnote>
  <w:footnote w:id="5407">
    <w:p w14:paraId="46848A9C" w14:textId="77777777" w:rsidR="0013116F" w:rsidRDefault="0013116F" w:rsidP="001D49D4">
      <w:pPr>
        <w:pStyle w:val="a9"/>
        <w:rPr>
          <w:rtl/>
        </w:rPr>
      </w:pPr>
      <w:r>
        <w:rPr>
          <w:rStyle w:val="ab"/>
        </w:rPr>
        <w:footnoteRef/>
      </w:r>
      <w:r>
        <w:rPr>
          <w:rtl/>
        </w:rPr>
        <w:t xml:space="preserve"> ופירש הרמב"ם </w:t>
      </w:r>
      <w:r>
        <w:rPr>
          <w:sz w:val="16"/>
          <w:szCs w:val="16"/>
          <w:rtl/>
        </w:rPr>
        <w:t>(בפהמ"ש)</w:t>
      </w:r>
      <w:r>
        <w:rPr>
          <w:rtl/>
        </w:rPr>
        <w:t xml:space="preserve"> דאפילו היא ממושכנת במשכנתא דסורא דכתבי במישלם שניא אילין תיפוק ארעא דא בלא כסף ואין לו בה רשות עד שישלם הזמן - אפילו הכי כותבין עליה. וה"ה אפילו אינה בעיר... ולא ידעתי למה השמיט רבינו </w:t>
      </w:r>
      <w:r>
        <w:rPr>
          <w:sz w:val="16"/>
          <w:szCs w:val="16"/>
          <w:rtl/>
        </w:rPr>
        <w:t xml:space="preserve">{הטור} </w:t>
      </w:r>
      <w:r>
        <w:rPr>
          <w:rtl/>
        </w:rPr>
        <w:t>דין זה, ב"י.</w:t>
      </w:r>
    </w:p>
  </w:footnote>
  <w:footnote w:id="5408">
    <w:p w14:paraId="65C667E6" w14:textId="77777777" w:rsidR="0013116F" w:rsidRDefault="0013116F" w:rsidP="001D49D4">
      <w:pPr>
        <w:pStyle w:val="a9"/>
        <w:rPr>
          <w:rtl/>
        </w:rPr>
      </w:pPr>
      <w:r>
        <w:rPr>
          <w:rStyle w:val="ab"/>
        </w:rPr>
        <w:footnoteRef/>
      </w:r>
      <w:r>
        <w:rPr>
          <w:rtl/>
        </w:rPr>
        <w:t xml:space="preserve"> פירוש, שהלוה השכינה ביד אחר. אע"פ שאין לו מעות לפדות וגם הוא באתרא דלא מסלקי, מכל מקום המלוה יכול לכתוב עליה פרוזבול כאילו השדה היתה ביד הלוה, סמ"ע (סקמ"ו).</w:t>
      </w:r>
    </w:p>
  </w:footnote>
  <w:footnote w:id="5409">
    <w:p w14:paraId="078CE29C" w14:textId="77777777" w:rsidR="0013116F" w:rsidRDefault="0013116F" w:rsidP="001D49D4">
      <w:pPr>
        <w:pStyle w:val="a9"/>
      </w:pPr>
      <w:r>
        <w:rPr>
          <w:rStyle w:val="ab"/>
        </w:rPr>
        <w:footnoteRef/>
      </w:r>
      <w:r>
        <w:rPr>
          <w:rtl/>
        </w:rPr>
        <w:t xml:space="preserve"> ושטרותיהם כמסורים לבית דין, ב"י.</w:t>
      </w:r>
    </w:p>
  </w:footnote>
  <w:footnote w:id="5410">
    <w:p w14:paraId="42DE3E68" w14:textId="77777777" w:rsidR="0013116F" w:rsidRDefault="0013116F" w:rsidP="001D49D4">
      <w:pPr>
        <w:pStyle w:val="a9"/>
      </w:pPr>
      <w:r>
        <w:rPr>
          <w:rStyle w:val="ab"/>
        </w:rPr>
        <w:footnoteRef/>
      </w:r>
      <w:r>
        <w:rPr>
          <w:rtl/>
        </w:rPr>
        <w:t xml:space="preserve"> וז"ל- 'אין צריכין פרוסבול'- שאין שביעית משמטת חוב של אביהן המת.</w:t>
      </w:r>
    </w:p>
  </w:footnote>
  <w:footnote w:id="5411">
    <w:p w14:paraId="630CFD69" w14:textId="77777777" w:rsidR="0013116F" w:rsidRDefault="0013116F" w:rsidP="001D49D4">
      <w:pPr>
        <w:pStyle w:val="a9"/>
      </w:pPr>
      <w:r>
        <w:rPr>
          <w:rStyle w:val="ab"/>
        </w:rPr>
        <w:footnoteRef/>
      </w:r>
      <w:r>
        <w:rPr>
          <w:rtl/>
        </w:rPr>
        <w:t xml:space="preserve"> ומיהו דוקא יורש אבל לוקח לא, דלוקח לא זכה אלא בשעבוד נכסים ואכתי שעבוד הגוף קיים, ואע"ג דלא קרינן ביה לא יגוש, כיון דאידך נגוש מחמתיה לא יגוש קרינא ביה, רא"ה בשם הרמב"ן (הביאוהו הריטב"א והר"ן שם).</w:t>
      </w:r>
    </w:p>
  </w:footnote>
  <w:footnote w:id="5412">
    <w:p w14:paraId="046298FD" w14:textId="77777777" w:rsidR="0013116F" w:rsidRDefault="0013116F" w:rsidP="001D49D4">
      <w:pPr>
        <w:pStyle w:val="a9"/>
        <w:rPr>
          <w:rtl/>
        </w:rPr>
      </w:pPr>
      <w:r>
        <w:rPr>
          <w:rStyle w:val="ab"/>
        </w:rPr>
        <w:footnoteRef/>
      </w:r>
      <w:r>
        <w:rPr>
          <w:rtl/>
        </w:rPr>
        <w:t xml:space="preserve"> ורש"י שכתב שאין שביעית משמטת חוב אביהם המת איפשר דסבירא ליה דההיא דספרי - רבי שמעון הוא, ואיפשר דרבנן פליגי עליה, ר"ן. וכ"כ הריטב"א. וכתב הב"י- ולי נראה שדחה רש"י ההיא דספרי מדתנן פרק בתרא דשביעית </w:t>
      </w:r>
      <w:r>
        <w:rPr>
          <w:sz w:val="16"/>
          <w:szCs w:val="16"/>
          <w:rtl/>
        </w:rPr>
        <w:t xml:space="preserve">(מ"ו) </w:t>
      </w:r>
      <w:r>
        <w:rPr>
          <w:rtl/>
        </w:rPr>
        <w:t xml:space="preserve">'רבי חוצפית אומר כותבין לאיש על נכסי אשתו וליתומים על נכסי אפטרופין', ומשמע ליה שאם היתומים הם לווים כותבין על קרקע האפטרופין, וכן אם הם מלוים יכולין לזכות קרקע האפטרופין ללוה ולכתוב עליו פרוזבול, דכדידהו דמי, אלמא איכא גוונא דבעו יתומים לכתוב פרוזבול, וכיון דתנן במתניתין דברי רבי חוצפית בלא שום חולק - הכי קיימא לן. ואילו לדברי הרמב"ן ליכא גוונא דליבעו יתומים לכתוב פרוזבול, דאי ירשו מאביהם מימעיט מדסיפרי, ואי הלוו הם מימעיט מדרב יהודה אמר שמואל. </w:t>
      </w:r>
      <w:r>
        <w:rPr>
          <w:color w:val="FF0000"/>
          <w:sz w:val="16"/>
          <w:szCs w:val="16"/>
          <w:rtl/>
        </w:rPr>
        <w:t>{ואולי הרמב"ן מעמיד את המשנה כשהם לוו. וצ"ע}</w:t>
      </w:r>
    </w:p>
  </w:footnote>
  <w:footnote w:id="5413">
    <w:p w14:paraId="5593CE57" w14:textId="77777777" w:rsidR="0013116F" w:rsidRDefault="0013116F" w:rsidP="001D49D4">
      <w:pPr>
        <w:pStyle w:val="a9"/>
      </w:pPr>
      <w:r>
        <w:rPr>
          <w:rStyle w:val="ab"/>
        </w:rPr>
        <w:footnoteRef/>
      </w:r>
      <w:r>
        <w:rPr>
          <w:rtl/>
        </w:rPr>
        <w:t xml:space="preserve"> כסוף דברי בעל התרומות הללו </w:t>
      </w:r>
      <w:r>
        <w:rPr>
          <w:sz w:val="16"/>
          <w:szCs w:val="16"/>
          <w:rtl/>
        </w:rPr>
        <w:t>(כשהלוו הם לאחרים- אינם צריכים)</w:t>
      </w:r>
      <w:r>
        <w:rPr>
          <w:rtl/>
        </w:rPr>
        <w:t xml:space="preserve">, כן כתב הטור </w:t>
      </w:r>
      <w:r>
        <w:rPr>
          <w:sz w:val="16"/>
          <w:szCs w:val="16"/>
          <w:rtl/>
        </w:rPr>
        <w:t>(וז"ל- יתומים שיש להם מלוה ביד אחרים אין צריכים פרוזבול)</w:t>
      </w:r>
      <w:r>
        <w:rPr>
          <w:rtl/>
        </w:rPr>
        <w:t xml:space="preserve">, וכן כתבו הרמב"ן הרא"ש הריטב"א והר"ן לעיל אך לא מטעמו של בעל התרומות </w:t>
      </w:r>
      <w:r>
        <w:rPr>
          <w:sz w:val="16"/>
          <w:szCs w:val="16"/>
          <w:rtl/>
        </w:rPr>
        <w:t>{ולקמן סע' כט יתבאר דהשו"ע לא פסק את דברי הרמב"ן הללו, שהרי כתב השו"ע שם שיתום גדול צריך פרוזבול על שט"ח שירש מאביו}</w:t>
      </w:r>
      <w:r>
        <w:rPr>
          <w:rtl/>
        </w:rPr>
        <w:t xml:space="preserve">. </w:t>
      </w:r>
    </w:p>
  </w:footnote>
  <w:footnote w:id="5414">
    <w:p w14:paraId="225FD4CC" w14:textId="77777777" w:rsidR="0013116F" w:rsidRDefault="0013116F" w:rsidP="001D49D4">
      <w:pPr>
        <w:pStyle w:val="a9"/>
        <w:rPr>
          <w:rtl/>
        </w:rPr>
      </w:pPr>
      <w:r>
        <w:rPr>
          <w:rStyle w:val="ab"/>
        </w:rPr>
        <w:footnoteRef/>
      </w:r>
      <w:r>
        <w:rPr>
          <w:rtl/>
        </w:rPr>
        <w:t xml:space="preserve"> והרי הבעל אינו אלא כאפוטרופוס על נכסי מלוג שלה, וכמו שכותבים לו כך כותבים לאפוטרופוס, ידיד נפש.</w:t>
      </w:r>
    </w:p>
  </w:footnote>
  <w:footnote w:id="5415">
    <w:p w14:paraId="51734CE2" w14:textId="77777777" w:rsidR="0013116F" w:rsidRDefault="0013116F" w:rsidP="001D49D4">
      <w:pPr>
        <w:pStyle w:val="a9"/>
        <w:rPr>
          <w:rtl/>
        </w:rPr>
      </w:pPr>
      <w:r>
        <w:rPr>
          <w:rStyle w:val="ab"/>
        </w:rPr>
        <w:footnoteRef/>
      </w:r>
      <w:r>
        <w:rPr>
          <w:rtl/>
        </w:rPr>
        <w:t xml:space="preserve"> היינו אם הם חייבים לאחרים, אותן האחרים כותבין פרוזבול על היתומים דלא לשמט חובתם, דקרקע שיש להן להאפוטרופסים שלהן מחשב כאילו היא של יתומים..., סמ"ע (סקמ"ז).</w:t>
      </w:r>
    </w:p>
  </w:footnote>
  <w:footnote w:id="5416">
    <w:p w14:paraId="4F594B79" w14:textId="77777777" w:rsidR="0013116F" w:rsidRDefault="0013116F" w:rsidP="001D49D4">
      <w:pPr>
        <w:pStyle w:val="a9"/>
      </w:pPr>
      <w:r>
        <w:rPr>
          <w:rStyle w:val="ab"/>
        </w:rPr>
        <w:footnoteRef/>
      </w:r>
      <w:r>
        <w:rPr>
          <w:rtl/>
        </w:rPr>
        <w:t xml:space="preserve"> פירוש, הן מה שהלווהו משלהן הן שירשו החוב מאביהן, סמ"ע (סק"נ).</w:t>
      </w:r>
    </w:p>
  </w:footnote>
  <w:footnote w:id="5417">
    <w:p w14:paraId="2FB144D6" w14:textId="77777777" w:rsidR="0013116F" w:rsidRDefault="0013116F" w:rsidP="001D49D4">
      <w:pPr>
        <w:pStyle w:val="a9"/>
        <w:rPr>
          <w:rtl/>
        </w:rPr>
      </w:pPr>
      <w:r>
        <w:rPr>
          <w:rStyle w:val="ab"/>
        </w:rPr>
        <w:footnoteRef/>
      </w:r>
      <w:r>
        <w:rPr>
          <w:rtl/>
        </w:rPr>
        <w:t xml:space="preserve"> וכ"כ הריב"ש </w:t>
      </w:r>
      <w:r>
        <w:rPr>
          <w:sz w:val="16"/>
          <w:szCs w:val="16"/>
          <w:rtl/>
        </w:rPr>
        <w:t>(סי' תצא)</w:t>
      </w:r>
      <w:r>
        <w:rPr>
          <w:rtl/>
        </w:rPr>
        <w:t xml:space="preserve"> שלדברי הכל טענינן ליתמי דילמא התנה בשעת הלואה על מנת שלא תשמיטנו בשביעית.</w:t>
      </w:r>
    </w:p>
  </w:footnote>
  <w:footnote w:id="5418">
    <w:p w14:paraId="3EAAA474" w14:textId="77777777" w:rsidR="0013116F" w:rsidRDefault="0013116F" w:rsidP="001D49D4">
      <w:pPr>
        <w:pStyle w:val="a9"/>
        <w:rPr>
          <w:rtl/>
        </w:rPr>
      </w:pPr>
      <w:r>
        <w:rPr>
          <w:rStyle w:val="ab"/>
        </w:rPr>
        <w:footnoteRef/>
      </w:r>
      <w:r>
        <w:rPr>
          <w:rtl/>
        </w:rPr>
        <w:t xml:space="preserve"> הא דאין כותבין פרוזבול בשביעית אע"פ שאינה משמטת אלא בסופה נראה לפרש הטעם על פי המקראות (דברים טו א - ב) 'מקץ שבע שנים תעשה שמטה וזה דבר השמטה שמוט כל בעל משה ידו', מפשטיה דקרא ילפינן דאין שביעית משמטת אלא בסופה כדכתיב 'מקץ שבע שנים תעשה שמטה וזה דבר השמטה' שאינו אלא בסוף שבע 'שמוט כל בעל משה ידו', אבל מיד כשהתחילה שנת השמטה אין בית דין נזקקין לגבות שום חוב, וגם המלוה בעצמו אין לו ליגוש הלוה דכתיב (דברים טו ב) לא יגוש את אחיו ואת רעהו כי קרא שמטה לה' - מיד שנכנסה השמטה לא יגוש, אבל אם יפרע הלוה מעצמו אין צריך לומר משמט אני, וכמו שאין נזקקין לגבות החוב כך אין נזקקין לכתוב פרוזבול מיד כשנכנסה שביעית, רא"ש (שם סי' כ).</w:t>
      </w:r>
    </w:p>
  </w:footnote>
  <w:footnote w:id="5419">
    <w:p w14:paraId="3373C065" w14:textId="77777777" w:rsidR="0013116F" w:rsidRDefault="0013116F" w:rsidP="001D49D4">
      <w:pPr>
        <w:pStyle w:val="a9"/>
      </w:pPr>
      <w:r>
        <w:rPr>
          <w:rStyle w:val="ab"/>
        </w:rPr>
        <w:footnoteRef/>
      </w:r>
      <w:r>
        <w:rPr>
          <w:rtl/>
        </w:rPr>
        <w:t xml:space="preserve"> בתשובות (המיוחסות) להרמב"ן סימן צ"ח כתוב שבעל העיטור (אות פ פרוזבול עו ע"ג) שכתב אין כותבין פרוזבול משנכנסה שביעית גירסא משובשת נזדמנה לו בתוספתא בפרק בתרא דשביעית אך לפי הגירסא האמיתית כיון ששביעית אינה משמטת אלא בסוף כל זמן שהוא גובה מוסר שטרותיו לבית דין וכתב עוד אחר כך בדקתי אחר פירוש המשניות לרבינו שמשון ז"ל (מ"ה) שגם הוא הביא התוספתא כנוסחא שכתבתי עכ"ל וכן כתוב בתשובת הרשב"א (ח"ב סי' שיד), ב"י.</w:t>
      </w:r>
    </w:p>
  </w:footnote>
  <w:footnote w:id="5420">
    <w:p w14:paraId="7AA8BCC1" w14:textId="77777777" w:rsidR="0013116F" w:rsidRDefault="0013116F" w:rsidP="001D49D4">
      <w:pPr>
        <w:pStyle w:val="a9"/>
        <w:rPr>
          <w:color w:val="FF0000"/>
        </w:rPr>
      </w:pPr>
      <w:r>
        <w:rPr>
          <w:rStyle w:val="ab"/>
        </w:rPr>
        <w:footnoteRef/>
      </w:r>
      <w:r>
        <w:rPr>
          <w:rtl/>
        </w:rPr>
        <w:t xml:space="preserve"> הרי שכתב שחוב שהלוה בשביעית גובה כל השנה ומשמע אפילו ע"י ב"ד, ב"י. ומכיון שגובה ע"י ב"ד יכול גם לכתוב פרוזבול. וכ"כ הדרכ"מ</w:t>
      </w:r>
      <w:r>
        <w:rPr>
          <w:sz w:val="16"/>
          <w:szCs w:val="16"/>
          <w:rtl/>
        </w:rPr>
        <w:t xml:space="preserve"> (אות ט*) </w:t>
      </w:r>
      <w:r>
        <w:rPr>
          <w:rtl/>
        </w:rPr>
        <w:t>אחרי שהביא את דברי הב"י הללו</w:t>
      </w:r>
      <w:r>
        <w:rPr>
          <w:sz w:val="16"/>
          <w:szCs w:val="16"/>
          <w:rtl/>
        </w:rPr>
        <w:t xml:space="preserve"> (בדרכ"מ ארוך)</w:t>
      </w:r>
      <w:r>
        <w:rPr>
          <w:rtl/>
        </w:rPr>
        <w:t xml:space="preserve"> וז"ל- וכן דעת כל הני רבוותא </w:t>
      </w:r>
      <w:r>
        <w:rPr>
          <w:sz w:val="16"/>
          <w:szCs w:val="16"/>
          <w:rtl/>
        </w:rPr>
        <w:t xml:space="preserve">{ר"ש והרשב"א </w:t>
      </w:r>
      <w:r>
        <w:rPr>
          <w:sz w:val="14"/>
          <w:szCs w:val="14"/>
          <w:rtl/>
        </w:rPr>
        <w:t>[שהביאם בדרכ"מ ארוך (אות לב) לפני דבריו אלו]</w:t>
      </w:r>
      <w:r>
        <w:rPr>
          <w:sz w:val="16"/>
          <w:szCs w:val="16"/>
          <w:rtl/>
        </w:rPr>
        <w:t>}</w:t>
      </w:r>
      <w:r>
        <w:rPr>
          <w:rtl/>
        </w:rPr>
        <w:t xml:space="preserve"> דסבירא להו דכותבין פרוזבול בשביעית וה"ה דיכול לגבות חוב אפילו ע"י ב"ד בשביעית, דהא בהא תליא כמ"ש הרא"ש </w:t>
      </w:r>
      <w:r>
        <w:rPr>
          <w:sz w:val="16"/>
          <w:szCs w:val="16"/>
          <w:rtl/>
        </w:rPr>
        <w:t>(פרק השולח)</w:t>
      </w:r>
      <w:r>
        <w:rPr>
          <w:rtl/>
        </w:rPr>
        <w:t xml:space="preserve">. עכ"ל הדרכ"מ. </w:t>
      </w:r>
      <w:r>
        <w:rPr>
          <w:sz w:val="16"/>
          <w:szCs w:val="16"/>
          <w:rtl/>
        </w:rPr>
        <w:t>(ואין לומר דכוונתו דהרא"ש מסכים לדברי הרמב"ם, דבהדיא חולק, אלא כוונתו לומר דמה שאמר הרא"ש שכל זמן שנזקקים לו בב"ד לגבות שטרותיו נזקקים לו גם לכתוב פרוזבול, לזה מסכימים גם כל הני רבוותא, רק שנחלקו עד מתי נזקקים ב"ד לגבות לו שטרותיו, לר"ש רמב"ם ורשב"א גובה בב"ד עד מוצאי שביעית, ולרא"ש והטור עד סוף שישית. וכן הבין הסמ"ע (סקנ"ג) את דברי הדרכ"מ)</w:t>
      </w:r>
    </w:p>
  </w:footnote>
  <w:footnote w:id="5421">
    <w:p w14:paraId="365E1EB1" w14:textId="77777777" w:rsidR="0013116F" w:rsidRDefault="0013116F" w:rsidP="001D49D4">
      <w:pPr>
        <w:pStyle w:val="a9"/>
        <w:rPr>
          <w:rtl/>
        </w:rPr>
      </w:pPr>
      <w:r>
        <w:rPr>
          <w:rStyle w:val="ab"/>
        </w:rPr>
        <w:footnoteRef/>
      </w:r>
      <w:r>
        <w:rPr>
          <w:rtl/>
        </w:rPr>
        <w:t xml:space="preserve"> וכן המנהג פשוט בארץ ישראל וסביבותיה לכתוב פרוזבול בערב ראש השנה של מוצאי שביעית, וכן נהג מורי הרב הגדול הר"י בירב ז"ל, ב"י.</w:t>
      </w:r>
    </w:p>
  </w:footnote>
  <w:footnote w:id="5422">
    <w:p w14:paraId="53CC3967" w14:textId="77777777" w:rsidR="0013116F" w:rsidRDefault="0013116F" w:rsidP="001D49D4">
      <w:pPr>
        <w:pStyle w:val="a9"/>
        <w:rPr>
          <w:rtl/>
        </w:rPr>
      </w:pPr>
      <w:r>
        <w:rPr>
          <w:rStyle w:val="ab"/>
        </w:rPr>
        <w:footnoteRef/>
      </w:r>
      <w:r>
        <w:rPr>
          <w:rtl/>
        </w:rPr>
        <w:t xml:space="preserve"> משום דאין יכול למסור לב"ד החובות שאינו חייב לו עדיין, וכשיאחר זמנו דפרוזבול יוציאנו לאחר זמן ויגבה על ידו אפילו החובות שנתחייבו לו אחר כתיבת הפרוזבול, אבל במוקדם מגרע כחו. ובזמן דבשט"ח הוא להפך, המוקדם פסול והמאוחר כשר, וכמש"כ הטור והמחבר בסי' מג</w:t>
      </w:r>
      <w:r>
        <w:rPr>
          <w:sz w:val="16"/>
          <w:szCs w:val="16"/>
          <w:rtl/>
        </w:rPr>
        <w:t xml:space="preserve"> (סע' ז, יב)</w:t>
      </w:r>
      <w:r>
        <w:rPr>
          <w:rtl/>
        </w:rPr>
        <w:t xml:space="preserve"> משום דשם מיפה כחו במוקדם לטרוף מלקוחות מאותו זמן, ומגרע כחו במאוחר, סמ"ע</w:t>
      </w:r>
      <w:r>
        <w:rPr>
          <w:sz w:val="16"/>
          <w:szCs w:val="16"/>
          <w:rtl/>
        </w:rPr>
        <w:t xml:space="preserve"> (סקנ"ד)</w:t>
      </w:r>
      <w:r>
        <w:rPr>
          <w:rtl/>
        </w:rPr>
        <w:t>.</w:t>
      </w:r>
    </w:p>
  </w:footnote>
  <w:footnote w:id="5423">
    <w:p w14:paraId="5CC2FABC" w14:textId="77777777" w:rsidR="0013116F" w:rsidRDefault="0013116F" w:rsidP="001D49D4">
      <w:pPr>
        <w:pStyle w:val="a9"/>
        <w:rPr>
          <w:rtl/>
        </w:rPr>
      </w:pPr>
      <w:r>
        <w:rPr>
          <w:rStyle w:val="ab"/>
        </w:rPr>
        <w:footnoteRef/>
      </w:r>
      <w:r>
        <w:rPr>
          <w:rtl/>
        </w:rPr>
        <w:t xml:space="preserve"> </w:t>
      </w:r>
      <w:r>
        <w:rPr>
          <w:rFonts w:hint="cs"/>
          <w:rtl/>
        </w:rPr>
        <w:t>סימן – זכרתי לעשות, זרקו לי.</w:t>
      </w:r>
    </w:p>
  </w:footnote>
  <w:footnote w:id="5424">
    <w:p w14:paraId="3F19E1BA" w14:textId="77777777" w:rsidR="0013116F" w:rsidRDefault="0013116F" w:rsidP="001D49D4">
      <w:pPr>
        <w:pStyle w:val="a9"/>
      </w:pPr>
      <w:r>
        <w:rPr>
          <w:rStyle w:val="ab"/>
        </w:rPr>
        <w:footnoteRef/>
      </w:r>
      <w:r>
        <w:rPr>
          <w:rtl/>
        </w:rPr>
        <w:t xml:space="preserve"> כלומר דנאמן לומר אבד, ר"ן (כ. מדפה"ר).</w:t>
      </w:r>
    </w:p>
  </w:footnote>
  <w:footnote w:id="5425">
    <w:p w14:paraId="5EF577D5" w14:textId="77777777" w:rsidR="0013116F" w:rsidRDefault="0013116F" w:rsidP="001D49D4">
      <w:pPr>
        <w:pStyle w:val="a9"/>
      </w:pPr>
      <w:r>
        <w:rPr>
          <w:rStyle w:val="ab"/>
        </w:rPr>
        <w:footnoteRef/>
      </w:r>
      <w:r>
        <w:rPr>
          <w:rtl/>
        </w:rPr>
        <w:t xml:space="preserve"> </w:t>
      </w:r>
      <w:r>
        <w:rPr>
          <w:rFonts w:hint="cs"/>
          <w:rtl/>
        </w:rPr>
        <w:t xml:space="preserve">הרשב"א (ח"ג סי' נז) הרא"ש (סי' כ) והר"ן (כ. מדפה"ר) כתבו שהרי"ף </w:t>
      </w:r>
      <w:r>
        <w:rPr>
          <w:rtl/>
        </w:rPr>
        <w:t xml:space="preserve">לא הביא כל זה </w:t>
      </w:r>
      <w:r>
        <w:rPr>
          <w:sz w:val="16"/>
          <w:szCs w:val="16"/>
          <w:rtl/>
        </w:rPr>
        <w:t>(היינו מ-'אמר רב יהודה אמר רב נחמן' עד 'פתח פיך לאלם הוא')</w:t>
      </w:r>
      <w:r>
        <w:rPr>
          <w:rtl/>
        </w:rPr>
        <w:t xml:space="preserve">. ותמה הר"ן על הרי"ף מדוע לא הביא דברי הגמ'. </w:t>
      </w:r>
      <w:r>
        <w:rPr>
          <w:sz w:val="16"/>
          <w:szCs w:val="16"/>
          <w:rtl/>
        </w:rPr>
        <w:t xml:space="preserve">(אך יש לציין שלפנינו ברי"ף כן מובאים דברים אלו </w:t>
      </w:r>
      <w:r>
        <w:rPr>
          <w:sz w:val="14"/>
          <w:szCs w:val="14"/>
          <w:rtl/>
        </w:rPr>
        <w:t xml:space="preserve">(אמנם דברים אלו מוקפים בסוגריים אך א"א לדעת מי הקיפם) </w:t>
      </w:r>
      <w:r>
        <w:rPr>
          <w:sz w:val="16"/>
          <w:szCs w:val="16"/>
          <w:rtl/>
        </w:rPr>
        <w:t>וגם הקרבן נתנאל (אות ש) כתב שכן היה ברי"ף שלפניו. וכן כתב הב"ח (בהגהות הרי"ף) שצריך לגרוס בדברי הרי"ף. ומ"מ בדפו"ר ליתא. וכן בשטמ"ק כת"י מוחק סוגריים אלו)</w:t>
      </w:r>
      <w:r>
        <w:rPr>
          <w:rtl/>
        </w:rPr>
        <w:t>. וכתב עוד הרא"ש- ומתניתין שהוציא שטר חוב כתבה</w:t>
      </w:r>
      <w:r>
        <w:rPr>
          <w:sz w:val="16"/>
          <w:szCs w:val="16"/>
          <w:rtl/>
        </w:rPr>
        <w:t xml:space="preserve"> {הרי"ף}</w:t>
      </w:r>
      <w:r>
        <w:rPr>
          <w:rtl/>
        </w:rPr>
        <w:t xml:space="preserve"> במקומה בפרק הכותב, משמע דכיון דסתמא דמתניתין כרבי מאיר - הלכה כותיה. </w:t>
      </w:r>
    </w:p>
  </w:footnote>
  <w:footnote w:id="5426">
    <w:p w14:paraId="0A03095D" w14:textId="77777777" w:rsidR="0013116F" w:rsidRDefault="0013116F" w:rsidP="001D49D4">
      <w:pPr>
        <w:pStyle w:val="a9"/>
        <w:rPr>
          <w:rtl/>
        </w:rPr>
      </w:pPr>
      <w:r>
        <w:rPr>
          <w:rStyle w:val="ab"/>
        </w:rPr>
        <w:footnoteRef/>
      </w:r>
      <w:r>
        <w:rPr>
          <w:rtl/>
        </w:rPr>
        <w:t xml:space="preserve"> </w:t>
      </w:r>
      <w:r>
        <w:rPr>
          <w:rFonts w:hint="cs"/>
          <w:rtl/>
        </w:rPr>
        <w:t xml:space="preserve">וז"ל- </w:t>
      </w:r>
      <w:r>
        <w:rPr>
          <w:rtl/>
        </w:rPr>
        <w:t>המוציא שטר חוב אחר שביעית ואין עמו פרוזבול אבד חובו, ואם אמר היה לי ואבד נאמן, שמזמן הסכנה ואילך בעל חוב גובה שלא בפרוזבול, ולא עוד אלא כשיביא בעל חוב את שטרו או כשיבוא לתבוע במלוה על פה אומרים לנתבע שלם לו, ואם טען הנתבע ואמר איה פרוזבול שלו, אומרים לתובע היה לך פרוזבול ואבד אם אמר הן נאמן, ואם הודה שלא כתב פרוזבול אבד חובו והיתומים אינן צריכין פרוזבול.</w:t>
      </w:r>
    </w:p>
  </w:footnote>
  <w:footnote w:id="5427">
    <w:p w14:paraId="318AE63D" w14:textId="77777777" w:rsidR="0013116F" w:rsidRDefault="0013116F" w:rsidP="001D49D4">
      <w:pPr>
        <w:pStyle w:val="a9"/>
      </w:pPr>
      <w:r>
        <w:rPr>
          <w:rStyle w:val="ab"/>
        </w:rPr>
        <w:footnoteRef/>
      </w:r>
      <w:r>
        <w:rPr>
          <w:rtl/>
        </w:rPr>
        <w:t xml:space="preserve"> </w:t>
      </w:r>
      <w:r>
        <w:rPr>
          <w:rFonts w:hint="cs"/>
          <w:rtl/>
        </w:rPr>
        <w:t>ד</w:t>
      </w:r>
      <w:r>
        <w:rPr>
          <w:rtl/>
        </w:rPr>
        <w:t xml:space="preserve">נהגו העולם כרב, וכן מסתברא, כיון דאמוראי עבדו עובדא כחכמים דברייתא יש לסמוך על זה, רא"ש. ועוד דלא אשכחן אמורא דפליג עליה </w:t>
      </w:r>
      <w:r>
        <w:rPr>
          <w:sz w:val="16"/>
          <w:szCs w:val="16"/>
          <w:rtl/>
        </w:rPr>
        <w:t>{דרב}</w:t>
      </w:r>
      <w:r>
        <w:rPr>
          <w:rtl/>
        </w:rPr>
        <w:t>, ואע"ג דסתם מתני' דלא כוותיה וקי"ל [יבמות מב:] סתם דמתני' ומחלוקת דברייתא הלכה כסתם הכא לא קי"ל הכי כיון דרב דהוא אמורא דחי לה, ר"ן.</w:t>
      </w:r>
    </w:p>
  </w:footnote>
  <w:footnote w:id="5428">
    <w:p w14:paraId="38AF8781" w14:textId="77777777" w:rsidR="0013116F" w:rsidRDefault="0013116F" w:rsidP="001D49D4">
      <w:pPr>
        <w:pStyle w:val="a9"/>
        <w:rPr>
          <w:rtl/>
        </w:rPr>
      </w:pPr>
      <w:r>
        <w:rPr>
          <w:rStyle w:val="ab"/>
        </w:rPr>
        <w:footnoteRef/>
      </w:r>
      <w:r>
        <w:rPr>
          <w:rtl/>
        </w:rPr>
        <w:t xml:space="preserve"> </w:t>
      </w:r>
      <w:r>
        <w:rPr>
          <w:rFonts w:hint="cs"/>
          <w:rtl/>
        </w:rPr>
        <w:t>וכתב המרדכי (פרק השולח סי' שפ) דאפילו דידעינן דלא הוי קרקע ללוה אפילו הכי נאמן לומר דאחר זיכה לו, דרכ"מ (אות ט**).</w:t>
      </w:r>
    </w:p>
  </w:footnote>
  <w:footnote w:id="5429">
    <w:p w14:paraId="40EE356F" w14:textId="77777777" w:rsidR="0013116F" w:rsidRDefault="0013116F" w:rsidP="001D49D4">
      <w:pPr>
        <w:pStyle w:val="a9"/>
        <w:rPr>
          <w:rtl/>
        </w:rPr>
      </w:pPr>
      <w:r>
        <w:rPr>
          <w:rStyle w:val="ab"/>
        </w:rPr>
        <w:footnoteRef/>
      </w:r>
      <w:r>
        <w:rPr>
          <w:rtl/>
        </w:rPr>
        <w:t xml:space="preserve"> היסת </w:t>
      </w:r>
      <w:r>
        <w:rPr>
          <w:sz w:val="16"/>
          <w:szCs w:val="16"/>
          <w:rtl/>
        </w:rPr>
        <w:t>(כ"כ בעל התרומות [שער מה סי' כב] בשם איכא מאן דאמר)</w:t>
      </w:r>
      <w:r>
        <w:rPr>
          <w:rtl/>
        </w:rPr>
        <w:t xml:space="preserve">. וכתב הרא"ש (סי' כ)- והיה אומר רבינו תם דמהאי טעמא </w:t>
      </w:r>
      <w:r>
        <w:rPr>
          <w:sz w:val="16"/>
          <w:szCs w:val="16"/>
          <w:rtl/>
        </w:rPr>
        <w:t>{</w:t>
      </w:r>
      <w:r>
        <w:rPr>
          <w:rtl/>
        </w:rPr>
        <w:t>ד</w:t>
      </w:r>
      <w:r>
        <w:rPr>
          <w:sz w:val="16"/>
          <w:szCs w:val="16"/>
          <w:rtl/>
        </w:rPr>
        <w:t xml:space="preserve">לא שביק היתירא ואכיל איסורא} </w:t>
      </w:r>
      <w:r>
        <w:rPr>
          <w:rtl/>
        </w:rPr>
        <w:t xml:space="preserve">נאמן אפילו שלא בשבועה. וכ"כ הרשב"א בתשובה </w:t>
      </w:r>
      <w:r>
        <w:rPr>
          <w:sz w:val="16"/>
          <w:szCs w:val="16"/>
          <w:rtl/>
        </w:rPr>
        <w:t>(ח"ג סי' לג)</w:t>
      </w:r>
      <w:r>
        <w:rPr>
          <w:rtl/>
        </w:rPr>
        <w:t>, וכתב דאיפשר דאף חרם סתם אינו מחרים דכיון שנהגו הכל להתנות על מנת שלא ישמיטנו בשביעית כודאי משוינן ליה. ועיין בתשובה אחרת (במיוחסות סי' רנו) שכתבתי בסמוך, ב"י. ודעת בעל התרומות (שם) גם כדעת ר"ת רשב"א ורא"ש.</w:t>
      </w:r>
    </w:p>
  </w:footnote>
  <w:footnote w:id="5430">
    <w:p w14:paraId="0D84A770" w14:textId="77777777" w:rsidR="0013116F" w:rsidRDefault="0013116F" w:rsidP="001D49D4">
      <w:pPr>
        <w:pStyle w:val="a9"/>
        <w:rPr>
          <w:rtl/>
        </w:rPr>
      </w:pPr>
      <w:r>
        <w:rPr>
          <w:rStyle w:val="ab"/>
        </w:rPr>
        <w:footnoteRef/>
      </w:r>
      <w:r>
        <w:rPr>
          <w:rtl/>
        </w:rPr>
        <w:t xml:space="preserve"> וז"ל- מה שטענה שאינו נאמן לומר 'פרוזבול היה לאבי' לפי שבאותו זמן לא היה נודע וסבורים היו שאין שמטת כספים נוהגת גם בזמננו - בטוב טענה, דאינו נאמן עכשיו בינינו לפי שאין ענין הפרוזבול נודע עכשיו, ואין כותבין אותו בשום מקום, ואם עשה כן קול היה יוצא לו. אבל אם טען עכשיו בינינו 'תנאי היה לי עמו שלא ישמיטנו בשביעית' - נאמן ופותחין לו. אבל בזמן הראשון שהיו טועים בעיקר הדין וחושבים שאין שמטת כספים נוהגת בזמן הזה אפילו טענה זו אין טוענים.</w:t>
      </w:r>
    </w:p>
  </w:footnote>
  <w:footnote w:id="5431">
    <w:p w14:paraId="35182B6F" w14:textId="77777777" w:rsidR="0013116F" w:rsidRDefault="0013116F" w:rsidP="001D49D4">
      <w:pPr>
        <w:pStyle w:val="a9"/>
        <w:rPr>
          <w:rtl/>
        </w:rPr>
      </w:pPr>
      <w:r>
        <w:rPr>
          <w:rStyle w:val="ab"/>
        </w:rPr>
        <w:footnoteRef/>
      </w:r>
      <w:r>
        <w:rPr>
          <w:rtl/>
        </w:rPr>
        <w:t xml:space="preserve"> וז"ל- ומכל מקום באותה הארץ שלא נהגו בדורות הראשונים לחוש לשמטה יש לחוש שמא מערים הוא ובית דין בודקים וחוקרים ואם רצה להחרים סתם על מי שנוטל ממונו שלא כדין מסתברא ששומעין לו.</w:t>
      </w:r>
    </w:p>
  </w:footnote>
  <w:footnote w:id="5432">
    <w:p w14:paraId="7B47208E" w14:textId="77777777" w:rsidR="0013116F" w:rsidRDefault="0013116F" w:rsidP="001D49D4">
      <w:pPr>
        <w:pStyle w:val="a9"/>
        <w:rPr>
          <w:rtl/>
        </w:rPr>
      </w:pPr>
      <w:r>
        <w:rPr>
          <w:rStyle w:val="ab"/>
        </w:rPr>
        <w:footnoteRef/>
      </w:r>
      <w:r>
        <w:rPr>
          <w:rtl/>
        </w:rPr>
        <w:t xml:space="preserve"> ועיין במהרי"ק סימן צ"ב כי האריך בזה, ב"י. וכתב הדרכ"מ (אות י) דגם במרדכי</w:t>
      </w:r>
      <w:r>
        <w:rPr>
          <w:sz w:val="16"/>
          <w:szCs w:val="16"/>
          <w:rtl/>
        </w:rPr>
        <w:t xml:space="preserve"> (פרק השולח סי' שפ-שפא) </w:t>
      </w:r>
      <w:r>
        <w:rPr>
          <w:rtl/>
        </w:rPr>
        <w:t>האריך בזה וכתב דיש חולקין בזה מיהו כתב דלכולי עלמא בזמן הזה לא טענינן ליה פרוזבול היה לך.</w:t>
      </w:r>
    </w:p>
  </w:footnote>
  <w:footnote w:id="5433">
    <w:p w14:paraId="72B8E29E" w14:textId="77777777" w:rsidR="0013116F" w:rsidRDefault="0013116F" w:rsidP="001D49D4">
      <w:pPr>
        <w:pStyle w:val="a9"/>
        <w:rPr>
          <w:rtl/>
        </w:rPr>
      </w:pPr>
      <w:r>
        <w:rPr>
          <w:rStyle w:val="ab"/>
        </w:rPr>
        <w:footnoteRef/>
      </w:r>
      <w:r>
        <w:rPr>
          <w:rtl/>
        </w:rPr>
        <w:t xml:space="preserve"> רמב"ם </w:t>
      </w:r>
      <w:r>
        <w:rPr>
          <w:sz w:val="16"/>
          <w:szCs w:val="16"/>
          <w:rtl/>
        </w:rPr>
        <w:t>(שם הכ"ו)</w:t>
      </w:r>
      <w:r>
        <w:rPr>
          <w:rtl/>
        </w:rPr>
        <w:t xml:space="preserve"> רמב"ן </w:t>
      </w:r>
      <w:r>
        <w:rPr>
          <w:sz w:val="16"/>
          <w:szCs w:val="16"/>
          <w:rtl/>
        </w:rPr>
        <w:t>(כ"כ הרשב"א בשמו [לז: ד"ה כי אתו])</w:t>
      </w:r>
      <w:r>
        <w:rPr>
          <w:rtl/>
        </w:rPr>
        <w:t xml:space="preserve"> רשב"א </w:t>
      </w:r>
      <w:r>
        <w:rPr>
          <w:sz w:val="16"/>
          <w:szCs w:val="16"/>
          <w:rtl/>
        </w:rPr>
        <w:t>(שם, ובמיוחסות סי' רנו, ובתשו' הרשב"א סי' אלף עה)</w:t>
      </w:r>
      <w:r>
        <w:rPr>
          <w:rtl/>
        </w:rPr>
        <w:t xml:space="preserve"> טור ור"ן</w:t>
      </w:r>
      <w:r>
        <w:rPr>
          <w:sz w:val="16"/>
          <w:szCs w:val="16"/>
          <w:rtl/>
        </w:rPr>
        <w:t xml:space="preserve"> (שם, הב"י כתב שהר"ן אמר כן בשם הרמב"ם, אך לפנינו איתא שאמר כן בשם הרמב"ן, ומ"מ כך נראה דעת הר"ן)</w:t>
      </w:r>
      <w:r>
        <w:rPr>
          <w:rtl/>
        </w:rPr>
        <w:t>.</w:t>
      </w:r>
    </w:p>
  </w:footnote>
  <w:footnote w:id="5434">
    <w:p w14:paraId="39DAAB21" w14:textId="77777777" w:rsidR="0013116F" w:rsidRDefault="0013116F" w:rsidP="001D49D4">
      <w:pPr>
        <w:pStyle w:val="a9"/>
        <w:rPr>
          <w:rtl/>
        </w:rPr>
      </w:pPr>
      <w:r>
        <w:rPr>
          <w:rStyle w:val="ab"/>
        </w:rPr>
        <w:footnoteRef/>
      </w:r>
      <w:r>
        <w:rPr>
          <w:rtl/>
        </w:rPr>
        <w:t xml:space="preserve"> אפילו כשתמצא לומר אין כותבין פרוזבול כשמואל נאמן לומר 'על מנת שלא תשמיטנו בשביעית הלויתי', שהטענה עצמו כדאי להאמינה, דכיון דאיכא תקנתא 'לא שביק היתרא ואכיל איסורא' השתא בפרוזבול נאמן דאיכא למיחש דלא איזדקיקו ליה בי דינא בהך טענה לא מהימן, רשב"א </w:t>
      </w:r>
      <w:r>
        <w:rPr>
          <w:sz w:val="16"/>
          <w:szCs w:val="16"/>
          <w:rtl/>
        </w:rPr>
        <w:t>(לז: ד"ה כי אתו)</w:t>
      </w:r>
      <w:r>
        <w:rPr>
          <w:rtl/>
        </w:rPr>
        <w:t xml:space="preserve"> בשם הרמב"ן. ואפילו עכשיו שאין העם מורגלים בפרוזבול ולא יודעים אותו נאמן לומר 'תנאי היה בינינו שלא תשמיטנו בשביעית' מההוא טעמא גופיה דרב לא שביק היתרא ואכיל איסורא, ולא עוד אלא דכל כגון זה פותחין לו למלוה ואומרים לו כלום תנאי היה לו עמך שלא תשמיטנו בשביעית, דכגון זה פתח פיך לאלם הוא, וכיון שכן נאמן אפילו שלא בשבועה, רשב"א </w:t>
      </w:r>
      <w:r>
        <w:rPr>
          <w:sz w:val="16"/>
          <w:szCs w:val="16"/>
          <w:rtl/>
        </w:rPr>
        <w:t>(במיוחסות סי' רנו)</w:t>
      </w:r>
      <w:r>
        <w:rPr>
          <w:rtl/>
        </w:rPr>
        <w:t xml:space="preserve">. </w:t>
      </w:r>
    </w:p>
  </w:footnote>
  <w:footnote w:id="5435">
    <w:p w14:paraId="14E3E1D7" w14:textId="77777777" w:rsidR="0013116F" w:rsidRDefault="0013116F" w:rsidP="001D49D4">
      <w:pPr>
        <w:pStyle w:val="a9"/>
      </w:pPr>
      <w:r>
        <w:rPr>
          <w:rStyle w:val="ab"/>
        </w:rPr>
        <w:footnoteRef/>
      </w:r>
      <w:r>
        <w:rPr>
          <w:rtl/>
        </w:rPr>
        <w:t xml:space="preserve"> </w:t>
      </w:r>
      <w:r>
        <w:rPr>
          <w:rFonts w:hint="cs"/>
          <w:rtl/>
        </w:rPr>
        <w:t>וממילא נשמע שמי שחולק שם (בהעי"ט ורי"ף) חולק גם בזה.</w:t>
      </w:r>
    </w:p>
  </w:footnote>
  <w:footnote w:id="5436">
    <w:p w14:paraId="055BA836" w14:textId="77777777" w:rsidR="0013116F" w:rsidRDefault="0013116F" w:rsidP="001D49D4">
      <w:pPr>
        <w:pStyle w:val="a9"/>
      </w:pPr>
      <w:r>
        <w:rPr>
          <w:rStyle w:val="ab"/>
        </w:rPr>
        <w:footnoteRef/>
      </w:r>
      <w:r>
        <w:rPr>
          <w:rtl/>
        </w:rPr>
        <w:t xml:space="preserve"> וקשה דלא אמרינן מגו לאפוקי ממונא, ויש לומר דשאני הכא דמסייע לתובע חזקה דלא שביק היתרא ואכיל איסורא, בעל התרומות </w:t>
      </w:r>
      <w:r>
        <w:rPr>
          <w:sz w:val="16"/>
          <w:szCs w:val="16"/>
          <w:rtl/>
        </w:rPr>
        <w:t>(שער מה סי' כב)</w:t>
      </w:r>
      <w:r>
        <w:rPr>
          <w:rtl/>
        </w:rPr>
        <w:t>.</w:t>
      </w:r>
    </w:p>
  </w:footnote>
  <w:footnote w:id="5437">
    <w:p w14:paraId="2850CE73" w14:textId="77777777" w:rsidR="0013116F" w:rsidRDefault="0013116F" w:rsidP="001D49D4">
      <w:pPr>
        <w:pStyle w:val="a9"/>
        <w:rPr>
          <w:rtl/>
        </w:rPr>
      </w:pPr>
      <w:r>
        <w:rPr>
          <w:rStyle w:val="ab"/>
        </w:rPr>
        <w:footnoteRef/>
      </w:r>
      <w:r>
        <w:rPr>
          <w:rtl/>
        </w:rPr>
        <w:t xml:space="preserve"> סימן – לתת זוזים למרות ז'.</w:t>
      </w:r>
    </w:p>
  </w:footnote>
  <w:footnote w:id="5438">
    <w:p w14:paraId="3F0CD969" w14:textId="77777777" w:rsidR="0013116F" w:rsidRDefault="0013116F" w:rsidP="001D49D4">
      <w:pPr>
        <w:pStyle w:val="a9"/>
        <w:rPr>
          <w:rtl/>
        </w:rPr>
      </w:pPr>
      <w:r>
        <w:rPr>
          <w:rStyle w:val="ab"/>
        </w:rPr>
        <w:footnoteRef/>
      </w:r>
      <w:r>
        <w:rPr>
          <w:rtl/>
        </w:rPr>
        <w:t xml:space="preserve"> המלוה שיאמר לו משמט אני, רש"י.</w:t>
      </w:r>
    </w:p>
  </w:footnote>
  <w:footnote w:id="5439">
    <w:p w14:paraId="6AFD5D7F" w14:textId="77777777" w:rsidR="0013116F" w:rsidRDefault="0013116F" w:rsidP="001D49D4">
      <w:pPr>
        <w:pStyle w:val="a9"/>
        <w:rPr>
          <w:rtl/>
        </w:rPr>
      </w:pPr>
      <w:r>
        <w:rPr>
          <w:rStyle w:val="ab"/>
        </w:rPr>
        <w:footnoteRef/>
      </w:r>
      <w:r>
        <w:rPr>
          <w:rtl/>
        </w:rPr>
        <w:t xml:space="preserve"> צריך לומר דיבור של שמיטה, רש"י.</w:t>
      </w:r>
    </w:p>
  </w:footnote>
  <w:footnote w:id="5440">
    <w:p w14:paraId="14F8AE80" w14:textId="77777777" w:rsidR="0013116F" w:rsidRDefault="0013116F" w:rsidP="001D49D4">
      <w:pPr>
        <w:pStyle w:val="a9"/>
        <w:rPr>
          <w:rtl/>
        </w:rPr>
      </w:pPr>
      <w:r>
        <w:rPr>
          <w:rStyle w:val="ab"/>
        </w:rPr>
        <w:footnoteRef/>
      </w:r>
      <w:r>
        <w:rPr>
          <w:rtl/>
        </w:rPr>
        <w:t xml:space="preserve"> אם היה רוצה </w:t>
      </w:r>
      <w:r>
        <w:rPr>
          <w:sz w:val="16"/>
          <w:szCs w:val="16"/>
          <w:rtl/>
        </w:rPr>
        <w:t xml:space="preserve">{הלוה} </w:t>
      </w:r>
      <w:r>
        <w:rPr>
          <w:rtl/>
        </w:rPr>
        <w:t xml:space="preserve">לחזור בו </w:t>
      </w:r>
      <w:r>
        <w:rPr>
          <w:sz w:val="16"/>
          <w:szCs w:val="16"/>
          <w:rtl/>
        </w:rPr>
        <w:t>{ולא להחזיר את המעות}</w:t>
      </w:r>
      <w:r>
        <w:rPr>
          <w:rtl/>
        </w:rPr>
        <w:t xml:space="preserve"> יתלנו </w:t>
      </w:r>
      <w:r>
        <w:rPr>
          <w:sz w:val="16"/>
          <w:szCs w:val="16"/>
          <w:rtl/>
        </w:rPr>
        <w:t xml:space="preserve">{המלוה} </w:t>
      </w:r>
      <w:r>
        <w:rPr>
          <w:rtl/>
        </w:rPr>
        <w:t>על עץ אם גברה ידו עד דאמר ליה 'אף על פי כן', רש"י. ועיין לקמן דהרא"ש חולק בפירוש דברי הגמרא.</w:t>
      </w:r>
    </w:p>
  </w:footnote>
  <w:footnote w:id="5441">
    <w:p w14:paraId="234B2491" w14:textId="77777777" w:rsidR="0013116F" w:rsidRDefault="0013116F" w:rsidP="001D49D4">
      <w:pPr>
        <w:pStyle w:val="a9"/>
        <w:rPr>
          <w:rtl/>
        </w:rPr>
      </w:pPr>
      <w:r>
        <w:rPr>
          <w:rStyle w:val="ab"/>
        </w:rPr>
        <w:footnoteRef/>
      </w:r>
      <w:r>
        <w:rPr>
          <w:rtl/>
        </w:rPr>
        <w:t xml:space="preserve"> במתנה אני נותן לך ואין כאן משום לא יגוש דלא בבי דינא קתבע ליה ולאו משום חוב, רש"י. ועיין לקמן דהרא"ש חולק.</w:t>
      </w:r>
    </w:p>
  </w:footnote>
  <w:footnote w:id="5442">
    <w:p w14:paraId="14C68DC5" w14:textId="77777777" w:rsidR="0013116F" w:rsidRDefault="0013116F" w:rsidP="001D49D4">
      <w:pPr>
        <w:pStyle w:val="a9"/>
        <w:rPr>
          <w:rtl/>
        </w:rPr>
      </w:pPr>
      <w:r>
        <w:rPr>
          <w:rStyle w:val="ab"/>
        </w:rPr>
        <w:footnoteRef/>
      </w:r>
      <w:r>
        <w:rPr>
          <w:rtl/>
        </w:rPr>
        <w:t xml:space="preserve"> היה נושה בו מעות, רבה היה המלוה, רש"י.</w:t>
      </w:r>
    </w:p>
  </w:footnote>
  <w:footnote w:id="5443">
    <w:p w14:paraId="20396FCC" w14:textId="77777777" w:rsidR="0013116F" w:rsidRDefault="0013116F" w:rsidP="001D49D4">
      <w:pPr>
        <w:pStyle w:val="a9"/>
        <w:rPr>
          <w:rtl/>
        </w:rPr>
      </w:pPr>
      <w:r>
        <w:rPr>
          <w:rStyle w:val="ab"/>
        </w:rPr>
        <w:footnoteRef/>
      </w:r>
      <w:r>
        <w:rPr>
          <w:rtl/>
        </w:rPr>
        <w:t xml:space="preserve"> אביי אתא לגבי אבא בר מרתא, רש"י.</w:t>
      </w:r>
    </w:p>
  </w:footnote>
  <w:footnote w:id="5444">
    <w:p w14:paraId="5682A58C" w14:textId="77777777" w:rsidR="0013116F" w:rsidRDefault="0013116F" w:rsidP="001D49D4">
      <w:pPr>
        <w:pStyle w:val="a9"/>
        <w:rPr>
          <w:rtl/>
        </w:rPr>
      </w:pPr>
      <w:r>
        <w:rPr>
          <w:rStyle w:val="ab"/>
        </w:rPr>
        <w:footnoteRef/>
      </w:r>
      <w:r>
        <w:rPr>
          <w:rtl/>
        </w:rPr>
        <w:t xml:space="preserve"> רבה לא הוה ביה דעתא בהאי מדרבנן מעיקרא דהוה ליה למימר אף על פי כן, רש"י.</w:t>
      </w:r>
    </w:p>
  </w:footnote>
  <w:footnote w:id="5445">
    <w:p w14:paraId="6D15CDCA" w14:textId="77777777" w:rsidR="0013116F" w:rsidRDefault="0013116F" w:rsidP="001D49D4">
      <w:pPr>
        <w:pStyle w:val="a9"/>
        <w:rPr>
          <w:rtl/>
        </w:rPr>
      </w:pPr>
      <w:r>
        <w:rPr>
          <w:rStyle w:val="ab"/>
        </w:rPr>
        <w:footnoteRef/>
      </w:r>
      <w:r>
        <w:rPr>
          <w:rtl/>
        </w:rPr>
        <w:t xml:space="preserve"> ולא נהירא דאם כן בטלת תורת שמטה, רא"ש (סי' יט).</w:t>
      </w:r>
    </w:p>
  </w:footnote>
  <w:footnote w:id="5446">
    <w:p w14:paraId="7884A7BB" w14:textId="77777777" w:rsidR="0013116F" w:rsidRDefault="0013116F" w:rsidP="001D49D4">
      <w:pPr>
        <w:pStyle w:val="a9"/>
      </w:pPr>
      <w:r>
        <w:rPr>
          <w:rStyle w:val="ab"/>
        </w:rPr>
        <w:footnoteRef/>
      </w:r>
      <w:r>
        <w:rPr>
          <w:rtl/>
        </w:rPr>
        <w:t xml:space="preserve"> וכתב הב"י שכן פירש בערוך </w:t>
      </w:r>
      <w:r>
        <w:rPr>
          <w:sz w:val="16"/>
          <w:szCs w:val="16"/>
          <w:rtl/>
        </w:rPr>
        <w:t xml:space="preserve">(ערך תל, אך לפנינו איתא בערוך כפירוש רש"י, וכן העתיקו האו"ז [ע"ז סי' קח ד"ה וזה], אמנם הרמב"ן והר"ן מביאים את דברי הערוך כפי שכתב הב"י) </w:t>
      </w:r>
      <w:r>
        <w:rPr>
          <w:rtl/>
        </w:rPr>
        <w:t xml:space="preserve">וכן כתב הרמב"ם בפרק הנזכר </w:t>
      </w:r>
      <w:r>
        <w:rPr>
          <w:sz w:val="16"/>
          <w:szCs w:val="16"/>
          <w:rtl/>
        </w:rPr>
        <w:t xml:space="preserve">(הכ"ט, וצל"ע מדוע הר"ן והב"י כתבו כן בשם הרמב"ם, שהרי הרמב"ם דיבר רק לגבי המקרה השני </w:t>
      </w:r>
      <w:r>
        <w:rPr>
          <w:sz w:val="14"/>
          <w:szCs w:val="14"/>
          <w:rtl/>
        </w:rPr>
        <w:t>{שמחזיר לו אך לא אמר לו שלי הם ובמתנה וכו'}</w:t>
      </w:r>
      <w:r>
        <w:rPr>
          <w:sz w:val="16"/>
          <w:szCs w:val="16"/>
          <w:rtl/>
        </w:rPr>
        <w:t xml:space="preserve"> ולא לגבי המקרה הראשון </w:t>
      </w:r>
      <w:r>
        <w:rPr>
          <w:sz w:val="14"/>
          <w:szCs w:val="14"/>
          <w:rtl/>
        </w:rPr>
        <w:t>{כשלא אמר הלוה 'אף על פי כן'}</w:t>
      </w:r>
      <w:r>
        <w:rPr>
          <w:sz w:val="16"/>
          <w:szCs w:val="16"/>
          <w:rtl/>
        </w:rPr>
        <w:t>. ואולי סבר שכך דעת הרמב"ם משום שרבה חוזר על דבריו פעמיים, וא"כ כמו שפירש הרמב"ם את דברי רבה במקרה השני כך יפרש דבריו גם במקרה הראשון, וכל שכן הוא, שאם צריך לסבב עמו בדברים כדי שיאמר שלי הם וכו' כ"ש שמסבב עמו בדברים כדי שבכלל יאמר אף על פי כן וכו' ויתנם לידו)</w:t>
      </w:r>
      <w:r>
        <w:rPr>
          <w:rtl/>
        </w:rPr>
        <w:t>.</w:t>
      </w:r>
    </w:p>
  </w:footnote>
  <w:footnote w:id="5447">
    <w:p w14:paraId="142399C3" w14:textId="77777777" w:rsidR="0013116F" w:rsidRDefault="0013116F" w:rsidP="001D49D4">
      <w:pPr>
        <w:pStyle w:val="a9"/>
        <w:rPr>
          <w:rtl/>
        </w:rPr>
      </w:pPr>
      <w:r>
        <w:rPr>
          <w:rStyle w:val="ab"/>
        </w:rPr>
        <w:footnoteRef/>
      </w:r>
      <w:r>
        <w:rPr>
          <w:rtl/>
        </w:rPr>
        <w:t xml:space="preserve"> ועיין בב"ח [סעיף ל"ו] מה שכתב לישב פירוש רש"י [גיטין לז: ד"ה ותלי] דפירש אף יכול לתלות אותו שיאמר אף על פי כן, ע"ש דהמקיל כרש"י הרי זה זריז ונשכר, ש"ך (סקי"א).</w:t>
      </w:r>
    </w:p>
  </w:footnote>
  <w:footnote w:id="5448">
    <w:p w14:paraId="34CE85D0" w14:textId="77777777" w:rsidR="0013116F" w:rsidRDefault="0013116F" w:rsidP="001D49D4">
      <w:pPr>
        <w:pStyle w:val="a9"/>
        <w:rPr>
          <w:rtl/>
        </w:rPr>
      </w:pPr>
      <w:r>
        <w:rPr>
          <w:rStyle w:val="ab"/>
        </w:rPr>
        <w:footnoteRef/>
      </w:r>
      <w:r>
        <w:rPr>
          <w:rtl/>
        </w:rPr>
        <w:t xml:space="preserve"> פירוש, הלוה שבא ליתנם לו וזה השיב לו משמט אני, יחזור הלוה ויטלם וילך לו, סמ"ע (סקנ"ח).</w:t>
      </w:r>
    </w:p>
  </w:footnote>
  <w:footnote w:id="5449">
    <w:p w14:paraId="71F04A56" w14:textId="77777777" w:rsidR="0013116F" w:rsidRDefault="0013116F" w:rsidP="001D49D4">
      <w:pPr>
        <w:pStyle w:val="a9"/>
        <w:rPr>
          <w:rtl/>
        </w:rPr>
      </w:pPr>
      <w:r>
        <w:rPr>
          <w:rStyle w:val="ab"/>
        </w:rPr>
        <w:footnoteRef/>
      </w:r>
      <w:r>
        <w:rPr>
          <w:rtl/>
        </w:rPr>
        <w:t xml:space="preserve"> רמב"ן </w:t>
      </w:r>
      <w:r>
        <w:rPr>
          <w:sz w:val="16"/>
          <w:szCs w:val="16"/>
          <w:rtl/>
        </w:rPr>
        <w:t xml:space="preserve">(תשובות הרמב"ן י"ם תשלה סי' מב, וכ"כ בשמו בעל התרומות והרא"ש [כלל עז סי' ד]) </w:t>
      </w:r>
      <w:r>
        <w:rPr>
          <w:rtl/>
        </w:rPr>
        <w:t xml:space="preserve">בעל התרומות </w:t>
      </w:r>
      <w:r>
        <w:rPr>
          <w:sz w:val="16"/>
          <w:szCs w:val="16"/>
          <w:rtl/>
        </w:rPr>
        <w:t xml:space="preserve">(שער מה סי' ה) </w:t>
      </w:r>
      <w:r>
        <w:rPr>
          <w:rtl/>
        </w:rPr>
        <w:t>וטור.</w:t>
      </w:r>
    </w:p>
  </w:footnote>
  <w:footnote w:id="5450">
    <w:p w14:paraId="2A60B3EA" w14:textId="77777777" w:rsidR="0013116F" w:rsidRDefault="0013116F" w:rsidP="001D49D4">
      <w:pPr>
        <w:pStyle w:val="a9"/>
        <w:rPr>
          <w:rtl/>
        </w:rPr>
      </w:pPr>
      <w:r>
        <w:rPr>
          <w:rStyle w:val="ab"/>
        </w:rPr>
        <w:footnoteRef/>
      </w:r>
      <w:r>
        <w:rPr>
          <w:rtl/>
        </w:rPr>
        <w:t xml:space="preserve"> נראה לי דודאי דמי הנייר צריך הלוה להחזיר לו, דה"ל השטר משכון בידו בעד דמי הנייר. אבל דמי שכר הסופר אין צריך ליתן לו דג"כ נשמט בשביעית, דהא גוף השטר אינו שוה יותר מדמי הנייר לצור על פי צלוחיתו, סמ"ע (סקנ"ט).</w:t>
      </w:r>
    </w:p>
  </w:footnote>
  <w:footnote w:id="5451">
    <w:p w14:paraId="5AE2D66C" w14:textId="77777777" w:rsidR="0013116F" w:rsidRDefault="0013116F" w:rsidP="001D49D4">
      <w:pPr>
        <w:pStyle w:val="a9"/>
      </w:pPr>
      <w:r>
        <w:rPr>
          <w:rStyle w:val="ab"/>
        </w:rPr>
        <w:footnoteRef/>
      </w:r>
      <w:r>
        <w:rPr>
          <w:rtl/>
        </w:rPr>
        <w:t xml:space="preserve"> והקשה הב"ח [סעיף ל"ט] דליהמן במיגו דאי בעי מחיל ליה. ותירץ דאין הכי נמי אלא מיירי שמצד הטענה עצמה אינו נאמן, ומיירי כגון שמכרו במעמד שלשתן שאינו יכול למחול כדלעיל סימן ס"ו סעיף כ"ט, עכ"ד. אבל אין לתרץ שאין בדעתו למחול ולהפסיד חובו כמו שתירצו הרא"ש (סי' יט) והתוס' (פ"ב דכתובות יט. ד"ה וכגון), ומביאם הב"י והב"ח גופיה לעיל ר"ס מ"ז. דהאי תירוץ לא שייך אלא כשהשטר ביד המלוה עדיין, אבל כשמכרו ואינו תחת ידו לא שייך לומר כן.... מיהו לפי מה שכתבתי לעיל סימן ס"ו (סע' יא סקל"ה) דכל טענות המבטלים השטר הרי הם מחילה, א"כ ה"ה הכא אם אומר שלא היה לו פרוזבול הרי הוא כמוחל לו, ולפי מ"ש שם (סע' כט סקצ"ז) דאף במכרו במעמד שלשתן יכול למחול, א"כ הכא בכל ענין נאמן המוכר, רק שמשלם ללוקח מה שהפסיד לו מדיני דגרמי כל מה שהיה שוה השטר אם היה לו פרוזבול, וכמ"ש לעיל סימן ס"ו סקל"ב, ע"ש..., ש"ך (סקי"ג).</w:t>
      </w:r>
    </w:p>
  </w:footnote>
  <w:footnote w:id="5452">
    <w:p w14:paraId="4B48D2D6" w14:textId="77777777" w:rsidR="0013116F" w:rsidRDefault="0013116F" w:rsidP="001D49D4">
      <w:pPr>
        <w:pStyle w:val="a9"/>
        <w:rPr>
          <w:rtl/>
        </w:rPr>
      </w:pPr>
      <w:r>
        <w:rPr>
          <w:rStyle w:val="ab"/>
        </w:rPr>
        <w:footnoteRef/>
      </w:r>
      <w:r>
        <w:rPr>
          <w:rtl/>
        </w:rPr>
        <w:t xml:space="preserve"> דין זה אף שהוא מבעל התרומות והטור... לא נהירא לי, דכיון שמכרו שוב אינו נאמן, כיון דלית ליה מיגו דאי בעי מחיל, וכמ"ש לעיל. ובפרט מה שנראה מהבעל התרומות והטור והמחבר שאינו משלם לו אלא דמים שקיבל מחמת מקח טעות - אינו נראה לי, אלא דכיון שבא להפסיד בהודאתו אינו נאמן כלל. ולא דמי למלוה שאמר על שטר שבידו שהוא אמנה שהוא נאמן בדאית ליה נכסי, וכמ"ש לקמן סי' פ"ו סק"ה, התם הא נתבאר טעמא כיון דאית ליה ללוה שני פסידא בגבייה זו ה"ל חוב זה כמשועבדים דאין גובין במקום שיש בני חורין, והלכך כיון שהשטר הוא שלו הוא נאמן, משא"כ הכא שמכרו ויצא מתחת ידו לאו כל כמיניה לחוב ללוקח בהודאתו, וכן מוכח מדברי הרשב"א פ"ק דגיטין </w:t>
      </w:r>
      <w:r>
        <w:rPr>
          <w:sz w:val="16"/>
          <w:szCs w:val="16"/>
          <w:rtl/>
        </w:rPr>
        <w:t>(יד. ד"ה הנהו גינאי)</w:t>
      </w:r>
      <w:r>
        <w:rPr>
          <w:rtl/>
        </w:rPr>
        <w:t xml:space="preserve"> שהבאתי לקמן סי' קכו ס"ק ס"ג, ואפילו להרא"ש שם </w:t>
      </w:r>
      <w:r>
        <w:rPr>
          <w:sz w:val="16"/>
          <w:szCs w:val="16"/>
          <w:rtl/>
        </w:rPr>
        <w:t>[סי' יז]</w:t>
      </w:r>
      <w:r>
        <w:rPr>
          <w:rtl/>
        </w:rPr>
        <w:t xml:space="preserve">, היינו משום דהתם ליכא פסידא לזוכה, משא"כ הכא שאינו מקבל רק דמים שנתן למוכר, וכן בכל דוכתי דטענינן ללוקח פשיטא דהיינו אפילו המוכר אמר נגד זכות הלוקח לאו כל כמיניה וכדמשמע בכמה דוכתי. וכ"כ רי"ו </w:t>
      </w:r>
      <w:r>
        <w:rPr>
          <w:sz w:val="16"/>
          <w:szCs w:val="16"/>
          <w:rtl/>
        </w:rPr>
        <w:t xml:space="preserve">(מישרים ני"א ח"ב) </w:t>
      </w:r>
      <w:r>
        <w:rPr>
          <w:rtl/>
        </w:rPr>
        <w:t xml:space="preserve">ומהר"י ן' לב </w:t>
      </w:r>
      <w:r>
        <w:rPr>
          <w:sz w:val="16"/>
          <w:szCs w:val="16"/>
          <w:rtl/>
        </w:rPr>
        <w:t xml:space="preserve">(ספר שני סי' ע) </w:t>
      </w:r>
      <w:r>
        <w:rPr>
          <w:rtl/>
        </w:rPr>
        <w:t>להדיא וז"ל- הלוקח מן הלוקח אפילו שאמר גזולה היא בידי לאו כל הימנו לבטל זכותו של לוקח, ע"כ. ה"ה הכא, ש"ך</w:t>
      </w:r>
      <w:r>
        <w:rPr>
          <w:sz w:val="16"/>
          <w:szCs w:val="16"/>
          <w:rtl/>
        </w:rPr>
        <w:t xml:space="preserve"> (סקי"ד)</w:t>
      </w:r>
      <w:r>
        <w:rPr>
          <w:rtl/>
        </w:rPr>
        <w:t>.</w:t>
      </w:r>
    </w:p>
  </w:footnote>
  <w:footnote w:id="5453">
    <w:p w14:paraId="43CD4145" w14:textId="77777777" w:rsidR="0013116F" w:rsidRDefault="0013116F" w:rsidP="001D49D4">
      <w:pPr>
        <w:pStyle w:val="a9"/>
        <w:rPr>
          <w:rtl/>
        </w:rPr>
      </w:pPr>
      <w:r>
        <w:rPr>
          <w:rStyle w:val="ab"/>
        </w:rPr>
        <w:footnoteRef/>
      </w:r>
      <w:r>
        <w:rPr>
          <w:rtl/>
        </w:rPr>
        <w:t xml:space="preserve"> </w:t>
      </w:r>
      <w:r>
        <w:rPr>
          <w:rFonts w:hint="cs"/>
          <w:rtl/>
        </w:rPr>
        <w:t xml:space="preserve">סימן – ישראל טייט בירחון טורקי. </w:t>
      </w:r>
    </w:p>
  </w:footnote>
  <w:footnote w:id="5454">
    <w:p w14:paraId="344DD2A0" w14:textId="77777777" w:rsidR="0013116F" w:rsidRDefault="0013116F" w:rsidP="001D49D4">
      <w:pPr>
        <w:pStyle w:val="a9"/>
        <w:spacing w:after="60"/>
        <w:rPr>
          <w:rFonts w:ascii="Arial" w:hAnsi="Arial"/>
        </w:rPr>
      </w:pPr>
      <w:r>
        <w:rPr>
          <w:rStyle w:val="ab"/>
          <w:rFonts w:ascii="Arial" w:hAnsi="Arial"/>
        </w:rPr>
        <w:footnoteRef/>
      </w:r>
      <w:r>
        <w:rPr>
          <w:rFonts w:ascii="Arial" w:hAnsi="Arial"/>
          <w:rtl/>
        </w:rPr>
        <w:t xml:space="preserve"> וישראל עשאוהו אלא שכתבוהו לשון פרסי, רש"י.</w:t>
      </w:r>
    </w:p>
  </w:footnote>
  <w:footnote w:id="5455">
    <w:p w14:paraId="289626CF" w14:textId="77777777" w:rsidR="0013116F" w:rsidRDefault="0013116F" w:rsidP="001D49D4">
      <w:pPr>
        <w:pStyle w:val="a9"/>
        <w:spacing w:after="60"/>
        <w:rPr>
          <w:rFonts w:ascii="Arial" w:hAnsi="Arial"/>
        </w:rPr>
      </w:pPr>
      <w:r>
        <w:rPr>
          <w:rStyle w:val="ab"/>
          <w:rFonts w:ascii="Arial" w:hAnsi="Arial"/>
        </w:rPr>
        <w:footnoteRef/>
      </w:r>
      <w:r>
        <w:rPr>
          <w:rFonts w:ascii="Arial" w:hAnsi="Arial"/>
          <w:rtl/>
        </w:rPr>
        <w:t xml:space="preserve"> כתב שלו, רש"י.</w:t>
      </w:r>
    </w:p>
  </w:footnote>
  <w:footnote w:id="5456">
    <w:p w14:paraId="235B8F25" w14:textId="77777777" w:rsidR="0013116F" w:rsidRDefault="0013116F" w:rsidP="001D49D4">
      <w:pPr>
        <w:pStyle w:val="a9"/>
        <w:spacing w:after="60"/>
        <w:rPr>
          <w:rFonts w:ascii="Arial" w:hAnsi="Arial"/>
        </w:rPr>
      </w:pPr>
      <w:r>
        <w:rPr>
          <w:rStyle w:val="ab"/>
          <w:rFonts w:ascii="Arial" w:hAnsi="Arial"/>
        </w:rPr>
        <w:footnoteRef/>
      </w:r>
      <w:r>
        <w:rPr>
          <w:rFonts w:ascii="Arial" w:hAnsi="Arial"/>
          <w:rtl/>
        </w:rPr>
        <w:t xml:space="preserve"> משום תקנת עגונות, רש"י. </w:t>
      </w:r>
    </w:p>
  </w:footnote>
  <w:footnote w:id="5457">
    <w:p w14:paraId="0A8F3DE9" w14:textId="77777777" w:rsidR="0013116F" w:rsidRDefault="0013116F" w:rsidP="001D49D4">
      <w:pPr>
        <w:pStyle w:val="a9"/>
        <w:rPr>
          <w:rFonts w:ascii="Calibri" w:hAnsi="Calibri"/>
          <w:rtl/>
        </w:rPr>
      </w:pPr>
      <w:r>
        <w:rPr>
          <w:rStyle w:val="ab"/>
        </w:rPr>
        <w:footnoteRef/>
      </w:r>
      <w:r>
        <w:rPr>
          <w:rtl/>
        </w:rPr>
        <w:t xml:space="preserve"> </w:t>
      </w:r>
      <w:r>
        <w:rPr>
          <w:rFonts w:hint="cs"/>
          <w:rtl/>
        </w:rPr>
        <w:t>סימן – ירחון יווני/יפני</w:t>
      </w:r>
      <w:r>
        <w:rPr>
          <w:sz w:val="16"/>
          <w:szCs w:val="16"/>
          <w:rtl/>
        </w:rPr>
        <w:t xml:space="preserve"> {היינו גוים}</w:t>
      </w:r>
      <w:r>
        <w:rPr>
          <w:rtl/>
        </w:rPr>
        <w:t>.</w:t>
      </w:r>
    </w:p>
  </w:footnote>
  <w:footnote w:id="5458">
    <w:p w14:paraId="3446C15A" w14:textId="77777777" w:rsidR="0013116F" w:rsidRDefault="0013116F" w:rsidP="001D49D4">
      <w:pPr>
        <w:pStyle w:val="a9"/>
        <w:rPr>
          <w:rtl/>
        </w:rPr>
      </w:pPr>
      <w:r>
        <w:rPr>
          <w:rStyle w:val="ab"/>
        </w:rPr>
        <w:footnoteRef/>
      </w:r>
      <w:r>
        <w:rPr>
          <w:rtl/>
        </w:rPr>
        <w:t xml:space="preserve"> דע"י השטר הוא קונה אותה במסירת השטר היכי מיקניא האי שטרא חספא בעלמא הוא, רש"י.</w:t>
      </w:r>
    </w:p>
  </w:footnote>
  <w:footnote w:id="5459">
    <w:p w14:paraId="19746BE5" w14:textId="77777777" w:rsidR="0013116F" w:rsidRDefault="0013116F" w:rsidP="001D49D4">
      <w:pPr>
        <w:pStyle w:val="a9"/>
      </w:pPr>
      <w:r>
        <w:rPr>
          <w:rStyle w:val="ab"/>
        </w:rPr>
        <w:footnoteRef/>
      </w:r>
      <w:r>
        <w:rPr>
          <w:rtl/>
        </w:rPr>
        <w:t xml:space="preserve"> ודוקא ערכאות דלא מקבלי שוחדא, רי"ף (ד.). </w:t>
      </w:r>
      <w:r>
        <w:rPr>
          <w:sz w:val="16"/>
          <w:szCs w:val="16"/>
          <w:rtl/>
        </w:rPr>
        <w:t>(וכתב הב"י שהרמב"ם (פכ"ז ממלוה ה"א) והרא"ש (סי' י) נחלקו בפירוש דברי הרי"ף, הרמב"ם פירש דכוונתו לומר דהיינו דוקא בערכאות דלא מקבלי שוחדא, אבל בערכאות דמקבלי שוחד - לא. אבל הרא"ש פירש שכוונתו לומר דערכאות לאו מקבלי שוחד נינהו. וכן נראה לי דעת הרשב"א בשו"ת החדשות סי' רנו)</w:t>
      </w:r>
    </w:p>
  </w:footnote>
  <w:footnote w:id="5460">
    <w:p w14:paraId="225BEDA2" w14:textId="77777777" w:rsidR="0013116F" w:rsidRDefault="0013116F" w:rsidP="001D49D4">
      <w:pPr>
        <w:pStyle w:val="a9"/>
        <w:rPr>
          <w:rtl/>
        </w:rPr>
      </w:pPr>
      <w:r>
        <w:rPr>
          <w:rStyle w:val="ab"/>
        </w:rPr>
        <w:footnoteRef/>
      </w:r>
      <w:r>
        <w:rPr>
          <w:rtl/>
        </w:rPr>
        <w:t xml:space="preserve"> </w:t>
      </w:r>
      <w:r>
        <w:rPr>
          <w:rFonts w:hint="cs"/>
          <w:rtl/>
        </w:rPr>
        <w:t>סימן - ישיחו טמאים, יוכל לטרוף</w:t>
      </w:r>
      <w:r>
        <w:rPr>
          <w:sz w:val="16"/>
          <w:szCs w:val="16"/>
          <w:rtl/>
        </w:rPr>
        <w:t xml:space="preserve"> (ממשעבדי, רש"י)</w:t>
      </w:r>
      <w:r>
        <w:rPr>
          <w:rtl/>
        </w:rPr>
        <w:t xml:space="preserve">/יוכשר טופס </w:t>
      </w:r>
      <w:r>
        <w:rPr>
          <w:sz w:val="16"/>
          <w:szCs w:val="16"/>
          <w:rtl/>
        </w:rPr>
        <w:t>(וגובה מב"ח, רמב"ם)</w:t>
      </w:r>
      <w:r>
        <w:rPr>
          <w:rtl/>
        </w:rPr>
        <w:t>.</w:t>
      </w:r>
    </w:p>
  </w:footnote>
  <w:footnote w:id="5461">
    <w:p w14:paraId="3BB83798" w14:textId="77777777" w:rsidR="0013116F" w:rsidRDefault="0013116F" w:rsidP="001D49D4">
      <w:pPr>
        <w:pStyle w:val="a9"/>
      </w:pPr>
      <w:r>
        <w:rPr>
          <w:rStyle w:val="ab"/>
        </w:rPr>
        <w:footnoteRef/>
      </w:r>
      <w:r>
        <w:rPr>
          <w:rtl/>
        </w:rPr>
        <w:t xml:space="preserve"> ויש גורסין 'מבני חרי', ב"י.</w:t>
      </w:r>
    </w:p>
  </w:footnote>
  <w:footnote w:id="5462">
    <w:p w14:paraId="25399099" w14:textId="77777777" w:rsidR="0013116F" w:rsidRDefault="0013116F" w:rsidP="001D49D4">
      <w:pPr>
        <w:pStyle w:val="a9"/>
        <w:rPr>
          <w:rtl/>
        </w:rPr>
      </w:pPr>
      <w:r>
        <w:rPr>
          <w:rStyle w:val="ab"/>
        </w:rPr>
        <w:footnoteRef/>
      </w:r>
      <w:r>
        <w:rPr>
          <w:rtl/>
        </w:rPr>
        <w:t xml:space="preserve"> רוב הגאונים </w:t>
      </w:r>
      <w:r>
        <w:rPr>
          <w:sz w:val="16"/>
          <w:szCs w:val="16"/>
          <w:rtl/>
        </w:rPr>
        <w:t xml:space="preserve">(כ"כ הה"מ בשמם) </w:t>
      </w:r>
      <w:r>
        <w:rPr>
          <w:rtl/>
        </w:rPr>
        <w:t xml:space="preserve">רי"ף </w:t>
      </w:r>
      <w:r>
        <w:rPr>
          <w:sz w:val="16"/>
          <w:szCs w:val="16"/>
          <w:rtl/>
        </w:rPr>
        <w:t>(ח"א סי' יד, וכ"כ הרשב"א בשמו [י: ד"ה אבל])</w:t>
      </w:r>
      <w:r>
        <w:rPr>
          <w:rtl/>
        </w:rPr>
        <w:t xml:space="preserve"> ורמב"ם </w:t>
      </w:r>
      <w:r>
        <w:rPr>
          <w:sz w:val="16"/>
          <w:szCs w:val="16"/>
          <w:rtl/>
        </w:rPr>
        <w:t>(פכ"ז ממלוה ה"א, כ"כ הה"מ בשמו)</w:t>
      </w:r>
      <w:r>
        <w:rPr>
          <w:rtl/>
        </w:rPr>
        <w:t>.</w:t>
      </w:r>
    </w:p>
  </w:footnote>
  <w:footnote w:id="5463">
    <w:p w14:paraId="2C6CF0E9" w14:textId="77777777" w:rsidR="0013116F" w:rsidRDefault="0013116F" w:rsidP="001D49D4">
      <w:pPr>
        <w:pStyle w:val="a9"/>
        <w:rPr>
          <w:rtl/>
        </w:rPr>
      </w:pPr>
      <w:r>
        <w:rPr>
          <w:rStyle w:val="ab"/>
        </w:rPr>
        <w:footnoteRef/>
      </w:r>
      <w:r>
        <w:rPr>
          <w:rtl/>
        </w:rPr>
        <w:t xml:space="preserve"> ויש לפרש לפי דעתם ז"ל דאע"ג דקיי"ל דדינא דמלכותא דינא הני מילי במה שהוא תועלת המלך בענייני המסים שלו ומה שהוא מחקיו, אבל בדברים שבין אדם לחבירו אין דינו בהם דין, והכי קאמר- ואי בעית אימא לא אמרינן בכי הא דינא דמלכותא דינא ותני חוץ מכגיטי נשים. ואין ראיה גמורה הפך מזה, הה"מ.</w:t>
      </w:r>
    </w:p>
  </w:footnote>
  <w:footnote w:id="5464">
    <w:p w14:paraId="6A62DE61" w14:textId="77777777" w:rsidR="0013116F" w:rsidRDefault="0013116F" w:rsidP="001D49D4">
      <w:pPr>
        <w:pStyle w:val="a9"/>
        <w:rPr>
          <w:rtl/>
        </w:rPr>
      </w:pPr>
      <w:r>
        <w:rPr>
          <w:rStyle w:val="ab"/>
        </w:rPr>
        <w:footnoteRef/>
      </w:r>
      <w:r>
        <w:rPr>
          <w:rtl/>
        </w:rPr>
        <w:t xml:space="preserve"> </w:t>
      </w:r>
      <w:r>
        <w:rPr>
          <w:rFonts w:hint="cs"/>
          <w:rtl/>
        </w:rPr>
        <w:t xml:space="preserve">וז"ל (גיטין פ"א סי' י)- </w:t>
      </w:r>
      <w:r>
        <w:rPr>
          <w:rtl/>
        </w:rPr>
        <w:t>הני תרי לישני ל"פ אהדדי דליכא מאן דפליג אהא דאמר בכולי התלמוד דינא דמלכותא דינא ומיתרצא מתניתין בתרי לישני אם הנהיג המלך שלא יעשו שטר אלא בפני הערכאות שלא יחתמו העדים על שטר עד שיבואו בעלי הדבר לפני הערכאות ויראו וידעו הערכאות אמתת הדבר ואז יתנו הרשות לעדים לחתום והיינו שטרות העולין בערכאות דאחר שנכתב השטר מביאין העדים אותו לפני הערכאות ונגמר כל הדבר בפניהם וסמכינן עלייהו דאי לא יהיב זוזי קמייהו לא הוו מרעי נפשיהו לצוות לחתום ואפילו אי נפיק קלא עלייהו דשקלי שוחדא לאצלויי דינא לעדות שקר לא מרעו נפשייהו אז איירי מתניתין בכל שטרות אפילו בשטרי מתנה ואם לא הנהיג המלך כך אז מתרצא מתניתין חוץ מכגיטי נשים.</w:t>
      </w:r>
    </w:p>
  </w:footnote>
  <w:footnote w:id="5465">
    <w:p w14:paraId="6DFA10DE" w14:textId="77777777" w:rsidR="0013116F" w:rsidRDefault="0013116F" w:rsidP="001D49D4">
      <w:pPr>
        <w:pStyle w:val="a9"/>
        <w:rPr>
          <w:rtl/>
        </w:rPr>
      </w:pPr>
      <w:r>
        <w:rPr>
          <w:rStyle w:val="ab"/>
        </w:rPr>
        <w:footnoteRef/>
      </w:r>
      <w:r>
        <w:rPr>
          <w:rtl/>
        </w:rPr>
        <w:t xml:space="preserve"> בהעי"ט </w:t>
      </w:r>
      <w:r>
        <w:rPr>
          <w:sz w:val="16"/>
          <w:szCs w:val="16"/>
          <w:rtl/>
        </w:rPr>
        <w:t xml:space="preserve">(ח"א סוף מאמר ח, כ"כ הה"מ בשמו [פכ"ז מהל' מלוה ולוה שם]) </w:t>
      </w:r>
      <w:r>
        <w:rPr>
          <w:rtl/>
        </w:rPr>
        <w:t xml:space="preserve">רמב"ן </w:t>
      </w:r>
      <w:r>
        <w:rPr>
          <w:sz w:val="16"/>
          <w:szCs w:val="16"/>
          <w:rtl/>
        </w:rPr>
        <w:t xml:space="preserve">(גיטין י: ד"ה ואב"א, ב"ב נה. ד"ה אם, כ"כ הה"מ בשמו [שם]) </w:t>
      </w:r>
      <w:r>
        <w:rPr>
          <w:rtl/>
        </w:rPr>
        <w:t xml:space="preserve">רא"ש </w:t>
      </w:r>
      <w:r>
        <w:rPr>
          <w:sz w:val="16"/>
          <w:szCs w:val="16"/>
          <w:rtl/>
        </w:rPr>
        <w:t xml:space="preserve">(סי' י) </w:t>
      </w:r>
      <w:r>
        <w:rPr>
          <w:rtl/>
        </w:rPr>
        <w:t xml:space="preserve">טור </w:t>
      </w:r>
      <w:r>
        <w:rPr>
          <w:sz w:val="16"/>
          <w:szCs w:val="16"/>
          <w:rtl/>
        </w:rPr>
        <w:t xml:space="preserve">(סע' ו) </w:t>
      </w:r>
      <w:r>
        <w:rPr>
          <w:rtl/>
        </w:rPr>
        <w:t xml:space="preserve">ור"ן </w:t>
      </w:r>
      <w:r>
        <w:rPr>
          <w:sz w:val="16"/>
          <w:szCs w:val="16"/>
          <w:rtl/>
        </w:rPr>
        <w:t>(ד. ד"ה ואיבעית)</w:t>
      </w:r>
      <w:r>
        <w:rPr>
          <w:rtl/>
        </w:rPr>
        <w:t xml:space="preserve">. וכתב הה"מ </w:t>
      </w:r>
      <w:r>
        <w:rPr>
          <w:sz w:val="16"/>
          <w:szCs w:val="16"/>
          <w:rtl/>
        </w:rPr>
        <w:t>(שם)</w:t>
      </w:r>
      <w:r>
        <w:rPr>
          <w:rtl/>
        </w:rPr>
        <w:t xml:space="preserve"> שכ"כ הרשב"א בחידו' </w:t>
      </w:r>
      <w:r>
        <w:rPr>
          <w:sz w:val="16"/>
          <w:szCs w:val="16"/>
          <w:rtl/>
        </w:rPr>
        <w:t>(גיטין י: ד"ה ואי)</w:t>
      </w:r>
      <w:r>
        <w:rPr>
          <w:rtl/>
        </w:rPr>
        <w:t xml:space="preserve">. אמנם יש לציין שהרשב"א בתשו' </w:t>
      </w:r>
      <w:r>
        <w:rPr>
          <w:sz w:val="16"/>
          <w:szCs w:val="16"/>
          <w:rtl/>
        </w:rPr>
        <w:t>(ח"ב סי' ב)</w:t>
      </w:r>
      <w:r>
        <w:rPr>
          <w:rtl/>
        </w:rPr>
        <w:t xml:space="preserve"> כתב אחרת ממה שכתב בחידושים. וצ"ע בדעתו.</w:t>
      </w:r>
    </w:p>
  </w:footnote>
  <w:footnote w:id="5466">
    <w:p w14:paraId="2D66087D" w14:textId="77777777" w:rsidR="0013116F" w:rsidRDefault="0013116F" w:rsidP="001D49D4">
      <w:pPr>
        <w:pStyle w:val="a9"/>
        <w:rPr>
          <w:rtl/>
        </w:rPr>
      </w:pPr>
      <w:r>
        <w:rPr>
          <w:rStyle w:val="ab"/>
        </w:rPr>
        <w:footnoteRef/>
      </w:r>
      <w:r>
        <w:rPr>
          <w:rtl/>
        </w:rPr>
        <w:t xml:space="preserve"> הר"ן דחה פירוש זה </w:t>
      </w:r>
      <w:r>
        <w:rPr>
          <w:sz w:val="16"/>
          <w:szCs w:val="16"/>
          <w:rtl/>
        </w:rPr>
        <w:t>{של הה"מ}</w:t>
      </w:r>
      <w:r>
        <w:rPr>
          <w:rtl/>
        </w:rPr>
        <w:t xml:space="preserve"> מדאמרינן בפרק חזקת (ב"ב נה.) דינא דמלכותא דינא אפילו בדבר שאין בו תועלת למלך כלל </w:t>
      </w:r>
      <w:r>
        <w:rPr>
          <w:sz w:val="16"/>
          <w:szCs w:val="16"/>
          <w:rtl/>
        </w:rPr>
        <w:t>(וכתב הב"י (בבדה"ב) דמה שהביא הר"ן ראיה מההוא דפרק חזקת הבתים לפי מה שפירש בו נמוק"י אין משם ראיה)</w:t>
      </w:r>
      <w:r>
        <w:rPr>
          <w:rtl/>
        </w:rPr>
        <w:t xml:space="preserve"> ולכך פירש ד-...</w:t>
      </w:r>
    </w:p>
  </w:footnote>
  <w:footnote w:id="5467">
    <w:p w14:paraId="3E60765B" w14:textId="77777777" w:rsidR="0013116F" w:rsidRDefault="0013116F" w:rsidP="001D49D4">
      <w:pPr>
        <w:pStyle w:val="a9"/>
        <w:rPr>
          <w:rtl/>
        </w:rPr>
      </w:pPr>
      <w:r>
        <w:rPr>
          <w:rStyle w:val="ab"/>
        </w:rPr>
        <w:footnoteRef/>
      </w:r>
      <w:r>
        <w:rPr>
          <w:rtl/>
        </w:rPr>
        <w:t xml:space="preserve"> רמב"ם </w:t>
      </w:r>
      <w:r>
        <w:rPr>
          <w:sz w:val="16"/>
          <w:szCs w:val="16"/>
          <w:rtl/>
        </w:rPr>
        <w:t xml:space="preserve">(פכ"ז ממלוה ה"א) </w:t>
      </w:r>
      <w:r>
        <w:rPr>
          <w:rtl/>
        </w:rPr>
        <w:t xml:space="preserve">רמב"ן </w:t>
      </w:r>
      <w:r>
        <w:rPr>
          <w:sz w:val="16"/>
          <w:szCs w:val="16"/>
          <w:rtl/>
        </w:rPr>
        <w:t xml:space="preserve">(גיטין י: ד"ה ואב"א, ב"ב נה. ד"ה אם, כ"כ הה"מ בשמו [שם]) </w:t>
      </w:r>
      <w:r>
        <w:rPr>
          <w:rtl/>
        </w:rPr>
        <w:t xml:space="preserve">רשב"א </w:t>
      </w:r>
      <w:r>
        <w:rPr>
          <w:sz w:val="16"/>
          <w:szCs w:val="16"/>
          <w:rtl/>
        </w:rPr>
        <w:t>(שם ד"ה ואי, כ"כ הה"מ בשמו [שם])</w:t>
      </w:r>
      <w:r>
        <w:rPr>
          <w:rtl/>
        </w:rPr>
        <w:t xml:space="preserve"> ור"ן </w:t>
      </w:r>
      <w:r>
        <w:rPr>
          <w:sz w:val="16"/>
          <w:szCs w:val="16"/>
          <w:rtl/>
        </w:rPr>
        <w:t xml:space="preserve">(ד. ד"ה ואיבעית) </w:t>
      </w:r>
      <w:r>
        <w:rPr>
          <w:rtl/>
        </w:rPr>
        <w:t xml:space="preserve">רא"ש </w:t>
      </w:r>
      <w:r>
        <w:rPr>
          <w:sz w:val="16"/>
          <w:szCs w:val="16"/>
          <w:rtl/>
        </w:rPr>
        <w:t xml:space="preserve">(סי' י-יא) </w:t>
      </w:r>
      <w:r>
        <w:rPr>
          <w:rtl/>
        </w:rPr>
        <w:t xml:space="preserve">טור </w:t>
      </w:r>
      <w:r>
        <w:rPr>
          <w:sz w:val="16"/>
          <w:szCs w:val="16"/>
          <w:rtl/>
        </w:rPr>
        <w:t>(סע' ו)</w:t>
      </w:r>
      <w:r>
        <w:rPr>
          <w:rtl/>
        </w:rPr>
        <w:t xml:space="preserve"> ור"ן </w:t>
      </w:r>
      <w:r>
        <w:rPr>
          <w:sz w:val="16"/>
          <w:szCs w:val="16"/>
          <w:rtl/>
        </w:rPr>
        <w:t>(ד. ד"ה ואיבעית)</w:t>
      </w:r>
      <w:r>
        <w:rPr>
          <w:rtl/>
        </w:rPr>
        <w:t>.</w:t>
      </w:r>
    </w:p>
  </w:footnote>
  <w:footnote w:id="5468">
    <w:p w14:paraId="15A95DD3" w14:textId="77777777" w:rsidR="0013116F" w:rsidRDefault="0013116F" w:rsidP="001D49D4">
      <w:pPr>
        <w:pStyle w:val="a9"/>
        <w:rPr>
          <w:rtl/>
        </w:rPr>
      </w:pPr>
      <w:r>
        <w:rPr>
          <w:rStyle w:val="ab"/>
        </w:rPr>
        <w:footnoteRef/>
      </w:r>
      <w:r>
        <w:rPr>
          <w:rtl/>
        </w:rPr>
        <w:t xml:space="preserve"> </w:t>
      </w:r>
      <w:r>
        <w:rPr>
          <w:rFonts w:hint="cs"/>
          <w:rtl/>
        </w:rPr>
        <w:t xml:space="preserve">כן הגי' במהדורת מקבילי ועוד. ובחלק מהגירסאות ברמב"ם כתוב 'וכן שטרי </w:t>
      </w:r>
      <w:r>
        <w:rPr>
          <w:rtl/>
        </w:rPr>
        <w:t xml:space="preserve">חוב והודאות...' - וזו טעות, שהרי הרמב"ם כבר כתב לפני כן ששטרי חוב כשרים. </w:t>
      </w:r>
    </w:p>
  </w:footnote>
  <w:footnote w:id="5469">
    <w:p w14:paraId="1D81162F" w14:textId="77777777" w:rsidR="0013116F" w:rsidRDefault="0013116F" w:rsidP="001D49D4">
      <w:pPr>
        <w:pStyle w:val="a9"/>
        <w:rPr>
          <w:rtl/>
        </w:rPr>
      </w:pPr>
      <w:r>
        <w:rPr>
          <w:rStyle w:val="ab"/>
        </w:rPr>
        <w:footnoteRef/>
      </w:r>
      <w:r>
        <w:rPr>
          <w:rtl/>
        </w:rPr>
        <w:t xml:space="preserve"> </w:t>
      </w:r>
      <w:r>
        <w:rPr>
          <w:rFonts w:hint="cs"/>
          <w:rtl/>
        </w:rPr>
        <w:t>והם-</w:t>
      </w:r>
      <w:r>
        <w:rPr>
          <w:rtl/>
        </w:rPr>
        <w:t xml:space="preserve"> שיתן המעות בפניהם, ויכתבו בשטר לפנינו מנה פלוני לפלוני כך וכך דמי המכר או מעות החוב, והוא שיהיו עשויין בערכאות שלהם, אבל במקום קבוץ פליליהן בלא קיום השופט שלהם לא יועילו כלום, וכן צריכין עדי ישראל שיעידו על אלו הגוים שהן עדי שטר ועל זה השופט שלהן שקיים עדותן שאינן ידועין בקבלנות שוחד. עכ"ל הרמב"ם.</w:t>
      </w:r>
    </w:p>
  </w:footnote>
  <w:footnote w:id="5470">
    <w:p w14:paraId="7C3CDB31" w14:textId="77777777" w:rsidR="0013116F" w:rsidRDefault="0013116F" w:rsidP="001D49D4">
      <w:pPr>
        <w:pStyle w:val="a9"/>
        <w:rPr>
          <w:rtl/>
        </w:rPr>
      </w:pPr>
      <w:r>
        <w:rPr>
          <w:rStyle w:val="ab"/>
        </w:rPr>
        <w:footnoteRef/>
      </w:r>
      <w:r>
        <w:rPr>
          <w:rtl/>
        </w:rPr>
        <w:t xml:space="preserve"> וכתב הב"י דטעמא פירש רש"י דמתנה ע"י השטר הוא קונה אותה במסירת השטר, וא"כ היכי מיקניא דהרי האי שטרא חספא בעלמא הוא... אבל קשה דא"כ שטרי מחילות אמאי אינם כשרות הא אפילו אם מחל לו בלא עדים מהני דלא איברו סהדי אלא לשקרי</w:t>
      </w:r>
      <w:r>
        <w:rPr>
          <w:sz w:val="16"/>
          <w:szCs w:val="16"/>
          <w:rtl/>
        </w:rPr>
        <w:t xml:space="preserve"> (קידושין סה:) </w:t>
      </w:r>
      <w:r>
        <w:rPr>
          <w:rtl/>
        </w:rPr>
        <w:t xml:space="preserve">והשטר אינו בא אלא לראיה. </w:t>
      </w:r>
      <w:r>
        <w:rPr>
          <w:sz w:val="16"/>
          <w:szCs w:val="16"/>
          <w:rtl/>
        </w:rPr>
        <w:t>{והוסיף הב"י בבדה"ב-}</w:t>
      </w:r>
      <w:r>
        <w:rPr>
          <w:rtl/>
        </w:rPr>
        <w:t xml:space="preserve"> וגם על שטרי הודאות יש לדון דכיון דשטרי ראיה הם למה יפסלו. ובהא יש לומר דאע"ג דאודי ליה שחייב לו - אינו כלום אא"כ הודה בפני עדים כשרים, וכיון דגוים פסולים לעדות - אינו כלום. ומיהו שטרי פשרות דאינם כלום ניחא, משום דפשרה צריכה קנין </w:t>
      </w:r>
      <w:r>
        <w:rPr>
          <w:sz w:val="16"/>
          <w:szCs w:val="16"/>
          <w:rtl/>
        </w:rPr>
        <w:t xml:space="preserve">(סנהדרין ו.) </w:t>
      </w:r>
      <w:r>
        <w:rPr>
          <w:rtl/>
        </w:rPr>
        <w:t>וגוים אינם בקיאים בטיב קנין. ואע"פ שמעידים שנעשה הקנין במנא דכשר וכו' כיון דרוב גוים אינם בקיאים בכך לא פלוג רבנן</w:t>
      </w:r>
      <w:r>
        <w:rPr>
          <w:sz w:val="16"/>
          <w:szCs w:val="16"/>
          <w:rtl/>
        </w:rPr>
        <w:t xml:space="preserve"> {עכ"ל בבדה"ב}</w:t>
      </w:r>
      <w:r>
        <w:rPr>
          <w:rtl/>
        </w:rPr>
        <w:t>... ומצאתי לריב"ש שכתב בתשובה (סי' נא) וזה לשונו- אפילו לדעת הרמב"ם הדבר ברור דשטרי צוואה כשרים כשטרי מכר, שהרי אין השטר עושה הקנין אלא דיבור הַמְצָוֶה עושה הקנין, דדבריו ככתובין וכמסורין דמו ואין השטר אלא לראיה בעלמא, והערכי נאמן לומר שכך צוה דהא לא מרע נפשיה, והוי ליה כשטרי מכר</w:t>
      </w:r>
      <w:r>
        <w:rPr>
          <w:sz w:val="16"/>
          <w:szCs w:val="16"/>
          <w:rtl/>
        </w:rPr>
        <w:t xml:space="preserve"> {עכ"ל}</w:t>
      </w:r>
      <w:r>
        <w:rPr>
          <w:rtl/>
        </w:rPr>
        <w:t xml:space="preserve">. ובסימן קמ"ב הוקשה לו הקושיא שהקשיתי ממה שכתב הרמב"ם לפסול בשטרי מחילות העשוי בערכאות וכתב שדבריו בפיסול זה מתמיהים. וכתב בסוף- ואולי הרב ז"ל אגב שיטפא נקט שטרי מחילות עכ"ל </w:t>
      </w:r>
      <w:r>
        <w:rPr>
          <w:color w:val="E36C0A" w:themeColor="accent6" w:themeShade="BF"/>
          <w:rtl/>
        </w:rPr>
        <w:t>(וכ"פ בשו"ע)</w:t>
      </w:r>
      <w:r>
        <w:rPr>
          <w:rtl/>
        </w:rPr>
        <w:t xml:space="preserve">. וכיוצא בזה כתב סימן תצ"ג וסימן תע"ח (קמט ע"ב) וסיים בה- אמנם מה שכתב שטרי הודאות אפשר שדעתו היה להודאות של הלואות שיש בהם שעבוד נכסים והשטר עושה השעבוד, אבל בהודאת פרעון כיון שהודה בפני הערכי והערכי נאמן דלא מרע נפשיה בזה די. וכל שכן בנוטרי"ן שלנו שרגילין להעיד שני עדים יהודים בשטרי היהודים, וא"כ הרי הודה המלוה שנפרע בפני היהודים ההם ובזה נתקיימה ההודאה, והערכי נאמן לומר שהיו פלוני ופלוני עדים בהודאת פלוני לפלוני דהא לא מרע נפשיה. וכי תימא עדיין אין הערכי מעיד שאמר לעדים אתם עדי וא"כ אין כאן הודאה - הא ליתא, חדא דלא בעינן אתם עדי אלא בהודאה שמתחייב בה אבל בהודאת פרעון לא בעינן אתם עדי, שאין אדם עשוי לפגום את שטרו ולהודות שנפרע מחמת השטאה, וכ"כ ה"ר יונה ז"ל (עליות ב"ב מז. סד"ה לא צריכא), וטעמא דמסתבר הוא, ועוד שדרך הערכי לומר לעדים תעידו בהודאה זו ולקרות לפניהם השטר והבעל דבר מקיים ביד הערכי בפניהם והערכי כותב שמותם בנוטר ובשטר ואין לך אתם עדי גדול מזה, ועוד שהרמב"ם בפ"ז מהל' טוען (ה"ב) כתב שכל האומר בדרך הודאה לא בדרך שיחה הרי הוא כאומר אתם עדי ובנדון זה הרי אמר לעדים כשרים בדרך הודאה כפי דברי הערכי הנאמן בזה והרמב"ם לא דבר כי אם בערכאות של גוים שאין מעידים עדי ישראל אבל הנוטרי"ן האלה שמעידין בהם עדי ישראל הרב יודה בזה בשטרי מחילות ובשטרי הודאת פרעון עכ"ל. וכתב עוד ומעתה אף לפי תקנתכם להתנהג על פי הרמב"ם טענה זו אינה טענה וכל שכן אם אחר התקנה ההיא נהגו יחידי הקהל לעשות שטרות ביד הנוטרי"ן הרי הוא כקנין מן הדין אחר שנהגו בו דומיא דמאי דאמרינן (ב"מ עד.) האי סיתומתא קניא ואפילו למקני ממש אי רגילי בהכי עכ"ל בסימן תע"ח. וכתב עוד בסימן תצ"ג וא"צ לומר שאם אין שם הסכמה </w:t>
      </w:r>
      <w:r>
        <w:rPr>
          <w:sz w:val="16"/>
          <w:szCs w:val="16"/>
          <w:rtl/>
        </w:rPr>
        <w:t>{לדון ע"פ הרמב"ם}</w:t>
      </w:r>
      <w:r>
        <w:rPr>
          <w:rtl/>
        </w:rPr>
        <w:t xml:space="preserve"> שאין צריך לכל זה שכבר הסכימו האחרונים להכשיר כל שטרות העולים בערכאות של גוים ועליהם אנו סומכין. עכ"ל הב"י בשם הריב"ש </w:t>
      </w:r>
      <w:r>
        <w:rPr>
          <w:sz w:val="16"/>
          <w:szCs w:val="16"/>
          <w:rtl/>
        </w:rPr>
        <w:t>(וכתב הדרכ"מ (אות ג*) דכ"כ הב"י (ס"א ד"ה כתב הרשב"א) בשם תשו' הרשב"א וכן הוא לקמן סי' רנ"ג (ס"נ-נא) תשו' הרא"ש (כלל יח סי' ב))</w:t>
      </w:r>
      <w:r>
        <w:rPr>
          <w:rtl/>
        </w:rPr>
        <w:t xml:space="preserve">. </w:t>
      </w:r>
      <w:r>
        <w:rPr>
          <w:color w:val="00B0F0"/>
          <w:rtl/>
        </w:rPr>
        <w:t>(וכ"פ הרמ"א)</w:t>
      </w:r>
    </w:p>
  </w:footnote>
  <w:footnote w:id="5471">
    <w:p w14:paraId="45B1EA00" w14:textId="77777777" w:rsidR="0013116F" w:rsidRDefault="0013116F" w:rsidP="001D49D4">
      <w:pPr>
        <w:pStyle w:val="a9"/>
        <w:rPr>
          <w:rtl/>
        </w:rPr>
      </w:pPr>
      <w:r>
        <w:rPr>
          <w:rStyle w:val="ab"/>
        </w:rPr>
        <w:footnoteRef/>
      </w:r>
      <w:r>
        <w:rPr>
          <w:rtl/>
        </w:rPr>
        <w:t xml:space="preserve"> דחיישינן שמא ימסרם הנותן למקבל בפני ערכאות גוים, שיהיה סבור שכמו שנאמנים חותמי גוים כך נאמנים למסור בפניהם והא ליתא דלחתום שקר הוא דלא מרעי נפשייהו אבל בעדות בעל פה מרעי נפשייהו, רא"ש (סי' יא).</w:t>
      </w:r>
      <w:r>
        <w:rPr>
          <w:color w:val="00B0F0"/>
          <w:rtl/>
        </w:rPr>
        <w:t xml:space="preserve"> (וכ"פ הרמ"א)</w:t>
      </w:r>
    </w:p>
  </w:footnote>
  <w:footnote w:id="5472">
    <w:p w14:paraId="556ADDF0" w14:textId="77777777" w:rsidR="0013116F" w:rsidRDefault="0013116F" w:rsidP="001D49D4">
      <w:pPr>
        <w:pStyle w:val="a9"/>
      </w:pPr>
      <w:r>
        <w:rPr>
          <w:rStyle w:val="ab"/>
        </w:rPr>
        <w:footnoteRef/>
      </w:r>
      <w:r>
        <w:rPr>
          <w:rtl/>
        </w:rPr>
        <w:t xml:space="preserve"> והוא הדין לשטרי מחילות כמו שאכתוב בשם הריב"ש בסמוך (בד"מ הארוך)..., דרכ"מ (אות ג). </w:t>
      </w:r>
      <w:r>
        <w:rPr>
          <w:color w:val="00B0F0"/>
          <w:rtl/>
        </w:rPr>
        <w:t>(וכ"פ הרמ"א)</w:t>
      </w:r>
    </w:p>
  </w:footnote>
  <w:footnote w:id="5473">
    <w:p w14:paraId="7FD11527" w14:textId="77777777" w:rsidR="0013116F" w:rsidRDefault="0013116F" w:rsidP="001D49D4">
      <w:pPr>
        <w:pStyle w:val="a9"/>
      </w:pPr>
      <w:r>
        <w:rPr>
          <w:rStyle w:val="ab"/>
        </w:rPr>
        <w:footnoteRef/>
      </w:r>
      <w:r>
        <w:rPr>
          <w:rtl/>
        </w:rPr>
        <w:t xml:space="preserve"> וכן שנינו בפרק ראשון של מסכת גיטין (י:), כל השטרות העולין בערכאות של גוים אע"פ שחותמיהן גוים כשרין חוץ מגיטי נשים ושחרורי עבדים. ואמרינן עלה בגמרא, קא פסיק לא שנא מכר ולא שנא מתנה בשלמא מכר מדיהיב זוזי קמיהו הוא דקנה ושטר לראיה בעלמא הוא ואי לאו דיהיב קמיהו לא הוו מרעי נפשיהו וכתבי ליה שטרא אלא שטר מתנה במאי קני בהאי שטרא האי שטרא חספא בעלמא הוא, ופריק תני חוץ מכגיטי נשים, אלמא לא קשיא ליה אלא שטר מתנה וכיוצא בו שהוא עשוי לקנייה לא לראיה לבד כשטר מתנה וגיטי נשים, או שטר של מכירת שטרות דקיי"ל דאין אותיות נקנות אלא בכתיבה ומסירה, אבל כל שאר שטרות שאינן אלא לראיה כשטרי הודאות והלואות, שטרות העולות בערכאותיהן אע"פ שחותמיהן גוים כשרים, משום דלא משקרי דלא מרעי נפשיהו משום דמסתפו ממלכותא. וא"כ אף אנו נאמר, שאם לא הודה הלוה שקבל המעות או המלוה שנפרע והודה בפני הערכאות לא הוו הערכאות פוסלין עצמן להעיד שקר ולקבל שחד, ובכנופיא דארמאי הוא שאמרו בגמרא דחיישינן דמקבלי שוחדא. ועוד אנו מקובלין, דבשטרי הלואה העולין בערכאות הגוים גובין אפילו ממשעבדי, דכל שעולין בערכאות הגוים קול יוצא עליהם. וגרסינן בפרק שני של מסכת גיטין (יט:) רב פפא כי הוה אתי לקמיה שטרא פרסאה דעביד בערכאות של גוים מיקרי ליה לשני גוים זה שלא בפני זה כמסיח לפי תומו ומגבי ביה ממשעבדי. וזו הגירסא היא אצלנו בכל ספרינו ועליה הסכימו כמה מחכמי ישראל. וגם הרב אלפסי ז"ל כתבה בהלכות, אלא שהוסיף וכתב נוסחא אחרינא מבני חורין. וזה כולו שכתבתי שלא כדברי הר"ם במז"ל, אלא מה שנראה בעיני וקבלתי מרבותי נוחי נפש אני כותב לכם. וכל שכן במקום שיש מנהג, שבכלל דברים אלו של ממונות הולכין אחר המנהג, וכדגרסינן בפרק איזהו נשך (ב"מ עד.) אמר רב פפא משמיה דרבא האי סתומתא קניא למאי הלכתא רב חביבא אמר למיקנא ממש ורבנן אמרי לקבולי עליה מי שפרע והלכתא לקבולי עליה מי שפרע ובאתרא דקנו ממש קני, כלומר במקום שנהגו לקנות ממש קונה ממש כמנהג המדינה, רשב"א.</w:t>
      </w:r>
    </w:p>
  </w:footnote>
  <w:footnote w:id="5474">
    <w:p w14:paraId="132578A0" w14:textId="77777777" w:rsidR="0013116F" w:rsidRDefault="0013116F" w:rsidP="001D49D4">
      <w:pPr>
        <w:pStyle w:val="a9"/>
      </w:pPr>
      <w:r>
        <w:rPr>
          <w:rStyle w:val="ab"/>
        </w:rPr>
        <w:footnoteRef/>
      </w:r>
      <w:r>
        <w:rPr>
          <w:rtl/>
        </w:rPr>
        <w:t xml:space="preserve"> בהעי"ט </w:t>
      </w:r>
      <w:r>
        <w:rPr>
          <w:sz w:val="16"/>
          <w:szCs w:val="16"/>
          <w:rtl/>
        </w:rPr>
        <w:t xml:space="preserve">(ח"א סוף מאמר ח, כ"כ הה"מ בשמו [פכ"ז מהל' מלוה ולוה שם]) </w:t>
      </w:r>
      <w:r>
        <w:rPr>
          <w:rtl/>
        </w:rPr>
        <w:t xml:space="preserve">רמב"ן </w:t>
      </w:r>
      <w:r>
        <w:rPr>
          <w:sz w:val="16"/>
          <w:szCs w:val="16"/>
          <w:rtl/>
        </w:rPr>
        <w:t xml:space="preserve">(גיטין י: ד"ה ואב"א, ב"ב נה. ד"ה אם, כ"כ הה"מ בשמו [שם]) </w:t>
      </w:r>
      <w:r>
        <w:rPr>
          <w:rtl/>
        </w:rPr>
        <w:t xml:space="preserve">רשב"א </w:t>
      </w:r>
      <w:r>
        <w:rPr>
          <w:sz w:val="16"/>
          <w:szCs w:val="16"/>
          <w:rtl/>
        </w:rPr>
        <w:t>(שם ד"ה ואי, כ"כ הה"מ בשמו [שם])</w:t>
      </w:r>
      <w:r>
        <w:rPr>
          <w:rtl/>
        </w:rPr>
        <w:t xml:space="preserve"> ור"ן </w:t>
      </w:r>
      <w:r>
        <w:rPr>
          <w:sz w:val="16"/>
          <w:szCs w:val="16"/>
          <w:rtl/>
        </w:rPr>
        <w:t xml:space="preserve">(ד. ד"ה ואיבעית) </w:t>
      </w:r>
      <w:r>
        <w:rPr>
          <w:rtl/>
        </w:rPr>
        <w:t xml:space="preserve">רא"ש </w:t>
      </w:r>
      <w:r>
        <w:rPr>
          <w:sz w:val="16"/>
          <w:szCs w:val="16"/>
          <w:rtl/>
        </w:rPr>
        <w:t xml:space="preserve">(סי' י-יא) </w:t>
      </w:r>
      <w:r>
        <w:rPr>
          <w:rtl/>
        </w:rPr>
        <w:t xml:space="preserve">טור </w:t>
      </w:r>
      <w:r>
        <w:rPr>
          <w:sz w:val="16"/>
          <w:szCs w:val="16"/>
          <w:rtl/>
        </w:rPr>
        <w:t>(סע' ו)</w:t>
      </w:r>
      <w:r>
        <w:rPr>
          <w:rtl/>
        </w:rPr>
        <w:t xml:space="preserve"> ור"ן </w:t>
      </w:r>
      <w:r>
        <w:rPr>
          <w:sz w:val="16"/>
          <w:szCs w:val="16"/>
          <w:rtl/>
        </w:rPr>
        <w:t>(ד. ד"ה ואיבעית)</w:t>
      </w:r>
      <w:r>
        <w:rPr>
          <w:rtl/>
        </w:rPr>
        <w:t>.</w:t>
      </w:r>
    </w:p>
  </w:footnote>
  <w:footnote w:id="5475">
    <w:p w14:paraId="1F91448E" w14:textId="77777777" w:rsidR="0013116F" w:rsidRDefault="0013116F" w:rsidP="001D49D4">
      <w:pPr>
        <w:pStyle w:val="a9"/>
        <w:rPr>
          <w:rtl/>
        </w:rPr>
      </w:pPr>
      <w:r>
        <w:rPr>
          <w:rStyle w:val="ab"/>
        </w:rPr>
        <w:footnoteRef/>
      </w:r>
      <w:r>
        <w:rPr>
          <w:rtl/>
        </w:rPr>
        <w:t xml:space="preserve"> וכתב ריב"ש (סי' תצג) דכן הסכימו כל האחרונים והרשב"א להכשיר כל השטרות הנעשים בערכאות העומדים בהורמנא דמלכא עכ"ל... וכ"כ המרדכי (סי' שכה), וריב"ש כתב בזה בסימן ר"ג. וכתב עוד המרדכי (שם) ודוקא בדבר שעושה בדין וחוק אבל אם יעליל המלך על שני בני אדם ונפטר האחד בחכמתו אין צריך ליתן לחבירו כלום. וכתב עוד שם דאמרינן דינא דמלכותא דינא אע"פ שלא נעשה לפני שופטי העיר אלא אפילו בין ישראל לישראל הוי דינא עכ"ל. ולא משמע כן בדברי מהרי"ק (שורש קפז) ועיין שם באותו שורש שהאריך הרבה בדין דדינא דמלכותא. ולקמן סימן שס"ט (אות ג) הארכתי בזה ועיי"ש, דרכ"מ (אות ד).</w:t>
      </w:r>
    </w:p>
  </w:footnote>
  <w:footnote w:id="5476">
    <w:p w14:paraId="22FFB86E" w14:textId="77777777" w:rsidR="0013116F" w:rsidRDefault="0013116F" w:rsidP="001D49D4">
      <w:pPr>
        <w:pStyle w:val="a9"/>
        <w:rPr>
          <w:rtl/>
        </w:rPr>
      </w:pPr>
      <w:r>
        <w:rPr>
          <w:rStyle w:val="ab"/>
        </w:rPr>
        <w:footnoteRef/>
      </w:r>
      <w:r>
        <w:rPr>
          <w:rtl/>
        </w:rPr>
        <w:t xml:space="preserve"> אבל כיון דהאידנא ליכא דינא דמלכותא שיהיו כל השטרות נעשין בערכאות - הני שטרי מתנות הנעשים בערכאותיהן חספא בעלמא הן, אפילו אם נמסרו בפני עדי ישראל, טור. וכתב הב"י- לפי מנהג מקומו כתב, אבל לדידן היושבים במלכות תוגרמא הדבר ידוע דדינא דמלכותא הוא שלא יהו השטרות נעשים אלא בערכאות, וכן היה במקומו של הריב"ש כמו שכתב בסימן ר"ג.</w:t>
      </w:r>
    </w:p>
  </w:footnote>
  <w:footnote w:id="5477">
    <w:p w14:paraId="47531A52" w14:textId="77777777" w:rsidR="0013116F" w:rsidRDefault="0013116F" w:rsidP="001D49D4">
      <w:pPr>
        <w:pStyle w:val="a9"/>
      </w:pPr>
      <w:r>
        <w:rPr>
          <w:rStyle w:val="ab"/>
        </w:rPr>
        <w:footnoteRef/>
      </w:r>
      <w:r>
        <w:rPr>
          <w:rtl/>
        </w:rPr>
        <w:t xml:space="preserve"> והוא לשון הגמרא (י:) דאי לאו דיהיב זוזי קמייהו. והטעם לפי שבכסף הוא קונה ואין הודאתו בפניהם הודאה, ב"י.</w:t>
      </w:r>
    </w:p>
  </w:footnote>
  <w:footnote w:id="5478">
    <w:p w14:paraId="5A2584C5" w14:textId="77777777" w:rsidR="0013116F" w:rsidRDefault="0013116F" w:rsidP="001D49D4">
      <w:pPr>
        <w:pStyle w:val="a9"/>
        <w:rPr>
          <w:rtl/>
        </w:rPr>
      </w:pPr>
      <w:r>
        <w:rPr>
          <w:rStyle w:val="ab"/>
        </w:rPr>
        <w:footnoteRef/>
      </w:r>
      <w:r>
        <w:rPr>
          <w:rtl/>
        </w:rPr>
        <w:t xml:space="preserve"> וטעם רבותיו מפני שאע"פ שברי לנו שקבל המעות, דלא מרעי נפשייהו, מכל מקום אם לא מחמת השטר היתה מלוה זו על פה שהיה נאמן עליה לומר פרעתי, וכיון שכן האי שטרא חספא בעלמא הוא, ואינו דומה למכר לפי שהמוכר שדהו בעדים הרי הוא כמוכרו בשטר לכל דבר ואנן סהדי דאי לאו דיהיב זוזי קמייהו לא מרעי נפשייהו. ונראה לי לפי שטה זו דהא דרב פפא (גיטין יט:) בשטר מכר שנטרף המקח מן הלוקח ובא לגבות מחמת האחריות שבו. והם גורסין 'ומגבי ביה ממשעבדי' וכדקיי"ל (ב"ב מא:) דהמוכר שדהו בעדים גובה מנכסים משועבדים. והרמב"ם סובר שכיון שעיקר השעבוד חל מחמת קבלת המעות לענין טענת פרעתי יכול לומר לו שטרך בידי מאי בעי, והוא ז"ל גורס 'וגבי ביה מבני חרי', ובשטרי הלואה הוא לפי גירסא זו בהכרח, דאי בשטרי מכר לא גרע ממוכר שדהו בעדים שגובה ממשועבדים, הה"מ.</w:t>
      </w:r>
    </w:p>
  </w:footnote>
  <w:footnote w:id="5479">
    <w:p w14:paraId="6C635042" w14:textId="77777777" w:rsidR="0013116F" w:rsidRDefault="0013116F" w:rsidP="001D49D4">
      <w:pPr>
        <w:pStyle w:val="a9"/>
        <w:rPr>
          <w:rtl/>
        </w:rPr>
      </w:pPr>
      <w:r>
        <w:rPr>
          <w:rStyle w:val="ab"/>
        </w:rPr>
        <w:footnoteRef/>
      </w:r>
      <w:r>
        <w:rPr>
          <w:rtl/>
        </w:rPr>
        <w:t xml:space="preserve"> </w:t>
      </w:r>
      <w:r>
        <w:rPr>
          <w:rFonts w:hint="cs"/>
          <w:rtl/>
        </w:rPr>
        <w:t xml:space="preserve">וכתב הש"ך (סק"ג) </w:t>
      </w:r>
      <w:r>
        <w:rPr>
          <w:rtl/>
        </w:rPr>
        <w:t>דצ"ע, דהא הפוסקים הנ"ל מיירי מענין אחר. גם עיינתי בעיטור ולא מצאתי דבר, גם בר"ן משמע להיפך, ע"ש. ועיין בהשגות הראב"ד ובהה"מ [שם] ותמצא כדברי דבשט"ח שאני, דכיון דאינו גובה ממשעבדי ולית ליה קלא, לא חשש להניחו בידו ויכול לטעון פרעתי, ע"ש.</w:t>
      </w:r>
    </w:p>
  </w:footnote>
  <w:footnote w:id="5480">
    <w:p w14:paraId="390AD3E3" w14:textId="77777777" w:rsidR="0013116F" w:rsidRDefault="0013116F" w:rsidP="001D49D4">
      <w:pPr>
        <w:pStyle w:val="a9"/>
      </w:pPr>
      <w:r>
        <w:rPr>
          <w:rStyle w:val="ab"/>
        </w:rPr>
        <w:footnoteRef/>
      </w:r>
      <w:r>
        <w:rPr>
          <w:rtl/>
        </w:rPr>
        <w:t xml:space="preserve"> ועיין בדברי הרשב"א בחידו' </w:t>
      </w:r>
      <w:r>
        <w:rPr>
          <w:sz w:val="16"/>
          <w:szCs w:val="16"/>
          <w:rtl/>
        </w:rPr>
        <w:t>(גיטין י: ד"ה ואי, וכ"כ הה"מ בשמו [פכ"ז מהל' מלוה שם])</w:t>
      </w:r>
      <w:r>
        <w:rPr>
          <w:rtl/>
        </w:rPr>
        <w:t xml:space="preserve"> שכתב אחרת ממה שכתב בחידושים. וצ"ע בדעתו.</w:t>
      </w:r>
    </w:p>
  </w:footnote>
  <w:footnote w:id="5481">
    <w:p w14:paraId="6F6F721F" w14:textId="77777777" w:rsidR="0013116F" w:rsidRDefault="0013116F" w:rsidP="001D49D4">
      <w:pPr>
        <w:pStyle w:val="a9"/>
        <w:rPr>
          <w:rtl/>
        </w:rPr>
      </w:pPr>
      <w:r>
        <w:rPr>
          <w:rStyle w:val="ab"/>
        </w:rPr>
        <w:footnoteRef/>
      </w:r>
      <w:r>
        <w:rPr>
          <w:rtl/>
        </w:rPr>
        <w:t xml:space="preserve"> וכ"כ הרא"ש </w:t>
      </w:r>
      <w:r>
        <w:rPr>
          <w:sz w:val="16"/>
          <w:szCs w:val="16"/>
          <w:rtl/>
        </w:rPr>
        <w:t>(כלל יח סי' ב, וכתבה הטור בס"ס רנג)</w:t>
      </w:r>
      <w:r>
        <w:rPr>
          <w:rtl/>
        </w:rPr>
        <w:t xml:space="preserve"> וז"ל- נראה שבזמן הזה אין רגילין בדיני ישראל וגם לא בערכאות הגוים לקנות בשטר לא במכר ולא במתנה אלא מקיימים המכר או המתנה באחד מן הקניינים דשייכא בהו וכותבין השטר לראיה הלכך כולהו כשרים בערכאות של גוים. עכ"ל. וכ"כ הב"י דאם קנה המתנה בחזקה או בקנין סודר ולא בשטר, או אם היתה מתנת שכיב מרע דדבריו ככתובים וכמסורים דמי, דבכל הני אין השטר אלא לראיה כמו שטר מכר – כשר </w:t>
      </w:r>
      <w:r>
        <w:rPr>
          <w:sz w:val="16"/>
          <w:szCs w:val="16"/>
          <w:rtl/>
        </w:rPr>
        <w:t>(וכתב הדרכ"מ (ב*) לעיין לקמן ס"ס רנ"ג מדין צוואת שכיב מרע הנעשה לפני ערכאות, וכן בתשו' מוהר"ם פדוא"ה סי' נד)</w:t>
      </w:r>
      <w:r>
        <w:rPr>
          <w:rtl/>
        </w:rPr>
        <w:t xml:space="preserve">. </w:t>
      </w:r>
      <w:r>
        <w:rPr>
          <w:color w:val="00B0F0"/>
          <w:rtl/>
        </w:rPr>
        <w:t>(וכ"פ הרמ"א)</w:t>
      </w:r>
    </w:p>
  </w:footnote>
  <w:footnote w:id="5482">
    <w:p w14:paraId="2179F41E" w14:textId="77777777" w:rsidR="0013116F" w:rsidRDefault="0013116F" w:rsidP="001D49D4">
      <w:pPr>
        <w:pStyle w:val="a9"/>
      </w:pPr>
      <w:r>
        <w:rPr>
          <w:rStyle w:val="ab"/>
        </w:rPr>
        <w:footnoteRef/>
      </w:r>
      <w:r>
        <w:rPr>
          <w:rtl/>
        </w:rPr>
        <w:t xml:space="preserve"> הוא ממה שכתב הרי"ף (ד.) ודוקא ערכאות דלא מקבלי שוחדא ומפרש הרמב"ם שידועות שאינן מקבלות שוחד, ב"י.</w:t>
      </w:r>
    </w:p>
  </w:footnote>
  <w:footnote w:id="5483">
    <w:p w14:paraId="5E96E941" w14:textId="77777777" w:rsidR="0013116F" w:rsidRDefault="0013116F" w:rsidP="001D49D4">
      <w:pPr>
        <w:pStyle w:val="a9"/>
      </w:pPr>
      <w:r>
        <w:rPr>
          <w:rStyle w:val="ab"/>
        </w:rPr>
        <w:footnoteRef/>
      </w:r>
      <w:r>
        <w:rPr>
          <w:rtl/>
        </w:rPr>
        <w:t xml:space="preserve"> וכתב הטור- ויראה מדבריו שהוא מפרש שעדי גוים החתומים על השטר, וערכאות שהוא דיין ממונה ע"פ המלך - מקיים אותם. וכן פירש הרמ"ה וכתב והוא דמיתחזקי בהימנותא דלא מצלי דינא ולא מחנפי לבר נש ולא מקבלי שוחדא ואף לא מקבלי סהדי אא"כ איתחזק להו בהימנותא והך חזקה הוא דהוחזקו בה כגון דהוו דייני ואזלי ולא אישתכח עליהם ריעותא דלא יכילנא לאפוקינהו מסתמא מחזקה דלא מקבלי שוחדא אלא בראיה</w:t>
      </w:r>
      <w:r>
        <w:rPr>
          <w:sz w:val="16"/>
          <w:szCs w:val="16"/>
          <w:rtl/>
        </w:rPr>
        <w:t xml:space="preserve"> (עכ"ל הטור)</w:t>
      </w:r>
      <w:r>
        <w:rPr>
          <w:rtl/>
        </w:rPr>
        <w:t>.</w:t>
      </w:r>
    </w:p>
  </w:footnote>
  <w:footnote w:id="5484">
    <w:p w14:paraId="5E7F51F5" w14:textId="77777777" w:rsidR="0013116F" w:rsidRDefault="0013116F" w:rsidP="001D49D4">
      <w:pPr>
        <w:pStyle w:val="a9"/>
        <w:rPr>
          <w:rtl/>
        </w:rPr>
      </w:pPr>
      <w:r>
        <w:rPr>
          <w:rStyle w:val="ab"/>
        </w:rPr>
        <w:footnoteRef/>
      </w:r>
      <w:r>
        <w:rPr>
          <w:rtl/>
        </w:rPr>
        <w:t xml:space="preserve"> הרא"ש פירש </w:t>
      </w:r>
      <w:r>
        <w:rPr>
          <w:sz w:val="16"/>
          <w:szCs w:val="16"/>
          <w:rtl/>
        </w:rPr>
        <w:t xml:space="preserve">(סי' י, דשם כתב כך גבי דינא דמלכותא דינא) </w:t>
      </w:r>
      <w:r>
        <w:rPr>
          <w:rtl/>
        </w:rPr>
        <w:t xml:space="preserve">שערכאות היינו שאין העדים חותמין השטר עד שיבאו בעלי הדבר בפני הערכאות ויראו וידעו הערכאות אמתת הדבר, ואז יתנו הם רשות לעדים לחתום ונגמר כל הדבר לפני הערכאות ויכירו וידעו הערכאות שאנו סומכין עליהם, דאי לא יהבי זוזי קמייהו לא הוו מרעי נפשייהו לצוות לחתום, ואפי' כי נפיק עלייהו קלא דמקבלי שוחדא - לאצלויי דינא לעדות שקר לא הוו מרעי נפשייהו. עכ"ל. </w:t>
      </w:r>
      <w:r>
        <w:rPr>
          <w:color w:val="00B0F0"/>
          <w:rtl/>
        </w:rPr>
        <w:t xml:space="preserve">(וכ"פ הרמ"א) </w:t>
      </w:r>
      <w:r>
        <w:rPr>
          <w:rtl/>
        </w:rPr>
        <w:t xml:space="preserve">וכתב הטור- יראה מדבריו שא"צ שיהא כתוב בו שראו נתינת המעות אלא שאנו סומכין עליהם שוודאי ראו. עכ"ל. </w:t>
      </w:r>
      <w:r>
        <w:rPr>
          <w:color w:val="00B0F0"/>
          <w:rtl/>
        </w:rPr>
        <w:t>(וכ"פ הרמ"א)</w:t>
      </w:r>
      <w:r>
        <w:rPr>
          <w:rtl/>
        </w:rPr>
        <w:t>. אך הב"י כתב שאינו מוכרח לפרש כך דברי הרא"ש, שמה שכתב הרא"ש (שם) ויראו וידעו אמיתת הדבר אפשר לפרשו דהכי קאמר בהדיוטות אע"פ שכתוב שראו נתינת המעות לא מהימני דדילמא קבלו שוחד לכתוב כן אבל ערכאות כיון שכתוב בשטר שראו העדים נתינת המעות והערכאות צוו לעדים לחתום קושטא קאמרי שהעדים ראו נתינת המעות אבל אם אין כתוב בשטר שראו נתינת המעות אלא שהודה פלוני בפניהם שחייב לפלוני מנה ואין הודאתו בפניהם הודאה שכיון שאין שם עדים כשרים הו"ל כאילו הודה לו בינו לבינו.</w:t>
      </w:r>
    </w:p>
  </w:footnote>
  <w:footnote w:id="5485">
    <w:p w14:paraId="5577FAB2" w14:textId="77777777" w:rsidR="0013116F" w:rsidRDefault="0013116F" w:rsidP="001D49D4">
      <w:pPr>
        <w:pStyle w:val="a9"/>
      </w:pPr>
      <w:r>
        <w:rPr>
          <w:rStyle w:val="ab"/>
        </w:rPr>
        <w:footnoteRef/>
      </w:r>
      <w:r>
        <w:rPr>
          <w:rtl/>
        </w:rPr>
        <w:t xml:space="preserve"> </w:t>
      </w:r>
      <w:r>
        <w:rPr>
          <w:rFonts w:hint="cs"/>
          <w:rtl/>
        </w:rPr>
        <w:t>סימן – ירחון אנגלי אגב ישראלים.</w:t>
      </w:r>
    </w:p>
  </w:footnote>
  <w:footnote w:id="5486">
    <w:p w14:paraId="76D95E92" w14:textId="77777777" w:rsidR="0013116F" w:rsidRDefault="0013116F" w:rsidP="001D49D4">
      <w:pPr>
        <w:pStyle w:val="a9"/>
        <w:rPr>
          <w:u w:val="single"/>
        </w:rPr>
      </w:pPr>
      <w:r>
        <w:rPr>
          <w:rStyle w:val="ab"/>
        </w:rPr>
        <w:footnoteRef/>
      </w:r>
      <w:r>
        <w:rPr>
          <w:rtl/>
        </w:rPr>
        <w:t xml:space="preserve"> </w:t>
      </w:r>
      <w:r>
        <w:rPr>
          <w:rFonts w:hint="cs"/>
          <w:u w:val="single"/>
          <w:rtl/>
        </w:rPr>
        <w:t>ונחלקו הראשונים מי חתום על השטר שעליו דיבר רבא:</w:t>
      </w:r>
    </w:p>
    <w:p w14:paraId="0C0DF410" w14:textId="77777777" w:rsidR="0013116F" w:rsidRDefault="0013116F" w:rsidP="004B0475">
      <w:pPr>
        <w:pStyle w:val="a9"/>
        <w:numPr>
          <w:ilvl w:val="0"/>
          <w:numId w:val="352"/>
        </w:numPr>
        <w:rPr>
          <w:rtl/>
        </w:rPr>
      </w:pPr>
      <w:r>
        <w:rPr>
          <w:rtl/>
        </w:rPr>
        <w:t xml:space="preserve">רש"י </w:t>
      </w:r>
      <w:r>
        <w:rPr>
          <w:sz w:val="16"/>
          <w:szCs w:val="16"/>
          <w:rtl/>
        </w:rPr>
        <w:t>(דף יא. ד"ה שטרא פרסאה וד"ה לית ליה קלא, ודף יט: ד"ה ממשעבדי)</w:t>
      </w:r>
      <w:r>
        <w:rPr>
          <w:rtl/>
        </w:rPr>
        <w:t xml:space="preserve"> ורא"ש </w:t>
      </w:r>
      <w:r>
        <w:rPr>
          <w:sz w:val="16"/>
          <w:szCs w:val="16"/>
          <w:rtl/>
        </w:rPr>
        <w:t>(סי' י)</w:t>
      </w:r>
      <w:r>
        <w:rPr>
          <w:rtl/>
        </w:rPr>
        <w:t xml:space="preserve">- שטר שעשאוהו בלשון פרסי וחתמו פרסיים הדיוטות עליו </w:t>
      </w:r>
      <w:r>
        <w:rPr>
          <w:sz w:val="16"/>
          <w:szCs w:val="16"/>
          <w:rtl/>
        </w:rPr>
        <w:t>(ל' רש"י יא.)</w:t>
      </w:r>
      <w:r>
        <w:rPr>
          <w:rtl/>
        </w:rPr>
        <w:t xml:space="preserve">, ומכיון דחתימי הדיוטות לית ליה קלא וגבי מבני חרי </w:t>
      </w:r>
      <w:r>
        <w:rPr>
          <w:sz w:val="16"/>
          <w:szCs w:val="16"/>
          <w:rtl/>
        </w:rPr>
        <w:t>(ע"פ ל' רש"י יט:)</w:t>
      </w:r>
      <w:r>
        <w:rPr>
          <w:rtl/>
        </w:rPr>
        <w:t xml:space="preserve">. </w:t>
      </w:r>
      <w:r>
        <w:rPr>
          <w:sz w:val="16"/>
          <w:szCs w:val="16"/>
          <w:rtl/>
        </w:rPr>
        <w:t>(וכתב הרא"ש (שם) דמיירי שאין חתומים עליו עדים, דאי חתימי עליו עדי גוים היכא גבי בעדי מסירה ישראל אפילו מבני חרי, והא מודה רבי אלעזר במזויף מתוכו דילמא אתי למימסר קמייהו. ועוד כתב הרא"ש שם דרש"י לטעמיה שפירש לעיל (ד"ה אתאן) לא הוזכרו לפיסול אלא בזמן שנעשו בהדיוט משום דלא קפדי אאורועי נפשייהו, משמע דלא פסיל אלא דומיא דערכאות בלא עדי מסירה, אבל בעדי מסירה כשרים לגבות מבני חרי, ושטרות העולים בערכאות אפילו בלא עדי מסירה ישראלים גבי ממשעבדי, והכי איתא לקמן בפ"ב (יט:) כי הוה אתי לקמיה שטרא פרסאה דעביד בערכאות של גוים מקרי ליה לשני גוים וכו' ומגבי ביה ממשעבדי ופירש רש"י משום דאית ליה קלא כשחותמים עליו ערכאות דשטרא פרסאה דלעיל דגבי מבני חרי מיירי דחתומים עליו הדיוטות דלית ליה קלא)</w:t>
      </w:r>
    </w:p>
    <w:p w14:paraId="0E58C862" w14:textId="77777777" w:rsidR="0013116F" w:rsidRDefault="0013116F" w:rsidP="004B0475">
      <w:pPr>
        <w:pStyle w:val="a9"/>
        <w:numPr>
          <w:ilvl w:val="0"/>
          <w:numId w:val="352"/>
        </w:numPr>
      </w:pPr>
      <w:r>
        <w:rPr>
          <w:rtl/>
        </w:rPr>
        <w:t xml:space="preserve">ר"י </w:t>
      </w:r>
      <w:r>
        <w:rPr>
          <w:sz w:val="16"/>
          <w:szCs w:val="16"/>
          <w:rtl/>
        </w:rPr>
        <w:t>(יא. תוד"ה לא)</w:t>
      </w:r>
      <w:r>
        <w:rPr>
          <w:rtl/>
        </w:rPr>
        <w:t>- חתימי עליו ערכאות, וקמ"ל דאע"ג דמסריה ניהליה באפי סהדי ישראל לא מגבינן ביה ממשעבדי.</w:t>
      </w:r>
      <w:r>
        <w:rPr>
          <w:sz w:val="16"/>
          <w:szCs w:val="16"/>
          <w:rtl/>
        </w:rPr>
        <w:t xml:space="preserve"> (כ"כ הרא"ש (שם) בשמו </w:t>
      </w:r>
      <w:r>
        <w:rPr>
          <w:sz w:val="14"/>
          <w:szCs w:val="14"/>
          <w:rtl/>
        </w:rPr>
        <w:t xml:space="preserve">{דמדפוסל ר"י שטרי הדיוטות אף בעדי מסירה על כרחך הכא מיירי דחתימי עליו ערכאות} </w:t>
      </w:r>
      <w:r>
        <w:rPr>
          <w:sz w:val="16"/>
          <w:szCs w:val="16"/>
          <w:rtl/>
        </w:rPr>
        <w:t>ולקמן בפ"ב (יט:) גרסינן 'ומגבי ביה מבני חרי', וכן מסתבר, דמשמע בשמעתין דאין חילוק בין ערכאות להדיוטות אלא דהדיוטות מרעי נפשייהו וערכאות לא מרעי נפשייהו ולא לענין קלא, דדוקא עדי ישראל הוא דמפקי לקלא, ועוד דלא מסתבר כלל שיכשיר רבי עקיבא בשטרי הדיוטות בלא עדי מסירה, וא"כ רבנן פסלי אף בעדי מסירה. ומיהו סוגיא דשמעתין משמע כפירוש רש"י, דלפירוש ר"י הוה ליה למימר 'האי שטרא פרסאה אע"ג דמסריה ניהליה באפי סהדי ישראל לא מגבינן ביה ממשעבדי'. ועוד אי בשטרי ערכאות איירי לא הוה ליה לרבא למימר מימרא באפי נפשה אלא הוה ליה לפרושי מתניתין דשטרי ערכאות דאמר במתניתין דכשרים דוקא למיגבא מבני חרי אבל למיגבא ממשעבדי לא אפילו מסריה ניהליה באפי סהדי ישראל, וכן מצאתי בירושלמי (גיטין פ"א ה"ד) מר בר יעקב בר אחא קול יוצא לארכיים</w:t>
      </w:r>
      <w:r>
        <w:rPr>
          <w:sz w:val="12"/>
          <w:szCs w:val="12"/>
          <w:rtl/>
        </w:rPr>
        <w:t xml:space="preserve"> {לערכאות}</w:t>
      </w:r>
      <w:r>
        <w:rPr>
          <w:sz w:val="16"/>
          <w:szCs w:val="16"/>
          <w:rtl/>
        </w:rPr>
        <w:t xml:space="preserve">, אלמא משמע דגובה ממשעבדי </w:t>
      </w:r>
      <w:r>
        <w:rPr>
          <w:sz w:val="12"/>
          <w:szCs w:val="12"/>
          <w:rtl/>
        </w:rPr>
        <w:t xml:space="preserve">{כשעשה בערכאות} </w:t>
      </w:r>
      <w:r>
        <w:rPr>
          <w:sz w:val="16"/>
          <w:szCs w:val="16"/>
          <w:rtl/>
        </w:rPr>
        <w:t>וכן עיקר, רא"ש. ועוד העלה</w:t>
      </w:r>
      <w:r>
        <w:rPr>
          <w:sz w:val="12"/>
          <w:szCs w:val="12"/>
          <w:rtl/>
        </w:rPr>
        <w:t xml:space="preserve"> {הרא"ש}</w:t>
      </w:r>
      <w:r>
        <w:rPr>
          <w:sz w:val="16"/>
          <w:szCs w:val="16"/>
          <w:rtl/>
        </w:rPr>
        <w:t xml:space="preserve"> כן באותו פרק עצמו לקמן (סי' יא) בדרך מסקנא, ב"י)</w:t>
      </w:r>
    </w:p>
  </w:footnote>
  <w:footnote w:id="5487">
    <w:p w14:paraId="7F0BFE69" w14:textId="77777777" w:rsidR="0013116F" w:rsidRDefault="0013116F" w:rsidP="001D49D4">
      <w:pPr>
        <w:pStyle w:val="a9"/>
      </w:pPr>
      <w:r>
        <w:rPr>
          <w:rStyle w:val="ab"/>
        </w:rPr>
        <w:footnoteRef/>
      </w:r>
      <w:r>
        <w:rPr>
          <w:rtl/>
        </w:rPr>
        <w:t xml:space="preserve"> </w:t>
      </w:r>
      <w:r>
        <w:rPr>
          <w:rFonts w:hint="cs"/>
          <w:rtl/>
        </w:rPr>
        <w:t>סימן - ישיחו טמאים, יוכל לטרוף</w:t>
      </w:r>
      <w:r>
        <w:rPr>
          <w:sz w:val="16"/>
          <w:szCs w:val="16"/>
          <w:rtl/>
        </w:rPr>
        <w:t xml:space="preserve"> (ממשעבדי, רש"י)</w:t>
      </w:r>
      <w:r>
        <w:rPr>
          <w:rtl/>
        </w:rPr>
        <w:t xml:space="preserve">/יוכשר טופס </w:t>
      </w:r>
      <w:r>
        <w:rPr>
          <w:sz w:val="16"/>
          <w:szCs w:val="16"/>
          <w:rtl/>
        </w:rPr>
        <w:t>(וגובה מב"ח, רמב"ם)</w:t>
      </w:r>
      <w:r>
        <w:rPr>
          <w:rtl/>
        </w:rPr>
        <w:t>.</w:t>
      </w:r>
    </w:p>
  </w:footnote>
  <w:footnote w:id="5488">
    <w:p w14:paraId="0A2C05CC" w14:textId="77777777" w:rsidR="0013116F" w:rsidRDefault="0013116F" w:rsidP="001D49D4">
      <w:pPr>
        <w:pStyle w:val="a9"/>
      </w:pPr>
      <w:r>
        <w:rPr>
          <w:rStyle w:val="ab"/>
        </w:rPr>
        <w:footnoteRef/>
      </w:r>
      <w:r>
        <w:rPr>
          <w:rtl/>
        </w:rPr>
        <w:t xml:space="preserve"> רש"י</w:t>
      </w:r>
      <w:r>
        <w:rPr>
          <w:sz w:val="16"/>
          <w:szCs w:val="16"/>
          <w:rtl/>
        </w:rPr>
        <w:t xml:space="preserve"> (יט: ד"ה ממשעבדי)</w:t>
      </w:r>
      <w:r>
        <w:rPr>
          <w:rtl/>
        </w:rPr>
        <w:t xml:space="preserve"> רשב"א </w:t>
      </w:r>
      <w:r>
        <w:rPr>
          <w:sz w:val="16"/>
          <w:szCs w:val="16"/>
          <w:rtl/>
        </w:rPr>
        <w:t>(ח"א סי' תתקפב, ובחדשות סי' רנו, וכ"כ שם בשם רבותיו)</w:t>
      </w:r>
      <w:r>
        <w:rPr>
          <w:rtl/>
        </w:rPr>
        <w:t xml:space="preserve"> רא"ש </w:t>
      </w:r>
      <w:r>
        <w:rPr>
          <w:sz w:val="16"/>
          <w:szCs w:val="16"/>
          <w:rtl/>
        </w:rPr>
        <w:t>(כ"כ הטור בשמו)</w:t>
      </w:r>
      <w:r>
        <w:rPr>
          <w:rtl/>
        </w:rPr>
        <w:t xml:space="preserve"> ור"ן </w:t>
      </w:r>
      <w:r>
        <w:rPr>
          <w:sz w:val="16"/>
          <w:szCs w:val="16"/>
          <w:rtl/>
        </w:rPr>
        <w:t>(פ"ק דגיטין ד. ד"ה אמר, ט: ד"ה ודוקא)</w:t>
      </w:r>
      <w:r>
        <w:rPr>
          <w:rtl/>
        </w:rPr>
        <w:t>.</w:t>
      </w:r>
    </w:p>
  </w:footnote>
  <w:footnote w:id="5489">
    <w:p w14:paraId="55E71C21" w14:textId="77777777" w:rsidR="0013116F" w:rsidRDefault="0013116F" w:rsidP="001D49D4">
      <w:pPr>
        <w:pStyle w:val="a9"/>
        <w:rPr>
          <w:rtl/>
        </w:rPr>
      </w:pPr>
      <w:r>
        <w:rPr>
          <w:rStyle w:val="ab"/>
        </w:rPr>
        <w:footnoteRef/>
      </w:r>
      <w:r>
        <w:rPr>
          <w:rtl/>
        </w:rPr>
        <w:t xml:space="preserve"> ומגבי ביה אפילו ממשעבדי לא שנא חתום עליו חד או תרי, רשב"א </w:t>
      </w:r>
      <w:r>
        <w:rPr>
          <w:sz w:val="16"/>
          <w:szCs w:val="16"/>
          <w:rtl/>
        </w:rPr>
        <w:t>(ח"א סי' תתקפב)</w:t>
      </w:r>
      <w:r>
        <w:rPr>
          <w:rtl/>
        </w:rPr>
        <w:t xml:space="preserve">. </w:t>
      </w:r>
      <w:r>
        <w:rPr>
          <w:color w:val="00B0F0"/>
          <w:rtl/>
        </w:rPr>
        <w:t>(וכ"פ הרמ"א)</w:t>
      </w:r>
      <w:r>
        <w:rPr>
          <w:rtl/>
        </w:rPr>
        <w:t>. ואפילו היו אצל הערכי עדים פסולים כשר דלא גרע מאלו לא היו שם עדים כלל שהערכי נאמן, מהר"ם פדוא"ה</w:t>
      </w:r>
      <w:r>
        <w:rPr>
          <w:sz w:val="16"/>
          <w:szCs w:val="16"/>
          <w:rtl/>
        </w:rPr>
        <w:t xml:space="preserve"> (סי' מז, הביאו הדרכ"מ אות ו)</w:t>
      </w:r>
      <w:r>
        <w:rPr>
          <w:rtl/>
        </w:rPr>
        <w:t>.</w:t>
      </w:r>
    </w:p>
  </w:footnote>
  <w:footnote w:id="5490">
    <w:p w14:paraId="1E2F0099" w14:textId="77777777" w:rsidR="0013116F" w:rsidRDefault="0013116F" w:rsidP="001D49D4">
      <w:pPr>
        <w:pStyle w:val="a9"/>
        <w:rPr>
          <w:rtl/>
        </w:rPr>
      </w:pPr>
      <w:r>
        <w:rPr>
          <w:rStyle w:val="ab"/>
        </w:rPr>
        <w:footnoteRef/>
      </w:r>
      <w:r>
        <w:rPr>
          <w:rtl/>
        </w:rPr>
        <w:t xml:space="preserve"> וכ"כ הר"ן פ"ק דגיטין (ג: ד"ה מתני') דהסופר של מלך יש לו דין ערכאות, דרכ"מ (אות ד**).</w:t>
      </w:r>
    </w:p>
  </w:footnote>
  <w:footnote w:id="5491">
    <w:p w14:paraId="0C36A28F" w14:textId="77777777" w:rsidR="0013116F" w:rsidRDefault="0013116F" w:rsidP="001D49D4">
      <w:pPr>
        <w:pStyle w:val="a9"/>
        <w:rPr>
          <w:rtl/>
        </w:rPr>
      </w:pPr>
      <w:r>
        <w:rPr>
          <w:rStyle w:val="ab"/>
        </w:rPr>
        <w:footnoteRef/>
      </w:r>
      <w:r>
        <w:rPr>
          <w:rtl/>
        </w:rPr>
        <w:t xml:space="preserve"> לעיל (דמה"א ס"ו, ח, קצר אות ד ולקמן אות ו) כתבתי אם הוה דינא של מלכים כך אי מהני. ובמהרי"ק (שורש קפז) משמע דאפילו הוה הקפדת מלכות להכשיר שלא כדין לא משגחינן ביה, דרכ"מ (אות ה).</w:t>
      </w:r>
    </w:p>
  </w:footnote>
  <w:footnote w:id="5492">
    <w:p w14:paraId="27070B89" w14:textId="77777777" w:rsidR="0013116F" w:rsidRDefault="0013116F" w:rsidP="001D49D4">
      <w:pPr>
        <w:pStyle w:val="a9"/>
        <w:rPr>
          <w:rtl/>
        </w:rPr>
      </w:pPr>
      <w:r>
        <w:rPr>
          <w:rStyle w:val="ab"/>
        </w:rPr>
        <w:footnoteRef/>
      </w:r>
      <w:r>
        <w:rPr>
          <w:rtl/>
        </w:rPr>
        <w:t xml:space="preserve"> מבואר בדברי הה"מ פכ"ז מהלכות מלוה (ה"א), וכתבו הריב"ש בסי' ש"ה (פד ע"ד). וכתב עוד בסימן ר"ג- יש חולקים על הרמב"ן בזה ויש להם על מה שיסמוכו בפרק חזקת (נד:), ב"י.</w:t>
      </w:r>
    </w:p>
  </w:footnote>
  <w:footnote w:id="5493">
    <w:p w14:paraId="54525A77" w14:textId="77777777" w:rsidR="0013116F" w:rsidRDefault="0013116F" w:rsidP="001D49D4">
      <w:pPr>
        <w:pStyle w:val="a9"/>
        <w:rPr>
          <w:rtl/>
        </w:rPr>
      </w:pPr>
      <w:r>
        <w:rPr>
          <w:rStyle w:val="ab"/>
        </w:rPr>
        <w:footnoteRef/>
      </w:r>
      <w:r>
        <w:rPr>
          <w:rtl/>
        </w:rPr>
        <w:t xml:space="preserve"> ובסי' נ"ד כתב בפשיטות דסופר הממונה מהמלך דוקא נאמן ולא סופר הממונה מפי השופט. ונראה דאין דבריו סותרים זא"ז, דבסי' נ"ד מיירי במקום שאין ידוע מנהג להכשירן ובסי' מ"ז מיירי במקום שנהגו בהן להכשירן וכ"מ הלשון שם, דרכ"מ</w:t>
      </w:r>
      <w:r>
        <w:rPr>
          <w:sz w:val="16"/>
          <w:szCs w:val="16"/>
          <w:rtl/>
        </w:rPr>
        <w:t xml:space="preserve"> (אות ו)</w:t>
      </w:r>
      <w:r>
        <w:rPr>
          <w:rtl/>
        </w:rPr>
        <w:t>.</w:t>
      </w:r>
    </w:p>
  </w:footnote>
  <w:footnote w:id="5494">
    <w:p w14:paraId="76655CF2" w14:textId="77777777" w:rsidR="0013116F" w:rsidRDefault="0013116F" w:rsidP="001D49D4">
      <w:pPr>
        <w:pStyle w:val="a9"/>
        <w:rPr>
          <w:rtl/>
        </w:rPr>
      </w:pPr>
      <w:r>
        <w:rPr>
          <w:rStyle w:val="ab"/>
        </w:rPr>
        <w:footnoteRef/>
      </w:r>
      <w:r>
        <w:rPr>
          <w:rtl/>
        </w:rPr>
        <w:t xml:space="preserve"> אבל אם אין יודעים לקרות לא יחתמו לכתחילה ע"י שיקרא אחר לפניהם, אע"פ שמבינים הלשון. מיהו אם חתמו אע"פ שאין מבינים הלשון, רק ששני ישראלים אחרים תרגמו להן הלשון, השטר כשר בדיעבד </w:t>
      </w:r>
      <w:r>
        <w:rPr>
          <w:sz w:val="16"/>
          <w:szCs w:val="16"/>
          <w:rtl/>
        </w:rPr>
        <w:t>(כל זה העליתי לעיל סי' מה סע' ב סק"ג-ד)</w:t>
      </w:r>
      <w:r>
        <w:rPr>
          <w:rtl/>
        </w:rPr>
        <w:t>, ש"ך</w:t>
      </w:r>
      <w:r>
        <w:rPr>
          <w:sz w:val="16"/>
          <w:szCs w:val="16"/>
          <w:rtl/>
        </w:rPr>
        <w:t xml:space="preserve"> (סק"ב)</w:t>
      </w:r>
      <w:r>
        <w:rPr>
          <w:rtl/>
        </w:rPr>
        <w:t>.</w:t>
      </w:r>
    </w:p>
  </w:footnote>
  <w:footnote w:id="5495">
    <w:p w14:paraId="29ABA853" w14:textId="77777777" w:rsidR="0013116F" w:rsidRDefault="0013116F" w:rsidP="001D49D4">
      <w:pPr>
        <w:pStyle w:val="a9"/>
        <w:rPr>
          <w:rtl/>
        </w:rPr>
      </w:pPr>
      <w:r>
        <w:rPr>
          <w:rStyle w:val="ab"/>
        </w:rPr>
        <w:footnoteRef/>
      </w:r>
      <w:r>
        <w:rPr>
          <w:rtl/>
        </w:rPr>
        <w:t xml:space="preserve"> הטעם, שגוף הלוה נשתעבד לו בלי שטר מיד בנתינת המעות, סמ"ע (סק"ד).</w:t>
      </w:r>
    </w:p>
  </w:footnote>
  <w:footnote w:id="5496">
    <w:p w14:paraId="39654E19" w14:textId="77777777" w:rsidR="0013116F" w:rsidRDefault="0013116F" w:rsidP="001D49D4">
      <w:pPr>
        <w:pStyle w:val="a9"/>
      </w:pPr>
      <w:r>
        <w:rPr>
          <w:rStyle w:val="ab"/>
        </w:rPr>
        <w:footnoteRef/>
      </w:r>
      <w:r>
        <w:rPr>
          <w:rtl/>
        </w:rPr>
        <w:t xml:space="preserve"> ואפילו בשטר מקח וממכר </w:t>
      </w:r>
      <w:r>
        <w:rPr>
          <w:sz w:val="16"/>
          <w:szCs w:val="16"/>
          <w:rtl/>
        </w:rPr>
        <w:t>(וגרע ממוכר שדהו בעדים)</w:t>
      </w:r>
      <w:r>
        <w:rPr>
          <w:rtl/>
        </w:rPr>
        <w:t>, דס"ל להרמב"ם דוקא עדי ישראל הוא דמפקי לקלא. אבל הה"מ [שם] כתב דלהרמב"ם בשטרי מקח וממכר כשר לגבות אפילו ממשעבדי, דלא גרע כו'. אכן מסתימת לשון הרמב"ם והטור [סעיף ז'] והמחבר לא משמע כן. וכ"פ הב"ח [שם] ע"ש, ש"ך (סק"ד).</w:t>
      </w:r>
    </w:p>
  </w:footnote>
  <w:footnote w:id="5497">
    <w:p w14:paraId="7E71D5AB" w14:textId="77777777" w:rsidR="0013116F" w:rsidRDefault="0013116F" w:rsidP="001D49D4">
      <w:pPr>
        <w:pStyle w:val="a9"/>
      </w:pPr>
      <w:r>
        <w:rPr>
          <w:rStyle w:val="ab"/>
        </w:rPr>
        <w:footnoteRef/>
      </w:r>
      <w:r>
        <w:rPr>
          <w:rtl/>
        </w:rPr>
        <w:t xml:space="preserve"> פירוש, כרך שלהן שכותבין בו כל דבר הבא לפניהן כנהוג ג"כ בזמנינו, אמרינן בו ג"כ דלא מרעי נפשייהו לכתוב בו שקר, סמ"ע (סק"ו).</w:t>
      </w:r>
    </w:p>
  </w:footnote>
  <w:footnote w:id="5498">
    <w:p w14:paraId="701EF0FD" w14:textId="77777777" w:rsidR="0013116F" w:rsidRDefault="0013116F" w:rsidP="001D49D4">
      <w:pPr>
        <w:pStyle w:val="a9"/>
        <w:rPr>
          <w:rtl/>
        </w:rPr>
      </w:pPr>
      <w:r>
        <w:rPr>
          <w:rStyle w:val="ab"/>
        </w:rPr>
        <w:footnoteRef/>
      </w:r>
      <w:r>
        <w:rPr>
          <w:rtl/>
        </w:rPr>
        <w:t xml:space="preserve"> בארבעה דברים מחולק בעל סברא זו [והוא דעת הרא"ש] עם בעל סברא קמייתא [הוא הרמב"ם]. האחד, במה דא"צ עדות על הערכאות שאינן ידועין בקבלת שוחד. הב', שא"צ שיהא כתוב בשטר שראו נתינת המעות. הג', שיהא כל דבר נעשה לפני הערכאות, ומשום הכי נמי ס"ל דא"צ שיהיו עדות על כשרות העדות. הד', דגובה אפילו ממשעבדי, סמ"ע (סק"ח).</w:t>
      </w:r>
    </w:p>
  </w:footnote>
  <w:footnote w:id="5499">
    <w:p w14:paraId="6E0FFB17" w14:textId="77777777" w:rsidR="0013116F" w:rsidRDefault="0013116F" w:rsidP="001D49D4">
      <w:pPr>
        <w:pStyle w:val="a9"/>
      </w:pPr>
      <w:r>
        <w:rPr>
          <w:rStyle w:val="ab"/>
        </w:rPr>
        <w:footnoteRef/>
      </w:r>
      <w:r>
        <w:rPr>
          <w:rtl/>
        </w:rPr>
        <w:t xml:space="preserve"> פירוש, כשידוע שנעשו כל הדברים לפניהן, או שהערכאות כתבו כן בסוף השטר שנעשה הכל בפניהן, סמ"ע (סק"ט).</w:t>
      </w:r>
    </w:p>
  </w:footnote>
  <w:footnote w:id="5500">
    <w:p w14:paraId="762091D2" w14:textId="77777777" w:rsidR="0013116F" w:rsidRDefault="0013116F" w:rsidP="001D49D4">
      <w:pPr>
        <w:pStyle w:val="a9"/>
        <w:rPr>
          <w:rtl/>
        </w:rPr>
      </w:pPr>
      <w:r>
        <w:rPr>
          <w:rStyle w:val="ab"/>
        </w:rPr>
        <w:footnoteRef/>
      </w:r>
      <w:r>
        <w:rPr>
          <w:rtl/>
        </w:rPr>
        <w:t xml:space="preserve"> וה"ה שטרי מכר כשנקנין בשטר, כגון שכתב לו שדי מכורה לך, אלא משום דאין השדות נקנין בשטר לחוד כי אם כשנמכרה מפני רעתה, כמ"ש הטור והמחבר בסימן קצ"א [סעיף א' ב'], משום הכי לא כתב בו שטר מכר, סמ"ע (סק"י).</w:t>
      </w:r>
    </w:p>
  </w:footnote>
  <w:footnote w:id="5501">
    <w:p w14:paraId="5A8717DA" w14:textId="77777777" w:rsidR="0013116F" w:rsidRDefault="0013116F" w:rsidP="001D49D4">
      <w:pPr>
        <w:pStyle w:val="a9"/>
        <w:rPr>
          <w:rtl/>
        </w:rPr>
      </w:pPr>
      <w:r>
        <w:rPr>
          <w:rStyle w:val="ab"/>
        </w:rPr>
        <w:footnoteRef/>
      </w:r>
      <w:r>
        <w:rPr>
          <w:rtl/>
        </w:rPr>
        <w:t xml:space="preserve"> כיון דאינו משתעבד כי אם באמרו אתם עדי להרא"ש [סנהדרין פ"ג סי' כה], או בהודאה לפניהן בהודאה גמורה להרמב"ם [פ"ז מטוען ה"א] וכמ"ש בסי' פא סע' ח, לא אלים כוחייהו לצירופי לשעבוד כזה להגמר על ידם אף שאמר אתם עדי. ולא דמי להלואה שנעשתה לפניהן, דאת אשר ראו יגידו, סמ"ע (סקי"א). ודקדק לכתוב הודה שהוא חייב לו, דאז גוף השעבוד נעשה ע"י גוים, (וכמ"ש) [ומשום הכי] הוא דלא מהני, הא הודאה שנפרע ממנו מהני, כיון שאין נעשה ע"י גוים מעשה כי אם סילוק שעבוד בעלמא. ומשום הכי השמיט המחבר ולא כתב שטר מחילה שכתבו הרמב"ם [פכ"ז ממלוה ה"א] והטור [סעיף ו'], סמ"ע (סקי"ב).</w:t>
      </w:r>
    </w:p>
  </w:footnote>
  <w:footnote w:id="5502">
    <w:p w14:paraId="0BAAFC10" w14:textId="77777777" w:rsidR="0013116F" w:rsidRDefault="0013116F" w:rsidP="001D49D4">
      <w:pPr>
        <w:pStyle w:val="a9"/>
        <w:rPr>
          <w:rtl/>
        </w:rPr>
      </w:pPr>
      <w:r>
        <w:rPr>
          <w:rStyle w:val="ab"/>
        </w:rPr>
        <w:footnoteRef/>
      </w:r>
      <w:r>
        <w:rPr>
          <w:rtl/>
        </w:rPr>
        <w:t xml:space="preserve"> כתב הסמ"ע [סקי"ד] דלא איירי שכתב בו שמחל לו לפניהן, דא"כ לא הוי השטר אלא לראיה בעלמא, וכבר נתבאר דמהני בערכאות של גוים, אלא מיירי שבשטר זה כתוב שמוחל, דגוף המחילה נעשה בשטר זה, וה"ל כשטר מתנה, עכ"ל. ודבריו צ"ע, דהא בהדיא לא משמע כן מדברי הר"ב </w:t>
      </w:r>
      <w:r>
        <w:rPr>
          <w:sz w:val="16"/>
          <w:szCs w:val="16"/>
          <w:rtl/>
        </w:rPr>
        <w:t>[הג"ה. ר"ל, לפ"ז למה הביא הר"ב יש אומרים שחולקין על זה דשטרי מחילות כשרים, דהא בכה"ג היכא שאינה לראיה, גם היש אומרים מודו דאינו כשר, שהרי הריב"ש (סי' קמב) חולק על זה מכח קושית הסמ"ע דהא השטר לא הוי אלא לראיה וכו', וכדאיתא להדיא בב"י [סעיף ו'] בשם הריב"ש]</w:t>
      </w:r>
      <w:r>
        <w:rPr>
          <w:rtl/>
        </w:rPr>
        <w:t>. והב"ח [סעיף ז'] כתב דלא הוי בזה ראיה, דיכול לומר דרך שחוק והיתול אמרתי שמחלתי, ע"ש שהאריך. ודבריו דחוקים, וצ"ע לדינא, ש"ך (סק"ח).</w:t>
      </w:r>
    </w:p>
  </w:footnote>
  <w:footnote w:id="5503">
    <w:p w14:paraId="39949A93" w14:textId="77777777" w:rsidR="0013116F" w:rsidRDefault="0013116F" w:rsidP="001D49D4">
      <w:pPr>
        <w:pStyle w:val="a9"/>
        <w:rPr>
          <w:rtl/>
        </w:rPr>
      </w:pPr>
      <w:r>
        <w:rPr>
          <w:rStyle w:val="ab"/>
        </w:rPr>
        <w:footnoteRef/>
      </w:r>
      <w:r>
        <w:rPr>
          <w:rtl/>
        </w:rPr>
        <w:t xml:space="preserve"> </w:t>
      </w:r>
      <w:r>
        <w:rPr>
          <w:rFonts w:hint="cs"/>
          <w:rtl/>
        </w:rPr>
        <w:t>סימן - ישיחו טמאים, יוכל לטרוף</w:t>
      </w:r>
      <w:r>
        <w:rPr>
          <w:sz w:val="16"/>
          <w:szCs w:val="16"/>
          <w:rtl/>
        </w:rPr>
        <w:t xml:space="preserve"> (ממשעבדי, רש"י)</w:t>
      </w:r>
      <w:r>
        <w:rPr>
          <w:rtl/>
        </w:rPr>
        <w:t xml:space="preserve">/יוכשר טופס </w:t>
      </w:r>
      <w:r>
        <w:rPr>
          <w:sz w:val="16"/>
          <w:szCs w:val="16"/>
          <w:rtl/>
        </w:rPr>
        <w:t>(וגובה מב"ח, רמב"ם)</w:t>
      </w:r>
      <w:r>
        <w:rPr>
          <w:rtl/>
        </w:rPr>
        <w:t>.</w:t>
      </w:r>
    </w:p>
  </w:footnote>
  <w:footnote w:id="5504">
    <w:p w14:paraId="14FACC0D" w14:textId="77777777" w:rsidR="0013116F" w:rsidRDefault="0013116F" w:rsidP="001D49D4">
      <w:pPr>
        <w:pStyle w:val="a9"/>
      </w:pPr>
      <w:r>
        <w:rPr>
          <w:rStyle w:val="ab"/>
        </w:rPr>
        <w:footnoteRef/>
      </w:r>
      <w:r>
        <w:rPr>
          <w:rtl/>
        </w:rPr>
        <w:t xml:space="preserve"> </w:t>
      </w:r>
      <w:r>
        <w:rPr>
          <w:rFonts w:hint="cs"/>
          <w:rtl/>
        </w:rPr>
        <w:t>סימן – ירחון יווני/יפני.</w:t>
      </w:r>
    </w:p>
  </w:footnote>
  <w:footnote w:id="5505">
    <w:p w14:paraId="7472CF9C" w14:textId="77777777" w:rsidR="0013116F" w:rsidRDefault="0013116F" w:rsidP="001D49D4">
      <w:pPr>
        <w:pStyle w:val="a9"/>
      </w:pPr>
      <w:r>
        <w:rPr>
          <w:rStyle w:val="ab"/>
        </w:rPr>
        <w:footnoteRef/>
      </w:r>
      <w:r>
        <w:rPr>
          <w:rtl/>
        </w:rPr>
        <w:t xml:space="preserve"> הבדלה לשון ספר כריתות </w:t>
      </w:r>
      <w:r>
        <w:rPr>
          <w:sz w:val="16"/>
          <w:szCs w:val="16"/>
          <w:rtl/>
        </w:rPr>
        <w:t>(דברים כד)</w:t>
      </w:r>
      <w:r>
        <w:rPr>
          <w:rtl/>
        </w:rPr>
        <w:t>, דכיון דלא שייכי בתורת גטין וקדושין אין נעשין עדים בדבר, דכתיב וכתב ונתן מי שישנו בנתינה ישנו בכתיבה, רש"י.</w:t>
      </w:r>
    </w:p>
  </w:footnote>
  <w:footnote w:id="5506">
    <w:p w14:paraId="7393790C" w14:textId="77777777" w:rsidR="0013116F" w:rsidRDefault="0013116F" w:rsidP="001D49D4">
      <w:pPr>
        <w:pStyle w:val="a9"/>
      </w:pPr>
      <w:r>
        <w:rPr>
          <w:rStyle w:val="ab"/>
        </w:rPr>
        <w:footnoteRef/>
      </w:r>
      <w:r>
        <w:rPr>
          <w:rtl/>
        </w:rPr>
        <w:t xml:space="preserve"> כלומר ורבי שמעון נמי בהכי מכשר שימסרנו לה בפני עדי ישראל, כלומר שאם חתמו עליו עדים פסולים פסול מדרבנן דילמא אתי למימסריה באפייהו ומיסמך עלייהו, ב"י.</w:t>
      </w:r>
    </w:p>
  </w:footnote>
  <w:footnote w:id="5507">
    <w:p w14:paraId="7B97B86B" w14:textId="77777777" w:rsidR="0013116F" w:rsidRDefault="0013116F" w:rsidP="001D49D4">
      <w:pPr>
        <w:pStyle w:val="a9"/>
      </w:pPr>
      <w:r>
        <w:rPr>
          <w:rStyle w:val="ab"/>
        </w:rPr>
        <w:footnoteRef/>
      </w:r>
      <w:r>
        <w:rPr>
          <w:rtl/>
        </w:rPr>
        <w:t xml:space="preserve"> דאע"ג דאמר ר' אלעזר גט שאין עליו עדים כשר, דוקא אין עליו עדים, אבל יש בו עדים פסולין - פסול מדרבנן דילמא קאתי למימסריה באפייהו ומיסמך עלייהו, רש"י.</w:t>
      </w:r>
    </w:p>
  </w:footnote>
  <w:footnote w:id="5508">
    <w:p w14:paraId="068AD2D7" w14:textId="77777777" w:rsidR="0013116F" w:rsidRDefault="0013116F" w:rsidP="001D49D4">
      <w:pPr>
        <w:pStyle w:val="a9"/>
        <w:rPr>
          <w:rtl/>
        </w:rPr>
      </w:pPr>
      <w:r>
        <w:rPr>
          <w:rStyle w:val="ab"/>
        </w:rPr>
        <w:footnoteRef/>
      </w:r>
      <w:r>
        <w:rPr>
          <w:rtl/>
        </w:rPr>
        <w:t xml:space="preserve"> בגיות, כלומר דתו לא אתי למיסמך עלייהו דמידע ידיע דגוים הם, ב"י.</w:t>
      </w:r>
    </w:p>
  </w:footnote>
  <w:footnote w:id="5509">
    <w:p w14:paraId="16C74039" w14:textId="77777777" w:rsidR="0013116F" w:rsidRDefault="0013116F" w:rsidP="001D49D4">
      <w:pPr>
        <w:pStyle w:val="a9"/>
      </w:pPr>
      <w:r>
        <w:rPr>
          <w:rStyle w:val="ab"/>
        </w:rPr>
        <w:footnoteRef/>
      </w:r>
      <w:r>
        <w:rPr>
          <w:rtl/>
        </w:rPr>
        <w:t xml:space="preserve"> דעת הרמ"ה כדעת הרמב"ם דהא דאמרינן בגמ' (יא.) גבי מימרא דרבא דשטרא פרסאה צריך שיהא עשוי כתיקון שטרי ישראל היינו דוקא בשטרי מכר והלואה דהדיוטות או שטרי הודאות בין דערכאות בין דהדיוטות, אבל בשטרי מכר והלואה הנעשים בערכאות אין צריך שיהא כתיקון שטרי ישראל ולפיכך כתב דשטרי מכר והלואה שנעשו בהדיוטות ונמסרו בפני ישראל אע"פ שעדי גוים חתומים בו גבי מבני חרי, והיינו דוקא בנעשו בהדיוטות, דאלו נעשו בערכאות ממשעבדי נמי גבי ושטרי הודאות בין שנעשו בערכאות או בהדיוטות - לא מהני מידי, כמו שקדם, אא"כ נמסר בפני עדי ישראל וידעי למיקרייה וכו' וכמו שנתבאר בגמרא, ב"י.</w:t>
      </w:r>
    </w:p>
  </w:footnote>
  <w:footnote w:id="5510">
    <w:p w14:paraId="74F7946F" w14:textId="77777777" w:rsidR="0013116F" w:rsidRDefault="0013116F" w:rsidP="001D49D4">
      <w:pPr>
        <w:pStyle w:val="a9"/>
        <w:rPr>
          <w:rtl/>
        </w:rPr>
      </w:pPr>
      <w:r>
        <w:rPr>
          <w:rStyle w:val="ab"/>
        </w:rPr>
        <w:footnoteRef/>
      </w:r>
      <w:r>
        <w:rPr>
          <w:rtl/>
        </w:rPr>
        <w:t xml:space="preserve"> סובר הרמ"ה דכיון דאוקימנא לרבי שמעון כרבי אלעזר הלכתא כוותיה, וה"ה לשאר שטרות דכשאין שמותיהם מובהקים חיישינן דילמא אתי למיסמך עלייהו שיחשוב שהם ישראל, ב"י. וכתב עוד הב"י דהרא"ש (סי' יא) כתב שאין לקבוע הלכה כיחידאה בלא ראיה ברורה אלא כת"ק קיי"ל דגזר מובהקים אטו אינם מובהקים, ושכן דעת רשב"ם ור"ח, כלומר וה"ה דגזרינן מקום שאין ישראל חותמים אטו מקום שישראל חותמים, ואע"ג דבגמ' אמרינן דאתרא באתרא לא מיחליף היינו לרשב"ג אבל לת"ק מיחליף והכי קיי"ל. והרמב"ם (הל' מלוה פכ"ז ה"ב) שלא חילק בין שמות מובהקים לאינם מובהקים - קשיא לי, דהא מודה רבי אלעזר במזויף מתוכו, ואין לומר דסבירא ליה דלא אמרינן הכי אלא בגיטי נשים דהא בפרק זה בורר </w:t>
      </w:r>
      <w:r>
        <w:rPr>
          <w:sz w:val="16"/>
          <w:szCs w:val="16"/>
          <w:rtl/>
        </w:rPr>
        <w:t xml:space="preserve">(סנהדרין כח:) </w:t>
      </w:r>
      <w:r>
        <w:rPr>
          <w:rtl/>
        </w:rPr>
        <w:t>גבי ההיא מתנתא דחתימי עלה תרי גיסי אמרינן מודה רבי אלעזר במזויף מתוכו. והרב המגיד לא נתעורר לזה וצ"ע.</w:t>
      </w:r>
      <w:r>
        <w:rPr>
          <w:sz w:val="16"/>
          <w:szCs w:val="16"/>
          <w:rtl/>
        </w:rPr>
        <w:t xml:space="preserve"> (וכתב הב"י בבדה"ב- ואפשר לומר דסבר הרמב"ם דהא דמשמע בגמרא דבעדים גוים חשיב מזויף מתוכו הני מילי בגיטי נשים אבל בשטרי ממון אע"ג דבישראלים קרובים או פסולים חשיב מזויף מתוכו התם היינו טעמא משום דאתי לאחלופי לאכשורי בלא עדי מסירה אבל בעדי גוים לא חיישינן להכי אפילו בשמות שאינם מובהקים בגיות ואפילו במקום שישראל חותמין)</w:t>
      </w:r>
    </w:p>
  </w:footnote>
  <w:footnote w:id="5511">
    <w:p w14:paraId="59065C56" w14:textId="77777777" w:rsidR="0013116F" w:rsidRDefault="0013116F" w:rsidP="001D49D4">
      <w:pPr>
        <w:pStyle w:val="a9"/>
      </w:pPr>
      <w:r>
        <w:rPr>
          <w:rStyle w:val="ab"/>
        </w:rPr>
        <w:footnoteRef/>
      </w:r>
      <w:r>
        <w:rPr>
          <w:rtl/>
        </w:rPr>
        <w:t xml:space="preserve"> ונ"ל דה"ה אם נעשה שלא בערכאות וחתם הלוה עצמו עליו שנתחייב לשלם בכל הכתוב בשטר מהאי טעמא דגמר בדעתו, דרכ"מ (אות ד*).</w:t>
      </w:r>
    </w:p>
  </w:footnote>
  <w:footnote w:id="5512">
    <w:p w14:paraId="64112C60" w14:textId="77777777" w:rsidR="0013116F" w:rsidRDefault="0013116F" w:rsidP="001D49D4">
      <w:pPr>
        <w:pStyle w:val="a9"/>
      </w:pPr>
      <w:r>
        <w:rPr>
          <w:rStyle w:val="ab"/>
        </w:rPr>
        <w:footnoteRef/>
      </w:r>
      <w:r>
        <w:rPr>
          <w:rtl/>
        </w:rPr>
        <w:t xml:space="preserve"> דאל"כ פסלינן ליה משום גזירה שמא יבואו לסמוך פעם אחרת מאלו גוים החתומים לחוד בראותם שמכשירים שטר זה, ולא יעלו על דעתן שהיו כאן עדי מסירה ישראל, משא"כ כשידוע שהן שמות הגוים, לא יבואו למטעיה לסמוך עלייהו לחוד, סמ"ע</w:t>
      </w:r>
      <w:r>
        <w:rPr>
          <w:sz w:val="16"/>
          <w:szCs w:val="16"/>
          <w:rtl/>
        </w:rPr>
        <w:t xml:space="preserve"> (סק"כ)</w:t>
      </w:r>
      <w:r>
        <w:rPr>
          <w:rtl/>
        </w:rPr>
        <w:t>.</w:t>
      </w:r>
    </w:p>
  </w:footnote>
  <w:footnote w:id="5513">
    <w:p w14:paraId="01E0569D" w14:textId="77777777" w:rsidR="0013116F" w:rsidRDefault="0013116F" w:rsidP="001D49D4">
      <w:pPr>
        <w:pStyle w:val="a9"/>
      </w:pPr>
      <w:r>
        <w:rPr>
          <w:rStyle w:val="ab"/>
        </w:rPr>
        <w:footnoteRef/>
      </w:r>
      <w:r>
        <w:rPr>
          <w:rtl/>
        </w:rPr>
        <w:t xml:space="preserve"> עיין ברשב"א [שם] דכתב דנעשה הוחזק כפרן ע"י ספר הערכי כמו ע"י עדים, דרכ"מ שם [סעיף ג'] הביאו, סמ"ע (סקכ"ב).</w:t>
      </w:r>
    </w:p>
  </w:footnote>
  <w:footnote w:id="5514">
    <w:p w14:paraId="1667828E" w14:textId="77777777" w:rsidR="0013116F" w:rsidRDefault="0013116F" w:rsidP="001D49D4">
      <w:pPr>
        <w:pStyle w:val="a9"/>
        <w:rPr>
          <w:rtl/>
        </w:rPr>
      </w:pPr>
      <w:r>
        <w:rPr>
          <w:rStyle w:val="ab"/>
        </w:rPr>
        <w:footnoteRef/>
      </w:r>
      <w:r>
        <w:rPr>
          <w:rtl/>
        </w:rPr>
        <w:t xml:space="preserve"> פירוש, שאינם ערכאות, וכן כתב בדרכי משה [שם] בהדיא, סמ"ע (סקכ"ג).</w:t>
      </w:r>
    </w:p>
  </w:footnote>
  <w:footnote w:id="5515">
    <w:p w14:paraId="1C0839F0" w14:textId="77777777" w:rsidR="0013116F" w:rsidRDefault="0013116F" w:rsidP="0004348D">
      <w:pPr>
        <w:pStyle w:val="a9"/>
      </w:pPr>
      <w:r>
        <w:rPr>
          <w:rStyle w:val="ab"/>
        </w:rPr>
        <w:footnoteRef/>
      </w:r>
      <w:r>
        <w:rPr>
          <w:rtl/>
        </w:rPr>
        <w:t xml:space="preserve"> </w:t>
      </w:r>
      <w:r>
        <w:rPr>
          <w:rFonts w:hint="cs"/>
          <w:rtl/>
        </w:rPr>
        <w:t xml:space="preserve">סימן - קלף </w:t>
      </w:r>
      <w:r>
        <w:rPr>
          <w:sz w:val="16"/>
          <w:szCs w:val="16"/>
          <w:rtl/>
        </w:rPr>
        <w:t xml:space="preserve">(שטר) </w:t>
      </w:r>
      <w:r>
        <w:rPr>
          <w:rtl/>
        </w:rPr>
        <w:t xml:space="preserve">על הלואה. קול </w:t>
      </w:r>
      <w:r>
        <w:rPr>
          <w:sz w:val="16"/>
          <w:szCs w:val="16"/>
          <w:rtl/>
        </w:rPr>
        <w:t>(עדים)</w:t>
      </w:r>
      <w:r>
        <w:rPr>
          <w:rtl/>
        </w:rPr>
        <w:t xml:space="preserve"> על הלואה. קבלה </w:t>
      </w:r>
      <w:r>
        <w:rPr>
          <w:sz w:val="16"/>
          <w:szCs w:val="16"/>
          <w:rtl/>
        </w:rPr>
        <w:t xml:space="preserve">(כתב ידו) </w:t>
      </w:r>
      <w:r>
        <w:rPr>
          <w:rtl/>
        </w:rPr>
        <w:t>על הלואה.</w:t>
      </w:r>
    </w:p>
  </w:footnote>
  <w:footnote w:id="5516">
    <w:p w14:paraId="02A36716" w14:textId="77777777" w:rsidR="0013116F" w:rsidRDefault="0013116F" w:rsidP="0004348D">
      <w:pPr>
        <w:pStyle w:val="a9"/>
      </w:pPr>
      <w:r>
        <w:rPr>
          <w:rStyle w:val="ab"/>
        </w:rPr>
        <w:footnoteRef/>
      </w:r>
      <w:r>
        <w:rPr>
          <w:rtl/>
        </w:rPr>
        <w:t xml:space="preserve"> </w:t>
      </w:r>
      <w:r>
        <w:rPr>
          <w:rFonts w:hint="cs"/>
          <w:rtl/>
        </w:rPr>
        <w:t>סימן – זהירות מסוף קלף.</w:t>
      </w:r>
    </w:p>
  </w:footnote>
  <w:footnote w:id="5517">
    <w:p w14:paraId="51B661A0" w14:textId="77777777" w:rsidR="0013116F" w:rsidRDefault="0013116F" w:rsidP="0004348D">
      <w:pPr>
        <w:pStyle w:val="a9"/>
      </w:pPr>
      <w:r>
        <w:rPr>
          <w:rStyle w:val="ab"/>
        </w:rPr>
        <w:footnoteRef/>
      </w:r>
      <w:r>
        <w:rPr>
          <w:rtl/>
        </w:rPr>
        <w:t xml:space="preserve"> וכן איתא בפ"ב דכתובות (כא.), וביאור הענין שאם צריך לכתוב שמו כדי שיכירו בית דין חתימתו לא יניח חלק למעלה מחתימתו מפני שאותו נייר משליכים אותו ודילמא משכח ליה אינש דלא מעלי וכו', ב"י.</w:t>
      </w:r>
    </w:p>
  </w:footnote>
  <w:footnote w:id="5518">
    <w:p w14:paraId="5CCC1E87" w14:textId="77777777" w:rsidR="0013116F" w:rsidRDefault="0013116F" w:rsidP="0004348D">
      <w:pPr>
        <w:pStyle w:val="a9"/>
      </w:pPr>
      <w:r>
        <w:rPr>
          <w:rStyle w:val="ab"/>
        </w:rPr>
        <w:footnoteRef/>
      </w:r>
      <w:r>
        <w:rPr>
          <w:rtl/>
        </w:rPr>
        <w:t xml:space="preserve"> כדאיתא בפרק גט פשוט </w:t>
      </w:r>
      <w:r>
        <w:rPr>
          <w:sz w:val="16"/>
          <w:szCs w:val="16"/>
          <w:rtl/>
        </w:rPr>
        <w:t xml:space="preserve">(ב"ב קסז.) </w:t>
      </w:r>
      <w:r>
        <w:rPr>
          <w:rtl/>
        </w:rPr>
        <w:t xml:space="preserve">גבי ההוא כוזבנא </w:t>
      </w:r>
      <w:r>
        <w:rPr>
          <w:sz w:val="16"/>
          <w:szCs w:val="16"/>
          <w:rtl/>
        </w:rPr>
        <w:t>{לפנינו כתוב 'בזבינא'. ופירוש שניהם – מוכס}</w:t>
      </w:r>
      <w:r>
        <w:rPr>
          <w:rtl/>
        </w:rPr>
        <w:t xml:space="preserve">, ואמרינן נמי התם האי מאן דבעי לאחוויי חתימות ידיה בבית דין לא ליכתוב שמיה אסוף מגלתא. ולא תיקשי לך מההוא שטרא דנפק בבית דין דרב הונא דהוה כתיב ביה אני פלוני בן פלוני לויתי ממך </w:t>
      </w:r>
      <w:r>
        <w:rPr>
          <w:sz w:val="16"/>
          <w:szCs w:val="16"/>
          <w:rtl/>
        </w:rPr>
        <w:t xml:space="preserve">(שם קעב.) </w:t>
      </w:r>
      <w:r>
        <w:rPr>
          <w:rtl/>
        </w:rPr>
        <w:t>והרי שם היה חתום שמו בראש המגלה והכשירוהו דהתם מיירי שכל השטר היה מכתיבת ידו של לוה וכיון שכן אפילו לא חתם שמו כלל כשר ומשום דחתם שמו בריש מגלתא לא נפסל בכך, בעל התרומות.</w:t>
      </w:r>
    </w:p>
  </w:footnote>
  <w:footnote w:id="5519">
    <w:p w14:paraId="1DBC0500" w14:textId="77777777" w:rsidR="0013116F" w:rsidRDefault="0013116F" w:rsidP="0004348D">
      <w:pPr>
        <w:pStyle w:val="a9"/>
      </w:pPr>
      <w:r>
        <w:rPr>
          <w:rStyle w:val="ab"/>
        </w:rPr>
        <w:footnoteRef/>
      </w:r>
      <w:r>
        <w:rPr>
          <w:rtl/>
        </w:rPr>
        <w:t xml:space="preserve"> הב"י כתב שכן כתב הנמוק"י </w:t>
      </w:r>
      <w:r>
        <w:rPr>
          <w:sz w:val="16"/>
          <w:szCs w:val="16"/>
          <w:rtl/>
        </w:rPr>
        <w:t>(פרק גט פשוט עז. דבור ראשון)</w:t>
      </w:r>
      <w:r>
        <w:rPr>
          <w:rtl/>
        </w:rPr>
        <w:t>. וצל"ע משום שלא מצאתי שם כן, דשם מיירי שחתם בתחילה. ולכן כשכתב הכל בכתב ידו גובין בו. ואפשר לומר דלזה גם ר"ת והריטב"א מודי.</w:t>
      </w:r>
    </w:p>
  </w:footnote>
  <w:footnote w:id="5520">
    <w:p w14:paraId="51189050" w14:textId="77777777" w:rsidR="0013116F" w:rsidRDefault="0013116F" w:rsidP="0004348D">
      <w:pPr>
        <w:pStyle w:val="a9"/>
      </w:pPr>
      <w:r>
        <w:rPr>
          <w:rStyle w:val="ab"/>
        </w:rPr>
        <w:footnoteRef/>
      </w:r>
      <w:r>
        <w:rPr>
          <w:rtl/>
        </w:rPr>
        <w:t xml:space="preserve"> </w:t>
      </w:r>
      <w:r>
        <w:rPr>
          <w:rFonts w:hint="cs"/>
          <w:rtl/>
        </w:rPr>
        <w:t xml:space="preserve">כתב בעל התרומות וז"ל- </w:t>
      </w:r>
      <w:r>
        <w:rPr>
          <w:rtl/>
        </w:rPr>
        <w:t>איכא מאן דאמר דכל כתב ידו חתם ידו הוא, כלומר שחותם מלמטה שמו. והא ליתא, דאפילו בכתב ידו כולו סגי, וכן-...</w:t>
      </w:r>
    </w:p>
  </w:footnote>
  <w:footnote w:id="5521">
    <w:p w14:paraId="3665398F" w14:textId="77777777" w:rsidR="0013116F" w:rsidRDefault="0013116F" w:rsidP="0004348D">
      <w:pPr>
        <w:pStyle w:val="a9"/>
        <w:rPr>
          <w:rtl/>
        </w:rPr>
      </w:pPr>
      <w:r>
        <w:rPr>
          <w:rStyle w:val="ab"/>
        </w:rPr>
        <w:footnoteRef/>
      </w:r>
      <w:r>
        <w:rPr>
          <w:rtl/>
        </w:rPr>
        <w:t xml:space="preserve"> והראיה מדתנן </w:t>
      </w:r>
      <w:r>
        <w:rPr>
          <w:sz w:val="16"/>
          <w:szCs w:val="16"/>
          <w:rtl/>
        </w:rPr>
        <w:t xml:space="preserve">(גיטין פו.) </w:t>
      </w:r>
      <w:r>
        <w:rPr>
          <w:rtl/>
        </w:rPr>
        <w:t xml:space="preserve">גבי שלשה גיטין כתב בכתב ידו ואין עליו עדים - כשר, ומפרש בירושלמי </w:t>
      </w:r>
      <w:r>
        <w:rPr>
          <w:sz w:val="16"/>
          <w:szCs w:val="16"/>
          <w:rtl/>
        </w:rPr>
        <w:t xml:space="preserve">(שם פ"ט ה"ג) </w:t>
      </w:r>
      <w:r>
        <w:rPr>
          <w:rtl/>
        </w:rPr>
        <w:t xml:space="preserve">שלשה גיטין הללו גובין מבני חורין, ואי אפשר לפרש חתם ידו, דדומיא דכתב סופר </w:t>
      </w:r>
      <w:r>
        <w:rPr>
          <w:sz w:val="16"/>
          <w:szCs w:val="16"/>
          <w:rtl/>
        </w:rPr>
        <w:t xml:space="preserve">(שם פז:) </w:t>
      </w:r>
      <w:r>
        <w:rPr>
          <w:rtl/>
        </w:rPr>
        <w:t xml:space="preserve">קאמר, מה התם כתב ולא חתם אף זה כן. ועוד מדפליגי </w:t>
      </w:r>
      <w:r>
        <w:rPr>
          <w:sz w:val="16"/>
          <w:szCs w:val="16"/>
          <w:rtl/>
        </w:rPr>
        <w:t xml:space="preserve">(דף כו, פו: - פז.) </w:t>
      </w:r>
      <w:r>
        <w:rPr>
          <w:rtl/>
        </w:rPr>
        <w:t>בטופסא דספרא שמע מינה טופסא דידיה בלא חתימה כשר, וכן נראה מפירוש רש"י, רמב"ן</w:t>
      </w:r>
      <w:r>
        <w:rPr>
          <w:sz w:val="16"/>
          <w:szCs w:val="16"/>
          <w:rtl/>
        </w:rPr>
        <w:t xml:space="preserve"> (כ"כ בעל התרומות בשמו)</w:t>
      </w:r>
      <w:r>
        <w:rPr>
          <w:rtl/>
        </w:rPr>
        <w:t>.</w:t>
      </w:r>
    </w:p>
  </w:footnote>
  <w:footnote w:id="5522">
    <w:p w14:paraId="645DFD63" w14:textId="77777777" w:rsidR="0013116F" w:rsidRDefault="0013116F" w:rsidP="0004348D">
      <w:pPr>
        <w:pStyle w:val="a9"/>
        <w:rPr>
          <w:rtl/>
        </w:rPr>
      </w:pPr>
      <w:r>
        <w:rPr>
          <w:rStyle w:val="ab"/>
        </w:rPr>
        <w:footnoteRef/>
      </w:r>
      <w:r>
        <w:rPr>
          <w:rtl/>
        </w:rPr>
        <w:t xml:space="preserve"> ולענין דינו של רש"י, שכתב להוציא עליו כתב ידו ולא היה שמו חתום בו אלא שנתנו בפני עדים וזה טוען שלא נתחייב לו ולא הודה לו מעולם אלא שכתב כעין מזכרת מהסך או על פי אחר שהיה רוצה לחתום בו וכעין טופסי דשטרי בעלמא - היה אומר ר"ת בשם רבותיו דלא מהני כיון שלא חתם לא בתחלה ולא בסוף, וכ"כ בעל העיטור (דיני עסקא וחוב יג ע"ג), ואפילו נתקיים בבית דין שזה כתב ידו, אלא שמצאתי לרבינו הרמב"ן (שו"ת שם) כתיבת ידו שחתם בראש המגלה ולא בסופה פסול, מההיא דלא ליחתום אינש אלא בריש מגלתא ומעובדא דאביי עם ההוא כוזבנא, אבל אם טופס השטר הוא כתב ידו כשר, ואפילו לא היה חתום בו אלא שכתב בכתב ידו לויתי מפלוני כשר, וראיה ממתניתין דפרק המגרש שלשה גיטין פסולים וכו' וכתב ידו דומיא דכתב סופר קאמר מה התם כתב ולא חתם אף זה כן ועוד מדאיפליגו בטופסא דשטרא וכו' וכן נראה מפירוש רש"י ומכאן אני דן שהשותפין מוציאין זה על זה בכתב ידן עכ"ל, ושפתים ישק, אבל סוגיא דגיטין</w:t>
      </w:r>
      <w:r>
        <w:rPr>
          <w:sz w:val="16"/>
          <w:szCs w:val="16"/>
          <w:rtl/>
        </w:rPr>
        <w:t xml:space="preserve"> {מיירי}</w:t>
      </w:r>
      <w:r>
        <w:rPr>
          <w:rtl/>
        </w:rPr>
        <w:t xml:space="preserve"> כשהבעל מודה או שיש עדים שנתנו לה לגירושין, ודכוותה אמרינן בירושלמי (שם) שגובין בשטרות, אבל-...</w:t>
      </w:r>
    </w:p>
  </w:footnote>
  <w:footnote w:id="5523">
    <w:p w14:paraId="04CEA206" w14:textId="77777777" w:rsidR="0013116F" w:rsidRDefault="0013116F" w:rsidP="0004348D">
      <w:pPr>
        <w:pStyle w:val="a9"/>
        <w:rPr>
          <w:rtl/>
        </w:rPr>
      </w:pPr>
      <w:r>
        <w:rPr>
          <w:rStyle w:val="ab"/>
        </w:rPr>
        <w:footnoteRef/>
      </w:r>
      <w:r>
        <w:rPr>
          <w:rtl/>
        </w:rPr>
        <w:t xml:space="preserve"> </w:t>
      </w:r>
      <w:r>
        <w:rPr>
          <w:rFonts w:hint="cs"/>
          <w:rtl/>
        </w:rPr>
        <w:t>וכתב הב"י ש</w:t>
      </w:r>
      <w:r>
        <w:rPr>
          <w:rtl/>
        </w:rPr>
        <w:t>המקצר תשובות דפוס דילג רוב התשובה וכמעט שגנבה כולה ושינה הכוונה לגמרי. וכמו שכתבתי כך מצאתיה בספר כתיבת יד. עכ"ל.</w:t>
      </w:r>
    </w:p>
  </w:footnote>
  <w:footnote w:id="5524">
    <w:p w14:paraId="062A789B" w14:textId="77777777" w:rsidR="0013116F" w:rsidRDefault="0013116F" w:rsidP="0004348D">
      <w:pPr>
        <w:pStyle w:val="a9"/>
      </w:pPr>
      <w:r>
        <w:rPr>
          <w:rStyle w:val="ab"/>
        </w:rPr>
        <w:footnoteRef/>
      </w:r>
      <w:r>
        <w:rPr>
          <w:rtl/>
        </w:rPr>
        <w:t xml:space="preserve"> אבל מדברי התוס' </w:t>
      </w:r>
      <w:r>
        <w:rPr>
          <w:sz w:val="16"/>
          <w:szCs w:val="16"/>
          <w:rtl/>
        </w:rPr>
        <w:t xml:space="preserve">(פרק גט פשוט קסג: ד"ה שיטה אחת נמי פסול) </w:t>
      </w:r>
      <w:r>
        <w:rPr>
          <w:rtl/>
        </w:rPr>
        <w:t xml:space="preserve">והרא"ש </w:t>
      </w:r>
      <w:r>
        <w:rPr>
          <w:sz w:val="16"/>
          <w:szCs w:val="16"/>
          <w:rtl/>
        </w:rPr>
        <w:t xml:space="preserve">(שם סי' ב) </w:t>
      </w:r>
      <w:r>
        <w:rPr>
          <w:rtl/>
        </w:rPr>
        <w:t xml:space="preserve">גבי מה שהקשו בעד שחתם עצמו באמצע שיטה, ניחוש שמא יעשה זיוף על העד עצמו, ותנן הוציא עליו כתב ידו גובה מבני חורין, ותירצו דמ"מ לא נפסל שטרא בהכי, כיון שאינו יכול לעשות חוב על אחר, וכ"כ המרדכי שם </w:t>
      </w:r>
      <w:r>
        <w:rPr>
          <w:sz w:val="16"/>
          <w:szCs w:val="16"/>
          <w:rtl/>
        </w:rPr>
        <w:t xml:space="preserve">[סי' תרמג] </w:t>
      </w:r>
      <w:r>
        <w:rPr>
          <w:rtl/>
        </w:rPr>
        <w:t xml:space="preserve">בשם ר"י, וכ"כ הנמוק"י שם </w:t>
      </w:r>
      <w:r>
        <w:rPr>
          <w:sz w:val="16"/>
          <w:szCs w:val="16"/>
          <w:rtl/>
        </w:rPr>
        <w:t xml:space="preserve">[עו. מדפה"ר] </w:t>
      </w:r>
      <w:r>
        <w:rPr>
          <w:rtl/>
        </w:rPr>
        <w:t xml:space="preserve">בשם ר"ת ובשם הריטב"א עם הסכמת רבותיו, וכ"כ רי"ו </w:t>
      </w:r>
      <w:r>
        <w:rPr>
          <w:sz w:val="16"/>
          <w:szCs w:val="16"/>
          <w:rtl/>
        </w:rPr>
        <w:t>(מישרים נ"ד ח"ג)</w:t>
      </w:r>
      <w:r>
        <w:rPr>
          <w:rtl/>
        </w:rPr>
        <w:t xml:space="preserve">, א"כ מוכח מכל הפוסקים הנ"ל דלא כהגהת אשר"י בשם ריב"ם, ש"ך </w:t>
      </w:r>
      <w:r>
        <w:rPr>
          <w:sz w:val="16"/>
          <w:szCs w:val="16"/>
          <w:rtl/>
        </w:rPr>
        <w:t>(סק"ב)</w:t>
      </w:r>
      <w:r>
        <w:rPr>
          <w:rtl/>
        </w:rPr>
        <w:t>.</w:t>
      </w:r>
    </w:p>
  </w:footnote>
  <w:footnote w:id="5525">
    <w:p w14:paraId="26617D2B" w14:textId="77777777" w:rsidR="0013116F" w:rsidRDefault="0013116F" w:rsidP="0004348D">
      <w:pPr>
        <w:pStyle w:val="a9"/>
        <w:rPr>
          <w:rtl/>
        </w:rPr>
      </w:pPr>
      <w:r>
        <w:rPr>
          <w:rStyle w:val="ab"/>
        </w:rPr>
        <w:footnoteRef/>
      </w:r>
      <w:r>
        <w:rPr>
          <w:rtl/>
        </w:rPr>
        <w:t xml:space="preserve"> משמע דאף דלא טען הוא כן, אנן טענינן ליה הכי..., סמ"ע (סק"ב).</w:t>
      </w:r>
    </w:p>
  </w:footnote>
  <w:footnote w:id="5526">
    <w:p w14:paraId="050BB091" w14:textId="77777777" w:rsidR="0013116F" w:rsidRDefault="0013116F" w:rsidP="0004348D">
      <w:pPr>
        <w:pStyle w:val="a9"/>
        <w:rPr>
          <w:rtl/>
        </w:rPr>
      </w:pPr>
      <w:r>
        <w:rPr>
          <w:rStyle w:val="ab"/>
        </w:rPr>
        <w:footnoteRef/>
      </w:r>
      <w:r>
        <w:rPr>
          <w:rtl/>
        </w:rPr>
        <w:t xml:space="preserve"> פירוש, כשהכתב ניכר שהוא כתב ידו אינו נאמן לומר 'לא לויתי מעולם אלא להשטות או שלא להשביע כיונתי בכתיבתי זאת', דאין אדם נאמן בטענות הללו כי אם בהודאה על פה, ולא ע"פ כתיבת ידו, וכמ"ש הטור והמחבר סי' פא סע' יז, סמ"ע (סק"ג).</w:t>
      </w:r>
    </w:p>
  </w:footnote>
  <w:footnote w:id="5527">
    <w:p w14:paraId="2C816B44" w14:textId="77777777" w:rsidR="0013116F" w:rsidRDefault="0013116F" w:rsidP="0004348D">
      <w:pPr>
        <w:pStyle w:val="a9"/>
        <w:rPr>
          <w:rtl/>
        </w:rPr>
      </w:pPr>
      <w:r>
        <w:rPr>
          <w:rStyle w:val="ab"/>
        </w:rPr>
        <w:footnoteRef/>
      </w:r>
      <w:r>
        <w:rPr>
          <w:rtl/>
        </w:rPr>
        <w:t xml:space="preserve"> </w:t>
      </w:r>
      <w:r>
        <w:rPr>
          <w:rFonts w:hint="cs"/>
          <w:rtl/>
        </w:rPr>
        <w:t xml:space="preserve">כתב הש"ך (סק"ה) שהג"ה זו </w:t>
      </w:r>
      <w:r>
        <w:rPr>
          <w:rtl/>
        </w:rPr>
        <w:t>שייכא לסעיף ב' אחר אין לו אלא דין מלוה על פה כו'.</w:t>
      </w:r>
    </w:p>
  </w:footnote>
  <w:footnote w:id="5528">
    <w:p w14:paraId="7BFCD934" w14:textId="77777777" w:rsidR="0013116F" w:rsidRDefault="0013116F" w:rsidP="0004348D">
      <w:pPr>
        <w:pStyle w:val="a9"/>
        <w:rPr>
          <w:rtl/>
        </w:rPr>
      </w:pPr>
      <w:r>
        <w:rPr>
          <w:rStyle w:val="ab"/>
        </w:rPr>
        <w:footnoteRef/>
      </w:r>
      <w:r>
        <w:rPr>
          <w:rtl/>
        </w:rPr>
        <w:t xml:space="preserve"> </w:t>
      </w:r>
      <w:r>
        <w:rPr>
          <w:rFonts w:hint="cs"/>
          <w:rtl/>
        </w:rPr>
        <w:t>סימן - עשה בקולמוסו התחייבות.</w:t>
      </w:r>
    </w:p>
  </w:footnote>
  <w:footnote w:id="5529">
    <w:p w14:paraId="2E25A75D" w14:textId="77777777" w:rsidR="0013116F" w:rsidRDefault="0013116F" w:rsidP="0004348D">
      <w:pPr>
        <w:pStyle w:val="a9"/>
      </w:pPr>
      <w:r>
        <w:rPr>
          <w:rStyle w:val="ab"/>
        </w:rPr>
        <w:footnoteRef/>
      </w:r>
      <w:r>
        <w:rPr>
          <w:rtl/>
        </w:rPr>
        <w:t xml:space="preserve"> דכמלוה בעדים על פה דמי, רי"ף (פג.) ורא"ש (סי' מט, ובתשו' כלל סז סי' א).</w:t>
      </w:r>
    </w:p>
  </w:footnote>
  <w:footnote w:id="5530">
    <w:p w14:paraId="75925DD8" w14:textId="77777777" w:rsidR="0013116F" w:rsidRDefault="0013116F" w:rsidP="0004348D">
      <w:pPr>
        <w:pStyle w:val="a9"/>
        <w:rPr>
          <w:rtl/>
        </w:rPr>
      </w:pPr>
      <w:r>
        <w:rPr>
          <w:rStyle w:val="ab"/>
        </w:rPr>
        <w:footnoteRef/>
      </w:r>
      <w:r>
        <w:rPr>
          <w:rtl/>
        </w:rPr>
        <w:t xml:space="preserve"> רי"ף </w:t>
      </w:r>
      <w:r>
        <w:rPr>
          <w:sz w:val="16"/>
          <w:szCs w:val="16"/>
          <w:rtl/>
        </w:rPr>
        <w:t xml:space="preserve">(פג.) </w:t>
      </w:r>
      <w:r>
        <w:rPr>
          <w:rtl/>
        </w:rPr>
        <w:t xml:space="preserve">רמב"ם </w:t>
      </w:r>
      <w:r>
        <w:rPr>
          <w:sz w:val="16"/>
          <w:szCs w:val="16"/>
          <w:rtl/>
        </w:rPr>
        <w:t xml:space="preserve">(פי"א ממלוה ה"ג) </w:t>
      </w:r>
      <w:r>
        <w:rPr>
          <w:rtl/>
        </w:rPr>
        <w:t xml:space="preserve">רמב"ן </w:t>
      </w:r>
      <w:r>
        <w:rPr>
          <w:sz w:val="16"/>
          <w:szCs w:val="16"/>
          <w:rtl/>
        </w:rPr>
        <w:t xml:space="preserve">(במלחמות פב:) </w:t>
      </w:r>
      <w:r>
        <w:rPr>
          <w:rtl/>
        </w:rPr>
        <w:t xml:space="preserve">בעל התרומות </w:t>
      </w:r>
      <w:r>
        <w:rPr>
          <w:sz w:val="16"/>
          <w:szCs w:val="16"/>
          <w:rtl/>
        </w:rPr>
        <w:t xml:space="preserve">(שער יג ח"א סי' ג-ד) </w:t>
      </w:r>
      <w:r>
        <w:rPr>
          <w:rtl/>
        </w:rPr>
        <w:t xml:space="preserve">רא"ש </w:t>
      </w:r>
      <w:r>
        <w:rPr>
          <w:sz w:val="16"/>
          <w:szCs w:val="16"/>
          <w:rtl/>
        </w:rPr>
        <w:t xml:space="preserve">(סי' מט, ובתשו' כלל סז סי' א) </w:t>
      </w:r>
      <w:r>
        <w:rPr>
          <w:rtl/>
        </w:rPr>
        <w:t xml:space="preserve">טור ורשב"ץ </w:t>
      </w:r>
      <w:r>
        <w:rPr>
          <w:sz w:val="16"/>
          <w:szCs w:val="16"/>
          <w:rtl/>
        </w:rPr>
        <w:t>(ח"א סי' לב)</w:t>
      </w:r>
      <w:r>
        <w:rPr>
          <w:rtl/>
        </w:rPr>
        <w:t>.</w:t>
      </w:r>
    </w:p>
  </w:footnote>
  <w:footnote w:id="5531">
    <w:p w14:paraId="0B27171E" w14:textId="77777777" w:rsidR="0013116F" w:rsidRDefault="0013116F" w:rsidP="0004348D">
      <w:pPr>
        <w:pStyle w:val="a9"/>
        <w:rPr>
          <w:rtl/>
        </w:rPr>
      </w:pPr>
      <w:r>
        <w:rPr>
          <w:rStyle w:val="ab"/>
        </w:rPr>
        <w:footnoteRef/>
      </w:r>
      <w:r>
        <w:rPr>
          <w:rtl/>
        </w:rPr>
        <w:t xml:space="preserve"> היינו לומר שאין דין כתב ידו כדין מלוה בשטר שגובה מן היורשים אלא כמלוה על פה שאינו גובה מן היורשים אא"כ חייב מודה או שמתוהו ומת בשמתיה או שהיא בתוך זמנה וכמבואר בסימן זה (סי"ג), ב"י.</w:t>
      </w:r>
    </w:p>
  </w:footnote>
  <w:footnote w:id="5532">
    <w:p w14:paraId="75AE7FE2" w14:textId="77777777" w:rsidR="0013116F" w:rsidRDefault="0013116F" w:rsidP="0004348D">
      <w:pPr>
        <w:pStyle w:val="a9"/>
      </w:pPr>
      <w:r>
        <w:rPr>
          <w:rStyle w:val="ab"/>
        </w:rPr>
        <w:footnoteRef/>
      </w:r>
      <w:r>
        <w:rPr>
          <w:rtl/>
        </w:rPr>
        <w:t xml:space="preserve"> וכתב בעל התרומות (שם) שכן כתבו רב שרירא ורבינו האי. וכתב הה"מ (שם) שזו היא סברת הגאונים ורוב המפרשים האחרונים ושלא כדברי הרשב"א והרז"ה </w:t>
      </w:r>
      <w:r>
        <w:rPr>
          <w:sz w:val="16"/>
          <w:szCs w:val="16"/>
          <w:rtl/>
        </w:rPr>
        <w:t>(במאור פב:)</w:t>
      </w:r>
      <w:r>
        <w:rPr>
          <w:rtl/>
        </w:rPr>
        <w:t xml:space="preserve"> שסוברים כהרמ"ה </w:t>
      </w:r>
      <w:r>
        <w:rPr>
          <w:sz w:val="16"/>
          <w:szCs w:val="16"/>
          <w:rtl/>
        </w:rPr>
        <w:t>(ב"ב קעו. סי' קמט)</w:t>
      </w:r>
      <w:r>
        <w:rPr>
          <w:rtl/>
        </w:rPr>
        <w:t>.</w:t>
      </w:r>
    </w:p>
  </w:footnote>
  <w:footnote w:id="5533">
    <w:p w14:paraId="426D04D3" w14:textId="77777777" w:rsidR="0013116F" w:rsidRDefault="0013116F" w:rsidP="0004348D">
      <w:pPr>
        <w:pStyle w:val="a9"/>
      </w:pPr>
      <w:r>
        <w:rPr>
          <w:rStyle w:val="ab"/>
        </w:rPr>
        <w:footnoteRef/>
      </w:r>
      <w:r>
        <w:rPr>
          <w:rtl/>
        </w:rPr>
        <w:t xml:space="preserve"> וכתב נמוק"י (ס"פ המוכר את הבית לז: דבור ראשון) בשם הריטב"א (שבועות מא. ד"ה ואם) שכדברי הרשב"א נראה עיקר אלא שכבר פשט המנהג בזה בכל גלילותינו כדברי הרמב"ם עכ"ל. ועיין בתשובת הרא"ש כלל ק"ז סימן ו', ב"י. וכתב הדרכ"מ (אות ב) דכ"כ המרדכי ס"פ גט פשוט (סי' תרנה) דהואיל ואיכא פלוגתא דרבוותא מספיקא לא מפקינן ממונא. </w:t>
      </w:r>
    </w:p>
  </w:footnote>
  <w:footnote w:id="5534">
    <w:p w14:paraId="6B5EF914" w14:textId="77777777" w:rsidR="0013116F" w:rsidRDefault="0013116F" w:rsidP="0004348D">
      <w:pPr>
        <w:pStyle w:val="a9"/>
        <w:rPr>
          <w:rtl/>
        </w:rPr>
      </w:pPr>
      <w:r>
        <w:rPr>
          <w:rStyle w:val="ab"/>
          <w:color w:val="FF0000"/>
        </w:rPr>
        <w:footnoteRef/>
      </w:r>
      <w:r>
        <w:rPr>
          <w:color w:val="FF0000"/>
          <w:rtl/>
        </w:rPr>
        <w:t xml:space="preserve"> צל"ע אם התשובות מיימוניות </w:t>
      </w:r>
      <w:r>
        <w:rPr>
          <w:color w:val="FF0000"/>
          <w:sz w:val="16"/>
          <w:szCs w:val="16"/>
          <w:rtl/>
        </w:rPr>
        <w:t>(ספר משפטים סי' לח)</w:t>
      </w:r>
      <w:r>
        <w:rPr>
          <w:color w:val="FF0000"/>
          <w:rtl/>
        </w:rPr>
        <w:t xml:space="preserve"> חולק בזה </w:t>
      </w:r>
      <w:r>
        <w:rPr>
          <w:color w:val="FF0000"/>
          <w:sz w:val="16"/>
          <w:szCs w:val="16"/>
          <w:rtl/>
        </w:rPr>
        <w:t>(הביאו הב"י)</w:t>
      </w:r>
      <w:r>
        <w:rPr>
          <w:rtl/>
        </w:rPr>
        <w:t xml:space="preserve"> וז"ל- כתב ידו שכתוב בו שלא יהא נאמן לומר פרעתי, לגבי יורשים לא מהני נאמנות כדאיתא בפרק הכותב </w:t>
      </w:r>
      <w:r>
        <w:rPr>
          <w:sz w:val="16"/>
          <w:szCs w:val="16"/>
          <w:rtl/>
        </w:rPr>
        <w:t xml:space="preserve">(כתובות פז.) </w:t>
      </w:r>
      <w:r>
        <w:rPr>
          <w:rtl/>
        </w:rPr>
        <w:t xml:space="preserve">והילכך טענינן להו דילמא פרע אבוהון. עכ"ל. ואולי אינם חולקים אלא בעל התרומות מדבר במקרה שכתוב בפירוש שיהיה נאמן גם גבי היורשים, דאז מהני. ובתשו' מיימוניות מיירי היכא שכתוב סתם נאמנות, דאז לא מהני גבי יורשים. </w:t>
      </w:r>
    </w:p>
  </w:footnote>
  <w:footnote w:id="5535">
    <w:p w14:paraId="358659B8" w14:textId="77777777" w:rsidR="0013116F" w:rsidRDefault="0013116F" w:rsidP="0004348D">
      <w:pPr>
        <w:pStyle w:val="a9"/>
      </w:pPr>
      <w:r>
        <w:rPr>
          <w:rStyle w:val="ab"/>
        </w:rPr>
        <w:footnoteRef/>
      </w:r>
      <w:r>
        <w:rPr>
          <w:rtl/>
        </w:rPr>
        <w:t xml:space="preserve"> הב"י כתב שהטור שם סתם הדברים כדעת בעל התרומות לגבי שטר, משמע דהכי סבירא ליה, וכל שכן לענין כתב ידו.</w:t>
      </w:r>
    </w:p>
  </w:footnote>
  <w:footnote w:id="5536">
    <w:p w14:paraId="7E2CBF95" w14:textId="77777777" w:rsidR="0013116F" w:rsidRDefault="0013116F" w:rsidP="0004348D">
      <w:pPr>
        <w:pStyle w:val="a9"/>
      </w:pPr>
      <w:r>
        <w:rPr>
          <w:rStyle w:val="ab"/>
        </w:rPr>
        <w:footnoteRef/>
      </w:r>
      <w:r>
        <w:rPr>
          <w:rtl/>
        </w:rPr>
        <w:t xml:space="preserve"> וכתב הרשב"ץ </w:t>
      </w:r>
      <w:r>
        <w:rPr>
          <w:sz w:val="16"/>
          <w:szCs w:val="16"/>
          <w:rtl/>
        </w:rPr>
        <w:t>(ח"א סי' לב)</w:t>
      </w:r>
      <w:r>
        <w:rPr>
          <w:rtl/>
        </w:rPr>
        <w:t xml:space="preserve"> דה"ה אם הוציא עליו כתב ידו ואמר לא לויתי, אם יש עדים שהוא כתב ידו - הוחזק כפרן וישלם.</w:t>
      </w:r>
    </w:p>
  </w:footnote>
  <w:footnote w:id="5537">
    <w:p w14:paraId="15BEABDF" w14:textId="77777777" w:rsidR="0013116F" w:rsidRDefault="0013116F" w:rsidP="0004348D">
      <w:pPr>
        <w:pStyle w:val="a9"/>
        <w:rPr>
          <w:rtl/>
        </w:rPr>
      </w:pPr>
      <w:r>
        <w:rPr>
          <w:rStyle w:val="ab"/>
        </w:rPr>
        <w:footnoteRef/>
      </w:r>
      <w:r>
        <w:rPr>
          <w:rtl/>
        </w:rPr>
        <w:t xml:space="preserve"> ועיין בדברי רבינו סימן ס"ד, ב"י.</w:t>
      </w:r>
    </w:p>
  </w:footnote>
  <w:footnote w:id="5538">
    <w:p w14:paraId="4ED43D7D" w14:textId="77777777" w:rsidR="0013116F" w:rsidRDefault="0013116F" w:rsidP="0004348D">
      <w:pPr>
        <w:pStyle w:val="a9"/>
        <w:rPr>
          <w:rtl/>
        </w:rPr>
      </w:pPr>
      <w:r>
        <w:rPr>
          <w:rStyle w:val="ab"/>
        </w:rPr>
        <w:footnoteRef/>
      </w:r>
      <w:r>
        <w:rPr>
          <w:rtl/>
        </w:rPr>
        <w:t xml:space="preserve"> וז"ל- היכא דטעין בודאי זו חתימת ידי אבל מעולם לא חתמתי על הודאת הלואה אבל כתבתי שמי בסוף מגלה ואפשר שמצאה זה וכתב עליה הודאה זו, מסתברא מילתא דאי אתי בספק על ההלואה וודאי על החתימה הויא לה החתימה ודאי ואיני יודע אם לויתי ספק ואין ספק מוציא מידי ודאי, אבל כי טעין ברי לי שלא לויתי אלא שחתמתי בסוף מגלה זו והנחתיה ביד בעל דיני והוא כתב מה שרצה עליה או שטען אמנה היתה בינו לביני הודאה זו, בכל אלו וכיוצא בהן הואיל ולא עקר ולא כפר כתב ידו מגו דיכיל למיטען פרעתי אי אמר הכי והכי הוה מעשה - מיפטר בשבועת היסת.</w:t>
      </w:r>
    </w:p>
  </w:footnote>
  <w:footnote w:id="5539">
    <w:p w14:paraId="3F47B615" w14:textId="77777777" w:rsidR="0013116F" w:rsidRDefault="0013116F" w:rsidP="0004348D">
      <w:pPr>
        <w:pStyle w:val="a9"/>
      </w:pPr>
      <w:r>
        <w:rPr>
          <w:rStyle w:val="ab"/>
        </w:rPr>
        <w:footnoteRef/>
      </w:r>
      <w:r>
        <w:rPr>
          <w:rtl/>
        </w:rPr>
        <w:t xml:space="preserve"> </w:t>
      </w:r>
      <w:r>
        <w:rPr>
          <w:rFonts w:hint="cs"/>
          <w:rtl/>
        </w:rPr>
        <w:t>הב"י כתב כן גם בשם ה</w:t>
      </w:r>
      <w:r>
        <w:rPr>
          <w:rtl/>
        </w:rPr>
        <w:t xml:space="preserve">רא"ש </w:t>
      </w:r>
      <w:r>
        <w:rPr>
          <w:sz w:val="16"/>
          <w:szCs w:val="16"/>
          <w:rtl/>
        </w:rPr>
        <w:t>(פ"ב דכתובות סי' יז)</w:t>
      </w:r>
      <w:r>
        <w:rPr>
          <w:rtl/>
        </w:rPr>
        <w:t xml:space="preserve">. </w:t>
      </w:r>
      <w:r>
        <w:rPr>
          <w:color w:val="FF0000"/>
          <w:rtl/>
        </w:rPr>
        <w:t>אך צל"ע משום שלא הצלחתי להבין מדוע הוציא כן מדבריו.</w:t>
      </w:r>
    </w:p>
  </w:footnote>
  <w:footnote w:id="5540">
    <w:p w14:paraId="3D211D05" w14:textId="77777777" w:rsidR="0013116F" w:rsidRDefault="0013116F" w:rsidP="0004348D">
      <w:pPr>
        <w:pStyle w:val="a9"/>
      </w:pPr>
      <w:r>
        <w:rPr>
          <w:rStyle w:val="ab"/>
        </w:rPr>
        <w:footnoteRef/>
      </w:r>
      <w:r>
        <w:rPr>
          <w:rtl/>
        </w:rPr>
        <w:t xml:space="preserve"> וכתב בעל התרומות דהיינו היכא דטעין 'ברי לי שלא לויתי וכו', אבל אי אתי בספק על ההלואה וודאי על החתימה הויא לה החתימה ודאי ואיני יודע אם לויתי ספק ואין ספק מוציא מידי ודאי.</w:t>
      </w:r>
      <w:r>
        <w:rPr>
          <w:color w:val="00B0F0"/>
          <w:rtl/>
        </w:rPr>
        <w:t xml:space="preserve"> (וכ"פ הרמ"א)</w:t>
      </w:r>
      <w:r>
        <w:rPr>
          <w:rtl/>
        </w:rPr>
        <w:t xml:space="preserve"> </w:t>
      </w:r>
    </w:p>
  </w:footnote>
  <w:footnote w:id="5541">
    <w:p w14:paraId="3A63170B" w14:textId="77777777" w:rsidR="0013116F" w:rsidRDefault="0013116F" w:rsidP="0004348D">
      <w:pPr>
        <w:pStyle w:val="a9"/>
      </w:pPr>
      <w:r>
        <w:rPr>
          <w:rStyle w:val="ab"/>
        </w:rPr>
        <w:footnoteRef/>
      </w:r>
      <w:r>
        <w:rPr>
          <w:rtl/>
        </w:rPr>
        <w:t xml:space="preserve"> והביא הב"י את תשובת מהר"ר אליה מזרחי ז"ל (ח"א סי' סא) שהאריך לחלוק על פסק זה וכתב דאין הפרש בין שטר בעדים מקוים לכתב ידו שהוחזק בבית דין שהוא כתב ידו אלא לגבות מלקוחות אבל משאר מילי כגון טענת מזויף או רבית או אמנה או כתבתי ללוות ולא לויתי אין הבדל ביניהם כלל והביא ראיות מדברי הפוסקים וטענותיהם </w:t>
      </w:r>
      <w:r>
        <w:rPr>
          <w:sz w:val="16"/>
          <w:szCs w:val="16"/>
          <w:rtl/>
        </w:rPr>
        <w:t>(עיין בב"י שהביא תשובתו באורך)</w:t>
      </w:r>
      <w:r>
        <w:rPr>
          <w:rtl/>
        </w:rPr>
        <w:t xml:space="preserve"> וסיים הרא"ם וז"ל- ומכיון שלא נמצא שום פוסק שיאמר כדברי הטור היאך נניח דברי כל הפוסקים ונתפוס דבריו לבד שהם מועתקים מבעל התרומות שכתב והיכא דטעין ואמר בודאי דא היא חתימת ידי וכו' עד וכסברא קמייתא מסתברא כוותיה עבדינן והם דברים תמוהים מאד מפני שהקושיא שהקשו בעלי הסברא השנית לבעלי הסברא הראשונה לא תירצו בה ולא מידי שמה שהשיבו בזה שלא נאמרו דברי אביי אלא לשמא ישכח חתימתו ויאמר לא לויתי מעולם כפי האמת ושוב לא יוכל לומר פרעתי אינו מחוור... ואם כן על כרחין לומר דלא מצי למיטען על כתב ידו שהוחזק בבית דין לא טענת אמנה ולא טענת שכחתי וחתמתי שמי בסוף המגלה עכ"ל. וכתב הב"י לאחר שהביא תשובתו וז"ל- אח"כ שמעתי שהרב הנזכר חזר בו מתשובה זו בסוף ימיו. </w:t>
      </w:r>
    </w:p>
  </w:footnote>
  <w:footnote w:id="5542">
    <w:p w14:paraId="0677CCC1" w14:textId="77777777" w:rsidR="0013116F" w:rsidRDefault="0013116F" w:rsidP="0004348D">
      <w:pPr>
        <w:pStyle w:val="a9"/>
        <w:rPr>
          <w:rtl/>
        </w:rPr>
      </w:pPr>
      <w:r>
        <w:rPr>
          <w:rStyle w:val="ab"/>
        </w:rPr>
        <w:footnoteRef/>
      </w:r>
      <w:r>
        <w:rPr>
          <w:rtl/>
        </w:rPr>
        <w:t xml:space="preserve"> וכתב בעל התרומות שיש חולקים אלו מביאין ראיה מדאמרינן בפ"ב דכתובות (כא.) ודוקא אחספא אבל אמגלתא לא דילמא משכח לה אינש דלא מעלי וכתב עלה מאי דבעי וכו' דאלמא אע"ג דטעין האי ואמר חתמתי בסוף מגלה זו ובא זה וכתב על חתימתי אינו נאמן בשבועתו, ויש לומר דאם יזכור העיקר ויטעון האמת אין הכי נמי דמשתבע ומיפטר אבל חיישינן שמא ישכח ענין חתימתו ויאמר לא לויתי מעולם שכן הוא האמת וכל האומר לא לויתי כאומר לא פרעתי (ב"ב ו.) וכיון שיקיים הלה חתימת ידו יתחייב לפרעו. עכ"ל בעת התרומות. וסיים שם בעל התרומות דמסתברא כסברא ראשונה דמהימן במגו.</w:t>
      </w:r>
    </w:p>
  </w:footnote>
  <w:footnote w:id="5543">
    <w:p w14:paraId="3CF6ADBA" w14:textId="77777777" w:rsidR="0013116F" w:rsidRDefault="0013116F" w:rsidP="0004348D">
      <w:pPr>
        <w:pStyle w:val="a9"/>
        <w:rPr>
          <w:rtl/>
        </w:rPr>
      </w:pPr>
      <w:r>
        <w:rPr>
          <w:rStyle w:val="ab"/>
        </w:rPr>
        <w:footnoteRef/>
      </w:r>
      <w:r>
        <w:rPr>
          <w:rtl/>
        </w:rPr>
        <w:t xml:space="preserve"> מה שטען רב שרירא כיון דקיום שטרות דרבנן וכו' יש לתמוה דאדרבה כיון דמדאורייתא לא הוה בעי קיום ורבנן הוא דאצרכוה קיום יש להקל בו. ואפשר שהוא ז"ל היה מפרש דקיום שטרות דרבנן היינו לומר דמדאורייתא לא הוה לן למיסמך אסהדי דבשטרא אלא דרבנן אמרי למיסמך עלייהו. וכך הם דברי הרמב"ם בפ"ג מהל' עדות (ה"ד), ב"י.</w:t>
      </w:r>
    </w:p>
  </w:footnote>
  <w:footnote w:id="5544">
    <w:p w14:paraId="5E739973" w14:textId="77777777" w:rsidR="0013116F" w:rsidRDefault="0013116F" w:rsidP="0004348D">
      <w:pPr>
        <w:pStyle w:val="a9"/>
      </w:pPr>
      <w:r>
        <w:rPr>
          <w:rStyle w:val="ab"/>
        </w:rPr>
        <w:footnoteRef/>
      </w:r>
      <w:r>
        <w:rPr>
          <w:rtl/>
        </w:rPr>
        <w:t xml:space="preserve"> </w:t>
      </w:r>
      <w:r>
        <w:rPr>
          <w:rFonts w:hint="cs"/>
          <w:rtl/>
        </w:rPr>
        <w:t>וכותבין גם כן הנפק בכתב ידו כמו בחתימת העדים, ריב"ש (סי' תנד, הביאו הדרכ"מ אות ד).</w:t>
      </w:r>
    </w:p>
  </w:footnote>
  <w:footnote w:id="5545">
    <w:p w14:paraId="13D2CBAA" w14:textId="77777777" w:rsidR="0013116F" w:rsidRDefault="0013116F" w:rsidP="0004348D">
      <w:pPr>
        <w:pStyle w:val="a9"/>
        <w:rPr>
          <w:rtl/>
        </w:rPr>
      </w:pPr>
      <w:r>
        <w:rPr>
          <w:rStyle w:val="ab"/>
        </w:rPr>
        <w:footnoteRef/>
      </w:r>
      <w:r>
        <w:rPr>
          <w:rtl/>
        </w:rPr>
        <w:t xml:space="preserve"> פירוש, אפילו אם הלוה מודה שלא פרעו, משום דלית ליה קלא, וגם חיישינן לקנוניא, וכמ"ש הטור והמחבר לקמן בסימן ע"א [טור סעיף ל' ומחבר] סעיף י"ט, סמ"ע (סק"ה). והש"ך (סק"ו) כתב דטעם זה דקנוניא אינו מדוקדק, דמאי קנוניא שייך כאן </w:t>
      </w:r>
      <w:r>
        <w:rPr>
          <w:sz w:val="16"/>
          <w:szCs w:val="16"/>
          <w:rtl/>
        </w:rPr>
        <w:t>(דאם נאמר שפרע לו והחזיר לו הכת"י וחזר ונתן הכת"י למלוה, א"כ גם במלוה בשטר ניחוש להכי, ואי ניחוש שמא עתה כתב הכת"י, א"כ היכא דהוחזק כתב ידו כבר בב"ד ליגבי מהלקוחות, ובש"ס סוף ב"ב [קעו.] מוכח דבכל ענין אינו גובה מלקוחות, וכן משמע בכל הפוסקים, ובעלמא לא חיישינן לקנוניא אלא היכא דנפל ואיתרע, כדלעיל סימן ס"ה [סעיף ו'] ושאר דוכתי, וכן לקמן סימן ע"א סעיף י"ט] לא חיישינן לקנוניא בשבועה אלא לענין דהמלוה צריך לישבע, אבל בשבועה מיהא גבי)</w:t>
      </w:r>
      <w:r>
        <w:rPr>
          <w:rtl/>
        </w:rPr>
        <w:t xml:space="preserve"> אלא הכא עיקר טעמא הוא משום דלית ליה קלא. </w:t>
      </w:r>
    </w:p>
  </w:footnote>
  <w:footnote w:id="5546">
    <w:p w14:paraId="18DBE80A" w14:textId="77777777" w:rsidR="0013116F" w:rsidRDefault="0013116F" w:rsidP="0004348D">
      <w:pPr>
        <w:pStyle w:val="a9"/>
        <w:rPr>
          <w:rtl/>
        </w:rPr>
      </w:pPr>
      <w:r>
        <w:rPr>
          <w:rStyle w:val="ab"/>
        </w:rPr>
        <w:footnoteRef/>
      </w:r>
      <w:r>
        <w:rPr>
          <w:rtl/>
        </w:rPr>
        <w:t xml:space="preserve"> והיינו דוקא בכתב ידו, אבל אשטר בעדים אין נשבעין שבועה דאורייתא, וכמ"ש הטור והמחבר לקמן בסוף סימן פ"ח [טור סעיף ל"ט - מ' ומחבר] סעיף כ"ט. וע"ש בטור סעיף ל"ח בפרישה ודרישה וסמ"ע [סקנ"ג] מה שכתבתי לדעת (שם) התוס' [ב"מ ד' ע"ב ד"ה אין] והרא"ש [שבועות פ"ה סי' ג'] והטור [שם] דס"ל דאפילו במלוה ע"פ אין נשבעין שבועה דאורייתא, וכל שכן בכתיבת יד אליבייהו, היכן מצינו שבועה דמודה מקצת ודעד אחד, ע"ש, סמ"ע (סק"ו).</w:t>
      </w:r>
    </w:p>
  </w:footnote>
  <w:footnote w:id="5547">
    <w:p w14:paraId="476192B6" w14:textId="77777777" w:rsidR="0013116F" w:rsidRDefault="0013116F" w:rsidP="0004348D">
      <w:pPr>
        <w:pStyle w:val="a9"/>
        <w:rPr>
          <w:rtl/>
        </w:rPr>
      </w:pPr>
      <w:r>
        <w:rPr>
          <w:rStyle w:val="ab"/>
        </w:rPr>
        <w:footnoteRef/>
      </w:r>
      <w:r>
        <w:rPr>
          <w:rtl/>
        </w:rPr>
        <w:t xml:space="preserve"> </w:t>
      </w:r>
      <w:r>
        <w:rPr>
          <w:rFonts w:hint="cs"/>
          <w:rtl/>
        </w:rPr>
        <w:t xml:space="preserve">והש"ך (סקי"ד) האריך בזה והביא הרבה פוסקים ראשונים ואחרונים ממש רובם ככולם דס"ל דנאמן לומר פרעתי בכת"י, ומסיק דכן ראוי להורות, ואפילו קים לי לא מצי התובע לומר אם תפס בעדים, אף דבעלמא בשאר פלוגתא דרבוותא... וכל זה בסתם אבל כשהדיין רואה איזה אומדנא שלא היה מניח הכת"י בידו אם היה פורע – הכל לפי ראות עיני הדיין כמש"כ הר"ב, באה"ט (סק"י).  </w:t>
      </w:r>
    </w:p>
  </w:footnote>
  <w:footnote w:id="5548">
    <w:p w14:paraId="05462A1C" w14:textId="77777777" w:rsidR="0013116F" w:rsidRDefault="0013116F" w:rsidP="0004348D">
      <w:pPr>
        <w:pStyle w:val="a9"/>
      </w:pPr>
      <w:r>
        <w:rPr>
          <w:rStyle w:val="ab"/>
        </w:rPr>
        <w:footnoteRef/>
      </w:r>
      <w:r>
        <w:rPr>
          <w:rtl/>
        </w:rPr>
        <w:t xml:space="preserve"> ואין צריך קנין על הנאמנות. בעל התרומות </w:t>
      </w:r>
      <w:r>
        <w:rPr>
          <w:sz w:val="16"/>
          <w:szCs w:val="16"/>
          <w:rtl/>
        </w:rPr>
        <w:t xml:space="preserve">[שער יג ח"ב ס"ב] </w:t>
      </w:r>
      <w:r>
        <w:rPr>
          <w:rtl/>
        </w:rPr>
        <w:t xml:space="preserve">וטור. ומשמע דאפילו האמינו שלא בשעת הלואה. ודוקא בסתם נאמנות, אבל בנאמנות כבי תרי צריך קנין שלא בשעת הלואה, כדלקמן סי' עא סע' ב, וכ"כ הב"ח </w:t>
      </w:r>
      <w:r>
        <w:rPr>
          <w:sz w:val="16"/>
          <w:szCs w:val="16"/>
          <w:rtl/>
        </w:rPr>
        <w:t>[סע' יא]</w:t>
      </w:r>
      <w:r>
        <w:rPr>
          <w:rtl/>
        </w:rPr>
        <w:t>, ש"ך</w:t>
      </w:r>
      <w:r>
        <w:rPr>
          <w:sz w:val="16"/>
          <w:szCs w:val="16"/>
          <w:rtl/>
        </w:rPr>
        <w:t xml:space="preserve"> (סקי"ט)</w:t>
      </w:r>
      <w:r>
        <w:rPr>
          <w:rtl/>
        </w:rPr>
        <w:t>.</w:t>
      </w:r>
    </w:p>
  </w:footnote>
  <w:footnote w:id="5549">
    <w:p w14:paraId="6FCA2D6A" w14:textId="77777777" w:rsidR="0013116F" w:rsidRDefault="0013116F" w:rsidP="0004348D">
      <w:pPr>
        <w:pStyle w:val="a9"/>
      </w:pPr>
      <w:r>
        <w:rPr>
          <w:rStyle w:val="ab"/>
        </w:rPr>
        <w:footnoteRef/>
      </w:r>
      <w:r>
        <w:rPr>
          <w:rtl/>
        </w:rPr>
        <w:t xml:space="preserve"> ואף אם לא כתב בו שיהא נאמן בלא שבועה, אפילו הכי דינו שנוטל בלא שבועה כדין נאמנות במלוה ע"פ בעדים, וכמ"ש המחבר לקמן בר"ס ע"א, ע"ש [בסמ"ע סק"א] שכתבתי מילתא בטעמא... ואם לא כתב בו שיהא נאמן המלוה, אבל כתב בו שלא יהא נאמן הלוה לומר פרעתי, ואחר כך טוען שפרעו, אזי המלוה נשבע שלא נפרע ונוטל. ולדעת הי"א שכתב מור"ם לפני זה דס"ל דכל כתב ידו אף שלא כתב בו שום דבר, אפ"ה אין הלוה נאמן לומר פרעתי, נראה דמהני זה להמלוה כשכתב בו שלא יהא הלוה נאמן, דיטלנו המלוה בלא שבועה. וכן הדין לכו"ע כשכתב כן בשטר בעדים, וכמ"ש לקמן סימן ע"א, ע"ש ודוק, סמ"ע (סקי"ג).</w:t>
      </w:r>
    </w:p>
  </w:footnote>
  <w:footnote w:id="5550">
    <w:p w14:paraId="3A3D3305" w14:textId="77777777" w:rsidR="0013116F" w:rsidRDefault="0013116F" w:rsidP="0004348D">
      <w:pPr>
        <w:pStyle w:val="a9"/>
        <w:rPr>
          <w:rtl/>
        </w:rPr>
      </w:pPr>
      <w:r>
        <w:rPr>
          <w:rStyle w:val="ab"/>
        </w:rPr>
        <w:footnoteRef/>
      </w:r>
      <w:r>
        <w:rPr>
          <w:rtl/>
        </w:rPr>
        <w:t xml:space="preserve"> דאף שכתב בשטר שהמלוה יהא נאמן, י"ל שפרע והניח השטר ביד המלוה משום דסמך נפשו אזה דאינו יכול לקיימו זולתו, ויהא נאמן לומר פרעתי במיגו דמזויף הוא השטר עם הנאמנות שבו, וכן כתב הטור [סעיף י"ב], ע"ש, סמ"ע (סקי"ד).</w:t>
      </w:r>
    </w:p>
  </w:footnote>
  <w:footnote w:id="5551">
    <w:p w14:paraId="58DB15DD" w14:textId="77777777" w:rsidR="0013116F" w:rsidRDefault="0013116F" w:rsidP="0004348D">
      <w:pPr>
        <w:pStyle w:val="a9"/>
      </w:pPr>
      <w:r>
        <w:rPr>
          <w:rStyle w:val="ab"/>
        </w:rPr>
        <w:footnoteRef/>
      </w:r>
      <w:r>
        <w:rPr>
          <w:rtl/>
        </w:rPr>
        <w:t xml:space="preserve"> דאמאי דקאמר ותנן הוציא עליו כתב ידו שהוא חייב לו גובה מנכסים בני חורין פירש 'וממשעבדי לא, דלית קלא לדבר שאינו עשוי בעדים', ב"י.</w:t>
      </w:r>
    </w:p>
  </w:footnote>
  <w:footnote w:id="5552">
    <w:p w14:paraId="67E2B153" w14:textId="77777777" w:rsidR="0013116F" w:rsidRDefault="0013116F" w:rsidP="0004348D">
      <w:pPr>
        <w:pStyle w:val="a9"/>
        <w:rPr>
          <w:rtl/>
        </w:rPr>
      </w:pPr>
      <w:r>
        <w:rPr>
          <w:rStyle w:val="ab"/>
        </w:rPr>
        <w:footnoteRef/>
      </w:r>
      <w:r>
        <w:rPr>
          <w:rtl/>
        </w:rPr>
        <w:t xml:space="preserve"> שכתב- הוציא עליו כתב ידו שהוא חייב לו ואין שם עדים אע"פ שהוחזק כתב ידו בבית דין הרי זה כמלוה על פה לכל דבר וכו', משמע הא יש עליו עדים דינו כשטר גמור אע"פ שאינו כתוב בלשון שטר אלא מודה אני החתום מטה, ב"י.</w:t>
      </w:r>
    </w:p>
  </w:footnote>
  <w:footnote w:id="5553">
    <w:p w14:paraId="7EB9A885" w14:textId="77777777" w:rsidR="0013116F" w:rsidRDefault="0013116F" w:rsidP="0004348D">
      <w:pPr>
        <w:pStyle w:val="a9"/>
      </w:pPr>
      <w:r>
        <w:rPr>
          <w:rStyle w:val="ab"/>
        </w:rPr>
        <w:footnoteRef/>
      </w:r>
      <w:r>
        <w:rPr>
          <w:rtl/>
        </w:rPr>
        <w:t xml:space="preserve"> שכתב דנאמן לומר פרעתי משום דמתוך שאין עליו עדים לא חשש לתבוע כתב ידו, אלמא דאילו היו עדים חתומים עליו דינו כשטר גמור אע"פ שאינו כתוב בלשון שטר אלא מודה אני החתום וכו', ב"י.</w:t>
      </w:r>
    </w:p>
  </w:footnote>
  <w:footnote w:id="5554">
    <w:p w14:paraId="338301AF" w14:textId="77777777" w:rsidR="0013116F" w:rsidRDefault="0013116F" w:rsidP="0004348D">
      <w:pPr>
        <w:pStyle w:val="a9"/>
        <w:rPr>
          <w:rtl/>
        </w:rPr>
      </w:pPr>
      <w:r>
        <w:rPr>
          <w:rStyle w:val="ab"/>
        </w:rPr>
        <w:footnoteRef/>
      </w:r>
      <w:r>
        <w:rPr>
          <w:rtl/>
        </w:rPr>
        <w:t xml:space="preserve"> רבינו האי </w:t>
      </w:r>
      <w:r>
        <w:rPr>
          <w:sz w:val="16"/>
          <w:szCs w:val="16"/>
          <w:rtl/>
        </w:rPr>
        <w:t>(כ"כ בהעי"ט בשמו [עסקא וחוב יד.], הביאו רי"ו)</w:t>
      </w:r>
      <w:r>
        <w:rPr>
          <w:rtl/>
        </w:rPr>
        <w:t xml:space="preserve"> רש"י </w:t>
      </w:r>
      <w:r>
        <w:rPr>
          <w:sz w:val="16"/>
          <w:szCs w:val="16"/>
          <w:rtl/>
        </w:rPr>
        <w:t xml:space="preserve">(פ"ב דכתובות כא. , כ"כ הב"י בשמו) </w:t>
      </w:r>
      <w:r>
        <w:rPr>
          <w:rtl/>
        </w:rPr>
        <w:t xml:space="preserve">רמב"ם </w:t>
      </w:r>
      <w:r>
        <w:rPr>
          <w:sz w:val="16"/>
          <w:szCs w:val="16"/>
          <w:rtl/>
        </w:rPr>
        <w:t xml:space="preserve">(פי"א מהל' מלוה ה"ג, כ"כ הב"י בשמו) </w:t>
      </w:r>
      <w:r>
        <w:rPr>
          <w:rtl/>
        </w:rPr>
        <w:t xml:space="preserve">רא"ש </w:t>
      </w:r>
      <w:r>
        <w:rPr>
          <w:sz w:val="16"/>
          <w:szCs w:val="16"/>
          <w:rtl/>
        </w:rPr>
        <w:t>(שם סי' יז, כ"כ הב"י בשמו)</w:t>
      </w:r>
      <w:r>
        <w:rPr>
          <w:rtl/>
        </w:rPr>
        <w:t xml:space="preserve"> ורי"ו </w:t>
      </w:r>
      <w:r>
        <w:rPr>
          <w:sz w:val="16"/>
          <w:szCs w:val="16"/>
          <w:rtl/>
        </w:rPr>
        <w:t>(נ"ו ח"ו כה ע"ג)</w:t>
      </w:r>
      <w:r>
        <w:rPr>
          <w:rtl/>
        </w:rPr>
        <w:t>.</w:t>
      </w:r>
    </w:p>
  </w:footnote>
  <w:footnote w:id="5555">
    <w:p w14:paraId="43E46AB8" w14:textId="77777777" w:rsidR="0013116F" w:rsidRDefault="0013116F" w:rsidP="0004348D">
      <w:pPr>
        <w:pStyle w:val="a9"/>
        <w:rPr>
          <w:rtl/>
        </w:rPr>
      </w:pPr>
      <w:r>
        <w:rPr>
          <w:rStyle w:val="ab"/>
        </w:rPr>
        <w:footnoteRef/>
      </w:r>
      <w:r>
        <w:rPr>
          <w:rtl/>
        </w:rPr>
        <w:t xml:space="preserve"> אלא המלוה נשבע ונוטל היכא דאמר ליה אשתבע לי </w:t>
      </w:r>
      <w:r>
        <w:rPr>
          <w:sz w:val="16"/>
          <w:szCs w:val="16"/>
          <w:rtl/>
        </w:rPr>
        <w:t>(כדין שטר לקמן סימן פ"ב [סעיף ב'])</w:t>
      </w:r>
      <w:r>
        <w:rPr>
          <w:rtl/>
        </w:rPr>
        <w:t xml:space="preserve">, וגובה ממשעבדי </w:t>
      </w:r>
      <w:r>
        <w:rPr>
          <w:sz w:val="16"/>
          <w:szCs w:val="16"/>
          <w:rtl/>
        </w:rPr>
        <w:t>(כן משמע להדיא בב"י [מחודש ב'] ע"ש, וכן משמע להדיא ברמב"ם ומחבר לעיל סימן מ' סעיף ב', וע"ש)</w:t>
      </w:r>
      <w:r>
        <w:rPr>
          <w:rtl/>
        </w:rPr>
        <w:t>, ש"ך (סקכ"א-כב).</w:t>
      </w:r>
      <w:r>
        <w:rPr>
          <w:rtl/>
        </w:rPr>
        <w:tab/>
      </w:r>
    </w:p>
  </w:footnote>
  <w:footnote w:id="5556">
    <w:p w14:paraId="2CDEEE03" w14:textId="77777777" w:rsidR="0013116F" w:rsidRDefault="0013116F" w:rsidP="0004348D">
      <w:pPr>
        <w:pStyle w:val="a9"/>
        <w:rPr>
          <w:rtl/>
        </w:rPr>
      </w:pPr>
      <w:r>
        <w:rPr>
          <w:rStyle w:val="ab"/>
        </w:rPr>
        <w:footnoteRef/>
      </w:r>
      <w:r>
        <w:rPr>
          <w:rtl/>
        </w:rPr>
        <w:t xml:space="preserve"> נראה שכתוב בפנקסו הוי כחייב מודה או כמת בנידויו - שגובין מהיורשים אפילו לאחר זמנו </w:t>
      </w:r>
      <w:r>
        <w:rPr>
          <w:sz w:val="16"/>
          <w:szCs w:val="16"/>
          <w:rtl/>
        </w:rPr>
        <w:t>{שלכאורה היה צ"ל חזקה שהוא פרוע לאחר זמנו}</w:t>
      </w:r>
      <w:r>
        <w:rPr>
          <w:rtl/>
        </w:rPr>
        <w:t xml:space="preserve">. משא"כ בכתב ידו שהוא חייב לו - דדוקא תוך זמנו גובה </w:t>
      </w:r>
      <w:r>
        <w:rPr>
          <w:sz w:val="16"/>
          <w:szCs w:val="16"/>
          <w:rtl/>
        </w:rPr>
        <w:t>{אם מת, דכיון שהוא תוך זמנו חזקה שלא פרע}</w:t>
      </w:r>
      <w:r>
        <w:rPr>
          <w:rtl/>
        </w:rPr>
        <w:t>. ונראה דטעמא הוי דכשהוא חייב בכתב ידו שביד המלוה ופרע לו אין בידו לקרוע או למחוק כתב ידו שביד המלוה, ואינו חושש כיון שנאמן לומר פרעתי. אבל במה שכתוב תחת ידו בפנקסו אם היה אמת שכבר פרע היה מוחק או מעביר עליו הקולמוס או כותב כנגדו שפרע, וכיון שכן, שלא עשה כן מוכחא מלתא שלא פרע, וגובים מהיורשים אע"פ שהוא אחר זמנו, ב"י</w:t>
      </w:r>
      <w:r>
        <w:rPr>
          <w:sz w:val="16"/>
          <w:szCs w:val="16"/>
          <w:rtl/>
        </w:rPr>
        <w:t xml:space="preserve"> (בבדה"ב)</w:t>
      </w:r>
      <w:r>
        <w:rPr>
          <w:rtl/>
        </w:rPr>
        <w:t>.</w:t>
      </w:r>
    </w:p>
  </w:footnote>
  <w:footnote w:id="5557">
    <w:p w14:paraId="7F5DA268" w14:textId="77777777" w:rsidR="0013116F" w:rsidRDefault="0013116F" w:rsidP="0004348D">
      <w:pPr>
        <w:pStyle w:val="a9"/>
      </w:pPr>
      <w:r>
        <w:rPr>
          <w:rStyle w:val="ab"/>
        </w:rPr>
        <w:footnoteRef/>
      </w:r>
      <w:r>
        <w:rPr>
          <w:rtl/>
        </w:rPr>
        <w:t xml:space="preserve"> כבר נתבאר סימן נ"א (ס"ז) טעם שתי הכתות. והמרדכי כתב בסוף פרק בתרא (גיטין סי' תמז) דהלכה כרבי אלעזר אף בשטרות והילכך כיון שמסרו בפני עדים הוי ליה שטר, ב"י.</w:t>
      </w:r>
    </w:p>
  </w:footnote>
  <w:footnote w:id="5558">
    <w:p w14:paraId="462C6E43" w14:textId="77777777" w:rsidR="0013116F" w:rsidRDefault="0013116F" w:rsidP="0004348D">
      <w:pPr>
        <w:pStyle w:val="a9"/>
        <w:rPr>
          <w:rtl/>
        </w:rPr>
      </w:pPr>
      <w:r>
        <w:rPr>
          <w:rStyle w:val="ab"/>
        </w:rPr>
        <w:footnoteRef/>
      </w:r>
      <w:r>
        <w:rPr>
          <w:rtl/>
        </w:rPr>
        <w:t xml:space="preserve"> צל"ע בדין זה שכתב המחבר, כי לטעם שכתבתי לעיל סקי"ד בשם הרמב"ן והרבה פוסקים בכת"י דכיון שאינו גובה ממשעבדי לא חשש להניחו בידו ולכך נאמן לומר פרעתי, א"כ גם בזה י"ל כן. והרא"ש (כלל קז סי' ו) אזיל לטעמיה שנראה מדבריו פ"ב דכתובות</w:t>
      </w:r>
      <w:r>
        <w:rPr>
          <w:sz w:val="16"/>
          <w:szCs w:val="16"/>
          <w:rtl/>
        </w:rPr>
        <w:t xml:space="preserve"> (סי' יז, וכן בתשו' כלל סז סי' ב)</w:t>
      </w:r>
      <w:r>
        <w:rPr>
          <w:rtl/>
        </w:rPr>
        <w:t xml:space="preserve"> שעיקר הטעם משום דכיון דלית ליה קלא אינו זוכר שנתן לו כתב ידו, וזה לא שייך בפנקס המיוחד להם בעד אחד ורגילים לכתוב תמיד שם עסקיהם, ולא שייך לומר דמינשי ליה. משא"כ לטעם הרמב"ן וסיעתו דלעיל, וגם מדברי המחבר גופיה בסעיף ב' שכתב שאינו חושש להניחו בידו כיון שאינו שטר גמור, משמע לכאורה דהיינו כטעם הרמב"ן וסיעתו. ועוד נראה, דאף הרא"ש לא קאמר אלא בכגון עובדא דידיה, כמבואר למעיין בתשובת הרא"ש (כלל קז סי' ו) שהיה נראה שהפנקס ההוא ודאי נעשה לברר כל העסק ושלא יהא שום אחד מהן נאמן לשנות מכל מה שנכתב בפנקס אם לא שיחתמו שניהם על כל מה שישתנה ויתחדש, עכ"ל. וא"כ זה הוי ככתב יד שכתוב בו נאמנות, כיון שנעשה שלא יהא שום אחד נאמן לשנות אם לא שיחתמו על ההשתנות. וגם נראה דהרא"ש מטעם זה לא היה עושה מעשה לחייב ולהוציא ממון, אלא מהרבה טעמים אחרים וכמבואר באריכות בתשובת הרא"ש שם שהיה נראה בעיניו שר' ישראל משקר... אבל בעלמא דלא שייך הני טעמי, י"ל דיכול לטעון פרעתי ושכחתי שיש אצלך פנקס, וא"כ דברי המחבר שכתב בסתם דבפנקס ועד אחד אינו נאמן לומר פרעתי צל"ע. ונראה דדין זה תלוי בראות עיני הדיינים ע"פ הדרישה והחקירה היטב, ואם א"א לעמוד על הדבר, אין כח להוציא ממון, ש"ך (סקכ"ב).</w:t>
      </w:r>
    </w:p>
  </w:footnote>
  <w:footnote w:id="5559">
    <w:p w14:paraId="318ECB32" w14:textId="77777777" w:rsidR="0013116F" w:rsidRDefault="0013116F" w:rsidP="0004348D">
      <w:pPr>
        <w:pStyle w:val="a9"/>
      </w:pPr>
      <w:r>
        <w:rPr>
          <w:rStyle w:val="ab"/>
        </w:rPr>
        <w:footnoteRef/>
      </w:r>
      <w:r>
        <w:rPr>
          <w:rtl/>
        </w:rPr>
        <w:t xml:space="preserve"> דאם איתא דפרעו לא היה לו להניח הפנקס בידו, דהרי הוא כשטר מאחר שחתמו שניהן עליו וגם החתימו עד אחד עמהם לראיה ולברר על עסקיהן, ועדיף משטר, כי השטר הוא כללי שנעשה על עיקר תחילת העסק, והפנקס הוא פרטי לברר על ענין העסק דבר יום ביומו כו', כ"כ הרא"ש (שם), סמ"ע (סקט"ז). וגם הש"ך (סקכ"ג) הביא את דברי הרא"ש, וכתב שאין לומר טעם אחר.</w:t>
      </w:r>
    </w:p>
  </w:footnote>
  <w:footnote w:id="5560">
    <w:p w14:paraId="4E16023F" w14:textId="77777777" w:rsidR="0013116F" w:rsidRDefault="0013116F" w:rsidP="0004348D">
      <w:pPr>
        <w:pStyle w:val="a9"/>
      </w:pPr>
      <w:r>
        <w:rPr>
          <w:rStyle w:val="ab"/>
        </w:rPr>
        <w:footnoteRef/>
      </w:r>
      <w:r>
        <w:rPr>
          <w:rtl/>
        </w:rPr>
        <w:t xml:space="preserve"> זה פשוט בכמה מקומות דטענינן ליתמי כל מאי דהוה מצי אבוהון למיטען, ב"י.</w:t>
      </w:r>
    </w:p>
  </w:footnote>
  <w:footnote w:id="5561">
    <w:p w14:paraId="3D6116DC" w14:textId="77777777" w:rsidR="0013116F" w:rsidRDefault="0013116F" w:rsidP="0004348D">
      <w:pPr>
        <w:pStyle w:val="a9"/>
      </w:pPr>
      <w:r>
        <w:rPr>
          <w:rStyle w:val="ab"/>
        </w:rPr>
        <w:footnoteRef/>
      </w:r>
      <w:r>
        <w:rPr>
          <w:rtl/>
        </w:rPr>
        <w:t xml:space="preserve"> רב פלטוי </w:t>
      </w:r>
      <w:r>
        <w:rPr>
          <w:sz w:val="16"/>
          <w:szCs w:val="16"/>
          <w:rtl/>
        </w:rPr>
        <w:t>(בתשו', כ"כ הב"י בשמו [עי' בתשובות גאונים קדמונים סי' ז])</w:t>
      </w:r>
      <w:r>
        <w:rPr>
          <w:rtl/>
        </w:rPr>
        <w:t xml:space="preserve"> מהר"ם </w:t>
      </w:r>
      <w:r>
        <w:rPr>
          <w:sz w:val="16"/>
          <w:szCs w:val="16"/>
          <w:rtl/>
        </w:rPr>
        <w:t>(ד"פ סי' תתקפח, כ"כ הרא"ש בשמו [כלל פו סי' ד])</w:t>
      </w:r>
      <w:r>
        <w:rPr>
          <w:rtl/>
        </w:rPr>
        <w:t xml:space="preserve"> רשב"א </w:t>
      </w:r>
      <w:r>
        <w:rPr>
          <w:sz w:val="16"/>
          <w:szCs w:val="16"/>
          <w:rtl/>
        </w:rPr>
        <w:t xml:space="preserve">(בתשו', כ"כ הב"י בשמו [עי' ח"ג סי' קמא וח"ב סי' סה]) </w:t>
      </w:r>
      <w:r>
        <w:rPr>
          <w:rtl/>
        </w:rPr>
        <w:t xml:space="preserve">רא"ש </w:t>
      </w:r>
      <w:r>
        <w:rPr>
          <w:sz w:val="16"/>
          <w:szCs w:val="16"/>
          <w:rtl/>
        </w:rPr>
        <w:t>(כלל סז סי' ב, ובכלל פו סי' ד, ובפרק המוכר את הבית [ב"ב פ"ד סי' יד], וכתב נימוק"י [בסוף בתרא פב: ד"ה גמ'] שכ"כ הרא"ש בפ"ק דקידושין [בתוספותיו יג: ד"ה גובה])</w:t>
      </w:r>
      <w:r>
        <w:rPr>
          <w:rtl/>
        </w:rPr>
        <w:t xml:space="preserve"> וטור.</w:t>
      </w:r>
    </w:p>
  </w:footnote>
  <w:footnote w:id="5562">
    <w:p w14:paraId="50B6C5F2" w14:textId="77777777" w:rsidR="0013116F" w:rsidRDefault="0013116F" w:rsidP="0004348D">
      <w:pPr>
        <w:pStyle w:val="a9"/>
        <w:rPr>
          <w:rtl/>
        </w:rPr>
      </w:pPr>
      <w:r>
        <w:rPr>
          <w:rStyle w:val="ab"/>
        </w:rPr>
        <w:footnoteRef/>
      </w:r>
      <w:r>
        <w:rPr>
          <w:rtl/>
        </w:rPr>
        <w:t xml:space="preserve"> וכתב הטור על דברי בעל התרומות- ולא נהירא מה שכתב ונשבעין היסת שאינו כתב יד אביהם וגם מ"ש ונשבעין היסת שלא אמר להם אביהם וכו' שלא מצינו שבועת יורשים אלא לגבות שטר שהניח להן אביהם אבל ליפטר אין צריכים שבועה, וכ"כ א"א הרא"ש ז"ל בתשובה-....</w:t>
      </w:r>
    </w:p>
  </w:footnote>
  <w:footnote w:id="5563">
    <w:p w14:paraId="0ED4AE75" w14:textId="77777777" w:rsidR="0013116F" w:rsidRDefault="0013116F" w:rsidP="0004348D">
      <w:pPr>
        <w:pStyle w:val="a9"/>
      </w:pPr>
      <w:r>
        <w:rPr>
          <w:rStyle w:val="ab"/>
        </w:rPr>
        <w:footnoteRef/>
      </w:r>
      <w:r>
        <w:rPr>
          <w:rtl/>
        </w:rPr>
        <w:t xml:space="preserve"> וכתב הב"י (בבדה"ב) דאפילו לדברי האומרים (סי' לט סי"ב בב"י) שמי שהוציא פסק דין על חבירו אין הלה נאמן לומר פרעתי הכא שאני, שלא היה חייב אלא שבועה וכי מודו שלא נשבע אביהם מאי הוי הא אינם חייבים להשבע השבועה עצמה שהיה חייב אביהם דהא לא ידעי במילי דאבוהון ומשבועה שלא פקדנו אבא נמי פטורים כדבסמוך. ולהרא"ש ז"ל שסובר שמי שהוציאו עליו פסק דין נאמן לומר פרעתי כמו שכתבתי בסימן ל"ט (שם) יש לתמוה למה כתב כיון שאביהם לא היה חייב אלא שבועה הם פטורים הא אפילו היה אביהם חייב ממון היו הם פטורים משום דטענינן להו שאביהם פרע וכמו שכתוב בתשובה ראשונה. ואפשר לדחוק ולומר דלרווחא דמלתא נקט הכי. אבל מה שמחרימים במעמד היורשים קשה דמשמע דחרם זה היינו אם יודעים שלא נשבע אביהם וכי לא נשבע אביהם מאי הוי הרי הם פטורים כמו שהוכחנו. ושמא יש לומר דחרם זה היינו שמא שמעו מאביהם שהיה חייב אותו ממון ולא פרעו.</w:t>
      </w:r>
    </w:p>
  </w:footnote>
  <w:footnote w:id="5564">
    <w:p w14:paraId="1035744E" w14:textId="77777777" w:rsidR="0013116F" w:rsidRDefault="0013116F" w:rsidP="0004348D">
      <w:pPr>
        <w:pStyle w:val="a9"/>
      </w:pPr>
      <w:r>
        <w:rPr>
          <w:rStyle w:val="ab"/>
        </w:rPr>
        <w:footnoteRef/>
      </w:r>
      <w:r>
        <w:rPr>
          <w:rtl/>
        </w:rPr>
        <w:t xml:space="preserve"> וכ"כ בתשובות מיימוניות </w:t>
      </w:r>
      <w:r>
        <w:rPr>
          <w:sz w:val="16"/>
          <w:szCs w:val="16"/>
          <w:rtl/>
        </w:rPr>
        <w:t>(ספר משפטים סי' ז)</w:t>
      </w:r>
      <w:r>
        <w:rPr>
          <w:rtl/>
        </w:rPr>
        <w:t xml:space="preserve"> בשם כמה גדולים. ובסימן ק"ח (ס"ז) אכתוב בשם בעל התרומות (שער ה ח"א סי' ב) שכן דעת התוספות אע"פ שיש חולקים עיין במהרי"ק (שורש קכ ענף ד, ושורש קמ), ב"י.</w:t>
      </w:r>
    </w:p>
  </w:footnote>
  <w:footnote w:id="5565">
    <w:p w14:paraId="6DBB97D8" w14:textId="77777777" w:rsidR="0013116F" w:rsidRDefault="0013116F" w:rsidP="0004348D">
      <w:pPr>
        <w:pStyle w:val="a9"/>
      </w:pPr>
      <w:r>
        <w:rPr>
          <w:rStyle w:val="ab"/>
        </w:rPr>
        <w:footnoteRef/>
      </w:r>
      <w:r>
        <w:rPr>
          <w:rtl/>
        </w:rPr>
        <w:t xml:space="preserve"> ותמהני על מה שכתב בעל התרומות שאם אין כתב ידו יוצא וכו' אע"פ שיש אחד מאלו הדרכים וכו', דכיון שהודה החייב או שנידוהו כדי שיתן ומת בנידויו ולא נתן מה לנו אם לא יתקיים כתב ידו הא אפילו היתה מלוה על פה גובה מהיורשים, ב"י. </w:t>
      </w:r>
      <w:r>
        <w:rPr>
          <w:color w:val="E36C0A" w:themeColor="accent6" w:themeShade="BF"/>
          <w:rtl/>
        </w:rPr>
        <w:t>(וכ"ס בשו"ע)</w:t>
      </w:r>
      <w:r>
        <w:rPr>
          <w:rtl/>
        </w:rPr>
        <w:t xml:space="preserve">. אך הדרכ"מ (אות ו) כתב- ולי נראה דלא קשה מידי דאע"פ שהודה שחייב לו אפשר דכדי שלא להשביע את בניו אמר כן וכמו שנתבאר לעיל סימן ל"ב (סי"א) ויתבאר לקמן סימן פ"א (סי"ז), אבל כשמקוים כתב ידו לא תלינן דרך השבעה אלא שחייב לו ועדיין לא פרע ולכן קאמר הואיל ומודים כו' אבל כשאינן מודים כו' לא מתחייבי משום הודאתו, ומ"מ אם מת בנידויו בהא אין לחלק בין אם מקיימין כתב ידו או לא. כן נראה לי. </w:t>
      </w:r>
      <w:r>
        <w:rPr>
          <w:color w:val="00B0F0"/>
          <w:rtl/>
        </w:rPr>
        <w:t>(וכ"פ בהג"ה)</w:t>
      </w:r>
    </w:p>
  </w:footnote>
  <w:footnote w:id="5566">
    <w:p w14:paraId="50BD2C8F" w14:textId="77777777" w:rsidR="0013116F" w:rsidRDefault="0013116F" w:rsidP="0004348D">
      <w:pPr>
        <w:pStyle w:val="a9"/>
        <w:rPr>
          <w:rtl/>
        </w:rPr>
      </w:pPr>
      <w:r>
        <w:rPr>
          <w:rStyle w:val="ab"/>
        </w:rPr>
        <w:footnoteRef/>
      </w:r>
      <w:r>
        <w:rPr>
          <w:rtl/>
        </w:rPr>
        <w:t xml:space="preserve"> ואפילו כתב בשטר נאמנות סתם, לא מהני הנאמנות לגבי יורשים, אם לא שנכתב בשטר בפירוש שיהא נאמן גם נגד יורשיו, וכ"כ בד"מ [סעיף י']. וגם בסימן ע"א כתבו כן הטור [סעיף כ"ט] והמחבר [סעיף י"ז], אלא דשם נשבע המלוה אשט"ח שלא נפרע ונוטל, וכאן בכתב ידו נפטר היורש, סמ"ע (סקי"ז). וכן הוא בתשובת מהר"מ בתשובות מיימוני (לספר משפטים סי' לח) ומביאו ב"י בסע' ח' בקצרה, מיהו יש תיקון מדינה להיפך ועיין ב"ח, וכן משמע בטור סעיף י' דנאמנות סתם אף בכת"י לא מהני נגד יורשיו, שכתב, ואם כתב בו נאמנות שהאמינו עליו ועל יורשיו כו', ש"ך (סקכ"ד). אך הט"ז מפקפק בזה.</w:t>
      </w:r>
    </w:p>
  </w:footnote>
  <w:footnote w:id="5567">
    <w:p w14:paraId="046343CB" w14:textId="77777777" w:rsidR="0013116F" w:rsidRDefault="0013116F" w:rsidP="0004348D">
      <w:pPr>
        <w:pStyle w:val="a9"/>
      </w:pPr>
      <w:r>
        <w:rPr>
          <w:rStyle w:val="ab"/>
        </w:rPr>
        <w:footnoteRef/>
      </w:r>
      <w:r>
        <w:rPr>
          <w:rtl/>
        </w:rPr>
        <w:t xml:space="preserve"> דאין היורשים צריכים לישבע אלא ליטול בשטר, בשבועה שלא פקדנו אבא ששטר זה פרוע, אבל להפטר פטורים אף משבועת היסת כשטוענים שמא, אבל כשטוענים ברי שפרע צריכים לישבע, כדלקמן סי' עה סע' טז וסע' כ, ועי' מש"כ שם סקנ"ה סקנ"ז וסקע"ה, ש"ך (סקכ"ד).</w:t>
      </w:r>
    </w:p>
  </w:footnote>
  <w:footnote w:id="5568">
    <w:p w14:paraId="6F2C6E0D" w14:textId="77777777" w:rsidR="0013116F" w:rsidRDefault="0013116F" w:rsidP="0004348D">
      <w:pPr>
        <w:pStyle w:val="a9"/>
      </w:pPr>
      <w:r>
        <w:rPr>
          <w:rStyle w:val="ab"/>
        </w:rPr>
        <w:footnoteRef/>
      </w:r>
      <w:r>
        <w:rPr>
          <w:rtl/>
        </w:rPr>
        <w:t xml:space="preserve"> עדיין, או נמצא כתוב בפנקסו שהוא חייב לו או נידוהו כו'. לשון רשב"ץ [ח"א סי' ל"ב] בשם בעל התרומות [שער י"ג ח"ב ס"א]. ופירש בבדה"ב [מחודש ג'] דר"ל דפנקסו אפילו אחר זמנו הוי כחייב מודה כו', ועדיף מכתב ידו, ע"ש. וכן פירש בתשו' מבי"ט (ח"א סי' עד) ע"ש. ולפע"ד נראה דאדסמיך ליה קאי, שנמצא כתוב בפנקסו שאותו כת"י עדיין חייב לו, הא לאו הכי לא עדיף פנקסו מכתב ידו </w:t>
      </w:r>
      <w:r>
        <w:rPr>
          <w:sz w:val="16"/>
          <w:szCs w:val="16"/>
          <w:rtl/>
        </w:rPr>
        <w:t>(כמ"ש הרשב"א בתשובה [ח"ג סי' קל] להדיא, ומביאו ב"י ובשו"ע ס"ס קז [ב"י מחו' ז]. והשתא אתי שפיר דהך דינא דפנקסו לא נמצא בבעל התרומות, ואדרבה הבעל התרומות (שער י"ג שם, וי"ד ח"א סי' יג) לא כתב אלא ג' דרכים, ואם איתא, הל"ל ד', אלא ודאי כדפירשתי)</w:t>
      </w:r>
      <w:r>
        <w:rPr>
          <w:rtl/>
        </w:rPr>
        <w:t>, ש"ך (סקכ"ז).</w:t>
      </w:r>
    </w:p>
  </w:footnote>
  <w:footnote w:id="5569">
    <w:p w14:paraId="1686E87A" w14:textId="77777777" w:rsidR="0013116F" w:rsidRDefault="0013116F" w:rsidP="0004348D">
      <w:pPr>
        <w:pStyle w:val="a9"/>
        <w:rPr>
          <w:rtl/>
        </w:rPr>
      </w:pPr>
      <w:r>
        <w:rPr>
          <w:rStyle w:val="ab"/>
        </w:rPr>
        <w:footnoteRef/>
      </w:r>
      <w:r>
        <w:rPr>
          <w:rtl/>
        </w:rPr>
        <w:t xml:space="preserve"> דין זה צל"ע אף שגם הטור ובעל התרומות [שם] כתבו כן, כי מה בכך שהם מודים שהוא כת"י אביהן, מ"מ אילו היה אביהן קיים והיה מודה שהוא כתב ידו, אע"פ שהיה בתוך הזמן היה נאמן לטעון פרוע במיגו דאינו כתב ידי. א"כ נטעון ליתמי דילמא פרע אביהן, דאע"ג דאביהן לא היה נאמן אלא משום מיגו, טענינן ליתמי </w:t>
      </w:r>
      <w:r>
        <w:rPr>
          <w:sz w:val="16"/>
          <w:szCs w:val="16"/>
          <w:rtl/>
        </w:rPr>
        <w:t>(וכמו שהעליתי לקמן סי' רצז [סק"א])</w:t>
      </w:r>
      <w:r>
        <w:rPr>
          <w:rtl/>
        </w:rPr>
        <w:t xml:space="preserve">. מיהו בהודה בחוליו או מת בנידויו לא קשה מידי, דאביהן גופיה אילו הוה קיים והיה טוען פרעתי לא היה נאמן, שהרי כבר הודה שלא פרע או נתנדה על שלא פרע, ולא היה יכול לטעון אלא פרעתי אחר שהודיתי או אחר שנתנדה, וזה לא שייך בציוה בחוליו או מת בנידויו, אבל בכתב יד שהוא תוך זמנו ומעולם לא הודה שלא פרע, קשיא. ונראה דהטור לטעמיה אזיל דס"ל לקמן סי' קח (סע' ז) דלא טענינן ליתמי נאנסו אע"ג שאביהן היה יכול לטעון נאנסו, משום דמילתא דלא שכיחא לא טענינן ליתמי, וכן י"ל דס"ל לבעל התרומות. וא"כ קשה על המחבר שהביא לקמן סי' קח </w:t>
      </w:r>
      <w:r>
        <w:rPr>
          <w:sz w:val="16"/>
          <w:szCs w:val="16"/>
          <w:rtl/>
        </w:rPr>
        <w:t xml:space="preserve">(סע' ד) </w:t>
      </w:r>
      <w:r>
        <w:rPr>
          <w:rtl/>
        </w:rPr>
        <w:t xml:space="preserve">גבי נאנסו ב' דעות, וכאן סתם לגמרי כדברי בעל התרומות וטור </w:t>
      </w:r>
      <w:r>
        <w:rPr>
          <w:sz w:val="16"/>
          <w:szCs w:val="16"/>
          <w:rtl/>
        </w:rPr>
        <w:t>[וגם בב"י וד"מ לא הביאו כאן שום חולק]</w:t>
      </w:r>
      <w:r>
        <w:rPr>
          <w:rtl/>
        </w:rPr>
        <w:t xml:space="preserve">. ואפשר ס"ל דחזקה דאין אדם פורע תוך זמנו גרע טפי ממילתא דלא שכיחא, ואפילו מאן דפליג במילתא דלא שכיחא, מודה דלא טענינן ליתמי דילמא פרע אביהן, כיון דחזקה אין אדם פורע תוך זמנו. אבל באמת נלפע"ד דמאן דפליג התם פליג נמי הכא, וכמ"ש לקמן סי' עח סע' ד </w:t>
      </w:r>
      <w:r>
        <w:rPr>
          <w:sz w:val="16"/>
          <w:szCs w:val="16"/>
          <w:rtl/>
        </w:rPr>
        <w:t xml:space="preserve">(סקי"ז) </w:t>
      </w:r>
      <w:r>
        <w:rPr>
          <w:rtl/>
        </w:rPr>
        <w:t>על דברי הר"ב ע"ש, דאע"ג דקושטא דמילתא דחזקה גרע טפי ממילתא דלא שכיחא כדמוכח בכמה דוכתי, ותדע דהא איהו גופיה היה יכול לטעון נאנסו אף בשטר מקוים, ופרעתי תוך זמני לא היה יכול לטעון אפילו הוא בעצמו אפילו בהלואה על פה כשיש עדים בקביעות הזמן, וכדלקמן סי' עח</w:t>
      </w:r>
      <w:r>
        <w:rPr>
          <w:sz w:val="16"/>
          <w:szCs w:val="16"/>
          <w:rtl/>
        </w:rPr>
        <w:t xml:space="preserve"> [סע' א]</w:t>
      </w:r>
      <w:r>
        <w:rPr>
          <w:rtl/>
        </w:rPr>
        <w:t>. מ"מ נלפע"ד דטעמא דמאן דפליג התם הוא משום דס"ל דלעולם טענינן ליתמי כל מה שהיה יכול אביהן לטעון, ולעולם אנו חושבין כאילו אביהן קיים לפנינו וטוען כך או כך יהיה איזה טענה שיהיה. וכן משמע להדיא מדברי הרמב"ן</w:t>
      </w:r>
      <w:r>
        <w:rPr>
          <w:sz w:val="16"/>
          <w:szCs w:val="16"/>
          <w:rtl/>
        </w:rPr>
        <w:t xml:space="preserve"> (במלחמות פרק המוכר את הבית [ב"ב לז. מדפה"ר] ובהגוזל קמא [ב"ק לח: מדפה"ר])</w:t>
      </w:r>
      <w:r>
        <w:rPr>
          <w:rtl/>
        </w:rPr>
        <w:t xml:space="preserve"> ע"ש במה שכתב שהגאונים כולם הסכימו דטענינן להו כל מאי דמצי טעין אבוהון כו', ע"ש, וכן נלפע"ד עיקר, ש"ך (סקכ"ו).</w:t>
      </w:r>
    </w:p>
  </w:footnote>
  <w:footnote w:id="5570">
    <w:p w14:paraId="50915E9F" w14:textId="77777777" w:rsidR="0013116F" w:rsidRDefault="0013116F" w:rsidP="0004348D">
      <w:pPr>
        <w:pStyle w:val="a9"/>
        <w:rPr>
          <w:rtl/>
        </w:rPr>
      </w:pPr>
      <w:r>
        <w:rPr>
          <w:rStyle w:val="ab"/>
        </w:rPr>
        <w:footnoteRef/>
      </w:r>
      <w:r>
        <w:rPr>
          <w:rtl/>
        </w:rPr>
        <w:t xml:space="preserve"> </w:t>
      </w:r>
      <w:r>
        <w:rPr>
          <w:rFonts w:hint="cs"/>
          <w:rtl/>
        </w:rPr>
        <w:t>הב"י בכוונה נקט רק דוגמא זו, וכמו שכתב בב"י שיש לתמוה על בעל התרומות והטור שהזכירו גם את ב' הדוגמאות האחרות (מת בחוליו וצוה, ומת בנדויו). וכ"כ העיר שושן (סע' ה) והש"ך (סקכ"ח). ודלא כהסמ"ע (סק"כ).</w:t>
      </w:r>
    </w:p>
  </w:footnote>
  <w:footnote w:id="5571">
    <w:p w14:paraId="73E7CC7B" w14:textId="77777777" w:rsidR="0013116F" w:rsidRDefault="0013116F" w:rsidP="0004348D">
      <w:pPr>
        <w:pStyle w:val="a9"/>
        <w:rPr>
          <w:rtl/>
        </w:rPr>
      </w:pPr>
      <w:r>
        <w:rPr>
          <w:rStyle w:val="ab"/>
        </w:rPr>
        <w:footnoteRef/>
      </w:r>
      <w:r>
        <w:rPr>
          <w:rtl/>
        </w:rPr>
        <w:t xml:space="preserve"> אפילו אם ידוע שלא נשבע אביהן, אפילו הכי הן פטורין, כיון דלא היה חייב אביהן ממון ודאי, ואיכא למימר אם היה חי היה נשבע, דלא עדיף חיוב שבועה זו דבפסק דין מכל כת"י דאביהן דנפק עליהן, דאף דאביהן עכ"פ היה חייב לישבע היסת שפרע, אפילו הכי היורשים פטורים בלא שבועה וכנ"ל, סמ"ע (סקכ"א).</w:t>
      </w:r>
    </w:p>
  </w:footnote>
  <w:footnote w:id="5572">
    <w:p w14:paraId="1E9C78E8" w14:textId="77777777" w:rsidR="0013116F" w:rsidRDefault="0013116F" w:rsidP="0004348D">
      <w:pPr>
        <w:pStyle w:val="a9"/>
      </w:pPr>
      <w:r>
        <w:rPr>
          <w:rStyle w:val="ab"/>
        </w:rPr>
        <w:footnoteRef/>
      </w:r>
      <w:r>
        <w:rPr>
          <w:rtl/>
        </w:rPr>
        <w:t xml:space="preserve"> </w:t>
      </w:r>
      <w:r>
        <w:rPr>
          <w:rFonts w:hint="cs"/>
          <w:rtl/>
        </w:rPr>
        <w:t>סימן – הלואה בעדים. וכן – עושה הלואה? הבא עדים! וכן – הכשיל עיוור.</w:t>
      </w:r>
    </w:p>
  </w:footnote>
  <w:footnote w:id="5573">
    <w:p w14:paraId="73D7173F" w14:textId="77777777" w:rsidR="0013116F" w:rsidRDefault="0013116F" w:rsidP="0004348D">
      <w:pPr>
        <w:pStyle w:val="a9"/>
      </w:pPr>
      <w:r>
        <w:rPr>
          <w:rStyle w:val="ab"/>
        </w:rPr>
        <w:footnoteRef/>
      </w:r>
      <w:r>
        <w:rPr>
          <w:rtl/>
        </w:rPr>
        <w:t xml:space="preserve"> כלומר ישכח הלוואתו ואגרום קללה לעצמי שיקללוני הבריות שיאמרו שאני תובע מה שלא הלויתי, משמע דלפנים מן השורה הוא דעבד הכי אבל מדינא בעדים סגי וכדרב יהודה, ב"י.</w:t>
      </w:r>
    </w:p>
  </w:footnote>
  <w:footnote w:id="5574">
    <w:p w14:paraId="1DA3CA38" w14:textId="77777777" w:rsidR="0013116F" w:rsidRDefault="0013116F" w:rsidP="0004348D">
      <w:pPr>
        <w:pStyle w:val="a9"/>
      </w:pPr>
      <w:r>
        <w:rPr>
          <w:rStyle w:val="ab"/>
        </w:rPr>
        <w:footnoteRef/>
      </w:r>
      <w:r>
        <w:rPr>
          <w:rtl/>
        </w:rPr>
        <w:t xml:space="preserve"> והטעם לפי שבהלואה על המשכון אין בה אותה טענה שיש במלוה בלא עדים לפי שהמלוה נאמן בו בשבועה כמו שיתבאר (שם פי"ג ה"ג), הה"מ (שם).</w:t>
      </w:r>
    </w:p>
  </w:footnote>
  <w:footnote w:id="5575">
    <w:p w14:paraId="2F918369" w14:textId="77777777" w:rsidR="0013116F" w:rsidRDefault="0013116F" w:rsidP="0004348D">
      <w:pPr>
        <w:pStyle w:val="a9"/>
      </w:pPr>
      <w:r>
        <w:rPr>
          <w:rStyle w:val="ab"/>
        </w:rPr>
        <w:footnoteRef/>
      </w:r>
      <w:r>
        <w:rPr>
          <w:rtl/>
        </w:rPr>
        <w:t xml:space="preserve"> הם דברי הרמב"ם שם והיינו כדרבינא. והטעם שהלואה בשטר משובחת מעל המשכון לפי שהלואה שעל המשכון אפשר שישכח כמה לוה ממנו ויבואו לידי מחלוקת משא"כ בהלואה בשטר, ב"י.</w:t>
      </w:r>
    </w:p>
  </w:footnote>
  <w:footnote w:id="5576">
    <w:p w14:paraId="7C6B2E67" w14:textId="77777777" w:rsidR="0013116F" w:rsidRDefault="0013116F" w:rsidP="0004348D">
      <w:pPr>
        <w:pStyle w:val="a9"/>
      </w:pPr>
      <w:r>
        <w:rPr>
          <w:rStyle w:val="ab"/>
        </w:rPr>
        <w:footnoteRef/>
      </w:r>
      <w:r>
        <w:rPr>
          <w:rtl/>
        </w:rPr>
        <w:t xml:space="preserve"> וזהו שנקרא מלוה על פה, כיון שאין בו קנין. ואם יש בו קנין חשוב כמלוה בשטר כדפרישית לעיל (סי' לט ס"ה), טור.</w:t>
      </w:r>
    </w:p>
  </w:footnote>
  <w:footnote w:id="5577">
    <w:p w14:paraId="36E02EC3" w14:textId="77777777" w:rsidR="0013116F" w:rsidRDefault="0013116F" w:rsidP="0004348D">
      <w:pPr>
        <w:pStyle w:val="a9"/>
        <w:rPr>
          <w:rtl/>
        </w:rPr>
      </w:pPr>
      <w:r>
        <w:rPr>
          <w:rStyle w:val="ab"/>
        </w:rPr>
        <w:footnoteRef/>
      </w:r>
      <w:r>
        <w:rPr>
          <w:rtl/>
        </w:rPr>
        <w:t xml:space="preserve"> </w:t>
      </w:r>
      <w:r>
        <w:rPr>
          <w:rFonts w:hint="cs"/>
          <w:rtl/>
        </w:rPr>
        <w:t>סימן – מיפרע/מחזיר אלוון</w:t>
      </w:r>
      <w:r>
        <w:rPr>
          <w:sz w:val="16"/>
          <w:szCs w:val="16"/>
          <w:rtl/>
        </w:rPr>
        <w:t xml:space="preserve"> {</w:t>
      </w:r>
      <w:r>
        <w:rPr>
          <w:sz w:val="16"/>
          <w:szCs w:val="16"/>
        </w:rPr>
        <w:t>alone</w:t>
      </w:r>
      <w:r>
        <w:rPr>
          <w:sz w:val="16"/>
          <w:szCs w:val="16"/>
          <w:rtl/>
        </w:rPr>
        <w:t xml:space="preserve"> </w:t>
      </w:r>
      <w:r>
        <w:rPr>
          <w:rFonts w:hint="cs"/>
          <w:sz w:val="16"/>
          <w:szCs w:val="16"/>
          <w:rtl/>
        </w:rPr>
        <w:t>– לבד/בגפו}</w:t>
      </w:r>
      <w:r>
        <w:rPr>
          <w:rtl/>
        </w:rPr>
        <w:t>.</w:t>
      </w:r>
    </w:p>
  </w:footnote>
  <w:footnote w:id="5578">
    <w:p w14:paraId="516EC6BB" w14:textId="77777777" w:rsidR="0013116F" w:rsidRDefault="0013116F" w:rsidP="0004348D">
      <w:pPr>
        <w:pStyle w:val="a9"/>
      </w:pPr>
      <w:r>
        <w:rPr>
          <w:rStyle w:val="ab"/>
        </w:rPr>
        <w:footnoteRef/>
      </w:r>
      <w:r>
        <w:rPr>
          <w:rtl/>
        </w:rPr>
        <w:t xml:space="preserve"> וכ' המרדכי </w:t>
      </w:r>
      <w:r>
        <w:rPr>
          <w:sz w:val="16"/>
          <w:szCs w:val="16"/>
          <w:rtl/>
        </w:rPr>
        <w:t xml:space="preserve">(פרק השותפין ב"ב סי' תסט) </w:t>
      </w:r>
      <w:r>
        <w:rPr>
          <w:rtl/>
        </w:rPr>
        <w:t xml:space="preserve">דה"ה דנאמן לומר מחלת לי אע"ג דמחילה טענה גרועה היא, דרכ"מ </w:t>
      </w:r>
      <w:r>
        <w:rPr>
          <w:sz w:val="16"/>
          <w:szCs w:val="16"/>
          <w:rtl/>
        </w:rPr>
        <w:t>(אות ב)</w:t>
      </w:r>
      <w:r>
        <w:rPr>
          <w:rtl/>
        </w:rPr>
        <w:t xml:space="preserve">. </w:t>
      </w:r>
      <w:r>
        <w:rPr>
          <w:color w:val="00B0F0"/>
          <w:rtl/>
        </w:rPr>
        <w:t>(וכ"פ בהג"ה)</w:t>
      </w:r>
    </w:p>
  </w:footnote>
  <w:footnote w:id="5579">
    <w:p w14:paraId="21CAD03F" w14:textId="77777777" w:rsidR="0013116F" w:rsidRDefault="0013116F" w:rsidP="0004348D">
      <w:pPr>
        <w:pStyle w:val="a9"/>
        <w:rPr>
          <w:rtl/>
        </w:rPr>
      </w:pPr>
      <w:r>
        <w:rPr>
          <w:rStyle w:val="ab"/>
        </w:rPr>
        <w:footnoteRef/>
      </w:r>
      <w:r>
        <w:rPr>
          <w:rtl/>
        </w:rPr>
        <w:t xml:space="preserve"> וכבר כתבתי כן בסימן ל"ט (ס"ד ד"ה וכתב רבינו ירוחם), ב"י. וכתב הדרכ"מ (אות א) שהמרדכי כתב (ספ"ק דכתובות סי' קלט) שזהו דעת הרי"ף (שערי שבועות ש"ה וש"ו), אבל רפיא ביד ראבי"ה עכ"ל. וכ"כ פרק אלו נשבעין (שבועות סי' תשפ) וצריך עיון בזה לעיל סימן ל"ט (ס"ד - ז) ועיי"ש.</w:t>
      </w:r>
    </w:p>
  </w:footnote>
  <w:footnote w:id="5580">
    <w:p w14:paraId="7CA3D255" w14:textId="77777777" w:rsidR="0013116F" w:rsidRDefault="0013116F" w:rsidP="0004348D">
      <w:pPr>
        <w:pStyle w:val="a9"/>
        <w:rPr>
          <w:rtl/>
        </w:rPr>
      </w:pPr>
      <w:r>
        <w:rPr>
          <w:rStyle w:val="ab"/>
        </w:rPr>
        <w:footnoteRef/>
      </w:r>
      <w:r>
        <w:rPr>
          <w:rtl/>
        </w:rPr>
        <w:t xml:space="preserve"> לפי שנזכר סכום ההלואה, כ"כ הסמ"ע (סק"ד). ולפ"ז משמע דה"ה כתב יד, אבל בתשו' מהרשד"ם (חו"מ סי' כג) כתב דדוקא שטר אבל לא כתב יד, וע"ש, ש"ך (סק"ב).</w:t>
      </w:r>
    </w:p>
  </w:footnote>
  <w:footnote w:id="5581">
    <w:p w14:paraId="33C8F1BA" w14:textId="77777777" w:rsidR="0013116F" w:rsidRDefault="0013116F" w:rsidP="0004348D">
      <w:pPr>
        <w:pStyle w:val="a9"/>
        <w:rPr>
          <w:rtl/>
        </w:rPr>
      </w:pPr>
      <w:r>
        <w:rPr>
          <w:rStyle w:val="ab"/>
        </w:rPr>
        <w:footnoteRef/>
      </w:r>
      <w:r>
        <w:rPr>
          <w:rtl/>
        </w:rPr>
        <w:t xml:space="preserve"> היינו דוקא לאחר זמן שקבע להלואתו, אבל תוך הזמן אינו נאמן, וכמ"ש המחבר לעיל סימן ל"ט סוף סע' ה, סמ"ע (סק"ה).</w:t>
      </w:r>
    </w:p>
  </w:footnote>
  <w:footnote w:id="5582">
    <w:p w14:paraId="3EEE474F" w14:textId="77777777" w:rsidR="0013116F" w:rsidRDefault="0013116F" w:rsidP="0004348D">
      <w:pPr>
        <w:pStyle w:val="a9"/>
      </w:pPr>
      <w:r>
        <w:rPr>
          <w:rStyle w:val="ab"/>
        </w:rPr>
        <w:footnoteRef/>
      </w:r>
      <w:r>
        <w:rPr>
          <w:rtl/>
        </w:rPr>
        <w:t xml:space="preserve"> פירוש, והיה לו לחשוש שיש בידו שטר או יקח עוד שטר מעדי קנין, דהא כותבין שטר קנין אפילו זמן מרובה אחר ההלואה וכמ"ש הטור והמחבר בסימן ל"ט [טור סעיף ו' ומחבר] סעיף ג', ולא היה לו לפרוע עד שיתן לו השטר או שובר, סמ"ע (סק"ו).</w:t>
      </w:r>
    </w:p>
  </w:footnote>
  <w:footnote w:id="5583">
    <w:p w14:paraId="56327A43" w14:textId="77777777" w:rsidR="0013116F" w:rsidRDefault="0013116F" w:rsidP="0004348D">
      <w:pPr>
        <w:pStyle w:val="a9"/>
        <w:rPr>
          <w:sz w:val="14"/>
          <w:szCs w:val="14"/>
        </w:rPr>
      </w:pPr>
      <w:r>
        <w:rPr>
          <w:rStyle w:val="ab"/>
        </w:rPr>
        <w:footnoteRef/>
      </w:r>
      <w:r>
        <w:rPr>
          <w:rtl/>
        </w:rPr>
        <w:t xml:space="preserve"> </w:t>
      </w:r>
      <w:r>
        <w:rPr>
          <w:rFonts w:hint="cs"/>
          <w:rtl/>
        </w:rPr>
        <w:t>סימן – קיבלת עמלי/עולתי קודם עדים. וכן - קיימתי עולי קודם עדים.</w:t>
      </w:r>
      <w:r>
        <w:rPr>
          <w:sz w:val="14"/>
          <w:szCs w:val="14"/>
          <w:rtl/>
        </w:rPr>
        <w:t xml:space="preserve"> (הסימן לדף קע שבו עיקר העניין)</w:t>
      </w:r>
    </w:p>
  </w:footnote>
  <w:footnote w:id="5584">
    <w:p w14:paraId="69895100" w14:textId="77777777" w:rsidR="0013116F" w:rsidRDefault="0013116F" w:rsidP="0004348D">
      <w:pPr>
        <w:pStyle w:val="a9"/>
        <w:rPr>
          <w:rtl/>
        </w:rPr>
      </w:pPr>
      <w:r>
        <w:rPr>
          <w:rStyle w:val="ab"/>
        </w:rPr>
        <w:footnoteRef/>
      </w:r>
      <w:r>
        <w:rPr>
          <w:rtl/>
        </w:rPr>
        <w:t xml:space="preserve"> כלומר דאפליגו התם (קסט:) רבן שמעון בן גמליאל ורבי בטוען שדה זו קניתיה ממך והרי שטר בידי וגם יש לי עדי חזקה, דלרבן שמעון בן גמליאל בעדי חזקה לבדם מהני ואינו צריך להביא שטר, ולרבי צריך להביא גם השטר, ב"י.</w:t>
      </w:r>
    </w:p>
  </w:footnote>
  <w:footnote w:id="5585">
    <w:p w14:paraId="53F56615" w14:textId="77777777" w:rsidR="0013116F" w:rsidRDefault="0013116F" w:rsidP="0004348D">
      <w:pPr>
        <w:pStyle w:val="a9"/>
      </w:pPr>
      <w:r>
        <w:rPr>
          <w:rStyle w:val="ab"/>
        </w:rPr>
        <w:footnoteRef/>
      </w:r>
      <w:r>
        <w:rPr>
          <w:rtl/>
        </w:rPr>
        <w:t xml:space="preserve"> </w:t>
      </w:r>
      <w:r>
        <w:rPr>
          <w:rFonts w:hint="cs"/>
          <w:rtl/>
        </w:rPr>
        <w:t>סימן - אינה במחשבתו אינה מתקבעת. וכן – אינו אחראי משכח מהר.</w:t>
      </w:r>
    </w:p>
  </w:footnote>
  <w:footnote w:id="5586">
    <w:p w14:paraId="085A21DA" w14:textId="77777777" w:rsidR="0013116F" w:rsidRDefault="0013116F" w:rsidP="0004348D">
      <w:pPr>
        <w:pStyle w:val="a9"/>
        <w:rPr>
          <w:rtl/>
        </w:rPr>
      </w:pPr>
      <w:r>
        <w:rPr>
          <w:rStyle w:val="ab"/>
        </w:rPr>
        <w:footnoteRef/>
      </w:r>
      <w:r>
        <w:rPr>
          <w:rtl/>
        </w:rPr>
        <w:t xml:space="preserve"> כגון זה שלא היה לו לומר פרעתיך בעדים שלא אמר לו בשעת הלואה בעדים פרע לי הלכך לא שם לבו לזכור אם בעדים פרע אם שלא בעדים ואמר בעדים פרעתי ולאו אדעתיה ואינו מוחזק כפרן בכך, רש"י </w:t>
      </w:r>
      <w:r>
        <w:rPr>
          <w:sz w:val="16"/>
          <w:szCs w:val="16"/>
          <w:rtl/>
        </w:rPr>
        <w:t>(ומדבריו משמע דבכל גוונא שאמר שפרעו בעדים לא שנא אמרו בלשון תימה או בלשון ודאי כיון שלא אמר לו בשעת הלואה בעדים פרע לי הוי מילתא דלא רמיא עליה דאינש. והרמ"ה מחלק בכך</w:t>
      </w:r>
      <w:r>
        <w:rPr>
          <w:sz w:val="12"/>
          <w:szCs w:val="12"/>
          <w:rtl/>
        </w:rPr>
        <w:t xml:space="preserve"> {בין כשאמר בלשון שמא ובין שאמר בלשון ודאי}</w:t>
      </w:r>
      <w:r>
        <w:rPr>
          <w:sz w:val="16"/>
          <w:szCs w:val="16"/>
          <w:rtl/>
        </w:rPr>
        <w:t xml:space="preserve">, כמבואר בדברי רבינו. ואפשר שהרמ"ה כתב כן כדי ליישב הא דקשיא להו לתוס' </w:t>
      </w:r>
      <w:r>
        <w:rPr>
          <w:sz w:val="12"/>
          <w:szCs w:val="12"/>
          <w:rtl/>
        </w:rPr>
        <w:t xml:space="preserve">(ב"ב קע: ד"ה אלא, שבועות מא: ד"ה כל מילתא) </w:t>
      </w:r>
      <w:r>
        <w:rPr>
          <w:sz w:val="16"/>
          <w:szCs w:val="16"/>
          <w:rtl/>
        </w:rPr>
        <w:t xml:space="preserve">ורוב המפרשים דבגט פשוט אסיקנא שאם אמר פרעתיך בפני פלוני ופלוני צריך לברר ופירש ר"ח שאם באו עדים ואמרו להד"מ אינו נאמן ומשלם, ובשבועת הדיינין אסיקנא דנאמן, ומתוך דברי הרמ"ה מתיישבת קושיא זו דההיא דשבועת הדיינין בשאמר בלשון תימה וההיא דגט פשוט בשאמר לשון ודאי. ובעל התרומות </w:t>
      </w:r>
      <w:r>
        <w:rPr>
          <w:sz w:val="12"/>
          <w:szCs w:val="12"/>
          <w:rtl/>
        </w:rPr>
        <w:t xml:space="preserve">(שער מא ח"א סי' א) </w:t>
      </w:r>
      <w:r>
        <w:rPr>
          <w:sz w:val="16"/>
          <w:szCs w:val="16"/>
          <w:rtl/>
        </w:rPr>
        <w:t>כתב סברא זו ודחה אותה, ב"י)</w:t>
      </w:r>
      <w:r>
        <w:rPr>
          <w:rtl/>
        </w:rPr>
        <w:t xml:space="preserve">. וכן פירשו הר"ן </w:t>
      </w:r>
      <w:r>
        <w:rPr>
          <w:sz w:val="16"/>
          <w:szCs w:val="16"/>
          <w:rtl/>
        </w:rPr>
        <w:t xml:space="preserve">(שם כא: מדפה"ר) </w:t>
      </w:r>
      <w:r>
        <w:rPr>
          <w:rtl/>
        </w:rPr>
        <w:t xml:space="preserve">והטור </w:t>
      </w:r>
      <w:r>
        <w:rPr>
          <w:sz w:val="16"/>
          <w:szCs w:val="16"/>
          <w:rtl/>
        </w:rPr>
        <w:t xml:space="preserve">(סע' ג וסי' עט סע' יא) </w:t>
      </w:r>
      <w:r>
        <w:rPr>
          <w:rtl/>
        </w:rPr>
        <w:t xml:space="preserve">ורשב"א </w:t>
      </w:r>
      <w:r>
        <w:rPr>
          <w:sz w:val="16"/>
          <w:szCs w:val="16"/>
          <w:rtl/>
        </w:rPr>
        <w:t xml:space="preserve">(סי' תתקסא) </w:t>
      </w:r>
      <w:r>
        <w:rPr>
          <w:rtl/>
        </w:rPr>
        <w:t xml:space="preserve">ושאר מחברים, דלאו אדעתה דלוה. אך כתב הש"ך (סק"ו) דיש מפרשים </w:t>
      </w:r>
      <w:r>
        <w:rPr>
          <w:sz w:val="16"/>
          <w:szCs w:val="16"/>
          <w:rtl/>
        </w:rPr>
        <w:t>(הרמב"ם [פ"ו מטוען ונטען ה"ד-ה] והרז"ה [ב"ב עח: מדפה"ר] ובעל התרומות [שער מא ח"א ס"א] וראב"ן [שם] ור' ברוך בהג"א [פרק שבועת הדיינים סי' י"ז] והנמוק"י [ב"ב עט. מדפה"ר])</w:t>
      </w:r>
      <w:r>
        <w:rPr>
          <w:rtl/>
        </w:rPr>
        <w:t xml:space="preserve"> מילתא דלא רמיא לאו אדעתיה – אעדים. ותימה שהב"י לא הביאם.</w:t>
      </w:r>
    </w:p>
  </w:footnote>
  <w:footnote w:id="5587">
    <w:p w14:paraId="04D16318" w14:textId="77777777" w:rsidR="0013116F" w:rsidRDefault="0013116F" w:rsidP="0004348D">
      <w:pPr>
        <w:pStyle w:val="a9"/>
      </w:pPr>
      <w:r>
        <w:rPr>
          <w:rStyle w:val="ab"/>
        </w:rPr>
        <w:footnoteRef/>
      </w:r>
      <w:r>
        <w:rPr>
          <w:rtl/>
        </w:rPr>
        <w:t xml:space="preserve"> וז"ל- צריך לברר אמיתת הדברים כמו שיכול, ומ"מ אי לא משכח להו - לא מפסיד, וכן מוכח בירושלמי </w:t>
      </w:r>
      <w:r>
        <w:rPr>
          <w:sz w:val="16"/>
          <w:szCs w:val="16"/>
          <w:rtl/>
        </w:rPr>
        <w:t xml:space="preserve">(שבועות פ"ו ה"ב) </w:t>
      </w:r>
      <w:r>
        <w:rPr>
          <w:rtl/>
        </w:rPr>
        <w:t xml:space="preserve">שהביא ר"ח </w:t>
      </w:r>
      <w:r>
        <w:rPr>
          <w:sz w:val="16"/>
          <w:szCs w:val="16"/>
          <w:rtl/>
        </w:rPr>
        <w:t xml:space="preserve">(שם מא: ד"ה ירושלמי) </w:t>
      </w:r>
      <w:r>
        <w:rPr>
          <w:rtl/>
        </w:rPr>
        <w:t xml:space="preserve">הבא לידון בשטר ובחזקה, </w:t>
      </w:r>
      <w:r>
        <w:rPr>
          <w:u w:val="single"/>
          <w:rtl/>
        </w:rPr>
        <w:t>רבי אומר</w:t>
      </w:r>
      <w:r>
        <w:rPr>
          <w:rtl/>
        </w:rPr>
        <w:t xml:space="preserve">: נדון בשטר, פירוש שצריך לברר. </w:t>
      </w:r>
      <w:r>
        <w:rPr>
          <w:u w:val="single"/>
          <w:rtl/>
        </w:rPr>
        <w:t>רשב"ג אומר</w:t>
      </w:r>
      <w:r>
        <w:rPr>
          <w:rtl/>
        </w:rPr>
        <w:t>: נדון בחזקה. בא מעשה לפני רבי והורה כרשב"ג. קשיא דרבי ארבי! לא קשיא, רבי לא רצה אלא לעמוד על אמיתת הדבר, תוס'.</w:t>
      </w:r>
    </w:p>
  </w:footnote>
  <w:footnote w:id="5588">
    <w:p w14:paraId="6FD33A5A" w14:textId="77777777" w:rsidR="0013116F" w:rsidRDefault="0013116F" w:rsidP="0004348D">
      <w:pPr>
        <w:pStyle w:val="a9"/>
        <w:rPr>
          <w:rtl/>
        </w:rPr>
      </w:pPr>
      <w:r>
        <w:rPr>
          <w:rStyle w:val="ab"/>
        </w:rPr>
        <w:footnoteRef/>
      </w:r>
      <w:r>
        <w:rPr>
          <w:rtl/>
        </w:rPr>
        <w:t xml:space="preserve"> וז"ל- אף רבי לא אמר אלא לברר כלומר כיון שהביא שטרו אומרים לו ברר שטרך ואע"פ שיש עמו חזקה, ואם אי אפשר לברר כגון שמתו עדיו - נדון בחזקה. ורשב"ג סבר אין צריך לברר כלל אלא נדון בחזקה לבד, ומשמע דוקא אם נשאר חסרון הברור במיתת העדים או שהלכו למדינת הים אבל אם ישנן לעדים צריך לברר. וכ"כ ר"ח שאם טען ואמר אבד שטרי אינו נאמן לרבי, ובספר המקח </w:t>
      </w:r>
      <w:r>
        <w:rPr>
          <w:sz w:val="16"/>
          <w:szCs w:val="16"/>
          <w:rtl/>
        </w:rPr>
        <w:t xml:space="preserve">(שער מ) </w:t>
      </w:r>
      <w:r>
        <w:rPr>
          <w:rtl/>
        </w:rPr>
        <w:t xml:space="preserve">נמי כתוב שאם לא הביא שטר דבריו בטלים או שהביא ונמצא בטל נתבטלה נמי החזקה, והכי משמע פרק זה בורר </w:t>
      </w:r>
      <w:r>
        <w:rPr>
          <w:sz w:val="16"/>
          <w:szCs w:val="16"/>
          <w:rtl/>
        </w:rPr>
        <w:t xml:space="preserve">(סנהדרין כג:) </w:t>
      </w:r>
      <w:r>
        <w:rPr>
          <w:rtl/>
        </w:rPr>
        <w:t>שאם נמצאו קרובים או פסולים לא בירר, ורשב"ם גורס גירסא אחרת, והגאונים גורסים כמו שכתבתי.</w:t>
      </w:r>
    </w:p>
  </w:footnote>
  <w:footnote w:id="5589">
    <w:p w14:paraId="15727619" w14:textId="77777777" w:rsidR="0013116F" w:rsidRDefault="0013116F" w:rsidP="0004348D">
      <w:pPr>
        <w:pStyle w:val="a9"/>
      </w:pPr>
      <w:r>
        <w:rPr>
          <w:rStyle w:val="ab"/>
        </w:rPr>
        <w:footnoteRef/>
      </w:r>
      <w:r>
        <w:rPr>
          <w:rtl/>
        </w:rPr>
        <w:t xml:space="preserve"> ר"ח </w:t>
      </w:r>
      <w:r>
        <w:rPr>
          <w:sz w:val="14"/>
          <w:szCs w:val="14"/>
          <w:rtl/>
        </w:rPr>
        <w:t>(כ"כ הרא"ש בשמו [שם])</w:t>
      </w:r>
      <w:r>
        <w:rPr>
          <w:rtl/>
        </w:rPr>
        <w:t xml:space="preserve"> ר"ת </w:t>
      </w:r>
      <w:r>
        <w:rPr>
          <w:sz w:val="14"/>
          <w:szCs w:val="14"/>
          <w:rtl/>
        </w:rPr>
        <w:t xml:space="preserve">(בתוס' שם </w:t>
      </w:r>
      <w:r>
        <w:rPr>
          <w:sz w:val="12"/>
          <w:szCs w:val="12"/>
          <w:rtl/>
        </w:rPr>
        <w:t xml:space="preserve">[ב"ב קע: ד"ה אלא] </w:t>
      </w:r>
      <w:r>
        <w:rPr>
          <w:sz w:val="14"/>
          <w:szCs w:val="14"/>
          <w:rtl/>
        </w:rPr>
        <w:t xml:space="preserve">ובפרק שבועת הדיינין </w:t>
      </w:r>
      <w:r>
        <w:rPr>
          <w:sz w:val="12"/>
          <w:szCs w:val="12"/>
          <w:rtl/>
        </w:rPr>
        <w:t>[מא: ד"ה כל מילתא]</w:t>
      </w:r>
      <w:r>
        <w:rPr>
          <w:sz w:val="14"/>
          <w:szCs w:val="14"/>
          <w:rtl/>
        </w:rPr>
        <w:t>)</w:t>
      </w:r>
      <w:r>
        <w:rPr>
          <w:rtl/>
        </w:rPr>
        <w:t xml:space="preserve"> רמ"ה </w:t>
      </w:r>
      <w:r>
        <w:rPr>
          <w:sz w:val="16"/>
          <w:szCs w:val="16"/>
          <w:rtl/>
        </w:rPr>
        <w:t>(ב"ב קע. אות צט)</w:t>
      </w:r>
      <w:r>
        <w:rPr>
          <w:rtl/>
        </w:rPr>
        <w:t xml:space="preserve"> רא"ש </w:t>
      </w:r>
      <w:r>
        <w:rPr>
          <w:sz w:val="16"/>
          <w:szCs w:val="16"/>
          <w:rtl/>
        </w:rPr>
        <w:t>(ב"ב פ"י סי' כז)</w:t>
      </w:r>
      <w:r>
        <w:rPr>
          <w:rtl/>
        </w:rPr>
        <w:t xml:space="preserve"> וטור.</w:t>
      </w:r>
    </w:p>
  </w:footnote>
  <w:footnote w:id="5590">
    <w:p w14:paraId="63296A08" w14:textId="77777777" w:rsidR="0013116F" w:rsidRDefault="0013116F" w:rsidP="0004348D">
      <w:pPr>
        <w:pStyle w:val="a9"/>
        <w:rPr>
          <w:rtl/>
        </w:rPr>
      </w:pPr>
      <w:r>
        <w:rPr>
          <w:rStyle w:val="ab"/>
        </w:rPr>
        <w:footnoteRef/>
      </w:r>
      <w:r>
        <w:rPr>
          <w:rtl/>
        </w:rPr>
        <w:t xml:space="preserve"> </w:t>
      </w:r>
      <w:r>
        <w:rPr>
          <w:rFonts w:hint="cs"/>
          <w:rtl/>
        </w:rPr>
        <w:t>הטור כתב 'רש"י', אך הב"י כתב-</w:t>
      </w:r>
      <w:r>
        <w:rPr>
          <w:rtl/>
        </w:rPr>
        <w:t xml:space="preserve"> מתוך שלא מצאתי לרש"י שכתב כן נראה דר"ש גרסינן בדברי רבינו במקום רש"י והוא רשב"ם שפסק בפרק גט פשוט (קע: ד"ה אמר) הלכה כרבן שמעון בן גמליאל דאין צריך לברר.</w:t>
      </w:r>
    </w:p>
  </w:footnote>
  <w:footnote w:id="5591">
    <w:p w14:paraId="46D5A3A6" w14:textId="77777777" w:rsidR="0013116F" w:rsidRDefault="0013116F" w:rsidP="0004348D">
      <w:pPr>
        <w:pStyle w:val="a9"/>
        <w:rPr>
          <w:rtl/>
        </w:rPr>
      </w:pPr>
      <w:r>
        <w:rPr>
          <w:rStyle w:val="ab"/>
        </w:rPr>
        <w:footnoteRef/>
      </w:r>
      <w:r>
        <w:rPr>
          <w:rtl/>
        </w:rPr>
        <w:t xml:space="preserve"> </w:t>
      </w:r>
      <w:r>
        <w:rPr>
          <w:rFonts w:hint="cs"/>
          <w:rtl/>
        </w:rPr>
        <w:t>וז"ל-</w:t>
      </w:r>
      <w:r>
        <w:rPr>
          <w:rtl/>
        </w:rPr>
        <w:t xml:space="preserve"> אסיקנא בפרק זה בורר </w:t>
      </w:r>
      <w:r>
        <w:rPr>
          <w:sz w:val="16"/>
          <w:szCs w:val="16"/>
          <w:rtl/>
        </w:rPr>
        <w:t xml:space="preserve">(סנהדרין שם) </w:t>
      </w:r>
      <w:r>
        <w:rPr>
          <w:rtl/>
        </w:rPr>
        <w:t>דעד כאן לא אמרינן צריך לברר אלא בכגון הבא לידון בשטר ובחזקה, משום דחזקה מכח שטרא קא אתיא שאם נמצא השטר פסול אף חזקתו בטלה, אבל בטוען פרעתיך בפני פלוני ופלוני טענת הפרעון אינה באה מכח העדים אלא מילתא יתירתא הוא דאמר - הלכך אפילו באו עדים ואמרו להד"ם נאמן, כדאסיקנא בשבועת הדיינין ואפילו רבי מודה בהא, ורבי יצחק נפחא סבירא ליה כמאן דאמר התם בפרק זה בורר דאפילו בהכי פליגי, וכיון דאסיקנא דלא כוותיה בפרק זה בורר ובשבועת הדיינין ההיא דרבי יצחק נפחא אידחיא לה וליתא כלל ולכך לא כתבה הרי"ף ז"ל</w:t>
      </w:r>
      <w:r>
        <w:rPr>
          <w:sz w:val="16"/>
          <w:szCs w:val="16"/>
          <w:rtl/>
        </w:rPr>
        <w:t xml:space="preserve"> (ל' הר"ן)</w:t>
      </w:r>
      <w:r>
        <w:rPr>
          <w:rtl/>
        </w:rPr>
        <w:t>.</w:t>
      </w:r>
    </w:p>
  </w:footnote>
  <w:footnote w:id="5592">
    <w:p w14:paraId="0CF402FB" w14:textId="77777777" w:rsidR="0013116F" w:rsidRDefault="0013116F" w:rsidP="0004348D">
      <w:pPr>
        <w:pStyle w:val="a9"/>
      </w:pPr>
      <w:r>
        <w:rPr>
          <w:rStyle w:val="ab"/>
        </w:rPr>
        <w:footnoteRef/>
      </w:r>
      <w:r>
        <w:rPr>
          <w:rtl/>
        </w:rPr>
        <w:t xml:space="preserve"> רי"ף </w:t>
      </w:r>
      <w:r>
        <w:rPr>
          <w:sz w:val="16"/>
          <w:szCs w:val="16"/>
          <w:rtl/>
        </w:rPr>
        <w:t>(כ"כ בשמו הטור הר"ן והה"מ)</w:t>
      </w:r>
      <w:r>
        <w:rPr>
          <w:rtl/>
        </w:rPr>
        <w:t xml:space="preserve"> רשב"ם </w:t>
      </w:r>
      <w:r>
        <w:rPr>
          <w:sz w:val="16"/>
          <w:szCs w:val="16"/>
          <w:rtl/>
        </w:rPr>
        <w:t xml:space="preserve">(פרק גט פשוט קע: ד"ה אמר) </w:t>
      </w:r>
      <w:r>
        <w:rPr>
          <w:rtl/>
        </w:rPr>
        <w:t xml:space="preserve">הג"א </w:t>
      </w:r>
      <w:r>
        <w:rPr>
          <w:sz w:val="16"/>
          <w:szCs w:val="16"/>
          <w:rtl/>
        </w:rPr>
        <w:t xml:space="preserve">(פרק זה בורר סי' ד אות ז, וכתב הדרכ"מ [אות ב*] דכן משמע בשבועת הדיינין סי' יז) </w:t>
      </w:r>
      <w:r>
        <w:rPr>
          <w:rtl/>
        </w:rPr>
        <w:t xml:space="preserve">מאו"ז </w:t>
      </w:r>
      <w:r>
        <w:rPr>
          <w:sz w:val="16"/>
          <w:szCs w:val="16"/>
          <w:rtl/>
        </w:rPr>
        <w:t>(סנהדרין סי' יב, יא)</w:t>
      </w:r>
      <w:r>
        <w:rPr>
          <w:rtl/>
        </w:rPr>
        <w:t xml:space="preserve"> רשב"א</w:t>
      </w:r>
      <w:r>
        <w:rPr>
          <w:sz w:val="16"/>
          <w:szCs w:val="16"/>
          <w:rtl/>
        </w:rPr>
        <w:t xml:space="preserve"> (שם מא: ד"ה ונתחבטו, ב"ב קע. ד"ה ומסתברא)</w:t>
      </w:r>
      <w:r>
        <w:rPr>
          <w:rtl/>
        </w:rPr>
        <w:t xml:space="preserve"> ר"ן </w:t>
      </w:r>
      <w:r>
        <w:rPr>
          <w:sz w:val="16"/>
          <w:szCs w:val="16"/>
          <w:rtl/>
        </w:rPr>
        <w:t>(פרק שבועת הדיינין שם)</w:t>
      </w:r>
      <w:r>
        <w:rPr>
          <w:rtl/>
        </w:rPr>
        <w:t xml:space="preserve"> והה"מ </w:t>
      </w:r>
      <w:r>
        <w:rPr>
          <w:sz w:val="16"/>
          <w:szCs w:val="16"/>
          <w:rtl/>
        </w:rPr>
        <w:t>(פ"ו מטוען ה"ה)</w:t>
      </w:r>
      <w:r>
        <w:rPr>
          <w:rtl/>
        </w:rPr>
        <w:t>.</w:t>
      </w:r>
    </w:p>
  </w:footnote>
  <w:footnote w:id="5593">
    <w:p w14:paraId="08230B56" w14:textId="77777777" w:rsidR="0013116F" w:rsidRDefault="0013116F" w:rsidP="0004348D">
      <w:pPr>
        <w:pStyle w:val="a9"/>
        <w:rPr>
          <w:rtl/>
        </w:rPr>
      </w:pPr>
      <w:r>
        <w:rPr>
          <w:rStyle w:val="ab"/>
        </w:rPr>
        <w:footnoteRef/>
      </w:r>
      <w:r>
        <w:rPr>
          <w:rtl/>
        </w:rPr>
        <w:t xml:space="preserve"> כ"כ בשמו הג"א [שם] מאו"ז [שם]. </w:t>
      </w:r>
      <w:r>
        <w:rPr>
          <w:sz w:val="16"/>
          <w:szCs w:val="16"/>
          <w:rtl/>
        </w:rPr>
        <w:t>(ומזה שכתבו כן בשם רש"י נראה עוד סיוע לגרוס 'רשב"ם' בדברי הטור ולא 'רש"י', וכמו שכתב הב"י על דבריו)</w:t>
      </w:r>
    </w:p>
  </w:footnote>
  <w:footnote w:id="5594">
    <w:p w14:paraId="4376A5E7" w14:textId="77777777" w:rsidR="0013116F" w:rsidRDefault="0013116F" w:rsidP="0004348D">
      <w:pPr>
        <w:pStyle w:val="a9"/>
      </w:pPr>
      <w:r>
        <w:rPr>
          <w:rStyle w:val="ab"/>
        </w:rPr>
        <w:footnoteRef/>
      </w:r>
      <w:r>
        <w:rPr>
          <w:rtl/>
        </w:rPr>
        <w:t xml:space="preserve"> </w:t>
      </w:r>
      <w:r>
        <w:rPr>
          <w:rFonts w:hint="cs"/>
          <w:color w:val="FF0000"/>
          <w:rtl/>
        </w:rPr>
        <w:t xml:space="preserve">{צל"ע אם צריך - הוספתי אחרי} </w:t>
      </w:r>
      <w:r>
        <w:rPr>
          <w:rFonts w:hint="cs"/>
          <w:rtl/>
        </w:rPr>
        <w:t>הרמב"ם כתב בהלכה ד, וז"ל-</w:t>
      </w:r>
      <w:r>
        <w:rPr>
          <w:rtl/>
        </w:rPr>
        <w:t xml:space="preserve"> מנה הלויתיך והוא לי בידך אמר לו הנטען והלא פרעתיך בפני פלוני ופלוני, ובאו עדים ואמרו לא היו דברים מעולם, לא הוחזק כפרן שאין העדים זוכרין אלא דבר שהם עדים בו לפיכך לא הוחזק כפרן וישבע הלוה היסת ויפטר. עכ"ל. ובהלכה ה' כתב-...</w:t>
      </w:r>
    </w:p>
  </w:footnote>
  <w:footnote w:id="5595">
    <w:p w14:paraId="39C76995" w14:textId="77777777" w:rsidR="0013116F" w:rsidRDefault="0013116F" w:rsidP="0004348D">
      <w:pPr>
        <w:pStyle w:val="a9"/>
        <w:rPr>
          <w:rtl/>
        </w:rPr>
      </w:pPr>
      <w:r>
        <w:rPr>
          <w:rStyle w:val="ab"/>
        </w:rPr>
        <w:footnoteRef/>
      </w:r>
      <w:r>
        <w:rPr>
          <w:rtl/>
        </w:rPr>
        <w:t xml:space="preserve"> </w:t>
      </w:r>
      <w:r>
        <w:rPr>
          <w:rFonts w:hint="cs"/>
          <w:u w:val="single"/>
          <w:rtl/>
        </w:rPr>
        <w:t>ונחלקו הפוסקים בפירוש דבריו:</w:t>
      </w:r>
    </w:p>
    <w:p w14:paraId="322A4ABA" w14:textId="77777777" w:rsidR="0013116F" w:rsidRDefault="0013116F" w:rsidP="00992A87">
      <w:pPr>
        <w:pStyle w:val="a9"/>
        <w:numPr>
          <w:ilvl w:val="0"/>
          <w:numId w:val="374"/>
        </w:numPr>
        <w:rPr>
          <w:rtl/>
        </w:rPr>
      </w:pPr>
      <w:r>
        <w:rPr>
          <w:rtl/>
        </w:rPr>
        <w:t>טור- פירוש דברי הרמב"ם כדברי הרי"ף ורשב"ם דאין צריך לברר דבריו.</w:t>
      </w:r>
      <w:r>
        <w:rPr>
          <w:sz w:val="16"/>
          <w:szCs w:val="16"/>
          <w:rtl/>
        </w:rPr>
        <w:t xml:space="preserve"> (וכתב הב"י על הבנת הטור- ותמהני על רבנו שרצה להסכים דברי הרמב"ם עם הרי"ף והם רחוקים מאד, דהרי"ף לא כתב ההוא עובדא דפרק גט פשוט אלא ההוא דשבועת הדיינין בלבד, והרמב"ם כתבם לשניהם. עכ"ל. אך הסמ"ע [סק"ח] כתב דדברי הטור מובנים שהרי הרמב"ם לא כתב סתם שצריך לברר דבריו, אלא כתב בצדו 'כדי להפטר אף מהשבועה', ומשום הכי נמי דקדק הטור [סעיף ג'] שהרמב"ם ס"ל דאפילו באו עדים והכחישוהו יפטר בשבועה)</w:t>
      </w:r>
    </w:p>
    <w:p w14:paraId="1B8193FE" w14:textId="77777777" w:rsidR="0013116F" w:rsidRDefault="0013116F" w:rsidP="00992A87">
      <w:pPr>
        <w:pStyle w:val="a9"/>
        <w:numPr>
          <w:ilvl w:val="0"/>
          <w:numId w:val="374"/>
        </w:numPr>
      </w:pPr>
      <w:r>
        <w:rPr>
          <w:rtl/>
        </w:rPr>
        <w:t>הה"מ</w:t>
      </w:r>
      <w:r>
        <w:rPr>
          <w:sz w:val="14"/>
          <w:szCs w:val="14"/>
          <w:rtl/>
        </w:rPr>
        <w:t xml:space="preserve"> (פירוש א)</w:t>
      </w:r>
      <w:r>
        <w:rPr>
          <w:rtl/>
        </w:rPr>
        <w:t xml:space="preserve">- הוא מחלק בין אומר 'ולא פרעתיך בפני פלוני ופלוני?' לאומר 'פרעתיך בפני פלוני ופלוני', וכדברי הרמ"ה. </w:t>
      </w:r>
    </w:p>
    <w:p w14:paraId="5517499E" w14:textId="77777777" w:rsidR="0013116F" w:rsidRDefault="0013116F" w:rsidP="00992A87">
      <w:pPr>
        <w:pStyle w:val="a9"/>
        <w:numPr>
          <w:ilvl w:val="0"/>
          <w:numId w:val="374"/>
        </w:numPr>
      </w:pPr>
      <w:r>
        <w:rPr>
          <w:rtl/>
        </w:rPr>
        <w:t>הה"מ</w:t>
      </w:r>
      <w:r>
        <w:rPr>
          <w:sz w:val="14"/>
          <w:szCs w:val="14"/>
          <w:rtl/>
        </w:rPr>
        <w:t xml:space="preserve"> (פירוש ב)</w:t>
      </w:r>
      <w:r>
        <w:rPr>
          <w:rtl/>
        </w:rPr>
        <w:t xml:space="preserve">- הוא מחלק דההיא דשבועת הדיינין בדליכא עדי הלואה, וההיא דגט פשוט בדאיכא עדי הלואה, ומפרש 'אנא נמי לברר קאמינא' - לברר דבריו להפטר משבועה. </w:t>
      </w:r>
      <w:r>
        <w:rPr>
          <w:sz w:val="16"/>
          <w:szCs w:val="16"/>
          <w:rtl/>
        </w:rPr>
        <w:t>(ודייק כן מלשון הרמב"ם שכתב בההיא דפרק גט פשוט 'תן לי מנה שהלויתיך והרי העדים', ב"י)</w:t>
      </w:r>
      <w:r>
        <w:rPr>
          <w:rtl/>
        </w:rPr>
        <w:t xml:space="preserve"> </w:t>
      </w:r>
    </w:p>
    <w:p w14:paraId="79702423" w14:textId="77777777" w:rsidR="0013116F" w:rsidRDefault="0013116F" w:rsidP="00992A87">
      <w:pPr>
        <w:pStyle w:val="a9"/>
        <w:numPr>
          <w:ilvl w:val="0"/>
          <w:numId w:val="374"/>
        </w:numPr>
      </w:pPr>
      <w:r>
        <w:rPr>
          <w:rtl/>
        </w:rPr>
        <w:t>ב"י</w:t>
      </w:r>
      <w:r>
        <w:rPr>
          <w:sz w:val="14"/>
          <w:szCs w:val="14"/>
          <w:rtl/>
        </w:rPr>
        <w:t xml:space="preserve"> (פירוש א)</w:t>
      </w:r>
      <w:r>
        <w:rPr>
          <w:rtl/>
        </w:rPr>
        <w:t xml:space="preserve">- יש לחלק דההיא דפרק גט פשוט מיירי בשהזמינם לעדים וההיא דפרק שבועת הדיינים מיירי בשלא הזמינם </w:t>
      </w:r>
      <w:r>
        <w:rPr>
          <w:sz w:val="16"/>
          <w:szCs w:val="16"/>
          <w:rtl/>
        </w:rPr>
        <w:t>(וכבר נזכר חילוק זה בדברי רבינו לדעת הרז"ה, ובעל התרומות (שער מא ח"א סי' א) הסכים לדברי מי שפירש כן. ונמוק"י כתבו בפרק גט פשוט (עט. דבור ראשון) בשם הראשונים. ולשון הרמב"ם הכי דייק דגבי ההיא דפרק שבועת הדיינים כתב שאין העדים זוכרים אלא דבר שהוזמנו לעדים בו)</w:t>
      </w:r>
      <w:r>
        <w:rPr>
          <w:rtl/>
        </w:rPr>
        <w:t xml:space="preserve">. </w:t>
      </w:r>
    </w:p>
    <w:p w14:paraId="5E274893" w14:textId="77777777" w:rsidR="0013116F" w:rsidRDefault="0013116F" w:rsidP="00992A87">
      <w:pPr>
        <w:pStyle w:val="a9"/>
        <w:numPr>
          <w:ilvl w:val="0"/>
          <w:numId w:val="374"/>
        </w:numPr>
      </w:pPr>
      <w:r>
        <w:rPr>
          <w:rtl/>
        </w:rPr>
        <w:t>ב"י</w:t>
      </w:r>
      <w:r>
        <w:rPr>
          <w:sz w:val="14"/>
          <w:szCs w:val="14"/>
          <w:rtl/>
        </w:rPr>
        <w:t xml:space="preserve"> (פירוש ב)</w:t>
      </w:r>
      <w:r>
        <w:rPr>
          <w:rtl/>
        </w:rPr>
        <w:t xml:space="preserve">- הרמב"ם מפרש דהא דקאמר בפרק גט פשוט 'לברר קא אמינא' הכי קאמר - הא דאמינא יבואו פלוני ופלוני ויעידו, לא לענין שאם לא באו או אם באו ואמרו להד"מ, תתחייב לשלם, אלא לכך אני אומר יבואו פלוני ופלוני ויעידו - כדי שתפטר משבועה, ואין הכי נמי דאפילו לא באו או באו ואמרו להד"מ - בשבועה סגי ליה, והיינו ההיא דפרק שבועת הדיינים דכי אמרו להד"מ נאמן ובשבועה. </w:t>
      </w:r>
      <w:r>
        <w:rPr>
          <w:sz w:val="16"/>
          <w:szCs w:val="16"/>
          <w:rtl/>
        </w:rPr>
        <w:t>(ומיהו הה"מ כתב שנראה מדברי הרמב"ם כדעת הרבה מהמפרשים שכתבו שאם באו אותם פלוני ופלוני והכחישוהו חייב לשלם וטעמו מדנקט הרמב"ם 'לא באו או שמתו או שהלכו למדינה אחרת' משמע דוקא בהני גווני הוא דישבע היסת אבל אם הכחישוהו אינו נאמן דאל"כ לישמעינן הא וכל שכן הנך. אך כתב הב"י (בבדה"ב)- ולי נראה שאין זה מוכרח בדברי הרמב"ם דיש לומר דאורחא דמילתא נקט שאם הם נמצאים למה אינם באים)</w:t>
      </w:r>
    </w:p>
    <w:p w14:paraId="241824F8" w14:textId="77777777" w:rsidR="0013116F" w:rsidRDefault="0013116F" w:rsidP="00992A87">
      <w:pPr>
        <w:pStyle w:val="a9"/>
        <w:numPr>
          <w:ilvl w:val="0"/>
          <w:numId w:val="374"/>
        </w:numPr>
      </w:pPr>
      <w:r>
        <w:rPr>
          <w:rtl/>
        </w:rPr>
        <w:t xml:space="preserve">דרכ"מ </w:t>
      </w:r>
      <w:r>
        <w:rPr>
          <w:sz w:val="14"/>
          <w:szCs w:val="14"/>
          <w:rtl/>
        </w:rPr>
        <w:t>(אות ג)</w:t>
      </w:r>
      <w:r>
        <w:rPr>
          <w:rtl/>
        </w:rPr>
        <w:t xml:space="preserve">- דעת הרמב"ם כדעת הרא"ש דהא הרמב"ם לא קאמר שאינו מפסיד אלא כשהחסרון מצד העדים שמתו או שהלכו למדינת הים ומשמע אם ישנם לעדים - צריך לברר, וכל שכן אם אמרו להד"ם דמפסיד. </w:t>
      </w:r>
    </w:p>
  </w:footnote>
  <w:footnote w:id="5596">
    <w:p w14:paraId="4D4EF158" w14:textId="77777777" w:rsidR="0013116F" w:rsidRDefault="0013116F" w:rsidP="0004348D">
      <w:pPr>
        <w:pStyle w:val="a9"/>
        <w:rPr>
          <w:rtl/>
        </w:rPr>
      </w:pPr>
      <w:r>
        <w:rPr>
          <w:rStyle w:val="ab"/>
        </w:rPr>
        <w:footnoteRef/>
      </w:r>
      <w:r>
        <w:rPr>
          <w:rtl/>
        </w:rPr>
        <w:t xml:space="preserve"> </w:t>
      </w:r>
      <w:r>
        <w:rPr>
          <w:rFonts w:hint="cs"/>
          <w:rtl/>
        </w:rPr>
        <w:t>כתב הרמ"ה וז"ל-</w:t>
      </w:r>
      <w:r>
        <w:rPr>
          <w:rtl/>
        </w:rPr>
        <w:t xml:space="preserve"> אם באו העדים ואמרו להד"ם הוחזק כפרן ואינו נאמן שוב לומר פרעתי, והא דאמרינן בפרק שבועת הדיינים מילתא דלא רמי עליה דאינש לאו אדעתיה ולא הוחזק כפרן כשאמר פרעתיך בפני עדים והכחישוהו כיון שלא היה צריך לפרעו בעדים היינו דוקא-...</w:t>
      </w:r>
    </w:p>
  </w:footnote>
  <w:footnote w:id="5597">
    <w:p w14:paraId="688DA019" w14:textId="77777777" w:rsidR="0013116F" w:rsidRDefault="0013116F" w:rsidP="0004348D">
      <w:pPr>
        <w:pStyle w:val="a9"/>
      </w:pPr>
      <w:r>
        <w:rPr>
          <w:rStyle w:val="ab"/>
        </w:rPr>
        <w:footnoteRef/>
      </w:r>
      <w:r>
        <w:rPr>
          <w:rtl/>
        </w:rPr>
        <w:t xml:space="preserve"> וכתב הסמ"ע</w:t>
      </w:r>
      <w:r>
        <w:rPr>
          <w:sz w:val="16"/>
          <w:szCs w:val="16"/>
          <w:rtl/>
        </w:rPr>
        <w:t xml:space="preserve"> (סק"י) </w:t>
      </w:r>
      <w:r>
        <w:rPr>
          <w:rtl/>
        </w:rPr>
        <w:t xml:space="preserve">דאפילו לא מתו או הלכו למדינת הים, כל שיש טירחא להביא עדים אין צריך להביאם אלא נשבע ונפטר, ואם באו והכחישוהו ג"כ פטור </w:t>
      </w:r>
      <w:r>
        <w:rPr>
          <w:sz w:val="16"/>
          <w:szCs w:val="16"/>
          <w:rtl/>
        </w:rPr>
        <w:t xml:space="preserve">(וכתב שכך דעת הרי"ף </w:t>
      </w:r>
      <w:r>
        <w:rPr>
          <w:sz w:val="12"/>
          <w:szCs w:val="12"/>
          <w:rtl/>
        </w:rPr>
        <w:t xml:space="preserve">[ב"ב עח: מדפה"ר] </w:t>
      </w:r>
      <w:r>
        <w:rPr>
          <w:sz w:val="16"/>
          <w:szCs w:val="16"/>
          <w:rtl/>
        </w:rPr>
        <w:t>רשב"ם</w:t>
      </w:r>
      <w:r>
        <w:rPr>
          <w:sz w:val="12"/>
          <w:szCs w:val="12"/>
          <w:rtl/>
        </w:rPr>
        <w:t xml:space="preserve"> [שם קע: ד"ה אמר ליה] </w:t>
      </w:r>
      <w:r>
        <w:rPr>
          <w:sz w:val="16"/>
          <w:szCs w:val="16"/>
          <w:rtl/>
        </w:rPr>
        <w:t xml:space="preserve">רשב"א </w:t>
      </w:r>
      <w:r>
        <w:rPr>
          <w:sz w:val="12"/>
          <w:szCs w:val="12"/>
          <w:rtl/>
        </w:rPr>
        <w:t xml:space="preserve">[קע. ושבועות מא:] </w:t>
      </w:r>
      <w:r>
        <w:rPr>
          <w:sz w:val="16"/>
          <w:szCs w:val="16"/>
          <w:rtl/>
        </w:rPr>
        <w:t xml:space="preserve">ר"ן </w:t>
      </w:r>
      <w:r>
        <w:rPr>
          <w:sz w:val="12"/>
          <w:szCs w:val="12"/>
          <w:rtl/>
        </w:rPr>
        <w:t xml:space="preserve">[שבועות כא: מדפה"ר] </w:t>
      </w:r>
      <w:r>
        <w:rPr>
          <w:sz w:val="16"/>
          <w:szCs w:val="16"/>
          <w:rtl/>
        </w:rPr>
        <w:t xml:space="preserve">רא"ש </w:t>
      </w:r>
      <w:r>
        <w:rPr>
          <w:sz w:val="12"/>
          <w:szCs w:val="12"/>
          <w:rtl/>
        </w:rPr>
        <w:t xml:space="preserve">[ב"ב פ"י סי' כז] </w:t>
      </w:r>
      <w:r>
        <w:rPr>
          <w:sz w:val="16"/>
          <w:szCs w:val="16"/>
          <w:rtl/>
        </w:rPr>
        <w:t xml:space="preserve">וטור </w:t>
      </w:r>
      <w:r>
        <w:rPr>
          <w:sz w:val="12"/>
          <w:szCs w:val="12"/>
          <w:rtl/>
        </w:rPr>
        <w:t>[סע' ג]</w:t>
      </w:r>
      <w:r>
        <w:rPr>
          <w:sz w:val="16"/>
          <w:szCs w:val="16"/>
          <w:rtl/>
        </w:rPr>
        <w:t>, ושכן דעת הרמב"ם [שם] לפירוש הטור, אלא שלכתח' ס"ל דאמרינן ליה הביאם כדי שאם יאמרו כדבריך לא תצטרך לישבע, דבכל דבר אם אנו יכולין לעשות צדדין שא"צ לישבע עושין)</w:t>
      </w:r>
      <w:r>
        <w:rPr>
          <w:rtl/>
        </w:rPr>
        <w:t>.</w:t>
      </w:r>
    </w:p>
  </w:footnote>
  <w:footnote w:id="5598">
    <w:p w14:paraId="1C43C4D6" w14:textId="77777777" w:rsidR="0013116F" w:rsidRDefault="0013116F" w:rsidP="0004348D">
      <w:pPr>
        <w:pStyle w:val="a9"/>
        <w:rPr>
          <w:rtl/>
        </w:rPr>
      </w:pPr>
      <w:r>
        <w:rPr>
          <w:rStyle w:val="ab"/>
        </w:rPr>
        <w:footnoteRef/>
      </w:r>
      <w:r>
        <w:rPr>
          <w:rtl/>
        </w:rPr>
        <w:t xml:space="preserve"> </w:t>
      </w:r>
      <w:r>
        <w:rPr>
          <w:rFonts w:hint="cs"/>
          <w:rtl/>
        </w:rPr>
        <w:t>סימן – חייב לפרוע לפני חוזים.</w:t>
      </w:r>
    </w:p>
  </w:footnote>
  <w:footnote w:id="5599">
    <w:p w14:paraId="6EE312D7" w14:textId="77777777" w:rsidR="0013116F" w:rsidRDefault="0013116F" w:rsidP="0004348D">
      <w:pPr>
        <w:pStyle w:val="a9"/>
      </w:pPr>
      <w:r>
        <w:rPr>
          <w:rStyle w:val="ab"/>
        </w:rPr>
        <w:footnoteRef/>
      </w:r>
      <w:r>
        <w:rPr>
          <w:rtl/>
        </w:rPr>
        <w:t xml:space="preserve"> הכי משמע מדיהיב טעמא 'מפני שצריך ליתנו לו בפני עדים', כלומר מאחר שהתרה בו שלא לפרעו אלא בפני עדים אנן סהדי דאלו פרעיה לא הוה פרע אלא בפני עדים, וכיון דליכא עדים אנן סהדי דלא פרעיה, ובמקום דאנן סהדי אין מקום לשבועה, ב"י.</w:t>
      </w:r>
    </w:p>
  </w:footnote>
  <w:footnote w:id="5600">
    <w:p w14:paraId="1856BECA" w14:textId="77777777" w:rsidR="0013116F" w:rsidRDefault="0013116F" w:rsidP="0004348D">
      <w:pPr>
        <w:pStyle w:val="a9"/>
      </w:pPr>
      <w:r>
        <w:rPr>
          <w:rStyle w:val="ab"/>
        </w:rPr>
        <w:footnoteRef/>
      </w:r>
      <w:r>
        <w:rPr>
          <w:rtl/>
        </w:rPr>
        <w:t xml:space="preserve"> כתב הר"ן (כ: ד"ה מתני') על המשנה הנזכרת- מהא שמעינן דאפילו לאחר הלואה יכול המלוה לומר ללוה לא תפרעני אלא בעדים דהא מתניתין לאחר הלואה היא. וכתב הרמב"ן (מא: ד"ה אל) דכשאומר לו לאחר הלואה אם לא קבל עליו אלא אמר לו לא אפרע אותך אלא שלא בעדים - אין צריך לפרעו בעדים. אבל ממה שכתבו הר"י ן' מיגא"ש (מא. ד"ה פיסקא) והרמב"ם נראה שהם סוברים שאין הדבר תלוי בקבלתו של לוה אלא כיון שהתרה בו המלוה צריך לפרעו בעדים. ויש שתמהו- 'ולאחר הלואה במה נשתעבד?', ונראה לי שאין הענין מטעם שעבוד אלא משום דכשאמר לו אל תפרעני אלא בעדים אין הלוה עשוי לפרעו שלא בעדים ואי טען ואמר פרעתיו בלא עדים אמרינן שקורי משקר, ולפיכך אין הדבר תלוי בקבלת הלוה אלא כל שהתרה בו המלוה ואמר לו אל תפרעני אלא בעדים אם טען הלוה בלא עדים פרעתיו אנן סהדי דשקורי משקר. עכ"ל הר"ן. וכ"כ הה"מ בפרק הנזכר שדעת ן' מיגא"ש כהרמב"ם משום דעבד לוה לאיש מלוה, וכתב עוד שדעת הרשב"א (לח: ד"ה מנה) והרמ"ה נראין כדברי הרמב"ם.</w:t>
      </w:r>
    </w:p>
  </w:footnote>
  <w:footnote w:id="5601">
    <w:p w14:paraId="52E20873" w14:textId="77777777" w:rsidR="0013116F" w:rsidRDefault="0013116F" w:rsidP="0004348D">
      <w:pPr>
        <w:pStyle w:val="a9"/>
        <w:rPr>
          <w:rtl/>
        </w:rPr>
      </w:pPr>
      <w:r>
        <w:rPr>
          <w:rStyle w:val="ab"/>
        </w:rPr>
        <w:footnoteRef/>
      </w:r>
      <w:r>
        <w:rPr>
          <w:rtl/>
        </w:rPr>
        <w:t xml:space="preserve"> </w:t>
      </w:r>
      <w:r>
        <w:rPr>
          <w:rFonts w:hint="cs"/>
          <w:rtl/>
        </w:rPr>
        <w:t>סימן – מיפרע/מחזיר אלוון</w:t>
      </w:r>
      <w:r>
        <w:rPr>
          <w:sz w:val="16"/>
          <w:szCs w:val="16"/>
          <w:rtl/>
        </w:rPr>
        <w:t xml:space="preserve"> {</w:t>
      </w:r>
      <w:r>
        <w:rPr>
          <w:sz w:val="16"/>
          <w:szCs w:val="16"/>
        </w:rPr>
        <w:t>alone</w:t>
      </w:r>
      <w:r>
        <w:rPr>
          <w:sz w:val="16"/>
          <w:szCs w:val="16"/>
          <w:rtl/>
        </w:rPr>
        <w:t xml:space="preserve"> </w:t>
      </w:r>
      <w:r>
        <w:rPr>
          <w:rFonts w:hint="cs"/>
          <w:sz w:val="16"/>
          <w:szCs w:val="16"/>
          <w:rtl/>
        </w:rPr>
        <w:t>– לבד/בגפו}</w:t>
      </w:r>
      <w:r>
        <w:rPr>
          <w:rtl/>
        </w:rPr>
        <w:t>.</w:t>
      </w:r>
    </w:p>
  </w:footnote>
  <w:footnote w:id="5602">
    <w:p w14:paraId="446AFF0A" w14:textId="77777777" w:rsidR="0013116F" w:rsidRDefault="0013116F" w:rsidP="0004348D">
      <w:pPr>
        <w:pStyle w:val="a9"/>
      </w:pPr>
      <w:r>
        <w:rPr>
          <w:rStyle w:val="ab"/>
        </w:rPr>
        <w:footnoteRef/>
      </w:r>
      <w:r>
        <w:rPr>
          <w:rtl/>
        </w:rPr>
        <w:t xml:space="preserve"> ר"ח </w:t>
      </w:r>
      <w:r>
        <w:rPr>
          <w:sz w:val="16"/>
          <w:szCs w:val="16"/>
          <w:rtl/>
        </w:rPr>
        <w:t xml:space="preserve">(כ"כ הרא"ש בשמו [פ"ו סי' יד-טו]) </w:t>
      </w:r>
      <w:r>
        <w:rPr>
          <w:rtl/>
        </w:rPr>
        <w:t xml:space="preserve">ר"י </w:t>
      </w:r>
      <w:r>
        <w:rPr>
          <w:sz w:val="16"/>
          <w:szCs w:val="16"/>
          <w:rtl/>
        </w:rPr>
        <w:t xml:space="preserve">(כ"כ הרא"ש בשמו [שפ סי' יג]) </w:t>
      </w:r>
      <w:r>
        <w:rPr>
          <w:rtl/>
        </w:rPr>
        <w:t xml:space="preserve">רמב"ם </w:t>
      </w:r>
      <w:r>
        <w:rPr>
          <w:sz w:val="16"/>
          <w:szCs w:val="16"/>
          <w:rtl/>
        </w:rPr>
        <w:t>(פט"ו ממלוה ולוה ה"א-ב)</w:t>
      </w:r>
      <w:r>
        <w:rPr>
          <w:rtl/>
        </w:rPr>
        <w:t xml:space="preserve"> ורא"ש </w:t>
      </w:r>
      <w:r>
        <w:rPr>
          <w:sz w:val="16"/>
          <w:szCs w:val="16"/>
          <w:rtl/>
        </w:rPr>
        <w:t>(פ"ו סי' יג)</w:t>
      </w:r>
      <w:r>
        <w:rPr>
          <w:rtl/>
        </w:rPr>
        <w:t>.</w:t>
      </w:r>
    </w:p>
  </w:footnote>
  <w:footnote w:id="5603">
    <w:p w14:paraId="57C7059D" w14:textId="77777777" w:rsidR="0013116F" w:rsidRDefault="0013116F" w:rsidP="0004348D">
      <w:pPr>
        <w:pStyle w:val="a9"/>
        <w:rPr>
          <w:rtl/>
        </w:rPr>
      </w:pPr>
      <w:r>
        <w:rPr>
          <w:rStyle w:val="ab"/>
        </w:rPr>
        <w:footnoteRef/>
      </w:r>
      <w:r>
        <w:rPr>
          <w:rtl/>
        </w:rPr>
        <w:t xml:space="preserve"> הרמב"ם (שם ה"ב) כתב שבדק בנוסחאות ישנות שנכתבו לפני ת"ק שנה והיה כתוב בהן נאמן והכריע מסברא שאותן נוסחאות ישנות הן אמיתיות. וכתב הה"מ (שם ה"א)- שכ"כ רבינו מאיר [הלוי] והעיד שכך מצא בנוסחי עתיקי ובנוסחא דרבוותא קשישי. וכתב הרא"ש (פ"ו סי' יג) דהכי גרס ר"י בעל התוספות. וכתב עוד ויותר מסתבר דגרסינן נאמן שהרי הוא אומר שקיים תנאו ופרעו בפני עדים וסוף העדים למות וכי בשביל זה יפסיד ולא היה מחוייב לכתוב שובר ולשמרו לעולם, עכ"ל הרא"ש. וכתב עוד הרא"ש (שם סי' יד - טו) שנראה מדברי רבינו חננאל דגריס כהרמב"ם.</w:t>
      </w:r>
    </w:p>
    <w:p w14:paraId="092F2FDB" w14:textId="77777777" w:rsidR="0013116F" w:rsidRDefault="0013116F" w:rsidP="0004348D">
      <w:pPr>
        <w:pStyle w:val="a9"/>
        <w:rPr>
          <w:u w:val="single"/>
          <w:rtl/>
        </w:rPr>
      </w:pPr>
      <w:r>
        <w:rPr>
          <w:u w:val="single"/>
          <w:rtl/>
        </w:rPr>
        <w:t>וקשה, דהרי אם נאמן לומר כן יהיה גם נאמן לומר 'פרעתיך ביני לבינך' במגו דאי בעי אמר 'פרעתיך בפני פלוני ופלוני ומתו':</w:t>
      </w:r>
    </w:p>
    <w:p w14:paraId="724B9389" w14:textId="77777777" w:rsidR="0013116F" w:rsidRDefault="0013116F" w:rsidP="00992A87">
      <w:pPr>
        <w:pStyle w:val="a9"/>
        <w:numPr>
          <w:ilvl w:val="0"/>
          <w:numId w:val="375"/>
        </w:numPr>
        <w:rPr>
          <w:rtl/>
        </w:rPr>
      </w:pPr>
      <w:r>
        <w:rPr>
          <w:rtl/>
        </w:rPr>
        <w:t xml:space="preserve">רא"ש </w:t>
      </w:r>
      <w:r>
        <w:rPr>
          <w:sz w:val="16"/>
          <w:szCs w:val="16"/>
          <w:rtl/>
        </w:rPr>
        <w:t>(פ"ו סי' יג)</w:t>
      </w:r>
      <w:r>
        <w:rPr>
          <w:rtl/>
        </w:rPr>
        <w:t>- יש לומר דאין זה מגו טוב, דיותר נוח לומר פרעתיך ביני לבינך ושכחתי ההתראה שהתרית בי לפרעך בעדים ממה שיאמר פרעתיך בפני פלוני ופלוני ומתו כי יאמרו העולם הרוצה לשקר ירחיק עדיו.</w:t>
      </w:r>
    </w:p>
    <w:p w14:paraId="5867EAB3" w14:textId="77777777" w:rsidR="0013116F" w:rsidRDefault="0013116F" w:rsidP="00992A87">
      <w:pPr>
        <w:pStyle w:val="a9"/>
        <w:numPr>
          <w:ilvl w:val="0"/>
          <w:numId w:val="375"/>
        </w:numPr>
      </w:pPr>
      <w:r>
        <w:rPr>
          <w:rtl/>
        </w:rPr>
        <w:t>רבינו מאיר</w:t>
      </w:r>
      <w:r>
        <w:rPr>
          <w:sz w:val="16"/>
          <w:szCs w:val="16"/>
          <w:rtl/>
        </w:rPr>
        <w:t xml:space="preserve"> (כ"כ הה"מ בשמו)</w:t>
      </w:r>
      <w:r>
        <w:rPr>
          <w:rtl/>
        </w:rPr>
        <w:t xml:space="preserve"> ורשב"א</w:t>
      </w:r>
      <w:r>
        <w:rPr>
          <w:sz w:val="16"/>
          <w:szCs w:val="16"/>
          <w:rtl/>
        </w:rPr>
        <w:t xml:space="preserve"> (מא: ד"ה רב יוסף, כ"כ הה"מ בשמו)</w:t>
      </w:r>
      <w:r>
        <w:rPr>
          <w:rtl/>
        </w:rPr>
        <w:t xml:space="preserve">- בגמרא לא אמרו 'ומתו' אלא 'הלכו למדינת הים' משום דדוקא בהלכו הוא דנאמן, דמסתפי דילמא אתו, אבל במתו אינו נאמן דא"כ מה הועיל זה בתנאו, והשתא ליכא מגו דאמר 'הלכו' דילמא אתו ומכחשי ליה. </w:t>
      </w:r>
    </w:p>
    <w:p w14:paraId="25A3BFA7" w14:textId="77777777" w:rsidR="0013116F" w:rsidRDefault="0013116F" w:rsidP="00992A87">
      <w:pPr>
        <w:pStyle w:val="a9"/>
        <w:numPr>
          <w:ilvl w:val="0"/>
          <w:numId w:val="375"/>
        </w:numPr>
      </w:pPr>
      <w:r>
        <w:rPr>
          <w:rtl/>
        </w:rPr>
        <w:t xml:space="preserve">הה"מ- </w:t>
      </w:r>
      <w:r>
        <w:rPr>
          <w:sz w:val="14"/>
          <w:szCs w:val="14"/>
          <w:rtl/>
        </w:rPr>
        <w:t xml:space="preserve">{הה"מ כתב וז"ל- וזו קושיא חזקה </w:t>
      </w:r>
      <w:r>
        <w:rPr>
          <w:color w:val="FF0000"/>
          <w:sz w:val="14"/>
          <w:szCs w:val="14"/>
          <w:rtl/>
        </w:rPr>
        <w:t>ולכל הנוסחאות יש להקשות למאן דאמר הכי בגמרא</w:t>
      </w:r>
      <w:r>
        <w:rPr>
          <w:color w:val="002060"/>
          <w:sz w:val="14"/>
          <w:szCs w:val="14"/>
          <w:rtl/>
        </w:rPr>
        <w:t>. עכ"ל. ולא הבנתי מה כוונתו בזה</w:t>
      </w:r>
      <w:r>
        <w:rPr>
          <w:sz w:val="14"/>
          <w:szCs w:val="14"/>
          <w:rtl/>
        </w:rPr>
        <w:t>}</w:t>
      </w:r>
      <w:r>
        <w:rPr>
          <w:sz w:val="18"/>
          <w:szCs w:val="18"/>
          <w:rtl/>
        </w:rPr>
        <w:t xml:space="preserve"> </w:t>
      </w:r>
      <w:r>
        <w:rPr>
          <w:rtl/>
        </w:rPr>
        <w:t xml:space="preserve">אין כאן דין מגו שהרי הוא מודה שלא קיים התנאי ולפיכך צריך לקיימו דהא איהו מחייב נפשיה בקיום התנאי דאמר דלא קיימיה וכיון דלא נתברר שפרע אמרינן ליה מיחייבת לקיומי תנאך. </w:t>
      </w:r>
      <w:r>
        <w:rPr>
          <w:sz w:val="16"/>
          <w:szCs w:val="16"/>
          <w:rtl/>
        </w:rPr>
        <w:t>(והש"ך [סקי"א] כתב שתירוץ זה צ"ע, וכתב שאולי הה"מ כיון לתירוצו של הב"י)</w:t>
      </w:r>
    </w:p>
    <w:p w14:paraId="15FC2F5B" w14:textId="77777777" w:rsidR="0013116F" w:rsidRDefault="0013116F" w:rsidP="00992A87">
      <w:pPr>
        <w:pStyle w:val="a9"/>
        <w:numPr>
          <w:ilvl w:val="0"/>
          <w:numId w:val="375"/>
        </w:numPr>
      </w:pPr>
      <w:r>
        <w:rPr>
          <w:rtl/>
        </w:rPr>
        <w:t xml:space="preserve">ב"י- כיון דאמר לו אל תפרעני אלא בעדים אנן סהדי דלא פרעיה אלא בעדים </w:t>
      </w:r>
      <w:r>
        <w:rPr>
          <w:sz w:val="16"/>
          <w:szCs w:val="16"/>
          <w:rtl/>
        </w:rPr>
        <w:t>(וכמו שכתב הר"ן לעיל)</w:t>
      </w:r>
      <w:r>
        <w:rPr>
          <w:rtl/>
        </w:rPr>
        <w:t xml:space="preserve">, ואם כן כי אמר פרעתיך ביני לבינך אנן סהדי דלא פרעיה ותו לא מהימנינן ליה משום מגו. </w:t>
      </w:r>
    </w:p>
  </w:footnote>
  <w:footnote w:id="5604">
    <w:p w14:paraId="06B166B1" w14:textId="77777777" w:rsidR="0013116F" w:rsidRDefault="0013116F" w:rsidP="0004348D">
      <w:pPr>
        <w:pStyle w:val="a9"/>
        <w:rPr>
          <w:rtl/>
        </w:rPr>
      </w:pPr>
      <w:r>
        <w:rPr>
          <w:rStyle w:val="ab"/>
        </w:rPr>
        <w:footnoteRef/>
      </w:r>
      <w:r>
        <w:rPr>
          <w:rtl/>
        </w:rPr>
        <w:t xml:space="preserve"> ואם רצה לחזור ולתבוע את המלוה אחר שיפרענו בפנינו שלקח ממנו מעות כך וכך שלא כדין - מחייבין המלוה לישבע היסת על טענתו, בעל התרומות </w:t>
      </w:r>
      <w:r>
        <w:rPr>
          <w:sz w:val="16"/>
          <w:szCs w:val="16"/>
          <w:rtl/>
        </w:rPr>
        <w:t>(שער כה ח"ב סי' ב)</w:t>
      </w:r>
      <w:r>
        <w:rPr>
          <w:rtl/>
        </w:rPr>
        <w:t>.</w:t>
      </w:r>
    </w:p>
  </w:footnote>
  <w:footnote w:id="5605">
    <w:p w14:paraId="5EBD435B" w14:textId="77777777" w:rsidR="0013116F" w:rsidRDefault="0013116F" w:rsidP="0004348D">
      <w:pPr>
        <w:pStyle w:val="a9"/>
        <w:rPr>
          <w:rtl/>
        </w:rPr>
      </w:pPr>
      <w:r>
        <w:rPr>
          <w:rStyle w:val="ab"/>
        </w:rPr>
        <w:footnoteRef/>
      </w:r>
      <w:r>
        <w:rPr>
          <w:rtl/>
        </w:rPr>
        <w:t xml:space="preserve"> הר"ן </w:t>
      </w:r>
      <w:r>
        <w:rPr>
          <w:sz w:val="16"/>
          <w:szCs w:val="16"/>
          <w:rtl/>
        </w:rPr>
        <w:t xml:space="preserve">(פרק שבועת הדיינין כ: ד"ה גמ' מדפה"ר) </w:t>
      </w:r>
      <w:r>
        <w:rPr>
          <w:rtl/>
        </w:rPr>
        <w:t>הביא את דברי הרשב"א הנ"ל וכתב- ואין דבריהם מחוורים בעיני לפי שכל דינים הללו אינם תלויים בשעבודו של לוה כדי שנאמר על ענין כן נשתעבד, אלא הכל תלוי בטענתו של לוה אי ריע או לא, וכל היכא שהתרה בו המלוה לומר אל תפרעני אלא בעדים והוא טוען שלא בעדים פרעתיך - אנן סהדי דמשקר, אבל כל שהוא אומר פרעתיך בעדים אפילו לא יחדן או שיחדן ומתו - לא ריע טענתיה ומהימן, וכך הם דברי הרמב"ם פט"ו (ממלוה ה"א). עכ"ל הר"ן. ועיין בתשובות (המיוחסות) להרמב"ן סימן צ"ז, ב"י.</w:t>
      </w:r>
    </w:p>
  </w:footnote>
  <w:footnote w:id="5606">
    <w:p w14:paraId="1DCDD699" w14:textId="77777777" w:rsidR="0013116F" w:rsidRDefault="0013116F" w:rsidP="0004348D">
      <w:pPr>
        <w:pStyle w:val="a9"/>
        <w:rPr>
          <w:rtl/>
        </w:rPr>
      </w:pPr>
      <w:r>
        <w:rPr>
          <w:rStyle w:val="ab"/>
        </w:rPr>
        <w:footnoteRef/>
      </w:r>
      <w:r>
        <w:rPr>
          <w:rtl/>
        </w:rPr>
        <w:t xml:space="preserve"> קשה לי על חילוקו של הרמ"ה דכיון דבאומר פרעתיך בפני פלוני ופלוני ומתו נאמן אף על פי שאינו יכול להתברר למה לא יהא נאמן באומר פרעתיך בפני עדים סתם. ואפשר דכיון שאינו אומר מי הם מוכחא מילתא דמשקר, ב"י.</w:t>
      </w:r>
    </w:p>
  </w:footnote>
  <w:footnote w:id="5607">
    <w:p w14:paraId="7CAE6B91" w14:textId="77777777" w:rsidR="0013116F" w:rsidRDefault="0013116F" w:rsidP="0004348D">
      <w:pPr>
        <w:pStyle w:val="a9"/>
      </w:pPr>
      <w:r>
        <w:rPr>
          <w:rStyle w:val="ab"/>
        </w:rPr>
        <w:footnoteRef/>
      </w:r>
      <w:r>
        <w:rPr>
          <w:rtl/>
        </w:rPr>
        <w:t xml:space="preserve"> </w:t>
      </w:r>
      <w:r>
        <w:rPr>
          <w:rFonts w:hint="cs"/>
          <w:rtl/>
        </w:rPr>
        <w:t>כתב הראב"ד ו</w:t>
      </w:r>
      <w:r>
        <w:rPr>
          <w:rtl/>
        </w:rPr>
        <w:t>אני קיימתי שתי הגרסאות ש-...</w:t>
      </w:r>
    </w:p>
  </w:footnote>
  <w:footnote w:id="5608">
    <w:p w14:paraId="4A619E86" w14:textId="77777777" w:rsidR="0013116F" w:rsidRDefault="0013116F" w:rsidP="0004348D">
      <w:pPr>
        <w:pStyle w:val="a9"/>
        <w:rPr>
          <w:rtl/>
        </w:rPr>
      </w:pPr>
      <w:r>
        <w:rPr>
          <w:rStyle w:val="ab"/>
        </w:rPr>
        <w:footnoteRef/>
      </w:r>
      <w:r>
        <w:rPr>
          <w:rtl/>
        </w:rPr>
        <w:t xml:space="preserve"> </w:t>
      </w:r>
      <w:r>
        <w:rPr>
          <w:rFonts w:hint="cs"/>
          <w:rtl/>
        </w:rPr>
        <w:t xml:space="preserve">ועוד השיג שם על דברי הרמב"ם. </w:t>
      </w:r>
      <w:r>
        <w:rPr>
          <w:rtl/>
        </w:rPr>
        <w:t>וכבר סתר הה"מ (שם ה"ב) כל דבריו, ב"י.</w:t>
      </w:r>
    </w:p>
  </w:footnote>
  <w:footnote w:id="5609">
    <w:p w14:paraId="1E0B5678" w14:textId="77777777" w:rsidR="0013116F" w:rsidRDefault="0013116F" w:rsidP="0004348D">
      <w:pPr>
        <w:pStyle w:val="a9"/>
        <w:rPr>
          <w:rtl/>
        </w:rPr>
      </w:pPr>
      <w:r>
        <w:rPr>
          <w:rStyle w:val="ab"/>
        </w:rPr>
        <w:footnoteRef/>
      </w:r>
      <w:r>
        <w:rPr>
          <w:rtl/>
        </w:rPr>
        <w:t xml:space="preserve"> </w:t>
      </w:r>
      <w:r>
        <w:rPr>
          <w:color w:val="FF0000"/>
          <w:rtl/>
        </w:rPr>
        <w:t>וצלע"ג מדוע הב"י לא הביא את דברי הה"מ אלא כתב בקצרה שהה"מ סתר את כל דברי הראב"ד.</w:t>
      </w:r>
      <w:r>
        <w:rPr>
          <w:rtl/>
        </w:rPr>
        <w:t xml:space="preserve"> והדרכ"מ </w:t>
      </w:r>
      <w:r>
        <w:rPr>
          <w:sz w:val="16"/>
          <w:szCs w:val="16"/>
          <w:rtl/>
        </w:rPr>
        <w:t>(אות ד)</w:t>
      </w:r>
      <w:r>
        <w:rPr>
          <w:rtl/>
        </w:rPr>
        <w:t xml:space="preserve"> כן הביא את דבריו, וכ"פ הסמ"ע </w:t>
      </w:r>
      <w:r>
        <w:rPr>
          <w:sz w:val="16"/>
          <w:szCs w:val="16"/>
          <w:rtl/>
        </w:rPr>
        <w:t>(סקי"א, אך לא הזכיר שכן כתבו הה"מ והדרכ"מ)</w:t>
      </w:r>
      <w:r>
        <w:rPr>
          <w:rtl/>
        </w:rPr>
        <w:t xml:space="preserve"> הש"ך</w:t>
      </w:r>
      <w:r>
        <w:rPr>
          <w:sz w:val="16"/>
          <w:szCs w:val="16"/>
          <w:rtl/>
        </w:rPr>
        <w:t xml:space="preserve"> (סק"ח)</w:t>
      </w:r>
      <w:r>
        <w:rPr>
          <w:rtl/>
        </w:rPr>
        <w:t xml:space="preserve"> והנתיבות </w:t>
      </w:r>
      <w:r>
        <w:rPr>
          <w:sz w:val="16"/>
          <w:szCs w:val="16"/>
          <w:rtl/>
        </w:rPr>
        <w:t>(חידו' סק"ה)</w:t>
      </w:r>
      <w:r>
        <w:rPr>
          <w:rtl/>
        </w:rPr>
        <w:t>. והש"ך כתב שכ"כ הה"מ</w:t>
      </w:r>
      <w:r>
        <w:rPr>
          <w:sz w:val="16"/>
          <w:szCs w:val="16"/>
          <w:rtl/>
        </w:rPr>
        <w:t xml:space="preserve"> (שם) </w:t>
      </w:r>
      <w:r>
        <w:rPr>
          <w:rtl/>
        </w:rPr>
        <w:t xml:space="preserve">והב"י </w:t>
      </w:r>
      <w:r>
        <w:rPr>
          <w:sz w:val="16"/>
          <w:szCs w:val="16"/>
          <w:rtl/>
        </w:rPr>
        <w:t xml:space="preserve">(סע' ו, </w:t>
      </w:r>
      <w:r>
        <w:rPr>
          <w:color w:val="FF0000"/>
          <w:sz w:val="16"/>
          <w:szCs w:val="16"/>
          <w:rtl/>
        </w:rPr>
        <w:t>וצל"ע היכן דלא מצאתי</w:t>
      </w:r>
      <w:r>
        <w:rPr>
          <w:sz w:val="16"/>
          <w:szCs w:val="16"/>
          <w:rtl/>
        </w:rPr>
        <w:t>)</w:t>
      </w:r>
      <w:r>
        <w:rPr>
          <w:rtl/>
        </w:rPr>
        <w:t xml:space="preserve">. ובקצוה"ח </w:t>
      </w:r>
      <w:r>
        <w:rPr>
          <w:sz w:val="16"/>
          <w:szCs w:val="16"/>
          <w:rtl/>
        </w:rPr>
        <w:t xml:space="preserve">(סק"ד) </w:t>
      </w:r>
      <w:r>
        <w:rPr>
          <w:rtl/>
        </w:rPr>
        <w:t>כתב שמדברי הה"מ לאו ראיה למעיין שם</w:t>
      </w:r>
      <w:r>
        <w:rPr>
          <w:color w:val="FF0000"/>
          <w:rtl/>
        </w:rPr>
        <w:t xml:space="preserve"> </w:t>
      </w:r>
      <w:r>
        <w:rPr>
          <w:color w:val="FF0000"/>
          <w:sz w:val="16"/>
          <w:szCs w:val="16"/>
          <w:rtl/>
        </w:rPr>
        <w:t>{צל"ע מדוע אין ראיה}</w:t>
      </w:r>
      <w:r>
        <w:rPr>
          <w:rtl/>
        </w:rPr>
        <w:t>. ובכנה"ג</w:t>
      </w:r>
      <w:r>
        <w:rPr>
          <w:sz w:val="16"/>
          <w:szCs w:val="16"/>
          <w:rtl/>
        </w:rPr>
        <w:t xml:space="preserve"> (הגה"ט אות יב)</w:t>
      </w:r>
      <w:r>
        <w:rPr>
          <w:rtl/>
        </w:rPr>
        <w:t xml:space="preserve"> כתב על דברי הסמ"ע ז"ל- ולי נראה דאם איתיה לדברי הסמ"ע לא הוי הפוסקים שתקי מיניה, ולכן אני אומר דאפילו לא התנה כן בפני עדים כל שהודה הלוה שאמר לו כן שוב אינו נאמן במגו דלהד"מ דהוי כמגו במקום עדים, דמהאי טעמא גובה המלוה שלא בשבועה דאנן סהדי דמאחר שהתרה בו לא היה פורע שלא בעדים עכ"ל. ועיין ברעק"א (סע' ג ד"ה דא"ל) שדחה את דברי כנה"ג.</w:t>
      </w:r>
    </w:p>
  </w:footnote>
  <w:footnote w:id="5610">
    <w:p w14:paraId="340100A0" w14:textId="77777777" w:rsidR="0013116F" w:rsidRDefault="0013116F" w:rsidP="0004348D">
      <w:pPr>
        <w:pStyle w:val="a9"/>
      </w:pPr>
      <w:r>
        <w:rPr>
          <w:rStyle w:val="ab"/>
        </w:rPr>
        <w:footnoteRef/>
      </w:r>
      <w:r>
        <w:rPr>
          <w:rtl/>
        </w:rPr>
        <w:t xml:space="preserve"> </w:t>
      </w:r>
      <w:r>
        <w:rPr>
          <w:rFonts w:hint="cs"/>
          <w:rtl/>
        </w:rPr>
        <w:t>סימן – מילוה אינה מיהדרא אלא באנשים מיוחדים.</w:t>
      </w:r>
    </w:p>
  </w:footnote>
  <w:footnote w:id="5611">
    <w:p w14:paraId="2581DB75" w14:textId="77777777" w:rsidR="0013116F" w:rsidRDefault="0013116F" w:rsidP="0004348D">
      <w:pPr>
        <w:pStyle w:val="a9"/>
      </w:pPr>
      <w:r>
        <w:rPr>
          <w:rStyle w:val="ab"/>
        </w:rPr>
        <w:footnoteRef/>
      </w:r>
      <w:r>
        <w:rPr>
          <w:rtl/>
        </w:rPr>
        <w:t xml:space="preserve"> רבינו האי</w:t>
      </w:r>
      <w:r>
        <w:rPr>
          <w:sz w:val="16"/>
          <w:szCs w:val="16"/>
          <w:rtl/>
        </w:rPr>
        <w:t xml:space="preserve"> (ספר המקח שער יג, כ"כ המרדכי בשמו [סי' תשעא])</w:t>
      </w:r>
      <w:r>
        <w:rPr>
          <w:rtl/>
        </w:rPr>
        <w:t xml:space="preserve"> ר"ח </w:t>
      </w:r>
      <w:r>
        <w:rPr>
          <w:sz w:val="16"/>
          <w:szCs w:val="16"/>
          <w:rtl/>
        </w:rPr>
        <w:t>(שם מא: ד"ה ירושלמי)</w:t>
      </w:r>
      <w:r>
        <w:rPr>
          <w:rtl/>
        </w:rPr>
        <w:t xml:space="preserve"> רמב"ם </w:t>
      </w:r>
      <w:r>
        <w:rPr>
          <w:sz w:val="16"/>
          <w:szCs w:val="16"/>
          <w:rtl/>
        </w:rPr>
        <w:t>(פט"ו ממלוה ולוה ה"א)</w:t>
      </w:r>
      <w:r>
        <w:rPr>
          <w:rtl/>
        </w:rPr>
        <w:t xml:space="preserve"> רא"ש </w:t>
      </w:r>
      <w:r>
        <w:rPr>
          <w:sz w:val="16"/>
          <w:szCs w:val="16"/>
          <w:rtl/>
        </w:rPr>
        <w:t>(פ"ו סי' יד-טו)</w:t>
      </w:r>
      <w:r>
        <w:rPr>
          <w:rtl/>
        </w:rPr>
        <w:t xml:space="preserve"> ור"ן </w:t>
      </w:r>
      <w:r>
        <w:rPr>
          <w:sz w:val="16"/>
          <w:szCs w:val="16"/>
          <w:rtl/>
        </w:rPr>
        <w:t>(שם ד"ה ההוא)</w:t>
      </w:r>
      <w:r>
        <w:rPr>
          <w:rtl/>
        </w:rPr>
        <w:t xml:space="preserve">. וכ"כ השלט"ג </w:t>
      </w:r>
      <w:r>
        <w:rPr>
          <w:sz w:val="16"/>
          <w:szCs w:val="16"/>
          <w:rtl/>
        </w:rPr>
        <w:t>(שבועות כא. מדפה"ר אות ג)</w:t>
      </w:r>
      <w:r>
        <w:rPr>
          <w:rtl/>
        </w:rPr>
        <w:t>.</w:t>
      </w:r>
    </w:p>
  </w:footnote>
  <w:footnote w:id="5612">
    <w:p w14:paraId="01CCEF79" w14:textId="77777777" w:rsidR="0013116F" w:rsidRDefault="0013116F" w:rsidP="0004348D">
      <w:pPr>
        <w:pStyle w:val="a9"/>
        <w:rPr>
          <w:color w:val="000000" w:themeColor="text1"/>
          <w:rtl/>
        </w:rPr>
      </w:pPr>
      <w:r>
        <w:rPr>
          <w:rStyle w:val="ab"/>
        </w:rPr>
        <w:footnoteRef/>
      </w:r>
      <w:r>
        <w:rPr>
          <w:rtl/>
        </w:rPr>
        <w:t xml:space="preserve"> </w:t>
      </w:r>
      <w:r>
        <w:rPr>
          <w:color w:val="000000" w:themeColor="text1"/>
          <w:rtl/>
        </w:rPr>
        <w:t>ומ"מ כתב המרדכי פרק שבועת הדיינין (סי' תשעא) דאע"ג דעדים אחרים נאמנים דפרעו מכל מקום יכול המלוה לטעון סטראי נינהו, דרכ"מ (אות ה).</w:t>
      </w:r>
      <w:r>
        <w:rPr>
          <w:color w:val="00B0F0"/>
          <w:rtl/>
        </w:rPr>
        <w:t xml:space="preserve"> (וכ"פ בהג"ה)</w:t>
      </w:r>
      <w:r>
        <w:rPr>
          <w:rtl/>
        </w:rPr>
        <w:t xml:space="preserve">. </w:t>
      </w:r>
    </w:p>
  </w:footnote>
  <w:footnote w:id="5613">
    <w:p w14:paraId="2E0BB1E0" w14:textId="77777777" w:rsidR="0013116F" w:rsidRDefault="0013116F" w:rsidP="0004348D">
      <w:pPr>
        <w:pStyle w:val="a9"/>
      </w:pPr>
      <w:r>
        <w:rPr>
          <w:rStyle w:val="ab"/>
        </w:rPr>
        <w:footnoteRef/>
      </w:r>
      <w:r>
        <w:rPr>
          <w:rtl/>
        </w:rPr>
        <w:t xml:space="preserve"> הרי"ף (שם) דחה פירוש זה ומפרש ש-...</w:t>
      </w:r>
    </w:p>
  </w:footnote>
  <w:footnote w:id="5614">
    <w:p w14:paraId="11B3ABB5" w14:textId="77777777" w:rsidR="0013116F" w:rsidRDefault="0013116F" w:rsidP="0004348D">
      <w:pPr>
        <w:pStyle w:val="a9"/>
        <w:rPr>
          <w:color w:val="000000" w:themeColor="text1"/>
        </w:rPr>
      </w:pPr>
      <w:r>
        <w:rPr>
          <w:rStyle w:val="ab"/>
        </w:rPr>
        <w:footnoteRef/>
      </w:r>
      <w:r>
        <w:rPr>
          <w:rtl/>
        </w:rPr>
        <w:t xml:space="preserve"> וכתב הר"ן (כא.) די"א דלדעת הרי"ף הוא הדין אם באו והעידו שהודה בפניהם אינם נאמנים, וי"א דבהא מודה הרי"ף דנאמנים. </w:t>
      </w:r>
      <w:r>
        <w:rPr>
          <w:color w:val="000000" w:themeColor="text1"/>
          <w:rtl/>
        </w:rPr>
        <w:t>וכתב הדרכ"מ (אות ה) לעיין לקמן סי' ע"א (ס"ז-ח) בדברי המחלקים בין הודאה לפרעון.</w:t>
      </w:r>
      <w:r>
        <w:rPr>
          <w:rtl/>
        </w:rPr>
        <w:t xml:space="preserve"> </w:t>
      </w:r>
    </w:p>
  </w:footnote>
  <w:footnote w:id="5615">
    <w:p w14:paraId="34CEF441" w14:textId="77777777" w:rsidR="0013116F" w:rsidRDefault="0013116F" w:rsidP="0004348D">
      <w:pPr>
        <w:pStyle w:val="a9"/>
        <w:rPr>
          <w:color w:val="000000" w:themeColor="text1"/>
        </w:rPr>
      </w:pPr>
      <w:r>
        <w:rPr>
          <w:rStyle w:val="ab"/>
          <w:color w:val="000000" w:themeColor="text1"/>
        </w:rPr>
        <w:footnoteRef/>
      </w:r>
      <w:r>
        <w:rPr>
          <w:color w:val="000000" w:themeColor="text1"/>
          <w:rtl/>
        </w:rPr>
        <w:t xml:space="preserve"> והביא הרי"ף כמה ראיות לדבריו ודחו אותם הר"ן (שם ד"ה ההוא) והרא"ש (פ"ו סי' יד - טו) והעלו כדברי הרמב"ם, ב"י. וכתב עוד הב"י שהה"מ סתר גם את דברי הראב"ד.</w:t>
      </w:r>
    </w:p>
  </w:footnote>
  <w:footnote w:id="5616">
    <w:p w14:paraId="027D2F9E" w14:textId="77777777" w:rsidR="0013116F" w:rsidRDefault="0013116F" w:rsidP="0004348D">
      <w:pPr>
        <w:pStyle w:val="a9"/>
        <w:rPr>
          <w:rtl/>
        </w:rPr>
      </w:pPr>
      <w:r>
        <w:rPr>
          <w:rStyle w:val="ab"/>
        </w:rPr>
        <w:footnoteRef/>
      </w:r>
      <w:r>
        <w:rPr>
          <w:rtl/>
        </w:rPr>
        <w:t xml:space="preserve"> נלמד מהדין שנתבאר לעיל אל תפרעני אלא בפני עדים ואמר ליה פרעתיך בפני פלוני ופלוני ומתו או הלכו למדינת הים דנאמן והכא נמי דכוותה, ב"י.</w:t>
      </w:r>
    </w:p>
  </w:footnote>
  <w:footnote w:id="5617">
    <w:p w14:paraId="17987740" w14:textId="77777777" w:rsidR="0013116F" w:rsidRDefault="0013116F" w:rsidP="0004348D">
      <w:pPr>
        <w:pStyle w:val="a9"/>
        <w:rPr>
          <w:rtl/>
        </w:rPr>
      </w:pPr>
      <w:r>
        <w:rPr>
          <w:rStyle w:val="ab"/>
        </w:rPr>
        <w:footnoteRef/>
      </w:r>
      <w:r>
        <w:rPr>
          <w:rtl/>
        </w:rPr>
        <w:t xml:space="preserve"> </w:t>
      </w:r>
      <w:r>
        <w:rPr>
          <w:rFonts w:hint="cs"/>
          <w:rtl/>
        </w:rPr>
        <w:t>נאנסו (נגנבו/נאבדו).</w:t>
      </w:r>
    </w:p>
  </w:footnote>
  <w:footnote w:id="5618">
    <w:p w14:paraId="4F23843B" w14:textId="77777777" w:rsidR="0013116F" w:rsidRDefault="0013116F" w:rsidP="0004348D">
      <w:pPr>
        <w:pStyle w:val="a9"/>
        <w:rPr>
          <w:rtl/>
        </w:rPr>
      </w:pPr>
      <w:r>
        <w:rPr>
          <w:rStyle w:val="ab"/>
        </w:rPr>
        <w:footnoteRef/>
      </w:r>
      <w:r>
        <w:rPr>
          <w:rtl/>
        </w:rPr>
        <w:t xml:space="preserve"> ואיני עליהן אלא שומר חנם שלא קבלתים בתורת פרעון, רש"י.</w:t>
      </w:r>
    </w:p>
  </w:footnote>
  <w:footnote w:id="5619">
    <w:p w14:paraId="20949BD5" w14:textId="77777777" w:rsidR="0013116F" w:rsidRDefault="0013116F" w:rsidP="0004348D">
      <w:pPr>
        <w:pStyle w:val="a9"/>
        <w:rPr>
          <w:rtl/>
        </w:rPr>
      </w:pPr>
      <w:r>
        <w:rPr>
          <w:rStyle w:val="ab"/>
        </w:rPr>
        <w:footnoteRef/>
      </w:r>
      <w:r>
        <w:rPr>
          <w:rtl/>
        </w:rPr>
        <w:t xml:space="preserve"> דקבלתינהו וזה לא בתורת פקדון מסרם לך הוי פרעון ודברים שהיו בלבך אינם דברים, רש"י.</w:t>
      </w:r>
    </w:p>
  </w:footnote>
  <w:footnote w:id="5620">
    <w:p w14:paraId="002B1067" w14:textId="77777777" w:rsidR="0013116F" w:rsidRDefault="0013116F" w:rsidP="0004348D">
      <w:pPr>
        <w:pStyle w:val="a9"/>
        <w:rPr>
          <w:rtl/>
        </w:rPr>
      </w:pPr>
      <w:r>
        <w:rPr>
          <w:rStyle w:val="ab"/>
        </w:rPr>
        <w:footnoteRef/>
      </w:r>
      <w:r>
        <w:rPr>
          <w:rtl/>
        </w:rPr>
        <w:t xml:space="preserve"> </w:t>
      </w:r>
      <w:r>
        <w:rPr>
          <w:rFonts w:hint="cs"/>
          <w:rtl/>
        </w:rPr>
        <w:t>אמר ליה כן בבדיחותא, היינו אם אתה מתעקש שיקיים את תנאו תן לו את המעות שחייב לך ויחזיר לך אותן בפנינו</w:t>
      </w:r>
      <w:r>
        <w:rPr>
          <w:rtl/>
        </w:rPr>
        <w:t xml:space="preserve">, ע"פ תוס' </w:t>
      </w:r>
      <w:r>
        <w:rPr>
          <w:sz w:val="16"/>
          <w:szCs w:val="16"/>
          <w:rtl/>
        </w:rPr>
        <w:t>(שם בד"ה הא אנא ורב ששת)</w:t>
      </w:r>
      <w:r>
        <w:rPr>
          <w:rtl/>
        </w:rPr>
        <w:t xml:space="preserve"> ורא"ש </w:t>
      </w:r>
      <w:r>
        <w:rPr>
          <w:sz w:val="16"/>
          <w:szCs w:val="16"/>
          <w:rtl/>
        </w:rPr>
        <w:t>(פ"ו סי' יד-טו)</w:t>
      </w:r>
      <w:r>
        <w:rPr>
          <w:rtl/>
        </w:rPr>
        <w:t>. הביאם הב"י.</w:t>
      </w:r>
    </w:p>
  </w:footnote>
  <w:footnote w:id="5621">
    <w:p w14:paraId="0F20E09D" w14:textId="77777777" w:rsidR="0013116F" w:rsidRDefault="0013116F" w:rsidP="0004348D">
      <w:pPr>
        <w:pStyle w:val="a9"/>
      </w:pPr>
      <w:r>
        <w:rPr>
          <w:rStyle w:val="ab"/>
        </w:rPr>
        <w:footnoteRef/>
      </w:r>
      <w:r>
        <w:rPr>
          <w:rtl/>
        </w:rPr>
        <w:t xml:space="preserve"> וכתב הש"ך (סקי"ח) דנראה שהוא מחלק, דכשאמר לו אל תפרעני אלא בפני אנשים חשובין כגון ששונים הלכות וכה"ג, אפילו הביא עדים אחרים אין נאמנים. וכן נראה לכאורה מדברי רי"ו (נ"ג ח"ב)... אבל באמת מדעת שאר כל הפוסקים נראה להדיא שאין לחלק בזה... וכ"כ הטור [סע' ט] להדיא שלזה הסכים הרא"ש... </w:t>
      </w:r>
      <w:r>
        <w:rPr>
          <w:sz w:val="16"/>
          <w:szCs w:val="16"/>
          <w:rtl/>
        </w:rPr>
        <w:t>[שוב ראיתי בספר גדולי תרומה דף קי"ז [שם] שדקדק מדברי הרמב"ם שגם הוא מחלק בין פלוני ופלוני ובין תנו הלכתא, ואין דבריו נכונים לפע"ד, ע"ש]</w:t>
      </w:r>
      <w:r>
        <w:rPr>
          <w:rtl/>
        </w:rPr>
        <w:t>, ומשמע דבין ייחד לו העדים חשובים כגון שא"ל אל תפרעני אלא בפני פלוני ופלוני ששונים הלכות, או שא"ל סתם אל תפרעני אלא בפני מי ששונים הלכות, בכל ענין לר"ח והרמב"ם והרא"ש וסיעתם אם הביא עדים אחרים שפרעו נאמן, וכן נראה מסתימת דברי המחבר.</w:t>
      </w:r>
    </w:p>
  </w:footnote>
  <w:footnote w:id="5622">
    <w:p w14:paraId="7B55AC6B" w14:textId="77777777" w:rsidR="0013116F" w:rsidRDefault="0013116F" w:rsidP="0004348D">
      <w:pPr>
        <w:pStyle w:val="a9"/>
        <w:rPr>
          <w:rtl/>
        </w:rPr>
      </w:pPr>
      <w:r>
        <w:rPr>
          <w:rStyle w:val="ab"/>
        </w:rPr>
        <w:footnoteRef/>
      </w:r>
      <w:r>
        <w:rPr>
          <w:rtl/>
        </w:rPr>
        <w:t xml:space="preserve"> בסימן שאחר זה (ס"ח) כתבתי בשם הרשב"א (ח"א סי' תתקכב) דפריעה בפני בית דין מהניא. וכ"כ שם רבינו בשם ה"ר ישעיה, ונתן טעם לדבר דנהי שהתנה עליו שלא יהו עדים נאמנים על בית דין לא התנה, ב"י</w:t>
      </w:r>
    </w:p>
  </w:footnote>
  <w:footnote w:id="5623">
    <w:p w14:paraId="20C474B9" w14:textId="77777777" w:rsidR="0013116F" w:rsidRDefault="0013116F" w:rsidP="0004348D">
      <w:pPr>
        <w:pStyle w:val="a9"/>
        <w:rPr>
          <w:rtl/>
        </w:rPr>
      </w:pPr>
      <w:r>
        <w:rPr>
          <w:rStyle w:val="ab"/>
        </w:rPr>
        <w:footnoteRef/>
      </w:r>
      <w:r>
        <w:rPr>
          <w:rtl/>
        </w:rPr>
        <w:t xml:space="preserve"> </w:t>
      </w:r>
      <w:r>
        <w:rPr>
          <w:rFonts w:hint="cs"/>
          <w:rtl/>
        </w:rPr>
        <w:t>וכתב ה</w:t>
      </w:r>
      <w:r>
        <w:rPr>
          <w:rtl/>
        </w:rPr>
        <w:t xml:space="preserve">דרכ"מ (אות ה*) דלכאורה נראה דשתי תשובות הללו </w:t>
      </w:r>
      <w:r>
        <w:rPr>
          <w:sz w:val="16"/>
          <w:szCs w:val="16"/>
          <w:rtl/>
        </w:rPr>
        <w:t xml:space="preserve">{של הרשב"ץ} </w:t>
      </w:r>
      <w:r>
        <w:rPr>
          <w:rtl/>
        </w:rPr>
        <w:t>סותרות זו את זו, אבל אחר הדקדוק נראה דלא קשה מידי, דבתשובה ראשונה שאמר לו מלוה ללוה 'אם לא תכתוב על גבי שטר לא תהא נאמן' - על כרחך היה כוונתו אפילו אם תביא עדי פרעון, דאל"כ תנאי למה לי, דפשיטא שלא יהא נאמן כל שיש למלוה שטר בידו מצי אמר ליה שטרך בידי מאי בעי, ומשום הכי פסק שדינו כאלו אמר לו אל תפרעני אלא בפני פלוני ופלוני דאינו נאמן לגירסת הרי"ף, אבל ודאי גם המלוה אינו נאמן אלא נשבע על שטרו ונוטל כשאר שטרות וכאלו לא אמר כלום, אבל בתשובה שניה שאמר לו לוה למלוה 'אם לא נכתב על גבו יהיה המלוה נאמן' - ודאי היתה כוונתו כל זמן שלא יביא עדי פרעון, והתנאי היה מועיל לענין לפטור המלוה משבועה כדין כל נאמנות דמהני להני, משום הכי אפילו להרי"ף מהני כשהביא עדי פרעון.</w:t>
      </w:r>
    </w:p>
  </w:footnote>
  <w:footnote w:id="5624">
    <w:p w14:paraId="2BBE9FD2" w14:textId="77777777" w:rsidR="0013116F" w:rsidRDefault="0013116F" w:rsidP="0004348D">
      <w:pPr>
        <w:pStyle w:val="a9"/>
      </w:pPr>
      <w:r>
        <w:rPr>
          <w:rStyle w:val="ab"/>
        </w:rPr>
        <w:footnoteRef/>
      </w:r>
      <w:r>
        <w:rPr>
          <w:rtl/>
        </w:rPr>
        <w:t xml:space="preserve"> </w:t>
      </w:r>
      <w:r>
        <w:rPr>
          <w:rFonts w:hint="cs"/>
          <w:rtl/>
        </w:rPr>
        <w:t>וכתב הב"י לעיין ב</w:t>
      </w:r>
      <w:r>
        <w:rPr>
          <w:rtl/>
        </w:rPr>
        <w:t>רי"ו</w:t>
      </w:r>
      <w:r>
        <w:rPr>
          <w:sz w:val="16"/>
          <w:szCs w:val="16"/>
          <w:rtl/>
        </w:rPr>
        <w:t xml:space="preserve"> (נ"ג ח"ב יז ע"א)</w:t>
      </w:r>
      <w:r>
        <w:rPr>
          <w:rtl/>
        </w:rPr>
        <w:t>. והביא הב"י את דבריו בסי' עא ס"ב.</w:t>
      </w:r>
    </w:p>
  </w:footnote>
  <w:footnote w:id="5625">
    <w:p w14:paraId="4B06011F" w14:textId="77777777" w:rsidR="0013116F" w:rsidRDefault="0013116F" w:rsidP="0004348D">
      <w:pPr>
        <w:pStyle w:val="a9"/>
        <w:rPr>
          <w:rtl/>
        </w:rPr>
      </w:pPr>
      <w:r>
        <w:rPr>
          <w:rStyle w:val="ab"/>
        </w:rPr>
        <w:footnoteRef/>
      </w:r>
      <w:r>
        <w:rPr>
          <w:rtl/>
        </w:rPr>
        <w:t xml:space="preserve"> מכאן ועד סוף הסימן מיירי דאמר לו כן בפני עדים, דאל"כ הוא נאמן במיגו דאמר לא התנה עמו כן, סמ"ע </w:t>
      </w:r>
      <w:r>
        <w:rPr>
          <w:sz w:val="16"/>
          <w:szCs w:val="16"/>
          <w:rtl/>
        </w:rPr>
        <w:t>(סקי"א)</w:t>
      </w:r>
      <w:r>
        <w:rPr>
          <w:rtl/>
        </w:rPr>
        <w:t>. וכ"כ הש"ך</w:t>
      </w:r>
      <w:r>
        <w:rPr>
          <w:sz w:val="16"/>
          <w:szCs w:val="16"/>
          <w:rtl/>
        </w:rPr>
        <w:t xml:space="preserve"> (סק"ח)</w:t>
      </w:r>
      <w:r>
        <w:rPr>
          <w:rtl/>
        </w:rPr>
        <w:t xml:space="preserve"> והנתיבות </w:t>
      </w:r>
      <w:r>
        <w:rPr>
          <w:sz w:val="16"/>
          <w:szCs w:val="16"/>
          <w:rtl/>
        </w:rPr>
        <w:t>(חידו' סק"ה)</w:t>
      </w:r>
      <w:r>
        <w:rPr>
          <w:rtl/>
        </w:rPr>
        <w:t>.</w:t>
      </w:r>
    </w:p>
  </w:footnote>
  <w:footnote w:id="5626">
    <w:p w14:paraId="4065E731" w14:textId="77777777" w:rsidR="0013116F" w:rsidRDefault="0013116F" w:rsidP="0004348D">
      <w:pPr>
        <w:pStyle w:val="a9"/>
        <w:rPr>
          <w:rtl/>
        </w:rPr>
      </w:pPr>
      <w:r>
        <w:rPr>
          <w:rStyle w:val="ab"/>
        </w:rPr>
        <w:footnoteRef/>
      </w:r>
      <w:r>
        <w:rPr>
          <w:rtl/>
        </w:rPr>
        <w:t xml:space="preserve"> והטעם, דכל שהתנה המלוה להלוה כן, אין מדרך הלוה לפרוע לו בלא עדים כדי להוציא נפשו מהחשד ומהמחלוקת, ומשום הכי כשיש עדים שהמלוה התנה עמו כן, אנן סהדי מכח החזקה דלא פרעו, ומשום הכי נאמן המלוה בלא שבועה כיון דאנן סהדי. וכ"כ המגיד משנה ריש פרק ט"ו ממלוה, ומסיים בטעמו, דעבד לוה לאיש מלוה, סמ"ע (סקי"ב).</w:t>
      </w:r>
    </w:p>
  </w:footnote>
  <w:footnote w:id="5627">
    <w:p w14:paraId="20630FFB" w14:textId="77777777" w:rsidR="0013116F" w:rsidRDefault="0013116F" w:rsidP="0004348D">
      <w:pPr>
        <w:pStyle w:val="a9"/>
      </w:pPr>
      <w:r>
        <w:rPr>
          <w:rStyle w:val="ab"/>
        </w:rPr>
        <w:footnoteRef/>
      </w:r>
      <w:r>
        <w:rPr>
          <w:rtl/>
        </w:rPr>
        <w:t xml:space="preserve"> ושכח התראה. הרא"ש [שבועות פ"ו סי' יג]. ומוכח שם דכ"ש אם לא שכח אינו נאמן, ע"ש, ש"ך (סק"י).</w:t>
      </w:r>
    </w:p>
  </w:footnote>
  <w:footnote w:id="5628">
    <w:p w14:paraId="1368C71C" w14:textId="77777777" w:rsidR="0013116F" w:rsidRDefault="0013116F" w:rsidP="0004348D">
      <w:pPr>
        <w:pStyle w:val="a9"/>
        <w:rPr>
          <w:rtl/>
        </w:rPr>
      </w:pPr>
      <w:r>
        <w:rPr>
          <w:rStyle w:val="ab"/>
        </w:rPr>
        <w:footnoteRef/>
      </w:r>
      <w:r>
        <w:rPr>
          <w:rtl/>
        </w:rPr>
        <w:t xml:space="preserve"> נראה דהיינו דוקא שבועה דלפני הפרעון, אבל לאחר הפרעון יכול להשביעו היסת כדמוכח לקמן סימן ע"א סעיף ה', דכ"ש הוא מהתם, ע"ש, ש"ך (סקי"ב).</w:t>
      </w:r>
    </w:p>
  </w:footnote>
  <w:footnote w:id="5629">
    <w:p w14:paraId="35AB361E" w14:textId="77777777" w:rsidR="0013116F" w:rsidRDefault="0013116F" w:rsidP="0004348D">
      <w:pPr>
        <w:pStyle w:val="a9"/>
        <w:rPr>
          <w:rtl/>
        </w:rPr>
      </w:pPr>
      <w:r>
        <w:rPr>
          <w:rStyle w:val="ab"/>
        </w:rPr>
        <w:footnoteRef/>
      </w:r>
      <w:r>
        <w:rPr>
          <w:rtl/>
        </w:rPr>
        <w:t xml:space="preserve"> משמע דוקא במיחד עדים ואומר בפני פלוני ופלוני, אבל אם אומר פרעתיך בפני עדים והלכו למדינת הים או מתו, אינו נאמן, דכיון דלא מיחד עדים מוכחא מילתא דמשקר, וכהרמ"ה וטור </w:t>
      </w:r>
      <w:r>
        <w:rPr>
          <w:sz w:val="16"/>
          <w:szCs w:val="16"/>
          <w:rtl/>
        </w:rPr>
        <w:t>[סע' ו]</w:t>
      </w:r>
      <w:r>
        <w:rPr>
          <w:rtl/>
        </w:rPr>
        <w:t xml:space="preserve">, וכ"כ הב"ח </w:t>
      </w:r>
      <w:r>
        <w:rPr>
          <w:sz w:val="16"/>
          <w:szCs w:val="16"/>
          <w:rtl/>
        </w:rPr>
        <w:t xml:space="preserve">[שם] </w:t>
      </w:r>
      <w:r>
        <w:rPr>
          <w:rtl/>
        </w:rPr>
        <w:t xml:space="preserve">דהכי משמע לישנא דש"ס </w:t>
      </w:r>
      <w:r>
        <w:rPr>
          <w:sz w:val="16"/>
          <w:szCs w:val="16"/>
          <w:rtl/>
        </w:rPr>
        <w:t>[שבועות מא:]</w:t>
      </w:r>
      <w:r>
        <w:rPr>
          <w:rtl/>
        </w:rPr>
        <w:t xml:space="preserve">, וכ"כ הרשב"א </w:t>
      </w:r>
      <w:r>
        <w:rPr>
          <w:sz w:val="16"/>
          <w:szCs w:val="16"/>
          <w:rtl/>
        </w:rPr>
        <w:t>[שם ד"ה רב פפא]</w:t>
      </w:r>
      <w:r>
        <w:rPr>
          <w:rtl/>
        </w:rPr>
        <w:t xml:space="preserve">. מיהו היכא דיש רגלים לדבר דאינו יודע או ששכח מי הם העדים, נראה דפטור לסברא זו דגורסין נאמן, דהא בלאו הכי הר"ן </w:t>
      </w:r>
      <w:r>
        <w:rPr>
          <w:sz w:val="16"/>
          <w:szCs w:val="16"/>
          <w:rtl/>
        </w:rPr>
        <w:t xml:space="preserve">[שם כ: מדפה"ר] </w:t>
      </w:r>
      <w:r>
        <w:rPr>
          <w:rtl/>
        </w:rPr>
        <w:t xml:space="preserve">חולק, ש"ך (סקי"ג). </w:t>
      </w:r>
      <w:r>
        <w:rPr>
          <w:color w:val="FF0000"/>
          <w:rtl/>
        </w:rPr>
        <w:t>וצל"ע למה הכריח כן והרי השו"ע העתיק את לשון הרמב"ם.</w:t>
      </w:r>
    </w:p>
  </w:footnote>
  <w:footnote w:id="5630">
    <w:p w14:paraId="0447F88A" w14:textId="77777777" w:rsidR="0013116F" w:rsidRDefault="0013116F" w:rsidP="0004348D">
      <w:pPr>
        <w:pStyle w:val="a9"/>
        <w:rPr>
          <w:rtl/>
        </w:rPr>
      </w:pPr>
      <w:r>
        <w:rPr>
          <w:rStyle w:val="ab"/>
        </w:rPr>
        <w:footnoteRef/>
      </w:r>
      <w:r>
        <w:rPr>
          <w:rtl/>
        </w:rPr>
        <w:t xml:space="preserve"> גם בדין זה אין חילוק בין אמר לו בשעת הלואה או לאחר הלואה, אלא לעולם מועיל תנאו אף בלא קנין, וכדלעיל סעיף ג' גבי אמר לו אל תפרעני אלא בעדים. וכן משמע להדיא בהרא"ש [סנהדרין] פרק זה בורר [סי' ה'] ובטור לעיל סי' כב (סע' ד)... אך לדעת רש"י והרי"ף וסיעתם דלקמן דס"ל דאפילו באו עדים אחרים והעידו שפרע אינו נאמן, דה"ל כהימניה כבי תרי, נראה דכי היכי דס"ל להרי"ף גבי נאמנות כבי תרי דבעי קנין לאחר הלואה </w:t>
      </w:r>
      <w:r>
        <w:rPr>
          <w:sz w:val="16"/>
          <w:szCs w:val="16"/>
          <w:rtl/>
        </w:rPr>
        <w:t>(וכמו שכתבתי לקמן סימן ע"א סעיף ב' [סק"ז])</w:t>
      </w:r>
      <w:r>
        <w:rPr>
          <w:rtl/>
        </w:rPr>
        <w:t xml:space="preserve"> ה"ה הכא לא מהני תנאי זה אם באו עדים והעידו שפרע אלא כשהתנה כן בשעת הלואה או שקנו מיניה, ועמ"ש בסימן ע"א סעיף ב', ש"ך (סקט"ו).</w:t>
      </w:r>
    </w:p>
  </w:footnote>
  <w:footnote w:id="5631">
    <w:p w14:paraId="58167F3A" w14:textId="77777777" w:rsidR="0013116F" w:rsidRDefault="0013116F" w:rsidP="0004348D">
      <w:pPr>
        <w:pStyle w:val="a9"/>
      </w:pPr>
      <w:r>
        <w:rPr>
          <w:rStyle w:val="ab"/>
        </w:rPr>
        <w:footnoteRef/>
      </w:r>
      <w:r>
        <w:rPr>
          <w:rtl/>
        </w:rPr>
        <w:t xml:space="preserve"> ע"ל סימן נ"ח וסימן פ"ג מ"ש הטור והמחבר בדין זה, סמ"ע (סקט"ו).</w:t>
      </w:r>
    </w:p>
  </w:footnote>
  <w:footnote w:id="5632">
    <w:p w14:paraId="721BBDA4" w14:textId="77777777" w:rsidR="0013116F" w:rsidRDefault="0013116F" w:rsidP="0004348D">
      <w:pPr>
        <w:pStyle w:val="a9"/>
        <w:rPr>
          <w:rtl/>
        </w:rPr>
      </w:pPr>
      <w:r>
        <w:rPr>
          <w:rStyle w:val="ab"/>
        </w:rPr>
        <w:footnoteRef/>
      </w:r>
      <w:r>
        <w:rPr>
          <w:rtl/>
        </w:rPr>
        <w:t xml:space="preserve"> דברי הר"ב אלו צל"ע... ועוד קשה דהמרדכי קאי בשיטת המפרשים דאיתנהו לסהדי קמן, משא"כ להרמב"ם והמחבר דמפרשים בליתנהו קמן, ומשמע מדבריהם דבאיתנהו קמן בכל ענין הלוה פטור, וה"ל להר"ב לכתוב כן בלשון יש אומרים, וצ"ע, ש"ך</w:t>
      </w:r>
      <w:r>
        <w:rPr>
          <w:sz w:val="16"/>
          <w:szCs w:val="16"/>
          <w:rtl/>
        </w:rPr>
        <w:t xml:space="preserve"> (סקי"ט)</w:t>
      </w:r>
      <w:r>
        <w:rPr>
          <w:rtl/>
        </w:rPr>
        <w:t>.</w:t>
      </w:r>
    </w:p>
  </w:footnote>
  <w:footnote w:id="5633">
    <w:p w14:paraId="2D473A29" w14:textId="77777777" w:rsidR="0013116F" w:rsidRDefault="0013116F" w:rsidP="0004348D">
      <w:pPr>
        <w:pStyle w:val="a9"/>
      </w:pPr>
      <w:r>
        <w:rPr>
          <w:rStyle w:val="ab"/>
        </w:rPr>
        <w:footnoteRef/>
      </w:r>
      <w:r>
        <w:rPr>
          <w:rtl/>
        </w:rPr>
        <w:t xml:space="preserve"> </w:t>
      </w:r>
      <w:r>
        <w:rPr>
          <w:rFonts w:hint="cs"/>
          <w:rtl/>
        </w:rPr>
        <w:t xml:space="preserve">סימן – </w:t>
      </w:r>
      <w:bookmarkStart w:id="790" w:name="_Hlk23155748"/>
      <w:r>
        <w:rPr>
          <w:rFonts w:hint="cs"/>
          <w:rtl/>
        </w:rPr>
        <w:t>מילוה אינה מיהדרא אלא באנשים מיוחדים</w:t>
      </w:r>
      <w:bookmarkEnd w:id="790"/>
      <w:r>
        <w:rPr>
          <w:rFonts w:hint="cs"/>
          <w:rtl/>
        </w:rPr>
        <w:t>.</w:t>
      </w:r>
    </w:p>
  </w:footnote>
  <w:footnote w:id="5634">
    <w:p w14:paraId="208EFADB" w14:textId="77777777" w:rsidR="0013116F" w:rsidRDefault="0013116F" w:rsidP="0004348D">
      <w:pPr>
        <w:pStyle w:val="a9"/>
      </w:pPr>
      <w:r>
        <w:rPr>
          <w:rStyle w:val="ab"/>
        </w:rPr>
        <w:footnoteRef/>
      </w:r>
      <w:r>
        <w:rPr>
          <w:rtl/>
        </w:rPr>
        <w:t xml:space="preserve"> </w:t>
      </w:r>
      <w:r>
        <w:rPr>
          <w:rFonts w:hint="cs"/>
          <w:rtl/>
        </w:rPr>
        <w:t>נאנסו (נגנבו/נאבדו).</w:t>
      </w:r>
    </w:p>
  </w:footnote>
  <w:footnote w:id="5635">
    <w:p w14:paraId="283A73BC" w14:textId="77777777" w:rsidR="0013116F" w:rsidRDefault="0013116F" w:rsidP="0004348D">
      <w:pPr>
        <w:pStyle w:val="a9"/>
        <w:rPr>
          <w:rtl/>
        </w:rPr>
      </w:pPr>
      <w:r>
        <w:rPr>
          <w:rStyle w:val="ab"/>
        </w:rPr>
        <w:footnoteRef/>
      </w:r>
      <w:r>
        <w:rPr>
          <w:rtl/>
        </w:rPr>
        <w:t xml:space="preserve"> ואיני עליהן אלא שומר חנם שלא קבלתים בתורת פרעון, רש"י.</w:t>
      </w:r>
    </w:p>
  </w:footnote>
  <w:footnote w:id="5636">
    <w:p w14:paraId="6576B468" w14:textId="77777777" w:rsidR="0013116F" w:rsidRDefault="0013116F" w:rsidP="0004348D">
      <w:pPr>
        <w:pStyle w:val="a9"/>
        <w:rPr>
          <w:rtl/>
        </w:rPr>
      </w:pPr>
      <w:r>
        <w:rPr>
          <w:rStyle w:val="ab"/>
        </w:rPr>
        <w:footnoteRef/>
      </w:r>
      <w:r>
        <w:rPr>
          <w:rtl/>
        </w:rPr>
        <w:t xml:space="preserve"> דקבלתינהו וזה לא בתורת פקדון מסרם לך הוי פרעון ודברים שהיו בלבך אינם דברים, רש"י.</w:t>
      </w:r>
    </w:p>
  </w:footnote>
  <w:footnote w:id="5637">
    <w:p w14:paraId="15F3F411" w14:textId="77777777" w:rsidR="0013116F" w:rsidRDefault="0013116F" w:rsidP="0004348D">
      <w:pPr>
        <w:pStyle w:val="a9"/>
        <w:rPr>
          <w:rtl/>
        </w:rPr>
      </w:pPr>
      <w:r>
        <w:rPr>
          <w:rStyle w:val="ab"/>
        </w:rPr>
        <w:footnoteRef/>
      </w:r>
      <w:r>
        <w:rPr>
          <w:rtl/>
        </w:rPr>
        <w:t xml:space="preserve"> </w:t>
      </w:r>
      <w:r>
        <w:rPr>
          <w:rFonts w:hint="cs"/>
          <w:rtl/>
        </w:rPr>
        <w:t xml:space="preserve">אמר ליה כן בבדיחותא </w:t>
      </w:r>
      <w:r>
        <w:rPr>
          <w:sz w:val="16"/>
          <w:szCs w:val="16"/>
          <w:rtl/>
        </w:rPr>
        <w:t>(היינו אם אתה מתעקש שיקיים את תנאו תן לו את המעות שחייב לך ויחזיר לך אותן בפנינו)</w:t>
      </w:r>
      <w:r>
        <w:rPr>
          <w:rtl/>
        </w:rPr>
        <w:t xml:space="preserve">, ולאו משום דצריך לקיים תנאו, ע"פ תוס' </w:t>
      </w:r>
      <w:r>
        <w:rPr>
          <w:sz w:val="16"/>
          <w:szCs w:val="16"/>
          <w:rtl/>
        </w:rPr>
        <w:t>(שם בד"ה הא אנא ורב ששת)</w:t>
      </w:r>
      <w:r>
        <w:rPr>
          <w:rtl/>
        </w:rPr>
        <w:t xml:space="preserve"> ורא"ש </w:t>
      </w:r>
      <w:r>
        <w:rPr>
          <w:sz w:val="16"/>
          <w:szCs w:val="16"/>
          <w:rtl/>
        </w:rPr>
        <w:t>(פ"ו סי' יד-טו)</w:t>
      </w:r>
      <w:r>
        <w:rPr>
          <w:rtl/>
        </w:rPr>
        <w:t>. הביאם הב"י.</w:t>
      </w:r>
    </w:p>
  </w:footnote>
  <w:footnote w:id="5638">
    <w:p w14:paraId="4AE6F46F" w14:textId="77777777" w:rsidR="0013116F" w:rsidRDefault="0013116F" w:rsidP="0004348D">
      <w:pPr>
        <w:pStyle w:val="a9"/>
      </w:pPr>
      <w:r>
        <w:rPr>
          <w:rStyle w:val="ab"/>
        </w:rPr>
        <w:footnoteRef/>
      </w:r>
      <w:r>
        <w:rPr>
          <w:rtl/>
        </w:rPr>
        <w:t xml:space="preserve"> ומדברי רש"י </w:t>
      </w:r>
      <w:r>
        <w:rPr>
          <w:sz w:val="16"/>
          <w:szCs w:val="16"/>
          <w:rtl/>
        </w:rPr>
        <w:t xml:space="preserve">{שכתב- כיון דקא מודית דקבלתינהו וזה לא בתורת פקדון מסרם לך הוי פרעון ודברים שהיו בלבך אינם דברים} </w:t>
      </w:r>
      <w:r>
        <w:rPr>
          <w:rtl/>
        </w:rPr>
        <w:t>יתבאר לך שדברי רבינו אינם מדוקדקים שכתב 'שאומר שקבלו בתורת פקדון', דמשמע שהוא אומר שהוא מוסכם ביניהם שקבלו בתורת פקדון, וזה אינו, שגם המלוה מודה שלא הוזכר שם פקדון אלא שהוא אמר כך בלבו, וכמבואר בדברי רש"י, ב"י (בבדה"ב). ולפע"ד גם דעת הטור כן ודבריו מדוקדקים, שהרי כתב, ופרעו לו בינו לבינו והוא מודה לו רק שאומר שקיבלו כו', משמע שמודה לו שפרעו, רק שאומר שקיבלו בדעתו בתורת פקדון כו', וכן מבואר בב"ח כונת הטור, ע"ש, ש"ך (סקכ"ב).</w:t>
      </w:r>
    </w:p>
  </w:footnote>
  <w:footnote w:id="5639">
    <w:p w14:paraId="193C3260" w14:textId="77777777" w:rsidR="0013116F" w:rsidRDefault="0013116F" w:rsidP="0004348D">
      <w:pPr>
        <w:pStyle w:val="a9"/>
        <w:rPr>
          <w:rtl/>
        </w:rPr>
      </w:pPr>
      <w:r>
        <w:rPr>
          <w:rStyle w:val="ab"/>
        </w:rPr>
        <w:footnoteRef/>
      </w:r>
      <w:r>
        <w:rPr>
          <w:rtl/>
        </w:rPr>
        <w:t xml:space="preserve"> זו היא גירסת הרמב"ם על פי דרכו שכתבתי לעיל, ודלא כהרי"ף (שם) שגורס אזל ופרעיה באפי סהדי, ואפילו הכי טעמא דמודה הא לאו הכי לא מהימן, ב"י.</w:t>
      </w:r>
    </w:p>
  </w:footnote>
  <w:footnote w:id="5640">
    <w:p w14:paraId="35653D81" w14:textId="77777777" w:rsidR="0013116F" w:rsidRDefault="0013116F" w:rsidP="0004348D">
      <w:pPr>
        <w:pStyle w:val="a9"/>
      </w:pPr>
      <w:r>
        <w:rPr>
          <w:rStyle w:val="ab"/>
        </w:rPr>
        <w:footnoteRef/>
      </w:r>
      <w:r>
        <w:rPr>
          <w:rtl/>
        </w:rPr>
        <w:t xml:space="preserve"> כי אף שאמר זה שבשעה שקיבל המעות היתה דעתו לכך, ה"ל דברים שבלב ודברים שבלב אינן דברים, כ"כ רש"י </w:t>
      </w:r>
      <w:r>
        <w:rPr>
          <w:sz w:val="16"/>
          <w:szCs w:val="16"/>
          <w:rtl/>
        </w:rPr>
        <w:t>[שבועות מא: ד"ה כיון]</w:t>
      </w:r>
      <w:r>
        <w:rPr>
          <w:rtl/>
        </w:rPr>
        <w:t xml:space="preserve">. אבל אם אמר בשעה שקיבל המעות בהדיא שלשם פקדון מקבלם ונאנסו, לא הוי פרעון </w:t>
      </w:r>
      <w:r>
        <w:rPr>
          <w:sz w:val="16"/>
          <w:szCs w:val="16"/>
          <w:rtl/>
        </w:rPr>
        <w:t xml:space="preserve">(ולא דמי למ"ש הטור </w:t>
      </w:r>
      <w:r>
        <w:rPr>
          <w:sz w:val="12"/>
          <w:szCs w:val="12"/>
          <w:rtl/>
        </w:rPr>
        <w:t xml:space="preserve">(ס"ג) </w:t>
      </w:r>
      <w:r>
        <w:rPr>
          <w:sz w:val="16"/>
          <w:szCs w:val="16"/>
          <w:rtl/>
        </w:rPr>
        <w:t xml:space="preserve">והמחבר </w:t>
      </w:r>
      <w:r>
        <w:rPr>
          <w:sz w:val="12"/>
          <w:szCs w:val="12"/>
          <w:rtl/>
        </w:rPr>
        <w:t xml:space="preserve">(ס"ב) </w:t>
      </w:r>
      <w:r>
        <w:rPr>
          <w:sz w:val="16"/>
          <w:szCs w:val="16"/>
          <w:rtl/>
        </w:rPr>
        <w:t>לקמן סי' ק"כ דאפילו אם אמר המלוה בפירוש לא אקבלם בתורת פרעון והוא השליך המעות בפניו בתורת פרעון, נפטר ממנו הלוה בזה. דשאני הכא דיכול המלוה לומר כל זמן שאין העדים לפנינו הרי הוא כאילו לא הגיע זמנם)</w:t>
      </w:r>
      <w:r>
        <w:rPr>
          <w:rtl/>
        </w:rPr>
        <w:t xml:space="preserve">, סמ"ע </w:t>
      </w:r>
      <w:r>
        <w:rPr>
          <w:sz w:val="16"/>
          <w:szCs w:val="16"/>
          <w:rtl/>
        </w:rPr>
        <w:t>(סקי"ח)</w:t>
      </w:r>
      <w:r>
        <w:rPr>
          <w:rtl/>
        </w:rPr>
        <w:t xml:space="preserve">. וכ"כ הב"ח </w:t>
      </w:r>
      <w:r>
        <w:rPr>
          <w:sz w:val="16"/>
          <w:szCs w:val="16"/>
          <w:rtl/>
        </w:rPr>
        <w:t xml:space="preserve">(סע' י) </w:t>
      </w:r>
      <w:r>
        <w:rPr>
          <w:rtl/>
        </w:rPr>
        <w:t xml:space="preserve">והש"ך </w:t>
      </w:r>
      <w:r>
        <w:rPr>
          <w:sz w:val="16"/>
          <w:szCs w:val="16"/>
          <w:rtl/>
        </w:rPr>
        <w:t>(סקכ"ב)</w:t>
      </w:r>
      <w:r>
        <w:rPr>
          <w:rtl/>
        </w:rPr>
        <w:t>, וכתב עוד הש"ך דכן משמע בבדה"ב</w:t>
      </w:r>
      <w:r>
        <w:rPr>
          <w:sz w:val="16"/>
          <w:szCs w:val="16"/>
          <w:rtl/>
        </w:rPr>
        <w:t xml:space="preserve"> (שם)</w:t>
      </w:r>
      <w:r>
        <w:rPr>
          <w:rtl/>
        </w:rPr>
        <w:t>.</w:t>
      </w:r>
    </w:p>
  </w:footnote>
  <w:footnote w:id="5641">
    <w:p w14:paraId="07F55349" w14:textId="77777777" w:rsidR="0013116F" w:rsidRDefault="0013116F" w:rsidP="0004348D">
      <w:pPr>
        <w:pStyle w:val="a9"/>
      </w:pPr>
      <w:r>
        <w:rPr>
          <w:rStyle w:val="ab"/>
        </w:rPr>
        <w:footnoteRef/>
      </w:r>
      <w:r>
        <w:rPr>
          <w:rtl/>
        </w:rPr>
        <w:t xml:space="preserve"> </w:t>
      </w:r>
      <w:r>
        <w:rPr>
          <w:rFonts w:hint="cs"/>
          <w:rtl/>
        </w:rPr>
        <w:t>סימן – זקנים/זהירים יורו, זה כירחון.</w:t>
      </w:r>
    </w:p>
  </w:footnote>
  <w:footnote w:id="5642">
    <w:p w14:paraId="6988CDB1" w14:textId="77777777" w:rsidR="0013116F" w:rsidRDefault="0013116F" w:rsidP="0004348D">
      <w:pPr>
        <w:pStyle w:val="a9"/>
      </w:pPr>
      <w:r>
        <w:rPr>
          <w:rStyle w:val="ab"/>
        </w:rPr>
        <w:footnoteRef/>
      </w:r>
      <w:r>
        <w:rPr>
          <w:rtl/>
        </w:rPr>
        <w:t xml:space="preserve"> ועיין (תרומות שם) בסימן ו', ב"י. </w:t>
      </w:r>
    </w:p>
  </w:footnote>
  <w:footnote w:id="5643">
    <w:p w14:paraId="4047E5A7" w14:textId="77777777" w:rsidR="0013116F" w:rsidRDefault="0013116F" w:rsidP="0004348D">
      <w:pPr>
        <w:pStyle w:val="a9"/>
      </w:pPr>
      <w:r>
        <w:rPr>
          <w:rStyle w:val="ab"/>
        </w:rPr>
        <w:footnoteRef/>
      </w:r>
      <w:r>
        <w:rPr>
          <w:rtl/>
        </w:rPr>
        <w:t xml:space="preserve"> </w:t>
      </w:r>
      <w:r>
        <w:rPr>
          <w:rFonts w:hint="cs"/>
          <w:rtl/>
        </w:rPr>
        <w:t>סימן – עבוד על עושק בדאי.</w:t>
      </w:r>
    </w:p>
  </w:footnote>
  <w:footnote w:id="5644">
    <w:p w14:paraId="21421628" w14:textId="77777777" w:rsidR="0013116F" w:rsidRDefault="0013116F" w:rsidP="0004348D">
      <w:pPr>
        <w:pStyle w:val="a9"/>
      </w:pPr>
      <w:r>
        <w:rPr>
          <w:rStyle w:val="ab"/>
        </w:rPr>
        <w:footnoteRef/>
      </w:r>
      <w:r>
        <w:rPr>
          <w:rtl/>
        </w:rPr>
        <w:t xml:space="preserve"> כרם, רש"י.</w:t>
      </w:r>
    </w:p>
  </w:footnote>
  <w:footnote w:id="5645">
    <w:p w14:paraId="7F58B1E0" w14:textId="77777777" w:rsidR="0013116F" w:rsidRDefault="0013116F" w:rsidP="0004348D">
      <w:pPr>
        <w:pStyle w:val="a9"/>
      </w:pPr>
      <w:r>
        <w:rPr>
          <w:rStyle w:val="ab"/>
        </w:rPr>
        <w:footnoteRef/>
      </w:r>
      <w:r>
        <w:rPr>
          <w:rtl/>
        </w:rPr>
        <w:t xml:space="preserve"> אטמין, רש"י.</w:t>
      </w:r>
    </w:p>
  </w:footnote>
  <w:footnote w:id="5646">
    <w:p w14:paraId="08ACEB2B" w14:textId="77777777" w:rsidR="0013116F" w:rsidRDefault="0013116F" w:rsidP="0004348D">
      <w:pPr>
        <w:pStyle w:val="a9"/>
        <w:rPr>
          <w:rtl/>
        </w:rPr>
      </w:pPr>
      <w:r>
        <w:rPr>
          <w:rStyle w:val="ab"/>
        </w:rPr>
        <w:footnoteRef/>
      </w:r>
      <w:r>
        <w:rPr>
          <w:rtl/>
        </w:rPr>
        <w:t xml:space="preserve"> ואבד שטר המכירה, ואבא מכח חזקה של שלש שנים, דכולי האי לא מצינא למיזדהר בשטרא, רש"י.</w:t>
      </w:r>
    </w:p>
  </w:footnote>
  <w:footnote w:id="5647">
    <w:p w14:paraId="6CC68FC9" w14:textId="77777777" w:rsidR="0013116F" w:rsidRDefault="0013116F" w:rsidP="0004348D">
      <w:pPr>
        <w:pStyle w:val="a9"/>
        <w:rPr>
          <w:rtl/>
        </w:rPr>
      </w:pPr>
      <w:r>
        <w:rPr>
          <w:rStyle w:val="ab"/>
        </w:rPr>
        <w:footnoteRef/>
      </w:r>
      <w:r>
        <w:rPr>
          <w:rtl/>
        </w:rPr>
        <w:t xml:space="preserve"> בעל הכרם, רש"י.</w:t>
      </w:r>
    </w:p>
  </w:footnote>
  <w:footnote w:id="5648">
    <w:p w14:paraId="1886F095" w14:textId="77777777" w:rsidR="0013116F" w:rsidRDefault="0013116F" w:rsidP="0004348D">
      <w:pPr>
        <w:pStyle w:val="a9"/>
      </w:pPr>
      <w:r>
        <w:rPr>
          <w:rStyle w:val="ab"/>
        </w:rPr>
        <w:footnoteRef/>
      </w:r>
      <w:r>
        <w:rPr>
          <w:rtl/>
        </w:rPr>
        <w:t xml:space="preserve"> במתנה בעדים, רש"י.</w:t>
      </w:r>
    </w:p>
  </w:footnote>
  <w:footnote w:id="5649">
    <w:p w14:paraId="0BC84099" w14:textId="77777777" w:rsidR="0013116F" w:rsidRDefault="0013116F" w:rsidP="0004348D">
      <w:pPr>
        <w:pStyle w:val="a9"/>
      </w:pPr>
      <w:r>
        <w:rPr>
          <w:rStyle w:val="ab"/>
        </w:rPr>
        <w:footnoteRef/>
      </w:r>
      <w:r>
        <w:rPr>
          <w:rtl/>
        </w:rPr>
        <w:t xml:space="preserve"> כדי שלא תהא מכירתו מכירה, שכשיוציא שטר מכירתו - זה יוציא שטר מתנתו, ולא גילה הדבר, רש"י.</w:t>
      </w:r>
    </w:p>
  </w:footnote>
  <w:footnote w:id="5650">
    <w:p w14:paraId="1C62F777" w14:textId="77777777" w:rsidR="0013116F" w:rsidRDefault="0013116F" w:rsidP="0004348D">
      <w:pPr>
        <w:pStyle w:val="a9"/>
        <w:rPr>
          <w:rtl/>
        </w:rPr>
      </w:pPr>
      <w:r>
        <w:rPr>
          <w:rStyle w:val="ab"/>
        </w:rPr>
        <w:footnoteRef/>
      </w:r>
      <w:r>
        <w:rPr>
          <w:rtl/>
        </w:rPr>
        <w:t xml:space="preserve"> מעות שהוא תובע ממנו, שמוציא עליו שטר שמכרת לי כרם שאין שלך, וקבלת מעותיי, וכתבת לי אחריות, רש"י.</w:t>
      </w:r>
    </w:p>
  </w:footnote>
  <w:footnote w:id="5651">
    <w:p w14:paraId="1BBC4775" w14:textId="77777777" w:rsidR="0013116F" w:rsidRDefault="0013116F" w:rsidP="0004348D">
      <w:pPr>
        <w:pStyle w:val="a9"/>
        <w:rPr>
          <w:rtl/>
        </w:rPr>
      </w:pPr>
      <w:r>
        <w:rPr>
          <w:rStyle w:val="ab"/>
        </w:rPr>
        <w:footnoteRef/>
      </w:r>
      <w:r>
        <w:rPr>
          <w:rtl/>
        </w:rPr>
        <w:t xml:space="preserve"> דהא כתב ליה אחריות, רש"י.</w:t>
      </w:r>
    </w:p>
  </w:footnote>
  <w:footnote w:id="5652">
    <w:p w14:paraId="210E01F6" w14:textId="77777777" w:rsidR="0013116F" w:rsidRDefault="0013116F" w:rsidP="0004348D">
      <w:pPr>
        <w:pStyle w:val="a9"/>
      </w:pPr>
      <w:r>
        <w:rPr>
          <w:rStyle w:val="ab"/>
        </w:rPr>
        <w:footnoteRef/>
      </w:r>
      <w:r>
        <w:rPr>
          <w:rtl/>
        </w:rPr>
        <w:t xml:space="preserve"> מאחר שהלוה מודה ששטר חוב שהוציא עליו שטר אמת הוא - אין המלוה צריך לחזר אחר העדים החתומין בו ולהעיד על חתימתן ולקיימו, והכא נמי, הרי מודה שמכרו לו באחריות, ואם השטר בטל לענין המכירה מפני שטר המתנה שקדמו - לא בטיל לענין אחריות, רש"י.</w:t>
      </w:r>
    </w:p>
  </w:footnote>
  <w:footnote w:id="5653">
    <w:p w14:paraId="316E0585" w14:textId="77777777" w:rsidR="0013116F" w:rsidRDefault="0013116F" w:rsidP="0004348D">
      <w:pPr>
        <w:pStyle w:val="a9"/>
        <w:rPr>
          <w:rtl/>
        </w:rPr>
      </w:pPr>
      <w:r>
        <w:rPr>
          <w:rStyle w:val="ab"/>
        </w:rPr>
        <w:footnoteRef/>
      </w:r>
      <w:r>
        <w:rPr>
          <w:rtl/>
        </w:rPr>
        <w:t xml:space="preserve"> מאחר שנתנו כבר במתנה, ועל כרחו כתבו ליה זה, רש"י.</w:t>
      </w:r>
    </w:p>
  </w:footnote>
  <w:footnote w:id="5654">
    <w:p w14:paraId="64D6A046" w14:textId="77777777" w:rsidR="0013116F" w:rsidRDefault="0013116F" w:rsidP="0004348D">
      <w:pPr>
        <w:pStyle w:val="a9"/>
        <w:rPr>
          <w:rtl/>
        </w:rPr>
      </w:pPr>
      <w:r>
        <w:rPr>
          <w:rStyle w:val="ab"/>
        </w:rPr>
        <w:footnoteRef/>
      </w:r>
      <w:r>
        <w:rPr>
          <w:rtl/>
        </w:rPr>
        <w:t xml:space="preserve"> בב"י לא כתב על דין זה דבר, רק כתב שהוא מפרק איזהו נשך בעובדא דפרדיסא (שם), ובאמת לא הוזכר בש"ס שם שנאמן לומר פרעתי, ואדרבה משמע לכאורה בש"ס שם דלא מיבעיא ליה אלא אי גבי ממשעבדי, אבל מבני חרי פשיטא ליה דגבי ואינו נאמן לומר פרעתי, רק התוס' שם [ד"ה אמר] כתבו דפשיטא ליה דנאמן לומר פרעתי, וכן בתשובת רשב"א [ח"ב סי' קפח] שהביא הב"י משמע להדיא דנאמן לומר פרעתי, אבל בבעל התרומות (שער מז) כתב דמבני חרי מיהא גבי, ואי טעין פרעתי אמר ליה שטרך בידי מאי בעי, עכ"ל. וכ"כ הריב"ש (ר"ס שפב), ולפי מה דמדמו הבעל התרומות והריב"ש התם האי דינא לשטר מוקדם, וכדמשמע לכאורה בש"ס התם (שם:) דדמי להדדי, א"כ הא רוב הפוסקים וגם המחבר גופיה פסק לעיל סימן מ"ג סעיף ז' בשטר מוקדם דגובה מבני חרי, וע"כ צ"ע לדינא, ש"ך (סקכ"ו).</w:t>
      </w:r>
    </w:p>
  </w:footnote>
  <w:footnote w:id="5655">
    <w:p w14:paraId="18CF78EB" w14:textId="77777777" w:rsidR="0013116F" w:rsidRDefault="0013116F" w:rsidP="0004348D">
      <w:pPr>
        <w:pStyle w:val="a9"/>
        <w:rPr>
          <w:rtl/>
        </w:rPr>
      </w:pPr>
      <w:r>
        <w:rPr>
          <w:rStyle w:val="ab"/>
        </w:rPr>
        <w:footnoteRef/>
      </w:r>
      <w:r>
        <w:rPr>
          <w:rtl/>
        </w:rPr>
        <w:t xml:space="preserve"> ויש במעות שנתן משום איסור ריבית </w:t>
      </w:r>
      <w:r>
        <w:rPr>
          <w:sz w:val="16"/>
          <w:szCs w:val="16"/>
          <w:rtl/>
        </w:rPr>
        <w:t>(וכמ"ש לקמן סי' רז ס"ו, וביו"ד סי' קעד ס"א)</w:t>
      </w:r>
      <w:r>
        <w:rPr>
          <w:rtl/>
        </w:rPr>
        <w:t xml:space="preserve"> דהמכירה בטלה, שאין לו דין שטר, סמ"ע </w:t>
      </w:r>
      <w:r>
        <w:rPr>
          <w:sz w:val="16"/>
          <w:szCs w:val="16"/>
          <w:rtl/>
        </w:rPr>
        <w:t>(סקכ"א)</w:t>
      </w:r>
      <w:r>
        <w:rPr>
          <w:rtl/>
        </w:rPr>
        <w:t>.</w:t>
      </w:r>
    </w:p>
  </w:footnote>
  <w:footnote w:id="5656">
    <w:p w14:paraId="6A5EA0E4" w14:textId="77777777" w:rsidR="0013116F" w:rsidRDefault="0013116F" w:rsidP="0004348D">
      <w:pPr>
        <w:pStyle w:val="a9"/>
      </w:pPr>
      <w:r>
        <w:rPr>
          <w:rStyle w:val="ab"/>
        </w:rPr>
        <w:footnoteRef/>
      </w:r>
      <w:r>
        <w:rPr>
          <w:rtl/>
        </w:rPr>
        <w:t xml:space="preserve"> דהא במקח כזה אית ביה משום איסור רבית שאוכל פירות הקרקע בשביל המתנת מעות, דרכ"מ (אות ו*).</w:t>
      </w:r>
    </w:p>
  </w:footnote>
  <w:footnote w:id="5657">
    <w:p w14:paraId="4B4F3CA5" w14:textId="77777777" w:rsidR="0013116F" w:rsidRDefault="0013116F" w:rsidP="0004348D">
      <w:pPr>
        <w:pStyle w:val="a9"/>
      </w:pPr>
      <w:r>
        <w:rPr>
          <w:rStyle w:val="ab"/>
        </w:rPr>
        <w:footnoteRef/>
      </w:r>
      <w:r>
        <w:rPr>
          <w:rtl/>
        </w:rPr>
        <w:t xml:space="preserve"> וזה עדיף מפסק של דיינים שיש בו פלוגתא </w:t>
      </w:r>
      <w:r>
        <w:rPr>
          <w:sz w:val="16"/>
          <w:szCs w:val="16"/>
          <w:rtl/>
        </w:rPr>
        <w:t>(כמ"ש לעיל סי' לט סע' י)</w:t>
      </w:r>
      <w:r>
        <w:rPr>
          <w:rtl/>
        </w:rPr>
        <w:t xml:space="preserve">. והטעם, דפסק דין עומד לפרעו מיד, משא"כ זה דידוע דלא היה לו לפרעו, ונתנו לו המעשה בית דין להיות בידו לראיה לאחר זמן </w:t>
      </w:r>
      <w:r>
        <w:rPr>
          <w:sz w:val="16"/>
          <w:szCs w:val="16"/>
          <w:rtl/>
        </w:rPr>
        <w:t>(ועמ"ש בסי' עט סע' יב [סקל"א] עוד מדין מעשה ב"ד. גם כתבתי שם ובסי' לט סע' ט [סקכ"ד] אימת אינו נאמן לומר פרעתי אחר שהודה בב"ד, ואימת טורפין לקוחות אם הודה אף שאם היה טוען פרעתי היה נאמן)</w:t>
      </w:r>
      <w:r>
        <w:rPr>
          <w:rtl/>
        </w:rPr>
        <w:t xml:space="preserve">, סמ"ע </w:t>
      </w:r>
      <w:r>
        <w:rPr>
          <w:sz w:val="16"/>
          <w:szCs w:val="16"/>
          <w:rtl/>
        </w:rPr>
        <w:t>(סקי"ט)</w:t>
      </w:r>
      <w:r>
        <w:rPr>
          <w:rtl/>
        </w:rPr>
        <w:t xml:space="preserve">. נראה מדבריו דאפילו למ"ד לעיל </w:t>
      </w:r>
      <w:r>
        <w:rPr>
          <w:sz w:val="16"/>
          <w:szCs w:val="16"/>
          <w:rtl/>
        </w:rPr>
        <w:t xml:space="preserve">(סי' לט) </w:t>
      </w:r>
      <w:r>
        <w:rPr>
          <w:rtl/>
        </w:rPr>
        <w:t xml:space="preserve">דבפסק דין נאמן לומר פרעתי, הכא מודה דאינו נאמן. והש"ך שם </w:t>
      </w:r>
      <w:r>
        <w:rPr>
          <w:sz w:val="16"/>
          <w:szCs w:val="16"/>
          <w:rtl/>
        </w:rPr>
        <w:t xml:space="preserve">(סי' לט סקכ"ט) </w:t>
      </w:r>
      <w:r>
        <w:rPr>
          <w:rtl/>
        </w:rPr>
        <w:t>השיג עליו.</w:t>
      </w:r>
    </w:p>
  </w:footnote>
  <w:footnote w:id="5658">
    <w:p w14:paraId="39D65C69" w14:textId="77777777" w:rsidR="0013116F" w:rsidRDefault="0013116F" w:rsidP="0004348D">
      <w:pPr>
        <w:pStyle w:val="a9"/>
        <w:rPr>
          <w:rtl/>
        </w:rPr>
      </w:pPr>
      <w:r>
        <w:rPr>
          <w:rStyle w:val="ab"/>
        </w:rPr>
        <w:footnoteRef/>
      </w:r>
      <w:r>
        <w:rPr>
          <w:rtl/>
        </w:rPr>
        <w:t xml:space="preserve"> ועיין לעיל ס"א סעיף ב' </w:t>
      </w:r>
      <w:r>
        <w:rPr>
          <w:sz w:val="16"/>
          <w:szCs w:val="16"/>
          <w:rtl/>
        </w:rPr>
        <w:t>(תוספת ממהדורת הסמ"ע ואילך)</w:t>
      </w:r>
      <w:r>
        <w:rPr>
          <w:rtl/>
        </w:rPr>
        <w:t>.</w:t>
      </w:r>
    </w:p>
  </w:footnote>
  <w:footnote w:id="5659">
    <w:p w14:paraId="6FA3F325" w14:textId="77777777" w:rsidR="0013116F" w:rsidRDefault="0013116F" w:rsidP="0004348D">
      <w:pPr>
        <w:pStyle w:val="a9"/>
      </w:pPr>
      <w:r>
        <w:rPr>
          <w:rStyle w:val="ab"/>
        </w:rPr>
        <w:footnoteRef/>
      </w:r>
      <w:r>
        <w:rPr>
          <w:rtl/>
        </w:rPr>
        <w:t xml:space="preserve"> </w:t>
      </w:r>
      <w:r>
        <w:rPr>
          <w:rFonts w:hint="cs"/>
          <w:rtl/>
        </w:rPr>
        <w:t>סימן – מהימנת בחוב/בזה/כב'.</w:t>
      </w:r>
    </w:p>
  </w:footnote>
  <w:footnote w:id="5660">
    <w:p w14:paraId="7FB3CBD2" w14:textId="77777777" w:rsidR="0013116F" w:rsidRDefault="0013116F" w:rsidP="0004348D">
      <w:pPr>
        <w:pStyle w:val="a9"/>
        <w:rPr>
          <w:rtl/>
        </w:rPr>
      </w:pPr>
      <w:r>
        <w:rPr>
          <w:rStyle w:val="ab"/>
        </w:rPr>
        <w:footnoteRef/>
      </w:r>
      <w:r>
        <w:rPr>
          <w:rtl/>
        </w:rPr>
        <w:t xml:space="preserve"> כיון שירד מתחלה למנין שהוא יותר מכדי עדות ודאי אמניינא קפיד ובתלתא הימניה בארבעה לא הימניה, ב"י ע"פ רש"י.</w:t>
      </w:r>
    </w:p>
  </w:footnote>
  <w:footnote w:id="5661">
    <w:p w14:paraId="2F9F4162" w14:textId="77777777" w:rsidR="0013116F" w:rsidRDefault="0013116F" w:rsidP="0004348D">
      <w:pPr>
        <w:pStyle w:val="a9"/>
      </w:pPr>
      <w:r>
        <w:rPr>
          <w:rStyle w:val="ab"/>
        </w:rPr>
        <w:footnoteRef/>
      </w:r>
      <w:r>
        <w:rPr>
          <w:rtl/>
        </w:rPr>
        <w:t xml:space="preserve"> וכותב לו נאמנות לאו דוקא דהוא הדין באמירה בעלמא סגי, ר"ן </w:t>
      </w:r>
      <w:r>
        <w:rPr>
          <w:sz w:val="16"/>
          <w:szCs w:val="16"/>
          <w:rtl/>
        </w:rPr>
        <w:t>(פרק הכותב מו:, הביאו הדרכ"מ [אות א])</w:t>
      </w:r>
      <w:r>
        <w:rPr>
          <w:rtl/>
        </w:rPr>
        <w:t>. וכתב עוד שם דאם פטרו משבועה הוא הדין דפטרו מנדר, והוא הדין איפכא, ואין חילוק בין נדר לשבועה אלא לגבי בעל שכותב לאשתו.</w:t>
      </w:r>
    </w:p>
  </w:footnote>
  <w:footnote w:id="5662">
    <w:p w14:paraId="0B9C1D74" w14:textId="77777777" w:rsidR="0013116F" w:rsidRDefault="0013116F" w:rsidP="0004348D">
      <w:pPr>
        <w:pStyle w:val="a9"/>
        <w:rPr>
          <w:rtl/>
        </w:rPr>
      </w:pPr>
      <w:r>
        <w:rPr>
          <w:rStyle w:val="ab"/>
        </w:rPr>
        <w:footnoteRef/>
      </w:r>
      <w:r>
        <w:rPr>
          <w:rtl/>
        </w:rPr>
        <w:t xml:space="preserve"> וכ' הה"מ שדין זה אפילו במלוה על פה, וכן נראה מדברי הרמב"ם וכן אכתוב לקמן </w:t>
      </w:r>
      <w:r>
        <w:rPr>
          <w:sz w:val="16"/>
          <w:szCs w:val="16"/>
          <w:rtl/>
        </w:rPr>
        <w:t xml:space="preserve">(סי"ב) </w:t>
      </w:r>
      <w:r>
        <w:rPr>
          <w:rtl/>
        </w:rPr>
        <w:t xml:space="preserve">בשם ספר התרומות </w:t>
      </w:r>
      <w:r>
        <w:rPr>
          <w:sz w:val="16"/>
          <w:szCs w:val="16"/>
          <w:rtl/>
        </w:rPr>
        <w:t>(שם)</w:t>
      </w:r>
      <w:r>
        <w:rPr>
          <w:rtl/>
        </w:rPr>
        <w:t>, ב"י</w:t>
      </w:r>
      <w:r>
        <w:rPr>
          <w:sz w:val="16"/>
          <w:szCs w:val="16"/>
          <w:rtl/>
        </w:rPr>
        <w:t xml:space="preserve"> (בבדה"ב)</w:t>
      </w:r>
      <w:r>
        <w:rPr>
          <w:rtl/>
        </w:rPr>
        <w:t>.</w:t>
      </w:r>
      <w:r>
        <w:rPr>
          <w:color w:val="E36C0A" w:themeColor="accent6" w:themeShade="BF"/>
          <w:rtl/>
        </w:rPr>
        <w:t xml:space="preserve"> (וכ"פ בשו"ע)</w:t>
      </w:r>
    </w:p>
  </w:footnote>
  <w:footnote w:id="5663">
    <w:p w14:paraId="7F229E3D" w14:textId="77777777" w:rsidR="0013116F" w:rsidRDefault="0013116F" w:rsidP="0004348D">
      <w:pPr>
        <w:pStyle w:val="a9"/>
        <w:rPr>
          <w:rtl/>
        </w:rPr>
      </w:pPr>
      <w:r>
        <w:rPr>
          <w:rStyle w:val="ab"/>
        </w:rPr>
        <w:footnoteRef/>
      </w:r>
      <w:r>
        <w:rPr>
          <w:rtl/>
        </w:rPr>
        <w:t xml:space="preserve"> </w:t>
      </w:r>
      <w:r>
        <w:rPr>
          <w:rFonts w:hint="cs"/>
          <w:rtl/>
        </w:rPr>
        <w:t>פוגם שטרו פירושו שמודה המלוה שנפרע חלק מהשטר ובכך השטר נפגם שהרי בשטר כתוב הסכום המלא</w:t>
      </w:r>
      <w:r>
        <w:rPr>
          <w:sz w:val="16"/>
          <w:szCs w:val="16"/>
          <w:rtl/>
        </w:rPr>
        <w:t xml:space="preserve"> (עי' כתובות פז:)</w:t>
      </w:r>
      <w:r>
        <w:rPr>
          <w:rtl/>
        </w:rPr>
        <w:t>.</w:t>
      </w:r>
    </w:p>
  </w:footnote>
  <w:footnote w:id="5664">
    <w:p w14:paraId="6E1D85B7" w14:textId="77777777" w:rsidR="0013116F" w:rsidRDefault="0013116F" w:rsidP="0004348D">
      <w:pPr>
        <w:pStyle w:val="a9"/>
        <w:rPr>
          <w:rtl/>
        </w:rPr>
      </w:pPr>
      <w:r>
        <w:rPr>
          <w:rStyle w:val="ab"/>
        </w:rPr>
        <w:footnoteRef/>
      </w:r>
      <w:r>
        <w:rPr>
          <w:rtl/>
        </w:rPr>
        <w:t xml:space="preserve"> </w:t>
      </w:r>
      <w:r>
        <w:rPr>
          <w:rFonts w:hint="cs"/>
          <w:rtl/>
        </w:rPr>
        <w:t>כן הוא בטור שלפנינו, ובחידושי הגהות (אות א) כתב שצריך לגרוס 'אמר', וכתב שכן מצא בחו"מ על קלף. וגם בהגהות והערות (אות ה) כתבו שבדפוס ואדי אל חגארה ודפו"י וכ"י הגירסא 'אמר לו'.</w:t>
      </w:r>
    </w:p>
  </w:footnote>
  <w:footnote w:id="5665">
    <w:p w14:paraId="7D9FAB8C" w14:textId="77777777" w:rsidR="0013116F" w:rsidRDefault="0013116F" w:rsidP="0004348D">
      <w:pPr>
        <w:pStyle w:val="a9"/>
        <w:rPr>
          <w:rtl/>
        </w:rPr>
      </w:pPr>
      <w:r>
        <w:rPr>
          <w:rStyle w:val="ab"/>
        </w:rPr>
        <w:footnoteRef/>
      </w:r>
      <w:r>
        <w:rPr>
          <w:rtl/>
        </w:rPr>
        <w:t xml:space="preserve"> ומיהו אם כתב בשטר שיהא נאמן נגדו כעד אחד, נוטל בלא שבועה כשעד אחד מכחישו ואומר שפרע לו, כמו בכתב לו שיהא נאמן כשני עדים שנוטל בלא שבועה כששני עדים מכחישים אותו, ש"ך (סק"ב).</w:t>
      </w:r>
    </w:p>
  </w:footnote>
  <w:footnote w:id="5666">
    <w:p w14:paraId="7185139D" w14:textId="77777777" w:rsidR="0013116F" w:rsidRDefault="0013116F" w:rsidP="0004348D">
      <w:pPr>
        <w:pStyle w:val="a9"/>
        <w:rPr>
          <w:rtl/>
        </w:rPr>
      </w:pPr>
      <w:r>
        <w:rPr>
          <w:rStyle w:val="ab"/>
        </w:rPr>
        <w:footnoteRef/>
      </w:r>
      <w:r>
        <w:rPr>
          <w:rtl/>
        </w:rPr>
        <w:t xml:space="preserve"> וליכא למימר הכא 'מה לי לשקר במקום עדים לא אמרינן' (ב"מ פא:) וכמו שכתבתי (שער יג ח"ב סי' ג) בכתיבת ידו שנאמן לומר פרעתי אם לא הוחזק כתיבת ידו אע"פ שכתוב בו נאמנות, בעל התרומות (שם, הביאו הב"י). וכ"כ הרשב"א (סי' אלף מט) וכבר נתבאר זה לעיל סימן ס"ט (סי"ב) בדברי רבינו, דרכ"מ (אות א). </w:t>
      </w:r>
    </w:p>
  </w:footnote>
  <w:footnote w:id="5667">
    <w:p w14:paraId="194E74AF" w14:textId="77777777" w:rsidR="0013116F" w:rsidRDefault="0013116F" w:rsidP="0004348D">
      <w:pPr>
        <w:pStyle w:val="a9"/>
      </w:pPr>
      <w:r>
        <w:rPr>
          <w:rStyle w:val="ab"/>
        </w:rPr>
        <w:footnoteRef/>
      </w:r>
      <w:r>
        <w:rPr>
          <w:rtl/>
        </w:rPr>
        <w:t xml:space="preserve"> כלומר דסלקא דעתך אמינא דכיון שיש שטר בידו מה צורך להאמנתו, לכך אמר דשייך נאמנות, שאם לא האמינו וזה טוען 'פרעתי' - צריך לישבע, ואם האמינו - אינו צריך לישבע, ב"י.</w:t>
      </w:r>
    </w:p>
  </w:footnote>
  <w:footnote w:id="5668">
    <w:p w14:paraId="71DF20C8" w14:textId="77777777" w:rsidR="0013116F" w:rsidRDefault="0013116F" w:rsidP="0004348D">
      <w:pPr>
        <w:pStyle w:val="a9"/>
        <w:rPr>
          <w:rtl/>
        </w:rPr>
      </w:pPr>
      <w:r>
        <w:rPr>
          <w:rStyle w:val="ab"/>
        </w:rPr>
        <w:footnoteRef/>
      </w:r>
      <w:r>
        <w:rPr>
          <w:rtl/>
        </w:rPr>
        <w:t xml:space="preserve"> הטעם משום דאי לאו הכי למאי הימניה, וזה נלמד מדברי בעל התרומות </w:t>
      </w:r>
      <w:r>
        <w:rPr>
          <w:sz w:val="16"/>
          <w:szCs w:val="16"/>
          <w:rtl/>
        </w:rPr>
        <w:t xml:space="preserve">(שער כו ח"א סי' ד) </w:t>
      </w:r>
      <w:r>
        <w:rPr>
          <w:rtl/>
        </w:rPr>
        <w:t xml:space="preserve">שכתב- ומסתברא דאי כתיב ליה בשטרא 'ואת מהימנת עלי לומר לא נתפרעתי' ולא כתב בה 'כשני עדים כשרים ואף בלא שום שבועה' אפילו הכי אי טעין לוה דפרעיה בינו לבינו לא משבעינן ליה, ואע"ג דאמרינן בעלמא </w:t>
      </w:r>
      <w:r>
        <w:rPr>
          <w:sz w:val="16"/>
          <w:szCs w:val="16"/>
          <w:rtl/>
        </w:rPr>
        <w:t xml:space="preserve">(ב"ב ע:) </w:t>
      </w:r>
      <w:r>
        <w:rPr>
          <w:rtl/>
        </w:rPr>
        <w:t xml:space="preserve">מאי נאמן? נאמן ובשבועה, הכא ליכא למימר הכי, דהא בלא תנאי נמי נאמן בשבועה וא"כ תנאי לאיפטורי משבועה אתא, ואיכא מאן דפליג בסברא זו וס"ל דכל נאמן סתם - בשבועה קאמר, וכבר הסכים עמי בזה הרמב"ן וזה אשר כתב לי </w:t>
      </w:r>
      <w:r>
        <w:rPr>
          <w:sz w:val="16"/>
          <w:szCs w:val="16"/>
          <w:rtl/>
        </w:rPr>
        <w:t>(שו"ת סי' לא)</w:t>
      </w:r>
      <w:r>
        <w:rPr>
          <w:rtl/>
        </w:rPr>
        <w:t xml:space="preserve">- אין צריך לומר במלוה בשטר דכי הימניה בלא שבועה הימניה אלא אפילו מלוה על פה שהאמינו לומר לא נפרעתי נוטל בלא שבועה, וכולה שמעתין דפרק שבועת הדיינין </w:t>
      </w:r>
      <w:r>
        <w:rPr>
          <w:sz w:val="16"/>
          <w:szCs w:val="16"/>
          <w:rtl/>
        </w:rPr>
        <w:t xml:space="preserve">(מב.) </w:t>
      </w:r>
      <w:r>
        <w:rPr>
          <w:rtl/>
        </w:rPr>
        <w:t xml:space="preserve">במלוה על פה היא ולא מצרכינן ליה לאשתבועי כלל, ויש מקום עיון במלוה על פה שאמר לו כן אם נאמן בלא שבועה אבל מ"מ הסוגיות מוכיחות דנוטל בלא שבועה, וכן דעת הראשונים בחיבוריהם בנאמן אתה עלי לומר לא נפרעתי שגובה ממנו בלא שבועה, עכ"ל </w:t>
      </w:r>
      <w:r>
        <w:rPr>
          <w:sz w:val="16"/>
          <w:szCs w:val="16"/>
          <w:rtl/>
        </w:rPr>
        <w:t>{בעל התרומות}</w:t>
      </w:r>
      <w:r>
        <w:rPr>
          <w:rtl/>
        </w:rPr>
        <w:t>, ב"י. וכתב הה"מ (פט"ו ממלוה ה"ג) שכן הנראה דעת הרמב"ם (שם).</w:t>
      </w:r>
    </w:p>
  </w:footnote>
  <w:footnote w:id="5669">
    <w:p w14:paraId="17F9963D" w14:textId="77777777" w:rsidR="0013116F" w:rsidRDefault="0013116F" w:rsidP="0004348D">
      <w:pPr>
        <w:pStyle w:val="a9"/>
      </w:pPr>
      <w:r>
        <w:rPr>
          <w:rStyle w:val="ab"/>
        </w:rPr>
        <w:footnoteRef/>
      </w:r>
      <w:r>
        <w:rPr>
          <w:rtl/>
        </w:rPr>
        <w:t xml:space="preserve"> מיהו שבועת היסת לאחר הפרעון צריך כדלקמן סעיף ה', ש"ך (סק"א).</w:t>
      </w:r>
    </w:p>
  </w:footnote>
  <w:footnote w:id="5670">
    <w:p w14:paraId="5D05661E" w14:textId="77777777" w:rsidR="0013116F" w:rsidRDefault="0013116F" w:rsidP="0004348D">
      <w:pPr>
        <w:pStyle w:val="a9"/>
      </w:pPr>
      <w:r>
        <w:rPr>
          <w:rStyle w:val="ab"/>
        </w:rPr>
        <w:footnoteRef/>
      </w:r>
      <w:r>
        <w:rPr>
          <w:rtl/>
        </w:rPr>
        <w:t xml:space="preserve"> דאפילו בהעי"ט </w:t>
      </w:r>
      <w:r>
        <w:rPr>
          <w:sz w:val="16"/>
          <w:szCs w:val="16"/>
          <w:rtl/>
        </w:rPr>
        <w:t>([אות ע' עיסקא] דפליג בטור בסימן ס"ט [סעיף י"ב] ובריש סימן מ"ו [סעיף ג'])</w:t>
      </w:r>
      <w:r>
        <w:rPr>
          <w:rtl/>
        </w:rPr>
        <w:t xml:space="preserve"> מודה הכא בהאמינו על פה, כי דוקא ביש עליו שטר או כתיבת יד שיש בו נאמנות אלא שאינו מקוים קאמר בעל העיטור דאינו נאמן לומר פרוע, דא"כ לא היה לו להניח שטר כזה בידו דילמא ימצא עדים לקיימו, משא"כ בעל פה, סמ"ע (סק"ב).</w:t>
      </w:r>
    </w:p>
  </w:footnote>
  <w:footnote w:id="5671">
    <w:p w14:paraId="332B8370" w14:textId="77777777" w:rsidR="0013116F" w:rsidRDefault="0013116F" w:rsidP="0004348D">
      <w:pPr>
        <w:pStyle w:val="a9"/>
        <w:rPr>
          <w:rtl/>
        </w:rPr>
      </w:pPr>
      <w:r>
        <w:rPr>
          <w:rStyle w:val="ab"/>
        </w:rPr>
        <w:footnoteRef/>
      </w:r>
      <w:r>
        <w:rPr>
          <w:rtl/>
        </w:rPr>
        <w:t xml:space="preserve"> לעיל </w:t>
      </w:r>
      <w:r>
        <w:rPr>
          <w:sz w:val="16"/>
          <w:szCs w:val="16"/>
          <w:rtl/>
        </w:rPr>
        <w:t xml:space="preserve">(סי' ע' סע' ד' סקט"ז) </w:t>
      </w:r>
      <w:r>
        <w:rPr>
          <w:rtl/>
        </w:rPr>
        <w:t>כתבתי דנאמנות נגד שני עדים לא מהני אלא כשטוען המלוה סיטראי נינהו, ואז בין שהעדים מעידים שקיבלם על פרעון סתם או שהם מעידים שקיבלם בפירוש על חוב זה שהתנה, נאמן להכחיש העדים</w:t>
      </w:r>
      <w:r>
        <w:rPr>
          <w:sz w:val="16"/>
          <w:szCs w:val="16"/>
          <w:rtl/>
        </w:rPr>
        <w:t xml:space="preserve"> (וכמו שכתבתי בסי' נח סקי"א)</w:t>
      </w:r>
      <w:r>
        <w:rPr>
          <w:rtl/>
        </w:rPr>
        <w:t>, אבל כשטוען להד"ם אינו נאמן, דהא מ"מ יוכל לתבעו אח"כ ויאמר לו נתתי לך כך וכך מעות, ולא יוכל להכחיש, שהרי יש כאן שני עדים, ש"ך (סק"ג).</w:t>
      </w:r>
    </w:p>
  </w:footnote>
  <w:footnote w:id="5672">
    <w:p w14:paraId="275E20CD" w14:textId="77777777" w:rsidR="0013116F" w:rsidRDefault="0013116F" w:rsidP="0004348D">
      <w:pPr>
        <w:pStyle w:val="a9"/>
      </w:pPr>
      <w:r>
        <w:rPr>
          <w:rStyle w:val="ab"/>
        </w:rPr>
        <w:footnoteRef/>
      </w:r>
      <w:r>
        <w:rPr>
          <w:rtl/>
        </w:rPr>
        <w:t xml:space="preserve"> והא דכתב מור"ם בהג"ה שלפני זה דנאמן במיגו, נראה לחלק, דשאני התם דהיה המיגו בענין הנאמנות בעצמה, דאי בעי הוה אמר לא האמנתיהו, אבל הכא מיירי בדיש עדים שהאמינהו אלא דאי בעי לשקר יכול לפטור עצמו בטענה אחרת. </w:t>
      </w:r>
      <w:r>
        <w:rPr>
          <w:sz w:val="16"/>
          <w:szCs w:val="16"/>
          <w:rtl/>
        </w:rPr>
        <w:t>(כ"כ הסמ"ע (סק"ה) בתירוץ ראשון אבל הקשה על תירוץ זה ולכן כתב תירוץ שני. אך הש"ך (סק"ד) דחה את תירוצו השני והסכים לתירוץ הראשון)</w:t>
      </w:r>
    </w:p>
  </w:footnote>
  <w:footnote w:id="5673">
    <w:p w14:paraId="611D2C64" w14:textId="77777777" w:rsidR="0013116F" w:rsidRDefault="0013116F" w:rsidP="0004348D">
      <w:pPr>
        <w:pStyle w:val="a9"/>
        <w:rPr>
          <w:rtl/>
        </w:rPr>
      </w:pPr>
      <w:r>
        <w:rPr>
          <w:rStyle w:val="ab"/>
        </w:rPr>
        <w:footnoteRef/>
      </w:r>
      <w:r>
        <w:rPr>
          <w:rtl/>
        </w:rPr>
        <w:t xml:space="preserve"> נראה דהיינו דוקא כסתם שלשה, אבל אם אמר לו תהא נאמן עלי כב"ד, או כב"ד של שלשה, פשיטא דעדיף מאמר לו מהימנת עלי כבי תרי, ואפילו הודאה או פרעון בב"ד לא מהני כל שתבעו בפני ב"ד אחר </w:t>
      </w:r>
      <w:r>
        <w:rPr>
          <w:sz w:val="16"/>
          <w:szCs w:val="16"/>
          <w:rtl/>
        </w:rPr>
        <w:t>(אפילו לדעת ה"ר ישעיה והרשב"א דלקמן סק"ח)</w:t>
      </w:r>
      <w:r>
        <w:rPr>
          <w:rtl/>
        </w:rPr>
        <w:t>, מיהו שובר בכתב ידו [כבסעיף ד'] פשיטא דמהני גם בזה, ש"ך (סק"ו).</w:t>
      </w:r>
    </w:p>
  </w:footnote>
  <w:footnote w:id="5674">
    <w:p w14:paraId="373CE2F4" w14:textId="77777777" w:rsidR="0013116F" w:rsidRDefault="0013116F" w:rsidP="0004348D">
      <w:pPr>
        <w:pStyle w:val="a9"/>
      </w:pPr>
      <w:r>
        <w:rPr>
          <w:rStyle w:val="ab"/>
        </w:rPr>
        <w:footnoteRef/>
      </w:r>
      <w:r>
        <w:rPr>
          <w:rtl/>
        </w:rPr>
        <w:t xml:space="preserve"> מדכתבו הטור והמחבר והפוסקים סתם ולא חילקו משמע דמיירי בין במלוה בשטר בין במלוה על פה, וכן משמע יותר ברמב"ם [פט"ו ממלוה ה"ד] וסמ"ג [עשין צד]... אבל מדברי רב האי גאון ז"ל (ספר משפטי שבועות יד: השער הששי מן הנשבעין ונוטלין) לא משמע כן לכן נ"ל שיש להחמיץ הדין בזה, והדבר צ"ע, באה"ט (סק"ו) ע"פ הש"ך (סק"ה). </w:t>
      </w:r>
    </w:p>
  </w:footnote>
  <w:footnote w:id="5675">
    <w:p w14:paraId="35DB7053" w14:textId="77777777" w:rsidR="0013116F" w:rsidRDefault="0013116F" w:rsidP="0004348D">
      <w:pPr>
        <w:pStyle w:val="a9"/>
      </w:pPr>
      <w:r>
        <w:rPr>
          <w:rStyle w:val="ab"/>
        </w:rPr>
        <w:footnoteRef/>
      </w:r>
      <w:r>
        <w:rPr>
          <w:rtl/>
        </w:rPr>
        <w:t xml:space="preserve"> מרן בב"י בחו"מ באיזה מקומות כותב 'כתב המרשים כך וכך', ונראה דחכם אחד רשם מורה מקום והגהות בטור בדפוס ישן מהטורים או בכתב יד וקרי ליה מרשים, חיד"א </w:t>
      </w:r>
      <w:r>
        <w:rPr>
          <w:sz w:val="16"/>
          <w:szCs w:val="16"/>
          <w:rtl/>
        </w:rPr>
        <w:t>(שם גדולים מערכת ספרים אות מ ערך מרשים)</w:t>
      </w:r>
      <w:r>
        <w:rPr>
          <w:rtl/>
        </w:rPr>
        <w:t>.</w:t>
      </w:r>
    </w:p>
  </w:footnote>
  <w:footnote w:id="5676">
    <w:p w14:paraId="3E70F725" w14:textId="77777777" w:rsidR="0013116F" w:rsidRDefault="0013116F" w:rsidP="0004348D">
      <w:pPr>
        <w:pStyle w:val="a9"/>
      </w:pPr>
      <w:r>
        <w:rPr>
          <w:rStyle w:val="ab"/>
        </w:rPr>
        <w:footnoteRef/>
      </w:r>
      <w:r>
        <w:rPr>
          <w:rtl/>
        </w:rPr>
        <w:t xml:space="preserve"> וכתב הה"מ (פט"ו ממלוה ה"ג) שכן הנראה דעת הרמב"ם (שם).</w:t>
      </w:r>
    </w:p>
  </w:footnote>
  <w:footnote w:id="5677">
    <w:p w14:paraId="0EC61BDD" w14:textId="77777777" w:rsidR="0013116F" w:rsidRDefault="0013116F" w:rsidP="0004348D">
      <w:pPr>
        <w:pStyle w:val="a9"/>
      </w:pPr>
      <w:r>
        <w:rPr>
          <w:rStyle w:val="ab"/>
        </w:rPr>
        <w:footnoteRef/>
      </w:r>
      <w:r>
        <w:rPr>
          <w:rtl/>
        </w:rPr>
        <w:t xml:space="preserve"> הש"ך כתב שהוא ט"ס והכוונה לרי"ף בסנהדרין (ד.).</w:t>
      </w:r>
    </w:p>
  </w:footnote>
  <w:footnote w:id="5678">
    <w:p w14:paraId="6127A375" w14:textId="77777777" w:rsidR="0013116F" w:rsidRDefault="0013116F" w:rsidP="0004348D">
      <w:pPr>
        <w:pStyle w:val="a9"/>
        <w:rPr>
          <w:rtl/>
        </w:rPr>
      </w:pPr>
      <w:r>
        <w:rPr>
          <w:rStyle w:val="ab"/>
        </w:rPr>
        <w:footnoteRef/>
      </w:r>
      <w:r>
        <w:rPr>
          <w:rtl/>
        </w:rPr>
        <w:t xml:space="preserve"> </w:t>
      </w:r>
      <w:r>
        <w:rPr>
          <w:rFonts w:hint="cs"/>
          <w:rtl/>
        </w:rPr>
        <w:t xml:space="preserve">הר"ן כתב כן בשם 'הרב אב בית דין' וכוונתו לבעל האשכול שנקרא כן. </w:t>
      </w:r>
      <w:r>
        <w:rPr>
          <w:sz w:val="16"/>
          <w:szCs w:val="16"/>
          <w:rtl/>
        </w:rPr>
        <w:t xml:space="preserve">(והוא ר' אברהם ב"ר יצחק מהעיר נרבונה שבפרובנס (דרום צרפת). נולד בנרבונה בערך בשנת ד"א תתמ"ה [1085], ונפטר שם בתחילת שנת תתקי"ט [1158]. בצעירותו למד שנים רבות בברצלונה שבספרד אצל ר' יהודה בן ברזילי בעל ספר 'העיתים' (ראה בערכו). אח"כ חזר לעירו ומונה שם לרב ופוסק, והקים שם ישיבה חשובה. בחיר תלמידיו היה ר' אברהם בן דוד מפוסקיירש (שלימים נודע כראב"ד 'בעל ההשגות'), שאף הפך לחתנו. באותם ימים שימש ת"ח חשוב, ר' טודרוס, כ'נשיא נרבונה', ולכן ניתן לראב"י התואר 'אב"ד', וכינויו היה: הראב"י אב בית דין, ובקיצור הר"א אב"ד </w:t>
      </w:r>
      <w:r>
        <w:rPr>
          <w:sz w:val="14"/>
          <w:szCs w:val="14"/>
          <w:rtl/>
        </w:rPr>
        <w:t>(לפעמים הוא מכונה ביתר קיצור 'הראב"ד', מה שגורם להחלפתו עם תלמידו - חתנו; יש המכנים את הראב"י 'הראב"ד השני' ואת חתנו 'השלישי')</w:t>
      </w:r>
      <w:r>
        <w:rPr>
          <w:sz w:val="16"/>
          <w:szCs w:val="16"/>
          <w:rtl/>
        </w:rPr>
        <w:t>. ראב"י כתב את ספר 'האשכול', שהוא עיבוד ותימצות של ספרו הגדול של רבו ר"י בן ברזילי 'העיתים'. הספר כולל 25 פרקים בנושאים שונים, רובם שייכים לתחומי או"ח - יו"ד. ראב"י נחשב מן הפוסקים החשובים ביותר, ופסקיו מצוטטים רבות אצל הראשונים שאחריו, ביוגרפיה פרוייקט השו"ת)</w:t>
      </w:r>
    </w:p>
  </w:footnote>
  <w:footnote w:id="5679">
    <w:p w14:paraId="48B6A5DB" w14:textId="77777777" w:rsidR="0013116F" w:rsidRDefault="0013116F" w:rsidP="0004348D">
      <w:pPr>
        <w:pStyle w:val="a9"/>
      </w:pPr>
      <w:r>
        <w:rPr>
          <w:rStyle w:val="ab"/>
        </w:rPr>
        <w:footnoteRef/>
      </w:r>
      <w:r>
        <w:rPr>
          <w:rtl/>
        </w:rPr>
        <w:t xml:space="preserve"> </w:t>
      </w:r>
      <w:r>
        <w:rPr>
          <w:rFonts w:hint="cs"/>
          <w:rtl/>
        </w:rPr>
        <w:t>היינו שפסל הלוה את העדים שראו את הפרעון הראשון בזה שהימנה למלוה כבי תרי על הפרעון הראשון.</w:t>
      </w:r>
    </w:p>
  </w:footnote>
  <w:footnote w:id="5680">
    <w:p w14:paraId="2205A10C" w14:textId="77777777" w:rsidR="0013116F" w:rsidRDefault="0013116F" w:rsidP="0004348D">
      <w:pPr>
        <w:pStyle w:val="a9"/>
        <w:rPr>
          <w:rtl/>
        </w:rPr>
      </w:pPr>
      <w:r>
        <w:rPr>
          <w:rStyle w:val="ab"/>
        </w:rPr>
        <w:footnoteRef/>
      </w:r>
      <w:r>
        <w:rPr>
          <w:rtl/>
        </w:rPr>
        <w:t xml:space="preserve"> כתב הב"י- ובעל התרומות </w:t>
      </w:r>
      <w:r>
        <w:rPr>
          <w:sz w:val="16"/>
          <w:szCs w:val="16"/>
          <w:rtl/>
        </w:rPr>
        <w:t xml:space="preserve">(שער כה ח"ג סי' א) </w:t>
      </w:r>
      <w:r>
        <w:rPr>
          <w:rtl/>
        </w:rPr>
        <w:t xml:space="preserve">כתב שתי הסברות אלו ולא הכריע. ורבינו כתב בסמוך </w:t>
      </w:r>
      <w:r>
        <w:rPr>
          <w:sz w:val="16"/>
          <w:szCs w:val="16"/>
          <w:rtl/>
        </w:rPr>
        <w:t xml:space="preserve">(ס"ט) </w:t>
      </w:r>
      <w:r>
        <w:rPr>
          <w:rtl/>
        </w:rPr>
        <w:t>שהרא"ש כתב כדברי הר"י ן' מיגא"ש-...</w:t>
      </w:r>
    </w:p>
  </w:footnote>
  <w:footnote w:id="5681">
    <w:p w14:paraId="4CFFFEB5" w14:textId="77777777" w:rsidR="0013116F" w:rsidRDefault="0013116F" w:rsidP="0004348D">
      <w:pPr>
        <w:pStyle w:val="a9"/>
      </w:pPr>
      <w:r>
        <w:rPr>
          <w:rStyle w:val="ab"/>
        </w:rPr>
        <w:footnoteRef/>
      </w:r>
      <w:r>
        <w:rPr>
          <w:rtl/>
        </w:rPr>
        <w:t xml:space="preserve"> רי"ף </w:t>
      </w:r>
      <w:r>
        <w:rPr>
          <w:sz w:val="16"/>
          <w:szCs w:val="16"/>
          <w:rtl/>
        </w:rPr>
        <w:t xml:space="preserve">(בתשו', כ"כ בשמו ספר התרומות והטור) </w:t>
      </w:r>
      <w:r>
        <w:rPr>
          <w:rtl/>
        </w:rPr>
        <w:t>ר"י מיגאש</w:t>
      </w:r>
      <w:r>
        <w:rPr>
          <w:sz w:val="16"/>
          <w:szCs w:val="16"/>
          <w:rtl/>
        </w:rPr>
        <w:t xml:space="preserve"> (חי' שבועות מא: ד"ה ההוא דאמר, שו"ת סי' קעב, עיין בדרכ"מ [אות ב] ובדרישה [אות ט])</w:t>
      </w:r>
      <w:r>
        <w:rPr>
          <w:rtl/>
        </w:rPr>
        <w:t xml:space="preserve"> רמב"ם </w:t>
      </w:r>
      <w:r>
        <w:rPr>
          <w:sz w:val="16"/>
          <w:szCs w:val="16"/>
          <w:rtl/>
        </w:rPr>
        <w:t>(פט"ו ממלוה ה"ד)</w:t>
      </w:r>
      <w:r>
        <w:rPr>
          <w:rtl/>
        </w:rPr>
        <w:t xml:space="preserve"> ספר התרומות </w:t>
      </w:r>
      <w:r>
        <w:rPr>
          <w:sz w:val="16"/>
          <w:szCs w:val="16"/>
          <w:rtl/>
        </w:rPr>
        <w:t>(שער כו ח"ד סי' א, כ"כ הב"י בשמו)</w:t>
      </w:r>
      <w:r>
        <w:rPr>
          <w:rtl/>
        </w:rPr>
        <w:t xml:space="preserve"> ורא"ש </w:t>
      </w:r>
      <w:r>
        <w:rPr>
          <w:sz w:val="16"/>
          <w:szCs w:val="16"/>
          <w:rtl/>
        </w:rPr>
        <w:t>(כ"כ הטור בשמו, עיין בדרכ"מ [אות ב] ובדרישה [אות ט])</w:t>
      </w:r>
      <w:r>
        <w:rPr>
          <w:rtl/>
        </w:rPr>
        <w:t>.</w:t>
      </w:r>
    </w:p>
  </w:footnote>
  <w:footnote w:id="5682">
    <w:p w14:paraId="13DB4C2F" w14:textId="77777777" w:rsidR="0013116F" w:rsidRDefault="0013116F" w:rsidP="0004348D">
      <w:pPr>
        <w:pStyle w:val="a9"/>
        <w:rPr>
          <w:rtl/>
        </w:rPr>
      </w:pPr>
      <w:r>
        <w:rPr>
          <w:rStyle w:val="ab"/>
        </w:rPr>
        <w:footnoteRef/>
      </w:r>
      <w:r>
        <w:rPr>
          <w:rtl/>
        </w:rPr>
        <w:t xml:space="preserve"> וכן הסכימו רבותינו וכן מקובל בידינו וכן אנו נוהגים, רשב"א.</w:t>
      </w:r>
    </w:p>
  </w:footnote>
  <w:footnote w:id="5683">
    <w:p w14:paraId="5F06662A" w14:textId="77777777" w:rsidR="0013116F" w:rsidRDefault="0013116F" w:rsidP="0004348D">
      <w:pPr>
        <w:pStyle w:val="a9"/>
      </w:pPr>
      <w:r>
        <w:rPr>
          <w:rStyle w:val="ab"/>
        </w:rPr>
        <w:footnoteRef/>
      </w:r>
      <w:r>
        <w:rPr>
          <w:rtl/>
        </w:rPr>
        <w:t xml:space="preserve"> </w:t>
      </w:r>
      <w:r>
        <w:rPr>
          <w:rFonts w:hint="cs"/>
          <w:rtl/>
        </w:rPr>
        <w:t xml:space="preserve">וז"ל- </w:t>
      </w:r>
      <w:r>
        <w:rPr>
          <w:rtl/>
        </w:rPr>
        <w:t>האומר לחבירו 'מהימנת עלי כבתרי כל אימת דאמרת לא פרענא' אפי' אודי ליה באפי אחריני לא מהימני דהא אמר לא פרענא ולא אודאי ליה וכיון דאמר לא פרענא מהימן דהא הימני אבל האומר כי פרעת לי פרעין באנפי פלוני ופלוני אע"ג דאי פרעיה באנפי אחרים לא מהימני משום דאיהו פסלינהו לההוא פרעון אבל אי אודי ליה באנפי אחריני נאמנין דהא לא איפסלו דפסילי ליה לעדות פרעון אבל לא להודאת פיו שהרי לא התנאה עליו, ולא עוד אלא אפי' באו שנים ואמרו מעידין אנו שפרעו בפני אותו פלוני ופלוני והם שהלכו להם למדינת הים נאמנין שאין לך בו אלא תנאו בלבד לא תפרעו אלא באנפי פלוני ופלוני והרי פרעם בפניהם.</w:t>
      </w:r>
    </w:p>
  </w:footnote>
  <w:footnote w:id="5684">
    <w:p w14:paraId="138A30DA" w14:textId="77777777" w:rsidR="0013116F" w:rsidRDefault="0013116F" w:rsidP="0004348D">
      <w:pPr>
        <w:pStyle w:val="a9"/>
      </w:pPr>
      <w:r>
        <w:rPr>
          <w:rStyle w:val="ab"/>
        </w:rPr>
        <w:footnoteRef/>
      </w:r>
      <w:r>
        <w:rPr>
          <w:rtl/>
        </w:rPr>
        <w:t xml:space="preserve"> אבל מחתימת עדים לא מהני שובר, דהא לא עדיף מאלו העידו העדים שפרעו שאינן נאמנים, וכן הוא בתשו' הרשב"א (סי' תתקכב), דרכ"מ (אות ג).</w:t>
      </w:r>
    </w:p>
  </w:footnote>
  <w:footnote w:id="5685">
    <w:p w14:paraId="3780DBA2" w14:textId="77777777" w:rsidR="0013116F" w:rsidRDefault="0013116F" w:rsidP="0004348D">
      <w:pPr>
        <w:pStyle w:val="a9"/>
      </w:pPr>
      <w:r>
        <w:rPr>
          <w:rStyle w:val="ab"/>
        </w:rPr>
        <w:footnoteRef/>
      </w:r>
      <w:r>
        <w:rPr>
          <w:rtl/>
        </w:rPr>
        <w:t xml:space="preserve"> אבל אם גילה דעתו בדברי נאמנותו שהאמינהו גם לזה ולכיוצא בזה, ודאי מהימן אהכל, והכלל, כל תנאי שבממון קיים. ודוקא דבר שהוא בודאי בלשון התנאי, אבל בדבר המסופק בו אמרינן המוציא מחבירו עליו הראיה, סמ"ע (סק"ז).</w:t>
      </w:r>
    </w:p>
  </w:footnote>
  <w:footnote w:id="5686">
    <w:p w14:paraId="6576B7C8" w14:textId="77777777" w:rsidR="0013116F" w:rsidRDefault="0013116F" w:rsidP="0004348D">
      <w:pPr>
        <w:pStyle w:val="a9"/>
        <w:rPr>
          <w:rtl/>
        </w:rPr>
      </w:pPr>
      <w:r>
        <w:rPr>
          <w:rStyle w:val="ab"/>
        </w:rPr>
        <w:footnoteRef/>
      </w:r>
      <w:r>
        <w:rPr>
          <w:rtl/>
        </w:rPr>
        <w:t xml:space="preserve"> במחילה גם ה"ר ישעיה והרמב"ן מודים, וכן משמע להדיא בבעל התרומות (שער כו ח"ד ס"ב) ובטור (סע' י) ע"ש, ש"ך (סק"י).</w:t>
      </w:r>
    </w:p>
  </w:footnote>
  <w:footnote w:id="5687">
    <w:p w14:paraId="16755D02" w14:textId="77777777" w:rsidR="0013116F" w:rsidRDefault="0013116F" w:rsidP="0004348D">
      <w:pPr>
        <w:pStyle w:val="a9"/>
      </w:pPr>
      <w:r>
        <w:rPr>
          <w:rStyle w:val="ab"/>
        </w:rPr>
        <w:footnoteRef/>
      </w:r>
      <w:r>
        <w:rPr>
          <w:rtl/>
        </w:rPr>
        <w:t xml:space="preserve"> וכ"כ רשב"א בתשו' (ח"א סי' אלף ב) על שטר פקדון שכתוב בו שהאמינו בעיקר המעות הנזכרים נאמנות שלימה כשני עדים, דאז אמרינן כיון שנקט בלשונו בעיקר המעות לא האמינו אלא שלא יטעון אמנה היו דברינו או ריבית, אבל פרעתי יכול לטעון, ע"ש. וכ"כ הרשב"א (ח"א סי' תתקצא) באם כתב בשטר שתהא נאמן בכל עניני השטר, דג"כ הדין כנ"ל. ד"מ כ"ו, סמ"ע (סק"ח).</w:t>
      </w:r>
    </w:p>
  </w:footnote>
  <w:footnote w:id="5688">
    <w:p w14:paraId="2F7DD80A" w14:textId="77777777" w:rsidR="0013116F" w:rsidRDefault="0013116F" w:rsidP="0004348D">
      <w:pPr>
        <w:pStyle w:val="a9"/>
        <w:rPr>
          <w:rtl/>
        </w:rPr>
      </w:pPr>
      <w:r>
        <w:rPr>
          <w:rStyle w:val="ab"/>
        </w:rPr>
        <w:footnoteRef/>
      </w:r>
      <w:r>
        <w:rPr>
          <w:rtl/>
        </w:rPr>
        <w:t xml:space="preserve"> </w:t>
      </w:r>
      <w:r>
        <w:rPr>
          <w:rFonts w:hint="cs"/>
          <w:rtl/>
        </w:rPr>
        <w:t>ממהדורת הסמ"ע.</w:t>
      </w:r>
    </w:p>
  </w:footnote>
  <w:footnote w:id="5689">
    <w:p w14:paraId="09D5C7F6" w14:textId="77777777" w:rsidR="0013116F" w:rsidRDefault="0013116F" w:rsidP="0004348D">
      <w:pPr>
        <w:pStyle w:val="a9"/>
        <w:rPr>
          <w:rtl/>
        </w:rPr>
      </w:pPr>
      <w:r>
        <w:rPr>
          <w:rStyle w:val="ab"/>
        </w:rPr>
        <w:footnoteRef/>
      </w:r>
      <w:r>
        <w:rPr>
          <w:rtl/>
        </w:rPr>
        <w:t xml:space="preserve"> </w:t>
      </w:r>
      <w:r>
        <w:rPr>
          <w:rFonts w:hint="cs"/>
          <w:rtl/>
        </w:rPr>
        <w:t>סימן – מילוה אינה מיהדרא אלא באנשים מיוחדים.</w:t>
      </w:r>
    </w:p>
  </w:footnote>
  <w:footnote w:id="5690">
    <w:p w14:paraId="6964D10D" w14:textId="77777777" w:rsidR="0013116F" w:rsidRDefault="0013116F" w:rsidP="0004348D">
      <w:pPr>
        <w:pStyle w:val="a9"/>
      </w:pPr>
      <w:r>
        <w:rPr>
          <w:rStyle w:val="ab"/>
        </w:rPr>
        <w:footnoteRef/>
      </w:r>
      <w:r>
        <w:rPr>
          <w:rtl/>
        </w:rPr>
        <w:t xml:space="preserve"> </w:t>
      </w:r>
      <w:r>
        <w:rPr>
          <w:rFonts w:hint="cs"/>
          <w:rtl/>
        </w:rPr>
        <w:t>נאנסו (נגנבו/נאבדו).</w:t>
      </w:r>
    </w:p>
  </w:footnote>
  <w:footnote w:id="5691">
    <w:p w14:paraId="5BB4D1C3" w14:textId="77777777" w:rsidR="0013116F" w:rsidRDefault="0013116F" w:rsidP="0004348D">
      <w:pPr>
        <w:pStyle w:val="a9"/>
        <w:rPr>
          <w:rtl/>
        </w:rPr>
      </w:pPr>
      <w:r>
        <w:rPr>
          <w:rStyle w:val="ab"/>
        </w:rPr>
        <w:footnoteRef/>
      </w:r>
      <w:r>
        <w:rPr>
          <w:rtl/>
        </w:rPr>
        <w:t xml:space="preserve"> ואיני עליהן אלא שומר חנם שלא קבלתים בתורת פרעון, רש"י.</w:t>
      </w:r>
    </w:p>
  </w:footnote>
  <w:footnote w:id="5692">
    <w:p w14:paraId="42E01136" w14:textId="77777777" w:rsidR="0013116F" w:rsidRDefault="0013116F" w:rsidP="0004348D">
      <w:pPr>
        <w:pStyle w:val="a9"/>
        <w:rPr>
          <w:rtl/>
        </w:rPr>
      </w:pPr>
      <w:r>
        <w:rPr>
          <w:rStyle w:val="ab"/>
        </w:rPr>
        <w:footnoteRef/>
      </w:r>
      <w:r>
        <w:rPr>
          <w:rtl/>
        </w:rPr>
        <w:t xml:space="preserve"> דקבלתינהו וזה לא בתורת פקדון מסרם לך הוי פרעון ודברים שהיו בלבך אינם דברים, רש"י.</w:t>
      </w:r>
    </w:p>
  </w:footnote>
  <w:footnote w:id="5693">
    <w:p w14:paraId="2901299F" w14:textId="77777777" w:rsidR="0013116F" w:rsidRDefault="0013116F" w:rsidP="0004348D">
      <w:pPr>
        <w:pStyle w:val="a9"/>
        <w:rPr>
          <w:rtl/>
        </w:rPr>
      </w:pPr>
      <w:r>
        <w:rPr>
          <w:rStyle w:val="ab"/>
        </w:rPr>
        <w:footnoteRef/>
      </w:r>
      <w:r>
        <w:rPr>
          <w:rtl/>
        </w:rPr>
        <w:t xml:space="preserve"> ואז אפילו הימנהו יותר ממאה עדים שמעידים שפרעו, דגם שובר בעדים לא מהני, אבל כתיבת ידו מהני. ודוקא דכתוב בשובר שהוא על שטר שסכומו כך וכך כמ"ש בסמוך סעיף ט' ס"ק כ"א, ע"ש, סמ"ע (סקי"א).</w:t>
      </w:r>
    </w:p>
  </w:footnote>
  <w:footnote w:id="5694">
    <w:p w14:paraId="2CA68CE8" w14:textId="77777777" w:rsidR="0013116F" w:rsidRDefault="0013116F" w:rsidP="0004348D">
      <w:pPr>
        <w:pStyle w:val="a9"/>
      </w:pPr>
      <w:r>
        <w:rPr>
          <w:rStyle w:val="ab"/>
        </w:rPr>
        <w:footnoteRef/>
      </w:r>
      <w:r>
        <w:rPr>
          <w:rtl/>
        </w:rPr>
        <w:t xml:space="preserve"> ז"ל הטור- כתב בעל התרומות </w:t>
      </w:r>
      <w:r>
        <w:rPr>
          <w:sz w:val="16"/>
          <w:szCs w:val="16"/>
          <w:rtl/>
        </w:rPr>
        <w:t>(שער כו ח"א סי' ג)</w:t>
      </w:r>
      <w:r>
        <w:rPr>
          <w:rtl/>
        </w:rPr>
        <w:t xml:space="preserve"> מה שנהגו לכתוב בטופסי דשטרות 'בלא שום שבועה קלה וחמורה לעולם', ומה צריך, כיון שהאמינו כב' עדים הכל בכלל, אלא נ"מ שלא יוכל להשביעו לא בתחילת הפרעון ולא בסוף הפרעון, שאפילו אחר הפרעון אם אמר לו 'השבע לי שלא לקחת ממון זה שלא כדין' - זה יכול לומר לו 'אשבע לך מכל ממון שבעולם חוץ מממון פלוני שלא אשבע לך עליו שפטרתני ממנו מכל שבועה בעולם', משא"כ בשלא כתב לו אלא שהאמינו עליו כשני עדים שאע"פ שהוא מתחייב בממון ולא יועילו לו העדים שמעידין שפרע, כיון שהאמינו מ"מ יכול הוא לתבוע אחר כן ולומר לו כבר אתה יודע שלקחת ממני ממון שלא כדין ופרע ליה והדר מייתי ליה לידי שבועת היסת. וכ"כ הרמב"ם (שם)... לפיכך-...</w:t>
      </w:r>
    </w:p>
  </w:footnote>
  <w:footnote w:id="5695">
    <w:p w14:paraId="0C787973" w14:textId="77777777" w:rsidR="0013116F" w:rsidRDefault="0013116F" w:rsidP="0004348D">
      <w:pPr>
        <w:pStyle w:val="a9"/>
      </w:pPr>
      <w:r>
        <w:rPr>
          <w:rStyle w:val="ab"/>
        </w:rPr>
        <w:footnoteRef/>
      </w:r>
      <w:r>
        <w:rPr>
          <w:rtl/>
        </w:rPr>
        <w:t xml:space="preserve"> </w:t>
      </w:r>
      <w:r>
        <w:rPr>
          <w:rFonts w:hint="cs"/>
          <w:rtl/>
        </w:rPr>
        <w:t>לעולם, בעל התרומות (שם).</w:t>
      </w:r>
    </w:p>
  </w:footnote>
  <w:footnote w:id="5696">
    <w:p w14:paraId="04D7EA1A" w14:textId="77777777" w:rsidR="0013116F" w:rsidRDefault="0013116F" w:rsidP="0004348D">
      <w:pPr>
        <w:pStyle w:val="a9"/>
      </w:pPr>
      <w:r>
        <w:rPr>
          <w:rStyle w:val="ab"/>
        </w:rPr>
        <w:footnoteRef/>
      </w:r>
      <w:r>
        <w:rPr>
          <w:rtl/>
        </w:rPr>
        <w:t xml:space="preserve"> כן דעת הר"י ן' מיגש והר"ן ושאר פוסקים ודלא כרב האי והר"א אב"ד. מיהו היינו דוקא כשטוען המלוה סיטראי נינהו, אבל אם טוען להד"ם צריך לשלם לו וכמו שכתבתי לעיל סעיף א' סק"ג, ע"ש, ש"ך (סקי"ב).</w:t>
      </w:r>
    </w:p>
  </w:footnote>
  <w:footnote w:id="5697">
    <w:p w14:paraId="6A3C9932" w14:textId="77777777" w:rsidR="0013116F" w:rsidRDefault="0013116F" w:rsidP="0004348D">
      <w:pPr>
        <w:pStyle w:val="a9"/>
        <w:rPr>
          <w:rtl/>
        </w:rPr>
      </w:pPr>
      <w:r>
        <w:rPr>
          <w:rStyle w:val="ab"/>
        </w:rPr>
        <w:footnoteRef/>
      </w:r>
      <w:r>
        <w:rPr>
          <w:rtl/>
        </w:rPr>
        <w:t xml:space="preserve"> לכאורה משמע מכאן דפטור סתם לא מהני לפטור מלהשביע ע"י גלגול, וכמו שכתב הנמוק"י (בר"ן כתובות מו: מדפה"ר) בשם הרמב"ן וגאון, ומביאו ב"י ר"ס זה [מחו' יז]. אבל הרא"ש כתב בפרק הכותב [סי' יח-יט] בשם הר"ש והסכים עמו דאינו יכול להשביעו אף ע"י גלגול, וכ"כ ב"י [שם] בשם הרא"ש, וכ"כ הטור והמחבר גופייהו באה"ע סי' צח סעק ד, וכן דעת רבני צרפת שהביא ב"י לקמן סוף סימן צ"ג, וצ"ע, ש"ך (סקי"ד).</w:t>
      </w:r>
    </w:p>
  </w:footnote>
  <w:footnote w:id="5698">
    <w:p w14:paraId="31CE0462" w14:textId="77777777" w:rsidR="0013116F" w:rsidRDefault="0013116F" w:rsidP="0004348D">
      <w:pPr>
        <w:pStyle w:val="a9"/>
      </w:pPr>
      <w:r>
        <w:rPr>
          <w:rStyle w:val="ab"/>
        </w:rPr>
        <w:footnoteRef/>
      </w:r>
      <w:r>
        <w:rPr>
          <w:rtl/>
        </w:rPr>
        <w:t xml:space="preserve"> </w:t>
      </w:r>
      <w:r>
        <w:rPr>
          <w:rFonts w:hint="cs"/>
          <w:rtl/>
        </w:rPr>
        <w:t>ו</w:t>
      </w:r>
      <w:r>
        <w:rPr>
          <w:rtl/>
        </w:rPr>
        <w:t>אף אם לא כתב תיבת "לעולם" נמי הוה דינא הכי, דמדהימנהו כשני עדים ממילא ידעינן שפטור בלא שבועה קלה וחמורה וגלגול, ובודאי כונתו היתה במה שחזר וכתבו, דאפילו לאחר פרעון יהיה פטור מכל וכל, ומשום הכי נמי לא הזכיר הטור תיבת "לעולם" בסוף דבריו, סמ"ע (סקי"ב). אך הש"ך (סקט"ו) כתב דנראה דלא ראה רק דברי בעל התרומות שבשער כ"ו ח"א [ס"ג] שמשם מועתקים תחילת דברי הטור, ואשתמיטתיה דברי בעל התרומות שם שבסוף ח"ג שמשם מועתקים סוף דברי הטור [עיין בטור]... ועיקר תלוי בתיבת לעולם... על כן נלפע"ד דחסר בטור בסוף דבריו תיבת לעולם. עכ"ל הש"ך. וכ"כ הט"ז.</w:t>
      </w:r>
    </w:p>
  </w:footnote>
  <w:footnote w:id="5699">
    <w:p w14:paraId="478AE8AF" w14:textId="77777777" w:rsidR="0013116F" w:rsidRDefault="0013116F" w:rsidP="0004348D">
      <w:pPr>
        <w:pStyle w:val="a9"/>
      </w:pPr>
      <w:r>
        <w:rPr>
          <w:rStyle w:val="ab"/>
        </w:rPr>
        <w:footnoteRef/>
      </w:r>
      <w:r>
        <w:rPr>
          <w:rtl/>
        </w:rPr>
        <w:t xml:space="preserve"> והיינו דוקא בסתם נאמנות ולא בהימנהו כבי תרי. אבל מה שכתב לפני זה 'ואפילו נכתב במקום אחר' איירי גם בהאמינו כשני עדים וכתב לו שובר בכתב ידו במקום אחר, סמ"ע (סקי"ג).</w:t>
      </w:r>
    </w:p>
  </w:footnote>
  <w:footnote w:id="5700">
    <w:p w14:paraId="370D6D8C" w14:textId="77777777" w:rsidR="0013116F" w:rsidRDefault="0013116F" w:rsidP="0004348D">
      <w:pPr>
        <w:pStyle w:val="a9"/>
        <w:rPr>
          <w:rtl/>
        </w:rPr>
      </w:pPr>
      <w:r>
        <w:rPr>
          <w:rStyle w:val="ab"/>
        </w:rPr>
        <w:footnoteRef/>
      </w:r>
      <w:r>
        <w:rPr>
          <w:rtl/>
        </w:rPr>
        <w:t xml:space="preserve"> דברי הר"ב צל"ע, דמשמע דדינו שוה לדלעיל סימן ע' סעיף ד', ולפ"ז יכול לטעון סיטראי ג"כ, וכמו שכתב הר"ב שם, וברשב"ץ (ח"ג סי' שא) שממנו מקור דין זה לא משמע כן, דז"ל הרשב"ץ- אם אמר לחבירו 'אם לא תכתוב על גבי השטר הפרעון לא תהא נאמן', דינו כאומר אל תפרעני אלא בפני פלוני ופלוני והלך ופרעו בפני עדים אחרים. ואם כתב בשטר כל זמן ששטר זה יוצא מתחת ידך בדלא קרוע ודלא כתוב על גבו תהא נאמן, אם הביא עדים שפרעו נאמן, ואפילו לגירסת הרי"ף והר"י הלוי, עכ"ל... והרשב"ץ לא קאמר אלא בדין הראשון דהוי כאמר לו אל תפרעני אלא בפני פלוני ופלוני, ולא בדין זה, וכמו שכתבתי. וצ"ל דגם הר"ב הכי קאמר, מהני ופטור הלוה, דהוי כאילו אמר אל תפרעני כו' וגרע מיניה, וצ"ע. וכבר כתבתי לעיל סימן ע' סעיף ד' [סקי"ט] דגבי אמר לו אל תפרעני אלא בפני פלוני ופלוני גופיה דברי הר"ב צל"ע, ואפשר דאינו נאמן לומר סיטראי כלל לגירסת הרמב"ם והמחבר והר"ב, ע"ש, ש"ך (סקט"ז).</w:t>
      </w:r>
    </w:p>
  </w:footnote>
  <w:footnote w:id="5701">
    <w:p w14:paraId="193063E3" w14:textId="77777777" w:rsidR="0013116F" w:rsidRDefault="0013116F" w:rsidP="0004348D">
      <w:pPr>
        <w:pStyle w:val="a9"/>
        <w:rPr>
          <w:rtl/>
        </w:rPr>
      </w:pPr>
      <w:r>
        <w:rPr>
          <w:rStyle w:val="ab"/>
        </w:rPr>
        <w:footnoteRef/>
      </w:r>
      <w:r>
        <w:rPr>
          <w:rtl/>
        </w:rPr>
        <w:t xml:space="preserve"> וז"ל </w:t>
      </w:r>
      <w:r>
        <w:rPr>
          <w:sz w:val="16"/>
          <w:szCs w:val="16"/>
          <w:rtl/>
        </w:rPr>
        <w:t>(שו"ת הגאונים ליק סי' כב, הביאוהו ספר התרומות [שער כו ח"ב סי' א] והטור)</w:t>
      </w:r>
      <w:r>
        <w:rPr>
          <w:rtl/>
        </w:rPr>
        <w:t>- תנאה דחרם סתם והדרת ראש לא מהני בנאמנות ואין חבירו יכול לעכב עליו ולומר הוציאני מן הכלל שלא האמינו לגזול ואם לא גזל אין עליו חרם סתם.</w:t>
      </w:r>
    </w:p>
  </w:footnote>
  <w:footnote w:id="5702">
    <w:p w14:paraId="7074AEA3" w14:textId="77777777" w:rsidR="0013116F" w:rsidRDefault="0013116F" w:rsidP="0004348D">
      <w:pPr>
        <w:pStyle w:val="a9"/>
      </w:pPr>
      <w:r>
        <w:rPr>
          <w:rStyle w:val="ab"/>
        </w:rPr>
        <w:footnoteRef/>
      </w:r>
      <w:r>
        <w:rPr>
          <w:rtl/>
        </w:rPr>
        <w:t xml:space="preserve"> וז"ל </w:t>
      </w:r>
      <w:r>
        <w:rPr>
          <w:sz w:val="16"/>
          <w:szCs w:val="16"/>
          <w:rtl/>
        </w:rPr>
        <w:t>(ח"ד סי' קלה וח"ז סי' תסב)</w:t>
      </w:r>
      <w:r>
        <w:rPr>
          <w:rtl/>
        </w:rPr>
        <w:t>- אפילו בשטר שיש בו נאמנות אם רצה להחרים סתם על כל מי שנוטל ממנו ממון שלא כדין הרשות בידו.</w:t>
      </w:r>
    </w:p>
  </w:footnote>
  <w:footnote w:id="5703">
    <w:p w14:paraId="475CA5BD" w14:textId="77777777" w:rsidR="0013116F" w:rsidRDefault="0013116F" w:rsidP="0004348D">
      <w:pPr>
        <w:pStyle w:val="a9"/>
      </w:pPr>
      <w:r>
        <w:rPr>
          <w:rStyle w:val="ab"/>
        </w:rPr>
        <w:footnoteRef/>
      </w:r>
      <w:r>
        <w:rPr>
          <w:rtl/>
        </w:rPr>
        <w:t xml:space="preserve"> כיון דאינו מחרים ומקלל לנוכח, לא מצי המלוה לעכב מלהחרים, עכ"ל סמ"ע </w:t>
      </w:r>
      <w:r>
        <w:rPr>
          <w:sz w:val="16"/>
          <w:szCs w:val="16"/>
          <w:rtl/>
        </w:rPr>
        <w:t>[סקי"ד]</w:t>
      </w:r>
      <w:r>
        <w:rPr>
          <w:rtl/>
        </w:rPr>
        <w:t xml:space="preserve">. ונראה דהיינו </w:t>
      </w:r>
      <w:r>
        <w:rPr>
          <w:sz w:val="16"/>
          <w:szCs w:val="16"/>
          <w:rtl/>
        </w:rPr>
        <w:t xml:space="preserve">{שצריך להחרים חרם </w:t>
      </w:r>
      <w:r>
        <w:rPr>
          <w:b/>
          <w:bCs/>
          <w:sz w:val="16"/>
          <w:szCs w:val="16"/>
          <w:rtl/>
        </w:rPr>
        <w:t>סתם</w:t>
      </w:r>
      <w:r>
        <w:rPr>
          <w:sz w:val="16"/>
          <w:szCs w:val="16"/>
          <w:rtl/>
        </w:rPr>
        <w:t xml:space="preserve"> ולא להחרים למלוה לבד הוא}</w:t>
      </w:r>
      <w:r>
        <w:rPr>
          <w:rtl/>
        </w:rPr>
        <w:t xml:space="preserve"> דוקא בפטרו בפירוש מקבלת חרם, אבל אם פטרו משבועה יכול לכופו לקבל חרם בב"ד, דלא פטרו אלא מן החמור ולא מן הקל. ולא דמי לפטרו מן השבועה דנדר בכלל אע"ג דנדר קל משבועה, משום דנדר הוא בכלל לשון שבועה. א"נ שאין דרך להדיר בב"ד, משא"כ בקבלת חרם, ש"ך (סקי"ז).</w:t>
      </w:r>
    </w:p>
  </w:footnote>
  <w:footnote w:id="5704">
    <w:p w14:paraId="484F2DAF" w14:textId="77777777" w:rsidR="0013116F" w:rsidRDefault="0013116F" w:rsidP="0004348D">
      <w:pPr>
        <w:pStyle w:val="a9"/>
      </w:pPr>
      <w:r>
        <w:rPr>
          <w:rStyle w:val="ab"/>
        </w:rPr>
        <w:footnoteRef/>
      </w:r>
      <w:r>
        <w:rPr>
          <w:rtl/>
        </w:rPr>
        <w:t xml:space="preserve"> שכתב בשטר שלא ליתן אפילו חרם סתם, אינו מועיל, שלא האמינו לגזלו, ואם לא גזל אין עליו חרם סתם, וכן הוא בבעל התרומות שער כ"ו ריש ח"ב, ש"ך (סקי"ח).</w:t>
      </w:r>
    </w:p>
  </w:footnote>
  <w:footnote w:id="5705">
    <w:p w14:paraId="20986D3D" w14:textId="77777777" w:rsidR="0013116F" w:rsidRDefault="0013116F" w:rsidP="0004348D">
      <w:pPr>
        <w:pStyle w:val="a9"/>
        <w:rPr>
          <w:rtl/>
        </w:rPr>
      </w:pPr>
      <w:r>
        <w:rPr>
          <w:rStyle w:val="ab"/>
        </w:rPr>
        <w:footnoteRef/>
      </w:r>
      <w:r>
        <w:rPr>
          <w:rtl/>
        </w:rPr>
        <w:t xml:space="preserve"> וה"ה איפכא, אם פטרו מנדר השבועה בכלל, וכדאיתא בר"ן </w:t>
      </w:r>
      <w:r>
        <w:rPr>
          <w:sz w:val="16"/>
          <w:szCs w:val="16"/>
          <w:rtl/>
        </w:rPr>
        <w:t>(פרק הכותב מו: מדפה"ר)</w:t>
      </w:r>
      <w:r>
        <w:rPr>
          <w:rtl/>
        </w:rPr>
        <w:t xml:space="preserve"> ובדרכ"מ </w:t>
      </w:r>
      <w:r>
        <w:rPr>
          <w:sz w:val="16"/>
          <w:szCs w:val="16"/>
          <w:rtl/>
        </w:rPr>
        <w:t xml:space="preserve">[סע' ה] </w:t>
      </w:r>
      <w:r>
        <w:rPr>
          <w:rtl/>
        </w:rPr>
        <w:t xml:space="preserve">ובסמ"ע </w:t>
      </w:r>
      <w:r>
        <w:rPr>
          <w:sz w:val="16"/>
          <w:szCs w:val="16"/>
          <w:rtl/>
        </w:rPr>
        <w:t>[סקט"ז]</w:t>
      </w:r>
      <w:r>
        <w:rPr>
          <w:rtl/>
        </w:rPr>
        <w:t xml:space="preserve">, ש"ך </w:t>
      </w:r>
      <w:r>
        <w:rPr>
          <w:sz w:val="16"/>
          <w:szCs w:val="16"/>
          <w:rtl/>
        </w:rPr>
        <w:t>(סקי"ט)</w:t>
      </w:r>
      <w:r>
        <w:rPr>
          <w:rtl/>
        </w:rPr>
        <w:t>.</w:t>
      </w:r>
    </w:p>
  </w:footnote>
  <w:footnote w:id="5706">
    <w:p w14:paraId="12A38EC3" w14:textId="77777777" w:rsidR="0013116F" w:rsidRDefault="0013116F" w:rsidP="0004348D">
      <w:pPr>
        <w:pStyle w:val="a9"/>
      </w:pPr>
      <w:r>
        <w:rPr>
          <w:rStyle w:val="ab"/>
        </w:rPr>
        <w:footnoteRef/>
      </w:r>
      <w:r>
        <w:rPr>
          <w:rtl/>
        </w:rPr>
        <w:t xml:space="preserve"> אין הכונה לקלל הגנב אלא להשיב אבדה לבעליה, ולפיכך אומרים 'כל מאן דאיתה לגזלה בידיה ולא מהדר הכי והכי ליהוי' כדי שמיראת העונש ישיב הגזלה, ב"י.</w:t>
      </w:r>
    </w:p>
  </w:footnote>
  <w:footnote w:id="5707">
    <w:p w14:paraId="27A87AE6" w14:textId="77777777" w:rsidR="0013116F" w:rsidRDefault="0013116F" w:rsidP="0004348D">
      <w:pPr>
        <w:pStyle w:val="a9"/>
        <w:rPr>
          <w:rtl/>
        </w:rPr>
      </w:pPr>
      <w:r>
        <w:rPr>
          <w:rStyle w:val="ab"/>
        </w:rPr>
        <w:footnoteRef/>
      </w:r>
      <w:r>
        <w:rPr>
          <w:rtl/>
        </w:rPr>
        <w:t xml:space="preserve"> </w:t>
      </w:r>
      <w:r>
        <w:rPr>
          <w:rFonts w:hint="cs"/>
          <w:rtl/>
        </w:rPr>
        <w:t>ויש גורסים 'בבית דין', ונראה שכך הייתה הגירסא של הב"י.</w:t>
      </w:r>
    </w:p>
  </w:footnote>
  <w:footnote w:id="5708">
    <w:p w14:paraId="057F9BE8" w14:textId="77777777" w:rsidR="0013116F" w:rsidRDefault="0013116F" w:rsidP="0004348D">
      <w:pPr>
        <w:pStyle w:val="a9"/>
      </w:pPr>
      <w:r>
        <w:rPr>
          <w:rStyle w:val="ab"/>
        </w:rPr>
        <w:footnoteRef/>
      </w:r>
      <w:r>
        <w:rPr>
          <w:rtl/>
        </w:rPr>
        <w:t xml:space="preserve"> ולשון זה משמע לי דמן הספק אין יכול להביא לב"ד רבים הנחשדים ולהטיל חרם סתם עליהם, כי אם כשיש לו תביעה ודאית על חבירו. אבל מדברי הב"י </w:t>
      </w:r>
      <w:r>
        <w:rPr>
          <w:sz w:val="16"/>
          <w:szCs w:val="16"/>
          <w:rtl/>
        </w:rPr>
        <w:t>(שכתב וז"ל- 'הרי דין בניכם' כלומר עמוד לדין עמו, 'ואם לאו' כלומר שאינך תובע אדם ידוע אלא אתה חושד על קצת בני אדם 'הבא את כולם לבית דין ושם קלל אותם כרצונך' אם לא ישיבו לך הגזלה ופיתקא דלטותא למילט בציבורא לא כתבינן ליה)</w:t>
      </w:r>
      <w:r>
        <w:rPr>
          <w:rtl/>
        </w:rPr>
        <w:t xml:space="preserve"> נראה דהיתה לפניו גירסא אחרת, ועל פיה כתב דאם חושד קצת בני אדם שאחד גזלן יכול להביא כולם לב"ד ולהטיל לפניהם חרם סתם, וכ"כ בע"ש </w:t>
      </w:r>
      <w:r>
        <w:rPr>
          <w:sz w:val="16"/>
          <w:szCs w:val="16"/>
          <w:rtl/>
        </w:rPr>
        <w:t>[סע' ח]</w:t>
      </w:r>
      <w:r>
        <w:rPr>
          <w:rtl/>
        </w:rPr>
        <w:t>, סמ"ע (סקי"ח).</w:t>
      </w:r>
    </w:p>
  </w:footnote>
  <w:footnote w:id="5709">
    <w:p w14:paraId="0B8CB84D" w14:textId="77777777" w:rsidR="0013116F" w:rsidRDefault="0013116F" w:rsidP="0004348D">
      <w:pPr>
        <w:pStyle w:val="a9"/>
      </w:pPr>
      <w:r>
        <w:rPr>
          <w:rStyle w:val="ab"/>
        </w:rPr>
        <w:footnoteRef/>
      </w:r>
      <w:r>
        <w:rPr>
          <w:rtl/>
        </w:rPr>
        <w:t xml:space="preserve"> והא דכתבו הטור (סי' לו</w:t>
      </w:r>
      <w:r>
        <w:t xml:space="preserve"> (</w:t>
      </w:r>
      <w:r>
        <w:rPr>
          <w:rtl/>
        </w:rPr>
        <w:t>והמחבר (סע' כב)</w:t>
      </w:r>
      <w:r>
        <w:rPr>
          <w:rFonts w:hint="cs"/>
        </w:rPr>
        <w:t xml:space="preserve"> </w:t>
      </w:r>
      <w:r>
        <w:rPr>
          <w:rtl/>
        </w:rPr>
        <w:t>בסי' פז דיענה המשביעו אמן, היינו כשהוא שם והוא משביעו בב"ד, סמ"ע (סקי"ט).</w:t>
      </w:r>
    </w:p>
  </w:footnote>
  <w:footnote w:id="5710">
    <w:p w14:paraId="30870B1C" w14:textId="77777777" w:rsidR="0013116F" w:rsidRDefault="0013116F" w:rsidP="0004348D">
      <w:pPr>
        <w:pStyle w:val="a9"/>
      </w:pPr>
      <w:r>
        <w:rPr>
          <w:rStyle w:val="ab"/>
        </w:rPr>
        <w:footnoteRef/>
      </w:r>
      <w:r>
        <w:rPr>
          <w:rtl/>
        </w:rPr>
        <w:t xml:space="preserve"> </w:t>
      </w:r>
      <w:r>
        <w:rPr>
          <w:rFonts w:hint="cs"/>
          <w:rtl/>
        </w:rPr>
        <w:t>הוספת באה"ג (אות ע*) על פי בעל התרומות.</w:t>
      </w:r>
    </w:p>
  </w:footnote>
  <w:footnote w:id="5711">
    <w:p w14:paraId="47C2004C" w14:textId="77777777" w:rsidR="0013116F" w:rsidRDefault="0013116F" w:rsidP="0004348D">
      <w:pPr>
        <w:pStyle w:val="a9"/>
      </w:pPr>
      <w:r>
        <w:rPr>
          <w:rStyle w:val="ab"/>
        </w:rPr>
        <w:footnoteRef/>
      </w:r>
      <w:r>
        <w:rPr>
          <w:rtl/>
        </w:rPr>
        <w:t xml:space="preserve"> גם הטור [סעיף ב'] והמחבר כתבו כן שם. וכדי שלא יסתרו דבריהן זה את זה, דכאן כתבו הטור והמחבר דדוקא ליתומים כותבים פתקא דלטותא, צ"ל דמה שכתבו בסימן ט"ז הוא דוקא כשטוען ואומר יש לי עדים בודאי ואינו יודע ביד מי הן וכמ"ש שם בהדיא, וכאן איירי בדלא טוענין ודאי. וכיון שכן לא ה"ל למור"ם לכתוב זה בלשון י"א, כיון דלא מצינו חולק על זה. ועיין לעיל סימן כ"ח סעיף ב', סמ"ע (סק"כ). וכתב הש"ך (סקכ"ג) שדברי הסמ"ע הללו דחוקים, ולי נראה דבסימן ט"ז מיירי ליתן חרם אחר עדות כמבואר שם להדיא, דזה מוטל על הב"ד לחקור אחר עדות כדי להוציא הדין לאמיתו, משא"כ הכא ליתן חרם אמי שחייב לו, דומיא דיתומים, דאמרינן ליה מסור אתה בביתך דין על גוזליך וקלל אותם, וזהו שכתב מור"ם ועיין לעיל כו' די"א דנותנים חרם אחר "עדות" דייקא, כן נראה לי. ועי' ב"ח </w:t>
      </w:r>
      <w:r>
        <w:rPr>
          <w:sz w:val="16"/>
          <w:szCs w:val="16"/>
          <w:rtl/>
        </w:rPr>
        <w:t xml:space="preserve">[סע' יז] </w:t>
      </w:r>
      <w:r>
        <w:rPr>
          <w:rtl/>
        </w:rPr>
        <w:t>דה"ה בגניבה וכהאי גוונא נותנים חרם, וכן משמע להדיא בסמ"ע לקמן סי' רסז סק"ד.</w:t>
      </w:r>
    </w:p>
  </w:footnote>
  <w:footnote w:id="5712">
    <w:p w14:paraId="78923641" w14:textId="77777777" w:rsidR="0013116F" w:rsidRDefault="0013116F" w:rsidP="0004348D">
      <w:pPr>
        <w:pStyle w:val="a9"/>
      </w:pPr>
      <w:r>
        <w:rPr>
          <w:rStyle w:val="ab"/>
        </w:rPr>
        <w:footnoteRef/>
      </w:r>
      <w:r>
        <w:rPr>
          <w:rtl/>
        </w:rPr>
        <w:t xml:space="preserve"> עיין לעיל סימן נ"ח (ס"ג) גם שם נתבאר אם פרעו בעדים לא יוכל למימר סטראי נינהו, דרכ"מ (אות ד*).</w:t>
      </w:r>
    </w:p>
  </w:footnote>
  <w:footnote w:id="5713">
    <w:p w14:paraId="1C3842DE" w14:textId="77777777" w:rsidR="0013116F" w:rsidRDefault="0013116F" w:rsidP="0004348D">
      <w:pPr>
        <w:pStyle w:val="a9"/>
      </w:pPr>
      <w:r>
        <w:rPr>
          <w:rStyle w:val="ab"/>
        </w:rPr>
        <w:footnoteRef/>
      </w:r>
      <w:r>
        <w:rPr>
          <w:rtl/>
        </w:rPr>
        <w:t xml:space="preserve">  צ"ע להי"א לעיל סימן נ"ח סעיף ב' דלא קרעינן לשטרא ואי תפס מלוה לא מפקינן מיניה, אם גם בכאן נימא הכי, או דילמא כתב יד עדיף טפי, צל"ע, ש"ך (סקכ"ה).</w:t>
      </w:r>
    </w:p>
  </w:footnote>
  <w:footnote w:id="5714">
    <w:p w14:paraId="3569FDD0" w14:textId="77777777" w:rsidR="0013116F" w:rsidRDefault="0013116F" w:rsidP="0004348D">
      <w:pPr>
        <w:pStyle w:val="a9"/>
      </w:pPr>
      <w:r>
        <w:rPr>
          <w:rStyle w:val="ab"/>
        </w:rPr>
        <w:footnoteRef/>
      </w:r>
      <w:r>
        <w:rPr>
          <w:rtl/>
        </w:rPr>
        <w:t xml:space="preserve"> דטענת סיטראי נינהו לא מהני להמלוה כשקיבל ממנו מעות בפני עדים, וכמו שכתבו הטור והמחבר בר"ס נ"ח, והרי כתב ידו כעדים דמי. ושם ברא"ש בתשובה ובטור כתבו, אא"כ האמינו כשני עדים. והא דכתבו הטור והמחבר בסע' ד דהמדקדקין עושין שובר מכתב ידו, ומהני אפילו כשהאמינהו כשנים וכמו שכתבתי שם [סקי"א]. התם איירי דכתב בשובר בהדיא דעל שט"ח שבידו על הלוה על סך פלוני ועדיו פלוני ופלוני קיבל כך וכך, משא"כ הכא דלא נכתב בכתב ידו שעל חוב פלוני קיבלו, סמ"ע (סקכ"א). אך הש"ך (סקכ"ד) חלק עליו וכתב דנראה דלא קאי שם בתשובת הרא"ש ובטור אכתב יד, אלא אלעלמא קאי, אבל בכתב יד כיון דפוסל כל העדים ומבטל הנאמנות שוב לא יוכל לומר סיטראי</w:t>
      </w:r>
      <w:r>
        <w:rPr>
          <w:sz w:val="16"/>
          <w:szCs w:val="16"/>
          <w:rtl/>
        </w:rPr>
        <w:t xml:space="preserve"> {אפילו האמינו כשני עדים}</w:t>
      </w:r>
      <w:r>
        <w:rPr>
          <w:rtl/>
        </w:rPr>
        <w:t>. וכ"כ הב"ח [סעיף כ'], וכ"כ בפשיטות בספר גדו"ת (שער כו ח"ב ס"ג), ועיין לעיל סימן נ"ח סקי"א הארכתי בזה.</w:t>
      </w:r>
    </w:p>
  </w:footnote>
  <w:footnote w:id="5715">
    <w:p w14:paraId="3E3AF31F" w14:textId="77777777" w:rsidR="0013116F" w:rsidRDefault="0013116F" w:rsidP="0004348D">
      <w:pPr>
        <w:pStyle w:val="a9"/>
        <w:rPr>
          <w:rtl/>
        </w:rPr>
      </w:pPr>
      <w:r>
        <w:rPr>
          <w:rStyle w:val="ab"/>
        </w:rPr>
        <w:footnoteRef/>
      </w:r>
      <w:r>
        <w:rPr>
          <w:rtl/>
        </w:rPr>
        <w:t xml:space="preserve"> ועיין בתשובות הרשב"א (ח"א) סימן תתקע"א, ב"י </w:t>
      </w:r>
      <w:r>
        <w:rPr>
          <w:sz w:val="16"/>
          <w:szCs w:val="16"/>
          <w:rtl/>
        </w:rPr>
        <w:t>(דשם מיירי משכיב מרע שציווה ליתן מתנה ונתרפא, וכתב שם הרשב"א שנתבטלה מתנתו, דהרי זה כאלו צוה בבריאותו בלשון מצוה מחמת מיתה שאין בדבריו כלום, אלא אם ירצה יתן מתנה עתה. ע"כ. ואפשר שכוונת הב"י לומר שאולי גם הרשב"א יודה לדינו של הרא"ש)</w:t>
      </w:r>
      <w:r>
        <w:rPr>
          <w:rtl/>
        </w:rPr>
        <w:t>. וכתב הסמ"ע דנראה שהוא מטעם שכתבו הטור והמחבר לעיל סימן מ"א סע' ד' בשם הרמב"ם בדין הדומה לזה, ז"ל- וכן הורו רבותי שאפילו השטר יוצא מיד אחר והלוה טוען ממני נפל אחר שפרעתי, אע"פ שהוא בתוך הזמן, נשבע היסת ונפטר, שכיון שאין השטר ביד המלוה אין כאן חזקה, עכ"ל.</w:t>
      </w:r>
    </w:p>
  </w:footnote>
  <w:footnote w:id="5716">
    <w:p w14:paraId="768DCEF0" w14:textId="77777777" w:rsidR="0013116F" w:rsidRDefault="0013116F" w:rsidP="0004348D">
      <w:pPr>
        <w:pStyle w:val="a9"/>
        <w:rPr>
          <w:rtl/>
        </w:rPr>
      </w:pPr>
      <w:r>
        <w:rPr>
          <w:rStyle w:val="ab"/>
        </w:rPr>
        <w:footnoteRef/>
      </w:r>
      <w:r>
        <w:rPr>
          <w:rtl/>
        </w:rPr>
        <w:t xml:space="preserve"> </w:t>
      </w:r>
      <w:r>
        <w:rPr>
          <w:rFonts w:hint="cs"/>
          <w:rtl/>
        </w:rPr>
        <w:t xml:space="preserve">וכתב הש"ך (סקכ"ט) </w:t>
      </w:r>
      <w:r>
        <w:rPr>
          <w:rtl/>
        </w:rPr>
        <w:t>דר"ל דאין נאמנות ראובן מועיל לגבי יודא לפטור את יודא משבועה, אבל פשיטא דראובן פטור משבועה אע"פ שטען שפרע ליודא ויודא בא מכחו, וכן הוא בתשובת הרא"ש שם. ולפ"ז מה שכתב בד"מ אבל אי לא טעין שפרע ליודא רק לראובן כו'. אין הלשון מדוקדק, ודוק. ונראה דה"ה אם טוען שפרע ליודא אחר שבא בכחו, ראובן גובה בלא שבועה ויודא צריך לישבע, וכמו שכתב הסמ"ע סקל"ב גבי כשהאמין את המלוה ויורשיו.</w:t>
      </w:r>
    </w:p>
  </w:footnote>
  <w:footnote w:id="5717">
    <w:p w14:paraId="3948D5DC" w14:textId="77777777" w:rsidR="0013116F" w:rsidRDefault="0013116F" w:rsidP="0004348D">
      <w:pPr>
        <w:pStyle w:val="a9"/>
        <w:rPr>
          <w:rtl/>
        </w:rPr>
      </w:pPr>
      <w:r>
        <w:rPr>
          <w:rStyle w:val="ab"/>
        </w:rPr>
        <w:footnoteRef/>
      </w:r>
      <w:r>
        <w:rPr>
          <w:rtl/>
        </w:rPr>
        <w:t xml:space="preserve"> אותו אחר אינו יודע אם הלוה חייב או לא, כן הוא בתשובת הרא"ש שם. אבל אם הוא שליש ויודע מה טיבו, הוא נאמן כדלעיל סי' נ"ו [סע' א], וא"כ יכול להחזיר השטר למלוה, פשיטא דמועיל לו הנאמנות, ש"ך (סקכ"ו).</w:t>
      </w:r>
    </w:p>
  </w:footnote>
  <w:footnote w:id="5718">
    <w:p w14:paraId="3A411863" w14:textId="77777777" w:rsidR="0013116F" w:rsidRDefault="0013116F" w:rsidP="0004348D">
      <w:pPr>
        <w:pStyle w:val="a9"/>
      </w:pPr>
      <w:r>
        <w:rPr>
          <w:rStyle w:val="ab"/>
        </w:rPr>
        <w:footnoteRef/>
      </w:r>
      <w:r>
        <w:rPr>
          <w:rtl/>
        </w:rPr>
        <w:t xml:space="preserve"> פירוש, ואם הלוה אומר למלוה אשתבע לי שלא פרעתיך ולא יהא שטרי מונח בחנם, צריך המלוה לישבע, ואפילו יש נאמנות בשטר. ואם לא ישבע, יחזירו השטר ללוה בלא שבועה. וכן אם המלוה אומר ישבע לי הלוה היסת שפרע, צריך הלוה לישבע היסת, ואם לא, יחזירו השטר למלוה בלא שבועה. ואם זה אומר ישבע זה, וזה אומר ישבע זה, יתפשרו ביניהם או יהא מונח עד שיבוא אליהו, כן מתבאר בתשו' הרא"ש שם </w:t>
      </w:r>
      <w:r>
        <w:rPr>
          <w:sz w:val="16"/>
          <w:szCs w:val="16"/>
          <w:rtl/>
        </w:rPr>
        <w:t xml:space="preserve">(ולפ"ז להפוסקים </w:t>
      </w:r>
      <w:r>
        <w:rPr>
          <w:sz w:val="12"/>
          <w:szCs w:val="12"/>
          <w:rtl/>
        </w:rPr>
        <w:t xml:space="preserve">[לעיל סי' סה סע' ג] </w:t>
      </w:r>
      <w:r>
        <w:rPr>
          <w:sz w:val="16"/>
          <w:szCs w:val="16"/>
          <w:rtl/>
        </w:rPr>
        <w:t>דאפילו שניהם רוצים לא יחזיר השטר לשום אחד מהן, לא נפקא מינה בדין זה. וכן משמע בתשו' הרא"ש שם שכתב אחר זה וז"ל- לכך הארכתי לבאר היאך הדין בין המלוה ללוה, לפי שראיתי מפרשים שכתבו שאפילו שניהם מודים לא יוציאנו מתחת ידו אלא קרוע, דחיישינן לקנוניא, וזה אינו, דלא חיישינן לקנוניא אלא בשטר דהורע בנפילה כו', עכ"ל. ולפ"ז קצת תימה על המחבר, דלעיל סי' ס"ה סע' ג' כתב ג"כ סברת הי"א, וכאן כתב רק דברי הרא"ש. ודוחק לומר דאשמועינן דנפקא מינה אפילו להי"א דאפילו יש בו נאמנות לא יחזיר למלוה, דדין זה אינו תלוי בכאן, וכבר ממילא נשמע דין זה ממה שכתב לעיל סימן ס"ה סע' ו' דאפילו בשטר שיש בו נאמנות לא יחזיר לא לזה ולא לזה מי שמצאו בשוק, וא"כ הי"א שם דסבירא להו דזה דמי למצאו בשוק, פשיטא דאין לחלק בין יש בו נאמנות או לא, וע"ש)</w:t>
      </w:r>
      <w:r>
        <w:rPr>
          <w:rtl/>
        </w:rPr>
        <w:t>, ש"ך</w:t>
      </w:r>
      <w:r>
        <w:rPr>
          <w:sz w:val="16"/>
          <w:szCs w:val="16"/>
          <w:rtl/>
        </w:rPr>
        <w:t xml:space="preserve"> (סקכ"ז)</w:t>
      </w:r>
      <w:r>
        <w:rPr>
          <w:rtl/>
        </w:rPr>
        <w:t>.</w:t>
      </w:r>
    </w:p>
  </w:footnote>
  <w:footnote w:id="5719">
    <w:p w14:paraId="6E516208" w14:textId="77777777" w:rsidR="0013116F" w:rsidRDefault="0013116F" w:rsidP="0004348D">
      <w:pPr>
        <w:pStyle w:val="a9"/>
      </w:pPr>
      <w:r>
        <w:rPr>
          <w:rStyle w:val="ab"/>
        </w:rPr>
        <w:footnoteRef/>
      </w:r>
      <w:r>
        <w:rPr>
          <w:rtl/>
        </w:rPr>
        <w:t xml:space="preserve"> ואומרים לדעתו דכל היכא דלא כתב כשרים אי תפס מלוה מוקמינן בחזקתיה ולא מפקינן מיניה אבל לכתחלה לא מגבינן ביה למלוה, בעל בתרומות.</w:t>
      </w:r>
    </w:p>
  </w:footnote>
  <w:footnote w:id="5720">
    <w:p w14:paraId="432AC577" w14:textId="77777777" w:rsidR="0013116F" w:rsidRDefault="0013116F" w:rsidP="0004348D">
      <w:pPr>
        <w:pStyle w:val="a9"/>
        <w:rPr>
          <w:rtl/>
        </w:rPr>
      </w:pPr>
      <w:r>
        <w:rPr>
          <w:rStyle w:val="ab"/>
        </w:rPr>
        <w:footnoteRef/>
      </w:r>
      <w:r>
        <w:rPr>
          <w:rtl/>
        </w:rPr>
        <w:t xml:space="preserve"> וכתב מהרי"ק </w:t>
      </w:r>
      <w:r>
        <w:rPr>
          <w:sz w:val="16"/>
          <w:szCs w:val="16"/>
          <w:rtl/>
        </w:rPr>
        <w:t xml:space="preserve">(שורש סז, הב"י גם שלח לעיין בו) </w:t>
      </w:r>
      <w:r>
        <w:rPr>
          <w:rtl/>
        </w:rPr>
        <w:t xml:space="preserve">דמוכח מכאן </w:t>
      </w:r>
      <w:r>
        <w:rPr>
          <w:sz w:val="16"/>
          <w:szCs w:val="16"/>
          <w:rtl/>
        </w:rPr>
        <w:t xml:space="preserve">{מתשו' הרא"ש} </w:t>
      </w:r>
      <w:r>
        <w:rPr>
          <w:rtl/>
        </w:rPr>
        <w:t>דאפילו במקום שעדים חתומים על השטר דנעשה כמי שנחקרה עדותן בב"ד, צריך דרישה וחקירה ואפילו איתנהו לסהדי קמן היכא שיש אמתלאות שהדין מרומה, וע"ש, ש"ך (סקכ"ח).</w:t>
      </w:r>
    </w:p>
  </w:footnote>
  <w:footnote w:id="5721">
    <w:p w14:paraId="5AE64A1C" w14:textId="77777777" w:rsidR="0013116F" w:rsidRDefault="0013116F" w:rsidP="0004348D">
      <w:pPr>
        <w:pStyle w:val="a9"/>
      </w:pPr>
      <w:r>
        <w:rPr>
          <w:rStyle w:val="ab"/>
        </w:rPr>
        <w:footnoteRef/>
      </w:r>
      <w:r>
        <w:rPr>
          <w:rtl/>
        </w:rPr>
        <w:t xml:space="preserve"> בתשו', כ"כ בשמו הטור ורי"ו [סוף נ"ו], ובספר התרומות [שער כו ח"ב סי' ב] כתב כן בשם ה"ר משולם ב"ר קלונימוס.</w:t>
      </w:r>
    </w:p>
  </w:footnote>
  <w:footnote w:id="5722">
    <w:p w14:paraId="4FB5F2E1" w14:textId="77777777" w:rsidR="0013116F" w:rsidRDefault="0013116F" w:rsidP="0004348D">
      <w:pPr>
        <w:pStyle w:val="a9"/>
        <w:rPr>
          <w:rtl/>
        </w:rPr>
      </w:pPr>
      <w:r>
        <w:rPr>
          <w:rStyle w:val="ab"/>
        </w:rPr>
        <w:footnoteRef/>
      </w:r>
      <w:r>
        <w:rPr>
          <w:rtl/>
        </w:rPr>
        <w:t xml:space="preserve"> משום דאמרינן כי הימניה לוה למלוה משום דכל ישראל בחזקת נאמנין קיימי ולהכי הימניה כי הימניה, אבל השתא דהוחזק כפרן במקום אחר איתרע ליה נאמנות דידיה ולא שקיל אלא בשבועה, ספר התרומות (שם). ועוד דאמרינן (כתובות עב.) גבי אלו יוצאות שלא בכתובה העוברת על דת משה וכו' כגון דאמרה פלוני חכם טיהר לי הדם ואשתכח שיקרא והא הכא דמדאורייתא מהימנא וכיון דמשקרא תו לא מהימנא ומפסדת כתובתה הכא נמי לא מהימן. וכי תימא היכי ילפינן ממונא מאיסורא - כתובה נמי ממונא הוא. ועוד, התם מפסדא לכתובה לגמרי, הכא גבי בשבועה, מהר"ם (שם).</w:t>
      </w:r>
    </w:p>
  </w:footnote>
  <w:footnote w:id="5723">
    <w:p w14:paraId="1233925C" w14:textId="77777777" w:rsidR="0013116F" w:rsidRDefault="0013116F" w:rsidP="0004348D">
      <w:pPr>
        <w:pStyle w:val="a9"/>
        <w:rPr>
          <w:rtl/>
        </w:rPr>
      </w:pPr>
      <w:r>
        <w:rPr>
          <w:rStyle w:val="ab"/>
        </w:rPr>
        <w:footnoteRef/>
      </w:r>
      <w:r>
        <w:rPr>
          <w:rtl/>
        </w:rPr>
        <w:t xml:space="preserve"> ואפילו לא הוחזק כפרן בזה השטר בשום דבר, כי אם בדבר אחר, אינו נוטל אלא בשבועה, סמ"ע (סקכ"ד) וש"ך (סק"ל).</w:t>
      </w:r>
    </w:p>
  </w:footnote>
  <w:footnote w:id="5724">
    <w:p w14:paraId="5F82871F" w14:textId="77777777" w:rsidR="0013116F" w:rsidRDefault="0013116F" w:rsidP="0004348D">
      <w:pPr>
        <w:pStyle w:val="a9"/>
      </w:pPr>
      <w:r>
        <w:rPr>
          <w:rStyle w:val="ab"/>
        </w:rPr>
        <w:footnoteRef/>
      </w:r>
      <w:r>
        <w:rPr>
          <w:rtl/>
        </w:rPr>
        <w:t xml:space="preserve"> ואם נעשה כפרן בב"ד קודם הנאמנות, כל מילי דב"ד קלא אית ליה וסבר וקיבל, כ"כ בספר גדו"ת</w:t>
      </w:r>
      <w:r>
        <w:rPr>
          <w:sz w:val="16"/>
          <w:szCs w:val="16"/>
          <w:rtl/>
        </w:rPr>
        <w:t xml:space="preserve"> [שער כו ח"ב ס"ב]</w:t>
      </w:r>
      <w:r>
        <w:rPr>
          <w:rtl/>
        </w:rPr>
        <w:t xml:space="preserve">, ש"ך </w:t>
      </w:r>
      <w:r>
        <w:rPr>
          <w:sz w:val="16"/>
          <w:szCs w:val="16"/>
          <w:rtl/>
        </w:rPr>
        <w:t>(סקל"א)</w:t>
      </w:r>
      <w:r>
        <w:rPr>
          <w:rtl/>
        </w:rPr>
        <w:t>.</w:t>
      </w:r>
    </w:p>
  </w:footnote>
  <w:footnote w:id="5725">
    <w:p w14:paraId="2D8696D7" w14:textId="77777777" w:rsidR="0013116F" w:rsidRDefault="0013116F" w:rsidP="0004348D">
      <w:pPr>
        <w:pStyle w:val="a9"/>
      </w:pPr>
      <w:r>
        <w:rPr>
          <w:rStyle w:val="ab"/>
        </w:rPr>
        <w:footnoteRef/>
      </w:r>
      <w:r>
        <w:rPr>
          <w:rtl/>
        </w:rPr>
        <w:t xml:space="preserve"> </w:t>
      </w:r>
      <w:r>
        <w:rPr>
          <w:rFonts w:hint="cs"/>
          <w:rtl/>
        </w:rPr>
        <w:t xml:space="preserve">הטור העתיק את דברי ספר התרומות כמעט מילה במילה, </w:t>
      </w:r>
      <w:r>
        <w:rPr>
          <w:rtl/>
        </w:rPr>
        <w:t xml:space="preserve">וכתב הב"י (בב"י ובבדה"ב) שדברים אלו הפך תשובת הרא"ש (כלל סח סי' יב) שכתב רבינו בסימן ס"א (ס"ז)- כל דבר שנהגו במדינה לכתוב הן נאמנות הן כתבוה בשוקא הן שאר שופרי דשטרי שכבר נהגו סופרים לכתוב כל מי שמקנה בסודר לכתוב שטר דעתו שיכתבוהו כמנהג המדינה ואין צריך לפרש שיכתבו כל לישני שפירי דאית ביה עכ"ל, ודבריו דברי טעם, וכך הם דברי תשובת הרשב"א שאכתוב בס"ס קא </w:t>
      </w:r>
      <w:r>
        <w:rPr>
          <w:sz w:val="16"/>
          <w:szCs w:val="16"/>
          <w:rtl/>
        </w:rPr>
        <w:t>(מחו' ה)</w:t>
      </w:r>
      <w:r>
        <w:rPr>
          <w:rtl/>
        </w:rPr>
        <w:t xml:space="preserve">. ויש לתמוה על רבינו שכתב שם תשובת הרא"ש בלי חולק וכאן כתב דברי בעל התרומות בלי חולק. ואפשר לומר דבעל התרומות מיירי בשאינו מנהג פשוט במדינה לכתוב כן בכל השטרות ואע"פ שבקצתן כתוב כן, והרא"ש מיירי בשהוא מנהג פשוט במדינה לכתוב כן בכל השטרות </w:t>
      </w:r>
      <w:r>
        <w:rPr>
          <w:color w:val="E36C0A" w:themeColor="accent6" w:themeShade="BF"/>
          <w:rtl/>
        </w:rPr>
        <w:t>(וכ"כ בשו"ע)</w:t>
      </w:r>
      <w:r>
        <w:rPr>
          <w:rtl/>
        </w:rPr>
        <w:t xml:space="preserve">. א"נ הרא"ש מיירי בשאין כאן העדים שיעידו שלא כתבוהו בצווי הלוה. א"נ דבעל התרומות שכתב 'מנהג המקום שכותבים נאמנות בלא המלכת בעלים לשופרא דשטרא' הכי פירושו- שמנהג המקום שאין כותבים נאמנות אלא לשופרא דשטרא ולא על דעת שיהיה קיים כל שלא נמלכו בבעלים כשכתבוהו, והרא"ש מיירי שנהגו לכתבו על דעת שיהיה קיים. עכ"ל הב"י. והש"ך (סקל"ג) תירץ דעד כאן לא קאמר הרא"ש אלא כשידוע שהלוה ידע שנהגו לכתוב כן בכל השטרות, ובעל התרומות מיירי כאן כשאין ידוע שהלוה ידע שהמנהג כן לכתוב בכל השטרות </w:t>
      </w:r>
      <w:r>
        <w:rPr>
          <w:sz w:val="16"/>
          <w:szCs w:val="16"/>
          <w:rtl/>
        </w:rPr>
        <w:t>(והיכא דידוע דהלוה ידע שנהגו לכתוב כן בכל השטרות, אז אפילו לא נכתב ככתוב דמי)</w:t>
      </w:r>
      <w:r>
        <w:rPr>
          <w:rtl/>
        </w:rPr>
        <w:t>.</w:t>
      </w:r>
    </w:p>
  </w:footnote>
  <w:footnote w:id="5726">
    <w:p w14:paraId="1F558322" w14:textId="77777777" w:rsidR="0013116F" w:rsidRDefault="0013116F" w:rsidP="0004348D">
      <w:pPr>
        <w:pStyle w:val="a9"/>
        <w:rPr>
          <w:rtl/>
        </w:rPr>
      </w:pPr>
      <w:r>
        <w:rPr>
          <w:rStyle w:val="ab"/>
        </w:rPr>
        <w:footnoteRef/>
      </w:r>
      <w:r>
        <w:rPr>
          <w:rtl/>
        </w:rPr>
        <w:t xml:space="preserve"> לשון הטור</w:t>
      </w:r>
      <w:r>
        <w:rPr>
          <w:sz w:val="16"/>
          <w:szCs w:val="16"/>
          <w:rtl/>
        </w:rPr>
        <w:t xml:space="preserve"> [סע' כד]</w:t>
      </w:r>
      <w:r>
        <w:rPr>
          <w:rtl/>
        </w:rPr>
        <w:t>- אם אין העדים כאן אין הלוה נאמן, כיון שכתוב בו וקנינא מיניה על כל מה דכתב לעיל, אינו יכול לבטלו, סמ"ע (סקכ"ה).</w:t>
      </w:r>
    </w:p>
  </w:footnote>
  <w:footnote w:id="5727">
    <w:p w14:paraId="2E947EB4" w14:textId="77777777" w:rsidR="0013116F" w:rsidRDefault="0013116F" w:rsidP="0004348D">
      <w:pPr>
        <w:pStyle w:val="a9"/>
      </w:pPr>
      <w:r>
        <w:rPr>
          <w:rStyle w:val="ab"/>
        </w:rPr>
        <w:footnoteRef/>
      </w:r>
      <w:r>
        <w:rPr>
          <w:rtl/>
        </w:rPr>
        <w:t xml:space="preserve"> </w:t>
      </w:r>
      <w:r>
        <w:rPr>
          <w:rFonts w:hint="cs"/>
          <w:rtl/>
        </w:rPr>
        <w:t xml:space="preserve">וכתב הש"ך (סקל"ב) </w:t>
      </w:r>
      <w:r>
        <w:rPr>
          <w:rtl/>
        </w:rPr>
        <w:t xml:space="preserve">דלדעת הרמב"ן דמפרש הך דירושלמי </w:t>
      </w:r>
      <w:r>
        <w:rPr>
          <w:sz w:val="16"/>
          <w:szCs w:val="16"/>
          <w:rtl/>
        </w:rPr>
        <w:t>(שביעית פ"י ה"ג)</w:t>
      </w:r>
      <w:r>
        <w:rPr>
          <w:rtl/>
        </w:rPr>
        <w:t xml:space="preserve"> בשאין כתב ידם יוצא ממקום אחר, פשיטא דכאן אין נאמנים בשכתב ידם יוצא ממקום אחר, וכן להתוס' פ"ב דכתובות (כד: ד"ה אמנה)... ואפילו להרז"ה שם [מובא בר"ן ר"ה שם] דמפרש בשכתב ידם יוצא ממקום אחר, מודה כאן וכמו שכתבתי. ועל כרחך צ"ל דהבעל התרומות והטור והמחבר מיירי במקום שכותבים הנאמנות לשופרא דשטרא ולא על דעת שיהא קיים, וכמו שכתבתי, וגם בזה צ"ע.</w:t>
      </w:r>
    </w:p>
  </w:footnote>
  <w:footnote w:id="5728">
    <w:p w14:paraId="11CD8095" w14:textId="77777777" w:rsidR="0013116F" w:rsidRDefault="0013116F" w:rsidP="0004348D">
      <w:pPr>
        <w:pStyle w:val="a9"/>
      </w:pPr>
      <w:r>
        <w:rPr>
          <w:rStyle w:val="ab"/>
        </w:rPr>
        <w:footnoteRef/>
      </w:r>
      <w:r>
        <w:rPr>
          <w:rtl/>
        </w:rPr>
        <w:t xml:space="preserve"> דאם היה מנהג פשוט, בודאי לא לשופרא לשטרא לחוד נתפשט המנהג לכתוב כן, אלא משום דבאמת מאמינים זה את זה, וכבר נתבאר לעיל סימן ס"א בטור [סעיף ז'] ובדברי המחבר שם סעיף ה' דכל המקבל קנין סתם, אדעתא דמנהג מקבל קנין, וכותבין כל דבר שנהגו לכתוב אפילו שלא קיבלו עליו הלוה בפירוש, משא"כ כשאינו מנהג פשוט, אף שהרבה היו כותבין כן, סמ"ע (סקכ"ז).</w:t>
      </w:r>
    </w:p>
  </w:footnote>
  <w:footnote w:id="5729">
    <w:p w14:paraId="13CA88A8" w14:textId="77777777" w:rsidR="0013116F" w:rsidRDefault="0013116F" w:rsidP="0004348D">
      <w:pPr>
        <w:pStyle w:val="a9"/>
        <w:rPr>
          <w:rtl/>
        </w:rPr>
      </w:pPr>
      <w:r>
        <w:rPr>
          <w:rStyle w:val="ab"/>
        </w:rPr>
        <w:footnoteRef/>
      </w:r>
      <w:r>
        <w:rPr>
          <w:rtl/>
        </w:rPr>
        <w:t xml:space="preserve"> מדלא כתב בקיצור, ואם כתב בו בפירוש שקנו מידו גם על הנאמנות, נראה דר"ל שכתב בהשטר בלשון זה, וקנינא על כל מאי דכתיב לעיל ובענין הנאמנות מפורש. ופירושו הוא, מה שכתבנו לעיל בשטר נאמנות, לא מעצמינו כתבנו, אלא מפורש היה בין המלוה והלוה לפנינו בשעה שבאו לפנינו </w:t>
      </w:r>
      <w:r>
        <w:rPr>
          <w:sz w:val="16"/>
          <w:szCs w:val="16"/>
          <w:rtl/>
        </w:rPr>
        <w:t>[והשתא אתי שפיר דלא תיקשי למה הצריכו שיכתוב שהקנין היה מפורש גם אהנאמנות, כיון שהנאמנות אינה צריכה קנין כמ"ש בסעיף שאחר זה]</w:t>
      </w:r>
      <w:r>
        <w:rPr>
          <w:rtl/>
        </w:rPr>
        <w:t>. ומכל שכן כשכותבין שהקנין היה מפורש מהלוה למלוה גם אהנאמנות, סמ"ע (סקכ"ח).</w:t>
      </w:r>
    </w:p>
  </w:footnote>
  <w:footnote w:id="5730">
    <w:p w14:paraId="5BE9552B" w14:textId="77777777" w:rsidR="0013116F" w:rsidRDefault="0013116F" w:rsidP="0004348D">
      <w:pPr>
        <w:pStyle w:val="a9"/>
      </w:pPr>
      <w:r>
        <w:rPr>
          <w:rStyle w:val="ab"/>
        </w:rPr>
        <w:footnoteRef/>
      </w:r>
      <w:r>
        <w:rPr>
          <w:rtl/>
        </w:rPr>
        <w:t xml:space="preserve"> ורבינו סימן ס"ט (סי"א) כתב שיש חולקים והוא הסכים לדברי בעל התרומות, ב"י.</w:t>
      </w:r>
    </w:p>
  </w:footnote>
  <w:footnote w:id="5731">
    <w:p w14:paraId="21753F0B" w14:textId="77777777" w:rsidR="0013116F" w:rsidRDefault="0013116F" w:rsidP="0004348D">
      <w:pPr>
        <w:pStyle w:val="a9"/>
        <w:rPr>
          <w:rtl/>
        </w:rPr>
      </w:pPr>
      <w:r>
        <w:rPr>
          <w:rStyle w:val="ab"/>
        </w:rPr>
        <w:footnoteRef/>
      </w:r>
      <w:r>
        <w:rPr>
          <w:rtl/>
        </w:rPr>
        <w:t xml:space="preserve"> כתב הסמ"ע [סקכ"ט] דאינו ר"ל דצריך להיות ידוע לב"ד שציוה כן להעדים, אלא ה"ה כשבא במקום ההוא לפניהם שטר שכתוב בו נאמנות, אמרינן מסתמא ציוה כן לכתוב ולחתום כיון שאין כותבים אותו בלא ציווי הלוה כו', ש"ך (סקל"ד).</w:t>
      </w:r>
    </w:p>
  </w:footnote>
  <w:footnote w:id="5732">
    <w:p w14:paraId="2A005C78" w14:textId="77777777" w:rsidR="0013116F" w:rsidRDefault="0013116F" w:rsidP="0004348D">
      <w:pPr>
        <w:pStyle w:val="a9"/>
      </w:pPr>
      <w:r>
        <w:rPr>
          <w:rStyle w:val="ab"/>
        </w:rPr>
        <w:footnoteRef/>
      </w:r>
      <w:r>
        <w:rPr>
          <w:rtl/>
        </w:rPr>
        <w:t xml:space="preserve"> ודעת השו"ע דסתם משמע דמיירי אפילו אחר הלואה. ואע"ג דסבירא ליה לשו"ע (סעיף ב') דשלא בשעת הלואה בעי קנין, היינו משום דכיון דכותב הנאמנות בתוך השטר הרי הוא כקנין דהא יכול לחייב עצמו בשטר אף על פי שאינו חייב כמו בקנין, אבל בלא שטר אינו יכול לחייב עצמו בדברים, קצוה"ח (סק"ז). </w:t>
      </w:r>
    </w:p>
  </w:footnote>
  <w:footnote w:id="5733">
    <w:p w14:paraId="6AE82868" w14:textId="77777777" w:rsidR="0013116F" w:rsidRDefault="0013116F" w:rsidP="0004348D">
      <w:pPr>
        <w:pStyle w:val="a9"/>
      </w:pPr>
      <w:r>
        <w:rPr>
          <w:rStyle w:val="ab"/>
        </w:rPr>
        <w:footnoteRef/>
      </w:r>
      <w:r>
        <w:rPr>
          <w:rtl/>
        </w:rPr>
        <w:t xml:space="preserve"> וכשכתוב בו נאמנות, מסתמא אמרינן שאמר כן בשעת הלואה או שקנה ממנו על הנאמנות, לאפוקי אם ידוע בבירור שאמר כן לאחר הלואה ולא קנו מיניה, אז אין מועיל הנאמנות, וכן כתב הסמ"ע [סקכ"ט], ש"ך (סקל"ה).</w:t>
      </w:r>
    </w:p>
  </w:footnote>
  <w:footnote w:id="5734">
    <w:p w14:paraId="6762FC30" w14:textId="77777777" w:rsidR="0013116F" w:rsidRDefault="0013116F" w:rsidP="0004348D">
      <w:pPr>
        <w:pStyle w:val="a9"/>
      </w:pPr>
      <w:r>
        <w:rPr>
          <w:rStyle w:val="ab"/>
        </w:rPr>
        <w:footnoteRef/>
      </w:r>
      <w:r>
        <w:rPr>
          <w:rtl/>
        </w:rPr>
        <w:t xml:space="preserve"> כתב הסמ"ע [סק"ל] דאפילו יש זמן רב שעבר הזמן, ומטעם דא"כ שטרך בידי מאי בעי, דאל"כ פשיטא, דהא לא כתב בו סתם נאמנות אלא כדי שלא יאמר פרעתיך ככלות הזמן, דאילו בתוך הזמן חזקה אין אדם פורע תוך זמנו, ודוחק לומר דמשום יום אחד דמישלם בו הזמן לחוד בא הנאמנות, ע"כ. וקצת קשה, דלפ"ז בנאמנות כבי תרי לא יועיל אלא תוך הזמן. אבל יותר נלפע"ד, דמסתמא כל זמן שהשטר בידו משמע, וכן משמע בטור (סע' כח) ובעל התרומות (שער כו ח"ג ס"ב) במה שסיימו, וכל אימת דנפק שטרא מידיה נאמן בלא שבועה. וכ"כ הגאון אמ"ו ז"ל בגליון סמ"ע שלו, ש"ך </w:t>
      </w:r>
      <w:r>
        <w:rPr>
          <w:sz w:val="16"/>
          <w:szCs w:val="16"/>
          <w:rtl/>
        </w:rPr>
        <w:t>(סקל"ז)</w:t>
      </w:r>
      <w:r>
        <w:rPr>
          <w:rtl/>
        </w:rPr>
        <w:t xml:space="preserve">. </w:t>
      </w:r>
      <w:r>
        <w:rPr>
          <w:color w:val="FF0000"/>
          <w:rtl/>
        </w:rPr>
        <w:t>צל"ע, לא הבנתי מה קשה ומהיכן בסמ"ע</w:t>
      </w:r>
    </w:p>
  </w:footnote>
  <w:footnote w:id="5735">
    <w:p w14:paraId="5B71B88B" w14:textId="77777777" w:rsidR="0013116F" w:rsidRDefault="0013116F" w:rsidP="0004348D">
      <w:pPr>
        <w:pStyle w:val="a9"/>
        <w:rPr>
          <w:rtl/>
        </w:rPr>
      </w:pPr>
      <w:r>
        <w:rPr>
          <w:rStyle w:val="ab"/>
        </w:rPr>
        <w:footnoteRef/>
      </w:r>
      <w:r>
        <w:rPr>
          <w:rtl/>
        </w:rPr>
        <w:t xml:space="preserve"> </w:t>
      </w:r>
      <w:r>
        <w:rPr>
          <w:rFonts w:hint="cs"/>
          <w:rtl/>
        </w:rPr>
        <w:t xml:space="preserve">סימן – פוטר בפירוש מ-וואו </w:t>
      </w:r>
      <w:r>
        <w:rPr>
          <w:sz w:val="16"/>
          <w:szCs w:val="16"/>
          <w:rtl/>
        </w:rPr>
        <w:t>(</w:t>
      </w:r>
      <w:r>
        <w:rPr>
          <w:sz w:val="16"/>
          <w:szCs w:val="16"/>
        </w:rPr>
        <w:t>vow</w:t>
      </w:r>
      <w:r>
        <w:rPr>
          <w:sz w:val="16"/>
          <w:szCs w:val="16"/>
          <w:rtl/>
        </w:rPr>
        <w:t xml:space="preserve"> - שבועה/נדר)</w:t>
      </w:r>
      <w:r>
        <w:rPr>
          <w:rtl/>
        </w:rPr>
        <w:t>.</w:t>
      </w:r>
    </w:p>
  </w:footnote>
  <w:footnote w:id="5736">
    <w:p w14:paraId="34C1970C" w14:textId="77777777" w:rsidR="0013116F" w:rsidRDefault="0013116F" w:rsidP="0004348D">
      <w:pPr>
        <w:pStyle w:val="a9"/>
      </w:pPr>
      <w:r>
        <w:rPr>
          <w:rStyle w:val="ab"/>
        </w:rPr>
        <w:footnoteRef/>
      </w:r>
      <w:r>
        <w:rPr>
          <w:rtl/>
        </w:rPr>
        <w:t xml:space="preserve"> 'כתב לה' לאו דוקא דהוא הדין דבאמירה בעלמא סגי, ר"ן (פרק הכותב מו. ד"ה מתני' כתב).</w:t>
      </w:r>
    </w:p>
  </w:footnote>
  <w:footnote w:id="5737">
    <w:p w14:paraId="01CC6614" w14:textId="77777777" w:rsidR="0013116F" w:rsidRDefault="0013116F" w:rsidP="0004348D">
      <w:pPr>
        <w:pStyle w:val="a9"/>
      </w:pPr>
      <w:r>
        <w:rPr>
          <w:rStyle w:val="ab"/>
        </w:rPr>
        <w:footnoteRef/>
      </w:r>
      <w:r>
        <w:rPr>
          <w:rtl/>
        </w:rPr>
        <w:t xml:space="preserve"> </w:t>
      </w:r>
      <w:r>
        <w:rPr>
          <w:rFonts w:hint="cs"/>
          <w:rtl/>
        </w:rPr>
        <w:t>בין אם כתב לה לשון 'דלא שבועה' ובין כתב לה 'דנקי שבועה'...</w:t>
      </w:r>
    </w:p>
  </w:footnote>
  <w:footnote w:id="5738">
    <w:p w14:paraId="1974C205" w14:textId="77777777" w:rsidR="0013116F" w:rsidRDefault="0013116F" w:rsidP="0004348D">
      <w:pPr>
        <w:pStyle w:val="a9"/>
        <w:rPr>
          <w:rtl/>
        </w:rPr>
      </w:pPr>
      <w:r>
        <w:rPr>
          <w:rStyle w:val="ab"/>
        </w:rPr>
        <w:footnoteRef/>
      </w:r>
      <w:r>
        <w:rPr>
          <w:rtl/>
        </w:rPr>
        <w:t xml:space="preserve"> דלעולם יורשין משביעין אותה אם מת הוא והיא נפרעת מהם, רש"י.</w:t>
      </w:r>
    </w:p>
  </w:footnote>
  <w:footnote w:id="5739">
    <w:p w14:paraId="2F43E880" w14:textId="77777777" w:rsidR="0013116F" w:rsidRDefault="0013116F" w:rsidP="0004348D">
      <w:pPr>
        <w:pStyle w:val="a9"/>
      </w:pPr>
      <w:r>
        <w:rPr>
          <w:rStyle w:val="ab"/>
        </w:rPr>
        <w:footnoteRef/>
      </w:r>
      <w:r>
        <w:rPr>
          <w:rtl/>
        </w:rPr>
        <w:t xml:space="preserve"> </w:t>
      </w:r>
      <w:r>
        <w:rPr>
          <w:rFonts w:hint="cs"/>
          <w:rtl/>
        </w:rPr>
        <w:t>כתב הרשב"א (שם) ד</w:t>
      </w:r>
      <w:r>
        <w:rPr>
          <w:rtl/>
        </w:rPr>
        <w:t>הא דגרסינן בפרק הכותב (פז.)</w:t>
      </w:r>
      <w:r>
        <w:rPr>
          <w:rFonts w:hint="cs"/>
        </w:rPr>
        <w:t xml:space="preserve"> </w:t>
      </w:r>
      <w:r>
        <w:rPr>
          <w:rtl/>
        </w:rPr>
        <w:t>אבא שאול בן אימא מרים אומר... כתב הרב אלפסי ז"ל דה"מ דכתב לה 'דלא נדר ודלא שבועה' ולא כתב 'בין ממני בין מיורשי אחרים', אבל כתב 'בין ממני בין מיורשי אחרים' - גובה שלא בשבועה ואפי' היא פוגמת כתובתה בין ממנו בין מיורשיו, וכסתם מתני' דקתני 'נדר ושבועה אין לי ולא ליורשי ולא לבאים ברשותי עלך ועל יורשיך ועל הבאים לרשותך'. פי' לפירושו אע"פ שמשמעות לשונות אלו לפטור אותה ממנו ומיורשיו כיון שלא אמר כן בפירוש סתמא דמילתא אין דעתו של אדם לעקור תקנת חכמים שאמרו הבא ליפרע מנכסי יתומים לא יפרע אלא בשבועה. והילכך שטר שכתוב בו נאמנות סתם לא מהני אלא בשבא לגבות בחיי לוה אבל ביורשין אינו גובה אלא בשבועה. ואם מת לוה בחיי מלוה ואחר כך מת מלוה אין אדם מוריש שבוע' לבניו וכדאמרי רב ושמואל בפרק כל הנשבעין (מח.)</w:t>
      </w:r>
      <w:r>
        <w:rPr>
          <w:sz w:val="16"/>
          <w:szCs w:val="16"/>
          <w:rtl/>
        </w:rPr>
        <w:t xml:space="preserve"> {ולכן הפסידו יורשיו את החוב כיון שאינם גובים אלא בשבועה ואינם יכולים להישבע}</w:t>
      </w:r>
      <w:r>
        <w:rPr>
          <w:rtl/>
        </w:rPr>
        <w:t>. והיכא דכתב ביה 'מהימנת עלי ועל יורשי' ומת לוה בחיי מלוה ואח"כ מת מלוה יורשים גובין אותו דהא לא הוה מחייב אבוהון בשבועה.</w:t>
      </w:r>
    </w:p>
  </w:footnote>
  <w:footnote w:id="5740">
    <w:p w14:paraId="5B3B4732" w14:textId="77777777" w:rsidR="0013116F" w:rsidRDefault="0013116F" w:rsidP="0004348D">
      <w:pPr>
        <w:pStyle w:val="a9"/>
      </w:pPr>
      <w:r>
        <w:rPr>
          <w:rStyle w:val="ab"/>
        </w:rPr>
        <w:footnoteRef/>
      </w:r>
      <w:r>
        <w:rPr>
          <w:rtl/>
        </w:rPr>
        <w:t xml:space="preserve"> רי"ף </w:t>
      </w:r>
      <w:r>
        <w:rPr>
          <w:sz w:val="16"/>
          <w:szCs w:val="16"/>
          <w:rtl/>
        </w:rPr>
        <w:t xml:space="preserve">(מז., כ"כ בשמו הרשב"א והר"ן) </w:t>
      </w:r>
      <w:r>
        <w:rPr>
          <w:rtl/>
        </w:rPr>
        <w:t xml:space="preserve">רמב"ם </w:t>
      </w:r>
      <w:r>
        <w:rPr>
          <w:sz w:val="16"/>
          <w:szCs w:val="16"/>
          <w:rtl/>
        </w:rPr>
        <w:t>(אישות פט"ז ה"כ)</w:t>
      </w:r>
      <w:r>
        <w:rPr>
          <w:rtl/>
        </w:rPr>
        <w:t xml:space="preserve"> רשב"א </w:t>
      </w:r>
      <w:r>
        <w:rPr>
          <w:sz w:val="16"/>
          <w:szCs w:val="16"/>
          <w:rtl/>
        </w:rPr>
        <w:t>(ח"א סי' אלף נט)</w:t>
      </w:r>
      <w:r>
        <w:rPr>
          <w:rtl/>
        </w:rPr>
        <w:t xml:space="preserve"> וטור.</w:t>
      </w:r>
    </w:p>
  </w:footnote>
  <w:footnote w:id="5741">
    <w:p w14:paraId="0C273B0F" w14:textId="77777777" w:rsidR="0013116F" w:rsidRDefault="0013116F" w:rsidP="0004348D">
      <w:pPr>
        <w:pStyle w:val="a9"/>
        <w:rPr>
          <w:rtl/>
        </w:rPr>
      </w:pPr>
      <w:r>
        <w:rPr>
          <w:rStyle w:val="ab"/>
        </w:rPr>
        <w:footnoteRef/>
      </w:r>
      <w:r>
        <w:rPr>
          <w:rtl/>
        </w:rPr>
        <w:t xml:space="preserve"> ועיין במה שכתבתי בטור אבן העזר סימן צ"ח (קמט. ד"ה ומ"ש), ב"י.</w:t>
      </w:r>
    </w:p>
  </w:footnote>
  <w:footnote w:id="5742">
    <w:p w14:paraId="58116585" w14:textId="77777777" w:rsidR="0013116F" w:rsidRDefault="0013116F" w:rsidP="0004348D">
      <w:pPr>
        <w:pStyle w:val="a9"/>
      </w:pPr>
      <w:r>
        <w:rPr>
          <w:rStyle w:val="ab"/>
        </w:rPr>
        <w:footnoteRef/>
      </w:r>
      <w:r>
        <w:rPr>
          <w:rtl/>
        </w:rPr>
        <w:t xml:space="preserve"> ואפילו שבועת שלא פקדנו אבא אינם צריכים, ב"י (בבדה"ב). וכ"כ הרא"ש </w:t>
      </w:r>
      <w:r>
        <w:rPr>
          <w:sz w:val="16"/>
          <w:szCs w:val="16"/>
          <w:rtl/>
        </w:rPr>
        <w:t>(כלל עא סי' ז)</w:t>
      </w:r>
      <w:r>
        <w:rPr>
          <w:rtl/>
        </w:rPr>
        <w:t xml:space="preserve"> לגבי שטר שכתוב בו שהאמין הלוה למלוה ואת יורשיו עליו ומת המלוה - שהיורשים גובים בלא שבועה 'שלא פקדנו אבא'.</w:t>
      </w:r>
    </w:p>
  </w:footnote>
  <w:footnote w:id="5743">
    <w:p w14:paraId="2E708C90" w14:textId="77777777" w:rsidR="0013116F" w:rsidRDefault="0013116F" w:rsidP="0004348D">
      <w:pPr>
        <w:pStyle w:val="a9"/>
      </w:pPr>
      <w:r>
        <w:rPr>
          <w:rStyle w:val="ab"/>
        </w:rPr>
        <w:footnoteRef/>
      </w:r>
      <w:r>
        <w:rPr>
          <w:rtl/>
        </w:rPr>
        <w:t xml:space="preserve"> נראה דהוי ליה יחידאה, והרז"ה [שבועות לא: מדפה"ר] ובעל התרומות [שער יד ח"ב ס"ח] והרשב"א [ח"ב סי' שכג ועוד] והר"ן [סי' לא] והריב"ש [סי' קסט] כולם פסקו דלא אמרינן אין אדם מוריש שבועה לבניו בכהאי גוונא, כיון דאית ביה נאמנות, אפילו למ"ד דהנאמנות לא מהני למלוה נגד היורשים כשהוא חי, וכן פסק הר"ב בהג"ה באה"ע שם דלא אמרינן אין אדם מוריש שבועה בכהאי גוונא. וכ"כ הטור (סכ"ד) והמחבר (סי"ג) לקמן סי' קח, ש"ך (סקל"ח). </w:t>
      </w:r>
    </w:p>
  </w:footnote>
  <w:footnote w:id="5744">
    <w:p w14:paraId="2ECD43B6" w14:textId="77777777" w:rsidR="0013116F" w:rsidRDefault="0013116F" w:rsidP="0004348D">
      <w:pPr>
        <w:pStyle w:val="a9"/>
        <w:rPr>
          <w:rtl/>
        </w:rPr>
      </w:pPr>
      <w:r>
        <w:rPr>
          <w:rStyle w:val="ab"/>
        </w:rPr>
        <w:footnoteRef/>
      </w:r>
      <w:r>
        <w:rPr>
          <w:rtl/>
        </w:rPr>
        <w:t xml:space="preserve"> </w:t>
      </w:r>
      <w:r>
        <w:rPr>
          <w:rFonts w:hint="cs"/>
          <w:rtl/>
        </w:rPr>
        <w:t>ולוקח גם אינו נאמן בזה, ע"פ ספר התרומות (שם) והטור.</w:t>
      </w:r>
    </w:p>
  </w:footnote>
  <w:footnote w:id="5745">
    <w:p w14:paraId="13AB56F7" w14:textId="77777777" w:rsidR="0013116F" w:rsidRDefault="0013116F" w:rsidP="0004348D">
      <w:pPr>
        <w:pStyle w:val="a9"/>
      </w:pPr>
      <w:r>
        <w:rPr>
          <w:rStyle w:val="ab"/>
        </w:rPr>
        <w:footnoteRef/>
      </w:r>
      <w:r>
        <w:rPr>
          <w:rtl/>
        </w:rPr>
        <w:t xml:space="preserve"> ולא נראה לחלק, טור.</w:t>
      </w:r>
    </w:p>
  </w:footnote>
  <w:footnote w:id="5746">
    <w:p w14:paraId="2F33FDE6" w14:textId="77777777" w:rsidR="0013116F" w:rsidRDefault="0013116F" w:rsidP="0004348D">
      <w:pPr>
        <w:pStyle w:val="a9"/>
        <w:rPr>
          <w:rtl/>
        </w:rPr>
      </w:pPr>
      <w:r>
        <w:rPr>
          <w:rStyle w:val="ab"/>
        </w:rPr>
        <w:footnoteRef/>
      </w:r>
      <w:r>
        <w:rPr>
          <w:rtl/>
        </w:rPr>
        <w:t xml:space="preserve"> </w:t>
      </w:r>
      <w:r>
        <w:rPr>
          <w:rFonts w:hint="cs"/>
          <w:rtl/>
        </w:rPr>
        <w:t>הביאו הש"ך (סק"מ) וכתב שכן נוטה דעת הריב"ש (סי' תצד).</w:t>
      </w:r>
    </w:p>
  </w:footnote>
  <w:footnote w:id="5747">
    <w:p w14:paraId="78A034EC" w14:textId="77777777" w:rsidR="0013116F" w:rsidRDefault="0013116F" w:rsidP="0004348D">
      <w:pPr>
        <w:pStyle w:val="a9"/>
        <w:rPr>
          <w:sz w:val="16"/>
          <w:szCs w:val="16"/>
          <w:rtl/>
        </w:rPr>
      </w:pPr>
      <w:r>
        <w:rPr>
          <w:rStyle w:val="ab"/>
        </w:rPr>
        <w:footnoteRef/>
      </w:r>
      <w:r>
        <w:rPr>
          <w:rtl/>
        </w:rPr>
        <w:t xml:space="preserve"> </w:t>
      </w:r>
      <w:r>
        <w:rPr>
          <w:rFonts w:hint="cs"/>
          <w:rtl/>
        </w:rPr>
        <w:t xml:space="preserve">כתב הסמ"ע (סקל"ב) </w:t>
      </w:r>
      <w:r>
        <w:rPr>
          <w:rtl/>
        </w:rPr>
        <w:t xml:space="preserve">דנראה דאף אם כתב לו כן, לא מהני אלא שאין המלוה צריך לישבע אם היורשים טוענין שמא אבינו פרע לך, אבל אם טוענין היורשים אנו פרענו לך, אין הנאמנות מהני לענין זה. ואפילו אם פירש כן בהדיא בנאמנות שיהיה המלוה נאמן אפילו אם יורשי הלוה יטענו אנו פרענו לך, יש להסתפק אם מהני קבלת החוב עליו לענין זה, דלכאורה נראה דלא מהני, כיון שהם אמרו שפרעו החוב אין כח ביד אביהן לגרוע כחן ולהפקיע ממונן </w:t>
      </w:r>
      <w:r>
        <w:rPr>
          <w:sz w:val="16"/>
          <w:szCs w:val="16"/>
          <w:rtl/>
        </w:rPr>
        <w:t>(וכן אם האמין את המלוה ויורשיו עליו, אינו מועיל אלא שאין יורשי המלוה צריכין לישבע שלא אמר להם אביהם שהוא פרוע, או שלא מצאו שום שטר או כתב שחוב זה פרוע, אבל אם יטעון הלוה או יורשיו פרענו לכם, צריכים הם לישבע)</w:t>
      </w:r>
      <w:r>
        <w:rPr>
          <w:rtl/>
        </w:rPr>
        <w:t>, וכן משמע באה"ע סי' צח. עכ"ל. אך הש"ך</w:t>
      </w:r>
      <w:r>
        <w:rPr>
          <w:sz w:val="16"/>
          <w:szCs w:val="16"/>
          <w:rtl/>
        </w:rPr>
        <w:t xml:space="preserve"> (סקל"ט)</w:t>
      </w:r>
      <w:r>
        <w:rPr>
          <w:rFonts w:hint="cs"/>
          <w:sz w:val="16"/>
          <w:szCs w:val="16"/>
        </w:rPr>
        <w:t xml:space="preserve"> </w:t>
      </w:r>
      <w:r>
        <w:rPr>
          <w:rtl/>
        </w:rPr>
        <w:t xml:space="preserve">השיג עליו וכתב דאדרבה כיון דפטורים משבועה שלא פקדנו אבא, כל שכן דפטורים משבועה שלא נפרעו הם עצמם מהלוה ומהיורשים, וכדמוכח להדיא מדברי בעל התרומות </w:t>
      </w:r>
      <w:r>
        <w:rPr>
          <w:sz w:val="16"/>
          <w:szCs w:val="16"/>
          <w:rtl/>
        </w:rPr>
        <w:t>(שער יד ח"ב ס"ח, ומביאו ב"י לקמן סי' קח סע' יד)</w:t>
      </w:r>
      <w:r>
        <w:rPr>
          <w:rtl/>
        </w:rPr>
        <w:t xml:space="preserve">... וכן מבואר להדיא בדברי בהעי"ט </w:t>
      </w:r>
      <w:r>
        <w:rPr>
          <w:sz w:val="16"/>
          <w:szCs w:val="16"/>
          <w:rtl/>
        </w:rPr>
        <w:t>(סוף מאמר חמישי יב ע"ד)</w:t>
      </w:r>
      <w:r>
        <w:rPr>
          <w:rtl/>
        </w:rPr>
        <w:t xml:space="preserve">... וכן מבואר בב"ח לקמן סי' קח </w:t>
      </w:r>
      <w:r>
        <w:rPr>
          <w:sz w:val="16"/>
          <w:szCs w:val="16"/>
          <w:rtl/>
        </w:rPr>
        <w:t>(סע' ט)</w:t>
      </w:r>
      <w:r>
        <w:rPr>
          <w:rtl/>
        </w:rPr>
        <w:t>. ואין ספק דהסמ"ע לא ראה דברי בהעי"ט ובעל התרומות בזה, ואי הוה חזי להו הוה הדר ביה. עכ"ל הש"ך. וגם הט"ז השיג על הסמ"ע בזה.</w:t>
      </w:r>
    </w:p>
  </w:footnote>
  <w:footnote w:id="5748">
    <w:p w14:paraId="351B2FCE" w14:textId="77777777" w:rsidR="0013116F" w:rsidRDefault="0013116F" w:rsidP="0004348D">
      <w:pPr>
        <w:pStyle w:val="a9"/>
        <w:rPr>
          <w:rtl/>
        </w:rPr>
      </w:pPr>
      <w:r>
        <w:rPr>
          <w:rStyle w:val="ab"/>
        </w:rPr>
        <w:footnoteRef/>
      </w:r>
      <w:r>
        <w:rPr>
          <w:rtl/>
        </w:rPr>
        <w:t xml:space="preserve"> ועיין באה"ע סימן צ"ח [סעיף ז'] שפסק הר"ב בהג"ה [סעיף ז'] גבי כתובה, דאפילו פטרה בפירוש מן היורשים לא מהני, והיינו כדעת הר"ז [שבועות לא: מדפה"ר] ור"ח ור"ת [כתובות פח: תוס' ד"ה לאפוקי] והרא"ש [שם פ"ט סי' כ] שחולקין על הרי"ף [שם מז.] ורמב"ם [פט"ז מאישות ה"כ] וסיעתם, וכדאיתא בטור וב"י שם מחלוקת הפוסקים בזה. ולפ"ז קשה על הר"ב שסתם כאן כדברי המחבר. וצ"ל דגבי אשה חיישינן טפי לצררי, כמש"כ הב"ח שם [סע' ט ד"ה ומ"ש וכך כתב ר"ח] לדעת הטור, ע"ש </w:t>
      </w:r>
      <w:r>
        <w:rPr>
          <w:sz w:val="16"/>
          <w:szCs w:val="16"/>
          <w:rtl/>
        </w:rPr>
        <w:t>(וכה"ג כתבו התוס' [ב"ב ה' ע"ב ד"ה ואפילו] והרמב"ן בחידושיו ריש בבא בתרא [שם ד"ה ואיפסקא] ובבעל התרומות שער ט"ז ח"ב [ס"ד] גבי תוך הזמן נפרעים אפילו מן היתומים, ואשה אינה נפרעת מן היתומים אלא בשבועה משום דבאשה חיישינן טפי לצררי, ע"ש)</w:t>
      </w:r>
      <w:r>
        <w:rPr>
          <w:rtl/>
        </w:rPr>
        <w:t xml:space="preserve">. מיהו בנ"י פרק הכותב [כתובות מז. מדפה"ר] משמע דגם שאר הפוסקים </w:t>
      </w:r>
      <w:r>
        <w:rPr>
          <w:sz w:val="16"/>
          <w:szCs w:val="16"/>
          <w:rtl/>
        </w:rPr>
        <w:t>{ר"ח וכל חכמי נרבונא}</w:t>
      </w:r>
      <w:r>
        <w:rPr>
          <w:rtl/>
        </w:rPr>
        <w:t xml:space="preserve"> דס"ל בכתובה לא מהני שום נאמנות נגד היורשים, ס"ל גם במלוה כן, וכמו שכתב הנ"י, וכן הוא להדיא בריב"ש (ס"ס קסט וסי' תצד) דחד דינא אית להו ע"ש, וצ"ע לדינא. מיהו כל זה כשלא קנו מיניה, אבל אם קנו מיניה מהני הנאמנות לכו"ע אפילו בכתובה, כמו שכתב הטור אה"ע שם בשם ר"ח, וכ"כ הב"י שם בשם תשובות הרשב"א והריטב"א [סי' ר"ה], ע"ש. והר"ב בהג"ה שם לא ביאר זה, והיה לו לבאר, ש"ך (סקל"ח). </w:t>
      </w:r>
    </w:p>
  </w:footnote>
  <w:footnote w:id="5749">
    <w:p w14:paraId="6F05C53B" w14:textId="77777777" w:rsidR="0013116F" w:rsidRDefault="0013116F" w:rsidP="0004348D">
      <w:pPr>
        <w:pStyle w:val="a9"/>
      </w:pPr>
      <w:r>
        <w:rPr>
          <w:rStyle w:val="ab"/>
        </w:rPr>
        <w:footnoteRef/>
      </w:r>
      <w:r>
        <w:rPr>
          <w:rtl/>
        </w:rPr>
        <w:t xml:space="preserve"> ועיין בטור אבן העזר סימן צ"ח (קמט:), ב"י.</w:t>
      </w:r>
    </w:p>
  </w:footnote>
  <w:footnote w:id="5750">
    <w:p w14:paraId="4B6C48A4" w14:textId="77777777" w:rsidR="0013116F" w:rsidRDefault="0013116F" w:rsidP="0004348D">
      <w:pPr>
        <w:pStyle w:val="a9"/>
        <w:rPr>
          <w:rtl/>
        </w:rPr>
      </w:pPr>
      <w:r>
        <w:rPr>
          <w:rStyle w:val="ab"/>
        </w:rPr>
        <w:footnoteRef/>
      </w:r>
      <w:r>
        <w:rPr>
          <w:rtl/>
        </w:rPr>
        <w:t xml:space="preserve"> כלומר, דלא האמין גם ליורשי מלוה עליו כמו בסיפא, דאז היו גובים בלא שבועה. אבל פשיטא דמיירי שהאמינו על יורשיו, דאל"כ לא היו יכולים יורשי המלוה לגבות אף בשבועה, דכיון דהיה המלוה חייב שבועה אין מוריש שבועה לבניו, כדלקמן סימן ק"ח סעיף י"ג. וכן פירשו הסמ"ע [סקל"ד] והב"ח [סעיף ל"ב], והוא פשוט, ש"ך </w:t>
      </w:r>
      <w:r>
        <w:rPr>
          <w:sz w:val="16"/>
          <w:szCs w:val="16"/>
          <w:rtl/>
        </w:rPr>
        <w:t>(סקמ"א)</w:t>
      </w:r>
      <w:r>
        <w:rPr>
          <w:rtl/>
        </w:rPr>
        <w:t xml:space="preserve">. וכ"כ האורים </w:t>
      </w:r>
      <w:r>
        <w:rPr>
          <w:sz w:val="16"/>
          <w:szCs w:val="16"/>
          <w:rtl/>
        </w:rPr>
        <w:t xml:space="preserve">(סקמ"ה) </w:t>
      </w:r>
      <w:r>
        <w:rPr>
          <w:rtl/>
        </w:rPr>
        <w:t>הנתיבות</w:t>
      </w:r>
      <w:r>
        <w:rPr>
          <w:sz w:val="16"/>
          <w:szCs w:val="16"/>
          <w:rtl/>
        </w:rPr>
        <w:t xml:space="preserve"> (סקל"ד)</w:t>
      </w:r>
      <w:r>
        <w:rPr>
          <w:rtl/>
        </w:rPr>
        <w:t xml:space="preserve"> והגר"א</w:t>
      </w:r>
      <w:r>
        <w:rPr>
          <w:sz w:val="16"/>
          <w:szCs w:val="16"/>
          <w:rtl/>
        </w:rPr>
        <w:t xml:space="preserve"> (סקל"ח)</w:t>
      </w:r>
      <w:r>
        <w:rPr>
          <w:rtl/>
        </w:rPr>
        <w:t>.</w:t>
      </w:r>
    </w:p>
  </w:footnote>
  <w:footnote w:id="5751">
    <w:p w14:paraId="142B9E1D" w14:textId="77777777" w:rsidR="0013116F" w:rsidRDefault="0013116F" w:rsidP="0004348D">
      <w:pPr>
        <w:pStyle w:val="a9"/>
        <w:rPr>
          <w:rtl/>
        </w:rPr>
      </w:pPr>
      <w:r>
        <w:rPr>
          <w:rStyle w:val="ab"/>
        </w:rPr>
        <w:footnoteRef/>
      </w:r>
      <w:r>
        <w:rPr>
          <w:rtl/>
        </w:rPr>
        <w:t xml:space="preserve"> </w:t>
      </w:r>
      <w:r>
        <w:rPr>
          <w:rFonts w:hint="cs"/>
          <w:rtl/>
        </w:rPr>
        <w:t>סימן – פיטור מזרים.</w:t>
      </w:r>
    </w:p>
  </w:footnote>
  <w:footnote w:id="5752">
    <w:p w14:paraId="685D6C8A" w14:textId="77777777" w:rsidR="0013116F" w:rsidRDefault="0013116F" w:rsidP="0004348D">
      <w:pPr>
        <w:pStyle w:val="a9"/>
        <w:rPr>
          <w:rtl/>
        </w:rPr>
      </w:pPr>
      <w:r>
        <w:rPr>
          <w:rStyle w:val="ab"/>
        </w:rPr>
        <w:footnoteRef/>
      </w:r>
      <w:r>
        <w:rPr>
          <w:rtl/>
        </w:rPr>
        <w:t xml:space="preserve"> </w:t>
      </w:r>
      <w:r>
        <w:rPr>
          <w:rFonts w:hint="cs"/>
          <w:rtl/>
        </w:rPr>
        <w:t>הטור כתב וז"ל-</w:t>
      </w:r>
      <w:r>
        <w:rPr>
          <w:rtl/>
        </w:rPr>
        <w:t xml:space="preserve"> ולענין פיטור אם מועיל כשבא לגבות מלקוחות בהא איכא פלוגתא, ר"ח כתב אע"פ שמועיל גבי יורשין אינו מועיל גבי לקוחות ואין גובין מהן אלא בשבועה. עכ"ל הטור. וקשה דהרי לעיל כתב הנמוק"י (שם) בשם ר"ח וכל חכמי נרבונא דאפילו אם פירש אינו גובה אלא בשבועה. אלא יש לומר דר"ח מיירי הכא דקנו מיניה על הנאמנות, ובהא יש כח לאב להאמין גם על נכסי היתומים, היינו היורשים, ואפילו דקנו מיניה אינו יכול להאמין את המלוה על הלקוחות </w:t>
      </w:r>
      <w:r>
        <w:rPr>
          <w:sz w:val="16"/>
          <w:szCs w:val="16"/>
          <w:rtl/>
        </w:rPr>
        <w:t xml:space="preserve">(וז"ל ר"ח [הביאו הרמב"ן במלחמות מז: ד"ה אמר הכותב]- מנכסים משועבדים לא תפרע אלא בשבועה יש מי שאומר בעת שלא פטרה מן השבועה כלל בפירוש והאמינה לגבות מן המשועבדין ומן היתומים בלא שבועה, אבל אם כתב לה ופטרה מן השבועה לגבות בפירוש גובה בין מן היתומים בין מן המשועבדים בלא שבועה וכ"ש אם קנו מידו... ויש אומרים האב יכול להפקיע שבועת היתומים ואין יכול להפקיע שבועת הלקוחות. ומעשים בכל יום ואין נפרעין מן המשועבדים ואע"פ שיש להם נאמנות. עכ"ל ר"ח. וכתב בשו"ת בעי חיי (חו"מ ח"א סי' סח) דלסברא ראשונה </w:t>
      </w:r>
      <w:r>
        <w:rPr>
          <w:sz w:val="12"/>
          <w:szCs w:val="12"/>
          <w:rtl/>
        </w:rPr>
        <w:t>{שהביא ר"ח}</w:t>
      </w:r>
      <w:r>
        <w:rPr>
          <w:sz w:val="16"/>
          <w:szCs w:val="16"/>
          <w:rtl/>
        </w:rPr>
        <w:t xml:space="preserve"> פטור בפירוש מהני ליורשים וללקוחות וכ"ש אם קנו מידו. ולסברא אחרונה שהסכים הוא ז"ל דליורשים מהני פטור בפירוש וללקוחות לא מהני אפילו פטור בפירוש. ולפ"ז... מ"ש הרב בעל הטורים ז"ל בחו"מ סי' ע"א 'ולענין פיטור אם מועיל כשבא לגבות מהלקוחות בהא איכ' פלוגתא ר"ח כתב אע"פ שמועיל גבי יורשים אינו מועיל גבי לקוחות אלא בשבועה' - הא נמי בדקנו מיניה הוא, דלגבי יורשים מהני, לגבי לקוחות לא מהני. ומ"ש אח"כ ויש אומרים שאם קנו מידו כו', לא תידוק דעד השתא מיירי בלא קנו ואפ"ה קאמר דליורשים מהני, דה"ק- וי"א שאם קנו מידו מועיל אף לגבי לקוחות משא"כ לסברת ר"ח ז"ל דקנין לא מהני אלא ליורשים לא ללקוחות)</w:t>
      </w:r>
      <w:r>
        <w:rPr>
          <w:rtl/>
        </w:rPr>
        <w:t>.</w:t>
      </w:r>
    </w:p>
  </w:footnote>
  <w:footnote w:id="5753">
    <w:p w14:paraId="6319D833" w14:textId="77777777" w:rsidR="0013116F" w:rsidRDefault="0013116F" w:rsidP="0004348D">
      <w:pPr>
        <w:pStyle w:val="a9"/>
      </w:pPr>
      <w:r>
        <w:rPr>
          <w:rStyle w:val="ab"/>
        </w:rPr>
        <w:footnoteRef/>
      </w:r>
      <w:r>
        <w:rPr>
          <w:rtl/>
        </w:rPr>
        <w:t xml:space="preserve"> גאונים </w:t>
      </w:r>
      <w:r>
        <w:rPr>
          <w:sz w:val="16"/>
          <w:szCs w:val="16"/>
          <w:rtl/>
        </w:rPr>
        <w:t xml:space="preserve">(כ"כ בשמם הרמב"ן [ספר הזכות מז:] ובעל התרומות [שער כא ח"ה סי' ג]) </w:t>
      </w:r>
      <w:r>
        <w:rPr>
          <w:rtl/>
        </w:rPr>
        <w:t xml:space="preserve">רי"ף </w:t>
      </w:r>
      <w:r>
        <w:rPr>
          <w:sz w:val="16"/>
          <w:szCs w:val="16"/>
          <w:rtl/>
        </w:rPr>
        <w:t>(מז:)</w:t>
      </w:r>
      <w:r>
        <w:rPr>
          <w:rtl/>
        </w:rPr>
        <w:t xml:space="preserve"> ר"ח </w:t>
      </w:r>
      <w:r>
        <w:rPr>
          <w:sz w:val="16"/>
          <w:szCs w:val="16"/>
          <w:rtl/>
        </w:rPr>
        <w:t xml:space="preserve">(כ"כ הרא"ש בשמו) </w:t>
      </w:r>
      <w:r>
        <w:rPr>
          <w:rtl/>
        </w:rPr>
        <w:t>רמב"ם</w:t>
      </w:r>
      <w:r>
        <w:rPr>
          <w:sz w:val="16"/>
          <w:szCs w:val="16"/>
          <w:rtl/>
        </w:rPr>
        <w:t xml:space="preserve"> (פט"ו ממלוה ה"ז, וכן באישות פט"ז ה"כ) </w:t>
      </w:r>
      <w:r>
        <w:rPr>
          <w:rtl/>
        </w:rPr>
        <w:t xml:space="preserve">רא"ש </w:t>
      </w:r>
      <w:r>
        <w:rPr>
          <w:sz w:val="16"/>
          <w:szCs w:val="16"/>
          <w:rtl/>
        </w:rPr>
        <w:t xml:space="preserve">(פ"ט סי' כב) </w:t>
      </w:r>
      <w:r>
        <w:rPr>
          <w:rtl/>
        </w:rPr>
        <w:t>וטור.</w:t>
      </w:r>
    </w:p>
  </w:footnote>
  <w:footnote w:id="5754">
    <w:p w14:paraId="71881635" w14:textId="77777777" w:rsidR="0013116F" w:rsidRDefault="0013116F" w:rsidP="0004348D">
      <w:pPr>
        <w:pStyle w:val="a9"/>
      </w:pPr>
      <w:r>
        <w:rPr>
          <w:rStyle w:val="ab"/>
        </w:rPr>
        <w:footnoteRef/>
      </w:r>
      <w:r>
        <w:rPr>
          <w:rtl/>
        </w:rPr>
        <w:t xml:space="preserve"> </w:t>
      </w:r>
      <w:r>
        <w:rPr>
          <w:rFonts w:hint="cs"/>
          <w:rtl/>
        </w:rPr>
        <w:t xml:space="preserve">הרי"ף </w:t>
      </w:r>
      <w:r>
        <w:rPr>
          <w:sz w:val="16"/>
          <w:szCs w:val="16"/>
          <w:rtl/>
        </w:rPr>
        <w:t xml:space="preserve">(מז:) </w:t>
      </w:r>
      <w:r>
        <w:rPr>
          <w:rtl/>
        </w:rPr>
        <w:t xml:space="preserve">כתב </w:t>
      </w:r>
      <w:r>
        <w:rPr>
          <w:sz w:val="16"/>
          <w:szCs w:val="16"/>
          <w:rtl/>
        </w:rPr>
        <w:t>{לגבי האשה שאינה נפרעת מנכסים משועבדים אלא בשבועה}</w:t>
      </w:r>
      <w:r>
        <w:rPr>
          <w:rtl/>
        </w:rPr>
        <w:t xml:space="preserve"> דאע"ג דכתב לה בעלה נאמנות לא תפרע אלא בשבועה דלא מהניא נאמנות אלא היכא דהימניה לוה למלוה עליה דידיה ועל ירתיה בתריה אבל היכא דאיכא עליה חוב לאינש אחרינא או כתובת אשה או לוקח דזבן מיניה לא מהניא, מדאמרינן פ"ב דכתובות (יט.) המלוה אומר שטר אמנה הוא והמלוה חייב לאחרים ואין לו ממה לפרעם אינו נאמן כיון דחב לאחרים דהשתא מוציאין מזה ונותנין לזה כדרבי נתן. עכ"ל. וכתב הרא"ש </w:t>
      </w:r>
      <w:r>
        <w:rPr>
          <w:sz w:val="16"/>
          <w:szCs w:val="16"/>
          <w:rtl/>
        </w:rPr>
        <w:t>(פ"ט סי' כב)</w:t>
      </w:r>
      <w:r>
        <w:rPr>
          <w:rtl/>
        </w:rPr>
        <w:t xml:space="preserve"> שמתוך דברי הרי"ף משמע דמפליג בין ירתיה ללקוחות דומיא דירתיה, וכ"כ ר"ח ומעשים בכל יום שאין נפרעין מן הלקוחות אע"פ שיש להם נאמנות, ואפשר דטעמיה משום דחיישינן לקנוניא שמא פרעו והחזיר לו את השטר אע"ג דמפרש בתוספתא דבאים ברשותה היינו לקוחות באים ברשותו לאו היינו לקוחות אלא אפוטרופוס שמינה על נכסיו. עכ"ל הרא"ש. ולפיכך-...</w:t>
      </w:r>
    </w:p>
  </w:footnote>
  <w:footnote w:id="5755">
    <w:p w14:paraId="0CC8EEDC" w14:textId="77777777" w:rsidR="0013116F" w:rsidRDefault="0013116F" w:rsidP="0004348D">
      <w:pPr>
        <w:pStyle w:val="a9"/>
        <w:rPr>
          <w:rtl/>
        </w:rPr>
      </w:pPr>
      <w:r>
        <w:rPr>
          <w:rStyle w:val="ab"/>
        </w:rPr>
        <w:footnoteRef/>
      </w:r>
      <w:r>
        <w:rPr>
          <w:rtl/>
        </w:rPr>
        <w:t xml:space="preserve"> שאין זה מתנה לאבד ממון חבירו, רמב"ם.</w:t>
      </w:r>
    </w:p>
  </w:footnote>
  <w:footnote w:id="5756">
    <w:p w14:paraId="13802E4A" w14:textId="77777777" w:rsidR="0013116F" w:rsidRDefault="0013116F" w:rsidP="0004348D">
      <w:pPr>
        <w:pStyle w:val="a9"/>
      </w:pPr>
      <w:r>
        <w:rPr>
          <w:rStyle w:val="ab"/>
        </w:rPr>
        <w:footnoteRef/>
      </w:r>
      <w:r>
        <w:rPr>
          <w:rtl/>
        </w:rPr>
        <w:t xml:space="preserve"> ומיהו אם מת המלוה היורשים גובים בשבועת היורשים שלא פקדנו אבא ששטר זה פרוע. וכגון זה אמרינן הבו דלא לוסיף עלה כיון דשבועה זו אינה אלא משום חשש רמאות, רא"ש </w:t>
      </w:r>
      <w:r>
        <w:rPr>
          <w:sz w:val="16"/>
          <w:szCs w:val="16"/>
          <w:rtl/>
        </w:rPr>
        <w:t>(כלל עא סי' ח)</w:t>
      </w:r>
      <w:r>
        <w:rPr>
          <w:rtl/>
        </w:rPr>
        <w:t xml:space="preserve">. ועיין עוד בכלל הנזכר סי' ו' </w:t>
      </w:r>
      <w:r>
        <w:rPr>
          <w:sz w:val="16"/>
          <w:szCs w:val="16"/>
          <w:rtl/>
        </w:rPr>
        <w:t>{דשם כתב דאם מת המלוה קודם שמכר הלוה שדהו היו היורשים נשבעין שבועת היורשים וגובין מן הלקוחות. אבל אם מכר הלוה שדהו ואח"כ מת המלוה כבר נתחייב ללקוחות שבועה ואין אדם מוריש שבועה לבניו}</w:t>
      </w:r>
      <w:r>
        <w:rPr>
          <w:rtl/>
        </w:rPr>
        <w:t xml:space="preserve">, ב"י. </w:t>
      </w:r>
    </w:p>
  </w:footnote>
  <w:footnote w:id="5757">
    <w:p w14:paraId="377C817C" w14:textId="77777777" w:rsidR="0013116F" w:rsidRDefault="0013116F" w:rsidP="0004348D">
      <w:pPr>
        <w:pStyle w:val="a9"/>
      </w:pPr>
      <w:r>
        <w:rPr>
          <w:rStyle w:val="ab"/>
        </w:rPr>
        <w:footnoteRef/>
      </w:r>
      <w:r>
        <w:rPr>
          <w:rtl/>
        </w:rPr>
        <w:t xml:space="preserve"> כתב הרא"ש (שם) שיש מקשים על דברי הרי"ף מהא דתנן במתניתין (פו:) דמועיל נאמנות שכתב לאשה אף על הבאים ברשותה, ותניא בתוספתא (שם פ"ט ה"ה) ואלו הן הבאים ברשותה כל שמכרה או נתנה לאחר, ואם כן הבאים ברשותו נמי הוי שמכר לאחרים וקתני שמועיל נאמנות וגובה האשה מהם בלא שבועה. ויש לתרץ ד-...</w:t>
      </w:r>
    </w:p>
  </w:footnote>
  <w:footnote w:id="5758">
    <w:p w14:paraId="3E803927" w14:textId="77777777" w:rsidR="0013116F" w:rsidRDefault="0013116F" w:rsidP="0004348D">
      <w:pPr>
        <w:pStyle w:val="a9"/>
        <w:rPr>
          <w:rtl/>
        </w:rPr>
      </w:pPr>
      <w:r>
        <w:rPr>
          <w:rStyle w:val="ab"/>
        </w:rPr>
        <w:footnoteRef/>
      </w:r>
      <w:r>
        <w:rPr>
          <w:rtl/>
        </w:rPr>
        <w:t xml:space="preserve"> גם הרא"ש </w:t>
      </w:r>
      <w:r>
        <w:rPr>
          <w:sz w:val="16"/>
          <w:szCs w:val="16"/>
          <w:rtl/>
        </w:rPr>
        <w:t>(פ"ט סי' כב)</w:t>
      </w:r>
      <w:r>
        <w:rPr>
          <w:rtl/>
        </w:rPr>
        <w:t xml:space="preserve"> אמר שכך נראה לו לתרץ את המשניות שלכאורה סותרות אך כתב דהאידנא דנפישי רמאי נכון להחמיר כדברי ר"ח ורי"ף.</w:t>
      </w:r>
    </w:p>
  </w:footnote>
  <w:footnote w:id="5759">
    <w:p w14:paraId="581D7578" w14:textId="77777777" w:rsidR="0013116F" w:rsidRDefault="0013116F" w:rsidP="0004348D">
      <w:pPr>
        <w:pStyle w:val="a9"/>
        <w:rPr>
          <w:rtl/>
        </w:rPr>
      </w:pPr>
      <w:r>
        <w:rPr>
          <w:rStyle w:val="ab"/>
        </w:rPr>
        <w:footnoteRef/>
      </w:r>
      <w:r>
        <w:rPr>
          <w:rtl/>
        </w:rPr>
        <w:t xml:space="preserve"> ועיין בסימן פ"ב (ס"ב), ב"י.</w:t>
      </w:r>
    </w:p>
  </w:footnote>
  <w:footnote w:id="5760">
    <w:p w14:paraId="7D30506F" w14:textId="77777777" w:rsidR="0013116F" w:rsidRDefault="0013116F" w:rsidP="0004348D">
      <w:pPr>
        <w:pStyle w:val="a9"/>
        <w:rPr>
          <w:rtl/>
        </w:rPr>
      </w:pPr>
      <w:r>
        <w:rPr>
          <w:rStyle w:val="ab"/>
        </w:rPr>
        <w:footnoteRef/>
      </w:r>
      <w:r>
        <w:rPr>
          <w:rtl/>
        </w:rPr>
        <w:t xml:space="preserve"> צל"ע בדין זה... דמאן לימא לן דאי תפיס מלוה מהלקוחות ואינו רוצה לישבע דלא מצי למימר קים לי כרש"י [שם ד"ה ואת הבאים] והרב רבינו עובדיה ברטנורה [שם פ"ט מ"ה] והראב"ד ובעל המאור והרמ"ה, וגם הרא"ש אפשר דמודה היכא דתפס מלוה, דהשתא הוי חומרא ללקוחות שהם התובעים, כן נלפע"ד. מיהו היינו דוקא בנאמנות מפורש שכתוב בו שהאמינו גם נגד הלקוחות שלו, אבל סתם נאמנות פשיטא דלכו"ע לא מהני נגד הלקוחות, ש"ך (סקמ"ב).</w:t>
      </w:r>
    </w:p>
  </w:footnote>
  <w:footnote w:id="5761">
    <w:p w14:paraId="418ABC58" w14:textId="77777777" w:rsidR="0013116F" w:rsidRDefault="0013116F" w:rsidP="0004348D">
      <w:pPr>
        <w:pStyle w:val="a9"/>
        <w:rPr>
          <w:rtl/>
        </w:rPr>
      </w:pPr>
      <w:r>
        <w:rPr>
          <w:rStyle w:val="ab"/>
        </w:rPr>
        <w:footnoteRef/>
      </w:r>
      <w:r>
        <w:rPr>
          <w:rtl/>
        </w:rPr>
        <w:t xml:space="preserve"> פירוש, צריך לישבע למלוה שהלוה אחריו ג"כ ללוה זה ומשועבדים לו ג"כ נכסי הלוה. ומבואר בפרק מי שהיה נשוי </w:t>
      </w:r>
      <w:r>
        <w:rPr>
          <w:sz w:val="16"/>
          <w:szCs w:val="16"/>
          <w:rtl/>
        </w:rPr>
        <w:t>[כתובות צג:]</w:t>
      </w:r>
      <w:r>
        <w:rPr>
          <w:rtl/>
        </w:rPr>
        <w:t xml:space="preserve"> דיכול המלוה האחרון להשביע למלוה המוקדם לו ובא לטרוף שעבודו, שעדיין חייב לו ושלא בקנוניא בא עליו עם הלוה, סמ"ע</w:t>
      </w:r>
      <w:r>
        <w:rPr>
          <w:sz w:val="16"/>
          <w:szCs w:val="16"/>
          <w:rtl/>
        </w:rPr>
        <w:t xml:space="preserve"> (סקל"ז)</w:t>
      </w:r>
      <w:r>
        <w:rPr>
          <w:rtl/>
        </w:rPr>
        <w:t>. ואע"פ שכתוב בשטרו נאמנות מפורש שיגבה מהמאוחר בלא שבועה אינו מועיל, וכ"כ המחבר לקמן סי' פב סע' ב. ושם כתב הטור [סעיף ב'] בשם בעל התרומות דנאמנות מפורש מועיל לבעל חוב מוקדם, ואני תמהתי שם [סק"ח] עליו, דבבעל התרומות [שער כ"א ח"ה ס"ו] מבואר להדיא איפכא, ע"ש, ש"ך (סקמ"ג).</w:t>
      </w:r>
    </w:p>
  </w:footnote>
  <w:footnote w:id="5762">
    <w:p w14:paraId="026845ED" w14:textId="77777777" w:rsidR="0013116F" w:rsidRDefault="0013116F" w:rsidP="0004348D">
      <w:pPr>
        <w:pStyle w:val="a9"/>
      </w:pPr>
      <w:r>
        <w:rPr>
          <w:rStyle w:val="ab"/>
        </w:rPr>
        <w:footnoteRef/>
      </w:r>
      <w:r>
        <w:rPr>
          <w:rtl/>
        </w:rPr>
        <w:t xml:space="preserve"> </w:t>
      </w:r>
      <w:r>
        <w:rPr>
          <w:rFonts w:hint="cs"/>
          <w:rtl/>
        </w:rPr>
        <w:t xml:space="preserve">סימן – פוטר בפירוש מ-וואו </w:t>
      </w:r>
      <w:r>
        <w:rPr>
          <w:sz w:val="16"/>
          <w:szCs w:val="16"/>
          <w:rtl/>
        </w:rPr>
        <w:t>(</w:t>
      </w:r>
      <w:r>
        <w:rPr>
          <w:sz w:val="16"/>
          <w:szCs w:val="16"/>
        </w:rPr>
        <w:t>vow</w:t>
      </w:r>
      <w:r>
        <w:rPr>
          <w:sz w:val="16"/>
          <w:szCs w:val="16"/>
          <w:rtl/>
        </w:rPr>
        <w:t xml:space="preserve"> - שבועה/נדר)</w:t>
      </w:r>
      <w:r>
        <w:rPr>
          <w:rtl/>
        </w:rPr>
        <w:t>.</w:t>
      </w:r>
    </w:p>
  </w:footnote>
  <w:footnote w:id="5763">
    <w:p w14:paraId="754F5349" w14:textId="77777777" w:rsidR="0013116F" w:rsidRDefault="0013116F" w:rsidP="0004348D">
      <w:pPr>
        <w:pStyle w:val="a9"/>
      </w:pPr>
      <w:r>
        <w:rPr>
          <w:rStyle w:val="ab"/>
        </w:rPr>
        <w:footnoteRef/>
      </w:r>
      <w:r>
        <w:rPr>
          <w:rtl/>
        </w:rPr>
        <w:t xml:space="preserve"> </w:t>
      </w:r>
      <w:r>
        <w:rPr>
          <w:rFonts w:hint="cs"/>
          <w:rtl/>
        </w:rPr>
        <w:t>היינו שהוא היה יכול להשביעה, אבל מכיון שהאמינה – אינו יכול להשביעה.</w:t>
      </w:r>
    </w:p>
  </w:footnote>
  <w:footnote w:id="5764">
    <w:p w14:paraId="7F3B0E94" w14:textId="77777777" w:rsidR="0013116F" w:rsidRDefault="0013116F" w:rsidP="0004348D">
      <w:pPr>
        <w:pStyle w:val="a9"/>
      </w:pPr>
      <w:r>
        <w:rPr>
          <w:rStyle w:val="ab"/>
        </w:rPr>
        <w:footnoteRef/>
      </w:r>
      <w:r>
        <w:rPr>
          <w:rtl/>
        </w:rPr>
        <w:t xml:space="preserve"> רשב"א </w:t>
      </w:r>
      <w:r>
        <w:rPr>
          <w:sz w:val="16"/>
          <w:szCs w:val="16"/>
          <w:rtl/>
        </w:rPr>
        <w:t>(ח"א סי' אלף א, הביאו הב"י ר"ס קו)</w:t>
      </w:r>
      <w:r>
        <w:rPr>
          <w:rtl/>
        </w:rPr>
        <w:t xml:space="preserve"> ורא"ש </w:t>
      </w:r>
      <w:r>
        <w:rPr>
          <w:sz w:val="16"/>
          <w:szCs w:val="16"/>
          <w:rtl/>
        </w:rPr>
        <w:t>(בתשו' כלל עג סי' ג [הביאו הטור סי' קו ס"ב] ובפסקיו פרק הכותב פ"ט סי' כח [הביאו הטור באהע"ז ר"ס צח])</w:t>
      </w:r>
      <w:r>
        <w:rPr>
          <w:rtl/>
        </w:rPr>
        <w:t>.</w:t>
      </w:r>
    </w:p>
  </w:footnote>
  <w:footnote w:id="5765">
    <w:p w14:paraId="17AB4CAA" w14:textId="77777777" w:rsidR="0013116F" w:rsidRDefault="0013116F" w:rsidP="0004348D">
      <w:pPr>
        <w:pStyle w:val="a9"/>
        <w:rPr>
          <w:rtl/>
        </w:rPr>
      </w:pPr>
      <w:r>
        <w:rPr>
          <w:rStyle w:val="ab"/>
        </w:rPr>
        <w:footnoteRef/>
      </w:r>
      <w:r>
        <w:rPr>
          <w:rtl/>
        </w:rPr>
        <w:t xml:space="preserve"> הב"י לא הביא את דבריהם כאן אלא רק כתב לעיין בסימן ק"ו </w:t>
      </w:r>
      <w:r>
        <w:rPr>
          <w:sz w:val="16"/>
          <w:szCs w:val="16"/>
          <w:rtl/>
        </w:rPr>
        <w:t>(ס"א – ב, ששם הביא הטור את דברי הרא"ש והב"י כתב שכן דעת הרשב"א)</w:t>
      </w:r>
      <w:r>
        <w:rPr>
          <w:rtl/>
        </w:rPr>
        <w:t>. אך הש"ך (סקמ"ד) הביא דבריהם כאן.</w:t>
      </w:r>
    </w:p>
  </w:footnote>
  <w:footnote w:id="5766">
    <w:p w14:paraId="21A8C3D7" w14:textId="77777777" w:rsidR="0013116F" w:rsidRDefault="0013116F" w:rsidP="0004348D">
      <w:pPr>
        <w:pStyle w:val="a9"/>
        <w:rPr>
          <w:rtl/>
        </w:rPr>
      </w:pPr>
      <w:r>
        <w:rPr>
          <w:rStyle w:val="ab"/>
        </w:rPr>
        <w:footnoteRef/>
      </w:r>
      <w:r>
        <w:rPr>
          <w:rtl/>
        </w:rPr>
        <w:t xml:space="preserve"> וכבר כתב רבינו סברות בזה בסימן פ"ב (סט"ז), ב"י.</w:t>
      </w:r>
    </w:p>
  </w:footnote>
  <w:footnote w:id="5767">
    <w:p w14:paraId="626DDDC7" w14:textId="77777777" w:rsidR="0013116F" w:rsidRDefault="0013116F" w:rsidP="0004348D">
      <w:pPr>
        <w:pStyle w:val="a9"/>
        <w:rPr>
          <w:rtl/>
        </w:rPr>
      </w:pPr>
      <w:r>
        <w:rPr>
          <w:rStyle w:val="ab"/>
        </w:rPr>
        <w:footnoteRef/>
      </w:r>
      <w:r>
        <w:rPr>
          <w:rtl/>
        </w:rPr>
        <w:t xml:space="preserve"> </w:t>
      </w:r>
      <w:r>
        <w:rPr>
          <w:rFonts w:hint="cs"/>
          <w:rtl/>
        </w:rPr>
        <w:t xml:space="preserve">ואם לא פירש כן אלא כתב </w:t>
      </w:r>
      <w:r>
        <w:rPr>
          <w:rtl/>
        </w:rPr>
        <w:t>שהמלוה ובאי כוחו הם נאמנים, והוא טוען לא למלוה פרעתי רק לכם, דעת הסמ"ע (סקל"ב) דלא מהני נאמנות וצריכין לשבועה, והש"ך (סקל"ט) והט"ז חולקים דאף בזו מהני ג"כ נאמנות, והנכון אתם, אורים (סקמ"ט).</w:t>
      </w:r>
    </w:p>
  </w:footnote>
  <w:footnote w:id="5768">
    <w:p w14:paraId="2BE210DB" w14:textId="77777777" w:rsidR="0013116F" w:rsidRDefault="0013116F" w:rsidP="0004348D">
      <w:pPr>
        <w:pStyle w:val="a9"/>
        <w:rPr>
          <w:rtl/>
        </w:rPr>
      </w:pPr>
      <w:r>
        <w:rPr>
          <w:rStyle w:val="ab"/>
        </w:rPr>
        <w:footnoteRef/>
      </w:r>
      <w:r>
        <w:rPr>
          <w:rtl/>
        </w:rPr>
        <w:t xml:space="preserve"> רב האי גאון </w:t>
      </w:r>
      <w:r>
        <w:rPr>
          <w:sz w:val="16"/>
          <w:szCs w:val="16"/>
          <w:rtl/>
        </w:rPr>
        <w:t xml:space="preserve">(כ"כ הרא"ש והר"ן בשמו) </w:t>
      </w:r>
      <w:r>
        <w:rPr>
          <w:rtl/>
        </w:rPr>
        <w:t xml:space="preserve">רי"ף </w:t>
      </w:r>
      <w:r>
        <w:rPr>
          <w:sz w:val="16"/>
          <w:szCs w:val="16"/>
          <w:rtl/>
        </w:rPr>
        <w:t xml:space="preserve">(פרק הכותב מז.) </w:t>
      </w:r>
      <w:r>
        <w:rPr>
          <w:rtl/>
        </w:rPr>
        <w:t xml:space="preserve">רמב"ם </w:t>
      </w:r>
      <w:r>
        <w:rPr>
          <w:sz w:val="16"/>
          <w:szCs w:val="16"/>
          <w:rtl/>
        </w:rPr>
        <w:t xml:space="preserve">(פט"ו מהל' מלוה ה"ו) </w:t>
      </w:r>
      <w:r>
        <w:rPr>
          <w:rtl/>
        </w:rPr>
        <w:t xml:space="preserve">רא"ש </w:t>
      </w:r>
      <w:r>
        <w:rPr>
          <w:sz w:val="16"/>
          <w:szCs w:val="16"/>
          <w:rtl/>
        </w:rPr>
        <w:t xml:space="preserve">(פ"ט סי' כא) </w:t>
      </w:r>
      <w:r>
        <w:rPr>
          <w:rtl/>
        </w:rPr>
        <w:t xml:space="preserve">טור ור"ן </w:t>
      </w:r>
      <w:r>
        <w:rPr>
          <w:sz w:val="16"/>
          <w:szCs w:val="16"/>
          <w:rtl/>
        </w:rPr>
        <w:t>(מז. ד"ה תניא)</w:t>
      </w:r>
      <w:r>
        <w:rPr>
          <w:rtl/>
        </w:rPr>
        <w:t>.</w:t>
      </w:r>
    </w:p>
  </w:footnote>
  <w:footnote w:id="5769">
    <w:p w14:paraId="1AAD7B2D" w14:textId="77777777" w:rsidR="0013116F" w:rsidRDefault="0013116F" w:rsidP="0004348D">
      <w:pPr>
        <w:pStyle w:val="a9"/>
        <w:rPr>
          <w:rtl/>
        </w:rPr>
      </w:pPr>
      <w:r>
        <w:rPr>
          <w:rStyle w:val="ab"/>
        </w:rPr>
        <w:footnoteRef/>
      </w:r>
      <w:r>
        <w:rPr>
          <w:rtl/>
        </w:rPr>
        <w:t xml:space="preserve"> והטעם שאינו צריך לפרש נאמנות יורשיו משום דכשבא ליד היתומים הרי הוא כקרוע מטעם הנאמנות, דמאי טענינן ליה הוה לך למקרעיה או למיכתב שובר - אמר להו אהימנותא דכתב לי סמכי, ב"י.</w:t>
      </w:r>
    </w:p>
  </w:footnote>
  <w:footnote w:id="5770">
    <w:p w14:paraId="0C5B2A1E" w14:textId="77777777" w:rsidR="0013116F" w:rsidRDefault="0013116F" w:rsidP="0004348D">
      <w:pPr>
        <w:pStyle w:val="a9"/>
        <w:rPr>
          <w:rtl/>
        </w:rPr>
      </w:pPr>
      <w:r>
        <w:rPr>
          <w:rStyle w:val="ab"/>
        </w:rPr>
        <w:footnoteRef/>
      </w:r>
      <w:r>
        <w:rPr>
          <w:rtl/>
        </w:rPr>
        <w:t xml:space="preserve"> ואפילו לא הודה במקצת הוא נשבע שבועת היסת ולרבותא נקט הודה במקצת דאעפ"כ אינו נשבע אלא היסת, וגרע מטוענו מלוה על פה, והטעם מפני שהאמינו, הה"מ.</w:t>
      </w:r>
    </w:p>
  </w:footnote>
  <w:footnote w:id="5771">
    <w:p w14:paraId="206B804A" w14:textId="77777777" w:rsidR="0013116F" w:rsidRDefault="0013116F" w:rsidP="0004348D">
      <w:pPr>
        <w:pStyle w:val="a9"/>
        <w:rPr>
          <w:rtl/>
        </w:rPr>
      </w:pPr>
      <w:r>
        <w:rPr>
          <w:rStyle w:val="ab"/>
        </w:rPr>
        <w:footnoteRef/>
      </w:r>
      <w:r>
        <w:rPr>
          <w:rtl/>
        </w:rPr>
        <w:t xml:space="preserve"> כן הוא לשון הטור [סעיף ל"ד]. ולפ"ז משמע דכל שכן הוא דכשמת המלוה צריך לישבע. ולפע"ד אינו מוכרח, וי"ל דהרי"ף [כתובות מז.] והרא"ש [שם פ"ט סי' כא] לא מיירי אלא כשהמלוה חי... שהוא טוענו ברי, משא"כ כשמת שאין היורשים טוענים אלא שמא, ואין נשבעים על טענת שמא... ואולי גם כונת הטור והמחבר כן במה שכתבו אפילו בחיי המלוה, לומר דכל שכן כשמת המלוה צריך לישבע כשהיורשים טוענים ברי בדוקא, וצל"ע, ש"ך (סקמ"ו). וכתב האורים (סקנ"ב) דלפי מה שכתב הרמ"א לקמן סי' עה </w:t>
      </w:r>
      <w:r>
        <w:rPr>
          <w:sz w:val="16"/>
          <w:szCs w:val="16"/>
          <w:rtl/>
        </w:rPr>
        <w:t xml:space="preserve">(סע' יז) </w:t>
      </w:r>
      <w:r>
        <w:rPr>
          <w:rtl/>
        </w:rPr>
        <w:t>דבמקום שיש רגלים לדבר, יכול להשביעו אף בטענת ספק, א"כ אף זהו רגלים לדבר, דאילו פרע למה הניח השטר.</w:t>
      </w:r>
    </w:p>
  </w:footnote>
  <w:footnote w:id="5772">
    <w:p w14:paraId="572563FC" w14:textId="77777777" w:rsidR="0013116F" w:rsidRDefault="0013116F" w:rsidP="0004348D">
      <w:pPr>
        <w:pStyle w:val="a9"/>
      </w:pPr>
      <w:r>
        <w:rPr>
          <w:rStyle w:val="ab"/>
        </w:rPr>
        <w:footnoteRef/>
      </w:r>
      <w:r>
        <w:rPr>
          <w:rtl/>
        </w:rPr>
        <w:t xml:space="preserve"> הוא לשון הרמב"ם פט"ו מהל' מלוה (ה"ו). ומשמע מלשון זה דאף שאין היורשים טוענים כלום, טוענים אנן להו שפרע</w:t>
      </w:r>
      <w:r>
        <w:rPr>
          <w:sz w:val="16"/>
          <w:szCs w:val="16"/>
          <w:rtl/>
        </w:rPr>
        <w:t xml:space="preserve"> (וכן משמע להדיא בבעל התרומות (סוף שער כז ס"ג) ובטור שכן היא דעת הרמב"ם. וכן הוא להדיא בהה"מ שטעם הרמב"ם שאינו גובה מן היורשים לפי שטוענים להם כל מה שהיה הלוה יכול לטעון)</w:t>
      </w:r>
      <w:r>
        <w:rPr>
          <w:rtl/>
        </w:rPr>
        <w:t>. ולפ"ז קשה על המחבר שכאן העתיק לשון הרמב"ם, ובסעיף כ"ב כתב שיש מי שאומר שחייבים לפרוע אא"כ הביאו עדים שאביהם אמר לפניהם שהוא פרוע, והיא דעת הרא"ש [כתובות פ"ט סי' כא], והוא ודאי חולק על הרמב"ם, וכמ"ש לקמן סקנ"א, וכן משמע להדיא בטור [סע' לח]. וצ"ל שהמחבר סמך עצמו אמה שכתב לקמן, ש"ך (סקמ"ז).</w:t>
      </w:r>
    </w:p>
  </w:footnote>
  <w:footnote w:id="5773">
    <w:p w14:paraId="507990DD" w14:textId="77777777" w:rsidR="0013116F" w:rsidRDefault="0013116F" w:rsidP="0004348D">
      <w:pPr>
        <w:pStyle w:val="a9"/>
      </w:pPr>
      <w:r>
        <w:rPr>
          <w:rStyle w:val="ab"/>
        </w:rPr>
        <w:footnoteRef/>
      </w:r>
      <w:r>
        <w:rPr>
          <w:rtl/>
        </w:rPr>
        <w:t xml:space="preserve"> </w:t>
      </w:r>
      <w:r>
        <w:rPr>
          <w:rFonts w:hint="cs"/>
          <w:rtl/>
        </w:rPr>
        <w:t xml:space="preserve">וכתב הב"י </w:t>
      </w:r>
      <w:r>
        <w:rPr>
          <w:sz w:val="16"/>
          <w:szCs w:val="16"/>
          <w:rtl/>
        </w:rPr>
        <w:t xml:space="preserve">(בבדה"ב) </w:t>
      </w:r>
      <w:r>
        <w:rPr>
          <w:rtl/>
        </w:rPr>
        <w:t xml:space="preserve">דיש לתמוה, דהא אין משביעין היסת אלא על טענת ודאי וכמש"כ הרמב"ם בפ"א מהל' טוען ונטען </w:t>
      </w:r>
      <w:r>
        <w:rPr>
          <w:sz w:val="16"/>
          <w:szCs w:val="16"/>
          <w:rtl/>
        </w:rPr>
        <w:t xml:space="preserve">(ה"ז) </w:t>
      </w:r>
      <w:r>
        <w:rPr>
          <w:rtl/>
        </w:rPr>
        <w:t xml:space="preserve">ורבינו בסי' עה </w:t>
      </w:r>
      <w:r>
        <w:rPr>
          <w:sz w:val="16"/>
          <w:szCs w:val="16"/>
          <w:rtl/>
        </w:rPr>
        <w:t>(סכ"א-כב)</w:t>
      </w:r>
      <w:r>
        <w:rPr>
          <w:rtl/>
        </w:rPr>
        <w:t xml:space="preserve">, והכא כיון שאינו יכול לטעון ודאי שהם יודעים שפרעו אין עליהם אלא חרם סתם. ואפשר דלא נחת השתא בעל התרומות לפלוגי בהכי ונקט שבועת היסת במקום חרם סתם ולא דק. א"נ מיירי שהלה טוען שהוא יודע בודאי שהם יודעים שלא פרעו. א"נ האי שבועת היסת לאו דוקא אלא היינו שבועת היורשים שלא פקדנו אבא, ואזדא בעל התרומות לטעמיה שהיורשים ליפטר צריכים לישבע שבועת היורשים וכמש"כ רבינו בסי' סט </w:t>
      </w:r>
      <w:r>
        <w:rPr>
          <w:sz w:val="16"/>
          <w:szCs w:val="16"/>
          <w:rtl/>
        </w:rPr>
        <w:t xml:space="preserve">(סי"ג-יד) </w:t>
      </w:r>
      <w:r>
        <w:rPr>
          <w:rtl/>
        </w:rPr>
        <w:t>בשמו, וכבר נתבאר שם שאין כן דעת הפוסקים.</w:t>
      </w:r>
    </w:p>
  </w:footnote>
  <w:footnote w:id="5774">
    <w:p w14:paraId="62B751B7" w14:textId="77777777" w:rsidR="0013116F" w:rsidRDefault="0013116F" w:rsidP="0004348D">
      <w:pPr>
        <w:pStyle w:val="a9"/>
        <w:rPr>
          <w:rtl/>
        </w:rPr>
      </w:pPr>
      <w:r>
        <w:rPr>
          <w:rStyle w:val="ab"/>
        </w:rPr>
        <w:footnoteRef/>
      </w:r>
      <w:r>
        <w:rPr>
          <w:rtl/>
        </w:rPr>
        <w:t xml:space="preserve"> וכתב הה"מ (פט"ו ממלוה ה"ו) דכן ראה לקצת מפרשים שאמרו אפילו מת לוה תוך זמן אינו גובה מן היורשין... עיין במישרים נכ"ו ח"ג (עח ע"א), ב"י.</w:t>
      </w:r>
    </w:p>
  </w:footnote>
  <w:footnote w:id="5775">
    <w:p w14:paraId="2DC6B4BF" w14:textId="77777777" w:rsidR="0013116F" w:rsidRDefault="0013116F" w:rsidP="0004348D">
      <w:pPr>
        <w:pStyle w:val="a9"/>
        <w:rPr>
          <w:rtl/>
        </w:rPr>
      </w:pPr>
      <w:r>
        <w:rPr>
          <w:rStyle w:val="ab"/>
        </w:rPr>
        <w:footnoteRef/>
      </w:r>
      <w:r>
        <w:rPr>
          <w:rtl/>
        </w:rPr>
        <w:t xml:space="preserve"> המחבר לטעמו אזל, דפסק כן בסימן ס"ט סעיף ה' דהיורשים אינם צריכים לישבע היסת ולפטור נפשם, אלא בחרם סתם סגי, והיא דעת הרא"ש [בתשובות כלל סז סי' ב] והטור שכתב כן שם [סע' יד]. והטור [סע' לז] שכתב כאן דנשבעין היסת. העתיק לשון בעל התרומות [שם] שסבירא ליה הכי וכמו שכתב הטור בשמו שם בסימן ס"ט [סע' יג]. ועיין פרישה [כאן סע' לז], סמ"ע (סקמ"ג).</w:t>
      </w:r>
    </w:p>
  </w:footnote>
  <w:footnote w:id="5776">
    <w:p w14:paraId="3B10C001" w14:textId="77777777" w:rsidR="0013116F" w:rsidRDefault="0013116F" w:rsidP="0004348D">
      <w:pPr>
        <w:pStyle w:val="a9"/>
        <w:rPr>
          <w:rtl/>
        </w:rPr>
      </w:pPr>
      <w:r>
        <w:rPr>
          <w:rStyle w:val="ab"/>
        </w:rPr>
        <w:footnoteRef/>
      </w:r>
      <w:r>
        <w:rPr>
          <w:rtl/>
        </w:rPr>
        <w:t xml:space="preserve"> אפילו מת אביהן לאחר שהגיע זמן הפרעון ואמרו שאביהן פרע לאחר שהגיע הזמן, או שאומרים שהן ראו שאביהן פרעו, אינן נאמנין. וכן היא כונת המחבר במה שכתב וי"א שחייבים כו' </w:t>
      </w:r>
      <w:r>
        <w:rPr>
          <w:sz w:val="16"/>
          <w:szCs w:val="16"/>
          <w:rtl/>
        </w:rPr>
        <w:t>(ולא קאמר הרא"ש דנאמנים היורשים לפטור נפשם אפילו בלא שבועה וכנ"ל [סקמ"ג], אלא דוקא במוציא המלוה עליהן כתיבת יד הלוה אביהן מקוים, דעל זה כתב הרא"ש דינו, וכמו שכתב הטור בסוף סימן ס"ט [סעיף י"ד], וכל שכן במלוה על פה, אבל במוציא עליהן שט"ח אביהן בעדים מקוים ואין בו לא להלוה ולא להמלוה נאמנות, נשבע המלוה ונוטל אף מהיורשים, וכמ"ש הטור לקמן סימן ק"ח סעיף ה' וגם המחבר שם [סעיף ג'], אלא דכאן דיש להלוה נאמנות, ס"ל להבעל התרומות דמהני הנאמנות גם ליורשיו, והרא"ש דס"ל דלא מהני הנאמנות ליורשיו, ה"ל כאילו לא נכתב נאמנות לשום אחד, והדרן לדינא הנ"ל דהמלוה נשבע אשטרו בעדים וגובה אפילו מיורשי הלוה)</w:t>
      </w:r>
      <w:r>
        <w:rPr>
          <w:rtl/>
        </w:rPr>
        <w:t>, סמ"ע (סקמ"ד).</w:t>
      </w:r>
    </w:p>
  </w:footnote>
  <w:footnote w:id="5777">
    <w:p w14:paraId="0CA2BE2F" w14:textId="77777777" w:rsidR="0013116F" w:rsidRDefault="0013116F" w:rsidP="0004348D">
      <w:pPr>
        <w:pStyle w:val="a9"/>
      </w:pPr>
      <w:r>
        <w:rPr>
          <w:rStyle w:val="ab"/>
        </w:rPr>
        <w:footnoteRef/>
      </w:r>
      <w:r>
        <w:rPr>
          <w:rtl/>
        </w:rPr>
        <w:t xml:space="preserve"> שטר שיש בו נאמנות שנפל כתבתי משפטו בסימן מ"ה (ס"ח ד"ה וכתב בעל התרומות בשער נב) בשם בעל התרומות. דין לוה ומלוה האדוקין בשטר שיש בו נאמנות עיין בסימן ס"ה (סי"ח), ב"י.</w:t>
      </w:r>
    </w:p>
  </w:footnote>
  <w:footnote w:id="5778">
    <w:p w14:paraId="5A66C00E" w14:textId="77777777" w:rsidR="0013116F" w:rsidRDefault="0013116F" w:rsidP="0004348D">
      <w:pPr>
        <w:pStyle w:val="a9"/>
        <w:rPr>
          <w:rtl/>
        </w:rPr>
      </w:pPr>
      <w:r>
        <w:rPr>
          <w:rStyle w:val="ab"/>
        </w:rPr>
        <w:footnoteRef/>
      </w:r>
      <w:r>
        <w:rPr>
          <w:rtl/>
        </w:rPr>
        <w:t xml:space="preserve"> </w:t>
      </w:r>
      <w:r>
        <w:rPr>
          <w:rFonts w:hint="cs"/>
          <w:rtl/>
        </w:rPr>
        <w:t>הגר"א (סקנ"ד) כתב שצריך לומר 'לפלוני ולפלוני'. וכתב הש"ך (סקנ"ב)</w:t>
      </w:r>
      <w:r>
        <w:rPr>
          <w:rFonts w:hint="cs"/>
        </w:rPr>
        <w:t xml:space="preserve"> </w:t>
      </w:r>
      <w:r>
        <w:rPr>
          <w:rtl/>
        </w:rPr>
        <w:t>דהכי איתא בספרים מסויימים של הטור.</w:t>
      </w:r>
    </w:p>
  </w:footnote>
  <w:footnote w:id="5779">
    <w:p w14:paraId="32E2AEA8" w14:textId="77777777" w:rsidR="0013116F" w:rsidRDefault="0013116F" w:rsidP="0004348D">
      <w:pPr>
        <w:pStyle w:val="a9"/>
        <w:rPr>
          <w:rtl/>
        </w:rPr>
      </w:pPr>
      <w:r>
        <w:rPr>
          <w:rStyle w:val="ab"/>
        </w:rPr>
        <w:footnoteRef/>
      </w:r>
      <w:r>
        <w:rPr>
          <w:rtl/>
        </w:rPr>
        <w:t xml:space="preserve"> כתב בתשובת מהר"א ן' חיים (סי' כא מ ע"ג) דמשמע שאם היה ברור לנו שפרע לחבירו היה נפטר בכך, ואע"פ שכתוב בשטר שכל מי שיוציא השטר יגבה כל החוב, אין הכונה שאם פרע לחבירו שלא יועיל, אלא שלא יוכל הלוה לומר אפרע לך חלקך ולחברך חלקו, אבל כל שפרע חלקו שפיר דמי, עכ"ל. ואינו מוכרח, די"ל דהכי קאמר, שכיון שהאמין למוציא השטר הרי שיעבד נפשיה למוציא השטר, ולאו כל כמיניה לומר שפרע לחבירו, דפרעון לחבירו לא חשיב פרעון כיון שהשטר ביד זה, ש"ך (סקנ"ד).</w:t>
      </w:r>
    </w:p>
  </w:footnote>
  <w:footnote w:id="5780">
    <w:p w14:paraId="3D532724" w14:textId="77777777" w:rsidR="0013116F" w:rsidRDefault="0013116F" w:rsidP="0004348D">
      <w:pPr>
        <w:pStyle w:val="a9"/>
        <w:rPr>
          <w:rtl/>
        </w:rPr>
      </w:pPr>
      <w:r>
        <w:rPr>
          <w:rStyle w:val="ab"/>
        </w:rPr>
        <w:footnoteRef/>
      </w:r>
      <w:r>
        <w:rPr>
          <w:rtl/>
        </w:rPr>
        <w:t xml:space="preserve"> ודוקא כשהן שותפין בהחוב, דאז מה שנתן הלוה לאחד משניהן הוי קצת ברשות כיון שהחוב הוא של שניהן, משום הכי פוטרין הלוה ויורדין לנכסי המקבל ופורעין לחבירו חלקו, משא"כ כשלא היו שותפין, דאז גובין מהלוה חלקו והלוה חוזר וגובה מזה שנתן לו עודף. ונפקא מינה, אם נכסיו דהלוה בינונית ושל המקבל זיבורית, או שזה רך וזה קשה להוציא מידו, סמ"ע (סקמ"ו). אך הש"ך (סקנ"ה) כתב שדוחק לחלק בזה בין הם שותפין בחוב או לא... אלא נראה דלא באו הרא"ש והטור והמחבר לומר אלא דאם הם היו שותפין בחוב כו' אז אם אין נכסים למודה מגבין לאחר רק חלקו, אבל אם לא היו שותפין בחוב, היו מגבין לו הכל. </w:t>
      </w:r>
    </w:p>
  </w:footnote>
  <w:footnote w:id="5781">
    <w:p w14:paraId="3A116E30" w14:textId="77777777" w:rsidR="0013116F" w:rsidRDefault="0013116F" w:rsidP="0004348D">
      <w:pPr>
        <w:pStyle w:val="a9"/>
      </w:pPr>
      <w:r>
        <w:rPr>
          <w:rStyle w:val="ab"/>
        </w:rPr>
        <w:footnoteRef/>
      </w:r>
      <w:r>
        <w:rPr>
          <w:rtl/>
        </w:rPr>
        <w:t xml:space="preserve"> </w:t>
      </w:r>
      <w:r>
        <w:rPr>
          <w:rFonts w:hint="cs"/>
          <w:rtl/>
        </w:rPr>
        <w:t>סימן – פוסק פיקדון פור</w:t>
      </w:r>
      <w:r>
        <w:rPr>
          <w:sz w:val="16"/>
          <w:szCs w:val="16"/>
          <w:rtl/>
        </w:rPr>
        <w:t xml:space="preserve"> (</w:t>
      </w:r>
      <w:r>
        <w:rPr>
          <w:sz w:val="16"/>
          <w:szCs w:val="16"/>
        </w:rPr>
        <w:t>poor</w:t>
      </w:r>
      <w:r>
        <w:rPr>
          <w:sz w:val="16"/>
          <w:szCs w:val="16"/>
          <w:rtl/>
        </w:rPr>
        <w:t xml:space="preserve"> </w:t>
      </w:r>
      <w:r>
        <w:rPr>
          <w:rFonts w:hint="cs"/>
          <w:sz w:val="16"/>
          <w:szCs w:val="16"/>
          <w:rtl/>
        </w:rPr>
        <w:t>– עני)</w:t>
      </w:r>
      <w:r>
        <w:rPr>
          <w:rtl/>
        </w:rPr>
        <w:t>. וסימן לדף פב ע"ב – בלי פחת.</w:t>
      </w:r>
    </w:p>
  </w:footnote>
  <w:footnote w:id="5782">
    <w:p w14:paraId="49BD06AC" w14:textId="77777777" w:rsidR="0013116F" w:rsidRDefault="0013116F" w:rsidP="0004348D">
      <w:pPr>
        <w:pStyle w:val="a9"/>
        <w:rPr>
          <w:rtl/>
        </w:rPr>
      </w:pPr>
      <w:r>
        <w:rPr>
          <w:rStyle w:val="ab"/>
        </w:rPr>
        <w:footnoteRef/>
      </w:r>
      <w:r>
        <w:rPr>
          <w:rtl/>
        </w:rPr>
        <w:t xml:space="preserve"> מ"ש רבינו ויראה דאפילו במרא וכו' - הוא סברת עצמו, והביא ראיה ממאי דאמרינן בפ"ק דבבא בתרא (ח:) דגבאי צדקה כשפורטין הפרוטות שגובין לעשות מהן סלעים אין פורטין לעצמן מפני החשד הכא נמי דכוותה. אבל קשה דבסוף האומנים (ב"מ פב.) אמרינן דכולי עלמא אית להו דרב יוסף, והכא במלוה צריך למשכון קמיפלגי, ופירש רש"י במלוה צריך למשכון להשתמש בו ולפסוק עליו להיות פוחת מן החוב והולך קמיפלגי. ואפשר דשאני התם שהתנה כך מעיקרא עם הבעלים ואדעתא דהכי אוזיף ולא דמי לדאבא שאול דההיא בשעושה כן שלא מדעת הבעלים היא, ב"י.</w:t>
      </w:r>
      <w:r>
        <w:rPr>
          <w:color w:val="00B0F0"/>
          <w:rtl/>
        </w:rPr>
        <w:t xml:space="preserve"> (וכ"פ הרמ"א)</w:t>
      </w:r>
    </w:p>
  </w:footnote>
  <w:footnote w:id="5783">
    <w:p w14:paraId="73B5C927" w14:textId="77777777" w:rsidR="0013116F" w:rsidRDefault="0013116F" w:rsidP="0004348D">
      <w:pPr>
        <w:pStyle w:val="a9"/>
      </w:pPr>
      <w:r>
        <w:rPr>
          <w:rStyle w:val="ab"/>
        </w:rPr>
        <w:footnoteRef/>
      </w:r>
      <w:r>
        <w:rPr>
          <w:rtl/>
        </w:rPr>
        <w:t xml:space="preserve"> ודברים הללו כתב נמוק"י בפרק האומנים (נא. סוף דבור ראשון). ועיין בתשובת הרא"ש שכתב רבינו בסוף סימן זה (סל"ד), ב"י.</w:t>
      </w:r>
    </w:p>
  </w:footnote>
  <w:footnote w:id="5784">
    <w:p w14:paraId="1FF2C0C0" w14:textId="77777777" w:rsidR="0013116F" w:rsidRDefault="0013116F" w:rsidP="0004348D">
      <w:pPr>
        <w:pStyle w:val="a9"/>
      </w:pPr>
      <w:r>
        <w:rPr>
          <w:rStyle w:val="ab"/>
        </w:rPr>
        <w:footnoteRef/>
      </w:r>
      <w:r>
        <w:rPr>
          <w:rtl/>
        </w:rPr>
        <w:t xml:space="preserve"> ועיין ביורה דעה בסימן קע"ב (עמ' קל) דבנכייתא שרי ועיי"ש, דרכ"מ (אות א).</w:t>
      </w:r>
    </w:p>
  </w:footnote>
  <w:footnote w:id="5785">
    <w:p w14:paraId="3ED948A9" w14:textId="77777777" w:rsidR="0013116F" w:rsidRDefault="0013116F" w:rsidP="0004348D">
      <w:pPr>
        <w:pStyle w:val="a9"/>
        <w:rPr>
          <w:rtl/>
        </w:rPr>
      </w:pPr>
      <w:r>
        <w:rPr>
          <w:rStyle w:val="ab"/>
        </w:rPr>
        <w:footnoteRef/>
      </w:r>
      <w:r>
        <w:rPr>
          <w:rtl/>
        </w:rPr>
        <w:t xml:space="preserve"> דקדק וכתב "כמו" ריבית, דריבית ממש ליתא אלא בדבר שגוף ההלואה נתרבה בו..., סמ"ע (סק"א).</w:t>
      </w:r>
    </w:p>
  </w:footnote>
  <w:footnote w:id="5786">
    <w:p w14:paraId="30C55D1A" w14:textId="77777777" w:rsidR="0013116F" w:rsidRDefault="0013116F" w:rsidP="0004348D">
      <w:pPr>
        <w:pStyle w:val="a9"/>
      </w:pPr>
      <w:r>
        <w:rPr>
          <w:rStyle w:val="ab"/>
        </w:rPr>
        <w:footnoteRef/>
      </w:r>
      <w:r>
        <w:rPr>
          <w:rtl/>
        </w:rPr>
        <w:t xml:space="preserve"> דמסתמא ניחא ליה והוה כמשיב לו אבידה. והטור [סעיף ב'] מסיק בזה וכתב ז"ל, אבל בדברים אחרים שפחתן מרובה לא. פירוש, שלא ישכיר שלא מדעת הבעלים, סמ"ע (סק"ב).</w:t>
      </w:r>
    </w:p>
  </w:footnote>
  <w:footnote w:id="5787">
    <w:p w14:paraId="1E9182E4" w14:textId="77777777" w:rsidR="0013116F" w:rsidRDefault="0013116F" w:rsidP="0004348D">
      <w:pPr>
        <w:pStyle w:val="a9"/>
      </w:pPr>
      <w:r>
        <w:rPr>
          <w:rStyle w:val="ab"/>
        </w:rPr>
        <w:footnoteRef/>
      </w:r>
      <w:r>
        <w:rPr>
          <w:rtl/>
        </w:rPr>
        <w:t xml:space="preserve"> פירוש, דיחשדו אותו דמשתמש בו בשביל הלואתו בלא נכייתא, ובטור [שם] מייתי ראיה לזה, ע"ש, סמ"ע (סק"ג).</w:t>
      </w:r>
    </w:p>
  </w:footnote>
  <w:footnote w:id="5788">
    <w:p w14:paraId="4F573381" w14:textId="77777777" w:rsidR="0013116F" w:rsidRDefault="0013116F" w:rsidP="0004348D">
      <w:pPr>
        <w:pStyle w:val="a9"/>
      </w:pPr>
      <w:r>
        <w:rPr>
          <w:rStyle w:val="ab"/>
        </w:rPr>
        <w:footnoteRef/>
      </w:r>
      <w:r>
        <w:rPr>
          <w:rtl/>
        </w:rPr>
        <w:t xml:space="preserve"> והיינו דוקא בנכייתא... אבל בלא נכייתא אסור, כמו כל ריבית או אבק ריבית אע"ג דרוצה ליתנו לו במתנה מתחילה או בסוף דאסור, כמ"ש הטור ביו"ד סימן ק"ס, סמ"ע (סק"ד). וכ"כ הש"ך (סק"ה). אב"ל כתב הש"ך (סק"ד) שעל דינו של הרב בהתנה עמו צ"ע, די"ל דגם בזה איכא משום חשדא לדעת הטור, דאיכא מאן דידע שהוא ממושכן אצלו ולא ידע שהתנה עמו, וצ"ע.</w:t>
      </w:r>
    </w:p>
  </w:footnote>
  <w:footnote w:id="5789">
    <w:p w14:paraId="5F5FAB10" w14:textId="77777777" w:rsidR="0013116F" w:rsidRDefault="0013116F" w:rsidP="0004348D">
      <w:pPr>
        <w:pStyle w:val="a9"/>
      </w:pPr>
      <w:r>
        <w:rPr>
          <w:rStyle w:val="ab"/>
        </w:rPr>
        <w:footnoteRef/>
      </w:r>
      <w:r>
        <w:rPr>
          <w:rtl/>
        </w:rPr>
        <w:t xml:space="preserve"> ונ"מ דמשם ואילך אף אם נאנסו מידו חייב הוא באחריותן. וגם אם אומר הממשכן שכך וכך נתקלקלו מחמת לימודו, וזה שלמד מתוכו אומר שלא נתקלקלו, אינו נאמן בשבועה לפטור נפשו, אלא הממשכן נשבע על פחיתתו ונוטל. ודוקא כשיש עדים שלמד מתוכו, דאל"כ נאמן בשבועה במיגו דלא למדתי מתוכו, ואין אדם נעשה גזלן ופסול ע"פ עצמו..., סמ"ע (סק"ה).</w:t>
      </w:r>
    </w:p>
  </w:footnote>
  <w:footnote w:id="5790">
    <w:p w14:paraId="74325E6D" w14:textId="77777777" w:rsidR="0013116F" w:rsidRDefault="0013116F" w:rsidP="0004348D">
      <w:pPr>
        <w:pStyle w:val="a9"/>
      </w:pPr>
      <w:r>
        <w:rPr>
          <w:rStyle w:val="ab"/>
        </w:rPr>
        <w:footnoteRef/>
      </w:r>
      <w:r>
        <w:rPr>
          <w:rtl/>
        </w:rPr>
        <w:t xml:space="preserve"> שהרי קיים בהלוואתו מצות "פתוח תפתח את ידך", וכיון שנהנה מכך, שומר שכר הוא </w:t>
      </w:r>
      <w:r>
        <w:rPr>
          <w:sz w:val="16"/>
          <w:szCs w:val="16"/>
          <w:rtl/>
        </w:rPr>
        <w:t>(חברותא)</w:t>
      </w:r>
      <w:r>
        <w:rPr>
          <w:rtl/>
        </w:rPr>
        <w:t>.</w:t>
      </w:r>
    </w:p>
  </w:footnote>
  <w:footnote w:id="5791">
    <w:p w14:paraId="4B5D5EBA" w14:textId="77777777" w:rsidR="0013116F" w:rsidRDefault="0013116F" w:rsidP="0004348D">
      <w:pPr>
        <w:pStyle w:val="a9"/>
      </w:pPr>
      <w:r>
        <w:rPr>
          <w:rStyle w:val="ab"/>
        </w:rPr>
        <w:footnoteRef/>
      </w:r>
      <w:r>
        <w:rPr>
          <w:rtl/>
        </w:rPr>
        <w:t xml:space="preserve"> שאין שכר המצוה נחשב הנאה להתחייב משום כך כשומר שכר</w:t>
      </w:r>
      <w:r>
        <w:rPr>
          <w:sz w:val="16"/>
          <w:szCs w:val="16"/>
          <w:rtl/>
        </w:rPr>
        <w:t xml:space="preserve"> (חברותא)</w:t>
      </w:r>
      <w:r>
        <w:rPr>
          <w:rtl/>
        </w:rPr>
        <w:t>.</w:t>
      </w:r>
    </w:p>
  </w:footnote>
  <w:footnote w:id="5792">
    <w:p w14:paraId="5807EB66" w14:textId="77777777" w:rsidR="0013116F" w:rsidRDefault="0013116F" w:rsidP="0004348D">
      <w:pPr>
        <w:pStyle w:val="a9"/>
      </w:pPr>
      <w:r>
        <w:rPr>
          <w:rStyle w:val="ab"/>
        </w:rPr>
        <w:footnoteRef/>
      </w:r>
      <w:r>
        <w:rPr>
          <w:rtl/>
        </w:rPr>
        <w:t xml:space="preserve"> כיון שאם לא היה מלוה את פירותיו, הם היו נרקבים אצלו, כיון שעתה אין לו צורך בהם, והיה מפסידם. ולכן, נהנה הוא בכך שהלוום לחבירו, והלה יאכלם, ויחזיר לו לאחר זמן פירות אחרים עבורם, בשעה שיהיה צריך להם, ולכן מתחייב הוא על המשכון כדין שומר שכר</w:t>
      </w:r>
      <w:r>
        <w:rPr>
          <w:sz w:val="16"/>
          <w:szCs w:val="16"/>
          <w:rtl/>
        </w:rPr>
        <w:t xml:space="preserve"> (חברותא)</w:t>
      </w:r>
      <w:r>
        <w:rPr>
          <w:rtl/>
        </w:rPr>
        <w:t>.</w:t>
      </w:r>
    </w:p>
  </w:footnote>
  <w:footnote w:id="5793">
    <w:p w14:paraId="42DE7C20" w14:textId="77777777" w:rsidR="0013116F" w:rsidRDefault="0013116F" w:rsidP="0004348D">
      <w:pPr>
        <w:pStyle w:val="a9"/>
      </w:pPr>
      <w:r>
        <w:rPr>
          <w:rStyle w:val="ab"/>
        </w:rPr>
        <w:footnoteRef/>
      </w:r>
      <w:r>
        <w:rPr>
          <w:rtl/>
        </w:rPr>
        <w:t xml:space="preserve"> </w:t>
      </w:r>
      <w:r>
        <w:rPr>
          <w:rFonts w:hint="cs"/>
          <w:rtl/>
        </w:rPr>
        <w:t>סימן – מלוה בגבייה. וכן – מלוה גובה משכון לגביה. וכן – משכון גנוב. וסימן לדף מד – דמי משכון.</w:t>
      </w:r>
    </w:p>
  </w:footnote>
  <w:footnote w:id="5794">
    <w:p w14:paraId="6C4CA9D2" w14:textId="77777777" w:rsidR="0013116F" w:rsidRDefault="0013116F" w:rsidP="0004348D">
      <w:pPr>
        <w:pStyle w:val="a9"/>
      </w:pPr>
      <w:r>
        <w:rPr>
          <w:rStyle w:val="ab"/>
        </w:rPr>
        <w:footnoteRef/>
      </w:r>
      <w:r>
        <w:rPr>
          <w:rtl/>
        </w:rPr>
        <w:t xml:space="preserve"> דסבר וקביל, אבל כל זמן שהן קיימין - על כרחו גובה חובו, אם מלוה סתם הוא - סתם מלוה שלשים יום, ואם פירש לו זמן - כשיגיע זמנו יפרע..., רש"י.</w:t>
      </w:r>
    </w:p>
  </w:footnote>
  <w:footnote w:id="5795">
    <w:p w14:paraId="541BC118" w14:textId="77777777" w:rsidR="0013116F" w:rsidRDefault="0013116F" w:rsidP="0004348D">
      <w:pPr>
        <w:pStyle w:val="a9"/>
        <w:rPr>
          <w:rtl/>
        </w:rPr>
      </w:pPr>
      <w:r>
        <w:rPr>
          <w:rStyle w:val="ab"/>
        </w:rPr>
        <w:footnoteRef/>
      </w:r>
      <w:r>
        <w:rPr>
          <w:rtl/>
        </w:rPr>
        <w:t xml:space="preserve"> לא אמרינן חדא קביל בחמש מאה וחדא בחמש מאה, ואי אבד חדא מינייהו לא ליפסיד חמש מאה, דהא לא פריש חדא בפלגא וחדא בפלגא אלא תרוייהו קבלינהו בחדא במשכונו ולא בפרעון, וכיון דמהדר ליה מקצת משכונות במאי דחסר מיניה פטר נפשיה בתשלומי שוויו, רש"י.</w:t>
      </w:r>
    </w:p>
  </w:footnote>
  <w:footnote w:id="5796">
    <w:p w14:paraId="47CB8D76" w14:textId="77777777" w:rsidR="0013116F" w:rsidRDefault="0013116F" w:rsidP="0004348D">
      <w:pPr>
        <w:pStyle w:val="a9"/>
        <w:rPr>
          <w:rtl/>
        </w:rPr>
      </w:pPr>
      <w:r>
        <w:rPr>
          <w:rStyle w:val="ab"/>
        </w:rPr>
        <w:footnoteRef/>
      </w:r>
      <w:r>
        <w:rPr>
          <w:rtl/>
        </w:rPr>
        <w:t xml:space="preserve"> לא אמרינן נסכא קביל בפלגא, דכיון דמידי דחזי לפרעון הוא לא קבליה עליה אלא בדמי שוויו, רש"י. אך התוס' </w:t>
      </w:r>
      <w:r>
        <w:rPr>
          <w:sz w:val="16"/>
          <w:szCs w:val="16"/>
          <w:rtl/>
        </w:rPr>
        <w:t xml:space="preserve">(בד"ה אבל קתא ונסכא לא) </w:t>
      </w:r>
      <w:r>
        <w:rPr>
          <w:rtl/>
        </w:rPr>
        <w:t xml:space="preserve">הקשו על פירוש רש"י </w:t>
      </w:r>
      <w:r>
        <w:rPr>
          <w:sz w:val="16"/>
          <w:szCs w:val="16"/>
          <w:rtl/>
        </w:rPr>
        <w:t>(ממתני' וכתבו דבדוחק יש לחלק דמודה רב נחמן בחד נסכא או בתרי נסכי אבל נסכא בהדי קתא מוכחא מלתא דקתא למשכון ונסכא לפרעון)</w:t>
      </w:r>
      <w:r>
        <w:rPr>
          <w:rtl/>
        </w:rPr>
        <w:t xml:space="preserve"> וכתבו דנראה לפרש 'אבל קתא ונסכא לא' אלא כל חד לפי מאי דשוה, דאם הנסכא שוה עשר קתי אבד נסכא אבד עשרה חלקים אבד קתא אבד חלק אחד עשר. ועוד נראה לפרש 'קתא ונסכא לא' ואי אבד קתא לא אבד פלגא אלא מאי דשוה דעיקר סמיכת המלוה על הנסכא, 'אבד נסכא אבד כולה', ואי אבד נסכא ברישא - אבד פלגא, אבד קתא אבד כולה. נהרדעי אמרי אפילו אבד קתא ברישא אבד פלגא, וגרסינן ברישא דמלתייהו 'אבד קתא אבד פלגא'.</w:t>
      </w:r>
    </w:p>
  </w:footnote>
  <w:footnote w:id="5797">
    <w:p w14:paraId="66FEB63D" w14:textId="77777777" w:rsidR="0013116F" w:rsidRDefault="0013116F" w:rsidP="0004348D">
      <w:pPr>
        <w:pStyle w:val="a9"/>
      </w:pPr>
      <w:r>
        <w:rPr>
          <w:rStyle w:val="ab"/>
        </w:rPr>
        <w:footnoteRef/>
      </w:r>
      <w:r>
        <w:rPr>
          <w:rtl/>
        </w:rPr>
        <w:t xml:space="preserve"> ולא אמרינן אבד כל מעותיו, רש"י.</w:t>
      </w:r>
    </w:p>
  </w:footnote>
  <w:footnote w:id="5798">
    <w:p w14:paraId="54A24236" w14:textId="77777777" w:rsidR="0013116F" w:rsidRDefault="0013116F" w:rsidP="0004348D">
      <w:pPr>
        <w:pStyle w:val="a9"/>
        <w:rPr>
          <w:rtl/>
        </w:rPr>
      </w:pPr>
      <w:r>
        <w:rPr>
          <w:rStyle w:val="ab"/>
        </w:rPr>
        <w:footnoteRef/>
      </w:r>
      <w:r>
        <w:rPr>
          <w:rtl/>
        </w:rPr>
        <w:t xml:space="preserve"> איני מקבלו עלי אלא באחריות דמיו בשוויו, רש"י. וכתבו התוס' (ד"ה מתני') דר"ח ור"ת גרסי איפכא ומוקי שמואל בדפריש, דאין סברא להפסיד למלוה כל חובו לגמרי היכא דלא פריש, ואשמעינן שמואל דלא הוי אסמכתא. ורבינו חננאל פירש הא דאוקימנא לדשמואל בדפריש לא שפירש בהדיא שיפסיד כל החוב אלא באומר 'אע"פ שאין שוה כל החוב קבילתיה', ואשמעינן דבכה"ג הוי קבלה כנגד כל החוב.</w:t>
      </w:r>
    </w:p>
  </w:footnote>
  <w:footnote w:id="5799">
    <w:p w14:paraId="6FD2FBB7" w14:textId="77777777" w:rsidR="0013116F" w:rsidRDefault="0013116F" w:rsidP="0004348D">
      <w:pPr>
        <w:pStyle w:val="a9"/>
      </w:pPr>
      <w:r>
        <w:rPr>
          <w:rStyle w:val="ab"/>
        </w:rPr>
        <w:footnoteRef/>
      </w:r>
      <w:r>
        <w:rPr>
          <w:rtl/>
        </w:rPr>
        <w:t xml:space="preserve"> דהא משכון ודאי לגוביינא שקל, לגבות הימנה, דסתם שטר יש בו שעבוד קרקעות, ויש לו מהיכן לגבות ובטוח הוא, וגם לכפור אינו יכול - דהא קאי שטרא, הלכך, לאו לזכרון דברים נקטיה, רש"י.</w:t>
      </w:r>
    </w:p>
  </w:footnote>
  <w:footnote w:id="5800">
    <w:p w14:paraId="0C0F7D1E" w14:textId="77777777" w:rsidR="0013116F" w:rsidRDefault="0013116F" w:rsidP="0004348D">
      <w:pPr>
        <w:pStyle w:val="a9"/>
      </w:pPr>
      <w:r>
        <w:rPr>
          <w:rStyle w:val="ab"/>
        </w:rPr>
        <w:footnoteRef/>
      </w:r>
      <w:r>
        <w:rPr>
          <w:rtl/>
        </w:rPr>
        <w:t xml:space="preserve"> וכתבו התוס' (מג: ד"ה מתני') שר"ח והלכות גדולות </w:t>
      </w:r>
      <w:r>
        <w:rPr>
          <w:sz w:val="16"/>
          <w:szCs w:val="16"/>
          <w:rtl/>
        </w:rPr>
        <w:t>(סי' נב הל' שבועה קיז ע"ג)</w:t>
      </w:r>
      <w:r>
        <w:rPr>
          <w:rtl/>
        </w:rPr>
        <w:t xml:space="preserve"> פסקו דלא כשמואל מדאמרינן כולי עלמא לית להו דשמואל. והתוספות דחו ראיה זו.</w:t>
      </w:r>
    </w:p>
  </w:footnote>
  <w:footnote w:id="5801">
    <w:p w14:paraId="493F8F16" w14:textId="77777777" w:rsidR="0013116F" w:rsidRDefault="0013116F" w:rsidP="0004348D">
      <w:pPr>
        <w:pStyle w:val="a9"/>
      </w:pPr>
      <w:r>
        <w:rPr>
          <w:rStyle w:val="ab"/>
        </w:rPr>
        <w:footnoteRef/>
      </w:r>
      <w:r>
        <w:rPr>
          <w:rtl/>
        </w:rPr>
        <w:t xml:space="preserve"> ופירש רש"י </w:t>
      </w:r>
      <w:r>
        <w:rPr>
          <w:sz w:val="16"/>
          <w:szCs w:val="16"/>
          <w:rtl/>
        </w:rPr>
        <w:t xml:space="preserve">(פרק כל שעה פסחים לא: ד"ה קונה) </w:t>
      </w:r>
      <w:r>
        <w:rPr>
          <w:rtl/>
        </w:rPr>
        <w:t xml:space="preserve">דקונה אף לאונסין. והתוס' נחלקו עליו </w:t>
      </w:r>
      <w:r>
        <w:rPr>
          <w:sz w:val="16"/>
          <w:szCs w:val="16"/>
          <w:rtl/>
        </w:rPr>
        <w:t xml:space="preserve">(שם ד"ה מכאן לבע"ח, ובפ"ק דקדושין ח: ד"ה מנין) </w:t>
      </w:r>
      <w:r>
        <w:rPr>
          <w:rtl/>
        </w:rPr>
        <w:t>ופירשו שאינו קונה אלא לשומר שכר.</w:t>
      </w:r>
    </w:p>
  </w:footnote>
  <w:footnote w:id="5802">
    <w:p w14:paraId="266118C2" w14:textId="77777777" w:rsidR="0013116F" w:rsidRDefault="0013116F" w:rsidP="0004348D">
      <w:pPr>
        <w:pStyle w:val="a9"/>
      </w:pPr>
      <w:r>
        <w:rPr>
          <w:rStyle w:val="ab"/>
        </w:rPr>
        <w:footnoteRef/>
      </w:r>
      <w:r>
        <w:rPr>
          <w:rtl/>
        </w:rPr>
        <w:t xml:space="preserve"> שכר מצוה ומלוה על המשכון נמי מצוה עבד, רש"י. וכתבו התוס' (מד. ד"ה שומר) שר"ח פסק כרב יוסף, ושכן נראה מפירוש רש"י </w:t>
      </w:r>
      <w:r>
        <w:rPr>
          <w:sz w:val="16"/>
          <w:szCs w:val="16"/>
          <w:rtl/>
        </w:rPr>
        <w:t>(שכתב 'לימא דרב יוסף תנאי היא' - ומילתיה דרבה ודאי תנאי היא דרבי עקיבא לית ליה דרבה, עכ"ל. וקיימא לן כרבי עקיבא)</w:t>
      </w:r>
      <w:r>
        <w:rPr>
          <w:rtl/>
        </w:rPr>
        <w:t>, אבל אין לפרש כן אלא אדרבה דרבה ודאי לאו תנאי היא אלא כולי עלמא אית להו דרבה, ובדשמואל קמיפלגי, ורבי עקיבא מודה דשומר חנם הוי על המשכון מה שהוא שוה יותר על החוב אבל כנגד החוב מפסיד מטעמא דשמואל אפילו לגירסת ר"ח אע"ג דלא פריש כמפורש דמי כדפרישית לעיל עכ"ל והם העלו דהלכה כרבה.</w:t>
      </w:r>
    </w:p>
  </w:footnote>
  <w:footnote w:id="5803">
    <w:p w14:paraId="75FF952D" w14:textId="77777777" w:rsidR="0013116F" w:rsidRDefault="0013116F" w:rsidP="0004348D">
      <w:pPr>
        <w:pStyle w:val="a9"/>
      </w:pPr>
      <w:r>
        <w:rPr>
          <w:rStyle w:val="ab"/>
        </w:rPr>
        <w:footnoteRef/>
      </w:r>
      <w:r>
        <w:rPr>
          <w:rtl/>
        </w:rPr>
        <w:t xml:space="preserve"> לדידי כיון דאשכחן בתשובה דסבירא ליה כרב יוסף ילמדו המקומות הסתומים בפסקיו מדבריו בתשובה ונימא דסבירא ליה כפסק ר"ח והלכות גדולות. ומה שכתב ר"פ אלו מציאות 'והוי שומר שכר לפי מאי דפרישית דהלכה כרבה' אינו מכריע כ"כ לומר דסבירא ליה דהלכה כרבה וכמו שאכתוב בסי' רס"ז </w:t>
      </w:r>
      <w:r>
        <w:rPr>
          <w:sz w:val="16"/>
          <w:szCs w:val="16"/>
          <w:rtl/>
        </w:rPr>
        <w:t>(סכ"ז)</w:t>
      </w:r>
      <w:r>
        <w:rPr>
          <w:rtl/>
        </w:rPr>
        <w:t>, ומ"מ בין שיהיה דעתו כן או לא אנן כרב יוסף נקטינן כדעת גדולי הפוסקים, ב"י.</w:t>
      </w:r>
    </w:p>
  </w:footnote>
  <w:footnote w:id="5804">
    <w:p w14:paraId="690AE338" w14:textId="77777777" w:rsidR="0013116F" w:rsidRDefault="0013116F" w:rsidP="0004348D">
      <w:pPr>
        <w:pStyle w:val="a9"/>
        <w:rPr>
          <w:rtl/>
        </w:rPr>
      </w:pPr>
      <w:r>
        <w:rPr>
          <w:rStyle w:val="ab"/>
        </w:rPr>
        <w:footnoteRef/>
      </w:r>
      <w:r>
        <w:rPr>
          <w:rtl/>
        </w:rPr>
        <w:t xml:space="preserve"> כל הגאונים </w:t>
      </w:r>
      <w:r>
        <w:rPr>
          <w:sz w:val="16"/>
          <w:szCs w:val="16"/>
          <w:rtl/>
        </w:rPr>
        <w:t xml:space="preserve">(כ"כ הטור בשמם) </w:t>
      </w:r>
      <w:r>
        <w:rPr>
          <w:rtl/>
        </w:rPr>
        <w:t xml:space="preserve">בה"ג </w:t>
      </w:r>
      <w:r>
        <w:rPr>
          <w:sz w:val="16"/>
          <w:szCs w:val="16"/>
          <w:rtl/>
        </w:rPr>
        <w:t xml:space="preserve">(סי' נב הל' שבועה קיז ע"ג, וכ"כ הרא"ש והב"י בשמו) </w:t>
      </w:r>
      <w:r>
        <w:rPr>
          <w:rtl/>
        </w:rPr>
        <w:t xml:space="preserve">ר"ח </w:t>
      </w:r>
      <w:r>
        <w:rPr>
          <w:sz w:val="16"/>
          <w:szCs w:val="16"/>
          <w:rtl/>
        </w:rPr>
        <w:t xml:space="preserve">(כ"כ בשמו התוס' [מד. ד"ה שומר] הרא"ש והב"י) </w:t>
      </w:r>
      <w:r>
        <w:rPr>
          <w:rtl/>
        </w:rPr>
        <w:t xml:space="preserve">רי"ף </w:t>
      </w:r>
      <w:r>
        <w:rPr>
          <w:sz w:val="16"/>
          <w:szCs w:val="16"/>
          <w:rtl/>
        </w:rPr>
        <w:t xml:space="preserve">(פרק האומנים ב"מ נא.) </w:t>
      </w:r>
      <w:r>
        <w:rPr>
          <w:rtl/>
        </w:rPr>
        <w:t xml:space="preserve">רש"י </w:t>
      </w:r>
      <w:r>
        <w:rPr>
          <w:sz w:val="16"/>
          <w:szCs w:val="16"/>
          <w:rtl/>
        </w:rPr>
        <w:t xml:space="preserve">(כ"כ בשמו התוס' [שם] והב"י) </w:t>
      </w:r>
      <w:r>
        <w:rPr>
          <w:rtl/>
        </w:rPr>
        <w:t>רמב"ם</w:t>
      </w:r>
      <w:r>
        <w:rPr>
          <w:sz w:val="16"/>
          <w:szCs w:val="16"/>
          <w:rtl/>
        </w:rPr>
        <w:t xml:space="preserve"> (ריש פ"י מהל' שכירות)</w:t>
      </w:r>
      <w:r>
        <w:rPr>
          <w:rtl/>
        </w:rPr>
        <w:t xml:space="preserve"> רמב"ן </w:t>
      </w:r>
      <w:r>
        <w:rPr>
          <w:sz w:val="16"/>
          <w:szCs w:val="16"/>
          <w:rtl/>
        </w:rPr>
        <w:t xml:space="preserve">(ב"מ פב. ד"ה והכא, כ"כ הה"מ בשמו [שם]) </w:t>
      </w:r>
      <w:r>
        <w:rPr>
          <w:rtl/>
        </w:rPr>
        <w:t xml:space="preserve">רשב"א </w:t>
      </w:r>
      <w:r>
        <w:rPr>
          <w:sz w:val="16"/>
          <w:szCs w:val="16"/>
          <w:rtl/>
        </w:rPr>
        <w:t xml:space="preserve">(כ"כ הה"מ בשמו [שם]) </w:t>
      </w:r>
      <w:r>
        <w:rPr>
          <w:rtl/>
        </w:rPr>
        <w:t>(רא"ש</w:t>
      </w:r>
      <w:r>
        <w:rPr>
          <w:sz w:val="16"/>
          <w:szCs w:val="16"/>
          <w:rtl/>
        </w:rPr>
        <w:t xml:space="preserve"> להב' הב"י</w:t>
      </w:r>
      <w:r>
        <w:rPr>
          <w:rtl/>
        </w:rPr>
        <w:t xml:space="preserve">) והה"מ </w:t>
      </w:r>
      <w:r>
        <w:rPr>
          <w:sz w:val="16"/>
          <w:szCs w:val="16"/>
          <w:rtl/>
        </w:rPr>
        <w:t>(שם)</w:t>
      </w:r>
      <w:r>
        <w:rPr>
          <w:rtl/>
        </w:rPr>
        <w:t>.</w:t>
      </w:r>
    </w:p>
  </w:footnote>
  <w:footnote w:id="5805">
    <w:p w14:paraId="61BBCF8E" w14:textId="77777777" w:rsidR="0013116F" w:rsidRDefault="0013116F" w:rsidP="0004348D">
      <w:pPr>
        <w:pStyle w:val="a9"/>
        <w:rPr>
          <w:rtl/>
        </w:rPr>
      </w:pPr>
      <w:r>
        <w:rPr>
          <w:rStyle w:val="ab"/>
        </w:rPr>
        <w:footnoteRef/>
      </w:r>
      <w:r>
        <w:rPr>
          <w:rtl/>
        </w:rPr>
        <w:t xml:space="preserve"> ואע"ג שבפסקיו לא הכריע לא בפרק הדיינין (שבועות פ"ו סי' כט) ולא בפרק אלו מציאות (ב"מ פ"ב סי' יז) ובפרק האומנים (פ"ו סי' יח) כתב דקיימא לן כרב יוסף וכתב גם כן דליתא לדשמואל ובתשובה שכתב רבינו בסוף סימן זה (סל"ד) כתב דקיימא לן כרב יוסף מכל מקום סובר רבינו דמאחר שבאלו מציאות (שם) כתב תחלה שרבינו חננאל והלכות גדולות פסקו כרב יוסף ואין נראה לר"י וכו' משמע דכר"י סבירא ליה. ועוד שכתב (שם) אמר רב יהודה אמר שמואל הלכה כרבי טרפון והוי שומר שכר לפי מאי דפרישית דהלכה כרבה. ועוד דבהדיינים (שם) כתב אחר דברי רבינו חננאל והלכות גדולות ואין נראה לר"י והאריך הרבה בראיות ר"י ובפסקי הדינים לדעתו משמע דהכי סבירא ליה. ומה שכתב בהאומנים דקיימא לן כרב יוסף וגם דליתא לדשמואל סבור רבינו דלדעת הרי"ף כתב כן ומה שכתב אחר כך ולדברי ר"י וכו' הוא כאלו אמר ואין נראה לר"י וכיון דגם בהאומנים כתב דברי ר"י לבסוף היינו משום דסבירא ליה הכי ומה שלא אמר ואין נראה לר"י וכו' היינו לפי שלא כתב כאן שום ראיה לפסק הרי"ף. זהו לדעת רבינו, אך רבינו ירוחם (נ"ל ח"ה) לא הזכיר כלל דעת הרא"ש בזה משמע דהוה מספקא ליה, ב"י.</w:t>
      </w:r>
    </w:p>
  </w:footnote>
  <w:footnote w:id="5806">
    <w:p w14:paraId="7D167038" w14:textId="77777777" w:rsidR="0013116F" w:rsidRDefault="0013116F" w:rsidP="0004348D">
      <w:pPr>
        <w:pStyle w:val="a9"/>
        <w:rPr>
          <w:rtl/>
        </w:rPr>
      </w:pPr>
      <w:r>
        <w:rPr>
          <w:rStyle w:val="ab"/>
        </w:rPr>
        <w:footnoteRef/>
      </w:r>
      <w:r>
        <w:rPr>
          <w:rtl/>
        </w:rPr>
        <w:t xml:space="preserve"> ועיין בתשובות מיימוניות דספר משפטים סימן כ"ג ובמרדכי פרק שבועת הדיינים (סי' תשעד), ב"י.</w:t>
      </w:r>
    </w:p>
  </w:footnote>
  <w:footnote w:id="5807">
    <w:p w14:paraId="60DC1B4A" w14:textId="77777777" w:rsidR="0013116F" w:rsidRDefault="0013116F" w:rsidP="0004348D">
      <w:pPr>
        <w:pStyle w:val="a9"/>
        <w:rPr>
          <w:rtl/>
        </w:rPr>
      </w:pPr>
      <w:r>
        <w:rPr>
          <w:rStyle w:val="ab"/>
        </w:rPr>
        <w:footnoteRef/>
      </w:r>
      <w:r>
        <w:rPr>
          <w:rtl/>
        </w:rPr>
        <w:t xml:space="preserve"> וכנגד דמי החוב הוי כאילו פירש שמקבלו בתורת פרעון, טור בשם ר"י.</w:t>
      </w:r>
    </w:p>
  </w:footnote>
  <w:footnote w:id="5808">
    <w:p w14:paraId="770FC4F7" w14:textId="77777777" w:rsidR="0013116F" w:rsidRDefault="0013116F" w:rsidP="0004348D">
      <w:pPr>
        <w:pStyle w:val="a9"/>
      </w:pPr>
      <w:r>
        <w:rPr>
          <w:rStyle w:val="ab"/>
        </w:rPr>
        <w:footnoteRef/>
      </w:r>
      <w:r>
        <w:rPr>
          <w:rtl/>
        </w:rPr>
        <w:t xml:space="preserve"> פסק רבינו כנהרדעי לדעת התוספות משום דהוי שמואל יחיד לגבייהו, גם פסק כגירסת רבינו חננאל 'מתניתין דלא פריש ושמואל בדפריש', וגם פסק כפירוש רבינו חננאל דאפילו לא פירש בהדיא אלא שאמר אע"פ שאינו שוה כנגד כל החוב קבלתיו, לפי שנראה מלשון התוספות שנוטין להכריע כן, ב"י.</w:t>
      </w:r>
    </w:p>
  </w:footnote>
  <w:footnote w:id="5809">
    <w:p w14:paraId="330424D4" w14:textId="77777777" w:rsidR="0013116F" w:rsidRDefault="0013116F" w:rsidP="0004348D">
      <w:pPr>
        <w:pStyle w:val="a9"/>
      </w:pPr>
      <w:r>
        <w:rPr>
          <w:rStyle w:val="ab"/>
        </w:rPr>
        <w:footnoteRef/>
      </w:r>
      <w:r>
        <w:rPr>
          <w:rtl/>
        </w:rPr>
        <w:t xml:space="preserve"> </w:t>
      </w:r>
      <w:r>
        <w:rPr>
          <w:rFonts w:hint="cs"/>
          <w:rtl/>
        </w:rPr>
        <w:t xml:space="preserve">פירוש, </w:t>
      </w:r>
      <w:r>
        <w:rPr>
          <w:rtl/>
        </w:rPr>
        <w:t>כשהמשכון שווה פחות מהחוב, ומתחייב המלוה לכו"ע כנגד דמי המשכון.</w:t>
      </w:r>
    </w:p>
  </w:footnote>
  <w:footnote w:id="5810">
    <w:p w14:paraId="41059E79" w14:textId="77777777" w:rsidR="0013116F" w:rsidRDefault="0013116F" w:rsidP="0004348D">
      <w:pPr>
        <w:pStyle w:val="a9"/>
      </w:pPr>
      <w:r>
        <w:rPr>
          <w:rStyle w:val="ab"/>
        </w:rPr>
        <w:footnoteRef/>
      </w:r>
      <w:r>
        <w:rPr>
          <w:rtl/>
        </w:rPr>
        <w:t xml:space="preserve"> ויש כאן מקום עיון כיון דאמרינן כאן (ס"פ שבועת הדיינין מד.) ובסוף האומנים (פב.) דלא אמר רבי יצחק בעל חוב קונה משכון אלא שלא בשעת הלואתו אבל בשעת הלואתו לא אמר, מנא ליה לרבינו להשוות שעת הלואתו לשלא בשעת הלואתו לכו"ע. מיהו לשיטת הגאונים כבר כתב הר"ן בסוף שבועת הדיינין (כה. ד"ה והלכתא) בשם הרמב"ן (מלחמות כו., ב"מ פב. ד"ה ועוד) דכי אמרינן אימור דאמר רבי יצחק משכנו שלא בשעת הלואתו וכו' דרך דחיה איתמר, דלא שמעינן לרבי יצחק דאמר הכי, אבל קושטא דמלתא היא דהא דרבי יצחק אפילו במשכנו בשעת הלואתו היא, כדמשמע בפרק כל שעה (פסחים לא:) ובפרק השולח (גיטין לז.), ולכן הרי"ף (שבועות כה.) כתב לא שנא משכנו בשעת הלואתו או שלא בשעת הלואתו. אבל א"א לומר כן לדעת התוס' שנראה מדבריהם </w:t>
      </w:r>
      <w:r>
        <w:rPr>
          <w:sz w:val="16"/>
          <w:szCs w:val="16"/>
          <w:rtl/>
        </w:rPr>
        <w:t>(פ"ק דקדושין (שם ד"ה משכון) ופרק השולח (שם ד"ה שאני) ופרק כל שעה (שם ד"ה בדרבי) ופרק האומנים (פב: ד"ה אימור) ופרק שבועת הדיינין (שם ד"ה מאי))</w:t>
      </w:r>
      <w:r>
        <w:rPr>
          <w:rtl/>
        </w:rPr>
        <w:t xml:space="preserve"> דהא דרבי יצחק דוקא שלא בשעת הלואתו וצ"ע, ב"י. וכתב הדרכ"מ (אות ב) ולי נראה דהא דכתב </w:t>
      </w:r>
      <w:r>
        <w:rPr>
          <w:sz w:val="16"/>
          <w:szCs w:val="16"/>
          <w:rtl/>
        </w:rPr>
        <w:t xml:space="preserve">{הטור} </w:t>
      </w:r>
      <w:r>
        <w:rPr>
          <w:rtl/>
        </w:rPr>
        <w:t>לא שנא משכנו כו' לאו מטעם דרבי יצחק לחוד קאמר אלא מטעם דבשעת הלואה הוה כאלו פירש בהדיא שמקבלו בתורת פרעון, וכמו שכתב רבינו בשם ר"י, ולפי טעם זה אין לחלק בין בשעת הלואה או שלא בשעת הלואה. ודוקא לענין זה הם שוים דאם היה המשכון כנגד החוב - שיצא זה בזה, דאם הוא בשעת הלואה הוא מטעם דשמואל דהוה כאלו פירש, ושלא בשעת הלואה מיחייב מדרבי יצחק דבעל חוב קונה משכון, אבל אם לא שוה המשכון נגד החוב יש לחלק בין משכנו בשעת הלואה דאז אבד חובו מטעם דשמואל אבל שלא בשעת הלואה לא אבד דהא דשמואל לא שייך במשכנו שלא בשעת הלואה, וכ"כ בהדיא בהגה"א סוף האומנים (פ"ו סי' יח) וכן משמע בתוספות שם (פב. ד"ה נימא) ובפרק שבועת הדיינים (מד. ד"ה מאי) ולכן אין קושיא בזה כלל.</w:t>
      </w:r>
    </w:p>
  </w:footnote>
  <w:footnote w:id="5811">
    <w:p w14:paraId="0F9D7069" w14:textId="77777777" w:rsidR="0013116F" w:rsidRDefault="0013116F" w:rsidP="0004348D">
      <w:pPr>
        <w:pStyle w:val="a9"/>
        <w:rPr>
          <w:rtl/>
        </w:rPr>
      </w:pPr>
      <w:r>
        <w:rPr>
          <w:rStyle w:val="ab"/>
        </w:rPr>
        <w:footnoteRef/>
      </w:r>
      <w:r>
        <w:rPr>
          <w:rtl/>
        </w:rPr>
        <w:t xml:space="preserve"> בשעת הלואתו פשיטא מילתא דהוי שומר שכר ותו לא ממתני' דבפרק האומנין (ב"מ פ:) אבל מה שכתב עוד הרב אלפסי ז"ל דבשלא בשעת הלואתו הוי שומר שכר ותו לא מחלוקת ישנה היא שרש"י ז"ל סובר דקי"ל כרבי יצחק דאמר בעל חוב קונה משכון ואמרינן הכא בגמרא ובפרק האומנין (דף פב.) אימר דאמר רבי יצחק משכנו שלא בשעת הלואתו משכנו בשעת הלואתו מי אמר...  </w:t>
      </w:r>
      <w:r>
        <w:rPr>
          <w:sz w:val="16"/>
          <w:szCs w:val="16"/>
          <w:rtl/>
        </w:rPr>
        <w:t xml:space="preserve">{והקשה הר"ן שם על דברי רש"י, וכתב עוד-} </w:t>
      </w:r>
      <w:r>
        <w:rPr>
          <w:rtl/>
        </w:rPr>
        <w:t>והרמב"ן ז"ל אמר על דרך הרי"ף ז"ל דלא סמכינן אסוגיין דהכא ודפרק האומנין דר' יצחק לא אמר אלא שלא בשעת הלואתו משום דאמרינן דרך דחייה איתמר דלא שמעי' ליה לר' יצחק דאמר הכי אבל קושטא דמילתא היא דהא דרבי יצחק אפי' במשכנו בשעת הלואתו היא כדמוכחי כל הני דכתיבנא ובין דמשכנו בשעת הלואתו ובין משכנו שלא בשעת הלואתו הוי שומר שכר ותו לא כדברי הרי"ף ז"ל ובפרק האומנין אכתוב עוד בזה בסייעתא דשמיא לפי שעדיין לא נתיישבה דעתי באחד מן הדעות, ר"ן (כה. מדפה"ר).</w:t>
      </w:r>
    </w:p>
  </w:footnote>
  <w:footnote w:id="5812">
    <w:p w14:paraId="25EE2791" w14:textId="77777777" w:rsidR="0013116F" w:rsidRDefault="0013116F" w:rsidP="0004348D">
      <w:pPr>
        <w:pStyle w:val="a9"/>
        <w:rPr>
          <w:rtl/>
        </w:rPr>
      </w:pPr>
      <w:r>
        <w:rPr>
          <w:rStyle w:val="ab"/>
        </w:rPr>
        <w:footnoteRef/>
      </w:r>
      <w:r>
        <w:rPr>
          <w:rtl/>
        </w:rPr>
        <w:t xml:space="preserve"> </w:t>
      </w:r>
      <w:r>
        <w:rPr>
          <w:rFonts w:hint="cs"/>
          <w:rtl/>
        </w:rPr>
        <w:t>וכתב הב"י שכ"כ בהג"א [סוף האומנים פ"ו סי' יח] בשם ר"י, וכן נראה מדברי התוס' שם [פב. ד"ה נימא] ופרק שבועת הדיינין [מד. ד"ה מאי לאו בדלא שוי].</w:t>
      </w:r>
    </w:p>
  </w:footnote>
  <w:footnote w:id="5813">
    <w:p w14:paraId="3C709ABA" w14:textId="77777777" w:rsidR="0013116F" w:rsidRDefault="0013116F" w:rsidP="0004348D">
      <w:pPr>
        <w:pStyle w:val="a9"/>
      </w:pPr>
      <w:r>
        <w:rPr>
          <w:rStyle w:val="ab"/>
        </w:rPr>
        <w:footnoteRef/>
      </w:r>
      <w:r>
        <w:rPr>
          <w:rtl/>
        </w:rPr>
        <w:t xml:space="preserve"> </w:t>
      </w:r>
      <w:r>
        <w:rPr>
          <w:rFonts w:hint="cs"/>
          <w:rtl/>
        </w:rPr>
        <w:t>ו</w:t>
      </w:r>
      <w:r>
        <w:rPr>
          <w:rtl/>
        </w:rPr>
        <w:t xml:space="preserve">אדרבה בשטר סברא טפי לומר דאבד משכון אבדו מעותיו, הג"א בשם רש"י </w:t>
      </w:r>
      <w:r>
        <w:rPr>
          <w:sz w:val="16"/>
          <w:szCs w:val="16"/>
          <w:rtl/>
        </w:rPr>
        <w:t>(ב"מ פא: ד"ה אבל, עיי"ש טעמו)</w:t>
      </w:r>
      <w:r>
        <w:rPr>
          <w:rtl/>
        </w:rPr>
        <w:t xml:space="preserve">. </w:t>
      </w:r>
    </w:p>
  </w:footnote>
  <w:footnote w:id="5814">
    <w:p w14:paraId="46EC9C20" w14:textId="77777777" w:rsidR="0013116F" w:rsidRDefault="0013116F" w:rsidP="0004348D">
      <w:pPr>
        <w:pStyle w:val="a9"/>
      </w:pPr>
      <w:r>
        <w:rPr>
          <w:rStyle w:val="ab"/>
        </w:rPr>
        <w:footnoteRef/>
      </w:r>
      <w:r>
        <w:rPr>
          <w:rtl/>
        </w:rPr>
        <w:t xml:space="preserve"> </w:t>
      </w:r>
      <w:r>
        <w:rPr>
          <w:rFonts w:hint="cs"/>
          <w:rtl/>
        </w:rPr>
        <w:t xml:space="preserve">וכתב </w:t>
      </w:r>
      <w:r>
        <w:rPr>
          <w:rtl/>
        </w:rPr>
        <w:t xml:space="preserve">מהר"ם (שם) דכן פירש ר"י. וכתב הב"י דקשה על דברי בה"ג דהא תניא בשבועת הדיינין </w:t>
      </w:r>
      <w:r>
        <w:rPr>
          <w:sz w:val="16"/>
          <w:szCs w:val="16"/>
          <w:rtl/>
        </w:rPr>
        <w:t xml:space="preserve">(מג:) </w:t>
      </w:r>
      <w:r>
        <w:rPr>
          <w:rtl/>
        </w:rPr>
        <w:t xml:space="preserve">דבמלוה על השטר מודה אפילו רבי אליעזר, ועי' בתוס' פרק האומנים </w:t>
      </w:r>
      <w:r>
        <w:rPr>
          <w:sz w:val="16"/>
          <w:szCs w:val="16"/>
          <w:rtl/>
        </w:rPr>
        <w:t xml:space="preserve">(פא: ד"ה דברי הכל אבד המשכון אבדו מעותיו) </w:t>
      </w:r>
      <w:r>
        <w:rPr>
          <w:rtl/>
        </w:rPr>
        <w:t xml:space="preserve">כי שם פירשו התוס' טעם דברי הלכות גדולות, עכ"ל הב"י. וכתב הדרכ"מ </w:t>
      </w:r>
      <w:r>
        <w:rPr>
          <w:sz w:val="16"/>
          <w:szCs w:val="16"/>
          <w:rtl/>
        </w:rPr>
        <w:t xml:space="preserve">(אות ג) </w:t>
      </w:r>
      <w:r>
        <w:rPr>
          <w:rtl/>
        </w:rPr>
        <w:t>שמדברי ב"י נראה דהסכים לפירוש רש"י.</w:t>
      </w:r>
    </w:p>
  </w:footnote>
  <w:footnote w:id="5815">
    <w:p w14:paraId="7E2E4732" w14:textId="77777777" w:rsidR="0013116F" w:rsidRDefault="0013116F" w:rsidP="0004348D">
      <w:pPr>
        <w:pStyle w:val="a9"/>
        <w:rPr>
          <w:rtl/>
        </w:rPr>
      </w:pPr>
      <w:r>
        <w:rPr>
          <w:rStyle w:val="ab"/>
        </w:rPr>
        <w:footnoteRef/>
      </w:r>
      <w:r>
        <w:rPr>
          <w:rtl/>
        </w:rPr>
        <w:t xml:space="preserve"> ומיירי בשטר, כי היכי דלא תיקשי דברי בה"ג אהדדי, כנה"ג (הגב"י אות כב) בשם בני שמואל. </w:t>
      </w:r>
      <w:r>
        <w:rPr>
          <w:color w:val="FF0000"/>
          <w:rtl/>
        </w:rPr>
        <w:t>ולפי דבריו יוצא שדעת הרי"ף כדעת בה"ג, וצל"ע.</w:t>
      </w:r>
    </w:p>
  </w:footnote>
  <w:footnote w:id="5816">
    <w:p w14:paraId="506E459F" w14:textId="77777777" w:rsidR="0013116F" w:rsidRDefault="0013116F" w:rsidP="0004348D">
      <w:pPr>
        <w:pStyle w:val="a9"/>
        <w:rPr>
          <w:rtl/>
        </w:rPr>
      </w:pPr>
      <w:r>
        <w:rPr>
          <w:rStyle w:val="ab"/>
        </w:rPr>
        <w:footnoteRef/>
      </w:r>
      <w:r>
        <w:rPr>
          <w:rtl/>
        </w:rPr>
        <w:t xml:space="preserve"> הג"ה זו בחלק מהדפוסים באה אחרי דברי השו"ע לעיל 'הרי זה שומר שכר'. אמנם במהדורת הרמ"א היא מופיעה בפני עצמה לפני ההגה הבאה. והנחתי הגגה זו כאן ע"פ דברי הסמ"ע </w:t>
      </w:r>
      <w:r>
        <w:rPr>
          <w:sz w:val="16"/>
          <w:szCs w:val="16"/>
          <w:rtl/>
        </w:rPr>
        <w:t xml:space="preserve">(סק"י-יא) </w:t>
      </w:r>
      <w:r>
        <w:rPr>
          <w:rtl/>
        </w:rPr>
        <w:t>שכתב שכאן מקומה. וכתב עוד הסמ"ע (סק"י) דקמל"ן הרמ"א דאפילו אם המלוה קיבלו סתם, לא אמרינן דקיבלו כנגד כל החוב... וכל שכן אם פירש המלוה בהדיא בשעה שמשכן לו המשכון שמקבלו למשכון בכדי שויו ולא ביותר משויו, דאם נאבד דצריך הלוה לשלם לו מותר החוב... הא אם אמר בשעת הנחת המשכון לידו אע"פ שאינו שוה כפי החוב קיבלתיו, גם הגאונים ס"ל דאבד מעותיו. וז"ש מור"ם בהג"ה שאחר זו די"א דאם פירש ואמר שמקבלו בכל החוב אבד הכל. והא דכתבו מור"ם בלשון יש אומרים דאם פירש כו', היינו טעמא משום דהתוס' [שם ד"ה מתני'] דחו גירסת רש"י, וגרסי בגמרא דשמואל דאמר אבד הקתא אבדו כל מעותיו, היינו דוקא בדפירש ואמר אע"פ שאינו שוה קיבלתיו.</w:t>
      </w:r>
    </w:p>
  </w:footnote>
  <w:footnote w:id="5817">
    <w:p w14:paraId="3171B35D" w14:textId="77777777" w:rsidR="0013116F" w:rsidRDefault="0013116F" w:rsidP="0004348D">
      <w:pPr>
        <w:pStyle w:val="a9"/>
        <w:rPr>
          <w:rtl/>
        </w:rPr>
      </w:pPr>
      <w:r>
        <w:rPr>
          <w:rStyle w:val="ab"/>
        </w:rPr>
        <w:footnoteRef/>
      </w:r>
      <w:r>
        <w:rPr>
          <w:rtl/>
        </w:rPr>
        <w:t xml:space="preserve"> דשומר שכר פטור מן האונסין. ואע"פ שפירש ואמר בשעת הלואה שמקבל זה למשכון בעד כל חובו, מסתמא לא היתה דעתו כי אם אגניבה ואבידה דשכיח ולא אאונסין דאינן שכיחין, וכמ"ש הטור והמחבר</w:t>
      </w:r>
      <w:r>
        <w:rPr>
          <w:sz w:val="16"/>
          <w:szCs w:val="16"/>
          <w:rtl/>
        </w:rPr>
        <w:t xml:space="preserve"> (ס"ב)</w:t>
      </w:r>
      <w:r>
        <w:rPr>
          <w:rFonts w:hint="cs"/>
        </w:rPr>
        <w:t xml:space="preserve"> </w:t>
      </w:r>
      <w:r>
        <w:rPr>
          <w:rtl/>
        </w:rPr>
        <w:t>לקמן סימן רכ"ה לענין אחריות, סמ"ע (סקי"ב).</w:t>
      </w:r>
    </w:p>
  </w:footnote>
  <w:footnote w:id="5818">
    <w:p w14:paraId="71FABF03" w14:textId="77777777" w:rsidR="0013116F" w:rsidRDefault="0013116F" w:rsidP="0004348D">
      <w:pPr>
        <w:pStyle w:val="a9"/>
        <w:rPr>
          <w:rtl/>
        </w:rPr>
      </w:pPr>
      <w:r>
        <w:rPr>
          <w:rStyle w:val="ab"/>
        </w:rPr>
        <w:footnoteRef/>
      </w:r>
      <w:r>
        <w:rPr>
          <w:rtl/>
        </w:rPr>
        <w:t xml:space="preserve"> היינו דוקא אם אין הלוה מכחישו בברי... וה"ל כהלויתני ואיני יודע אם החזרתי לך אם לאו... ואם טוען הלוה ברי לי שהמשכון בידך או מכרתו וקיבלת דמיו, אין המלוה נאמן בשבועתו שנאנס מידו להוציא מיד הלוה הטוען ברי נגדו. וכ"כ המחבר (סע' כט) והטור (סע' כג). אלא שצ"ע, שכתב שם הטור דנאמן במיגו שאין לך בידי כלום או פרעתיך. דמשמע הא במקום שאין לו מיגו, כגון שהלוה בעדים והעדים יודעים שלא פרעהו, המלוה נאמן. וצריכין לדחוק ולומר דהטעם דמיגו לא כתב אלא אהא דפטור הלוה בהיסת, וס"ל דבמקום שאין לו מיגו, אף דאין המלוה נאמן לישבע ולהוציא מיד הלוה, מ"מ הלוה היה צריך לישבע שבועה חמורה נגד טענת המלוה, כיון שיש עדים שהלוה לו ושלא פרע לו עדיין, והתורה האמינתו בעלמא אפילו להוציא, ומשום דבזה הלוה טוען ברי עכ"פ הוא פטור מהמלוה בשבועתו, משום הכי קיצר המחבר שם בסעיף כ"ט ולא כתב דפטור משום מיגו, סמ"ע (סקי"ג). אך הש"ך (סקי"ד) דאין דבריו נראים, אלא נלפע"ד דכיון דלית ליה ללוה מיגו, נשבע המלוה ונוטל. וכן משמע להדיא בבעה"ת</w:t>
      </w:r>
      <w:r>
        <w:rPr>
          <w:sz w:val="16"/>
          <w:szCs w:val="16"/>
          <w:rtl/>
        </w:rPr>
        <w:t xml:space="preserve"> (שער מט סוף ח"ב)</w:t>
      </w:r>
      <w:r>
        <w:rPr>
          <w:rtl/>
        </w:rPr>
        <w:t xml:space="preserve"> שמשם מקור דין זה, דבליכא מיגו נשבע המלוה וגובה חובו, ע"ש. וכן משמע בב"ח סעיף כ"ג. ונראה דהטור [סעיף ט'] והמחבר בסעיף י"ד מיירי בדאית ליה מיגו.</w:t>
      </w:r>
    </w:p>
  </w:footnote>
  <w:footnote w:id="5819">
    <w:p w14:paraId="3B7EDA30" w14:textId="77777777" w:rsidR="0013116F" w:rsidRDefault="0013116F" w:rsidP="0004348D">
      <w:pPr>
        <w:pStyle w:val="a9"/>
      </w:pPr>
      <w:r>
        <w:rPr>
          <w:rStyle w:val="ab"/>
        </w:rPr>
        <w:footnoteRef/>
      </w:r>
      <w:r>
        <w:rPr>
          <w:rtl/>
        </w:rPr>
        <w:t xml:space="preserve"> ואפשר שדעת הרב בהג"ה שכתב- 'וי"א דמלוה על המשכון לא הוי אלא שומר חנם', ולא כתב בקיצור 'וי"א דלא הוי אלא שומר חנם',  ר"ל דבמלוה על המשכון דוקא פליגי, אבל במשכנו שלא בשעת הלואתו מודה להמחבר דהוי שומר שכר, וא"כ גם ביתרון חייב המלוה. וכן עיקר, ש"ך (סקי"ז). וכתב עוד (סקי"ח) דמשמע בפוסקים דאין חילוק בין הלוהו בשטר או שלא בשטר, ולאפוקי מהלכות גדולות, וכן משמע בטור והמחבר והר"ב שלא חילקו.</w:t>
      </w:r>
    </w:p>
  </w:footnote>
  <w:footnote w:id="5820">
    <w:p w14:paraId="0C854645" w14:textId="77777777" w:rsidR="0013116F" w:rsidRDefault="0013116F" w:rsidP="0004348D">
      <w:pPr>
        <w:pStyle w:val="a9"/>
      </w:pPr>
      <w:r>
        <w:rPr>
          <w:rStyle w:val="ab"/>
        </w:rPr>
        <w:footnoteRef/>
      </w:r>
      <w:r>
        <w:rPr>
          <w:rtl/>
        </w:rPr>
        <w:t xml:space="preserve"> טעמו, דלא מחשב זו לשכירות אם אולי בא עני בשעת הלואתו. והיינו דוקא במשכון של ישראל שהשכינו לטובתו בלא ריבית, אבל אם ממשכן ישראל לישראל חבירו משכון של גוי ונותן לו ממנו ריבית, נראה פשוט דהוה עליה שומר שכר בגניבתו ואבידתו לשלם לו כל דמי משכונו..., סמ"ע (סקי"ד). ועיין בש"ך (סקכ"א) שחילק בזה כמה חילוקים והביא עוד מקרים דומים.</w:t>
      </w:r>
    </w:p>
  </w:footnote>
  <w:footnote w:id="5821">
    <w:p w14:paraId="6FE58EF1" w14:textId="77777777" w:rsidR="0013116F" w:rsidRDefault="0013116F" w:rsidP="0004348D">
      <w:pPr>
        <w:pStyle w:val="a9"/>
      </w:pPr>
      <w:r>
        <w:rPr>
          <w:rStyle w:val="ab"/>
        </w:rPr>
        <w:footnoteRef/>
      </w:r>
      <w:r>
        <w:rPr>
          <w:rtl/>
        </w:rPr>
        <w:t xml:space="preserve"> </w:t>
      </w:r>
      <w:r>
        <w:rPr>
          <w:rFonts w:hint="cs"/>
          <w:rtl/>
        </w:rPr>
        <w:t>והוסיף הש"ך בציוניו- וכן מוכח באמת דעת הרא"ש בכמה דוכתי ובפרט בסוף פ' שבועת הדיינים כתב ומכל אלו הראיות ברורות נראה דהלכה כרבה ולא כב"י לדעת הרא"ש וכ"כ עוד הרא"ש להדיא בפ' יש נוחלין גבי קנין עד אימתי חוזר ע"ש.</w:t>
      </w:r>
    </w:p>
  </w:footnote>
  <w:footnote w:id="5822">
    <w:p w14:paraId="54A9B780" w14:textId="77777777" w:rsidR="0013116F" w:rsidRDefault="0013116F" w:rsidP="0004348D">
      <w:pPr>
        <w:pStyle w:val="a9"/>
        <w:rPr>
          <w:rtl/>
        </w:rPr>
      </w:pPr>
      <w:r>
        <w:rPr>
          <w:rStyle w:val="ab"/>
        </w:rPr>
        <w:footnoteRef/>
      </w:r>
      <w:r>
        <w:rPr>
          <w:rtl/>
        </w:rPr>
        <w:t xml:space="preserve"> כתב הסמ"ע [סקט"ז] דנ"ל דמור"ם כתב כן ללמדנו שפסקינן סברת י"א אלו דאין המלוה צריך לשלם היתרון מהמשכון, עכ"ל. ועוד נלפע"ד, דר"ל אי תפס לוה לא מפקינן מיניה, ש"ך (סקכ"ב). וכתב עוד הש"ך (סקכ"ג) דאם תפס המלוה כפי מה שכנגד מעותיו, לא מפקינן מיניה </w:t>
      </w:r>
      <w:r>
        <w:rPr>
          <w:sz w:val="16"/>
          <w:szCs w:val="16"/>
          <w:rtl/>
        </w:rPr>
        <w:t>(דהא משמע בתוס' ופוסקים דרי"ף וסיעתו לא ס"ל הך סברא דה"ל כאילו פירש שיפסיד כנגד מעותיו, א"כ לפי מה שהעליתי בספרי תקפו כהן סי' ע"ב דמצי התופס לומר קים לי כהפוסק בזה ולא קים לי כוותיה בזה, אם כן ה"נ מצי המלוה לומר קים לי כהפוסקים דהוי שומר חנם ולא קים לי כהא דפוסקים דה"ל כאילו פירש אלא כהחולקין)</w:t>
      </w:r>
      <w:r>
        <w:rPr>
          <w:rtl/>
        </w:rPr>
        <w:t>.</w:t>
      </w:r>
    </w:p>
  </w:footnote>
  <w:footnote w:id="5823">
    <w:p w14:paraId="0DF17E66" w14:textId="77777777" w:rsidR="0013116F" w:rsidRDefault="0013116F" w:rsidP="0004348D">
      <w:pPr>
        <w:pStyle w:val="a9"/>
      </w:pPr>
      <w:r>
        <w:rPr>
          <w:rStyle w:val="ab"/>
        </w:rPr>
        <w:footnoteRef/>
      </w:r>
      <w:r>
        <w:rPr>
          <w:rtl/>
        </w:rPr>
        <w:t xml:space="preserve"> והוא הדין דלא נעשו מטלטלין אצל בני הלוה, והמלוה גובה מהן. אבל סוף הגהות שניות ממרדכי דבבא מציעא (סי' תסב) כתב דלא הוי שומר שכר על המשכון אלא בעודו ברשות המלוה אבל אם הפקידו ביד הלוה או השאיל לו אפילו לזמן אין המלוה חייב באחריות כלל ואם מת הלוה נעשה מטלטלין אצל בניו ועיי"ש, דרכ"מ (אות ה). וכ"כ הב"י (מחודש ט) בשם המרדכי (שם) דנעשה מטלטלין אצל בניו. וכתב לעיין במרדכי (ב"מ סי' שסג).</w:t>
      </w:r>
    </w:p>
  </w:footnote>
  <w:footnote w:id="5824">
    <w:p w14:paraId="048ABAD1" w14:textId="77777777" w:rsidR="0013116F" w:rsidRDefault="0013116F" w:rsidP="0004348D">
      <w:pPr>
        <w:pStyle w:val="a9"/>
        <w:rPr>
          <w:rtl/>
        </w:rPr>
      </w:pPr>
      <w:r>
        <w:rPr>
          <w:rStyle w:val="ab"/>
        </w:rPr>
        <w:footnoteRef/>
      </w:r>
      <w:r>
        <w:rPr>
          <w:rtl/>
        </w:rPr>
        <w:t xml:space="preserve"> ומ"מ אם לא חזרה ונתנה הבגדים ליד שמעון היתה נאמנת בשבועה שלא משכנם ברצונה, סמ"ע (סקי"ט). ובתשובת הרשב"א (ח"ב סי' רפו) שהביא ב"י באה"ע ס"ס ע"ג משמע להדיא דבעל יכול להשכין בגדי אשתו שלא מרצונה, וא"כ אפילו לא חזרה ונתנה הבגדים ליד שמעון נמי חייבת לפדות הבגדים... ונראה דהרשב"א שם מיירי בבגדי אשתו שעשה לה הבעל... אבל בבגדים שהכניסה לו, אינו יכול למכור ולמשכן, וכמ"ש הרשב"א להדיא (ח"א סי' תתקלו ותתקלז) ובהכי מיירי הסמ"ע כאן, ש"ך (סקכ"ו).</w:t>
      </w:r>
    </w:p>
  </w:footnote>
  <w:footnote w:id="5825">
    <w:p w14:paraId="592D9A66" w14:textId="77777777" w:rsidR="0013116F" w:rsidRDefault="0013116F" w:rsidP="0004348D">
      <w:pPr>
        <w:pStyle w:val="a9"/>
      </w:pPr>
      <w:r>
        <w:rPr>
          <w:rStyle w:val="ab"/>
        </w:rPr>
        <w:footnoteRef/>
      </w:r>
      <w:r>
        <w:rPr>
          <w:rtl/>
        </w:rPr>
        <w:t xml:space="preserve"> ויש חולקים על דין זה דיש לה לומר נחת רוח עשיתי לבעלי מה שמסרתי לו מלבושי למשכנם, מרדכי (שם בב"מ סי' שסד).</w:t>
      </w:r>
    </w:p>
  </w:footnote>
  <w:footnote w:id="5826">
    <w:p w14:paraId="458916EB" w14:textId="77777777" w:rsidR="0013116F" w:rsidRDefault="0013116F" w:rsidP="0004348D">
      <w:pPr>
        <w:pStyle w:val="a9"/>
      </w:pPr>
      <w:r>
        <w:rPr>
          <w:rStyle w:val="ab"/>
        </w:rPr>
        <w:footnoteRef/>
      </w:r>
      <w:r>
        <w:rPr>
          <w:rtl/>
        </w:rPr>
        <w:t xml:space="preserve"> ועיין בתשובות מיימוניות דספר משפטים סימן ב', ב"י. </w:t>
      </w:r>
    </w:p>
  </w:footnote>
  <w:footnote w:id="5827">
    <w:p w14:paraId="3741035F" w14:textId="77777777" w:rsidR="0013116F" w:rsidRDefault="0013116F" w:rsidP="0004348D">
      <w:pPr>
        <w:pStyle w:val="a9"/>
        <w:rPr>
          <w:rtl/>
        </w:rPr>
      </w:pPr>
      <w:r>
        <w:rPr>
          <w:rStyle w:val="ab"/>
        </w:rPr>
        <w:footnoteRef/>
      </w:r>
      <w:r>
        <w:rPr>
          <w:rtl/>
        </w:rPr>
        <w:t xml:space="preserve"> הטעם, דהא הלוה אינו אלא שומר חנם דהמלוה, ופטור מגניבה. ולסברא קמייתא הנזכרת בסעיף שלפני זה דהמלוה שומר שכר, חייב לשלם דמי המשכון מה ששוה יותר מדמי חובו. ולדעת י"א הנ"ל [שם בהג"ה], מ"ש כאן המלוה "חייב", ר"ל דהמלוה הפסיד דמי חובו כפי שיווי המשכון. ובעיר שושן [סעיף ג'] לא דק, סמ"ע (סקי"ז).</w:t>
      </w:r>
    </w:p>
  </w:footnote>
  <w:footnote w:id="5828">
    <w:p w14:paraId="542B30B9" w14:textId="77777777" w:rsidR="0013116F" w:rsidRDefault="0013116F" w:rsidP="0004348D">
      <w:pPr>
        <w:pStyle w:val="a9"/>
        <w:rPr>
          <w:rtl/>
        </w:rPr>
      </w:pPr>
      <w:r>
        <w:rPr>
          <w:rStyle w:val="ab"/>
        </w:rPr>
        <w:footnoteRef/>
      </w:r>
      <w:r>
        <w:rPr>
          <w:rtl/>
        </w:rPr>
        <w:t xml:space="preserve"> דהרי זה הלוה לו משכון על משכונו, ומה לי הלוה לו עליו מעות או הלוה עליו משכון, סמ"ע (סקכ"ב).</w:t>
      </w:r>
    </w:p>
  </w:footnote>
  <w:footnote w:id="5829">
    <w:p w14:paraId="17F9018D" w14:textId="77777777" w:rsidR="0013116F" w:rsidRDefault="0013116F" w:rsidP="0004348D">
      <w:pPr>
        <w:pStyle w:val="a9"/>
        <w:rPr>
          <w:rtl/>
        </w:rPr>
      </w:pPr>
      <w:r>
        <w:rPr>
          <w:rStyle w:val="ab"/>
        </w:rPr>
        <w:footnoteRef/>
      </w:r>
      <w:r>
        <w:rPr>
          <w:rtl/>
        </w:rPr>
        <w:t xml:space="preserve"> וב"י כתב בשם תשובת הרשב"א שכתב בתשובה אחרת דלא חייב באונסין דאינו אלא כשומר בעלמא דלעולם אין לו דין שואל אלא היכא דכל הנאה היא שלו, משא"כ זה דנהנה בדמים שהלוה לו ואין חייב באונסין. וכן נראה מתשו' הר"ן (סי' כ), דרכ"מ (ה*). ועיין בהערה לקמן בסמוך.</w:t>
      </w:r>
    </w:p>
  </w:footnote>
  <w:footnote w:id="5830">
    <w:p w14:paraId="46BD379E" w14:textId="77777777" w:rsidR="0013116F" w:rsidRDefault="0013116F" w:rsidP="0004348D">
      <w:pPr>
        <w:pStyle w:val="a9"/>
      </w:pPr>
      <w:r>
        <w:rPr>
          <w:rStyle w:val="ab"/>
        </w:rPr>
        <w:footnoteRef/>
      </w:r>
      <w:r>
        <w:rPr>
          <w:rtl/>
        </w:rPr>
        <w:t xml:space="preserve"> הסמ"ע (סקכ"ג) תמה על המחבר ומור"ם שסתמו כאן, ולא הביאו את שתי תשובות הרשב"א וכתב דהו"ל לפסוק דמספיקא לא מפקינן ממונא ושהלוה פטור מדמי החוב והמלוה פטור מדמי היתרון דהמשכון. אך הש"ך (סק"ל) דחה דבריו, וכתב שתשובת הרשב"א הראשונה (ח"א סי' אלף כט, וח"ב סי' שלו) שפסק המחבר מיירי בנתן לו רשות אח"כ להשתמש בו, ולא הלוהו על מנת כן. והתשובה השניה שהביא הב"י בשם הרשב"א (ח"ב סי' שלב) מיירי להדיא דוקא שהלוהו על מנת כן, עכ"ד. וכן מחלק בט"ז. וכפי שכתבו לחלק בתשו' הרשב"א כן נראה לי לחלק בתשו' הר"ן (סי' כ, הביאה הב"י לקמן) שכתב הדרכ"מ (אות ה*). </w:t>
      </w:r>
    </w:p>
  </w:footnote>
  <w:footnote w:id="5831">
    <w:p w14:paraId="640B877B" w14:textId="77777777" w:rsidR="0013116F" w:rsidRDefault="0013116F" w:rsidP="0004348D">
      <w:pPr>
        <w:pStyle w:val="a9"/>
        <w:rPr>
          <w:rtl/>
        </w:rPr>
      </w:pPr>
      <w:r>
        <w:rPr>
          <w:rStyle w:val="ab"/>
        </w:rPr>
        <w:footnoteRef/>
      </w:r>
      <w:r>
        <w:rPr>
          <w:rtl/>
        </w:rPr>
        <w:t xml:space="preserve"> פירוש, ונתן לו רשות אחר כך להשתמש בו, ולא הלוהו על מנת כן, ש"ך (סק"ל).</w:t>
      </w:r>
    </w:p>
  </w:footnote>
  <w:footnote w:id="5832">
    <w:p w14:paraId="295966C8" w14:textId="77777777" w:rsidR="0013116F" w:rsidRDefault="0013116F" w:rsidP="0004348D">
      <w:pPr>
        <w:pStyle w:val="a9"/>
      </w:pPr>
      <w:r>
        <w:rPr>
          <w:rStyle w:val="ab"/>
        </w:rPr>
        <w:footnoteRef/>
      </w:r>
      <w:r>
        <w:rPr>
          <w:rtl/>
        </w:rPr>
        <w:t xml:space="preserve"> הביאו הב"י. וכ"כ הדרכ"מ (אות ו, ובארוך אות ד) והסמ"ע (סקכ"א) בסתם. ועיין שם בתשובת הר"ן דכתב הטעם, דשואל ספר, המשאיל מצוה קעביד, וא"כ אין כל הנאה של שואל, דטעמא דשואל חייב באונסים מפני שכל הנאה שלו, משא"כ הכא שאף המשאיל נהנה בפרוטה דרב יוסף, ע"ש. והר"ן לטעמיה אזיל דס"ל [שבועות כה. מדפה"ר] דהלכה כרב יוסף. וא"כ להפוסקים כרבה הוי שואל גמור וחייב באונסים. וא"כ לדידן הוי ספיקא דדינא והמוציא מחבירו עליו הראיה, ואין ראובן חייב להחזיר לשמעון אחרי שהוא מוחזק, ולא ה"ל להסמ"ע לכתוב דברי הר"ן בפשיטות, ש"ך (סקכ"ט).</w:t>
      </w:r>
    </w:p>
  </w:footnote>
  <w:footnote w:id="5833">
    <w:p w14:paraId="65C8CC1D" w14:textId="77777777" w:rsidR="0013116F" w:rsidRDefault="0013116F" w:rsidP="0004348D">
      <w:pPr>
        <w:pStyle w:val="a9"/>
      </w:pPr>
      <w:r>
        <w:rPr>
          <w:rStyle w:val="ab"/>
        </w:rPr>
        <w:footnoteRef/>
      </w:r>
      <w:r>
        <w:rPr>
          <w:rtl/>
        </w:rPr>
        <w:t xml:space="preserve"> ואפילו כנגד מעותיו אין מפסידים, אלא זה שנתמשכן צריך לפרוע המס, ואפילו לא התרו בו שיפדה משכונו, כן כתב הסמ"ע [סקכ"ה], ש"ך (סקל"ב). וכתב עוד הש"ך (סקל"ד) דצ"ע על המחבר אמה שפסק בפשיטות דאין להנאמן דין שומר שכר כו', דהא הרשב"א בתשובה [שם] כתב שהוא מקום עיון... ולא ידעתי שום צד לדחות סברא זו... ומצאתי בספר דפוס פראג נקרא תשובות הגאונים [הקצרות], איתא שם בסימן רצ"ו וזה לשונו, שאלה, נאמני הציבור שמשימין עליהן לגבות המס ולפקח על עסקיהם. תשובה. הם כשומר חנם ופטורים מגניבה ואבידה, עכ"ל. והיינו כהמחבר. מיהו יש לומר דהך תשובה אתיא כמאן דפסק כרבה ולא כרב יוסף, משא"כ הכא, וא"כ מה שפסק המחבר דאין לנאמן דין שומר שכר צל"ע. ולפ"ז אי תפס זה שנתמשכן מהנאמן, לא מפקינן מיניה, דמצי למימר קים לי כרב יוסף. עוד נלפע"ד, דאם שנים השלישו שום דבר ביד שליש לזמן פלוני ונגנב או נאבד תוך אותו הזמן, ה"ל השליש ש"ש לרב יוסף וסיעתו, מה"ט שהיה צריך השליש לשטחה ולנערה כיון שלא היה יכול שום אחד מהן ליקחנו תוך אותו הזמן, וא"כ אם תפס אחד מהן מהשליש לא מפקינן מיניה.</w:t>
      </w:r>
    </w:p>
  </w:footnote>
  <w:footnote w:id="5834">
    <w:p w14:paraId="634B5CFC" w14:textId="77777777" w:rsidR="0013116F" w:rsidRDefault="0013116F" w:rsidP="0004348D">
      <w:pPr>
        <w:pStyle w:val="a9"/>
        <w:rPr>
          <w:rtl/>
        </w:rPr>
      </w:pPr>
      <w:r>
        <w:rPr>
          <w:rStyle w:val="ab"/>
        </w:rPr>
        <w:footnoteRef/>
      </w:r>
      <w:r>
        <w:rPr>
          <w:rtl/>
        </w:rPr>
        <w:t xml:space="preserve"> לשון זה מגומגם, דפשיטא דאין מנהג כזה מבטל הלכה, וכמ"ש המרדכי ריש פרק הפועלים [ב"מ סי' שסו] דדוקא מנהג ותיקין מבטל הלכה, אבל מנהג גרוע שהוא נגד הדין לא. וכמ"ש בתרוה"ד ר"ס שמ"ב דדוקא בעניני מסים אין מדקדקין במנהג אע"פ שהוא נגד דין תורה, אבל בעלמא לא. וכן משמע מלשון הר"ב גופיה לקמן סימן קס"ג סעיף ג' בהג"ה שכתב בכל עניני מסים הולכים אחר המנהג כו', אף על פי שהוא מנהג גרוע, אין מדקדקים בעניני מסים. משמע דוקא בעניני מסים, אבל בעלמא לא. ודוחק לומר דהכא כיון שנתמשכן מחמת מס חשיב עניני מסים, דודאי זה שיתחייב הנאמן להיות כשומר שכר או לא אינו תלוי בעניני מסים. ולשון הרשב"א בתשובה כך הוא, הא פשיטא שהקהל פטורים, שהרי אין פורעי המס חייבים זה לזה כלום שנחשוב הקהל כממשכנים על חובם, אלא כל יחיד פורע חלקו לשלטון, ומעמידים עליהן נאמנים כאפוטרופוסים לפקח על עסקי כל יחיד ויחיד לפרוע לשלטון או לבעל חוב שלוה מחמתו, זה נ"ל לפי שורת הדין, אלא אם יש מנהג ידוע בזה בהיפך, עכ"ל. ולשונו מתוקן, וכונתו לומר אם יש מנהג שהקהל פורעים המס והם גובים מכל יחיד ויחיד, שנמצא היחידים חייבים להקהל, שאז נעשו הקהל שומרי שכר. וצריך לפרש גם דברי הר"ב כן, ש"ך (סקל"ה).</w:t>
      </w:r>
    </w:p>
  </w:footnote>
  <w:footnote w:id="5835">
    <w:p w14:paraId="5D3B1154" w14:textId="77777777" w:rsidR="0013116F" w:rsidRDefault="0013116F" w:rsidP="0004348D">
      <w:pPr>
        <w:pStyle w:val="a9"/>
      </w:pPr>
      <w:r>
        <w:rPr>
          <w:rStyle w:val="ab"/>
        </w:rPr>
        <w:footnoteRef/>
      </w:r>
      <w:r>
        <w:rPr>
          <w:rtl/>
        </w:rPr>
        <w:t xml:space="preserve"> ומהרש"ל </w:t>
      </w:r>
      <w:r>
        <w:rPr>
          <w:sz w:val="16"/>
          <w:szCs w:val="16"/>
          <w:rtl/>
        </w:rPr>
        <w:t xml:space="preserve">(יש"ש ב"ק פרק הגוזל בתרא סי' ד) </w:t>
      </w:r>
      <w:r>
        <w:rPr>
          <w:rtl/>
        </w:rPr>
        <w:t xml:space="preserve">חלק על זה, וכתב דדוקא גבי אומן שייך לומר דהוי שומר שכר מטעם שמשתכר, משא"כ במלוה על המשכון... ולפע"ד דעת הריטב"א ורבו והנמוק"י דדוקא במשכנו בשעת הלואתו לא שייך לומר דהוי ש"ש מטעם זה, שהרי אינו מרויח כלום, דאם לא היה נותן לו משכון לא הלוה לו. אבל כשהלוה כבר ונתן לו משכון אח"כ, א"כ ודאי יש לו הנאה גדולה מה שנותן לו עתה משכון מה שלא היה לו כן מקדם... וא"כ בכה"ג הוי שפיר שומר שכר... ועוד נראה מטעם אחר, דבנו נמי הוי שומר שכר למאן דפסק כרב יוסף דהוי שומר שכר מטעם דא"צ ליתן פרוטה לעני, א"כ ה"ה שיצטרך בנו לנער המשכון ולשוטחה. ואף שמהרש"ל שם הרגיש בזה וכתב דלא שייך לומר כן אלא גבי שומר אבידה ולא גבי מלוה על המשכון, דאין זה מצוה, דלהנאתו קא מכוין שלא יתקלקל המשכון שמעותיו עליו, עכ"ל. מ"מ אין דבריו מוכרחים כלל, ואישתמיטתיה דברי התוס' והרא"ש </w:t>
      </w:r>
      <w:r>
        <w:rPr>
          <w:sz w:val="16"/>
          <w:szCs w:val="16"/>
          <w:rtl/>
        </w:rPr>
        <w:t xml:space="preserve">[כלל צ סי' ג] </w:t>
      </w:r>
      <w:r>
        <w:rPr>
          <w:rtl/>
        </w:rPr>
        <w:t>וטור שבס"ס זה</w:t>
      </w:r>
      <w:r>
        <w:rPr>
          <w:sz w:val="16"/>
          <w:szCs w:val="16"/>
          <w:rtl/>
        </w:rPr>
        <w:t xml:space="preserve"> [סע' לד]</w:t>
      </w:r>
      <w:r>
        <w:rPr>
          <w:rtl/>
        </w:rPr>
        <w:t xml:space="preserve">... וכ"מ מדברי הרי"ף בפרק האומנין </w:t>
      </w:r>
      <w:r>
        <w:rPr>
          <w:sz w:val="16"/>
          <w:szCs w:val="16"/>
          <w:rtl/>
        </w:rPr>
        <w:t>(ב"מ נא. מדפה"ר)</w:t>
      </w:r>
      <w:r>
        <w:rPr>
          <w:rtl/>
        </w:rPr>
        <w:t>, ש"ך (סקל"ו).</w:t>
      </w:r>
    </w:p>
  </w:footnote>
  <w:footnote w:id="5836">
    <w:p w14:paraId="3E149EEE" w14:textId="77777777" w:rsidR="0013116F" w:rsidRDefault="0013116F" w:rsidP="0004348D">
      <w:pPr>
        <w:pStyle w:val="a9"/>
      </w:pPr>
      <w:r>
        <w:rPr>
          <w:rStyle w:val="ab"/>
        </w:rPr>
        <w:footnoteRef/>
      </w:r>
      <w:r>
        <w:rPr>
          <w:rtl/>
        </w:rPr>
        <w:t xml:space="preserve"> כתב בתשו' מהרשד"ם</w:t>
      </w:r>
      <w:r>
        <w:rPr>
          <w:sz w:val="16"/>
          <w:szCs w:val="16"/>
          <w:rtl/>
        </w:rPr>
        <w:t xml:space="preserve"> (חו"מ סי' צח) </w:t>
      </w:r>
      <w:r>
        <w:rPr>
          <w:rtl/>
        </w:rPr>
        <w:t>שאם ציוה קודם מותו להחזיר המשכון בחנם, ונאבד אח"כ, פטורים היתומים, ש"ך (סקל"ז).</w:t>
      </w:r>
    </w:p>
  </w:footnote>
  <w:footnote w:id="5837">
    <w:p w14:paraId="3821DB04" w14:textId="77777777" w:rsidR="0013116F" w:rsidRDefault="0013116F" w:rsidP="0004348D">
      <w:pPr>
        <w:pStyle w:val="a9"/>
      </w:pPr>
      <w:r>
        <w:rPr>
          <w:rStyle w:val="ab"/>
        </w:rPr>
        <w:footnoteRef/>
      </w:r>
      <w:r>
        <w:rPr>
          <w:rtl/>
        </w:rPr>
        <w:t xml:space="preserve"> וחייב בגניבה ואבידה לשלם אף מה שהיה המשכון שוה יותר על החוב. ולהי"א שהביא הר"ב לעיל סוף סעיף ב', ה"ה הכא הפסיד כנגד מעותיו, וכ"כ מהרש"ל שם וכ"כ הסמ"ע [סקכ"ו], ש"ך (סקל"ח).</w:t>
      </w:r>
    </w:p>
  </w:footnote>
  <w:footnote w:id="5838">
    <w:p w14:paraId="05DBF808" w14:textId="77777777" w:rsidR="0013116F" w:rsidRDefault="0013116F" w:rsidP="0004348D">
      <w:pPr>
        <w:pStyle w:val="a9"/>
      </w:pPr>
      <w:r>
        <w:rPr>
          <w:rStyle w:val="ab"/>
        </w:rPr>
        <w:footnoteRef/>
      </w:r>
      <w:r>
        <w:rPr>
          <w:rtl/>
        </w:rPr>
        <w:t xml:space="preserve"> נראה דאפי' הרמב"ם</w:t>
      </w:r>
      <w:r>
        <w:rPr>
          <w:sz w:val="16"/>
          <w:szCs w:val="16"/>
          <w:rtl/>
        </w:rPr>
        <w:t xml:space="preserve"> [פ"ב משכירות ה"ג] </w:t>
      </w:r>
      <w:r>
        <w:rPr>
          <w:rtl/>
        </w:rPr>
        <w:t xml:space="preserve">וסיעתיה דמחשבי פשיעה למזיק בידים לענין שטרות ודכוותיה דאין בהן דין שומרים </w:t>
      </w:r>
      <w:r>
        <w:rPr>
          <w:sz w:val="16"/>
          <w:szCs w:val="16"/>
          <w:rtl/>
        </w:rPr>
        <w:t>(וכמ"ש הטור והמחבר בשמם בר"ס שא)</w:t>
      </w:r>
      <w:r>
        <w:rPr>
          <w:rtl/>
        </w:rPr>
        <w:t>, מ"מ מודים כאן דפטור אפי' בפשיעה, כיון דהתנה בפירוש שאינו מקבל עליו אחריות, סמ"ע</w:t>
      </w:r>
      <w:r>
        <w:rPr>
          <w:sz w:val="16"/>
          <w:szCs w:val="16"/>
          <w:rtl/>
        </w:rPr>
        <w:t xml:space="preserve"> (סקכ"ז)</w:t>
      </w:r>
      <w:r>
        <w:rPr>
          <w:rtl/>
        </w:rPr>
        <w:t>.</w:t>
      </w:r>
    </w:p>
  </w:footnote>
  <w:footnote w:id="5839">
    <w:p w14:paraId="62C6FAA2" w14:textId="77777777" w:rsidR="0013116F" w:rsidRDefault="0013116F" w:rsidP="0004348D">
      <w:pPr>
        <w:pStyle w:val="a9"/>
      </w:pPr>
      <w:r>
        <w:rPr>
          <w:rStyle w:val="ab"/>
        </w:rPr>
        <w:footnoteRef/>
      </w:r>
      <w:r>
        <w:rPr>
          <w:rtl/>
        </w:rPr>
        <w:t xml:space="preserve"> משמע לכאורה מדברי המחבר שהגוי מעליל על הישראל ורוצה ממנו יותר משויו, ואינו ידוע כמה היה שוה, לכך לא ישלם אלא דמי סייף דעלמא. וכן משמע להדיא בעיר שושן [סעיף ח']... וכן משמע בסמ"ע סקכ"ח... אבל באמת המעיין בהגמ"ר </w:t>
      </w:r>
      <w:r>
        <w:rPr>
          <w:sz w:val="16"/>
          <w:szCs w:val="16"/>
          <w:rtl/>
        </w:rPr>
        <w:t>(ב"ק ס"פ הכונס)</w:t>
      </w:r>
      <w:r>
        <w:rPr>
          <w:rtl/>
        </w:rPr>
        <w:t xml:space="preserve"> יראה שכונתו דאפילו דמי סייף זה א"צ לשלם, דמיירי שהיה סייף יקר והשואל לא ידע שהיה סייף יקר, ומביא ראיה מהש"ס </w:t>
      </w:r>
      <w:r>
        <w:rPr>
          <w:sz w:val="16"/>
          <w:szCs w:val="16"/>
          <w:rtl/>
        </w:rPr>
        <w:t xml:space="preserve">(ב"ק סב.) </w:t>
      </w:r>
      <w:r>
        <w:rPr>
          <w:rtl/>
        </w:rPr>
        <w:t>גבי דינר דאמרינן נטירותא דכספא קיבלה עלה, נטירותא דדהבא לא קיבלה עלה, וה"ה הכא דנטירותא דסייף יקר לא קביל עליה, דאע"ג דידוע שהיה סייף יקר, מ"מ אי הוה ידע שהוא סייף יקר לא היה מקבל שמירתו עליו, ע"ש. וא"כ אפילו הגוי אינו מעליל, רק ששואל דמי של סייף יקר הזה, א"צ לשלם לו רק שויו דסתם סייף דעלמא. וכן הבין מהרש"ל</w:t>
      </w:r>
      <w:r>
        <w:rPr>
          <w:sz w:val="16"/>
          <w:szCs w:val="16"/>
          <w:rtl/>
        </w:rPr>
        <w:t xml:space="preserve"> (ביש"ש ב"ק פרק הכונס סי' לד)</w:t>
      </w:r>
      <w:r>
        <w:rPr>
          <w:rtl/>
        </w:rPr>
        <w:t xml:space="preserve">. מיהו בהגמ"ר מסיים שם על דין זה וצריך עיון </w:t>
      </w:r>
      <w:r>
        <w:rPr>
          <w:sz w:val="16"/>
          <w:szCs w:val="16"/>
          <w:rtl/>
        </w:rPr>
        <w:t>(וגם מהרש"ל כתב שם וז"ל, ואמת שצ"ע גדול, בשלמא גבי דינר זהב המפקיד גופיה פשע שאמר לה של כסף הוא... אבל מה שאדם מפקיד גבי חבריה וראה אותו, פשיטא שמקבל עליו כל שויו בין רב בין מעט... עכ"ל. ולפעד"נ דשפיר יש לדמותו להך דדינר זהב, דהתם מה שאמר המפקיד של כסף הוא לא הוי פשיעה, דעשה כן כדי שתקבל השמירה עליו, וא"כ הוי לה לאסוקי אדעתה שהוא של זהב ושאמר כן כדי שתקבל השמירה, ואפ"ה פטרינן מטעם דנטירותא דכספא קיבלה עלה ולא נטירותא דדהבא. וכן משמע בתוספות [שם ד"ה מי] והגה"א [שם פ"ו סי' ט"ז] ונמוק"י סוף פרק הכונס [שם כו. מדפה"ר]... ואע"ג דמסתמא אם הפקיד אצלו אבן טובה פשיטא דחייב לשלם כל שויו, היינו משום שאבן טובה רגיל להיות ששוה הרבה, ומסתמא אסיק אדעתיה לקבל שמירתו בין שוה מעט או הרבה, משא"כ בסייף יקר, דלא שכיח ששוה הרבה יותר, ולא עלה על דעתו לקבל שמירה יותר מסתם סייף דעלמא. וכ"פ בשלט"ג פרק המפקיד [ב"מ יט: מדפה"ר אות א].... ומ"מ נלפע"ד כיון דבהגמ"ר גופיה מסיק על זה וצ"ע, הוי ספיקא דדינא...)</w:t>
      </w:r>
      <w:r>
        <w:rPr>
          <w:rtl/>
        </w:rPr>
        <w:t>, ש"ך (סק"מ).</w:t>
      </w:r>
    </w:p>
  </w:footnote>
  <w:footnote w:id="5840">
    <w:p w14:paraId="068A0DBE" w14:textId="77777777" w:rsidR="0013116F" w:rsidRDefault="0013116F" w:rsidP="0004348D">
      <w:pPr>
        <w:pStyle w:val="a9"/>
      </w:pPr>
      <w:r>
        <w:rPr>
          <w:rStyle w:val="ab"/>
        </w:rPr>
        <w:footnoteRef/>
      </w:r>
      <w:r>
        <w:rPr>
          <w:rtl/>
        </w:rPr>
        <w:t xml:space="preserve"> </w:t>
      </w:r>
      <w:r>
        <w:rPr>
          <w:rFonts w:hint="cs"/>
          <w:rtl/>
        </w:rPr>
        <w:t xml:space="preserve">סימן – משכון גנוב. </w:t>
      </w:r>
    </w:p>
  </w:footnote>
  <w:footnote w:id="5841">
    <w:p w14:paraId="793DF348" w14:textId="77777777" w:rsidR="0013116F" w:rsidRDefault="0013116F" w:rsidP="0004348D">
      <w:pPr>
        <w:pStyle w:val="a9"/>
      </w:pPr>
      <w:r>
        <w:rPr>
          <w:rStyle w:val="ab"/>
        </w:rPr>
        <w:footnoteRef/>
      </w:r>
      <w:r>
        <w:rPr>
          <w:rtl/>
        </w:rPr>
        <w:t xml:space="preserve"> </w:t>
      </w:r>
      <w:r>
        <w:rPr>
          <w:rFonts w:hint="cs"/>
          <w:rtl/>
        </w:rPr>
        <w:t>סלע = ב' שקלים = ד' דינרים.</w:t>
      </w:r>
    </w:p>
  </w:footnote>
  <w:footnote w:id="5842">
    <w:p w14:paraId="58AB1960" w14:textId="77777777" w:rsidR="0013116F" w:rsidRDefault="0013116F" w:rsidP="0004348D">
      <w:pPr>
        <w:pStyle w:val="a9"/>
        <w:rPr>
          <w:rtl/>
        </w:rPr>
      </w:pPr>
      <w:r>
        <w:rPr>
          <w:rStyle w:val="ab"/>
        </w:rPr>
        <w:footnoteRef/>
      </w:r>
      <w:r>
        <w:rPr>
          <w:rtl/>
        </w:rPr>
        <w:t xml:space="preserve"> </w:t>
      </w:r>
      <w:r>
        <w:rPr>
          <w:rFonts w:hint="cs"/>
          <w:rtl/>
        </w:rPr>
        <w:t xml:space="preserve">סימן – לא בדירתו. וכן - </w:t>
      </w:r>
      <w:r>
        <w:rPr>
          <w:rFonts w:hint="cs"/>
          <w:b/>
          <w:bCs/>
          <w:rtl/>
        </w:rPr>
        <w:t>ל</w:t>
      </w:r>
      <w:r>
        <w:rPr>
          <w:rFonts w:hint="cs"/>
          <w:rtl/>
        </w:rPr>
        <w:t>א תחמו</w:t>
      </w:r>
      <w:r>
        <w:rPr>
          <w:rFonts w:hint="cs"/>
          <w:b/>
          <w:bCs/>
          <w:rtl/>
        </w:rPr>
        <w:t>ד</w:t>
      </w:r>
      <w:r>
        <w:rPr>
          <w:rFonts w:hint="cs"/>
          <w:rtl/>
        </w:rPr>
        <w:t xml:space="preserve">. </w:t>
      </w:r>
    </w:p>
  </w:footnote>
  <w:footnote w:id="5843">
    <w:p w14:paraId="36F95A68" w14:textId="77777777" w:rsidR="0013116F" w:rsidRDefault="0013116F" w:rsidP="0004348D">
      <w:pPr>
        <w:pStyle w:val="a9"/>
      </w:pPr>
      <w:r>
        <w:rPr>
          <w:rStyle w:val="ab"/>
        </w:rPr>
        <w:footnoteRef/>
      </w:r>
      <w:r>
        <w:rPr>
          <w:rtl/>
        </w:rPr>
        <w:t xml:space="preserve"> כלומר כיון דלכולי עלמא יש צד שמתחייב המלוה כשאבד המשכון, אם המלוה אומר סלע הלויתיך וכו', ב"י.</w:t>
      </w:r>
    </w:p>
  </w:footnote>
  <w:footnote w:id="5844">
    <w:p w14:paraId="170E1C27" w14:textId="77777777" w:rsidR="0013116F" w:rsidRDefault="0013116F" w:rsidP="0004348D">
      <w:pPr>
        <w:pStyle w:val="a9"/>
      </w:pPr>
      <w:r>
        <w:rPr>
          <w:rStyle w:val="ab"/>
        </w:rPr>
        <w:footnoteRef/>
      </w:r>
      <w:r>
        <w:rPr>
          <w:rtl/>
        </w:rPr>
        <w:t xml:space="preserve"> כלומר בנקיטת חפץ, כדין שבועת המשנה, והיינו משום דמשמע בהמפקיד (שם לה.) ששבועה זו רמוזה במשנה דאמרינן מי נשבע תחלה, ב"י.</w:t>
      </w:r>
    </w:p>
  </w:footnote>
  <w:footnote w:id="5845">
    <w:p w14:paraId="135ACBE1" w14:textId="77777777" w:rsidR="0013116F" w:rsidRDefault="0013116F" w:rsidP="0004348D">
      <w:pPr>
        <w:pStyle w:val="a9"/>
      </w:pPr>
      <w:r>
        <w:rPr>
          <w:rStyle w:val="ab"/>
        </w:rPr>
        <w:footnoteRef/>
      </w:r>
      <w:r>
        <w:rPr>
          <w:rtl/>
        </w:rPr>
        <w:t xml:space="preserve"> שאע"פ ששנינו שהוא פטור- חייב שבועת היסת מתקנת האמוראים </w:t>
      </w:r>
      <w:r>
        <w:rPr>
          <w:sz w:val="16"/>
          <w:szCs w:val="16"/>
          <w:rtl/>
        </w:rPr>
        <w:t>(קדושין מג:)</w:t>
      </w:r>
      <w:r>
        <w:rPr>
          <w:rtl/>
        </w:rPr>
        <w:t xml:space="preserve">. וכ"כ בעל התרומות </w:t>
      </w:r>
      <w:r>
        <w:rPr>
          <w:sz w:val="16"/>
          <w:szCs w:val="16"/>
          <w:rtl/>
        </w:rPr>
        <w:t>(שער מט ח"א סי' א)</w:t>
      </w:r>
      <w:r>
        <w:rPr>
          <w:rtl/>
        </w:rPr>
        <w:t>, ב"י.</w:t>
      </w:r>
    </w:p>
  </w:footnote>
  <w:footnote w:id="5846">
    <w:p w14:paraId="1D4C23B3" w14:textId="77777777" w:rsidR="0013116F" w:rsidRDefault="0013116F" w:rsidP="0004348D">
      <w:pPr>
        <w:pStyle w:val="a9"/>
        <w:rPr>
          <w:rtl/>
        </w:rPr>
      </w:pPr>
      <w:r>
        <w:rPr>
          <w:rStyle w:val="ab"/>
        </w:rPr>
        <w:footnoteRef/>
      </w:r>
      <w:r>
        <w:rPr>
          <w:rtl/>
        </w:rPr>
        <w:t xml:space="preserve"> וכתב הה"מ שדין זה לא נתבאר בגמ' אבל פשוט הוא בהגוזל בתרא </w:t>
      </w:r>
      <w:r>
        <w:rPr>
          <w:sz w:val="16"/>
          <w:szCs w:val="16"/>
          <w:rtl/>
        </w:rPr>
        <w:t xml:space="preserve">(ב"ק קיח.) </w:t>
      </w:r>
      <w:r>
        <w:rPr>
          <w:rtl/>
        </w:rPr>
        <w:t>הלויתני ואיני יודע אם החזרתי לך - חייב כשתובעו מלוה. ובדין היה שיטול מלוה שלא בשבועה אלא כיון שצריך לישבע שאינה ברשותו מדין גלגול יש לו לישבע כמה היתה שוה, ב"י.</w:t>
      </w:r>
    </w:p>
  </w:footnote>
  <w:footnote w:id="5847">
    <w:p w14:paraId="0D023CE8" w14:textId="77777777" w:rsidR="0013116F" w:rsidRDefault="0013116F" w:rsidP="0004348D">
      <w:pPr>
        <w:pStyle w:val="a9"/>
        <w:rPr>
          <w:rtl/>
        </w:rPr>
      </w:pPr>
      <w:r>
        <w:rPr>
          <w:rStyle w:val="ab"/>
        </w:rPr>
        <w:footnoteRef/>
      </w:r>
      <w:r>
        <w:rPr>
          <w:rtl/>
        </w:rPr>
        <w:t xml:space="preserve"> פשוט הוא שאינו צריך לישבע שאינה ברשותו כיון דאיכא עדים דנאבדה, ב"י. </w:t>
      </w:r>
    </w:p>
  </w:footnote>
  <w:footnote w:id="5848">
    <w:p w14:paraId="29E75092" w14:textId="77777777" w:rsidR="0013116F" w:rsidRDefault="0013116F" w:rsidP="0004348D">
      <w:pPr>
        <w:pStyle w:val="a9"/>
        <w:rPr>
          <w:rtl/>
        </w:rPr>
      </w:pPr>
      <w:r>
        <w:rPr>
          <w:rStyle w:val="ab"/>
        </w:rPr>
        <w:footnoteRef/>
      </w:r>
      <w:r>
        <w:rPr>
          <w:rtl/>
        </w:rPr>
        <w:t xml:space="preserve"> </w:t>
      </w:r>
      <w:r>
        <w:rPr>
          <w:rFonts w:hint="cs"/>
          <w:rtl/>
        </w:rPr>
        <w:t>וחרם סתם הוא מתקנת הגאונים. וכל דין זה עד אלא שמחרים הלוה סתם כתבו בהעי"ט (הל' מלוה על המשכון כא ע"ד). וכתוב שם עוד דהוא הדין אם מאמינו שנאבד שנוטל שקל בלא שבועה, ב"י.</w:t>
      </w:r>
      <w:r>
        <w:rPr>
          <w:rtl/>
        </w:rPr>
        <w:t xml:space="preserve"> </w:t>
      </w:r>
      <w:r>
        <w:rPr>
          <w:color w:val="E36C0A" w:themeColor="accent6" w:themeShade="BF"/>
          <w:rtl/>
        </w:rPr>
        <w:t>(וכ"פ בשו"ע)</w:t>
      </w:r>
    </w:p>
  </w:footnote>
  <w:footnote w:id="5849">
    <w:p w14:paraId="2A0AC509" w14:textId="77777777" w:rsidR="0013116F" w:rsidRDefault="0013116F" w:rsidP="0004348D">
      <w:pPr>
        <w:pStyle w:val="a9"/>
        <w:rPr>
          <w:rtl/>
        </w:rPr>
      </w:pPr>
      <w:r>
        <w:rPr>
          <w:rStyle w:val="ab"/>
        </w:rPr>
        <w:footnoteRef/>
      </w:r>
      <w:r>
        <w:rPr>
          <w:rtl/>
        </w:rPr>
        <w:t xml:space="preserve"> ר"ל לפני זה בסעיף ב' פסק המחבר כהגאונים דס"ל דנעשה עליו שומר שכר וחייב בדמי כל המשכון. אבל גם למ"ד דנעשה עליו שומר חנם שייכים דינים הללו, דהרי מ"מ חובו שכנגד המשכון מפסיד, וכמ"ש, ומשום הכי כתב הטור [סעיף ה'] דינים הללו אליבא דכו"ע ע"ש. ולא כעיר שושן [סע' ט] דתלה דין זה במאי דקי"ל כמ"ד דנעשה עליו שומר שכר, סמ"ע (סקכ"ט).</w:t>
      </w:r>
    </w:p>
  </w:footnote>
  <w:footnote w:id="5850">
    <w:p w14:paraId="7A35B57F" w14:textId="77777777" w:rsidR="0013116F" w:rsidRDefault="0013116F" w:rsidP="0004348D">
      <w:pPr>
        <w:pStyle w:val="a9"/>
      </w:pPr>
      <w:r>
        <w:rPr>
          <w:rStyle w:val="ab"/>
        </w:rPr>
        <w:footnoteRef/>
      </w:r>
      <w:r>
        <w:rPr>
          <w:rtl/>
        </w:rPr>
        <w:t xml:space="preserve"> פירוש, ולא שישבע הלוה היסת תחילה שהיה שוה שוב כנגד החוב, דחיישינן שמא יוציא המלוה המשכון אחר שבועת הלוה ויכחישנו ונמצא שם שמים מתחלל, וכמ"ש הטור (סע' י) והמחבר (סע' טו) אחר זה ע"ש. ושם נתבאר דאפילו מאמין הלוה למלוה שנאבד, אפ"ה חייב לישבע כל שהלוה צריך לישבע, סמ"ע (סקל"א).</w:t>
      </w:r>
    </w:p>
  </w:footnote>
  <w:footnote w:id="5851">
    <w:p w14:paraId="7980B10F" w14:textId="77777777" w:rsidR="0013116F" w:rsidRDefault="0013116F" w:rsidP="0004348D">
      <w:pPr>
        <w:pStyle w:val="a9"/>
        <w:rPr>
          <w:rtl/>
        </w:rPr>
      </w:pPr>
      <w:r>
        <w:rPr>
          <w:rStyle w:val="ab"/>
        </w:rPr>
        <w:footnoteRef/>
      </w:r>
      <w:r>
        <w:rPr>
          <w:rtl/>
        </w:rPr>
        <w:t xml:space="preserve"> היינו שבועת המשנה בנקיטת חפץ, דאע"פ שמשלם מה שהיה שוה חיישינן שמא עיניו נתן בה, וע"ל סע' ט"ו, אבל שבועה שאינו ברשותו שהיא שבועת התורה, היינו כשפוטר עצמו בשבועה זו אף מתשלומין, וכדלקמן סי' רצ"ד סע' ב </w:t>
      </w:r>
      <w:r>
        <w:rPr>
          <w:sz w:val="16"/>
          <w:szCs w:val="16"/>
          <w:rtl/>
        </w:rPr>
        <w:t>[וע"ש סק"ב]</w:t>
      </w:r>
      <w:r>
        <w:rPr>
          <w:rtl/>
        </w:rPr>
        <w:t>, ש"ך</w:t>
      </w:r>
      <w:r>
        <w:rPr>
          <w:sz w:val="16"/>
          <w:szCs w:val="16"/>
          <w:rtl/>
        </w:rPr>
        <w:t xml:space="preserve"> (סקמ"ד)</w:t>
      </w:r>
      <w:r>
        <w:rPr>
          <w:rtl/>
        </w:rPr>
        <w:t>.</w:t>
      </w:r>
    </w:p>
  </w:footnote>
  <w:footnote w:id="5852">
    <w:p w14:paraId="59158A41" w14:textId="77777777" w:rsidR="0013116F" w:rsidRDefault="0013116F" w:rsidP="0004348D">
      <w:pPr>
        <w:pStyle w:val="a9"/>
        <w:rPr>
          <w:rtl/>
        </w:rPr>
      </w:pPr>
      <w:r>
        <w:rPr>
          <w:rStyle w:val="ab"/>
        </w:rPr>
        <w:footnoteRef/>
      </w:r>
      <w:r>
        <w:rPr>
          <w:rtl/>
        </w:rPr>
        <w:t xml:space="preserve"> שבועה דאורייתא, ואם אומר הילך הדינר שמודה, נשבע היסת, ש"ך (סקמ"ה).</w:t>
      </w:r>
    </w:p>
  </w:footnote>
  <w:footnote w:id="5853">
    <w:p w14:paraId="2A65B88E" w14:textId="77777777" w:rsidR="0013116F" w:rsidRDefault="0013116F" w:rsidP="0004348D">
      <w:pPr>
        <w:pStyle w:val="a9"/>
      </w:pPr>
      <w:r>
        <w:rPr>
          <w:rStyle w:val="ab"/>
        </w:rPr>
        <w:footnoteRef/>
      </w:r>
      <w:r>
        <w:rPr>
          <w:rtl/>
        </w:rPr>
        <w:t xml:space="preserve"> שמטעם הנזכר שהוא יודע בודאי שהוא חייב לו כו', דין הוא שיטול המלוה ממנו השקל בלא שבועה, אלא שמכח דין גלגול אמרינן שיכלול בשבועה גם זה, וכיון דאין כאן עליו שבועה דאינו ברשותו, נוטל בלא שבועה, סמ"ע (סקל"ד).</w:t>
      </w:r>
    </w:p>
  </w:footnote>
  <w:footnote w:id="5854">
    <w:p w14:paraId="1B65EA5E" w14:textId="77777777" w:rsidR="0013116F" w:rsidRDefault="0013116F" w:rsidP="0004348D">
      <w:pPr>
        <w:pStyle w:val="a9"/>
      </w:pPr>
      <w:r>
        <w:rPr>
          <w:rStyle w:val="ab"/>
        </w:rPr>
        <w:footnoteRef/>
      </w:r>
      <w:r>
        <w:rPr>
          <w:rtl/>
        </w:rPr>
        <w:t xml:space="preserve"> </w:t>
      </w:r>
      <w:r>
        <w:rPr>
          <w:rFonts w:hint="cs"/>
          <w:rtl/>
        </w:rPr>
        <w:t>סימן – משכון גנוב.</w:t>
      </w:r>
    </w:p>
  </w:footnote>
  <w:footnote w:id="5855">
    <w:p w14:paraId="2FDCD644" w14:textId="77777777" w:rsidR="0013116F" w:rsidRDefault="0013116F" w:rsidP="0004348D">
      <w:pPr>
        <w:pStyle w:val="a9"/>
      </w:pPr>
      <w:r>
        <w:rPr>
          <w:rStyle w:val="ab"/>
        </w:rPr>
        <w:footnoteRef/>
      </w:r>
      <w:r>
        <w:rPr>
          <w:rtl/>
        </w:rPr>
        <w:t xml:space="preserve"> וכבר נתבאר (ס"ה) שאע"פ שבמשנה אמרו פטור חייב שבועת היסת וכ"כ בעל התרומות בשער מ"ט (שם), ב"י.</w:t>
      </w:r>
    </w:p>
  </w:footnote>
  <w:footnote w:id="5856">
    <w:p w14:paraId="4614B86F" w14:textId="77777777" w:rsidR="0013116F" w:rsidRDefault="0013116F" w:rsidP="0004348D">
      <w:pPr>
        <w:pStyle w:val="a9"/>
        <w:rPr>
          <w:rtl/>
        </w:rPr>
      </w:pPr>
      <w:r>
        <w:rPr>
          <w:rStyle w:val="ab"/>
        </w:rPr>
        <w:footnoteRef/>
      </w:r>
      <w:r>
        <w:rPr>
          <w:rtl/>
        </w:rPr>
        <w:t xml:space="preserve"> </w:t>
      </w:r>
      <w:r>
        <w:rPr>
          <w:rFonts w:hint="cs"/>
          <w:rtl/>
        </w:rPr>
        <w:t>סימן – לא בדירתי.</w:t>
      </w:r>
    </w:p>
  </w:footnote>
  <w:footnote w:id="5857">
    <w:p w14:paraId="23F449FA" w14:textId="77777777" w:rsidR="0013116F" w:rsidRDefault="0013116F" w:rsidP="0004348D">
      <w:pPr>
        <w:pStyle w:val="a9"/>
        <w:rPr>
          <w:rtl/>
        </w:rPr>
      </w:pPr>
      <w:r>
        <w:rPr>
          <w:rStyle w:val="ab"/>
        </w:rPr>
        <w:footnoteRef/>
      </w:r>
      <w:r>
        <w:rPr>
          <w:rtl/>
        </w:rPr>
        <w:t xml:space="preserve"> הויא תיובתא לרב הונא, רישא תביעת מלוה, סיפא תביעת לוה, רישא דסיפא - דקתני: פטור בתביעת לוה, רש"י.</w:t>
      </w:r>
    </w:p>
  </w:footnote>
  <w:footnote w:id="5858">
    <w:p w14:paraId="6DC6B284" w14:textId="77777777" w:rsidR="0013116F" w:rsidRDefault="0013116F" w:rsidP="0004348D">
      <w:pPr>
        <w:pStyle w:val="a9"/>
      </w:pPr>
      <w:r>
        <w:rPr>
          <w:rStyle w:val="ab"/>
        </w:rPr>
        <w:footnoteRef/>
      </w:r>
      <w:r>
        <w:rPr>
          <w:rtl/>
        </w:rPr>
        <w:t xml:space="preserve"> דטענה שאין בה שבועה עם טענה שיש בה שבועה - מגלגלין עליו שבועה לישבע על שתיהן, וגילגול שבועה דאורייתא היא, בקדושין (כז:), רש"י.</w:t>
      </w:r>
    </w:p>
  </w:footnote>
  <w:footnote w:id="5859">
    <w:p w14:paraId="7ABB62B8" w14:textId="77777777" w:rsidR="0013116F" w:rsidRDefault="0013116F" w:rsidP="0004348D">
      <w:pPr>
        <w:pStyle w:val="a9"/>
      </w:pPr>
      <w:r>
        <w:rPr>
          <w:rStyle w:val="ab"/>
        </w:rPr>
        <w:footnoteRef/>
      </w:r>
      <w:r>
        <w:rPr>
          <w:rtl/>
        </w:rPr>
        <w:t xml:space="preserve"> הא דקתני פטור - במאמינו לוה למלוה שאינה ברשותו, רש"י.</w:t>
      </w:r>
    </w:p>
  </w:footnote>
  <w:footnote w:id="5860">
    <w:p w14:paraId="01C714EC" w14:textId="77777777" w:rsidR="0013116F" w:rsidRDefault="0013116F" w:rsidP="0004348D">
      <w:pPr>
        <w:pStyle w:val="a9"/>
      </w:pPr>
      <w:r>
        <w:rPr>
          <w:rStyle w:val="ab"/>
        </w:rPr>
        <w:footnoteRef/>
      </w:r>
      <w:r>
        <w:rPr>
          <w:rtl/>
        </w:rPr>
        <w:t xml:space="preserve"> מימר אמר לוה לא קים למלוה בגויה דמשכון, דלא נתן דעתו עליו לדעת דמיו, רש"י.</w:t>
      </w:r>
    </w:p>
  </w:footnote>
  <w:footnote w:id="5861">
    <w:p w14:paraId="4D7A60C0" w14:textId="77777777" w:rsidR="0013116F" w:rsidRDefault="0013116F" w:rsidP="0004348D">
      <w:pPr>
        <w:pStyle w:val="a9"/>
      </w:pPr>
      <w:r>
        <w:rPr>
          <w:rStyle w:val="ab"/>
        </w:rPr>
        <w:footnoteRef/>
      </w:r>
      <w:r>
        <w:rPr>
          <w:rtl/>
        </w:rPr>
        <w:t xml:space="preserve"> דנקט תנא למלתיה בהכי, שזה נאמן על זה וזה אינו נאמן על זה, רש"י.</w:t>
      </w:r>
    </w:p>
  </w:footnote>
  <w:footnote w:id="5862">
    <w:p w14:paraId="6ADE765F" w14:textId="77777777" w:rsidR="0013116F" w:rsidRDefault="0013116F" w:rsidP="0004348D">
      <w:pPr>
        <w:pStyle w:val="a9"/>
      </w:pPr>
      <w:r>
        <w:rPr>
          <w:rStyle w:val="ab"/>
        </w:rPr>
        <w:footnoteRef/>
      </w:r>
      <w:r>
        <w:rPr>
          <w:rtl/>
        </w:rPr>
        <w:t xml:space="preserve"> מקרא זה תומת ישרים תנחם, אם לא שאדם נאמן וישר הוא לא היו מעשרין אותו מן השמים, שנאמר תומת ישרים תנחם, רש"י.</w:t>
      </w:r>
    </w:p>
  </w:footnote>
  <w:footnote w:id="5863">
    <w:p w14:paraId="73701C6F" w14:textId="77777777" w:rsidR="0013116F" w:rsidRDefault="0013116F" w:rsidP="0004348D">
      <w:pPr>
        <w:pStyle w:val="a9"/>
      </w:pPr>
      <w:r>
        <w:rPr>
          <w:rStyle w:val="ab"/>
        </w:rPr>
        <w:footnoteRef/>
      </w:r>
      <w:r>
        <w:rPr>
          <w:rtl/>
        </w:rPr>
        <w:t xml:space="preserve"> ונראה שמפרש רבינו חייב לישבע שלא היה שוה יותר מחמשה דינרים שעל זה הם דנים ואח"כ מגלגלין עליו שבועה שאינה ברשותו מדרב הונא דהמפקיד (ב"מ לד:). אבל הרמב"ם כתב בפרק הנזכר (פי"ג ה"ד) ישבע המלוה שאינו ברשותו ויכלול שלא היה שוה יתר על דינר, וכ"כ בעל התרומות בשער מ"ט (ח"א סי' א), וכתב בשם הר"י ן' מיגא"ש ז"ל (שבועות מג. ד"ה המלוה) שאם מאמינו שנאבד או יש לו עדים אע"פ שכבר נפטר משבועה שאינה ברשותו עדיין חייב לישבע שאינה שוה אלא כך וכך כדין מודה מקצת. ולפי זה יפה דקדק רבינו במה שכתב דלעולם צריך הוא לישבע שבועת התורה שלא היה שוה יותר מחמשה דינרים אלא שאם מאמינו שנאבד או שיש עדים אינו צריך לישבע יותר ואם אינו מאמינו וגם אין עדים צריך לישבע גם כן שאינה ברשותו, וכיון דשבועה שלא היתה שוה יותר איתא לעולם היא עיקר ועליה כולל שאינה ברשותו, ב"י.</w:t>
      </w:r>
    </w:p>
  </w:footnote>
  <w:footnote w:id="5864">
    <w:p w14:paraId="2EFFCD54" w14:textId="77777777" w:rsidR="0013116F" w:rsidRDefault="0013116F" w:rsidP="0004348D">
      <w:pPr>
        <w:pStyle w:val="a9"/>
        <w:rPr>
          <w:rtl/>
        </w:rPr>
      </w:pPr>
      <w:r>
        <w:rPr>
          <w:rStyle w:val="ab"/>
        </w:rPr>
        <w:footnoteRef/>
      </w:r>
      <w:r>
        <w:rPr>
          <w:rtl/>
        </w:rPr>
        <w:t xml:space="preserve"> משום דכיון דאמר ליה הילך - לא הוי מודה מקצת. וכן אם אומר שהיה לו בידו כדי מה שהוא מודה שהיה שוה המשכון - הרי אין כאן מודה במקצת. ואם מאמינו או שיש עדים - פטור משבועה שאינה ברשותו ומכמה היה שוה, ומיהו נשבע שבועת היסת. אבל אם אינו מאמינו ואין לו עדים נשבע שבועה שאינו ברשותו ומגלגל עליה אם היה שוה יותר מחמשה דינרים. וכל זה הלשון עד ונפטר הם דברי הר"י ן' מיגא"ש (שם ד"ה נקיטינן) וכתבו בעל התרומות בשער מ"ט (שם), ב"י.</w:t>
      </w:r>
    </w:p>
  </w:footnote>
  <w:footnote w:id="5865">
    <w:p w14:paraId="2674E4DC" w14:textId="77777777" w:rsidR="0013116F" w:rsidRDefault="0013116F" w:rsidP="0004348D">
      <w:pPr>
        <w:pStyle w:val="a9"/>
        <w:rPr>
          <w:rtl/>
        </w:rPr>
      </w:pPr>
      <w:r>
        <w:rPr>
          <w:rStyle w:val="ab"/>
        </w:rPr>
        <w:footnoteRef/>
      </w:r>
      <w:r>
        <w:rPr>
          <w:rtl/>
        </w:rPr>
        <w:t xml:space="preserve"> דין זה כשהמלוה אינו מחייב עצמו בכלום פשוט הוא דהוי ליה כמנה לי בידך והלה אומר איני יודע דפטור, אבל מדין גלגול שיש לו לישבע שאינו ברשותו יכלול שאינו יודע, ואם היתה שבועה שאינה ברשותו מחמת טענת ברי אם היה טוען על הגלגול איני יודע היה חייב לשלם, אבל כיון שאינה אלא מחמת ספק נשבע על גלגול שאינו יודע ונפטר, הה"מ (שם, הביאו הב"י).</w:t>
      </w:r>
    </w:p>
  </w:footnote>
  <w:footnote w:id="5866">
    <w:p w14:paraId="6D7CA17D" w14:textId="77777777" w:rsidR="0013116F" w:rsidRDefault="0013116F" w:rsidP="0004348D">
      <w:pPr>
        <w:pStyle w:val="a9"/>
        <w:rPr>
          <w:rtl/>
        </w:rPr>
      </w:pPr>
      <w:r>
        <w:rPr>
          <w:rStyle w:val="ab"/>
        </w:rPr>
        <w:footnoteRef/>
      </w:r>
      <w:r>
        <w:rPr>
          <w:rtl/>
        </w:rPr>
        <w:t xml:space="preserve"> וכתב הה"מ- זו סברת הרב ן' מיגא"ש פרק שבועת הדיינין (מג. ד"ה מכל מקום) ובהשגות א"א על שיטתו הוא הולך ואין אנו נסכמין עמו לפי שלא בא איני יודע של זה על ברי של זה שאינו אומר אתה יודע ששתים היה שוה אבל אומר כך הדין כדבריו, וכבר הארכתי בביאור מחלוקתן פ"ה מהל' שאלה ופקדון (ה"ז) ודעת הרמב"ן (שבועות מג. ד"ה ומצאתי) נוטה לדעת רבינו עכ"ל. והרא"ש בפרק שבועת הדיינין (פ"ו סי' כז - כח) כתב דעת הרמב"ם ורבו וראיות הרמב"ן לדבריו. ואני אבאר זה סימן ע"ה (סי"ח, כד) בס"ד. ועיין בהריב"ש סימן שפ"א וסימן שצ"ב (בסופו), ב"י.</w:t>
      </w:r>
    </w:p>
  </w:footnote>
  <w:footnote w:id="5867">
    <w:p w14:paraId="614C22E2" w14:textId="77777777" w:rsidR="0013116F" w:rsidRDefault="0013116F" w:rsidP="0004348D">
      <w:pPr>
        <w:pStyle w:val="a9"/>
      </w:pPr>
      <w:r>
        <w:rPr>
          <w:rStyle w:val="ab"/>
        </w:rPr>
        <w:footnoteRef/>
      </w:r>
      <w:r>
        <w:rPr>
          <w:rtl/>
        </w:rPr>
        <w:t xml:space="preserve"> רי"ף </w:t>
      </w:r>
      <w:r>
        <w:rPr>
          <w:sz w:val="16"/>
          <w:szCs w:val="16"/>
          <w:rtl/>
        </w:rPr>
        <w:t>(שערי שבועות שער ט, כ"כ בשמו הסמ"ג [עשין צד דף קעו ע"ד], הביאו הגה"מ [פי"ג ממלוה אות ט])</w:t>
      </w:r>
      <w:r>
        <w:rPr>
          <w:rtl/>
        </w:rPr>
        <w:t xml:space="preserve"> בהעי"ט </w:t>
      </w:r>
      <w:r>
        <w:rPr>
          <w:sz w:val="16"/>
          <w:szCs w:val="16"/>
          <w:rtl/>
        </w:rPr>
        <w:t>(הל' מלוה על המשכון כא ע"ד, כ"כ בשמו בעל התרומות [שער מט ח"א סי' א)</w:t>
      </w:r>
      <w:r>
        <w:rPr>
          <w:rtl/>
        </w:rPr>
        <w:t xml:space="preserve"> וטור.</w:t>
      </w:r>
    </w:p>
  </w:footnote>
  <w:footnote w:id="5868">
    <w:p w14:paraId="40E31649" w14:textId="77777777" w:rsidR="0013116F" w:rsidRDefault="0013116F" w:rsidP="0004348D">
      <w:pPr>
        <w:pStyle w:val="a9"/>
      </w:pPr>
      <w:r>
        <w:rPr>
          <w:rStyle w:val="ab"/>
        </w:rPr>
        <w:footnoteRef/>
      </w:r>
      <w:r>
        <w:rPr>
          <w:rtl/>
        </w:rPr>
        <w:t xml:space="preserve"> פירוש, ישבע שבועה דאורייתא כדין מודה מקצת. והמחבר נקט לשון הטור, ולא כלשון הרמב"ם שכתוב בו איפכא, שישבע שאינו ברשותו ויגלגל עליו שבועה שלא היה שוה יותר. ועמ"ש ע"ז בפרישה דנראה דלדינא לא פליגי, עכ"ל סמ"ע [סקל"ו]. וכתב הב"ח [סע' ו], דהרמב"ם מיירי באומר לו הילך במה שמודה, ולא משמע כן ברמב"ם, מדסיים, וישלם הדינר שמודה, ע"ש. אלא נראה דכיון דלענין דינא לא נ"מ מידי, לא דקדק הרמב"ם בכך. ועיין לקמן סימן רצ"ה סע' א' כתבו הטור והמחבר גופייהו כהרמב"ם, ונראה גם כן דלא דקדקו בזה מהאי טעמא. א"נ שם עיקר התביעה היא על גוף הדבר. ומ"מ לענין דינא לא נ"מ, ש"ך (סקמ"ו).</w:t>
      </w:r>
    </w:p>
  </w:footnote>
  <w:footnote w:id="5869">
    <w:p w14:paraId="62DAD4B8" w14:textId="77777777" w:rsidR="0013116F" w:rsidRDefault="0013116F" w:rsidP="0004348D">
      <w:pPr>
        <w:pStyle w:val="a9"/>
      </w:pPr>
      <w:r>
        <w:rPr>
          <w:rStyle w:val="ab"/>
        </w:rPr>
        <w:footnoteRef/>
      </w:r>
      <w:r>
        <w:rPr>
          <w:rtl/>
        </w:rPr>
        <w:t xml:space="preserve"> דאין בזה דין מתוך שאינו יכול לישבע משלם, וכמ"ש הטור (סע' יז) והמחבר (סע' יד) לקמן בסי' ע"ה דלא אמרו כן אלא בשבועה דאורייתא, סמ"ע (סקל"ט). ויש אומרים משואיל"מ, וכאן כתב שמגלגלים שאינו יודע ונשבע שבועה זו ונפטר, דלא כשום אחד מהדעות שבסי' ע"ה. די"ל כיון דשבועה שאינה ברשותו אינה אלא מחמת טענת ספק שמא עיניו נתן בה, לכך נשבע שבועה זו גם על הגלגול שאינו יודע ונפטר, וא"כ הוי כאן כדעה אחרונה שבסי' ע"ה. אבל לסברא ראשונה שם שאין מגלגלין אינו יודע כלל, דבעינן דוקא דומיא דסוטה, א"כ אמאי ישבע כאן ע"י גלגול. וקושיא זו אלימתא היא וצריכא רבה. ובודאי לדעת הרמב"ם וכן לדעת המחבר בס"ס שד"מ דאפילו בשבועה דאו' מגלגלין באיני יודע, ניחא, אבל בטור אין לתרץ כן, באה"ט </w:t>
      </w:r>
      <w:r>
        <w:rPr>
          <w:sz w:val="16"/>
          <w:szCs w:val="16"/>
          <w:rtl/>
        </w:rPr>
        <w:t xml:space="preserve">(סקכ"ח) </w:t>
      </w:r>
      <w:r>
        <w:rPr>
          <w:rtl/>
        </w:rPr>
        <w:t>ע"פ הש"ך</w:t>
      </w:r>
      <w:r>
        <w:rPr>
          <w:sz w:val="16"/>
          <w:szCs w:val="16"/>
          <w:rtl/>
        </w:rPr>
        <w:t xml:space="preserve"> (סקמ"ז)</w:t>
      </w:r>
      <w:r>
        <w:rPr>
          <w:rtl/>
        </w:rPr>
        <w:t xml:space="preserve">. </w:t>
      </w:r>
    </w:p>
  </w:footnote>
  <w:footnote w:id="5870">
    <w:p w14:paraId="001F8DC2" w14:textId="77777777" w:rsidR="0013116F" w:rsidRDefault="0013116F" w:rsidP="0004348D">
      <w:pPr>
        <w:pStyle w:val="a9"/>
        <w:rPr>
          <w:rtl/>
        </w:rPr>
      </w:pPr>
      <w:r>
        <w:rPr>
          <w:rStyle w:val="ab"/>
        </w:rPr>
        <w:footnoteRef/>
      </w:r>
      <w:r>
        <w:rPr>
          <w:rtl/>
        </w:rPr>
        <w:t xml:space="preserve"> </w:t>
      </w:r>
      <w:r>
        <w:rPr>
          <w:rFonts w:hint="cs"/>
          <w:rtl/>
        </w:rPr>
        <w:t xml:space="preserve">הש"ך </w:t>
      </w:r>
      <w:r>
        <w:rPr>
          <w:sz w:val="16"/>
          <w:szCs w:val="16"/>
          <w:rtl/>
        </w:rPr>
        <w:t xml:space="preserve">(סקנ"א) </w:t>
      </w:r>
      <w:r>
        <w:rPr>
          <w:rtl/>
        </w:rPr>
        <w:t>תמה על הרמ"א והסמ"ע, דבסי' שפ"ח סוף סע' א' פסק הרב כדעת הראב"ד דלא אמרינן בזה משיל"מ, וכן בר"ס רצ"ח כתב הסמ"ע דקי"ל כהראב"ד דרוב הפוסקים הסכימו עמו, וא"כ היאך סתמו דבריהם כמה פעמים בסימן זה כדברי המחבר. ונראה לחלק דדוקא התם ס"ל כן, משום שמעשים בכל יום שאין הנפקד מדקדק לידע מה שיש בשקים ומרצופים, משא"כ הכא שהדבר הממושכן אינו בשק וה"ל לידע. וע"ש בש"ך שמאריך הרבה בדין זה ולבסוף מסיק להלכה, דהיכא שהתובע אינו יודע אם הנתבע יודע אם לאו, הן במפקיד והן במלוה על המשכון או במזיק, בכולן ה"ל משיל"מ. אבל אם התובע מודה שהמזיק או הנפקד אינו יודע כמה היה, כגון שהפקיד או השכין שק צרור וחתום ויודע הוא שהלה לא ראה מה שבתוכו וכה"ג, והוא מודה מקצת והשאר אינו יודע, לא הוי משיל"מ. וגם בכופר בכל כה"ג אינו חייב היסת, שהיאך ישבע שאינו יודע, שהרי התובע מודה לו בזה. וכן היכא שידוע לכל שאינו יודע, או שיש עד אחד, לא אמרינן משיל"מ אם לא במוסר או באשו או בנפקד, דעשו תקנת נגזל שנשבעין ונוטלין שכנגדן, אז מועיל עד אחד שנוטלים שלא בשבועה. לפיכך מי שיש לו עד אחד שבהמות חברו הזיקו כמה וכמה עניינים, אין חברו חייב לשלם לו, שהרי העד מודה שאין המזיק יודע, ולא שייך בזה שבועה כלל, וכן כל כיוצא בזה, עכ"ל, באה"ט (סקכ"ט).</w:t>
      </w:r>
    </w:p>
  </w:footnote>
  <w:footnote w:id="5871">
    <w:p w14:paraId="558E0911" w14:textId="77777777" w:rsidR="0013116F" w:rsidRDefault="0013116F" w:rsidP="0004348D">
      <w:pPr>
        <w:pStyle w:val="a9"/>
      </w:pPr>
      <w:r>
        <w:rPr>
          <w:rStyle w:val="ab"/>
        </w:rPr>
        <w:footnoteRef/>
      </w:r>
      <w:r>
        <w:rPr>
          <w:rtl/>
        </w:rPr>
        <w:t xml:space="preserve"> צ"ע, הא כתבו הטור והמחבר בסמוך סוף סע' ט"ו, דכשהלוה צריך לישבע כמה היה שוה, אז לא ינצל המלוה לעולם מלישבע שאינו ברשותו כו', ומיירי אפילו במאמינו, וכמ"ש מור"ם שם. ויש לחלק, דשאני הכא כיון דעכ"פ המלוה צריך לישבע היסת שלא היה שוה יותר מסלע, אם איתא דהוי בידו היה מוציאו כדי שלא יצטרך לישבע. ולפ"ז צ"ל דאיירי כאן ג"כ דהמלוה נשבע היסת זה תחילה, ואחריו נשבע הלוה היסת שלו..., סמ"ע (סק"מ).</w:t>
      </w:r>
    </w:p>
  </w:footnote>
  <w:footnote w:id="5872">
    <w:p w14:paraId="44FEB6DB" w14:textId="77777777" w:rsidR="0013116F" w:rsidRDefault="0013116F" w:rsidP="0004348D">
      <w:pPr>
        <w:pStyle w:val="a9"/>
        <w:rPr>
          <w:rtl/>
        </w:rPr>
      </w:pPr>
      <w:r>
        <w:rPr>
          <w:rStyle w:val="ab"/>
        </w:rPr>
        <w:footnoteRef/>
      </w:r>
      <w:r>
        <w:rPr>
          <w:rtl/>
        </w:rPr>
        <w:t xml:space="preserve"> ומינה דאם טוען הלוה ברי לי דלא נאנסת, אין המלוה נוטל כלום בשבועתו, אלא הלוה נשבע היסת ונפטר. ועיין מה שכתבתי לעיל סקי"ד, ש"ך (סקנ"ו). וכ"כ הסמ"ע</w:t>
      </w:r>
      <w:r>
        <w:rPr>
          <w:rFonts w:hint="cs"/>
        </w:rPr>
        <w:t xml:space="preserve"> </w:t>
      </w:r>
      <w:r>
        <w:rPr>
          <w:rtl/>
        </w:rPr>
        <w:t>(סקמ"ג).</w:t>
      </w:r>
    </w:p>
  </w:footnote>
  <w:footnote w:id="5873">
    <w:p w14:paraId="7AB9C413" w14:textId="77777777" w:rsidR="0013116F" w:rsidRDefault="0013116F" w:rsidP="0004348D">
      <w:pPr>
        <w:pStyle w:val="a9"/>
      </w:pPr>
      <w:r>
        <w:rPr>
          <w:rStyle w:val="ab"/>
        </w:rPr>
        <w:footnoteRef/>
      </w:r>
      <w:r>
        <w:rPr>
          <w:rtl/>
        </w:rPr>
        <w:t xml:space="preserve"> ואין למלוה עליו אלא חרם סתם, כדלעיל סימן נ"ט [ושם סק"ב]. וכן משמע בתשובות רשב"א סי' תתקע"ז, ש"ך (סקנ"ז).</w:t>
      </w:r>
    </w:p>
  </w:footnote>
  <w:footnote w:id="5874">
    <w:p w14:paraId="43A408E9" w14:textId="77777777" w:rsidR="0013116F" w:rsidRDefault="0013116F" w:rsidP="0004348D">
      <w:pPr>
        <w:pStyle w:val="a9"/>
      </w:pPr>
      <w:r>
        <w:rPr>
          <w:rStyle w:val="ab"/>
        </w:rPr>
        <w:footnoteRef/>
      </w:r>
      <w:r>
        <w:rPr>
          <w:rtl/>
        </w:rPr>
        <w:t xml:space="preserve"> היינו שבועת המשנה, כדין הנשבעים ונוטלים. ואם רצה המלוה, מחזיר לו המשכון תחילה ומשביעו אח"כ שבועת התורה על פי העד, למאי דקי"ל סימן ע"ה סעיף כ"ג דמשביעין בספק על פי העד </w:t>
      </w:r>
      <w:r>
        <w:rPr>
          <w:sz w:val="16"/>
          <w:szCs w:val="16"/>
          <w:rtl/>
        </w:rPr>
        <w:t>(וכמש"כ לקמן סי' קכא סקנ"ו ע"ש)</w:t>
      </w:r>
      <w:r>
        <w:rPr>
          <w:rtl/>
        </w:rPr>
        <w:t>. כן נ"ל מתשו' הרשב"א [ח"ג סי' כג] שהביא ב"י (מחודש כב) גבי שואל, וה"ה גבי מלוה, ש"ך (סקנ"ט).</w:t>
      </w:r>
    </w:p>
  </w:footnote>
  <w:footnote w:id="5875">
    <w:p w14:paraId="06F69DCD" w14:textId="77777777" w:rsidR="0013116F" w:rsidRDefault="0013116F" w:rsidP="0004348D">
      <w:pPr>
        <w:pStyle w:val="a9"/>
        <w:rPr>
          <w:rtl/>
        </w:rPr>
      </w:pPr>
      <w:r>
        <w:rPr>
          <w:rStyle w:val="ab"/>
        </w:rPr>
        <w:footnoteRef/>
      </w:r>
      <w:r>
        <w:rPr>
          <w:rtl/>
        </w:rPr>
        <w:t xml:space="preserve"> אבל אם היה המלוה טוען ברי והיה לו עד אחד כדבריו שלא כדברי הלוה, כיון דבלא העד היה המלוה נשבע ונוטל, עתה שיש לו עד אחד ה"ל עד מסייע ופוטרו משבועה ונוטל בלא שבועה, כמ"ש לקמן סימן פ"ז סעיף ו' בשם מהר"מ, ע"ש, ש"ך (סקנ"ח).</w:t>
      </w:r>
    </w:p>
  </w:footnote>
  <w:footnote w:id="5876">
    <w:p w14:paraId="3E107C11" w14:textId="77777777" w:rsidR="0013116F" w:rsidRDefault="0013116F" w:rsidP="0004348D">
      <w:pPr>
        <w:pStyle w:val="a9"/>
        <w:rPr>
          <w:rtl/>
        </w:rPr>
      </w:pPr>
      <w:r>
        <w:rPr>
          <w:rStyle w:val="ab"/>
        </w:rPr>
        <w:footnoteRef/>
      </w:r>
      <w:r>
        <w:rPr>
          <w:rtl/>
        </w:rPr>
        <w:t xml:space="preserve"> </w:t>
      </w:r>
      <w:r>
        <w:rPr>
          <w:rFonts w:hint="cs"/>
          <w:rtl/>
        </w:rPr>
        <w:t>סימן – לא בדירתי.</w:t>
      </w:r>
    </w:p>
  </w:footnote>
  <w:footnote w:id="5877">
    <w:p w14:paraId="197473AA" w14:textId="77777777" w:rsidR="0013116F" w:rsidRDefault="0013116F" w:rsidP="0004348D">
      <w:pPr>
        <w:pStyle w:val="a9"/>
        <w:rPr>
          <w:rtl/>
        </w:rPr>
      </w:pPr>
      <w:r>
        <w:rPr>
          <w:rStyle w:val="ab"/>
        </w:rPr>
        <w:footnoteRef/>
      </w:r>
      <w:r>
        <w:rPr>
          <w:rtl/>
        </w:rPr>
        <w:t xml:space="preserve"> אמתניתין קאי, אע"פ שהוא משלם, כדקתני שילם ולא רצה לישבע - משביעין אותו שבועה שאינה ברשותו, רש"י.</w:t>
      </w:r>
    </w:p>
  </w:footnote>
  <w:footnote w:id="5878">
    <w:p w14:paraId="23861248" w14:textId="77777777" w:rsidR="0013116F" w:rsidRDefault="0013116F" w:rsidP="0004348D">
      <w:pPr>
        <w:pStyle w:val="a9"/>
      </w:pPr>
      <w:r>
        <w:rPr>
          <w:rStyle w:val="ab"/>
        </w:rPr>
        <w:footnoteRef/>
      </w:r>
      <w:r>
        <w:rPr>
          <w:rtl/>
        </w:rPr>
        <w:t xml:space="preserve"> וכתב הה"מ שאע"ג שהחילוק הזה לא נתבאר בגמ' מ"מ נראה נכון דכל זמן שהדבר מצוי למה יחשד הלה שעיניו נתן בה, ב"י.</w:t>
      </w:r>
    </w:p>
  </w:footnote>
  <w:footnote w:id="5879">
    <w:p w14:paraId="69781F9B" w14:textId="77777777" w:rsidR="0013116F" w:rsidRDefault="0013116F" w:rsidP="0004348D">
      <w:pPr>
        <w:pStyle w:val="a9"/>
      </w:pPr>
      <w:r>
        <w:rPr>
          <w:rStyle w:val="ab"/>
        </w:rPr>
        <w:footnoteRef/>
      </w:r>
      <w:r>
        <w:rPr>
          <w:rtl/>
        </w:rPr>
        <w:t xml:space="preserve"> כתב בעל התרומות בשער מ"ט (שם) דהכי מסתברא ממאי דתנן בסוף שבועת הדיינין (מג.) מי הוא הנשבע - מי שהפקדון אצלו שמא ישבע זה ויוציא הלה את הפקדון, ואמרינן בגמ' (שם:) דקאי אמאי דתנן לעיל מינה סלע הלויתיך עליו ושקל היה שוה והלה אומר לא כי אלא סלע הלויתני עליו ושלשה דינרים היה שוה חייב, והשתא דאמר רב אשי זה נשבע שאינו ברשותו וזה נשבע כמה היה שוה הכי קאמר מי הנשבע תחלה מי שהפקדון אצלו שמא ישבע זה ויוציא הלה את הפקדון. ופירש רש"י ושמא לא דקדק זה בשומא ויפסלנו לעדות ולשבועה. והרי"ף</w:t>
      </w:r>
      <w:r>
        <w:rPr>
          <w:sz w:val="16"/>
          <w:szCs w:val="16"/>
          <w:rtl/>
        </w:rPr>
        <w:t xml:space="preserve"> (כה.) </w:t>
      </w:r>
      <w:r>
        <w:rPr>
          <w:rtl/>
        </w:rPr>
        <w:t xml:space="preserve">כתב ונמצא שם שמים מתחלל. וכתב הר"ן ז"ל בפרק הנזכר </w:t>
      </w:r>
      <w:r>
        <w:rPr>
          <w:sz w:val="16"/>
          <w:szCs w:val="16"/>
          <w:rtl/>
        </w:rPr>
        <w:t>(כד. ד"ה מתני' המלוה)</w:t>
      </w:r>
      <w:r>
        <w:rPr>
          <w:rtl/>
        </w:rPr>
        <w:t xml:space="preserve"> והא דתנן סלע הלויתני עליו ושתים היה שוה והלה אומר לא כי אלא סלע הלויתיך עליו וסלע היה שוה פטור אוקימנא לה בהמפקיד </w:t>
      </w:r>
      <w:r>
        <w:rPr>
          <w:sz w:val="16"/>
          <w:szCs w:val="16"/>
          <w:rtl/>
        </w:rPr>
        <w:t xml:space="preserve">(ב"מ לה.) </w:t>
      </w:r>
      <w:r>
        <w:rPr>
          <w:rtl/>
        </w:rPr>
        <w:t xml:space="preserve">במאמינו לוה למלוה שאינו ברשותו שאל"כ מתוך שצריך לישבע שאינו ברשותו נשבע נמי כמה היה שוה ע"י גלגול, ואם תאמר אי במאמינו היכי תנן מי נשבע מי שהפקדון אצלו ופרישנא לה בגמ' דמלוה נשבע תחלה שאינה ברשותו וכיון דמוקמינן לה במאמינו למה נשבע מלוה, ויש לומר אע"פ שמאמינו כיון שנתחייב לוה שבועה משביעין נמי את המלוה שמא ישבע זה ויוציא הלה את הפקדון, ב"י. </w:t>
      </w:r>
      <w:r>
        <w:rPr>
          <w:color w:val="00B0F0"/>
          <w:rtl/>
        </w:rPr>
        <w:t>(וכ"פ הרמ"א)</w:t>
      </w:r>
    </w:p>
  </w:footnote>
  <w:footnote w:id="5880">
    <w:p w14:paraId="40617A24" w14:textId="77777777" w:rsidR="0013116F" w:rsidRDefault="0013116F" w:rsidP="0004348D">
      <w:pPr>
        <w:pStyle w:val="a9"/>
        <w:rPr>
          <w:rtl/>
        </w:rPr>
      </w:pPr>
      <w:r>
        <w:rPr>
          <w:rStyle w:val="ab"/>
        </w:rPr>
        <w:footnoteRef/>
      </w:r>
      <w:r>
        <w:rPr>
          <w:rtl/>
        </w:rPr>
        <w:t xml:space="preserve"> כתב הסמ"ע (סקמ"ה) דמשכחת לה שהלוה נשבע ונוטל, כגון שטוען הלוה סלע הלויתני וב' היה שוה, והמלוה טוען שהיה שוה יותר </w:t>
      </w:r>
      <w:r>
        <w:rPr>
          <w:sz w:val="16"/>
          <w:szCs w:val="16"/>
          <w:rtl/>
        </w:rPr>
        <w:t xml:space="preserve">{מההלואה} </w:t>
      </w:r>
      <w:r>
        <w:rPr>
          <w:rtl/>
        </w:rPr>
        <w:t xml:space="preserve">אבל אינו יודע כמה, ויש לו עד אחד שלא היה שוה אלא ה' דינרים, [אבל בלא עד אחד, נוטלו הלוה בלא שבועה, כמ"ש בסעיף י"ב] הרי הלוה נשבע נגד העד ונוטל סלע מהמלוה, ע"ש. ועמ"ש מור"ם בהג"ה בסעיף י"ד לענין פרעון כעין זה. ועיין לקמן סימן עג סוף סעיף טו. והש"ך </w:t>
      </w:r>
      <w:r>
        <w:rPr>
          <w:sz w:val="16"/>
          <w:szCs w:val="16"/>
          <w:rtl/>
        </w:rPr>
        <w:t xml:space="preserve">(ס"ק ס"א) </w:t>
      </w:r>
      <w:r>
        <w:rPr>
          <w:rtl/>
        </w:rPr>
        <w:t xml:space="preserve">כתב דעוד נראה דמשכחת לה כשהפכה המלוה השבועה על הלוה, וכ"כ הב"ח </w:t>
      </w:r>
      <w:r>
        <w:rPr>
          <w:sz w:val="16"/>
          <w:szCs w:val="16"/>
          <w:rtl/>
        </w:rPr>
        <w:t>[סע' י]</w:t>
      </w:r>
      <w:r>
        <w:rPr>
          <w:rtl/>
        </w:rPr>
        <w:t xml:space="preserve">... ומוכח מכאן דמחויב שבועה ואינו יכול לישבע שיש לו עד אחד מסייעו, אפ"ה אינו פוטרו משבועה וחייב לשלם, באה"ט </w:t>
      </w:r>
      <w:r>
        <w:rPr>
          <w:sz w:val="16"/>
          <w:szCs w:val="16"/>
          <w:rtl/>
        </w:rPr>
        <w:t>(סקל"ו)</w:t>
      </w:r>
      <w:r>
        <w:rPr>
          <w:rtl/>
        </w:rPr>
        <w:t>.</w:t>
      </w:r>
    </w:p>
  </w:footnote>
  <w:footnote w:id="5881">
    <w:p w14:paraId="76978214" w14:textId="77777777" w:rsidR="0013116F" w:rsidRDefault="0013116F" w:rsidP="0004348D">
      <w:pPr>
        <w:pStyle w:val="a9"/>
      </w:pPr>
      <w:r>
        <w:rPr>
          <w:rStyle w:val="ab"/>
        </w:rPr>
        <w:footnoteRef/>
      </w:r>
      <w:r>
        <w:rPr>
          <w:rtl/>
        </w:rPr>
        <w:t xml:space="preserve"> או יהיה שבועה לבטלה כדפירש ר"ח [בתוס' ב"מ לד: ד"ה שמא] ולא כפירוש רש"י [שם ד"ה ויוציא] דיפסל לעדות ולשבועה </w:t>
      </w:r>
      <w:r>
        <w:rPr>
          <w:sz w:val="16"/>
          <w:szCs w:val="16"/>
          <w:rtl/>
        </w:rPr>
        <w:t>(ועיין מה שכתבתי לקמן סימן פ"ז סעיף ל"ג [סקע"ט], ולפי זה יכול המלוה לומר לא אשבע שאינו ברשותי, כיון שהוא מצוי בשוק, ותקבל אתה בחרם כמה היה שוה. משא"כ לפירוש רש"י, שהרי אפילו בעובר על החרם פסול לעדות ולשבועה כדלעיל סימן ל"ד [סעיף ה'] ולקמן סימן צ"ב [סעיף ב']. וכן מוכח לקמן סוף סימן ע"ה [סעיף כ"ד] הטעם כפירוש ר"ח, ע"ש [ובש"ך סקפ"ו])</w:t>
      </w:r>
      <w:r>
        <w:rPr>
          <w:rtl/>
        </w:rPr>
        <w:t>. ובבעל התרומות שער כד [ח"א ס"א] כתב, דמסתברא כפירוש ר"ח שפירש שכשיוציא נמצא שבועת הלוה לבטלה ובזה ש"ש מתחלל, עכ"ל. א"כ גם דברי הרי"ף (שבועות כה. מדפה"ר) ומחבר שכתבו שם שמים מתחלל יש לפרש כן, ודלא כב"ח [סעיף י'], ע"ש, ש"ך (ס"ק ס"ג).</w:t>
      </w:r>
    </w:p>
  </w:footnote>
  <w:footnote w:id="5882">
    <w:p w14:paraId="2D6632A7" w14:textId="77777777" w:rsidR="0013116F" w:rsidRDefault="0013116F" w:rsidP="0004348D">
      <w:pPr>
        <w:pStyle w:val="a9"/>
        <w:rPr>
          <w:rtl/>
        </w:rPr>
      </w:pPr>
      <w:r>
        <w:rPr>
          <w:rStyle w:val="ab"/>
        </w:rPr>
        <w:footnoteRef/>
      </w:r>
      <w:r>
        <w:rPr>
          <w:rtl/>
        </w:rPr>
        <w:t xml:space="preserve"> כל זה הסעיף מיירי כשידוע שזה הטבעת שביד השולחני הוא שוה יותר מדמי חובו, והמלוה מודה שעכ"פ הטבעת שנאבד לא היה גרוע מזה הטבעת שביד השולחני. משום הכי ברישא דגם הלוה אומר שלא היה הנאבד טוב יותר, משלם המותר מדמי חובו כפי שומו שויה של זה, ובמציעתא יש לו דין מודה מקצת, שהרי המלוה ג"כ מודה שטבעת הנאבד היה שוה יותר מחובו. ובסיפא שטוען המלוה איני יודע, ור"ל שאינו יודע שהיה שוה יותר או לא, עכ"פ היה שוה כזו, מש"ה ה"ל דין משיל"מ, סמ"ע (סקמ"ו).</w:t>
      </w:r>
    </w:p>
  </w:footnote>
  <w:footnote w:id="5883">
    <w:p w14:paraId="44B1EE09" w14:textId="77777777" w:rsidR="0013116F" w:rsidRDefault="0013116F" w:rsidP="0004348D">
      <w:pPr>
        <w:pStyle w:val="a9"/>
        <w:rPr>
          <w:rtl/>
        </w:rPr>
      </w:pPr>
      <w:r>
        <w:rPr>
          <w:rStyle w:val="ab"/>
        </w:rPr>
        <w:footnoteRef/>
      </w:r>
      <w:r>
        <w:rPr>
          <w:rtl/>
        </w:rPr>
        <w:t xml:space="preserve"> </w:t>
      </w:r>
      <w:r>
        <w:rPr>
          <w:rFonts w:hint="cs"/>
          <w:rtl/>
        </w:rPr>
        <w:t>סימן – טוען זוזים כקבילתו.</w:t>
      </w:r>
    </w:p>
  </w:footnote>
  <w:footnote w:id="5884">
    <w:p w14:paraId="7905A00A" w14:textId="77777777" w:rsidR="0013116F" w:rsidRDefault="0013116F" w:rsidP="0004348D">
      <w:pPr>
        <w:pStyle w:val="a9"/>
      </w:pPr>
      <w:r>
        <w:rPr>
          <w:rStyle w:val="ab"/>
        </w:rPr>
        <w:footnoteRef/>
      </w:r>
      <w:r>
        <w:rPr>
          <w:rtl/>
        </w:rPr>
        <w:t xml:space="preserve"> של בית המטבחים שמקצבים בו בשר, רש"י.</w:t>
      </w:r>
    </w:p>
  </w:footnote>
  <w:footnote w:id="5885">
    <w:p w14:paraId="67D9987D" w14:textId="77777777" w:rsidR="0013116F" w:rsidRDefault="0013116F" w:rsidP="0004348D">
      <w:pPr>
        <w:pStyle w:val="a9"/>
        <w:rPr>
          <w:rtl/>
        </w:rPr>
      </w:pPr>
      <w:r>
        <w:rPr>
          <w:rStyle w:val="ab"/>
        </w:rPr>
        <w:footnoteRef/>
      </w:r>
      <w:r>
        <w:rPr>
          <w:rtl/>
        </w:rPr>
        <w:t xml:space="preserve"> תבעהו לדין על חובך, אם מודה לך או אם יש עדים - ישלם, ואם לאו - ישבע שבועת היסת, רש"י.</w:t>
      </w:r>
    </w:p>
  </w:footnote>
  <w:footnote w:id="5886">
    <w:p w14:paraId="21BBF32A" w14:textId="77777777" w:rsidR="0013116F" w:rsidRDefault="0013116F" w:rsidP="0004348D">
      <w:pPr>
        <w:pStyle w:val="a9"/>
      </w:pPr>
      <w:r>
        <w:rPr>
          <w:rStyle w:val="ab"/>
        </w:rPr>
        <w:footnoteRef/>
      </w:r>
      <w:r>
        <w:rPr>
          <w:rtl/>
        </w:rPr>
        <w:t xml:space="preserve"> כיון דמשכניה, ואין עדים שמשכנו, היה יכול לטעון: לקוחה היא בידי - לא צריך למיקם בדינא עילויה, דקנה ליה משכון לישבע וליטול עד כדי דמיו, רש"י.</w:t>
      </w:r>
    </w:p>
  </w:footnote>
  <w:footnote w:id="5887">
    <w:p w14:paraId="426C607C" w14:textId="77777777" w:rsidR="0013116F" w:rsidRDefault="0013116F" w:rsidP="0004348D">
      <w:pPr>
        <w:pStyle w:val="a9"/>
        <w:rPr>
          <w:rtl/>
        </w:rPr>
      </w:pPr>
      <w:r>
        <w:rPr>
          <w:rStyle w:val="ab"/>
        </w:rPr>
        <w:footnoteRef/>
      </w:r>
      <w:r>
        <w:rPr>
          <w:rtl/>
        </w:rPr>
        <w:t xml:space="preserve"> שעורין קלופים, רש"י.</w:t>
      </w:r>
    </w:p>
  </w:footnote>
  <w:footnote w:id="5888">
    <w:p w14:paraId="52BE40CC" w14:textId="77777777" w:rsidR="0013116F" w:rsidRDefault="0013116F" w:rsidP="0004348D">
      <w:pPr>
        <w:pStyle w:val="a9"/>
        <w:rPr>
          <w:rtl/>
        </w:rPr>
      </w:pPr>
      <w:r>
        <w:rPr>
          <w:rStyle w:val="ab"/>
        </w:rPr>
        <w:footnoteRef/>
      </w:r>
      <w:r>
        <w:rPr>
          <w:rtl/>
        </w:rPr>
        <w:t xml:space="preserve"> שאין אדם משכיר ומשאיל עזים שלו, הלכך יכול לטעון: לקוחין הן בידי, היכא דאין עדים שאספם מרשותם של בעליהן, רש"י.</w:t>
      </w:r>
    </w:p>
  </w:footnote>
  <w:footnote w:id="5889">
    <w:p w14:paraId="67C8C473" w14:textId="77777777" w:rsidR="0013116F" w:rsidRDefault="0013116F" w:rsidP="0004348D">
      <w:pPr>
        <w:pStyle w:val="a9"/>
        <w:rPr>
          <w:rtl/>
        </w:rPr>
      </w:pPr>
      <w:r>
        <w:rPr>
          <w:rStyle w:val="ab"/>
        </w:rPr>
        <w:footnoteRef/>
      </w:r>
      <w:r>
        <w:rPr>
          <w:rtl/>
        </w:rPr>
        <w:t xml:space="preserve"> מספרים שגוזזין בהן צמר, רש"י.</w:t>
      </w:r>
    </w:p>
  </w:footnote>
  <w:footnote w:id="5890">
    <w:p w14:paraId="1C2550AA" w14:textId="77777777" w:rsidR="0013116F" w:rsidRDefault="0013116F" w:rsidP="0004348D">
      <w:pPr>
        <w:pStyle w:val="a9"/>
      </w:pPr>
      <w:r>
        <w:rPr>
          <w:rStyle w:val="ab"/>
        </w:rPr>
        <w:footnoteRef/>
      </w:r>
      <w:r>
        <w:rPr>
          <w:rtl/>
        </w:rPr>
        <w:t xml:space="preserve"> </w:t>
      </w:r>
      <w:r>
        <w:rPr>
          <w:rFonts w:hint="cs"/>
          <w:rtl/>
        </w:rPr>
        <w:t xml:space="preserve">אפילו מיתמי - </w:t>
      </w:r>
      <w:r>
        <w:rPr>
          <w:rtl/>
        </w:rPr>
        <w:t>שהביאו הבעלים עדים שהיו שלהן, והן טוענין השאלנום לאביהם של אלו, ואפקינהו רבא מינייהו, משום דברים העשויין להשאיל ולהשכיר, ואם איתא דיכול לטעון לקוח הוא בידי יתמי כי לא טענו נמי - אנן טענינן להו, רש"י.</w:t>
      </w:r>
    </w:p>
  </w:footnote>
  <w:footnote w:id="5891">
    <w:p w14:paraId="5E9437E9" w14:textId="77777777" w:rsidR="0013116F" w:rsidRDefault="0013116F" w:rsidP="0004348D">
      <w:pPr>
        <w:pStyle w:val="a9"/>
        <w:rPr>
          <w:rtl/>
        </w:rPr>
      </w:pPr>
      <w:r>
        <w:rPr>
          <w:rStyle w:val="ab"/>
        </w:rPr>
        <w:footnoteRef/>
      </w:r>
      <w:r>
        <w:rPr>
          <w:rtl/>
        </w:rPr>
        <w:t xml:space="preserve"> </w:t>
      </w:r>
      <w:r>
        <w:rPr>
          <w:rFonts w:hint="cs"/>
          <w:rtl/>
        </w:rPr>
        <w:t>סכינא דאשכבתא.</w:t>
      </w:r>
    </w:p>
  </w:footnote>
  <w:footnote w:id="5892">
    <w:p w14:paraId="7731E1A6" w14:textId="77777777" w:rsidR="0013116F" w:rsidRDefault="0013116F" w:rsidP="0004348D">
      <w:pPr>
        <w:pStyle w:val="a9"/>
        <w:rPr>
          <w:rtl/>
        </w:rPr>
      </w:pPr>
      <w:r>
        <w:rPr>
          <w:rStyle w:val="ab"/>
        </w:rPr>
        <w:footnoteRef/>
      </w:r>
      <w:r>
        <w:rPr>
          <w:rtl/>
        </w:rPr>
        <w:t xml:space="preserve"> וכתב הרמב"ם דאפילו מת לוה תחלה ואחר כך מת מלוה נפרעים ממה שתחת ידם. ונראה לי דנשבעים שלא פקדנו אבא וכו' כדין שבועת היורשים, ב"י. </w:t>
      </w:r>
    </w:p>
  </w:footnote>
  <w:footnote w:id="5893">
    <w:p w14:paraId="4FAA8EBF" w14:textId="77777777" w:rsidR="0013116F" w:rsidRDefault="0013116F" w:rsidP="0004348D">
      <w:pPr>
        <w:pStyle w:val="a9"/>
      </w:pPr>
      <w:r>
        <w:rPr>
          <w:rStyle w:val="ab"/>
        </w:rPr>
        <w:footnoteRef/>
      </w:r>
      <w:r>
        <w:rPr>
          <w:rtl/>
        </w:rPr>
        <w:t xml:space="preserve"> גאונים</w:t>
      </w:r>
      <w:r>
        <w:rPr>
          <w:sz w:val="16"/>
          <w:szCs w:val="16"/>
          <w:rtl/>
        </w:rPr>
        <w:t xml:space="preserve"> (ספר המקח שער ו, כ"כ הטור בשמם)</w:t>
      </w:r>
      <w:r>
        <w:rPr>
          <w:rtl/>
        </w:rPr>
        <w:t xml:space="preserve"> רי"ף </w:t>
      </w:r>
      <w:r>
        <w:rPr>
          <w:sz w:val="16"/>
          <w:szCs w:val="16"/>
          <w:rtl/>
        </w:rPr>
        <w:t>(שו"ת סי' עד)</w:t>
      </w:r>
      <w:r>
        <w:rPr>
          <w:rtl/>
        </w:rPr>
        <w:t xml:space="preserve"> ר"י מיגאש </w:t>
      </w:r>
      <w:r>
        <w:rPr>
          <w:sz w:val="16"/>
          <w:szCs w:val="16"/>
          <w:rtl/>
        </w:rPr>
        <w:t>(שבועות מה: ד"ה איתמר)</w:t>
      </w:r>
      <w:r>
        <w:rPr>
          <w:rtl/>
        </w:rPr>
        <w:t xml:space="preserve"> רמב"ם </w:t>
      </w:r>
      <w:r>
        <w:rPr>
          <w:sz w:val="16"/>
          <w:szCs w:val="16"/>
          <w:rtl/>
        </w:rPr>
        <w:t>(שם)</w:t>
      </w:r>
      <w:r>
        <w:rPr>
          <w:rtl/>
        </w:rPr>
        <w:t xml:space="preserve"> רא"ש </w:t>
      </w:r>
      <w:r>
        <w:rPr>
          <w:sz w:val="16"/>
          <w:szCs w:val="16"/>
          <w:rtl/>
        </w:rPr>
        <w:t>(שבועות פ"ז סי' ד, כ"כ הב"י בשמו [בסי' פט ס"ט])</w:t>
      </w:r>
      <w:r>
        <w:rPr>
          <w:rtl/>
        </w:rPr>
        <w:t xml:space="preserve"> טור </w:t>
      </w:r>
      <w:r>
        <w:rPr>
          <w:sz w:val="16"/>
          <w:szCs w:val="16"/>
          <w:rtl/>
        </w:rPr>
        <w:t xml:space="preserve">(כ"כ בשמו הב"י [סי' פט]) </w:t>
      </w:r>
      <w:r>
        <w:rPr>
          <w:rtl/>
        </w:rPr>
        <w:t xml:space="preserve">ר"ן </w:t>
      </w:r>
      <w:r>
        <w:rPr>
          <w:sz w:val="16"/>
          <w:szCs w:val="16"/>
          <w:rtl/>
        </w:rPr>
        <w:t>(שבועות כז. ד"ה ירושלמי)</w:t>
      </w:r>
      <w:r>
        <w:rPr>
          <w:rtl/>
        </w:rPr>
        <w:t xml:space="preserve"> ריב"ש </w:t>
      </w:r>
      <w:r>
        <w:rPr>
          <w:sz w:val="16"/>
          <w:szCs w:val="16"/>
          <w:rtl/>
        </w:rPr>
        <w:t xml:space="preserve">(סי' שצג) </w:t>
      </w:r>
      <w:r>
        <w:rPr>
          <w:rtl/>
        </w:rPr>
        <w:t xml:space="preserve">ונמוק"י </w:t>
      </w:r>
      <w:r>
        <w:rPr>
          <w:sz w:val="16"/>
          <w:szCs w:val="16"/>
          <w:rtl/>
        </w:rPr>
        <w:t>(ס"פ המקבל ב"מ ע. ד"ה ההוא)</w:t>
      </w:r>
      <w:r>
        <w:rPr>
          <w:rtl/>
        </w:rPr>
        <w:t>.</w:t>
      </w:r>
    </w:p>
  </w:footnote>
  <w:footnote w:id="5894">
    <w:p w14:paraId="5D330F86" w14:textId="77777777" w:rsidR="0013116F" w:rsidRDefault="0013116F" w:rsidP="0004348D">
      <w:pPr>
        <w:pStyle w:val="a9"/>
        <w:rPr>
          <w:rtl/>
        </w:rPr>
      </w:pPr>
      <w:r>
        <w:rPr>
          <w:rStyle w:val="ab"/>
        </w:rPr>
        <w:footnoteRef/>
      </w:r>
      <w:r>
        <w:rPr>
          <w:rtl/>
        </w:rPr>
        <w:t xml:space="preserve"> ומפני מה אינו נשבע היסת לפי שאינו נשבע על עצמו של משכון אלא על הממון שלוקח, שאילו אמר על עצמו של חפץ זה אתה מכרתו לי אתה נתתו לי - היה נשבע היסת ונפטר, אבל אם היו שם עדים שחפץ זה משכון בידו ולא ידעו על כמה וכמה אינו יכול ליטול אלא בשבועה</w:t>
      </w:r>
      <w:r>
        <w:rPr>
          <w:sz w:val="16"/>
          <w:szCs w:val="16"/>
          <w:rtl/>
        </w:rPr>
        <w:t xml:space="preserve"> {היינו בשבועת התורה, דכיון שיש שם עדים שבמשכון באת לידו נראה דאין כאן מגו דלקוח הוא בידי, הה"מ}</w:t>
      </w:r>
      <w:r>
        <w:rPr>
          <w:rtl/>
        </w:rPr>
        <w:t>, והואיל ואין שם עדים ויכול לומר שלי הוא - נאמן לומר יש לי עליו כך וכך בשבועה עצמה שהיה נשבע אם היו שם עדים שהוא משכון, שאין אומרין מגו לפטרו משבועה אלא לפטרו מממון שלא יחזיר המשכון עד שיטול מה שטען, רמב"ם</w:t>
      </w:r>
      <w:r>
        <w:rPr>
          <w:sz w:val="14"/>
          <w:szCs w:val="14"/>
          <w:rtl/>
        </w:rPr>
        <w:t xml:space="preserve"> (שם)</w:t>
      </w:r>
      <w:r>
        <w:rPr>
          <w:rtl/>
        </w:rPr>
        <w:t>.</w:t>
      </w:r>
    </w:p>
  </w:footnote>
  <w:footnote w:id="5895">
    <w:p w14:paraId="0AE7753A" w14:textId="77777777" w:rsidR="0013116F" w:rsidRDefault="0013116F" w:rsidP="0004348D">
      <w:pPr>
        <w:pStyle w:val="a9"/>
      </w:pPr>
      <w:r>
        <w:rPr>
          <w:rStyle w:val="ab"/>
        </w:rPr>
        <w:footnoteRef/>
      </w:r>
      <w:r>
        <w:rPr>
          <w:rtl/>
        </w:rPr>
        <w:t xml:space="preserve"> כ"כ הטור בשמו, אבל באה"ג (אות ג*) כתב שנראה לו שזו ט"ס וצריך לכתוב ה"ר אפרים (כמש"כ הר"ן בשמו), משום שהראב"ד לא השיג על הרמב"ם שם בפי"ג אך שכתב שיש שיבוש וטעות בלשון הרמב"ם, וכ"כ הה"מ שם, וכמש"כ הב"ח. </w:t>
      </w:r>
    </w:p>
  </w:footnote>
  <w:footnote w:id="5896">
    <w:p w14:paraId="6C88FAF9" w14:textId="77777777" w:rsidR="0013116F" w:rsidRDefault="0013116F" w:rsidP="0004348D">
      <w:pPr>
        <w:pStyle w:val="a9"/>
        <w:rPr>
          <w:rtl/>
        </w:rPr>
      </w:pPr>
      <w:r>
        <w:rPr>
          <w:rStyle w:val="ab"/>
        </w:rPr>
        <w:footnoteRef/>
      </w:r>
      <w:r>
        <w:rPr>
          <w:rtl/>
        </w:rPr>
        <w:t xml:space="preserve"> ובברייתא פרק כל הנשבעין (מו.) איתא- הנותן טליתו לאומן אומן אומר שתים קצצת לי והוא אומר אחת כל זמן שהטלית ביד האומן על בעל הבית להביא ראיה. וכתב הר"ן (שבועות כז. ד"ה ירושלמי) כלומר דאי מייתי ראיה מהימן ויהיב כדאמר ושקיל טליתו ואי לא מייתי ראיה מהימן עלה אומן במגו דאי בעי אמר לקוחה היא בידי ובפרק חזקת (ב"ב מו.) אוקימנא לה בשלא מסר לו בעדים ובדליכא ראיה כלומר שלא ראה אותו עתה בידו ומשמע בגמרא דאי לא מייתי ראיה שקיל אומן בלא שבועה והכי נמי משמע בירושלמי (שבועות פ"ז ה"א), ומכאן נראה שמי שטוען על המשכון כך וכך יש לי עליו נוטל בלא שבועה ומכאן קשה לדברי הרי"ף </w:t>
      </w:r>
      <w:r>
        <w:rPr>
          <w:sz w:val="16"/>
          <w:szCs w:val="16"/>
          <w:rtl/>
        </w:rPr>
        <w:t>(שו"ת סי' עד)</w:t>
      </w:r>
      <w:r>
        <w:rPr>
          <w:rtl/>
        </w:rPr>
        <w:t xml:space="preserve"> והגאונים (לעיל סי' עב סי"א) שכל המוציא ממון מתחת יד אחר אע"פ שהוא במגו נשבע שבועה חמורה כלומר כעין של תורה מפני שאינו נשבע על גופו של משכון, והרמב"ן (מלחמות שם כז.) תירץ לדברי הגאונים דלא דמי משכון דשכירות לשאר הטענות דאפילו למאן דאמר אין אומן קונה בשבח כלי כיון דודאי אית עליה אגרא ותפיס ליה אאגריה כטוען על גופו של כלי דמי דמיקנא קני ליה כלי עד דיהיב ליה אגריה ושקיל ליה ואיהו גופיה הימוניה הימניה לאומן אאגריה כי מסר ליה כלי, ודחה הר"ן דבריו וכתב שהוא סובר שאפילו הגאונים ז"ל לא אמרו אלא בבא לגבות חובו מן המשכון הא אלו רצה לשתוק ולהחזיק במשכונו עד שיתן לו מעותיו והלה תובע משכונו אינו נשבע אלא היסת לפי שאין זה נשבע ונוטל ודי לנו במה שחדשו הגאונים בדין זה שלא בראיה והבו דלא לוסיף עלה, וה"ר אפרים כתב דכל מי שטוען על המשכון נוטל בשבועת היסת בלבד ובודאי שכך נראים הדברים אלא שאין לחלוק על הראשונים ז"ל מפני שדבריהם דברי קבלה הם עכ"ל. והרמב"ם פי"א מהל' שכירות (ה"ח) כתב הרי האומן נשבע בנקיטת חפץ ונוטל נראה דסבירא ליה דלא שאני לן בין משכון דשכירות לשאר הטענות וכן דעת רבינו, ב"י </w:t>
      </w:r>
      <w:r>
        <w:rPr>
          <w:sz w:val="16"/>
          <w:szCs w:val="16"/>
          <w:rtl/>
        </w:rPr>
        <w:t>(סי' פט ס"ט)</w:t>
      </w:r>
      <w:r>
        <w:rPr>
          <w:rtl/>
        </w:rPr>
        <w:t>.</w:t>
      </w:r>
    </w:p>
  </w:footnote>
  <w:footnote w:id="5897">
    <w:p w14:paraId="5E11188B" w14:textId="77777777" w:rsidR="0013116F" w:rsidRDefault="0013116F" w:rsidP="0004348D">
      <w:pPr>
        <w:pStyle w:val="a9"/>
      </w:pPr>
      <w:r>
        <w:rPr>
          <w:rStyle w:val="ab"/>
        </w:rPr>
        <w:footnoteRef/>
      </w:r>
      <w:r>
        <w:rPr>
          <w:rtl/>
        </w:rPr>
        <w:t xml:space="preserve"> זה נלמד מעובדא דסוף המקבל (ב"מ קטז.) ההוא גברא דחבל סכינא דאשכבתא מחבריה... ובודאי דלרבא צריך להחזירו כיון שעושין בו אוכל נפש ואפילו הכי קאמר דיכול לטעון עד כדי דמיהן, הרי מפורש דלא הפסיד מגו שלו, ב"י.</w:t>
      </w:r>
    </w:p>
  </w:footnote>
  <w:footnote w:id="5898">
    <w:p w14:paraId="50E77086" w14:textId="77777777" w:rsidR="0013116F" w:rsidRDefault="0013116F" w:rsidP="0004348D">
      <w:pPr>
        <w:pStyle w:val="a9"/>
        <w:rPr>
          <w:rtl/>
        </w:rPr>
      </w:pPr>
      <w:r>
        <w:rPr>
          <w:rStyle w:val="ab"/>
        </w:rPr>
        <w:footnoteRef/>
      </w:r>
      <w:r>
        <w:rPr>
          <w:rtl/>
        </w:rPr>
        <w:t xml:space="preserve"> </w:t>
      </w:r>
      <w:r>
        <w:rPr>
          <w:rFonts w:hint="cs"/>
          <w:rtl/>
        </w:rPr>
        <w:t xml:space="preserve">וכתב הש"ך (סקע"ה) </w:t>
      </w:r>
      <w:r>
        <w:rPr>
          <w:rtl/>
        </w:rPr>
        <w:t>שהדבר ברור דגם הרמב"ם מודה, אלא דמיירי בשמשכן ממנה בעדים וראוהו עתה בידו בענין דלית ליה מיגו. וכ"כ הריב"ש סימן תפ"ח והכסף משנה [שם] לדעתו, והוא פשוט.</w:t>
      </w:r>
    </w:p>
  </w:footnote>
  <w:footnote w:id="5899">
    <w:p w14:paraId="59D4B153" w14:textId="77777777" w:rsidR="0013116F" w:rsidRDefault="0013116F" w:rsidP="0004348D">
      <w:pPr>
        <w:pStyle w:val="a9"/>
        <w:rPr>
          <w:rtl/>
        </w:rPr>
      </w:pPr>
      <w:r>
        <w:rPr>
          <w:rStyle w:val="ab"/>
        </w:rPr>
        <w:footnoteRef/>
      </w:r>
      <w:r>
        <w:rPr>
          <w:rtl/>
        </w:rPr>
        <w:t xml:space="preserve"> וכ"כ הטור לקמן בסימן זה (סי"ח) לענין דברים שעושין בהן אוכל נפש. וכן נראה בהה"מ פ"ד מהל' טוען ונטען (ה"ח) דיכול לטעון על מה שתחת ידו וכן הוא בתשו' הרשב"א סי' תתקנ"ט וכ"פ הטור סימן ע"ה (ס"ד), דרכ"מ (אות יד). וכ"כ המרדכי (ב"מ סי' רכו).</w:t>
      </w:r>
    </w:p>
  </w:footnote>
  <w:footnote w:id="5900">
    <w:p w14:paraId="4FA3A587" w14:textId="77777777" w:rsidR="0013116F" w:rsidRDefault="0013116F" w:rsidP="0004348D">
      <w:pPr>
        <w:pStyle w:val="a9"/>
        <w:rPr>
          <w:rtl/>
        </w:rPr>
      </w:pPr>
      <w:r>
        <w:rPr>
          <w:rStyle w:val="ab"/>
        </w:rPr>
        <w:footnoteRef/>
      </w:r>
      <w:r>
        <w:rPr>
          <w:rtl/>
        </w:rPr>
        <w:t xml:space="preserve"> ועיין בתשובות מיימוני סוף ספר משפטים סימן ס"ד חילוקים בזה אימתי יכול לישבע בסתם ועיי"ש, דרכ"מ (אות יד).</w:t>
      </w:r>
    </w:p>
  </w:footnote>
  <w:footnote w:id="5901">
    <w:p w14:paraId="541206DB" w14:textId="77777777" w:rsidR="0013116F" w:rsidRDefault="0013116F" w:rsidP="0004348D">
      <w:pPr>
        <w:pStyle w:val="a9"/>
        <w:rPr>
          <w:rtl/>
        </w:rPr>
      </w:pPr>
      <w:r>
        <w:rPr>
          <w:rStyle w:val="ab"/>
        </w:rPr>
        <w:footnoteRef/>
      </w:r>
      <w:r>
        <w:rPr>
          <w:rtl/>
        </w:rPr>
        <w:t xml:space="preserve"> ועיין בפסקי מהרא"י סימן פ"ד מדינים אלו. כתב מהרי"ו בתשובה (סי' כא) דתקנת העיקול אינה נוהגת האידנא, דרכ"מ (אות יד).</w:t>
      </w:r>
    </w:p>
  </w:footnote>
  <w:footnote w:id="5902">
    <w:p w14:paraId="529DDF17" w14:textId="77777777" w:rsidR="0013116F" w:rsidRDefault="0013116F" w:rsidP="0004348D">
      <w:pPr>
        <w:pStyle w:val="a9"/>
        <w:rPr>
          <w:rtl/>
        </w:rPr>
      </w:pPr>
      <w:r>
        <w:rPr>
          <w:rStyle w:val="ab"/>
        </w:rPr>
        <w:footnoteRef/>
      </w:r>
      <w:r>
        <w:rPr>
          <w:rtl/>
        </w:rPr>
        <w:t xml:space="preserve"> ועיין מזה </w:t>
      </w:r>
      <w:r>
        <w:rPr>
          <w:sz w:val="16"/>
          <w:szCs w:val="16"/>
          <w:rtl/>
        </w:rPr>
        <w:t xml:space="preserve">{במרדכי} </w:t>
      </w:r>
      <w:r>
        <w:rPr>
          <w:rtl/>
        </w:rPr>
        <w:t>פרק האומנין (סי' שמח). ועיי"ש בפ"ק דב"מ (סי' רכו) דכתב דהלכה רווחת היא בישראל דיכול לטעון על מה שבידו במיגו. וכ"כ ב"י לקמן סימן ע"ה (מחו' יד - טו) בשם הרבה גאונים והאריך בדבריהם, דרכ"מ (אות יד).</w:t>
      </w:r>
    </w:p>
  </w:footnote>
  <w:footnote w:id="5903">
    <w:p w14:paraId="0D8465E7" w14:textId="77777777" w:rsidR="0013116F" w:rsidRDefault="0013116F" w:rsidP="0004348D">
      <w:pPr>
        <w:pStyle w:val="a9"/>
        <w:rPr>
          <w:rtl/>
        </w:rPr>
      </w:pPr>
      <w:r>
        <w:rPr>
          <w:rStyle w:val="ab"/>
        </w:rPr>
        <w:footnoteRef/>
      </w:r>
      <w:r>
        <w:rPr>
          <w:rtl/>
        </w:rPr>
        <w:t xml:space="preserve"> </w:t>
      </w:r>
      <w:r>
        <w:rPr>
          <w:rFonts w:hint="cs"/>
          <w:rtl/>
        </w:rPr>
        <w:t xml:space="preserve">וה"ה אם חלוקים בפחת המשכון, צריך ג"כ לישבע בנקיטת חפץ, ודלא כב"ח, ועי' לקמן בטור </w:t>
      </w:r>
      <w:r>
        <w:rPr>
          <w:sz w:val="16"/>
          <w:szCs w:val="16"/>
          <w:rtl/>
        </w:rPr>
        <w:t xml:space="preserve">(סע' כ) </w:t>
      </w:r>
      <w:r>
        <w:rPr>
          <w:rtl/>
        </w:rPr>
        <w:t xml:space="preserve">ובמחבר </w:t>
      </w:r>
      <w:r>
        <w:rPr>
          <w:sz w:val="16"/>
          <w:szCs w:val="16"/>
          <w:rtl/>
        </w:rPr>
        <w:t>(סע' כז)</w:t>
      </w:r>
      <w:r>
        <w:rPr>
          <w:rtl/>
        </w:rPr>
        <w:t>, ש"ך</w:t>
      </w:r>
      <w:r>
        <w:rPr>
          <w:sz w:val="16"/>
          <w:szCs w:val="16"/>
          <w:rtl/>
        </w:rPr>
        <w:t xml:space="preserve"> (סק"ע)</w:t>
      </w:r>
      <w:r>
        <w:rPr>
          <w:rtl/>
        </w:rPr>
        <w:t>.</w:t>
      </w:r>
    </w:p>
  </w:footnote>
  <w:footnote w:id="5904">
    <w:p w14:paraId="2B45FBA7" w14:textId="77777777" w:rsidR="0013116F" w:rsidRDefault="0013116F" w:rsidP="0004348D">
      <w:pPr>
        <w:pStyle w:val="a9"/>
      </w:pPr>
      <w:r>
        <w:rPr>
          <w:rStyle w:val="ab"/>
        </w:rPr>
        <w:footnoteRef/>
      </w:r>
      <w:r>
        <w:rPr>
          <w:rtl/>
        </w:rPr>
        <w:t xml:space="preserve"> פירוש, ולא אמרינן בכה"ג אין אדם מוריש לבניו ממון שלא יכול לגבותו כי אם בשבועה כמ"ש בסימן ק"ח [סעיף י"א], דשאני זה שהוא כבר תחת יד אביהן לפרוע ממנו. וכ"כ המ"מ פי"ג ממלוה [ה"ג]. והב"י [סע' יא] כתב ע"ז ז"ל- מיהו צריכין לישבע שבועת היורשים שלא פקדנו אבא, עכ"ל. ור"ל אפילו לדעת הרא"ש [כלל סז סי' ב, ובפסקים ב"ב פ"ד סי' יד] והטור בסי' סט [סע' יד] ובס"ס עא [עי' סע' לז ובדק הבית שם] דלא תיקנו שבועת היורשים כי אם כשבאין להוציא מיורשי הלוה, סמ"ע (סק"נ). ונראה דאף למ"ש לקמן סימן ק"ח סעיף ה' דאין היורשים צריכים לישבע נגד הלוה אלא כשטוען אישתבעו לי, היינו דוקא בשטר, משום דאביהן גופיה לא היה צריך לישבע... משא"כ הכא במשכון שאביהן עצמו היה צריך לישבע בכל ענין, א"כ גם הם חייבים לישבע שלא פקדנו בכל ענין. ועיין לקמן סי' קח סע' יב ומה שכתבתי שם [סקכ"ה], ש"ך (סקע"ב).</w:t>
      </w:r>
    </w:p>
  </w:footnote>
  <w:footnote w:id="5905">
    <w:p w14:paraId="36D3FA01" w14:textId="77777777" w:rsidR="0013116F" w:rsidRDefault="0013116F" w:rsidP="0004348D">
      <w:pPr>
        <w:pStyle w:val="a9"/>
      </w:pPr>
      <w:r>
        <w:rPr>
          <w:rStyle w:val="ab"/>
        </w:rPr>
        <w:footnoteRef/>
      </w:r>
      <w:r>
        <w:rPr>
          <w:rtl/>
        </w:rPr>
        <w:t xml:space="preserve"> בשבועה בנקיטת חפץ, אם אין הלוה מודה לו עד כדי שויו, ש"ך (סקע"ד).</w:t>
      </w:r>
    </w:p>
  </w:footnote>
  <w:footnote w:id="5906">
    <w:p w14:paraId="7D2AC503" w14:textId="77777777" w:rsidR="0013116F" w:rsidRDefault="0013116F" w:rsidP="0004348D">
      <w:pPr>
        <w:pStyle w:val="a9"/>
      </w:pPr>
      <w:r>
        <w:rPr>
          <w:rStyle w:val="ab"/>
        </w:rPr>
        <w:footnoteRef/>
      </w:r>
      <w:r>
        <w:rPr>
          <w:rtl/>
        </w:rPr>
        <w:t xml:space="preserve"> פירוש, ותופס בשביל חוב אחר. דאילו בשכר הלימוד א"צ להחזיר כמ"ש בסמוך, סמ"ע (סקנ"ב).</w:t>
      </w:r>
    </w:p>
  </w:footnote>
  <w:footnote w:id="5907">
    <w:p w14:paraId="6CD4FD52" w14:textId="77777777" w:rsidR="0013116F" w:rsidRDefault="0013116F" w:rsidP="0004348D">
      <w:pPr>
        <w:pStyle w:val="a9"/>
      </w:pPr>
      <w:r>
        <w:rPr>
          <w:rStyle w:val="ab"/>
        </w:rPr>
        <w:footnoteRef/>
      </w:r>
      <w:r>
        <w:rPr>
          <w:rtl/>
        </w:rPr>
        <w:t xml:space="preserve"> כתב בתרוה"ד (ס"ס שכא) דה"ה דלא אבד מוחזקות שלו, ע"ש. ונ"מ בספק שבשטר, דמהני תפיסה אפילו לית ליה מיגו כדלעיל סי' מ"ב סע' ח' סקט"ו, או פלוגתא דרבוותא ושאר ספיקא דדינא וכה"ג, ש"ך (סקע"ז).</w:t>
      </w:r>
    </w:p>
  </w:footnote>
  <w:footnote w:id="5908">
    <w:p w14:paraId="42072F18" w14:textId="77777777" w:rsidR="0013116F" w:rsidRDefault="0013116F" w:rsidP="0004348D">
      <w:pPr>
        <w:pStyle w:val="a9"/>
        <w:rPr>
          <w:rtl/>
        </w:rPr>
      </w:pPr>
      <w:r>
        <w:rPr>
          <w:rStyle w:val="ab"/>
        </w:rPr>
        <w:footnoteRef/>
      </w:r>
      <w:r>
        <w:rPr>
          <w:rtl/>
        </w:rPr>
        <w:t xml:space="preserve"> וכתב הש"ך (סקע"ח-עט) דהר"ב לא ביאר על נכון, דפשיטא דהיינו דוקא בהלואה יכול לטעון על המעות שתחת ידו כך בסתם שאינו חייב לו כלום, אבל אם הפקיד בידו אין הנפקד יכול לתפסו לישבע בסתם שאין בידו כלום... וכ"כ הריב"ש (סי' שצו), והוסיף עוד, דאפילו חייב לו חטים שהלוה לו לא מצי למתפס בסתם, שהרי החטין צריכים שומא, ומאן שם ליה, וע"ש... מיהו אם יש לאחד עידית ובינונית ולאחד זיבורית, דהוי דינא דזה גובה וזה גובה, וכדלקמן סימן פ"ה סעיף ג', אינו יכול לישבע בסתם שאינו חייב לו כלום... ונראה דמיירי שזה הנתבע שרוצה לטעון בסתם שאינו חייב יש לו עידית ובינונית, ולחבירו התובעו יש לו זיבורית, אבל אם הוא להפך, שהתובע יש לו עידית ובינונית והנתבע יש לו זיבורית, פשיטא דמצי למיטען בסתם שאינו חייב לו כלום.</w:t>
      </w:r>
    </w:p>
  </w:footnote>
  <w:footnote w:id="5909">
    <w:p w14:paraId="28A692BF" w14:textId="77777777" w:rsidR="0013116F" w:rsidRDefault="0013116F" w:rsidP="0004348D">
      <w:pPr>
        <w:pStyle w:val="a9"/>
      </w:pPr>
      <w:r>
        <w:rPr>
          <w:rStyle w:val="ab"/>
        </w:rPr>
        <w:footnoteRef/>
      </w:r>
      <w:r>
        <w:rPr>
          <w:rtl/>
        </w:rPr>
        <w:t xml:space="preserve"> היינו כשהנפקד טוען שנאנס, צריך שיהא ברור לו שלא נאנס. אבל אם טוען הנפקד להד"ם, הרי מודה שלא נאנס, דכל האומר שלא הפקיד הוה כאילו אמר לא נאנס, ויכול זה לישבע שאינו חייב לו כלום, סמ"ע (סקנ"ה).</w:t>
      </w:r>
    </w:p>
  </w:footnote>
  <w:footnote w:id="5910">
    <w:p w14:paraId="195879DD" w14:textId="77777777" w:rsidR="0013116F" w:rsidRDefault="0013116F" w:rsidP="0004348D">
      <w:pPr>
        <w:pStyle w:val="a9"/>
        <w:rPr>
          <w:rtl/>
        </w:rPr>
      </w:pPr>
      <w:r>
        <w:rPr>
          <w:rStyle w:val="ab"/>
        </w:rPr>
        <w:footnoteRef/>
      </w:r>
      <w:r>
        <w:rPr>
          <w:rtl/>
        </w:rPr>
        <w:t xml:space="preserve"> עיין בהריב"ש שם דכתב דהיינו לאחר שומת בית דין, כדלקמן סימן ע"ג סעיף ט"ו, ע"ש שהאריך בזה, ש"ך (סקפ"א).</w:t>
      </w:r>
    </w:p>
  </w:footnote>
  <w:footnote w:id="5911">
    <w:p w14:paraId="7247C9E8" w14:textId="77777777" w:rsidR="0013116F" w:rsidRDefault="0013116F" w:rsidP="0004348D">
      <w:pPr>
        <w:pStyle w:val="a9"/>
      </w:pPr>
      <w:r>
        <w:rPr>
          <w:rStyle w:val="ab"/>
        </w:rPr>
        <w:footnoteRef/>
      </w:r>
      <w:r>
        <w:rPr>
          <w:rtl/>
        </w:rPr>
        <w:t xml:space="preserve"> </w:t>
      </w:r>
      <w:r>
        <w:rPr>
          <w:rFonts w:hint="cs"/>
          <w:rtl/>
        </w:rPr>
        <w:t>סימן – טוען זוזים כקבילתו.</w:t>
      </w:r>
    </w:p>
  </w:footnote>
  <w:footnote w:id="5912">
    <w:p w14:paraId="4719B314" w14:textId="77777777" w:rsidR="0013116F" w:rsidRDefault="0013116F" w:rsidP="0004348D">
      <w:pPr>
        <w:pStyle w:val="a9"/>
      </w:pPr>
      <w:r>
        <w:rPr>
          <w:rStyle w:val="ab"/>
        </w:rPr>
        <w:footnoteRef/>
      </w:r>
      <w:r>
        <w:rPr>
          <w:rtl/>
        </w:rPr>
        <w:t xml:space="preserve"> של בית המטבחים שמקצבים בו בשר, רש"י.</w:t>
      </w:r>
    </w:p>
  </w:footnote>
  <w:footnote w:id="5913">
    <w:p w14:paraId="3FF7F263" w14:textId="77777777" w:rsidR="0013116F" w:rsidRDefault="0013116F" w:rsidP="0004348D">
      <w:pPr>
        <w:pStyle w:val="a9"/>
        <w:rPr>
          <w:rtl/>
        </w:rPr>
      </w:pPr>
      <w:r>
        <w:rPr>
          <w:rStyle w:val="ab"/>
        </w:rPr>
        <w:footnoteRef/>
      </w:r>
      <w:r>
        <w:rPr>
          <w:rtl/>
        </w:rPr>
        <w:t xml:space="preserve"> תבעהו לדין על חובך, אם מודה לך או אם יש עדים - ישלם, ואם לאו - ישבע שבועת היסת, רש"י.</w:t>
      </w:r>
    </w:p>
  </w:footnote>
  <w:footnote w:id="5914">
    <w:p w14:paraId="261A9DED" w14:textId="77777777" w:rsidR="0013116F" w:rsidRDefault="0013116F" w:rsidP="0004348D">
      <w:pPr>
        <w:pStyle w:val="a9"/>
      </w:pPr>
      <w:r>
        <w:rPr>
          <w:rStyle w:val="ab"/>
        </w:rPr>
        <w:footnoteRef/>
      </w:r>
      <w:r>
        <w:rPr>
          <w:rtl/>
        </w:rPr>
        <w:t xml:space="preserve"> כיון דמשכניה, ואין עדים שמשכנו, היה יכול לטעון: לקוחה היא בידי - לא צריך למיקם בדינא עילויה, דקנה ליה משכון לישבע וליטול עד כדי דמיו, רש"י.</w:t>
      </w:r>
    </w:p>
  </w:footnote>
  <w:footnote w:id="5915">
    <w:p w14:paraId="66295E65" w14:textId="77777777" w:rsidR="0013116F" w:rsidRDefault="0013116F" w:rsidP="0004348D">
      <w:pPr>
        <w:pStyle w:val="a9"/>
        <w:rPr>
          <w:rtl/>
        </w:rPr>
      </w:pPr>
      <w:r>
        <w:rPr>
          <w:rStyle w:val="ab"/>
        </w:rPr>
        <w:footnoteRef/>
      </w:r>
      <w:r>
        <w:rPr>
          <w:rtl/>
        </w:rPr>
        <w:t xml:space="preserve"> שעורין קלופים, רש"י.</w:t>
      </w:r>
    </w:p>
  </w:footnote>
  <w:footnote w:id="5916">
    <w:p w14:paraId="5C17259A" w14:textId="77777777" w:rsidR="0013116F" w:rsidRDefault="0013116F" w:rsidP="0004348D">
      <w:pPr>
        <w:pStyle w:val="a9"/>
        <w:rPr>
          <w:rtl/>
        </w:rPr>
      </w:pPr>
      <w:r>
        <w:rPr>
          <w:rStyle w:val="ab"/>
        </w:rPr>
        <w:footnoteRef/>
      </w:r>
      <w:r>
        <w:rPr>
          <w:rtl/>
        </w:rPr>
        <w:t xml:space="preserve"> שאין אדם משכיר ומשאיל עזים שלו, הלכך יכול לטעון: לקוחין הן בידי, היכא דאין עדים שאספם מרשותם של בעליהן, רש"י.</w:t>
      </w:r>
    </w:p>
  </w:footnote>
  <w:footnote w:id="5917">
    <w:p w14:paraId="7F0A67C6" w14:textId="77777777" w:rsidR="0013116F" w:rsidRDefault="0013116F" w:rsidP="0004348D">
      <w:pPr>
        <w:pStyle w:val="a9"/>
        <w:rPr>
          <w:rtl/>
        </w:rPr>
      </w:pPr>
      <w:r>
        <w:rPr>
          <w:rStyle w:val="ab"/>
        </w:rPr>
        <w:footnoteRef/>
      </w:r>
      <w:r>
        <w:rPr>
          <w:rtl/>
        </w:rPr>
        <w:t xml:space="preserve"> מספרים שגוזזין בהן צמר, רש"י.</w:t>
      </w:r>
    </w:p>
  </w:footnote>
  <w:footnote w:id="5918">
    <w:p w14:paraId="4D3C072C" w14:textId="77777777" w:rsidR="0013116F" w:rsidRDefault="0013116F" w:rsidP="0004348D">
      <w:pPr>
        <w:pStyle w:val="a9"/>
      </w:pPr>
      <w:r>
        <w:rPr>
          <w:rStyle w:val="ab"/>
        </w:rPr>
        <w:footnoteRef/>
      </w:r>
      <w:r>
        <w:rPr>
          <w:rtl/>
        </w:rPr>
        <w:t xml:space="preserve"> </w:t>
      </w:r>
      <w:r>
        <w:rPr>
          <w:rFonts w:hint="cs"/>
          <w:rtl/>
        </w:rPr>
        <w:t xml:space="preserve">אפילו מיתמי - </w:t>
      </w:r>
      <w:r>
        <w:rPr>
          <w:rtl/>
        </w:rPr>
        <w:t>שהביאו הבעלים עדים שהיו שלהן, והן טוענין השאלנום לאביהם של אלו, ואפקינהו רבא מינייהו, משום דברים העשויין להשאיל ולהשכיר, ואם איתא דיכול לטעון לקוח הוא בידי יתמי כי לא טענו נמי - אנן טענינן להו, רש"י.</w:t>
      </w:r>
    </w:p>
  </w:footnote>
  <w:footnote w:id="5919">
    <w:p w14:paraId="12EC00B9" w14:textId="77777777" w:rsidR="0013116F" w:rsidRDefault="0013116F" w:rsidP="0004348D">
      <w:pPr>
        <w:pStyle w:val="a9"/>
        <w:rPr>
          <w:rtl/>
        </w:rPr>
      </w:pPr>
      <w:r>
        <w:rPr>
          <w:rStyle w:val="ab"/>
        </w:rPr>
        <w:footnoteRef/>
      </w:r>
      <w:r>
        <w:rPr>
          <w:rtl/>
        </w:rPr>
        <w:t xml:space="preserve"> </w:t>
      </w:r>
      <w:r>
        <w:rPr>
          <w:rFonts w:hint="cs"/>
          <w:rtl/>
        </w:rPr>
        <w:t>סכינא דאשכבתא.</w:t>
      </w:r>
    </w:p>
  </w:footnote>
  <w:footnote w:id="5920">
    <w:p w14:paraId="02E4759A" w14:textId="77777777" w:rsidR="0013116F" w:rsidRDefault="0013116F" w:rsidP="0004348D">
      <w:pPr>
        <w:pStyle w:val="a9"/>
        <w:rPr>
          <w:rtl/>
        </w:rPr>
      </w:pPr>
      <w:r>
        <w:rPr>
          <w:rStyle w:val="ab"/>
        </w:rPr>
        <w:footnoteRef/>
      </w:r>
      <w:r>
        <w:rPr>
          <w:rtl/>
        </w:rPr>
        <w:t xml:space="preserve"> מ"ש 'ואין עדים לומר היאך באו לידו' - הוא ממה שכתב הרי"ף בסוף המקבל </w:t>
      </w:r>
      <w:r>
        <w:rPr>
          <w:sz w:val="16"/>
          <w:szCs w:val="16"/>
          <w:rtl/>
        </w:rPr>
        <w:t xml:space="preserve">(ב"מ ע:) </w:t>
      </w:r>
      <w:r>
        <w:rPr>
          <w:rtl/>
        </w:rPr>
        <w:t>דלא איצטריך הא דשלח רב הונא בר אבין אלא היכא דלא אושליה ולא אוגריה באפי סהדי, אבל היכא דאושליה או אוגריה באפי סהדי אע"ג דליתיה מדברים העשויים להשאיל ולהשכיר - הא איכא סהדי דשאלה גביה הוא, הילכך אי אמר חזרתי ולקחתיו ממנו אינו נאמן, והביא ראיה מפרק חזקת</w:t>
      </w:r>
      <w:r>
        <w:rPr>
          <w:sz w:val="16"/>
          <w:szCs w:val="16"/>
          <w:rtl/>
        </w:rPr>
        <w:t xml:space="preserve"> (ב"ב מו.)</w:t>
      </w:r>
      <w:r>
        <w:rPr>
          <w:rtl/>
        </w:rPr>
        <w:t>, ב"י.</w:t>
      </w:r>
    </w:p>
  </w:footnote>
  <w:footnote w:id="5921">
    <w:p w14:paraId="118057DC" w14:textId="77777777" w:rsidR="0013116F" w:rsidRDefault="0013116F" w:rsidP="0004348D">
      <w:pPr>
        <w:pStyle w:val="a9"/>
        <w:rPr>
          <w:rtl/>
        </w:rPr>
      </w:pPr>
      <w:r>
        <w:rPr>
          <w:rStyle w:val="ab"/>
        </w:rPr>
        <w:footnoteRef/>
      </w:r>
      <w:r>
        <w:rPr>
          <w:rtl/>
        </w:rPr>
        <w:t xml:space="preserve"> כתב הב"י שמכאן עד סוף דברי הטור הללו דברי הרא"ש סוף המקבל (פ"ט סי' מט).</w:t>
      </w:r>
    </w:p>
  </w:footnote>
  <w:footnote w:id="5922">
    <w:p w14:paraId="03B74E45" w14:textId="77777777" w:rsidR="0013116F" w:rsidRDefault="0013116F" w:rsidP="0004348D">
      <w:pPr>
        <w:pStyle w:val="a9"/>
        <w:rPr>
          <w:rtl/>
        </w:rPr>
      </w:pPr>
      <w:r>
        <w:rPr>
          <w:rStyle w:val="ab"/>
        </w:rPr>
        <w:footnoteRef/>
      </w:r>
      <w:r>
        <w:rPr>
          <w:rtl/>
        </w:rPr>
        <w:t xml:space="preserve"> וכתב רי"ו </w:t>
      </w:r>
      <w:r>
        <w:rPr>
          <w:sz w:val="16"/>
          <w:szCs w:val="16"/>
          <w:rtl/>
        </w:rPr>
        <w:t>(נ"י ח"ו לה ע"א)</w:t>
      </w:r>
      <w:r>
        <w:rPr>
          <w:rtl/>
        </w:rPr>
        <w:t xml:space="preserve"> שכל דבר שאינו עשוי להשאיל ולהשכיר יכול לטעון עליו עד כדי דמיו, ומכל מקום צריך לישבע אפילו טוען תובע שמא </w:t>
      </w:r>
      <w:r>
        <w:rPr>
          <w:sz w:val="16"/>
          <w:szCs w:val="16"/>
          <w:rtl/>
        </w:rPr>
        <w:t>(עכ"ל רי"ו)</w:t>
      </w:r>
      <w:r>
        <w:rPr>
          <w:rtl/>
        </w:rPr>
        <w:t>, ב"י.</w:t>
      </w:r>
    </w:p>
  </w:footnote>
  <w:footnote w:id="5923">
    <w:p w14:paraId="2A427227" w14:textId="77777777" w:rsidR="0013116F" w:rsidRDefault="0013116F" w:rsidP="0004348D">
      <w:pPr>
        <w:pStyle w:val="a9"/>
      </w:pPr>
      <w:r>
        <w:rPr>
          <w:rStyle w:val="ab"/>
        </w:rPr>
        <w:footnoteRef/>
      </w:r>
      <w:r>
        <w:rPr>
          <w:rtl/>
        </w:rPr>
        <w:t xml:space="preserve"> וכתבו הג"א</w:t>
      </w:r>
      <w:r>
        <w:rPr>
          <w:sz w:val="16"/>
          <w:szCs w:val="16"/>
          <w:rtl/>
        </w:rPr>
        <w:t xml:space="preserve"> (סוף המקבל פ"ט סי' מט, הביאו הב"י)</w:t>
      </w:r>
      <w:r>
        <w:rPr>
          <w:rtl/>
        </w:rPr>
        <w:t xml:space="preserve">- 'ודוקא דשווייה ראה' פירש ר"י שאפילו אין עדים רואים אותו בידו בשעת תביעת בית דין אם בפעם אחרת ראה אותו אצלו בעדים וטען מה טיבו אצלך וטען אתה מכרתו לי או טענה אחרת כיוצא בזה שראוי לעכב ואין ראוי להחזירו לפי אותה טענה - חשיבי ראה ואין מגו דיכול לומר החזרתי לך, שאפילו טוען בפירוש החזרתיו לך אינו נאמן. ואם הדבר ידוע ומפורסם כל כך שלא היה יכול לכפור אע"ג דלא שווייה ראה, מחמת שידוע - ירא לשנות הידוע שלא יחזיקוהו שקרן כתב ר"ת דאין לו מגו, ור"י תמה איך יהיה מפורסם שלא יהיה יכול לומר החזרתי לך. ע"כ. ודע שכתב הרמב"ם </w:t>
      </w:r>
      <w:r>
        <w:rPr>
          <w:sz w:val="16"/>
          <w:szCs w:val="16"/>
          <w:rtl/>
        </w:rPr>
        <w:t>(פ"ח מטוען ונטען ה"י)</w:t>
      </w:r>
      <w:r>
        <w:rPr>
          <w:rtl/>
        </w:rPr>
        <w:t xml:space="preserve"> שכל שהוא בחזקת שאינו עשוי להשאיל ולהשכיר אפי' באו עדים והעידו שהשאילו או השכירו זה- אין מבטלין בהן חזקתן </w:t>
      </w:r>
      <w:r>
        <w:rPr>
          <w:sz w:val="16"/>
          <w:szCs w:val="16"/>
          <w:rtl/>
        </w:rPr>
        <w:t>{ר"ל שעדים מעידים שהשאילו או השכירו זה לאחר, אבל אינם מעידים שהשאילו לזה. וכן מוכח להדיא בהה"מ, והוא פשוט, והדין דין אמת ואין חולק עליו, וזה ברור, ש"ך [סקפ"ג]}</w:t>
      </w:r>
      <w:r>
        <w:rPr>
          <w:rtl/>
        </w:rPr>
        <w:t xml:space="preserve">, ב"י. וכתב הדרכ"מ </w:t>
      </w:r>
      <w:r>
        <w:rPr>
          <w:sz w:val="16"/>
          <w:szCs w:val="16"/>
          <w:rtl/>
        </w:rPr>
        <w:t xml:space="preserve">(אות יג) </w:t>
      </w:r>
      <w:r>
        <w:rPr>
          <w:rtl/>
        </w:rPr>
        <w:t>לעיין בזה בתשו' מיימוני סוף ספר משפטים סי' לב. ועוד הביא הדרכ"מ</w:t>
      </w:r>
      <w:r>
        <w:rPr>
          <w:sz w:val="16"/>
          <w:szCs w:val="16"/>
          <w:rtl/>
        </w:rPr>
        <w:t xml:space="preserve"> (שם) </w:t>
      </w:r>
      <w:r>
        <w:rPr>
          <w:rtl/>
        </w:rPr>
        <w:t xml:space="preserve">את תשו' הרא"ש </w:t>
      </w:r>
      <w:r>
        <w:rPr>
          <w:sz w:val="16"/>
          <w:szCs w:val="16"/>
          <w:rtl/>
        </w:rPr>
        <w:t xml:space="preserve">(כלל קו סי' ב, הביאו הטור בקיצור בסי' קלג ס"ו) </w:t>
      </w:r>
      <w:r>
        <w:rPr>
          <w:rtl/>
        </w:rPr>
        <w:t xml:space="preserve">שכתב דאם ראוהו עדים בידו אע"פ שאמר להם בשעת הראיה שחייב לו כך וכך - נקרא ראה ולא מהימן במגו, דלא אמרינן מגו אלא כשהיה יכול לכפור בב"ד </w:t>
      </w:r>
      <w:r>
        <w:rPr>
          <w:sz w:val="16"/>
          <w:szCs w:val="16"/>
          <w:rtl/>
        </w:rPr>
        <w:t>(ומשמע בתשו' דדוקא שראוהו מעצמו אבל אם ראוהו אחר שנפלה בפני בית דין המחלוקת והטענות ביניהם לא אבד מגו שלו, וכן נראה מדברי הרשב"א (במיוחסות) סי' פד)</w:t>
      </w:r>
      <w:r>
        <w:rPr>
          <w:rtl/>
        </w:rPr>
        <w:t>. וכתב הרשב"א</w:t>
      </w:r>
      <w:r>
        <w:rPr>
          <w:sz w:val="16"/>
          <w:szCs w:val="16"/>
          <w:rtl/>
        </w:rPr>
        <w:t xml:space="preserve"> (שם) </w:t>
      </w:r>
      <w:r>
        <w:rPr>
          <w:rtl/>
        </w:rPr>
        <w:t>אם מתחלה כשטענו בב"ד היה יכול לומר החזרתי שלא היו עדים בדבר אע"ג דאח"כ ראוהו עדים לא הפסיד מגו שלו שהיה יכול לטעון בשעת הטענה.</w:t>
      </w:r>
    </w:p>
  </w:footnote>
  <w:footnote w:id="5924">
    <w:p w14:paraId="522207C7" w14:textId="77777777" w:rsidR="0013116F" w:rsidRDefault="0013116F" w:rsidP="0004348D">
      <w:pPr>
        <w:pStyle w:val="a9"/>
      </w:pPr>
      <w:r>
        <w:rPr>
          <w:rStyle w:val="ab"/>
        </w:rPr>
        <w:footnoteRef/>
      </w:r>
      <w:r>
        <w:rPr>
          <w:rtl/>
        </w:rPr>
        <w:t xml:space="preserve"> ועיין בתרוה"ד (סי' שלה) שהאריך בדינים אלו. ועיין לעיל סימן נ"ח (אות א) כתבתי תשובת ריב"ש (סי' שצג) אם ראובן הפקיד לשמעון ושמעון רוצה לעכבו משום שאמר שהפקדון הוא של לוי והוא חייב לו ועיי"ש. ובתשובת הרא"ש (כלל קו סי' א) פקיד שלקח של ראובן ומסרו לשמעון ואחר כך רוצה שמעון לטעון על ראובן שחייב לו יכול ראובן לתבוע לפקיד והפקיד יתבע את שמעון ולא יוכל שמעון לעכב מחמת ראובן, דרכ"מ (אות יא). האומר לחבירו 'תן לי פקדון שהפקדתי בידך' והלה אומר 'אינו פקדון אלא משכון הוא על כך וכך' עיין שם (בדברי הרא"ש סוף המקבל פ"ט סי' מט) ובדברי רבינו סימן קל"ג (ס"ב), ב"י.</w:t>
      </w:r>
    </w:p>
  </w:footnote>
  <w:footnote w:id="5925">
    <w:p w14:paraId="7E912D50" w14:textId="77777777" w:rsidR="0013116F" w:rsidRDefault="0013116F" w:rsidP="0004348D">
      <w:pPr>
        <w:pStyle w:val="a9"/>
        <w:rPr>
          <w:rtl/>
        </w:rPr>
      </w:pPr>
      <w:r>
        <w:rPr>
          <w:rStyle w:val="ab"/>
        </w:rPr>
        <w:footnoteRef/>
      </w:r>
      <w:r>
        <w:rPr>
          <w:rtl/>
        </w:rPr>
        <w:t xml:space="preserve"> ונראה לי שיש טעות סופר בסוף לשונו. עיין במה שכתבתי בסימן פ"ט (ס"ט) לענין משכון, ב"י.</w:t>
      </w:r>
    </w:p>
  </w:footnote>
  <w:footnote w:id="5926">
    <w:p w14:paraId="228455F8" w14:textId="77777777" w:rsidR="0013116F" w:rsidRDefault="0013116F" w:rsidP="0004348D">
      <w:pPr>
        <w:pStyle w:val="a9"/>
        <w:rPr>
          <w:rtl/>
        </w:rPr>
      </w:pPr>
      <w:r>
        <w:rPr>
          <w:rStyle w:val="ab"/>
        </w:rPr>
        <w:footnoteRef/>
      </w:r>
      <w:r>
        <w:rPr>
          <w:rtl/>
        </w:rPr>
        <w:t xml:space="preserve"> הלשון מהופך, דהדין הוא שנוטל הלוה מתחילה משכונו ואח"כ נשבע היסת. וכ"כ הרמב"ם (פ"ח מהל' טוען ה"ג) להדיא, וכן בעל התרומות [שער מ"ט ח"ד ס"א] הבאתי לשונו לקמן סקפ"ז, וכן משמע לקמן סעיף כ"ג, ופשוט הוא, ש"ך (סקפ"ב).</w:t>
      </w:r>
    </w:p>
  </w:footnote>
  <w:footnote w:id="5927">
    <w:p w14:paraId="49E2C0F8" w14:textId="77777777" w:rsidR="0013116F" w:rsidRDefault="0013116F" w:rsidP="0004348D">
      <w:pPr>
        <w:pStyle w:val="a9"/>
        <w:rPr>
          <w:rtl/>
        </w:rPr>
      </w:pPr>
      <w:r>
        <w:rPr>
          <w:rStyle w:val="ab"/>
        </w:rPr>
        <w:footnoteRef/>
      </w:r>
      <w:r>
        <w:rPr>
          <w:rtl/>
        </w:rPr>
        <w:t xml:space="preserve"> אפילו ראו שבא לידו מיד הלוה, אם אינן יודעים באיזה אופן בא לידו, אם בפקדון או במשכון או במכירה או במתנה, נאמן לטעון מכרתו או נתתו לי </w:t>
      </w:r>
      <w:r>
        <w:rPr>
          <w:sz w:val="16"/>
          <w:szCs w:val="16"/>
          <w:rtl/>
        </w:rPr>
        <w:t>(וכמ"ש הרא"ש [ב"ב פ"ג סי' מו] והט"ו לקמן סי' קלג סוף סע' ב)</w:t>
      </w:r>
      <w:r>
        <w:rPr>
          <w:rtl/>
        </w:rPr>
        <w:t xml:space="preserve">, וא"כ נאמן ג"כ לטעון עליו עד כדי דמיו, ש"ך </w:t>
      </w:r>
      <w:r>
        <w:rPr>
          <w:sz w:val="16"/>
          <w:szCs w:val="16"/>
          <w:rtl/>
        </w:rPr>
        <w:t>(סקפ"ד)</w:t>
      </w:r>
      <w:r>
        <w:rPr>
          <w:rtl/>
        </w:rPr>
        <w:t>.</w:t>
      </w:r>
    </w:p>
  </w:footnote>
  <w:footnote w:id="5928">
    <w:p w14:paraId="1B11B493" w14:textId="77777777" w:rsidR="0013116F" w:rsidRDefault="0013116F" w:rsidP="0004348D">
      <w:pPr>
        <w:pStyle w:val="a9"/>
        <w:rPr>
          <w:rtl/>
        </w:rPr>
      </w:pPr>
      <w:r>
        <w:rPr>
          <w:rStyle w:val="ab"/>
        </w:rPr>
        <w:footnoteRef/>
      </w:r>
      <w:r>
        <w:rPr>
          <w:rtl/>
        </w:rPr>
        <w:t xml:space="preserve"> פירוש, וגם לא ראו עתה בידו, דע"ז קאי, ואז אף אם אח"כ מודה בבית דין שיש בידו כלים העשויין להשאיל, וטוען עליהן בכדי דמיהן, נאמן במיגו דלא היה מודה והיה משיב לו להד"ם. אבל בראו בידו והכירון, לא שייך לא טענת החזרתיו ולא להד"ם. </w:t>
      </w:r>
      <w:r>
        <w:rPr>
          <w:sz w:val="16"/>
          <w:szCs w:val="16"/>
          <w:rtl/>
        </w:rPr>
        <w:t>(ועיין מה שכתבתי בסימן ס"ד [סק"ד] למה אמרינן מיגו דלהד"ם או החזרתיו, הא אי הוה טען כן לא היה יכול להראותו, ע"ש ובסימן קל"ג [סק"ה])</w:t>
      </w:r>
      <w:r>
        <w:rPr>
          <w:rtl/>
        </w:rPr>
        <w:t>, סמ"ע (סקנ"ז). וכתב הש"ך</w:t>
      </w:r>
      <w:r>
        <w:rPr>
          <w:sz w:val="16"/>
          <w:szCs w:val="16"/>
          <w:rtl/>
        </w:rPr>
        <w:t xml:space="preserve"> (סקפ"ז)</w:t>
      </w:r>
      <w:r>
        <w:rPr>
          <w:rtl/>
        </w:rPr>
        <w:t>- אבל דברים העשויים להשאיל ולהשכיר אע"פ שלא מסרו לו בעדים, א"נ דברים שאין עשויים להשאיל ולהשכיר ואיכא סהדי דאושליה ניהליה וראה כו', אינו נאמן לטעון לקוח או משכון, אלא זה נוטל כליו ונשבע היסת על טענת המלוה, עכ"ל בעל התרומות שער מ"ט ריש ח"ד.</w:t>
      </w:r>
    </w:p>
  </w:footnote>
  <w:footnote w:id="5929">
    <w:p w14:paraId="11493403" w14:textId="77777777" w:rsidR="0013116F" w:rsidRDefault="0013116F" w:rsidP="0004348D">
      <w:pPr>
        <w:pStyle w:val="a9"/>
        <w:rPr>
          <w:rtl/>
        </w:rPr>
      </w:pPr>
      <w:r>
        <w:rPr>
          <w:rStyle w:val="ab"/>
        </w:rPr>
        <w:footnoteRef/>
      </w:r>
      <w:r>
        <w:rPr>
          <w:rtl/>
        </w:rPr>
        <w:t xml:space="preserve"> ונראה דהיינו שמכירין העדים הכלים ויודעים בבירור שזה הכלי היה של הלוה. אבל אם אינם יודעים בבירור, אף שראו בידו כלי כזה שזה תובעו, אפ"ה אין מחייבין את המלוה להוציא ולהראותו בבית דין כדי להכירו על פי סימנים שנתן בו הלוה, וכמ"ש המחבר לקמן סימן רצ"ז, סמ"ע (סקנ"ח). וכתב הש"ך (סקפ"ח)- כתב בהג"א סוף פרק המקבל [ב"מ פ"ט סי' מט], אי שויא ראה, מוציא ראובן ירושתו מיד שמעון, מטעם שעשוי להשאיל ולהשכיר. אע"פ שראובן אינו יודע אם שאול הוא בידו או לקוח מאביו, מבטל חזקת המחזיק הבא בטענת ברי, מא"ז, עכ"ל... ופשיטא דאין לחלק בין קרקע למטלטלים בזה, דפשיטא דדין מטלטלים בעשוי להשאיל ולהשכיר וראה, כמו קרקע. ועיין לקמן סקצ"ז. ומשמע דכל שכן אם יש לראובן עדים שהשאיל לו אביו, אע"פ שאינו יודע אם לקחו אח"כ, אם ראו עתה ביד שמעון, מוציא ירושתו אפילו בדבר שאינו עשוי להשאיל ולהשכיר. וכן משמע בבעל התרומות שער יד ח"א [סוף ס"ו]... ומביאו ב"י לקמן ריש סימן ק"י סעיף ה', וכן משמע בשאר פוסקים שם.</w:t>
      </w:r>
    </w:p>
  </w:footnote>
  <w:footnote w:id="5930">
    <w:p w14:paraId="405D0AF1" w14:textId="77777777" w:rsidR="0013116F" w:rsidRDefault="0013116F" w:rsidP="0004348D">
      <w:pPr>
        <w:pStyle w:val="a9"/>
        <w:rPr>
          <w:rtl/>
        </w:rPr>
      </w:pPr>
      <w:r>
        <w:rPr>
          <w:rStyle w:val="ab"/>
        </w:rPr>
        <w:footnoteRef/>
      </w:r>
      <w:r>
        <w:rPr>
          <w:rtl/>
        </w:rPr>
        <w:t xml:space="preserve"> מיירי בדברים העשויין להשאיל ולהשכיר, והלכך כשטען אז שהן מכורים לא היה בדבריו כלום, ואנן סהדי שלא החזיר כיון שטען אז טענה שראוי לעכבן בידו. אבל בדברים שאין עשויים להשאיל ולהשכיר, אע"פ שראו העדים מתחילה, מ"מ הרי בשעת ראייתם טען מכורים, וא"כ כשטוען עתה כך וכך יש לי עליו, נאמן עליו עד כדי דמיו במיגו שהיה עומד בטענתו דלקוח... ואם טוען אח"כ בפני ב"ד לקוח כמו שהיה אומר מתחילה בפני עדים, נאמן </w:t>
      </w:r>
      <w:r>
        <w:rPr>
          <w:sz w:val="16"/>
          <w:szCs w:val="16"/>
          <w:rtl/>
        </w:rPr>
        <w:t>(דהא מיד כשהראהו בפני עדים אמר לקוח, ונאמן אז במיגו דלא היה מראהו, והשתא עומד בטענתו)</w:t>
      </w:r>
      <w:r>
        <w:rPr>
          <w:rtl/>
        </w:rPr>
        <w:t>... דאל"כ אין לך אדם שקונה חפץ מחבירו בדברים העשויים להשאיל ולהשכיר, דמי שהיה החפץ שלו משוי ליה ראה, וכשיטעון זה האמת שלקחו מחבירו יתחייב להחזירו, שהראשון לא היה יכול לטעון לקוח במיגו דהחזרתי, ש"ך (סק"צ-צא).</w:t>
      </w:r>
    </w:p>
  </w:footnote>
  <w:footnote w:id="5931">
    <w:p w14:paraId="4C798DB3" w14:textId="77777777" w:rsidR="0013116F" w:rsidRDefault="0013116F" w:rsidP="0004348D">
      <w:pPr>
        <w:pStyle w:val="a9"/>
        <w:rPr>
          <w:rtl/>
        </w:rPr>
      </w:pPr>
      <w:r>
        <w:rPr>
          <w:rStyle w:val="ab"/>
        </w:rPr>
        <w:footnoteRef/>
      </w:r>
      <w:r>
        <w:rPr>
          <w:rtl/>
        </w:rPr>
        <w:t xml:space="preserve"> ואפילו טוען בפירוש החזרתי לך, אינו נאמן. הג"א [ב"מ פ"ט סי' מט] תשובת מימוני ספר משפטים [סי' לב]... מיהו איתא שם בתשובת מיימוני ובהג"א, דר"י תמה על זה, היאך מפורסם כ"כ שלא יוכל לטעון החזרתי, וא"כ נאמן לטעון לקוח או שאר טענות במיגו דהחזרתי, ע"ש. ותמיה לי על הר"ב שכתב בפשיטות כר"ת ולא כר"י, שהרי תמיהת ר"י נראה נכונה. ואולי במ"ש בריש הגה"ה י"א דלא בעינן כו', כיון לזה דאם הדבר מפורסם כו', ור"ל דיש אומרים ולאו כו"ע מודים בזה. דאילו למ"ש בריש ההג"ה לא מצינו מי שחולק בזה..., ש"ך (סקצ"ב-צב*).</w:t>
      </w:r>
    </w:p>
  </w:footnote>
  <w:footnote w:id="5932">
    <w:p w14:paraId="6E3DF72C" w14:textId="77777777" w:rsidR="0013116F" w:rsidRDefault="0013116F" w:rsidP="0004348D">
      <w:pPr>
        <w:pStyle w:val="a9"/>
      </w:pPr>
      <w:r>
        <w:rPr>
          <w:rStyle w:val="ab"/>
        </w:rPr>
        <w:footnoteRef/>
      </w:r>
      <w:r>
        <w:rPr>
          <w:rtl/>
        </w:rPr>
        <w:t xml:space="preserve"> וה"ה אם ראוהו הבית דין קודם שנפלו הטענות ומחלוקות ביניהם..., ש"ך (סקצ"ג).</w:t>
      </w:r>
    </w:p>
  </w:footnote>
  <w:footnote w:id="5933">
    <w:p w14:paraId="5A404972" w14:textId="77777777" w:rsidR="0013116F" w:rsidRDefault="0013116F" w:rsidP="0004348D">
      <w:pPr>
        <w:pStyle w:val="a9"/>
      </w:pPr>
      <w:r>
        <w:rPr>
          <w:rStyle w:val="ab"/>
        </w:rPr>
        <w:footnoteRef/>
      </w:r>
      <w:r>
        <w:rPr>
          <w:rtl/>
        </w:rPr>
        <w:t xml:space="preserve"> אין דברי הר"ב מכוונים בזה לפי מה דמשמע לכאורה מדבריו דקאי בזה דמיירי מיניה, דהיינו שראו עדים עתה בידו, דאם יש עד אחד בזה שראו אותו עתה בידו, י"א כו'. והוא תימה, דבהא ודאי לכו"ע הוי מחויב שבועה ואינו יכול לישבע משלם... וצריך לומר דכאן נמי הכי קאמר, ואם יש עד אחד בזה שבא לידו בתורת משכון, אלא שאינו יודע כמה הלוה, י"א כו'. ומ"מ אין דברי הר"ב מדוקדקים במה שכתב ואם יש עד אחד בזה כו', דהא גם בב' עדים שבא לידו בתורת משכון וראוהו עתה בידו הדין כן, דלסברא האחרונה המלוה נשבע ונוטל... מטעם דכיון דבעל חוב קונה משכון הוה ליה מוחזק... וכן לסברא הראשונה בב' עדים נמי חייב להחזיר... ואי בא לומר רבותא דאפילו בעד אחד הוי ליה מחויב שבועה ואינו יכול לישבע משלם, לא שייך רבותא זו כאן, דהא בין לתשובות הרמב"ן ובין לתשובות הרשב"א פשיטא להו התם דאי הוי בב' עדים חייב להחזיר הוי בעד אחד משואיל"מ, וזה שייך בסימן ע"ה ששם עיקר דינים דמשואיל"מ, וכבר כתבו הר"ב שם סעיף י"ג. והכי הל"ל כאן, ואם יש עדים שבא לידו בתורת משכון ואינם יודעים כמה הלוה עליו, י"א דהלוה נוטל המשכון ונשבע, וי"א דהמלוה נשבע ונוטל, ש"ך (סקצ"ד).</w:t>
      </w:r>
    </w:p>
  </w:footnote>
  <w:footnote w:id="5934">
    <w:p w14:paraId="6F4E7AFE" w14:textId="77777777" w:rsidR="0013116F" w:rsidRDefault="0013116F" w:rsidP="0004348D">
      <w:pPr>
        <w:pStyle w:val="a9"/>
      </w:pPr>
      <w:r>
        <w:rPr>
          <w:rStyle w:val="ab"/>
        </w:rPr>
        <w:footnoteRef/>
      </w:r>
      <w:r>
        <w:rPr>
          <w:rtl/>
        </w:rPr>
        <w:t xml:space="preserve"> עיין מש"כ לקמן סע' כ"ג סקק"ט שהוכחתי דהרמב"ם והה"מ ובעל התרומות סבירא להו כסברא האחרונה, ושכן נראה עיקר, ודליכא מאן דפליג בהא, דהך דתשובת הרמב"ן </w:t>
      </w:r>
      <w:r>
        <w:rPr>
          <w:sz w:val="16"/>
          <w:szCs w:val="16"/>
          <w:rtl/>
        </w:rPr>
        <w:t xml:space="preserve">(במיוחסות סי' פד) </w:t>
      </w:r>
      <w:r>
        <w:rPr>
          <w:rtl/>
        </w:rPr>
        <w:t xml:space="preserve">דהרשב"א היא, שמתחילה פסק כך ואח"כ חזר בו, ש"ך </w:t>
      </w:r>
      <w:r>
        <w:rPr>
          <w:sz w:val="16"/>
          <w:szCs w:val="16"/>
          <w:rtl/>
        </w:rPr>
        <w:t>(סקצ"ה)</w:t>
      </w:r>
      <w:r>
        <w:rPr>
          <w:rtl/>
        </w:rPr>
        <w:t>.</w:t>
      </w:r>
    </w:p>
  </w:footnote>
  <w:footnote w:id="5935">
    <w:p w14:paraId="30D167A6" w14:textId="77777777" w:rsidR="0013116F" w:rsidRDefault="0013116F" w:rsidP="0004348D">
      <w:pPr>
        <w:pStyle w:val="a9"/>
        <w:rPr>
          <w:rtl/>
        </w:rPr>
      </w:pPr>
      <w:r>
        <w:rPr>
          <w:rStyle w:val="ab"/>
        </w:rPr>
        <w:footnoteRef/>
      </w:r>
      <w:r>
        <w:rPr>
          <w:rtl/>
        </w:rPr>
        <w:t xml:space="preserve"> אפילו לא הביא שיודעים שעדיין הוא שלו. ועיין לקמן סימן צ"ט [סעיף ג' ובסמ"ע סק"י], סמ"ע (ס"ק ס"ג).</w:t>
      </w:r>
    </w:p>
  </w:footnote>
  <w:footnote w:id="5936">
    <w:p w14:paraId="6C820B11" w14:textId="77777777" w:rsidR="0013116F" w:rsidRDefault="0013116F" w:rsidP="0004348D">
      <w:pPr>
        <w:pStyle w:val="a9"/>
        <w:rPr>
          <w:rtl/>
        </w:rPr>
      </w:pPr>
      <w:r>
        <w:rPr>
          <w:rStyle w:val="ab"/>
        </w:rPr>
        <w:footnoteRef/>
      </w:r>
      <w:r>
        <w:rPr>
          <w:rtl/>
        </w:rPr>
        <w:t xml:space="preserve"> נ"ל דצריך להיות "בידו", ואדסמיך ליה קאי, ורוצה לומר, שאין שמעון טוען שידוע הוא לו שלקוח הוא ביד ראובן, אלא שנתן לו למשכון, עכ"ל סמ"ע</w:t>
      </w:r>
      <w:r>
        <w:rPr>
          <w:sz w:val="16"/>
          <w:szCs w:val="16"/>
          <w:rtl/>
        </w:rPr>
        <w:t xml:space="preserve"> [סק" ס"ה]</w:t>
      </w:r>
      <w:r>
        <w:rPr>
          <w:rtl/>
        </w:rPr>
        <w:t xml:space="preserve">. ולא ביאר יפה, שהר"ב כתב שחייב לפדותו משום תקנת השוק, ולענין תקנת השוק לא שייך לחלק בין טוען שלקחו או נתן לו למשכון, וכדלקמן סי' שנ"ו. אלא נלפע"ד דהכי פירושו, ואם אינו טוען לקוח הוא בידי כדי להחזיק גוף החפץ, אלא טוען סתם שראובן נתן לו של לוי למשכון, והוא לא ידע שהפקידו בידו, והלוה לו עליו, חייב לוי לפדותו משום תקנת השוק [אפילו יש עדים שהפקידו בידו וראוהו עתה ביד שמעון, וכמש"כ לעיל [סקצ"ז]]. והוא הדין אם טוען שמעון שמכרו לו ראובן, ואינו רוצה להחזיק גוף החפץ, רק שיחזיר לוי דמי המכירה, חייב לוי להחזיר לו דמי המכירה, כדלקמן סימן שנ"ו. ולא קאמר אלא שאינו טוען לקוח הוא בידי להחזיק גוף החפץ. ולפי זה שפיר יש לגרוס "בידי", כמו שהוא בכל הספרים ובעיר שושן [סע' יח], ש"ך (סקצ"ח). ועיין עוד בש"ך (סקצ"ז) במה שהשיג על הרמ"א שדבריו סתומים, והוא ביאר ע"פ תשו' הרשב"א מקור דינים אלו. </w:t>
      </w:r>
    </w:p>
  </w:footnote>
  <w:footnote w:id="5937">
    <w:p w14:paraId="53EF7B1E" w14:textId="77777777" w:rsidR="0013116F" w:rsidRDefault="0013116F" w:rsidP="0004348D">
      <w:pPr>
        <w:pStyle w:val="a9"/>
        <w:rPr>
          <w:rtl/>
        </w:rPr>
      </w:pPr>
      <w:r>
        <w:rPr>
          <w:rStyle w:val="ab"/>
        </w:rPr>
        <w:footnoteRef/>
      </w:r>
      <w:r>
        <w:rPr>
          <w:rtl/>
        </w:rPr>
        <w:t xml:space="preserve"> </w:t>
      </w:r>
      <w:r>
        <w:rPr>
          <w:rFonts w:hint="cs"/>
          <w:rtl/>
        </w:rPr>
        <w:t>סימן – טוען זוזים כקבילתו.</w:t>
      </w:r>
    </w:p>
  </w:footnote>
  <w:footnote w:id="5938">
    <w:p w14:paraId="25531620" w14:textId="77777777" w:rsidR="0013116F" w:rsidRDefault="0013116F" w:rsidP="0004348D">
      <w:pPr>
        <w:pStyle w:val="a9"/>
      </w:pPr>
      <w:r>
        <w:rPr>
          <w:rStyle w:val="ab"/>
        </w:rPr>
        <w:footnoteRef/>
      </w:r>
      <w:r>
        <w:rPr>
          <w:rtl/>
        </w:rPr>
        <w:t xml:space="preserve"> של בית המטבחים שמקצבים בו בשר, רש"י.</w:t>
      </w:r>
    </w:p>
  </w:footnote>
  <w:footnote w:id="5939">
    <w:p w14:paraId="7F84967F" w14:textId="77777777" w:rsidR="0013116F" w:rsidRDefault="0013116F" w:rsidP="0004348D">
      <w:pPr>
        <w:pStyle w:val="a9"/>
        <w:rPr>
          <w:rtl/>
        </w:rPr>
      </w:pPr>
      <w:r>
        <w:rPr>
          <w:rStyle w:val="ab"/>
        </w:rPr>
        <w:footnoteRef/>
      </w:r>
      <w:r>
        <w:rPr>
          <w:rtl/>
        </w:rPr>
        <w:t xml:space="preserve"> תבעהו לדין על חובך, אם מודה לך או אם יש עדים - ישלם, ואם לאו - ישבע שבועת היסת, רש"י.</w:t>
      </w:r>
    </w:p>
  </w:footnote>
  <w:footnote w:id="5940">
    <w:p w14:paraId="1C8E9447" w14:textId="77777777" w:rsidR="0013116F" w:rsidRDefault="0013116F" w:rsidP="0004348D">
      <w:pPr>
        <w:pStyle w:val="a9"/>
      </w:pPr>
      <w:r>
        <w:rPr>
          <w:rStyle w:val="ab"/>
        </w:rPr>
        <w:footnoteRef/>
      </w:r>
      <w:r>
        <w:rPr>
          <w:rtl/>
        </w:rPr>
        <w:t xml:space="preserve"> כיון דמשכניה, ואין עדים שמשכנו, היה יכול לטעון: לקוחה היא בידי - לא צריך למיקם בדינא עילויה, דקנה ליה משכון לישבע וליטול עד כדי דמיו, רש"י.</w:t>
      </w:r>
    </w:p>
  </w:footnote>
  <w:footnote w:id="5941">
    <w:p w14:paraId="24DB314D" w14:textId="77777777" w:rsidR="0013116F" w:rsidRDefault="0013116F" w:rsidP="0004348D">
      <w:pPr>
        <w:pStyle w:val="a9"/>
        <w:rPr>
          <w:rtl/>
        </w:rPr>
      </w:pPr>
      <w:r>
        <w:rPr>
          <w:rStyle w:val="ab"/>
        </w:rPr>
        <w:footnoteRef/>
      </w:r>
      <w:r>
        <w:rPr>
          <w:rtl/>
        </w:rPr>
        <w:t xml:space="preserve"> שעורין קלופים, רש"י.</w:t>
      </w:r>
    </w:p>
  </w:footnote>
  <w:footnote w:id="5942">
    <w:p w14:paraId="07FF11B8" w14:textId="77777777" w:rsidR="0013116F" w:rsidRDefault="0013116F" w:rsidP="0004348D">
      <w:pPr>
        <w:pStyle w:val="a9"/>
        <w:rPr>
          <w:rtl/>
        </w:rPr>
      </w:pPr>
      <w:r>
        <w:rPr>
          <w:rStyle w:val="ab"/>
        </w:rPr>
        <w:footnoteRef/>
      </w:r>
      <w:r>
        <w:rPr>
          <w:rtl/>
        </w:rPr>
        <w:t xml:space="preserve"> שאין אדם משכיר ומשאיל עזים שלו, הלכך יכול לטעון: לקוחין הן בידי, היכא דאין עדים שאספם מרשותם של בעליהן, רש"י.</w:t>
      </w:r>
    </w:p>
  </w:footnote>
  <w:footnote w:id="5943">
    <w:p w14:paraId="5F5782E7" w14:textId="77777777" w:rsidR="0013116F" w:rsidRDefault="0013116F" w:rsidP="0004348D">
      <w:pPr>
        <w:pStyle w:val="a9"/>
        <w:rPr>
          <w:rtl/>
        </w:rPr>
      </w:pPr>
      <w:r>
        <w:rPr>
          <w:rStyle w:val="ab"/>
        </w:rPr>
        <w:footnoteRef/>
      </w:r>
      <w:r>
        <w:rPr>
          <w:rtl/>
        </w:rPr>
        <w:t xml:space="preserve"> מספרים שגוזזין בהן צמר, רש"י.</w:t>
      </w:r>
    </w:p>
  </w:footnote>
  <w:footnote w:id="5944">
    <w:p w14:paraId="3B45C790" w14:textId="77777777" w:rsidR="0013116F" w:rsidRDefault="0013116F" w:rsidP="0004348D">
      <w:pPr>
        <w:pStyle w:val="a9"/>
      </w:pPr>
      <w:r>
        <w:rPr>
          <w:rStyle w:val="ab"/>
        </w:rPr>
        <w:footnoteRef/>
      </w:r>
      <w:r>
        <w:rPr>
          <w:rtl/>
        </w:rPr>
        <w:t xml:space="preserve"> </w:t>
      </w:r>
      <w:r>
        <w:rPr>
          <w:rFonts w:hint="cs"/>
          <w:rtl/>
        </w:rPr>
        <w:t xml:space="preserve">אפילו מיתמי - </w:t>
      </w:r>
      <w:r>
        <w:rPr>
          <w:rtl/>
        </w:rPr>
        <w:t>שהביאו הבעלים עדים שהיו שלהן, והן טוענין השאלנום לאביהם של אלו, ואפקינהו רבא מינייהו, משום דברים העשויין להשאיל ולהשכיר, ואם איתא דיכול לטעון לקוח הוא בידי יתמי כי לא טענו נמי - אנן טענינן להו, רש"י.</w:t>
      </w:r>
    </w:p>
  </w:footnote>
  <w:footnote w:id="5945">
    <w:p w14:paraId="7F05AB83" w14:textId="77777777" w:rsidR="0013116F" w:rsidRDefault="0013116F" w:rsidP="0004348D">
      <w:pPr>
        <w:pStyle w:val="a9"/>
        <w:rPr>
          <w:rtl/>
        </w:rPr>
      </w:pPr>
      <w:r>
        <w:rPr>
          <w:rStyle w:val="ab"/>
        </w:rPr>
        <w:footnoteRef/>
      </w:r>
      <w:r>
        <w:rPr>
          <w:rtl/>
        </w:rPr>
        <w:t xml:space="preserve"> </w:t>
      </w:r>
      <w:r>
        <w:rPr>
          <w:rFonts w:hint="cs"/>
          <w:rtl/>
        </w:rPr>
        <w:t>סכינא דאשכבתא.</w:t>
      </w:r>
    </w:p>
  </w:footnote>
  <w:footnote w:id="5946">
    <w:p w14:paraId="1791B661" w14:textId="77777777" w:rsidR="0013116F" w:rsidRDefault="0013116F" w:rsidP="0004348D">
      <w:pPr>
        <w:pStyle w:val="a9"/>
        <w:rPr>
          <w:rtl/>
        </w:rPr>
      </w:pPr>
      <w:r>
        <w:rPr>
          <w:rStyle w:val="ab"/>
        </w:rPr>
        <w:footnoteRef/>
      </w:r>
      <w:r>
        <w:rPr>
          <w:rtl/>
        </w:rPr>
        <w:t xml:space="preserve"> </w:t>
      </w:r>
      <w:r>
        <w:rPr>
          <w:rFonts w:hint="cs"/>
          <w:rtl/>
        </w:rPr>
        <w:t>ו</w:t>
      </w:r>
      <w:r>
        <w:rPr>
          <w:rtl/>
        </w:rPr>
        <w:t>כ"כ הרא"ש (שבועות פ"ז סי' ה) והר"ן (שם כח.) בשם הרי"ף (שם) ור"ת שהדבר תלוי בראיית הדיינים באהבת איש את רעהו ולפי מנהג המקום ולפי הספרים כי יש ספרים נחמדים שאין דרך להשאילן.</w:t>
      </w:r>
    </w:p>
  </w:footnote>
  <w:footnote w:id="5947">
    <w:p w14:paraId="4C0E6F65" w14:textId="77777777" w:rsidR="0013116F" w:rsidRDefault="0013116F" w:rsidP="0004348D">
      <w:pPr>
        <w:pStyle w:val="a9"/>
      </w:pPr>
      <w:r>
        <w:rPr>
          <w:rStyle w:val="ab"/>
        </w:rPr>
        <w:footnoteRef/>
      </w:r>
      <w:r>
        <w:rPr>
          <w:rtl/>
        </w:rPr>
        <w:t xml:space="preserve"> </w:t>
      </w:r>
      <w:r>
        <w:rPr>
          <w:rFonts w:hint="cs"/>
          <w:rtl/>
        </w:rPr>
        <w:t>אלא גם בהם אמרינן דהכל</w:t>
      </w:r>
      <w:r>
        <w:rPr>
          <w:rtl/>
        </w:rPr>
        <w:t xml:space="preserve"> תלוי בראיית הדיינים באהבת איש את רעהו וכו' כנ"ל, רא"ש </w:t>
      </w:r>
      <w:r>
        <w:rPr>
          <w:sz w:val="16"/>
          <w:szCs w:val="16"/>
          <w:rtl/>
        </w:rPr>
        <w:t xml:space="preserve">(שם) </w:t>
      </w:r>
      <w:r>
        <w:rPr>
          <w:rtl/>
        </w:rPr>
        <w:t xml:space="preserve">ור"ן </w:t>
      </w:r>
      <w:r>
        <w:rPr>
          <w:sz w:val="16"/>
          <w:szCs w:val="16"/>
          <w:rtl/>
        </w:rPr>
        <w:t xml:space="preserve">(שם) </w:t>
      </w:r>
      <w:r>
        <w:rPr>
          <w:rtl/>
        </w:rPr>
        <w:t>בשם הרי"ף</w:t>
      </w:r>
      <w:r>
        <w:rPr>
          <w:sz w:val="16"/>
          <w:szCs w:val="16"/>
          <w:rtl/>
        </w:rPr>
        <w:t xml:space="preserve"> (שם) </w:t>
      </w:r>
      <w:r>
        <w:rPr>
          <w:rtl/>
        </w:rPr>
        <w:t>ור"ת.</w:t>
      </w:r>
    </w:p>
  </w:footnote>
  <w:footnote w:id="5948">
    <w:p w14:paraId="60D44C75" w14:textId="77777777" w:rsidR="0013116F" w:rsidRDefault="0013116F" w:rsidP="0004348D">
      <w:pPr>
        <w:pStyle w:val="a9"/>
      </w:pPr>
      <w:r>
        <w:rPr>
          <w:rStyle w:val="ab"/>
        </w:rPr>
        <w:footnoteRef/>
      </w:r>
      <w:r>
        <w:rPr>
          <w:rtl/>
        </w:rPr>
        <w:t xml:space="preserve"> פירוש, שאר כל הכלים שמצד עצמן אמרינן בהו שעומדין להשאיל ולהשכיר, אלא שרואין באומדן דעת של בעל הכלי ושל זה שטוען שהשאילו לו מידו. לאפוקי מהרמב"ם שס"ל שהכלי מצד עצמו אין אומרים בו שעשוי להשאיל כי אם בעשוי לכך, סמ"ע</w:t>
      </w:r>
      <w:r>
        <w:rPr>
          <w:sz w:val="16"/>
          <w:szCs w:val="16"/>
          <w:rtl/>
        </w:rPr>
        <w:t xml:space="preserve"> (ס"ק ס"ז)</w:t>
      </w:r>
      <w:r>
        <w:rPr>
          <w:rtl/>
        </w:rPr>
        <w:t>.</w:t>
      </w:r>
    </w:p>
  </w:footnote>
  <w:footnote w:id="5949">
    <w:p w14:paraId="4B860B61" w14:textId="77777777" w:rsidR="0013116F" w:rsidRDefault="0013116F" w:rsidP="0004348D">
      <w:pPr>
        <w:pStyle w:val="a9"/>
      </w:pPr>
      <w:r>
        <w:rPr>
          <w:rStyle w:val="ab"/>
        </w:rPr>
        <w:footnoteRef/>
      </w:r>
      <w:r>
        <w:rPr>
          <w:rtl/>
        </w:rPr>
        <w:t xml:space="preserve"> וכתבתי דברי בעל התרומות באורך בסי' ק"ז </w:t>
      </w:r>
      <w:r>
        <w:rPr>
          <w:sz w:val="16"/>
          <w:szCs w:val="16"/>
          <w:rtl/>
        </w:rPr>
        <w:t xml:space="preserve">(מחו' ח) </w:t>
      </w:r>
      <w:r>
        <w:rPr>
          <w:rtl/>
        </w:rPr>
        <w:t xml:space="preserve">וקט"ו </w:t>
      </w:r>
      <w:r>
        <w:rPr>
          <w:sz w:val="16"/>
          <w:szCs w:val="16"/>
          <w:rtl/>
        </w:rPr>
        <w:t>(מחו' ב)</w:t>
      </w:r>
      <w:r>
        <w:rPr>
          <w:rtl/>
        </w:rPr>
        <w:t xml:space="preserve">... וסברות אלו כתב באורך המרדכי ס"פ המקבל </w:t>
      </w:r>
      <w:r>
        <w:rPr>
          <w:sz w:val="16"/>
          <w:szCs w:val="16"/>
          <w:rtl/>
        </w:rPr>
        <w:t>(סי' תג)</w:t>
      </w:r>
      <w:r>
        <w:rPr>
          <w:rtl/>
        </w:rPr>
        <w:t>, ב"י.</w:t>
      </w:r>
    </w:p>
  </w:footnote>
  <w:footnote w:id="5950">
    <w:p w14:paraId="706F7123" w14:textId="77777777" w:rsidR="0013116F" w:rsidRDefault="0013116F" w:rsidP="0004348D">
      <w:pPr>
        <w:pStyle w:val="a9"/>
        <w:rPr>
          <w:rtl/>
        </w:rPr>
      </w:pPr>
      <w:r>
        <w:rPr>
          <w:rStyle w:val="ab"/>
        </w:rPr>
        <w:footnoteRef/>
      </w:r>
      <w:r>
        <w:rPr>
          <w:rtl/>
        </w:rPr>
        <w:t xml:space="preserve"> והכי מסתברא, כיון שאין כאן עדים ואילו היה אומר לקוח הוא בידי היה נוטל בעל כרחו של השני - גם עתה נמי שטוען עליו יותר מכדי דמיו אלא שאמר שרוצה ליטלו בחובו נוטלו בעל כורחו, טור. וכתב הב"י דמה שהכריע רבינו שהדין עם המחזיק משום מגו - אינו נראה לי, ודברים תמוהים הם, שאין זה דרך מגו, דכי אמרינן מגו היינו לומר דנהמניה בהאי טענה מגו דאי הוה בעי הוה טעין טענה אחריתי והוה מהימן השתא נמי נאמן, והכא הא מהימנינן ליה ליטול מה שטוען עד כדי דמי החפץ משום מגו אבל לענין ליטול החפץ עצמו היאך אפשר שנאמר שיטול החפץ עצמו במגו דאי בעי אמר לקוח הוא בידי, והרי כיון דלפי דבריו דהשתא אינו יכול ליטלו בעל כרחו של בעל החפץ היאך נזכה אותו ביותר ממה שהוא טוען במגו דאי בעי אמר לקוח - זה דבר שאין לו שחר, הלכך נראה שהדין עם בעל החפץ </w:t>
      </w:r>
      <w:r>
        <w:rPr>
          <w:sz w:val="16"/>
          <w:szCs w:val="16"/>
          <w:rtl/>
        </w:rPr>
        <w:t>(עכ"ל הב"י)</w:t>
      </w:r>
      <w:r>
        <w:rPr>
          <w:rtl/>
        </w:rPr>
        <w:t xml:space="preserve">. והדרכ"מ </w:t>
      </w:r>
      <w:r>
        <w:rPr>
          <w:sz w:val="16"/>
          <w:szCs w:val="16"/>
          <w:rtl/>
        </w:rPr>
        <w:t xml:space="preserve">(אות טו) </w:t>
      </w:r>
      <w:r>
        <w:rPr>
          <w:rtl/>
        </w:rPr>
        <w:t>כתב שאין בדברי הב"י הכרע כלל ולכן המוציא מחברו עליו הראיה.</w:t>
      </w:r>
    </w:p>
  </w:footnote>
  <w:footnote w:id="5951">
    <w:p w14:paraId="7E5430F1" w14:textId="77777777" w:rsidR="0013116F" w:rsidRDefault="0013116F" w:rsidP="0004348D">
      <w:pPr>
        <w:pStyle w:val="a9"/>
        <w:rPr>
          <w:rtl/>
        </w:rPr>
      </w:pPr>
      <w:r>
        <w:rPr>
          <w:rStyle w:val="ab"/>
        </w:rPr>
        <w:footnoteRef/>
      </w:r>
      <w:r>
        <w:rPr>
          <w:rtl/>
        </w:rPr>
        <w:t xml:space="preserve"> ונראה דמ"מ צריך המחזיק לישבע בנקיטת חפץ </w:t>
      </w:r>
      <w:r>
        <w:rPr>
          <w:sz w:val="16"/>
          <w:szCs w:val="16"/>
          <w:rtl/>
        </w:rPr>
        <w:t>(ולא מיבעיא להרמב"ם [פי"ג ממלוה ה"ג] וסיעתו [דלעיל ס"ק ס"ח] דכתב טעמא דלא אמרינן מיגו לאפטורי משבועה. אלא אפילו להרא"ש [שבועות פ"ז סי' ד] דהיינו טעמא דטוען על המשכון צריך לישבע, כיון דלאו אגופיה דמשכון קטעין, אלא בעי לאפוקי ממונא מרשותא דחבריה כו', נראה דהכא נמי לא מיקרי טעין אגופיה דמשכון, דהא אילו היה נותן לו זה כפי טענתו היה מוכרח להחזיר לו הכלי, ולא מיקרי טעין על גופו אלא כשטוען לקוח הוא בידי או מתנה וכה"ג)</w:t>
      </w:r>
      <w:r>
        <w:rPr>
          <w:rtl/>
        </w:rPr>
        <w:t>, ש"ך (סקק"ג).</w:t>
      </w:r>
    </w:p>
  </w:footnote>
  <w:footnote w:id="5952">
    <w:p w14:paraId="7EE676AC" w14:textId="77777777" w:rsidR="0013116F" w:rsidRDefault="0013116F" w:rsidP="0004348D">
      <w:pPr>
        <w:pStyle w:val="a9"/>
        <w:rPr>
          <w:rtl/>
        </w:rPr>
      </w:pPr>
      <w:r>
        <w:rPr>
          <w:rStyle w:val="ab"/>
        </w:rPr>
        <w:footnoteRef/>
      </w:r>
      <w:r>
        <w:rPr>
          <w:rtl/>
        </w:rPr>
        <w:t xml:space="preserve"> </w:t>
      </w:r>
      <w:r>
        <w:rPr>
          <w:rFonts w:hint="cs"/>
          <w:rtl/>
        </w:rPr>
        <w:t>סימן – כל החזקות. וכן – חזקת כבולים</w:t>
      </w:r>
      <w:r>
        <w:rPr>
          <w:sz w:val="16"/>
          <w:szCs w:val="16"/>
          <w:rtl/>
        </w:rPr>
        <w:t xml:space="preserve"> {עבדים, וקטן מוטל בעריסה}</w:t>
      </w:r>
      <w:r>
        <w:rPr>
          <w:rtl/>
        </w:rPr>
        <w:t>.</w:t>
      </w:r>
    </w:p>
  </w:footnote>
  <w:footnote w:id="5953">
    <w:p w14:paraId="6A639EB1" w14:textId="77777777" w:rsidR="0013116F" w:rsidRDefault="0013116F" w:rsidP="0004348D">
      <w:pPr>
        <w:pStyle w:val="a9"/>
        <w:rPr>
          <w:rtl/>
        </w:rPr>
      </w:pPr>
      <w:r>
        <w:rPr>
          <w:rStyle w:val="ab"/>
        </w:rPr>
        <w:footnoteRef/>
      </w:r>
      <w:r>
        <w:rPr>
          <w:rtl/>
        </w:rPr>
        <w:t xml:space="preserve"> גודרות צאן וכל דבר המהלך בדרכים ובשווקים שיכול לומר מעצמו נכנס או אתה הכנסתו לביתך והחזקת בו אינה חזקה ואין יכול לומר לקוח הוא בידי והעבדים מהלכים הם בכל מקום ותנן דיש להם חזקה, רשב"ם.</w:t>
      </w:r>
    </w:p>
  </w:footnote>
  <w:footnote w:id="5954">
    <w:p w14:paraId="0ACBD009" w14:textId="77777777" w:rsidR="0013116F" w:rsidRDefault="0013116F" w:rsidP="0004348D">
      <w:pPr>
        <w:pStyle w:val="a9"/>
      </w:pPr>
      <w:r>
        <w:rPr>
          <w:rStyle w:val="ab"/>
        </w:rPr>
        <w:footnoteRef/>
      </w:r>
      <w:r>
        <w:rPr>
          <w:rtl/>
        </w:rPr>
        <w:t xml:space="preserve"> עבד כנעני קטן המוטל בעריסה, רשב"ם.</w:t>
      </w:r>
    </w:p>
  </w:footnote>
  <w:footnote w:id="5955">
    <w:p w14:paraId="47F893AE" w14:textId="77777777" w:rsidR="0013116F" w:rsidRDefault="0013116F" w:rsidP="0004348D">
      <w:pPr>
        <w:pStyle w:val="a9"/>
      </w:pPr>
      <w:r>
        <w:rPr>
          <w:rStyle w:val="ab"/>
        </w:rPr>
        <w:footnoteRef/>
      </w:r>
      <w:r>
        <w:rPr>
          <w:rtl/>
        </w:rPr>
        <w:t xml:space="preserve"> </w:t>
      </w:r>
      <w:r>
        <w:rPr>
          <w:rFonts w:hint="cs"/>
          <w:rtl/>
        </w:rPr>
        <w:t>ושכחתו שם.</w:t>
      </w:r>
    </w:p>
  </w:footnote>
  <w:footnote w:id="5956">
    <w:p w14:paraId="26464CB5" w14:textId="77777777" w:rsidR="0013116F" w:rsidRDefault="0013116F" w:rsidP="0004348D">
      <w:pPr>
        <w:pStyle w:val="a9"/>
        <w:rPr>
          <w:rtl/>
        </w:rPr>
      </w:pPr>
      <w:r>
        <w:rPr>
          <w:rStyle w:val="ab"/>
        </w:rPr>
        <w:footnoteRef/>
      </w:r>
      <w:r>
        <w:rPr>
          <w:rtl/>
        </w:rPr>
        <w:t xml:space="preserve"> נראה דהיינו בדאיכא עדי ראה, דדין אלו כדברים העשויים להשאיל ולהשכיר. אבל היכא דליכא עדי ראה, כיון דנאמן לטעון להד"ם או החזרתי - נאמן ג"כ לטעון לקוח או משכון הוא בידי במיגו, ש"ך (סקק"ה).</w:t>
      </w:r>
    </w:p>
  </w:footnote>
  <w:footnote w:id="5957">
    <w:p w14:paraId="71F99511" w14:textId="77777777" w:rsidR="0013116F" w:rsidRDefault="0013116F" w:rsidP="0004348D">
      <w:pPr>
        <w:pStyle w:val="a9"/>
      </w:pPr>
      <w:r>
        <w:rPr>
          <w:rStyle w:val="ab"/>
        </w:rPr>
        <w:footnoteRef/>
      </w:r>
      <w:r>
        <w:rPr>
          <w:rtl/>
        </w:rPr>
        <w:t xml:space="preserve"> משמע דקאי גם אבהמה, דמהני חזקת ג' שנים. וכתב בסמ"ע [סק"ע] דהמחבר סמך אלקמן סימן קל"ה, דבבהמה לא מהני חזקת ג' שנים, וכדעת הרמב"ם ובהעי"ט. ולקמן סימן קל"ה [סק"ג] כתבתי איפכא, דאדרבה העיקר בש"ס ופוסקים דגם בבהמה מהני חזקת ג' שנים, ושגם דעת הרמב"ם ובהעי"ט והמחבר כן, וכמו שנראה מדבריו אלו שבכאן, ע"ש, ש"ך (סקק"ו).</w:t>
      </w:r>
    </w:p>
  </w:footnote>
  <w:footnote w:id="5958">
    <w:p w14:paraId="0ED89ACD" w14:textId="77777777" w:rsidR="0013116F" w:rsidRDefault="0013116F" w:rsidP="0004348D">
      <w:pPr>
        <w:pStyle w:val="a9"/>
      </w:pPr>
      <w:r>
        <w:rPr>
          <w:rStyle w:val="ab"/>
        </w:rPr>
        <w:footnoteRef/>
      </w:r>
      <w:r>
        <w:rPr>
          <w:rtl/>
        </w:rPr>
        <w:t xml:space="preserve"> לפרעון, שיהיו שלו, אבל אם טוען משכון הוא בידי כל הג' שנים, צריך לישבע בנקיטת חפץ, כ"כ הב"ח [סע' יז], ש"ך (סקק"ז).</w:t>
      </w:r>
    </w:p>
  </w:footnote>
  <w:footnote w:id="5959">
    <w:p w14:paraId="26B7540F" w14:textId="77777777" w:rsidR="0013116F" w:rsidRDefault="0013116F" w:rsidP="0004348D">
      <w:pPr>
        <w:pStyle w:val="a9"/>
      </w:pPr>
      <w:r>
        <w:rPr>
          <w:rStyle w:val="ab"/>
        </w:rPr>
        <w:footnoteRef/>
      </w:r>
      <w:r>
        <w:rPr>
          <w:rtl/>
        </w:rPr>
        <w:t xml:space="preserve"> </w:t>
      </w:r>
      <w:r>
        <w:rPr>
          <w:rFonts w:hint="cs"/>
          <w:rtl/>
        </w:rPr>
        <w:t>היינו שבועה דאורייתא, דזה הוה מודה במקצת ממש, ואינו חשוב כהילך, כיון שאין המלוה מודה במשכון, ודלא כב"ח ששגג בזה, באה"ט (ס"ק ס"ז) ע"פ ש"ך (סקק"ח).</w:t>
      </w:r>
    </w:p>
  </w:footnote>
  <w:footnote w:id="5960">
    <w:p w14:paraId="62209605" w14:textId="77777777" w:rsidR="0013116F" w:rsidRDefault="0013116F" w:rsidP="0004348D">
      <w:pPr>
        <w:pStyle w:val="a9"/>
        <w:rPr>
          <w:rtl/>
        </w:rPr>
      </w:pPr>
      <w:r>
        <w:rPr>
          <w:rStyle w:val="ab"/>
        </w:rPr>
        <w:footnoteRef/>
      </w:r>
      <w:r>
        <w:rPr>
          <w:rtl/>
        </w:rPr>
        <w:t xml:space="preserve"> ועיין בתרוה"ד (סי' שלה) ועיין בתשובת הרשב"א (ח"א) סימן תתקצ"ח שכתבתי בסימן ע"ה (מחו' כה) וסימן אלף ומ', ב"י.</w:t>
      </w:r>
      <w:r>
        <w:rPr>
          <w:sz w:val="16"/>
          <w:szCs w:val="16"/>
          <w:rtl/>
        </w:rPr>
        <w:t xml:space="preserve"> </w:t>
      </w:r>
      <w:r>
        <w:rPr>
          <w:rtl/>
        </w:rPr>
        <w:t>וכתב הדרכ"מ (אות י) דהרשב"א שם (סי' תתקצח ובסי' אלף מ) פליג בזה וכתב דהמלוה נשבע ונוטל... ועיי"ש טעמו בזה. ועיין לקמן סימן ע"ה (סי"ב - יג) מדינים אלו.</w:t>
      </w:r>
      <w:r>
        <w:rPr>
          <w:sz w:val="16"/>
          <w:szCs w:val="16"/>
          <w:rtl/>
        </w:rPr>
        <w:t xml:space="preserve"> </w:t>
      </w:r>
      <w:r>
        <w:rPr>
          <w:rtl/>
        </w:rPr>
        <w:t>עכ"ל הדרכ"מ. וכתב הש"ך (סקק"ט) דנראה דליכא פלוגתא בהא, ונ"ל דהך דתשובת רמב"ן סי' פ"ד דהרשב"א הוא, דידוע דתשובות הרמב"ן הם תשובות הרשב"א רק שהמדפיסים טעו ויחסום להרמב"ן, וכמ"ש ג"כ הב"י בהקדמת ספרו. וגם המדקדק היטב בתשו' זו להרמב"ן סימן פ"ד יראה מלשונותיו שהם לשונות הרשב"א ולא הרמב"ן. וכשתעיין בתשובת הרשב"א [ח"א] סי' אלף מ' יוודע לך שהרשב"א מתחילה פסק דיחזיר המשכון, משום דדמי לאומן [לקמן סימן קל"ד וסימן פ"ט סע' ה], ואח"כ חזר בו דלא דמי לאומן, כיון שבתורת משכון בא לידו, וכיון שבעל חוב קונה משכון הוה ליה מוחזק. א"כ בתשובת הרמב"ן הועתק תחילת דברי רשב"א דדמי לאומן, וא"כ כיון דהרשב"א גופיה חזר בו וליכא מאן דס"ל בהדיא דחייב להחזיר המשכון, הכי נקטינן, דהמלוה נשבע ונוטל. עכ"ל הש"ך, וע"ש שהביא ראיה מדברי הרמב"ם ובעל התרומות והה"מ.</w:t>
      </w:r>
    </w:p>
  </w:footnote>
  <w:footnote w:id="5961">
    <w:p w14:paraId="17281E1A" w14:textId="77777777" w:rsidR="0013116F" w:rsidRDefault="0013116F" w:rsidP="0004348D">
      <w:pPr>
        <w:pStyle w:val="a9"/>
        <w:rPr>
          <w:rtl/>
        </w:rPr>
      </w:pPr>
      <w:r>
        <w:rPr>
          <w:rStyle w:val="ab"/>
        </w:rPr>
        <w:footnoteRef/>
      </w:r>
      <w:r>
        <w:rPr>
          <w:rtl/>
        </w:rPr>
        <w:t xml:space="preserve"> צ"ל "דכיון" בדלי"ת, דהוא נתינת טעם, דכיון דיש עד אחד דבתורת משכון בא לידו, וגם עכשיו קודם שנחתי לדין ראוהו בידו, ה"ל עדים וראה ותו לית ליה מיגו דלקוח הוא בידי או החזרתיו לך. ואע"ג דאין כאן אלא עד אחד שמעיד שבא לידו בתורת משכון, מ"מ כיון שהוא עצמו מודה שהוא משכון בידו, וקי"ל דכל היכא דאינו נשבע נגד דברי העד להכחישו הוה ליה דברי העד אחד כאילו העידו כן שנים, סמ"ע (סקע"א).</w:t>
      </w:r>
    </w:p>
  </w:footnote>
  <w:footnote w:id="5962">
    <w:p w14:paraId="79178E94" w14:textId="77777777" w:rsidR="0013116F" w:rsidRDefault="0013116F" w:rsidP="0004348D">
      <w:pPr>
        <w:pStyle w:val="a9"/>
      </w:pPr>
      <w:r>
        <w:rPr>
          <w:rStyle w:val="ab"/>
        </w:rPr>
        <w:footnoteRef/>
      </w:r>
      <w:r>
        <w:rPr>
          <w:rtl/>
        </w:rPr>
        <w:t xml:space="preserve"> פירוש, אם אינו מביא שמעון ראיה, יטול ראובן וישבע כו'. והא דנשבע היסת היינו משום דהמשכון הילך הוא, ולפ"ז מיירי שלא נטל המשכון עדיין, ומ"מ א"צ לישבע אלא היסת, דכיון דשמעון אינו מביא ראיה הרי הוא של ראובן, וה"ל טענת שמעון כתביעה בעל פה דא"צ אלא היסת. או יש לפרש דמיירי כאן שמשלם לו מיד העשרה שמודה, דה"ל הילך, ש"ך (סקק"י).</w:t>
      </w:r>
    </w:p>
  </w:footnote>
  <w:footnote w:id="5963">
    <w:p w14:paraId="17C5BA61" w14:textId="77777777" w:rsidR="0013116F" w:rsidRDefault="0013116F" w:rsidP="0004348D">
      <w:pPr>
        <w:pStyle w:val="a9"/>
        <w:rPr>
          <w:rtl/>
        </w:rPr>
      </w:pPr>
      <w:r>
        <w:rPr>
          <w:rStyle w:val="ab"/>
        </w:rPr>
        <w:footnoteRef/>
      </w:r>
      <w:r>
        <w:rPr>
          <w:rtl/>
        </w:rPr>
        <w:t xml:space="preserve"> ואע"פ שזה נאמר לענין שאלה כתבתיו פה מפני שיש ללמוד ממנו לענין משכון ומטעם זה כתבתי בסימן זה קצת דינים דשייכי לענין שאלה, ב"י.</w:t>
      </w:r>
    </w:p>
  </w:footnote>
  <w:footnote w:id="5964">
    <w:p w14:paraId="178BE366" w14:textId="77777777" w:rsidR="0013116F" w:rsidRDefault="0013116F" w:rsidP="0004348D">
      <w:pPr>
        <w:pStyle w:val="a9"/>
      </w:pPr>
      <w:r>
        <w:rPr>
          <w:rStyle w:val="ab"/>
        </w:rPr>
        <w:footnoteRef/>
      </w:r>
      <w:r>
        <w:rPr>
          <w:rtl/>
        </w:rPr>
        <w:t xml:space="preserve"> ועיין לקמן סוף סימן ע"ה (סל"ג) וסימן פ"ז (ס"א) בדין שבועה על פי עד כשאין התובע טוען ברי, דרכ"מ (אות יב).</w:t>
      </w:r>
    </w:p>
  </w:footnote>
  <w:footnote w:id="5965">
    <w:p w14:paraId="6C9F7075" w14:textId="77777777" w:rsidR="0013116F" w:rsidRDefault="0013116F" w:rsidP="0004348D">
      <w:pPr>
        <w:pStyle w:val="a9"/>
      </w:pPr>
      <w:r>
        <w:rPr>
          <w:rStyle w:val="ab"/>
        </w:rPr>
        <w:footnoteRef/>
      </w:r>
      <w:r>
        <w:rPr>
          <w:rtl/>
        </w:rPr>
        <w:t xml:space="preserve"> וכתב הדרכ"מ (אות יד) דמשמע דאם חייב לו ממקום אחר יכול לתפוס מה שבידו, וכ"כ המרדכי ס"פ המקבל (סי' תד - תז) וז"ל- יש מקומות שנהגו שלא לעקל ושלא לעכב הספרים השאולים להם ואפילו במקום שחייבין עליהן ממקום אחר, ויש נוהגין דבר זה במלמדי תינוקות שלא יעכבו הספרים אלא בשכר לימודם, והכל לפי מנהג שנהגו אבותינו בחרם קדמונים. והשיב ר"ת אע"פ שצריך להחזיר מכח התקנה מ"מ לא הפסיד מגו שלו ויכול לטעון עליו כל מה שהיה יכול לטעון בעודו תחת ידו, וכן כתבו הראב"ן (ב"מ ס"פ המקבל) ומוהר"ם (ד"ב כ"י פרמא סי' ג). ועוד כתב מוהר"ם דהתקנה לא הוי אלא כשבא לידו בתורת שאלה או פקדון או שכירות, אבל התופסו מחבירו מפני שהוא חייב לו - אין צריך להחזירו במקום שיש לו מגו, ואף בדבר שיש בו תקנה לא הפסיד זכותו מכח התקנה רק שחייב להחזיר אבל עדיין טוען כל מה שהיה יכול לטעון תחלה, ודלא כרבינו שמחה שכתב דלא יכול לטעון על משכון או פקדון שבידו אפילו במקום שיש לו מגו, ועיי"ש שהאריך עוד בזה. ועיין בכל בו סימן קי"ו ענין תקנה זו.</w:t>
      </w:r>
    </w:p>
  </w:footnote>
  <w:footnote w:id="5966">
    <w:p w14:paraId="3BAA1F62" w14:textId="77777777" w:rsidR="0013116F" w:rsidRDefault="0013116F" w:rsidP="0004348D">
      <w:pPr>
        <w:pStyle w:val="a9"/>
        <w:rPr>
          <w:rtl/>
        </w:rPr>
      </w:pPr>
      <w:r>
        <w:rPr>
          <w:rStyle w:val="ab"/>
        </w:rPr>
        <w:footnoteRef/>
      </w:r>
      <w:r>
        <w:rPr>
          <w:rtl/>
        </w:rPr>
        <w:t xml:space="preserve"> הטור ומור"ם כתבו דין זה בסימן ע"ג ע"ש כו', עכ"ל סמ"ע [סקע"ח]. ואינו בטור. ובאמת צ"ע בדין זה שכתב המחבר, דהנמוק"י שם הוציא כן ממאי דס"ל גבי פועל דאם א"ל טול מה שעשית בשכרך דיכול לחזור בו כל זמן דלא פנינהו, ודלא כהרשב"א שם, משום דדחויי מדחי. והרי הטור והמחבר גופיה חולקים בזה לקמן סימן של"ו </w:t>
      </w:r>
      <w:r>
        <w:rPr>
          <w:sz w:val="16"/>
          <w:szCs w:val="16"/>
          <w:rtl/>
        </w:rPr>
        <w:t>[טור סע' ג ומחבר סע' ב]</w:t>
      </w:r>
      <w:r>
        <w:rPr>
          <w:rtl/>
        </w:rPr>
        <w:t>, וס"ל כהרשב"א דאם הוא ברשות הפועל אינו יכול לחזור בו. וא"כ נראה דה"ה הכא גבי משכון, ודוחק לחלק בין פועל להך דהכא. ועוד, דהא בנמוק"י שם תלה זה בזה, וכתב שם גם כן להדיא דלהרשב"א אם חזר בעל המשכון אח"כ על משכונו אין שומעין לו, ע"ש, וצל"ע, ש"ך</w:t>
      </w:r>
      <w:r>
        <w:rPr>
          <w:sz w:val="16"/>
          <w:szCs w:val="16"/>
          <w:rtl/>
        </w:rPr>
        <w:t xml:space="preserve"> (סקקי"ד)</w:t>
      </w:r>
      <w:r>
        <w:rPr>
          <w:rtl/>
        </w:rPr>
        <w:t>.</w:t>
      </w:r>
    </w:p>
  </w:footnote>
  <w:footnote w:id="5967">
    <w:p w14:paraId="0882B537" w14:textId="77777777" w:rsidR="0013116F" w:rsidRDefault="0013116F" w:rsidP="0004348D">
      <w:pPr>
        <w:pStyle w:val="a9"/>
      </w:pPr>
      <w:r>
        <w:rPr>
          <w:rStyle w:val="ab"/>
        </w:rPr>
        <w:footnoteRef/>
      </w:r>
      <w:r>
        <w:rPr>
          <w:rtl/>
        </w:rPr>
        <w:t xml:space="preserve"> </w:t>
      </w:r>
      <w:r>
        <w:rPr>
          <w:rFonts w:hint="cs"/>
          <w:u w:val="single"/>
          <w:rtl/>
        </w:rPr>
        <w:t xml:space="preserve">וקשה, דהרי </w:t>
      </w:r>
      <w:r>
        <w:rPr>
          <w:u w:val="single"/>
          <w:rtl/>
        </w:rPr>
        <w:t>צריך המלוה לישבע שבועה דאו' שנעשה אצלו באונס אפילו אטענת ספק דהלוה, כדין כל שומר:</w:t>
      </w:r>
    </w:p>
    <w:p w14:paraId="196EC4D1" w14:textId="77777777" w:rsidR="0013116F" w:rsidRDefault="0013116F" w:rsidP="00992A87">
      <w:pPr>
        <w:pStyle w:val="a9"/>
        <w:numPr>
          <w:ilvl w:val="0"/>
          <w:numId w:val="376"/>
        </w:numPr>
        <w:rPr>
          <w:rtl/>
        </w:rPr>
      </w:pPr>
      <w:r>
        <w:rPr>
          <w:rtl/>
        </w:rPr>
        <w:t>סמ"ע</w:t>
      </w:r>
      <w:r>
        <w:rPr>
          <w:sz w:val="16"/>
          <w:szCs w:val="16"/>
          <w:rtl/>
        </w:rPr>
        <w:t xml:space="preserve"> (סקע"ט, תירוץ א)</w:t>
      </w:r>
      <w:r>
        <w:rPr>
          <w:rtl/>
        </w:rPr>
        <w:t xml:space="preserve">- מיירי הכא שאין עדים בדבר, ואילו רצה המלוה היה כופר ואומר 'הרקבון היה כבר ולא השגחתי עליו', ומשום הכי נאמן בהיסת במה שאמר שנעשה באונס, במיגו דאילו אמר שלא נעשה בביתו. </w:t>
      </w:r>
    </w:p>
    <w:p w14:paraId="4981447E" w14:textId="77777777" w:rsidR="0013116F" w:rsidRDefault="0013116F" w:rsidP="00992A87">
      <w:pPr>
        <w:pStyle w:val="a9"/>
        <w:numPr>
          <w:ilvl w:val="0"/>
          <w:numId w:val="376"/>
        </w:numPr>
      </w:pPr>
      <w:r>
        <w:rPr>
          <w:rtl/>
        </w:rPr>
        <w:t>סמ"ע</w:t>
      </w:r>
      <w:r>
        <w:rPr>
          <w:sz w:val="16"/>
          <w:szCs w:val="16"/>
          <w:rtl/>
        </w:rPr>
        <w:t xml:space="preserve"> (שם, תירוץ ב)</w:t>
      </w:r>
      <w:r>
        <w:rPr>
          <w:rtl/>
        </w:rPr>
        <w:t xml:space="preserve">- לא חייבה התורה לישבע אלא כשטוען שנגנב או שנאבד או מיתה או שבירה דומיא דמיתה דכלתה לגמרי, משא"כ בכה"ג שהוא עדיין בעין אלא שנפחת, ועדיין שם בעלים הראשונים עליו. וכיון דאין להלוה טענת ברי אהמלוה, לא חייבתו התורה בכה"ג לישבע אספק </w:t>
      </w:r>
      <w:r>
        <w:rPr>
          <w:sz w:val="16"/>
          <w:szCs w:val="16"/>
          <w:rtl/>
        </w:rPr>
        <w:t>(ועיין לקמן סי' רצד)</w:t>
      </w:r>
      <w:r>
        <w:rPr>
          <w:rtl/>
        </w:rPr>
        <w:t>.</w:t>
      </w:r>
    </w:p>
    <w:p w14:paraId="7F2D62F2" w14:textId="77777777" w:rsidR="0013116F" w:rsidRDefault="0013116F" w:rsidP="00992A87">
      <w:pPr>
        <w:pStyle w:val="a9"/>
        <w:numPr>
          <w:ilvl w:val="0"/>
          <w:numId w:val="376"/>
        </w:numPr>
      </w:pPr>
      <w:r>
        <w:rPr>
          <w:rtl/>
        </w:rPr>
        <w:t xml:space="preserve">ב"ח וש"ך </w:t>
      </w:r>
      <w:r>
        <w:rPr>
          <w:sz w:val="16"/>
          <w:szCs w:val="16"/>
          <w:rtl/>
        </w:rPr>
        <w:t>(סקקט"ו)</w:t>
      </w:r>
      <w:r>
        <w:rPr>
          <w:rtl/>
        </w:rPr>
        <w:t>- הכא מיירי שהלוה טוען ברי לי שנרקב בפשיעתו... וכיון שהלוה טוען ברי אינו חייב לשלם על פי שבועת המלוה, והלכך נשבע המלוה היסת, דכל שבועת שומרים אינה אלא כשבעל החפץ טוען שמא, דרמי רחמנא שבועה עליה שלא יהא כל אחד ואחד הולך וטוען אבד חפצך, שהרי אין הבעל יודע אם משקר, אבל כשהבעל טוען ברי לא רמי רחמנא שבועה עליה, דחזקה אין אדם מעיז.</w:t>
      </w:r>
    </w:p>
  </w:footnote>
  <w:footnote w:id="5968">
    <w:p w14:paraId="0B39E191" w14:textId="77777777" w:rsidR="0013116F" w:rsidRDefault="0013116F" w:rsidP="0004348D">
      <w:pPr>
        <w:pStyle w:val="a9"/>
      </w:pPr>
      <w:r>
        <w:rPr>
          <w:rStyle w:val="ab"/>
        </w:rPr>
        <w:footnoteRef/>
      </w:r>
      <w:r>
        <w:rPr>
          <w:rtl/>
        </w:rPr>
        <w:t xml:space="preserve"> עיין לקמן בטור ובדברי המחבר ר"ס פז </w:t>
      </w:r>
      <w:r>
        <w:rPr>
          <w:sz w:val="16"/>
          <w:szCs w:val="16"/>
          <w:rtl/>
        </w:rPr>
        <w:t>(טור סע' ד ומחבר סע' א)</w:t>
      </w:r>
      <w:r>
        <w:rPr>
          <w:rtl/>
        </w:rPr>
        <w:t>, שיש פלוגתא בזה אם נותן משכון נקרא הילך, והמחבר פסק שם דלא מיקרי הילך. שאני הכא דלוה עליו מתחילה וקיבלו במקום דמיו, סמ"ע (סקפ"ב). ובאמת הבאתי כן לקמן סי' פז סע' א' סק"ה דברי הר"ן [שבועות יח. מדפה"ר] ונמוק"י [ב"מ ב. מדפה"ר] שמחלקין בכך להדיא, ש"ך (סקקי"ח). אך הוסיף הש"ך (שם) דמכל מקום דין זה צל"ע, כי נראה שם להדיא דטעמייהו דהר"ן ונמוק"י משום דאזלי לשיטתם דס"ל דהא דאמר רבי יצחק [ב"מ פב.] בעל חוב קונה משכון, היינו אף בשעת הלואתו. וא"כ כבר הוכחתי לעיל [סע' ב סק"ט] דלא אמר רבי יצחק אלא שלא בשעת הלואתו, אבל בשעת הלואתו אינו קונה משכון ואינו עליו אלא שומר חנם או שומר שכר. וא"כ כי היכי דהוכיחו הר"ן והנמוק"י שם מהא דאמרינן פ"ק דקדושין [ח.], התקדשי לי במנה זו והניח לה משכון עליה אינה מקודשת דמנה אין כאן משכון אין כאן [דאם נותן לו משכון לא מיקרי הילך]. אם כן, הא כבר הוכחתי לעיל סעיף ב' סק"ט, דאם קידשה במשכון שיש לו מאחרים שמשכנו בשעת הלואתו אינה מקודשת, משום דלא קני משכון זה ומנה אין כאן משכון אין כאן, א"כ הכא נמי, אע"ג דהלוה לו כבר עליו, מ"מ כיון דלא קני משכון לאו הילך הוא, ומנה אין כאן משכון אין כאן. כן נ"ל ברור, ועיקר.</w:t>
      </w:r>
    </w:p>
  </w:footnote>
  <w:footnote w:id="5969">
    <w:p w14:paraId="468F30B2" w14:textId="77777777" w:rsidR="0013116F" w:rsidRDefault="0013116F" w:rsidP="0004348D">
      <w:pPr>
        <w:pStyle w:val="a9"/>
      </w:pPr>
      <w:r>
        <w:rPr>
          <w:rStyle w:val="ab"/>
        </w:rPr>
        <w:footnoteRef/>
      </w:r>
      <w:r>
        <w:rPr>
          <w:rtl/>
        </w:rPr>
        <w:t xml:space="preserve"> והמשכון רוצה להחליט בידו. דאומר, כיון שנפחת בפשיעתו אין ביד המלוה כח להזקיקו לטפל בו למוכרו, סמ"ע (סקפ"ד).</w:t>
      </w:r>
    </w:p>
  </w:footnote>
  <w:footnote w:id="5970">
    <w:p w14:paraId="7E4BFF44" w14:textId="77777777" w:rsidR="0013116F" w:rsidRDefault="0013116F" w:rsidP="0004348D">
      <w:pPr>
        <w:pStyle w:val="a9"/>
        <w:rPr>
          <w:rtl/>
        </w:rPr>
      </w:pPr>
      <w:r>
        <w:rPr>
          <w:rStyle w:val="ab"/>
        </w:rPr>
        <w:footnoteRef/>
      </w:r>
      <w:r>
        <w:rPr>
          <w:rtl/>
        </w:rPr>
        <w:t xml:space="preserve"> בטור [סעיף כ'] כתוב "מחובו", והיא גירסא נכונה בעיני יותר, ועל דרך שכתבתי לפני זה, סמ"ע (סקפ"ו). והש"ך (סקקי"ט) כתב דתיבת ומנכה, צ"ל ומגבה. וכן הוא בקצת ספרי הטור. וה"ק, ומגבה לו המלוה ה' מתוכו, כלומר, מן המשכון מגבה ללוה ה', והשאר גובה מהמשכון. </w:t>
      </w:r>
    </w:p>
  </w:footnote>
  <w:footnote w:id="5971">
    <w:p w14:paraId="448CD567" w14:textId="77777777" w:rsidR="0013116F" w:rsidRDefault="0013116F" w:rsidP="0004348D">
      <w:pPr>
        <w:pStyle w:val="a9"/>
        <w:rPr>
          <w:rtl/>
        </w:rPr>
      </w:pPr>
      <w:r>
        <w:rPr>
          <w:rStyle w:val="ab"/>
        </w:rPr>
        <w:footnoteRef/>
      </w:r>
      <w:r>
        <w:rPr>
          <w:rtl/>
        </w:rPr>
        <w:t xml:space="preserve"> בשבועה בנקיטת חפץ, ש"ך (סקק"כ). וכתב עוד (סקקי"ט) דאם המלוה רוצה שהלוה ישלם לו במזומנים עשרה, יכול להחזיק גם שיעור החמשה, עד שישלם לו העשרה. וכמ"ש בסמוך [סקקי"ז] דבשביל שנפחת אצלו אינו מחויב ליקח המשכון. עכ"ל. אך הסמ"ע (סקפ"ה)</w:t>
      </w:r>
      <w:r>
        <w:rPr>
          <w:rFonts w:hint="cs"/>
        </w:rPr>
        <w:t xml:space="preserve"> </w:t>
      </w:r>
      <w:r>
        <w:rPr>
          <w:rtl/>
        </w:rPr>
        <w:t>כתב דהעשרה שנשאר לו מחובו אינו יכול לכוף להלוה לשלם לו מזומנים ושיקח משכונו, אלא גובה אותו מהמשכון. והכלל, שהמוחזק ידו על העליונה והמוציא מחבירו עליו הראיה.</w:t>
      </w:r>
    </w:p>
  </w:footnote>
  <w:footnote w:id="5972">
    <w:p w14:paraId="69E3BA70" w14:textId="77777777" w:rsidR="0013116F" w:rsidRDefault="0013116F" w:rsidP="0004348D">
      <w:pPr>
        <w:pStyle w:val="a9"/>
        <w:rPr>
          <w:rtl/>
        </w:rPr>
      </w:pPr>
      <w:r>
        <w:rPr>
          <w:rStyle w:val="ab"/>
        </w:rPr>
        <w:footnoteRef/>
      </w:r>
      <w:r>
        <w:rPr>
          <w:rtl/>
        </w:rPr>
        <w:t xml:space="preserve"> יש לדקדק, דהא כיון שמודה שנפחת הוה ליה מודה מקצת, וכיון שאינו יודע כמה, הוה ליה מחויב שבועה ואינו יכול לישבע משלם, וכדלעיל סע' י"ב. וכתב בסמ"ע </w:t>
      </w:r>
      <w:r>
        <w:rPr>
          <w:sz w:val="16"/>
          <w:szCs w:val="16"/>
          <w:rtl/>
        </w:rPr>
        <w:t>[סקפ"ז]</w:t>
      </w:r>
      <w:r>
        <w:rPr>
          <w:rtl/>
        </w:rPr>
        <w:t>, דהיינו שהמלוה טוען איני יודע כמה נפחת כלל, דיכול להיות דמעיקרא היה כך נרקב, וה"ל כאומר איני יודע אם הלויתני כו'. ותיבת כמה דחוק לפירושו. והגאון אמ"ו ז"ל כתב וז"ל- ולי נראה לפרש דאו שאמר כו' קאי אאם לא שוה כדי החוב, שטוען המלוה דקודם הפחת אפשר היה שוה כנגד החוב, ואינו יודע, ונשבע שאינו יודע אם הוא חייב לו, עכ"ל, ונכון הוא. עוד נלפע"ד דמעיקרא לק"מ, דכיון דהלוה חייב לשלם למלוה עכ"פ מעותיו, א"כ אף מה שמודה שנפחת ה"ל הילך, דהא הלוה חייב לו כנגדו הלואתו. וכן ראיתי בעיר שושן... ולפ"ז צ"ל דמיירי שהמלוה אינו חפץ במשכון, רק מניחו בב"ד ורוצה ליתנו ללוה שהלוה ישלם לו, דאל"כ הרי אין הלוה חייב לו כלום ואין כאן הילך. ולפי שמפשטן של דברים משמע שהמלוה גובה מהמשכון עצמו חובו, לכך הוצרך הגאון אמ"ו ז"ל לפרש דאו שאומר כו' קאי ארישא. ולענין הדין, אלו ואלו דברי אלהים חיים, ש"ך (סקקכ"ב).</w:t>
      </w:r>
    </w:p>
  </w:footnote>
  <w:footnote w:id="5973">
    <w:p w14:paraId="60745BB6" w14:textId="77777777" w:rsidR="0013116F" w:rsidRDefault="0013116F" w:rsidP="0004348D">
      <w:pPr>
        <w:pStyle w:val="a9"/>
      </w:pPr>
      <w:r>
        <w:rPr>
          <w:rStyle w:val="ab"/>
        </w:rPr>
        <w:footnoteRef/>
      </w:r>
      <w:r>
        <w:rPr>
          <w:rtl/>
        </w:rPr>
        <w:t xml:space="preserve"> כתבו הסמ"ע </w:t>
      </w:r>
      <w:r>
        <w:rPr>
          <w:sz w:val="16"/>
          <w:szCs w:val="16"/>
          <w:rtl/>
        </w:rPr>
        <w:t xml:space="preserve">[סקפ"ז] </w:t>
      </w:r>
      <w:r>
        <w:rPr>
          <w:rtl/>
        </w:rPr>
        <w:t xml:space="preserve">והב"ח </w:t>
      </w:r>
      <w:r>
        <w:rPr>
          <w:sz w:val="16"/>
          <w:szCs w:val="16"/>
          <w:rtl/>
        </w:rPr>
        <w:t>[סע' כ]</w:t>
      </w:r>
      <w:r>
        <w:rPr>
          <w:rtl/>
        </w:rPr>
        <w:t xml:space="preserve"> דהא דנשבע היסת ולא אמרינן דצריך לישבע בנקיטת חפץ כדלעיל סע' י"ז, היינו משום שאין מחולקים בסך ההלואה, רק בשיעור הפחת, ע"ש באריכות. ואין דבריהם נלפע"ד לדינא. דהא טעמא דאמרינן לעיל סע' י"ז דצריך לישבע בנקיטת חפץ, כיון דאינו טוען על גופו של משכון שהוא שלו אלא בא ליפרע ולגבות חובו מן המשכון, א"כ מה בכך, סוף סוף לפי דברי הלוה אין מגיע לו כל כך להתפרע מן המשכון, וא"כ כיון דאינו טוען על גופו של משכון שהוא שלו, צריך לישבע בנקיטת חפץ... אלא נ"ל לפרש דברי בעל התרומות דיש חילוק... דאם כבר פרע הלוה למלוה, ואח"כ טוען הלוה ברי לי כי המשכון נפחת מדמיו תחת ידו בפשיעתו והיה שוה יותר מחובו, יש לו למלוה לישבע היסת שלא נפחת בפשיעתו ומיפטר... אבל אם עדיין לא פרעו ומחולקים במה שנפחת המשכון אז, אם עוד שוה כשיעור החוב נשבע המלוה שבועה כעין דאו' וגובה חובו מהמשכון... ואם מודה שפשע כו' וטוען שאעפ"כ צריך להשלים לו לפי שמתחילת הלואה ג"כ לא היה שוה כדי חובו, בזה נשבע הלוה היסת ונפטר... ונלפע"ד דגם הטור והמחבר מודים דאף שמחולקים בפחת צריך המלוה לישבע בנקיטת חפץ היכא שבא המלוה לגבות חובו מהמשכון, ומה שכתבו בסוף דבריהם נשבע היסת, מיירי שכבר החזיר... אבל אין הכי נמי דאם אינו רוצה לפדותו ורוצה לדון עמו אף שעדיין שוה כדי חובו, צריך המלוה לישבע בנק"ח כעין דאו'. ואף אם לא תפרש דברי הטור והמחבר כן, מ"מ לענין דינא נלפע"ד כמו שכתבתי... והוא דין אמת וצדק, וכן הסכימו עמי כמה בעלי הוראה, ש"ך </w:t>
      </w:r>
      <w:r>
        <w:rPr>
          <w:sz w:val="16"/>
          <w:szCs w:val="16"/>
          <w:rtl/>
        </w:rPr>
        <w:t>(סקקכ"א)</w:t>
      </w:r>
      <w:r>
        <w:rPr>
          <w:rtl/>
        </w:rPr>
        <w:t xml:space="preserve"> ע"פ באה"ט </w:t>
      </w:r>
      <w:r>
        <w:rPr>
          <w:sz w:val="16"/>
          <w:szCs w:val="16"/>
          <w:rtl/>
        </w:rPr>
        <w:t>(סקע"ו)</w:t>
      </w:r>
      <w:r>
        <w:rPr>
          <w:rtl/>
        </w:rPr>
        <w:t>.</w:t>
      </w:r>
    </w:p>
  </w:footnote>
  <w:footnote w:id="5974">
    <w:p w14:paraId="6AEF4D13" w14:textId="77777777" w:rsidR="0013116F" w:rsidRDefault="0013116F" w:rsidP="0004348D">
      <w:pPr>
        <w:pStyle w:val="a9"/>
      </w:pPr>
      <w:r>
        <w:rPr>
          <w:rStyle w:val="ab"/>
        </w:rPr>
        <w:footnoteRef/>
      </w:r>
      <w:r>
        <w:rPr>
          <w:rtl/>
        </w:rPr>
        <w:t xml:space="preserve"> ועיין בתשובת הרא"ש כלל צ' סימן א', דרכ"מ (אות טז*).</w:t>
      </w:r>
    </w:p>
  </w:footnote>
  <w:footnote w:id="5975">
    <w:p w14:paraId="796CCAAF" w14:textId="77777777" w:rsidR="0013116F" w:rsidRDefault="0013116F" w:rsidP="0004348D">
      <w:pPr>
        <w:pStyle w:val="a9"/>
      </w:pPr>
      <w:r>
        <w:rPr>
          <w:rStyle w:val="ab"/>
        </w:rPr>
        <w:footnoteRef/>
      </w:r>
      <w:r>
        <w:rPr>
          <w:rtl/>
        </w:rPr>
        <w:t xml:space="preserve"> פירוש, זה רוצה לישבע גם היפוך שבועת השני, והשני מסכים שישבע ויטול. ופירוש דהיפוך שבועה דכאן נ"ל דהוא כפירוש היפוך שבועה דעלמא, והיינו, שהשבועה שמוטל עליו לישבע ליפטר רוצה להפכו על שכנגדו שישבע ויטול. ופירוש דין זה הכי, דראובן אומר לשמעון, עליך מוטל לישבע שמכורה בידי הוא וליפטר, השבע עוד היפוך השבועה המוטל עלי, והיינו שאינה ממושכנת בידי, ואתן לך ג' דינרים כתביעתך. או ששמעון אומר לראובן, השבע שבועתך שמשכונא בידך היא, והשבע ג"כ היפך שבועתי שאינה מכורה לך מידי היא, ואתן לך ד' דינרים בעד המשכון כתביעתך. ועושין כן מפני חשש ערמה שיערים בשבועה א'..., סמ"ע (סקפ"ט). וכתב הש"ך (סקקכ"ד) דאין נראה לו פירוש הסמ"ע, דהא פשיטא דכשישבע צריך לברר שבועתו באופן שלא יהיה חשש ערמה. אלא נ"ל דהכי פירושו, דראובן אומר, עלי מוטל גם כן לישבע שמשכון הוא בידי, אין אני רוצה לישבע, רק אני מהפך שאתה לבדך תשבע שמכרת לי ואתן לך ג' דינרים. וכן שמעון אומר, השבע אתה לבדך שמשכון הוא בידך בסלע, ולא אני, ואתן לך דינר. וכן ראיתי בב"ח [סעיף כ"א] שפירש כדברי, ע"ש.</w:t>
      </w:r>
    </w:p>
  </w:footnote>
  <w:footnote w:id="5976">
    <w:p w14:paraId="5DA89448" w14:textId="77777777" w:rsidR="0013116F" w:rsidRDefault="0013116F" w:rsidP="0004348D">
      <w:pPr>
        <w:pStyle w:val="a9"/>
      </w:pPr>
      <w:r>
        <w:rPr>
          <w:rStyle w:val="ab"/>
        </w:rPr>
        <w:footnoteRef/>
      </w:r>
      <w:r>
        <w:rPr>
          <w:rtl/>
        </w:rPr>
        <w:t xml:space="preserve"> </w:t>
      </w:r>
      <w:r>
        <w:rPr>
          <w:rFonts w:hint="cs"/>
          <w:rtl/>
        </w:rPr>
        <w:t xml:space="preserve">ובמהדורת באה"ג איתא – 'עד </w:t>
      </w:r>
      <w:r>
        <w:rPr>
          <w:rtl/>
        </w:rPr>
        <w:t>שיתרצה אחד מהן'. וכתב באה"ג (אות פ) דכן הוא בטור ובבעל התרומות שם.</w:t>
      </w:r>
    </w:p>
  </w:footnote>
  <w:footnote w:id="5977">
    <w:p w14:paraId="274D7FF9" w14:textId="77777777" w:rsidR="0013116F" w:rsidRDefault="0013116F" w:rsidP="0004348D">
      <w:pPr>
        <w:pStyle w:val="a9"/>
      </w:pPr>
      <w:r>
        <w:rPr>
          <w:rStyle w:val="ab"/>
        </w:rPr>
        <w:footnoteRef/>
      </w:r>
      <w:r>
        <w:rPr>
          <w:rtl/>
        </w:rPr>
        <w:t xml:space="preserve"> אבל אי לא היה טוען ברי, היה המלוה נשבע שנאנס והיה גובה חובו כדלעיל סעיף י"ד..., ש"ך </w:t>
      </w:r>
      <w:r>
        <w:rPr>
          <w:sz w:val="16"/>
          <w:szCs w:val="16"/>
          <w:rtl/>
        </w:rPr>
        <w:t>(סקקכ"ה)</w:t>
      </w:r>
      <w:r>
        <w:rPr>
          <w:rtl/>
        </w:rPr>
        <w:t>.</w:t>
      </w:r>
    </w:p>
  </w:footnote>
  <w:footnote w:id="5978">
    <w:p w14:paraId="633349EC" w14:textId="77777777" w:rsidR="0013116F" w:rsidRDefault="0013116F" w:rsidP="0004348D">
      <w:pPr>
        <w:pStyle w:val="a9"/>
      </w:pPr>
      <w:r>
        <w:rPr>
          <w:rStyle w:val="ab"/>
        </w:rPr>
        <w:footnoteRef/>
      </w:r>
      <w:r>
        <w:rPr>
          <w:rtl/>
        </w:rPr>
        <w:t xml:space="preserve"> במיגו שאין לך בידי כלום או פרעתיך, עכ"ל טור [סעיף כ"ג]. ומשמע דהיכא דלית ליה מיגו, כגון שהוא מלוה בשטר או שהלוה לו בעדים והתנה עמו שאל יפרענו אלא בעדים וכה"ג, נשבע המלוה וגובה חובו. ודלא כסמ"ע לעיל סעיף ב' סקי"ג שפירש דאם אין לו מיגו צריך הלוה לישבע שבועה חמורה. וזה אינו </w:t>
      </w:r>
      <w:r>
        <w:rPr>
          <w:sz w:val="16"/>
          <w:szCs w:val="16"/>
          <w:rtl/>
        </w:rPr>
        <w:t>(דכיון דלית ליה מיגו למה יפטר מתשלומין. ועוד, דאם איתא דפטור מתשלומין למה ישבע שבועה חמורה, הא קי"ל דלעולם אין נשבעין שבועה חמורה אלא אותן הנשבעין בתורה ולא משלמין, כגון מודה מקצת ועד אחד או שבועת השומרין וכה"ג, או אותן הנשבעין ונוטלים. משא"כ הכא שאינו נוטל ואינו מאותן הנשבעין שבתורה, מאי שייך שבועה חמורה לכאן. אלא ודאי כדפירשתי...)</w:t>
      </w:r>
      <w:r>
        <w:rPr>
          <w:rtl/>
        </w:rPr>
        <w:t>. וכן משמע בב"ח כדברי. וכן משמע להדיא בבעה"ת שער מ"ט סוף ח"ב שממנו מקור דין זה..., ש"ך (סקקכ"ו).</w:t>
      </w:r>
    </w:p>
  </w:footnote>
  <w:footnote w:id="5979">
    <w:p w14:paraId="41A7D41A" w14:textId="77777777" w:rsidR="0013116F" w:rsidRDefault="0013116F" w:rsidP="0004348D">
      <w:pPr>
        <w:pStyle w:val="a9"/>
      </w:pPr>
      <w:r>
        <w:rPr>
          <w:rStyle w:val="ab"/>
        </w:rPr>
        <w:footnoteRef/>
      </w:r>
      <w:r>
        <w:rPr>
          <w:rtl/>
        </w:rPr>
        <w:t xml:space="preserve"> לדעת הגאונים שסוברים דמלוה על המשכון שומר שכר הוי האי נאבד היינו באונס גמור כגון שטבעה ספינתו בים דאם לא כן אפילו נאבד ביד שמעון חייב לשלם ואין כאן שבועה, ב"י.</w:t>
      </w:r>
    </w:p>
  </w:footnote>
  <w:footnote w:id="5980">
    <w:p w14:paraId="5E80BC77" w14:textId="77777777" w:rsidR="0013116F" w:rsidRDefault="0013116F" w:rsidP="0004348D">
      <w:pPr>
        <w:pStyle w:val="a9"/>
      </w:pPr>
      <w:r>
        <w:rPr>
          <w:rStyle w:val="ab"/>
        </w:rPr>
        <w:footnoteRef/>
      </w:r>
      <w:r>
        <w:rPr>
          <w:rtl/>
        </w:rPr>
        <w:t xml:space="preserve"> מ"ש 'ואם פשע לוי... שמעון חייב לשלם'. הרמב"ם חלוק על זה בפ"ד מהל' שאלה ופקדון </w:t>
      </w:r>
      <w:r>
        <w:rPr>
          <w:sz w:val="16"/>
          <w:szCs w:val="16"/>
          <w:rtl/>
        </w:rPr>
        <w:t xml:space="preserve">(ה"ט) </w:t>
      </w:r>
      <w:r>
        <w:rPr>
          <w:rtl/>
        </w:rPr>
        <w:t xml:space="preserve">ויתבאר סי' רצא </w:t>
      </w:r>
      <w:r>
        <w:rPr>
          <w:sz w:val="16"/>
          <w:szCs w:val="16"/>
          <w:rtl/>
        </w:rPr>
        <w:t xml:space="preserve">(סכ"ג) </w:t>
      </w:r>
      <w:r>
        <w:rPr>
          <w:rtl/>
        </w:rPr>
        <w:t>בס"ד, ב"י.</w:t>
      </w:r>
    </w:p>
  </w:footnote>
  <w:footnote w:id="5981">
    <w:p w14:paraId="0BCB04F7" w14:textId="77777777" w:rsidR="0013116F" w:rsidRDefault="0013116F" w:rsidP="0004348D">
      <w:pPr>
        <w:pStyle w:val="a9"/>
      </w:pPr>
      <w:r>
        <w:rPr>
          <w:rStyle w:val="ab"/>
        </w:rPr>
        <w:footnoteRef/>
      </w:r>
      <w:r>
        <w:rPr>
          <w:rtl/>
        </w:rPr>
        <w:t xml:space="preserve"> ה"ה נגנב או נאבד להי"א דלעיל סעיף ב' בהג"ה, וכן בכל הסעיף. דדוקא להמחבר וסיעתו דלעיל סעיף ב' צריך לדבר בכל הסעיף בנאנס, ש"ך (סקקכ"ז).</w:t>
      </w:r>
    </w:p>
  </w:footnote>
  <w:footnote w:id="5982">
    <w:p w14:paraId="068A2225" w14:textId="77777777" w:rsidR="0013116F" w:rsidRDefault="0013116F" w:rsidP="0004348D">
      <w:pPr>
        <w:pStyle w:val="a9"/>
        <w:rPr>
          <w:rtl/>
        </w:rPr>
      </w:pPr>
      <w:r>
        <w:rPr>
          <w:rStyle w:val="ab"/>
        </w:rPr>
        <w:footnoteRef/>
      </w:r>
      <w:r>
        <w:rPr>
          <w:rtl/>
        </w:rPr>
        <w:t xml:space="preserve"> פירוש, משלם כל תביעתו דהיינו שני דינרין </w:t>
      </w:r>
      <w:r>
        <w:rPr>
          <w:sz w:val="16"/>
          <w:szCs w:val="16"/>
          <w:rtl/>
        </w:rPr>
        <w:t>(ואע"פ ששבועת מודה מקצת יכול לישבע, דהא היה מתחילה בידו וראה מה שהיה שוה, ובשביל שאינו יכול לישבע שאינו ברשותו ושלא פשע אין סברא שיהא משלם יותר משויו, מ"מ כיון דשלש שבועות הללו באין כאחד ע"י טענתו בענין זה, ואינו יכול לישבע כולם, דיינינן ליה כאילו אינו יכול לישבע גם לשבועת מודה מקצת, דהיינו שלא היה שוה יותר מג' דינרין, וצריך לשלם לו ב' דינרין. ונראה דאפילו למאן דאמר דהיכא דיש גלגול שבועה על עיקר השבועה ובא' אינו יכול לישבע, דלא אמרינן דצריך לשלם שניהן, וכמ"ש הטור והמחבר בסימן ע"ה [טור סעיף י"ח ומחבר] סעיף ט"ו ע"ש, מ"מ מודה הכא, כיון דג' שבועות הללו באין עליו בענין אחד דיינינן ליה כחדא)</w:t>
      </w:r>
      <w:r>
        <w:rPr>
          <w:rtl/>
        </w:rPr>
        <w:t xml:space="preserve">, כן נראה לפרש לפי משמעות לשון הטור [סעיף כ"ד] והמחבר. אבל בפרישה כתבתי דיותר נראה דמיירי דגם דינר השלישי אין רוצה שמעון ליתן לראובן, בסוברו ודאי לוי לא פשע ואז הוא פטור מהשלישי, ומשום הכי ה"ל שפיר מחויב שבועה שנאנס לפטור מהשלישי ואינו יכול לישבע, ומשלם כולו </w:t>
      </w:r>
      <w:r>
        <w:rPr>
          <w:sz w:val="16"/>
          <w:szCs w:val="16"/>
          <w:rtl/>
        </w:rPr>
        <w:t>(ואע"פ שאחר ששומע הפסק דין רוצה ליתן הדינר ולישבע על המותר ולפטור, מ"מ כיון דמתחילה לא רצה ליתן ולישבע, דיינינן ליה כדין מחויב שבועה ואינו יכול לישבע משלם. ומה שכתבו הטור והמחבר, ואינו חייב אלא דינר. אינו ר"ל דאותו דינר רוצה ליתן, אלא ה"ק, דאף לדבריך שפשע (לו) [לוי] עכ"פ אינו חייב אלא דינר. ומשום הכי סיים הטור וכתב ז"ל, עוד צריך לישבע כו' ליפטר מהדינר, דמשמע דאין רצונו ליתן הדינר הג')</w:t>
      </w:r>
      <w:r>
        <w:rPr>
          <w:rtl/>
        </w:rPr>
        <w:t>. אך הש"ך (סקקכ"ט) כתב דלא קאי אלא על הדינר הא', אבל מה שאומר שלא היה שוה רק ג' דינרים, ישבע שבועה דאורייתא שכן הוא ופטור... ואם טוען שמא לא היה שוה רק ג' דינרין, ה"ל מחויב שבועה ואינו יכול לישבע משלם... ואין דברי הסמ"ע נכונים, שהרי הלכה רווחת בישראל ומוסכם מכל הפוסקים אין גם אחד שחולק, וכולם סוברים כרבי חייא בר יוסף דאין אחד מהשומרים צריך הודאה במקצת, וכמו שכתבו הטור והמחבר בכמה דוכתי, ובפרט לקמן סוף סימן רצ"ה... ודבר תימה הוא לומר כן, כיון שזה עומד ואומר ברי ויכול לישבע היאך נדייניה ליה כאינו יכול לישבע. ועוד, וכי עדיף מחויב שבועה ואינו יכול לישבע משלם מעדים, דהא אילו הוה כאן ב' עדים שנאבד בפשיעה היה נשבע שלא היה שוה אלא ג' דינרים, א"כ כ"ש כשאינו יודע אם נאנס.</w:t>
      </w:r>
    </w:p>
  </w:footnote>
  <w:footnote w:id="5983">
    <w:p w14:paraId="7C4C9192" w14:textId="77777777" w:rsidR="0013116F" w:rsidRDefault="0013116F" w:rsidP="0004348D">
      <w:pPr>
        <w:pStyle w:val="a9"/>
        <w:rPr>
          <w:rtl/>
        </w:rPr>
      </w:pPr>
      <w:r>
        <w:rPr>
          <w:rStyle w:val="ab"/>
        </w:rPr>
        <w:footnoteRef/>
      </w:r>
      <w:r>
        <w:rPr>
          <w:rtl/>
        </w:rPr>
        <w:t xml:space="preserve"> גם בכאן הדין כן, אם טוען ברי כמה נפחת, נשבע. ואם אינו יודע, ה"ל גם בזה מחויב שבועה ואינו יכול לישבע משלם. ומ"ש ואם רצה להחרים כו', קאי אטוען איני יודע, ש"ך (סקקכ"ט*). </w:t>
      </w:r>
    </w:p>
  </w:footnote>
  <w:footnote w:id="5984">
    <w:p w14:paraId="20798DB8" w14:textId="77777777" w:rsidR="0013116F" w:rsidRDefault="0013116F" w:rsidP="0004348D">
      <w:pPr>
        <w:pStyle w:val="a9"/>
        <w:rPr>
          <w:rtl/>
        </w:rPr>
      </w:pPr>
      <w:r>
        <w:rPr>
          <w:rStyle w:val="ab"/>
        </w:rPr>
        <w:footnoteRef/>
      </w:r>
      <w:r>
        <w:rPr>
          <w:rtl/>
        </w:rPr>
        <w:t xml:space="preserve"> אבל אין ראובן חייב לשלם מה שלוה ע"פ שבועת לוי או עדים, כיון שאין שמעון טוען ברי, ב"ח [סע' כד]. והקשה הט"ז (ד"ה ואם יש) אמאי לא ישלם הלוה את החוב, כמ"ש בסעיף ב' כל שנאנס המשכון חייב הלוה לשלם החוב. וי"ל דהך ונאנס לאו אונס גמור הוא... אבל באמת אי הוה אונס גמור ודאי צריך לשלם לו כל החוב... ודלא כב"ח. עכ"ד. וגם הש"ך (סקקל"ג) השיג על הב"ח בזה וכתב דביש עדים, נראה דצריך לשלם כיון שיש כאן עדים שנאנס... וגם על פי שבועת לוי צ"ע, די"ל דחייב ראובן לשלם, והא דקאמר נפטר שמעון היינו משום דלא מיירי השתא מחיובו דראובן, וכמ"ש בסמ"ע לעיל סע' כז סק"פ כה"ג, ע"ש.</w:t>
      </w:r>
    </w:p>
  </w:footnote>
  <w:footnote w:id="5985">
    <w:p w14:paraId="723E9319" w14:textId="77777777" w:rsidR="0013116F" w:rsidRDefault="0013116F" w:rsidP="0004348D">
      <w:pPr>
        <w:pStyle w:val="a9"/>
      </w:pPr>
      <w:r>
        <w:rPr>
          <w:rStyle w:val="ab"/>
        </w:rPr>
        <w:footnoteRef/>
      </w:r>
      <w:r>
        <w:rPr>
          <w:rtl/>
        </w:rPr>
        <w:t xml:space="preserve"> ואין ראובן יכול לומר אילו היה גבך לא היה נאנס, דבכל אונסים שהוא דבר שאינו שכיח לבוא ובא, אמרינן מה לי הכא מה לי התם. ודוקא לענין גניבה ואבידה שהוא מילתא דשכיחא ונעשה מתחילה ע"י קצת שינוי בפשיעה, אמרינן אילו לא שינה לא הוה נעשה, עכ"ל סמ"ע [סקצ"ד]. ואיני מבין דבריו. דודאי בשומר חנם ג"כ אם הביא עדים שנגנב משומר השני נמי פטור, כדמוכח לקמן סימן רצ"א סעיף כ"א וסעיף כ"ו, וכן משמע להדיא ממ"ש הרמב"ם (פי"א) פ"א מהל' שכירות [ה"ה]... והוא פשוט. והא דנקט כאן נאנס, היינו משום דס"ל לעיל סעיף ב' המלוה על המשכון שומר שכר. וכן הטור [סעיף כ"ד] כתב כן אפילו למ"ד לעיל דהוי שומר שכר. ואולי כונתו לדלקמן סימן רצ"א סעיף ט', אבל אינו דומה לכאן, ש"ך (סקקל"א).</w:t>
      </w:r>
    </w:p>
  </w:footnote>
  <w:footnote w:id="5986">
    <w:p w14:paraId="659E1C51" w14:textId="77777777" w:rsidR="0013116F" w:rsidRDefault="0013116F" w:rsidP="0004348D">
      <w:pPr>
        <w:pStyle w:val="a9"/>
      </w:pPr>
      <w:r>
        <w:rPr>
          <w:rStyle w:val="ab"/>
        </w:rPr>
        <w:footnoteRef/>
      </w:r>
      <w:r>
        <w:rPr>
          <w:rtl/>
        </w:rPr>
        <w:t xml:space="preserve"> כתב הסמ"ע [סקצ"ו] דנראה דאפילו לדעת הרמב"ם והמחבר דלקמן סימן רצ"א סעיף כ"ד, דס"ל דאם פשעו אשתו ובניו הם חייבים ולא הבעל שנתנו ליד אשתו, מודו בזה דמסרו ללוי, דהוא איש אחר לגמרי. ומשום הכי סתמו הטור והמחבר כאן, עכ"ל. ולא נהירא, ואדרבה לכאורה איפכא מסתברא, דאפילו לר"ת [ב"מ מ"ב ע"ב תוד"ה כל] והרא"ש שם [פ"ג סי' כ"ג], הכא פטור. וכ"כ מהרש"ל [ביש"ש] פ"ק דב"ק סי' לב... אבל מ"מ מוכח דלהרמב"ם והמחבר ה"ה הכא פטור. וכ"כ הב"י והד"מ והב"ח [כאן בסעיף כ"ד], דלהרמב"ם הכא פטור, ע"ש. וכן מוכח להדיא במרדכי ואגודה פרק המפקיד [שם], ע"ש. וגם בספר שארית יוסף [בביאורים לטור כאן סעיף כ"ה] כתב כן... ומ"ש הסמ"ע, ומשום הכי סתמו הטור והמחבר כאן. לאו מילתא היא, דמהטור אין ראיה, דאיהו אזיל לטעמיה דאסיק לקמן סימן רצ"א [סעיף כ"ג] בשם הרא"ש דאפילו באשתו ובניו הוא חייב לשלם. ומהמחבר גם כן אין ראיה, דהא לא כתב האי דינא כלל בכאן. ואפשר טעות סופר הוא בסמ"ע, ובמקום והמחבר צ"ל ומור"ם. אבל לפעד"נ גם ממור"ם אין ראיה, דסמך אדלקמן סימן רצ"א דשם עיקר דוכתא דהאי דינא, ושם כתב ב' דעות בזה. תדע, שהרי בד"מ כתב להדיא על דברי הטור אלו וז"ל, עיין לקמן סימן רצ"א דיש חולקין בזה, עכ"ל. אלא ודאי כמ"ש, ש"ך </w:t>
      </w:r>
      <w:r>
        <w:rPr>
          <w:sz w:val="16"/>
          <w:szCs w:val="16"/>
          <w:rtl/>
        </w:rPr>
        <w:t>(סקקל"ד)</w:t>
      </w:r>
      <w:r>
        <w:rPr>
          <w:rtl/>
        </w:rPr>
        <w:t xml:space="preserve">. והט"ז </w:t>
      </w:r>
      <w:r>
        <w:rPr>
          <w:sz w:val="16"/>
          <w:szCs w:val="16"/>
          <w:rtl/>
        </w:rPr>
        <w:t xml:space="preserve">(ד"ה ועיין לקמן) </w:t>
      </w:r>
      <w:r>
        <w:rPr>
          <w:rtl/>
        </w:rPr>
        <w:t>הסכים לסמ"ע.</w:t>
      </w:r>
    </w:p>
  </w:footnote>
  <w:footnote w:id="5987">
    <w:p w14:paraId="7DB1418A" w14:textId="77777777" w:rsidR="0013116F" w:rsidRDefault="0013116F" w:rsidP="0004348D">
      <w:pPr>
        <w:pStyle w:val="a9"/>
      </w:pPr>
      <w:r>
        <w:rPr>
          <w:rStyle w:val="ab"/>
        </w:rPr>
        <w:footnoteRef/>
      </w:r>
      <w:r>
        <w:rPr>
          <w:rtl/>
        </w:rPr>
        <w:t xml:space="preserve"> מה שכתב בתשובה זו שמה שהחזיר לאשתו ובניו לא נפטר בכך וכ"כ הרמב"ם בפ"ו מטוען ונטען (ה"א). והרשב"א </w:t>
      </w:r>
      <w:r>
        <w:rPr>
          <w:sz w:val="16"/>
          <w:szCs w:val="16"/>
          <w:rtl/>
        </w:rPr>
        <w:t>(סי' אלף צו)</w:t>
      </w:r>
      <w:r>
        <w:rPr>
          <w:rtl/>
        </w:rPr>
        <w:t xml:space="preserve"> כתב שאם טען הלוה פרעתי לאשתך והיא בעלת דעת והוא מניחה לישא וליתן ישבע שמסר לה ופטור. ונראה שגם הרמב"ם והרא"ש לא איירו אלא בסתם נשים אבל אם הוא מניחה לישא וליתן ישבע שמסר לה ופטור וכדברי הרשב"א, ב"י</w:t>
      </w:r>
      <w:r>
        <w:rPr>
          <w:sz w:val="16"/>
          <w:szCs w:val="16"/>
          <w:rtl/>
        </w:rPr>
        <w:t xml:space="preserve"> (בבדה"ב)</w:t>
      </w:r>
      <w:r>
        <w:rPr>
          <w:rtl/>
        </w:rPr>
        <w:t>.</w:t>
      </w:r>
    </w:p>
  </w:footnote>
  <w:footnote w:id="5988">
    <w:p w14:paraId="142C3D7A" w14:textId="77777777" w:rsidR="0013116F" w:rsidRDefault="0013116F" w:rsidP="0004348D">
      <w:pPr>
        <w:pStyle w:val="a9"/>
        <w:rPr>
          <w:rtl/>
        </w:rPr>
      </w:pPr>
      <w:r>
        <w:rPr>
          <w:rStyle w:val="ab"/>
        </w:rPr>
        <w:footnoteRef/>
      </w:r>
      <w:r>
        <w:rPr>
          <w:rtl/>
        </w:rPr>
        <w:t xml:space="preserve"> עיין לקמן סימן רצ"א סעיף כ"א שכתב מור"ם שם בהג"ה, דכמו דאמרינן כל המפקיד על דעת אשתו ובניו הוא מפקיד, כן אם הנפקד החזיר הפקדון לאשת המפקיד דפטור, עכ"ל. ובסימן ש"מ סעיף ח' כתב מור"ם בהג"ה ז"ל- וי"א דהוא הדין אם החזיר ליד אשת המשאיל ונאנס חייב, עכ"ל. הרי שחילק בין פקדון לשאלה. וכן נראה מדברי הרא"ש שהביא הטור כאן בדין זה... דכתבו בהדיא דבשואל צריך להחזירו לידו, ודימו לו הממשכן. ונראה דהיינו טעמא, דבשואל כל הנאה שלו משום הכי צריך ליזהר בשמירתו טפי ובממשכן דהוא כקיבל שכר משום פרוטה דרב יוסף, משא"כ בשומר פקדון דאינו חייב בניעורו ושיטוחו... ואפילו למ"ד [לעיל סעיף ב'] הממשכן אינו אלא כשומר חנם, מ"מ יש לחלק, דבממשכן מה שכנגד מעותיו שהלוה עליו הוא כקנוי לו, ובשעת פדייה כאילו חזר וקנהו מידו, וכיון שהוא כקנין חדש צריך לעשות הקנין עם המפקיד בעצמו ולא ע"י בנו ואשתו, אם לא שנתן להן רשות. וה"ט נמי דשאלה, דנקנה להשואל ועומד ברשותו לגמרי, משא"כ בפקדון. ונראה שזהו דעת המחבר בכאן... ועיין פרישה [כאן סעיף כ"ה] שכתבתי שם פירושו ע"פ דקדוק הלשון דהרא"ש בענין אחר, והוא, דס"ל דאין חילוק בין פקדון לשאלה ומשכון, ובכולם השמירה כשהיה בידו יכולה להיות גם ע"י בנו ואשתו, אבל החזרה בכולם צריכה להיות דוקא מיד ליד. אבל דברי המחבר ודברי מור"ם מה שכתבתי בסימנים הנ"ל לא משמע הכי.... ובעיר שושן [סעיף ל"א] מוכח מדבריו שפירש לדברי הרא"ש כמ"ש בפרישה..., סמ"ע (סקצ"ח). והש"ך (סקקל"ו) דלענין דינא נראה כן, דאין חילוק בין נפקד לשואל, אלא בין שמירה לחזרה, ואינו פטור בהחזיר הנפקד לאשתו אלא כשהיא נושאת ונותנת בתוך הבית, כדלקמן (ס"ס קכ)... וכן נראה מדברי הר"ב בבדה"ב [סעיף כ"ה]... ואע"פ שמ"ש שכ"כ הרמב"ם פ"ו מטוען, לפע"ד אינו מוכח מדברי הרמב"ם כלום... מ"מ משמע מדברי הר"ב בבדה"ב דאינו מחלק בין פקדון לשאלה, רק בין השמירה לחזרה, ושיש חילוק בין היא נושאת ונותנת בתוך הבית או לא, וכדברי הב"ח ומהרש"ל (ב"ק סי' לט), וכן נראה עיקר. וראיתי בבדק הבית סימן רצ"א [סעיף כ"ד] שכתב בשם הריטב"א [בריטב"א החדשים ב"מ מב:], דהא דאמרינן על דעת אשתו ובניו הוא מפקיד, היינו דוקא בשומר חנם, ע"ש. מיהו בנמוק"י פרק המפקיד [ב"מ כד. מדפה"ר] כתב להדיא דהוא הדין בשומר שכר. וכן משמע להדיא בדברי תלמידי רשב"א שהביא ב"י לקמן סימן רצ"א [סעיף כ"ה]. ועמ"ש עוד שם מדינים אלו.</w:t>
      </w:r>
    </w:p>
  </w:footnote>
  <w:footnote w:id="5989">
    <w:p w14:paraId="003F2BFE" w14:textId="77777777" w:rsidR="0013116F" w:rsidRDefault="0013116F" w:rsidP="0004348D">
      <w:pPr>
        <w:pStyle w:val="a9"/>
        <w:rPr>
          <w:rtl/>
        </w:rPr>
      </w:pPr>
      <w:r>
        <w:rPr>
          <w:rStyle w:val="ab"/>
        </w:rPr>
        <w:footnoteRef/>
      </w:r>
      <w:r>
        <w:rPr>
          <w:rtl/>
        </w:rPr>
        <w:t xml:space="preserve"> פטור לגמרי ונשבע וגובה חובו, דאינו אלא שומר חנם, כיון שלא הלוה לו עדיין לא קעביד מצוה, וגם אינו מחויב לשטחה ולנערה כיון שבעל החפץ בעצמו יכול לנערה. וגם לא שייך לומר דהוה ליה כאילו פירש שאם יפסיד המשכון יפסיד חובו, כיון שבשעה שנאבדו לא הלוה לו עדיין, ש"ך (סקקל"ח).</w:t>
      </w:r>
    </w:p>
  </w:footnote>
  <w:footnote w:id="5990">
    <w:p w14:paraId="12876B5E" w14:textId="77777777" w:rsidR="0013116F" w:rsidRDefault="0013116F" w:rsidP="0004348D">
      <w:pPr>
        <w:pStyle w:val="a9"/>
      </w:pPr>
      <w:r>
        <w:rPr>
          <w:rStyle w:val="ab"/>
        </w:rPr>
        <w:footnoteRef/>
      </w:r>
      <w:r>
        <w:rPr>
          <w:rtl/>
        </w:rPr>
        <w:t xml:space="preserve"> המעשה היה ששמעון היה צריך לזוז ממקום שדר שם, והניח המשכונות ביד לוי, ואמר שהמשכונות יהיו בידו עד שיבוא ראובן לפדותו וליתן לו הסך שהלוהו, סמ"ע (סקק"א).</w:t>
      </w:r>
    </w:p>
  </w:footnote>
  <w:footnote w:id="5991">
    <w:p w14:paraId="702EC28C" w14:textId="77777777" w:rsidR="0013116F" w:rsidRDefault="0013116F" w:rsidP="0004348D">
      <w:pPr>
        <w:pStyle w:val="a9"/>
      </w:pPr>
      <w:r>
        <w:rPr>
          <w:rStyle w:val="ab"/>
        </w:rPr>
        <w:footnoteRef/>
      </w:r>
      <w:r>
        <w:rPr>
          <w:rtl/>
        </w:rPr>
        <w:t xml:space="preserve"> נראה לפי עניות דעתי דמיירי שטוען בסתם הוא הרשני ללמוד, דהיינו שטוען שאמר לי אני מרשה אותך ללמוד בהן. אבל אם טוען הוא אמר לי שראובן נתן רשות למי שילוה עליהן ללמוד בהן, פטור, ואף שלא התנה עמו בנכייתא, וכמו שכתבתי לעיל סעיף א' ס"ק ו' ע"ש. ויותר נלפע"ד, דאם ראובן הרשה לשמעון ושמעון הרשה ללוי, פטור. ודלא כמ"ש בעיר שושן [סע' לג]... דכיון דהיה לשמעון רשות להשתמש בהן, אם כן מה שנתן רשות ללוי לא פשע. וכמ"ש הרי"ף והרא"ש פרק המפקיד [הרי"ף ב"מ כ. מדפה"ר והרא"ש שם פ"ג סי' ו] להדיא, דשומר שמסר לשומר לא הוי פשיעה, דהא דאמרינן [גיטין כט.] אין השואל רשאי להשאיל ולא השוכר רשאי להשכיר, היינו דוקא לכתחילה, אבל בדיעבד לא מיקרי פשיעה, ואי מייתי בתרא ראיה דמתה כדרכה פטור, דלא קי"ל כרבי מאיר דאמר [ב"מ עח.] המעביר על דעת בעל הבית נקרא גזלן, ע"כ. א"כ כיון דלא פשע ואינו יכול לגבות כלום מהראשון, היאך יגבה מהשני. ועוד, דבהרי"ף והרא"ש שם משמע להדיא דהוא הדין אם מתה מחמת מלאכה גבי השני פטור אפילו השני, ע"ש, וא"כ כ"ש הכא. וכן משמע להדיא בתשובת הרא"ש (כלל צג סי' ב) ובטור (סע' כז)..., ש"ך (סקק"מ).</w:t>
      </w:r>
    </w:p>
  </w:footnote>
  <w:footnote w:id="5992">
    <w:p w14:paraId="4CEA756B" w14:textId="77777777" w:rsidR="0013116F" w:rsidRDefault="0013116F" w:rsidP="0004348D">
      <w:pPr>
        <w:pStyle w:val="a9"/>
        <w:rPr>
          <w:rtl/>
        </w:rPr>
      </w:pPr>
      <w:r>
        <w:rPr>
          <w:rStyle w:val="ab"/>
        </w:rPr>
        <w:footnoteRef/>
      </w:r>
      <w:r>
        <w:rPr>
          <w:rtl/>
        </w:rPr>
        <w:t xml:space="preserve"> פירוש, גם זה כתוב בתוך השטר שמוציא היורש, סמ"ע </w:t>
      </w:r>
      <w:r>
        <w:rPr>
          <w:sz w:val="16"/>
          <w:szCs w:val="16"/>
          <w:rtl/>
        </w:rPr>
        <w:t>(סקק"ב)</w:t>
      </w:r>
      <w:r>
        <w:rPr>
          <w:rtl/>
        </w:rPr>
        <w:t xml:space="preserve">. אך הש"ך </w:t>
      </w:r>
      <w:r>
        <w:rPr>
          <w:sz w:val="16"/>
          <w:szCs w:val="16"/>
          <w:rtl/>
        </w:rPr>
        <w:t xml:space="preserve">(סקקמ"א) </w:t>
      </w:r>
      <w:r>
        <w:rPr>
          <w:rtl/>
        </w:rPr>
        <w:t>כתב דאפילו אין כתוב כן בשטר רק שהיורש מודה הדין כן. דהא ליכא למימר כשהיורש מודה נאמן במיגו, דהא אין טענתו שטוען עתה טענת ברי דנימא בה שנאמינהו במיגו.</w:t>
      </w:r>
    </w:p>
  </w:footnote>
  <w:footnote w:id="5993">
    <w:p w14:paraId="59A75FF6" w14:textId="77777777" w:rsidR="0013116F" w:rsidRDefault="0013116F" w:rsidP="0004348D">
      <w:pPr>
        <w:pStyle w:val="a9"/>
      </w:pPr>
      <w:r>
        <w:rPr>
          <w:rStyle w:val="ab"/>
        </w:rPr>
        <w:footnoteRef/>
      </w:r>
      <w:r>
        <w:rPr>
          <w:rtl/>
        </w:rPr>
        <w:t xml:space="preserve"> כלומר אפשר שנאנס, דאין לומר דמיירי שטוען היורש ברי שנאנס, דא"כ היאך מסיק ישבע הנתבע היסת שלא החזיר, למה ישבע היסת שלא החזיר, כיון שהיורש בעצמו טוען ברי שנאנס א"כ ודאי לא החזיר. וכן כתבו הסמ"ע [ס"ק ק"ג] והב"ח [סעיף כ"ח] ומהר"א ן' ששון [בתשו' סי' קמא]. ועוד, דאם טוען ברי שנאנס, נשבע היורש שנאנס וגובה חובו, כמו אם היה המלוה עצמו טוען שנאנס כדלעיל סעיף י"ד, וכ"כ הב"ח ומהר"א ן' ששון שם... ומ"מ תמיה לי, אמאי נשבע הנתבע היסת שלא החזיר לו המשכון, הא אין נשבעין על טענת ספק, וכן אמאי ישבע שהיה שוה כנגד חובו... ולכאורה י"ל דהיינו משום דטענינן ליורש, וכן כתב הב"ח. אבל אחרי העיון קשה, דלא אשכחן בשום דוכתא דטענינן ליורש לחייב לזה שכנגדו בטענת ספק, ובכל דוכתא דאמרינן טענינן ליורש היינו שלא להוציא מיד היורש... אבל לא לחייב שבועה על הספק לזה שכנגדו </w:t>
      </w:r>
      <w:r>
        <w:rPr>
          <w:sz w:val="16"/>
          <w:szCs w:val="16"/>
          <w:rtl/>
        </w:rPr>
        <w:t>(ומכל שכן לפי מה שפסק המחבר לקמן סימן קל"ג סעיף ה' כדעת הרמב"ם [פ"ט מטוען ה"ה] וסיעתו בכלים העשויין להשאיל ולהשכיר שמוציאין מיד היורש ואין משביעין את המערער אפילו היסת, אף על גב דהמחזיק היה יכול להשביעו לא טענינן ליורש להשביעו מספק)</w:t>
      </w:r>
      <w:r>
        <w:rPr>
          <w:rtl/>
        </w:rPr>
        <w:t xml:space="preserve"> אם כן הדבר ברור דכ"ש הכא דא"צ לישבע היסת. וא"כ דברי המחבר כאן צל"ע </w:t>
      </w:r>
      <w:r>
        <w:rPr>
          <w:sz w:val="16"/>
          <w:szCs w:val="16"/>
          <w:rtl/>
        </w:rPr>
        <w:t>(ועוד נלפע"ד, דאפילו לדעת החולקין שם [סימן קל"ג סעיף ה' בהג"ה], היינו משום דהתם כיון דמערער בא להוציא מיד היורשים, חשיב כמו להחזיק ביד היורשים, לכך טענינן ליורש, משא"כ הכא דכו"ע מודו דאין טוענים ליורש להשביע את הלוה שלא החזיר לו. ונלפע"ד לפרש דברי הטור כאן, דלא בא אלא לומר דהשטר בטל, ולצדדין קתני, דאם טוען אפשר שנאנס, השטר בטל, ואם טוען היורש ודאי שהחזיר, חייב הנתבע היסת כדין שאר הטענות בעל פה, ולא אמרינן כיון שלא החזיר השטר ודאי נאבד באונס או שהחזיר המשכון... אבל דברי המחבר דוחק לפרש כן. ומ"מ לענין דינא נלפע"ד כמ"ש)</w:t>
      </w:r>
      <w:r>
        <w:rPr>
          <w:rtl/>
        </w:rPr>
        <w:t>, ש"ך (סקקמ"ב).</w:t>
      </w:r>
    </w:p>
  </w:footnote>
  <w:footnote w:id="5994">
    <w:p w14:paraId="05195542" w14:textId="77777777" w:rsidR="0013116F" w:rsidRDefault="0013116F" w:rsidP="0004348D">
      <w:pPr>
        <w:pStyle w:val="a9"/>
      </w:pPr>
      <w:r>
        <w:rPr>
          <w:rStyle w:val="ab"/>
        </w:rPr>
        <w:footnoteRef/>
      </w:r>
      <w:r>
        <w:rPr>
          <w:rtl/>
        </w:rPr>
        <w:t xml:space="preserve"> וכתוב עוד שם </w:t>
      </w:r>
      <w:r>
        <w:rPr>
          <w:sz w:val="16"/>
          <w:szCs w:val="16"/>
          <w:rtl/>
        </w:rPr>
        <w:t>(בתשו' הרי"ף)</w:t>
      </w:r>
      <w:r>
        <w:rPr>
          <w:rtl/>
        </w:rPr>
        <w:t xml:space="preserve"> ובמישרים </w:t>
      </w:r>
      <w:r>
        <w:rPr>
          <w:sz w:val="16"/>
          <w:szCs w:val="16"/>
          <w:rtl/>
        </w:rPr>
        <w:t xml:space="preserve">(נכ"ו ח"ג עו ע"א) </w:t>
      </w:r>
      <w:r>
        <w:rPr>
          <w:rtl/>
        </w:rPr>
        <w:t xml:space="preserve">שהלוה היה טוען שישבעו הקרובים שצוה המת שהיו בידו מאה, ופסק ה"ר יצחק שאין עליהם שבועה ולא חרם סתם, שהאפוטרופוס של יתומים חובה עליו לטעון בכל דבר וכל טענה שיוכל לטעון כדאמרינן </w:t>
      </w:r>
      <w:r>
        <w:rPr>
          <w:sz w:val="16"/>
          <w:szCs w:val="16"/>
          <w:rtl/>
        </w:rPr>
        <w:t xml:space="preserve">(כתובות קט:) </w:t>
      </w:r>
      <w:r>
        <w:rPr>
          <w:rtl/>
        </w:rPr>
        <w:t>בההוא אפוטרופא מאן דמוקים אפוטרופא נוקים כי האי דידע להפוכי בזכותא דיתמי, ב"י.</w:t>
      </w:r>
    </w:p>
  </w:footnote>
  <w:footnote w:id="5995">
    <w:p w14:paraId="37E8863D" w14:textId="77777777" w:rsidR="0013116F" w:rsidRDefault="0013116F" w:rsidP="0004348D">
      <w:pPr>
        <w:pStyle w:val="a9"/>
        <w:rPr>
          <w:rtl/>
        </w:rPr>
      </w:pPr>
      <w:r>
        <w:rPr>
          <w:rStyle w:val="ab"/>
        </w:rPr>
        <w:footnoteRef/>
      </w:r>
      <w:r>
        <w:rPr>
          <w:rtl/>
        </w:rPr>
        <w:t xml:space="preserve"> בסמ"ע (סקק"ה) הביא דברי הבעל התרומות וכתב דמוכח מזה דטענה זו שטוענים שאביהן ציוה שחייב עליו לאו טענה ודאית היא, וכן מוכח מיניה וביה, דקאמר דהניח מלוה בנים קטנים, ובנים קטנים לאו בר צואה וטענה ודאית נינהו, עכ"ל. ולא ידענא היכא מוכח כן, דנהי דהקרובים לא טענו ודאי, מ"מ היתומים אע"ג דקטנים הם מ"מ טוענים ודאי, ולכשיגדלו ועומדים בטענתן ודאי נשבעים וגובים. תדע, דהא מדכתב בסיפא ואם לאו אין עליו לתת אלא כדי דמיו ועל השאר ישבע היסת, על כרחך כשטוענים ודאי מיירי, דאל"כ פשיטא דא"צ לישבע היסת, וא"כ גם רישא מיירי בהכי. ואי אין טוענים ודאי, נראה לכאורה דהדין עם הלוה, דהמלוה על המשכון אין לו עליו רק שעבוד בעלמא ואין אדם יכול להוציא מחבירו בטענת ספק, כדלעיל סעיף י"ד בהג"ה וסעיף כ"ד בדברי המחבר, וצ"ע, ש"ך (סקקמ"ג). וגם הט"ז השיג על הסמ"ע בזה.</w:t>
      </w:r>
    </w:p>
  </w:footnote>
  <w:footnote w:id="5996">
    <w:p w14:paraId="6E72B404" w14:textId="77777777" w:rsidR="0013116F" w:rsidRDefault="0013116F" w:rsidP="0004348D">
      <w:pPr>
        <w:pStyle w:val="a9"/>
      </w:pPr>
      <w:r>
        <w:rPr>
          <w:rStyle w:val="ab"/>
        </w:rPr>
        <w:footnoteRef/>
      </w:r>
      <w:r>
        <w:rPr>
          <w:rtl/>
        </w:rPr>
        <w:t xml:space="preserve"> ושבועה זו אין צריך לישבע אא"כ טוען הלוה אישתבעו לי... מיהו צריכים לישבע שהוא ממושכן ביד אביהן בק' אע"פ שאינו טוען אישתבעו לי, לפי מ"ש (בסקקמ"ג) דמיירי דוקא בשטוענים ברי... ואם יש אפוטרופוס, והלוה רוצה שאפוטרופוס ישבע שלא ציוה המת להפך דהיינו שהוא פרוע, חייב לישבע כדלקמן סימן ק"ח. אבל הקרובים דלאו אפוטרופוסים נינהו אינם חייבים לישבע... ועיין לקמן סימן ר"צ סעיף י"ב בהג"ה ומ"ש שם, ש"ך (סקקמ"ו-מז).</w:t>
      </w:r>
    </w:p>
  </w:footnote>
  <w:footnote w:id="5997">
    <w:p w14:paraId="4170DFD6" w14:textId="77777777" w:rsidR="0013116F" w:rsidRDefault="0013116F" w:rsidP="0004348D">
      <w:pPr>
        <w:pStyle w:val="a9"/>
      </w:pPr>
      <w:r>
        <w:rPr>
          <w:rStyle w:val="ab"/>
        </w:rPr>
        <w:footnoteRef/>
      </w:r>
      <w:r>
        <w:rPr>
          <w:rtl/>
        </w:rPr>
        <w:t xml:space="preserve"> כתב בסמ"ע [סקק"ו] דמיירי אפילו לא ראוהו עדים ביד אביהן קודם מותו וגם לא ראוהו עתה ביד היורשים כו'. ואע"ג דאביהן היה יכול לטעון החזרתי. שאני אביהן דטוען ברי, אבל יורשים דאין טוענים ברי אלא שהבית דין טוענים להן כל מה שאביהן היה יכול לטעון כו'. ומהרש"ל [בחידושיו לטור סעיף כ"ט] כתב דאיירי שראו המשכון בידו, דלא היה אביהן יכול לטעון החזרתי או להד"ם, ומביאו הב"ח [שם]. וכן עיקר, דהיכא דלא ראוהו בידו טענינן להו לקוח או מתנה, אע"פ שאין היתומים טוענים כן בברי, אע"פ שהוא מדברים העשויין להשאיל ולהשכיר או שיש עדים שבא בפקדון ליד אביהן, וכמו שהעליתי לקמן סימן רצ"ז [סק"א] באריכות, ע"ש. וכן כתב הסמ"ע גופיה לקמן סימן קל"ד סקי"ב, דהיכא דליכא עד ראה גבי הלוקח, אין מוציאין מידו. והיינו על כרחך מטעמא דטענינן ליה כל מה שהיה המוכר יכול לטעון, ואם כן כל שכן ביתמי, ועיין לקמן סימן קל"ג סעיף ה', ואם כן יכולים נמי לטעון משכון הוא בכך וכך. מיהו נלפע"ד דלא טענינן ליתמי שמא הוא ממושכן בסך הרבה כשהיתומים מודים שהוא משכון, וכמ"ש בסקקמ"ג אפילו אינו מדברים העשויין להשאיל ולהשכיר דכיון דאין על המשכון רק שעבוד, צריכים שיטענו ברי. ודוקא לקוח טענינן להו, כיון שיכול להיות שגוף החפץ הוא שלהם, משא"כ הכא, ש"ך (סקקמ"ח).</w:t>
      </w:r>
    </w:p>
  </w:footnote>
  <w:footnote w:id="5998">
    <w:p w14:paraId="2247DB40" w14:textId="77777777" w:rsidR="0013116F" w:rsidRDefault="0013116F" w:rsidP="0004348D">
      <w:pPr>
        <w:pStyle w:val="a9"/>
      </w:pPr>
      <w:r>
        <w:rPr>
          <w:rStyle w:val="ab"/>
        </w:rPr>
        <w:footnoteRef/>
      </w:r>
      <w:r>
        <w:rPr>
          <w:rtl/>
        </w:rPr>
        <w:t xml:space="preserve"> </w:t>
      </w:r>
      <w:r>
        <w:rPr>
          <w:rFonts w:hint="cs"/>
          <w:rtl/>
        </w:rPr>
        <w:t>סימן – מת טעייא, משכונו טורף.</w:t>
      </w:r>
    </w:p>
  </w:footnote>
  <w:footnote w:id="5999">
    <w:p w14:paraId="39B2FD2B" w14:textId="77777777" w:rsidR="0013116F" w:rsidRDefault="0013116F" w:rsidP="0004348D">
      <w:pPr>
        <w:pStyle w:val="a9"/>
      </w:pPr>
      <w:r>
        <w:rPr>
          <w:rStyle w:val="ab"/>
        </w:rPr>
        <w:footnoteRef/>
      </w:r>
      <w:r>
        <w:rPr>
          <w:rtl/>
        </w:rPr>
        <w:t xml:space="preserve"> כתבו התוס' [ב"ק מט: ד"ה משכונו] והנמוק"י [שם כא: מדפה"ר] ומהרש"ל [ב"ק פרק הפרה סי' יט] והה"מ [פ"ב מזכיה הי"ד] ומביאו הב"ח [סע' ל], דאפילו במשכנו שלא בשעת הלואתו, כיון שהיה יכול לסלקו בדמים. נראה דלטעמייהו אזלי דס"ל דאין בעל חוב קונה משכון לענין קנין גמור. אבל לפי מה שהעליתי לעיל סעיף ב' סק"ט באריכות דקונה אותו קנין גמור אף לאונסים במשכנו שלא בשעת הלואתו, דמשכון זה נקנה לו בהלואתו כאילו מכרו לו בחובו, א"כ כאן זכה בו המחזיק כשהיה ממושכן אצל הגר. אבל אם היה ממושכן אצל גוי, לא זכה בו, דגוי מישראל לא קני משכון, וכמ"ש לקמן סי' רע"ח סע' ז. ואפשר גם התוס' וסיעתם מודים לזה לדינא, רק שהם מפרשים משכנו שלא בשעת הלואתו כפשוטו. אבל לפי מ"ש לעיל דמשכנו שלא בשעת הלואתו היינו היכא דליכא לאשתלומי מיניה ממקום אחר, שאז נקנה לו המשכון לגמרי, מודים התוס' וסיעתם, והם מדברים במשכנו שלא בשעת הלואתו ויש לו לשלם ממקום אחר. או אפשר דאף באין לו לשלם, אע"ג דקונה המשכון אף לענין אונסים ונקנה לו בחובו, מ"מ כיון שלא הוחלט לו המשכון עדיין, והיה הישראל יכול לפדותו אם היה לו מעות, הרי הוא ברשותו. וצ"ע לדינא, ש"ך (סקקמ"ט).</w:t>
      </w:r>
    </w:p>
  </w:footnote>
  <w:footnote w:id="6000">
    <w:p w14:paraId="22A72913" w14:textId="77777777" w:rsidR="0013116F" w:rsidRDefault="0013116F" w:rsidP="0004348D">
      <w:pPr>
        <w:pStyle w:val="a9"/>
      </w:pPr>
      <w:r>
        <w:rPr>
          <w:rStyle w:val="ab"/>
        </w:rPr>
        <w:footnoteRef/>
      </w:r>
      <w:r>
        <w:rPr>
          <w:rtl/>
        </w:rPr>
        <w:t xml:space="preserve"> כל גר שאין לו בנים שהורתן ולידתן בקדושה מאב ואם, אין לו דין יורש, דכקטן שנולד דמי, ומשום הכי נכסיו הם הפקר. וכמ"ש הטור והמחבר לקמן בסימן רע"ה [סעיף א'], ע"ש, סמ"ע (סקק"ז).</w:t>
      </w:r>
    </w:p>
  </w:footnote>
  <w:footnote w:id="6001">
    <w:p w14:paraId="01DF7833" w14:textId="77777777" w:rsidR="0013116F" w:rsidRDefault="0013116F" w:rsidP="0004348D">
      <w:pPr>
        <w:pStyle w:val="a9"/>
        <w:rPr>
          <w:rtl/>
        </w:rPr>
      </w:pPr>
      <w:r>
        <w:rPr>
          <w:rStyle w:val="ab"/>
        </w:rPr>
        <w:footnoteRef/>
      </w:r>
      <w:r>
        <w:rPr>
          <w:rtl/>
        </w:rPr>
        <w:t xml:space="preserve"> אפילו משכנתא לזמן באתרא דלא מסלקי, ומת הגר תוך הזמן, לא עשה זה המחזיק כלום, כ"כ הב"ח [סע' ל]. אבל בשלט"ג [פרק חזקת ב"ב ל. מדפה"ר אות א] ראיתי שכתב דדוקא באתרא דמסלקי, אבל באתרא דלא מסלקי הוי מכור הקרקע ביד הגר עד ההוא זימנא, דהא לא מצי לסלוקי בדמים עד מישלם יומי משכונתא, וכי מיית לא פקע שעבודיה, הלכך כל הקודם זוכה כד"ן, עכ"ל. ודברי הב"ח נראין יותר, ש"ך (סקקנ"א).</w:t>
      </w:r>
    </w:p>
  </w:footnote>
  <w:footnote w:id="6002">
    <w:p w14:paraId="7512FC23" w14:textId="77777777" w:rsidR="0013116F" w:rsidRDefault="0013116F" w:rsidP="0004348D">
      <w:pPr>
        <w:pStyle w:val="a9"/>
        <w:rPr>
          <w:rtl/>
        </w:rPr>
      </w:pPr>
      <w:r>
        <w:rPr>
          <w:rStyle w:val="ab"/>
        </w:rPr>
        <w:footnoteRef/>
      </w:r>
      <w:r>
        <w:rPr>
          <w:rtl/>
        </w:rPr>
        <w:t xml:space="preserve"> כ"כ הטור בשמו, וכ"כ הרא"ש בפרק הפרה (ב"ק פ"ה סי' ו) בשמו, אבל המרדכי בפרק חזקת (ב"ב סי' תקנד) כתב כן בשם רבינו אליעזר ממיץ.</w:t>
      </w:r>
    </w:p>
  </w:footnote>
  <w:footnote w:id="6003">
    <w:p w14:paraId="745FD315" w14:textId="77777777" w:rsidR="0013116F" w:rsidRDefault="0013116F" w:rsidP="0004348D">
      <w:pPr>
        <w:pStyle w:val="a9"/>
      </w:pPr>
      <w:r>
        <w:rPr>
          <w:rStyle w:val="ab"/>
        </w:rPr>
        <w:footnoteRef/>
      </w:r>
      <w:r>
        <w:rPr>
          <w:rtl/>
        </w:rPr>
        <w:t xml:space="preserve"> וכתב הש"ך (סקקנ"ג) דכל מי שכתב כן בשם רי"ו</w:t>
      </w:r>
      <w:r>
        <w:rPr>
          <w:sz w:val="16"/>
          <w:szCs w:val="16"/>
          <w:rtl/>
        </w:rPr>
        <w:t xml:space="preserve"> (ב"י דרכ"מ סמ"ע וב"ח)</w:t>
      </w:r>
      <w:r>
        <w:rPr>
          <w:rtl/>
        </w:rPr>
        <w:t xml:space="preserve"> – שגה וטעה בדברי רי"ו, דרי"ו מיירי התם במשכון. דז"ל רי"ו שם </w:t>
      </w:r>
      <w:r>
        <w:rPr>
          <w:sz w:val="16"/>
          <w:szCs w:val="16"/>
          <w:rtl/>
        </w:rPr>
        <w:t>[בדפוס ויניציא]</w:t>
      </w:r>
      <w:r>
        <w:rPr>
          <w:rtl/>
        </w:rPr>
        <w:t>- משכונו של ישראל ביד גוי שהלוה עליו הגוי המעות, ונאבדו מן הגוי ומצאו ישראל, מחזירו לראשון ואינו יכול להחזירם לגוי, כי כיון שנפל מן הגוי פקע שעבודו מאחר שמצאם ישראל. ואם יבוא לומר המוצא אני רוצה להחזירם משום קדושת השם, יאמר לו האחר אם תרצה לקדש השם תעשה בשלך, עכ"ל. ופשוט הוא דקאי אמשכון. 'ונאבדו' וכן 'להחזירם' טעות סופר, וצ"ל 'ונאבד' וכן 'להחזירו'. או קאי אמשכונות רבים, וק"ל. וז"ל רי"ו בדפוס ישן קונסטנטינה- משכונא של ישראל ביד גוי שהלוה עליה הגוי ונאבדו המעות מן הגוי ומצאם ישראל, מחזירו לראשון ואינו יכול להחזירם לגוי, כי כיון שנפל מן הגוי פקע שעבודו מאחר שמצאם ישראל. ואם יבוא לומר המוצא אני רוצה להחזירם משום קדושת השם, יאמר לו האחר אם תרצה לקדש השם תעשה בשלך, עכ"ל. והדבר פשוט ג"כ דתיבת המעות צ"ל המשכונות, וכמ"ש. ועוד ראיה ברורה לדברי, שבנכ"ב כתב רי"ו וז"ל- משכונו של ישראל ביד גוי ונאבד מן הגוי ומצאו ישראל, אם מחזירו לחבירו, כתבתי בנ"כ בח"ב, עכ"ל. ובנ"כ ח"ב לא כתב אלא דברים הנ"ל שהבאתי. אלא ודאי כמ"ש.</w:t>
      </w:r>
    </w:p>
  </w:footnote>
  <w:footnote w:id="6004">
    <w:p w14:paraId="1B31D407" w14:textId="77777777" w:rsidR="0013116F" w:rsidRDefault="0013116F" w:rsidP="0004348D">
      <w:pPr>
        <w:pStyle w:val="a9"/>
        <w:rPr>
          <w:rtl/>
        </w:rPr>
      </w:pPr>
      <w:r>
        <w:rPr>
          <w:rStyle w:val="ab"/>
        </w:rPr>
        <w:footnoteRef/>
      </w:r>
      <w:r>
        <w:rPr>
          <w:rtl/>
        </w:rPr>
        <w:t xml:space="preserve"> </w:t>
      </w:r>
      <w:r>
        <w:rPr>
          <w:rFonts w:hint="cs"/>
          <w:rtl/>
        </w:rPr>
        <w:t>הדרכ"מ (אות יז) כתב שדברי רי"ו לא נראים לו ד-...</w:t>
      </w:r>
    </w:p>
  </w:footnote>
  <w:footnote w:id="6005">
    <w:p w14:paraId="619FCCB5" w14:textId="77777777" w:rsidR="0013116F" w:rsidRDefault="0013116F" w:rsidP="0004348D">
      <w:pPr>
        <w:pStyle w:val="a9"/>
        <w:rPr>
          <w:rtl/>
        </w:rPr>
      </w:pPr>
      <w:r>
        <w:rPr>
          <w:rStyle w:val="ab"/>
        </w:rPr>
        <w:footnoteRef/>
      </w:r>
      <w:r>
        <w:rPr>
          <w:rtl/>
        </w:rPr>
        <w:t xml:space="preserve"> ואם החזירו לגוי חייב לשלם לישראל..., ש"ך (סקקנ"ב).</w:t>
      </w:r>
    </w:p>
  </w:footnote>
  <w:footnote w:id="6006">
    <w:p w14:paraId="4A7D367C" w14:textId="77777777" w:rsidR="0013116F" w:rsidRDefault="0013116F" w:rsidP="0004348D">
      <w:pPr>
        <w:pStyle w:val="a9"/>
      </w:pPr>
      <w:r>
        <w:rPr>
          <w:rStyle w:val="ab"/>
        </w:rPr>
        <w:footnoteRef/>
      </w:r>
      <w:r>
        <w:rPr>
          <w:rtl/>
        </w:rPr>
        <w:t xml:space="preserve"> ואפילו במשכון כתב ב"י וד"מ [סעיף ל"א] שמ"כ בשם מהר"ם (ד"פ סי' ת"ט וסי' תתקנ"א) דאם עלה עליו הריבית יותר משויו, שאז הוחלט המשכון ביד גוי, זכה בו המוצאו, דנכסי דאינש אינון ערבין, וגוי בתר ערבא אזיל, וכ"ש במשכון שבידו. ובסמ"ע סקק"י תמה על המחבר שהשמיטו. ובאמת לק"מ על המחבר בזה, דאפילו במעות כתב המחבר דיש מי שאומר שיחזיר לישראל, ופשיטא דהאי יש מי שאומר פליג אמהר"מ במשכון. וכמ"ש הסמ"ע גופיה בסקקי"א דמדברי מהר"מ מוכח דכל שכן במעות הם של המוצא, וכדברי הר"ב, ע"ש. מיהו על הר"ב קשה קצת, כיון דפסק דבמעות הם של המוצא. וכן הוא בראב"ן סימן קי"ב, ע"ש, ש"ך </w:t>
      </w:r>
      <w:r>
        <w:rPr>
          <w:sz w:val="16"/>
          <w:szCs w:val="16"/>
          <w:rtl/>
        </w:rPr>
        <w:t>(סקקנ"ד)</w:t>
      </w:r>
      <w:r>
        <w:rPr>
          <w:rtl/>
        </w:rPr>
        <w:t>.</w:t>
      </w:r>
    </w:p>
  </w:footnote>
  <w:footnote w:id="6007">
    <w:p w14:paraId="40A0211E" w14:textId="77777777" w:rsidR="0013116F" w:rsidRDefault="0013116F" w:rsidP="0004348D">
      <w:pPr>
        <w:pStyle w:val="a9"/>
      </w:pPr>
      <w:r>
        <w:rPr>
          <w:rStyle w:val="ab"/>
        </w:rPr>
        <w:footnoteRef/>
      </w:r>
      <w:r>
        <w:rPr>
          <w:rtl/>
        </w:rPr>
        <w:t xml:space="preserve"> אבל אם לא יצאו עדיין מרשות ישראל המלוה, צריך להחזירם לו, כדלקמן סימן קפ"ג סעיף ח', וע"ש, ש"ך </w:t>
      </w:r>
      <w:r>
        <w:rPr>
          <w:sz w:val="16"/>
          <w:szCs w:val="16"/>
          <w:rtl/>
        </w:rPr>
        <w:t>(סקקנ"ה)</w:t>
      </w:r>
      <w:r>
        <w:rPr>
          <w:rtl/>
        </w:rPr>
        <w:t>.</w:t>
      </w:r>
    </w:p>
  </w:footnote>
  <w:footnote w:id="6008">
    <w:p w14:paraId="5A234F38" w14:textId="77777777" w:rsidR="0013116F" w:rsidRDefault="0013116F" w:rsidP="0004348D">
      <w:pPr>
        <w:pStyle w:val="a9"/>
      </w:pPr>
      <w:r>
        <w:rPr>
          <w:rStyle w:val="ab"/>
        </w:rPr>
        <w:footnoteRef/>
      </w:r>
      <w:r>
        <w:rPr>
          <w:rtl/>
        </w:rPr>
        <w:t xml:space="preserve"> </w:t>
      </w:r>
      <w:r>
        <w:rPr>
          <w:rFonts w:hint="cs"/>
          <w:rtl/>
        </w:rPr>
        <w:t>סימן – מת טעייא - טובע משכונו.</w:t>
      </w:r>
    </w:p>
  </w:footnote>
  <w:footnote w:id="6009">
    <w:p w14:paraId="17A2F096" w14:textId="77777777" w:rsidR="0013116F" w:rsidRDefault="0013116F" w:rsidP="0004348D">
      <w:pPr>
        <w:pStyle w:val="a9"/>
      </w:pPr>
      <w:r>
        <w:rPr>
          <w:rStyle w:val="ab"/>
        </w:rPr>
        <w:footnoteRef/>
      </w:r>
      <w:r>
        <w:rPr>
          <w:rtl/>
        </w:rPr>
        <w:t xml:space="preserve"> וכתב הה"מ (שם) דמשמע בתוספתא דכתובות פרק מי שהיה נשוי (פ"י ה"ו) שאם החזיקו שנים זה אחר זה שיכול הראשון לומר לבעל חובו הנחתי לך מקום לגבות הימנו. ועוד יתבארו דברים אלו בסוף סימן ער"ה, ב"י.</w:t>
      </w:r>
    </w:p>
  </w:footnote>
  <w:footnote w:id="6010">
    <w:p w14:paraId="60F46AC7" w14:textId="77777777" w:rsidR="0013116F" w:rsidRDefault="0013116F" w:rsidP="0004348D">
      <w:pPr>
        <w:pStyle w:val="a9"/>
        <w:rPr>
          <w:rtl/>
        </w:rPr>
      </w:pPr>
      <w:r>
        <w:rPr>
          <w:rStyle w:val="ab"/>
        </w:rPr>
        <w:footnoteRef/>
      </w:r>
      <w:r>
        <w:rPr>
          <w:rtl/>
        </w:rPr>
        <w:t xml:space="preserve"> דאם הוא בחצירו, אפילו אינו משומר מצד עצמו מ"מ הוא משומר על ידו, וכ"כ הטור </w:t>
      </w:r>
      <w:r>
        <w:rPr>
          <w:sz w:val="16"/>
          <w:szCs w:val="16"/>
          <w:rtl/>
        </w:rPr>
        <w:t>(סע' ו)</w:t>
      </w:r>
      <w:r>
        <w:rPr>
          <w:rtl/>
        </w:rPr>
        <w:t xml:space="preserve"> והמחבר </w:t>
      </w:r>
      <w:r>
        <w:rPr>
          <w:sz w:val="16"/>
          <w:szCs w:val="16"/>
          <w:rtl/>
        </w:rPr>
        <w:t xml:space="preserve">(סע' ג) </w:t>
      </w:r>
      <w:r>
        <w:rPr>
          <w:rtl/>
        </w:rPr>
        <w:t>לקמן סי' רסח, סמ"ע</w:t>
      </w:r>
      <w:r>
        <w:rPr>
          <w:sz w:val="16"/>
          <w:szCs w:val="16"/>
          <w:rtl/>
        </w:rPr>
        <w:t xml:space="preserve"> (סקקי"ב)</w:t>
      </w:r>
      <w:r>
        <w:rPr>
          <w:rtl/>
        </w:rPr>
        <w:t>.</w:t>
      </w:r>
    </w:p>
  </w:footnote>
  <w:footnote w:id="6011">
    <w:p w14:paraId="1BB14EA7" w14:textId="77777777" w:rsidR="0013116F" w:rsidRDefault="0013116F" w:rsidP="0004348D">
      <w:pPr>
        <w:pStyle w:val="a9"/>
      </w:pPr>
      <w:r>
        <w:rPr>
          <w:rStyle w:val="ab"/>
        </w:rPr>
        <w:footnoteRef/>
      </w:r>
      <w:r>
        <w:rPr>
          <w:rtl/>
        </w:rPr>
        <w:t xml:space="preserve"> כתב הסמ"ע </w:t>
      </w:r>
      <w:r>
        <w:rPr>
          <w:sz w:val="16"/>
          <w:szCs w:val="16"/>
          <w:rtl/>
        </w:rPr>
        <w:t xml:space="preserve">[סקקי"ד] </w:t>
      </w:r>
      <w:r>
        <w:rPr>
          <w:rtl/>
        </w:rPr>
        <w:t xml:space="preserve">דה"ה אם משכנו מעצמו בלי ציווי הגוי, דאע"ג דבידו לחזור ולפדותו </w:t>
      </w:r>
      <w:r>
        <w:rPr>
          <w:sz w:val="16"/>
          <w:szCs w:val="16"/>
          <w:rtl/>
        </w:rPr>
        <w:t>(וכמו שנתבאר ביו"ד סי' קסט סע' יח)</w:t>
      </w:r>
      <w:r>
        <w:rPr>
          <w:rtl/>
        </w:rPr>
        <w:t xml:space="preserve">, הני מילי כשהגוי חי משא"כ הכא שמת כו'. וכ"כ הב"ח </w:t>
      </w:r>
      <w:r>
        <w:rPr>
          <w:sz w:val="16"/>
          <w:szCs w:val="16"/>
          <w:rtl/>
        </w:rPr>
        <w:t>[סע' לג]</w:t>
      </w:r>
      <w:r>
        <w:rPr>
          <w:rtl/>
        </w:rPr>
        <w:t xml:space="preserve">, ופשוט הוא מש"ס </w:t>
      </w:r>
      <w:r>
        <w:rPr>
          <w:sz w:val="16"/>
          <w:szCs w:val="16"/>
          <w:rtl/>
        </w:rPr>
        <w:t>[ב"ק מט:]</w:t>
      </w:r>
      <w:r>
        <w:rPr>
          <w:rtl/>
        </w:rPr>
        <w:t xml:space="preserve"> ופוסקים דלעיל סע' לט..., ש"ך</w:t>
      </w:r>
      <w:r>
        <w:rPr>
          <w:sz w:val="16"/>
          <w:szCs w:val="16"/>
          <w:rtl/>
        </w:rPr>
        <w:t xml:space="preserve"> (סקקנ"ט)</w:t>
      </w:r>
      <w:r>
        <w:rPr>
          <w:rtl/>
        </w:rPr>
        <w:t>. וכ' עוד הסמ"ע</w:t>
      </w:r>
      <w:r>
        <w:rPr>
          <w:sz w:val="16"/>
          <w:szCs w:val="16"/>
          <w:rtl/>
        </w:rPr>
        <w:t xml:space="preserve"> (שם)</w:t>
      </w:r>
      <w:r>
        <w:rPr>
          <w:rtl/>
        </w:rPr>
        <w:t xml:space="preserve"> מיהו אם יש להגוי יורשים היודעים מזה ודעתן לפדותו, אז גם ישראל ראשון יכול לפדותו אחר מיתת הגוי המשכון קודם שבאו היורשים לפדותו, ויתן להשני קרנו והריבית שעלה עליו עד שעת פדייה, והמותר של ישראל ראשון, משא"כ בנידון זה שהישראל ביקש מעותיו מהגוי, וא"ל הגוי שימשכן אצל ישראל השני, דאז אינו יכול לפדותו אחר מיתת הגוי. וכ' הש"ך </w:t>
      </w:r>
      <w:r>
        <w:rPr>
          <w:sz w:val="16"/>
          <w:szCs w:val="16"/>
          <w:rtl/>
        </w:rPr>
        <w:t xml:space="preserve">(שם) </w:t>
      </w:r>
      <w:r>
        <w:rPr>
          <w:rtl/>
        </w:rPr>
        <w:t xml:space="preserve">דנראה מהב"ח שחולק על זה וס"ל דאין חילוק בזה כלל, וצ"ע לדינא </w:t>
      </w:r>
      <w:r>
        <w:rPr>
          <w:sz w:val="16"/>
          <w:szCs w:val="16"/>
          <w:rtl/>
        </w:rPr>
        <w:t>(עכ"ד הש"ך)</w:t>
      </w:r>
      <w:r>
        <w:rPr>
          <w:rtl/>
        </w:rPr>
        <w:t xml:space="preserve">. והט"ז פסק דבאמת אין לחלק כלל ואפילו בלא רבית ומשכנו מעצמו ללא ציוי הגוי ואף אם יש יורשים היודעים מזה- בכולם הדין שוה דזכה שראל השני במשכון </w:t>
      </w:r>
      <w:r>
        <w:rPr>
          <w:sz w:val="16"/>
          <w:szCs w:val="16"/>
          <w:rtl/>
        </w:rPr>
        <w:t>(ודלא כהסמ"ע)</w:t>
      </w:r>
      <w:r>
        <w:rPr>
          <w:rtl/>
        </w:rPr>
        <w:t>.</w:t>
      </w:r>
    </w:p>
  </w:footnote>
  <w:footnote w:id="6012">
    <w:p w14:paraId="7C2327E5" w14:textId="77777777" w:rsidR="0013116F" w:rsidRDefault="0013116F" w:rsidP="0004348D">
      <w:pPr>
        <w:pStyle w:val="a9"/>
        <w:rPr>
          <w:rtl/>
        </w:rPr>
      </w:pPr>
      <w:r>
        <w:rPr>
          <w:rStyle w:val="ab"/>
        </w:rPr>
        <w:footnoteRef/>
      </w:r>
      <w:r>
        <w:rPr>
          <w:rtl/>
        </w:rPr>
        <w:t xml:space="preserve"> היינו טעמא דבשעה שהשכינו ראובן לשמעון סילק נפשו ממנו לגמרי, דאל"כ היה אסור לשמעון ליקח ממנו ריבית, דה"ל ישראל שהלוה לישראל, עכ"ל סמ"ע [סקקי"ד], וכ"כ הב"ח [סעיף ל"ג]. ולא ידעתי למה תלו הטעם באיסור ריבית, דלפעד"נ אפילו משכנו לשמעון בלא ריבית נמי זכה שמעון במשכון, ש"ך (סקק"ס). והתומים (סוף סקנ"ז) הסכים לדברי הסמ"ע.</w:t>
      </w:r>
    </w:p>
  </w:footnote>
  <w:footnote w:id="6013">
    <w:p w14:paraId="6BBE641D" w14:textId="77777777" w:rsidR="0013116F" w:rsidRDefault="0013116F" w:rsidP="0004348D">
      <w:pPr>
        <w:pStyle w:val="a9"/>
        <w:rPr>
          <w:rtl/>
        </w:rPr>
      </w:pPr>
      <w:r>
        <w:rPr>
          <w:rStyle w:val="ab"/>
        </w:rPr>
        <w:footnoteRef/>
      </w:r>
      <w:r>
        <w:rPr>
          <w:rtl/>
        </w:rPr>
        <w:t xml:space="preserve"> פירוש, ליתן לו לפדותו, או מיירי שכבר נתן הגוי לישראל דמי ההלואה, סמ"ע (סקקט"ו). אך הש"ך (סקקס"א) פירש שנתנו במתנה לישראל אחר, ומת, זכה הראשון במשכון אף ששוה יותר ממה שהלוה עליו. ואפילו הפקידו הגוי מתחילה אצל הישראל הראשון ונתנו אח"כ במתנה לישראל שני, ומת, זכה הראשון</w:t>
      </w:r>
      <w:r>
        <w:rPr>
          <w:sz w:val="16"/>
          <w:szCs w:val="16"/>
          <w:rtl/>
        </w:rPr>
        <w:t xml:space="preserve"> (כמ"ש רי"ו [מישרים נכ"ב] בשם תשו' הרשב"א, והר"ב לקמן סי' קצד סע' ב)</w:t>
      </w:r>
      <w:r>
        <w:rPr>
          <w:rtl/>
        </w:rPr>
        <w:t xml:space="preserve">. ואפילו לא מת הגוי </w:t>
      </w:r>
      <w:r>
        <w:rPr>
          <w:sz w:val="16"/>
          <w:szCs w:val="16"/>
          <w:rtl/>
        </w:rPr>
        <w:t>(כדמשמע ברי"ו והר"ב שם, וכן משמע להדיא בתשובת רשב"א [ח"א] סי' אלף לב)</w:t>
      </w:r>
      <w:r>
        <w:rPr>
          <w:rtl/>
        </w:rPr>
        <w:t>.</w:t>
      </w:r>
    </w:p>
  </w:footnote>
  <w:footnote w:id="6014">
    <w:p w14:paraId="0213AA58" w14:textId="77777777" w:rsidR="0013116F" w:rsidRDefault="0013116F" w:rsidP="0004348D">
      <w:pPr>
        <w:pStyle w:val="a9"/>
      </w:pPr>
      <w:r>
        <w:rPr>
          <w:rStyle w:val="ab"/>
        </w:rPr>
        <w:footnoteRef/>
      </w:r>
      <w:r>
        <w:rPr>
          <w:rtl/>
        </w:rPr>
        <w:t xml:space="preserve"> גם עיין לקמן בס"ס קצד סע' ב' לענין גוי שיש לו משכון או פקדון ביד ישראל ומכרו לישראל אחר, דמשמע שם ממ"ש אחריו בסע' ג' דקנהו השני בכסף, דמטלטלים קונה הישראל מגוי בכסף גרידא. ע"ש ובב"י שם בריש הסימן, ובס"ס רמא, סמ"ע</w:t>
      </w:r>
      <w:r>
        <w:rPr>
          <w:sz w:val="16"/>
          <w:szCs w:val="16"/>
          <w:rtl/>
        </w:rPr>
        <w:t xml:space="preserve"> (סקקי"ז)</w:t>
      </w:r>
      <w:r>
        <w:rPr>
          <w:rtl/>
        </w:rPr>
        <w:t>.</w:t>
      </w:r>
    </w:p>
  </w:footnote>
  <w:footnote w:id="6015">
    <w:p w14:paraId="477AA48C" w14:textId="77777777" w:rsidR="0013116F" w:rsidRDefault="0013116F" w:rsidP="0004348D">
      <w:pPr>
        <w:pStyle w:val="a9"/>
      </w:pPr>
      <w:r>
        <w:rPr>
          <w:rStyle w:val="ab"/>
        </w:rPr>
        <w:footnoteRef/>
      </w:r>
      <w:r>
        <w:rPr>
          <w:rtl/>
        </w:rPr>
        <w:t xml:space="preserve"> באמת הכי איתא במרדכי [ובהגה"מ שם] שנסתפק בזה, אבל לא ידעתי מה ספק יש בכאן, שהרי אפילו במשכון שבחצר המלוה שאינה משתמרת אם קדם זה וזכה בו קנה השאר... אע"ג שלא הפקידו המלוה כלל ועדיין הוא בחצירו, כל שכן הכא שמתחילה הוא אצל שמעון... וכ"פ מהרש"ל [ביש"ש לב"ק בפרק הפרה סי' כ]... וכן נראה ודאי עיקר..., ש"ך (ס"ק קסג).</w:t>
      </w:r>
    </w:p>
  </w:footnote>
  <w:footnote w:id="6016">
    <w:p w14:paraId="470759A4" w14:textId="77777777" w:rsidR="0013116F" w:rsidRDefault="0013116F" w:rsidP="0004348D">
      <w:pPr>
        <w:pStyle w:val="a9"/>
        <w:rPr>
          <w:rtl/>
        </w:rPr>
      </w:pPr>
      <w:r>
        <w:rPr>
          <w:rStyle w:val="ab"/>
        </w:rPr>
        <w:footnoteRef/>
      </w:r>
      <w:r>
        <w:rPr>
          <w:rtl/>
        </w:rPr>
        <w:t xml:space="preserve"> ואין דבריו נראים בעיני וכן נראה מדברי המרדכי שם שיש מי שחולק על סברא זו, ב"י.</w:t>
      </w:r>
    </w:p>
  </w:footnote>
  <w:footnote w:id="6017">
    <w:p w14:paraId="0006BDB3" w14:textId="77777777" w:rsidR="0013116F" w:rsidRDefault="0013116F" w:rsidP="0004348D">
      <w:pPr>
        <w:pStyle w:val="a9"/>
        <w:rPr>
          <w:rtl/>
        </w:rPr>
      </w:pPr>
      <w:r>
        <w:rPr>
          <w:rStyle w:val="ab"/>
        </w:rPr>
        <w:footnoteRef/>
      </w:r>
      <w:r>
        <w:rPr>
          <w:rtl/>
        </w:rPr>
        <w:t xml:space="preserve"> ולי נראה שזכה זה במשכון שבידו לכל רבית שיעלה עוד, ב"י. אך הדרכ"מ (אות יט) כתב- ולי נראים דברי מהרי"ל, דמאחר שאין לגוי לפרוע לישראל זה אלא במותר של משכון זה, אם כן כל זכותו של גוי יש לו לישראל זה מדרבי נתן דאמר ונתן לאשר אשם לו, וכמו שיתבאר לקמן סי' פו (ס"א), ולכן יכול הישראל לפדותו כמו הגוי עצמו... ועיין לקמן ס"ס ק"ד (דרכ"א סי"ז) תשו' הרשב"א (ח"ז סי' קיג) דמשמע קצת כדברי ב"י, אבל בגמ' פרק איזהו נשך (עג:) בעובדא דמרי בר רחל דהוה ליה משכון מגוי וזבנה רבא כו' משמע שם כדברי מהרי"ל דכל זכות שהיה לגוי במשכון יש לישראל שני ועיי"ש, והרשב"א לא קאמר דהראשון קודם אלא לענין רבית שכבר עלה עליו, ועיין לקמן סימן ק"ד.</w:t>
      </w:r>
    </w:p>
  </w:footnote>
  <w:footnote w:id="6018">
    <w:p w14:paraId="1DA83CB1" w14:textId="77777777" w:rsidR="0013116F" w:rsidRDefault="0013116F" w:rsidP="0004348D">
      <w:pPr>
        <w:pStyle w:val="a9"/>
        <w:rPr>
          <w:rtl/>
        </w:rPr>
      </w:pPr>
      <w:r>
        <w:rPr>
          <w:rStyle w:val="ab"/>
        </w:rPr>
        <w:footnoteRef/>
      </w:r>
      <w:r>
        <w:rPr>
          <w:rtl/>
        </w:rPr>
        <w:t xml:space="preserve"> ועיין בדברי בעל מישרים שאכתוב בסמוך (מחו' מ) ובשאר מקומות שארמוז שם, ב"י.</w:t>
      </w:r>
    </w:p>
  </w:footnote>
  <w:footnote w:id="6019">
    <w:p w14:paraId="5A2D22C6" w14:textId="77777777" w:rsidR="0013116F" w:rsidRDefault="0013116F" w:rsidP="0004348D">
      <w:pPr>
        <w:pStyle w:val="a9"/>
        <w:rPr>
          <w:rtl/>
        </w:rPr>
      </w:pPr>
      <w:r>
        <w:rPr>
          <w:rStyle w:val="ab"/>
        </w:rPr>
        <w:footnoteRef/>
      </w:r>
      <w:r>
        <w:rPr>
          <w:rtl/>
        </w:rPr>
        <w:t xml:space="preserve"> והיינו שבועה דאורייתא. ואע"ג דאין נשבעין על קרקע שבועה דאורייתא </w:t>
      </w:r>
      <w:r>
        <w:rPr>
          <w:sz w:val="16"/>
          <w:szCs w:val="16"/>
          <w:rtl/>
        </w:rPr>
        <w:t>(כמו שכתבו הטור והמחבר סימן צ"ה סע' א)</w:t>
      </w:r>
      <w:r>
        <w:rPr>
          <w:rtl/>
        </w:rPr>
        <w:t xml:space="preserve"> שאני הכא, כיון שלא החזיק עדיין בהקרקע ג' שנים לא יצאת הקרקע מרשות הלוה, וכיון שאין לזה שטר משכונא עליה הו"ל כתביעת על פה דנשבעין עליה שבועה דאורייתא כמודה מקצת. ועוד י"ל, דשאני הכא כיון ששניהן מודים דמשכנתא היא ואין תביעתו אלא על המעות, אין זה מיקרי תביעת קרקע. וכ"כ מור"ם בסימן צ"ה סע' ג', סמ"ע (סקק"כ). ולזה הסכים הש"ך (סקקס"ד), וכתב דמה שכתב הסמ"ע בתחילה אינו נכון.</w:t>
      </w:r>
    </w:p>
  </w:footnote>
  <w:footnote w:id="6020">
    <w:p w14:paraId="109BF08E" w14:textId="77777777" w:rsidR="0013116F" w:rsidRDefault="0013116F" w:rsidP="0004348D">
      <w:pPr>
        <w:pStyle w:val="a9"/>
        <w:rPr>
          <w:rtl/>
        </w:rPr>
      </w:pPr>
      <w:r>
        <w:rPr>
          <w:rStyle w:val="ab"/>
        </w:rPr>
        <w:footnoteRef/>
      </w:r>
      <w:r>
        <w:rPr>
          <w:rtl/>
        </w:rPr>
        <w:t xml:space="preserve"> ואע"פ שהטוען על המשכון כדי דמיו צריך לישבע בנקיטת חפץ אע"פ שיש לו ג"כ מיגו דלקוח </w:t>
      </w:r>
      <w:r>
        <w:rPr>
          <w:sz w:val="16"/>
          <w:szCs w:val="16"/>
          <w:rtl/>
        </w:rPr>
        <w:t>(וכמ"ש המחבר בסע' יז)</w:t>
      </w:r>
      <w:r>
        <w:rPr>
          <w:rtl/>
        </w:rPr>
        <w:t xml:space="preserve">, שאני הכא דהחזיק בהקרקע ג' שנים, ואין נשבעין על קרקעות שבועה חמורה כי אם היסת, וכמ"ש לקמן סימן צ"ה, סמ"ע (סקקכ"א). ולפני כמה שנים נתקשו לי דברי הסמ"ע בזה, דהא אפילו שבועת המשנה נשבעין אקרקעות </w:t>
      </w:r>
      <w:r>
        <w:rPr>
          <w:sz w:val="16"/>
          <w:szCs w:val="16"/>
          <w:rtl/>
        </w:rPr>
        <w:t>(וכדאיתא להדיא בש"ס פרק הכותב [כתובות פז:] וכל הפוסקים, וכמש"כ הסמ"ע גופיה לקמן סי' צה סק"ז)</w:t>
      </w:r>
      <w:r>
        <w:rPr>
          <w:rtl/>
        </w:rPr>
        <w:t xml:space="preserve">. והיה נראה לי דהטעם כאן כיון דקשקיל מפירי דארעא, ודלא כסמ"ע, וכן הסכים עמי הגאון אמ"ו ז"ל ושאר גדולים. ועכשיו עיינתי דיש לומר דה"ק הסמ"ע, כיון שאין נשבעין שבועה דאורייתא על הקרקעות, לא שייכא שבועת הגאונים דטוען על המשכון בזה. וכן צריך לומר לקמן סימן קמ"ט סע' כב לדעת הרמב"ם [פי"ד מטוען ה"ט] והמחבר </w:t>
      </w:r>
      <w:r>
        <w:rPr>
          <w:sz w:val="16"/>
          <w:szCs w:val="16"/>
          <w:rtl/>
        </w:rPr>
        <w:t>(וכמ"ש הה"מ [שם] והעיר שושן [שם סעיף כ"ב] והסמ"ע שם [סקל"ו])</w:t>
      </w:r>
      <w:r>
        <w:rPr>
          <w:rtl/>
        </w:rPr>
        <w:t xml:space="preserve">. אבל לתרץ דשאני הכא דשקיל מפירי דארעא אינו נכון, דסוף סוף הוא בא ליטול וצריך שבועה. וכן מוכח בהשגות הראב"ד פי"ד מהל' טוען [שם] והה"מ ושאר פוסקים... ומ"מ דעת הראב"ד שם דשבועת הגאונים שייכא אף בקרקע, וכן נראה להדיא דעת הרשב"א </w:t>
      </w:r>
      <w:r>
        <w:rPr>
          <w:sz w:val="16"/>
          <w:szCs w:val="16"/>
          <w:rtl/>
        </w:rPr>
        <w:t>(ח"א סי' תתקלט, הביאו הב"י בסי' קמ מחו' ה)</w:t>
      </w:r>
      <w:r>
        <w:rPr>
          <w:rtl/>
        </w:rPr>
        <w:t xml:space="preserve">... וכן מוכח להדיא מדברי הרמב"ן בחידושיו פרק חזקת הבתים [ב"ב לג. ד"ה אמור] גבי עובדא דרבה בר שרשום, וכן מדברי הנמוק:י שם [ב"ב טז: מדפה"ר], והבאתי דבריהם לקמן סי' קן [סע' ד סק"ג], וכן עיקר... </w:t>
      </w:r>
    </w:p>
  </w:footnote>
  <w:footnote w:id="6021">
    <w:p w14:paraId="49683D45" w14:textId="77777777" w:rsidR="0013116F" w:rsidRDefault="0013116F" w:rsidP="0004348D">
      <w:pPr>
        <w:pStyle w:val="a9"/>
      </w:pPr>
      <w:r>
        <w:rPr>
          <w:rStyle w:val="ab"/>
        </w:rPr>
        <w:footnoteRef/>
      </w:r>
      <w:r>
        <w:rPr>
          <w:rtl/>
        </w:rPr>
        <w:t xml:space="preserve"> (כ) וכן הוא בתשובת הרשב"א סימן אלף ט' דמשום פרוטה דרב יוסף הוה שומר שכר אף לאחר שפרע ועיי"ש:</w:t>
      </w:r>
    </w:p>
  </w:footnote>
  <w:footnote w:id="6022">
    <w:p w14:paraId="3F03570F" w14:textId="77777777" w:rsidR="0013116F" w:rsidRDefault="0013116F" w:rsidP="0004348D">
      <w:pPr>
        <w:pStyle w:val="a9"/>
        <w:rPr>
          <w:rtl/>
        </w:rPr>
      </w:pPr>
      <w:r>
        <w:rPr>
          <w:rStyle w:val="ab"/>
        </w:rPr>
        <w:footnoteRef/>
      </w:r>
      <w:r>
        <w:rPr>
          <w:rtl/>
        </w:rPr>
        <w:t xml:space="preserve"> ועיין בתשובת הרשב"א שכתבתי בתחלת סימן זה (ס"ב) ובדברי הראב"ד והרשב"א שכתב נמוק"י בפרק האומנים (ב"מ נא. סוף דבור ראשון) גבי מלוה על המשכון, ב"י.</w:t>
      </w:r>
    </w:p>
  </w:footnote>
  <w:footnote w:id="6023">
    <w:p w14:paraId="7E2FAFDD" w14:textId="77777777" w:rsidR="0013116F" w:rsidRDefault="0013116F" w:rsidP="0004348D">
      <w:pPr>
        <w:pStyle w:val="a9"/>
        <w:rPr>
          <w:rtl/>
        </w:rPr>
      </w:pPr>
      <w:r>
        <w:rPr>
          <w:rStyle w:val="ab"/>
        </w:rPr>
        <w:footnoteRef/>
      </w:r>
      <w:r>
        <w:rPr>
          <w:rtl/>
        </w:rPr>
        <w:t xml:space="preserve"> וכתב הטור- אע"פ שכתב בתשובה שהמלוה על המשכון שומר שכר - בפסקיו כתב שהוא שומר חנם כדפי' לעיל, ודאחרונה היא, ולא כתבתי תשובה זו אלא ללמוד ממנו חילוק זה למי שפוסק שהוא ש"ש. עכ"ל. וכתב הב"י דמ"ש רבינו 'אע"פ שכתב בתשובה שהמלוה על המשכון שומר שכר' - לא כתב כן רבינו לפי שבתחלת התשובה כתב כיון דקיי"ל המלוה על המשכון שומר שכר דהא לכו"ע דינא הכי במה שהוא כנגד החוב, וכמו שנתבאר בראש הסימן </w:t>
      </w:r>
      <w:r>
        <w:rPr>
          <w:sz w:val="16"/>
          <w:szCs w:val="16"/>
          <w:rtl/>
        </w:rPr>
        <w:t>(ס"ד ד"ה מכל מקום)</w:t>
      </w:r>
      <w:r>
        <w:rPr>
          <w:rtl/>
        </w:rPr>
        <w:t xml:space="preserve">, אבל מדקדק כן רבינו ממה שנתן טעם לדבר דטעמא דהוי שומר שכר משום דקיי"ל כרב יוסף ולפי זה אפילו במה שהמשכון שוה יותר על החוב הוי עליה שומר שכר דהא שייכא ביה פרוטה דרב יוסף. ועוד דבנדון דעובדא דתשובה אי הוה סבירא ליה להרא"ש כר"י הוה מיפטר, דהא לדידיה לא הוי שומר שכר על המשכון אלא מטעם שתופסו לגבות ממנו חובו, ואם כן כל היכא דגבה כבר חובו דליכא תו האי טעמא פשיטא דפטור מגנבה ואבדה דהא לדידיה הלכה כרבה דשומר חנם הוי, ומכיון שחייב הרא"ש בנדון דתשובה על כרחך כהרי"ף </w:t>
      </w:r>
      <w:r>
        <w:rPr>
          <w:sz w:val="16"/>
          <w:szCs w:val="16"/>
          <w:rtl/>
        </w:rPr>
        <w:t xml:space="preserve">(ב"מ נא.) </w:t>
      </w:r>
      <w:r>
        <w:rPr>
          <w:rtl/>
        </w:rPr>
        <w:t xml:space="preserve">סבירא ליה דטעמא דהוי שומר שכר הוי מטעם פרוטה דרב יוסף וההיא הנאה שייכא אפילו לאחר שגבה חובו. ומ"ש רבינו 'בפסקיו כתב שהוא שומר חנם' - כבר כתבתי בראש סימן זה </w:t>
      </w:r>
      <w:r>
        <w:rPr>
          <w:sz w:val="16"/>
          <w:szCs w:val="16"/>
          <w:rtl/>
        </w:rPr>
        <w:t xml:space="preserve">(ס"ד ד"ה וסובר) </w:t>
      </w:r>
      <w:r>
        <w:rPr>
          <w:rtl/>
        </w:rPr>
        <w:t>שלפי דעתי גם בפסקיו הוא פוסק שהמלוה על המשכון ש"ש.</w:t>
      </w:r>
    </w:p>
  </w:footnote>
  <w:footnote w:id="6024">
    <w:p w14:paraId="067AB430" w14:textId="77777777" w:rsidR="0013116F" w:rsidRDefault="0013116F" w:rsidP="0004348D">
      <w:pPr>
        <w:pStyle w:val="a9"/>
        <w:rPr>
          <w:rtl/>
        </w:rPr>
      </w:pPr>
      <w:r>
        <w:rPr>
          <w:rStyle w:val="ab"/>
        </w:rPr>
        <w:footnoteRef/>
      </w:r>
      <w:r>
        <w:rPr>
          <w:rtl/>
        </w:rPr>
        <w:t xml:space="preserve"> ואע"פ שכבר בא וביקש משכונו והעיכוב היה מצד המלוה, מ"מ אין עליו דין שומר שכר כיון דלא היתה לו בו שום הנאה, א"כ שומר חנם הוא, סמ"ע (סקקכ"ד).</w:t>
      </w:r>
    </w:p>
  </w:footnote>
  <w:footnote w:id="6025">
    <w:p w14:paraId="2C5F5581" w14:textId="77777777" w:rsidR="0013116F" w:rsidRDefault="0013116F" w:rsidP="0004348D">
      <w:pPr>
        <w:pStyle w:val="a9"/>
      </w:pPr>
      <w:r>
        <w:rPr>
          <w:rStyle w:val="ab"/>
        </w:rPr>
        <w:footnoteRef/>
      </w:r>
      <w:r>
        <w:rPr>
          <w:rtl/>
        </w:rPr>
        <w:t xml:space="preserve"> והיינו דוקא בזה שקיבל כבר מעותיו, משא"כ אי לא קיבלו דהוה מפסיד דמי הלואתו, וכמ"ש בסעיף ב', סמ"ע </w:t>
      </w:r>
      <w:r>
        <w:rPr>
          <w:sz w:val="16"/>
          <w:szCs w:val="16"/>
          <w:rtl/>
        </w:rPr>
        <w:t>(סקקכ"ו)</w:t>
      </w:r>
      <w:r>
        <w:rPr>
          <w:rtl/>
        </w:rPr>
        <w:t xml:space="preserve">. ואין זה מוכרח... די"ל דכיון דהוי כאילו פירש כשיפסיד המשכון יפסיד מעותיו, הוה כאילו פירש שיתחייב בתשלומים, ואפילו קיבל כבר מעותיו יחזיר לו. ואפשר הרב בהג"ה אינו רוצה לומר אלא דלא מיחייב על המותר אלא בפשיעה, אבל מודה דצריך להחזיר הדמים, ש"ך (סקקס"ח). </w:t>
      </w:r>
    </w:p>
  </w:footnote>
  <w:footnote w:id="6026">
    <w:p w14:paraId="605FF4F4" w14:textId="77777777" w:rsidR="0013116F" w:rsidRDefault="0013116F" w:rsidP="0004348D">
      <w:pPr>
        <w:pStyle w:val="a9"/>
      </w:pPr>
      <w:r>
        <w:rPr>
          <w:rStyle w:val="ab"/>
        </w:rPr>
        <w:footnoteRef/>
      </w:r>
      <w:r>
        <w:rPr>
          <w:rtl/>
        </w:rPr>
        <w:t xml:space="preserve"> דיני משכון במהרי"ק שורש קצ"ג, ובתשובות הרא"ש כלל ק"ו כולו וכלל ק"ז סי' א-ג וכלל צ' סי' א-ב, ובהריב"ש סימן שצ"ג. דיני משכנתא דקרקע בתשובות הרא"ש כלל צ"א סימן א' וסימן ה', ובטור זה קי"ז (ס"ב) וביו"ד קע"ב... תשלום דיני משכון בסימן שאחר זה (ס"ז) ובסימן קל"ג (ס"ב - ח), ב"י.</w:t>
      </w:r>
    </w:p>
  </w:footnote>
  <w:footnote w:id="6027">
    <w:p w14:paraId="5C450C3B" w14:textId="77777777" w:rsidR="0013116F" w:rsidRDefault="0013116F" w:rsidP="0004348D">
      <w:pPr>
        <w:pStyle w:val="a9"/>
        <w:rPr>
          <w:rtl/>
        </w:rPr>
      </w:pPr>
      <w:r>
        <w:rPr>
          <w:rStyle w:val="ab"/>
        </w:rPr>
        <w:footnoteRef/>
      </w:r>
      <w:r>
        <w:rPr>
          <w:rtl/>
        </w:rPr>
        <w:t xml:space="preserve"> ועיין בתשובת הריב"ש (סי' שצו) שאכתוב בסימן ע"ג (מחו' כא), ב"י (בבדה"ב).</w:t>
      </w:r>
    </w:p>
  </w:footnote>
  <w:footnote w:id="6028">
    <w:p w14:paraId="5FF31A3C" w14:textId="77777777" w:rsidR="0013116F" w:rsidRDefault="0013116F" w:rsidP="0004348D">
      <w:pPr>
        <w:pStyle w:val="a9"/>
        <w:rPr>
          <w:rtl/>
        </w:rPr>
      </w:pPr>
      <w:r>
        <w:rPr>
          <w:rStyle w:val="ab"/>
        </w:rPr>
        <w:footnoteRef/>
      </w:r>
      <w:r>
        <w:rPr>
          <w:rtl/>
        </w:rPr>
        <w:t xml:space="preserve"> ולדידן נראה לי שאחר שלשים יום יכול למכרו אם לא קבע לו זמן דסתם הלואה שלשים יום, ב"י. וכתב עוד (בבדה"ב) לעיין בדברי הרא"ש שכתב רבינו בסימן זה.</w:t>
      </w:r>
    </w:p>
  </w:footnote>
  <w:footnote w:id="6029">
    <w:p w14:paraId="0C4251BB" w14:textId="77777777" w:rsidR="0013116F" w:rsidRDefault="0013116F" w:rsidP="0004348D">
      <w:pPr>
        <w:pStyle w:val="a9"/>
        <w:rPr>
          <w:rtl/>
        </w:rPr>
      </w:pPr>
      <w:r>
        <w:rPr>
          <w:rStyle w:val="ab"/>
        </w:rPr>
        <w:footnoteRef/>
      </w:r>
      <w:r>
        <w:rPr>
          <w:rtl/>
        </w:rPr>
        <w:t xml:space="preserve"> הוא הדין היכא דשוה שיעור מעותיו אינו יכול לומר שיקח המשכון בעד חובו, אלא צריך לשלם לו מעות ויקח המשכון, אע"פ שהלוה לו בלא שטר, וכמו שכתבתי לקמן סימן ע"ד סעיף ה' סקי"ט ע"ש, ש"ך (סקקע"ב).</w:t>
      </w:r>
    </w:p>
  </w:footnote>
  <w:footnote w:id="6030">
    <w:p w14:paraId="674635EB" w14:textId="77777777" w:rsidR="0013116F" w:rsidRDefault="0013116F" w:rsidP="0004348D">
      <w:pPr>
        <w:pStyle w:val="a9"/>
        <w:rPr>
          <w:rtl/>
        </w:rPr>
      </w:pPr>
      <w:r>
        <w:rPr>
          <w:rStyle w:val="ab"/>
        </w:rPr>
        <w:footnoteRef/>
      </w:r>
      <w:r>
        <w:rPr>
          <w:rtl/>
        </w:rPr>
        <w:t xml:space="preserve">  כ"כ הפוסקים על דברי שמואל [שבועות מג:] שהביא הטור בריש סימן זה [סע' ד], דקאמר הלוה לו על קתא דמגלא אלף זוז אבד הקתא אבדו מעותיו, דהיינו דוקא כשנאבדה, אבל כל זמן שהיא בעין יכול לכפות להלוה שיתן לו משכונו ויתן לו אלף זהובים... ועיין בר"ס ע"ג וסע' י"ב וי"ג, דשם כתוב דין משכון השוה כדי חובו אימת יכול לכופו לפדותו, סמ"ע (סקקכ"ח).</w:t>
      </w:r>
    </w:p>
  </w:footnote>
  <w:footnote w:id="6031">
    <w:p w14:paraId="0B8F610D" w14:textId="77777777" w:rsidR="0013116F" w:rsidRDefault="0013116F" w:rsidP="0004348D">
      <w:pPr>
        <w:pStyle w:val="a9"/>
        <w:rPr>
          <w:rtl/>
        </w:rPr>
      </w:pPr>
      <w:r>
        <w:rPr>
          <w:rStyle w:val="ab"/>
        </w:rPr>
        <w:footnoteRef/>
      </w:r>
      <w:r>
        <w:rPr>
          <w:rtl/>
        </w:rPr>
        <w:t xml:space="preserve"> </w:t>
      </w:r>
      <w:r>
        <w:rPr>
          <w:rFonts w:hint="cs"/>
          <w:rtl/>
        </w:rPr>
        <w:t>סימן – גבול גביה ג'.</w:t>
      </w:r>
    </w:p>
  </w:footnote>
  <w:footnote w:id="6032">
    <w:p w14:paraId="168AD9AF" w14:textId="77777777" w:rsidR="0013116F" w:rsidRDefault="0013116F" w:rsidP="0004348D">
      <w:pPr>
        <w:pStyle w:val="a9"/>
      </w:pPr>
      <w:r>
        <w:rPr>
          <w:rStyle w:val="ab"/>
        </w:rPr>
        <w:footnoteRef/>
      </w:r>
      <w:r>
        <w:rPr>
          <w:rtl/>
        </w:rPr>
        <w:t xml:space="preserve"> מ"ש רבינו בין במשכון וכו'. כ"כ הרמב"ם פי"ג ממלוה ולוה (ה"ה) וכתב הה"מ שכן כתבו המפרשים. וכ"כ המרדכי בפרק המקבל (ב"מ סי' תב) בשם ריב"א ורש"י (שבועות מג: ד"ה אבד אלפא) ולאפוקי מסברת רבינו קלונימוס שכתב המרדכי שם (סי' תא), ב"י.</w:t>
      </w:r>
    </w:p>
  </w:footnote>
  <w:footnote w:id="6033">
    <w:p w14:paraId="67CDDD9F" w14:textId="77777777" w:rsidR="0013116F" w:rsidRDefault="0013116F" w:rsidP="0004348D">
      <w:pPr>
        <w:pStyle w:val="a9"/>
        <w:rPr>
          <w:rtl/>
        </w:rPr>
      </w:pPr>
      <w:r>
        <w:rPr>
          <w:rStyle w:val="ab"/>
        </w:rPr>
        <w:footnoteRef/>
      </w:r>
      <w:r>
        <w:rPr>
          <w:rtl/>
        </w:rPr>
        <w:t xml:space="preserve"> ודחה הרא"ש (מכות פ"א סי' ד) ראיותיו ואדרבה הכריע דלא אמרינן סתם שאלה שלשים יום.</w:t>
      </w:r>
    </w:p>
  </w:footnote>
  <w:footnote w:id="6034">
    <w:p w14:paraId="5FBC0ECD" w14:textId="77777777" w:rsidR="0013116F" w:rsidRDefault="0013116F" w:rsidP="0004348D">
      <w:pPr>
        <w:pStyle w:val="a9"/>
        <w:rPr>
          <w:rtl/>
        </w:rPr>
      </w:pPr>
      <w:r>
        <w:rPr>
          <w:rStyle w:val="ab"/>
        </w:rPr>
        <w:footnoteRef/>
      </w:r>
      <w:r>
        <w:rPr>
          <w:rtl/>
        </w:rPr>
        <w:t xml:space="preserve"> אבל במקום שיש מנהג הולכין אחריו בין לפחות מל' יום בין להוסיף עליו, ולקמן סעיף י"ד יתבאר בדין מכירת המשכון, דעושין במשכון של ישראל כמו שהמנהג לעשות במשכונו של גוי שביד ישראל, ונראה דה"ה בדין זה, עכ"ל סמ"ע [סק"א]. ולקמן בסעיף י"ד [סקל"ט] חלקתי על הר"ב בדין מכירת המשכון, וא"כ כל שכן כאן דלא אזלינן בתר מנהג הגוים היכא דאין מנהג ידוע בין ישראל, אלא אמרינן סתם הלואה ל' יום, ש"ך (סק"א).</w:t>
      </w:r>
    </w:p>
  </w:footnote>
  <w:footnote w:id="6035">
    <w:p w14:paraId="4C90B9D8" w14:textId="77777777" w:rsidR="0013116F" w:rsidRDefault="0013116F" w:rsidP="0004348D">
      <w:pPr>
        <w:pStyle w:val="a9"/>
      </w:pPr>
      <w:r>
        <w:rPr>
          <w:rStyle w:val="ab"/>
        </w:rPr>
        <w:footnoteRef/>
      </w:r>
      <w:r>
        <w:rPr>
          <w:rtl/>
        </w:rPr>
        <w:t xml:space="preserve"> הטעם, דשאלה הדרא בעינה, משא"כ הלואה דלהוצאה ניתנה ומסתמא הלוה לו להוציאה, וצריך זמן לחזור ולהשתדל מעות שיפרע לו. ועיין לקמן ריש סימן שמ"א ובאו"ח סימן ש"ז [סעיף י"א], סמ"ע (סק"ה).</w:t>
      </w:r>
    </w:p>
  </w:footnote>
  <w:footnote w:id="6036">
    <w:p w14:paraId="67367878" w14:textId="77777777" w:rsidR="0013116F" w:rsidRDefault="0013116F" w:rsidP="0004348D">
      <w:pPr>
        <w:pStyle w:val="a9"/>
      </w:pPr>
      <w:r>
        <w:rPr>
          <w:rStyle w:val="ab"/>
        </w:rPr>
        <w:footnoteRef/>
      </w:r>
      <w:r>
        <w:rPr>
          <w:rtl/>
        </w:rPr>
        <w:t xml:space="preserve"> בסמ"ע [סק"ו] האריך, ודעתו דדוקא כמו שכתב בשאלות הרא"ש כשהקנה לו בקנין, דאז מסתמא לא הלוה לו רק שיכתוב שטר, והשיג על העיר שושן דמשמע מדבריו אפילו בלא קנין נמי דינא הכי. והגאון אמ"ו ז"ל כתב בגליון הסמ"ע שלו וז"ל- העיר שושן סובר בשאלת הרא"ש מעשה שהיה כך היה, אבל לפי תשובתו משמע אף בלא קנין, וגם לעיל בסימן ל"ט יש לומר כן. אח"כ בא בעל ב"ח [סע' ח] והסכים לדברי, עכ"ל. והשתא אתי דברי הר"ב כפשטן, שלא הזכיר קנין, ש"ך (סק"ד). וגם הט"ז הסכים לדעת הש"ך, החכ"צ (בהגהותיו) כתב דדברי הסמ"ע נכונים, ע"ש מילתא בטעמא, באה"ט (סק"ד).</w:t>
      </w:r>
    </w:p>
  </w:footnote>
  <w:footnote w:id="6037">
    <w:p w14:paraId="2FB88E1A" w14:textId="77777777" w:rsidR="0013116F" w:rsidRDefault="0013116F" w:rsidP="0004348D">
      <w:pPr>
        <w:pStyle w:val="a9"/>
      </w:pPr>
      <w:r>
        <w:rPr>
          <w:rStyle w:val="ab"/>
        </w:rPr>
        <w:footnoteRef/>
      </w:r>
      <w:r>
        <w:rPr>
          <w:rtl/>
        </w:rPr>
        <w:t xml:space="preserve"> דין זה לא מצאתי מבואר אבל דעת הרב שטענה זו כשאר הטענות, הה"מ.</w:t>
      </w:r>
    </w:p>
  </w:footnote>
  <w:footnote w:id="6038">
    <w:p w14:paraId="5630549C" w14:textId="77777777" w:rsidR="0013116F" w:rsidRDefault="0013116F" w:rsidP="0004348D">
      <w:pPr>
        <w:pStyle w:val="a9"/>
        <w:rPr>
          <w:rtl/>
        </w:rPr>
      </w:pPr>
      <w:r>
        <w:rPr>
          <w:rStyle w:val="ab"/>
        </w:rPr>
        <w:footnoteRef/>
      </w:r>
      <w:r>
        <w:rPr>
          <w:rtl/>
        </w:rPr>
        <w:t xml:space="preserve"> לכאורה נראה דמיירי דוקא בקבע לו זמן בשעת הלואה, דאילו אחר הלואה צריך קנין, כמו נאמנות או אל תפרעני אלא בעדים</w:t>
      </w:r>
      <w:r>
        <w:rPr>
          <w:sz w:val="16"/>
          <w:szCs w:val="16"/>
          <w:rtl/>
        </w:rPr>
        <w:t xml:space="preserve"> (וכמ"ש לעיל סי' ע' וע"א)</w:t>
      </w:r>
      <w:r>
        <w:rPr>
          <w:rtl/>
        </w:rPr>
        <w:t>. מיהו יש לחלק, דשאני התם דבא המלוה להוציא, משא"כ זה דהלוה בא להחזיק המעות בידו אותו זמן, דהוה ליה קצת כמחל לו המלוה לכל אותו זמן, וצ"ע, עכ"ל סמ"ע [סק"ז]. ולדידי פשיטא דהוה ליה כמחל לו המלוה, דמה שכתב דהוי כמו נאמנות או אמר לו אל תפרעני אלא בעדים כו'. ליתא, דבאמר לו אל תפרעני אלא בעדים גופיה קיי"ל דמהני אפילו לאחר ההלואה בלא קנין, וכמו שנתבאר לעיל סימן ע' סעיף ג', ע"ש. וגם בנאמנות העליתי לעיל סימן ע"א סק"ז דבנאמנות סתם אין צריך קנין אף לאחר ההלואה, ואם כן כל שכן הכא, ואפילו למאן דס"ל דבנאמנות סתם צריך קנין, שאני הכא דהוי מחילה מה שיש לו ביד הלוה, וקיי"ל מחילה אין צריך קנין וכדלקמן ר"ס רמ"א [סעיף ב']..., ש"ך (סק"ה).</w:t>
      </w:r>
    </w:p>
  </w:footnote>
  <w:footnote w:id="6039">
    <w:p w14:paraId="172AC45C" w14:textId="77777777" w:rsidR="0013116F" w:rsidRDefault="0013116F" w:rsidP="0004348D">
      <w:pPr>
        <w:pStyle w:val="a9"/>
        <w:rPr>
          <w:rtl/>
        </w:rPr>
      </w:pPr>
      <w:r>
        <w:rPr>
          <w:rStyle w:val="ab"/>
        </w:rPr>
        <w:footnoteRef/>
      </w:r>
      <w:r>
        <w:rPr>
          <w:rtl/>
        </w:rPr>
        <w:t xml:space="preserve"> זה אינו ברמב"ם ובטור ולא בשום פוסק, ולא הזכיר כלום בב"י מזה, ולא ידעתי מנא ליה להמחבר הא. ומן הסברא נראה דאע"פ שאין היורשים אמודים בנכסים כמוהו אינו יכול לתבעם קודם הזמן, והיינו שכתבו הרמב"ם והטור סתמא, בין שמת מלוה בין שמת לוה, ולא חילקו בכך. ואף לדברי המחבר נראה דאם היורשים רוצים לעשות בטחון על החוב או ליתן ערב מספיק, אינם מחויבים לשלם קודם הזמן, ולא בא אלא לאפוקי שאם אינם אמודים כמוהו יכול לעכב ממונם דומיא דלקמן סעיף י'. ואף בזה דברי המחבר צ"ע, דיש לומר דלא דמי לדלקמן סעיף י' שרואה הדיין שלא יוכל לגבות חובו, משא"כ הכא, ש"ך (סק"ו).</w:t>
      </w:r>
    </w:p>
  </w:footnote>
  <w:footnote w:id="6040">
    <w:p w14:paraId="5EBBAF2C" w14:textId="77777777" w:rsidR="0013116F" w:rsidRDefault="0013116F" w:rsidP="0004348D">
      <w:pPr>
        <w:pStyle w:val="a9"/>
        <w:rPr>
          <w:rtl/>
        </w:rPr>
      </w:pPr>
      <w:r>
        <w:rPr>
          <w:rStyle w:val="ab"/>
        </w:rPr>
        <w:footnoteRef/>
      </w:r>
      <w:r>
        <w:rPr>
          <w:rtl/>
        </w:rPr>
        <w:t xml:space="preserve"> דלא חילקו בשבועה בין כפירת זמן לכפירת גוף הממון, סמ"ע (סק"י). ואם טוענו היום סוף הזמן שאתה חייב לי ק', והלה משיב איני חייב לך רק נ' לשלם אחר י' ימים, נשבע מיד היסת, ואחר י' ימים נשבע שבועה דאורייתא, וכן ראיתי מורין, ש"ך (סק"ז).</w:t>
      </w:r>
    </w:p>
  </w:footnote>
  <w:footnote w:id="6041">
    <w:p w14:paraId="613C1C33" w14:textId="77777777" w:rsidR="0013116F" w:rsidRDefault="0013116F" w:rsidP="0004348D">
      <w:pPr>
        <w:pStyle w:val="a9"/>
      </w:pPr>
      <w:r>
        <w:rPr>
          <w:rStyle w:val="ab"/>
        </w:rPr>
        <w:footnoteRef/>
      </w:r>
      <w:r>
        <w:rPr>
          <w:rtl/>
        </w:rPr>
        <w:t xml:space="preserve"> נראה לי הטעם שכיון שעדיין לא הגיע זמנו אפילו לדברי המלוה לא ישבע עכשיו, ב"י.</w:t>
      </w:r>
    </w:p>
  </w:footnote>
  <w:footnote w:id="6042">
    <w:p w14:paraId="5A12BBF9" w14:textId="77777777" w:rsidR="0013116F" w:rsidRDefault="0013116F" w:rsidP="0004348D">
      <w:pPr>
        <w:pStyle w:val="a9"/>
        <w:rPr>
          <w:rtl/>
        </w:rPr>
      </w:pPr>
      <w:r>
        <w:rPr>
          <w:rStyle w:val="ab"/>
        </w:rPr>
        <w:footnoteRef/>
      </w:r>
      <w:r>
        <w:rPr>
          <w:rtl/>
        </w:rPr>
        <w:t xml:space="preserve"> מ"ש 'או על המשכון' אינו בנוסחת הרמב"ם שבידינו, ומכל מקום הדין דין אמת, ב"י (בבדה"ב).</w:t>
      </w:r>
    </w:p>
  </w:footnote>
  <w:footnote w:id="6043">
    <w:p w14:paraId="1BC22B6E" w14:textId="77777777" w:rsidR="0013116F" w:rsidRDefault="0013116F" w:rsidP="0004348D">
      <w:pPr>
        <w:pStyle w:val="a9"/>
      </w:pPr>
      <w:r>
        <w:rPr>
          <w:rStyle w:val="ab"/>
        </w:rPr>
        <w:footnoteRef/>
      </w:r>
      <w:r>
        <w:rPr>
          <w:rtl/>
        </w:rPr>
        <w:t xml:space="preserve"> בנוסחת ספרי הרמב"ם שבידינו - 'ישבע </w:t>
      </w:r>
      <w:r>
        <w:rPr>
          <w:sz w:val="16"/>
          <w:szCs w:val="16"/>
          <w:rtl/>
        </w:rPr>
        <w:t xml:space="preserve">{בעל החוב} </w:t>
      </w:r>
      <w:r>
        <w:rPr>
          <w:rtl/>
        </w:rPr>
        <w:t>היסת', ונראה לי דט"ס הוא, דמה ענין היסת לכאן, דאין היסת אלא בנשבע לפטור עצמו, והכא במלוה על המשכון הוא נשבע כעין שבועה דאו', ובמלוה בשטר אם נדמהו לאומר פרעתיך היה לנו לומר פרע מיד, ואם יאמר השבע לי שלא קבעת לי זמן אז ישבע לו. ואפשר לקיים הנוסחא שבידינו ולומר דלא דמי לאומר פרעתיך כיון שהוא מודה שחייב לו הרי הוא כאלו תובע הלוה למלוה חייב אתה להמתין לי כך וכך ימים ולפיכך חייב המלוה לישבע היסת, ב"י</w:t>
      </w:r>
      <w:r>
        <w:rPr>
          <w:sz w:val="14"/>
          <w:szCs w:val="14"/>
          <w:rtl/>
        </w:rPr>
        <w:t xml:space="preserve"> (בבדה"ב)</w:t>
      </w:r>
      <w:r>
        <w:rPr>
          <w:rtl/>
        </w:rPr>
        <w:t>.</w:t>
      </w:r>
    </w:p>
  </w:footnote>
  <w:footnote w:id="6044">
    <w:p w14:paraId="0308EAFD" w14:textId="77777777" w:rsidR="0013116F" w:rsidRDefault="0013116F" w:rsidP="0004348D">
      <w:pPr>
        <w:pStyle w:val="a9"/>
      </w:pPr>
      <w:r>
        <w:rPr>
          <w:rStyle w:val="ab"/>
        </w:rPr>
        <w:footnoteRef/>
      </w:r>
      <w:r>
        <w:rPr>
          <w:rtl/>
        </w:rPr>
        <w:t xml:space="preserve"> זהו על פי מה שכתב בבדה"ב </w:t>
      </w:r>
      <w:r>
        <w:rPr>
          <w:sz w:val="16"/>
          <w:szCs w:val="16"/>
          <w:rtl/>
        </w:rPr>
        <w:t xml:space="preserve">[סע' ז] </w:t>
      </w:r>
      <w:r>
        <w:rPr>
          <w:rtl/>
        </w:rPr>
        <w:t xml:space="preserve">ובכס"מ </w:t>
      </w:r>
      <w:r>
        <w:rPr>
          <w:sz w:val="16"/>
          <w:szCs w:val="16"/>
          <w:rtl/>
        </w:rPr>
        <w:t xml:space="preserve">[פי"ג ממלוה ה"ז] </w:t>
      </w:r>
      <w:r>
        <w:rPr>
          <w:rtl/>
        </w:rPr>
        <w:t xml:space="preserve">ליישב דברי הרמב"ם </w:t>
      </w:r>
      <w:r>
        <w:rPr>
          <w:sz w:val="16"/>
          <w:szCs w:val="16"/>
          <w:rtl/>
        </w:rPr>
        <w:t xml:space="preserve">[שם] </w:t>
      </w:r>
      <w:r>
        <w:rPr>
          <w:rtl/>
        </w:rPr>
        <w:t xml:space="preserve">שכתב נשבע היסת, כיון דאינן מחולקים בסך הלואה, ומש"כ הטור </w:t>
      </w:r>
      <w:r>
        <w:rPr>
          <w:sz w:val="16"/>
          <w:szCs w:val="16"/>
          <w:rtl/>
        </w:rPr>
        <w:t xml:space="preserve">[סע' ז] </w:t>
      </w:r>
      <w:r>
        <w:rPr>
          <w:rtl/>
        </w:rPr>
        <w:t xml:space="preserve">סתם 'ישבע בעל החוב' היינו ג"כ היסת, ולדבריו נמשכו הסמ"ע </w:t>
      </w:r>
      <w:r>
        <w:rPr>
          <w:sz w:val="16"/>
          <w:szCs w:val="16"/>
          <w:rtl/>
        </w:rPr>
        <w:t xml:space="preserve">[סקי"א] </w:t>
      </w:r>
      <w:r>
        <w:rPr>
          <w:rtl/>
        </w:rPr>
        <w:t xml:space="preserve">והב"ח </w:t>
      </w:r>
      <w:r>
        <w:rPr>
          <w:sz w:val="16"/>
          <w:szCs w:val="16"/>
          <w:rtl/>
        </w:rPr>
        <w:t>[שם]</w:t>
      </w:r>
      <w:r>
        <w:rPr>
          <w:rtl/>
        </w:rPr>
        <w:t xml:space="preserve">. אבל לפי עניות דעתי זה דוחק </w:t>
      </w:r>
      <w:r>
        <w:rPr>
          <w:sz w:val="16"/>
          <w:szCs w:val="16"/>
          <w:rtl/>
        </w:rPr>
        <w:t xml:space="preserve">(דמה בכך שמחולקים בסך ההלואה או בזמן הפרעון, כיון דטעמא דמלוה על המשכון בעי אשתבועי בנקיטת חפץ משום דאינו טוען על גופו של משכון או משום דלא אמרינן מיגו לאפטורי משבועה </w:t>
      </w:r>
      <w:r>
        <w:rPr>
          <w:sz w:val="14"/>
          <w:szCs w:val="14"/>
          <w:rtl/>
        </w:rPr>
        <w:t>(וכמו שנתבאר לעיל סי' עב סע' יז [ס"ק ס"ח-ס"ט])</w:t>
      </w:r>
      <w:r>
        <w:rPr>
          <w:sz w:val="16"/>
          <w:szCs w:val="16"/>
          <w:rtl/>
        </w:rPr>
        <w:t>, א"כ ה"ה הכא, דהנך טעמי שייכי נמי הכא. אלא נראה לפי עניות דעתי דהטור בכיון כתב ישבע בעל החוב כו', ור"ל- כשאר בעל חוב, והרמב"ם [וכן הבעל התרומות (ריש שער טז ח"א ס"ו)] בכיון כתב ישבע היסת, ושניהם לדבר אחד נתכונו...)</w:t>
      </w:r>
      <w:r>
        <w:rPr>
          <w:rtl/>
        </w:rPr>
        <w:t xml:space="preserve"> ונראה שהרמב"ם כתב דינו דוקא במלוה בשטר </w:t>
      </w:r>
      <w:r>
        <w:rPr>
          <w:sz w:val="16"/>
          <w:szCs w:val="16"/>
          <w:rtl/>
        </w:rPr>
        <w:t xml:space="preserve">(ולא כמו שכתב בבדה"ב [שם] ובכס"מ [שם] דכונת הרמב"ם שם דה"ה במלוה על המשכון, והטעם כמו שכתב הרמב"ם מיד בפרק שאח"ז </w:t>
      </w:r>
      <w:r>
        <w:rPr>
          <w:sz w:val="14"/>
          <w:szCs w:val="14"/>
          <w:rtl/>
        </w:rPr>
        <w:t>(ריש פי"ד מהל' מלוה [ה"ג] והטור והמחבר לקמן סי' פב סע' י)</w:t>
      </w:r>
      <w:r>
        <w:rPr>
          <w:sz w:val="16"/>
          <w:szCs w:val="16"/>
          <w:rtl/>
        </w:rPr>
        <w:t>, דדוקא כשטוען פרעתי נשבע המלוה, משום ששטר לפרעון הוא עומד, אבל שאר טענות כגון אמנה או ריבית או כה"ג שאין השטר עומד לכך, אין המלוה צריך לישבע בנקיטת חפץ אף שאומר הלוה ישבע לי, אלא ישלם לו וישבע היסת)</w:t>
      </w:r>
      <w:r>
        <w:rPr>
          <w:rtl/>
        </w:rPr>
        <w:t xml:space="preserve"> והטור שרצה להכניס בדברי הרמב"ם גם דין המלוה על המשכון, השמיט תיבת היסת וכתב סתם ישבע, וממילא נשמע דכל חד וחד לפי דינו, דבמלוה על המשכון כיון דאינו טוען על גופו של משכון, צריך לישבע בנקיטת חפץ, ובמלוה בשטר כיון שאינו טוען טענה שהשטר עומד לכך, אינו נשבע אלא היסת, ש"ך (סק"י).</w:t>
      </w:r>
    </w:p>
  </w:footnote>
  <w:footnote w:id="6045">
    <w:p w14:paraId="082B9F17" w14:textId="77777777" w:rsidR="0013116F" w:rsidRDefault="0013116F" w:rsidP="0004348D">
      <w:pPr>
        <w:pStyle w:val="a9"/>
      </w:pPr>
      <w:r>
        <w:rPr>
          <w:rStyle w:val="ab"/>
        </w:rPr>
        <w:footnoteRef/>
      </w:r>
      <w:r>
        <w:rPr>
          <w:rtl/>
        </w:rPr>
        <w:t xml:space="preserve"> ואף אם לא הגיע זמן הפרעון בשעת השבועה מכל מקום לא חלה עליו השבועה </w:t>
      </w:r>
      <w:r>
        <w:rPr>
          <w:sz w:val="16"/>
          <w:szCs w:val="16"/>
          <w:rtl/>
        </w:rPr>
        <w:t xml:space="preserve">(דלא דמי למצה וסוכה, דלא חל עליו חיוב מצה וסוכה כלל באמצע שנה, ואף אם עושה מצה וסוכה באמצע השנה לא יצא בזה ידי חובתו שיפטר כשיגיע זמן מצה וסוכה </w:t>
      </w:r>
      <w:r>
        <w:rPr>
          <w:sz w:val="14"/>
          <w:szCs w:val="14"/>
          <w:rtl/>
        </w:rPr>
        <w:t>(ולכן אם נשבע לא לישב בסוכה וכו' שבועתו חלה, כדאיתא בירושלמי [שבועות פ"ג ה"ד] ופוסקים ביו"ד סי' רלו סע' ה)</w:t>
      </w:r>
      <w:r>
        <w:rPr>
          <w:sz w:val="16"/>
          <w:szCs w:val="16"/>
          <w:rtl/>
        </w:rPr>
        <w:t>, משא"כ הכא דנהי דזמן הפרעון לא הגיע עדיין, מ"מ הוא חייב לו כבר, ושעבודא אית ליה משעת הלואה, ואי הוה פרע ליה קודם זמנו הוה מיפטר מיניה, הלכך חל עליו החיוב מעיקרא ולא חלה השבועה)</w:t>
      </w:r>
      <w:r>
        <w:rPr>
          <w:rtl/>
        </w:rPr>
        <w:t>, וכן נראה עיקר, ש"ך (סקי"א).</w:t>
      </w:r>
    </w:p>
  </w:footnote>
  <w:footnote w:id="6046">
    <w:p w14:paraId="0C82EB29" w14:textId="77777777" w:rsidR="0013116F" w:rsidRDefault="0013116F" w:rsidP="0004348D">
      <w:pPr>
        <w:pStyle w:val="a9"/>
      </w:pPr>
      <w:r>
        <w:rPr>
          <w:rStyle w:val="ab"/>
        </w:rPr>
        <w:footnoteRef/>
      </w:r>
      <w:r>
        <w:rPr>
          <w:rtl/>
        </w:rPr>
        <w:t xml:space="preserve"> ואין להקשות, יקיים השבועה שלא ימכור אלא יתן לו את כל אשר לו בחובו. דזהו ג"כ נקראת מכירה כשישומם ויתנם לו, דמה לי מכרם לאחרים או לו, סמ"ע (סקי"ג).</w:t>
      </w:r>
    </w:p>
  </w:footnote>
  <w:footnote w:id="6047">
    <w:p w14:paraId="1584380A" w14:textId="77777777" w:rsidR="0013116F" w:rsidRDefault="0013116F" w:rsidP="0004348D">
      <w:pPr>
        <w:pStyle w:val="a9"/>
        <w:rPr>
          <w:rtl/>
        </w:rPr>
      </w:pPr>
      <w:r>
        <w:rPr>
          <w:rStyle w:val="ab"/>
        </w:rPr>
        <w:footnoteRef/>
      </w:r>
      <w:r>
        <w:rPr>
          <w:rtl/>
        </w:rPr>
        <w:t xml:space="preserve"> ואף אם ימכור משלו לקיים שבועה השניה, מ"מ לשוא היתה בשעה שנשבע לפרוע, כיון שכבר נשבע שלא למכור, ודינו להלקותו עליה כמ"ש ביו"ד סימן רל"ח [סעיף ט"ז], אם לא שיתחרט על שבועה ראשונה וימצא פתח שיתירוהו לו הראשונה ויעקרוה מעיקרא כאילו לא נשבע מעולם, דשוב אין מלקין אותו על השניה, דאיגלאי מילתא למפרע דלא היתה לשוא, ומשום הכי כתבו הטור והמחבר שאם מתוך אימת המלקות יתחרט ויתיר לשבועה הראשונה אע"ג דנלקה על השניה, משום דבהתרת השניה לא ינצל מהמלקות... והכי הוא הצעת דברי המחבר, דאם השבועה קדמה לחוב שמעון, אז אין תקנה לשמעון לגבות חובו עד שיתירוהו להלוה שבועה הראשונה, ועצתו הוא שילך המלוה לב"ד ויבקש מהן שילקוהו על שנשבע שבועה שניה לשוא, ומתוך המלקות יתחרט להתיר לו הראשונה, סמ"ע (סקט"ז). והב"ח (סע' ט) חולק על זה ודעתו דמ"מ מלקין אותו על השניה אף אם מצא פתח לראשונה. והש"ך (סקי"ד) השיג עליו והסכים לדעת הסמ"ע.</w:t>
      </w:r>
    </w:p>
  </w:footnote>
  <w:footnote w:id="6048">
    <w:p w14:paraId="0C668C0A" w14:textId="77777777" w:rsidR="0013116F" w:rsidRDefault="0013116F" w:rsidP="0004348D">
      <w:pPr>
        <w:pStyle w:val="a9"/>
      </w:pPr>
      <w:r>
        <w:rPr>
          <w:rStyle w:val="ab"/>
        </w:rPr>
        <w:footnoteRef/>
      </w:r>
      <w:r>
        <w:rPr>
          <w:rtl/>
        </w:rPr>
        <w:t xml:space="preserve"> דכיון דהיתה בלא התראה אין לוקין עליה מלקות דאורייתא, עכ"ל סמ"ע [סקי"ז]. ולחנם כתב כיון דהיתה בלא התראה, דבלאו הכי כל מלקות דהאידנא אינו אלא מכות מרדות, וכמו שכתב הרמב"ם ריש פרק ט"ז מהל' סנהדרין [ה"ג] דכל מלקיות דמלקין דייני חוץ לארץ בכל מקום אינה אלא מכת מרדות, עכ"ל. ואפילו בארץ ישראל נמי, דוקא כשיש סמיכה, וכמו שכתב הרמב"ם פרק ה' מהל' סנהדרין [ה"ד, ז'], והאידנא אין סמיכה, וכמו שמבואר מדברי הרמב"ם פרק ד' מהל' סנהדרין [הי"א], ש"ך (סקט"ז).</w:t>
      </w:r>
    </w:p>
  </w:footnote>
  <w:footnote w:id="6049">
    <w:p w14:paraId="55171540" w14:textId="77777777" w:rsidR="0013116F" w:rsidRDefault="0013116F" w:rsidP="0004348D">
      <w:pPr>
        <w:pStyle w:val="a9"/>
        <w:rPr>
          <w:rtl/>
        </w:rPr>
      </w:pPr>
      <w:r>
        <w:rPr>
          <w:rStyle w:val="ab"/>
        </w:rPr>
        <w:footnoteRef/>
      </w:r>
      <w:r>
        <w:rPr>
          <w:rtl/>
        </w:rPr>
        <w:t xml:space="preserve"> כ' הב"ח </w:t>
      </w:r>
      <w:r>
        <w:rPr>
          <w:sz w:val="16"/>
          <w:szCs w:val="16"/>
          <w:rtl/>
        </w:rPr>
        <w:t>[סע' י]</w:t>
      </w:r>
      <w:r>
        <w:rPr>
          <w:rtl/>
        </w:rPr>
        <w:t>, מיהו נראה ודאי שהב"ד יש להם רשות לירד לנכסיו ולהגבות מהם לבע"ח, וא"צ שימכור הוא עצמו, ש"ך</w:t>
      </w:r>
      <w:r>
        <w:rPr>
          <w:sz w:val="16"/>
          <w:szCs w:val="16"/>
          <w:rtl/>
        </w:rPr>
        <w:t xml:space="preserve"> (סקט"ו)</w:t>
      </w:r>
      <w:r>
        <w:rPr>
          <w:rtl/>
        </w:rPr>
        <w:t>.</w:t>
      </w:r>
    </w:p>
  </w:footnote>
  <w:footnote w:id="6050">
    <w:p w14:paraId="71972C3C" w14:textId="77777777" w:rsidR="0013116F" w:rsidRDefault="0013116F" w:rsidP="0004348D">
      <w:pPr>
        <w:pStyle w:val="a9"/>
      </w:pPr>
      <w:r>
        <w:rPr>
          <w:rStyle w:val="ab"/>
        </w:rPr>
        <w:footnoteRef/>
      </w:r>
      <w:r>
        <w:rPr>
          <w:rtl/>
        </w:rPr>
        <w:t xml:space="preserve"> (ג) עיין ביורה דעה סימן רל"ב (אות ז*) שהארכתי בדין זה וכתבתי שיש חולקים על הרא"ש וסבירא להו דאם עבר הזמן השבועה בטילה ועיי"ש הרבה חילוקים בזה ואימת מקרי אונס שנפטר משום זה מן השבועה. ועיי"ש גם כן מי שנשבע לשלם לחבירו לזמן ובהגיע הזמן אין המלוה בעיר נפטר משבועה ואין חייב ליתנו ליד אשתו או בניו או לבית דין דכל זה לא מקרי פרעון ושם כתבתי דאסור להוציא המעות אלא יהיו מזומנים בידו שמיד שיבא המלוה יקיים שבועתו:</w:t>
      </w:r>
    </w:p>
  </w:footnote>
  <w:footnote w:id="6051">
    <w:p w14:paraId="4F8900E4" w14:textId="77777777" w:rsidR="0013116F" w:rsidRDefault="0013116F" w:rsidP="0004348D">
      <w:pPr>
        <w:pStyle w:val="a9"/>
      </w:pPr>
      <w:r>
        <w:rPr>
          <w:rStyle w:val="ab"/>
        </w:rPr>
        <w:footnoteRef/>
      </w:r>
      <w:r>
        <w:rPr>
          <w:rtl/>
        </w:rPr>
        <w:t xml:space="preserve"> ונלמד מדבריו, דאף שנשבע לפרוע לו לזמן פלוני סתם, אין חומר השבועה מחייבו לשלם מעצמו עד שיתבענו המלוה, סמ"ע (סקי"ט). וכ"כ הב"ח (סע' י) והש"ך (סקי"ט). אך הט"ז השיג על דברי הסמ"ע.</w:t>
      </w:r>
    </w:p>
  </w:footnote>
  <w:footnote w:id="6052">
    <w:p w14:paraId="55F417D9" w14:textId="77777777" w:rsidR="0013116F" w:rsidRDefault="0013116F" w:rsidP="0004348D">
      <w:pPr>
        <w:pStyle w:val="a9"/>
        <w:rPr>
          <w:rtl/>
        </w:rPr>
      </w:pPr>
      <w:r>
        <w:rPr>
          <w:rStyle w:val="ab"/>
        </w:rPr>
        <w:footnoteRef/>
      </w:r>
      <w:r>
        <w:rPr>
          <w:rtl/>
        </w:rPr>
        <w:t xml:space="preserve"> ועיין בהריב"ש סימן תנ"ח וכתבתי דבריו בטור יו"ד סימן רכ"ח (קמח.), וגם שם כתבתי תשובות הרשב"א בדינים אלו. ועיין בתשובת הריב"ש (סי' שדמ) שכתבתי בטור זה סוף סימן ע"ה (מחו' לה - לז), ב"י.</w:t>
      </w:r>
    </w:p>
  </w:footnote>
  <w:footnote w:id="6053">
    <w:p w14:paraId="1043C4B0" w14:textId="77777777" w:rsidR="0013116F" w:rsidRDefault="0013116F" w:rsidP="0004348D">
      <w:pPr>
        <w:pStyle w:val="a9"/>
        <w:rPr>
          <w:sz w:val="16"/>
          <w:szCs w:val="16"/>
          <w:rtl/>
        </w:rPr>
      </w:pPr>
      <w:r>
        <w:rPr>
          <w:rStyle w:val="ab"/>
        </w:rPr>
        <w:footnoteRef/>
      </w:r>
      <w:r>
        <w:rPr>
          <w:rtl/>
        </w:rPr>
        <w:t xml:space="preserve"> וז"ל הרשב"א שם- אף אם יתן משכון אינו יוצא ידי שבועתו משום דמשכון אינו לפרעון אלא להבטחה בעלמא, אבל לפרעון הוא צריך שומא ושיתננו בתורת שומא. עכ"ל. וכתב הב"י דאפשר לומר שאף הרא"ש לא אמר שיוצא ידי שבועתו בנתינת המשכון אלא כששמו אותה ונתנה לו בתורת שומא, ולפיכך הוצרך לבקש היתר בדבר משום דחפצי שמים הוא, וסיים בתשובתו- ולא גרע ממה שמשדכין וללמד אומנות לתינוק (שבת קנ.) והוא כעובדין דחול. ולהא דמיא, דאלו אינו נותנה לו בתורת פרעון משנה שלמה היא פרק שואל (שם קמח.) ואם אינו מאמינו מניח טליתו אצלו, אלא ודאי ליפטר משבועתו צריך שישומו המשכון ויתננה לו בתורת פרעון, ובהא אפילו הרשב"א מודה כנראה מלשון התשובה. אבל בעל מישרים (נ"ו ח"א כב ע"ג) כתב שאפילו נשבע לפרעו במעות ולא במשכון יתן לו משכון של כסף ולא יעבור על שבועתו דשוה כסף ככסף.</w:t>
      </w:r>
      <w:r>
        <w:rPr>
          <w:sz w:val="16"/>
          <w:szCs w:val="16"/>
          <w:rtl/>
        </w:rPr>
        <w:t xml:space="preserve"> (עכ"ל הב"י)</w:t>
      </w:r>
    </w:p>
  </w:footnote>
  <w:footnote w:id="6054">
    <w:p w14:paraId="12DD5A26" w14:textId="77777777" w:rsidR="0013116F" w:rsidRDefault="0013116F" w:rsidP="0004348D">
      <w:pPr>
        <w:pStyle w:val="a9"/>
        <w:rPr>
          <w:rtl/>
        </w:rPr>
      </w:pPr>
      <w:r>
        <w:rPr>
          <w:rStyle w:val="ab"/>
        </w:rPr>
        <w:footnoteRef/>
      </w:r>
      <w:r>
        <w:rPr>
          <w:rtl/>
        </w:rPr>
        <w:t xml:space="preserve"> ועיין בתשובת בר ששת סימן תנ"ח, דרכ"מ (אות ד*).</w:t>
      </w:r>
    </w:p>
  </w:footnote>
  <w:footnote w:id="6055">
    <w:p w14:paraId="50D81ED9" w14:textId="77777777" w:rsidR="0013116F" w:rsidRDefault="0013116F" w:rsidP="0004348D">
      <w:pPr>
        <w:pStyle w:val="a9"/>
      </w:pPr>
      <w:r>
        <w:rPr>
          <w:rStyle w:val="ab"/>
        </w:rPr>
        <w:footnoteRef/>
      </w:r>
      <w:r>
        <w:rPr>
          <w:rtl/>
        </w:rPr>
        <w:t xml:space="preserve"> </w:t>
      </w:r>
      <w:r>
        <w:rPr>
          <w:rFonts w:hint="cs"/>
          <w:rtl/>
        </w:rPr>
        <w:t xml:space="preserve">וכתב שיקנה לו בגוף החפץ כך וכך מעות... </w:t>
      </w:r>
      <w:r>
        <w:rPr>
          <w:rtl/>
        </w:rPr>
        <w:t>הלכך אסור לשומו בשבת כיון דאין בו צורך חפצי שמים. וכן נראה דעת הש"ך</w:t>
      </w:r>
      <w:r>
        <w:rPr>
          <w:sz w:val="16"/>
          <w:szCs w:val="16"/>
          <w:rtl/>
        </w:rPr>
        <w:t xml:space="preserve"> (סקכ"א) </w:t>
      </w:r>
      <w:r>
        <w:rPr>
          <w:rtl/>
        </w:rPr>
        <w:t xml:space="preserve">שהביא את דברי הש"ך ללא חולק, וכתב עוד הש"ך דאפשר שגם הרא"ש </w:t>
      </w:r>
      <w:r>
        <w:rPr>
          <w:sz w:val="16"/>
          <w:szCs w:val="16"/>
          <w:rtl/>
        </w:rPr>
        <w:t>(כלל ח סי' טז, וכלל מג סי' יג)</w:t>
      </w:r>
      <w:r>
        <w:rPr>
          <w:rtl/>
        </w:rPr>
        <w:t xml:space="preserve"> מודה במשכון של כסף דהוי כמעות.</w:t>
      </w:r>
    </w:p>
  </w:footnote>
  <w:footnote w:id="6056">
    <w:p w14:paraId="0E2449C5" w14:textId="77777777" w:rsidR="0013116F" w:rsidRDefault="0013116F" w:rsidP="0004348D">
      <w:pPr>
        <w:pStyle w:val="a9"/>
      </w:pPr>
      <w:r>
        <w:rPr>
          <w:rStyle w:val="ab"/>
        </w:rPr>
        <w:footnoteRef/>
      </w:r>
      <w:r>
        <w:rPr>
          <w:rtl/>
        </w:rPr>
        <w:t xml:space="preserve"> ועיין בסימן נ"ד (סי"א - יב) ובסימן ר"ז (סכ"ג), ב"י.</w:t>
      </w:r>
    </w:p>
  </w:footnote>
  <w:footnote w:id="6057">
    <w:p w14:paraId="212EC35D" w14:textId="77777777" w:rsidR="0013116F" w:rsidRDefault="0013116F" w:rsidP="0004348D">
      <w:pPr>
        <w:pStyle w:val="a9"/>
        <w:rPr>
          <w:rtl/>
        </w:rPr>
      </w:pPr>
      <w:r>
        <w:rPr>
          <w:rStyle w:val="ab"/>
        </w:rPr>
        <w:footnoteRef/>
      </w:r>
      <w:r>
        <w:rPr>
          <w:rtl/>
        </w:rPr>
        <w:t xml:space="preserve"> </w:t>
      </w:r>
      <w:r>
        <w:rPr>
          <w:rFonts w:hint="cs"/>
          <w:rtl/>
        </w:rPr>
        <w:t xml:space="preserve">ונראה </w:t>
      </w:r>
      <w:r>
        <w:rPr>
          <w:sz w:val="16"/>
          <w:szCs w:val="16"/>
          <w:rtl/>
        </w:rPr>
        <w:t>(ממה שדימה הרא"ש בתשו' שומא זו להא שמשדכין התינוק ושמשכירים אותו אפילו ללמדו אומנות)</w:t>
      </w:r>
      <w:r>
        <w:rPr>
          <w:rtl/>
        </w:rPr>
        <w:t xml:space="preserve"> - שהתיר אפילו לאחרים שיעסקו בשומא זו כדי שיקיים זה מצותו, דומיא דשידוך תינוק, דהתם שידוך הוא ע"י אחרים. וגם נראה דאם נותן לו דבר שצריך מדידה, ג"כ מותר למודדו בשבת, דומיא דמדידת האזור לרפואה ומדידת מקוה שהתירו בשבת משום דחפצי שמים נינהו, וכמו שכתוב בטור או"ח סוף סימן ש"ו, סמ"ע (סק"כ). אך הש"ך (סקכ"ב) חלק עליו </w:t>
      </w:r>
      <w:r>
        <w:rPr>
          <w:sz w:val="16"/>
          <w:szCs w:val="16"/>
          <w:rtl/>
        </w:rPr>
        <w:t>(וכתב דלא דמי לשידוך, דהתם עושה מצוה בעצמו במה שמשדך, משא"כ הכא דמונע מחבירו עבירה, דהוי כמו הדביק פת בתנור דפרק קמא דשבת [ד' ע"א] דאין אומרים לאדם חטא כדי שיזכה חבירו, ועיין בתוס' שם [ד"ה וכי] ובתשובת רשב"א [ח"ז סי' רס"ז] שהביא ב"י באורח חיים סוף סימן ש"ו [ד"ה כתב המרדכי]. גם מה שהתיר למדוד דומיא דמדידת האזור ומקוה. נלפע"ד דלא דמי, דהתם גבי אזור הא קמפרש טעמא בטור משום דמתעסק הוא אצל המדידה, ועיקר כונתו הוא משום רפואה. ועוד, דכל צרכי חולה מותרים בשבת על ידי ישראל אחרים, דאין לך דבר שעומד בפני פיקוח נפש. ולמקוה נמי לא דמי, דהתם צרכי רבים הוא, ושמא יצטרך טבילה לזה המודד עצמו, משא"כ הכא)</w:t>
      </w:r>
      <w:r>
        <w:rPr>
          <w:rtl/>
        </w:rPr>
        <w:t>.</w:t>
      </w:r>
    </w:p>
  </w:footnote>
  <w:footnote w:id="6058">
    <w:p w14:paraId="1A09947D" w14:textId="77777777" w:rsidR="0013116F" w:rsidRDefault="0013116F" w:rsidP="0004348D">
      <w:pPr>
        <w:pStyle w:val="a9"/>
        <w:rPr>
          <w:rtl/>
        </w:rPr>
      </w:pPr>
      <w:r>
        <w:rPr>
          <w:rStyle w:val="ab"/>
        </w:rPr>
        <w:footnoteRef/>
      </w:r>
      <w:r>
        <w:rPr>
          <w:rtl/>
        </w:rPr>
        <w:t xml:space="preserve"> ולא דמי למה שכתב מור"ם בסעיף שאחרי זה דמי שנשבע לשלם לחבירו אע"פ שלא היה חייב לשלם לו, מ"מ חייב לשלם לו מכח השבועה. דשאני התם דידע דאינו חייב וקיבל החיוב אנפשו מעצמו בשבועה. ואף אם יקבל עליו שלא ידע שהוא פטור מן הדין, אין אומרים דה"ל שבועה בטעות, דכל הנשבע מדקדק ונשבע, וכמו שכתבו הטור והמחבר לקמן סימן פ"א סעיף כ"ח, אבל כאן לא נשבע אלא לשלם חובו והפטור בא לו אח"כ, וה"ל כמחל לו המלוה אח"כ, בזה אמרינן דאדעתא דהכי לא נשבע, עכ"ל סמ"ע [סקכ"ב]. וכה"ג מחלק בתשובת מהר"י ן' לב </w:t>
      </w:r>
      <w:r>
        <w:rPr>
          <w:sz w:val="16"/>
          <w:szCs w:val="16"/>
          <w:rtl/>
        </w:rPr>
        <w:t>(ספר ב' סי' לח, ובספר א' סוף כלל יב סי' עו)</w:t>
      </w:r>
      <w:r>
        <w:rPr>
          <w:rtl/>
        </w:rPr>
        <w:t>. וכתב עוד שם [מהריב"ל בספר א'] דהיכא דהוי פלוגתא דרבוותא, מצי הנשבע לומר קים לי כמאן דפוטר, וכשנשבעתי הייתי סבור שאני חייב מן הדין אליבא דכו"ע, אבל אם הוא דבר דלית ביה פלוגתא והוא פטור לכו"ע, חייב כשנשבע, דכיון דדבר ברור הוא שפטור, ודאי נשבע לחייב עצמו מכח השבועה, ולכן פסק שם במי שנתערב לחבירו בשבועה בדבר שאינו קצוב, דיכול לומר קים לי כהרמב"ם [פכ"ה ממלוה הי"ג] דסבירא ליה דהמחייב עצמו בדבר שאינו קצוב לא משתעבד, וכשנשבעתי חשבתי שאני מתחייב בדבר שאינו קצוב, וע"ש. ואין דבריו מוכרחים, דנראה לפע"ד, דכיון דנשבע כבר תו לא מצי למימר קים לי, דכבר חייב את עצמו לקיים בשבועה, וכן משמע בתשובות מהר"ש כהן השייכים לספר ב' [נדפס בסוף ספר ג'] סי' כ', שכתב דבשבועה גם הרמב"ם מודה דנשתעבד, ע"ש. [ואף בלא שבועה נראה לפע"ד דלא מצי למימר בדין זה קים לי כהרמב"ם, וכמו שכתבתי לקמן ס"ס קל"א [סקט"ו] דכל הבאים אחריו חולקים בזה, אך דנפקא מינה בזה בעלמא היכא דאיכא פלוגתא דרבוותא], ש"ך (סקכ"ג).</w:t>
      </w:r>
    </w:p>
  </w:footnote>
  <w:footnote w:id="6059">
    <w:p w14:paraId="7C9240BF" w14:textId="77777777" w:rsidR="0013116F" w:rsidRDefault="0013116F" w:rsidP="0004348D">
      <w:pPr>
        <w:pStyle w:val="a9"/>
        <w:rPr>
          <w:rtl/>
        </w:rPr>
      </w:pPr>
      <w:r>
        <w:rPr>
          <w:rStyle w:val="ab"/>
        </w:rPr>
        <w:footnoteRef/>
      </w:r>
      <w:r>
        <w:rPr>
          <w:rtl/>
        </w:rPr>
        <w:t xml:space="preserve"> ואינו חייב להוליכו אחריו, מהרי"ק </w:t>
      </w:r>
      <w:r>
        <w:rPr>
          <w:sz w:val="16"/>
          <w:szCs w:val="16"/>
          <w:rtl/>
        </w:rPr>
        <w:t>(שורש פא ענף ג)</w:t>
      </w:r>
      <w:r>
        <w:rPr>
          <w:rtl/>
        </w:rPr>
        <w:t xml:space="preserve"> בשם הרשב"א. וכתב עוד</w:t>
      </w:r>
      <w:r>
        <w:rPr>
          <w:sz w:val="16"/>
          <w:szCs w:val="16"/>
          <w:rtl/>
        </w:rPr>
        <w:t xml:space="preserve"> (בשורש יז ענף ב)</w:t>
      </w:r>
      <w:r>
        <w:rPr>
          <w:rtl/>
        </w:rPr>
        <w:t xml:space="preserve"> שאם נשבע לפרוע למלוה ולא שינה המלוה מקום קביעותו - חייב להוליכו אחריו למקום קביעותו מאחר שלא נשתנה מקומו מיום ההלואה. </w:t>
      </w:r>
      <w:r>
        <w:rPr>
          <w:color w:val="00B0F0"/>
          <w:rtl/>
        </w:rPr>
        <w:t>(וכ"פ הרמ"א)</w:t>
      </w:r>
    </w:p>
  </w:footnote>
  <w:footnote w:id="6060">
    <w:p w14:paraId="11CAC837" w14:textId="77777777" w:rsidR="0013116F" w:rsidRDefault="0013116F" w:rsidP="0004348D">
      <w:pPr>
        <w:pStyle w:val="a9"/>
        <w:rPr>
          <w:rtl/>
        </w:rPr>
      </w:pPr>
      <w:r>
        <w:rPr>
          <w:rStyle w:val="ab"/>
        </w:rPr>
        <w:footnoteRef/>
      </w:r>
      <w:r>
        <w:rPr>
          <w:rtl/>
        </w:rPr>
        <w:t xml:space="preserve"> ולפ"ז באשה הנושאת ונותנת בתוך הבית, משמע דחייב ליתן לה למאן דאמר לקמן סוף סימן ק"ך דנפטר בכך, ש"ך (סקכ"ד).</w:t>
      </w:r>
    </w:p>
  </w:footnote>
  <w:footnote w:id="6061">
    <w:p w14:paraId="2B6F9DF4" w14:textId="77777777" w:rsidR="0013116F" w:rsidRDefault="0013116F" w:rsidP="0004348D">
      <w:pPr>
        <w:pStyle w:val="a9"/>
        <w:rPr>
          <w:rtl/>
        </w:rPr>
      </w:pPr>
      <w:r>
        <w:rPr>
          <w:rStyle w:val="ab"/>
        </w:rPr>
        <w:footnoteRef/>
      </w:r>
      <w:r>
        <w:rPr>
          <w:rtl/>
        </w:rPr>
        <w:t xml:space="preserve"> והא דתנן </w:t>
      </w:r>
      <w:r>
        <w:rPr>
          <w:sz w:val="16"/>
          <w:szCs w:val="16"/>
          <w:rtl/>
        </w:rPr>
        <w:t xml:space="preserve">(שם קג.) </w:t>
      </w:r>
      <w:r>
        <w:rPr>
          <w:rtl/>
        </w:rPr>
        <w:t xml:space="preserve">בגזל את חבירו שוה פרוטה נותן הוא לשליח בית דין הא תני רבי שמעון בן אלעזר </w:t>
      </w:r>
      <w:r>
        <w:rPr>
          <w:sz w:val="16"/>
          <w:szCs w:val="16"/>
          <w:rtl/>
        </w:rPr>
        <w:t xml:space="preserve">(שם קד.) </w:t>
      </w:r>
      <w:r>
        <w:rPr>
          <w:rtl/>
        </w:rPr>
        <w:t>שליח בית דין שעשאו נגזל ולא גזלן גזלן ולא נגזל חייב ורבה נמי דאמר שליח שעשאו בעדים לא הוי שליח הכי סבירא ליה, וכ"פ ר"ח, ואפילו לרב חסדא דאמר הוי שליח וכו'</w:t>
      </w:r>
      <w:r>
        <w:rPr>
          <w:sz w:val="16"/>
          <w:szCs w:val="16"/>
          <w:rtl/>
        </w:rPr>
        <w:t xml:space="preserve"> (שם) </w:t>
      </w:r>
      <w:r>
        <w:rPr>
          <w:rtl/>
        </w:rPr>
        <w:t xml:space="preserve">התם תקנתא הוא מפני השבים הא בעלמא לא. ותנן בערכין </w:t>
      </w:r>
      <w:r>
        <w:rPr>
          <w:sz w:val="16"/>
          <w:szCs w:val="16"/>
          <w:rtl/>
        </w:rPr>
        <w:t xml:space="preserve">(לא:) </w:t>
      </w:r>
      <w:r>
        <w:rPr>
          <w:rtl/>
        </w:rPr>
        <w:t>התקין הלל שיהא חולש מעותיו ללשכה, אלמא חולש מעות לבית דין לאו דינא אלא תקנתא דאתקין התם, הא בעלמא לא, רשב"א.</w:t>
      </w:r>
    </w:p>
  </w:footnote>
  <w:footnote w:id="6062">
    <w:p w14:paraId="740B676A" w14:textId="77777777" w:rsidR="0013116F" w:rsidRDefault="0013116F" w:rsidP="0004348D">
      <w:pPr>
        <w:pStyle w:val="a9"/>
      </w:pPr>
      <w:r>
        <w:rPr>
          <w:rStyle w:val="ab"/>
        </w:rPr>
        <w:footnoteRef/>
      </w:r>
      <w:r>
        <w:rPr>
          <w:rtl/>
        </w:rPr>
        <w:t xml:space="preserve"> פירוש, אפילו אחר אותו יום עד שיבוא המלוה ליתנם לו, סמ"ע (סקכ"ה).</w:t>
      </w:r>
    </w:p>
  </w:footnote>
  <w:footnote w:id="6063">
    <w:p w14:paraId="748B3C2D" w14:textId="77777777" w:rsidR="0013116F" w:rsidRDefault="0013116F" w:rsidP="0004348D">
      <w:pPr>
        <w:pStyle w:val="a9"/>
        <w:rPr>
          <w:rtl/>
        </w:rPr>
      </w:pPr>
      <w:r>
        <w:rPr>
          <w:rStyle w:val="ab"/>
        </w:rPr>
        <w:footnoteRef/>
      </w:r>
      <w:r>
        <w:rPr>
          <w:rtl/>
        </w:rPr>
        <w:t xml:space="preserve"> פירוש, שלא עקר דירתו משם, אלא יצא משם בעסקיו, סמ"ע (סקכ"ו).</w:t>
      </w:r>
    </w:p>
  </w:footnote>
  <w:footnote w:id="6064">
    <w:p w14:paraId="1C906F21" w14:textId="77777777" w:rsidR="0013116F" w:rsidRDefault="0013116F" w:rsidP="0004348D">
      <w:pPr>
        <w:pStyle w:val="a9"/>
        <w:rPr>
          <w:rtl/>
        </w:rPr>
      </w:pPr>
      <w:r>
        <w:rPr>
          <w:rStyle w:val="ab"/>
        </w:rPr>
        <w:footnoteRef/>
      </w:r>
      <w:r>
        <w:rPr>
          <w:rtl/>
        </w:rPr>
        <w:t xml:space="preserve"> דין זה אינו מוכרח לפע"ד, וע"ש במהרי"ק (שורש קיב) שהאריך בזה בראיות, ויש לדחות כל ראיותיו, ע"ש ודוק. ובפרט שקשה נמי שהרי קי"ל [שבועות כ"ו ע"ב] דבשבועות אינו חייב עד שיבטא בשפתיו, וא"כ אין לך אלא מה שנתחייב בשבועה, דהיינו להוליכו למקום פלוני, אבל למקום שלא נשבע אינו חייב אף שאינו רחוק יותר, דכיון דלא היה חייב בלא שבועה, א"כ אין לך אלא מה שנשבע וביטא בשפתיו. וגם מהרי"ק גופיה הרגיש בזה... אלא שמחלק בין שבועות איסור ונדר שאדם אוסר על עצמו לבין שבועה שנשבע לחברו... אבל לא מסתבר לחלק בכך... הלכך נלפע"ד דצ"ע לדינא אם יש לחייב את הלוה להוליכו אחריו למקום אחר, ובפרט שבקל יוכל הלוה לומר איזה התנצלות כגון שהיה לי דרך בלאו הכי למקום ההוא, ולמקום הזה אין לי דרך, או בדרך ההוא הייתי רגיל לבוא, או הייתי יודע להשתדל בקלות מי שיביא לי המעות לשם, או ידעתי מי שרגיל ליסע לשם והיה נאמן בעיני, מה שאינו בדרך הזה, וכאלו התנצלויות רבות, ש"ך (סקכ"ז).</w:t>
      </w:r>
    </w:p>
  </w:footnote>
  <w:footnote w:id="6065">
    <w:p w14:paraId="6C04044D" w14:textId="77777777" w:rsidR="0013116F" w:rsidRDefault="0013116F" w:rsidP="0004348D">
      <w:pPr>
        <w:pStyle w:val="a9"/>
        <w:rPr>
          <w:rtl/>
        </w:rPr>
      </w:pPr>
      <w:r>
        <w:rPr>
          <w:rStyle w:val="ab"/>
        </w:rPr>
        <w:footnoteRef/>
      </w:r>
      <w:r>
        <w:rPr>
          <w:rtl/>
        </w:rPr>
        <w:t xml:space="preserve"> מיירי בענין שהוא פטור מן הדין ליתן לו, לכך פטור ג"כ מן השבועה, דלא נשבע אלא כשיתחייב מן הדין, משא"כ עתה שהרגיל קטטה באופן שפטור מן הדין, דפטור ג"כ מצד השבועה, דדמי להגיע השמיטה בינתיים או מחל לו דלעיל סעיף ז', וכן הוא במהרי"ק (שורש פ"א ענף ב) להדיא, ע"ש. ונראה לפע"ד דמיירי שהנשבע הוא אמיד, או שיניח הנדוניא ביד שליש, דאל"כ פשיטא די"ל דשמא לא ירגיל קטטה ונמצא מפסיד זה נדוניתו, וכן כל כהאי גוונא, ש"ך (סקכ"ח-כט).</w:t>
      </w:r>
    </w:p>
  </w:footnote>
  <w:footnote w:id="6066">
    <w:p w14:paraId="7125EA77" w14:textId="77777777" w:rsidR="0013116F" w:rsidRDefault="0013116F" w:rsidP="0004348D">
      <w:pPr>
        <w:pStyle w:val="a9"/>
        <w:rPr>
          <w:rtl/>
        </w:rPr>
      </w:pPr>
      <w:r>
        <w:rPr>
          <w:rStyle w:val="ab"/>
        </w:rPr>
        <w:footnoteRef/>
      </w:r>
      <w:r>
        <w:rPr>
          <w:rtl/>
        </w:rPr>
        <w:t xml:space="preserve"> ז"ל הסמ"ע [סקכ"ח], ע"ש בתשובת הרא"ש דהשיב כן אשטר שהיה כתוב בו שנתחייב ראובן בשבועה סך כזה לשלם לכל מי שמוציאו עליו, ומסיק וכתב שם, דאפילו אם תמצי לומר דמן הדין לא היה חייב מכח שעבוד השטר לחוד כיון שלא נזכר בו שם המלוה, מ"מ חייב מכח השבועה. ולעד"נ לחלק ולומר, דדוקא התם דתחילת חיובו נשתעבד בשבועה, משום הכי צריך לקיים שבועתו, אבל היכא ששעבודו היה מתחילה ואח"כ נשבע לשלם, יש לומר כיון דהחוב ליתא, ג"כ השבועה שנשבע עבורו ליתא, וא"כ לא ה"ל למור"ם כאן לסתום ולכתוב בסתם, וצ"ע, עכ"ל. ולענ"ד לא מסתבר כלל לחלק בכך, דמה בכך ששעבודו היה מתחילה, סוף סוף נשבע אח"כ לשלם לו וצריך הוא לקיים שבועתו, ויפה כיון הר"ב שסתם הדברים..., ש"ך (סק"ל).</w:t>
      </w:r>
    </w:p>
  </w:footnote>
  <w:footnote w:id="6067">
    <w:p w14:paraId="56A0D808" w14:textId="77777777" w:rsidR="0013116F" w:rsidRDefault="0013116F" w:rsidP="0004348D">
      <w:pPr>
        <w:pStyle w:val="a9"/>
      </w:pPr>
      <w:r>
        <w:rPr>
          <w:rStyle w:val="ab"/>
        </w:rPr>
        <w:footnoteRef/>
      </w:r>
      <w:r>
        <w:rPr>
          <w:rtl/>
        </w:rPr>
        <w:t xml:space="preserve"> וז"ל- לוה שבקש לילך למדינת הים ולא הגיע זמן הפרעון אין לו לתובע לבקש ממנו ערב שלא ניתנה מלוה ליתבע קודם הזמן כלל.</w:t>
      </w:r>
    </w:p>
  </w:footnote>
  <w:footnote w:id="6068">
    <w:p w14:paraId="738C8E09" w14:textId="77777777" w:rsidR="0013116F" w:rsidRDefault="0013116F" w:rsidP="0004348D">
      <w:pPr>
        <w:pStyle w:val="a9"/>
      </w:pPr>
      <w:r>
        <w:rPr>
          <w:rStyle w:val="ab"/>
        </w:rPr>
        <w:footnoteRef/>
      </w:r>
      <w:r>
        <w:rPr>
          <w:rtl/>
        </w:rPr>
        <w:t xml:space="preserve"> דברי ה"ר יהודאי והרי"ף והרמב"ן כתובים בארוכה בספר התרומות </w:t>
      </w:r>
      <w:r>
        <w:rPr>
          <w:sz w:val="16"/>
          <w:szCs w:val="16"/>
          <w:rtl/>
        </w:rPr>
        <w:t>(שער י"ו ח"ג סי' א)</w:t>
      </w:r>
      <w:r>
        <w:rPr>
          <w:rtl/>
        </w:rPr>
        <w:t>... ועיין בהריב"ש סי' ק"ט ובתשובות הרשב"א (ח"א) סימן תתק"ח ואלף קי"א, ב"י. וכתב הדרכ"מ (אות ד**) שהרשב"א (שם) והריב"ש (שם) הסכימו לדברי הרמב"ן. מיהו כתבו דאם תפס לא מפקינן מיניה.</w:t>
      </w:r>
    </w:p>
  </w:footnote>
  <w:footnote w:id="6069">
    <w:p w14:paraId="7231D505" w14:textId="77777777" w:rsidR="0013116F" w:rsidRDefault="0013116F" w:rsidP="0004348D">
      <w:pPr>
        <w:pStyle w:val="a9"/>
      </w:pPr>
      <w:r>
        <w:rPr>
          <w:rStyle w:val="ab"/>
        </w:rPr>
        <w:footnoteRef/>
      </w:r>
      <w:r>
        <w:rPr>
          <w:rtl/>
        </w:rPr>
        <w:t xml:space="preserve"> וכתב מהרי"ק (שורש קט) דמדברי הרא"ש הללו יש סמך למי שיש לו דין על חבירו שמעכב ממונו ביד אחר, ומיהו אין מחליטין הממון כלל לתובע עד שיבא הנתבע בפנינו ויתחייב בדין. ועיין בתשובות הרשב"א (ח"א) סימן אלף וקכ"ב. וכתב בשורש קמ"ד (בסופו) מי שנתעכבו מעותיו ושלחו ציר להודיע לנתבע שנתעכבו על התובע לפרוע הוצאת הציר. ועיין בתשובת הרשב"א (ח"ד סי' רי) שכתבתי בסימן ק"ו (סוף ס"ד), ב"י. וכתב הדרכ"מ </w:t>
      </w:r>
      <w:r>
        <w:rPr>
          <w:sz w:val="16"/>
          <w:szCs w:val="16"/>
          <w:rtl/>
        </w:rPr>
        <w:t xml:space="preserve">(אות ז) </w:t>
      </w:r>
      <w:r>
        <w:rPr>
          <w:rtl/>
        </w:rPr>
        <w:t xml:space="preserve">שמהרא"י </w:t>
      </w:r>
      <w:r>
        <w:rPr>
          <w:sz w:val="16"/>
          <w:szCs w:val="16"/>
          <w:rtl/>
        </w:rPr>
        <w:t xml:space="preserve">(בפסקיו סי' סד) </w:t>
      </w:r>
      <w:r>
        <w:rPr>
          <w:rtl/>
        </w:rPr>
        <w:t>כתב דה"ה בכל מקום שנראה לב"ד לעכב מעות הנתבע, כגון שנראה להם שלא יוכל הדיין לכופו לדין וכדומה לו</w:t>
      </w:r>
      <w:r>
        <w:rPr>
          <w:color w:val="00B0F0"/>
          <w:rtl/>
        </w:rPr>
        <w:t xml:space="preserve"> </w:t>
      </w:r>
      <w:r>
        <w:rPr>
          <w:color w:val="00B0F0"/>
          <w:sz w:val="16"/>
          <w:szCs w:val="16"/>
          <w:rtl/>
        </w:rPr>
        <w:t>(וכ"פ בהג"ה)</w:t>
      </w:r>
      <w:r>
        <w:rPr>
          <w:rtl/>
        </w:rPr>
        <w:t xml:space="preserve">. וכ"כ בתרוה"ד (סי' שה). וכתב עוד דנשתרבב המנהג לעקל אע"פ שאין בו צורך כולי האי, ועיי"ש. ולעיל סימן י"ד (אות ז) הארכתי בזה, וכן לקמן סימן צ"ח (אות ב). וכתב מהרי"ו </w:t>
      </w:r>
      <w:r>
        <w:rPr>
          <w:sz w:val="16"/>
          <w:szCs w:val="16"/>
          <w:rtl/>
        </w:rPr>
        <w:t>(בתשו' סי' לד וסי' קנה)</w:t>
      </w:r>
      <w:r>
        <w:rPr>
          <w:rtl/>
        </w:rPr>
        <w:t xml:space="preserve"> דלא יכולין לעכב מעותיו של נתבע כשרוצה להיות ציית דינא במקומו ועיי"ש שהאריך בזה. ועיין לקמן סימן ק"ו כשמעכבין מעותיו ביד אחר עד אימת יהיו מונחים כך. עוד עיין לקמן סימן ק"ה מדיני עיקול. וכתב עוד הדרכ"מ (אות ה) לעיין לעיל בסי' י"ד </w:t>
      </w:r>
      <w:r>
        <w:rPr>
          <w:sz w:val="16"/>
          <w:szCs w:val="16"/>
          <w:rtl/>
        </w:rPr>
        <w:t>(אות ז)</w:t>
      </w:r>
      <w:r>
        <w:rPr>
          <w:rtl/>
        </w:rPr>
        <w:t>. וכן בתשו' הרשב"א סי' אלף קי"א שהאריך בדין זה ובדין בעל חוב מאוחר שבא לגבות חובו ובעל חוב מוקדם רוצה לעכב עליו משום שלא יהא לו מקום לגבות משם ועיי"ש.</w:t>
      </w:r>
    </w:p>
  </w:footnote>
  <w:footnote w:id="6070">
    <w:p w14:paraId="7CC6146D" w14:textId="77777777" w:rsidR="0013116F" w:rsidRDefault="0013116F" w:rsidP="0004348D">
      <w:pPr>
        <w:pStyle w:val="a9"/>
        <w:rPr>
          <w:rtl/>
        </w:rPr>
      </w:pPr>
      <w:r>
        <w:rPr>
          <w:rStyle w:val="ab"/>
        </w:rPr>
        <w:footnoteRef/>
      </w:r>
      <w:r>
        <w:rPr>
          <w:rtl/>
        </w:rPr>
        <w:t xml:space="preserve"> כ"כ הנמוק"י </w:t>
      </w:r>
      <w:r>
        <w:rPr>
          <w:sz w:val="14"/>
          <w:szCs w:val="14"/>
          <w:rtl/>
        </w:rPr>
        <w:t>(ס"פ יש נוחלין ב"ב סה. דבור ראשון)</w:t>
      </w:r>
      <w:r>
        <w:rPr>
          <w:rtl/>
        </w:rPr>
        <w:t xml:space="preserve"> בשם הרי"ף בתשובה, אבל הטור הביא תשובה אחרת </w:t>
      </w:r>
      <w:r>
        <w:rPr>
          <w:sz w:val="16"/>
          <w:szCs w:val="16"/>
          <w:rtl/>
        </w:rPr>
        <w:t>(שגם ממנה משמע הכי, וכ"כ הרא"ש והטור בפירוש)</w:t>
      </w:r>
      <w:r>
        <w:rPr>
          <w:rtl/>
        </w:rPr>
        <w:t xml:space="preserve"> והיא התשו' שמובאת בסמוך גבי לוקח שתובע למוכר.</w:t>
      </w:r>
    </w:p>
  </w:footnote>
  <w:footnote w:id="6071">
    <w:p w14:paraId="560AA44A" w14:textId="77777777" w:rsidR="0013116F" w:rsidRDefault="0013116F" w:rsidP="0004348D">
      <w:pPr>
        <w:pStyle w:val="a9"/>
        <w:rPr>
          <w:rtl/>
        </w:rPr>
      </w:pPr>
      <w:r>
        <w:rPr>
          <w:rStyle w:val="ab"/>
        </w:rPr>
        <w:footnoteRef/>
      </w:r>
      <w:r>
        <w:rPr>
          <w:rtl/>
        </w:rPr>
        <w:t xml:space="preserve"> וכתב ספר התרומות </w:t>
      </w:r>
      <w:r>
        <w:rPr>
          <w:sz w:val="16"/>
          <w:szCs w:val="16"/>
          <w:rtl/>
        </w:rPr>
        <w:t xml:space="preserve">(שער י"ו ח"ג סי' א, הביאו הב"י) </w:t>
      </w:r>
      <w:r>
        <w:rPr>
          <w:rtl/>
        </w:rPr>
        <w:t xml:space="preserve">בשם הרמב"ן- אבל גבי מוכר שמא יש לדון כדברי הרי"ף מפני שהוא קרוב למקח טעות וכל שכן היכא דאיתנהו לזוזי דיהיב ליה כדאמרינן </w:t>
      </w:r>
      <w:r>
        <w:rPr>
          <w:sz w:val="16"/>
          <w:szCs w:val="16"/>
          <w:rtl/>
        </w:rPr>
        <w:t xml:space="preserve">(ב"ק ט.) </w:t>
      </w:r>
      <w:r>
        <w:rPr>
          <w:rtl/>
        </w:rPr>
        <w:t>עד שלא החזיק בה יכול לחזור בו.</w:t>
      </w:r>
    </w:p>
  </w:footnote>
  <w:footnote w:id="6072">
    <w:p w14:paraId="714D8D1C" w14:textId="77777777" w:rsidR="0013116F" w:rsidRDefault="0013116F" w:rsidP="0004348D">
      <w:pPr>
        <w:pStyle w:val="a9"/>
        <w:rPr>
          <w:rtl/>
        </w:rPr>
      </w:pPr>
      <w:r>
        <w:rPr>
          <w:rStyle w:val="ab"/>
        </w:rPr>
        <w:footnoteRef/>
      </w:r>
      <w:r>
        <w:rPr>
          <w:rtl/>
        </w:rPr>
        <w:t xml:space="preserve"> נראה דדוקא נקט שיש בידו שטר, דאז הוא יכול להוציא מחבירו, דאף אם יטעון הלוה נגד השטר, ישבע זה על שטרו ויטול, משום הכי מעקלין על פיו, משא"כ כשאין בידו שטר, דהא הלוה יכול לישבע היסת ולפטור ממנו, אפילו הלוהו בעדים הא קיימא לן דא"צ לחזור ולפרעו בעדים, כמ"ש בסימן ע' [סעיף א'], סמ"ע (סק"ל). וכ"כ הש"ך (סקל"ג) בשמו, וכתב עוד דמשמע דשטר אע"פ שאינו מקוים מעכבים המעות על ידו עד שיקיימו ויטול בשבועה... ולפי שדינים אלו תלויים במנהג ולפי ראות עיני הדיינים, קיצרתי.</w:t>
      </w:r>
    </w:p>
  </w:footnote>
  <w:footnote w:id="6073">
    <w:p w14:paraId="472B7065" w14:textId="77777777" w:rsidR="0013116F" w:rsidRDefault="0013116F" w:rsidP="0004348D">
      <w:pPr>
        <w:pStyle w:val="a9"/>
      </w:pPr>
      <w:r>
        <w:rPr>
          <w:rStyle w:val="ab"/>
        </w:rPr>
        <w:footnoteRef/>
      </w:r>
      <w:r>
        <w:rPr>
          <w:rtl/>
        </w:rPr>
        <w:t xml:space="preserve"> דוקא מבזבז, אבל אם אינו מבזבז, אע"פ שמתמוטט מידי יום יום ולא יוכל לשלם לזמן אפילו במטלטלין, לא יוכל המלוה לעכב תוך הזמן, כ"כ מהרש"ל (יש"ש פ"ק דב"ק סי' כ)... וכן נראה עיקר לדינא, דהא בלאו הכי רב יהודאי גאון והרמב"ן והרשב"א והריב"ש חולקים, וכדבריהם משמע לכאורה עיקר בש"ס. ונהי דכבר הסכימו כל האחרונים ונתפשט המנהג כדברי המחבר, מ"מ אין לך בו אלא חידושו... ולפי שדינים אלו תלויים במנהג המקומות ולפי ראות עיני הדיינים, לא הארכתי בזה, ש"ך (סקל"ד).</w:t>
      </w:r>
    </w:p>
  </w:footnote>
  <w:footnote w:id="6074">
    <w:p w14:paraId="6883AB08" w14:textId="77777777" w:rsidR="0013116F" w:rsidRDefault="0013116F" w:rsidP="0004348D">
      <w:pPr>
        <w:pStyle w:val="a9"/>
        <w:rPr>
          <w:rtl/>
        </w:rPr>
      </w:pPr>
      <w:r>
        <w:rPr>
          <w:rStyle w:val="ab"/>
        </w:rPr>
        <w:footnoteRef/>
      </w:r>
      <w:r>
        <w:rPr>
          <w:rtl/>
        </w:rPr>
        <w:t xml:space="preserve"> הטור כלל דין זה עם דין הנ"ל [סעיף י'] דהאומר ירא אני דהלוה יבזבז נכסיו כו', בבבא אחת, והמחבר כתבו בפני עצמו. ונראה דהיינו טעמא, דבקונה שדה ויצאו עליה עסיקין, יכול להכריחו לקנות קרקע אע"פ שאין הב"ד רואין בו שהוא מבזבז נכסיו, והיינו טעמא, משום דדומה הוא למקח טעות, וגם כיון דדמי קנייתו הוא עדיין בעין ביד המוכר. משא"כ מלוה ולוה, דאין שומעין להמלוה אא"כ רואין ב"ד אמתלא לדבריו שמן הראוי הוא לחוש. וחילוק זה כתב ג"כ בעל התרומות [שער ט"ז ח"ג], וכן מדויק מלשון המחבר, שלעיל הזכיר אמתלא וכאן לא הזכיר אמתלא, סמ"ע (סקל"ג).</w:t>
      </w:r>
    </w:p>
  </w:footnote>
  <w:footnote w:id="6075">
    <w:p w14:paraId="1E4531AB" w14:textId="77777777" w:rsidR="0013116F" w:rsidRDefault="0013116F" w:rsidP="0004348D">
      <w:pPr>
        <w:pStyle w:val="a9"/>
        <w:rPr>
          <w:rtl/>
        </w:rPr>
      </w:pPr>
      <w:r>
        <w:rPr>
          <w:rStyle w:val="ab"/>
        </w:rPr>
        <w:footnoteRef/>
      </w:r>
      <w:r>
        <w:rPr>
          <w:rtl/>
        </w:rPr>
        <w:t xml:space="preserve"> </w:t>
      </w:r>
      <w:r>
        <w:rPr>
          <w:rFonts w:hint="cs"/>
          <w:rtl/>
        </w:rPr>
        <w:t xml:space="preserve">סימן – גובה מקבלתו </w:t>
      </w:r>
      <w:r>
        <w:rPr>
          <w:sz w:val="16"/>
          <w:szCs w:val="16"/>
          <w:rtl/>
        </w:rPr>
        <w:t>{לאחר}</w:t>
      </w:r>
      <w:r>
        <w:rPr>
          <w:sz w:val="14"/>
          <w:szCs w:val="14"/>
          <w:rtl/>
        </w:rPr>
        <w:t xml:space="preserve"> </w:t>
      </w:r>
      <w:r>
        <w:rPr>
          <w:rtl/>
        </w:rPr>
        <w:t>ירח.</w:t>
      </w:r>
    </w:p>
  </w:footnote>
  <w:footnote w:id="6076">
    <w:p w14:paraId="5F8F25D7" w14:textId="77777777" w:rsidR="0013116F" w:rsidRDefault="0013116F" w:rsidP="0004348D">
      <w:pPr>
        <w:pStyle w:val="a9"/>
        <w:rPr>
          <w:rtl/>
        </w:rPr>
      </w:pPr>
      <w:r>
        <w:rPr>
          <w:rStyle w:val="ab"/>
        </w:rPr>
        <w:footnoteRef/>
      </w:r>
      <w:r>
        <w:rPr>
          <w:rtl/>
        </w:rPr>
        <w:t xml:space="preserve"> וכן פסק הר"מ ז"ל דסתם הלואה ל' יום בין במלוה בשטר בין במלוה ע"פ בין בלוה על המשכון. וכן כתב רש"י בפירוש שבועות </w:t>
      </w:r>
      <w:r>
        <w:rPr>
          <w:sz w:val="16"/>
          <w:szCs w:val="16"/>
          <w:rtl/>
        </w:rPr>
        <w:t>(מג: ד"ה אבד אלפא זוזי)</w:t>
      </w:r>
      <w:r>
        <w:rPr>
          <w:rtl/>
        </w:rPr>
        <w:t xml:space="preserve">, בעל התרומות. וכ"כ רי"ו </w:t>
      </w:r>
      <w:r>
        <w:rPr>
          <w:sz w:val="16"/>
          <w:szCs w:val="16"/>
          <w:rtl/>
        </w:rPr>
        <w:t>(נ"ל ח"ה פז א, הביאו הדרכ"מ [אות ח])</w:t>
      </w:r>
      <w:r>
        <w:rPr>
          <w:rtl/>
        </w:rPr>
        <w:t>.</w:t>
      </w:r>
    </w:p>
  </w:footnote>
  <w:footnote w:id="6077">
    <w:p w14:paraId="11AB9634" w14:textId="77777777" w:rsidR="0013116F" w:rsidRDefault="0013116F" w:rsidP="0004348D">
      <w:pPr>
        <w:pStyle w:val="a9"/>
        <w:rPr>
          <w:rtl/>
        </w:rPr>
      </w:pPr>
      <w:r>
        <w:rPr>
          <w:rStyle w:val="ab"/>
        </w:rPr>
        <w:footnoteRef/>
      </w:r>
      <w:r>
        <w:rPr>
          <w:rtl/>
        </w:rPr>
        <w:t xml:space="preserve"> ומשמע שם (סי' תב) דלכו"ע בדבר הצריך ללוה תדיר כגון כר ומחרישה צריך להמתין עד שיפדנו ועיי"ש, דרכ"מ (אות ח).</w:t>
      </w:r>
    </w:p>
  </w:footnote>
  <w:footnote w:id="6078">
    <w:p w14:paraId="7EAE0E58" w14:textId="77777777" w:rsidR="0013116F" w:rsidRDefault="0013116F" w:rsidP="0004348D">
      <w:pPr>
        <w:pStyle w:val="a9"/>
        <w:rPr>
          <w:rtl/>
        </w:rPr>
      </w:pPr>
      <w:r>
        <w:rPr>
          <w:rStyle w:val="ab"/>
        </w:rPr>
        <w:footnoteRef/>
      </w:r>
      <w:r>
        <w:rPr>
          <w:rtl/>
        </w:rPr>
        <w:t xml:space="preserve"> </w:t>
      </w:r>
      <w:r>
        <w:rPr>
          <w:rFonts w:hint="cs"/>
          <w:rtl/>
        </w:rPr>
        <w:t>הטור הביא יש אומרים דסברי כבעל התרומות</w:t>
      </w:r>
      <w:r>
        <w:rPr>
          <w:sz w:val="16"/>
          <w:szCs w:val="16"/>
          <w:rtl/>
        </w:rPr>
        <w:t xml:space="preserve"> (את בעל התרומות הטור לא הזכיר)</w:t>
      </w:r>
      <w:r>
        <w:rPr>
          <w:rtl/>
        </w:rPr>
        <w:t xml:space="preserve">, וז"ל- יש אומרים שבית דין יודיעו ללוה תחלה, אבל הרמב"ם </w:t>
      </w:r>
      <w:r>
        <w:rPr>
          <w:sz w:val="16"/>
          <w:szCs w:val="16"/>
          <w:rtl/>
        </w:rPr>
        <w:t>(פי"ג ממלוה ה"ג)</w:t>
      </w:r>
      <w:r>
        <w:rPr>
          <w:rtl/>
        </w:rPr>
        <w:t xml:space="preserve"> כתב-...</w:t>
      </w:r>
    </w:p>
  </w:footnote>
  <w:footnote w:id="6079">
    <w:p w14:paraId="766954C7" w14:textId="77777777" w:rsidR="0013116F" w:rsidRDefault="0013116F" w:rsidP="0004348D">
      <w:pPr>
        <w:pStyle w:val="a9"/>
        <w:rPr>
          <w:rtl/>
        </w:rPr>
      </w:pPr>
      <w:r>
        <w:rPr>
          <w:rStyle w:val="ab"/>
        </w:rPr>
        <w:footnoteRef/>
      </w:r>
      <w:r>
        <w:rPr>
          <w:rtl/>
        </w:rPr>
        <w:t xml:space="preserve"> </w:t>
      </w:r>
      <w:r>
        <w:rPr>
          <w:rFonts w:hint="cs"/>
          <w:rtl/>
        </w:rPr>
        <w:t xml:space="preserve">וכתב הב"י </w:t>
      </w:r>
      <w:r>
        <w:rPr>
          <w:rtl/>
        </w:rPr>
        <w:t>דיש לתמוה על הטור שכתב 'אבל הרמב"ם כתב...' שנראה שהרמב"ם חולק על מה שכתב תחלה, ואינו כן, שאע"פ שכתב 'אין ב"ד נזקקין לומר לו המתן עד שיבא הלוה ויטעון' אין זה סותר מה שכתב שיש אומרים שב"ד יודיעו ללוה תחלה דההיא בדאיתיה במתא, והרמב"ם מיירי בדליתיה במתא</w:t>
      </w:r>
      <w:r>
        <w:rPr>
          <w:sz w:val="16"/>
          <w:szCs w:val="16"/>
          <w:rtl/>
        </w:rPr>
        <w:t xml:space="preserve"> (וכדדייק לישנא דהמתן עד שיבא הלוה</w:t>
      </w:r>
      <w:r>
        <w:rPr>
          <w:color w:val="E36C0A" w:themeColor="accent6" w:themeShade="BF"/>
          <w:sz w:val="16"/>
          <w:szCs w:val="16"/>
          <w:rtl/>
        </w:rPr>
        <w:t xml:space="preserve">. </w:t>
      </w:r>
      <w:r>
        <w:rPr>
          <w:sz w:val="16"/>
          <w:szCs w:val="16"/>
          <w:rtl/>
        </w:rPr>
        <w:t>ואפילו אם תמצא לומר דהרמב"ם מיירי אפילו בדאיתיה ללוה במתא אינו סותר דברי יש אומרים דאינהו נמי מצו סברי דאין ב"ד נזקקין לומר למלוה המתן וכו' אלא שאומרים שהם יודיעו ללוה ואין זה עיכוב למלוה כלל. ואפילו אם תמצא לומר שרבינו סובר מדלא הזכיר הרמב"ם שב"ד יודיעו ללוה משמע שאין צריכים להודיעו א"כ גם סברא קמייתא שלא הזכיר כן סבר הכי, ואם כן הוה ליה לכתוב ודעת הרמב"ם כדעת ראשונה. ואין לומר דמדסתם הרמב"ם וכתב אין בית דין נזקקין לומר לו וכו' משמע דבכל גוונא יכול למכור אפילו תוך זמן או תוך שלשים יום, דהא פשיטא דלא עלה על דעת. לכך אני אומר דסמי מהכא 'אבל')</w:t>
      </w:r>
      <w:r>
        <w:rPr>
          <w:rtl/>
        </w:rPr>
        <w:t xml:space="preserve">. עכ"ל הב"י. וכן פירש הריב"ש </w:t>
      </w:r>
      <w:r>
        <w:rPr>
          <w:sz w:val="16"/>
          <w:szCs w:val="16"/>
          <w:rtl/>
        </w:rPr>
        <w:t xml:space="preserve">(סי' שצו) </w:t>
      </w:r>
      <w:r>
        <w:rPr>
          <w:rtl/>
        </w:rPr>
        <w:t>את דברי הרמב"ם</w:t>
      </w:r>
      <w:r>
        <w:rPr>
          <w:color w:val="E36C0A" w:themeColor="accent6" w:themeShade="BF"/>
          <w:rtl/>
        </w:rPr>
        <w:t xml:space="preserve"> (וכ"פ בשו"ע)</w:t>
      </w:r>
      <w:r>
        <w:rPr>
          <w:rtl/>
        </w:rPr>
        <w:t>. וכתב הה"מ (שם, הביאו הב"י) על דברי הרמב"ם בהלכה זו, וז"ל- דין זה נראה פשוט בעצמו ולא מצאתיו מבואר, והגאון ז"ל כתב כן (בספר המקח) בשער ששי אלא שאמר שצריך להודיעו אם הלוה באותו מקום לפי שאם רוצה לפדותו הוא ראוי במשכונו יותר מאחרים. ועוד כתב שאינו רשאי מלוה ללוקחו לעצמו. וכל זה אמת.</w:t>
      </w:r>
    </w:p>
  </w:footnote>
  <w:footnote w:id="6080">
    <w:p w14:paraId="41E65E96" w14:textId="77777777" w:rsidR="0013116F" w:rsidRDefault="0013116F" w:rsidP="0004348D">
      <w:pPr>
        <w:pStyle w:val="a9"/>
      </w:pPr>
      <w:r>
        <w:rPr>
          <w:rStyle w:val="ab"/>
        </w:rPr>
        <w:footnoteRef/>
      </w:r>
      <w:r>
        <w:rPr>
          <w:rtl/>
        </w:rPr>
        <w:t xml:space="preserve"> </w:t>
      </w:r>
      <w:r>
        <w:rPr>
          <w:rFonts w:hint="cs"/>
          <w:rtl/>
        </w:rPr>
        <w:t xml:space="preserve">וכתב עוד הש"ך (שם) דאם </w:t>
      </w:r>
      <w:r>
        <w:rPr>
          <w:rtl/>
        </w:rPr>
        <w:t>מכר שלא על פי ב"ד מומחים, לא הוי מכירה אפילו בדיעבד אע"פ שלא טעה.</w:t>
      </w:r>
    </w:p>
  </w:footnote>
  <w:footnote w:id="6081">
    <w:p w14:paraId="3DC789EB" w14:textId="77777777" w:rsidR="0013116F" w:rsidRDefault="0013116F" w:rsidP="0004348D">
      <w:pPr>
        <w:pStyle w:val="a9"/>
        <w:rPr>
          <w:rtl/>
        </w:rPr>
      </w:pPr>
      <w:r>
        <w:rPr>
          <w:rStyle w:val="ab"/>
        </w:rPr>
        <w:footnoteRef/>
      </w:r>
      <w:r>
        <w:rPr>
          <w:rtl/>
        </w:rPr>
        <w:t xml:space="preserve"> וכן השיב הראב"ד </w:t>
      </w:r>
      <w:r>
        <w:rPr>
          <w:sz w:val="16"/>
          <w:szCs w:val="16"/>
          <w:rtl/>
        </w:rPr>
        <w:t xml:space="preserve">(תמים דעים סי' נ) </w:t>
      </w:r>
      <w:r>
        <w:rPr>
          <w:rtl/>
        </w:rPr>
        <w:t>לפי הדין, אלא שתלה הדבר במנהג המדינה ואם אין מנהג לישראל למדין ממנהג הגוים, בעל התרומות. וכתב הדרכ"מ (אות ו) דכ"כ המרדכי פרק הגוזל בתרא (ב"ק סי' קנד) דבמקום שיש מנהג במלוים לגוים שאין יכולין למכור המשכון פחות משנה ואח"כ מוכרו דנין כן גם בישראל שמשכן לחבירו.</w:t>
      </w:r>
      <w:r>
        <w:rPr>
          <w:color w:val="00B0F0"/>
          <w:rtl/>
        </w:rPr>
        <w:t xml:space="preserve"> (וכ"פ הרמ"א</w:t>
      </w:r>
      <w:r>
        <w:rPr>
          <w:color w:val="000000" w:themeColor="text1"/>
          <w:sz w:val="16"/>
          <w:szCs w:val="16"/>
          <w:rtl/>
        </w:rPr>
        <w:t xml:space="preserve"> [סע' יז]</w:t>
      </w:r>
      <w:r>
        <w:rPr>
          <w:color w:val="00B0F0"/>
          <w:rtl/>
        </w:rPr>
        <w:t>)</w:t>
      </w:r>
    </w:p>
  </w:footnote>
  <w:footnote w:id="6082">
    <w:p w14:paraId="2B02C5A7" w14:textId="77777777" w:rsidR="0013116F" w:rsidRDefault="0013116F" w:rsidP="0004348D">
      <w:pPr>
        <w:pStyle w:val="a9"/>
      </w:pPr>
      <w:r>
        <w:rPr>
          <w:rStyle w:val="ab"/>
        </w:rPr>
        <w:footnoteRef/>
      </w:r>
      <w:r>
        <w:rPr>
          <w:rtl/>
        </w:rPr>
        <w:t xml:space="preserve"> וכתב הש"ך </w:t>
      </w:r>
      <w:r>
        <w:rPr>
          <w:sz w:val="16"/>
          <w:szCs w:val="16"/>
          <w:rtl/>
        </w:rPr>
        <w:t xml:space="preserve">(סקל"ו) </w:t>
      </w:r>
      <w:r>
        <w:rPr>
          <w:rtl/>
        </w:rPr>
        <w:t xml:space="preserve">דנמשכו אחרי הב"י גם הדרכ"מ </w:t>
      </w:r>
      <w:r>
        <w:rPr>
          <w:sz w:val="16"/>
          <w:szCs w:val="16"/>
          <w:rtl/>
        </w:rPr>
        <w:t xml:space="preserve">[סע' יט] </w:t>
      </w:r>
      <w:r>
        <w:rPr>
          <w:rtl/>
        </w:rPr>
        <w:t xml:space="preserve">והסמ"ע </w:t>
      </w:r>
      <w:r>
        <w:rPr>
          <w:sz w:val="16"/>
          <w:szCs w:val="16"/>
          <w:rtl/>
        </w:rPr>
        <w:t xml:space="preserve">[סקל"ד] </w:t>
      </w:r>
      <w:r>
        <w:rPr>
          <w:rtl/>
        </w:rPr>
        <w:t xml:space="preserve">והב"ח </w:t>
      </w:r>
      <w:r>
        <w:rPr>
          <w:sz w:val="16"/>
          <w:szCs w:val="16"/>
          <w:rtl/>
        </w:rPr>
        <w:t>[סע' כג]</w:t>
      </w:r>
      <w:r>
        <w:rPr>
          <w:rtl/>
        </w:rPr>
        <w:t xml:space="preserve">. ולא ירדתי לסוף דעתם, דהמעיין בבעל התרומות שם יראה דהשאלה להרמב"ן לא היתה רק אם יכול לכופו במשכנו קרקע לפדותו או למכרו, ועל זה השיב הרמב"ן שיכול לכופו לפדותו, וכל עיקר פלפולו של הרמב"ן שם, דלא נימא דבמשכון קרקע אין המלוה יכול לכופו, שאין יכול הלוה לומר הרי סמכת על המשכון קחנו בחובך, ע"ש. ונהי דכתב שם הרמב"ן דבמשכונת מטלטלין כופהו מיד לאחר ל' יום, מ"מ במשכונת קרקע לא הזכיר הרמב"ן שם כלל ל' יום, וי"ל דאינו יכול לכופו בפחות משנה, וכדאמרינן באיזהו נשך [ב"מ סח.] גבי משכנו קרקע, סתם משכנתא שתא </w:t>
      </w:r>
      <w:r>
        <w:rPr>
          <w:sz w:val="16"/>
          <w:szCs w:val="16"/>
          <w:rtl/>
        </w:rPr>
        <w:t>(והא ראיה, שכתב בתשובת הרמב"ן שם וז"ל, דבר זה אתה יודע שכבר נשאל עליו הראב"ד, ומה שנסתפק בו והורה עליו אתה יודע, והכל מצוי בידך... ובתשובת שאלה להראב"ד כתב לגבי ראובן שמשכן לשמעון ביתו ולא קבע לו זמן, אם יכול לכופו לפדותו, וכן אם הלוהו על המשכון סתם, אם יתבענו אחר שלשים ויכוף אותו לפרעו או לא. והשיב דע כי מקומות יש בברצלונא כופין לפדותו אחר שנה או אחר הזמן שיפסקו ביניהם, אבל בנרבונא אין כופין לא בבית ולא בשדה, ובמשכון אחר לא שמעתי מנהג, ולפי ההלכה מל' יום ואילך מוכרן בב"ד, שלא נחלקו חכמים על רשב"ג [ב"מ קי"ג ע"א] אלא בענין שצריך חזרה, אבל באחר לא נחלקו, ובמשכון קרקע במקום שאין מנהג, הולכים אחר מנהג הגוים, והם נהגו שאם לא התנה בשעת הלואה אינו יכול לכופו לפדותו, וכן אני אומר בכל דבר שאין דינו מפורש אצלנו ואין לנו בו מנהג ידוע, שהולכים בו אחר מנהגות שלהם, שקרוב דבר זה לדינא דמלכותא דינא, והם דנין על פי המנהגות, עכ"ל. הרי להדיא דדוקא במשכון מטלטלים פסק ל' יום, אבל במשכון קרקע סבירא ליה שאין הדין מפורש אצלינו, ולכך למדין מדיני גוים, והלכך היכא דליכא מנהג בין הגוים ואין מנהג בינינו, אינו יכול לכופו לפדותו להראב"ד. וכ"כ הנמוק"י פרק איזהו נשך [לח: מדפה"ר ד"ה ושביעית] והה"מ פ"ז מהל' מלוה [ה"ד] בשם הרשב"א [ב"מ סז: ד"ה הא דאמרינן] דאינו יכול לכופו לפדותו בקרקע, ע"ש... ובפ"ז מהלכות מלוה משמע מדברי הה"מ דסבירא ליה כהרשב"א בזה... ועוד, דאי הוי דינא דבקרקע יכול לכופו לפדותו לאחר ל', פשיטא דלא הוה למדין מן הגוים לבטל דין תורתינו חלילה, וכדמשמע להדיא מדברי הראב"ד דדוקא בדבר שאין דינו מפורש אצלינו למדין מדיני הגוים אבל לא בדין המבורר אצלינו, וכמו שהוכחתי ג"כ באריכות לקמן סעיף י"ד סקל"ט. וא"כ אף להרמב"ן דסבירא ליה דגם בקרקע יכול לכופו לפדותו [וכן היא דעת הרא"ש פרק איזהו נשך [סי' ל"ד]], י"ל דהיינו דוקא לאחר שנה...)</w:t>
      </w:r>
      <w:r>
        <w:rPr>
          <w:rtl/>
        </w:rPr>
        <w:t xml:space="preserve"> וכן נלפע"ד עיקר דבקרקע אינו יכול לכופו לפדותו עד שנה, כיון דאמרינן סתמא דסתם משכנתא דקרקע שתא. וגם אין סברא לומר שיגרע כח הלוה מהמלוה, שהלוה לא יוכל לסלקו קודם שנה, והמלוה יוכל לכופו לפדותו קודם שנה, א"כ לקתה מדת הדין, אלא מסתמא הדין שוה בשניהם.</w:t>
      </w:r>
    </w:p>
  </w:footnote>
  <w:footnote w:id="6083">
    <w:p w14:paraId="246563DF" w14:textId="77777777" w:rsidR="0013116F" w:rsidRDefault="0013116F" w:rsidP="0004348D">
      <w:pPr>
        <w:pStyle w:val="a9"/>
        <w:rPr>
          <w:rtl/>
        </w:rPr>
      </w:pPr>
      <w:r>
        <w:rPr>
          <w:rStyle w:val="ab"/>
        </w:rPr>
        <w:footnoteRef/>
      </w:r>
      <w:r>
        <w:rPr>
          <w:rtl/>
        </w:rPr>
        <w:t xml:space="preserve"> שהרי אם ירצה לשקר יכול לומר לקוח הוא בידי, אלא משיאין לו עצה למוכרו בעדים כדי שידע הלוה בכמה נמכר, עכ"ל רמב"ם, והביאו הטור. ופירש הריב"ש [סי' שצ"ו] דבריו דהא דאפילו בשומת בית דין משיאין לו עצה למכרו בעדים הוא כדי שכשיבוא הלוה ידע בכמה נמכר, כי אע"פ שזה מוכרו ברשות בית דין ובשומתן אולי ימכור ביותר מן השומא וכדי שלא יתעצמו בדין על זה ולא יהיו צריכים לשבועה משיאין אותו להזמין עדים על המכירה.</w:t>
      </w:r>
    </w:p>
  </w:footnote>
  <w:footnote w:id="6084">
    <w:p w14:paraId="60B5316F" w14:textId="77777777" w:rsidR="0013116F" w:rsidRDefault="0013116F" w:rsidP="0004348D">
      <w:pPr>
        <w:pStyle w:val="a9"/>
        <w:rPr>
          <w:rtl/>
        </w:rPr>
      </w:pPr>
      <w:r>
        <w:rPr>
          <w:rStyle w:val="ab"/>
        </w:rPr>
        <w:footnoteRef/>
      </w:r>
      <w:r>
        <w:rPr>
          <w:rtl/>
        </w:rPr>
        <w:t xml:space="preserve"> ונראה לי שרוצה לומר בית דין הדיוטות כלומר בקיאין בשומא כמו שכתב בתשו' </w:t>
      </w:r>
      <w:r>
        <w:rPr>
          <w:sz w:val="16"/>
          <w:szCs w:val="16"/>
          <w:rtl/>
        </w:rPr>
        <w:t xml:space="preserve">(כלל צ' סי' ז) </w:t>
      </w:r>
      <w:r>
        <w:rPr>
          <w:rtl/>
        </w:rPr>
        <w:t>'שלשה שמאים'..., ריב"ש</w:t>
      </w:r>
      <w:r>
        <w:rPr>
          <w:sz w:val="16"/>
          <w:szCs w:val="16"/>
          <w:rtl/>
        </w:rPr>
        <w:t xml:space="preserve"> (סי' שצו)</w:t>
      </w:r>
      <w:r>
        <w:rPr>
          <w:rtl/>
        </w:rPr>
        <w:t>.</w:t>
      </w:r>
    </w:p>
  </w:footnote>
  <w:footnote w:id="6085">
    <w:p w14:paraId="22365DD8" w14:textId="77777777" w:rsidR="0013116F" w:rsidRDefault="0013116F" w:rsidP="0004348D">
      <w:pPr>
        <w:pStyle w:val="a9"/>
      </w:pPr>
      <w:r>
        <w:rPr>
          <w:rStyle w:val="ab"/>
        </w:rPr>
        <w:footnoteRef/>
      </w:r>
      <w:r>
        <w:rPr>
          <w:rtl/>
        </w:rPr>
        <w:t xml:space="preserve"> יראה מדבריו אע"פ שעבר מזמן ההלואה ל' יום צריך להמתין מלמכרו ל' יום אחר התביעה, טור.</w:t>
      </w:r>
    </w:p>
  </w:footnote>
  <w:footnote w:id="6086">
    <w:p w14:paraId="1ABAFE3D" w14:textId="77777777" w:rsidR="0013116F" w:rsidRDefault="0013116F" w:rsidP="0004348D">
      <w:pPr>
        <w:pStyle w:val="a9"/>
        <w:rPr>
          <w:rtl/>
        </w:rPr>
      </w:pPr>
      <w:r>
        <w:rPr>
          <w:rStyle w:val="ab"/>
        </w:rPr>
        <w:footnoteRef/>
      </w:r>
      <w:r>
        <w:rPr>
          <w:rtl/>
        </w:rPr>
        <w:t xml:space="preserve"> ועיי"ש (ענף ג) אם בעל המשכון אומר שהלוה צוהו למכרו נאמן בשבועתו, דרכ"מ (אות ו).</w:t>
      </w:r>
    </w:p>
  </w:footnote>
  <w:footnote w:id="6087">
    <w:p w14:paraId="12B82AAD" w14:textId="77777777" w:rsidR="0013116F" w:rsidRDefault="0013116F" w:rsidP="0004348D">
      <w:pPr>
        <w:pStyle w:val="a9"/>
        <w:rPr>
          <w:rtl/>
        </w:rPr>
      </w:pPr>
      <w:r>
        <w:rPr>
          <w:rStyle w:val="ab"/>
        </w:rPr>
        <w:footnoteRef/>
      </w:r>
      <w:r>
        <w:rPr>
          <w:rtl/>
        </w:rPr>
        <w:t xml:space="preserve"> גם הטור בשם הרא"ש כתב כן אסתם הלואה, וסיים בטעמו ז"ל- שהרי אילו היה תובעו לדין היו נותנין לו זמן ל' יום. ולכאורה משמע דדוקא כתב כן אסתם הלואה, דאע"ג דאין צריך להמתין לו יותר מל' יום, מ"מ כיון דלא פירש הזמן בהדיא, צריך להמתין לו אחר זמן תביעתו ל' יום, אבל אם בתחילת ההלואה על המשכון קבע לו זמן שיפרענו לאחר ל', אין צריך להמתין במכירת המשכון עוד ל' יום. אבל לפי מאי דמסיק הטור לקמן בסימן ק' [סעיף ד'] דגם בהקובע זמן להלואתו ותובעו בסוף הזמן, נותנין לו זמן ל' יום, יש לומר דהוא הדין הכא, כיון דהרא"ש תלה זה בזה כנזכר לעיל, והמחבר בסימן ק' סעיף ב' כתב בלשון פלוגתא אי נותנין זמן ל' למי שקבעו לו זמן לפרעונו, סמ"ע (סקל"ז).</w:t>
      </w:r>
    </w:p>
  </w:footnote>
  <w:footnote w:id="6088">
    <w:p w14:paraId="3E49F162" w14:textId="77777777" w:rsidR="0013116F" w:rsidRDefault="0013116F" w:rsidP="0004348D">
      <w:pPr>
        <w:pStyle w:val="a9"/>
      </w:pPr>
      <w:r>
        <w:rPr>
          <w:rStyle w:val="ab"/>
        </w:rPr>
        <w:footnoteRef/>
      </w:r>
      <w:r>
        <w:rPr>
          <w:rtl/>
        </w:rPr>
        <w:t xml:space="preserve"> בסמ"ע [סקל"ט] הקשה, דכאן משמע שאילולא המנהג יכול למכרו בפחות משנה, ולקמן סימן שס"ט סעיף ח' כתב הר"ב דהמלוה על המשכון יכול למכרו אחר שנה, הואיל וכן דינא דמלכותא כו', דמשמע שאילולא המנהג היה צריך להמתין יותר משנה, ותירץ דשם מיירי בישראל שהלוה לחבירו על משכון של גוי, וכאן איירי בהלוה לישראל חבירו בלא ריבית. ואין תירוצו ברור. גם קשה על דבריו שהרי דין זה שכתב הר"ב לקמן הוא מהמרדכי פרק הגוזל בתרא [סי' קנ"ד], דאיתא שם המעשה באחד שמשכן ספרים לחבירו כו', וספרים ודאי לא היו של גוים. אלא נראה לתרץ דכאן מיירי שהמלוה תובעו, לכן לולא המנהג היה יכול למכרו בפחות משנה, אבל לקמן מיירי שאינו תובעו, ואחר שנה יכול למוכרו מיד בלא תביעה כלל, וכן כתב הגאון אמ"ו ז"ל בגליון הסמ"ע שלו... וכל זה כתבתי לדעת הר"ב, אך לענ"ד דברי הר"ב צל"ע בעיקר הדין שכתב הר"ב שלא יוכל למכרו בפחות משנה, שהוא דבר תמוה מאד לפי עניות דעתי, דכיון דעל פי דין תורה יכול למכרו לאחר ל' יום, היאך נלמוד מדיני גוים לבטל דין תורה, ח"ו לא תהא כזאת בישראל. ולא מיבעיא לאותן הפוסקים שסוברים דלא אמרינן דינא דמלכותא רק בדברים שהם להנאת המלך, ולא בין איש לחבירו... אלא אפילו לשאר פוסקים דסוברים דאמרינן דינא דמלכותא בכל דבר, היינו דוקא מה שאינו נגד דין תורתינו אלא שאינו מפורש אצלינו, אבל לדון בדיני הגוים בכל דבר נגד תורתינו, חלילה, ודאי לא יעשה כן בישראל. ובמרדכי שם לא כתב אלא באחד שמשכן ספרים אצל חבירו ומכרם אחר שנה ותבעו חבירו לדין, ופסק ר"י בר פרץ דאין עליו כלום משום דינא דמלכותא כו'. ונלפע"ד דהיינו משום דאין מפורש אצלינו שלא יוכל למכרו אחר שנה בלא תביעה, ואדרבה לכאורה נראה מש"ס דילן פרק איזהו נשך [ס"ח ע"א] להפך, דאמרינן סתם משכונא שתא אפילו בקרקע וכל שכן במטלטלין, ואם כן אין המלוה זקוק לשומרו יותר משנה, והלכך פסק דאזלינן בזה בתר דינא דמלכותא כיון שאין הדין מפורש אצלינו, וכמו שכתבתי לעיל ס"ק ל"ו בשם הראב"ד. אבל כאן בעל כרחך מיירי שהמלוה רוצה למכור המשכון ולגבות חובו עתה, אם כן כיון שהדין מפורש אצלינו בש"ס פרק המקבל [ב"מ קיג.], ובכל הפוסקים אין גם אחד שחולק דיכול למכרו לאחר ל' יום, היאך נלמוד מדיני גוים להכחיש דיני ישראל חלילה..., ש"ך (סקל"ט). ועיי"ש שהאריך הש"ך לפרש ולבאר מתי אמרינן דינא דמלכותא דינא ומתי לא.</w:t>
      </w:r>
    </w:p>
  </w:footnote>
  <w:footnote w:id="6089">
    <w:p w14:paraId="35BE21D5" w14:textId="77777777" w:rsidR="0013116F" w:rsidRDefault="0013116F" w:rsidP="0004348D">
      <w:pPr>
        <w:pStyle w:val="a9"/>
      </w:pPr>
      <w:r>
        <w:rPr>
          <w:rStyle w:val="ab"/>
        </w:rPr>
        <w:footnoteRef/>
      </w:r>
      <w:r>
        <w:rPr>
          <w:rtl/>
        </w:rPr>
        <w:t xml:space="preserve"> מבואר בדברי הרא"ש </w:t>
      </w:r>
      <w:r>
        <w:rPr>
          <w:sz w:val="16"/>
          <w:szCs w:val="16"/>
          <w:rtl/>
        </w:rPr>
        <w:t xml:space="preserve">(בכלל צ' סי' ד) </w:t>
      </w:r>
      <w:r>
        <w:rPr>
          <w:rtl/>
        </w:rPr>
        <w:t xml:space="preserve">שצריך להודיע לבעל המשכון בפני עדים שיפדנו, ומה שכתב בתשובה זו שדי להודיעו בינו לבינו - נראה לי שרוצה לומר בעדים ושלא בפני בית דין כדי שלא יהיו דברי הרב סותרים זה את זה, ריב"ש </w:t>
      </w:r>
      <w:r>
        <w:rPr>
          <w:sz w:val="16"/>
          <w:szCs w:val="16"/>
          <w:rtl/>
        </w:rPr>
        <w:t>(סי' שצו)</w:t>
      </w:r>
      <w:r>
        <w:rPr>
          <w:rtl/>
        </w:rPr>
        <w:t>.</w:t>
      </w:r>
    </w:p>
  </w:footnote>
  <w:footnote w:id="6090">
    <w:p w14:paraId="5A24AB10" w14:textId="77777777" w:rsidR="0013116F" w:rsidRDefault="0013116F" w:rsidP="0004348D">
      <w:pPr>
        <w:pStyle w:val="a9"/>
      </w:pPr>
      <w:r>
        <w:rPr>
          <w:rStyle w:val="ab"/>
        </w:rPr>
        <w:footnoteRef/>
      </w:r>
      <w:r>
        <w:rPr>
          <w:rtl/>
        </w:rPr>
        <w:t xml:space="preserve"> ונראה שדעתו ז"ל שמה ששנינו בפרק המקבל מל' יום ולהלן מוכרן בב"ד - ר"ל ב"ד הדיוטות כיון שהוא מוחזק וקונה משכון, כדאמרינן </w:t>
      </w:r>
      <w:r>
        <w:rPr>
          <w:sz w:val="16"/>
          <w:szCs w:val="16"/>
          <w:rtl/>
        </w:rPr>
        <w:t xml:space="preserve">(ב"מ לב.) </w:t>
      </w:r>
      <w:r>
        <w:rPr>
          <w:rtl/>
        </w:rPr>
        <w:t xml:space="preserve">באלמנה אינה צריכה ב"ד מומחין אבל צריכה ב"ד הדיוטות מפני שהנכסים בחזקתה, וכן פירשו המפרשים מוכרן בבית דין דפרק המפקיד </w:t>
      </w:r>
      <w:r>
        <w:rPr>
          <w:sz w:val="16"/>
          <w:szCs w:val="16"/>
          <w:rtl/>
        </w:rPr>
        <w:t xml:space="preserve">(שם לח.) </w:t>
      </w:r>
      <w:r>
        <w:rPr>
          <w:rtl/>
        </w:rPr>
        <w:t xml:space="preserve">גבי שמן והבאיש דבש והדביש, דאי בית דין מומחין אמאי אין מוכרן לעצמו והלא הב"ד הם המוכרים, אבל כשהב"ד אינם מומחין רק שמאין אז הוא המוכר ואינו רשאי ליקח לעצמו, ריב"ש </w:t>
      </w:r>
      <w:r>
        <w:rPr>
          <w:sz w:val="16"/>
          <w:szCs w:val="16"/>
          <w:rtl/>
        </w:rPr>
        <w:t>(סי' שצו)</w:t>
      </w:r>
      <w:r>
        <w:rPr>
          <w:rtl/>
        </w:rPr>
        <w:t xml:space="preserve">. </w:t>
      </w:r>
      <w:r>
        <w:rPr>
          <w:color w:val="E36C0A" w:themeColor="accent6" w:themeShade="BF"/>
          <w:rtl/>
        </w:rPr>
        <w:t>(וכ"כ בשו"ע</w:t>
      </w:r>
      <w:r>
        <w:rPr>
          <w:sz w:val="16"/>
          <w:szCs w:val="16"/>
          <w:rtl/>
        </w:rPr>
        <w:t xml:space="preserve"> [סע' טז]</w:t>
      </w:r>
      <w:r>
        <w:rPr>
          <w:color w:val="E36C0A" w:themeColor="accent6" w:themeShade="BF"/>
          <w:rtl/>
        </w:rPr>
        <w:t>)</w:t>
      </w:r>
    </w:p>
  </w:footnote>
  <w:footnote w:id="6091">
    <w:p w14:paraId="4BC377FA" w14:textId="77777777" w:rsidR="0013116F" w:rsidRDefault="0013116F" w:rsidP="0004348D">
      <w:pPr>
        <w:pStyle w:val="a9"/>
      </w:pPr>
      <w:r>
        <w:rPr>
          <w:rStyle w:val="ab"/>
        </w:rPr>
        <w:footnoteRef/>
      </w:r>
      <w:r>
        <w:rPr>
          <w:rtl/>
        </w:rPr>
        <w:t xml:space="preserve"> וגם אפילו כשנתנו לסרסור העיר בפני עדים נראה מלשונו שחייב לשלם כמה שהיה שוה ולא כמה שנמכר ע"י הסרסור, ונראה לי הטעם שכיון שנמכר על ידי סרסור הממונה בעיר אי אפשר לבטל המכר, וכיון שמכרו שלא ברשות בית דין אע"פ שהודיע ללוה חייב לפרוע כמה שהיה שוה בשעת המכירה, ואם הוזל או הוקר אינו משלם רק כשעת הוצאה מן העולם דהיינו שעת המכירה, דלא יהא אלא שמוכר מה שאינו שלו הוי ליה גזלן ומשלם כשעת הגזילה כדאיתא בפרק הגוזל קמא </w:t>
      </w:r>
      <w:r>
        <w:rPr>
          <w:sz w:val="16"/>
          <w:szCs w:val="16"/>
          <w:rtl/>
        </w:rPr>
        <w:t xml:space="preserve">(ב"ק קג.) </w:t>
      </w:r>
      <w:r>
        <w:rPr>
          <w:rtl/>
        </w:rPr>
        <w:t>בעובדא דרב כהנא דיהב זוזי אכיתנא, ריב"ש</w:t>
      </w:r>
      <w:r>
        <w:rPr>
          <w:sz w:val="16"/>
          <w:szCs w:val="16"/>
          <w:rtl/>
        </w:rPr>
        <w:t xml:space="preserve"> (סי' שצו)</w:t>
      </w:r>
      <w:r>
        <w:rPr>
          <w:rtl/>
        </w:rPr>
        <w:t>.</w:t>
      </w:r>
    </w:p>
  </w:footnote>
  <w:footnote w:id="6092">
    <w:p w14:paraId="24DE92A1" w14:textId="77777777" w:rsidR="0013116F" w:rsidRDefault="0013116F" w:rsidP="0004348D">
      <w:pPr>
        <w:pStyle w:val="a9"/>
      </w:pPr>
      <w:r>
        <w:rPr>
          <w:rStyle w:val="ab"/>
        </w:rPr>
        <w:footnoteRef/>
      </w:r>
      <w:r>
        <w:rPr>
          <w:rtl/>
        </w:rPr>
        <w:t xml:space="preserve"> מה שהרב מאמינו בשבועתו כמה היה שוה אע"פ שהוא כגזלן שמוכר מה שאינו שלו - היינו משום דלא משמע להו לאינשי דליהוי גזלן בכה"ג כדאמרינן בפרק זה בורר </w:t>
      </w:r>
      <w:r>
        <w:rPr>
          <w:sz w:val="16"/>
          <w:szCs w:val="16"/>
          <w:rtl/>
        </w:rPr>
        <w:t xml:space="preserve">(סנהדרין כה:) </w:t>
      </w:r>
      <w:r>
        <w:rPr>
          <w:rtl/>
        </w:rPr>
        <w:t xml:space="preserve">גבי חמסנין, ריב"ש </w:t>
      </w:r>
      <w:r>
        <w:rPr>
          <w:sz w:val="16"/>
          <w:szCs w:val="16"/>
          <w:rtl/>
        </w:rPr>
        <w:t>(סי' שצו)</w:t>
      </w:r>
      <w:r>
        <w:rPr>
          <w:rtl/>
        </w:rPr>
        <w:t>.</w:t>
      </w:r>
    </w:p>
  </w:footnote>
  <w:footnote w:id="6093">
    <w:p w14:paraId="09ABF80B" w14:textId="77777777" w:rsidR="0013116F" w:rsidRDefault="0013116F" w:rsidP="0004348D">
      <w:pPr>
        <w:pStyle w:val="a9"/>
        <w:rPr>
          <w:rtl/>
        </w:rPr>
      </w:pPr>
      <w:r>
        <w:rPr>
          <w:rStyle w:val="ab"/>
        </w:rPr>
        <w:footnoteRef/>
      </w:r>
      <w:r>
        <w:rPr>
          <w:rtl/>
        </w:rPr>
        <w:t xml:space="preserve"> ולשון זה צריך תיקון שאם מתו הלוה והמלוה היאך כתב שנשבע בנקיטת חפץ, שהיורשים אין להם לישבע אלא שלא פקדנו אבא. וצריך לומר דהכי קאמר- המלוה את חבירו על המשכון הואיל והוא נפרע ממה שתחת ידו וכו' הרי זה נשבע בנקיטת חפץ ונוטל ואפילו אם מתו הלוה והמלוה ואפילו אם לוה מת תחלה ואח"כ מת מלוה לא הפסיד חובו מפני שהוא על המשכון. וכמו שכתב הה"מ (שם), ב"י. ולא אמרינן שהמלוה היה מחוייב שבועה ואין אדם מוריש שבועה לבניו, דרכ"מ (אות י).</w:t>
      </w:r>
    </w:p>
  </w:footnote>
  <w:footnote w:id="6094">
    <w:p w14:paraId="25577166" w14:textId="77777777" w:rsidR="0013116F" w:rsidRDefault="0013116F" w:rsidP="0004348D">
      <w:pPr>
        <w:pStyle w:val="a9"/>
        <w:rPr>
          <w:rtl/>
        </w:rPr>
      </w:pPr>
      <w:r>
        <w:rPr>
          <w:rStyle w:val="ab"/>
        </w:rPr>
        <w:footnoteRef/>
      </w:r>
      <w:r>
        <w:rPr>
          <w:rtl/>
        </w:rPr>
        <w:t xml:space="preserve"> ואע"ג דבאלמנה גופה שמכרה שלא בב"ד או ששמה לעצמה, ס"ל להרמב"ם </w:t>
      </w:r>
      <w:r>
        <w:rPr>
          <w:sz w:val="16"/>
          <w:szCs w:val="16"/>
          <w:rtl/>
        </w:rPr>
        <w:t xml:space="preserve">[פי"ז מאישות הי"ד] </w:t>
      </w:r>
      <w:r>
        <w:rPr>
          <w:rtl/>
        </w:rPr>
        <w:t xml:space="preserve">ויש פוסקים דהוי מכירה בדיעבד, והביא המחבר דעתם באה"ע ס"ס צ"ג </w:t>
      </w:r>
      <w:r>
        <w:rPr>
          <w:sz w:val="16"/>
          <w:szCs w:val="16"/>
          <w:rtl/>
        </w:rPr>
        <w:t xml:space="preserve">[סע' כה] </w:t>
      </w:r>
      <w:r>
        <w:rPr>
          <w:rtl/>
        </w:rPr>
        <w:t>ור"ס ק"ג. י"ל דהיינו דוקא באלמנה משום חינא, משא"כ הכא, ש"ך</w:t>
      </w:r>
      <w:r>
        <w:rPr>
          <w:sz w:val="16"/>
          <w:szCs w:val="16"/>
          <w:rtl/>
        </w:rPr>
        <w:t xml:space="preserve"> (סקמ"א)</w:t>
      </w:r>
      <w:r>
        <w:rPr>
          <w:rtl/>
        </w:rPr>
        <w:t>.</w:t>
      </w:r>
    </w:p>
  </w:footnote>
  <w:footnote w:id="6095">
    <w:p w14:paraId="26A620C3" w14:textId="77777777" w:rsidR="0013116F" w:rsidRDefault="0013116F" w:rsidP="0004348D">
      <w:pPr>
        <w:pStyle w:val="a9"/>
      </w:pPr>
      <w:r>
        <w:rPr>
          <w:rStyle w:val="ab"/>
        </w:rPr>
        <w:footnoteRef/>
      </w:r>
      <w:r>
        <w:rPr>
          <w:rtl/>
        </w:rPr>
        <w:t xml:space="preserve"> כתב הסמ"ע [סקמ"ב] וז"ל- אין ר"ל שהוא מודה שהיה שוה יותר אלא שאינו יודע כמה, דא"כ הו"ל דין זה כמי שמחויב שבועה ואינו יכול לישבע משלם, דנוטל שכנגדו בלא שבועה, וכמו שמבואר בסימן ע"ב סעיף י"ב, אלא רצה לומר דאינו יודע כמה היה שוה, ויכול להיות שלא היה שוה יותר, ואע"פ דבכי האי גוונא נתבאר שם בסימן ע"ב דהמלוה נשבע היסת ונפטר אפילו אם אבד בפשיעה, שאני הכא דפשע בידים למכור משכונו של חבירו שלא ברשות, עכ"ל. ולא ידענא מה חילוק יש בין פשע בידים או לא. ובב"ח [סעיף כ"ד] תירץ וז"ל, ונראה לחלק, דדוקא בנאבד ע"י פשיעה הוא דנשבע היסת ונפטר, אבל כאן דמכרו בידים הוה ליה כגזלן, ומשום תקנת נגזל נגעו בה שישבע הלוה ויטול... וגם זה אינו נראה לענ"ד, דלמה יחשב כגזלן במה שמכר משכון שבידו. ועוד, כיון דבטוען ברי שהיה שוה כך לא חשיב גזלן, אם כן למה יחשב כגזלן בטוען שמא. ולא דמי לפקדון דעשו בו תקנת נגזל בשמא, דהתם היינו טעמא כדי שיהא כל אחד ואחד נזהר בשמירת הפקדון... אלא נראה לענ"ד דכאן הכי פירושו, ואם אינו יודע כמה היה שוה ואינו רוצה לישבע שאינו יודע מחמת שירא שמא לא ישבע באמת כיון שהוא מסופק, או שיודע בבירור שאינו שוה יותר ואפילו הכי אינו רוצה לישבע מפני שאינו רוצה לישבע אפילו באמת, ישבע הלוה כו'. ואע"פ שהלשון דחוק קצת לפי זה, מכל מקום נראה לפי עניות דעתי לדינא עיקר כמו שכתבתי, ש"ך (סקמ"ג). והט"ז תירץ דשאני הכא דה"ל גזלן גמור כיון שאינו יודע שוויו היאך ימכרנו, אלא ודאי דלא אכפת ליה בממון חבירו.</w:t>
      </w:r>
    </w:p>
  </w:footnote>
  <w:footnote w:id="6096">
    <w:p w14:paraId="4E438FFD" w14:textId="77777777" w:rsidR="0013116F" w:rsidRDefault="0013116F" w:rsidP="0004348D">
      <w:pPr>
        <w:pStyle w:val="a9"/>
      </w:pPr>
      <w:r>
        <w:rPr>
          <w:rStyle w:val="ab"/>
        </w:rPr>
        <w:footnoteRef/>
      </w:r>
      <w:r>
        <w:rPr>
          <w:rtl/>
        </w:rPr>
        <w:t xml:space="preserve"> היינו כמו שנתבאר לעיל ריש סימן ג' דאית בהו חד דגמיר. והדיוטות היינו דלית בהו אפילו חד דגמיר, ש"ך (סקמ"ה).</w:t>
      </w:r>
    </w:p>
  </w:footnote>
  <w:footnote w:id="6097">
    <w:p w14:paraId="10F7AAC4" w14:textId="77777777" w:rsidR="0013116F" w:rsidRDefault="0013116F" w:rsidP="0004348D">
      <w:pPr>
        <w:pStyle w:val="a9"/>
      </w:pPr>
      <w:r>
        <w:rPr>
          <w:rStyle w:val="ab"/>
        </w:rPr>
        <w:footnoteRef/>
      </w:r>
      <w:r>
        <w:rPr>
          <w:rtl/>
        </w:rPr>
        <w:t xml:space="preserve"> משום חשד, וכמו שכתבו הטור והמחבר בר"ס ע"ב. ושם, דאיירי בשכירות, לא כתב דעת יש אומרים דאם נעשה על פי ג' מומחין שרי כמו שכתב כאן, משום דבשכירות אין רגילין ליקח ג' מומחין, סמ"ע (סקמ"ג). והט"ז השיג על דבריו וכתב דאדרבה התם ב"ד הדיוטות נמי מועיל, שהא הביא שם רמ"א דבהתנו תחילה מותר, וכבר הוכחנו שם בהוכחות חזקות, דהיינו קודם התשמיש שמשתמש במשכון סגי בהתנה, ולא עוד אלא אפילו בפני עדים סגי שם בהתנה </w:t>
      </w:r>
      <w:r>
        <w:rPr>
          <w:sz w:val="16"/>
          <w:szCs w:val="16"/>
          <w:rtl/>
        </w:rPr>
        <w:t>(וכתב החכ"צ [בהגהותיו על הט"ז] דאפשר לדחות, דשאני במתנה עם הבעל דבר עצמו, דאיהו ידע וקמחיל כל מה שישתמש בו בעד אותו הסך שקצבו ביניהם, אבל בב"ד שלא בפני בעל דבר, איכא למיחש לחשדא דבעל דבר עצמו, שיחשדהו שבוקע בו יותר מן הראוי או בדברים קשים יותר מדאי וכיוצא בזה, ואין מי שישגיח עליו, שהב"ד ודאי לא יפשפשו אחריו בדבר זה, אבל כשהוא משכירו לאחרים הוא משגיח עליו שלא יתקלקל, לאפוקי במכירה לא שייך האי חשדא, ולפ"ז בשכירות לעצמו אפילו בב"ד אסור, ולכן לא הזכירוהו השו"ע והרמ"א. עכ"ל החכ"צ)</w:t>
      </w:r>
      <w:r>
        <w:rPr>
          <w:rtl/>
        </w:rPr>
        <w:t xml:space="preserve">. </w:t>
      </w:r>
      <w:bookmarkStart w:id="907" w:name="_Hlk17908804"/>
      <w:r>
        <w:rPr>
          <w:rtl/>
        </w:rPr>
        <w:t xml:space="preserve">והש"ך (סקמ"ו) כתב דהריב"ש נמשך לשיטתו, אבל מדברי התוס' </w:t>
      </w:r>
      <w:r>
        <w:rPr>
          <w:sz w:val="16"/>
          <w:szCs w:val="16"/>
          <w:rtl/>
        </w:rPr>
        <w:t>(פרק אלו מציאות [ב"מ לב. ד"ה בית דין] ופרק אלמנה ניזונית [כתובות צח. ד"ה דאמרי] ופ"ק דפסחים [יג. ד"ה מאי לאו])</w:t>
      </w:r>
      <w:r>
        <w:rPr>
          <w:rtl/>
        </w:rPr>
        <w:t xml:space="preserve"> משמע להדיא דאף ע"פ ב"ד מומחים אינו רשאי ללקחו לעצמו </w:t>
      </w:r>
      <w:r>
        <w:rPr>
          <w:sz w:val="16"/>
          <w:szCs w:val="16"/>
          <w:rtl/>
        </w:rPr>
        <w:t>(וכן משמע לכאורה בדברי הה"מ בשם הגאון בספר המקח [שער ו' דרך ח' ענין ב'] שכתב בסתם שאינו רשאי ללקחו לעצמו, משמע דבכל ענין אסור. וכן משמע יותר בספר המקח עצמו שער ו' וז"ל, וזה שהמשכון אצלו יש בו ג' תנאים. הא', שיודיע בעל המשכון קודם מכירתו אם הוא עמו באותו מקום. הב', שלא יקח אותו לעצמו ואפילו בדמיו. הג', שלא ימכור אותו אלא בב"ד, עכ"ל. וכן משמע בבעל התרומות [שער מט ח"ה ס"א] ע"ש)</w:t>
      </w:r>
      <w:r>
        <w:rPr>
          <w:rtl/>
        </w:rPr>
        <w:t>, ומשמע התם בתוס' דאפילו בדיעבד לא הוי המכירה מכירה, וע"ש עוד, וכן נלפע"ד עיקר, דסתם מוכרן בב"ד היינו בית דין מומחים, וכמו שכתבתי לעיל סק"מ, ואפ"ה קתני בפרק המפקיד [לח.] מוכרן בב"ד ואינו מוכרן לעצמו, ע"ש.</w:t>
      </w:r>
      <w:bookmarkEnd w:id="907"/>
    </w:p>
  </w:footnote>
  <w:footnote w:id="6098">
    <w:p w14:paraId="085ECA1E" w14:textId="77777777" w:rsidR="0013116F" w:rsidRDefault="0013116F" w:rsidP="0004348D">
      <w:pPr>
        <w:pStyle w:val="a9"/>
        <w:rPr>
          <w:rtl/>
        </w:rPr>
      </w:pPr>
      <w:r>
        <w:rPr>
          <w:rStyle w:val="ab"/>
        </w:rPr>
        <w:footnoteRef/>
      </w:r>
      <w:r>
        <w:rPr>
          <w:rtl/>
        </w:rPr>
        <w:t xml:space="preserve"> וכן כתב המרדכי בתשובה סוף פרק שבועת הדיינים (סי' תשעה). ובמישרים נתיב ל' ח"ה (בסופו) משמע דאין אסמכתא במשכון. ועיין לקמן סימן ר"ז מדינים אלו, דרכ"מ (אות יא).</w:t>
      </w:r>
    </w:p>
  </w:footnote>
  <w:footnote w:id="6099">
    <w:p w14:paraId="377C9B1E" w14:textId="77777777" w:rsidR="0013116F" w:rsidRDefault="0013116F" w:rsidP="0004348D">
      <w:pPr>
        <w:pStyle w:val="a9"/>
        <w:rPr>
          <w:rtl/>
        </w:rPr>
      </w:pPr>
      <w:r>
        <w:rPr>
          <w:rStyle w:val="ab"/>
        </w:rPr>
        <w:footnoteRef/>
      </w:r>
      <w:r>
        <w:rPr>
          <w:rtl/>
        </w:rPr>
        <w:t xml:space="preserve"> וכ"פ ר"ת (ספר הישר חידושים סי' תקצג)</w:t>
      </w:r>
      <w:r>
        <w:rPr>
          <w:sz w:val="24"/>
          <w:szCs w:val="24"/>
          <w:rtl/>
        </w:rPr>
        <w:t xml:space="preserve"> </w:t>
      </w:r>
      <w:r>
        <w:rPr>
          <w:rtl/>
        </w:rPr>
        <w:t xml:space="preserve">וכתבה המרדכי בפרק איזהו נשך (סי' שכא) ועיין בהגהות פ"ג ממלוה (אות ז) ופי"א ממכירה (אות ד). ובנתיב י"ו (מט ע"ג) כתב על דין זה בשם ספר התרומות (שער מו ח"ד סי' כג) שאסור לעשות כן בפחות משוויו. ועיין בתשובת הרא"ש ז"ל שכתב רבינו בסימן שאחר זה (סי' עג סכ"ו - כז) ובתשובת רש"י שכתבתי בתחלת סימן זה (מחו' ב) ובמרדכי פרק שבועת הדיינים (סי' תשעה), ב"י </w:t>
      </w:r>
      <w:r>
        <w:rPr>
          <w:sz w:val="16"/>
          <w:szCs w:val="16"/>
          <w:rtl/>
        </w:rPr>
        <w:t>(סי' עב מחו' מ,</w:t>
      </w:r>
      <w:r>
        <w:rPr>
          <w:color w:val="FF0000"/>
          <w:sz w:val="16"/>
          <w:szCs w:val="16"/>
          <w:rtl/>
        </w:rPr>
        <w:t xml:space="preserve"> צל"ע מדוע הביא את דבריו שם ולא כאן</w:t>
      </w:r>
      <w:r>
        <w:rPr>
          <w:sz w:val="16"/>
          <w:szCs w:val="16"/>
          <w:rtl/>
        </w:rPr>
        <w:t>)</w:t>
      </w:r>
      <w:r>
        <w:rPr>
          <w:rtl/>
        </w:rPr>
        <w:t xml:space="preserve">. </w:t>
      </w:r>
    </w:p>
  </w:footnote>
  <w:footnote w:id="6100">
    <w:p w14:paraId="4257ACE8" w14:textId="77777777" w:rsidR="0013116F" w:rsidRDefault="0013116F" w:rsidP="0004348D">
      <w:pPr>
        <w:pStyle w:val="a9"/>
        <w:rPr>
          <w:rtl/>
        </w:rPr>
      </w:pPr>
      <w:r>
        <w:rPr>
          <w:rStyle w:val="ab"/>
        </w:rPr>
        <w:footnoteRef/>
      </w:r>
      <w:r>
        <w:rPr>
          <w:rtl/>
        </w:rPr>
        <w:t xml:space="preserve"> ולא דמי להא דכתב הנמוק"י (סוף ב"מ עב: ד"ה גמ' מי) דמי שיש בידו משכון מחבירו ודחקו לפדותו ואמר לו הלוה יהא המשכון שלך לא קנה ליה וטעמא משום דדחויי מדחי ליה. וכ"פ בשו"ע (סי' עב סע' כו).</w:t>
      </w:r>
    </w:p>
  </w:footnote>
  <w:footnote w:id="6101">
    <w:p w14:paraId="38912669" w14:textId="77777777" w:rsidR="0013116F" w:rsidRDefault="0013116F" w:rsidP="0004348D">
      <w:pPr>
        <w:pStyle w:val="a9"/>
      </w:pPr>
      <w:r>
        <w:rPr>
          <w:rStyle w:val="ab"/>
        </w:rPr>
        <w:footnoteRef/>
      </w:r>
      <w:r>
        <w:rPr>
          <w:rtl/>
        </w:rPr>
        <w:t xml:space="preserve"> </w:t>
      </w:r>
      <w:r>
        <w:rPr>
          <w:rFonts w:hint="cs"/>
          <w:rtl/>
        </w:rPr>
        <w:t>ומבואר יותר בתשובה ח"ג סי' נג.</w:t>
      </w:r>
    </w:p>
  </w:footnote>
  <w:footnote w:id="6102">
    <w:p w14:paraId="337B53BA" w14:textId="77777777" w:rsidR="0013116F" w:rsidRDefault="0013116F" w:rsidP="0004348D">
      <w:pPr>
        <w:pStyle w:val="a9"/>
        <w:rPr>
          <w:rtl/>
        </w:rPr>
      </w:pPr>
      <w:r>
        <w:rPr>
          <w:rStyle w:val="ab"/>
        </w:rPr>
        <w:footnoteRef/>
      </w:r>
      <w:r>
        <w:rPr>
          <w:rtl/>
        </w:rPr>
        <w:t xml:space="preserve"> עיין מה שכתבתי לקמן ס"ק נ' דדברי המחבר צל"ע, דהרבה פוסקים חולקים על זה, ושכן נלפע"ד עיקר דבמשכון מטלטלים אפילו לא אמר לו קני מעכשיו, לית ביה משום אסמכתא, ש"ך (סקמ"ח).</w:t>
      </w:r>
    </w:p>
  </w:footnote>
  <w:footnote w:id="6103">
    <w:p w14:paraId="1D47C849" w14:textId="77777777" w:rsidR="0013116F" w:rsidRDefault="0013116F" w:rsidP="0004348D">
      <w:pPr>
        <w:pStyle w:val="a9"/>
      </w:pPr>
      <w:r>
        <w:rPr>
          <w:rStyle w:val="ab"/>
        </w:rPr>
        <w:footnoteRef/>
      </w:r>
      <w:r>
        <w:rPr>
          <w:rtl/>
        </w:rPr>
        <w:t xml:space="preserve"> תמיה לי אמה שכתב המחבר דין זה בשם יש מי שאומר, שלפע"ד דין זה הוא ש"ס ערוך פרק איזהו נשך ומוסכם מכל הפוסקים, ש"ך (סק"נ). </w:t>
      </w:r>
    </w:p>
  </w:footnote>
  <w:footnote w:id="6104">
    <w:p w14:paraId="65DB5775" w14:textId="77777777" w:rsidR="0013116F" w:rsidRDefault="0013116F" w:rsidP="0004348D">
      <w:pPr>
        <w:pStyle w:val="a9"/>
        <w:rPr>
          <w:rtl/>
        </w:rPr>
      </w:pPr>
      <w:r>
        <w:rPr>
          <w:rStyle w:val="ab"/>
        </w:rPr>
        <w:footnoteRef/>
      </w:r>
      <w:r>
        <w:rPr>
          <w:rtl/>
        </w:rPr>
        <w:t xml:space="preserve"> והיינו דאמר דיהיה קנוי לו מעכשיו כל המשכון, דבמעכשיו לית ביה משום אסמכתא כמ"ש לקמן סימן ר"ז [סע' יד], אבל כשיגבה חובו מהמשכון ולא אמר עליו שיקנהו מעכשיו, אלא על המותר אמר שיקנהו מעכשיו, כיון דמה שאמר שיגבה מעצמו חובו הוי אסמכתא, גם בהמותר ה"ל אסמכתא, סמ"ע (סקמ"ד). והש"ך (סקמ"ז) כתב שאין חילוק זה מחוור, דכיון דבמעכשיו ליכא אסמכתא, מה לי כולו או מקצתו. אלא נראה... דכיון דאמר מעכשיו מיחזי כזביני, וכמו שכתבו התוס' [ב"מ פרק איזהו נשך סו. ד"ה ומניומי] והרא"ש [שם פ"ה סי' כט] ופוסקים לשם, ומשמע שם להדיא מדבריהם דהיכא דלא מיחזי כזביני אלא כקונס עצמו - הוי אסמכתא. ומהאי טעמא כתב הנמוק"י [פרק הזהב כט. מדפה"ר ד"ה דיו שיקנה] ויש פוסקים בשם הרמב"ן [שם מח:] והר"ן, דהא דבמשכון ליכא משום אסמכתא, הני מילי באומר 'אין לי עליך כלום ולא לך עלי אלא יצא חובך במשכוני', דבכי הא איכא למימר דמשעה ראשונה קנייה, דזביני נינהו, אבל אם אמר לו 'אם לא פרעתיך מכאן ועד יום פלוני משכוני יהא שלך ואני אפרע לך חובך', בכה"ג לאו זביני נינהו אלא ערבון וקנס, ואסמכתא היא ולא קניא, עכ"ל. הכא נמי אע"ג דלא אמר ליה אפרע לך חובך, מ"מ כיון דאמר לו שיגבה כדי חובו מהמשכון והמותר יהא מתנה, פשיטא דקנס הוא ולא מיחזי כלל כזביני.</w:t>
      </w:r>
    </w:p>
  </w:footnote>
  <w:footnote w:id="6105">
    <w:p w14:paraId="2AB71386" w14:textId="77777777" w:rsidR="0013116F" w:rsidRDefault="0013116F" w:rsidP="0004348D">
      <w:pPr>
        <w:pStyle w:val="a9"/>
      </w:pPr>
      <w:r>
        <w:rPr>
          <w:rStyle w:val="ab"/>
        </w:rPr>
        <w:footnoteRef/>
      </w:r>
      <w:r>
        <w:rPr>
          <w:rtl/>
        </w:rPr>
        <w:t xml:space="preserve"> אף שכתב לו אם לא פרעתיך לזמן פלוני יהא לך רשות למכור, וקנה בקנין על זה, יכול לחזור בו ולמחות, ואפילו מכרו אחר שמיחה בו שלא ימכרנו, מכרו בטל שכבר נתבטלה שליחותו, כ"ה בתשו' רשב"א </w:t>
      </w:r>
      <w:r>
        <w:rPr>
          <w:sz w:val="16"/>
          <w:szCs w:val="16"/>
          <w:rtl/>
        </w:rPr>
        <w:t xml:space="preserve">(ח"א סי' אלף י) </w:t>
      </w:r>
      <w:r>
        <w:rPr>
          <w:rtl/>
        </w:rPr>
        <w:t xml:space="preserve">וע"ל סי' קפב סע' ב, ש"ך </w:t>
      </w:r>
      <w:r>
        <w:rPr>
          <w:sz w:val="16"/>
          <w:szCs w:val="16"/>
          <w:rtl/>
        </w:rPr>
        <w:t>(סקנ"ב)</w:t>
      </w:r>
      <w:r>
        <w:rPr>
          <w:rtl/>
        </w:rPr>
        <w:t>.</w:t>
      </w:r>
    </w:p>
  </w:footnote>
  <w:footnote w:id="6106">
    <w:p w14:paraId="4C74C45C" w14:textId="77777777" w:rsidR="0013116F" w:rsidRDefault="0013116F" w:rsidP="0004348D">
      <w:pPr>
        <w:pStyle w:val="a9"/>
        <w:rPr>
          <w:rtl/>
        </w:rPr>
      </w:pPr>
      <w:r>
        <w:rPr>
          <w:rStyle w:val="ab"/>
        </w:rPr>
        <w:footnoteRef/>
      </w:r>
      <w:r>
        <w:rPr>
          <w:rtl/>
        </w:rPr>
        <w:t xml:space="preserve"> נלפע"ד אפילו בדבר שיש לו קצבה כאן כ' זהובים, כיון שהוליכו למדי ושם שוה ל' זהובים. ומש"כ הב"ח [סעיף ל'] דמיירי דוקא בדבר שאין לו קצבה, והוכיח כן מלקמן סימן קפ"ג סעיף ו', קאי אמכרו כאן, ש"ך (סקנ"ד).</w:t>
      </w:r>
    </w:p>
  </w:footnote>
  <w:footnote w:id="6107">
    <w:p w14:paraId="369DDE9B" w14:textId="77777777" w:rsidR="0013116F" w:rsidRDefault="0013116F" w:rsidP="0004348D">
      <w:pPr>
        <w:pStyle w:val="a9"/>
        <w:rPr>
          <w:rtl/>
        </w:rPr>
      </w:pPr>
      <w:r>
        <w:rPr>
          <w:rStyle w:val="ab"/>
        </w:rPr>
        <w:footnoteRef/>
      </w:r>
      <w:r>
        <w:rPr>
          <w:rtl/>
        </w:rPr>
        <w:t xml:space="preserve"> לאו דוקא חפץ, אלא ה"ה מעות, כל שהן בידו בתורת פקדון ובעין. ודוקא בהלואה דניתנה להוצאה שייך לשון מחילה, וכן מבואר לקמן ר"ס רמא, סמ"ע (סקמ"ט). ואין מבואר כן לקמן סימן רמ"א, אלא דאזיל לטעמיה שפירש כן לקמן סימן רמ"א סק"ו, וכ"כ הב"ח כאן [סע' לא]. ונראין דבריהם דוקא במעות פקדון צרורים וחתומים, דאל"כ כיון שיכול להשתמש בהן ואפילו תובע אותם המפקיד קודם שהוציאם אינו צריך להחזיר אותם המעות עצמם אלא יכול ליתן מעות אחרים, וכמו שכתבתי לקמן סימן רצ"ב סעיף ז' [סק"ח] בשם התוס' דפרק אלו מציאות [כט. ד"ה והוי], א"כ דמי להלואה ושייך בהו לשון מחילה, ש"ך (סקנ"ה). והחכ"צ (בהגהותיו על הט"ז) כתב דהש"ך שגג בכאן שגגה גדולה, דאדרבה מוכח מהתוס' דלדידן דקיי"ל דהוי שומר שכר, אם תבעם המפקיד קודם שהוציאם ודאי צריך ליתן לו את שלו דוקא ולא מעות אחרים.</w:t>
      </w:r>
    </w:p>
  </w:footnote>
  <w:footnote w:id="6108">
    <w:p w14:paraId="6171AA56" w14:textId="77777777" w:rsidR="0013116F" w:rsidRDefault="0013116F" w:rsidP="0004348D">
      <w:pPr>
        <w:pStyle w:val="a9"/>
      </w:pPr>
      <w:r>
        <w:rPr>
          <w:rStyle w:val="ab"/>
        </w:rPr>
        <w:footnoteRef/>
      </w:r>
      <w:r>
        <w:rPr>
          <w:rtl/>
        </w:rPr>
        <w:t xml:space="preserve"> </w:t>
      </w:r>
      <w:r>
        <w:rPr>
          <w:rFonts w:hint="cs"/>
          <w:rtl/>
        </w:rPr>
        <w:t>סימן – קבלת חוב ביישוב. וכן – קח יישוב.</w:t>
      </w:r>
    </w:p>
  </w:footnote>
  <w:footnote w:id="6109">
    <w:p w14:paraId="60A090C3" w14:textId="77777777" w:rsidR="0013116F" w:rsidRDefault="0013116F" w:rsidP="0004348D">
      <w:pPr>
        <w:pStyle w:val="a9"/>
      </w:pPr>
      <w:r>
        <w:rPr>
          <w:rStyle w:val="ab"/>
        </w:rPr>
        <w:footnoteRef/>
      </w:r>
      <w:r>
        <w:rPr>
          <w:rtl/>
        </w:rPr>
        <w:t xml:space="preserve"> הטור כתב כן בשם הרמב"ן אך לפנינו בספר התרומות </w:t>
      </w:r>
      <w:r>
        <w:rPr>
          <w:sz w:val="16"/>
          <w:szCs w:val="16"/>
          <w:rtl/>
        </w:rPr>
        <w:t>(שער ל ח"א סי' ב)</w:t>
      </w:r>
      <w:r>
        <w:rPr>
          <w:rtl/>
        </w:rPr>
        <w:t xml:space="preserve"> משמע שאין אלו דברי הרמב"ן אלא דברי בעל התרומות עצמו שהוסיף על מה שענה לו הרמב"ן, ע"ש.</w:t>
      </w:r>
    </w:p>
  </w:footnote>
  <w:footnote w:id="6110">
    <w:p w14:paraId="0ADE7BC9" w14:textId="77777777" w:rsidR="0013116F" w:rsidRDefault="0013116F" w:rsidP="0004348D">
      <w:pPr>
        <w:pStyle w:val="a9"/>
      </w:pPr>
      <w:r>
        <w:rPr>
          <w:rStyle w:val="ab"/>
        </w:rPr>
        <w:footnoteRef/>
      </w:r>
      <w:r>
        <w:rPr>
          <w:rtl/>
        </w:rPr>
        <w:t xml:space="preserve"> וסיים בה בעל התרומות (שם)- 'אבל על אבדה ופקדון אפילו יאמר לו אולי בידך הוא - אין להשביעו כי מסתמא כיון שאינו רשאי להוציאם להוצאותיו לא הביאם עמו', עכ"ל. וכתב הב"י (בבדה"ב)- אין דבריו מובנים לי דמאי איריא אבדה ופקדון הא אפילו במלוה אינו יכול להשביעו בטענת שמא. ומה שחילק בברייתא בין אבדה ופקדון למלוה היינו לומר שאינו יכול לומר לו כיון שיש בידך מעות כאן יותר על סיפוקך תפרע לי דמי אבדה ופקדון שהם בידך. וכך הם דברי הרי"ף.</w:t>
      </w:r>
    </w:p>
  </w:footnote>
  <w:footnote w:id="6111">
    <w:p w14:paraId="143F7390" w14:textId="77777777" w:rsidR="0013116F" w:rsidRDefault="0013116F" w:rsidP="0004348D">
      <w:pPr>
        <w:pStyle w:val="a9"/>
      </w:pPr>
      <w:r>
        <w:rPr>
          <w:rStyle w:val="ab"/>
        </w:rPr>
        <w:footnoteRef/>
      </w:r>
      <w:r>
        <w:rPr>
          <w:rtl/>
        </w:rPr>
        <w:t xml:space="preserve"> ודקדק כן בעל התרומות מדברי רש"י (ב"ק שם ד"ה לא יחזיר) ומדברי הרמב"ם (שאלה פ"ז הי"א).</w:t>
      </w:r>
    </w:p>
  </w:footnote>
  <w:footnote w:id="6112">
    <w:p w14:paraId="61410EDD" w14:textId="77777777" w:rsidR="0013116F" w:rsidRDefault="0013116F" w:rsidP="0004348D">
      <w:pPr>
        <w:pStyle w:val="a9"/>
      </w:pPr>
      <w:r>
        <w:rPr>
          <w:rStyle w:val="ab"/>
        </w:rPr>
        <w:footnoteRef/>
      </w:r>
      <w:r>
        <w:rPr>
          <w:rtl/>
        </w:rPr>
        <w:t xml:space="preserve"> וכ"כ מהרש"ל (פ"י דב"ק סי' נג) דה"ה גזילה. ונ"ל דמיירי באופן שקנה הגזילה ומשלם הדמים, כגון ביאוש ושינוי רשות וכה"ג, אבל אם צריך להחזיר גוף הגזילה יש לה דין פקדון דלא ניתן ליתבע אלא במקומן כדלקמן סימן רצ"ג [סעיף א'], ש"ך (סק"ב).</w:t>
      </w:r>
    </w:p>
  </w:footnote>
  <w:footnote w:id="6113">
    <w:p w14:paraId="17E40CEE" w14:textId="77777777" w:rsidR="0013116F" w:rsidRDefault="0013116F" w:rsidP="0004348D">
      <w:pPr>
        <w:pStyle w:val="a9"/>
        <w:rPr>
          <w:color w:val="FF0000"/>
        </w:rPr>
      </w:pPr>
      <w:r>
        <w:rPr>
          <w:rStyle w:val="ab"/>
          <w:color w:val="FF0000"/>
        </w:rPr>
        <w:footnoteRef/>
      </w:r>
      <w:r>
        <w:rPr>
          <w:color w:val="FF0000"/>
          <w:rtl/>
        </w:rPr>
        <w:t xml:space="preserve"> </w:t>
      </w:r>
      <w:r>
        <w:rPr>
          <w:rFonts w:hint="cs"/>
          <w:color w:val="FF0000"/>
          <w:rtl/>
        </w:rPr>
        <w:t>צל"ע מדוע הב"י הביא רק את דברי רי"ו ולא את דברי הרי"ף, אולי בגלל שרי"ו כתב 'וכן גזילה' והרי"ף לא כתב?</w:t>
      </w:r>
    </w:p>
  </w:footnote>
  <w:footnote w:id="6114">
    <w:p w14:paraId="22D0B55E" w14:textId="77777777" w:rsidR="0013116F" w:rsidRDefault="0013116F" w:rsidP="0004348D">
      <w:pPr>
        <w:pStyle w:val="a9"/>
        <w:rPr>
          <w:rtl/>
        </w:rPr>
      </w:pPr>
      <w:r>
        <w:rPr>
          <w:rStyle w:val="ab"/>
        </w:rPr>
        <w:footnoteRef/>
      </w:r>
      <w:r>
        <w:rPr>
          <w:rtl/>
        </w:rPr>
        <w:t xml:space="preserve"> היינו כשהמלוה טוען ברי לי, דאל"כ אין צריך לישבע היסת אלא מחרים עליו, וכמו שכתבתי לקמן סי' רצג [סק"א], ש"ך (סק"ד).</w:t>
      </w:r>
    </w:p>
  </w:footnote>
  <w:footnote w:id="6115">
    <w:p w14:paraId="3BCAA5C0" w14:textId="77777777" w:rsidR="0013116F" w:rsidRDefault="0013116F" w:rsidP="0004348D">
      <w:pPr>
        <w:pStyle w:val="a9"/>
      </w:pPr>
      <w:r>
        <w:rPr>
          <w:rStyle w:val="ab"/>
        </w:rPr>
        <w:footnoteRef/>
      </w:r>
      <w:r>
        <w:rPr>
          <w:rtl/>
        </w:rPr>
        <w:t xml:space="preserve"> כתב הסמ"ע [סק"ג], נראה דבתוך זמנו אינו יכול לכופו במדבר כמו בסעיף שאח"ז, דגם מה שיעבור אח"כ דרך מדבר מחשב סכנה גלויה ומפורסמת, ע"כ, ש"ך (סק"ו).</w:t>
      </w:r>
    </w:p>
  </w:footnote>
  <w:footnote w:id="6116">
    <w:p w14:paraId="68457EFB" w14:textId="77777777" w:rsidR="0013116F" w:rsidRDefault="0013116F" w:rsidP="0004348D">
      <w:pPr>
        <w:pStyle w:val="a9"/>
      </w:pPr>
      <w:r>
        <w:rPr>
          <w:rStyle w:val="ab"/>
        </w:rPr>
        <w:footnoteRef/>
      </w:r>
      <w:r>
        <w:rPr>
          <w:rtl/>
        </w:rPr>
        <w:t xml:space="preserve"> שאין סכנה בגזילה כשהולך שיירא יחד, סמ"ע (סק"ד).</w:t>
      </w:r>
    </w:p>
  </w:footnote>
  <w:footnote w:id="6117">
    <w:p w14:paraId="4D2540EB" w14:textId="77777777" w:rsidR="0013116F" w:rsidRDefault="0013116F" w:rsidP="0004348D">
      <w:pPr>
        <w:pStyle w:val="a9"/>
        <w:rPr>
          <w:rtl/>
        </w:rPr>
      </w:pPr>
      <w:r>
        <w:rPr>
          <w:rStyle w:val="ab"/>
        </w:rPr>
        <w:footnoteRef/>
      </w:r>
      <w:r>
        <w:rPr>
          <w:rtl/>
        </w:rPr>
        <w:t xml:space="preserve"> כתב הב"ח סעיף ב', דבתוך זמנו אינו יכול לכופו לקבל במדבר כמו בסעיף שאח"ז, והא דיכול לכופו כאן לקבל במדבר, מיירי בסתם הלואה, דאע"פ שזמנו ל' יום לא דמי לקובע זמן, כדלקמן סוף סימן ע"ח, עכ"ד בקצרה, וע"ש, ועיין בשלט"ג, ש"ך (סק"ז).</w:t>
      </w:r>
    </w:p>
  </w:footnote>
  <w:footnote w:id="6118">
    <w:p w14:paraId="29385A21" w14:textId="77777777" w:rsidR="0013116F" w:rsidRDefault="0013116F" w:rsidP="0004348D">
      <w:pPr>
        <w:pStyle w:val="a9"/>
        <w:rPr>
          <w:rtl/>
        </w:rPr>
      </w:pPr>
      <w:r>
        <w:rPr>
          <w:rStyle w:val="ab"/>
        </w:rPr>
        <w:footnoteRef/>
      </w:r>
      <w:r>
        <w:rPr>
          <w:rtl/>
        </w:rPr>
        <w:t xml:space="preserve"> ומהרש"ל (פ"י דב"ק סי' נד) פסק דצריך שיאמר ג"כ אי בעית אהדרינא לך שם, ע"ש, ש"ך (סק"ח).</w:t>
      </w:r>
    </w:p>
  </w:footnote>
  <w:footnote w:id="6119">
    <w:p w14:paraId="71E666E6" w14:textId="77777777" w:rsidR="0013116F" w:rsidRDefault="0013116F" w:rsidP="0004348D">
      <w:pPr>
        <w:pStyle w:val="a9"/>
        <w:rPr>
          <w:rtl/>
        </w:rPr>
      </w:pPr>
      <w:r>
        <w:rPr>
          <w:rStyle w:val="ab"/>
        </w:rPr>
        <w:footnoteRef/>
      </w:r>
      <w:r>
        <w:rPr>
          <w:rtl/>
        </w:rPr>
        <w:t xml:space="preserve"> רמב"ן </w:t>
      </w:r>
      <w:r>
        <w:rPr>
          <w:sz w:val="16"/>
          <w:szCs w:val="16"/>
          <w:rtl/>
        </w:rPr>
        <w:t xml:space="preserve">(שו"ת סי' לד, כ"כ בשמו בעל התרומות [שם סי' ב]) </w:t>
      </w:r>
      <w:r>
        <w:rPr>
          <w:rtl/>
        </w:rPr>
        <w:t xml:space="preserve">בעל התרומות </w:t>
      </w:r>
      <w:r>
        <w:rPr>
          <w:sz w:val="16"/>
          <w:szCs w:val="16"/>
          <w:rtl/>
        </w:rPr>
        <w:t>(שער ל ח"ב סי' א)</w:t>
      </w:r>
      <w:r>
        <w:rPr>
          <w:rtl/>
        </w:rPr>
        <w:t xml:space="preserve"> טור ור"ן </w:t>
      </w:r>
      <w:r>
        <w:rPr>
          <w:sz w:val="16"/>
          <w:szCs w:val="16"/>
          <w:rtl/>
        </w:rPr>
        <w:t>(פרק האשה שנפלו כתובות מ. ד"ה וגרסי', כ"כ הדרכ"מ בשמו [אות א])</w:t>
      </w:r>
      <w:r>
        <w:rPr>
          <w:rtl/>
        </w:rPr>
        <w:t>.</w:t>
      </w:r>
    </w:p>
  </w:footnote>
  <w:footnote w:id="6120">
    <w:p w14:paraId="2F066743" w14:textId="77777777" w:rsidR="0013116F" w:rsidRDefault="0013116F" w:rsidP="0004348D">
      <w:pPr>
        <w:pStyle w:val="a9"/>
        <w:rPr>
          <w:rtl/>
        </w:rPr>
      </w:pPr>
      <w:r>
        <w:rPr>
          <w:rStyle w:val="ab"/>
        </w:rPr>
        <w:footnoteRef/>
      </w:r>
      <w:r>
        <w:rPr>
          <w:rtl/>
        </w:rPr>
        <w:t xml:space="preserve"> פי' עבודות של מלך כענין לא חמרא דחד מנהון שחרית.</w:t>
      </w:r>
    </w:p>
  </w:footnote>
  <w:footnote w:id="6121">
    <w:p w14:paraId="23B449C9" w14:textId="77777777" w:rsidR="0013116F" w:rsidRDefault="0013116F" w:rsidP="0004348D">
      <w:pPr>
        <w:pStyle w:val="a9"/>
      </w:pPr>
      <w:r>
        <w:rPr>
          <w:rStyle w:val="ab"/>
        </w:rPr>
        <w:footnoteRef/>
      </w:r>
      <w:r>
        <w:rPr>
          <w:rtl/>
        </w:rPr>
        <w:t xml:space="preserve"> ואם המלוה אינו בכאן, מהני כשיתן המעות ליד ב"ד או ליד נאמן ב"ד אף על פי שאין תקנה קדומה בזה, אף על פי שהמלוה לא ידע מתחילה מהאונס העתיד לבוא, כ"כ בתשובת מהר"ש כהן ספר ב' סי' צ"ט וע"ש. וכן היה המנהג פשוט בשנת ת"י ותי"א שהיה נפילת המטבע במדינתינו. אך מ"ש מהרש"ך שם דה"ה כשמזכה לו המעות ע"י אחר מהני, אין נלפע"ד וכמ"ש לקמן ריש סימן קכ"ה [סק"ח], ע"ש, ש"ך (סק"ט).</w:t>
      </w:r>
    </w:p>
  </w:footnote>
  <w:footnote w:id="6122">
    <w:p w14:paraId="567F72B1" w14:textId="77777777" w:rsidR="0013116F" w:rsidRDefault="0013116F" w:rsidP="0004348D">
      <w:pPr>
        <w:pStyle w:val="a9"/>
      </w:pPr>
      <w:r>
        <w:rPr>
          <w:rStyle w:val="ab"/>
        </w:rPr>
        <w:footnoteRef/>
      </w:r>
      <w:r>
        <w:rPr>
          <w:rtl/>
        </w:rPr>
        <w:t xml:space="preserve"> ואינו דומה לפריעת מדבר שא"צ לקבלם אפילו הגיע זמנו, דשם הקלקלה עתה לפנינו בשעת פרעון. אבל בתוך הזמן א"צ לקבלו, כיון דאם בא המלוה לתבוע אותו לפרעו לו תוך זמנו אינו יכול לכופהו, וסברא הוא שזה אינו משלם לו תוך הזמן אלא משום הקלקלה, והקלקלה נגלית שתבוא לאחר הפרעון, משו"ה דיינינן ליה כפריעת מדבר אע"פ שאינה פריעת מדבר ממש, סמ"ע</w:t>
      </w:r>
      <w:r>
        <w:rPr>
          <w:sz w:val="14"/>
          <w:szCs w:val="14"/>
          <w:rtl/>
        </w:rPr>
        <w:t xml:space="preserve"> (סק"ה)</w:t>
      </w:r>
      <w:r>
        <w:rPr>
          <w:rtl/>
        </w:rPr>
        <w:t>.</w:t>
      </w:r>
    </w:p>
  </w:footnote>
  <w:footnote w:id="6123">
    <w:p w14:paraId="725FE5DC" w14:textId="77777777" w:rsidR="0013116F" w:rsidRDefault="0013116F" w:rsidP="0004348D">
      <w:pPr>
        <w:pStyle w:val="a9"/>
      </w:pPr>
      <w:r>
        <w:rPr>
          <w:rStyle w:val="ab"/>
        </w:rPr>
        <w:footnoteRef/>
      </w:r>
      <w:r>
        <w:rPr>
          <w:rtl/>
        </w:rPr>
        <w:t xml:space="preserve"> כ"כ ג"כ בטור</w:t>
      </w:r>
      <w:r>
        <w:rPr>
          <w:sz w:val="16"/>
          <w:szCs w:val="16"/>
          <w:rtl/>
        </w:rPr>
        <w:t xml:space="preserve"> [סע' ה]</w:t>
      </w:r>
      <w:r>
        <w:rPr>
          <w:rtl/>
        </w:rPr>
        <w:t>. ובפרישה כתבתי דלא דוקא קאמר מיד, דהא ברישא בהגיע הזמן כתב העתידים לבוא. אלא ה"פ, שניכר וידוע אז מיד שיהיה חילוף המטבע לאחר זמן, משום הכי אין צריך לקבל זה, סמ"ע</w:t>
      </w:r>
      <w:r>
        <w:rPr>
          <w:sz w:val="16"/>
          <w:szCs w:val="16"/>
          <w:rtl/>
        </w:rPr>
        <w:t xml:space="preserve"> (סק"ה)</w:t>
      </w:r>
      <w:r>
        <w:rPr>
          <w:rtl/>
        </w:rPr>
        <w:t>. והעתיק הש"ך (סק"י) את דבריו אלו.</w:t>
      </w:r>
    </w:p>
  </w:footnote>
  <w:footnote w:id="6124">
    <w:p w14:paraId="640228E6" w14:textId="77777777" w:rsidR="0013116F" w:rsidRDefault="0013116F" w:rsidP="0004348D">
      <w:pPr>
        <w:pStyle w:val="a9"/>
      </w:pPr>
      <w:r>
        <w:rPr>
          <w:rStyle w:val="ab"/>
        </w:rPr>
        <w:footnoteRef/>
      </w:r>
      <w:r>
        <w:rPr>
          <w:rtl/>
        </w:rPr>
        <w:t xml:space="preserve"> דכמה אחריות ותקלות יכולין לבוא זולת אלו הנ"ל, מ"מ כיון שאינן גלויין וידועין שיבואו, צריך לקבל, סמ"ע (סק"ו).</w:t>
      </w:r>
    </w:p>
  </w:footnote>
  <w:footnote w:id="6125">
    <w:p w14:paraId="41E7E2AF" w14:textId="77777777" w:rsidR="0013116F" w:rsidRDefault="0013116F" w:rsidP="0004348D">
      <w:pPr>
        <w:pStyle w:val="a9"/>
        <w:rPr>
          <w:rtl/>
        </w:rPr>
      </w:pPr>
      <w:r>
        <w:rPr>
          <w:rStyle w:val="ab"/>
        </w:rPr>
        <w:footnoteRef/>
      </w:r>
      <w:r>
        <w:rPr>
          <w:rtl/>
        </w:rPr>
        <w:t xml:space="preserve"> כתב הב"ח [סע' ה] וז"ל- נראה דאין זה אלא דוקא היכא שהלואה היתה דומיא דהלוהו בישוב, דלא היה אז חשש סכנת חילוף המטבעות, התם הוא כיון דקביעת הזמן לא היה אלא לתקנת הלוה, ועכשיו ג"כ אין שם חשש סכנת חילוף המטבעות, יכול הלוה לכופו לקבלם תוך הזמן, אבל היכא דבשעת ההלואה היה חשש סכנת חילוף המטבעות, א"כ קביעת הזמן היתה לטובת המלוה יותר מלטובת הלוה, כי קרוב הוא דבאורך הזמן תעבור חששא זו דסכנת חילוף המטבעות, הלכך אע"פ דעכשיו בשעת הפרעון עברה כבר חששא זו ואין הלוה רוצה להחזיר תוך הזמן אלא כדי שלא יהיו באחריותו של לוה, אפ"ה אין יכולין לכוף למלוה לקבלם תוך הזמן, כיון שהיתה מתחילה קביעות הזמן לתקנת המלוה והשתא חושש הוא להפסד, אע"פ שהיא חששא רחוקה הדין עם המלוה </w:t>
      </w:r>
      <w:r>
        <w:rPr>
          <w:sz w:val="16"/>
          <w:szCs w:val="16"/>
          <w:rtl/>
        </w:rPr>
        <w:t>{עכ"ל}</w:t>
      </w:r>
      <w:r>
        <w:rPr>
          <w:rtl/>
        </w:rPr>
        <w:t>... ואין דבריו מוכרחים לפע"ד...</w:t>
      </w:r>
      <w:r>
        <w:rPr>
          <w:sz w:val="16"/>
          <w:szCs w:val="16"/>
          <w:rtl/>
        </w:rPr>
        <w:t xml:space="preserve"> {וע"ש שדחה ראיות הב"ח}</w:t>
      </w:r>
      <w:r>
        <w:rPr>
          <w:rtl/>
        </w:rPr>
        <w:t>, ש"ך (סקי"א).</w:t>
      </w:r>
    </w:p>
  </w:footnote>
  <w:footnote w:id="6126">
    <w:p w14:paraId="77F03953" w14:textId="77777777" w:rsidR="0013116F" w:rsidRDefault="0013116F" w:rsidP="0004348D">
      <w:pPr>
        <w:pStyle w:val="a9"/>
      </w:pPr>
      <w:r>
        <w:rPr>
          <w:rStyle w:val="ab"/>
        </w:rPr>
        <w:footnoteRef/>
      </w:r>
      <w:r>
        <w:rPr>
          <w:rtl/>
        </w:rPr>
        <w:t xml:space="preserve"> ונתבארו קצת דברים אלו בהר"ן סוף פרק האשה שנפלו (כתובות מ. ד"ה וגרסי'), ב"י.</w:t>
      </w:r>
    </w:p>
  </w:footnote>
  <w:footnote w:id="6127">
    <w:p w14:paraId="55D4189E" w14:textId="77777777" w:rsidR="0013116F" w:rsidRDefault="0013116F" w:rsidP="0004348D">
      <w:pPr>
        <w:pStyle w:val="a9"/>
        <w:rPr>
          <w:rtl/>
        </w:rPr>
      </w:pPr>
      <w:r>
        <w:rPr>
          <w:rStyle w:val="ab"/>
        </w:rPr>
        <w:footnoteRef/>
      </w:r>
      <w:r>
        <w:rPr>
          <w:rtl/>
        </w:rPr>
        <w:t xml:space="preserve"> ולא ידעתי מאי קשה ליה דקאמר אמאי לא יתחייב כו', דמאחר שכלתה שמירתו - לא יתחייב עלייהו בעל כרחיה, וכמו שיתבאר לקמן בהלכות שומרים אי"ה, דרכ"מ (אות ב). וכתב הסמ"ע (סק"ט)- ואני כתבתי </w:t>
      </w:r>
      <w:r>
        <w:rPr>
          <w:sz w:val="16"/>
          <w:szCs w:val="16"/>
          <w:rtl/>
        </w:rPr>
        <w:t xml:space="preserve">[הגדו"פ אות ב] </w:t>
      </w:r>
      <w:r>
        <w:rPr>
          <w:rtl/>
        </w:rPr>
        <w:t xml:space="preserve">דיש לתמוה על תמיהתו דמור"ם, דהא י"ל דהראב"ן ושאותו שכתב כן </w:t>
      </w:r>
      <w:r>
        <w:rPr>
          <w:sz w:val="16"/>
          <w:szCs w:val="16"/>
          <w:rtl/>
        </w:rPr>
        <w:t xml:space="preserve">{מהר"ם} </w:t>
      </w:r>
      <w:r>
        <w:rPr>
          <w:rtl/>
        </w:rPr>
        <w:t xml:space="preserve">איירי כשהנפקד הוא איש שדרכו לישא וליתן במעות, ובזה"ז רוב בני אדם דרכן כן, ובזה נתבאר בסי' רצ"ב בדברי המחבר סוף סע' ז' דכיון דמותר להשתמש במעות דפקדון אם ירצה כל זמן שאינן מקושרין בקשר משונה, נתחייב עליהן בגניבה ואבידה, ואפילו כשלא השתמש בהן </w:t>
      </w:r>
      <w:r>
        <w:rPr>
          <w:sz w:val="16"/>
          <w:szCs w:val="16"/>
          <w:rtl/>
        </w:rPr>
        <w:t>(וכן הדין להרמב"ם [פי"ג מגזלה הי"ז] במעות אבידה אפילו כשלא השתמש בהן, וכמ"ש הטור והמחבר בס"ס רס"ז [טור סע' כד ומחבר סע' כה], ע"ש. ומ"ש שכלתה שמירתו כיון דאמר טול, הלא י"ל אדרבה, כיון דא"ל טול והוא לא נטלו גילה המפקיד דעתו שא"צ להמעות, וממילא יש רשות להשתמש בהן הנפקד. ועוד, דלפי מ"ש [בסק"ח] דבתוך הזמן איירי, וא"כ לא כלתה שמירתו אע"ג דא"ל טול, וכמו שכתבתי [שם] בשם המ"מ, וצ"ע. ומור"ם קיצר כאן וכתב אבל פקדון בכה"ג פטור. ור"ל בכה"ג שג"כ אמר להמפקיד טול פקדונך כי כבר כלתה זמן שמירתו, והמפקיד אינו רוצה, ולטעמיה אזל שכ"כ ג"כ בד"מ הנ"ל. ואין דבריו נראין לי מוכרחין כל זמן שאינו קשור בקשר משונה וכמ"ש)</w:t>
      </w:r>
      <w:r>
        <w:rPr>
          <w:rtl/>
        </w:rPr>
        <w:t xml:space="preserve">. עכ"ל הסמ"ע. וכתב הש"ך (סקט"ו) על דבריו דלא קשיא מידי, דהתם </w:t>
      </w:r>
      <w:r>
        <w:rPr>
          <w:sz w:val="16"/>
          <w:szCs w:val="16"/>
          <w:rtl/>
        </w:rPr>
        <w:t xml:space="preserve">{סי' רצב} </w:t>
      </w:r>
      <w:r>
        <w:rPr>
          <w:rtl/>
        </w:rPr>
        <w:t>מיירי בסתם, אבל לא כשאמר לו טול את שלך, שכבר כלתה שמירתו, וכ"כ הגאון אמ"ו ז"ל בגליון סמ"ע שלו, וכן נראה דעת הב"ח [סעיף ה']. ועיין במרדכי פרק מי שאחזו [גיטין סי' תכח] כתב, ודאי פקדון פשיטא פטור, כיון דאמר איני רוצה לשמרו עוד, פטור אפילו מפשיעה. וכן פסק מהרש"ל (פ"י דב"ק סי' נג).</w:t>
      </w:r>
    </w:p>
  </w:footnote>
  <w:footnote w:id="6128">
    <w:p w14:paraId="44C13BCA" w14:textId="77777777" w:rsidR="0013116F" w:rsidRDefault="0013116F" w:rsidP="0004348D">
      <w:pPr>
        <w:pStyle w:val="a9"/>
        <w:rPr>
          <w:rtl/>
        </w:rPr>
      </w:pPr>
      <w:r>
        <w:rPr>
          <w:rStyle w:val="ab"/>
        </w:rPr>
        <w:footnoteRef/>
      </w:r>
      <w:r>
        <w:rPr>
          <w:rtl/>
        </w:rPr>
        <w:t xml:space="preserve"> אבל באתרא דמסלקי תוך הזמן, דסברי זמן זה מלוה הוא דקבע ליה ללוה, הא אם רצה לפורעו תוך זמן רשאי, כ"כ הבעל התרומות </w:t>
      </w:r>
      <w:r>
        <w:rPr>
          <w:sz w:val="16"/>
          <w:szCs w:val="16"/>
          <w:rtl/>
        </w:rPr>
        <w:t>(שער ל' ח"ב ס"ב)</w:t>
      </w:r>
      <w:r>
        <w:rPr>
          <w:rtl/>
        </w:rPr>
        <w:t xml:space="preserve"> בשם הרמב"ן, וכ"כ הר"ן פרק האשה שנפלו </w:t>
      </w:r>
      <w:r>
        <w:rPr>
          <w:sz w:val="16"/>
          <w:szCs w:val="16"/>
          <w:rtl/>
        </w:rPr>
        <w:t xml:space="preserve">[כתובות מ. מדפה"ר ד"ה וגרסינן] </w:t>
      </w:r>
      <w:r>
        <w:rPr>
          <w:rtl/>
        </w:rPr>
        <w:t xml:space="preserve">בשם תשו' הרמב"ן, ש"ך </w:t>
      </w:r>
      <w:r>
        <w:rPr>
          <w:sz w:val="16"/>
          <w:szCs w:val="16"/>
          <w:rtl/>
        </w:rPr>
        <w:t>(סקי"ג)</w:t>
      </w:r>
      <w:r>
        <w:rPr>
          <w:rtl/>
        </w:rPr>
        <w:t>.</w:t>
      </w:r>
    </w:p>
  </w:footnote>
  <w:footnote w:id="6129">
    <w:p w14:paraId="441F9EC8" w14:textId="77777777" w:rsidR="0013116F" w:rsidRDefault="0013116F" w:rsidP="0004348D">
      <w:pPr>
        <w:pStyle w:val="a9"/>
        <w:rPr>
          <w:rtl/>
        </w:rPr>
      </w:pPr>
      <w:r>
        <w:rPr>
          <w:rStyle w:val="ab"/>
        </w:rPr>
        <w:footnoteRef/>
      </w:r>
      <w:r>
        <w:rPr>
          <w:rtl/>
        </w:rPr>
        <w:t xml:space="preserve"> והיינו טעמא, דזמן הזה לא לתקנת הלוה לבד נקבע מתחילה, אלא גם לטובת המלוה כדי שיאכל הפירות עד הזמן ההוא, ומהאי טעמא נמי כתב בעל שלט"ג</w:t>
      </w:r>
      <w:r>
        <w:rPr>
          <w:sz w:val="16"/>
          <w:szCs w:val="16"/>
          <w:rtl/>
        </w:rPr>
        <w:t xml:space="preserve"> (פרק הגוזל בתרא ב"ק מד. מדפה"ר אות א)</w:t>
      </w:r>
      <w:r>
        <w:rPr>
          <w:rtl/>
        </w:rPr>
        <w:t xml:space="preserve"> שההלואות שעושין בזה"ז בעלי חנויות וקובעין זמן ביניהן ליתן להם ריוח עד זמן פלוני, זמן זה הוקבע נמי לטובת המלוה, ומצי המלוה לעכב עליו מלקבלן דניכר לעינים הוא הפסדו, עכ"ל, סמ"ע (סק"ז). וכ"כ הש"ך (סקי"ב).</w:t>
      </w:r>
    </w:p>
  </w:footnote>
  <w:footnote w:id="6130">
    <w:p w14:paraId="0C1B35CD" w14:textId="77777777" w:rsidR="0013116F" w:rsidRDefault="0013116F" w:rsidP="0004348D">
      <w:pPr>
        <w:pStyle w:val="a9"/>
        <w:rPr>
          <w:rtl/>
        </w:rPr>
      </w:pPr>
      <w:r>
        <w:rPr>
          <w:rStyle w:val="ab"/>
        </w:rPr>
        <w:footnoteRef/>
      </w:r>
      <w:r>
        <w:rPr>
          <w:rtl/>
        </w:rPr>
        <w:t xml:space="preserve"> נראה דר"ל והוא בתוך הזמן </w:t>
      </w:r>
      <w:r>
        <w:rPr>
          <w:sz w:val="16"/>
          <w:szCs w:val="16"/>
          <w:rtl/>
        </w:rPr>
        <w:t>(והוסיף מור"ם לכתוב כן, כדי לישב דלא תקשה אמה שכתב הטור ופסק המחבר גם כן לקמן בס"ס ק"כ, לוה שאמר למלוה הנה מעותיך צרורים ומונחים בתוך ביתי בוא וטול מעותיך, והמלוה מסרב מלקחתם, ונגנבו או נאבדו, פטור הלוה. וכאן כתב דהלוה חייב לשלם. משו"ה כתב מו"ר  רמ"א דכאן מיירי דעדיין הוא בתוך זמן הלואה. ועיין מה שכתבתי עוד בישוב זה שם בסוף סימן ק"כ בסמ"ע [סק"י]. ועל ישוב זה קשה, דא"כ דכאן איירי בתוך הזמן, למה מסיק וכתב דבכה"ג בפקדון פטור, הא כתב המ"מ [פ"ז מהל' שאלה הי"א] דאין הנפקד יכול להכריח להמפקיד לקבל פקדונו ממנו תוך הזמן כשהפקידו לזמן ידוע, שיכול לומר לו קיבלת עליך שמירתו עד זמן ידוע, וכ"כ המחבר (סי' רצג סע' א), אם לא שתאמר דשם מיירי שאינו רוצה לשמרו כלל והוי כמזיק בידים, וכמ"ש לקמן סי' צה סע' ד, משא"כ כאן דמיירי שנגנבו ונאבדו בלי פשיעתו)</w:t>
      </w:r>
      <w:r>
        <w:rPr>
          <w:rtl/>
        </w:rPr>
        <w:t>, סמ"ע (סק"ח). והב"ח [סע' ה] פירש דר"ל והוא בסוף הזמן. וכן עיקר, וכן פירש בסמ"ע גופיה לקמן סי' קכ סק"י, ועיין מה שכתבתי שם [סק"ג] עוד בזה, ש"ך (סקי"ד).</w:t>
      </w:r>
    </w:p>
  </w:footnote>
  <w:footnote w:id="6131">
    <w:p w14:paraId="0AEBB678" w14:textId="77777777" w:rsidR="0013116F" w:rsidRDefault="0013116F" w:rsidP="0004348D">
      <w:pPr>
        <w:pStyle w:val="a9"/>
      </w:pPr>
      <w:r>
        <w:rPr>
          <w:rStyle w:val="ab"/>
        </w:rPr>
        <w:footnoteRef/>
      </w:r>
      <w:r>
        <w:rPr>
          <w:rtl/>
        </w:rPr>
        <w:t xml:space="preserve"> הטעם, כיון דכלתה שמירתו... והיינו כשהגיע הזמן, אבל תוך הזמן - חייב, שכבר קיבל עליו שמירת הפקדון עד הזמן, וכמ"ש הה"מ [פ"ז משאלה הי"א] והמחבר (סי' רצג סע' א), ש"ך (סקט"ו-טז).</w:t>
      </w:r>
    </w:p>
  </w:footnote>
  <w:footnote w:id="6132">
    <w:p w14:paraId="0FC3C787" w14:textId="77777777" w:rsidR="0013116F" w:rsidRDefault="0013116F" w:rsidP="0004348D">
      <w:pPr>
        <w:pStyle w:val="a9"/>
        <w:rPr>
          <w:rtl/>
        </w:rPr>
      </w:pPr>
      <w:r>
        <w:rPr>
          <w:rStyle w:val="ab"/>
        </w:rPr>
        <w:footnoteRef/>
      </w:r>
      <w:r>
        <w:rPr>
          <w:rtl/>
        </w:rPr>
        <w:t xml:space="preserve"> </w:t>
      </w:r>
      <w:r>
        <w:rPr>
          <w:rFonts w:hint="cs"/>
          <w:rtl/>
        </w:rPr>
        <w:t>סימן – עוד זוז, עוד זוז.</w:t>
      </w:r>
    </w:p>
  </w:footnote>
  <w:footnote w:id="6133">
    <w:p w14:paraId="64CA46C7" w14:textId="77777777" w:rsidR="0013116F" w:rsidRDefault="0013116F" w:rsidP="0004348D">
      <w:pPr>
        <w:pStyle w:val="a9"/>
      </w:pPr>
      <w:r>
        <w:rPr>
          <w:rStyle w:val="ab"/>
        </w:rPr>
        <w:footnoteRef/>
      </w:r>
      <w:r>
        <w:rPr>
          <w:rtl/>
        </w:rPr>
        <w:t xml:space="preserve"> </w:t>
      </w:r>
      <w:r>
        <w:rPr>
          <w:rFonts w:hint="cs"/>
          <w:rtl/>
        </w:rPr>
        <w:t>אך לפנינו איתא בדף מח ע"א מדפה"ר. ואולי לפניו לא הייתה גירסא זו.</w:t>
      </w:r>
    </w:p>
  </w:footnote>
  <w:footnote w:id="6134">
    <w:p w14:paraId="3F0A3E19" w14:textId="77777777" w:rsidR="0013116F" w:rsidRDefault="0013116F" w:rsidP="0004348D">
      <w:pPr>
        <w:pStyle w:val="a9"/>
      </w:pPr>
      <w:r>
        <w:rPr>
          <w:rStyle w:val="ab"/>
        </w:rPr>
        <w:footnoteRef/>
      </w:r>
      <w:r>
        <w:rPr>
          <w:rtl/>
        </w:rPr>
        <w:t xml:space="preserve"> בהעי"ט </w:t>
      </w:r>
      <w:r>
        <w:rPr>
          <w:sz w:val="16"/>
          <w:szCs w:val="16"/>
          <w:rtl/>
        </w:rPr>
        <w:t>(הל' עיסקא טו ע"ג)</w:t>
      </w:r>
      <w:r>
        <w:rPr>
          <w:rtl/>
        </w:rPr>
        <w:t xml:space="preserve"> רמב"ן</w:t>
      </w:r>
      <w:r>
        <w:rPr>
          <w:sz w:val="16"/>
          <w:szCs w:val="16"/>
          <w:rtl/>
        </w:rPr>
        <w:t xml:space="preserve"> (שו"ת סי' עב, כ"כ בשמו בעל התרומות)</w:t>
      </w:r>
      <w:r>
        <w:rPr>
          <w:rtl/>
        </w:rPr>
        <w:t xml:space="preserve"> בעל התרומות </w:t>
      </w:r>
      <w:r>
        <w:rPr>
          <w:sz w:val="16"/>
          <w:szCs w:val="16"/>
          <w:rtl/>
        </w:rPr>
        <w:t>(שער סט ח"א סי' א-ב)</w:t>
      </w:r>
      <w:r>
        <w:rPr>
          <w:rtl/>
        </w:rPr>
        <w:t xml:space="preserve"> רא"ש </w:t>
      </w:r>
      <w:r>
        <w:rPr>
          <w:sz w:val="16"/>
          <w:szCs w:val="16"/>
          <w:rtl/>
        </w:rPr>
        <w:t xml:space="preserve">(פ"ו סי' ח) </w:t>
      </w:r>
      <w:r>
        <w:rPr>
          <w:rtl/>
        </w:rPr>
        <w:t>וטור.</w:t>
      </w:r>
    </w:p>
  </w:footnote>
  <w:footnote w:id="6135">
    <w:p w14:paraId="06FD1DF3" w14:textId="77777777" w:rsidR="0013116F" w:rsidRDefault="0013116F" w:rsidP="0004348D">
      <w:pPr>
        <w:pStyle w:val="a9"/>
      </w:pPr>
      <w:r>
        <w:rPr>
          <w:rStyle w:val="ab"/>
        </w:rPr>
        <w:footnoteRef/>
      </w:r>
      <w:r>
        <w:rPr>
          <w:rtl/>
        </w:rPr>
        <w:t xml:space="preserve"> דאם איתא דיכול מלוה לומר איני רוצה ליקח מעותי אלא בבת אחת לא קבולי ליקביל ולא תרעומת ליהוי ליה עלויה, ועוד מדאמרינן בפ"ק דקדושין (כ:) מוכר בית בבתי ערי חומה אם נגאלת לחצאין או אינה נגאלת משום דגמר משדה אחוזה משמע דאי לאו דגמר משדה אחוזה היה נגאל לחצאין, בהעי"ט.</w:t>
      </w:r>
    </w:p>
  </w:footnote>
  <w:footnote w:id="6136">
    <w:p w14:paraId="3772B717" w14:textId="77777777" w:rsidR="0013116F" w:rsidRDefault="0013116F" w:rsidP="0004348D">
      <w:pPr>
        <w:pStyle w:val="a9"/>
      </w:pPr>
      <w:r>
        <w:rPr>
          <w:rStyle w:val="ab"/>
        </w:rPr>
        <w:footnoteRef/>
      </w:r>
      <w:r>
        <w:rPr>
          <w:rtl/>
        </w:rPr>
        <w:t xml:space="preserve"> </w:t>
      </w:r>
      <w:r>
        <w:rPr>
          <w:rFonts w:hint="cs"/>
          <w:rtl/>
        </w:rPr>
        <w:t>וז"ל-</w:t>
      </w:r>
      <w:r>
        <w:rPr>
          <w:rtl/>
        </w:rPr>
        <w:t xml:space="preserve">הממשכן שתי שדות או אחת לזמן ידוע במנה, וקודם הזמן רוצה לפרוע חמשים ושיחזיר לו שדה אחת, והמלוה אומר 'אני אוכל פירות עד שתפרע לי המנה', כתב הרשב"א בתשו' </w:t>
      </w:r>
      <w:r>
        <w:rPr>
          <w:sz w:val="16"/>
          <w:szCs w:val="16"/>
          <w:rtl/>
        </w:rPr>
        <w:t>(ח"ד סי' רצ)</w:t>
      </w:r>
      <w:r>
        <w:rPr>
          <w:rtl/>
        </w:rPr>
        <w:t xml:space="preserve"> כי הדין עם המלוה ובודאי גואל לחצאין כדאמרינן בפ"ק דקדושין ועל כרחו של מלוה יקבל החמשים ומ"מ יאכל המלוה כל הפירות ולא יחזיר לו שום אחת מהשדות מאחר שהכל משכונא אחת... וכתב שכן כתב הרמב"ן. עכ"ל רי"ו.</w:t>
      </w:r>
    </w:p>
  </w:footnote>
  <w:footnote w:id="6137">
    <w:p w14:paraId="46E6AF98" w14:textId="77777777" w:rsidR="0013116F" w:rsidRDefault="0013116F" w:rsidP="0004348D">
      <w:pPr>
        <w:pStyle w:val="a9"/>
      </w:pPr>
      <w:r>
        <w:rPr>
          <w:rStyle w:val="ab"/>
        </w:rPr>
        <w:footnoteRef/>
      </w:r>
      <w:r>
        <w:rPr>
          <w:rtl/>
        </w:rPr>
        <w:t xml:space="preserve"> רשב"ם </w:t>
      </w:r>
      <w:r>
        <w:rPr>
          <w:sz w:val="16"/>
          <w:szCs w:val="16"/>
          <w:rtl/>
        </w:rPr>
        <w:t xml:space="preserve">(ב"ב קג. ד"ה ליקדשו, כ"כ הרמב"ן בשמו) </w:t>
      </w:r>
      <w:r>
        <w:rPr>
          <w:rtl/>
        </w:rPr>
        <w:t xml:space="preserve">רמב"ן </w:t>
      </w:r>
      <w:r>
        <w:rPr>
          <w:sz w:val="16"/>
          <w:szCs w:val="16"/>
          <w:rtl/>
        </w:rPr>
        <w:t>(שו"ת סי' עב, כ"כ בשמו בעל התרומות והטור)</w:t>
      </w:r>
      <w:r>
        <w:rPr>
          <w:rtl/>
        </w:rPr>
        <w:t xml:space="preserve"> רשב"א </w:t>
      </w:r>
      <w:r>
        <w:rPr>
          <w:sz w:val="16"/>
          <w:szCs w:val="16"/>
          <w:rtl/>
        </w:rPr>
        <w:t>(ח"ד סי' רצ)</w:t>
      </w:r>
      <w:r>
        <w:rPr>
          <w:rtl/>
        </w:rPr>
        <w:t xml:space="preserve"> טור רי"ו </w:t>
      </w:r>
      <w:r>
        <w:rPr>
          <w:sz w:val="16"/>
          <w:szCs w:val="16"/>
          <w:rtl/>
        </w:rPr>
        <w:t xml:space="preserve">(ני"ב ח"ב מד א) </w:t>
      </w:r>
      <w:r>
        <w:rPr>
          <w:rtl/>
        </w:rPr>
        <w:t xml:space="preserve">ור"ן </w:t>
      </w:r>
      <w:r>
        <w:rPr>
          <w:sz w:val="16"/>
          <w:szCs w:val="16"/>
          <w:rtl/>
        </w:rPr>
        <w:t>(פ"ק דקדושין</w:t>
      </w:r>
      <w:r>
        <w:rPr>
          <w:rFonts w:hint="cs"/>
          <w:sz w:val="16"/>
          <w:szCs w:val="16"/>
        </w:rPr>
        <w:t xml:space="preserve"> </w:t>
      </w:r>
      <w:r>
        <w:rPr>
          <w:sz w:val="16"/>
          <w:szCs w:val="16"/>
          <w:rtl/>
        </w:rPr>
        <w:t>ז: ד"ה גרסי' תו, כ"כ הדרכ"מ בשמו [אות ד])</w:t>
      </w:r>
      <w:r>
        <w:rPr>
          <w:rtl/>
        </w:rPr>
        <w:t>.</w:t>
      </w:r>
    </w:p>
  </w:footnote>
  <w:footnote w:id="6138">
    <w:p w14:paraId="1AEB2393" w14:textId="77777777" w:rsidR="0013116F" w:rsidRDefault="0013116F" w:rsidP="0004348D">
      <w:pPr>
        <w:pStyle w:val="a9"/>
        <w:rPr>
          <w:rtl/>
        </w:rPr>
      </w:pPr>
      <w:r>
        <w:rPr>
          <w:rStyle w:val="ab"/>
        </w:rPr>
        <w:footnoteRef/>
      </w:r>
      <w:r>
        <w:rPr>
          <w:rtl/>
        </w:rPr>
        <w:t xml:space="preserve"> וכתב הטור אחר דברי הרמב"ן דכן כתב א"א הרא"ש ז"ל בתשובה </w:t>
      </w:r>
      <w:r>
        <w:rPr>
          <w:sz w:val="16"/>
          <w:szCs w:val="16"/>
          <w:rtl/>
        </w:rPr>
        <w:t>(וז"ל הרא"ש- ששאלת ראובן משכן בית לשמעון ודר בו בנכייתא ואמר ראובן לשמעון שיקח קצת מהבית בחובו בשומת ב"ד ואומר שמעון כי על הבית כולו הלוהו ואינו רוצה לקבל קצתו. תשובה הדין עם שמעון כי דבר פשוט הוא אם הלוה ראובן לשמעון כ' זהובים על משכונות ששוים ל' אינו יכול לכופו שיקח מהמשכונות כנגד חובו ויחזיר המותר כי יאמר לו אין לי מעות לקנות חפצים שלך ואיני רוצה לטרוח ולמכור חפציך וכ"ש בנדון זה שהלוהו על בית בנכייתא כדי לדור בו ושיעבד לו הבית לדירתו עד שיפרע לו מעותיו שאינו יכול לבטל שיעבודו עד שיפרע לו מעותיו ועוד אני אומר אפילו אין כל הבית שוה יותר מן החוב אינו יכול לכופו שיקח הבית בחובו ויחזיר לו שטרו כי יאמר אין לי מעות לקנות בהם קרקע אני הלויתיך על ביתך לדור בו וכשאצטרך מעותי שתפרעני איני רוצה לקנות קרקע וגם אני נוגשך שתפרעני ואם תרצה שאחזיר לך שטרך מכור ביתך ותפרעני)</w:t>
      </w:r>
      <w:r>
        <w:rPr>
          <w:rtl/>
        </w:rPr>
        <w:t>. עכ"ל הטור. וכתב הב"י- תמהני על רבינו שכתב וכן כתב הרא"ש שאין דברי הרא"ש ענין לדברי הרמב"ן דהרא"ש מיירי כשהלוה רוצה שיקנה המלוה קצת מהבית בחובו והרמב"ן מיירי כשאינו אומר שיקנה מהשדה כלל אלא שיחזירו לו חצי השדה כיון שפרעו חצי החוב וחצי השדה ישאר ממושכן בעד חצי החוב הנשאר.</w:t>
      </w:r>
    </w:p>
  </w:footnote>
  <w:footnote w:id="6139">
    <w:p w14:paraId="49C09193" w14:textId="77777777" w:rsidR="0013116F" w:rsidRDefault="0013116F" w:rsidP="0004348D">
      <w:pPr>
        <w:pStyle w:val="a9"/>
        <w:rPr>
          <w:color w:val="000000" w:themeColor="text1"/>
        </w:rPr>
      </w:pPr>
      <w:r>
        <w:rPr>
          <w:rStyle w:val="ab"/>
          <w:color w:val="000000" w:themeColor="text1"/>
        </w:rPr>
        <w:footnoteRef/>
      </w:r>
      <w:r>
        <w:rPr>
          <w:color w:val="000000" w:themeColor="text1"/>
          <w:rtl/>
        </w:rPr>
        <w:t xml:space="preserve"> ולכאורה היה להקשות למה לי רוצה לפרוע חמישים, הלא אפילו רוצה לפרוע לו הכל יכול המלוה לומר אני אוכל פירות עד הזמן. אלא מיירי באתרא דמסלקי, ועיין מה שכתבתי לקמן סעיף ד' סקי"ח, ש"ך (סקי"ג).</w:t>
      </w:r>
    </w:p>
  </w:footnote>
  <w:footnote w:id="6140">
    <w:p w14:paraId="7B9D7FB4" w14:textId="77777777" w:rsidR="0013116F" w:rsidRDefault="0013116F" w:rsidP="0004348D">
      <w:pPr>
        <w:pStyle w:val="a9"/>
      </w:pPr>
      <w:r>
        <w:rPr>
          <w:rStyle w:val="ab"/>
        </w:rPr>
        <w:footnoteRef/>
      </w:r>
      <w:r>
        <w:rPr>
          <w:rtl/>
        </w:rPr>
        <w:t xml:space="preserve"> וכן כתב בספר התרומות בשם הרמב"ן. וכתב הב"י- מצאתי נוסחא אחת מספר התרומות שכתוב בה שיש מי שחולק בזה וכתוב באותה נוסחא שדין הלוהו על משכונת מטלטלים שוה להלוהו על משכונת שדה.</w:t>
      </w:r>
    </w:p>
  </w:footnote>
  <w:footnote w:id="6141">
    <w:p w14:paraId="64390B48" w14:textId="77777777" w:rsidR="0013116F" w:rsidRDefault="0013116F" w:rsidP="0004348D">
      <w:pPr>
        <w:pStyle w:val="a9"/>
        <w:rPr>
          <w:rtl/>
        </w:rPr>
      </w:pPr>
      <w:r>
        <w:rPr>
          <w:rStyle w:val="ab"/>
        </w:rPr>
        <w:footnoteRef/>
      </w:r>
      <w:r>
        <w:rPr>
          <w:rtl/>
        </w:rPr>
        <w:t xml:space="preserve"> </w:t>
      </w:r>
      <w:r>
        <w:rPr>
          <w:rFonts w:hint="cs"/>
          <w:rtl/>
        </w:rPr>
        <w:t xml:space="preserve">בש"ך (סקי"ז) האריך להוכיח מדברי הפוסקים דמפרשים לסוגית הש"ס לענין דיעבד ולא לכתחילה, והיינו דאין המלוה יכול לומר תחזור ותקח ממני מה שפרעת לי זוזא זוזא ויהיה אצלך באחריותך עד שתפרע הכל, ואם לא תקח הרי הוא אצלי באחריותך דלא הוי פרעון, קמ"ל דלא, אלא בדיעבד הוי פרעון וכו' ע"ש, באה"ט (סקי"ב). </w:t>
      </w:r>
    </w:p>
  </w:footnote>
  <w:footnote w:id="6142">
    <w:p w14:paraId="7B72C2C3" w14:textId="77777777" w:rsidR="0013116F" w:rsidRDefault="0013116F" w:rsidP="0004348D">
      <w:pPr>
        <w:pStyle w:val="a9"/>
        <w:rPr>
          <w:rtl/>
        </w:rPr>
      </w:pPr>
      <w:r>
        <w:rPr>
          <w:rStyle w:val="ab"/>
        </w:rPr>
        <w:footnoteRef/>
      </w:r>
      <w:r>
        <w:rPr>
          <w:rtl/>
        </w:rPr>
        <w:t xml:space="preserve"> דיאמר לו אפסדתני במה שפרעתני פרוטות פרוטות, שכך אני חוזר ומוציא המעות אחדים, ואילו אתה נותן לי לזמנו ביחד הייתי מוציאן בפרקמטיא ברוח, סמ"ע (סק"י).</w:t>
      </w:r>
    </w:p>
  </w:footnote>
  <w:footnote w:id="6143">
    <w:p w14:paraId="7CA6AB79" w14:textId="77777777" w:rsidR="0013116F" w:rsidRDefault="0013116F" w:rsidP="0004348D">
      <w:pPr>
        <w:pStyle w:val="a9"/>
      </w:pPr>
      <w:r>
        <w:rPr>
          <w:rStyle w:val="ab"/>
        </w:rPr>
        <w:footnoteRef/>
      </w:r>
      <w:r>
        <w:rPr>
          <w:rtl/>
        </w:rPr>
        <w:t xml:space="preserve"> </w:t>
      </w:r>
      <w:r>
        <w:rPr>
          <w:rFonts w:hint="cs"/>
          <w:rtl/>
        </w:rPr>
        <w:t>כתב הש"ך (סקי"ח) דלפי דברי הטור צריך לפרש דאף דהמלוה אינו אוכל פרות השדה אינו יכול לכופו שיחזיר לו חצי המשכונא, כי יכול המלוה לומר כיון שאתה בא לפדות תוך הזמן אינני מחויב ליתן לך כלום מהמשכון, כי אני חפץ במשכון טוב, ושיהיה כולו אצלי כדי שתיהיה דחוק לפרוע את שלי לזמן. ופשוט הוא דאין חילוק בדינים אלו בין משכון קרקע או מטלטלין</w:t>
      </w:r>
      <w:r>
        <w:rPr>
          <w:sz w:val="16"/>
          <w:szCs w:val="16"/>
          <w:rtl/>
        </w:rPr>
        <w:t xml:space="preserve"> {עכ"ד הש"ך}</w:t>
      </w:r>
      <w:r>
        <w:rPr>
          <w:rtl/>
        </w:rPr>
        <w:t>. אך הט"ז לא כתב כן, אלא דמיירי שהמלוה אוכל פרות, ולפ"ז אם משכן לו מטלטלין ורוצה לפדות החצי ולהניח החצי השוה לפי ערך, שומעין לו וכופין על מדת סדום, באה"ט (סקי"ג).</w:t>
      </w:r>
    </w:p>
  </w:footnote>
  <w:footnote w:id="6144">
    <w:p w14:paraId="210D2BE2" w14:textId="77777777" w:rsidR="0013116F" w:rsidRDefault="0013116F" w:rsidP="0004348D">
      <w:pPr>
        <w:pStyle w:val="a9"/>
        <w:rPr>
          <w:rtl/>
        </w:rPr>
      </w:pPr>
      <w:r>
        <w:rPr>
          <w:rStyle w:val="ab"/>
        </w:rPr>
        <w:footnoteRef/>
      </w:r>
      <w:r>
        <w:rPr>
          <w:rtl/>
        </w:rPr>
        <w:t xml:space="preserve"> לשון 'הוא הדין' דכתב מור"ם - לאו דוקא הוא, דהא עדיפא מיניה הוא, דכאן כשהגיע הזמן הברירה ביד המלוה בתרתי, לא מיבעי דאין צריך להחזיר לו חצי המשכונה אלא אפילו קבלת המעות בפרוטרוט אינו מקבל כשירצה. אלא ה"ק, כשם שיד המלוה על העליונה בתוך הזמן שלא להחזיר לו מהמשכון כלום, כך ידו על העליונה בכלות הזמן דאין מקבל ממנו אפילו הפרעון לאחדים, ע"ש במרדכי שהביא ראיה לדבריו בזה, סמ"ע (סקי"א).</w:t>
      </w:r>
    </w:p>
  </w:footnote>
  <w:footnote w:id="6145">
    <w:p w14:paraId="1159385F" w14:textId="77777777" w:rsidR="0013116F" w:rsidRDefault="0013116F" w:rsidP="0004348D">
      <w:pPr>
        <w:pStyle w:val="a9"/>
      </w:pPr>
      <w:r>
        <w:rPr>
          <w:rStyle w:val="ab"/>
        </w:rPr>
        <w:footnoteRef/>
      </w:r>
      <w:r>
        <w:rPr>
          <w:rtl/>
        </w:rPr>
        <w:t xml:space="preserve"> וה"ה אפילו ליכא שטר אינו יכול לכופו שיטלם בחובו, אלא צריך לשלם לו ולפדות המשכון, דאי לשם משכון קבליה, לשם פרעון לא קבליה, כן מוכח בהר"ן ס"פ שבועת הדיינין [שבועות כה. מדפה"ר] ע"ש, וכ"כ רי"ו (נ"ל ריש ח"ה) וז"ל- משכון, כמו שהלוה יכול לכוף המלוה שיתן לו משכונו, כך המלוה יכול לכוף ללוה שיפדנו, כ"מ בש"ס מציעא [סז:] ובספרי הרא"ש [שם פ"ה סי' לד], עכ"ל. וכן הוא בספר ראב"ן (שו"ת סי' קיא), וכן משמע בפוסקים בכמה דוכתי, ש"ך (סקי"ט).</w:t>
      </w:r>
    </w:p>
  </w:footnote>
  <w:footnote w:id="6146">
    <w:p w14:paraId="26D461FD" w14:textId="77777777" w:rsidR="0013116F" w:rsidRDefault="0013116F" w:rsidP="0004348D">
      <w:pPr>
        <w:pStyle w:val="a9"/>
        <w:rPr>
          <w:rtl/>
        </w:rPr>
      </w:pPr>
      <w:r>
        <w:rPr>
          <w:rStyle w:val="ab"/>
        </w:rPr>
        <w:footnoteRef/>
      </w:r>
      <w:r>
        <w:rPr>
          <w:rtl/>
        </w:rPr>
        <w:t xml:space="preserve"> פירוש, והחזר לי השט"ח שבידך עלי. וא"ת מאי חידש המחבר בדין זה, הא כבר כתבו בסע' ה </w:t>
      </w:r>
      <w:r>
        <w:rPr>
          <w:sz w:val="16"/>
          <w:szCs w:val="16"/>
          <w:rtl/>
        </w:rPr>
        <w:t>[ובטור שג"כ כתב שניהן לא קשה מידי, דהטור כתב דין השני תחילה והביא ראיה להדין הראשון שכתבו הרא"ש בתשובה, ע"ש בסע' ז-ח]</w:t>
      </w:r>
      <w:r>
        <w:rPr>
          <w:rtl/>
        </w:rPr>
        <w:t>... וי"ל דקמל"ן דלא מיבעיא בדין ראשון דסע' ה' דמיירי דהלוהו על המשכון קרקע או מטלטלין, דיכול המלוה לומר ניחא לי לתפוס בשט"ח וגם בהמשכון כדי שתצטרך לפדות משכונך מהר, אלא אפילו בדין דסע' ו' דאין בידו אלא השטר, דהוה אמינא דיכול הלוה לכפותו ולומר לו הלא טוב לך יותר להחזיק בקרקע מבהשטר, קמל"ן, סמ"ע (סקי"ג). והש"ך (סק"כ) תירץ דבסעיף ה' מיירי שהלוה אינו טוען אין לי, אלא מודה שיש לו לשלם ממקום אחר, ואפ"ה אינו רוצה לשלם, באמרו מאחר שהלוה על המשכון קבליה לשם פרעון, קמ"ל דלא. וכאן מיירי שלא הלוה לו על הקרקע, והלוה אומר אין לי עתה מעות ולא מטלטלים אלא קרקע, טול אותה בחובך, וקמ"ל דהדין עם המלוה כיון שרוצה להמתין לו, ואין ענין זה לזה כלל.</w:t>
      </w:r>
    </w:p>
  </w:footnote>
  <w:footnote w:id="6147">
    <w:p w14:paraId="3CBFF9B5" w14:textId="77777777" w:rsidR="0013116F" w:rsidRDefault="0013116F" w:rsidP="0004348D">
      <w:pPr>
        <w:pStyle w:val="a9"/>
      </w:pPr>
      <w:r>
        <w:rPr>
          <w:rStyle w:val="ab"/>
        </w:rPr>
        <w:footnoteRef/>
      </w:r>
      <w:r>
        <w:rPr>
          <w:rtl/>
        </w:rPr>
        <w:t xml:space="preserve"> </w:t>
      </w:r>
      <w:r>
        <w:rPr>
          <w:rFonts w:hint="cs"/>
          <w:rtl/>
        </w:rPr>
        <w:t>סימן – צנחו זוזים.</w:t>
      </w:r>
    </w:p>
  </w:footnote>
  <w:footnote w:id="6148">
    <w:p w14:paraId="2BDB6394" w14:textId="77777777" w:rsidR="0013116F" w:rsidRDefault="0013116F" w:rsidP="0004348D">
      <w:pPr>
        <w:pStyle w:val="a9"/>
      </w:pPr>
      <w:r>
        <w:rPr>
          <w:rStyle w:val="ab"/>
        </w:rPr>
        <w:footnoteRef/>
      </w:r>
      <w:r>
        <w:rPr>
          <w:rtl/>
        </w:rPr>
        <w:t xml:space="preserve"> מטבעות ישנות מירושלים שהוטבעו בימי בר כוכבא </w:t>
      </w:r>
      <w:r>
        <w:rPr>
          <w:sz w:val="14"/>
          <w:szCs w:val="14"/>
          <w:rtl/>
        </w:rPr>
        <w:t>(חברותא)</w:t>
      </w:r>
      <w:r>
        <w:rPr>
          <w:rtl/>
        </w:rPr>
        <w:t>.</w:t>
      </w:r>
    </w:p>
  </w:footnote>
  <w:footnote w:id="6149">
    <w:p w14:paraId="1A8801E7" w14:textId="77777777" w:rsidR="0013116F" w:rsidRDefault="0013116F" w:rsidP="0004348D">
      <w:pPr>
        <w:pStyle w:val="a9"/>
        <w:rPr>
          <w:rtl/>
        </w:rPr>
      </w:pPr>
      <w:r>
        <w:rPr>
          <w:rStyle w:val="ab"/>
        </w:rPr>
        <w:footnoteRef/>
      </w:r>
      <w:r>
        <w:rPr>
          <w:rtl/>
        </w:rPr>
        <w:t xml:space="preserve"> דנפקי במדינה אחרת ודומיא דראשונים הוא בכך דאין יוצאות כאן במקומו של בעל הבית שנפסלו בכאן, רש"י.</w:t>
      </w:r>
    </w:p>
  </w:footnote>
  <w:footnote w:id="6150">
    <w:p w14:paraId="6EBDCC4A" w14:textId="77777777" w:rsidR="0013116F" w:rsidRDefault="0013116F" w:rsidP="0004348D">
      <w:pPr>
        <w:pStyle w:val="a9"/>
      </w:pPr>
      <w:r>
        <w:rPr>
          <w:rStyle w:val="ab"/>
        </w:rPr>
        <w:footnoteRef/>
      </w:r>
      <w:r>
        <w:rPr>
          <w:rtl/>
        </w:rPr>
        <w:t xml:space="preserve"> ואע"ג דלית ליה אורחא להתם במקום שיוצאין, שהרי בירושלים צריך לילך ולהוציאן, וקשיא לרב נחמן אליבא דשמואל דאמר אבל לית ליה אורחא למישן לא, רש"י.</w:t>
      </w:r>
    </w:p>
  </w:footnote>
  <w:footnote w:id="6151">
    <w:p w14:paraId="025316C4" w14:textId="77777777" w:rsidR="0013116F" w:rsidRDefault="0013116F" w:rsidP="0004348D">
      <w:pPr>
        <w:pStyle w:val="a9"/>
      </w:pPr>
      <w:r>
        <w:rPr>
          <w:rStyle w:val="ab"/>
        </w:rPr>
        <w:footnoteRef/>
      </w:r>
      <w:r>
        <w:rPr>
          <w:rtl/>
        </w:rPr>
        <w:t xml:space="preserve"> רב נחמן אליבא דשמואל דכי לית ליה אורחא למישן לא, רש"י.</w:t>
      </w:r>
    </w:p>
  </w:footnote>
  <w:footnote w:id="6152">
    <w:p w14:paraId="489D15A0" w14:textId="77777777" w:rsidR="0013116F" w:rsidRDefault="0013116F" w:rsidP="0004348D">
      <w:pPr>
        <w:pStyle w:val="a9"/>
      </w:pPr>
      <w:r>
        <w:rPr>
          <w:rStyle w:val="ab"/>
        </w:rPr>
        <w:footnoteRef/>
      </w:r>
      <w:r>
        <w:rPr>
          <w:rtl/>
        </w:rPr>
        <w:t xml:space="preserve"> בתמיה, אי הכי כי אית ליה אורחא למישן היכי מצי ממטי להו הא כי בדקי להו בני מדינה זו ומשכחי ליה אותן מעות מפסדי ליה, רש"י.</w:t>
      </w:r>
    </w:p>
  </w:footnote>
  <w:footnote w:id="6153">
    <w:p w14:paraId="4D536C59" w14:textId="77777777" w:rsidR="0013116F" w:rsidRDefault="0013116F" w:rsidP="0004348D">
      <w:pPr>
        <w:pStyle w:val="a9"/>
        <w:rPr>
          <w:rtl/>
        </w:rPr>
      </w:pPr>
      <w:r>
        <w:rPr>
          <w:rStyle w:val="ab"/>
        </w:rPr>
        <w:footnoteRef/>
      </w:r>
      <w:r>
        <w:rPr>
          <w:rtl/>
        </w:rPr>
        <w:t xml:space="preserve"> שאין מקפידין כל כך שיהו בודקין ומחפשין על דבר זה ואי אשכחי קפדי הלכך אית ליה אורחא שנצרך לילך שם יקבלם ויוציא לשם בסחורה ואי לאו הואיל ואין יכול להראותם בכאן בפרהסיא לבני מישן הבאים כאן אם רוצה לא יקבלם, רש"י.</w:t>
      </w:r>
    </w:p>
  </w:footnote>
  <w:footnote w:id="6154">
    <w:p w14:paraId="14707F48" w14:textId="77777777" w:rsidR="0013116F" w:rsidRDefault="0013116F" w:rsidP="0004348D">
      <w:pPr>
        <w:pStyle w:val="a9"/>
        <w:rPr>
          <w:rtl/>
        </w:rPr>
      </w:pPr>
      <w:r>
        <w:rPr>
          <w:rStyle w:val="ab"/>
        </w:rPr>
        <w:footnoteRef/>
      </w:r>
      <w:r>
        <w:rPr>
          <w:rtl/>
        </w:rPr>
        <w:t xml:space="preserve"> וכתבו התוספות (ד"ה המלוה)- ולפירושו נראה דאם הלוה מעות נמי וקצב לו שישלם לו מעות - דמשלם מטבע היוצא באותה שעה, דמעות שנפסלו לאו מטבע נינהו, ולא נקט בקונדריס 'פרקמטיא' אלא משום דכשמלוה אדם מעותיו אין רגילין להזכיר דבר, אבל כשמוכר פרקמטיא אפילו אמר סתם 'כך וכך מעות תתן' צריך לשלם לו מטבע היוצא. וקשה לפירושו דהוה ליה למימר </w:t>
      </w:r>
      <w:r>
        <w:rPr>
          <w:b/>
          <w:bCs/>
          <w:rtl/>
        </w:rPr>
        <w:t>'המוכר</w:t>
      </w:r>
      <w:r>
        <w:rPr>
          <w:rtl/>
        </w:rPr>
        <w:t xml:space="preserve"> לחבירו על המטבע', או הוה ליה למנקט 'הקיף', ועוד כיון דמעות פרקמטיא זוקף עליו במלוה - אין סברא כלל לחלק בין הלוה מעות לפרקמטיא שמכר במעות.</w:t>
      </w:r>
    </w:p>
  </w:footnote>
  <w:footnote w:id="6155">
    <w:p w14:paraId="3ACFA4AE" w14:textId="77777777" w:rsidR="0013116F" w:rsidRDefault="0013116F" w:rsidP="0004348D">
      <w:pPr>
        <w:pStyle w:val="a9"/>
        <w:rPr>
          <w:rtl/>
        </w:rPr>
      </w:pPr>
      <w:r>
        <w:rPr>
          <w:rStyle w:val="ab"/>
        </w:rPr>
        <w:footnoteRef/>
      </w:r>
      <w:r>
        <w:rPr>
          <w:rtl/>
        </w:rPr>
        <w:t xml:space="preserve"> </w:t>
      </w:r>
      <w:r>
        <w:rPr>
          <w:rFonts w:hint="cs"/>
          <w:rtl/>
        </w:rPr>
        <w:t xml:space="preserve">וז"ל- </w:t>
      </w:r>
      <w:r>
        <w:rPr>
          <w:rtl/>
        </w:rPr>
        <w:t>'המלוה את חבירו על המטבע' כגון שהלוהו מעות על מנת שישלם לו מעות ולא שאר סחורה, והוא הדין למוכר לחבירו ליתן לזמן על המטבע על מנת שישלם לו מטבע.</w:t>
      </w:r>
    </w:p>
  </w:footnote>
  <w:footnote w:id="6156">
    <w:p w14:paraId="4AED718A" w14:textId="77777777" w:rsidR="0013116F" w:rsidRDefault="0013116F" w:rsidP="0004348D">
      <w:pPr>
        <w:pStyle w:val="a9"/>
      </w:pPr>
      <w:r>
        <w:rPr>
          <w:rStyle w:val="ab"/>
        </w:rPr>
        <w:footnoteRef/>
      </w:r>
      <w:r>
        <w:rPr>
          <w:rtl/>
        </w:rPr>
        <w:t xml:space="preserve"> וז"ל- 'על המטבע' שכל המלוה הן פירות שקצץ להם דמים הן מעות - על סמך המטבע היוצא הוא מלוה, רצוני לומר לחשיבות הצורה הוא מתכוין, לאפוקי אם היתה הלואת פירות לשלם לו פירות, אלא דמים, ועל סמך חשיבות הצורה, וזהו 'על המטבע' ולא אמר 'המלוה' סתם, וכן נראה מן ההלכות שהכונה בכל מי שחייב מעות לחבירו.</w:t>
      </w:r>
    </w:p>
  </w:footnote>
  <w:footnote w:id="6157">
    <w:p w14:paraId="12299C2B" w14:textId="77777777" w:rsidR="0013116F" w:rsidRDefault="0013116F" w:rsidP="0004348D">
      <w:pPr>
        <w:pStyle w:val="a9"/>
      </w:pPr>
      <w:r>
        <w:rPr>
          <w:rStyle w:val="ab"/>
        </w:rPr>
        <w:footnoteRef/>
      </w:r>
      <w:r>
        <w:rPr>
          <w:rtl/>
        </w:rPr>
        <w:t xml:space="preserve"> רש"י </w:t>
      </w:r>
      <w:r>
        <w:rPr>
          <w:sz w:val="16"/>
          <w:szCs w:val="16"/>
          <w:rtl/>
        </w:rPr>
        <w:t>(בתשו' סי' רכג, כ"כ בשמו המרדכי [ב"ק סי' קי] והגה"מ [פ"ד ממלוה אות כ])</w:t>
      </w:r>
      <w:r>
        <w:rPr>
          <w:rtl/>
        </w:rPr>
        <w:t xml:space="preserve"> תוס' </w:t>
      </w:r>
      <w:r>
        <w:rPr>
          <w:sz w:val="16"/>
          <w:szCs w:val="16"/>
          <w:rtl/>
        </w:rPr>
        <w:t>(ד"ה המלוה)</w:t>
      </w:r>
      <w:r>
        <w:rPr>
          <w:rtl/>
        </w:rPr>
        <w:t xml:space="preserve"> רא"ש </w:t>
      </w:r>
      <w:r>
        <w:rPr>
          <w:sz w:val="16"/>
          <w:szCs w:val="16"/>
          <w:rtl/>
        </w:rPr>
        <w:t>(שם)</w:t>
      </w:r>
      <w:r>
        <w:rPr>
          <w:rtl/>
        </w:rPr>
        <w:t xml:space="preserve"> טור והה"מ </w:t>
      </w:r>
      <w:r>
        <w:rPr>
          <w:sz w:val="16"/>
          <w:szCs w:val="16"/>
          <w:rtl/>
        </w:rPr>
        <w:t>(פ"ד ממלוה הי"א)</w:t>
      </w:r>
      <w:r>
        <w:rPr>
          <w:rtl/>
        </w:rPr>
        <w:t>.</w:t>
      </w:r>
    </w:p>
  </w:footnote>
  <w:footnote w:id="6158">
    <w:p w14:paraId="6158D9B6" w14:textId="77777777" w:rsidR="0013116F" w:rsidRDefault="0013116F" w:rsidP="0004348D">
      <w:pPr>
        <w:pStyle w:val="a9"/>
        <w:rPr>
          <w:rtl/>
        </w:rPr>
      </w:pPr>
      <w:r>
        <w:rPr>
          <w:rStyle w:val="ab"/>
        </w:rPr>
        <w:footnoteRef/>
      </w:r>
      <w:r>
        <w:rPr>
          <w:rtl/>
        </w:rPr>
        <w:t xml:space="preserve"> וכיון שפירש לו כך - סתמא דמילתא לכך פירש שאם יפסל יתן לו מטבע היוצא, דמטבע שנפסל אין שמו מטבע. ושמואל סבר דכיון שיוצא במישן שם מטבע עליו, תוס'.</w:t>
      </w:r>
    </w:p>
  </w:footnote>
  <w:footnote w:id="6159">
    <w:p w14:paraId="28A50EE2" w14:textId="77777777" w:rsidR="0013116F" w:rsidRDefault="0013116F" w:rsidP="0004348D">
      <w:pPr>
        <w:pStyle w:val="a9"/>
        <w:rPr>
          <w:rtl/>
        </w:rPr>
      </w:pPr>
      <w:r>
        <w:rPr>
          <w:rStyle w:val="ab"/>
        </w:rPr>
        <w:footnoteRef/>
      </w:r>
      <w:r>
        <w:rPr>
          <w:rtl/>
        </w:rPr>
        <w:t xml:space="preserve"> ואילו במעות לחודייהו קצב - היה משלם לו מטבע שנפסל, אבל הכא שלא זקף עליו במלוה גמורה שיכול לפרוע לו חטים אם ירצה - נותן לו מטבע היוצא באותה שעה, ר"י.</w:t>
      </w:r>
    </w:p>
  </w:footnote>
  <w:footnote w:id="6160">
    <w:p w14:paraId="5F38BFED" w14:textId="77777777" w:rsidR="0013116F" w:rsidRDefault="0013116F" w:rsidP="0004348D">
      <w:pPr>
        <w:pStyle w:val="a9"/>
        <w:rPr>
          <w:rtl/>
        </w:rPr>
      </w:pPr>
      <w:r>
        <w:rPr>
          <w:rStyle w:val="ab"/>
        </w:rPr>
        <w:footnoteRef/>
      </w:r>
      <w:r>
        <w:rPr>
          <w:rtl/>
        </w:rPr>
        <w:t xml:space="preserve"> ודע שהרי"ף (ב"ק לה.) והרמב"ם לא כתבו אלא מימרא דרב נחמן כצורתה והשמיטו הא דאוקימנא לה בשמלכיות מקפידות זו על זו וצריך טעם למה, ב"י (בבדה"ב).</w:t>
      </w:r>
    </w:p>
  </w:footnote>
  <w:footnote w:id="6161">
    <w:p w14:paraId="1F27E069" w14:textId="77777777" w:rsidR="0013116F" w:rsidRDefault="0013116F" w:rsidP="0004348D">
      <w:pPr>
        <w:pStyle w:val="a9"/>
      </w:pPr>
      <w:r>
        <w:rPr>
          <w:rStyle w:val="ab"/>
        </w:rPr>
        <w:footnoteRef/>
      </w:r>
      <w:r>
        <w:rPr>
          <w:rtl/>
        </w:rPr>
        <w:t xml:space="preserve"> כ"כ התוס' </w:t>
      </w:r>
      <w:r>
        <w:rPr>
          <w:sz w:val="16"/>
          <w:szCs w:val="16"/>
          <w:rtl/>
        </w:rPr>
        <w:t>(שם)</w:t>
      </w:r>
      <w:r>
        <w:rPr>
          <w:rtl/>
        </w:rPr>
        <w:t xml:space="preserve"> בסוף דבריהם, וכתבו דדין זה הוא לכל הפירושים </w:t>
      </w:r>
      <w:r>
        <w:rPr>
          <w:sz w:val="16"/>
          <w:szCs w:val="16"/>
          <w:rtl/>
        </w:rPr>
        <w:t>(וז"ל- ולכל הפירושים אם הלוהו מעות סתם - מעות שהלוה לו יפרע לו, אפילו שנפסל)</w:t>
      </w:r>
      <w:r>
        <w:rPr>
          <w:rtl/>
        </w:rPr>
        <w:t xml:space="preserve">. </w:t>
      </w:r>
      <w:r>
        <w:rPr>
          <w:color w:val="00B0F0"/>
          <w:rtl/>
        </w:rPr>
        <w:t>(וכ"פ הרמ"א)</w:t>
      </w:r>
    </w:p>
  </w:footnote>
  <w:footnote w:id="6162">
    <w:p w14:paraId="57D8D28B" w14:textId="77777777" w:rsidR="0013116F" w:rsidRDefault="0013116F" w:rsidP="0004348D">
      <w:pPr>
        <w:pStyle w:val="a9"/>
      </w:pPr>
      <w:r>
        <w:rPr>
          <w:rStyle w:val="ab"/>
        </w:rPr>
        <w:footnoteRef/>
      </w:r>
      <w:r>
        <w:rPr>
          <w:rtl/>
        </w:rPr>
        <w:t xml:space="preserve"> </w:t>
      </w:r>
      <w:r>
        <w:rPr>
          <w:rFonts w:hint="cs"/>
          <w:rtl/>
        </w:rPr>
        <w:t xml:space="preserve">וז"ל- </w:t>
      </w:r>
      <w:r>
        <w:rPr>
          <w:rtl/>
        </w:rPr>
        <w:t xml:space="preserve">אם המעות שהלוהו הן בעין, הביא בדרכ"מ </w:t>
      </w:r>
      <w:r>
        <w:rPr>
          <w:sz w:val="16"/>
          <w:szCs w:val="16"/>
          <w:rtl/>
        </w:rPr>
        <w:t xml:space="preserve">[סע' ט] </w:t>
      </w:r>
      <w:r>
        <w:rPr>
          <w:rtl/>
        </w:rPr>
        <w:t xml:space="preserve">ובסמ"ע </w:t>
      </w:r>
      <w:r>
        <w:rPr>
          <w:sz w:val="16"/>
          <w:szCs w:val="16"/>
          <w:rtl/>
        </w:rPr>
        <w:t xml:space="preserve">[סקי"ט] </w:t>
      </w:r>
      <w:r>
        <w:rPr>
          <w:rtl/>
        </w:rPr>
        <w:t xml:space="preserve">ב' דעות בזה, ופסק הב"ח </w:t>
      </w:r>
      <w:r>
        <w:rPr>
          <w:sz w:val="16"/>
          <w:szCs w:val="16"/>
          <w:rtl/>
        </w:rPr>
        <w:t xml:space="preserve">[סע' ט] </w:t>
      </w:r>
      <w:r>
        <w:rPr>
          <w:rtl/>
        </w:rPr>
        <w:t xml:space="preserve">דהוי ספיקא דדינא והמע"ה, ע"ש. ודעת התוס' </w:t>
      </w:r>
      <w:r>
        <w:rPr>
          <w:sz w:val="16"/>
          <w:szCs w:val="16"/>
          <w:rtl/>
        </w:rPr>
        <w:t xml:space="preserve">(פרק הגוזל ב"ק צז:) </w:t>
      </w:r>
      <w:r>
        <w:rPr>
          <w:rtl/>
        </w:rPr>
        <w:t xml:space="preserve">נראה דאין חילוק </w:t>
      </w:r>
      <w:r>
        <w:rPr>
          <w:sz w:val="16"/>
          <w:szCs w:val="16"/>
          <w:rtl/>
        </w:rPr>
        <w:t>[ועיין במהרש"ל שם סי' י"ג]</w:t>
      </w:r>
      <w:r>
        <w:rPr>
          <w:rtl/>
        </w:rPr>
        <w:t xml:space="preserve">, ובכל ענין נותן לו מטבע היוצא באותה שעה. וכן משמע מהפוסקים שלא חילקו בכך, וכ"כ בסמ"ג </w:t>
      </w:r>
      <w:r>
        <w:rPr>
          <w:sz w:val="16"/>
          <w:szCs w:val="16"/>
          <w:rtl/>
        </w:rPr>
        <w:t>(לאוין קצג סב ע"ד)</w:t>
      </w:r>
      <w:r>
        <w:rPr>
          <w:rtl/>
        </w:rPr>
        <w:t>, ושכן פסק רש"י בתשובה ע"ש, וכן נראה עיקר.</w:t>
      </w:r>
    </w:p>
  </w:footnote>
  <w:footnote w:id="6163">
    <w:p w14:paraId="3411F364" w14:textId="77777777" w:rsidR="0013116F" w:rsidRDefault="0013116F" w:rsidP="0004348D">
      <w:pPr>
        <w:pStyle w:val="a9"/>
      </w:pPr>
      <w:r>
        <w:rPr>
          <w:rStyle w:val="ab"/>
        </w:rPr>
        <w:footnoteRef/>
      </w:r>
      <w:r>
        <w:rPr>
          <w:rtl/>
        </w:rPr>
        <w:t xml:space="preserve"> ר"ל השיעור שהוא חומש, כמ"ש ביו"ד סימן קס"ה. ודוקא כשהוסיפו עליו אסור, דנותן לו מטבע אחרת, משא"כ כשהוקר המטבע עצמו מותר, דאותו מטבע הלוהו, וכמ"ש בטור כאן בסעיף י' בשם תשובת הרא"ש [כלל עא סי' ח, וכלל צא סי' ב], וכ"כ הטור והמחבר ביו"ד בסימן קס"ב [סעיף א'] דאף דאסור ללוות סאה בסאה, במטבע מותר, וע"ש, סמ"ע (סק"כ).</w:t>
      </w:r>
    </w:p>
  </w:footnote>
  <w:footnote w:id="6164">
    <w:p w14:paraId="2FB31573" w14:textId="77777777" w:rsidR="0013116F" w:rsidRDefault="0013116F" w:rsidP="0004348D">
      <w:pPr>
        <w:pStyle w:val="a9"/>
        <w:rPr>
          <w:rtl/>
        </w:rPr>
      </w:pPr>
      <w:r>
        <w:rPr>
          <w:rStyle w:val="ab"/>
        </w:rPr>
        <w:footnoteRef/>
      </w:r>
      <w:r>
        <w:rPr>
          <w:rtl/>
        </w:rPr>
        <w:t xml:space="preserve"> יש חסרון בלשון רבינו, שבתשובה כתוב שהיה כתוב בשטר מסכום עשרה פשוטים כל זהוב. ועיין בכלל ק"ג סימן א' וסימן ב' ועיין בהריב"ש סימן קצ"ז, ב"י.</w:t>
      </w:r>
    </w:p>
  </w:footnote>
  <w:footnote w:id="6165">
    <w:p w14:paraId="044AB99E" w14:textId="77777777" w:rsidR="0013116F" w:rsidRDefault="0013116F" w:rsidP="0004348D">
      <w:pPr>
        <w:pStyle w:val="a9"/>
        <w:rPr>
          <w:rtl/>
        </w:rPr>
      </w:pPr>
      <w:r>
        <w:rPr>
          <w:rStyle w:val="ab"/>
        </w:rPr>
        <w:footnoteRef/>
      </w:r>
      <w:r>
        <w:rPr>
          <w:rtl/>
        </w:rPr>
        <w:t xml:space="preserve"> ר"ל אחר שפסל המלך המטבע, תיקן שהפורע חובו להמלוה מיד, יפרע ממטבע החדשה רביעית מתוך הישנה שהלוהו, ואם לא יפרעהו מיד, אזי יצטרך לשלם לו מהחדשה הכל, כן יעשו, סמ"ע (סקכ"א).</w:t>
      </w:r>
    </w:p>
  </w:footnote>
  <w:footnote w:id="6166">
    <w:p w14:paraId="41BF97E6" w14:textId="77777777" w:rsidR="0013116F" w:rsidRDefault="0013116F" w:rsidP="0004348D">
      <w:pPr>
        <w:pStyle w:val="a9"/>
        <w:rPr>
          <w:rtl/>
        </w:rPr>
      </w:pPr>
      <w:r>
        <w:rPr>
          <w:rStyle w:val="ab"/>
        </w:rPr>
        <w:footnoteRef/>
      </w:r>
      <w:r>
        <w:rPr>
          <w:rtl/>
        </w:rPr>
        <w:t xml:space="preserve"> ולא משמע כן בתשובת הרא"ש כלל ק"ג סימן א', ועיי"ש ובריב"ש סימן קצ"ז, דרכ"מ (אות ו).</w:t>
      </w:r>
    </w:p>
  </w:footnote>
  <w:footnote w:id="6167">
    <w:p w14:paraId="6E33208D" w14:textId="77777777" w:rsidR="0013116F" w:rsidRDefault="0013116F" w:rsidP="0004348D">
      <w:pPr>
        <w:pStyle w:val="a9"/>
        <w:rPr>
          <w:rtl/>
        </w:rPr>
      </w:pPr>
      <w:r>
        <w:rPr>
          <w:rStyle w:val="ab"/>
        </w:rPr>
        <w:footnoteRef/>
      </w:r>
      <w:r>
        <w:rPr>
          <w:rtl/>
        </w:rPr>
        <w:t xml:space="preserve"> וכל שכן כשסוחרי אותה מדינה מצויים כאן, כ"כ הסמ"ג </w:t>
      </w:r>
      <w:r>
        <w:rPr>
          <w:sz w:val="16"/>
          <w:szCs w:val="16"/>
          <w:rtl/>
        </w:rPr>
        <w:t>(לאוין קצג)</w:t>
      </w:r>
      <w:r>
        <w:rPr>
          <w:rtl/>
        </w:rPr>
        <w:t xml:space="preserve"> ושאר פוסקים, וכ"כ מהרש"ל </w:t>
      </w:r>
      <w:r>
        <w:rPr>
          <w:sz w:val="16"/>
          <w:szCs w:val="16"/>
          <w:rtl/>
        </w:rPr>
        <w:t>(פ"ט דב"ק סי' יג)</w:t>
      </w:r>
      <w:r>
        <w:rPr>
          <w:rtl/>
        </w:rPr>
        <w:t>, ש"ך (סקכ"א).</w:t>
      </w:r>
    </w:p>
  </w:footnote>
  <w:footnote w:id="6168">
    <w:p w14:paraId="3A74C4CC" w14:textId="77777777" w:rsidR="0013116F" w:rsidRDefault="0013116F" w:rsidP="0004348D">
      <w:pPr>
        <w:pStyle w:val="a9"/>
        <w:rPr>
          <w:rtl/>
        </w:rPr>
      </w:pPr>
      <w:r>
        <w:rPr>
          <w:rStyle w:val="ab"/>
        </w:rPr>
        <w:footnoteRef/>
      </w:r>
      <w:r>
        <w:rPr>
          <w:rtl/>
        </w:rPr>
        <w:t xml:space="preserve"> אף שהמלכיות מקפידות כשמוצאין, רק שאין מחפשין. ש"ס [ב"ק צז.] והרא"ש [שם פ"ט סי' יא], ש"ך (סקכ"ב).</w:t>
      </w:r>
    </w:p>
  </w:footnote>
  <w:footnote w:id="6169">
    <w:p w14:paraId="2CAE9E74" w14:textId="77777777" w:rsidR="0013116F" w:rsidRDefault="0013116F" w:rsidP="0004348D">
      <w:pPr>
        <w:pStyle w:val="a9"/>
      </w:pPr>
      <w:r>
        <w:rPr>
          <w:rStyle w:val="ab"/>
        </w:rPr>
        <w:footnoteRef/>
      </w:r>
      <w:r>
        <w:rPr>
          <w:rtl/>
        </w:rPr>
        <w:t xml:space="preserve"> ואפילו ערב לו מכל היזקות, א"צ לקבל ממנו, כי מי יודע עד היכן מגיעה חמת המלך. מהרש"ל שם, ש"ך (סקכ"ג).</w:t>
      </w:r>
    </w:p>
  </w:footnote>
  <w:footnote w:id="6170">
    <w:p w14:paraId="42018189" w14:textId="77777777" w:rsidR="0013116F" w:rsidRDefault="0013116F" w:rsidP="0004348D">
      <w:pPr>
        <w:pStyle w:val="a9"/>
      </w:pPr>
      <w:r>
        <w:rPr>
          <w:rStyle w:val="ab"/>
        </w:rPr>
        <w:footnoteRef/>
      </w:r>
      <w:r>
        <w:rPr>
          <w:rtl/>
        </w:rPr>
        <w:t xml:space="preserve"> ואם אין המלכיות מקפידות כלל אף אם מוצאים, אפילו אין לו דרך נותן לו מטבע שהלוהו. ש"ס [שם] והרא"ש [שם] וטור [סעיף ט']. וכתב מהרש"ל [שם] דהיינו דוקא כשסוחרי אותה מדינה מצויים כאן, ש"ך (סקכ"ה).</w:t>
      </w:r>
    </w:p>
  </w:footnote>
  <w:footnote w:id="6171">
    <w:p w14:paraId="4ED343DA" w14:textId="77777777" w:rsidR="0013116F" w:rsidRDefault="0013116F" w:rsidP="0004348D">
      <w:pPr>
        <w:pStyle w:val="a9"/>
      </w:pPr>
      <w:r>
        <w:rPr>
          <w:rStyle w:val="ab"/>
        </w:rPr>
        <w:footnoteRef/>
      </w:r>
      <w:r>
        <w:rPr>
          <w:rtl/>
        </w:rPr>
        <w:t xml:space="preserve"> וה"ה מכר לו סחורה ע"מ שישלם לו במעות. תוס' [שם צ"ז ע"א ד"ה המלוה] ומהרש"ל שם, ש"ך (סקכ"ו).</w:t>
      </w:r>
    </w:p>
  </w:footnote>
  <w:footnote w:id="6172">
    <w:p w14:paraId="19DEEF4B" w14:textId="77777777" w:rsidR="0013116F" w:rsidRDefault="0013116F" w:rsidP="0004348D">
      <w:pPr>
        <w:pStyle w:val="a9"/>
        <w:rPr>
          <w:rtl/>
        </w:rPr>
      </w:pPr>
      <w:r>
        <w:rPr>
          <w:rStyle w:val="ab"/>
        </w:rPr>
        <w:footnoteRef/>
      </w:r>
      <w:r>
        <w:rPr>
          <w:rtl/>
        </w:rPr>
        <w:t xml:space="preserve"> כ"כ בד"מ </w:t>
      </w:r>
      <w:r>
        <w:rPr>
          <w:sz w:val="16"/>
          <w:szCs w:val="16"/>
          <w:rtl/>
        </w:rPr>
        <w:t xml:space="preserve">[סע' ט] </w:t>
      </w:r>
      <w:r>
        <w:rPr>
          <w:rtl/>
        </w:rPr>
        <w:t xml:space="preserve">בשם תשו' הרא"ש </w:t>
      </w:r>
      <w:r>
        <w:rPr>
          <w:sz w:val="16"/>
          <w:szCs w:val="16"/>
          <w:rtl/>
        </w:rPr>
        <w:t xml:space="preserve">(כלל קג סי' א) </w:t>
      </w:r>
      <w:r>
        <w:rPr>
          <w:rtl/>
        </w:rPr>
        <w:t xml:space="preserve">ובשם הריב"ש </w:t>
      </w:r>
      <w:r>
        <w:rPr>
          <w:sz w:val="16"/>
          <w:szCs w:val="16"/>
          <w:rtl/>
        </w:rPr>
        <w:t>(סי' קצז)</w:t>
      </w:r>
      <w:r>
        <w:rPr>
          <w:rtl/>
        </w:rPr>
        <w:t>, וכן נרשם בסמ"ע</w:t>
      </w:r>
      <w:r>
        <w:rPr>
          <w:sz w:val="16"/>
          <w:szCs w:val="16"/>
          <w:rtl/>
        </w:rPr>
        <w:t xml:space="preserve"> [בציוניו]</w:t>
      </w:r>
      <w:r>
        <w:rPr>
          <w:rtl/>
        </w:rPr>
        <w:t xml:space="preserve">. ותמיה לי, דהריב"ש שם כתב להדיא איפכא, וגם בתשובת הרא"ש שם אין הכרח, ע"ש. וכבר הארכתי בזה בש"ך ביו"ד סי' קסה סק"ח והעליתי דדינא דמלכותא דינא </w:t>
      </w:r>
      <w:r>
        <w:rPr>
          <w:sz w:val="16"/>
          <w:szCs w:val="16"/>
          <w:rtl/>
        </w:rPr>
        <w:t>(ודלא כמהרש"ל [שם] והב"ח בסימן זה [סע' ט])</w:t>
      </w:r>
      <w:r>
        <w:rPr>
          <w:rtl/>
        </w:rPr>
        <w:t xml:space="preserve">. ושוב מצאתי כן בתשו' מהר"מ אלשיך </w:t>
      </w:r>
      <w:r>
        <w:rPr>
          <w:sz w:val="16"/>
          <w:szCs w:val="16"/>
          <w:rtl/>
        </w:rPr>
        <w:t>(סי' עט)</w:t>
      </w:r>
      <w:r>
        <w:rPr>
          <w:rtl/>
        </w:rPr>
        <w:t xml:space="preserve">... ובשלט"ג </w:t>
      </w:r>
      <w:r>
        <w:rPr>
          <w:sz w:val="16"/>
          <w:szCs w:val="16"/>
          <w:rtl/>
        </w:rPr>
        <w:t>(פרק גט פשוט עז. מדפה"ר)</w:t>
      </w:r>
      <w:r>
        <w:rPr>
          <w:rtl/>
        </w:rPr>
        <w:t>..., ש"ך (סקכ"ח).</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EA59FA" w14:textId="77777777" w:rsidR="0013116F" w:rsidRDefault="0013116F" w:rsidP="00AF3AF9">
    <w:pPr>
      <w:pStyle w:val="a5"/>
      <w:jc w:val="center"/>
      <w:rPr>
        <w:rtl/>
      </w:rPr>
    </w:pPr>
  </w:p>
  <w:p w14:paraId="048AA4EA" w14:textId="77777777" w:rsidR="0013116F" w:rsidRDefault="0013116F" w:rsidP="00AF3AF9">
    <w:pPr>
      <w:pStyle w:val="a5"/>
      <w:jc w:val="center"/>
    </w:pPr>
    <w:r w:rsidRPr="00692E38">
      <w:rPr>
        <w:rFonts w:hint="cs"/>
        <w:color w:val="7F7F7F" w:themeColor="text1" w:themeTint="80"/>
        <w:rtl/>
      </w:rPr>
      <w:t xml:space="preserve">- סימן </w:t>
    </w:r>
    <w:r>
      <w:rPr>
        <w:rFonts w:hint="cs"/>
        <w:color w:val="7F7F7F" w:themeColor="text1" w:themeTint="80"/>
        <w:rtl/>
      </w:rPr>
      <w:t>א</w:t>
    </w:r>
    <w:r w:rsidRPr="00692E38">
      <w:rPr>
        <w:rFonts w:hint="cs"/>
        <w:color w:val="7F7F7F" w:themeColor="text1" w:themeTint="80"/>
        <w:rtl/>
      </w:rPr>
      <w:t xml:space="preserve"> -</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E525C3" w14:textId="77777777" w:rsidR="0013116F" w:rsidRDefault="0013116F" w:rsidP="00AF3AF9">
    <w:pPr>
      <w:pStyle w:val="a5"/>
      <w:jc w:val="center"/>
      <w:rPr>
        <w:rtl/>
      </w:rPr>
    </w:pPr>
  </w:p>
  <w:p w14:paraId="75E68B8B" w14:textId="77777777" w:rsidR="0013116F" w:rsidRDefault="0013116F" w:rsidP="00AF3AF9">
    <w:pPr>
      <w:pStyle w:val="a5"/>
      <w:jc w:val="center"/>
    </w:pPr>
    <w:r w:rsidRPr="00692E38">
      <w:rPr>
        <w:rFonts w:hint="cs"/>
        <w:color w:val="7F7F7F" w:themeColor="text1" w:themeTint="80"/>
        <w:rtl/>
      </w:rPr>
      <w:t xml:space="preserve">- סימן </w:t>
    </w:r>
    <w:r>
      <w:rPr>
        <w:rFonts w:hint="cs"/>
        <w:color w:val="7F7F7F" w:themeColor="text1" w:themeTint="80"/>
        <w:rtl/>
      </w:rPr>
      <w:t>יא</w:t>
    </w:r>
    <w:r w:rsidRPr="00692E38">
      <w:rPr>
        <w:rFonts w:hint="cs"/>
        <w:color w:val="7F7F7F" w:themeColor="text1" w:themeTint="80"/>
        <w:rtl/>
      </w:rPr>
      <w:t xml:space="preserve"> -</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CD515" w14:textId="77777777" w:rsidR="0013116F" w:rsidRDefault="0013116F" w:rsidP="00AF3AF9">
    <w:pPr>
      <w:pStyle w:val="a5"/>
      <w:jc w:val="center"/>
      <w:rPr>
        <w:rtl/>
      </w:rPr>
    </w:pPr>
  </w:p>
  <w:p w14:paraId="45478329" w14:textId="77777777" w:rsidR="0013116F" w:rsidRDefault="0013116F" w:rsidP="00AF3AF9">
    <w:pPr>
      <w:pStyle w:val="a5"/>
      <w:jc w:val="center"/>
    </w:pPr>
    <w:r w:rsidRPr="00692E38">
      <w:rPr>
        <w:rFonts w:hint="cs"/>
        <w:color w:val="7F7F7F" w:themeColor="text1" w:themeTint="80"/>
        <w:rtl/>
      </w:rPr>
      <w:t xml:space="preserve">- סימן </w:t>
    </w:r>
    <w:r>
      <w:rPr>
        <w:rFonts w:hint="cs"/>
        <w:color w:val="7F7F7F" w:themeColor="text1" w:themeTint="80"/>
        <w:rtl/>
      </w:rPr>
      <w:t>יא</w:t>
    </w:r>
    <w:r w:rsidRPr="00692E38">
      <w:rPr>
        <w:rFonts w:hint="cs"/>
        <w:color w:val="7F7F7F" w:themeColor="text1" w:themeTint="80"/>
        <w:rtl/>
      </w:rPr>
      <w:t xml:space="preserve"> -</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FF2636" w14:textId="77777777" w:rsidR="0013116F" w:rsidRDefault="0013116F" w:rsidP="00AF3AF9">
    <w:pPr>
      <w:pStyle w:val="a5"/>
      <w:jc w:val="center"/>
      <w:rPr>
        <w:rtl/>
      </w:rPr>
    </w:pPr>
  </w:p>
  <w:p w14:paraId="6A69BF9B" w14:textId="77777777" w:rsidR="0013116F" w:rsidRDefault="0013116F" w:rsidP="00AF3AF9">
    <w:pPr>
      <w:pStyle w:val="a5"/>
      <w:jc w:val="center"/>
    </w:pPr>
    <w:r w:rsidRPr="00692E38">
      <w:rPr>
        <w:rFonts w:hint="cs"/>
        <w:color w:val="7F7F7F" w:themeColor="text1" w:themeTint="80"/>
        <w:rtl/>
      </w:rPr>
      <w:t xml:space="preserve">- סימן </w:t>
    </w:r>
    <w:r>
      <w:rPr>
        <w:rFonts w:hint="cs"/>
        <w:color w:val="7F7F7F" w:themeColor="text1" w:themeTint="80"/>
        <w:rtl/>
      </w:rPr>
      <w:t>יב</w:t>
    </w:r>
    <w:r w:rsidRPr="00692E38">
      <w:rPr>
        <w:rFonts w:hint="cs"/>
        <w:color w:val="7F7F7F" w:themeColor="text1" w:themeTint="80"/>
        <w:rtl/>
      </w:rPr>
      <w:t xml:space="preserve"> -</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0D1484" w14:textId="77777777" w:rsidR="0013116F" w:rsidRDefault="0013116F" w:rsidP="00AF3AF9">
    <w:pPr>
      <w:pStyle w:val="a5"/>
      <w:jc w:val="center"/>
      <w:rPr>
        <w:rtl/>
      </w:rPr>
    </w:pPr>
  </w:p>
  <w:p w14:paraId="57D9015D" w14:textId="77777777" w:rsidR="0013116F" w:rsidRDefault="0013116F" w:rsidP="00AF3AF9">
    <w:pPr>
      <w:pStyle w:val="a5"/>
      <w:jc w:val="center"/>
    </w:pPr>
    <w:r w:rsidRPr="00692E38">
      <w:rPr>
        <w:rFonts w:hint="cs"/>
        <w:color w:val="7F7F7F" w:themeColor="text1" w:themeTint="80"/>
        <w:rtl/>
      </w:rPr>
      <w:t xml:space="preserve">- סימן </w:t>
    </w:r>
    <w:r>
      <w:rPr>
        <w:rFonts w:hint="cs"/>
        <w:color w:val="7F7F7F" w:themeColor="text1" w:themeTint="80"/>
        <w:rtl/>
      </w:rPr>
      <w:t>יג</w:t>
    </w:r>
    <w:r w:rsidRPr="00692E38">
      <w:rPr>
        <w:rFonts w:hint="cs"/>
        <w:color w:val="7F7F7F" w:themeColor="text1" w:themeTint="80"/>
        <w:rtl/>
      </w:rPr>
      <w:t xml:space="preserve"> -</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77EFE5" w14:textId="77777777" w:rsidR="0013116F" w:rsidRDefault="0013116F" w:rsidP="00AF3AF9">
    <w:pPr>
      <w:pStyle w:val="a5"/>
      <w:jc w:val="center"/>
      <w:rPr>
        <w:rtl/>
      </w:rPr>
    </w:pPr>
  </w:p>
  <w:p w14:paraId="173B0514" w14:textId="77777777" w:rsidR="0013116F" w:rsidRDefault="0013116F" w:rsidP="00AF3AF9">
    <w:pPr>
      <w:pStyle w:val="a5"/>
      <w:jc w:val="center"/>
    </w:pPr>
    <w:r w:rsidRPr="00692E38">
      <w:rPr>
        <w:rFonts w:hint="cs"/>
        <w:color w:val="7F7F7F" w:themeColor="text1" w:themeTint="80"/>
        <w:rtl/>
      </w:rPr>
      <w:t xml:space="preserve">- סימן </w:t>
    </w:r>
    <w:r>
      <w:rPr>
        <w:rFonts w:hint="cs"/>
        <w:color w:val="7F7F7F" w:themeColor="text1" w:themeTint="80"/>
        <w:rtl/>
      </w:rPr>
      <w:t>יד</w:t>
    </w:r>
    <w:r w:rsidRPr="00692E38">
      <w:rPr>
        <w:rFonts w:hint="cs"/>
        <w:color w:val="7F7F7F" w:themeColor="text1" w:themeTint="80"/>
        <w:rtl/>
      </w:rPr>
      <w:t xml:space="preserve"> -</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84CAE0" w14:textId="77777777" w:rsidR="0013116F" w:rsidRDefault="0013116F" w:rsidP="00AF3AF9">
    <w:pPr>
      <w:pStyle w:val="a5"/>
      <w:jc w:val="center"/>
      <w:rPr>
        <w:rtl/>
      </w:rPr>
    </w:pPr>
  </w:p>
  <w:p w14:paraId="5767E4D1" w14:textId="77777777" w:rsidR="0013116F" w:rsidRDefault="0013116F" w:rsidP="00AF3AF9">
    <w:pPr>
      <w:pStyle w:val="a5"/>
      <w:jc w:val="center"/>
    </w:pPr>
    <w:r w:rsidRPr="00692E38">
      <w:rPr>
        <w:rFonts w:hint="cs"/>
        <w:color w:val="7F7F7F" w:themeColor="text1" w:themeTint="80"/>
        <w:rtl/>
      </w:rPr>
      <w:t xml:space="preserve">- סימן </w:t>
    </w:r>
    <w:r>
      <w:rPr>
        <w:rFonts w:hint="cs"/>
        <w:color w:val="7F7F7F" w:themeColor="text1" w:themeTint="80"/>
        <w:rtl/>
      </w:rPr>
      <w:t>טו</w:t>
    </w:r>
    <w:r w:rsidRPr="00692E38">
      <w:rPr>
        <w:rFonts w:hint="cs"/>
        <w:color w:val="7F7F7F" w:themeColor="text1" w:themeTint="80"/>
        <w:rtl/>
      </w:rPr>
      <w:t xml:space="preserve"> -</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83939D" w14:textId="77777777" w:rsidR="0013116F" w:rsidRDefault="0013116F" w:rsidP="00AF3AF9">
    <w:pPr>
      <w:pStyle w:val="a5"/>
      <w:jc w:val="center"/>
      <w:rPr>
        <w:rtl/>
      </w:rPr>
    </w:pPr>
  </w:p>
  <w:p w14:paraId="6AC2E58B" w14:textId="77777777" w:rsidR="0013116F" w:rsidRDefault="0013116F" w:rsidP="00AF3AF9">
    <w:pPr>
      <w:pStyle w:val="a5"/>
      <w:jc w:val="center"/>
    </w:pPr>
    <w:r w:rsidRPr="00692E38">
      <w:rPr>
        <w:rFonts w:hint="cs"/>
        <w:color w:val="7F7F7F" w:themeColor="text1" w:themeTint="80"/>
        <w:rtl/>
      </w:rPr>
      <w:t xml:space="preserve">- סימן </w:t>
    </w:r>
    <w:r>
      <w:rPr>
        <w:rFonts w:hint="cs"/>
        <w:color w:val="7F7F7F" w:themeColor="text1" w:themeTint="80"/>
        <w:rtl/>
      </w:rPr>
      <w:t>טז</w:t>
    </w:r>
    <w:r w:rsidRPr="00692E38">
      <w:rPr>
        <w:rFonts w:hint="cs"/>
        <w:color w:val="7F7F7F" w:themeColor="text1" w:themeTint="80"/>
        <w:rtl/>
      </w:rPr>
      <w:t xml:space="preserve"> -</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628853" w14:textId="77777777" w:rsidR="0013116F" w:rsidRDefault="0013116F" w:rsidP="00AF3AF9">
    <w:pPr>
      <w:pStyle w:val="a5"/>
      <w:jc w:val="center"/>
      <w:rPr>
        <w:rtl/>
      </w:rPr>
    </w:pPr>
  </w:p>
  <w:p w14:paraId="5E149D29" w14:textId="77777777" w:rsidR="0013116F" w:rsidRDefault="0013116F" w:rsidP="00AF3AF9">
    <w:pPr>
      <w:pStyle w:val="a5"/>
      <w:jc w:val="center"/>
    </w:pPr>
    <w:r w:rsidRPr="00692E38">
      <w:rPr>
        <w:rFonts w:hint="cs"/>
        <w:color w:val="7F7F7F" w:themeColor="text1" w:themeTint="80"/>
        <w:rtl/>
      </w:rPr>
      <w:t xml:space="preserve">- סימן </w:t>
    </w:r>
    <w:r>
      <w:rPr>
        <w:rFonts w:hint="cs"/>
        <w:color w:val="7F7F7F" w:themeColor="text1" w:themeTint="80"/>
        <w:rtl/>
      </w:rPr>
      <w:t>יז</w:t>
    </w:r>
    <w:r w:rsidRPr="00692E38">
      <w:rPr>
        <w:rFonts w:hint="cs"/>
        <w:color w:val="7F7F7F" w:themeColor="text1" w:themeTint="80"/>
        <w:rtl/>
      </w:rPr>
      <w:t xml:space="preserve"> -</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87D5B2" w14:textId="77777777" w:rsidR="0013116F" w:rsidRDefault="0013116F" w:rsidP="00AF3AF9">
    <w:pPr>
      <w:pStyle w:val="a5"/>
      <w:jc w:val="center"/>
      <w:rPr>
        <w:rtl/>
      </w:rPr>
    </w:pPr>
  </w:p>
  <w:p w14:paraId="5F1E0D31" w14:textId="77777777" w:rsidR="0013116F" w:rsidRDefault="0013116F" w:rsidP="00AF3AF9">
    <w:pPr>
      <w:pStyle w:val="a5"/>
      <w:jc w:val="center"/>
    </w:pPr>
    <w:r w:rsidRPr="00692E38">
      <w:rPr>
        <w:rFonts w:hint="cs"/>
        <w:color w:val="7F7F7F" w:themeColor="text1" w:themeTint="80"/>
        <w:rtl/>
      </w:rPr>
      <w:t xml:space="preserve">- סימן </w:t>
    </w:r>
    <w:r>
      <w:rPr>
        <w:rFonts w:hint="cs"/>
        <w:color w:val="7F7F7F" w:themeColor="text1" w:themeTint="80"/>
        <w:rtl/>
      </w:rPr>
      <w:t>יח</w:t>
    </w:r>
    <w:r w:rsidRPr="00692E38">
      <w:rPr>
        <w:rFonts w:hint="cs"/>
        <w:color w:val="7F7F7F" w:themeColor="text1" w:themeTint="80"/>
        <w:rtl/>
      </w:rPr>
      <w:t xml:space="preserve"> -</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D85CE8" w14:textId="77777777" w:rsidR="0013116F" w:rsidRDefault="0013116F" w:rsidP="00AF3AF9">
    <w:pPr>
      <w:pStyle w:val="a5"/>
      <w:jc w:val="center"/>
      <w:rPr>
        <w:rtl/>
      </w:rPr>
    </w:pPr>
  </w:p>
  <w:p w14:paraId="4170F2E5" w14:textId="77777777" w:rsidR="0013116F" w:rsidRDefault="0013116F" w:rsidP="00AF3AF9">
    <w:pPr>
      <w:pStyle w:val="a5"/>
      <w:jc w:val="center"/>
    </w:pPr>
    <w:r w:rsidRPr="00692E38">
      <w:rPr>
        <w:rFonts w:hint="cs"/>
        <w:color w:val="7F7F7F" w:themeColor="text1" w:themeTint="80"/>
        <w:rtl/>
      </w:rPr>
      <w:t xml:space="preserve">- סימן </w:t>
    </w:r>
    <w:r>
      <w:rPr>
        <w:rFonts w:hint="cs"/>
        <w:color w:val="7F7F7F" w:themeColor="text1" w:themeTint="80"/>
        <w:rtl/>
      </w:rPr>
      <w:t>יט</w:t>
    </w:r>
    <w:r w:rsidRPr="00692E38">
      <w:rPr>
        <w:rFonts w:hint="cs"/>
        <w:color w:val="7F7F7F" w:themeColor="text1" w:themeTint="80"/>
        <w:rtl/>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5540A8" w14:textId="77777777" w:rsidR="0013116F" w:rsidRDefault="0013116F" w:rsidP="00AF3AF9">
    <w:pPr>
      <w:pStyle w:val="a5"/>
      <w:jc w:val="center"/>
      <w:rPr>
        <w:rtl/>
      </w:rPr>
    </w:pPr>
  </w:p>
  <w:p w14:paraId="139E5DE0" w14:textId="77777777" w:rsidR="0013116F" w:rsidRDefault="0013116F" w:rsidP="00AF3AF9">
    <w:pPr>
      <w:pStyle w:val="a5"/>
      <w:jc w:val="center"/>
    </w:pPr>
    <w:r w:rsidRPr="00692E38">
      <w:rPr>
        <w:rFonts w:hint="cs"/>
        <w:color w:val="7F7F7F" w:themeColor="text1" w:themeTint="80"/>
        <w:rtl/>
      </w:rPr>
      <w:t xml:space="preserve">- סימן </w:t>
    </w:r>
    <w:r>
      <w:rPr>
        <w:rFonts w:hint="cs"/>
        <w:color w:val="7F7F7F" w:themeColor="text1" w:themeTint="80"/>
        <w:rtl/>
      </w:rPr>
      <w:t>ב</w:t>
    </w:r>
    <w:r w:rsidRPr="00692E38">
      <w:rPr>
        <w:rFonts w:hint="cs"/>
        <w:color w:val="7F7F7F" w:themeColor="text1" w:themeTint="80"/>
        <w:rtl/>
      </w:rPr>
      <w:t xml:space="preserve"> -</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EB3F1C" w14:textId="77777777" w:rsidR="0013116F" w:rsidRDefault="0013116F" w:rsidP="00AF3AF9">
    <w:pPr>
      <w:pStyle w:val="a5"/>
      <w:jc w:val="center"/>
      <w:rPr>
        <w:rtl/>
      </w:rPr>
    </w:pPr>
  </w:p>
  <w:p w14:paraId="3DE0FFA5" w14:textId="77777777" w:rsidR="0013116F" w:rsidRDefault="0013116F" w:rsidP="00AF3AF9">
    <w:pPr>
      <w:pStyle w:val="a5"/>
      <w:jc w:val="center"/>
    </w:pPr>
    <w:r w:rsidRPr="00692E38">
      <w:rPr>
        <w:rFonts w:hint="cs"/>
        <w:color w:val="7F7F7F" w:themeColor="text1" w:themeTint="80"/>
        <w:rtl/>
      </w:rPr>
      <w:t xml:space="preserve">- סימן </w:t>
    </w:r>
    <w:r>
      <w:rPr>
        <w:rFonts w:hint="cs"/>
        <w:color w:val="7F7F7F" w:themeColor="text1" w:themeTint="80"/>
        <w:rtl/>
      </w:rPr>
      <w:t>כ</w:t>
    </w:r>
    <w:r w:rsidRPr="00692E38">
      <w:rPr>
        <w:rFonts w:hint="cs"/>
        <w:color w:val="7F7F7F" w:themeColor="text1" w:themeTint="80"/>
        <w:rtl/>
      </w:rPr>
      <w:t xml:space="preserve"> -</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3240F4" w14:textId="77777777" w:rsidR="0013116F" w:rsidRDefault="0013116F" w:rsidP="00AF3AF9">
    <w:pPr>
      <w:pStyle w:val="a5"/>
      <w:jc w:val="center"/>
      <w:rPr>
        <w:rtl/>
      </w:rPr>
    </w:pPr>
  </w:p>
  <w:p w14:paraId="45F2CBBF" w14:textId="77777777" w:rsidR="0013116F" w:rsidRDefault="0013116F" w:rsidP="00AF3AF9">
    <w:pPr>
      <w:pStyle w:val="a5"/>
      <w:jc w:val="center"/>
    </w:pPr>
    <w:r w:rsidRPr="00692E38">
      <w:rPr>
        <w:rFonts w:hint="cs"/>
        <w:color w:val="7F7F7F" w:themeColor="text1" w:themeTint="80"/>
        <w:rtl/>
      </w:rPr>
      <w:t xml:space="preserve">- סימן </w:t>
    </w:r>
    <w:r>
      <w:rPr>
        <w:rFonts w:hint="cs"/>
        <w:color w:val="7F7F7F" w:themeColor="text1" w:themeTint="80"/>
        <w:rtl/>
      </w:rPr>
      <w:t>כא</w:t>
    </w:r>
    <w:r w:rsidRPr="00692E38">
      <w:rPr>
        <w:rFonts w:hint="cs"/>
        <w:color w:val="7F7F7F" w:themeColor="text1" w:themeTint="80"/>
        <w:rtl/>
      </w:rPr>
      <w:t xml:space="preserve"> -</w: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20BDC6" w14:textId="77777777" w:rsidR="0013116F" w:rsidRDefault="0013116F" w:rsidP="00AF3AF9">
    <w:pPr>
      <w:pStyle w:val="a5"/>
      <w:jc w:val="center"/>
      <w:rPr>
        <w:rtl/>
      </w:rPr>
    </w:pPr>
  </w:p>
  <w:p w14:paraId="371D2BEC" w14:textId="77777777" w:rsidR="0013116F" w:rsidRDefault="0013116F" w:rsidP="00AF3AF9">
    <w:pPr>
      <w:pStyle w:val="a5"/>
      <w:jc w:val="center"/>
    </w:pPr>
    <w:r w:rsidRPr="00692E38">
      <w:rPr>
        <w:rFonts w:hint="cs"/>
        <w:color w:val="7F7F7F" w:themeColor="text1" w:themeTint="80"/>
        <w:rtl/>
      </w:rPr>
      <w:t xml:space="preserve">- סימן </w:t>
    </w:r>
    <w:r>
      <w:rPr>
        <w:rFonts w:hint="cs"/>
        <w:color w:val="7F7F7F" w:themeColor="text1" w:themeTint="80"/>
        <w:rtl/>
      </w:rPr>
      <w:t>כב</w:t>
    </w:r>
    <w:r w:rsidRPr="00692E38">
      <w:rPr>
        <w:rFonts w:hint="cs"/>
        <w:color w:val="7F7F7F" w:themeColor="text1" w:themeTint="80"/>
        <w:rtl/>
      </w:rPr>
      <w:t xml:space="preserve"> -</w: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CCFEB5" w14:textId="77777777" w:rsidR="0013116F" w:rsidRDefault="0013116F" w:rsidP="00AF3AF9">
    <w:pPr>
      <w:pStyle w:val="a5"/>
      <w:jc w:val="center"/>
      <w:rPr>
        <w:rtl/>
      </w:rPr>
    </w:pPr>
  </w:p>
  <w:p w14:paraId="015425D2" w14:textId="77777777" w:rsidR="0013116F" w:rsidRDefault="0013116F" w:rsidP="00AF3AF9">
    <w:pPr>
      <w:pStyle w:val="a5"/>
      <w:jc w:val="center"/>
    </w:pPr>
    <w:r w:rsidRPr="00692E38">
      <w:rPr>
        <w:rFonts w:hint="cs"/>
        <w:color w:val="7F7F7F" w:themeColor="text1" w:themeTint="80"/>
        <w:rtl/>
      </w:rPr>
      <w:t xml:space="preserve">- סימן </w:t>
    </w:r>
    <w:r>
      <w:rPr>
        <w:rFonts w:hint="cs"/>
        <w:color w:val="7F7F7F" w:themeColor="text1" w:themeTint="80"/>
        <w:rtl/>
      </w:rPr>
      <w:t>כג</w:t>
    </w:r>
    <w:r w:rsidRPr="00692E38">
      <w:rPr>
        <w:rFonts w:hint="cs"/>
        <w:color w:val="7F7F7F" w:themeColor="text1" w:themeTint="80"/>
        <w:rtl/>
      </w:rPr>
      <w:t xml:space="preserve"> -</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B768D4" w14:textId="77777777" w:rsidR="0013116F" w:rsidRDefault="0013116F" w:rsidP="00AF3AF9">
    <w:pPr>
      <w:pStyle w:val="a5"/>
      <w:jc w:val="center"/>
      <w:rPr>
        <w:rtl/>
      </w:rPr>
    </w:pPr>
  </w:p>
  <w:p w14:paraId="4A3D7F52" w14:textId="77777777" w:rsidR="0013116F" w:rsidRDefault="0013116F" w:rsidP="00AF3AF9">
    <w:pPr>
      <w:pStyle w:val="a5"/>
      <w:jc w:val="center"/>
    </w:pPr>
    <w:r w:rsidRPr="00692E38">
      <w:rPr>
        <w:rFonts w:hint="cs"/>
        <w:color w:val="7F7F7F" w:themeColor="text1" w:themeTint="80"/>
        <w:rtl/>
      </w:rPr>
      <w:t xml:space="preserve">- סימן </w:t>
    </w:r>
    <w:r>
      <w:rPr>
        <w:rFonts w:hint="cs"/>
        <w:color w:val="7F7F7F" w:themeColor="text1" w:themeTint="80"/>
        <w:rtl/>
      </w:rPr>
      <w:t>כד</w:t>
    </w:r>
    <w:r w:rsidRPr="00692E38">
      <w:rPr>
        <w:rFonts w:hint="cs"/>
        <w:color w:val="7F7F7F" w:themeColor="text1" w:themeTint="80"/>
        <w:rtl/>
      </w:rPr>
      <w:t xml:space="preserve"> -</w: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2B9B31" w14:textId="77777777" w:rsidR="0013116F" w:rsidRDefault="0013116F" w:rsidP="00AF3AF9">
    <w:pPr>
      <w:pStyle w:val="a5"/>
      <w:jc w:val="center"/>
      <w:rPr>
        <w:rtl/>
      </w:rPr>
    </w:pPr>
  </w:p>
  <w:p w14:paraId="09ED6B24" w14:textId="77777777" w:rsidR="0013116F" w:rsidRDefault="0013116F" w:rsidP="00AF3AF9">
    <w:pPr>
      <w:pStyle w:val="a5"/>
      <w:jc w:val="center"/>
    </w:pPr>
    <w:r w:rsidRPr="00692E38">
      <w:rPr>
        <w:rFonts w:hint="cs"/>
        <w:color w:val="7F7F7F" w:themeColor="text1" w:themeTint="80"/>
        <w:rtl/>
      </w:rPr>
      <w:t xml:space="preserve">- סימן </w:t>
    </w:r>
    <w:r>
      <w:rPr>
        <w:rFonts w:hint="cs"/>
        <w:color w:val="7F7F7F" w:themeColor="text1" w:themeTint="80"/>
        <w:rtl/>
      </w:rPr>
      <w:t>כה</w:t>
    </w:r>
    <w:r w:rsidRPr="00692E38">
      <w:rPr>
        <w:rFonts w:hint="cs"/>
        <w:color w:val="7F7F7F" w:themeColor="text1" w:themeTint="80"/>
        <w:rtl/>
      </w:rPr>
      <w:t xml:space="preserve"> -</w: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B2EB06" w14:textId="77777777" w:rsidR="0013116F" w:rsidRDefault="0013116F" w:rsidP="004B607F">
    <w:pPr>
      <w:pStyle w:val="a5"/>
      <w:jc w:val="center"/>
      <w:rPr>
        <w:rtl/>
      </w:rPr>
    </w:pPr>
  </w:p>
  <w:p w14:paraId="18EEF4C3" w14:textId="77777777" w:rsidR="0013116F" w:rsidRDefault="0013116F" w:rsidP="004B607F">
    <w:pPr>
      <w:pStyle w:val="a5"/>
      <w:jc w:val="center"/>
    </w:pPr>
    <w:r w:rsidRPr="002C2B1C">
      <w:rPr>
        <w:rtl/>
      </w:rPr>
      <w:t xml:space="preserve">- סימן </w:t>
    </w:r>
    <w:r>
      <w:rPr>
        <w:rFonts w:hint="cs"/>
        <w:rtl/>
      </w:rPr>
      <w:t>כז</w:t>
    </w:r>
    <w:r w:rsidRPr="002C2B1C">
      <w:rPr>
        <w:rtl/>
      </w:rPr>
      <w:t xml:space="preserve"> -</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9DF166" w14:textId="77777777" w:rsidR="0013116F" w:rsidRDefault="0013116F" w:rsidP="004B607F">
    <w:pPr>
      <w:pStyle w:val="a5"/>
      <w:jc w:val="center"/>
      <w:rPr>
        <w:rtl/>
      </w:rPr>
    </w:pPr>
  </w:p>
  <w:p w14:paraId="5442C8C5" w14:textId="77777777" w:rsidR="0013116F" w:rsidRDefault="0013116F" w:rsidP="004B607F">
    <w:pPr>
      <w:pStyle w:val="a5"/>
      <w:jc w:val="center"/>
    </w:pPr>
    <w:r w:rsidRPr="002C2B1C">
      <w:rPr>
        <w:rtl/>
      </w:rPr>
      <w:t xml:space="preserve">- סימן </w:t>
    </w:r>
    <w:r>
      <w:rPr>
        <w:rFonts w:hint="cs"/>
        <w:rtl/>
      </w:rPr>
      <w:t>כח</w:t>
    </w:r>
    <w:r w:rsidRPr="002C2B1C">
      <w:rPr>
        <w:rtl/>
      </w:rPr>
      <w:t xml:space="preserve"> -</w: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390C5F" w14:textId="77777777" w:rsidR="0013116F" w:rsidRDefault="0013116F" w:rsidP="004B607F">
    <w:pPr>
      <w:pStyle w:val="a5"/>
      <w:jc w:val="center"/>
      <w:rPr>
        <w:rtl/>
      </w:rPr>
    </w:pPr>
  </w:p>
  <w:p w14:paraId="119C9665" w14:textId="77777777" w:rsidR="0013116F" w:rsidRDefault="0013116F" w:rsidP="004B607F">
    <w:pPr>
      <w:pStyle w:val="a5"/>
      <w:jc w:val="center"/>
    </w:pPr>
    <w:r w:rsidRPr="002C2B1C">
      <w:rPr>
        <w:rtl/>
      </w:rPr>
      <w:t xml:space="preserve">- סימן </w:t>
    </w:r>
    <w:r>
      <w:rPr>
        <w:rFonts w:hint="cs"/>
        <w:rtl/>
      </w:rPr>
      <w:t>כט</w:t>
    </w:r>
    <w:r w:rsidRPr="002C2B1C">
      <w:rPr>
        <w:rtl/>
      </w:rPr>
      <w:t xml:space="preserve"> -</w:t>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89BCF2" w14:textId="77777777" w:rsidR="0013116F" w:rsidRDefault="0013116F" w:rsidP="004B607F">
    <w:pPr>
      <w:pStyle w:val="a5"/>
      <w:jc w:val="center"/>
      <w:rPr>
        <w:rtl/>
      </w:rPr>
    </w:pPr>
  </w:p>
  <w:p w14:paraId="122278E4" w14:textId="77777777" w:rsidR="0013116F" w:rsidRDefault="0013116F" w:rsidP="004B607F">
    <w:pPr>
      <w:pStyle w:val="a5"/>
      <w:jc w:val="center"/>
    </w:pPr>
    <w:r w:rsidRPr="002C2B1C">
      <w:rPr>
        <w:rtl/>
      </w:rPr>
      <w:t xml:space="preserve">- סימן </w:t>
    </w:r>
    <w:r>
      <w:rPr>
        <w:rFonts w:hint="cs"/>
        <w:rtl/>
      </w:rPr>
      <w:t>ל</w:t>
    </w:r>
    <w:r w:rsidRPr="002C2B1C">
      <w:rPr>
        <w:rtl/>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3ED167" w14:textId="77777777" w:rsidR="0013116F" w:rsidRDefault="0013116F" w:rsidP="00AF3AF9">
    <w:pPr>
      <w:pStyle w:val="a5"/>
      <w:jc w:val="center"/>
      <w:rPr>
        <w:rtl/>
      </w:rPr>
    </w:pPr>
  </w:p>
  <w:p w14:paraId="31F40435" w14:textId="77777777" w:rsidR="0013116F" w:rsidRDefault="0013116F" w:rsidP="00AF3AF9">
    <w:pPr>
      <w:pStyle w:val="a5"/>
      <w:jc w:val="center"/>
    </w:pPr>
    <w:r w:rsidRPr="00692E38">
      <w:rPr>
        <w:rFonts w:hint="cs"/>
        <w:color w:val="7F7F7F" w:themeColor="text1" w:themeTint="80"/>
        <w:rtl/>
      </w:rPr>
      <w:t xml:space="preserve">- סימן </w:t>
    </w:r>
    <w:r>
      <w:rPr>
        <w:rFonts w:hint="cs"/>
        <w:color w:val="7F7F7F" w:themeColor="text1" w:themeTint="80"/>
        <w:rtl/>
      </w:rPr>
      <w:t>ג</w:t>
    </w:r>
    <w:r w:rsidRPr="00692E38">
      <w:rPr>
        <w:rFonts w:hint="cs"/>
        <w:color w:val="7F7F7F" w:themeColor="text1" w:themeTint="80"/>
        <w:rtl/>
      </w:rPr>
      <w:t xml:space="preserve"> -</w:t>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7E8032" w14:textId="77777777" w:rsidR="0013116F" w:rsidRDefault="0013116F" w:rsidP="004B607F">
    <w:pPr>
      <w:pStyle w:val="a5"/>
      <w:jc w:val="center"/>
      <w:rPr>
        <w:rtl/>
      </w:rPr>
    </w:pPr>
  </w:p>
  <w:p w14:paraId="5208C738" w14:textId="77777777" w:rsidR="0013116F" w:rsidRDefault="0013116F" w:rsidP="004B607F">
    <w:pPr>
      <w:pStyle w:val="a5"/>
      <w:jc w:val="center"/>
    </w:pPr>
    <w:r w:rsidRPr="002C2B1C">
      <w:rPr>
        <w:rtl/>
      </w:rPr>
      <w:t xml:space="preserve">- סימן </w:t>
    </w:r>
    <w:r>
      <w:rPr>
        <w:rFonts w:hint="cs"/>
        <w:rtl/>
      </w:rPr>
      <w:t>לא</w:t>
    </w:r>
    <w:r w:rsidRPr="002C2B1C">
      <w:rPr>
        <w:rtl/>
      </w:rPr>
      <w:t xml:space="preserve"> -</w:t>
    </w: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613B26" w14:textId="77777777" w:rsidR="0013116F" w:rsidRDefault="0013116F" w:rsidP="004B607F">
    <w:pPr>
      <w:pStyle w:val="a5"/>
      <w:jc w:val="center"/>
      <w:rPr>
        <w:rtl/>
      </w:rPr>
    </w:pPr>
  </w:p>
  <w:p w14:paraId="0B270E34" w14:textId="77777777" w:rsidR="0013116F" w:rsidRDefault="0013116F" w:rsidP="004B607F">
    <w:pPr>
      <w:pStyle w:val="a5"/>
      <w:jc w:val="center"/>
    </w:pPr>
    <w:r w:rsidRPr="002C2B1C">
      <w:rPr>
        <w:rtl/>
      </w:rPr>
      <w:t xml:space="preserve">- סימן </w:t>
    </w:r>
    <w:r>
      <w:rPr>
        <w:rFonts w:hint="cs"/>
        <w:rtl/>
      </w:rPr>
      <w:t>לב</w:t>
    </w:r>
    <w:r w:rsidRPr="002C2B1C">
      <w:rPr>
        <w:rtl/>
      </w:rPr>
      <w:t xml:space="preserve"> -</w:t>
    </w: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601EE4" w14:textId="77777777" w:rsidR="0013116F" w:rsidRDefault="0013116F" w:rsidP="004B607F">
    <w:pPr>
      <w:pStyle w:val="a5"/>
      <w:jc w:val="center"/>
      <w:rPr>
        <w:rtl/>
      </w:rPr>
    </w:pPr>
  </w:p>
  <w:p w14:paraId="308DCDE5" w14:textId="77777777" w:rsidR="0013116F" w:rsidRDefault="0013116F" w:rsidP="004B607F">
    <w:pPr>
      <w:pStyle w:val="a5"/>
      <w:jc w:val="center"/>
    </w:pPr>
    <w:r w:rsidRPr="002C2B1C">
      <w:rPr>
        <w:rtl/>
      </w:rPr>
      <w:t xml:space="preserve">- סימן </w:t>
    </w:r>
    <w:r>
      <w:rPr>
        <w:rFonts w:hint="cs"/>
        <w:rtl/>
      </w:rPr>
      <w:t>לג</w:t>
    </w:r>
    <w:r w:rsidRPr="002C2B1C">
      <w:rPr>
        <w:rtl/>
      </w:rPr>
      <w:t xml:space="preserve"> -</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78361F" w14:textId="77777777" w:rsidR="0013116F" w:rsidRDefault="0013116F" w:rsidP="004B607F">
    <w:pPr>
      <w:pStyle w:val="a5"/>
      <w:jc w:val="center"/>
      <w:rPr>
        <w:rtl/>
      </w:rPr>
    </w:pPr>
  </w:p>
  <w:p w14:paraId="24C11B14" w14:textId="77777777" w:rsidR="0013116F" w:rsidRDefault="0013116F" w:rsidP="004B607F">
    <w:pPr>
      <w:pStyle w:val="a5"/>
      <w:jc w:val="center"/>
    </w:pPr>
    <w:r w:rsidRPr="002C2B1C">
      <w:rPr>
        <w:rtl/>
      </w:rPr>
      <w:t xml:space="preserve">- סימן </w:t>
    </w:r>
    <w:r>
      <w:rPr>
        <w:rFonts w:hint="cs"/>
        <w:rtl/>
      </w:rPr>
      <w:t>לד</w:t>
    </w:r>
    <w:r w:rsidRPr="002C2B1C">
      <w:rPr>
        <w:rtl/>
      </w:rPr>
      <w:t xml:space="preserve"> -</w:t>
    </w: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E96D3D" w14:textId="77777777" w:rsidR="0013116F" w:rsidRDefault="0013116F" w:rsidP="004B607F">
    <w:pPr>
      <w:pStyle w:val="a5"/>
      <w:jc w:val="center"/>
      <w:rPr>
        <w:rtl/>
      </w:rPr>
    </w:pPr>
  </w:p>
  <w:p w14:paraId="4810A7A2" w14:textId="77777777" w:rsidR="0013116F" w:rsidRDefault="0013116F" w:rsidP="004B607F">
    <w:pPr>
      <w:pStyle w:val="a5"/>
      <w:jc w:val="center"/>
    </w:pPr>
    <w:r w:rsidRPr="002C2B1C">
      <w:rPr>
        <w:rtl/>
      </w:rPr>
      <w:t xml:space="preserve">- סימן </w:t>
    </w:r>
    <w:r>
      <w:rPr>
        <w:rFonts w:hint="cs"/>
        <w:rtl/>
      </w:rPr>
      <w:t>לה</w:t>
    </w:r>
    <w:r w:rsidRPr="002C2B1C">
      <w:rPr>
        <w:rtl/>
      </w:rPr>
      <w:t xml:space="preserve"> -</w:t>
    </w: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65EF99" w14:textId="77777777" w:rsidR="0013116F" w:rsidRDefault="0013116F" w:rsidP="004B607F">
    <w:pPr>
      <w:pStyle w:val="a5"/>
      <w:jc w:val="center"/>
      <w:rPr>
        <w:rtl/>
      </w:rPr>
    </w:pPr>
  </w:p>
  <w:p w14:paraId="05A5BB9E" w14:textId="77777777" w:rsidR="0013116F" w:rsidRDefault="0013116F" w:rsidP="004B607F">
    <w:pPr>
      <w:pStyle w:val="a5"/>
      <w:jc w:val="center"/>
    </w:pPr>
    <w:r w:rsidRPr="002C2B1C">
      <w:rPr>
        <w:rtl/>
      </w:rPr>
      <w:t xml:space="preserve">- סימן </w:t>
    </w:r>
    <w:r>
      <w:rPr>
        <w:rFonts w:hint="cs"/>
        <w:rtl/>
      </w:rPr>
      <w:t>לו</w:t>
    </w:r>
    <w:r w:rsidRPr="002C2B1C">
      <w:rPr>
        <w:rtl/>
      </w:rPr>
      <w:t xml:space="preserve"> -</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4F84FA" w14:textId="77777777" w:rsidR="0013116F" w:rsidRDefault="0013116F" w:rsidP="004B607F">
    <w:pPr>
      <w:pStyle w:val="a5"/>
      <w:jc w:val="center"/>
      <w:rPr>
        <w:rtl/>
      </w:rPr>
    </w:pPr>
  </w:p>
  <w:p w14:paraId="3BAD3D51" w14:textId="77777777" w:rsidR="0013116F" w:rsidRDefault="0013116F" w:rsidP="004B607F">
    <w:pPr>
      <w:pStyle w:val="a5"/>
      <w:jc w:val="center"/>
    </w:pPr>
    <w:r w:rsidRPr="002C2B1C">
      <w:rPr>
        <w:rtl/>
      </w:rPr>
      <w:t xml:space="preserve">- סימן </w:t>
    </w:r>
    <w:r>
      <w:rPr>
        <w:rFonts w:hint="cs"/>
        <w:rtl/>
      </w:rPr>
      <w:t>לז</w:t>
    </w:r>
    <w:r w:rsidRPr="002C2B1C">
      <w:rPr>
        <w:rtl/>
      </w:rPr>
      <w:t xml:space="preserve"> -</w:t>
    </w: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B2B147" w14:textId="77777777" w:rsidR="0013116F" w:rsidRDefault="0013116F" w:rsidP="004B607F">
    <w:pPr>
      <w:pStyle w:val="a5"/>
      <w:jc w:val="center"/>
      <w:rPr>
        <w:rtl/>
      </w:rPr>
    </w:pPr>
  </w:p>
  <w:p w14:paraId="1E47E709" w14:textId="77777777" w:rsidR="0013116F" w:rsidRDefault="0013116F" w:rsidP="004B607F">
    <w:pPr>
      <w:pStyle w:val="a5"/>
      <w:jc w:val="center"/>
    </w:pPr>
    <w:r w:rsidRPr="002C2B1C">
      <w:rPr>
        <w:rtl/>
      </w:rPr>
      <w:t xml:space="preserve">- סימן </w:t>
    </w:r>
    <w:r>
      <w:rPr>
        <w:rFonts w:hint="cs"/>
        <w:rtl/>
      </w:rPr>
      <w:t>לט</w:t>
    </w:r>
    <w:r w:rsidRPr="002C2B1C">
      <w:rPr>
        <w:rtl/>
      </w:rPr>
      <w:t xml:space="preserve"> -</w:t>
    </w: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F9ECD6" w14:textId="77777777" w:rsidR="0013116F" w:rsidRDefault="0013116F" w:rsidP="004B607F">
    <w:pPr>
      <w:pStyle w:val="a5"/>
      <w:jc w:val="center"/>
      <w:rPr>
        <w:rtl/>
      </w:rPr>
    </w:pPr>
  </w:p>
  <w:p w14:paraId="43FF997F" w14:textId="77777777" w:rsidR="0013116F" w:rsidRDefault="0013116F" w:rsidP="004B607F">
    <w:pPr>
      <w:pStyle w:val="a5"/>
      <w:jc w:val="center"/>
    </w:pPr>
    <w:r w:rsidRPr="002C2B1C">
      <w:rPr>
        <w:rtl/>
      </w:rPr>
      <w:t xml:space="preserve">- סימן </w:t>
    </w:r>
    <w:r>
      <w:rPr>
        <w:rFonts w:hint="cs"/>
        <w:rtl/>
      </w:rPr>
      <w:t>מ</w:t>
    </w:r>
    <w:r w:rsidRPr="002C2B1C">
      <w:rPr>
        <w:rtl/>
      </w:rPr>
      <w:t xml:space="preserve"> -</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BD5E6A" w14:textId="77777777" w:rsidR="0013116F" w:rsidRDefault="0013116F" w:rsidP="004B607F">
    <w:pPr>
      <w:pStyle w:val="a5"/>
      <w:jc w:val="center"/>
      <w:rPr>
        <w:rtl/>
      </w:rPr>
    </w:pPr>
  </w:p>
  <w:p w14:paraId="14DC0365" w14:textId="77777777" w:rsidR="0013116F" w:rsidRDefault="0013116F" w:rsidP="004B607F">
    <w:pPr>
      <w:pStyle w:val="a5"/>
      <w:jc w:val="center"/>
    </w:pPr>
    <w:r w:rsidRPr="002C2B1C">
      <w:rPr>
        <w:rtl/>
      </w:rPr>
      <w:t xml:space="preserve">- סימן </w:t>
    </w:r>
    <w:r>
      <w:rPr>
        <w:rFonts w:hint="cs"/>
        <w:rtl/>
      </w:rPr>
      <w:t>מא</w:t>
    </w:r>
    <w:r w:rsidRPr="002C2B1C">
      <w:rPr>
        <w:rtl/>
      </w:rP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2391BB" w14:textId="77777777" w:rsidR="0013116F" w:rsidRDefault="0013116F" w:rsidP="00AF3AF9">
    <w:pPr>
      <w:pStyle w:val="a5"/>
      <w:jc w:val="center"/>
      <w:rPr>
        <w:rtl/>
      </w:rPr>
    </w:pPr>
  </w:p>
  <w:p w14:paraId="4F9A9384" w14:textId="77777777" w:rsidR="0013116F" w:rsidRDefault="0013116F" w:rsidP="00AF3AF9">
    <w:pPr>
      <w:pStyle w:val="a5"/>
      <w:jc w:val="center"/>
    </w:pPr>
    <w:r w:rsidRPr="00692E38">
      <w:rPr>
        <w:rFonts w:hint="cs"/>
        <w:color w:val="7F7F7F" w:themeColor="text1" w:themeTint="80"/>
        <w:rtl/>
      </w:rPr>
      <w:t xml:space="preserve">- סימן </w:t>
    </w:r>
    <w:r>
      <w:rPr>
        <w:rFonts w:hint="cs"/>
        <w:color w:val="7F7F7F" w:themeColor="text1" w:themeTint="80"/>
        <w:rtl/>
      </w:rPr>
      <w:t>ד</w:t>
    </w:r>
    <w:r w:rsidRPr="00692E38">
      <w:rPr>
        <w:rFonts w:hint="cs"/>
        <w:color w:val="7F7F7F" w:themeColor="text1" w:themeTint="80"/>
        <w:rtl/>
      </w:rPr>
      <w:t xml:space="preserve"> -</w:t>
    </w: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48638A" w14:textId="77777777" w:rsidR="0013116F" w:rsidRDefault="0013116F" w:rsidP="004B607F">
    <w:pPr>
      <w:pStyle w:val="a5"/>
      <w:jc w:val="center"/>
      <w:rPr>
        <w:rtl/>
      </w:rPr>
    </w:pPr>
  </w:p>
  <w:p w14:paraId="711F58C1" w14:textId="77777777" w:rsidR="0013116F" w:rsidRDefault="0013116F" w:rsidP="004B607F">
    <w:pPr>
      <w:pStyle w:val="a5"/>
      <w:jc w:val="center"/>
    </w:pPr>
    <w:r w:rsidRPr="002C2B1C">
      <w:rPr>
        <w:rtl/>
      </w:rPr>
      <w:t xml:space="preserve">- סימן </w:t>
    </w:r>
    <w:r>
      <w:rPr>
        <w:rFonts w:hint="cs"/>
        <w:rtl/>
      </w:rPr>
      <w:t>מב</w:t>
    </w:r>
    <w:r w:rsidRPr="002C2B1C">
      <w:rPr>
        <w:rtl/>
      </w:rPr>
      <w:t xml:space="preserve"> -</w:t>
    </w: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CD1F24" w14:textId="77777777" w:rsidR="0013116F" w:rsidRDefault="0013116F" w:rsidP="004B607F">
    <w:pPr>
      <w:pStyle w:val="a5"/>
      <w:jc w:val="center"/>
      <w:rPr>
        <w:rtl/>
      </w:rPr>
    </w:pPr>
  </w:p>
  <w:p w14:paraId="6830770D" w14:textId="77777777" w:rsidR="0013116F" w:rsidRDefault="0013116F" w:rsidP="004B607F">
    <w:pPr>
      <w:pStyle w:val="a5"/>
      <w:jc w:val="center"/>
    </w:pPr>
    <w:r w:rsidRPr="002C2B1C">
      <w:rPr>
        <w:rtl/>
      </w:rPr>
      <w:t xml:space="preserve">- סימן </w:t>
    </w:r>
    <w:r>
      <w:rPr>
        <w:rFonts w:hint="cs"/>
        <w:rtl/>
      </w:rPr>
      <w:t>מג</w:t>
    </w:r>
    <w:r w:rsidRPr="002C2B1C">
      <w:rPr>
        <w:rtl/>
      </w:rPr>
      <w:t xml:space="preserve"> -</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48133E" w14:textId="77777777" w:rsidR="0013116F" w:rsidRDefault="0013116F" w:rsidP="004B607F">
    <w:pPr>
      <w:pStyle w:val="a5"/>
      <w:jc w:val="center"/>
      <w:rPr>
        <w:rtl/>
      </w:rPr>
    </w:pPr>
  </w:p>
  <w:p w14:paraId="7F16EFC9" w14:textId="77777777" w:rsidR="0013116F" w:rsidRDefault="0013116F" w:rsidP="004B607F">
    <w:pPr>
      <w:pStyle w:val="a5"/>
      <w:jc w:val="center"/>
    </w:pPr>
    <w:r w:rsidRPr="002C2B1C">
      <w:rPr>
        <w:rtl/>
      </w:rPr>
      <w:t xml:space="preserve">- סימן </w:t>
    </w:r>
    <w:r>
      <w:rPr>
        <w:rFonts w:hint="cs"/>
        <w:rtl/>
      </w:rPr>
      <w:t>מד</w:t>
    </w:r>
    <w:r w:rsidRPr="002C2B1C">
      <w:rPr>
        <w:rtl/>
      </w:rPr>
      <w:t xml:space="preserve"> -</w:t>
    </w: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7B0135" w14:textId="77777777" w:rsidR="0013116F" w:rsidRDefault="0013116F" w:rsidP="004B607F">
    <w:pPr>
      <w:pStyle w:val="a5"/>
      <w:jc w:val="center"/>
      <w:rPr>
        <w:rtl/>
      </w:rPr>
    </w:pPr>
  </w:p>
  <w:p w14:paraId="51EA29F7" w14:textId="77777777" w:rsidR="0013116F" w:rsidRDefault="0013116F" w:rsidP="004B607F">
    <w:pPr>
      <w:pStyle w:val="a5"/>
      <w:jc w:val="center"/>
    </w:pPr>
    <w:r w:rsidRPr="002C2B1C">
      <w:rPr>
        <w:rtl/>
      </w:rPr>
      <w:t xml:space="preserve">- סימן </w:t>
    </w:r>
    <w:r>
      <w:rPr>
        <w:rFonts w:hint="cs"/>
        <w:rtl/>
      </w:rPr>
      <w:t>מה</w:t>
    </w:r>
    <w:r w:rsidRPr="002C2B1C">
      <w:rPr>
        <w:rtl/>
      </w:rPr>
      <w:t xml:space="preserve"> -</w:t>
    </w: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1016FC" w14:textId="77777777" w:rsidR="0013116F" w:rsidRDefault="0013116F" w:rsidP="004B607F">
    <w:pPr>
      <w:pStyle w:val="a5"/>
      <w:jc w:val="center"/>
      <w:rPr>
        <w:rtl/>
      </w:rPr>
    </w:pPr>
  </w:p>
  <w:p w14:paraId="5D4E9923" w14:textId="77777777" w:rsidR="0013116F" w:rsidRDefault="0013116F" w:rsidP="004B607F">
    <w:pPr>
      <w:pStyle w:val="a5"/>
      <w:jc w:val="center"/>
    </w:pPr>
    <w:r w:rsidRPr="002C2B1C">
      <w:rPr>
        <w:rtl/>
      </w:rPr>
      <w:t xml:space="preserve">- סימן </w:t>
    </w:r>
    <w:r>
      <w:rPr>
        <w:rFonts w:hint="cs"/>
        <w:rtl/>
      </w:rPr>
      <w:t>מו</w:t>
    </w:r>
    <w:r w:rsidRPr="002C2B1C">
      <w:rPr>
        <w:rtl/>
      </w:rPr>
      <w:t xml:space="preserve"> -</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E13BE3" w14:textId="77777777" w:rsidR="0013116F" w:rsidRDefault="0013116F" w:rsidP="004B607F">
    <w:pPr>
      <w:pStyle w:val="a5"/>
      <w:jc w:val="center"/>
      <w:rPr>
        <w:rtl/>
      </w:rPr>
    </w:pPr>
  </w:p>
  <w:p w14:paraId="65C33673" w14:textId="77777777" w:rsidR="0013116F" w:rsidRDefault="0013116F" w:rsidP="004B607F">
    <w:pPr>
      <w:pStyle w:val="a5"/>
      <w:jc w:val="center"/>
    </w:pPr>
    <w:r w:rsidRPr="002C2B1C">
      <w:rPr>
        <w:rtl/>
      </w:rPr>
      <w:t xml:space="preserve">- סימן </w:t>
    </w:r>
    <w:r>
      <w:rPr>
        <w:rFonts w:hint="cs"/>
        <w:rtl/>
      </w:rPr>
      <w:t>מז</w:t>
    </w:r>
    <w:r w:rsidRPr="002C2B1C">
      <w:rPr>
        <w:rtl/>
      </w:rPr>
      <w:t xml:space="preserve"> -</w:t>
    </w: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8CAC77" w14:textId="77777777" w:rsidR="0013116F" w:rsidRDefault="0013116F" w:rsidP="004B607F">
    <w:pPr>
      <w:pStyle w:val="a5"/>
      <w:jc w:val="center"/>
      <w:rPr>
        <w:rtl/>
      </w:rPr>
    </w:pPr>
  </w:p>
  <w:p w14:paraId="58C12047" w14:textId="77777777" w:rsidR="0013116F" w:rsidRDefault="0013116F" w:rsidP="004B607F">
    <w:pPr>
      <w:pStyle w:val="a5"/>
      <w:jc w:val="center"/>
    </w:pPr>
    <w:r w:rsidRPr="002C2B1C">
      <w:rPr>
        <w:rtl/>
      </w:rPr>
      <w:t xml:space="preserve">- סימן </w:t>
    </w:r>
    <w:r>
      <w:rPr>
        <w:rFonts w:hint="cs"/>
        <w:rtl/>
      </w:rPr>
      <w:t>מח</w:t>
    </w:r>
    <w:r w:rsidRPr="002C2B1C">
      <w:rPr>
        <w:rtl/>
      </w:rPr>
      <w:t xml:space="preserve"> -</w:t>
    </w: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1E17C1" w14:textId="77777777" w:rsidR="0013116F" w:rsidRDefault="0013116F" w:rsidP="004B607F">
    <w:pPr>
      <w:pStyle w:val="a5"/>
      <w:jc w:val="center"/>
      <w:rPr>
        <w:rtl/>
      </w:rPr>
    </w:pPr>
  </w:p>
  <w:p w14:paraId="788205C0" w14:textId="77777777" w:rsidR="0013116F" w:rsidRDefault="0013116F" w:rsidP="004B607F">
    <w:pPr>
      <w:pStyle w:val="a5"/>
      <w:jc w:val="center"/>
    </w:pPr>
    <w:r w:rsidRPr="002C2B1C">
      <w:rPr>
        <w:rtl/>
      </w:rPr>
      <w:t xml:space="preserve">- סימן </w:t>
    </w:r>
    <w:r>
      <w:rPr>
        <w:rFonts w:hint="cs"/>
        <w:rtl/>
      </w:rPr>
      <w:t>מט</w:t>
    </w:r>
    <w:r w:rsidRPr="002C2B1C">
      <w:rPr>
        <w:rtl/>
      </w:rPr>
      <w:t xml:space="preserve"> -</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886A38" w14:textId="77777777" w:rsidR="0013116F" w:rsidRDefault="0013116F" w:rsidP="004B607F">
    <w:pPr>
      <w:pStyle w:val="a5"/>
      <w:jc w:val="center"/>
      <w:rPr>
        <w:rtl/>
      </w:rPr>
    </w:pPr>
  </w:p>
  <w:p w14:paraId="465FA6A2" w14:textId="77777777" w:rsidR="0013116F" w:rsidRDefault="0013116F" w:rsidP="004B607F">
    <w:pPr>
      <w:pStyle w:val="a5"/>
      <w:jc w:val="center"/>
    </w:pPr>
    <w:r w:rsidRPr="002C2B1C">
      <w:rPr>
        <w:rtl/>
      </w:rPr>
      <w:t xml:space="preserve">- סימן </w:t>
    </w:r>
    <w:r>
      <w:rPr>
        <w:rFonts w:hint="cs"/>
        <w:rtl/>
      </w:rPr>
      <w:t>נ</w:t>
    </w:r>
    <w:r w:rsidRPr="002C2B1C">
      <w:rPr>
        <w:rtl/>
      </w:rPr>
      <w:t xml:space="preserve"> -</w:t>
    </w: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2B2F10" w14:textId="77777777" w:rsidR="0013116F" w:rsidRDefault="0013116F" w:rsidP="004B607F">
    <w:pPr>
      <w:pStyle w:val="a5"/>
      <w:jc w:val="center"/>
      <w:rPr>
        <w:rtl/>
      </w:rPr>
    </w:pPr>
  </w:p>
  <w:p w14:paraId="3DB957AC" w14:textId="77777777" w:rsidR="0013116F" w:rsidRDefault="0013116F" w:rsidP="004B607F">
    <w:pPr>
      <w:pStyle w:val="a5"/>
      <w:jc w:val="center"/>
    </w:pPr>
    <w:r w:rsidRPr="002C2B1C">
      <w:rPr>
        <w:rtl/>
      </w:rPr>
      <w:t xml:space="preserve">- סימן </w:t>
    </w:r>
    <w:r>
      <w:rPr>
        <w:rFonts w:hint="cs"/>
        <w:rtl/>
      </w:rPr>
      <w:t>נא</w:t>
    </w:r>
    <w:r w:rsidRPr="002C2B1C">
      <w:rPr>
        <w:rtl/>
      </w:rPr>
      <w:t xml:space="preserve">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967C7F" w14:textId="77777777" w:rsidR="0013116F" w:rsidRDefault="0013116F" w:rsidP="00AF3AF9">
    <w:pPr>
      <w:pStyle w:val="a5"/>
      <w:jc w:val="center"/>
      <w:rPr>
        <w:rtl/>
      </w:rPr>
    </w:pPr>
  </w:p>
  <w:p w14:paraId="1A32DDCB" w14:textId="77777777" w:rsidR="0013116F" w:rsidRDefault="0013116F" w:rsidP="00AF3AF9">
    <w:pPr>
      <w:pStyle w:val="a5"/>
      <w:jc w:val="center"/>
    </w:pPr>
    <w:r w:rsidRPr="00692E38">
      <w:rPr>
        <w:rFonts w:hint="cs"/>
        <w:color w:val="7F7F7F" w:themeColor="text1" w:themeTint="80"/>
        <w:rtl/>
      </w:rPr>
      <w:t xml:space="preserve">- סימן </w:t>
    </w:r>
    <w:r>
      <w:rPr>
        <w:rFonts w:hint="cs"/>
        <w:color w:val="7F7F7F" w:themeColor="text1" w:themeTint="80"/>
        <w:rtl/>
      </w:rPr>
      <w:t>ה</w:t>
    </w:r>
    <w:r w:rsidRPr="00692E38">
      <w:rPr>
        <w:rFonts w:hint="cs"/>
        <w:color w:val="7F7F7F" w:themeColor="text1" w:themeTint="80"/>
        <w:rtl/>
      </w:rPr>
      <w:t xml:space="preserve"> -</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6273AB" w14:textId="77777777" w:rsidR="0013116F" w:rsidRDefault="0013116F" w:rsidP="004B607F">
    <w:pPr>
      <w:pStyle w:val="a5"/>
      <w:jc w:val="center"/>
      <w:rPr>
        <w:rtl/>
      </w:rPr>
    </w:pPr>
  </w:p>
  <w:p w14:paraId="23FC4E73" w14:textId="77777777" w:rsidR="0013116F" w:rsidRDefault="0013116F" w:rsidP="004B607F">
    <w:pPr>
      <w:pStyle w:val="a5"/>
      <w:jc w:val="center"/>
    </w:pPr>
    <w:r w:rsidRPr="002C2B1C">
      <w:rPr>
        <w:rtl/>
      </w:rPr>
      <w:t xml:space="preserve">- סימן </w:t>
    </w:r>
    <w:r>
      <w:rPr>
        <w:rFonts w:hint="cs"/>
        <w:rtl/>
      </w:rPr>
      <w:t>נב</w:t>
    </w:r>
    <w:r w:rsidRPr="002C2B1C">
      <w:rPr>
        <w:rtl/>
      </w:rPr>
      <w:t xml:space="preserve"> -</w: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E5A058" w14:textId="77777777" w:rsidR="0013116F" w:rsidRDefault="0013116F" w:rsidP="004B607F">
    <w:pPr>
      <w:pStyle w:val="a5"/>
      <w:jc w:val="center"/>
      <w:rPr>
        <w:rtl/>
      </w:rPr>
    </w:pPr>
  </w:p>
  <w:p w14:paraId="014514E8" w14:textId="77777777" w:rsidR="0013116F" w:rsidRDefault="0013116F" w:rsidP="004B607F">
    <w:pPr>
      <w:pStyle w:val="a5"/>
      <w:jc w:val="center"/>
    </w:pPr>
    <w:r w:rsidRPr="002C2B1C">
      <w:rPr>
        <w:rtl/>
      </w:rPr>
      <w:t xml:space="preserve">- סימן </w:t>
    </w:r>
    <w:r>
      <w:rPr>
        <w:rFonts w:hint="cs"/>
        <w:rtl/>
      </w:rPr>
      <w:t>נג</w:t>
    </w:r>
    <w:r w:rsidRPr="002C2B1C">
      <w:rPr>
        <w:rtl/>
      </w:rPr>
      <w:t xml:space="preserve"> -</w:t>
    </w: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B3CBE8" w14:textId="77777777" w:rsidR="0013116F" w:rsidRDefault="0013116F" w:rsidP="004B607F">
    <w:pPr>
      <w:pStyle w:val="a5"/>
      <w:jc w:val="center"/>
      <w:rPr>
        <w:rtl/>
      </w:rPr>
    </w:pPr>
  </w:p>
  <w:p w14:paraId="76A26788" w14:textId="77777777" w:rsidR="0013116F" w:rsidRDefault="0013116F" w:rsidP="004B607F">
    <w:pPr>
      <w:pStyle w:val="a5"/>
      <w:jc w:val="center"/>
    </w:pPr>
    <w:r w:rsidRPr="002C2B1C">
      <w:rPr>
        <w:rtl/>
      </w:rPr>
      <w:t xml:space="preserve">- סימן </w:t>
    </w:r>
    <w:r>
      <w:rPr>
        <w:rFonts w:hint="cs"/>
        <w:rtl/>
      </w:rPr>
      <w:t>נד</w:t>
    </w:r>
    <w:r w:rsidRPr="002C2B1C">
      <w:rPr>
        <w:rtl/>
      </w:rPr>
      <w:t xml:space="preserve"> -</w:t>
    </w: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71CBD5" w14:textId="77777777" w:rsidR="0013116F" w:rsidRDefault="0013116F" w:rsidP="004B607F">
    <w:pPr>
      <w:pStyle w:val="a5"/>
      <w:jc w:val="center"/>
      <w:rPr>
        <w:rtl/>
      </w:rPr>
    </w:pPr>
  </w:p>
  <w:p w14:paraId="5BA5850A" w14:textId="77777777" w:rsidR="0013116F" w:rsidRDefault="0013116F" w:rsidP="004B607F">
    <w:pPr>
      <w:pStyle w:val="a5"/>
      <w:jc w:val="center"/>
    </w:pPr>
    <w:r w:rsidRPr="002C2B1C">
      <w:rPr>
        <w:rtl/>
      </w:rPr>
      <w:t xml:space="preserve">- סימן </w:t>
    </w:r>
    <w:r>
      <w:rPr>
        <w:rFonts w:hint="cs"/>
        <w:rtl/>
      </w:rPr>
      <w:t>נה</w:t>
    </w:r>
    <w:r w:rsidRPr="002C2B1C">
      <w:rPr>
        <w:rtl/>
      </w:rPr>
      <w:t xml:space="preserve"> -</w: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3541A3" w14:textId="77777777" w:rsidR="0013116F" w:rsidRDefault="0013116F" w:rsidP="004B607F">
    <w:pPr>
      <w:pStyle w:val="a5"/>
      <w:jc w:val="center"/>
      <w:rPr>
        <w:rtl/>
      </w:rPr>
    </w:pPr>
  </w:p>
  <w:p w14:paraId="2E2402ED" w14:textId="77777777" w:rsidR="0013116F" w:rsidRDefault="0013116F" w:rsidP="004B607F">
    <w:pPr>
      <w:pStyle w:val="a5"/>
      <w:jc w:val="center"/>
    </w:pPr>
    <w:r w:rsidRPr="002C2B1C">
      <w:rPr>
        <w:rtl/>
      </w:rPr>
      <w:t xml:space="preserve">- סימן </w:t>
    </w:r>
    <w:r>
      <w:rPr>
        <w:rFonts w:hint="cs"/>
        <w:rtl/>
      </w:rPr>
      <w:t>נו</w:t>
    </w:r>
    <w:r w:rsidRPr="002C2B1C">
      <w:rPr>
        <w:rtl/>
      </w:rPr>
      <w:t xml:space="preserve"> -</w:t>
    </w: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283CB0" w14:textId="77777777" w:rsidR="0013116F" w:rsidRDefault="0013116F" w:rsidP="004B607F">
    <w:pPr>
      <w:pStyle w:val="a5"/>
      <w:jc w:val="center"/>
      <w:rPr>
        <w:rtl/>
      </w:rPr>
    </w:pPr>
  </w:p>
  <w:p w14:paraId="23AD1D4E" w14:textId="77777777" w:rsidR="0013116F" w:rsidRDefault="0013116F" w:rsidP="004B607F">
    <w:pPr>
      <w:pStyle w:val="a5"/>
      <w:jc w:val="center"/>
    </w:pPr>
    <w:r w:rsidRPr="002C2B1C">
      <w:rPr>
        <w:rtl/>
      </w:rPr>
      <w:t xml:space="preserve">- סימן </w:t>
    </w:r>
    <w:r>
      <w:rPr>
        <w:rFonts w:hint="cs"/>
        <w:rtl/>
      </w:rPr>
      <w:t>נז</w:t>
    </w:r>
    <w:r w:rsidRPr="002C2B1C">
      <w:rPr>
        <w:rtl/>
      </w:rPr>
      <w:t xml:space="preserve"> -</w:t>
    </w: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CBC2AA" w14:textId="77777777" w:rsidR="0013116F" w:rsidRDefault="0013116F" w:rsidP="004B607F">
    <w:pPr>
      <w:pStyle w:val="a5"/>
      <w:jc w:val="center"/>
      <w:rPr>
        <w:rtl/>
      </w:rPr>
    </w:pPr>
  </w:p>
  <w:p w14:paraId="45F79A0C" w14:textId="77777777" w:rsidR="0013116F" w:rsidRDefault="0013116F" w:rsidP="004B607F">
    <w:pPr>
      <w:pStyle w:val="a5"/>
      <w:jc w:val="center"/>
    </w:pPr>
    <w:r w:rsidRPr="002C2B1C">
      <w:rPr>
        <w:rtl/>
      </w:rPr>
      <w:t xml:space="preserve">- סימן </w:t>
    </w:r>
    <w:r>
      <w:rPr>
        <w:rFonts w:hint="cs"/>
        <w:rtl/>
      </w:rPr>
      <w:t>נח</w:t>
    </w:r>
    <w:r w:rsidRPr="002C2B1C">
      <w:rPr>
        <w:rtl/>
      </w:rPr>
      <w:t xml:space="preserve"> -</w: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195A3A" w14:textId="77777777" w:rsidR="0013116F" w:rsidRDefault="0013116F" w:rsidP="004B607F">
    <w:pPr>
      <w:pStyle w:val="a5"/>
      <w:jc w:val="center"/>
      <w:rPr>
        <w:rtl/>
      </w:rPr>
    </w:pPr>
  </w:p>
  <w:p w14:paraId="10A73C17" w14:textId="77777777" w:rsidR="0013116F" w:rsidRDefault="0013116F" w:rsidP="004B607F">
    <w:pPr>
      <w:pStyle w:val="a5"/>
      <w:jc w:val="center"/>
    </w:pPr>
    <w:r w:rsidRPr="002C2B1C">
      <w:rPr>
        <w:rtl/>
      </w:rPr>
      <w:t xml:space="preserve">- סימן </w:t>
    </w:r>
    <w:r>
      <w:rPr>
        <w:rFonts w:hint="cs"/>
        <w:rtl/>
      </w:rPr>
      <w:t>נט</w:t>
    </w:r>
    <w:r w:rsidRPr="002C2B1C">
      <w:rPr>
        <w:rtl/>
      </w:rPr>
      <w:t xml:space="preserve"> -</w:t>
    </w: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BD805" w14:textId="77777777" w:rsidR="0013116F" w:rsidRDefault="0013116F" w:rsidP="004B607F">
    <w:pPr>
      <w:pStyle w:val="a5"/>
      <w:jc w:val="center"/>
      <w:rPr>
        <w:rtl/>
      </w:rPr>
    </w:pPr>
  </w:p>
  <w:p w14:paraId="4CCB0212" w14:textId="77777777" w:rsidR="0013116F" w:rsidRDefault="0013116F" w:rsidP="004B607F">
    <w:pPr>
      <w:pStyle w:val="a5"/>
      <w:jc w:val="center"/>
    </w:pPr>
    <w:r w:rsidRPr="002C2B1C">
      <w:rPr>
        <w:rtl/>
      </w:rPr>
      <w:t xml:space="preserve">- סימן </w:t>
    </w:r>
    <w:r>
      <w:rPr>
        <w:rFonts w:hint="cs"/>
        <w:rtl/>
      </w:rPr>
      <w:t>ס</w:t>
    </w:r>
    <w:r w:rsidRPr="002C2B1C">
      <w:rPr>
        <w:rtl/>
      </w:rPr>
      <w:t xml:space="preserve"> -</w:t>
    </w: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706885" w14:textId="77777777" w:rsidR="0013116F" w:rsidRDefault="0013116F" w:rsidP="004B607F">
    <w:pPr>
      <w:pStyle w:val="a5"/>
      <w:jc w:val="center"/>
      <w:rPr>
        <w:rtl/>
      </w:rPr>
    </w:pPr>
  </w:p>
  <w:p w14:paraId="3B66A9B5" w14:textId="77777777" w:rsidR="0013116F" w:rsidRDefault="0013116F" w:rsidP="004B607F">
    <w:pPr>
      <w:pStyle w:val="a5"/>
      <w:jc w:val="center"/>
    </w:pPr>
    <w:r w:rsidRPr="002C2B1C">
      <w:rPr>
        <w:rtl/>
      </w:rPr>
      <w:t xml:space="preserve">- סימן </w:t>
    </w:r>
    <w:r>
      <w:rPr>
        <w:rFonts w:hint="cs"/>
        <w:rtl/>
      </w:rPr>
      <w:t>סא</w:t>
    </w:r>
    <w:r w:rsidRPr="002C2B1C">
      <w:rPr>
        <w:rtl/>
      </w:rPr>
      <w:t xml:space="preserve">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9F9FC7" w14:textId="77777777" w:rsidR="0013116F" w:rsidRDefault="0013116F" w:rsidP="00AF3AF9">
    <w:pPr>
      <w:pStyle w:val="a5"/>
      <w:jc w:val="center"/>
      <w:rPr>
        <w:rtl/>
      </w:rPr>
    </w:pPr>
  </w:p>
  <w:p w14:paraId="37C185B0" w14:textId="77777777" w:rsidR="0013116F" w:rsidRDefault="0013116F" w:rsidP="00AF3AF9">
    <w:pPr>
      <w:pStyle w:val="a5"/>
      <w:jc w:val="center"/>
    </w:pPr>
    <w:r w:rsidRPr="00692E38">
      <w:rPr>
        <w:rFonts w:hint="cs"/>
        <w:color w:val="7F7F7F" w:themeColor="text1" w:themeTint="80"/>
        <w:rtl/>
      </w:rPr>
      <w:t xml:space="preserve">- סימן </w:t>
    </w:r>
    <w:r>
      <w:rPr>
        <w:rFonts w:hint="cs"/>
        <w:color w:val="7F7F7F" w:themeColor="text1" w:themeTint="80"/>
        <w:rtl/>
      </w:rPr>
      <w:t>ו</w:t>
    </w:r>
    <w:r w:rsidRPr="00692E38">
      <w:rPr>
        <w:rFonts w:hint="cs"/>
        <w:color w:val="7F7F7F" w:themeColor="text1" w:themeTint="80"/>
        <w:rtl/>
      </w:rPr>
      <w:t xml:space="preserve"> -</w:t>
    </w: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6C50FE" w14:textId="77777777" w:rsidR="0013116F" w:rsidRDefault="0013116F" w:rsidP="004B607F">
    <w:pPr>
      <w:pStyle w:val="a5"/>
      <w:jc w:val="center"/>
      <w:rPr>
        <w:rtl/>
      </w:rPr>
    </w:pPr>
  </w:p>
  <w:p w14:paraId="356C21AD" w14:textId="77777777" w:rsidR="0013116F" w:rsidRDefault="0013116F" w:rsidP="004B607F">
    <w:pPr>
      <w:pStyle w:val="a5"/>
      <w:jc w:val="center"/>
    </w:pPr>
    <w:r w:rsidRPr="002C2B1C">
      <w:rPr>
        <w:rtl/>
      </w:rPr>
      <w:t xml:space="preserve">- סימן </w:t>
    </w:r>
    <w:r>
      <w:rPr>
        <w:rFonts w:hint="cs"/>
        <w:rtl/>
      </w:rPr>
      <w:t>סב</w:t>
    </w:r>
    <w:r w:rsidRPr="002C2B1C">
      <w:rPr>
        <w:rtl/>
      </w:rPr>
      <w:t xml:space="preserve"> -</w:t>
    </w: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239CC9" w14:textId="77777777" w:rsidR="0013116F" w:rsidRDefault="0013116F" w:rsidP="004B607F">
    <w:pPr>
      <w:pStyle w:val="a5"/>
      <w:jc w:val="center"/>
      <w:rPr>
        <w:rtl/>
      </w:rPr>
    </w:pPr>
  </w:p>
  <w:p w14:paraId="7A429B1D" w14:textId="77777777" w:rsidR="0013116F" w:rsidRDefault="0013116F" w:rsidP="004B607F">
    <w:pPr>
      <w:pStyle w:val="a5"/>
      <w:jc w:val="center"/>
    </w:pPr>
    <w:r w:rsidRPr="002C2B1C">
      <w:rPr>
        <w:rtl/>
      </w:rPr>
      <w:t xml:space="preserve">- סימן </w:t>
    </w:r>
    <w:r>
      <w:rPr>
        <w:rFonts w:hint="cs"/>
        <w:rtl/>
      </w:rPr>
      <w:t>סג</w:t>
    </w:r>
    <w:r w:rsidRPr="002C2B1C">
      <w:rPr>
        <w:rtl/>
      </w:rPr>
      <w:t xml:space="preserve"> -</w:t>
    </w: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40A3D2" w14:textId="77777777" w:rsidR="0013116F" w:rsidRDefault="0013116F" w:rsidP="00815FD1">
    <w:pPr>
      <w:pStyle w:val="a5"/>
      <w:jc w:val="center"/>
      <w:rPr>
        <w:color w:val="7F7F7F" w:themeColor="text1" w:themeTint="80"/>
        <w:rtl/>
      </w:rPr>
    </w:pPr>
  </w:p>
  <w:p w14:paraId="4ED99989" w14:textId="77777777" w:rsidR="0013116F" w:rsidRDefault="0013116F" w:rsidP="00815FD1">
    <w:pPr>
      <w:pStyle w:val="a5"/>
      <w:jc w:val="center"/>
    </w:pPr>
    <w:r w:rsidRPr="00692E38">
      <w:rPr>
        <w:rFonts w:hint="cs"/>
        <w:color w:val="7F7F7F" w:themeColor="text1" w:themeTint="80"/>
        <w:rtl/>
      </w:rPr>
      <w:t xml:space="preserve">- סימן </w:t>
    </w:r>
    <w:r>
      <w:rPr>
        <w:rFonts w:hint="cs"/>
        <w:color w:val="7F7F7F" w:themeColor="text1" w:themeTint="80"/>
        <w:rtl/>
      </w:rPr>
      <w:t>סד</w:t>
    </w:r>
    <w:r w:rsidRPr="00692E38">
      <w:rPr>
        <w:rFonts w:hint="cs"/>
        <w:color w:val="7F7F7F" w:themeColor="text1" w:themeTint="80"/>
        <w:rtl/>
      </w:rPr>
      <w:t xml:space="preserve"> -</w: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BA2AD7" w14:textId="77777777" w:rsidR="0013116F" w:rsidRDefault="0013116F" w:rsidP="00815FD1">
    <w:pPr>
      <w:pStyle w:val="a5"/>
      <w:jc w:val="center"/>
      <w:rPr>
        <w:color w:val="7F7F7F" w:themeColor="text1" w:themeTint="80"/>
        <w:rtl/>
      </w:rPr>
    </w:pPr>
  </w:p>
  <w:p w14:paraId="380A4DA7" w14:textId="77777777" w:rsidR="0013116F" w:rsidRDefault="0013116F" w:rsidP="00815FD1">
    <w:pPr>
      <w:pStyle w:val="a5"/>
      <w:jc w:val="center"/>
    </w:pPr>
    <w:r w:rsidRPr="00692E38">
      <w:rPr>
        <w:rFonts w:hint="cs"/>
        <w:color w:val="7F7F7F" w:themeColor="text1" w:themeTint="80"/>
        <w:rtl/>
      </w:rPr>
      <w:t xml:space="preserve">- סימן </w:t>
    </w:r>
    <w:r>
      <w:rPr>
        <w:rFonts w:hint="cs"/>
        <w:color w:val="7F7F7F" w:themeColor="text1" w:themeTint="80"/>
        <w:rtl/>
      </w:rPr>
      <w:t>סה</w:t>
    </w:r>
    <w:r w:rsidRPr="00692E38">
      <w:rPr>
        <w:rFonts w:hint="cs"/>
        <w:color w:val="7F7F7F" w:themeColor="text1" w:themeTint="80"/>
        <w:rtl/>
      </w:rPr>
      <w:t xml:space="preserve"> -</w:t>
    </w: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5D6111" w14:textId="77777777" w:rsidR="0013116F" w:rsidRDefault="0013116F" w:rsidP="00815FD1">
    <w:pPr>
      <w:pStyle w:val="a5"/>
      <w:jc w:val="center"/>
      <w:rPr>
        <w:color w:val="7F7F7F" w:themeColor="text1" w:themeTint="80"/>
        <w:rtl/>
      </w:rPr>
    </w:pPr>
  </w:p>
  <w:p w14:paraId="73619E5E" w14:textId="77777777" w:rsidR="0013116F" w:rsidRDefault="0013116F" w:rsidP="00815FD1">
    <w:pPr>
      <w:pStyle w:val="a5"/>
      <w:jc w:val="center"/>
    </w:pPr>
    <w:r w:rsidRPr="00692E38">
      <w:rPr>
        <w:rFonts w:hint="cs"/>
        <w:color w:val="7F7F7F" w:themeColor="text1" w:themeTint="80"/>
        <w:rtl/>
      </w:rPr>
      <w:t xml:space="preserve">- סימן </w:t>
    </w:r>
    <w:r>
      <w:rPr>
        <w:rFonts w:hint="cs"/>
        <w:color w:val="7F7F7F" w:themeColor="text1" w:themeTint="80"/>
        <w:rtl/>
      </w:rPr>
      <w:t>סו</w:t>
    </w:r>
    <w:r w:rsidRPr="00692E38">
      <w:rPr>
        <w:rFonts w:hint="cs"/>
        <w:color w:val="7F7F7F" w:themeColor="text1" w:themeTint="80"/>
        <w:rtl/>
      </w:rPr>
      <w:t xml:space="preserve"> -</w:t>
    </w: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C5D9CC" w14:textId="77777777" w:rsidR="0013116F" w:rsidRDefault="0013116F" w:rsidP="00815FD1">
    <w:pPr>
      <w:pStyle w:val="a5"/>
      <w:jc w:val="center"/>
      <w:rPr>
        <w:color w:val="7F7F7F" w:themeColor="text1" w:themeTint="80"/>
        <w:rtl/>
      </w:rPr>
    </w:pPr>
  </w:p>
  <w:p w14:paraId="1E411E1D" w14:textId="77777777" w:rsidR="0013116F" w:rsidRDefault="0013116F" w:rsidP="00815FD1">
    <w:pPr>
      <w:pStyle w:val="a5"/>
      <w:jc w:val="center"/>
    </w:pPr>
    <w:r w:rsidRPr="00692E38">
      <w:rPr>
        <w:rFonts w:hint="cs"/>
        <w:color w:val="7F7F7F" w:themeColor="text1" w:themeTint="80"/>
        <w:rtl/>
      </w:rPr>
      <w:t xml:space="preserve">- סימן </w:t>
    </w:r>
    <w:r>
      <w:rPr>
        <w:rFonts w:hint="cs"/>
        <w:color w:val="7F7F7F" w:themeColor="text1" w:themeTint="80"/>
        <w:rtl/>
      </w:rPr>
      <w:t>סז</w:t>
    </w:r>
    <w:r w:rsidRPr="00692E38">
      <w:rPr>
        <w:rFonts w:hint="cs"/>
        <w:color w:val="7F7F7F" w:themeColor="text1" w:themeTint="80"/>
        <w:rtl/>
      </w:rPr>
      <w:t xml:space="preserve"> -</w: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DCE5CD" w14:textId="77777777" w:rsidR="0013116F" w:rsidRDefault="0013116F" w:rsidP="00815FD1">
    <w:pPr>
      <w:pStyle w:val="a5"/>
      <w:jc w:val="center"/>
      <w:rPr>
        <w:color w:val="7F7F7F" w:themeColor="text1" w:themeTint="80"/>
        <w:rtl/>
      </w:rPr>
    </w:pPr>
  </w:p>
  <w:p w14:paraId="0E68B5E7" w14:textId="77777777" w:rsidR="0013116F" w:rsidRDefault="0013116F" w:rsidP="00815FD1">
    <w:pPr>
      <w:pStyle w:val="a5"/>
      <w:jc w:val="center"/>
    </w:pPr>
    <w:r w:rsidRPr="00692E38">
      <w:rPr>
        <w:rFonts w:hint="cs"/>
        <w:color w:val="7F7F7F" w:themeColor="text1" w:themeTint="80"/>
        <w:rtl/>
      </w:rPr>
      <w:t xml:space="preserve">- סימן </w:t>
    </w:r>
    <w:r>
      <w:rPr>
        <w:rFonts w:hint="cs"/>
        <w:color w:val="7F7F7F" w:themeColor="text1" w:themeTint="80"/>
        <w:rtl/>
      </w:rPr>
      <w:t>סח</w:t>
    </w:r>
    <w:r w:rsidRPr="00692E38">
      <w:rPr>
        <w:rFonts w:hint="cs"/>
        <w:color w:val="7F7F7F" w:themeColor="text1" w:themeTint="80"/>
        <w:rtl/>
      </w:rPr>
      <w:t xml:space="preserve"> -</w:t>
    </w: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BBEC42" w14:textId="77777777" w:rsidR="0013116F" w:rsidRDefault="0013116F" w:rsidP="00815FD1">
    <w:pPr>
      <w:pStyle w:val="a5"/>
      <w:jc w:val="center"/>
      <w:rPr>
        <w:color w:val="7F7F7F" w:themeColor="text1" w:themeTint="80"/>
        <w:rtl/>
      </w:rPr>
    </w:pPr>
  </w:p>
  <w:p w14:paraId="636377DE" w14:textId="77777777" w:rsidR="0013116F" w:rsidRDefault="0013116F" w:rsidP="00815FD1">
    <w:pPr>
      <w:pStyle w:val="a5"/>
      <w:jc w:val="center"/>
    </w:pPr>
    <w:r w:rsidRPr="00692E38">
      <w:rPr>
        <w:rFonts w:hint="cs"/>
        <w:color w:val="7F7F7F" w:themeColor="text1" w:themeTint="80"/>
        <w:rtl/>
      </w:rPr>
      <w:t xml:space="preserve">- סימן </w:t>
    </w:r>
    <w:r>
      <w:rPr>
        <w:rFonts w:hint="cs"/>
        <w:color w:val="7F7F7F" w:themeColor="text1" w:themeTint="80"/>
        <w:rtl/>
      </w:rPr>
      <w:t>סט</w:t>
    </w:r>
    <w:r w:rsidRPr="00692E38">
      <w:rPr>
        <w:rFonts w:hint="cs"/>
        <w:color w:val="7F7F7F" w:themeColor="text1" w:themeTint="80"/>
        <w:rtl/>
      </w:rPr>
      <w:t xml:space="preserve"> -</w:t>
    </w: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A6BDD1" w14:textId="77777777" w:rsidR="0013116F" w:rsidRDefault="0013116F" w:rsidP="00815FD1">
    <w:pPr>
      <w:pStyle w:val="a5"/>
      <w:jc w:val="center"/>
      <w:rPr>
        <w:color w:val="7F7F7F" w:themeColor="text1" w:themeTint="80"/>
        <w:rtl/>
      </w:rPr>
    </w:pPr>
  </w:p>
  <w:p w14:paraId="5BCCBF7C" w14:textId="77777777" w:rsidR="0013116F" w:rsidRDefault="0013116F" w:rsidP="00815FD1">
    <w:pPr>
      <w:pStyle w:val="a5"/>
      <w:jc w:val="center"/>
    </w:pPr>
    <w:r w:rsidRPr="00692E38">
      <w:rPr>
        <w:rFonts w:hint="cs"/>
        <w:color w:val="7F7F7F" w:themeColor="text1" w:themeTint="80"/>
        <w:rtl/>
      </w:rPr>
      <w:t xml:space="preserve">- סימן </w:t>
    </w:r>
    <w:r>
      <w:rPr>
        <w:rFonts w:hint="cs"/>
        <w:color w:val="7F7F7F" w:themeColor="text1" w:themeTint="80"/>
        <w:rtl/>
      </w:rPr>
      <w:t>ע</w:t>
    </w:r>
    <w:r w:rsidRPr="00692E38">
      <w:rPr>
        <w:rFonts w:hint="cs"/>
        <w:color w:val="7F7F7F" w:themeColor="text1" w:themeTint="80"/>
        <w:rtl/>
      </w:rPr>
      <w:t xml:space="preserve"> -</w:t>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DAD5D1" w14:textId="77777777" w:rsidR="0013116F" w:rsidRDefault="0013116F" w:rsidP="00815FD1">
    <w:pPr>
      <w:pStyle w:val="a5"/>
      <w:jc w:val="center"/>
      <w:rPr>
        <w:color w:val="7F7F7F" w:themeColor="text1" w:themeTint="80"/>
        <w:rtl/>
      </w:rPr>
    </w:pPr>
  </w:p>
  <w:p w14:paraId="0C4989D9" w14:textId="77777777" w:rsidR="0013116F" w:rsidRDefault="0013116F" w:rsidP="00815FD1">
    <w:pPr>
      <w:pStyle w:val="a5"/>
      <w:jc w:val="center"/>
    </w:pPr>
    <w:r w:rsidRPr="00692E38">
      <w:rPr>
        <w:rFonts w:hint="cs"/>
        <w:color w:val="7F7F7F" w:themeColor="text1" w:themeTint="80"/>
        <w:rtl/>
      </w:rPr>
      <w:t xml:space="preserve">- סימן </w:t>
    </w:r>
    <w:r>
      <w:rPr>
        <w:rFonts w:hint="cs"/>
        <w:color w:val="7F7F7F" w:themeColor="text1" w:themeTint="80"/>
        <w:rtl/>
      </w:rPr>
      <w:t>עא</w:t>
    </w:r>
    <w:r w:rsidRPr="00692E38">
      <w:rPr>
        <w:rFonts w:hint="cs"/>
        <w:color w:val="7F7F7F" w:themeColor="text1" w:themeTint="80"/>
        <w:rtl/>
      </w:rPr>
      <w:t xml:space="preserve"> -</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E969A9" w14:textId="77777777" w:rsidR="0013116F" w:rsidRDefault="0013116F" w:rsidP="00AF3AF9">
    <w:pPr>
      <w:pStyle w:val="a5"/>
      <w:jc w:val="center"/>
      <w:rPr>
        <w:rtl/>
      </w:rPr>
    </w:pPr>
  </w:p>
  <w:p w14:paraId="1D87444D" w14:textId="77777777" w:rsidR="0013116F" w:rsidRDefault="0013116F" w:rsidP="00AF3AF9">
    <w:pPr>
      <w:pStyle w:val="a5"/>
      <w:jc w:val="center"/>
    </w:pPr>
    <w:r w:rsidRPr="00692E38">
      <w:rPr>
        <w:rFonts w:hint="cs"/>
        <w:color w:val="7F7F7F" w:themeColor="text1" w:themeTint="80"/>
        <w:rtl/>
      </w:rPr>
      <w:t xml:space="preserve">- סימן </w:t>
    </w:r>
    <w:r>
      <w:rPr>
        <w:rFonts w:hint="cs"/>
        <w:color w:val="7F7F7F" w:themeColor="text1" w:themeTint="80"/>
        <w:rtl/>
      </w:rPr>
      <w:t>ז</w:t>
    </w:r>
    <w:r w:rsidRPr="00692E38">
      <w:rPr>
        <w:rFonts w:hint="cs"/>
        <w:color w:val="7F7F7F" w:themeColor="text1" w:themeTint="80"/>
        <w:rtl/>
      </w:rPr>
      <w:t xml:space="preserve"> -</w:t>
    </w: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02A507" w14:textId="77777777" w:rsidR="0013116F" w:rsidRDefault="0013116F" w:rsidP="00815FD1">
    <w:pPr>
      <w:pStyle w:val="a5"/>
      <w:jc w:val="center"/>
      <w:rPr>
        <w:color w:val="7F7F7F" w:themeColor="text1" w:themeTint="80"/>
        <w:rtl/>
      </w:rPr>
    </w:pPr>
  </w:p>
  <w:p w14:paraId="3E81E3AC" w14:textId="77777777" w:rsidR="0013116F" w:rsidRDefault="0013116F" w:rsidP="00815FD1">
    <w:pPr>
      <w:pStyle w:val="a5"/>
      <w:jc w:val="center"/>
    </w:pPr>
    <w:r w:rsidRPr="00692E38">
      <w:rPr>
        <w:rFonts w:hint="cs"/>
        <w:color w:val="7F7F7F" w:themeColor="text1" w:themeTint="80"/>
        <w:rtl/>
      </w:rPr>
      <w:t xml:space="preserve">- סימן </w:t>
    </w:r>
    <w:r>
      <w:rPr>
        <w:rFonts w:hint="cs"/>
        <w:color w:val="7F7F7F" w:themeColor="text1" w:themeTint="80"/>
        <w:rtl/>
      </w:rPr>
      <w:t>עב</w:t>
    </w:r>
    <w:r w:rsidRPr="00692E38">
      <w:rPr>
        <w:rFonts w:hint="cs"/>
        <w:color w:val="7F7F7F" w:themeColor="text1" w:themeTint="80"/>
        <w:rtl/>
      </w:rPr>
      <w:t xml:space="preserve"> -</w:t>
    </w: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03D8E4" w14:textId="77777777" w:rsidR="0013116F" w:rsidRDefault="0013116F" w:rsidP="00815FD1">
    <w:pPr>
      <w:pStyle w:val="a5"/>
      <w:jc w:val="center"/>
      <w:rPr>
        <w:color w:val="7F7F7F" w:themeColor="text1" w:themeTint="80"/>
        <w:rtl/>
      </w:rPr>
    </w:pPr>
  </w:p>
  <w:p w14:paraId="39A461C5" w14:textId="77777777" w:rsidR="0013116F" w:rsidRDefault="0013116F" w:rsidP="00815FD1">
    <w:pPr>
      <w:pStyle w:val="a5"/>
      <w:jc w:val="center"/>
    </w:pPr>
    <w:r w:rsidRPr="00692E38">
      <w:rPr>
        <w:rFonts w:hint="cs"/>
        <w:color w:val="7F7F7F" w:themeColor="text1" w:themeTint="80"/>
        <w:rtl/>
      </w:rPr>
      <w:t xml:space="preserve">- סימן </w:t>
    </w:r>
    <w:r>
      <w:rPr>
        <w:rFonts w:hint="cs"/>
        <w:color w:val="7F7F7F" w:themeColor="text1" w:themeTint="80"/>
        <w:rtl/>
      </w:rPr>
      <w:t>עג</w:t>
    </w:r>
    <w:r w:rsidRPr="00692E38">
      <w:rPr>
        <w:rFonts w:hint="cs"/>
        <w:color w:val="7F7F7F" w:themeColor="text1" w:themeTint="80"/>
        <w:rtl/>
      </w:rPr>
      <w:t xml:space="preserve"> -</w:t>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DB2F63" w14:textId="77777777" w:rsidR="0013116F" w:rsidRDefault="0013116F" w:rsidP="00815FD1">
    <w:pPr>
      <w:pStyle w:val="a5"/>
      <w:jc w:val="center"/>
      <w:rPr>
        <w:color w:val="7F7F7F" w:themeColor="text1" w:themeTint="80"/>
        <w:rtl/>
      </w:rPr>
    </w:pPr>
  </w:p>
  <w:p w14:paraId="1CB5CA4D" w14:textId="77777777" w:rsidR="0013116F" w:rsidRDefault="0013116F" w:rsidP="00815FD1">
    <w:pPr>
      <w:pStyle w:val="a5"/>
      <w:jc w:val="center"/>
    </w:pPr>
    <w:r w:rsidRPr="00692E38">
      <w:rPr>
        <w:rFonts w:hint="cs"/>
        <w:color w:val="7F7F7F" w:themeColor="text1" w:themeTint="80"/>
        <w:rtl/>
      </w:rPr>
      <w:t xml:space="preserve">- סימן </w:t>
    </w:r>
    <w:r>
      <w:rPr>
        <w:rFonts w:hint="cs"/>
        <w:color w:val="7F7F7F" w:themeColor="text1" w:themeTint="80"/>
        <w:rtl/>
      </w:rPr>
      <w:t>עד</w:t>
    </w:r>
    <w:r w:rsidRPr="00692E38">
      <w:rPr>
        <w:rFonts w:hint="cs"/>
        <w:color w:val="7F7F7F" w:themeColor="text1" w:themeTint="80"/>
        <w:rtl/>
      </w:rPr>
      <w:t xml:space="preserve"> -</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657A52" w14:textId="77777777" w:rsidR="0013116F" w:rsidRDefault="0013116F" w:rsidP="00AF3AF9">
    <w:pPr>
      <w:pStyle w:val="a5"/>
      <w:jc w:val="center"/>
      <w:rPr>
        <w:rtl/>
      </w:rPr>
    </w:pPr>
  </w:p>
  <w:p w14:paraId="5412710E" w14:textId="77777777" w:rsidR="0013116F" w:rsidRDefault="0013116F" w:rsidP="00AF3AF9">
    <w:pPr>
      <w:pStyle w:val="a5"/>
      <w:jc w:val="center"/>
    </w:pPr>
    <w:r w:rsidRPr="00692E38">
      <w:rPr>
        <w:rFonts w:hint="cs"/>
        <w:color w:val="7F7F7F" w:themeColor="text1" w:themeTint="80"/>
        <w:rtl/>
      </w:rPr>
      <w:t xml:space="preserve">- סימן </w:t>
    </w:r>
    <w:r>
      <w:rPr>
        <w:rFonts w:hint="cs"/>
        <w:color w:val="7F7F7F" w:themeColor="text1" w:themeTint="80"/>
        <w:rtl/>
      </w:rPr>
      <w:t>ח</w:t>
    </w:r>
    <w:r w:rsidRPr="00692E38">
      <w:rPr>
        <w:rFonts w:hint="cs"/>
        <w:color w:val="7F7F7F" w:themeColor="text1" w:themeTint="80"/>
        <w:rtl/>
      </w:rPr>
      <w:t xml:space="preserve"> -</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8289F5" w14:textId="77777777" w:rsidR="0013116F" w:rsidRDefault="0013116F" w:rsidP="00AF3AF9">
    <w:pPr>
      <w:pStyle w:val="a5"/>
      <w:jc w:val="center"/>
      <w:rPr>
        <w:rtl/>
      </w:rPr>
    </w:pPr>
  </w:p>
  <w:p w14:paraId="1CF33361" w14:textId="77777777" w:rsidR="0013116F" w:rsidRDefault="0013116F" w:rsidP="00AF3AF9">
    <w:pPr>
      <w:pStyle w:val="a5"/>
      <w:jc w:val="center"/>
    </w:pPr>
    <w:r w:rsidRPr="00692E38">
      <w:rPr>
        <w:rFonts w:hint="cs"/>
        <w:color w:val="7F7F7F" w:themeColor="text1" w:themeTint="80"/>
        <w:rtl/>
      </w:rPr>
      <w:t xml:space="preserve">- סימן </w:t>
    </w:r>
    <w:r>
      <w:rPr>
        <w:rFonts w:hint="cs"/>
        <w:color w:val="7F7F7F" w:themeColor="text1" w:themeTint="80"/>
        <w:rtl/>
      </w:rPr>
      <w:t>ט</w:t>
    </w:r>
    <w:r w:rsidRPr="00692E38">
      <w:rPr>
        <w:rFonts w:hint="cs"/>
        <w:color w:val="7F7F7F" w:themeColor="text1" w:themeTint="80"/>
        <w:rtl/>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488" type="#_x0000_t75" style="width:11.25pt;height:11.25pt" o:bullet="t">
        <v:imagedata r:id="rId1" o:title="mso82C6"/>
      </v:shape>
    </w:pict>
  </w:numPicBullet>
  <w:abstractNum w:abstractNumId="0" w15:restartNumberingAfterBreak="0">
    <w:nsid w:val="002B2DD1"/>
    <w:multiLevelType w:val="hybridMultilevel"/>
    <w:tmpl w:val="EF2063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0852692"/>
    <w:multiLevelType w:val="hybridMultilevel"/>
    <w:tmpl w:val="72CA13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107080A"/>
    <w:multiLevelType w:val="hybridMultilevel"/>
    <w:tmpl w:val="DF0C5B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010E2DC8"/>
    <w:multiLevelType w:val="hybridMultilevel"/>
    <w:tmpl w:val="F8AC6C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01EA2ADB"/>
    <w:multiLevelType w:val="hybridMultilevel"/>
    <w:tmpl w:val="A218DE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21F1A1D"/>
    <w:multiLevelType w:val="hybridMultilevel"/>
    <w:tmpl w:val="123C0BE2"/>
    <w:lvl w:ilvl="0" w:tplc="E1E0CD04">
      <w:start w:val="1"/>
      <w:numFmt w:val="bullet"/>
      <w:lvlText w:val=""/>
      <w:lvlJc w:val="left"/>
      <w:pPr>
        <w:ind w:left="720" w:hanging="360"/>
      </w:pPr>
      <w:rPr>
        <w:rFonts w:ascii="Symbol" w:hAnsi="Symbol" w:hint="default"/>
        <w:lang w:bidi="he-IL"/>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02F76EBB"/>
    <w:multiLevelType w:val="hybridMultilevel"/>
    <w:tmpl w:val="A7AE3A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3127065"/>
    <w:multiLevelType w:val="hybridMultilevel"/>
    <w:tmpl w:val="878EFC2C"/>
    <w:lvl w:ilvl="0" w:tplc="E1E0CD04">
      <w:start w:val="1"/>
      <w:numFmt w:val="bullet"/>
      <w:lvlText w:val=""/>
      <w:lvlJc w:val="left"/>
      <w:pPr>
        <w:ind w:left="720" w:hanging="360"/>
      </w:pPr>
      <w:rPr>
        <w:rFonts w:ascii="Symbol" w:hAnsi="Symbol" w:hint="default"/>
        <w:lang w:bidi="he-IL"/>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03174484"/>
    <w:multiLevelType w:val="hybridMultilevel"/>
    <w:tmpl w:val="149E60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031F6478"/>
    <w:multiLevelType w:val="hybridMultilevel"/>
    <w:tmpl w:val="9C5E5096"/>
    <w:lvl w:ilvl="0" w:tplc="672A1862">
      <w:start w:val="1"/>
      <w:numFmt w:val="bullet"/>
      <w:lvlText w:val=""/>
      <w:lvlJc w:val="left"/>
      <w:pPr>
        <w:ind w:left="720" w:hanging="360"/>
      </w:pPr>
      <w:rPr>
        <w:rFonts w:ascii="Symbol" w:hAnsi="Symbol" w:hint="default"/>
        <w:lang w:bidi="he-IL"/>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032126F6"/>
    <w:multiLevelType w:val="hybridMultilevel"/>
    <w:tmpl w:val="A9DABC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36E4ED0"/>
    <w:multiLevelType w:val="hybridMultilevel"/>
    <w:tmpl w:val="CE74ED5C"/>
    <w:lvl w:ilvl="0" w:tplc="04090001">
      <w:start w:val="1"/>
      <w:numFmt w:val="bullet"/>
      <w:lvlText w:val=""/>
      <w:lvlJc w:val="left"/>
      <w:pPr>
        <w:ind w:left="785" w:hanging="360"/>
      </w:pPr>
      <w:rPr>
        <w:rFonts w:ascii="Symbol" w:hAnsi="Symbol" w:hint="default"/>
      </w:rPr>
    </w:lvl>
    <w:lvl w:ilvl="1" w:tplc="04090003" w:tentative="1">
      <w:start w:val="1"/>
      <w:numFmt w:val="bullet"/>
      <w:lvlText w:val="o"/>
      <w:lvlJc w:val="left"/>
      <w:pPr>
        <w:ind w:left="1505" w:hanging="360"/>
      </w:pPr>
      <w:rPr>
        <w:rFonts w:ascii="Courier New" w:hAnsi="Courier New" w:cs="Courier New" w:hint="default"/>
      </w:rPr>
    </w:lvl>
    <w:lvl w:ilvl="2" w:tplc="04090005" w:tentative="1">
      <w:start w:val="1"/>
      <w:numFmt w:val="bullet"/>
      <w:lvlText w:val=""/>
      <w:lvlJc w:val="left"/>
      <w:pPr>
        <w:ind w:left="2225" w:hanging="360"/>
      </w:pPr>
      <w:rPr>
        <w:rFonts w:ascii="Wingdings" w:hAnsi="Wingdings" w:hint="default"/>
      </w:rPr>
    </w:lvl>
    <w:lvl w:ilvl="3" w:tplc="04090001" w:tentative="1">
      <w:start w:val="1"/>
      <w:numFmt w:val="bullet"/>
      <w:lvlText w:val=""/>
      <w:lvlJc w:val="left"/>
      <w:pPr>
        <w:ind w:left="2945" w:hanging="360"/>
      </w:pPr>
      <w:rPr>
        <w:rFonts w:ascii="Symbol" w:hAnsi="Symbol" w:hint="default"/>
      </w:rPr>
    </w:lvl>
    <w:lvl w:ilvl="4" w:tplc="04090003" w:tentative="1">
      <w:start w:val="1"/>
      <w:numFmt w:val="bullet"/>
      <w:lvlText w:val="o"/>
      <w:lvlJc w:val="left"/>
      <w:pPr>
        <w:ind w:left="3665" w:hanging="360"/>
      </w:pPr>
      <w:rPr>
        <w:rFonts w:ascii="Courier New" w:hAnsi="Courier New" w:cs="Courier New" w:hint="default"/>
      </w:rPr>
    </w:lvl>
    <w:lvl w:ilvl="5" w:tplc="04090005" w:tentative="1">
      <w:start w:val="1"/>
      <w:numFmt w:val="bullet"/>
      <w:lvlText w:val=""/>
      <w:lvlJc w:val="left"/>
      <w:pPr>
        <w:ind w:left="4385" w:hanging="360"/>
      </w:pPr>
      <w:rPr>
        <w:rFonts w:ascii="Wingdings" w:hAnsi="Wingdings" w:hint="default"/>
      </w:rPr>
    </w:lvl>
    <w:lvl w:ilvl="6" w:tplc="04090001" w:tentative="1">
      <w:start w:val="1"/>
      <w:numFmt w:val="bullet"/>
      <w:lvlText w:val=""/>
      <w:lvlJc w:val="left"/>
      <w:pPr>
        <w:ind w:left="5105" w:hanging="360"/>
      </w:pPr>
      <w:rPr>
        <w:rFonts w:ascii="Symbol" w:hAnsi="Symbol" w:hint="default"/>
      </w:rPr>
    </w:lvl>
    <w:lvl w:ilvl="7" w:tplc="04090003" w:tentative="1">
      <w:start w:val="1"/>
      <w:numFmt w:val="bullet"/>
      <w:lvlText w:val="o"/>
      <w:lvlJc w:val="left"/>
      <w:pPr>
        <w:ind w:left="5825" w:hanging="360"/>
      </w:pPr>
      <w:rPr>
        <w:rFonts w:ascii="Courier New" w:hAnsi="Courier New" w:cs="Courier New" w:hint="default"/>
      </w:rPr>
    </w:lvl>
    <w:lvl w:ilvl="8" w:tplc="04090005" w:tentative="1">
      <w:start w:val="1"/>
      <w:numFmt w:val="bullet"/>
      <w:lvlText w:val=""/>
      <w:lvlJc w:val="left"/>
      <w:pPr>
        <w:ind w:left="6545" w:hanging="360"/>
      </w:pPr>
      <w:rPr>
        <w:rFonts w:ascii="Wingdings" w:hAnsi="Wingdings" w:hint="default"/>
      </w:rPr>
    </w:lvl>
  </w:abstractNum>
  <w:abstractNum w:abstractNumId="12" w15:restartNumberingAfterBreak="0">
    <w:nsid w:val="03B97DCC"/>
    <w:multiLevelType w:val="hybridMultilevel"/>
    <w:tmpl w:val="886AF1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3FF7BC9"/>
    <w:multiLevelType w:val="hybridMultilevel"/>
    <w:tmpl w:val="A75AA770"/>
    <w:lvl w:ilvl="0" w:tplc="672A1862">
      <w:start w:val="1"/>
      <w:numFmt w:val="bullet"/>
      <w:lvlText w:val=""/>
      <w:lvlJc w:val="left"/>
      <w:pPr>
        <w:ind w:left="720" w:hanging="360"/>
      </w:pPr>
      <w:rPr>
        <w:rFonts w:ascii="Symbol" w:hAnsi="Symbol" w:hint="default"/>
        <w:lang w:bidi="he-IL"/>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04026835"/>
    <w:multiLevelType w:val="hybridMultilevel"/>
    <w:tmpl w:val="AA9E09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04380AA0"/>
    <w:multiLevelType w:val="hybridMultilevel"/>
    <w:tmpl w:val="AE16FF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04561831"/>
    <w:multiLevelType w:val="hybridMultilevel"/>
    <w:tmpl w:val="8A30FC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045E3BB6"/>
    <w:multiLevelType w:val="hybridMultilevel"/>
    <w:tmpl w:val="809C45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045E472D"/>
    <w:multiLevelType w:val="hybridMultilevel"/>
    <w:tmpl w:val="A0E28E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04BC4D3C"/>
    <w:multiLevelType w:val="hybridMultilevel"/>
    <w:tmpl w:val="972267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053577C0"/>
    <w:multiLevelType w:val="hybridMultilevel"/>
    <w:tmpl w:val="0A5CAE62"/>
    <w:lvl w:ilvl="0" w:tplc="04090001">
      <w:start w:val="1"/>
      <w:numFmt w:val="bullet"/>
      <w:lvlText w:val=""/>
      <w:lvlJc w:val="left"/>
      <w:pPr>
        <w:ind w:left="720" w:hanging="360"/>
      </w:pPr>
      <w:rPr>
        <w:rFonts w:ascii="Symbol" w:hAnsi="Symbol" w:hint="default"/>
      </w:rPr>
    </w:lvl>
    <w:lvl w:ilvl="1" w:tplc="04090007">
      <w:start w:val="1"/>
      <w:numFmt w:val="bullet"/>
      <w:lvlText w:val=""/>
      <w:lvlPicBulletId w:val="0"/>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053D1F61"/>
    <w:multiLevelType w:val="hybridMultilevel"/>
    <w:tmpl w:val="E6F288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057A4685"/>
    <w:multiLevelType w:val="hybridMultilevel"/>
    <w:tmpl w:val="4D8C60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05F37BCC"/>
    <w:multiLevelType w:val="hybridMultilevel"/>
    <w:tmpl w:val="39EA4E9C"/>
    <w:lvl w:ilvl="0" w:tplc="E1E0CD04">
      <w:start w:val="1"/>
      <w:numFmt w:val="bullet"/>
      <w:lvlText w:val=""/>
      <w:lvlJc w:val="left"/>
      <w:pPr>
        <w:ind w:left="720" w:hanging="360"/>
      </w:pPr>
      <w:rPr>
        <w:rFonts w:ascii="Symbol" w:hAnsi="Symbol" w:hint="default"/>
        <w:lang w:bidi="he-IL"/>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4" w15:restartNumberingAfterBreak="0">
    <w:nsid w:val="063B2A40"/>
    <w:multiLevelType w:val="hybridMultilevel"/>
    <w:tmpl w:val="377031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066336B7"/>
    <w:multiLevelType w:val="hybridMultilevel"/>
    <w:tmpl w:val="2A1863C0"/>
    <w:lvl w:ilvl="0" w:tplc="04090001">
      <w:start w:val="1"/>
      <w:numFmt w:val="bullet"/>
      <w:lvlText w:val=""/>
      <w:lvlJc w:val="left"/>
      <w:pPr>
        <w:ind w:left="720" w:hanging="360"/>
      </w:pPr>
      <w:rPr>
        <w:rFonts w:ascii="Symbol" w:hAnsi="Symbol" w:hint="default"/>
      </w:rPr>
    </w:lvl>
    <w:lvl w:ilvl="1" w:tplc="04090007">
      <w:start w:val="1"/>
      <w:numFmt w:val="bullet"/>
      <w:lvlText w:val=""/>
      <w:lvlPicBulletId w:val="0"/>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6" w15:restartNumberingAfterBreak="0">
    <w:nsid w:val="069B1A8D"/>
    <w:multiLevelType w:val="hybridMultilevel"/>
    <w:tmpl w:val="AED479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07015D6C"/>
    <w:multiLevelType w:val="hybridMultilevel"/>
    <w:tmpl w:val="806E7D74"/>
    <w:lvl w:ilvl="0" w:tplc="1C0C5306">
      <w:start w:val="1"/>
      <w:numFmt w:val="bullet"/>
      <w:lvlText w:val=""/>
      <w:lvlJc w:val="left"/>
      <w:pPr>
        <w:ind w:left="720" w:hanging="360"/>
      </w:pPr>
      <w:rPr>
        <w:rFonts w:ascii="Symbol" w:hAnsi="Symbol" w:hint="default"/>
        <w:lang w:bidi="he-IL"/>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8" w15:restartNumberingAfterBreak="0">
    <w:nsid w:val="073D6536"/>
    <w:multiLevelType w:val="hybridMultilevel"/>
    <w:tmpl w:val="0BCE39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075D2DAD"/>
    <w:multiLevelType w:val="hybridMultilevel"/>
    <w:tmpl w:val="EB70D24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0" w15:restartNumberingAfterBreak="0">
    <w:nsid w:val="078C320C"/>
    <w:multiLevelType w:val="hybridMultilevel"/>
    <w:tmpl w:val="43183A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080A13EF"/>
    <w:multiLevelType w:val="hybridMultilevel"/>
    <w:tmpl w:val="FF9490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2" w15:restartNumberingAfterBreak="0">
    <w:nsid w:val="081A7328"/>
    <w:multiLevelType w:val="hybridMultilevel"/>
    <w:tmpl w:val="83060B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3" w15:restartNumberingAfterBreak="0">
    <w:nsid w:val="0888791E"/>
    <w:multiLevelType w:val="hybridMultilevel"/>
    <w:tmpl w:val="A1467C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4" w15:restartNumberingAfterBreak="0">
    <w:nsid w:val="08AA1DDD"/>
    <w:multiLevelType w:val="hybridMultilevel"/>
    <w:tmpl w:val="226016E6"/>
    <w:lvl w:ilvl="0" w:tplc="B9601EBC">
      <w:start w:val="1"/>
      <w:numFmt w:val="bullet"/>
      <w:lvlText w:val=""/>
      <w:lvlJc w:val="left"/>
      <w:pPr>
        <w:ind w:left="720" w:hanging="360"/>
      </w:pPr>
      <w:rPr>
        <w:rFonts w:ascii="Symbol" w:hAnsi="Symbol" w:hint="default"/>
        <w:lang w:bidi="he-IL"/>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5" w15:restartNumberingAfterBreak="0">
    <w:nsid w:val="0993008D"/>
    <w:multiLevelType w:val="hybridMultilevel"/>
    <w:tmpl w:val="FB1E3628"/>
    <w:lvl w:ilvl="0" w:tplc="E1E0CD04">
      <w:start w:val="1"/>
      <w:numFmt w:val="bullet"/>
      <w:lvlText w:val=""/>
      <w:lvlJc w:val="left"/>
      <w:pPr>
        <w:ind w:left="720" w:hanging="360"/>
      </w:pPr>
      <w:rPr>
        <w:rFonts w:ascii="Symbol" w:hAnsi="Symbol" w:hint="default"/>
        <w:lang w:bidi="he-IL"/>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6" w15:restartNumberingAfterBreak="0">
    <w:nsid w:val="0B21313F"/>
    <w:multiLevelType w:val="hybridMultilevel"/>
    <w:tmpl w:val="06AE7E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0B352835"/>
    <w:multiLevelType w:val="hybridMultilevel"/>
    <w:tmpl w:val="66EA94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0BC36572"/>
    <w:multiLevelType w:val="hybridMultilevel"/>
    <w:tmpl w:val="03F077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9" w15:restartNumberingAfterBreak="0">
    <w:nsid w:val="0BF84A64"/>
    <w:multiLevelType w:val="hybridMultilevel"/>
    <w:tmpl w:val="5A34F9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0D536139"/>
    <w:multiLevelType w:val="hybridMultilevel"/>
    <w:tmpl w:val="156E71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1" w15:restartNumberingAfterBreak="0">
    <w:nsid w:val="0E4067D0"/>
    <w:multiLevelType w:val="hybridMultilevel"/>
    <w:tmpl w:val="FCC82BC6"/>
    <w:lvl w:ilvl="0" w:tplc="2AC2CBA2">
      <w:start w:val="1"/>
      <w:numFmt w:val="bullet"/>
      <w:lvlText w:val=""/>
      <w:lvlJc w:val="left"/>
      <w:pPr>
        <w:ind w:left="720" w:hanging="360"/>
      </w:pPr>
      <w:rPr>
        <w:rFonts w:ascii="Symbol" w:hAnsi="Symbol" w:hint="default"/>
        <w:lang w:bidi="he-IL"/>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0EB7274C"/>
    <w:multiLevelType w:val="hybridMultilevel"/>
    <w:tmpl w:val="8A64C8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3" w15:restartNumberingAfterBreak="0">
    <w:nsid w:val="0F6C52AB"/>
    <w:multiLevelType w:val="hybridMultilevel"/>
    <w:tmpl w:val="F4D4E9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0FB832BC"/>
    <w:multiLevelType w:val="hybridMultilevel"/>
    <w:tmpl w:val="35321C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5" w15:restartNumberingAfterBreak="0">
    <w:nsid w:val="10820389"/>
    <w:multiLevelType w:val="hybridMultilevel"/>
    <w:tmpl w:val="975C4C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10AB132B"/>
    <w:multiLevelType w:val="hybridMultilevel"/>
    <w:tmpl w:val="A4480C68"/>
    <w:lvl w:ilvl="0" w:tplc="2AC2CBA2">
      <w:start w:val="1"/>
      <w:numFmt w:val="bullet"/>
      <w:lvlText w:val=""/>
      <w:lvlJc w:val="left"/>
      <w:pPr>
        <w:ind w:left="720" w:hanging="360"/>
      </w:pPr>
      <w:rPr>
        <w:rFonts w:ascii="Symbol" w:hAnsi="Symbol" w:hint="default"/>
        <w:lang w:bidi="he-IL"/>
      </w:rPr>
    </w:lvl>
    <w:lvl w:ilvl="1" w:tplc="4C0A9D48">
      <w:start w:val="4"/>
      <w:numFmt w:val="bullet"/>
      <w:lvlText w:val="-"/>
      <w:lvlJc w:val="left"/>
      <w:pPr>
        <w:ind w:left="1440" w:hanging="360"/>
      </w:pPr>
      <w:rPr>
        <w:rFonts w:ascii="Arial" w:eastAsiaTheme="minorHAnsi"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11690C92"/>
    <w:multiLevelType w:val="hybridMultilevel"/>
    <w:tmpl w:val="1BECAF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11797CA1"/>
    <w:multiLevelType w:val="hybridMultilevel"/>
    <w:tmpl w:val="F4F4B7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9" w15:restartNumberingAfterBreak="0">
    <w:nsid w:val="128D5A39"/>
    <w:multiLevelType w:val="hybridMultilevel"/>
    <w:tmpl w:val="1F403B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0" w15:restartNumberingAfterBreak="0">
    <w:nsid w:val="12C95693"/>
    <w:multiLevelType w:val="hybridMultilevel"/>
    <w:tmpl w:val="0F905A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1" w15:restartNumberingAfterBreak="0">
    <w:nsid w:val="131423BE"/>
    <w:multiLevelType w:val="hybridMultilevel"/>
    <w:tmpl w:val="EFA641D6"/>
    <w:lvl w:ilvl="0" w:tplc="2AC2CBA2">
      <w:start w:val="1"/>
      <w:numFmt w:val="bullet"/>
      <w:lvlText w:val=""/>
      <w:lvlJc w:val="left"/>
      <w:pPr>
        <w:ind w:left="720" w:hanging="360"/>
      </w:pPr>
      <w:rPr>
        <w:rFonts w:ascii="Symbol" w:hAnsi="Symbol" w:hint="default"/>
        <w:lang w:bidi="he-IL"/>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141926D9"/>
    <w:multiLevelType w:val="hybridMultilevel"/>
    <w:tmpl w:val="3CE478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145D57E0"/>
    <w:multiLevelType w:val="hybridMultilevel"/>
    <w:tmpl w:val="860E3344"/>
    <w:lvl w:ilvl="0" w:tplc="04090001">
      <w:start w:val="1"/>
      <w:numFmt w:val="bullet"/>
      <w:lvlText w:val=""/>
      <w:lvlJc w:val="left"/>
      <w:pPr>
        <w:ind w:left="720" w:hanging="360"/>
      </w:pPr>
      <w:rPr>
        <w:rFonts w:ascii="Symbol" w:hAnsi="Symbol" w:hint="default"/>
      </w:rPr>
    </w:lvl>
    <w:lvl w:ilvl="1" w:tplc="04090007">
      <w:start w:val="1"/>
      <w:numFmt w:val="bullet"/>
      <w:lvlText w:val=""/>
      <w:lvlPicBulletId w:val="0"/>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147513F4"/>
    <w:multiLevelType w:val="hybridMultilevel"/>
    <w:tmpl w:val="7DBAAB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14E00C90"/>
    <w:multiLevelType w:val="hybridMultilevel"/>
    <w:tmpl w:val="AAE6C3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153E3110"/>
    <w:multiLevelType w:val="hybridMultilevel"/>
    <w:tmpl w:val="F8FEE3C0"/>
    <w:lvl w:ilvl="0" w:tplc="E1E0CD04">
      <w:start w:val="1"/>
      <w:numFmt w:val="bullet"/>
      <w:lvlText w:val=""/>
      <w:lvlJc w:val="left"/>
      <w:pPr>
        <w:ind w:left="720" w:hanging="360"/>
      </w:pPr>
      <w:rPr>
        <w:rFonts w:ascii="Symbol" w:hAnsi="Symbol" w:hint="default"/>
        <w:lang w:bidi="he-IL"/>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7" w15:restartNumberingAfterBreak="0">
    <w:nsid w:val="15CB4C08"/>
    <w:multiLevelType w:val="hybridMultilevel"/>
    <w:tmpl w:val="C4428D3E"/>
    <w:lvl w:ilvl="0" w:tplc="1C0C5306">
      <w:start w:val="1"/>
      <w:numFmt w:val="bullet"/>
      <w:lvlText w:val=""/>
      <w:lvlJc w:val="left"/>
      <w:pPr>
        <w:ind w:left="720" w:hanging="360"/>
      </w:pPr>
      <w:rPr>
        <w:rFonts w:ascii="Symbol" w:hAnsi="Symbol" w:hint="default"/>
        <w:lang w:bidi="he-IL"/>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8" w15:restartNumberingAfterBreak="0">
    <w:nsid w:val="16433B1E"/>
    <w:multiLevelType w:val="hybridMultilevel"/>
    <w:tmpl w:val="5BDED6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172A6E90"/>
    <w:multiLevelType w:val="hybridMultilevel"/>
    <w:tmpl w:val="D78468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17C923CF"/>
    <w:multiLevelType w:val="hybridMultilevel"/>
    <w:tmpl w:val="5E50AF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1" w15:restartNumberingAfterBreak="0">
    <w:nsid w:val="17F37277"/>
    <w:multiLevelType w:val="hybridMultilevel"/>
    <w:tmpl w:val="284EAE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2" w15:restartNumberingAfterBreak="0">
    <w:nsid w:val="19575D14"/>
    <w:multiLevelType w:val="hybridMultilevel"/>
    <w:tmpl w:val="06D443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19FC1300"/>
    <w:multiLevelType w:val="hybridMultilevel"/>
    <w:tmpl w:val="4E36FD6A"/>
    <w:lvl w:ilvl="0" w:tplc="2AC2CBA2">
      <w:start w:val="1"/>
      <w:numFmt w:val="bullet"/>
      <w:lvlText w:val=""/>
      <w:lvlJc w:val="left"/>
      <w:pPr>
        <w:ind w:left="720" w:hanging="360"/>
      </w:pPr>
      <w:rPr>
        <w:rFonts w:ascii="Symbol" w:hAnsi="Symbol" w:hint="default"/>
        <w:lang w:bidi="he-IL"/>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1A34792B"/>
    <w:multiLevelType w:val="hybridMultilevel"/>
    <w:tmpl w:val="8CAACBBA"/>
    <w:lvl w:ilvl="0" w:tplc="04090001">
      <w:start w:val="1"/>
      <w:numFmt w:val="bullet"/>
      <w:lvlText w:val=""/>
      <w:lvlJc w:val="left"/>
      <w:pPr>
        <w:ind w:left="785" w:hanging="360"/>
      </w:pPr>
      <w:rPr>
        <w:rFonts w:ascii="Symbol" w:hAnsi="Symbol" w:hint="default"/>
      </w:rPr>
    </w:lvl>
    <w:lvl w:ilvl="1" w:tplc="04090003" w:tentative="1">
      <w:start w:val="1"/>
      <w:numFmt w:val="bullet"/>
      <w:lvlText w:val="o"/>
      <w:lvlJc w:val="left"/>
      <w:pPr>
        <w:ind w:left="1505" w:hanging="360"/>
      </w:pPr>
      <w:rPr>
        <w:rFonts w:ascii="Courier New" w:hAnsi="Courier New" w:cs="Courier New" w:hint="default"/>
      </w:rPr>
    </w:lvl>
    <w:lvl w:ilvl="2" w:tplc="04090005" w:tentative="1">
      <w:start w:val="1"/>
      <w:numFmt w:val="bullet"/>
      <w:lvlText w:val=""/>
      <w:lvlJc w:val="left"/>
      <w:pPr>
        <w:ind w:left="2225" w:hanging="360"/>
      </w:pPr>
      <w:rPr>
        <w:rFonts w:ascii="Wingdings" w:hAnsi="Wingdings" w:hint="default"/>
      </w:rPr>
    </w:lvl>
    <w:lvl w:ilvl="3" w:tplc="04090001" w:tentative="1">
      <w:start w:val="1"/>
      <w:numFmt w:val="bullet"/>
      <w:lvlText w:val=""/>
      <w:lvlJc w:val="left"/>
      <w:pPr>
        <w:ind w:left="2945" w:hanging="360"/>
      </w:pPr>
      <w:rPr>
        <w:rFonts w:ascii="Symbol" w:hAnsi="Symbol" w:hint="default"/>
      </w:rPr>
    </w:lvl>
    <w:lvl w:ilvl="4" w:tplc="04090003" w:tentative="1">
      <w:start w:val="1"/>
      <w:numFmt w:val="bullet"/>
      <w:lvlText w:val="o"/>
      <w:lvlJc w:val="left"/>
      <w:pPr>
        <w:ind w:left="3665" w:hanging="360"/>
      </w:pPr>
      <w:rPr>
        <w:rFonts w:ascii="Courier New" w:hAnsi="Courier New" w:cs="Courier New" w:hint="default"/>
      </w:rPr>
    </w:lvl>
    <w:lvl w:ilvl="5" w:tplc="04090005" w:tentative="1">
      <w:start w:val="1"/>
      <w:numFmt w:val="bullet"/>
      <w:lvlText w:val=""/>
      <w:lvlJc w:val="left"/>
      <w:pPr>
        <w:ind w:left="4385" w:hanging="360"/>
      </w:pPr>
      <w:rPr>
        <w:rFonts w:ascii="Wingdings" w:hAnsi="Wingdings" w:hint="default"/>
      </w:rPr>
    </w:lvl>
    <w:lvl w:ilvl="6" w:tplc="04090001" w:tentative="1">
      <w:start w:val="1"/>
      <w:numFmt w:val="bullet"/>
      <w:lvlText w:val=""/>
      <w:lvlJc w:val="left"/>
      <w:pPr>
        <w:ind w:left="5105" w:hanging="360"/>
      </w:pPr>
      <w:rPr>
        <w:rFonts w:ascii="Symbol" w:hAnsi="Symbol" w:hint="default"/>
      </w:rPr>
    </w:lvl>
    <w:lvl w:ilvl="7" w:tplc="04090003" w:tentative="1">
      <w:start w:val="1"/>
      <w:numFmt w:val="bullet"/>
      <w:lvlText w:val="o"/>
      <w:lvlJc w:val="left"/>
      <w:pPr>
        <w:ind w:left="5825" w:hanging="360"/>
      </w:pPr>
      <w:rPr>
        <w:rFonts w:ascii="Courier New" w:hAnsi="Courier New" w:cs="Courier New" w:hint="default"/>
      </w:rPr>
    </w:lvl>
    <w:lvl w:ilvl="8" w:tplc="04090005" w:tentative="1">
      <w:start w:val="1"/>
      <w:numFmt w:val="bullet"/>
      <w:lvlText w:val=""/>
      <w:lvlJc w:val="left"/>
      <w:pPr>
        <w:ind w:left="6545" w:hanging="360"/>
      </w:pPr>
      <w:rPr>
        <w:rFonts w:ascii="Wingdings" w:hAnsi="Wingdings" w:hint="default"/>
      </w:rPr>
    </w:lvl>
  </w:abstractNum>
  <w:abstractNum w:abstractNumId="65" w15:restartNumberingAfterBreak="0">
    <w:nsid w:val="1A403420"/>
    <w:multiLevelType w:val="hybridMultilevel"/>
    <w:tmpl w:val="D6AE8E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6" w15:restartNumberingAfterBreak="0">
    <w:nsid w:val="1A740BBE"/>
    <w:multiLevelType w:val="hybridMultilevel"/>
    <w:tmpl w:val="38B035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1B461397"/>
    <w:multiLevelType w:val="hybridMultilevel"/>
    <w:tmpl w:val="DDA6A3B0"/>
    <w:lvl w:ilvl="0" w:tplc="0868B9E8">
      <w:start w:val="1"/>
      <w:numFmt w:val="bullet"/>
      <w:lvlText w:val=""/>
      <w:lvlJc w:val="left"/>
      <w:pPr>
        <w:ind w:left="720" w:hanging="360"/>
      </w:pPr>
      <w:rPr>
        <w:rFonts w:ascii="Symbol" w:hAnsi="Symbol" w:hint="default"/>
        <w:lang w:bidi="he-IL"/>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8" w15:restartNumberingAfterBreak="0">
    <w:nsid w:val="1C481F29"/>
    <w:multiLevelType w:val="hybridMultilevel"/>
    <w:tmpl w:val="8BB062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1C5D3F7E"/>
    <w:multiLevelType w:val="hybridMultilevel"/>
    <w:tmpl w:val="0D0A8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1CBD2635"/>
    <w:multiLevelType w:val="hybridMultilevel"/>
    <w:tmpl w:val="CDBC25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1D3B20B5"/>
    <w:multiLevelType w:val="hybridMultilevel"/>
    <w:tmpl w:val="DBBC6C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2" w15:restartNumberingAfterBreak="0">
    <w:nsid w:val="1DE0577F"/>
    <w:multiLevelType w:val="hybridMultilevel"/>
    <w:tmpl w:val="E5C425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1E1D6E57"/>
    <w:multiLevelType w:val="hybridMultilevel"/>
    <w:tmpl w:val="8CC618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1E460A7D"/>
    <w:multiLevelType w:val="hybridMultilevel"/>
    <w:tmpl w:val="5A26E4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1F68219A"/>
    <w:multiLevelType w:val="hybridMultilevel"/>
    <w:tmpl w:val="AAAE59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1FCD3B6B"/>
    <w:multiLevelType w:val="hybridMultilevel"/>
    <w:tmpl w:val="314690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20B31B85"/>
    <w:multiLevelType w:val="hybridMultilevel"/>
    <w:tmpl w:val="C9DA66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8" w15:restartNumberingAfterBreak="0">
    <w:nsid w:val="217D62F3"/>
    <w:multiLevelType w:val="hybridMultilevel"/>
    <w:tmpl w:val="B29E0E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218806C7"/>
    <w:multiLevelType w:val="hybridMultilevel"/>
    <w:tmpl w:val="616247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15:restartNumberingAfterBreak="0">
    <w:nsid w:val="223D3E7E"/>
    <w:multiLevelType w:val="hybridMultilevel"/>
    <w:tmpl w:val="35988088"/>
    <w:lvl w:ilvl="0" w:tplc="E1E0CD04">
      <w:start w:val="1"/>
      <w:numFmt w:val="bullet"/>
      <w:lvlText w:val=""/>
      <w:lvlJc w:val="left"/>
      <w:pPr>
        <w:ind w:left="720" w:hanging="360"/>
      </w:pPr>
      <w:rPr>
        <w:rFonts w:ascii="Symbol" w:hAnsi="Symbol" w:hint="default"/>
        <w:lang w:bidi="he-IL"/>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1" w15:restartNumberingAfterBreak="0">
    <w:nsid w:val="227F1AFD"/>
    <w:multiLevelType w:val="hybridMultilevel"/>
    <w:tmpl w:val="5ACEF7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2" w15:restartNumberingAfterBreak="0">
    <w:nsid w:val="23570453"/>
    <w:multiLevelType w:val="hybridMultilevel"/>
    <w:tmpl w:val="30569E9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3" w15:restartNumberingAfterBreak="0">
    <w:nsid w:val="245222B9"/>
    <w:multiLevelType w:val="hybridMultilevel"/>
    <w:tmpl w:val="A2C4E5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4" w15:restartNumberingAfterBreak="0">
    <w:nsid w:val="24795E90"/>
    <w:multiLevelType w:val="hybridMultilevel"/>
    <w:tmpl w:val="F57660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5" w15:restartNumberingAfterBreak="0">
    <w:nsid w:val="24E93EB1"/>
    <w:multiLevelType w:val="hybridMultilevel"/>
    <w:tmpl w:val="91CA8E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15:restartNumberingAfterBreak="0">
    <w:nsid w:val="250E4041"/>
    <w:multiLevelType w:val="hybridMultilevel"/>
    <w:tmpl w:val="EE7A7A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15:restartNumberingAfterBreak="0">
    <w:nsid w:val="25C414D7"/>
    <w:multiLevelType w:val="hybridMultilevel"/>
    <w:tmpl w:val="3FE0EF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15:restartNumberingAfterBreak="0">
    <w:nsid w:val="26A82C1E"/>
    <w:multiLevelType w:val="hybridMultilevel"/>
    <w:tmpl w:val="A25C1F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15:restartNumberingAfterBreak="0">
    <w:nsid w:val="27175E34"/>
    <w:multiLevelType w:val="hybridMultilevel"/>
    <w:tmpl w:val="8E328B22"/>
    <w:lvl w:ilvl="0" w:tplc="2AC2CBA2">
      <w:start w:val="1"/>
      <w:numFmt w:val="bullet"/>
      <w:lvlText w:val=""/>
      <w:lvlJc w:val="left"/>
      <w:pPr>
        <w:ind w:left="720" w:hanging="360"/>
      </w:pPr>
      <w:rPr>
        <w:rFonts w:ascii="Symbol" w:hAnsi="Symbol" w:hint="default"/>
        <w:lang w:bidi="he-IL"/>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15:restartNumberingAfterBreak="0">
    <w:nsid w:val="276C15F0"/>
    <w:multiLevelType w:val="hybridMultilevel"/>
    <w:tmpl w:val="D7069E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15:restartNumberingAfterBreak="0">
    <w:nsid w:val="289C2F20"/>
    <w:multiLevelType w:val="hybridMultilevel"/>
    <w:tmpl w:val="18A823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2" w15:restartNumberingAfterBreak="0">
    <w:nsid w:val="28A15B56"/>
    <w:multiLevelType w:val="hybridMultilevel"/>
    <w:tmpl w:val="91D048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3" w15:restartNumberingAfterBreak="0">
    <w:nsid w:val="28C0178B"/>
    <w:multiLevelType w:val="hybridMultilevel"/>
    <w:tmpl w:val="E8DE33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4" w15:restartNumberingAfterBreak="0">
    <w:nsid w:val="28C40F79"/>
    <w:multiLevelType w:val="hybridMultilevel"/>
    <w:tmpl w:val="936C0B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5" w15:restartNumberingAfterBreak="0">
    <w:nsid w:val="28E62DA3"/>
    <w:multiLevelType w:val="hybridMultilevel"/>
    <w:tmpl w:val="638678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6" w15:restartNumberingAfterBreak="0">
    <w:nsid w:val="2918333F"/>
    <w:multiLevelType w:val="hybridMultilevel"/>
    <w:tmpl w:val="8228A7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7" w15:restartNumberingAfterBreak="0">
    <w:nsid w:val="29347630"/>
    <w:multiLevelType w:val="hybridMultilevel"/>
    <w:tmpl w:val="3DE4A0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8" w15:restartNumberingAfterBreak="0">
    <w:nsid w:val="29677FBA"/>
    <w:multiLevelType w:val="hybridMultilevel"/>
    <w:tmpl w:val="22FC89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9" w15:restartNumberingAfterBreak="0">
    <w:nsid w:val="29723415"/>
    <w:multiLevelType w:val="hybridMultilevel"/>
    <w:tmpl w:val="9DCAF692"/>
    <w:lvl w:ilvl="0" w:tplc="04090001">
      <w:start w:val="1"/>
      <w:numFmt w:val="bullet"/>
      <w:lvlText w:val=""/>
      <w:lvlJc w:val="left"/>
      <w:pPr>
        <w:ind w:left="767" w:hanging="360"/>
      </w:pPr>
      <w:rPr>
        <w:rFonts w:ascii="Symbol" w:hAnsi="Symbol" w:hint="default"/>
      </w:rPr>
    </w:lvl>
    <w:lvl w:ilvl="1" w:tplc="04090003" w:tentative="1">
      <w:start w:val="1"/>
      <w:numFmt w:val="bullet"/>
      <w:lvlText w:val="o"/>
      <w:lvlJc w:val="left"/>
      <w:pPr>
        <w:ind w:left="1487" w:hanging="360"/>
      </w:pPr>
      <w:rPr>
        <w:rFonts w:ascii="Courier New" w:hAnsi="Courier New" w:cs="Courier New" w:hint="default"/>
      </w:rPr>
    </w:lvl>
    <w:lvl w:ilvl="2" w:tplc="04090005" w:tentative="1">
      <w:start w:val="1"/>
      <w:numFmt w:val="bullet"/>
      <w:lvlText w:val=""/>
      <w:lvlJc w:val="left"/>
      <w:pPr>
        <w:ind w:left="2207" w:hanging="360"/>
      </w:pPr>
      <w:rPr>
        <w:rFonts w:ascii="Wingdings" w:hAnsi="Wingdings" w:hint="default"/>
      </w:rPr>
    </w:lvl>
    <w:lvl w:ilvl="3" w:tplc="04090001" w:tentative="1">
      <w:start w:val="1"/>
      <w:numFmt w:val="bullet"/>
      <w:lvlText w:val=""/>
      <w:lvlJc w:val="left"/>
      <w:pPr>
        <w:ind w:left="2927" w:hanging="360"/>
      </w:pPr>
      <w:rPr>
        <w:rFonts w:ascii="Symbol" w:hAnsi="Symbol" w:hint="default"/>
      </w:rPr>
    </w:lvl>
    <w:lvl w:ilvl="4" w:tplc="04090003" w:tentative="1">
      <w:start w:val="1"/>
      <w:numFmt w:val="bullet"/>
      <w:lvlText w:val="o"/>
      <w:lvlJc w:val="left"/>
      <w:pPr>
        <w:ind w:left="3647" w:hanging="360"/>
      </w:pPr>
      <w:rPr>
        <w:rFonts w:ascii="Courier New" w:hAnsi="Courier New" w:cs="Courier New" w:hint="default"/>
      </w:rPr>
    </w:lvl>
    <w:lvl w:ilvl="5" w:tplc="04090005" w:tentative="1">
      <w:start w:val="1"/>
      <w:numFmt w:val="bullet"/>
      <w:lvlText w:val=""/>
      <w:lvlJc w:val="left"/>
      <w:pPr>
        <w:ind w:left="4367" w:hanging="360"/>
      </w:pPr>
      <w:rPr>
        <w:rFonts w:ascii="Wingdings" w:hAnsi="Wingdings" w:hint="default"/>
      </w:rPr>
    </w:lvl>
    <w:lvl w:ilvl="6" w:tplc="04090001" w:tentative="1">
      <w:start w:val="1"/>
      <w:numFmt w:val="bullet"/>
      <w:lvlText w:val=""/>
      <w:lvlJc w:val="left"/>
      <w:pPr>
        <w:ind w:left="5087" w:hanging="360"/>
      </w:pPr>
      <w:rPr>
        <w:rFonts w:ascii="Symbol" w:hAnsi="Symbol" w:hint="default"/>
      </w:rPr>
    </w:lvl>
    <w:lvl w:ilvl="7" w:tplc="04090003" w:tentative="1">
      <w:start w:val="1"/>
      <w:numFmt w:val="bullet"/>
      <w:lvlText w:val="o"/>
      <w:lvlJc w:val="left"/>
      <w:pPr>
        <w:ind w:left="5807" w:hanging="360"/>
      </w:pPr>
      <w:rPr>
        <w:rFonts w:ascii="Courier New" w:hAnsi="Courier New" w:cs="Courier New" w:hint="default"/>
      </w:rPr>
    </w:lvl>
    <w:lvl w:ilvl="8" w:tplc="04090005" w:tentative="1">
      <w:start w:val="1"/>
      <w:numFmt w:val="bullet"/>
      <w:lvlText w:val=""/>
      <w:lvlJc w:val="left"/>
      <w:pPr>
        <w:ind w:left="6527" w:hanging="360"/>
      </w:pPr>
      <w:rPr>
        <w:rFonts w:ascii="Wingdings" w:hAnsi="Wingdings" w:hint="default"/>
      </w:rPr>
    </w:lvl>
  </w:abstractNum>
  <w:abstractNum w:abstractNumId="100" w15:restartNumberingAfterBreak="0">
    <w:nsid w:val="29736663"/>
    <w:multiLevelType w:val="hybridMultilevel"/>
    <w:tmpl w:val="67E8A9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1" w15:restartNumberingAfterBreak="0">
    <w:nsid w:val="29CF1359"/>
    <w:multiLevelType w:val="hybridMultilevel"/>
    <w:tmpl w:val="FEBABA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2" w15:restartNumberingAfterBreak="0">
    <w:nsid w:val="29F85359"/>
    <w:multiLevelType w:val="hybridMultilevel"/>
    <w:tmpl w:val="50C03C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3" w15:restartNumberingAfterBreak="0">
    <w:nsid w:val="2A776200"/>
    <w:multiLevelType w:val="hybridMultilevel"/>
    <w:tmpl w:val="F29268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4" w15:restartNumberingAfterBreak="0">
    <w:nsid w:val="2AF713C5"/>
    <w:multiLevelType w:val="hybridMultilevel"/>
    <w:tmpl w:val="23DAD0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5" w15:restartNumberingAfterBreak="0">
    <w:nsid w:val="2B4F3F45"/>
    <w:multiLevelType w:val="hybridMultilevel"/>
    <w:tmpl w:val="F95AA1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6" w15:restartNumberingAfterBreak="0">
    <w:nsid w:val="2B505F21"/>
    <w:multiLevelType w:val="hybridMultilevel"/>
    <w:tmpl w:val="B39C14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7" w15:restartNumberingAfterBreak="0">
    <w:nsid w:val="2C3A7056"/>
    <w:multiLevelType w:val="hybridMultilevel"/>
    <w:tmpl w:val="B9488D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8" w15:restartNumberingAfterBreak="0">
    <w:nsid w:val="2C6E4330"/>
    <w:multiLevelType w:val="hybridMultilevel"/>
    <w:tmpl w:val="D4C8BC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9" w15:restartNumberingAfterBreak="0">
    <w:nsid w:val="2C817A0A"/>
    <w:multiLevelType w:val="hybridMultilevel"/>
    <w:tmpl w:val="83DC0B9A"/>
    <w:lvl w:ilvl="0" w:tplc="672A1862">
      <w:start w:val="1"/>
      <w:numFmt w:val="bullet"/>
      <w:lvlText w:val=""/>
      <w:lvlJc w:val="left"/>
      <w:pPr>
        <w:ind w:left="720" w:hanging="360"/>
      </w:pPr>
      <w:rPr>
        <w:rFonts w:ascii="Symbol" w:hAnsi="Symbol" w:hint="default"/>
        <w:lang w:bidi="he-IL"/>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0" w15:restartNumberingAfterBreak="0">
    <w:nsid w:val="2C9745CF"/>
    <w:multiLevelType w:val="hybridMultilevel"/>
    <w:tmpl w:val="E572E3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1" w15:restartNumberingAfterBreak="0">
    <w:nsid w:val="2D664B59"/>
    <w:multiLevelType w:val="hybridMultilevel"/>
    <w:tmpl w:val="BBC026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2" w15:restartNumberingAfterBreak="0">
    <w:nsid w:val="2DC17BEC"/>
    <w:multiLevelType w:val="hybridMultilevel"/>
    <w:tmpl w:val="54F239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3" w15:restartNumberingAfterBreak="0">
    <w:nsid w:val="2DCA4E66"/>
    <w:multiLevelType w:val="hybridMultilevel"/>
    <w:tmpl w:val="D3E20B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4" w15:restartNumberingAfterBreak="0">
    <w:nsid w:val="2DCC32F1"/>
    <w:multiLevelType w:val="hybridMultilevel"/>
    <w:tmpl w:val="084E0B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5" w15:restartNumberingAfterBreak="0">
    <w:nsid w:val="2DD33365"/>
    <w:multiLevelType w:val="hybridMultilevel"/>
    <w:tmpl w:val="AF7A90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6" w15:restartNumberingAfterBreak="0">
    <w:nsid w:val="2E1756D5"/>
    <w:multiLevelType w:val="hybridMultilevel"/>
    <w:tmpl w:val="18AE47D0"/>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7" w15:restartNumberingAfterBreak="0">
    <w:nsid w:val="2F1A3E52"/>
    <w:multiLevelType w:val="hybridMultilevel"/>
    <w:tmpl w:val="C630AF3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8" w15:restartNumberingAfterBreak="0">
    <w:nsid w:val="2F493F0C"/>
    <w:multiLevelType w:val="hybridMultilevel"/>
    <w:tmpl w:val="CB6444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9" w15:restartNumberingAfterBreak="0">
    <w:nsid w:val="2FB73EA6"/>
    <w:multiLevelType w:val="hybridMultilevel"/>
    <w:tmpl w:val="E92CD714"/>
    <w:lvl w:ilvl="0" w:tplc="E1E0CD04">
      <w:start w:val="1"/>
      <w:numFmt w:val="bullet"/>
      <w:lvlText w:val=""/>
      <w:lvlJc w:val="left"/>
      <w:pPr>
        <w:ind w:left="720" w:hanging="360"/>
      </w:pPr>
      <w:rPr>
        <w:rFonts w:ascii="Symbol" w:hAnsi="Symbol" w:hint="default"/>
        <w:lang w:bidi="he-IL"/>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0" w15:restartNumberingAfterBreak="0">
    <w:nsid w:val="2FE06EFC"/>
    <w:multiLevelType w:val="hybridMultilevel"/>
    <w:tmpl w:val="295277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1" w15:restartNumberingAfterBreak="0">
    <w:nsid w:val="2FEA528A"/>
    <w:multiLevelType w:val="hybridMultilevel"/>
    <w:tmpl w:val="601EB3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2" w15:restartNumberingAfterBreak="0">
    <w:nsid w:val="302D7779"/>
    <w:multiLevelType w:val="hybridMultilevel"/>
    <w:tmpl w:val="3E7CA6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3" w15:restartNumberingAfterBreak="0">
    <w:nsid w:val="30C41812"/>
    <w:multiLevelType w:val="hybridMultilevel"/>
    <w:tmpl w:val="D228EB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4" w15:restartNumberingAfterBreak="0">
    <w:nsid w:val="30CB0D33"/>
    <w:multiLevelType w:val="hybridMultilevel"/>
    <w:tmpl w:val="43A21C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5" w15:restartNumberingAfterBreak="0">
    <w:nsid w:val="30CC4DAD"/>
    <w:multiLevelType w:val="hybridMultilevel"/>
    <w:tmpl w:val="693E11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6" w15:restartNumberingAfterBreak="0">
    <w:nsid w:val="31292394"/>
    <w:multiLevelType w:val="hybridMultilevel"/>
    <w:tmpl w:val="39C0F5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7" w15:restartNumberingAfterBreak="0">
    <w:nsid w:val="31456762"/>
    <w:multiLevelType w:val="hybridMultilevel"/>
    <w:tmpl w:val="E2DCC3D0"/>
    <w:lvl w:ilvl="0" w:tplc="E1E0CD04">
      <w:start w:val="1"/>
      <w:numFmt w:val="bullet"/>
      <w:lvlText w:val=""/>
      <w:lvlJc w:val="left"/>
      <w:pPr>
        <w:ind w:left="720" w:hanging="360"/>
      </w:pPr>
      <w:rPr>
        <w:rFonts w:ascii="Symbol" w:hAnsi="Symbol" w:hint="default"/>
        <w:lang w:bidi="he-IL"/>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8" w15:restartNumberingAfterBreak="0">
    <w:nsid w:val="320B7A14"/>
    <w:multiLevelType w:val="hybridMultilevel"/>
    <w:tmpl w:val="3118F1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9" w15:restartNumberingAfterBreak="0">
    <w:nsid w:val="324E19E0"/>
    <w:multiLevelType w:val="hybridMultilevel"/>
    <w:tmpl w:val="C94E68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0" w15:restartNumberingAfterBreak="0">
    <w:nsid w:val="32A940CB"/>
    <w:multiLevelType w:val="hybridMultilevel"/>
    <w:tmpl w:val="CD1C2E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1" w15:restartNumberingAfterBreak="0">
    <w:nsid w:val="331602A5"/>
    <w:multiLevelType w:val="hybridMultilevel"/>
    <w:tmpl w:val="BB1EF1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2" w15:restartNumberingAfterBreak="0">
    <w:nsid w:val="33353F42"/>
    <w:multiLevelType w:val="hybridMultilevel"/>
    <w:tmpl w:val="C29201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3" w15:restartNumberingAfterBreak="0">
    <w:nsid w:val="334050CD"/>
    <w:multiLevelType w:val="hybridMultilevel"/>
    <w:tmpl w:val="6C6253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4" w15:restartNumberingAfterBreak="0">
    <w:nsid w:val="33A877BA"/>
    <w:multiLevelType w:val="hybridMultilevel"/>
    <w:tmpl w:val="D12402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5" w15:restartNumberingAfterBreak="0">
    <w:nsid w:val="33B02AC8"/>
    <w:multiLevelType w:val="hybridMultilevel"/>
    <w:tmpl w:val="101C7D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6" w15:restartNumberingAfterBreak="0">
    <w:nsid w:val="340E44F9"/>
    <w:multiLevelType w:val="hybridMultilevel"/>
    <w:tmpl w:val="B12EE8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7" w15:restartNumberingAfterBreak="0">
    <w:nsid w:val="343E5C15"/>
    <w:multiLevelType w:val="hybridMultilevel"/>
    <w:tmpl w:val="BDF271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8" w15:restartNumberingAfterBreak="0">
    <w:nsid w:val="34AA168C"/>
    <w:multiLevelType w:val="hybridMultilevel"/>
    <w:tmpl w:val="6D6A0B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9" w15:restartNumberingAfterBreak="0">
    <w:nsid w:val="34BA764D"/>
    <w:multiLevelType w:val="hybridMultilevel"/>
    <w:tmpl w:val="96E075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0" w15:restartNumberingAfterBreak="0">
    <w:nsid w:val="34C808FF"/>
    <w:multiLevelType w:val="hybridMultilevel"/>
    <w:tmpl w:val="DB46A1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1" w15:restartNumberingAfterBreak="0">
    <w:nsid w:val="34F67C59"/>
    <w:multiLevelType w:val="hybridMultilevel"/>
    <w:tmpl w:val="72CC9B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2" w15:restartNumberingAfterBreak="0">
    <w:nsid w:val="3566521D"/>
    <w:multiLevelType w:val="hybridMultilevel"/>
    <w:tmpl w:val="E062C9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3" w15:restartNumberingAfterBreak="0">
    <w:nsid w:val="35DC6F8F"/>
    <w:multiLevelType w:val="hybridMultilevel"/>
    <w:tmpl w:val="31169576"/>
    <w:lvl w:ilvl="0" w:tplc="E1E0CD04">
      <w:start w:val="1"/>
      <w:numFmt w:val="bullet"/>
      <w:lvlText w:val=""/>
      <w:lvlJc w:val="left"/>
      <w:pPr>
        <w:ind w:left="720" w:hanging="360"/>
      </w:pPr>
      <w:rPr>
        <w:rFonts w:ascii="Symbol" w:hAnsi="Symbol" w:hint="default"/>
        <w:lang w:bidi="he-IL"/>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4" w15:restartNumberingAfterBreak="0">
    <w:nsid w:val="35FC46BD"/>
    <w:multiLevelType w:val="hybridMultilevel"/>
    <w:tmpl w:val="B3C8A3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5" w15:restartNumberingAfterBreak="0">
    <w:nsid w:val="3683102C"/>
    <w:multiLevelType w:val="hybridMultilevel"/>
    <w:tmpl w:val="515A59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6" w15:restartNumberingAfterBreak="0">
    <w:nsid w:val="368E36FA"/>
    <w:multiLevelType w:val="hybridMultilevel"/>
    <w:tmpl w:val="7C08C1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7" w15:restartNumberingAfterBreak="0">
    <w:nsid w:val="36B507A7"/>
    <w:multiLevelType w:val="hybridMultilevel"/>
    <w:tmpl w:val="A12EF1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8" w15:restartNumberingAfterBreak="0">
    <w:nsid w:val="36DC48F4"/>
    <w:multiLevelType w:val="hybridMultilevel"/>
    <w:tmpl w:val="47A28F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9" w15:restartNumberingAfterBreak="0">
    <w:nsid w:val="36F521AA"/>
    <w:multiLevelType w:val="hybridMultilevel"/>
    <w:tmpl w:val="A734E0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0" w15:restartNumberingAfterBreak="0">
    <w:nsid w:val="37655F69"/>
    <w:multiLevelType w:val="hybridMultilevel"/>
    <w:tmpl w:val="2CAAC1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1" w15:restartNumberingAfterBreak="0">
    <w:nsid w:val="38026189"/>
    <w:multiLevelType w:val="hybridMultilevel"/>
    <w:tmpl w:val="3C0ACC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2" w15:restartNumberingAfterBreak="0">
    <w:nsid w:val="380B3AC0"/>
    <w:multiLevelType w:val="hybridMultilevel"/>
    <w:tmpl w:val="3168B5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3" w15:restartNumberingAfterBreak="0">
    <w:nsid w:val="3879435F"/>
    <w:multiLevelType w:val="hybridMultilevel"/>
    <w:tmpl w:val="657CB4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4" w15:restartNumberingAfterBreak="0">
    <w:nsid w:val="38FE209F"/>
    <w:multiLevelType w:val="hybridMultilevel"/>
    <w:tmpl w:val="510CA8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5" w15:restartNumberingAfterBreak="0">
    <w:nsid w:val="3909441D"/>
    <w:multiLevelType w:val="hybridMultilevel"/>
    <w:tmpl w:val="A4A837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6" w15:restartNumberingAfterBreak="0">
    <w:nsid w:val="39233ECD"/>
    <w:multiLevelType w:val="hybridMultilevel"/>
    <w:tmpl w:val="041E4D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7" w15:restartNumberingAfterBreak="0">
    <w:nsid w:val="3945474F"/>
    <w:multiLevelType w:val="hybridMultilevel"/>
    <w:tmpl w:val="D57A51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8" w15:restartNumberingAfterBreak="0">
    <w:nsid w:val="398B3B2D"/>
    <w:multiLevelType w:val="hybridMultilevel"/>
    <w:tmpl w:val="D30E50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9" w15:restartNumberingAfterBreak="0">
    <w:nsid w:val="399D6DD7"/>
    <w:multiLevelType w:val="hybridMultilevel"/>
    <w:tmpl w:val="42E224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0" w15:restartNumberingAfterBreak="0">
    <w:nsid w:val="39A123A7"/>
    <w:multiLevelType w:val="hybridMultilevel"/>
    <w:tmpl w:val="DB7E08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1" w15:restartNumberingAfterBreak="0">
    <w:nsid w:val="39DE3456"/>
    <w:multiLevelType w:val="hybridMultilevel"/>
    <w:tmpl w:val="71F8D484"/>
    <w:lvl w:ilvl="0" w:tplc="04090001">
      <w:start w:val="1"/>
      <w:numFmt w:val="bullet"/>
      <w:lvlText w:val=""/>
      <w:lvlJc w:val="left"/>
      <w:pPr>
        <w:ind w:left="720" w:hanging="360"/>
      </w:pPr>
      <w:rPr>
        <w:rFonts w:ascii="Symbol" w:hAnsi="Symbol" w:hint="default"/>
      </w:rPr>
    </w:lvl>
    <w:lvl w:ilvl="1" w:tplc="04090007">
      <w:start w:val="1"/>
      <w:numFmt w:val="bullet"/>
      <w:lvlText w:val=""/>
      <w:lvlPicBulletId w:val="0"/>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2" w15:restartNumberingAfterBreak="0">
    <w:nsid w:val="3B0D12BD"/>
    <w:multiLevelType w:val="hybridMultilevel"/>
    <w:tmpl w:val="4F76B4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3" w15:restartNumberingAfterBreak="0">
    <w:nsid w:val="3B172BCD"/>
    <w:multiLevelType w:val="hybridMultilevel"/>
    <w:tmpl w:val="19C864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4" w15:restartNumberingAfterBreak="0">
    <w:nsid w:val="3B1F43DB"/>
    <w:multiLevelType w:val="hybridMultilevel"/>
    <w:tmpl w:val="B308D8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5" w15:restartNumberingAfterBreak="0">
    <w:nsid w:val="3B6971C0"/>
    <w:multiLevelType w:val="hybridMultilevel"/>
    <w:tmpl w:val="3A1CD1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6" w15:restartNumberingAfterBreak="0">
    <w:nsid w:val="3B6B37F4"/>
    <w:multiLevelType w:val="hybridMultilevel"/>
    <w:tmpl w:val="A79210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7" w15:restartNumberingAfterBreak="0">
    <w:nsid w:val="3B8931A5"/>
    <w:multiLevelType w:val="hybridMultilevel"/>
    <w:tmpl w:val="9976D0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8" w15:restartNumberingAfterBreak="0">
    <w:nsid w:val="3C111C1F"/>
    <w:multiLevelType w:val="hybridMultilevel"/>
    <w:tmpl w:val="88B63F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9" w15:restartNumberingAfterBreak="0">
    <w:nsid w:val="3C6C4990"/>
    <w:multiLevelType w:val="hybridMultilevel"/>
    <w:tmpl w:val="D98A14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0" w15:restartNumberingAfterBreak="0">
    <w:nsid w:val="3CD74BBA"/>
    <w:multiLevelType w:val="hybridMultilevel"/>
    <w:tmpl w:val="186AF98A"/>
    <w:lvl w:ilvl="0" w:tplc="E1E0CD04">
      <w:start w:val="1"/>
      <w:numFmt w:val="bullet"/>
      <w:lvlText w:val=""/>
      <w:lvlJc w:val="left"/>
      <w:pPr>
        <w:ind w:left="720" w:hanging="360"/>
      </w:pPr>
      <w:rPr>
        <w:rFonts w:ascii="Symbol" w:hAnsi="Symbol" w:hint="default"/>
        <w:lang w:bidi="he-IL"/>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1" w15:restartNumberingAfterBreak="0">
    <w:nsid w:val="3CE43EEB"/>
    <w:multiLevelType w:val="hybridMultilevel"/>
    <w:tmpl w:val="03845A42"/>
    <w:lvl w:ilvl="0" w:tplc="04090013">
      <w:start w:val="1"/>
      <w:numFmt w:val="hebrew1"/>
      <w:lvlText w:val="%1."/>
      <w:lvlJc w:val="center"/>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2" w15:restartNumberingAfterBreak="0">
    <w:nsid w:val="3D262D89"/>
    <w:multiLevelType w:val="hybridMultilevel"/>
    <w:tmpl w:val="E1D668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3" w15:restartNumberingAfterBreak="0">
    <w:nsid w:val="3D5068AD"/>
    <w:multiLevelType w:val="hybridMultilevel"/>
    <w:tmpl w:val="06C4EC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4" w15:restartNumberingAfterBreak="0">
    <w:nsid w:val="3D9536F1"/>
    <w:multiLevelType w:val="hybridMultilevel"/>
    <w:tmpl w:val="DD00F7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5" w15:restartNumberingAfterBreak="0">
    <w:nsid w:val="3DC55D57"/>
    <w:multiLevelType w:val="hybridMultilevel"/>
    <w:tmpl w:val="A06AA1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6" w15:restartNumberingAfterBreak="0">
    <w:nsid w:val="3E70130F"/>
    <w:multiLevelType w:val="hybridMultilevel"/>
    <w:tmpl w:val="A98856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7" w15:restartNumberingAfterBreak="0">
    <w:nsid w:val="3ED53A40"/>
    <w:multiLevelType w:val="hybridMultilevel"/>
    <w:tmpl w:val="DBAA8C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8" w15:restartNumberingAfterBreak="0">
    <w:nsid w:val="3F0149B9"/>
    <w:multiLevelType w:val="hybridMultilevel"/>
    <w:tmpl w:val="D4A413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9" w15:restartNumberingAfterBreak="0">
    <w:nsid w:val="3FFC715E"/>
    <w:multiLevelType w:val="hybridMultilevel"/>
    <w:tmpl w:val="D5244C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0" w15:restartNumberingAfterBreak="0">
    <w:nsid w:val="406A54CE"/>
    <w:multiLevelType w:val="hybridMultilevel"/>
    <w:tmpl w:val="4E0CAD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1" w15:restartNumberingAfterBreak="0">
    <w:nsid w:val="40BE03EA"/>
    <w:multiLevelType w:val="hybridMultilevel"/>
    <w:tmpl w:val="C98ED2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2" w15:restartNumberingAfterBreak="0">
    <w:nsid w:val="40DD12DB"/>
    <w:multiLevelType w:val="hybridMultilevel"/>
    <w:tmpl w:val="3E28F8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3" w15:restartNumberingAfterBreak="0">
    <w:nsid w:val="410C1B27"/>
    <w:multiLevelType w:val="hybridMultilevel"/>
    <w:tmpl w:val="734831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4" w15:restartNumberingAfterBreak="0">
    <w:nsid w:val="4113412B"/>
    <w:multiLevelType w:val="hybridMultilevel"/>
    <w:tmpl w:val="E01E8B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5" w15:restartNumberingAfterBreak="0">
    <w:nsid w:val="420869BF"/>
    <w:multiLevelType w:val="hybridMultilevel"/>
    <w:tmpl w:val="29700C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6" w15:restartNumberingAfterBreak="0">
    <w:nsid w:val="42B60C2C"/>
    <w:multiLevelType w:val="hybridMultilevel"/>
    <w:tmpl w:val="4D6A30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7" w15:restartNumberingAfterBreak="0">
    <w:nsid w:val="43456144"/>
    <w:multiLevelType w:val="hybridMultilevel"/>
    <w:tmpl w:val="22BA7DF4"/>
    <w:lvl w:ilvl="0" w:tplc="672A1862">
      <w:start w:val="1"/>
      <w:numFmt w:val="bullet"/>
      <w:lvlText w:val=""/>
      <w:lvlJc w:val="left"/>
      <w:pPr>
        <w:ind w:left="720" w:hanging="360"/>
      </w:pPr>
      <w:rPr>
        <w:rFonts w:ascii="Symbol" w:hAnsi="Symbol" w:hint="default"/>
        <w:lang w:bidi="he-IL"/>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8" w15:restartNumberingAfterBreak="0">
    <w:nsid w:val="43EF7456"/>
    <w:multiLevelType w:val="hybridMultilevel"/>
    <w:tmpl w:val="A3904A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9" w15:restartNumberingAfterBreak="0">
    <w:nsid w:val="43F13E6D"/>
    <w:multiLevelType w:val="hybridMultilevel"/>
    <w:tmpl w:val="CFC8D3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0" w15:restartNumberingAfterBreak="0">
    <w:nsid w:val="440C49DE"/>
    <w:multiLevelType w:val="hybridMultilevel"/>
    <w:tmpl w:val="2FBA3F94"/>
    <w:lvl w:ilvl="0" w:tplc="E1E0CD04">
      <w:start w:val="1"/>
      <w:numFmt w:val="bullet"/>
      <w:lvlText w:val=""/>
      <w:lvlJc w:val="left"/>
      <w:pPr>
        <w:ind w:left="720" w:hanging="360"/>
      </w:pPr>
      <w:rPr>
        <w:rFonts w:ascii="Symbol" w:hAnsi="Symbol" w:hint="default"/>
        <w:lang w:bidi="he-IL"/>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1" w15:restartNumberingAfterBreak="0">
    <w:nsid w:val="441B155E"/>
    <w:multiLevelType w:val="hybridMultilevel"/>
    <w:tmpl w:val="BABA00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2" w15:restartNumberingAfterBreak="0">
    <w:nsid w:val="444B3CE2"/>
    <w:multiLevelType w:val="hybridMultilevel"/>
    <w:tmpl w:val="CA54B4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3" w15:restartNumberingAfterBreak="0">
    <w:nsid w:val="44C57569"/>
    <w:multiLevelType w:val="hybridMultilevel"/>
    <w:tmpl w:val="7D5833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4" w15:restartNumberingAfterBreak="0">
    <w:nsid w:val="44F76D08"/>
    <w:multiLevelType w:val="hybridMultilevel"/>
    <w:tmpl w:val="3C3E82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5" w15:restartNumberingAfterBreak="0">
    <w:nsid w:val="451D221F"/>
    <w:multiLevelType w:val="hybridMultilevel"/>
    <w:tmpl w:val="4FEA33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6" w15:restartNumberingAfterBreak="0">
    <w:nsid w:val="45407DF8"/>
    <w:multiLevelType w:val="hybridMultilevel"/>
    <w:tmpl w:val="BE1A8F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7" w15:restartNumberingAfterBreak="0">
    <w:nsid w:val="457D0770"/>
    <w:multiLevelType w:val="hybridMultilevel"/>
    <w:tmpl w:val="11B6DE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8" w15:restartNumberingAfterBreak="0">
    <w:nsid w:val="46487D36"/>
    <w:multiLevelType w:val="hybridMultilevel"/>
    <w:tmpl w:val="939653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9" w15:restartNumberingAfterBreak="0">
    <w:nsid w:val="466716DA"/>
    <w:multiLevelType w:val="hybridMultilevel"/>
    <w:tmpl w:val="A6326D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00" w15:restartNumberingAfterBreak="0">
    <w:nsid w:val="472B09C6"/>
    <w:multiLevelType w:val="hybridMultilevel"/>
    <w:tmpl w:val="22E866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01" w15:restartNumberingAfterBreak="0">
    <w:nsid w:val="473153A0"/>
    <w:multiLevelType w:val="hybridMultilevel"/>
    <w:tmpl w:val="76284A82"/>
    <w:lvl w:ilvl="0" w:tplc="04090001">
      <w:start w:val="1"/>
      <w:numFmt w:val="bullet"/>
      <w:lvlText w:val=""/>
      <w:lvlJc w:val="left"/>
      <w:pPr>
        <w:ind w:left="720" w:hanging="360"/>
      </w:pPr>
      <w:rPr>
        <w:rFonts w:ascii="Symbol" w:hAnsi="Symbol" w:hint="default"/>
      </w:rPr>
    </w:lvl>
    <w:lvl w:ilvl="1" w:tplc="04090007">
      <w:start w:val="1"/>
      <w:numFmt w:val="bullet"/>
      <w:lvlText w:val=""/>
      <w:lvlPicBulletId w:val="0"/>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2" w15:restartNumberingAfterBreak="0">
    <w:nsid w:val="47942FAC"/>
    <w:multiLevelType w:val="hybridMultilevel"/>
    <w:tmpl w:val="7A84A2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3" w15:restartNumberingAfterBreak="0">
    <w:nsid w:val="48EB2B0A"/>
    <w:multiLevelType w:val="hybridMultilevel"/>
    <w:tmpl w:val="05B8B5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4" w15:restartNumberingAfterBreak="0">
    <w:nsid w:val="4941063B"/>
    <w:multiLevelType w:val="hybridMultilevel"/>
    <w:tmpl w:val="CB6A44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5" w15:restartNumberingAfterBreak="0">
    <w:nsid w:val="498656F9"/>
    <w:multiLevelType w:val="hybridMultilevel"/>
    <w:tmpl w:val="B27273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06" w15:restartNumberingAfterBreak="0">
    <w:nsid w:val="499D4CAA"/>
    <w:multiLevelType w:val="hybridMultilevel"/>
    <w:tmpl w:val="AAC262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7" w15:restartNumberingAfterBreak="0">
    <w:nsid w:val="4A276E91"/>
    <w:multiLevelType w:val="hybridMultilevel"/>
    <w:tmpl w:val="3FA4E96A"/>
    <w:lvl w:ilvl="0" w:tplc="C36C94B4">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8" w15:restartNumberingAfterBreak="0">
    <w:nsid w:val="4A316C45"/>
    <w:multiLevelType w:val="hybridMultilevel"/>
    <w:tmpl w:val="CBFC23E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09" w15:restartNumberingAfterBreak="0">
    <w:nsid w:val="4AE570A6"/>
    <w:multiLevelType w:val="hybridMultilevel"/>
    <w:tmpl w:val="FACABB40"/>
    <w:lvl w:ilvl="0" w:tplc="672A1862">
      <w:start w:val="1"/>
      <w:numFmt w:val="bullet"/>
      <w:lvlText w:val=""/>
      <w:lvlJc w:val="left"/>
      <w:pPr>
        <w:ind w:left="720" w:hanging="360"/>
      </w:pPr>
      <w:rPr>
        <w:rFonts w:ascii="Symbol" w:hAnsi="Symbol" w:hint="default"/>
        <w:lang w:bidi="he-IL"/>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10" w15:restartNumberingAfterBreak="0">
    <w:nsid w:val="4AF97ABD"/>
    <w:multiLevelType w:val="hybridMultilevel"/>
    <w:tmpl w:val="5F7478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1" w15:restartNumberingAfterBreak="0">
    <w:nsid w:val="4AFB465C"/>
    <w:multiLevelType w:val="hybridMultilevel"/>
    <w:tmpl w:val="33B86708"/>
    <w:lvl w:ilvl="0" w:tplc="04090001">
      <w:start w:val="1"/>
      <w:numFmt w:val="bullet"/>
      <w:lvlText w:val=""/>
      <w:lvlJc w:val="left"/>
      <w:pPr>
        <w:ind w:left="720" w:hanging="360"/>
      </w:pPr>
      <w:rPr>
        <w:rFonts w:ascii="Symbol" w:hAnsi="Symbol" w:hint="default"/>
        <w:b w:val="0"/>
        <w:bCs w:val="0"/>
        <w:i w:val="0"/>
        <w:iCs w:val="0"/>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2" w15:restartNumberingAfterBreak="0">
    <w:nsid w:val="4B206094"/>
    <w:multiLevelType w:val="hybridMultilevel"/>
    <w:tmpl w:val="AB1263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3" w15:restartNumberingAfterBreak="0">
    <w:nsid w:val="4B3F002B"/>
    <w:multiLevelType w:val="hybridMultilevel"/>
    <w:tmpl w:val="64B4DD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4" w15:restartNumberingAfterBreak="0">
    <w:nsid w:val="4B577A76"/>
    <w:multiLevelType w:val="hybridMultilevel"/>
    <w:tmpl w:val="FF3E84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15" w15:restartNumberingAfterBreak="0">
    <w:nsid w:val="4B81671C"/>
    <w:multiLevelType w:val="hybridMultilevel"/>
    <w:tmpl w:val="582617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16" w15:restartNumberingAfterBreak="0">
    <w:nsid w:val="4BC203D8"/>
    <w:multiLevelType w:val="hybridMultilevel"/>
    <w:tmpl w:val="5CFA540E"/>
    <w:lvl w:ilvl="0" w:tplc="37869322">
      <w:start w:val="1"/>
      <w:numFmt w:val="bullet"/>
      <w:lvlText w:val=""/>
      <w:lvlJc w:val="left"/>
      <w:pPr>
        <w:ind w:left="720" w:hanging="360"/>
      </w:pPr>
      <w:rPr>
        <w:rFonts w:ascii="Symbol" w:hAnsi="Symbol" w:hint="default"/>
        <w:lang w:bidi="he-IL"/>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7" w15:restartNumberingAfterBreak="0">
    <w:nsid w:val="4BC4717D"/>
    <w:multiLevelType w:val="hybridMultilevel"/>
    <w:tmpl w:val="2A067796"/>
    <w:lvl w:ilvl="0" w:tplc="411C1D62">
      <w:start w:val="1"/>
      <w:numFmt w:val="bullet"/>
      <w:lvlText w:val=""/>
      <w:lvlJc w:val="left"/>
      <w:pPr>
        <w:ind w:left="720" w:hanging="360"/>
      </w:pPr>
      <w:rPr>
        <w:rFonts w:ascii="Symbol" w:hAnsi="Symbol" w:hint="default"/>
        <w:lang w:bidi="he-IL"/>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18" w15:restartNumberingAfterBreak="0">
    <w:nsid w:val="4BCF0579"/>
    <w:multiLevelType w:val="hybridMultilevel"/>
    <w:tmpl w:val="3A5A20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9" w15:restartNumberingAfterBreak="0">
    <w:nsid w:val="4BFD7717"/>
    <w:multiLevelType w:val="hybridMultilevel"/>
    <w:tmpl w:val="E77035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20" w15:restartNumberingAfterBreak="0">
    <w:nsid w:val="4C760478"/>
    <w:multiLevelType w:val="hybridMultilevel"/>
    <w:tmpl w:val="7B3ADE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21" w15:restartNumberingAfterBreak="0">
    <w:nsid w:val="4C7742E5"/>
    <w:multiLevelType w:val="hybridMultilevel"/>
    <w:tmpl w:val="30CC82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2" w15:restartNumberingAfterBreak="0">
    <w:nsid w:val="4C9E0B01"/>
    <w:multiLevelType w:val="hybridMultilevel"/>
    <w:tmpl w:val="B150B5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3" w15:restartNumberingAfterBreak="0">
    <w:nsid w:val="4D893ABD"/>
    <w:multiLevelType w:val="hybridMultilevel"/>
    <w:tmpl w:val="64FA49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4" w15:restartNumberingAfterBreak="0">
    <w:nsid w:val="4D963893"/>
    <w:multiLevelType w:val="hybridMultilevel"/>
    <w:tmpl w:val="4DFC37A4"/>
    <w:lvl w:ilvl="0" w:tplc="672A1862">
      <w:start w:val="1"/>
      <w:numFmt w:val="bullet"/>
      <w:lvlText w:val=""/>
      <w:lvlJc w:val="left"/>
      <w:pPr>
        <w:ind w:left="720" w:hanging="360"/>
      </w:pPr>
      <w:rPr>
        <w:rFonts w:ascii="Symbol" w:hAnsi="Symbol" w:hint="default"/>
        <w:lang w:bidi="he-IL"/>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25" w15:restartNumberingAfterBreak="0">
    <w:nsid w:val="4DAF713F"/>
    <w:multiLevelType w:val="hybridMultilevel"/>
    <w:tmpl w:val="041E5A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26" w15:restartNumberingAfterBreak="0">
    <w:nsid w:val="4E5E395F"/>
    <w:multiLevelType w:val="hybridMultilevel"/>
    <w:tmpl w:val="7E6C5E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27" w15:restartNumberingAfterBreak="0">
    <w:nsid w:val="4EC17C85"/>
    <w:multiLevelType w:val="hybridMultilevel"/>
    <w:tmpl w:val="C69CCF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8" w15:restartNumberingAfterBreak="0">
    <w:nsid w:val="4EE26B5D"/>
    <w:multiLevelType w:val="hybridMultilevel"/>
    <w:tmpl w:val="59DE0F7E"/>
    <w:lvl w:ilvl="0" w:tplc="04090001">
      <w:start w:val="1"/>
      <w:numFmt w:val="bullet"/>
      <w:lvlText w:val=""/>
      <w:lvlJc w:val="left"/>
      <w:pPr>
        <w:ind w:left="785" w:hanging="360"/>
      </w:pPr>
      <w:rPr>
        <w:rFonts w:ascii="Symbol" w:hAnsi="Symbol" w:hint="default"/>
      </w:rPr>
    </w:lvl>
    <w:lvl w:ilvl="1" w:tplc="04090003">
      <w:start w:val="1"/>
      <w:numFmt w:val="bullet"/>
      <w:lvlText w:val="o"/>
      <w:lvlJc w:val="left"/>
      <w:pPr>
        <w:ind w:left="1505" w:hanging="360"/>
      </w:pPr>
      <w:rPr>
        <w:rFonts w:ascii="Courier New" w:hAnsi="Courier New" w:cs="Courier New" w:hint="default"/>
      </w:rPr>
    </w:lvl>
    <w:lvl w:ilvl="2" w:tplc="04090005">
      <w:start w:val="1"/>
      <w:numFmt w:val="bullet"/>
      <w:lvlText w:val=""/>
      <w:lvlJc w:val="left"/>
      <w:pPr>
        <w:ind w:left="2225" w:hanging="360"/>
      </w:pPr>
      <w:rPr>
        <w:rFonts w:ascii="Wingdings" w:hAnsi="Wingdings" w:hint="default"/>
      </w:rPr>
    </w:lvl>
    <w:lvl w:ilvl="3" w:tplc="04090001">
      <w:start w:val="1"/>
      <w:numFmt w:val="bullet"/>
      <w:lvlText w:val=""/>
      <w:lvlJc w:val="left"/>
      <w:pPr>
        <w:ind w:left="2945" w:hanging="360"/>
      </w:pPr>
      <w:rPr>
        <w:rFonts w:ascii="Symbol" w:hAnsi="Symbol" w:hint="default"/>
      </w:rPr>
    </w:lvl>
    <w:lvl w:ilvl="4" w:tplc="04090003">
      <w:start w:val="1"/>
      <w:numFmt w:val="bullet"/>
      <w:lvlText w:val="o"/>
      <w:lvlJc w:val="left"/>
      <w:pPr>
        <w:ind w:left="3665" w:hanging="360"/>
      </w:pPr>
      <w:rPr>
        <w:rFonts w:ascii="Courier New" w:hAnsi="Courier New" w:cs="Courier New" w:hint="default"/>
      </w:rPr>
    </w:lvl>
    <w:lvl w:ilvl="5" w:tplc="04090005">
      <w:start w:val="1"/>
      <w:numFmt w:val="bullet"/>
      <w:lvlText w:val=""/>
      <w:lvlJc w:val="left"/>
      <w:pPr>
        <w:ind w:left="4385" w:hanging="360"/>
      </w:pPr>
      <w:rPr>
        <w:rFonts w:ascii="Wingdings" w:hAnsi="Wingdings" w:hint="default"/>
      </w:rPr>
    </w:lvl>
    <w:lvl w:ilvl="6" w:tplc="04090001">
      <w:start w:val="1"/>
      <w:numFmt w:val="bullet"/>
      <w:lvlText w:val=""/>
      <w:lvlJc w:val="left"/>
      <w:pPr>
        <w:ind w:left="5105" w:hanging="360"/>
      </w:pPr>
      <w:rPr>
        <w:rFonts w:ascii="Symbol" w:hAnsi="Symbol" w:hint="default"/>
      </w:rPr>
    </w:lvl>
    <w:lvl w:ilvl="7" w:tplc="04090003">
      <w:start w:val="1"/>
      <w:numFmt w:val="bullet"/>
      <w:lvlText w:val="o"/>
      <w:lvlJc w:val="left"/>
      <w:pPr>
        <w:ind w:left="5825" w:hanging="360"/>
      </w:pPr>
      <w:rPr>
        <w:rFonts w:ascii="Courier New" w:hAnsi="Courier New" w:cs="Courier New" w:hint="default"/>
      </w:rPr>
    </w:lvl>
    <w:lvl w:ilvl="8" w:tplc="04090005">
      <w:start w:val="1"/>
      <w:numFmt w:val="bullet"/>
      <w:lvlText w:val=""/>
      <w:lvlJc w:val="left"/>
      <w:pPr>
        <w:ind w:left="6545" w:hanging="360"/>
      </w:pPr>
      <w:rPr>
        <w:rFonts w:ascii="Wingdings" w:hAnsi="Wingdings" w:hint="default"/>
      </w:rPr>
    </w:lvl>
  </w:abstractNum>
  <w:abstractNum w:abstractNumId="229" w15:restartNumberingAfterBreak="0">
    <w:nsid w:val="4F80206A"/>
    <w:multiLevelType w:val="hybridMultilevel"/>
    <w:tmpl w:val="7C983B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0" w15:restartNumberingAfterBreak="0">
    <w:nsid w:val="50371932"/>
    <w:multiLevelType w:val="hybridMultilevel"/>
    <w:tmpl w:val="B4FA6E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1" w15:restartNumberingAfterBreak="0">
    <w:nsid w:val="50B16578"/>
    <w:multiLevelType w:val="hybridMultilevel"/>
    <w:tmpl w:val="518826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2" w15:restartNumberingAfterBreak="0">
    <w:nsid w:val="511B3D62"/>
    <w:multiLevelType w:val="hybridMultilevel"/>
    <w:tmpl w:val="3FF4C1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3" w15:restartNumberingAfterBreak="0">
    <w:nsid w:val="51574569"/>
    <w:multiLevelType w:val="hybridMultilevel"/>
    <w:tmpl w:val="DD8CCEA0"/>
    <w:lvl w:ilvl="0" w:tplc="E1E0CD04">
      <w:start w:val="1"/>
      <w:numFmt w:val="bullet"/>
      <w:lvlText w:val=""/>
      <w:lvlJc w:val="left"/>
      <w:pPr>
        <w:ind w:left="720" w:hanging="360"/>
      </w:pPr>
      <w:rPr>
        <w:rFonts w:ascii="Symbol" w:hAnsi="Symbol" w:hint="default"/>
        <w:lang w:bidi="he-IL"/>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4" w15:restartNumberingAfterBreak="0">
    <w:nsid w:val="51916637"/>
    <w:multiLevelType w:val="hybridMultilevel"/>
    <w:tmpl w:val="404E7A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5" w15:restartNumberingAfterBreak="0">
    <w:nsid w:val="52FD7945"/>
    <w:multiLevelType w:val="hybridMultilevel"/>
    <w:tmpl w:val="598E308C"/>
    <w:lvl w:ilvl="0" w:tplc="AB8CAC24">
      <w:start w:val="1"/>
      <w:numFmt w:val="bullet"/>
      <w:lvlText w:val=""/>
      <w:lvlJc w:val="left"/>
      <w:pPr>
        <w:ind w:left="720" w:hanging="360"/>
      </w:pPr>
      <w:rPr>
        <w:rFonts w:ascii="Symbol" w:hAnsi="Symbol" w:hint="default"/>
        <w:lang w:bidi="he-IL"/>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6" w15:restartNumberingAfterBreak="0">
    <w:nsid w:val="53077F2D"/>
    <w:multiLevelType w:val="hybridMultilevel"/>
    <w:tmpl w:val="4B08E6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7" w15:restartNumberingAfterBreak="0">
    <w:nsid w:val="5362248F"/>
    <w:multiLevelType w:val="hybridMultilevel"/>
    <w:tmpl w:val="73B457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8" w15:restartNumberingAfterBreak="0">
    <w:nsid w:val="53A06B43"/>
    <w:multiLevelType w:val="hybridMultilevel"/>
    <w:tmpl w:val="EF2028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9" w15:restartNumberingAfterBreak="0">
    <w:nsid w:val="53C7393B"/>
    <w:multiLevelType w:val="hybridMultilevel"/>
    <w:tmpl w:val="A69AE05C"/>
    <w:lvl w:ilvl="0" w:tplc="9C3AD5AE">
      <w:start w:val="1"/>
      <w:numFmt w:val="bullet"/>
      <w:lvlText w:val=""/>
      <w:lvlJc w:val="left"/>
      <w:pPr>
        <w:ind w:left="720" w:hanging="360"/>
      </w:pPr>
      <w:rPr>
        <w:rFonts w:ascii="Symbol" w:hAnsi="Symbol" w:hint="default"/>
        <w:lang w:bidi="he-IL"/>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40" w15:restartNumberingAfterBreak="0">
    <w:nsid w:val="53C91E56"/>
    <w:multiLevelType w:val="hybridMultilevel"/>
    <w:tmpl w:val="219268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1" w15:restartNumberingAfterBreak="0">
    <w:nsid w:val="53CB660B"/>
    <w:multiLevelType w:val="hybridMultilevel"/>
    <w:tmpl w:val="097C3D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2" w15:restartNumberingAfterBreak="0">
    <w:nsid w:val="54143EBF"/>
    <w:multiLevelType w:val="hybridMultilevel"/>
    <w:tmpl w:val="E5B027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3" w15:restartNumberingAfterBreak="0">
    <w:nsid w:val="547D08BC"/>
    <w:multiLevelType w:val="hybridMultilevel"/>
    <w:tmpl w:val="3AD2E728"/>
    <w:lvl w:ilvl="0" w:tplc="AB8CAC24">
      <w:start w:val="1"/>
      <w:numFmt w:val="bullet"/>
      <w:lvlText w:val=""/>
      <w:lvlJc w:val="left"/>
      <w:pPr>
        <w:ind w:left="720" w:hanging="360"/>
      </w:pPr>
      <w:rPr>
        <w:rFonts w:ascii="Symbol" w:hAnsi="Symbol" w:hint="default"/>
        <w:lang w:bidi="he-IL"/>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44" w15:restartNumberingAfterBreak="0">
    <w:nsid w:val="547F604B"/>
    <w:multiLevelType w:val="hybridMultilevel"/>
    <w:tmpl w:val="BA001EE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45" w15:restartNumberingAfterBreak="0">
    <w:nsid w:val="552951F8"/>
    <w:multiLevelType w:val="hybridMultilevel"/>
    <w:tmpl w:val="8D6AAB2A"/>
    <w:lvl w:ilvl="0" w:tplc="E1E0CD04">
      <w:start w:val="1"/>
      <w:numFmt w:val="bullet"/>
      <w:lvlText w:val=""/>
      <w:lvlJc w:val="left"/>
      <w:pPr>
        <w:ind w:left="720" w:hanging="360"/>
      </w:pPr>
      <w:rPr>
        <w:rFonts w:ascii="Symbol" w:hAnsi="Symbol" w:hint="default"/>
        <w:lang w:bidi="he-IL"/>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46" w15:restartNumberingAfterBreak="0">
    <w:nsid w:val="558B7254"/>
    <w:multiLevelType w:val="hybridMultilevel"/>
    <w:tmpl w:val="8E8C16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7" w15:restartNumberingAfterBreak="0">
    <w:nsid w:val="55F440A6"/>
    <w:multiLevelType w:val="hybridMultilevel"/>
    <w:tmpl w:val="FF8C5B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48" w15:restartNumberingAfterBreak="0">
    <w:nsid w:val="569A0B86"/>
    <w:multiLevelType w:val="hybridMultilevel"/>
    <w:tmpl w:val="985C68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9" w15:restartNumberingAfterBreak="0">
    <w:nsid w:val="571461CE"/>
    <w:multiLevelType w:val="hybridMultilevel"/>
    <w:tmpl w:val="31BC5C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50" w15:restartNumberingAfterBreak="0">
    <w:nsid w:val="5756372D"/>
    <w:multiLevelType w:val="hybridMultilevel"/>
    <w:tmpl w:val="10248BB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1" w15:restartNumberingAfterBreak="0">
    <w:nsid w:val="5782684F"/>
    <w:multiLevelType w:val="hybridMultilevel"/>
    <w:tmpl w:val="C56AFB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2" w15:restartNumberingAfterBreak="0">
    <w:nsid w:val="57A75D9F"/>
    <w:multiLevelType w:val="hybridMultilevel"/>
    <w:tmpl w:val="DB841A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3" w15:restartNumberingAfterBreak="0">
    <w:nsid w:val="57BB6424"/>
    <w:multiLevelType w:val="hybridMultilevel"/>
    <w:tmpl w:val="EEB2CF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54" w15:restartNumberingAfterBreak="0">
    <w:nsid w:val="58172294"/>
    <w:multiLevelType w:val="hybridMultilevel"/>
    <w:tmpl w:val="98C424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55" w15:restartNumberingAfterBreak="0">
    <w:nsid w:val="582433E4"/>
    <w:multiLevelType w:val="hybridMultilevel"/>
    <w:tmpl w:val="ECB44AF8"/>
    <w:lvl w:ilvl="0" w:tplc="37869322">
      <w:start w:val="1"/>
      <w:numFmt w:val="bullet"/>
      <w:lvlText w:val=""/>
      <w:lvlJc w:val="left"/>
      <w:pPr>
        <w:ind w:left="720" w:hanging="360"/>
      </w:pPr>
      <w:rPr>
        <w:rFonts w:ascii="Symbol" w:hAnsi="Symbol" w:hint="default"/>
        <w:lang w:bidi="he-IL"/>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6" w15:restartNumberingAfterBreak="0">
    <w:nsid w:val="5885331E"/>
    <w:multiLevelType w:val="hybridMultilevel"/>
    <w:tmpl w:val="7414B3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7" w15:restartNumberingAfterBreak="0">
    <w:nsid w:val="58E74C44"/>
    <w:multiLevelType w:val="hybridMultilevel"/>
    <w:tmpl w:val="03701A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8" w15:restartNumberingAfterBreak="0">
    <w:nsid w:val="59165D26"/>
    <w:multiLevelType w:val="hybridMultilevel"/>
    <w:tmpl w:val="6FEC2B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9" w15:restartNumberingAfterBreak="0">
    <w:nsid w:val="59183596"/>
    <w:multiLevelType w:val="hybridMultilevel"/>
    <w:tmpl w:val="E24C0F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60" w15:restartNumberingAfterBreak="0">
    <w:nsid w:val="595A1FB8"/>
    <w:multiLevelType w:val="hybridMultilevel"/>
    <w:tmpl w:val="3B6277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1" w15:restartNumberingAfterBreak="0">
    <w:nsid w:val="5978133B"/>
    <w:multiLevelType w:val="hybridMultilevel"/>
    <w:tmpl w:val="B1D613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2" w15:restartNumberingAfterBreak="0">
    <w:nsid w:val="59C235E2"/>
    <w:multiLevelType w:val="hybridMultilevel"/>
    <w:tmpl w:val="C186BB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63" w15:restartNumberingAfterBreak="0">
    <w:nsid w:val="5A3D1A04"/>
    <w:multiLevelType w:val="hybridMultilevel"/>
    <w:tmpl w:val="9EBAF0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4" w15:restartNumberingAfterBreak="0">
    <w:nsid w:val="5AA712F3"/>
    <w:multiLevelType w:val="hybridMultilevel"/>
    <w:tmpl w:val="D300469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65" w15:restartNumberingAfterBreak="0">
    <w:nsid w:val="5B1737CA"/>
    <w:multiLevelType w:val="hybridMultilevel"/>
    <w:tmpl w:val="0778CB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6" w15:restartNumberingAfterBreak="0">
    <w:nsid w:val="5B4A73F9"/>
    <w:multiLevelType w:val="hybridMultilevel"/>
    <w:tmpl w:val="5EE619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67" w15:restartNumberingAfterBreak="0">
    <w:nsid w:val="5BCA2524"/>
    <w:multiLevelType w:val="hybridMultilevel"/>
    <w:tmpl w:val="4A586DD2"/>
    <w:lvl w:ilvl="0" w:tplc="2AC2CBA2">
      <w:start w:val="1"/>
      <w:numFmt w:val="bullet"/>
      <w:lvlText w:val=""/>
      <w:lvlJc w:val="left"/>
      <w:pPr>
        <w:ind w:left="720" w:hanging="360"/>
      </w:pPr>
      <w:rPr>
        <w:rFonts w:ascii="Symbol" w:hAnsi="Symbol" w:hint="default"/>
        <w:lang w:bidi="he-IL"/>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8" w15:restartNumberingAfterBreak="0">
    <w:nsid w:val="5C21153D"/>
    <w:multiLevelType w:val="hybridMultilevel"/>
    <w:tmpl w:val="E48ED7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69" w15:restartNumberingAfterBreak="0">
    <w:nsid w:val="5C7D7D8A"/>
    <w:multiLevelType w:val="hybridMultilevel"/>
    <w:tmpl w:val="E60CEF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0" w15:restartNumberingAfterBreak="0">
    <w:nsid w:val="5C822846"/>
    <w:multiLevelType w:val="hybridMultilevel"/>
    <w:tmpl w:val="93D847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1" w15:restartNumberingAfterBreak="0">
    <w:nsid w:val="5C8641B1"/>
    <w:multiLevelType w:val="hybridMultilevel"/>
    <w:tmpl w:val="D1BA60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72" w15:restartNumberingAfterBreak="0">
    <w:nsid w:val="5D3F74ED"/>
    <w:multiLevelType w:val="hybridMultilevel"/>
    <w:tmpl w:val="02CCBF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73" w15:restartNumberingAfterBreak="0">
    <w:nsid w:val="5DBC469D"/>
    <w:multiLevelType w:val="hybridMultilevel"/>
    <w:tmpl w:val="53D23262"/>
    <w:lvl w:ilvl="0" w:tplc="9C3AD5AE">
      <w:start w:val="1"/>
      <w:numFmt w:val="bullet"/>
      <w:lvlText w:val=""/>
      <w:lvlJc w:val="left"/>
      <w:pPr>
        <w:ind w:left="720" w:hanging="360"/>
      </w:pPr>
      <w:rPr>
        <w:rFonts w:ascii="Symbol" w:hAnsi="Symbol" w:hint="default"/>
        <w:lang w:bidi="he-IL"/>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74" w15:restartNumberingAfterBreak="0">
    <w:nsid w:val="5E3154F3"/>
    <w:multiLevelType w:val="hybridMultilevel"/>
    <w:tmpl w:val="CF2698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5" w15:restartNumberingAfterBreak="0">
    <w:nsid w:val="5E48425F"/>
    <w:multiLevelType w:val="hybridMultilevel"/>
    <w:tmpl w:val="F8F472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6" w15:restartNumberingAfterBreak="0">
    <w:nsid w:val="5F1738AA"/>
    <w:multiLevelType w:val="hybridMultilevel"/>
    <w:tmpl w:val="A01CC3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7" w15:restartNumberingAfterBreak="0">
    <w:nsid w:val="5F214383"/>
    <w:multiLevelType w:val="hybridMultilevel"/>
    <w:tmpl w:val="CE5636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8" w15:restartNumberingAfterBreak="0">
    <w:nsid w:val="5FBB4E19"/>
    <w:multiLevelType w:val="hybridMultilevel"/>
    <w:tmpl w:val="DE6C70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9" w15:restartNumberingAfterBreak="0">
    <w:nsid w:val="60265093"/>
    <w:multiLevelType w:val="hybridMultilevel"/>
    <w:tmpl w:val="C77C659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80" w15:restartNumberingAfterBreak="0">
    <w:nsid w:val="606C5E37"/>
    <w:multiLevelType w:val="hybridMultilevel"/>
    <w:tmpl w:val="FB7A2A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1" w15:restartNumberingAfterBreak="0">
    <w:nsid w:val="60B414ED"/>
    <w:multiLevelType w:val="hybridMultilevel"/>
    <w:tmpl w:val="F266B562"/>
    <w:lvl w:ilvl="0" w:tplc="E1E0CD04">
      <w:start w:val="1"/>
      <w:numFmt w:val="bullet"/>
      <w:lvlText w:val=""/>
      <w:lvlJc w:val="left"/>
      <w:pPr>
        <w:ind w:left="720" w:hanging="360"/>
      </w:pPr>
      <w:rPr>
        <w:rFonts w:ascii="Symbol" w:hAnsi="Symbol" w:hint="default"/>
        <w:lang w:bidi="he-IL"/>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82" w15:restartNumberingAfterBreak="0">
    <w:nsid w:val="60E73DF0"/>
    <w:multiLevelType w:val="hybridMultilevel"/>
    <w:tmpl w:val="C31C95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83" w15:restartNumberingAfterBreak="0">
    <w:nsid w:val="6120609A"/>
    <w:multiLevelType w:val="hybridMultilevel"/>
    <w:tmpl w:val="5E7C25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84" w15:restartNumberingAfterBreak="0">
    <w:nsid w:val="615541D8"/>
    <w:multiLevelType w:val="hybridMultilevel"/>
    <w:tmpl w:val="81FE93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85" w15:restartNumberingAfterBreak="0">
    <w:nsid w:val="61595EC2"/>
    <w:multiLevelType w:val="hybridMultilevel"/>
    <w:tmpl w:val="25C8F1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86" w15:restartNumberingAfterBreak="0">
    <w:nsid w:val="619C6D7E"/>
    <w:multiLevelType w:val="hybridMultilevel"/>
    <w:tmpl w:val="43B84B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7" w15:restartNumberingAfterBreak="0">
    <w:nsid w:val="61B40B18"/>
    <w:multiLevelType w:val="hybridMultilevel"/>
    <w:tmpl w:val="665407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8" w15:restartNumberingAfterBreak="0">
    <w:nsid w:val="62895C33"/>
    <w:multiLevelType w:val="hybridMultilevel"/>
    <w:tmpl w:val="05BE89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9" w15:restartNumberingAfterBreak="0">
    <w:nsid w:val="62995BA4"/>
    <w:multiLevelType w:val="hybridMultilevel"/>
    <w:tmpl w:val="0A4683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90" w15:restartNumberingAfterBreak="0">
    <w:nsid w:val="62AB06C4"/>
    <w:multiLevelType w:val="hybridMultilevel"/>
    <w:tmpl w:val="75024B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1" w15:restartNumberingAfterBreak="0">
    <w:nsid w:val="62E40CCC"/>
    <w:multiLevelType w:val="hybridMultilevel"/>
    <w:tmpl w:val="37204E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92" w15:restartNumberingAfterBreak="0">
    <w:nsid w:val="63A87543"/>
    <w:multiLevelType w:val="hybridMultilevel"/>
    <w:tmpl w:val="D834E3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3" w15:restartNumberingAfterBreak="0">
    <w:nsid w:val="63FA460B"/>
    <w:multiLevelType w:val="hybridMultilevel"/>
    <w:tmpl w:val="A78079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94" w15:restartNumberingAfterBreak="0">
    <w:nsid w:val="642F1988"/>
    <w:multiLevelType w:val="hybridMultilevel"/>
    <w:tmpl w:val="51DE41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95" w15:restartNumberingAfterBreak="0">
    <w:nsid w:val="643767EB"/>
    <w:multiLevelType w:val="hybridMultilevel"/>
    <w:tmpl w:val="FEF0FA30"/>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6" w15:restartNumberingAfterBreak="0">
    <w:nsid w:val="647A6E4E"/>
    <w:multiLevelType w:val="hybridMultilevel"/>
    <w:tmpl w:val="F02C6F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97" w15:restartNumberingAfterBreak="0">
    <w:nsid w:val="64D63395"/>
    <w:multiLevelType w:val="hybridMultilevel"/>
    <w:tmpl w:val="962A4E52"/>
    <w:lvl w:ilvl="0" w:tplc="10B40B66">
      <w:start w:val="1"/>
      <w:numFmt w:val="bullet"/>
      <w:lvlText w:val=""/>
      <w:lvlJc w:val="left"/>
      <w:pPr>
        <w:ind w:left="720" w:hanging="360"/>
      </w:pPr>
      <w:rPr>
        <w:rFonts w:ascii="Symbol" w:hAnsi="Symbol" w:hint="default"/>
        <w:lang w:bidi="he-IL"/>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8" w15:restartNumberingAfterBreak="0">
    <w:nsid w:val="64EF69E9"/>
    <w:multiLevelType w:val="hybridMultilevel"/>
    <w:tmpl w:val="C96CD8F4"/>
    <w:lvl w:ilvl="0" w:tplc="672A1862">
      <w:start w:val="1"/>
      <w:numFmt w:val="bullet"/>
      <w:lvlText w:val=""/>
      <w:lvlJc w:val="left"/>
      <w:pPr>
        <w:ind w:left="720" w:hanging="360"/>
      </w:pPr>
      <w:rPr>
        <w:rFonts w:ascii="Symbol" w:hAnsi="Symbol" w:hint="default"/>
        <w:lang w:bidi="he-IL"/>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99" w15:restartNumberingAfterBreak="0">
    <w:nsid w:val="651C3CE8"/>
    <w:multiLevelType w:val="hybridMultilevel"/>
    <w:tmpl w:val="813090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00" w15:restartNumberingAfterBreak="0">
    <w:nsid w:val="65291AC3"/>
    <w:multiLevelType w:val="hybridMultilevel"/>
    <w:tmpl w:val="D92294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01" w15:restartNumberingAfterBreak="0">
    <w:nsid w:val="65801EC7"/>
    <w:multiLevelType w:val="hybridMultilevel"/>
    <w:tmpl w:val="D36A14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02" w15:restartNumberingAfterBreak="0">
    <w:nsid w:val="65D61D45"/>
    <w:multiLevelType w:val="hybridMultilevel"/>
    <w:tmpl w:val="8CA039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03" w15:restartNumberingAfterBreak="0">
    <w:nsid w:val="65FB16A3"/>
    <w:multiLevelType w:val="hybridMultilevel"/>
    <w:tmpl w:val="2D102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4" w15:restartNumberingAfterBreak="0">
    <w:nsid w:val="6714477E"/>
    <w:multiLevelType w:val="hybridMultilevel"/>
    <w:tmpl w:val="3ED262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5" w15:restartNumberingAfterBreak="0">
    <w:nsid w:val="6727114B"/>
    <w:multiLevelType w:val="hybridMultilevel"/>
    <w:tmpl w:val="D26AAF8E"/>
    <w:lvl w:ilvl="0" w:tplc="2AC2CBA2">
      <w:start w:val="1"/>
      <w:numFmt w:val="bullet"/>
      <w:lvlText w:val=""/>
      <w:lvlJc w:val="left"/>
      <w:pPr>
        <w:ind w:left="720" w:hanging="360"/>
      </w:pPr>
      <w:rPr>
        <w:rFonts w:ascii="Symbol" w:hAnsi="Symbol" w:hint="default"/>
        <w:lang w:bidi="he-IL"/>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6" w15:restartNumberingAfterBreak="0">
    <w:nsid w:val="67EA589A"/>
    <w:multiLevelType w:val="hybridMultilevel"/>
    <w:tmpl w:val="9A82D66E"/>
    <w:lvl w:ilvl="0" w:tplc="04090001">
      <w:start w:val="1"/>
      <w:numFmt w:val="bullet"/>
      <w:lvlText w:val=""/>
      <w:lvlJc w:val="left"/>
      <w:pPr>
        <w:ind w:left="785" w:hanging="360"/>
      </w:pPr>
      <w:rPr>
        <w:rFonts w:ascii="Symbol" w:hAnsi="Symbol" w:hint="default"/>
      </w:rPr>
    </w:lvl>
    <w:lvl w:ilvl="1" w:tplc="04090003" w:tentative="1">
      <w:start w:val="1"/>
      <w:numFmt w:val="bullet"/>
      <w:lvlText w:val="o"/>
      <w:lvlJc w:val="left"/>
      <w:pPr>
        <w:ind w:left="1505" w:hanging="360"/>
      </w:pPr>
      <w:rPr>
        <w:rFonts w:ascii="Courier New" w:hAnsi="Courier New" w:cs="Courier New" w:hint="default"/>
      </w:rPr>
    </w:lvl>
    <w:lvl w:ilvl="2" w:tplc="04090005" w:tentative="1">
      <w:start w:val="1"/>
      <w:numFmt w:val="bullet"/>
      <w:lvlText w:val=""/>
      <w:lvlJc w:val="left"/>
      <w:pPr>
        <w:ind w:left="2225" w:hanging="360"/>
      </w:pPr>
      <w:rPr>
        <w:rFonts w:ascii="Wingdings" w:hAnsi="Wingdings" w:hint="default"/>
      </w:rPr>
    </w:lvl>
    <w:lvl w:ilvl="3" w:tplc="04090001" w:tentative="1">
      <w:start w:val="1"/>
      <w:numFmt w:val="bullet"/>
      <w:lvlText w:val=""/>
      <w:lvlJc w:val="left"/>
      <w:pPr>
        <w:ind w:left="2945" w:hanging="360"/>
      </w:pPr>
      <w:rPr>
        <w:rFonts w:ascii="Symbol" w:hAnsi="Symbol" w:hint="default"/>
      </w:rPr>
    </w:lvl>
    <w:lvl w:ilvl="4" w:tplc="04090003" w:tentative="1">
      <w:start w:val="1"/>
      <w:numFmt w:val="bullet"/>
      <w:lvlText w:val="o"/>
      <w:lvlJc w:val="left"/>
      <w:pPr>
        <w:ind w:left="3665" w:hanging="360"/>
      </w:pPr>
      <w:rPr>
        <w:rFonts w:ascii="Courier New" w:hAnsi="Courier New" w:cs="Courier New" w:hint="default"/>
      </w:rPr>
    </w:lvl>
    <w:lvl w:ilvl="5" w:tplc="04090005" w:tentative="1">
      <w:start w:val="1"/>
      <w:numFmt w:val="bullet"/>
      <w:lvlText w:val=""/>
      <w:lvlJc w:val="left"/>
      <w:pPr>
        <w:ind w:left="4385" w:hanging="360"/>
      </w:pPr>
      <w:rPr>
        <w:rFonts w:ascii="Wingdings" w:hAnsi="Wingdings" w:hint="default"/>
      </w:rPr>
    </w:lvl>
    <w:lvl w:ilvl="6" w:tplc="04090001" w:tentative="1">
      <w:start w:val="1"/>
      <w:numFmt w:val="bullet"/>
      <w:lvlText w:val=""/>
      <w:lvlJc w:val="left"/>
      <w:pPr>
        <w:ind w:left="5105" w:hanging="360"/>
      </w:pPr>
      <w:rPr>
        <w:rFonts w:ascii="Symbol" w:hAnsi="Symbol" w:hint="default"/>
      </w:rPr>
    </w:lvl>
    <w:lvl w:ilvl="7" w:tplc="04090003" w:tentative="1">
      <w:start w:val="1"/>
      <w:numFmt w:val="bullet"/>
      <w:lvlText w:val="o"/>
      <w:lvlJc w:val="left"/>
      <w:pPr>
        <w:ind w:left="5825" w:hanging="360"/>
      </w:pPr>
      <w:rPr>
        <w:rFonts w:ascii="Courier New" w:hAnsi="Courier New" w:cs="Courier New" w:hint="default"/>
      </w:rPr>
    </w:lvl>
    <w:lvl w:ilvl="8" w:tplc="04090005" w:tentative="1">
      <w:start w:val="1"/>
      <w:numFmt w:val="bullet"/>
      <w:lvlText w:val=""/>
      <w:lvlJc w:val="left"/>
      <w:pPr>
        <w:ind w:left="6545" w:hanging="360"/>
      </w:pPr>
      <w:rPr>
        <w:rFonts w:ascii="Wingdings" w:hAnsi="Wingdings" w:hint="default"/>
      </w:rPr>
    </w:lvl>
  </w:abstractNum>
  <w:abstractNum w:abstractNumId="307" w15:restartNumberingAfterBreak="0">
    <w:nsid w:val="682F20B1"/>
    <w:multiLevelType w:val="hybridMultilevel"/>
    <w:tmpl w:val="0D2498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08" w15:restartNumberingAfterBreak="0">
    <w:nsid w:val="68B82B99"/>
    <w:multiLevelType w:val="hybridMultilevel"/>
    <w:tmpl w:val="7A6C06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9" w15:restartNumberingAfterBreak="0">
    <w:nsid w:val="68C054B8"/>
    <w:multiLevelType w:val="hybridMultilevel"/>
    <w:tmpl w:val="D07E0B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0" w15:restartNumberingAfterBreak="0">
    <w:nsid w:val="68C3584A"/>
    <w:multiLevelType w:val="hybridMultilevel"/>
    <w:tmpl w:val="9140C2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1" w15:restartNumberingAfterBreak="0">
    <w:nsid w:val="68FE1C1A"/>
    <w:multiLevelType w:val="hybridMultilevel"/>
    <w:tmpl w:val="90BC17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2" w15:restartNumberingAfterBreak="0">
    <w:nsid w:val="6923317F"/>
    <w:multiLevelType w:val="hybridMultilevel"/>
    <w:tmpl w:val="237A45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13" w15:restartNumberingAfterBreak="0">
    <w:nsid w:val="693F68CA"/>
    <w:multiLevelType w:val="hybridMultilevel"/>
    <w:tmpl w:val="342AB0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14" w15:restartNumberingAfterBreak="0">
    <w:nsid w:val="694D07A3"/>
    <w:multiLevelType w:val="hybridMultilevel"/>
    <w:tmpl w:val="2ECCC560"/>
    <w:lvl w:ilvl="0" w:tplc="04090001">
      <w:start w:val="1"/>
      <w:numFmt w:val="bullet"/>
      <w:lvlText w:val=""/>
      <w:lvlJc w:val="left"/>
      <w:pPr>
        <w:ind w:left="785" w:hanging="360"/>
      </w:pPr>
      <w:rPr>
        <w:rFonts w:ascii="Symbol" w:hAnsi="Symbol" w:hint="default"/>
      </w:rPr>
    </w:lvl>
    <w:lvl w:ilvl="1" w:tplc="04090003" w:tentative="1">
      <w:start w:val="1"/>
      <w:numFmt w:val="bullet"/>
      <w:lvlText w:val="o"/>
      <w:lvlJc w:val="left"/>
      <w:pPr>
        <w:ind w:left="1505" w:hanging="360"/>
      </w:pPr>
      <w:rPr>
        <w:rFonts w:ascii="Courier New" w:hAnsi="Courier New" w:cs="Courier New" w:hint="default"/>
      </w:rPr>
    </w:lvl>
    <w:lvl w:ilvl="2" w:tplc="04090005" w:tentative="1">
      <w:start w:val="1"/>
      <w:numFmt w:val="bullet"/>
      <w:lvlText w:val=""/>
      <w:lvlJc w:val="left"/>
      <w:pPr>
        <w:ind w:left="2225" w:hanging="360"/>
      </w:pPr>
      <w:rPr>
        <w:rFonts w:ascii="Wingdings" w:hAnsi="Wingdings" w:hint="default"/>
      </w:rPr>
    </w:lvl>
    <w:lvl w:ilvl="3" w:tplc="04090001" w:tentative="1">
      <w:start w:val="1"/>
      <w:numFmt w:val="bullet"/>
      <w:lvlText w:val=""/>
      <w:lvlJc w:val="left"/>
      <w:pPr>
        <w:ind w:left="2945" w:hanging="360"/>
      </w:pPr>
      <w:rPr>
        <w:rFonts w:ascii="Symbol" w:hAnsi="Symbol" w:hint="default"/>
      </w:rPr>
    </w:lvl>
    <w:lvl w:ilvl="4" w:tplc="04090003" w:tentative="1">
      <w:start w:val="1"/>
      <w:numFmt w:val="bullet"/>
      <w:lvlText w:val="o"/>
      <w:lvlJc w:val="left"/>
      <w:pPr>
        <w:ind w:left="3665" w:hanging="360"/>
      </w:pPr>
      <w:rPr>
        <w:rFonts w:ascii="Courier New" w:hAnsi="Courier New" w:cs="Courier New" w:hint="default"/>
      </w:rPr>
    </w:lvl>
    <w:lvl w:ilvl="5" w:tplc="04090005" w:tentative="1">
      <w:start w:val="1"/>
      <w:numFmt w:val="bullet"/>
      <w:lvlText w:val=""/>
      <w:lvlJc w:val="left"/>
      <w:pPr>
        <w:ind w:left="4385" w:hanging="360"/>
      </w:pPr>
      <w:rPr>
        <w:rFonts w:ascii="Wingdings" w:hAnsi="Wingdings" w:hint="default"/>
      </w:rPr>
    </w:lvl>
    <w:lvl w:ilvl="6" w:tplc="04090001" w:tentative="1">
      <w:start w:val="1"/>
      <w:numFmt w:val="bullet"/>
      <w:lvlText w:val=""/>
      <w:lvlJc w:val="left"/>
      <w:pPr>
        <w:ind w:left="5105" w:hanging="360"/>
      </w:pPr>
      <w:rPr>
        <w:rFonts w:ascii="Symbol" w:hAnsi="Symbol" w:hint="default"/>
      </w:rPr>
    </w:lvl>
    <w:lvl w:ilvl="7" w:tplc="04090003" w:tentative="1">
      <w:start w:val="1"/>
      <w:numFmt w:val="bullet"/>
      <w:lvlText w:val="o"/>
      <w:lvlJc w:val="left"/>
      <w:pPr>
        <w:ind w:left="5825" w:hanging="360"/>
      </w:pPr>
      <w:rPr>
        <w:rFonts w:ascii="Courier New" w:hAnsi="Courier New" w:cs="Courier New" w:hint="default"/>
      </w:rPr>
    </w:lvl>
    <w:lvl w:ilvl="8" w:tplc="04090005" w:tentative="1">
      <w:start w:val="1"/>
      <w:numFmt w:val="bullet"/>
      <w:lvlText w:val=""/>
      <w:lvlJc w:val="left"/>
      <w:pPr>
        <w:ind w:left="6545" w:hanging="360"/>
      </w:pPr>
      <w:rPr>
        <w:rFonts w:ascii="Wingdings" w:hAnsi="Wingdings" w:hint="default"/>
      </w:rPr>
    </w:lvl>
  </w:abstractNum>
  <w:abstractNum w:abstractNumId="315" w15:restartNumberingAfterBreak="0">
    <w:nsid w:val="69A82421"/>
    <w:multiLevelType w:val="hybridMultilevel"/>
    <w:tmpl w:val="79669B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16" w15:restartNumberingAfterBreak="0">
    <w:nsid w:val="6A127556"/>
    <w:multiLevelType w:val="hybridMultilevel"/>
    <w:tmpl w:val="82D00C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7" w15:restartNumberingAfterBreak="0">
    <w:nsid w:val="6A7307B7"/>
    <w:multiLevelType w:val="hybridMultilevel"/>
    <w:tmpl w:val="7AC67D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18" w15:restartNumberingAfterBreak="0">
    <w:nsid w:val="6A8708E1"/>
    <w:multiLevelType w:val="hybridMultilevel"/>
    <w:tmpl w:val="7E6EB8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19" w15:restartNumberingAfterBreak="0">
    <w:nsid w:val="6A940A6D"/>
    <w:multiLevelType w:val="hybridMultilevel"/>
    <w:tmpl w:val="B97EC7F6"/>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0" w15:restartNumberingAfterBreak="0">
    <w:nsid w:val="6A947375"/>
    <w:multiLevelType w:val="hybridMultilevel"/>
    <w:tmpl w:val="750EFCA4"/>
    <w:lvl w:ilvl="0" w:tplc="E1E0CD04">
      <w:start w:val="1"/>
      <w:numFmt w:val="bullet"/>
      <w:lvlText w:val=""/>
      <w:lvlJc w:val="left"/>
      <w:pPr>
        <w:ind w:left="720" w:hanging="360"/>
      </w:pPr>
      <w:rPr>
        <w:rFonts w:ascii="Symbol" w:hAnsi="Symbol" w:hint="default"/>
        <w:lang w:bidi="he-IL"/>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21" w15:restartNumberingAfterBreak="0">
    <w:nsid w:val="6A9E7321"/>
    <w:multiLevelType w:val="hybridMultilevel"/>
    <w:tmpl w:val="A9FEED1A"/>
    <w:lvl w:ilvl="0" w:tplc="E1E0CD04">
      <w:start w:val="1"/>
      <w:numFmt w:val="bullet"/>
      <w:lvlText w:val=""/>
      <w:lvlJc w:val="left"/>
      <w:pPr>
        <w:ind w:left="720" w:hanging="360"/>
      </w:pPr>
      <w:rPr>
        <w:rFonts w:ascii="Symbol" w:hAnsi="Symbol" w:hint="default"/>
        <w:lang w:bidi="he-IL"/>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22" w15:restartNumberingAfterBreak="0">
    <w:nsid w:val="6AC379FB"/>
    <w:multiLevelType w:val="hybridMultilevel"/>
    <w:tmpl w:val="478E92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23" w15:restartNumberingAfterBreak="0">
    <w:nsid w:val="6BBF39C6"/>
    <w:multiLevelType w:val="hybridMultilevel"/>
    <w:tmpl w:val="1D48A4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4" w15:restartNumberingAfterBreak="0">
    <w:nsid w:val="6BCE1F0D"/>
    <w:multiLevelType w:val="hybridMultilevel"/>
    <w:tmpl w:val="B9E2C4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5" w15:restartNumberingAfterBreak="0">
    <w:nsid w:val="6BE5108F"/>
    <w:multiLevelType w:val="hybridMultilevel"/>
    <w:tmpl w:val="DC0A15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26" w15:restartNumberingAfterBreak="0">
    <w:nsid w:val="6CB23C62"/>
    <w:multiLevelType w:val="hybridMultilevel"/>
    <w:tmpl w:val="5CF0E8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7" w15:restartNumberingAfterBreak="0">
    <w:nsid w:val="6CF83678"/>
    <w:multiLevelType w:val="hybridMultilevel"/>
    <w:tmpl w:val="D05841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28" w15:restartNumberingAfterBreak="0">
    <w:nsid w:val="6D3B47BB"/>
    <w:multiLevelType w:val="hybridMultilevel"/>
    <w:tmpl w:val="1EA622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9" w15:restartNumberingAfterBreak="0">
    <w:nsid w:val="6D7F6517"/>
    <w:multiLevelType w:val="hybridMultilevel"/>
    <w:tmpl w:val="C6ECD2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0" w15:restartNumberingAfterBreak="0">
    <w:nsid w:val="6E3525C4"/>
    <w:multiLevelType w:val="hybridMultilevel"/>
    <w:tmpl w:val="327AFB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1" w15:restartNumberingAfterBreak="0">
    <w:nsid w:val="6E865344"/>
    <w:multiLevelType w:val="hybridMultilevel"/>
    <w:tmpl w:val="51EEAD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32" w15:restartNumberingAfterBreak="0">
    <w:nsid w:val="6F8D53D1"/>
    <w:multiLevelType w:val="hybridMultilevel"/>
    <w:tmpl w:val="755237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3" w15:restartNumberingAfterBreak="0">
    <w:nsid w:val="6FC65165"/>
    <w:multiLevelType w:val="hybridMultilevel"/>
    <w:tmpl w:val="9F527B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4" w15:restartNumberingAfterBreak="0">
    <w:nsid w:val="70FB2192"/>
    <w:multiLevelType w:val="hybridMultilevel"/>
    <w:tmpl w:val="42D073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5" w15:restartNumberingAfterBreak="0">
    <w:nsid w:val="71064386"/>
    <w:multiLevelType w:val="hybridMultilevel"/>
    <w:tmpl w:val="54105B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6" w15:restartNumberingAfterBreak="0">
    <w:nsid w:val="71406179"/>
    <w:multiLevelType w:val="hybridMultilevel"/>
    <w:tmpl w:val="852456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7" w15:restartNumberingAfterBreak="0">
    <w:nsid w:val="71B577CA"/>
    <w:multiLevelType w:val="hybridMultilevel"/>
    <w:tmpl w:val="39E68A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8" w15:restartNumberingAfterBreak="0">
    <w:nsid w:val="724C1BEE"/>
    <w:multiLevelType w:val="hybridMultilevel"/>
    <w:tmpl w:val="D6421FEC"/>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9" w15:restartNumberingAfterBreak="0">
    <w:nsid w:val="725C7D73"/>
    <w:multiLevelType w:val="hybridMultilevel"/>
    <w:tmpl w:val="93140A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40" w15:restartNumberingAfterBreak="0">
    <w:nsid w:val="72630408"/>
    <w:multiLevelType w:val="hybridMultilevel"/>
    <w:tmpl w:val="0F3003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1" w15:restartNumberingAfterBreak="0">
    <w:nsid w:val="729917CF"/>
    <w:multiLevelType w:val="hybridMultilevel"/>
    <w:tmpl w:val="5F0A6F36"/>
    <w:lvl w:ilvl="0" w:tplc="672A1862">
      <w:start w:val="1"/>
      <w:numFmt w:val="bullet"/>
      <w:lvlText w:val=""/>
      <w:lvlJc w:val="left"/>
      <w:pPr>
        <w:ind w:left="720" w:hanging="360"/>
      </w:pPr>
      <w:rPr>
        <w:rFonts w:ascii="Symbol" w:hAnsi="Symbol" w:hint="default"/>
        <w:lang w:bidi="he-IL"/>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42" w15:restartNumberingAfterBreak="0">
    <w:nsid w:val="72C25752"/>
    <w:multiLevelType w:val="hybridMultilevel"/>
    <w:tmpl w:val="46BC1F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3" w15:restartNumberingAfterBreak="0">
    <w:nsid w:val="72D82811"/>
    <w:multiLevelType w:val="hybridMultilevel"/>
    <w:tmpl w:val="256E58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4" w15:restartNumberingAfterBreak="0">
    <w:nsid w:val="72EF07D9"/>
    <w:multiLevelType w:val="hybridMultilevel"/>
    <w:tmpl w:val="60F4DC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5" w15:restartNumberingAfterBreak="0">
    <w:nsid w:val="73387E42"/>
    <w:multiLevelType w:val="hybridMultilevel"/>
    <w:tmpl w:val="DEF4F2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46" w15:restartNumberingAfterBreak="0">
    <w:nsid w:val="73A3787D"/>
    <w:multiLevelType w:val="hybridMultilevel"/>
    <w:tmpl w:val="C9289B6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47" w15:restartNumberingAfterBreak="0">
    <w:nsid w:val="73A857CB"/>
    <w:multiLevelType w:val="hybridMultilevel"/>
    <w:tmpl w:val="79F8A7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8" w15:restartNumberingAfterBreak="0">
    <w:nsid w:val="73BB0C47"/>
    <w:multiLevelType w:val="hybridMultilevel"/>
    <w:tmpl w:val="A4E442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9" w15:restartNumberingAfterBreak="0">
    <w:nsid w:val="73E2051A"/>
    <w:multiLevelType w:val="hybridMultilevel"/>
    <w:tmpl w:val="F154ED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0" w15:restartNumberingAfterBreak="0">
    <w:nsid w:val="742C0ADE"/>
    <w:multiLevelType w:val="hybridMultilevel"/>
    <w:tmpl w:val="133E86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1" w15:restartNumberingAfterBreak="0">
    <w:nsid w:val="74896DE6"/>
    <w:multiLevelType w:val="hybridMultilevel"/>
    <w:tmpl w:val="8F122E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2" w15:restartNumberingAfterBreak="0">
    <w:nsid w:val="74FD523F"/>
    <w:multiLevelType w:val="hybridMultilevel"/>
    <w:tmpl w:val="6524A3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53" w15:restartNumberingAfterBreak="0">
    <w:nsid w:val="752443BC"/>
    <w:multiLevelType w:val="hybridMultilevel"/>
    <w:tmpl w:val="F8D4A1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4" w15:restartNumberingAfterBreak="0">
    <w:nsid w:val="757E44B3"/>
    <w:multiLevelType w:val="hybridMultilevel"/>
    <w:tmpl w:val="0D5ABBE6"/>
    <w:lvl w:ilvl="0" w:tplc="9C3AD5AE">
      <w:start w:val="1"/>
      <w:numFmt w:val="bullet"/>
      <w:lvlText w:val=""/>
      <w:lvlJc w:val="left"/>
      <w:pPr>
        <w:ind w:left="720" w:hanging="360"/>
      </w:pPr>
      <w:rPr>
        <w:rFonts w:ascii="Symbol" w:hAnsi="Symbol" w:hint="default"/>
        <w:lang w:bidi="he-IL"/>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55" w15:restartNumberingAfterBreak="0">
    <w:nsid w:val="75CC5A96"/>
    <w:multiLevelType w:val="hybridMultilevel"/>
    <w:tmpl w:val="DD349F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6" w15:restartNumberingAfterBreak="0">
    <w:nsid w:val="75F75E7D"/>
    <w:multiLevelType w:val="hybridMultilevel"/>
    <w:tmpl w:val="694620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57" w15:restartNumberingAfterBreak="0">
    <w:nsid w:val="768E069E"/>
    <w:multiLevelType w:val="hybridMultilevel"/>
    <w:tmpl w:val="0CE29B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8" w15:restartNumberingAfterBreak="0">
    <w:nsid w:val="76A73622"/>
    <w:multiLevelType w:val="hybridMultilevel"/>
    <w:tmpl w:val="8FDA2F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59" w15:restartNumberingAfterBreak="0">
    <w:nsid w:val="771F2F31"/>
    <w:multiLevelType w:val="hybridMultilevel"/>
    <w:tmpl w:val="4F549E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60" w15:restartNumberingAfterBreak="0">
    <w:nsid w:val="77217EB4"/>
    <w:multiLevelType w:val="hybridMultilevel"/>
    <w:tmpl w:val="393AC6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61" w15:restartNumberingAfterBreak="0">
    <w:nsid w:val="77356F1E"/>
    <w:multiLevelType w:val="hybridMultilevel"/>
    <w:tmpl w:val="65921E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2" w15:restartNumberingAfterBreak="0">
    <w:nsid w:val="77AE3093"/>
    <w:multiLevelType w:val="hybridMultilevel"/>
    <w:tmpl w:val="3F1A59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63" w15:restartNumberingAfterBreak="0">
    <w:nsid w:val="7811094E"/>
    <w:multiLevelType w:val="hybridMultilevel"/>
    <w:tmpl w:val="723CD7D8"/>
    <w:lvl w:ilvl="0" w:tplc="E1E0CD04">
      <w:start w:val="1"/>
      <w:numFmt w:val="bullet"/>
      <w:lvlText w:val=""/>
      <w:lvlJc w:val="left"/>
      <w:pPr>
        <w:ind w:left="720" w:hanging="360"/>
      </w:pPr>
      <w:rPr>
        <w:rFonts w:ascii="Symbol" w:hAnsi="Symbol" w:hint="default"/>
        <w:lang w:bidi="he-IL"/>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64" w15:restartNumberingAfterBreak="0">
    <w:nsid w:val="78AF2002"/>
    <w:multiLevelType w:val="hybridMultilevel"/>
    <w:tmpl w:val="3D8237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65" w15:restartNumberingAfterBreak="0">
    <w:nsid w:val="78DB49AC"/>
    <w:multiLevelType w:val="hybridMultilevel"/>
    <w:tmpl w:val="0F8E1C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6" w15:restartNumberingAfterBreak="0">
    <w:nsid w:val="797B43F2"/>
    <w:multiLevelType w:val="hybridMultilevel"/>
    <w:tmpl w:val="5FFE29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67" w15:restartNumberingAfterBreak="0">
    <w:nsid w:val="7A0B3C98"/>
    <w:multiLevelType w:val="hybridMultilevel"/>
    <w:tmpl w:val="8392F4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8" w15:restartNumberingAfterBreak="0">
    <w:nsid w:val="7A252E06"/>
    <w:multiLevelType w:val="hybridMultilevel"/>
    <w:tmpl w:val="A9302C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9" w15:restartNumberingAfterBreak="0">
    <w:nsid w:val="7B3200D3"/>
    <w:multiLevelType w:val="hybridMultilevel"/>
    <w:tmpl w:val="81B0DF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0" w15:restartNumberingAfterBreak="0">
    <w:nsid w:val="7B6C2789"/>
    <w:multiLevelType w:val="hybridMultilevel"/>
    <w:tmpl w:val="D122B8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71" w15:restartNumberingAfterBreak="0">
    <w:nsid w:val="7BAA0C7B"/>
    <w:multiLevelType w:val="hybridMultilevel"/>
    <w:tmpl w:val="0926615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72" w15:restartNumberingAfterBreak="0">
    <w:nsid w:val="7BB804AE"/>
    <w:multiLevelType w:val="hybridMultilevel"/>
    <w:tmpl w:val="20DAC5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73" w15:restartNumberingAfterBreak="0">
    <w:nsid w:val="7BF52807"/>
    <w:multiLevelType w:val="hybridMultilevel"/>
    <w:tmpl w:val="980A4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4" w15:restartNumberingAfterBreak="0">
    <w:nsid w:val="7CC42DF1"/>
    <w:multiLevelType w:val="hybridMultilevel"/>
    <w:tmpl w:val="C556EB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5" w15:restartNumberingAfterBreak="0">
    <w:nsid w:val="7D69065C"/>
    <w:multiLevelType w:val="hybridMultilevel"/>
    <w:tmpl w:val="622A44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6" w15:restartNumberingAfterBreak="0">
    <w:nsid w:val="7D847816"/>
    <w:multiLevelType w:val="hybridMultilevel"/>
    <w:tmpl w:val="5B683FA2"/>
    <w:lvl w:ilvl="0" w:tplc="04090001">
      <w:start w:val="1"/>
      <w:numFmt w:val="bullet"/>
      <w:lvlText w:val=""/>
      <w:lvlJc w:val="left"/>
      <w:pPr>
        <w:ind w:left="720" w:hanging="360"/>
      </w:pPr>
      <w:rPr>
        <w:rFonts w:ascii="Symbol" w:hAnsi="Symbol" w:hint="default"/>
      </w:rPr>
    </w:lvl>
    <w:lvl w:ilvl="1" w:tplc="04090007">
      <w:start w:val="1"/>
      <w:numFmt w:val="bullet"/>
      <w:lvlText w:val=""/>
      <w:lvlPicBulletId w:val="0"/>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77" w15:restartNumberingAfterBreak="0">
    <w:nsid w:val="7F7B6F85"/>
    <w:multiLevelType w:val="hybridMultilevel"/>
    <w:tmpl w:val="28885986"/>
    <w:lvl w:ilvl="0" w:tplc="04090001">
      <w:start w:val="1"/>
      <w:numFmt w:val="bullet"/>
      <w:lvlText w:val=""/>
      <w:lvlJc w:val="left"/>
      <w:pPr>
        <w:ind w:left="785" w:hanging="360"/>
      </w:pPr>
      <w:rPr>
        <w:rFonts w:ascii="Symbol" w:hAnsi="Symbol" w:hint="default"/>
      </w:rPr>
    </w:lvl>
    <w:lvl w:ilvl="1" w:tplc="04090003" w:tentative="1">
      <w:start w:val="1"/>
      <w:numFmt w:val="bullet"/>
      <w:lvlText w:val="o"/>
      <w:lvlJc w:val="left"/>
      <w:pPr>
        <w:ind w:left="1505" w:hanging="360"/>
      </w:pPr>
      <w:rPr>
        <w:rFonts w:ascii="Courier New" w:hAnsi="Courier New" w:cs="Courier New" w:hint="default"/>
      </w:rPr>
    </w:lvl>
    <w:lvl w:ilvl="2" w:tplc="04090005" w:tentative="1">
      <w:start w:val="1"/>
      <w:numFmt w:val="bullet"/>
      <w:lvlText w:val=""/>
      <w:lvlJc w:val="left"/>
      <w:pPr>
        <w:ind w:left="2225" w:hanging="360"/>
      </w:pPr>
      <w:rPr>
        <w:rFonts w:ascii="Wingdings" w:hAnsi="Wingdings" w:hint="default"/>
      </w:rPr>
    </w:lvl>
    <w:lvl w:ilvl="3" w:tplc="04090001" w:tentative="1">
      <w:start w:val="1"/>
      <w:numFmt w:val="bullet"/>
      <w:lvlText w:val=""/>
      <w:lvlJc w:val="left"/>
      <w:pPr>
        <w:ind w:left="2945" w:hanging="360"/>
      </w:pPr>
      <w:rPr>
        <w:rFonts w:ascii="Symbol" w:hAnsi="Symbol" w:hint="default"/>
      </w:rPr>
    </w:lvl>
    <w:lvl w:ilvl="4" w:tplc="04090003" w:tentative="1">
      <w:start w:val="1"/>
      <w:numFmt w:val="bullet"/>
      <w:lvlText w:val="o"/>
      <w:lvlJc w:val="left"/>
      <w:pPr>
        <w:ind w:left="3665" w:hanging="360"/>
      </w:pPr>
      <w:rPr>
        <w:rFonts w:ascii="Courier New" w:hAnsi="Courier New" w:cs="Courier New" w:hint="default"/>
      </w:rPr>
    </w:lvl>
    <w:lvl w:ilvl="5" w:tplc="04090005" w:tentative="1">
      <w:start w:val="1"/>
      <w:numFmt w:val="bullet"/>
      <w:lvlText w:val=""/>
      <w:lvlJc w:val="left"/>
      <w:pPr>
        <w:ind w:left="4385" w:hanging="360"/>
      </w:pPr>
      <w:rPr>
        <w:rFonts w:ascii="Wingdings" w:hAnsi="Wingdings" w:hint="default"/>
      </w:rPr>
    </w:lvl>
    <w:lvl w:ilvl="6" w:tplc="04090001" w:tentative="1">
      <w:start w:val="1"/>
      <w:numFmt w:val="bullet"/>
      <w:lvlText w:val=""/>
      <w:lvlJc w:val="left"/>
      <w:pPr>
        <w:ind w:left="5105" w:hanging="360"/>
      </w:pPr>
      <w:rPr>
        <w:rFonts w:ascii="Symbol" w:hAnsi="Symbol" w:hint="default"/>
      </w:rPr>
    </w:lvl>
    <w:lvl w:ilvl="7" w:tplc="04090003" w:tentative="1">
      <w:start w:val="1"/>
      <w:numFmt w:val="bullet"/>
      <w:lvlText w:val="o"/>
      <w:lvlJc w:val="left"/>
      <w:pPr>
        <w:ind w:left="5825" w:hanging="360"/>
      </w:pPr>
      <w:rPr>
        <w:rFonts w:ascii="Courier New" w:hAnsi="Courier New" w:cs="Courier New" w:hint="default"/>
      </w:rPr>
    </w:lvl>
    <w:lvl w:ilvl="8" w:tplc="04090005" w:tentative="1">
      <w:start w:val="1"/>
      <w:numFmt w:val="bullet"/>
      <w:lvlText w:val=""/>
      <w:lvlJc w:val="left"/>
      <w:pPr>
        <w:ind w:left="6545" w:hanging="360"/>
      </w:pPr>
      <w:rPr>
        <w:rFonts w:ascii="Wingdings" w:hAnsi="Wingdings" w:hint="default"/>
      </w:rPr>
    </w:lvl>
  </w:abstractNum>
  <w:abstractNum w:abstractNumId="378" w15:restartNumberingAfterBreak="0">
    <w:nsid w:val="7F8272AE"/>
    <w:multiLevelType w:val="hybridMultilevel"/>
    <w:tmpl w:val="891EEC94"/>
    <w:lvl w:ilvl="0" w:tplc="672A1862">
      <w:start w:val="1"/>
      <w:numFmt w:val="bullet"/>
      <w:lvlText w:val=""/>
      <w:lvlJc w:val="left"/>
      <w:pPr>
        <w:ind w:left="720" w:hanging="360"/>
      </w:pPr>
      <w:rPr>
        <w:rFonts w:ascii="Symbol" w:hAnsi="Symbol" w:hint="default"/>
        <w:lang w:bidi="he-IL"/>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342710981">
    <w:abstractNumId w:val="97"/>
  </w:num>
  <w:num w:numId="2" w16cid:durableId="2059435171">
    <w:abstractNumId w:val="70"/>
  </w:num>
  <w:num w:numId="3" w16cid:durableId="1905069141">
    <w:abstractNumId w:val="353"/>
  </w:num>
  <w:num w:numId="4" w16cid:durableId="1524786377">
    <w:abstractNumId w:val="211"/>
  </w:num>
  <w:num w:numId="5" w16cid:durableId="315571840">
    <w:abstractNumId w:val="222"/>
  </w:num>
  <w:num w:numId="6" w16cid:durableId="646477559">
    <w:abstractNumId w:val="373"/>
  </w:num>
  <w:num w:numId="7" w16cid:durableId="1080520663">
    <w:abstractNumId w:val="55"/>
  </w:num>
  <w:num w:numId="8" w16cid:durableId="802622231">
    <w:abstractNumId w:val="216"/>
  </w:num>
  <w:num w:numId="9" w16cid:durableId="264576834">
    <w:abstractNumId w:val="22"/>
  </w:num>
  <w:num w:numId="10" w16cid:durableId="395318809">
    <w:abstractNumId w:val="287"/>
  </w:num>
  <w:num w:numId="11" w16cid:durableId="2035694960">
    <w:abstractNumId w:val="85"/>
  </w:num>
  <w:num w:numId="12" w16cid:durableId="1677032859">
    <w:abstractNumId w:val="212"/>
  </w:num>
  <w:num w:numId="13" w16cid:durableId="948704486">
    <w:abstractNumId w:val="105"/>
  </w:num>
  <w:num w:numId="14" w16cid:durableId="747725504">
    <w:abstractNumId w:val="6"/>
  </w:num>
  <w:num w:numId="15" w16cid:durableId="921841317">
    <w:abstractNumId w:val="269"/>
  </w:num>
  <w:num w:numId="16" w16cid:durableId="284386851">
    <w:abstractNumId w:val="274"/>
  </w:num>
  <w:num w:numId="17" w16cid:durableId="1882590677">
    <w:abstractNumId w:val="30"/>
  </w:num>
  <w:num w:numId="18" w16cid:durableId="744448935">
    <w:abstractNumId w:val="16"/>
  </w:num>
  <w:num w:numId="19" w16cid:durableId="257715855">
    <w:abstractNumId w:val="198"/>
  </w:num>
  <w:num w:numId="20" w16cid:durableId="525336638">
    <w:abstractNumId w:val="45"/>
  </w:num>
  <w:num w:numId="21" w16cid:durableId="1536384530">
    <w:abstractNumId w:val="132"/>
  </w:num>
  <w:num w:numId="22" w16cid:durableId="1070228476">
    <w:abstractNumId w:val="166"/>
  </w:num>
  <w:num w:numId="23" w16cid:durableId="890271345">
    <w:abstractNumId w:val="203"/>
  </w:num>
  <w:num w:numId="24" w16cid:durableId="253437029">
    <w:abstractNumId w:val="108"/>
  </w:num>
  <w:num w:numId="25" w16cid:durableId="1613245755">
    <w:abstractNumId w:val="180"/>
  </w:num>
  <w:num w:numId="26" w16cid:durableId="464390657">
    <w:abstractNumId w:val="288"/>
  </w:num>
  <w:num w:numId="27" w16cid:durableId="1765953640">
    <w:abstractNumId w:val="242"/>
  </w:num>
  <w:num w:numId="28" w16cid:durableId="895048708">
    <w:abstractNumId w:val="155"/>
  </w:num>
  <w:num w:numId="29" w16cid:durableId="10451883">
    <w:abstractNumId w:val="347"/>
  </w:num>
  <w:num w:numId="30" w16cid:durableId="1348868130">
    <w:abstractNumId w:val="189"/>
  </w:num>
  <w:num w:numId="31" w16cid:durableId="1400863888">
    <w:abstractNumId w:val="255"/>
  </w:num>
  <w:num w:numId="32" w16cid:durableId="580288046">
    <w:abstractNumId w:val="367"/>
  </w:num>
  <w:num w:numId="33" w16cid:durableId="1186748024">
    <w:abstractNumId w:val="336"/>
  </w:num>
  <w:num w:numId="34" w16cid:durableId="1921285263">
    <w:abstractNumId w:val="169"/>
  </w:num>
  <w:num w:numId="35" w16cid:durableId="1791237880">
    <w:abstractNumId w:val="87"/>
  </w:num>
  <w:num w:numId="36" w16cid:durableId="270431735">
    <w:abstractNumId w:val="340"/>
  </w:num>
  <w:num w:numId="37" w16cid:durableId="1567762403">
    <w:abstractNumId w:val="79"/>
  </w:num>
  <w:num w:numId="38" w16cid:durableId="1981760238">
    <w:abstractNumId w:val="185"/>
  </w:num>
  <w:num w:numId="39" w16cid:durableId="141506628">
    <w:abstractNumId w:val="15"/>
  </w:num>
  <w:num w:numId="40" w16cid:durableId="2111462873">
    <w:abstractNumId w:val="53"/>
  </w:num>
  <w:num w:numId="41" w16cid:durableId="1847091427">
    <w:abstractNumId w:val="280"/>
  </w:num>
  <w:num w:numId="42" w16cid:durableId="548297514">
    <w:abstractNumId w:val="335"/>
  </w:num>
  <w:num w:numId="43" w16cid:durableId="93746052">
    <w:abstractNumId w:val="21"/>
  </w:num>
  <w:num w:numId="44" w16cid:durableId="844057464">
    <w:abstractNumId w:val="375"/>
  </w:num>
  <w:num w:numId="45" w16cid:durableId="1204292278">
    <w:abstractNumId w:val="17"/>
  </w:num>
  <w:num w:numId="46" w16cid:durableId="1822043007">
    <w:abstractNumId w:val="278"/>
  </w:num>
  <w:num w:numId="47" w16cid:durableId="1535271061">
    <w:abstractNumId w:val="14"/>
  </w:num>
  <w:num w:numId="48" w16cid:durableId="1957524557">
    <w:abstractNumId w:val="156"/>
  </w:num>
  <w:num w:numId="49" w16cid:durableId="2139376135">
    <w:abstractNumId w:val="136"/>
  </w:num>
  <w:num w:numId="50" w16cid:durableId="1457993159">
    <w:abstractNumId w:val="137"/>
  </w:num>
  <w:num w:numId="51" w16cid:durableId="1341005184">
    <w:abstractNumId w:val="258"/>
  </w:num>
  <w:num w:numId="52" w16cid:durableId="2021815841">
    <w:abstractNumId w:val="256"/>
  </w:num>
  <w:num w:numId="53" w16cid:durableId="1468740852">
    <w:abstractNumId w:val="206"/>
  </w:num>
  <w:num w:numId="54" w16cid:durableId="492061887">
    <w:abstractNumId w:val="303"/>
  </w:num>
  <w:num w:numId="55" w16cid:durableId="592207332">
    <w:abstractNumId w:val="286"/>
  </w:num>
  <w:num w:numId="56" w16cid:durableId="1639920848">
    <w:abstractNumId w:val="333"/>
  </w:num>
  <w:num w:numId="57" w16cid:durableId="1649633352">
    <w:abstractNumId w:val="106"/>
  </w:num>
  <w:num w:numId="58" w16cid:durableId="1937010978">
    <w:abstractNumId w:val="86"/>
  </w:num>
  <w:num w:numId="59" w16cid:durableId="1138230694">
    <w:abstractNumId w:val="202"/>
  </w:num>
  <w:num w:numId="60" w16cid:durableId="533345246">
    <w:abstractNumId w:val="4"/>
  </w:num>
  <w:num w:numId="61" w16cid:durableId="1754814147">
    <w:abstractNumId w:val="133"/>
  </w:num>
  <w:num w:numId="62" w16cid:durableId="2088920735">
    <w:abstractNumId w:val="248"/>
  </w:num>
  <w:num w:numId="63" w16cid:durableId="1420910368">
    <w:abstractNumId w:val="101"/>
  </w:num>
  <w:num w:numId="64" w16cid:durableId="1468814521">
    <w:abstractNumId w:val="68"/>
  </w:num>
  <w:num w:numId="65" w16cid:durableId="86586247">
    <w:abstractNumId w:val="176"/>
  </w:num>
  <w:num w:numId="66" w16cid:durableId="1040010117">
    <w:abstractNumId w:val="323"/>
  </w:num>
  <w:num w:numId="67" w16cid:durableId="1935360403">
    <w:abstractNumId w:val="69"/>
  </w:num>
  <w:num w:numId="68" w16cid:durableId="1791316466">
    <w:abstractNumId w:val="234"/>
  </w:num>
  <w:num w:numId="69" w16cid:durableId="1865435092">
    <w:abstractNumId w:val="26"/>
  </w:num>
  <w:num w:numId="70" w16cid:durableId="152263494">
    <w:abstractNumId w:val="276"/>
  </w:num>
  <w:num w:numId="71" w16cid:durableId="1446466172">
    <w:abstractNumId w:val="330"/>
  </w:num>
  <w:num w:numId="72" w16cid:durableId="1214001396">
    <w:abstractNumId w:val="213"/>
  </w:num>
  <w:num w:numId="73" w16cid:durableId="1540706018">
    <w:abstractNumId w:val="267"/>
  </w:num>
  <w:num w:numId="74" w16cid:durableId="1287933633">
    <w:abstractNumId w:val="63"/>
  </w:num>
  <w:num w:numId="75" w16cid:durableId="1681078350">
    <w:abstractNumId w:val="89"/>
  </w:num>
  <w:num w:numId="76" w16cid:durableId="1938562260">
    <w:abstractNumId w:val="51"/>
  </w:num>
  <w:num w:numId="77" w16cid:durableId="1926379588">
    <w:abstractNumId w:val="41"/>
  </w:num>
  <w:num w:numId="78" w16cid:durableId="1749306941">
    <w:abstractNumId w:val="305"/>
  </w:num>
  <w:num w:numId="79" w16cid:durableId="613171833">
    <w:abstractNumId w:val="94"/>
  </w:num>
  <w:num w:numId="80" w16cid:durableId="1268581620">
    <w:abstractNumId w:val="328"/>
  </w:num>
  <w:num w:numId="81" w16cid:durableId="226500395">
    <w:abstractNumId w:val="46"/>
  </w:num>
  <w:num w:numId="82" w16cid:durableId="2116555262">
    <w:abstractNumId w:val="76"/>
  </w:num>
  <w:num w:numId="83" w16cid:durableId="1251357062">
    <w:abstractNumId w:val="369"/>
  </w:num>
  <w:num w:numId="84" w16cid:durableId="1390886391">
    <w:abstractNumId w:val="12"/>
  </w:num>
  <w:num w:numId="85" w16cid:durableId="16926928">
    <w:abstractNumId w:val="177"/>
  </w:num>
  <w:num w:numId="86" w16cid:durableId="754321195">
    <w:abstractNumId w:val="66"/>
  </w:num>
  <w:num w:numId="87" w16cid:durableId="171261115">
    <w:abstractNumId w:val="62"/>
  </w:num>
  <w:num w:numId="88" w16cid:durableId="724640067">
    <w:abstractNumId w:val="368"/>
  </w:num>
  <w:num w:numId="89" w16cid:durableId="818612184">
    <w:abstractNumId w:val="348"/>
  </w:num>
  <w:num w:numId="90" w16cid:durableId="1868058336">
    <w:abstractNumId w:val="250"/>
  </w:num>
  <w:num w:numId="91" w16cid:durableId="905184220">
    <w:abstractNumId w:val="114"/>
  </w:num>
  <w:num w:numId="92" w16cid:durableId="119030671">
    <w:abstractNumId w:val="146"/>
  </w:num>
  <w:num w:numId="93" w16cid:durableId="526331797">
    <w:abstractNumId w:val="240"/>
  </w:num>
  <w:num w:numId="94" w16cid:durableId="33817151">
    <w:abstractNumId w:val="210"/>
  </w:num>
  <w:num w:numId="95" w16cid:durableId="1702246453">
    <w:abstractNumId w:val="92"/>
  </w:num>
  <w:num w:numId="96" w16cid:durableId="1902012264">
    <w:abstractNumId w:val="351"/>
  </w:num>
  <w:num w:numId="97" w16cid:durableId="1938631497">
    <w:abstractNumId w:val="227"/>
  </w:num>
  <w:num w:numId="98" w16cid:durableId="987248453">
    <w:abstractNumId w:val="10"/>
  </w:num>
  <w:num w:numId="99" w16cid:durableId="1133595397">
    <w:abstractNumId w:val="263"/>
  </w:num>
  <w:num w:numId="100" w16cid:durableId="1439594585">
    <w:abstractNumId w:val="237"/>
  </w:num>
  <w:num w:numId="101" w16cid:durableId="391200873">
    <w:abstractNumId w:val="334"/>
  </w:num>
  <w:num w:numId="102" w16cid:durableId="1476068726">
    <w:abstractNumId w:val="221"/>
  </w:num>
  <w:num w:numId="103" w16cid:durableId="1133061505">
    <w:abstractNumId w:val="292"/>
  </w:num>
  <w:num w:numId="104" w16cid:durableId="385760139">
    <w:abstractNumId w:val="304"/>
  </w:num>
  <w:num w:numId="105" w16cid:durableId="1930767604">
    <w:abstractNumId w:val="261"/>
  </w:num>
  <w:num w:numId="106" w16cid:durableId="1124542301">
    <w:abstractNumId w:val="374"/>
  </w:num>
  <w:num w:numId="107" w16cid:durableId="1755473141">
    <w:abstractNumId w:val="126"/>
  </w:num>
  <w:num w:numId="108" w16cid:durableId="1176191122">
    <w:abstractNumId w:val="28"/>
  </w:num>
  <w:num w:numId="109" w16cid:durableId="411774774">
    <w:abstractNumId w:val="47"/>
  </w:num>
  <w:num w:numId="110" w16cid:durableId="895699915">
    <w:abstractNumId w:val="104"/>
  </w:num>
  <w:num w:numId="111" w16cid:durableId="730348476">
    <w:abstractNumId w:val="223"/>
  </w:num>
  <w:num w:numId="112" w16cid:durableId="1818454856">
    <w:abstractNumId w:val="310"/>
  </w:num>
  <w:num w:numId="113" w16cid:durableId="2015720201">
    <w:abstractNumId w:val="24"/>
  </w:num>
  <w:num w:numId="114" w16cid:durableId="391932302">
    <w:abstractNumId w:val="204"/>
  </w:num>
  <w:num w:numId="115" w16cid:durableId="1310750018">
    <w:abstractNumId w:val="251"/>
  </w:num>
  <w:num w:numId="116" w16cid:durableId="1752114414">
    <w:abstractNumId w:val="1"/>
  </w:num>
  <w:num w:numId="117" w16cid:durableId="1666992">
    <w:abstractNumId w:val="98"/>
  </w:num>
  <w:num w:numId="118" w16cid:durableId="1885746850">
    <w:abstractNumId w:val="150"/>
  </w:num>
  <w:num w:numId="119" w16cid:durableId="1684016774">
    <w:abstractNumId w:val="377"/>
  </w:num>
  <w:num w:numId="120" w16cid:durableId="1624848536">
    <w:abstractNumId w:val="343"/>
  </w:num>
  <w:num w:numId="121" w16cid:durableId="2016229973">
    <w:abstractNumId w:val="99"/>
  </w:num>
  <w:num w:numId="122" w16cid:durableId="52386186">
    <w:abstractNumId w:val="75"/>
  </w:num>
  <w:num w:numId="123" w16cid:durableId="1927306826">
    <w:abstractNumId w:val="236"/>
  </w:num>
  <w:num w:numId="124" w16cid:durableId="2103724585">
    <w:abstractNumId w:val="186"/>
  </w:num>
  <w:num w:numId="125" w16cid:durableId="306397438">
    <w:abstractNumId w:val="332"/>
  </w:num>
  <w:num w:numId="126" w16cid:durableId="1485853630">
    <w:abstractNumId w:val="73"/>
  </w:num>
  <w:num w:numId="127" w16cid:durableId="627518229">
    <w:abstractNumId w:val="128"/>
  </w:num>
  <w:num w:numId="128" w16cid:durableId="1038774083">
    <w:abstractNumId w:val="246"/>
  </w:num>
  <w:num w:numId="129" w16cid:durableId="212471892">
    <w:abstractNumId w:val="37"/>
  </w:num>
  <w:num w:numId="130" w16cid:durableId="1012952531">
    <w:abstractNumId w:val="257"/>
  </w:num>
  <w:num w:numId="131" w16cid:durableId="2121214994">
    <w:abstractNumId w:val="164"/>
  </w:num>
  <w:num w:numId="132" w16cid:durableId="1852647644">
    <w:abstractNumId w:val="171"/>
  </w:num>
  <w:num w:numId="133" w16cid:durableId="146750207">
    <w:abstractNumId w:val="350"/>
  </w:num>
  <w:num w:numId="134" w16cid:durableId="845360534">
    <w:abstractNumId w:val="54"/>
  </w:num>
  <w:num w:numId="135" w16cid:durableId="685639887">
    <w:abstractNumId w:val="230"/>
  </w:num>
  <w:num w:numId="136" w16cid:durableId="1458256512">
    <w:abstractNumId w:val="131"/>
  </w:num>
  <w:num w:numId="137" w16cid:durableId="243952336">
    <w:abstractNumId w:val="201"/>
  </w:num>
  <w:num w:numId="138" w16cid:durableId="867527378">
    <w:abstractNumId w:val="290"/>
  </w:num>
  <w:num w:numId="139" w16cid:durableId="74981104">
    <w:abstractNumId w:val="238"/>
  </w:num>
  <w:num w:numId="140" w16cid:durableId="988174391">
    <w:abstractNumId w:val="18"/>
  </w:num>
  <w:num w:numId="141" w16cid:durableId="2092458384">
    <w:abstractNumId w:val="218"/>
  </w:num>
  <w:num w:numId="142" w16cid:durableId="1572695928">
    <w:abstractNumId w:val="207"/>
  </w:num>
  <w:num w:numId="143" w16cid:durableId="711853718">
    <w:abstractNumId w:val="188"/>
  </w:num>
  <w:num w:numId="144" w16cid:durableId="1561214586">
    <w:abstractNumId w:val="179"/>
  </w:num>
  <w:num w:numId="145" w16cid:durableId="266041216">
    <w:abstractNumId w:val="157"/>
  </w:num>
  <w:num w:numId="146" w16cid:durableId="819007736">
    <w:abstractNumId w:val="337"/>
  </w:num>
  <w:num w:numId="147" w16cid:durableId="1186749904">
    <w:abstractNumId w:val="306"/>
  </w:num>
  <w:num w:numId="148" w16cid:durableId="1696537307">
    <w:abstractNumId w:val="58"/>
  </w:num>
  <w:num w:numId="149" w16cid:durableId="1367411070">
    <w:abstractNumId w:val="88"/>
  </w:num>
  <w:num w:numId="150" w16cid:durableId="586815089">
    <w:abstractNumId w:val="277"/>
  </w:num>
  <w:num w:numId="151" w16cid:durableId="1079865575">
    <w:abstractNumId w:val="19"/>
  </w:num>
  <w:num w:numId="152" w16cid:durableId="486555958">
    <w:abstractNumId w:val="232"/>
  </w:num>
  <w:num w:numId="153" w16cid:durableId="1662810247">
    <w:abstractNumId w:val="160"/>
  </w:num>
  <w:num w:numId="154" w16cid:durableId="178861866">
    <w:abstractNumId w:val="103"/>
  </w:num>
  <w:num w:numId="155" w16cid:durableId="99035697">
    <w:abstractNumId w:val="167"/>
  </w:num>
  <w:num w:numId="156" w16cid:durableId="598559593">
    <w:abstractNumId w:val="183"/>
  </w:num>
  <w:num w:numId="157" w16cid:durableId="630793510">
    <w:abstractNumId w:val="36"/>
  </w:num>
  <w:num w:numId="158" w16cid:durableId="948396773">
    <w:abstractNumId w:val="43"/>
  </w:num>
  <w:num w:numId="159" w16cid:durableId="1283540570">
    <w:abstractNumId w:val="329"/>
  </w:num>
  <w:num w:numId="160" w16cid:durableId="1839689552">
    <w:abstractNumId w:val="314"/>
  </w:num>
  <w:num w:numId="161" w16cid:durableId="1316568374">
    <w:abstractNumId w:val="311"/>
  </w:num>
  <w:num w:numId="162" w16cid:durableId="740908234">
    <w:abstractNumId w:val="147"/>
  </w:num>
  <w:num w:numId="163" w16cid:durableId="1040859738">
    <w:abstractNumId w:val="309"/>
  </w:num>
  <w:num w:numId="164" w16cid:durableId="736898076">
    <w:abstractNumId w:val="121"/>
  </w:num>
  <w:num w:numId="165" w16cid:durableId="275213834">
    <w:abstractNumId w:val="357"/>
  </w:num>
  <w:num w:numId="166" w16cid:durableId="818375789">
    <w:abstractNumId w:val="316"/>
  </w:num>
  <w:num w:numId="167" w16cid:durableId="1197156588">
    <w:abstractNumId w:val="361"/>
  </w:num>
  <w:num w:numId="168" w16cid:durableId="1152717094">
    <w:abstractNumId w:val="134"/>
  </w:num>
  <w:num w:numId="169" w16cid:durableId="1668046833">
    <w:abstractNumId w:val="39"/>
  </w:num>
  <w:num w:numId="170" w16cid:durableId="1218466626">
    <w:abstractNumId w:val="20"/>
  </w:num>
  <w:num w:numId="171" w16cid:durableId="1682586595">
    <w:abstractNumId w:val="118"/>
  </w:num>
  <w:num w:numId="172" w16cid:durableId="305932854">
    <w:abstractNumId w:val="129"/>
  </w:num>
  <w:num w:numId="173" w16cid:durableId="1099838220">
    <w:abstractNumId w:val="138"/>
  </w:num>
  <w:num w:numId="174" w16cid:durableId="1602957366">
    <w:abstractNumId w:val="365"/>
  </w:num>
  <w:num w:numId="175" w16cid:durableId="1106729054">
    <w:abstractNumId w:val="74"/>
  </w:num>
  <w:num w:numId="176" w16cid:durableId="323050677">
    <w:abstractNumId w:val="344"/>
  </w:num>
  <w:num w:numId="177" w16cid:durableId="944577287">
    <w:abstractNumId w:val="59"/>
  </w:num>
  <w:num w:numId="178" w16cid:durableId="1561986807">
    <w:abstractNumId w:val="175"/>
  </w:num>
  <w:num w:numId="179" w16cid:durableId="642348880">
    <w:abstractNumId w:val="297"/>
  </w:num>
  <w:num w:numId="180" w16cid:durableId="939918605">
    <w:abstractNumId w:val="90"/>
  </w:num>
  <w:num w:numId="181" w16cid:durableId="250241484">
    <w:abstractNumId w:val="78"/>
  </w:num>
  <w:num w:numId="182" w16cid:durableId="395858963">
    <w:abstractNumId w:val="265"/>
  </w:num>
  <w:num w:numId="183" w16cid:durableId="409547174">
    <w:abstractNumId w:val="324"/>
  </w:num>
  <w:num w:numId="184" w16cid:durableId="104621504">
    <w:abstractNumId w:val="349"/>
  </w:num>
  <w:num w:numId="185" w16cid:durableId="173423784">
    <w:abstractNumId w:val="120"/>
  </w:num>
  <w:num w:numId="186" w16cid:durableId="1452868983">
    <w:abstractNumId w:val="326"/>
  </w:num>
  <w:num w:numId="187" w16cid:durableId="1569876803">
    <w:abstractNumId w:val="11"/>
  </w:num>
  <w:num w:numId="188" w16cid:durableId="1467354201">
    <w:abstractNumId w:val="197"/>
  </w:num>
  <w:num w:numId="189" w16cid:durableId="786314866">
    <w:abstractNumId w:val="308"/>
  </w:num>
  <w:num w:numId="190" w16cid:durableId="1383823715">
    <w:abstractNumId w:val="72"/>
  </w:num>
  <w:num w:numId="191" w16cid:durableId="1129934626">
    <w:abstractNumId w:val="275"/>
  </w:num>
  <w:num w:numId="192" w16cid:durableId="941886997">
    <w:abstractNumId w:val="342"/>
  </w:num>
  <w:num w:numId="193" w16cid:durableId="1131904018">
    <w:abstractNumId w:val="174"/>
  </w:num>
  <w:num w:numId="194" w16cid:durableId="1311598768">
    <w:abstractNumId w:val="241"/>
  </w:num>
  <w:num w:numId="195" w16cid:durableId="422185983">
    <w:abstractNumId w:val="173"/>
  </w:num>
  <w:num w:numId="196" w16cid:durableId="1356229849">
    <w:abstractNumId w:val="52"/>
  </w:num>
  <w:num w:numId="197" w16cid:durableId="2110656518">
    <w:abstractNumId w:val="107"/>
  </w:num>
  <w:num w:numId="198" w16cid:durableId="1282766851">
    <w:abstractNumId w:val="161"/>
  </w:num>
  <w:num w:numId="199" w16cid:durableId="1126313107">
    <w:abstractNumId w:val="64"/>
  </w:num>
  <w:num w:numId="200" w16cid:durableId="157304744">
    <w:abstractNumId w:val="260"/>
  </w:num>
  <w:num w:numId="201" w16cid:durableId="1503004474">
    <w:abstractNumId w:val="252"/>
  </w:num>
  <w:num w:numId="202" w16cid:durableId="1254433789">
    <w:abstractNumId w:val="115"/>
  </w:num>
  <w:num w:numId="203" w16cid:durableId="1986162196">
    <w:abstractNumId w:val="44"/>
  </w:num>
  <w:num w:numId="204" w16cid:durableId="41827438">
    <w:abstractNumId w:val="95"/>
  </w:num>
  <w:num w:numId="205" w16cid:durableId="1005520460">
    <w:abstractNumId w:val="152"/>
  </w:num>
  <w:num w:numId="206" w16cid:durableId="440684587">
    <w:abstractNumId w:val="359"/>
  </w:num>
  <w:num w:numId="207" w16cid:durableId="158469987">
    <w:abstractNumId w:val="291"/>
  </w:num>
  <w:num w:numId="208" w16cid:durableId="1157183320">
    <w:abstractNumId w:val="96"/>
  </w:num>
  <w:num w:numId="209" w16cid:durableId="1207183266">
    <w:abstractNumId w:val="60"/>
  </w:num>
  <w:num w:numId="210" w16cid:durableId="1617560108">
    <w:abstractNumId w:val="313"/>
  </w:num>
  <w:num w:numId="211" w16cid:durableId="653532346">
    <w:abstractNumId w:val="65"/>
  </w:num>
  <w:num w:numId="212" w16cid:durableId="61223154">
    <w:abstractNumId w:val="83"/>
  </w:num>
  <w:num w:numId="213" w16cid:durableId="1150365543">
    <w:abstractNumId w:val="312"/>
  </w:num>
  <w:num w:numId="214" w16cid:durableId="1874539032">
    <w:abstractNumId w:val="33"/>
  </w:num>
  <w:num w:numId="215" w16cid:durableId="1607695908">
    <w:abstractNumId w:val="266"/>
  </w:num>
  <w:num w:numId="216" w16cid:durableId="456917836">
    <w:abstractNumId w:val="318"/>
  </w:num>
  <w:num w:numId="217" w16cid:durableId="992149670">
    <w:abstractNumId w:val="151"/>
  </w:num>
  <w:num w:numId="218" w16cid:durableId="1607271269">
    <w:abstractNumId w:val="139"/>
  </w:num>
  <w:num w:numId="219" w16cid:durableId="458567600">
    <w:abstractNumId w:val="77"/>
  </w:num>
  <w:num w:numId="220" w16cid:durableId="1294872650">
    <w:abstractNumId w:val="296"/>
  </w:num>
  <w:num w:numId="221" w16cid:durableId="349066554">
    <w:abstractNumId w:val="247"/>
  </w:num>
  <w:num w:numId="222" w16cid:durableId="104547222">
    <w:abstractNumId w:val="339"/>
  </w:num>
  <w:num w:numId="223" w16cid:durableId="3896885">
    <w:abstractNumId w:val="100"/>
  </w:num>
  <w:num w:numId="224" w16cid:durableId="371812104">
    <w:abstractNumId w:val="158"/>
  </w:num>
  <w:num w:numId="225" w16cid:durableId="771631674">
    <w:abstractNumId w:val="111"/>
  </w:num>
  <w:num w:numId="226" w16cid:durableId="974599482">
    <w:abstractNumId w:val="67"/>
  </w:num>
  <w:num w:numId="227" w16cid:durableId="1833064315">
    <w:abstractNumId w:val="84"/>
  </w:num>
  <w:num w:numId="228" w16cid:durableId="744887050">
    <w:abstractNumId w:val="25"/>
  </w:num>
  <w:num w:numId="229" w16cid:durableId="1989894592">
    <w:abstractNumId w:val="123"/>
  </w:num>
  <w:num w:numId="230" w16cid:durableId="1859855738">
    <w:abstractNumId w:val="271"/>
  </w:num>
  <w:num w:numId="231" w16cid:durableId="1805660677">
    <w:abstractNumId w:val="57"/>
  </w:num>
  <w:num w:numId="232" w16cid:durableId="785735131">
    <w:abstractNumId w:val="283"/>
  </w:num>
  <w:num w:numId="233" w16cid:durableId="1949391501">
    <w:abstractNumId w:val="27"/>
  </w:num>
  <w:num w:numId="234" w16cid:durableId="1460296342">
    <w:abstractNumId w:val="102"/>
  </w:num>
  <w:num w:numId="235" w16cid:durableId="79914044">
    <w:abstractNumId w:val="31"/>
  </w:num>
  <w:num w:numId="236" w16cid:durableId="421682039">
    <w:abstractNumId w:val="200"/>
  </w:num>
  <w:num w:numId="237" w16cid:durableId="1647582610">
    <w:abstractNumId w:val="81"/>
  </w:num>
  <w:num w:numId="238" w16cid:durableId="1795172562">
    <w:abstractNumId w:val="231"/>
  </w:num>
  <w:num w:numId="239" w16cid:durableId="527566845">
    <w:abstractNumId w:val="124"/>
  </w:num>
  <w:num w:numId="240" w16cid:durableId="609314267">
    <w:abstractNumId w:val="228"/>
  </w:num>
  <w:num w:numId="241" w16cid:durableId="1602299194">
    <w:abstractNumId w:val="225"/>
  </w:num>
  <w:num w:numId="242" w16cid:durableId="538128257">
    <w:abstractNumId w:val="220"/>
  </w:num>
  <w:num w:numId="243" w16cid:durableId="470561944">
    <w:abstractNumId w:val="3"/>
  </w:num>
  <w:num w:numId="244" w16cid:durableId="484971696">
    <w:abstractNumId w:val="217"/>
  </w:num>
  <w:num w:numId="245" w16cid:durableId="177162674">
    <w:abstractNumId w:val="254"/>
  </w:num>
  <w:num w:numId="246" w16cid:durableId="295985599">
    <w:abstractNumId w:val="130"/>
  </w:num>
  <w:num w:numId="247" w16cid:durableId="1274554808">
    <w:abstractNumId w:val="364"/>
  </w:num>
  <w:num w:numId="248" w16cid:durableId="374351473">
    <w:abstractNumId w:val="61"/>
  </w:num>
  <w:num w:numId="249" w16cid:durableId="1014959324">
    <w:abstractNumId w:val="135"/>
  </w:num>
  <w:num w:numId="250" w16cid:durableId="2101751045">
    <w:abstractNumId w:val="360"/>
  </w:num>
  <w:num w:numId="251" w16cid:durableId="366108664">
    <w:abstractNumId w:val="214"/>
  </w:num>
  <w:num w:numId="252" w16cid:durableId="1093822001">
    <w:abstractNumId w:val="253"/>
  </w:num>
  <w:num w:numId="253" w16cid:durableId="554393315">
    <w:abstractNumId w:val="262"/>
  </w:num>
  <w:num w:numId="254" w16cid:durableId="414327145">
    <w:abstractNumId w:val="226"/>
  </w:num>
  <w:num w:numId="255" w16cid:durableId="1869180976">
    <w:abstractNumId w:val="325"/>
  </w:num>
  <w:num w:numId="256" w16cid:durableId="1486506549">
    <w:abstractNumId w:val="302"/>
  </w:num>
  <w:num w:numId="257" w16cid:durableId="2064668343">
    <w:abstractNumId w:val="259"/>
  </w:num>
  <w:num w:numId="258" w16cid:durableId="1811095386">
    <w:abstractNumId w:val="331"/>
  </w:num>
  <w:num w:numId="259" w16cid:durableId="1215235952">
    <w:abstractNumId w:val="376"/>
  </w:num>
  <w:num w:numId="260" w16cid:durableId="1764107347">
    <w:abstractNumId w:val="235"/>
  </w:num>
  <w:num w:numId="261" w16cid:durableId="262153840">
    <w:abstractNumId w:val="193"/>
  </w:num>
  <w:num w:numId="262" w16cid:durableId="1662075173">
    <w:abstractNumId w:val="0"/>
  </w:num>
  <w:num w:numId="263" w16cid:durableId="964039012">
    <w:abstractNumId w:val="284"/>
  </w:num>
  <w:num w:numId="264" w16cid:durableId="181407322">
    <w:abstractNumId w:val="48"/>
  </w:num>
  <w:num w:numId="265" w16cid:durableId="1438476770">
    <w:abstractNumId w:val="194"/>
  </w:num>
  <w:num w:numId="266" w16cid:durableId="548415081">
    <w:abstractNumId w:val="159"/>
  </w:num>
  <w:num w:numId="267" w16cid:durableId="1386441880">
    <w:abstractNumId w:val="244"/>
  </w:num>
  <w:num w:numId="268" w16cid:durableId="297076736">
    <w:abstractNumId w:val="32"/>
  </w:num>
  <w:num w:numId="269" w16cid:durableId="268196907">
    <w:abstractNumId w:val="122"/>
  </w:num>
  <w:num w:numId="270" w16cid:durableId="550196425">
    <w:abstractNumId w:val="317"/>
  </w:num>
  <w:num w:numId="271" w16cid:durableId="1172374855">
    <w:abstractNumId w:val="91"/>
  </w:num>
  <w:num w:numId="272" w16cid:durableId="510026934">
    <w:abstractNumId w:val="49"/>
  </w:num>
  <w:num w:numId="273" w16cid:durableId="1008945058">
    <w:abstractNumId w:val="93"/>
  </w:num>
  <w:num w:numId="274" w16cid:durableId="1468233399">
    <w:abstractNumId w:val="208"/>
  </w:num>
  <w:num w:numId="275" w16cid:durableId="323121664">
    <w:abstractNumId w:val="154"/>
  </w:num>
  <w:num w:numId="276" w16cid:durableId="1447311896">
    <w:abstractNumId w:val="299"/>
  </w:num>
  <w:num w:numId="277" w16cid:durableId="2065374664">
    <w:abstractNumId w:val="345"/>
  </w:num>
  <w:num w:numId="278" w16cid:durableId="592208015">
    <w:abstractNumId w:val="346"/>
  </w:num>
  <w:num w:numId="279" w16cid:durableId="1028602775">
    <w:abstractNumId w:val="7"/>
  </w:num>
  <w:num w:numId="280" w16cid:durableId="1432240065">
    <w:abstractNumId w:val="40"/>
  </w:num>
  <w:num w:numId="281" w16cid:durableId="903176677">
    <w:abstractNumId w:val="117"/>
  </w:num>
  <w:num w:numId="282" w16cid:durableId="1078402900">
    <w:abstractNumId w:val="205"/>
  </w:num>
  <w:num w:numId="283" w16cid:durableId="1710766401">
    <w:abstractNumId w:val="168"/>
  </w:num>
  <w:num w:numId="284" w16cid:durableId="1378505600">
    <w:abstractNumId w:val="281"/>
  </w:num>
  <w:num w:numId="285" w16cid:durableId="863635175">
    <w:abstractNumId w:val="170"/>
  </w:num>
  <w:num w:numId="286" w16cid:durableId="1355158284">
    <w:abstractNumId w:val="56"/>
  </w:num>
  <w:num w:numId="287" w16cid:durableId="438961752">
    <w:abstractNumId w:val="245"/>
  </w:num>
  <w:num w:numId="288" w16cid:durableId="967664024">
    <w:abstractNumId w:val="127"/>
  </w:num>
  <w:num w:numId="289" w16cid:durableId="1067998981">
    <w:abstractNumId w:val="233"/>
  </w:num>
  <w:num w:numId="290" w16cid:durableId="1674720374">
    <w:abstractNumId w:val="321"/>
  </w:num>
  <w:num w:numId="291" w16cid:durableId="729813301">
    <w:abstractNumId w:val="119"/>
  </w:num>
  <w:num w:numId="292" w16cid:durableId="1086153343">
    <w:abstractNumId w:val="23"/>
  </w:num>
  <w:num w:numId="293" w16cid:durableId="1207639341">
    <w:abstractNumId w:val="190"/>
  </w:num>
  <w:num w:numId="294" w16cid:durableId="2084792425">
    <w:abstractNumId w:val="143"/>
  </w:num>
  <w:num w:numId="295" w16cid:durableId="1603608352">
    <w:abstractNumId w:val="363"/>
  </w:num>
  <w:num w:numId="296" w16cid:durableId="1420055362">
    <w:abstractNumId w:val="35"/>
  </w:num>
  <w:num w:numId="297" w16cid:durableId="1639796698">
    <w:abstractNumId w:val="5"/>
  </w:num>
  <w:num w:numId="298" w16cid:durableId="1627469037">
    <w:abstractNumId w:val="148"/>
  </w:num>
  <w:num w:numId="299" w16cid:durableId="2120948783">
    <w:abstractNumId w:val="71"/>
  </w:num>
  <w:num w:numId="300" w16cid:durableId="139352765">
    <w:abstractNumId w:val="76"/>
  </w:num>
  <w:num w:numId="301" w16cid:durableId="72942855">
    <w:abstractNumId w:val="243"/>
  </w:num>
  <w:num w:numId="302" w16cid:durableId="28186166">
    <w:abstractNumId w:val="369"/>
  </w:num>
  <w:num w:numId="303" w16cid:durableId="1129527">
    <w:abstractNumId w:val="315"/>
  </w:num>
  <w:num w:numId="304" w16cid:durableId="1251810852">
    <w:abstractNumId w:val="370"/>
  </w:num>
  <w:num w:numId="305" w16cid:durableId="1936597915">
    <w:abstractNumId w:val="372"/>
  </w:num>
  <w:num w:numId="306" w16cid:durableId="1460223209">
    <w:abstractNumId w:val="50"/>
  </w:num>
  <w:num w:numId="307" w16cid:durableId="1929078317">
    <w:abstractNumId w:val="38"/>
  </w:num>
  <w:num w:numId="308" w16cid:durableId="564875314">
    <w:abstractNumId w:val="366"/>
  </w:num>
  <w:num w:numId="309" w16cid:durableId="2076127345">
    <w:abstractNumId w:val="301"/>
  </w:num>
  <w:num w:numId="310" w16cid:durableId="775104640">
    <w:abstractNumId w:val="80"/>
  </w:num>
  <w:num w:numId="311" w16cid:durableId="1671519850">
    <w:abstractNumId w:val="320"/>
  </w:num>
  <w:num w:numId="312" w16cid:durableId="596721067">
    <w:abstractNumId w:val="110"/>
  </w:num>
  <w:num w:numId="313" w16cid:durableId="916404457">
    <w:abstractNumId w:val="362"/>
  </w:num>
  <w:num w:numId="314" w16cid:durableId="47076071">
    <w:abstractNumId w:val="196"/>
  </w:num>
  <w:num w:numId="315" w16cid:durableId="2009675687">
    <w:abstractNumId w:val="8"/>
  </w:num>
  <w:num w:numId="316" w16cid:durableId="2098404208">
    <w:abstractNumId w:val="29"/>
  </w:num>
  <w:num w:numId="317" w16cid:durableId="1350374970">
    <w:abstractNumId w:val="282"/>
  </w:num>
  <w:num w:numId="318" w16cid:durableId="818695575">
    <w:abstractNumId w:val="294"/>
  </w:num>
  <w:num w:numId="319" w16cid:durableId="182790406">
    <w:abstractNumId w:val="178"/>
  </w:num>
  <w:num w:numId="320" w16cid:durableId="1304852757">
    <w:abstractNumId w:val="354"/>
  </w:num>
  <w:num w:numId="321" w16cid:durableId="928346515">
    <w:abstractNumId w:val="273"/>
  </w:num>
  <w:num w:numId="322" w16cid:durableId="1861894391">
    <w:abstractNumId w:val="239"/>
  </w:num>
  <w:num w:numId="323" w16cid:durableId="944075117">
    <w:abstractNumId w:val="293"/>
  </w:num>
  <w:num w:numId="324" w16cid:durableId="16780912">
    <w:abstractNumId w:val="229"/>
  </w:num>
  <w:num w:numId="325" w16cid:durableId="1537043277">
    <w:abstractNumId w:val="195"/>
  </w:num>
  <w:num w:numId="326" w16cid:durableId="1612974407">
    <w:abstractNumId w:val="268"/>
  </w:num>
  <w:num w:numId="327" w16cid:durableId="718624211">
    <w:abstractNumId w:val="199"/>
  </w:num>
  <w:num w:numId="328" w16cid:durableId="1990090956">
    <w:abstractNumId w:val="172"/>
  </w:num>
  <w:num w:numId="329" w16cid:durableId="30107875">
    <w:abstractNumId w:val="13"/>
  </w:num>
  <w:num w:numId="330" w16cid:durableId="1891186338">
    <w:abstractNumId w:val="109"/>
  </w:num>
  <w:num w:numId="331" w16cid:durableId="428936891">
    <w:abstractNumId w:val="9"/>
  </w:num>
  <w:num w:numId="332" w16cid:durableId="416093928">
    <w:abstractNumId w:val="187"/>
  </w:num>
  <w:num w:numId="333" w16cid:durableId="1358114998">
    <w:abstractNumId w:val="209"/>
  </w:num>
  <w:num w:numId="334" w16cid:durableId="89546170">
    <w:abstractNumId w:val="224"/>
  </w:num>
  <w:num w:numId="335" w16cid:durableId="2062097844">
    <w:abstractNumId w:val="341"/>
  </w:num>
  <w:num w:numId="336" w16cid:durableId="1113473677">
    <w:abstractNumId w:val="298"/>
  </w:num>
  <w:num w:numId="337" w16cid:durableId="1669626854">
    <w:abstractNumId w:val="358"/>
  </w:num>
  <w:num w:numId="338" w16cid:durableId="2024285967">
    <w:abstractNumId w:val="142"/>
  </w:num>
  <w:num w:numId="339" w16cid:durableId="2063937915">
    <w:abstractNumId w:val="191"/>
  </w:num>
  <w:num w:numId="340" w16cid:durableId="1699353638">
    <w:abstractNumId w:val="300"/>
  </w:num>
  <w:num w:numId="341" w16cid:durableId="1473668717">
    <w:abstractNumId w:val="272"/>
  </w:num>
  <w:num w:numId="342" w16cid:durableId="798257806">
    <w:abstractNumId w:val="289"/>
  </w:num>
  <w:num w:numId="343" w16cid:durableId="1736583764">
    <w:abstractNumId w:val="145"/>
  </w:num>
  <w:num w:numId="344" w16cid:durableId="600799335">
    <w:abstractNumId w:val="219"/>
  </w:num>
  <w:num w:numId="345" w16cid:durableId="162791952">
    <w:abstractNumId w:val="125"/>
  </w:num>
  <w:num w:numId="346" w16cid:durableId="1513951663">
    <w:abstractNumId w:val="264"/>
  </w:num>
  <w:num w:numId="347" w16cid:durableId="1713069074">
    <w:abstractNumId w:val="249"/>
  </w:num>
  <w:num w:numId="348" w16cid:durableId="1448354051">
    <w:abstractNumId w:val="352"/>
  </w:num>
  <w:num w:numId="349" w16cid:durableId="1906378587">
    <w:abstractNumId w:val="149"/>
  </w:num>
  <w:num w:numId="350" w16cid:durableId="1397971781">
    <w:abstractNumId w:val="215"/>
  </w:num>
  <w:num w:numId="351" w16cid:durableId="1547984583">
    <w:abstractNumId w:val="163"/>
  </w:num>
  <w:num w:numId="352" w16cid:durableId="17589725">
    <w:abstractNumId w:val="34"/>
  </w:num>
  <w:num w:numId="353" w16cid:durableId="1814567291">
    <w:abstractNumId w:val="162"/>
  </w:num>
  <w:num w:numId="354" w16cid:durableId="1822190071">
    <w:abstractNumId w:val="322"/>
  </w:num>
  <w:num w:numId="355" w16cid:durableId="1486167315">
    <w:abstractNumId w:val="378"/>
  </w:num>
  <w:num w:numId="356" w16cid:durableId="1509521161">
    <w:abstractNumId w:val="322"/>
  </w:num>
  <w:num w:numId="357" w16cid:durableId="463893236">
    <w:abstractNumId w:val="2"/>
  </w:num>
  <w:num w:numId="358" w16cid:durableId="1080375081">
    <w:abstractNumId w:val="182"/>
  </w:num>
  <w:num w:numId="359" w16cid:durableId="340594624">
    <w:abstractNumId w:val="153"/>
  </w:num>
  <w:num w:numId="360" w16cid:durableId="1103577789">
    <w:abstractNumId w:val="113"/>
  </w:num>
  <w:num w:numId="361" w16cid:durableId="35811650">
    <w:abstractNumId w:val="307"/>
  </w:num>
  <w:num w:numId="362" w16cid:durableId="2116435470">
    <w:abstractNumId w:val="184"/>
  </w:num>
  <w:num w:numId="363" w16cid:durableId="1017661366">
    <w:abstractNumId w:val="279"/>
  </w:num>
  <w:num w:numId="364" w16cid:durableId="1142962460">
    <w:abstractNumId w:val="285"/>
  </w:num>
  <w:num w:numId="365" w16cid:durableId="335769115">
    <w:abstractNumId w:val="165"/>
  </w:num>
  <w:num w:numId="366" w16cid:durableId="1069881874">
    <w:abstractNumId w:val="192"/>
  </w:num>
  <w:num w:numId="367" w16cid:durableId="1885407114">
    <w:abstractNumId w:val="144"/>
  </w:num>
  <w:num w:numId="368" w16cid:durableId="552427069">
    <w:abstractNumId w:val="42"/>
  </w:num>
  <w:num w:numId="369" w16cid:durableId="1967201538">
    <w:abstractNumId w:val="140"/>
  </w:num>
  <w:num w:numId="370" w16cid:durableId="1735734659">
    <w:abstractNumId w:val="112"/>
  </w:num>
  <w:num w:numId="371" w16cid:durableId="863522359">
    <w:abstractNumId w:val="181"/>
  </w:num>
  <w:num w:numId="372" w16cid:durableId="1472013566">
    <w:abstractNumId w:val="82"/>
  </w:num>
  <w:num w:numId="373" w16cid:durableId="1652057528">
    <w:abstractNumId w:val="327"/>
  </w:num>
  <w:num w:numId="374" w16cid:durableId="441610076">
    <w:abstractNumId w:val="356"/>
  </w:num>
  <w:num w:numId="375" w16cid:durableId="1170025077">
    <w:abstractNumId w:val="141"/>
  </w:num>
  <w:num w:numId="376" w16cid:durableId="1663387503">
    <w:abstractNumId w:val="371"/>
  </w:num>
  <w:num w:numId="377" w16cid:durableId="147552497">
    <w:abstractNumId w:val="338"/>
  </w:num>
  <w:num w:numId="378" w16cid:durableId="329523607">
    <w:abstractNumId w:val="319"/>
  </w:num>
  <w:num w:numId="379" w16cid:durableId="1465270144">
    <w:abstractNumId w:val="295"/>
  </w:num>
  <w:num w:numId="380" w16cid:durableId="1239942206">
    <w:abstractNumId w:val="116"/>
  </w:num>
  <w:num w:numId="381" w16cid:durableId="1790663176">
    <w:abstractNumId w:val="355"/>
  </w:num>
  <w:num w:numId="382" w16cid:durableId="925773965">
    <w:abstractNumId w:val="270"/>
  </w:num>
  <w:numIdMacAtCleanup w:val="3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zoom w:percent="180"/>
  <w:gutterAtTop/>
  <w:defaultTabStop w:val="720"/>
  <w:characterSpacingControl w:val="doNotCompress"/>
  <w:hdrShapeDefaults>
    <o:shapedefaults v:ext="edit" spidmax="4097"/>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37BC"/>
    <w:rsid w:val="000009A7"/>
    <w:rsid w:val="00001C1F"/>
    <w:rsid w:val="0000285A"/>
    <w:rsid w:val="0000353D"/>
    <w:rsid w:val="00003567"/>
    <w:rsid w:val="00004773"/>
    <w:rsid w:val="00005161"/>
    <w:rsid w:val="00007FFC"/>
    <w:rsid w:val="000104FB"/>
    <w:rsid w:val="0001115B"/>
    <w:rsid w:val="00012239"/>
    <w:rsid w:val="000134EB"/>
    <w:rsid w:val="00015162"/>
    <w:rsid w:val="00015418"/>
    <w:rsid w:val="00020754"/>
    <w:rsid w:val="00020A0B"/>
    <w:rsid w:val="00021D1A"/>
    <w:rsid w:val="0002347B"/>
    <w:rsid w:val="000241A3"/>
    <w:rsid w:val="0002583C"/>
    <w:rsid w:val="00025CBB"/>
    <w:rsid w:val="00026E72"/>
    <w:rsid w:val="00027188"/>
    <w:rsid w:val="0002720D"/>
    <w:rsid w:val="000278EA"/>
    <w:rsid w:val="00031718"/>
    <w:rsid w:val="00032216"/>
    <w:rsid w:val="00032D0E"/>
    <w:rsid w:val="0003484F"/>
    <w:rsid w:val="00035BBC"/>
    <w:rsid w:val="00035D7F"/>
    <w:rsid w:val="000363E7"/>
    <w:rsid w:val="000379A8"/>
    <w:rsid w:val="00040868"/>
    <w:rsid w:val="0004348D"/>
    <w:rsid w:val="00044C33"/>
    <w:rsid w:val="000464DD"/>
    <w:rsid w:val="000469D7"/>
    <w:rsid w:val="00047CD7"/>
    <w:rsid w:val="00047DA5"/>
    <w:rsid w:val="000505B9"/>
    <w:rsid w:val="0005090B"/>
    <w:rsid w:val="00051DAB"/>
    <w:rsid w:val="00052867"/>
    <w:rsid w:val="000528B0"/>
    <w:rsid w:val="00052B72"/>
    <w:rsid w:val="00057525"/>
    <w:rsid w:val="00057932"/>
    <w:rsid w:val="000610CB"/>
    <w:rsid w:val="00061175"/>
    <w:rsid w:val="0006361A"/>
    <w:rsid w:val="00063652"/>
    <w:rsid w:val="00064238"/>
    <w:rsid w:val="0006622D"/>
    <w:rsid w:val="0006698E"/>
    <w:rsid w:val="00066EAC"/>
    <w:rsid w:val="00070A5A"/>
    <w:rsid w:val="00071047"/>
    <w:rsid w:val="0007145E"/>
    <w:rsid w:val="000739D7"/>
    <w:rsid w:val="00074741"/>
    <w:rsid w:val="00074DAE"/>
    <w:rsid w:val="0007516F"/>
    <w:rsid w:val="00076867"/>
    <w:rsid w:val="00080256"/>
    <w:rsid w:val="00082A51"/>
    <w:rsid w:val="000835FC"/>
    <w:rsid w:val="00083FA8"/>
    <w:rsid w:val="000848C9"/>
    <w:rsid w:val="00084BA9"/>
    <w:rsid w:val="000860A0"/>
    <w:rsid w:val="000865C2"/>
    <w:rsid w:val="00086EF5"/>
    <w:rsid w:val="00090DAC"/>
    <w:rsid w:val="000949EA"/>
    <w:rsid w:val="000970B8"/>
    <w:rsid w:val="000A0781"/>
    <w:rsid w:val="000A0FCC"/>
    <w:rsid w:val="000A29C2"/>
    <w:rsid w:val="000A40BA"/>
    <w:rsid w:val="000A6D27"/>
    <w:rsid w:val="000A76D7"/>
    <w:rsid w:val="000B0B21"/>
    <w:rsid w:val="000B1B7A"/>
    <w:rsid w:val="000B25AB"/>
    <w:rsid w:val="000B39FE"/>
    <w:rsid w:val="000B4C01"/>
    <w:rsid w:val="000B5336"/>
    <w:rsid w:val="000C06AC"/>
    <w:rsid w:val="000C15FF"/>
    <w:rsid w:val="000C1889"/>
    <w:rsid w:val="000C2E60"/>
    <w:rsid w:val="000C2E76"/>
    <w:rsid w:val="000C36E8"/>
    <w:rsid w:val="000C438F"/>
    <w:rsid w:val="000C4497"/>
    <w:rsid w:val="000C451F"/>
    <w:rsid w:val="000C4847"/>
    <w:rsid w:val="000C5053"/>
    <w:rsid w:val="000C548A"/>
    <w:rsid w:val="000C6165"/>
    <w:rsid w:val="000C748E"/>
    <w:rsid w:val="000C7CAC"/>
    <w:rsid w:val="000D04D4"/>
    <w:rsid w:val="000D0CEE"/>
    <w:rsid w:val="000D1CD0"/>
    <w:rsid w:val="000D4439"/>
    <w:rsid w:val="000D63D2"/>
    <w:rsid w:val="000D72E4"/>
    <w:rsid w:val="000D7A15"/>
    <w:rsid w:val="000E0AF0"/>
    <w:rsid w:val="000E3D40"/>
    <w:rsid w:val="000E49B4"/>
    <w:rsid w:val="000E5239"/>
    <w:rsid w:val="000E793C"/>
    <w:rsid w:val="000F1D60"/>
    <w:rsid w:val="000F3D52"/>
    <w:rsid w:val="000F57A7"/>
    <w:rsid w:val="00101CCF"/>
    <w:rsid w:val="00102078"/>
    <w:rsid w:val="001024A8"/>
    <w:rsid w:val="001032B2"/>
    <w:rsid w:val="00104621"/>
    <w:rsid w:val="00104A24"/>
    <w:rsid w:val="001077FF"/>
    <w:rsid w:val="00107824"/>
    <w:rsid w:val="00112992"/>
    <w:rsid w:val="00113388"/>
    <w:rsid w:val="00113A8D"/>
    <w:rsid w:val="00113B43"/>
    <w:rsid w:val="00114436"/>
    <w:rsid w:val="00114B4F"/>
    <w:rsid w:val="0011518C"/>
    <w:rsid w:val="00117334"/>
    <w:rsid w:val="0012144A"/>
    <w:rsid w:val="001248C1"/>
    <w:rsid w:val="00124968"/>
    <w:rsid w:val="00126BC5"/>
    <w:rsid w:val="0013116F"/>
    <w:rsid w:val="00131225"/>
    <w:rsid w:val="00132AA1"/>
    <w:rsid w:val="00132D75"/>
    <w:rsid w:val="00134771"/>
    <w:rsid w:val="001353AC"/>
    <w:rsid w:val="00136811"/>
    <w:rsid w:val="00136A66"/>
    <w:rsid w:val="00136BBD"/>
    <w:rsid w:val="00136E97"/>
    <w:rsid w:val="0013793E"/>
    <w:rsid w:val="0014372E"/>
    <w:rsid w:val="00143BB6"/>
    <w:rsid w:val="00143FD2"/>
    <w:rsid w:val="001450F5"/>
    <w:rsid w:val="0014565D"/>
    <w:rsid w:val="00146C78"/>
    <w:rsid w:val="00146E07"/>
    <w:rsid w:val="001477EE"/>
    <w:rsid w:val="0015028D"/>
    <w:rsid w:val="00150638"/>
    <w:rsid w:val="00152F23"/>
    <w:rsid w:val="001540CE"/>
    <w:rsid w:val="00154C40"/>
    <w:rsid w:val="00155019"/>
    <w:rsid w:val="0015646B"/>
    <w:rsid w:val="00157CA7"/>
    <w:rsid w:val="00160D16"/>
    <w:rsid w:val="001612DC"/>
    <w:rsid w:val="00164775"/>
    <w:rsid w:val="0016490B"/>
    <w:rsid w:val="00165F83"/>
    <w:rsid w:val="0016795E"/>
    <w:rsid w:val="00173817"/>
    <w:rsid w:val="00173A46"/>
    <w:rsid w:val="00173BB9"/>
    <w:rsid w:val="00175240"/>
    <w:rsid w:val="00176055"/>
    <w:rsid w:val="00176537"/>
    <w:rsid w:val="00180D50"/>
    <w:rsid w:val="0018282E"/>
    <w:rsid w:val="00182FBC"/>
    <w:rsid w:val="00183806"/>
    <w:rsid w:val="00184EFA"/>
    <w:rsid w:val="00185F80"/>
    <w:rsid w:val="001862E1"/>
    <w:rsid w:val="00187AC3"/>
    <w:rsid w:val="00191261"/>
    <w:rsid w:val="001921CC"/>
    <w:rsid w:val="0019431C"/>
    <w:rsid w:val="00194389"/>
    <w:rsid w:val="00196974"/>
    <w:rsid w:val="00196FBE"/>
    <w:rsid w:val="001971A1"/>
    <w:rsid w:val="00197A15"/>
    <w:rsid w:val="00197E5B"/>
    <w:rsid w:val="001A036C"/>
    <w:rsid w:val="001A1EE3"/>
    <w:rsid w:val="001A5F91"/>
    <w:rsid w:val="001A748B"/>
    <w:rsid w:val="001A7AE4"/>
    <w:rsid w:val="001A7B1F"/>
    <w:rsid w:val="001B0A89"/>
    <w:rsid w:val="001B21E1"/>
    <w:rsid w:val="001B37F7"/>
    <w:rsid w:val="001C149C"/>
    <w:rsid w:val="001C450B"/>
    <w:rsid w:val="001C50A1"/>
    <w:rsid w:val="001D2F65"/>
    <w:rsid w:val="001D33DA"/>
    <w:rsid w:val="001D49D4"/>
    <w:rsid w:val="001D49DE"/>
    <w:rsid w:val="001D5351"/>
    <w:rsid w:val="001D5A74"/>
    <w:rsid w:val="001D5E21"/>
    <w:rsid w:val="001D614B"/>
    <w:rsid w:val="001D7103"/>
    <w:rsid w:val="001D7FBB"/>
    <w:rsid w:val="001E0464"/>
    <w:rsid w:val="001E2363"/>
    <w:rsid w:val="001E251C"/>
    <w:rsid w:val="001E2793"/>
    <w:rsid w:val="001E4DA9"/>
    <w:rsid w:val="001E65D2"/>
    <w:rsid w:val="001E6D81"/>
    <w:rsid w:val="001E73BA"/>
    <w:rsid w:val="001F0540"/>
    <w:rsid w:val="001F2415"/>
    <w:rsid w:val="001F2D3C"/>
    <w:rsid w:val="001F2DBE"/>
    <w:rsid w:val="001F338A"/>
    <w:rsid w:val="001F34A8"/>
    <w:rsid w:val="001F3E5C"/>
    <w:rsid w:val="001F4D22"/>
    <w:rsid w:val="001F52AA"/>
    <w:rsid w:val="001F66B7"/>
    <w:rsid w:val="001F7766"/>
    <w:rsid w:val="001F7EF8"/>
    <w:rsid w:val="002008FD"/>
    <w:rsid w:val="00202F3B"/>
    <w:rsid w:val="00203218"/>
    <w:rsid w:val="00203683"/>
    <w:rsid w:val="00204525"/>
    <w:rsid w:val="0020479F"/>
    <w:rsid w:val="00206F0C"/>
    <w:rsid w:val="0020770A"/>
    <w:rsid w:val="0021091A"/>
    <w:rsid w:val="00212A06"/>
    <w:rsid w:val="00214330"/>
    <w:rsid w:val="0021443B"/>
    <w:rsid w:val="00214665"/>
    <w:rsid w:val="00214A38"/>
    <w:rsid w:val="00215570"/>
    <w:rsid w:val="00215D98"/>
    <w:rsid w:val="0021654C"/>
    <w:rsid w:val="002168CA"/>
    <w:rsid w:val="00217659"/>
    <w:rsid w:val="0021787E"/>
    <w:rsid w:val="002202D5"/>
    <w:rsid w:val="00221A88"/>
    <w:rsid w:val="00222B31"/>
    <w:rsid w:val="00222E61"/>
    <w:rsid w:val="002247F4"/>
    <w:rsid w:val="00224839"/>
    <w:rsid w:val="002258C8"/>
    <w:rsid w:val="002258D7"/>
    <w:rsid w:val="00227835"/>
    <w:rsid w:val="00227DB3"/>
    <w:rsid w:val="0023341E"/>
    <w:rsid w:val="00234130"/>
    <w:rsid w:val="00234305"/>
    <w:rsid w:val="00237109"/>
    <w:rsid w:val="0023740E"/>
    <w:rsid w:val="0023742C"/>
    <w:rsid w:val="00237733"/>
    <w:rsid w:val="00241617"/>
    <w:rsid w:val="00242A7C"/>
    <w:rsid w:val="00242F70"/>
    <w:rsid w:val="002439DB"/>
    <w:rsid w:val="00245115"/>
    <w:rsid w:val="0024604B"/>
    <w:rsid w:val="00247221"/>
    <w:rsid w:val="0025003E"/>
    <w:rsid w:val="00251136"/>
    <w:rsid w:val="0025139F"/>
    <w:rsid w:val="002515FE"/>
    <w:rsid w:val="00253347"/>
    <w:rsid w:val="002533FA"/>
    <w:rsid w:val="00254547"/>
    <w:rsid w:val="00254F62"/>
    <w:rsid w:val="002601B0"/>
    <w:rsid w:val="00260B97"/>
    <w:rsid w:val="00261803"/>
    <w:rsid w:val="00263159"/>
    <w:rsid w:val="00263239"/>
    <w:rsid w:val="00263B3B"/>
    <w:rsid w:val="00264142"/>
    <w:rsid w:val="00264B6B"/>
    <w:rsid w:val="0026553A"/>
    <w:rsid w:val="0026699A"/>
    <w:rsid w:val="00272A98"/>
    <w:rsid w:val="002758DF"/>
    <w:rsid w:val="00277EE8"/>
    <w:rsid w:val="00282B40"/>
    <w:rsid w:val="00282BCE"/>
    <w:rsid w:val="0028523B"/>
    <w:rsid w:val="00286395"/>
    <w:rsid w:val="0028644A"/>
    <w:rsid w:val="0028669E"/>
    <w:rsid w:val="00287EF3"/>
    <w:rsid w:val="0029013F"/>
    <w:rsid w:val="002928B5"/>
    <w:rsid w:val="00292D36"/>
    <w:rsid w:val="0029392A"/>
    <w:rsid w:val="00293CD4"/>
    <w:rsid w:val="00296375"/>
    <w:rsid w:val="00297188"/>
    <w:rsid w:val="00297452"/>
    <w:rsid w:val="002A0558"/>
    <w:rsid w:val="002A298E"/>
    <w:rsid w:val="002A399E"/>
    <w:rsid w:val="002A3C58"/>
    <w:rsid w:val="002A4CC4"/>
    <w:rsid w:val="002A5A2C"/>
    <w:rsid w:val="002B2939"/>
    <w:rsid w:val="002B32D6"/>
    <w:rsid w:val="002B44AD"/>
    <w:rsid w:val="002B48D5"/>
    <w:rsid w:val="002C0319"/>
    <w:rsid w:val="002C1521"/>
    <w:rsid w:val="002C300A"/>
    <w:rsid w:val="002C5FCA"/>
    <w:rsid w:val="002C6F11"/>
    <w:rsid w:val="002D298D"/>
    <w:rsid w:val="002D2FEF"/>
    <w:rsid w:val="002D3F6F"/>
    <w:rsid w:val="002D4586"/>
    <w:rsid w:val="002D6AC3"/>
    <w:rsid w:val="002D7131"/>
    <w:rsid w:val="002D75FA"/>
    <w:rsid w:val="002D7DC1"/>
    <w:rsid w:val="002E0A62"/>
    <w:rsid w:val="002E2AAA"/>
    <w:rsid w:val="002E4FCB"/>
    <w:rsid w:val="002E504D"/>
    <w:rsid w:val="002E5E3D"/>
    <w:rsid w:val="002F088D"/>
    <w:rsid w:val="002F1065"/>
    <w:rsid w:val="002F30D6"/>
    <w:rsid w:val="002F32CF"/>
    <w:rsid w:val="002F464A"/>
    <w:rsid w:val="002F4F04"/>
    <w:rsid w:val="002F5999"/>
    <w:rsid w:val="002F64EB"/>
    <w:rsid w:val="002F7604"/>
    <w:rsid w:val="003019EF"/>
    <w:rsid w:val="00304869"/>
    <w:rsid w:val="00304F63"/>
    <w:rsid w:val="00305A63"/>
    <w:rsid w:val="003107E0"/>
    <w:rsid w:val="003144F8"/>
    <w:rsid w:val="00314F19"/>
    <w:rsid w:val="00320DE4"/>
    <w:rsid w:val="00320DF9"/>
    <w:rsid w:val="00321197"/>
    <w:rsid w:val="00322162"/>
    <w:rsid w:val="00322FB8"/>
    <w:rsid w:val="00323081"/>
    <w:rsid w:val="0032386E"/>
    <w:rsid w:val="003240AF"/>
    <w:rsid w:val="003250F1"/>
    <w:rsid w:val="003272F8"/>
    <w:rsid w:val="00331F3F"/>
    <w:rsid w:val="00333CB9"/>
    <w:rsid w:val="00335685"/>
    <w:rsid w:val="00335BA4"/>
    <w:rsid w:val="0034349C"/>
    <w:rsid w:val="00350957"/>
    <w:rsid w:val="0035253E"/>
    <w:rsid w:val="00353EED"/>
    <w:rsid w:val="00357763"/>
    <w:rsid w:val="00357A86"/>
    <w:rsid w:val="00360552"/>
    <w:rsid w:val="00360DE7"/>
    <w:rsid w:val="0036335A"/>
    <w:rsid w:val="00363584"/>
    <w:rsid w:val="00365F9C"/>
    <w:rsid w:val="0036636D"/>
    <w:rsid w:val="00366F47"/>
    <w:rsid w:val="0036774E"/>
    <w:rsid w:val="00367DA1"/>
    <w:rsid w:val="00372E23"/>
    <w:rsid w:val="00376B35"/>
    <w:rsid w:val="003804EF"/>
    <w:rsid w:val="003825B1"/>
    <w:rsid w:val="0038323D"/>
    <w:rsid w:val="00384843"/>
    <w:rsid w:val="00384C8F"/>
    <w:rsid w:val="003850F1"/>
    <w:rsid w:val="00385CD1"/>
    <w:rsid w:val="00386E77"/>
    <w:rsid w:val="00391BBC"/>
    <w:rsid w:val="0039222D"/>
    <w:rsid w:val="0039246F"/>
    <w:rsid w:val="003928A2"/>
    <w:rsid w:val="00394300"/>
    <w:rsid w:val="00394830"/>
    <w:rsid w:val="003973AF"/>
    <w:rsid w:val="0039781E"/>
    <w:rsid w:val="003A0C21"/>
    <w:rsid w:val="003A1042"/>
    <w:rsid w:val="003A121C"/>
    <w:rsid w:val="003A4177"/>
    <w:rsid w:val="003A4388"/>
    <w:rsid w:val="003A627F"/>
    <w:rsid w:val="003A7491"/>
    <w:rsid w:val="003A76C5"/>
    <w:rsid w:val="003B3E1A"/>
    <w:rsid w:val="003B4690"/>
    <w:rsid w:val="003B4E8A"/>
    <w:rsid w:val="003B55A3"/>
    <w:rsid w:val="003B5E7C"/>
    <w:rsid w:val="003B686B"/>
    <w:rsid w:val="003C3304"/>
    <w:rsid w:val="003C4238"/>
    <w:rsid w:val="003C4A20"/>
    <w:rsid w:val="003C4F59"/>
    <w:rsid w:val="003C50C7"/>
    <w:rsid w:val="003C61A5"/>
    <w:rsid w:val="003C632E"/>
    <w:rsid w:val="003C6CA0"/>
    <w:rsid w:val="003D1C40"/>
    <w:rsid w:val="003D2F29"/>
    <w:rsid w:val="003D3C88"/>
    <w:rsid w:val="003D6377"/>
    <w:rsid w:val="003D697A"/>
    <w:rsid w:val="003E06B7"/>
    <w:rsid w:val="003E3522"/>
    <w:rsid w:val="003E3D86"/>
    <w:rsid w:val="003F1ADA"/>
    <w:rsid w:val="003F252C"/>
    <w:rsid w:val="003F5648"/>
    <w:rsid w:val="003F7466"/>
    <w:rsid w:val="00400855"/>
    <w:rsid w:val="00401BE3"/>
    <w:rsid w:val="00402C19"/>
    <w:rsid w:val="00403D64"/>
    <w:rsid w:val="004049EA"/>
    <w:rsid w:val="00406E8B"/>
    <w:rsid w:val="00407944"/>
    <w:rsid w:val="004118EE"/>
    <w:rsid w:val="0041227A"/>
    <w:rsid w:val="00416012"/>
    <w:rsid w:val="00416479"/>
    <w:rsid w:val="00416B96"/>
    <w:rsid w:val="00417208"/>
    <w:rsid w:val="00417266"/>
    <w:rsid w:val="0042291A"/>
    <w:rsid w:val="00424629"/>
    <w:rsid w:val="00425710"/>
    <w:rsid w:val="00426987"/>
    <w:rsid w:val="004301AD"/>
    <w:rsid w:val="00430731"/>
    <w:rsid w:val="00431499"/>
    <w:rsid w:val="0043248C"/>
    <w:rsid w:val="00433B17"/>
    <w:rsid w:val="00434416"/>
    <w:rsid w:val="004357E4"/>
    <w:rsid w:val="00437D47"/>
    <w:rsid w:val="0044087C"/>
    <w:rsid w:val="00440B72"/>
    <w:rsid w:val="0044256C"/>
    <w:rsid w:val="00443258"/>
    <w:rsid w:val="00444F80"/>
    <w:rsid w:val="004472F7"/>
    <w:rsid w:val="0044790D"/>
    <w:rsid w:val="004500EC"/>
    <w:rsid w:val="00450F4B"/>
    <w:rsid w:val="004533D1"/>
    <w:rsid w:val="00464778"/>
    <w:rsid w:val="00465EA5"/>
    <w:rsid w:val="00466F21"/>
    <w:rsid w:val="00467ED1"/>
    <w:rsid w:val="00470492"/>
    <w:rsid w:val="0047161B"/>
    <w:rsid w:val="0047181C"/>
    <w:rsid w:val="00472B46"/>
    <w:rsid w:val="00472D05"/>
    <w:rsid w:val="004730AC"/>
    <w:rsid w:val="0047398A"/>
    <w:rsid w:val="0047502F"/>
    <w:rsid w:val="004752B9"/>
    <w:rsid w:val="00475E25"/>
    <w:rsid w:val="004829F2"/>
    <w:rsid w:val="00482ADE"/>
    <w:rsid w:val="00484234"/>
    <w:rsid w:val="0048466C"/>
    <w:rsid w:val="00485247"/>
    <w:rsid w:val="0048677E"/>
    <w:rsid w:val="00487054"/>
    <w:rsid w:val="004876BE"/>
    <w:rsid w:val="00491775"/>
    <w:rsid w:val="00492E92"/>
    <w:rsid w:val="00493AE4"/>
    <w:rsid w:val="004946CD"/>
    <w:rsid w:val="00494C12"/>
    <w:rsid w:val="004956EA"/>
    <w:rsid w:val="00497016"/>
    <w:rsid w:val="0049752F"/>
    <w:rsid w:val="004A0328"/>
    <w:rsid w:val="004A19EC"/>
    <w:rsid w:val="004A1F20"/>
    <w:rsid w:val="004A2384"/>
    <w:rsid w:val="004A326E"/>
    <w:rsid w:val="004A452F"/>
    <w:rsid w:val="004A54B8"/>
    <w:rsid w:val="004A69E3"/>
    <w:rsid w:val="004A7623"/>
    <w:rsid w:val="004B0475"/>
    <w:rsid w:val="004B18F9"/>
    <w:rsid w:val="004B22DA"/>
    <w:rsid w:val="004B2515"/>
    <w:rsid w:val="004B2CF3"/>
    <w:rsid w:val="004B402E"/>
    <w:rsid w:val="004B442F"/>
    <w:rsid w:val="004B47C0"/>
    <w:rsid w:val="004B55F5"/>
    <w:rsid w:val="004B607F"/>
    <w:rsid w:val="004B6FE7"/>
    <w:rsid w:val="004C1040"/>
    <w:rsid w:val="004C13D4"/>
    <w:rsid w:val="004C251C"/>
    <w:rsid w:val="004C2AB4"/>
    <w:rsid w:val="004C2B2A"/>
    <w:rsid w:val="004C433D"/>
    <w:rsid w:val="004C53CE"/>
    <w:rsid w:val="004C5425"/>
    <w:rsid w:val="004C715B"/>
    <w:rsid w:val="004C7FDB"/>
    <w:rsid w:val="004D1090"/>
    <w:rsid w:val="004D28E8"/>
    <w:rsid w:val="004D3578"/>
    <w:rsid w:val="004D36A3"/>
    <w:rsid w:val="004D4602"/>
    <w:rsid w:val="004D47D8"/>
    <w:rsid w:val="004D483D"/>
    <w:rsid w:val="004D6D33"/>
    <w:rsid w:val="004D7082"/>
    <w:rsid w:val="004E0716"/>
    <w:rsid w:val="004E0A3B"/>
    <w:rsid w:val="004E3234"/>
    <w:rsid w:val="004E37EF"/>
    <w:rsid w:val="004E5603"/>
    <w:rsid w:val="004E5AF3"/>
    <w:rsid w:val="004E6188"/>
    <w:rsid w:val="004E6ECA"/>
    <w:rsid w:val="004E7999"/>
    <w:rsid w:val="004F2BF6"/>
    <w:rsid w:val="004F5254"/>
    <w:rsid w:val="004F59A4"/>
    <w:rsid w:val="004F5DDE"/>
    <w:rsid w:val="004F6F69"/>
    <w:rsid w:val="004F76B3"/>
    <w:rsid w:val="004F76E1"/>
    <w:rsid w:val="0050017D"/>
    <w:rsid w:val="00502486"/>
    <w:rsid w:val="00502496"/>
    <w:rsid w:val="00503008"/>
    <w:rsid w:val="00503754"/>
    <w:rsid w:val="005052E0"/>
    <w:rsid w:val="00505311"/>
    <w:rsid w:val="00506DC9"/>
    <w:rsid w:val="00512F41"/>
    <w:rsid w:val="00515138"/>
    <w:rsid w:val="00517D37"/>
    <w:rsid w:val="00520E4B"/>
    <w:rsid w:val="00521B57"/>
    <w:rsid w:val="00522B73"/>
    <w:rsid w:val="005231ED"/>
    <w:rsid w:val="00523C4A"/>
    <w:rsid w:val="005250B5"/>
    <w:rsid w:val="005274D1"/>
    <w:rsid w:val="00530C88"/>
    <w:rsid w:val="00532D93"/>
    <w:rsid w:val="00532E40"/>
    <w:rsid w:val="005339AC"/>
    <w:rsid w:val="00535811"/>
    <w:rsid w:val="00536897"/>
    <w:rsid w:val="0053709B"/>
    <w:rsid w:val="005377B4"/>
    <w:rsid w:val="00541E33"/>
    <w:rsid w:val="00542A68"/>
    <w:rsid w:val="005447A9"/>
    <w:rsid w:val="00546137"/>
    <w:rsid w:val="005464F3"/>
    <w:rsid w:val="00546B2C"/>
    <w:rsid w:val="005478FD"/>
    <w:rsid w:val="00550BD4"/>
    <w:rsid w:val="00551720"/>
    <w:rsid w:val="00551A22"/>
    <w:rsid w:val="0055217B"/>
    <w:rsid w:val="00553EEA"/>
    <w:rsid w:val="00554082"/>
    <w:rsid w:val="00555915"/>
    <w:rsid w:val="00556503"/>
    <w:rsid w:val="00556F98"/>
    <w:rsid w:val="00561C20"/>
    <w:rsid w:val="0056499E"/>
    <w:rsid w:val="00565A38"/>
    <w:rsid w:val="00566CC6"/>
    <w:rsid w:val="0057204B"/>
    <w:rsid w:val="00572BA1"/>
    <w:rsid w:val="00572DE0"/>
    <w:rsid w:val="00576D5C"/>
    <w:rsid w:val="00580B71"/>
    <w:rsid w:val="0058236C"/>
    <w:rsid w:val="005827EB"/>
    <w:rsid w:val="005832AC"/>
    <w:rsid w:val="00585555"/>
    <w:rsid w:val="00587271"/>
    <w:rsid w:val="00587AD4"/>
    <w:rsid w:val="0059381B"/>
    <w:rsid w:val="00594D99"/>
    <w:rsid w:val="00596A51"/>
    <w:rsid w:val="005972DF"/>
    <w:rsid w:val="005A202C"/>
    <w:rsid w:val="005A2C1F"/>
    <w:rsid w:val="005A3385"/>
    <w:rsid w:val="005A3D8F"/>
    <w:rsid w:val="005A48CF"/>
    <w:rsid w:val="005A52DD"/>
    <w:rsid w:val="005A5E18"/>
    <w:rsid w:val="005A60E1"/>
    <w:rsid w:val="005A68D4"/>
    <w:rsid w:val="005A7CE3"/>
    <w:rsid w:val="005B0762"/>
    <w:rsid w:val="005B085F"/>
    <w:rsid w:val="005B2466"/>
    <w:rsid w:val="005B2E28"/>
    <w:rsid w:val="005B34E3"/>
    <w:rsid w:val="005B3BE2"/>
    <w:rsid w:val="005C02AD"/>
    <w:rsid w:val="005C48BF"/>
    <w:rsid w:val="005C638B"/>
    <w:rsid w:val="005D0471"/>
    <w:rsid w:val="005D0A11"/>
    <w:rsid w:val="005D2450"/>
    <w:rsid w:val="005D2595"/>
    <w:rsid w:val="005D4221"/>
    <w:rsid w:val="005D46A1"/>
    <w:rsid w:val="005D5515"/>
    <w:rsid w:val="005D5883"/>
    <w:rsid w:val="005D6A5F"/>
    <w:rsid w:val="005E0089"/>
    <w:rsid w:val="005E2998"/>
    <w:rsid w:val="005E2E9C"/>
    <w:rsid w:val="005E36F0"/>
    <w:rsid w:val="005E4504"/>
    <w:rsid w:val="005F5035"/>
    <w:rsid w:val="005F50F9"/>
    <w:rsid w:val="005F69D6"/>
    <w:rsid w:val="005F6AA9"/>
    <w:rsid w:val="0060274F"/>
    <w:rsid w:val="00602CD7"/>
    <w:rsid w:val="006030CB"/>
    <w:rsid w:val="006042E6"/>
    <w:rsid w:val="006048DE"/>
    <w:rsid w:val="006061D4"/>
    <w:rsid w:val="00606403"/>
    <w:rsid w:val="00607AD1"/>
    <w:rsid w:val="00607B27"/>
    <w:rsid w:val="00610032"/>
    <w:rsid w:val="006102CB"/>
    <w:rsid w:val="006102D9"/>
    <w:rsid w:val="006106F3"/>
    <w:rsid w:val="006115E1"/>
    <w:rsid w:val="00612222"/>
    <w:rsid w:val="0061588B"/>
    <w:rsid w:val="00615A5B"/>
    <w:rsid w:val="00615CE8"/>
    <w:rsid w:val="00615EAC"/>
    <w:rsid w:val="0062035B"/>
    <w:rsid w:val="006232C1"/>
    <w:rsid w:val="00623E78"/>
    <w:rsid w:val="00625502"/>
    <w:rsid w:val="00625F41"/>
    <w:rsid w:val="006261B9"/>
    <w:rsid w:val="00626D10"/>
    <w:rsid w:val="00627720"/>
    <w:rsid w:val="00630424"/>
    <w:rsid w:val="00631347"/>
    <w:rsid w:val="006322CF"/>
    <w:rsid w:val="00632892"/>
    <w:rsid w:val="00632893"/>
    <w:rsid w:val="0063446F"/>
    <w:rsid w:val="006365AC"/>
    <w:rsid w:val="006374D1"/>
    <w:rsid w:val="00637B27"/>
    <w:rsid w:val="00641152"/>
    <w:rsid w:val="00641443"/>
    <w:rsid w:val="00641679"/>
    <w:rsid w:val="006419D9"/>
    <w:rsid w:val="00646184"/>
    <w:rsid w:val="00653476"/>
    <w:rsid w:val="00653E91"/>
    <w:rsid w:val="006567B0"/>
    <w:rsid w:val="00657A31"/>
    <w:rsid w:val="00657F77"/>
    <w:rsid w:val="00663811"/>
    <w:rsid w:val="0066473E"/>
    <w:rsid w:val="006669F9"/>
    <w:rsid w:val="0066757C"/>
    <w:rsid w:val="0067033B"/>
    <w:rsid w:val="006715E6"/>
    <w:rsid w:val="00671718"/>
    <w:rsid w:val="00672ADE"/>
    <w:rsid w:val="006737AA"/>
    <w:rsid w:val="00674AA5"/>
    <w:rsid w:val="00676AA8"/>
    <w:rsid w:val="00676FD7"/>
    <w:rsid w:val="00680C64"/>
    <w:rsid w:val="00682D77"/>
    <w:rsid w:val="00684015"/>
    <w:rsid w:val="006861E5"/>
    <w:rsid w:val="00690415"/>
    <w:rsid w:val="00693EB9"/>
    <w:rsid w:val="00694308"/>
    <w:rsid w:val="00697F86"/>
    <w:rsid w:val="006A2153"/>
    <w:rsid w:val="006A44DC"/>
    <w:rsid w:val="006A4C09"/>
    <w:rsid w:val="006A5565"/>
    <w:rsid w:val="006A65B1"/>
    <w:rsid w:val="006B0BF6"/>
    <w:rsid w:val="006B2029"/>
    <w:rsid w:val="006B3C24"/>
    <w:rsid w:val="006B46C2"/>
    <w:rsid w:val="006B4D51"/>
    <w:rsid w:val="006B5524"/>
    <w:rsid w:val="006B60CA"/>
    <w:rsid w:val="006B753E"/>
    <w:rsid w:val="006C0B96"/>
    <w:rsid w:val="006C3442"/>
    <w:rsid w:val="006C5925"/>
    <w:rsid w:val="006C719F"/>
    <w:rsid w:val="006D13E9"/>
    <w:rsid w:val="006E1083"/>
    <w:rsid w:val="006E1986"/>
    <w:rsid w:val="006E3358"/>
    <w:rsid w:val="006E4626"/>
    <w:rsid w:val="006E60D7"/>
    <w:rsid w:val="006E66E7"/>
    <w:rsid w:val="006E732B"/>
    <w:rsid w:val="006F07BD"/>
    <w:rsid w:val="006F0BD2"/>
    <w:rsid w:val="006F40F3"/>
    <w:rsid w:val="006F41A6"/>
    <w:rsid w:val="006F4FF5"/>
    <w:rsid w:val="007014A2"/>
    <w:rsid w:val="007019EB"/>
    <w:rsid w:val="00701AA5"/>
    <w:rsid w:val="007025DF"/>
    <w:rsid w:val="00702A43"/>
    <w:rsid w:val="00705176"/>
    <w:rsid w:val="00706040"/>
    <w:rsid w:val="007061B5"/>
    <w:rsid w:val="00707098"/>
    <w:rsid w:val="00707631"/>
    <w:rsid w:val="00707A90"/>
    <w:rsid w:val="0071046D"/>
    <w:rsid w:val="00710BD6"/>
    <w:rsid w:val="00711848"/>
    <w:rsid w:val="007119EF"/>
    <w:rsid w:val="00711B3B"/>
    <w:rsid w:val="00714136"/>
    <w:rsid w:val="00715CD8"/>
    <w:rsid w:val="00716404"/>
    <w:rsid w:val="007169E0"/>
    <w:rsid w:val="0071796E"/>
    <w:rsid w:val="00717989"/>
    <w:rsid w:val="00720118"/>
    <w:rsid w:val="00723F09"/>
    <w:rsid w:val="0072442C"/>
    <w:rsid w:val="00725DD5"/>
    <w:rsid w:val="0072616C"/>
    <w:rsid w:val="007269A9"/>
    <w:rsid w:val="007308AD"/>
    <w:rsid w:val="00733F77"/>
    <w:rsid w:val="00734F7E"/>
    <w:rsid w:val="00737311"/>
    <w:rsid w:val="00741DE3"/>
    <w:rsid w:val="00741E92"/>
    <w:rsid w:val="0074361B"/>
    <w:rsid w:val="007457F1"/>
    <w:rsid w:val="007458ED"/>
    <w:rsid w:val="00747956"/>
    <w:rsid w:val="00747B31"/>
    <w:rsid w:val="007509C8"/>
    <w:rsid w:val="00750E13"/>
    <w:rsid w:val="00754259"/>
    <w:rsid w:val="0075527B"/>
    <w:rsid w:val="00755544"/>
    <w:rsid w:val="00756286"/>
    <w:rsid w:val="00760B94"/>
    <w:rsid w:val="00761D57"/>
    <w:rsid w:val="00761EE8"/>
    <w:rsid w:val="007630D9"/>
    <w:rsid w:val="0076343E"/>
    <w:rsid w:val="00766080"/>
    <w:rsid w:val="007666E3"/>
    <w:rsid w:val="00766BF9"/>
    <w:rsid w:val="00767307"/>
    <w:rsid w:val="00767A9D"/>
    <w:rsid w:val="00767DCF"/>
    <w:rsid w:val="0077347B"/>
    <w:rsid w:val="00773686"/>
    <w:rsid w:val="0077399B"/>
    <w:rsid w:val="007739B5"/>
    <w:rsid w:val="00774862"/>
    <w:rsid w:val="00774E06"/>
    <w:rsid w:val="00775E2A"/>
    <w:rsid w:val="00776028"/>
    <w:rsid w:val="00776BA3"/>
    <w:rsid w:val="00777A84"/>
    <w:rsid w:val="007804C8"/>
    <w:rsid w:val="00781702"/>
    <w:rsid w:val="00782B0B"/>
    <w:rsid w:val="00782D92"/>
    <w:rsid w:val="00783EE4"/>
    <w:rsid w:val="00790E00"/>
    <w:rsid w:val="00792032"/>
    <w:rsid w:val="0079223B"/>
    <w:rsid w:val="00792EB0"/>
    <w:rsid w:val="00793A9A"/>
    <w:rsid w:val="0079576E"/>
    <w:rsid w:val="00795CD6"/>
    <w:rsid w:val="007A10A0"/>
    <w:rsid w:val="007A2B20"/>
    <w:rsid w:val="007A3528"/>
    <w:rsid w:val="007A5348"/>
    <w:rsid w:val="007B1056"/>
    <w:rsid w:val="007B12F6"/>
    <w:rsid w:val="007B23B1"/>
    <w:rsid w:val="007B2CDA"/>
    <w:rsid w:val="007B30FA"/>
    <w:rsid w:val="007C16F2"/>
    <w:rsid w:val="007C1CCE"/>
    <w:rsid w:val="007C262A"/>
    <w:rsid w:val="007C2939"/>
    <w:rsid w:val="007C37FF"/>
    <w:rsid w:val="007C4F80"/>
    <w:rsid w:val="007C5546"/>
    <w:rsid w:val="007C57A2"/>
    <w:rsid w:val="007C61C3"/>
    <w:rsid w:val="007C634A"/>
    <w:rsid w:val="007C720E"/>
    <w:rsid w:val="007D36B9"/>
    <w:rsid w:val="007D4210"/>
    <w:rsid w:val="007D4594"/>
    <w:rsid w:val="007D46E2"/>
    <w:rsid w:val="007D4DBE"/>
    <w:rsid w:val="007D57D6"/>
    <w:rsid w:val="007D6907"/>
    <w:rsid w:val="007D6C9F"/>
    <w:rsid w:val="007D6CCB"/>
    <w:rsid w:val="007D7860"/>
    <w:rsid w:val="007E0450"/>
    <w:rsid w:val="007E07DF"/>
    <w:rsid w:val="007E1505"/>
    <w:rsid w:val="007E45B6"/>
    <w:rsid w:val="007E4A45"/>
    <w:rsid w:val="007E4CBF"/>
    <w:rsid w:val="007E745D"/>
    <w:rsid w:val="007E797F"/>
    <w:rsid w:val="007F1C7A"/>
    <w:rsid w:val="007F1E5D"/>
    <w:rsid w:val="007F7227"/>
    <w:rsid w:val="008006DC"/>
    <w:rsid w:val="008042B2"/>
    <w:rsid w:val="008046C2"/>
    <w:rsid w:val="0080565B"/>
    <w:rsid w:val="008059DB"/>
    <w:rsid w:val="00805CEF"/>
    <w:rsid w:val="008062C5"/>
    <w:rsid w:val="00807424"/>
    <w:rsid w:val="00810E9D"/>
    <w:rsid w:val="00811399"/>
    <w:rsid w:val="00811C7B"/>
    <w:rsid w:val="008131C8"/>
    <w:rsid w:val="00815FD1"/>
    <w:rsid w:val="008167D4"/>
    <w:rsid w:val="0081724A"/>
    <w:rsid w:val="008179E1"/>
    <w:rsid w:val="008209F1"/>
    <w:rsid w:val="008211AE"/>
    <w:rsid w:val="00822DDE"/>
    <w:rsid w:val="008260EB"/>
    <w:rsid w:val="008261F3"/>
    <w:rsid w:val="00830F0D"/>
    <w:rsid w:val="00831E76"/>
    <w:rsid w:val="0083239C"/>
    <w:rsid w:val="00833F4F"/>
    <w:rsid w:val="00841E81"/>
    <w:rsid w:val="008430C9"/>
    <w:rsid w:val="0084477D"/>
    <w:rsid w:val="0084531C"/>
    <w:rsid w:val="00845DA9"/>
    <w:rsid w:val="00845F2A"/>
    <w:rsid w:val="008469B4"/>
    <w:rsid w:val="008476D1"/>
    <w:rsid w:val="00847B4D"/>
    <w:rsid w:val="00847D62"/>
    <w:rsid w:val="00850E95"/>
    <w:rsid w:val="00851097"/>
    <w:rsid w:val="00852430"/>
    <w:rsid w:val="008549D1"/>
    <w:rsid w:val="00855821"/>
    <w:rsid w:val="0085789D"/>
    <w:rsid w:val="00857F21"/>
    <w:rsid w:val="008602C7"/>
    <w:rsid w:val="00860EF5"/>
    <w:rsid w:val="00861D75"/>
    <w:rsid w:val="00863467"/>
    <w:rsid w:val="00865312"/>
    <w:rsid w:val="008662B6"/>
    <w:rsid w:val="00866A3E"/>
    <w:rsid w:val="0086776C"/>
    <w:rsid w:val="008711A7"/>
    <w:rsid w:val="00871BFC"/>
    <w:rsid w:val="00873190"/>
    <w:rsid w:val="008731E3"/>
    <w:rsid w:val="00873678"/>
    <w:rsid w:val="00874026"/>
    <w:rsid w:val="0088247B"/>
    <w:rsid w:val="00882891"/>
    <w:rsid w:val="00882ABB"/>
    <w:rsid w:val="00882FFE"/>
    <w:rsid w:val="0088477E"/>
    <w:rsid w:val="008853E8"/>
    <w:rsid w:val="00887674"/>
    <w:rsid w:val="008900EE"/>
    <w:rsid w:val="008919C7"/>
    <w:rsid w:val="00895371"/>
    <w:rsid w:val="00897953"/>
    <w:rsid w:val="008A3CE1"/>
    <w:rsid w:val="008A4A2D"/>
    <w:rsid w:val="008A5603"/>
    <w:rsid w:val="008A63C7"/>
    <w:rsid w:val="008A677F"/>
    <w:rsid w:val="008A77F6"/>
    <w:rsid w:val="008B0C77"/>
    <w:rsid w:val="008B3CE8"/>
    <w:rsid w:val="008B3E6E"/>
    <w:rsid w:val="008B42E3"/>
    <w:rsid w:val="008B4A93"/>
    <w:rsid w:val="008B63E7"/>
    <w:rsid w:val="008B6427"/>
    <w:rsid w:val="008B6E97"/>
    <w:rsid w:val="008B74D3"/>
    <w:rsid w:val="008C1CA6"/>
    <w:rsid w:val="008C2948"/>
    <w:rsid w:val="008C2C0D"/>
    <w:rsid w:val="008C2E92"/>
    <w:rsid w:val="008C30CA"/>
    <w:rsid w:val="008C4FA0"/>
    <w:rsid w:val="008C5238"/>
    <w:rsid w:val="008C54C0"/>
    <w:rsid w:val="008C6256"/>
    <w:rsid w:val="008C6DB0"/>
    <w:rsid w:val="008D1CDF"/>
    <w:rsid w:val="008D1EE2"/>
    <w:rsid w:val="008D25DD"/>
    <w:rsid w:val="008D3537"/>
    <w:rsid w:val="008D3624"/>
    <w:rsid w:val="008D49BC"/>
    <w:rsid w:val="008D71B3"/>
    <w:rsid w:val="008D7640"/>
    <w:rsid w:val="008E0479"/>
    <w:rsid w:val="008E1F93"/>
    <w:rsid w:val="008E4050"/>
    <w:rsid w:val="008E51FD"/>
    <w:rsid w:val="008E6F4E"/>
    <w:rsid w:val="008E71AE"/>
    <w:rsid w:val="008E742E"/>
    <w:rsid w:val="008F03C3"/>
    <w:rsid w:val="008F0BC8"/>
    <w:rsid w:val="008F0E14"/>
    <w:rsid w:val="008F0F41"/>
    <w:rsid w:val="008F225A"/>
    <w:rsid w:val="008F3A75"/>
    <w:rsid w:val="008F6FCF"/>
    <w:rsid w:val="008F7130"/>
    <w:rsid w:val="00901312"/>
    <w:rsid w:val="00903D47"/>
    <w:rsid w:val="00903FF1"/>
    <w:rsid w:val="00904805"/>
    <w:rsid w:val="009049B2"/>
    <w:rsid w:val="00905176"/>
    <w:rsid w:val="00905231"/>
    <w:rsid w:val="00905753"/>
    <w:rsid w:val="00905D8B"/>
    <w:rsid w:val="00910C16"/>
    <w:rsid w:val="0091148F"/>
    <w:rsid w:val="00911D1E"/>
    <w:rsid w:val="00911E8A"/>
    <w:rsid w:val="0091271D"/>
    <w:rsid w:val="00912FA7"/>
    <w:rsid w:val="00915840"/>
    <w:rsid w:val="009161C2"/>
    <w:rsid w:val="00916BC9"/>
    <w:rsid w:val="009170CA"/>
    <w:rsid w:val="00920D31"/>
    <w:rsid w:val="00921CD2"/>
    <w:rsid w:val="00923CED"/>
    <w:rsid w:val="00923ED3"/>
    <w:rsid w:val="009244C9"/>
    <w:rsid w:val="0092464D"/>
    <w:rsid w:val="00934101"/>
    <w:rsid w:val="00934E16"/>
    <w:rsid w:val="00935D25"/>
    <w:rsid w:val="00937F59"/>
    <w:rsid w:val="009413A4"/>
    <w:rsid w:val="00942E38"/>
    <w:rsid w:val="0094395E"/>
    <w:rsid w:val="00944DF9"/>
    <w:rsid w:val="0094585F"/>
    <w:rsid w:val="00946B71"/>
    <w:rsid w:val="00946E5A"/>
    <w:rsid w:val="00951F34"/>
    <w:rsid w:val="00953772"/>
    <w:rsid w:val="009570D7"/>
    <w:rsid w:val="00957BC5"/>
    <w:rsid w:val="00961B80"/>
    <w:rsid w:val="00962FB5"/>
    <w:rsid w:val="009647D4"/>
    <w:rsid w:val="00966FBE"/>
    <w:rsid w:val="00971384"/>
    <w:rsid w:val="009716BC"/>
    <w:rsid w:val="00972EF3"/>
    <w:rsid w:val="009739B1"/>
    <w:rsid w:val="009743F1"/>
    <w:rsid w:val="00976680"/>
    <w:rsid w:val="00976785"/>
    <w:rsid w:val="00976CDA"/>
    <w:rsid w:val="00977E51"/>
    <w:rsid w:val="009801CE"/>
    <w:rsid w:val="00980EE0"/>
    <w:rsid w:val="00981656"/>
    <w:rsid w:val="00981D5E"/>
    <w:rsid w:val="009833BC"/>
    <w:rsid w:val="0098357B"/>
    <w:rsid w:val="00984E92"/>
    <w:rsid w:val="00984FC8"/>
    <w:rsid w:val="00990148"/>
    <w:rsid w:val="00991713"/>
    <w:rsid w:val="00992A87"/>
    <w:rsid w:val="009947AA"/>
    <w:rsid w:val="009952F0"/>
    <w:rsid w:val="009958C3"/>
    <w:rsid w:val="0099591C"/>
    <w:rsid w:val="009A0D68"/>
    <w:rsid w:val="009A1175"/>
    <w:rsid w:val="009A4DBA"/>
    <w:rsid w:val="009A52B2"/>
    <w:rsid w:val="009A7B94"/>
    <w:rsid w:val="009B1EBC"/>
    <w:rsid w:val="009B2E6E"/>
    <w:rsid w:val="009B750F"/>
    <w:rsid w:val="009B7889"/>
    <w:rsid w:val="009C013B"/>
    <w:rsid w:val="009C0220"/>
    <w:rsid w:val="009C0A10"/>
    <w:rsid w:val="009C14BA"/>
    <w:rsid w:val="009C31C4"/>
    <w:rsid w:val="009C338A"/>
    <w:rsid w:val="009C724B"/>
    <w:rsid w:val="009C7587"/>
    <w:rsid w:val="009D0F98"/>
    <w:rsid w:val="009D1ACF"/>
    <w:rsid w:val="009D1DA9"/>
    <w:rsid w:val="009D3652"/>
    <w:rsid w:val="009D4520"/>
    <w:rsid w:val="009D6039"/>
    <w:rsid w:val="009D6B6F"/>
    <w:rsid w:val="009E01B4"/>
    <w:rsid w:val="009E27FD"/>
    <w:rsid w:val="009E53CF"/>
    <w:rsid w:val="009E5939"/>
    <w:rsid w:val="009E60A5"/>
    <w:rsid w:val="009E627F"/>
    <w:rsid w:val="009E7277"/>
    <w:rsid w:val="009F094B"/>
    <w:rsid w:val="009F09F8"/>
    <w:rsid w:val="009F1330"/>
    <w:rsid w:val="009F18BE"/>
    <w:rsid w:val="009F2C65"/>
    <w:rsid w:val="009F33FC"/>
    <w:rsid w:val="009F4F07"/>
    <w:rsid w:val="009F570C"/>
    <w:rsid w:val="009F6DE3"/>
    <w:rsid w:val="009F70C3"/>
    <w:rsid w:val="009F781B"/>
    <w:rsid w:val="00A0066C"/>
    <w:rsid w:val="00A02E1D"/>
    <w:rsid w:val="00A0439D"/>
    <w:rsid w:val="00A04D0C"/>
    <w:rsid w:val="00A071A5"/>
    <w:rsid w:val="00A07B0D"/>
    <w:rsid w:val="00A105D5"/>
    <w:rsid w:val="00A119B5"/>
    <w:rsid w:val="00A11E5F"/>
    <w:rsid w:val="00A1214B"/>
    <w:rsid w:val="00A13C0D"/>
    <w:rsid w:val="00A1569F"/>
    <w:rsid w:val="00A1646F"/>
    <w:rsid w:val="00A17F00"/>
    <w:rsid w:val="00A20576"/>
    <w:rsid w:val="00A20AB8"/>
    <w:rsid w:val="00A20C1B"/>
    <w:rsid w:val="00A21857"/>
    <w:rsid w:val="00A21872"/>
    <w:rsid w:val="00A22ACE"/>
    <w:rsid w:val="00A251FF"/>
    <w:rsid w:val="00A27C61"/>
    <w:rsid w:val="00A30EA9"/>
    <w:rsid w:val="00A3447E"/>
    <w:rsid w:val="00A3703E"/>
    <w:rsid w:val="00A4009C"/>
    <w:rsid w:val="00A41B1D"/>
    <w:rsid w:val="00A41B7A"/>
    <w:rsid w:val="00A43322"/>
    <w:rsid w:val="00A444F9"/>
    <w:rsid w:val="00A44B18"/>
    <w:rsid w:val="00A45C01"/>
    <w:rsid w:val="00A50EA4"/>
    <w:rsid w:val="00A5191F"/>
    <w:rsid w:val="00A53629"/>
    <w:rsid w:val="00A53BE5"/>
    <w:rsid w:val="00A5530C"/>
    <w:rsid w:val="00A55851"/>
    <w:rsid w:val="00A579CD"/>
    <w:rsid w:val="00A605DC"/>
    <w:rsid w:val="00A617AF"/>
    <w:rsid w:val="00A62302"/>
    <w:rsid w:val="00A65BD6"/>
    <w:rsid w:val="00A662E1"/>
    <w:rsid w:val="00A6702F"/>
    <w:rsid w:val="00A670B5"/>
    <w:rsid w:val="00A67CDE"/>
    <w:rsid w:val="00A70DA8"/>
    <w:rsid w:val="00A72152"/>
    <w:rsid w:val="00A7312A"/>
    <w:rsid w:val="00A731A0"/>
    <w:rsid w:val="00A73391"/>
    <w:rsid w:val="00A74BEE"/>
    <w:rsid w:val="00A75972"/>
    <w:rsid w:val="00A75BAD"/>
    <w:rsid w:val="00A8038D"/>
    <w:rsid w:val="00A84C42"/>
    <w:rsid w:val="00A876F6"/>
    <w:rsid w:val="00A9050B"/>
    <w:rsid w:val="00A90990"/>
    <w:rsid w:val="00A92110"/>
    <w:rsid w:val="00A94D60"/>
    <w:rsid w:val="00A96766"/>
    <w:rsid w:val="00AA1C5C"/>
    <w:rsid w:val="00AA5B65"/>
    <w:rsid w:val="00AA69EC"/>
    <w:rsid w:val="00AA784E"/>
    <w:rsid w:val="00AB008F"/>
    <w:rsid w:val="00AB1D9E"/>
    <w:rsid w:val="00AB2DAA"/>
    <w:rsid w:val="00AB3315"/>
    <w:rsid w:val="00AC3FF7"/>
    <w:rsid w:val="00AC4A6F"/>
    <w:rsid w:val="00AC714E"/>
    <w:rsid w:val="00AC7A89"/>
    <w:rsid w:val="00AD18CE"/>
    <w:rsid w:val="00AD19F5"/>
    <w:rsid w:val="00AD2135"/>
    <w:rsid w:val="00AD2B42"/>
    <w:rsid w:val="00AD30C8"/>
    <w:rsid w:val="00AD72D0"/>
    <w:rsid w:val="00AD739D"/>
    <w:rsid w:val="00AD7CBC"/>
    <w:rsid w:val="00AD7FE5"/>
    <w:rsid w:val="00AE02DA"/>
    <w:rsid w:val="00AE48C5"/>
    <w:rsid w:val="00AE57FF"/>
    <w:rsid w:val="00AE75A8"/>
    <w:rsid w:val="00AE77E8"/>
    <w:rsid w:val="00AE782C"/>
    <w:rsid w:val="00AF0ED0"/>
    <w:rsid w:val="00AF1D25"/>
    <w:rsid w:val="00AF1F1D"/>
    <w:rsid w:val="00AF248D"/>
    <w:rsid w:val="00AF3843"/>
    <w:rsid w:val="00AF3AF9"/>
    <w:rsid w:val="00AF3C47"/>
    <w:rsid w:val="00AF4E8C"/>
    <w:rsid w:val="00AF500F"/>
    <w:rsid w:val="00AF62C7"/>
    <w:rsid w:val="00AF635F"/>
    <w:rsid w:val="00AF7804"/>
    <w:rsid w:val="00AF7C8C"/>
    <w:rsid w:val="00B00986"/>
    <w:rsid w:val="00B01E68"/>
    <w:rsid w:val="00B01E92"/>
    <w:rsid w:val="00B01FE1"/>
    <w:rsid w:val="00B04632"/>
    <w:rsid w:val="00B06193"/>
    <w:rsid w:val="00B067C8"/>
    <w:rsid w:val="00B06C22"/>
    <w:rsid w:val="00B103C5"/>
    <w:rsid w:val="00B10EEA"/>
    <w:rsid w:val="00B121AF"/>
    <w:rsid w:val="00B12B82"/>
    <w:rsid w:val="00B14269"/>
    <w:rsid w:val="00B14E42"/>
    <w:rsid w:val="00B15850"/>
    <w:rsid w:val="00B1619C"/>
    <w:rsid w:val="00B16E39"/>
    <w:rsid w:val="00B17DFA"/>
    <w:rsid w:val="00B240DC"/>
    <w:rsid w:val="00B243E2"/>
    <w:rsid w:val="00B25338"/>
    <w:rsid w:val="00B25E80"/>
    <w:rsid w:val="00B26450"/>
    <w:rsid w:val="00B269D6"/>
    <w:rsid w:val="00B27243"/>
    <w:rsid w:val="00B276F7"/>
    <w:rsid w:val="00B30323"/>
    <w:rsid w:val="00B3039F"/>
    <w:rsid w:val="00B31105"/>
    <w:rsid w:val="00B320BB"/>
    <w:rsid w:val="00B3262B"/>
    <w:rsid w:val="00B32A80"/>
    <w:rsid w:val="00B347F3"/>
    <w:rsid w:val="00B351C3"/>
    <w:rsid w:val="00B351D4"/>
    <w:rsid w:val="00B352DF"/>
    <w:rsid w:val="00B35B48"/>
    <w:rsid w:val="00B43C87"/>
    <w:rsid w:val="00B4418E"/>
    <w:rsid w:val="00B441C7"/>
    <w:rsid w:val="00B445B8"/>
    <w:rsid w:val="00B45B34"/>
    <w:rsid w:val="00B46078"/>
    <w:rsid w:val="00B46C86"/>
    <w:rsid w:val="00B4771D"/>
    <w:rsid w:val="00B50800"/>
    <w:rsid w:val="00B51B14"/>
    <w:rsid w:val="00B51FEB"/>
    <w:rsid w:val="00B61D78"/>
    <w:rsid w:val="00B63507"/>
    <w:rsid w:val="00B63CA9"/>
    <w:rsid w:val="00B6499C"/>
    <w:rsid w:val="00B650A7"/>
    <w:rsid w:val="00B65DA5"/>
    <w:rsid w:val="00B668B1"/>
    <w:rsid w:val="00B66FF4"/>
    <w:rsid w:val="00B676FC"/>
    <w:rsid w:val="00B67C5B"/>
    <w:rsid w:val="00B67CFA"/>
    <w:rsid w:val="00B71837"/>
    <w:rsid w:val="00B71C5A"/>
    <w:rsid w:val="00B71E51"/>
    <w:rsid w:val="00B7236C"/>
    <w:rsid w:val="00B73EF8"/>
    <w:rsid w:val="00B75297"/>
    <w:rsid w:val="00B753E7"/>
    <w:rsid w:val="00B754B4"/>
    <w:rsid w:val="00B80339"/>
    <w:rsid w:val="00B80545"/>
    <w:rsid w:val="00B82919"/>
    <w:rsid w:val="00B82BF6"/>
    <w:rsid w:val="00B831EE"/>
    <w:rsid w:val="00B84310"/>
    <w:rsid w:val="00B8570B"/>
    <w:rsid w:val="00B87E92"/>
    <w:rsid w:val="00B907F9"/>
    <w:rsid w:val="00B909B8"/>
    <w:rsid w:val="00B90C4C"/>
    <w:rsid w:val="00B913C4"/>
    <w:rsid w:val="00B91CA4"/>
    <w:rsid w:val="00B93470"/>
    <w:rsid w:val="00B945EE"/>
    <w:rsid w:val="00B946FF"/>
    <w:rsid w:val="00B951E6"/>
    <w:rsid w:val="00BA005D"/>
    <w:rsid w:val="00BA0F16"/>
    <w:rsid w:val="00BA1CEA"/>
    <w:rsid w:val="00BA6789"/>
    <w:rsid w:val="00BA79D0"/>
    <w:rsid w:val="00BB12C2"/>
    <w:rsid w:val="00BB3A4C"/>
    <w:rsid w:val="00BC1E17"/>
    <w:rsid w:val="00BC1F3C"/>
    <w:rsid w:val="00BC235E"/>
    <w:rsid w:val="00BC3853"/>
    <w:rsid w:val="00BC3A42"/>
    <w:rsid w:val="00BC406B"/>
    <w:rsid w:val="00BC54A6"/>
    <w:rsid w:val="00BC59D2"/>
    <w:rsid w:val="00BD0303"/>
    <w:rsid w:val="00BD0E5F"/>
    <w:rsid w:val="00BD3973"/>
    <w:rsid w:val="00BD41BE"/>
    <w:rsid w:val="00BD54AE"/>
    <w:rsid w:val="00BE0177"/>
    <w:rsid w:val="00BE14BE"/>
    <w:rsid w:val="00BE4ABD"/>
    <w:rsid w:val="00BE57D2"/>
    <w:rsid w:val="00BE67D7"/>
    <w:rsid w:val="00BE7A8A"/>
    <w:rsid w:val="00BF0C96"/>
    <w:rsid w:val="00BF2449"/>
    <w:rsid w:val="00BF24FC"/>
    <w:rsid w:val="00BF3002"/>
    <w:rsid w:val="00BF5618"/>
    <w:rsid w:val="00C001A5"/>
    <w:rsid w:val="00C0023F"/>
    <w:rsid w:val="00C00880"/>
    <w:rsid w:val="00C023A5"/>
    <w:rsid w:val="00C034D8"/>
    <w:rsid w:val="00C06469"/>
    <w:rsid w:val="00C07123"/>
    <w:rsid w:val="00C1361E"/>
    <w:rsid w:val="00C13B8B"/>
    <w:rsid w:val="00C14159"/>
    <w:rsid w:val="00C171B9"/>
    <w:rsid w:val="00C17801"/>
    <w:rsid w:val="00C17E1D"/>
    <w:rsid w:val="00C17F6A"/>
    <w:rsid w:val="00C2032A"/>
    <w:rsid w:val="00C23BD3"/>
    <w:rsid w:val="00C2562D"/>
    <w:rsid w:val="00C26D32"/>
    <w:rsid w:val="00C277DF"/>
    <w:rsid w:val="00C30BF1"/>
    <w:rsid w:val="00C31A8E"/>
    <w:rsid w:val="00C323DF"/>
    <w:rsid w:val="00C34057"/>
    <w:rsid w:val="00C343BC"/>
    <w:rsid w:val="00C40CD6"/>
    <w:rsid w:val="00C41060"/>
    <w:rsid w:val="00C43288"/>
    <w:rsid w:val="00C435E8"/>
    <w:rsid w:val="00C449AB"/>
    <w:rsid w:val="00C451FC"/>
    <w:rsid w:val="00C45D95"/>
    <w:rsid w:val="00C46297"/>
    <w:rsid w:val="00C469AF"/>
    <w:rsid w:val="00C46BA7"/>
    <w:rsid w:val="00C50314"/>
    <w:rsid w:val="00C50DF0"/>
    <w:rsid w:val="00C52143"/>
    <w:rsid w:val="00C525CF"/>
    <w:rsid w:val="00C53C62"/>
    <w:rsid w:val="00C54B68"/>
    <w:rsid w:val="00C554EA"/>
    <w:rsid w:val="00C55E3F"/>
    <w:rsid w:val="00C619B8"/>
    <w:rsid w:val="00C619DF"/>
    <w:rsid w:val="00C62747"/>
    <w:rsid w:val="00C6349C"/>
    <w:rsid w:val="00C6365B"/>
    <w:rsid w:val="00C64D48"/>
    <w:rsid w:val="00C65832"/>
    <w:rsid w:val="00C704CB"/>
    <w:rsid w:val="00C7076F"/>
    <w:rsid w:val="00C70FFC"/>
    <w:rsid w:val="00C71B62"/>
    <w:rsid w:val="00C73EB9"/>
    <w:rsid w:val="00C748F6"/>
    <w:rsid w:val="00C76828"/>
    <w:rsid w:val="00C8045E"/>
    <w:rsid w:val="00C818A0"/>
    <w:rsid w:val="00C81BA4"/>
    <w:rsid w:val="00C83002"/>
    <w:rsid w:val="00C8391A"/>
    <w:rsid w:val="00C84EA5"/>
    <w:rsid w:val="00C84EC7"/>
    <w:rsid w:val="00C85EC5"/>
    <w:rsid w:val="00C86E8A"/>
    <w:rsid w:val="00C90064"/>
    <w:rsid w:val="00C91A39"/>
    <w:rsid w:val="00C91C9B"/>
    <w:rsid w:val="00C91EB5"/>
    <w:rsid w:val="00C97BCF"/>
    <w:rsid w:val="00CA0EA8"/>
    <w:rsid w:val="00CA5073"/>
    <w:rsid w:val="00CA5AF7"/>
    <w:rsid w:val="00CB534F"/>
    <w:rsid w:val="00CB562F"/>
    <w:rsid w:val="00CB596A"/>
    <w:rsid w:val="00CB6724"/>
    <w:rsid w:val="00CB69D3"/>
    <w:rsid w:val="00CB7F72"/>
    <w:rsid w:val="00CC0844"/>
    <w:rsid w:val="00CC3EB2"/>
    <w:rsid w:val="00CC71BA"/>
    <w:rsid w:val="00CC763A"/>
    <w:rsid w:val="00CC7DFA"/>
    <w:rsid w:val="00CD1276"/>
    <w:rsid w:val="00CD2002"/>
    <w:rsid w:val="00CD4460"/>
    <w:rsid w:val="00CD5550"/>
    <w:rsid w:val="00CD5605"/>
    <w:rsid w:val="00CE052E"/>
    <w:rsid w:val="00CE21C1"/>
    <w:rsid w:val="00CE3615"/>
    <w:rsid w:val="00CE5827"/>
    <w:rsid w:val="00CE71AC"/>
    <w:rsid w:val="00CF19C5"/>
    <w:rsid w:val="00CF39F7"/>
    <w:rsid w:val="00CF3B0B"/>
    <w:rsid w:val="00CF4503"/>
    <w:rsid w:val="00CF4871"/>
    <w:rsid w:val="00CF4E99"/>
    <w:rsid w:val="00CF6CA9"/>
    <w:rsid w:val="00D01501"/>
    <w:rsid w:val="00D016BB"/>
    <w:rsid w:val="00D028FC"/>
    <w:rsid w:val="00D0463C"/>
    <w:rsid w:val="00D04EF0"/>
    <w:rsid w:val="00D05AD1"/>
    <w:rsid w:val="00D06820"/>
    <w:rsid w:val="00D06934"/>
    <w:rsid w:val="00D112C7"/>
    <w:rsid w:val="00D1558E"/>
    <w:rsid w:val="00D155C0"/>
    <w:rsid w:val="00D1633E"/>
    <w:rsid w:val="00D171E2"/>
    <w:rsid w:val="00D20081"/>
    <w:rsid w:val="00D214EA"/>
    <w:rsid w:val="00D21DCC"/>
    <w:rsid w:val="00D2346A"/>
    <w:rsid w:val="00D24E5D"/>
    <w:rsid w:val="00D2672A"/>
    <w:rsid w:val="00D2755D"/>
    <w:rsid w:val="00D27D80"/>
    <w:rsid w:val="00D27EDF"/>
    <w:rsid w:val="00D30FB6"/>
    <w:rsid w:val="00D31012"/>
    <w:rsid w:val="00D36D06"/>
    <w:rsid w:val="00D419EE"/>
    <w:rsid w:val="00D41CF3"/>
    <w:rsid w:val="00D41D3C"/>
    <w:rsid w:val="00D41E20"/>
    <w:rsid w:val="00D46807"/>
    <w:rsid w:val="00D476E1"/>
    <w:rsid w:val="00D51991"/>
    <w:rsid w:val="00D523AA"/>
    <w:rsid w:val="00D52A51"/>
    <w:rsid w:val="00D5568B"/>
    <w:rsid w:val="00D56352"/>
    <w:rsid w:val="00D56BF6"/>
    <w:rsid w:val="00D57800"/>
    <w:rsid w:val="00D57A08"/>
    <w:rsid w:val="00D57CBF"/>
    <w:rsid w:val="00D60594"/>
    <w:rsid w:val="00D60F1A"/>
    <w:rsid w:val="00D62231"/>
    <w:rsid w:val="00D62F53"/>
    <w:rsid w:val="00D646DD"/>
    <w:rsid w:val="00D65D80"/>
    <w:rsid w:val="00D65F9A"/>
    <w:rsid w:val="00D716B9"/>
    <w:rsid w:val="00D72244"/>
    <w:rsid w:val="00D7256D"/>
    <w:rsid w:val="00D73DEA"/>
    <w:rsid w:val="00D75A08"/>
    <w:rsid w:val="00D76404"/>
    <w:rsid w:val="00D77A5D"/>
    <w:rsid w:val="00D77BE8"/>
    <w:rsid w:val="00D80716"/>
    <w:rsid w:val="00D8121F"/>
    <w:rsid w:val="00D83325"/>
    <w:rsid w:val="00D83589"/>
    <w:rsid w:val="00D84529"/>
    <w:rsid w:val="00D861AF"/>
    <w:rsid w:val="00D86DE2"/>
    <w:rsid w:val="00D87EA6"/>
    <w:rsid w:val="00D9003B"/>
    <w:rsid w:val="00D9235C"/>
    <w:rsid w:val="00D968F2"/>
    <w:rsid w:val="00D96C6E"/>
    <w:rsid w:val="00D96DA1"/>
    <w:rsid w:val="00D9753E"/>
    <w:rsid w:val="00DA06AC"/>
    <w:rsid w:val="00DA511C"/>
    <w:rsid w:val="00DA71C2"/>
    <w:rsid w:val="00DA74F0"/>
    <w:rsid w:val="00DB06CF"/>
    <w:rsid w:val="00DB267B"/>
    <w:rsid w:val="00DB3DFD"/>
    <w:rsid w:val="00DB3ECA"/>
    <w:rsid w:val="00DB4474"/>
    <w:rsid w:val="00DB472A"/>
    <w:rsid w:val="00DB6DB3"/>
    <w:rsid w:val="00DB7114"/>
    <w:rsid w:val="00DC04E7"/>
    <w:rsid w:val="00DC0659"/>
    <w:rsid w:val="00DC14C0"/>
    <w:rsid w:val="00DC27C9"/>
    <w:rsid w:val="00DC4A4F"/>
    <w:rsid w:val="00DC558C"/>
    <w:rsid w:val="00DC645A"/>
    <w:rsid w:val="00DC70A1"/>
    <w:rsid w:val="00DD174D"/>
    <w:rsid w:val="00DD2354"/>
    <w:rsid w:val="00DD31FB"/>
    <w:rsid w:val="00DD42F7"/>
    <w:rsid w:val="00DD4433"/>
    <w:rsid w:val="00DD46C0"/>
    <w:rsid w:val="00DD4DFE"/>
    <w:rsid w:val="00DD6E59"/>
    <w:rsid w:val="00DE0217"/>
    <w:rsid w:val="00DE06B6"/>
    <w:rsid w:val="00DE2A1C"/>
    <w:rsid w:val="00DE2FD3"/>
    <w:rsid w:val="00DE5928"/>
    <w:rsid w:val="00DE69AF"/>
    <w:rsid w:val="00DF086B"/>
    <w:rsid w:val="00DF22A0"/>
    <w:rsid w:val="00DF2D66"/>
    <w:rsid w:val="00DF50E5"/>
    <w:rsid w:val="00DF5A0F"/>
    <w:rsid w:val="00DF6058"/>
    <w:rsid w:val="00DF68F2"/>
    <w:rsid w:val="00E00D0D"/>
    <w:rsid w:val="00E01239"/>
    <w:rsid w:val="00E01B8A"/>
    <w:rsid w:val="00E02178"/>
    <w:rsid w:val="00E0227B"/>
    <w:rsid w:val="00E03292"/>
    <w:rsid w:val="00E0370C"/>
    <w:rsid w:val="00E04C59"/>
    <w:rsid w:val="00E050DF"/>
    <w:rsid w:val="00E055B2"/>
    <w:rsid w:val="00E06439"/>
    <w:rsid w:val="00E0689A"/>
    <w:rsid w:val="00E0713C"/>
    <w:rsid w:val="00E0771B"/>
    <w:rsid w:val="00E113E5"/>
    <w:rsid w:val="00E11433"/>
    <w:rsid w:val="00E137BC"/>
    <w:rsid w:val="00E137E0"/>
    <w:rsid w:val="00E1400F"/>
    <w:rsid w:val="00E15C35"/>
    <w:rsid w:val="00E170CA"/>
    <w:rsid w:val="00E205F7"/>
    <w:rsid w:val="00E2060E"/>
    <w:rsid w:val="00E20A71"/>
    <w:rsid w:val="00E21CFA"/>
    <w:rsid w:val="00E22ABA"/>
    <w:rsid w:val="00E233E9"/>
    <w:rsid w:val="00E25462"/>
    <w:rsid w:val="00E25EAC"/>
    <w:rsid w:val="00E26DB8"/>
    <w:rsid w:val="00E30320"/>
    <w:rsid w:val="00E31A24"/>
    <w:rsid w:val="00E323AB"/>
    <w:rsid w:val="00E32BD4"/>
    <w:rsid w:val="00E32C48"/>
    <w:rsid w:val="00E335E9"/>
    <w:rsid w:val="00E33AB2"/>
    <w:rsid w:val="00E357D8"/>
    <w:rsid w:val="00E36762"/>
    <w:rsid w:val="00E40993"/>
    <w:rsid w:val="00E41072"/>
    <w:rsid w:val="00E44251"/>
    <w:rsid w:val="00E44CC4"/>
    <w:rsid w:val="00E462EC"/>
    <w:rsid w:val="00E47064"/>
    <w:rsid w:val="00E4721E"/>
    <w:rsid w:val="00E47991"/>
    <w:rsid w:val="00E47E4E"/>
    <w:rsid w:val="00E517BB"/>
    <w:rsid w:val="00E53093"/>
    <w:rsid w:val="00E54AB9"/>
    <w:rsid w:val="00E55FB6"/>
    <w:rsid w:val="00E57D84"/>
    <w:rsid w:val="00E57EC0"/>
    <w:rsid w:val="00E62F57"/>
    <w:rsid w:val="00E635FC"/>
    <w:rsid w:val="00E6390A"/>
    <w:rsid w:val="00E63ADD"/>
    <w:rsid w:val="00E63E94"/>
    <w:rsid w:val="00E6410A"/>
    <w:rsid w:val="00E67437"/>
    <w:rsid w:val="00E705A1"/>
    <w:rsid w:val="00E71932"/>
    <w:rsid w:val="00E73980"/>
    <w:rsid w:val="00E73D2B"/>
    <w:rsid w:val="00E74AA2"/>
    <w:rsid w:val="00E7530B"/>
    <w:rsid w:val="00E77C9E"/>
    <w:rsid w:val="00E80101"/>
    <w:rsid w:val="00E8057E"/>
    <w:rsid w:val="00E80928"/>
    <w:rsid w:val="00E842BA"/>
    <w:rsid w:val="00E854D7"/>
    <w:rsid w:val="00E85F1C"/>
    <w:rsid w:val="00E875EA"/>
    <w:rsid w:val="00E9339C"/>
    <w:rsid w:val="00E93A57"/>
    <w:rsid w:val="00E93B05"/>
    <w:rsid w:val="00E94214"/>
    <w:rsid w:val="00E95309"/>
    <w:rsid w:val="00E95A8D"/>
    <w:rsid w:val="00E96585"/>
    <w:rsid w:val="00EA04C2"/>
    <w:rsid w:val="00EA0C45"/>
    <w:rsid w:val="00EA1846"/>
    <w:rsid w:val="00EA22B2"/>
    <w:rsid w:val="00EA2D76"/>
    <w:rsid w:val="00EA33E5"/>
    <w:rsid w:val="00EA62E0"/>
    <w:rsid w:val="00EB010C"/>
    <w:rsid w:val="00EB02D2"/>
    <w:rsid w:val="00EB1944"/>
    <w:rsid w:val="00EB7996"/>
    <w:rsid w:val="00EC0169"/>
    <w:rsid w:val="00EC0A5E"/>
    <w:rsid w:val="00EC1138"/>
    <w:rsid w:val="00EC197C"/>
    <w:rsid w:val="00EC1BC3"/>
    <w:rsid w:val="00EC1EE7"/>
    <w:rsid w:val="00EC4ABA"/>
    <w:rsid w:val="00EC56B6"/>
    <w:rsid w:val="00EC5ADB"/>
    <w:rsid w:val="00EC5F90"/>
    <w:rsid w:val="00EC6236"/>
    <w:rsid w:val="00EC6245"/>
    <w:rsid w:val="00EC7544"/>
    <w:rsid w:val="00ED3D1F"/>
    <w:rsid w:val="00ED5003"/>
    <w:rsid w:val="00ED5DE7"/>
    <w:rsid w:val="00ED7057"/>
    <w:rsid w:val="00EE1AB6"/>
    <w:rsid w:val="00EE6311"/>
    <w:rsid w:val="00EE6C3B"/>
    <w:rsid w:val="00EE7654"/>
    <w:rsid w:val="00EF169F"/>
    <w:rsid w:val="00EF44D4"/>
    <w:rsid w:val="00EF566A"/>
    <w:rsid w:val="00EF65E1"/>
    <w:rsid w:val="00EF731B"/>
    <w:rsid w:val="00F00944"/>
    <w:rsid w:val="00F00DC0"/>
    <w:rsid w:val="00F00F06"/>
    <w:rsid w:val="00F03CB0"/>
    <w:rsid w:val="00F05402"/>
    <w:rsid w:val="00F07EBD"/>
    <w:rsid w:val="00F12CCF"/>
    <w:rsid w:val="00F12ECD"/>
    <w:rsid w:val="00F13955"/>
    <w:rsid w:val="00F14E2E"/>
    <w:rsid w:val="00F179BB"/>
    <w:rsid w:val="00F20364"/>
    <w:rsid w:val="00F205B4"/>
    <w:rsid w:val="00F207F5"/>
    <w:rsid w:val="00F209AB"/>
    <w:rsid w:val="00F21038"/>
    <w:rsid w:val="00F22656"/>
    <w:rsid w:val="00F24358"/>
    <w:rsid w:val="00F2448D"/>
    <w:rsid w:val="00F25D84"/>
    <w:rsid w:val="00F31EBA"/>
    <w:rsid w:val="00F32A46"/>
    <w:rsid w:val="00F33BBD"/>
    <w:rsid w:val="00F36AB6"/>
    <w:rsid w:val="00F37642"/>
    <w:rsid w:val="00F42D18"/>
    <w:rsid w:val="00F438FD"/>
    <w:rsid w:val="00F45FD2"/>
    <w:rsid w:val="00F51149"/>
    <w:rsid w:val="00F52591"/>
    <w:rsid w:val="00F52D4A"/>
    <w:rsid w:val="00F53C23"/>
    <w:rsid w:val="00F55486"/>
    <w:rsid w:val="00F55F73"/>
    <w:rsid w:val="00F61CFD"/>
    <w:rsid w:val="00F70573"/>
    <w:rsid w:val="00F72356"/>
    <w:rsid w:val="00F72EE5"/>
    <w:rsid w:val="00F76843"/>
    <w:rsid w:val="00F76E5B"/>
    <w:rsid w:val="00F80B51"/>
    <w:rsid w:val="00F82AFF"/>
    <w:rsid w:val="00F82D19"/>
    <w:rsid w:val="00F838C9"/>
    <w:rsid w:val="00F83D1C"/>
    <w:rsid w:val="00F84EAC"/>
    <w:rsid w:val="00F85A79"/>
    <w:rsid w:val="00F86802"/>
    <w:rsid w:val="00F87090"/>
    <w:rsid w:val="00F87E46"/>
    <w:rsid w:val="00F91803"/>
    <w:rsid w:val="00F9369D"/>
    <w:rsid w:val="00F93AAC"/>
    <w:rsid w:val="00F9566C"/>
    <w:rsid w:val="00F95EEF"/>
    <w:rsid w:val="00FA14C5"/>
    <w:rsid w:val="00FA15C0"/>
    <w:rsid w:val="00FA2558"/>
    <w:rsid w:val="00FA312E"/>
    <w:rsid w:val="00FA3450"/>
    <w:rsid w:val="00FA43CD"/>
    <w:rsid w:val="00FA4CA6"/>
    <w:rsid w:val="00FA51D0"/>
    <w:rsid w:val="00FA5F47"/>
    <w:rsid w:val="00FA78B4"/>
    <w:rsid w:val="00FB05D9"/>
    <w:rsid w:val="00FB541F"/>
    <w:rsid w:val="00FB7BE4"/>
    <w:rsid w:val="00FC4871"/>
    <w:rsid w:val="00FC48EC"/>
    <w:rsid w:val="00FC4B01"/>
    <w:rsid w:val="00FC5FE1"/>
    <w:rsid w:val="00FC7F93"/>
    <w:rsid w:val="00FD0EF8"/>
    <w:rsid w:val="00FD2060"/>
    <w:rsid w:val="00FD408C"/>
    <w:rsid w:val="00FD4944"/>
    <w:rsid w:val="00FD4C89"/>
    <w:rsid w:val="00FD63FF"/>
    <w:rsid w:val="00FD6A37"/>
    <w:rsid w:val="00FD7AA9"/>
    <w:rsid w:val="00FE22A6"/>
    <w:rsid w:val="00FE2AF2"/>
    <w:rsid w:val="00FE384B"/>
    <w:rsid w:val="00FE4378"/>
    <w:rsid w:val="00FE45F2"/>
    <w:rsid w:val="00FE46F3"/>
    <w:rsid w:val="00FE4C31"/>
    <w:rsid w:val="00FF0525"/>
    <w:rsid w:val="00FF190F"/>
    <w:rsid w:val="00FF1FFC"/>
    <w:rsid w:val="00FF3942"/>
    <w:rsid w:val="00FF457E"/>
    <w:rsid w:val="00FF62E7"/>
    <w:rsid w:val="00FF768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2"/>
    </o:shapelayout>
  </w:shapeDefaults>
  <w:decimalSymbol w:val="."/>
  <w:listSeparator w:val=","/>
  <w14:docId w14:val="0A7613E4"/>
  <w15:chartTrackingRefBased/>
  <w15:docId w15:val="{112F31DC-37E9-4AFF-8963-EDDA4A320D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paragraph" w:styleId="1">
    <w:name w:val="heading 1"/>
    <w:basedOn w:val="a"/>
    <w:next w:val="a"/>
    <w:link w:val="10"/>
    <w:uiPriority w:val="9"/>
    <w:qFormat/>
    <w:rsid w:val="0006361A"/>
    <w:pPr>
      <w:keepNext/>
      <w:keepLines/>
      <w:spacing w:before="480" w:after="0"/>
      <w:outlineLvl w:val="0"/>
    </w:pPr>
    <w:rPr>
      <w:rFonts w:asciiTheme="majorHAnsi" w:eastAsiaTheme="majorEastAsia" w:hAnsiTheme="majorHAnsi"/>
      <w:b/>
      <w:bCs/>
      <w:color w:val="365F91" w:themeColor="accent1" w:themeShade="BF"/>
      <w:sz w:val="28"/>
      <w:szCs w:val="28"/>
    </w:rPr>
  </w:style>
  <w:style w:type="paragraph" w:styleId="2">
    <w:name w:val="heading 2"/>
    <w:basedOn w:val="a"/>
    <w:next w:val="a"/>
    <w:link w:val="20"/>
    <w:uiPriority w:val="9"/>
    <w:unhideWhenUsed/>
    <w:qFormat/>
    <w:rsid w:val="00104621"/>
    <w:pPr>
      <w:keepNext/>
      <w:keepLines/>
      <w:spacing w:before="40" w:after="0"/>
      <w:outlineLvl w:val="1"/>
    </w:pPr>
    <w:rPr>
      <w:rFonts w:asciiTheme="majorHAnsi" w:eastAsiaTheme="majorEastAsia" w:hAnsiTheme="majorHAnsi"/>
      <w:bCs/>
      <w:color w:val="548DD4" w:themeColor="text2" w:themeTint="99"/>
      <w:sz w:val="26"/>
      <w:szCs w:val="26"/>
    </w:rPr>
  </w:style>
  <w:style w:type="paragraph" w:styleId="3">
    <w:name w:val="heading 3"/>
    <w:basedOn w:val="a"/>
    <w:next w:val="a"/>
    <w:link w:val="30"/>
    <w:uiPriority w:val="9"/>
    <w:unhideWhenUsed/>
    <w:qFormat/>
    <w:rsid w:val="004B607F"/>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ubtitle"/>
    <w:aliases w:val="הערות"/>
    <w:basedOn w:val="a"/>
    <w:next w:val="a"/>
    <w:link w:val="a4"/>
    <w:uiPriority w:val="11"/>
    <w:qFormat/>
    <w:rsid w:val="00450F4B"/>
    <w:pPr>
      <w:numPr>
        <w:ilvl w:val="1"/>
      </w:numPr>
      <w:spacing w:after="160"/>
    </w:pPr>
    <w:rPr>
      <w:rFonts w:eastAsiaTheme="minorEastAsia" w:cs="David"/>
      <w:color w:val="5A5A5A" w:themeColor="text1" w:themeTint="A5"/>
      <w:spacing w:val="15"/>
      <w:szCs w:val="20"/>
    </w:rPr>
  </w:style>
  <w:style w:type="character" w:customStyle="1" w:styleId="a4">
    <w:name w:val="כותרת משנה תו"/>
    <w:aliases w:val="הערות תו"/>
    <w:basedOn w:val="a0"/>
    <w:link w:val="a3"/>
    <w:uiPriority w:val="11"/>
    <w:rsid w:val="00450F4B"/>
    <w:rPr>
      <w:rFonts w:eastAsiaTheme="minorEastAsia" w:cs="David"/>
      <w:color w:val="5A5A5A" w:themeColor="text1" w:themeTint="A5"/>
      <w:spacing w:val="15"/>
      <w:szCs w:val="20"/>
    </w:rPr>
  </w:style>
  <w:style w:type="character" w:customStyle="1" w:styleId="10">
    <w:name w:val="כותרת 1 תו"/>
    <w:basedOn w:val="a0"/>
    <w:link w:val="1"/>
    <w:uiPriority w:val="9"/>
    <w:rsid w:val="0006361A"/>
    <w:rPr>
      <w:rFonts w:asciiTheme="majorHAnsi" w:eastAsiaTheme="majorEastAsia" w:hAnsiTheme="majorHAnsi"/>
      <w:b/>
      <w:bCs/>
      <w:color w:val="365F91" w:themeColor="accent1" w:themeShade="BF"/>
      <w:sz w:val="28"/>
      <w:szCs w:val="28"/>
    </w:rPr>
  </w:style>
  <w:style w:type="character" w:customStyle="1" w:styleId="20">
    <w:name w:val="כותרת 2 תו"/>
    <w:basedOn w:val="a0"/>
    <w:link w:val="2"/>
    <w:uiPriority w:val="9"/>
    <w:rsid w:val="00104621"/>
    <w:rPr>
      <w:rFonts w:asciiTheme="majorHAnsi" w:eastAsiaTheme="majorEastAsia" w:hAnsiTheme="majorHAnsi"/>
      <w:bCs/>
      <w:color w:val="548DD4" w:themeColor="text2" w:themeTint="99"/>
      <w:sz w:val="26"/>
      <w:szCs w:val="26"/>
    </w:rPr>
  </w:style>
  <w:style w:type="paragraph" w:styleId="a5">
    <w:name w:val="header"/>
    <w:basedOn w:val="a"/>
    <w:link w:val="a6"/>
    <w:uiPriority w:val="99"/>
    <w:unhideWhenUsed/>
    <w:rsid w:val="00E137BC"/>
    <w:pPr>
      <w:tabs>
        <w:tab w:val="center" w:pos="4153"/>
        <w:tab w:val="right" w:pos="8306"/>
      </w:tabs>
      <w:spacing w:after="0" w:line="240" w:lineRule="auto"/>
    </w:pPr>
  </w:style>
  <w:style w:type="character" w:customStyle="1" w:styleId="a6">
    <w:name w:val="כותרת עליונה תו"/>
    <w:basedOn w:val="a0"/>
    <w:link w:val="a5"/>
    <w:uiPriority w:val="99"/>
    <w:rsid w:val="00E137BC"/>
  </w:style>
  <w:style w:type="paragraph" w:styleId="a7">
    <w:name w:val="footer"/>
    <w:basedOn w:val="a"/>
    <w:link w:val="a8"/>
    <w:uiPriority w:val="99"/>
    <w:unhideWhenUsed/>
    <w:rsid w:val="00E137BC"/>
    <w:pPr>
      <w:tabs>
        <w:tab w:val="center" w:pos="4153"/>
        <w:tab w:val="right" w:pos="8306"/>
      </w:tabs>
      <w:spacing w:after="0" w:line="240" w:lineRule="auto"/>
    </w:pPr>
  </w:style>
  <w:style w:type="character" w:customStyle="1" w:styleId="a8">
    <w:name w:val="כותרת תחתונה תו"/>
    <w:basedOn w:val="a0"/>
    <w:link w:val="a7"/>
    <w:uiPriority w:val="99"/>
    <w:rsid w:val="00E137BC"/>
  </w:style>
  <w:style w:type="paragraph" w:styleId="a9">
    <w:name w:val="footnote text"/>
    <w:basedOn w:val="a"/>
    <w:link w:val="aa"/>
    <w:uiPriority w:val="99"/>
    <w:unhideWhenUsed/>
    <w:rsid w:val="0023341E"/>
    <w:pPr>
      <w:spacing w:after="0" w:line="240" w:lineRule="auto"/>
    </w:pPr>
    <w:rPr>
      <w:sz w:val="20"/>
      <w:szCs w:val="20"/>
    </w:rPr>
  </w:style>
  <w:style w:type="character" w:customStyle="1" w:styleId="aa">
    <w:name w:val="טקסט הערת שוליים תו"/>
    <w:basedOn w:val="a0"/>
    <w:link w:val="a9"/>
    <w:uiPriority w:val="99"/>
    <w:rsid w:val="0023341E"/>
    <w:rPr>
      <w:sz w:val="20"/>
      <w:szCs w:val="20"/>
    </w:rPr>
  </w:style>
  <w:style w:type="character" w:styleId="ab">
    <w:name w:val="footnote reference"/>
    <w:basedOn w:val="a0"/>
    <w:uiPriority w:val="99"/>
    <w:unhideWhenUsed/>
    <w:rsid w:val="0023341E"/>
    <w:rPr>
      <w:vertAlign w:val="superscript"/>
    </w:rPr>
  </w:style>
  <w:style w:type="paragraph" w:styleId="ac">
    <w:name w:val="List Paragraph"/>
    <w:basedOn w:val="a"/>
    <w:link w:val="ad"/>
    <w:uiPriority w:val="34"/>
    <w:qFormat/>
    <w:rsid w:val="00160D16"/>
    <w:pPr>
      <w:ind w:left="720"/>
      <w:contextualSpacing/>
    </w:pPr>
  </w:style>
  <w:style w:type="paragraph" w:styleId="ae">
    <w:name w:val="Balloon Text"/>
    <w:basedOn w:val="a"/>
    <w:link w:val="af"/>
    <w:uiPriority w:val="99"/>
    <w:semiHidden/>
    <w:unhideWhenUsed/>
    <w:rsid w:val="00F82D19"/>
    <w:pPr>
      <w:spacing w:after="0" w:line="240" w:lineRule="auto"/>
    </w:pPr>
    <w:rPr>
      <w:rFonts w:ascii="Tahoma" w:hAnsi="Tahoma" w:cs="Tahoma"/>
      <w:sz w:val="18"/>
      <w:szCs w:val="18"/>
    </w:rPr>
  </w:style>
  <w:style w:type="character" w:customStyle="1" w:styleId="af">
    <w:name w:val="טקסט בלונים תו"/>
    <w:basedOn w:val="a0"/>
    <w:link w:val="ae"/>
    <w:uiPriority w:val="99"/>
    <w:semiHidden/>
    <w:rsid w:val="00F82D19"/>
    <w:rPr>
      <w:rFonts w:ascii="Tahoma" w:hAnsi="Tahoma" w:cs="Tahoma"/>
      <w:sz w:val="18"/>
      <w:szCs w:val="18"/>
    </w:rPr>
  </w:style>
  <w:style w:type="character" w:customStyle="1" w:styleId="ad">
    <w:name w:val="פיסקת רשימה תו"/>
    <w:basedOn w:val="a0"/>
    <w:link w:val="ac"/>
    <w:uiPriority w:val="34"/>
    <w:rsid w:val="004A326E"/>
  </w:style>
  <w:style w:type="paragraph" w:styleId="af0">
    <w:name w:val="endnote text"/>
    <w:basedOn w:val="a"/>
    <w:link w:val="af1"/>
    <w:uiPriority w:val="99"/>
    <w:semiHidden/>
    <w:unhideWhenUsed/>
    <w:rsid w:val="004A326E"/>
    <w:pPr>
      <w:spacing w:after="0" w:line="240" w:lineRule="auto"/>
    </w:pPr>
    <w:rPr>
      <w:sz w:val="20"/>
      <w:szCs w:val="20"/>
    </w:rPr>
  </w:style>
  <w:style w:type="character" w:customStyle="1" w:styleId="af1">
    <w:name w:val="טקסט הערת סיום תו"/>
    <w:basedOn w:val="a0"/>
    <w:link w:val="af0"/>
    <w:uiPriority w:val="99"/>
    <w:semiHidden/>
    <w:rsid w:val="004A326E"/>
    <w:rPr>
      <w:sz w:val="20"/>
      <w:szCs w:val="20"/>
    </w:rPr>
  </w:style>
  <w:style w:type="character" w:styleId="af2">
    <w:name w:val="endnote reference"/>
    <w:basedOn w:val="a0"/>
    <w:uiPriority w:val="99"/>
    <w:semiHidden/>
    <w:unhideWhenUsed/>
    <w:rsid w:val="004A326E"/>
    <w:rPr>
      <w:vertAlign w:val="superscript"/>
    </w:rPr>
  </w:style>
  <w:style w:type="character" w:customStyle="1" w:styleId="30">
    <w:name w:val="כותרת 3 תו"/>
    <w:basedOn w:val="a0"/>
    <w:link w:val="3"/>
    <w:uiPriority w:val="9"/>
    <w:rsid w:val="004B607F"/>
    <w:rPr>
      <w:rFonts w:asciiTheme="majorHAnsi" w:eastAsiaTheme="majorEastAsia" w:hAnsiTheme="majorHAnsi" w:cstheme="majorBidi"/>
      <w:b/>
      <w:bCs/>
      <w:color w:val="4F81BD" w:themeColor="accent1"/>
    </w:rPr>
  </w:style>
  <w:style w:type="table" w:styleId="af3">
    <w:name w:val="Table Grid"/>
    <w:basedOn w:val="a1"/>
    <w:uiPriority w:val="59"/>
    <w:rsid w:val="004B60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No Spacing"/>
    <w:uiPriority w:val="1"/>
    <w:qFormat/>
    <w:rsid w:val="004B607F"/>
    <w:pPr>
      <w:bidi/>
      <w:spacing w:after="0" w:line="240" w:lineRule="auto"/>
    </w:pPr>
  </w:style>
  <w:style w:type="numbering" w:customStyle="1" w:styleId="11">
    <w:name w:val="ללא רשימה1"/>
    <w:next w:val="a2"/>
    <w:uiPriority w:val="99"/>
    <w:semiHidden/>
    <w:unhideWhenUsed/>
    <w:rsid w:val="001D49D4"/>
  </w:style>
  <w:style w:type="paragraph" w:customStyle="1" w:styleId="msonormal0">
    <w:name w:val="msonormal"/>
    <w:basedOn w:val="a"/>
    <w:rsid w:val="001D49D4"/>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2">
    <w:name w:val="כותרת משנה תו1"/>
    <w:aliases w:val="הערות תו1"/>
    <w:basedOn w:val="a0"/>
    <w:uiPriority w:val="11"/>
    <w:rsid w:val="001D49D4"/>
    <w:rPr>
      <w:rFonts w:eastAsiaTheme="minorEastAsia"/>
      <w:color w:val="5A5A5A" w:themeColor="text1" w:themeTint="A5"/>
      <w:spacing w:val="15"/>
    </w:rPr>
  </w:style>
  <w:style w:type="table" w:customStyle="1" w:styleId="13">
    <w:name w:val="רשת טבלה1"/>
    <w:basedOn w:val="a1"/>
    <w:next w:val="af3"/>
    <w:uiPriority w:val="59"/>
    <w:rsid w:val="001D49D4"/>
    <w:pPr>
      <w:spacing w:after="0" w:line="240" w:lineRule="auto"/>
    </w:pPr>
    <w:rPr>
      <w:rFonts w:ascii="Calibri" w:eastAsia="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
    <w:name w:val="ללא רשימה2"/>
    <w:next w:val="a2"/>
    <w:uiPriority w:val="99"/>
    <w:semiHidden/>
    <w:unhideWhenUsed/>
    <w:rsid w:val="001D49D4"/>
  </w:style>
  <w:style w:type="numbering" w:customStyle="1" w:styleId="31">
    <w:name w:val="ללא רשימה3"/>
    <w:next w:val="a2"/>
    <w:uiPriority w:val="99"/>
    <w:semiHidden/>
    <w:unhideWhenUsed/>
    <w:rsid w:val="001D49D4"/>
  </w:style>
  <w:style w:type="character" w:styleId="Hyperlink">
    <w:name w:val="Hyperlink"/>
    <w:basedOn w:val="a0"/>
    <w:uiPriority w:val="99"/>
    <w:unhideWhenUsed/>
    <w:rsid w:val="00F9369D"/>
    <w:rPr>
      <w:color w:val="0000FF" w:themeColor="hyperlink"/>
      <w:u w:val="single"/>
    </w:rPr>
  </w:style>
  <w:style w:type="numbering" w:customStyle="1" w:styleId="4">
    <w:name w:val="ללא רשימה4"/>
    <w:next w:val="a2"/>
    <w:uiPriority w:val="99"/>
    <w:semiHidden/>
    <w:unhideWhenUsed/>
    <w:rsid w:val="0004348D"/>
  </w:style>
  <w:style w:type="paragraph" w:styleId="af5">
    <w:name w:val="TOC Heading"/>
    <w:basedOn w:val="1"/>
    <w:next w:val="a"/>
    <w:uiPriority w:val="39"/>
    <w:unhideWhenUsed/>
    <w:qFormat/>
    <w:rsid w:val="00234130"/>
    <w:pPr>
      <w:spacing w:before="240" w:line="259" w:lineRule="auto"/>
      <w:outlineLvl w:val="9"/>
    </w:pPr>
    <w:rPr>
      <w:rFonts w:cstheme="majorBidi"/>
      <w:b w:val="0"/>
      <w:bCs w:val="0"/>
      <w:sz w:val="32"/>
      <w:szCs w:val="32"/>
      <w:rtl/>
      <w:cs/>
    </w:rPr>
  </w:style>
  <w:style w:type="paragraph" w:styleId="TOC1">
    <w:name w:val="toc 1"/>
    <w:basedOn w:val="a"/>
    <w:next w:val="a"/>
    <w:autoRedefine/>
    <w:uiPriority w:val="39"/>
    <w:unhideWhenUsed/>
    <w:rsid w:val="00234130"/>
    <w:pPr>
      <w:spacing w:after="100"/>
    </w:pPr>
  </w:style>
  <w:style w:type="paragraph" w:styleId="TOC2">
    <w:name w:val="toc 2"/>
    <w:basedOn w:val="a"/>
    <w:next w:val="a"/>
    <w:autoRedefine/>
    <w:uiPriority w:val="39"/>
    <w:unhideWhenUsed/>
    <w:rsid w:val="00234130"/>
    <w:pPr>
      <w:spacing w:after="100"/>
      <w:ind w:left="220"/>
    </w:pPr>
  </w:style>
  <w:style w:type="paragraph" w:styleId="TOC3">
    <w:name w:val="toc 3"/>
    <w:basedOn w:val="a"/>
    <w:next w:val="a"/>
    <w:autoRedefine/>
    <w:uiPriority w:val="39"/>
    <w:unhideWhenUsed/>
    <w:rsid w:val="00234130"/>
    <w:pPr>
      <w:spacing w:after="100" w:line="259" w:lineRule="auto"/>
      <w:ind w:left="440"/>
    </w:pPr>
    <w:rPr>
      <w:rFonts w:eastAsiaTheme="minorEastAsia"/>
    </w:rPr>
  </w:style>
  <w:style w:type="paragraph" w:styleId="TOC4">
    <w:name w:val="toc 4"/>
    <w:basedOn w:val="a"/>
    <w:next w:val="a"/>
    <w:autoRedefine/>
    <w:uiPriority w:val="39"/>
    <w:unhideWhenUsed/>
    <w:rsid w:val="00234130"/>
    <w:pPr>
      <w:spacing w:after="100" w:line="259" w:lineRule="auto"/>
      <w:ind w:left="660"/>
    </w:pPr>
    <w:rPr>
      <w:rFonts w:eastAsiaTheme="minorEastAsia"/>
    </w:rPr>
  </w:style>
  <w:style w:type="paragraph" w:styleId="TOC5">
    <w:name w:val="toc 5"/>
    <w:basedOn w:val="a"/>
    <w:next w:val="a"/>
    <w:autoRedefine/>
    <w:uiPriority w:val="39"/>
    <w:unhideWhenUsed/>
    <w:rsid w:val="00234130"/>
    <w:pPr>
      <w:spacing w:after="100" w:line="259" w:lineRule="auto"/>
      <w:ind w:left="880"/>
    </w:pPr>
    <w:rPr>
      <w:rFonts w:eastAsiaTheme="minorEastAsia"/>
    </w:rPr>
  </w:style>
  <w:style w:type="paragraph" w:styleId="TOC6">
    <w:name w:val="toc 6"/>
    <w:basedOn w:val="a"/>
    <w:next w:val="a"/>
    <w:autoRedefine/>
    <w:uiPriority w:val="39"/>
    <w:unhideWhenUsed/>
    <w:rsid w:val="00234130"/>
    <w:pPr>
      <w:spacing w:after="100" w:line="259" w:lineRule="auto"/>
      <w:ind w:left="1100"/>
    </w:pPr>
    <w:rPr>
      <w:rFonts w:eastAsiaTheme="minorEastAsia"/>
    </w:rPr>
  </w:style>
  <w:style w:type="paragraph" w:styleId="TOC7">
    <w:name w:val="toc 7"/>
    <w:basedOn w:val="a"/>
    <w:next w:val="a"/>
    <w:autoRedefine/>
    <w:uiPriority w:val="39"/>
    <w:unhideWhenUsed/>
    <w:rsid w:val="00234130"/>
    <w:pPr>
      <w:spacing w:after="100" w:line="259" w:lineRule="auto"/>
      <w:ind w:left="1320"/>
    </w:pPr>
    <w:rPr>
      <w:rFonts w:eastAsiaTheme="minorEastAsia"/>
    </w:rPr>
  </w:style>
  <w:style w:type="paragraph" w:styleId="TOC8">
    <w:name w:val="toc 8"/>
    <w:basedOn w:val="a"/>
    <w:next w:val="a"/>
    <w:autoRedefine/>
    <w:uiPriority w:val="39"/>
    <w:unhideWhenUsed/>
    <w:rsid w:val="00234130"/>
    <w:pPr>
      <w:spacing w:after="100" w:line="259" w:lineRule="auto"/>
      <w:ind w:left="1540"/>
    </w:pPr>
    <w:rPr>
      <w:rFonts w:eastAsiaTheme="minorEastAsia"/>
    </w:rPr>
  </w:style>
  <w:style w:type="paragraph" w:styleId="TOC9">
    <w:name w:val="toc 9"/>
    <w:basedOn w:val="a"/>
    <w:next w:val="a"/>
    <w:autoRedefine/>
    <w:uiPriority w:val="39"/>
    <w:unhideWhenUsed/>
    <w:rsid w:val="00234130"/>
    <w:pPr>
      <w:spacing w:after="100" w:line="259" w:lineRule="auto"/>
      <w:ind w:left="1760"/>
    </w:pPr>
    <w:rPr>
      <w:rFonts w:eastAsiaTheme="minorEastAsia"/>
    </w:rPr>
  </w:style>
  <w:style w:type="character" w:styleId="af6">
    <w:name w:val="Unresolved Mention"/>
    <w:basedOn w:val="a0"/>
    <w:uiPriority w:val="99"/>
    <w:semiHidden/>
    <w:unhideWhenUsed/>
    <w:rsid w:val="00234130"/>
    <w:rPr>
      <w:color w:val="605E5C"/>
      <w:shd w:val="clear" w:color="auto" w:fill="E1DFDD"/>
    </w:rPr>
  </w:style>
  <w:style w:type="character" w:styleId="FollowedHyperlink">
    <w:name w:val="FollowedHyperlink"/>
    <w:basedOn w:val="a0"/>
    <w:uiPriority w:val="99"/>
    <w:semiHidden/>
    <w:unhideWhenUsed/>
    <w:rsid w:val="009F570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427494">
      <w:bodyDiv w:val="1"/>
      <w:marLeft w:val="0"/>
      <w:marRight w:val="0"/>
      <w:marTop w:val="0"/>
      <w:marBottom w:val="0"/>
      <w:divBdr>
        <w:top w:val="none" w:sz="0" w:space="0" w:color="auto"/>
        <w:left w:val="none" w:sz="0" w:space="0" w:color="auto"/>
        <w:bottom w:val="none" w:sz="0" w:space="0" w:color="auto"/>
        <w:right w:val="none" w:sz="0" w:space="0" w:color="auto"/>
      </w:divBdr>
    </w:div>
    <w:div w:id="100339033">
      <w:bodyDiv w:val="1"/>
      <w:marLeft w:val="0"/>
      <w:marRight w:val="0"/>
      <w:marTop w:val="0"/>
      <w:marBottom w:val="0"/>
      <w:divBdr>
        <w:top w:val="none" w:sz="0" w:space="0" w:color="auto"/>
        <w:left w:val="none" w:sz="0" w:space="0" w:color="auto"/>
        <w:bottom w:val="none" w:sz="0" w:space="0" w:color="auto"/>
        <w:right w:val="none" w:sz="0" w:space="0" w:color="auto"/>
      </w:divBdr>
    </w:div>
    <w:div w:id="399137942">
      <w:bodyDiv w:val="1"/>
      <w:marLeft w:val="0"/>
      <w:marRight w:val="0"/>
      <w:marTop w:val="0"/>
      <w:marBottom w:val="0"/>
      <w:divBdr>
        <w:top w:val="none" w:sz="0" w:space="0" w:color="auto"/>
        <w:left w:val="none" w:sz="0" w:space="0" w:color="auto"/>
        <w:bottom w:val="none" w:sz="0" w:space="0" w:color="auto"/>
        <w:right w:val="none" w:sz="0" w:space="0" w:color="auto"/>
      </w:divBdr>
    </w:div>
    <w:div w:id="446851024">
      <w:bodyDiv w:val="1"/>
      <w:marLeft w:val="0"/>
      <w:marRight w:val="0"/>
      <w:marTop w:val="0"/>
      <w:marBottom w:val="0"/>
      <w:divBdr>
        <w:top w:val="none" w:sz="0" w:space="0" w:color="auto"/>
        <w:left w:val="none" w:sz="0" w:space="0" w:color="auto"/>
        <w:bottom w:val="none" w:sz="0" w:space="0" w:color="auto"/>
        <w:right w:val="none" w:sz="0" w:space="0" w:color="auto"/>
      </w:divBdr>
    </w:div>
    <w:div w:id="671956185">
      <w:bodyDiv w:val="1"/>
      <w:marLeft w:val="0"/>
      <w:marRight w:val="0"/>
      <w:marTop w:val="0"/>
      <w:marBottom w:val="0"/>
      <w:divBdr>
        <w:top w:val="none" w:sz="0" w:space="0" w:color="auto"/>
        <w:left w:val="none" w:sz="0" w:space="0" w:color="auto"/>
        <w:bottom w:val="none" w:sz="0" w:space="0" w:color="auto"/>
        <w:right w:val="none" w:sz="0" w:space="0" w:color="auto"/>
      </w:divBdr>
    </w:div>
    <w:div w:id="704987398">
      <w:bodyDiv w:val="1"/>
      <w:marLeft w:val="0"/>
      <w:marRight w:val="0"/>
      <w:marTop w:val="0"/>
      <w:marBottom w:val="0"/>
      <w:divBdr>
        <w:top w:val="none" w:sz="0" w:space="0" w:color="auto"/>
        <w:left w:val="none" w:sz="0" w:space="0" w:color="auto"/>
        <w:bottom w:val="none" w:sz="0" w:space="0" w:color="auto"/>
        <w:right w:val="none" w:sz="0" w:space="0" w:color="auto"/>
      </w:divBdr>
    </w:div>
    <w:div w:id="785586779">
      <w:bodyDiv w:val="1"/>
      <w:marLeft w:val="0"/>
      <w:marRight w:val="0"/>
      <w:marTop w:val="0"/>
      <w:marBottom w:val="0"/>
      <w:divBdr>
        <w:top w:val="none" w:sz="0" w:space="0" w:color="auto"/>
        <w:left w:val="none" w:sz="0" w:space="0" w:color="auto"/>
        <w:bottom w:val="none" w:sz="0" w:space="0" w:color="auto"/>
        <w:right w:val="none" w:sz="0" w:space="0" w:color="auto"/>
      </w:divBdr>
    </w:div>
    <w:div w:id="796534432">
      <w:bodyDiv w:val="1"/>
      <w:marLeft w:val="0"/>
      <w:marRight w:val="0"/>
      <w:marTop w:val="0"/>
      <w:marBottom w:val="0"/>
      <w:divBdr>
        <w:top w:val="none" w:sz="0" w:space="0" w:color="auto"/>
        <w:left w:val="none" w:sz="0" w:space="0" w:color="auto"/>
        <w:bottom w:val="none" w:sz="0" w:space="0" w:color="auto"/>
        <w:right w:val="none" w:sz="0" w:space="0" w:color="auto"/>
      </w:divBdr>
    </w:div>
    <w:div w:id="884177059">
      <w:bodyDiv w:val="1"/>
      <w:marLeft w:val="0"/>
      <w:marRight w:val="0"/>
      <w:marTop w:val="0"/>
      <w:marBottom w:val="0"/>
      <w:divBdr>
        <w:top w:val="none" w:sz="0" w:space="0" w:color="auto"/>
        <w:left w:val="none" w:sz="0" w:space="0" w:color="auto"/>
        <w:bottom w:val="none" w:sz="0" w:space="0" w:color="auto"/>
        <w:right w:val="none" w:sz="0" w:space="0" w:color="auto"/>
      </w:divBdr>
    </w:div>
    <w:div w:id="920145185">
      <w:bodyDiv w:val="1"/>
      <w:marLeft w:val="0"/>
      <w:marRight w:val="0"/>
      <w:marTop w:val="0"/>
      <w:marBottom w:val="0"/>
      <w:divBdr>
        <w:top w:val="none" w:sz="0" w:space="0" w:color="auto"/>
        <w:left w:val="none" w:sz="0" w:space="0" w:color="auto"/>
        <w:bottom w:val="none" w:sz="0" w:space="0" w:color="auto"/>
        <w:right w:val="none" w:sz="0" w:space="0" w:color="auto"/>
      </w:divBdr>
    </w:div>
    <w:div w:id="936329746">
      <w:bodyDiv w:val="1"/>
      <w:marLeft w:val="0"/>
      <w:marRight w:val="0"/>
      <w:marTop w:val="0"/>
      <w:marBottom w:val="0"/>
      <w:divBdr>
        <w:top w:val="none" w:sz="0" w:space="0" w:color="auto"/>
        <w:left w:val="none" w:sz="0" w:space="0" w:color="auto"/>
        <w:bottom w:val="none" w:sz="0" w:space="0" w:color="auto"/>
        <w:right w:val="none" w:sz="0" w:space="0" w:color="auto"/>
      </w:divBdr>
    </w:div>
    <w:div w:id="944732651">
      <w:bodyDiv w:val="1"/>
      <w:marLeft w:val="0"/>
      <w:marRight w:val="0"/>
      <w:marTop w:val="0"/>
      <w:marBottom w:val="0"/>
      <w:divBdr>
        <w:top w:val="none" w:sz="0" w:space="0" w:color="auto"/>
        <w:left w:val="none" w:sz="0" w:space="0" w:color="auto"/>
        <w:bottom w:val="none" w:sz="0" w:space="0" w:color="auto"/>
        <w:right w:val="none" w:sz="0" w:space="0" w:color="auto"/>
      </w:divBdr>
    </w:div>
    <w:div w:id="1097024049">
      <w:bodyDiv w:val="1"/>
      <w:marLeft w:val="0"/>
      <w:marRight w:val="0"/>
      <w:marTop w:val="0"/>
      <w:marBottom w:val="0"/>
      <w:divBdr>
        <w:top w:val="none" w:sz="0" w:space="0" w:color="auto"/>
        <w:left w:val="none" w:sz="0" w:space="0" w:color="auto"/>
        <w:bottom w:val="none" w:sz="0" w:space="0" w:color="auto"/>
        <w:right w:val="none" w:sz="0" w:space="0" w:color="auto"/>
      </w:divBdr>
    </w:div>
    <w:div w:id="1143424738">
      <w:bodyDiv w:val="1"/>
      <w:marLeft w:val="0"/>
      <w:marRight w:val="0"/>
      <w:marTop w:val="0"/>
      <w:marBottom w:val="0"/>
      <w:divBdr>
        <w:top w:val="none" w:sz="0" w:space="0" w:color="auto"/>
        <w:left w:val="none" w:sz="0" w:space="0" w:color="auto"/>
        <w:bottom w:val="none" w:sz="0" w:space="0" w:color="auto"/>
        <w:right w:val="none" w:sz="0" w:space="0" w:color="auto"/>
      </w:divBdr>
    </w:div>
    <w:div w:id="1180269074">
      <w:bodyDiv w:val="1"/>
      <w:marLeft w:val="0"/>
      <w:marRight w:val="0"/>
      <w:marTop w:val="0"/>
      <w:marBottom w:val="0"/>
      <w:divBdr>
        <w:top w:val="none" w:sz="0" w:space="0" w:color="auto"/>
        <w:left w:val="none" w:sz="0" w:space="0" w:color="auto"/>
        <w:bottom w:val="none" w:sz="0" w:space="0" w:color="auto"/>
        <w:right w:val="none" w:sz="0" w:space="0" w:color="auto"/>
      </w:divBdr>
    </w:div>
    <w:div w:id="1281912714">
      <w:bodyDiv w:val="1"/>
      <w:marLeft w:val="0"/>
      <w:marRight w:val="0"/>
      <w:marTop w:val="0"/>
      <w:marBottom w:val="0"/>
      <w:divBdr>
        <w:top w:val="none" w:sz="0" w:space="0" w:color="auto"/>
        <w:left w:val="none" w:sz="0" w:space="0" w:color="auto"/>
        <w:bottom w:val="none" w:sz="0" w:space="0" w:color="auto"/>
        <w:right w:val="none" w:sz="0" w:space="0" w:color="auto"/>
      </w:divBdr>
    </w:div>
    <w:div w:id="1400783760">
      <w:bodyDiv w:val="1"/>
      <w:marLeft w:val="0"/>
      <w:marRight w:val="0"/>
      <w:marTop w:val="0"/>
      <w:marBottom w:val="0"/>
      <w:divBdr>
        <w:top w:val="none" w:sz="0" w:space="0" w:color="auto"/>
        <w:left w:val="none" w:sz="0" w:space="0" w:color="auto"/>
        <w:bottom w:val="none" w:sz="0" w:space="0" w:color="auto"/>
        <w:right w:val="none" w:sz="0" w:space="0" w:color="auto"/>
      </w:divBdr>
    </w:div>
    <w:div w:id="1657803517">
      <w:bodyDiv w:val="1"/>
      <w:marLeft w:val="0"/>
      <w:marRight w:val="0"/>
      <w:marTop w:val="0"/>
      <w:marBottom w:val="0"/>
      <w:divBdr>
        <w:top w:val="none" w:sz="0" w:space="0" w:color="auto"/>
        <w:left w:val="none" w:sz="0" w:space="0" w:color="auto"/>
        <w:bottom w:val="none" w:sz="0" w:space="0" w:color="auto"/>
        <w:right w:val="none" w:sz="0" w:space="0" w:color="auto"/>
      </w:divBdr>
    </w:div>
    <w:div w:id="1878083021">
      <w:bodyDiv w:val="1"/>
      <w:marLeft w:val="0"/>
      <w:marRight w:val="0"/>
      <w:marTop w:val="0"/>
      <w:marBottom w:val="0"/>
      <w:divBdr>
        <w:top w:val="none" w:sz="0" w:space="0" w:color="auto"/>
        <w:left w:val="none" w:sz="0" w:space="0" w:color="auto"/>
        <w:bottom w:val="none" w:sz="0" w:space="0" w:color="auto"/>
        <w:right w:val="none" w:sz="0" w:space="0" w:color="auto"/>
      </w:divBdr>
    </w:div>
    <w:div w:id="1963032521">
      <w:bodyDiv w:val="1"/>
      <w:marLeft w:val="0"/>
      <w:marRight w:val="0"/>
      <w:marTop w:val="0"/>
      <w:marBottom w:val="0"/>
      <w:divBdr>
        <w:top w:val="none" w:sz="0" w:space="0" w:color="auto"/>
        <w:left w:val="none" w:sz="0" w:space="0" w:color="auto"/>
        <w:bottom w:val="none" w:sz="0" w:space="0" w:color="auto"/>
        <w:right w:val="none" w:sz="0" w:space="0" w:color="auto"/>
      </w:divBdr>
    </w:div>
    <w:div w:id="1977568629">
      <w:bodyDiv w:val="1"/>
      <w:marLeft w:val="0"/>
      <w:marRight w:val="0"/>
      <w:marTop w:val="0"/>
      <w:marBottom w:val="0"/>
      <w:divBdr>
        <w:top w:val="none" w:sz="0" w:space="0" w:color="auto"/>
        <w:left w:val="none" w:sz="0" w:space="0" w:color="auto"/>
        <w:bottom w:val="none" w:sz="0" w:space="0" w:color="auto"/>
        <w:right w:val="none" w:sz="0" w:space="0" w:color="auto"/>
      </w:divBdr>
    </w:div>
    <w:div w:id="2073969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eader" Target="header16.xml"/><Relationship Id="rId21" Type="http://schemas.openxmlformats.org/officeDocument/2006/relationships/header" Target="header11.xml"/><Relationship Id="rId42" Type="http://schemas.openxmlformats.org/officeDocument/2006/relationships/header" Target="header31.xml"/><Relationship Id="rId47" Type="http://schemas.openxmlformats.org/officeDocument/2006/relationships/header" Target="header36.xml"/><Relationship Id="rId63" Type="http://schemas.openxmlformats.org/officeDocument/2006/relationships/header" Target="header52.xml"/><Relationship Id="rId68" Type="http://schemas.openxmlformats.org/officeDocument/2006/relationships/header" Target="header57.xml"/><Relationship Id="rId84" Type="http://schemas.openxmlformats.org/officeDocument/2006/relationships/fontTable" Target="fontTable.xml"/><Relationship Id="rId16" Type="http://schemas.openxmlformats.org/officeDocument/2006/relationships/header" Target="header6.xml"/><Relationship Id="rId11" Type="http://schemas.openxmlformats.org/officeDocument/2006/relationships/header" Target="header1.xml"/><Relationship Id="rId32" Type="http://schemas.openxmlformats.org/officeDocument/2006/relationships/header" Target="header22.xml"/><Relationship Id="rId37" Type="http://schemas.openxmlformats.org/officeDocument/2006/relationships/footer" Target="footer1.xml"/><Relationship Id="rId53" Type="http://schemas.openxmlformats.org/officeDocument/2006/relationships/header" Target="header42.xml"/><Relationship Id="rId58" Type="http://schemas.openxmlformats.org/officeDocument/2006/relationships/header" Target="header47.xml"/><Relationship Id="rId74" Type="http://schemas.openxmlformats.org/officeDocument/2006/relationships/header" Target="header63.xml"/><Relationship Id="rId79" Type="http://schemas.openxmlformats.org/officeDocument/2006/relationships/header" Target="header68.xml"/><Relationship Id="rId5" Type="http://schemas.openxmlformats.org/officeDocument/2006/relationships/webSettings" Target="webSettings.xml"/><Relationship Id="rId19" Type="http://schemas.openxmlformats.org/officeDocument/2006/relationships/header" Target="header9.xml"/><Relationship Id="rId14" Type="http://schemas.openxmlformats.org/officeDocument/2006/relationships/header" Target="header4.xml"/><Relationship Id="rId22" Type="http://schemas.openxmlformats.org/officeDocument/2006/relationships/header" Target="header12.xml"/><Relationship Id="rId27" Type="http://schemas.openxmlformats.org/officeDocument/2006/relationships/header" Target="header17.xml"/><Relationship Id="rId30" Type="http://schemas.openxmlformats.org/officeDocument/2006/relationships/header" Target="header20.xml"/><Relationship Id="rId35" Type="http://schemas.openxmlformats.org/officeDocument/2006/relationships/header" Target="header25.xml"/><Relationship Id="rId43" Type="http://schemas.openxmlformats.org/officeDocument/2006/relationships/header" Target="header32.xml"/><Relationship Id="rId48" Type="http://schemas.openxmlformats.org/officeDocument/2006/relationships/header" Target="header37.xml"/><Relationship Id="rId56" Type="http://schemas.openxmlformats.org/officeDocument/2006/relationships/header" Target="header45.xml"/><Relationship Id="rId64" Type="http://schemas.openxmlformats.org/officeDocument/2006/relationships/header" Target="header53.xml"/><Relationship Id="rId69" Type="http://schemas.openxmlformats.org/officeDocument/2006/relationships/header" Target="header58.xml"/><Relationship Id="rId77" Type="http://schemas.openxmlformats.org/officeDocument/2006/relationships/header" Target="header66.xml"/><Relationship Id="rId8" Type="http://schemas.openxmlformats.org/officeDocument/2006/relationships/hyperlink" Target="mailto:itzakmaman@gmail.com" TargetMode="External"/><Relationship Id="rId51" Type="http://schemas.openxmlformats.org/officeDocument/2006/relationships/header" Target="header40.xml"/><Relationship Id="rId72" Type="http://schemas.openxmlformats.org/officeDocument/2006/relationships/header" Target="header61.xml"/><Relationship Id="rId80" Type="http://schemas.openxmlformats.org/officeDocument/2006/relationships/header" Target="header69.xml"/><Relationship Id="rId85"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header" Target="header7.xml"/><Relationship Id="rId25" Type="http://schemas.openxmlformats.org/officeDocument/2006/relationships/header" Target="header15.xml"/><Relationship Id="rId33" Type="http://schemas.openxmlformats.org/officeDocument/2006/relationships/header" Target="header23.xml"/><Relationship Id="rId38" Type="http://schemas.openxmlformats.org/officeDocument/2006/relationships/header" Target="header27.xml"/><Relationship Id="rId46" Type="http://schemas.openxmlformats.org/officeDocument/2006/relationships/header" Target="header35.xml"/><Relationship Id="rId59" Type="http://schemas.openxmlformats.org/officeDocument/2006/relationships/header" Target="header48.xml"/><Relationship Id="rId67" Type="http://schemas.openxmlformats.org/officeDocument/2006/relationships/header" Target="header56.xml"/><Relationship Id="rId20" Type="http://schemas.openxmlformats.org/officeDocument/2006/relationships/header" Target="header10.xml"/><Relationship Id="rId41" Type="http://schemas.openxmlformats.org/officeDocument/2006/relationships/header" Target="header30.xml"/><Relationship Id="rId54" Type="http://schemas.openxmlformats.org/officeDocument/2006/relationships/header" Target="header43.xml"/><Relationship Id="rId62" Type="http://schemas.openxmlformats.org/officeDocument/2006/relationships/header" Target="header51.xml"/><Relationship Id="rId70" Type="http://schemas.openxmlformats.org/officeDocument/2006/relationships/header" Target="header59.xml"/><Relationship Id="rId75" Type="http://schemas.openxmlformats.org/officeDocument/2006/relationships/header" Target="header64.xml"/><Relationship Id="rId83" Type="http://schemas.openxmlformats.org/officeDocument/2006/relationships/header" Target="header7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3.xml"/><Relationship Id="rId28" Type="http://schemas.openxmlformats.org/officeDocument/2006/relationships/header" Target="header18.xml"/><Relationship Id="rId36" Type="http://schemas.openxmlformats.org/officeDocument/2006/relationships/header" Target="header26.xml"/><Relationship Id="rId49" Type="http://schemas.openxmlformats.org/officeDocument/2006/relationships/header" Target="header38.xml"/><Relationship Id="rId57" Type="http://schemas.openxmlformats.org/officeDocument/2006/relationships/header" Target="header46.xml"/><Relationship Id="rId10" Type="http://schemas.openxmlformats.org/officeDocument/2006/relationships/hyperlink" Target="https://brit-itzak.com/%D7%A1%D7%99%D7%9B%D7%95%D7%9E%D7%99-%D7%A8%D7%91%D7%A0%D7%95%D7%AA/" TargetMode="External"/><Relationship Id="rId31" Type="http://schemas.openxmlformats.org/officeDocument/2006/relationships/header" Target="header21.xml"/><Relationship Id="rId44" Type="http://schemas.openxmlformats.org/officeDocument/2006/relationships/header" Target="header33.xml"/><Relationship Id="rId52" Type="http://schemas.openxmlformats.org/officeDocument/2006/relationships/header" Target="header41.xml"/><Relationship Id="rId60" Type="http://schemas.openxmlformats.org/officeDocument/2006/relationships/header" Target="header49.xml"/><Relationship Id="rId65" Type="http://schemas.openxmlformats.org/officeDocument/2006/relationships/header" Target="header54.xml"/><Relationship Id="rId73" Type="http://schemas.openxmlformats.org/officeDocument/2006/relationships/header" Target="header62.xml"/><Relationship Id="rId78" Type="http://schemas.openxmlformats.org/officeDocument/2006/relationships/header" Target="header67.xml"/><Relationship Id="rId81" Type="http://schemas.openxmlformats.org/officeDocument/2006/relationships/header" Target="header70.xml"/><Relationship Id="rId4" Type="http://schemas.openxmlformats.org/officeDocument/2006/relationships/settings" Target="settings.xml"/><Relationship Id="rId9" Type="http://schemas.openxmlformats.org/officeDocument/2006/relationships/hyperlink" Target="https://brit-itzak.com/%d7%a1%d7%99%d7%9b%d7%95%d7%9e%d7%99-%d7%93%d7%99%d7%99%d7%a0%d7%95%d7%aa/" TargetMode="External"/><Relationship Id="rId13" Type="http://schemas.openxmlformats.org/officeDocument/2006/relationships/header" Target="header3.xml"/><Relationship Id="rId18" Type="http://schemas.openxmlformats.org/officeDocument/2006/relationships/header" Target="header8.xml"/><Relationship Id="rId39" Type="http://schemas.openxmlformats.org/officeDocument/2006/relationships/header" Target="header28.xml"/><Relationship Id="rId34" Type="http://schemas.openxmlformats.org/officeDocument/2006/relationships/header" Target="header24.xml"/><Relationship Id="rId50" Type="http://schemas.openxmlformats.org/officeDocument/2006/relationships/header" Target="header39.xml"/><Relationship Id="rId55" Type="http://schemas.openxmlformats.org/officeDocument/2006/relationships/header" Target="header44.xml"/><Relationship Id="rId76" Type="http://schemas.openxmlformats.org/officeDocument/2006/relationships/header" Target="header65.xml"/><Relationship Id="rId7" Type="http://schemas.openxmlformats.org/officeDocument/2006/relationships/endnotes" Target="endnotes.xml"/><Relationship Id="rId71" Type="http://schemas.openxmlformats.org/officeDocument/2006/relationships/header" Target="header60.xml"/><Relationship Id="rId2" Type="http://schemas.openxmlformats.org/officeDocument/2006/relationships/numbering" Target="numbering.xml"/><Relationship Id="rId29" Type="http://schemas.openxmlformats.org/officeDocument/2006/relationships/header" Target="header19.xml"/><Relationship Id="rId24" Type="http://schemas.openxmlformats.org/officeDocument/2006/relationships/header" Target="header14.xml"/><Relationship Id="rId40" Type="http://schemas.openxmlformats.org/officeDocument/2006/relationships/header" Target="header29.xml"/><Relationship Id="rId45" Type="http://schemas.openxmlformats.org/officeDocument/2006/relationships/header" Target="header34.xml"/><Relationship Id="rId66" Type="http://schemas.openxmlformats.org/officeDocument/2006/relationships/header" Target="header55.xml"/><Relationship Id="rId61" Type="http://schemas.openxmlformats.org/officeDocument/2006/relationships/header" Target="header50.xml"/><Relationship Id="rId82" Type="http://schemas.openxmlformats.org/officeDocument/2006/relationships/header" Target="header7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549F29-D968-42FE-BEB2-E3D92DCF5F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107071</TotalTime>
  <Pages>462</Pages>
  <Words>256485</Words>
  <Characters>1282427</Characters>
  <Application>Microsoft Office Word</Application>
  <DocSecurity>0</DocSecurity>
  <Lines>10686</Lines>
  <Paragraphs>3071</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1535841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יצחק ממן</dc:creator>
  <cp:keywords/>
  <dc:description/>
  <cp:lastModifiedBy>יצחק ממן</cp:lastModifiedBy>
  <cp:revision>503</cp:revision>
  <dcterms:created xsi:type="dcterms:W3CDTF">2018-08-21T09:10:00Z</dcterms:created>
  <dcterms:modified xsi:type="dcterms:W3CDTF">2023-01-08T10:25:00Z</dcterms:modified>
</cp:coreProperties>
</file>